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6.xml" ContentType="application/vnd.openxmlformats-officedocument.wordprocessingml.header+xml"/>
  <Override PartName="/word/footer21.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FB805" w14:textId="77777777" w:rsidR="007E5A76" w:rsidRPr="00005453" w:rsidRDefault="007E5A76" w:rsidP="007E5A76">
      <w:pPr>
        <w:pStyle w:val="Title"/>
        <w:ind w:left="709" w:right="1332"/>
        <w:jc w:val="left"/>
        <w:rPr>
          <w:rFonts w:ascii="Times New Roman" w:hAnsi="Times New Roman"/>
          <w:sz w:val="20"/>
          <w:szCs w:val="22"/>
          <w:lang w:val="en-US"/>
        </w:rPr>
      </w:pPr>
      <w:bookmarkStart w:id="0" w:name="_GoBack"/>
      <w:bookmarkEnd w:id="0"/>
      <w:r w:rsidRPr="00005453">
        <w:rPr>
          <w:rFonts w:ascii="Times New Roman" w:hAnsi="Times New Roman"/>
          <w:sz w:val="20"/>
          <w:szCs w:val="22"/>
          <w:lang w:val="en-US"/>
        </w:rPr>
        <w:t>KUVEYT TÜRK KATILIM BANKASI A.Ş.</w:t>
      </w:r>
    </w:p>
    <w:p w14:paraId="07937448" w14:textId="355732D2" w:rsidR="007E5A76" w:rsidRPr="00005453" w:rsidRDefault="007E5A76" w:rsidP="007E5A76">
      <w:pPr>
        <w:pStyle w:val="Title"/>
        <w:ind w:left="709" w:right="1332"/>
        <w:jc w:val="left"/>
        <w:rPr>
          <w:rFonts w:ascii="Times New Roman" w:hAnsi="Times New Roman"/>
          <w:sz w:val="20"/>
          <w:szCs w:val="22"/>
          <w:lang w:val="en-US"/>
        </w:rPr>
      </w:pPr>
      <w:r w:rsidRPr="00005453">
        <w:rPr>
          <w:rFonts w:ascii="Times New Roman" w:hAnsi="Times New Roman"/>
          <w:sz w:val="20"/>
          <w:szCs w:val="22"/>
          <w:lang w:val="en-US"/>
        </w:rPr>
        <w:t>3</w:t>
      </w:r>
      <w:r w:rsidR="008D0996" w:rsidRPr="00005453">
        <w:rPr>
          <w:rFonts w:ascii="Times New Roman" w:hAnsi="Times New Roman"/>
          <w:sz w:val="20"/>
          <w:szCs w:val="22"/>
          <w:lang w:val="en-US"/>
        </w:rPr>
        <w:t>1</w:t>
      </w:r>
      <w:r w:rsidRPr="00005453">
        <w:rPr>
          <w:rFonts w:ascii="Times New Roman" w:hAnsi="Times New Roman"/>
          <w:sz w:val="20"/>
          <w:szCs w:val="22"/>
          <w:lang w:val="en-US"/>
        </w:rPr>
        <w:t xml:space="preserve"> </w:t>
      </w:r>
      <w:r w:rsidR="00654D6A" w:rsidRPr="00005453">
        <w:rPr>
          <w:rFonts w:ascii="Times New Roman" w:hAnsi="Times New Roman"/>
          <w:sz w:val="20"/>
          <w:szCs w:val="22"/>
          <w:lang w:val="en-US"/>
        </w:rPr>
        <w:t>ARALIK</w:t>
      </w:r>
      <w:r w:rsidRPr="00005453">
        <w:rPr>
          <w:rFonts w:ascii="Times New Roman" w:hAnsi="Times New Roman"/>
          <w:sz w:val="20"/>
          <w:szCs w:val="22"/>
          <w:lang w:val="en-US"/>
        </w:rPr>
        <w:t xml:space="preserve"> 2024 TARİHİNDE SONA EREN</w:t>
      </w:r>
    </w:p>
    <w:p w14:paraId="3EE0A72D" w14:textId="4F45160E" w:rsidR="007E5A76" w:rsidRPr="00005453" w:rsidRDefault="007E5A76" w:rsidP="007E5A76">
      <w:pPr>
        <w:pStyle w:val="Title"/>
        <w:ind w:left="709" w:right="1332"/>
        <w:jc w:val="left"/>
        <w:rPr>
          <w:rFonts w:ascii="Times New Roman" w:hAnsi="Times New Roman"/>
          <w:sz w:val="20"/>
          <w:szCs w:val="22"/>
          <w:lang w:val="en-US"/>
        </w:rPr>
      </w:pPr>
      <w:r w:rsidRPr="00005453">
        <w:rPr>
          <w:rFonts w:ascii="Times New Roman" w:hAnsi="Times New Roman"/>
          <w:sz w:val="20"/>
          <w:szCs w:val="22"/>
          <w:lang w:val="en-US"/>
        </w:rPr>
        <w:t xml:space="preserve">HESAP DÖNEMİNE AİT </w:t>
      </w:r>
    </w:p>
    <w:p w14:paraId="4B7A4BF4" w14:textId="34A16612" w:rsidR="007E5A76" w:rsidRPr="00005453" w:rsidRDefault="00392422" w:rsidP="007E5A76">
      <w:pPr>
        <w:pStyle w:val="Title"/>
        <w:ind w:left="709" w:right="1332"/>
        <w:jc w:val="left"/>
        <w:rPr>
          <w:rFonts w:ascii="Times New Roman" w:hAnsi="Times New Roman"/>
          <w:sz w:val="20"/>
          <w:szCs w:val="22"/>
          <w:lang w:val="en-US"/>
        </w:rPr>
      </w:pPr>
      <w:r w:rsidRPr="00005453">
        <w:rPr>
          <w:rFonts w:ascii="Times New Roman" w:hAnsi="Times New Roman"/>
          <w:sz w:val="20"/>
          <w:szCs w:val="22"/>
          <w:lang w:val="en-US"/>
        </w:rPr>
        <w:t>BAĞIMSIZ</w:t>
      </w:r>
      <w:r w:rsidR="007E5A76" w:rsidRPr="00005453">
        <w:rPr>
          <w:rFonts w:ascii="Times New Roman" w:hAnsi="Times New Roman"/>
          <w:sz w:val="20"/>
          <w:szCs w:val="22"/>
          <w:lang w:val="en-US"/>
        </w:rPr>
        <w:t xml:space="preserve"> DENETİM RAPORU,</w:t>
      </w:r>
    </w:p>
    <w:p w14:paraId="2DC0AAFB" w14:textId="77777777" w:rsidR="007E5A76" w:rsidRPr="00005453" w:rsidRDefault="007E5A76" w:rsidP="007E5A76">
      <w:pPr>
        <w:pStyle w:val="Title"/>
        <w:tabs>
          <w:tab w:val="clear" w:pos="4395"/>
          <w:tab w:val="center" w:pos="5245"/>
        </w:tabs>
        <w:ind w:left="709" w:right="283"/>
        <w:jc w:val="left"/>
        <w:rPr>
          <w:rFonts w:ascii="Times New Roman" w:hAnsi="Times New Roman"/>
          <w:sz w:val="20"/>
          <w:szCs w:val="22"/>
          <w:lang w:val="en-US"/>
        </w:rPr>
      </w:pPr>
      <w:r w:rsidRPr="00005453">
        <w:rPr>
          <w:rFonts w:ascii="Times New Roman" w:hAnsi="Times New Roman"/>
          <w:sz w:val="20"/>
          <w:szCs w:val="22"/>
          <w:lang w:val="en-US"/>
        </w:rPr>
        <w:t xml:space="preserve">KONSOLİDE OLMAYAN FİNANSAL TABLOLAR VE </w:t>
      </w:r>
    </w:p>
    <w:p w14:paraId="536C22C5" w14:textId="77777777" w:rsidR="007E5A76" w:rsidRPr="00005453" w:rsidRDefault="007E5A76" w:rsidP="007E5A76">
      <w:pPr>
        <w:pStyle w:val="Title"/>
        <w:tabs>
          <w:tab w:val="clear" w:pos="4395"/>
          <w:tab w:val="center" w:pos="5245"/>
        </w:tabs>
        <w:ind w:left="709" w:right="283"/>
        <w:jc w:val="left"/>
        <w:rPr>
          <w:sz w:val="28"/>
          <w:szCs w:val="28"/>
        </w:rPr>
        <w:sectPr w:rsidR="007E5A76" w:rsidRPr="00005453"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005453">
        <w:rPr>
          <w:rFonts w:ascii="Times New Roman" w:hAnsi="Times New Roman"/>
          <w:sz w:val="20"/>
          <w:szCs w:val="22"/>
          <w:lang w:val="en-US"/>
        </w:rPr>
        <w:t>FİNANSAL TABLOLARA İLİŞKİN DİPNOTLAR</w:t>
      </w:r>
    </w:p>
    <w:p w14:paraId="5D648EFC" w14:textId="77777777" w:rsidR="006E7511" w:rsidRPr="00005453" w:rsidRDefault="006E7511" w:rsidP="006E7511">
      <w:pPr>
        <w:autoSpaceDE w:val="0"/>
        <w:autoSpaceDN w:val="0"/>
        <w:adjustRightInd w:val="0"/>
        <w:jc w:val="both"/>
      </w:pPr>
      <w:bookmarkStart w:id="1" w:name="_Hlk40817245"/>
    </w:p>
    <w:p w14:paraId="75CE50FB" w14:textId="77777777" w:rsidR="006E7511" w:rsidRPr="00005453" w:rsidRDefault="006E7511" w:rsidP="006E7511">
      <w:pPr>
        <w:autoSpaceDE w:val="0"/>
        <w:autoSpaceDN w:val="0"/>
        <w:adjustRightInd w:val="0"/>
        <w:jc w:val="both"/>
      </w:pPr>
    </w:p>
    <w:p w14:paraId="07059B8F" w14:textId="77777777" w:rsidR="006E7511" w:rsidRPr="00005453" w:rsidRDefault="006E7511" w:rsidP="006E7511">
      <w:pPr>
        <w:pStyle w:val="Text"/>
        <w:spacing w:line="240" w:lineRule="auto"/>
        <w:jc w:val="center"/>
        <w:rPr>
          <w:rFonts w:ascii="Times New Roman" w:hAnsi="Times New Roman"/>
          <w:b/>
          <w:sz w:val="20"/>
          <w:lang w:val="tr-TR"/>
        </w:rPr>
      </w:pPr>
    </w:p>
    <w:p w14:paraId="7D2D5F7D" w14:textId="77777777" w:rsidR="006E7511" w:rsidRPr="00005453" w:rsidRDefault="006E7511" w:rsidP="006E7511">
      <w:pPr>
        <w:pStyle w:val="Text"/>
        <w:spacing w:line="240" w:lineRule="auto"/>
        <w:jc w:val="center"/>
        <w:rPr>
          <w:rFonts w:ascii="Times New Roman" w:hAnsi="Times New Roman"/>
          <w:b/>
          <w:sz w:val="20"/>
          <w:lang w:val="tr-TR"/>
        </w:rPr>
      </w:pPr>
      <w:r w:rsidRPr="00005453">
        <w:rPr>
          <w:rFonts w:ascii="Times New Roman" w:hAnsi="Times New Roman"/>
          <w:b/>
          <w:sz w:val="20"/>
          <w:lang w:val="tr-TR"/>
        </w:rPr>
        <w:t>BAĞIMSIZ DENETÇİ RAPORU</w:t>
      </w:r>
    </w:p>
    <w:p w14:paraId="50B5347F" w14:textId="77777777" w:rsidR="006E7511" w:rsidRPr="00005453" w:rsidRDefault="006E7511" w:rsidP="006E7511">
      <w:pPr>
        <w:pStyle w:val="Text"/>
        <w:spacing w:line="240" w:lineRule="auto"/>
        <w:jc w:val="center"/>
        <w:rPr>
          <w:rFonts w:ascii="Times New Roman" w:hAnsi="Times New Roman"/>
          <w:b/>
          <w:sz w:val="20"/>
          <w:lang w:val="tr-TR"/>
        </w:rPr>
      </w:pPr>
    </w:p>
    <w:p w14:paraId="52ABD02A" w14:textId="77777777" w:rsidR="006E7511" w:rsidRPr="00005453" w:rsidRDefault="006E7511" w:rsidP="006E7511">
      <w:pPr>
        <w:pStyle w:val="Text"/>
        <w:tabs>
          <w:tab w:val="left" w:pos="540"/>
        </w:tabs>
        <w:spacing w:line="240" w:lineRule="auto"/>
        <w:rPr>
          <w:rFonts w:ascii="Times New Roman" w:hAnsi="Times New Roman"/>
          <w:b/>
          <w:color w:val="auto"/>
          <w:sz w:val="20"/>
          <w:lang w:val="tr-TR"/>
        </w:rPr>
      </w:pPr>
      <w:r w:rsidRPr="00005453">
        <w:rPr>
          <w:rFonts w:ascii="Times New Roman" w:hAnsi="Times New Roman"/>
          <w:b/>
          <w:color w:val="auto"/>
          <w:sz w:val="20"/>
          <w:lang w:val="tr-TR"/>
        </w:rPr>
        <w:t>Kuveyt Türk Katılım Bankası A.Ş. Genel Kurulu’na</w:t>
      </w:r>
    </w:p>
    <w:p w14:paraId="245DC7E8" w14:textId="77777777" w:rsidR="006E7511" w:rsidRPr="00005453" w:rsidRDefault="006E7511" w:rsidP="006E7511">
      <w:pPr>
        <w:pStyle w:val="Text"/>
        <w:tabs>
          <w:tab w:val="left" w:pos="540"/>
        </w:tabs>
        <w:spacing w:line="240" w:lineRule="auto"/>
        <w:rPr>
          <w:rFonts w:ascii="Times New Roman" w:hAnsi="Times New Roman"/>
          <w:b/>
          <w:sz w:val="20"/>
          <w:lang w:val="tr-TR"/>
        </w:rPr>
      </w:pPr>
    </w:p>
    <w:p w14:paraId="3CCAD14B" w14:textId="77777777" w:rsidR="006E7511" w:rsidRPr="00005453" w:rsidRDefault="006E7511" w:rsidP="006E7511">
      <w:pPr>
        <w:pStyle w:val="Text"/>
        <w:spacing w:line="240" w:lineRule="auto"/>
        <w:rPr>
          <w:rFonts w:ascii="Times New Roman" w:hAnsi="Times New Roman"/>
          <w:b/>
          <w:sz w:val="20"/>
          <w:lang w:val="tr-TR"/>
        </w:rPr>
      </w:pPr>
      <w:r w:rsidRPr="00005453">
        <w:rPr>
          <w:rFonts w:ascii="Times New Roman" w:hAnsi="Times New Roman"/>
          <w:b/>
          <w:sz w:val="20"/>
          <w:lang w:val="tr-TR"/>
        </w:rPr>
        <w:t xml:space="preserve">A) </w:t>
      </w:r>
      <w:r w:rsidRPr="00005453">
        <w:rPr>
          <w:rFonts w:ascii="Times New Roman" w:hAnsi="Times New Roman"/>
          <w:b/>
          <w:sz w:val="20"/>
          <w:lang w:val="tr-TR"/>
        </w:rPr>
        <w:tab/>
        <w:t>Finansal Tabloların Bağımsız Denetimi</w:t>
      </w:r>
    </w:p>
    <w:p w14:paraId="4BCC050F" w14:textId="77777777" w:rsidR="006E7511" w:rsidRPr="00005453" w:rsidRDefault="006E7511" w:rsidP="006E7511">
      <w:pPr>
        <w:pStyle w:val="Text"/>
        <w:spacing w:line="240" w:lineRule="auto"/>
        <w:rPr>
          <w:rFonts w:ascii="Times New Roman" w:hAnsi="Times New Roman"/>
          <w:b/>
          <w:sz w:val="20"/>
          <w:lang w:val="tr-TR"/>
        </w:rPr>
      </w:pPr>
    </w:p>
    <w:p w14:paraId="6CEAEFFB" w14:textId="77777777" w:rsidR="006E7511" w:rsidRPr="00005453" w:rsidRDefault="006E7511" w:rsidP="006E7511">
      <w:pPr>
        <w:pStyle w:val="Text"/>
        <w:numPr>
          <w:ilvl w:val="0"/>
          <w:numId w:val="32"/>
        </w:numPr>
        <w:snapToGrid w:val="0"/>
        <w:spacing w:line="240" w:lineRule="auto"/>
        <w:ind w:left="0" w:firstLine="0"/>
        <w:rPr>
          <w:rFonts w:ascii="Times New Roman" w:hAnsi="Times New Roman"/>
          <w:b/>
          <w:color w:val="auto"/>
          <w:sz w:val="20"/>
          <w:lang w:val="tr-TR"/>
        </w:rPr>
      </w:pPr>
      <w:r w:rsidRPr="00005453">
        <w:rPr>
          <w:rFonts w:ascii="Times New Roman" w:hAnsi="Times New Roman"/>
          <w:b/>
          <w:color w:val="auto"/>
          <w:sz w:val="20"/>
          <w:lang w:val="tr-TR"/>
        </w:rPr>
        <w:t>Görüş</w:t>
      </w:r>
    </w:p>
    <w:p w14:paraId="0C0560BB" w14:textId="77777777" w:rsidR="006E7511" w:rsidRPr="00005453" w:rsidRDefault="006E7511" w:rsidP="006E7511">
      <w:pPr>
        <w:pStyle w:val="Text"/>
        <w:spacing w:line="240" w:lineRule="auto"/>
        <w:rPr>
          <w:rFonts w:ascii="Times New Roman" w:hAnsi="Times New Roman"/>
          <w:b/>
          <w:color w:val="auto"/>
          <w:sz w:val="20"/>
          <w:lang w:val="tr-TR"/>
        </w:rPr>
      </w:pPr>
    </w:p>
    <w:p w14:paraId="455C92D1" w14:textId="77777777" w:rsidR="006E7511" w:rsidRPr="00005453" w:rsidRDefault="006E7511" w:rsidP="006E7511">
      <w:pPr>
        <w:pStyle w:val="Text"/>
        <w:spacing w:line="240" w:lineRule="auto"/>
        <w:ind w:right="-283"/>
        <w:rPr>
          <w:rFonts w:ascii="Times New Roman" w:hAnsi="Times New Roman"/>
          <w:sz w:val="20"/>
        </w:rPr>
      </w:pPr>
      <w:bookmarkStart w:id="2" w:name="_Hlk64019538"/>
      <w:r w:rsidRPr="00005453">
        <w:rPr>
          <w:rFonts w:ascii="Times New Roman" w:hAnsi="Times New Roman"/>
          <w:sz w:val="20"/>
        </w:rPr>
        <w:t>Kuveyt Türk Katılım Bankası A.Ş.’nin (“Banka”) 31 Aralık 2024 tarihli konsolide olmayan bilançosu ile aynı tarihte sona eren hesap dönemine ait; konsolide olmayan kar veya zarar tablosu, konsolide olmayan kar veya zarar ve diğer kapsamlı gelir tablosu, konsolide olmayan özkaynak değişim tablosu ve konsolide olmayan nakit akış tablosu ile önemli muhasebe politikalarının özeti de dahil olmak üzere finansal tablo dipnotlarından oluşan finansal tablolarını denetlemiş bulunuyoruz.</w:t>
      </w:r>
    </w:p>
    <w:p w14:paraId="0B792E33" w14:textId="77777777" w:rsidR="006E7511" w:rsidRPr="00005453" w:rsidRDefault="006E7511" w:rsidP="006E7511">
      <w:pPr>
        <w:pStyle w:val="Text"/>
        <w:ind w:right="-283"/>
        <w:rPr>
          <w:rFonts w:ascii="Times New Roman" w:hAnsi="Times New Roman"/>
          <w:sz w:val="20"/>
        </w:rPr>
      </w:pPr>
    </w:p>
    <w:p w14:paraId="42EE1EF0"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Görüşümüze göre, ilişikteki konsolide olmayan finansal tablolar Banka’nın 31 Aralık 2024 tarihi itibarıyla finansal durumunu ve aynı tarihte sona eren hesap dönemine ait finansal performansını ve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Mevzuatı”na uygun olarak tüm önemli yönleriyle gerçeğe uygun bir biçimde sunmaktadır.</w:t>
      </w:r>
    </w:p>
    <w:p w14:paraId="4425B0CF"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74FCC3F2" w14:textId="77777777" w:rsidR="006E7511" w:rsidRPr="00005453" w:rsidRDefault="006E7511" w:rsidP="006E7511">
      <w:pPr>
        <w:pStyle w:val="Text"/>
        <w:numPr>
          <w:ilvl w:val="0"/>
          <w:numId w:val="32"/>
        </w:numPr>
        <w:snapToGrid w:val="0"/>
        <w:spacing w:line="240" w:lineRule="auto"/>
        <w:ind w:left="0" w:right="-283" w:firstLine="0"/>
        <w:rPr>
          <w:rFonts w:ascii="Times New Roman" w:hAnsi="Times New Roman"/>
          <w:b/>
          <w:color w:val="auto"/>
          <w:sz w:val="20"/>
          <w:lang w:val="tr-TR"/>
        </w:rPr>
      </w:pPr>
      <w:r w:rsidRPr="00005453">
        <w:rPr>
          <w:rFonts w:ascii="Times New Roman" w:hAnsi="Times New Roman"/>
          <w:b/>
          <w:color w:val="auto"/>
          <w:sz w:val="20"/>
          <w:lang w:val="tr-TR"/>
        </w:rPr>
        <w:t>Görüşün Dayanağı</w:t>
      </w:r>
      <w:bookmarkEnd w:id="2"/>
    </w:p>
    <w:p w14:paraId="1FF61772"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EEE460F"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 xml:space="preserve">Yaptığımız bağımsız denetim, BDDK tarafından 2 Nisan 2015 tarihli 29314 sayılı </w:t>
      </w:r>
      <w:proofErr w:type="gramStart"/>
      <w:r w:rsidRPr="00005453">
        <w:rPr>
          <w:rFonts w:ascii="Times New Roman" w:hAnsi="Times New Roman"/>
          <w:color w:val="auto"/>
          <w:sz w:val="20"/>
          <w:lang w:val="tr-TR"/>
        </w:rPr>
        <w:t>Resmi</w:t>
      </w:r>
      <w:proofErr w:type="gramEnd"/>
      <w:r w:rsidRPr="00005453">
        <w:rPr>
          <w:rFonts w:ascii="Times New Roman" w:hAnsi="Times New Roman"/>
          <w:color w:val="auto"/>
          <w:sz w:val="20"/>
          <w:lang w:val="tr-TR"/>
        </w:rPr>
        <w:t xml:space="preserve">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56027887"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7D6AD08"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41B8EB84"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E2FF819"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414DCC6C"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0A81018"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A7E3FC9"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4861DE68"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D9E1432"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479A8E4"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A510DDE"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028DCBBA"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14CD5C64"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55E1630"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5860036"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0C2EA1E"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709C33D9"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37DF974"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4B9893AF"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7413A7EA"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5BEFBF31"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2ECB323"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02D7A718" w14:textId="77777777" w:rsidR="006E7511" w:rsidRPr="00005453" w:rsidRDefault="006E7511" w:rsidP="006E7511">
      <w:pPr>
        <w:pStyle w:val="Text"/>
        <w:numPr>
          <w:ilvl w:val="0"/>
          <w:numId w:val="32"/>
        </w:numPr>
        <w:snapToGrid w:val="0"/>
        <w:spacing w:line="240" w:lineRule="auto"/>
        <w:ind w:left="0" w:right="-283" w:firstLine="0"/>
        <w:rPr>
          <w:rFonts w:ascii="Times New Roman" w:hAnsi="Times New Roman"/>
          <w:b/>
          <w:color w:val="auto"/>
          <w:sz w:val="20"/>
          <w:lang w:val="tr-TR"/>
        </w:rPr>
      </w:pPr>
      <w:r w:rsidRPr="00005453">
        <w:rPr>
          <w:rFonts w:ascii="Times New Roman" w:hAnsi="Times New Roman"/>
          <w:b/>
          <w:color w:val="auto"/>
          <w:sz w:val="20"/>
          <w:lang w:val="tr-TR"/>
        </w:rPr>
        <w:lastRenderedPageBreak/>
        <w:t>Kilit Denetim Konuları</w:t>
      </w:r>
    </w:p>
    <w:p w14:paraId="2631EFEE"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4CE3762"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Kilit denetim konuları, mesleki muhakememize göre cari döneme ait finansal tabloların bağımsız denetiminde</w:t>
      </w:r>
    </w:p>
    <w:p w14:paraId="562F84BD" w14:textId="77777777" w:rsidR="006E7511" w:rsidRPr="00005453" w:rsidRDefault="006E7511" w:rsidP="006E7511">
      <w:pPr>
        <w:pStyle w:val="Text"/>
        <w:spacing w:line="240" w:lineRule="auto"/>
        <w:ind w:right="-283"/>
        <w:rPr>
          <w:rFonts w:ascii="Times New Roman" w:hAnsi="Times New Roman"/>
          <w:color w:val="auto"/>
          <w:sz w:val="20"/>
          <w:lang w:val="tr-TR"/>
        </w:rPr>
      </w:pPr>
      <w:proofErr w:type="gramStart"/>
      <w:r w:rsidRPr="00005453">
        <w:rPr>
          <w:rFonts w:ascii="Times New Roman" w:hAnsi="Times New Roman"/>
          <w:color w:val="auto"/>
          <w:sz w:val="20"/>
          <w:lang w:val="tr-TR"/>
        </w:rPr>
        <w:t>en</w:t>
      </w:r>
      <w:proofErr w:type="gramEnd"/>
      <w:r w:rsidRPr="00005453">
        <w:rPr>
          <w:rFonts w:ascii="Times New Roman" w:hAnsi="Times New Roman"/>
          <w:color w:val="auto"/>
          <w:sz w:val="20"/>
          <w:lang w:val="tr-TR"/>
        </w:rPr>
        <w:t xml:space="preserve"> çok önem arz eden konulardır. Kilit denetim konuları, bir bütün olarak finansal tabloların bağımsız denetimi</w:t>
      </w:r>
    </w:p>
    <w:p w14:paraId="78043434" w14:textId="77777777" w:rsidR="006E7511" w:rsidRPr="00005453" w:rsidRDefault="006E7511" w:rsidP="006E7511">
      <w:pPr>
        <w:pStyle w:val="Text"/>
        <w:spacing w:line="240" w:lineRule="auto"/>
        <w:ind w:right="-283"/>
        <w:rPr>
          <w:rFonts w:ascii="Times New Roman" w:hAnsi="Times New Roman"/>
          <w:color w:val="auto"/>
          <w:sz w:val="20"/>
          <w:lang w:val="tr-TR"/>
        </w:rPr>
      </w:pPr>
      <w:proofErr w:type="gramStart"/>
      <w:r w:rsidRPr="00005453">
        <w:rPr>
          <w:rFonts w:ascii="Times New Roman" w:hAnsi="Times New Roman"/>
          <w:color w:val="auto"/>
          <w:sz w:val="20"/>
          <w:lang w:val="tr-TR"/>
        </w:rPr>
        <w:t>çerçevesinde</w:t>
      </w:r>
      <w:proofErr w:type="gramEnd"/>
      <w:r w:rsidRPr="00005453">
        <w:rPr>
          <w:rFonts w:ascii="Times New Roman" w:hAnsi="Times New Roman"/>
          <w:color w:val="auto"/>
          <w:sz w:val="20"/>
          <w:lang w:val="tr-TR"/>
        </w:rPr>
        <w:t xml:space="preserve"> ve finansal tablolara ilişkin görüşümüzün oluşturulmasında ele alınmış olup, bu konular hakkında</w:t>
      </w:r>
    </w:p>
    <w:p w14:paraId="54539E29" w14:textId="77777777" w:rsidR="006E7511" w:rsidRPr="00005453" w:rsidRDefault="006E7511" w:rsidP="006E7511">
      <w:pPr>
        <w:pStyle w:val="Text"/>
        <w:spacing w:line="240" w:lineRule="auto"/>
        <w:ind w:right="-283"/>
        <w:rPr>
          <w:rFonts w:ascii="Times New Roman" w:hAnsi="Times New Roman"/>
          <w:color w:val="auto"/>
          <w:sz w:val="20"/>
          <w:lang w:val="tr-TR"/>
        </w:rPr>
      </w:pPr>
      <w:proofErr w:type="gramStart"/>
      <w:r w:rsidRPr="00005453">
        <w:rPr>
          <w:rFonts w:ascii="Times New Roman" w:hAnsi="Times New Roman"/>
          <w:color w:val="auto"/>
          <w:sz w:val="20"/>
          <w:lang w:val="tr-TR"/>
        </w:rPr>
        <w:t>ayrı</w:t>
      </w:r>
      <w:proofErr w:type="gramEnd"/>
      <w:r w:rsidRPr="00005453">
        <w:rPr>
          <w:rFonts w:ascii="Times New Roman" w:hAnsi="Times New Roman"/>
          <w:color w:val="auto"/>
          <w:sz w:val="20"/>
          <w:lang w:val="tr-TR"/>
        </w:rPr>
        <w:t xml:space="preserve"> bir görüş bildirmiyoruz.</w:t>
      </w:r>
    </w:p>
    <w:p w14:paraId="26E75AB2" w14:textId="77777777" w:rsidR="006E7511" w:rsidRPr="00005453" w:rsidRDefault="006E7511" w:rsidP="006E7511">
      <w:pPr>
        <w:pStyle w:val="Text"/>
        <w:spacing w:line="240" w:lineRule="auto"/>
        <w:rPr>
          <w:rFonts w:ascii="Times New Roman" w:hAnsi="Times New Roman"/>
          <w:color w:val="auto"/>
          <w:sz w:val="20"/>
          <w:lang w:val="tr-TR"/>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075"/>
      </w:tblGrid>
      <w:tr w:rsidR="006E7511" w:rsidRPr="00005453" w14:paraId="1A1474BD" w14:textId="77777777" w:rsidTr="007A3751">
        <w:trPr>
          <w:trHeight w:val="268"/>
        </w:trPr>
        <w:tc>
          <w:tcPr>
            <w:tcW w:w="4394" w:type="dxa"/>
            <w:tcBorders>
              <w:top w:val="single" w:sz="4" w:space="0" w:color="auto"/>
              <w:left w:val="single" w:sz="4" w:space="0" w:color="auto"/>
              <w:bottom w:val="single" w:sz="4" w:space="0" w:color="auto"/>
              <w:right w:val="single" w:sz="4" w:space="0" w:color="auto"/>
            </w:tcBorders>
            <w:hideMark/>
          </w:tcPr>
          <w:p w14:paraId="148F234D" w14:textId="77777777" w:rsidR="006E7511" w:rsidRPr="00005453" w:rsidRDefault="006E7511" w:rsidP="007A3751">
            <w:pPr>
              <w:autoSpaceDE w:val="0"/>
              <w:autoSpaceDN w:val="0"/>
              <w:adjustRightInd w:val="0"/>
              <w:jc w:val="both"/>
              <w:rPr>
                <w:b/>
              </w:rPr>
            </w:pPr>
            <w:bookmarkStart w:id="3" w:name="_Hlk64019172"/>
            <w:r w:rsidRPr="00005453">
              <w:rPr>
                <w:b/>
              </w:rPr>
              <w:t>Kilit Denetim Konusu</w:t>
            </w:r>
          </w:p>
          <w:p w14:paraId="524A0322" w14:textId="77777777" w:rsidR="006E7511" w:rsidRPr="00005453" w:rsidRDefault="006E7511" w:rsidP="007A3751">
            <w:pPr>
              <w:autoSpaceDE w:val="0"/>
              <w:autoSpaceDN w:val="0"/>
              <w:adjustRightInd w:val="0"/>
              <w:jc w:val="both"/>
              <w:rPr>
                <w:b/>
              </w:rPr>
            </w:pPr>
          </w:p>
        </w:tc>
        <w:tc>
          <w:tcPr>
            <w:tcW w:w="5075" w:type="dxa"/>
            <w:tcBorders>
              <w:top w:val="single" w:sz="4" w:space="0" w:color="auto"/>
              <w:left w:val="single" w:sz="4" w:space="0" w:color="auto"/>
              <w:bottom w:val="single" w:sz="4" w:space="0" w:color="auto"/>
              <w:right w:val="single" w:sz="4" w:space="0" w:color="auto"/>
            </w:tcBorders>
            <w:hideMark/>
          </w:tcPr>
          <w:p w14:paraId="7C671819" w14:textId="77777777" w:rsidR="006E7511" w:rsidRPr="00005453" w:rsidRDefault="006E7511" w:rsidP="007A3751">
            <w:pPr>
              <w:autoSpaceDE w:val="0"/>
              <w:autoSpaceDN w:val="0"/>
              <w:adjustRightInd w:val="0"/>
              <w:jc w:val="both"/>
              <w:rPr>
                <w:b/>
              </w:rPr>
            </w:pPr>
            <w:r w:rsidRPr="00005453">
              <w:rPr>
                <w:b/>
              </w:rPr>
              <w:t>Denetimde bu konu nasıl ele alındı</w:t>
            </w:r>
          </w:p>
        </w:tc>
      </w:tr>
      <w:tr w:rsidR="006E7511" w:rsidRPr="00005453" w14:paraId="57577F23" w14:textId="77777777" w:rsidTr="007A3751">
        <w:trPr>
          <w:trHeight w:val="1094"/>
        </w:trPr>
        <w:tc>
          <w:tcPr>
            <w:tcW w:w="4394" w:type="dxa"/>
            <w:tcBorders>
              <w:top w:val="single" w:sz="4" w:space="0" w:color="auto"/>
              <w:left w:val="single" w:sz="4" w:space="0" w:color="auto"/>
              <w:bottom w:val="single" w:sz="4" w:space="0" w:color="auto"/>
              <w:right w:val="single" w:sz="4" w:space="0" w:color="auto"/>
            </w:tcBorders>
          </w:tcPr>
          <w:p w14:paraId="1DCF41AA" w14:textId="77777777" w:rsidR="006E7511" w:rsidRPr="00005453" w:rsidRDefault="006E7511" w:rsidP="007A3751">
            <w:pPr>
              <w:autoSpaceDE w:val="0"/>
              <w:autoSpaceDN w:val="0"/>
              <w:adjustRightInd w:val="0"/>
              <w:jc w:val="both"/>
              <w:rPr>
                <w:b/>
                <w:i/>
                <w:iCs/>
              </w:rPr>
            </w:pPr>
            <w:r w:rsidRPr="00005453">
              <w:rPr>
                <w:b/>
                <w:i/>
                <w:iCs/>
              </w:rPr>
              <w:t>Kredilere ilişkin TFRS 9 “Finansal Araçlar Standardı” çerçevesinde belirlenen değer düşüklüğü</w:t>
            </w:r>
          </w:p>
          <w:p w14:paraId="3316E9C8" w14:textId="77777777" w:rsidR="006E7511" w:rsidRPr="00005453" w:rsidRDefault="006E7511" w:rsidP="007A3751">
            <w:pPr>
              <w:autoSpaceDE w:val="0"/>
              <w:autoSpaceDN w:val="0"/>
              <w:adjustRightInd w:val="0"/>
              <w:jc w:val="both"/>
              <w:rPr>
                <w:b/>
                <w:iCs/>
              </w:rPr>
            </w:pPr>
          </w:p>
          <w:p w14:paraId="11135B07"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Kredilere ilişkin değer düşüklüğü yönetim için önemli bir yargı alanıdır. Banka’nın 31 Aralık 2024 tarihli konsolide olmayan finansal tablolarında aktifte %51 paya sahip olan krediler ve finansal kiralamalar toplam 434,742,175 bin TL’dir ve buna istinaden ayrılmış olan toplam 12,981,772 bin TL tutarında beklenen zarar karşılığı bulunmaktadır.</w:t>
            </w:r>
          </w:p>
          <w:p w14:paraId="2E97C5F4" w14:textId="77777777" w:rsidR="006E7511" w:rsidRPr="00005453" w:rsidRDefault="006E7511" w:rsidP="007A3751">
            <w:pPr>
              <w:autoSpaceDE w:val="0"/>
              <w:autoSpaceDN w:val="0"/>
              <w:adjustRightInd w:val="0"/>
              <w:jc w:val="both"/>
              <w:rPr>
                <w:snapToGrid w:val="0"/>
                <w:lang w:eastAsia="de-DE"/>
              </w:rPr>
            </w:pPr>
          </w:p>
          <w:p w14:paraId="0F91F424"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Banka, 22 Haziran 2016 tarih ve 29750 sayılı </w:t>
            </w:r>
            <w:proofErr w:type="gramStart"/>
            <w:r w:rsidRPr="00005453">
              <w:rPr>
                <w:snapToGrid w:val="0"/>
                <w:lang w:eastAsia="de-DE"/>
              </w:rPr>
              <w:t>Resmi</w:t>
            </w:r>
            <w:proofErr w:type="gramEnd"/>
            <w:r w:rsidRPr="00005453">
              <w:rPr>
                <w:snapToGrid w:val="0"/>
                <w:lang w:eastAsia="de-DE"/>
              </w:rPr>
              <w:t xml:space="preserve"> Gazete’de yayımlanmış olan “Kredilerin Sınıflandırılması ve Bunlar İçin Ayrılacak Karşılıklara İlişkin Usul ve Esaslar Hakkında Yönetmelik” uyarınca 1 Ocak 2018 tarihinden itibaren değer düşüklüğü karşılıklarını TFRS 9 hükümlerine uygun olarak ayırmaktadır. Uygulanan muhasebe politikaları Üçüncü Bölüm 1.5 nolu dipnotta detaylı açıklanmıştır. Beklenen kredi zararları tahmini tarafsız, olasılıklara göre ağırlıklandırılmış ve geçmiş olaylar, mevcut şartlar ve gelecekteki ekonomik şartlara ilişkin tahminler hakkında desteklenebilir bilgiler içermelidir.</w:t>
            </w:r>
          </w:p>
          <w:p w14:paraId="6D4FBC07"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 </w:t>
            </w:r>
          </w:p>
          <w:p w14:paraId="26ED462A"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Banka,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 </w:t>
            </w:r>
          </w:p>
          <w:p w14:paraId="77A98934" w14:textId="77777777" w:rsidR="006E7511" w:rsidRPr="00005453" w:rsidRDefault="006E7511" w:rsidP="007A3751">
            <w:pPr>
              <w:autoSpaceDE w:val="0"/>
              <w:autoSpaceDN w:val="0"/>
              <w:adjustRightInd w:val="0"/>
              <w:jc w:val="both"/>
              <w:rPr>
                <w:snapToGrid w:val="0"/>
                <w:lang w:eastAsia="de-DE"/>
              </w:rPr>
            </w:pPr>
          </w:p>
          <w:p w14:paraId="3E0188D3"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TFRS 9’da belirtilen gereklilikleri yerine getirmeme durumu Banka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w:t>
            </w:r>
            <w:proofErr w:type="gramStart"/>
            <w:r w:rsidRPr="00005453">
              <w:rPr>
                <w:snapToGrid w:val="0"/>
                <w:lang w:eastAsia="de-DE"/>
              </w:rPr>
              <w:t>olarak  değerlendirilmektedir</w:t>
            </w:r>
            <w:proofErr w:type="gramEnd"/>
            <w:r w:rsidRPr="00005453">
              <w:rPr>
                <w:snapToGrid w:val="0"/>
                <w:lang w:eastAsia="de-DE"/>
              </w:rPr>
              <w:t>.</w:t>
            </w:r>
          </w:p>
          <w:p w14:paraId="5BEAE715" w14:textId="77777777" w:rsidR="006E7511" w:rsidRPr="00005453" w:rsidRDefault="006E7511" w:rsidP="007A3751">
            <w:pPr>
              <w:autoSpaceDE w:val="0"/>
              <w:autoSpaceDN w:val="0"/>
              <w:adjustRightInd w:val="0"/>
              <w:jc w:val="both"/>
              <w:rPr>
                <w:snapToGrid w:val="0"/>
                <w:lang w:eastAsia="de-DE"/>
              </w:rPr>
            </w:pPr>
          </w:p>
          <w:p w14:paraId="5DB00810" w14:textId="77777777" w:rsidR="006E7511" w:rsidRPr="00005453" w:rsidRDefault="006E7511" w:rsidP="007A3751">
            <w:pPr>
              <w:autoSpaceDE w:val="0"/>
              <w:autoSpaceDN w:val="0"/>
              <w:adjustRightInd w:val="0"/>
              <w:jc w:val="both"/>
              <w:rPr>
                <w:b/>
              </w:rPr>
            </w:pPr>
            <w:r w:rsidRPr="00005453">
              <w:rPr>
                <w:snapToGrid w:val="0"/>
                <w:lang w:eastAsia="de-DE"/>
              </w:rPr>
              <w:t>Finansal tablolardaki krediler ve alacaklar için ayrılan karşılıklara ilişkin bilgiler Bölüm 5, 1.5 numaralı dipnotta açıklanmıştır.</w:t>
            </w:r>
          </w:p>
        </w:tc>
        <w:tc>
          <w:tcPr>
            <w:tcW w:w="5075" w:type="dxa"/>
            <w:tcBorders>
              <w:top w:val="single" w:sz="4" w:space="0" w:color="auto"/>
              <w:left w:val="single" w:sz="4" w:space="0" w:color="auto"/>
              <w:bottom w:val="single" w:sz="4" w:space="0" w:color="auto"/>
              <w:right w:val="single" w:sz="4" w:space="0" w:color="auto"/>
            </w:tcBorders>
          </w:tcPr>
          <w:p w14:paraId="54C16224"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snapToGrid w:val="0"/>
                <w:lang w:eastAsia="de-DE"/>
              </w:rPr>
              <w:t>Denetim çalışmalarımızın bir parçası olarak aşağıdaki prosedürler gerçekleştirilmiştir:</w:t>
            </w:r>
          </w:p>
          <w:p w14:paraId="19DEEAFA"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p>
          <w:p w14:paraId="17E941E1"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snapToGrid w:val="0"/>
                <w:lang w:eastAsia="de-DE"/>
              </w:rPr>
              <w:t xml:space="preserve">Kredilerin sınıflandırılması ile değer düşüklüğüne uğradığının tespiti ve değer düşüklüğü hesaplamalarına ilişkin Banka'nın uyguladığı kilit kontrollerin tasarımı ve uygulanması ile faaliyet etkinliği değerlendirilerek test edilmiştir. Bu çalışmalarımıza dair prosedürlere bilgi sistemleri uzmanlarımız da katılmıştır. </w:t>
            </w:r>
          </w:p>
          <w:p w14:paraId="6A910C08"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p>
          <w:p w14:paraId="5987910E"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Örneklem finansal araçlar için, yönetimin muhasebe politikasını ve finansal aracın sınıflandırmasını değerlendirmek için ilgili sözleşme şartları okunmuş ve analiz edilmiştir.</w:t>
            </w:r>
          </w:p>
          <w:p w14:paraId="40D4B37B" w14:textId="77777777" w:rsidR="006E7511" w:rsidRPr="00005453" w:rsidRDefault="006E7511" w:rsidP="007A3751">
            <w:pPr>
              <w:autoSpaceDE w:val="0"/>
              <w:autoSpaceDN w:val="0"/>
              <w:adjustRightInd w:val="0"/>
              <w:jc w:val="both"/>
              <w:rPr>
                <w:snapToGrid w:val="0"/>
                <w:lang w:eastAsia="de-DE"/>
              </w:rPr>
            </w:pPr>
          </w:p>
          <w:p w14:paraId="3AF65704"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snapToGrid w:val="0"/>
                <w:lang w:eastAsia="de-DE"/>
              </w:rPr>
              <w:t xml:space="preserve">Kredilerin değer düşüklüğüne uğrayıp uğramadığının tespiti ve alacağın beklenen zarar karşılığının zamanında ve mevzuata uygun olarak tesis edilip edilmediğini saptamak için kredi ve alacaklardan seçtiğimiz örnekler denetim testlerine tabi tutularak kredi inceleme çalışmaları yapılmıştır. </w:t>
            </w:r>
          </w:p>
          <w:p w14:paraId="17750C6C" w14:textId="77777777" w:rsidR="006E7511" w:rsidRPr="00005453" w:rsidRDefault="006E7511" w:rsidP="007A3751">
            <w:pPr>
              <w:autoSpaceDE w:val="0"/>
              <w:autoSpaceDN w:val="0"/>
              <w:adjustRightInd w:val="0"/>
              <w:jc w:val="both"/>
              <w:rPr>
                <w:snapToGrid w:val="0"/>
                <w:lang w:eastAsia="de-DE"/>
              </w:rPr>
            </w:pPr>
          </w:p>
          <w:p w14:paraId="006A4828"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Girdilerin ve varsayımların makul olup olmadığını, varsayımlar arasındaki ilişkiyi ve varsayımların birbirine bağlı ve içlerinde tutarlı olup olmadığını, varsayımların uygun bir şekilde yansıtılıp yansıtılmadığını,  piyasa bilgileri ve tahsisatların tüm muhasebe tahminleri dahil olmak üzere diğer varsayımlarla birlikte toplu olarak değerlendirildiğinde makul görünüp görünmediğini dikkate alarak beklenen kredi zararı hesaplamasının her aşaması için yönetim tarafından kullanılan ilgili girdiler ve varsayımlar test edilmiştir.</w:t>
            </w:r>
          </w:p>
          <w:p w14:paraId="085ECD7F"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 </w:t>
            </w:r>
          </w:p>
          <w:p w14:paraId="37FE45FF"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Önemli parametrelerin tamlığını ve doğruluğunu görebilmek için geçmiş zarar verileri test edilmiştir. </w:t>
            </w:r>
          </w:p>
          <w:p w14:paraId="30D02A35" w14:textId="77777777" w:rsidR="006E7511" w:rsidRPr="00005453" w:rsidRDefault="006E7511" w:rsidP="007A3751">
            <w:pPr>
              <w:autoSpaceDE w:val="0"/>
              <w:autoSpaceDN w:val="0"/>
              <w:adjustRightInd w:val="0"/>
              <w:jc w:val="both"/>
              <w:rPr>
                <w:snapToGrid w:val="0"/>
                <w:lang w:eastAsia="de-DE"/>
              </w:rPr>
            </w:pPr>
            <w:r w:rsidRPr="00005453">
              <w:rPr>
                <w:snapToGrid w:val="0"/>
                <w:lang w:eastAsia="de-DE"/>
              </w:rPr>
              <w:t xml:space="preserve">Modelin uygulanmasını sağlayan ilgili girdiler ve beklenen kredi zararı hesaplamasının her aşamasının matematiksel bütünlüğü test edilmiştir.  </w:t>
            </w:r>
          </w:p>
          <w:p w14:paraId="3CEFF7E4"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p>
          <w:p w14:paraId="5D05A7FD"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snapToGrid w:val="0"/>
                <w:lang w:eastAsia="de-DE"/>
              </w:rPr>
              <w:t>Banka yönetimi ile yapılan görüşmeler çerçevesinde değer düşüklüğü hesaplamalarına dayanak oluşturan temel varsayım ve tüm diğer yargıların makul olup olmadığı değerlendirilmiştir.</w:t>
            </w:r>
          </w:p>
          <w:p w14:paraId="3D0A7DA9"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p>
          <w:p w14:paraId="568393AF"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snapToGrid w:val="0"/>
                <w:lang w:eastAsia="de-DE"/>
              </w:rPr>
              <w:t>Model ve varsayımlarla ilgili tüm çalışmalara uzmanlarımız dahil edilmiştir.</w:t>
            </w:r>
          </w:p>
          <w:p w14:paraId="10C591DE"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p>
          <w:p w14:paraId="0679BDB4"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snapToGrid w:val="0"/>
                <w:lang w:eastAsia="de-DE"/>
              </w:rPr>
              <w:t>Banka’nın finansal tablolarında, krediler ve alacaklara ve ilgili değer düşüklüğüne ilişkin TFRS 9 çerçevesinde yer alan dipnotları kontrol edilmiştir.</w:t>
            </w:r>
          </w:p>
          <w:p w14:paraId="076F63E2"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p>
        </w:tc>
      </w:tr>
      <w:tr w:rsidR="006E7511" w:rsidRPr="00005453" w14:paraId="50030CF1" w14:textId="77777777" w:rsidTr="007A3751">
        <w:trPr>
          <w:trHeight w:val="446"/>
        </w:trPr>
        <w:tc>
          <w:tcPr>
            <w:tcW w:w="4394" w:type="dxa"/>
            <w:tcBorders>
              <w:top w:val="single" w:sz="4" w:space="0" w:color="auto"/>
              <w:left w:val="single" w:sz="4" w:space="0" w:color="auto"/>
              <w:bottom w:val="single" w:sz="4" w:space="0" w:color="auto"/>
              <w:right w:val="single" w:sz="4" w:space="0" w:color="auto"/>
            </w:tcBorders>
          </w:tcPr>
          <w:p w14:paraId="52B537BB" w14:textId="77777777" w:rsidR="006E7511" w:rsidRPr="00005453" w:rsidRDefault="006E7511" w:rsidP="007A3751">
            <w:pPr>
              <w:autoSpaceDE w:val="0"/>
              <w:autoSpaceDN w:val="0"/>
              <w:adjustRightInd w:val="0"/>
              <w:jc w:val="both"/>
              <w:rPr>
                <w:b/>
                <w:i/>
                <w:iCs/>
              </w:rPr>
            </w:pPr>
            <w:r w:rsidRPr="00005453">
              <w:lastRenderedPageBreak/>
              <w:br w:type="page"/>
            </w:r>
            <w:r w:rsidRPr="00005453">
              <w:rPr>
                <w:b/>
              </w:rPr>
              <w:t>Kilit Denetim Konusu</w:t>
            </w:r>
          </w:p>
        </w:tc>
        <w:tc>
          <w:tcPr>
            <w:tcW w:w="5075" w:type="dxa"/>
            <w:tcBorders>
              <w:top w:val="single" w:sz="4" w:space="0" w:color="auto"/>
              <w:left w:val="single" w:sz="4" w:space="0" w:color="auto"/>
              <w:bottom w:val="single" w:sz="4" w:space="0" w:color="auto"/>
              <w:right w:val="single" w:sz="4" w:space="0" w:color="auto"/>
            </w:tcBorders>
          </w:tcPr>
          <w:p w14:paraId="0D27EEDB" w14:textId="77777777" w:rsidR="006E7511" w:rsidRPr="00005453" w:rsidRDefault="006E7511" w:rsidP="006E7511">
            <w:pPr>
              <w:pStyle w:val="ListParagraph"/>
              <w:numPr>
                <w:ilvl w:val="0"/>
                <w:numId w:val="13"/>
              </w:numPr>
              <w:autoSpaceDE w:val="0"/>
              <w:autoSpaceDN w:val="0"/>
              <w:adjustRightInd w:val="0"/>
              <w:ind w:left="0"/>
              <w:jc w:val="both"/>
              <w:rPr>
                <w:snapToGrid w:val="0"/>
                <w:lang w:eastAsia="de-DE"/>
              </w:rPr>
            </w:pPr>
            <w:r w:rsidRPr="00005453">
              <w:rPr>
                <w:b/>
              </w:rPr>
              <w:t>Denetimde bu konu nasıl ele alındı</w:t>
            </w:r>
          </w:p>
        </w:tc>
      </w:tr>
      <w:tr w:rsidR="006E7511" w:rsidRPr="00005453" w14:paraId="6AFE8EFD" w14:textId="77777777" w:rsidTr="007A3751">
        <w:trPr>
          <w:trHeight w:val="446"/>
        </w:trPr>
        <w:tc>
          <w:tcPr>
            <w:tcW w:w="4394" w:type="dxa"/>
            <w:tcBorders>
              <w:top w:val="single" w:sz="4" w:space="0" w:color="auto"/>
              <w:left w:val="single" w:sz="4" w:space="0" w:color="auto"/>
              <w:bottom w:val="single" w:sz="4" w:space="0" w:color="auto"/>
              <w:right w:val="single" w:sz="4" w:space="0" w:color="auto"/>
            </w:tcBorders>
          </w:tcPr>
          <w:p w14:paraId="20145B09" w14:textId="77777777" w:rsidR="006E7511" w:rsidRPr="00005453" w:rsidRDefault="006E7511" w:rsidP="007A3751">
            <w:pPr>
              <w:rPr>
                <w:b/>
                <w:bCs/>
                <w:i/>
                <w:iCs/>
              </w:rPr>
            </w:pPr>
          </w:p>
          <w:p w14:paraId="47F527CF" w14:textId="77777777" w:rsidR="006E7511" w:rsidRPr="00005453" w:rsidRDefault="006E7511" w:rsidP="007A3751">
            <w:pPr>
              <w:rPr>
                <w:b/>
                <w:bCs/>
                <w:i/>
                <w:iCs/>
              </w:rPr>
            </w:pPr>
            <w:r w:rsidRPr="00005453">
              <w:rPr>
                <w:b/>
                <w:bCs/>
                <w:i/>
                <w:iCs/>
              </w:rPr>
              <w:t xml:space="preserve">Bilgi teknolojileri denetimi </w:t>
            </w:r>
          </w:p>
          <w:p w14:paraId="23050B3D" w14:textId="77777777" w:rsidR="006E7511" w:rsidRPr="00005453" w:rsidRDefault="006E7511" w:rsidP="007A3751">
            <w:pPr>
              <w:rPr>
                <w:b/>
                <w:bCs/>
                <w:i/>
                <w:iCs/>
              </w:rPr>
            </w:pPr>
          </w:p>
          <w:p w14:paraId="138CF13D" w14:textId="77777777" w:rsidR="006E7511" w:rsidRPr="00005453" w:rsidRDefault="006E7511" w:rsidP="007A3751">
            <w:pPr>
              <w:jc w:val="both"/>
            </w:pPr>
            <w:r w:rsidRPr="00005453">
              <w:t>Banka, operasyonlarının sürekliliği ve finansal operasyonları için Bilgi teknolojileri altyapısına bağımlıdır ve Banka ile iştiraklerde teknoloji destekli hizmetlere olan talep hızla artmaktadır. Elektronik veri işlemesinin güvenilirliği ve sürekliliği üzerindeki kontroller, bilgi sistemleri iç kontroller denetiminin kapsamındadır. Banka’nın bilgi sistemlerine bağımlı olması ile erişim haklarına, sistemlerin sürekliliğinin, elektronik verilerin mahremiyetinin ve bütünlüğünün sağlanmasına ilişkin kontroller kritik önem taşımakta ve risk bazlı denetim planında bu önceliklere göre kapsam oluşturulmakta ve ilgili kapsama göre denetim uygulanmaktadır.</w:t>
            </w:r>
          </w:p>
          <w:p w14:paraId="210F6EFA" w14:textId="77777777" w:rsidR="006E7511" w:rsidRPr="00005453" w:rsidRDefault="006E7511" w:rsidP="007A3751">
            <w:pPr>
              <w:pStyle w:val="Default"/>
              <w:jc w:val="both"/>
              <w:rPr>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821410A" w14:textId="77777777" w:rsidR="006E7511" w:rsidRPr="00005453" w:rsidRDefault="006E7511" w:rsidP="007A3751">
            <w:pPr>
              <w:jc w:val="both"/>
            </w:pPr>
          </w:p>
          <w:p w14:paraId="5EC8FCC4" w14:textId="77777777" w:rsidR="006E7511" w:rsidRPr="00005453" w:rsidRDefault="006E7511" w:rsidP="007A3751">
            <w:pPr>
              <w:spacing w:after="240"/>
              <w:jc w:val="both"/>
            </w:pPr>
            <w:r w:rsidRPr="00005453">
              <w:t xml:space="preserve">Bilgi teknolojileri denetim çalışmalarımız kapsamında gerçekleştirilen prosedürler: </w:t>
            </w:r>
          </w:p>
          <w:p w14:paraId="5F95C6C4" w14:textId="77777777" w:rsidR="006E7511" w:rsidRPr="00005453" w:rsidRDefault="006E7511" w:rsidP="006E7511">
            <w:pPr>
              <w:pStyle w:val="ListParagraph"/>
              <w:numPr>
                <w:ilvl w:val="0"/>
                <w:numId w:val="33"/>
              </w:numPr>
              <w:spacing w:after="160" w:line="259" w:lineRule="auto"/>
              <w:ind w:left="426" w:hanging="426"/>
              <w:contextualSpacing/>
              <w:jc w:val="both"/>
            </w:pPr>
            <w:r w:rsidRPr="00005453">
              <w:t>Banka’nın bilgi sistemleri üzerindeki kontrolleri tarafımızca tespit edilmiş, anlaşılmış ve test edilmiştir.</w:t>
            </w:r>
          </w:p>
          <w:p w14:paraId="0FF725B2" w14:textId="77777777" w:rsidR="006E7511" w:rsidRPr="00005453" w:rsidRDefault="006E7511" w:rsidP="007A3751">
            <w:pPr>
              <w:pStyle w:val="ListParagraph"/>
              <w:ind w:left="426" w:hanging="426"/>
              <w:jc w:val="both"/>
            </w:pPr>
          </w:p>
          <w:p w14:paraId="176DE500" w14:textId="77777777" w:rsidR="006E7511" w:rsidRPr="00005453" w:rsidRDefault="006E7511" w:rsidP="006E7511">
            <w:pPr>
              <w:pStyle w:val="ListParagraph"/>
              <w:numPr>
                <w:ilvl w:val="0"/>
                <w:numId w:val="33"/>
              </w:numPr>
              <w:spacing w:after="160" w:line="259" w:lineRule="auto"/>
              <w:ind w:left="426" w:hanging="426"/>
              <w:contextualSpacing/>
              <w:jc w:val="both"/>
            </w:pPr>
            <w:r w:rsidRPr="00005453">
              <w:t xml:space="preserve">Verilerin oluşumu, iletimi ve saklanması süreçlerinde rol alan tüm bilgi sistemleri katmanlarını (uygulamalar, veri tabanları, işletim sistemleri ve ağ seviyeleri) içermektedir. Test ettiğimiz bilgi sistemleri kontrolleri genel olarak aşağıda sıralanan alanlarda kategorize edilmektedir: </w:t>
            </w:r>
          </w:p>
          <w:p w14:paraId="6DF6E17A" w14:textId="77777777" w:rsidR="006E7511" w:rsidRPr="00005453" w:rsidRDefault="006E7511" w:rsidP="007A3751">
            <w:pPr>
              <w:jc w:val="both"/>
            </w:pPr>
            <w:r w:rsidRPr="00005453">
              <w:t>•     Erişim Güvenliği</w:t>
            </w:r>
          </w:p>
          <w:p w14:paraId="3334F32B" w14:textId="77777777" w:rsidR="006E7511" w:rsidRPr="00005453" w:rsidRDefault="006E7511" w:rsidP="007A3751">
            <w:pPr>
              <w:jc w:val="both"/>
            </w:pPr>
            <w:r w:rsidRPr="00005453">
              <w:t xml:space="preserve">•     Değişiklik Yönetimi </w:t>
            </w:r>
          </w:p>
          <w:p w14:paraId="11617730" w14:textId="77777777" w:rsidR="006E7511" w:rsidRPr="00005453" w:rsidRDefault="006E7511" w:rsidP="007A3751">
            <w:pPr>
              <w:jc w:val="both"/>
            </w:pPr>
            <w:r w:rsidRPr="00005453">
              <w:t>•     Veri Merkezi ve Ağ Operasyonları</w:t>
            </w:r>
          </w:p>
          <w:p w14:paraId="6326399D" w14:textId="77777777" w:rsidR="006E7511" w:rsidRPr="00005453" w:rsidRDefault="006E7511" w:rsidP="007A3751">
            <w:pPr>
              <w:jc w:val="both"/>
            </w:pPr>
          </w:p>
          <w:p w14:paraId="4C7D1952" w14:textId="77777777" w:rsidR="006E7511" w:rsidRPr="00005453" w:rsidRDefault="006E7511" w:rsidP="006E7511">
            <w:pPr>
              <w:pStyle w:val="ListParagraph"/>
              <w:numPr>
                <w:ilvl w:val="0"/>
                <w:numId w:val="34"/>
              </w:numPr>
              <w:spacing w:after="160" w:line="259" w:lineRule="auto"/>
              <w:ind w:left="426" w:hanging="426"/>
              <w:contextualSpacing/>
              <w:jc w:val="both"/>
            </w:pPr>
            <w:r w:rsidRPr="00005453">
              <w:t xml:space="preserve">Yüksek riskli kontrol alanları olarak, finansal verilere yetkisiz erişimlerin engellenmesi ve önlenmesine ilişkin veri tabanı seviyesindeki denetim izlerinin oluşturulması ve izlenmesi ile değişiklik yönetimi kontrol aktiviteleri belirlenmiştir. </w:t>
            </w:r>
          </w:p>
          <w:p w14:paraId="76413E18" w14:textId="77777777" w:rsidR="006E7511" w:rsidRPr="00005453" w:rsidRDefault="006E7511" w:rsidP="007A3751">
            <w:pPr>
              <w:pStyle w:val="ListParagraph"/>
              <w:ind w:left="426" w:hanging="426"/>
              <w:jc w:val="both"/>
            </w:pPr>
          </w:p>
          <w:p w14:paraId="3FF820B8" w14:textId="77777777" w:rsidR="006E7511" w:rsidRPr="00005453" w:rsidRDefault="006E7511" w:rsidP="006E7511">
            <w:pPr>
              <w:pStyle w:val="ListParagraph"/>
              <w:numPr>
                <w:ilvl w:val="0"/>
                <w:numId w:val="35"/>
              </w:numPr>
              <w:spacing w:after="160"/>
              <w:ind w:left="426" w:hanging="426"/>
              <w:contextualSpacing/>
              <w:jc w:val="both"/>
            </w:pPr>
            <w:r w:rsidRPr="00005453">
              <w:t>Finansal verilere doğrudan veya dolaylı olarak etkisi olan tüm uygulamalar için denetim izlerinin yönetimi ve erişim yönetimine ilişkin kontroller test edilmiştir.</w:t>
            </w:r>
          </w:p>
          <w:p w14:paraId="2D0C1261" w14:textId="77777777" w:rsidR="006E7511" w:rsidRPr="00005453" w:rsidRDefault="006E7511" w:rsidP="007A3751">
            <w:pPr>
              <w:pStyle w:val="ListParagraph"/>
              <w:ind w:left="426" w:hanging="426"/>
              <w:jc w:val="both"/>
            </w:pPr>
          </w:p>
          <w:p w14:paraId="4329DD6B" w14:textId="77777777" w:rsidR="006E7511" w:rsidRPr="00005453" w:rsidRDefault="006E7511" w:rsidP="006E7511">
            <w:pPr>
              <w:pStyle w:val="ListParagraph"/>
              <w:numPr>
                <w:ilvl w:val="0"/>
                <w:numId w:val="36"/>
              </w:numPr>
              <w:spacing w:after="160"/>
              <w:ind w:left="426" w:hanging="426"/>
              <w:contextualSpacing/>
              <w:jc w:val="both"/>
            </w:pPr>
            <w:r w:rsidRPr="00005453">
              <w:t xml:space="preserve">Finansal verilerin oluşum sürecinin temelini anlamak ve değişiklik ve erişimlerin tespiti amacıyla otomatik kontroller ve entegrasyon kontrolleri test edilmiştir. </w:t>
            </w:r>
          </w:p>
          <w:p w14:paraId="382024F8" w14:textId="77777777" w:rsidR="006E7511" w:rsidRPr="00005453" w:rsidRDefault="006E7511" w:rsidP="007A3751">
            <w:pPr>
              <w:pStyle w:val="ListParagraph"/>
              <w:ind w:left="426" w:hanging="426"/>
              <w:jc w:val="both"/>
            </w:pPr>
          </w:p>
          <w:p w14:paraId="4437026E" w14:textId="77777777" w:rsidR="006E7511" w:rsidRPr="00005453" w:rsidRDefault="006E7511" w:rsidP="006E7511">
            <w:pPr>
              <w:pStyle w:val="ListParagraph"/>
              <w:numPr>
                <w:ilvl w:val="0"/>
                <w:numId w:val="37"/>
              </w:numPr>
              <w:spacing w:after="160" w:line="259" w:lineRule="auto"/>
              <w:ind w:left="426" w:hanging="426"/>
              <w:contextualSpacing/>
              <w:jc w:val="both"/>
            </w:pPr>
            <w:r w:rsidRPr="00005453">
              <w:t xml:space="preserve">Bununla birlikte, kontrollere girdi sağlayan ve BT bileşenleri tarafından üretilen raporların tamlık ve doğruluğuna ilişkin testler gerçekleştirilmiştir. </w:t>
            </w:r>
          </w:p>
          <w:p w14:paraId="0D65029E" w14:textId="77777777" w:rsidR="006E7511" w:rsidRPr="00005453" w:rsidRDefault="006E7511" w:rsidP="007A3751">
            <w:pPr>
              <w:pStyle w:val="ListParagraph"/>
              <w:spacing w:after="160" w:line="259" w:lineRule="auto"/>
              <w:ind w:left="426"/>
              <w:contextualSpacing/>
              <w:jc w:val="both"/>
            </w:pPr>
          </w:p>
          <w:p w14:paraId="772213E7" w14:textId="77777777" w:rsidR="006E7511" w:rsidRPr="00005453" w:rsidRDefault="006E7511" w:rsidP="006E7511">
            <w:pPr>
              <w:pStyle w:val="ListParagraph"/>
              <w:numPr>
                <w:ilvl w:val="0"/>
                <w:numId w:val="37"/>
              </w:numPr>
              <w:spacing w:after="160" w:line="259" w:lineRule="auto"/>
              <w:ind w:left="426" w:hanging="426"/>
              <w:contextualSpacing/>
              <w:jc w:val="both"/>
            </w:pPr>
            <w:r w:rsidRPr="00005453">
              <w:t>Ayrıca, kapsamda yer alan uygulamaların veri tabanı, ağ ve işletim sistemi seviyelerine ilişkin kontroller test edilmiştir.</w:t>
            </w:r>
          </w:p>
          <w:p w14:paraId="71628112" w14:textId="77777777" w:rsidR="006E7511" w:rsidRPr="00005453" w:rsidRDefault="006E7511" w:rsidP="007A3751">
            <w:pPr>
              <w:autoSpaceDE w:val="0"/>
              <w:autoSpaceDN w:val="0"/>
              <w:adjustRightInd w:val="0"/>
              <w:jc w:val="both"/>
              <w:rPr>
                <w:b/>
              </w:rPr>
            </w:pPr>
          </w:p>
        </w:tc>
      </w:tr>
      <w:bookmarkEnd w:id="3"/>
    </w:tbl>
    <w:p w14:paraId="42C07F10" w14:textId="77777777" w:rsidR="006E7511" w:rsidRPr="00005453" w:rsidRDefault="006E7511" w:rsidP="006E7511"/>
    <w:p w14:paraId="03A91A7D" w14:textId="52773F4F" w:rsidR="006E7511" w:rsidRPr="00005453" w:rsidRDefault="006E7511" w:rsidP="006E7511">
      <w:pPr>
        <w:pStyle w:val="Text"/>
        <w:numPr>
          <w:ilvl w:val="0"/>
          <w:numId w:val="32"/>
        </w:numPr>
        <w:snapToGrid w:val="0"/>
        <w:spacing w:line="240" w:lineRule="auto"/>
        <w:ind w:left="0" w:right="-283" w:firstLine="0"/>
        <w:rPr>
          <w:rFonts w:ascii="Times New Roman" w:hAnsi="Times New Roman"/>
          <w:b/>
          <w:color w:val="auto"/>
          <w:sz w:val="20"/>
          <w:lang w:val="tr-TR"/>
        </w:rPr>
      </w:pPr>
      <w:r w:rsidRPr="00005453">
        <w:rPr>
          <w:rFonts w:ascii="Times New Roman" w:hAnsi="Times New Roman"/>
          <w:b/>
          <w:color w:val="auto"/>
          <w:sz w:val="20"/>
          <w:lang w:val="tr-TR"/>
        </w:rPr>
        <w:t>Di</w:t>
      </w:r>
      <w:r w:rsidR="00191B1C">
        <w:rPr>
          <w:rFonts w:ascii="Times New Roman" w:hAnsi="Times New Roman"/>
          <w:b/>
          <w:color w:val="auto"/>
          <w:sz w:val="20"/>
          <w:lang w:val="tr-TR"/>
        </w:rPr>
        <w:t>ğ</w:t>
      </w:r>
      <w:r w:rsidRPr="00005453">
        <w:rPr>
          <w:rFonts w:ascii="Times New Roman" w:hAnsi="Times New Roman"/>
          <w:b/>
          <w:color w:val="auto"/>
          <w:sz w:val="20"/>
          <w:lang w:val="tr-TR"/>
        </w:rPr>
        <w:t>er Hususlar</w:t>
      </w:r>
    </w:p>
    <w:p w14:paraId="67F26014" w14:textId="77777777" w:rsidR="00191B1C" w:rsidRPr="00005453" w:rsidRDefault="00191B1C" w:rsidP="006E7511">
      <w:pPr>
        <w:pStyle w:val="Text"/>
        <w:snapToGrid w:val="0"/>
        <w:spacing w:line="240" w:lineRule="auto"/>
        <w:ind w:right="-283"/>
        <w:rPr>
          <w:rFonts w:ascii="Times New Roman" w:hAnsi="Times New Roman"/>
          <w:sz w:val="20"/>
        </w:rPr>
      </w:pPr>
    </w:p>
    <w:p w14:paraId="3F5245B6" w14:textId="77777777" w:rsidR="006E7511" w:rsidRPr="00005453" w:rsidRDefault="006E7511" w:rsidP="006E7511">
      <w:pPr>
        <w:pStyle w:val="Text"/>
        <w:snapToGrid w:val="0"/>
        <w:spacing w:line="240" w:lineRule="auto"/>
        <w:ind w:right="-283"/>
        <w:rPr>
          <w:rFonts w:ascii="Times New Roman" w:hAnsi="Times New Roman"/>
          <w:sz w:val="20"/>
        </w:rPr>
      </w:pPr>
      <w:r w:rsidRPr="00005453">
        <w:rPr>
          <w:rFonts w:ascii="Times New Roman" w:hAnsi="Times New Roman"/>
          <w:sz w:val="20"/>
        </w:rPr>
        <w:t>Kuveyt Türk Katılım Bankası A.Ş.'nin 31 Aralık 2023 tarihinde sona eren hesap dönemine ait konsolide olmayan finansal tabloları başka bir bağımsız denetçi tarafından denetlenmiş ve 15 Şubat 2024 tarihinde bu konsolide olmayan finansal tablolara ilişkin olumlu görüş verilmiştir.</w:t>
      </w:r>
    </w:p>
    <w:p w14:paraId="52493E38"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5EE4C1C9" w14:textId="0C5285E4" w:rsidR="0032330A" w:rsidRPr="00005453" w:rsidRDefault="0032330A">
      <w:pPr>
        <w:rPr>
          <w:b/>
          <w:snapToGrid w:val="0"/>
          <w:lang w:eastAsia="de-DE"/>
        </w:rPr>
      </w:pPr>
      <w:r w:rsidRPr="00005453">
        <w:rPr>
          <w:b/>
        </w:rPr>
        <w:br w:type="page"/>
      </w:r>
    </w:p>
    <w:p w14:paraId="54E73E84" w14:textId="77777777" w:rsidR="006E7511" w:rsidRPr="00005453" w:rsidRDefault="006E7511" w:rsidP="006E7511">
      <w:pPr>
        <w:pStyle w:val="Text"/>
        <w:spacing w:line="240" w:lineRule="auto"/>
        <w:ind w:right="-283"/>
        <w:rPr>
          <w:rFonts w:ascii="Times New Roman" w:hAnsi="Times New Roman"/>
          <w:b/>
          <w:color w:val="auto"/>
          <w:sz w:val="20"/>
          <w:lang w:val="tr-TR"/>
        </w:rPr>
      </w:pPr>
    </w:p>
    <w:p w14:paraId="08EB14E3" w14:textId="77777777" w:rsidR="006E7511" w:rsidRPr="00005453" w:rsidRDefault="006E7511" w:rsidP="006E7511">
      <w:pPr>
        <w:pStyle w:val="Text"/>
        <w:ind w:right="-283"/>
        <w:rPr>
          <w:rFonts w:ascii="Times New Roman" w:hAnsi="Times New Roman"/>
          <w:b/>
          <w:color w:val="auto"/>
          <w:sz w:val="20"/>
          <w:lang w:val="tr-TR"/>
        </w:rPr>
      </w:pPr>
      <w:r w:rsidRPr="00005453">
        <w:rPr>
          <w:rFonts w:ascii="Times New Roman" w:hAnsi="Times New Roman"/>
          <w:b/>
          <w:color w:val="auto"/>
          <w:sz w:val="20"/>
          <w:lang w:val="tr-TR"/>
        </w:rPr>
        <w:t>5)</w:t>
      </w:r>
      <w:r w:rsidRPr="00005453">
        <w:rPr>
          <w:rFonts w:ascii="Times New Roman" w:hAnsi="Times New Roman"/>
          <w:b/>
          <w:color w:val="auto"/>
          <w:sz w:val="20"/>
          <w:lang w:val="tr-TR"/>
        </w:rPr>
        <w:tab/>
        <w:t>Yönetimin ve Üst Yönetimden Sorumlu Olanların Finansal Tablolara İlişkin Sorumlulukları</w:t>
      </w:r>
    </w:p>
    <w:p w14:paraId="3D8D0C47"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71CC207"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 xml:space="preserve">Banka yönetimi;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554C7643"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 xml:space="preserve"> </w:t>
      </w:r>
      <w:r w:rsidRPr="00005453">
        <w:rPr>
          <w:rFonts w:ascii="Times New Roman" w:hAnsi="Times New Roman"/>
          <w:sz w:val="20"/>
        </w:rPr>
        <w:tab/>
      </w:r>
    </w:p>
    <w:p w14:paraId="7161BB82"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 xml:space="preserve">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4D635BE4" w14:textId="77777777" w:rsidR="006E7511" w:rsidRPr="00005453" w:rsidRDefault="006E7511" w:rsidP="006E7511">
      <w:pPr>
        <w:pStyle w:val="Text"/>
        <w:spacing w:line="240" w:lineRule="auto"/>
        <w:ind w:right="-283"/>
        <w:rPr>
          <w:rFonts w:ascii="Times New Roman" w:hAnsi="Times New Roman"/>
          <w:sz w:val="20"/>
        </w:rPr>
      </w:pPr>
    </w:p>
    <w:p w14:paraId="77C928CB"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Üst yönetimden sorumlu olanlar, Banka’nın finansal raporlama sürecinin gözetiminden sorumludur.</w:t>
      </w:r>
    </w:p>
    <w:p w14:paraId="535FE24D" w14:textId="77777777" w:rsidR="006E7511" w:rsidRPr="00005453" w:rsidRDefault="006E7511" w:rsidP="006E7511">
      <w:pPr>
        <w:pStyle w:val="Text"/>
        <w:spacing w:line="240" w:lineRule="auto"/>
        <w:ind w:right="-283"/>
        <w:rPr>
          <w:rFonts w:ascii="Times New Roman" w:hAnsi="Times New Roman"/>
          <w:sz w:val="20"/>
          <w:lang w:val="tr-TR"/>
        </w:rPr>
      </w:pPr>
    </w:p>
    <w:p w14:paraId="20798F33" w14:textId="77777777" w:rsidR="006E7511" w:rsidRPr="00005453" w:rsidRDefault="006E7511" w:rsidP="006E7511">
      <w:pPr>
        <w:pStyle w:val="Text"/>
        <w:numPr>
          <w:ilvl w:val="0"/>
          <w:numId w:val="38"/>
        </w:numPr>
        <w:snapToGrid w:val="0"/>
        <w:spacing w:line="240" w:lineRule="auto"/>
        <w:ind w:right="-283"/>
        <w:rPr>
          <w:rFonts w:ascii="Times New Roman" w:hAnsi="Times New Roman"/>
          <w:sz w:val="20"/>
          <w:lang w:val="tr-TR"/>
        </w:rPr>
      </w:pPr>
      <w:r w:rsidRPr="00005453">
        <w:rPr>
          <w:rFonts w:ascii="Times New Roman" w:hAnsi="Times New Roman"/>
          <w:b/>
          <w:color w:val="auto"/>
          <w:sz w:val="20"/>
          <w:lang w:val="tr-TR"/>
        </w:rPr>
        <w:t xml:space="preserve">    Bağımsız Denetçinin Finansal Tabloların Bağımsız Denetimine İlişkin Sorumlulukları </w:t>
      </w:r>
    </w:p>
    <w:p w14:paraId="7277483A"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51ADBD1" w14:textId="77777777" w:rsidR="006E7511" w:rsidRPr="00005453" w:rsidRDefault="006E7511" w:rsidP="006E7511">
      <w:pPr>
        <w:pStyle w:val="Text"/>
        <w:spacing w:line="240" w:lineRule="auto"/>
        <w:rPr>
          <w:rFonts w:ascii="Times New Roman" w:hAnsi="Times New Roman"/>
          <w:color w:val="auto"/>
          <w:sz w:val="20"/>
          <w:lang w:val="tr-TR"/>
        </w:rPr>
      </w:pPr>
      <w:r w:rsidRPr="00005453">
        <w:rPr>
          <w:rFonts w:ascii="Times New Roman" w:hAnsi="Times New Roman"/>
          <w:color w:val="auto"/>
          <w:sz w:val="20"/>
          <w:lang w:val="tr-TR"/>
        </w:rPr>
        <w:t xml:space="preserve">Bir bağımsız denetimde, biz bağımsız denetçilerin sorumlulukları şunlardır: </w:t>
      </w:r>
    </w:p>
    <w:p w14:paraId="526FDFC7" w14:textId="77777777" w:rsidR="006E7511" w:rsidRPr="00005453" w:rsidRDefault="006E7511" w:rsidP="006E7511">
      <w:pPr>
        <w:pStyle w:val="Text"/>
        <w:spacing w:line="240" w:lineRule="auto"/>
        <w:rPr>
          <w:rFonts w:ascii="Times New Roman" w:hAnsi="Times New Roman"/>
          <w:color w:val="auto"/>
          <w:sz w:val="20"/>
          <w:lang w:val="tr-TR"/>
        </w:rPr>
      </w:pPr>
    </w:p>
    <w:p w14:paraId="28E8C2FD"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w:t>
      </w:r>
      <w:proofErr w:type="gramStart"/>
      <w:r w:rsidRPr="00005453">
        <w:rPr>
          <w:rFonts w:ascii="Times New Roman" w:hAnsi="Times New Roman"/>
          <w:color w:val="auto"/>
          <w:sz w:val="20"/>
          <w:lang w:val="tr-TR"/>
        </w:rPr>
        <w:t>Resmi</w:t>
      </w:r>
      <w:proofErr w:type="gramEnd"/>
      <w:r w:rsidRPr="00005453">
        <w:rPr>
          <w:rFonts w:ascii="Times New Roman" w:hAnsi="Times New Roman"/>
          <w:color w:val="auto"/>
          <w:sz w:val="20"/>
          <w:lang w:val="tr-TR"/>
        </w:rPr>
        <w:t xml:space="preserve"> Gazete’de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 </w:t>
      </w:r>
    </w:p>
    <w:p w14:paraId="048D3AC2"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913C598"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 xml:space="preserve">BDDK tarafından 2 Nisan 2015 tarihli 29314 sayılı </w:t>
      </w:r>
      <w:proofErr w:type="gramStart"/>
      <w:r w:rsidRPr="00005453">
        <w:rPr>
          <w:rFonts w:ascii="Times New Roman" w:hAnsi="Times New Roman"/>
          <w:color w:val="auto"/>
          <w:sz w:val="20"/>
          <w:lang w:val="tr-TR"/>
        </w:rPr>
        <w:t>Resmi</w:t>
      </w:r>
      <w:proofErr w:type="gramEnd"/>
      <w:r w:rsidRPr="00005453">
        <w:rPr>
          <w:rFonts w:ascii="Times New Roman" w:hAnsi="Times New Roman"/>
          <w:color w:val="auto"/>
          <w:sz w:val="20"/>
          <w:lang w:val="tr-TR"/>
        </w:rPr>
        <w:t xml:space="preserve"> Gazete’de yayımlanan “Bankaların Bağımsız Denetimi Hakkında Yönetmelik” ve BDS’lere uygun olarak yürütülen bir bağımsız denetimin gereği olarak, bağımsız denetim boyunca mesleki muhakememizi kullanmakta ve mesleki şüpheciliğimizi sürdürmekteyiz. Tarafımızca ayrıca:</w:t>
      </w:r>
    </w:p>
    <w:p w14:paraId="46903CFF"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2680E83E" w14:textId="77777777" w:rsidR="006E7511" w:rsidRPr="00005453" w:rsidRDefault="006E7511" w:rsidP="006E7511">
      <w:pPr>
        <w:pStyle w:val="Text"/>
        <w:numPr>
          <w:ilvl w:val="0"/>
          <w:numId w:val="12"/>
        </w:numPr>
        <w:snapToGrid w:val="0"/>
        <w:spacing w:line="240" w:lineRule="auto"/>
        <w:ind w:left="0" w:right="-283" w:hanging="425"/>
        <w:rPr>
          <w:rFonts w:ascii="Times New Roman" w:hAnsi="Times New Roman"/>
          <w:color w:val="auto"/>
          <w:sz w:val="20"/>
          <w:lang w:val="tr-TR"/>
        </w:rPr>
      </w:pPr>
      <w:r w:rsidRPr="00005453">
        <w:rPr>
          <w:rFonts w:ascii="Times New Roman" w:hAnsi="Times New Roman"/>
          <w:color w:val="auto"/>
          <w:sz w:val="20"/>
          <w:lang w:val="tr-TR"/>
        </w:rPr>
        <w:t xml:space="preserve">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 </w:t>
      </w:r>
    </w:p>
    <w:p w14:paraId="3A5A51B0"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5FCAB7F" w14:textId="77777777" w:rsidR="006E7511" w:rsidRPr="00005453" w:rsidRDefault="006E7511" w:rsidP="006E7511">
      <w:pPr>
        <w:pStyle w:val="Text"/>
        <w:numPr>
          <w:ilvl w:val="0"/>
          <w:numId w:val="12"/>
        </w:numPr>
        <w:snapToGrid w:val="0"/>
        <w:spacing w:line="240" w:lineRule="auto"/>
        <w:ind w:left="0" w:right="-283" w:hanging="425"/>
        <w:rPr>
          <w:rFonts w:ascii="Times New Roman" w:hAnsi="Times New Roman"/>
          <w:color w:val="auto"/>
          <w:sz w:val="20"/>
          <w:lang w:val="tr-TR"/>
        </w:rPr>
      </w:pPr>
      <w:r w:rsidRPr="00005453">
        <w:rPr>
          <w:rFonts w:ascii="Times New Roman" w:hAnsi="Times New Roman"/>
          <w:color w:val="auto"/>
          <w:sz w:val="20"/>
          <w:lang w:val="tr-TR"/>
        </w:rPr>
        <w:t xml:space="preserve">Banka’nın iç kontrolünün etkinliğine ilişkin bir görüş bildirmek amacıyla değil ama duruma uygun denetim prosedürlerini tasarlamak amacıyla denetimle ilgili iç kontrol değerlendirilmektedir. </w:t>
      </w:r>
    </w:p>
    <w:p w14:paraId="394C09D1"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521793C" w14:textId="77777777" w:rsidR="006E7511" w:rsidRPr="00005453" w:rsidRDefault="006E7511" w:rsidP="006E7511">
      <w:pPr>
        <w:pStyle w:val="Text"/>
        <w:numPr>
          <w:ilvl w:val="0"/>
          <w:numId w:val="12"/>
        </w:numPr>
        <w:snapToGrid w:val="0"/>
        <w:spacing w:line="240" w:lineRule="auto"/>
        <w:ind w:left="0" w:right="-283" w:hanging="425"/>
        <w:rPr>
          <w:rFonts w:ascii="Times New Roman" w:hAnsi="Times New Roman"/>
          <w:color w:val="auto"/>
          <w:sz w:val="20"/>
          <w:lang w:val="tr-TR"/>
        </w:rPr>
      </w:pPr>
      <w:r w:rsidRPr="00005453">
        <w:rPr>
          <w:rFonts w:ascii="Times New Roman" w:hAnsi="Times New Roman"/>
          <w:color w:val="auto"/>
          <w:sz w:val="20"/>
          <w:lang w:val="tr-TR"/>
        </w:rPr>
        <w:t xml:space="preserve">Yönetim tarafından kullanılan muhasebe politikalarının uygunluğu ile yapılan muhasebe tahminlerinin ve ilgili açıklamaların makul olup olmadığı değerlendirilmektedir. </w:t>
      </w:r>
    </w:p>
    <w:p w14:paraId="6034B242"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0A78868" w14:textId="77777777" w:rsidR="006E7511" w:rsidRPr="00005453" w:rsidRDefault="006E7511" w:rsidP="006E7511">
      <w:pPr>
        <w:pStyle w:val="Text"/>
        <w:numPr>
          <w:ilvl w:val="0"/>
          <w:numId w:val="12"/>
        </w:numPr>
        <w:snapToGrid w:val="0"/>
        <w:spacing w:line="240" w:lineRule="auto"/>
        <w:ind w:left="0" w:right="-283" w:hanging="425"/>
        <w:rPr>
          <w:rFonts w:ascii="Times New Roman" w:hAnsi="Times New Roman"/>
          <w:color w:val="auto"/>
          <w:sz w:val="20"/>
          <w:lang w:val="tr-TR"/>
        </w:rPr>
      </w:pPr>
      <w:r w:rsidRPr="00005453">
        <w:rPr>
          <w:rFonts w:ascii="Times New Roman" w:hAnsi="Times New Roman"/>
          <w:color w:val="auto"/>
          <w:sz w:val="20"/>
          <w:lang w:val="tr-TR"/>
        </w:rPr>
        <w:t xml:space="preserve">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 </w:t>
      </w:r>
    </w:p>
    <w:p w14:paraId="28E05EE9" w14:textId="77777777" w:rsidR="0032330A" w:rsidRPr="00005453" w:rsidRDefault="0032330A" w:rsidP="0056447E">
      <w:pPr>
        <w:pStyle w:val="Text"/>
        <w:snapToGrid w:val="0"/>
        <w:spacing w:line="240" w:lineRule="auto"/>
        <w:ind w:right="-283"/>
        <w:rPr>
          <w:rFonts w:ascii="Times New Roman" w:hAnsi="Times New Roman"/>
          <w:color w:val="auto"/>
          <w:sz w:val="20"/>
          <w:lang w:val="tr-TR"/>
        </w:rPr>
      </w:pPr>
    </w:p>
    <w:p w14:paraId="7A7CD2E2" w14:textId="05765D27" w:rsidR="006E7511" w:rsidRPr="00005453" w:rsidRDefault="006E7511" w:rsidP="006E7511">
      <w:pPr>
        <w:pStyle w:val="Text"/>
        <w:numPr>
          <w:ilvl w:val="0"/>
          <w:numId w:val="12"/>
        </w:numPr>
        <w:snapToGrid w:val="0"/>
        <w:spacing w:line="240" w:lineRule="auto"/>
        <w:ind w:left="0" w:right="-283" w:hanging="425"/>
        <w:rPr>
          <w:rFonts w:ascii="Times New Roman" w:hAnsi="Times New Roman"/>
          <w:color w:val="auto"/>
          <w:sz w:val="20"/>
          <w:lang w:val="tr-TR"/>
        </w:rPr>
      </w:pPr>
      <w:r w:rsidRPr="00005453">
        <w:rPr>
          <w:rFonts w:ascii="Times New Roman" w:hAnsi="Times New Roman"/>
          <w:color w:val="auto"/>
          <w:sz w:val="20"/>
          <w:lang w:val="tr-TR"/>
        </w:rPr>
        <w:t xml:space="preserve">Finansal tabloların, açıklamalar dahil olmak üzere, genel sunumu, yapısı ve içeriği ile bu tabloların, temelini oluşturan işlem ve olayları gerçeğe uygun sunumu sağlayacak şekilde yansıtıp yansıtmadığı değerlendirilmektedir. </w:t>
      </w:r>
    </w:p>
    <w:p w14:paraId="21B31CD8" w14:textId="42A5DDE5" w:rsidR="0032330A" w:rsidRPr="00005453" w:rsidRDefault="0032330A">
      <w:pPr>
        <w:rPr>
          <w:snapToGrid w:val="0"/>
          <w:lang w:eastAsia="de-DE"/>
        </w:rPr>
      </w:pPr>
      <w:r w:rsidRPr="00005453">
        <w:br w:type="page"/>
      </w:r>
    </w:p>
    <w:p w14:paraId="2885B69B" w14:textId="77777777" w:rsidR="0032330A" w:rsidRPr="00005453" w:rsidRDefault="0032330A" w:rsidP="0032330A">
      <w:pPr>
        <w:pStyle w:val="Text"/>
        <w:snapToGrid w:val="0"/>
        <w:spacing w:line="240" w:lineRule="auto"/>
        <w:ind w:right="-283"/>
        <w:rPr>
          <w:rFonts w:ascii="Times New Roman" w:hAnsi="Times New Roman"/>
          <w:sz w:val="20"/>
          <w:lang w:val="tr-TR"/>
        </w:rPr>
      </w:pPr>
      <w:r w:rsidRPr="00005453">
        <w:rPr>
          <w:rFonts w:ascii="Times New Roman" w:hAnsi="Times New Roman"/>
          <w:b/>
          <w:color w:val="auto"/>
          <w:sz w:val="20"/>
          <w:lang w:val="tr-TR"/>
        </w:rPr>
        <w:lastRenderedPageBreak/>
        <w:t>6)    Bağımsız Denetçinin Finansal Tabloların Bağımsız Denetimine İlişkin Sorumlulukları (devamı)</w:t>
      </w:r>
    </w:p>
    <w:p w14:paraId="703E7E71"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6F663DF1"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40633E96"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3A64DA08" w14:textId="77777777" w:rsidR="006E7511" w:rsidRPr="00005453" w:rsidRDefault="006E7511" w:rsidP="006E7511">
      <w:pPr>
        <w:pStyle w:val="Text"/>
        <w:spacing w:line="240" w:lineRule="auto"/>
        <w:ind w:right="-283"/>
        <w:rPr>
          <w:rFonts w:ascii="Times New Roman" w:hAnsi="Times New Roman"/>
          <w:color w:val="auto"/>
          <w:sz w:val="20"/>
          <w:lang w:val="tr-TR"/>
        </w:rPr>
      </w:pPr>
      <w:r w:rsidRPr="00005453">
        <w:rPr>
          <w:rFonts w:ascii="Times New Roman" w:hAnsi="Times New Roman"/>
          <w:color w:val="auto"/>
          <w:sz w:val="20"/>
          <w:lang w:val="tr-TR"/>
        </w:rPr>
        <w:t>Bağımsızlığa ilişkin etik hükümlere uygunluk sağladığımızı üst yönetimden sorumlu olanlara bildirmiş bulunmaktayız. Ayrıca bağımsızlık üzerinde etkisi olduğu düşünülebilecek tüm ilişkiler ve diğer hususları ile varsa, ilgili önlemleri üst yönetimden sorumlu olanlara iletmiş bulunmaktayız.</w:t>
      </w:r>
    </w:p>
    <w:p w14:paraId="4A0D4111" w14:textId="77777777" w:rsidR="006E7511" w:rsidRPr="00005453" w:rsidRDefault="006E7511" w:rsidP="006E7511">
      <w:pPr>
        <w:pStyle w:val="Text"/>
        <w:spacing w:line="240" w:lineRule="auto"/>
        <w:ind w:right="-283"/>
        <w:rPr>
          <w:rFonts w:ascii="Times New Roman" w:hAnsi="Times New Roman"/>
          <w:color w:val="auto"/>
          <w:sz w:val="20"/>
          <w:lang w:val="tr-TR"/>
        </w:rPr>
      </w:pPr>
    </w:p>
    <w:p w14:paraId="7986130C" w14:textId="77777777" w:rsidR="006E7511" w:rsidRPr="00005453" w:rsidRDefault="006E7511" w:rsidP="006E7511">
      <w:pPr>
        <w:pStyle w:val="Text"/>
        <w:spacing w:line="240" w:lineRule="auto"/>
        <w:ind w:right="-283"/>
        <w:rPr>
          <w:rFonts w:ascii="Times New Roman" w:hAnsi="Times New Roman"/>
          <w:snapToGrid/>
          <w:color w:val="auto"/>
          <w:sz w:val="20"/>
          <w:lang w:val="tr-TR"/>
        </w:rPr>
      </w:pPr>
      <w:r w:rsidRPr="00005453">
        <w:rPr>
          <w:rFonts w:ascii="Times New Roman" w:hAnsi="Times New Roman"/>
          <w:color w:val="auto"/>
          <w:sz w:val="20"/>
          <w:lang w:val="tr-TR"/>
        </w:rPr>
        <w:t>Üst yönetimden sorumlu olanlara bildirilen konular arasından, cari döneme ait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2795A673" w14:textId="77777777" w:rsidR="006E7511" w:rsidRPr="00005453" w:rsidRDefault="006E7511" w:rsidP="006E7511">
      <w:pPr>
        <w:pStyle w:val="Text"/>
        <w:spacing w:line="240" w:lineRule="auto"/>
        <w:ind w:right="-283"/>
        <w:rPr>
          <w:rFonts w:ascii="Times New Roman" w:hAnsi="Times New Roman"/>
          <w:b/>
          <w:sz w:val="20"/>
          <w:lang w:val="tr-TR"/>
        </w:rPr>
      </w:pPr>
    </w:p>
    <w:p w14:paraId="331F639E" w14:textId="77777777" w:rsidR="006E7511" w:rsidRPr="00005453" w:rsidRDefault="006E7511" w:rsidP="006E7511">
      <w:pPr>
        <w:pStyle w:val="Text"/>
        <w:spacing w:line="240" w:lineRule="auto"/>
        <w:ind w:right="-283"/>
        <w:rPr>
          <w:rFonts w:ascii="Times New Roman" w:hAnsi="Times New Roman"/>
          <w:b/>
          <w:sz w:val="20"/>
          <w:lang w:val="tr-TR"/>
        </w:rPr>
      </w:pPr>
      <w:r w:rsidRPr="00005453">
        <w:rPr>
          <w:rFonts w:ascii="Times New Roman" w:hAnsi="Times New Roman"/>
          <w:b/>
          <w:sz w:val="20"/>
          <w:lang w:val="tr-TR"/>
        </w:rPr>
        <w:t xml:space="preserve">B) </w:t>
      </w:r>
      <w:r w:rsidRPr="00005453">
        <w:rPr>
          <w:rFonts w:ascii="Times New Roman" w:hAnsi="Times New Roman"/>
          <w:b/>
          <w:sz w:val="20"/>
          <w:lang w:val="tr-TR"/>
        </w:rPr>
        <w:tab/>
        <w:t>Mevzuattan Kaynaklanan Diğer Yükümlülüklere İlişkin Rapor</w:t>
      </w:r>
    </w:p>
    <w:p w14:paraId="563D7612" w14:textId="77777777" w:rsidR="006E7511" w:rsidRPr="00005453" w:rsidRDefault="006E7511" w:rsidP="006E7511">
      <w:pPr>
        <w:pStyle w:val="pumatext"/>
        <w:tabs>
          <w:tab w:val="left" w:pos="-426"/>
        </w:tabs>
        <w:spacing w:before="0" w:after="0" w:line="240" w:lineRule="auto"/>
        <w:ind w:left="0" w:right="-283"/>
        <w:rPr>
          <w:rFonts w:ascii="Times New Roman" w:eastAsiaTheme="minorHAnsi" w:hAnsi="Times New Roman"/>
          <w:color w:val="auto"/>
          <w:sz w:val="20"/>
          <w:lang w:val="en-US"/>
        </w:rPr>
      </w:pPr>
    </w:p>
    <w:p w14:paraId="0EE769EF"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TTK’nın 402’nci maddesinin dördüncü fıkrası uyarınca; Banka’nın 1 Ocak – 31 Aralık 2024 hesap döneminde defter tutma düzeninin, finansal tablolarının, TTK ile Banka esas sözleşmesinin finansal raporlamaya ilişkin hükümlerine uygun olmadığına dair önemli bir hususa rastlanmamıştır.</w:t>
      </w:r>
    </w:p>
    <w:p w14:paraId="5ED79DAF" w14:textId="77777777" w:rsidR="006E7511" w:rsidRPr="00005453" w:rsidRDefault="006E7511" w:rsidP="006E7511">
      <w:pPr>
        <w:pStyle w:val="Text"/>
        <w:spacing w:line="240" w:lineRule="auto"/>
        <w:ind w:right="-283"/>
        <w:rPr>
          <w:rFonts w:ascii="Times New Roman" w:hAnsi="Times New Roman"/>
          <w:sz w:val="20"/>
        </w:rPr>
      </w:pPr>
    </w:p>
    <w:p w14:paraId="10C934B1"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 xml:space="preserve">TTK’nın 402’nci maddesinin dördüncü fıkrası uyarınca; Yönetim Kurulu tarafımıza denetim kapsamında istenen açıklamaları yapmış ve talep edilen belgeleri vermiştir. </w:t>
      </w:r>
    </w:p>
    <w:p w14:paraId="11F73648" w14:textId="77777777" w:rsidR="006E7511" w:rsidRPr="00005453" w:rsidRDefault="006E7511" w:rsidP="006E7511">
      <w:pPr>
        <w:pStyle w:val="Text"/>
        <w:spacing w:line="240" w:lineRule="auto"/>
        <w:ind w:right="-283"/>
        <w:rPr>
          <w:rFonts w:ascii="Times New Roman" w:hAnsi="Times New Roman"/>
          <w:sz w:val="20"/>
        </w:rPr>
      </w:pPr>
    </w:p>
    <w:p w14:paraId="53EA22AD"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Bu bağımsız denetimi yürütüp sonuçlandıran sorumlu denetçi Sunay Anıktar’dır.</w:t>
      </w:r>
    </w:p>
    <w:p w14:paraId="58411B5E" w14:textId="77777777" w:rsidR="006E7511" w:rsidRPr="00005453" w:rsidRDefault="006E7511" w:rsidP="006E7511">
      <w:pPr>
        <w:pStyle w:val="Text"/>
        <w:spacing w:line="240" w:lineRule="auto"/>
        <w:ind w:right="-283"/>
        <w:rPr>
          <w:rFonts w:ascii="Times New Roman" w:hAnsi="Times New Roman"/>
          <w:sz w:val="20"/>
        </w:rPr>
      </w:pPr>
    </w:p>
    <w:p w14:paraId="54C3BACA" w14:textId="77777777" w:rsidR="006E7511" w:rsidRPr="00005453" w:rsidRDefault="006E7511" w:rsidP="006E7511">
      <w:pPr>
        <w:pStyle w:val="Text"/>
        <w:spacing w:line="240" w:lineRule="auto"/>
        <w:ind w:right="-283"/>
        <w:rPr>
          <w:rFonts w:ascii="Times New Roman" w:hAnsi="Times New Roman"/>
          <w:sz w:val="20"/>
        </w:rPr>
      </w:pPr>
      <w:r w:rsidRPr="00005453">
        <w:rPr>
          <w:rFonts w:ascii="Times New Roman" w:hAnsi="Times New Roman"/>
          <w:sz w:val="20"/>
        </w:rPr>
        <w:t xml:space="preserve">DRT BAĞIMSIZ DENETİM VE SERBEST MUHASEBECİ MALİ MÜŞAVİRLİK A.Ş. </w:t>
      </w:r>
    </w:p>
    <w:p w14:paraId="73E1C8D2" w14:textId="77777777" w:rsidR="006E7511" w:rsidRPr="00005453" w:rsidRDefault="006E7511" w:rsidP="006E7511">
      <w:pPr>
        <w:pStyle w:val="Text"/>
        <w:spacing w:line="240" w:lineRule="auto"/>
        <w:ind w:right="-283"/>
        <w:rPr>
          <w:rFonts w:ascii="Times New Roman" w:hAnsi="Times New Roman"/>
          <w:sz w:val="20"/>
          <w:lang w:val="tr-TR"/>
        </w:rPr>
      </w:pPr>
      <w:r w:rsidRPr="00005453">
        <w:rPr>
          <w:rFonts w:ascii="Times New Roman" w:hAnsi="Times New Roman"/>
          <w:sz w:val="20"/>
          <w:lang w:val="tr-TR"/>
        </w:rPr>
        <w:t xml:space="preserve">Member of </w:t>
      </w:r>
      <w:r w:rsidRPr="00005453">
        <w:rPr>
          <w:rFonts w:ascii="Times New Roman" w:hAnsi="Times New Roman"/>
          <w:b/>
          <w:bCs/>
          <w:sz w:val="20"/>
          <w:lang w:val="tr-TR"/>
        </w:rPr>
        <w:t>DELOITTE TOUCHE TOHMATSU LIMITED</w:t>
      </w:r>
    </w:p>
    <w:p w14:paraId="37E220A4" w14:textId="77777777" w:rsidR="006E7511" w:rsidRPr="00005453" w:rsidRDefault="006E7511" w:rsidP="006E7511">
      <w:pPr>
        <w:pStyle w:val="Text"/>
        <w:spacing w:line="240" w:lineRule="auto"/>
        <w:ind w:right="-283"/>
        <w:rPr>
          <w:rFonts w:ascii="Times New Roman" w:hAnsi="Times New Roman"/>
          <w:sz w:val="20"/>
          <w:lang w:val="tr-TR"/>
        </w:rPr>
      </w:pPr>
    </w:p>
    <w:p w14:paraId="790B1342" w14:textId="77777777" w:rsidR="006E7511" w:rsidRPr="00005453" w:rsidRDefault="006E7511" w:rsidP="006E7511">
      <w:pPr>
        <w:pStyle w:val="Text"/>
        <w:spacing w:line="240" w:lineRule="auto"/>
        <w:ind w:right="-283"/>
        <w:rPr>
          <w:rFonts w:ascii="Times New Roman" w:hAnsi="Times New Roman"/>
          <w:sz w:val="20"/>
          <w:lang w:val="tr-TR"/>
        </w:rPr>
      </w:pPr>
    </w:p>
    <w:p w14:paraId="38EEC975" w14:textId="77777777" w:rsidR="006E7511" w:rsidRPr="00005453" w:rsidRDefault="006E7511" w:rsidP="006E7511">
      <w:pPr>
        <w:pStyle w:val="Text"/>
        <w:spacing w:line="240" w:lineRule="auto"/>
        <w:ind w:right="-283"/>
        <w:rPr>
          <w:rFonts w:ascii="Times New Roman" w:hAnsi="Times New Roman"/>
          <w:sz w:val="20"/>
          <w:lang w:val="tr-TR"/>
        </w:rPr>
      </w:pPr>
    </w:p>
    <w:p w14:paraId="3BB3585C" w14:textId="77777777" w:rsidR="006E7511" w:rsidRPr="00005453" w:rsidRDefault="006E7511" w:rsidP="006E7511">
      <w:pPr>
        <w:tabs>
          <w:tab w:val="left" w:pos="-720"/>
        </w:tabs>
        <w:ind w:right="-283"/>
        <w:jc w:val="both"/>
        <w:rPr>
          <w:snapToGrid w:val="0"/>
          <w:color w:val="000000"/>
          <w:lang w:eastAsia="de-DE"/>
        </w:rPr>
      </w:pPr>
      <w:r w:rsidRPr="00005453">
        <w:rPr>
          <w:snapToGrid w:val="0"/>
          <w:color w:val="000000"/>
          <w:lang w:eastAsia="de-DE"/>
        </w:rPr>
        <w:t>Sunay Anıktar, SMMM</w:t>
      </w:r>
    </w:p>
    <w:p w14:paraId="6A518681" w14:textId="77777777" w:rsidR="006E7511" w:rsidRPr="00005453" w:rsidRDefault="006E7511" w:rsidP="006E7511">
      <w:pPr>
        <w:tabs>
          <w:tab w:val="left" w:pos="-720"/>
        </w:tabs>
        <w:ind w:right="-283"/>
        <w:jc w:val="both"/>
        <w:rPr>
          <w:snapToGrid w:val="0"/>
          <w:color w:val="000000"/>
          <w:lang w:eastAsia="de-DE"/>
        </w:rPr>
      </w:pPr>
      <w:r w:rsidRPr="00005453">
        <w:rPr>
          <w:snapToGrid w:val="0"/>
          <w:color w:val="000000"/>
          <w:lang w:eastAsia="de-DE"/>
        </w:rPr>
        <w:t>Sorumlu Denetçi</w:t>
      </w:r>
    </w:p>
    <w:p w14:paraId="54A1EED6" w14:textId="77777777" w:rsidR="006E7511" w:rsidRPr="00005453" w:rsidRDefault="006E7511" w:rsidP="006E7511">
      <w:pPr>
        <w:tabs>
          <w:tab w:val="left" w:pos="-720"/>
        </w:tabs>
        <w:ind w:right="-283"/>
        <w:jc w:val="both"/>
        <w:rPr>
          <w:snapToGrid w:val="0"/>
          <w:color w:val="000000"/>
          <w:lang w:eastAsia="de-DE"/>
        </w:rPr>
      </w:pPr>
    </w:p>
    <w:p w14:paraId="635457C4" w14:textId="1F416F97" w:rsidR="006E7511" w:rsidRPr="00005453" w:rsidRDefault="006E7511" w:rsidP="006E7511">
      <w:pPr>
        <w:tabs>
          <w:tab w:val="left" w:pos="-720"/>
        </w:tabs>
        <w:ind w:right="-283"/>
        <w:jc w:val="both"/>
        <w:rPr>
          <w:snapToGrid w:val="0"/>
          <w:color w:val="000000"/>
          <w:lang w:eastAsia="de-DE"/>
        </w:rPr>
      </w:pPr>
      <w:r w:rsidRPr="00005453">
        <w:rPr>
          <w:snapToGrid w:val="0"/>
          <w:color w:val="000000"/>
          <w:lang w:eastAsia="de-DE"/>
        </w:rPr>
        <w:t xml:space="preserve">İstanbul, </w:t>
      </w:r>
      <w:r w:rsidR="0032330A" w:rsidRPr="00005453">
        <w:rPr>
          <w:snapToGrid w:val="0"/>
          <w:color w:val="000000"/>
          <w:lang w:eastAsia="de-DE"/>
        </w:rPr>
        <w:t xml:space="preserve">14 </w:t>
      </w:r>
      <w:r w:rsidRPr="00005453">
        <w:rPr>
          <w:snapToGrid w:val="0"/>
          <w:color w:val="000000"/>
          <w:lang w:eastAsia="de-DE"/>
        </w:rPr>
        <w:t>Şubat 202</w:t>
      </w:r>
      <w:r w:rsidR="0032330A" w:rsidRPr="00005453">
        <w:rPr>
          <w:snapToGrid w:val="0"/>
          <w:color w:val="000000"/>
          <w:lang w:eastAsia="de-DE"/>
        </w:rPr>
        <w:t>5</w:t>
      </w:r>
    </w:p>
    <w:p w14:paraId="5713D57A" w14:textId="77777777" w:rsidR="006E7511" w:rsidRPr="00005453" w:rsidRDefault="006E7511" w:rsidP="006E7511">
      <w:pPr>
        <w:tabs>
          <w:tab w:val="left" w:pos="-720"/>
        </w:tabs>
        <w:ind w:right="-283"/>
        <w:jc w:val="both"/>
        <w:rPr>
          <w:snapToGrid w:val="0"/>
          <w:color w:val="000000"/>
          <w:lang w:eastAsia="de-DE"/>
        </w:rPr>
      </w:pPr>
    </w:p>
    <w:p w14:paraId="01E591B5" w14:textId="77777777" w:rsidR="006E7511" w:rsidRPr="00005453" w:rsidRDefault="006E7511" w:rsidP="006E7511">
      <w:pPr>
        <w:tabs>
          <w:tab w:val="left" w:pos="-720"/>
        </w:tabs>
        <w:ind w:right="-283"/>
        <w:jc w:val="both"/>
        <w:rPr>
          <w:snapToGrid w:val="0"/>
          <w:color w:val="000000"/>
          <w:lang w:eastAsia="de-DE"/>
        </w:rPr>
      </w:pPr>
    </w:p>
    <w:p w14:paraId="0C9DCCEB" w14:textId="77777777" w:rsidR="006E7511" w:rsidRPr="00005453" w:rsidRDefault="006E7511" w:rsidP="006E7511">
      <w:pPr>
        <w:tabs>
          <w:tab w:val="left" w:pos="-720"/>
        </w:tabs>
        <w:ind w:right="-283"/>
        <w:jc w:val="both"/>
        <w:rPr>
          <w:snapToGrid w:val="0"/>
          <w:color w:val="000000"/>
          <w:lang w:eastAsia="de-DE"/>
        </w:rPr>
      </w:pPr>
    </w:p>
    <w:p w14:paraId="34CC9941" w14:textId="77777777" w:rsidR="006E7511" w:rsidRPr="00005453" w:rsidRDefault="006E7511" w:rsidP="006E7511">
      <w:pPr>
        <w:tabs>
          <w:tab w:val="left" w:pos="-720"/>
        </w:tabs>
        <w:ind w:right="-283"/>
        <w:jc w:val="both"/>
        <w:rPr>
          <w:snapToGrid w:val="0"/>
          <w:color w:val="000000"/>
          <w:lang w:eastAsia="de-DE"/>
        </w:rPr>
      </w:pPr>
    </w:p>
    <w:p w14:paraId="7348277A" w14:textId="77777777" w:rsidR="006E7511" w:rsidRPr="00005453" w:rsidRDefault="006E7511" w:rsidP="006E7511">
      <w:pPr>
        <w:tabs>
          <w:tab w:val="left" w:pos="-720"/>
        </w:tabs>
        <w:ind w:right="-283"/>
        <w:jc w:val="both"/>
        <w:rPr>
          <w:snapToGrid w:val="0"/>
          <w:color w:val="000000"/>
          <w:lang w:eastAsia="de-DE"/>
        </w:rPr>
      </w:pPr>
    </w:p>
    <w:p w14:paraId="799764E8" w14:textId="77777777" w:rsidR="006E7511" w:rsidRPr="00005453" w:rsidRDefault="006E7511" w:rsidP="006E7511">
      <w:pPr>
        <w:tabs>
          <w:tab w:val="left" w:pos="-720"/>
        </w:tabs>
        <w:ind w:right="-283"/>
        <w:jc w:val="both"/>
        <w:rPr>
          <w:snapToGrid w:val="0"/>
          <w:color w:val="000000"/>
          <w:lang w:eastAsia="de-DE"/>
        </w:rPr>
      </w:pPr>
    </w:p>
    <w:p w14:paraId="6A154C72" w14:textId="77777777" w:rsidR="006E7511" w:rsidRPr="00005453" w:rsidRDefault="006E7511" w:rsidP="006E7511">
      <w:pPr>
        <w:tabs>
          <w:tab w:val="left" w:pos="-720"/>
        </w:tabs>
        <w:ind w:right="-283"/>
        <w:jc w:val="both"/>
        <w:rPr>
          <w:snapToGrid w:val="0"/>
          <w:color w:val="000000"/>
          <w:lang w:eastAsia="de-DE"/>
        </w:rPr>
      </w:pPr>
    </w:p>
    <w:p w14:paraId="21E58484" w14:textId="77777777" w:rsidR="006E7511" w:rsidRPr="00005453" w:rsidRDefault="006E7511" w:rsidP="006E7511">
      <w:pPr>
        <w:tabs>
          <w:tab w:val="left" w:pos="-720"/>
        </w:tabs>
        <w:ind w:right="-283"/>
        <w:jc w:val="both"/>
        <w:rPr>
          <w:snapToGrid w:val="0"/>
          <w:color w:val="000000"/>
          <w:lang w:eastAsia="de-DE"/>
        </w:rPr>
      </w:pPr>
    </w:p>
    <w:p w14:paraId="5580ED5D" w14:textId="77777777" w:rsidR="006E7511" w:rsidRPr="00005453" w:rsidRDefault="006E7511" w:rsidP="006E7511">
      <w:pPr>
        <w:tabs>
          <w:tab w:val="left" w:pos="-720"/>
        </w:tabs>
        <w:ind w:right="-283"/>
        <w:jc w:val="both"/>
        <w:rPr>
          <w:snapToGrid w:val="0"/>
          <w:color w:val="000000"/>
          <w:lang w:eastAsia="de-DE"/>
        </w:rPr>
      </w:pPr>
    </w:p>
    <w:p w14:paraId="11D1E6D6" w14:textId="77777777" w:rsidR="006E7511" w:rsidRPr="00005453" w:rsidRDefault="006E7511" w:rsidP="006E7511">
      <w:pPr>
        <w:tabs>
          <w:tab w:val="left" w:pos="-720"/>
        </w:tabs>
        <w:ind w:right="-283"/>
        <w:jc w:val="both"/>
        <w:rPr>
          <w:snapToGrid w:val="0"/>
          <w:color w:val="000000"/>
          <w:lang w:eastAsia="de-DE"/>
        </w:rPr>
      </w:pPr>
    </w:p>
    <w:p w14:paraId="2D52271B" w14:textId="77777777" w:rsidR="006E7511" w:rsidRPr="00005453" w:rsidRDefault="006E7511" w:rsidP="006E7511">
      <w:pPr>
        <w:tabs>
          <w:tab w:val="left" w:pos="-720"/>
        </w:tabs>
        <w:ind w:right="-283"/>
        <w:jc w:val="both"/>
        <w:rPr>
          <w:snapToGrid w:val="0"/>
          <w:color w:val="000000"/>
          <w:lang w:eastAsia="de-DE"/>
        </w:rPr>
      </w:pPr>
    </w:p>
    <w:p w14:paraId="43EF2BE1" w14:textId="77777777" w:rsidR="006E7511" w:rsidRPr="00005453" w:rsidRDefault="006E7511" w:rsidP="006E7511">
      <w:pPr>
        <w:tabs>
          <w:tab w:val="left" w:pos="-720"/>
        </w:tabs>
        <w:ind w:right="-283"/>
        <w:jc w:val="both"/>
        <w:rPr>
          <w:snapToGrid w:val="0"/>
          <w:color w:val="000000"/>
          <w:lang w:eastAsia="de-DE"/>
        </w:rPr>
      </w:pPr>
    </w:p>
    <w:p w14:paraId="61EABD25" w14:textId="77777777" w:rsidR="006E7511" w:rsidRPr="00005453" w:rsidRDefault="006E7511" w:rsidP="006E7511">
      <w:pPr>
        <w:tabs>
          <w:tab w:val="left" w:pos="-720"/>
        </w:tabs>
        <w:ind w:right="-283"/>
        <w:jc w:val="both"/>
        <w:rPr>
          <w:snapToGrid w:val="0"/>
          <w:color w:val="000000"/>
          <w:lang w:eastAsia="de-DE"/>
        </w:rPr>
      </w:pPr>
    </w:p>
    <w:p w14:paraId="5FC398FF" w14:textId="77777777" w:rsidR="006E7511" w:rsidRPr="00005453" w:rsidRDefault="006E7511" w:rsidP="006E7511">
      <w:pPr>
        <w:tabs>
          <w:tab w:val="left" w:pos="-720"/>
        </w:tabs>
        <w:ind w:right="-283"/>
        <w:jc w:val="both"/>
        <w:rPr>
          <w:snapToGrid w:val="0"/>
          <w:color w:val="000000"/>
          <w:lang w:eastAsia="de-DE"/>
        </w:rPr>
      </w:pPr>
    </w:p>
    <w:p w14:paraId="12ECE9F1" w14:textId="77777777" w:rsidR="006E7511" w:rsidRPr="00005453" w:rsidRDefault="006E7511" w:rsidP="006E7511">
      <w:pPr>
        <w:tabs>
          <w:tab w:val="left" w:pos="-720"/>
        </w:tabs>
        <w:ind w:right="-283"/>
        <w:jc w:val="both"/>
        <w:rPr>
          <w:snapToGrid w:val="0"/>
          <w:color w:val="000000"/>
          <w:lang w:eastAsia="de-DE"/>
        </w:rPr>
      </w:pPr>
    </w:p>
    <w:p w14:paraId="55E33BB2" w14:textId="77777777" w:rsidR="006E7511" w:rsidRPr="00005453" w:rsidRDefault="006E7511" w:rsidP="006E7511">
      <w:pPr>
        <w:tabs>
          <w:tab w:val="left" w:pos="-720"/>
        </w:tabs>
        <w:ind w:right="-283"/>
        <w:jc w:val="both"/>
        <w:rPr>
          <w:snapToGrid w:val="0"/>
          <w:color w:val="000000"/>
          <w:lang w:eastAsia="de-DE"/>
        </w:rPr>
      </w:pPr>
    </w:p>
    <w:p w14:paraId="108E428D" w14:textId="77777777" w:rsidR="006E7511" w:rsidRPr="00005453" w:rsidRDefault="006E7511" w:rsidP="006E7511">
      <w:pPr>
        <w:tabs>
          <w:tab w:val="left" w:pos="-720"/>
        </w:tabs>
        <w:ind w:right="-283"/>
        <w:jc w:val="both"/>
        <w:rPr>
          <w:snapToGrid w:val="0"/>
          <w:color w:val="000000"/>
          <w:lang w:eastAsia="de-DE"/>
        </w:rPr>
      </w:pPr>
    </w:p>
    <w:p w14:paraId="41DC691C" w14:textId="77777777" w:rsidR="006E7511" w:rsidRPr="00005453" w:rsidRDefault="006E7511" w:rsidP="006E7511">
      <w:pPr>
        <w:tabs>
          <w:tab w:val="left" w:pos="-720"/>
        </w:tabs>
        <w:ind w:right="-283"/>
        <w:jc w:val="both"/>
        <w:rPr>
          <w:snapToGrid w:val="0"/>
          <w:color w:val="000000"/>
          <w:lang w:eastAsia="de-DE"/>
        </w:rPr>
      </w:pPr>
    </w:p>
    <w:p w14:paraId="40C7B8AC" w14:textId="77777777" w:rsidR="006E7511" w:rsidRPr="00005453" w:rsidRDefault="006E7511" w:rsidP="006E7511">
      <w:pPr>
        <w:tabs>
          <w:tab w:val="left" w:pos="-720"/>
        </w:tabs>
        <w:ind w:right="-283"/>
        <w:jc w:val="both"/>
        <w:rPr>
          <w:snapToGrid w:val="0"/>
          <w:color w:val="000000"/>
          <w:lang w:eastAsia="de-DE"/>
        </w:rPr>
      </w:pPr>
    </w:p>
    <w:p w14:paraId="4C634FFF" w14:textId="77777777" w:rsidR="006E7511" w:rsidRPr="00005453" w:rsidRDefault="006E7511" w:rsidP="006E7511">
      <w:pPr>
        <w:tabs>
          <w:tab w:val="left" w:pos="-720"/>
        </w:tabs>
        <w:ind w:right="-283"/>
        <w:jc w:val="both"/>
        <w:rPr>
          <w:snapToGrid w:val="0"/>
          <w:color w:val="000000"/>
          <w:lang w:eastAsia="de-DE"/>
        </w:rPr>
      </w:pPr>
    </w:p>
    <w:p w14:paraId="4C553CA2" w14:textId="77777777" w:rsidR="006E7511" w:rsidRPr="00005453" w:rsidRDefault="006E7511" w:rsidP="006E7511">
      <w:pPr>
        <w:tabs>
          <w:tab w:val="left" w:pos="-720"/>
        </w:tabs>
        <w:ind w:right="-283"/>
        <w:jc w:val="both"/>
        <w:rPr>
          <w:snapToGrid w:val="0"/>
          <w:color w:val="000000"/>
          <w:lang w:eastAsia="de-DE"/>
        </w:rPr>
      </w:pPr>
    </w:p>
    <w:p w14:paraId="18A22ABD" w14:textId="77777777" w:rsidR="006E7511" w:rsidRPr="00005453" w:rsidRDefault="006E7511" w:rsidP="006E7511">
      <w:pPr>
        <w:tabs>
          <w:tab w:val="left" w:pos="-720"/>
        </w:tabs>
        <w:ind w:right="-283"/>
        <w:jc w:val="both"/>
        <w:rPr>
          <w:snapToGrid w:val="0"/>
          <w:color w:val="000000"/>
          <w:lang w:eastAsia="de-DE"/>
        </w:rPr>
      </w:pPr>
    </w:p>
    <w:p w14:paraId="759CBF1C" w14:textId="77777777" w:rsidR="006E7511" w:rsidRPr="00005453" w:rsidRDefault="006E7511" w:rsidP="006E7511">
      <w:pPr>
        <w:tabs>
          <w:tab w:val="left" w:pos="-720"/>
        </w:tabs>
        <w:ind w:right="-283"/>
        <w:jc w:val="both"/>
        <w:rPr>
          <w:snapToGrid w:val="0"/>
          <w:color w:val="000000"/>
          <w:lang w:eastAsia="de-DE"/>
        </w:rPr>
      </w:pPr>
    </w:p>
    <w:p w14:paraId="0D68B1D1" w14:textId="77777777" w:rsidR="006E7511" w:rsidRPr="00005453" w:rsidRDefault="006E7511" w:rsidP="006E7511">
      <w:pPr>
        <w:tabs>
          <w:tab w:val="left" w:pos="-720"/>
        </w:tabs>
        <w:ind w:right="-283"/>
        <w:jc w:val="both"/>
        <w:rPr>
          <w:snapToGrid w:val="0"/>
          <w:color w:val="000000"/>
          <w:lang w:eastAsia="de-DE"/>
        </w:rPr>
      </w:pPr>
    </w:p>
    <w:p w14:paraId="35B7D3BE" w14:textId="77777777" w:rsidR="006E7511" w:rsidRPr="00005453" w:rsidRDefault="006E7511" w:rsidP="006E7511">
      <w:pPr>
        <w:pStyle w:val="Text"/>
        <w:spacing w:line="270" w:lineRule="atLeast"/>
        <w:jc w:val="left"/>
        <w:rPr>
          <w:rFonts w:ascii="Times New Roman" w:hAnsi="Times New Roman"/>
          <w:sz w:val="20"/>
        </w:rPr>
      </w:pPr>
    </w:p>
    <w:p w14:paraId="2FC2349A" w14:textId="6726B201" w:rsidR="000A3B0B" w:rsidRPr="00821D44" w:rsidRDefault="00D52CB0" w:rsidP="000A3B0B">
      <w:pPr>
        <w:pStyle w:val="Title"/>
        <w:tabs>
          <w:tab w:val="clear" w:pos="4395"/>
        </w:tabs>
        <w:rPr>
          <w:rFonts w:ascii="Times New Roman" w:hAnsi="Times New Roman"/>
          <w:sz w:val="12"/>
          <w:szCs w:val="12"/>
          <w:lang w:val="tr-TR"/>
        </w:rPr>
      </w:pPr>
      <w:r w:rsidRPr="00821D44">
        <w:rPr>
          <w:rFonts w:ascii="Times New Roman" w:hAnsi="Times New Roman"/>
          <w:sz w:val="12"/>
          <w:szCs w:val="12"/>
          <w:lang w:val="tr-TR"/>
        </w:rPr>
        <w:t>Birinci bölüm</w:t>
      </w:r>
    </w:p>
    <w:p w14:paraId="4868BB28" w14:textId="2ECF794F" w:rsidR="000A3B0B" w:rsidRPr="00821D44" w:rsidRDefault="000A3B0B" w:rsidP="00290A4C">
      <w:pPr>
        <w:pStyle w:val="Title"/>
        <w:tabs>
          <w:tab w:val="clear" w:pos="4395"/>
        </w:tabs>
        <w:rPr>
          <w:rFonts w:ascii="Times New Roman" w:hAnsi="Times New Roman"/>
          <w:sz w:val="12"/>
          <w:szCs w:val="12"/>
          <w:lang w:val="tr-TR"/>
        </w:rPr>
      </w:pPr>
      <w:r w:rsidRPr="00821D44">
        <w:rPr>
          <w:rFonts w:ascii="Times New Roman" w:hAnsi="Times New Roman"/>
          <w:sz w:val="12"/>
          <w:szCs w:val="12"/>
          <w:lang w:val="tr-TR"/>
        </w:rPr>
        <w:t>Genel</w:t>
      </w:r>
      <w:r w:rsidR="00D52CB0" w:rsidRPr="00821D44">
        <w:rPr>
          <w:rFonts w:ascii="Times New Roman" w:hAnsi="Times New Roman"/>
          <w:sz w:val="12"/>
          <w:szCs w:val="12"/>
          <w:lang w:val="tr-TR"/>
        </w:rPr>
        <w:t xml:space="preserve"> bilgiler</w:t>
      </w:r>
    </w:p>
    <w:p w14:paraId="74E0C4BF" w14:textId="77777777" w:rsidR="000A3B0B" w:rsidRPr="00F03681"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F03681">
        <w:rPr>
          <w:rFonts w:ascii="Times New Roman" w:hAnsi="Times New Roman"/>
          <w:b w:val="0"/>
          <w:sz w:val="12"/>
          <w:szCs w:val="12"/>
          <w:lang w:val="tr-TR"/>
        </w:rPr>
        <w:t xml:space="preserve">Banka’nın kuruluş tarihi, başlangıç </w:t>
      </w:r>
      <w:proofErr w:type="gramStart"/>
      <w:r w:rsidRPr="00F03681">
        <w:rPr>
          <w:rFonts w:ascii="Times New Roman" w:hAnsi="Times New Roman"/>
          <w:b w:val="0"/>
          <w:sz w:val="12"/>
          <w:szCs w:val="12"/>
          <w:lang w:val="tr-TR"/>
        </w:rPr>
        <w:t>statüsü,  anılan</w:t>
      </w:r>
      <w:proofErr w:type="gramEnd"/>
      <w:r w:rsidRPr="00F03681">
        <w:rPr>
          <w:rFonts w:ascii="Times New Roman" w:hAnsi="Times New Roman"/>
          <w:b w:val="0"/>
          <w:sz w:val="12"/>
          <w:szCs w:val="12"/>
          <w:lang w:val="tr-TR"/>
        </w:rPr>
        <w:t xml:space="preserve"> statüde meydana gelen değişiklikleri ihtiva eden tarihçesi</w:t>
      </w:r>
      <w:r w:rsidRPr="00F03681">
        <w:rPr>
          <w:rFonts w:ascii="Times New Roman" w:hAnsi="Times New Roman"/>
          <w:b w:val="0"/>
          <w:sz w:val="12"/>
          <w:szCs w:val="12"/>
          <w:lang w:val="tr-TR"/>
        </w:rPr>
        <w:tab/>
        <w:t>1</w:t>
      </w:r>
    </w:p>
    <w:p w14:paraId="6DE8BDB5" w14:textId="77777777" w:rsidR="000A3B0B" w:rsidRPr="00F03681"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F03681">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F03681">
        <w:rPr>
          <w:rFonts w:ascii="Times New Roman" w:hAnsi="Times New Roman"/>
          <w:b w:val="0"/>
          <w:sz w:val="12"/>
          <w:szCs w:val="12"/>
          <w:lang w:val="tr-TR"/>
        </w:rPr>
        <w:tab/>
        <w:t>1</w:t>
      </w:r>
    </w:p>
    <w:p w14:paraId="14C2BF5E" w14:textId="4CD9E5D4" w:rsidR="000A3B0B" w:rsidRPr="00F03681" w:rsidRDefault="00D52CB0" w:rsidP="000A3B0B">
      <w:pPr>
        <w:pStyle w:val="Title"/>
        <w:numPr>
          <w:ilvl w:val="0"/>
          <w:numId w:val="1"/>
        </w:numPr>
        <w:tabs>
          <w:tab w:val="clear" w:pos="4395"/>
          <w:tab w:val="right" w:pos="9000"/>
        </w:tabs>
        <w:jc w:val="left"/>
        <w:rPr>
          <w:rFonts w:ascii="Times New Roman" w:hAnsi="Times New Roman"/>
          <w:b w:val="0"/>
          <w:sz w:val="12"/>
          <w:szCs w:val="12"/>
          <w:lang w:val="tr-TR"/>
        </w:rPr>
      </w:pPr>
      <w:r w:rsidRPr="00F03681">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w:t>
      </w:r>
      <w:r w:rsidR="000A3B0B" w:rsidRPr="00F03681">
        <w:rPr>
          <w:rFonts w:ascii="Times New Roman" w:hAnsi="Times New Roman"/>
          <w:b w:val="0"/>
          <w:sz w:val="12"/>
          <w:szCs w:val="12"/>
          <w:lang w:val="tr-TR"/>
        </w:rPr>
        <w:t xml:space="preserve">ilişkin açıklamalar    </w:t>
      </w:r>
      <w:r w:rsidR="000A3B0B" w:rsidRPr="00F03681">
        <w:rPr>
          <w:rFonts w:ascii="Times New Roman" w:hAnsi="Times New Roman"/>
          <w:b w:val="0"/>
          <w:sz w:val="12"/>
          <w:szCs w:val="12"/>
          <w:lang w:val="tr-TR"/>
        </w:rPr>
        <w:tab/>
        <w:t xml:space="preserve">      1</w:t>
      </w:r>
    </w:p>
    <w:p w14:paraId="0E34414F" w14:textId="77777777" w:rsidR="000A3B0B" w:rsidRPr="00F03681" w:rsidRDefault="000A3B0B" w:rsidP="000A3B0B">
      <w:pPr>
        <w:pStyle w:val="Title"/>
        <w:numPr>
          <w:ilvl w:val="0"/>
          <w:numId w:val="1"/>
        </w:numPr>
        <w:tabs>
          <w:tab w:val="clear" w:pos="4395"/>
          <w:tab w:val="left" w:pos="4650"/>
          <w:tab w:val="right" w:pos="9000"/>
        </w:tabs>
        <w:jc w:val="left"/>
        <w:rPr>
          <w:rFonts w:ascii="Times New Roman" w:hAnsi="Times New Roman"/>
          <w:b w:val="0"/>
          <w:sz w:val="12"/>
          <w:szCs w:val="12"/>
          <w:lang w:val="tr-TR"/>
        </w:rPr>
      </w:pPr>
      <w:r w:rsidRPr="00F03681">
        <w:rPr>
          <w:rFonts w:ascii="Times New Roman" w:hAnsi="Times New Roman"/>
          <w:b w:val="0"/>
          <w:sz w:val="12"/>
          <w:szCs w:val="12"/>
          <w:lang w:val="tr-TR"/>
        </w:rPr>
        <w:t xml:space="preserve">Banka’da nitelikli pay sahibi olan kişi ve kuruluşlara ilişkin açıklamalar </w:t>
      </w:r>
      <w:r w:rsidRPr="00F03681">
        <w:rPr>
          <w:rFonts w:ascii="Times New Roman" w:hAnsi="Times New Roman"/>
          <w:b w:val="0"/>
          <w:sz w:val="12"/>
          <w:szCs w:val="12"/>
          <w:lang w:val="tr-TR"/>
        </w:rPr>
        <w:tab/>
      </w:r>
      <w:r w:rsidRPr="00F03681">
        <w:rPr>
          <w:rFonts w:ascii="Times New Roman" w:hAnsi="Times New Roman"/>
          <w:b w:val="0"/>
          <w:sz w:val="12"/>
          <w:szCs w:val="12"/>
          <w:lang w:val="tr-TR"/>
        </w:rPr>
        <w:tab/>
        <w:t>2</w:t>
      </w:r>
    </w:p>
    <w:p w14:paraId="05BA241B" w14:textId="77777777" w:rsidR="000A3B0B" w:rsidRPr="00F03681"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F03681">
        <w:rPr>
          <w:rFonts w:ascii="Times New Roman" w:hAnsi="Times New Roman"/>
          <w:b w:val="0"/>
          <w:sz w:val="12"/>
          <w:szCs w:val="12"/>
          <w:lang w:val="tr-TR"/>
        </w:rPr>
        <w:t xml:space="preserve">Banka’nın hizmet türü ve faaliyet alanlarını içeren özet bilgi </w:t>
      </w:r>
      <w:r w:rsidRPr="00F03681">
        <w:rPr>
          <w:rFonts w:ascii="Times New Roman" w:hAnsi="Times New Roman"/>
          <w:b w:val="0"/>
          <w:sz w:val="12"/>
          <w:szCs w:val="12"/>
          <w:lang w:val="tr-TR"/>
        </w:rPr>
        <w:tab/>
        <w:t>2</w:t>
      </w:r>
    </w:p>
    <w:p w14:paraId="5107E052" w14:textId="77777777" w:rsidR="000A3B0B" w:rsidRPr="00F03681"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F03681">
        <w:rPr>
          <w:rFonts w:ascii="Times New Roman" w:hAnsi="Times New Roman"/>
          <w:b w:val="0"/>
          <w:sz w:val="12"/>
          <w:szCs w:val="12"/>
          <w:lang w:val="tr-TR"/>
        </w:rPr>
        <w:t xml:space="preserve">Banka ile bağlı ortaklıkları arasında özkaynakların derhal transfer edilmesinin </w:t>
      </w:r>
      <w:proofErr w:type="gramStart"/>
      <w:r w:rsidRPr="00F03681">
        <w:rPr>
          <w:rFonts w:ascii="Times New Roman" w:hAnsi="Times New Roman"/>
          <w:b w:val="0"/>
          <w:sz w:val="12"/>
          <w:szCs w:val="12"/>
          <w:lang w:val="tr-TR"/>
        </w:rPr>
        <w:t>veya  borçların</w:t>
      </w:r>
      <w:proofErr w:type="gramEnd"/>
      <w:r w:rsidRPr="00F03681">
        <w:rPr>
          <w:rFonts w:ascii="Times New Roman" w:hAnsi="Times New Roman"/>
          <w:b w:val="0"/>
          <w:sz w:val="12"/>
          <w:szCs w:val="12"/>
          <w:lang w:val="tr-TR"/>
        </w:rPr>
        <w:t xml:space="preserve"> geri ödenmesinin önünde mevcut</w:t>
      </w:r>
      <w:r w:rsidRPr="00F03681">
        <w:rPr>
          <w:rFonts w:ascii="Times New Roman" w:hAnsi="Times New Roman"/>
          <w:b w:val="0"/>
          <w:sz w:val="12"/>
          <w:szCs w:val="12"/>
          <w:lang w:val="tr-TR"/>
        </w:rPr>
        <w:tab/>
        <w:t>2</w:t>
      </w:r>
    </w:p>
    <w:p w14:paraId="363592B1" w14:textId="77777777" w:rsidR="000A3B0B" w:rsidRPr="00F03681" w:rsidRDefault="000A3B0B" w:rsidP="000A3B0B">
      <w:pPr>
        <w:pStyle w:val="Title"/>
        <w:tabs>
          <w:tab w:val="clear" w:pos="4395"/>
          <w:tab w:val="right" w:pos="9000"/>
        </w:tabs>
        <w:ind w:left="720"/>
        <w:jc w:val="left"/>
        <w:rPr>
          <w:rFonts w:ascii="Times New Roman" w:hAnsi="Times New Roman"/>
          <w:b w:val="0"/>
          <w:sz w:val="12"/>
          <w:szCs w:val="12"/>
          <w:lang w:val="tr-TR"/>
        </w:rPr>
      </w:pPr>
      <w:r w:rsidRPr="00F03681">
        <w:rPr>
          <w:rFonts w:ascii="Times New Roman" w:hAnsi="Times New Roman"/>
          <w:b w:val="0"/>
          <w:sz w:val="12"/>
          <w:szCs w:val="12"/>
          <w:lang w:val="tr-TR"/>
        </w:rPr>
        <w:t xml:space="preserve"> </w:t>
      </w:r>
      <w:proofErr w:type="gramStart"/>
      <w:r w:rsidRPr="00F03681">
        <w:rPr>
          <w:rFonts w:ascii="Times New Roman" w:hAnsi="Times New Roman"/>
          <w:b w:val="0"/>
          <w:sz w:val="12"/>
          <w:szCs w:val="12"/>
          <w:lang w:val="tr-TR"/>
        </w:rPr>
        <w:t>veya</w:t>
      </w:r>
      <w:proofErr w:type="gramEnd"/>
      <w:r w:rsidRPr="00F03681">
        <w:rPr>
          <w:rFonts w:ascii="Times New Roman" w:hAnsi="Times New Roman"/>
          <w:b w:val="0"/>
          <w:sz w:val="12"/>
          <w:szCs w:val="12"/>
          <w:lang w:val="tr-TR"/>
        </w:rPr>
        <w:t xml:space="preserve"> muhtemel, fiili veya hukuki engeller</w:t>
      </w:r>
    </w:p>
    <w:p w14:paraId="40494F2A" w14:textId="77777777" w:rsidR="000A3B0B" w:rsidRPr="00F03681" w:rsidRDefault="000A3B0B" w:rsidP="000A3B0B">
      <w:pPr>
        <w:pStyle w:val="Title"/>
        <w:tabs>
          <w:tab w:val="clear" w:pos="4395"/>
          <w:tab w:val="right" w:pos="9000"/>
        </w:tabs>
        <w:jc w:val="left"/>
        <w:rPr>
          <w:rFonts w:ascii="Times New Roman" w:hAnsi="Times New Roman"/>
          <w:b w:val="0"/>
          <w:sz w:val="12"/>
          <w:szCs w:val="12"/>
          <w:lang w:val="tr-TR"/>
        </w:rPr>
      </w:pPr>
    </w:p>
    <w:p w14:paraId="576EE74E" w14:textId="4E7E9365" w:rsidR="000A3B0B" w:rsidRPr="00F03681" w:rsidRDefault="00D52CB0" w:rsidP="000A3B0B">
      <w:pPr>
        <w:pStyle w:val="Title"/>
        <w:tabs>
          <w:tab w:val="clear" w:pos="4395"/>
        </w:tabs>
        <w:rPr>
          <w:rFonts w:ascii="Times New Roman" w:hAnsi="Times New Roman"/>
          <w:sz w:val="12"/>
          <w:szCs w:val="12"/>
          <w:lang w:val="tr-TR"/>
        </w:rPr>
      </w:pPr>
      <w:r w:rsidRPr="00F03681">
        <w:rPr>
          <w:rFonts w:ascii="Times New Roman" w:hAnsi="Times New Roman"/>
          <w:sz w:val="12"/>
          <w:szCs w:val="12"/>
          <w:lang w:val="tr-TR"/>
        </w:rPr>
        <w:t>İkinci bölüm</w:t>
      </w:r>
    </w:p>
    <w:p w14:paraId="54AC8E80" w14:textId="5CDE471A" w:rsidR="000A3B0B" w:rsidRPr="00F03681" w:rsidRDefault="00D52CB0" w:rsidP="000A3B0B">
      <w:pPr>
        <w:pStyle w:val="Title"/>
        <w:tabs>
          <w:tab w:val="clear" w:pos="4395"/>
        </w:tabs>
        <w:rPr>
          <w:rFonts w:ascii="Times New Roman" w:hAnsi="Times New Roman"/>
          <w:sz w:val="12"/>
          <w:szCs w:val="12"/>
          <w:lang w:val="tr-TR"/>
        </w:rPr>
      </w:pPr>
      <w:r w:rsidRPr="00F03681">
        <w:rPr>
          <w:rFonts w:ascii="Times New Roman" w:hAnsi="Times New Roman"/>
          <w:sz w:val="12"/>
          <w:szCs w:val="12"/>
          <w:lang w:val="tr-TR"/>
        </w:rPr>
        <w:t>Konsolide olmayan finansal tablolar</w:t>
      </w:r>
    </w:p>
    <w:p w14:paraId="7AE3A54E" w14:textId="6D71A1EB" w:rsidR="000A3B0B" w:rsidRPr="00D54320" w:rsidRDefault="00D52CB0"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Konsolide olmayan bilanço (finansal durum tablosu)</w:t>
      </w:r>
      <w:r w:rsidRPr="00D54320">
        <w:rPr>
          <w:rFonts w:ascii="Times New Roman" w:hAnsi="Times New Roman"/>
          <w:b w:val="0"/>
          <w:sz w:val="12"/>
          <w:szCs w:val="12"/>
          <w:lang w:val="tr-TR"/>
        </w:rPr>
        <w:tab/>
        <w:t>3</w:t>
      </w:r>
    </w:p>
    <w:p w14:paraId="0A499541" w14:textId="77777777" w:rsidR="000A3B0B" w:rsidRPr="00D5432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Konsolide olmayan nazım hesaplar tablosu</w:t>
      </w:r>
      <w:r w:rsidRPr="00D54320">
        <w:rPr>
          <w:rFonts w:ascii="Times New Roman" w:hAnsi="Times New Roman"/>
          <w:b w:val="0"/>
          <w:sz w:val="12"/>
          <w:szCs w:val="12"/>
          <w:lang w:val="tr-TR"/>
        </w:rPr>
        <w:tab/>
        <w:t>5</w:t>
      </w:r>
    </w:p>
    <w:p w14:paraId="43EF9217" w14:textId="1224FCE9" w:rsidR="000A3B0B" w:rsidRPr="00D5432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Konsolide olmayan</w:t>
      </w:r>
      <w:r w:rsidR="00D52CB0" w:rsidRPr="00D54320">
        <w:rPr>
          <w:rFonts w:ascii="Times New Roman" w:hAnsi="Times New Roman"/>
          <w:b w:val="0"/>
          <w:sz w:val="12"/>
          <w:szCs w:val="12"/>
          <w:lang w:val="tr-TR"/>
        </w:rPr>
        <w:t xml:space="preserve"> kar veya zarar tablosu (gelir tablosu)</w:t>
      </w:r>
      <w:r w:rsidR="00D52CB0" w:rsidRPr="00D54320">
        <w:rPr>
          <w:rFonts w:ascii="Times New Roman" w:hAnsi="Times New Roman"/>
          <w:b w:val="0"/>
          <w:sz w:val="12"/>
          <w:szCs w:val="12"/>
          <w:lang w:val="tr-TR"/>
        </w:rPr>
        <w:tab/>
        <w:t>6</w:t>
      </w:r>
    </w:p>
    <w:p w14:paraId="58C44E07" w14:textId="77777777" w:rsidR="000A3B0B" w:rsidRPr="00D5432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Konsolide olmayan kar veya zarar ve diğer kapsamlı gelir tablosu</w:t>
      </w:r>
      <w:r w:rsidRPr="00D54320">
        <w:rPr>
          <w:rFonts w:ascii="Times New Roman" w:hAnsi="Times New Roman"/>
          <w:b w:val="0"/>
          <w:sz w:val="12"/>
          <w:szCs w:val="12"/>
          <w:lang w:val="tr-TR"/>
        </w:rPr>
        <w:tab/>
        <w:t>7</w:t>
      </w:r>
    </w:p>
    <w:p w14:paraId="7DF23BEE" w14:textId="77777777" w:rsidR="000A3B0B" w:rsidRPr="00D5432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Konsolide olmayan özkaynak değişim tablosu</w:t>
      </w:r>
      <w:r w:rsidRPr="00D54320">
        <w:rPr>
          <w:rFonts w:ascii="Times New Roman" w:hAnsi="Times New Roman"/>
          <w:b w:val="0"/>
          <w:sz w:val="12"/>
          <w:szCs w:val="12"/>
          <w:lang w:val="tr-TR"/>
        </w:rPr>
        <w:tab/>
        <w:t>8</w:t>
      </w:r>
    </w:p>
    <w:p w14:paraId="50F20E0C" w14:textId="77777777" w:rsidR="000A3B0B" w:rsidRPr="00D5432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Konsolide olmayan nakit akış tablosu </w:t>
      </w:r>
      <w:r w:rsidRPr="00D54320">
        <w:rPr>
          <w:rFonts w:ascii="Times New Roman" w:hAnsi="Times New Roman"/>
          <w:b w:val="0"/>
          <w:sz w:val="12"/>
          <w:szCs w:val="12"/>
          <w:lang w:val="tr-TR"/>
        </w:rPr>
        <w:tab/>
        <w:t>9</w:t>
      </w:r>
    </w:p>
    <w:p w14:paraId="7111D479" w14:textId="77777777" w:rsidR="000A3B0B" w:rsidRPr="00D5432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Konsolide olmayan kar dağıtım tablosu                                                                                                                             </w:t>
      </w:r>
      <w:r w:rsidRPr="00D54320">
        <w:rPr>
          <w:rFonts w:ascii="Times New Roman" w:hAnsi="Times New Roman"/>
          <w:b w:val="0"/>
          <w:sz w:val="12"/>
          <w:szCs w:val="12"/>
          <w:lang w:val="tr-TR"/>
        </w:rPr>
        <w:tab/>
        <w:t>10</w:t>
      </w:r>
    </w:p>
    <w:p w14:paraId="5411184C" w14:textId="77777777" w:rsidR="000A3B0B" w:rsidRPr="00D54320" w:rsidRDefault="000A3B0B" w:rsidP="000A3B0B">
      <w:pPr>
        <w:pStyle w:val="Title"/>
        <w:tabs>
          <w:tab w:val="clear" w:pos="4395"/>
        </w:tabs>
        <w:rPr>
          <w:rFonts w:ascii="Times New Roman" w:hAnsi="Times New Roman"/>
          <w:sz w:val="11"/>
          <w:szCs w:val="11"/>
          <w:lang w:val="tr-TR"/>
        </w:rPr>
      </w:pPr>
    </w:p>
    <w:p w14:paraId="2EDDFCA5" w14:textId="21C1AC94" w:rsidR="000A3B0B" w:rsidRPr="00D54320" w:rsidRDefault="00D52CB0" w:rsidP="000A3B0B">
      <w:pPr>
        <w:pStyle w:val="Title"/>
        <w:tabs>
          <w:tab w:val="clear" w:pos="4395"/>
        </w:tabs>
        <w:rPr>
          <w:rFonts w:ascii="Times New Roman" w:hAnsi="Times New Roman"/>
          <w:sz w:val="12"/>
          <w:szCs w:val="12"/>
          <w:lang w:val="tr-TR"/>
        </w:rPr>
      </w:pPr>
      <w:r w:rsidRPr="00D54320">
        <w:rPr>
          <w:rFonts w:ascii="Times New Roman" w:hAnsi="Times New Roman"/>
          <w:sz w:val="12"/>
          <w:szCs w:val="12"/>
          <w:lang w:val="tr-TR"/>
        </w:rPr>
        <w:t>Üçüncü bölüm</w:t>
      </w:r>
    </w:p>
    <w:p w14:paraId="15320209" w14:textId="77777777" w:rsidR="000A3B0B" w:rsidRPr="00D54320" w:rsidRDefault="000A3B0B" w:rsidP="000A3B0B">
      <w:pPr>
        <w:pStyle w:val="Title"/>
        <w:tabs>
          <w:tab w:val="clear" w:pos="4395"/>
        </w:tabs>
        <w:rPr>
          <w:rFonts w:ascii="Times New Roman" w:hAnsi="Times New Roman"/>
          <w:sz w:val="12"/>
          <w:szCs w:val="12"/>
          <w:lang w:val="tr-TR"/>
        </w:rPr>
      </w:pPr>
      <w:r w:rsidRPr="00D54320">
        <w:rPr>
          <w:rFonts w:ascii="Times New Roman" w:hAnsi="Times New Roman"/>
          <w:sz w:val="12"/>
          <w:szCs w:val="12"/>
          <w:lang w:val="tr-TR"/>
        </w:rPr>
        <w:t>Muhasebe politikaları</w:t>
      </w:r>
    </w:p>
    <w:p w14:paraId="3A84E0AC" w14:textId="4E3F87E9"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Sunum esaslarına ilişkin açıklamalar                                                                                                                                                                                                                     </w:t>
      </w:r>
      <w:r w:rsidR="00290A4C" w:rsidRPr="00D54320">
        <w:rPr>
          <w:rFonts w:ascii="Times New Roman" w:hAnsi="Times New Roman"/>
          <w:b w:val="0"/>
          <w:sz w:val="12"/>
          <w:szCs w:val="12"/>
          <w:lang w:val="tr-TR"/>
        </w:rPr>
        <w:tab/>
      </w:r>
      <w:r w:rsidRPr="00D54320">
        <w:rPr>
          <w:rFonts w:ascii="Times New Roman" w:hAnsi="Times New Roman"/>
          <w:b w:val="0"/>
          <w:sz w:val="12"/>
          <w:szCs w:val="12"/>
          <w:lang w:val="tr-TR"/>
        </w:rPr>
        <w:t>11</w:t>
      </w:r>
    </w:p>
    <w:p w14:paraId="16ABF251"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Finansal araçların kullanım stratejisi ve yabancı para cinsinden işlemlere ilişkin açıklamalar </w:t>
      </w:r>
      <w:r w:rsidRPr="00D54320">
        <w:rPr>
          <w:rFonts w:ascii="Times New Roman" w:hAnsi="Times New Roman"/>
          <w:b w:val="0"/>
          <w:sz w:val="12"/>
          <w:szCs w:val="12"/>
          <w:lang w:val="tr-TR"/>
        </w:rPr>
        <w:tab/>
        <w:t>14</w:t>
      </w:r>
    </w:p>
    <w:p w14:paraId="5D7BBA02"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İştirak ve bağlı ortaklıklara ilişkin bilgiler</w:t>
      </w:r>
      <w:r w:rsidRPr="00D54320">
        <w:rPr>
          <w:rFonts w:ascii="Times New Roman" w:hAnsi="Times New Roman"/>
          <w:b w:val="0"/>
          <w:sz w:val="12"/>
          <w:szCs w:val="12"/>
          <w:lang w:val="tr-TR"/>
        </w:rPr>
        <w:tab/>
        <w:t>14</w:t>
      </w:r>
    </w:p>
    <w:p w14:paraId="6E9BBB7C"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Vadeli işlem ve opsiyon sözleşmeleri ile türev ürünlere ilişkin açıklamalar </w:t>
      </w:r>
      <w:r w:rsidRPr="00D54320">
        <w:rPr>
          <w:rFonts w:ascii="Times New Roman" w:hAnsi="Times New Roman"/>
          <w:b w:val="0"/>
          <w:sz w:val="12"/>
          <w:szCs w:val="12"/>
          <w:lang w:val="tr-TR"/>
        </w:rPr>
        <w:tab/>
        <w:t>14</w:t>
      </w:r>
    </w:p>
    <w:p w14:paraId="67747F4D"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D54320">
        <w:rPr>
          <w:rFonts w:ascii="Times New Roman" w:hAnsi="Times New Roman"/>
          <w:b w:val="0"/>
          <w:sz w:val="12"/>
          <w:szCs w:val="12"/>
          <w:lang w:val="tr-TR"/>
        </w:rPr>
        <w:t>Kar</w:t>
      </w:r>
      <w:proofErr w:type="gramEnd"/>
      <w:r w:rsidRPr="00D54320">
        <w:rPr>
          <w:rFonts w:ascii="Times New Roman" w:hAnsi="Times New Roman"/>
          <w:b w:val="0"/>
          <w:sz w:val="12"/>
          <w:szCs w:val="12"/>
          <w:lang w:val="tr-TR"/>
        </w:rPr>
        <w:t xml:space="preserve"> payı gelir ve giderine ilişkin açıklamalar </w:t>
      </w:r>
      <w:r w:rsidRPr="00D54320">
        <w:rPr>
          <w:rFonts w:ascii="Times New Roman" w:hAnsi="Times New Roman"/>
          <w:b w:val="0"/>
          <w:sz w:val="12"/>
          <w:szCs w:val="12"/>
          <w:lang w:val="tr-TR"/>
        </w:rPr>
        <w:tab/>
        <w:t>15</w:t>
      </w:r>
    </w:p>
    <w:p w14:paraId="7B44A587"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Ücret ve komisyon gelir ve giderlerine ilişkin açıklamalar </w:t>
      </w:r>
      <w:r w:rsidRPr="00D54320">
        <w:rPr>
          <w:rFonts w:ascii="Times New Roman" w:hAnsi="Times New Roman"/>
          <w:b w:val="0"/>
          <w:sz w:val="12"/>
          <w:szCs w:val="12"/>
          <w:lang w:val="tr-TR"/>
        </w:rPr>
        <w:tab/>
        <w:t>15</w:t>
      </w:r>
    </w:p>
    <w:p w14:paraId="138F3637"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Finansal varlıklara ilişkin açıklama ve dipnotlar </w:t>
      </w:r>
      <w:r w:rsidRPr="00D54320">
        <w:rPr>
          <w:rFonts w:ascii="Times New Roman" w:hAnsi="Times New Roman"/>
          <w:b w:val="0"/>
          <w:sz w:val="12"/>
          <w:szCs w:val="12"/>
          <w:lang w:val="tr-TR"/>
        </w:rPr>
        <w:tab/>
        <w:t>15</w:t>
      </w:r>
    </w:p>
    <w:p w14:paraId="781F8D5B"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Finansal araçların netleştirilmesine ilişkin açıklamalar</w:t>
      </w:r>
      <w:r w:rsidRPr="00D54320">
        <w:rPr>
          <w:rFonts w:ascii="Times New Roman" w:hAnsi="Times New Roman"/>
          <w:b w:val="0"/>
          <w:sz w:val="12"/>
          <w:szCs w:val="12"/>
          <w:lang w:val="tr-TR"/>
        </w:rPr>
        <w:tab/>
        <w:t>17</w:t>
      </w:r>
    </w:p>
    <w:p w14:paraId="6D7ED0CB"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Satış ve geri alış anlaşmaları ve menkul değerlerin ödünç verilmesi işlemlerine ilişkin açıklamalar</w:t>
      </w:r>
      <w:r w:rsidRPr="00D54320">
        <w:rPr>
          <w:rFonts w:ascii="Times New Roman" w:hAnsi="Times New Roman"/>
          <w:b w:val="0"/>
          <w:sz w:val="12"/>
          <w:szCs w:val="12"/>
          <w:lang w:val="tr-TR"/>
        </w:rPr>
        <w:tab/>
        <w:t>17</w:t>
      </w:r>
    </w:p>
    <w:p w14:paraId="351CFBF3"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Satış amaçlı elde tutulan ve durdurulan faaliyetlere ilişkin duran varlıklar ile bu varlıklara ilişkin borçlar hakkında açıklamalar</w:t>
      </w:r>
      <w:r w:rsidRPr="00D54320">
        <w:rPr>
          <w:rFonts w:ascii="Times New Roman" w:hAnsi="Times New Roman"/>
          <w:b w:val="0"/>
          <w:sz w:val="12"/>
          <w:szCs w:val="12"/>
          <w:lang w:val="tr-TR"/>
        </w:rPr>
        <w:tab/>
        <w:t>17</w:t>
      </w:r>
    </w:p>
    <w:p w14:paraId="33FA6B06"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Şerefiye ve diğer maddi olmayan duran varlıklara ilişkin açıklamalar</w:t>
      </w:r>
      <w:r w:rsidRPr="00D54320">
        <w:rPr>
          <w:rFonts w:ascii="Times New Roman" w:hAnsi="Times New Roman"/>
          <w:b w:val="0"/>
          <w:sz w:val="12"/>
          <w:szCs w:val="12"/>
          <w:lang w:val="tr-TR"/>
        </w:rPr>
        <w:tab/>
        <w:t>18</w:t>
      </w:r>
    </w:p>
    <w:p w14:paraId="28E8A58A" w14:textId="77777777" w:rsidR="000A3B0B" w:rsidRPr="00D54320" w:rsidRDefault="000A3B0B" w:rsidP="000A3B0B">
      <w:pPr>
        <w:pStyle w:val="Title"/>
        <w:numPr>
          <w:ilvl w:val="0"/>
          <w:numId w:val="3"/>
        </w:numPr>
        <w:tabs>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Maddi duran varlıklara ilişkin açıklamalar</w:t>
      </w:r>
      <w:r w:rsidRPr="00D54320">
        <w:rPr>
          <w:rFonts w:ascii="Times New Roman" w:hAnsi="Times New Roman"/>
          <w:b w:val="0"/>
          <w:sz w:val="12"/>
          <w:szCs w:val="12"/>
          <w:lang w:val="tr-TR"/>
        </w:rPr>
        <w:tab/>
      </w:r>
      <w:r w:rsidRPr="00D54320">
        <w:rPr>
          <w:rFonts w:ascii="Times New Roman" w:hAnsi="Times New Roman"/>
          <w:b w:val="0"/>
          <w:sz w:val="12"/>
          <w:szCs w:val="12"/>
          <w:lang w:val="tr-TR"/>
        </w:rPr>
        <w:tab/>
        <w:t>18</w:t>
      </w:r>
    </w:p>
    <w:p w14:paraId="0023693E" w14:textId="75B1FA83" w:rsidR="000A3B0B" w:rsidRPr="00D54320" w:rsidRDefault="000A3B0B" w:rsidP="000A3B0B">
      <w:pPr>
        <w:pStyle w:val="Title"/>
        <w:numPr>
          <w:ilvl w:val="0"/>
          <w:numId w:val="3"/>
        </w:numPr>
        <w:tabs>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Kiralama işlemlerine ilişkin açıklamalar</w:t>
      </w:r>
      <w:r w:rsidRPr="00D54320">
        <w:rPr>
          <w:rFonts w:ascii="Times New Roman" w:hAnsi="Times New Roman"/>
          <w:b w:val="0"/>
          <w:sz w:val="12"/>
          <w:szCs w:val="12"/>
          <w:lang w:val="tr-TR"/>
        </w:rPr>
        <w:tab/>
      </w:r>
      <w:r w:rsidRPr="00D54320">
        <w:rPr>
          <w:rFonts w:ascii="Times New Roman" w:hAnsi="Times New Roman"/>
          <w:b w:val="0"/>
          <w:sz w:val="12"/>
          <w:szCs w:val="12"/>
          <w:lang w:val="tr-TR"/>
        </w:rPr>
        <w:tab/>
        <w:t>1</w:t>
      </w:r>
      <w:r w:rsidR="007A5308">
        <w:rPr>
          <w:rFonts w:ascii="Times New Roman" w:hAnsi="Times New Roman"/>
          <w:b w:val="0"/>
          <w:sz w:val="12"/>
          <w:szCs w:val="12"/>
          <w:lang w:val="tr-TR"/>
        </w:rPr>
        <w:t>9</w:t>
      </w:r>
    </w:p>
    <w:p w14:paraId="69891549" w14:textId="77777777"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Karşılıklar ve koşullu yükümlülüklere ilişkin açıklamalar</w:t>
      </w:r>
      <w:r w:rsidRPr="00D54320">
        <w:rPr>
          <w:rFonts w:ascii="Times New Roman" w:hAnsi="Times New Roman"/>
          <w:b w:val="0"/>
          <w:sz w:val="12"/>
          <w:szCs w:val="12"/>
          <w:lang w:val="tr-TR"/>
        </w:rPr>
        <w:tab/>
        <w:t>19</w:t>
      </w:r>
    </w:p>
    <w:p w14:paraId="4B028057" w14:textId="2A7763DC"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Çalışanların haklarına ilişkin yükümlülüklere ilişkin açıklamalar </w:t>
      </w:r>
      <w:r w:rsidRPr="00D54320">
        <w:rPr>
          <w:rFonts w:ascii="Times New Roman" w:hAnsi="Times New Roman"/>
          <w:b w:val="0"/>
          <w:sz w:val="12"/>
          <w:szCs w:val="12"/>
          <w:lang w:val="tr-TR"/>
        </w:rPr>
        <w:tab/>
      </w:r>
      <w:r w:rsidR="00450074">
        <w:rPr>
          <w:rFonts w:ascii="Times New Roman" w:hAnsi="Times New Roman"/>
          <w:b w:val="0"/>
          <w:sz w:val="12"/>
          <w:szCs w:val="12"/>
          <w:lang w:val="tr-TR"/>
        </w:rPr>
        <w:t>20</w:t>
      </w:r>
    </w:p>
    <w:p w14:paraId="3A026445" w14:textId="77777777" w:rsidR="000A3B0B" w:rsidRPr="00D54320" w:rsidRDefault="000A3B0B" w:rsidP="000A3B0B">
      <w:pPr>
        <w:pStyle w:val="Title"/>
        <w:numPr>
          <w:ilvl w:val="0"/>
          <w:numId w:val="3"/>
        </w:numPr>
        <w:tabs>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Vergi uygulamalarına ilişkin açıklamalar</w:t>
      </w:r>
      <w:r w:rsidRPr="00D54320">
        <w:rPr>
          <w:rFonts w:ascii="Times New Roman" w:hAnsi="Times New Roman"/>
          <w:b w:val="0"/>
          <w:sz w:val="12"/>
          <w:szCs w:val="12"/>
          <w:lang w:val="tr-TR"/>
        </w:rPr>
        <w:tab/>
      </w:r>
      <w:r w:rsidRPr="00D54320">
        <w:rPr>
          <w:rFonts w:ascii="Times New Roman" w:hAnsi="Times New Roman"/>
          <w:b w:val="0"/>
          <w:sz w:val="12"/>
          <w:szCs w:val="12"/>
          <w:lang w:val="tr-TR"/>
        </w:rPr>
        <w:tab/>
        <w:t>20</w:t>
      </w:r>
    </w:p>
    <w:p w14:paraId="08CD7CAB" w14:textId="1BCA9A94" w:rsidR="000A3B0B" w:rsidRPr="00D54320" w:rsidRDefault="000A3B0B" w:rsidP="000A3B0B">
      <w:pPr>
        <w:pStyle w:val="Title"/>
        <w:numPr>
          <w:ilvl w:val="0"/>
          <w:numId w:val="3"/>
        </w:numPr>
        <w:tabs>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Borçlanmalara ilişkin ilave açıklamalar</w:t>
      </w:r>
      <w:r w:rsidRPr="00D54320">
        <w:rPr>
          <w:rFonts w:ascii="Times New Roman" w:hAnsi="Times New Roman"/>
          <w:b w:val="0"/>
          <w:sz w:val="12"/>
          <w:szCs w:val="12"/>
          <w:lang w:val="tr-TR"/>
        </w:rPr>
        <w:tab/>
      </w:r>
      <w:r w:rsidRPr="00D54320">
        <w:rPr>
          <w:rFonts w:ascii="Times New Roman" w:hAnsi="Times New Roman"/>
          <w:b w:val="0"/>
          <w:sz w:val="12"/>
          <w:szCs w:val="12"/>
          <w:lang w:val="tr-TR"/>
        </w:rPr>
        <w:tab/>
        <w:t>2</w:t>
      </w:r>
      <w:r w:rsidR="00450074">
        <w:rPr>
          <w:rFonts w:ascii="Times New Roman" w:hAnsi="Times New Roman"/>
          <w:b w:val="0"/>
          <w:sz w:val="12"/>
          <w:szCs w:val="12"/>
          <w:lang w:val="tr-TR"/>
        </w:rPr>
        <w:t>2</w:t>
      </w:r>
    </w:p>
    <w:p w14:paraId="4E34582E" w14:textId="027E61C4"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İhraç edilen hisse senetlerine ilişkin açıklamalar </w:t>
      </w:r>
      <w:r w:rsidRPr="00D54320">
        <w:rPr>
          <w:rFonts w:ascii="Times New Roman" w:hAnsi="Times New Roman"/>
          <w:b w:val="0"/>
          <w:sz w:val="12"/>
          <w:szCs w:val="12"/>
          <w:lang w:val="tr-TR"/>
        </w:rPr>
        <w:tab/>
        <w:t>2</w:t>
      </w:r>
      <w:r w:rsidR="00450074">
        <w:rPr>
          <w:rFonts w:ascii="Times New Roman" w:hAnsi="Times New Roman"/>
          <w:b w:val="0"/>
          <w:sz w:val="12"/>
          <w:szCs w:val="12"/>
          <w:lang w:val="tr-TR"/>
        </w:rPr>
        <w:t>2</w:t>
      </w:r>
    </w:p>
    <w:p w14:paraId="4927AF0F" w14:textId="744C5655"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Aval ve kabullere ilişkin açıklamalar </w:t>
      </w:r>
      <w:r w:rsidRPr="00D54320">
        <w:rPr>
          <w:rFonts w:ascii="Times New Roman" w:hAnsi="Times New Roman"/>
          <w:b w:val="0"/>
          <w:sz w:val="12"/>
          <w:szCs w:val="12"/>
          <w:lang w:val="tr-TR"/>
        </w:rPr>
        <w:tab/>
        <w:t>2</w:t>
      </w:r>
      <w:r w:rsidR="00E6433E">
        <w:rPr>
          <w:rFonts w:ascii="Times New Roman" w:hAnsi="Times New Roman"/>
          <w:b w:val="0"/>
          <w:sz w:val="12"/>
          <w:szCs w:val="12"/>
          <w:lang w:val="tr-TR"/>
        </w:rPr>
        <w:t>2</w:t>
      </w:r>
    </w:p>
    <w:p w14:paraId="12739DD5" w14:textId="3C610D6C"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Devlet teşviklerine ilişkin açıklamalar </w:t>
      </w:r>
      <w:r w:rsidRPr="00D54320">
        <w:rPr>
          <w:rFonts w:ascii="Times New Roman" w:hAnsi="Times New Roman"/>
          <w:b w:val="0"/>
          <w:sz w:val="12"/>
          <w:szCs w:val="12"/>
          <w:lang w:val="tr-TR"/>
        </w:rPr>
        <w:tab/>
        <w:t>2</w:t>
      </w:r>
      <w:r w:rsidR="00D54320">
        <w:rPr>
          <w:rFonts w:ascii="Times New Roman" w:hAnsi="Times New Roman"/>
          <w:b w:val="0"/>
          <w:sz w:val="12"/>
          <w:szCs w:val="12"/>
          <w:lang w:val="tr-TR"/>
        </w:rPr>
        <w:t>2</w:t>
      </w:r>
    </w:p>
    <w:p w14:paraId="787A9D83" w14:textId="37DEE75E" w:rsidR="000A3B0B" w:rsidRPr="00D5432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D54320">
        <w:rPr>
          <w:rFonts w:ascii="Times New Roman" w:hAnsi="Times New Roman"/>
          <w:b w:val="0"/>
          <w:sz w:val="12"/>
          <w:szCs w:val="12"/>
          <w:lang w:val="tr-TR"/>
        </w:rPr>
        <w:t xml:space="preserve">Raporlamanın bölümlemeye göre yapılmasına ilişkin açıklamalar </w:t>
      </w:r>
      <w:r w:rsidRPr="00D54320">
        <w:rPr>
          <w:rFonts w:ascii="Times New Roman" w:hAnsi="Times New Roman"/>
          <w:b w:val="0"/>
          <w:sz w:val="12"/>
          <w:szCs w:val="12"/>
          <w:lang w:val="tr-TR"/>
        </w:rPr>
        <w:tab/>
        <w:t>2</w:t>
      </w:r>
      <w:r w:rsidR="00C356B2" w:rsidRPr="00D54320">
        <w:rPr>
          <w:rFonts w:ascii="Times New Roman" w:hAnsi="Times New Roman"/>
          <w:b w:val="0"/>
          <w:sz w:val="12"/>
          <w:szCs w:val="12"/>
          <w:lang w:val="tr-TR"/>
        </w:rPr>
        <w:t>2</w:t>
      </w:r>
    </w:p>
    <w:p w14:paraId="12F9A015" w14:textId="3BD2E445" w:rsidR="000A3B0B" w:rsidRPr="006F6021" w:rsidRDefault="000A3B0B" w:rsidP="000A3B0B">
      <w:pPr>
        <w:pStyle w:val="Title"/>
        <w:numPr>
          <w:ilvl w:val="0"/>
          <w:numId w:val="3"/>
        </w:numPr>
        <w:tabs>
          <w:tab w:val="clear" w:pos="4395"/>
          <w:tab w:val="left" w:pos="5745"/>
          <w:tab w:val="right" w:pos="9000"/>
        </w:tabs>
        <w:jc w:val="left"/>
        <w:rPr>
          <w:rFonts w:ascii="Times New Roman" w:hAnsi="Times New Roman"/>
          <w:b w:val="0"/>
          <w:sz w:val="11"/>
          <w:szCs w:val="11"/>
          <w:lang w:val="tr-TR"/>
        </w:rPr>
      </w:pPr>
      <w:r w:rsidRPr="00D54320">
        <w:rPr>
          <w:rFonts w:ascii="Times New Roman" w:hAnsi="Times New Roman"/>
          <w:b w:val="0"/>
          <w:sz w:val="12"/>
          <w:szCs w:val="12"/>
          <w:lang w:val="tr-TR"/>
        </w:rPr>
        <w:t>Diğer hususlara ilişkin açıklamal</w:t>
      </w:r>
      <w:r w:rsidRPr="006F6021">
        <w:rPr>
          <w:rFonts w:ascii="Times New Roman" w:hAnsi="Times New Roman"/>
          <w:b w:val="0"/>
          <w:sz w:val="12"/>
          <w:szCs w:val="12"/>
          <w:lang w:val="tr-TR"/>
        </w:rPr>
        <w:t>ar</w:t>
      </w:r>
      <w:r w:rsidRPr="006F6021">
        <w:rPr>
          <w:rFonts w:ascii="Times New Roman" w:hAnsi="Times New Roman"/>
          <w:b w:val="0"/>
          <w:sz w:val="12"/>
          <w:szCs w:val="12"/>
          <w:lang w:val="tr-TR"/>
        </w:rPr>
        <w:tab/>
      </w:r>
      <w:r w:rsidRPr="006F6021">
        <w:rPr>
          <w:rFonts w:ascii="Times New Roman" w:hAnsi="Times New Roman"/>
          <w:b w:val="0"/>
          <w:sz w:val="12"/>
          <w:szCs w:val="12"/>
          <w:lang w:val="tr-TR"/>
        </w:rPr>
        <w:tab/>
        <w:t>2</w:t>
      </w:r>
      <w:r w:rsidR="00C356B2" w:rsidRPr="006F6021">
        <w:rPr>
          <w:rFonts w:ascii="Times New Roman" w:hAnsi="Times New Roman"/>
          <w:b w:val="0"/>
          <w:sz w:val="12"/>
          <w:szCs w:val="12"/>
          <w:lang w:val="tr-TR"/>
        </w:rPr>
        <w:t>2</w:t>
      </w:r>
    </w:p>
    <w:p w14:paraId="0D7EF1EA" w14:textId="77777777" w:rsidR="000A3B0B" w:rsidRPr="006F6021" w:rsidRDefault="000A3B0B" w:rsidP="000A3B0B">
      <w:pPr>
        <w:pStyle w:val="Title"/>
        <w:tabs>
          <w:tab w:val="clear" w:pos="4395"/>
        </w:tabs>
        <w:jc w:val="left"/>
        <w:rPr>
          <w:rFonts w:ascii="Times New Roman" w:hAnsi="Times New Roman"/>
          <w:sz w:val="11"/>
          <w:szCs w:val="11"/>
          <w:lang w:val="tr-TR"/>
        </w:rPr>
      </w:pPr>
    </w:p>
    <w:p w14:paraId="5A135EE5" w14:textId="7605BBC0" w:rsidR="000A3B0B" w:rsidRPr="006F6021" w:rsidRDefault="00D52CB0" w:rsidP="000A3B0B">
      <w:pPr>
        <w:pStyle w:val="Title"/>
        <w:tabs>
          <w:tab w:val="clear" w:pos="4395"/>
        </w:tabs>
        <w:rPr>
          <w:rFonts w:ascii="Times New Roman" w:hAnsi="Times New Roman"/>
          <w:sz w:val="12"/>
          <w:szCs w:val="12"/>
          <w:lang w:val="tr-TR"/>
        </w:rPr>
      </w:pPr>
      <w:r w:rsidRPr="006F6021">
        <w:rPr>
          <w:rFonts w:ascii="Times New Roman" w:hAnsi="Times New Roman"/>
          <w:sz w:val="12"/>
          <w:szCs w:val="12"/>
          <w:lang w:val="tr-TR"/>
        </w:rPr>
        <w:t>Dördüncü bölüm</w:t>
      </w:r>
    </w:p>
    <w:p w14:paraId="342C5C92" w14:textId="18025CC4" w:rsidR="000A3B0B" w:rsidRPr="006F6021" w:rsidRDefault="00D52CB0" w:rsidP="000A3B0B">
      <w:pPr>
        <w:pStyle w:val="Title"/>
        <w:tabs>
          <w:tab w:val="clear" w:pos="4395"/>
        </w:tabs>
        <w:rPr>
          <w:rFonts w:ascii="Times New Roman" w:hAnsi="Times New Roman"/>
          <w:sz w:val="12"/>
          <w:szCs w:val="12"/>
          <w:lang w:val="tr-TR"/>
        </w:rPr>
      </w:pPr>
      <w:r w:rsidRPr="006F6021">
        <w:rPr>
          <w:rFonts w:ascii="Times New Roman" w:hAnsi="Times New Roman"/>
          <w:sz w:val="12"/>
          <w:szCs w:val="12"/>
          <w:lang w:val="tr-TR"/>
        </w:rPr>
        <w:t xml:space="preserve">Mali bünyeye ve risk yönetimine ilişkin bilgiler  </w:t>
      </w:r>
    </w:p>
    <w:p w14:paraId="24E81DAA" w14:textId="2C2078E2" w:rsidR="000A3B0B" w:rsidRPr="006F6021" w:rsidRDefault="000A3B0B" w:rsidP="000A3B0B">
      <w:pPr>
        <w:pStyle w:val="Title"/>
        <w:numPr>
          <w:ilvl w:val="0"/>
          <w:numId w:val="4"/>
        </w:numPr>
        <w:tabs>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Özkaynak kalemlerine ilişkin açıklamalar</w:t>
      </w:r>
      <w:r w:rsidRPr="006F6021">
        <w:rPr>
          <w:rFonts w:ascii="Times New Roman" w:hAnsi="Times New Roman"/>
          <w:b w:val="0"/>
          <w:sz w:val="12"/>
          <w:szCs w:val="12"/>
          <w:lang w:val="tr-TR"/>
        </w:rPr>
        <w:tab/>
      </w:r>
      <w:r w:rsidRPr="006F6021">
        <w:rPr>
          <w:rFonts w:ascii="Times New Roman" w:hAnsi="Times New Roman"/>
          <w:b w:val="0"/>
          <w:sz w:val="12"/>
          <w:szCs w:val="12"/>
          <w:lang w:val="tr-TR"/>
        </w:rPr>
        <w:tab/>
        <w:t>2</w:t>
      </w:r>
      <w:r w:rsidR="00C356B2" w:rsidRPr="006F6021">
        <w:rPr>
          <w:rFonts w:ascii="Times New Roman" w:hAnsi="Times New Roman"/>
          <w:b w:val="0"/>
          <w:sz w:val="12"/>
          <w:szCs w:val="12"/>
          <w:lang w:val="tr-TR"/>
        </w:rPr>
        <w:t>3</w:t>
      </w:r>
    </w:p>
    <w:p w14:paraId="77C6C750" w14:textId="0F4FEEE6" w:rsidR="000A3B0B" w:rsidRPr="006F6021" w:rsidRDefault="000A3B0B" w:rsidP="000A3B0B">
      <w:pPr>
        <w:pStyle w:val="Title"/>
        <w:numPr>
          <w:ilvl w:val="0"/>
          <w:numId w:val="4"/>
        </w:numPr>
        <w:tabs>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Kredi riskine ilişkin açıklamalar</w:t>
      </w:r>
      <w:r w:rsidRPr="006F6021">
        <w:rPr>
          <w:rFonts w:ascii="Times New Roman" w:hAnsi="Times New Roman"/>
          <w:b w:val="0"/>
          <w:sz w:val="12"/>
          <w:szCs w:val="12"/>
          <w:lang w:val="tr-TR"/>
        </w:rPr>
        <w:tab/>
      </w:r>
      <w:r w:rsidRPr="006F6021">
        <w:rPr>
          <w:rFonts w:ascii="Times New Roman" w:hAnsi="Times New Roman"/>
          <w:b w:val="0"/>
          <w:sz w:val="12"/>
          <w:szCs w:val="12"/>
          <w:lang w:val="tr-TR"/>
        </w:rPr>
        <w:tab/>
        <w:t>2</w:t>
      </w:r>
      <w:r w:rsidR="00C356B2" w:rsidRPr="006F6021">
        <w:rPr>
          <w:rFonts w:ascii="Times New Roman" w:hAnsi="Times New Roman"/>
          <w:b w:val="0"/>
          <w:sz w:val="12"/>
          <w:szCs w:val="12"/>
          <w:lang w:val="tr-TR"/>
        </w:rPr>
        <w:t>8</w:t>
      </w:r>
    </w:p>
    <w:p w14:paraId="1FD94FFC" w14:textId="5356C394"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Kur riskine ilişkin açıklamalar</w:t>
      </w:r>
      <w:r w:rsidRPr="006F6021">
        <w:rPr>
          <w:rFonts w:ascii="Times New Roman" w:hAnsi="Times New Roman"/>
          <w:b w:val="0"/>
          <w:sz w:val="12"/>
          <w:szCs w:val="12"/>
          <w:lang w:val="tr-TR"/>
        </w:rPr>
        <w:tab/>
        <w:t>4</w:t>
      </w:r>
      <w:r w:rsidR="00832724" w:rsidRPr="006F6021">
        <w:rPr>
          <w:rFonts w:ascii="Times New Roman" w:hAnsi="Times New Roman"/>
          <w:b w:val="0"/>
          <w:sz w:val="12"/>
          <w:szCs w:val="12"/>
          <w:lang w:val="tr-TR"/>
        </w:rPr>
        <w:t>2</w:t>
      </w:r>
    </w:p>
    <w:p w14:paraId="6EDE3D34" w14:textId="232BDB6C"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Hisse senedi pozisyon riskine ilişkin açıklamalar</w:t>
      </w:r>
      <w:r w:rsidRPr="006F6021">
        <w:rPr>
          <w:rFonts w:ascii="Times New Roman" w:hAnsi="Times New Roman"/>
          <w:b w:val="0"/>
          <w:sz w:val="12"/>
          <w:szCs w:val="12"/>
          <w:lang w:val="tr-TR"/>
        </w:rPr>
        <w:tab/>
        <w:t>4</w:t>
      </w:r>
      <w:r w:rsidR="00832724" w:rsidRPr="006F6021">
        <w:rPr>
          <w:rFonts w:ascii="Times New Roman" w:hAnsi="Times New Roman"/>
          <w:b w:val="0"/>
          <w:sz w:val="12"/>
          <w:szCs w:val="12"/>
          <w:lang w:val="tr-TR"/>
        </w:rPr>
        <w:t>5</w:t>
      </w:r>
    </w:p>
    <w:p w14:paraId="5EDED8BE" w14:textId="74E031B0"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 xml:space="preserve">Likidite riski yönetimine ve likidite karşılama oranına </w:t>
      </w:r>
      <w:r w:rsidR="00832724" w:rsidRPr="006F6021">
        <w:rPr>
          <w:rStyle w:val="fontstyle01"/>
          <w:b w:val="0"/>
          <w:sz w:val="12"/>
          <w:szCs w:val="12"/>
          <w:lang w:val="tr-TR"/>
        </w:rPr>
        <w:t>ve net istikrarlı fonlama oranına</w:t>
      </w:r>
      <w:r w:rsidR="00832724" w:rsidRPr="006F6021">
        <w:rPr>
          <w:rStyle w:val="fontstyle01"/>
          <w:b w:val="0"/>
          <w:bCs/>
          <w:sz w:val="12"/>
          <w:szCs w:val="12"/>
        </w:rPr>
        <w:t xml:space="preserve"> </w:t>
      </w:r>
      <w:r w:rsidRPr="006F6021">
        <w:rPr>
          <w:rStyle w:val="fontstyle01"/>
          <w:b w:val="0"/>
          <w:sz w:val="12"/>
          <w:szCs w:val="12"/>
        </w:rPr>
        <w:t>ilişkin açıklamalar</w:t>
      </w:r>
      <w:r w:rsidRPr="006F6021">
        <w:rPr>
          <w:rFonts w:ascii="Times New Roman" w:hAnsi="Times New Roman"/>
          <w:b w:val="0"/>
          <w:sz w:val="12"/>
          <w:szCs w:val="12"/>
          <w:lang w:val="tr-TR"/>
        </w:rPr>
        <w:tab/>
        <w:t>4</w:t>
      </w:r>
      <w:r w:rsidR="00832724" w:rsidRPr="006F6021">
        <w:rPr>
          <w:rFonts w:ascii="Times New Roman" w:hAnsi="Times New Roman"/>
          <w:b w:val="0"/>
          <w:sz w:val="12"/>
          <w:szCs w:val="12"/>
          <w:lang w:val="tr-TR"/>
        </w:rPr>
        <w:t>6</w:t>
      </w:r>
    </w:p>
    <w:p w14:paraId="262DDDBF" w14:textId="23CE7E20"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Kaldıraç oranına ilişkin açıklamalar</w:t>
      </w:r>
      <w:r w:rsidRPr="006F6021">
        <w:rPr>
          <w:rFonts w:ascii="Times New Roman" w:hAnsi="Times New Roman"/>
          <w:b w:val="0"/>
          <w:sz w:val="12"/>
          <w:szCs w:val="12"/>
          <w:lang w:val="tr-TR"/>
        </w:rPr>
        <w:tab/>
        <w:t>5</w:t>
      </w:r>
      <w:r w:rsidR="00832724" w:rsidRPr="006F6021">
        <w:rPr>
          <w:rFonts w:ascii="Times New Roman" w:hAnsi="Times New Roman"/>
          <w:b w:val="0"/>
          <w:sz w:val="12"/>
          <w:szCs w:val="12"/>
          <w:lang w:val="tr-TR"/>
        </w:rPr>
        <w:t>7</w:t>
      </w:r>
    </w:p>
    <w:p w14:paraId="48A0B15E" w14:textId="06E31631"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Finansal varlık ve borçların gerçeğe uygun değeri ile gösterilmesine ilişkin açıklamalar</w:t>
      </w:r>
      <w:r w:rsidRPr="006F6021">
        <w:rPr>
          <w:rFonts w:ascii="Times New Roman" w:hAnsi="Times New Roman"/>
          <w:b w:val="0"/>
          <w:sz w:val="12"/>
          <w:szCs w:val="12"/>
          <w:lang w:val="tr-TR"/>
        </w:rPr>
        <w:tab/>
        <w:t>5</w:t>
      </w:r>
      <w:r w:rsidR="00832724" w:rsidRPr="006F6021">
        <w:rPr>
          <w:rFonts w:ascii="Times New Roman" w:hAnsi="Times New Roman"/>
          <w:b w:val="0"/>
          <w:sz w:val="12"/>
          <w:szCs w:val="12"/>
          <w:lang w:val="tr-TR"/>
        </w:rPr>
        <w:t>8</w:t>
      </w:r>
    </w:p>
    <w:p w14:paraId="57C139D7" w14:textId="074DBBCB"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Başkaları nam ve hesabına yapılan işlemler, inanca dayalı işlemlere ilişkin açıklamalar</w:t>
      </w:r>
      <w:r w:rsidRPr="006F6021">
        <w:rPr>
          <w:rFonts w:ascii="Times New Roman" w:hAnsi="Times New Roman"/>
          <w:b w:val="0"/>
          <w:sz w:val="12"/>
          <w:szCs w:val="12"/>
          <w:lang w:val="tr-TR"/>
        </w:rPr>
        <w:tab/>
        <w:t xml:space="preserve"> 5</w:t>
      </w:r>
      <w:r w:rsidR="00832724" w:rsidRPr="006F6021">
        <w:rPr>
          <w:rFonts w:ascii="Times New Roman" w:hAnsi="Times New Roman"/>
          <w:b w:val="0"/>
          <w:sz w:val="12"/>
          <w:szCs w:val="12"/>
          <w:lang w:val="tr-TR"/>
        </w:rPr>
        <w:t>8</w:t>
      </w:r>
    </w:p>
    <w:p w14:paraId="2AD4CD04" w14:textId="66C55D7B"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Riskten korunma muhasebesi uygulamalarına ilişkin açıklamalar</w:t>
      </w:r>
      <w:r w:rsidRPr="006F6021">
        <w:rPr>
          <w:rFonts w:ascii="Times New Roman" w:hAnsi="Times New Roman"/>
          <w:b w:val="0"/>
          <w:sz w:val="12"/>
          <w:szCs w:val="12"/>
          <w:lang w:val="tr-TR"/>
        </w:rPr>
        <w:tab/>
        <w:t>5</w:t>
      </w:r>
      <w:r w:rsidR="00832724" w:rsidRPr="006F6021">
        <w:rPr>
          <w:rFonts w:ascii="Times New Roman" w:hAnsi="Times New Roman"/>
          <w:b w:val="0"/>
          <w:sz w:val="12"/>
          <w:szCs w:val="12"/>
          <w:lang w:val="tr-TR"/>
        </w:rPr>
        <w:t>8</w:t>
      </w:r>
    </w:p>
    <w:p w14:paraId="40C9D91C" w14:textId="1AFA40AD" w:rsidR="000A3B0B" w:rsidRPr="006F6021"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6F6021">
        <w:rPr>
          <w:rStyle w:val="fontstyle01"/>
          <w:b w:val="0"/>
          <w:sz w:val="12"/>
          <w:szCs w:val="12"/>
        </w:rPr>
        <w:t>Risk yönetimine ilişkin açıklamalar</w:t>
      </w:r>
      <w:r w:rsidRPr="006F6021">
        <w:rPr>
          <w:rFonts w:ascii="Times New Roman" w:hAnsi="Times New Roman"/>
          <w:b w:val="0"/>
          <w:sz w:val="12"/>
          <w:szCs w:val="12"/>
          <w:lang w:val="tr-TR"/>
        </w:rPr>
        <w:tab/>
        <w:t>5</w:t>
      </w:r>
      <w:r w:rsidR="00832724" w:rsidRPr="006F6021">
        <w:rPr>
          <w:rFonts w:ascii="Times New Roman" w:hAnsi="Times New Roman"/>
          <w:b w:val="0"/>
          <w:sz w:val="12"/>
          <w:szCs w:val="12"/>
          <w:lang w:val="tr-TR"/>
        </w:rPr>
        <w:t>8</w:t>
      </w:r>
    </w:p>
    <w:p w14:paraId="1A9AEC07" w14:textId="20716058" w:rsidR="000A3B0B" w:rsidRPr="006F6021" w:rsidRDefault="000A3B0B" w:rsidP="000A3B0B">
      <w:pPr>
        <w:pStyle w:val="Title"/>
        <w:numPr>
          <w:ilvl w:val="0"/>
          <w:numId w:val="4"/>
        </w:numPr>
        <w:tabs>
          <w:tab w:val="clear" w:pos="4395"/>
          <w:tab w:val="right" w:pos="9000"/>
        </w:tabs>
        <w:jc w:val="left"/>
        <w:rPr>
          <w:rStyle w:val="fontstyle01"/>
          <w:b w:val="0"/>
          <w:bCs/>
          <w:sz w:val="12"/>
          <w:szCs w:val="12"/>
          <w:lang w:val="tr-TR"/>
        </w:rPr>
      </w:pPr>
      <w:r w:rsidRPr="006F6021">
        <w:rPr>
          <w:rStyle w:val="fontstyle01"/>
          <w:b w:val="0"/>
          <w:sz w:val="12"/>
          <w:szCs w:val="12"/>
        </w:rPr>
        <w:t xml:space="preserve">Menkul kıymetleştirme pozisyonları                             </w:t>
      </w:r>
      <w:r w:rsidRPr="006F6021">
        <w:rPr>
          <w:rStyle w:val="fontstyle01"/>
          <w:b w:val="0"/>
          <w:sz w:val="12"/>
          <w:szCs w:val="12"/>
          <w:lang w:val="tr-TR"/>
        </w:rPr>
        <w:t xml:space="preserve"> </w:t>
      </w:r>
      <w:r w:rsidRPr="006F6021">
        <w:rPr>
          <w:rStyle w:val="fontstyle01"/>
          <w:b w:val="0"/>
          <w:sz w:val="12"/>
          <w:szCs w:val="12"/>
        </w:rPr>
        <w:t xml:space="preserve">                                </w:t>
      </w:r>
      <w:r w:rsidRPr="006F6021">
        <w:rPr>
          <w:rStyle w:val="fontstyle01"/>
          <w:b w:val="0"/>
          <w:sz w:val="12"/>
          <w:szCs w:val="12"/>
          <w:lang w:val="tr-TR"/>
        </w:rPr>
        <w:t xml:space="preserve">                                                                                                                                                       </w:t>
      </w:r>
      <w:r w:rsidR="00290A4C" w:rsidRPr="006F6021">
        <w:rPr>
          <w:rStyle w:val="fontstyle01"/>
          <w:b w:val="0"/>
          <w:sz w:val="12"/>
          <w:szCs w:val="12"/>
          <w:lang w:val="tr-TR"/>
        </w:rPr>
        <w:tab/>
      </w:r>
      <w:r w:rsidRPr="006F6021">
        <w:rPr>
          <w:rStyle w:val="fontstyle01"/>
          <w:b w:val="0"/>
          <w:sz w:val="12"/>
          <w:szCs w:val="12"/>
          <w:lang w:val="tr-TR"/>
        </w:rPr>
        <w:t>7</w:t>
      </w:r>
      <w:r w:rsidR="00832724" w:rsidRPr="006F6021">
        <w:rPr>
          <w:rStyle w:val="fontstyle01"/>
          <w:b w:val="0"/>
          <w:sz w:val="12"/>
          <w:szCs w:val="12"/>
          <w:lang w:val="tr-TR"/>
        </w:rPr>
        <w:t>3</w:t>
      </w:r>
    </w:p>
    <w:p w14:paraId="445D8EC0" w14:textId="4BF25210" w:rsidR="000A3B0B" w:rsidRPr="006F6021" w:rsidRDefault="000A3B0B" w:rsidP="000A3B0B">
      <w:pPr>
        <w:pStyle w:val="Title"/>
        <w:numPr>
          <w:ilvl w:val="0"/>
          <w:numId w:val="4"/>
        </w:numPr>
        <w:tabs>
          <w:tab w:val="clear" w:pos="4395"/>
          <w:tab w:val="right" w:pos="9000"/>
        </w:tabs>
        <w:jc w:val="left"/>
        <w:rPr>
          <w:rStyle w:val="fontstyle01"/>
          <w:b w:val="0"/>
          <w:bCs/>
          <w:sz w:val="12"/>
          <w:szCs w:val="12"/>
          <w:lang w:val="tr-TR"/>
        </w:rPr>
      </w:pPr>
      <w:r w:rsidRPr="006F6021">
        <w:rPr>
          <w:rStyle w:val="fontstyle01"/>
          <w:b w:val="0"/>
          <w:sz w:val="12"/>
          <w:szCs w:val="12"/>
        </w:rPr>
        <w:t>Başkaları nam ve hesabına yapılan işlemler, inanca dayalı işlemler</w:t>
      </w:r>
      <w:r w:rsidRPr="006F6021">
        <w:rPr>
          <w:rStyle w:val="fontstyle01"/>
          <w:b w:val="0"/>
          <w:sz w:val="12"/>
          <w:szCs w:val="12"/>
          <w:lang w:val="tr-TR"/>
        </w:rPr>
        <w:t xml:space="preserve">                                                                                                                                                                     </w:t>
      </w:r>
      <w:r w:rsidR="00290A4C" w:rsidRPr="006F6021">
        <w:rPr>
          <w:rStyle w:val="fontstyle01"/>
          <w:b w:val="0"/>
          <w:sz w:val="12"/>
          <w:szCs w:val="12"/>
          <w:lang w:val="tr-TR"/>
        </w:rPr>
        <w:tab/>
      </w:r>
      <w:r w:rsidRPr="006F6021">
        <w:rPr>
          <w:rStyle w:val="fontstyle01"/>
          <w:b w:val="0"/>
          <w:sz w:val="12"/>
          <w:szCs w:val="12"/>
          <w:lang w:val="tr-TR"/>
        </w:rPr>
        <w:t>7</w:t>
      </w:r>
      <w:r w:rsidR="00832724" w:rsidRPr="006F6021">
        <w:rPr>
          <w:rStyle w:val="fontstyle01"/>
          <w:b w:val="0"/>
          <w:sz w:val="12"/>
          <w:szCs w:val="12"/>
          <w:lang w:val="tr-TR"/>
        </w:rPr>
        <w:t>3</w:t>
      </w:r>
    </w:p>
    <w:p w14:paraId="543A3D28" w14:textId="1FD1BAA7" w:rsidR="000A3B0B" w:rsidRPr="006F6021" w:rsidRDefault="000A3B0B" w:rsidP="000A3B0B">
      <w:pPr>
        <w:pStyle w:val="Title"/>
        <w:numPr>
          <w:ilvl w:val="0"/>
          <w:numId w:val="4"/>
        </w:numPr>
        <w:tabs>
          <w:tab w:val="clear" w:pos="4395"/>
          <w:tab w:val="right" w:pos="9000"/>
        </w:tabs>
        <w:jc w:val="left"/>
        <w:rPr>
          <w:rStyle w:val="fontstyle01"/>
          <w:b w:val="0"/>
          <w:bCs/>
          <w:sz w:val="12"/>
          <w:szCs w:val="12"/>
          <w:lang w:val="tr-TR"/>
        </w:rPr>
      </w:pPr>
      <w:r w:rsidRPr="006F6021">
        <w:rPr>
          <w:rStyle w:val="fontstyle01"/>
          <w:b w:val="0"/>
          <w:bCs/>
          <w:sz w:val="12"/>
          <w:szCs w:val="12"/>
          <w:lang w:val="tr-TR"/>
        </w:rPr>
        <w:t xml:space="preserve">Piyasa riskiyle ilgili açıklanacak niteliksel </w:t>
      </w:r>
      <w:proofErr w:type="gramStart"/>
      <w:r w:rsidRPr="006F6021">
        <w:rPr>
          <w:rStyle w:val="fontstyle01"/>
          <w:b w:val="0"/>
          <w:bCs/>
          <w:sz w:val="12"/>
          <w:szCs w:val="12"/>
          <w:lang w:val="tr-TR"/>
        </w:rPr>
        <w:t xml:space="preserve">bilgiler  </w:t>
      </w:r>
      <w:r w:rsidRPr="006F6021">
        <w:rPr>
          <w:rStyle w:val="fontstyle01"/>
          <w:b w:val="0"/>
          <w:bCs/>
          <w:sz w:val="12"/>
          <w:szCs w:val="12"/>
          <w:lang w:val="tr-TR"/>
        </w:rPr>
        <w:tab/>
      </w:r>
      <w:proofErr w:type="gramEnd"/>
      <w:r w:rsidRPr="006F6021">
        <w:rPr>
          <w:rStyle w:val="fontstyle01"/>
          <w:b w:val="0"/>
          <w:bCs/>
          <w:sz w:val="12"/>
          <w:szCs w:val="12"/>
          <w:lang w:val="tr-TR"/>
        </w:rPr>
        <w:t xml:space="preserve">    </w:t>
      </w:r>
      <w:r w:rsidR="00832724" w:rsidRPr="006F6021">
        <w:rPr>
          <w:rStyle w:val="fontstyle01"/>
          <w:b w:val="0"/>
          <w:bCs/>
          <w:sz w:val="12"/>
          <w:szCs w:val="12"/>
          <w:lang w:val="tr-TR"/>
        </w:rPr>
        <w:t xml:space="preserve">  </w:t>
      </w:r>
      <w:r w:rsidRPr="006F6021">
        <w:rPr>
          <w:rStyle w:val="fontstyle01"/>
          <w:b w:val="0"/>
          <w:sz w:val="12"/>
          <w:szCs w:val="12"/>
          <w:lang w:val="tr-TR"/>
        </w:rPr>
        <w:t>7</w:t>
      </w:r>
      <w:r w:rsidR="00832724" w:rsidRPr="006F6021">
        <w:rPr>
          <w:rStyle w:val="fontstyle01"/>
          <w:b w:val="0"/>
          <w:sz w:val="12"/>
          <w:szCs w:val="12"/>
          <w:lang w:val="tr-TR"/>
        </w:rPr>
        <w:t>3</w:t>
      </w:r>
    </w:p>
    <w:p w14:paraId="59490677" w14:textId="73A496CA" w:rsidR="000A3B0B" w:rsidRPr="006F6021" w:rsidRDefault="000A3B0B" w:rsidP="00F064E2">
      <w:pPr>
        <w:pStyle w:val="Title"/>
        <w:numPr>
          <w:ilvl w:val="0"/>
          <w:numId w:val="4"/>
        </w:numPr>
        <w:tabs>
          <w:tab w:val="clear" w:pos="4395"/>
          <w:tab w:val="right" w:pos="9000"/>
        </w:tabs>
        <w:jc w:val="left"/>
        <w:rPr>
          <w:rStyle w:val="fontstyle01"/>
          <w:b w:val="0"/>
          <w:bCs/>
          <w:sz w:val="12"/>
          <w:szCs w:val="12"/>
          <w:lang w:val="tr-TR"/>
        </w:rPr>
      </w:pPr>
      <w:r w:rsidRPr="006F6021">
        <w:rPr>
          <w:rStyle w:val="fontstyle01"/>
          <w:b w:val="0"/>
          <w:bCs/>
          <w:sz w:val="12"/>
          <w:szCs w:val="12"/>
          <w:lang w:val="tr-TR"/>
        </w:rPr>
        <w:t xml:space="preserve">Faaliyet bölümlerine ilişkin açıklamalar                                                                                                                                                                                                                </w:t>
      </w:r>
      <w:r w:rsidR="00290A4C" w:rsidRPr="006F6021">
        <w:rPr>
          <w:rStyle w:val="fontstyle01"/>
          <w:b w:val="0"/>
          <w:bCs/>
          <w:sz w:val="12"/>
          <w:szCs w:val="12"/>
          <w:lang w:val="tr-TR"/>
        </w:rPr>
        <w:tab/>
      </w:r>
      <w:r w:rsidRPr="006F6021">
        <w:rPr>
          <w:rStyle w:val="fontstyle01"/>
          <w:b w:val="0"/>
          <w:sz w:val="12"/>
          <w:szCs w:val="12"/>
          <w:lang w:val="tr-TR"/>
        </w:rPr>
        <w:t>7</w:t>
      </w:r>
      <w:r w:rsidR="00832724" w:rsidRPr="006F6021">
        <w:rPr>
          <w:rStyle w:val="fontstyle01"/>
          <w:b w:val="0"/>
          <w:sz w:val="12"/>
          <w:szCs w:val="12"/>
          <w:lang w:val="tr-TR"/>
        </w:rPr>
        <w:t>8</w:t>
      </w:r>
    </w:p>
    <w:p w14:paraId="6189E263" w14:textId="77777777" w:rsidR="000A3B0B" w:rsidRPr="006F6021" w:rsidRDefault="000A3B0B" w:rsidP="000A3B0B">
      <w:pPr>
        <w:pStyle w:val="Title"/>
        <w:tabs>
          <w:tab w:val="clear" w:pos="4395"/>
        </w:tabs>
        <w:rPr>
          <w:rFonts w:ascii="Times New Roman" w:hAnsi="Times New Roman"/>
          <w:sz w:val="11"/>
          <w:szCs w:val="11"/>
          <w:lang w:val="tr-TR"/>
        </w:rPr>
      </w:pPr>
    </w:p>
    <w:p w14:paraId="01BEE408" w14:textId="7593B75A" w:rsidR="000A3B0B" w:rsidRPr="006F6021" w:rsidRDefault="00D52CB0" w:rsidP="000A3B0B">
      <w:pPr>
        <w:pStyle w:val="Title"/>
        <w:tabs>
          <w:tab w:val="clear" w:pos="4395"/>
        </w:tabs>
        <w:rPr>
          <w:rFonts w:ascii="Times New Roman" w:hAnsi="Times New Roman"/>
          <w:sz w:val="12"/>
          <w:szCs w:val="12"/>
          <w:lang w:val="tr-TR"/>
        </w:rPr>
      </w:pPr>
      <w:r w:rsidRPr="006F6021">
        <w:rPr>
          <w:rFonts w:ascii="Times New Roman" w:hAnsi="Times New Roman"/>
          <w:sz w:val="12"/>
          <w:szCs w:val="12"/>
          <w:lang w:val="tr-TR"/>
        </w:rPr>
        <w:t>Beşinci bölüm</w:t>
      </w:r>
    </w:p>
    <w:p w14:paraId="133EC83F" w14:textId="0C977AF7" w:rsidR="000A3B0B" w:rsidRPr="006F6021" w:rsidRDefault="00D52CB0" w:rsidP="000A3B0B">
      <w:pPr>
        <w:pStyle w:val="Title"/>
        <w:tabs>
          <w:tab w:val="clear" w:pos="4395"/>
        </w:tabs>
        <w:rPr>
          <w:rFonts w:ascii="Times New Roman" w:hAnsi="Times New Roman"/>
          <w:sz w:val="12"/>
          <w:szCs w:val="12"/>
          <w:lang w:val="tr-TR"/>
        </w:rPr>
      </w:pPr>
      <w:r w:rsidRPr="006F6021">
        <w:rPr>
          <w:rFonts w:ascii="Times New Roman" w:hAnsi="Times New Roman"/>
          <w:sz w:val="12"/>
          <w:szCs w:val="12"/>
          <w:lang w:val="tr-TR"/>
        </w:rPr>
        <w:t>Konsolide olmayan finansal tablolara ilişkin açıklama ve dipnotlar</w:t>
      </w:r>
    </w:p>
    <w:p w14:paraId="6A94DB59" w14:textId="77777777" w:rsidR="000A3B0B" w:rsidRPr="006F6021" w:rsidRDefault="000A3B0B" w:rsidP="000A3B0B">
      <w:pPr>
        <w:pStyle w:val="Title"/>
        <w:jc w:val="left"/>
        <w:rPr>
          <w:rFonts w:ascii="Times New Roman" w:hAnsi="Times New Roman"/>
          <w:b w:val="0"/>
          <w:sz w:val="12"/>
          <w:szCs w:val="12"/>
          <w:lang w:val="tr-TR"/>
        </w:rPr>
      </w:pPr>
    </w:p>
    <w:p w14:paraId="6BAFDA98" w14:textId="2BCA6BF8"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Bilançonun aktif hesaplarına ilişkin açıklama ve dipnotlar</w:t>
      </w:r>
      <w:r w:rsidRPr="006F6021">
        <w:rPr>
          <w:rFonts w:ascii="Times New Roman" w:hAnsi="Times New Roman"/>
          <w:b w:val="0"/>
          <w:sz w:val="12"/>
          <w:szCs w:val="12"/>
          <w:lang w:val="tr-TR"/>
        </w:rPr>
        <w:tab/>
      </w:r>
      <w:r w:rsidR="00F903A6" w:rsidRPr="006F6021">
        <w:rPr>
          <w:rFonts w:ascii="Times New Roman" w:hAnsi="Times New Roman"/>
          <w:b w:val="0"/>
          <w:sz w:val="12"/>
          <w:szCs w:val="12"/>
          <w:lang w:val="tr-TR"/>
        </w:rPr>
        <w:t>80</w:t>
      </w:r>
    </w:p>
    <w:p w14:paraId="5461DD52" w14:textId="0BA776F4"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Bilançonun pasif hesaplarına ilişkin açıklama ve dipnotlar</w:t>
      </w:r>
      <w:r w:rsidRPr="006F6021">
        <w:rPr>
          <w:rFonts w:ascii="Times New Roman" w:hAnsi="Times New Roman"/>
          <w:b w:val="0"/>
          <w:sz w:val="12"/>
          <w:szCs w:val="12"/>
          <w:lang w:val="tr-TR"/>
        </w:rPr>
        <w:tab/>
        <w:t>9</w:t>
      </w:r>
      <w:r w:rsidR="00F903A6" w:rsidRPr="006F6021">
        <w:rPr>
          <w:rFonts w:ascii="Times New Roman" w:hAnsi="Times New Roman"/>
          <w:b w:val="0"/>
          <w:sz w:val="12"/>
          <w:szCs w:val="12"/>
          <w:lang w:val="tr-TR"/>
        </w:rPr>
        <w:t>7</w:t>
      </w:r>
    </w:p>
    <w:p w14:paraId="49748667" w14:textId="21C7C69F"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Nazım hesaplara ilişkin açıklama ve dipnotlar</w:t>
      </w:r>
      <w:r w:rsidRPr="006F6021">
        <w:rPr>
          <w:rFonts w:ascii="Times New Roman" w:hAnsi="Times New Roman"/>
          <w:b w:val="0"/>
          <w:sz w:val="12"/>
          <w:szCs w:val="12"/>
          <w:lang w:val="tr-TR"/>
        </w:rPr>
        <w:tab/>
        <w:t>10</w:t>
      </w:r>
      <w:r w:rsidR="00F903A6" w:rsidRPr="006F6021">
        <w:rPr>
          <w:rFonts w:ascii="Times New Roman" w:hAnsi="Times New Roman"/>
          <w:b w:val="0"/>
          <w:sz w:val="12"/>
          <w:szCs w:val="12"/>
          <w:lang w:val="tr-TR"/>
        </w:rPr>
        <w:t>5</w:t>
      </w:r>
    </w:p>
    <w:p w14:paraId="165501AD" w14:textId="21256E8F"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Gelir tablosuna ilişkin açıklama ve dipnotlar</w:t>
      </w:r>
      <w:r w:rsidRPr="006F6021">
        <w:rPr>
          <w:rFonts w:ascii="Times New Roman" w:hAnsi="Times New Roman"/>
          <w:b w:val="0"/>
          <w:sz w:val="12"/>
          <w:szCs w:val="12"/>
          <w:lang w:val="tr-TR"/>
        </w:rPr>
        <w:tab/>
        <w:t>10</w:t>
      </w:r>
      <w:r w:rsidR="00F903A6" w:rsidRPr="006F6021">
        <w:rPr>
          <w:rFonts w:ascii="Times New Roman" w:hAnsi="Times New Roman"/>
          <w:b w:val="0"/>
          <w:sz w:val="12"/>
          <w:szCs w:val="12"/>
          <w:lang w:val="tr-TR"/>
        </w:rPr>
        <w:t>8</w:t>
      </w:r>
    </w:p>
    <w:p w14:paraId="562DFEAC" w14:textId="42A93AC5"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Özkaynak değişim tablosuna ilişkin açıklama ve dipnotlar</w:t>
      </w:r>
      <w:r w:rsidRPr="006F6021">
        <w:rPr>
          <w:rFonts w:ascii="Times New Roman" w:hAnsi="Times New Roman"/>
          <w:b w:val="0"/>
          <w:sz w:val="12"/>
          <w:szCs w:val="12"/>
          <w:lang w:val="tr-TR"/>
        </w:rPr>
        <w:tab/>
        <w:t>11</w:t>
      </w:r>
      <w:r w:rsidR="00F903A6" w:rsidRPr="006F6021">
        <w:rPr>
          <w:rFonts w:ascii="Times New Roman" w:hAnsi="Times New Roman"/>
          <w:b w:val="0"/>
          <w:sz w:val="12"/>
          <w:szCs w:val="12"/>
          <w:lang w:val="tr-TR"/>
        </w:rPr>
        <w:t>3</w:t>
      </w:r>
    </w:p>
    <w:p w14:paraId="3D8FE87F" w14:textId="4EE7047D"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Nakit akış tablosuna ilişkin açıklama ve dipnotlar</w:t>
      </w:r>
      <w:r w:rsidRPr="006F6021">
        <w:rPr>
          <w:rFonts w:ascii="Times New Roman" w:hAnsi="Times New Roman"/>
          <w:b w:val="0"/>
          <w:sz w:val="12"/>
          <w:szCs w:val="12"/>
          <w:lang w:val="tr-TR"/>
        </w:rPr>
        <w:tab/>
        <w:t>11</w:t>
      </w:r>
      <w:r w:rsidR="00F903A6" w:rsidRPr="006F6021">
        <w:rPr>
          <w:rFonts w:ascii="Times New Roman" w:hAnsi="Times New Roman"/>
          <w:b w:val="0"/>
          <w:sz w:val="12"/>
          <w:szCs w:val="12"/>
          <w:lang w:val="tr-TR"/>
        </w:rPr>
        <w:t>4</w:t>
      </w:r>
    </w:p>
    <w:p w14:paraId="54D72C13" w14:textId="24CF993B"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Banka’nın dahil olduğu risk grubuna ilişkin açıklamalar</w:t>
      </w:r>
      <w:r w:rsidRPr="006F6021">
        <w:rPr>
          <w:rFonts w:ascii="Times New Roman" w:hAnsi="Times New Roman"/>
          <w:b w:val="0"/>
          <w:sz w:val="12"/>
          <w:szCs w:val="12"/>
          <w:lang w:val="tr-TR"/>
        </w:rPr>
        <w:tab/>
        <w:t>11</w:t>
      </w:r>
      <w:r w:rsidR="00F903A6" w:rsidRPr="006F6021">
        <w:rPr>
          <w:rFonts w:ascii="Times New Roman" w:hAnsi="Times New Roman"/>
          <w:b w:val="0"/>
          <w:sz w:val="12"/>
          <w:szCs w:val="12"/>
          <w:lang w:val="tr-TR"/>
        </w:rPr>
        <w:t>5</w:t>
      </w:r>
    </w:p>
    <w:p w14:paraId="5DC2A9DF" w14:textId="7B0D8A4A"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Banka’nın yurt</w:t>
      </w:r>
      <w:r w:rsidR="00714298" w:rsidRPr="006F6021">
        <w:rPr>
          <w:rFonts w:ascii="Times New Roman" w:hAnsi="Times New Roman"/>
          <w:b w:val="0"/>
          <w:sz w:val="12"/>
          <w:szCs w:val="12"/>
          <w:lang w:val="tr-TR"/>
        </w:rPr>
        <w:t xml:space="preserve"> </w:t>
      </w:r>
      <w:proofErr w:type="gramStart"/>
      <w:r w:rsidRPr="006F6021">
        <w:rPr>
          <w:rFonts w:ascii="Times New Roman" w:hAnsi="Times New Roman"/>
          <w:b w:val="0"/>
          <w:sz w:val="12"/>
          <w:szCs w:val="12"/>
          <w:lang w:val="tr-TR"/>
        </w:rPr>
        <w:t>içi,yurt</w:t>
      </w:r>
      <w:proofErr w:type="gramEnd"/>
      <w:r w:rsidR="00455FD1" w:rsidRPr="006F6021">
        <w:rPr>
          <w:rFonts w:ascii="Times New Roman" w:hAnsi="Times New Roman"/>
          <w:b w:val="0"/>
          <w:sz w:val="12"/>
          <w:szCs w:val="12"/>
          <w:lang w:val="tr-TR"/>
        </w:rPr>
        <w:t xml:space="preserve"> </w:t>
      </w:r>
      <w:r w:rsidRPr="006F6021">
        <w:rPr>
          <w:rFonts w:ascii="Times New Roman" w:hAnsi="Times New Roman"/>
          <w:b w:val="0"/>
          <w:sz w:val="12"/>
          <w:szCs w:val="12"/>
          <w:lang w:val="tr-TR"/>
        </w:rPr>
        <w:t>dışı, kıyı bankacılığı bölgelerindeki şubeleri ile yurt</w:t>
      </w:r>
      <w:r w:rsidR="00455FD1" w:rsidRPr="006F6021">
        <w:rPr>
          <w:rFonts w:ascii="Times New Roman" w:hAnsi="Times New Roman"/>
          <w:b w:val="0"/>
          <w:sz w:val="12"/>
          <w:szCs w:val="12"/>
          <w:lang w:val="tr-TR"/>
        </w:rPr>
        <w:t xml:space="preserve"> </w:t>
      </w:r>
      <w:r w:rsidRPr="006F6021">
        <w:rPr>
          <w:rFonts w:ascii="Times New Roman" w:hAnsi="Times New Roman"/>
          <w:b w:val="0"/>
          <w:sz w:val="12"/>
          <w:szCs w:val="12"/>
          <w:lang w:val="tr-TR"/>
        </w:rPr>
        <w:t>dışı temsilciliklerine ilişkin bilgiler</w:t>
      </w:r>
      <w:r w:rsidRPr="006F6021">
        <w:rPr>
          <w:rFonts w:ascii="Times New Roman" w:hAnsi="Times New Roman"/>
          <w:b w:val="0"/>
          <w:sz w:val="12"/>
          <w:szCs w:val="12"/>
          <w:lang w:val="tr-TR"/>
        </w:rPr>
        <w:tab/>
        <w:t>11</w:t>
      </w:r>
      <w:r w:rsidR="00F903A6" w:rsidRPr="006F6021">
        <w:rPr>
          <w:rFonts w:ascii="Times New Roman" w:hAnsi="Times New Roman"/>
          <w:b w:val="0"/>
          <w:sz w:val="12"/>
          <w:szCs w:val="12"/>
          <w:lang w:val="tr-TR"/>
        </w:rPr>
        <w:t>7</w:t>
      </w:r>
    </w:p>
    <w:p w14:paraId="0FFBA91B" w14:textId="3C757C5C" w:rsidR="000A3B0B" w:rsidRPr="006F6021"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6F6021">
        <w:rPr>
          <w:rFonts w:ascii="Times New Roman" w:hAnsi="Times New Roman"/>
          <w:b w:val="0"/>
          <w:sz w:val="12"/>
          <w:szCs w:val="12"/>
          <w:lang w:val="tr-TR"/>
        </w:rPr>
        <w:t xml:space="preserve">Bilanço sonrası hususlara ilişkin olarak açıklanması gereken hususlar                                                                                                                                                             </w:t>
      </w:r>
      <w:proofErr w:type="gramStart"/>
      <w:r w:rsidR="00290A4C" w:rsidRPr="006F6021">
        <w:rPr>
          <w:rFonts w:ascii="Times New Roman" w:hAnsi="Times New Roman"/>
          <w:b w:val="0"/>
          <w:sz w:val="12"/>
          <w:szCs w:val="12"/>
          <w:lang w:val="tr-TR"/>
        </w:rPr>
        <w:tab/>
      </w:r>
      <w:r w:rsidRPr="006F6021">
        <w:rPr>
          <w:rFonts w:ascii="Times New Roman" w:hAnsi="Times New Roman"/>
          <w:b w:val="0"/>
          <w:sz w:val="12"/>
          <w:szCs w:val="12"/>
          <w:lang w:val="tr-TR"/>
        </w:rPr>
        <w:t xml:space="preserve">  11</w:t>
      </w:r>
      <w:r w:rsidR="00F903A6" w:rsidRPr="006F6021">
        <w:rPr>
          <w:rFonts w:ascii="Times New Roman" w:hAnsi="Times New Roman"/>
          <w:b w:val="0"/>
          <w:sz w:val="12"/>
          <w:szCs w:val="12"/>
          <w:lang w:val="tr-TR"/>
        </w:rPr>
        <w:t>7</w:t>
      </w:r>
      <w:proofErr w:type="gramEnd"/>
    </w:p>
    <w:p w14:paraId="44932329" w14:textId="77777777" w:rsidR="000A3B0B" w:rsidRPr="006F6021" w:rsidRDefault="000A3B0B" w:rsidP="000A3B0B">
      <w:pPr>
        <w:pStyle w:val="Title"/>
        <w:rPr>
          <w:rFonts w:ascii="Times New Roman" w:hAnsi="Times New Roman"/>
          <w:sz w:val="11"/>
          <w:szCs w:val="11"/>
          <w:lang w:val="tr-TR"/>
        </w:rPr>
      </w:pPr>
    </w:p>
    <w:p w14:paraId="5BB8B821" w14:textId="1E824312" w:rsidR="000A3B0B" w:rsidRPr="006F6021" w:rsidRDefault="00D52CB0" w:rsidP="000A3B0B">
      <w:pPr>
        <w:pStyle w:val="Title"/>
        <w:rPr>
          <w:rFonts w:ascii="Times New Roman" w:hAnsi="Times New Roman"/>
          <w:b w:val="0"/>
          <w:sz w:val="12"/>
          <w:szCs w:val="12"/>
          <w:lang w:val="tr-TR"/>
        </w:rPr>
      </w:pPr>
      <w:r w:rsidRPr="006F6021">
        <w:rPr>
          <w:rFonts w:ascii="Times New Roman" w:hAnsi="Times New Roman"/>
          <w:sz w:val="12"/>
          <w:szCs w:val="12"/>
          <w:lang w:val="tr-TR"/>
        </w:rPr>
        <w:t>Altıncı bölüm</w:t>
      </w:r>
    </w:p>
    <w:p w14:paraId="587CBAD4" w14:textId="77777777" w:rsidR="000A3B0B" w:rsidRPr="006F6021" w:rsidRDefault="000A3B0B" w:rsidP="000A3B0B">
      <w:pPr>
        <w:pStyle w:val="Title"/>
        <w:tabs>
          <w:tab w:val="clear" w:pos="4395"/>
        </w:tabs>
        <w:rPr>
          <w:rFonts w:ascii="Times New Roman" w:hAnsi="Times New Roman"/>
          <w:sz w:val="12"/>
          <w:szCs w:val="12"/>
          <w:lang w:val="tr-TR"/>
        </w:rPr>
      </w:pPr>
      <w:r w:rsidRPr="006F6021">
        <w:rPr>
          <w:rFonts w:ascii="Times New Roman" w:hAnsi="Times New Roman"/>
          <w:sz w:val="12"/>
          <w:szCs w:val="12"/>
          <w:lang w:val="tr-TR"/>
        </w:rPr>
        <w:t>Diğer açıklamalar</w:t>
      </w:r>
    </w:p>
    <w:p w14:paraId="441845FC" w14:textId="77777777" w:rsidR="000A3B0B" w:rsidRPr="006F6021" w:rsidRDefault="000A3B0B" w:rsidP="000A3B0B">
      <w:pPr>
        <w:pStyle w:val="Title"/>
        <w:jc w:val="left"/>
        <w:rPr>
          <w:rFonts w:ascii="Times New Roman" w:hAnsi="Times New Roman"/>
          <w:b w:val="0"/>
          <w:sz w:val="12"/>
          <w:szCs w:val="12"/>
          <w:lang w:val="tr-TR"/>
        </w:rPr>
      </w:pPr>
    </w:p>
    <w:p w14:paraId="7241AEC2" w14:textId="77777777" w:rsidR="000A3B0B" w:rsidRPr="00F903A6" w:rsidRDefault="000A3B0B" w:rsidP="000A3B0B">
      <w:pPr>
        <w:pStyle w:val="Title"/>
        <w:tabs>
          <w:tab w:val="clear" w:pos="4395"/>
          <w:tab w:val="right" w:pos="0"/>
          <w:tab w:val="left" w:pos="720"/>
          <w:tab w:val="right" w:pos="9000"/>
        </w:tabs>
        <w:jc w:val="left"/>
        <w:rPr>
          <w:rFonts w:ascii="Times New Roman" w:hAnsi="Times New Roman"/>
          <w:sz w:val="12"/>
          <w:szCs w:val="12"/>
          <w:lang w:val="tr-TR"/>
        </w:rPr>
      </w:pPr>
      <w:r w:rsidRPr="006F6021">
        <w:rPr>
          <w:rFonts w:ascii="Times New Roman" w:hAnsi="Times New Roman"/>
          <w:b w:val="0"/>
          <w:sz w:val="14"/>
          <w:szCs w:val="12"/>
          <w:lang w:val="tr-TR"/>
        </w:rPr>
        <w:t xml:space="preserve">I. </w:t>
      </w:r>
      <w:r w:rsidRPr="006F6021">
        <w:rPr>
          <w:rFonts w:ascii="Times New Roman" w:hAnsi="Times New Roman"/>
          <w:b w:val="0"/>
          <w:sz w:val="12"/>
          <w:szCs w:val="12"/>
          <w:lang w:val="tr-TR"/>
        </w:rPr>
        <w:tab/>
        <w:t>Bilançoyu önemli ölçüde etkileyen ya da bilançonun açık, yorumlanabilir ve anlaşılabilir olması açısından açıklanması</w:t>
      </w:r>
      <w:r w:rsidRPr="00F903A6">
        <w:rPr>
          <w:rFonts w:ascii="Times New Roman" w:hAnsi="Times New Roman"/>
          <w:b w:val="0"/>
          <w:sz w:val="12"/>
          <w:szCs w:val="12"/>
          <w:lang w:val="tr-TR"/>
        </w:rPr>
        <w:tab/>
      </w:r>
    </w:p>
    <w:p w14:paraId="5CDA3CFD" w14:textId="6AD337CA" w:rsidR="000A3B0B" w:rsidRPr="00F903A6" w:rsidRDefault="000A3B0B" w:rsidP="000A3B0B">
      <w:pPr>
        <w:pStyle w:val="Title"/>
        <w:tabs>
          <w:tab w:val="clear" w:pos="4395"/>
          <w:tab w:val="left" w:pos="720"/>
          <w:tab w:val="right" w:pos="9000"/>
        </w:tabs>
        <w:jc w:val="left"/>
        <w:rPr>
          <w:rFonts w:ascii="Times New Roman" w:hAnsi="Times New Roman"/>
          <w:b w:val="0"/>
          <w:sz w:val="12"/>
          <w:szCs w:val="12"/>
          <w:lang w:val="tr-TR"/>
        </w:rPr>
      </w:pPr>
      <w:r w:rsidRPr="00F903A6">
        <w:rPr>
          <w:rFonts w:ascii="Times New Roman" w:hAnsi="Times New Roman"/>
          <w:b w:val="0"/>
          <w:sz w:val="12"/>
          <w:szCs w:val="12"/>
          <w:lang w:val="tr-TR"/>
        </w:rPr>
        <w:tab/>
      </w:r>
      <w:proofErr w:type="gramStart"/>
      <w:r w:rsidRPr="00F903A6">
        <w:rPr>
          <w:rFonts w:ascii="Times New Roman" w:hAnsi="Times New Roman"/>
          <w:b w:val="0"/>
          <w:sz w:val="12"/>
          <w:szCs w:val="12"/>
          <w:lang w:val="tr-TR"/>
        </w:rPr>
        <w:t>gerekli</w:t>
      </w:r>
      <w:proofErr w:type="gramEnd"/>
      <w:r w:rsidRPr="00F903A6">
        <w:rPr>
          <w:rFonts w:ascii="Times New Roman" w:hAnsi="Times New Roman"/>
          <w:b w:val="0"/>
          <w:sz w:val="12"/>
          <w:szCs w:val="12"/>
          <w:lang w:val="tr-TR"/>
        </w:rPr>
        <w:t xml:space="preserve"> olan diğer hususlar</w:t>
      </w:r>
      <w:r w:rsidRPr="00F903A6">
        <w:rPr>
          <w:rFonts w:ascii="Times New Roman" w:hAnsi="Times New Roman"/>
          <w:b w:val="0"/>
          <w:sz w:val="12"/>
          <w:szCs w:val="12"/>
          <w:lang w:val="tr-TR"/>
        </w:rPr>
        <w:tab/>
        <w:t>11</w:t>
      </w:r>
      <w:r w:rsidR="006F6021">
        <w:rPr>
          <w:rFonts w:ascii="Times New Roman" w:hAnsi="Times New Roman"/>
          <w:b w:val="0"/>
          <w:sz w:val="12"/>
          <w:szCs w:val="12"/>
          <w:lang w:val="tr-TR"/>
        </w:rPr>
        <w:t>8</w:t>
      </w:r>
    </w:p>
    <w:p w14:paraId="3B62A122" w14:textId="77777777" w:rsidR="000A3B0B" w:rsidRPr="006F6021" w:rsidRDefault="000A3B0B" w:rsidP="000A3B0B">
      <w:pPr>
        <w:pStyle w:val="Title"/>
        <w:tabs>
          <w:tab w:val="clear" w:pos="4395"/>
        </w:tabs>
        <w:rPr>
          <w:rFonts w:ascii="Times New Roman" w:hAnsi="Times New Roman"/>
          <w:sz w:val="12"/>
          <w:szCs w:val="12"/>
          <w:lang w:val="tr-TR"/>
        </w:rPr>
      </w:pPr>
    </w:p>
    <w:p w14:paraId="51CC6C6B" w14:textId="57AC1B6C" w:rsidR="000A3B0B" w:rsidRPr="006F6021" w:rsidRDefault="00D52CB0" w:rsidP="000A3B0B">
      <w:pPr>
        <w:pStyle w:val="Title"/>
        <w:tabs>
          <w:tab w:val="clear" w:pos="4395"/>
        </w:tabs>
        <w:rPr>
          <w:rFonts w:ascii="Times New Roman" w:hAnsi="Times New Roman"/>
          <w:sz w:val="12"/>
          <w:szCs w:val="14"/>
          <w:lang w:val="tr-TR"/>
        </w:rPr>
      </w:pPr>
      <w:r w:rsidRPr="006F6021">
        <w:rPr>
          <w:rFonts w:ascii="Times New Roman" w:hAnsi="Times New Roman"/>
          <w:sz w:val="12"/>
          <w:szCs w:val="14"/>
          <w:lang w:val="tr-TR"/>
        </w:rPr>
        <w:t>Yedinci bölüm</w:t>
      </w:r>
    </w:p>
    <w:p w14:paraId="2A682142" w14:textId="77777777" w:rsidR="000A3B0B" w:rsidRPr="006F6021" w:rsidRDefault="000A3B0B" w:rsidP="000A3B0B">
      <w:pPr>
        <w:pStyle w:val="Title"/>
        <w:tabs>
          <w:tab w:val="clear" w:pos="4395"/>
        </w:tabs>
        <w:rPr>
          <w:rFonts w:ascii="Times New Roman" w:hAnsi="Times New Roman"/>
          <w:sz w:val="12"/>
          <w:szCs w:val="14"/>
          <w:lang w:val="tr-TR"/>
        </w:rPr>
      </w:pPr>
      <w:r w:rsidRPr="006F6021">
        <w:rPr>
          <w:rFonts w:ascii="Times New Roman" w:hAnsi="Times New Roman"/>
          <w:sz w:val="12"/>
          <w:szCs w:val="14"/>
          <w:lang w:val="tr-TR"/>
        </w:rPr>
        <w:t>Bağımsız denetim raporu</w:t>
      </w:r>
    </w:p>
    <w:p w14:paraId="77D0B964" w14:textId="77777777" w:rsidR="000A3B0B" w:rsidRPr="006F6021" w:rsidRDefault="000A3B0B" w:rsidP="000A3B0B">
      <w:pPr>
        <w:pStyle w:val="Title"/>
        <w:jc w:val="left"/>
        <w:rPr>
          <w:rFonts w:ascii="Times New Roman" w:hAnsi="Times New Roman"/>
          <w:sz w:val="12"/>
          <w:szCs w:val="14"/>
          <w:lang w:val="tr-TR"/>
        </w:rPr>
      </w:pPr>
    </w:p>
    <w:p w14:paraId="1D65180F" w14:textId="5DFF3291" w:rsidR="000A3B0B" w:rsidRPr="006F6021" w:rsidRDefault="000A3B0B" w:rsidP="000A3B0B">
      <w:pPr>
        <w:pStyle w:val="Title"/>
        <w:tabs>
          <w:tab w:val="clear" w:pos="4395"/>
          <w:tab w:val="right" w:pos="9000"/>
        </w:tabs>
        <w:ind w:left="720" w:hanging="720"/>
        <w:jc w:val="left"/>
        <w:rPr>
          <w:rFonts w:ascii="Times New Roman" w:hAnsi="Times New Roman"/>
          <w:b w:val="0"/>
          <w:sz w:val="12"/>
          <w:szCs w:val="14"/>
          <w:lang w:val="tr-TR"/>
        </w:rPr>
      </w:pPr>
      <w:r w:rsidRPr="006F6021">
        <w:rPr>
          <w:rFonts w:ascii="Times New Roman" w:hAnsi="Times New Roman"/>
          <w:b w:val="0"/>
          <w:sz w:val="14"/>
          <w:szCs w:val="14"/>
          <w:lang w:val="tr-TR"/>
        </w:rPr>
        <w:t>I.</w:t>
      </w:r>
      <w:r w:rsidRPr="006F6021">
        <w:rPr>
          <w:rFonts w:ascii="Times New Roman" w:hAnsi="Times New Roman"/>
          <w:b w:val="0"/>
          <w:sz w:val="12"/>
          <w:szCs w:val="14"/>
          <w:lang w:val="tr-TR"/>
        </w:rPr>
        <w:tab/>
        <w:t>Bağımsız denetim raporuna ilişkin açıklamalar</w:t>
      </w:r>
      <w:r w:rsidRPr="006F6021">
        <w:rPr>
          <w:rFonts w:ascii="Times New Roman" w:hAnsi="Times New Roman"/>
          <w:b w:val="0"/>
          <w:sz w:val="12"/>
          <w:szCs w:val="14"/>
          <w:lang w:val="tr-TR"/>
        </w:rPr>
        <w:tab/>
        <w:t>11</w:t>
      </w:r>
      <w:r w:rsidR="006F6021">
        <w:rPr>
          <w:rFonts w:ascii="Times New Roman" w:hAnsi="Times New Roman"/>
          <w:b w:val="0"/>
          <w:sz w:val="12"/>
          <w:szCs w:val="14"/>
          <w:lang w:val="tr-TR"/>
        </w:rPr>
        <w:t>8</w:t>
      </w:r>
    </w:p>
    <w:p w14:paraId="4A58AC20" w14:textId="3DE0F3CB" w:rsidR="000A3B0B" w:rsidRPr="00005453" w:rsidRDefault="00D52CB0" w:rsidP="000A3B0B">
      <w:pPr>
        <w:pStyle w:val="Title"/>
        <w:tabs>
          <w:tab w:val="clear" w:pos="4395"/>
          <w:tab w:val="right" w:pos="9000"/>
        </w:tabs>
        <w:ind w:left="720" w:hanging="720"/>
        <w:jc w:val="left"/>
        <w:rPr>
          <w:rFonts w:ascii="Times New Roman" w:hAnsi="Times New Roman"/>
          <w:b w:val="0"/>
          <w:sz w:val="12"/>
          <w:szCs w:val="14"/>
          <w:lang w:val="tr-TR"/>
        </w:rPr>
      </w:pPr>
      <w:r w:rsidRPr="006F6021">
        <w:rPr>
          <w:rFonts w:ascii="Times New Roman" w:hAnsi="Times New Roman"/>
          <w:b w:val="0"/>
          <w:sz w:val="14"/>
          <w:szCs w:val="14"/>
          <w:lang w:val="tr-TR"/>
        </w:rPr>
        <w:t>Iı.</w:t>
      </w:r>
      <w:r w:rsidRPr="006F6021">
        <w:rPr>
          <w:rFonts w:ascii="Times New Roman" w:hAnsi="Times New Roman"/>
          <w:b w:val="0"/>
          <w:sz w:val="12"/>
          <w:szCs w:val="14"/>
          <w:lang w:val="tr-TR"/>
        </w:rPr>
        <w:tab/>
        <w:t>Bağımsız denetçi tarafından hazırlanan açıklama ve dipnotlar</w:t>
      </w:r>
      <w:r w:rsidRPr="006F6021">
        <w:rPr>
          <w:rFonts w:ascii="Times New Roman" w:hAnsi="Times New Roman"/>
          <w:b w:val="0"/>
          <w:sz w:val="12"/>
          <w:szCs w:val="14"/>
          <w:lang w:val="tr-TR"/>
        </w:rPr>
        <w:tab/>
      </w:r>
      <w:r w:rsidR="000A3B0B" w:rsidRPr="006F6021">
        <w:rPr>
          <w:rFonts w:ascii="Times New Roman" w:hAnsi="Times New Roman"/>
          <w:b w:val="0"/>
          <w:sz w:val="12"/>
          <w:szCs w:val="14"/>
          <w:lang w:val="tr-TR"/>
        </w:rPr>
        <w:t>11</w:t>
      </w:r>
      <w:r w:rsidR="006F6021">
        <w:rPr>
          <w:rFonts w:ascii="Times New Roman" w:hAnsi="Times New Roman"/>
          <w:b w:val="0"/>
          <w:sz w:val="12"/>
          <w:szCs w:val="14"/>
          <w:lang w:val="tr-TR"/>
        </w:rPr>
        <w:t>8</w:t>
      </w:r>
    </w:p>
    <w:p w14:paraId="46D015B3" w14:textId="77777777" w:rsidR="000A3B0B" w:rsidRPr="00005453" w:rsidRDefault="000A3B0B" w:rsidP="000A3B0B">
      <w:pPr>
        <w:pStyle w:val="Title"/>
        <w:tabs>
          <w:tab w:val="clear" w:pos="4395"/>
          <w:tab w:val="right" w:pos="9000"/>
        </w:tabs>
        <w:ind w:left="720" w:hanging="720"/>
        <w:jc w:val="left"/>
        <w:rPr>
          <w:rFonts w:ascii="Times New Roman" w:hAnsi="Times New Roman"/>
          <w:sz w:val="12"/>
          <w:szCs w:val="12"/>
          <w:lang w:val="tr-TR"/>
        </w:rPr>
      </w:pPr>
    </w:p>
    <w:p w14:paraId="30E55021" w14:textId="77777777" w:rsidR="00DD0510" w:rsidRPr="00005453" w:rsidRDefault="00DD0510" w:rsidP="00DD0510">
      <w:pPr>
        <w:pStyle w:val="Title"/>
        <w:tabs>
          <w:tab w:val="clear" w:pos="4395"/>
          <w:tab w:val="right" w:pos="9000"/>
        </w:tabs>
        <w:ind w:left="720" w:hanging="720"/>
        <w:jc w:val="left"/>
        <w:rPr>
          <w:rFonts w:ascii="Times New Roman" w:hAnsi="Times New Roman"/>
          <w:sz w:val="12"/>
          <w:szCs w:val="12"/>
          <w:lang w:val="tr-TR"/>
        </w:rPr>
      </w:pPr>
    </w:p>
    <w:p w14:paraId="075A3B28" w14:textId="77777777" w:rsidR="00152E65" w:rsidRPr="00005453" w:rsidRDefault="00152E65" w:rsidP="00327C3D">
      <w:pPr>
        <w:pStyle w:val="Title"/>
        <w:tabs>
          <w:tab w:val="clear" w:pos="4395"/>
          <w:tab w:val="right" w:pos="9000"/>
        </w:tabs>
        <w:ind w:left="720" w:hanging="720"/>
        <w:jc w:val="left"/>
        <w:rPr>
          <w:rFonts w:ascii="Times New Roman" w:hAnsi="Times New Roman"/>
          <w:sz w:val="12"/>
          <w:szCs w:val="12"/>
          <w:lang w:val="tr-TR"/>
        </w:rPr>
        <w:sectPr w:rsidR="00152E65" w:rsidRPr="00005453" w:rsidSect="00A07E0F">
          <w:headerReference w:type="default" r:id="rId14"/>
          <w:footerReference w:type="default" r:id="rId15"/>
          <w:pgSz w:w="11907" w:h="16840" w:code="9"/>
          <w:pgMar w:top="1418" w:right="1418" w:bottom="1418" w:left="1418" w:header="708" w:footer="708" w:gutter="0"/>
          <w:pgNumType w:start="1"/>
          <w:cols w:space="708"/>
          <w:noEndnote/>
        </w:sectPr>
      </w:pPr>
    </w:p>
    <w:p w14:paraId="44C0C7D9" w14:textId="3819AC38" w:rsidR="00732039" w:rsidRPr="00005453" w:rsidRDefault="00732039" w:rsidP="00CA1A09">
      <w:pPr>
        <w:jc w:val="center"/>
        <w:rPr>
          <w:b/>
        </w:rPr>
      </w:pPr>
      <w:bookmarkStart w:id="4" w:name="_Hlk95171974"/>
      <w:bookmarkEnd w:id="1"/>
      <w:r w:rsidRPr="00005453">
        <w:rPr>
          <w:b/>
        </w:rPr>
        <w:lastRenderedPageBreak/>
        <w:t>KUVEYT TÜRK KATILIM BANKASI ANONİM ŞİRKETİ</w:t>
      </w:r>
      <w:r w:rsidR="00E7198D" w:rsidRPr="00005453">
        <w:rPr>
          <w:b/>
        </w:rPr>
        <w:t>’</w:t>
      </w:r>
      <w:r w:rsidRPr="00005453">
        <w:rPr>
          <w:b/>
        </w:rPr>
        <w:t>NİN</w:t>
      </w:r>
    </w:p>
    <w:p w14:paraId="32BFB2F7" w14:textId="7DBEE606" w:rsidR="00732039" w:rsidRPr="00005453" w:rsidRDefault="00732039" w:rsidP="00CA1A09">
      <w:pPr>
        <w:jc w:val="center"/>
        <w:rPr>
          <w:b/>
        </w:rPr>
      </w:pPr>
      <w:r w:rsidRPr="00005453">
        <w:rPr>
          <w:b/>
        </w:rPr>
        <w:t>31 ARALIK 202</w:t>
      </w:r>
      <w:r w:rsidR="00BA04A2" w:rsidRPr="00005453">
        <w:rPr>
          <w:b/>
        </w:rPr>
        <w:t>4</w:t>
      </w:r>
      <w:r w:rsidRPr="00005453">
        <w:rPr>
          <w:b/>
        </w:rPr>
        <w:t xml:space="preserve"> TARİHİ İTİBARIYLA HAZIRLANAN YIL SONU KONSOLİDE OLMAYAN</w:t>
      </w:r>
    </w:p>
    <w:p w14:paraId="7F416D1E" w14:textId="4F83C121" w:rsidR="00732039" w:rsidRPr="00005453" w:rsidRDefault="00732039" w:rsidP="00CA1A09">
      <w:pPr>
        <w:jc w:val="center"/>
        <w:rPr>
          <w:b/>
        </w:rPr>
      </w:pPr>
      <w:r w:rsidRPr="00005453">
        <w:rPr>
          <w:b/>
        </w:rPr>
        <w:t>FİNANSAL RAPORU</w:t>
      </w:r>
    </w:p>
    <w:p w14:paraId="0C040B5E" w14:textId="77777777" w:rsidR="00732039" w:rsidRPr="00005453" w:rsidRDefault="00732039" w:rsidP="00732039"/>
    <w:p w14:paraId="66DDA9D9" w14:textId="1554733C" w:rsidR="00B6616B" w:rsidRPr="00005453" w:rsidRDefault="00B6616B" w:rsidP="00B6616B">
      <w:r w:rsidRPr="00005453">
        <w:t>Banka</w:t>
      </w:r>
      <w:r w:rsidR="00614CD2" w:rsidRPr="00005453">
        <w:t>’</w:t>
      </w:r>
      <w:r w:rsidRPr="00005453">
        <w:t>nın Yönetim Merkezinin Adresi</w:t>
      </w:r>
      <w:proofErr w:type="gramStart"/>
      <w:r w:rsidR="00BA7647" w:rsidRPr="00005453">
        <w:tab/>
      </w:r>
      <w:r w:rsidRPr="00005453">
        <w:t xml:space="preserve">:   </w:t>
      </w:r>
      <w:proofErr w:type="gramEnd"/>
      <w:r w:rsidRPr="00005453">
        <w:t xml:space="preserve"> Büyükdere Cad. No:129/1 34394 Esentepe-Şişli / İSTANBUL</w:t>
      </w:r>
    </w:p>
    <w:p w14:paraId="60C9CB76" w14:textId="2292FE4E" w:rsidR="00B6616B" w:rsidRPr="00005453" w:rsidRDefault="00B6616B" w:rsidP="00B6616B">
      <w:pPr>
        <w:tabs>
          <w:tab w:val="left" w:pos="3261"/>
        </w:tabs>
      </w:pPr>
      <w:r w:rsidRPr="00005453">
        <w:t>Banka</w:t>
      </w:r>
      <w:r w:rsidR="00D81F6D" w:rsidRPr="00005453">
        <w:t>’</w:t>
      </w:r>
      <w:r w:rsidRPr="00005453">
        <w:t>nın Telefon ve Fax Numaraları</w:t>
      </w:r>
      <w:r w:rsidR="00BA7647" w:rsidRPr="00005453">
        <w:tab/>
      </w:r>
      <w:proofErr w:type="gramStart"/>
      <w:r w:rsidR="00BA7647" w:rsidRPr="00005453">
        <w:tab/>
      </w:r>
      <w:r w:rsidRPr="00005453">
        <w:t xml:space="preserve">:   </w:t>
      </w:r>
      <w:proofErr w:type="gramEnd"/>
      <w:r w:rsidRPr="00005453">
        <w:t xml:space="preserve"> 0</w:t>
      </w:r>
      <w:r w:rsidR="00E7198D" w:rsidRPr="00005453">
        <w:t xml:space="preserve"> </w:t>
      </w:r>
      <w:r w:rsidRPr="00005453">
        <w:t>212 354 11 11  -  0</w:t>
      </w:r>
      <w:r w:rsidR="00E7198D" w:rsidRPr="00005453">
        <w:t xml:space="preserve"> </w:t>
      </w:r>
      <w:r w:rsidRPr="00005453">
        <w:t>212 354 12 12</w:t>
      </w:r>
    </w:p>
    <w:p w14:paraId="388F61B5" w14:textId="064E702F" w:rsidR="00B6616B" w:rsidRPr="00005453" w:rsidRDefault="00B6616B" w:rsidP="00B6616B">
      <w:r w:rsidRPr="00005453">
        <w:t>Banka</w:t>
      </w:r>
      <w:r w:rsidR="00D81F6D" w:rsidRPr="00005453">
        <w:t>’</w:t>
      </w:r>
      <w:r w:rsidRPr="00005453">
        <w:t>nın İnternet Sayfası Adresi</w:t>
      </w:r>
      <w:r w:rsidR="00BA7647" w:rsidRPr="00005453">
        <w:tab/>
      </w:r>
      <w:proofErr w:type="gramStart"/>
      <w:r w:rsidR="00BA7647" w:rsidRPr="00005453">
        <w:tab/>
      </w:r>
      <w:r w:rsidRPr="00005453">
        <w:t xml:space="preserve">:   </w:t>
      </w:r>
      <w:proofErr w:type="gramEnd"/>
      <w:r w:rsidRPr="00005453">
        <w:t xml:space="preserve"> </w:t>
      </w:r>
      <w:hyperlink r:id="rId16" w:history="1">
        <w:r w:rsidRPr="00005453">
          <w:rPr>
            <w:rStyle w:val="Hyperlink"/>
            <w:rFonts w:eastAsia="Arial Unicode MS"/>
          </w:rPr>
          <w:t>www.kuveytturk.com.tr</w:t>
        </w:r>
      </w:hyperlink>
    </w:p>
    <w:p w14:paraId="6FA42F8C" w14:textId="427D9622" w:rsidR="00B6616B" w:rsidRPr="00005453" w:rsidRDefault="00B6616B" w:rsidP="00B6616B">
      <w:pPr>
        <w:tabs>
          <w:tab w:val="left" w:pos="3402"/>
        </w:tabs>
        <w:rPr>
          <w:b/>
        </w:rPr>
      </w:pPr>
      <w:r w:rsidRPr="00005453">
        <w:t>İrtibat İçin Elektronik Posta Adresi</w:t>
      </w:r>
      <w:r w:rsidR="00BA7647" w:rsidRPr="00005453">
        <w:tab/>
      </w:r>
      <w:proofErr w:type="gramStart"/>
      <w:r w:rsidR="00BA7647" w:rsidRPr="00005453">
        <w:tab/>
      </w:r>
      <w:r w:rsidRPr="00005453">
        <w:t xml:space="preserve">:   </w:t>
      </w:r>
      <w:proofErr w:type="gramEnd"/>
      <w:r w:rsidRPr="00005453">
        <w:t xml:space="preserve"> kuveytturk@kuveytturk.com.tr</w:t>
      </w:r>
    </w:p>
    <w:p w14:paraId="6D3DC659" w14:textId="77777777" w:rsidR="00732039" w:rsidRPr="00005453" w:rsidRDefault="00732039" w:rsidP="00732039"/>
    <w:p w14:paraId="6F9EC07E" w14:textId="77777777" w:rsidR="00B6616B" w:rsidRPr="00005453" w:rsidRDefault="00B6616B" w:rsidP="00B6616B">
      <w:pPr>
        <w:spacing w:line="276" w:lineRule="auto"/>
        <w:jc w:val="both"/>
      </w:pPr>
      <w:r w:rsidRPr="00005453">
        <w:t xml:space="preserve">Bankacılık Düzenleme ve Denetleme Kurumu tarafından düzenlenen "Bankalarca Kamuya Açıklanacak Finansal Tablolar ile Bunlara İlişkin Açıklama ve Dipnotlar Hakkında Tebliğe" göre hazırlanan yıl sonu konsolide </w:t>
      </w:r>
      <w:proofErr w:type="gramStart"/>
      <w:r w:rsidRPr="00005453">
        <w:t>olmayan  finansal</w:t>
      </w:r>
      <w:proofErr w:type="gramEnd"/>
      <w:r w:rsidRPr="00005453">
        <w:t xml:space="preserve"> raporu aşağıda yer alan bölümlerden oluşmaktadır.</w:t>
      </w:r>
    </w:p>
    <w:p w14:paraId="736218C3" w14:textId="77777777" w:rsidR="00732039" w:rsidRPr="00005453" w:rsidRDefault="00732039" w:rsidP="00732039">
      <w:pPr>
        <w:pStyle w:val="ListParagraph"/>
      </w:pPr>
    </w:p>
    <w:p w14:paraId="2DAB191E" w14:textId="77777777" w:rsidR="00B6616B" w:rsidRPr="00005453" w:rsidRDefault="00B6616B" w:rsidP="00B6616B">
      <w:pPr>
        <w:pStyle w:val="ListParagraph"/>
        <w:numPr>
          <w:ilvl w:val="0"/>
          <w:numId w:val="7"/>
        </w:numPr>
        <w:spacing w:after="160" w:line="259" w:lineRule="auto"/>
        <w:contextualSpacing/>
      </w:pPr>
      <w:r w:rsidRPr="00005453">
        <w:t>Banka Hakkında Genel Bilgiler</w:t>
      </w:r>
    </w:p>
    <w:p w14:paraId="17EF54B7" w14:textId="77777777" w:rsidR="00B6616B" w:rsidRPr="00005453" w:rsidRDefault="00B6616B" w:rsidP="00B6616B">
      <w:pPr>
        <w:pStyle w:val="ListParagraph"/>
        <w:numPr>
          <w:ilvl w:val="0"/>
          <w:numId w:val="7"/>
        </w:numPr>
        <w:spacing w:after="160" w:line="259" w:lineRule="auto"/>
        <w:contextualSpacing/>
      </w:pPr>
      <w:r w:rsidRPr="00005453">
        <w:t>Banka' nın Konsolide Olmayan Finansal Tabloları</w:t>
      </w:r>
    </w:p>
    <w:p w14:paraId="5391A887" w14:textId="77777777" w:rsidR="00B6616B" w:rsidRPr="00005453" w:rsidRDefault="00B6616B" w:rsidP="00B6616B">
      <w:pPr>
        <w:pStyle w:val="ListParagraph"/>
        <w:numPr>
          <w:ilvl w:val="0"/>
          <w:numId w:val="7"/>
        </w:numPr>
        <w:spacing w:after="160" w:line="259" w:lineRule="auto"/>
        <w:contextualSpacing/>
      </w:pPr>
      <w:r w:rsidRPr="00005453">
        <w:t>İlgili Dönemde Uygulanan Muhasebe Politikalarına İlişkin Açıklamalar</w:t>
      </w:r>
    </w:p>
    <w:p w14:paraId="15FB17CA" w14:textId="77777777" w:rsidR="00B6616B" w:rsidRPr="00005453" w:rsidRDefault="00B6616B" w:rsidP="00B6616B">
      <w:pPr>
        <w:pStyle w:val="ListParagraph"/>
        <w:numPr>
          <w:ilvl w:val="0"/>
          <w:numId w:val="7"/>
        </w:numPr>
        <w:spacing w:after="160" w:line="252" w:lineRule="auto"/>
        <w:contextualSpacing/>
        <w:rPr>
          <w:bCs/>
        </w:rPr>
      </w:pPr>
      <w:r w:rsidRPr="00005453">
        <w:rPr>
          <w:bCs/>
        </w:rPr>
        <w:t>Banka’nın Mali Bünyesine Ve Risk Yönetimine İlişkin Bilgiler</w:t>
      </w:r>
    </w:p>
    <w:p w14:paraId="5CCC6491" w14:textId="77777777" w:rsidR="00B6616B" w:rsidRPr="00005453" w:rsidRDefault="00B6616B" w:rsidP="00B6616B">
      <w:pPr>
        <w:pStyle w:val="ListParagraph"/>
        <w:numPr>
          <w:ilvl w:val="0"/>
          <w:numId w:val="7"/>
        </w:numPr>
        <w:spacing w:after="160" w:line="259" w:lineRule="auto"/>
        <w:contextualSpacing/>
      </w:pPr>
      <w:r w:rsidRPr="00005453">
        <w:t>Konsolide Olmayan Finansal Tablolara İlişkin Açıklama Ve Dipnotlar</w:t>
      </w:r>
    </w:p>
    <w:p w14:paraId="283AF3C1" w14:textId="77777777" w:rsidR="00B6616B" w:rsidRPr="00005453" w:rsidRDefault="00B6616B" w:rsidP="00B6616B">
      <w:pPr>
        <w:pStyle w:val="ListParagraph"/>
        <w:numPr>
          <w:ilvl w:val="0"/>
          <w:numId w:val="7"/>
        </w:numPr>
        <w:spacing w:after="160" w:line="259" w:lineRule="auto"/>
        <w:contextualSpacing/>
      </w:pPr>
      <w:r w:rsidRPr="00005453">
        <w:t>Diğer Açıklamalar</w:t>
      </w:r>
    </w:p>
    <w:p w14:paraId="78A60E39" w14:textId="07591A61" w:rsidR="00B6616B" w:rsidRPr="00005453" w:rsidRDefault="00B6616B" w:rsidP="00B6616B">
      <w:pPr>
        <w:pStyle w:val="ListParagraph"/>
        <w:numPr>
          <w:ilvl w:val="0"/>
          <w:numId w:val="7"/>
        </w:numPr>
        <w:spacing w:after="160" w:line="259" w:lineRule="auto"/>
        <w:contextualSpacing/>
      </w:pPr>
      <w:r w:rsidRPr="00005453">
        <w:t>Bağımsız Denetim Raporu</w:t>
      </w:r>
    </w:p>
    <w:p w14:paraId="0055BD1B" w14:textId="77777777" w:rsidR="00290A4C" w:rsidRPr="00005453" w:rsidRDefault="00290A4C" w:rsidP="00BD1BED">
      <w:pPr>
        <w:pStyle w:val="ListParagraph"/>
        <w:spacing w:after="160" w:line="259" w:lineRule="auto"/>
        <w:contextualSpacing/>
      </w:pPr>
    </w:p>
    <w:p w14:paraId="75E7A08F" w14:textId="77777777" w:rsidR="00B6616B" w:rsidRPr="00005453" w:rsidRDefault="00B6616B" w:rsidP="00B6616B">
      <w:pPr>
        <w:spacing w:line="276" w:lineRule="auto"/>
        <w:jc w:val="both"/>
      </w:pPr>
      <w:r w:rsidRPr="00005453">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6792CF49" w14:textId="2269DDBD" w:rsidR="00D962E6" w:rsidRDefault="00D962E6" w:rsidP="00732039">
      <w:pPr>
        <w:spacing w:line="276" w:lineRule="auto"/>
        <w:jc w:val="both"/>
      </w:pPr>
    </w:p>
    <w:p w14:paraId="526C6CF5" w14:textId="7184F12B" w:rsidR="00C07B3E" w:rsidRDefault="00C07B3E" w:rsidP="00732039">
      <w:pPr>
        <w:spacing w:line="276" w:lineRule="auto"/>
        <w:jc w:val="both"/>
      </w:pPr>
    </w:p>
    <w:p w14:paraId="1424F024" w14:textId="77777777" w:rsidR="00C07B3E" w:rsidRDefault="00C07B3E" w:rsidP="00732039">
      <w:pPr>
        <w:spacing w:line="276" w:lineRule="auto"/>
        <w:jc w:val="both"/>
      </w:pPr>
    </w:p>
    <w:p w14:paraId="2EE126D7" w14:textId="77777777" w:rsidR="00C07B3E" w:rsidRPr="00005453" w:rsidRDefault="00C07B3E" w:rsidP="00732039">
      <w:pPr>
        <w:spacing w:line="276" w:lineRule="auto"/>
        <w:jc w:val="both"/>
      </w:pPr>
    </w:p>
    <w:p w14:paraId="22FA6B44" w14:textId="77777777" w:rsidR="00D962E6" w:rsidRPr="00005453" w:rsidRDefault="00D962E6" w:rsidP="00732039">
      <w:pPr>
        <w:spacing w:line="276" w:lineRule="auto"/>
        <w:jc w:val="both"/>
      </w:pPr>
    </w:p>
    <w:tbl>
      <w:tblPr>
        <w:tblpPr w:leftFromText="141" w:rightFromText="141" w:vertAnchor="text" w:horzAnchor="margin" w:tblpY="57"/>
        <w:tblW w:w="10080" w:type="dxa"/>
        <w:tblCellMar>
          <w:left w:w="70" w:type="dxa"/>
          <w:right w:w="70" w:type="dxa"/>
        </w:tblCellMar>
        <w:tblLook w:val="04A0" w:firstRow="1" w:lastRow="0" w:firstColumn="1" w:lastColumn="0" w:noHBand="0" w:noVBand="1"/>
      </w:tblPr>
      <w:tblGrid>
        <w:gridCol w:w="9643"/>
        <w:gridCol w:w="291"/>
        <w:gridCol w:w="146"/>
      </w:tblGrid>
      <w:tr w:rsidR="00B6616B" w:rsidRPr="00005453" w14:paraId="6E568D2C" w14:textId="77777777" w:rsidTr="00B6616B">
        <w:trPr>
          <w:trHeight w:val="5"/>
        </w:trPr>
        <w:tc>
          <w:tcPr>
            <w:tcW w:w="9643" w:type="dxa"/>
            <w:tcBorders>
              <w:top w:val="nil"/>
              <w:left w:val="nil"/>
              <w:bottom w:val="nil"/>
              <w:right w:val="nil"/>
            </w:tcBorders>
            <w:vAlign w:val="center"/>
            <w:hideMark/>
          </w:tcPr>
          <w:p w14:paraId="11678BB2" w14:textId="77777777" w:rsidR="00B6616B" w:rsidRPr="00005453" w:rsidRDefault="00B6616B" w:rsidP="00E40135">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B6616B" w:rsidRPr="00005453" w14:paraId="54E012C3" w14:textId="77777777" w:rsidTr="00BD1BED">
              <w:trPr>
                <w:trHeight w:val="262"/>
              </w:trPr>
              <w:tc>
                <w:tcPr>
                  <w:tcW w:w="2977" w:type="dxa"/>
                  <w:tcBorders>
                    <w:top w:val="single" w:sz="8" w:space="0" w:color="auto"/>
                    <w:left w:val="nil"/>
                    <w:bottom w:val="nil"/>
                    <w:right w:val="nil"/>
                  </w:tcBorders>
                  <w:shd w:val="clear" w:color="auto" w:fill="auto"/>
                  <w:noWrap/>
                  <w:hideMark/>
                </w:tcPr>
                <w:p w14:paraId="4C66DF24"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Hamad Abdulmohsen AL-MARZOUQ</w:t>
                  </w:r>
                </w:p>
              </w:tc>
              <w:tc>
                <w:tcPr>
                  <w:tcW w:w="712" w:type="dxa"/>
                  <w:tcBorders>
                    <w:top w:val="nil"/>
                    <w:left w:val="nil"/>
                    <w:bottom w:val="nil"/>
                    <w:right w:val="nil"/>
                  </w:tcBorders>
                  <w:shd w:val="clear" w:color="auto" w:fill="auto"/>
                  <w:noWrap/>
                  <w:hideMark/>
                </w:tcPr>
                <w:p w14:paraId="218B39C1" w14:textId="77777777" w:rsidR="00B6616B" w:rsidRPr="00005453" w:rsidRDefault="00B6616B" w:rsidP="00E40135">
                  <w:pPr>
                    <w:spacing w:before="100" w:beforeAutospacing="1" w:after="100" w:afterAutospacing="1"/>
                    <w:jc w:val="center"/>
                    <w:rPr>
                      <w:color w:val="000000"/>
                      <w:sz w:val="18"/>
                      <w:szCs w:val="18"/>
                    </w:rPr>
                  </w:pPr>
                </w:p>
              </w:tc>
              <w:tc>
                <w:tcPr>
                  <w:tcW w:w="2550" w:type="dxa"/>
                  <w:tcBorders>
                    <w:top w:val="single" w:sz="8" w:space="0" w:color="auto"/>
                    <w:left w:val="nil"/>
                    <w:bottom w:val="nil"/>
                    <w:right w:val="nil"/>
                  </w:tcBorders>
                  <w:shd w:val="clear" w:color="auto" w:fill="auto"/>
                  <w:noWrap/>
                  <w:hideMark/>
                </w:tcPr>
                <w:p w14:paraId="75335423"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Shadi Ahmed Yacoub ZAHRAN</w:t>
                  </w:r>
                </w:p>
              </w:tc>
              <w:tc>
                <w:tcPr>
                  <w:tcW w:w="355" w:type="dxa"/>
                  <w:tcBorders>
                    <w:top w:val="nil"/>
                    <w:left w:val="nil"/>
                    <w:bottom w:val="nil"/>
                    <w:right w:val="nil"/>
                  </w:tcBorders>
                  <w:shd w:val="clear" w:color="auto" w:fill="auto"/>
                  <w:noWrap/>
                  <w:hideMark/>
                </w:tcPr>
                <w:p w14:paraId="4D2FB74E" w14:textId="77777777" w:rsidR="00B6616B" w:rsidRPr="00005453" w:rsidRDefault="00B6616B" w:rsidP="00E40135">
                  <w:pPr>
                    <w:spacing w:before="100" w:beforeAutospacing="1" w:after="100" w:afterAutospacing="1"/>
                    <w:jc w:val="center"/>
                    <w:rPr>
                      <w:color w:val="000000"/>
                      <w:sz w:val="18"/>
                      <w:szCs w:val="18"/>
                    </w:rPr>
                  </w:pPr>
                </w:p>
              </w:tc>
              <w:tc>
                <w:tcPr>
                  <w:tcW w:w="2554" w:type="dxa"/>
                  <w:tcBorders>
                    <w:top w:val="single" w:sz="8" w:space="0" w:color="auto"/>
                    <w:left w:val="nil"/>
                    <w:bottom w:val="nil"/>
                    <w:right w:val="nil"/>
                  </w:tcBorders>
                  <w:shd w:val="clear" w:color="auto" w:fill="auto"/>
                  <w:noWrap/>
                  <w:hideMark/>
                </w:tcPr>
                <w:p w14:paraId="3A97F717"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Nadir ALPASLAN</w:t>
                  </w:r>
                </w:p>
              </w:tc>
              <w:tc>
                <w:tcPr>
                  <w:tcW w:w="355" w:type="dxa"/>
                  <w:tcBorders>
                    <w:top w:val="nil"/>
                    <w:left w:val="nil"/>
                    <w:bottom w:val="nil"/>
                    <w:right w:val="nil"/>
                  </w:tcBorders>
                  <w:shd w:val="clear" w:color="auto" w:fill="auto"/>
                  <w:noWrap/>
                  <w:hideMark/>
                </w:tcPr>
                <w:p w14:paraId="72EEF954" w14:textId="77777777" w:rsidR="00B6616B" w:rsidRPr="00005453" w:rsidRDefault="00B6616B" w:rsidP="00E40135">
                  <w:pPr>
                    <w:spacing w:before="100" w:beforeAutospacing="1" w:after="100" w:afterAutospacing="1"/>
                    <w:jc w:val="center"/>
                    <w:rPr>
                      <w:color w:val="000000"/>
                      <w:sz w:val="18"/>
                      <w:szCs w:val="18"/>
                    </w:rPr>
                  </w:pPr>
                </w:p>
              </w:tc>
            </w:tr>
            <w:tr w:rsidR="00B6616B" w:rsidRPr="00005453" w14:paraId="53079F83" w14:textId="77777777" w:rsidTr="00E40135">
              <w:trPr>
                <w:trHeight w:val="179"/>
              </w:trPr>
              <w:tc>
                <w:tcPr>
                  <w:tcW w:w="2977" w:type="dxa"/>
                  <w:tcBorders>
                    <w:top w:val="nil"/>
                    <w:left w:val="nil"/>
                    <w:bottom w:val="nil"/>
                    <w:right w:val="nil"/>
                  </w:tcBorders>
                  <w:shd w:val="clear" w:color="auto" w:fill="auto"/>
                  <w:noWrap/>
                  <w:hideMark/>
                </w:tcPr>
                <w:p w14:paraId="77921177" w14:textId="77777777" w:rsidR="00B6616B" w:rsidRPr="00005453" w:rsidRDefault="00B6616B" w:rsidP="00E40135">
                  <w:pPr>
                    <w:spacing w:before="100" w:beforeAutospacing="1" w:after="100" w:afterAutospacing="1"/>
                    <w:rPr>
                      <w:color w:val="000000"/>
                      <w:sz w:val="18"/>
                      <w:szCs w:val="18"/>
                    </w:rPr>
                  </w:pPr>
                  <w:r w:rsidRPr="00005453">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39B4F6BF" w14:textId="77777777" w:rsidR="00B6616B" w:rsidRPr="00005453" w:rsidRDefault="00B6616B" w:rsidP="00E40135">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6E6AC23E"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Denetim Komitesi Başkanı</w:t>
                  </w:r>
                </w:p>
              </w:tc>
              <w:tc>
                <w:tcPr>
                  <w:tcW w:w="355" w:type="dxa"/>
                  <w:tcBorders>
                    <w:top w:val="nil"/>
                    <w:left w:val="nil"/>
                    <w:bottom w:val="nil"/>
                    <w:right w:val="nil"/>
                  </w:tcBorders>
                  <w:shd w:val="clear" w:color="auto" w:fill="auto"/>
                  <w:noWrap/>
                  <w:hideMark/>
                </w:tcPr>
                <w:p w14:paraId="10AAC1F5" w14:textId="77777777" w:rsidR="00B6616B" w:rsidRPr="00005453" w:rsidRDefault="00B6616B" w:rsidP="00E40135">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01DF8A2E"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Denetim Komitesi Üyesi</w:t>
                  </w:r>
                </w:p>
              </w:tc>
              <w:tc>
                <w:tcPr>
                  <w:tcW w:w="355" w:type="dxa"/>
                  <w:tcBorders>
                    <w:top w:val="nil"/>
                    <w:left w:val="nil"/>
                    <w:bottom w:val="nil"/>
                    <w:right w:val="nil"/>
                  </w:tcBorders>
                  <w:shd w:val="clear" w:color="auto" w:fill="auto"/>
                  <w:noWrap/>
                  <w:hideMark/>
                </w:tcPr>
                <w:p w14:paraId="77C4C6B2" w14:textId="77777777" w:rsidR="00B6616B" w:rsidRPr="00005453" w:rsidRDefault="00B6616B" w:rsidP="00E40135">
                  <w:pPr>
                    <w:spacing w:before="100" w:beforeAutospacing="1" w:after="100" w:afterAutospacing="1"/>
                    <w:jc w:val="center"/>
                    <w:rPr>
                      <w:color w:val="000000"/>
                      <w:sz w:val="18"/>
                      <w:szCs w:val="18"/>
                    </w:rPr>
                  </w:pPr>
                </w:p>
              </w:tc>
            </w:tr>
          </w:tbl>
          <w:p w14:paraId="667F574E" w14:textId="7BF1D11D" w:rsidR="00B6616B" w:rsidRPr="00005453" w:rsidRDefault="00B6616B" w:rsidP="00E40135">
            <w:pPr>
              <w:rPr>
                <w:sz w:val="18"/>
                <w:szCs w:val="18"/>
              </w:rPr>
            </w:pPr>
          </w:p>
          <w:p w14:paraId="0EBE4137" w14:textId="2AE4CE56" w:rsidR="00B6616B" w:rsidRPr="00005453" w:rsidRDefault="00B6616B" w:rsidP="00E40135">
            <w:pPr>
              <w:rPr>
                <w:sz w:val="18"/>
                <w:szCs w:val="18"/>
              </w:rPr>
            </w:pPr>
          </w:p>
          <w:p w14:paraId="26CC8B84" w14:textId="77777777" w:rsidR="00B6616B" w:rsidRPr="00005453" w:rsidRDefault="00B6616B" w:rsidP="00E40135">
            <w:pPr>
              <w:rPr>
                <w:sz w:val="18"/>
                <w:szCs w:val="18"/>
              </w:rPr>
            </w:pPr>
          </w:p>
          <w:p w14:paraId="19140B31" w14:textId="05264C5A" w:rsidR="00B6616B" w:rsidRPr="00005453" w:rsidRDefault="00B6616B" w:rsidP="00E40135">
            <w:pPr>
              <w:rPr>
                <w:sz w:val="18"/>
                <w:szCs w:val="18"/>
              </w:rPr>
            </w:pPr>
          </w:p>
          <w:p w14:paraId="294BD936" w14:textId="77777777" w:rsidR="00290A4C" w:rsidRPr="00005453" w:rsidRDefault="00290A4C" w:rsidP="00E40135">
            <w:pPr>
              <w:rPr>
                <w:sz w:val="18"/>
                <w:szCs w:val="18"/>
              </w:rPr>
            </w:pPr>
          </w:p>
          <w:p w14:paraId="4913CCDA" w14:textId="681D4FBF" w:rsidR="00290A4C" w:rsidRDefault="00290A4C" w:rsidP="00E40135">
            <w:pPr>
              <w:rPr>
                <w:sz w:val="18"/>
                <w:szCs w:val="18"/>
              </w:rPr>
            </w:pPr>
          </w:p>
          <w:p w14:paraId="478934D8" w14:textId="77777777" w:rsidR="00C07B3E" w:rsidRPr="00005453" w:rsidRDefault="00C07B3E" w:rsidP="00E40135">
            <w:pPr>
              <w:rPr>
                <w:sz w:val="18"/>
                <w:szCs w:val="18"/>
              </w:rPr>
            </w:pPr>
          </w:p>
          <w:p w14:paraId="1E6405E1" w14:textId="77777777" w:rsidR="00B6616B" w:rsidRPr="00005453" w:rsidRDefault="00B6616B" w:rsidP="00E40135">
            <w:pPr>
              <w:rPr>
                <w:sz w:val="18"/>
                <w:szCs w:val="18"/>
              </w:rPr>
            </w:pPr>
          </w:p>
          <w:p w14:paraId="3E4528B2" w14:textId="77777777" w:rsidR="00B6616B" w:rsidRPr="00005453" w:rsidRDefault="00B6616B" w:rsidP="00E40135">
            <w:pPr>
              <w:rPr>
                <w:sz w:val="2"/>
                <w:szCs w:val="18"/>
              </w:rPr>
            </w:pPr>
          </w:p>
          <w:p w14:paraId="7E371AF0" w14:textId="77777777" w:rsidR="00B6616B" w:rsidRPr="00005453" w:rsidRDefault="00B6616B" w:rsidP="00E40135">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B6616B" w:rsidRPr="00005453" w14:paraId="498BBCEF" w14:textId="77777777" w:rsidTr="00E40135">
              <w:trPr>
                <w:trHeight w:val="22"/>
              </w:trPr>
              <w:tc>
                <w:tcPr>
                  <w:tcW w:w="2292" w:type="dxa"/>
                  <w:vMerge w:val="restart"/>
                  <w:tcBorders>
                    <w:top w:val="single" w:sz="8" w:space="0" w:color="auto"/>
                    <w:left w:val="nil"/>
                    <w:bottom w:val="nil"/>
                    <w:right w:val="nil"/>
                  </w:tcBorders>
                  <w:shd w:val="clear" w:color="auto" w:fill="auto"/>
                  <w:noWrap/>
                  <w:hideMark/>
                </w:tcPr>
                <w:p w14:paraId="23116712"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Mohamed Hedi MEJAI</w:t>
                  </w:r>
                </w:p>
              </w:tc>
              <w:tc>
                <w:tcPr>
                  <w:tcW w:w="291" w:type="dxa"/>
                  <w:tcBorders>
                    <w:top w:val="nil"/>
                    <w:left w:val="nil"/>
                    <w:bottom w:val="nil"/>
                    <w:right w:val="nil"/>
                  </w:tcBorders>
                  <w:shd w:val="clear" w:color="auto" w:fill="auto"/>
                  <w:noWrap/>
                  <w:hideMark/>
                </w:tcPr>
                <w:p w14:paraId="6DABD702" w14:textId="77777777" w:rsidR="00B6616B" w:rsidRPr="00005453" w:rsidRDefault="00B6616B" w:rsidP="00E40135">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74644DC7"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Ufuk UYAN</w:t>
                  </w:r>
                </w:p>
              </w:tc>
              <w:tc>
                <w:tcPr>
                  <w:tcW w:w="291" w:type="dxa"/>
                  <w:tcBorders>
                    <w:top w:val="nil"/>
                    <w:left w:val="nil"/>
                    <w:bottom w:val="nil"/>
                    <w:right w:val="nil"/>
                  </w:tcBorders>
                  <w:shd w:val="clear" w:color="auto" w:fill="auto"/>
                  <w:noWrap/>
                  <w:hideMark/>
                </w:tcPr>
                <w:p w14:paraId="4708B46B" w14:textId="77777777" w:rsidR="00B6616B" w:rsidRPr="00005453" w:rsidRDefault="00B6616B" w:rsidP="00E40135">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33FE40B8"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Ahmet KARACA</w:t>
                  </w:r>
                </w:p>
              </w:tc>
              <w:tc>
                <w:tcPr>
                  <w:tcW w:w="291" w:type="dxa"/>
                  <w:tcBorders>
                    <w:top w:val="nil"/>
                    <w:left w:val="nil"/>
                    <w:bottom w:val="nil"/>
                    <w:right w:val="nil"/>
                  </w:tcBorders>
                  <w:shd w:val="clear" w:color="auto" w:fill="auto"/>
                  <w:noWrap/>
                  <w:hideMark/>
                </w:tcPr>
                <w:p w14:paraId="3C059023" w14:textId="77777777" w:rsidR="00B6616B" w:rsidRPr="00005453" w:rsidRDefault="00B6616B" w:rsidP="00E40135">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C775885"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Mehmed Tahir KAPLAN</w:t>
                  </w:r>
                </w:p>
              </w:tc>
            </w:tr>
            <w:tr w:rsidR="00B6616B" w:rsidRPr="00005453" w14:paraId="275DC45A" w14:textId="77777777" w:rsidTr="00BD1BED">
              <w:trPr>
                <w:trHeight w:val="32"/>
              </w:trPr>
              <w:tc>
                <w:tcPr>
                  <w:tcW w:w="2292" w:type="dxa"/>
                  <w:vMerge/>
                  <w:tcBorders>
                    <w:top w:val="single" w:sz="8" w:space="0" w:color="auto"/>
                    <w:left w:val="nil"/>
                    <w:bottom w:val="nil"/>
                    <w:right w:val="nil"/>
                  </w:tcBorders>
                  <w:vAlign w:val="center"/>
                  <w:hideMark/>
                </w:tcPr>
                <w:p w14:paraId="10DBF5C4" w14:textId="77777777" w:rsidR="00B6616B" w:rsidRPr="00005453" w:rsidRDefault="00B6616B" w:rsidP="00E4013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1702AFB" w14:textId="77777777" w:rsidR="00B6616B" w:rsidRPr="00005453" w:rsidRDefault="00B6616B" w:rsidP="00E40135">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272DC3AA" w14:textId="77777777" w:rsidR="00B6616B" w:rsidRPr="00005453" w:rsidRDefault="00B6616B" w:rsidP="00E4013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21B81A7D" w14:textId="77777777" w:rsidR="00B6616B" w:rsidRPr="00005453" w:rsidRDefault="00B6616B" w:rsidP="00E40135">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2EDCFD0F" w14:textId="77777777" w:rsidR="00B6616B" w:rsidRPr="00005453" w:rsidRDefault="00B6616B" w:rsidP="00E4013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6EE50582" w14:textId="77777777" w:rsidR="00B6616B" w:rsidRPr="00005453" w:rsidRDefault="00B6616B" w:rsidP="00E40135">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3113CFE" w14:textId="77777777" w:rsidR="00B6616B" w:rsidRPr="00005453" w:rsidRDefault="00B6616B" w:rsidP="00E40135">
                  <w:pPr>
                    <w:spacing w:before="100" w:beforeAutospacing="1" w:after="100" w:afterAutospacing="1"/>
                    <w:rPr>
                      <w:color w:val="000000"/>
                      <w:sz w:val="2"/>
                      <w:szCs w:val="18"/>
                    </w:rPr>
                  </w:pPr>
                </w:p>
              </w:tc>
            </w:tr>
            <w:tr w:rsidR="00B6616B" w:rsidRPr="00005453" w14:paraId="29AA5DB7" w14:textId="77777777" w:rsidTr="00BD1BED">
              <w:trPr>
                <w:trHeight w:val="148"/>
              </w:trPr>
              <w:tc>
                <w:tcPr>
                  <w:tcW w:w="2292" w:type="dxa"/>
                  <w:tcBorders>
                    <w:top w:val="nil"/>
                    <w:left w:val="nil"/>
                    <w:bottom w:val="nil"/>
                    <w:right w:val="nil"/>
                  </w:tcBorders>
                  <w:shd w:val="clear" w:color="auto" w:fill="auto"/>
                  <w:noWrap/>
                  <w:hideMark/>
                </w:tcPr>
                <w:p w14:paraId="53426FA2" w14:textId="77777777" w:rsidR="00B6616B" w:rsidRPr="00005453" w:rsidRDefault="00B6616B" w:rsidP="00E40135">
                  <w:pPr>
                    <w:spacing w:before="100" w:beforeAutospacing="1" w:after="100" w:afterAutospacing="1"/>
                    <w:rPr>
                      <w:color w:val="000000"/>
                      <w:sz w:val="18"/>
                      <w:szCs w:val="18"/>
                    </w:rPr>
                  </w:pPr>
                  <w:r w:rsidRPr="00005453">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36C189DF" w14:textId="77777777" w:rsidR="00B6616B" w:rsidRPr="00005453" w:rsidRDefault="00B6616B" w:rsidP="00E40135">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39D2F8B1"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Genel Müdür</w:t>
                  </w:r>
                </w:p>
              </w:tc>
              <w:tc>
                <w:tcPr>
                  <w:tcW w:w="291" w:type="dxa"/>
                  <w:tcBorders>
                    <w:top w:val="nil"/>
                    <w:left w:val="nil"/>
                    <w:bottom w:val="nil"/>
                    <w:right w:val="nil"/>
                  </w:tcBorders>
                  <w:shd w:val="clear" w:color="auto" w:fill="auto"/>
                  <w:noWrap/>
                  <w:hideMark/>
                </w:tcPr>
                <w:p w14:paraId="6D9B7F7B" w14:textId="77777777" w:rsidR="00B6616B" w:rsidRPr="00005453" w:rsidRDefault="00B6616B" w:rsidP="00E40135">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01768215"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A68FE6D" w14:textId="77777777" w:rsidR="00B6616B" w:rsidRPr="00005453" w:rsidRDefault="00B6616B" w:rsidP="00E40135">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68F5682C" w14:textId="77777777" w:rsidR="00B6616B" w:rsidRPr="00005453" w:rsidRDefault="00B6616B" w:rsidP="00E40135">
                  <w:pPr>
                    <w:spacing w:before="100" w:beforeAutospacing="1" w:after="100" w:afterAutospacing="1"/>
                    <w:jc w:val="center"/>
                    <w:rPr>
                      <w:color w:val="000000"/>
                      <w:sz w:val="18"/>
                      <w:szCs w:val="18"/>
                    </w:rPr>
                  </w:pPr>
                  <w:r w:rsidRPr="00005453">
                    <w:rPr>
                      <w:color w:val="000000"/>
                      <w:sz w:val="18"/>
                      <w:szCs w:val="18"/>
                    </w:rPr>
                    <w:t>Bütçe ve Raporlama Grup Müdürü</w:t>
                  </w:r>
                </w:p>
              </w:tc>
            </w:tr>
          </w:tbl>
          <w:p w14:paraId="07DA0761" w14:textId="77777777" w:rsidR="00B6616B" w:rsidRPr="00005453" w:rsidRDefault="00B6616B" w:rsidP="00E40135">
            <w:pPr>
              <w:rPr>
                <w:color w:val="000000"/>
                <w:sz w:val="18"/>
                <w:szCs w:val="18"/>
              </w:rPr>
            </w:pPr>
          </w:p>
        </w:tc>
        <w:tc>
          <w:tcPr>
            <w:tcW w:w="291" w:type="dxa"/>
            <w:tcBorders>
              <w:top w:val="nil"/>
              <w:left w:val="nil"/>
              <w:bottom w:val="nil"/>
              <w:right w:val="nil"/>
            </w:tcBorders>
            <w:shd w:val="clear" w:color="auto" w:fill="auto"/>
            <w:noWrap/>
            <w:vAlign w:val="center"/>
            <w:hideMark/>
          </w:tcPr>
          <w:p w14:paraId="5259DC2B" w14:textId="77777777" w:rsidR="00B6616B" w:rsidRPr="00005453" w:rsidRDefault="00B6616B" w:rsidP="00E40135">
            <w:pPr>
              <w:spacing w:before="100" w:beforeAutospacing="1" w:after="100" w:afterAutospacing="1"/>
              <w:jc w:val="center"/>
              <w:rPr>
                <w:sz w:val="18"/>
                <w:szCs w:val="18"/>
              </w:rPr>
            </w:pPr>
          </w:p>
        </w:tc>
        <w:tc>
          <w:tcPr>
            <w:tcW w:w="146" w:type="dxa"/>
            <w:tcBorders>
              <w:top w:val="nil"/>
              <w:left w:val="nil"/>
              <w:bottom w:val="nil"/>
              <w:right w:val="nil"/>
            </w:tcBorders>
            <w:vAlign w:val="center"/>
            <w:hideMark/>
          </w:tcPr>
          <w:p w14:paraId="5C6045D8" w14:textId="77777777" w:rsidR="00B6616B" w:rsidRPr="00005453" w:rsidRDefault="00B6616B" w:rsidP="00E40135">
            <w:pPr>
              <w:spacing w:before="100" w:beforeAutospacing="1" w:after="100" w:afterAutospacing="1"/>
              <w:rPr>
                <w:color w:val="000000"/>
                <w:sz w:val="18"/>
                <w:szCs w:val="18"/>
              </w:rPr>
            </w:pPr>
          </w:p>
        </w:tc>
      </w:tr>
    </w:tbl>
    <w:p w14:paraId="3478F69F" w14:textId="0E9BCFFD" w:rsidR="00290A4C" w:rsidRDefault="00290A4C" w:rsidP="00732039"/>
    <w:p w14:paraId="0A86D423" w14:textId="77777777" w:rsidR="00C07B3E" w:rsidRPr="00005453" w:rsidRDefault="00C07B3E" w:rsidP="00732039">
      <w:pPr>
        <w:rPr>
          <w:lang w:eastAsia="tr-TR"/>
        </w:rPr>
      </w:pPr>
    </w:p>
    <w:p w14:paraId="77D9DBE2" w14:textId="77777777" w:rsidR="00290A4C" w:rsidRPr="00005453" w:rsidRDefault="00290A4C" w:rsidP="00732039">
      <w:pPr>
        <w:rPr>
          <w:lang w:eastAsia="tr-TR"/>
        </w:rPr>
      </w:pPr>
    </w:p>
    <w:p w14:paraId="4276C21F" w14:textId="77777777" w:rsidR="00290A4C" w:rsidRPr="00005453" w:rsidRDefault="00290A4C" w:rsidP="00B6616B">
      <w:pPr>
        <w:rPr>
          <w:lang w:eastAsia="tr-TR"/>
        </w:rPr>
      </w:pPr>
    </w:p>
    <w:p w14:paraId="65412A91" w14:textId="77777777" w:rsidR="00290A4C" w:rsidRPr="00005453" w:rsidRDefault="00290A4C" w:rsidP="00B6616B">
      <w:pPr>
        <w:rPr>
          <w:lang w:eastAsia="tr-TR"/>
        </w:rPr>
      </w:pPr>
    </w:p>
    <w:p w14:paraId="30916C75" w14:textId="77777777" w:rsidR="00290A4C" w:rsidRPr="00005453" w:rsidRDefault="00290A4C" w:rsidP="00B6616B">
      <w:pPr>
        <w:rPr>
          <w:lang w:eastAsia="tr-TR"/>
        </w:rPr>
      </w:pPr>
    </w:p>
    <w:p w14:paraId="2A1421BB" w14:textId="3A4D7509" w:rsidR="00B6616B" w:rsidRPr="00005453" w:rsidRDefault="00B6616B" w:rsidP="00B6616B">
      <w:pPr>
        <w:rPr>
          <w:lang w:eastAsia="tr-TR"/>
        </w:rPr>
      </w:pPr>
      <w:r w:rsidRPr="00005453">
        <w:rPr>
          <w:lang w:eastAsia="tr-TR"/>
        </w:rPr>
        <w:t xml:space="preserve">Bu finansal rapor ile ilgili olarak soruların iletilebileceği yetkili personele ilişkin </w:t>
      </w:r>
      <w:proofErr w:type="gramStart"/>
      <w:r w:rsidRPr="00005453">
        <w:rPr>
          <w:lang w:eastAsia="tr-TR"/>
        </w:rPr>
        <w:t>bilgiler ;</w:t>
      </w:r>
      <w:proofErr w:type="gramEnd"/>
    </w:p>
    <w:p w14:paraId="615EDE32" w14:textId="77777777" w:rsidR="00B6616B" w:rsidRPr="00005453" w:rsidRDefault="00B6616B" w:rsidP="00B6616B">
      <w:pPr>
        <w:pStyle w:val="Footer"/>
        <w:rPr>
          <w:sz w:val="14"/>
          <w:szCs w:val="20"/>
        </w:rPr>
      </w:pPr>
    </w:p>
    <w:p w14:paraId="1B764A89" w14:textId="507040F6" w:rsidR="00492D67" w:rsidRPr="00005453" w:rsidRDefault="00492D67" w:rsidP="00492D67">
      <w:pPr>
        <w:pStyle w:val="Footer"/>
        <w:tabs>
          <w:tab w:val="left" w:pos="1701"/>
        </w:tabs>
        <w:rPr>
          <w:sz w:val="20"/>
          <w:szCs w:val="20"/>
          <w:lang w:val="tr-TR"/>
        </w:rPr>
      </w:pPr>
      <w:r w:rsidRPr="00005453">
        <w:rPr>
          <w:sz w:val="20"/>
          <w:szCs w:val="20"/>
        </w:rPr>
        <w:t>Ad-Soyad/Unvan</w:t>
      </w:r>
      <w:r w:rsidRPr="00005453">
        <w:rPr>
          <w:sz w:val="20"/>
          <w:szCs w:val="20"/>
        </w:rPr>
        <w:tab/>
        <w:t>:</w:t>
      </w:r>
      <w:r w:rsidRPr="00005453">
        <w:rPr>
          <w:sz w:val="20"/>
          <w:szCs w:val="20"/>
          <w:lang w:val="tr-TR"/>
        </w:rPr>
        <w:t xml:space="preserve">  </w:t>
      </w:r>
      <w:r w:rsidRPr="00005453">
        <w:rPr>
          <w:sz w:val="20"/>
          <w:szCs w:val="20"/>
        </w:rPr>
        <w:t>Samet ÖZCAN</w:t>
      </w:r>
      <w:r w:rsidRPr="00005453">
        <w:rPr>
          <w:sz w:val="20"/>
          <w:szCs w:val="20"/>
          <w:lang w:eastAsia="tr-TR"/>
        </w:rPr>
        <w:t xml:space="preserve"> / </w:t>
      </w:r>
      <w:r w:rsidRPr="00005453">
        <w:rPr>
          <w:sz w:val="20"/>
          <w:szCs w:val="20"/>
        </w:rPr>
        <w:t xml:space="preserve"> </w:t>
      </w:r>
      <w:r w:rsidRPr="00005453">
        <w:rPr>
          <w:sz w:val="18"/>
          <w:szCs w:val="18"/>
          <w:lang w:eastAsia="tr-TR"/>
        </w:rPr>
        <w:t xml:space="preserve">İştirak Konsolidasyon </w:t>
      </w:r>
      <w:r w:rsidR="00BA04A2" w:rsidRPr="00005453">
        <w:rPr>
          <w:sz w:val="18"/>
          <w:szCs w:val="18"/>
          <w:lang w:val="tr-TR" w:eastAsia="tr-TR"/>
        </w:rPr>
        <w:t>Yöneticisi</w:t>
      </w:r>
    </w:p>
    <w:p w14:paraId="24162976" w14:textId="77777777" w:rsidR="00492D67" w:rsidRPr="00005453" w:rsidRDefault="00492D67" w:rsidP="00492D67">
      <w:pPr>
        <w:pStyle w:val="Footer"/>
        <w:tabs>
          <w:tab w:val="left" w:pos="1701"/>
        </w:tabs>
        <w:rPr>
          <w:sz w:val="20"/>
          <w:szCs w:val="20"/>
        </w:rPr>
      </w:pPr>
      <w:r w:rsidRPr="00005453">
        <w:rPr>
          <w:sz w:val="20"/>
          <w:szCs w:val="20"/>
        </w:rPr>
        <w:t>Tel No</w:t>
      </w:r>
      <w:r w:rsidRPr="00005453">
        <w:rPr>
          <w:sz w:val="20"/>
          <w:szCs w:val="20"/>
        </w:rPr>
        <w:tab/>
        <w:t>:</w:t>
      </w:r>
      <w:r w:rsidRPr="00005453">
        <w:rPr>
          <w:sz w:val="20"/>
          <w:szCs w:val="20"/>
          <w:lang w:val="tr-TR"/>
        </w:rPr>
        <w:t xml:space="preserve">  </w:t>
      </w:r>
      <w:r w:rsidRPr="00005453">
        <w:rPr>
          <w:sz w:val="20"/>
          <w:szCs w:val="20"/>
        </w:rPr>
        <w:t>0</w:t>
      </w:r>
      <w:r w:rsidRPr="00005453">
        <w:rPr>
          <w:sz w:val="20"/>
          <w:szCs w:val="20"/>
          <w:lang w:val="tr-TR"/>
        </w:rPr>
        <w:t xml:space="preserve"> </w:t>
      </w:r>
      <w:r w:rsidRPr="00005453">
        <w:rPr>
          <w:sz w:val="20"/>
          <w:szCs w:val="20"/>
        </w:rPr>
        <w:t>212 354 10 86</w:t>
      </w:r>
    </w:p>
    <w:p w14:paraId="0141567C" w14:textId="77777777" w:rsidR="00492D67" w:rsidRPr="00005453" w:rsidRDefault="00492D67" w:rsidP="00492D67">
      <w:pPr>
        <w:pStyle w:val="Footer"/>
        <w:tabs>
          <w:tab w:val="left" w:pos="1701"/>
        </w:tabs>
        <w:rPr>
          <w:sz w:val="20"/>
          <w:szCs w:val="20"/>
        </w:rPr>
      </w:pPr>
      <w:r w:rsidRPr="00005453">
        <w:rPr>
          <w:sz w:val="20"/>
          <w:szCs w:val="20"/>
        </w:rPr>
        <w:t>Fax No</w:t>
      </w:r>
      <w:r w:rsidRPr="00005453">
        <w:rPr>
          <w:sz w:val="20"/>
          <w:szCs w:val="20"/>
        </w:rPr>
        <w:tab/>
        <w:t>:</w:t>
      </w:r>
      <w:r w:rsidRPr="00005453">
        <w:rPr>
          <w:sz w:val="20"/>
          <w:szCs w:val="20"/>
          <w:lang w:val="tr-TR"/>
        </w:rPr>
        <w:t xml:space="preserve">  </w:t>
      </w:r>
      <w:r w:rsidRPr="00005453">
        <w:rPr>
          <w:sz w:val="20"/>
          <w:szCs w:val="20"/>
        </w:rPr>
        <w:t>0</w:t>
      </w:r>
      <w:r w:rsidRPr="00005453">
        <w:rPr>
          <w:sz w:val="20"/>
          <w:szCs w:val="20"/>
          <w:lang w:val="tr-TR"/>
        </w:rPr>
        <w:t xml:space="preserve"> </w:t>
      </w:r>
      <w:r w:rsidRPr="00005453">
        <w:rPr>
          <w:sz w:val="20"/>
          <w:szCs w:val="20"/>
        </w:rPr>
        <w:t>212 354 11 03</w:t>
      </w:r>
    </w:p>
    <w:p w14:paraId="669E940B" w14:textId="77777777" w:rsidR="00152E65" w:rsidRPr="00005453" w:rsidRDefault="00152E65" w:rsidP="00861618">
      <w:pPr>
        <w:jc w:val="center"/>
        <w:rPr>
          <w:b/>
        </w:rPr>
        <w:sectPr w:rsidR="00152E65" w:rsidRPr="00005453" w:rsidSect="00A07E0F">
          <w:headerReference w:type="default" r:id="rId17"/>
          <w:pgSz w:w="11907" w:h="16840" w:code="9"/>
          <w:pgMar w:top="1418" w:right="1418" w:bottom="1418" w:left="1418" w:header="708" w:footer="708" w:gutter="0"/>
          <w:pgNumType w:start="1"/>
          <w:cols w:space="708"/>
          <w:noEndnote/>
        </w:sectPr>
      </w:pPr>
    </w:p>
    <w:p w14:paraId="01369E30" w14:textId="77777777" w:rsidR="003F3E56" w:rsidRPr="00005453" w:rsidRDefault="003F3E56" w:rsidP="00861618">
      <w:pPr>
        <w:jc w:val="center"/>
        <w:rPr>
          <w:b/>
        </w:rPr>
      </w:pPr>
    </w:p>
    <w:p w14:paraId="5AB87AF7" w14:textId="60F81271" w:rsidR="00996205" w:rsidRPr="00005453" w:rsidRDefault="00996205" w:rsidP="00861618">
      <w:pPr>
        <w:jc w:val="center"/>
        <w:rPr>
          <w:b/>
        </w:rPr>
      </w:pPr>
      <w:r w:rsidRPr="00005453">
        <w:rPr>
          <w:b/>
        </w:rPr>
        <w:t>BİRİNCİ BÖLÜM</w:t>
      </w:r>
      <w:bookmarkEnd w:id="4"/>
    </w:p>
    <w:p w14:paraId="72524B24" w14:textId="77777777" w:rsidR="00996205" w:rsidRPr="00005453" w:rsidRDefault="00996205" w:rsidP="00996205">
      <w:pPr>
        <w:pStyle w:val="Heading5"/>
        <w:spacing w:line="230" w:lineRule="auto"/>
        <w:ind w:left="3420" w:hanging="3420"/>
        <w:jc w:val="center"/>
        <w:rPr>
          <w:sz w:val="8"/>
        </w:rPr>
      </w:pPr>
    </w:p>
    <w:p w14:paraId="5A19961E" w14:textId="77777777" w:rsidR="00996205" w:rsidRPr="00005453" w:rsidRDefault="00996205" w:rsidP="00996205">
      <w:pPr>
        <w:pStyle w:val="Heading5"/>
        <w:spacing w:line="230" w:lineRule="auto"/>
        <w:ind w:left="3420" w:hanging="3420"/>
        <w:jc w:val="center"/>
      </w:pPr>
      <w:bookmarkStart w:id="5" w:name="_Hlk95171984"/>
      <w:r w:rsidRPr="00005453">
        <w:t>GENEL BİLGİLER</w:t>
      </w:r>
    </w:p>
    <w:bookmarkEnd w:id="5"/>
    <w:p w14:paraId="22A0E86C" w14:textId="77777777" w:rsidR="00996205" w:rsidRPr="00005453" w:rsidRDefault="00996205" w:rsidP="00996205"/>
    <w:p w14:paraId="120143D0" w14:textId="77777777" w:rsidR="00996205" w:rsidRPr="00005453" w:rsidRDefault="00996205" w:rsidP="00152E65">
      <w:pPr>
        <w:pStyle w:val="Heading5"/>
        <w:spacing w:line="230" w:lineRule="auto"/>
        <w:ind w:left="0" w:hanging="567"/>
      </w:pPr>
      <w:r w:rsidRPr="00005453">
        <w:rPr>
          <w:bCs w:val="0"/>
        </w:rPr>
        <w:t>1.</w:t>
      </w:r>
      <w:r w:rsidRPr="00005453">
        <w:rPr>
          <w:bCs w:val="0"/>
        </w:rPr>
        <w:tab/>
      </w:r>
      <w:r w:rsidRPr="00005453">
        <w:rPr>
          <w:rFonts w:eastAsia="Arial Unicode MS"/>
          <w:bCs w:val="0"/>
        </w:rPr>
        <w:t>Banka’nın kuruluş tarihi, başlangıç statüsü, anılan statüde meydana gelen değişiklikleri ihtiva eden tarihçesi</w:t>
      </w:r>
    </w:p>
    <w:p w14:paraId="55934E77" w14:textId="77777777" w:rsidR="00996205" w:rsidRPr="00005453" w:rsidRDefault="00996205" w:rsidP="00996205">
      <w:pPr>
        <w:spacing w:line="230" w:lineRule="auto"/>
        <w:rPr>
          <w:sz w:val="16"/>
          <w:szCs w:val="16"/>
        </w:rPr>
      </w:pPr>
    </w:p>
    <w:p w14:paraId="0F360526" w14:textId="1672527B" w:rsidR="00996205" w:rsidRPr="00005453" w:rsidRDefault="00996205" w:rsidP="00996205">
      <w:pPr>
        <w:spacing w:line="230" w:lineRule="auto"/>
        <w:jc w:val="both"/>
      </w:pPr>
      <w:r w:rsidRPr="00005453">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r w:rsidR="000B3623" w:rsidRPr="00005453">
        <w:t>.</w:t>
      </w:r>
    </w:p>
    <w:p w14:paraId="30787EBC" w14:textId="77777777" w:rsidR="00033391" w:rsidRPr="00005453" w:rsidRDefault="00033391">
      <w:pPr>
        <w:spacing w:line="230" w:lineRule="auto"/>
        <w:rPr>
          <w:sz w:val="10"/>
        </w:rPr>
      </w:pPr>
    </w:p>
    <w:p w14:paraId="295987C4" w14:textId="260321E1" w:rsidR="00996205" w:rsidRPr="00005453" w:rsidRDefault="00996205" w:rsidP="00152E65">
      <w:pPr>
        <w:spacing w:line="230" w:lineRule="auto"/>
        <w:ind w:hanging="567"/>
        <w:jc w:val="both"/>
        <w:rPr>
          <w:b/>
        </w:rPr>
      </w:pPr>
      <w:r w:rsidRPr="00005453">
        <w:rPr>
          <w:b/>
        </w:rPr>
        <w:t>2.</w:t>
      </w:r>
      <w:r w:rsidRPr="00005453">
        <w:rPr>
          <w:b/>
        </w:rPr>
        <w:tab/>
      </w:r>
      <w:r w:rsidRPr="00005453">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6ABA2193" w14:textId="77777777" w:rsidR="00996205" w:rsidRPr="00005453" w:rsidRDefault="00996205" w:rsidP="00996205">
      <w:pPr>
        <w:spacing w:line="230" w:lineRule="auto"/>
        <w:rPr>
          <w:b/>
          <w:sz w:val="16"/>
          <w:szCs w:val="16"/>
        </w:rPr>
      </w:pPr>
    </w:p>
    <w:p w14:paraId="01A6E729" w14:textId="58A0A9BC" w:rsidR="00996205" w:rsidRPr="00005453" w:rsidRDefault="00996205" w:rsidP="00996205">
      <w:pPr>
        <w:pStyle w:val="BodyText"/>
        <w:autoSpaceDE/>
        <w:autoSpaceDN/>
        <w:adjustRightInd/>
        <w:spacing w:line="230" w:lineRule="auto"/>
      </w:pPr>
      <w:r w:rsidRPr="00005453">
        <w:t>31 Aralık 202</w:t>
      </w:r>
      <w:r w:rsidR="00BA04A2" w:rsidRPr="00005453">
        <w:t>4</w:t>
      </w:r>
      <w:r w:rsidRPr="00005453">
        <w:t xml:space="preserve"> </w:t>
      </w:r>
      <w:r w:rsidR="00AF31ED" w:rsidRPr="00005453">
        <w:t xml:space="preserve">tarihi itibarıyla Banka hisselerinin </w:t>
      </w:r>
      <w:proofErr w:type="gramStart"/>
      <w:r w:rsidR="00AF31ED" w:rsidRPr="00005453">
        <w:t>%</w:t>
      </w:r>
      <w:r w:rsidR="004B13F9" w:rsidRPr="00005453">
        <w:t>57</w:t>
      </w:r>
      <w:r w:rsidR="00AF31ED" w:rsidRPr="00005453">
        <w:t>.</w:t>
      </w:r>
      <w:r w:rsidR="004B13F9" w:rsidRPr="00005453">
        <w:t>81</w:t>
      </w:r>
      <w:proofErr w:type="gramEnd"/>
      <w:r w:rsidR="00AF31ED" w:rsidRPr="00005453">
        <w:t>’</w:t>
      </w:r>
      <w:r w:rsidR="004B13F9" w:rsidRPr="00005453">
        <w:t>i</w:t>
      </w:r>
      <w:r w:rsidR="00AF31ED" w:rsidRPr="00005453">
        <w:t xml:space="preserve"> Kuveyt’te mukim Kuwait Finance House’a, %</w:t>
      </w:r>
      <w:r w:rsidR="004B13F9" w:rsidRPr="00005453">
        <w:t>24.49</w:t>
      </w:r>
      <w:r w:rsidR="00AF31ED" w:rsidRPr="00005453">
        <w:t>’</w:t>
      </w:r>
      <w:r w:rsidR="004B13F9" w:rsidRPr="00005453">
        <w:t>ı</w:t>
      </w:r>
      <w:r w:rsidR="00AF31ED" w:rsidRPr="00005453">
        <w:t xml:space="preserve"> T.C. Vakıflar Genel Müdürlüğü’ne, %</w:t>
      </w:r>
      <w:r w:rsidR="004B13F9" w:rsidRPr="00005453">
        <w:t>8</w:t>
      </w:r>
      <w:r w:rsidR="00AF31ED" w:rsidRPr="00005453">
        <w:t>.</w:t>
      </w:r>
      <w:r w:rsidR="004B13F9" w:rsidRPr="00005453">
        <w:t>36</w:t>
      </w:r>
      <w:r w:rsidR="00AF31ED" w:rsidRPr="00005453">
        <w:t>’</w:t>
      </w:r>
      <w:r w:rsidR="004B13F9" w:rsidRPr="00005453">
        <w:t>sı</w:t>
      </w:r>
      <w:r w:rsidR="00AF31ED" w:rsidRPr="00005453">
        <w:t xml:space="preserve"> Kuveyt’te mukim Wafra International Investment Company’ye ve %</w:t>
      </w:r>
      <w:r w:rsidR="004B13F9" w:rsidRPr="00005453">
        <w:t>8</w:t>
      </w:r>
      <w:r w:rsidR="00AF31ED" w:rsidRPr="00005453">
        <w:t>.</w:t>
      </w:r>
      <w:r w:rsidR="004B13F9" w:rsidRPr="00005453">
        <w:t>36</w:t>
      </w:r>
      <w:r w:rsidR="00AF31ED" w:rsidRPr="00005453">
        <w:t>’</w:t>
      </w:r>
      <w:r w:rsidR="004B13F9" w:rsidRPr="00005453">
        <w:t>sı</w:t>
      </w:r>
      <w:r w:rsidR="00AF31ED" w:rsidRPr="00005453">
        <w:t xml:space="preserve"> Islamic Development Bank’a ait olup geriye kalan %</w:t>
      </w:r>
      <w:r w:rsidR="004B13F9" w:rsidRPr="00005453">
        <w:t>0</w:t>
      </w:r>
      <w:r w:rsidR="00AF31ED" w:rsidRPr="00005453">
        <w:t>.</w:t>
      </w:r>
      <w:r w:rsidR="004B13F9" w:rsidRPr="00005453">
        <w:t>98</w:t>
      </w:r>
      <w:r w:rsidR="00AF31ED" w:rsidRPr="00005453">
        <w:t xml:space="preserve"> oranındaki hisseler diğer gerçek ve tüzel kişilere aittir.</w:t>
      </w:r>
    </w:p>
    <w:p w14:paraId="1D93EBCF" w14:textId="77777777" w:rsidR="00033391" w:rsidRPr="00005453" w:rsidRDefault="00033391" w:rsidP="009B7033">
      <w:pPr>
        <w:pStyle w:val="BodyText"/>
        <w:autoSpaceDE/>
        <w:autoSpaceDN/>
        <w:adjustRightInd/>
        <w:spacing w:line="230" w:lineRule="auto"/>
        <w:rPr>
          <w:sz w:val="16"/>
          <w:szCs w:val="16"/>
        </w:rPr>
      </w:pPr>
    </w:p>
    <w:p w14:paraId="4ECA1401" w14:textId="41B09BE9" w:rsidR="00033391" w:rsidRPr="00005453" w:rsidRDefault="00581E1E" w:rsidP="008F08F2">
      <w:pPr>
        <w:pStyle w:val="BodyText"/>
        <w:autoSpaceDE/>
        <w:autoSpaceDN/>
        <w:adjustRightInd/>
        <w:spacing w:line="230" w:lineRule="auto"/>
        <w:ind w:hanging="567"/>
        <w:rPr>
          <w:rFonts w:eastAsia="Arial Unicode MS"/>
          <w:b/>
        </w:rPr>
      </w:pPr>
      <w:r w:rsidRPr="00005453">
        <w:rPr>
          <w:rFonts w:eastAsia="Arial Unicode MS"/>
          <w:b/>
        </w:rPr>
        <w:t xml:space="preserve">3.  </w:t>
      </w:r>
      <w:r w:rsidR="00152E65" w:rsidRPr="00005453">
        <w:rPr>
          <w:rFonts w:eastAsia="Arial Unicode MS"/>
          <w:b/>
        </w:rPr>
        <w:tab/>
      </w:r>
      <w:r w:rsidR="00E253C8" w:rsidRPr="00005453">
        <w:rPr>
          <w:rFonts w:eastAsia="Arial Unicode MS"/>
          <w:b/>
        </w:rPr>
        <w:t>Banka’nın yönetim kurulu başkan ve üyeleri, denetim komitesi üyeleri ile genel müdür ve</w:t>
      </w:r>
      <w:r w:rsidR="00145F89" w:rsidRPr="00005453">
        <w:rPr>
          <w:rFonts w:eastAsia="Arial Unicode MS"/>
          <w:b/>
        </w:rPr>
        <w:t xml:space="preserve"> </w:t>
      </w:r>
      <w:proofErr w:type="gramStart"/>
      <w:r w:rsidR="00E253C8" w:rsidRPr="00005453">
        <w:rPr>
          <w:rFonts w:eastAsia="Arial Unicode MS"/>
          <w:b/>
        </w:rPr>
        <w:t xml:space="preserve">yardımcılarının, </w:t>
      </w:r>
      <w:r w:rsidRPr="00005453">
        <w:rPr>
          <w:rFonts w:eastAsia="Arial Unicode MS"/>
          <w:b/>
        </w:rPr>
        <w:t xml:space="preserve">  </w:t>
      </w:r>
      <w:proofErr w:type="gramEnd"/>
      <w:r w:rsidRPr="00005453">
        <w:rPr>
          <w:rFonts w:eastAsia="Arial Unicode MS"/>
          <w:b/>
        </w:rPr>
        <w:t xml:space="preserve">  </w:t>
      </w:r>
      <w:r w:rsidRPr="00005453">
        <w:rPr>
          <w:rFonts w:eastAsia="Arial Unicode MS"/>
          <w:b/>
        </w:rPr>
        <w:br/>
      </w:r>
      <w:r w:rsidR="00E253C8" w:rsidRPr="00005453">
        <w:rPr>
          <w:rFonts w:eastAsia="Arial Unicode MS"/>
          <w:b/>
        </w:rPr>
        <w:t xml:space="preserve">varsa </w:t>
      </w:r>
      <w:r w:rsidR="005147B7" w:rsidRPr="00005453">
        <w:rPr>
          <w:rFonts w:eastAsia="Arial Unicode MS"/>
          <w:b/>
        </w:rPr>
        <w:t>B</w:t>
      </w:r>
      <w:r w:rsidR="00E253C8" w:rsidRPr="00005453">
        <w:rPr>
          <w:rFonts w:eastAsia="Arial Unicode MS"/>
          <w:b/>
        </w:rPr>
        <w:t>anka</w:t>
      </w:r>
      <w:r w:rsidR="005147B7" w:rsidRPr="00005453">
        <w:rPr>
          <w:rFonts w:eastAsia="Arial Unicode MS"/>
          <w:b/>
        </w:rPr>
        <w:t>’</w:t>
      </w:r>
      <w:r w:rsidR="00E253C8" w:rsidRPr="00005453">
        <w:rPr>
          <w:rFonts w:eastAsia="Arial Unicode MS"/>
          <w:b/>
        </w:rPr>
        <w:t>da sahip oldukları paylara ve sorumluluk alanlarına ilişkin açıklamalar</w:t>
      </w:r>
    </w:p>
    <w:p w14:paraId="0A3CD332" w14:textId="22A3256C" w:rsidR="001517EC" w:rsidRPr="00005453" w:rsidRDefault="005E5A64" w:rsidP="00231D2B">
      <w:pPr>
        <w:pStyle w:val="BodyText"/>
        <w:autoSpaceDE/>
        <w:spacing w:line="228" w:lineRule="auto"/>
        <w:rPr>
          <w:lang w:eastAsia="en-GB"/>
        </w:rPr>
      </w:pPr>
      <w:r w:rsidRPr="00005453">
        <w:rPr>
          <w:sz w:val="16"/>
          <w:szCs w:val="16"/>
        </w:rPr>
        <w:t> </w:t>
      </w:r>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9"/>
        <w:gridCol w:w="2352"/>
        <w:gridCol w:w="778"/>
        <w:gridCol w:w="1088"/>
        <w:gridCol w:w="1122"/>
        <w:gridCol w:w="1013"/>
        <w:gridCol w:w="809"/>
      </w:tblGrid>
      <w:tr w:rsidR="00D52CB0" w:rsidRPr="00005453" w14:paraId="3E95367D" w14:textId="77777777" w:rsidTr="00AF31ED">
        <w:trPr>
          <w:trHeight w:val="322"/>
        </w:trPr>
        <w:tc>
          <w:tcPr>
            <w:tcW w:w="1819" w:type="dxa"/>
            <w:vMerge w:val="restart"/>
            <w:tcBorders>
              <w:top w:val="single" w:sz="4" w:space="0" w:color="auto"/>
              <w:left w:val="single" w:sz="4" w:space="0" w:color="auto"/>
              <w:bottom w:val="single" w:sz="4" w:space="0" w:color="auto"/>
              <w:right w:val="single" w:sz="4" w:space="0" w:color="auto"/>
            </w:tcBorders>
            <w:noWrap/>
            <w:vAlign w:val="center"/>
            <w:hideMark/>
          </w:tcPr>
          <w:p w14:paraId="051A5D87" w14:textId="77777777" w:rsidR="00D52CB0" w:rsidRPr="00005453" w:rsidRDefault="00D52CB0">
            <w:pPr>
              <w:rPr>
                <w:b/>
                <w:sz w:val="14"/>
                <w:szCs w:val="14"/>
                <w:lang w:val="en-GB" w:eastAsia="tr-TR"/>
              </w:rPr>
            </w:pPr>
            <w:bookmarkStart w:id="6" w:name="_Hlk187935456"/>
            <w:r w:rsidRPr="00005453">
              <w:rPr>
                <w:b/>
                <w:sz w:val="14"/>
                <w:szCs w:val="14"/>
                <w:lang w:val="en-GB" w:eastAsia="tr-TR"/>
              </w:rPr>
              <w:t>İsim</w:t>
            </w:r>
          </w:p>
        </w:tc>
        <w:tc>
          <w:tcPr>
            <w:tcW w:w="2352" w:type="dxa"/>
            <w:vMerge w:val="restart"/>
            <w:tcBorders>
              <w:top w:val="single" w:sz="4" w:space="0" w:color="auto"/>
              <w:left w:val="single" w:sz="4" w:space="0" w:color="auto"/>
              <w:bottom w:val="single" w:sz="4" w:space="0" w:color="auto"/>
              <w:right w:val="single" w:sz="4" w:space="0" w:color="auto"/>
            </w:tcBorders>
            <w:noWrap/>
            <w:vAlign w:val="center"/>
            <w:hideMark/>
          </w:tcPr>
          <w:p w14:paraId="5F82B0D9" w14:textId="77777777" w:rsidR="00D52CB0" w:rsidRPr="00005453" w:rsidRDefault="00D52CB0">
            <w:pPr>
              <w:jc w:val="right"/>
              <w:rPr>
                <w:b/>
                <w:sz w:val="14"/>
                <w:szCs w:val="14"/>
                <w:lang w:val="en-GB" w:eastAsia="tr-TR"/>
              </w:rPr>
            </w:pPr>
            <w:r w:rsidRPr="00005453">
              <w:rPr>
                <w:b/>
                <w:sz w:val="14"/>
                <w:szCs w:val="14"/>
                <w:lang w:val="en-GB" w:eastAsia="tr-TR"/>
              </w:rPr>
              <w:t>Görevi</w:t>
            </w:r>
          </w:p>
        </w:tc>
        <w:tc>
          <w:tcPr>
            <w:tcW w:w="778" w:type="dxa"/>
            <w:vMerge w:val="restart"/>
            <w:tcBorders>
              <w:top w:val="single" w:sz="4" w:space="0" w:color="auto"/>
              <w:left w:val="single" w:sz="4" w:space="0" w:color="auto"/>
              <w:bottom w:val="single" w:sz="4" w:space="0" w:color="auto"/>
              <w:right w:val="single" w:sz="4" w:space="0" w:color="auto"/>
            </w:tcBorders>
            <w:noWrap/>
            <w:vAlign w:val="center"/>
            <w:hideMark/>
          </w:tcPr>
          <w:p w14:paraId="33C76680" w14:textId="77777777" w:rsidR="00D52CB0" w:rsidRPr="00005453" w:rsidRDefault="00D52CB0">
            <w:pPr>
              <w:jc w:val="right"/>
              <w:rPr>
                <w:b/>
                <w:color w:val="000000"/>
                <w:sz w:val="14"/>
                <w:szCs w:val="14"/>
                <w:lang w:val="en-GB" w:eastAsia="tr-TR"/>
              </w:rPr>
            </w:pPr>
            <w:r w:rsidRPr="00005453">
              <w:rPr>
                <w:b/>
                <w:sz w:val="14"/>
                <w:szCs w:val="14"/>
                <w:lang w:val="en-GB" w:eastAsia="tr-TR"/>
              </w:rPr>
              <w:t xml:space="preserve">Göreve </w:t>
            </w:r>
            <w:r w:rsidRPr="00005453">
              <w:rPr>
                <w:b/>
                <w:color w:val="000000"/>
                <w:sz w:val="14"/>
                <w:szCs w:val="14"/>
                <w:lang w:val="en-GB" w:eastAsia="tr-TR"/>
              </w:rPr>
              <w:t>atanma tarihi</w:t>
            </w:r>
          </w:p>
        </w:tc>
        <w:tc>
          <w:tcPr>
            <w:tcW w:w="1088" w:type="dxa"/>
            <w:vMerge w:val="restart"/>
            <w:tcBorders>
              <w:top w:val="single" w:sz="4" w:space="0" w:color="auto"/>
              <w:left w:val="single" w:sz="4" w:space="0" w:color="auto"/>
              <w:bottom w:val="single" w:sz="4" w:space="0" w:color="auto"/>
              <w:right w:val="single" w:sz="4" w:space="0" w:color="auto"/>
            </w:tcBorders>
            <w:noWrap/>
            <w:vAlign w:val="center"/>
            <w:hideMark/>
          </w:tcPr>
          <w:p w14:paraId="03B40509" w14:textId="77777777" w:rsidR="00D52CB0" w:rsidRPr="00005453" w:rsidRDefault="00D52CB0">
            <w:pPr>
              <w:jc w:val="right"/>
              <w:rPr>
                <w:b/>
                <w:sz w:val="14"/>
                <w:szCs w:val="14"/>
                <w:lang w:val="de-DE" w:eastAsia="tr-TR"/>
              </w:rPr>
            </w:pPr>
            <w:r w:rsidRPr="00005453">
              <w:rPr>
                <w:b/>
                <w:sz w:val="14"/>
                <w:szCs w:val="14"/>
                <w:lang w:val="de-DE" w:eastAsia="tr-TR"/>
              </w:rPr>
              <w:t>Denetim Komitesi görevi atanma tarihi</w:t>
            </w:r>
          </w:p>
        </w:tc>
        <w:tc>
          <w:tcPr>
            <w:tcW w:w="1122" w:type="dxa"/>
            <w:vMerge w:val="restart"/>
            <w:tcBorders>
              <w:top w:val="single" w:sz="4" w:space="0" w:color="auto"/>
              <w:left w:val="single" w:sz="4" w:space="0" w:color="auto"/>
              <w:bottom w:val="single" w:sz="4" w:space="0" w:color="auto"/>
              <w:right w:val="single" w:sz="4" w:space="0" w:color="auto"/>
            </w:tcBorders>
            <w:noWrap/>
            <w:vAlign w:val="center"/>
            <w:hideMark/>
          </w:tcPr>
          <w:p w14:paraId="2C31D727" w14:textId="77777777" w:rsidR="00D52CB0" w:rsidRPr="00005453" w:rsidRDefault="00D52CB0">
            <w:pPr>
              <w:jc w:val="right"/>
              <w:rPr>
                <w:b/>
                <w:sz w:val="14"/>
                <w:szCs w:val="14"/>
                <w:lang w:val="de-DE" w:eastAsia="tr-TR"/>
              </w:rPr>
            </w:pPr>
            <w:r w:rsidRPr="00005453">
              <w:rPr>
                <w:b/>
                <w:sz w:val="14"/>
                <w:szCs w:val="14"/>
                <w:lang w:val="de-DE" w:eastAsia="tr-TR"/>
              </w:rPr>
              <w:t>Denetim Komitesi görevi bitiş tarihi</w:t>
            </w:r>
          </w:p>
        </w:tc>
        <w:tc>
          <w:tcPr>
            <w:tcW w:w="1013" w:type="dxa"/>
            <w:vMerge w:val="restart"/>
            <w:tcBorders>
              <w:top w:val="single" w:sz="4" w:space="0" w:color="auto"/>
              <w:left w:val="single" w:sz="4" w:space="0" w:color="auto"/>
              <w:bottom w:val="single" w:sz="4" w:space="0" w:color="auto"/>
              <w:right w:val="single" w:sz="4" w:space="0" w:color="auto"/>
            </w:tcBorders>
            <w:noWrap/>
            <w:vAlign w:val="center"/>
            <w:hideMark/>
          </w:tcPr>
          <w:p w14:paraId="0F17C571" w14:textId="77777777" w:rsidR="00D52CB0" w:rsidRPr="00005453" w:rsidRDefault="00D52CB0">
            <w:pPr>
              <w:jc w:val="right"/>
              <w:rPr>
                <w:b/>
                <w:sz w:val="14"/>
                <w:szCs w:val="14"/>
                <w:lang w:val="en-GB" w:eastAsia="tr-TR"/>
              </w:rPr>
            </w:pPr>
            <w:r w:rsidRPr="00005453">
              <w:rPr>
                <w:b/>
                <w:sz w:val="14"/>
                <w:szCs w:val="14"/>
                <w:lang w:val="en-GB" w:eastAsia="tr-TR"/>
              </w:rPr>
              <w:t>Öğrenim durumu</w:t>
            </w:r>
          </w:p>
        </w:tc>
        <w:tc>
          <w:tcPr>
            <w:tcW w:w="809" w:type="dxa"/>
            <w:vMerge w:val="restart"/>
            <w:tcBorders>
              <w:top w:val="single" w:sz="4" w:space="0" w:color="auto"/>
              <w:left w:val="single" w:sz="4" w:space="0" w:color="auto"/>
              <w:bottom w:val="single" w:sz="4" w:space="0" w:color="auto"/>
              <w:right w:val="single" w:sz="4" w:space="0" w:color="auto"/>
            </w:tcBorders>
            <w:noWrap/>
            <w:vAlign w:val="center"/>
            <w:hideMark/>
          </w:tcPr>
          <w:p w14:paraId="1DFE4476" w14:textId="77777777" w:rsidR="00D52CB0" w:rsidRPr="00005453" w:rsidRDefault="00D52CB0">
            <w:pPr>
              <w:jc w:val="right"/>
              <w:rPr>
                <w:b/>
                <w:sz w:val="14"/>
                <w:szCs w:val="14"/>
                <w:lang w:val="en-GB" w:eastAsia="tr-TR"/>
              </w:rPr>
            </w:pPr>
            <w:r w:rsidRPr="00005453">
              <w:rPr>
                <w:b/>
                <w:sz w:val="14"/>
                <w:szCs w:val="14"/>
                <w:lang w:val="en-GB" w:eastAsia="tr-TR"/>
              </w:rPr>
              <w:t>Pay oranı</w:t>
            </w:r>
          </w:p>
        </w:tc>
      </w:tr>
      <w:tr w:rsidR="00D52CB0" w:rsidRPr="00005453" w14:paraId="65B9BA76" w14:textId="77777777" w:rsidTr="00AF31ED">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582828" w14:textId="77777777" w:rsidR="00D52CB0" w:rsidRPr="00005453" w:rsidRDefault="00D52CB0">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98310" w14:textId="77777777" w:rsidR="00D52CB0" w:rsidRPr="00005453" w:rsidRDefault="00D52CB0">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F5D275" w14:textId="77777777" w:rsidR="00D52CB0" w:rsidRPr="00005453" w:rsidRDefault="00D52CB0">
            <w:pPr>
              <w:rPr>
                <w:b/>
                <w:color w:val="000000"/>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79D96" w14:textId="77777777" w:rsidR="00D52CB0" w:rsidRPr="00005453" w:rsidRDefault="00D52CB0">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5371F" w14:textId="77777777" w:rsidR="00D52CB0" w:rsidRPr="00005453" w:rsidRDefault="00D52CB0">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05981" w14:textId="77777777" w:rsidR="00D52CB0" w:rsidRPr="00005453" w:rsidRDefault="00D52CB0">
            <w:pPr>
              <w:rPr>
                <w:b/>
                <w:sz w:val="14"/>
                <w:szCs w:val="14"/>
                <w:lang w:val="en-GB" w:eastAsia="tr-T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6A161" w14:textId="77777777" w:rsidR="00D52CB0" w:rsidRPr="00005453" w:rsidRDefault="00D52CB0">
            <w:pPr>
              <w:rPr>
                <w:b/>
                <w:sz w:val="14"/>
                <w:szCs w:val="14"/>
                <w:lang w:val="en-GB" w:eastAsia="tr-TR"/>
              </w:rPr>
            </w:pPr>
          </w:p>
        </w:tc>
      </w:tr>
      <w:tr w:rsidR="00C456AE" w:rsidRPr="00005453" w14:paraId="49CDD25D"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13331DC" w14:textId="20E3A7E2" w:rsidR="00C456AE" w:rsidRPr="00005453" w:rsidRDefault="00C456AE" w:rsidP="00C456AE">
            <w:pPr>
              <w:rPr>
                <w:sz w:val="14"/>
                <w:szCs w:val="14"/>
                <w:lang w:val="en-GB" w:eastAsia="tr-TR"/>
              </w:rPr>
            </w:pPr>
            <w:r w:rsidRPr="00005453">
              <w:rPr>
                <w:sz w:val="14"/>
                <w:szCs w:val="14"/>
                <w:lang w:val="en-GB" w:eastAsia="tr-TR"/>
              </w:rPr>
              <w:t>Hamad A H D MARZOUQ</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440C9B77" w14:textId="6A472854" w:rsidR="00C456AE" w:rsidRPr="00005453" w:rsidRDefault="00C456AE" w:rsidP="00C456AE">
            <w:pPr>
              <w:jc w:val="right"/>
              <w:rPr>
                <w:sz w:val="14"/>
                <w:szCs w:val="14"/>
                <w:lang w:val="en-GB" w:eastAsia="tr-TR"/>
              </w:rPr>
            </w:pPr>
            <w:r w:rsidRPr="00005453">
              <w:rPr>
                <w:sz w:val="14"/>
                <w:szCs w:val="14"/>
                <w:lang w:val="en-GB"/>
              </w:rPr>
              <w:t>Y.K. Başkanı</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32B4F634" w14:textId="4D615773" w:rsidR="00C456AE" w:rsidRPr="00005453" w:rsidRDefault="00C456AE" w:rsidP="00C456AE">
            <w:pPr>
              <w:jc w:val="right"/>
              <w:rPr>
                <w:sz w:val="14"/>
                <w:szCs w:val="14"/>
                <w:lang w:val="en-GB" w:eastAsia="tr-TR"/>
              </w:rPr>
            </w:pPr>
            <w:r w:rsidRPr="00005453">
              <w:rPr>
                <w:sz w:val="14"/>
                <w:szCs w:val="14"/>
                <w:lang w:val="en-GB" w:eastAsia="tr-TR"/>
              </w:rPr>
              <w:t>25/06/2014</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355F7CA"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740FE47C"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20BD5CAA" w14:textId="73E6CE6C" w:rsidR="00C456AE" w:rsidRPr="00005453" w:rsidRDefault="00C456AE" w:rsidP="00C456AE">
            <w:pPr>
              <w:jc w:val="right"/>
              <w:rPr>
                <w:sz w:val="14"/>
                <w:szCs w:val="14"/>
                <w:lang w:val="en-GB" w:eastAsia="tr-TR"/>
              </w:rPr>
            </w:pPr>
            <w:r w:rsidRPr="00005453">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B98A3BA" w14:textId="5ED7AFD9"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31E8C7EE"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780C11AC" w14:textId="7E3A8175" w:rsidR="00C456AE" w:rsidRPr="00005453" w:rsidRDefault="00C456AE" w:rsidP="00C456AE">
            <w:pPr>
              <w:rPr>
                <w:color w:val="000000"/>
                <w:sz w:val="14"/>
                <w:szCs w:val="14"/>
                <w:lang w:val="en-GB" w:eastAsia="tr-TR"/>
              </w:rPr>
            </w:pPr>
            <w:r w:rsidRPr="00005453">
              <w:rPr>
                <w:sz w:val="14"/>
                <w:szCs w:val="14"/>
                <w:lang w:val="en-GB" w:eastAsia="tr-TR"/>
              </w:rPr>
              <w:t>Shadi Ahmed YACOUB ZAHRAN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020EF62A" w14:textId="0EEB0F60" w:rsidR="00C456AE" w:rsidRPr="00005453" w:rsidRDefault="00C456AE" w:rsidP="00C456AE">
            <w:pPr>
              <w:jc w:val="right"/>
              <w:rPr>
                <w:sz w:val="14"/>
                <w:szCs w:val="14"/>
                <w:lang w:val="de-DE" w:eastAsia="tr-TR"/>
              </w:rPr>
            </w:pPr>
            <w:r w:rsidRPr="00005453">
              <w:rPr>
                <w:sz w:val="14"/>
                <w:szCs w:val="14"/>
                <w:lang w:val="de-DE"/>
              </w:rPr>
              <w:t>Y.K. Üyesi ve Denetim Komitesi Başkanı</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3065458" w14:textId="45918D4F" w:rsidR="00C456AE" w:rsidRPr="00005453" w:rsidRDefault="00C456AE" w:rsidP="00C456AE">
            <w:pPr>
              <w:jc w:val="right"/>
              <w:rPr>
                <w:sz w:val="14"/>
                <w:szCs w:val="14"/>
                <w:lang w:val="en-GB" w:eastAsia="tr-TR"/>
              </w:rPr>
            </w:pPr>
            <w:r w:rsidRPr="00005453">
              <w:rPr>
                <w:sz w:val="14"/>
                <w:szCs w:val="14"/>
                <w:lang w:val="en-GB" w:eastAsia="tr-TR"/>
              </w:rPr>
              <w:t>25/09/2020</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74DE7874" w14:textId="62B45AA9" w:rsidR="00C456AE" w:rsidRPr="00005453" w:rsidRDefault="00C456AE" w:rsidP="00C456AE">
            <w:pPr>
              <w:jc w:val="right"/>
              <w:rPr>
                <w:sz w:val="14"/>
                <w:szCs w:val="14"/>
                <w:lang w:val="en-GB" w:eastAsia="tr-TR"/>
              </w:rPr>
            </w:pPr>
            <w:r w:rsidRPr="00005453">
              <w:rPr>
                <w:sz w:val="14"/>
                <w:szCs w:val="14"/>
                <w:lang w:val="en-GB" w:eastAsia="tr-TR"/>
              </w:rPr>
              <w:t>04/11/2020</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15BFEBBC" w14:textId="77777777" w:rsidR="00C456AE" w:rsidRPr="00005453" w:rsidRDefault="00C456AE" w:rsidP="00C456AE">
            <w:pPr>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7EC34CDB" w14:textId="6F8388E5" w:rsidR="00C456AE" w:rsidRPr="00005453" w:rsidRDefault="00C456AE" w:rsidP="00C456AE">
            <w:pPr>
              <w:jc w:val="right"/>
              <w:rPr>
                <w:color w:val="000000"/>
                <w:sz w:val="14"/>
                <w:szCs w:val="14"/>
                <w:lang w:val="en-GB" w:eastAsia="tr-TR"/>
              </w:rPr>
            </w:pPr>
            <w:r w:rsidRPr="00005453">
              <w:rPr>
                <w:sz w:val="14"/>
                <w:szCs w:val="14"/>
                <w:lang w:val="en-GB" w:eastAsia="tr-TR"/>
              </w:rPr>
              <w:t xml:space="preserve">Yüksek </w:t>
            </w:r>
            <w:r w:rsidRPr="00005453">
              <w:rPr>
                <w:color w:val="000000"/>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5686B4A" w14:textId="2339A6DB"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794D24CB"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A4ACB54" w14:textId="4E467085" w:rsidR="00C456AE" w:rsidRPr="00005453" w:rsidRDefault="00C456AE" w:rsidP="00C456AE">
            <w:pPr>
              <w:rPr>
                <w:sz w:val="14"/>
                <w:szCs w:val="14"/>
                <w:lang w:val="en-GB" w:eastAsia="tr-TR"/>
              </w:rPr>
            </w:pPr>
            <w:r w:rsidRPr="00005453">
              <w:rPr>
                <w:sz w:val="14"/>
                <w:szCs w:val="14"/>
                <w:lang w:val="en-GB" w:eastAsia="tr-TR"/>
              </w:rPr>
              <w:t>Nadir ALPASLAN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2673580" w14:textId="6E4F4B67" w:rsidR="00C456AE" w:rsidRPr="00005453" w:rsidRDefault="00C456AE" w:rsidP="00C456AE">
            <w:pPr>
              <w:jc w:val="right"/>
              <w:rPr>
                <w:sz w:val="14"/>
                <w:szCs w:val="14"/>
                <w:lang w:val="en-GB" w:eastAsia="tr-TR"/>
              </w:rPr>
            </w:pPr>
            <w:r w:rsidRPr="00005453">
              <w:rPr>
                <w:sz w:val="14"/>
                <w:szCs w:val="14"/>
                <w:lang w:val="en-GB"/>
              </w:rPr>
              <w:t>Yönetim Kurulu Başkan Yardımcısı ve Denetim Komitesi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3C7C3D20" w14:textId="4E832082" w:rsidR="00C456AE" w:rsidRPr="00005453" w:rsidRDefault="00C456AE" w:rsidP="00C456AE">
            <w:pPr>
              <w:jc w:val="right"/>
              <w:rPr>
                <w:sz w:val="14"/>
                <w:szCs w:val="14"/>
                <w:lang w:val="en-GB" w:eastAsia="tr-TR"/>
              </w:rPr>
            </w:pPr>
            <w:r w:rsidRPr="00005453">
              <w:rPr>
                <w:sz w:val="14"/>
                <w:szCs w:val="14"/>
                <w:lang w:val="en-GB" w:eastAsia="tr-TR"/>
              </w:rPr>
              <w:t>15/04/2011</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0541D55D" w14:textId="199DF535" w:rsidR="00C456AE" w:rsidRPr="00005453" w:rsidRDefault="00C456AE" w:rsidP="00C456AE">
            <w:pPr>
              <w:jc w:val="right"/>
              <w:rPr>
                <w:sz w:val="14"/>
                <w:szCs w:val="14"/>
                <w:lang w:val="en-GB" w:eastAsia="tr-TR"/>
              </w:rPr>
            </w:pPr>
            <w:r w:rsidRPr="00005453">
              <w:rPr>
                <w:sz w:val="14"/>
                <w:szCs w:val="14"/>
                <w:lang w:val="en-GB" w:eastAsia="tr-TR"/>
              </w:rPr>
              <w:t>24/12/2019</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49A2F101" w14:textId="77777777" w:rsidR="00C456AE" w:rsidRPr="00005453" w:rsidRDefault="00C456AE" w:rsidP="00C456AE">
            <w:pPr>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B049141" w14:textId="0A312E3A"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49450E94" w14:textId="40BF799E"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7EAC6669"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1F898891" w14:textId="5C86080A" w:rsidR="00C456AE" w:rsidRPr="00005453" w:rsidRDefault="00C456AE" w:rsidP="00C456AE">
            <w:pPr>
              <w:rPr>
                <w:sz w:val="14"/>
                <w:szCs w:val="14"/>
                <w:lang w:val="en-GB" w:eastAsia="tr-TR"/>
              </w:rPr>
            </w:pPr>
            <w:r w:rsidRPr="00005453">
              <w:rPr>
                <w:sz w:val="14"/>
                <w:szCs w:val="14"/>
                <w:lang w:val="en-GB" w:eastAsia="tr-TR"/>
              </w:rPr>
              <w:t>Salah A E ALMUDHAF</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7A48F039" w14:textId="4766092A" w:rsidR="00C456AE" w:rsidRPr="00005453" w:rsidRDefault="00C456AE" w:rsidP="00C456AE">
            <w:pPr>
              <w:jc w:val="right"/>
              <w:rPr>
                <w:sz w:val="14"/>
                <w:szCs w:val="14"/>
                <w:lang w:val="en-GB" w:eastAsia="tr-TR"/>
              </w:rPr>
            </w:pPr>
            <w:r w:rsidRPr="00005453">
              <w:rPr>
                <w:sz w:val="14"/>
                <w:szCs w:val="14"/>
                <w:lang w:val="en-GB"/>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B34BAD5" w14:textId="68CA39F7" w:rsidR="00C456AE" w:rsidRPr="00005453" w:rsidRDefault="00C456AE" w:rsidP="00C456AE">
            <w:pPr>
              <w:jc w:val="right"/>
              <w:rPr>
                <w:sz w:val="14"/>
                <w:szCs w:val="14"/>
                <w:lang w:val="en-GB" w:eastAsia="tr-TR"/>
              </w:rPr>
            </w:pPr>
            <w:r w:rsidRPr="00005453">
              <w:rPr>
                <w:sz w:val="14"/>
                <w:szCs w:val="14"/>
                <w:lang w:val="en-GB" w:eastAsia="tr-TR"/>
              </w:rPr>
              <w:t>07/10/2019</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10F06E99"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72CFA8AA" w14:textId="01B49024" w:rsidR="00C456AE" w:rsidRPr="00005453" w:rsidRDefault="00C456AE" w:rsidP="00C456AE">
            <w:pPr>
              <w:jc w:val="right"/>
              <w:rPr>
                <w:lang w:eastAsia="tr-TR"/>
              </w:rPr>
            </w:pPr>
            <w:r w:rsidRPr="00005453">
              <w:rPr>
                <w:sz w:val="14"/>
                <w:szCs w:val="14"/>
                <w:lang w:val="en-GB" w:eastAsia="tr-TR"/>
              </w:rPr>
              <w:t>02/10/2024</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23866DBB" w14:textId="01BDC51B"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772C6F07" w14:textId="5ECCDFA4"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6A5017E8"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36E1C88D" w14:textId="1ABFB83D" w:rsidR="00C456AE" w:rsidRPr="00005453" w:rsidRDefault="00C456AE" w:rsidP="00C456AE">
            <w:pPr>
              <w:rPr>
                <w:color w:val="000000"/>
                <w:sz w:val="14"/>
                <w:szCs w:val="14"/>
                <w:lang w:val="en-GB" w:eastAsia="tr-TR"/>
              </w:rPr>
            </w:pPr>
            <w:r w:rsidRPr="00005453">
              <w:rPr>
                <w:sz w:val="14"/>
                <w:szCs w:val="14"/>
                <w:lang w:val="en-GB" w:eastAsia="tr-TR"/>
              </w:rPr>
              <w:t xml:space="preserve">Ahmad S </w:t>
            </w:r>
            <w:r w:rsidRPr="00005453">
              <w:rPr>
                <w:color w:val="000000"/>
                <w:sz w:val="14"/>
                <w:szCs w:val="14"/>
                <w:lang w:val="en-GB" w:eastAsia="tr-TR"/>
              </w:rPr>
              <w:t xml:space="preserve">A </w:t>
            </w:r>
            <w:proofErr w:type="gramStart"/>
            <w:r w:rsidRPr="00005453">
              <w:rPr>
                <w:color w:val="000000"/>
                <w:sz w:val="14"/>
                <w:szCs w:val="14"/>
                <w:lang w:val="en-GB" w:eastAsia="tr-TR"/>
              </w:rPr>
              <w:t>A</w:t>
            </w:r>
            <w:proofErr w:type="gramEnd"/>
            <w:r w:rsidRPr="00005453">
              <w:rPr>
                <w:color w:val="000000"/>
                <w:sz w:val="14"/>
                <w:szCs w:val="14"/>
                <w:lang w:val="en-GB" w:eastAsia="tr-TR"/>
              </w:rPr>
              <w:t xml:space="preserve"> ALKHARJI</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0ED78D30" w14:textId="6128AB11" w:rsidR="00C456AE" w:rsidRPr="00005453" w:rsidRDefault="00C456AE" w:rsidP="00C456AE">
            <w:pPr>
              <w:jc w:val="right"/>
              <w:rPr>
                <w:sz w:val="14"/>
                <w:szCs w:val="14"/>
                <w:lang w:val="en-GB" w:eastAsia="tr-TR"/>
              </w:rPr>
            </w:pPr>
            <w:r w:rsidRPr="00005453">
              <w:rPr>
                <w:sz w:val="14"/>
                <w:szCs w:val="14"/>
                <w:lang w:val="en-GB"/>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7E50143E" w14:textId="1DF896E0" w:rsidR="00C456AE" w:rsidRPr="00005453" w:rsidRDefault="00C456AE" w:rsidP="00C456AE">
            <w:pPr>
              <w:jc w:val="right"/>
              <w:rPr>
                <w:sz w:val="14"/>
                <w:szCs w:val="14"/>
                <w:lang w:val="en-GB" w:eastAsia="tr-TR"/>
              </w:rPr>
            </w:pPr>
            <w:r w:rsidRPr="00005453">
              <w:rPr>
                <w:sz w:val="14"/>
                <w:szCs w:val="14"/>
                <w:lang w:val="en-GB" w:eastAsia="tr-TR"/>
              </w:rPr>
              <w:t>26/03/2014</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1259C5C" w14:textId="527E712D" w:rsidR="00C456AE" w:rsidRPr="00005453" w:rsidRDefault="00C456AE" w:rsidP="00C456AE">
            <w:pPr>
              <w:jc w:val="right"/>
              <w:rPr>
                <w:color w:val="000000"/>
                <w:sz w:val="14"/>
                <w:szCs w:val="14"/>
                <w:lang w:val="en-GB" w:eastAsia="tr-TR"/>
              </w:rPr>
            </w:pPr>
            <w:r w:rsidRPr="00005453">
              <w:rPr>
                <w:sz w:val="14"/>
                <w:szCs w:val="14"/>
                <w:lang w:val="en-GB" w:eastAsia="tr-TR"/>
              </w:rPr>
              <w:t>24/09/2014</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7AEC6FC7" w14:textId="48F722C8" w:rsidR="00C456AE" w:rsidRPr="00005453" w:rsidRDefault="00C456AE" w:rsidP="00C456AE">
            <w:pPr>
              <w:jc w:val="right"/>
              <w:rPr>
                <w:sz w:val="14"/>
                <w:szCs w:val="14"/>
                <w:lang w:val="en-GB" w:eastAsia="tr-TR"/>
              </w:rPr>
            </w:pPr>
            <w:r w:rsidRPr="00005453">
              <w:rPr>
                <w:sz w:val="14"/>
                <w:szCs w:val="14"/>
                <w:lang w:val="en-GB" w:eastAsia="tr-TR"/>
              </w:rPr>
              <w:t>09</w:t>
            </w:r>
            <w:r w:rsidRPr="00005453">
              <w:rPr>
                <w:color w:val="000000"/>
                <w:sz w:val="14"/>
                <w:szCs w:val="14"/>
                <w:lang w:val="en-GB" w:eastAsia="tr-TR"/>
              </w:rPr>
              <w:t>/09/2020</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B8916E2" w14:textId="6EA7F0B5" w:rsidR="00C456AE" w:rsidRPr="00005453" w:rsidRDefault="00C456AE" w:rsidP="00C456AE">
            <w:pPr>
              <w:jc w:val="right"/>
              <w:rPr>
                <w:color w:val="000000"/>
                <w:sz w:val="14"/>
                <w:szCs w:val="14"/>
                <w:lang w:val="en-GB" w:eastAsia="tr-TR"/>
              </w:rPr>
            </w:pPr>
            <w:r w:rsidRPr="00005453">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353FC407" w14:textId="579327FB"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350CD69F"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1DB2178B" w14:textId="78DA77ED" w:rsidR="00C456AE" w:rsidRPr="00005453" w:rsidRDefault="00C456AE" w:rsidP="00C456AE">
            <w:pPr>
              <w:rPr>
                <w:sz w:val="14"/>
                <w:szCs w:val="14"/>
                <w:lang w:val="en-GB" w:eastAsia="tr-TR"/>
              </w:rPr>
            </w:pPr>
            <w:r w:rsidRPr="00005453">
              <w:rPr>
                <w:sz w:val="14"/>
                <w:szCs w:val="14"/>
                <w:lang w:val="en-GB" w:eastAsia="tr-TR"/>
              </w:rPr>
              <w:t xml:space="preserve">Mohamed Hedi </w:t>
            </w:r>
            <w:r w:rsidRPr="00005453">
              <w:rPr>
                <w:color w:val="000000"/>
                <w:sz w:val="14"/>
                <w:szCs w:val="14"/>
                <w:lang w:val="en-GB" w:eastAsia="tr-TR"/>
              </w:rPr>
              <w:t>MEJAI</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43DF76D" w14:textId="1E04EFF9" w:rsidR="00C456AE" w:rsidRPr="00005453" w:rsidRDefault="00C456AE" w:rsidP="00C456AE">
            <w:pPr>
              <w:jc w:val="right"/>
              <w:rPr>
                <w:sz w:val="14"/>
                <w:szCs w:val="14"/>
                <w:lang w:val="de-DE" w:eastAsia="tr-TR"/>
              </w:rPr>
            </w:pPr>
            <w:r w:rsidRPr="00005453">
              <w:rPr>
                <w:sz w:val="14"/>
                <w:szCs w:val="14"/>
                <w:lang w:val="de-DE"/>
              </w:rPr>
              <w:t>Y.K. Üyesi ve Denetim Komitesi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849F8D2" w14:textId="7868C79B" w:rsidR="00C456AE" w:rsidRPr="00005453" w:rsidRDefault="00C456AE" w:rsidP="00C456AE">
            <w:pPr>
              <w:jc w:val="right"/>
              <w:rPr>
                <w:sz w:val="14"/>
                <w:szCs w:val="14"/>
                <w:lang w:val="en-GB" w:eastAsia="tr-TR"/>
              </w:rPr>
            </w:pPr>
            <w:r w:rsidRPr="00005453">
              <w:rPr>
                <w:sz w:val="14"/>
                <w:szCs w:val="14"/>
                <w:lang w:val="en-GB" w:eastAsia="tr-TR"/>
              </w:rPr>
              <w:t>25/03/2021</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78DB8387" w14:textId="34EF9187" w:rsidR="00C456AE" w:rsidRPr="00005453" w:rsidRDefault="00C456AE" w:rsidP="00C456AE">
            <w:pPr>
              <w:jc w:val="right"/>
              <w:rPr>
                <w:sz w:val="14"/>
                <w:szCs w:val="14"/>
                <w:lang w:val="en-GB" w:eastAsia="tr-TR"/>
              </w:rPr>
            </w:pPr>
            <w:r w:rsidRPr="00005453">
              <w:rPr>
                <w:sz w:val="14"/>
                <w:szCs w:val="14"/>
                <w:lang w:val="en-GB" w:eastAsia="tr-TR"/>
              </w:rPr>
              <w:t>04</w:t>
            </w:r>
            <w:r w:rsidRPr="00005453">
              <w:rPr>
                <w:color w:val="000000"/>
                <w:sz w:val="14"/>
                <w:szCs w:val="14"/>
                <w:lang w:val="en-GB" w:eastAsia="tr-TR"/>
              </w:rPr>
              <w:t>/05/2021</w:t>
            </w:r>
          </w:p>
        </w:tc>
        <w:tc>
          <w:tcPr>
            <w:tcW w:w="1122" w:type="dxa"/>
            <w:tcBorders>
              <w:top w:val="single" w:sz="4" w:space="0" w:color="auto"/>
              <w:left w:val="single" w:sz="4" w:space="0" w:color="auto"/>
              <w:bottom w:val="single" w:sz="4" w:space="0" w:color="auto"/>
              <w:right w:val="single" w:sz="4" w:space="0" w:color="auto"/>
            </w:tcBorders>
            <w:noWrap/>
            <w:vAlign w:val="center"/>
          </w:tcPr>
          <w:p w14:paraId="1851B9D2" w14:textId="77777777" w:rsidR="00C456AE" w:rsidRPr="00005453" w:rsidRDefault="00C456AE" w:rsidP="00C456AE">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125276CC" w14:textId="7D0BA45D" w:rsidR="00C456AE" w:rsidRPr="00005453" w:rsidRDefault="00C456AE" w:rsidP="00C456AE">
            <w:pPr>
              <w:jc w:val="right"/>
              <w:rPr>
                <w:sz w:val="14"/>
                <w:szCs w:val="14"/>
                <w:lang w:val="en-GB" w:eastAsia="tr-TR"/>
              </w:rPr>
            </w:pPr>
            <w:r w:rsidRPr="00005453">
              <w:rPr>
                <w:sz w:val="14"/>
                <w:szCs w:val="14"/>
                <w:lang w:val="en-GB" w:eastAsia="tr-TR"/>
              </w:rPr>
              <w:t xml:space="preserve">Yüksek </w:t>
            </w:r>
            <w:r w:rsidRPr="00005453">
              <w:rPr>
                <w:color w:val="000000"/>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00A42ADB" w14:textId="15B5F259"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573494A1"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48925B0B" w14:textId="3EA73BEE" w:rsidR="00C456AE" w:rsidRPr="00005453" w:rsidRDefault="00C456AE" w:rsidP="00C456AE">
            <w:pPr>
              <w:rPr>
                <w:sz w:val="14"/>
                <w:szCs w:val="14"/>
                <w:lang w:val="en-GB" w:eastAsia="tr-TR"/>
              </w:rPr>
            </w:pPr>
            <w:r w:rsidRPr="00005453">
              <w:rPr>
                <w:sz w:val="14"/>
                <w:szCs w:val="14"/>
                <w:lang w:val="en-GB" w:eastAsia="tr-TR"/>
              </w:rPr>
              <w:t>Gehad Mohamed ELBENDARY ANANY</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1BB8CB3" w14:textId="6F7F67BC" w:rsidR="00C456AE" w:rsidRPr="00005453" w:rsidRDefault="00C456AE" w:rsidP="00C456AE">
            <w:pPr>
              <w:jc w:val="right"/>
              <w:rPr>
                <w:color w:val="000000"/>
                <w:sz w:val="14"/>
                <w:szCs w:val="14"/>
                <w:lang w:val="en-GB" w:eastAsia="tr-TR"/>
              </w:rPr>
            </w:pPr>
            <w:r w:rsidRPr="00005453">
              <w:rPr>
                <w:sz w:val="14"/>
                <w:szCs w:val="14"/>
                <w:lang w:val="en-GB"/>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3118D24" w14:textId="6D8F063E" w:rsidR="00C456AE" w:rsidRPr="00005453" w:rsidRDefault="00C456AE" w:rsidP="00C456AE">
            <w:pPr>
              <w:jc w:val="right"/>
              <w:rPr>
                <w:sz w:val="14"/>
                <w:szCs w:val="14"/>
                <w:lang w:val="en-GB" w:eastAsia="tr-TR"/>
              </w:rPr>
            </w:pPr>
            <w:r w:rsidRPr="00005453">
              <w:rPr>
                <w:sz w:val="14"/>
                <w:szCs w:val="14"/>
                <w:lang w:val="en-GB" w:eastAsia="tr-TR"/>
              </w:rPr>
              <w:t>25/09/2020</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536056F3" w14:textId="56C3B714" w:rsidR="00C456AE" w:rsidRPr="00005453" w:rsidRDefault="00C456AE" w:rsidP="00C456AE">
            <w:pPr>
              <w:jc w:val="right"/>
              <w:rPr>
                <w:sz w:val="14"/>
                <w:szCs w:val="14"/>
                <w:lang w:val="en-GB" w:eastAsia="tr-TR"/>
              </w:rPr>
            </w:pPr>
            <w:r w:rsidRPr="00005453">
              <w:rPr>
                <w:sz w:val="14"/>
                <w:szCs w:val="14"/>
                <w:lang w:val="en-GB" w:eastAsia="tr-TR"/>
              </w:rPr>
              <w:t>09/09/2020</w:t>
            </w: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31F47CF3" w14:textId="73946189" w:rsidR="00C456AE" w:rsidRPr="00005453" w:rsidRDefault="00C456AE" w:rsidP="00C456AE">
            <w:pPr>
              <w:jc w:val="right"/>
              <w:rPr>
                <w:color w:val="000000"/>
                <w:sz w:val="14"/>
                <w:szCs w:val="14"/>
                <w:lang w:val="en-GB" w:eastAsia="tr-TR"/>
              </w:rPr>
            </w:pPr>
            <w:r w:rsidRPr="00005453">
              <w:rPr>
                <w:sz w:val="14"/>
                <w:szCs w:val="14"/>
                <w:lang w:val="en-GB" w:eastAsia="tr-TR"/>
              </w:rPr>
              <w:t>04</w:t>
            </w:r>
            <w:r w:rsidRPr="00005453">
              <w:rPr>
                <w:color w:val="000000"/>
                <w:sz w:val="14"/>
                <w:szCs w:val="14"/>
                <w:lang w:val="en-GB" w:eastAsia="tr-TR"/>
              </w:rPr>
              <w:t>/11/2020</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B6A4A80" w14:textId="17655A37"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07B8CA46" w14:textId="654933E4"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7D0F8DAD"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1736BCFB" w14:textId="155A40A1" w:rsidR="00C456AE" w:rsidRPr="00005453" w:rsidRDefault="00C456AE" w:rsidP="00C456AE">
            <w:pPr>
              <w:rPr>
                <w:sz w:val="14"/>
                <w:szCs w:val="14"/>
                <w:lang w:val="en-GB" w:eastAsia="tr-TR"/>
              </w:rPr>
            </w:pPr>
            <w:r w:rsidRPr="00005453">
              <w:rPr>
                <w:sz w:val="14"/>
                <w:szCs w:val="14"/>
                <w:lang w:val="en-GB" w:eastAsia="tr-TR"/>
              </w:rPr>
              <w:t>Sinan AKSU</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9FCB084" w14:textId="08B59AFE" w:rsidR="00C456AE" w:rsidRPr="00005453" w:rsidRDefault="00C456AE" w:rsidP="00C456AE">
            <w:pPr>
              <w:jc w:val="right"/>
              <w:rPr>
                <w:sz w:val="14"/>
                <w:szCs w:val="14"/>
                <w:lang w:val="en-GB" w:eastAsia="tr-TR"/>
              </w:rPr>
            </w:pPr>
            <w:r w:rsidRPr="00005453">
              <w:rPr>
                <w:sz w:val="14"/>
                <w:szCs w:val="14"/>
                <w:lang w:val="en-GB"/>
              </w:rPr>
              <w:t>Y.K. Üyesi</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E0C8ECB" w14:textId="5D0F819E" w:rsidR="00C456AE" w:rsidRPr="00005453" w:rsidRDefault="00C456AE" w:rsidP="00C456AE">
            <w:pPr>
              <w:jc w:val="right"/>
              <w:rPr>
                <w:sz w:val="14"/>
                <w:szCs w:val="14"/>
                <w:lang w:val="en-GB" w:eastAsia="tr-TR"/>
              </w:rPr>
            </w:pPr>
            <w:r w:rsidRPr="00005453">
              <w:rPr>
                <w:sz w:val="14"/>
                <w:szCs w:val="14"/>
                <w:lang w:val="en-GB" w:eastAsia="tr-TR"/>
              </w:rPr>
              <w:t>08/05/2023</w:t>
            </w:r>
          </w:p>
        </w:tc>
        <w:tc>
          <w:tcPr>
            <w:tcW w:w="1088" w:type="dxa"/>
            <w:tcBorders>
              <w:top w:val="single" w:sz="4" w:space="0" w:color="auto"/>
              <w:left w:val="single" w:sz="4" w:space="0" w:color="auto"/>
              <w:bottom w:val="single" w:sz="4" w:space="0" w:color="auto"/>
              <w:right w:val="single" w:sz="4" w:space="0" w:color="auto"/>
            </w:tcBorders>
            <w:noWrap/>
            <w:vAlign w:val="center"/>
          </w:tcPr>
          <w:p w14:paraId="22CEEF98" w14:textId="77777777" w:rsidR="00C456AE" w:rsidRPr="00005453" w:rsidRDefault="00C456AE" w:rsidP="00C456AE">
            <w:pPr>
              <w:jc w:val="right"/>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tcPr>
          <w:p w14:paraId="77CA58A2" w14:textId="77777777" w:rsidR="00C456AE" w:rsidRPr="00005453" w:rsidRDefault="00C456AE" w:rsidP="00C456AE">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28B72475" w14:textId="2774D6D3"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4FE5BAC" w14:textId="7633E698"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11D9A46E"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58BB2EE4" w14:textId="00FFF8E1" w:rsidR="00C456AE" w:rsidRPr="00005453" w:rsidRDefault="00C456AE" w:rsidP="00C456AE">
            <w:pPr>
              <w:rPr>
                <w:sz w:val="14"/>
                <w:szCs w:val="14"/>
                <w:lang w:val="en-GB" w:eastAsia="tr-TR"/>
              </w:rPr>
            </w:pPr>
            <w:r w:rsidRPr="00005453">
              <w:rPr>
                <w:sz w:val="14"/>
                <w:szCs w:val="14"/>
                <w:lang w:val="en-GB" w:eastAsia="tr-TR"/>
              </w:rPr>
              <w:t>Ufuk UYAN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002C336" w14:textId="54923B65" w:rsidR="00C456AE" w:rsidRPr="00005453" w:rsidRDefault="00C456AE" w:rsidP="00C456AE">
            <w:pPr>
              <w:jc w:val="right"/>
              <w:rPr>
                <w:sz w:val="14"/>
                <w:szCs w:val="14"/>
                <w:lang w:val="de-DE" w:eastAsia="tr-TR"/>
              </w:rPr>
            </w:pPr>
            <w:r w:rsidRPr="00005453">
              <w:rPr>
                <w:sz w:val="14"/>
                <w:szCs w:val="14"/>
                <w:lang w:val="de-DE"/>
              </w:rPr>
              <w:t>Y.K. Üyesi Genel Müdür</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507B50D" w14:textId="12A4230B" w:rsidR="00C456AE" w:rsidRPr="00005453" w:rsidRDefault="00C456AE" w:rsidP="00C456AE">
            <w:pPr>
              <w:jc w:val="right"/>
              <w:rPr>
                <w:sz w:val="14"/>
                <w:szCs w:val="14"/>
                <w:lang w:val="en-GB" w:eastAsia="tr-TR"/>
              </w:rPr>
            </w:pPr>
            <w:r w:rsidRPr="00005453">
              <w:rPr>
                <w:sz w:val="14"/>
                <w:szCs w:val="14"/>
                <w:lang w:val="en-GB" w:eastAsia="tr-TR"/>
              </w:rPr>
              <w:t>10/05/1999</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33B983AC"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6EFD300E"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229695F" w14:textId="7DD4888A" w:rsidR="00C456AE" w:rsidRPr="00005453" w:rsidRDefault="00C456AE" w:rsidP="00C456AE">
            <w:pPr>
              <w:jc w:val="right"/>
              <w:rPr>
                <w:sz w:val="14"/>
                <w:szCs w:val="14"/>
                <w:lang w:val="en-GB" w:eastAsia="tr-TR"/>
              </w:rPr>
            </w:pPr>
            <w:r w:rsidRPr="00005453">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09BC24BA" w14:textId="22D82E56" w:rsidR="00C456AE" w:rsidRPr="00005453" w:rsidRDefault="00C456AE" w:rsidP="00C456AE">
            <w:pPr>
              <w:jc w:val="right"/>
              <w:rPr>
                <w:sz w:val="14"/>
                <w:szCs w:val="14"/>
                <w:lang w:val="en-GB" w:eastAsia="tr-TR"/>
              </w:rPr>
            </w:pPr>
            <w:r w:rsidRPr="00005453">
              <w:rPr>
                <w:sz w:val="14"/>
                <w:szCs w:val="14"/>
                <w:lang w:val="en-GB" w:eastAsia="tr-TR"/>
              </w:rPr>
              <w:t>%0.057</w:t>
            </w:r>
          </w:p>
        </w:tc>
      </w:tr>
      <w:tr w:rsidR="00C456AE" w:rsidRPr="00005453" w14:paraId="34F16864"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6585C48D" w14:textId="09278C79" w:rsidR="00C456AE" w:rsidRPr="00005453" w:rsidRDefault="00C456AE" w:rsidP="00C456AE">
            <w:pPr>
              <w:rPr>
                <w:sz w:val="14"/>
                <w:szCs w:val="14"/>
                <w:lang w:val="en-GB" w:eastAsia="tr-TR"/>
              </w:rPr>
            </w:pPr>
            <w:r w:rsidRPr="00005453">
              <w:rPr>
                <w:sz w:val="14"/>
                <w:szCs w:val="14"/>
                <w:lang w:val="en-GB" w:eastAsia="tr-TR"/>
              </w:rPr>
              <w:t>Ahmet KARACA</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7D23372" w14:textId="7FB693AF" w:rsidR="00C456AE" w:rsidRPr="00005453" w:rsidRDefault="00C456AE" w:rsidP="00C456AE">
            <w:pPr>
              <w:jc w:val="right"/>
              <w:rPr>
                <w:sz w:val="14"/>
                <w:szCs w:val="14"/>
                <w:lang w:val="de-DE" w:eastAsia="tr-TR"/>
              </w:rPr>
            </w:pPr>
            <w:r w:rsidRPr="00005453">
              <w:rPr>
                <w:sz w:val="14"/>
                <w:szCs w:val="14"/>
                <w:lang w:val="de-DE"/>
              </w:rPr>
              <w:t>Finansal Kontrolden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360C72E2" w14:textId="30329DD9" w:rsidR="00C456AE" w:rsidRPr="00005453" w:rsidRDefault="00C456AE" w:rsidP="00C456AE">
            <w:pPr>
              <w:jc w:val="right"/>
              <w:rPr>
                <w:sz w:val="14"/>
                <w:szCs w:val="14"/>
                <w:lang w:val="en-GB" w:eastAsia="tr-TR"/>
              </w:rPr>
            </w:pPr>
            <w:r w:rsidRPr="00005453">
              <w:rPr>
                <w:sz w:val="14"/>
                <w:szCs w:val="14"/>
                <w:lang w:val="en-GB" w:eastAsia="tr-TR"/>
              </w:rPr>
              <w:t>12/07/2006</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16A0131C"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1609C5D5"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FF739C0" w14:textId="0DCEF396" w:rsidR="00C456AE" w:rsidRPr="00005453" w:rsidRDefault="00C456AE" w:rsidP="00C456AE">
            <w:pPr>
              <w:jc w:val="right"/>
              <w:rPr>
                <w:sz w:val="14"/>
                <w:szCs w:val="14"/>
                <w:lang w:val="en-GB" w:eastAsia="tr-TR"/>
              </w:rPr>
            </w:pPr>
            <w:r w:rsidRPr="00005453">
              <w:rPr>
                <w:sz w:val="14"/>
                <w:szCs w:val="14"/>
                <w:lang w:val="en-GB" w:eastAsia="tr-TR"/>
              </w:rPr>
              <w:t>Yüksek 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1A6F2529" w14:textId="1B6BD836" w:rsidR="00C456AE" w:rsidRPr="00005453" w:rsidRDefault="00C456AE" w:rsidP="00C456AE">
            <w:pPr>
              <w:jc w:val="right"/>
              <w:rPr>
                <w:sz w:val="14"/>
                <w:szCs w:val="14"/>
                <w:lang w:val="en-GB" w:eastAsia="tr-TR"/>
              </w:rPr>
            </w:pPr>
            <w:r w:rsidRPr="00005453">
              <w:rPr>
                <w:sz w:val="14"/>
                <w:szCs w:val="14"/>
                <w:lang w:val="en-GB" w:eastAsia="tr-TR"/>
              </w:rPr>
              <w:t>%0.001</w:t>
            </w:r>
          </w:p>
        </w:tc>
      </w:tr>
      <w:tr w:rsidR="00C456AE" w:rsidRPr="00005453" w14:paraId="46366036"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C3E9DA5" w14:textId="54E22D1C" w:rsidR="00C456AE" w:rsidRPr="00005453" w:rsidRDefault="00C456AE" w:rsidP="00C456AE">
            <w:pPr>
              <w:rPr>
                <w:sz w:val="14"/>
                <w:szCs w:val="14"/>
                <w:lang w:val="en-GB" w:eastAsia="tr-TR"/>
              </w:rPr>
            </w:pPr>
            <w:r w:rsidRPr="00005453">
              <w:rPr>
                <w:sz w:val="14"/>
                <w:szCs w:val="14"/>
                <w:lang w:val="en-GB" w:eastAsia="tr-TR"/>
              </w:rPr>
              <w:t>Ahmet Süleyman KARAKAYA</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79328A32" w14:textId="074834E9" w:rsidR="00C456AE" w:rsidRPr="00005453" w:rsidRDefault="00C456AE" w:rsidP="00C456AE">
            <w:pPr>
              <w:jc w:val="right"/>
              <w:rPr>
                <w:sz w:val="14"/>
                <w:szCs w:val="14"/>
                <w:lang w:val="en-GB" w:eastAsia="tr-TR"/>
              </w:rPr>
            </w:pPr>
            <w:r w:rsidRPr="00005453">
              <w:rPr>
                <w:sz w:val="14"/>
                <w:szCs w:val="14"/>
                <w:lang w:val="en-GB"/>
              </w:rPr>
              <w:t>Kurumsal ve Ticari Bankacılıktan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2EC9667" w14:textId="7FA18326" w:rsidR="00C456AE" w:rsidRPr="00005453" w:rsidRDefault="00C456AE" w:rsidP="00C456AE">
            <w:pPr>
              <w:jc w:val="right"/>
              <w:rPr>
                <w:sz w:val="14"/>
                <w:szCs w:val="14"/>
                <w:lang w:val="en-GB" w:eastAsia="tr-TR"/>
              </w:rPr>
            </w:pPr>
            <w:r w:rsidRPr="00005453">
              <w:rPr>
                <w:sz w:val="14"/>
                <w:szCs w:val="14"/>
                <w:lang w:val="en-GB" w:eastAsia="tr-TR"/>
              </w:rPr>
              <w:t>14/01/2003</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952B92B"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259698F7" w14:textId="561F5854" w:rsidR="00C456AE" w:rsidRPr="00005453" w:rsidRDefault="00C456AE" w:rsidP="00C456AE">
            <w:pPr>
              <w:jc w:val="right"/>
              <w:rPr>
                <w:lang w:eastAsia="tr-TR"/>
              </w:rPr>
            </w:pPr>
            <w:r w:rsidRPr="00005453">
              <w:rPr>
                <w:sz w:val="14"/>
                <w:szCs w:val="14"/>
                <w:lang w:val="en-GB" w:eastAsia="tr-TR"/>
              </w:rPr>
              <w:t>31/12/2024</w:t>
            </w: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1D76F640" w14:textId="69D00C31"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77D1C9C4" w14:textId="16C4E6E7" w:rsidR="00C456AE" w:rsidRPr="00005453" w:rsidRDefault="00C456AE" w:rsidP="00C456AE">
            <w:pPr>
              <w:jc w:val="right"/>
              <w:rPr>
                <w:sz w:val="14"/>
                <w:szCs w:val="14"/>
                <w:lang w:val="en-GB" w:eastAsia="tr-TR"/>
              </w:rPr>
            </w:pPr>
            <w:r w:rsidRPr="00005453">
              <w:rPr>
                <w:sz w:val="14"/>
                <w:szCs w:val="14"/>
                <w:lang w:val="en-GB" w:eastAsia="tr-TR"/>
              </w:rPr>
              <w:t>-</w:t>
            </w:r>
          </w:p>
        </w:tc>
      </w:tr>
      <w:tr w:rsidR="00C456AE" w:rsidRPr="00005453" w14:paraId="787DE971"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F15C2C6" w14:textId="59CFF654" w:rsidR="00C456AE" w:rsidRPr="00005453" w:rsidRDefault="00C456AE" w:rsidP="00C456AE">
            <w:pPr>
              <w:rPr>
                <w:sz w:val="14"/>
                <w:szCs w:val="14"/>
                <w:lang w:val="en-GB" w:eastAsia="tr-TR"/>
              </w:rPr>
            </w:pPr>
            <w:r w:rsidRPr="00005453">
              <w:rPr>
                <w:sz w:val="14"/>
                <w:szCs w:val="14"/>
                <w:lang w:val="en-GB" w:eastAsia="tr-TR"/>
              </w:rPr>
              <w:t>Bilal SAYIN</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70DDE085" w14:textId="5F3FCCEC" w:rsidR="00C456AE" w:rsidRPr="00005453" w:rsidRDefault="00C456AE" w:rsidP="00C456AE">
            <w:pPr>
              <w:jc w:val="right"/>
              <w:rPr>
                <w:sz w:val="14"/>
                <w:szCs w:val="14"/>
                <w:lang w:val="de-DE" w:eastAsia="tr-TR"/>
              </w:rPr>
            </w:pPr>
            <w:r w:rsidRPr="00005453">
              <w:rPr>
                <w:sz w:val="14"/>
                <w:szCs w:val="14"/>
                <w:lang w:val="de-DE"/>
              </w:rPr>
              <w:t>Krediler Grubundan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AFB502C" w14:textId="34E308C3" w:rsidR="00C456AE" w:rsidRPr="00005453" w:rsidRDefault="00C456AE" w:rsidP="00C456AE">
            <w:pPr>
              <w:jc w:val="right"/>
              <w:rPr>
                <w:sz w:val="14"/>
                <w:szCs w:val="14"/>
                <w:lang w:val="en-GB" w:eastAsia="tr-TR"/>
              </w:rPr>
            </w:pPr>
            <w:r w:rsidRPr="00005453">
              <w:rPr>
                <w:sz w:val="14"/>
                <w:szCs w:val="14"/>
                <w:lang w:val="en-GB" w:eastAsia="tr-TR"/>
              </w:rPr>
              <w:t>20/08/2003</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63F5337"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26685DC4"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CE1FA8E" w14:textId="50D21313"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5455BE99" w14:textId="0096C4CD" w:rsidR="00C456AE" w:rsidRPr="00005453" w:rsidRDefault="00C456AE" w:rsidP="00C456AE">
            <w:pPr>
              <w:jc w:val="right"/>
              <w:rPr>
                <w:sz w:val="14"/>
                <w:szCs w:val="14"/>
                <w:lang w:val="en-GB" w:eastAsia="tr-TR"/>
              </w:rPr>
            </w:pPr>
            <w:r w:rsidRPr="00005453">
              <w:rPr>
                <w:sz w:val="14"/>
                <w:szCs w:val="14"/>
                <w:lang w:val="en-GB" w:eastAsia="tr-TR"/>
              </w:rPr>
              <w:t>%0.004</w:t>
            </w:r>
          </w:p>
        </w:tc>
      </w:tr>
      <w:tr w:rsidR="00C456AE" w:rsidRPr="00005453" w14:paraId="70BFCDBB"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1171898B" w14:textId="6AE1D67C" w:rsidR="00C456AE" w:rsidRPr="00005453" w:rsidRDefault="00C456AE" w:rsidP="00C456AE">
            <w:pPr>
              <w:rPr>
                <w:sz w:val="14"/>
                <w:szCs w:val="14"/>
                <w:lang w:val="en-GB" w:eastAsia="tr-TR"/>
              </w:rPr>
            </w:pPr>
            <w:r w:rsidRPr="00005453">
              <w:rPr>
                <w:sz w:val="14"/>
                <w:szCs w:val="14"/>
                <w:lang w:val="en-GB" w:eastAsia="tr-TR"/>
              </w:rPr>
              <w:t>İrfan YILMAZ</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4BB645C7" w14:textId="3E4F945D" w:rsidR="00C456AE" w:rsidRPr="00005453" w:rsidRDefault="00C456AE" w:rsidP="00C456AE">
            <w:pPr>
              <w:jc w:val="right"/>
              <w:rPr>
                <w:sz w:val="14"/>
                <w:szCs w:val="14"/>
                <w:lang w:val="en-GB" w:eastAsia="tr-TR"/>
              </w:rPr>
            </w:pPr>
            <w:r w:rsidRPr="00005453">
              <w:rPr>
                <w:sz w:val="14"/>
                <w:szCs w:val="14"/>
                <w:lang w:val="en-GB"/>
              </w:rPr>
              <w:t>Bankacılık Servis Grubundan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2A9FCA8C" w14:textId="42F381E7" w:rsidR="00C456AE" w:rsidRPr="00005453" w:rsidRDefault="00C456AE" w:rsidP="00C456AE">
            <w:pPr>
              <w:jc w:val="right"/>
              <w:rPr>
                <w:sz w:val="14"/>
                <w:szCs w:val="14"/>
                <w:lang w:val="en-GB" w:eastAsia="tr-TR"/>
              </w:rPr>
            </w:pPr>
            <w:r w:rsidRPr="00005453">
              <w:rPr>
                <w:sz w:val="14"/>
                <w:szCs w:val="14"/>
                <w:lang w:val="en-GB" w:eastAsia="tr-TR"/>
              </w:rPr>
              <w:t>27/10/2005</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4F2A1BE0"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1D7C3100"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4070918F" w14:textId="1F34547E"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398CFC82" w14:textId="155AD29D" w:rsidR="00C456AE" w:rsidRPr="00005453" w:rsidRDefault="00C456AE" w:rsidP="00C456AE">
            <w:pPr>
              <w:jc w:val="right"/>
              <w:rPr>
                <w:sz w:val="14"/>
                <w:szCs w:val="14"/>
                <w:lang w:val="en-GB" w:eastAsia="tr-TR"/>
              </w:rPr>
            </w:pPr>
            <w:r w:rsidRPr="00005453">
              <w:rPr>
                <w:sz w:val="14"/>
                <w:szCs w:val="14"/>
                <w:lang w:val="en-GB" w:eastAsia="tr-TR"/>
              </w:rPr>
              <w:t>%0.0</w:t>
            </w:r>
            <w:r w:rsidR="0052345F" w:rsidRPr="00005453">
              <w:rPr>
                <w:sz w:val="14"/>
                <w:szCs w:val="14"/>
                <w:lang w:val="en-GB" w:eastAsia="tr-TR"/>
              </w:rPr>
              <w:t>19</w:t>
            </w:r>
          </w:p>
        </w:tc>
      </w:tr>
      <w:tr w:rsidR="00C456AE" w:rsidRPr="00005453" w14:paraId="6E7CAA3D"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09447C38" w14:textId="2793BE41" w:rsidR="00C456AE" w:rsidRPr="00005453" w:rsidRDefault="00C456AE" w:rsidP="00C456AE">
            <w:pPr>
              <w:rPr>
                <w:sz w:val="14"/>
                <w:szCs w:val="14"/>
                <w:lang w:val="en-GB" w:eastAsia="tr-TR"/>
              </w:rPr>
            </w:pPr>
            <w:r w:rsidRPr="00005453">
              <w:rPr>
                <w:sz w:val="14"/>
                <w:szCs w:val="14"/>
                <w:lang w:val="en-GB" w:eastAsia="tr-TR"/>
              </w:rPr>
              <w:t>Dr. Ruşen Ahmet ALBAYRAK</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235E186F" w14:textId="049D9A03" w:rsidR="00C456AE" w:rsidRPr="00005453" w:rsidRDefault="00C456AE" w:rsidP="00C456AE">
            <w:pPr>
              <w:jc w:val="right"/>
              <w:rPr>
                <w:sz w:val="14"/>
                <w:szCs w:val="14"/>
                <w:lang w:val="en-GB" w:eastAsia="tr-TR"/>
              </w:rPr>
            </w:pPr>
            <w:r w:rsidRPr="00005453">
              <w:rPr>
                <w:sz w:val="14"/>
                <w:szCs w:val="14"/>
                <w:lang w:val="en-GB"/>
              </w:rPr>
              <w:t>Hazine ve Uluslararası Bankacılıktan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BDC149E" w14:textId="2B41DAB0" w:rsidR="00C456AE" w:rsidRPr="00005453" w:rsidRDefault="00C456AE" w:rsidP="00C456AE">
            <w:pPr>
              <w:jc w:val="right"/>
              <w:rPr>
                <w:sz w:val="14"/>
                <w:szCs w:val="14"/>
                <w:lang w:val="en-GB" w:eastAsia="tr-TR"/>
              </w:rPr>
            </w:pPr>
            <w:r w:rsidRPr="00005453">
              <w:rPr>
                <w:sz w:val="14"/>
                <w:szCs w:val="14"/>
                <w:lang w:val="en-GB" w:eastAsia="tr-TR"/>
              </w:rPr>
              <w:t>05/05/2005</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750FD75F"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7BC65FF4"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45C0B01" w14:textId="02F160B7" w:rsidR="00C456AE" w:rsidRPr="00005453" w:rsidRDefault="00C456AE" w:rsidP="00C456AE">
            <w:pPr>
              <w:jc w:val="right"/>
              <w:rPr>
                <w:sz w:val="14"/>
                <w:szCs w:val="14"/>
                <w:lang w:val="en-GB" w:eastAsia="tr-TR"/>
              </w:rPr>
            </w:pPr>
            <w:r w:rsidRPr="00005453">
              <w:rPr>
                <w:sz w:val="14"/>
                <w:szCs w:val="14"/>
                <w:lang w:val="en-GB" w:eastAsia="tr-TR"/>
              </w:rPr>
              <w:t>Doktora</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5A1EE67A" w14:textId="5A6902CA" w:rsidR="00C456AE" w:rsidRPr="00005453" w:rsidRDefault="00C456AE" w:rsidP="00C456AE">
            <w:pPr>
              <w:jc w:val="right"/>
              <w:rPr>
                <w:sz w:val="14"/>
                <w:szCs w:val="14"/>
                <w:lang w:val="en-GB" w:eastAsia="tr-TR"/>
              </w:rPr>
            </w:pPr>
            <w:r w:rsidRPr="00005453">
              <w:rPr>
                <w:sz w:val="14"/>
                <w:szCs w:val="14"/>
                <w:lang w:val="en-GB" w:eastAsia="tr-TR"/>
              </w:rPr>
              <w:t>%0.00</w:t>
            </w:r>
            <w:r w:rsidR="0052345F" w:rsidRPr="00005453">
              <w:rPr>
                <w:sz w:val="14"/>
                <w:szCs w:val="14"/>
                <w:lang w:val="en-GB" w:eastAsia="tr-TR"/>
              </w:rPr>
              <w:t>7</w:t>
            </w:r>
          </w:p>
        </w:tc>
      </w:tr>
      <w:tr w:rsidR="00C456AE" w:rsidRPr="00005453" w14:paraId="32D8459C"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3F9BD0C9" w14:textId="0F7D0291" w:rsidR="00C456AE" w:rsidRPr="00005453" w:rsidRDefault="00C456AE" w:rsidP="00C456AE">
            <w:pPr>
              <w:rPr>
                <w:sz w:val="14"/>
                <w:szCs w:val="14"/>
                <w:lang w:val="en-GB" w:eastAsia="tr-TR"/>
              </w:rPr>
            </w:pPr>
            <w:r w:rsidRPr="00005453">
              <w:rPr>
                <w:sz w:val="14"/>
                <w:szCs w:val="14"/>
                <w:lang w:val="en-GB" w:eastAsia="tr-TR"/>
              </w:rPr>
              <w:t>Nurettin KOLAÇ</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57A574C7" w14:textId="40B89E79" w:rsidR="00C456AE" w:rsidRPr="00005453" w:rsidRDefault="00C456AE" w:rsidP="00C456AE">
            <w:pPr>
              <w:jc w:val="right"/>
              <w:rPr>
                <w:sz w:val="14"/>
                <w:szCs w:val="14"/>
                <w:lang w:val="en-GB" w:eastAsia="tr-TR"/>
              </w:rPr>
            </w:pPr>
            <w:r w:rsidRPr="00005453">
              <w:rPr>
                <w:sz w:val="14"/>
                <w:szCs w:val="14"/>
                <w:lang w:val="en-GB"/>
              </w:rPr>
              <w:t>Risk Takip ve Hukuktan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017DD442" w14:textId="2C0B8E2B" w:rsidR="00C456AE" w:rsidRPr="00005453" w:rsidRDefault="00C456AE" w:rsidP="00C456AE">
            <w:pPr>
              <w:jc w:val="right"/>
              <w:rPr>
                <w:sz w:val="14"/>
                <w:szCs w:val="14"/>
                <w:lang w:val="en-GB" w:eastAsia="tr-TR"/>
              </w:rPr>
            </w:pPr>
            <w:r w:rsidRPr="00005453">
              <w:rPr>
                <w:sz w:val="14"/>
                <w:szCs w:val="14"/>
                <w:lang w:val="en-GB" w:eastAsia="tr-TR"/>
              </w:rPr>
              <w:t>20/04/2010</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534492E9"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08C4D18F"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1A822E2" w14:textId="5D873966"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A4EF9F7" w14:textId="6FDED964" w:rsidR="00C456AE" w:rsidRPr="00005453" w:rsidRDefault="00C456AE" w:rsidP="00C456AE">
            <w:pPr>
              <w:jc w:val="right"/>
              <w:rPr>
                <w:sz w:val="14"/>
                <w:szCs w:val="14"/>
                <w:lang w:val="en-GB" w:eastAsia="tr-TR"/>
              </w:rPr>
            </w:pPr>
            <w:r w:rsidRPr="00005453">
              <w:rPr>
                <w:sz w:val="14"/>
                <w:szCs w:val="14"/>
                <w:lang w:val="en-GB" w:eastAsia="tr-TR"/>
              </w:rPr>
              <w:t>%0.001</w:t>
            </w:r>
          </w:p>
        </w:tc>
      </w:tr>
      <w:tr w:rsidR="00C456AE" w:rsidRPr="00005453" w14:paraId="1EF3329A"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2DF33E96" w14:textId="0C607AF8" w:rsidR="00C456AE" w:rsidRPr="00005453" w:rsidRDefault="00C456AE" w:rsidP="00C456AE">
            <w:pPr>
              <w:rPr>
                <w:sz w:val="14"/>
                <w:szCs w:val="14"/>
                <w:lang w:val="en-GB" w:eastAsia="tr-TR"/>
              </w:rPr>
            </w:pPr>
            <w:r w:rsidRPr="00005453">
              <w:rPr>
                <w:sz w:val="14"/>
                <w:szCs w:val="14"/>
                <w:lang w:val="en-GB" w:eastAsia="tr-TR"/>
              </w:rPr>
              <w:t>Aslan DEMİR</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67B4D891" w14:textId="0C7CB57A" w:rsidR="00C456AE" w:rsidRPr="00005453" w:rsidRDefault="00C456AE" w:rsidP="00C456AE">
            <w:pPr>
              <w:jc w:val="right"/>
              <w:rPr>
                <w:sz w:val="14"/>
                <w:szCs w:val="14"/>
                <w:lang w:val="de-DE" w:eastAsia="tr-TR"/>
              </w:rPr>
            </w:pPr>
            <w:r w:rsidRPr="00005453">
              <w:rPr>
                <w:sz w:val="14"/>
                <w:szCs w:val="14"/>
                <w:lang w:val="de-DE"/>
              </w:rPr>
              <w:t>Stratejiden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FE53398" w14:textId="528BE1E0" w:rsidR="00C456AE" w:rsidRPr="00005453" w:rsidRDefault="00C456AE" w:rsidP="00C456AE">
            <w:pPr>
              <w:jc w:val="right"/>
              <w:rPr>
                <w:sz w:val="14"/>
                <w:szCs w:val="14"/>
                <w:lang w:val="en-GB" w:eastAsia="tr-TR"/>
              </w:rPr>
            </w:pPr>
            <w:r w:rsidRPr="00005453">
              <w:rPr>
                <w:sz w:val="14"/>
                <w:szCs w:val="14"/>
                <w:lang w:val="en-GB" w:eastAsia="tr-TR"/>
              </w:rPr>
              <w:t>08/10/2012</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36F90238"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09D6FA6F"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175230DE" w14:textId="52EFB5B6"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4729857F" w14:textId="115FAFB8" w:rsidR="00C456AE" w:rsidRPr="00005453" w:rsidRDefault="00C456AE" w:rsidP="00C456AE">
            <w:pPr>
              <w:jc w:val="right"/>
              <w:rPr>
                <w:sz w:val="14"/>
                <w:szCs w:val="14"/>
                <w:lang w:val="en-GB" w:eastAsia="tr-TR"/>
              </w:rPr>
            </w:pPr>
            <w:r w:rsidRPr="00005453">
              <w:rPr>
                <w:sz w:val="14"/>
                <w:szCs w:val="14"/>
                <w:lang w:val="en-GB" w:eastAsia="tr-TR"/>
              </w:rPr>
              <w:t>%0.006</w:t>
            </w:r>
          </w:p>
        </w:tc>
      </w:tr>
      <w:tr w:rsidR="00C456AE" w:rsidRPr="00005453" w14:paraId="23BB1E08"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72E91323" w14:textId="4DEA7F85" w:rsidR="00C456AE" w:rsidRPr="00005453" w:rsidRDefault="00C456AE" w:rsidP="00C456AE">
            <w:pPr>
              <w:rPr>
                <w:sz w:val="14"/>
                <w:szCs w:val="14"/>
                <w:lang w:val="en-GB" w:eastAsia="tr-TR"/>
              </w:rPr>
            </w:pPr>
            <w:r w:rsidRPr="00005453">
              <w:rPr>
                <w:sz w:val="14"/>
                <w:szCs w:val="14"/>
                <w:lang w:val="en-GB" w:eastAsia="tr-TR"/>
              </w:rPr>
              <w:t>Mehmet ORAL</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729013B5" w14:textId="7A3C6423" w:rsidR="00C456AE" w:rsidRPr="00005453" w:rsidRDefault="00C456AE" w:rsidP="00C456AE">
            <w:pPr>
              <w:jc w:val="right"/>
              <w:rPr>
                <w:sz w:val="14"/>
                <w:szCs w:val="14"/>
                <w:lang w:val="en-GB" w:eastAsia="tr-TR"/>
              </w:rPr>
            </w:pPr>
            <w:r w:rsidRPr="00005453">
              <w:rPr>
                <w:sz w:val="14"/>
                <w:szCs w:val="14"/>
                <w:lang w:val="en-GB"/>
              </w:rPr>
              <w:t>Bireysel Bankacılık Grubundan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1C50F979" w14:textId="1AE19AAA" w:rsidR="00C456AE" w:rsidRPr="00005453" w:rsidRDefault="00C456AE" w:rsidP="00C456AE">
            <w:pPr>
              <w:jc w:val="right"/>
              <w:rPr>
                <w:sz w:val="14"/>
                <w:szCs w:val="14"/>
                <w:lang w:val="en-GB" w:eastAsia="tr-TR"/>
              </w:rPr>
            </w:pPr>
            <w:r w:rsidRPr="00005453">
              <w:rPr>
                <w:sz w:val="14"/>
                <w:szCs w:val="14"/>
                <w:lang w:val="en-GB" w:eastAsia="tr-TR"/>
              </w:rPr>
              <w:t>01/10/2012</w:t>
            </w:r>
          </w:p>
        </w:tc>
        <w:tc>
          <w:tcPr>
            <w:tcW w:w="1088" w:type="dxa"/>
            <w:tcBorders>
              <w:top w:val="single" w:sz="4" w:space="0" w:color="auto"/>
              <w:left w:val="single" w:sz="4" w:space="0" w:color="auto"/>
              <w:bottom w:val="single" w:sz="4" w:space="0" w:color="auto"/>
              <w:right w:val="single" w:sz="4" w:space="0" w:color="auto"/>
            </w:tcBorders>
            <w:noWrap/>
            <w:vAlign w:val="center"/>
            <w:hideMark/>
          </w:tcPr>
          <w:p w14:paraId="697F4E07"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center"/>
            <w:hideMark/>
          </w:tcPr>
          <w:p w14:paraId="53E14FCA"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5BECBC8" w14:textId="35CBCC0F"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039C7181" w14:textId="1464C3FF" w:rsidR="00C456AE" w:rsidRPr="00005453" w:rsidRDefault="00C456AE" w:rsidP="00C456AE">
            <w:pPr>
              <w:jc w:val="right"/>
              <w:rPr>
                <w:sz w:val="14"/>
                <w:szCs w:val="14"/>
                <w:lang w:val="en-GB" w:eastAsia="tr-TR"/>
              </w:rPr>
            </w:pPr>
            <w:r w:rsidRPr="00005453">
              <w:rPr>
                <w:sz w:val="14"/>
                <w:szCs w:val="14"/>
                <w:lang w:val="en-GB" w:eastAsia="tr-TR"/>
              </w:rPr>
              <w:t>%0.005</w:t>
            </w:r>
          </w:p>
        </w:tc>
      </w:tr>
      <w:tr w:rsidR="00C456AE" w:rsidRPr="00005453" w14:paraId="3F0BB8B0"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5C7BED46" w14:textId="717F8EC3" w:rsidR="00C456AE" w:rsidRPr="00005453" w:rsidRDefault="00C456AE" w:rsidP="00C456AE">
            <w:pPr>
              <w:rPr>
                <w:sz w:val="14"/>
                <w:szCs w:val="14"/>
                <w:lang w:val="en-GB" w:eastAsia="tr-TR"/>
              </w:rPr>
            </w:pPr>
            <w:r w:rsidRPr="00005453">
              <w:rPr>
                <w:sz w:val="14"/>
                <w:szCs w:val="14"/>
                <w:lang w:val="en-GB" w:eastAsia="tr-TR"/>
              </w:rPr>
              <w:t>Abdurrahman DELİPOYRAZ</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194A8481" w14:textId="531A7DE8" w:rsidR="00C456AE" w:rsidRPr="00005453" w:rsidRDefault="00C456AE" w:rsidP="00C456AE">
            <w:pPr>
              <w:jc w:val="right"/>
              <w:rPr>
                <w:sz w:val="14"/>
                <w:szCs w:val="14"/>
                <w:lang w:val="en-GB" w:eastAsia="tr-TR"/>
              </w:rPr>
            </w:pPr>
            <w:r w:rsidRPr="00005453">
              <w:rPr>
                <w:sz w:val="14"/>
                <w:szCs w:val="14"/>
                <w:lang w:val="en-GB"/>
              </w:rPr>
              <w:t>KOBİ Bankacılığından Sor. Gnl. Md. Yrd.</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5AC9F5D2" w14:textId="7C7B2869" w:rsidR="00C456AE" w:rsidRPr="00005453" w:rsidRDefault="00C456AE" w:rsidP="00C456AE">
            <w:pPr>
              <w:jc w:val="right"/>
              <w:rPr>
                <w:sz w:val="14"/>
                <w:szCs w:val="14"/>
                <w:lang w:val="en-GB" w:eastAsia="tr-TR"/>
              </w:rPr>
            </w:pPr>
            <w:r w:rsidRPr="00005453">
              <w:rPr>
                <w:sz w:val="14"/>
                <w:szCs w:val="14"/>
                <w:lang w:val="en-GB" w:eastAsia="tr-TR"/>
              </w:rPr>
              <w:t>09/01/2015</w:t>
            </w:r>
          </w:p>
        </w:tc>
        <w:tc>
          <w:tcPr>
            <w:tcW w:w="1088" w:type="dxa"/>
            <w:tcBorders>
              <w:top w:val="single" w:sz="4" w:space="0" w:color="auto"/>
              <w:left w:val="single" w:sz="4" w:space="0" w:color="auto"/>
              <w:bottom w:val="single" w:sz="4" w:space="0" w:color="auto"/>
              <w:right w:val="single" w:sz="4" w:space="0" w:color="auto"/>
            </w:tcBorders>
            <w:noWrap/>
            <w:vAlign w:val="bottom"/>
            <w:hideMark/>
          </w:tcPr>
          <w:p w14:paraId="10E85288" w14:textId="77777777" w:rsidR="00C456AE" w:rsidRPr="00005453" w:rsidRDefault="00C456AE" w:rsidP="00C456AE">
            <w:pPr>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bottom"/>
            <w:hideMark/>
          </w:tcPr>
          <w:p w14:paraId="3BB2EBB2" w14:textId="77777777" w:rsidR="00C456AE" w:rsidRPr="00005453" w:rsidRDefault="00C456AE" w:rsidP="00C456AE">
            <w:pPr>
              <w:rPr>
                <w:lang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5A08DFA8" w14:textId="37E99075"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17921A0" w14:textId="3EA0BD49" w:rsidR="00C456AE" w:rsidRPr="00005453" w:rsidRDefault="00C456AE" w:rsidP="00C456AE">
            <w:pPr>
              <w:jc w:val="right"/>
              <w:rPr>
                <w:sz w:val="14"/>
                <w:szCs w:val="14"/>
                <w:lang w:val="en-GB" w:eastAsia="tr-TR"/>
              </w:rPr>
            </w:pPr>
            <w:r w:rsidRPr="00005453">
              <w:rPr>
                <w:sz w:val="14"/>
                <w:szCs w:val="14"/>
                <w:lang w:val="en-GB" w:eastAsia="tr-TR"/>
              </w:rPr>
              <w:t>%0.005</w:t>
            </w:r>
          </w:p>
        </w:tc>
      </w:tr>
      <w:tr w:rsidR="00C456AE" w:rsidRPr="00005453" w14:paraId="49621178"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hideMark/>
          </w:tcPr>
          <w:p w14:paraId="3FB90F4E" w14:textId="55D73DD3" w:rsidR="00C456AE" w:rsidRPr="00005453" w:rsidRDefault="00C456AE" w:rsidP="00C456AE">
            <w:pPr>
              <w:rPr>
                <w:sz w:val="14"/>
                <w:szCs w:val="14"/>
                <w:lang w:val="en-GB" w:eastAsia="tr-TR"/>
              </w:rPr>
            </w:pPr>
            <w:r w:rsidRPr="00005453">
              <w:rPr>
                <w:sz w:val="14"/>
                <w:szCs w:val="14"/>
                <w:lang w:val="en-GB" w:eastAsia="tr-TR"/>
              </w:rPr>
              <w:t>Hüseyin Cevdet YILMAZ</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398CF53C" w14:textId="21175D35" w:rsidR="00C456AE" w:rsidRPr="00005453" w:rsidRDefault="00C456AE" w:rsidP="00C456AE">
            <w:pPr>
              <w:jc w:val="right"/>
              <w:rPr>
                <w:sz w:val="14"/>
                <w:szCs w:val="14"/>
                <w:lang w:val="de-DE" w:eastAsia="tr-TR"/>
              </w:rPr>
            </w:pPr>
            <w:r w:rsidRPr="00005453">
              <w:rPr>
                <w:sz w:val="14"/>
                <w:szCs w:val="14"/>
                <w:lang w:val="de-DE"/>
              </w:rPr>
              <w:t>Risk, Kontrol ve Uyum Grubu Başkanı</w:t>
            </w:r>
          </w:p>
        </w:tc>
        <w:tc>
          <w:tcPr>
            <w:tcW w:w="778" w:type="dxa"/>
            <w:tcBorders>
              <w:top w:val="single" w:sz="4" w:space="0" w:color="auto"/>
              <w:left w:val="single" w:sz="4" w:space="0" w:color="auto"/>
              <w:bottom w:val="single" w:sz="4" w:space="0" w:color="auto"/>
              <w:right w:val="single" w:sz="4" w:space="0" w:color="auto"/>
            </w:tcBorders>
            <w:noWrap/>
            <w:vAlign w:val="center"/>
            <w:hideMark/>
          </w:tcPr>
          <w:p w14:paraId="6FA8C6BA" w14:textId="0EF6F118" w:rsidR="00C456AE" w:rsidRPr="00005453" w:rsidRDefault="00C456AE" w:rsidP="00C456AE">
            <w:pPr>
              <w:jc w:val="right"/>
              <w:rPr>
                <w:sz w:val="14"/>
                <w:szCs w:val="14"/>
                <w:lang w:val="en-GB" w:eastAsia="tr-TR"/>
              </w:rPr>
            </w:pPr>
            <w:r w:rsidRPr="00005453">
              <w:rPr>
                <w:sz w:val="14"/>
                <w:szCs w:val="14"/>
                <w:lang w:val="en-GB" w:eastAsia="tr-TR"/>
              </w:rPr>
              <w:t>16/12/2003</w:t>
            </w:r>
          </w:p>
        </w:tc>
        <w:tc>
          <w:tcPr>
            <w:tcW w:w="1088" w:type="dxa"/>
            <w:tcBorders>
              <w:top w:val="single" w:sz="4" w:space="0" w:color="auto"/>
              <w:left w:val="single" w:sz="4" w:space="0" w:color="auto"/>
              <w:bottom w:val="single" w:sz="4" w:space="0" w:color="auto"/>
              <w:right w:val="single" w:sz="4" w:space="0" w:color="auto"/>
            </w:tcBorders>
            <w:noWrap/>
            <w:vAlign w:val="bottom"/>
          </w:tcPr>
          <w:p w14:paraId="38DCB5CC" w14:textId="77777777" w:rsidR="00C456AE" w:rsidRPr="00005453" w:rsidRDefault="00C456AE" w:rsidP="00C456AE">
            <w:pPr>
              <w:jc w:val="right"/>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bottom"/>
          </w:tcPr>
          <w:p w14:paraId="06372011" w14:textId="77777777" w:rsidR="00C456AE" w:rsidRPr="00005453" w:rsidRDefault="00C456AE" w:rsidP="00C456AE">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hideMark/>
          </w:tcPr>
          <w:p w14:paraId="0BD5CE32" w14:textId="38EA526A"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hideMark/>
          </w:tcPr>
          <w:p w14:paraId="2454197A" w14:textId="1680A44A" w:rsidR="00C456AE" w:rsidRPr="00005453" w:rsidRDefault="00C456AE" w:rsidP="00C456AE">
            <w:pPr>
              <w:jc w:val="right"/>
              <w:rPr>
                <w:sz w:val="14"/>
                <w:szCs w:val="14"/>
                <w:lang w:val="en-GB" w:eastAsia="tr-TR"/>
              </w:rPr>
            </w:pPr>
            <w:r w:rsidRPr="00005453">
              <w:rPr>
                <w:sz w:val="14"/>
                <w:szCs w:val="14"/>
                <w:lang w:val="en-GB" w:eastAsia="tr-TR"/>
              </w:rPr>
              <w:t>%0.001</w:t>
            </w:r>
          </w:p>
        </w:tc>
      </w:tr>
      <w:tr w:rsidR="00C456AE" w:rsidRPr="00005453" w14:paraId="29D70967" w14:textId="77777777" w:rsidTr="00AF31ED">
        <w:trPr>
          <w:trHeight w:val="182"/>
        </w:trPr>
        <w:tc>
          <w:tcPr>
            <w:tcW w:w="1819" w:type="dxa"/>
            <w:tcBorders>
              <w:top w:val="single" w:sz="4" w:space="0" w:color="auto"/>
              <w:left w:val="single" w:sz="4" w:space="0" w:color="auto"/>
              <w:bottom w:val="single" w:sz="4" w:space="0" w:color="auto"/>
              <w:right w:val="single" w:sz="4" w:space="0" w:color="auto"/>
            </w:tcBorders>
            <w:noWrap/>
            <w:vAlign w:val="center"/>
          </w:tcPr>
          <w:p w14:paraId="6BE53040" w14:textId="34502CD2" w:rsidR="00C456AE" w:rsidRPr="00005453" w:rsidRDefault="00C456AE" w:rsidP="00C456AE">
            <w:pPr>
              <w:rPr>
                <w:sz w:val="14"/>
                <w:szCs w:val="14"/>
                <w:lang w:val="en-GB" w:eastAsia="tr-TR"/>
              </w:rPr>
            </w:pPr>
            <w:r w:rsidRPr="00005453">
              <w:rPr>
                <w:sz w:val="14"/>
                <w:szCs w:val="14"/>
                <w:lang w:val="en-GB" w:eastAsia="tr-TR"/>
              </w:rPr>
              <w:t>Bahattin AKCA</w:t>
            </w:r>
          </w:p>
        </w:tc>
        <w:tc>
          <w:tcPr>
            <w:tcW w:w="2352" w:type="dxa"/>
            <w:tcBorders>
              <w:top w:val="single" w:sz="4" w:space="0" w:color="auto"/>
              <w:left w:val="single" w:sz="4" w:space="0" w:color="auto"/>
              <w:bottom w:val="single" w:sz="4" w:space="0" w:color="auto"/>
              <w:right w:val="single" w:sz="4" w:space="0" w:color="auto"/>
            </w:tcBorders>
            <w:noWrap/>
            <w:vAlign w:val="center"/>
          </w:tcPr>
          <w:p w14:paraId="5278F671" w14:textId="22C490CB" w:rsidR="00C456AE" w:rsidRPr="00005453" w:rsidRDefault="00C456AE" w:rsidP="00C456AE">
            <w:pPr>
              <w:jc w:val="right"/>
              <w:rPr>
                <w:sz w:val="14"/>
                <w:szCs w:val="14"/>
                <w:lang w:val="de-DE" w:eastAsia="tr-TR"/>
              </w:rPr>
            </w:pPr>
            <w:r w:rsidRPr="00005453">
              <w:rPr>
                <w:color w:val="000000"/>
                <w:sz w:val="14"/>
                <w:szCs w:val="14"/>
              </w:rPr>
              <w:t>Teftiş Kurulu Başkanı</w:t>
            </w:r>
          </w:p>
        </w:tc>
        <w:tc>
          <w:tcPr>
            <w:tcW w:w="778" w:type="dxa"/>
            <w:tcBorders>
              <w:top w:val="single" w:sz="4" w:space="0" w:color="auto"/>
              <w:left w:val="single" w:sz="4" w:space="0" w:color="auto"/>
              <w:bottom w:val="single" w:sz="4" w:space="0" w:color="auto"/>
              <w:right w:val="single" w:sz="4" w:space="0" w:color="auto"/>
            </w:tcBorders>
            <w:noWrap/>
            <w:vAlign w:val="center"/>
          </w:tcPr>
          <w:p w14:paraId="05933C2C" w14:textId="2ED13F6B" w:rsidR="00C456AE" w:rsidRPr="00005453" w:rsidRDefault="00C456AE" w:rsidP="00C456AE">
            <w:pPr>
              <w:jc w:val="right"/>
              <w:rPr>
                <w:sz w:val="14"/>
                <w:szCs w:val="14"/>
                <w:lang w:val="en-GB" w:eastAsia="tr-TR"/>
              </w:rPr>
            </w:pPr>
            <w:r w:rsidRPr="00005453">
              <w:rPr>
                <w:sz w:val="14"/>
                <w:szCs w:val="14"/>
                <w:lang w:val="en-GB" w:eastAsia="tr-TR"/>
              </w:rPr>
              <w:t>01/08/2007</w:t>
            </w:r>
          </w:p>
        </w:tc>
        <w:tc>
          <w:tcPr>
            <w:tcW w:w="1088" w:type="dxa"/>
            <w:tcBorders>
              <w:top w:val="single" w:sz="4" w:space="0" w:color="auto"/>
              <w:left w:val="single" w:sz="4" w:space="0" w:color="auto"/>
              <w:bottom w:val="single" w:sz="4" w:space="0" w:color="auto"/>
              <w:right w:val="single" w:sz="4" w:space="0" w:color="auto"/>
            </w:tcBorders>
            <w:noWrap/>
            <w:vAlign w:val="bottom"/>
          </w:tcPr>
          <w:p w14:paraId="7C7825C5" w14:textId="77777777" w:rsidR="00C456AE" w:rsidRPr="00005453" w:rsidRDefault="00C456AE" w:rsidP="00C456AE">
            <w:pPr>
              <w:jc w:val="right"/>
              <w:rPr>
                <w:sz w:val="14"/>
                <w:szCs w:val="14"/>
                <w:lang w:val="en-GB" w:eastAsia="tr-TR"/>
              </w:rPr>
            </w:pPr>
          </w:p>
        </w:tc>
        <w:tc>
          <w:tcPr>
            <w:tcW w:w="1122" w:type="dxa"/>
            <w:tcBorders>
              <w:top w:val="single" w:sz="4" w:space="0" w:color="auto"/>
              <w:left w:val="single" w:sz="4" w:space="0" w:color="auto"/>
              <w:bottom w:val="single" w:sz="4" w:space="0" w:color="auto"/>
              <w:right w:val="single" w:sz="4" w:space="0" w:color="auto"/>
            </w:tcBorders>
            <w:noWrap/>
            <w:vAlign w:val="bottom"/>
          </w:tcPr>
          <w:p w14:paraId="284DE2D7" w14:textId="77777777" w:rsidR="00C456AE" w:rsidRPr="00005453" w:rsidRDefault="00C456AE" w:rsidP="00C456AE">
            <w:pPr>
              <w:jc w:val="right"/>
              <w:rPr>
                <w:sz w:val="14"/>
                <w:szCs w:val="14"/>
                <w:lang w:val="en-GB" w:eastAsia="tr-TR"/>
              </w:rPr>
            </w:pPr>
          </w:p>
        </w:tc>
        <w:tc>
          <w:tcPr>
            <w:tcW w:w="1013" w:type="dxa"/>
            <w:tcBorders>
              <w:top w:val="single" w:sz="4" w:space="0" w:color="auto"/>
              <w:left w:val="single" w:sz="4" w:space="0" w:color="auto"/>
              <w:bottom w:val="single" w:sz="4" w:space="0" w:color="auto"/>
              <w:right w:val="single" w:sz="4" w:space="0" w:color="auto"/>
            </w:tcBorders>
            <w:noWrap/>
            <w:vAlign w:val="center"/>
          </w:tcPr>
          <w:p w14:paraId="4F0417B7" w14:textId="28EB9A8B" w:rsidR="00C456AE" w:rsidRPr="00005453" w:rsidRDefault="00C456AE" w:rsidP="00C456AE">
            <w:pPr>
              <w:jc w:val="right"/>
              <w:rPr>
                <w:sz w:val="14"/>
                <w:szCs w:val="14"/>
                <w:lang w:val="en-GB" w:eastAsia="tr-TR"/>
              </w:rPr>
            </w:pPr>
            <w:r w:rsidRPr="00005453">
              <w:rPr>
                <w:sz w:val="14"/>
                <w:szCs w:val="14"/>
                <w:lang w:val="en-GB" w:eastAsia="tr-TR"/>
              </w:rPr>
              <w:t>Lisans</w:t>
            </w:r>
          </w:p>
        </w:tc>
        <w:tc>
          <w:tcPr>
            <w:tcW w:w="809" w:type="dxa"/>
            <w:tcBorders>
              <w:top w:val="single" w:sz="4" w:space="0" w:color="auto"/>
              <w:left w:val="single" w:sz="4" w:space="0" w:color="auto"/>
              <w:bottom w:val="single" w:sz="4" w:space="0" w:color="auto"/>
              <w:right w:val="single" w:sz="4" w:space="0" w:color="auto"/>
            </w:tcBorders>
            <w:noWrap/>
            <w:vAlign w:val="center"/>
          </w:tcPr>
          <w:p w14:paraId="6B0E9780" w14:textId="168E04D4" w:rsidR="00C456AE" w:rsidRPr="00005453" w:rsidRDefault="00C456AE" w:rsidP="00C456AE">
            <w:pPr>
              <w:jc w:val="right"/>
              <w:rPr>
                <w:sz w:val="14"/>
                <w:szCs w:val="14"/>
                <w:lang w:val="en-GB" w:eastAsia="tr-TR"/>
              </w:rPr>
            </w:pPr>
            <w:r w:rsidRPr="00005453">
              <w:rPr>
                <w:sz w:val="14"/>
                <w:szCs w:val="14"/>
                <w:lang w:val="en-GB" w:eastAsia="tr-TR"/>
              </w:rPr>
              <w:t>%0.001</w:t>
            </w:r>
          </w:p>
        </w:tc>
      </w:tr>
      <w:bookmarkEnd w:id="6"/>
    </w:tbl>
    <w:p w14:paraId="396E3FDB" w14:textId="1AE37243" w:rsidR="00DF595A" w:rsidRPr="00005453" w:rsidRDefault="00DF595A" w:rsidP="00231D2B">
      <w:pPr>
        <w:pStyle w:val="BodyText"/>
        <w:autoSpaceDE/>
        <w:spacing w:line="228" w:lineRule="auto"/>
        <w:rPr>
          <w:sz w:val="16"/>
          <w:szCs w:val="16"/>
        </w:rPr>
      </w:pPr>
    </w:p>
    <w:p w14:paraId="55949810" w14:textId="77777777" w:rsidR="00A3045F" w:rsidRPr="00005453" w:rsidRDefault="000A69B2" w:rsidP="000A69B2">
      <w:pPr>
        <w:pStyle w:val="BodyText"/>
        <w:autoSpaceDE/>
        <w:autoSpaceDN/>
        <w:adjustRightInd/>
        <w:spacing w:line="230" w:lineRule="auto"/>
        <w:ind w:left="-108"/>
        <w:jc w:val="left"/>
        <w:rPr>
          <w:sz w:val="2"/>
          <w:szCs w:val="14"/>
          <w:lang w:eastAsia="en-US"/>
        </w:rPr>
      </w:pPr>
      <w:r w:rsidRPr="00005453">
        <w:rPr>
          <w:sz w:val="14"/>
          <w:szCs w:val="14"/>
          <w:lang w:eastAsia="en-US"/>
        </w:rPr>
        <w:t xml:space="preserve">   </w:t>
      </w:r>
    </w:p>
    <w:p w14:paraId="5399C29F" w14:textId="08577A90" w:rsidR="00E73302" w:rsidRPr="00FE14D9" w:rsidRDefault="00E253C8" w:rsidP="00FE14D9">
      <w:pPr>
        <w:pStyle w:val="BodyText"/>
        <w:autoSpaceDE/>
        <w:autoSpaceDN/>
        <w:adjustRightInd/>
        <w:spacing w:line="230" w:lineRule="auto"/>
        <w:rPr>
          <w:sz w:val="16"/>
        </w:rPr>
        <w:sectPr w:rsidR="00E73302" w:rsidRPr="00FE14D9" w:rsidSect="00A07E0F">
          <w:headerReference w:type="default" r:id="rId18"/>
          <w:footerReference w:type="default" r:id="rId19"/>
          <w:pgSz w:w="11907" w:h="16840" w:code="9"/>
          <w:pgMar w:top="1418" w:right="1418" w:bottom="1418" w:left="1418" w:header="708" w:footer="708" w:gutter="0"/>
          <w:pgNumType w:start="1"/>
          <w:cols w:space="708"/>
          <w:noEndnote/>
        </w:sectPr>
      </w:pPr>
      <w:r w:rsidRPr="00005453">
        <w:t xml:space="preserve">Banka’nın Yönetim Kurulu Başkan ve </w:t>
      </w:r>
      <w:r w:rsidR="00DC6CFE" w:rsidRPr="00005453">
        <w:t>Ü</w:t>
      </w:r>
      <w:r w:rsidRPr="00005453">
        <w:t xml:space="preserve">yeleri, </w:t>
      </w:r>
      <w:r w:rsidR="00DC6CFE" w:rsidRPr="00005453">
        <w:t>D</w:t>
      </w:r>
      <w:r w:rsidRPr="00005453">
        <w:t xml:space="preserve">enetim </w:t>
      </w:r>
      <w:r w:rsidR="00DC6CFE" w:rsidRPr="00005453">
        <w:t>K</w:t>
      </w:r>
      <w:r w:rsidRPr="00005453">
        <w:t xml:space="preserve">urulu </w:t>
      </w:r>
      <w:r w:rsidR="00DC6CFE" w:rsidRPr="00005453">
        <w:t>Ü</w:t>
      </w:r>
      <w:r w:rsidRPr="00005453">
        <w:t xml:space="preserve">yeleri, </w:t>
      </w:r>
      <w:r w:rsidR="00DC6CFE" w:rsidRPr="00005453">
        <w:t>G</w:t>
      </w:r>
      <w:r w:rsidRPr="00005453">
        <w:t xml:space="preserve">enel </w:t>
      </w:r>
      <w:r w:rsidR="00DC6CFE" w:rsidRPr="00005453">
        <w:t>M</w:t>
      </w:r>
      <w:r w:rsidRPr="00005453">
        <w:t xml:space="preserve">üdür ve </w:t>
      </w:r>
      <w:r w:rsidR="00DC6CFE" w:rsidRPr="00005453">
        <w:t>Y</w:t>
      </w:r>
      <w:r w:rsidRPr="00005453">
        <w:t xml:space="preserve">ardımcılarının Banka sermayesindeki pay </w:t>
      </w:r>
      <w:r w:rsidR="009D1652" w:rsidRPr="00005453">
        <w:t>oranı %0.1</w:t>
      </w:r>
      <w:r w:rsidR="00BA7647" w:rsidRPr="00005453">
        <w:t>1</w:t>
      </w:r>
      <w:r w:rsidRPr="00005453">
        <w:t>’d</w:t>
      </w:r>
      <w:r w:rsidR="00614CD2" w:rsidRPr="00005453">
        <w:t>i</w:t>
      </w:r>
      <w:r w:rsidRPr="00005453">
        <w:t xml:space="preserve">r (31 Aralık </w:t>
      </w:r>
      <w:proofErr w:type="gramStart"/>
      <w:r w:rsidR="00416592" w:rsidRPr="00005453">
        <w:t>20</w:t>
      </w:r>
      <w:r w:rsidR="00FA52BB" w:rsidRPr="00005453">
        <w:t>2</w:t>
      </w:r>
      <w:r w:rsidR="00BA04A2" w:rsidRPr="00005453">
        <w:t>3</w:t>
      </w:r>
      <w:r w:rsidRPr="00005453">
        <w:t xml:space="preserve"> -</w:t>
      </w:r>
      <w:proofErr w:type="gramEnd"/>
      <w:r w:rsidRPr="00005453">
        <w:t xml:space="preserve"> %</w:t>
      </w:r>
      <w:r w:rsidR="009D1652" w:rsidRPr="00005453">
        <w:t>0.1</w:t>
      </w:r>
      <w:r w:rsidR="00BA7647" w:rsidRPr="00005453">
        <w:t>1</w:t>
      </w:r>
      <w:r w:rsidRPr="00005453">
        <w:t xml:space="preserve">). </w:t>
      </w:r>
    </w:p>
    <w:p w14:paraId="4CCC414D" w14:textId="77777777" w:rsidR="00584973" w:rsidRPr="00005453" w:rsidRDefault="00811E18" w:rsidP="008F08F2">
      <w:pPr>
        <w:pStyle w:val="BodyText"/>
        <w:autoSpaceDE/>
        <w:autoSpaceDN/>
        <w:adjustRightInd/>
        <w:ind w:left="-540" w:hanging="27"/>
        <w:jc w:val="left"/>
        <w:rPr>
          <w:b/>
        </w:rPr>
      </w:pPr>
      <w:r w:rsidRPr="00005453">
        <w:rPr>
          <w:b/>
        </w:rPr>
        <w:lastRenderedPageBreak/>
        <w:t xml:space="preserve">4.      </w:t>
      </w:r>
      <w:r w:rsidR="008F08F2" w:rsidRPr="00005453">
        <w:rPr>
          <w:b/>
        </w:rPr>
        <w:tab/>
      </w:r>
      <w:r w:rsidR="00E253C8" w:rsidRPr="00005453">
        <w:rPr>
          <w:b/>
        </w:rPr>
        <w:t xml:space="preserve">Banka’da nitelikli pay sahibi olan kişi ve kuruluşlara ilişkin açıklamalar </w:t>
      </w:r>
    </w:p>
    <w:p w14:paraId="039E9D9C" w14:textId="549CB548" w:rsidR="00367DD0" w:rsidRPr="00005453" w:rsidRDefault="00367DD0" w:rsidP="00134A72">
      <w:pPr>
        <w:pStyle w:val="BodyText"/>
        <w:autoSpaceDE/>
        <w:autoSpaceDN/>
        <w:adjustRightInd/>
        <w:jc w:val="left"/>
        <w:rPr>
          <w:lang w:eastAsia="en-GB"/>
        </w:rPr>
      </w:pPr>
    </w:p>
    <w:tbl>
      <w:tblPr>
        <w:tblW w:w="8972" w:type="dxa"/>
        <w:tblCellMar>
          <w:left w:w="70" w:type="dxa"/>
          <w:right w:w="70" w:type="dxa"/>
        </w:tblCellMar>
        <w:tblLook w:val="04A0" w:firstRow="1" w:lastRow="0" w:firstColumn="1" w:lastColumn="0" w:noHBand="0" w:noVBand="1"/>
      </w:tblPr>
      <w:tblGrid>
        <w:gridCol w:w="3686"/>
        <w:gridCol w:w="1276"/>
        <w:gridCol w:w="1275"/>
        <w:gridCol w:w="1572"/>
        <w:gridCol w:w="1163"/>
      </w:tblGrid>
      <w:tr w:rsidR="00AF31ED" w:rsidRPr="00005453" w14:paraId="51FB4671" w14:textId="77777777" w:rsidTr="00AF31ED">
        <w:trPr>
          <w:trHeight w:val="230"/>
        </w:trPr>
        <w:tc>
          <w:tcPr>
            <w:tcW w:w="3686" w:type="dxa"/>
            <w:vMerge w:val="restart"/>
            <w:tcBorders>
              <w:top w:val="single" w:sz="8" w:space="0" w:color="auto"/>
              <w:left w:val="nil"/>
              <w:bottom w:val="single" w:sz="8" w:space="0" w:color="auto"/>
              <w:right w:val="nil"/>
            </w:tcBorders>
            <w:shd w:val="clear" w:color="000000" w:fill="FFFFFF"/>
            <w:noWrap/>
            <w:vAlign w:val="center"/>
            <w:hideMark/>
          </w:tcPr>
          <w:p w14:paraId="582EB49D" w14:textId="77777777" w:rsidR="00AF31ED" w:rsidRPr="00005453" w:rsidRDefault="00AF31ED" w:rsidP="00AF31ED">
            <w:pPr>
              <w:rPr>
                <w:b/>
                <w:bCs/>
                <w:color w:val="000000"/>
                <w:lang w:eastAsia="tr-TR"/>
              </w:rPr>
            </w:pPr>
            <w:r w:rsidRPr="00005453">
              <w:rPr>
                <w:b/>
                <w:bCs/>
                <w:color w:val="000000"/>
                <w:lang w:eastAsia="tr-TR"/>
              </w:rPr>
              <w:t>Ad soyad/Ticari ünvanı</w:t>
            </w:r>
          </w:p>
        </w:tc>
        <w:tc>
          <w:tcPr>
            <w:tcW w:w="1276" w:type="dxa"/>
            <w:vMerge w:val="restart"/>
            <w:tcBorders>
              <w:top w:val="single" w:sz="8" w:space="0" w:color="auto"/>
              <w:left w:val="nil"/>
              <w:bottom w:val="single" w:sz="8" w:space="0" w:color="auto"/>
              <w:right w:val="nil"/>
            </w:tcBorders>
            <w:shd w:val="clear" w:color="000000" w:fill="FFFFFF"/>
            <w:noWrap/>
            <w:vAlign w:val="center"/>
            <w:hideMark/>
          </w:tcPr>
          <w:p w14:paraId="12D3D68F" w14:textId="77777777" w:rsidR="00AF31ED" w:rsidRPr="00005453" w:rsidRDefault="00AF31ED" w:rsidP="00AF31ED">
            <w:pPr>
              <w:jc w:val="right"/>
              <w:rPr>
                <w:b/>
                <w:bCs/>
                <w:color w:val="000000"/>
                <w:lang w:eastAsia="tr-TR"/>
              </w:rPr>
            </w:pPr>
            <w:r w:rsidRPr="00005453">
              <w:rPr>
                <w:b/>
                <w:bCs/>
                <w:color w:val="000000"/>
                <w:lang w:eastAsia="tr-TR"/>
              </w:rPr>
              <w:t>Pay tutarları (Nominal)</w:t>
            </w:r>
          </w:p>
        </w:tc>
        <w:tc>
          <w:tcPr>
            <w:tcW w:w="1275" w:type="dxa"/>
            <w:vMerge w:val="restart"/>
            <w:tcBorders>
              <w:top w:val="single" w:sz="8" w:space="0" w:color="auto"/>
              <w:left w:val="nil"/>
              <w:bottom w:val="single" w:sz="8" w:space="0" w:color="auto"/>
              <w:right w:val="nil"/>
            </w:tcBorders>
            <w:shd w:val="clear" w:color="000000" w:fill="FFFFFF"/>
            <w:noWrap/>
            <w:vAlign w:val="center"/>
            <w:hideMark/>
          </w:tcPr>
          <w:p w14:paraId="63DAF886" w14:textId="77777777" w:rsidR="00AF31ED" w:rsidRPr="00005453" w:rsidRDefault="00AF31ED" w:rsidP="00AF31ED">
            <w:pPr>
              <w:jc w:val="right"/>
              <w:rPr>
                <w:b/>
                <w:bCs/>
                <w:color w:val="000000"/>
                <w:lang w:eastAsia="tr-TR"/>
              </w:rPr>
            </w:pPr>
            <w:r w:rsidRPr="00005453">
              <w:rPr>
                <w:b/>
                <w:bCs/>
                <w:color w:val="000000"/>
                <w:lang w:eastAsia="tr-TR"/>
              </w:rPr>
              <w:t>Pay</w:t>
            </w:r>
          </w:p>
          <w:p w14:paraId="627D1EF2" w14:textId="77777777" w:rsidR="00AF31ED" w:rsidRPr="00005453" w:rsidRDefault="00AF31ED" w:rsidP="00AF31ED">
            <w:pPr>
              <w:jc w:val="right"/>
              <w:rPr>
                <w:b/>
                <w:bCs/>
                <w:color w:val="000000"/>
                <w:lang w:val="en-US"/>
              </w:rPr>
            </w:pPr>
            <w:r w:rsidRPr="00005453">
              <w:rPr>
                <w:b/>
                <w:bCs/>
                <w:color w:val="000000"/>
                <w:lang w:val="en-US"/>
              </w:rPr>
              <w:t>oranları</w:t>
            </w:r>
          </w:p>
        </w:tc>
        <w:tc>
          <w:tcPr>
            <w:tcW w:w="1572" w:type="dxa"/>
            <w:vMerge w:val="restart"/>
            <w:tcBorders>
              <w:top w:val="single" w:sz="8" w:space="0" w:color="auto"/>
              <w:left w:val="nil"/>
              <w:bottom w:val="single" w:sz="8" w:space="0" w:color="auto"/>
              <w:right w:val="nil"/>
            </w:tcBorders>
            <w:shd w:val="clear" w:color="000000" w:fill="FFFFFF"/>
            <w:noWrap/>
            <w:vAlign w:val="center"/>
            <w:hideMark/>
          </w:tcPr>
          <w:p w14:paraId="751903D3" w14:textId="77777777" w:rsidR="00AF31ED" w:rsidRPr="00005453" w:rsidRDefault="00AF31ED" w:rsidP="00AF31ED">
            <w:pPr>
              <w:jc w:val="right"/>
              <w:rPr>
                <w:b/>
                <w:bCs/>
                <w:color w:val="000000"/>
                <w:lang w:eastAsia="tr-TR"/>
              </w:rPr>
            </w:pPr>
            <w:r w:rsidRPr="00005453">
              <w:rPr>
                <w:b/>
                <w:bCs/>
                <w:color w:val="000000"/>
                <w:lang w:eastAsia="tr-TR"/>
              </w:rPr>
              <w:t>Ödenmiş paylar (Nominal)</w:t>
            </w:r>
          </w:p>
        </w:tc>
        <w:tc>
          <w:tcPr>
            <w:tcW w:w="1163" w:type="dxa"/>
            <w:vMerge w:val="restart"/>
            <w:tcBorders>
              <w:top w:val="single" w:sz="8" w:space="0" w:color="auto"/>
              <w:left w:val="nil"/>
              <w:bottom w:val="single" w:sz="8" w:space="0" w:color="auto"/>
              <w:right w:val="nil"/>
            </w:tcBorders>
            <w:shd w:val="clear" w:color="000000" w:fill="FFFFFF"/>
            <w:noWrap/>
            <w:vAlign w:val="center"/>
            <w:hideMark/>
          </w:tcPr>
          <w:p w14:paraId="5BB4B4A8" w14:textId="77777777" w:rsidR="00AF31ED" w:rsidRPr="00005453" w:rsidRDefault="00AF31ED" w:rsidP="00AF31ED">
            <w:pPr>
              <w:jc w:val="right"/>
              <w:rPr>
                <w:b/>
                <w:bCs/>
                <w:color w:val="000000"/>
                <w:lang w:eastAsia="tr-TR"/>
              </w:rPr>
            </w:pPr>
            <w:r w:rsidRPr="00005453">
              <w:rPr>
                <w:b/>
                <w:bCs/>
                <w:color w:val="000000"/>
                <w:lang w:eastAsia="tr-TR"/>
              </w:rPr>
              <w:t>Ödenmemiş</w:t>
            </w:r>
          </w:p>
          <w:p w14:paraId="3E836660" w14:textId="77777777" w:rsidR="00AF31ED" w:rsidRPr="00005453" w:rsidRDefault="00AF31ED" w:rsidP="00AF31ED">
            <w:pPr>
              <w:jc w:val="right"/>
              <w:rPr>
                <w:b/>
                <w:bCs/>
                <w:color w:val="000000"/>
                <w:lang w:val="en-US"/>
              </w:rPr>
            </w:pPr>
            <w:r w:rsidRPr="00005453">
              <w:rPr>
                <w:b/>
                <w:bCs/>
                <w:color w:val="000000"/>
                <w:lang w:val="en-US"/>
              </w:rPr>
              <w:t>paylar</w:t>
            </w:r>
          </w:p>
        </w:tc>
      </w:tr>
      <w:tr w:rsidR="00AF31ED" w:rsidRPr="00005453" w14:paraId="05CCA535" w14:textId="77777777" w:rsidTr="00AF31ED">
        <w:trPr>
          <w:trHeight w:val="230"/>
        </w:trPr>
        <w:tc>
          <w:tcPr>
            <w:tcW w:w="3686" w:type="dxa"/>
            <w:vMerge/>
            <w:tcBorders>
              <w:left w:val="nil"/>
              <w:bottom w:val="single" w:sz="8" w:space="0" w:color="auto"/>
              <w:right w:val="nil"/>
            </w:tcBorders>
            <w:vAlign w:val="center"/>
            <w:hideMark/>
          </w:tcPr>
          <w:p w14:paraId="2FCA4786" w14:textId="77777777" w:rsidR="00AF31ED" w:rsidRPr="00005453" w:rsidRDefault="00AF31ED" w:rsidP="00AF31ED">
            <w:pPr>
              <w:rPr>
                <w:b/>
                <w:bCs/>
                <w:color w:val="000000"/>
                <w:lang w:eastAsia="tr-TR"/>
              </w:rPr>
            </w:pPr>
          </w:p>
        </w:tc>
        <w:tc>
          <w:tcPr>
            <w:tcW w:w="1276" w:type="dxa"/>
            <w:vMerge/>
            <w:tcBorders>
              <w:left w:val="nil"/>
              <w:bottom w:val="single" w:sz="8" w:space="0" w:color="auto"/>
              <w:right w:val="nil"/>
            </w:tcBorders>
            <w:vAlign w:val="center"/>
            <w:hideMark/>
          </w:tcPr>
          <w:p w14:paraId="7E26BDC9" w14:textId="77777777" w:rsidR="00AF31ED" w:rsidRPr="00005453" w:rsidRDefault="00AF31ED" w:rsidP="00AF31ED">
            <w:pPr>
              <w:jc w:val="right"/>
              <w:rPr>
                <w:b/>
                <w:bCs/>
                <w:color w:val="000000"/>
                <w:lang w:eastAsia="tr-TR"/>
              </w:rPr>
            </w:pPr>
          </w:p>
        </w:tc>
        <w:tc>
          <w:tcPr>
            <w:tcW w:w="1275" w:type="dxa"/>
            <w:vMerge/>
            <w:tcBorders>
              <w:left w:val="nil"/>
              <w:bottom w:val="single" w:sz="8" w:space="0" w:color="auto"/>
              <w:right w:val="nil"/>
            </w:tcBorders>
            <w:shd w:val="clear" w:color="000000" w:fill="FFFFFF"/>
            <w:vAlign w:val="center"/>
            <w:hideMark/>
          </w:tcPr>
          <w:p w14:paraId="2F4BCD9E" w14:textId="77777777" w:rsidR="00AF31ED" w:rsidRPr="00005453" w:rsidRDefault="00AF31ED" w:rsidP="00AF31ED">
            <w:pPr>
              <w:jc w:val="right"/>
              <w:rPr>
                <w:b/>
                <w:bCs/>
                <w:color w:val="000000"/>
                <w:lang w:eastAsia="tr-TR"/>
              </w:rPr>
            </w:pPr>
          </w:p>
        </w:tc>
        <w:tc>
          <w:tcPr>
            <w:tcW w:w="1572" w:type="dxa"/>
            <w:vMerge/>
            <w:tcBorders>
              <w:left w:val="nil"/>
              <w:bottom w:val="single" w:sz="8" w:space="0" w:color="auto"/>
              <w:right w:val="nil"/>
            </w:tcBorders>
            <w:vAlign w:val="center"/>
            <w:hideMark/>
          </w:tcPr>
          <w:p w14:paraId="0A1BFB25" w14:textId="77777777" w:rsidR="00AF31ED" w:rsidRPr="00005453" w:rsidRDefault="00AF31ED" w:rsidP="00AF31ED">
            <w:pPr>
              <w:jc w:val="right"/>
              <w:rPr>
                <w:b/>
                <w:bCs/>
                <w:color w:val="000000"/>
                <w:lang w:eastAsia="tr-TR"/>
              </w:rPr>
            </w:pPr>
          </w:p>
        </w:tc>
        <w:tc>
          <w:tcPr>
            <w:tcW w:w="1163" w:type="dxa"/>
            <w:vMerge/>
            <w:tcBorders>
              <w:left w:val="nil"/>
              <w:bottom w:val="single" w:sz="8" w:space="0" w:color="auto"/>
              <w:right w:val="nil"/>
            </w:tcBorders>
            <w:shd w:val="clear" w:color="000000" w:fill="FFFFFF"/>
            <w:vAlign w:val="center"/>
            <w:hideMark/>
          </w:tcPr>
          <w:p w14:paraId="6E7E7EA0" w14:textId="77777777" w:rsidR="00AF31ED" w:rsidRPr="00005453" w:rsidRDefault="00AF31ED" w:rsidP="00AF31ED">
            <w:pPr>
              <w:jc w:val="right"/>
              <w:rPr>
                <w:b/>
                <w:bCs/>
                <w:color w:val="000000"/>
                <w:lang w:eastAsia="tr-TR"/>
              </w:rPr>
            </w:pPr>
          </w:p>
        </w:tc>
      </w:tr>
      <w:tr w:rsidR="00AF31ED" w:rsidRPr="00005453" w14:paraId="31C89B85" w14:textId="77777777" w:rsidTr="00AF31ED">
        <w:trPr>
          <w:trHeight w:val="37"/>
        </w:trPr>
        <w:tc>
          <w:tcPr>
            <w:tcW w:w="3686" w:type="dxa"/>
            <w:tcBorders>
              <w:top w:val="single" w:sz="8" w:space="0" w:color="auto"/>
              <w:left w:val="nil"/>
              <w:right w:val="nil"/>
            </w:tcBorders>
            <w:shd w:val="clear" w:color="000000" w:fill="FFFFFF"/>
            <w:noWrap/>
            <w:vAlign w:val="center"/>
            <w:hideMark/>
          </w:tcPr>
          <w:p w14:paraId="16EA9715" w14:textId="77777777" w:rsidR="00AF31ED" w:rsidRPr="00005453" w:rsidRDefault="00AF31ED" w:rsidP="00AF31ED">
            <w:pPr>
              <w:rPr>
                <w:color w:val="000000"/>
                <w:sz w:val="6"/>
                <w:szCs w:val="6"/>
                <w:lang w:eastAsia="tr-TR"/>
              </w:rPr>
            </w:pPr>
            <w:r w:rsidRPr="00005453">
              <w:rPr>
                <w:color w:val="000000"/>
                <w:sz w:val="6"/>
                <w:szCs w:val="6"/>
                <w:lang w:eastAsia="tr-TR"/>
              </w:rPr>
              <w:t> </w:t>
            </w:r>
          </w:p>
        </w:tc>
        <w:tc>
          <w:tcPr>
            <w:tcW w:w="1276" w:type="dxa"/>
            <w:tcBorders>
              <w:top w:val="single" w:sz="8" w:space="0" w:color="auto"/>
              <w:left w:val="nil"/>
              <w:right w:val="nil"/>
            </w:tcBorders>
            <w:shd w:val="clear" w:color="auto" w:fill="auto"/>
            <w:noWrap/>
            <w:vAlign w:val="center"/>
            <w:hideMark/>
          </w:tcPr>
          <w:p w14:paraId="40B2B647" w14:textId="77777777" w:rsidR="00AF31ED" w:rsidRPr="00005453" w:rsidRDefault="00AF31ED" w:rsidP="00AF31ED">
            <w:pPr>
              <w:jc w:val="right"/>
              <w:rPr>
                <w:color w:val="000000"/>
                <w:sz w:val="6"/>
                <w:szCs w:val="6"/>
                <w:lang w:eastAsia="tr-TR"/>
              </w:rPr>
            </w:pPr>
          </w:p>
        </w:tc>
        <w:tc>
          <w:tcPr>
            <w:tcW w:w="1275" w:type="dxa"/>
            <w:tcBorders>
              <w:top w:val="single" w:sz="8" w:space="0" w:color="auto"/>
              <w:left w:val="nil"/>
              <w:right w:val="nil"/>
            </w:tcBorders>
            <w:shd w:val="clear" w:color="auto" w:fill="auto"/>
            <w:noWrap/>
            <w:vAlign w:val="center"/>
            <w:hideMark/>
          </w:tcPr>
          <w:p w14:paraId="23079DBB" w14:textId="77777777" w:rsidR="00AF31ED" w:rsidRPr="00005453" w:rsidRDefault="00AF31ED" w:rsidP="00AF31ED">
            <w:pPr>
              <w:jc w:val="right"/>
              <w:rPr>
                <w:sz w:val="6"/>
                <w:szCs w:val="6"/>
                <w:lang w:eastAsia="tr-TR"/>
              </w:rPr>
            </w:pPr>
          </w:p>
        </w:tc>
        <w:tc>
          <w:tcPr>
            <w:tcW w:w="1572" w:type="dxa"/>
            <w:tcBorders>
              <w:top w:val="single" w:sz="8" w:space="0" w:color="auto"/>
              <w:left w:val="nil"/>
              <w:right w:val="nil"/>
            </w:tcBorders>
            <w:shd w:val="clear" w:color="auto" w:fill="auto"/>
            <w:noWrap/>
            <w:vAlign w:val="center"/>
            <w:hideMark/>
          </w:tcPr>
          <w:p w14:paraId="763AE3E6" w14:textId="77777777" w:rsidR="00AF31ED" w:rsidRPr="00005453" w:rsidRDefault="00AF31ED" w:rsidP="00AF31ED">
            <w:pPr>
              <w:jc w:val="right"/>
              <w:rPr>
                <w:sz w:val="6"/>
                <w:szCs w:val="6"/>
                <w:lang w:eastAsia="tr-TR"/>
              </w:rPr>
            </w:pPr>
          </w:p>
        </w:tc>
        <w:tc>
          <w:tcPr>
            <w:tcW w:w="1163" w:type="dxa"/>
            <w:tcBorders>
              <w:top w:val="single" w:sz="8" w:space="0" w:color="auto"/>
              <w:left w:val="nil"/>
              <w:right w:val="nil"/>
            </w:tcBorders>
            <w:shd w:val="clear" w:color="auto" w:fill="auto"/>
            <w:noWrap/>
            <w:vAlign w:val="center"/>
            <w:hideMark/>
          </w:tcPr>
          <w:p w14:paraId="4C45EE02" w14:textId="77777777" w:rsidR="00AF31ED" w:rsidRPr="00005453" w:rsidRDefault="00AF31ED" w:rsidP="00AF31ED">
            <w:pPr>
              <w:jc w:val="right"/>
              <w:rPr>
                <w:sz w:val="6"/>
                <w:szCs w:val="6"/>
                <w:lang w:eastAsia="tr-TR"/>
              </w:rPr>
            </w:pPr>
          </w:p>
        </w:tc>
      </w:tr>
      <w:tr w:rsidR="00AF31ED" w:rsidRPr="00005453" w14:paraId="331EF072" w14:textId="77777777" w:rsidTr="00AF31ED">
        <w:trPr>
          <w:trHeight w:val="216"/>
        </w:trPr>
        <w:tc>
          <w:tcPr>
            <w:tcW w:w="3686" w:type="dxa"/>
            <w:tcBorders>
              <w:left w:val="nil"/>
              <w:bottom w:val="nil"/>
              <w:right w:val="nil"/>
            </w:tcBorders>
            <w:shd w:val="clear" w:color="000000" w:fill="FFFFFF"/>
            <w:noWrap/>
            <w:vAlign w:val="center"/>
            <w:hideMark/>
          </w:tcPr>
          <w:p w14:paraId="7802FA28" w14:textId="77777777" w:rsidR="00AF31ED" w:rsidRPr="00005453" w:rsidRDefault="00AF31ED" w:rsidP="00AF31ED">
            <w:pPr>
              <w:rPr>
                <w:color w:val="000000"/>
                <w:lang w:eastAsia="tr-TR"/>
              </w:rPr>
            </w:pPr>
            <w:r w:rsidRPr="00005453">
              <w:rPr>
                <w:color w:val="000000"/>
                <w:lang w:eastAsia="tr-TR"/>
              </w:rPr>
              <w:t>Kuwait Finance House</w:t>
            </w:r>
          </w:p>
        </w:tc>
        <w:tc>
          <w:tcPr>
            <w:tcW w:w="1276" w:type="dxa"/>
            <w:tcBorders>
              <w:left w:val="nil"/>
              <w:bottom w:val="nil"/>
              <w:right w:val="nil"/>
            </w:tcBorders>
            <w:shd w:val="clear" w:color="auto" w:fill="auto"/>
            <w:noWrap/>
            <w:vAlign w:val="center"/>
            <w:hideMark/>
          </w:tcPr>
          <w:p w14:paraId="2543BD41" w14:textId="77777777" w:rsidR="00AF31ED" w:rsidRPr="00005453" w:rsidRDefault="00AF31ED" w:rsidP="00AF31ED">
            <w:pPr>
              <w:jc w:val="right"/>
              <w:rPr>
                <w:color w:val="000000"/>
                <w:lang w:eastAsia="tr-TR"/>
              </w:rPr>
            </w:pPr>
            <w:r w:rsidRPr="00005453">
              <w:rPr>
                <w:color w:val="000000"/>
                <w:lang w:eastAsia="tr-TR"/>
              </w:rPr>
              <w:t>2,863,098</w:t>
            </w:r>
          </w:p>
        </w:tc>
        <w:tc>
          <w:tcPr>
            <w:tcW w:w="1275" w:type="dxa"/>
            <w:tcBorders>
              <w:left w:val="nil"/>
              <w:bottom w:val="nil"/>
              <w:right w:val="nil"/>
            </w:tcBorders>
            <w:shd w:val="clear" w:color="auto" w:fill="auto"/>
            <w:noWrap/>
            <w:vAlign w:val="center"/>
            <w:hideMark/>
          </w:tcPr>
          <w:p w14:paraId="32C02FAB" w14:textId="2C536C53" w:rsidR="00AF31ED" w:rsidRPr="00005453" w:rsidRDefault="00AF31ED" w:rsidP="00AF31ED">
            <w:pPr>
              <w:jc w:val="right"/>
              <w:rPr>
                <w:color w:val="000000"/>
                <w:lang w:eastAsia="tr-TR"/>
              </w:rPr>
            </w:pPr>
            <w:proofErr w:type="gramStart"/>
            <w:r w:rsidRPr="00005453">
              <w:rPr>
                <w:color w:val="000000"/>
                <w:lang w:eastAsia="tr-TR"/>
              </w:rPr>
              <w:t>%</w:t>
            </w:r>
            <w:r w:rsidR="00C456AE" w:rsidRPr="00005453">
              <w:rPr>
                <w:color w:val="000000"/>
                <w:lang w:eastAsia="tr-TR"/>
              </w:rPr>
              <w:t>57</w:t>
            </w:r>
            <w:r w:rsidRPr="00005453">
              <w:rPr>
                <w:color w:val="000000"/>
                <w:lang w:eastAsia="tr-TR"/>
              </w:rPr>
              <w:t>.</w:t>
            </w:r>
            <w:r w:rsidR="00C456AE" w:rsidRPr="00005453">
              <w:rPr>
                <w:color w:val="000000"/>
                <w:lang w:eastAsia="tr-TR"/>
              </w:rPr>
              <w:t>81</w:t>
            </w:r>
            <w:proofErr w:type="gramEnd"/>
          </w:p>
        </w:tc>
        <w:tc>
          <w:tcPr>
            <w:tcW w:w="1572" w:type="dxa"/>
            <w:tcBorders>
              <w:left w:val="nil"/>
              <w:bottom w:val="nil"/>
              <w:right w:val="nil"/>
            </w:tcBorders>
            <w:shd w:val="clear" w:color="auto" w:fill="auto"/>
            <w:noWrap/>
            <w:vAlign w:val="center"/>
            <w:hideMark/>
          </w:tcPr>
          <w:p w14:paraId="11F190C9" w14:textId="77777777" w:rsidR="00AF31ED" w:rsidRPr="00005453" w:rsidRDefault="00AF31ED" w:rsidP="00AF31ED">
            <w:pPr>
              <w:jc w:val="right"/>
              <w:rPr>
                <w:color w:val="000000"/>
                <w:lang w:eastAsia="tr-TR"/>
              </w:rPr>
            </w:pPr>
            <w:r w:rsidRPr="00005453">
              <w:rPr>
                <w:color w:val="000000"/>
                <w:lang w:eastAsia="tr-TR"/>
              </w:rPr>
              <w:t>2,863,098</w:t>
            </w:r>
          </w:p>
        </w:tc>
        <w:tc>
          <w:tcPr>
            <w:tcW w:w="1163" w:type="dxa"/>
            <w:tcBorders>
              <w:left w:val="nil"/>
              <w:bottom w:val="nil"/>
              <w:right w:val="nil"/>
            </w:tcBorders>
            <w:shd w:val="clear" w:color="auto" w:fill="auto"/>
            <w:noWrap/>
            <w:vAlign w:val="center"/>
            <w:hideMark/>
          </w:tcPr>
          <w:p w14:paraId="7B4C2471" w14:textId="77777777" w:rsidR="00AF31ED" w:rsidRPr="00005453" w:rsidRDefault="00AF31ED" w:rsidP="00AF31ED">
            <w:pPr>
              <w:jc w:val="right"/>
              <w:rPr>
                <w:color w:val="000000"/>
                <w:lang w:eastAsia="tr-TR"/>
              </w:rPr>
            </w:pPr>
            <w:r w:rsidRPr="00005453">
              <w:rPr>
                <w:color w:val="000000"/>
                <w:lang w:eastAsia="tr-TR"/>
              </w:rPr>
              <w:t>-</w:t>
            </w:r>
          </w:p>
        </w:tc>
      </w:tr>
      <w:tr w:rsidR="00AF31ED" w:rsidRPr="00005453" w14:paraId="1A322CB8" w14:textId="77777777" w:rsidTr="00AF31ED">
        <w:trPr>
          <w:trHeight w:val="216"/>
        </w:trPr>
        <w:tc>
          <w:tcPr>
            <w:tcW w:w="3686" w:type="dxa"/>
            <w:tcBorders>
              <w:top w:val="nil"/>
              <w:left w:val="nil"/>
              <w:bottom w:val="nil"/>
              <w:right w:val="nil"/>
            </w:tcBorders>
            <w:shd w:val="clear" w:color="000000" w:fill="FFFFFF"/>
            <w:noWrap/>
            <w:vAlign w:val="center"/>
            <w:hideMark/>
          </w:tcPr>
          <w:p w14:paraId="44FB26BF" w14:textId="77777777" w:rsidR="00AF31ED" w:rsidRPr="00005453" w:rsidRDefault="00AF31ED" w:rsidP="00AF31ED">
            <w:pPr>
              <w:rPr>
                <w:color w:val="000000"/>
                <w:lang w:eastAsia="tr-TR"/>
              </w:rPr>
            </w:pPr>
            <w:r w:rsidRPr="00005453">
              <w:rPr>
                <w:color w:val="000000"/>
                <w:lang w:eastAsia="tr-TR"/>
              </w:rPr>
              <w:t>T.C. Vakıflar Genel Müdürlüğü</w:t>
            </w:r>
          </w:p>
        </w:tc>
        <w:tc>
          <w:tcPr>
            <w:tcW w:w="1276" w:type="dxa"/>
            <w:tcBorders>
              <w:top w:val="nil"/>
              <w:left w:val="nil"/>
              <w:bottom w:val="nil"/>
              <w:right w:val="nil"/>
            </w:tcBorders>
            <w:shd w:val="clear" w:color="auto" w:fill="auto"/>
            <w:noWrap/>
            <w:vAlign w:val="center"/>
            <w:hideMark/>
          </w:tcPr>
          <w:p w14:paraId="720A455A" w14:textId="15AB1415" w:rsidR="00AF31ED" w:rsidRPr="00005453" w:rsidRDefault="005F39B5" w:rsidP="00AF31ED">
            <w:pPr>
              <w:jc w:val="right"/>
              <w:rPr>
                <w:color w:val="000000"/>
                <w:lang w:eastAsia="tr-TR"/>
              </w:rPr>
            </w:pPr>
            <w:r w:rsidRPr="00005453">
              <w:rPr>
                <w:color w:val="000000"/>
                <w:lang w:eastAsia="tr-TR"/>
              </w:rPr>
              <w:t>1,212</w:t>
            </w:r>
            <w:r w:rsidR="00AF31ED" w:rsidRPr="00005453">
              <w:rPr>
                <w:color w:val="000000"/>
                <w:lang w:eastAsia="tr-TR"/>
              </w:rPr>
              <w:t>,</w:t>
            </w:r>
            <w:r w:rsidRPr="00005453">
              <w:rPr>
                <w:color w:val="000000"/>
                <w:lang w:eastAsia="tr-TR"/>
              </w:rPr>
              <w:t>608</w:t>
            </w:r>
          </w:p>
        </w:tc>
        <w:tc>
          <w:tcPr>
            <w:tcW w:w="1275" w:type="dxa"/>
            <w:tcBorders>
              <w:top w:val="nil"/>
              <w:left w:val="nil"/>
              <w:bottom w:val="nil"/>
              <w:right w:val="nil"/>
            </w:tcBorders>
            <w:shd w:val="clear" w:color="auto" w:fill="auto"/>
            <w:noWrap/>
            <w:vAlign w:val="center"/>
            <w:hideMark/>
          </w:tcPr>
          <w:p w14:paraId="0F1370FB" w14:textId="1199498D" w:rsidR="00AF31ED" w:rsidRPr="00005453" w:rsidRDefault="00AF31ED" w:rsidP="00AF31ED">
            <w:pPr>
              <w:jc w:val="right"/>
              <w:rPr>
                <w:color w:val="000000"/>
                <w:lang w:eastAsia="tr-TR"/>
              </w:rPr>
            </w:pPr>
            <w:r w:rsidRPr="00005453">
              <w:rPr>
                <w:color w:val="000000"/>
                <w:lang w:eastAsia="tr-TR"/>
              </w:rPr>
              <w:t>%</w:t>
            </w:r>
            <w:r w:rsidR="00C456AE" w:rsidRPr="00005453">
              <w:rPr>
                <w:color w:val="000000"/>
                <w:lang w:eastAsia="tr-TR"/>
              </w:rPr>
              <w:t>24</w:t>
            </w:r>
            <w:r w:rsidRPr="00005453">
              <w:rPr>
                <w:color w:val="000000"/>
                <w:lang w:eastAsia="tr-TR"/>
              </w:rPr>
              <w:t>.</w:t>
            </w:r>
            <w:r w:rsidR="00C456AE" w:rsidRPr="00005453">
              <w:rPr>
                <w:color w:val="000000"/>
                <w:lang w:eastAsia="tr-TR"/>
              </w:rPr>
              <w:t>49</w:t>
            </w:r>
          </w:p>
        </w:tc>
        <w:tc>
          <w:tcPr>
            <w:tcW w:w="1572" w:type="dxa"/>
            <w:tcBorders>
              <w:top w:val="nil"/>
              <w:left w:val="nil"/>
              <w:bottom w:val="nil"/>
              <w:right w:val="nil"/>
            </w:tcBorders>
            <w:shd w:val="clear" w:color="auto" w:fill="auto"/>
            <w:noWrap/>
            <w:vAlign w:val="center"/>
            <w:hideMark/>
          </w:tcPr>
          <w:p w14:paraId="77E1F438" w14:textId="60F6DC54" w:rsidR="00AF31ED" w:rsidRPr="00005453" w:rsidRDefault="005F39B5" w:rsidP="00AF31ED">
            <w:pPr>
              <w:jc w:val="right"/>
              <w:rPr>
                <w:color w:val="000000"/>
                <w:lang w:eastAsia="tr-TR"/>
              </w:rPr>
            </w:pPr>
            <w:r w:rsidRPr="00005453">
              <w:rPr>
                <w:color w:val="000000"/>
                <w:lang w:eastAsia="tr-TR"/>
              </w:rPr>
              <w:t>1,212</w:t>
            </w:r>
            <w:r w:rsidR="00AF31ED" w:rsidRPr="00005453">
              <w:rPr>
                <w:color w:val="000000"/>
                <w:lang w:eastAsia="tr-TR"/>
              </w:rPr>
              <w:t>,</w:t>
            </w:r>
            <w:r w:rsidRPr="00005453">
              <w:rPr>
                <w:color w:val="000000"/>
                <w:lang w:eastAsia="tr-TR"/>
              </w:rPr>
              <w:t>608</w:t>
            </w:r>
          </w:p>
        </w:tc>
        <w:tc>
          <w:tcPr>
            <w:tcW w:w="1163" w:type="dxa"/>
            <w:tcBorders>
              <w:top w:val="nil"/>
              <w:left w:val="nil"/>
              <w:bottom w:val="nil"/>
              <w:right w:val="nil"/>
            </w:tcBorders>
            <w:shd w:val="clear" w:color="auto" w:fill="auto"/>
            <w:noWrap/>
            <w:vAlign w:val="center"/>
            <w:hideMark/>
          </w:tcPr>
          <w:p w14:paraId="3262FA89" w14:textId="77777777" w:rsidR="00AF31ED" w:rsidRPr="00005453" w:rsidRDefault="00AF31ED" w:rsidP="00AF31ED">
            <w:pPr>
              <w:jc w:val="right"/>
              <w:rPr>
                <w:color w:val="000000"/>
                <w:lang w:eastAsia="tr-TR"/>
              </w:rPr>
            </w:pPr>
            <w:r w:rsidRPr="00005453">
              <w:rPr>
                <w:color w:val="000000"/>
                <w:lang w:eastAsia="tr-TR"/>
              </w:rPr>
              <w:t>-</w:t>
            </w:r>
          </w:p>
        </w:tc>
      </w:tr>
      <w:tr w:rsidR="00AF31ED" w:rsidRPr="00005453" w14:paraId="693FC445" w14:textId="77777777" w:rsidTr="00AF31ED">
        <w:trPr>
          <w:trHeight w:val="57"/>
        </w:trPr>
        <w:tc>
          <w:tcPr>
            <w:tcW w:w="3686" w:type="dxa"/>
            <w:tcBorders>
              <w:top w:val="nil"/>
              <w:left w:val="nil"/>
              <w:bottom w:val="single" w:sz="8" w:space="0" w:color="auto"/>
              <w:right w:val="nil"/>
            </w:tcBorders>
            <w:shd w:val="clear" w:color="000000" w:fill="FFFFFF"/>
            <w:noWrap/>
            <w:vAlign w:val="center"/>
            <w:hideMark/>
          </w:tcPr>
          <w:p w14:paraId="11EA453F" w14:textId="77777777" w:rsidR="00AF31ED" w:rsidRPr="00005453" w:rsidRDefault="00AF31ED" w:rsidP="00AF31ED">
            <w:pPr>
              <w:rPr>
                <w:b/>
                <w:bCs/>
                <w:color w:val="000000"/>
                <w:sz w:val="6"/>
                <w:szCs w:val="6"/>
                <w:lang w:eastAsia="tr-TR"/>
              </w:rPr>
            </w:pPr>
            <w:r w:rsidRPr="00005453">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636F306A" w14:textId="77777777" w:rsidR="00AF31ED" w:rsidRPr="00005453" w:rsidRDefault="00AF31ED" w:rsidP="00AF31ED">
            <w:pPr>
              <w:jc w:val="right"/>
              <w:rPr>
                <w:b/>
                <w:bCs/>
                <w:color w:val="000000"/>
                <w:sz w:val="6"/>
                <w:szCs w:val="6"/>
                <w:lang w:eastAsia="tr-TR"/>
              </w:rPr>
            </w:pPr>
            <w:r w:rsidRPr="00005453">
              <w:rPr>
                <w:b/>
                <w:bCs/>
                <w:color w:val="000000"/>
                <w:sz w:val="6"/>
                <w:szCs w:val="6"/>
                <w:lang w:eastAsia="tr-TR"/>
              </w:rPr>
              <w:t> </w:t>
            </w:r>
          </w:p>
        </w:tc>
        <w:tc>
          <w:tcPr>
            <w:tcW w:w="1275" w:type="dxa"/>
            <w:tcBorders>
              <w:top w:val="nil"/>
              <w:left w:val="nil"/>
              <w:bottom w:val="single" w:sz="8" w:space="0" w:color="auto"/>
              <w:right w:val="nil"/>
            </w:tcBorders>
            <w:shd w:val="clear" w:color="auto" w:fill="auto"/>
            <w:noWrap/>
            <w:vAlign w:val="center"/>
            <w:hideMark/>
          </w:tcPr>
          <w:p w14:paraId="3BA14AFE" w14:textId="77777777" w:rsidR="00AF31ED" w:rsidRPr="00005453" w:rsidRDefault="00AF31ED" w:rsidP="00AF31ED">
            <w:pPr>
              <w:jc w:val="right"/>
              <w:rPr>
                <w:b/>
                <w:bCs/>
                <w:color w:val="000000"/>
                <w:sz w:val="6"/>
                <w:szCs w:val="6"/>
                <w:lang w:eastAsia="tr-TR"/>
              </w:rPr>
            </w:pPr>
            <w:r w:rsidRPr="00005453">
              <w:rPr>
                <w:b/>
                <w:bCs/>
                <w:color w:val="000000"/>
                <w:sz w:val="6"/>
                <w:szCs w:val="6"/>
                <w:lang w:eastAsia="tr-TR"/>
              </w:rPr>
              <w:t> </w:t>
            </w:r>
          </w:p>
        </w:tc>
        <w:tc>
          <w:tcPr>
            <w:tcW w:w="1572" w:type="dxa"/>
            <w:tcBorders>
              <w:top w:val="nil"/>
              <w:left w:val="nil"/>
              <w:bottom w:val="single" w:sz="8" w:space="0" w:color="auto"/>
              <w:right w:val="nil"/>
            </w:tcBorders>
            <w:shd w:val="clear" w:color="auto" w:fill="auto"/>
            <w:noWrap/>
            <w:vAlign w:val="center"/>
            <w:hideMark/>
          </w:tcPr>
          <w:p w14:paraId="35C6CF1C" w14:textId="77777777" w:rsidR="00AF31ED" w:rsidRPr="00005453" w:rsidRDefault="00AF31ED" w:rsidP="00AF31ED">
            <w:pPr>
              <w:jc w:val="right"/>
              <w:rPr>
                <w:b/>
                <w:bCs/>
                <w:color w:val="000000"/>
                <w:sz w:val="6"/>
                <w:szCs w:val="6"/>
                <w:lang w:eastAsia="tr-TR"/>
              </w:rPr>
            </w:pPr>
            <w:r w:rsidRPr="00005453">
              <w:rPr>
                <w:b/>
                <w:bCs/>
                <w:color w:val="000000"/>
                <w:sz w:val="6"/>
                <w:szCs w:val="6"/>
                <w:lang w:eastAsia="tr-TR"/>
              </w:rPr>
              <w:t> </w:t>
            </w:r>
          </w:p>
        </w:tc>
        <w:tc>
          <w:tcPr>
            <w:tcW w:w="1163" w:type="dxa"/>
            <w:tcBorders>
              <w:top w:val="nil"/>
              <w:left w:val="nil"/>
              <w:bottom w:val="single" w:sz="8" w:space="0" w:color="auto"/>
              <w:right w:val="nil"/>
            </w:tcBorders>
            <w:shd w:val="clear" w:color="auto" w:fill="auto"/>
            <w:noWrap/>
            <w:vAlign w:val="center"/>
            <w:hideMark/>
          </w:tcPr>
          <w:p w14:paraId="27044109" w14:textId="77777777" w:rsidR="00AF31ED" w:rsidRPr="00005453" w:rsidRDefault="00AF31ED" w:rsidP="00AF31ED">
            <w:pPr>
              <w:jc w:val="right"/>
              <w:rPr>
                <w:b/>
                <w:bCs/>
                <w:color w:val="000000"/>
                <w:sz w:val="6"/>
                <w:szCs w:val="6"/>
                <w:lang w:eastAsia="tr-TR"/>
              </w:rPr>
            </w:pPr>
            <w:r w:rsidRPr="00005453">
              <w:rPr>
                <w:b/>
                <w:bCs/>
                <w:color w:val="000000"/>
                <w:sz w:val="6"/>
                <w:szCs w:val="6"/>
                <w:lang w:eastAsia="tr-TR"/>
              </w:rPr>
              <w:t> </w:t>
            </w:r>
          </w:p>
        </w:tc>
      </w:tr>
      <w:tr w:rsidR="00AF31ED" w:rsidRPr="00005453" w14:paraId="43E28293" w14:textId="77777777" w:rsidTr="00AF31ED">
        <w:trPr>
          <w:trHeight w:val="226"/>
        </w:trPr>
        <w:tc>
          <w:tcPr>
            <w:tcW w:w="3686" w:type="dxa"/>
            <w:tcBorders>
              <w:top w:val="nil"/>
              <w:left w:val="nil"/>
              <w:bottom w:val="double" w:sz="6" w:space="0" w:color="auto"/>
              <w:right w:val="nil"/>
            </w:tcBorders>
            <w:shd w:val="clear" w:color="000000" w:fill="FFFFFF"/>
            <w:noWrap/>
            <w:vAlign w:val="center"/>
            <w:hideMark/>
          </w:tcPr>
          <w:p w14:paraId="4E596847" w14:textId="77777777" w:rsidR="00AF31ED" w:rsidRPr="00005453" w:rsidRDefault="00AF31ED" w:rsidP="00AF31ED">
            <w:pPr>
              <w:rPr>
                <w:b/>
                <w:bCs/>
                <w:color w:val="000000"/>
                <w:lang w:eastAsia="tr-TR"/>
              </w:rPr>
            </w:pPr>
            <w:r w:rsidRPr="00005453">
              <w:rPr>
                <w:b/>
                <w:bCs/>
                <w:color w:val="000000"/>
                <w:lang w:eastAsia="tr-TR"/>
              </w:rPr>
              <w:t>Toplam</w:t>
            </w:r>
          </w:p>
        </w:tc>
        <w:tc>
          <w:tcPr>
            <w:tcW w:w="1276" w:type="dxa"/>
            <w:tcBorders>
              <w:top w:val="nil"/>
              <w:left w:val="nil"/>
              <w:bottom w:val="double" w:sz="6" w:space="0" w:color="auto"/>
              <w:right w:val="nil"/>
            </w:tcBorders>
            <w:shd w:val="clear" w:color="auto" w:fill="auto"/>
            <w:noWrap/>
            <w:vAlign w:val="center"/>
            <w:hideMark/>
          </w:tcPr>
          <w:p w14:paraId="57024422" w14:textId="76F85699" w:rsidR="00AF31ED" w:rsidRPr="00005453" w:rsidRDefault="005F39B5" w:rsidP="00AF31ED">
            <w:pPr>
              <w:jc w:val="right"/>
              <w:rPr>
                <w:b/>
                <w:bCs/>
                <w:color w:val="000000"/>
                <w:lang w:eastAsia="tr-TR"/>
              </w:rPr>
            </w:pPr>
            <w:r w:rsidRPr="00005453">
              <w:rPr>
                <w:b/>
                <w:bCs/>
                <w:color w:val="000000"/>
                <w:lang w:eastAsia="tr-TR"/>
              </w:rPr>
              <w:t>4</w:t>
            </w:r>
            <w:r w:rsidR="00AF31ED" w:rsidRPr="00005453">
              <w:rPr>
                <w:b/>
                <w:bCs/>
                <w:color w:val="000000"/>
                <w:lang w:eastAsia="tr-TR"/>
              </w:rPr>
              <w:t>,</w:t>
            </w:r>
            <w:r w:rsidRPr="00005453">
              <w:rPr>
                <w:b/>
                <w:bCs/>
                <w:color w:val="000000"/>
                <w:lang w:eastAsia="tr-TR"/>
              </w:rPr>
              <w:t>075</w:t>
            </w:r>
            <w:r w:rsidR="00AF31ED" w:rsidRPr="00005453">
              <w:rPr>
                <w:b/>
                <w:bCs/>
                <w:color w:val="000000"/>
                <w:lang w:eastAsia="tr-TR"/>
              </w:rPr>
              <w:t>,</w:t>
            </w:r>
            <w:r w:rsidRPr="00005453">
              <w:rPr>
                <w:b/>
                <w:bCs/>
                <w:color w:val="000000"/>
                <w:lang w:eastAsia="tr-TR"/>
              </w:rPr>
              <w:t>706</w:t>
            </w:r>
          </w:p>
        </w:tc>
        <w:tc>
          <w:tcPr>
            <w:tcW w:w="1275" w:type="dxa"/>
            <w:tcBorders>
              <w:top w:val="nil"/>
              <w:left w:val="nil"/>
              <w:bottom w:val="double" w:sz="6" w:space="0" w:color="auto"/>
              <w:right w:val="nil"/>
            </w:tcBorders>
            <w:shd w:val="clear" w:color="auto" w:fill="auto"/>
            <w:noWrap/>
            <w:vAlign w:val="center"/>
            <w:hideMark/>
          </w:tcPr>
          <w:p w14:paraId="0CFCAC1D" w14:textId="24F34B0D" w:rsidR="00AF31ED" w:rsidRPr="00005453" w:rsidRDefault="00AF31ED" w:rsidP="00AF31ED">
            <w:pPr>
              <w:jc w:val="right"/>
              <w:rPr>
                <w:b/>
                <w:bCs/>
                <w:color w:val="000000"/>
                <w:lang w:eastAsia="tr-TR"/>
              </w:rPr>
            </w:pPr>
            <w:proofErr w:type="gramStart"/>
            <w:r w:rsidRPr="00005453">
              <w:rPr>
                <w:b/>
                <w:bCs/>
                <w:color w:val="000000"/>
                <w:lang w:eastAsia="tr-TR"/>
              </w:rPr>
              <w:t>%8</w:t>
            </w:r>
            <w:r w:rsidR="00C456AE" w:rsidRPr="00005453">
              <w:rPr>
                <w:b/>
                <w:bCs/>
                <w:color w:val="000000"/>
                <w:lang w:eastAsia="tr-TR"/>
              </w:rPr>
              <w:t>2</w:t>
            </w:r>
            <w:r w:rsidRPr="00005453">
              <w:rPr>
                <w:b/>
                <w:bCs/>
                <w:color w:val="000000"/>
                <w:lang w:eastAsia="tr-TR"/>
              </w:rPr>
              <w:t>.</w:t>
            </w:r>
            <w:r w:rsidR="00C456AE" w:rsidRPr="00005453">
              <w:rPr>
                <w:b/>
                <w:bCs/>
                <w:color w:val="000000"/>
                <w:lang w:eastAsia="tr-TR"/>
              </w:rPr>
              <w:t>3</w:t>
            </w:r>
            <w:proofErr w:type="gramEnd"/>
          </w:p>
        </w:tc>
        <w:tc>
          <w:tcPr>
            <w:tcW w:w="1572" w:type="dxa"/>
            <w:tcBorders>
              <w:top w:val="nil"/>
              <w:left w:val="nil"/>
              <w:bottom w:val="double" w:sz="6" w:space="0" w:color="auto"/>
              <w:right w:val="nil"/>
            </w:tcBorders>
            <w:shd w:val="clear" w:color="auto" w:fill="auto"/>
            <w:noWrap/>
            <w:vAlign w:val="center"/>
            <w:hideMark/>
          </w:tcPr>
          <w:p w14:paraId="54638D41" w14:textId="0FC2EAD1" w:rsidR="00AF31ED" w:rsidRPr="00005453" w:rsidRDefault="005F39B5" w:rsidP="00AF31ED">
            <w:pPr>
              <w:jc w:val="right"/>
              <w:rPr>
                <w:b/>
                <w:bCs/>
                <w:color w:val="000000"/>
                <w:lang w:eastAsia="tr-TR"/>
              </w:rPr>
            </w:pPr>
            <w:r w:rsidRPr="00005453">
              <w:rPr>
                <w:b/>
                <w:bCs/>
                <w:color w:val="000000"/>
                <w:lang w:eastAsia="tr-TR"/>
              </w:rPr>
              <w:t>4</w:t>
            </w:r>
            <w:r w:rsidR="00AF31ED" w:rsidRPr="00005453">
              <w:rPr>
                <w:b/>
                <w:bCs/>
                <w:color w:val="000000"/>
                <w:lang w:eastAsia="tr-TR"/>
              </w:rPr>
              <w:t>,</w:t>
            </w:r>
            <w:r w:rsidRPr="00005453">
              <w:rPr>
                <w:b/>
                <w:bCs/>
                <w:color w:val="000000"/>
                <w:lang w:eastAsia="tr-TR"/>
              </w:rPr>
              <w:t>075</w:t>
            </w:r>
            <w:r w:rsidR="00AF31ED" w:rsidRPr="00005453">
              <w:rPr>
                <w:b/>
                <w:bCs/>
                <w:color w:val="000000"/>
                <w:lang w:eastAsia="tr-TR"/>
              </w:rPr>
              <w:t>,</w:t>
            </w:r>
            <w:r w:rsidRPr="00005453">
              <w:rPr>
                <w:b/>
                <w:bCs/>
                <w:color w:val="000000"/>
                <w:lang w:eastAsia="tr-TR"/>
              </w:rPr>
              <w:t>706</w:t>
            </w:r>
          </w:p>
        </w:tc>
        <w:tc>
          <w:tcPr>
            <w:tcW w:w="1163" w:type="dxa"/>
            <w:tcBorders>
              <w:top w:val="nil"/>
              <w:left w:val="nil"/>
              <w:bottom w:val="double" w:sz="6" w:space="0" w:color="auto"/>
              <w:right w:val="nil"/>
            </w:tcBorders>
            <w:shd w:val="clear" w:color="auto" w:fill="auto"/>
            <w:noWrap/>
            <w:vAlign w:val="center"/>
            <w:hideMark/>
          </w:tcPr>
          <w:p w14:paraId="0A2EE3B6" w14:textId="77777777" w:rsidR="00AF31ED" w:rsidRPr="00005453" w:rsidRDefault="00AF31ED" w:rsidP="00AF31ED">
            <w:pPr>
              <w:jc w:val="right"/>
              <w:rPr>
                <w:color w:val="000000"/>
                <w:lang w:eastAsia="tr-TR"/>
              </w:rPr>
            </w:pPr>
            <w:r w:rsidRPr="00005453">
              <w:rPr>
                <w:color w:val="000000"/>
                <w:lang w:eastAsia="tr-TR"/>
              </w:rPr>
              <w:t>-</w:t>
            </w:r>
          </w:p>
        </w:tc>
      </w:tr>
    </w:tbl>
    <w:p w14:paraId="52F20442" w14:textId="50A2B215" w:rsidR="00584973" w:rsidRPr="00005453" w:rsidRDefault="00584973" w:rsidP="00134A72">
      <w:pPr>
        <w:pStyle w:val="BodyText"/>
        <w:autoSpaceDE/>
        <w:autoSpaceDN/>
        <w:adjustRightInd/>
        <w:jc w:val="left"/>
        <w:rPr>
          <w:sz w:val="16"/>
          <w:szCs w:val="16"/>
        </w:rPr>
      </w:pPr>
    </w:p>
    <w:p w14:paraId="0C96AEA4" w14:textId="7F807F2B" w:rsidR="00723A3F" w:rsidRPr="00005453" w:rsidRDefault="00723A3F" w:rsidP="00723A3F">
      <w:pPr>
        <w:pStyle w:val="BodyText"/>
      </w:pPr>
      <w:r w:rsidRPr="00005453">
        <w:t>31 Aralık 202</w:t>
      </w:r>
      <w:r w:rsidR="00BA04A2" w:rsidRPr="00005453">
        <w:t>4</w:t>
      </w:r>
      <w:r w:rsidR="00C0703C" w:rsidRPr="00005453">
        <w:t xml:space="preserve"> </w:t>
      </w:r>
      <w:r w:rsidRPr="00005453">
        <w:t>itibarıyla Banka’nın ana ortağı Kuwait Finance House’un ortaklık yapısı aşağıdaki gibidir.</w:t>
      </w:r>
    </w:p>
    <w:p w14:paraId="3207B8C0" w14:textId="77777777" w:rsidR="00723A3F" w:rsidRPr="00005453" w:rsidRDefault="00723A3F" w:rsidP="00723A3F">
      <w:pPr>
        <w:pStyle w:val="BodyText"/>
        <w:rPr>
          <w:sz w:val="16"/>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723A3F" w:rsidRPr="00005453" w14:paraId="6AC2A0ED" w14:textId="77777777" w:rsidTr="00723A3F">
        <w:trPr>
          <w:trHeight w:val="252"/>
        </w:trPr>
        <w:tc>
          <w:tcPr>
            <w:tcW w:w="7010" w:type="dxa"/>
            <w:vMerge w:val="restart"/>
            <w:tcBorders>
              <w:top w:val="single" w:sz="8" w:space="0" w:color="auto"/>
              <w:left w:val="nil"/>
              <w:bottom w:val="single" w:sz="8" w:space="0" w:color="000000"/>
              <w:right w:val="nil"/>
            </w:tcBorders>
            <w:shd w:val="clear" w:color="000000" w:fill="FFFFFF"/>
            <w:noWrap/>
            <w:vAlign w:val="center"/>
            <w:hideMark/>
          </w:tcPr>
          <w:p w14:paraId="2C0344AB" w14:textId="77777777" w:rsidR="00723A3F" w:rsidRPr="00005453" w:rsidRDefault="00723A3F" w:rsidP="00BC54FD">
            <w:pPr>
              <w:rPr>
                <w:b/>
                <w:bCs/>
                <w:color w:val="000000"/>
                <w:lang w:eastAsia="tr-TR"/>
              </w:rPr>
            </w:pPr>
            <w:r w:rsidRPr="00005453">
              <w:rPr>
                <w:b/>
                <w:bCs/>
                <w:color w:val="000000"/>
                <w:lang w:eastAsia="tr-TR"/>
              </w:rPr>
              <w:t>Ad soyad/Ticari ünvanı</w:t>
            </w:r>
          </w:p>
        </w:tc>
        <w:tc>
          <w:tcPr>
            <w:tcW w:w="1991" w:type="dxa"/>
            <w:vMerge w:val="restart"/>
            <w:tcBorders>
              <w:top w:val="single" w:sz="8" w:space="0" w:color="auto"/>
              <w:left w:val="nil"/>
              <w:bottom w:val="nil"/>
              <w:right w:val="nil"/>
            </w:tcBorders>
            <w:shd w:val="clear" w:color="000000" w:fill="FFFFFF"/>
            <w:noWrap/>
            <w:vAlign w:val="center"/>
            <w:hideMark/>
          </w:tcPr>
          <w:p w14:paraId="5F4B260B" w14:textId="77777777" w:rsidR="00723A3F" w:rsidRPr="00005453" w:rsidRDefault="00723A3F" w:rsidP="00BC54FD">
            <w:pPr>
              <w:jc w:val="right"/>
              <w:rPr>
                <w:b/>
                <w:bCs/>
                <w:color w:val="000000"/>
                <w:lang w:eastAsia="tr-TR"/>
              </w:rPr>
            </w:pPr>
            <w:r w:rsidRPr="00005453">
              <w:rPr>
                <w:b/>
                <w:bCs/>
                <w:color w:val="000000"/>
                <w:lang w:eastAsia="tr-TR"/>
              </w:rPr>
              <w:t>Pay oranları</w:t>
            </w:r>
          </w:p>
        </w:tc>
      </w:tr>
      <w:tr w:rsidR="00723A3F" w:rsidRPr="00005453" w14:paraId="70FBFD75" w14:textId="77777777" w:rsidTr="00BD1BED">
        <w:trPr>
          <w:trHeight w:val="230"/>
        </w:trPr>
        <w:tc>
          <w:tcPr>
            <w:tcW w:w="7010" w:type="dxa"/>
            <w:vMerge/>
            <w:tcBorders>
              <w:top w:val="single" w:sz="8" w:space="0" w:color="auto"/>
              <w:left w:val="nil"/>
              <w:bottom w:val="single" w:sz="8" w:space="0" w:color="000000"/>
              <w:right w:val="nil"/>
            </w:tcBorders>
            <w:vAlign w:val="center"/>
            <w:hideMark/>
          </w:tcPr>
          <w:p w14:paraId="47A48774" w14:textId="77777777" w:rsidR="00723A3F" w:rsidRPr="00005453" w:rsidRDefault="00723A3F" w:rsidP="00BC54FD">
            <w:pPr>
              <w:rPr>
                <w:b/>
                <w:bCs/>
                <w:color w:val="000000"/>
                <w:lang w:eastAsia="tr-TR"/>
              </w:rPr>
            </w:pPr>
          </w:p>
        </w:tc>
        <w:tc>
          <w:tcPr>
            <w:tcW w:w="1991" w:type="dxa"/>
            <w:vMerge/>
            <w:tcBorders>
              <w:top w:val="nil"/>
              <w:left w:val="nil"/>
              <w:bottom w:val="single" w:sz="8" w:space="0" w:color="auto"/>
              <w:right w:val="nil"/>
            </w:tcBorders>
            <w:shd w:val="clear" w:color="000000" w:fill="FFFFFF"/>
            <w:vAlign w:val="center"/>
            <w:hideMark/>
          </w:tcPr>
          <w:p w14:paraId="61F4266C" w14:textId="77777777" w:rsidR="00723A3F" w:rsidRPr="00005453" w:rsidRDefault="00723A3F" w:rsidP="00BC54FD">
            <w:pPr>
              <w:jc w:val="right"/>
              <w:rPr>
                <w:b/>
                <w:bCs/>
                <w:color w:val="000000"/>
                <w:lang w:eastAsia="tr-TR"/>
              </w:rPr>
            </w:pPr>
          </w:p>
        </w:tc>
      </w:tr>
      <w:tr w:rsidR="00723A3F" w:rsidRPr="00005453" w14:paraId="6A7DF128" w14:textId="77777777" w:rsidTr="003161D5">
        <w:trPr>
          <w:trHeight w:val="40"/>
        </w:trPr>
        <w:tc>
          <w:tcPr>
            <w:tcW w:w="7010" w:type="dxa"/>
            <w:tcBorders>
              <w:top w:val="nil"/>
              <w:left w:val="nil"/>
              <w:bottom w:val="nil"/>
              <w:right w:val="nil"/>
            </w:tcBorders>
            <w:shd w:val="clear" w:color="000000" w:fill="FFFFFF"/>
            <w:noWrap/>
            <w:vAlign w:val="center"/>
            <w:hideMark/>
          </w:tcPr>
          <w:p w14:paraId="0E37680B" w14:textId="044844A0" w:rsidR="00723A3F" w:rsidRPr="00005453" w:rsidRDefault="00723A3F" w:rsidP="00BC54FD">
            <w:pPr>
              <w:rPr>
                <w:color w:val="000000"/>
                <w:sz w:val="8"/>
                <w:szCs w:val="8"/>
                <w:lang w:eastAsia="tr-TR"/>
              </w:rPr>
            </w:pPr>
          </w:p>
        </w:tc>
        <w:tc>
          <w:tcPr>
            <w:tcW w:w="1991" w:type="dxa"/>
            <w:tcBorders>
              <w:top w:val="nil"/>
              <w:left w:val="nil"/>
              <w:bottom w:val="nil"/>
              <w:right w:val="nil"/>
            </w:tcBorders>
            <w:shd w:val="clear" w:color="auto" w:fill="auto"/>
            <w:noWrap/>
            <w:vAlign w:val="center"/>
            <w:hideMark/>
          </w:tcPr>
          <w:p w14:paraId="3BE4D8D5" w14:textId="77777777" w:rsidR="00723A3F" w:rsidRPr="00005453" w:rsidRDefault="00723A3F" w:rsidP="00BC54FD">
            <w:pPr>
              <w:jc w:val="right"/>
              <w:rPr>
                <w:sz w:val="8"/>
                <w:szCs w:val="8"/>
                <w:lang w:eastAsia="tr-TR"/>
              </w:rPr>
            </w:pPr>
          </w:p>
        </w:tc>
      </w:tr>
      <w:tr w:rsidR="007525EF" w:rsidRPr="00005453" w14:paraId="2C989B53" w14:textId="77777777" w:rsidTr="00FC7AE9">
        <w:trPr>
          <w:trHeight w:val="238"/>
        </w:trPr>
        <w:tc>
          <w:tcPr>
            <w:tcW w:w="7010" w:type="dxa"/>
            <w:tcBorders>
              <w:top w:val="nil"/>
              <w:left w:val="nil"/>
              <w:bottom w:val="nil"/>
              <w:right w:val="nil"/>
            </w:tcBorders>
            <w:shd w:val="clear" w:color="000000" w:fill="FFFFFF"/>
            <w:noWrap/>
            <w:vAlign w:val="center"/>
          </w:tcPr>
          <w:p w14:paraId="041CB033" w14:textId="77777777" w:rsidR="007525EF" w:rsidRPr="00005453" w:rsidRDefault="007525EF" w:rsidP="00FC7AE9">
            <w:pPr>
              <w:rPr>
                <w:color w:val="000000"/>
                <w:lang w:eastAsia="tr-TR"/>
              </w:rPr>
            </w:pPr>
            <w:r w:rsidRPr="00005453">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5BA03831" w14:textId="59DFC5AC" w:rsidR="007525EF" w:rsidRPr="00005453" w:rsidRDefault="007525EF" w:rsidP="00FC7AE9">
            <w:pPr>
              <w:jc w:val="right"/>
              <w:rPr>
                <w:color w:val="000000"/>
                <w:lang w:eastAsia="tr-TR"/>
              </w:rPr>
            </w:pPr>
            <w:proofErr w:type="gramStart"/>
            <w:r w:rsidRPr="00005453">
              <w:rPr>
                <w:color w:val="000000"/>
                <w:lang w:eastAsia="tr-TR"/>
              </w:rPr>
              <w:t>%1</w:t>
            </w:r>
            <w:r w:rsidR="005F39B5" w:rsidRPr="00005453">
              <w:rPr>
                <w:color w:val="000000"/>
                <w:lang w:eastAsia="tr-TR"/>
              </w:rPr>
              <w:t>5</w:t>
            </w:r>
            <w:r w:rsidRPr="00005453">
              <w:rPr>
                <w:color w:val="000000"/>
                <w:lang w:eastAsia="tr-TR"/>
              </w:rPr>
              <w:t>.</w:t>
            </w:r>
            <w:r w:rsidR="005F39B5" w:rsidRPr="00005453">
              <w:rPr>
                <w:color w:val="000000"/>
                <w:lang w:eastAsia="tr-TR"/>
              </w:rPr>
              <w:t>67</w:t>
            </w:r>
            <w:proofErr w:type="gramEnd"/>
          </w:p>
        </w:tc>
      </w:tr>
      <w:tr w:rsidR="007525EF" w:rsidRPr="00005453" w14:paraId="4430C3A2" w14:textId="77777777" w:rsidTr="00FC7AE9">
        <w:trPr>
          <w:trHeight w:val="238"/>
        </w:trPr>
        <w:tc>
          <w:tcPr>
            <w:tcW w:w="7010" w:type="dxa"/>
            <w:tcBorders>
              <w:top w:val="nil"/>
              <w:left w:val="nil"/>
              <w:bottom w:val="nil"/>
              <w:right w:val="nil"/>
            </w:tcBorders>
            <w:shd w:val="clear" w:color="000000" w:fill="FFFFFF"/>
            <w:noWrap/>
            <w:vAlign w:val="center"/>
            <w:hideMark/>
          </w:tcPr>
          <w:p w14:paraId="3C607A4F" w14:textId="77777777" w:rsidR="007525EF" w:rsidRPr="00005453" w:rsidRDefault="007525EF" w:rsidP="00FC7AE9">
            <w:pPr>
              <w:rPr>
                <w:color w:val="000000"/>
                <w:lang w:eastAsia="tr-TR"/>
              </w:rPr>
            </w:pPr>
            <w:r w:rsidRPr="00005453">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5C40FCD8" w14:textId="3F8E1524" w:rsidR="007525EF" w:rsidRPr="00005453" w:rsidRDefault="007525EF" w:rsidP="00FC7AE9">
            <w:pPr>
              <w:jc w:val="right"/>
              <w:rPr>
                <w:color w:val="000000"/>
                <w:lang w:eastAsia="tr-TR"/>
              </w:rPr>
            </w:pPr>
            <w:r w:rsidRPr="00005453">
              <w:rPr>
                <w:color w:val="000000"/>
                <w:lang w:eastAsia="tr-TR"/>
              </w:rPr>
              <w:t>%9.</w:t>
            </w:r>
            <w:r w:rsidR="005F39B5" w:rsidRPr="00005453">
              <w:rPr>
                <w:color w:val="000000"/>
                <w:lang w:eastAsia="tr-TR"/>
              </w:rPr>
              <w:t>05</w:t>
            </w:r>
          </w:p>
        </w:tc>
      </w:tr>
      <w:tr w:rsidR="00723A3F" w:rsidRPr="00005453" w14:paraId="1879B523" w14:textId="77777777" w:rsidTr="00723A3F">
        <w:trPr>
          <w:trHeight w:val="238"/>
        </w:trPr>
        <w:tc>
          <w:tcPr>
            <w:tcW w:w="7010" w:type="dxa"/>
            <w:tcBorders>
              <w:top w:val="nil"/>
              <w:left w:val="nil"/>
              <w:bottom w:val="nil"/>
              <w:right w:val="nil"/>
            </w:tcBorders>
            <w:shd w:val="clear" w:color="000000" w:fill="FFFFFF"/>
            <w:noWrap/>
            <w:vAlign w:val="center"/>
            <w:hideMark/>
          </w:tcPr>
          <w:p w14:paraId="7C998536" w14:textId="60B5ED84" w:rsidR="00723A3F" w:rsidRPr="00005453" w:rsidRDefault="00723A3F" w:rsidP="00723A3F">
            <w:pPr>
              <w:rPr>
                <w:color w:val="000000"/>
                <w:lang w:eastAsia="tr-TR"/>
              </w:rPr>
            </w:pPr>
            <w:r w:rsidRPr="00005453">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9E31311" w14:textId="43E263CC" w:rsidR="00723A3F" w:rsidRPr="00005453" w:rsidRDefault="00723A3F" w:rsidP="00723A3F">
            <w:pPr>
              <w:jc w:val="right"/>
              <w:rPr>
                <w:color w:val="000000"/>
                <w:lang w:eastAsia="tr-TR"/>
              </w:rPr>
            </w:pPr>
            <w:proofErr w:type="gramStart"/>
            <w:r w:rsidRPr="00005453">
              <w:rPr>
                <w:color w:val="000000"/>
                <w:lang w:eastAsia="tr-TR"/>
              </w:rPr>
              <w:t>%</w:t>
            </w:r>
            <w:r w:rsidR="005F39B5" w:rsidRPr="00005453">
              <w:rPr>
                <w:color w:val="000000"/>
                <w:lang w:eastAsia="tr-TR"/>
              </w:rPr>
              <w:t>6</w:t>
            </w:r>
            <w:r w:rsidRPr="00005453">
              <w:rPr>
                <w:color w:val="000000"/>
                <w:lang w:eastAsia="tr-TR"/>
              </w:rPr>
              <w:t>.</w:t>
            </w:r>
            <w:r w:rsidR="005F39B5" w:rsidRPr="00005453">
              <w:rPr>
                <w:color w:val="000000"/>
                <w:lang w:eastAsia="tr-TR"/>
              </w:rPr>
              <w:t>82</w:t>
            </w:r>
            <w:proofErr w:type="gramEnd"/>
          </w:p>
        </w:tc>
      </w:tr>
      <w:tr w:rsidR="003E1C08" w:rsidRPr="00005453" w14:paraId="03EBF88C" w14:textId="77777777" w:rsidTr="00723A3F">
        <w:trPr>
          <w:trHeight w:val="238"/>
        </w:trPr>
        <w:tc>
          <w:tcPr>
            <w:tcW w:w="7010" w:type="dxa"/>
            <w:tcBorders>
              <w:top w:val="nil"/>
              <w:left w:val="nil"/>
              <w:bottom w:val="nil"/>
              <w:right w:val="nil"/>
            </w:tcBorders>
            <w:shd w:val="clear" w:color="000000" w:fill="FFFFFF"/>
            <w:noWrap/>
            <w:vAlign w:val="center"/>
          </w:tcPr>
          <w:p w14:paraId="377850A1" w14:textId="41111968" w:rsidR="003E1C08" w:rsidRPr="00005453" w:rsidRDefault="00CA1A09" w:rsidP="00723A3F">
            <w:pPr>
              <w:rPr>
                <w:color w:val="000000"/>
                <w:lang w:eastAsia="tr-TR"/>
              </w:rPr>
            </w:pPr>
            <w:r w:rsidRPr="00005453">
              <w:rPr>
                <w:color w:val="000000"/>
                <w:lang w:eastAsia="tr-TR"/>
              </w:rPr>
              <w:t>Halka Açık Paylar</w:t>
            </w:r>
          </w:p>
        </w:tc>
        <w:tc>
          <w:tcPr>
            <w:tcW w:w="1991" w:type="dxa"/>
            <w:tcBorders>
              <w:top w:val="nil"/>
              <w:left w:val="nil"/>
              <w:bottom w:val="nil"/>
              <w:right w:val="nil"/>
            </w:tcBorders>
            <w:shd w:val="clear" w:color="auto" w:fill="auto"/>
            <w:noWrap/>
            <w:vAlign w:val="center"/>
          </w:tcPr>
          <w:p w14:paraId="1DBA0203" w14:textId="4371D414" w:rsidR="003E1C08" w:rsidRPr="00005453" w:rsidRDefault="003E1C08" w:rsidP="00723A3F">
            <w:pPr>
              <w:jc w:val="right"/>
              <w:rPr>
                <w:color w:val="000000"/>
                <w:lang w:eastAsia="tr-TR"/>
              </w:rPr>
            </w:pPr>
            <w:proofErr w:type="gramStart"/>
            <w:r w:rsidRPr="00005453">
              <w:rPr>
                <w:color w:val="000000"/>
                <w:lang w:eastAsia="tr-TR"/>
              </w:rPr>
              <w:t>%6</w:t>
            </w:r>
            <w:r w:rsidR="005F39B5" w:rsidRPr="00005453">
              <w:rPr>
                <w:color w:val="000000"/>
                <w:lang w:eastAsia="tr-TR"/>
              </w:rPr>
              <w:t>8</w:t>
            </w:r>
            <w:r w:rsidRPr="00005453">
              <w:rPr>
                <w:color w:val="000000"/>
                <w:lang w:eastAsia="tr-TR"/>
              </w:rPr>
              <w:t>.</w:t>
            </w:r>
            <w:r w:rsidR="005F39B5" w:rsidRPr="00005453">
              <w:rPr>
                <w:color w:val="000000"/>
                <w:lang w:eastAsia="tr-TR"/>
              </w:rPr>
              <w:t>46</w:t>
            </w:r>
            <w:proofErr w:type="gramEnd"/>
          </w:p>
        </w:tc>
      </w:tr>
      <w:tr w:rsidR="00723A3F" w:rsidRPr="00005453" w14:paraId="024FE928" w14:textId="77777777" w:rsidTr="003161D5">
        <w:trPr>
          <w:trHeight w:val="80"/>
        </w:trPr>
        <w:tc>
          <w:tcPr>
            <w:tcW w:w="7010" w:type="dxa"/>
            <w:tcBorders>
              <w:top w:val="nil"/>
              <w:left w:val="nil"/>
              <w:bottom w:val="single" w:sz="8" w:space="0" w:color="auto"/>
              <w:right w:val="nil"/>
            </w:tcBorders>
            <w:shd w:val="clear" w:color="000000" w:fill="FFFFFF"/>
            <w:noWrap/>
            <w:vAlign w:val="center"/>
            <w:hideMark/>
          </w:tcPr>
          <w:p w14:paraId="024DDD8D" w14:textId="2410AD26" w:rsidR="00723A3F" w:rsidRPr="00005453" w:rsidRDefault="00723A3F" w:rsidP="00723A3F">
            <w:pPr>
              <w:rPr>
                <w:b/>
                <w:bCs/>
                <w:color w:val="000000"/>
                <w:sz w:val="8"/>
                <w:szCs w:val="8"/>
                <w:lang w:eastAsia="tr-TR"/>
              </w:rPr>
            </w:pPr>
            <w:r w:rsidRPr="00005453">
              <w:rPr>
                <w:b/>
                <w:bCs/>
                <w:color w:val="000000"/>
                <w:sz w:val="8"/>
                <w:szCs w:val="8"/>
                <w:lang w:eastAsia="tr-TR"/>
              </w:rPr>
              <w:t> </w:t>
            </w:r>
          </w:p>
        </w:tc>
        <w:tc>
          <w:tcPr>
            <w:tcW w:w="1991" w:type="dxa"/>
            <w:tcBorders>
              <w:top w:val="nil"/>
              <w:left w:val="nil"/>
              <w:bottom w:val="single" w:sz="8" w:space="0" w:color="auto"/>
              <w:right w:val="nil"/>
            </w:tcBorders>
            <w:shd w:val="clear" w:color="auto" w:fill="auto"/>
            <w:noWrap/>
            <w:vAlign w:val="center"/>
            <w:hideMark/>
          </w:tcPr>
          <w:p w14:paraId="2AB687E2" w14:textId="77777777" w:rsidR="00723A3F" w:rsidRPr="00005453" w:rsidRDefault="00723A3F" w:rsidP="00723A3F">
            <w:pPr>
              <w:jc w:val="right"/>
              <w:rPr>
                <w:b/>
                <w:bCs/>
                <w:color w:val="000000"/>
                <w:sz w:val="8"/>
                <w:szCs w:val="8"/>
                <w:lang w:eastAsia="tr-TR"/>
              </w:rPr>
            </w:pPr>
            <w:r w:rsidRPr="00005453">
              <w:rPr>
                <w:b/>
                <w:bCs/>
                <w:color w:val="000000"/>
                <w:sz w:val="8"/>
                <w:szCs w:val="8"/>
                <w:lang w:eastAsia="tr-TR"/>
              </w:rPr>
              <w:t> </w:t>
            </w:r>
          </w:p>
        </w:tc>
      </w:tr>
      <w:tr w:rsidR="00723A3F" w:rsidRPr="00005453" w14:paraId="23A4E296" w14:textId="77777777" w:rsidTr="00723A3F">
        <w:trPr>
          <w:trHeight w:val="249"/>
        </w:trPr>
        <w:tc>
          <w:tcPr>
            <w:tcW w:w="7010" w:type="dxa"/>
            <w:tcBorders>
              <w:top w:val="nil"/>
              <w:left w:val="nil"/>
              <w:bottom w:val="double" w:sz="6" w:space="0" w:color="auto"/>
              <w:right w:val="nil"/>
            </w:tcBorders>
            <w:shd w:val="clear" w:color="000000" w:fill="FFFFFF"/>
            <w:noWrap/>
            <w:vAlign w:val="center"/>
            <w:hideMark/>
          </w:tcPr>
          <w:p w14:paraId="4EB04E9D" w14:textId="77777777" w:rsidR="00723A3F" w:rsidRPr="00005453" w:rsidRDefault="00723A3F" w:rsidP="00723A3F">
            <w:pPr>
              <w:rPr>
                <w:b/>
                <w:bCs/>
                <w:color w:val="000000"/>
                <w:lang w:eastAsia="tr-TR"/>
              </w:rPr>
            </w:pPr>
            <w:r w:rsidRPr="00005453">
              <w:rPr>
                <w:b/>
                <w:bCs/>
                <w:color w:val="000000"/>
                <w:lang w:eastAsia="tr-TR"/>
              </w:rPr>
              <w:t>Toplam</w:t>
            </w:r>
          </w:p>
        </w:tc>
        <w:tc>
          <w:tcPr>
            <w:tcW w:w="1991" w:type="dxa"/>
            <w:tcBorders>
              <w:top w:val="nil"/>
              <w:left w:val="nil"/>
              <w:bottom w:val="double" w:sz="6" w:space="0" w:color="auto"/>
              <w:right w:val="nil"/>
            </w:tcBorders>
            <w:shd w:val="clear" w:color="auto" w:fill="auto"/>
            <w:noWrap/>
            <w:vAlign w:val="center"/>
            <w:hideMark/>
          </w:tcPr>
          <w:p w14:paraId="04351AB2" w14:textId="27D6B578" w:rsidR="00723A3F" w:rsidRPr="00005453" w:rsidRDefault="00723A3F" w:rsidP="00723A3F">
            <w:pPr>
              <w:jc w:val="right"/>
              <w:rPr>
                <w:b/>
                <w:bCs/>
                <w:color w:val="000000"/>
                <w:lang w:eastAsia="tr-TR"/>
              </w:rPr>
            </w:pPr>
            <w:r w:rsidRPr="00005453">
              <w:rPr>
                <w:b/>
                <w:bCs/>
                <w:color w:val="000000"/>
                <w:lang w:eastAsia="tr-TR"/>
              </w:rPr>
              <w:t>%</w:t>
            </w:r>
            <w:r w:rsidR="007525EF" w:rsidRPr="00005453">
              <w:rPr>
                <w:b/>
                <w:bCs/>
                <w:color w:val="000000"/>
                <w:lang w:eastAsia="tr-TR"/>
              </w:rPr>
              <w:t>100</w:t>
            </w:r>
            <w:r w:rsidRPr="00005453">
              <w:rPr>
                <w:b/>
                <w:bCs/>
                <w:color w:val="000000"/>
                <w:lang w:eastAsia="tr-TR"/>
              </w:rPr>
              <w:t>.</w:t>
            </w:r>
            <w:r w:rsidR="007525EF" w:rsidRPr="00005453">
              <w:rPr>
                <w:b/>
                <w:bCs/>
                <w:color w:val="000000"/>
                <w:lang w:eastAsia="tr-TR"/>
              </w:rPr>
              <w:t>00</w:t>
            </w:r>
          </w:p>
        </w:tc>
      </w:tr>
    </w:tbl>
    <w:p w14:paraId="5D8CD956" w14:textId="2F16FDE2" w:rsidR="00A35B0B" w:rsidRPr="00005453" w:rsidRDefault="00A35B0B" w:rsidP="00231D2B">
      <w:pPr>
        <w:pStyle w:val="BodyText"/>
        <w:autoSpaceDE/>
        <w:autoSpaceDN/>
        <w:adjustRightInd/>
        <w:rPr>
          <w:sz w:val="16"/>
          <w:szCs w:val="16"/>
        </w:rPr>
      </w:pPr>
    </w:p>
    <w:p w14:paraId="7F7A96B9" w14:textId="77777777" w:rsidR="00033391" w:rsidRPr="00005453" w:rsidRDefault="00811E18" w:rsidP="008F08F2">
      <w:pPr>
        <w:pStyle w:val="BodyText"/>
        <w:autoSpaceDE/>
        <w:autoSpaceDN/>
        <w:adjustRightInd/>
        <w:ind w:left="-540" w:hanging="27"/>
        <w:jc w:val="left"/>
        <w:rPr>
          <w:b/>
        </w:rPr>
      </w:pPr>
      <w:r w:rsidRPr="00005453">
        <w:rPr>
          <w:b/>
        </w:rPr>
        <w:t xml:space="preserve">5.     </w:t>
      </w:r>
      <w:r w:rsidR="008F08F2" w:rsidRPr="00005453">
        <w:rPr>
          <w:b/>
        </w:rPr>
        <w:tab/>
      </w:r>
      <w:r w:rsidR="00E253C8" w:rsidRPr="00005453">
        <w:rPr>
          <w:b/>
        </w:rPr>
        <w:t>Banka’nın hizmet türü ve faaliyet alanlarını içeren özet bilgi</w:t>
      </w:r>
    </w:p>
    <w:p w14:paraId="1CF53949" w14:textId="77777777" w:rsidR="00E73302" w:rsidRPr="00005453" w:rsidRDefault="00E73302">
      <w:pPr>
        <w:pStyle w:val="BodyText"/>
        <w:autoSpaceDE/>
        <w:autoSpaceDN/>
        <w:adjustRightInd/>
        <w:ind w:left="-540"/>
        <w:jc w:val="left"/>
        <w:rPr>
          <w:b/>
          <w:sz w:val="6"/>
          <w:szCs w:val="16"/>
        </w:rPr>
      </w:pPr>
    </w:p>
    <w:p w14:paraId="7526D1E3" w14:textId="2602B7AC" w:rsidR="002B7EC5" w:rsidRPr="00005453" w:rsidRDefault="0025379C" w:rsidP="00777DE5">
      <w:pPr>
        <w:pStyle w:val="BodyText"/>
        <w:autoSpaceDE/>
        <w:autoSpaceDN/>
        <w:adjustRightInd/>
      </w:pPr>
      <w:r w:rsidRPr="00005453">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r w:rsidR="001517EC" w:rsidRPr="00005453">
        <w:t>.</w:t>
      </w:r>
    </w:p>
    <w:p w14:paraId="108D1EE2" w14:textId="77777777" w:rsidR="0025379C" w:rsidRPr="00005453" w:rsidRDefault="0025379C" w:rsidP="00777DE5">
      <w:pPr>
        <w:pStyle w:val="BodyText"/>
        <w:autoSpaceDE/>
        <w:autoSpaceDN/>
        <w:adjustRightInd/>
        <w:rPr>
          <w:sz w:val="10"/>
        </w:rPr>
      </w:pPr>
    </w:p>
    <w:p w14:paraId="7E34790B" w14:textId="00E92C13" w:rsidR="00996205" w:rsidRPr="00005453" w:rsidRDefault="00996205" w:rsidP="00996205">
      <w:pPr>
        <w:pStyle w:val="BodyText"/>
        <w:autoSpaceDE/>
        <w:autoSpaceDN/>
        <w:adjustRightInd/>
      </w:pPr>
      <w:r w:rsidRPr="00005453">
        <w:t>31 Aralık 202</w:t>
      </w:r>
      <w:r w:rsidR="00BA04A2" w:rsidRPr="00005453">
        <w:t>4</w:t>
      </w:r>
      <w:r w:rsidRPr="00005453">
        <w:t xml:space="preserve"> tarihi itibarıyla Banka 44</w:t>
      </w:r>
      <w:r w:rsidR="00A06EE2" w:rsidRPr="00005453">
        <w:t>9</w:t>
      </w:r>
      <w:r w:rsidRPr="00005453">
        <w:t xml:space="preserve"> şubesi (31 Aralık 202</w:t>
      </w:r>
      <w:r w:rsidR="00BA04A2" w:rsidRPr="00005453">
        <w:t>3</w:t>
      </w:r>
      <w:r w:rsidRPr="00005453">
        <w:t xml:space="preserve"> – </w:t>
      </w:r>
      <w:r w:rsidRPr="00005453">
        <w:rPr>
          <w:color w:val="000000"/>
          <w:spacing w:val="-2"/>
        </w:rPr>
        <w:t>4</w:t>
      </w:r>
      <w:r w:rsidR="0023741A" w:rsidRPr="00005453">
        <w:rPr>
          <w:color w:val="000000"/>
          <w:spacing w:val="-2"/>
        </w:rPr>
        <w:t>4</w:t>
      </w:r>
      <w:r w:rsidR="00BA04A2" w:rsidRPr="00005453">
        <w:rPr>
          <w:color w:val="000000"/>
          <w:spacing w:val="-2"/>
        </w:rPr>
        <w:t>5</w:t>
      </w:r>
      <w:r w:rsidRPr="00005453">
        <w:t xml:space="preserve">) ve </w:t>
      </w:r>
      <w:r w:rsidR="00AF31ED" w:rsidRPr="00005453">
        <w:t>6</w:t>
      </w:r>
      <w:r w:rsidRPr="00005453">
        <w:t>,</w:t>
      </w:r>
      <w:r w:rsidR="00AF31ED" w:rsidRPr="00005453">
        <w:t>01</w:t>
      </w:r>
      <w:r w:rsidR="00A06EE2" w:rsidRPr="00005453">
        <w:t>2</w:t>
      </w:r>
      <w:r w:rsidRPr="00005453">
        <w:t xml:space="preserve"> personeli (31 Aralık 202</w:t>
      </w:r>
      <w:r w:rsidR="00BA04A2" w:rsidRPr="00005453">
        <w:t>3</w:t>
      </w:r>
      <w:r w:rsidRPr="00005453">
        <w:t xml:space="preserve"> – </w:t>
      </w:r>
      <w:r w:rsidR="00BA04A2" w:rsidRPr="00005453">
        <w:rPr>
          <w:color w:val="000000"/>
          <w:spacing w:val="-2"/>
        </w:rPr>
        <w:t>6</w:t>
      </w:r>
      <w:r w:rsidRPr="00005453">
        <w:rPr>
          <w:color w:val="000000"/>
          <w:spacing w:val="-2"/>
        </w:rPr>
        <w:t>,</w:t>
      </w:r>
      <w:r w:rsidR="00BA04A2" w:rsidRPr="00005453">
        <w:rPr>
          <w:color w:val="000000"/>
          <w:spacing w:val="-2"/>
        </w:rPr>
        <w:t>011</w:t>
      </w:r>
      <w:r w:rsidRPr="00005453">
        <w:t>) ile faaliyet göstermektedir. Kısaca Banka’nın faaliyet alanları Ana Sözleşme’de aşağıdaki gibi belirtilmiştir;</w:t>
      </w:r>
    </w:p>
    <w:p w14:paraId="64402DB8" w14:textId="77777777" w:rsidR="00777DE5" w:rsidRPr="00005453" w:rsidRDefault="00777DE5" w:rsidP="00777DE5">
      <w:pPr>
        <w:pStyle w:val="BodyText"/>
        <w:autoSpaceDE/>
        <w:autoSpaceDN/>
        <w:adjustRightInd/>
        <w:jc w:val="left"/>
        <w:rPr>
          <w:sz w:val="12"/>
        </w:rPr>
      </w:pPr>
    </w:p>
    <w:p w14:paraId="6F363724" w14:textId="77777777" w:rsidR="0025379C" w:rsidRPr="00005453" w:rsidRDefault="0025379C" w:rsidP="0025379C">
      <w:pPr>
        <w:numPr>
          <w:ilvl w:val="0"/>
          <w:numId w:val="6"/>
        </w:numPr>
        <w:tabs>
          <w:tab w:val="clear" w:pos="360"/>
        </w:tabs>
        <w:ind w:left="567" w:hanging="567"/>
        <w:jc w:val="both"/>
      </w:pPr>
      <w:r w:rsidRPr="00005453">
        <w:t>Mevzuatla belirlenen yöntemlerle fon toplamak; cari hesaplarla katılma hesapları, özel fon havuzları hesapları açmak ve fon temin etmek,</w:t>
      </w:r>
    </w:p>
    <w:p w14:paraId="0DEE4B74" w14:textId="77777777" w:rsidR="0025379C" w:rsidRPr="00005453" w:rsidRDefault="0025379C" w:rsidP="0025379C">
      <w:pPr>
        <w:numPr>
          <w:ilvl w:val="0"/>
          <w:numId w:val="6"/>
        </w:numPr>
        <w:tabs>
          <w:tab w:val="clear" w:pos="360"/>
        </w:tabs>
        <w:ind w:left="567" w:hanging="567"/>
        <w:jc w:val="both"/>
      </w:pPr>
      <w:r w:rsidRPr="00005453">
        <w:t>Faizsiz bankacılık prensipleri dahilinde; ekonomiye fon tahsis etmek, nakdi, gayrinakdi her cins ve surette kredi kullandırmak,</w:t>
      </w:r>
    </w:p>
    <w:p w14:paraId="09D15FDC" w14:textId="77777777" w:rsidR="0025379C" w:rsidRPr="00005453" w:rsidRDefault="0025379C" w:rsidP="0025379C">
      <w:pPr>
        <w:numPr>
          <w:ilvl w:val="0"/>
          <w:numId w:val="6"/>
        </w:numPr>
        <w:tabs>
          <w:tab w:val="clear" w:pos="360"/>
        </w:tabs>
        <w:ind w:left="567" w:hanging="567"/>
        <w:jc w:val="both"/>
      </w:pPr>
      <w:r w:rsidRPr="00005453">
        <w:t>Finansal kiralama işlemleri yapmak, operasyonel kiralama işlemleri yapmak,</w:t>
      </w:r>
    </w:p>
    <w:p w14:paraId="40572FAC" w14:textId="77777777" w:rsidR="0025379C" w:rsidRPr="00005453" w:rsidRDefault="0025379C" w:rsidP="0025379C">
      <w:pPr>
        <w:numPr>
          <w:ilvl w:val="0"/>
          <w:numId w:val="6"/>
        </w:numPr>
        <w:tabs>
          <w:tab w:val="clear" w:pos="360"/>
        </w:tabs>
        <w:ind w:left="567" w:hanging="567"/>
        <w:jc w:val="both"/>
      </w:pPr>
      <w:r w:rsidRPr="00005453">
        <w:t>Her türlü ödeme ve tahsilat işlemleri yapmak, seyahat çekleri, kredi kartları gibi ödeme vasıtalarının faaliyetlerin yürütülmesi, üye işyeri hizmetleri (POS) vermek, müşavirlik ve danışmanlık yapmak, kiralık kasa hizmetleri sunmak,</w:t>
      </w:r>
    </w:p>
    <w:p w14:paraId="6BCCAE87" w14:textId="77777777" w:rsidR="0025379C" w:rsidRPr="00005453" w:rsidRDefault="0025379C" w:rsidP="0025379C">
      <w:pPr>
        <w:numPr>
          <w:ilvl w:val="0"/>
          <w:numId w:val="6"/>
        </w:numPr>
        <w:tabs>
          <w:tab w:val="clear" w:pos="360"/>
        </w:tabs>
        <w:ind w:left="567" w:hanging="567"/>
        <w:jc w:val="both"/>
      </w:pPr>
      <w:r w:rsidRPr="00005453">
        <w:t>Mevzuat ve faizsiz bankacılık prensiplerine göre para veya sermaye piyasası araçlarını spot veya vadeli almak, satmak ve bunların alım satımına aracılık etmek, menkul kıymetler borsalarında faaliyette bulunmak,</w:t>
      </w:r>
    </w:p>
    <w:p w14:paraId="2650511A" w14:textId="77777777" w:rsidR="0025379C" w:rsidRPr="00005453" w:rsidRDefault="0025379C" w:rsidP="0025379C">
      <w:pPr>
        <w:numPr>
          <w:ilvl w:val="0"/>
          <w:numId w:val="6"/>
        </w:numPr>
        <w:tabs>
          <w:tab w:val="clear" w:pos="360"/>
        </w:tabs>
        <w:ind w:left="567" w:hanging="567"/>
        <w:jc w:val="both"/>
      </w:pPr>
      <w:r w:rsidRPr="00005453">
        <w:t>Her nevi gayrimenkuller satın almak, iktisap etmek, inşa ettirmek ve gerektiğinde bunları diğer kişilere devir, kiralamak ve üzerlerinde her türlü tasarrufta bulunmak,</w:t>
      </w:r>
    </w:p>
    <w:p w14:paraId="72442730" w14:textId="77777777" w:rsidR="0025379C" w:rsidRPr="00005453" w:rsidRDefault="0025379C" w:rsidP="0025379C">
      <w:pPr>
        <w:numPr>
          <w:ilvl w:val="0"/>
          <w:numId w:val="6"/>
        </w:numPr>
        <w:tabs>
          <w:tab w:val="clear" w:pos="360"/>
        </w:tabs>
        <w:ind w:left="567" w:hanging="567"/>
        <w:jc w:val="both"/>
      </w:pPr>
      <w:r w:rsidRPr="00005453">
        <w:t>Şirket ve kuruluşların (sigorta şirketleri dahil); mümessillik, vekalet ve acenteliklerini yapmak,</w:t>
      </w:r>
    </w:p>
    <w:p w14:paraId="3BA046FC" w14:textId="0763F969" w:rsidR="0025379C" w:rsidRPr="00005453" w:rsidRDefault="0025379C" w:rsidP="0025379C">
      <w:pPr>
        <w:numPr>
          <w:ilvl w:val="0"/>
          <w:numId w:val="6"/>
        </w:numPr>
        <w:tabs>
          <w:tab w:val="clear" w:pos="360"/>
        </w:tabs>
        <w:ind w:left="567" w:hanging="567"/>
        <w:jc w:val="both"/>
      </w:pPr>
      <w:r w:rsidRPr="00005453">
        <w:t>Mevzuat dahilinde, toplumun düzen ve yararına Banka’nın prensipleri dahilinde sosyal gayeli yardımlarda bulunmak.</w:t>
      </w:r>
    </w:p>
    <w:p w14:paraId="2163E2D3" w14:textId="77777777" w:rsidR="008A460B" w:rsidRPr="00005453" w:rsidRDefault="008A460B" w:rsidP="00614CD2">
      <w:pPr>
        <w:ind w:left="567"/>
        <w:jc w:val="both"/>
        <w:rPr>
          <w:sz w:val="16"/>
          <w:szCs w:val="16"/>
        </w:rPr>
      </w:pPr>
    </w:p>
    <w:p w14:paraId="0ED016C7" w14:textId="77777777" w:rsidR="0025379C" w:rsidRPr="00005453" w:rsidRDefault="0025379C" w:rsidP="0025379C">
      <w:pPr>
        <w:ind w:left="360"/>
        <w:rPr>
          <w:sz w:val="2"/>
          <w:szCs w:val="16"/>
        </w:rPr>
      </w:pPr>
    </w:p>
    <w:p w14:paraId="0A25AC65" w14:textId="77777777" w:rsidR="0025379C" w:rsidRPr="00005453" w:rsidRDefault="0025379C" w:rsidP="0025379C">
      <w:pPr>
        <w:autoSpaceDE w:val="0"/>
        <w:autoSpaceDN w:val="0"/>
        <w:adjustRightInd w:val="0"/>
        <w:jc w:val="both"/>
      </w:pPr>
      <w:r w:rsidRPr="00005453">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p w14:paraId="250B6B5B" w14:textId="77777777" w:rsidR="0025379C" w:rsidRPr="00005453" w:rsidRDefault="0025379C" w:rsidP="0025379C">
      <w:pPr>
        <w:autoSpaceDE w:val="0"/>
        <w:autoSpaceDN w:val="0"/>
        <w:adjustRightInd w:val="0"/>
        <w:rPr>
          <w:b/>
          <w:bCs/>
          <w:sz w:val="16"/>
          <w:szCs w:val="16"/>
        </w:rPr>
      </w:pPr>
    </w:p>
    <w:p w14:paraId="34A3693B" w14:textId="00441907" w:rsidR="0025379C" w:rsidRPr="00005453" w:rsidRDefault="0025379C" w:rsidP="00152E65">
      <w:pPr>
        <w:pStyle w:val="Default"/>
        <w:ind w:hanging="567"/>
        <w:jc w:val="both"/>
        <w:rPr>
          <w:rFonts w:eastAsia="Arial Unicode MS"/>
          <w:bCs/>
          <w:color w:val="auto"/>
          <w:sz w:val="14"/>
          <w:szCs w:val="14"/>
          <w:lang w:eastAsia="en-US"/>
        </w:rPr>
      </w:pPr>
      <w:r w:rsidRPr="00005453">
        <w:rPr>
          <w:b/>
          <w:bCs/>
          <w:sz w:val="20"/>
          <w:szCs w:val="20"/>
        </w:rPr>
        <w:t xml:space="preserve">6.     </w:t>
      </w:r>
      <w:r w:rsidRPr="00005453">
        <w:rPr>
          <w:b/>
          <w:bCs/>
          <w:sz w:val="20"/>
          <w:szCs w:val="20"/>
        </w:rPr>
        <w:tab/>
      </w:r>
      <w:r w:rsidRPr="00005453">
        <w:rPr>
          <w:rFonts w:eastAsia="Arial Unicode MS"/>
          <w:b/>
          <w:bCs/>
          <w:color w:val="auto"/>
          <w:sz w:val="20"/>
          <w:szCs w:val="20"/>
          <w:lang w:eastAsia="en-US"/>
        </w:rPr>
        <w:t>Banka ile bağlı ortaklıkları arasında özkaynakların derhal transfer edilmesinin veya</w:t>
      </w:r>
      <w:r w:rsidR="009A0307" w:rsidRPr="00005453">
        <w:rPr>
          <w:rFonts w:eastAsia="Arial Unicode MS"/>
          <w:b/>
          <w:bCs/>
          <w:color w:val="auto"/>
          <w:sz w:val="20"/>
          <w:szCs w:val="20"/>
          <w:lang w:eastAsia="en-US"/>
        </w:rPr>
        <w:t xml:space="preserve"> </w:t>
      </w:r>
      <w:r w:rsidRPr="00005453">
        <w:rPr>
          <w:rFonts w:eastAsia="Arial Unicode MS"/>
          <w:b/>
          <w:bCs/>
          <w:color w:val="auto"/>
          <w:sz w:val="20"/>
          <w:szCs w:val="20"/>
          <w:lang w:eastAsia="en-US"/>
        </w:rPr>
        <w:t>borçların geri    ödenmesinin önünde mevcut veya muhtemel, fiili veya hukuki engeller</w:t>
      </w:r>
      <w:r w:rsidRPr="00005453">
        <w:rPr>
          <w:rFonts w:eastAsia="Arial Unicode MS"/>
          <w:bCs/>
          <w:color w:val="auto"/>
          <w:sz w:val="14"/>
          <w:szCs w:val="14"/>
          <w:lang w:eastAsia="en-US"/>
        </w:rPr>
        <w:t xml:space="preserve"> </w:t>
      </w:r>
    </w:p>
    <w:p w14:paraId="7C08C603" w14:textId="77777777" w:rsidR="0025379C" w:rsidRPr="00005453" w:rsidRDefault="0025379C" w:rsidP="0025379C">
      <w:pPr>
        <w:rPr>
          <w:sz w:val="16"/>
          <w:szCs w:val="16"/>
        </w:rPr>
      </w:pPr>
    </w:p>
    <w:p w14:paraId="77A1492A" w14:textId="77777777" w:rsidR="0025379C" w:rsidRPr="00005453" w:rsidRDefault="0025379C" w:rsidP="0025379C">
      <w:r w:rsidRPr="00005453">
        <w:t>Bulunmamaktadır.</w:t>
      </w:r>
    </w:p>
    <w:p w14:paraId="2F154EDB" w14:textId="77777777" w:rsidR="00910E03" w:rsidRPr="00005453" w:rsidRDefault="00910E03" w:rsidP="00134A72">
      <w:pPr>
        <w:autoSpaceDE w:val="0"/>
        <w:autoSpaceDN w:val="0"/>
        <w:adjustRightInd w:val="0"/>
        <w:rPr>
          <w:b/>
          <w:bCs/>
          <w:sz w:val="22"/>
          <w:szCs w:val="22"/>
        </w:rPr>
        <w:sectPr w:rsidR="00910E03" w:rsidRPr="00005453" w:rsidSect="00A07E0F">
          <w:headerReference w:type="default" r:id="rId20"/>
          <w:footerReference w:type="default" r:id="rId21"/>
          <w:pgSz w:w="11907" w:h="16840" w:code="9"/>
          <w:pgMar w:top="1418" w:right="1418" w:bottom="1418" w:left="1418" w:header="708" w:footer="708" w:gutter="0"/>
          <w:pgNumType w:start="2"/>
          <w:cols w:space="708"/>
          <w:noEndnote/>
        </w:sectPr>
      </w:pPr>
    </w:p>
    <w:p w14:paraId="5F7EED2B" w14:textId="77777777" w:rsidR="00EC2505" w:rsidRPr="00005453" w:rsidRDefault="00EC2505" w:rsidP="00EC2505">
      <w:pPr>
        <w:autoSpaceDE w:val="0"/>
        <w:autoSpaceDN w:val="0"/>
        <w:adjustRightInd w:val="0"/>
        <w:jc w:val="both"/>
      </w:pPr>
    </w:p>
    <w:p w14:paraId="235D6908" w14:textId="77777777" w:rsidR="00EC2505" w:rsidRPr="00005453" w:rsidRDefault="00EC2505" w:rsidP="00EC2505">
      <w:pPr>
        <w:pStyle w:val="Heading1"/>
        <w:rPr>
          <w:sz w:val="24"/>
        </w:rPr>
      </w:pPr>
      <w:r w:rsidRPr="00005453">
        <w:rPr>
          <w:sz w:val="24"/>
        </w:rPr>
        <w:t>İKİNCİ BÖLÜM</w:t>
      </w:r>
    </w:p>
    <w:p w14:paraId="51932CA6" w14:textId="77777777" w:rsidR="00EC2505" w:rsidRPr="00005453" w:rsidRDefault="00EC2505" w:rsidP="00EC2505">
      <w:pPr>
        <w:jc w:val="center"/>
        <w:rPr>
          <w:sz w:val="16"/>
          <w:szCs w:val="16"/>
        </w:rPr>
      </w:pPr>
    </w:p>
    <w:p w14:paraId="1624C6DB" w14:textId="77777777" w:rsidR="00EC2505" w:rsidRPr="00005453" w:rsidRDefault="00EC2505" w:rsidP="00EC2505">
      <w:pPr>
        <w:jc w:val="center"/>
        <w:rPr>
          <w:b/>
          <w:sz w:val="22"/>
        </w:rPr>
      </w:pPr>
      <w:r w:rsidRPr="00005453">
        <w:rPr>
          <w:b/>
          <w:sz w:val="22"/>
        </w:rPr>
        <w:t xml:space="preserve">KONSOLİDE OLMAYAN FİNANSAL TABLOLAR </w:t>
      </w:r>
    </w:p>
    <w:p w14:paraId="1BED7E47" w14:textId="77777777" w:rsidR="00BD5290" w:rsidRPr="00005453" w:rsidRDefault="00BD5290" w:rsidP="00134A72">
      <w:pPr>
        <w:autoSpaceDE w:val="0"/>
        <w:autoSpaceDN w:val="0"/>
        <w:adjustRightInd w:val="0"/>
        <w:rPr>
          <w:b/>
          <w:bCs/>
          <w:sz w:val="22"/>
          <w:szCs w:val="22"/>
        </w:rPr>
      </w:pPr>
    </w:p>
    <w:p w14:paraId="01121E8C" w14:textId="77777777" w:rsidR="00282116" w:rsidRPr="00005453"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005453" w14:paraId="165614E6" w14:textId="77777777" w:rsidTr="00DE6DD3">
        <w:trPr>
          <w:trHeight w:val="20"/>
        </w:trPr>
        <w:tc>
          <w:tcPr>
            <w:tcW w:w="720" w:type="dxa"/>
          </w:tcPr>
          <w:p w14:paraId="2F2A8F8B" w14:textId="77777777" w:rsidR="00BD5290" w:rsidRPr="00005453" w:rsidRDefault="00E253C8" w:rsidP="008D745E">
            <w:pPr>
              <w:autoSpaceDE w:val="0"/>
              <w:autoSpaceDN w:val="0"/>
              <w:adjustRightInd w:val="0"/>
              <w:spacing w:line="360" w:lineRule="auto"/>
            </w:pPr>
            <w:r w:rsidRPr="00005453">
              <w:t>I.</w:t>
            </w:r>
          </w:p>
        </w:tc>
        <w:tc>
          <w:tcPr>
            <w:tcW w:w="8172" w:type="dxa"/>
          </w:tcPr>
          <w:p w14:paraId="0ED18132" w14:textId="7F2B7CA9" w:rsidR="00BD5290" w:rsidRPr="00005453" w:rsidRDefault="00BC04DE" w:rsidP="008D745E">
            <w:pPr>
              <w:spacing w:line="360" w:lineRule="auto"/>
              <w:ind w:right="-469"/>
            </w:pPr>
            <w:r w:rsidRPr="00005453">
              <w:t xml:space="preserve">Konsolide </w:t>
            </w:r>
            <w:r w:rsidR="00D52CB0" w:rsidRPr="00005453">
              <w:t>Olmayan Bilanço (</w:t>
            </w:r>
            <w:r w:rsidR="00462F03" w:rsidRPr="00005453">
              <w:t>F</w:t>
            </w:r>
            <w:r w:rsidR="00E253C8" w:rsidRPr="00005453">
              <w:t xml:space="preserve">inansal </w:t>
            </w:r>
            <w:r w:rsidR="00D52CB0" w:rsidRPr="00005453">
              <w:t>Durum Tablosu)</w:t>
            </w:r>
          </w:p>
        </w:tc>
      </w:tr>
      <w:tr w:rsidR="00BD5290" w:rsidRPr="00005453" w14:paraId="15DBCDD9" w14:textId="77777777" w:rsidTr="00DE6DD3">
        <w:trPr>
          <w:trHeight w:val="20"/>
        </w:trPr>
        <w:tc>
          <w:tcPr>
            <w:tcW w:w="720" w:type="dxa"/>
          </w:tcPr>
          <w:p w14:paraId="7F6C8073" w14:textId="77777777" w:rsidR="00BD5290" w:rsidRPr="00005453" w:rsidRDefault="00E253C8" w:rsidP="008D745E">
            <w:pPr>
              <w:autoSpaceDE w:val="0"/>
              <w:autoSpaceDN w:val="0"/>
              <w:adjustRightInd w:val="0"/>
              <w:spacing w:line="360" w:lineRule="auto"/>
            </w:pPr>
            <w:r w:rsidRPr="00005453">
              <w:t>II.</w:t>
            </w:r>
          </w:p>
        </w:tc>
        <w:tc>
          <w:tcPr>
            <w:tcW w:w="8172" w:type="dxa"/>
          </w:tcPr>
          <w:p w14:paraId="0088A984" w14:textId="1169536C" w:rsidR="003A56BC" w:rsidRPr="00005453" w:rsidRDefault="00BC04DE" w:rsidP="008D745E">
            <w:pPr>
              <w:spacing w:line="360" w:lineRule="auto"/>
              <w:ind w:right="-469"/>
            </w:pPr>
            <w:r w:rsidRPr="00005453">
              <w:t xml:space="preserve">Konsolide </w:t>
            </w:r>
            <w:r w:rsidR="00D52CB0" w:rsidRPr="00005453">
              <w:t>Olmayan Nazım Hesaplar Tablosu</w:t>
            </w:r>
          </w:p>
        </w:tc>
      </w:tr>
      <w:tr w:rsidR="006766EA" w:rsidRPr="00005453" w14:paraId="7D44179C" w14:textId="77777777" w:rsidTr="00DE6DD3">
        <w:trPr>
          <w:trHeight w:val="20"/>
        </w:trPr>
        <w:tc>
          <w:tcPr>
            <w:tcW w:w="720" w:type="dxa"/>
          </w:tcPr>
          <w:p w14:paraId="2C74CDB5" w14:textId="77777777" w:rsidR="006766EA" w:rsidRPr="00005453" w:rsidRDefault="00E253C8" w:rsidP="008D745E">
            <w:pPr>
              <w:autoSpaceDE w:val="0"/>
              <w:autoSpaceDN w:val="0"/>
              <w:adjustRightInd w:val="0"/>
              <w:spacing w:line="360" w:lineRule="auto"/>
            </w:pPr>
            <w:r w:rsidRPr="00005453">
              <w:t>III.</w:t>
            </w:r>
          </w:p>
        </w:tc>
        <w:tc>
          <w:tcPr>
            <w:tcW w:w="8172" w:type="dxa"/>
          </w:tcPr>
          <w:p w14:paraId="18046FDC" w14:textId="1F378DDE" w:rsidR="006766EA" w:rsidRPr="00005453" w:rsidRDefault="00BC04DE" w:rsidP="008D745E">
            <w:pPr>
              <w:spacing w:line="360" w:lineRule="auto"/>
              <w:ind w:right="-469"/>
            </w:pPr>
            <w:r w:rsidRPr="00005453">
              <w:t xml:space="preserve">Konsolide </w:t>
            </w:r>
            <w:r w:rsidR="00D52CB0" w:rsidRPr="00005453">
              <w:t xml:space="preserve">Olmayan Kar </w:t>
            </w:r>
            <w:r w:rsidR="00CE502A" w:rsidRPr="00005453">
              <w:t>v</w:t>
            </w:r>
            <w:r w:rsidR="00D52CB0" w:rsidRPr="00005453">
              <w:t>eya Zarar Tablosu (Gelir Tablosu)</w:t>
            </w:r>
          </w:p>
        </w:tc>
      </w:tr>
      <w:tr w:rsidR="00245035" w:rsidRPr="00005453" w14:paraId="73269FA0" w14:textId="77777777" w:rsidTr="00DE6DD3">
        <w:trPr>
          <w:trHeight w:val="20"/>
        </w:trPr>
        <w:tc>
          <w:tcPr>
            <w:tcW w:w="720" w:type="dxa"/>
          </w:tcPr>
          <w:p w14:paraId="384AA536" w14:textId="77777777" w:rsidR="00245035" w:rsidRPr="00005453" w:rsidRDefault="00E253C8" w:rsidP="008D745E">
            <w:pPr>
              <w:autoSpaceDE w:val="0"/>
              <w:autoSpaceDN w:val="0"/>
              <w:adjustRightInd w:val="0"/>
              <w:spacing w:line="360" w:lineRule="auto"/>
            </w:pPr>
            <w:r w:rsidRPr="00005453">
              <w:t>IV.</w:t>
            </w:r>
          </w:p>
        </w:tc>
        <w:tc>
          <w:tcPr>
            <w:tcW w:w="8172" w:type="dxa"/>
          </w:tcPr>
          <w:p w14:paraId="22B0C948" w14:textId="4A1AE92B" w:rsidR="00245035" w:rsidRPr="00005453" w:rsidRDefault="00BC04DE" w:rsidP="00B95E31">
            <w:pPr>
              <w:spacing w:line="360" w:lineRule="auto"/>
              <w:ind w:right="-469"/>
            </w:pPr>
            <w:r w:rsidRPr="00005453">
              <w:t xml:space="preserve">Konsolide </w:t>
            </w:r>
            <w:r w:rsidR="00D52CB0" w:rsidRPr="00005453">
              <w:t xml:space="preserve">Olmayan Kar </w:t>
            </w:r>
            <w:r w:rsidR="00CE502A" w:rsidRPr="00005453">
              <w:t>v</w:t>
            </w:r>
            <w:r w:rsidR="00D52CB0" w:rsidRPr="00005453">
              <w:t xml:space="preserve">eya Zarar </w:t>
            </w:r>
            <w:r w:rsidR="00CE502A" w:rsidRPr="00005453">
              <w:t>v</w:t>
            </w:r>
            <w:r w:rsidR="00D52CB0" w:rsidRPr="00005453">
              <w:t>e Diğer Kapsamlı Gelir Tablosu</w:t>
            </w:r>
          </w:p>
        </w:tc>
      </w:tr>
      <w:tr w:rsidR="006766EA" w:rsidRPr="00005453" w14:paraId="6BE2771A" w14:textId="77777777" w:rsidTr="00DE6DD3">
        <w:trPr>
          <w:trHeight w:val="20"/>
        </w:trPr>
        <w:tc>
          <w:tcPr>
            <w:tcW w:w="720" w:type="dxa"/>
          </w:tcPr>
          <w:p w14:paraId="2BC6C07A" w14:textId="77777777" w:rsidR="006766EA" w:rsidRPr="00005453" w:rsidRDefault="00E253C8" w:rsidP="008D745E">
            <w:pPr>
              <w:autoSpaceDE w:val="0"/>
              <w:autoSpaceDN w:val="0"/>
              <w:adjustRightInd w:val="0"/>
              <w:spacing w:line="360" w:lineRule="auto"/>
            </w:pPr>
            <w:r w:rsidRPr="00005453">
              <w:t>V.</w:t>
            </w:r>
          </w:p>
        </w:tc>
        <w:tc>
          <w:tcPr>
            <w:tcW w:w="8172" w:type="dxa"/>
          </w:tcPr>
          <w:p w14:paraId="02D2CBD6" w14:textId="7AAA2F08" w:rsidR="006766EA" w:rsidRPr="00005453" w:rsidRDefault="00BC04DE" w:rsidP="008D745E">
            <w:pPr>
              <w:spacing w:line="360" w:lineRule="auto"/>
              <w:ind w:right="-469"/>
            </w:pPr>
            <w:r w:rsidRPr="00005453">
              <w:t xml:space="preserve">Konsolide </w:t>
            </w:r>
            <w:r w:rsidR="00D52CB0" w:rsidRPr="00005453">
              <w:t>Olmayan Özkaynak Değişim Tablosu</w:t>
            </w:r>
          </w:p>
        </w:tc>
      </w:tr>
      <w:tr w:rsidR="00AC5B2A" w:rsidRPr="00005453" w14:paraId="45553582" w14:textId="77777777" w:rsidTr="00DE6DD3">
        <w:trPr>
          <w:trHeight w:val="20"/>
        </w:trPr>
        <w:tc>
          <w:tcPr>
            <w:tcW w:w="720" w:type="dxa"/>
          </w:tcPr>
          <w:p w14:paraId="6A0020A6" w14:textId="77777777" w:rsidR="00AC5B2A" w:rsidRPr="00005453" w:rsidRDefault="00E253C8" w:rsidP="008D745E">
            <w:pPr>
              <w:autoSpaceDE w:val="0"/>
              <w:autoSpaceDN w:val="0"/>
              <w:adjustRightInd w:val="0"/>
              <w:spacing w:line="360" w:lineRule="auto"/>
            </w:pPr>
            <w:r w:rsidRPr="00005453">
              <w:t>VI.</w:t>
            </w:r>
          </w:p>
        </w:tc>
        <w:tc>
          <w:tcPr>
            <w:tcW w:w="8172" w:type="dxa"/>
          </w:tcPr>
          <w:p w14:paraId="21F168FB" w14:textId="10B46FE4" w:rsidR="00AC5B2A" w:rsidRPr="00005453" w:rsidRDefault="00BC04DE" w:rsidP="008D745E">
            <w:pPr>
              <w:spacing w:line="360" w:lineRule="auto"/>
              <w:ind w:right="-469"/>
            </w:pPr>
            <w:r w:rsidRPr="00005453">
              <w:t xml:space="preserve">Konsolide </w:t>
            </w:r>
            <w:r w:rsidR="00D52CB0" w:rsidRPr="00005453">
              <w:t>Olmayan Nakit Akış Tablosu</w:t>
            </w:r>
          </w:p>
        </w:tc>
      </w:tr>
      <w:tr w:rsidR="0060734E" w:rsidRPr="00005453" w14:paraId="13A10996" w14:textId="77777777" w:rsidTr="00DE6DD3">
        <w:trPr>
          <w:trHeight w:val="20"/>
        </w:trPr>
        <w:tc>
          <w:tcPr>
            <w:tcW w:w="720" w:type="dxa"/>
          </w:tcPr>
          <w:p w14:paraId="30629B67" w14:textId="5C6E86B1" w:rsidR="0060734E" w:rsidRPr="00005453" w:rsidRDefault="0060734E" w:rsidP="0060734E">
            <w:pPr>
              <w:autoSpaceDE w:val="0"/>
              <w:autoSpaceDN w:val="0"/>
              <w:adjustRightInd w:val="0"/>
              <w:spacing w:line="360" w:lineRule="auto"/>
            </w:pPr>
            <w:r w:rsidRPr="00005453">
              <w:rPr>
                <w:color w:val="000000"/>
              </w:rPr>
              <w:t>VII.</w:t>
            </w:r>
          </w:p>
        </w:tc>
        <w:tc>
          <w:tcPr>
            <w:tcW w:w="8172" w:type="dxa"/>
          </w:tcPr>
          <w:p w14:paraId="51F08812" w14:textId="25055E12" w:rsidR="0060734E" w:rsidRPr="00005453" w:rsidRDefault="00BC04DE" w:rsidP="0060734E">
            <w:pPr>
              <w:spacing w:line="360" w:lineRule="auto"/>
              <w:ind w:right="-469"/>
            </w:pPr>
            <w:r w:rsidRPr="00005453">
              <w:t xml:space="preserve">Konsolide </w:t>
            </w:r>
            <w:r w:rsidR="00D52CB0" w:rsidRPr="00005453">
              <w:t>Olmayan Kar Dağıtım Tablosu</w:t>
            </w:r>
          </w:p>
        </w:tc>
      </w:tr>
    </w:tbl>
    <w:p w14:paraId="70F28B46" w14:textId="77777777" w:rsidR="00BD5290" w:rsidRPr="00005453" w:rsidRDefault="00BD5290" w:rsidP="00134A72">
      <w:pPr>
        <w:autoSpaceDE w:val="0"/>
        <w:autoSpaceDN w:val="0"/>
        <w:adjustRightInd w:val="0"/>
        <w:rPr>
          <w:b/>
          <w:bCs/>
        </w:rPr>
      </w:pPr>
    </w:p>
    <w:p w14:paraId="23D5EE79" w14:textId="77777777" w:rsidR="00394ED0" w:rsidRPr="00005453" w:rsidRDefault="00394ED0" w:rsidP="00134A72">
      <w:pPr>
        <w:autoSpaceDE w:val="0"/>
        <w:autoSpaceDN w:val="0"/>
        <w:adjustRightInd w:val="0"/>
      </w:pPr>
    </w:p>
    <w:p w14:paraId="612A5D1D" w14:textId="77777777" w:rsidR="00394ED0" w:rsidRPr="00005453" w:rsidRDefault="00394ED0" w:rsidP="00134A72">
      <w:pPr>
        <w:autoSpaceDE w:val="0"/>
        <w:autoSpaceDN w:val="0"/>
        <w:adjustRightInd w:val="0"/>
      </w:pPr>
    </w:p>
    <w:p w14:paraId="3143147A" w14:textId="77777777" w:rsidR="00394ED0" w:rsidRPr="00005453" w:rsidRDefault="00394ED0" w:rsidP="00134A72">
      <w:pPr>
        <w:autoSpaceDE w:val="0"/>
        <w:autoSpaceDN w:val="0"/>
        <w:adjustRightInd w:val="0"/>
        <w:sectPr w:rsidR="00394ED0" w:rsidRPr="00005453" w:rsidSect="00A07E0F">
          <w:footerReference w:type="first" r:id="rId22"/>
          <w:pgSz w:w="11907" w:h="16840" w:code="9"/>
          <w:pgMar w:top="1418" w:right="1418" w:bottom="1418" w:left="1418" w:header="709" w:footer="709" w:gutter="0"/>
          <w:pgNumType w:start="2"/>
          <w:cols w:space="708"/>
          <w:vAlign w:val="center"/>
          <w:noEndnote/>
          <w:titlePg/>
        </w:sectPr>
      </w:pPr>
    </w:p>
    <w:p w14:paraId="75755838" w14:textId="77777777" w:rsidR="00AE641D" w:rsidRPr="00005453" w:rsidRDefault="00AE641D" w:rsidP="00744206">
      <w:pPr>
        <w:tabs>
          <w:tab w:val="left" w:pos="709"/>
        </w:tabs>
        <w:autoSpaceDE w:val="0"/>
        <w:autoSpaceDN w:val="0"/>
        <w:adjustRightInd w:val="0"/>
        <w:ind w:hanging="567"/>
        <w:jc w:val="both"/>
        <w:rPr>
          <w:rFonts w:eastAsia="Arial Unicode MS"/>
          <w:b/>
          <w:sz w:val="16"/>
          <w:szCs w:val="16"/>
        </w:rPr>
      </w:pPr>
      <w:bookmarkStart w:id="7" w:name="OLE_LINK24"/>
      <w:bookmarkStart w:id="8" w:name="OLE_LINK25"/>
    </w:p>
    <w:p w14:paraId="4A605377" w14:textId="4F80CC2D" w:rsidR="00615D21" w:rsidRPr="00005453" w:rsidRDefault="005866BD" w:rsidP="00615D21">
      <w:pPr>
        <w:tabs>
          <w:tab w:val="left" w:pos="709"/>
        </w:tabs>
        <w:autoSpaceDE w:val="0"/>
        <w:autoSpaceDN w:val="0"/>
        <w:adjustRightInd w:val="0"/>
        <w:ind w:hanging="567"/>
      </w:pPr>
      <w:bookmarkStart w:id="9" w:name="_Hlk62566202"/>
      <w:r w:rsidRPr="00005453">
        <w:rPr>
          <w:rFonts w:eastAsia="Arial Unicode MS"/>
          <w:b/>
          <w:sz w:val="22"/>
        </w:rPr>
        <w:t>1</w:t>
      </w:r>
      <w:r w:rsidR="005E005F" w:rsidRPr="00005453">
        <w:rPr>
          <w:rFonts w:eastAsia="Arial Unicode MS"/>
          <w:b/>
          <w:sz w:val="22"/>
        </w:rPr>
        <w:t>.</w:t>
      </w:r>
      <w:r w:rsidR="005E005F" w:rsidRPr="00005453">
        <w:rPr>
          <w:rFonts w:eastAsia="Arial Unicode MS"/>
          <w:b/>
          <w:sz w:val="22"/>
        </w:rPr>
        <w:tab/>
        <w:t xml:space="preserve">BİLANÇO-AKTİF </w:t>
      </w:r>
      <w:r w:rsidR="005D3E4D" w:rsidRPr="00005453">
        <w:rPr>
          <w:rFonts w:eastAsia="Arial Unicode MS"/>
          <w:b/>
          <w:sz w:val="22"/>
        </w:rPr>
        <w:t>KALEMLER (FİNANSAL DURUM TABLOSU)</w:t>
      </w:r>
    </w:p>
    <w:p w14:paraId="3F1A5B65" w14:textId="77777777" w:rsidR="00DB0502" w:rsidRPr="00005453" w:rsidRDefault="00615D21" w:rsidP="00615D21">
      <w:pPr>
        <w:tabs>
          <w:tab w:val="left" w:pos="709"/>
        </w:tabs>
        <w:autoSpaceDE w:val="0"/>
        <w:autoSpaceDN w:val="0"/>
        <w:adjustRightInd w:val="0"/>
        <w:rPr>
          <w:rFonts w:eastAsia="Arial Unicode MS"/>
          <w:sz w:val="4"/>
        </w:rPr>
      </w:pPr>
      <w:r w:rsidRPr="00005453">
        <w:rPr>
          <w:rFonts w:eastAsia="Arial Unicode MS"/>
          <w:sz w:val="4"/>
        </w:rPr>
        <w:t>-</w:t>
      </w:r>
    </w:p>
    <w:p w14:paraId="0A8DFE4E" w14:textId="05866E7F" w:rsidR="00A84C59" w:rsidRPr="00005453" w:rsidRDefault="00A84C59" w:rsidP="00615D21">
      <w:pPr>
        <w:tabs>
          <w:tab w:val="left" w:pos="709"/>
        </w:tabs>
        <w:autoSpaceDE w:val="0"/>
        <w:autoSpaceDN w:val="0"/>
        <w:adjustRightInd w:val="0"/>
        <w:rPr>
          <w:lang w:val="en-GB" w:eastAsia="en-GB"/>
        </w:rPr>
      </w:pPr>
    </w:p>
    <w:bookmarkEnd w:id="9"/>
    <w:tbl>
      <w:tblPr>
        <w:tblW w:w="9629" w:type="dxa"/>
        <w:tblLayout w:type="fixed"/>
        <w:tblCellMar>
          <w:left w:w="70" w:type="dxa"/>
          <w:right w:w="70" w:type="dxa"/>
        </w:tblCellMar>
        <w:tblLook w:val="04A0" w:firstRow="1" w:lastRow="0" w:firstColumn="1" w:lastColumn="0" w:noHBand="0" w:noVBand="1"/>
      </w:tblPr>
      <w:tblGrid>
        <w:gridCol w:w="455"/>
        <w:gridCol w:w="3046"/>
        <w:gridCol w:w="619"/>
        <w:gridCol w:w="864"/>
        <w:gridCol w:w="863"/>
        <w:gridCol w:w="901"/>
        <w:gridCol w:w="902"/>
        <w:gridCol w:w="912"/>
        <w:gridCol w:w="1067"/>
      </w:tblGrid>
      <w:tr w:rsidR="00176158" w:rsidRPr="00005453" w14:paraId="06B0907F" w14:textId="77777777" w:rsidTr="00A9473B">
        <w:trPr>
          <w:trHeight w:val="42"/>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228B22BD" w14:textId="77777777" w:rsidR="00176158" w:rsidRPr="00005453" w:rsidRDefault="00176158" w:rsidP="00176158">
            <w:pPr>
              <w:rPr>
                <w:color w:val="000000"/>
                <w:sz w:val="14"/>
                <w:szCs w:val="14"/>
                <w:lang w:eastAsia="tr-TR"/>
              </w:rPr>
            </w:pPr>
          </w:p>
        </w:tc>
        <w:tc>
          <w:tcPr>
            <w:tcW w:w="30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4EC07C9C" w14:textId="77777777" w:rsidR="00176158" w:rsidRPr="00005453" w:rsidRDefault="00176158" w:rsidP="00176158">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793F3E" w14:textId="77777777" w:rsidR="00176158" w:rsidRPr="00005453" w:rsidRDefault="00176158" w:rsidP="00176158">
            <w:pPr>
              <w:rPr>
                <w:color w:val="000000"/>
                <w:sz w:val="14"/>
                <w:szCs w:val="14"/>
                <w:lang w:eastAsia="tr-TR"/>
              </w:rPr>
            </w:pPr>
          </w:p>
        </w:tc>
        <w:tc>
          <w:tcPr>
            <w:tcW w:w="2628" w:type="dxa"/>
            <w:gridSpan w:val="3"/>
            <w:tcBorders>
              <w:top w:val="single" w:sz="4" w:space="0" w:color="auto"/>
              <w:left w:val="single" w:sz="4" w:space="0" w:color="auto"/>
              <w:bottom w:val="nil"/>
              <w:right w:val="single" w:sz="4" w:space="0" w:color="auto"/>
            </w:tcBorders>
            <w:shd w:val="clear" w:color="auto" w:fill="auto"/>
            <w:noWrap/>
            <w:vAlign w:val="center"/>
            <w:hideMark/>
          </w:tcPr>
          <w:p w14:paraId="4B7C0DCE" w14:textId="5F76F0DB" w:rsidR="00176158" w:rsidRPr="00005453" w:rsidRDefault="00176158" w:rsidP="00614CD2">
            <w:pPr>
              <w:jc w:val="right"/>
              <w:rPr>
                <w:b/>
                <w:bCs/>
                <w:color w:val="000000"/>
                <w:sz w:val="14"/>
                <w:szCs w:val="14"/>
                <w:lang w:eastAsia="tr-TR"/>
              </w:rPr>
            </w:pPr>
            <w:r w:rsidRPr="00005453">
              <w:rPr>
                <w:b/>
                <w:bCs/>
                <w:color w:val="000000"/>
                <w:sz w:val="14"/>
                <w:szCs w:val="14"/>
                <w:lang w:eastAsia="tr-TR"/>
              </w:rPr>
              <w:t>Bağımsız Denetimden Geçmiş</w:t>
            </w:r>
          </w:p>
        </w:tc>
        <w:tc>
          <w:tcPr>
            <w:tcW w:w="2881" w:type="dxa"/>
            <w:gridSpan w:val="3"/>
            <w:tcBorders>
              <w:top w:val="single" w:sz="4" w:space="0" w:color="auto"/>
              <w:left w:val="single" w:sz="4" w:space="0" w:color="auto"/>
              <w:bottom w:val="nil"/>
              <w:right w:val="single" w:sz="4" w:space="0" w:color="auto"/>
            </w:tcBorders>
            <w:shd w:val="clear" w:color="auto" w:fill="auto"/>
            <w:noWrap/>
            <w:vAlign w:val="center"/>
          </w:tcPr>
          <w:p w14:paraId="712A8155" w14:textId="31F41615" w:rsidR="00176158" w:rsidRPr="00005453" w:rsidRDefault="00CF19C8" w:rsidP="00614CD2">
            <w:pPr>
              <w:jc w:val="right"/>
              <w:rPr>
                <w:b/>
                <w:bCs/>
                <w:color w:val="000000"/>
                <w:sz w:val="14"/>
                <w:szCs w:val="14"/>
                <w:lang w:eastAsia="tr-TR"/>
              </w:rPr>
            </w:pPr>
            <w:r w:rsidRPr="00005453">
              <w:rPr>
                <w:b/>
                <w:bCs/>
                <w:color w:val="000000"/>
                <w:sz w:val="14"/>
                <w:szCs w:val="14"/>
                <w:lang w:eastAsia="tr-TR"/>
              </w:rPr>
              <w:t>Bağımsız Denetimden Geçmiş</w:t>
            </w:r>
          </w:p>
        </w:tc>
      </w:tr>
      <w:tr w:rsidR="00176158" w:rsidRPr="00005453" w14:paraId="46FBB824" w14:textId="77777777" w:rsidTr="00A9473B">
        <w:trPr>
          <w:trHeight w:val="32"/>
        </w:trPr>
        <w:tc>
          <w:tcPr>
            <w:tcW w:w="455" w:type="dxa"/>
            <w:vMerge/>
            <w:tcBorders>
              <w:top w:val="single" w:sz="8" w:space="0" w:color="auto"/>
              <w:left w:val="single" w:sz="4" w:space="0" w:color="auto"/>
              <w:bottom w:val="single" w:sz="8" w:space="0" w:color="000000"/>
              <w:right w:val="single" w:sz="4" w:space="0" w:color="auto"/>
            </w:tcBorders>
            <w:vAlign w:val="center"/>
          </w:tcPr>
          <w:p w14:paraId="3EA3F9EE" w14:textId="77777777" w:rsidR="00176158" w:rsidRPr="00005453" w:rsidRDefault="00176158" w:rsidP="00176158">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33B7F63B" w14:textId="77777777" w:rsidR="00176158" w:rsidRPr="00005453" w:rsidRDefault="00176158" w:rsidP="00176158">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tcPr>
          <w:p w14:paraId="336DF5F3" w14:textId="77777777" w:rsidR="00176158" w:rsidRPr="00005453" w:rsidRDefault="00176158" w:rsidP="00176158">
            <w:pPr>
              <w:rPr>
                <w:color w:val="000000"/>
                <w:sz w:val="14"/>
                <w:szCs w:val="14"/>
                <w:lang w:eastAsia="tr-TR"/>
              </w:rPr>
            </w:pPr>
          </w:p>
        </w:tc>
        <w:tc>
          <w:tcPr>
            <w:tcW w:w="864" w:type="dxa"/>
            <w:tcBorders>
              <w:top w:val="nil"/>
              <w:left w:val="single" w:sz="4" w:space="0" w:color="auto"/>
              <w:bottom w:val="nil"/>
            </w:tcBorders>
            <w:shd w:val="clear" w:color="auto" w:fill="auto"/>
            <w:noWrap/>
            <w:vAlign w:val="center"/>
            <w:hideMark/>
          </w:tcPr>
          <w:p w14:paraId="1C812DD1" w14:textId="77777777" w:rsidR="00176158" w:rsidRPr="00005453" w:rsidRDefault="00176158" w:rsidP="00614CD2">
            <w:pPr>
              <w:jc w:val="right"/>
              <w:rPr>
                <w:b/>
                <w:bCs/>
                <w:color w:val="000000"/>
                <w:sz w:val="14"/>
                <w:szCs w:val="14"/>
                <w:lang w:eastAsia="tr-TR"/>
              </w:rPr>
            </w:pPr>
          </w:p>
        </w:tc>
        <w:tc>
          <w:tcPr>
            <w:tcW w:w="863" w:type="dxa"/>
            <w:tcBorders>
              <w:top w:val="nil"/>
              <w:bottom w:val="nil"/>
            </w:tcBorders>
            <w:shd w:val="clear" w:color="auto" w:fill="auto"/>
            <w:noWrap/>
            <w:vAlign w:val="center"/>
            <w:hideMark/>
          </w:tcPr>
          <w:p w14:paraId="22C769CB" w14:textId="77777777" w:rsidR="00176158" w:rsidRPr="00005453" w:rsidRDefault="00176158" w:rsidP="00614CD2">
            <w:pPr>
              <w:jc w:val="right"/>
              <w:rPr>
                <w:sz w:val="14"/>
                <w:szCs w:val="14"/>
                <w:lang w:eastAsia="tr-TR"/>
              </w:rPr>
            </w:pPr>
          </w:p>
        </w:tc>
        <w:tc>
          <w:tcPr>
            <w:tcW w:w="901" w:type="dxa"/>
            <w:tcBorders>
              <w:top w:val="nil"/>
              <w:left w:val="nil"/>
              <w:bottom w:val="nil"/>
              <w:right w:val="single" w:sz="4" w:space="0" w:color="auto"/>
            </w:tcBorders>
            <w:shd w:val="clear" w:color="auto" w:fill="auto"/>
            <w:vAlign w:val="center"/>
            <w:hideMark/>
          </w:tcPr>
          <w:p w14:paraId="5732536E"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Cari Dönem</w:t>
            </w:r>
          </w:p>
        </w:tc>
        <w:tc>
          <w:tcPr>
            <w:tcW w:w="902" w:type="dxa"/>
            <w:tcBorders>
              <w:top w:val="nil"/>
              <w:left w:val="single" w:sz="4" w:space="0" w:color="auto"/>
              <w:bottom w:val="nil"/>
            </w:tcBorders>
            <w:shd w:val="clear" w:color="auto" w:fill="auto"/>
            <w:noWrap/>
            <w:vAlign w:val="center"/>
          </w:tcPr>
          <w:p w14:paraId="40B79620" w14:textId="77777777" w:rsidR="00176158" w:rsidRPr="00005453" w:rsidRDefault="00176158" w:rsidP="00614CD2">
            <w:pPr>
              <w:jc w:val="right"/>
              <w:rPr>
                <w:b/>
                <w:bCs/>
                <w:color w:val="000000"/>
                <w:sz w:val="14"/>
                <w:szCs w:val="14"/>
                <w:lang w:eastAsia="tr-TR"/>
              </w:rPr>
            </w:pPr>
          </w:p>
        </w:tc>
        <w:tc>
          <w:tcPr>
            <w:tcW w:w="912" w:type="dxa"/>
            <w:tcBorders>
              <w:top w:val="nil"/>
              <w:bottom w:val="nil"/>
            </w:tcBorders>
            <w:shd w:val="clear" w:color="auto" w:fill="auto"/>
            <w:noWrap/>
            <w:vAlign w:val="center"/>
          </w:tcPr>
          <w:p w14:paraId="5E072A6E" w14:textId="77777777" w:rsidR="00176158" w:rsidRPr="00005453" w:rsidRDefault="00176158" w:rsidP="00614CD2">
            <w:pPr>
              <w:jc w:val="right"/>
              <w:rPr>
                <w:b/>
                <w:bCs/>
                <w:color w:val="000000"/>
                <w:sz w:val="14"/>
                <w:szCs w:val="14"/>
                <w:lang w:eastAsia="tr-TR"/>
              </w:rPr>
            </w:pPr>
          </w:p>
        </w:tc>
        <w:tc>
          <w:tcPr>
            <w:tcW w:w="1065" w:type="dxa"/>
            <w:tcBorders>
              <w:top w:val="nil"/>
              <w:left w:val="nil"/>
              <w:bottom w:val="nil"/>
              <w:right w:val="single" w:sz="4" w:space="0" w:color="auto"/>
            </w:tcBorders>
            <w:shd w:val="clear" w:color="auto" w:fill="auto"/>
            <w:vAlign w:val="center"/>
          </w:tcPr>
          <w:p w14:paraId="53F3B1E0" w14:textId="045DC2AB" w:rsidR="00176158" w:rsidRPr="00005453" w:rsidRDefault="00CF19C8" w:rsidP="00614CD2">
            <w:pPr>
              <w:ind w:left="-4" w:hanging="123"/>
              <w:jc w:val="right"/>
              <w:rPr>
                <w:b/>
                <w:bCs/>
                <w:color w:val="000000"/>
                <w:sz w:val="14"/>
                <w:szCs w:val="14"/>
                <w:lang w:eastAsia="tr-TR"/>
              </w:rPr>
            </w:pPr>
            <w:r w:rsidRPr="00005453">
              <w:rPr>
                <w:b/>
                <w:bCs/>
                <w:color w:val="000000"/>
                <w:sz w:val="14"/>
                <w:szCs w:val="14"/>
                <w:lang w:eastAsia="tr-TR"/>
              </w:rPr>
              <w:t>Önceki Dönem</w:t>
            </w:r>
          </w:p>
        </w:tc>
      </w:tr>
      <w:tr w:rsidR="00176158" w:rsidRPr="00005453" w14:paraId="1BD95F5B" w14:textId="77777777" w:rsidTr="00A9473B">
        <w:trPr>
          <w:trHeight w:val="32"/>
        </w:trPr>
        <w:tc>
          <w:tcPr>
            <w:tcW w:w="455" w:type="dxa"/>
            <w:vMerge/>
            <w:tcBorders>
              <w:top w:val="single" w:sz="8" w:space="0" w:color="auto"/>
              <w:left w:val="single" w:sz="4" w:space="0" w:color="auto"/>
              <w:bottom w:val="single" w:sz="4" w:space="0" w:color="auto"/>
              <w:right w:val="single" w:sz="4" w:space="0" w:color="auto"/>
            </w:tcBorders>
            <w:vAlign w:val="center"/>
          </w:tcPr>
          <w:p w14:paraId="41D407C8" w14:textId="77777777" w:rsidR="00176158" w:rsidRPr="00005453" w:rsidRDefault="00176158" w:rsidP="00176158">
            <w:pPr>
              <w:rPr>
                <w:color w:val="000000"/>
                <w:sz w:val="14"/>
                <w:szCs w:val="14"/>
                <w:lang w:eastAsia="tr-TR"/>
              </w:rPr>
            </w:pPr>
          </w:p>
        </w:tc>
        <w:tc>
          <w:tcPr>
            <w:tcW w:w="3046" w:type="dxa"/>
            <w:vMerge/>
            <w:tcBorders>
              <w:top w:val="single" w:sz="8" w:space="0" w:color="auto"/>
              <w:left w:val="single" w:sz="4" w:space="0" w:color="auto"/>
              <w:bottom w:val="single" w:sz="4" w:space="0" w:color="auto"/>
              <w:right w:val="single" w:sz="4" w:space="0" w:color="auto"/>
            </w:tcBorders>
            <w:vAlign w:val="center"/>
          </w:tcPr>
          <w:p w14:paraId="7E3B612A" w14:textId="77777777" w:rsidR="00176158" w:rsidRPr="00005453" w:rsidRDefault="00176158" w:rsidP="00176158">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tcPr>
          <w:p w14:paraId="470B7C79" w14:textId="77777777" w:rsidR="00176158" w:rsidRPr="00005453" w:rsidRDefault="00176158" w:rsidP="00176158">
            <w:pPr>
              <w:rPr>
                <w:color w:val="000000"/>
                <w:sz w:val="14"/>
                <w:szCs w:val="14"/>
                <w:lang w:eastAsia="tr-TR"/>
              </w:rPr>
            </w:pPr>
          </w:p>
        </w:tc>
        <w:tc>
          <w:tcPr>
            <w:tcW w:w="2628" w:type="dxa"/>
            <w:gridSpan w:val="3"/>
            <w:tcBorders>
              <w:top w:val="nil"/>
              <w:left w:val="single" w:sz="4" w:space="0" w:color="auto"/>
              <w:bottom w:val="single" w:sz="4" w:space="0" w:color="auto"/>
              <w:right w:val="single" w:sz="4" w:space="0" w:color="auto"/>
            </w:tcBorders>
            <w:shd w:val="clear" w:color="auto" w:fill="auto"/>
            <w:noWrap/>
            <w:vAlign w:val="center"/>
            <w:hideMark/>
          </w:tcPr>
          <w:p w14:paraId="1EB2FD4F" w14:textId="0CB26B81" w:rsidR="00176158" w:rsidRPr="00005453" w:rsidRDefault="00176158" w:rsidP="00614CD2">
            <w:pPr>
              <w:jc w:val="right"/>
              <w:rPr>
                <w:b/>
                <w:bCs/>
                <w:color w:val="000000"/>
                <w:sz w:val="14"/>
                <w:szCs w:val="14"/>
                <w:lang w:eastAsia="tr-TR"/>
              </w:rPr>
            </w:pPr>
            <w:r w:rsidRPr="00005453">
              <w:rPr>
                <w:b/>
                <w:bCs/>
                <w:color w:val="000000"/>
                <w:sz w:val="14"/>
                <w:szCs w:val="14"/>
                <w:lang w:eastAsia="tr-TR"/>
              </w:rPr>
              <w:t>31.12.202</w:t>
            </w:r>
            <w:r w:rsidR="00BA04A2" w:rsidRPr="00005453">
              <w:rPr>
                <w:b/>
                <w:bCs/>
                <w:color w:val="000000"/>
                <w:sz w:val="14"/>
                <w:szCs w:val="14"/>
                <w:lang w:eastAsia="tr-TR"/>
              </w:rPr>
              <w:t>4</w:t>
            </w:r>
          </w:p>
        </w:tc>
        <w:tc>
          <w:tcPr>
            <w:tcW w:w="2881" w:type="dxa"/>
            <w:gridSpan w:val="3"/>
            <w:tcBorders>
              <w:top w:val="nil"/>
              <w:left w:val="single" w:sz="4" w:space="0" w:color="auto"/>
              <w:bottom w:val="single" w:sz="4" w:space="0" w:color="auto"/>
              <w:right w:val="single" w:sz="4" w:space="0" w:color="auto"/>
            </w:tcBorders>
            <w:shd w:val="clear" w:color="auto" w:fill="auto"/>
            <w:noWrap/>
            <w:vAlign w:val="center"/>
          </w:tcPr>
          <w:p w14:paraId="53AC80E3" w14:textId="6EB82E9C" w:rsidR="00176158" w:rsidRPr="00005453" w:rsidRDefault="00CF19C8" w:rsidP="00614CD2">
            <w:pPr>
              <w:jc w:val="right"/>
              <w:rPr>
                <w:b/>
                <w:bCs/>
                <w:color w:val="000000"/>
                <w:sz w:val="14"/>
                <w:szCs w:val="14"/>
                <w:lang w:eastAsia="tr-TR"/>
              </w:rPr>
            </w:pPr>
            <w:r w:rsidRPr="00005453">
              <w:rPr>
                <w:b/>
                <w:bCs/>
                <w:color w:val="000000"/>
                <w:sz w:val="14"/>
                <w:szCs w:val="14"/>
                <w:lang w:eastAsia="tr-TR"/>
              </w:rPr>
              <w:t>31.12.2023</w:t>
            </w:r>
          </w:p>
        </w:tc>
      </w:tr>
      <w:tr w:rsidR="00176158" w:rsidRPr="00005453" w14:paraId="54214514" w14:textId="77777777" w:rsidTr="00A9473B">
        <w:trPr>
          <w:trHeight w:val="42"/>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BE632" w14:textId="77777777" w:rsidR="00176158" w:rsidRPr="00005453" w:rsidRDefault="00176158" w:rsidP="00176158">
            <w:pPr>
              <w:rPr>
                <w:color w:val="000000"/>
                <w:sz w:val="14"/>
                <w:szCs w:val="14"/>
                <w:lang w:eastAsia="tr-TR"/>
              </w:rPr>
            </w:pPr>
            <w:r w:rsidRPr="00005453">
              <w:rPr>
                <w:color w:val="000000"/>
                <w:sz w:val="14"/>
                <w:szCs w:val="14"/>
                <w:lang w:eastAsia="tr-TR"/>
              </w:rPr>
              <w:t> </w:t>
            </w:r>
          </w:p>
        </w:tc>
        <w:tc>
          <w:tcPr>
            <w:tcW w:w="30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AF897" w14:textId="77777777" w:rsidR="00176158" w:rsidRPr="00005453" w:rsidRDefault="00176158" w:rsidP="00176158">
            <w:pPr>
              <w:rPr>
                <w:b/>
                <w:bCs/>
                <w:color w:val="000000"/>
                <w:sz w:val="14"/>
                <w:szCs w:val="14"/>
                <w:lang w:eastAsia="tr-TR"/>
              </w:rPr>
            </w:pPr>
            <w:r w:rsidRPr="00005453">
              <w:rPr>
                <w:b/>
                <w:bCs/>
                <w:color w:val="000000"/>
                <w:sz w:val="14"/>
                <w:szCs w:val="14"/>
                <w:lang w:eastAsia="tr-TR"/>
              </w:rPr>
              <w:t>VARLIKLAR</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F660A" w14:textId="77777777" w:rsidR="00176158" w:rsidRPr="00005453" w:rsidRDefault="00176158" w:rsidP="00176158">
            <w:pPr>
              <w:jc w:val="center"/>
              <w:rPr>
                <w:b/>
                <w:bCs/>
                <w:color w:val="000000"/>
                <w:sz w:val="14"/>
                <w:szCs w:val="14"/>
                <w:lang w:eastAsia="tr-TR"/>
              </w:rPr>
            </w:pPr>
            <w:r w:rsidRPr="00005453">
              <w:rPr>
                <w:b/>
                <w:bCs/>
                <w:color w:val="000000"/>
                <w:sz w:val="14"/>
                <w:szCs w:val="14"/>
                <w:lang w:eastAsia="tr-TR"/>
              </w:rPr>
              <w:t>Dipnot</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A5569"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TP</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B9DCD"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YP</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1704D"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Toplam</w:t>
            </w:r>
          </w:p>
        </w:tc>
        <w:tc>
          <w:tcPr>
            <w:tcW w:w="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E27F7"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TP</w:t>
            </w: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02173"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YP</w:t>
            </w:r>
          </w:p>
        </w:tc>
        <w:tc>
          <w:tcPr>
            <w:tcW w:w="1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FEFD9" w14:textId="77777777" w:rsidR="00176158" w:rsidRPr="00005453" w:rsidRDefault="00176158" w:rsidP="00614CD2">
            <w:pPr>
              <w:jc w:val="right"/>
              <w:rPr>
                <w:b/>
                <w:bCs/>
                <w:color w:val="000000"/>
                <w:sz w:val="14"/>
                <w:szCs w:val="14"/>
                <w:lang w:eastAsia="tr-TR"/>
              </w:rPr>
            </w:pPr>
            <w:r w:rsidRPr="00005453">
              <w:rPr>
                <w:b/>
                <w:bCs/>
                <w:color w:val="000000"/>
                <w:sz w:val="14"/>
                <w:szCs w:val="14"/>
                <w:lang w:eastAsia="tr-TR"/>
              </w:rPr>
              <w:t>Toplam</w:t>
            </w:r>
          </w:p>
        </w:tc>
      </w:tr>
      <w:tr w:rsidR="00176158" w:rsidRPr="00005453" w14:paraId="433193ED" w14:textId="77777777" w:rsidTr="00A9473B">
        <w:trPr>
          <w:trHeight w:val="37"/>
        </w:trPr>
        <w:tc>
          <w:tcPr>
            <w:tcW w:w="455" w:type="dxa"/>
            <w:tcBorders>
              <w:top w:val="single" w:sz="4" w:space="0" w:color="auto"/>
              <w:left w:val="single" w:sz="4" w:space="0" w:color="auto"/>
              <w:bottom w:val="nil"/>
              <w:right w:val="single" w:sz="4" w:space="0" w:color="auto"/>
            </w:tcBorders>
            <w:shd w:val="clear" w:color="auto" w:fill="auto"/>
            <w:noWrap/>
            <w:vAlign w:val="center"/>
            <w:hideMark/>
          </w:tcPr>
          <w:p w14:paraId="1B63E3D0" w14:textId="77777777" w:rsidR="00176158" w:rsidRPr="00005453" w:rsidRDefault="00176158" w:rsidP="00176158">
            <w:pPr>
              <w:jc w:val="right"/>
              <w:rPr>
                <w:b/>
                <w:bCs/>
                <w:color w:val="000000"/>
                <w:sz w:val="10"/>
                <w:szCs w:val="10"/>
                <w:lang w:eastAsia="tr-TR"/>
              </w:rPr>
            </w:pPr>
          </w:p>
        </w:tc>
        <w:tc>
          <w:tcPr>
            <w:tcW w:w="3046" w:type="dxa"/>
            <w:tcBorders>
              <w:top w:val="single" w:sz="4" w:space="0" w:color="auto"/>
              <w:left w:val="single" w:sz="4" w:space="0" w:color="auto"/>
              <w:bottom w:val="nil"/>
              <w:right w:val="single" w:sz="4" w:space="0" w:color="auto"/>
            </w:tcBorders>
            <w:shd w:val="clear" w:color="auto" w:fill="auto"/>
            <w:noWrap/>
            <w:vAlign w:val="center"/>
            <w:hideMark/>
          </w:tcPr>
          <w:p w14:paraId="62276A58" w14:textId="77777777" w:rsidR="00176158" w:rsidRPr="00005453" w:rsidRDefault="00176158" w:rsidP="00176158">
            <w:pPr>
              <w:rPr>
                <w:sz w:val="10"/>
                <w:szCs w:val="10"/>
                <w:lang w:eastAsia="tr-TR"/>
              </w:rPr>
            </w:pPr>
          </w:p>
        </w:tc>
        <w:tc>
          <w:tcPr>
            <w:tcW w:w="619" w:type="dxa"/>
            <w:tcBorders>
              <w:top w:val="single" w:sz="4" w:space="0" w:color="auto"/>
              <w:left w:val="single" w:sz="4" w:space="0" w:color="auto"/>
              <w:bottom w:val="nil"/>
              <w:right w:val="single" w:sz="4" w:space="0" w:color="auto"/>
            </w:tcBorders>
            <w:shd w:val="clear" w:color="auto" w:fill="auto"/>
            <w:noWrap/>
            <w:vAlign w:val="center"/>
            <w:hideMark/>
          </w:tcPr>
          <w:p w14:paraId="1D278C43" w14:textId="77777777" w:rsidR="00176158" w:rsidRPr="00005453" w:rsidRDefault="00176158" w:rsidP="00176158">
            <w:pPr>
              <w:rPr>
                <w:sz w:val="10"/>
                <w:szCs w:val="10"/>
                <w:lang w:eastAsia="tr-TR"/>
              </w:rPr>
            </w:pPr>
          </w:p>
        </w:tc>
        <w:tc>
          <w:tcPr>
            <w:tcW w:w="864" w:type="dxa"/>
            <w:tcBorders>
              <w:top w:val="single" w:sz="4" w:space="0" w:color="auto"/>
              <w:left w:val="single" w:sz="4" w:space="0" w:color="auto"/>
              <w:bottom w:val="nil"/>
              <w:right w:val="single" w:sz="4" w:space="0" w:color="auto"/>
            </w:tcBorders>
            <w:shd w:val="clear" w:color="auto" w:fill="auto"/>
            <w:noWrap/>
            <w:vAlign w:val="bottom"/>
            <w:hideMark/>
          </w:tcPr>
          <w:p w14:paraId="113C9519" w14:textId="77777777" w:rsidR="00176158" w:rsidRPr="00005453" w:rsidRDefault="00176158" w:rsidP="00176158">
            <w:pPr>
              <w:jc w:val="right"/>
              <w:rPr>
                <w:sz w:val="10"/>
                <w:szCs w:val="10"/>
                <w:lang w:eastAsia="tr-TR"/>
              </w:rPr>
            </w:pPr>
          </w:p>
        </w:tc>
        <w:tc>
          <w:tcPr>
            <w:tcW w:w="863" w:type="dxa"/>
            <w:tcBorders>
              <w:top w:val="single" w:sz="4" w:space="0" w:color="auto"/>
              <w:left w:val="single" w:sz="4" w:space="0" w:color="auto"/>
              <w:bottom w:val="nil"/>
              <w:right w:val="single" w:sz="4" w:space="0" w:color="auto"/>
            </w:tcBorders>
            <w:shd w:val="clear" w:color="auto" w:fill="auto"/>
            <w:noWrap/>
            <w:vAlign w:val="bottom"/>
            <w:hideMark/>
          </w:tcPr>
          <w:p w14:paraId="5C30A0BE" w14:textId="77777777" w:rsidR="00176158" w:rsidRPr="00005453" w:rsidRDefault="00176158" w:rsidP="00176158">
            <w:pPr>
              <w:jc w:val="right"/>
              <w:rPr>
                <w:sz w:val="10"/>
                <w:szCs w:val="10"/>
                <w:lang w:eastAsia="tr-TR"/>
              </w:rPr>
            </w:pPr>
          </w:p>
        </w:tc>
        <w:tc>
          <w:tcPr>
            <w:tcW w:w="901" w:type="dxa"/>
            <w:tcBorders>
              <w:top w:val="single" w:sz="4" w:space="0" w:color="auto"/>
              <w:left w:val="single" w:sz="4" w:space="0" w:color="auto"/>
              <w:bottom w:val="nil"/>
              <w:right w:val="single" w:sz="4" w:space="0" w:color="auto"/>
            </w:tcBorders>
            <w:shd w:val="clear" w:color="auto" w:fill="auto"/>
            <w:noWrap/>
            <w:vAlign w:val="bottom"/>
            <w:hideMark/>
          </w:tcPr>
          <w:p w14:paraId="50938FDC" w14:textId="77777777" w:rsidR="00176158" w:rsidRPr="00005453" w:rsidRDefault="00176158" w:rsidP="00176158">
            <w:pPr>
              <w:jc w:val="right"/>
              <w:rPr>
                <w:sz w:val="10"/>
                <w:szCs w:val="10"/>
                <w:lang w:eastAsia="tr-TR"/>
              </w:rPr>
            </w:pPr>
          </w:p>
        </w:tc>
        <w:tc>
          <w:tcPr>
            <w:tcW w:w="902" w:type="dxa"/>
            <w:tcBorders>
              <w:top w:val="single" w:sz="4" w:space="0" w:color="auto"/>
              <w:left w:val="single" w:sz="4" w:space="0" w:color="auto"/>
              <w:bottom w:val="nil"/>
              <w:right w:val="single" w:sz="4" w:space="0" w:color="auto"/>
            </w:tcBorders>
            <w:shd w:val="clear" w:color="auto" w:fill="auto"/>
            <w:noWrap/>
            <w:vAlign w:val="bottom"/>
            <w:hideMark/>
          </w:tcPr>
          <w:p w14:paraId="4802C7E8" w14:textId="77777777" w:rsidR="00176158" w:rsidRPr="00005453" w:rsidRDefault="00176158" w:rsidP="00176158">
            <w:pPr>
              <w:jc w:val="right"/>
              <w:rPr>
                <w:sz w:val="10"/>
                <w:szCs w:val="10"/>
                <w:lang w:eastAsia="tr-TR"/>
              </w:rPr>
            </w:pPr>
          </w:p>
        </w:tc>
        <w:tc>
          <w:tcPr>
            <w:tcW w:w="912" w:type="dxa"/>
            <w:tcBorders>
              <w:top w:val="single" w:sz="4" w:space="0" w:color="auto"/>
              <w:left w:val="single" w:sz="4" w:space="0" w:color="auto"/>
              <w:bottom w:val="nil"/>
              <w:right w:val="single" w:sz="4" w:space="0" w:color="auto"/>
            </w:tcBorders>
            <w:shd w:val="clear" w:color="auto" w:fill="auto"/>
            <w:noWrap/>
            <w:vAlign w:val="bottom"/>
            <w:hideMark/>
          </w:tcPr>
          <w:p w14:paraId="2DBBF915" w14:textId="77777777" w:rsidR="00176158" w:rsidRPr="00005453" w:rsidRDefault="00176158" w:rsidP="00176158">
            <w:pPr>
              <w:jc w:val="right"/>
              <w:rPr>
                <w:sz w:val="10"/>
                <w:szCs w:val="10"/>
                <w:lang w:eastAsia="tr-TR"/>
              </w:rPr>
            </w:pPr>
          </w:p>
        </w:tc>
        <w:tc>
          <w:tcPr>
            <w:tcW w:w="1065" w:type="dxa"/>
            <w:tcBorders>
              <w:top w:val="single" w:sz="4" w:space="0" w:color="auto"/>
              <w:left w:val="single" w:sz="4" w:space="0" w:color="auto"/>
              <w:bottom w:val="nil"/>
              <w:right w:val="single" w:sz="4" w:space="0" w:color="auto"/>
            </w:tcBorders>
            <w:shd w:val="clear" w:color="auto" w:fill="auto"/>
            <w:noWrap/>
            <w:vAlign w:val="bottom"/>
            <w:hideMark/>
          </w:tcPr>
          <w:p w14:paraId="1F4F6064" w14:textId="77777777" w:rsidR="00176158" w:rsidRPr="00005453" w:rsidRDefault="00176158" w:rsidP="00176158">
            <w:pPr>
              <w:jc w:val="right"/>
              <w:rPr>
                <w:sz w:val="10"/>
                <w:szCs w:val="10"/>
                <w:lang w:eastAsia="tr-TR"/>
              </w:rPr>
            </w:pPr>
          </w:p>
        </w:tc>
      </w:tr>
      <w:tr w:rsidR="007A3751" w:rsidRPr="00005453" w14:paraId="07CFEFAC"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6004BC65"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I.</w:t>
            </w:r>
          </w:p>
        </w:tc>
        <w:tc>
          <w:tcPr>
            <w:tcW w:w="3046" w:type="dxa"/>
            <w:tcBorders>
              <w:top w:val="nil"/>
              <w:left w:val="single" w:sz="4" w:space="0" w:color="auto"/>
              <w:bottom w:val="nil"/>
              <w:right w:val="single" w:sz="4" w:space="0" w:color="auto"/>
            </w:tcBorders>
            <w:shd w:val="clear" w:color="auto" w:fill="auto"/>
            <w:noWrap/>
            <w:hideMark/>
          </w:tcPr>
          <w:p w14:paraId="30BC4B9B"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hideMark/>
          </w:tcPr>
          <w:p w14:paraId="42AD35C7" w14:textId="77777777" w:rsidR="007A3751" w:rsidRPr="00005453" w:rsidRDefault="007A3751" w:rsidP="007A3751">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9F4DD2D" w14:textId="18979866" w:rsidR="007A3751" w:rsidRPr="00005453" w:rsidRDefault="007A3751" w:rsidP="007A3751">
            <w:pPr>
              <w:jc w:val="right"/>
              <w:rPr>
                <w:b/>
                <w:bCs/>
                <w:sz w:val="14"/>
                <w:szCs w:val="14"/>
              </w:rPr>
            </w:pPr>
            <w:r w:rsidRPr="00005453">
              <w:rPr>
                <w:b/>
                <w:bCs/>
                <w:sz w:val="14"/>
                <w:szCs w:val="18"/>
              </w:rPr>
              <w:t>113,004,326</w:t>
            </w:r>
          </w:p>
        </w:tc>
        <w:tc>
          <w:tcPr>
            <w:tcW w:w="863" w:type="dxa"/>
            <w:tcBorders>
              <w:top w:val="nil"/>
              <w:left w:val="single" w:sz="4" w:space="0" w:color="auto"/>
              <w:bottom w:val="nil"/>
              <w:right w:val="single" w:sz="4" w:space="0" w:color="auto"/>
            </w:tcBorders>
            <w:shd w:val="clear" w:color="auto" w:fill="auto"/>
            <w:vAlign w:val="center"/>
            <w:hideMark/>
          </w:tcPr>
          <w:p w14:paraId="11D5BE93" w14:textId="3E9BAF73" w:rsidR="007A3751" w:rsidRPr="00005453" w:rsidRDefault="007A3751" w:rsidP="007A3751">
            <w:pPr>
              <w:jc w:val="right"/>
              <w:rPr>
                <w:b/>
                <w:bCs/>
                <w:sz w:val="14"/>
                <w:szCs w:val="14"/>
              </w:rPr>
            </w:pPr>
            <w:r w:rsidRPr="00005453">
              <w:rPr>
                <w:b/>
                <w:bCs/>
                <w:sz w:val="14"/>
                <w:szCs w:val="18"/>
              </w:rPr>
              <w:t>231,439,362</w:t>
            </w:r>
          </w:p>
        </w:tc>
        <w:tc>
          <w:tcPr>
            <w:tcW w:w="901" w:type="dxa"/>
            <w:tcBorders>
              <w:top w:val="nil"/>
              <w:left w:val="single" w:sz="4" w:space="0" w:color="auto"/>
              <w:bottom w:val="nil"/>
              <w:right w:val="single" w:sz="4" w:space="0" w:color="auto"/>
            </w:tcBorders>
            <w:shd w:val="clear" w:color="auto" w:fill="auto"/>
            <w:vAlign w:val="center"/>
            <w:hideMark/>
          </w:tcPr>
          <w:p w14:paraId="4FFCBBDB" w14:textId="139CFE39" w:rsidR="007A3751" w:rsidRPr="00005453" w:rsidRDefault="007A3751" w:rsidP="007A3751">
            <w:pPr>
              <w:jc w:val="right"/>
              <w:rPr>
                <w:b/>
                <w:bCs/>
                <w:sz w:val="14"/>
                <w:szCs w:val="14"/>
              </w:rPr>
            </w:pPr>
            <w:r w:rsidRPr="00005453">
              <w:rPr>
                <w:b/>
                <w:bCs/>
                <w:sz w:val="14"/>
                <w:szCs w:val="18"/>
              </w:rPr>
              <w:t>344,443,688</w:t>
            </w:r>
          </w:p>
        </w:tc>
        <w:tc>
          <w:tcPr>
            <w:tcW w:w="902" w:type="dxa"/>
            <w:tcBorders>
              <w:top w:val="nil"/>
              <w:left w:val="single" w:sz="4" w:space="0" w:color="auto"/>
              <w:bottom w:val="nil"/>
              <w:right w:val="single" w:sz="4" w:space="0" w:color="auto"/>
            </w:tcBorders>
            <w:shd w:val="clear" w:color="auto" w:fill="auto"/>
            <w:vAlign w:val="center"/>
            <w:hideMark/>
          </w:tcPr>
          <w:p w14:paraId="2DBFB214" w14:textId="1AA2AEE3" w:rsidR="007A3751" w:rsidRPr="00005453" w:rsidRDefault="007A3751" w:rsidP="007A3751">
            <w:pPr>
              <w:jc w:val="right"/>
              <w:rPr>
                <w:b/>
                <w:bCs/>
                <w:sz w:val="14"/>
                <w:szCs w:val="14"/>
                <w:lang w:eastAsia="tr-TR"/>
              </w:rPr>
            </w:pPr>
            <w:r w:rsidRPr="00005453">
              <w:rPr>
                <w:b/>
                <w:bCs/>
                <w:sz w:val="14"/>
                <w:szCs w:val="14"/>
              </w:rPr>
              <w:t>82,833,739</w:t>
            </w:r>
          </w:p>
        </w:tc>
        <w:tc>
          <w:tcPr>
            <w:tcW w:w="912" w:type="dxa"/>
            <w:tcBorders>
              <w:top w:val="nil"/>
              <w:left w:val="single" w:sz="4" w:space="0" w:color="auto"/>
              <w:bottom w:val="nil"/>
              <w:right w:val="single" w:sz="4" w:space="0" w:color="auto"/>
            </w:tcBorders>
            <w:shd w:val="clear" w:color="auto" w:fill="auto"/>
            <w:vAlign w:val="center"/>
            <w:hideMark/>
          </w:tcPr>
          <w:p w14:paraId="2E1F63DC" w14:textId="43B183A0" w:rsidR="007A3751" w:rsidRPr="00005453" w:rsidRDefault="007A3751" w:rsidP="007A3751">
            <w:pPr>
              <w:jc w:val="right"/>
              <w:rPr>
                <w:b/>
                <w:bCs/>
                <w:sz w:val="14"/>
                <w:szCs w:val="14"/>
                <w:lang w:eastAsia="tr-TR"/>
              </w:rPr>
            </w:pPr>
            <w:r w:rsidRPr="00005453">
              <w:rPr>
                <w:b/>
                <w:bCs/>
                <w:sz w:val="14"/>
                <w:szCs w:val="14"/>
              </w:rPr>
              <w:t>188,565,919</w:t>
            </w:r>
          </w:p>
        </w:tc>
        <w:tc>
          <w:tcPr>
            <w:tcW w:w="1065" w:type="dxa"/>
            <w:tcBorders>
              <w:top w:val="nil"/>
              <w:left w:val="single" w:sz="4" w:space="0" w:color="auto"/>
              <w:bottom w:val="nil"/>
              <w:right w:val="single" w:sz="4" w:space="0" w:color="auto"/>
            </w:tcBorders>
            <w:shd w:val="clear" w:color="auto" w:fill="auto"/>
            <w:vAlign w:val="center"/>
            <w:hideMark/>
          </w:tcPr>
          <w:p w14:paraId="0546CA6A" w14:textId="5D9FB28F" w:rsidR="007A3751" w:rsidRPr="00005453" w:rsidRDefault="007A3751" w:rsidP="007A3751">
            <w:pPr>
              <w:jc w:val="right"/>
              <w:rPr>
                <w:b/>
                <w:bCs/>
                <w:sz w:val="14"/>
                <w:szCs w:val="14"/>
                <w:lang w:eastAsia="tr-TR"/>
              </w:rPr>
            </w:pPr>
            <w:r w:rsidRPr="00005453">
              <w:rPr>
                <w:b/>
                <w:bCs/>
                <w:sz w:val="14"/>
                <w:szCs w:val="14"/>
              </w:rPr>
              <w:t>271,399,658</w:t>
            </w:r>
          </w:p>
        </w:tc>
      </w:tr>
      <w:tr w:rsidR="007A3751" w:rsidRPr="00005453" w14:paraId="65A384D3"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4F2A3E93"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1.1.</w:t>
            </w:r>
          </w:p>
        </w:tc>
        <w:tc>
          <w:tcPr>
            <w:tcW w:w="3046" w:type="dxa"/>
            <w:tcBorders>
              <w:top w:val="nil"/>
              <w:left w:val="single" w:sz="4" w:space="0" w:color="auto"/>
              <w:bottom w:val="nil"/>
              <w:right w:val="single" w:sz="4" w:space="0" w:color="auto"/>
            </w:tcBorders>
            <w:shd w:val="clear" w:color="auto" w:fill="auto"/>
            <w:noWrap/>
            <w:hideMark/>
          </w:tcPr>
          <w:p w14:paraId="22AF63DF"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hideMark/>
          </w:tcPr>
          <w:p w14:paraId="3D972D04" w14:textId="77777777" w:rsidR="007A3751" w:rsidRPr="00005453" w:rsidRDefault="007A3751" w:rsidP="007A3751">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BA6C579" w14:textId="6A0AC242" w:rsidR="007A3751" w:rsidRPr="00005453" w:rsidRDefault="007A3751" w:rsidP="007A3751">
            <w:pPr>
              <w:jc w:val="right"/>
              <w:rPr>
                <w:b/>
                <w:bCs/>
                <w:sz w:val="14"/>
                <w:szCs w:val="14"/>
              </w:rPr>
            </w:pPr>
            <w:r w:rsidRPr="00005453">
              <w:rPr>
                <w:b/>
                <w:bCs/>
                <w:sz w:val="14"/>
                <w:szCs w:val="18"/>
              </w:rPr>
              <w:t>59,569,581</w:t>
            </w:r>
          </w:p>
        </w:tc>
        <w:tc>
          <w:tcPr>
            <w:tcW w:w="863" w:type="dxa"/>
            <w:tcBorders>
              <w:top w:val="nil"/>
              <w:left w:val="single" w:sz="4" w:space="0" w:color="auto"/>
              <w:bottom w:val="nil"/>
              <w:right w:val="single" w:sz="4" w:space="0" w:color="auto"/>
            </w:tcBorders>
            <w:shd w:val="clear" w:color="auto" w:fill="auto"/>
            <w:vAlign w:val="center"/>
            <w:hideMark/>
          </w:tcPr>
          <w:p w14:paraId="77F296AF" w14:textId="49A99F3A" w:rsidR="007A3751" w:rsidRPr="00005453" w:rsidRDefault="007A3751" w:rsidP="007A3751">
            <w:pPr>
              <w:jc w:val="right"/>
              <w:rPr>
                <w:b/>
                <w:bCs/>
                <w:sz w:val="14"/>
                <w:szCs w:val="14"/>
              </w:rPr>
            </w:pPr>
            <w:r w:rsidRPr="00005453">
              <w:rPr>
                <w:b/>
                <w:bCs/>
                <w:sz w:val="14"/>
                <w:szCs w:val="18"/>
              </w:rPr>
              <w:t>190,460,115</w:t>
            </w:r>
          </w:p>
        </w:tc>
        <w:tc>
          <w:tcPr>
            <w:tcW w:w="901" w:type="dxa"/>
            <w:tcBorders>
              <w:top w:val="nil"/>
              <w:left w:val="single" w:sz="4" w:space="0" w:color="auto"/>
              <w:bottom w:val="nil"/>
              <w:right w:val="single" w:sz="4" w:space="0" w:color="auto"/>
            </w:tcBorders>
            <w:shd w:val="clear" w:color="auto" w:fill="auto"/>
            <w:vAlign w:val="center"/>
            <w:hideMark/>
          </w:tcPr>
          <w:p w14:paraId="308BAEC9" w14:textId="58151E09" w:rsidR="007A3751" w:rsidRPr="00005453" w:rsidRDefault="007A3751" w:rsidP="007A3751">
            <w:pPr>
              <w:jc w:val="right"/>
              <w:rPr>
                <w:b/>
                <w:bCs/>
                <w:sz w:val="14"/>
                <w:szCs w:val="14"/>
              </w:rPr>
            </w:pPr>
            <w:r w:rsidRPr="00005453">
              <w:rPr>
                <w:b/>
                <w:bCs/>
                <w:sz w:val="14"/>
                <w:szCs w:val="18"/>
              </w:rPr>
              <w:t>250,029,696</w:t>
            </w:r>
          </w:p>
        </w:tc>
        <w:tc>
          <w:tcPr>
            <w:tcW w:w="902" w:type="dxa"/>
            <w:tcBorders>
              <w:top w:val="nil"/>
              <w:left w:val="single" w:sz="4" w:space="0" w:color="auto"/>
              <w:bottom w:val="nil"/>
              <w:right w:val="single" w:sz="4" w:space="0" w:color="auto"/>
            </w:tcBorders>
            <w:shd w:val="clear" w:color="auto" w:fill="auto"/>
            <w:vAlign w:val="center"/>
            <w:hideMark/>
          </w:tcPr>
          <w:p w14:paraId="79BD2E8E" w14:textId="471A7FD8" w:rsidR="007A3751" w:rsidRPr="00005453" w:rsidRDefault="007A3751" w:rsidP="007A3751">
            <w:pPr>
              <w:jc w:val="right"/>
              <w:rPr>
                <w:b/>
                <w:bCs/>
                <w:sz w:val="14"/>
                <w:szCs w:val="14"/>
                <w:lang w:eastAsia="tr-TR"/>
              </w:rPr>
            </w:pPr>
            <w:r w:rsidRPr="00005453">
              <w:rPr>
                <w:b/>
                <w:bCs/>
                <w:sz w:val="14"/>
                <w:szCs w:val="14"/>
              </w:rPr>
              <w:t>30,060,030</w:t>
            </w:r>
          </w:p>
        </w:tc>
        <w:tc>
          <w:tcPr>
            <w:tcW w:w="912" w:type="dxa"/>
            <w:tcBorders>
              <w:top w:val="nil"/>
              <w:left w:val="single" w:sz="4" w:space="0" w:color="auto"/>
              <w:bottom w:val="nil"/>
              <w:right w:val="single" w:sz="4" w:space="0" w:color="auto"/>
            </w:tcBorders>
            <w:shd w:val="clear" w:color="auto" w:fill="auto"/>
            <w:vAlign w:val="center"/>
            <w:hideMark/>
          </w:tcPr>
          <w:p w14:paraId="69B0001C" w14:textId="54E27D52" w:rsidR="007A3751" w:rsidRPr="00005453" w:rsidRDefault="007A3751" w:rsidP="007A3751">
            <w:pPr>
              <w:jc w:val="right"/>
              <w:rPr>
                <w:b/>
                <w:bCs/>
                <w:sz w:val="14"/>
                <w:szCs w:val="14"/>
                <w:lang w:eastAsia="tr-TR"/>
              </w:rPr>
            </w:pPr>
            <w:r w:rsidRPr="00005453">
              <w:rPr>
                <w:b/>
                <w:bCs/>
                <w:sz w:val="14"/>
                <w:szCs w:val="14"/>
              </w:rPr>
              <w:t>128,727,096</w:t>
            </w:r>
          </w:p>
        </w:tc>
        <w:tc>
          <w:tcPr>
            <w:tcW w:w="1065" w:type="dxa"/>
            <w:tcBorders>
              <w:top w:val="nil"/>
              <w:left w:val="single" w:sz="4" w:space="0" w:color="auto"/>
              <w:bottom w:val="nil"/>
              <w:right w:val="single" w:sz="4" w:space="0" w:color="auto"/>
            </w:tcBorders>
            <w:shd w:val="clear" w:color="auto" w:fill="auto"/>
            <w:vAlign w:val="center"/>
            <w:hideMark/>
          </w:tcPr>
          <w:p w14:paraId="20011C33" w14:textId="4D2E52D1" w:rsidR="007A3751" w:rsidRPr="00005453" w:rsidRDefault="007A3751" w:rsidP="007A3751">
            <w:pPr>
              <w:jc w:val="right"/>
              <w:rPr>
                <w:b/>
                <w:bCs/>
                <w:sz w:val="14"/>
                <w:szCs w:val="14"/>
                <w:lang w:eastAsia="tr-TR"/>
              </w:rPr>
            </w:pPr>
            <w:r w:rsidRPr="00005453">
              <w:rPr>
                <w:b/>
                <w:bCs/>
                <w:sz w:val="14"/>
                <w:szCs w:val="14"/>
              </w:rPr>
              <w:t>158,787,126</w:t>
            </w:r>
          </w:p>
        </w:tc>
      </w:tr>
      <w:tr w:rsidR="007A3751" w:rsidRPr="00005453" w14:paraId="09CE3551" w14:textId="77777777" w:rsidTr="00A9473B">
        <w:trPr>
          <w:trHeight w:val="57"/>
        </w:trPr>
        <w:tc>
          <w:tcPr>
            <w:tcW w:w="455" w:type="dxa"/>
            <w:tcBorders>
              <w:top w:val="nil"/>
              <w:left w:val="single" w:sz="4" w:space="0" w:color="auto"/>
              <w:bottom w:val="nil"/>
              <w:right w:val="single" w:sz="4" w:space="0" w:color="auto"/>
            </w:tcBorders>
            <w:shd w:val="clear" w:color="auto" w:fill="auto"/>
            <w:noWrap/>
            <w:hideMark/>
          </w:tcPr>
          <w:p w14:paraId="4D2B8A9D" w14:textId="77777777" w:rsidR="007A3751" w:rsidRPr="00005453" w:rsidRDefault="007A3751" w:rsidP="007A3751">
            <w:pPr>
              <w:rPr>
                <w:color w:val="000000"/>
                <w:sz w:val="14"/>
                <w:szCs w:val="14"/>
                <w:lang w:eastAsia="tr-TR"/>
              </w:rPr>
            </w:pPr>
            <w:r w:rsidRPr="00005453">
              <w:rPr>
                <w:color w:val="000000"/>
                <w:sz w:val="14"/>
                <w:szCs w:val="14"/>
                <w:lang w:eastAsia="tr-TR"/>
              </w:rPr>
              <w:t>1.1.1.</w:t>
            </w:r>
          </w:p>
        </w:tc>
        <w:tc>
          <w:tcPr>
            <w:tcW w:w="3046" w:type="dxa"/>
            <w:tcBorders>
              <w:top w:val="nil"/>
              <w:left w:val="single" w:sz="4" w:space="0" w:color="auto"/>
              <w:bottom w:val="nil"/>
              <w:right w:val="single" w:sz="4" w:space="0" w:color="auto"/>
            </w:tcBorders>
            <w:shd w:val="clear" w:color="auto" w:fill="auto"/>
            <w:noWrap/>
            <w:hideMark/>
          </w:tcPr>
          <w:p w14:paraId="1A717B75" w14:textId="77777777" w:rsidR="007A3751" w:rsidRPr="00005453" w:rsidRDefault="007A3751" w:rsidP="007A3751">
            <w:pPr>
              <w:rPr>
                <w:color w:val="000000"/>
                <w:sz w:val="14"/>
                <w:szCs w:val="14"/>
                <w:lang w:eastAsia="tr-TR"/>
              </w:rPr>
            </w:pPr>
            <w:r w:rsidRPr="00005453">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hideMark/>
          </w:tcPr>
          <w:p w14:paraId="0E9A09DA" w14:textId="77777777" w:rsidR="007A3751" w:rsidRPr="00005453" w:rsidRDefault="007A3751" w:rsidP="007A3751">
            <w:pPr>
              <w:jc w:val="center"/>
              <w:rPr>
                <w:color w:val="000000"/>
                <w:sz w:val="14"/>
                <w:szCs w:val="14"/>
                <w:lang w:eastAsia="tr-TR"/>
              </w:rPr>
            </w:pPr>
            <w:r w:rsidRPr="00005453">
              <w:rPr>
                <w:color w:val="000000"/>
                <w:sz w:val="14"/>
                <w:szCs w:val="14"/>
                <w:lang w:eastAsia="tr-TR"/>
              </w:rPr>
              <w:t>(5.1.1.)</w:t>
            </w:r>
          </w:p>
        </w:tc>
        <w:tc>
          <w:tcPr>
            <w:tcW w:w="864" w:type="dxa"/>
            <w:tcBorders>
              <w:top w:val="nil"/>
              <w:left w:val="single" w:sz="4" w:space="0" w:color="auto"/>
              <w:bottom w:val="nil"/>
              <w:right w:val="single" w:sz="4" w:space="0" w:color="auto"/>
            </w:tcBorders>
            <w:shd w:val="clear" w:color="auto" w:fill="auto"/>
            <w:vAlign w:val="center"/>
            <w:hideMark/>
          </w:tcPr>
          <w:p w14:paraId="4678BB93" w14:textId="30462DA6" w:rsidR="007A3751" w:rsidRPr="00005453" w:rsidRDefault="007A3751" w:rsidP="007A3751">
            <w:pPr>
              <w:jc w:val="right"/>
              <w:rPr>
                <w:sz w:val="14"/>
                <w:szCs w:val="14"/>
              </w:rPr>
            </w:pPr>
            <w:r w:rsidRPr="00005453">
              <w:rPr>
                <w:sz w:val="14"/>
                <w:szCs w:val="18"/>
              </w:rPr>
              <w:t>59,543,446</w:t>
            </w:r>
          </w:p>
        </w:tc>
        <w:tc>
          <w:tcPr>
            <w:tcW w:w="863" w:type="dxa"/>
            <w:tcBorders>
              <w:top w:val="nil"/>
              <w:left w:val="single" w:sz="4" w:space="0" w:color="auto"/>
              <w:bottom w:val="nil"/>
              <w:right w:val="single" w:sz="4" w:space="0" w:color="auto"/>
            </w:tcBorders>
            <w:shd w:val="clear" w:color="auto" w:fill="auto"/>
            <w:vAlign w:val="center"/>
            <w:hideMark/>
          </w:tcPr>
          <w:p w14:paraId="20C0C5E7" w14:textId="5B563CDF" w:rsidR="007A3751" w:rsidRPr="00005453" w:rsidRDefault="007A3751" w:rsidP="007A3751">
            <w:pPr>
              <w:jc w:val="right"/>
              <w:rPr>
                <w:sz w:val="14"/>
                <w:szCs w:val="14"/>
              </w:rPr>
            </w:pPr>
            <w:r w:rsidRPr="00005453">
              <w:rPr>
                <w:sz w:val="14"/>
                <w:szCs w:val="18"/>
              </w:rPr>
              <w:t>163,449,279</w:t>
            </w:r>
          </w:p>
        </w:tc>
        <w:tc>
          <w:tcPr>
            <w:tcW w:w="901" w:type="dxa"/>
            <w:tcBorders>
              <w:top w:val="nil"/>
              <w:left w:val="single" w:sz="4" w:space="0" w:color="auto"/>
              <w:bottom w:val="nil"/>
              <w:right w:val="single" w:sz="4" w:space="0" w:color="auto"/>
            </w:tcBorders>
            <w:shd w:val="clear" w:color="auto" w:fill="auto"/>
            <w:vAlign w:val="center"/>
            <w:hideMark/>
          </w:tcPr>
          <w:p w14:paraId="1E74FE0B" w14:textId="7DED0EAD" w:rsidR="007A3751" w:rsidRPr="00005453" w:rsidRDefault="007A3751" w:rsidP="007A3751">
            <w:pPr>
              <w:jc w:val="right"/>
              <w:rPr>
                <w:sz w:val="14"/>
                <w:szCs w:val="14"/>
              </w:rPr>
            </w:pPr>
            <w:r w:rsidRPr="00005453">
              <w:rPr>
                <w:sz w:val="14"/>
                <w:szCs w:val="18"/>
              </w:rPr>
              <w:t>222,992,725</w:t>
            </w:r>
          </w:p>
        </w:tc>
        <w:tc>
          <w:tcPr>
            <w:tcW w:w="902" w:type="dxa"/>
            <w:tcBorders>
              <w:top w:val="nil"/>
              <w:left w:val="single" w:sz="4" w:space="0" w:color="auto"/>
              <w:bottom w:val="nil"/>
              <w:right w:val="single" w:sz="4" w:space="0" w:color="auto"/>
            </w:tcBorders>
            <w:shd w:val="clear" w:color="auto" w:fill="auto"/>
            <w:vAlign w:val="center"/>
            <w:hideMark/>
          </w:tcPr>
          <w:p w14:paraId="0942BEA5" w14:textId="01AB7B73" w:rsidR="007A3751" w:rsidRPr="00005453" w:rsidRDefault="007A3751" w:rsidP="007A3751">
            <w:pPr>
              <w:jc w:val="right"/>
              <w:rPr>
                <w:sz w:val="14"/>
                <w:szCs w:val="14"/>
                <w:lang w:eastAsia="tr-TR"/>
              </w:rPr>
            </w:pPr>
            <w:r w:rsidRPr="00005453">
              <w:rPr>
                <w:sz w:val="14"/>
                <w:szCs w:val="14"/>
              </w:rPr>
              <w:t>29,736,696</w:t>
            </w:r>
          </w:p>
        </w:tc>
        <w:tc>
          <w:tcPr>
            <w:tcW w:w="912" w:type="dxa"/>
            <w:tcBorders>
              <w:top w:val="nil"/>
              <w:left w:val="single" w:sz="4" w:space="0" w:color="auto"/>
              <w:bottom w:val="nil"/>
              <w:right w:val="single" w:sz="4" w:space="0" w:color="auto"/>
            </w:tcBorders>
            <w:shd w:val="clear" w:color="auto" w:fill="auto"/>
            <w:vAlign w:val="center"/>
            <w:hideMark/>
          </w:tcPr>
          <w:p w14:paraId="609880D4" w14:textId="1486F96E" w:rsidR="007A3751" w:rsidRPr="00005453" w:rsidRDefault="007A3751" w:rsidP="007A3751">
            <w:pPr>
              <w:jc w:val="right"/>
              <w:rPr>
                <w:sz w:val="14"/>
                <w:szCs w:val="14"/>
                <w:lang w:eastAsia="tr-TR"/>
              </w:rPr>
            </w:pPr>
            <w:r w:rsidRPr="00005453">
              <w:rPr>
                <w:sz w:val="14"/>
                <w:szCs w:val="14"/>
              </w:rPr>
              <w:t>110,638,732</w:t>
            </w:r>
          </w:p>
        </w:tc>
        <w:tc>
          <w:tcPr>
            <w:tcW w:w="1065" w:type="dxa"/>
            <w:tcBorders>
              <w:top w:val="nil"/>
              <w:left w:val="single" w:sz="4" w:space="0" w:color="auto"/>
              <w:bottom w:val="nil"/>
              <w:right w:val="single" w:sz="4" w:space="0" w:color="auto"/>
            </w:tcBorders>
            <w:shd w:val="clear" w:color="auto" w:fill="auto"/>
            <w:vAlign w:val="center"/>
            <w:hideMark/>
          </w:tcPr>
          <w:p w14:paraId="55932A65" w14:textId="54A58CAD" w:rsidR="007A3751" w:rsidRPr="00005453" w:rsidRDefault="007A3751" w:rsidP="007A3751">
            <w:pPr>
              <w:jc w:val="right"/>
              <w:rPr>
                <w:sz w:val="14"/>
                <w:szCs w:val="14"/>
                <w:lang w:eastAsia="tr-TR"/>
              </w:rPr>
            </w:pPr>
            <w:r w:rsidRPr="00005453">
              <w:rPr>
                <w:sz w:val="14"/>
                <w:szCs w:val="14"/>
              </w:rPr>
              <w:t>140,375,428</w:t>
            </w:r>
          </w:p>
        </w:tc>
      </w:tr>
      <w:tr w:rsidR="007A3751" w:rsidRPr="00005453" w14:paraId="18F0AEC1"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46E028FC" w14:textId="77777777" w:rsidR="007A3751" w:rsidRPr="00005453" w:rsidRDefault="007A3751" w:rsidP="007A3751">
            <w:pPr>
              <w:rPr>
                <w:color w:val="000000"/>
                <w:sz w:val="14"/>
                <w:szCs w:val="14"/>
                <w:lang w:eastAsia="tr-TR"/>
              </w:rPr>
            </w:pPr>
            <w:r w:rsidRPr="00005453">
              <w:rPr>
                <w:color w:val="000000"/>
                <w:sz w:val="14"/>
                <w:szCs w:val="14"/>
                <w:lang w:eastAsia="tr-TR"/>
              </w:rPr>
              <w:t>1.1.2.</w:t>
            </w:r>
          </w:p>
        </w:tc>
        <w:tc>
          <w:tcPr>
            <w:tcW w:w="3046" w:type="dxa"/>
            <w:tcBorders>
              <w:top w:val="nil"/>
              <w:left w:val="single" w:sz="4" w:space="0" w:color="auto"/>
              <w:bottom w:val="nil"/>
              <w:right w:val="single" w:sz="4" w:space="0" w:color="auto"/>
            </w:tcBorders>
            <w:shd w:val="clear" w:color="auto" w:fill="auto"/>
            <w:noWrap/>
            <w:hideMark/>
          </w:tcPr>
          <w:p w14:paraId="20912D1B" w14:textId="77777777" w:rsidR="007A3751" w:rsidRPr="00005453" w:rsidRDefault="007A3751" w:rsidP="007A3751">
            <w:pPr>
              <w:rPr>
                <w:color w:val="000000"/>
                <w:sz w:val="14"/>
                <w:szCs w:val="14"/>
                <w:lang w:eastAsia="tr-TR"/>
              </w:rPr>
            </w:pPr>
            <w:r w:rsidRPr="00005453">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hideMark/>
          </w:tcPr>
          <w:p w14:paraId="7C7C2B50" w14:textId="77777777" w:rsidR="007A3751" w:rsidRPr="00005453" w:rsidRDefault="007A3751" w:rsidP="007A3751">
            <w:pPr>
              <w:jc w:val="center"/>
              <w:rPr>
                <w:color w:val="000000"/>
                <w:sz w:val="14"/>
                <w:szCs w:val="14"/>
                <w:lang w:eastAsia="tr-TR"/>
              </w:rPr>
            </w:pPr>
            <w:r w:rsidRPr="00005453">
              <w:rPr>
                <w:color w:val="000000"/>
                <w:sz w:val="14"/>
                <w:szCs w:val="14"/>
                <w:lang w:eastAsia="tr-TR"/>
              </w:rPr>
              <w:t>(5.1.3.)</w:t>
            </w:r>
          </w:p>
        </w:tc>
        <w:tc>
          <w:tcPr>
            <w:tcW w:w="864" w:type="dxa"/>
            <w:tcBorders>
              <w:top w:val="nil"/>
              <w:left w:val="single" w:sz="4" w:space="0" w:color="auto"/>
              <w:bottom w:val="nil"/>
              <w:right w:val="single" w:sz="4" w:space="0" w:color="auto"/>
            </w:tcBorders>
            <w:shd w:val="clear" w:color="auto" w:fill="auto"/>
            <w:vAlign w:val="center"/>
            <w:hideMark/>
          </w:tcPr>
          <w:p w14:paraId="42969958" w14:textId="10EB7D19" w:rsidR="007A3751" w:rsidRPr="00005453" w:rsidRDefault="007A3751" w:rsidP="007A3751">
            <w:pPr>
              <w:jc w:val="right"/>
              <w:rPr>
                <w:sz w:val="14"/>
                <w:szCs w:val="14"/>
              </w:rPr>
            </w:pPr>
            <w:r w:rsidRPr="00005453">
              <w:rPr>
                <w:sz w:val="14"/>
                <w:szCs w:val="18"/>
              </w:rPr>
              <w:t>27,753</w:t>
            </w:r>
          </w:p>
        </w:tc>
        <w:tc>
          <w:tcPr>
            <w:tcW w:w="863" w:type="dxa"/>
            <w:tcBorders>
              <w:top w:val="nil"/>
              <w:left w:val="single" w:sz="4" w:space="0" w:color="auto"/>
              <w:bottom w:val="nil"/>
              <w:right w:val="single" w:sz="4" w:space="0" w:color="auto"/>
            </w:tcBorders>
            <w:shd w:val="clear" w:color="auto" w:fill="auto"/>
            <w:vAlign w:val="center"/>
            <w:hideMark/>
          </w:tcPr>
          <w:p w14:paraId="2685936C" w14:textId="48C86806" w:rsidR="007A3751" w:rsidRPr="00005453" w:rsidRDefault="007A3751" w:rsidP="007A3751">
            <w:pPr>
              <w:jc w:val="right"/>
              <w:rPr>
                <w:sz w:val="14"/>
                <w:szCs w:val="14"/>
              </w:rPr>
            </w:pPr>
            <w:r w:rsidRPr="00005453">
              <w:rPr>
                <w:sz w:val="14"/>
                <w:szCs w:val="18"/>
              </w:rPr>
              <w:t>27,014,929</w:t>
            </w:r>
          </w:p>
        </w:tc>
        <w:tc>
          <w:tcPr>
            <w:tcW w:w="901" w:type="dxa"/>
            <w:tcBorders>
              <w:top w:val="nil"/>
              <w:left w:val="single" w:sz="4" w:space="0" w:color="auto"/>
              <w:bottom w:val="nil"/>
              <w:right w:val="single" w:sz="4" w:space="0" w:color="auto"/>
            </w:tcBorders>
            <w:shd w:val="clear" w:color="auto" w:fill="auto"/>
            <w:vAlign w:val="center"/>
            <w:hideMark/>
          </w:tcPr>
          <w:p w14:paraId="6D755087" w14:textId="2E9C37BC" w:rsidR="007A3751" w:rsidRPr="00005453" w:rsidRDefault="007A3751" w:rsidP="007A3751">
            <w:pPr>
              <w:jc w:val="right"/>
              <w:rPr>
                <w:sz w:val="14"/>
                <w:szCs w:val="14"/>
              </w:rPr>
            </w:pPr>
            <w:r w:rsidRPr="00005453">
              <w:rPr>
                <w:sz w:val="14"/>
                <w:szCs w:val="18"/>
              </w:rPr>
              <w:t>27,042,682</w:t>
            </w:r>
          </w:p>
        </w:tc>
        <w:tc>
          <w:tcPr>
            <w:tcW w:w="902" w:type="dxa"/>
            <w:tcBorders>
              <w:top w:val="nil"/>
              <w:left w:val="single" w:sz="4" w:space="0" w:color="auto"/>
              <w:bottom w:val="nil"/>
              <w:right w:val="single" w:sz="4" w:space="0" w:color="auto"/>
            </w:tcBorders>
            <w:shd w:val="clear" w:color="auto" w:fill="auto"/>
            <w:vAlign w:val="center"/>
            <w:hideMark/>
          </w:tcPr>
          <w:p w14:paraId="489F3105" w14:textId="5F5F046C" w:rsidR="007A3751" w:rsidRPr="00005453" w:rsidRDefault="007A3751" w:rsidP="007A3751">
            <w:pPr>
              <w:jc w:val="right"/>
              <w:rPr>
                <w:sz w:val="14"/>
                <w:szCs w:val="14"/>
                <w:lang w:eastAsia="tr-TR"/>
              </w:rPr>
            </w:pPr>
            <w:r w:rsidRPr="00005453">
              <w:rPr>
                <w:sz w:val="14"/>
                <w:szCs w:val="14"/>
              </w:rPr>
              <w:t>22,985</w:t>
            </w:r>
          </w:p>
        </w:tc>
        <w:tc>
          <w:tcPr>
            <w:tcW w:w="912" w:type="dxa"/>
            <w:tcBorders>
              <w:top w:val="nil"/>
              <w:left w:val="single" w:sz="4" w:space="0" w:color="auto"/>
              <w:bottom w:val="nil"/>
              <w:right w:val="single" w:sz="4" w:space="0" w:color="auto"/>
            </w:tcBorders>
            <w:shd w:val="clear" w:color="auto" w:fill="auto"/>
            <w:vAlign w:val="center"/>
            <w:hideMark/>
          </w:tcPr>
          <w:p w14:paraId="1E286EE6" w14:textId="4A09B659" w:rsidR="007A3751" w:rsidRPr="00005453" w:rsidRDefault="007A3751" w:rsidP="007A3751">
            <w:pPr>
              <w:jc w:val="right"/>
              <w:rPr>
                <w:sz w:val="14"/>
                <w:szCs w:val="14"/>
                <w:lang w:eastAsia="tr-TR"/>
              </w:rPr>
            </w:pPr>
            <w:r w:rsidRPr="00005453">
              <w:rPr>
                <w:sz w:val="14"/>
                <w:szCs w:val="14"/>
              </w:rPr>
              <w:t>18,090,427</w:t>
            </w:r>
          </w:p>
        </w:tc>
        <w:tc>
          <w:tcPr>
            <w:tcW w:w="1065" w:type="dxa"/>
            <w:tcBorders>
              <w:top w:val="nil"/>
              <w:left w:val="single" w:sz="4" w:space="0" w:color="auto"/>
              <w:bottom w:val="nil"/>
              <w:right w:val="single" w:sz="4" w:space="0" w:color="auto"/>
            </w:tcBorders>
            <w:shd w:val="clear" w:color="auto" w:fill="auto"/>
            <w:vAlign w:val="center"/>
            <w:hideMark/>
          </w:tcPr>
          <w:p w14:paraId="10333E7B" w14:textId="6C0B52CB" w:rsidR="007A3751" w:rsidRPr="00005453" w:rsidRDefault="007A3751" w:rsidP="007A3751">
            <w:pPr>
              <w:jc w:val="right"/>
              <w:rPr>
                <w:sz w:val="14"/>
                <w:szCs w:val="14"/>
                <w:lang w:eastAsia="tr-TR"/>
              </w:rPr>
            </w:pPr>
            <w:r w:rsidRPr="00005453">
              <w:rPr>
                <w:sz w:val="14"/>
                <w:szCs w:val="14"/>
              </w:rPr>
              <w:t>18,113,412</w:t>
            </w:r>
          </w:p>
        </w:tc>
      </w:tr>
      <w:tr w:rsidR="007A3751" w:rsidRPr="00005453" w14:paraId="5EA273FD"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646CF32F" w14:textId="77777777" w:rsidR="007A3751" w:rsidRPr="00005453" w:rsidRDefault="007A3751" w:rsidP="007A3751">
            <w:pPr>
              <w:rPr>
                <w:color w:val="000000"/>
                <w:sz w:val="14"/>
                <w:szCs w:val="14"/>
                <w:lang w:eastAsia="tr-TR"/>
              </w:rPr>
            </w:pPr>
            <w:r w:rsidRPr="00005453">
              <w:rPr>
                <w:color w:val="000000"/>
                <w:sz w:val="14"/>
                <w:szCs w:val="14"/>
                <w:lang w:eastAsia="tr-TR"/>
              </w:rPr>
              <w:t>1.1.3.</w:t>
            </w:r>
          </w:p>
        </w:tc>
        <w:tc>
          <w:tcPr>
            <w:tcW w:w="3046" w:type="dxa"/>
            <w:tcBorders>
              <w:top w:val="nil"/>
              <w:left w:val="single" w:sz="4" w:space="0" w:color="auto"/>
              <w:bottom w:val="nil"/>
              <w:right w:val="single" w:sz="4" w:space="0" w:color="auto"/>
            </w:tcBorders>
            <w:shd w:val="clear" w:color="auto" w:fill="auto"/>
            <w:noWrap/>
            <w:hideMark/>
          </w:tcPr>
          <w:p w14:paraId="42BA4072" w14:textId="77777777" w:rsidR="007A3751" w:rsidRPr="00005453" w:rsidRDefault="007A3751" w:rsidP="007A3751">
            <w:pPr>
              <w:rPr>
                <w:color w:val="000000"/>
                <w:sz w:val="14"/>
                <w:szCs w:val="14"/>
                <w:lang w:eastAsia="tr-TR"/>
              </w:rPr>
            </w:pPr>
            <w:r w:rsidRPr="00005453">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hideMark/>
          </w:tcPr>
          <w:p w14:paraId="7E471E3E"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9601FA5" w14:textId="05D790A0" w:rsidR="007A3751" w:rsidRPr="00005453" w:rsidRDefault="007A3751" w:rsidP="007A3751">
            <w:pPr>
              <w:jc w:val="right"/>
              <w:rPr>
                <w:sz w:val="14"/>
                <w:szCs w:val="14"/>
              </w:rPr>
            </w:pPr>
            <w:r w:rsidRPr="00005453">
              <w:rPr>
                <w:sz w:val="14"/>
                <w:szCs w:val="18"/>
              </w:rPr>
              <w:t>1,019</w:t>
            </w:r>
          </w:p>
        </w:tc>
        <w:tc>
          <w:tcPr>
            <w:tcW w:w="863" w:type="dxa"/>
            <w:tcBorders>
              <w:top w:val="nil"/>
              <w:left w:val="single" w:sz="4" w:space="0" w:color="auto"/>
              <w:bottom w:val="nil"/>
              <w:right w:val="single" w:sz="4" w:space="0" w:color="auto"/>
            </w:tcBorders>
            <w:shd w:val="clear" w:color="auto" w:fill="auto"/>
            <w:vAlign w:val="center"/>
            <w:hideMark/>
          </w:tcPr>
          <w:p w14:paraId="47AABECE" w14:textId="12D4C438" w:rsidR="007A3751" w:rsidRPr="00005453" w:rsidRDefault="007A3751" w:rsidP="007A3751">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7C66B1B6" w14:textId="2C972DBF" w:rsidR="007A3751" w:rsidRPr="00005453" w:rsidRDefault="007A3751" w:rsidP="007A3751">
            <w:pPr>
              <w:jc w:val="right"/>
              <w:rPr>
                <w:sz w:val="14"/>
                <w:szCs w:val="14"/>
              </w:rPr>
            </w:pPr>
            <w:r w:rsidRPr="00005453">
              <w:rPr>
                <w:sz w:val="14"/>
                <w:szCs w:val="18"/>
              </w:rPr>
              <w:t>1,019</w:t>
            </w:r>
          </w:p>
        </w:tc>
        <w:tc>
          <w:tcPr>
            <w:tcW w:w="902" w:type="dxa"/>
            <w:tcBorders>
              <w:top w:val="nil"/>
              <w:left w:val="single" w:sz="4" w:space="0" w:color="auto"/>
              <w:bottom w:val="nil"/>
              <w:right w:val="single" w:sz="4" w:space="0" w:color="auto"/>
            </w:tcBorders>
            <w:shd w:val="clear" w:color="auto" w:fill="auto"/>
            <w:vAlign w:val="center"/>
            <w:hideMark/>
          </w:tcPr>
          <w:p w14:paraId="0ABC7AE5" w14:textId="49A58444" w:rsidR="007A3751" w:rsidRPr="00005453" w:rsidRDefault="007A3751" w:rsidP="007A3751">
            <w:pPr>
              <w:jc w:val="right"/>
              <w:rPr>
                <w:sz w:val="14"/>
                <w:szCs w:val="14"/>
                <w:lang w:eastAsia="tr-TR"/>
              </w:rPr>
            </w:pPr>
            <w:r w:rsidRPr="00005453">
              <w:rPr>
                <w:sz w:val="14"/>
                <w:szCs w:val="14"/>
              </w:rPr>
              <w:t>300,805</w:t>
            </w:r>
          </w:p>
        </w:tc>
        <w:tc>
          <w:tcPr>
            <w:tcW w:w="912" w:type="dxa"/>
            <w:tcBorders>
              <w:top w:val="nil"/>
              <w:left w:val="single" w:sz="4" w:space="0" w:color="auto"/>
              <w:bottom w:val="nil"/>
              <w:right w:val="single" w:sz="4" w:space="0" w:color="auto"/>
            </w:tcBorders>
            <w:shd w:val="clear" w:color="auto" w:fill="auto"/>
            <w:vAlign w:val="center"/>
            <w:hideMark/>
          </w:tcPr>
          <w:p w14:paraId="7BC36CB1" w14:textId="6075FFE1" w:rsidR="007A3751" w:rsidRPr="00005453" w:rsidRDefault="007A3751" w:rsidP="007A3751">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32DC9C6" w14:textId="03FF6F74" w:rsidR="007A3751" w:rsidRPr="00005453" w:rsidRDefault="007A3751" w:rsidP="007A3751">
            <w:pPr>
              <w:jc w:val="right"/>
              <w:rPr>
                <w:sz w:val="14"/>
                <w:szCs w:val="14"/>
                <w:lang w:eastAsia="tr-TR"/>
              </w:rPr>
            </w:pPr>
            <w:r w:rsidRPr="00005453">
              <w:rPr>
                <w:sz w:val="14"/>
                <w:szCs w:val="14"/>
              </w:rPr>
              <w:t>300,805</w:t>
            </w:r>
          </w:p>
        </w:tc>
      </w:tr>
      <w:tr w:rsidR="007A3751" w:rsidRPr="00005453" w14:paraId="220582C6"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1948A08E" w14:textId="77777777" w:rsidR="007A3751" w:rsidRPr="00005453" w:rsidRDefault="007A3751" w:rsidP="007A3751">
            <w:pPr>
              <w:rPr>
                <w:color w:val="000000"/>
                <w:sz w:val="14"/>
                <w:szCs w:val="14"/>
                <w:lang w:eastAsia="tr-TR"/>
              </w:rPr>
            </w:pPr>
            <w:r w:rsidRPr="00005453">
              <w:rPr>
                <w:color w:val="000000"/>
                <w:sz w:val="14"/>
                <w:szCs w:val="14"/>
                <w:lang w:eastAsia="tr-TR"/>
              </w:rPr>
              <w:t>1.1.4.</w:t>
            </w:r>
          </w:p>
        </w:tc>
        <w:tc>
          <w:tcPr>
            <w:tcW w:w="3046" w:type="dxa"/>
            <w:tcBorders>
              <w:top w:val="nil"/>
              <w:left w:val="single" w:sz="4" w:space="0" w:color="auto"/>
              <w:bottom w:val="nil"/>
              <w:right w:val="single" w:sz="4" w:space="0" w:color="auto"/>
            </w:tcBorders>
            <w:shd w:val="clear" w:color="auto" w:fill="auto"/>
            <w:noWrap/>
            <w:hideMark/>
          </w:tcPr>
          <w:p w14:paraId="124433CB" w14:textId="77777777" w:rsidR="007A3751" w:rsidRPr="00005453" w:rsidRDefault="007A3751" w:rsidP="007A3751">
            <w:pPr>
              <w:rPr>
                <w:color w:val="000000"/>
                <w:sz w:val="14"/>
                <w:szCs w:val="14"/>
                <w:lang w:eastAsia="tr-TR"/>
              </w:rPr>
            </w:pPr>
            <w:r w:rsidRPr="00005453">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5D839BCE"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CFD1C5C" w14:textId="52D12F33" w:rsidR="007A3751" w:rsidRPr="00005453" w:rsidRDefault="007A3751" w:rsidP="007A3751">
            <w:pPr>
              <w:jc w:val="right"/>
              <w:rPr>
                <w:sz w:val="14"/>
                <w:szCs w:val="14"/>
              </w:rPr>
            </w:pPr>
            <w:r w:rsidRPr="00005453">
              <w:rPr>
                <w:sz w:val="14"/>
                <w:szCs w:val="18"/>
              </w:rPr>
              <w:t>2,637</w:t>
            </w:r>
          </w:p>
        </w:tc>
        <w:tc>
          <w:tcPr>
            <w:tcW w:w="863" w:type="dxa"/>
            <w:tcBorders>
              <w:top w:val="nil"/>
              <w:left w:val="single" w:sz="4" w:space="0" w:color="auto"/>
              <w:bottom w:val="nil"/>
              <w:right w:val="single" w:sz="4" w:space="0" w:color="auto"/>
            </w:tcBorders>
            <w:shd w:val="clear" w:color="auto" w:fill="auto"/>
            <w:vAlign w:val="center"/>
            <w:hideMark/>
          </w:tcPr>
          <w:p w14:paraId="3535A5D4" w14:textId="035CB2E2" w:rsidR="007A3751" w:rsidRPr="00005453" w:rsidRDefault="007A3751" w:rsidP="007A3751">
            <w:pPr>
              <w:jc w:val="right"/>
              <w:rPr>
                <w:sz w:val="14"/>
                <w:szCs w:val="14"/>
              </w:rPr>
            </w:pPr>
            <w:r w:rsidRPr="00005453">
              <w:rPr>
                <w:sz w:val="14"/>
                <w:szCs w:val="18"/>
              </w:rPr>
              <w:t>4,093</w:t>
            </w:r>
          </w:p>
        </w:tc>
        <w:tc>
          <w:tcPr>
            <w:tcW w:w="901" w:type="dxa"/>
            <w:tcBorders>
              <w:top w:val="nil"/>
              <w:left w:val="single" w:sz="4" w:space="0" w:color="auto"/>
              <w:bottom w:val="nil"/>
              <w:right w:val="single" w:sz="4" w:space="0" w:color="auto"/>
            </w:tcBorders>
            <w:shd w:val="clear" w:color="auto" w:fill="auto"/>
            <w:vAlign w:val="center"/>
            <w:hideMark/>
          </w:tcPr>
          <w:p w14:paraId="66277687" w14:textId="47F0357A" w:rsidR="007A3751" w:rsidRPr="00005453" w:rsidRDefault="007A3751" w:rsidP="007A3751">
            <w:pPr>
              <w:jc w:val="right"/>
              <w:rPr>
                <w:sz w:val="14"/>
                <w:szCs w:val="14"/>
              </w:rPr>
            </w:pPr>
            <w:r w:rsidRPr="00005453">
              <w:rPr>
                <w:sz w:val="14"/>
                <w:szCs w:val="18"/>
              </w:rPr>
              <w:t>6,730</w:t>
            </w:r>
          </w:p>
        </w:tc>
        <w:tc>
          <w:tcPr>
            <w:tcW w:w="902" w:type="dxa"/>
            <w:tcBorders>
              <w:top w:val="nil"/>
              <w:left w:val="single" w:sz="4" w:space="0" w:color="auto"/>
              <w:bottom w:val="nil"/>
              <w:right w:val="single" w:sz="4" w:space="0" w:color="auto"/>
            </w:tcBorders>
            <w:shd w:val="clear" w:color="auto" w:fill="auto"/>
            <w:vAlign w:val="center"/>
            <w:hideMark/>
          </w:tcPr>
          <w:p w14:paraId="12FB01F2" w14:textId="7491D400" w:rsidR="007A3751" w:rsidRPr="00005453" w:rsidRDefault="007A3751" w:rsidP="007A3751">
            <w:pPr>
              <w:jc w:val="right"/>
              <w:rPr>
                <w:sz w:val="14"/>
                <w:szCs w:val="14"/>
                <w:lang w:eastAsia="tr-TR"/>
              </w:rPr>
            </w:pPr>
            <w:r w:rsidRPr="00005453">
              <w:rPr>
                <w:sz w:val="14"/>
                <w:szCs w:val="14"/>
              </w:rPr>
              <w:t>456</w:t>
            </w:r>
          </w:p>
        </w:tc>
        <w:tc>
          <w:tcPr>
            <w:tcW w:w="912" w:type="dxa"/>
            <w:tcBorders>
              <w:top w:val="nil"/>
              <w:left w:val="single" w:sz="4" w:space="0" w:color="auto"/>
              <w:bottom w:val="nil"/>
              <w:right w:val="single" w:sz="4" w:space="0" w:color="auto"/>
            </w:tcBorders>
            <w:shd w:val="clear" w:color="auto" w:fill="auto"/>
            <w:vAlign w:val="center"/>
            <w:hideMark/>
          </w:tcPr>
          <w:p w14:paraId="42865FC7" w14:textId="374A223A" w:rsidR="007A3751" w:rsidRPr="00005453" w:rsidRDefault="007A3751" w:rsidP="007A3751">
            <w:pPr>
              <w:jc w:val="right"/>
              <w:rPr>
                <w:sz w:val="14"/>
                <w:szCs w:val="14"/>
                <w:lang w:eastAsia="tr-TR"/>
              </w:rPr>
            </w:pPr>
            <w:r w:rsidRPr="00005453">
              <w:rPr>
                <w:sz w:val="14"/>
                <w:szCs w:val="14"/>
              </w:rPr>
              <w:t>2,063</w:t>
            </w:r>
          </w:p>
        </w:tc>
        <w:tc>
          <w:tcPr>
            <w:tcW w:w="1065" w:type="dxa"/>
            <w:tcBorders>
              <w:top w:val="nil"/>
              <w:left w:val="single" w:sz="4" w:space="0" w:color="auto"/>
              <w:bottom w:val="nil"/>
              <w:right w:val="single" w:sz="4" w:space="0" w:color="auto"/>
            </w:tcBorders>
            <w:shd w:val="clear" w:color="auto" w:fill="auto"/>
            <w:vAlign w:val="center"/>
            <w:hideMark/>
          </w:tcPr>
          <w:p w14:paraId="38153E58" w14:textId="2588BEEF" w:rsidR="007A3751" w:rsidRPr="00005453" w:rsidRDefault="007A3751" w:rsidP="007A3751">
            <w:pPr>
              <w:jc w:val="right"/>
              <w:rPr>
                <w:sz w:val="14"/>
                <w:szCs w:val="14"/>
                <w:lang w:eastAsia="tr-TR"/>
              </w:rPr>
            </w:pPr>
            <w:r w:rsidRPr="00005453">
              <w:rPr>
                <w:sz w:val="14"/>
                <w:szCs w:val="14"/>
              </w:rPr>
              <w:t>2,519</w:t>
            </w:r>
          </w:p>
        </w:tc>
      </w:tr>
      <w:tr w:rsidR="007A3751" w:rsidRPr="00005453" w14:paraId="4F6E44AB" w14:textId="77777777" w:rsidTr="00A9473B">
        <w:trPr>
          <w:trHeight w:val="197"/>
        </w:trPr>
        <w:tc>
          <w:tcPr>
            <w:tcW w:w="455" w:type="dxa"/>
            <w:tcBorders>
              <w:top w:val="nil"/>
              <w:left w:val="single" w:sz="4" w:space="0" w:color="auto"/>
              <w:bottom w:val="nil"/>
              <w:right w:val="single" w:sz="4" w:space="0" w:color="auto"/>
            </w:tcBorders>
            <w:shd w:val="clear" w:color="auto" w:fill="auto"/>
            <w:noWrap/>
            <w:hideMark/>
          </w:tcPr>
          <w:p w14:paraId="4876A060"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1.2.</w:t>
            </w:r>
          </w:p>
        </w:tc>
        <w:tc>
          <w:tcPr>
            <w:tcW w:w="3046" w:type="dxa"/>
            <w:tcBorders>
              <w:top w:val="nil"/>
              <w:left w:val="single" w:sz="4" w:space="0" w:color="auto"/>
              <w:bottom w:val="nil"/>
              <w:right w:val="single" w:sz="4" w:space="0" w:color="auto"/>
            </w:tcBorders>
            <w:shd w:val="clear" w:color="auto" w:fill="auto"/>
            <w:hideMark/>
          </w:tcPr>
          <w:p w14:paraId="09F3506E"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56613F5C" w14:textId="77777777" w:rsidR="007A3751" w:rsidRPr="00005453" w:rsidRDefault="007A3751" w:rsidP="007A3751">
            <w:pPr>
              <w:ind w:left="57"/>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BC89D7C" w14:textId="73A17C9F" w:rsidR="007A3751" w:rsidRPr="00005453" w:rsidRDefault="007A3751" w:rsidP="007A3751">
            <w:pPr>
              <w:jc w:val="right"/>
              <w:rPr>
                <w:b/>
                <w:bCs/>
                <w:sz w:val="14"/>
                <w:szCs w:val="14"/>
              </w:rPr>
            </w:pPr>
            <w:r w:rsidRPr="00005453">
              <w:rPr>
                <w:b/>
                <w:bCs/>
                <w:sz w:val="14"/>
                <w:szCs w:val="18"/>
              </w:rPr>
              <w:t>15,070,891</w:t>
            </w:r>
          </w:p>
        </w:tc>
        <w:tc>
          <w:tcPr>
            <w:tcW w:w="863" w:type="dxa"/>
            <w:tcBorders>
              <w:top w:val="nil"/>
              <w:left w:val="single" w:sz="4" w:space="0" w:color="auto"/>
              <w:bottom w:val="nil"/>
              <w:right w:val="single" w:sz="4" w:space="0" w:color="auto"/>
            </w:tcBorders>
            <w:shd w:val="clear" w:color="auto" w:fill="auto"/>
            <w:vAlign w:val="center"/>
            <w:hideMark/>
          </w:tcPr>
          <w:p w14:paraId="0A4EA1ED" w14:textId="74BF3DF6" w:rsidR="007A3751" w:rsidRPr="00005453" w:rsidRDefault="007A3751" w:rsidP="007A3751">
            <w:pPr>
              <w:jc w:val="right"/>
              <w:rPr>
                <w:b/>
                <w:bCs/>
                <w:sz w:val="14"/>
                <w:szCs w:val="14"/>
              </w:rPr>
            </w:pPr>
            <w:r w:rsidRPr="00005453">
              <w:rPr>
                <w:b/>
                <w:bCs/>
                <w:sz w:val="14"/>
                <w:szCs w:val="18"/>
              </w:rPr>
              <w:t>17,269,448</w:t>
            </w:r>
          </w:p>
        </w:tc>
        <w:tc>
          <w:tcPr>
            <w:tcW w:w="901" w:type="dxa"/>
            <w:tcBorders>
              <w:top w:val="nil"/>
              <w:left w:val="single" w:sz="4" w:space="0" w:color="auto"/>
              <w:bottom w:val="nil"/>
              <w:right w:val="single" w:sz="4" w:space="0" w:color="auto"/>
            </w:tcBorders>
            <w:shd w:val="clear" w:color="auto" w:fill="auto"/>
            <w:vAlign w:val="center"/>
            <w:hideMark/>
          </w:tcPr>
          <w:p w14:paraId="05A6A897" w14:textId="3DFC1ADB" w:rsidR="007A3751" w:rsidRPr="00005453" w:rsidRDefault="007A3751" w:rsidP="007A3751">
            <w:pPr>
              <w:jc w:val="right"/>
              <w:rPr>
                <w:b/>
                <w:bCs/>
                <w:sz w:val="14"/>
                <w:szCs w:val="14"/>
              </w:rPr>
            </w:pPr>
            <w:r w:rsidRPr="00005453">
              <w:rPr>
                <w:b/>
                <w:bCs/>
                <w:sz w:val="14"/>
                <w:szCs w:val="18"/>
              </w:rPr>
              <w:t>32,340,339</w:t>
            </w:r>
          </w:p>
        </w:tc>
        <w:tc>
          <w:tcPr>
            <w:tcW w:w="902" w:type="dxa"/>
            <w:tcBorders>
              <w:top w:val="nil"/>
              <w:left w:val="single" w:sz="4" w:space="0" w:color="auto"/>
              <w:bottom w:val="nil"/>
              <w:right w:val="single" w:sz="4" w:space="0" w:color="auto"/>
            </w:tcBorders>
            <w:shd w:val="clear" w:color="auto" w:fill="auto"/>
            <w:vAlign w:val="center"/>
            <w:hideMark/>
          </w:tcPr>
          <w:p w14:paraId="659E51C4" w14:textId="5EAE553D" w:rsidR="007A3751" w:rsidRPr="00005453" w:rsidRDefault="007A3751" w:rsidP="007A3751">
            <w:pPr>
              <w:ind w:left="57"/>
              <w:jc w:val="right"/>
              <w:rPr>
                <w:b/>
                <w:bCs/>
                <w:sz w:val="14"/>
                <w:szCs w:val="14"/>
                <w:lang w:eastAsia="tr-TR"/>
              </w:rPr>
            </w:pPr>
            <w:r w:rsidRPr="00005453">
              <w:rPr>
                <w:b/>
                <w:bCs/>
                <w:sz w:val="14"/>
                <w:szCs w:val="14"/>
              </w:rPr>
              <w:t>21,543,563</w:t>
            </w:r>
          </w:p>
        </w:tc>
        <w:tc>
          <w:tcPr>
            <w:tcW w:w="912" w:type="dxa"/>
            <w:tcBorders>
              <w:top w:val="nil"/>
              <w:left w:val="single" w:sz="4" w:space="0" w:color="auto"/>
              <w:bottom w:val="nil"/>
              <w:right w:val="single" w:sz="4" w:space="0" w:color="auto"/>
            </w:tcBorders>
            <w:shd w:val="clear" w:color="auto" w:fill="auto"/>
            <w:vAlign w:val="center"/>
            <w:hideMark/>
          </w:tcPr>
          <w:p w14:paraId="05B3ACCA" w14:textId="2C687449" w:rsidR="007A3751" w:rsidRPr="00005453" w:rsidRDefault="007A3751" w:rsidP="007A3751">
            <w:pPr>
              <w:ind w:left="57"/>
              <w:jc w:val="right"/>
              <w:rPr>
                <w:b/>
                <w:bCs/>
                <w:sz w:val="14"/>
                <w:szCs w:val="14"/>
                <w:lang w:eastAsia="tr-TR"/>
              </w:rPr>
            </w:pPr>
            <w:r w:rsidRPr="00005453">
              <w:rPr>
                <w:b/>
                <w:bCs/>
                <w:sz w:val="14"/>
                <w:szCs w:val="14"/>
              </w:rPr>
              <w:t>33,897,658</w:t>
            </w:r>
          </w:p>
        </w:tc>
        <w:tc>
          <w:tcPr>
            <w:tcW w:w="1065" w:type="dxa"/>
            <w:tcBorders>
              <w:top w:val="nil"/>
              <w:left w:val="single" w:sz="4" w:space="0" w:color="auto"/>
              <w:bottom w:val="nil"/>
              <w:right w:val="single" w:sz="4" w:space="0" w:color="auto"/>
            </w:tcBorders>
            <w:shd w:val="clear" w:color="auto" w:fill="auto"/>
            <w:vAlign w:val="center"/>
            <w:hideMark/>
          </w:tcPr>
          <w:p w14:paraId="58F87A07" w14:textId="00768736" w:rsidR="007A3751" w:rsidRPr="00005453" w:rsidRDefault="007A3751" w:rsidP="007A3751">
            <w:pPr>
              <w:ind w:left="57"/>
              <w:jc w:val="right"/>
              <w:rPr>
                <w:b/>
                <w:bCs/>
                <w:sz w:val="14"/>
                <w:szCs w:val="14"/>
                <w:lang w:eastAsia="tr-TR"/>
              </w:rPr>
            </w:pPr>
            <w:r w:rsidRPr="00005453">
              <w:rPr>
                <w:b/>
                <w:bCs/>
                <w:sz w:val="14"/>
                <w:szCs w:val="14"/>
              </w:rPr>
              <w:t>55,441,221</w:t>
            </w:r>
          </w:p>
        </w:tc>
      </w:tr>
      <w:tr w:rsidR="007A3751" w:rsidRPr="00005453" w14:paraId="460074FB"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544D4410" w14:textId="77777777" w:rsidR="007A3751" w:rsidRPr="00005453" w:rsidRDefault="007A3751" w:rsidP="007A3751">
            <w:pPr>
              <w:rPr>
                <w:color w:val="000000"/>
                <w:sz w:val="14"/>
                <w:szCs w:val="14"/>
                <w:lang w:eastAsia="tr-TR"/>
              </w:rPr>
            </w:pPr>
            <w:r w:rsidRPr="00005453">
              <w:rPr>
                <w:color w:val="000000"/>
                <w:sz w:val="14"/>
                <w:szCs w:val="14"/>
                <w:lang w:eastAsia="tr-TR"/>
              </w:rPr>
              <w:t>1.2.1.</w:t>
            </w:r>
          </w:p>
        </w:tc>
        <w:tc>
          <w:tcPr>
            <w:tcW w:w="3046" w:type="dxa"/>
            <w:tcBorders>
              <w:top w:val="nil"/>
              <w:left w:val="single" w:sz="4" w:space="0" w:color="auto"/>
              <w:bottom w:val="nil"/>
              <w:right w:val="single" w:sz="4" w:space="0" w:color="auto"/>
            </w:tcBorders>
            <w:shd w:val="clear" w:color="auto" w:fill="auto"/>
            <w:noWrap/>
            <w:hideMark/>
          </w:tcPr>
          <w:p w14:paraId="333901E4" w14:textId="77777777" w:rsidR="007A3751" w:rsidRPr="00005453" w:rsidRDefault="007A3751" w:rsidP="007A3751">
            <w:pPr>
              <w:rPr>
                <w:color w:val="000000"/>
                <w:sz w:val="14"/>
                <w:szCs w:val="14"/>
                <w:lang w:eastAsia="tr-TR"/>
              </w:rPr>
            </w:pPr>
            <w:r w:rsidRPr="00005453">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2D0A46C5"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E49BD38" w14:textId="71E44779" w:rsidR="007A3751" w:rsidRPr="00005453" w:rsidRDefault="007A3751" w:rsidP="007A3751">
            <w:pPr>
              <w:jc w:val="right"/>
              <w:rPr>
                <w:sz w:val="14"/>
                <w:szCs w:val="14"/>
              </w:rPr>
            </w:pPr>
            <w:r w:rsidRPr="00005453">
              <w:rPr>
                <w:sz w:val="14"/>
                <w:szCs w:val="18"/>
              </w:rPr>
              <w:t>475,948</w:t>
            </w:r>
          </w:p>
        </w:tc>
        <w:tc>
          <w:tcPr>
            <w:tcW w:w="863" w:type="dxa"/>
            <w:tcBorders>
              <w:top w:val="nil"/>
              <w:left w:val="single" w:sz="4" w:space="0" w:color="auto"/>
              <w:bottom w:val="nil"/>
              <w:right w:val="single" w:sz="4" w:space="0" w:color="auto"/>
            </w:tcBorders>
            <w:shd w:val="clear" w:color="auto" w:fill="auto"/>
            <w:vAlign w:val="center"/>
            <w:hideMark/>
          </w:tcPr>
          <w:p w14:paraId="6DECFC63" w14:textId="02AD68B7" w:rsidR="007A3751" w:rsidRPr="00005453" w:rsidRDefault="007A3751" w:rsidP="007A3751">
            <w:pPr>
              <w:jc w:val="right"/>
              <w:rPr>
                <w:sz w:val="14"/>
                <w:szCs w:val="14"/>
              </w:rPr>
            </w:pPr>
            <w:r w:rsidRPr="00005453">
              <w:rPr>
                <w:sz w:val="14"/>
                <w:szCs w:val="18"/>
              </w:rPr>
              <w:t>11,956,887</w:t>
            </w:r>
          </w:p>
        </w:tc>
        <w:tc>
          <w:tcPr>
            <w:tcW w:w="901" w:type="dxa"/>
            <w:tcBorders>
              <w:top w:val="nil"/>
              <w:left w:val="single" w:sz="4" w:space="0" w:color="auto"/>
              <w:bottom w:val="nil"/>
              <w:right w:val="single" w:sz="4" w:space="0" w:color="auto"/>
            </w:tcBorders>
            <w:shd w:val="clear" w:color="auto" w:fill="auto"/>
            <w:vAlign w:val="center"/>
            <w:hideMark/>
          </w:tcPr>
          <w:p w14:paraId="379B434C" w14:textId="26FF8027" w:rsidR="007A3751" w:rsidRPr="00005453" w:rsidRDefault="007A3751" w:rsidP="007A3751">
            <w:pPr>
              <w:jc w:val="right"/>
              <w:rPr>
                <w:sz w:val="14"/>
                <w:szCs w:val="14"/>
              </w:rPr>
            </w:pPr>
            <w:r w:rsidRPr="00005453">
              <w:rPr>
                <w:sz w:val="14"/>
                <w:szCs w:val="18"/>
              </w:rPr>
              <w:t>12,432,835</w:t>
            </w:r>
          </w:p>
        </w:tc>
        <w:tc>
          <w:tcPr>
            <w:tcW w:w="902" w:type="dxa"/>
            <w:tcBorders>
              <w:top w:val="nil"/>
              <w:left w:val="single" w:sz="4" w:space="0" w:color="auto"/>
              <w:bottom w:val="nil"/>
              <w:right w:val="single" w:sz="4" w:space="0" w:color="auto"/>
            </w:tcBorders>
            <w:shd w:val="clear" w:color="auto" w:fill="auto"/>
            <w:vAlign w:val="center"/>
            <w:hideMark/>
          </w:tcPr>
          <w:p w14:paraId="5A7192A6" w14:textId="218930BA" w:rsidR="007A3751" w:rsidRPr="00005453" w:rsidRDefault="007A3751" w:rsidP="007A3751">
            <w:pPr>
              <w:jc w:val="right"/>
              <w:rPr>
                <w:sz w:val="14"/>
                <w:szCs w:val="14"/>
                <w:lang w:eastAsia="tr-TR"/>
              </w:rPr>
            </w:pPr>
            <w:r w:rsidRPr="00005453">
              <w:rPr>
                <w:sz w:val="14"/>
                <w:szCs w:val="14"/>
              </w:rPr>
              <w:t>661,487</w:t>
            </w:r>
          </w:p>
        </w:tc>
        <w:tc>
          <w:tcPr>
            <w:tcW w:w="912" w:type="dxa"/>
            <w:tcBorders>
              <w:top w:val="nil"/>
              <w:left w:val="single" w:sz="4" w:space="0" w:color="auto"/>
              <w:bottom w:val="nil"/>
              <w:right w:val="single" w:sz="4" w:space="0" w:color="auto"/>
            </w:tcBorders>
            <w:shd w:val="clear" w:color="auto" w:fill="auto"/>
            <w:vAlign w:val="center"/>
            <w:hideMark/>
          </w:tcPr>
          <w:p w14:paraId="5213D48D" w14:textId="6F624B63" w:rsidR="007A3751" w:rsidRPr="00005453" w:rsidRDefault="007A3751" w:rsidP="007A3751">
            <w:pPr>
              <w:jc w:val="right"/>
              <w:rPr>
                <w:sz w:val="14"/>
                <w:szCs w:val="14"/>
                <w:lang w:eastAsia="tr-TR"/>
              </w:rPr>
            </w:pPr>
            <w:r w:rsidRPr="00005453">
              <w:rPr>
                <w:sz w:val="14"/>
                <w:szCs w:val="14"/>
              </w:rPr>
              <w:t>32,015,909</w:t>
            </w:r>
          </w:p>
        </w:tc>
        <w:tc>
          <w:tcPr>
            <w:tcW w:w="1065" w:type="dxa"/>
            <w:tcBorders>
              <w:top w:val="nil"/>
              <w:left w:val="single" w:sz="4" w:space="0" w:color="auto"/>
              <w:bottom w:val="nil"/>
              <w:right w:val="single" w:sz="4" w:space="0" w:color="auto"/>
            </w:tcBorders>
            <w:shd w:val="clear" w:color="auto" w:fill="auto"/>
            <w:vAlign w:val="center"/>
            <w:hideMark/>
          </w:tcPr>
          <w:p w14:paraId="5DCE14CA" w14:textId="0D0A8C34" w:rsidR="007A3751" w:rsidRPr="00005453" w:rsidRDefault="007A3751" w:rsidP="007A3751">
            <w:pPr>
              <w:jc w:val="right"/>
              <w:rPr>
                <w:sz w:val="14"/>
                <w:szCs w:val="14"/>
                <w:lang w:eastAsia="tr-TR"/>
              </w:rPr>
            </w:pPr>
            <w:r w:rsidRPr="00005453">
              <w:rPr>
                <w:sz w:val="14"/>
                <w:szCs w:val="14"/>
              </w:rPr>
              <w:t>32,677,396</w:t>
            </w:r>
          </w:p>
        </w:tc>
      </w:tr>
      <w:tr w:rsidR="007A3751" w:rsidRPr="00005453" w14:paraId="5741A4E6"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1A9494BB" w14:textId="77777777" w:rsidR="007A3751" w:rsidRPr="00005453" w:rsidRDefault="007A3751" w:rsidP="007A3751">
            <w:pPr>
              <w:rPr>
                <w:color w:val="000000"/>
                <w:sz w:val="14"/>
                <w:szCs w:val="14"/>
                <w:lang w:eastAsia="tr-TR"/>
              </w:rPr>
            </w:pPr>
            <w:r w:rsidRPr="00005453">
              <w:rPr>
                <w:color w:val="000000"/>
                <w:sz w:val="14"/>
                <w:szCs w:val="14"/>
                <w:lang w:eastAsia="tr-TR"/>
              </w:rPr>
              <w:t>1.2.2.</w:t>
            </w:r>
          </w:p>
        </w:tc>
        <w:tc>
          <w:tcPr>
            <w:tcW w:w="3046" w:type="dxa"/>
            <w:tcBorders>
              <w:top w:val="nil"/>
              <w:left w:val="single" w:sz="4" w:space="0" w:color="auto"/>
              <w:bottom w:val="nil"/>
              <w:right w:val="single" w:sz="4" w:space="0" w:color="auto"/>
            </w:tcBorders>
            <w:shd w:val="clear" w:color="auto" w:fill="auto"/>
            <w:noWrap/>
            <w:hideMark/>
          </w:tcPr>
          <w:p w14:paraId="511A91B7" w14:textId="77777777" w:rsidR="007A3751" w:rsidRPr="00005453" w:rsidRDefault="007A3751" w:rsidP="007A3751">
            <w:pPr>
              <w:rPr>
                <w:color w:val="000000"/>
                <w:sz w:val="14"/>
                <w:szCs w:val="14"/>
                <w:lang w:eastAsia="tr-TR"/>
              </w:rPr>
            </w:pPr>
            <w:r w:rsidRPr="00005453">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0354F3C6"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D18A1AF" w14:textId="73BBF24C" w:rsidR="007A3751" w:rsidRPr="00005453" w:rsidRDefault="007A3751" w:rsidP="007A3751">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64FF9D9A" w14:textId="3EC44405" w:rsidR="007A3751" w:rsidRPr="00005453" w:rsidRDefault="007A3751" w:rsidP="007A3751">
            <w:pPr>
              <w:jc w:val="right"/>
              <w:rPr>
                <w:sz w:val="14"/>
                <w:szCs w:val="14"/>
              </w:rPr>
            </w:pPr>
            <w:r w:rsidRPr="00005453">
              <w:rPr>
                <w:sz w:val="14"/>
                <w:szCs w:val="18"/>
              </w:rPr>
              <w:t>18,828</w:t>
            </w:r>
          </w:p>
        </w:tc>
        <w:tc>
          <w:tcPr>
            <w:tcW w:w="901" w:type="dxa"/>
            <w:tcBorders>
              <w:top w:val="nil"/>
              <w:left w:val="single" w:sz="4" w:space="0" w:color="auto"/>
              <w:bottom w:val="nil"/>
              <w:right w:val="single" w:sz="4" w:space="0" w:color="auto"/>
            </w:tcBorders>
            <w:shd w:val="clear" w:color="auto" w:fill="auto"/>
            <w:vAlign w:val="center"/>
            <w:hideMark/>
          </w:tcPr>
          <w:p w14:paraId="3D4E046C" w14:textId="5B8D750F" w:rsidR="007A3751" w:rsidRPr="00005453" w:rsidRDefault="007A3751" w:rsidP="007A3751">
            <w:pPr>
              <w:jc w:val="right"/>
              <w:rPr>
                <w:sz w:val="14"/>
                <w:szCs w:val="14"/>
              </w:rPr>
            </w:pPr>
            <w:r w:rsidRPr="00005453">
              <w:rPr>
                <w:sz w:val="14"/>
                <w:szCs w:val="18"/>
              </w:rPr>
              <w:t>18,828</w:t>
            </w:r>
          </w:p>
        </w:tc>
        <w:tc>
          <w:tcPr>
            <w:tcW w:w="902" w:type="dxa"/>
            <w:tcBorders>
              <w:top w:val="nil"/>
              <w:left w:val="single" w:sz="4" w:space="0" w:color="auto"/>
              <w:bottom w:val="nil"/>
              <w:right w:val="single" w:sz="4" w:space="0" w:color="auto"/>
            </w:tcBorders>
            <w:shd w:val="clear" w:color="auto" w:fill="auto"/>
            <w:vAlign w:val="center"/>
            <w:hideMark/>
          </w:tcPr>
          <w:p w14:paraId="750C7727" w14:textId="785D28E0" w:rsidR="007A3751" w:rsidRPr="00005453" w:rsidRDefault="007A3751" w:rsidP="007A3751">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7A43FDCA" w14:textId="03C47A01" w:rsidR="007A3751" w:rsidRPr="00005453" w:rsidRDefault="007A3751" w:rsidP="007A3751">
            <w:pPr>
              <w:jc w:val="right"/>
              <w:rPr>
                <w:sz w:val="14"/>
                <w:szCs w:val="14"/>
                <w:lang w:eastAsia="tr-TR"/>
              </w:rPr>
            </w:pPr>
            <w:r w:rsidRPr="00005453">
              <w:rPr>
                <w:sz w:val="14"/>
                <w:szCs w:val="14"/>
                <w:lang w:eastAsia="tr-TR"/>
              </w:rPr>
              <w:t>32,630</w:t>
            </w:r>
          </w:p>
        </w:tc>
        <w:tc>
          <w:tcPr>
            <w:tcW w:w="1065" w:type="dxa"/>
            <w:tcBorders>
              <w:top w:val="nil"/>
              <w:left w:val="single" w:sz="4" w:space="0" w:color="auto"/>
              <w:bottom w:val="nil"/>
              <w:right w:val="single" w:sz="4" w:space="0" w:color="auto"/>
            </w:tcBorders>
            <w:shd w:val="clear" w:color="auto" w:fill="auto"/>
            <w:vAlign w:val="center"/>
            <w:hideMark/>
          </w:tcPr>
          <w:p w14:paraId="1D6C1A82" w14:textId="5E21E2C5" w:rsidR="007A3751" w:rsidRPr="00005453" w:rsidRDefault="007A3751" w:rsidP="007A3751">
            <w:pPr>
              <w:jc w:val="right"/>
              <w:rPr>
                <w:sz w:val="14"/>
                <w:szCs w:val="14"/>
                <w:lang w:eastAsia="tr-TR"/>
              </w:rPr>
            </w:pPr>
            <w:r w:rsidRPr="00005453">
              <w:rPr>
                <w:sz w:val="14"/>
                <w:szCs w:val="14"/>
                <w:lang w:eastAsia="tr-TR"/>
              </w:rPr>
              <w:t>32,630</w:t>
            </w:r>
          </w:p>
        </w:tc>
      </w:tr>
      <w:tr w:rsidR="007A3751" w:rsidRPr="00005453" w14:paraId="649ACBEA"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0C5FE3D3" w14:textId="77777777" w:rsidR="007A3751" w:rsidRPr="00005453" w:rsidRDefault="007A3751" w:rsidP="007A3751">
            <w:pPr>
              <w:rPr>
                <w:color w:val="000000"/>
                <w:sz w:val="14"/>
                <w:szCs w:val="14"/>
                <w:lang w:eastAsia="tr-TR"/>
              </w:rPr>
            </w:pPr>
            <w:r w:rsidRPr="00005453">
              <w:rPr>
                <w:color w:val="000000"/>
                <w:sz w:val="14"/>
                <w:szCs w:val="14"/>
                <w:lang w:eastAsia="tr-TR"/>
              </w:rPr>
              <w:t>1.2.3.</w:t>
            </w:r>
          </w:p>
        </w:tc>
        <w:tc>
          <w:tcPr>
            <w:tcW w:w="3046" w:type="dxa"/>
            <w:tcBorders>
              <w:top w:val="nil"/>
              <w:left w:val="single" w:sz="4" w:space="0" w:color="auto"/>
              <w:bottom w:val="nil"/>
              <w:right w:val="single" w:sz="4" w:space="0" w:color="auto"/>
            </w:tcBorders>
            <w:shd w:val="clear" w:color="auto" w:fill="auto"/>
            <w:noWrap/>
            <w:hideMark/>
          </w:tcPr>
          <w:p w14:paraId="55B3C814" w14:textId="77777777" w:rsidR="007A3751" w:rsidRPr="00005453" w:rsidRDefault="007A3751" w:rsidP="007A3751">
            <w:pPr>
              <w:rPr>
                <w:color w:val="000000"/>
                <w:sz w:val="14"/>
                <w:szCs w:val="14"/>
                <w:lang w:eastAsia="tr-TR"/>
              </w:rPr>
            </w:pPr>
            <w:r w:rsidRPr="00005453">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6D0F8A78"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8400A52" w14:textId="4BE0E1DA" w:rsidR="007A3751" w:rsidRPr="00005453" w:rsidRDefault="007A3751" w:rsidP="007A3751">
            <w:pPr>
              <w:jc w:val="right"/>
              <w:rPr>
                <w:sz w:val="14"/>
                <w:szCs w:val="14"/>
              </w:rPr>
            </w:pPr>
            <w:r w:rsidRPr="00005453">
              <w:rPr>
                <w:sz w:val="14"/>
                <w:szCs w:val="18"/>
              </w:rPr>
              <w:t>14,594,943</w:t>
            </w:r>
          </w:p>
        </w:tc>
        <w:tc>
          <w:tcPr>
            <w:tcW w:w="863" w:type="dxa"/>
            <w:tcBorders>
              <w:top w:val="nil"/>
              <w:left w:val="single" w:sz="4" w:space="0" w:color="auto"/>
              <w:bottom w:val="nil"/>
              <w:right w:val="single" w:sz="4" w:space="0" w:color="auto"/>
            </w:tcBorders>
            <w:shd w:val="clear" w:color="auto" w:fill="auto"/>
            <w:vAlign w:val="center"/>
            <w:hideMark/>
          </w:tcPr>
          <w:p w14:paraId="1BD88E7C" w14:textId="37B7E5C6" w:rsidR="007A3751" w:rsidRPr="00005453" w:rsidRDefault="007A3751" w:rsidP="007A3751">
            <w:pPr>
              <w:jc w:val="right"/>
              <w:rPr>
                <w:sz w:val="14"/>
                <w:szCs w:val="14"/>
              </w:rPr>
            </w:pPr>
            <w:r w:rsidRPr="00005453">
              <w:rPr>
                <w:sz w:val="14"/>
                <w:szCs w:val="18"/>
              </w:rPr>
              <w:t>5,293,733</w:t>
            </w:r>
          </w:p>
        </w:tc>
        <w:tc>
          <w:tcPr>
            <w:tcW w:w="901" w:type="dxa"/>
            <w:tcBorders>
              <w:top w:val="nil"/>
              <w:left w:val="single" w:sz="4" w:space="0" w:color="auto"/>
              <w:bottom w:val="nil"/>
              <w:right w:val="single" w:sz="4" w:space="0" w:color="auto"/>
            </w:tcBorders>
            <w:shd w:val="clear" w:color="auto" w:fill="auto"/>
            <w:vAlign w:val="center"/>
            <w:hideMark/>
          </w:tcPr>
          <w:p w14:paraId="5DDEE258" w14:textId="28610EA5" w:rsidR="007A3751" w:rsidRPr="00005453" w:rsidRDefault="007A3751" w:rsidP="007A3751">
            <w:pPr>
              <w:jc w:val="right"/>
              <w:rPr>
                <w:sz w:val="14"/>
                <w:szCs w:val="14"/>
              </w:rPr>
            </w:pPr>
            <w:r w:rsidRPr="00005453">
              <w:rPr>
                <w:sz w:val="14"/>
                <w:szCs w:val="18"/>
              </w:rPr>
              <w:t>19,888,676</w:t>
            </w:r>
          </w:p>
        </w:tc>
        <w:tc>
          <w:tcPr>
            <w:tcW w:w="902" w:type="dxa"/>
            <w:tcBorders>
              <w:top w:val="nil"/>
              <w:left w:val="single" w:sz="4" w:space="0" w:color="auto"/>
              <w:bottom w:val="nil"/>
              <w:right w:val="single" w:sz="4" w:space="0" w:color="auto"/>
            </w:tcBorders>
            <w:shd w:val="clear" w:color="auto" w:fill="auto"/>
            <w:vAlign w:val="center"/>
            <w:hideMark/>
          </w:tcPr>
          <w:p w14:paraId="4A9E25C1" w14:textId="5165160B" w:rsidR="007A3751" w:rsidRPr="00005453" w:rsidRDefault="007A3751" w:rsidP="007A3751">
            <w:pPr>
              <w:jc w:val="right"/>
              <w:rPr>
                <w:sz w:val="14"/>
                <w:szCs w:val="14"/>
                <w:lang w:eastAsia="tr-TR"/>
              </w:rPr>
            </w:pPr>
            <w:r w:rsidRPr="00005453">
              <w:rPr>
                <w:sz w:val="14"/>
                <w:szCs w:val="14"/>
              </w:rPr>
              <w:t>20,882,076</w:t>
            </w:r>
          </w:p>
        </w:tc>
        <w:tc>
          <w:tcPr>
            <w:tcW w:w="912" w:type="dxa"/>
            <w:tcBorders>
              <w:top w:val="nil"/>
              <w:left w:val="single" w:sz="4" w:space="0" w:color="auto"/>
              <w:bottom w:val="nil"/>
              <w:right w:val="single" w:sz="4" w:space="0" w:color="auto"/>
            </w:tcBorders>
            <w:shd w:val="clear" w:color="auto" w:fill="auto"/>
            <w:vAlign w:val="center"/>
            <w:hideMark/>
          </w:tcPr>
          <w:p w14:paraId="301B4A83" w14:textId="0A62E6DB" w:rsidR="007A3751" w:rsidRPr="00005453" w:rsidRDefault="007A3751" w:rsidP="007A3751">
            <w:pPr>
              <w:jc w:val="right"/>
              <w:rPr>
                <w:sz w:val="14"/>
                <w:szCs w:val="14"/>
                <w:lang w:eastAsia="tr-TR"/>
              </w:rPr>
            </w:pPr>
            <w:r w:rsidRPr="00005453">
              <w:rPr>
                <w:sz w:val="14"/>
                <w:szCs w:val="14"/>
              </w:rPr>
              <w:t>1,849,119</w:t>
            </w:r>
          </w:p>
        </w:tc>
        <w:tc>
          <w:tcPr>
            <w:tcW w:w="1065" w:type="dxa"/>
            <w:tcBorders>
              <w:top w:val="nil"/>
              <w:left w:val="single" w:sz="4" w:space="0" w:color="auto"/>
              <w:bottom w:val="nil"/>
              <w:right w:val="single" w:sz="4" w:space="0" w:color="auto"/>
            </w:tcBorders>
            <w:shd w:val="clear" w:color="auto" w:fill="auto"/>
            <w:vAlign w:val="center"/>
            <w:hideMark/>
          </w:tcPr>
          <w:p w14:paraId="22063E90" w14:textId="03E95981" w:rsidR="007A3751" w:rsidRPr="00005453" w:rsidRDefault="007A3751" w:rsidP="007A3751">
            <w:pPr>
              <w:jc w:val="right"/>
              <w:rPr>
                <w:sz w:val="14"/>
                <w:szCs w:val="14"/>
                <w:lang w:eastAsia="tr-TR"/>
              </w:rPr>
            </w:pPr>
            <w:r w:rsidRPr="00005453">
              <w:rPr>
                <w:sz w:val="14"/>
                <w:szCs w:val="14"/>
              </w:rPr>
              <w:t>22,731,195</w:t>
            </w:r>
          </w:p>
        </w:tc>
      </w:tr>
      <w:tr w:rsidR="007A3751" w:rsidRPr="00005453" w14:paraId="56C725BA" w14:textId="77777777" w:rsidTr="00A9473B">
        <w:trPr>
          <w:trHeight w:val="197"/>
        </w:trPr>
        <w:tc>
          <w:tcPr>
            <w:tcW w:w="455" w:type="dxa"/>
            <w:tcBorders>
              <w:top w:val="nil"/>
              <w:left w:val="single" w:sz="4" w:space="0" w:color="auto"/>
              <w:bottom w:val="nil"/>
              <w:right w:val="single" w:sz="4" w:space="0" w:color="auto"/>
            </w:tcBorders>
            <w:shd w:val="clear" w:color="auto" w:fill="auto"/>
            <w:noWrap/>
            <w:hideMark/>
          </w:tcPr>
          <w:p w14:paraId="218DB34A"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1.3.</w:t>
            </w:r>
          </w:p>
        </w:tc>
        <w:tc>
          <w:tcPr>
            <w:tcW w:w="3046" w:type="dxa"/>
            <w:tcBorders>
              <w:top w:val="nil"/>
              <w:left w:val="single" w:sz="4" w:space="0" w:color="auto"/>
              <w:bottom w:val="nil"/>
              <w:right w:val="single" w:sz="4" w:space="0" w:color="auto"/>
            </w:tcBorders>
            <w:shd w:val="clear" w:color="auto" w:fill="auto"/>
            <w:hideMark/>
          </w:tcPr>
          <w:p w14:paraId="5423EB35"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01033B7B" w14:textId="77777777" w:rsidR="007A3751" w:rsidRPr="00005453" w:rsidRDefault="007A3751" w:rsidP="007A3751">
            <w:pPr>
              <w:jc w:val="center"/>
              <w:rPr>
                <w:b/>
                <w:bCs/>
                <w:color w:val="000000"/>
                <w:sz w:val="14"/>
                <w:szCs w:val="14"/>
                <w:lang w:eastAsia="tr-TR"/>
              </w:rPr>
            </w:pPr>
            <w:r w:rsidRPr="00005453">
              <w:rPr>
                <w:b/>
                <w:bCs/>
                <w:color w:val="000000"/>
                <w:sz w:val="14"/>
                <w:szCs w:val="14"/>
                <w:lang w:eastAsia="tr-TR"/>
              </w:rPr>
              <w:t>(5.1.4.)</w:t>
            </w:r>
          </w:p>
        </w:tc>
        <w:tc>
          <w:tcPr>
            <w:tcW w:w="864" w:type="dxa"/>
            <w:tcBorders>
              <w:top w:val="nil"/>
              <w:left w:val="single" w:sz="4" w:space="0" w:color="auto"/>
              <w:bottom w:val="nil"/>
              <w:right w:val="single" w:sz="4" w:space="0" w:color="auto"/>
            </w:tcBorders>
            <w:shd w:val="clear" w:color="auto" w:fill="auto"/>
            <w:vAlign w:val="center"/>
            <w:hideMark/>
          </w:tcPr>
          <w:p w14:paraId="740D8E62" w14:textId="565BAFCA" w:rsidR="007A3751" w:rsidRPr="00005453" w:rsidRDefault="007A3751" w:rsidP="007A3751">
            <w:pPr>
              <w:jc w:val="right"/>
              <w:rPr>
                <w:b/>
                <w:bCs/>
                <w:sz w:val="14"/>
                <w:szCs w:val="14"/>
              </w:rPr>
            </w:pPr>
            <w:r w:rsidRPr="00005453">
              <w:rPr>
                <w:b/>
                <w:bCs/>
                <w:sz w:val="14"/>
                <w:szCs w:val="18"/>
              </w:rPr>
              <w:t>38,046,620</w:t>
            </w:r>
          </w:p>
        </w:tc>
        <w:tc>
          <w:tcPr>
            <w:tcW w:w="863" w:type="dxa"/>
            <w:tcBorders>
              <w:top w:val="nil"/>
              <w:left w:val="single" w:sz="4" w:space="0" w:color="auto"/>
              <w:bottom w:val="nil"/>
              <w:right w:val="single" w:sz="4" w:space="0" w:color="auto"/>
            </w:tcBorders>
            <w:shd w:val="clear" w:color="auto" w:fill="auto"/>
            <w:vAlign w:val="center"/>
            <w:hideMark/>
          </w:tcPr>
          <w:p w14:paraId="471C485A" w14:textId="6F41299C" w:rsidR="007A3751" w:rsidRPr="00005453" w:rsidRDefault="007A3751" w:rsidP="007A3751">
            <w:pPr>
              <w:jc w:val="right"/>
              <w:rPr>
                <w:b/>
                <w:bCs/>
                <w:sz w:val="14"/>
                <w:szCs w:val="14"/>
              </w:rPr>
            </w:pPr>
            <w:r w:rsidRPr="00005453">
              <w:rPr>
                <w:b/>
                <w:bCs/>
                <w:sz w:val="14"/>
                <w:szCs w:val="18"/>
              </w:rPr>
              <w:t>22,911,647</w:t>
            </w:r>
          </w:p>
        </w:tc>
        <w:tc>
          <w:tcPr>
            <w:tcW w:w="901" w:type="dxa"/>
            <w:tcBorders>
              <w:top w:val="nil"/>
              <w:left w:val="single" w:sz="4" w:space="0" w:color="auto"/>
              <w:bottom w:val="nil"/>
              <w:right w:val="single" w:sz="4" w:space="0" w:color="auto"/>
            </w:tcBorders>
            <w:shd w:val="clear" w:color="auto" w:fill="auto"/>
            <w:vAlign w:val="center"/>
            <w:hideMark/>
          </w:tcPr>
          <w:p w14:paraId="231088BA" w14:textId="683369A4" w:rsidR="007A3751" w:rsidRPr="00005453" w:rsidRDefault="007A3751" w:rsidP="007A3751">
            <w:pPr>
              <w:jc w:val="right"/>
              <w:rPr>
                <w:b/>
                <w:bCs/>
                <w:sz w:val="14"/>
                <w:szCs w:val="14"/>
              </w:rPr>
            </w:pPr>
            <w:r w:rsidRPr="00005453">
              <w:rPr>
                <w:b/>
                <w:bCs/>
                <w:sz w:val="14"/>
                <w:szCs w:val="18"/>
              </w:rPr>
              <w:t>60,958,267</w:t>
            </w:r>
          </w:p>
        </w:tc>
        <w:tc>
          <w:tcPr>
            <w:tcW w:w="902" w:type="dxa"/>
            <w:tcBorders>
              <w:top w:val="nil"/>
              <w:left w:val="single" w:sz="4" w:space="0" w:color="auto"/>
              <w:bottom w:val="nil"/>
              <w:right w:val="single" w:sz="4" w:space="0" w:color="auto"/>
            </w:tcBorders>
            <w:shd w:val="clear" w:color="auto" w:fill="auto"/>
            <w:vAlign w:val="center"/>
            <w:hideMark/>
          </w:tcPr>
          <w:p w14:paraId="4C5A0DDA" w14:textId="7509D919" w:rsidR="007A3751" w:rsidRPr="00005453" w:rsidRDefault="007A3751" w:rsidP="007A3751">
            <w:pPr>
              <w:jc w:val="right"/>
              <w:rPr>
                <w:b/>
                <w:bCs/>
                <w:sz w:val="14"/>
                <w:szCs w:val="14"/>
                <w:lang w:eastAsia="tr-TR"/>
              </w:rPr>
            </w:pPr>
            <w:r w:rsidRPr="00005453">
              <w:rPr>
                <w:b/>
                <w:bCs/>
                <w:sz w:val="14"/>
                <w:szCs w:val="14"/>
              </w:rPr>
              <w:t>29,815,694</w:t>
            </w:r>
          </w:p>
        </w:tc>
        <w:tc>
          <w:tcPr>
            <w:tcW w:w="912" w:type="dxa"/>
            <w:tcBorders>
              <w:top w:val="nil"/>
              <w:left w:val="single" w:sz="4" w:space="0" w:color="auto"/>
              <w:bottom w:val="nil"/>
              <w:right w:val="single" w:sz="4" w:space="0" w:color="auto"/>
            </w:tcBorders>
            <w:shd w:val="clear" w:color="auto" w:fill="auto"/>
            <w:vAlign w:val="center"/>
            <w:hideMark/>
          </w:tcPr>
          <w:p w14:paraId="35D24C92" w14:textId="795895A7" w:rsidR="007A3751" w:rsidRPr="00005453" w:rsidRDefault="007A3751" w:rsidP="007A3751">
            <w:pPr>
              <w:jc w:val="right"/>
              <w:rPr>
                <w:b/>
                <w:bCs/>
                <w:sz w:val="14"/>
                <w:szCs w:val="14"/>
                <w:lang w:eastAsia="tr-TR"/>
              </w:rPr>
            </w:pPr>
            <w:r w:rsidRPr="00005453">
              <w:rPr>
                <w:b/>
                <w:bCs/>
                <w:sz w:val="14"/>
                <w:szCs w:val="14"/>
              </w:rPr>
              <w:t>25,477,693</w:t>
            </w:r>
          </w:p>
        </w:tc>
        <w:tc>
          <w:tcPr>
            <w:tcW w:w="1065" w:type="dxa"/>
            <w:tcBorders>
              <w:top w:val="nil"/>
              <w:left w:val="single" w:sz="4" w:space="0" w:color="auto"/>
              <w:bottom w:val="nil"/>
              <w:right w:val="single" w:sz="4" w:space="0" w:color="auto"/>
            </w:tcBorders>
            <w:shd w:val="clear" w:color="auto" w:fill="auto"/>
            <w:vAlign w:val="center"/>
            <w:hideMark/>
          </w:tcPr>
          <w:p w14:paraId="5FD057DA" w14:textId="710F2EC2" w:rsidR="007A3751" w:rsidRPr="00005453" w:rsidRDefault="007A3751" w:rsidP="007A3751">
            <w:pPr>
              <w:jc w:val="right"/>
              <w:rPr>
                <w:b/>
                <w:bCs/>
                <w:sz w:val="14"/>
                <w:szCs w:val="14"/>
                <w:lang w:eastAsia="tr-TR"/>
              </w:rPr>
            </w:pPr>
            <w:r w:rsidRPr="00005453">
              <w:rPr>
                <w:b/>
                <w:bCs/>
                <w:sz w:val="14"/>
                <w:szCs w:val="14"/>
              </w:rPr>
              <w:t>55,293,387</w:t>
            </w:r>
          </w:p>
        </w:tc>
      </w:tr>
      <w:tr w:rsidR="007A3751" w:rsidRPr="00005453" w14:paraId="1FDC64F0"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30FF411D" w14:textId="77777777" w:rsidR="007A3751" w:rsidRPr="00005453" w:rsidRDefault="007A3751" w:rsidP="007A3751">
            <w:pPr>
              <w:rPr>
                <w:color w:val="000000"/>
                <w:sz w:val="14"/>
                <w:szCs w:val="14"/>
                <w:lang w:eastAsia="tr-TR"/>
              </w:rPr>
            </w:pPr>
            <w:r w:rsidRPr="00005453">
              <w:rPr>
                <w:color w:val="000000"/>
                <w:sz w:val="14"/>
                <w:szCs w:val="14"/>
                <w:lang w:eastAsia="tr-TR"/>
              </w:rPr>
              <w:t>1.3.1.</w:t>
            </w:r>
          </w:p>
        </w:tc>
        <w:tc>
          <w:tcPr>
            <w:tcW w:w="3046" w:type="dxa"/>
            <w:tcBorders>
              <w:top w:val="nil"/>
              <w:left w:val="single" w:sz="4" w:space="0" w:color="auto"/>
              <w:bottom w:val="nil"/>
              <w:right w:val="single" w:sz="4" w:space="0" w:color="auto"/>
            </w:tcBorders>
            <w:shd w:val="clear" w:color="auto" w:fill="auto"/>
            <w:noWrap/>
            <w:hideMark/>
          </w:tcPr>
          <w:p w14:paraId="4B71C8A1" w14:textId="77777777" w:rsidR="007A3751" w:rsidRPr="00005453" w:rsidRDefault="007A3751" w:rsidP="007A3751">
            <w:pPr>
              <w:rPr>
                <w:color w:val="000000"/>
                <w:sz w:val="14"/>
                <w:szCs w:val="14"/>
                <w:lang w:eastAsia="tr-TR"/>
              </w:rPr>
            </w:pPr>
            <w:r w:rsidRPr="00005453">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672AB32F"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C290516" w14:textId="271B471D" w:rsidR="007A3751" w:rsidRPr="00005453" w:rsidRDefault="007A3751" w:rsidP="007A3751">
            <w:pPr>
              <w:jc w:val="right"/>
              <w:rPr>
                <w:sz w:val="14"/>
                <w:szCs w:val="14"/>
              </w:rPr>
            </w:pPr>
            <w:r w:rsidRPr="00005453">
              <w:rPr>
                <w:sz w:val="14"/>
                <w:szCs w:val="18"/>
              </w:rPr>
              <w:t>37,933,533</w:t>
            </w:r>
          </w:p>
        </w:tc>
        <w:tc>
          <w:tcPr>
            <w:tcW w:w="863" w:type="dxa"/>
            <w:tcBorders>
              <w:top w:val="nil"/>
              <w:left w:val="single" w:sz="4" w:space="0" w:color="auto"/>
              <w:bottom w:val="nil"/>
              <w:right w:val="single" w:sz="4" w:space="0" w:color="auto"/>
            </w:tcBorders>
            <w:shd w:val="clear" w:color="auto" w:fill="auto"/>
            <w:vAlign w:val="center"/>
            <w:hideMark/>
          </w:tcPr>
          <w:p w14:paraId="7CB51639" w14:textId="4E658001" w:rsidR="007A3751" w:rsidRPr="00005453" w:rsidRDefault="007A3751" w:rsidP="007A3751">
            <w:pPr>
              <w:jc w:val="right"/>
              <w:rPr>
                <w:sz w:val="14"/>
                <w:szCs w:val="14"/>
              </w:rPr>
            </w:pPr>
            <w:r w:rsidRPr="00005453">
              <w:rPr>
                <w:sz w:val="14"/>
                <w:szCs w:val="18"/>
              </w:rPr>
              <w:t>22,251,047</w:t>
            </w:r>
          </w:p>
        </w:tc>
        <w:tc>
          <w:tcPr>
            <w:tcW w:w="901" w:type="dxa"/>
            <w:tcBorders>
              <w:top w:val="nil"/>
              <w:left w:val="single" w:sz="4" w:space="0" w:color="auto"/>
              <w:bottom w:val="nil"/>
              <w:right w:val="single" w:sz="4" w:space="0" w:color="auto"/>
            </w:tcBorders>
            <w:shd w:val="clear" w:color="auto" w:fill="auto"/>
            <w:vAlign w:val="center"/>
            <w:hideMark/>
          </w:tcPr>
          <w:p w14:paraId="4A228503" w14:textId="5A2A3A9F" w:rsidR="007A3751" w:rsidRPr="00005453" w:rsidRDefault="007A3751" w:rsidP="007A3751">
            <w:pPr>
              <w:jc w:val="right"/>
              <w:rPr>
                <w:sz w:val="14"/>
                <w:szCs w:val="14"/>
              </w:rPr>
            </w:pPr>
            <w:r w:rsidRPr="00005453">
              <w:rPr>
                <w:sz w:val="14"/>
                <w:szCs w:val="18"/>
              </w:rPr>
              <w:t>60,184,580</w:t>
            </w:r>
          </w:p>
        </w:tc>
        <w:tc>
          <w:tcPr>
            <w:tcW w:w="902" w:type="dxa"/>
            <w:tcBorders>
              <w:top w:val="nil"/>
              <w:left w:val="single" w:sz="4" w:space="0" w:color="auto"/>
              <w:bottom w:val="nil"/>
              <w:right w:val="single" w:sz="4" w:space="0" w:color="auto"/>
            </w:tcBorders>
            <w:shd w:val="clear" w:color="auto" w:fill="auto"/>
            <w:vAlign w:val="center"/>
            <w:hideMark/>
          </w:tcPr>
          <w:p w14:paraId="2955AB1E" w14:textId="022DC1DC" w:rsidR="007A3751" w:rsidRPr="00005453" w:rsidRDefault="007A3751" w:rsidP="007A3751">
            <w:pPr>
              <w:jc w:val="right"/>
              <w:rPr>
                <w:sz w:val="14"/>
                <w:szCs w:val="14"/>
                <w:lang w:eastAsia="tr-TR"/>
              </w:rPr>
            </w:pPr>
            <w:r w:rsidRPr="00005453">
              <w:rPr>
                <w:sz w:val="14"/>
                <w:szCs w:val="14"/>
              </w:rPr>
              <w:t>29,541,039</w:t>
            </w:r>
          </w:p>
        </w:tc>
        <w:tc>
          <w:tcPr>
            <w:tcW w:w="912" w:type="dxa"/>
            <w:tcBorders>
              <w:top w:val="nil"/>
              <w:left w:val="single" w:sz="4" w:space="0" w:color="auto"/>
              <w:bottom w:val="nil"/>
              <w:right w:val="single" w:sz="4" w:space="0" w:color="auto"/>
            </w:tcBorders>
            <w:shd w:val="clear" w:color="auto" w:fill="auto"/>
            <w:vAlign w:val="center"/>
            <w:hideMark/>
          </w:tcPr>
          <w:p w14:paraId="56926E5F" w14:textId="3C795A02" w:rsidR="007A3751" w:rsidRPr="00005453" w:rsidRDefault="007A3751" w:rsidP="007A3751">
            <w:pPr>
              <w:jc w:val="right"/>
              <w:rPr>
                <w:sz w:val="14"/>
                <w:szCs w:val="14"/>
                <w:lang w:eastAsia="tr-TR"/>
              </w:rPr>
            </w:pPr>
            <w:r w:rsidRPr="00005453">
              <w:rPr>
                <w:sz w:val="14"/>
                <w:szCs w:val="14"/>
              </w:rPr>
              <w:t>24,858,617</w:t>
            </w:r>
          </w:p>
        </w:tc>
        <w:tc>
          <w:tcPr>
            <w:tcW w:w="1065" w:type="dxa"/>
            <w:tcBorders>
              <w:top w:val="nil"/>
              <w:left w:val="single" w:sz="4" w:space="0" w:color="auto"/>
              <w:bottom w:val="nil"/>
              <w:right w:val="single" w:sz="4" w:space="0" w:color="auto"/>
            </w:tcBorders>
            <w:shd w:val="clear" w:color="auto" w:fill="auto"/>
            <w:vAlign w:val="center"/>
            <w:hideMark/>
          </w:tcPr>
          <w:p w14:paraId="4AA10F7F" w14:textId="1AD6E965" w:rsidR="007A3751" w:rsidRPr="00005453" w:rsidRDefault="007A3751" w:rsidP="007A3751">
            <w:pPr>
              <w:jc w:val="right"/>
              <w:rPr>
                <w:sz w:val="14"/>
                <w:szCs w:val="14"/>
                <w:lang w:eastAsia="tr-TR"/>
              </w:rPr>
            </w:pPr>
            <w:r w:rsidRPr="00005453">
              <w:rPr>
                <w:sz w:val="14"/>
                <w:szCs w:val="14"/>
              </w:rPr>
              <w:t>54,399,656</w:t>
            </w:r>
          </w:p>
        </w:tc>
      </w:tr>
      <w:tr w:rsidR="007A3751" w:rsidRPr="00005453" w14:paraId="5AD481C2" w14:textId="77777777" w:rsidTr="00A9473B">
        <w:trPr>
          <w:trHeight w:val="65"/>
        </w:trPr>
        <w:tc>
          <w:tcPr>
            <w:tcW w:w="455" w:type="dxa"/>
            <w:tcBorders>
              <w:top w:val="nil"/>
              <w:left w:val="single" w:sz="4" w:space="0" w:color="auto"/>
              <w:bottom w:val="nil"/>
              <w:right w:val="single" w:sz="4" w:space="0" w:color="auto"/>
            </w:tcBorders>
            <w:shd w:val="clear" w:color="auto" w:fill="auto"/>
            <w:noWrap/>
            <w:hideMark/>
          </w:tcPr>
          <w:p w14:paraId="651910F2" w14:textId="77777777" w:rsidR="007A3751" w:rsidRPr="00005453" w:rsidRDefault="007A3751" w:rsidP="007A3751">
            <w:pPr>
              <w:rPr>
                <w:color w:val="000000"/>
                <w:sz w:val="14"/>
                <w:szCs w:val="14"/>
                <w:lang w:eastAsia="tr-TR"/>
              </w:rPr>
            </w:pPr>
            <w:r w:rsidRPr="00005453">
              <w:rPr>
                <w:color w:val="000000"/>
                <w:sz w:val="14"/>
                <w:szCs w:val="14"/>
                <w:lang w:eastAsia="tr-TR"/>
              </w:rPr>
              <w:t>1.3.2.</w:t>
            </w:r>
          </w:p>
        </w:tc>
        <w:tc>
          <w:tcPr>
            <w:tcW w:w="3046" w:type="dxa"/>
            <w:tcBorders>
              <w:top w:val="nil"/>
              <w:left w:val="single" w:sz="4" w:space="0" w:color="auto"/>
              <w:bottom w:val="nil"/>
              <w:right w:val="single" w:sz="4" w:space="0" w:color="auto"/>
            </w:tcBorders>
            <w:shd w:val="clear" w:color="auto" w:fill="auto"/>
            <w:noWrap/>
            <w:hideMark/>
          </w:tcPr>
          <w:p w14:paraId="0DABF1E1" w14:textId="77777777" w:rsidR="007A3751" w:rsidRPr="00005453" w:rsidRDefault="007A3751" w:rsidP="007A3751">
            <w:pPr>
              <w:rPr>
                <w:color w:val="000000"/>
                <w:sz w:val="14"/>
                <w:szCs w:val="14"/>
                <w:lang w:eastAsia="tr-TR"/>
              </w:rPr>
            </w:pPr>
            <w:r w:rsidRPr="00005453">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186AEFAD"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9797665" w14:textId="29490FA9" w:rsidR="007A3751" w:rsidRPr="00005453" w:rsidRDefault="007A3751" w:rsidP="007A3751">
            <w:pPr>
              <w:jc w:val="right"/>
              <w:rPr>
                <w:sz w:val="14"/>
                <w:szCs w:val="14"/>
              </w:rPr>
            </w:pPr>
            <w:r w:rsidRPr="00005453">
              <w:rPr>
                <w:sz w:val="14"/>
                <w:szCs w:val="18"/>
              </w:rPr>
              <w:t>105,587</w:t>
            </w:r>
          </w:p>
        </w:tc>
        <w:tc>
          <w:tcPr>
            <w:tcW w:w="863" w:type="dxa"/>
            <w:tcBorders>
              <w:top w:val="nil"/>
              <w:left w:val="single" w:sz="4" w:space="0" w:color="auto"/>
              <w:bottom w:val="nil"/>
              <w:right w:val="single" w:sz="4" w:space="0" w:color="auto"/>
            </w:tcBorders>
            <w:shd w:val="clear" w:color="auto" w:fill="auto"/>
            <w:vAlign w:val="center"/>
            <w:hideMark/>
          </w:tcPr>
          <w:p w14:paraId="23BFE386" w14:textId="29CAC0BE" w:rsidR="007A3751" w:rsidRPr="00005453" w:rsidRDefault="007A3751" w:rsidP="007A3751">
            <w:pPr>
              <w:jc w:val="right"/>
              <w:rPr>
                <w:sz w:val="14"/>
                <w:szCs w:val="14"/>
              </w:rPr>
            </w:pPr>
            <w:r w:rsidRPr="00005453">
              <w:rPr>
                <w:sz w:val="14"/>
                <w:szCs w:val="18"/>
              </w:rPr>
              <w:t>382,853</w:t>
            </w:r>
          </w:p>
        </w:tc>
        <w:tc>
          <w:tcPr>
            <w:tcW w:w="901" w:type="dxa"/>
            <w:tcBorders>
              <w:top w:val="nil"/>
              <w:left w:val="single" w:sz="4" w:space="0" w:color="auto"/>
              <w:bottom w:val="nil"/>
              <w:right w:val="single" w:sz="4" w:space="0" w:color="auto"/>
            </w:tcBorders>
            <w:shd w:val="clear" w:color="auto" w:fill="auto"/>
            <w:vAlign w:val="center"/>
            <w:hideMark/>
          </w:tcPr>
          <w:p w14:paraId="13885590" w14:textId="5AD4BF63" w:rsidR="007A3751" w:rsidRPr="00005453" w:rsidRDefault="007A3751" w:rsidP="007A3751">
            <w:pPr>
              <w:jc w:val="right"/>
              <w:rPr>
                <w:sz w:val="14"/>
                <w:szCs w:val="14"/>
              </w:rPr>
            </w:pPr>
            <w:r w:rsidRPr="00005453">
              <w:rPr>
                <w:sz w:val="14"/>
                <w:szCs w:val="18"/>
              </w:rPr>
              <w:t>488,440</w:t>
            </w:r>
          </w:p>
        </w:tc>
        <w:tc>
          <w:tcPr>
            <w:tcW w:w="902" w:type="dxa"/>
            <w:tcBorders>
              <w:top w:val="nil"/>
              <w:left w:val="single" w:sz="4" w:space="0" w:color="auto"/>
              <w:bottom w:val="nil"/>
              <w:right w:val="single" w:sz="4" w:space="0" w:color="auto"/>
            </w:tcBorders>
            <w:shd w:val="clear" w:color="auto" w:fill="auto"/>
            <w:vAlign w:val="center"/>
            <w:hideMark/>
          </w:tcPr>
          <w:p w14:paraId="70472C88" w14:textId="2ABB8687" w:rsidR="007A3751" w:rsidRPr="00005453" w:rsidRDefault="007A3751" w:rsidP="007A3751">
            <w:pPr>
              <w:jc w:val="right"/>
              <w:rPr>
                <w:sz w:val="14"/>
                <w:szCs w:val="14"/>
                <w:lang w:eastAsia="tr-TR"/>
              </w:rPr>
            </w:pPr>
            <w:r w:rsidRPr="00005453">
              <w:rPr>
                <w:sz w:val="14"/>
                <w:szCs w:val="14"/>
              </w:rPr>
              <w:t>60,587</w:t>
            </w:r>
          </w:p>
        </w:tc>
        <w:tc>
          <w:tcPr>
            <w:tcW w:w="912" w:type="dxa"/>
            <w:tcBorders>
              <w:top w:val="nil"/>
              <w:left w:val="single" w:sz="4" w:space="0" w:color="auto"/>
              <w:bottom w:val="nil"/>
              <w:right w:val="single" w:sz="4" w:space="0" w:color="auto"/>
            </w:tcBorders>
            <w:shd w:val="clear" w:color="auto" w:fill="auto"/>
            <w:vAlign w:val="center"/>
            <w:hideMark/>
          </w:tcPr>
          <w:p w14:paraId="75845896" w14:textId="53CEBDE4" w:rsidR="007A3751" w:rsidRPr="00005453" w:rsidRDefault="007A3751" w:rsidP="007A3751">
            <w:pPr>
              <w:jc w:val="right"/>
              <w:rPr>
                <w:sz w:val="14"/>
                <w:szCs w:val="14"/>
                <w:lang w:eastAsia="tr-TR"/>
              </w:rPr>
            </w:pPr>
            <w:r w:rsidRPr="00005453">
              <w:rPr>
                <w:sz w:val="14"/>
                <w:szCs w:val="14"/>
              </w:rPr>
              <w:t>241,172</w:t>
            </w:r>
          </w:p>
        </w:tc>
        <w:tc>
          <w:tcPr>
            <w:tcW w:w="1065" w:type="dxa"/>
            <w:tcBorders>
              <w:top w:val="nil"/>
              <w:left w:val="single" w:sz="4" w:space="0" w:color="auto"/>
              <w:bottom w:val="nil"/>
              <w:right w:val="single" w:sz="4" w:space="0" w:color="auto"/>
            </w:tcBorders>
            <w:shd w:val="clear" w:color="auto" w:fill="auto"/>
            <w:vAlign w:val="center"/>
            <w:hideMark/>
          </w:tcPr>
          <w:p w14:paraId="71476402" w14:textId="694C382B" w:rsidR="007A3751" w:rsidRPr="00005453" w:rsidRDefault="007A3751" w:rsidP="007A3751">
            <w:pPr>
              <w:jc w:val="right"/>
              <w:rPr>
                <w:sz w:val="14"/>
                <w:szCs w:val="14"/>
                <w:lang w:eastAsia="tr-TR"/>
              </w:rPr>
            </w:pPr>
            <w:r w:rsidRPr="00005453">
              <w:rPr>
                <w:sz w:val="14"/>
                <w:szCs w:val="14"/>
              </w:rPr>
              <w:t>301,759</w:t>
            </w:r>
          </w:p>
        </w:tc>
      </w:tr>
      <w:tr w:rsidR="007A3751" w:rsidRPr="00005453" w14:paraId="18F74336"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2582D202" w14:textId="77777777" w:rsidR="007A3751" w:rsidRPr="00005453" w:rsidRDefault="007A3751" w:rsidP="007A3751">
            <w:pPr>
              <w:rPr>
                <w:color w:val="000000"/>
                <w:sz w:val="14"/>
                <w:szCs w:val="14"/>
                <w:lang w:eastAsia="tr-TR"/>
              </w:rPr>
            </w:pPr>
            <w:r w:rsidRPr="00005453">
              <w:rPr>
                <w:color w:val="000000"/>
                <w:sz w:val="14"/>
                <w:szCs w:val="14"/>
                <w:lang w:eastAsia="tr-TR"/>
              </w:rPr>
              <w:t>1.3.3.</w:t>
            </w:r>
          </w:p>
        </w:tc>
        <w:tc>
          <w:tcPr>
            <w:tcW w:w="3046" w:type="dxa"/>
            <w:tcBorders>
              <w:top w:val="nil"/>
              <w:left w:val="single" w:sz="4" w:space="0" w:color="auto"/>
              <w:bottom w:val="nil"/>
              <w:right w:val="single" w:sz="4" w:space="0" w:color="auto"/>
            </w:tcBorders>
            <w:shd w:val="clear" w:color="auto" w:fill="auto"/>
            <w:noWrap/>
            <w:hideMark/>
          </w:tcPr>
          <w:p w14:paraId="26BF6B19" w14:textId="77777777" w:rsidR="007A3751" w:rsidRPr="00005453" w:rsidRDefault="007A3751" w:rsidP="007A3751">
            <w:pPr>
              <w:rPr>
                <w:color w:val="000000"/>
                <w:sz w:val="14"/>
                <w:szCs w:val="14"/>
                <w:lang w:eastAsia="tr-TR"/>
              </w:rPr>
            </w:pPr>
            <w:r w:rsidRPr="00005453">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187C65CB" w14:textId="77777777" w:rsidR="007A3751" w:rsidRPr="00005453" w:rsidRDefault="007A3751" w:rsidP="007A3751">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759C9B3" w14:textId="76211966" w:rsidR="007A3751" w:rsidRPr="00005453" w:rsidRDefault="007A3751" w:rsidP="007A3751">
            <w:pPr>
              <w:jc w:val="right"/>
              <w:rPr>
                <w:sz w:val="14"/>
                <w:szCs w:val="14"/>
              </w:rPr>
            </w:pPr>
            <w:r w:rsidRPr="00005453">
              <w:rPr>
                <w:sz w:val="14"/>
                <w:szCs w:val="18"/>
              </w:rPr>
              <w:t>7,500</w:t>
            </w:r>
          </w:p>
        </w:tc>
        <w:tc>
          <w:tcPr>
            <w:tcW w:w="863" w:type="dxa"/>
            <w:tcBorders>
              <w:top w:val="nil"/>
              <w:left w:val="single" w:sz="4" w:space="0" w:color="auto"/>
              <w:bottom w:val="nil"/>
              <w:right w:val="single" w:sz="4" w:space="0" w:color="auto"/>
            </w:tcBorders>
            <w:shd w:val="clear" w:color="auto" w:fill="auto"/>
            <w:vAlign w:val="center"/>
            <w:hideMark/>
          </w:tcPr>
          <w:p w14:paraId="4A9BD7A1" w14:textId="7AB3BD9A" w:rsidR="007A3751" w:rsidRPr="00005453" w:rsidRDefault="007A3751" w:rsidP="007A3751">
            <w:pPr>
              <w:jc w:val="right"/>
              <w:rPr>
                <w:sz w:val="14"/>
                <w:szCs w:val="14"/>
              </w:rPr>
            </w:pPr>
            <w:r w:rsidRPr="00005453">
              <w:rPr>
                <w:sz w:val="14"/>
                <w:szCs w:val="18"/>
              </w:rPr>
              <w:t>277,747</w:t>
            </w:r>
          </w:p>
        </w:tc>
        <w:tc>
          <w:tcPr>
            <w:tcW w:w="901" w:type="dxa"/>
            <w:tcBorders>
              <w:top w:val="nil"/>
              <w:left w:val="single" w:sz="4" w:space="0" w:color="auto"/>
              <w:bottom w:val="nil"/>
              <w:right w:val="single" w:sz="4" w:space="0" w:color="auto"/>
            </w:tcBorders>
            <w:shd w:val="clear" w:color="auto" w:fill="auto"/>
            <w:vAlign w:val="center"/>
            <w:hideMark/>
          </w:tcPr>
          <w:p w14:paraId="57AC2237" w14:textId="609FD799" w:rsidR="007A3751" w:rsidRPr="00005453" w:rsidRDefault="007A3751" w:rsidP="007A3751">
            <w:pPr>
              <w:jc w:val="right"/>
              <w:rPr>
                <w:sz w:val="14"/>
                <w:szCs w:val="14"/>
              </w:rPr>
            </w:pPr>
            <w:r w:rsidRPr="00005453">
              <w:rPr>
                <w:sz w:val="14"/>
                <w:szCs w:val="18"/>
              </w:rPr>
              <w:t>285,247</w:t>
            </w:r>
          </w:p>
        </w:tc>
        <w:tc>
          <w:tcPr>
            <w:tcW w:w="902" w:type="dxa"/>
            <w:tcBorders>
              <w:top w:val="nil"/>
              <w:left w:val="single" w:sz="4" w:space="0" w:color="auto"/>
              <w:bottom w:val="nil"/>
              <w:right w:val="single" w:sz="4" w:space="0" w:color="auto"/>
            </w:tcBorders>
            <w:shd w:val="clear" w:color="auto" w:fill="auto"/>
            <w:vAlign w:val="center"/>
            <w:hideMark/>
          </w:tcPr>
          <w:p w14:paraId="01A972F3" w14:textId="0B6F5524" w:rsidR="007A3751" w:rsidRPr="00005453" w:rsidRDefault="007A3751" w:rsidP="007A3751">
            <w:pPr>
              <w:jc w:val="right"/>
              <w:rPr>
                <w:sz w:val="14"/>
                <w:szCs w:val="14"/>
                <w:lang w:eastAsia="tr-TR"/>
              </w:rPr>
            </w:pPr>
            <w:r w:rsidRPr="00005453">
              <w:rPr>
                <w:sz w:val="14"/>
                <w:szCs w:val="14"/>
              </w:rPr>
              <w:t>214,068</w:t>
            </w:r>
          </w:p>
        </w:tc>
        <w:tc>
          <w:tcPr>
            <w:tcW w:w="912" w:type="dxa"/>
            <w:tcBorders>
              <w:top w:val="nil"/>
              <w:left w:val="single" w:sz="4" w:space="0" w:color="auto"/>
              <w:bottom w:val="nil"/>
              <w:right w:val="single" w:sz="4" w:space="0" w:color="auto"/>
            </w:tcBorders>
            <w:shd w:val="clear" w:color="auto" w:fill="auto"/>
            <w:vAlign w:val="center"/>
            <w:hideMark/>
          </w:tcPr>
          <w:p w14:paraId="5CAB7505" w14:textId="39D0F2D7" w:rsidR="007A3751" w:rsidRPr="00005453" w:rsidRDefault="007A3751" w:rsidP="007A3751">
            <w:pPr>
              <w:jc w:val="right"/>
              <w:rPr>
                <w:sz w:val="14"/>
                <w:szCs w:val="14"/>
                <w:lang w:eastAsia="tr-TR"/>
              </w:rPr>
            </w:pPr>
            <w:r w:rsidRPr="00005453">
              <w:rPr>
                <w:sz w:val="14"/>
                <w:szCs w:val="14"/>
              </w:rPr>
              <w:t>377,904</w:t>
            </w:r>
          </w:p>
        </w:tc>
        <w:tc>
          <w:tcPr>
            <w:tcW w:w="1065" w:type="dxa"/>
            <w:tcBorders>
              <w:top w:val="nil"/>
              <w:left w:val="single" w:sz="4" w:space="0" w:color="auto"/>
              <w:bottom w:val="nil"/>
              <w:right w:val="single" w:sz="4" w:space="0" w:color="auto"/>
            </w:tcBorders>
            <w:shd w:val="clear" w:color="auto" w:fill="auto"/>
            <w:vAlign w:val="center"/>
            <w:hideMark/>
          </w:tcPr>
          <w:p w14:paraId="38B5291E" w14:textId="620A765C" w:rsidR="007A3751" w:rsidRPr="00005453" w:rsidRDefault="007A3751" w:rsidP="007A3751">
            <w:pPr>
              <w:jc w:val="right"/>
              <w:rPr>
                <w:sz w:val="14"/>
                <w:szCs w:val="14"/>
                <w:lang w:eastAsia="tr-TR"/>
              </w:rPr>
            </w:pPr>
            <w:r w:rsidRPr="00005453">
              <w:rPr>
                <w:sz w:val="14"/>
                <w:szCs w:val="14"/>
              </w:rPr>
              <w:t>591,972</w:t>
            </w:r>
          </w:p>
        </w:tc>
      </w:tr>
      <w:tr w:rsidR="007A3751" w:rsidRPr="00005453" w14:paraId="3A8265CE" w14:textId="77777777" w:rsidTr="00A9473B">
        <w:trPr>
          <w:trHeight w:val="170"/>
        </w:trPr>
        <w:tc>
          <w:tcPr>
            <w:tcW w:w="455" w:type="dxa"/>
            <w:tcBorders>
              <w:top w:val="nil"/>
              <w:left w:val="single" w:sz="4" w:space="0" w:color="auto"/>
              <w:bottom w:val="nil"/>
              <w:right w:val="single" w:sz="4" w:space="0" w:color="auto"/>
            </w:tcBorders>
            <w:shd w:val="clear" w:color="auto" w:fill="auto"/>
            <w:noWrap/>
            <w:hideMark/>
          </w:tcPr>
          <w:p w14:paraId="60DA23E4"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1.4.</w:t>
            </w:r>
          </w:p>
        </w:tc>
        <w:tc>
          <w:tcPr>
            <w:tcW w:w="3046" w:type="dxa"/>
            <w:tcBorders>
              <w:top w:val="nil"/>
              <w:left w:val="single" w:sz="4" w:space="0" w:color="auto"/>
              <w:bottom w:val="nil"/>
              <w:right w:val="single" w:sz="4" w:space="0" w:color="auto"/>
            </w:tcBorders>
            <w:shd w:val="clear" w:color="auto" w:fill="auto"/>
            <w:noWrap/>
            <w:hideMark/>
          </w:tcPr>
          <w:p w14:paraId="2B9FC14A" w14:textId="77777777" w:rsidR="007A3751" w:rsidRPr="00005453" w:rsidRDefault="007A3751" w:rsidP="007A3751">
            <w:pPr>
              <w:rPr>
                <w:b/>
                <w:bCs/>
                <w:color w:val="000000"/>
                <w:sz w:val="14"/>
                <w:szCs w:val="14"/>
                <w:lang w:eastAsia="tr-TR"/>
              </w:rPr>
            </w:pPr>
            <w:r w:rsidRPr="00005453">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hideMark/>
          </w:tcPr>
          <w:p w14:paraId="2AC6F718" w14:textId="77777777" w:rsidR="007A3751" w:rsidRPr="00005453" w:rsidRDefault="007A3751" w:rsidP="007A3751">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E022AF0" w14:textId="134AC816" w:rsidR="007A3751" w:rsidRPr="00005453" w:rsidRDefault="007A3751" w:rsidP="007A3751">
            <w:pPr>
              <w:jc w:val="right"/>
              <w:rPr>
                <w:b/>
                <w:bCs/>
                <w:sz w:val="14"/>
                <w:szCs w:val="14"/>
              </w:rPr>
            </w:pPr>
            <w:r w:rsidRPr="00005453">
              <w:rPr>
                <w:b/>
                <w:bCs/>
                <w:sz w:val="14"/>
                <w:szCs w:val="18"/>
              </w:rPr>
              <w:t>317,234</w:t>
            </w:r>
          </w:p>
        </w:tc>
        <w:tc>
          <w:tcPr>
            <w:tcW w:w="863" w:type="dxa"/>
            <w:tcBorders>
              <w:top w:val="nil"/>
              <w:left w:val="single" w:sz="4" w:space="0" w:color="auto"/>
              <w:bottom w:val="nil"/>
              <w:right w:val="single" w:sz="4" w:space="0" w:color="auto"/>
            </w:tcBorders>
            <w:shd w:val="clear" w:color="auto" w:fill="auto"/>
            <w:vAlign w:val="center"/>
            <w:hideMark/>
          </w:tcPr>
          <w:p w14:paraId="2435FD26" w14:textId="61DA0744" w:rsidR="007A3751" w:rsidRPr="00005453" w:rsidRDefault="007A3751" w:rsidP="007A3751">
            <w:pPr>
              <w:jc w:val="right"/>
              <w:rPr>
                <w:b/>
                <w:bCs/>
                <w:sz w:val="14"/>
                <w:szCs w:val="14"/>
              </w:rPr>
            </w:pPr>
            <w:r w:rsidRPr="00005453">
              <w:rPr>
                <w:b/>
                <w:bCs/>
                <w:sz w:val="14"/>
                <w:szCs w:val="18"/>
              </w:rPr>
              <w:t>798,152</w:t>
            </w:r>
          </w:p>
        </w:tc>
        <w:tc>
          <w:tcPr>
            <w:tcW w:w="901" w:type="dxa"/>
            <w:tcBorders>
              <w:top w:val="nil"/>
              <w:left w:val="single" w:sz="4" w:space="0" w:color="auto"/>
              <w:bottom w:val="nil"/>
              <w:right w:val="single" w:sz="4" w:space="0" w:color="auto"/>
            </w:tcBorders>
            <w:shd w:val="clear" w:color="auto" w:fill="auto"/>
            <w:vAlign w:val="center"/>
            <w:hideMark/>
          </w:tcPr>
          <w:p w14:paraId="463D6AFA" w14:textId="64EBE96C" w:rsidR="007A3751" w:rsidRPr="00005453" w:rsidRDefault="007A3751" w:rsidP="007A3751">
            <w:pPr>
              <w:jc w:val="right"/>
              <w:rPr>
                <w:b/>
                <w:bCs/>
                <w:sz w:val="14"/>
                <w:szCs w:val="14"/>
              </w:rPr>
            </w:pPr>
            <w:r w:rsidRPr="00005453">
              <w:rPr>
                <w:b/>
                <w:bCs/>
                <w:sz w:val="14"/>
                <w:szCs w:val="18"/>
              </w:rPr>
              <w:t>1,115,386</w:t>
            </w:r>
          </w:p>
        </w:tc>
        <w:tc>
          <w:tcPr>
            <w:tcW w:w="902" w:type="dxa"/>
            <w:tcBorders>
              <w:top w:val="nil"/>
              <w:left w:val="single" w:sz="4" w:space="0" w:color="auto"/>
              <w:bottom w:val="nil"/>
              <w:right w:val="single" w:sz="4" w:space="0" w:color="auto"/>
            </w:tcBorders>
            <w:shd w:val="clear" w:color="auto" w:fill="auto"/>
            <w:vAlign w:val="center"/>
            <w:hideMark/>
          </w:tcPr>
          <w:p w14:paraId="3D3DE04C" w14:textId="2647ADA2" w:rsidR="007A3751" w:rsidRPr="00005453" w:rsidRDefault="007A3751" w:rsidP="007A3751">
            <w:pPr>
              <w:jc w:val="right"/>
              <w:rPr>
                <w:b/>
                <w:bCs/>
                <w:sz w:val="14"/>
                <w:szCs w:val="14"/>
                <w:lang w:eastAsia="tr-TR"/>
              </w:rPr>
            </w:pPr>
            <w:r w:rsidRPr="00005453">
              <w:rPr>
                <w:b/>
                <w:bCs/>
                <w:sz w:val="14"/>
                <w:szCs w:val="14"/>
              </w:rPr>
              <w:t>1,414,452</w:t>
            </w:r>
          </w:p>
        </w:tc>
        <w:tc>
          <w:tcPr>
            <w:tcW w:w="912" w:type="dxa"/>
            <w:tcBorders>
              <w:top w:val="nil"/>
              <w:left w:val="single" w:sz="4" w:space="0" w:color="auto"/>
              <w:bottom w:val="nil"/>
              <w:right w:val="single" w:sz="4" w:space="0" w:color="auto"/>
            </w:tcBorders>
            <w:shd w:val="clear" w:color="auto" w:fill="auto"/>
            <w:vAlign w:val="center"/>
            <w:hideMark/>
          </w:tcPr>
          <w:p w14:paraId="09D29788" w14:textId="03B7ABC2" w:rsidR="007A3751" w:rsidRPr="00005453" w:rsidRDefault="007A3751" w:rsidP="007A3751">
            <w:pPr>
              <w:jc w:val="right"/>
              <w:rPr>
                <w:b/>
                <w:bCs/>
                <w:sz w:val="14"/>
                <w:szCs w:val="14"/>
                <w:lang w:eastAsia="tr-TR"/>
              </w:rPr>
            </w:pPr>
            <w:r w:rsidRPr="00005453">
              <w:rPr>
                <w:b/>
                <w:bCs/>
                <w:sz w:val="14"/>
                <w:szCs w:val="14"/>
              </w:rPr>
              <w:t>463,472</w:t>
            </w:r>
          </w:p>
        </w:tc>
        <w:tc>
          <w:tcPr>
            <w:tcW w:w="1065" w:type="dxa"/>
            <w:tcBorders>
              <w:top w:val="nil"/>
              <w:left w:val="single" w:sz="4" w:space="0" w:color="auto"/>
              <w:bottom w:val="nil"/>
              <w:right w:val="single" w:sz="4" w:space="0" w:color="auto"/>
            </w:tcBorders>
            <w:shd w:val="clear" w:color="auto" w:fill="auto"/>
            <w:vAlign w:val="center"/>
            <w:hideMark/>
          </w:tcPr>
          <w:p w14:paraId="6F0C00AA" w14:textId="4380D3CD" w:rsidR="007A3751" w:rsidRPr="00005453" w:rsidRDefault="007A3751" w:rsidP="007A3751">
            <w:pPr>
              <w:jc w:val="right"/>
              <w:rPr>
                <w:b/>
                <w:bCs/>
                <w:sz w:val="14"/>
                <w:szCs w:val="14"/>
                <w:lang w:eastAsia="tr-TR"/>
              </w:rPr>
            </w:pPr>
            <w:r w:rsidRPr="00005453">
              <w:rPr>
                <w:b/>
                <w:bCs/>
                <w:sz w:val="14"/>
                <w:szCs w:val="14"/>
              </w:rPr>
              <w:t>1,877,924</w:t>
            </w:r>
          </w:p>
        </w:tc>
      </w:tr>
      <w:tr w:rsidR="007A3751" w:rsidRPr="00005453" w14:paraId="10BEE51D" w14:textId="77777777" w:rsidTr="00A9473B">
        <w:trPr>
          <w:trHeight w:val="273"/>
        </w:trPr>
        <w:tc>
          <w:tcPr>
            <w:tcW w:w="455" w:type="dxa"/>
            <w:tcBorders>
              <w:top w:val="nil"/>
              <w:left w:val="single" w:sz="4" w:space="0" w:color="auto"/>
              <w:bottom w:val="nil"/>
              <w:right w:val="single" w:sz="4" w:space="0" w:color="auto"/>
            </w:tcBorders>
            <w:shd w:val="clear" w:color="auto" w:fill="auto"/>
            <w:noWrap/>
            <w:hideMark/>
          </w:tcPr>
          <w:p w14:paraId="378866FA" w14:textId="77777777" w:rsidR="007A3751" w:rsidRPr="00005453" w:rsidRDefault="007A3751" w:rsidP="007A3751">
            <w:pPr>
              <w:rPr>
                <w:color w:val="000000"/>
                <w:sz w:val="14"/>
                <w:szCs w:val="14"/>
                <w:lang w:eastAsia="tr-TR"/>
              </w:rPr>
            </w:pPr>
            <w:r w:rsidRPr="00005453">
              <w:rPr>
                <w:color w:val="000000"/>
                <w:sz w:val="14"/>
                <w:szCs w:val="14"/>
                <w:lang w:eastAsia="tr-TR"/>
              </w:rPr>
              <w:t>1.4.1.</w:t>
            </w:r>
          </w:p>
        </w:tc>
        <w:tc>
          <w:tcPr>
            <w:tcW w:w="3046" w:type="dxa"/>
            <w:tcBorders>
              <w:top w:val="nil"/>
              <w:left w:val="single" w:sz="4" w:space="0" w:color="auto"/>
              <w:bottom w:val="nil"/>
              <w:right w:val="single" w:sz="4" w:space="0" w:color="auto"/>
            </w:tcBorders>
            <w:shd w:val="clear" w:color="auto" w:fill="auto"/>
            <w:hideMark/>
          </w:tcPr>
          <w:p w14:paraId="06E3682E" w14:textId="77777777" w:rsidR="007A3751" w:rsidRPr="00005453" w:rsidRDefault="007A3751" w:rsidP="007A3751">
            <w:pPr>
              <w:rPr>
                <w:color w:val="000000"/>
                <w:sz w:val="14"/>
                <w:szCs w:val="14"/>
                <w:lang w:eastAsia="tr-TR"/>
              </w:rPr>
            </w:pPr>
            <w:r w:rsidRPr="00005453">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hideMark/>
          </w:tcPr>
          <w:p w14:paraId="5D205AA4" w14:textId="77777777" w:rsidR="007A3751" w:rsidRPr="00005453" w:rsidRDefault="007A3751" w:rsidP="007A3751">
            <w:pPr>
              <w:jc w:val="center"/>
              <w:rPr>
                <w:color w:val="000000"/>
                <w:sz w:val="14"/>
                <w:szCs w:val="14"/>
                <w:lang w:val="en-US"/>
              </w:rPr>
            </w:pPr>
            <w:r w:rsidRPr="00005453">
              <w:rPr>
                <w:color w:val="000000"/>
                <w:sz w:val="14"/>
                <w:szCs w:val="14"/>
                <w:lang w:eastAsia="tr-TR"/>
              </w:rPr>
              <w:t>(</w:t>
            </w:r>
            <w:r w:rsidRPr="00005453">
              <w:rPr>
                <w:color w:val="000000"/>
                <w:sz w:val="14"/>
                <w:szCs w:val="14"/>
                <w:lang w:val="en-US"/>
              </w:rPr>
              <w:t>5.1.2.)</w:t>
            </w:r>
          </w:p>
        </w:tc>
        <w:tc>
          <w:tcPr>
            <w:tcW w:w="864" w:type="dxa"/>
            <w:tcBorders>
              <w:top w:val="nil"/>
              <w:left w:val="single" w:sz="4" w:space="0" w:color="auto"/>
              <w:bottom w:val="nil"/>
              <w:right w:val="single" w:sz="4" w:space="0" w:color="auto"/>
            </w:tcBorders>
            <w:shd w:val="clear" w:color="auto" w:fill="auto"/>
            <w:vAlign w:val="center"/>
            <w:hideMark/>
          </w:tcPr>
          <w:p w14:paraId="3D422CAE" w14:textId="04CECDF5" w:rsidR="007A3751" w:rsidRPr="00005453" w:rsidRDefault="007A3751" w:rsidP="007A3751">
            <w:pPr>
              <w:jc w:val="right"/>
              <w:rPr>
                <w:sz w:val="14"/>
                <w:szCs w:val="14"/>
              </w:rPr>
            </w:pPr>
            <w:r w:rsidRPr="00005453">
              <w:rPr>
                <w:sz w:val="14"/>
                <w:szCs w:val="18"/>
              </w:rPr>
              <w:t>317,234</w:t>
            </w:r>
          </w:p>
        </w:tc>
        <w:tc>
          <w:tcPr>
            <w:tcW w:w="863" w:type="dxa"/>
            <w:tcBorders>
              <w:top w:val="nil"/>
              <w:left w:val="single" w:sz="4" w:space="0" w:color="auto"/>
              <w:bottom w:val="nil"/>
              <w:right w:val="single" w:sz="4" w:space="0" w:color="auto"/>
            </w:tcBorders>
            <w:shd w:val="clear" w:color="auto" w:fill="auto"/>
            <w:vAlign w:val="center"/>
            <w:hideMark/>
          </w:tcPr>
          <w:p w14:paraId="2EB8E6A7" w14:textId="35C3972C" w:rsidR="007A3751" w:rsidRPr="00005453" w:rsidRDefault="007A3751" w:rsidP="007A3751">
            <w:pPr>
              <w:jc w:val="right"/>
              <w:rPr>
                <w:sz w:val="14"/>
                <w:szCs w:val="14"/>
              </w:rPr>
            </w:pPr>
            <w:r w:rsidRPr="00005453">
              <w:rPr>
                <w:sz w:val="14"/>
                <w:szCs w:val="18"/>
              </w:rPr>
              <w:t>798,152</w:t>
            </w:r>
          </w:p>
        </w:tc>
        <w:tc>
          <w:tcPr>
            <w:tcW w:w="901" w:type="dxa"/>
            <w:tcBorders>
              <w:top w:val="nil"/>
              <w:left w:val="single" w:sz="4" w:space="0" w:color="auto"/>
              <w:bottom w:val="nil"/>
              <w:right w:val="single" w:sz="4" w:space="0" w:color="auto"/>
            </w:tcBorders>
            <w:shd w:val="clear" w:color="auto" w:fill="auto"/>
            <w:vAlign w:val="center"/>
            <w:hideMark/>
          </w:tcPr>
          <w:p w14:paraId="06756D89" w14:textId="16B0B320" w:rsidR="007A3751" w:rsidRPr="00005453" w:rsidRDefault="007A3751" w:rsidP="007A3751">
            <w:pPr>
              <w:jc w:val="right"/>
              <w:rPr>
                <w:sz w:val="14"/>
                <w:szCs w:val="14"/>
              </w:rPr>
            </w:pPr>
            <w:r w:rsidRPr="00005453">
              <w:rPr>
                <w:sz w:val="14"/>
                <w:szCs w:val="18"/>
              </w:rPr>
              <w:t>1,115,386</w:t>
            </w:r>
          </w:p>
        </w:tc>
        <w:tc>
          <w:tcPr>
            <w:tcW w:w="902" w:type="dxa"/>
            <w:tcBorders>
              <w:top w:val="nil"/>
              <w:left w:val="single" w:sz="4" w:space="0" w:color="auto"/>
              <w:bottom w:val="nil"/>
              <w:right w:val="single" w:sz="4" w:space="0" w:color="auto"/>
            </w:tcBorders>
            <w:shd w:val="clear" w:color="auto" w:fill="auto"/>
            <w:vAlign w:val="center"/>
            <w:hideMark/>
          </w:tcPr>
          <w:p w14:paraId="61F7E494" w14:textId="7788E622" w:rsidR="007A3751" w:rsidRPr="00005453" w:rsidRDefault="007A3751" w:rsidP="007A3751">
            <w:pPr>
              <w:jc w:val="right"/>
              <w:rPr>
                <w:sz w:val="14"/>
                <w:szCs w:val="14"/>
                <w:lang w:eastAsia="tr-TR"/>
              </w:rPr>
            </w:pPr>
            <w:r w:rsidRPr="00005453">
              <w:rPr>
                <w:sz w:val="14"/>
                <w:szCs w:val="14"/>
              </w:rPr>
              <w:t>1,414,452</w:t>
            </w:r>
          </w:p>
        </w:tc>
        <w:tc>
          <w:tcPr>
            <w:tcW w:w="912" w:type="dxa"/>
            <w:tcBorders>
              <w:top w:val="nil"/>
              <w:left w:val="single" w:sz="4" w:space="0" w:color="auto"/>
              <w:bottom w:val="nil"/>
              <w:right w:val="single" w:sz="4" w:space="0" w:color="auto"/>
            </w:tcBorders>
            <w:shd w:val="clear" w:color="auto" w:fill="auto"/>
            <w:vAlign w:val="center"/>
            <w:hideMark/>
          </w:tcPr>
          <w:p w14:paraId="7E08EA5D" w14:textId="240B844E" w:rsidR="007A3751" w:rsidRPr="00005453" w:rsidRDefault="007A3751" w:rsidP="007A3751">
            <w:pPr>
              <w:jc w:val="right"/>
              <w:rPr>
                <w:sz w:val="14"/>
                <w:szCs w:val="14"/>
                <w:lang w:eastAsia="tr-TR"/>
              </w:rPr>
            </w:pPr>
            <w:r w:rsidRPr="00005453">
              <w:rPr>
                <w:sz w:val="14"/>
                <w:szCs w:val="14"/>
              </w:rPr>
              <w:t>463,472</w:t>
            </w:r>
          </w:p>
        </w:tc>
        <w:tc>
          <w:tcPr>
            <w:tcW w:w="1065" w:type="dxa"/>
            <w:tcBorders>
              <w:top w:val="nil"/>
              <w:left w:val="single" w:sz="4" w:space="0" w:color="auto"/>
              <w:bottom w:val="nil"/>
              <w:right w:val="single" w:sz="4" w:space="0" w:color="auto"/>
            </w:tcBorders>
            <w:shd w:val="clear" w:color="auto" w:fill="auto"/>
            <w:vAlign w:val="center"/>
            <w:hideMark/>
          </w:tcPr>
          <w:p w14:paraId="3713E181" w14:textId="5C8EA8D8" w:rsidR="007A3751" w:rsidRPr="00005453" w:rsidRDefault="007A3751" w:rsidP="007A3751">
            <w:pPr>
              <w:jc w:val="right"/>
              <w:rPr>
                <w:sz w:val="14"/>
                <w:szCs w:val="14"/>
                <w:lang w:eastAsia="tr-TR"/>
              </w:rPr>
            </w:pPr>
            <w:r w:rsidRPr="00005453">
              <w:rPr>
                <w:sz w:val="14"/>
                <w:szCs w:val="14"/>
              </w:rPr>
              <w:t>1,877,924</w:t>
            </w:r>
          </w:p>
        </w:tc>
      </w:tr>
      <w:tr w:rsidR="00E97A93" w:rsidRPr="00005453" w14:paraId="19E73B20"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06683572" w14:textId="77777777" w:rsidR="00E97A93" w:rsidRPr="00005453" w:rsidRDefault="00E97A93" w:rsidP="00E97A93">
            <w:pPr>
              <w:rPr>
                <w:color w:val="000000"/>
                <w:sz w:val="14"/>
                <w:szCs w:val="14"/>
                <w:lang w:eastAsia="tr-TR"/>
              </w:rPr>
            </w:pPr>
            <w:r w:rsidRPr="00005453">
              <w:rPr>
                <w:color w:val="000000"/>
                <w:sz w:val="14"/>
                <w:szCs w:val="14"/>
                <w:lang w:eastAsia="tr-TR"/>
              </w:rPr>
              <w:t>1.4.2.</w:t>
            </w:r>
          </w:p>
        </w:tc>
        <w:tc>
          <w:tcPr>
            <w:tcW w:w="3046" w:type="dxa"/>
            <w:tcBorders>
              <w:top w:val="nil"/>
              <w:left w:val="single" w:sz="4" w:space="0" w:color="auto"/>
              <w:bottom w:val="nil"/>
              <w:right w:val="single" w:sz="4" w:space="0" w:color="auto"/>
            </w:tcBorders>
            <w:shd w:val="clear" w:color="auto" w:fill="auto"/>
            <w:hideMark/>
          </w:tcPr>
          <w:p w14:paraId="66D71AD2" w14:textId="77777777" w:rsidR="00E97A93" w:rsidRPr="00005453" w:rsidRDefault="00E97A93" w:rsidP="00E97A93">
            <w:pPr>
              <w:rPr>
                <w:color w:val="000000"/>
                <w:sz w:val="14"/>
                <w:szCs w:val="14"/>
                <w:lang w:eastAsia="tr-TR"/>
              </w:rPr>
            </w:pPr>
            <w:r w:rsidRPr="00005453">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hideMark/>
          </w:tcPr>
          <w:p w14:paraId="652CE445" w14:textId="77777777" w:rsidR="00E97A93" w:rsidRPr="00005453" w:rsidRDefault="00E97A93" w:rsidP="00E97A93">
            <w:pPr>
              <w:jc w:val="center"/>
              <w:rPr>
                <w:color w:val="000000"/>
                <w:sz w:val="14"/>
                <w:szCs w:val="14"/>
                <w:lang w:val="en-US"/>
              </w:rPr>
            </w:pPr>
            <w:r w:rsidRPr="00005453">
              <w:rPr>
                <w:color w:val="000000"/>
                <w:sz w:val="14"/>
                <w:szCs w:val="14"/>
                <w:lang w:eastAsia="tr-TR"/>
              </w:rPr>
              <w:t>(</w:t>
            </w:r>
            <w:r w:rsidRPr="00005453">
              <w:rPr>
                <w:color w:val="000000"/>
                <w:sz w:val="14"/>
                <w:szCs w:val="14"/>
                <w:lang w:val="en-US"/>
              </w:rPr>
              <w:t>5.1.11.)</w:t>
            </w:r>
          </w:p>
        </w:tc>
        <w:tc>
          <w:tcPr>
            <w:tcW w:w="864" w:type="dxa"/>
            <w:tcBorders>
              <w:top w:val="nil"/>
              <w:left w:val="single" w:sz="4" w:space="0" w:color="auto"/>
              <w:bottom w:val="nil"/>
              <w:right w:val="single" w:sz="4" w:space="0" w:color="auto"/>
            </w:tcBorders>
            <w:shd w:val="clear" w:color="auto" w:fill="auto"/>
            <w:vAlign w:val="center"/>
            <w:hideMark/>
          </w:tcPr>
          <w:p w14:paraId="063E202F" w14:textId="5C6596E4"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18655AE2" w14:textId="6C50A069"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035C3F3C" w14:textId="2733F2DC"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04F29DF1" w14:textId="083FA5A7" w:rsidR="00E97A93" w:rsidRPr="00005453" w:rsidRDefault="00E97A93" w:rsidP="00E97A93">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6AA1E26B" w14:textId="25B61EE3"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5F7801BB" w14:textId="608D4925" w:rsidR="00E97A93" w:rsidRPr="00005453" w:rsidRDefault="00E97A93" w:rsidP="00E97A93">
            <w:pPr>
              <w:jc w:val="right"/>
              <w:rPr>
                <w:sz w:val="14"/>
                <w:szCs w:val="14"/>
                <w:lang w:eastAsia="tr-TR"/>
              </w:rPr>
            </w:pPr>
            <w:r w:rsidRPr="00005453">
              <w:rPr>
                <w:sz w:val="14"/>
                <w:szCs w:val="14"/>
              </w:rPr>
              <w:t>-</w:t>
            </w:r>
          </w:p>
        </w:tc>
      </w:tr>
      <w:tr w:rsidR="00E97A93" w:rsidRPr="00005453" w14:paraId="3C5463C9" w14:textId="77777777" w:rsidTr="00A9473B">
        <w:trPr>
          <w:trHeight w:val="142"/>
        </w:trPr>
        <w:tc>
          <w:tcPr>
            <w:tcW w:w="455" w:type="dxa"/>
            <w:tcBorders>
              <w:top w:val="nil"/>
              <w:left w:val="single" w:sz="4" w:space="0" w:color="auto"/>
              <w:bottom w:val="nil"/>
              <w:right w:val="single" w:sz="4" w:space="0" w:color="auto"/>
            </w:tcBorders>
            <w:shd w:val="clear" w:color="auto" w:fill="auto"/>
            <w:noWrap/>
            <w:hideMark/>
          </w:tcPr>
          <w:p w14:paraId="56D40C72"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II.</w:t>
            </w:r>
          </w:p>
        </w:tc>
        <w:tc>
          <w:tcPr>
            <w:tcW w:w="3046" w:type="dxa"/>
            <w:tcBorders>
              <w:top w:val="nil"/>
              <w:left w:val="single" w:sz="4" w:space="0" w:color="auto"/>
              <w:bottom w:val="nil"/>
              <w:right w:val="single" w:sz="4" w:space="0" w:color="auto"/>
            </w:tcBorders>
            <w:shd w:val="clear" w:color="auto" w:fill="auto"/>
            <w:hideMark/>
          </w:tcPr>
          <w:p w14:paraId="1FEE58BE"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15CF3702" w14:textId="77777777" w:rsidR="00E97A93" w:rsidRPr="00005453" w:rsidRDefault="00E97A93" w:rsidP="00E97A93">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497E143A" w14:textId="75C6CAD7" w:rsidR="00E97A93" w:rsidRPr="00005453" w:rsidRDefault="00E97A93" w:rsidP="00E97A93">
            <w:pPr>
              <w:jc w:val="right"/>
              <w:rPr>
                <w:b/>
                <w:bCs/>
                <w:sz w:val="14"/>
                <w:szCs w:val="14"/>
              </w:rPr>
            </w:pPr>
            <w:r w:rsidRPr="00005453">
              <w:rPr>
                <w:b/>
                <w:bCs/>
                <w:sz w:val="14"/>
                <w:szCs w:val="18"/>
              </w:rPr>
              <w:t>264,276,514</w:t>
            </w:r>
          </w:p>
        </w:tc>
        <w:tc>
          <w:tcPr>
            <w:tcW w:w="863" w:type="dxa"/>
            <w:tcBorders>
              <w:top w:val="nil"/>
              <w:left w:val="single" w:sz="4" w:space="0" w:color="auto"/>
              <w:bottom w:val="nil"/>
              <w:right w:val="single" w:sz="4" w:space="0" w:color="auto"/>
            </w:tcBorders>
            <w:shd w:val="clear" w:color="auto" w:fill="auto"/>
            <w:vAlign w:val="center"/>
            <w:hideMark/>
          </w:tcPr>
          <w:p w14:paraId="04DAE05F" w14:textId="1F804351" w:rsidR="00E97A93" w:rsidRPr="00005453" w:rsidRDefault="00E97A93" w:rsidP="00E97A93">
            <w:pPr>
              <w:jc w:val="right"/>
              <w:rPr>
                <w:b/>
                <w:bCs/>
                <w:sz w:val="14"/>
                <w:szCs w:val="14"/>
              </w:rPr>
            </w:pPr>
            <w:r w:rsidRPr="00005453">
              <w:rPr>
                <w:b/>
                <w:bCs/>
                <w:sz w:val="14"/>
                <w:szCs w:val="18"/>
              </w:rPr>
              <w:t>213,507,764</w:t>
            </w:r>
          </w:p>
        </w:tc>
        <w:tc>
          <w:tcPr>
            <w:tcW w:w="901" w:type="dxa"/>
            <w:tcBorders>
              <w:top w:val="nil"/>
              <w:left w:val="single" w:sz="4" w:space="0" w:color="auto"/>
              <w:bottom w:val="nil"/>
              <w:right w:val="single" w:sz="4" w:space="0" w:color="auto"/>
            </w:tcBorders>
            <w:shd w:val="clear" w:color="auto" w:fill="auto"/>
            <w:vAlign w:val="center"/>
            <w:hideMark/>
          </w:tcPr>
          <w:p w14:paraId="5BDE542F" w14:textId="0DCE60F7" w:rsidR="00E97A93" w:rsidRPr="00005453" w:rsidRDefault="00E97A93" w:rsidP="00E97A93">
            <w:pPr>
              <w:jc w:val="right"/>
              <w:rPr>
                <w:b/>
                <w:bCs/>
                <w:sz w:val="14"/>
                <w:szCs w:val="14"/>
              </w:rPr>
            </w:pPr>
            <w:r w:rsidRPr="00005453">
              <w:rPr>
                <w:b/>
                <w:bCs/>
                <w:sz w:val="14"/>
                <w:szCs w:val="18"/>
              </w:rPr>
              <w:t>477,784,278</w:t>
            </w:r>
          </w:p>
        </w:tc>
        <w:tc>
          <w:tcPr>
            <w:tcW w:w="902" w:type="dxa"/>
            <w:tcBorders>
              <w:top w:val="nil"/>
              <w:left w:val="single" w:sz="4" w:space="0" w:color="auto"/>
              <w:bottom w:val="nil"/>
              <w:right w:val="single" w:sz="4" w:space="0" w:color="auto"/>
            </w:tcBorders>
            <w:shd w:val="clear" w:color="auto" w:fill="auto"/>
            <w:vAlign w:val="center"/>
            <w:hideMark/>
          </w:tcPr>
          <w:p w14:paraId="7B506756" w14:textId="45B0A31D" w:rsidR="00E97A93" w:rsidRPr="00005453" w:rsidRDefault="00E97A93" w:rsidP="00E97A93">
            <w:pPr>
              <w:jc w:val="right"/>
              <w:rPr>
                <w:b/>
                <w:bCs/>
                <w:sz w:val="14"/>
                <w:szCs w:val="14"/>
                <w:lang w:eastAsia="tr-TR"/>
              </w:rPr>
            </w:pPr>
            <w:r w:rsidRPr="00005453">
              <w:rPr>
                <w:b/>
                <w:bCs/>
                <w:sz w:val="14"/>
                <w:szCs w:val="14"/>
              </w:rPr>
              <w:t>246,636,605</w:t>
            </w:r>
          </w:p>
        </w:tc>
        <w:tc>
          <w:tcPr>
            <w:tcW w:w="912" w:type="dxa"/>
            <w:tcBorders>
              <w:top w:val="nil"/>
              <w:left w:val="single" w:sz="4" w:space="0" w:color="auto"/>
              <w:bottom w:val="nil"/>
              <w:right w:val="single" w:sz="4" w:space="0" w:color="auto"/>
            </w:tcBorders>
            <w:shd w:val="clear" w:color="auto" w:fill="auto"/>
            <w:vAlign w:val="center"/>
            <w:hideMark/>
          </w:tcPr>
          <w:p w14:paraId="56994D65" w14:textId="3C0F4B10" w:rsidR="00E97A93" w:rsidRPr="00005453" w:rsidRDefault="00E97A93" w:rsidP="00E97A93">
            <w:pPr>
              <w:jc w:val="right"/>
              <w:rPr>
                <w:b/>
                <w:bCs/>
                <w:sz w:val="14"/>
                <w:szCs w:val="14"/>
                <w:lang w:eastAsia="tr-TR"/>
              </w:rPr>
            </w:pPr>
            <w:r w:rsidRPr="00005453">
              <w:rPr>
                <w:b/>
                <w:bCs/>
                <w:sz w:val="14"/>
                <w:szCs w:val="14"/>
              </w:rPr>
              <w:t>133,935,930</w:t>
            </w:r>
          </w:p>
        </w:tc>
        <w:tc>
          <w:tcPr>
            <w:tcW w:w="1065" w:type="dxa"/>
            <w:tcBorders>
              <w:top w:val="nil"/>
              <w:left w:val="single" w:sz="4" w:space="0" w:color="auto"/>
              <w:bottom w:val="nil"/>
              <w:right w:val="single" w:sz="4" w:space="0" w:color="auto"/>
            </w:tcBorders>
            <w:shd w:val="clear" w:color="auto" w:fill="auto"/>
            <w:vAlign w:val="center"/>
            <w:hideMark/>
          </w:tcPr>
          <w:p w14:paraId="523AFEF8" w14:textId="1A2B6130" w:rsidR="00E97A93" w:rsidRPr="00005453" w:rsidRDefault="00E97A93" w:rsidP="00E97A93">
            <w:pPr>
              <w:jc w:val="right"/>
              <w:rPr>
                <w:b/>
                <w:bCs/>
                <w:sz w:val="14"/>
                <w:szCs w:val="14"/>
                <w:lang w:eastAsia="tr-TR"/>
              </w:rPr>
            </w:pPr>
            <w:r w:rsidRPr="00005453">
              <w:rPr>
                <w:b/>
                <w:bCs/>
                <w:sz w:val="14"/>
                <w:szCs w:val="14"/>
              </w:rPr>
              <w:t>380,572,535</w:t>
            </w:r>
          </w:p>
        </w:tc>
      </w:tr>
      <w:tr w:rsidR="00E97A93" w:rsidRPr="00005453" w14:paraId="307E6E0F" w14:textId="77777777" w:rsidTr="00A9473B">
        <w:trPr>
          <w:trHeight w:val="105"/>
        </w:trPr>
        <w:tc>
          <w:tcPr>
            <w:tcW w:w="455" w:type="dxa"/>
            <w:tcBorders>
              <w:top w:val="nil"/>
              <w:left w:val="single" w:sz="4" w:space="0" w:color="auto"/>
              <w:bottom w:val="nil"/>
              <w:right w:val="single" w:sz="4" w:space="0" w:color="auto"/>
            </w:tcBorders>
            <w:shd w:val="clear" w:color="auto" w:fill="auto"/>
            <w:noWrap/>
            <w:hideMark/>
          </w:tcPr>
          <w:p w14:paraId="0C84DAE2"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2.1.</w:t>
            </w:r>
          </w:p>
        </w:tc>
        <w:tc>
          <w:tcPr>
            <w:tcW w:w="3046" w:type="dxa"/>
            <w:tcBorders>
              <w:top w:val="nil"/>
              <w:left w:val="single" w:sz="4" w:space="0" w:color="auto"/>
              <w:bottom w:val="nil"/>
              <w:right w:val="single" w:sz="4" w:space="0" w:color="auto"/>
            </w:tcBorders>
            <w:shd w:val="clear" w:color="auto" w:fill="auto"/>
            <w:noWrap/>
            <w:hideMark/>
          </w:tcPr>
          <w:p w14:paraId="5FCDC0CE"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hideMark/>
          </w:tcPr>
          <w:p w14:paraId="736A7B38"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(5.1.5.)</w:t>
            </w:r>
          </w:p>
        </w:tc>
        <w:tc>
          <w:tcPr>
            <w:tcW w:w="864" w:type="dxa"/>
            <w:tcBorders>
              <w:top w:val="nil"/>
              <w:left w:val="single" w:sz="4" w:space="0" w:color="auto"/>
              <w:bottom w:val="nil"/>
              <w:right w:val="single" w:sz="4" w:space="0" w:color="auto"/>
            </w:tcBorders>
            <w:shd w:val="clear" w:color="auto" w:fill="auto"/>
            <w:vAlign w:val="center"/>
            <w:hideMark/>
          </w:tcPr>
          <w:p w14:paraId="5706121F" w14:textId="2F351514" w:rsidR="00E97A93" w:rsidRPr="00005453" w:rsidRDefault="00E97A93" w:rsidP="00E97A93">
            <w:pPr>
              <w:jc w:val="right"/>
              <w:rPr>
                <w:b/>
                <w:bCs/>
                <w:sz w:val="14"/>
                <w:szCs w:val="14"/>
              </w:rPr>
            </w:pPr>
            <w:r w:rsidRPr="00005453">
              <w:rPr>
                <w:b/>
                <w:bCs/>
                <w:sz w:val="14"/>
                <w:szCs w:val="18"/>
              </w:rPr>
              <w:t>227,378,754</w:t>
            </w:r>
          </w:p>
        </w:tc>
        <w:tc>
          <w:tcPr>
            <w:tcW w:w="863" w:type="dxa"/>
            <w:tcBorders>
              <w:top w:val="nil"/>
              <w:left w:val="single" w:sz="4" w:space="0" w:color="auto"/>
              <w:bottom w:val="nil"/>
              <w:right w:val="single" w:sz="4" w:space="0" w:color="auto"/>
            </w:tcBorders>
            <w:shd w:val="clear" w:color="auto" w:fill="auto"/>
            <w:vAlign w:val="center"/>
            <w:hideMark/>
          </w:tcPr>
          <w:p w14:paraId="1EF215FE" w14:textId="31B68357" w:rsidR="00E97A93" w:rsidRPr="00005453" w:rsidRDefault="00E97A93" w:rsidP="00E97A93">
            <w:pPr>
              <w:jc w:val="right"/>
              <w:rPr>
                <w:b/>
                <w:bCs/>
                <w:sz w:val="14"/>
                <w:szCs w:val="14"/>
              </w:rPr>
            </w:pPr>
            <w:r w:rsidRPr="00005453">
              <w:rPr>
                <w:b/>
                <w:bCs/>
                <w:sz w:val="14"/>
                <w:szCs w:val="18"/>
              </w:rPr>
              <w:t>156,856,799</w:t>
            </w:r>
          </w:p>
        </w:tc>
        <w:tc>
          <w:tcPr>
            <w:tcW w:w="901" w:type="dxa"/>
            <w:tcBorders>
              <w:top w:val="nil"/>
              <w:left w:val="single" w:sz="4" w:space="0" w:color="auto"/>
              <w:bottom w:val="nil"/>
              <w:right w:val="single" w:sz="4" w:space="0" w:color="auto"/>
            </w:tcBorders>
            <w:shd w:val="clear" w:color="auto" w:fill="auto"/>
            <w:vAlign w:val="center"/>
            <w:hideMark/>
          </w:tcPr>
          <w:p w14:paraId="484265DF" w14:textId="4F9A14D1" w:rsidR="00E97A93" w:rsidRPr="00005453" w:rsidRDefault="00E97A93" w:rsidP="00E97A93">
            <w:pPr>
              <w:jc w:val="right"/>
              <w:rPr>
                <w:b/>
                <w:bCs/>
                <w:sz w:val="14"/>
                <w:szCs w:val="14"/>
              </w:rPr>
            </w:pPr>
            <w:r w:rsidRPr="00005453">
              <w:rPr>
                <w:b/>
                <w:bCs/>
                <w:sz w:val="14"/>
                <w:szCs w:val="18"/>
              </w:rPr>
              <w:t>384,235,553</w:t>
            </w:r>
          </w:p>
        </w:tc>
        <w:tc>
          <w:tcPr>
            <w:tcW w:w="902" w:type="dxa"/>
            <w:tcBorders>
              <w:top w:val="nil"/>
              <w:left w:val="single" w:sz="4" w:space="0" w:color="auto"/>
              <w:bottom w:val="nil"/>
              <w:right w:val="single" w:sz="4" w:space="0" w:color="auto"/>
            </w:tcBorders>
            <w:shd w:val="clear" w:color="auto" w:fill="auto"/>
            <w:vAlign w:val="center"/>
            <w:hideMark/>
          </w:tcPr>
          <w:p w14:paraId="364B097C" w14:textId="58F34866" w:rsidR="00E97A93" w:rsidRPr="00005453" w:rsidRDefault="00E97A93" w:rsidP="00E97A93">
            <w:pPr>
              <w:jc w:val="right"/>
              <w:rPr>
                <w:b/>
                <w:bCs/>
                <w:sz w:val="14"/>
                <w:szCs w:val="14"/>
                <w:lang w:eastAsia="tr-TR"/>
              </w:rPr>
            </w:pPr>
            <w:r w:rsidRPr="00005453">
              <w:rPr>
                <w:b/>
                <w:bCs/>
                <w:sz w:val="14"/>
                <w:szCs w:val="14"/>
              </w:rPr>
              <w:t>198,311,575</w:t>
            </w:r>
          </w:p>
        </w:tc>
        <w:tc>
          <w:tcPr>
            <w:tcW w:w="912" w:type="dxa"/>
            <w:tcBorders>
              <w:top w:val="nil"/>
              <w:left w:val="single" w:sz="4" w:space="0" w:color="auto"/>
              <w:bottom w:val="nil"/>
              <w:right w:val="single" w:sz="4" w:space="0" w:color="auto"/>
            </w:tcBorders>
            <w:shd w:val="clear" w:color="auto" w:fill="auto"/>
            <w:vAlign w:val="center"/>
            <w:hideMark/>
          </w:tcPr>
          <w:p w14:paraId="77B79BFB" w14:textId="505F19AB" w:rsidR="00E97A93" w:rsidRPr="00005453" w:rsidRDefault="00E97A93" w:rsidP="00E97A93">
            <w:pPr>
              <w:jc w:val="right"/>
              <w:rPr>
                <w:b/>
                <w:bCs/>
                <w:sz w:val="14"/>
                <w:szCs w:val="14"/>
                <w:lang w:eastAsia="tr-TR"/>
              </w:rPr>
            </w:pPr>
            <w:r w:rsidRPr="00005453">
              <w:rPr>
                <w:b/>
                <w:bCs/>
                <w:sz w:val="14"/>
                <w:szCs w:val="14"/>
              </w:rPr>
              <w:t>99,867,523</w:t>
            </w:r>
          </w:p>
        </w:tc>
        <w:tc>
          <w:tcPr>
            <w:tcW w:w="1065" w:type="dxa"/>
            <w:tcBorders>
              <w:top w:val="nil"/>
              <w:left w:val="single" w:sz="4" w:space="0" w:color="auto"/>
              <w:bottom w:val="nil"/>
              <w:right w:val="single" w:sz="4" w:space="0" w:color="auto"/>
            </w:tcBorders>
            <w:shd w:val="clear" w:color="auto" w:fill="auto"/>
            <w:vAlign w:val="center"/>
            <w:hideMark/>
          </w:tcPr>
          <w:p w14:paraId="59E7E664" w14:textId="25E23DCC" w:rsidR="00E97A93" w:rsidRPr="00005453" w:rsidRDefault="00E97A93" w:rsidP="00E97A93">
            <w:pPr>
              <w:jc w:val="right"/>
              <w:rPr>
                <w:b/>
                <w:bCs/>
                <w:sz w:val="14"/>
                <w:szCs w:val="14"/>
                <w:lang w:eastAsia="tr-TR"/>
              </w:rPr>
            </w:pPr>
            <w:r w:rsidRPr="00005453">
              <w:rPr>
                <w:b/>
                <w:bCs/>
                <w:sz w:val="14"/>
                <w:szCs w:val="14"/>
              </w:rPr>
              <w:t>298,179,098</w:t>
            </w:r>
          </w:p>
        </w:tc>
      </w:tr>
      <w:tr w:rsidR="00E97A93" w:rsidRPr="00005453" w14:paraId="71A0C347"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7D510638"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2.2.</w:t>
            </w:r>
          </w:p>
        </w:tc>
        <w:tc>
          <w:tcPr>
            <w:tcW w:w="3046" w:type="dxa"/>
            <w:tcBorders>
              <w:top w:val="nil"/>
              <w:left w:val="single" w:sz="4" w:space="0" w:color="auto"/>
              <w:bottom w:val="nil"/>
              <w:right w:val="single" w:sz="4" w:space="0" w:color="auto"/>
            </w:tcBorders>
            <w:shd w:val="clear" w:color="auto" w:fill="auto"/>
            <w:hideMark/>
          </w:tcPr>
          <w:p w14:paraId="28688B34"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hideMark/>
          </w:tcPr>
          <w:p w14:paraId="4DB12348"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(5.1.10.)</w:t>
            </w:r>
          </w:p>
        </w:tc>
        <w:tc>
          <w:tcPr>
            <w:tcW w:w="864" w:type="dxa"/>
            <w:tcBorders>
              <w:top w:val="nil"/>
              <w:left w:val="single" w:sz="4" w:space="0" w:color="auto"/>
              <w:bottom w:val="nil"/>
              <w:right w:val="single" w:sz="4" w:space="0" w:color="auto"/>
            </w:tcBorders>
            <w:shd w:val="clear" w:color="auto" w:fill="auto"/>
            <w:vAlign w:val="center"/>
            <w:hideMark/>
          </w:tcPr>
          <w:p w14:paraId="1FA34F62" w14:textId="37E20685" w:rsidR="00E97A93" w:rsidRPr="00005453" w:rsidRDefault="00E97A93" w:rsidP="00E97A93">
            <w:pPr>
              <w:jc w:val="right"/>
              <w:rPr>
                <w:b/>
                <w:bCs/>
                <w:sz w:val="14"/>
                <w:szCs w:val="14"/>
              </w:rPr>
            </w:pPr>
            <w:r w:rsidRPr="00005453">
              <w:rPr>
                <w:b/>
                <w:bCs/>
                <w:sz w:val="14"/>
                <w:szCs w:val="18"/>
              </w:rPr>
              <w:t>15,662,731</w:t>
            </w:r>
          </w:p>
        </w:tc>
        <w:tc>
          <w:tcPr>
            <w:tcW w:w="863" w:type="dxa"/>
            <w:tcBorders>
              <w:top w:val="nil"/>
              <w:left w:val="single" w:sz="4" w:space="0" w:color="auto"/>
              <w:bottom w:val="nil"/>
              <w:right w:val="single" w:sz="4" w:space="0" w:color="auto"/>
            </w:tcBorders>
            <w:shd w:val="clear" w:color="auto" w:fill="auto"/>
            <w:vAlign w:val="center"/>
            <w:hideMark/>
          </w:tcPr>
          <w:p w14:paraId="57292E5A" w14:textId="0A48A876" w:rsidR="00E97A93" w:rsidRPr="00005453" w:rsidRDefault="00E97A93" w:rsidP="00E97A93">
            <w:pPr>
              <w:jc w:val="right"/>
              <w:rPr>
                <w:b/>
                <w:bCs/>
                <w:sz w:val="14"/>
                <w:szCs w:val="14"/>
              </w:rPr>
            </w:pPr>
            <w:r w:rsidRPr="00005453">
              <w:rPr>
                <w:b/>
                <w:bCs/>
                <w:sz w:val="14"/>
                <w:szCs w:val="18"/>
              </w:rPr>
              <w:t>34,843,891</w:t>
            </w:r>
          </w:p>
        </w:tc>
        <w:tc>
          <w:tcPr>
            <w:tcW w:w="901" w:type="dxa"/>
            <w:tcBorders>
              <w:top w:val="nil"/>
              <w:left w:val="single" w:sz="4" w:space="0" w:color="auto"/>
              <w:bottom w:val="nil"/>
              <w:right w:val="single" w:sz="4" w:space="0" w:color="auto"/>
            </w:tcBorders>
            <w:shd w:val="clear" w:color="auto" w:fill="auto"/>
            <w:vAlign w:val="center"/>
            <w:hideMark/>
          </w:tcPr>
          <w:p w14:paraId="61E42509" w14:textId="05989118" w:rsidR="00E97A93" w:rsidRPr="00005453" w:rsidRDefault="00E97A93" w:rsidP="00E97A93">
            <w:pPr>
              <w:jc w:val="right"/>
              <w:rPr>
                <w:b/>
                <w:bCs/>
                <w:sz w:val="14"/>
                <w:szCs w:val="14"/>
              </w:rPr>
            </w:pPr>
            <w:r w:rsidRPr="00005453">
              <w:rPr>
                <w:b/>
                <w:bCs/>
                <w:sz w:val="14"/>
                <w:szCs w:val="18"/>
              </w:rPr>
              <w:t>50,506,622</w:t>
            </w:r>
          </w:p>
        </w:tc>
        <w:tc>
          <w:tcPr>
            <w:tcW w:w="902" w:type="dxa"/>
            <w:tcBorders>
              <w:top w:val="nil"/>
              <w:left w:val="single" w:sz="4" w:space="0" w:color="auto"/>
              <w:bottom w:val="nil"/>
              <w:right w:val="single" w:sz="4" w:space="0" w:color="auto"/>
            </w:tcBorders>
            <w:shd w:val="clear" w:color="auto" w:fill="auto"/>
            <w:vAlign w:val="center"/>
            <w:hideMark/>
          </w:tcPr>
          <w:p w14:paraId="086DAB28" w14:textId="34618181" w:rsidR="00E97A93" w:rsidRPr="00005453" w:rsidRDefault="00E97A93" w:rsidP="00E97A93">
            <w:pPr>
              <w:jc w:val="right"/>
              <w:rPr>
                <w:b/>
                <w:bCs/>
                <w:sz w:val="14"/>
                <w:szCs w:val="14"/>
                <w:lang w:eastAsia="tr-TR"/>
              </w:rPr>
            </w:pPr>
            <w:r w:rsidRPr="00005453">
              <w:rPr>
                <w:b/>
                <w:bCs/>
                <w:sz w:val="14"/>
                <w:szCs w:val="14"/>
              </w:rPr>
              <w:t>17,428,625</w:t>
            </w:r>
          </w:p>
        </w:tc>
        <w:tc>
          <w:tcPr>
            <w:tcW w:w="912" w:type="dxa"/>
            <w:tcBorders>
              <w:top w:val="nil"/>
              <w:left w:val="single" w:sz="4" w:space="0" w:color="auto"/>
              <w:bottom w:val="nil"/>
              <w:right w:val="single" w:sz="4" w:space="0" w:color="auto"/>
            </w:tcBorders>
            <w:shd w:val="clear" w:color="auto" w:fill="auto"/>
            <w:vAlign w:val="center"/>
            <w:hideMark/>
          </w:tcPr>
          <w:p w14:paraId="724BCBAF" w14:textId="1455F9A8" w:rsidR="00E97A93" w:rsidRPr="00005453" w:rsidRDefault="00E97A93" w:rsidP="00E97A93">
            <w:pPr>
              <w:jc w:val="right"/>
              <w:rPr>
                <w:b/>
                <w:bCs/>
                <w:sz w:val="14"/>
                <w:szCs w:val="14"/>
                <w:lang w:eastAsia="tr-TR"/>
              </w:rPr>
            </w:pPr>
            <w:r w:rsidRPr="00005453">
              <w:rPr>
                <w:b/>
                <w:bCs/>
                <w:sz w:val="14"/>
                <w:szCs w:val="14"/>
              </w:rPr>
              <w:t>19,691,158</w:t>
            </w:r>
          </w:p>
        </w:tc>
        <w:tc>
          <w:tcPr>
            <w:tcW w:w="1065" w:type="dxa"/>
            <w:tcBorders>
              <w:top w:val="nil"/>
              <w:left w:val="single" w:sz="4" w:space="0" w:color="auto"/>
              <w:bottom w:val="nil"/>
              <w:right w:val="single" w:sz="4" w:space="0" w:color="auto"/>
            </w:tcBorders>
            <w:shd w:val="clear" w:color="auto" w:fill="auto"/>
            <w:vAlign w:val="center"/>
            <w:hideMark/>
          </w:tcPr>
          <w:p w14:paraId="60D1F494" w14:textId="5174CB7F" w:rsidR="00E97A93" w:rsidRPr="00005453" w:rsidRDefault="00E97A93" w:rsidP="00E97A93">
            <w:pPr>
              <w:jc w:val="right"/>
              <w:rPr>
                <w:b/>
                <w:bCs/>
                <w:sz w:val="14"/>
                <w:szCs w:val="14"/>
                <w:lang w:eastAsia="tr-TR"/>
              </w:rPr>
            </w:pPr>
            <w:r w:rsidRPr="00005453">
              <w:rPr>
                <w:b/>
                <w:bCs/>
                <w:sz w:val="14"/>
                <w:szCs w:val="14"/>
              </w:rPr>
              <w:t>37,119,783</w:t>
            </w:r>
          </w:p>
        </w:tc>
      </w:tr>
      <w:tr w:rsidR="00E97A93" w:rsidRPr="00005453" w14:paraId="31243231" w14:textId="77777777" w:rsidTr="00A9473B">
        <w:trPr>
          <w:trHeight w:val="170"/>
        </w:trPr>
        <w:tc>
          <w:tcPr>
            <w:tcW w:w="455" w:type="dxa"/>
            <w:tcBorders>
              <w:top w:val="nil"/>
              <w:left w:val="single" w:sz="4" w:space="0" w:color="auto"/>
              <w:bottom w:val="nil"/>
              <w:right w:val="single" w:sz="4" w:space="0" w:color="auto"/>
            </w:tcBorders>
            <w:shd w:val="clear" w:color="auto" w:fill="auto"/>
            <w:noWrap/>
            <w:hideMark/>
          </w:tcPr>
          <w:p w14:paraId="3F70821D"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2.3.</w:t>
            </w:r>
          </w:p>
        </w:tc>
        <w:tc>
          <w:tcPr>
            <w:tcW w:w="3046" w:type="dxa"/>
            <w:tcBorders>
              <w:top w:val="nil"/>
              <w:left w:val="single" w:sz="4" w:space="0" w:color="auto"/>
              <w:bottom w:val="nil"/>
              <w:right w:val="single" w:sz="4" w:space="0" w:color="auto"/>
            </w:tcBorders>
            <w:shd w:val="clear" w:color="auto" w:fill="auto"/>
            <w:hideMark/>
          </w:tcPr>
          <w:p w14:paraId="5A3C6E2C"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hideMark/>
          </w:tcPr>
          <w:p w14:paraId="5B5B6D71"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(5.1.6.)</w:t>
            </w:r>
          </w:p>
        </w:tc>
        <w:tc>
          <w:tcPr>
            <w:tcW w:w="864" w:type="dxa"/>
            <w:tcBorders>
              <w:top w:val="nil"/>
              <w:left w:val="single" w:sz="4" w:space="0" w:color="auto"/>
              <w:bottom w:val="nil"/>
              <w:right w:val="single" w:sz="4" w:space="0" w:color="auto"/>
            </w:tcBorders>
            <w:shd w:val="clear" w:color="auto" w:fill="auto"/>
            <w:vAlign w:val="center"/>
            <w:hideMark/>
          </w:tcPr>
          <w:p w14:paraId="5D8271A0" w14:textId="130A7A3C" w:rsidR="00E97A93" w:rsidRPr="00005453" w:rsidRDefault="00E97A93" w:rsidP="00E97A93">
            <w:pPr>
              <w:jc w:val="right"/>
              <w:rPr>
                <w:b/>
                <w:bCs/>
                <w:sz w:val="14"/>
                <w:szCs w:val="14"/>
              </w:rPr>
            </w:pPr>
            <w:r w:rsidRPr="00005453">
              <w:rPr>
                <w:b/>
                <w:bCs/>
                <w:sz w:val="14"/>
                <w:szCs w:val="18"/>
              </w:rPr>
              <w:t>30,475,591</w:t>
            </w:r>
          </w:p>
        </w:tc>
        <w:tc>
          <w:tcPr>
            <w:tcW w:w="863" w:type="dxa"/>
            <w:tcBorders>
              <w:top w:val="nil"/>
              <w:left w:val="single" w:sz="4" w:space="0" w:color="auto"/>
              <w:bottom w:val="nil"/>
              <w:right w:val="single" w:sz="4" w:space="0" w:color="auto"/>
            </w:tcBorders>
            <w:shd w:val="clear" w:color="auto" w:fill="auto"/>
            <w:vAlign w:val="center"/>
            <w:hideMark/>
          </w:tcPr>
          <w:p w14:paraId="704DDE57" w14:textId="6092DA34" w:rsidR="00E97A93" w:rsidRPr="00005453" w:rsidRDefault="00E97A93" w:rsidP="00E97A93">
            <w:pPr>
              <w:jc w:val="right"/>
              <w:rPr>
                <w:b/>
                <w:bCs/>
                <w:sz w:val="14"/>
                <w:szCs w:val="14"/>
              </w:rPr>
            </w:pPr>
            <w:r w:rsidRPr="00005453">
              <w:rPr>
                <w:b/>
                <w:bCs/>
                <w:sz w:val="14"/>
                <w:szCs w:val="18"/>
              </w:rPr>
              <w:t>25,548,284</w:t>
            </w:r>
          </w:p>
        </w:tc>
        <w:tc>
          <w:tcPr>
            <w:tcW w:w="901" w:type="dxa"/>
            <w:tcBorders>
              <w:top w:val="nil"/>
              <w:left w:val="single" w:sz="4" w:space="0" w:color="auto"/>
              <w:bottom w:val="nil"/>
              <w:right w:val="single" w:sz="4" w:space="0" w:color="auto"/>
            </w:tcBorders>
            <w:shd w:val="clear" w:color="auto" w:fill="auto"/>
            <w:vAlign w:val="center"/>
            <w:hideMark/>
          </w:tcPr>
          <w:p w14:paraId="765799ED" w14:textId="66DACE9F" w:rsidR="00E97A93" w:rsidRPr="00005453" w:rsidRDefault="00E97A93" w:rsidP="00E97A93">
            <w:pPr>
              <w:jc w:val="right"/>
              <w:rPr>
                <w:b/>
                <w:bCs/>
                <w:sz w:val="14"/>
                <w:szCs w:val="14"/>
              </w:rPr>
            </w:pPr>
            <w:r w:rsidRPr="00005453">
              <w:rPr>
                <w:b/>
                <w:bCs/>
                <w:sz w:val="14"/>
                <w:szCs w:val="18"/>
              </w:rPr>
              <w:t>56,023,875</w:t>
            </w:r>
          </w:p>
        </w:tc>
        <w:tc>
          <w:tcPr>
            <w:tcW w:w="902" w:type="dxa"/>
            <w:tcBorders>
              <w:top w:val="nil"/>
              <w:left w:val="single" w:sz="4" w:space="0" w:color="auto"/>
              <w:bottom w:val="nil"/>
              <w:right w:val="single" w:sz="4" w:space="0" w:color="auto"/>
            </w:tcBorders>
            <w:shd w:val="clear" w:color="auto" w:fill="auto"/>
            <w:vAlign w:val="center"/>
            <w:hideMark/>
          </w:tcPr>
          <w:p w14:paraId="19B90FB6" w14:textId="5720CD13" w:rsidR="00E97A93" w:rsidRPr="00005453" w:rsidRDefault="00E97A93" w:rsidP="00E97A93">
            <w:pPr>
              <w:jc w:val="right"/>
              <w:rPr>
                <w:b/>
                <w:bCs/>
                <w:sz w:val="14"/>
                <w:szCs w:val="14"/>
                <w:lang w:eastAsia="tr-TR"/>
              </w:rPr>
            </w:pPr>
            <w:r w:rsidRPr="00005453">
              <w:rPr>
                <w:b/>
                <w:bCs/>
                <w:sz w:val="14"/>
                <w:szCs w:val="14"/>
              </w:rPr>
              <w:t>41,947,315</w:t>
            </w:r>
          </w:p>
        </w:tc>
        <w:tc>
          <w:tcPr>
            <w:tcW w:w="912" w:type="dxa"/>
            <w:tcBorders>
              <w:top w:val="nil"/>
              <w:left w:val="single" w:sz="4" w:space="0" w:color="auto"/>
              <w:bottom w:val="nil"/>
              <w:right w:val="single" w:sz="4" w:space="0" w:color="auto"/>
            </w:tcBorders>
            <w:shd w:val="clear" w:color="auto" w:fill="auto"/>
            <w:vAlign w:val="center"/>
            <w:hideMark/>
          </w:tcPr>
          <w:p w14:paraId="6B9C8145" w14:textId="589F1B78" w:rsidR="00E97A93" w:rsidRPr="00005453" w:rsidRDefault="00E97A93" w:rsidP="00E97A93">
            <w:pPr>
              <w:jc w:val="right"/>
              <w:rPr>
                <w:b/>
                <w:bCs/>
                <w:sz w:val="14"/>
                <w:szCs w:val="14"/>
                <w:lang w:eastAsia="tr-TR"/>
              </w:rPr>
            </w:pPr>
            <w:r w:rsidRPr="00005453">
              <w:rPr>
                <w:b/>
                <w:bCs/>
                <w:sz w:val="14"/>
                <w:szCs w:val="14"/>
              </w:rPr>
              <w:t>21,256,329</w:t>
            </w:r>
          </w:p>
        </w:tc>
        <w:tc>
          <w:tcPr>
            <w:tcW w:w="1065" w:type="dxa"/>
            <w:tcBorders>
              <w:top w:val="nil"/>
              <w:left w:val="single" w:sz="4" w:space="0" w:color="auto"/>
              <w:bottom w:val="nil"/>
              <w:right w:val="single" w:sz="4" w:space="0" w:color="auto"/>
            </w:tcBorders>
            <w:shd w:val="clear" w:color="auto" w:fill="auto"/>
            <w:vAlign w:val="center"/>
            <w:hideMark/>
          </w:tcPr>
          <w:p w14:paraId="6E183132" w14:textId="3AC6FC9E" w:rsidR="00E97A93" w:rsidRPr="00005453" w:rsidRDefault="00E97A93" w:rsidP="00E97A93">
            <w:pPr>
              <w:jc w:val="right"/>
              <w:rPr>
                <w:b/>
                <w:bCs/>
                <w:sz w:val="14"/>
                <w:szCs w:val="14"/>
                <w:lang w:eastAsia="tr-TR"/>
              </w:rPr>
            </w:pPr>
            <w:r w:rsidRPr="00005453">
              <w:rPr>
                <w:b/>
                <w:bCs/>
                <w:sz w:val="14"/>
                <w:szCs w:val="14"/>
              </w:rPr>
              <w:t>63,203,644</w:t>
            </w:r>
          </w:p>
        </w:tc>
      </w:tr>
      <w:tr w:rsidR="00E97A93" w:rsidRPr="00005453" w14:paraId="1A5768CE" w14:textId="77777777" w:rsidTr="00A9473B">
        <w:trPr>
          <w:trHeight w:val="87"/>
        </w:trPr>
        <w:tc>
          <w:tcPr>
            <w:tcW w:w="455" w:type="dxa"/>
            <w:tcBorders>
              <w:top w:val="nil"/>
              <w:left w:val="single" w:sz="4" w:space="0" w:color="auto"/>
              <w:bottom w:val="nil"/>
              <w:right w:val="single" w:sz="4" w:space="0" w:color="auto"/>
            </w:tcBorders>
            <w:shd w:val="clear" w:color="auto" w:fill="auto"/>
            <w:noWrap/>
            <w:hideMark/>
          </w:tcPr>
          <w:p w14:paraId="54A65259" w14:textId="77777777" w:rsidR="00E97A93" w:rsidRPr="00005453" w:rsidRDefault="00E97A93" w:rsidP="00E97A93">
            <w:pPr>
              <w:rPr>
                <w:color w:val="000000"/>
                <w:sz w:val="14"/>
                <w:szCs w:val="14"/>
                <w:lang w:eastAsia="tr-TR"/>
              </w:rPr>
            </w:pPr>
            <w:r w:rsidRPr="00005453">
              <w:rPr>
                <w:color w:val="000000"/>
                <w:sz w:val="14"/>
                <w:szCs w:val="14"/>
                <w:lang w:eastAsia="tr-TR"/>
              </w:rPr>
              <w:t>2.3.1.</w:t>
            </w:r>
          </w:p>
        </w:tc>
        <w:tc>
          <w:tcPr>
            <w:tcW w:w="3046" w:type="dxa"/>
            <w:tcBorders>
              <w:top w:val="nil"/>
              <w:left w:val="single" w:sz="4" w:space="0" w:color="auto"/>
              <w:bottom w:val="nil"/>
              <w:right w:val="single" w:sz="4" w:space="0" w:color="auto"/>
            </w:tcBorders>
            <w:shd w:val="clear" w:color="auto" w:fill="auto"/>
            <w:noWrap/>
            <w:hideMark/>
          </w:tcPr>
          <w:p w14:paraId="0BB2044A" w14:textId="77777777" w:rsidR="00E97A93" w:rsidRPr="00005453" w:rsidRDefault="00E97A93" w:rsidP="00E97A93">
            <w:pPr>
              <w:rPr>
                <w:color w:val="000000"/>
                <w:sz w:val="14"/>
                <w:szCs w:val="14"/>
                <w:lang w:eastAsia="tr-TR"/>
              </w:rPr>
            </w:pPr>
            <w:r w:rsidRPr="00005453">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475B4A32"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43A4CAA" w14:textId="681A7033" w:rsidR="00E97A93" w:rsidRPr="00005453" w:rsidRDefault="00E97A93" w:rsidP="00E97A93">
            <w:pPr>
              <w:jc w:val="right"/>
              <w:rPr>
                <w:sz w:val="14"/>
                <w:szCs w:val="14"/>
              </w:rPr>
            </w:pPr>
            <w:r w:rsidRPr="00005453">
              <w:rPr>
                <w:sz w:val="14"/>
                <w:szCs w:val="18"/>
              </w:rPr>
              <w:t>30,475,591</w:t>
            </w:r>
          </w:p>
        </w:tc>
        <w:tc>
          <w:tcPr>
            <w:tcW w:w="863" w:type="dxa"/>
            <w:tcBorders>
              <w:top w:val="nil"/>
              <w:left w:val="single" w:sz="4" w:space="0" w:color="auto"/>
              <w:bottom w:val="nil"/>
              <w:right w:val="single" w:sz="4" w:space="0" w:color="auto"/>
            </w:tcBorders>
            <w:shd w:val="clear" w:color="auto" w:fill="auto"/>
            <w:vAlign w:val="center"/>
            <w:hideMark/>
          </w:tcPr>
          <w:p w14:paraId="1B9BC9D6" w14:textId="519AF0D0" w:rsidR="00E97A93" w:rsidRPr="00005453" w:rsidRDefault="00E97A93" w:rsidP="00E97A93">
            <w:pPr>
              <w:jc w:val="right"/>
              <w:rPr>
                <w:sz w:val="14"/>
                <w:szCs w:val="14"/>
              </w:rPr>
            </w:pPr>
            <w:r w:rsidRPr="00005453">
              <w:rPr>
                <w:sz w:val="14"/>
                <w:szCs w:val="18"/>
              </w:rPr>
              <w:t>25,548,284</w:t>
            </w:r>
          </w:p>
        </w:tc>
        <w:tc>
          <w:tcPr>
            <w:tcW w:w="901" w:type="dxa"/>
            <w:tcBorders>
              <w:top w:val="nil"/>
              <w:left w:val="single" w:sz="4" w:space="0" w:color="auto"/>
              <w:bottom w:val="nil"/>
              <w:right w:val="single" w:sz="4" w:space="0" w:color="auto"/>
            </w:tcBorders>
            <w:shd w:val="clear" w:color="auto" w:fill="auto"/>
            <w:vAlign w:val="center"/>
            <w:hideMark/>
          </w:tcPr>
          <w:p w14:paraId="429AD36F" w14:textId="0C299A01" w:rsidR="00E97A93" w:rsidRPr="00005453" w:rsidRDefault="00E97A93" w:rsidP="00E97A93">
            <w:pPr>
              <w:jc w:val="right"/>
              <w:rPr>
                <w:sz w:val="14"/>
                <w:szCs w:val="14"/>
              </w:rPr>
            </w:pPr>
            <w:r w:rsidRPr="00005453">
              <w:rPr>
                <w:sz w:val="14"/>
                <w:szCs w:val="18"/>
              </w:rPr>
              <w:t>56,023,875</w:t>
            </w:r>
          </w:p>
        </w:tc>
        <w:tc>
          <w:tcPr>
            <w:tcW w:w="902" w:type="dxa"/>
            <w:tcBorders>
              <w:top w:val="nil"/>
              <w:left w:val="single" w:sz="4" w:space="0" w:color="auto"/>
              <w:bottom w:val="nil"/>
              <w:right w:val="single" w:sz="4" w:space="0" w:color="auto"/>
            </w:tcBorders>
            <w:shd w:val="clear" w:color="auto" w:fill="auto"/>
            <w:vAlign w:val="center"/>
            <w:hideMark/>
          </w:tcPr>
          <w:p w14:paraId="48AE281C" w14:textId="73067B5A" w:rsidR="00E97A93" w:rsidRPr="00005453" w:rsidRDefault="00E97A93" w:rsidP="00E97A93">
            <w:pPr>
              <w:jc w:val="right"/>
              <w:rPr>
                <w:sz w:val="14"/>
                <w:szCs w:val="14"/>
                <w:lang w:eastAsia="tr-TR"/>
              </w:rPr>
            </w:pPr>
            <w:r w:rsidRPr="00005453">
              <w:rPr>
                <w:sz w:val="14"/>
                <w:szCs w:val="14"/>
              </w:rPr>
              <w:t>36,951,904</w:t>
            </w:r>
          </w:p>
        </w:tc>
        <w:tc>
          <w:tcPr>
            <w:tcW w:w="912" w:type="dxa"/>
            <w:tcBorders>
              <w:top w:val="nil"/>
              <w:left w:val="single" w:sz="4" w:space="0" w:color="auto"/>
              <w:bottom w:val="nil"/>
              <w:right w:val="single" w:sz="4" w:space="0" w:color="auto"/>
            </w:tcBorders>
            <w:shd w:val="clear" w:color="auto" w:fill="auto"/>
            <w:vAlign w:val="center"/>
            <w:hideMark/>
          </w:tcPr>
          <w:p w14:paraId="5C458B65" w14:textId="3C5613C1" w:rsidR="00E97A93" w:rsidRPr="00005453" w:rsidRDefault="00E97A93" w:rsidP="00E97A93">
            <w:pPr>
              <w:jc w:val="right"/>
              <w:rPr>
                <w:sz w:val="14"/>
                <w:szCs w:val="14"/>
                <w:lang w:eastAsia="tr-TR"/>
              </w:rPr>
            </w:pPr>
            <w:r w:rsidRPr="00005453">
              <w:rPr>
                <w:sz w:val="14"/>
                <w:szCs w:val="14"/>
              </w:rPr>
              <w:t>21,256,329</w:t>
            </w:r>
          </w:p>
        </w:tc>
        <w:tc>
          <w:tcPr>
            <w:tcW w:w="1065" w:type="dxa"/>
            <w:tcBorders>
              <w:top w:val="nil"/>
              <w:left w:val="single" w:sz="4" w:space="0" w:color="auto"/>
              <w:bottom w:val="nil"/>
              <w:right w:val="single" w:sz="4" w:space="0" w:color="auto"/>
            </w:tcBorders>
            <w:shd w:val="clear" w:color="auto" w:fill="auto"/>
            <w:vAlign w:val="center"/>
            <w:hideMark/>
          </w:tcPr>
          <w:p w14:paraId="730177A2" w14:textId="46BBECDA" w:rsidR="00E97A93" w:rsidRPr="00005453" w:rsidRDefault="00E97A93" w:rsidP="00E97A93">
            <w:pPr>
              <w:jc w:val="right"/>
              <w:rPr>
                <w:sz w:val="14"/>
                <w:szCs w:val="14"/>
                <w:lang w:eastAsia="tr-TR"/>
              </w:rPr>
            </w:pPr>
            <w:r w:rsidRPr="00005453">
              <w:rPr>
                <w:sz w:val="14"/>
                <w:szCs w:val="14"/>
              </w:rPr>
              <w:t>58,208,233</w:t>
            </w:r>
          </w:p>
        </w:tc>
      </w:tr>
      <w:tr w:rsidR="00E97A93" w:rsidRPr="00005453" w14:paraId="226A5A76"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265C707E" w14:textId="77777777" w:rsidR="00E97A93" w:rsidRPr="00005453" w:rsidRDefault="00E97A93" w:rsidP="00E97A93">
            <w:pPr>
              <w:rPr>
                <w:color w:val="000000"/>
                <w:sz w:val="14"/>
                <w:szCs w:val="14"/>
                <w:lang w:eastAsia="tr-TR"/>
              </w:rPr>
            </w:pPr>
            <w:r w:rsidRPr="00005453">
              <w:rPr>
                <w:color w:val="000000"/>
                <w:sz w:val="14"/>
                <w:szCs w:val="14"/>
                <w:lang w:eastAsia="tr-TR"/>
              </w:rPr>
              <w:t>2.3.2.</w:t>
            </w:r>
          </w:p>
        </w:tc>
        <w:tc>
          <w:tcPr>
            <w:tcW w:w="3046" w:type="dxa"/>
            <w:tcBorders>
              <w:top w:val="nil"/>
              <w:left w:val="single" w:sz="4" w:space="0" w:color="auto"/>
              <w:bottom w:val="nil"/>
              <w:right w:val="single" w:sz="4" w:space="0" w:color="auto"/>
            </w:tcBorders>
            <w:shd w:val="clear" w:color="auto" w:fill="auto"/>
            <w:noWrap/>
            <w:hideMark/>
          </w:tcPr>
          <w:p w14:paraId="43545A74" w14:textId="77777777" w:rsidR="00E97A93" w:rsidRPr="00005453" w:rsidRDefault="00E97A93" w:rsidP="00E97A93">
            <w:pPr>
              <w:rPr>
                <w:color w:val="000000"/>
                <w:sz w:val="14"/>
                <w:szCs w:val="14"/>
                <w:lang w:eastAsia="tr-TR"/>
              </w:rPr>
            </w:pPr>
            <w:r w:rsidRPr="00005453">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161EF553"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CB63B2F" w14:textId="7E9DDD77"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36093F3C" w14:textId="630D0E6E"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BCBAD60" w14:textId="2CEA27E9"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6FC707C6" w14:textId="19E987BE" w:rsidR="00E97A93" w:rsidRPr="00005453" w:rsidRDefault="00E97A93" w:rsidP="00E97A93">
            <w:pPr>
              <w:jc w:val="right"/>
              <w:rPr>
                <w:sz w:val="14"/>
                <w:szCs w:val="14"/>
                <w:lang w:eastAsia="tr-TR"/>
              </w:rPr>
            </w:pPr>
            <w:r w:rsidRPr="00005453">
              <w:rPr>
                <w:sz w:val="14"/>
                <w:szCs w:val="14"/>
              </w:rPr>
              <w:t>4,995,411</w:t>
            </w:r>
          </w:p>
        </w:tc>
        <w:tc>
          <w:tcPr>
            <w:tcW w:w="912" w:type="dxa"/>
            <w:tcBorders>
              <w:top w:val="nil"/>
              <w:left w:val="single" w:sz="4" w:space="0" w:color="auto"/>
              <w:bottom w:val="nil"/>
              <w:right w:val="single" w:sz="4" w:space="0" w:color="auto"/>
            </w:tcBorders>
            <w:shd w:val="clear" w:color="auto" w:fill="auto"/>
            <w:vAlign w:val="center"/>
            <w:hideMark/>
          </w:tcPr>
          <w:p w14:paraId="41823735" w14:textId="11048B45"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3B8CC4E5" w14:textId="48E1DA0A" w:rsidR="00E97A93" w:rsidRPr="00005453" w:rsidRDefault="00E97A93" w:rsidP="00E97A93">
            <w:pPr>
              <w:jc w:val="right"/>
              <w:rPr>
                <w:sz w:val="14"/>
                <w:szCs w:val="14"/>
                <w:lang w:eastAsia="tr-TR"/>
              </w:rPr>
            </w:pPr>
            <w:r w:rsidRPr="00005453">
              <w:rPr>
                <w:sz w:val="14"/>
                <w:szCs w:val="14"/>
              </w:rPr>
              <w:t>4,995,411</w:t>
            </w:r>
          </w:p>
        </w:tc>
      </w:tr>
      <w:tr w:rsidR="00E97A93" w:rsidRPr="00005453" w14:paraId="3FFCA7BE"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651D2F77"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2.4.</w:t>
            </w:r>
          </w:p>
        </w:tc>
        <w:tc>
          <w:tcPr>
            <w:tcW w:w="3046" w:type="dxa"/>
            <w:tcBorders>
              <w:top w:val="nil"/>
              <w:left w:val="single" w:sz="4" w:space="0" w:color="auto"/>
              <w:bottom w:val="nil"/>
              <w:right w:val="single" w:sz="4" w:space="0" w:color="auto"/>
            </w:tcBorders>
            <w:shd w:val="clear" w:color="auto" w:fill="auto"/>
            <w:hideMark/>
          </w:tcPr>
          <w:p w14:paraId="2BB2D6D4"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06E83A64" w14:textId="77777777" w:rsidR="00E97A93" w:rsidRPr="00005453" w:rsidRDefault="00E97A93" w:rsidP="00E97A93">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614CAB9" w14:textId="4AA602B7" w:rsidR="00E97A93" w:rsidRPr="00005453" w:rsidRDefault="00E97A93" w:rsidP="00E97A93">
            <w:pPr>
              <w:jc w:val="right"/>
              <w:rPr>
                <w:b/>
                <w:bCs/>
                <w:sz w:val="14"/>
                <w:szCs w:val="14"/>
              </w:rPr>
            </w:pPr>
            <w:r w:rsidRPr="00005453">
              <w:rPr>
                <w:b/>
                <w:bCs/>
                <w:sz w:val="14"/>
                <w:szCs w:val="18"/>
              </w:rPr>
              <w:t>9,240,562</w:t>
            </w:r>
          </w:p>
        </w:tc>
        <w:tc>
          <w:tcPr>
            <w:tcW w:w="863" w:type="dxa"/>
            <w:tcBorders>
              <w:top w:val="nil"/>
              <w:left w:val="single" w:sz="4" w:space="0" w:color="auto"/>
              <w:bottom w:val="nil"/>
              <w:right w:val="single" w:sz="4" w:space="0" w:color="auto"/>
            </w:tcBorders>
            <w:shd w:val="clear" w:color="auto" w:fill="auto"/>
            <w:vAlign w:val="center"/>
            <w:hideMark/>
          </w:tcPr>
          <w:p w14:paraId="36B1DE1E" w14:textId="1D2C78BF" w:rsidR="00E97A93" w:rsidRPr="00005453" w:rsidRDefault="00E97A93" w:rsidP="00E97A93">
            <w:pPr>
              <w:jc w:val="right"/>
              <w:rPr>
                <w:b/>
                <w:bCs/>
                <w:sz w:val="14"/>
                <w:szCs w:val="14"/>
              </w:rPr>
            </w:pPr>
            <w:r w:rsidRPr="00005453">
              <w:rPr>
                <w:b/>
                <w:bCs/>
                <w:sz w:val="14"/>
                <w:szCs w:val="18"/>
              </w:rPr>
              <w:t>3,741,210</w:t>
            </w:r>
          </w:p>
        </w:tc>
        <w:tc>
          <w:tcPr>
            <w:tcW w:w="901" w:type="dxa"/>
            <w:tcBorders>
              <w:top w:val="nil"/>
              <w:left w:val="single" w:sz="4" w:space="0" w:color="auto"/>
              <w:bottom w:val="nil"/>
              <w:right w:val="single" w:sz="4" w:space="0" w:color="auto"/>
            </w:tcBorders>
            <w:shd w:val="clear" w:color="auto" w:fill="auto"/>
            <w:vAlign w:val="center"/>
            <w:hideMark/>
          </w:tcPr>
          <w:p w14:paraId="60A3069A" w14:textId="6414E175" w:rsidR="00E97A93" w:rsidRPr="00005453" w:rsidRDefault="00E97A93" w:rsidP="00E97A93">
            <w:pPr>
              <w:jc w:val="right"/>
              <w:rPr>
                <w:b/>
                <w:bCs/>
                <w:sz w:val="14"/>
                <w:szCs w:val="14"/>
              </w:rPr>
            </w:pPr>
            <w:r w:rsidRPr="00005453">
              <w:rPr>
                <w:b/>
                <w:bCs/>
                <w:sz w:val="14"/>
                <w:szCs w:val="18"/>
              </w:rPr>
              <w:t>12,981,772</w:t>
            </w:r>
          </w:p>
        </w:tc>
        <w:tc>
          <w:tcPr>
            <w:tcW w:w="902" w:type="dxa"/>
            <w:tcBorders>
              <w:top w:val="nil"/>
              <w:left w:val="single" w:sz="4" w:space="0" w:color="auto"/>
              <w:bottom w:val="nil"/>
              <w:right w:val="single" w:sz="4" w:space="0" w:color="auto"/>
            </w:tcBorders>
            <w:shd w:val="clear" w:color="auto" w:fill="auto"/>
            <w:vAlign w:val="center"/>
            <w:hideMark/>
          </w:tcPr>
          <w:p w14:paraId="69413CC0" w14:textId="2FCB5BDE" w:rsidR="00E97A93" w:rsidRPr="00005453" w:rsidRDefault="00E97A93" w:rsidP="00E97A93">
            <w:pPr>
              <w:jc w:val="right"/>
              <w:rPr>
                <w:b/>
                <w:bCs/>
                <w:sz w:val="14"/>
                <w:szCs w:val="14"/>
                <w:lang w:eastAsia="tr-TR"/>
              </w:rPr>
            </w:pPr>
            <w:r w:rsidRPr="00005453">
              <w:rPr>
                <w:b/>
                <w:bCs/>
                <w:sz w:val="14"/>
                <w:szCs w:val="14"/>
              </w:rPr>
              <w:t>11,050,910</w:t>
            </w:r>
          </w:p>
        </w:tc>
        <w:tc>
          <w:tcPr>
            <w:tcW w:w="912" w:type="dxa"/>
            <w:tcBorders>
              <w:top w:val="nil"/>
              <w:left w:val="single" w:sz="4" w:space="0" w:color="auto"/>
              <w:bottom w:val="nil"/>
              <w:right w:val="single" w:sz="4" w:space="0" w:color="auto"/>
            </w:tcBorders>
            <w:shd w:val="clear" w:color="auto" w:fill="auto"/>
            <w:vAlign w:val="center"/>
            <w:hideMark/>
          </w:tcPr>
          <w:p w14:paraId="06C486CB" w14:textId="61A6A0A6" w:rsidR="00E97A93" w:rsidRPr="00005453" w:rsidRDefault="00E97A93" w:rsidP="00E97A93">
            <w:pPr>
              <w:jc w:val="right"/>
              <w:rPr>
                <w:b/>
                <w:bCs/>
                <w:sz w:val="14"/>
                <w:szCs w:val="14"/>
                <w:lang w:eastAsia="tr-TR"/>
              </w:rPr>
            </w:pPr>
            <w:r w:rsidRPr="00005453">
              <w:rPr>
                <w:b/>
                <w:bCs/>
                <w:sz w:val="14"/>
                <w:szCs w:val="14"/>
              </w:rPr>
              <w:t>6,879,080</w:t>
            </w:r>
          </w:p>
        </w:tc>
        <w:tc>
          <w:tcPr>
            <w:tcW w:w="1065" w:type="dxa"/>
            <w:tcBorders>
              <w:top w:val="nil"/>
              <w:left w:val="single" w:sz="4" w:space="0" w:color="auto"/>
              <w:bottom w:val="nil"/>
              <w:right w:val="single" w:sz="4" w:space="0" w:color="auto"/>
            </w:tcBorders>
            <w:shd w:val="clear" w:color="auto" w:fill="auto"/>
            <w:vAlign w:val="center"/>
            <w:hideMark/>
          </w:tcPr>
          <w:p w14:paraId="3C73C295" w14:textId="2413EF8F" w:rsidR="00E97A93" w:rsidRPr="00005453" w:rsidRDefault="00E97A93" w:rsidP="00E97A93">
            <w:pPr>
              <w:jc w:val="right"/>
              <w:rPr>
                <w:b/>
                <w:bCs/>
                <w:sz w:val="14"/>
                <w:szCs w:val="14"/>
                <w:lang w:eastAsia="tr-TR"/>
              </w:rPr>
            </w:pPr>
            <w:r w:rsidRPr="00005453">
              <w:rPr>
                <w:b/>
                <w:bCs/>
                <w:sz w:val="14"/>
                <w:szCs w:val="14"/>
              </w:rPr>
              <w:t>17,929,990</w:t>
            </w:r>
          </w:p>
        </w:tc>
      </w:tr>
      <w:tr w:rsidR="00E97A93" w:rsidRPr="00005453" w14:paraId="35D2E823" w14:textId="77777777" w:rsidTr="00A9473B">
        <w:trPr>
          <w:trHeight w:val="266"/>
        </w:trPr>
        <w:tc>
          <w:tcPr>
            <w:tcW w:w="455" w:type="dxa"/>
            <w:tcBorders>
              <w:top w:val="nil"/>
              <w:left w:val="single" w:sz="4" w:space="0" w:color="auto"/>
              <w:bottom w:val="nil"/>
              <w:right w:val="single" w:sz="4" w:space="0" w:color="auto"/>
            </w:tcBorders>
            <w:shd w:val="clear" w:color="auto" w:fill="auto"/>
            <w:hideMark/>
          </w:tcPr>
          <w:p w14:paraId="5ABC0727"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III.</w:t>
            </w:r>
          </w:p>
        </w:tc>
        <w:tc>
          <w:tcPr>
            <w:tcW w:w="3046" w:type="dxa"/>
            <w:tcBorders>
              <w:top w:val="nil"/>
              <w:left w:val="single" w:sz="4" w:space="0" w:color="auto"/>
              <w:bottom w:val="nil"/>
              <w:right w:val="single" w:sz="4" w:space="0" w:color="auto"/>
            </w:tcBorders>
            <w:shd w:val="clear" w:color="auto" w:fill="auto"/>
            <w:hideMark/>
          </w:tcPr>
          <w:p w14:paraId="7A6B48EB"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00D952D7" w14:textId="77777777" w:rsidR="00E97A93" w:rsidRPr="00005453" w:rsidRDefault="00E97A93" w:rsidP="00E97A93">
            <w:pPr>
              <w:jc w:val="center"/>
              <w:rPr>
                <w:b/>
                <w:bCs/>
                <w:color w:val="000000"/>
                <w:sz w:val="14"/>
                <w:szCs w:val="14"/>
                <w:lang w:val="en-US"/>
              </w:rPr>
            </w:pPr>
            <w:r w:rsidRPr="00005453">
              <w:rPr>
                <w:b/>
                <w:bCs/>
                <w:color w:val="000000"/>
                <w:sz w:val="14"/>
                <w:szCs w:val="14"/>
                <w:lang w:eastAsia="tr-TR"/>
              </w:rPr>
              <w:t>(</w:t>
            </w:r>
            <w:r w:rsidRPr="00005453">
              <w:rPr>
                <w:b/>
                <w:bCs/>
                <w:color w:val="000000"/>
                <w:sz w:val="14"/>
                <w:szCs w:val="14"/>
                <w:lang w:val="en-US"/>
              </w:rPr>
              <w:t>5.1.16.)</w:t>
            </w:r>
          </w:p>
        </w:tc>
        <w:tc>
          <w:tcPr>
            <w:tcW w:w="864" w:type="dxa"/>
            <w:tcBorders>
              <w:top w:val="nil"/>
              <w:left w:val="single" w:sz="4" w:space="0" w:color="auto"/>
              <w:bottom w:val="nil"/>
              <w:right w:val="single" w:sz="4" w:space="0" w:color="auto"/>
            </w:tcBorders>
            <w:shd w:val="clear" w:color="auto" w:fill="auto"/>
            <w:vAlign w:val="center"/>
            <w:hideMark/>
          </w:tcPr>
          <w:p w14:paraId="2C4BB223" w14:textId="593EF5F4" w:rsidR="00E97A93" w:rsidRPr="00005453" w:rsidRDefault="00E97A93" w:rsidP="00E97A93">
            <w:pPr>
              <w:jc w:val="right"/>
              <w:rPr>
                <w:b/>
                <w:bCs/>
                <w:sz w:val="14"/>
                <w:szCs w:val="14"/>
              </w:rPr>
            </w:pPr>
            <w:r w:rsidRPr="00005453">
              <w:rPr>
                <w:b/>
                <w:bCs/>
                <w:sz w:val="14"/>
                <w:szCs w:val="18"/>
              </w:rPr>
              <w:t>522,743</w:t>
            </w:r>
          </w:p>
        </w:tc>
        <w:tc>
          <w:tcPr>
            <w:tcW w:w="863" w:type="dxa"/>
            <w:tcBorders>
              <w:top w:val="nil"/>
              <w:left w:val="single" w:sz="4" w:space="0" w:color="auto"/>
              <w:bottom w:val="nil"/>
              <w:right w:val="single" w:sz="4" w:space="0" w:color="auto"/>
            </w:tcBorders>
            <w:shd w:val="clear" w:color="auto" w:fill="auto"/>
            <w:vAlign w:val="center"/>
            <w:hideMark/>
          </w:tcPr>
          <w:p w14:paraId="6EFDACC0" w14:textId="2B51B185"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4D92465" w14:textId="3293F2B3" w:rsidR="00E97A93" w:rsidRPr="00005453" w:rsidRDefault="00E97A93" w:rsidP="00E97A93">
            <w:pPr>
              <w:jc w:val="right"/>
              <w:rPr>
                <w:b/>
                <w:bCs/>
                <w:sz w:val="14"/>
                <w:szCs w:val="14"/>
              </w:rPr>
            </w:pPr>
            <w:r w:rsidRPr="00005453">
              <w:rPr>
                <w:b/>
                <w:bCs/>
                <w:sz w:val="14"/>
                <w:szCs w:val="18"/>
              </w:rPr>
              <w:t>522,743</w:t>
            </w:r>
          </w:p>
        </w:tc>
        <w:tc>
          <w:tcPr>
            <w:tcW w:w="902" w:type="dxa"/>
            <w:tcBorders>
              <w:top w:val="nil"/>
              <w:left w:val="single" w:sz="4" w:space="0" w:color="auto"/>
              <w:bottom w:val="nil"/>
              <w:right w:val="single" w:sz="4" w:space="0" w:color="auto"/>
            </w:tcBorders>
            <w:shd w:val="clear" w:color="auto" w:fill="auto"/>
            <w:vAlign w:val="center"/>
            <w:hideMark/>
          </w:tcPr>
          <w:p w14:paraId="69560271" w14:textId="67FAD7CC" w:rsidR="00E97A93" w:rsidRPr="00005453" w:rsidRDefault="00E97A93" w:rsidP="00E97A93">
            <w:pPr>
              <w:jc w:val="right"/>
              <w:rPr>
                <w:b/>
                <w:bCs/>
                <w:sz w:val="14"/>
                <w:szCs w:val="14"/>
                <w:lang w:eastAsia="tr-TR"/>
              </w:rPr>
            </w:pPr>
            <w:r w:rsidRPr="00005453">
              <w:rPr>
                <w:b/>
                <w:bCs/>
                <w:sz w:val="14"/>
                <w:szCs w:val="14"/>
              </w:rPr>
              <w:t>428,585</w:t>
            </w:r>
          </w:p>
        </w:tc>
        <w:tc>
          <w:tcPr>
            <w:tcW w:w="912" w:type="dxa"/>
            <w:tcBorders>
              <w:top w:val="nil"/>
              <w:left w:val="single" w:sz="4" w:space="0" w:color="auto"/>
              <w:bottom w:val="nil"/>
              <w:right w:val="single" w:sz="4" w:space="0" w:color="auto"/>
            </w:tcBorders>
            <w:shd w:val="clear" w:color="auto" w:fill="auto"/>
            <w:vAlign w:val="center"/>
            <w:hideMark/>
          </w:tcPr>
          <w:p w14:paraId="23A89B65" w14:textId="2ADFDA6F"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65E2C37" w14:textId="63B54EAD" w:rsidR="00E97A93" w:rsidRPr="00005453" w:rsidRDefault="00E97A93" w:rsidP="00E97A93">
            <w:pPr>
              <w:jc w:val="right"/>
              <w:rPr>
                <w:b/>
                <w:bCs/>
                <w:sz w:val="14"/>
                <w:szCs w:val="14"/>
                <w:lang w:eastAsia="tr-TR"/>
              </w:rPr>
            </w:pPr>
            <w:r w:rsidRPr="00005453">
              <w:rPr>
                <w:b/>
                <w:bCs/>
                <w:sz w:val="14"/>
                <w:szCs w:val="14"/>
              </w:rPr>
              <w:t>428,585</w:t>
            </w:r>
          </w:p>
        </w:tc>
      </w:tr>
      <w:tr w:rsidR="00E97A93" w:rsidRPr="00005453" w14:paraId="19A5D65D" w14:textId="77777777" w:rsidTr="00A9473B">
        <w:trPr>
          <w:trHeight w:val="75"/>
        </w:trPr>
        <w:tc>
          <w:tcPr>
            <w:tcW w:w="455" w:type="dxa"/>
            <w:tcBorders>
              <w:top w:val="nil"/>
              <w:left w:val="single" w:sz="4" w:space="0" w:color="auto"/>
              <w:bottom w:val="nil"/>
              <w:right w:val="single" w:sz="4" w:space="0" w:color="auto"/>
            </w:tcBorders>
            <w:shd w:val="clear" w:color="auto" w:fill="auto"/>
            <w:noWrap/>
            <w:hideMark/>
          </w:tcPr>
          <w:p w14:paraId="77205C5B" w14:textId="77777777" w:rsidR="00E97A93" w:rsidRPr="00005453" w:rsidRDefault="00E97A93" w:rsidP="00E97A93">
            <w:pPr>
              <w:rPr>
                <w:color w:val="000000"/>
                <w:sz w:val="14"/>
                <w:szCs w:val="14"/>
                <w:lang w:eastAsia="tr-TR"/>
              </w:rPr>
            </w:pPr>
            <w:r w:rsidRPr="00005453">
              <w:rPr>
                <w:color w:val="000000"/>
                <w:sz w:val="14"/>
                <w:szCs w:val="14"/>
                <w:lang w:eastAsia="tr-TR"/>
              </w:rPr>
              <w:t>3.1.</w:t>
            </w:r>
          </w:p>
        </w:tc>
        <w:tc>
          <w:tcPr>
            <w:tcW w:w="3046" w:type="dxa"/>
            <w:tcBorders>
              <w:top w:val="nil"/>
              <w:left w:val="single" w:sz="4" w:space="0" w:color="auto"/>
              <w:bottom w:val="nil"/>
              <w:right w:val="single" w:sz="4" w:space="0" w:color="auto"/>
            </w:tcBorders>
            <w:shd w:val="clear" w:color="auto" w:fill="auto"/>
            <w:noWrap/>
            <w:hideMark/>
          </w:tcPr>
          <w:p w14:paraId="2F840080" w14:textId="77777777" w:rsidR="00E97A93" w:rsidRPr="00005453" w:rsidRDefault="00E97A93" w:rsidP="00E97A93">
            <w:pPr>
              <w:rPr>
                <w:color w:val="000000"/>
                <w:sz w:val="14"/>
                <w:szCs w:val="14"/>
                <w:lang w:eastAsia="tr-TR"/>
              </w:rPr>
            </w:pPr>
            <w:r w:rsidRPr="00005453">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hideMark/>
          </w:tcPr>
          <w:p w14:paraId="761408A3"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99C42C2" w14:textId="58DEA0BC" w:rsidR="00E97A93" w:rsidRPr="00005453" w:rsidRDefault="00E97A93" w:rsidP="00E97A93">
            <w:pPr>
              <w:jc w:val="right"/>
              <w:rPr>
                <w:sz w:val="14"/>
                <w:szCs w:val="14"/>
              </w:rPr>
            </w:pPr>
            <w:r w:rsidRPr="00005453">
              <w:rPr>
                <w:sz w:val="14"/>
                <w:szCs w:val="18"/>
              </w:rPr>
              <w:t>522,743</w:t>
            </w:r>
          </w:p>
        </w:tc>
        <w:tc>
          <w:tcPr>
            <w:tcW w:w="863" w:type="dxa"/>
            <w:tcBorders>
              <w:top w:val="nil"/>
              <w:left w:val="single" w:sz="4" w:space="0" w:color="auto"/>
              <w:bottom w:val="nil"/>
              <w:right w:val="single" w:sz="4" w:space="0" w:color="auto"/>
            </w:tcBorders>
            <w:shd w:val="clear" w:color="auto" w:fill="auto"/>
            <w:vAlign w:val="center"/>
            <w:hideMark/>
          </w:tcPr>
          <w:p w14:paraId="7AB9FBE4" w14:textId="14894A37"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4C015DED" w14:textId="4045F1A8" w:rsidR="00E97A93" w:rsidRPr="00005453" w:rsidRDefault="00E97A93" w:rsidP="00E97A93">
            <w:pPr>
              <w:jc w:val="right"/>
              <w:rPr>
                <w:sz w:val="14"/>
                <w:szCs w:val="14"/>
              </w:rPr>
            </w:pPr>
            <w:r w:rsidRPr="00005453">
              <w:rPr>
                <w:sz w:val="14"/>
                <w:szCs w:val="18"/>
              </w:rPr>
              <w:t>522,743</w:t>
            </w:r>
          </w:p>
        </w:tc>
        <w:tc>
          <w:tcPr>
            <w:tcW w:w="902" w:type="dxa"/>
            <w:tcBorders>
              <w:top w:val="nil"/>
              <w:left w:val="single" w:sz="4" w:space="0" w:color="auto"/>
              <w:bottom w:val="nil"/>
              <w:right w:val="single" w:sz="4" w:space="0" w:color="auto"/>
            </w:tcBorders>
            <w:shd w:val="clear" w:color="auto" w:fill="auto"/>
            <w:vAlign w:val="center"/>
            <w:hideMark/>
          </w:tcPr>
          <w:p w14:paraId="6B7D2FED" w14:textId="131DB4BF" w:rsidR="00E97A93" w:rsidRPr="00005453" w:rsidRDefault="00E97A93" w:rsidP="00E97A93">
            <w:pPr>
              <w:jc w:val="right"/>
              <w:rPr>
                <w:sz w:val="14"/>
                <w:szCs w:val="14"/>
                <w:lang w:eastAsia="tr-TR"/>
              </w:rPr>
            </w:pPr>
            <w:r w:rsidRPr="00005453">
              <w:rPr>
                <w:sz w:val="14"/>
                <w:szCs w:val="14"/>
              </w:rPr>
              <w:t>428,585</w:t>
            </w:r>
          </w:p>
        </w:tc>
        <w:tc>
          <w:tcPr>
            <w:tcW w:w="912" w:type="dxa"/>
            <w:tcBorders>
              <w:top w:val="nil"/>
              <w:left w:val="single" w:sz="4" w:space="0" w:color="auto"/>
              <w:bottom w:val="nil"/>
              <w:right w:val="single" w:sz="4" w:space="0" w:color="auto"/>
            </w:tcBorders>
            <w:shd w:val="clear" w:color="auto" w:fill="auto"/>
            <w:vAlign w:val="center"/>
            <w:hideMark/>
          </w:tcPr>
          <w:p w14:paraId="3CA48757" w14:textId="57D24B1C"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EE8F258" w14:textId="261A5A61" w:rsidR="00E97A93" w:rsidRPr="00005453" w:rsidRDefault="00E97A93" w:rsidP="00E97A93">
            <w:pPr>
              <w:jc w:val="right"/>
              <w:rPr>
                <w:sz w:val="14"/>
                <w:szCs w:val="14"/>
                <w:lang w:eastAsia="tr-TR"/>
              </w:rPr>
            </w:pPr>
            <w:r w:rsidRPr="00005453">
              <w:rPr>
                <w:sz w:val="14"/>
                <w:szCs w:val="14"/>
              </w:rPr>
              <w:t>428,585</w:t>
            </w:r>
          </w:p>
        </w:tc>
      </w:tr>
      <w:tr w:rsidR="00E97A93" w:rsidRPr="00005453" w14:paraId="7CD9DBA3"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0A1D70B3" w14:textId="77777777" w:rsidR="00E97A93" w:rsidRPr="00005453" w:rsidRDefault="00E97A93" w:rsidP="00E97A93">
            <w:pPr>
              <w:rPr>
                <w:color w:val="000000"/>
                <w:sz w:val="14"/>
                <w:szCs w:val="14"/>
                <w:lang w:eastAsia="tr-TR"/>
              </w:rPr>
            </w:pPr>
            <w:r w:rsidRPr="00005453">
              <w:rPr>
                <w:color w:val="000000"/>
                <w:sz w:val="14"/>
                <w:szCs w:val="14"/>
                <w:lang w:eastAsia="tr-TR"/>
              </w:rPr>
              <w:t>3.2.</w:t>
            </w:r>
          </w:p>
        </w:tc>
        <w:tc>
          <w:tcPr>
            <w:tcW w:w="3046" w:type="dxa"/>
            <w:tcBorders>
              <w:top w:val="nil"/>
              <w:left w:val="single" w:sz="4" w:space="0" w:color="auto"/>
              <w:bottom w:val="nil"/>
              <w:right w:val="single" w:sz="4" w:space="0" w:color="auto"/>
            </w:tcBorders>
            <w:shd w:val="clear" w:color="auto" w:fill="auto"/>
            <w:noWrap/>
            <w:hideMark/>
          </w:tcPr>
          <w:p w14:paraId="26793E5F" w14:textId="77777777" w:rsidR="00E97A93" w:rsidRPr="00005453" w:rsidRDefault="00E97A93" w:rsidP="00E97A93">
            <w:pPr>
              <w:rPr>
                <w:color w:val="000000"/>
                <w:sz w:val="14"/>
                <w:szCs w:val="14"/>
                <w:lang w:eastAsia="tr-TR"/>
              </w:rPr>
            </w:pPr>
            <w:r w:rsidRPr="00005453">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hideMark/>
          </w:tcPr>
          <w:p w14:paraId="145A96F5"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25E03AD" w14:textId="064F1CF6"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1BBFF96A" w14:textId="19A7A181"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2ED00AD6" w14:textId="3B983597"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7E3C7779" w14:textId="079E4B8C" w:rsidR="00E97A93" w:rsidRPr="00005453" w:rsidRDefault="00E97A93" w:rsidP="00E97A93">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70C064F3" w14:textId="454D3CD8"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FEDB232" w14:textId="62AC690B" w:rsidR="00E97A93" w:rsidRPr="00005453" w:rsidRDefault="00E97A93" w:rsidP="00E97A93">
            <w:pPr>
              <w:jc w:val="right"/>
              <w:rPr>
                <w:sz w:val="14"/>
                <w:szCs w:val="14"/>
                <w:lang w:eastAsia="tr-TR"/>
              </w:rPr>
            </w:pPr>
            <w:r w:rsidRPr="00005453">
              <w:rPr>
                <w:sz w:val="14"/>
                <w:szCs w:val="14"/>
              </w:rPr>
              <w:t>-</w:t>
            </w:r>
          </w:p>
        </w:tc>
      </w:tr>
      <w:tr w:rsidR="00E97A93" w:rsidRPr="00005453" w14:paraId="3397B8A5"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4CCBF440"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IV.</w:t>
            </w:r>
          </w:p>
        </w:tc>
        <w:tc>
          <w:tcPr>
            <w:tcW w:w="3046" w:type="dxa"/>
            <w:tcBorders>
              <w:top w:val="nil"/>
              <w:left w:val="single" w:sz="4" w:space="0" w:color="auto"/>
              <w:bottom w:val="nil"/>
              <w:right w:val="single" w:sz="4" w:space="0" w:color="auto"/>
            </w:tcBorders>
            <w:shd w:val="clear" w:color="auto" w:fill="auto"/>
            <w:hideMark/>
          </w:tcPr>
          <w:p w14:paraId="476614CA"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hideMark/>
          </w:tcPr>
          <w:p w14:paraId="3238658C" w14:textId="77777777" w:rsidR="00E97A93" w:rsidRPr="00005453" w:rsidRDefault="00E97A93" w:rsidP="00E97A93">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89C6F5F" w14:textId="6E313FB3" w:rsidR="00E97A93" w:rsidRPr="00005453" w:rsidRDefault="00E97A93" w:rsidP="00E97A93">
            <w:pPr>
              <w:jc w:val="right"/>
              <w:rPr>
                <w:b/>
                <w:bCs/>
                <w:sz w:val="14"/>
                <w:szCs w:val="14"/>
              </w:rPr>
            </w:pPr>
            <w:r w:rsidRPr="00005453">
              <w:rPr>
                <w:b/>
                <w:bCs/>
                <w:sz w:val="14"/>
                <w:szCs w:val="18"/>
              </w:rPr>
              <w:t>4,142,212</w:t>
            </w:r>
          </w:p>
        </w:tc>
        <w:tc>
          <w:tcPr>
            <w:tcW w:w="863" w:type="dxa"/>
            <w:tcBorders>
              <w:top w:val="nil"/>
              <w:left w:val="single" w:sz="4" w:space="0" w:color="auto"/>
              <w:bottom w:val="nil"/>
              <w:right w:val="single" w:sz="4" w:space="0" w:color="auto"/>
            </w:tcBorders>
            <w:shd w:val="clear" w:color="auto" w:fill="auto"/>
            <w:vAlign w:val="center"/>
            <w:hideMark/>
          </w:tcPr>
          <w:p w14:paraId="64695C3D" w14:textId="3EB1795C"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39046A00" w14:textId="6DC89DD7" w:rsidR="00E97A93" w:rsidRPr="00005453" w:rsidRDefault="00E97A93" w:rsidP="00E97A93">
            <w:pPr>
              <w:jc w:val="right"/>
              <w:rPr>
                <w:b/>
                <w:bCs/>
                <w:sz w:val="14"/>
                <w:szCs w:val="14"/>
              </w:rPr>
            </w:pPr>
            <w:r w:rsidRPr="00005453">
              <w:rPr>
                <w:b/>
                <w:bCs/>
                <w:sz w:val="14"/>
                <w:szCs w:val="18"/>
              </w:rPr>
              <w:t>4,142,212</w:t>
            </w:r>
          </w:p>
        </w:tc>
        <w:tc>
          <w:tcPr>
            <w:tcW w:w="902" w:type="dxa"/>
            <w:tcBorders>
              <w:top w:val="nil"/>
              <w:left w:val="single" w:sz="4" w:space="0" w:color="auto"/>
              <w:bottom w:val="nil"/>
              <w:right w:val="single" w:sz="4" w:space="0" w:color="auto"/>
            </w:tcBorders>
            <w:shd w:val="clear" w:color="auto" w:fill="auto"/>
            <w:vAlign w:val="center"/>
            <w:hideMark/>
          </w:tcPr>
          <w:p w14:paraId="796353AB" w14:textId="33255546" w:rsidR="00E97A93" w:rsidRPr="00005453" w:rsidRDefault="00E97A93" w:rsidP="00E97A93">
            <w:pPr>
              <w:jc w:val="right"/>
              <w:rPr>
                <w:b/>
                <w:bCs/>
                <w:sz w:val="14"/>
                <w:szCs w:val="14"/>
                <w:lang w:eastAsia="tr-TR"/>
              </w:rPr>
            </w:pPr>
            <w:r w:rsidRPr="00005453">
              <w:rPr>
                <w:b/>
                <w:bCs/>
                <w:sz w:val="14"/>
                <w:szCs w:val="14"/>
              </w:rPr>
              <w:t>3,212,925</w:t>
            </w:r>
          </w:p>
        </w:tc>
        <w:tc>
          <w:tcPr>
            <w:tcW w:w="912" w:type="dxa"/>
            <w:tcBorders>
              <w:top w:val="nil"/>
              <w:left w:val="single" w:sz="4" w:space="0" w:color="auto"/>
              <w:bottom w:val="nil"/>
              <w:right w:val="single" w:sz="4" w:space="0" w:color="auto"/>
            </w:tcBorders>
            <w:shd w:val="clear" w:color="auto" w:fill="auto"/>
            <w:vAlign w:val="center"/>
            <w:hideMark/>
          </w:tcPr>
          <w:p w14:paraId="728DC6DF" w14:textId="0A6A5950"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4134DAD" w14:textId="37B8B66C" w:rsidR="00E97A93" w:rsidRPr="00005453" w:rsidRDefault="00E97A93" w:rsidP="00E97A93">
            <w:pPr>
              <w:jc w:val="right"/>
              <w:rPr>
                <w:b/>
                <w:bCs/>
                <w:sz w:val="14"/>
                <w:szCs w:val="14"/>
                <w:lang w:eastAsia="tr-TR"/>
              </w:rPr>
            </w:pPr>
            <w:r w:rsidRPr="00005453">
              <w:rPr>
                <w:b/>
                <w:bCs/>
                <w:sz w:val="14"/>
                <w:szCs w:val="14"/>
              </w:rPr>
              <w:t>3,212,925</w:t>
            </w:r>
          </w:p>
        </w:tc>
      </w:tr>
      <w:tr w:rsidR="00E97A93" w:rsidRPr="00005453" w14:paraId="14E08E6E"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5E9360C4"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4.1.</w:t>
            </w:r>
          </w:p>
        </w:tc>
        <w:tc>
          <w:tcPr>
            <w:tcW w:w="3046" w:type="dxa"/>
            <w:tcBorders>
              <w:top w:val="nil"/>
              <w:left w:val="single" w:sz="4" w:space="0" w:color="auto"/>
              <w:bottom w:val="nil"/>
              <w:right w:val="single" w:sz="4" w:space="0" w:color="auto"/>
            </w:tcBorders>
            <w:shd w:val="clear" w:color="auto" w:fill="auto"/>
            <w:noWrap/>
            <w:hideMark/>
          </w:tcPr>
          <w:p w14:paraId="56F41C57"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hideMark/>
          </w:tcPr>
          <w:p w14:paraId="6DF006FA"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(5.1.7.)</w:t>
            </w:r>
          </w:p>
        </w:tc>
        <w:tc>
          <w:tcPr>
            <w:tcW w:w="864" w:type="dxa"/>
            <w:tcBorders>
              <w:top w:val="nil"/>
              <w:left w:val="single" w:sz="4" w:space="0" w:color="auto"/>
              <w:bottom w:val="nil"/>
              <w:right w:val="single" w:sz="4" w:space="0" w:color="auto"/>
            </w:tcBorders>
            <w:shd w:val="clear" w:color="auto" w:fill="auto"/>
            <w:vAlign w:val="center"/>
            <w:hideMark/>
          </w:tcPr>
          <w:p w14:paraId="2C4888B4" w14:textId="1D62BD93" w:rsidR="00E97A93" w:rsidRPr="00005453" w:rsidRDefault="00E97A93" w:rsidP="00E97A93">
            <w:pPr>
              <w:jc w:val="right"/>
              <w:rPr>
                <w:b/>
                <w:bCs/>
                <w:sz w:val="14"/>
                <w:szCs w:val="14"/>
              </w:rPr>
            </w:pPr>
            <w:r w:rsidRPr="00005453">
              <w:rPr>
                <w:b/>
                <w:bCs/>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75B119CF" w14:textId="1E03AC09"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263811C9" w14:textId="22B2B8FD" w:rsidR="00E97A93" w:rsidRPr="00005453" w:rsidRDefault="00E97A93" w:rsidP="00E97A93">
            <w:pPr>
              <w:jc w:val="right"/>
              <w:rPr>
                <w:b/>
                <w:bCs/>
                <w:sz w:val="14"/>
                <w:szCs w:val="14"/>
              </w:rPr>
            </w:pPr>
            <w:r w:rsidRPr="00005453">
              <w:rPr>
                <w:b/>
                <w:bCs/>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500F21F6" w14:textId="2CC410A9" w:rsidR="00E97A93" w:rsidRPr="00005453" w:rsidRDefault="00E97A93" w:rsidP="00E97A93">
            <w:pPr>
              <w:jc w:val="right"/>
              <w:rPr>
                <w:b/>
                <w:bCs/>
                <w:sz w:val="14"/>
                <w:szCs w:val="14"/>
                <w:lang w:eastAsia="tr-TR"/>
              </w:rPr>
            </w:pPr>
            <w:r w:rsidRPr="00005453">
              <w:rPr>
                <w:b/>
                <w:bCs/>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6F96C151" w14:textId="77D8BEAC"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583304C" w14:textId="19EEC3DC" w:rsidR="00E97A93" w:rsidRPr="00005453" w:rsidRDefault="00E97A93" w:rsidP="00E97A93">
            <w:pPr>
              <w:jc w:val="right"/>
              <w:rPr>
                <w:b/>
                <w:bCs/>
                <w:sz w:val="14"/>
                <w:szCs w:val="14"/>
                <w:lang w:eastAsia="tr-TR"/>
              </w:rPr>
            </w:pPr>
            <w:r w:rsidRPr="00005453">
              <w:rPr>
                <w:b/>
                <w:bCs/>
                <w:sz w:val="14"/>
                <w:szCs w:val="14"/>
              </w:rPr>
              <w:t>-</w:t>
            </w:r>
          </w:p>
        </w:tc>
      </w:tr>
      <w:tr w:rsidR="00E97A93" w:rsidRPr="00005453" w14:paraId="73D627C5"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05C4DBFE" w14:textId="77777777" w:rsidR="00E97A93" w:rsidRPr="00005453" w:rsidRDefault="00E97A93" w:rsidP="00E97A93">
            <w:pPr>
              <w:rPr>
                <w:color w:val="000000"/>
                <w:sz w:val="14"/>
                <w:szCs w:val="14"/>
                <w:lang w:eastAsia="tr-TR"/>
              </w:rPr>
            </w:pPr>
            <w:r w:rsidRPr="00005453">
              <w:rPr>
                <w:color w:val="000000"/>
                <w:sz w:val="14"/>
                <w:szCs w:val="14"/>
                <w:lang w:eastAsia="tr-TR"/>
              </w:rPr>
              <w:t>4.1.1.</w:t>
            </w:r>
          </w:p>
        </w:tc>
        <w:tc>
          <w:tcPr>
            <w:tcW w:w="3046" w:type="dxa"/>
            <w:tcBorders>
              <w:top w:val="nil"/>
              <w:left w:val="single" w:sz="4" w:space="0" w:color="auto"/>
              <w:bottom w:val="nil"/>
              <w:right w:val="single" w:sz="4" w:space="0" w:color="auto"/>
            </w:tcBorders>
            <w:shd w:val="clear" w:color="auto" w:fill="auto"/>
            <w:noWrap/>
            <w:hideMark/>
          </w:tcPr>
          <w:p w14:paraId="6C38646E" w14:textId="77777777" w:rsidR="00E97A93" w:rsidRPr="00005453" w:rsidRDefault="00E97A93" w:rsidP="00E97A93">
            <w:pPr>
              <w:rPr>
                <w:color w:val="000000"/>
                <w:sz w:val="14"/>
                <w:szCs w:val="14"/>
                <w:lang w:eastAsia="tr-TR"/>
              </w:rPr>
            </w:pPr>
            <w:r w:rsidRPr="00005453">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4A71C2E7"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94EE3F9" w14:textId="79F6D19D"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328C88F2" w14:textId="4CB8A2B3"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546E7C50" w14:textId="496B44E5"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2DA3DF15" w14:textId="618BF456" w:rsidR="00E97A93" w:rsidRPr="00005453" w:rsidRDefault="00E97A93" w:rsidP="00E97A93">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02B1F031" w14:textId="3F554812"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7F5826D1" w14:textId="2816AE5C" w:rsidR="00E97A93" w:rsidRPr="00005453" w:rsidRDefault="00E97A93" w:rsidP="00E97A93">
            <w:pPr>
              <w:jc w:val="right"/>
              <w:rPr>
                <w:sz w:val="14"/>
                <w:szCs w:val="14"/>
                <w:lang w:eastAsia="tr-TR"/>
              </w:rPr>
            </w:pPr>
            <w:r w:rsidRPr="00005453">
              <w:rPr>
                <w:sz w:val="14"/>
                <w:szCs w:val="14"/>
              </w:rPr>
              <w:t>-</w:t>
            </w:r>
          </w:p>
        </w:tc>
      </w:tr>
      <w:tr w:rsidR="00E97A93" w:rsidRPr="00005453" w14:paraId="10810DBC"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79C0AD78" w14:textId="77777777" w:rsidR="00E97A93" w:rsidRPr="00005453" w:rsidRDefault="00E97A93" w:rsidP="00E97A93">
            <w:pPr>
              <w:rPr>
                <w:color w:val="000000"/>
                <w:sz w:val="14"/>
                <w:szCs w:val="14"/>
                <w:lang w:eastAsia="tr-TR"/>
              </w:rPr>
            </w:pPr>
            <w:r w:rsidRPr="00005453">
              <w:rPr>
                <w:color w:val="000000"/>
                <w:sz w:val="14"/>
                <w:szCs w:val="14"/>
                <w:lang w:eastAsia="tr-TR"/>
              </w:rPr>
              <w:t>4.1.2.</w:t>
            </w:r>
          </w:p>
        </w:tc>
        <w:tc>
          <w:tcPr>
            <w:tcW w:w="3046" w:type="dxa"/>
            <w:tcBorders>
              <w:top w:val="nil"/>
              <w:left w:val="single" w:sz="4" w:space="0" w:color="auto"/>
              <w:bottom w:val="nil"/>
              <w:right w:val="single" w:sz="4" w:space="0" w:color="auto"/>
            </w:tcBorders>
            <w:shd w:val="clear" w:color="auto" w:fill="auto"/>
            <w:noWrap/>
            <w:hideMark/>
          </w:tcPr>
          <w:p w14:paraId="6FCBCD00" w14:textId="77777777" w:rsidR="00E97A93" w:rsidRPr="00005453" w:rsidRDefault="00E97A93" w:rsidP="00E97A93">
            <w:pPr>
              <w:rPr>
                <w:color w:val="000000"/>
                <w:sz w:val="14"/>
                <w:szCs w:val="14"/>
                <w:lang w:eastAsia="tr-TR"/>
              </w:rPr>
            </w:pPr>
            <w:r w:rsidRPr="00005453">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7884754E"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C95185E" w14:textId="0D556F36"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4ED47855" w14:textId="65A75ACB"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481938D5" w14:textId="6A38E3EE"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0AA6290F" w14:textId="6DD9A372" w:rsidR="00E97A93" w:rsidRPr="00005453" w:rsidRDefault="00E97A93" w:rsidP="00E97A93">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2381EA96" w14:textId="75BBA2E7"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A113091" w14:textId="5F87C88F" w:rsidR="00E97A93" w:rsidRPr="00005453" w:rsidRDefault="00E97A93" w:rsidP="00E97A93">
            <w:pPr>
              <w:jc w:val="right"/>
              <w:rPr>
                <w:sz w:val="14"/>
                <w:szCs w:val="14"/>
                <w:lang w:eastAsia="tr-TR"/>
              </w:rPr>
            </w:pPr>
            <w:r w:rsidRPr="00005453">
              <w:rPr>
                <w:sz w:val="14"/>
                <w:szCs w:val="14"/>
              </w:rPr>
              <w:t>-</w:t>
            </w:r>
          </w:p>
        </w:tc>
      </w:tr>
      <w:tr w:rsidR="00E97A93" w:rsidRPr="00005453" w14:paraId="3C5E37DE"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41F89DB8"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4.2.</w:t>
            </w:r>
          </w:p>
        </w:tc>
        <w:tc>
          <w:tcPr>
            <w:tcW w:w="3046" w:type="dxa"/>
            <w:tcBorders>
              <w:top w:val="nil"/>
              <w:left w:val="single" w:sz="4" w:space="0" w:color="auto"/>
              <w:bottom w:val="nil"/>
              <w:right w:val="single" w:sz="4" w:space="0" w:color="auto"/>
            </w:tcBorders>
            <w:shd w:val="clear" w:color="auto" w:fill="auto"/>
            <w:hideMark/>
          </w:tcPr>
          <w:p w14:paraId="79C76D10"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hideMark/>
          </w:tcPr>
          <w:p w14:paraId="72AFFB1E"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(5.1.8.)</w:t>
            </w:r>
          </w:p>
        </w:tc>
        <w:tc>
          <w:tcPr>
            <w:tcW w:w="864" w:type="dxa"/>
            <w:tcBorders>
              <w:top w:val="nil"/>
              <w:left w:val="single" w:sz="4" w:space="0" w:color="auto"/>
              <w:bottom w:val="nil"/>
              <w:right w:val="single" w:sz="4" w:space="0" w:color="auto"/>
            </w:tcBorders>
            <w:shd w:val="clear" w:color="auto" w:fill="auto"/>
            <w:vAlign w:val="center"/>
            <w:hideMark/>
          </w:tcPr>
          <w:p w14:paraId="644194EC" w14:textId="744F1699" w:rsidR="00E97A93" w:rsidRPr="00005453" w:rsidRDefault="00E97A93" w:rsidP="00E97A93">
            <w:pPr>
              <w:jc w:val="right"/>
              <w:rPr>
                <w:b/>
                <w:bCs/>
                <w:sz w:val="14"/>
                <w:szCs w:val="14"/>
              </w:rPr>
            </w:pPr>
            <w:r w:rsidRPr="00005453">
              <w:rPr>
                <w:b/>
                <w:bCs/>
                <w:sz w:val="14"/>
                <w:szCs w:val="18"/>
              </w:rPr>
              <w:t>4,122,212</w:t>
            </w:r>
          </w:p>
        </w:tc>
        <w:tc>
          <w:tcPr>
            <w:tcW w:w="863" w:type="dxa"/>
            <w:tcBorders>
              <w:top w:val="nil"/>
              <w:left w:val="single" w:sz="4" w:space="0" w:color="auto"/>
              <w:bottom w:val="nil"/>
              <w:right w:val="single" w:sz="4" w:space="0" w:color="auto"/>
            </w:tcBorders>
            <w:shd w:val="clear" w:color="auto" w:fill="auto"/>
            <w:vAlign w:val="center"/>
            <w:hideMark/>
          </w:tcPr>
          <w:p w14:paraId="42FB18A5" w14:textId="67EDDB88"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35ED55E6" w14:textId="00ADA9CB" w:rsidR="00E97A93" w:rsidRPr="00005453" w:rsidRDefault="00E97A93" w:rsidP="00E97A93">
            <w:pPr>
              <w:jc w:val="right"/>
              <w:rPr>
                <w:b/>
                <w:bCs/>
                <w:sz w:val="14"/>
                <w:szCs w:val="14"/>
              </w:rPr>
            </w:pPr>
            <w:r w:rsidRPr="00005453">
              <w:rPr>
                <w:b/>
                <w:bCs/>
                <w:sz w:val="14"/>
                <w:szCs w:val="18"/>
              </w:rPr>
              <w:t>4,122,212</w:t>
            </w:r>
          </w:p>
        </w:tc>
        <w:tc>
          <w:tcPr>
            <w:tcW w:w="902" w:type="dxa"/>
            <w:tcBorders>
              <w:top w:val="nil"/>
              <w:left w:val="single" w:sz="4" w:space="0" w:color="auto"/>
              <w:bottom w:val="nil"/>
              <w:right w:val="single" w:sz="4" w:space="0" w:color="auto"/>
            </w:tcBorders>
            <w:shd w:val="clear" w:color="auto" w:fill="auto"/>
            <w:vAlign w:val="center"/>
            <w:hideMark/>
          </w:tcPr>
          <w:p w14:paraId="6D0517DE" w14:textId="0860E80C" w:rsidR="00E97A93" w:rsidRPr="00005453" w:rsidRDefault="00E97A93" w:rsidP="00E97A93">
            <w:pPr>
              <w:jc w:val="right"/>
              <w:rPr>
                <w:b/>
                <w:bCs/>
                <w:sz w:val="14"/>
                <w:szCs w:val="14"/>
                <w:lang w:eastAsia="tr-TR"/>
              </w:rPr>
            </w:pPr>
            <w:r w:rsidRPr="00005453">
              <w:rPr>
                <w:b/>
                <w:bCs/>
                <w:sz w:val="14"/>
                <w:szCs w:val="14"/>
              </w:rPr>
              <w:t>3,192,925</w:t>
            </w:r>
          </w:p>
        </w:tc>
        <w:tc>
          <w:tcPr>
            <w:tcW w:w="912" w:type="dxa"/>
            <w:tcBorders>
              <w:top w:val="nil"/>
              <w:left w:val="single" w:sz="4" w:space="0" w:color="auto"/>
              <w:bottom w:val="nil"/>
              <w:right w:val="single" w:sz="4" w:space="0" w:color="auto"/>
            </w:tcBorders>
            <w:shd w:val="clear" w:color="auto" w:fill="auto"/>
            <w:vAlign w:val="center"/>
            <w:hideMark/>
          </w:tcPr>
          <w:p w14:paraId="77718C24" w14:textId="4C27FFBE"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5A1A41E1" w14:textId="313A579C" w:rsidR="00E97A93" w:rsidRPr="00005453" w:rsidRDefault="00E97A93" w:rsidP="00E97A93">
            <w:pPr>
              <w:jc w:val="right"/>
              <w:rPr>
                <w:b/>
                <w:bCs/>
                <w:sz w:val="14"/>
                <w:szCs w:val="14"/>
                <w:lang w:eastAsia="tr-TR"/>
              </w:rPr>
            </w:pPr>
            <w:r w:rsidRPr="00005453">
              <w:rPr>
                <w:b/>
                <w:bCs/>
                <w:sz w:val="14"/>
                <w:szCs w:val="14"/>
              </w:rPr>
              <w:t>3,192,925</w:t>
            </w:r>
          </w:p>
        </w:tc>
      </w:tr>
      <w:tr w:rsidR="00E97A93" w:rsidRPr="00005453" w14:paraId="6F76253B"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05922568" w14:textId="77777777" w:rsidR="00E97A93" w:rsidRPr="00005453" w:rsidRDefault="00E97A93" w:rsidP="00E97A93">
            <w:pPr>
              <w:rPr>
                <w:color w:val="000000"/>
                <w:sz w:val="14"/>
                <w:szCs w:val="14"/>
                <w:lang w:eastAsia="tr-TR"/>
              </w:rPr>
            </w:pPr>
            <w:r w:rsidRPr="00005453">
              <w:rPr>
                <w:color w:val="000000"/>
                <w:sz w:val="14"/>
                <w:szCs w:val="14"/>
                <w:lang w:eastAsia="tr-TR"/>
              </w:rPr>
              <w:t>4.2.1.</w:t>
            </w:r>
          </w:p>
        </w:tc>
        <w:tc>
          <w:tcPr>
            <w:tcW w:w="3046" w:type="dxa"/>
            <w:tcBorders>
              <w:top w:val="nil"/>
              <w:left w:val="single" w:sz="4" w:space="0" w:color="auto"/>
              <w:bottom w:val="nil"/>
              <w:right w:val="single" w:sz="4" w:space="0" w:color="auto"/>
            </w:tcBorders>
            <w:shd w:val="clear" w:color="auto" w:fill="auto"/>
            <w:noWrap/>
            <w:hideMark/>
          </w:tcPr>
          <w:p w14:paraId="52B1AD85" w14:textId="77777777" w:rsidR="00E97A93" w:rsidRPr="00005453" w:rsidRDefault="00E97A93" w:rsidP="00E97A93">
            <w:pPr>
              <w:rPr>
                <w:color w:val="000000"/>
                <w:sz w:val="14"/>
                <w:szCs w:val="14"/>
                <w:lang w:eastAsia="tr-TR"/>
              </w:rPr>
            </w:pPr>
            <w:r w:rsidRPr="00005453">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hideMark/>
          </w:tcPr>
          <w:p w14:paraId="055A9DA3"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05E3349" w14:textId="340B40CE" w:rsidR="00E97A93" w:rsidRPr="00005453" w:rsidRDefault="00E97A93" w:rsidP="00E97A93">
            <w:pPr>
              <w:jc w:val="right"/>
              <w:rPr>
                <w:sz w:val="14"/>
                <w:szCs w:val="14"/>
              </w:rPr>
            </w:pPr>
            <w:r w:rsidRPr="00005453">
              <w:rPr>
                <w:sz w:val="14"/>
                <w:szCs w:val="18"/>
              </w:rPr>
              <w:t>3,998,532</w:t>
            </w:r>
          </w:p>
        </w:tc>
        <w:tc>
          <w:tcPr>
            <w:tcW w:w="863" w:type="dxa"/>
            <w:tcBorders>
              <w:top w:val="nil"/>
              <w:left w:val="single" w:sz="4" w:space="0" w:color="auto"/>
              <w:bottom w:val="nil"/>
              <w:right w:val="single" w:sz="4" w:space="0" w:color="auto"/>
            </w:tcBorders>
            <w:shd w:val="clear" w:color="auto" w:fill="auto"/>
            <w:vAlign w:val="center"/>
            <w:hideMark/>
          </w:tcPr>
          <w:p w14:paraId="38E22C6B" w14:textId="6207CB1C"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57CEE7DA" w14:textId="27C01FBF" w:rsidR="00E97A93" w:rsidRPr="00005453" w:rsidRDefault="00E97A93" w:rsidP="00E97A93">
            <w:pPr>
              <w:jc w:val="right"/>
              <w:rPr>
                <w:sz w:val="14"/>
                <w:szCs w:val="14"/>
              </w:rPr>
            </w:pPr>
            <w:r w:rsidRPr="00005453">
              <w:rPr>
                <w:sz w:val="14"/>
                <w:szCs w:val="18"/>
              </w:rPr>
              <w:t>3,998,532</w:t>
            </w:r>
          </w:p>
        </w:tc>
        <w:tc>
          <w:tcPr>
            <w:tcW w:w="902" w:type="dxa"/>
            <w:tcBorders>
              <w:top w:val="nil"/>
              <w:left w:val="single" w:sz="4" w:space="0" w:color="auto"/>
              <w:bottom w:val="nil"/>
              <w:right w:val="single" w:sz="4" w:space="0" w:color="auto"/>
            </w:tcBorders>
            <w:shd w:val="clear" w:color="auto" w:fill="auto"/>
            <w:vAlign w:val="center"/>
            <w:hideMark/>
          </w:tcPr>
          <w:p w14:paraId="37A17C66" w14:textId="798D18A8" w:rsidR="00E97A93" w:rsidRPr="00005453" w:rsidRDefault="00E97A93" w:rsidP="00E97A93">
            <w:pPr>
              <w:jc w:val="right"/>
              <w:rPr>
                <w:sz w:val="14"/>
                <w:szCs w:val="14"/>
                <w:lang w:eastAsia="tr-TR"/>
              </w:rPr>
            </w:pPr>
            <w:r w:rsidRPr="00005453">
              <w:rPr>
                <w:sz w:val="14"/>
                <w:szCs w:val="14"/>
              </w:rPr>
              <w:t>3,069,245</w:t>
            </w:r>
          </w:p>
        </w:tc>
        <w:tc>
          <w:tcPr>
            <w:tcW w:w="912" w:type="dxa"/>
            <w:tcBorders>
              <w:top w:val="nil"/>
              <w:left w:val="single" w:sz="4" w:space="0" w:color="auto"/>
              <w:bottom w:val="nil"/>
              <w:right w:val="single" w:sz="4" w:space="0" w:color="auto"/>
            </w:tcBorders>
            <w:shd w:val="clear" w:color="auto" w:fill="auto"/>
            <w:vAlign w:val="center"/>
            <w:hideMark/>
          </w:tcPr>
          <w:p w14:paraId="492E259A" w14:textId="23111857"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A6568E7" w14:textId="59FC5A5A" w:rsidR="00E97A93" w:rsidRPr="00005453" w:rsidRDefault="00E97A93" w:rsidP="00E97A93">
            <w:pPr>
              <w:jc w:val="right"/>
              <w:rPr>
                <w:sz w:val="14"/>
                <w:szCs w:val="14"/>
                <w:lang w:eastAsia="tr-TR"/>
              </w:rPr>
            </w:pPr>
            <w:r w:rsidRPr="00005453">
              <w:rPr>
                <w:sz w:val="14"/>
                <w:szCs w:val="14"/>
              </w:rPr>
              <w:t>3,069,245</w:t>
            </w:r>
          </w:p>
        </w:tc>
      </w:tr>
      <w:tr w:rsidR="00E97A93" w:rsidRPr="00005453" w14:paraId="6F3DC623"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227F34EF" w14:textId="77777777" w:rsidR="00E97A93" w:rsidRPr="00005453" w:rsidRDefault="00E97A93" w:rsidP="00E97A93">
            <w:pPr>
              <w:rPr>
                <w:color w:val="000000"/>
                <w:sz w:val="14"/>
                <w:szCs w:val="14"/>
                <w:lang w:eastAsia="tr-TR"/>
              </w:rPr>
            </w:pPr>
            <w:r w:rsidRPr="00005453">
              <w:rPr>
                <w:color w:val="000000"/>
                <w:sz w:val="14"/>
                <w:szCs w:val="14"/>
                <w:lang w:eastAsia="tr-TR"/>
              </w:rPr>
              <w:t>4.2.2.</w:t>
            </w:r>
          </w:p>
        </w:tc>
        <w:tc>
          <w:tcPr>
            <w:tcW w:w="3046" w:type="dxa"/>
            <w:tcBorders>
              <w:top w:val="nil"/>
              <w:left w:val="single" w:sz="4" w:space="0" w:color="auto"/>
              <w:bottom w:val="nil"/>
              <w:right w:val="single" w:sz="4" w:space="0" w:color="auto"/>
            </w:tcBorders>
            <w:shd w:val="clear" w:color="auto" w:fill="auto"/>
            <w:noWrap/>
            <w:hideMark/>
          </w:tcPr>
          <w:p w14:paraId="051E68E7" w14:textId="77777777" w:rsidR="00E97A93" w:rsidRPr="00005453" w:rsidRDefault="00E97A93" w:rsidP="00E97A93">
            <w:pPr>
              <w:rPr>
                <w:color w:val="000000"/>
                <w:sz w:val="14"/>
                <w:szCs w:val="14"/>
                <w:lang w:eastAsia="tr-TR"/>
              </w:rPr>
            </w:pPr>
            <w:r w:rsidRPr="00005453">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hideMark/>
          </w:tcPr>
          <w:p w14:paraId="7AAB229B"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25B9976" w14:textId="4AD2BD0A" w:rsidR="00E97A93" w:rsidRPr="00005453" w:rsidRDefault="00E97A93" w:rsidP="00E97A93">
            <w:pPr>
              <w:jc w:val="right"/>
              <w:rPr>
                <w:sz w:val="14"/>
                <w:szCs w:val="14"/>
              </w:rPr>
            </w:pPr>
            <w:r w:rsidRPr="00005453">
              <w:rPr>
                <w:sz w:val="14"/>
                <w:szCs w:val="18"/>
              </w:rPr>
              <w:t>123,680</w:t>
            </w:r>
          </w:p>
        </w:tc>
        <w:tc>
          <w:tcPr>
            <w:tcW w:w="863" w:type="dxa"/>
            <w:tcBorders>
              <w:top w:val="nil"/>
              <w:left w:val="single" w:sz="4" w:space="0" w:color="auto"/>
              <w:bottom w:val="nil"/>
              <w:right w:val="single" w:sz="4" w:space="0" w:color="auto"/>
            </w:tcBorders>
            <w:shd w:val="clear" w:color="auto" w:fill="auto"/>
            <w:vAlign w:val="center"/>
            <w:hideMark/>
          </w:tcPr>
          <w:p w14:paraId="5F1AEECD" w14:textId="6B1A1024"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27480B63" w14:textId="6E253E44" w:rsidR="00E97A93" w:rsidRPr="00005453" w:rsidRDefault="00E97A93" w:rsidP="00E97A93">
            <w:pPr>
              <w:jc w:val="right"/>
              <w:rPr>
                <w:sz w:val="14"/>
                <w:szCs w:val="14"/>
              </w:rPr>
            </w:pPr>
            <w:r w:rsidRPr="00005453">
              <w:rPr>
                <w:sz w:val="14"/>
                <w:szCs w:val="18"/>
              </w:rPr>
              <w:t>123,680</w:t>
            </w:r>
          </w:p>
        </w:tc>
        <w:tc>
          <w:tcPr>
            <w:tcW w:w="902" w:type="dxa"/>
            <w:tcBorders>
              <w:top w:val="nil"/>
              <w:left w:val="single" w:sz="4" w:space="0" w:color="auto"/>
              <w:bottom w:val="nil"/>
              <w:right w:val="single" w:sz="4" w:space="0" w:color="auto"/>
            </w:tcBorders>
            <w:shd w:val="clear" w:color="auto" w:fill="auto"/>
            <w:vAlign w:val="center"/>
            <w:hideMark/>
          </w:tcPr>
          <w:p w14:paraId="11E9916F" w14:textId="7B1BFE22" w:rsidR="00E97A93" w:rsidRPr="00005453" w:rsidRDefault="00E97A93" w:rsidP="00E97A93">
            <w:pPr>
              <w:jc w:val="right"/>
              <w:rPr>
                <w:sz w:val="14"/>
                <w:szCs w:val="14"/>
                <w:lang w:eastAsia="tr-TR"/>
              </w:rPr>
            </w:pPr>
            <w:r w:rsidRPr="00005453">
              <w:rPr>
                <w:sz w:val="14"/>
                <w:szCs w:val="14"/>
              </w:rPr>
              <w:t>123,680</w:t>
            </w:r>
          </w:p>
        </w:tc>
        <w:tc>
          <w:tcPr>
            <w:tcW w:w="912" w:type="dxa"/>
            <w:tcBorders>
              <w:top w:val="nil"/>
              <w:left w:val="single" w:sz="4" w:space="0" w:color="auto"/>
              <w:bottom w:val="nil"/>
              <w:right w:val="single" w:sz="4" w:space="0" w:color="auto"/>
            </w:tcBorders>
            <w:shd w:val="clear" w:color="auto" w:fill="auto"/>
            <w:vAlign w:val="center"/>
            <w:hideMark/>
          </w:tcPr>
          <w:p w14:paraId="487D1934" w14:textId="73D3F5C7"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23CBD7B" w14:textId="0CCA8506" w:rsidR="00E97A93" w:rsidRPr="00005453" w:rsidRDefault="00E97A93" w:rsidP="00E97A93">
            <w:pPr>
              <w:jc w:val="right"/>
              <w:rPr>
                <w:sz w:val="14"/>
                <w:szCs w:val="14"/>
                <w:lang w:eastAsia="tr-TR"/>
              </w:rPr>
            </w:pPr>
            <w:r w:rsidRPr="00005453">
              <w:rPr>
                <w:sz w:val="14"/>
                <w:szCs w:val="14"/>
              </w:rPr>
              <w:t>123,680</w:t>
            </w:r>
          </w:p>
        </w:tc>
      </w:tr>
      <w:tr w:rsidR="00E97A93" w:rsidRPr="00005453" w14:paraId="0922D22E" w14:textId="77777777" w:rsidTr="00A9473B">
        <w:trPr>
          <w:trHeight w:val="197"/>
        </w:trPr>
        <w:tc>
          <w:tcPr>
            <w:tcW w:w="455" w:type="dxa"/>
            <w:tcBorders>
              <w:top w:val="nil"/>
              <w:left w:val="single" w:sz="4" w:space="0" w:color="auto"/>
              <w:bottom w:val="nil"/>
              <w:right w:val="single" w:sz="4" w:space="0" w:color="auto"/>
            </w:tcBorders>
            <w:shd w:val="clear" w:color="auto" w:fill="auto"/>
            <w:noWrap/>
            <w:hideMark/>
          </w:tcPr>
          <w:p w14:paraId="2FE71E3C"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4.3.</w:t>
            </w:r>
          </w:p>
        </w:tc>
        <w:tc>
          <w:tcPr>
            <w:tcW w:w="3046" w:type="dxa"/>
            <w:tcBorders>
              <w:top w:val="nil"/>
              <w:left w:val="single" w:sz="4" w:space="0" w:color="auto"/>
              <w:bottom w:val="nil"/>
              <w:right w:val="single" w:sz="4" w:space="0" w:color="auto"/>
            </w:tcBorders>
            <w:shd w:val="clear" w:color="auto" w:fill="auto"/>
            <w:hideMark/>
          </w:tcPr>
          <w:p w14:paraId="507FB565"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4E5EB61D"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(5.1.9.)</w:t>
            </w:r>
          </w:p>
        </w:tc>
        <w:tc>
          <w:tcPr>
            <w:tcW w:w="864" w:type="dxa"/>
            <w:tcBorders>
              <w:top w:val="nil"/>
              <w:left w:val="single" w:sz="4" w:space="0" w:color="auto"/>
              <w:bottom w:val="nil"/>
              <w:right w:val="single" w:sz="4" w:space="0" w:color="auto"/>
            </w:tcBorders>
            <w:shd w:val="clear" w:color="auto" w:fill="auto"/>
            <w:vAlign w:val="center"/>
            <w:hideMark/>
          </w:tcPr>
          <w:p w14:paraId="227D48E2" w14:textId="1F161B96" w:rsidR="00E97A93" w:rsidRPr="00005453" w:rsidRDefault="00E97A93" w:rsidP="00E97A93">
            <w:pPr>
              <w:jc w:val="right"/>
              <w:rPr>
                <w:b/>
                <w:bCs/>
                <w:sz w:val="14"/>
                <w:szCs w:val="14"/>
              </w:rPr>
            </w:pPr>
            <w:r w:rsidRPr="00005453">
              <w:rPr>
                <w:b/>
                <w:bCs/>
                <w:sz w:val="14"/>
                <w:szCs w:val="18"/>
              </w:rPr>
              <w:t>20,000</w:t>
            </w:r>
          </w:p>
        </w:tc>
        <w:tc>
          <w:tcPr>
            <w:tcW w:w="863" w:type="dxa"/>
            <w:tcBorders>
              <w:top w:val="nil"/>
              <w:left w:val="single" w:sz="4" w:space="0" w:color="auto"/>
              <w:bottom w:val="nil"/>
              <w:right w:val="single" w:sz="4" w:space="0" w:color="auto"/>
            </w:tcBorders>
            <w:shd w:val="clear" w:color="auto" w:fill="auto"/>
            <w:vAlign w:val="center"/>
            <w:hideMark/>
          </w:tcPr>
          <w:p w14:paraId="3B61D17B" w14:textId="10D1922C"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32AE2B2F" w14:textId="29E03E4F" w:rsidR="00E97A93" w:rsidRPr="00005453" w:rsidRDefault="00E97A93" w:rsidP="00E97A93">
            <w:pPr>
              <w:jc w:val="right"/>
              <w:rPr>
                <w:b/>
                <w:bCs/>
                <w:sz w:val="14"/>
                <w:szCs w:val="14"/>
              </w:rPr>
            </w:pPr>
            <w:r w:rsidRPr="00005453">
              <w:rPr>
                <w:b/>
                <w:bCs/>
                <w:sz w:val="14"/>
                <w:szCs w:val="18"/>
              </w:rPr>
              <w:t>20,000</w:t>
            </w:r>
          </w:p>
        </w:tc>
        <w:tc>
          <w:tcPr>
            <w:tcW w:w="902" w:type="dxa"/>
            <w:tcBorders>
              <w:top w:val="nil"/>
              <w:left w:val="single" w:sz="4" w:space="0" w:color="auto"/>
              <w:bottom w:val="nil"/>
              <w:right w:val="single" w:sz="4" w:space="0" w:color="auto"/>
            </w:tcBorders>
            <w:shd w:val="clear" w:color="auto" w:fill="auto"/>
            <w:vAlign w:val="center"/>
            <w:hideMark/>
          </w:tcPr>
          <w:p w14:paraId="5EBB7932" w14:textId="417DF87C" w:rsidR="00E97A93" w:rsidRPr="00005453" w:rsidRDefault="00E97A93" w:rsidP="00E97A93">
            <w:pPr>
              <w:jc w:val="right"/>
              <w:rPr>
                <w:b/>
                <w:bCs/>
                <w:sz w:val="14"/>
                <w:szCs w:val="14"/>
                <w:lang w:eastAsia="tr-TR"/>
              </w:rPr>
            </w:pPr>
            <w:r w:rsidRPr="00005453">
              <w:rPr>
                <w:b/>
                <w:bCs/>
                <w:sz w:val="14"/>
                <w:szCs w:val="14"/>
              </w:rPr>
              <w:t>20,000</w:t>
            </w:r>
          </w:p>
        </w:tc>
        <w:tc>
          <w:tcPr>
            <w:tcW w:w="912" w:type="dxa"/>
            <w:tcBorders>
              <w:top w:val="nil"/>
              <w:left w:val="single" w:sz="4" w:space="0" w:color="auto"/>
              <w:bottom w:val="nil"/>
              <w:right w:val="single" w:sz="4" w:space="0" w:color="auto"/>
            </w:tcBorders>
            <w:shd w:val="clear" w:color="auto" w:fill="auto"/>
            <w:vAlign w:val="center"/>
            <w:hideMark/>
          </w:tcPr>
          <w:p w14:paraId="59256C2C" w14:textId="11837FF2"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BB3BB3D" w14:textId="570CDA70" w:rsidR="00E97A93" w:rsidRPr="00005453" w:rsidRDefault="00E97A93" w:rsidP="00E97A93">
            <w:pPr>
              <w:jc w:val="right"/>
              <w:rPr>
                <w:b/>
                <w:bCs/>
                <w:sz w:val="14"/>
                <w:szCs w:val="14"/>
                <w:lang w:eastAsia="tr-TR"/>
              </w:rPr>
            </w:pPr>
            <w:r w:rsidRPr="00005453">
              <w:rPr>
                <w:b/>
                <w:bCs/>
                <w:sz w:val="14"/>
                <w:szCs w:val="14"/>
              </w:rPr>
              <w:t>20,000</w:t>
            </w:r>
          </w:p>
        </w:tc>
      </w:tr>
      <w:tr w:rsidR="00E97A93" w:rsidRPr="00005453" w14:paraId="05ABDB93"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17E5D8F9" w14:textId="77777777" w:rsidR="00E97A93" w:rsidRPr="00005453" w:rsidRDefault="00E97A93" w:rsidP="00E97A93">
            <w:pPr>
              <w:rPr>
                <w:color w:val="000000"/>
                <w:sz w:val="14"/>
                <w:szCs w:val="14"/>
                <w:lang w:eastAsia="tr-TR"/>
              </w:rPr>
            </w:pPr>
            <w:r w:rsidRPr="00005453">
              <w:rPr>
                <w:color w:val="000000"/>
                <w:sz w:val="14"/>
                <w:szCs w:val="14"/>
                <w:lang w:eastAsia="tr-TR"/>
              </w:rPr>
              <w:t>4.3.1.</w:t>
            </w:r>
          </w:p>
        </w:tc>
        <w:tc>
          <w:tcPr>
            <w:tcW w:w="3046" w:type="dxa"/>
            <w:tcBorders>
              <w:top w:val="nil"/>
              <w:left w:val="single" w:sz="4" w:space="0" w:color="auto"/>
              <w:bottom w:val="nil"/>
              <w:right w:val="single" w:sz="4" w:space="0" w:color="auto"/>
            </w:tcBorders>
            <w:shd w:val="clear" w:color="auto" w:fill="auto"/>
            <w:noWrap/>
            <w:hideMark/>
          </w:tcPr>
          <w:p w14:paraId="67C18D04" w14:textId="77777777" w:rsidR="00E97A93" w:rsidRPr="00005453" w:rsidRDefault="00E97A93" w:rsidP="00E97A93">
            <w:pPr>
              <w:rPr>
                <w:color w:val="000000"/>
                <w:sz w:val="14"/>
                <w:szCs w:val="14"/>
                <w:lang w:eastAsia="tr-TR"/>
              </w:rPr>
            </w:pPr>
            <w:r w:rsidRPr="00005453">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074BB403"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E459D98" w14:textId="4A0DEBF9" w:rsidR="00E97A93" w:rsidRPr="00005453" w:rsidRDefault="00E97A93" w:rsidP="00E97A93">
            <w:pPr>
              <w:jc w:val="right"/>
              <w:rPr>
                <w:sz w:val="14"/>
                <w:szCs w:val="14"/>
              </w:rPr>
            </w:pPr>
            <w:r w:rsidRPr="00005453">
              <w:rPr>
                <w:sz w:val="14"/>
                <w:szCs w:val="18"/>
              </w:rPr>
              <w:t>20,000</w:t>
            </w:r>
          </w:p>
        </w:tc>
        <w:tc>
          <w:tcPr>
            <w:tcW w:w="863" w:type="dxa"/>
            <w:tcBorders>
              <w:top w:val="nil"/>
              <w:left w:val="single" w:sz="4" w:space="0" w:color="auto"/>
              <w:bottom w:val="nil"/>
              <w:right w:val="single" w:sz="4" w:space="0" w:color="auto"/>
            </w:tcBorders>
            <w:shd w:val="clear" w:color="auto" w:fill="auto"/>
            <w:vAlign w:val="center"/>
            <w:hideMark/>
          </w:tcPr>
          <w:p w14:paraId="4FBBCD80" w14:textId="30EB43E9"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72C775F2" w14:textId="25537D2A" w:rsidR="00E97A93" w:rsidRPr="00005453" w:rsidRDefault="00E97A93" w:rsidP="00E97A93">
            <w:pPr>
              <w:jc w:val="right"/>
              <w:rPr>
                <w:sz w:val="14"/>
                <w:szCs w:val="14"/>
              </w:rPr>
            </w:pPr>
            <w:r w:rsidRPr="00005453">
              <w:rPr>
                <w:sz w:val="14"/>
                <w:szCs w:val="18"/>
              </w:rPr>
              <w:t>20,000</w:t>
            </w:r>
          </w:p>
        </w:tc>
        <w:tc>
          <w:tcPr>
            <w:tcW w:w="902" w:type="dxa"/>
            <w:tcBorders>
              <w:top w:val="nil"/>
              <w:left w:val="single" w:sz="4" w:space="0" w:color="auto"/>
              <w:bottom w:val="nil"/>
              <w:right w:val="single" w:sz="4" w:space="0" w:color="auto"/>
            </w:tcBorders>
            <w:shd w:val="clear" w:color="auto" w:fill="auto"/>
            <w:vAlign w:val="center"/>
            <w:hideMark/>
          </w:tcPr>
          <w:p w14:paraId="6904CBEF" w14:textId="591C3824" w:rsidR="00E97A93" w:rsidRPr="00005453" w:rsidRDefault="00E97A93" w:rsidP="00E97A93">
            <w:pPr>
              <w:jc w:val="right"/>
              <w:rPr>
                <w:sz w:val="14"/>
                <w:szCs w:val="14"/>
                <w:lang w:eastAsia="tr-TR"/>
              </w:rPr>
            </w:pPr>
            <w:r w:rsidRPr="00005453">
              <w:rPr>
                <w:sz w:val="14"/>
                <w:szCs w:val="14"/>
              </w:rPr>
              <w:t>20,000</w:t>
            </w:r>
          </w:p>
        </w:tc>
        <w:tc>
          <w:tcPr>
            <w:tcW w:w="912" w:type="dxa"/>
            <w:tcBorders>
              <w:top w:val="nil"/>
              <w:left w:val="single" w:sz="4" w:space="0" w:color="auto"/>
              <w:bottom w:val="nil"/>
              <w:right w:val="single" w:sz="4" w:space="0" w:color="auto"/>
            </w:tcBorders>
            <w:shd w:val="clear" w:color="auto" w:fill="auto"/>
            <w:vAlign w:val="center"/>
            <w:hideMark/>
          </w:tcPr>
          <w:p w14:paraId="781075F3" w14:textId="3DD760C3"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2A89DB39" w14:textId="692F8235" w:rsidR="00E97A93" w:rsidRPr="00005453" w:rsidRDefault="00E97A93" w:rsidP="00E97A93">
            <w:pPr>
              <w:jc w:val="right"/>
              <w:rPr>
                <w:sz w:val="14"/>
                <w:szCs w:val="14"/>
                <w:lang w:eastAsia="tr-TR"/>
              </w:rPr>
            </w:pPr>
            <w:r w:rsidRPr="00005453">
              <w:rPr>
                <w:sz w:val="14"/>
                <w:szCs w:val="14"/>
              </w:rPr>
              <w:t>20,000</w:t>
            </w:r>
          </w:p>
        </w:tc>
      </w:tr>
      <w:tr w:rsidR="00E97A93" w:rsidRPr="00005453" w14:paraId="699C3BC5" w14:textId="77777777" w:rsidTr="00A9473B">
        <w:trPr>
          <w:trHeight w:val="141"/>
        </w:trPr>
        <w:tc>
          <w:tcPr>
            <w:tcW w:w="455" w:type="dxa"/>
            <w:tcBorders>
              <w:top w:val="nil"/>
              <w:left w:val="single" w:sz="4" w:space="0" w:color="auto"/>
              <w:bottom w:val="nil"/>
              <w:right w:val="single" w:sz="4" w:space="0" w:color="auto"/>
            </w:tcBorders>
            <w:shd w:val="clear" w:color="auto" w:fill="auto"/>
            <w:noWrap/>
            <w:hideMark/>
          </w:tcPr>
          <w:p w14:paraId="2D133CEB" w14:textId="77777777" w:rsidR="00E97A93" w:rsidRPr="00005453" w:rsidRDefault="00E97A93" w:rsidP="00E97A93">
            <w:pPr>
              <w:rPr>
                <w:color w:val="000000"/>
                <w:sz w:val="14"/>
                <w:szCs w:val="14"/>
                <w:lang w:eastAsia="tr-TR"/>
              </w:rPr>
            </w:pPr>
            <w:r w:rsidRPr="00005453">
              <w:rPr>
                <w:color w:val="000000"/>
                <w:sz w:val="14"/>
                <w:szCs w:val="14"/>
                <w:lang w:eastAsia="tr-TR"/>
              </w:rPr>
              <w:t>4.3.2.</w:t>
            </w:r>
          </w:p>
        </w:tc>
        <w:tc>
          <w:tcPr>
            <w:tcW w:w="3046" w:type="dxa"/>
            <w:tcBorders>
              <w:top w:val="nil"/>
              <w:left w:val="single" w:sz="4" w:space="0" w:color="auto"/>
              <w:bottom w:val="nil"/>
              <w:right w:val="single" w:sz="4" w:space="0" w:color="auto"/>
            </w:tcBorders>
            <w:shd w:val="clear" w:color="auto" w:fill="auto"/>
            <w:noWrap/>
            <w:hideMark/>
          </w:tcPr>
          <w:p w14:paraId="5614C4C8" w14:textId="77777777" w:rsidR="00E97A93" w:rsidRPr="00005453" w:rsidRDefault="00E97A93" w:rsidP="00E97A93">
            <w:pPr>
              <w:rPr>
                <w:color w:val="000000"/>
                <w:sz w:val="14"/>
                <w:szCs w:val="14"/>
                <w:lang w:eastAsia="tr-TR"/>
              </w:rPr>
            </w:pPr>
            <w:r w:rsidRPr="00005453">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75CE1C72"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F2641EA" w14:textId="7BEC172D"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79BB9BA0" w14:textId="1FBBC07D"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2D4E3F70" w14:textId="6ADA80CF"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2DE47E56" w14:textId="31AD9CDF" w:rsidR="00E97A93" w:rsidRPr="00005453" w:rsidRDefault="00E97A93" w:rsidP="00E97A93">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31CF6A22" w14:textId="687904EB"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7D27595D" w14:textId="7E9AFA24" w:rsidR="00E97A93" w:rsidRPr="00005453" w:rsidRDefault="00E97A93" w:rsidP="00E97A93">
            <w:pPr>
              <w:jc w:val="right"/>
              <w:rPr>
                <w:sz w:val="14"/>
                <w:szCs w:val="14"/>
                <w:lang w:eastAsia="tr-TR"/>
              </w:rPr>
            </w:pPr>
            <w:r w:rsidRPr="00005453">
              <w:rPr>
                <w:sz w:val="14"/>
                <w:szCs w:val="14"/>
              </w:rPr>
              <w:t>-</w:t>
            </w:r>
          </w:p>
        </w:tc>
      </w:tr>
      <w:tr w:rsidR="00E97A93" w:rsidRPr="00005453" w14:paraId="7EC3F9D9"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29ADDF7E"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V.</w:t>
            </w:r>
          </w:p>
        </w:tc>
        <w:tc>
          <w:tcPr>
            <w:tcW w:w="3046" w:type="dxa"/>
            <w:tcBorders>
              <w:top w:val="nil"/>
              <w:left w:val="single" w:sz="4" w:space="0" w:color="auto"/>
              <w:bottom w:val="nil"/>
              <w:right w:val="single" w:sz="4" w:space="0" w:color="auto"/>
            </w:tcBorders>
            <w:shd w:val="clear" w:color="auto" w:fill="auto"/>
            <w:hideMark/>
          </w:tcPr>
          <w:p w14:paraId="0E639FF8"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hideMark/>
          </w:tcPr>
          <w:p w14:paraId="1EFCB39B" w14:textId="77777777" w:rsidR="00E97A93" w:rsidRPr="00005453" w:rsidRDefault="00E97A93" w:rsidP="00E97A93">
            <w:pPr>
              <w:jc w:val="center"/>
              <w:rPr>
                <w:b/>
                <w:bCs/>
                <w:color w:val="000000"/>
                <w:sz w:val="14"/>
                <w:szCs w:val="14"/>
                <w:lang w:val="en-US"/>
              </w:rPr>
            </w:pPr>
            <w:r w:rsidRPr="00005453">
              <w:rPr>
                <w:b/>
                <w:bCs/>
                <w:color w:val="000000"/>
                <w:sz w:val="14"/>
                <w:szCs w:val="14"/>
                <w:lang w:eastAsia="tr-TR"/>
              </w:rPr>
              <w:t>(</w:t>
            </w:r>
            <w:r w:rsidRPr="00005453">
              <w:rPr>
                <w:b/>
                <w:bCs/>
                <w:color w:val="000000"/>
                <w:sz w:val="14"/>
                <w:szCs w:val="14"/>
                <w:lang w:val="en-US"/>
              </w:rPr>
              <w:t>5.1.12.)</w:t>
            </w:r>
          </w:p>
        </w:tc>
        <w:tc>
          <w:tcPr>
            <w:tcW w:w="864" w:type="dxa"/>
            <w:tcBorders>
              <w:top w:val="nil"/>
              <w:left w:val="single" w:sz="4" w:space="0" w:color="auto"/>
              <w:bottom w:val="nil"/>
              <w:right w:val="single" w:sz="4" w:space="0" w:color="auto"/>
            </w:tcBorders>
            <w:shd w:val="clear" w:color="auto" w:fill="auto"/>
            <w:vAlign w:val="center"/>
            <w:hideMark/>
          </w:tcPr>
          <w:p w14:paraId="5F82F1DC" w14:textId="38E97D80" w:rsidR="00E97A93" w:rsidRPr="00005453" w:rsidRDefault="00E97A93" w:rsidP="00E97A93">
            <w:pPr>
              <w:jc w:val="right"/>
              <w:rPr>
                <w:b/>
                <w:bCs/>
                <w:sz w:val="14"/>
                <w:szCs w:val="14"/>
              </w:rPr>
            </w:pPr>
            <w:r w:rsidRPr="00005453">
              <w:rPr>
                <w:b/>
                <w:bCs/>
                <w:sz w:val="14"/>
                <w:szCs w:val="18"/>
              </w:rPr>
              <w:t>5,357,578</w:t>
            </w:r>
          </w:p>
        </w:tc>
        <w:tc>
          <w:tcPr>
            <w:tcW w:w="863" w:type="dxa"/>
            <w:tcBorders>
              <w:top w:val="nil"/>
              <w:left w:val="single" w:sz="4" w:space="0" w:color="auto"/>
              <w:bottom w:val="nil"/>
              <w:right w:val="single" w:sz="4" w:space="0" w:color="auto"/>
            </w:tcBorders>
            <w:shd w:val="clear" w:color="auto" w:fill="auto"/>
            <w:vAlign w:val="center"/>
            <w:hideMark/>
          </w:tcPr>
          <w:p w14:paraId="3D8579BC" w14:textId="09B151FB" w:rsidR="00E97A93" w:rsidRPr="00005453" w:rsidRDefault="00E97A93" w:rsidP="00E97A93">
            <w:pPr>
              <w:jc w:val="right"/>
              <w:rPr>
                <w:b/>
                <w:bCs/>
                <w:sz w:val="14"/>
                <w:szCs w:val="14"/>
              </w:rPr>
            </w:pPr>
            <w:r w:rsidRPr="00005453">
              <w:rPr>
                <w:b/>
                <w:bCs/>
                <w:sz w:val="14"/>
                <w:szCs w:val="18"/>
              </w:rPr>
              <w:t>4,852</w:t>
            </w:r>
          </w:p>
        </w:tc>
        <w:tc>
          <w:tcPr>
            <w:tcW w:w="901" w:type="dxa"/>
            <w:tcBorders>
              <w:top w:val="nil"/>
              <w:left w:val="single" w:sz="4" w:space="0" w:color="auto"/>
              <w:bottom w:val="nil"/>
              <w:right w:val="single" w:sz="4" w:space="0" w:color="auto"/>
            </w:tcBorders>
            <w:shd w:val="clear" w:color="auto" w:fill="auto"/>
            <w:vAlign w:val="center"/>
            <w:hideMark/>
          </w:tcPr>
          <w:p w14:paraId="449C01F4" w14:textId="6897CAF6" w:rsidR="00E97A93" w:rsidRPr="00005453" w:rsidRDefault="00E97A93" w:rsidP="00E97A93">
            <w:pPr>
              <w:jc w:val="right"/>
              <w:rPr>
                <w:b/>
                <w:bCs/>
                <w:sz w:val="14"/>
                <w:szCs w:val="14"/>
              </w:rPr>
            </w:pPr>
            <w:r w:rsidRPr="00005453">
              <w:rPr>
                <w:b/>
                <w:bCs/>
                <w:sz w:val="14"/>
                <w:szCs w:val="18"/>
              </w:rPr>
              <w:t>5,362,430</w:t>
            </w:r>
          </w:p>
        </w:tc>
        <w:tc>
          <w:tcPr>
            <w:tcW w:w="902" w:type="dxa"/>
            <w:tcBorders>
              <w:top w:val="nil"/>
              <w:left w:val="single" w:sz="4" w:space="0" w:color="auto"/>
              <w:bottom w:val="nil"/>
              <w:right w:val="single" w:sz="4" w:space="0" w:color="auto"/>
            </w:tcBorders>
            <w:shd w:val="clear" w:color="auto" w:fill="auto"/>
            <w:vAlign w:val="center"/>
            <w:hideMark/>
          </w:tcPr>
          <w:p w14:paraId="3003D39F" w14:textId="02556A4E" w:rsidR="00E97A93" w:rsidRPr="00005453" w:rsidRDefault="00E97A93" w:rsidP="00E97A93">
            <w:pPr>
              <w:jc w:val="right"/>
              <w:rPr>
                <w:b/>
                <w:bCs/>
                <w:sz w:val="14"/>
                <w:szCs w:val="14"/>
                <w:lang w:eastAsia="tr-TR"/>
              </w:rPr>
            </w:pPr>
            <w:r w:rsidRPr="00005453">
              <w:rPr>
                <w:b/>
                <w:bCs/>
                <w:sz w:val="14"/>
                <w:szCs w:val="14"/>
              </w:rPr>
              <w:t>3,465,513</w:t>
            </w:r>
          </w:p>
        </w:tc>
        <w:tc>
          <w:tcPr>
            <w:tcW w:w="912" w:type="dxa"/>
            <w:tcBorders>
              <w:top w:val="nil"/>
              <w:left w:val="single" w:sz="4" w:space="0" w:color="auto"/>
              <w:bottom w:val="nil"/>
              <w:right w:val="single" w:sz="4" w:space="0" w:color="auto"/>
            </w:tcBorders>
            <w:shd w:val="clear" w:color="auto" w:fill="auto"/>
            <w:vAlign w:val="center"/>
            <w:hideMark/>
          </w:tcPr>
          <w:p w14:paraId="1DDA3668" w14:textId="0DACFB7D" w:rsidR="00E97A93" w:rsidRPr="00005453" w:rsidRDefault="00E97A93" w:rsidP="00E97A93">
            <w:pPr>
              <w:jc w:val="right"/>
              <w:rPr>
                <w:b/>
                <w:bCs/>
                <w:sz w:val="14"/>
                <w:szCs w:val="14"/>
                <w:lang w:eastAsia="tr-TR"/>
              </w:rPr>
            </w:pPr>
            <w:r w:rsidRPr="00005453">
              <w:rPr>
                <w:b/>
                <w:bCs/>
                <w:sz w:val="14"/>
                <w:szCs w:val="14"/>
              </w:rPr>
              <w:t>715</w:t>
            </w:r>
          </w:p>
        </w:tc>
        <w:tc>
          <w:tcPr>
            <w:tcW w:w="1065" w:type="dxa"/>
            <w:tcBorders>
              <w:top w:val="nil"/>
              <w:left w:val="single" w:sz="4" w:space="0" w:color="auto"/>
              <w:bottom w:val="nil"/>
              <w:right w:val="single" w:sz="4" w:space="0" w:color="auto"/>
            </w:tcBorders>
            <w:shd w:val="clear" w:color="auto" w:fill="auto"/>
            <w:vAlign w:val="center"/>
            <w:hideMark/>
          </w:tcPr>
          <w:p w14:paraId="5765FDBC" w14:textId="571F1E5C" w:rsidR="00E97A93" w:rsidRPr="00005453" w:rsidRDefault="00E97A93" w:rsidP="00E97A93">
            <w:pPr>
              <w:jc w:val="right"/>
              <w:rPr>
                <w:b/>
                <w:bCs/>
                <w:sz w:val="14"/>
                <w:szCs w:val="14"/>
                <w:lang w:eastAsia="tr-TR"/>
              </w:rPr>
            </w:pPr>
            <w:r w:rsidRPr="00005453">
              <w:rPr>
                <w:b/>
                <w:bCs/>
                <w:sz w:val="14"/>
                <w:szCs w:val="14"/>
              </w:rPr>
              <w:t>3,466,228</w:t>
            </w:r>
          </w:p>
        </w:tc>
      </w:tr>
      <w:tr w:rsidR="00E97A93" w:rsidRPr="00005453" w14:paraId="25D11A42" w14:textId="77777777" w:rsidTr="00A9473B">
        <w:trPr>
          <w:trHeight w:val="197"/>
        </w:trPr>
        <w:tc>
          <w:tcPr>
            <w:tcW w:w="455" w:type="dxa"/>
            <w:tcBorders>
              <w:top w:val="nil"/>
              <w:left w:val="single" w:sz="4" w:space="0" w:color="auto"/>
              <w:bottom w:val="nil"/>
              <w:right w:val="single" w:sz="4" w:space="0" w:color="auto"/>
            </w:tcBorders>
            <w:shd w:val="clear" w:color="auto" w:fill="auto"/>
            <w:noWrap/>
            <w:hideMark/>
          </w:tcPr>
          <w:p w14:paraId="3F54F0E5"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VI.</w:t>
            </w:r>
          </w:p>
        </w:tc>
        <w:tc>
          <w:tcPr>
            <w:tcW w:w="3046" w:type="dxa"/>
            <w:tcBorders>
              <w:top w:val="nil"/>
              <w:left w:val="single" w:sz="4" w:space="0" w:color="auto"/>
              <w:bottom w:val="nil"/>
              <w:right w:val="single" w:sz="4" w:space="0" w:color="auto"/>
            </w:tcBorders>
            <w:shd w:val="clear" w:color="auto" w:fill="auto"/>
            <w:hideMark/>
          </w:tcPr>
          <w:p w14:paraId="38AA4CCB"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7850EC26" w14:textId="77777777" w:rsidR="00E97A93" w:rsidRPr="00005453" w:rsidRDefault="00E97A93" w:rsidP="00E97A93">
            <w:pPr>
              <w:jc w:val="center"/>
              <w:rPr>
                <w:b/>
                <w:bCs/>
                <w:color w:val="000000"/>
                <w:sz w:val="14"/>
                <w:szCs w:val="14"/>
                <w:lang w:val="en-US"/>
              </w:rPr>
            </w:pPr>
            <w:r w:rsidRPr="00005453">
              <w:rPr>
                <w:b/>
                <w:bCs/>
                <w:color w:val="000000"/>
                <w:sz w:val="14"/>
                <w:szCs w:val="14"/>
                <w:lang w:eastAsia="tr-TR"/>
              </w:rPr>
              <w:t>(</w:t>
            </w:r>
            <w:r w:rsidRPr="00005453">
              <w:rPr>
                <w:b/>
                <w:bCs/>
                <w:color w:val="000000"/>
                <w:sz w:val="14"/>
                <w:szCs w:val="14"/>
                <w:lang w:val="en-US"/>
              </w:rPr>
              <w:t>5.1.13.)</w:t>
            </w:r>
          </w:p>
        </w:tc>
        <w:tc>
          <w:tcPr>
            <w:tcW w:w="864" w:type="dxa"/>
            <w:tcBorders>
              <w:top w:val="nil"/>
              <w:left w:val="single" w:sz="4" w:space="0" w:color="auto"/>
              <w:bottom w:val="nil"/>
              <w:right w:val="single" w:sz="4" w:space="0" w:color="auto"/>
            </w:tcBorders>
            <w:shd w:val="clear" w:color="auto" w:fill="auto"/>
            <w:vAlign w:val="center"/>
            <w:hideMark/>
          </w:tcPr>
          <w:p w14:paraId="538056EE" w14:textId="44FF3C82" w:rsidR="00E97A93" w:rsidRPr="00005453" w:rsidRDefault="00E97A93" w:rsidP="00E97A93">
            <w:pPr>
              <w:jc w:val="right"/>
              <w:rPr>
                <w:b/>
                <w:bCs/>
                <w:sz w:val="14"/>
                <w:szCs w:val="14"/>
              </w:rPr>
            </w:pPr>
            <w:r w:rsidRPr="00005453">
              <w:rPr>
                <w:b/>
                <w:bCs/>
                <w:sz w:val="14"/>
                <w:szCs w:val="18"/>
              </w:rPr>
              <w:t>2,314,602</w:t>
            </w:r>
          </w:p>
        </w:tc>
        <w:tc>
          <w:tcPr>
            <w:tcW w:w="863" w:type="dxa"/>
            <w:tcBorders>
              <w:top w:val="nil"/>
              <w:left w:val="single" w:sz="4" w:space="0" w:color="auto"/>
              <w:bottom w:val="nil"/>
              <w:right w:val="single" w:sz="4" w:space="0" w:color="auto"/>
            </w:tcBorders>
            <w:shd w:val="clear" w:color="auto" w:fill="auto"/>
            <w:vAlign w:val="center"/>
            <w:hideMark/>
          </w:tcPr>
          <w:p w14:paraId="7D93BC4D" w14:textId="235A8CA0" w:rsidR="00E97A93" w:rsidRPr="00005453" w:rsidRDefault="00E97A93" w:rsidP="00E97A93">
            <w:pPr>
              <w:jc w:val="right"/>
              <w:rPr>
                <w:b/>
                <w:bCs/>
                <w:sz w:val="14"/>
                <w:szCs w:val="14"/>
              </w:rPr>
            </w:pPr>
            <w:r w:rsidRPr="00005453">
              <w:rPr>
                <w:b/>
                <w:bCs/>
                <w:sz w:val="14"/>
                <w:szCs w:val="18"/>
              </w:rPr>
              <w:t>247</w:t>
            </w:r>
          </w:p>
        </w:tc>
        <w:tc>
          <w:tcPr>
            <w:tcW w:w="901" w:type="dxa"/>
            <w:tcBorders>
              <w:top w:val="nil"/>
              <w:left w:val="single" w:sz="4" w:space="0" w:color="auto"/>
              <w:bottom w:val="nil"/>
              <w:right w:val="single" w:sz="4" w:space="0" w:color="auto"/>
            </w:tcBorders>
            <w:shd w:val="clear" w:color="auto" w:fill="auto"/>
            <w:vAlign w:val="center"/>
            <w:hideMark/>
          </w:tcPr>
          <w:p w14:paraId="27ABDFFE" w14:textId="79959F3C" w:rsidR="00E97A93" w:rsidRPr="00005453" w:rsidRDefault="00E97A93" w:rsidP="00E97A93">
            <w:pPr>
              <w:jc w:val="right"/>
              <w:rPr>
                <w:b/>
                <w:bCs/>
                <w:sz w:val="14"/>
                <w:szCs w:val="14"/>
              </w:rPr>
            </w:pPr>
            <w:r w:rsidRPr="00005453">
              <w:rPr>
                <w:b/>
                <w:bCs/>
                <w:sz w:val="14"/>
                <w:szCs w:val="18"/>
              </w:rPr>
              <w:t>2,314,849</w:t>
            </w:r>
          </w:p>
        </w:tc>
        <w:tc>
          <w:tcPr>
            <w:tcW w:w="902" w:type="dxa"/>
            <w:tcBorders>
              <w:top w:val="nil"/>
              <w:left w:val="single" w:sz="4" w:space="0" w:color="auto"/>
              <w:bottom w:val="nil"/>
              <w:right w:val="single" w:sz="4" w:space="0" w:color="auto"/>
            </w:tcBorders>
            <w:shd w:val="clear" w:color="auto" w:fill="auto"/>
            <w:vAlign w:val="center"/>
            <w:hideMark/>
          </w:tcPr>
          <w:p w14:paraId="07BCDD3B" w14:textId="2C848A40" w:rsidR="00E97A93" w:rsidRPr="00005453" w:rsidRDefault="00E97A93" w:rsidP="00E97A93">
            <w:pPr>
              <w:jc w:val="right"/>
              <w:rPr>
                <w:b/>
                <w:bCs/>
                <w:sz w:val="14"/>
                <w:szCs w:val="14"/>
                <w:lang w:eastAsia="tr-TR"/>
              </w:rPr>
            </w:pPr>
            <w:r w:rsidRPr="00005453">
              <w:rPr>
                <w:b/>
                <w:bCs/>
                <w:sz w:val="14"/>
                <w:szCs w:val="14"/>
              </w:rPr>
              <w:t>984,132</w:t>
            </w:r>
          </w:p>
        </w:tc>
        <w:tc>
          <w:tcPr>
            <w:tcW w:w="912" w:type="dxa"/>
            <w:tcBorders>
              <w:top w:val="nil"/>
              <w:left w:val="single" w:sz="4" w:space="0" w:color="auto"/>
              <w:bottom w:val="nil"/>
              <w:right w:val="single" w:sz="4" w:space="0" w:color="auto"/>
            </w:tcBorders>
            <w:shd w:val="clear" w:color="auto" w:fill="auto"/>
            <w:vAlign w:val="center"/>
            <w:hideMark/>
          </w:tcPr>
          <w:p w14:paraId="737FDE9F" w14:textId="0B686599" w:rsidR="00E97A93" w:rsidRPr="00005453" w:rsidRDefault="00E97A93" w:rsidP="00E97A93">
            <w:pPr>
              <w:jc w:val="right"/>
              <w:rPr>
                <w:b/>
                <w:bCs/>
                <w:sz w:val="14"/>
                <w:szCs w:val="14"/>
                <w:lang w:eastAsia="tr-TR"/>
              </w:rPr>
            </w:pPr>
            <w:r w:rsidRPr="00005453">
              <w:rPr>
                <w:b/>
                <w:bCs/>
                <w:sz w:val="14"/>
                <w:szCs w:val="14"/>
              </w:rPr>
              <w:t>28</w:t>
            </w:r>
          </w:p>
        </w:tc>
        <w:tc>
          <w:tcPr>
            <w:tcW w:w="1065" w:type="dxa"/>
            <w:tcBorders>
              <w:top w:val="nil"/>
              <w:left w:val="single" w:sz="4" w:space="0" w:color="auto"/>
              <w:bottom w:val="nil"/>
              <w:right w:val="single" w:sz="4" w:space="0" w:color="auto"/>
            </w:tcBorders>
            <w:shd w:val="clear" w:color="auto" w:fill="auto"/>
            <w:vAlign w:val="center"/>
            <w:hideMark/>
          </w:tcPr>
          <w:p w14:paraId="0B8C70D4" w14:textId="262C3B91" w:rsidR="00E97A93" w:rsidRPr="00005453" w:rsidRDefault="00E97A93" w:rsidP="00E97A93">
            <w:pPr>
              <w:jc w:val="right"/>
              <w:rPr>
                <w:b/>
                <w:bCs/>
                <w:sz w:val="14"/>
                <w:szCs w:val="14"/>
                <w:lang w:eastAsia="tr-TR"/>
              </w:rPr>
            </w:pPr>
            <w:r w:rsidRPr="00005453">
              <w:rPr>
                <w:b/>
                <w:bCs/>
                <w:sz w:val="14"/>
                <w:szCs w:val="14"/>
              </w:rPr>
              <w:t>984,160</w:t>
            </w:r>
          </w:p>
        </w:tc>
      </w:tr>
      <w:tr w:rsidR="00E97A93" w:rsidRPr="00005453" w14:paraId="6D907159"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61E91404" w14:textId="77777777" w:rsidR="00E97A93" w:rsidRPr="00005453" w:rsidRDefault="00E97A93" w:rsidP="00E97A93">
            <w:pPr>
              <w:rPr>
                <w:color w:val="000000"/>
                <w:sz w:val="14"/>
                <w:szCs w:val="14"/>
                <w:lang w:eastAsia="tr-TR"/>
              </w:rPr>
            </w:pPr>
            <w:r w:rsidRPr="00005453">
              <w:rPr>
                <w:color w:val="000000"/>
                <w:sz w:val="14"/>
                <w:szCs w:val="14"/>
                <w:lang w:eastAsia="tr-TR"/>
              </w:rPr>
              <w:t>6.1.</w:t>
            </w:r>
          </w:p>
        </w:tc>
        <w:tc>
          <w:tcPr>
            <w:tcW w:w="3046" w:type="dxa"/>
            <w:tcBorders>
              <w:top w:val="nil"/>
              <w:left w:val="single" w:sz="4" w:space="0" w:color="auto"/>
              <w:bottom w:val="nil"/>
              <w:right w:val="single" w:sz="4" w:space="0" w:color="auto"/>
            </w:tcBorders>
            <w:shd w:val="clear" w:color="auto" w:fill="auto"/>
            <w:noWrap/>
            <w:hideMark/>
          </w:tcPr>
          <w:p w14:paraId="45B1C694" w14:textId="77777777" w:rsidR="00E97A93" w:rsidRPr="00005453" w:rsidRDefault="00E97A93" w:rsidP="00E97A93">
            <w:pPr>
              <w:rPr>
                <w:color w:val="000000"/>
                <w:sz w:val="14"/>
                <w:szCs w:val="14"/>
                <w:lang w:eastAsia="tr-TR"/>
              </w:rPr>
            </w:pPr>
            <w:r w:rsidRPr="00005453">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hideMark/>
          </w:tcPr>
          <w:p w14:paraId="501BEF89"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AC13774" w14:textId="40EECD87" w:rsidR="00E97A93" w:rsidRPr="00005453" w:rsidRDefault="00E97A93" w:rsidP="00E97A93">
            <w:pPr>
              <w:jc w:val="right"/>
              <w:rPr>
                <w:sz w:val="14"/>
                <w:szCs w:val="14"/>
              </w:rPr>
            </w:pPr>
            <w:r w:rsidRPr="00005453">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4179516E" w14:textId="1981BA1B" w:rsidR="00E97A93" w:rsidRPr="00005453" w:rsidRDefault="00E97A93" w:rsidP="00E97A93">
            <w:pPr>
              <w:jc w:val="right"/>
              <w:rPr>
                <w:sz w:val="14"/>
                <w:szCs w:val="14"/>
              </w:rPr>
            </w:pPr>
            <w:r w:rsidRPr="00005453">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635BF34" w14:textId="01E795D9" w:rsidR="00E97A93" w:rsidRPr="00005453" w:rsidRDefault="00E97A93" w:rsidP="00E97A93">
            <w:pPr>
              <w:jc w:val="right"/>
              <w:rPr>
                <w:sz w:val="14"/>
                <w:szCs w:val="14"/>
              </w:rPr>
            </w:pPr>
            <w:r w:rsidRPr="00005453">
              <w:rPr>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36F50A5A" w14:textId="3CA9FF5E" w:rsidR="00E97A93" w:rsidRPr="00005453" w:rsidRDefault="00E97A93" w:rsidP="00E97A93">
            <w:pPr>
              <w:jc w:val="right"/>
              <w:rPr>
                <w:sz w:val="14"/>
                <w:szCs w:val="14"/>
                <w:lang w:eastAsia="tr-TR"/>
              </w:rPr>
            </w:pPr>
            <w:r w:rsidRPr="00005453">
              <w:rPr>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719AFE14" w14:textId="588AB610" w:rsidR="00E97A93" w:rsidRPr="00005453" w:rsidRDefault="00E97A93" w:rsidP="00E97A93">
            <w:pPr>
              <w:jc w:val="right"/>
              <w:rPr>
                <w:sz w:val="14"/>
                <w:szCs w:val="14"/>
                <w:lang w:eastAsia="tr-TR"/>
              </w:rPr>
            </w:pPr>
            <w:r w:rsidRPr="00005453">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621227DF" w14:textId="6AE05ADF" w:rsidR="00E97A93" w:rsidRPr="00005453" w:rsidRDefault="00E97A93" w:rsidP="00E97A93">
            <w:pPr>
              <w:jc w:val="right"/>
              <w:rPr>
                <w:sz w:val="14"/>
                <w:szCs w:val="14"/>
                <w:lang w:eastAsia="tr-TR"/>
              </w:rPr>
            </w:pPr>
            <w:r w:rsidRPr="00005453">
              <w:rPr>
                <w:sz w:val="14"/>
                <w:szCs w:val="14"/>
              </w:rPr>
              <w:t>-</w:t>
            </w:r>
          </w:p>
        </w:tc>
      </w:tr>
      <w:tr w:rsidR="00E97A93" w:rsidRPr="00005453" w14:paraId="2FA01BE0" w14:textId="77777777" w:rsidTr="00A9473B">
        <w:trPr>
          <w:trHeight w:val="52"/>
        </w:trPr>
        <w:tc>
          <w:tcPr>
            <w:tcW w:w="455" w:type="dxa"/>
            <w:tcBorders>
              <w:top w:val="nil"/>
              <w:left w:val="single" w:sz="4" w:space="0" w:color="auto"/>
              <w:bottom w:val="nil"/>
              <w:right w:val="single" w:sz="4" w:space="0" w:color="auto"/>
            </w:tcBorders>
            <w:shd w:val="clear" w:color="auto" w:fill="auto"/>
            <w:noWrap/>
            <w:hideMark/>
          </w:tcPr>
          <w:p w14:paraId="59594D48" w14:textId="77777777" w:rsidR="00E97A93" w:rsidRPr="00005453" w:rsidRDefault="00E97A93" w:rsidP="00E97A93">
            <w:pPr>
              <w:rPr>
                <w:color w:val="000000"/>
                <w:sz w:val="14"/>
                <w:szCs w:val="14"/>
                <w:lang w:eastAsia="tr-TR"/>
              </w:rPr>
            </w:pPr>
            <w:r w:rsidRPr="00005453">
              <w:rPr>
                <w:color w:val="000000"/>
                <w:sz w:val="14"/>
                <w:szCs w:val="14"/>
                <w:lang w:eastAsia="tr-TR"/>
              </w:rPr>
              <w:t>6.2.</w:t>
            </w:r>
          </w:p>
        </w:tc>
        <w:tc>
          <w:tcPr>
            <w:tcW w:w="3046" w:type="dxa"/>
            <w:tcBorders>
              <w:top w:val="nil"/>
              <w:left w:val="single" w:sz="4" w:space="0" w:color="auto"/>
              <w:bottom w:val="nil"/>
              <w:right w:val="single" w:sz="4" w:space="0" w:color="auto"/>
            </w:tcBorders>
            <w:shd w:val="clear" w:color="auto" w:fill="auto"/>
            <w:noWrap/>
            <w:hideMark/>
          </w:tcPr>
          <w:p w14:paraId="51F69700" w14:textId="77777777" w:rsidR="00E97A93" w:rsidRPr="00005453" w:rsidRDefault="00E97A93" w:rsidP="00E97A93">
            <w:pPr>
              <w:rPr>
                <w:color w:val="000000"/>
                <w:sz w:val="14"/>
                <w:szCs w:val="14"/>
                <w:lang w:eastAsia="tr-TR"/>
              </w:rPr>
            </w:pPr>
            <w:r w:rsidRPr="00005453">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7C0BBEA7" w14:textId="77777777" w:rsidR="00E97A93" w:rsidRPr="00005453" w:rsidRDefault="00E97A93" w:rsidP="00E97A93">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99DFCD5" w14:textId="534941C5" w:rsidR="00E97A93" w:rsidRPr="00005453" w:rsidRDefault="00E97A93" w:rsidP="00E97A93">
            <w:pPr>
              <w:jc w:val="right"/>
              <w:rPr>
                <w:sz w:val="14"/>
                <w:szCs w:val="14"/>
              </w:rPr>
            </w:pPr>
            <w:r w:rsidRPr="00005453">
              <w:rPr>
                <w:sz w:val="14"/>
                <w:szCs w:val="18"/>
              </w:rPr>
              <w:t>2,314,602</w:t>
            </w:r>
          </w:p>
        </w:tc>
        <w:tc>
          <w:tcPr>
            <w:tcW w:w="863" w:type="dxa"/>
            <w:tcBorders>
              <w:top w:val="nil"/>
              <w:left w:val="single" w:sz="4" w:space="0" w:color="auto"/>
              <w:bottom w:val="nil"/>
              <w:right w:val="single" w:sz="4" w:space="0" w:color="auto"/>
            </w:tcBorders>
            <w:shd w:val="clear" w:color="auto" w:fill="auto"/>
            <w:vAlign w:val="center"/>
            <w:hideMark/>
          </w:tcPr>
          <w:p w14:paraId="6CF9746F" w14:textId="3D7D838C" w:rsidR="00E97A93" w:rsidRPr="00005453" w:rsidRDefault="00E97A93" w:rsidP="00E97A93">
            <w:pPr>
              <w:jc w:val="right"/>
              <w:rPr>
                <w:sz w:val="14"/>
                <w:szCs w:val="14"/>
              </w:rPr>
            </w:pPr>
            <w:r w:rsidRPr="00005453">
              <w:rPr>
                <w:sz w:val="14"/>
                <w:szCs w:val="18"/>
              </w:rPr>
              <w:t>247</w:t>
            </w:r>
          </w:p>
        </w:tc>
        <w:tc>
          <w:tcPr>
            <w:tcW w:w="901" w:type="dxa"/>
            <w:tcBorders>
              <w:top w:val="nil"/>
              <w:left w:val="single" w:sz="4" w:space="0" w:color="auto"/>
              <w:bottom w:val="nil"/>
              <w:right w:val="single" w:sz="4" w:space="0" w:color="auto"/>
            </w:tcBorders>
            <w:shd w:val="clear" w:color="auto" w:fill="auto"/>
            <w:vAlign w:val="center"/>
            <w:hideMark/>
          </w:tcPr>
          <w:p w14:paraId="38F4A63C" w14:textId="28E1F293" w:rsidR="00E97A93" w:rsidRPr="00005453" w:rsidRDefault="00E97A93" w:rsidP="00E97A93">
            <w:pPr>
              <w:jc w:val="right"/>
              <w:rPr>
                <w:sz w:val="14"/>
                <w:szCs w:val="14"/>
              </w:rPr>
            </w:pPr>
            <w:r w:rsidRPr="00005453">
              <w:rPr>
                <w:sz w:val="14"/>
                <w:szCs w:val="18"/>
              </w:rPr>
              <w:t>2,314,849</w:t>
            </w:r>
          </w:p>
        </w:tc>
        <w:tc>
          <w:tcPr>
            <w:tcW w:w="902" w:type="dxa"/>
            <w:tcBorders>
              <w:top w:val="nil"/>
              <w:left w:val="single" w:sz="4" w:space="0" w:color="auto"/>
              <w:bottom w:val="nil"/>
              <w:right w:val="single" w:sz="4" w:space="0" w:color="auto"/>
            </w:tcBorders>
            <w:shd w:val="clear" w:color="auto" w:fill="auto"/>
            <w:vAlign w:val="center"/>
            <w:hideMark/>
          </w:tcPr>
          <w:p w14:paraId="1C9A1275" w14:textId="0F393214" w:rsidR="00E97A93" w:rsidRPr="00005453" w:rsidRDefault="00E97A93" w:rsidP="00E97A93">
            <w:pPr>
              <w:jc w:val="right"/>
              <w:rPr>
                <w:sz w:val="14"/>
                <w:szCs w:val="14"/>
                <w:lang w:eastAsia="tr-TR"/>
              </w:rPr>
            </w:pPr>
            <w:r w:rsidRPr="00005453">
              <w:rPr>
                <w:sz w:val="14"/>
                <w:szCs w:val="14"/>
              </w:rPr>
              <w:t>984,132</w:t>
            </w:r>
          </w:p>
        </w:tc>
        <w:tc>
          <w:tcPr>
            <w:tcW w:w="912" w:type="dxa"/>
            <w:tcBorders>
              <w:top w:val="nil"/>
              <w:left w:val="single" w:sz="4" w:space="0" w:color="auto"/>
              <w:bottom w:val="nil"/>
              <w:right w:val="single" w:sz="4" w:space="0" w:color="auto"/>
            </w:tcBorders>
            <w:shd w:val="clear" w:color="auto" w:fill="auto"/>
            <w:vAlign w:val="center"/>
            <w:hideMark/>
          </w:tcPr>
          <w:p w14:paraId="5DC2D0FE" w14:textId="4165C7D3" w:rsidR="00E97A93" w:rsidRPr="00005453" w:rsidRDefault="00E97A93" w:rsidP="00E97A93">
            <w:pPr>
              <w:jc w:val="right"/>
              <w:rPr>
                <w:sz w:val="14"/>
                <w:szCs w:val="14"/>
                <w:lang w:eastAsia="tr-TR"/>
              </w:rPr>
            </w:pPr>
            <w:r w:rsidRPr="00005453">
              <w:rPr>
                <w:sz w:val="14"/>
                <w:szCs w:val="14"/>
              </w:rPr>
              <w:t>28</w:t>
            </w:r>
          </w:p>
        </w:tc>
        <w:tc>
          <w:tcPr>
            <w:tcW w:w="1065" w:type="dxa"/>
            <w:tcBorders>
              <w:top w:val="nil"/>
              <w:left w:val="single" w:sz="4" w:space="0" w:color="auto"/>
              <w:bottom w:val="nil"/>
              <w:right w:val="single" w:sz="4" w:space="0" w:color="auto"/>
            </w:tcBorders>
            <w:shd w:val="clear" w:color="auto" w:fill="auto"/>
            <w:vAlign w:val="center"/>
            <w:hideMark/>
          </w:tcPr>
          <w:p w14:paraId="15D88CD9" w14:textId="07D202A2" w:rsidR="00E97A93" w:rsidRPr="00005453" w:rsidRDefault="00E97A93" w:rsidP="00E97A93">
            <w:pPr>
              <w:jc w:val="right"/>
              <w:rPr>
                <w:sz w:val="14"/>
                <w:szCs w:val="14"/>
                <w:lang w:eastAsia="tr-TR"/>
              </w:rPr>
            </w:pPr>
            <w:r w:rsidRPr="00005453">
              <w:rPr>
                <w:sz w:val="14"/>
                <w:szCs w:val="14"/>
              </w:rPr>
              <w:t>984,160</w:t>
            </w:r>
          </w:p>
        </w:tc>
      </w:tr>
      <w:tr w:rsidR="00E97A93" w:rsidRPr="00005453" w14:paraId="4C9BC428" w14:textId="77777777" w:rsidTr="00A9473B">
        <w:trPr>
          <w:trHeight w:val="197"/>
        </w:trPr>
        <w:tc>
          <w:tcPr>
            <w:tcW w:w="455" w:type="dxa"/>
            <w:tcBorders>
              <w:top w:val="nil"/>
              <w:left w:val="single" w:sz="4" w:space="0" w:color="auto"/>
              <w:bottom w:val="nil"/>
              <w:right w:val="single" w:sz="4" w:space="0" w:color="auto"/>
            </w:tcBorders>
            <w:shd w:val="clear" w:color="auto" w:fill="auto"/>
            <w:noWrap/>
            <w:hideMark/>
          </w:tcPr>
          <w:p w14:paraId="2C5A3F50"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VII.</w:t>
            </w:r>
          </w:p>
        </w:tc>
        <w:tc>
          <w:tcPr>
            <w:tcW w:w="3046" w:type="dxa"/>
            <w:tcBorders>
              <w:top w:val="nil"/>
              <w:left w:val="single" w:sz="4" w:space="0" w:color="auto"/>
              <w:bottom w:val="nil"/>
              <w:right w:val="single" w:sz="4" w:space="0" w:color="auto"/>
            </w:tcBorders>
            <w:shd w:val="clear" w:color="auto" w:fill="auto"/>
            <w:hideMark/>
          </w:tcPr>
          <w:p w14:paraId="1D3B98DC"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1263FDA0" w14:textId="77777777" w:rsidR="00E97A93" w:rsidRPr="00005453" w:rsidRDefault="00E97A93" w:rsidP="00E97A93">
            <w:pPr>
              <w:jc w:val="center"/>
              <w:rPr>
                <w:b/>
                <w:bCs/>
                <w:color w:val="000000"/>
                <w:sz w:val="14"/>
                <w:szCs w:val="14"/>
                <w:lang w:val="en-US"/>
              </w:rPr>
            </w:pPr>
            <w:r w:rsidRPr="00005453">
              <w:rPr>
                <w:b/>
                <w:bCs/>
                <w:color w:val="000000"/>
                <w:sz w:val="14"/>
                <w:szCs w:val="14"/>
                <w:lang w:eastAsia="tr-TR"/>
              </w:rPr>
              <w:t>(</w:t>
            </w:r>
            <w:r w:rsidRPr="00005453">
              <w:rPr>
                <w:b/>
                <w:bCs/>
                <w:color w:val="000000"/>
                <w:sz w:val="14"/>
                <w:szCs w:val="14"/>
                <w:lang w:val="en-US"/>
              </w:rPr>
              <w:t>5.1.14.)</w:t>
            </w:r>
          </w:p>
        </w:tc>
        <w:tc>
          <w:tcPr>
            <w:tcW w:w="864" w:type="dxa"/>
            <w:tcBorders>
              <w:top w:val="nil"/>
              <w:left w:val="single" w:sz="4" w:space="0" w:color="auto"/>
              <w:bottom w:val="nil"/>
              <w:right w:val="single" w:sz="4" w:space="0" w:color="auto"/>
            </w:tcBorders>
            <w:shd w:val="clear" w:color="auto" w:fill="auto"/>
            <w:vAlign w:val="center"/>
            <w:hideMark/>
          </w:tcPr>
          <w:p w14:paraId="2105A477" w14:textId="177026C8" w:rsidR="00E97A93" w:rsidRPr="00005453" w:rsidRDefault="00E97A93" w:rsidP="00E97A93">
            <w:pPr>
              <w:jc w:val="right"/>
              <w:rPr>
                <w:b/>
                <w:bCs/>
                <w:sz w:val="14"/>
                <w:szCs w:val="14"/>
              </w:rPr>
            </w:pPr>
            <w:r w:rsidRPr="00005453">
              <w:rPr>
                <w:b/>
                <w:bCs/>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70832BB0" w14:textId="5D4FEF59"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7330038F" w14:textId="7192E222" w:rsidR="00E97A93" w:rsidRPr="00005453" w:rsidRDefault="00E97A93" w:rsidP="00E97A93">
            <w:pPr>
              <w:jc w:val="right"/>
              <w:rPr>
                <w:b/>
                <w:bCs/>
                <w:sz w:val="14"/>
                <w:szCs w:val="14"/>
              </w:rPr>
            </w:pPr>
            <w:r w:rsidRPr="00005453">
              <w:rPr>
                <w:b/>
                <w:bCs/>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14057246" w14:textId="2274C704" w:rsidR="00E97A93" w:rsidRPr="00005453" w:rsidRDefault="00E97A93" w:rsidP="00E97A93">
            <w:pPr>
              <w:jc w:val="right"/>
              <w:rPr>
                <w:b/>
                <w:bCs/>
                <w:sz w:val="14"/>
                <w:szCs w:val="14"/>
                <w:lang w:eastAsia="tr-TR"/>
              </w:rPr>
            </w:pPr>
            <w:r w:rsidRPr="00005453">
              <w:rPr>
                <w:b/>
                <w:bCs/>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2FFD9B82" w14:textId="29E1E95A"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2F4386EB" w14:textId="5EA20B07" w:rsidR="00E97A93" w:rsidRPr="00005453" w:rsidRDefault="00E97A93" w:rsidP="00E97A93">
            <w:pPr>
              <w:jc w:val="right"/>
              <w:rPr>
                <w:b/>
                <w:bCs/>
                <w:sz w:val="14"/>
                <w:szCs w:val="14"/>
                <w:lang w:eastAsia="tr-TR"/>
              </w:rPr>
            </w:pPr>
            <w:r w:rsidRPr="00005453">
              <w:rPr>
                <w:b/>
                <w:bCs/>
                <w:sz w:val="14"/>
                <w:szCs w:val="14"/>
              </w:rPr>
              <w:t>-</w:t>
            </w:r>
          </w:p>
        </w:tc>
      </w:tr>
      <w:tr w:rsidR="00E97A93" w:rsidRPr="00005453" w14:paraId="0CCD7892" w14:textId="77777777" w:rsidTr="00A9473B">
        <w:trPr>
          <w:trHeight w:val="57"/>
        </w:trPr>
        <w:tc>
          <w:tcPr>
            <w:tcW w:w="455" w:type="dxa"/>
            <w:tcBorders>
              <w:top w:val="nil"/>
              <w:left w:val="single" w:sz="4" w:space="0" w:color="auto"/>
              <w:bottom w:val="nil"/>
              <w:right w:val="single" w:sz="4" w:space="0" w:color="auto"/>
            </w:tcBorders>
            <w:shd w:val="clear" w:color="auto" w:fill="auto"/>
            <w:noWrap/>
            <w:hideMark/>
          </w:tcPr>
          <w:p w14:paraId="0EC103C2"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VIII.</w:t>
            </w:r>
          </w:p>
        </w:tc>
        <w:tc>
          <w:tcPr>
            <w:tcW w:w="3046" w:type="dxa"/>
            <w:tcBorders>
              <w:top w:val="nil"/>
              <w:left w:val="single" w:sz="4" w:space="0" w:color="auto"/>
              <w:bottom w:val="nil"/>
              <w:right w:val="single" w:sz="4" w:space="0" w:color="auto"/>
            </w:tcBorders>
            <w:shd w:val="clear" w:color="auto" w:fill="auto"/>
            <w:hideMark/>
          </w:tcPr>
          <w:p w14:paraId="1DB9D90F"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hideMark/>
          </w:tcPr>
          <w:p w14:paraId="7DC8D509" w14:textId="77777777" w:rsidR="00E97A93" w:rsidRPr="00005453" w:rsidRDefault="00E97A93" w:rsidP="00E97A93">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CA1AA24" w14:textId="595B9B63" w:rsidR="00E97A93" w:rsidRPr="00005453" w:rsidRDefault="00E97A93" w:rsidP="00E97A93">
            <w:pPr>
              <w:jc w:val="right"/>
              <w:rPr>
                <w:b/>
                <w:bCs/>
                <w:sz w:val="14"/>
                <w:szCs w:val="14"/>
              </w:rPr>
            </w:pPr>
            <w:r w:rsidRPr="00005453">
              <w:rPr>
                <w:b/>
                <w:bCs/>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0108E1E7" w14:textId="006D4C8E"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4CCEFE95" w14:textId="3AF5453D" w:rsidR="00E97A93" w:rsidRPr="00005453" w:rsidRDefault="00E97A93" w:rsidP="00E97A93">
            <w:pPr>
              <w:jc w:val="right"/>
              <w:rPr>
                <w:b/>
                <w:bCs/>
                <w:sz w:val="14"/>
                <w:szCs w:val="14"/>
              </w:rPr>
            </w:pPr>
            <w:r w:rsidRPr="00005453">
              <w:rPr>
                <w:b/>
                <w:bCs/>
                <w:sz w:val="14"/>
                <w:szCs w:val="18"/>
              </w:rPr>
              <w:t>-</w:t>
            </w:r>
          </w:p>
        </w:tc>
        <w:tc>
          <w:tcPr>
            <w:tcW w:w="902" w:type="dxa"/>
            <w:tcBorders>
              <w:top w:val="nil"/>
              <w:left w:val="single" w:sz="4" w:space="0" w:color="auto"/>
              <w:bottom w:val="nil"/>
              <w:right w:val="single" w:sz="4" w:space="0" w:color="auto"/>
            </w:tcBorders>
            <w:shd w:val="clear" w:color="auto" w:fill="auto"/>
            <w:vAlign w:val="center"/>
            <w:hideMark/>
          </w:tcPr>
          <w:p w14:paraId="3C0985A7" w14:textId="246EE939" w:rsidR="00E97A93" w:rsidRPr="00005453" w:rsidRDefault="00E97A93" w:rsidP="00E97A93">
            <w:pPr>
              <w:jc w:val="right"/>
              <w:rPr>
                <w:b/>
                <w:bCs/>
                <w:sz w:val="14"/>
                <w:szCs w:val="14"/>
                <w:lang w:eastAsia="tr-TR"/>
              </w:rPr>
            </w:pPr>
            <w:r w:rsidRPr="00005453">
              <w:rPr>
                <w:b/>
                <w:bCs/>
                <w:sz w:val="14"/>
                <w:szCs w:val="14"/>
              </w:rPr>
              <w:t>-</w:t>
            </w:r>
          </w:p>
        </w:tc>
        <w:tc>
          <w:tcPr>
            <w:tcW w:w="912" w:type="dxa"/>
            <w:tcBorders>
              <w:top w:val="nil"/>
              <w:left w:val="single" w:sz="4" w:space="0" w:color="auto"/>
              <w:bottom w:val="nil"/>
              <w:right w:val="single" w:sz="4" w:space="0" w:color="auto"/>
            </w:tcBorders>
            <w:shd w:val="clear" w:color="auto" w:fill="auto"/>
            <w:vAlign w:val="center"/>
            <w:hideMark/>
          </w:tcPr>
          <w:p w14:paraId="54592FB5" w14:textId="6FCB34B5"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7C881D00" w14:textId="00BF9443" w:rsidR="00E97A93" w:rsidRPr="00005453" w:rsidRDefault="00E97A93" w:rsidP="00E97A93">
            <w:pPr>
              <w:jc w:val="right"/>
              <w:rPr>
                <w:b/>
                <w:bCs/>
                <w:sz w:val="14"/>
                <w:szCs w:val="14"/>
                <w:lang w:eastAsia="tr-TR"/>
              </w:rPr>
            </w:pPr>
            <w:r w:rsidRPr="00005453">
              <w:rPr>
                <w:b/>
                <w:bCs/>
                <w:sz w:val="14"/>
                <w:szCs w:val="14"/>
              </w:rPr>
              <w:t>-</w:t>
            </w:r>
          </w:p>
        </w:tc>
      </w:tr>
      <w:tr w:rsidR="00E97A93" w:rsidRPr="00005453" w14:paraId="7E618A46" w14:textId="77777777" w:rsidTr="00A9473B">
        <w:trPr>
          <w:trHeight w:val="57"/>
        </w:trPr>
        <w:tc>
          <w:tcPr>
            <w:tcW w:w="455" w:type="dxa"/>
            <w:tcBorders>
              <w:top w:val="nil"/>
              <w:left w:val="single" w:sz="4" w:space="0" w:color="auto"/>
              <w:bottom w:val="nil"/>
              <w:right w:val="single" w:sz="4" w:space="0" w:color="auto"/>
            </w:tcBorders>
            <w:shd w:val="clear" w:color="auto" w:fill="auto"/>
            <w:noWrap/>
            <w:hideMark/>
          </w:tcPr>
          <w:p w14:paraId="41973E59"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IX.</w:t>
            </w:r>
          </w:p>
        </w:tc>
        <w:tc>
          <w:tcPr>
            <w:tcW w:w="3046" w:type="dxa"/>
            <w:tcBorders>
              <w:top w:val="nil"/>
              <w:left w:val="single" w:sz="4" w:space="0" w:color="auto"/>
              <w:bottom w:val="nil"/>
              <w:right w:val="single" w:sz="4" w:space="0" w:color="auto"/>
            </w:tcBorders>
            <w:shd w:val="clear" w:color="auto" w:fill="auto"/>
            <w:hideMark/>
          </w:tcPr>
          <w:p w14:paraId="623FB6D8"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hideMark/>
          </w:tcPr>
          <w:p w14:paraId="4156667E"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(5.1.15.)</w:t>
            </w:r>
          </w:p>
        </w:tc>
        <w:tc>
          <w:tcPr>
            <w:tcW w:w="864" w:type="dxa"/>
            <w:tcBorders>
              <w:top w:val="nil"/>
              <w:left w:val="single" w:sz="4" w:space="0" w:color="auto"/>
              <w:bottom w:val="nil"/>
              <w:right w:val="single" w:sz="4" w:space="0" w:color="auto"/>
            </w:tcBorders>
            <w:shd w:val="clear" w:color="auto" w:fill="auto"/>
            <w:vAlign w:val="center"/>
            <w:hideMark/>
          </w:tcPr>
          <w:p w14:paraId="2AA6CA70" w14:textId="0E7ECD78" w:rsidR="00E97A93" w:rsidRPr="00005453" w:rsidRDefault="00E97A93" w:rsidP="00E97A93">
            <w:pPr>
              <w:jc w:val="right"/>
              <w:rPr>
                <w:b/>
                <w:bCs/>
                <w:sz w:val="14"/>
                <w:szCs w:val="14"/>
              </w:rPr>
            </w:pPr>
            <w:r w:rsidRPr="00005453">
              <w:rPr>
                <w:b/>
                <w:bCs/>
                <w:sz w:val="14"/>
                <w:szCs w:val="18"/>
              </w:rPr>
              <w:t>8,340,450</w:t>
            </w:r>
          </w:p>
        </w:tc>
        <w:tc>
          <w:tcPr>
            <w:tcW w:w="863" w:type="dxa"/>
            <w:tcBorders>
              <w:top w:val="nil"/>
              <w:left w:val="single" w:sz="4" w:space="0" w:color="auto"/>
              <w:bottom w:val="nil"/>
              <w:right w:val="single" w:sz="4" w:space="0" w:color="auto"/>
            </w:tcBorders>
            <w:shd w:val="clear" w:color="auto" w:fill="auto"/>
            <w:vAlign w:val="center"/>
            <w:hideMark/>
          </w:tcPr>
          <w:p w14:paraId="5BB0FC48" w14:textId="76CBF88D" w:rsidR="00E97A93" w:rsidRPr="00005453" w:rsidRDefault="00E97A93" w:rsidP="00E97A93">
            <w:pPr>
              <w:jc w:val="right"/>
              <w:rPr>
                <w:b/>
                <w:bCs/>
                <w:sz w:val="14"/>
                <w:szCs w:val="14"/>
              </w:rPr>
            </w:pPr>
            <w:r w:rsidRPr="00005453">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2FCB4EF1" w14:textId="69B2B2D8" w:rsidR="00E97A93" w:rsidRPr="00005453" w:rsidRDefault="00E97A93" w:rsidP="00E97A93">
            <w:pPr>
              <w:jc w:val="right"/>
              <w:rPr>
                <w:b/>
                <w:bCs/>
                <w:sz w:val="14"/>
                <w:szCs w:val="14"/>
              </w:rPr>
            </w:pPr>
            <w:r w:rsidRPr="00005453">
              <w:rPr>
                <w:b/>
                <w:bCs/>
                <w:sz w:val="14"/>
                <w:szCs w:val="18"/>
              </w:rPr>
              <w:t>8,340,450</w:t>
            </w:r>
          </w:p>
        </w:tc>
        <w:tc>
          <w:tcPr>
            <w:tcW w:w="902" w:type="dxa"/>
            <w:tcBorders>
              <w:top w:val="nil"/>
              <w:left w:val="single" w:sz="4" w:space="0" w:color="auto"/>
              <w:bottom w:val="nil"/>
              <w:right w:val="single" w:sz="4" w:space="0" w:color="auto"/>
            </w:tcBorders>
            <w:shd w:val="clear" w:color="auto" w:fill="auto"/>
            <w:vAlign w:val="center"/>
            <w:hideMark/>
          </w:tcPr>
          <w:p w14:paraId="25A045E6" w14:textId="43ECEEF4" w:rsidR="00E97A93" w:rsidRPr="00005453" w:rsidRDefault="00E97A93" w:rsidP="00E97A93">
            <w:pPr>
              <w:jc w:val="right"/>
              <w:rPr>
                <w:b/>
                <w:bCs/>
                <w:sz w:val="14"/>
                <w:szCs w:val="14"/>
                <w:lang w:eastAsia="tr-TR"/>
              </w:rPr>
            </w:pPr>
            <w:r w:rsidRPr="00005453">
              <w:rPr>
                <w:b/>
                <w:bCs/>
                <w:sz w:val="14"/>
                <w:szCs w:val="14"/>
              </w:rPr>
              <w:t>5,747,818</w:t>
            </w:r>
          </w:p>
        </w:tc>
        <w:tc>
          <w:tcPr>
            <w:tcW w:w="912" w:type="dxa"/>
            <w:tcBorders>
              <w:top w:val="nil"/>
              <w:left w:val="single" w:sz="4" w:space="0" w:color="auto"/>
              <w:bottom w:val="nil"/>
              <w:right w:val="single" w:sz="4" w:space="0" w:color="auto"/>
            </w:tcBorders>
            <w:shd w:val="clear" w:color="auto" w:fill="auto"/>
            <w:vAlign w:val="center"/>
            <w:hideMark/>
          </w:tcPr>
          <w:p w14:paraId="10A653F0" w14:textId="25C21264" w:rsidR="00E97A93" w:rsidRPr="00005453" w:rsidRDefault="00E97A93" w:rsidP="00E97A93">
            <w:pPr>
              <w:jc w:val="right"/>
              <w:rPr>
                <w:b/>
                <w:bCs/>
                <w:sz w:val="14"/>
                <w:szCs w:val="14"/>
                <w:lang w:eastAsia="tr-TR"/>
              </w:rPr>
            </w:pPr>
            <w:r w:rsidRPr="00005453">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57EEC752" w14:textId="6D1D4BA4" w:rsidR="00E97A93" w:rsidRPr="00005453" w:rsidRDefault="00E97A93" w:rsidP="00E97A93">
            <w:pPr>
              <w:jc w:val="right"/>
              <w:rPr>
                <w:b/>
                <w:bCs/>
                <w:sz w:val="14"/>
                <w:szCs w:val="14"/>
                <w:lang w:eastAsia="tr-TR"/>
              </w:rPr>
            </w:pPr>
            <w:r w:rsidRPr="00005453">
              <w:rPr>
                <w:b/>
                <w:bCs/>
                <w:sz w:val="14"/>
                <w:szCs w:val="14"/>
              </w:rPr>
              <w:t>5,747,818</w:t>
            </w:r>
          </w:p>
        </w:tc>
      </w:tr>
      <w:tr w:rsidR="00E97A93" w:rsidRPr="00005453" w14:paraId="59A45BEF" w14:textId="77777777" w:rsidTr="00A9473B">
        <w:trPr>
          <w:trHeight w:val="57"/>
        </w:trPr>
        <w:tc>
          <w:tcPr>
            <w:tcW w:w="455" w:type="dxa"/>
            <w:tcBorders>
              <w:top w:val="nil"/>
              <w:left w:val="single" w:sz="4" w:space="0" w:color="auto"/>
              <w:bottom w:val="nil"/>
              <w:right w:val="single" w:sz="4" w:space="0" w:color="auto"/>
            </w:tcBorders>
            <w:shd w:val="clear" w:color="auto" w:fill="auto"/>
            <w:noWrap/>
            <w:hideMark/>
          </w:tcPr>
          <w:p w14:paraId="7F02986F"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X.</w:t>
            </w:r>
          </w:p>
        </w:tc>
        <w:tc>
          <w:tcPr>
            <w:tcW w:w="3046" w:type="dxa"/>
            <w:tcBorders>
              <w:top w:val="nil"/>
              <w:left w:val="single" w:sz="4" w:space="0" w:color="auto"/>
              <w:bottom w:val="nil"/>
              <w:right w:val="single" w:sz="4" w:space="0" w:color="auto"/>
            </w:tcBorders>
            <w:shd w:val="clear" w:color="auto" w:fill="auto"/>
            <w:hideMark/>
          </w:tcPr>
          <w:p w14:paraId="219EE804" w14:textId="77777777" w:rsidR="00E97A93" w:rsidRPr="00005453" w:rsidRDefault="00E97A93" w:rsidP="00E97A93">
            <w:pPr>
              <w:rPr>
                <w:b/>
                <w:bCs/>
                <w:color w:val="000000"/>
                <w:sz w:val="14"/>
                <w:szCs w:val="14"/>
                <w:lang w:eastAsia="tr-TR"/>
              </w:rPr>
            </w:pPr>
            <w:r w:rsidRPr="00005453">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hideMark/>
          </w:tcPr>
          <w:p w14:paraId="6837A782" w14:textId="77777777" w:rsidR="00E97A93" w:rsidRPr="00005453" w:rsidRDefault="00E97A93" w:rsidP="00E97A93">
            <w:pPr>
              <w:jc w:val="center"/>
              <w:rPr>
                <w:b/>
                <w:bCs/>
                <w:color w:val="000000"/>
                <w:sz w:val="14"/>
                <w:szCs w:val="14"/>
                <w:lang w:eastAsia="tr-TR"/>
              </w:rPr>
            </w:pPr>
            <w:r w:rsidRPr="00005453">
              <w:rPr>
                <w:b/>
                <w:bCs/>
                <w:color w:val="000000"/>
                <w:sz w:val="14"/>
                <w:szCs w:val="14"/>
                <w:lang w:eastAsia="tr-TR"/>
              </w:rPr>
              <w:t>(5.1.17.)</w:t>
            </w:r>
          </w:p>
        </w:tc>
        <w:tc>
          <w:tcPr>
            <w:tcW w:w="864" w:type="dxa"/>
            <w:tcBorders>
              <w:top w:val="nil"/>
              <w:left w:val="single" w:sz="4" w:space="0" w:color="auto"/>
              <w:bottom w:val="nil"/>
              <w:right w:val="single" w:sz="4" w:space="0" w:color="auto"/>
            </w:tcBorders>
            <w:shd w:val="clear" w:color="auto" w:fill="auto"/>
            <w:vAlign w:val="center"/>
            <w:hideMark/>
          </w:tcPr>
          <w:p w14:paraId="3A222010" w14:textId="6E816956" w:rsidR="00E97A93" w:rsidRPr="00005453" w:rsidRDefault="00E97A93" w:rsidP="00E97A93">
            <w:pPr>
              <w:jc w:val="right"/>
              <w:rPr>
                <w:b/>
                <w:bCs/>
                <w:sz w:val="14"/>
                <w:szCs w:val="14"/>
              </w:rPr>
            </w:pPr>
            <w:r w:rsidRPr="00005453">
              <w:rPr>
                <w:b/>
                <w:bCs/>
                <w:sz w:val="14"/>
                <w:szCs w:val="18"/>
              </w:rPr>
              <w:t>9,065,395</w:t>
            </w:r>
          </w:p>
        </w:tc>
        <w:tc>
          <w:tcPr>
            <w:tcW w:w="863" w:type="dxa"/>
            <w:tcBorders>
              <w:top w:val="nil"/>
              <w:left w:val="single" w:sz="4" w:space="0" w:color="auto"/>
              <w:bottom w:val="nil"/>
              <w:right w:val="single" w:sz="4" w:space="0" w:color="auto"/>
            </w:tcBorders>
            <w:shd w:val="clear" w:color="auto" w:fill="auto"/>
            <w:vAlign w:val="center"/>
            <w:hideMark/>
          </w:tcPr>
          <w:p w14:paraId="4A34C6A0" w14:textId="6E2188B6" w:rsidR="00E97A93" w:rsidRPr="00005453" w:rsidRDefault="00E97A93" w:rsidP="00E97A93">
            <w:pPr>
              <w:jc w:val="right"/>
              <w:rPr>
                <w:b/>
                <w:bCs/>
                <w:sz w:val="14"/>
                <w:szCs w:val="14"/>
              </w:rPr>
            </w:pPr>
            <w:r w:rsidRPr="00005453">
              <w:rPr>
                <w:b/>
                <w:bCs/>
                <w:sz w:val="14"/>
                <w:szCs w:val="18"/>
              </w:rPr>
              <w:t>144,358</w:t>
            </w:r>
          </w:p>
        </w:tc>
        <w:tc>
          <w:tcPr>
            <w:tcW w:w="901" w:type="dxa"/>
            <w:tcBorders>
              <w:top w:val="nil"/>
              <w:left w:val="single" w:sz="4" w:space="0" w:color="auto"/>
              <w:bottom w:val="nil"/>
              <w:right w:val="single" w:sz="4" w:space="0" w:color="auto"/>
            </w:tcBorders>
            <w:shd w:val="clear" w:color="auto" w:fill="auto"/>
            <w:vAlign w:val="center"/>
            <w:hideMark/>
          </w:tcPr>
          <w:p w14:paraId="65B4C688" w14:textId="2211719C" w:rsidR="00E97A93" w:rsidRPr="00005453" w:rsidRDefault="00E97A93" w:rsidP="00E97A93">
            <w:pPr>
              <w:jc w:val="right"/>
              <w:rPr>
                <w:b/>
                <w:bCs/>
                <w:sz w:val="14"/>
                <w:szCs w:val="14"/>
              </w:rPr>
            </w:pPr>
            <w:r w:rsidRPr="00005453">
              <w:rPr>
                <w:b/>
                <w:bCs/>
                <w:sz w:val="14"/>
                <w:szCs w:val="18"/>
              </w:rPr>
              <w:t>9,209,753</w:t>
            </w:r>
          </w:p>
        </w:tc>
        <w:tc>
          <w:tcPr>
            <w:tcW w:w="902" w:type="dxa"/>
            <w:tcBorders>
              <w:top w:val="nil"/>
              <w:left w:val="single" w:sz="4" w:space="0" w:color="auto"/>
              <w:bottom w:val="nil"/>
              <w:right w:val="single" w:sz="4" w:space="0" w:color="auto"/>
            </w:tcBorders>
            <w:shd w:val="clear" w:color="auto" w:fill="auto"/>
            <w:vAlign w:val="center"/>
            <w:hideMark/>
          </w:tcPr>
          <w:p w14:paraId="63314A83" w14:textId="4A27F540" w:rsidR="00E97A93" w:rsidRPr="00005453" w:rsidRDefault="00E97A93" w:rsidP="00E97A93">
            <w:pPr>
              <w:jc w:val="right"/>
              <w:rPr>
                <w:b/>
                <w:bCs/>
                <w:sz w:val="14"/>
                <w:szCs w:val="14"/>
                <w:lang w:eastAsia="tr-TR"/>
              </w:rPr>
            </w:pPr>
            <w:r w:rsidRPr="00005453">
              <w:rPr>
                <w:b/>
                <w:bCs/>
                <w:sz w:val="14"/>
                <w:szCs w:val="14"/>
              </w:rPr>
              <w:t>2,037,028</w:t>
            </w:r>
          </w:p>
        </w:tc>
        <w:tc>
          <w:tcPr>
            <w:tcW w:w="912" w:type="dxa"/>
            <w:tcBorders>
              <w:top w:val="nil"/>
              <w:left w:val="single" w:sz="4" w:space="0" w:color="auto"/>
              <w:bottom w:val="nil"/>
              <w:right w:val="single" w:sz="4" w:space="0" w:color="auto"/>
            </w:tcBorders>
            <w:shd w:val="clear" w:color="auto" w:fill="auto"/>
            <w:vAlign w:val="center"/>
            <w:hideMark/>
          </w:tcPr>
          <w:p w14:paraId="75046E23" w14:textId="4DDB6FE5" w:rsidR="00E97A93" w:rsidRPr="00005453" w:rsidRDefault="00E97A93" w:rsidP="00E97A93">
            <w:pPr>
              <w:jc w:val="right"/>
              <w:rPr>
                <w:b/>
                <w:bCs/>
                <w:sz w:val="14"/>
                <w:szCs w:val="14"/>
                <w:lang w:eastAsia="tr-TR"/>
              </w:rPr>
            </w:pPr>
            <w:r w:rsidRPr="00005453">
              <w:rPr>
                <w:b/>
                <w:bCs/>
                <w:sz w:val="14"/>
                <w:szCs w:val="14"/>
              </w:rPr>
              <w:t>319,278</w:t>
            </w:r>
          </w:p>
        </w:tc>
        <w:tc>
          <w:tcPr>
            <w:tcW w:w="1065" w:type="dxa"/>
            <w:tcBorders>
              <w:top w:val="nil"/>
              <w:left w:val="single" w:sz="4" w:space="0" w:color="auto"/>
              <w:bottom w:val="nil"/>
              <w:right w:val="single" w:sz="4" w:space="0" w:color="auto"/>
            </w:tcBorders>
            <w:shd w:val="clear" w:color="auto" w:fill="auto"/>
            <w:vAlign w:val="center"/>
            <w:hideMark/>
          </w:tcPr>
          <w:p w14:paraId="460219CB" w14:textId="6E964D29" w:rsidR="00E97A93" w:rsidRPr="00005453" w:rsidRDefault="00E97A93" w:rsidP="00E97A93">
            <w:pPr>
              <w:jc w:val="right"/>
              <w:rPr>
                <w:b/>
                <w:bCs/>
                <w:sz w:val="14"/>
                <w:szCs w:val="14"/>
                <w:lang w:eastAsia="tr-TR"/>
              </w:rPr>
            </w:pPr>
            <w:r w:rsidRPr="00005453">
              <w:rPr>
                <w:b/>
                <w:bCs/>
                <w:sz w:val="14"/>
                <w:szCs w:val="14"/>
              </w:rPr>
              <w:t>2,356,306</w:t>
            </w:r>
          </w:p>
        </w:tc>
      </w:tr>
      <w:tr w:rsidR="000867DC" w:rsidRPr="00005453" w14:paraId="67B51678" w14:textId="77777777" w:rsidTr="00A9473B">
        <w:trPr>
          <w:trHeight w:val="57"/>
        </w:trPr>
        <w:tc>
          <w:tcPr>
            <w:tcW w:w="455" w:type="dxa"/>
            <w:tcBorders>
              <w:top w:val="nil"/>
              <w:left w:val="single" w:sz="4" w:space="0" w:color="auto"/>
              <w:bottom w:val="nil"/>
              <w:right w:val="single" w:sz="4" w:space="0" w:color="auto"/>
            </w:tcBorders>
            <w:shd w:val="clear" w:color="auto" w:fill="auto"/>
            <w:noWrap/>
            <w:hideMark/>
          </w:tcPr>
          <w:p w14:paraId="1167BBD7" w14:textId="77777777" w:rsidR="000867DC" w:rsidRPr="00005453" w:rsidRDefault="000867DC" w:rsidP="000867DC">
            <w:pPr>
              <w:rPr>
                <w:b/>
                <w:bCs/>
                <w:sz w:val="10"/>
                <w:szCs w:val="10"/>
                <w:lang w:eastAsia="tr-TR"/>
              </w:rPr>
            </w:pPr>
          </w:p>
        </w:tc>
        <w:tc>
          <w:tcPr>
            <w:tcW w:w="3046" w:type="dxa"/>
            <w:tcBorders>
              <w:top w:val="nil"/>
              <w:left w:val="single" w:sz="4" w:space="0" w:color="auto"/>
              <w:bottom w:val="nil"/>
              <w:right w:val="single" w:sz="4" w:space="0" w:color="auto"/>
            </w:tcBorders>
            <w:shd w:val="clear" w:color="auto" w:fill="auto"/>
            <w:noWrap/>
            <w:hideMark/>
          </w:tcPr>
          <w:p w14:paraId="539DDCAE" w14:textId="77777777" w:rsidR="000867DC" w:rsidRPr="00005453" w:rsidRDefault="000867DC" w:rsidP="000867DC">
            <w:pPr>
              <w:rPr>
                <w:sz w:val="10"/>
                <w:szCs w:val="10"/>
                <w:lang w:eastAsia="tr-TR"/>
              </w:rPr>
            </w:pPr>
          </w:p>
        </w:tc>
        <w:tc>
          <w:tcPr>
            <w:tcW w:w="619" w:type="dxa"/>
            <w:tcBorders>
              <w:top w:val="nil"/>
              <w:left w:val="single" w:sz="4" w:space="0" w:color="auto"/>
              <w:bottom w:val="nil"/>
              <w:right w:val="single" w:sz="4" w:space="0" w:color="auto"/>
            </w:tcBorders>
            <w:shd w:val="clear" w:color="auto" w:fill="auto"/>
            <w:noWrap/>
            <w:hideMark/>
          </w:tcPr>
          <w:p w14:paraId="6A27D42D" w14:textId="77777777" w:rsidR="000867DC" w:rsidRPr="00005453" w:rsidRDefault="000867DC" w:rsidP="000867DC">
            <w:pPr>
              <w:jc w:val="center"/>
              <w:rPr>
                <w:sz w:val="10"/>
                <w:szCs w:val="10"/>
                <w:lang w:eastAsia="tr-TR"/>
              </w:rPr>
            </w:pPr>
          </w:p>
        </w:tc>
        <w:tc>
          <w:tcPr>
            <w:tcW w:w="864" w:type="dxa"/>
            <w:tcBorders>
              <w:top w:val="nil"/>
              <w:left w:val="single" w:sz="4" w:space="0" w:color="auto"/>
              <w:bottom w:val="single" w:sz="4" w:space="0" w:color="auto"/>
              <w:right w:val="single" w:sz="4" w:space="0" w:color="auto"/>
            </w:tcBorders>
            <w:shd w:val="clear" w:color="auto" w:fill="auto"/>
            <w:noWrap/>
            <w:hideMark/>
          </w:tcPr>
          <w:p w14:paraId="1503C1CE" w14:textId="77777777" w:rsidR="000867DC" w:rsidRPr="00005453" w:rsidRDefault="000867DC" w:rsidP="000867DC">
            <w:pPr>
              <w:jc w:val="right"/>
              <w:rPr>
                <w:sz w:val="14"/>
                <w:szCs w:val="14"/>
              </w:rPr>
            </w:pPr>
          </w:p>
        </w:tc>
        <w:tc>
          <w:tcPr>
            <w:tcW w:w="863" w:type="dxa"/>
            <w:tcBorders>
              <w:top w:val="nil"/>
              <w:left w:val="single" w:sz="4" w:space="0" w:color="auto"/>
              <w:bottom w:val="single" w:sz="4" w:space="0" w:color="auto"/>
              <w:right w:val="single" w:sz="4" w:space="0" w:color="auto"/>
            </w:tcBorders>
            <w:shd w:val="clear" w:color="auto" w:fill="auto"/>
            <w:noWrap/>
            <w:hideMark/>
          </w:tcPr>
          <w:p w14:paraId="4C2EAE30" w14:textId="77777777" w:rsidR="000867DC" w:rsidRPr="00005453" w:rsidRDefault="000867DC" w:rsidP="000867DC">
            <w:pPr>
              <w:jc w:val="right"/>
              <w:rPr>
                <w:sz w:val="14"/>
                <w:szCs w:val="14"/>
              </w:rPr>
            </w:pPr>
          </w:p>
        </w:tc>
        <w:tc>
          <w:tcPr>
            <w:tcW w:w="901" w:type="dxa"/>
            <w:tcBorders>
              <w:top w:val="nil"/>
              <w:left w:val="single" w:sz="4" w:space="0" w:color="auto"/>
              <w:bottom w:val="single" w:sz="4" w:space="0" w:color="auto"/>
              <w:right w:val="single" w:sz="4" w:space="0" w:color="auto"/>
            </w:tcBorders>
            <w:shd w:val="clear" w:color="auto" w:fill="auto"/>
            <w:noWrap/>
            <w:hideMark/>
          </w:tcPr>
          <w:p w14:paraId="35DD43AD" w14:textId="77777777" w:rsidR="000867DC" w:rsidRPr="00005453" w:rsidRDefault="000867DC" w:rsidP="000867DC">
            <w:pPr>
              <w:jc w:val="right"/>
              <w:rPr>
                <w:sz w:val="14"/>
                <w:szCs w:val="14"/>
              </w:rPr>
            </w:pP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14:paraId="047A0E55" w14:textId="77777777" w:rsidR="000867DC" w:rsidRPr="00005453" w:rsidRDefault="000867DC" w:rsidP="000867DC">
            <w:pPr>
              <w:jc w:val="right"/>
              <w:rPr>
                <w:color w:val="000000"/>
                <w:sz w:val="10"/>
                <w:szCs w:val="10"/>
                <w:lang w:eastAsia="tr-TR"/>
              </w:rPr>
            </w:pPr>
          </w:p>
        </w:tc>
        <w:tc>
          <w:tcPr>
            <w:tcW w:w="912" w:type="dxa"/>
            <w:tcBorders>
              <w:top w:val="nil"/>
              <w:left w:val="single" w:sz="4" w:space="0" w:color="auto"/>
              <w:bottom w:val="single" w:sz="4" w:space="0" w:color="auto"/>
              <w:right w:val="single" w:sz="4" w:space="0" w:color="auto"/>
            </w:tcBorders>
            <w:shd w:val="clear" w:color="auto" w:fill="auto"/>
            <w:noWrap/>
            <w:vAlign w:val="center"/>
            <w:hideMark/>
          </w:tcPr>
          <w:p w14:paraId="5984751F" w14:textId="77777777" w:rsidR="000867DC" w:rsidRPr="00005453" w:rsidRDefault="000867DC" w:rsidP="000867DC">
            <w:pPr>
              <w:jc w:val="right"/>
              <w:rPr>
                <w:color w:val="000000"/>
                <w:sz w:val="10"/>
                <w:szCs w:val="10"/>
                <w:lang w:eastAsia="tr-TR"/>
              </w:rPr>
            </w:pPr>
          </w:p>
        </w:tc>
        <w:tc>
          <w:tcPr>
            <w:tcW w:w="1065" w:type="dxa"/>
            <w:tcBorders>
              <w:top w:val="nil"/>
              <w:left w:val="single" w:sz="4" w:space="0" w:color="auto"/>
              <w:bottom w:val="single" w:sz="4" w:space="0" w:color="auto"/>
              <w:right w:val="single" w:sz="4" w:space="0" w:color="auto"/>
            </w:tcBorders>
            <w:shd w:val="clear" w:color="auto" w:fill="auto"/>
            <w:noWrap/>
            <w:vAlign w:val="center"/>
            <w:hideMark/>
          </w:tcPr>
          <w:p w14:paraId="498E007A" w14:textId="77777777" w:rsidR="000867DC" w:rsidRPr="00005453" w:rsidRDefault="000867DC" w:rsidP="000867DC">
            <w:pPr>
              <w:jc w:val="right"/>
              <w:rPr>
                <w:color w:val="000000"/>
                <w:sz w:val="10"/>
                <w:szCs w:val="10"/>
                <w:lang w:eastAsia="tr-TR"/>
              </w:rPr>
            </w:pPr>
          </w:p>
        </w:tc>
      </w:tr>
      <w:tr w:rsidR="000867DC" w:rsidRPr="00005453" w14:paraId="51CF3EAD" w14:textId="77777777" w:rsidTr="00A9473B">
        <w:trPr>
          <w:trHeight w:val="197"/>
        </w:trPr>
        <w:tc>
          <w:tcPr>
            <w:tcW w:w="455" w:type="dxa"/>
            <w:tcBorders>
              <w:top w:val="single" w:sz="4" w:space="0" w:color="auto"/>
              <w:left w:val="single" w:sz="4" w:space="0" w:color="auto"/>
              <w:bottom w:val="single" w:sz="4" w:space="0" w:color="auto"/>
              <w:right w:val="single" w:sz="4" w:space="0" w:color="auto"/>
            </w:tcBorders>
            <w:shd w:val="clear" w:color="auto" w:fill="auto"/>
            <w:noWrap/>
            <w:hideMark/>
          </w:tcPr>
          <w:p w14:paraId="292BE4BE" w14:textId="77777777" w:rsidR="000867DC" w:rsidRPr="00005453" w:rsidRDefault="000867DC" w:rsidP="000867DC">
            <w:pPr>
              <w:rPr>
                <w:b/>
                <w:bCs/>
                <w:color w:val="000000"/>
                <w:sz w:val="14"/>
                <w:szCs w:val="14"/>
                <w:lang w:eastAsia="tr-TR"/>
              </w:rPr>
            </w:pPr>
            <w:r w:rsidRPr="00005453">
              <w:rPr>
                <w:b/>
                <w:bCs/>
                <w:color w:val="000000"/>
                <w:sz w:val="14"/>
                <w:szCs w:val="14"/>
                <w:lang w:eastAsia="tr-TR"/>
              </w:rPr>
              <w:t> </w:t>
            </w:r>
          </w:p>
        </w:tc>
        <w:tc>
          <w:tcPr>
            <w:tcW w:w="3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31D20" w14:textId="77777777" w:rsidR="000867DC" w:rsidRPr="00005453" w:rsidRDefault="000867DC" w:rsidP="000867DC">
            <w:pPr>
              <w:rPr>
                <w:b/>
                <w:bCs/>
                <w:color w:val="000000"/>
                <w:sz w:val="14"/>
                <w:szCs w:val="14"/>
                <w:lang w:eastAsia="tr-TR"/>
              </w:rPr>
            </w:pPr>
            <w:r w:rsidRPr="00005453">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10EC4" w14:textId="77777777" w:rsidR="000867DC" w:rsidRPr="00005453" w:rsidRDefault="000867DC" w:rsidP="000867DC">
            <w:pPr>
              <w:jc w:val="center"/>
              <w:rPr>
                <w:b/>
                <w:bCs/>
                <w:color w:val="000000"/>
                <w:sz w:val="14"/>
                <w:szCs w:val="14"/>
                <w:lang w:eastAsia="tr-TR"/>
              </w:rPr>
            </w:pPr>
          </w:p>
        </w:tc>
        <w:tc>
          <w:tcPr>
            <w:tcW w:w="864" w:type="dxa"/>
            <w:tcBorders>
              <w:top w:val="nil"/>
              <w:left w:val="single" w:sz="4" w:space="0" w:color="auto"/>
              <w:bottom w:val="single" w:sz="4" w:space="0" w:color="auto"/>
              <w:right w:val="single" w:sz="4" w:space="0" w:color="auto"/>
            </w:tcBorders>
            <w:shd w:val="clear" w:color="auto" w:fill="auto"/>
            <w:vAlign w:val="center"/>
            <w:hideMark/>
          </w:tcPr>
          <w:p w14:paraId="5390739B" w14:textId="0056875F" w:rsidR="000867DC" w:rsidRPr="00005453" w:rsidRDefault="000867DC" w:rsidP="000867DC">
            <w:pPr>
              <w:jc w:val="right"/>
              <w:rPr>
                <w:b/>
                <w:bCs/>
                <w:sz w:val="14"/>
                <w:szCs w:val="14"/>
              </w:rPr>
            </w:pPr>
            <w:r w:rsidRPr="00005453">
              <w:rPr>
                <w:b/>
                <w:bCs/>
                <w:sz w:val="14"/>
                <w:szCs w:val="18"/>
              </w:rPr>
              <w:t>407,023,820</w:t>
            </w:r>
          </w:p>
        </w:tc>
        <w:tc>
          <w:tcPr>
            <w:tcW w:w="863" w:type="dxa"/>
            <w:tcBorders>
              <w:top w:val="nil"/>
              <w:left w:val="single" w:sz="4" w:space="0" w:color="auto"/>
              <w:bottom w:val="single" w:sz="4" w:space="0" w:color="auto"/>
              <w:right w:val="single" w:sz="4" w:space="0" w:color="auto"/>
            </w:tcBorders>
            <w:shd w:val="clear" w:color="auto" w:fill="auto"/>
            <w:vAlign w:val="center"/>
            <w:hideMark/>
          </w:tcPr>
          <w:p w14:paraId="67AFEBA1" w14:textId="50DCFB6C" w:rsidR="000867DC" w:rsidRPr="00005453" w:rsidRDefault="000867DC" w:rsidP="000867DC">
            <w:pPr>
              <w:jc w:val="right"/>
              <w:rPr>
                <w:b/>
                <w:bCs/>
                <w:sz w:val="14"/>
                <w:szCs w:val="14"/>
              </w:rPr>
            </w:pPr>
            <w:r w:rsidRPr="00005453">
              <w:rPr>
                <w:b/>
                <w:bCs/>
                <w:sz w:val="14"/>
                <w:szCs w:val="18"/>
              </w:rPr>
              <w:t>445,096,583</w:t>
            </w:r>
          </w:p>
        </w:tc>
        <w:tc>
          <w:tcPr>
            <w:tcW w:w="901" w:type="dxa"/>
            <w:tcBorders>
              <w:top w:val="nil"/>
              <w:left w:val="single" w:sz="4" w:space="0" w:color="auto"/>
              <w:bottom w:val="single" w:sz="4" w:space="0" w:color="auto"/>
              <w:right w:val="single" w:sz="4" w:space="0" w:color="auto"/>
            </w:tcBorders>
            <w:shd w:val="clear" w:color="auto" w:fill="auto"/>
            <w:vAlign w:val="center"/>
            <w:hideMark/>
          </w:tcPr>
          <w:p w14:paraId="62EF7606" w14:textId="2AEF7411" w:rsidR="000867DC" w:rsidRPr="00005453" w:rsidRDefault="000867DC" w:rsidP="000867DC">
            <w:pPr>
              <w:jc w:val="right"/>
              <w:rPr>
                <w:b/>
                <w:bCs/>
                <w:sz w:val="14"/>
                <w:szCs w:val="14"/>
              </w:rPr>
            </w:pPr>
            <w:r w:rsidRPr="00005453">
              <w:rPr>
                <w:b/>
                <w:bCs/>
                <w:sz w:val="14"/>
                <w:szCs w:val="18"/>
              </w:rPr>
              <w:t>852,120,403</w:t>
            </w:r>
          </w:p>
        </w:tc>
        <w:tc>
          <w:tcPr>
            <w:tcW w:w="902" w:type="dxa"/>
            <w:tcBorders>
              <w:top w:val="nil"/>
              <w:left w:val="single" w:sz="4" w:space="0" w:color="auto"/>
              <w:bottom w:val="single" w:sz="4" w:space="0" w:color="auto"/>
              <w:right w:val="single" w:sz="4" w:space="0" w:color="auto"/>
            </w:tcBorders>
            <w:shd w:val="clear" w:color="auto" w:fill="auto"/>
            <w:vAlign w:val="center"/>
            <w:hideMark/>
          </w:tcPr>
          <w:p w14:paraId="178FABA9" w14:textId="4C4444D2" w:rsidR="000867DC" w:rsidRPr="00005453" w:rsidRDefault="000867DC" w:rsidP="000867DC">
            <w:pPr>
              <w:jc w:val="right"/>
              <w:rPr>
                <w:b/>
                <w:bCs/>
                <w:sz w:val="14"/>
                <w:szCs w:val="14"/>
                <w:lang w:eastAsia="tr-TR"/>
              </w:rPr>
            </w:pPr>
            <w:r w:rsidRPr="00005453">
              <w:rPr>
                <w:b/>
                <w:bCs/>
                <w:sz w:val="14"/>
                <w:szCs w:val="14"/>
              </w:rPr>
              <w:t>345,346,345</w:t>
            </w:r>
          </w:p>
        </w:tc>
        <w:tc>
          <w:tcPr>
            <w:tcW w:w="912" w:type="dxa"/>
            <w:tcBorders>
              <w:top w:val="nil"/>
              <w:left w:val="single" w:sz="4" w:space="0" w:color="auto"/>
              <w:bottom w:val="single" w:sz="4" w:space="0" w:color="auto"/>
              <w:right w:val="single" w:sz="4" w:space="0" w:color="auto"/>
            </w:tcBorders>
            <w:shd w:val="clear" w:color="auto" w:fill="auto"/>
            <w:vAlign w:val="center"/>
            <w:hideMark/>
          </w:tcPr>
          <w:p w14:paraId="7DB91FF3" w14:textId="13DCBDE0" w:rsidR="000867DC" w:rsidRPr="00005453" w:rsidRDefault="000867DC" w:rsidP="000867DC">
            <w:pPr>
              <w:jc w:val="right"/>
              <w:rPr>
                <w:b/>
                <w:bCs/>
                <w:sz w:val="14"/>
                <w:szCs w:val="14"/>
                <w:lang w:eastAsia="tr-TR"/>
              </w:rPr>
            </w:pPr>
            <w:r w:rsidRPr="00005453">
              <w:rPr>
                <w:b/>
                <w:bCs/>
                <w:sz w:val="14"/>
                <w:szCs w:val="14"/>
              </w:rPr>
              <w:t>322,821,870</w:t>
            </w:r>
          </w:p>
        </w:tc>
        <w:tc>
          <w:tcPr>
            <w:tcW w:w="1065" w:type="dxa"/>
            <w:tcBorders>
              <w:top w:val="nil"/>
              <w:left w:val="single" w:sz="4" w:space="0" w:color="auto"/>
              <w:bottom w:val="single" w:sz="4" w:space="0" w:color="auto"/>
              <w:right w:val="single" w:sz="4" w:space="0" w:color="auto"/>
            </w:tcBorders>
            <w:shd w:val="clear" w:color="auto" w:fill="auto"/>
            <w:vAlign w:val="center"/>
            <w:hideMark/>
          </w:tcPr>
          <w:p w14:paraId="420B97E7" w14:textId="6F1DF123" w:rsidR="000867DC" w:rsidRPr="00005453" w:rsidRDefault="000867DC" w:rsidP="000867DC">
            <w:pPr>
              <w:jc w:val="right"/>
              <w:rPr>
                <w:b/>
                <w:bCs/>
                <w:sz w:val="14"/>
                <w:szCs w:val="14"/>
                <w:lang w:eastAsia="tr-TR"/>
              </w:rPr>
            </w:pPr>
            <w:r w:rsidRPr="00005453">
              <w:rPr>
                <w:b/>
                <w:bCs/>
                <w:sz w:val="14"/>
                <w:szCs w:val="14"/>
              </w:rPr>
              <w:t>668,168,215</w:t>
            </w:r>
          </w:p>
        </w:tc>
      </w:tr>
    </w:tbl>
    <w:p w14:paraId="5B0A40F9" w14:textId="12208B23" w:rsidR="002F1C1D" w:rsidRPr="00005453" w:rsidRDefault="002F1C1D" w:rsidP="00615D21">
      <w:pPr>
        <w:tabs>
          <w:tab w:val="left" w:pos="709"/>
        </w:tabs>
        <w:autoSpaceDE w:val="0"/>
        <w:autoSpaceDN w:val="0"/>
        <w:adjustRightInd w:val="0"/>
        <w:rPr>
          <w:lang w:val="en-GB" w:eastAsia="en-GB"/>
        </w:rPr>
      </w:pPr>
    </w:p>
    <w:p w14:paraId="649168C5" w14:textId="054AC729" w:rsidR="00DB0502" w:rsidRPr="00005453" w:rsidRDefault="00DB0502" w:rsidP="00615D21">
      <w:pPr>
        <w:tabs>
          <w:tab w:val="left" w:pos="709"/>
        </w:tabs>
        <w:autoSpaceDE w:val="0"/>
        <w:autoSpaceDN w:val="0"/>
        <w:adjustRightInd w:val="0"/>
        <w:rPr>
          <w:rFonts w:eastAsia="Arial Unicode MS"/>
          <w:bCs/>
          <w:sz w:val="14"/>
          <w:szCs w:val="14"/>
        </w:rPr>
      </w:pPr>
    </w:p>
    <w:bookmarkEnd w:id="7"/>
    <w:bookmarkEnd w:id="8"/>
    <w:p w14:paraId="71424E7E" w14:textId="5CDDEDE0" w:rsidR="00666B0D" w:rsidRPr="00005453" w:rsidRDefault="00666B0D" w:rsidP="00615D21">
      <w:pPr>
        <w:tabs>
          <w:tab w:val="left" w:pos="5880"/>
        </w:tabs>
        <w:autoSpaceDE w:val="0"/>
        <w:autoSpaceDN w:val="0"/>
        <w:adjustRightInd w:val="0"/>
        <w:jc w:val="center"/>
        <w:rPr>
          <w:bCs/>
          <w:i/>
          <w:iCs/>
          <w:sz w:val="14"/>
          <w:szCs w:val="14"/>
        </w:rPr>
      </w:pPr>
    </w:p>
    <w:p w14:paraId="48FBA1BC" w14:textId="7D354B08" w:rsidR="00666B0D" w:rsidRPr="00005453" w:rsidRDefault="00666B0D" w:rsidP="00615D21">
      <w:pPr>
        <w:tabs>
          <w:tab w:val="left" w:pos="5880"/>
        </w:tabs>
        <w:autoSpaceDE w:val="0"/>
        <w:autoSpaceDN w:val="0"/>
        <w:adjustRightInd w:val="0"/>
        <w:jc w:val="center"/>
        <w:rPr>
          <w:bCs/>
          <w:i/>
          <w:iCs/>
          <w:sz w:val="14"/>
          <w:szCs w:val="14"/>
        </w:rPr>
      </w:pPr>
    </w:p>
    <w:p w14:paraId="27B2FE8A" w14:textId="18333430" w:rsidR="00666B0D" w:rsidRPr="00005453" w:rsidRDefault="00666B0D" w:rsidP="00615D21">
      <w:pPr>
        <w:tabs>
          <w:tab w:val="left" w:pos="5880"/>
        </w:tabs>
        <w:autoSpaceDE w:val="0"/>
        <w:autoSpaceDN w:val="0"/>
        <w:adjustRightInd w:val="0"/>
        <w:jc w:val="center"/>
        <w:rPr>
          <w:bCs/>
          <w:i/>
          <w:iCs/>
          <w:sz w:val="14"/>
          <w:szCs w:val="14"/>
        </w:rPr>
      </w:pPr>
    </w:p>
    <w:p w14:paraId="7F65C636" w14:textId="129E6B40" w:rsidR="00666B0D" w:rsidRPr="00005453" w:rsidRDefault="00666B0D" w:rsidP="00615D21">
      <w:pPr>
        <w:tabs>
          <w:tab w:val="left" w:pos="5880"/>
        </w:tabs>
        <w:autoSpaceDE w:val="0"/>
        <w:autoSpaceDN w:val="0"/>
        <w:adjustRightInd w:val="0"/>
        <w:jc w:val="center"/>
        <w:rPr>
          <w:bCs/>
          <w:i/>
          <w:iCs/>
          <w:sz w:val="14"/>
          <w:szCs w:val="14"/>
        </w:rPr>
      </w:pPr>
    </w:p>
    <w:p w14:paraId="62851F3C" w14:textId="3F568854" w:rsidR="00666B0D" w:rsidRPr="00005453" w:rsidRDefault="00666B0D" w:rsidP="00615D21">
      <w:pPr>
        <w:tabs>
          <w:tab w:val="left" w:pos="5880"/>
        </w:tabs>
        <w:autoSpaceDE w:val="0"/>
        <w:autoSpaceDN w:val="0"/>
        <w:adjustRightInd w:val="0"/>
        <w:jc w:val="center"/>
        <w:rPr>
          <w:bCs/>
          <w:i/>
          <w:iCs/>
          <w:sz w:val="14"/>
          <w:szCs w:val="14"/>
        </w:rPr>
      </w:pPr>
    </w:p>
    <w:p w14:paraId="780F9EA5" w14:textId="77777777" w:rsidR="00DB07C7" w:rsidRPr="00005453" w:rsidRDefault="00DB07C7" w:rsidP="00615D21">
      <w:pPr>
        <w:tabs>
          <w:tab w:val="left" w:pos="5880"/>
        </w:tabs>
        <w:autoSpaceDE w:val="0"/>
        <w:autoSpaceDN w:val="0"/>
        <w:adjustRightInd w:val="0"/>
        <w:jc w:val="center"/>
        <w:rPr>
          <w:bCs/>
          <w:i/>
          <w:iCs/>
          <w:sz w:val="14"/>
          <w:szCs w:val="14"/>
        </w:rPr>
      </w:pPr>
    </w:p>
    <w:p w14:paraId="5C9706BF" w14:textId="77777777" w:rsidR="00DB07C7" w:rsidRPr="00005453" w:rsidRDefault="00DB07C7" w:rsidP="00615D21">
      <w:pPr>
        <w:tabs>
          <w:tab w:val="left" w:pos="5880"/>
        </w:tabs>
        <w:autoSpaceDE w:val="0"/>
        <w:autoSpaceDN w:val="0"/>
        <w:adjustRightInd w:val="0"/>
        <w:jc w:val="center"/>
        <w:rPr>
          <w:bCs/>
          <w:i/>
          <w:iCs/>
          <w:sz w:val="14"/>
          <w:szCs w:val="14"/>
        </w:rPr>
      </w:pPr>
    </w:p>
    <w:p w14:paraId="56E792AD" w14:textId="77777777" w:rsidR="00DB07C7" w:rsidRPr="00005453" w:rsidRDefault="00DB07C7" w:rsidP="00615D21">
      <w:pPr>
        <w:tabs>
          <w:tab w:val="left" w:pos="5880"/>
        </w:tabs>
        <w:autoSpaceDE w:val="0"/>
        <w:autoSpaceDN w:val="0"/>
        <w:adjustRightInd w:val="0"/>
        <w:jc w:val="center"/>
        <w:rPr>
          <w:bCs/>
          <w:i/>
          <w:iCs/>
          <w:sz w:val="14"/>
          <w:szCs w:val="14"/>
        </w:rPr>
      </w:pPr>
    </w:p>
    <w:p w14:paraId="4B493245" w14:textId="77777777" w:rsidR="00DB07C7" w:rsidRPr="00005453" w:rsidRDefault="00DB07C7" w:rsidP="00615D21">
      <w:pPr>
        <w:tabs>
          <w:tab w:val="left" w:pos="5880"/>
        </w:tabs>
        <w:autoSpaceDE w:val="0"/>
        <w:autoSpaceDN w:val="0"/>
        <w:adjustRightInd w:val="0"/>
        <w:jc w:val="center"/>
        <w:rPr>
          <w:bCs/>
          <w:i/>
          <w:iCs/>
          <w:sz w:val="14"/>
          <w:szCs w:val="14"/>
        </w:rPr>
      </w:pPr>
    </w:p>
    <w:p w14:paraId="61A6A51D" w14:textId="77777777" w:rsidR="00DB07C7" w:rsidRPr="00005453" w:rsidRDefault="00DB07C7" w:rsidP="00615D21">
      <w:pPr>
        <w:tabs>
          <w:tab w:val="left" w:pos="5880"/>
        </w:tabs>
        <w:autoSpaceDE w:val="0"/>
        <w:autoSpaceDN w:val="0"/>
        <w:adjustRightInd w:val="0"/>
        <w:jc w:val="center"/>
        <w:rPr>
          <w:bCs/>
          <w:i/>
          <w:iCs/>
          <w:sz w:val="14"/>
          <w:szCs w:val="14"/>
        </w:rPr>
      </w:pPr>
    </w:p>
    <w:p w14:paraId="21B9EB4F" w14:textId="77777777" w:rsidR="00DB07C7" w:rsidRPr="00005453" w:rsidRDefault="00DB07C7" w:rsidP="00615D21">
      <w:pPr>
        <w:tabs>
          <w:tab w:val="left" w:pos="5880"/>
        </w:tabs>
        <w:autoSpaceDE w:val="0"/>
        <w:autoSpaceDN w:val="0"/>
        <w:adjustRightInd w:val="0"/>
        <w:jc w:val="center"/>
        <w:rPr>
          <w:bCs/>
          <w:i/>
          <w:iCs/>
          <w:sz w:val="14"/>
          <w:szCs w:val="14"/>
        </w:rPr>
      </w:pPr>
    </w:p>
    <w:p w14:paraId="7B4A292D" w14:textId="77777777" w:rsidR="00DB07C7" w:rsidRPr="00005453" w:rsidRDefault="00DB07C7" w:rsidP="00615D21">
      <w:pPr>
        <w:tabs>
          <w:tab w:val="left" w:pos="5880"/>
        </w:tabs>
        <w:autoSpaceDE w:val="0"/>
        <w:autoSpaceDN w:val="0"/>
        <w:adjustRightInd w:val="0"/>
        <w:jc w:val="center"/>
        <w:rPr>
          <w:bCs/>
          <w:i/>
          <w:iCs/>
          <w:sz w:val="14"/>
          <w:szCs w:val="14"/>
        </w:rPr>
      </w:pPr>
    </w:p>
    <w:p w14:paraId="449A4EDA" w14:textId="77777777" w:rsidR="00DB07C7" w:rsidRPr="00005453" w:rsidRDefault="00DB07C7" w:rsidP="00615D21">
      <w:pPr>
        <w:tabs>
          <w:tab w:val="left" w:pos="5880"/>
        </w:tabs>
        <w:autoSpaceDE w:val="0"/>
        <w:autoSpaceDN w:val="0"/>
        <w:adjustRightInd w:val="0"/>
        <w:jc w:val="center"/>
        <w:rPr>
          <w:bCs/>
          <w:i/>
          <w:iCs/>
          <w:sz w:val="14"/>
          <w:szCs w:val="14"/>
        </w:rPr>
      </w:pPr>
    </w:p>
    <w:p w14:paraId="7DA1267A" w14:textId="77777777" w:rsidR="00DB07C7" w:rsidRPr="00005453" w:rsidRDefault="00DB07C7" w:rsidP="00615D21">
      <w:pPr>
        <w:tabs>
          <w:tab w:val="left" w:pos="5880"/>
        </w:tabs>
        <w:autoSpaceDE w:val="0"/>
        <w:autoSpaceDN w:val="0"/>
        <w:adjustRightInd w:val="0"/>
        <w:jc w:val="center"/>
        <w:rPr>
          <w:bCs/>
          <w:i/>
          <w:iCs/>
          <w:sz w:val="14"/>
          <w:szCs w:val="14"/>
        </w:rPr>
      </w:pPr>
    </w:p>
    <w:p w14:paraId="60BA1AF7" w14:textId="07978190" w:rsidR="00DB07C7" w:rsidRPr="00005453" w:rsidRDefault="00DB07C7" w:rsidP="00615D21">
      <w:pPr>
        <w:tabs>
          <w:tab w:val="left" w:pos="5880"/>
        </w:tabs>
        <w:autoSpaceDE w:val="0"/>
        <w:autoSpaceDN w:val="0"/>
        <w:adjustRightInd w:val="0"/>
        <w:jc w:val="center"/>
        <w:rPr>
          <w:bCs/>
          <w:i/>
          <w:iCs/>
          <w:sz w:val="14"/>
          <w:szCs w:val="14"/>
        </w:rPr>
      </w:pPr>
    </w:p>
    <w:p w14:paraId="5A521820" w14:textId="77777777" w:rsidR="00A7690F" w:rsidRPr="00005453" w:rsidRDefault="00A7690F" w:rsidP="00615D21">
      <w:pPr>
        <w:tabs>
          <w:tab w:val="left" w:pos="5880"/>
        </w:tabs>
        <w:autoSpaceDE w:val="0"/>
        <w:autoSpaceDN w:val="0"/>
        <w:adjustRightInd w:val="0"/>
        <w:jc w:val="center"/>
        <w:rPr>
          <w:bCs/>
          <w:i/>
          <w:iCs/>
          <w:sz w:val="14"/>
          <w:szCs w:val="14"/>
        </w:rPr>
      </w:pPr>
    </w:p>
    <w:p w14:paraId="7A3D251D" w14:textId="77777777" w:rsidR="00DB07C7" w:rsidRPr="00005453" w:rsidRDefault="00DB07C7" w:rsidP="00615D21">
      <w:pPr>
        <w:tabs>
          <w:tab w:val="left" w:pos="5880"/>
        </w:tabs>
        <w:autoSpaceDE w:val="0"/>
        <w:autoSpaceDN w:val="0"/>
        <w:adjustRightInd w:val="0"/>
        <w:jc w:val="center"/>
        <w:rPr>
          <w:bCs/>
          <w:i/>
          <w:iCs/>
          <w:sz w:val="14"/>
          <w:szCs w:val="14"/>
        </w:rPr>
      </w:pPr>
    </w:p>
    <w:p w14:paraId="75B8C924" w14:textId="1A98FD61" w:rsidR="00666B0D" w:rsidRPr="00005453" w:rsidRDefault="00084767" w:rsidP="00615D21">
      <w:pPr>
        <w:tabs>
          <w:tab w:val="left" w:pos="5880"/>
        </w:tabs>
        <w:autoSpaceDE w:val="0"/>
        <w:autoSpaceDN w:val="0"/>
        <w:adjustRightInd w:val="0"/>
        <w:jc w:val="center"/>
        <w:rPr>
          <w:bCs/>
          <w:i/>
          <w:iCs/>
          <w:sz w:val="14"/>
          <w:szCs w:val="14"/>
        </w:rPr>
      </w:pPr>
      <w:r w:rsidRPr="00005453">
        <w:rPr>
          <w:bCs/>
          <w:i/>
          <w:iCs/>
          <w:sz w:val="14"/>
          <w:szCs w:val="14"/>
        </w:rPr>
        <w:t>İlişikteki notlar bu finansal tabloların tamamlayıcı parçalarıdır</w:t>
      </w:r>
      <w:r w:rsidR="00EB6D85" w:rsidRPr="00005453">
        <w:rPr>
          <w:bCs/>
          <w:i/>
          <w:iCs/>
          <w:sz w:val="14"/>
          <w:szCs w:val="14"/>
        </w:rPr>
        <w:t>.</w:t>
      </w:r>
    </w:p>
    <w:p w14:paraId="3837C7A9" w14:textId="77777777" w:rsidR="00222BAE" w:rsidRPr="00005453" w:rsidRDefault="00222BAE" w:rsidP="00615D21">
      <w:pPr>
        <w:tabs>
          <w:tab w:val="left" w:pos="5880"/>
        </w:tabs>
        <w:autoSpaceDE w:val="0"/>
        <w:autoSpaceDN w:val="0"/>
        <w:adjustRightInd w:val="0"/>
        <w:jc w:val="center"/>
        <w:rPr>
          <w:bCs/>
          <w:i/>
          <w:iCs/>
          <w:sz w:val="14"/>
          <w:szCs w:val="14"/>
        </w:rPr>
      </w:pPr>
    </w:p>
    <w:p w14:paraId="5263DBBC" w14:textId="77777777" w:rsidR="00DB07C7" w:rsidRPr="00005453" w:rsidRDefault="00DB07C7" w:rsidP="00376680">
      <w:pPr>
        <w:autoSpaceDE w:val="0"/>
        <w:autoSpaceDN w:val="0"/>
        <w:adjustRightInd w:val="0"/>
        <w:ind w:hanging="567"/>
        <w:jc w:val="both"/>
        <w:rPr>
          <w:rFonts w:eastAsia="Arial Unicode MS"/>
          <w:b/>
          <w:sz w:val="22"/>
        </w:rPr>
        <w:sectPr w:rsidR="00DB07C7" w:rsidRPr="00005453" w:rsidSect="004D3907">
          <w:headerReference w:type="default" r:id="rId23"/>
          <w:footerReference w:type="default" r:id="rId24"/>
          <w:pgSz w:w="11907" w:h="16840" w:code="9"/>
          <w:pgMar w:top="624" w:right="1247" w:bottom="624" w:left="1418" w:header="357" w:footer="709" w:gutter="0"/>
          <w:pgNumType w:start="3"/>
          <w:cols w:space="708"/>
          <w:noEndnote/>
        </w:sectPr>
      </w:pPr>
    </w:p>
    <w:p w14:paraId="26A9AB40" w14:textId="77777777" w:rsidR="00DB07C7" w:rsidRPr="00005453" w:rsidRDefault="00DB07C7" w:rsidP="00376680">
      <w:pPr>
        <w:autoSpaceDE w:val="0"/>
        <w:autoSpaceDN w:val="0"/>
        <w:adjustRightInd w:val="0"/>
        <w:ind w:hanging="567"/>
        <w:jc w:val="both"/>
        <w:rPr>
          <w:rFonts w:eastAsia="Arial Unicode MS"/>
          <w:b/>
          <w:sz w:val="16"/>
          <w:szCs w:val="16"/>
        </w:rPr>
      </w:pPr>
    </w:p>
    <w:p w14:paraId="4016F369" w14:textId="13866A53" w:rsidR="0072684B" w:rsidRPr="00005453" w:rsidRDefault="006C3524" w:rsidP="00376680">
      <w:pPr>
        <w:autoSpaceDE w:val="0"/>
        <w:autoSpaceDN w:val="0"/>
        <w:adjustRightInd w:val="0"/>
        <w:ind w:hanging="567"/>
        <w:jc w:val="both"/>
        <w:rPr>
          <w:rFonts w:eastAsia="Arial Unicode MS"/>
          <w:b/>
          <w:sz w:val="22"/>
        </w:rPr>
      </w:pPr>
      <w:r w:rsidRPr="00005453">
        <w:rPr>
          <w:rFonts w:eastAsia="Arial Unicode MS"/>
          <w:b/>
          <w:sz w:val="22"/>
        </w:rPr>
        <w:t>1</w:t>
      </w:r>
      <w:r w:rsidR="0072684B" w:rsidRPr="00005453">
        <w:rPr>
          <w:rFonts w:eastAsia="Arial Unicode MS"/>
          <w:b/>
          <w:sz w:val="22"/>
        </w:rPr>
        <w:t>.</w:t>
      </w:r>
      <w:r w:rsidR="0072684B" w:rsidRPr="00005453">
        <w:rPr>
          <w:rFonts w:eastAsia="Arial Unicode MS"/>
          <w:b/>
          <w:sz w:val="22"/>
        </w:rPr>
        <w:tab/>
        <w:t>BİLANÇO – PASİF KALEMLER (FİNANSAL DURUM TABLOSU)</w:t>
      </w:r>
    </w:p>
    <w:p w14:paraId="10539FB8" w14:textId="7E7C6565" w:rsidR="00A2067C" w:rsidRPr="00005453" w:rsidRDefault="00A2067C" w:rsidP="00A2067C">
      <w:pPr>
        <w:autoSpaceDE w:val="0"/>
        <w:autoSpaceDN w:val="0"/>
        <w:adjustRightInd w:val="0"/>
        <w:spacing w:after="60"/>
        <w:ind w:left="709" w:hanging="709"/>
        <w:jc w:val="both"/>
        <w:rPr>
          <w:lang w:eastAsia="en-GB"/>
        </w:rPr>
      </w:pPr>
    </w:p>
    <w:tbl>
      <w:tblPr>
        <w:tblW w:w="9684" w:type="dxa"/>
        <w:tblInd w:w="-5" w:type="dxa"/>
        <w:tblCellMar>
          <w:left w:w="70" w:type="dxa"/>
          <w:right w:w="70" w:type="dxa"/>
        </w:tblCellMar>
        <w:tblLook w:val="04A0" w:firstRow="1" w:lastRow="0" w:firstColumn="1" w:lastColumn="0" w:noHBand="0" w:noVBand="1"/>
      </w:tblPr>
      <w:tblGrid>
        <w:gridCol w:w="525"/>
        <w:gridCol w:w="3118"/>
        <w:gridCol w:w="654"/>
        <w:gridCol w:w="851"/>
        <w:gridCol w:w="851"/>
        <w:gridCol w:w="991"/>
        <w:gridCol w:w="851"/>
        <w:gridCol w:w="850"/>
        <w:gridCol w:w="993"/>
      </w:tblGrid>
      <w:tr w:rsidR="00A2067C" w:rsidRPr="00005453" w14:paraId="073BB3A3" w14:textId="77777777" w:rsidTr="00BD1BED">
        <w:trPr>
          <w:divId w:val="248657329"/>
          <w:trHeight w:val="47"/>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85A34F" w14:textId="598CF9AF" w:rsidR="00A2067C" w:rsidRPr="00005453" w:rsidRDefault="00A2067C" w:rsidP="00A2067C">
            <w:pPr>
              <w:rPr>
                <w:color w:val="000000"/>
                <w:sz w:val="14"/>
                <w:szCs w:val="14"/>
                <w:lang w:eastAsia="tr-TR"/>
              </w:rPr>
            </w:pPr>
            <w:r w:rsidRPr="00005453">
              <w:rPr>
                <w:color w:val="000000"/>
                <w:sz w:val="14"/>
                <w:szCs w:val="14"/>
                <w:lang w:eastAsia="tr-TR"/>
              </w:rPr>
              <w:t> </w:t>
            </w:r>
          </w:p>
        </w:tc>
        <w:tc>
          <w:tcPr>
            <w:tcW w:w="311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D6E2E5" w14:textId="77777777" w:rsidR="00A2067C" w:rsidRPr="00005453" w:rsidRDefault="00A2067C" w:rsidP="00A2067C">
            <w:pPr>
              <w:rPr>
                <w:color w:val="000000"/>
                <w:sz w:val="14"/>
                <w:szCs w:val="14"/>
                <w:lang w:eastAsia="tr-TR"/>
              </w:rPr>
            </w:pPr>
            <w:r w:rsidRPr="00005453">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CB32D3" w14:textId="77777777" w:rsidR="00A2067C" w:rsidRPr="00005453" w:rsidRDefault="00A2067C" w:rsidP="00A2067C">
            <w:pPr>
              <w:rPr>
                <w:color w:val="000000"/>
                <w:sz w:val="14"/>
                <w:szCs w:val="14"/>
                <w:lang w:eastAsia="tr-TR"/>
              </w:rPr>
            </w:pPr>
            <w:r w:rsidRPr="00005453">
              <w:rPr>
                <w:color w:val="000000"/>
                <w:sz w:val="14"/>
                <w:szCs w:val="14"/>
                <w:lang w:eastAsia="tr-TR"/>
              </w:rPr>
              <w:t> </w:t>
            </w:r>
          </w:p>
        </w:tc>
        <w:tc>
          <w:tcPr>
            <w:tcW w:w="2693" w:type="dxa"/>
            <w:gridSpan w:val="3"/>
            <w:tcBorders>
              <w:top w:val="single" w:sz="4" w:space="0" w:color="auto"/>
              <w:left w:val="single" w:sz="4" w:space="0" w:color="auto"/>
              <w:bottom w:val="nil"/>
              <w:right w:val="single" w:sz="4" w:space="0" w:color="auto"/>
            </w:tcBorders>
            <w:shd w:val="clear" w:color="auto" w:fill="auto"/>
            <w:noWrap/>
            <w:vAlign w:val="center"/>
            <w:hideMark/>
          </w:tcPr>
          <w:p w14:paraId="71699500" w14:textId="77777777" w:rsidR="00A2067C" w:rsidRPr="00005453" w:rsidRDefault="00A2067C" w:rsidP="00614CD2">
            <w:pPr>
              <w:jc w:val="right"/>
              <w:rPr>
                <w:b/>
                <w:bCs/>
                <w:color w:val="000000"/>
                <w:sz w:val="14"/>
                <w:szCs w:val="14"/>
                <w:lang w:eastAsia="tr-TR"/>
              </w:rPr>
            </w:pPr>
            <w:r w:rsidRPr="00005453">
              <w:rPr>
                <w:b/>
                <w:bCs/>
                <w:color w:val="000000"/>
                <w:sz w:val="14"/>
                <w:szCs w:val="14"/>
                <w:lang w:eastAsia="tr-TR"/>
              </w:rPr>
              <w:t>Bağımsız Denetimden Geçmiş</w:t>
            </w:r>
          </w:p>
        </w:tc>
        <w:tc>
          <w:tcPr>
            <w:tcW w:w="2694" w:type="dxa"/>
            <w:gridSpan w:val="3"/>
            <w:tcBorders>
              <w:top w:val="single" w:sz="4" w:space="0" w:color="auto"/>
              <w:left w:val="single" w:sz="4" w:space="0" w:color="auto"/>
              <w:bottom w:val="nil"/>
              <w:right w:val="single" w:sz="4" w:space="0" w:color="auto"/>
            </w:tcBorders>
            <w:shd w:val="clear" w:color="auto" w:fill="auto"/>
            <w:noWrap/>
            <w:vAlign w:val="center"/>
            <w:hideMark/>
          </w:tcPr>
          <w:p w14:paraId="7A8624B8" w14:textId="77777777" w:rsidR="00A2067C" w:rsidRPr="00005453" w:rsidRDefault="00A2067C" w:rsidP="00614CD2">
            <w:pPr>
              <w:jc w:val="right"/>
              <w:rPr>
                <w:b/>
                <w:bCs/>
                <w:color w:val="000000"/>
                <w:sz w:val="14"/>
                <w:szCs w:val="14"/>
                <w:lang w:eastAsia="tr-TR"/>
              </w:rPr>
            </w:pPr>
            <w:r w:rsidRPr="00005453">
              <w:rPr>
                <w:b/>
                <w:bCs/>
                <w:color w:val="000000"/>
                <w:sz w:val="14"/>
                <w:szCs w:val="14"/>
                <w:lang w:eastAsia="tr-TR"/>
              </w:rPr>
              <w:t>Bağımsız Denetimden Geçmiş</w:t>
            </w:r>
          </w:p>
        </w:tc>
      </w:tr>
      <w:tr w:rsidR="00020EFB" w:rsidRPr="00005453" w14:paraId="1E468FD7" w14:textId="77777777" w:rsidTr="00BD1BED">
        <w:trPr>
          <w:divId w:val="248657329"/>
          <w:trHeight w:val="37"/>
        </w:trPr>
        <w:tc>
          <w:tcPr>
            <w:tcW w:w="525"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8673362" w14:textId="77777777" w:rsidR="00020EFB" w:rsidRPr="00005453" w:rsidRDefault="00020EFB" w:rsidP="00A2067C">
            <w:pPr>
              <w:rPr>
                <w:color w:val="000000"/>
                <w:sz w:val="14"/>
                <w:szCs w:val="14"/>
                <w:lang w:eastAsia="tr-TR"/>
              </w:rPr>
            </w:pPr>
          </w:p>
        </w:tc>
        <w:tc>
          <w:tcPr>
            <w:tcW w:w="3118"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4A2AEECC" w14:textId="77777777" w:rsidR="00020EFB" w:rsidRPr="00005453" w:rsidRDefault="00020EFB" w:rsidP="00A2067C">
            <w:pPr>
              <w:rPr>
                <w:color w:val="000000"/>
                <w:sz w:val="14"/>
                <w:szCs w:val="14"/>
                <w:lang w:eastAsia="tr-TR"/>
              </w:rPr>
            </w:pPr>
          </w:p>
        </w:tc>
        <w:tc>
          <w:tcPr>
            <w:tcW w:w="654"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6C17EACA" w14:textId="77777777" w:rsidR="00020EFB" w:rsidRPr="00005453" w:rsidRDefault="00020EFB" w:rsidP="00A2067C">
            <w:pPr>
              <w:rPr>
                <w:color w:val="000000"/>
                <w:sz w:val="14"/>
                <w:szCs w:val="14"/>
                <w:lang w:eastAsia="tr-TR"/>
              </w:rPr>
            </w:pPr>
          </w:p>
        </w:tc>
        <w:tc>
          <w:tcPr>
            <w:tcW w:w="851" w:type="dxa"/>
            <w:tcBorders>
              <w:top w:val="nil"/>
              <w:left w:val="single" w:sz="4" w:space="0" w:color="auto"/>
              <w:bottom w:val="nil"/>
              <w:right w:val="nil"/>
            </w:tcBorders>
            <w:shd w:val="clear" w:color="auto" w:fill="auto"/>
            <w:noWrap/>
            <w:vAlign w:val="center"/>
            <w:hideMark/>
          </w:tcPr>
          <w:p w14:paraId="6C9729B0" w14:textId="77777777" w:rsidR="00020EFB" w:rsidRPr="00005453" w:rsidRDefault="00020EFB" w:rsidP="00614CD2">
            <w:pPr>
              <w:jc w:val="right"/>
              <w:rPr>
                <w:b/>
                <w:bCs/>
                <w:color w:val="000000"/>
                <w:sz w:val="14"/>
                <w:szCs w:val="14"/>
                <w:lang w:eastAsia="tr-TR"/>
              </w:rPr>
            </w:pPr>
          </w:p>
        </w:tc>
        <w:tc>
          <w:tcPr>
            <w:tcW w:w="851" w:type="dxa"/>
            <w:tcBorders>
              <w:top w:val="nil"/>
              <w:left w:val="nil"/>
              <w:bottom w:val="nil"/>
              <w:right w:val="nil"/>
            </w:tcBorders>
            <w:shd w:val="clear" w:color="auto" w:fill="auto"/>
            <w:noWrap/>
            <w:vAlign w:val="center"/>
            <w:hideMark/>
          </w:tcPr>
          <w:p w14:paraId="7E272AC3" w14:textId="77777777" w:rsidR="00020EFB" w:rsidRPr="00005453" w:rsidRDefault="00020EFB" w:rsidP="000E5F12">
            <w:pPr>
              <w:jc w:val="right"/>
              <w:rPr>
                <w:sz w:val="14"/>
                <w:szCs w:val="14"/>
                <w:lang w:eastAsia="tr-TR"/>
              </w:rPr>
            </w:pPr>
          </w:p>
        </w:tc>
        <w:tc>
          <w:tcPr>
            <w:tcW w:w="991" w:type="dxa"/>
            <w:tcBorders>
              <w:top w:val="nil"/>
              <w:left w:val="nil"/>
              <w:bottom w:val="nil"/>
              <w:right w:val="single" w:sz="4" w:space="0" w:color="auto"/>
            </w:tcBorders>
            <w:shd w:val="clear" w:color="auto" w:fill="auto"/>
            <w:vAlign w:val="center"/>
            <w:hideMark/>
          </w:tcPr>
          <w:p w14:paraId="3FA07559" w14:textId="77777777" w:rsidR="00020EFB" w:rsidRPr="00005453" w:rsidRDefault="00020EFB" w:rsidP="00614CD2">
            <w:pPr>
              <w:jc w:val="right"/>
              <w:rPr>
                <w:b/>
                <w:bCs/>
                <w:color w:val="000000"/>
                <w:sz w:val="14"/>
                <w:szCs w:val="14"/>
                <w:lang w:eastAsia="tr-TR"/>
              </w:rPr>
            </w:pPr>
            <w:r w:rsidRPr="00005453">
              <w:rPr>
                <w:b/>
                <w:bCs/>
                <w:color w:val="000000"/>
                <w:sz w:val="14"/>
                <w:szCs w:val="14"/>
                <w:lang w:eastAsia="tr-TR"/>
              </w:rPr>
              <w:t>Cari Dönem</w:t>
            </w:r>
          </w:p>
        </w:tc>
        <w:tc>
          <w:tcPr>
            <w:tcW w:w="851" w:type="dxa"/>
            <w:tcBorders>
              <w:top w:val="nil"/>
              <w:left w:val="single" w:sz="4" w:space="0" w:color="auto"/>
              <w:bottom w:val="nil"/>
              <w:right w:val="nil"/>
            </w:tcBorders>
            <w:shd w:val="clear" w:color="auto" w:fill="auto"/>
            <w:noWrap/>
            <w:vAlign w:val="center"/>
            <w:hideMark/>
          </w:tcPr>
          <w:p w14:paraId="09C2B093" w14:textId="77777777" w:rsidR="00020EFB" w:rsidRPr="00005453" w:rsidRDefault="00020EFB" w:rsidP="00614CD2">
            <w:pPr>
              <w:jc w:val="right"/>
              <w:rPr>
                <w:b/>
                <w:bCs/>
                <w:color w:val="000000"/>
                <w:sz w:val="14"/>
                <w:szCs w:val="14"/>
                <w:lang w:eastAsia="tr-TR"/>
              </w:rPr>
            </w:pPr>
          </w:p>
        </w:tc>
        <w:tc>
          <w:tcPr>
            <w:tcW w:w="1843" w:type="dxa"/>
            <w:gridSpan w:val="2"/>
            <w:tcBorders>
              <w:top w:val="nil"/>
              <w:left w:val="nil"/>
              <w:bottom w:val="nil"/>
              <w:right w:val="single" w:sz="4" w:space="0" w:color="auto"/>
            </w:tcBorders>
            <w:shd w:val="clear" w:color="auto" w:fill="auto"/>
            <w:noWrap/>
            <w:vAlign w:val="center"/>
            <w:hideMark/>
          </w:tcPr>
          <w:p w14:paraId="561FD54B" w14:textId="559F02B2" w:rsidR="00020EFB" w:rsidRPr="00005453" w:rsidRDefault="00020EFB" w:rsidP="00614CD2">
            <w:pPr>
              <w:jc w:val="right"/>
              <w:rPr>
                <w:b/>
                <w:bCs/>
                <w:color w:val="000000"/>
                <w:sz w:val="14"/>
                <w:szCs w:val="14"/>
                <w:lang w:eastAsia="tr-TR"/>
              </w:rPr>
            </w:pPr>
            <w:r w:rsidRPr="00005453">
              <w:rPr>
                <w:b/>
                <w:bCs/>
                <w:color w:val="000000"/>
                <w:sz w:val="14"/>
                <w:szCs w:val="14"/>
                <w:lang w:eastAsia="tr-TR"/>
              </w:rPr>
              <w:t>Önceki Dönem</w:t>
            </w:r>
          </w:p>
        </w:tc>
      </w:tr>
      <w:tr w:rsidR="00A2067C" w:rsidRPr="00005453" w14:paraId="3666935C" w14:textId="77777777" w:rsidTr="00BD1BED">
        <w:trPr>
          <w:divId w:val="248657329"/>
          <w:trHeight w:val="157"/>
        </w:trPr>
        <w:tc>
          <w:tcPr>
            <w:tcW w:w="525"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14:paraId="1408ECAC" w14:textId="77777777" w:rsidR="00A2067C" w:rsidRPr="00005453" w:rsidRDefault="00A2067C" w:rsidP="00A2067C">
            <w:pPr>
              <w:rPr>
                <w:color w:val="000000"/>
                <w:sz w:val="14"/>
                <w:szCs w:val="14"/>
                <w:lang w:eastAsia="tr-TR"/>
              </w:rPr>
            </w:pPr>
          </w:p>
        </w:tc>
        <w:tc>
          <w:tcPr>
            <w:tcW w:w="3118"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14:paraId="356C337D" w14:textId="77777777" w:rsidR="00A2067C" w:rsidRPr="00005453" w:rsidRDefault="00A2067C" w:rsidP="00A2067C">
            <w:pPr>
              <w:rPr>
                <w:color w:val="000000"/>
                <w:sz w:val="14"/>
                <w:szCs w:val="14"/>
                <w:lang w:eastAsia="tr-TR"/>
              </w:rPr>
            </w:pPr>
          </w:p>
        </w:tc>
        <w:tc>
          <w:tcPr>
            <w:tcW w:w="654"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14:paraId="1300144F" w14:textId="77777777" w:rsidR="00A2067C" w:rsidRPr="00005453" w:rsidRDefault="00A2067C" w:rsidP="00A2067C">
            <w:pPr>
              <w:rPr>
                <w:color w:val="000000"/>
                <w:sz w:val="14"/>
                <w:szCs w:val="14"/>
                <w:lang w:eastAsia="tr-TR"/>
              </w:rPr>
            </w:pPr>
          </w:p>
        </w:tc>
        <w:tc>
          <w:tcPr>
            <w:tcW w:w="2693" w:type="dxa"/>
            <w:gridSpan w:val="3"/>
            <w:tcBorders>
              <w:top w:val="nil"/>
              <w:left w:val="single" w:sz="4" w:space="0" w:color="auto"/>
              <w:bottom w:val="single" w:sz="4" w:space="0" w:color="auto"/>
              <w:right w:val="single" w:sz="4" w:space="0" w:color="auto"/>
            </w:tcBorders>
            <w:shd w:val="clear" w:color="auto" w:fill="auto"/>
            <w:noWrap/>
            <w:vAlign w:val="center"/>
            <w:hideMark/>
          </w:tcPr>
          <w:p w14:paraId="0517E2A2" w14:textId="4ACD5B8B" w:rsidR="00A2067C" w:rsidRPr="00005453" w:rsidRDefault="00A2067C" w:rsidP="00614CD2">
            <w:pPr>
              <w:jc w:val="right"/>
              <w:rPr>
                <w:b/>
                <w:bCs/>
                <w:color w:val="000000"/>
                <w:sz w:val="14"/>
                <w:szCs w:val="14"/>
                <w:lang w:eastAsia="tr-TR"/>
              </w:rPr>
            </w:pPr>
            <w:r w:rsidRPr="00005453">
              <w:rPr>
                <w:b/>
                <w:bCs/>
                <w:color w:val="000000"/>
                <w:sz w:val="14"/>
                <w:szCs w:val="14"/>
                <w:lang w:eastAsia="tr-TR"/>
              </w:rPr>
              <w:t>31.12.202</w:t>
            </w:r>
            <w:r w:rsidR="00BA04A2" w:rsidRPr="00005453">
              <w:rPr>
                <w:b/>
                <w:bCs/>
                <w:color w:val="000000"/>
                <w:sz w:val="14"/>
                <w:szCs w:val="14"/>
                <w:lang w:eastAsia="tr-TR"/>
              </w:rPr>
              <w:t>4</w:t>
            </w:r>
          </w:p>
        </w:tc>
        <w:tc>
          <w:tcPr>
            <w:tcW w:w="2694" w:type="dxa"/>
            <w:gridSpan w:val="3"/>
            <w:tcBorders>
              <w:top w:val="nil"/>
              <w:left w:val="single" w:sz="4" w:space="0" w:color="auto"/>
              <w:bottom w:val="single" w:sz="4" w:space="0" w:color="auto"/>
              <w:right w:val="single" w:sz="4" w:space="0" w:color="auto"/>
            </w:tcBorders>
            <w:shd w:val="clear" w:color="auto" w:fill="auto"/>
            <w:noWrap/>
            <w:vAlign w:val="center"/>
            <w:hideMark/>
          </w:tcPr>
          <w:p w14:paraId="005E22B8" w14:textId="31CF06D7" w:rsidR="00A2067C" w:rsidRPr="00005453" w:rsidRDefault="00A2067C" w:rsidP="00614CD2">
            <w:pPr>
              <w:jc w:val="right"/>
              <w:rPr>
                <w:b/>
                <w:bCs/>
                <w:color w:val="000000"/>
                <w:sz w:val="14"/>
                <w:szCs w:val="14"/>
                <w:lang w:eastAsia="tr-TR"/>
              </w:rPr>
            </w:pPr>
            <w:r w:rsidRPr="00005453">
              <w:rPr>
                <w:b/>
                <w:bCs/>
                <w:color w:val="000000"/>
                <w:sz w:val="14"/>
                <w:szCs w:val="14"/>
                <w:lang w:eastAsia="tr-TR"/>
              </w:rPr>
              <w:t>31.12.202</w:t>
            </w:r>
            <w:r w:rsidR="00BA04A2" w:rsidRPr="00005453">
              <w:rPr>
                <w:b/>
                <w:bCs/>
                <w:color w:val="000000"/>
                <w:sz w:val="14"/>
                <w:szCs w:val="14"/>
                <w:lang w:eastAsia="tr-TR"/>
              </w:rPr>
              <w:t>3</w:t>
            </w:r>
          </w:p>
        </w:tc>
      </w:tr>
      <w:tr w:rsidR="00A2067C" w:rsidRPr="00005453" w14:paraId="0380A213" w14:textId="77777777" w:rsidTr="00BD1BED">
        <w:trPr>
          <w:divId w:val="248657329"/>
          <w:trHeight w:val="47"/>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FF1D7" w14:textId="77777777" w:rsidR="00A2067C" w:rsidRPr="00005453" w:rsidRDefault="00A2067C" w:rsidP="00A2067C">
            <w:pPr>
              <w:rPr>
                <w:b/>
                <w:bCs/>
                <w:color w:val="000000"/>
                <w:sz w:val="14"/>
                <w:szCs w:val="14"/>
                <w:lang w:eastAsia="tr-TR"/>
              </w:rPr>
            </w:pPr>
            <w:r w:rsidRPr="00005453">
              <w:rPr>
                <w:b/>
                <w:bCs/>
                <w:color w:val="000000"/>
                <w:sz w:val="14"/>
                <w:szCs w:val="14"/>
                <w:lang w:eastAsia="tr-TR"/>
              </w:rPr>
              <w:t>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D7690" w14:textId="77777777" w:rsidR="00A2067C" w:rsidRPr="00005453" w:rsidRDefault="00A2067C" w:rsidP="00A2067C">
            <w:pPr>
              <w:rPr>
                <w:b/>
                <w:bCs/>
                <w:color w:val="000000"/>
                <w:sz w:val="14"/>
                <w:szCs w:val="14"/>
                <w:lang w:eastAsia="tr-TR"/>
              </w:rPr>
            </w:pPr>
            <w:r w:rsidRPr="00005453">
              <w:rPr>
                <w:b/>
                <w:bCs/>
                <w:color w:val="000000"/>
                <w:sz w:val="14"/>
                <w:szCs w:val="14"/>
                <w:lang w:eastAsia="tr-TR"/>
              </w:rPr>
              <w:t>YÜKÜMLÜLÜKLER</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A214B" w14:textId="77777777" w:rsidR="00A2067C" w:rsidRPr="00005453" w:rsidRDefault="00A2067C" w:rsidP="008F6A5A">
            <w:pPr>
              <w:jc w:val="center"/>
              <w:rPr>
                <w:b/>
                <w:bCs/>
                <w:color w:val="000000"/>
                <w:sz w:val="14"/>
                <w:szCs w:val="14"/>
                <w:lang w:eastAsia="tr-TR"/>
              </w:rPr>
            </w:pPr>
            <w:r w:rsidRPr="00005453">
              <w:rPr>
                <w:b/>
                <w:bCs/>
                <w:color w:val="000000"/>
                <w:sz w:val="14"/>
                <w:szCs w:val="14"/>
                <w:lang w:eastAsia="tr-TR"/>
              </w:rPr>
              <w:t>Dipnot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C0FD0"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TP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7A009"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YP</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374AD"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Toplam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FF0FC"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TP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CA8BF"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YP</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27FE2"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Toplam</w:t>
            </w:r>
          </w:p>
        </w:tc>
      </w:tr>
      <w:tr w:rsidR="00A2067C" w:rsidRPr="00005453" w14:paraId="230F1A75" w14:textId="77777777" w:rsidTr="00BD1BED">
        <w:trPr>
          <w:divId w:val="248657329"/>
          <w:trHeight w:val="44"/>
        </w:trPr>
        <w:tc>
          <w:tcPr>
            <w:tcW w:w="525" w:type="dxa"/>
            <w:tcBorders>
              <w:top w:val="single" w:sz="4" w:space="0" w:color="auto"/>
              <w:left w:val="single" w:sz="4" w:space="0" w:color="auto"/>
              <w:bottom w:val="nil"/>
              <w:right w:val="single" w:sz="4" w:space="0" w:color="auto"/>
            </w:tcBorders>
            <w:shd w:val="clear" w:color="auto" w:fill="auto"/>
            <w:noWrap/>
            <w:vAlign w:val="center"/>
            <w:hideMark/>
          </w:tcPr>
          <w:p w14:paraId="78D66361" w14:textId="77777777" w:rsidR="00A2067C" w:rsidRPr="00005453" w:rsidRDefault="00A2067C" w:rsidP="00A2067C">
            <w:pPr>
              <w:jc w:val="right"/>
              <w:rPr>
                <w:b/>
                <w:bCs/>
                <w:color w:val="000000"/>
                <w:sz w:val="10"/>
                <w:szCs w:val="10"/>
                <w:lang w:eastAsia="tr-TR"/>
              </w:rPr>
            </w:pPr>
          </w:p>
        </w:tc>
        <w:tc>
          <w:tcPr>
            <w:tcW w:w="3118" w:type="dxa"/>
            <w:tcBorders>
              <w:top w:val="single" w:sz="4" w:space="0" w:color="auto"/>
              <w:left w:val="single" w:sz="4" w:space="0" w:color="auto"/>
              <w:bottom w:val="nil"/>
              <w:right w:val="single" w:sz="4" w:space="0" w:color="auto"/>
            </w:tcBorders>
            <w:shd w:val="clear" w:color="auto" w:fill="auto"/>
            <w:noWrap/>
            <w:vAlign w:val="center"/>
            <w:hideMark/>
          </w:tcPr>
          <w:p w14:paraId="53AF8513" w14:textId="77777777" w:rsidR="00A2067C" w:rsidRPr="00005453" w:rsidRDefault="00A2067C" w:rsidP="00A2067C">
            <w:pPr>
              <w:rPr>
                <w:sz w:val="10"/>
                <w:szCs w:val="10"/>
                <w:lang w:eastAsia="tr-TR"/>
              </w:rPr>
            </w:pPr>
          </w:p>
        </w:tc>
        <w:tc>
          <w:tcPr>
            <w:tcW w:w="654" w:type="dxa"/>
            <w:tcBorders>
              <w:top w:val="single" w:sz="4" w:space="0" w:color="auto"/>
              <w:left w:val="single" w:sz="4" w:space="0" w:color="auto"/>
              <w:bottom w:val="nil"/>
              <w:right w:val="single" w:sz="4" w:space="0" w:color="auto"/>
            </w:tcBorders>
            <w:shd w:val="clear" w:color="auto" w:fill="auto"/>
            <w:noWrap/>
            <w:vAlign w:val="center"/>
            <w:hideMark/>
          </w:tcPr>
          <w:p w14:paraId="0F911CC5" w14:textId="77777777" w:rsidR="00A2067C" w:rsidRPr="00005453" w:rsidRDefault="00A2067C" w:rsidP="008F6A5A">
            <w:pPr>
              <w:jc w:val="center"/>
              <w:rPr>
                <w:sz w:val="10"/>
                <w:szCs w:val="10"/>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4D097680" w14:textId="77777777" w:rsidR="00A2067C" w:rsidRPr="00005453" w:rsidRDefault="00A2067C" w:rsidP="00A2067C">
            <w:pPr>
              <w:rPr>
                <w:sz w:val="10"/>
                <w:szCs w:val="10"/>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7F13EA88" w14:textId="77777777" w:rsidR="00A2067C" w:rsidRPr="00005453" w:rsidRDefault="00A2067C" w:rsidP="00A2067C">
            <w:pPr>
              <w:jc w:val="right"/>
              <w:rPr>
                <w:sz w:val="10"/>
                <w:szCs w:val="10"/>
                <w:lang w:eastAsia="tr-TR"/>
              </w:rPr>
            </w:pPr>
          </w:p>
        </w:tc>
        <w:tc>
          <w:tcPr>
            <w:tcW w:w="991" w:type="dxa"/>
            <w:tcBorders>
              <w:top w:val="single" w:sz="4" w:space="0" w:color="auto"/>
              <w:left w:val="single" w:sz="4" w:space="0" w:color="auto"/>
              <w:bottom w:val="nil"/>
              <w:right w:val="single" w:sz="4" w:space="0" w:color="auto"/>
            </w:tcBorders>
            <w:shd w:val="clear" w:color="auto" w:fill="auto"/>
            <w:noWrap/>
            <w:vAlign w:val="center"/>
            <w:hideMark/>
          </w:tcPr>
          <w:p w14:paraId="3A196209" w14:textId="77777777" w:rsidR="00A2067C" w:rsidRPr="00005453" w:rsidRDefault="00A2067C" w:rsidP="00A2067C">
            <w:pPr>
              <w:jc w:val="right"/>
              <w:rPr>
                <w:sz w:val="10"/>
                <w:szCs w:val="10"/>
                <w:lang w:eastAsia="tr-TR"/>
              </w:rPr>
            </w:pP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14:paraId="7AD2CC35" w14:textId="77777777" w:rsidR="00A2067C" w:rsidRPr="00005453" w:rsidRDefault="00A2067C" w:rsidP="00A2067C">
            <w:pPr>
              <w:jc w:val="right"/>
              <w:rPr>
                <w:sz w:val="10"/>
                <w:szCs w:val="10"/>
                <w:lang w:eastAsia="tr-TR"/>
              </w:rPr>
            </w:pPr>
          </w:p>
        </w:tc>
        <w:tc>
          <w:tcPr>
            <w:tcW w:w="850" w:type="dxa"/>
            <w:tcBorders>
              <w:top w:val="single" w:sz="4" w:space="0" w:color="auto"/>
              <w:left w:val="single" w:sz="4" w:space="0" w:color="auto"/>
              <w:bottom w:val="nil"/>
              <w:right w:val="single" w:sz="4" w:space="0" w:color="auto"/>
            </w:tcBorders>
            <w:shd w:val="clear" w:color="auto" w:fill="auto"/>
            <w:noWrap/>
            <w:vAlign w:val="center"/>
            <w:hideMark/>
          </w:tcPr>
          <w:p w14:paraId="03F0FE66" w14:textId="77777777" w:rsidR="00A2067C" w:rsidRPr="00005453" w:rsidRDefault="00A2067C" w:rsidP="00A2067C">
            <w:pPr>
              <w:jc w:val="right"/>
              <w:rPr>
                <w:sz w:val="10"/>
                <w:szCs w:val="10"/>
                <w:lang w:eastAsia="tr-TR"/>
              </w:rPr>
            </w:pPr>
          </w:p>
        </w:tc>
        <w:tc>
          <w:tcPr>
            <w:tcW w:w="993" w:type="dxa"/>
            <w:tcBorders>
              <w:top w:val="single" w:sz="4" w:space="0" w:color="auto"/>
              <w:left w:val="single" w:sz="4" w:space="0" w:color="auto"/>
              <w:bottom w:val="nil"/>
              <w:right w:val="single" w:sz="4" w:space="0" w:color="auto"/>
            </w:tcBorders>
            <w:shd w:val="clear" w:color="auto" w:fill="auto"/>
            <w:noWrap/>
            <w:vAlign w:val="center"/>
            <w:hideMark/>
          </w:tcPr>
          <w:p w14:paraId="4F5C4D52" w14:textId="77777777" w:rsidR="00A2067C" w:rsidRPr="00005453" w:rsidRDefault="00A2067C" w:rsidP="00A2067C">
            <w:pPr>
              <w:jc w:val="right"/>
              <w:rPr>
                <w:sz w:val="10"/>
                <w:szCs w:val="10"/>
                <w:lang w:eastAsia="tr-TR"/>
              </w:rPr>
            </w:pPr>
          </w:p>
        </w:tc>
      </w:tr>
      <w:tr w:rsidR="00785B70" w:rsidRPr="00005453" w14:paraId="3BCF8683"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1576C1EA"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I.</w:t>
            </w:r>
          </w:p>
        </w:tc>
        <w:tc>
          <w:tcPr>
            <w:tcW w:w="3118" w:type="dxa"/>
            <w:tcBorders>
              <w:top w:val="nil"/>
              <w:left w:val="single" w:sz="4" w:space="0" w:color="auto"/>
              <w:bottom w:val="nil"/>
              <w:right w:val="single" w:sz="4" w:space="0" w:color="auto"/>
            </w:tcBorders>
            <w:shd w:val="clear" w:color="auto" w:fill="auto"/>
            <w:hideMark/>
          </w:tcPr>
          <w:p w14:paraId="07F9E575"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hideMark/>
          </w:tcPr>
          <w:p w14:paraId="18E47CDE" w14:textId="3CB77C36" w:rsidR="00785B70" w:rsidRPr="00005453" w:rsidRDefault="00785B70" w:rsidP="00785B70">
            <w:pPr>
              <w:jc w:val="center"/>
              <w:rPr>
                <w:b/>
                <w:bCs/>
                <w:color w:val="000000"/>
                <w:sz w:val="14"/>
                <w:szCs w:val="14"/>
                <w:lang w:eastAsia="tr-TR"/>
              </w:rPr>
            </w:pPr>
            <w:r w:rsidRPr="00005453">
              <w:rPr>
                <w:b/>
                <w:bCs/>
                <w:color w:val="000000"/>
                <w:sz w:val="14"/>
                <w:szCs w:val="14"/>
                <w:lang w:eastAsia="tr-TR"/>
              </w:rPr>
              <w:t>(5.2.1.)</w:t>
            </w:r>
          </w:p>
        </w:tc>
        <w:tc>
          <w:tcPr>
            <w:tcW w:w="851" w:type="dxa"/>
            <w:tcBorders>
              <w:top w:val="nil"/>
              <w:left w:val="single" w:sz="4" w:space="0" w:color="auto"/>
              <w:bottom w:val="nil"/>
              <w:right w:val="single" w:sz="4" w:space="0" w:color="auto"/>
            </w:tcBorders>
            <w:shd w:val="clear" w:color="auto" w:fill="auto"/>
            <w:vAlign w:val="center"/>
            <w:hideMark/>
          </w:tcPr>
          <w:p w14:paraId="10970F71" w14:textId="677B50B9" w:rsidR="00785B70" w:rsidRPr="00005453" w:rsidRDefault="00785B70" w:rsidP="00785B70">
            <w:pPr>
              <w:jc w:val="right"/>
              <w:rPr>
                <w:b/>
                <w:bCs/>
                <w:sz w:val="14"/>
                <w:szCs w:val="14"/>
              </w:rPr>
            </w:pPr>
            <w:r w:rsidRPr="00005453">
              <w:rPr>
                <w:b/>
                <w:bCs/>
                <w:sz w:val="14"/>
                <w:szCs w:val="18"/>
              </w:rPr>
              <w:t>284,192,520</w:t>
            </w:r>
          </w:p>
        </w:tc>
        <w:tc>
          <w:tcPr>
            <w:tcW w:w="851" w:type="dxa"/>
            <w:tcBorders>
              <w:top w:val="nil"/>
              <w:left w:val="single" w:sz="4" w:space="0" w:color="auto"/>
              <w:bottom w:val="nil"/>
              <w:right w:val="single" w:sz="4" w:space="0" w:color="auto"/>
            </w:tcBorders>
            <w:shd w:val="clear" w:color="auto" w:fill="auto"/>
            <w:vAlign w:val="center"/>
            <w:hideMark/>
          </w:tcPr>
          <w:p w14:paraId="0E381DC6" w14:textId="7DAA198A" w:rsidR="00785B70" w:rsidRPr="00005453" w:rsidRDefault="00785B70" w:rsidP="00785B70">
            <w:pPr>
              <w:jc w:val="right"/>
              <w:rPr>
                <w:b/>
                <w:bCs/>
                <w:sz w:val="14"/>
                <w:szCs w:val="14"/>
              </w:rPr>
            </w:pPr>
            <w:r w:rsidRPr="00005453">
              <w:rPr>
                <w:b/>
                <w:bCs/>
                <w:sz w:val="14"/>
                <w:szCs w:val="18"/>
              </w:rPr>
              <w:t>301,371,393</w:t>
            </w:r>
          </w:p>
        </w:tc>
        <w:tc>
          <w:tcPr>
            <w:tcW w:w="991" w:type="dxa"/>
            <w:tcBorders>
              <w:top w:val="nil"/>
              <w:left w:val="single" w:sz="4" w:space="0" w:color="auto"/>
              <w:bottom w:val="nil"/>
              <w:right w:val="single" w:sz="4" w:space="0" w:color="auto"/>
            </w:tcBorders>
            <w:shd w:val="clear" w:color="auto" w:fill="auto"/>
            <w:vAlign w:val="center"/>
            <w:hideMark/>
          </w:tcPr>
          <w:p w14:paraId="19DADF7E" w14:textId="59B9F3B8" w:rsidR="00785B70" w:rsidRPr="00005453" w:rsidRDefault="00785B70" w:rsidP="00785B70">
            <w:pPr>
              <w:jc w:val="right"/>
              <w:rPr>
                <w:b/>
                <w:bCs/>
                <w:sz w:val="14"/>
                <w:szCs w:val="14"/>
              </w:rPr>
            </w:pPr>
            <w:r w:rsidRPr="00005453">
              <w:rPr>
                <w:b/>
                <w:bCs/>
                <w:sz w:val="14"/>
                <w:szCs w:val="18"/>
              </w:rPr>
              <w:t>585,563,913</w:t>
            </w:r>
          </w:p>
        </w:tc>
        <w:tc>
          <w:tcPr>
            <w:tcW w:w="851" w:type="dxa"/>
            <w:tcBorders>
              <w:top w:val="nil"/>
              <w:left w:val="single" w:sz="4" w:space="0" w:color="auto"/>
              <w:bottom w:val="nil"/>
              <w:right w:val="single" w:sz="4" w:space="0" w:color="auto"/>
            </w:tcBorders>
            <w:shd w:val="clear" w:color="auto" w:fill="auto"/>
            <w:vAlign w:val="center"/>
            <w:hideMark/>
          </w:tcPr>
          <w:p w14:paraId="7CBC9ED7" w14:textId="55BA481B" w:rsidR="00785B70" w:rsidRPr="00005453" w:rsidRDefault="00785B70" w:rsidP="00785B70">
            <w:pPr>
              <w:jc w:val="right"/>
              <w:rPr>
                <w:b/>
                <w:bCs/>
                <w:sz w:val="14"/>
                <w:szCs w:val="14"/>
                <w:lang w:eastAsia="tr-TR"/>
              </w:rPr>
            </w:pPr>
            <w:r w:rsidRPr="00005453">
              <w:rPr>
                <w:b/>
                <w:bCs/>
                <w:sz w:val="14"/>
                <w:szCs w:val="14"/>
              </w:rPr>
              <w:t>246,948,333</w:t>
            </w:r>
          </w:p>
        </w:tc>
        <w:tc>
          <w:tcPr>
            <w:tcW w:w="850" w:type="dxa"/>
            <w:tcBorders>
              <w:top w:val="nil"/>
              <w:left w:val="single" w:sz="4" w:space="0" w:color="auto"/>
              <w:bottom w:val="nil"/>
              <w:right w:val="single" w:sz="4" w:space="0" w:color="auto"/>
            </w:tcBorders>
            <w:shd w:val="clear" w:color="auto" w:fill="auto"/>
            <w:vAlign w:val="center"/>
            <w:hideMark/>
          </w:tcPr>
          <w:p w14:paraId="6B26958A" w14:textId="04FB7994" w:rsidR="00785B70" w:rsidRPr="00005453" w:rsidRDefault="00785B70" w:rsidP="00785B70">
            <w:pPr>
              <w:jc w:val="right"/>
              <w:rPr>
                <w:b/>
                <w:bCs/>
                <w:sz w:val="14"/>
                <w:szCs w:val="14"/>
                <w:lang w:eastAsia="tr-TR"/>
              </w:rPr>
            </w:pPr>
            <w:r w:rsidRPr="00005453">
              <w:rPr>
                <w:b/>
                <w:bCs/>
                <w:sz w:val="14"/>
                <w:szCs w:val="14"/>
              </w:rPr>
              <w:t>260,562,540</w:t>
            </w:r>
          </w:p>
        </w:tc>
        <w:tc>
          <w:tcPr>
            <w:tcW w:w="993" w:type="dxa"/>
            <w:tcBorders>
              <w:top w:val="nil"/>
              <w:left w:val="single" w:sz="4" w:space="0" w:color="auto"/>
              <w:bottom w:val="nil"/>
              <w:right w:val="single" w:sz="4" w:space="0" w:color="auto"/>
            </w:tcBorders>
            <w:shd w:val="clear" w:color="auto" w:fill="auto"/>
            <w:vAlign w:val="center"/>
            <w:hideMark/>
          </w:tcPr>
          <w:p w14:paraId="4243BDA7" w14:textId="7CA9DD4C" w:rsidR="00785B70" w:rsidRPr="00005453" w:rsidRDefault="00785B70" w:rsidP="00785B70">
            <w:pPr>
              <w:jc w:val="right"/>
              <w:rPr>
                <w:b/>
                <w:bCs/>
                <w:sz w:val="14"/>
                <w:szCs w:val="14"/>
                <w:lang w:eastAsia="tr-TR"/>
              </w:rPr>
            </w:pPr>
            <w:r w:rsidRPr="00005453">
              <w:rPr>
                <w:b/>
                <w:bCs/>
                <w:sz w:val="14"/>
                <w:szCs w:val="14"/>
              </w:rPr>
              <w:t>507,510,873</w:t>
            </w:r>
          </w:p>
        </w:tc>
      </w:tr>
      <w:tr w:rsidR="00785B70" w:rsidRPr="00005453" w14:paraId="57732EE9"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23681713"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II.</w:t>
            </w:r>
          </w:p>
        </w:tc>
        <w:tc>
          <w:tcPr>
            <w:tcW w:w="3118" w:type="dxa"/>
            <w:tcBorders>
              <w:top w:val="nil"/>
              <w:left w:val="single" w:sz="4" w:space="0" w:color="auto"/>
              <w:bottom w:val="nil"/>
              <w:right w:val="single" w:sz="4" w:space="0" w:color="auto"/>
            </w:tcBorders>
            <w:shd w:val="clear" w:color="auto" w:fill="auto"/>
            <w:hideMark/>
          </w:tcPr>
          <w:p w14:paraId="6B49F251"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hideMark/>
          </w:tcPr>
          <w:p w14:paraId="0EE1F308" w14:textId="6624F1C4" w:rsidR="00785B70" w:rsidRPr="00005453" w:rsidRDefault="00785B70" w:rsidP="00785B70">
            <w:pPr>
              <w:jc w:val="center"/>
              <w:rPr>
                <w:b/>
                <w:bCs/>
                <w:color w:val="000000"/>
                <w:sz w:val="14"/>
                <w:szCs w:val="14"/>
                <w:lang w:eastAsia="tr-TR"/>
              </w:rPr>
            </w:pPr>
            <w:r w:rsidRPr="00005453">
              <w:rPr>
                <w:b/>
                <w:bCs/>
                <w:color w:val="000000"/>
                <w:sz w:val="14"/>
                <w:szCs w:val="14"/>
                <w:lang w:eastAsia="tr-TR"/>
              </w:rPr>
              <w:t>(5.2.3.)</w:t>
            </w:r>
          </w:p>
        </w:tc>
        <w:tc>
          <w:tcPr>
            <w:tcW w:w="851" w:type="dxa"/>
            <w:tcBorders>
              <w:top w:val="nil"/>
              <w:left w:val="single" w:sz="4" w:space="0" w:color="auto"/>
              <w:bottom w:val="nil"/>
              <w:right w:val="single" w:sz="4" w:space="0" w:color="auto"/>
            </w:tcBorders>
            <w:shd w:val="clear" w:color="auto" w:fill="auto"/>
            <w:vAlign w:val="center"/>
            <w:hideMark/>
          </w:tcPr>
          <w:p w14:paraId="0D353913" w14:textId="047E1899" w:rsidR="00785B70" w:rsidRPr="00005453" w:rsidRDefault="00785B70" w:rsidP="00785B70">
            <w:pPr>
              <w:jc w:val="right"/>
              <w:rPr>
                <w:b/>
                <w:bCs/>
                <w:sz w:val="14"/>
                <w:szCs w:val="14"/>
              </w:rPr>
            </w:pPr>
            <w:r w:rsidRPr="00005453">
              <w:rPr>
                <w:b/>
                <w:bCs/>
                <w:sz w:val="14"/>
                <w:szCs w:val="18"/>
              </w:rPr>
              <w:t>4,147,337</w:t>
            </w:r>
          </w:p>
        </w:tc>
        <w:tc>
          <w:tcPr>
            <w:tcW w:w="851" w:type="dxa"/>
            <w:tcBorders>
              <w:top w:val="nil"/>
              <w:left w:val="single" w:sz="4" w:space="0" w:color="auto"/>
              <w:bottom w:val="nil"/>
              <w:right w:val="single" w:sz="4" w:space="0" w:color="auto"/>
            </w:tcBorders>
            <w:shd w:val="clear" w:color="auto" w:fill="auto"/>
            <w:vAlign w:val="center"/>
            <w:hideMark/>
          </w:tcPr>
          <w:p w14:paraId="4DDB4619" w14:textId="4754A97C" w:rsidR="00785B70" w:rsidRPr="00005453" w:rsidRDefault="00785B70" w:rsidP="00785B70">
            <w:pPr>
              <w:jc w:val="right"/>
              <w:rPr>
                <w:b/>
                <w:bCs/>
                <w:sz w:val="14"/>
                <w:szCs w:val="14"/>
              </w:rPr>
            </w:pPr>
            <w:r w:rsidRPr="00005453">
              <w:rPr>
                <w:b/>
                <w:bCs/>
                <w:sz w:val="14"/>
                <w:szCs w:val="18"/>
              </w:rPr>
              <w:t>117,773,649</w:t>
            </w:r>
          </w:p>
        </w:tc>
        <w:tc>
          <w:tcPr>
            <w:tcW w:w="991" w:type="dxa"/>
            <w:tcBorders>
              <w:top w:val="nil"/>
              <w:left w:val="single" w:sz="4" w:space="0" w:color="auto"/>
              <w:bottom w:val="nil"/>
              <w:right w:val="single" w:sz="4" w:space="0" w:color="auto"/>
            </w:tcBorders>
            <w:shd w:val="clear" w:color="auto" w:fill="auto"/>
            <w:vAlign w:val="center"/>
            <w:hideMark/>
          </w:tcPr>
          <w:p w14:paraId="701D0FC3" w14:textId="37E98B9F" w:rsidR="00785B70" w:rsidRPr="00005453" w:rsidRDefault="00785B70" w:rsidP="00785B70">
            <w:pPr>
              <w:jc w:val="right"/>
              <w:rPr>
                <w:b/>
                <w:bCs/>
                <w:sz w:val="14"/>
                <w:szCs w:val="14"/>
              </w:rPr>
            </w:pPr>
            <w:r w:rsidRPr="00005453">
              <w:rPr>
                <w:b/>
                <w:bCs/>
                <w:sz w:val="14"/>
                <w:szCs w:val="18"/>
              </w:rPr>
              <w:t>121,920,986</w:t>
            </w:r>
          </w:p>
        </w:tc>
        <w:tc>
          <w:tcPr>
            <w:tcW w:w="851" w:type="dxa"/>
            <w:tcBorders>
              <w:top w:val="nil"/>
              <w:left w:val="single" w:sz="4" w:space="0" w:color="auto"/>
              <w:bottom w:val="nil"/>
              <w:right w:val="single" w:sz="4" w:space="0" w:color="auto"/>
            </w:tcBorders>
            <w:shd w:val="clear" w:color="auto" w:fill="auto"/>
            <w:vAlign w:val="center"/>
            <w:hideMark/>
          </w:tcPr>
          <w:p w14:paraId="25F28E26" w14:textId="3BC35605" w:rsidR="00785B70" w:rsidRPr="00005453" w:rsidRDefault="00785B70" w:rsidP="00785B70">
            <w:pPr>
              <w:jc w:val="right"/>
              <w:rPr>
                <w:b/>
                <w:bCs/>
                <w:sz w:val="14"/>
                <w:szCs w:val="14"/>
                <w:lang w:eastAsia="tr-TR"/>
              </w:rPr>
            </w:pPr>
            <w:r w:rsidRPr="00005453">
              <w:rPr>
                <w:b/>
                <w:bCs/>
                <w:sz w:val="14"/>
                <w:szCs w:val="14"/>
              </w:rPr>
              <w:t>9,265,255</w:t>
            </w:r>
          </w:p>
        </w:tc>
        <w:tc>
          <w:tcPr>
            <w:tcW w:w="850" w:type="dxa"/>
            <w:tcBorders>
              <w:top w:val="nil"/>
              <w:left w:val="single" w:sz="4" w:space="0" w:color="auto"/>
              <w:bottom w:val="nil"/>
              <w:right w:val="single" w:sz="4" w:space="0" w:color="auto"/>
            </w:tcBorders>
            <w:shd w:val="clear" w:color="auto" w:fill="auto"/>
            <w:vAlign w:val="center"/>
            <w:hideMark/>
          </w:tcPr>
          <w:p w14:paraId="65440744" w14:textId="40C2F88A" w:rsidR="00785B70" w:rsidRPr="00005453" w:rsidRDefault="00785B70" w:rsidP="00785B70">
            <w:pPr>
              <w:jc w:val="right"/>
              <w:rPr>
                <w:b/>
                <w:bCs/>
                <w:sz w:val="14"/>
                <w:szCs w:val="14"/>
                <w:lang w:eastAsia="tr-TR"/>
              </w:rPr>
            </w:pPr>
            <w:r w:rsidRPr="00005453">
              <w:rPr>
                <w:b/>
                <w:bCs/>
                <w:sz w:val="14"/>
                <w:szCs w:val="14"/>
              </w:rPr>
              <w:t>63,762,092</w:t>
            </w:r>
          </w:p>
        </w:tc>
        <w:tc>
          <w:tcPr>
            <w:tcW w:w="993" w:type="dxa"/>
            <w:tcBorders>
              <w:top w:val="nil"/>
              <w:left w:val="single" w:sz="4" w:space="0" w:color="auto"/>
              <w:bottom w:val="nil"/>
              <w:right w:val="single" w:sz="4" w:space="0" w:color="auto"/>
            </w:tcBorders>
            <w:shd w:val="clear" w:color="auto" w:fill="auto"/>
            <w:vAlign w:val="center"/>
            <w:hideMark/>
          </w:tcPr>
          <w:p w14:paraId="7DD7B622" w14:textId="42B683B5" w:rsidR="00785B70" w:rsidRPr="00005453" w:rsidRDefault="00785B70" w:rsidP="00785B70">
            <w:pPr>
              <w:jc w:val="right"/>
              <w:rPr>
                <w:b/>
                <w:bCs/>
                <w:sz w:val="14"/>
                <w:szCs w:val="14"/>
                <w:lang w:eastAsia="tr-TR"/>
              </w:rPr>
            </w:pPr>
            <w:r w:rsidRPr="00005453">
              <w:rPr>
                <w:b/>
                <w:bCs/>
                <w:sz w:val="14"/>
                <w:szCs w:val="14"/>
              </w:rPr>
              <w:t>73,027,347</w:t>
            </w:r>
          </w:p>
        </w:tc>
      </w:tr>
      <w:tr w:rsidR="00785B70" w:rsidRPr="00005453" w14:paraId="0363CAEF"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78DB8485"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III.</w:t>
            </w:r>
          </w:p>
        </w:tc>
        <w:tc>
          <w:tcPr>
            <w:tcW w:w="3118" w:type="dxa"/>
            <w:tcBorders>
              <w:top w:val="nil"/>
              <w:left w:val="single" w:sz="4" w:space="0" w:color="auto"/>
              <w:bottom w:val="nil"/>
              <w:right w:val="single" w:sz="4" w:space="0" w:color="auto"/>
            </w:tcBorders>
            <w:shd w:val="clear" w:color="auto" w:fill="auto"/>
            <w:hideMark/>
          </w:tcPr>
          <w:p w14:paraId="1877E764"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hideMark/>
          </w:tcPr>
          <w:p w14:paraId="4AF4B195" w14:textId="77777777" w:rsidR="00785B70" w:rsidRPr="00005453" w:rsidRDefault="00785B70" w:rsidP="00785B70">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84D7B32" w14:textId="703EA052" w:rsidR="00785B70" w:rsidRPr="00005453" w:rsidRDefault="00785B70" w:rsidP="00785B70">
            <w:pPr>
              <w:jc w:val="right"/>
              <w:rPr>
                <w:b/>
                <w:bCs/>
                <w:sz w:val="14"/>
                <w:szCs w:val="14"/>
              </w:rPr>
            </w:pPr>
            <w:r w:rsidRPr="00005453">
              <w:rPr>
                <w:b/>
                <w:bCs/>
                <w:sz w:val="14"/>
                <w:szCs w:val="18"/>
              </w:rPr>
              <w:t>17,719,258</w:t>
            </w:r>
          </w:p>
        </w:tc>
        <w:tc>
          <w:tcPr>
            <w:tcW w:w="851" w:type="dxa"/>
            <w:tcBorders>
              <w:top w:val="nil"/>
              <w:left w:val="single" w:sz="4" w:space="0" w:color="auto"/>
              <w:bottom w:val="nil"/>
              <w:right w:val="single" w:sz="4" w:space="0" w:color="auto"/>
            </w:tcBorders>
            <w:shd w:val="clear" w:color="auto" w:fill="auto"/>
            <w:vAlign w:val="center"/>
            <w:hideMark/>
          </w:tcPr>
          <w:p w14:paraId="3F7BED61" w14:textId="71058CB5" w:rsidR="00785B70" w:rsidRPr="00005453" w:rsidRDefault="00785B70" w:rsidP="00785B70">
            <w:pPr>
              <w:jc w:val="right"/>
              <w:rPr>
                <w:b/>
                <w:bCs/>
                <w:sz w:val="14"/>
                <w:szCs w:val="14"/>
              </w:rPr>
            </w:pPr>
            <w:r w:rsidRPr="00005453">
              <w:rPr>
                <w:b/>
                <w:bCs/>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104E6F45" w14:textId="367D5EAE" w:rsidR="00785B70" w:rsidRPr="00005453" w:rsidRDefault="00785B70" w:rsidP="00785B70">
            <w:pPr>
              <w:jc w:val="right"/>
              <w:rPr>
                <w:b/>
                <w:bCs/>
                <w:sz w:val="14"/>
                <w:szCs w:val="14"/>
              </w:rPr>
            </w:pPr>
            <w:r w:rsidRPr="00005453">
              <w:rPr>
                <w:b/>
                <w:bCs/>
                <w:sz w:val="14"/>
                <w:szCs w:val="18"/>
              </w:rPr>
              <w:t>17,719,258</w:t>
            </w:r>
          </w:p>
        </w:tc>
        <w:tc>
          <w:tcPr>
            <w:tcW w:w="851" w:type="dxa"/>
            <w:tcBorders>
              <w:top w:val="nil"/>
              <w:left w:val="single" w:sz="4" w:space="0" w:color="auto"/>
              <w:bottom w:val="nil"/>
              <w:right w:val="single" w:sz="4" w:space="0" w:color="auto"/>
            </w:tcBorders>
            <w:shd w:val="clear" w:color="auto" w:fill="auto"/>
            <w:vAlign w:val="center"/>
            <w:hideMark/>
          </w:tcPr>
          <w:p w14:paraId="2C0F530E" w14:textId="438655B2" w:rsidR="00785B70" w:rsidRPr="00005453" w:rsidRDefault="00785B70" w:rsidP="00785B70">
            <w:pPr>
              <w:jc w:val="right"/>
              <w:rPr>
                <w:b/>
                <w:bCs/>
                <w:sz w:val="14"/>
                <w:szCs w:val="14"/>
                <w:lang w:eastAsia="tr-TR"/>
              </w:rPr>
            </w:pPr>
            <w:r w:rsidRPr="00005453">
              <w:rPr>
                <w:b/>
                <w:bCs/>
                <w:sz w:val="14"/>
                <w:szCs w:val="14"/>
              </w:rPr>
              <w:t>4,186,987</w:t>
            </w:r>
          </w:p>
        </w:tc>
        <w:tc>
          <w:tcPr>
            <w:tcW w:w="850" w:type="dxa"/>
            <w:tcBorders>
              <w:top w:val="nil"/>
              <w:left w:val="single" w:sz="4" w:space="0" w:color="auto"/>
              <w:bottom w:val="nil"/>
              <w:right w:val="single" w:sz="4" w:space="0" w:color="auto"/>
            </w:tcBorders>
            <w:shd w:val="clear" w:color="auto" w:fill="auto"/>
            <w:vAlign w:val="center"/>
            <w:hideMark/>
          </w:tcPr>
          <w:p w14:paraId="62F20146" w14:textId="7071AA5D" w:rsidR="00785B70" w:rsidRPr="00005453" w:rsidRDefault="00785B70" w:rsidP="00785B70">
            <w:pPr>
              <w:jc w:val="right"/>
              <w:rPr>
                <w:b/>
                <w:bCs/>
                <w:sz w:val="14"/>
                <w:szCs w:val="14"/>
                <w:lang w:eastAsia="tr-TR"/>
              </w:rPr>
            </w:pPr>
            <w:r w:rsidRPr="00005453">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927B551" w14:textId="7AFCE243" w:rsidR="00785B70" w:rsidRPr="00005453" w:rsidRDefault="00785B70" w:rsidP="00785B70">
            <w:pPr>
              <w:jc w:val="right"/>
              <w:rPr>
                <w:b/>
                <w:bCs/>
                <w:sz w:val="14"/>
                <w:szCs w:val="14"/>
                <w:lang w:eastAsia="tr-TR"/>
              </w:rPr>
            </w:pPr>
            <w:r w:rsidRPr="00005453">
              <w:rPr>
                <w:b/>
                <w:bCs/>
                <w:sz w:val="14"/>
                <w:szCs w:val="14"/>
              </w:rPr>
              <w:t>4,186,987</w:t>
            </w:r>
          </w:p>
        </w:tc>
      </w:tr>
      <w:tr w:rsidR="00785B70" w:rsidRPr="00005453" w14:paraId="5651C8FE"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266CD285"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IV.</w:t>
            </w:r>
          </w:p>
        </w:tc>
        <w:tc>
          <w:tcPr>
            <w:tcW w:w="3118" w:type="dxa"/>
            <w:tcBorders>
              <w:top w:val="nil"/>
              <w:left w:val="single" w:sz="4" w:space="0" w:color="auto"/>
              <w:bottom w:val="nil"/>
              <w:right w:val="single" w:sz="4" w:space="0" w:color="auto"/>
            </w:tcBorders>
            <w:shd w:val="clear" w:color="auto" w:fill="auto"/>
            <w:noWrap/>
            <w:hideMark/>
          </w:tcPr>
          <w:p w14:paraId="37D50BCA"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hideMark/>
          </w:tcPr>
          <w:p w14:paraId="03320533" w14:textId="5D65AA37" w:rsidR="00785B70" w:rsidRPr="00005453" w:rsidRDefault="00785B70" w:rsidP="00785B70">
            <w:pPr>
              <w:jc w:val="center"/>
              <w:rPr>
                <w:b/>
                <w:bCs/>
                <w:color w:val="000000"/>
                <w:sz w:val="14"/>
                <w:szCs w:val="14"/>
                <w:lang w:eastAsia="tr-TR"/>
              </w:rPr>
            </w:pPr>
            <w:r w:rsidRPr="00005453">
              <w:rPr>
                <w:b/>
                <w:bCs/>
                <w:color w:val="000000"/>
                <w:sz w:val="14"/>
                <w:szCs w:val="14"/>
                <w:lang w:eastAsia="tr-TR"/>
              </w:rPr>
              <w:t>(5.2.4.)</w:t>
            </w:r>
          </w:p>
        </w:tc>
        <w:tc>
          <w:tcPr>
            <w:tcW w:w="851" w:type="dxa"/>
            <w:tcBorders>
              <w:top w:val="nil"/>
              <w:left w:val="single" w:sz="4" w:space="0" w:color="auto"/>
              <w:bottom w:val="nil"/>
              <w:right w:val="single" w:sz="4" w:space="0" w:color="auto"/>
            </w:tcBorders>
            <w:shd w:val="clear" w:color="auto" w:fill="auto"/>
            <w:vAlign w:val="center"/>
            <w:hideMark/>
          </w:tcPr>
          <w:p w14:paraId="30FE2D93" w14:textId="387AA84B"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2273527" w14:textId="412C5EB9" w:rsidR="00785B70" w:rsidRPr="00005453" w:rsidRDefault="00785B70" w:rsidP="00785B70">
            <w:pPr>
              <w:jc w:val="right"/>
              <w:rPr>
                <w:bCs/>
                <w:sz w:val="14"/>
                <w:szCs w:val="14"/>
              </w:rPr>
            </w:pPr>
            <w:r w:rsidRPr="00005453">
              <w:rPr>
                <w:b/>
                <w:bCs/>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552ECDFE" w14:textId="0EF6663B"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FA16548" w14:textId="3C2ABF49"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6DB77D74" w14:textId="4742A01F"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354C68C" w14:textId="0C95DB8B" w:rsidR="00785B70" w:rsidRPr="00005453" w:rsidRDefault="00785B70" w:rsidP="00785B70">
            <w:pPr>
              <w:jc w:val="right"/>
              <w:rPr>
                <w:sz w:val="14"/>
                <w:szCs w:val="14"/>
                <w:lang w:eastAsia="tr-TR"/>
              </w:rPr>
            </w:pPr>
            <w:r w:rsidRPr="00005453">
              <w:rPr>
                <w:bCs/>
                <w:sz w:val="14"/>
                <w:szCs w:val="14"/>
              </w:rPr>
              <w:t>-</w:t>
            </w:r>
          </w:p>
        </w:tc>
      </w:tr>
      <w:tr w:rsidR="00785B70" w:rsidRPr="00005453" w14:paraId="4C1D43C5" w14:textId="77777777" w:rsidTr="00785B70">
        <w:trPr>
          <w:divId w:val="248657329"/>
          <w:trHeight w:val="196"/>
        </w:trPr>
        <w:tc>
          <w:tcPr>
            <w:tcW w:w="525" w:type="dxa"/>
            <w:tcBorders>
              <w:top w:val="nil"/>
              <w:left w:val="single" w:sz="4" w:space="0" w:color="auto"/>
              <w:bottom w:val="nil"/>
              <w:right w:val="single" w:sz="4" w:space="0" w:color="auto"/>
            </w:tcBorders>
            <w:shd w:val="clear" w:color="auto" w:fill="auto"/>
            <w:noWrap/>
            <w:hideMark/>
          </w:tcPr>
          <w:p w14:paraId="1A9893D7"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V.</w:t>
            </w:r>
          </w:p>
        </w:tc>
        <w:tc>
          <w:tcPr>
            <w:tcW w:w="3118" w:type="dxa"/>
            <w:tcBorders>
              <w:top w:val="nil"/>
              <w:left w:val="single" w:sz="4" w:space="0" w:color="auto"/>
              <w:bottom w:val="nil"/>
              <w:right w:val="single" w:sz="4" w:space="0" w:color="auto"/>
            </w:tcBorders>
            <w:shd w:val="clear" w:color="auto" w:fill="auto"/>
            <w:hideMark/>
          </w:tcPr>
          <w:p w14:paraId="6A6C513B"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hideMark/>
          </w:tcPr>
          <w:p w14:paraId="58753221" w14:textId="77777777" w:rsidR="00785B70" w:rsidRPr="00005453" w:rsidRDefault="00785B70" w:rsidP="00785B70">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310F2D5" w14:textId="694B3CE8"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C409CDC" w14:textId="0B51F4DB" w:rsidR="00785B70" w:rsidRPr="00005453" w:rsidRDefault="00785B70" w:rsidP="00785B70">
            <w:pPr>
              <w:jc w:val="right"/>
              <w:rPr>
                <w:bCs/>
                <w:sz w:val="14"/>
                <w:szCs w:val="14"/>
              </w:rPr>
            </w:pPr>
            <w:r w:rsidRPr="00005453">
              <w:rPr>
                <w:b/>
                <w:bCs/>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35CE88B4" w14:textId="2CEBEEC7"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F5F20A1" w14:textId="5ABC34E0"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0F73A605" w14:textId="5EB157F9"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62B4C603" w14:textId="211F2E0E" w:rsidR="00785B70" w:rsidRPr="00005453" w:rsidRDefault="00785B70" w:rsidP="00785B70">
            <w:pPr>
              <w:jc w:val="right"/>
              <w:rPr>
                <w:sz w:val="14"/>
                <w:szCs w:val="14"/>
                <w:lang w:eastAsia="tr-TR"/>
              </w:rPr>
            </w:pPr>
            <w:r w:rsidRPr="00005453">
              <w:rPr>
                <w:bCs/>
                <w:sz w:val="14"/>
                <w:szCs w:val="14"/>
              </w:rPr>
              <w:t>-</w:t>
            </w:r>
          </w:p>
        </w:tc>
      </w:tr>
      <w:tr w:rsidR="00785B70" w:rsidRPr="00005453" w14:paraId="048B672F"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19BDBEE0"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VI.</w:t>
            </w:r>
          </w:p>
        </w:tc>
        <w:tc>
          <w:tcPr>
            <w:tcW w:w="3118" w:type="dxa"/>
            <w:tcBorders>
              <w:top w:val="nil"/>
              <w:left w:val="single" w:sz="4" w:space="0" w:color="auto"/>
              <w:bottom w:val="nil"/>
              <w:right w:val="single" w:sz="4" w:space="0" w:color="auto"/>
            </w:tcBorders>
            <w:shd w:val="clear" w:color="auto" w:fill="auto"/>
            <w:hideMark/>
          </w:tcPr>
          <w:p w14:paraId="1F5056D7"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hideMark/>
          </w:tcPr>
          <w:p w14:paraId="68204A2C" w14:textId="77777777" w:rsidR="00785B70" w:rsidRPr="00005453" w:rsidRDefault="00785B70" w:rsidP="00785B70">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9CA728B" w14:textId="552DE29A" w:rsidR="00785B70" w:rsidRPr="00005453" w:rsidRDefault="00785B70" w:rsidP="00785B70">
            <w:pPr>
              <w:jc w:val="right"/>
              <w:rPr>
                <w:b/>
                <w:bCs/>
                <w:sz w:val="14"/>
                <w:szCs w:val="14"/>
              </w:rPr>
            </w:pPr>
            <w:r w:rsidRPr="00005453">
              <w:rPr>
                <w:b/>
                <w:bCs/>
                <w:sz w:val="14"/>
                <w:szCs w:val="18"/>
              </w:rPr>
              <w:t>1,399,910</w:t>
            </w:r>
          </w:p>
        </w:tc>
        <w:tc>
          <w:tcPr>
            <w:tcW w:w="851" w:type="dxa"/>
            <w:tcBorders>
              <w:top w:val="nil"/>
              <w:left w:val="single" w:sz="4" w:space="0" w:color="auto"/>
              <w:bottom w:val="nil"/>
              <w:right w:val="single" w:sz="4" w:space="0" w:color="auto"/>
            </w:tcBorders>
            <w:shd w:val="clear" w:color="auto" w:fill="auto"/>
            <w:vAlign w:val="center"/>
            <w:hideMark/>
          </w:tcPr>
          <w:p w14:paraId="2699224D" w14:textId="2A2CC85E" w:rsidR="00785B70" w:rsidRPr="00005453" w:rsidRDefault="00785B70" w:rsidP="00785B70">
            <w:pPr>
              <w:jc w:val="right"/>
              <w:rPr>
                <w:b/>
                <w:bCs/>
                <w:sz w:val="14"/>
                <w:szCs w:val="14"/>
              </w:rPr>
            </w:pPr>
            <w:r w:rsidRPr="00005453">
              <w:rPr>
                <w:b/>
                <w:bCs/>
                <w:sz w:val="14"/>
                <w:szCs w:val="18"/>
              </w:rPr>
              <w:t>1,453,023</w:t>
            </w:r>
          </w:p>
        </w:tc>
        <w:tc>
          <w:tcPr>
            <w:tcW w:w="991" w:type="dxa"/>
            <w:tcBorders>
              <w:top w:val="nil"/>
              <w:left w:val="single" w:sz="4" w:space="0" w:color="auto"/>
              <w:bottom w:val="nil"/>
              <w:right w:val="single" w:sz="4" w:space="0" w:color="auto"/>
            </w:tcBorders>
            <w:shd w:val="clear" w:color="auto" w:fill="auto"/>
            <w:vAlign w:val="center"/>
            <w:hideMark/>
          </w:tcPr>
          <w:p w14:paraId="5BC5BBB6" w14:textId="557DB6A7" w:rsidR="00785B70" w:rsidRPr="00005453" w:rsidRDefault="00785B70" w:rsidP="00785B70">
            <w:pPr>
              <w:jc w:val="right"/>
              <w:rPr>
                <w:b/>
                <w:bCs/>
                <w:sz w:val="14"/>
                <w:szCs w:val="14"/>
              </w:rPr>
            </w:pPr>
            <w:r w:rsidRPr="00005453">
              <w:rPr>
                <w:b/>
                <w:bCs/>
                <w:color w:val="000000"/>
                <w:sz w:val="14"/>
                <w:szCs w:val="18"/>
              </w:rPr>
              <w:t>2,852,933</w:t>
            </w:r>
          </w:p>
        </w:tc>
        <w:tc>
          <w:tcPr>
            <w:tcW w:w="851" w:type="dxa"/>
            <w:tcBorders>
              <w:top w:val="nil"/>
              <w:left w:val="single" w:sz="4" w:space="0" w:color="auto"/>
              <w:bottom w:val="nil"/>
              <w:right w:val="single" w:sz="4" w:space="0" w:color="auto"/>
            </w:tcBorders>
            <w:shd w:val="clear" w:color="auto" w:fill="auto"/>
            <w:vAlign w:val="center"/>
            <w:hideMark/>
          </w:tcPr>
          <w:p w14:paraId="4BBF29DB" w14:textId="7AFC3751" w:rsidR="00785B70" w:rsidRPr="00005453" w:rsidRDefault="00785B70" w:rsidP="00785B70">
            <w:pPr>
              <w:jc w:val="right"/>
              <w:rPr>
                <w:b/>
                <w:bCs/>
                <w:sz w:val="14"/>
                <w:szCs w:val="14"/>
                <w:lang w:eastAsia="tr-TR"/>
              </w:rPr>
            </w:pPr>
            <w:r w:rsidRPr="00005453">
              <w:rPr>
                <w:b/>
                <w:bCs/>
                <w:sz w:val="14"/>
                <w:szCs w:val="14"/>
              </w:rPr>
              <w:t>99,842</w:t>
            </w:r>
          </w:p>
        </w:tc>
        <w:tc>
          <w:tcPr>
            <w:tcW w:w="850" w:type="dxa"/>
            <w:tcBorders>
              <w:top w:val="nil"/>
              <w:left w:val="single" w:sz="4" w:space="0" w:color="auto"/>
              <w:bottom w:val="nil"/>
              <w:right w:val="single" w:sz="4" w:space="0" w:color="auto"/>
            </w:tcBorders>
            <w:shd w:val="clear" w:color="auto" w:fill="auto"/>
            <w:vAlign w:val="center"/>
            <w:hideMark/>
          </w:tcPr>
          <w:p w14:paraId="7FB5903F" w14:textId="7AE745FF" w:rsidR="00785B70" w:rsidRPr="00005453" w:rsidRDefault="00785B70" w:rsidP="00785B70">
            <w:pPr>
              <w:jc w:val="right"/>
              <w:rPr>
                <w:b/>
                <w:bCs/>
                <w:sz w:val="14"/>
                <w:szCs w:val="14"/>
                <w:lang w:eastAsia="tr-TR"/>
              </w:rPr>
            </w:pPr>
            <w:r w:rsidRPr="00005453">
              <w:rPr>
                <w:b/>
                <w:bCs/>
                <w:sz w:val="14"/>
                <w:szCs w:val="14"/>
              </w:rPr>
              <w:t>877,957</w:t>
            </w:r>
          </w:p>
        </w:tc>
        <w:tc>
          <w:tcPr>
            <w:tcW w:w="993" w:type="dxa"/>
            <w:tcBorders>
              <w:top w:val="nil"/>
              <w:left w:val="single" w:sz="4" w:space="0" w:color="auto"/>
              <w:bottom w:val="nil"/>
              <w:right w:val="single" w:sz="4" w:space="0" w:color="auto"/>
            </w:tcBorders>
            <w:shd w:val="clear" w:color="auto" w:fill="auto"/>
            <w:vAlign w:val="center"/>
            <w:hideMark/>
          </w:tcPr>
          <w:p w14:paraId="736BAAFB" w14:textId="4C581733" w:rsidR="00785B70" w:rsidRPr="00005453" w:rsidRDefault="00785B70" w:rsidP="00785B70">
            <w:pPr>
              <w:jc w:val="right"/>
              <w:rPr>
                <w:b/>
                <w:bCs/>
                <w:sz w:val="14"/>
                <w:szCs w:val="14"/>
                <w:lang w:eastAsia="tr-TR"/>
              </w:rPr>
            </w:pPr>
            <w:r w:rsidRPr="00005453">
              <w:rPr>
                <w:b/>
                <w:bCs/>
                <w:sz w:val="14"/>
                <w:szCs w:val="14"/>
              </w:rPr>
              <w:t>977,799</w:t>
            </w:r>
          </w:p>
        </w:tc>
      </w:tr>
      <w:tr w:rsidR="00785B70" w:rsidRPr="00005453" w14:paraId="13F7B268" w14:textId="77777777" w:rsidTr="00785B70">
        <w:trPr>
          <w:divId w:val="248657329"/>
          <w:trHeight w:val="235"/>
        </w:trPr>
        <w:tc>
          <w:tcPr>
            <w:tcW w:w="525" w:type="dxa"/>
            <w:tcBorders>
              <w:top w:val="nil"/>
              <w:left w:val="single" w:sz="4" w:space="0" w:color="auto"/>
              <w:bottom w:val="nil"/>
              <w:right w:val="single" w:sz="4" w:space="0" w:color="auto"/>
            </w:tcBorders>
            <w:shd w:val="clear" w:color="auto" w:fill="auto"/>
            <w:noWrap/>
            <w:hideMark/>
          </w:tcPr>
          <w:p w14:paraId="73021D42" w14:textId="77777777" w:rsidR="00785B70" w:rsidRPr="00005453" w:rsidRDefault="00785B70" w:rsidP="00785B70">
            <w:pPr>
              <w:rPr>
                <w:color w:val="000000"/>
                <w:sz w:val="14"/>
                <w:szCs w:val="14"/>
                <w:lang w:eastAsia="tr-TR"/>
              </w:rPr>
            </w:pPr>
            <w:r w:rsidRPr="00005453">
              <w:rPr>
                <w:color w:val="000000"/>
                <w:sz w:val="14"/>
                <w:szCs w:val="14"/>
                <w:lang w:eastAsia="tr-TR"/>
              </w:rPr>
              <w:t>6.1.</w:t>
            </w:r>
          </w:p>
        </w:tc>
        <w:tc>
          <w:tcPr>
            <w:tcW w:w="3118" w:type="dxa"/>
            <w:tcBorders>
              <w:top w:val="nil"/>
              <w:left w:val="single" w:sz="4" w:space="0" w:color="auto"/>
              <w:bottom w:val="nil"/>
              <w:right w:val="single" w:sz="4" w:space="0" w:color="auto"/>
            </w:tcBorders>
            <w:shd w:val="clear" w:color="auto" w:fill="auto"/>
            <w:hideMark/>
          </w:tcPr>
          <w:p w14:paraId="33296D1B" w14:textId="77777777" w:rsidR="00785B70" w:rsidRPr="00005453" w:rsidRDefault="00785B70" w:rsidP="00785B70">
            <w:pPr>
              <w:rPr>
                <w:color w:val="000000"/>
                <w:sz w:val="14"/>
                <w:szCs w:val="14"/>
                <w:lang w:eastAsia="tr-TR"/>
              </w:rPr>
            </w:pPr>
            <w:r w:rsidRPr="00005453">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hideMark/>
          </w:tcPr>
          <w:p w14:paraId="574B6FA9" w14:textId="325BD75A" w:rsidR="00785B70" w:rsidRPr="00005453" w:rsidRDefault="00785B70" w:rsidP="00785B70">
            <w:pPr>
              <w:jc w:val="center"/>
              <w:rPr>
                <w:color w:val="000000"/>
                <w:sz w:val="14"/>
                <w:szCs w:val="14"/>
                <w:lang w:eastAsia="tr-TR"/>
              </w:rPr>
            </w:pPr>
            <w:r w:rsidRPr="00005453">
              <w:rPr>
                <w:color w:val="000000"/>
                <w:sz w:val="14"/>
                <w:szCs w:val="14"/>
                <w:lang w:eastAsia="tr-TR"/>
              </w:rPr>
              <w:t>(5.2.2.)</w:t>
            </w:r>
          </w:p>
        </w:tc>
        <w:tc>
          <w:tcPr>
            <w:tcW w:w="851" w:type="dxa"/>
            <w:tcBorders>
              <w:top w:val="nil"/>
              <w:left w:val="single" w:sz="4" w:space="0" w:color="auto"/>
              <w:bottom w:val="nil"/>
              <w:right w:val="single" w:sz="4" w:space="0" w:color="auto"/>
            </w:tcBorders>
            <w:shd w:val="clear" w:color="auto" w:fill="auto"/>
            <w:vAlign w:val="center"/>
            <w:hideMark/>
          </w:tcPr>
          <w:p w14:paraId="6159A243" w14:textId="77777777" w:rsidR="00337B7A" w:rsidRPr="00005453" w:rsidRDefault="00337B7A" w:rsidP="00785B70">
            <w:pPr>
              <w:jc w:val="right"/>
              <w:rPr>
                <w:sz w:val="14"/>
                <w:szCs w:val="18"/>
              </w:rPr>
            </w:pPr>
          </w:p>
          <w:p w14:paraId="040791D8" w14:textId="32BEEB67" w:rsidR="00785B70" w:rsidRPr="00005453" w:rsidRDefault="00785B70" w:rsidP="00785B70">
            <w:pPr>
              <w:jc w:val="right"/>
              <w:rPr>
                <w:bCs/>
                <w:sz w:val="14"/>
                <w:szCs w:val="14"/>
              </w:rPr>
            </w:pPr>
            <w:r w:rsidRPr="00005453">
              <w:rPr>
                <w:sz w:val="14"/>
                <w:szCs w:val="18"/>
              </w:rPr>
              <w:t>1,399,910</w:t>
            </w:r>
          </w:p>
        </w:tc>
        <w:tc>
          <w:tcPr>
            <w:tcW w:w="851" w:type="dxa"/>
            <w:tcBorders>
              <w:top w:val="nil"/>
              <w:left w:val="single" w:sz="4" w:space="0" w:color="auto"/>
              <w:bottom w:val="nil"/>
              <w:right w:val="single" w:sz="4" w:space="0" w:color="auto"/>
            </w:tcBorders>
            <w:shd w:val="clear" w:color="auto" w:fill="auto"/>
            <w:vAlign w:val="center"/>
            <w:hideMark/>
          </w:tcPr>
          <w:p w14:paraId="01E469E3" w14:textId="77777777" w:rsidR="00337B7A" w:rsidRPr="00005453" w:rsidRDefault="00337B7A" w:rsidP="00785B70">
            <w:pPr>
              <w:jc w:val="right"/>
              <w:rPr>
                <w:sz w:val="14"/>
                <w:szCs w:val="18"/>
              </w:rPr>
            </w:pPr>
          </w:p>
          <w:p w14:paraId="3172D114" w14:textId="29CB9373" w:rsidR="00785B70" w:rsidRPr="00005453" w:rsidRDefault="00785B70" w:rsidP="00785B70">
            <w:pPr>
              <w:jc w:val="right"/>
              <w:rPr>
                <w:bCs/>
                <w:sz w:val="14"/>
                <w:szCs w:val="14"/>
              </w:rPr>
            </w:pPr>
            <w:r w:rsidRPr="00005453">
              <w:rPr>
                <w:sz w:val="14"/>
                <w:szCs w:val="18"/>
              </w:rPr>
              <w:t>1,453,023</w:t>
            </w:r>
          </w:p>
        </w:tc>
        <w:tc>
          <w:tcPr>
            <w:tcW w:w="991" w:type="dxa"/>
            <w:tcBorders>
              <w:top w:val="nil"/>
              <w:left w:val="single" w:sz="4" w:space="0" w:color="auto"/>
              <w:bottom w:val="nil"/>
              <w:right w:val="single" w:sz="4" w:space="0" w:color="auto"/>
            </w:tcBorders>
            <w:shd w:val="clear" w:color="auto" w:fill="auto"/>
            <w:vAlign w:val="center"/>
            <w:hideMark/>
          </w:tcPr>
          <w:p w14:paraId="1AC59AAD" w14:textId="77777777" w:rsidR="00337B7A" w:rsidRPr="00005453" w:rsidRDefault="00337B7A" w:rsidP="00785B70">
            <w:pPr>
              <w:jc w:val="right"/>
              <w:rPr>
                <w:sz w:val="14"/>
                <w:szCs w:val="18"/>
              </w:rPr>
            </w:pPr>
          </w:p>
          <w:p w14:paraId="1CCBBC4B" w14:textId="4CCE209A" w:rsidR="00785B70" w:rsidRPr="00005453" w:rsidRDefault="00785B70" w:rsidP="00785B70">
            <w:pPr>
              <w:jc w:val="right"/>
              <w:rPr>
                <w:bCs/>
                <w:sz w:val="14"/>
                <w:szCs w:val="14"/>
              </w:rPr>
            </w:pPr>
            <w:r w:rsidRPr="00005453">
              <w:rPr>
                <w:sz w:val="14"/>
                <w:szCs w:val="18"/>
              </w:rPr>
              <w:t>2,852,933</w:t>
            </w:r>
          </w:p>
        </w:tc>
        <w:tc>
          <w:tcPr>
            <w:tcW w:w="851" w:type="dxa"/>
            <w:tcBorders>
              <w:top w:val="nil"/>
              <w:left w:val="single" w:sz="4" w:space="0" w:color="auto"/>
              <w:bottom w:val="nil"/>
              <w:right w:val="single" w:sz="4" w:space="0" w:color="auto"/>
            </w:tcBorders>
            <w:shd w:val="clear" w:color="auto" w:fill="auto"/>
            <w:vAlign w:val="center"/>
            <w:hideMark/>
          </w:tcPr>
          <w:p w14:paraId="5721C3BD" w14:textId="77777777" w:rsidR="00337B7A" w:rsidRPr="00005453" w:rsidRDefault="00337B7A" w:rsidP="00785B70">
            <w:pPr>
              <w:jc w:val="right"/>
              <w:rPr>
                <w:bCs/>
                <w:sz w:val="14"/>
                <w:szCs w:val="14"/>
              </w:rPr>
            </w:pPr>
          </w:p>
          <w:p w14:paraId="4F033C6C" w14:textId="46B2DEFF" w:rsidR="00785B70" w:rsidRPr="00005453" w:rsidRDefault="00785B70" w:rsidP="00785B70">
            <w:pPr>
              <w:jc w:val="right"/>
              <w:rPr>
                <w:sz w:val="14"/>
                <w:szCs w:val="14"/>
                <w:lang w:eastAsia="tr-TR"/>
              </w:rPr>
            </w:pPr>
            <w:r w:rsidRPr="00005453">
              <w:rPr>
                <w:bCs/>
                <w:sz w:val="14"/>
                <w:szCs w:val="14"/>
              </w:rPr>
              <w:t>99,842</w:t>
            </w:r>
          </w:p>
        </w:tc>
        <w:tc>
          <w:tcPr>
            <w:tcW w:w="850" w:type="dxa"/>
            <w:tcBorders>
              <w:top w:val="nil"/>
              <w:left w:val="single" w:sz="4" w:space="0" w:color="auto"/>
              <w:bottom w:val="nil"/>
              <w:right w:val="single" w:sz="4" w:space="0" w:color="auto"/>
            </w:tcBorders>
            <w:shd w:val="clear" w:color="auto" w:fill="auto"/>
            <w:vAlign w:val="center"/>
            <w:hideMark/>
          </w:tcPr>
          <w:p w14:paraId="68BA1B4F" w14:textId="77777777" w:rsidR="00337B7A" w:rsidRPr="00005453" w:rsidRDefault="00337B7A" w:rsidP="00785B70">
            <w:pPr>
              <w:jc w:val="right"/>
              <w:rPr>
                <w:bCs/>
                <w:sz w:val="14"/>
                <w:szCs w:val="14"/>
              </w:rPr>
            </w:pPr>
          </w:p>
          <w:p w14:paraId="4A31D765" w14:textId="455F011A" w:rsidR="00785B70" w:rsidRPr="00005453" w:rsidRDefault="00785B70" w:rsidP="00785B70">
            <w:pPr>
              <w:jc w:val="right"/>
              <w:rPr>
                <w:sz w:val="14"/>
                <w:szCs w:val="14"/>
                <w:lang w:eastAsia="tr-TR"/>
              </w:rPr>
            </w:pPr>
            <w:r w:rsidRPr="00005453">
              <w:rPr>
                <w:bCs/>
                <w:sz w:val="14"/>
                <w:szCs w:val="14"/>
              </w:rPr>
              <w:t>877,957</w:t>
            </w:r>
          </w:p>
        </w:tc>
        <w:tc>
          <w:tcPr>
            <w:tcW w:w="993" w:type="dxa"/>
            <w:tcBorders>
              <w:top w:val="nil"/>
              <w:left w:val="single" w:sz="4" w:space="0" w:color="auto"/>
              <w:bottom w:val="nil"/>
              <w:right w:val="single" w:sz="4" w:space="0" w:color="auto"/>
            </w:tcBorders>
            <w:shd w:val="clear" w:color="auto" w:fill="auto"/>
            <w:vAlign w:val="center"/>
            <w:hideMark/>
          </w:tcPr>
          <w:p w14:paraId="64BA469C" w14:textId="77777777" w:rsidR="00337B7A" w:rsidRPr="00005453" w:rsidRDefault="00337B7A" w:rsidP="00785B70">
            <w:pPr>
              <w:jc w:val="right"/>
              <w:rPr>
                <w:bCs/>
                <w:sz w:val="14"/>
                <w:szCs w:val="14"/>
              </w:rPr>
            </w:pPr>
          </w:p>
          <w:p w14:paraId="75212790" w14:textId="46B68FDF" w:rsidR="00785B70" w:rsidRPr="00005453" w:rsidRDefault="00785B70" w:rsidP="00785B70">
            <w:pPr>
              <w:jc w:val="right"/>
              <w:rPr>
                <w:sz w:val="14"/>
                <w:szCs w:val="14"/>
                <w:lang w:eastAsia="tr-TR"/>
              </w:rPr>
            </w:pPr>
            <w:r w:rsidRPr="00005453">
              <w:rPr>
                <w:bCs/>
                <w:sz w:val="14"/>
                <w:szCs w:val="14"/>
              </w:rPr>
              <w:t>977,799</w:t>
            </w:r>
          </w:p>
        </w:tc>
      </w:tr>
      <w:tr w:rsidR="00785B70" w:rsidRPr="00005453" w14:paraId="178EFC09" w14:textId="77777777" w:rsidTr="00785B70">
        <w:trPr>
          <w:divId w:val="248657329"/>
          <w:trHeight w:val="235"/>
        </w:trPr>
        <w:tc>
          <w:tcPr>
            <w:tcW w:w="525" w:type="dxa"/>
            <w:tcBorders>
              <w:top w:val="nil"/>
              <w:left w:val="single" w:sz="4" w:space="0" w:color="auto"/>
              <w:bottom w:val="nil"/>
              <w:right w:val="single" w:sz="4" w:space="0" w:color="auto"/>
            </w:tcBorders>
            <w:shd w:val="clear" w:color="auto" w:fill="auto"/>
            <w:noWrap/>
            <w:hideMark/>
          </w:tcPr>
          <w:p w14:paraId="2083F342" w14:textId="77777777" w:rsidR="00785B70" w:rsidRPr="00005453" w:rsidRDefault="00785B70" w:rsidP="00785B70">
            <w:pPr>
              <w:rPr>
                <w:color w:val="000000"/>
                <w:sz w:val="14"/>
                <w:szCs w:val="14"/>
                <w:lang w:eastAsia="tr-TR"/>
              </w:rPr>
            </w:pPr>
            <w:r w:rsidRPr="00005453">
              <w:rPr>
                <w:color w:val="000000"/>
                <w:sz w:val="14"/>
                <w:szCs w:val="14"/>
                <w:lang w:eastAsia="tr-TR"/>
              </w:rPr>
              <w:t>6.2.</w:t>
            </w:r>
          </w:p>
        </w:tc>
        <w:tc>
          <w:tcPr>
            <w:tcW w:w="3118" w:type="dxa"/>
            <w:tcBorders>
              <w:top w:val="nil"/>
              <w:left w:val="single" w:sz="4" w:space="0" w:color="auto"/>
              <w:bottom w:val="nil"/>
              <w:right w:val="single" w:sz="4" w:space="0" w:color="auto"/>
            </w:tcBorders>
            <w:shd w:val="clear" w:color="auto" w:fill="auto"/>
            <w:hideMark/>
          </w:tcPr>
          <w:p w14:paraId="0117FCA7" w14:textId="77777777" w:rsidR="00785B70" w:rsidRPr="00005453" w:rsidRDefault="00785B70" w:rsidP="00785B70">
            <w:pPr>
              <w:rPr>
                <w:color w:val="000000"/>
                <w:sz w:val="14"/>
                <w:szCs w:val="14"/>
                <w:lang w:eastAsia="tr-TR"/>
              </w:rPr>
            </w:pPr>
            <w:r w:rsidRPr="00005453">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hideMark/>
          </w:tcPr>
          <w:p w14:paraId="104445B3" w14:textId="086167CC" w:rsidR="00785B70" w:rsidRPr="00005453" w:rsidRDefault="00785B70" w:rsidP="00785B70">
            <w:pPr>
              <w:jc w:val="center"/>
              <w:rPr>
                <w:color w:val="000000"/>
                <w:sz w:val="14"/>
                <w:szCs w:val="14"/>
                <w:lang w:eastAsia="tr-TR"/>
              </w:rPr>
            </w:pPr>
            <w:r w:rsidRPr="00005453">
              <w:rPr>
                <w:color w:val="000000"/>
                <w:sz w:val="14"/>
                <w:szCs w:val="14"/>
                <w:lang w:eastAsia="tr-TR"/>
              </w:rPr>
              <w:t>(5.2.7.)</w:t>
            </w:r>
          </w:p>
        </w:tc>
        <w:tc>
          <w:tcPr>
            <w:tcW w:w="851" w:type="dxa"/>
            <w:tcBorders>
              <w:top w:val="nil"/>
              <w:left w:val="single" w:sz="4" w:space="0" w:color="auto"/>
              <w:bottom w:val="nil"/>
              <w:right w:val="single" w:sz="4" w:space="0" w:color="auto"/>
            </w:tcBorders>
            <w:shd w:val="clear" w:color="auto" w:fill="auto"/>
            <w:vAlign w:val="center"/>
            <w:hideMark/>
          </w:tcPr>
          <w:p w14:paraId="26328BE4" w14:textId="5CAAAD4F"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C2D8114" w14:textId="74CEBAF9"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8BDDD40" w14:textId="0EEC8AC9"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6DDE7F2" w14:textId="33BA3245"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2A1806F5" w14:textId="43CEFF5C"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6CFA8E3" w14:textId="3B3A8D6E" w:rsidR="00785B70" w:rsidRPr="00005453" w:rsidRDefault="00785B70" w:rsidP="00785B70">
            <w:pPr>
              <w:jc w:val="right"/>
              <w:rPr>
                <w:sz w:val="14"/>
                <w:szCs w:val="14"/>
                <w:lang w:eastAsia="tr-TR"/>
              </w:rPr>
            </w:pPr>
            <w:r w:rsidRPr="00005453">
              <w:rPr>
                <w:bCs/>
                <w:sz w:val="14"/>
                <w:szCs w:val="14"/>
              </w:rPr>
              <w:t>-</w:t>
            </w:r>
          </w:p>
        </w:tc>
      </w:tr>
      <w:tr w:rsidR="00785B70" w:rsidRPr="00005453" w14:paraId="37326B16" w14:textId="77777777" w:rsidTr="00785B70">
        <w:trPr>
          <w:divId w:val="248657329"/>
          <w:trHeight w:val="196"/>
        </w:trPr>
        <w:tc>
          <w:tcPr>
            <w:tcW w:w="525" w:type="dxa"/>
            <w:tcBorders>
              <w:top w:val="nil"/>
              <w:left w:val="single" w:sz="4" w:space="0" w:color="auto"/>
              <w:bottom w:val="nil"/>
              <w:right w:val="single" w:sz="4" w:space="0" w:color="auto"/>
            </w:tcBorders>
            <w:shd w:val="clear" w:color="auto" w:fill="auto"/>
            <w:noWrap/>
            <w:hideMark/>
          </w:tcPr>
          <w:p w14:paraId="6367AA94"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VII.</w:t>
            </w:r>
          </w:p>
        </w:tc>
        <w:tc>
          <w:tcPr>
            <w:tcW w:w="3118" w:type="dxa"/>
            <w:tcBorders>
              <w:top w:val="nil"/>
              <w:left w:val="single" w:sz="4" w:space="0" w:color="auto"/>
              <w:bottom w:val="nil"/>
              <w:right w:val="single" w:sz="4" w:space="0" w:color="auto"/>
            </w:tcBorders>
            <w:shd w:val="clear" w:color="auto" w:fill="auto"/>
            <w:hideMark/>
          </w:tcPr>
          <w:p w14:paraId="1B07CA48"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KİRALAMA İŞLEMLERİNDEN YÜKÜMLÜLÜKLER (</w:t>
            </w:r>
            <w:proofErr w:type="gramStart"/>
            <w:r w:rsidRPr="00005453">
              <w:rPr>
                <w:b/>
                <w:bCs/>
                <w:color w:val="000000"/>
                <w:sz w:val="14"/>
                <w:szCs w:val="14"/>
                <w:lang w:eastAsia="tr-TR"/>
              </w:rPr>
              <w:t xml:space="preserve">Net)   </w:t>
            </w:r>
            <w:proofErr w:type="gramEnd"/>
            <w:r w:rsidRPr="00005453">
              <w:rPr>
                <w:b/>
                <w:bCs/>
                <w:color w:val="000000"/>
                <w:sz w:val="14"/>
                <w:szCs w:val="14"/>
                <w:lang w:eastAsia="tr-TR"/>
              </w:rPr>
              <w:t xml:space="preserve">                                            </w:t>
            </w:r>
          </w:p>
        </w:tc>
        <w:tc>
          <w:tcPr>
            <w:tcW w:w="654" w:type="dxa"/>
            <w:tcBorders>
              <w:top w:val="nil"/>
              <w:left w:val="single" w:sz="4" w:space="0" w:color="auto"/>
              <w:bottom w:val="nil"/>
              <w:right w:val="single" w:sz="4" w:space="0" w:color="auto"/>
            </w:tcBorders>
            <w:shd w:val="clear" w:color="auto" w:fill="auto"/>
            <w:noWrap/>
            <w:hideMark/>
          </w:tcPr>
          <w:p w14:paraId="14E7EFD2" w14:textId="1BD7B742" w:rsidR="00785B70" w:rsidRPr="00005453" w:rsidRDefault="00785B70" w:rsidP="00785B70">
            <w:pPr>
              <w:jc w:val="center"/>
              <w:rPr>
                <w:b/>
                <w:bCs/>
                <w:color w:val="000000"/>
                <w:sz w:val="14"/>
                <w:szCs w:val="14"/>
                <w:lang w:eastAsia="tr-TR"/>
              </w:rPr>
            </w:pPr>
            <w:r w:rsidRPr="00005453">
              <w:rPr>
                <w:b/>
                <w:bCs/>
                <w:color w:val="000000"/>
                <w:sz w:val="14"/>
                <w:szCs w:val="14"/>
                <w:lang w:eastAsia="tr-TR"/>
              </w:rPr>
              <w:t>(5.2.6.)</w:t>
            </w:r>
          </w:p>
        </w:tc>
        <w:tc>
          <w:tcPr>
            <w:tcW w:w="851" w:type="dxa"/>
            <w:tcBorders>
              <w:top w:val="nil"/>
              <w:left w:val="single" w:sz="4" w:space="0" w:color="auto"/>
              <w:bottom w:val="nil"/>
              <w:right w:val="single" w:sz="4" w:space="0" w:color="auto"/>
            </w:tcBorders>
            <w:shd w:val="clear" w:color="auto" w:fill="auto"/>
            <w:vAlign w:val="center"/>
            <w:hideMark/>
          </w:tcPr>
          <w:p w14:paraId="20E7FF97" w14:textId="2385E88B" w:rsidR="00785B70" w:rsidRPr="00005453" w:rsidRDefault="00785B70" w:rsidP="00785B70">
            <w:pPr>
              <w:jc w:val="right"/>
              <w:rPr>
                <w:b/>
                <w:bCs/>
                <w:sz w:val="14"/>
                <w:szCs w:val="14"/>
              </w:rPr>
            </w:pPr>
            <w:r w:rsidRPr="00005453">
              <w:rPr>
                <w:b/>
                <w:bCs/>
                <w:sz w:val="14"/>
                <w:szCs w:val="18"/>
              </w:rPr>
              <w:t>1,457,178</w:t>
            </w:r>
          </w:p>
        </w:tc>
        <w:tc>
          <w:tcPr>
            <w:tcW w:w="851" w:type="dxa"/>
            <w:tcBorders>
              <w:top w:val="nil"/>
              <w:left w:val="single" w:sz="4" w:space="0" w:color="auto"/>
              <w:bottom w:val="nil"/>
              <w:right w:val="single" w:sz="4" w:space="0" w:color="auto"/>
            </w:tcBorders>
            <w:shd w:val="clear" w:color="auto" w:fill="auto"/>
            <w:vAlign w:val="center"/>
            <w:hideMark/>
          </w:tcPr>
          <w:p w14:paraId="7F451573" w14:textId="4E083940" w:rsidR="00785B70" w:rsidRPr="00005453" w:rsidRDefault="00785B70" w:rsidP="00785B70">
            <w:pPr>
              <w:jc w:val="right"/>
              <w:rPr>
                <w:b/>
                <w:bCs/>
                <w:sz w:val="14"/>
                <w:szCs w:val="14"/>
              </w:rPr>
            </w:pPr>
            <w:r w:rsidRPr="00005453">
              <w:rPr>
                <w:b/>
                <w:bCs/>
                <w:sz w:val="14"/>
                <w:szCs w:val="18"/>
              </w:rPr>
              <w:t>8,845</w:t>
            </w:r>
          </w:p>
        </w:tc>
        <w:tc>
          <w:tcPr>
            <w:tcW w:w="991" w:type="dxa"/>
            <w:tcBorders>
              <w:top w:val="nil"/>
              <w:left w:val="single" w:sz="4" w:space="0" w:color="auto"/>
              <w:bottom w:val="nil"/>
              <w:right w:val="single" w:sz="4" w:space="0" w:color="auto"/>
            </w:tcBorders>
            <w:shd w:val="clear" w:color="auto" w:fill="auto"/>
            <w:vAlign w:val="center"/>
            <w:hideMark/>
          </w:tcPr>
          <w:p w14:paraId="1854D591" w14:textId="25F9E159" w:rsidR="00785B70" w:rsidRPr="00005453" w:rsidRDefault="00785B70" w:rsidP="00785B70">
            <w:pPr>
              <w:jc w:val="right"/>
              <w:rPr>
                <w:b/>
                <w:bCs/>
                <w:sz w:val="14"/>
                <w:szCs w:val="14"/>
              </w:rPr>
            </w:pPr>
            <w:r w:rsidRPr="00005453">
              <w:rPr>
                <w:b/>
                <w:bCs/>
                <w:sz w:val="14"/>
                <w:szCs w:val="18"/>
              </w:rPr>
              <w:t>1,466,023</w:t>
            </w:r>
          </w:p>
        </w:tc>
        <w:tc>
          <w:tcPr>
            <w:tcW w:w="851" w:type="dxa"/>
            <w:tcBorders>
              <w:top w:val="nil"/>
              <w:left w:val="single" w:sz="4" w:space="0" w:color="auto"/>
              <w:bottom w:val="nil"/>
              <w:right w:val="single" w:sz="4" w:space="0" w:color="auto"/>
            </w:tcBorders>
            <w:shd w:val="clear" w:color="auto" w:fill="auto"/>
            <w:vAlign w:val="center"/>
            <w:hideMark/>
          </w:tcPr>
          <w:p w14:paraId="0991C7AA" w14:textId="3EF30F97" w:rsidR="00785B70" w:rsidRPr="00005453" w:rsidRDefault="00785B70" w:rsidP="00785B70">
            <w:pPr>
              <w:jc w:val="right"/>
              <w:rPr>
                <w:b/>
                <w:bCs/>
                <w:sz w:val="14"/>
                <w:szCs w:val="14"/>
                <w:lang w:eastAsia="tr-TR"/>
              </w:rPr>
            </w:pPr>
            <w:r w:rsidRPr="00005453">
              <w:rPr>
                <w:b/>
                <w:bCs/>
                <w:sz w:val="14"/>
                <w:szCs w:val="14"/>
              </w:rPr>
              <w:t>873,237</w:t>
            </w:r>
          </w:p>
        </w:tc>
        <w:tc>
          <w:tcPr>
            <w:tcW w:w="850" w:type="dxa"/>
            <w:tcBorders>
              <w:top w:val="nil"/>
              <w:left w:val="single" w:sz="4" w:space="0" w:color="auto"/>
              <w:bottom w:val="nil"/>
              <w:right w:val="single" w:sz="4" w:space="0" w:color="auto"/>
            </w:tcBorders>
            <w:shd w:val="clear" w:color="auto" w:fill="auto"/>
            <w:vAlign w:val="center"/>
            <w:hideMark/>
          </w:tcPr>
          <w:p w14:paraId="38A569C6" w14:textId="4C6F478F" w:rsidR="00785B70" w:rsidRPr="00005453" w:rsidRDefault="00785B70" w:rsidP="00785B70">
            <w:pPr>
              <w:jc w:val="right"/>
              <w:rPr>
                <w:b/>
                <w:bCs/>
                <w:sz w:val="14"/>
                <w:szCs w:val="14"/>
                <w:lang w:eastAsia="tr-TR"/>
              </w:rPr>
            </w:pPr>
            <w:r w:rsidRPr="00005453">
              <w:rPr>
                <w:b/>
                <w:bCs/>
                <w:sz w:val="14"/>
                <w:szCs w:val="14"/>
              </w:rPr>
              <w:t>10,148</w:t>
            </w:r>
          </w:p>
        </w:tc>
        <w:tc>
          <w:tcPr>
            <w:tcW w:w="993" w:type="dxa"/>
            <w:tcBorders>
              <w:top w:val="nil"/>
              <w:left w:val="single" w:sz="4" w:space="0" w:color="auto"/>
              <w:bottom w:val="nil"/>
              <w:right w:val="single" w:sz="4" w:space="0" w:color="auto"/>
            </w:tcBorders>
            <w:shd w:val="clear" w:color="auto" w:fill="auto"/>
            <w:vAlign w:val="center"/>
            <w:hideMark/>
          </w:tcPr>
          <w:p w14:paraId="3CD7A06E" w14:textId="304628D1" w:rsidR="00785B70" w:rsidRPr="00005453" w:rsidRDefault="00785B70" w:rsidP="00785B70">
            <w:pPr>
              <w:jc w:val="right"/>
              <w:rPr>
                <w:b/>
                <w:bCs/>
                <w:sz w:val="14"/>
                <w:szCs w:val="14"/>
                <w:lang w:eastAsia="tr-TR"/>
              </w:rPr>
            </w:pPr>
            <w:r w:rsidRPr="00005453">
              <w:rPr>
                <w:b/>
                <w:bCs/>
                <w:sz w:val="14"/>
                <w:szCs w:val="14"/>
              </w:rPr>
              <w:t>883,385</w:t>
            </w:r>
          </w:p>
        </w:tc>
      </w:tr>
      <w:tr w:rsidR="00785B70" w:rsidRPr="00005453" w14:paraId="7D307B09"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2442FDA4"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VIII.</w:t>
            </w:r>
          </w:p>
        </w:tc>
        <w:tc>
          <w:tcPr>
            <w:tcW w:w="3118" w:type="dxa"/>
            <w:tcBorders>
              <w:top w:val="nil"/>
              <w:left w:val="single" w:sz="4" w:space="0" w:color="auto"/>
              <w:bottom w:val="nil"/>
              <w:right w:val="single" w:sz="4" w:space="0" w:color="auto"/>
            </w:tcBorders>
            <w:shd w:val="clear" w:color="auto" w:fill="auto"/>
            <w:hideMark/>
          </w:tcPr>
          <w:p w14:paraId="39093D77"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hideMark/>
          </w:tcPr>
          <w:p w14:paraId="3287E39C" w14:textId="3D9E10A8" w:rsidR="00785B70" w:rsidRPr="00005453" w:rsidRDefault="00785B70" w:rsidP="00785B70">
            <w:pPr>
              <w:jc w:val="center"/>
              <w:rPr>
                <w:b/>
                <w:bCs/>
                <w:color w:val="000000"/>
                <w:sz w:val="14"/>
                <w:szCs w:val="14"/>
                <w:lang w:eastAsia="tr-TR"/>
              </w:rPr>
            </w:pPr>
            <w:r w:rsidRPr="00005453">
              <w:rPr>
                <w:b/>
                <w:bCs/>
                <w:color w:val="000000"/>
                <w:sz w:val="14"/>
                <w:szCs w:val="14"/>
                <w:lang w:eastAsia="tr-TR"/>
              </w:rPr>
              <w:t>(5.2.8.)</w:t>
            </w:r>
          </w:p>
        </w:tc>
        <w:tc>
          <w:tcPr>
            <w:tcW w:w="851" w:type="dxa"/>
            <w:tcBorders>
              <w:top w:val="nil"/>
              <w:left w:val="single" w:sz="4" w:space="0" w:color="auto"/>
              <w:bottom w:val="nil"/>
              <w:right w:val="single" w:sz="4" w:space="0" w:color="auto"/>
            </w:tcBorders>
            <w:shd w:val="clear" w:color="auto" w:fill="auto"/>
            <w:vAlign w:val="center"/>
            <w:hideMark/>
          </w:tcPr>
          <w:p w14:paraId="2233A84C" w14:textId="7D065C34" w:rsidR="00785B70" w:rsidRPr="00005453" w:rsidRDefault="00785B70" w:rsidP="00785B70">
            <w:pPr>
              <w:jc w:val="right"/>
              <w:rPr>
                <w:b/>
                <w:bCs/>
                <w:sz w:val="14"/>
                <w:szCs w:val="14"/>
              </w:rPr>
            </w:pPr>
            <w:r w:rsidRPr="00005453">
              <w:rPr>
                <w:b/>
                <w:bCs/>
                <w:sz w:val="14"/>
                <w:szCs w:val="18"/>
              </w:rPr>
              <w:t>5,319,973</w:t>
            </w:r>
          </w:p>
        </w:tc>
        <w:tc>
          <w:tcPr>
            <w:tcW w:w="851" w:type="dxa"/>
            <w:tcBorders>
              <w:top w:val="nil"/>
              <w:left w:val="single" w:sz="4" w:space="0" w:color="auto"/>
              <w:bottom w:val="nil"/>
              <w:right w:val="single" w:sz="4" w:space="0" w:color="auto"/>
            </w:tcBorders>
            <w:shd w:val="clear" w:color="auto" w:fill="auto"/>
            <w:vAlign w:val="center"/>
            <w:hideMark/>
          </w:tcPr>
          <w:p w14:paraId="32CC302B" w14:textId="0679B32E" w:rsidR="00785B70" w:rsidRPr="00005453" w:rsidRDefault="00785B70" w:rsidP="00785B70">
            <w:pPr>
              <w:jc w:val="right"/>
              <w:rPr>
                <w:b/>
                <w:bCs/>
                <w:sz w:val="14"/>
                <w:szCs w:val="14"/>
              </w:rPr>
            </w:pPr>
            <w:r w:rsidRPr="00005453">
              <w:rPr>
                <w:b/>
                <w:bCs/>
                <w:sz w:val="14"/>
                <w:szCs w:val="18"/>
              </w:rPr>
              <w:t>2,077,631</w:t>
            </w:r>
          </w:p>
        </w:tc>
        <w:tc>
          <w:tcPr>
            <w:tcW w:w="991" w:type="dxa"/>
            <w:tcBorders>
              <w:top w:val="nil"/>
              <w:left w:val="single" w:sz="4" w:space="0" w:color="auto"/>
              <w:bottom w:val="nil"/>
              <w:right w:val="single" w:sz="4" w:space="0" w:color="auto"/>
            </w:tcBorders>
            <w:shd w:val="clear" w:color="auto" w:fill="auto"/>
            <w:vAlign w:val="center"/>
            <w:hideMark/>
          </w:tcPr>
          <w:p w14:paraId="5E60C32D" w14:textId="52ED2356" w:rsidR="00785B70" w:rsidRPr="00005453" w:rsidRDefault="00785B70" w:rsidP="00785B70">
            <w:pPr>
              <w:jc w:val="right"/>
              <w:rPr>
                <w:b/>
                <w:bCs/>
                <w:sz w:val="14"/>
                <w:szCs w:val="14"/>
              </w:rPr>
            </w:pPr>
            <w:r w:rsidRPr="00005453">
              <w:rPr>
                <w:b/>
                <w:bCs/>
                <w:sz w:val="14"/>
                <w:szCs w:val="18"/>
              </w:rPr>
              <w:t>7,397,604</w:t>
            </w:r>
          </w:p>
        </w:tc>
        <w:tc>
          <w:tcPr>
            <w:tcW w:w="851" w:type="dxa"/>
            <w:tcBorders>
              <w:top w:val="nil"/>
              <w:left w:val="single" w:sz="4" w:space="0" w:color="auto"/>
              <w:bottom w:val="nil"/>
              <w:right w:val="single" w:sz="4" w:space="0" w:color="auto"/>
            </w:tcBorders>
            <w:shd w:val="clear" w:color="auto" w:fill="auto"/>
            <w:vAlign w:val="center"/>
            <w:hideMark/>
          </w:tcPr>
          <w:p w14:paraId="412C8238" w14:textId="0FF39D62" w:rsidR="00785B70" w:rsidRPr="00005453" w:rsidRDefault="00785B70" w:rsidP="00785B70">
            <w:pPr>
              <w:jc w:val="right"/>
              <w:rPr>
                <w:b/>
                <w:bCs/>
                <w:sz w:val="14"/>
                <w:szCs w:val="14"/>
                <w:lang w:eastAsia="tr-TR"/>
              </w:rPr>
            </w:pPr>
            <w:r w:rsidRPr="00005453">
              <w:rPr>
                <w:b/>
                <w:bCs/>
                <w:sz w:val="14"/>
                <w:szCs w:val="14"/>
              </w:rPr>
              <w:t>3,941,330</w:t>
            </w:r>
          </w:p>
        </w:tc>
        <w:tc>
          <w:tcPr>
            <w:tcW w:w="850" w:type="dxa"/>
            <w:tcBorders>
              <w:top w:val="nil"/>
              <w:left w:val="single" w:sz="4" w:space="0" w:color="auto"/>
              <w:bottom w:val="nil"/>
              <w:right w:val="single" w:sz="4" w:space="0" w:color="auto"/>
            </w:tcBorders>
            <w:shd w:val="clear" w:color="auto" w:fill="auto"/>
            <w:vAlign w:val="center"/>
            <w:hideMark/>
          </w:tcPr>
          <w:p w14:paraId="638C7542" w14:textId="09B303A1" w:rsidR="00785B70" w:rsidRPr="00005453" w:rsidRDefault="00785B70" w:rsidP="00785B70">
            <w:pPr>
              <w:jc w:val="right"/>
              <w:rPr>
                <w:b/>
                <w:bCs/>
                <w:sz w:val="14"/>
                <w:szCs w:val="14"/>
                <w:lang w:eastAsia="tr-TR"/>
              </w:rPr>
            </w:pPr>
            <w:r w:rsidRPr="00005453">
              <w:rPr>
                <w:b/>
                <w:bCs/>
                <w:sz w:val="14"/>
                <w:szCs w:val="14"/>
              </w:rPr>
              <w:t>1,614,502</w:t>
            </w:r>
          </w:p>
        </w:tc>
        <w:tc>
          <w:tcPr>
            <w:tcW w:w="993" w:type="dxa"/>
            <w:tcBorders>
              <w:top w:val="nil"/>
              <w:left w:val="single" w:sz="4" w:space="0" w:color="auto"/>
              <w:bottom w:val="nil"/>
              <w:right w:val="single" w:sz="4" w:space="0" w:color="auto"/>
            </w:tcBorders>
            <w:shd w:val="clear" w:color="auto" w:fill="auto"/>
            <w:vAlign w:val="center"/>
            <w:hideMark/>
          </w:tcPr>
          <w:p w14:paraId="1E7B59CB" w14:textId="741E8696" w:rsidR="00785B70" w:rsidRPr="00005453" w:rsidRDefault="00785B70" w:rsidP="00785B70">
            <w:pPr>
              <w:jc w:val="right"/>
              <w:rPr>
                <w:b/>
                <w:bCs/>
                <w:sz w:val="14"/>
                <w:szCs w:val="14"/>
                <w:lang w:eastAsia="tr-TR"/>
              </w:rPr>
            </w:pPr>
            <w:r w:rsidRPr="00005453">
              <w:rPr>
                <w:b/>
                <w:bCs/>
                <w:sz w:val="14"/>
                <w:szCs w:val="14"/>
              </w:rPr>
              <w:t>5,555,832</w:t>
            </w:r>
          </w:p>
        </w:tc>
      </w:tr>
      <w:tr w:rsidR="00785B70" w:rsidRPr="00005453" w14:paraId="7C4A9AB8"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47ED149C" w14:textId="77777777" w:rsidR="00785B70" w:rsidRPr="00005453" w:rsidRDefault="00785B70" w:rsidP="00785B70">
            <w:pPr>
              <w:rPr>
                <w:color w:val="000000"/>
                <w:sz w:val="14"/>
                <w:szCs w:val="14"/>
                <w:lang w:eastAsia="tr-TR"/>
              </w:rPr>
            </w:pPr>
            <w:r w:rsidRPr="00005453">
              <w:rPr>
                <w:color w:val="000000"/>
                <w:sz w:val="14"/>
                <w:szCs w:val="14"/>
                <w:lang w:eastAsia="tr-TR"/>
              </w:rPr>
              <w:t>8.1.</w:t>
            </w:r>
          </w:p>
        </w:tc>
        <w:tc>
          <w:tcPr>
            <w:tcW w:w="3118" w:type="dxa"/>
            <w:tcBorders>
              <w:top w:val="nil"/>
              <w:left w:val="single" w:sz="4" w:space="0" w:color="auto"/>
              <w:bottom w:val="nil"/>
              <w:right w:val="single" w:sz="4" w:space="0" w:color="auto"/>
            </w:tcBorders>
            <w:shd w:val="clear" w:color="auto" w:fill="auto"/>
            <w:noWrap/>
            <w:hideMark/>
          </w:tcPr>
          <w:p w14:paraId="6D3C86C0" w14:textId="77777777" w:rsidR="00785B70" w:rsidRPr="00005453" w:rsidRDefault="00785B70" w:rsidP="00785B70">
            <w:pPr>
              <w:rPr>
                <w:color w:val="000000"/>
                <w:sz w:val="14"/>
                <w:szCs w:val="14"/>
                <w:lang w:eastAsia="tr-TR"/>
              </w:rPr>
            </w:pPr>
            <w:r w:rsidRPr="00005453">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hideMark/>
          </w:tcPr>
          <w:p w14:paraId="460A6B09"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8B918B4" w14:textId="130609B7"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FF58277" w14:textId="0AF44355"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589AD73C" w14:textId="25D60421"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74007FE" w14:textId="6A2E84DB" w:rsidR="00785B70" w:rsidRPr="00005453" w:rsidRDefault="00785B70" w:rsidP="00785B70">
            <w:pPr>
              <w:jc w:val="right"/>
              <w:rPr>
                <w:b/>
                <w:bCs/>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7E7F6406" w14:textId="791F4366" w:rsidR="00785B70" w:rsidRPr="00005453" w:rsidRDefault="00785B70" w:rsidP="00785B70">
            <w:pPr>
              <w:jc w:val="right"/>
              <w:rPr>
                <w:b/>
                <w:bCs/>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82D48B1" w14:textId="4F92540A" w:rsidR="00785B70" w:rsidRPr="00005453" w:rsidRDefault="00785B70" w:rsidP="00785B70">
            <w:pPr>
              <w:jc w:val="right"/>
              <w:rPr>
                <w:b/>
                <w:bCs/>
                <w:sz w:val="14"/>
                <w:szCs w:val="14"/>
                <w:lang w:eastAsia="tr-TR"/>
              </w:rPr>
            </w:pPr>
            <w:r w:rsidRPr="00005453">
              <w:rPr>
                <w:bCs/>
                <w:sz w:val="14"/>
                <w:szCs w:val="14"/>
              </w:rPr>
              <w:t>-</w:t>
            </w:r>
          </w:p>
        </w:tc>
      </w:tr>
      <w:tr w:rsidR="00785B70" w:rsidRPr="00005453" w14:paraId="5DC63966"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551E7EC0" w14:textId="77777777" w:rsidR="00785B70" w:rsidRPr="00005453" w:rsidRDefault="00785B70" w:rsidP="00785B70">
            <w:pPr>
              <w:rPr>
                <w:color w:val="000000"/>
                <w:sz w:val="14"/>
                <w:szCs w:val="14"/>
                <w:lang w:eastAsia="tr-TR"/>
              </w:rPr>
            </w:pPr>
            <w:r w:rsidRPr="00005453">
              <w:rPr>
                <w:color w:val="000000"/>
                <w:sz w:val="14"/>
                <w:szCs w:val="14"/>
                <w:lang w:eastAsia="tr-TR"/>
              </w:rPr>
              <w:t>8.2.</w:t>
            </w:r>
          </w:p>
        </w:tc>
        <w:tc>
          <w:tcPr>
            <w:tcW w:w="3118" w:type="dxa"/>
            <w:tcBorders>
              <w:top w:val="nil"/>
              <w:left w:val="single" w:sz="4" w:space="0" w:color="auto"/>
              <w:bottom w:val="nil"/>
              <w:right w:val="single" w:sz="4" w:space="0" w:color="auto"/>
            </w:tcBorders>
            <w:shd w:val="clear" w:color="auto" w:fill="auto"/>
            <w:noWrap/>
            <w:hideMark/>
          </w:tcPr>
          <w:p w14:paraId="0DF179F9" w14:textId="77777777" w:rsidR="00785B70" w:rsidRPr="00005453" w:rsidRDefault="00785B70" w:rsidP="00785B70">
            <w:pPr>
              <w:rPr>
                <w:color w:val="000000"/>
                <w:sz w:val="14"/>
                <w:szCs w:val="14"/>
                <w:lang w:eastAsia="tr-TR"/>
              </w:rPr>
            </w:pPr>
            <w:r w:rsidRPr="00005453">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hideMark/>
          </w:tcPr>
          <w:p w14:paraId="03E1005B"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9D74DB1" w14:textId="44B1917C" w:rsidR="00785B70" w:rsidRPr="00005453" w:rsidRDefault="00785B70" w:rsidP="00785B70">
            <w:pPr>
              <w:jc w:val="right"/>
              <w:rPr>
                <w:bCs/>
                <w:sz w:val="14"/>
                <w:szCs w:val="14"/>
              </w:rPr>
            </w:pPr>
            <w:r w:rsidRPr="00005453">
              <w:rPr>
                <w:sz w:val="14"/>
                <w:szCs w:val="18"/>
              </w:rPr>
              <w:t>3,514,580</w:t>
            </w:r>
          </w:p>
        </w:tc>
        <w:tc>
          <w:tcPr>
            <w:tcW w:w="851" w:type="dxa"/>
            <w:tcBorders>
              <w:top w:val="nil"/>
              <w:left w:val="single" w:sz="4" w:space="0" w:color="auto"/>
              <w:bottom w:val="nil"/>
              <w:right w:val="single" w:sz="4" w:space="0" w:color="auto"/>
            </w:tcBorders>
            <w:shd w:val="clear" w:color="auto" w:fill="auto"/>
            <w:vAlign w:val="center"/>
            <w:hideMark/>
          </w:tcPr>
          <w:p w14:paraId="03CC66B5" w14:textId="54FB756E" w:rsidR="00785B70" w:rsidRPr="00005453" w:rsidRDefault="00785B70" w:rsidP="00785B70">
            <w:pPr>
              <w:jc w:val="right"/>
              <w:rPr>
                <w:bCs/>
                <w:sz w:val="14"/>
                <w:szCs w:val="14"/>
              </w:rPr>
            </w:pPr>
            <w:r w:rsidRPr="00005453">
              <w:rPr>
                <w:sz w:val="14"/>
                <w:szCs w:val="18"/>
              </w:rPr>
              <w:t>347,300</w:t>
            </w:r>
          </w:p>
        </w:tc>
        <w:tc>
          <w:tcPr>
            <w:tcW w:w="991" w:type="dxa"/>
            <w:tcBorders>
              <w:top w:val="nil"/>
              <w:left w:val="single" w:sz="4" w:space="0" w:color="auto"/>
              <w:bottom w:val="nil"/>
              <w:right w:val="single" w:sz="4" w:space="0" w:color="auto"/>
            </w:tcBorders>
            <w:shd w:val="clear" w:color="auto" w:fill="auto"/>
            <w:vAlign w:val="center"/>
            <w:hideMark/>
          </w:tcPr>
          <w:p w14:paraId="538CD457" w14:textId="7C43A57B" w:rsidR="00785B70" w:rsidRPr="00005453" w:rsidRDefault="00785B70" w:rsidP="00785B70">
            <w:pPr>
              <w:jc w:val="right"/>
              <w:rPr>
                <w:bCs/>
                <w:sz w:val="14"/>
                <w:szCs w:val="14"/>
              </w:rPr>
            </w:pPr>
            <w:r w:rsidRPr="00005453">
              <w:rPr>
                <w:sz w:val="14"/>
                <w:szCs w:val="18"/>
              </w:rPr>
              <w:t>3,861,880</w:t>
            </w:r>
          </w:p>
        </w:tc>
        <w:tc>
          <w:tcPr>
            <w:tcW w:w="851" w:type="dxa"/>
            <w:tcBorders>
              <w:top w:val="nil"/>
              <w:left w:val="single" w:sz="4" w:space="0" w:color="auto"/>
              <w:bottom w:val="nil"/>
              <w:right w:val="single" w:sz="4" w:space="0" w:color="auto"/>
            </w:tcBorders>
            <w:shd w:val="clear" w:color="auto" w:fill="auto"/>
            <w:vAlign w:val="center"/>
            <w:hideMark/>
          </w:tcPr>
          <w:p w14:paraId="5CBAFC59" w14:textId="3FC94D3D" w:rsidR="00785B70" w:rsidRPr="00005453" w:rsidRDefault="00785B70" w:rsidP="00785B70">
            <w:pPr>
              <w:jc w:val="right"/>
              <w:rPr>
                <w:sz w:val="14"/>
                <w:szCs w:val="14"/>
                <w:lang w:eastAsia="tr-TR"/>
              </w:rPr>
            </w:pPr>
            <w:r w:rsidRPr="00005453">
              <w:rPr>
                <w:bCs/>
                <w:sz w:val="14"/>
                <w:szCs w:val="14"/>
              </w:rPr>
              <w:t>2,422,618</w:t>
            </w:r>
          </w:p>
        </w:tc>
        <w:tc>
          <w:tcPr>
            <w:tcW w:w="850" w:type="dxa"/>
            <w:tcBorders>
              <w:top w:val="nil"/>
              <w:left w:val="single" w:sz="4" w:space="0" w:color="auto"/>
              <w:bottom w:val="nil"/>
              <w:right w:val="single" w:sz="4" w:space="0" w:color="auto"/>
            </w:tcBorders>
            <w:shd w:val="clear" w:color="auto" w:fill="auto"/>
            <w:vAlign w:val="center"/>
            <w:hideMark/>
          </w:tcPr>
          <w:p w14:paraId="0C6FCE02" w14:textId="5CD25F17" w:rsidR="00785B70" w:rsidRPr="00005453" w:rsidRDefault="00785B70" w:rsidP="00785B70">
            <w:pPr>
              <w:jc w:val="right"/>
              <w:rPr>
                <w:sz w:val="14"/>
                <w:szCs w:val="14"/>
                <w:lang w:eastAsia="tr-TR"/>
              </w:rPr>
            </w:pPr>
            <w:r w:rsidRPr="00005453">
              <w:rPr>
                <w:bCs/>
                <w:sz w:val="14"/>
                <w:szCs w:val="14"/>
              </w:rPr>
              <w:t>233,569</w:t>
            </w:r>
          </w:p>
        </w:tc>
        <w:tc>
          <w:tcPr>
            <w:tcW w:w="993" w:type="dxa"/>
            <w:tcBorders>
              <w:top w:val="nil"/>
              <w:left w:val="single" w:sz="4" w:space="0" w:color="auto"/>
              <w:bottom w:val="nil"/>
              <w:right w:val="single" w:sz="4" w:space="0" w:color="auto"/>
            </w:tcBorders>
            <w:shd w:val="clear" w:color="auto" w:fill="auto"/>
            <w:vAlign w:val="center"/>
            <w:hideMark/>
          </w:tcPr>
          <w:p w14:paraId="383ED6E1" w14:textId="71AAF3E3" w:rsidR="00785B70" w:rsidRPr="00005453" w:rsidRDefault="00785B70" w:rsidP="00785B70">
            <w:pPr>
              <w:jc w:val="right"/>
              <w:rPr>
                <w:sz w:val="14"/>
                <w:szCs w:val="14"/>
                <w:lang w:eastAsia="tr-TR"/>
              </w:rPr>
            </w:pPr>
            <w:r w:rsidRPr="00005453">
              <w:rPr>
                <w:bCs/>
                <w:sz w:val="14"/>
                <w:szCs w:val="14"/>
              </w:rPr>
              <w:t>2,656,187</w:t>
            </w:r>
          </w:p>
        </w:tc>
      </w:tr>
      <w:tr w:rsidR="00785B70" w:rsidRPr="00005453" w14:paraId="32D5E31D"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1894D8B8" w14:textId="77777777" w:rsidR="00785B70" w:rsidRPr="00005453" w:rsidRDefault="00785B70" w:rsidP="00785B70">
            <w:pPr>
              <w:rPr>
                <w:color w:val="000000"/>
                <w:sz w:val="14"/>
                <w:szCs w:val="14"/>
                <w:lang w:eastAsia="tr-TR"/>
              </w:rPr>
            </w:pPr>
            <w:r w:rsidRPr="00005453">
              <w:rPr>
                <w:color w:val="000000"/>
                <w:sz w:val="14"/>
                <w:szCs w:val="14"/>
                <w:lang w:eastAsia="tr-TR"/>
              </w:rPr>
              <w:t>8.3.</w:t>
            </w:r>
          </w:p>
        </w:tc>
        <w:tc>
          <w:tcPr>
            <w:tcW w:w="3118" w:type="dxa"/>
            <w:tcBorders>
              <w:top w:val="nil"/>
              <w:left w:val="single" w:sz="4" w:space="0" w:color="auto"/>
              <w:bottom w:val="nil"/>
              <w:right w:val="single" w:sz="4" w:space="0" w:color="auto"/>
            </w:tcBorders>
            <w:shd w:val="clear" w:color="auto" w:fill="auto"/>
            <w:noWrap/>
            <w:hideMark/>
          </w:tcPr>
          <w:p w14:paraId="214ADC71" w14:textId="77777777" w:rsidR="00785B70" w:rsidRPr="00005453" w:rsidRDefault="00785B70" w:rsidP="00785B70">
            <w:pPr>
              <w:rPr>
                <w:color w:val="000000"/>
                <w:sz w:val="14"/>
                <w:szCs w:val="14"/>
                <w:lang w:eastAsia="tr-TR"/>
              </w:rPr>
            </w:pPr>
            <w:r w:rsidRPr="00005453">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hideMark/>
          </w:tcPr>
          <w:p w14:paraId="4FF7AD79"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BC6CD4D" w14:textId="3E008C05"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4BEF4B7" w14:textId="7ECFD19A"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6CBEE020" w14:textId="4138EE22"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1A92F0C" w14:textId="376A112F"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027ED048" w14:textId="611F5D54"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6090371" w14:textId="0B7CAD78" w:rsidR="00785B70" w:rsidRPr="00005453" w:rsidRDefault="00785B70" w:rsidP="00785B70">
            <w:pPr>
              <w:jc w:val="right"/>
              <w:rPr>
                <w:sz w:val="14"/>
                <w:szCs w:val="14"/>
                <w:lang w:eastAsia="tr-TR"/>
              </w:rPr>
            </w:pPr>
            <w:r w:rsidRPr="00005453">
              <w:rPr>
                <w:bCs/>
                <w:sz w:val="14"/>
                <w:szCs w:val="14"/>
              </w:rPr>
              <w:t>-</w:t>
            </w:r>
          </w:p>
        </w:tc>
      </w:tr>
      <w:tr w:rsidR="00785B70" w:rsidRPr="00005453" w14:paraId="03DDF78D"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5276B0F1" w14:textId="77777777" w:rsidR="00785B70" w:rsidRPr="00005453" w:rsidRDefault="00785B70" w:rsidP="00785B70">
            <w:pPr>
              <w:rPr>
                <w:color w:val="000000"/>
                <w:sz w:val="14"/>
                <w:szCs w:val="14"/>
                <w:lang w:eastAsia="tr-TR"/>
              </w:rPr>
            </w:pPr>
            <w:r w:rsidRPr="00005453">
              <w:rPr>
                <w:color w:val="000000"/>
                <w:sz w:val="14"/>
                <w:szCs w:val="14"/>
                <w:lang w:eastAsia="tr-TR"/>
              </w:rPr>
              <w:t>8.4.</w:t>
            </w:r>
          </w:p>
        </w:tc>
        <w:tc>
          <w:tcPr>
            <w:tcW w:w="3118" w:type="dxa"/>
            <w:tcBorders>
              <w:top w:val="nil"/>
              <w:left w:val="single" w:sz="4" w:space="0" w:color="auto"/>
              <w:bottom w:val="nil"/>
              <w:right w:val="single" w:sz="4" w:space="0" w:color="auto"/>
            </w:tcBorders>
            <w:shd w:val="clear" w:color="auto" w:fill="auto"/>
            <w:noWrap/>
            <w:hideMark/>
          </w:tcPr>
          <w:p w14:paraId="2E6EEC7C" w14:textId="77777777" w:rsidR="00785B70" w:rsidRPr="00005453" w:rsidRDefault="00785B70" w:rsidP="00785B70">
            <w:pPr>
              <w:rPr>
                <w:color w:val="000000"/>
                <w:sz w:val="14"/>
                <w:szCs w:val="14"/>
                <w:lang w:eastAsia="tr-TR"/>
              </w:rPr>
            </w:pPr>
            <w:r w:rsidRPr="00005453">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hideMark/>
          </w:tcPr>
          <w:p w14:paraId="70733034"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E0D2EF5" w14:textId="69DF921E" w:rsidR="00785B70" w:rsidRPr="00005453" w:rsidRDefault="00785B70" w:rsidP="00785B70">
            <w:pPr>
              <w:jc w:val="right"/>
              <w:rPr>
                <w:bCs/>
                <w:sz w:val="14"/>
                <w:szCs w:val="14"/>
              </w:rPr>
            </w:pPr>
            <w:r w:rsidRPr="00005453">
              <w:rPr>
                <w:sz w:val="14"/>
                <w:szCs w:val="18"/>
              </w:rPr>
              <w:t>1,805,393</w:t>
            </w:r>
          </w:p>
        </w:tc>
        <w:tc>
          <w:tcPr>
            <w:tcW w:w="851" w:type="dxa"/>
            <w:tcBorders>
              <w:top w:val="nil"/>
              <w:left w:val="single" w:sz="4" w:space="0" w:color="auto"/>
              <w:bottom w:val="nil"/>
              <w:right w:val="single" w:sz="4" w:space="0" w:color="auto"/>
            </w:tcBorders>
            <w:shd w:val="clear" w:color="auto" w:fill="auto"/>
            <w:vAlign w:val="center"/>
            <w:hideMark/>
          </w:tcPr>
          <w:p w14:paraId="2ACF2E6B" w14:textId="23DEFB8C" w:rsidR="00785B70" w:rsidRPr="00005453" w:rsidRDefault="00785B70" w:rsidP="00785B70">
            <w:pPr>
              <w:jc w:val="right"/>
              <w:rPr>
                <w:bCs/>
                <w:sz w:val="14"/>
                <w:szCs w:val="14"/>
              </w:rPr>
            </w:pPr>
            <w:r w:rsidRPr="00005453">
              <w:rPr>
                <w:sz w:val="14"/>
                <w:szCs w:val="18"/>
              </w:rPr>
              <w:t>1,730,331</w:t>
            </w:r>
          </w:p>
        </w:tc>
        <w:tc>
          <w:tcPr>
            <w:tcW w:w="991" w:type="dxa"/>
            <w:tcBorders>
              <w:top w:val="nil"/>
              <w:left w:val="single" w:sz="4" w:space="0" w:color="auto"/>
              <w:bottom w:val="nil"/>
              <w:right w:val="single" w:sz="4" w:space="0" w:color="auto"/>
            </w:tcBorders>
            <w:shd w:val="clear" w:color="auto" w:fill="auto"/>
            <w:vAlign w:val="center"/>
            <w:hideMark/>
          </w:tcPr>
          <w:p w14:paraId="6934884C" w14:textId="051317D7" w:rsidR="00785B70" w:rsidRPr="00005453" w:rsidRDefault="00785B70" w:rsidP="00785B70">
            <w:pPr>
              <w:jc w:val="right"/>
              <w:rPr>
                <w:bCs/>
                <w:sz w:val="14"/>
                <w:szCs w:val="14"/>
              </w:rPr>
            </w:pPr>
            <w:r w:rsidRPr="00005453">
              <w:rPr>
                <w:sz w:val="14"/>
                <w:szCs w:val="18"/>
              </w:rPr>
              <w:t>3,535,724</w:t>
            </w:r>
          </w:p>
        </w:tc>
        <w:tc>
          <w:tcPr>
            <w:tcW w:w="851" w:type="dxa"/>
            <w:tcBorders>
              <w:top w:val="nil"/>
              <w:left w:val="single" w:sz="4" w:space="0" w:color="auto"/>
              <w:bottom w:val="nil"/>
              <w:right w:val="single" w:sz="4" w:space="0" w:color="auto"/>
            </w:tcBorders>
            <w:shd w:val="clear" w:color="auto" w:fill="auto"/>
            <w:vAlign w:val="center"/>
            <w:hideMark/>
          </w:tcPr>
          <w:p w14:paraId="1F5DCC1D" w14:textId="266470DE" w:rsidR="00785B70" w:rsidRPr="00005453" w:rsidRDefault="00785B70" w:rsidP="00785B70">
            <w:pPr>
              <w:jc w:val="right"/>
              <w:rPr>
                <w:sz w:val="14"/>
                <w:szCs w:val="14"/>
                <w:lang w:eastAsia="tr-TR"/>
              </w:rPr>
            </w:pPr>
            <w:r w:rsidRPr="00005453">
              <w:rPr>
                <w:bCs/>
                <w:sz w:val="14"/>
                <w:szCs w:val="14"/>
              </w:rPr>
              <w:t>1,518,712</w:t>
            </w:r>
          </w:p>
        </w:tc>
        <w:tc>
          <w:tcPr>
            <w:tcW w:w="850" w:type="dxa"/>
            <w:tcBorders>
              <w:top w:val="nil"/>
              <w:left w:val="single" w:sz="4" w:space="0" w:color="auto"/>
              <w:bottom w:val="nil"/>
              <w:right w:val="single" w:sz="4" w:space="0" w:color="auto"/>
            </w:tcBorders>
            <w:shd w:val="clear" w:color="auto" w:fill="auto"/>
            <w:vAlign w:val="center"/>
            <w:hideMark/>
          </w:tcPr>
          <w:p w14:paraId="6C6C3BB7" w14:textId="2E0BACA7" w:rsidR="00785B70" w:rsidRPr="00005453" w:rsidRDefault="00785B70" w:rsidP="00785B70">
            <w:pPr>
              <w:jc w:val="right"/>
              <w:rPr>
                <w:sz w:val="14"/>
                <w:szCs w:val="14"/>
                <w:lang w:eastAsia="tr-TR"/>
              </w:rPr>
            </w:pPr>
            <w:r w:rsidRPr="00005453">
              <w:rPr>
                <w:bCs/>
                <w:sz w:val="14"/>
                <w:szCs w:val="14"/>
              </w:rPr>
              <w:t>1,380,933</w:t>
            </w:r>
          </w:p>
        </w:tc>
        <w:tc>
          <w:tcPr>
            <w:tcW w:w="993" w:type="dxa"/>
            <w:tcBorders>
              <w:top w:val="nil"/>
              <w:left w:val="single" w:sz="4" w:space="0" w:color="auto"/>
              <w:bottom w:val="nil"/>
              <w:right w:val="single" w:sz="4" w:space="0" w:color="auto"/>
            </w:tcBorders>
            <w:shd w:val="clear" w:color="auto" w:fill="auto"/>
            <w:vAlign w:val="center"/>
            <w:hideMark/>
          </w:tcPr>
          <w:p w14:paraId="0F3BCAC1" w14:textId="2FECBD0A" w:rsidR="00785B70" w:rsidRPr="00005453" w:rsidRDefault="00785B70" w:rsidP="00785B70">
            <w:pPr>
              <w:jc w:val="right"/>
              <w:rPr>
                <w:sz w:val="14"/>
                <w:szCs w:val="14"/>
                <w:lang w:eastAsia="tr-TR"/>
              </w:rPr>
            </w:pPr>
            <w:r w:rsidRPr="00005453">
              <w:rPr>
                <w:bCs/>
                <w:sz w:val="14"/>
                <w:szCs w:val="14"/>
              </w:rPr>
              <w:t>2,899,645</w:t>
            </w:r>
          </w:p>
        </w:tc>
      </w:tr>
      <w:tr w:rsidR="00785B70" w:rsidRPr="00005453" w14:paraId="570B5CDF" w14:textId="77777777" w:rsidTr="00785B70">
        <w:trPr>
          <w:divId w:val="248657329"/>
          <w:trHeight w:val="111"/>
        </w:trPr>
        <w:tc>
          <w:tcPr>
            <w:tcW w:w="525" w:type="dxa"/>
            <w:tcBorders>
              <w:top w:val="nil"/>
              <w:left w:val="single" w:sz="4" w:space="0" w:color="auto"/>
              <w:bottom w:val="nil"/>
              <w:right w:val="single" w:sz="4" w:space="0" w:color="auto"/>
            </w:tcBorders>
            <w:shd w:val="clear" w:color="auto" w:fill="auto"/>
            <w:noWrap/>
            <w:hideMark/>
          </w:tcPr>
          <w:p w14:paraId="756EA0DB"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IX.</w:t>
            </w:r>
          </w:p>
        </w:tc>
        <w:tc>
          <w:tcPr>
            <w:tcW w:w="3118" w:type="dxa"/>
            <w:tcBorders>
              <w:top w:val="nil"/>
              <w:left w:val="single" w:sz="4" w:space="0" w:color="auto"/>
              <w:bottom w:val="nil"/>
              <w:right w:val="single" w:sz="4" w:space="0" w:color="auto"/>
            </w:tcBorders>
            <w:shd w:val="clear" w:color="auto" w:fill="auto"/>
            <w:hideMark/>
          </w:tcPr>
          <w:p w14:paraId="301DDA16"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hideMark/>
          </w:tcPr>
          <w:p w14:paraId="04444075" w14:textId="73F1C0EA" w:rsidR="00785B70" w:rsidRPr="00005453" w:rsidRDefault="00785B70" w:rsidP="00785B70">
            <w:pPr>
              <w:jc w:val="center"/>
              <w:rPr>
                <w:b/>
                <w:bCs/>
                <w:color w:val="000000"/>
                <w:sz w:val="14"/>
                <w:szCs w:val="14"/>
                <w:lang w:eastAsia="tr-TR"/>
              </w:rPr>
            </w:pPr>
            <w:r w:rsidRPr="00005453">
              <w:rPr>
                <w:b/>
                <w:bCs/>
                <w:color w:val="000000"/>
                <w:sz w:val="14"/>
                <w:szCs w:val="14"/>
                <w:lang w:eastAsia="tr-TR"/>
              </w:rPr>
              <w:t>(5.2.9.1.)</w:t>
            </w:r>
          </w:p>
        </w:tc>
        <w:tc>
          <w:tcPr>
            <w:tcW w:w="851" w:type="dxa"/>
            <w:tcBorders>
              <w:top w:val="nil"/>
              <w:left w:val="single" w:sz="4" w:space="0" w:color="auto"/>
              <w:bottom w:val="nil"/>
              <w:right w:val="single" w:sz="4" w:space="0" w:color="auto"/>
            </w:tcBorders>
            <w:shd w:val="clear" w:color="auto" w:fill="auto"/>
            <w:vAlign w:val="center"/>
            <w:hideMark/>
          </w:tcPr>
          <w:p w14:paraId="49698066" w14:textId="61F577CF" w:rsidR="00785B70" w:rsidRPr="00005453" w:rsidRDefault="00785B70" w:rsidP="00785B70">
            <w:pPr>
              <w:jc w:val="right"/>
              <w:rPr>
                <w:b/>
                <w:bCs/>
                <w:sz w:val="14"/>
                <w:szCs w:val="14"/>
              </w:rPr>
            </w:pPr>
            <w:r w:rsidRPr="00005453">
              <w:rPr>
                <w:b/>
                <w:bCs/>
                <w:sz w:val="14"/>
                <w:szCs w:val="18"/>
              </w:rPr>
              <w:t>5,716,978</w:t>
            </w:r>
          </w:p>
        </w:tc>
        <w:tc>
          <w:tcPr>
            <w:tcW w:w="851" w:type="dxa"/>
            <w:tcBorders>
              <w:top w:val="nil"/>
              <w:left w:val="single" w:sz="4" w:space="0" w:color="auto"/>
              <w:bottom w:val="nil"/>
              <w:right w:val="single" w:sz="4" w:space="0" w:color="auto"/>
            </w:tcBorders>
            <w:shd w:val="clear" w:color="auto" w:fill="auto"/>
            <w:vAlign w:val="center"/>
            <w:hideMark/>
          </w:tcPr>
          <w:p w14:paraId="6F6FB639" w14:textId="6A824E39" w:rsidR="00785B70" w:rsidRPr="00005453" w:rsidRDefault="00785B70" w:rsidP="00785B70">
            <w:pPr>
              <w:jc w:val="right"/>
              <w:rPr>
                <w:b/>
                <w:bCs/>
                <w:sz w:val="14"/>
                <w:szCs w:val="14"/>
              </w:rPr>
            </w:pPr>
            <w:r w:rsidRPr="00005453">
              <w:rPr>
                <w:b/>
                <w:bCs/>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2BAE9B80" w14:textId="27649ED9" w:rsidR="00785B70" w:rsidRPr="00005453" w:rsidRDefault="00785B70" w:rsidP="00785B70">
            <w:pPr>
              <w:jc w:val="right"/>
              <w:rPr>
                <w:b/>
                <w:bCs/>
                <w:sz w:val="14"/>
                <w:szCs w:val="14"/>
              </w:rPr>
            </w:pPr>
            <w:r w:rsidRPr="00005453">
              <w:rPr>
                <w:b/>
                <w:bCs/>
                <w:sz w:val="14"/>
                <w:szCs w:val="18"/>
              </w:rPr>
              <w:t>5,716,978</w:t>
            </w:r>
          </w:p>
        </w:tc>
        <w:tc>
          <w:tcPr>
            <w:tcW w:w="851" w:type="dxa"/>
            <w:tcBorders>
              <w:top w:val="nil"/>
              <w:left w:val="single" w:sz="4" w:space="0" w:color="auto"/>
              <w:bottom w:val="nil"/>
              <w:right w:val="single" w:sz="4" w:space="0" w:color="auto"/>
            </w:tcBorders>
            <w:shd w:val="clear" w:color="auto" w:fill="auto"/>
            <w:vAlign w:val="center"/>
            <w:hideMark/>
          </w:tcPr>
          <w:p w14:paraId="64903B77" w14:textId="78A793A6" w:rsidR="00785B70" w:rsidRPr="00005453" w:rsidRDefault="00785B70" w:rsidP="00785B70">
            <w:pPr>
              <w:jc w:val="right"/>
              <w:rPr>
                <w:b/>
                <w:bCs/>
                <w:sz w:val="14"/>
                <w:szCs w:val="14"/>
                <w:lang w:eastAsia="tr-TR"/>
              </w:rPr>
            </w:pPr>
            <w:r w:rsidRPr="00005453">
              <w:rPr>
                <w:b/>
                <w:bCs/>
                <w:sz w:val="14"/>
                <w:szCs w:val="14"/>
              </w:rPr>
              <w:t>3,384,651</w:t>
            </w:r>
          </w:p>
        </w:tc>
        <w:tc>
          <w:tcPr>
            <w:tcW w:w="850" w:type="dxa"/>
            <w:tcBorders>
              <w:top w:val="nil"/>
              <w:left w:val="single" w:sz="4" w:space="0" w:color="auto"/>
              <w:bottom w:val="nil"/>
              <w:right w:val="single" w:sz="4" w:space="0" w:color="auto"/>
            </w:tcBorders>
            <w:shd w:val="clear" w:color="auto" w:fill="auto"/>
            <w:vAlign w:val="center"/>
            <w:hideMark/>
          </w:tcPr>
          <w:p w14:paraId="0C462664" w14:textId="34C3B46D" w:rsidR="00785B70" w:rsidRPr="00005453" w:rsidRDefault="00785B70" w:rsidP="00785B70">
            <w:pPr>
              <w:jc w:val="right"/>
              <w:rPr>
                <w:b/>
                <w:bCs/>
                <w:sz w:val="14"/>
                <w:szCs w:val="14"/>
                <w:lang w:eastAsia="tr-TR"/>
              </w:rPr>
            </w:pPr>
            <w:r w:rsidRPr="00005453">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A3B7BDA" w14:textId="7E1BAE6B" w:rsidR="00785B70" w:rsidRPr="00005453" w:rsidRDefault="00785B70" w:rsidP="00785B70">
            <w:pPr>
              <w:jc w:val="right"/>
              <w:rPr>
                <w:b/>
                <w:bCs/>
                <w:sz w:val="14"/>
                <w:szCs w:val="14"/>
                <w:lang w:eastAsia="tr-TR"/>
              </w:rPr>
            </w:pPr>
            <w:r w:rsidRPr="00005453">
              <w:rPr>
                <w:b/>
                <w:bCs/>
                <w:sz w:val="14"/>
                <w:szCs w:val="14"/>
              </w:rPr>
              <w:t>3,384,651</w:t>
            </w:r>
          </w:p>
        </w:tc>
      </w:tr>
      <w:tr w:rsidR="00785B70" w:rsidRPr="00005453" w14:paraId="0553C295"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69F6A875"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X.</w:t>
            </w:r>
          </w:p>
        </w:tc>
        <w:tc>
          <w:tcPr>
            <w:tcW w:w="3118" w:type="dxa"/>
            <w:tcBorders>
              <w:top w:val="nil"/>
              <w:left w:val="single" w:sz="4" w:space="0" w:color="auto"/>
              <w:bottom w:val="nil"/>
              <w:right w:val="single" w:sz="4" w:space="0" w:color="auto"/>
            </w:tcBorders>
            <w:shd w:val="clear" w:color="auto" w:fill="auto"/>
            <w:hideMark/>
          </w:tcPr>
          <w:p w14:paraId="36A97B5A"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hideMark/>
          </w:tcPr>
          <w:p w14:paraId="1EEE0649" w14:textId="77777777" w:rsidR="00785B70" w:rsidRPr="00005453" w:rsidRDefault="00785B70" w:rsidP="00785B70">
            <w:pPr>
              <w:jc w:val="cente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C73E926" w14:textId="4D560203"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5C42D58" w14:textId="1F2080B2" w:rsidR="00785B70" w:rsidRPr="00005453" w:rsidRDefault="00785B70" w:rsidP="00785B70">
            <w:pPr>
              <w:jc w:val="right"/>
              <w:rPr>
                <w:bCs/>
                <w:sz w:val="14"/>
                <w:szCs w:val="14"/>
              </w:rPr>
            </w:pPr>
            <w:r w:rsidRPr="00005453">
              <w:rPr>
                <w:b/>
                <w:bCs/>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020C814F" w14:textId="407F0CEC"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4C95C63" w14:textId="0834F850" w:rsidR="00785B70" w:rsidRPr="00005453" w:rsidRDefault="00785B70" w:rsidP="00785B70">
            <w:pPr>
              <w:jc w:val="right"/>
              <w:rPr>
                <w:b/>
                <w:bCs/>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2BEA0DA5" w14:textId="315B4E25" w:rsidR="00785B70" w:rsidRPr="00005453" w:rsidRDefault="00785B70" w:rsidP="00785B70">
            <w:pPr>
              <w:jc w:val="right"/>
              <w:rPr>
                <w:b/>
                <w:bCs/>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D1A4EF4" w14:textId="02C07C3C" w:rsidR="00785B70" w:rsidRPr="00005453" w:rsidRDefault="00785B70" w:rsidP="00785B70">
            <w:pPr>
              <w:jc w:val="right"/>
              <w:rPr>
                <w:b/>
                <w:bCs/>
                <w:sz w:val="14"/>
                <w:szCs w:val="14"/>
                <w:lang w:eastAsia="tr-TR"/>
              </w:rPr>
            </w:pPr>
            <w:r w:rsidRPr="00005453">
              <w:rPr>
                <w:bCs/>
                <w:sz w:val="14"/>
                <w:szCs w:val="14"/>
              </w:rPr>
              <w:t>-</w:t>
            </w:r>
          </w:p>
        </w:tc>
      </w:tr>
      <w:tr w:rsidR="00785B70" w:rsidRPr="00005453" w14:paraId="517C2789" w14:textId="77777777" w:rsidTr="00785B70">
        <w:trPr>
          <w:divId w:val="248657329"/>
          <w:trHeight w:val="196"/>
        </w:trPr>
        <w:tc>
          <w:tcPr>
            <w:tcW w:w="525" w:type="dxa"/>
            <w:tcBorders>
              <w:top w:val="nil"/>
              <w:left w:val="single" w:sz="4" w:space="0" w:color="auto"/>
              <w:bottom w:val="nil"/>
              <w:right w:val="single" w:sz="4" w:space="0" w:color="auto"/>
            </w:tcBorders>
            <w:shd w:val="clear" w:color="auto" w:fill="auto"/>
            <w:noWrap/>
            <w:hideMark/>
          </w:tcPr>
          <w:p w14:paraId="795C7CBB"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XI.</w:t>
            </w:r>
          </w:p>
        </w:tc>
        <w:tc>
          <w:tcPr>
            <w:tcW w:w="3118" w:type="dxa"/>
            <w:tcBorders>
              <w:top w:val="nil"/>
              <w:left w:val="single" w:sz="4" w:space="0" w:color="auto"/>
              <w:bottom w:val="nil"/>
              <w:right w:val="single" w:sz="4" w:space="0" w:color="auto"/>
            </w:tcBorders>
            <w:shd w:val="clear" w:color="auto" w:fill="auto"/>
            <w:hideMark/>
          </w:tcPr>
          <w:p w14:paraId="6C2A1162"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hideMark/>
          </w:tcPr>
          <w:p w14:paraId="24E9DBC2" w14:textId="1C82C094" w:rsidR="00785B70" w:rsidRPr="00005453" w:rsidRDefault="00785B70" w:rsidP="00785B70">
            <w:pPr>
              <w:jc w:val="center"/>
              <w:rPr>
                <w:b/>
                <w:bCs/>
                <w:color w:val="000000"/>
                <w:sz w:val="14"/>
                <w:szCs w:val="14"/>
                <w:lang w:eastAsia="tr-TR"/>
              </w:rPr>
            </w:pPr>
            <w:r w:rsidRPr="00005453">
              <w:rPr>
                <w:b/>
                <w:bCs/>
                <w:color w:val="000000"/>
                <w:sz w:val="14"/>
                <w:szCs w:val="14"/>
                <w:lang w:eastAsia="tr-TR"/>
              </w:rPr>
              <w:t>(5.2.10.)</w:t>
            </w:r>
          </w:p>
        </w:tc>
        <w:tc>
          <w:tcPr>
            <w:tcW w:w="851" w:type="dxa"/>
            <w:tcBorders>
              <w:top w:val="nil"/>
              <w:left w:val="single" w:sz="4" w:space="0" w:color="auto"/>
              <w:bottom w:val="nil"/>
              <w:right w:val="single" w:sz="4" w:space="0" w:color="auto"/>
            </w:tcBorders>
            <w:shd w:val="clear" w:color="auto" w:fill="auto"/>
            <w:vAlign w:val="center"/>
            <w:hideMark/>
          </w:tcPr>
          <w:p w14:paraId="3AA05E65" w14:textId="066A8BB8"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5521605" w14:textId="586AC339" w:rsidR="00785B70" w:rsidRPr="00005453" w:rsidRDefault="00785B70" w:rsidP="00785B70">
            <w:pPr>
              <w:jc w:val="right"/>
              <w:rPr>
                <w:bCs/>
                <w:sz w:val="14"/>
                <w:szCs w:val="14"/>
              </w:rPr>
            </w:pPr>
            <w:r w:rsidRPr="00005453">
              <w:rPr>
                <w:b/>
                <w:bCs/>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292382AD" w14:textId="58EE0283" w:rsidR="00785B70" w:rsidRPr="00005453" w:rsidRDefault="00785B70" w:rsidP="00785B70">
            <w:pPr>
              <w:jc w:val="right"/>
              <w:rPr>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258FDEA" w14:textId="730E768D" w:rsidR="00785B70" w:rsidRPr="00005453" w:rsidRDefault="00785B70" w:rsidP="00785B70">
            <w:pPr>
              <w:jc w:val="right"/>
              <w:rPr>
                <w:b/>
                <w:bCs/>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3B11D665" w14:textId="10D9D8B3" w:rsidR="00785B70" w:rsidRPr="00005453" w:rsidRDefault="00785B70" w:rsidP="00785B70">
            <w:pPr>
              <w:jc w:val="right"/>
              <w:rPr>
                <w:b/>
                <w:bCs/>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65AB91C" w14:textId="110FE7F0" w:rsidR="00785B70" w:rsidRPr="00005453" w:rsidRDefault="00785B70" w:rsidP="00785B70">
            <w:pPr>
              <w:jc w:val="right"/>
              <w:rPr>
                <w:b/>
                <w:bCs/>
                <w:sz w:val="14"/>
                <w:szCs w:val="14"/>
                <w:lang w:eastAsia="tr-TR"/>
              </w:rPr>
            </w:pPr>
            <w:r w:rsidRPr="00005453">
              <w:rPr>
                <w:bCs/>
                <w:sz w:val="14"/>
                <w:szCs w:val="14"/>
              </w:rPr>
              <w:t>-</w:t>
            </w:r>
          </w:p>
        </w:tc>
      </w:tr>
      <w:tr w:rsidR="00785B70" w:rsidRPr="00005453" w14:paraId="68E597FA"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23058DBC" w14:textId="77777777" w:rsidR="00785B70" w:rsidRPr="00005453" w:rsidRDefault="00785B70" w:rsidP="00785B70">
            <w:pPr>
              <w:rPr>
                <w:color w:val="000000"/>
                <w:sz w:val="14"/>
                <w:szCs w:val="14"/>
                <w:lang w:eastAsia="tr-TR"/>
              </w:rPr>
            </w:pPr>
            <w:r w:rsidRPr="00005453">
              <w:rPr>
                <w:color w:val="000000"/>
                <w:sz w:val="14"/>
                <w:szCs w:val="14"/>
                <w:lang w:eastAsia="tr-TR"/>
              </w:rPr>
              <w:t>11.1.</w:t>
            </w:r>
          </w:p>
        </w:tc>
        <w:tc>
          <w:tcPr>
            <w:tcW w:w="3118" w:type="dxa"/>
            <w:tcBorders>
              <w:top w:val="nil"/>
              <w:left w:val="single" w:sz="4" w:space="0" w:color="auto"/>
              <w:bottom w:val="nil"/>
              <w:right w:val="single" w:sz="4" w:space="0" w:color="auto"/>
            </w:tcBorders>
            <w:shd w:val="clear" w:color="auto" w:fill="auto"/>
            <w:noWrap/>
            <w:hideMark/>
          </w:tcPr>
          <w:p w14:paraId="271B2C68" w14:textId="77777777" w:rsidR="00785B70" w:rsidRPr="00005453" w:rsidRDefault="00785B70" w:rsidP="00785B70">
            <w:pPr>
              <w:rPr>
                <w:color w:val="000000"/>
                <w:sz w:val="14"/>
                <w:szCs w:val="14"/>
                <w:lang w:eastAsia="tr-TR"/>
              </w:rPr>
            </w:pPr>
            <w:r w:rsidRPr="00005453">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hideMark/>
          </w:tcPr>
          <w:p w14:paraId="588353B8"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12F8DB0" w14:textId="550EDA62"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85B7C97" w14:textId="7373C8AA"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48C79D06" w14:textId="0416CA1F"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CDFC5CC" w14:textId="3478A581" w:rsidR="00785B70" w:rsidRPr="00005453" w:rsidRDefault="00785B70" w:rsidP="00785B70">
            <w:pPr>
              <w:jc w:val="right"/>
              <w:rPr>
                <w:b/>
                <w:bCs/>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1FB3FC0D" w14:textId="1A3A44F5" w:rsidR="00785B70" w:rsidRPr="00005453" w:rsidRDefault="00785B70" w:rsidP="00785B70">
            <w:pPr>
              <w:jc w:val="right"/>
              <w:rPr>
                <w:b/>
                <w:bCs/>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6D94980" w14:textId="29C5063A" w:rsidR="00785B70" w:rsidRPr="00005453" w:rsidRDefault="00785B70" w:rsidP="00785B70">
            <w:pPr>
              <w:jc w:val="right"/>
              <w:rPr>
                <w:b/>
                <w:bCs/>
                <w:sz w:val="14"/>
                <w:szCs w:val="14"/>
                <w:lang w:eastAsia="tr-TR"/>
              </w:rPr>
            </w:pPr>
            <w:r w:rsidRPr="00005453">
              <w:rPr>
                <w:bCs/>
                <w:sz w:val="14"/>
                <w:szCs w:val="14"/>
              </w:rPr>
              <w:t>-</w:t>
            </w:r>
          </w:p>
        </w:tc>
      </w:tr>
      <w:tr w:rsidR="00785B70" w:rsidRPr="00005453" w14:paraId="1940B7B4" w14:textId="77777777" w:rsidTr="00785B70">
        <w:trPr>
          <w:divId w:val="248657329"/>
          <w:trHeight w:val="127"/>
        </w:trPr>
        <w:tc>
          <w:tcPr>
            <w:tcW w:w="525" w:type="dxa"/>
            <w:tcBorders>
              <w:top w:val="nil"/>
              <w:left w:val="single" w:sz="4" w:space="0" w:color="auto"/>
              <w:bottom w:val="nil"/>
              <w:right w:val="single" w:sz="4" w:space="0" w:color="auto"/>
            </w:tcBorders>
            <w:shd w:val="clear" w:color="auto" w:fill="auto"/>
            <w:noWrap/>
            <w:hideMark/>
          </w:tcPr>
          <w:p w14:paraId="4B0441EA" w14:textId="77777777" w:rsidR="00785B70" w:rsidRPr="00005453" w:rsidRDefault="00785B70" w:rsidP="00785B70">
            <w:pPr>
              <w:rPr>
                <w:color w:val="000000"/>
                <w:sz w:val="14"/>
                <w:szCs w:val="14"/>
                <w:lang w:eastAsia="tr-TR"/>
              </w:rPr>
            </w:pPr>
            <w:r w:rsidRPr="00005453">
              <w:rPr>
                <w:color w:val="000000"/>
                <w:sz w:val="14"/>
                <w:szCs w:val="14"/>
                <w:lang w:eastAsia="tr-TR"/>
              </w:rPr>
              <w:t>11.2.</w:t>
            </w:r>
          </w:p>
        </w:tc>
        <w:tc>
          <w:tcPr>
            <w:tcW w:w="3118" w:type="dxa"/>
            <w:tcBorders>
              <w:top w:val="nil"/>
              <w:left w:val="single" w:sz="4" w:space="0" w:color="auto"/>
              <w:bottom w:val="nil"/>
              <w:right w:val="single" w:sz="4" w:space="0" w:color="auto"/>
            </w:tcBorders>
            <w:shd w:val="clear" w:color="auto" w:fill="auto"/>
            <w:noWrap/>
            <w:hideMark/>
          </w:tcPr>
          <w:p w14:paraId="7D617DA7" w14:textId="77777777" w:rsidR="00785B70" w:rsidRPr="00005453" w:rsidRDefault="00785B70" w:rsidP="00785B70">
            <w:pPr>
              <w:rPr>
                <w:color w:val="000000"/>
                <w:sz w:val="14"/>
                <w:szCs w:val="14"/>
                <w:lang w:eastAsia="tr-TR"/>
              </w:rPr>
            </w:pPr>
            <w:r w:rsidRPr="00005453">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hideMark/>
          </w:tcPr>
          <w:p w14:paraId="201E7318"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B322A46" w14:textId="4313D041"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E8C8F01" w14:textId="478522B1"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5156EF75" w14:textId="21783AC9"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F2D2A08" w14:textId="5EEF3C34" w:rsidR="00785B70" w:rsidRPr="00005453" w:rsidRDefault="00785B70" w:rsidP="00785B70">
            <w:pPr>
              <w:jc w:val="right"/>
              <w:rPr>
                <w:b/>
                <w:bCs/>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52B2362B" w14:textId="723EC3C8" w:rsidR="00785B70" w:rsidRPr="00005453" w:rsidRDefault="00785B70" w:rsidP="00785B70">
            <w:pPr>
              <w:jc w:val="right"/>
              <w:rPr>
                <w:b/>
                <w:bCs/>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9D4F17B" w14:textId="5C6E4F91" w:rsidR="00785B70" w:rsidRPr="00005453" w:rsidRDefault="00785B70" w:rsidP="00785B70">
            <w:pPr>
              <w:jc w:val="right"/>
              <w:rPr>
                <w:b/>
                <w:bCs/>
                <w:sz w:val="14"/>
                <w:szCs w:val="14"/>
                <w:lang w:eastAsia="tr-TR"/>
              </w:rPr>
            </w:pPr>
            <w:r w:rsidRPr="00005453">
              <w:rPr>
                <w:bCs/>
                <w:sz w:val="14"/>
                <w:szCs w:val="14"/>
              </w:rPr>
              <w:t>-</w:t>
            </w:r>
          </w:p>
        </w:tc>
      </w:tr>
      <w:tr w:rsidR="00785B70" w:rsidRPr="00005453" w14:paraId="3BDF8D09" w14:textId="77777777" w:rsidTr="00785B70">
        <w:trPr>
          <w:divId w:val="248657329"/>
          <w:trHeight w:val="196"/>
        </w:trPr>
        <w:tc>
          <w:tcPr>
            <w:tcW w:w="525" w:type="dxa"/>
            <w:tcBorders>
              <w:top w:val="nil"/>
              <w:left w:val="single" w:sz="4" w:space="0" w:color="auto"/>
              <w:bottom w:val="nil"/>
              <w:right w:val="single" w:sz="4" w:space="0" w:color="auto"/>
            </w:tcBorders>
            <w:shd w:val="clear" w:color="auto" w:fill="auto"/>
            <w:noWrap/>
            <w:hideMark/>
          </w:tcPr>
          <w:p w14:paraId="62D43AD2"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XII.</w:t>
            </w:r>
          </w:p>
        </w:tc>
        <w:tc>
          <w:tcPr>
            <w:tcW w:w="3118" w:type="dxa"/>
            <w:tcBorders>
              <w:top w:val="nil"/>
              <w:left w:val="single" w:sz="4" w:space="0" w:color="auto"/>
              <w:bottom w:val="nil"/>
              <w:right w:val="single" w:sz="4" w:space="0" w:color="auto"/>
            </w:tcBorders>
            <w:shd w:val="clear" w:color="auto" w:fill="auto"/>
            <w:hideMark/>
          </w:tcPr>
          <w:p w14:paraId="02E1809B"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hideMark/>
          </w:tcPr>
          <w:p w14:paraId="200F6685" w14:textId="5F22B313" w:rsidR="00785B70" w:rsidRPr="00005453" w:rsidRDefault="00785B70" w:rsidP="00785B70">
            <w:pPr>
              <w:jc w:val="center"/>
              <w:rPr>
                <w:b/>
                <w:bCs/>
                <w:color w:val="000000"/>
                <w:sz w:val="14"/>
                <w:szCs w:val="14"/>
                <w:lang w:eastAsia="tr-TR"/>
              </w:rPr>
            </w:pPr>
            <w:r w:rsidRPr="00005453">
              <w:rPr>
                <w:b/>
                <w:bCs/>
                <w:color w:val="000000"/>
                <w:sz w:val="14"/>
                <w:szCs w:val="14"/>
                <w:lang w:eastAsia="tr-TR"/>
              </w:rPr>
              <w:t>(5.2.11.)</w:t>
            </w:r>
          </w:p>
        </w:tc>
        <w:tc>
          <w:tcPr>
            <w:tcW w:w="851" w:type="dxa"/>
            <w:tcBorders>
              <w:top w:val="nil"/>
              <w:left w:val="single" w:sz="4" w:space="0" w:color="auto"/>
              <w:bottom w:val="nil"/>
              <w:right w:val="single" w:sz="4" w:space="0" w:color="auto"/>
            </w:tcBorders>
            <w:shd w:val="clear" w:color="auto" w:fill="auto"/>
            <w:vAlign w:val="center"/>
            <w:hideMark/>
          </w:tcPr>
          <w:p w14:paraId="09DCB63E" w14:textId="274AD434" w:rsidR="00785B70" w:rsidRPr="00005453" w:rsidRDefault="00785B70" w:rsidP="00785B70">
            <w:pPr>
              <w:jc w:val="right"/>
              <w:rPr>
                <w:b/>
                <w:bCs/>
                <w:sz w:val="14"/>
                <w:szCs w:val="14"/>
              </w:rPr>
            </w:pPr>
            <w:r w:rsidRPr="00005453">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3481C4C" w14:textId="44A6F23A" w:rsidR="00785B70" w:rsidRPr="00005453" w:rsidRDefault="00785B70" w:rsidP="00785B70">
            <w:pPr>
              <w:jc w:val="right"/>
              <w:rPr>
                <w:b/>
                <w:bCs/>
                <w:sz w:val="14"/>
                <w:szCs w:val="14"/>
              </w:rPr>
            </w:pPr>
            <w:r w:rsidRPr="00005453">
              <w:rPr>
                <w:b/>
                <w:bCs/>
                <w:sz w:val="14"/>
                <w:szCs w:val="18"/>
              </w:rPr>
              <w:t>14,186,285</w:t>
            </w:r>
          </w:p>
        </w:tc>
        <w:tc>
          <w:tcPr>
            <w:tcW w:w="991" w:type="dxa"/>
            <w:tcBorders>
              <w:top w:val="nil"/>
              <w:left w:val="single" w:sz="4" w:space="0" w:color="auto"/>
              <w:bottom w:val="nil"/>
              <w:right w:val="single" w:sz="4" w:space="0" w:color="auto"/>
            </w:tcBorders>
            <w:shd w:val="clear" w:color="auto" w:fill="auto"/>
            <w:vAlign w:val="center"/>
            <w:hideMark/>
          </w:tcPr>
          <w:p w14:paraId="30727D28" w14:textId="5CE341CB" w:rsidR="00785B70" w:rsidRPr="00005453" w:rsidRDefault="00785B70" w:rsidP="00785B70">
            <w:pPr>
              <w:jc w:val="right"/>
              <w:rPr>
                <w:b/>
                <w:bCs/>
                <w:sz w:val="14"/>
                <w:szCs w:val="14"/>
              </w:rPr>
            </w:pPr>
            <w:r w:rsidRPr="00005453">
              <w:rPr>
                <w:b/>
                <w:bCs/>
                <w:sz w:val="14"/>
                <w:szCs w:val="18"/>
              </w:rPr>
              <w:t>14,186,285</w:t>
            </w:r>
          </w:p>
        </w:tc>
        <w:tc>
          <w:tcPr>
            <w:tcW w:w="851" w:type="dxa"/>
            <w:tcBorders>
              <w:top w:val="nil"/>
              <w:left w:val="single" w:sz="4" w:space="0" w:color="auto"/>
              <w:bottom w:val="nil"/>
              <w:right w:val="single" w:sz="4" w:space="0" w:color="auto"/>
            </w:tcBorders>
            <w:shd w:val="clear" w:color="auto" w:fill="auto"/>
            <w:vAlign w:val="center"/>
            <w:hideMark/>
          </w:tcPr>
          <w:p w14:paraId="33383096" w14:textId="0FDEBEDD" w:rsidR="00785B70" w:rsidRPr="00005453" w:rsidRDefault="00785B70" w:rsidP="00785B70">
            <w:pPr>
              <w:jc w:val="right"/>
              <w:rPr>
                <w:b/>
                <w:bCs/>
                <w:sz w:val="14"/>
                <w:szCs w:val="14"/>
                <w:lang w:eastAsia="tr-TR"/>
              </w:rPr>
            </w:pPr>
            <w:r w:rsidRPr="00005453">
              <w:rPr>
                <w:b/>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0DACC828" w14:textId="75903C62" w:rsidR="00785B70" w:rsidRPr="00005453" w:rsidRDefault="00785B70" w:rsidP="00785B70">
            <w:pPr>
              <w:jc w:val="right"/>
              <w:rPr>
                <w:b/>
                <w:bCs/>
                <w:sz w:val="14"/>
                <w:szCs w:val="14"/>
                <w:lang w:eastAsia="tr-TR"/>
              </w:rPr>
            </w:pPr>
            <w:r w:rsidRPr="00005453">
              <w:rPr>
                <w:b/>
                <w:bCs/>
                <w:sz w:val="14"/>
                <w:szCs w:val="14"/>
              </w:rPr>
              <w:t>17,967,564</w:t>
            </w:r>
          </w:p>
        </w:tc>
        <w:tc>
          <w:tcPr>
            <w:tcW w:w="993" w:type="dxa"/>
            <w:tcBorders>
              <w:top w:val="nil"/>
              <w:left w:val="single" w:sz="4" w:space="0" w:color="auto"/>
              <w:bottom w:val="nil"/>
              <w:right w:val="single" w:sz="4" w:space="0" w:color="auto"/>
            </w:tcBorders>
            <w:shd w:val="clear" w:color="auto" w:fill="auto"/>
            <w:vAlign w:val="center"/>
            <w:hideMark/>
          </w:tcPr>
          <w:p w14:paraId="38875BF5" w14:textId="1DC26AF7" w:rsidR="00785B70" w:rsidRPr="00005453" w:rsidRDefault="00785B70" w:rsidP="00785B70">
            <w:pPr>
              <w:jc w:val="right"/>
              <w:rPr>
                <w:b/>
                <w:bCs/>
                <w:sz w:val="14"/>
                <w:szCs w:val="14"/>
                <w:lang w:eastAsia="tr-TR"/>
              </w:rPr>
            </w:pPr>
            <w:r w:rsidRPr="00005453">
              <w:rPr>
                <w:b/>
                <w:bCs/>
                <w:sz w:val="14"/>
                <w:szCs w:val="14"/>
              </w:rPr>
              <w:t>17,967,564</w:t>
            </w:r>
          </w:p>
        </w:tc>
      </w:tr>
      <w:tr w:rsidR="00785B70" w:rsidRPr="00005453" w14:paraId="10FD9DE4"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0A32739B" w14:textId="77777777" w:rsidR="00785B70" w:rsidRPr="00005453" w:rsidRDefault="00785B70" w:rsidP="00785B70">
            <w:pPr>
              <w:rPr>
                <w:color w:val="000000"/>
                <w:sz w:val="14"/>
                <w:szCs w:val="14"/>
                <w:lang w:eastAsia="tr-TR"/>
              </w:rPr>
            </w:pPr>
            <w:r w:rsidRPr="00005453">
              <w:rPr>
                <w:color w:val="000000"/>
                <w:sz w:val="14"/>
                <w:szCs w:val="14"/>
                <w:lang w:eastAsia="tr-TR"/>
              </w:rPr>
              <w:t>12.1.</w:t>
            </w:r>
          </w:p>
        </w:tc>
        <w:tc>
          <w:tcPr>
            <w:tcW w:w="3118" w:type="dxa"/>
            <w:tcBorders>
              <w:top w:val="nil"/>
              <w:left w:val="single" w:sz="4" w:space="0" w:color="auto"/>
              <w:bottom w:val="nil"/>
              <w:right w:val="single" w:sz="4" w:space="0" w:color="auto"/>
            </w:tcBorders>
            <w:shd w:val="clear" w:color="auto" w:fill="auto"/>
            <w:noWrap/>
            <w:hideMark/>
          </w:tcPr>
          <w:p w14:paraId="4C89B2E9" w14:textId="77777777" w:rsidR="00785B70" w:rsidRPr="00005453" w:rsidRDefault="00785B70" w:rsidP="00785B70">
            <w:pPr>
              <w:rPr>
                <w:color w:val="000000"/>
                <w:sz w:val="14"/>
                <w:szCs w:val="14"/>
                <w:lang w:eastAsia="tr-TR"/>
              </w:rPr>
            </w:pPr>
            <w:r w:rsidRPr="00005453">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hideMark/>
          </w:tcPr>
          <w:p w14:paraId="59A177EC"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2828C6D" w14:textId="1E2D7C02"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551F676" w14:textId="26E1FAA2"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3468BD92" w14:textId="5BB4155F"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13D666D" w14:textId="5CCA6EAB" w:rsidR="00785B70" w:rsidRPr="00005453" w:rsidRDefault="00785B70" w:rsidP="00785B70">
            <w:pPr>
              <w:jc w:val="right"/>
              <w:rPr>
                <w:b/>
                <w:bCs/>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1B8F3C04" w14:textId="126CB252" w:rsidR="00785B70" w:rsidRPr="00005453" w:rsidRDefault="00785B70" w:rsidP="00785B70">
            <w:pPr>
              <w:jc w:val="right"/>
              <w:rPr>
                <w:b/>
                <w:bCs/>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60FE25D1" w14:textId="2F7D363A" w:rsidR="00785B70" w:rsidRPr="00005453" w:rsidRDefault="00785B70" w:rsidP="00785B70">
            <w:pPr>
              <w:jc w:val="right"/>
              <w:rPr>
                <w:b/>
                <w:bCs/>
                <w:sz w:val="14"/>
                <w:szCs w:val="14"/>
                <w:lang w:eastAsia="tr-TR"/>
              </w:rPr>
            </w:pPr>
            <w:r w:rsidRPr="00005453">
              <w:rPr>
                <w:bCs/>
                <w:sz w:val="14"/>
                <w:szCs w:val="14"/>
              </w:rPr>
              <w:t>-</w:t>
            </w:r>
          </w:p>
        </w:tc>
      </w:tr>
      <w:tr w:rsidR="00785B70" w:rsidRPr="00005453" w14:paraId="0CD8DA53"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6C9EFAEF" w14:textId="77777777" w:rsidR="00785B70" w:rsidRPr="00005453" w:rsidRDefault="00785B70" w:rsidP="00785B70">
            <w:pPr>
              <w:rPr>
                <w:color w:val="000000"/>
                <w:sz w:val="14"/>
                <w:szCs w:val="14"/>
                <w:lang w:eastAsia="tr-TR"/>
              </w:rPr>
            </w:pPr>
            <w:r w:rsidRPr="00005453">
              <w:rPr>
                <w:color w:val="000000"/>
                <w:sz w:val="14"/>
                <w:szCs w:val="14"/>
                <w:lang w:eastAsia="tr-TR"/>
              </w:rPr>
              <w:t>12.2.</w:t>
            </w:r>
          </w:p>
        </w:tc>
        <w:tc>
          <w:tcPr>
            <w:tcW w:w="3118" w:type="dxa"/>
            <w:tcBorders>
              <w:top w:val="nil"/>
              <w:left w:val="single" w:sz="4" w:space="0" w:color="auto"/>
              <w:bottom w:val="nil"/>
              <w:right w:val="single" w:sz="4" w:space="0" w:color="auto"/>
            </w:tcBorders>
            <w:shd w:val="clear" w:color="auto" w:fill="auto"/>
            <w:noWrap/>
            <w:hideMark/>
          </w:tcPr>
          <w:p w14:paraId="2A0D8B20" w14:textId="77777777" w:rsidR="00785B70" w:rsidRPr="00005453" w:rsidRDefault="00785B70" w:rsidP="00785B70">
            <w:pPr>
              <w:rPr>
                <w:color w:val="000000"/>
                <w:sz w:val="14"/>
                <w:szCs w:val="14"/>
                <w:lang w:eastAsia="tr-TR"/>
              </w:rPr>
            </w:pPr>
            <w:r w:rsidRPr="00005453">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hideMark/>
          </w:tcPr>
          <w:p w14:paraId="649F1E78"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760C540" w14:textId="18B042A5"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67BF20D" w14:textId="49516AE7" w:rsidR="00785B70" w:rsidRPr="00005453" w:rsidRDefault="00785B70" w:rsidP="00785B70">
            <w:pPr>
              <w:jc w:val="right"/>
              <w:rPr>
                <w:bCs/>
                <w:sz w:val="14"/>
                <w:szCs w:val="14"/>
              </w:rPr>
            </w:pPr>
            <w:r w:rsidRPr="00005453">
              <w:rPr>
                <w:sz w:val="14"/>
                <w:szCs w:val="18"/>
              </w:rPr>
              <w:t>14,186,285</w:t>
            </w:r>
          </w:p>
        </w:tc>
        <w:tc>
          <w:tcPr>
            <w:tcW w:w="991" w:type="dxa"/>
            <w:tcBorders>
              <w:top w:val="nil"/>
              <w:left w:val="single" w:sz="4" w:space="0" w:color="auto"/>
              <w:bottom w:val="nil"/>
              <w:right w:val="single" w:sz="4" w:space="0" w:color="auto"/>
            </w:tcBorders>
            <w:shd w:val="clear" w:color="auto" w:fill="auto"/>
            <w:vAlign w:val="center"/>
            <w:hideMark/>
          </w:tcPr>
          <w:p w14:paraId="3C01D9B4" w14:textId="48716276" w:rsidR="00785B70" w:rsidRPr="00005453" w:rsidRDefault="00785B70" w:rsidP="00785B70">
            <w:pPr>
              <w:jc w:val="right"/>
              <w:rPr>
                <w:bCs/>
                <w:sz w:val="14"/>
                <w:szCs w:val="14"/>
              </w:rPr>
            </w:pPr>
            <w:r w:rsidRPr="00005453">
              <w:rPr>
                <w:sz w:val="14"/>
                <w:szCs w:val="18"/>
              </w:rPr>
              <w:t>14,186,285</w:t>
            </w:r>
          </w:p>
        </w:tc>
        <w:tc>
          <w:tcPr>
            <w:tcW w:w="851" w:type="dxa"/>
            <w:tcBorders>
              <w:top w:val="nil"/>
              <w:left w:val="single" w:sz="4" w:space="0" w:color="auto"/>
              <w:bottom w:val="nil"/>
              <w:right w:val="single" w:sz="4" w:space="0" w:color="auto"/>
            </w:tcBorders>
            <w:shd w:val="clear" w:color="auto" w:fill="auto"/>
            <w:vAlign w:val="center"/>
            <w:hideMark/>
          </w:tcPr>
          <w:p w14:paraId="2E09A755" w14:textId="274D9419"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436532A8" w14:textId="6FBED769" w:rsidR="00785B70" w:rsidRPr="00005453" w:rsidRDefault="00785B70" w:rsidP="00785B70">
            <w:pPr>
              <w:jc w:val="right"/>
              <w:rPr>
                <w:sz w:val="14"/>
                <w:szCs w:val="14"/>
                <w:lang w:eastAsia="tr-TR"/>
              </w:rPr>
            </w:pPr>
            <w:r w:rsidRPr="00005453">
              <w:rPr>
                <w:bCs/>
                <w:sz w:val="14"/>
                <w:szCs w:val="14"/>
              </w:rPr>
              <w:t>17,967,564</w:t>
            </w:r>
          </w:p>
        </w:tc>
        <w:tc>
          <w:tcPr>
            <w:tcW w:w="993" w:type="dxa"/>
            <w:tcBorders>
              <w:top w:val="nil"/>
              <w:left w:val="single" w:sz="4" w:space="0" w:color="auto"/>
              <w:bottom w:val="nil"/>
              <w:right w:val="single" w:sz="4" w:space="0" w:color="auto"/>
            </w:tcBorders>
            <w:shd w:val="clear" w:color="auto" w:fill="auto"/>
            <w:vAlign w:val="center"/>
            <w:hideMark/>
          </w:tcPr>
          <w:p w14:paraId="1C553B83" w14:textId="420D0E33" w:rsidR="00785B70" w:rsidRPr="00005453" w:rsidRDefault="00785B70" w:rsidP="00785B70">
            <w:pPr>
              <w:jc w:val="right"/>
              <w:rPr>
                <w:sz w:val="14"/>
                <w:szCs w:val="14"/>
                <w:lang w:eastAsia="tr-TR"/>
              </w:rPr>
            </w:pPr>
            <w:r w:rsidRPr="00005453">
              <w:rPr>
                <w:bCs/>
                <w:sz w:val="14"/>
                <w:szCs w:val="14"/>
              </w:rPr>
              <w:t>17,967,564</w:t>
            </w:r>
          </w:p>
        </w:tc>
      </w:tr>
      <w:tr w:rsidR="00785B70" w:rsidRPr="00005453" w14:paraId="581691A0"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763C4B6F"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XIII.</w:t>
            </w:r>
          </w:p>
        </w:tc>
        <w:tc>
          <w:tcPr>
            <w:tcW w:w="3118" w:type="dxa"/>
            <w:tcBorders>
              <w:top w:val="nil"/>
              <w:left w:val="single" w:sz="4" w:space="0" w:color="auto"/>
              <w:bottom w:val="nil"/>
              <w:right w:val="single" w:sz="4" w:space="0" w:color="auto"/>
            </w:tcBorders>
            <w:shd w:val="clear" w:color="auto" w:fill="auto"/>
            <w:hideMark/>
          </w:tcPr>
          <w:p w14:paraId="0226E4C1"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hideMark/>
          </w:tcPr>
          <w:p w14:paraId="2922644E" w14:textId="513CBA6A" w:rsidR="00785B70" w:rsidRPr="00005453" w:rsidRDefault="00785B70" w:rsidP="00785B70">
            <w:pPr>
              <w:jc w:val="center"/>
              <w:rPr>
                <w:b/>
                <w:bCs/>
                <w:color w:val="000000"/>
                <w:sz w:val="14"/>
                <w:szCs w:val="14"/>
                <w:lang w:eastAsia="tr-TR"/>
              </w:rPr>
            </w:pPr>
            <w:r w:rsidRPr="00005453">
              <w:rPr>
                <w:b/>
                <w:bCs/>
                <w:color w:val="000000"/>
                <w:sz w:val="14"/>
                <w:szCs w:val="14"/>
                <w:lang w:eastAsia="tr-TR"/>
              </w:rPr>
              <w:t>(5.2.5.)</w:t>
            </w:r>
          </w:p>
        </w:tc>
        <w:tc>
          <w:tcPr>
            <w:tcW w:w="851" w:type="dxa"/>
            <w:tcBorders>
              <w:top w:val="nil"/>
              <w:left w:val="single" w:sz="4" w:space="0" w:color="auto"/>
              <w:bottom w:val="nil"/>
              <w:right w:val="single" w:sz="4" w:space="0" w:color="auto"/>
            </w:tcBorders>
            <w:shd w:val="clear" w:color="auto" w:fill="auto"/>
            <w:vAlign w:val="center"/>
            <w:hideMark/>
          </w:tcPr>
          <w:p w14:paraId="276ED3EA" w14:textId="30371DCB" w:rsidR="00785B70" w:rsidRPr="00005453" w:rsidRDefault="00785B70" w:rsidP="00785B70">
            <w:pPr>
              <w:jc w:val="right"/>
              <w:rPr>
                <w:b/>
                <w:bCs/>
                <w:sz w:val="14"/>
                <w:szCs w:val="14"/>
              </w:rPr>
            </w:pPr>
            <w:r w:rsidRPr="00005453">
              <w:rPr>
                <w:b/>
                <w:bCs/>
                <w:sz w:val="14"/>
                <w:szCs w:val="18"/>
              </w:rPr>
              <w:t>10,781,402</w:t>
            </w:r>
          </w:p>
        </w:tc>
        <w:tc>
          <w:tcPr>
            <w:tcW w:w="851" w:type="dxa"/>
            <w:tcBorders>
              <w:top w:val="nil"/>
              <w:left w:val="single" w:sz="4" w:space="0" w:color="auto"/>
              <w:bottom w:val="nil"/>
              <w:right w:val="single" w:sz="4" w:space="0" w:color="auto"/>
            </w:tcBorders>
            <w:shd w:val="clear" w:color="auto" w:fill="auto"/>
            <w:vAlign w:val="center"/>
            <w:hideMark/>
          </w:tcPr>
          <w:p w14:paraId="61C47EBD" w14:textId="106CD458" w:rsidR="00785B70" w:rsidRPr="00005453" w:rsidRDefault="00785B70" w:rsidP="00785B70">
            <w:pPr>
              <w:jc w:val="right"/>
              <w:rPr>
                <w:b/>
                <w:bCs/>
                <w:sz w:val="14"/>
                <w:szCs w:val="14"/>
              </w:rPr>
            </w:pPr>
            <w:r w:rsidRPr="00005453">
              <w:rPr>
                <w:b/>
                <w:bCs/>
                <w:sz w:val="14"/>
                <w:szCs w:val="18"/>
              </w:rPr>
              <w:t>2,287,527</w:t>
            </w:r>
          </w:p>
        </w:tc>
        <w:tc>
          <w:tcPr>
            <w:tcW w:w="991" w:type="dxa"/>
            <w:tcBorders>
              <w:top w:val="nil"/>
              <w:left w:val="single" w:sz="4" w:space="0" w:color="auto"/>
              <w:bottom w:val="nil"/>
              <w:right w:val="single" w:sz="4" w:space="0" w:color="auto"/>
            </w:tcBorders>
            <w:shd w:val="clear" w:color="auto" w:fill="auto"/>
            <w:vAlign w:val="center"/>
            <w:hideMark/>
          </w:tcPr>
          <w:p w14:paraId="4A3F047B" w14:textId="3904E5DB" w:rsidR="00785B70" w:rsidRPr="00005453" w:rsidRDefault="00785B70" w:rsidP="00785B70">
            <w:pPr>
              <w:jc w:val="right"/>
              <w:rPr>
                <w:b/>
                <w:bCs/>
                <w:sz w:val="14"/>
                <w:szCs w:val="14"/>
              </w:rPr>
            </w:pPr>
            <w:r w:rsidRPr="00005453">
              <w:rPr>
                <w:b/>
                <w:bCs/>
                <w:sz w:val="14"/>
                <w:szCs w:val="18"/>
              </w:rPr>
              <w:t>13,068,929</w:t>
            </w:r>
          </w:p>
        </w:tc>
        <w:tc>
          <w:tcPr>
            <w:tcW w:w="851" w:type="dxa"/>
            <w:tcBorders>
              <w:top w:val="nil"/>
              <w:left w:val="single" w:sz="4" w:space="0" w:color="auto"/>
              <w:bottom w:val="nil"/>
              <w:right w:val="single" w:sz="4" w:space="0" w:color="auto"/>
            </w:tcBorders>
            <w:shd w:val="clear" w:color="auto" w:fill="auto"/>
            <w:vAlign w:val="center"/>
            <w:hideMark/>
          </w:tcPr>
          <w:p w14:paraId="6E9BCB22" w14:textId="702F70CA" w:rsidR="00785B70" w:rsidRPr="00005453" w:rsidRDefault="00785B70" w:rsidP="00785B70">
            <w:pPr>
              <w:jc w:val="right"/>
              <w:rPr>
                <w:b/>
                <w:bCs/>
                <w:sz w:val="14"/>
                <w:szCs w:val="14"/>
                <w:lang w:eastAsia="tr-TR"/>
              </w:rPr>
            </w:pPr>
            <w:r w:rsidRPr="00005453">
              <w:rPr>
                <w:b/>
                <w:bCs/>
                <w:sz w:val="14"/>
                <w:szCs w:val="14"/>
              </w:rPr>
              <w:t>4,126,607</w:t>
            </w:r>
          </w:p>
        </w:tc>
        <w:tc>
          <w:tcPr>
            <w:tcW w:w="850" w:type="dxa"/>
            <w:tcBorders>
              <w:top w:val="nil"/>
              <w:left w:val="single" w:sz="4" w:space="0" w:color="auto"/>
              <w:bottom w:val="nil"/>
              <w:right w:val="single" w:sz="4" w:space="0" w:color="auto"/>
            </w:tcBorders>
            <w:shd w:val="clear" w:color="auto" w:fill="auto"/>
            <w:vAlign w:val="center"/>
            <w:hideMark/>
          </w:tcPr>
          <w:p w14:paraId="69CCB921" w14:textId="0E5F0BF8" w:rsidR="00785B70" w:rsidRPr="00005453" w:rsidRDefault="00785B70" w:rsidP="00785B70">
            <w:pPr>
              <w:jc w:val="right"/>
              <w:rPr>
                <w:b/>
                <w:bCs/>
                <w:sz w:val="14"/>
                <w:szCs w:val="14"/>
                <w:lang w:eastAsia="tr-TR"/>
              </w:rPr>
            </w:pPr>
            <w:r w:rsidRPr="00005453">
              <w:rPr>
                <w:b/>
                <w:bCs/>
                <w:sz w:val="14"/>
                <w:szCs w:val="14"/>
              </w:rPr>
              <w:t>2,561,482</w:t>
            </w:r>
          </w:p>
        </w:tc>
        <w:tc>
          <w:tcPr>
            <w:tcW w:w="993" w:type="dxa"/>
            <w:tcBorders>
              <w:top w:val="nil"/>
              <w:left w:val="single" w:sz="4" w:space="0" w:color="auto"/>
              <w:bottom w:val="nil"/>
              <w:right w:val="single" w:sz="4" w:space="0" w:color="auto"/>
            </w:tcBorders>
            <w:shd w:val="clear" w:color="auto" w:fill="auto"/>
            <w:vAlign w:val="center"/>
            <w:hideMark/>
          </w:tcPr>
          <w:p w14:paraId="6DE728D6" w14:textId="0AB5CB42" w:rsidR="00785B70" w:rsidRPr="00005453" w:rsidRDefault="00785B70" w:rsidP="00785B70">
            <w:pPr>
              <w:jc w:val="right"/>
              <w:rPr>
                <w:b/>
                <w:bCs/>
                <w:sz w:val="14"/>
                <w:szCs w:val="14"/>
                <w:lang w:eastAsia="tr-TR"/>
              </w:rPr>
            </w:pPr>
            <w:r w:rsidRPr="00005453">
              <w:rPr>
                <w:b/>
                <w:bCs/>
                <w:sz w:val="14"/>
                <w:szCs w:val="14"/>
              </w:rPr>
              <w:t>6,688,089</w:t>
            </w:r>
          </w:p>
        </w:tc>
      </w:tr>
      <w:tr w:rsidR="00785B70" w:rsidRPr="00005453" w14:paraId="5C8BEDC5"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74DD98F0"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XIV.</w:t>
            </w:r>
          </w:p>
        </w:tc>
        <w:tc>
          <w:tcPr>
            <w:tcW w:w="3118" w:type="dxa"/>
            <w:tcBorders>
              <w:top w:val="nil"/>
              <w:left w:val="single" w:sz="4" w:space="0" w:color="auto"/>
              <w:bottom w:val="nil"/>
              <w:right w:val="single" w:sz="4" w:space="0" w:color="auto"/>
            </w:tcBorders>
            <w:shd w:val="clear" w:color="auto" w:fill="auto"/>
            <w:hideMark/>
          </w:tcPr>
          <w:p w14:paraId="74412C04"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hideMark/>
          </w:tcPr>
          <w:p w14:paraId="034286F9" w14:textId="21C85E89" w:rsidR="00785B70" w:rsidRPr="00005453" w:rsidRDefault="00785B70" w:rsidP="00785B70">
            <w:pPr>
              <w:jc w:val="center"/>
              <w:rPr>
                <w:b/>
                <w:bCs/>
                <w:color w:val="000000"/>
                <w:sz w:val="14"/>
                <w:szCs w:val="14"/>
                <w:lang w:eastAsia="tr-TR"/>
              </w:rPr>
            </w:pPr>
            <w:r w:rsidRPr="00005453">
              <w:rPr>
                <w:b/>
                <w:bCs/>
                <w:color w:val="000000"/>
                <w:sz w:val="14"/>
                <w:szCs w:val="14"/>
                <w:lang w:eastAsia="tr-TR"/>
              </w:rPr>
              <w:t>(5.2.12.)</w:t>
            </w:r>
          </w:p>
        </w:tc>
        <w:tc>
          <w:tcPr>
            <w:tcW w:w="851" w:type="dxa"/>
            <w:tcBorders>
              <w:top w:val="nil"/>
              <w:left w:val="single" w:sz="4" w:space="0" w:color="auto"/>
              <w:bottom w:val="nil"/>
              <w:right w:val="single" w:sz="4" w:space="0" w:color="auto"/>
            </w:tcBorders>
            <w:shd w:val="clear" w:color="auto" w:fill="auto"/>
            <w:vAlign w:val="center"/>
            <w:hideMark/>
          </w:tcPr>
          <w:p w14:paraId="2A40B921" w14:textId="006DF62D" w:rsidR="00785B70" w:rsidRPr="00005453" w:rsidRDefault="00785B70" w:rsidP="00785B70">
            <w:pPr>
              <w:jc w:val="right"/>
              <w:rPr>
                <w:b/>
                <w:bCs/>
                <w:sz w:val="14"/>
                <w:szCs w:val="14"/>
              </w:rPr>
            </w:pPr>
            <w:r w:rsidRPr="00005453">
              <w:rPr>
                <w:b/>
                <w:bCs/>
                <w:sz w:val="14"/>
                <w:szCs w:val="18"/>
              </w:rPr>
              <w:t>81,954,307</w:t>
            </w:r>
          </w:p>
        </w:tc>
        <w:tc>
          <w:tcPr>
            <w:tcW w:w="851" w:type="dxa"/>
            <w:tcBorders>
              <w:top w:val="nil"/>
              <w:left w:val="single" w:sz="4" w:space="0" w:color="auto"/>
              <w:bottom w:val="nil"/>
              <w:right w:val="single" w:sz="4" w:space="0" w:color="auto"/>
            </w:tcBorders>
            <w:shd w:val="clear" w:color="auto" w:fill="auto"/>
            <w:vAlign w:val="center"/>
            <w:hideMark/>
          </w:tcPr>
          <w:p w14:paraId="100AE316" w14:textId="6455538C" w:rsidR="00785B70" w:rsidRPr="00005453" w:rsidRDefault="00785B70" w:rsidP="00785B70">
            <w:pPr>
              <w:jc w:val="right"/>
              <w:rPr>
                <w:b/>
                <w:bCs/>
                <w:sz w:val="14"/>
                <w:szCs w:val="14"/>
              </w:rPr>
            </w:pPr>
            <w:r w:rsidRPr="00005453">
              <w:rPr>
                <w:b/>
                <w:bCs/>
                <w:sz w:val="14"/>
                <w:szCs w:val="18"/>
              </w:rPr>
              <w:t>273,187</w:t>
            </w:r>
          </w:p>
        </w:tc>
        <w:tc>
          <w:tcPr>
            <w:tcW w:w="991" w:type="dxa"/>
            <w:tcBorders>
              <w:top w:val="nil"/>
              <w:left w:val="single" w:sz="4" w:space="0" w:color="auto"/>
              <w:bottom w:val="nil"/>
              <w:right w:val="single" w:sz="4" w:space="0" w:color="auto"/>
            </w:tcBorders>
            <w:shd w:val="clear" w:color="auto" w:fill="auto"/>
            <w:vAlign w:val="center"/>
            <w:hideMark/>
          </w:tcPr>
          <w:p w14:paraId="0CB68109" w14:textId="2F3B97A5" w:rsidR="00785B70" w:rsidRPr="00005453" w:rsidRDefault="00785B70" w:rsidP="00785B70">
            <w:pPr>
              <w:jc w:val="right"/>
              <w:rPr>
                <w:b/>
                <w:bCs/>
                <w:sz w:val="14"/>
                <w:szCs w:val="14"/>
              </w:rPr>
            </w:pPr>
            <w:r w:rsidRPr="00005453">
              <w:rPr>
                <w:b/>
                <w:bCs/>
                <w:sz w:val="14"/>
                <w:szCs w:val="18"/>
              </w:rPr>
              <w:t>82,227,494</w:t>
            </w:r>
          </w:p>
        </w:tc>
        <w:tc>
          <w:tcPr>
            <w:tcW w:w="851" w:type="dxa"/>
            <w:tcBorders>
              <w:top w:val="nil"/>
              <w:left w:val="single" w:sz="4" w:space="0" w:color="auto"/>
              <w:bottom w:val="nil"/>
              <w:right w:val="single" w:sz="4" w:space="0" w:color="auto"/>
            </w:tcBorders>
            <w:shd w:val="clear" w:color="auto" w:fill="auto"/>
            <w:vAlign w:val="center"/>
            <w:hideMark/>
          </w:tcPr>
          <w:p w14:paraId="5080F908" w14:textId="63B416A7" w:rsidR="00785B70" w:rsidRPr="00005453" w:rsidRDefault="00785B70" w:rsidP="00785B70">
            <w:pPr>
              <w:jc w:val="right"/>
              <w:rPr>
                <w:b/>
                <w:bCs/>
                <w:sz w:val="14"/>
                <w:szCs w:val="14"/>
                <w:lang w:eastAsia="tr-TR"/>
              </w:rPr>
            </w:pPr>
            <w:r w:rsidRPr="00005453">
              <w:rPr>
                <w:b/>
                <w:bCs/>
                <w:sz w:val="14"/>
                <w:szCs w:val="14"/>
              </w:rPr>
              <w:t>47,752,551</w:t>
            </w:r>
          </w:p>
        </w:tc>
        <w:tc>
          <w:tcPr>
            <w:tcW w:w="850" w:type="dxa"/>
            <w:tcBorders>
              <w:top w:val="nil"/>
              <w:left w:val="single" w:sz="4" w:space="0" w:color="auto"/>
              <w:bottom w:val="nil"/>
              <w:right w:val="single" w:sz="4" w:space="0" w:color="auto"/>
            </w:tcBorders>
            <w:shd w:val="clear" w:color="auto" w:fill="auto"/>
            <w:vAlign w:val="center"/>
            <w:hideMark/>
          </w:tcPr>
          <w:p w14:paraId="7EDE7BAC" w14:textId="403E5672" w:rsidR="00785B70" w:rsidRPr="00005453" w:rsidRDefault="00785B70" w:rsidP="00785B70">
            <w:pPr>
              <w:jc w:val="right"/>
              <w:rPr>
                <w:b/>
                <w:bCs/>
                <w:sz w:val="14"/>
                <w:szCs w:val="14"/>
                <w:lang w:eastAsia="tr-TR"/>
              </w:rPr>
            </w:pPr>
            <w:r w:rsidRPr="00005453">
              <w:rPr>
                <w:b/>
                <w:bCs/>
                <w:sz w:val="14"/>
                <w:szCs w:val="14"/>
              </w:rPr>
              <w:t>233,137</w:t>
            </w:r>
          </w:p>
        </w:tc>
        <w:tc>
          <w:tcPr>
            <w:tcW w:w="993" w:type="dxa"/>
            <w:tcBorders>
              <w:top w:val="nil"/>
              <w:left w:val="single" w:sz="4" w:space="0" w:color="auto"/>
              <w:bottom w:val="nil"/>
              <w:right w:val="single" w:sz="4" w:space="0" w:color="auto"/>
            </w:tcBorders>
            <w:shd w:val="clear" w:color="auto" w:fill="auto"/>
            <w:vAlign w:val="center"/>
            <w:hideMark/>
          </w:tcPr>
          <w:p w14:paraId="383B7889" w14:textId="08EB10C0" w:rsidR="00785B70" w:rsidRPr="00005453" w:rsidRDefault="00785B70" w:rsidP="00785B70">
            <w:pPr>
              <w:jc w:val="right"/>
              <w:rPr>
                <w:b/>
                <w:bCs/>
                <w:sz w:val="14"/>
                <w:szCs w:val="14"/>
                <w:lang w:eastAsia="tr-TR"/>
              </w:rPr>
            </w:pPr>
            <w:r w:rsidRPr="00005453">
              <w:rPr>
                <w:b/>
                <w:bCs/>
                <w:sz w:val="14"/>
                <w:szCs w:val="14"/>
              </w:rPr>
              <w:t>47,985,688</w:t>
            </w:r>
          </w:p>
        </w:tc>
      </w:tr>
      <w:tr w:rsidR="00785B70" w:rsidRPr="00005453" w14:paraId="7F58DED6" w14:textId="77777777" w:rsidTr="00785B70">
        <w:trPr>
          <w:divId w:val="248657329"/>
          <w:trHeight w:val="132"/>
        </w:trPr>
        <w:tc>
          <w:tcPr>
            <w:tcW w:w="525" w:type="dxa"/>
            <w:tcBorders>
              <w:top w:val="nil"/>
              <w:left w:val="single" w:sz="4" w:space="0" w:color="auto"/>
              <w:bottom w:val="nil"/>
              <w:right w:val="single" w:sz="4" w:space="0" w:color="auto"/>
            </w:tcBorders>
            <w:shd w:val="clear" w:color="auto" w:fill="auto"/>
            <w:noWrap/>
            <w:hideMark/>
          </w:tcPr>
          <w:p w14:paraId="7F2D7BC6" w14:textId="77777777" w:rsidR="00785B70" w:rsidRPr="00005453" w:rsidRDefault="00785B70" w:rsidP="00785B70">
            <w:pPr>
              <w:rPr>
                <w:color w:val="000000"/>
                <w:sz w:val="14"/>
                <w:szCs w:val="14"/>
                <w:lang w:eastAsia="tr-TR"/>
              </w:rPr>
            </w:pPr>
            <w:r w:rsidRPr="00005453">
              <w:rPr>
                <w:color w:val="000000"/>
                <w:sz w:val="14"/>
                <w:szCs w:val="14"/>
                <w:lang w:eastAsia="tr-TR"/>
              </w:rPr>
              <w:t>14.1.</w:t>
            </w:r>
          </w:p>
        </w:tc>
        <w:tc>
          <w:tcPr>
            <w:tcW w:w="3118" w:type="dxa"/>
            <w:tcBorders>
              <w:top w:val="nil"/>
              <w:left w:val="single" w:sz="4" w:space="0" w:color="auto"/>
              <w:bottom w:val="nil"/>
              <w:right w:val="single" w:sz="4" w:space="0" w:color="auto"/>
            </w:tcBorders>
            <w:shd w:val="clear" w:color="auto" w:fill="auto"/>
            <w:noWrap/>
            <w:hideMark/>
          </w:tcPr>
          <w:p w14:paraId="0EF259A3" w14:textId="77777777" w:rsidR="00785B70" w:rsidRPr="00005453" w:rsidRDefault="00785B70" w:rsidP="00785B70">
            <w:pPr>
              <w:rPr>
                <w:color w:val="000000"/>
                <w:sz w:val="14"/>
                <w:szCs w:val="14"/>
                <w:lang w:eastAsia="tr-TR"/>
              </w:rPr>
            </w:pPr>
            <w:r w:rsidRPr="00005453">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hideMark/>
          </w:tcPr>
          <w:p w14:paraId="02657BB0"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A46CEA1" w14:textId="491B7E00" w:rsidR="00785B70" w:rsidRPr="00005453" w:rsidRDefault="00785B70" w:rsidP="00785B70">
            <w:pPr>
              <w:jc w:val="right"/>
              <w:rPr>
                <w:bCs/>
                <w:sz w:val="14"/>
                <w:szCs w:val="14"/>
              </w:rPr>
            </w:pPr>
            <w:r w:rsidRPr="00005453">
              <w:rPr>
                <w:sz w:val="14"/>
                <w:szCs w:val="18"/>
              </w:rPr>
              <w:t>4,947,336</w:t>
            </w:r>
          </w:p>
        </w:tc>
        <w:tc>
          <w:tcPr>
            <w:tcW w:w="851" w:type="dxa"/>
            <w:tcBorders>
              <w:top w:val="nil"/>
              <w:left w:val="single" w:sz="4" w:space="0" w:color="auto"/>
              <w:bottom w:val="nil"/>
              <w:right w:val="single" w:sz="4" w:space="0" w:color="auto"/>
            </w:tcBorders>
            <w:shd w:val="clear" w:color="auto" w:fill="auto"/>
            <w:vAlign w:val="center"/>
            <w:hideMark/>
          </w:tcPr>
          <w:p w14:paraId="5971B91A" w14:textId="0BFA4929"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AD6F745" w14:textId="634F187A" w:rsidR="00785B70" w:rsidRPr="00005453" w:rsidRDefault="00785B70" w:rsidP="00785B70">
            <w:pPr>
              <w:jc w:val="right"/>
              <w:rPr>
                <w:bCs/>
                <w:sz w:val="14"/>
                <w:szCs w:val="14"/>
              </w:rPr>
            </w:pPr>
            <w:r w:rsidRPr="00005453">
              <w:rPr>
                <w:sz w:val="14"/>
                <w:szCs w:val="18"/>
              </w:rPr>
              <w:t>4,947,336</w:t>
            </w:r>
          </w:p>
        </w:tc>
        <w:tc>
          <w:tcPr>
            <w:tcW w:w="851" w:type="dxa"/>
            <w:tcBorders>
              <w:top w:val="nil"/>
              <w:left w:val="single" w:sz="4" w:space="0" w:color="auto"/>
              <w:bottom w:val="nil"/>
              <w:right w:val="single" w:sz="4" w:space="0" w:color="auto"/>
            </w:tcBorders>
            <w:shd w:val="clear" w:color="auto" w:fill="auto"/>
            <w:vAlign w:val="center"/>
            <w:hideMark/>
          </w:tcPr>
          <w:p w14:paraId="23D90502" w14:textId="1EFFEAC7" w:rsidR="00785B70" w:rsidRPr="00005453" w:rsidRDefault="00785B70" w:rsidP="00785B70">
            <w:pPr>
              <w:jc w:val="right"/>
              <w:rPr>
                <w:sz w:val="14"/>
                <w:szCs w:val="14"/>
                <w:lang w:eastAsia="tr-TR"/>
              </w:rPr>
            </w:pPr>
            <w:r w:rsidRPr="00005453">
              <w:rPr>
                <w:bCs/>
                <w:sz w:val="14"/>
                <w:szCs w:val="14"/>
              </w:rPr>
              <w:t>4,595,131</w:t>
            </w:r>
          </w:p>
        </w:tc>
        <w:tc>
          <w:tcPr>
            <w:tcW w:w="850" w:type="dxa"/>
            <w:tcBorders>
              <w:top w:val="nil"/>
              <w:left w:val="single" w:sz="4" w:space="0" w:color="auto"/>
              <w:bottom w:val="nil"/>
              <w:right w:val="single" w:sz="4" w:space="0" w:color="auto"/>
            </w:tcBorders>
            <w:shd w:val="clear" w:color="auto" w:fill="auto"/>
            <w:vAlign w:val="center"/>
            <w:hideMark/>
          </w:tcPr>
          <w:p w14:paraId="57A1E9C7" w14:textId="259E2728"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9925F24" w14:textId="1CA2E2BF" w:rsidR="00785B70" w:rsidRPr="00005453" w:rsidRDefault="00785B70" w:rsidP="00785B70">
            <w:pPr>
              <w:jc w:val="right"/>
              <w:rPr>
                <w:sz w:val="14"/>
                <w:szCs w:val="14"/>
                <w:lang w:eastAsia="tr-TR"/>
              </w:rPr>
            </w:pPr>
            <w:r w:rsidRPr="00005453">
              <w:rPr>
                <w:bCs/>
                <w:sz w:val="14"/>
                <w:szCs w:val="14"/>
              </w:rPr>
              <w:t>4,595,131</w:t>
            </w:r>
          </w:p>
        </w:tc>
      </w:tr>
      <w:tr w:rsidR="00785B70" w:rsidRPr="00005453" w14:paraId="5D8B7A9B"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0F69B434" w14:textId="77777777" w:rsidR="00785B70" w:rsidRPr="00005453" w:rsidRDefault="00785B70" w:rsidP="00785B70">
            <w:pPr>
              <w:rPr>
                <w:color w:val="000000"/>
                <w:sz w:val="14"/>
                <w:szCs w:val="14"/>
                <w:lang w:eastAsia="tr-TR"/>
              </w:rPr>
            </w:pPr>
            <w:r w:rsidRPr="00005453">
              <w:rPr>
                <w:color w:val="000000"/>
                <w:sz w:val="14"/>
                <w:szCs w:val="14"/>
                <w:lang w:eastAsia="tr-TR"/>
              </w:rPr>
              <w:t>14.2.</w:t>
            </w:r>
          </w:p>
        </w:tc>
        <w:tc>
          <w:tcPr>
            <w:tcW w:w="3118" w:type="dxa"/>
            <w:tcBorders>
              <w:top w:val="nil"/>
              <w:left w:val="single" w:sz="4" w:space="0" w:color="auto"/>
              <w:bottom w:val="nil"/>
              <w:right w:val="single" w:sz="4" w:space="0" w:color="auto"/>
            </w:tcBorders>
            <w:shd w:val="clear" w:color="auto" w:fill="auto"/>
            <w:noWrap/>
            <w:hideMark/>
          </w:tcPr>
          <w:p w14:paraId="6532D720" w14:textId="77777777" w:rsidR="00785B70" w:rsidRPr="00005453" w:rsidRDefault="00785B70" w:rsidP="00785B70">
            <w:pPr>
              <w:rPr>
                <w:color w:val="000000"/>
                <w:sz w:val="14"/>
                <w:szCs w:val="14"/>
                <w:lang w:eastAsia="tr-TR"/>
              </w:rPr>
            </w:pPr>
            <w:r w:rsidRPr="00005453">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hideMark/>
          </w:tcPr>
          <w:p w14:paraId="6A73D538"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8C7A313" w14:textId="5A9C246D" w:rsidR="00785B70" w:rsidRPr="00005453" w:rsidRDefault="00785B70" w:rsidP="00785B70">
            <w:pPr>
              <w:jc w:val="right"/>
              <w:rPr>
                <w:bCs/>
                <w:sz w:val="14"/>
                <w:szCs w:val="14"/>
              </w:rPr>
            </w:pPr>
            <w:r w:rsidRPr="00005453">
              <w:rPr>
                <w:sz w:val="14"/>
                <w:szCs w:val="18"/>
              </w:rPr>
              <w:t>6,375,380</w:t>
            </w:r>
          </w:p>
        </w:tc>
        <w:tc>
          <w:tcPr>
            <w:tcW w:w="851" w:type="dxa"/>
            <w:tcBorders>
              <w:top w:val="nil"/>
              <w:left w:val="single" w:sz="4" w:space="0" w:color="auto"/>
              <w:bottom w:val="nil"/>
              <w:right w:val="single" w:sz="4" w:space="0" w:color="auto"/>
            </w:tcBorders>
            <w:shd w:val="clear" w:color="auto" w:fill="auto"/>
            <w:vAlign w:val="center"/>
            <w:hideMark/>
          </w:tcPr>
          <w:p w14:paraId="1DC81906" w14:textId="140E4CA2"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2074BE3E" w14:textId="78BD065F" w:rsidR="00785B70" w:rsidRPr="00005453" w:rsidRDefault="00785B70" w:rsidP="00785B70">
            <w:pPr>
              <w:jc w:val="right"/>
              <w:rPr>
                <w:bCs/>
                <w:sz w:val="14"/>
                <w:szCs w:val="14"/>
              </w:rPr>
            </w:pPr>
            <w:r w:rsidRPr="00005453">
              <w:rPr>
                <w:sz w:val="14"/>
                <w:szCs w:val="18"/>
              </w:rPr>
              <w:t>6,375,380</w:t>
            </w:r>
          </w:p>
        </w:tc>
        <w:tc>
          <w:tcPr>
            <w:tcW w:w="851" w:type="dxa"/>
            <w:tcBorders>
              <w:top w:val="nil"/>
              <w:left w:val="single" w:sz="4" w:space="0" w:color="auto"/>
              <w:bottom w:val="nil"/>
              <w:right w:val="single" w:sz="4" w:space="0" w:color="auto"/>
            </w:tcBorders>
            <w:shd w:val="clear" w:color="auto" w:fill="auto"/>
            <w:vAlign w:val="center"/>
            <w:hideMark/>
          </w:tcPr>
          <w:p w14:paraId="39B319CE" w14:textId="76CC63F0" w:rsidR="00785B70" w:rsidRPr="00005453" w:rsidRDefault="00785B70" w:rsidP="00785B70">
            <w:pPr>
              <w:jc w:val="right"/>
              <w:rPr>
                <w:sz w:val="14"/>
                <w:szCs w:val="14"/>
                <w:lang w:eastAsia="tr-TR"/>
              </w:rPr>
            </w:pPr>
            <w:r w:rsidRPr="00005453">
              <w:rPr>
                <w:bCs/>
                <w:sz w:val="14"/>
                <w:szCs w:val="14"/>
              </w:rPr>
              <w:t>25,124</w:t>
            </w:r>
          </w:p>
        </w:tc>
        <w:tc>
          <w:tcPr>
            <w:tcW w:w="850" w:type="dxa"/>
            <w:tcBorders>
              <w:top w:val="nil"/>
              <w:left w:val="single" w:sz="4" w:space="0" w:color="auto"/>
              <w:bottom w:val="nil"/>
              <w:right w:val="single" w:sz="4" w:space="0" w:color="auto"/>
            </w:tcBorders>
            <w:shd w:val="clear" w:color="auto" w:fill="auto"/>
            <w:vAlign w:val="center"/>
            <w:hideMark/>
          </w:tcPr>
          <w:p w14:paraId="26F1C00A" w14:textId="45437090"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3610F0F" w14:textId="4F40A7B1" w:rsidR="00785B70" w:rsidRPr="00005453" w:rsidRDefault="00785B70" w:rsidP="00785B70">
            <w:pPr>
              <w:jc w:val="right"/>
              <w:rPr>
                <w:sz w:val="14"/>
                <w:szCs w:val="14"/>
                <w:lang w:eastAsia="tr-TR"/>
              </w:rPr>
            </w:pPr>
            <w:r w:rsidRPr="00005453">
              <w:rPr>
                <w:bCs/>
                <w:sz w:val="14"/>
                <w:szCs w:val="14"/>
              </w:rPr>
              <w:t>25,124</w:t>
            </w:r>
          </w:p>
        </w:tc>
      </w:tr>
      <w:tr w:rsidR="00785B70" w:rsidRPr="00005453" w14:paraId="3FA405BD"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4AEB6313" w14:textId="77777777" w:rsidR="00785B70" w:rsidRPr="00005453" w:rsidRDefault="00785B70" w:rsidP="00785B70">
            <w:pPr>
              <w:rPr>
                <w:color w:val="000000"/>
                <w:sz w:val="14"/>
                <w:szCs w:val="14"/>
                <w:lang w:eastAsia="tr-TR"/>
              </w:rPr>
            </w:pPr>
            <w:r w:rsidRPr="00005453">
              <w:rPr>
                <w:color w:val="000000"/>
                <w:sz w:val="14"/>
                <w:szCs w:val="14"/>
                <w:lang w:eastAsia="tr-TR"/>
              </w:rPr>
              <w:t>14.2.1.</w:t>
            </w:r>
          </w:p>
        </w:tc>
        <w:tc>
          <w:tcPr>
            <w:tcW w:w="3118" w:type="dxa"/>
            <w:tcBorders>
              <w:top w:val="nil"/>
              <w:left w:val="single" w:sz="4" w:space="0" w:color="auto"/>
              <w:bottom w:val="nil"/>
              <w:right w:val="single" w:sz="4" w:space="0" w:color="auto"/>
            </w:tcBorders>
            <w:shd w:val="clear" w:color="auto" w:fill="auto"/>
            <w:noWrap/>
            <w:hideMark/>
          </w:tcPr>
          <w:p w14:paraId="4344B6C7" w14:textId="77777777" w:rsidR="00785B70" w:rsidRPr="00005453" w:rsidRDefault="00785B70" w:rsidP="00785B70">
            <w:pPr>
              <w:rPr>
                <w:color w:val="000000"/>
                <w:sz w:val="14"/>
                <w:szCs w:val="14"/>
                <w:lang w:eastAsia="tr-TR"/>
              </w:rPr>
            </w:pPr>
            <w:r w:rsidRPr="00005453">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hideMark/>
          </w:tcPr>
          <w:p w14:paraId="3E24D931"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6AD1208" w14:textId="5048DD32" w:rsidR="00785B70" w:rsidRPr="00005453" w:rsidRDefault="00785B70" w:rsidP="00785B70">
            <w:pPr>
              <w:jc w:val="right"/>
              <w:rPr>
                <w:bCs/>
                <w:sz w:val="14"/>
                <w:szCs w:val="14"/>
              </w:rPr>
            </w:pPr>
            <w:r w:rsidRPr="00005453">
              <w:rPr>
                <w:sz w:val="14"/>
                <w:szCs w:val="18"/>
              </w:rPr>
              <w:t>6,373,506</w:t>
            </w:r>
          </w:p>
        </w:tc>
        <w:tc>
          <w:tcPr>
            <w:tcW w:w="851" w:type="dxa"/>
            <w:tcBorders>
              <w:top w:val="nil"/>
              <w:left w:val="single" w:sz="4" w:space="0" w:color="auto"/>
              <w:bottom w:val="nil"/>
              <w:right w:val="single" w:sz="4" w:space="0" w:color="auto"/>
            </w:tcBorders>
            <w:shd w:val="clear" w:color="auto" w:fill="auto"/>
            <w:vAlign w:val="center"/>
            <w:hideMark/>
          </w:tcPr>
          <w:p w14:paraId="58997F97" w14:textId="2F3585A6"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13C0B706" w14:textId="5C0770BF" w:rsidR="00785B70" w:rsidRPr="00005453" w:rsidRDefault="00785B70" w:rsidP="00785B70">
            <w:pPr>
              <w:jc w:val="right"/>
              <w:rPr>
                <w:bCs/>
                <w:sz w:val="14"/>
                <w:szCs w:val="14"/>
              </w:rPr>
            </w:pPr>
            <w:r w:rsidRPr="00005453">
              <w:rPr>
                <w:sz w:val="14"/>
                <w:szCs w:val="18"/>
              </w:rPr>
              <w:t>6,373,506</w:t>
            </w:r>
          </w:p>
        </w:tc>
        <w:tc>
          <w:tcPr>
            <w:tcW w:w="851" w:type="dxa"/>
            <w:tcBorders>
              <w:top w:val="nil"/>
              <w:left w:val="single" w:sz="4" w:space="0" w:color="auto"/>
              <w:bottom w:val="nil"/>
              <w:right w:val="single" w:sz="4" w:space="0" w:color="auto"/>
            </w:tcBorders>
            <w:shd w:val="clear" w:color="auto" w:fill="auto"/>
            <w:vAlign w:val="center"/>
            <w:hideMark/>
          </w:tcPr>
          <w:p w14:paraId="633A1B9F" w14:textId="5FF30722" w:rsidR="00785B70" w:rsidRPr="00005453" w:rsidRDefault="00785B70" w:rsidP="00785B70">
            <w:pPr>
              <w:jc w:val="right"/>
              <w:rPr>
                <w:sz w:val="14"/>
                <w:szCs w:val="14"/>
                <w:lang w:eastAsia="tr-TR"/>
              </w:rPr>
            </w:pPr>
            <w:r w:rsidRPr="00005453">
              <w:rPr>
                <w:bCs/>
                <w:sz w:val="14"/>
                <w:szCs w:val="14"/>
              </w:rPr>
              <w:t>23,250</w:t>
            </w:r>
          </w:p>
        </w:tc>
        <w:tc>
          <w:tcPr>
            <w:tcW w:w="850" w:type="dxa"/>
            <w:tcBorders>
              <w:top w:val="nil"/>
              <w:left w:val="single" w:sz="4" w:space="0" w:color="auto"/>
              <w:bottom w:val="nil"/>
              <w:right w:val="single" w:sz="4" w:space="0" w:color="auto"/>
            </w:tcBorders>
            <w:shd w:val="clear" w:color="auto" w:fill="auto"/>
            <w:vAlign w:val="center"/>
            <w:hideMark/>
          </w:tcPr>
          <w:p w14:paraId="474296AD" w14:textId="1A65DA17"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609B449C" w14:textId="68528DF6" w:rsidR="00785B70" w:rsidRPr="00005453" w:rsidRDefault="00785B70" w:rsidP="00785B70">
            <w:pPr>
              <w:jc w:val="right"/>
              <w:rPr>
                <w:sz w:val="14"/>
                <w:szCs w:val="14"/>
                <w:lang w:eastAsia="tr-TR"/>
              </w:rPr>
            </w:pPr>
            <w:r w:rsidRPr="00005453">
              <w:rPr>
                <w:bCs/>
                <w:sz w:val="14"/>
                <w:szCs w:val="14"/>
              </w:rPr>
              <w:t>23,250</w:t>
            </w:r>
          </w:p>
        </w:tc>
      </w:tr>
      <w:tr w:rsidR="00785B70" w:rsidRPr="00005453" w14:paraId="29C91341"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127D012C" w14:textId="77777777" w:rsidR="00785B70" w:rsidRPr="00005453" w:rsidRDefault="00785B70" w:rsidP="00785B70">
            <w:pPr>
              <w:rPr>
                <w:color w:val="000000"/>
                <w:sz w:val="14"/>
                <w:szCs w:val="14"/>
                <w:lang w:eastAsia="tr-TR"/>
              </w:rPr>
            </w:pPr>
            <w:r w:rsidRPr="00005453">
              <w:rPr>
                <w:color w:val="000000"/>
                <w:sz w:val="14"/>
                <w:szCs w:val="14"/>
                <w:lang w:eastAsia="tr-TR"/>
              </w:rPr>
              <w:t>14.2.2.</w:t>
            </w:r>
          </w:p>
        </w:tc>
        <w:tc>
          <w:tcPr>
            <w:tcW w:w="3118" w:type="dxa"/>
            <w:tcBorders>
              <w:top w:val="nil"/>
              <w:left w:val="single" w:sz="4" w:space="0" w:color="auto"/>
              <w:bottom w:val="nil"/>
              <w:right w:val="single" w:sz="4" w:space="0" w:color="auto"/>
            </w:tcBorders>
            <w:shd w:val="clear" w:color="auto" w:fill="auto"/>
            <w:noWrap/>
            <w:hideMark/>
          </w:tcPr>
          <w:p w14:paraId="60A2C2D5" w14:textId="77777777" w:rsidR="00785B70" w:rsidRPr="00005453" w:rsidRDefault="00785B70" w:rsidP="00785B70">
            <w:pPr>
              <w:rPr>
                <w:color w:val="000000"/>
                <w:sz w:val="14"/>
                <w:szCs w:val="14"/>
                <w:lang w:eastAsia="tr-TR"/>
              </w:rPr>
            </w:pPr>
            <w:r w:rsidRPr="00005453">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hideMark/>
          </w:tcPr>
          <w:p w14:paraId="5F195B04"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AC58909" w14:textId="74B6D8CB" w:rsidR="00785B70" w:rsidRPr="00005453" w:rsidRDefault="00785B70" w:rsidP="00785B70">
            <w:pPr>
              <w:jc w:val="right"/>
              <w:rPr>
                <w:bCs/>
                <w:sz w:val="14"/>
                <w:szCs w:val="14"/>
              </w:rPr>
            </w:pPr>
            <w:r w:rsidRPr="00005453">
              <w:rPr>
                <w:sz w:val="14"/>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3726FD48" w14:textId="34D81357"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6DCF72EB" w14:textId="77EE96BC" w:rsidR="00785B70" w:rsidRPr="00005453" w:rsidRDefault="00785B70" w:rsidP="00785B70">
            <w:pPr>
              <w:jc w:val="right"/>
              <w:rPr>
                <w:bCs/>
                <w:sz w:val="14"/>
                <w:szCs w:val="14"/>
              </w:rPr>
            </w:pPr>
            <w:r w:rsidRPr="00005453">
              <w:rPr>
                <w:sz w:val="14"/>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4A789150" w14:textId="6EB8CA93" w:rsidR="00785B70" w:rsidRPr="00005453" w:rsidRDefault="00785B70" w:rsidP="00785B70">
            <w:pPr>
              <w:jc w:val="right"/>
              <w:rPr>
                <w:sz w:val="14"/>
                <w:szCs w:val="14"/>
                <w:lang w:eastAsia="tr-TR"/>
              </w:rPr>
            </w:pPr>
            <w:r w:rsidRPr="00005453">
              <w:rPr>
                <w:bCs/>
                <w:sz w:val="14"/>
                <w:szCs w:val="14"/>
              </w:rPr>
              <w:t>1,874</w:t>
            </w:r>
          </w:p>
        </w:tc>
        <w:tc>
          <w:tcPr>
            <w:tcW w:w="850" w:type="dxa"/>
            <w:tcBorders>
              <w:top w:val="nil"/>
              <w:left w:val="single" w:sz="4" w:space="0" w:color="auto"/>
              <w:bottom w:val="nil"/>
              <w:right w:val="single" w:sz="4" w:space="0" w:color="auto"/>
            </w:tcBorders>
            <w:shd w:val="clear" w:color="auto" w:fill="auto"/>
            <w:vAlign w:val="center"/>
            <w:hideMark/>
          </w:tcPr>
          <w:p w14:paraId="0E6B924B" w14:textId="391813F9"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FD7EDC2" w14:textId="367B36C6" w:rsidR="00785B70" w:rsidRPr="00005453" w:rsidRDefault="00785B70" w:rsidP="00785B70">
            <w:pPr>
              <w:jc w:val="right"/>
              <w:rPr>
                <w:sz w:val="14"/>
                <w:szCs w:val="14"/>
                <w:lang w:eastAsia="tr-TR"/>
              </w:rPr>
            </w:pPr>
            <w:r w:rsidRPr="00005453">
              <w:rPr>
                <w:bCs/>
                <w:sz w:val="14"/>
                <w:szCs w:val="14"/>
              </w:rPr>
              <w:t>1,874</w:t>
            </w:r>
          </w:p>
        </w:tc>
      </w:tr>
      <w:tr w:rsidR="00785B70" w:rsidRPr="00005453" w14:paraId="5DDB1725"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21F46E0C" w14:textId="77777777" w:rsidR="00785B70" w:rsidRPr="00005453" w:rsidRDefault="00785B70" w:rsidP="00785B70">
            <w:pPr>
              <w:rPr>
                <w:color w:val="000000"/>
                <w:sz w:val="14"/>
                <w:szCs w:val="14"/>
                <w:lang w:eastAsia="tr-TR"/>
              </w:rPr>
            </w:pPr>
            <w:r w:rsidRPr="00005453">
              <w:rPr>
                <w:color w:val="000000"/>
                <w:sz w:val="14"/>
                <w:szCs w:val="14"/>
                <w:lang w:eastAsia="tr-TR"/>
              </w:rPr>
              <w:t>14.2.3.</w:t>
            </w:r>
          </w:p>
        </w:tc>
        <w:tc>
          <w:tcPr>
            <w:tcW w:w="3118" w:type="dxa"/>
            <w:tcBorders>
              <w:top w:val="nil"/>
              <w:left w:val="single" w:sz="4" w:space="0" w:color="auto"/>
              <w:bottom w:val="nil"/>
              <w:right w:val="single" w:sz="4" w:space="0" w:color="auto"/>
            </w:tcBorders>
            <w:shd w:val="clear" w:color="auto" w:fill="auto"/>
            <w:noWrap/>
            <w:hideMark/>
          </w:tcPr>
          <w:p w14:paraId="392E7623" w14:textId="77777777" w:rsidR="00785B70" w:rsidRPr="00005453" w:rsidRDefault="00785B70" w:rsidP="00785B70">
            <w:pPr>
              <w:rPr>
                <w:color w:val="000000"/>
                <w:sz w:val="14"/>
                <w:szCs w:val="14"/>
                <w:lang w:eastAsia="tr-TR"/>
              </w:rPr>
            </w:pPr>
            <w:r w:rsidRPr="00005453">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hideMark/>
          </w:tcPr>
          <w:p w14:paraId="4676E3E6"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A11B775" w14:textId="4E27A840"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4B7F997" w14:textId="435ED692"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50EEF9E2" w14:textId="318E84E7"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AF53FD2" w14:textId="4DAEB400"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2D9E4AA2" w14:textId="1E285B3E"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CA1FFB2" w14:textId="16206DB5" w:rsidR="00785B70" w:rsidRPr="00005453" w:rsidRDefault="00785B70" w:rsidP="00785B70">
            <w:pPr>
              <w:jc w:val="right"/>
              <w:rPr>
                <w:sz w:val="14"/>
                <w:szCs w:val="14"/>
                <w:lang w:eastAsia="tr-TR"/>
              </w:rPr>
            </w:pPr>
            <w:r w:rsidRPr="00005453">
              <w:rPr>
                <w:bCs/>
                <w:sz w:val="14"/>
                <w:szCs w:val="14"/>
              </w:rPr>
              <w:t>-</w:t>
            </w:r>
          </w:p>
        </w:tc>
      </w:tr>
      <w:tr w:rsidR="00785B70" w:rsidRPr="00005453" w14:paraId="3A7384F2" w14:textId="77777777" w:rsidTr="00785B70">
        <w:trPr>
          <w:divId w:val="248657329"/>
          <w:trHeight w:val="235"/>
        </w:trPr>
        <w:tc>
          <w:tcPr>
            <w:tcW w:w="525" w:type="dxa"/>
            <w:tcBorders>
              <w:top w:val="nil"/>
              <w:left w:val="single" w:sz="4" w:space="0" w:color="auto"/>
              <w:bottom w:val="nil"/>
              <w:right w:val="single" w:sz="4" w:space="0" w:color="auto"/>
            </w:tcBorders>
            <w:shd w:val="clear" w:color="auto" w:fill="auto"/>
            <w:noWrap/>
            <w:hideMark/>
          </w:tcPr>
          <w:p w14:paraId="3913CB39" w14:textId="77777777" w:rsidR="00785B70" w:rsidRPr="00005453" w:rsidRDefault="00785B70" w:rsidP="00785B70">
            <w:pPr>
              <w:rPr>
                <w:color w:val="000000"/>
                <w:sz w:val="14"/>
                <w:szCs w:val="14"/>
                <w:lang w:eastAsia="tr-TR"/>
              </w:rPr>
            </w:pPr>
            <w:r w:rsidRPr="00005453">
              <w:rPr>
                <w:color w:val="000000"/>
                <w:sz w:val="14"/>
                <w:szCs w:val="14"/>
                <w:lang w:eastAsia="tr-TR"/>
              </w:rPr>
              <w:t>14.3.</w:t>
            </w:r>
          </w:p>
        </w:tc>
        <w:tc>
          <w:tcPr>
            <w:tcW w:w="3118" w:type="dxa"/>
            <w:tcBorders>
              <w:top w:val="nil"/>
              <w:left w:val="single" w:sz="4" w:space="0" w:color="auto"/>
              <w:bottom w:val="nil"/>
              <w:right w:val="single" w:sz="4" w:space="0" w:color="auto"/>
            </w:tcBorders>
            <w:shd w:val="clear" w:color="auto" w:fill="auto"/>
            <w:hideMark/>
          </w:tcPr>
          <w:p w14:paraId="476808F2" w14:textId="77777777" w:rsidR="00785B70" w:rsidRPr="00005453" w:rsidRDefault="00785B70" w:rsidP="00785B70">
            <w:pPr>
              <w:rPr>
                <w:color w:val="000000"/>
                <w:sz w:val="14"/>
                <w:szCs w:val="14"/>
                <w:lang w:eastAsia="tr-TR"/>
              </w:rPr>
            </w:pPr>
            <w:r w:rsidRPr="00005453">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7D2C1170"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1EA5FA9D" w14:textId="438D677C" w:rsidR="00785B70" w:rsidRPr="00005453" w:rsidRDefault="00785B70" w:rsidP="00785B70">
            <w:pPr>
              <w:jc w:val="right"/>
              <w:rPr>
                <w:bCs/>
                <w:sz w:val="14"/>
                <w:szCs w:val="14"/>
              </w:rPr>
            </w:pPr>
            <w:r w:rsidRPr="00005453">
              <w:rPr>
                <w:sz w:val="14"/>
                <w:szCs w:val="18"/>
              </w:rPr>
              <w:t>(553,764)</w:t>
            </w:r>
          </w:p>
        </w:tc>
        <w:tc>
          <w:tcPr>
            <w:tcW w:w="851" w:type="dxa"/>
            <w:tcBorders>
              <w:top w:val="nil"/>
              <w:left w:val="single" w:sz="4" w:space="0" w:color="auto"/>
              <w:bottom w:val="nil"/>
              <w:right w:val="single" w:sz="4" w:space="0" w:color="auto"/>
            </w:tcBorders>
            <w:shd w:val="clear" w:color="auto" w:fill="auto"/>
            <w:vAlign w:val="center"/>
            <w:hideMark/>
          </w:tcPr>
          <w:p w14:paraId="608C1580" w14:textId="6A7CCE6D"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921BFBD" w14:textId="51080AD5" w:rsidR="00785B70" w:rsidRPr="00005453" w:rsidRDefault="00785B70" w:rsidP="00785B70">
            <w:pPr>
              <w:jc w:val="right"/>
              <w:rPr>
                <w:bCs/>
                <w:sz w:val="14"/>
                <w:szCs w:val="14"/>
              </w:rPr>
            </w:pPr>
            <w:r w:rsidRPr="00005453">
              <w:rPr>
                <w:sz w:val="14"/>
                <w:szCs w:val="18"/>
              </w:rPr>
              <w:t>(553,764)</w:t>
            </w:r>
          </w:p>
        </w:tc>
        <w:tc>
          <w:tcPr>
            <w:tcW w:w="851" w:type="dxa"/>
            <w:tcBorders>
              <w:top w:val="nil"/>
              <w:left w:val="single" w:sz="4" w:space="0" w:color="auto"/>
              <w:bottom w:val="nil"/>
              <w:right w:val="single" w:sz="4" w:space="0" w:color="auto"/>
            </w:tcBorders>
            <w:shd w:val="clear" w:color="auto" w:fill="auto"/>
            <w:vAlign w:val="center"/>
            <w:hideMark/>
          </w:tcPr>
          <w:p w14:paraId="1EC5B99C" w14:textId="0460AA06" w:rsidR="00785B70" w:rsidRPr="00005453" w:rsidRDefault="00785B70" w:rsidP="00785B70">
            <w:pPr>
              <w:jc w:val="right"/>
              <w:rPr>
                <w:sz w:val="14"/>
                <w:szCs w:val="14"/>
                <w:lang w:eastAsia="tr-TR"/>
              </w:rPr>
            </w:pPr>
            <w:r w:rsidRPr="00005453">
              <w:rPr>
                <w:bCs/>
                <w:sz w:val="14"/>
                <w:szCs w:val="14"/>
              </w:rPr>
              <w:t>(513,980)</w:t>
            </w:r>
          </w:p>
        </w:tc>
        <w:tc>
          <w:tcPr>
            <w:tcW w:w="850" w:type="dxa"/>
            <w:tcBorders>
              <w:top w:val="nil"/>
              <w:left w:val="single" w:sz="4" w:space="0" w:color="auto"/>
              <w:bottom w:val="nil"/>
              <w:right w:val="single" w:sz="4" w:space="0" w:color="auto"/>
            </w:tcBorders>
            <w:shd w:val="clear" w:color="auto" w:fill="auto"/>
            <w:vAlign w:val="center"/>
            <w:hideMark/>
          </w:tcPr>
          <w:p w14:paraId="226E6A91" w14:textId="179B890D"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00FB0ECD" w14:textId="31008D2F" w:rsidR="00785B70" w:rsidRPr="00005453" w:rsidRDefault="00785B70" w:rsidP="00785B70">
            <w:pPr>
              <w:jc w:val="right"/>
              <w:rPr>
                <w:sz w:val="14"/>
                <w:szCs w:val="14"/>
                <w:lang w:eastAsia="tr-TR"/>
              </w:rPr>
            </w:pPr>
            <w:r w:rsidRPr="00005453">
              <w:rPr>
                <w:bCs/>
                <w:sz w:val="14"/>
                <w:szCs w:val="14"/>
              </w:rPr>
              <w:t>(513,980)</w:t>
            </w:r>
          </w:p>
        </w:tc>
      </w:tr>
      <w:tr w:rsidR="00785B70" w:rsidRPr="00005453" w14:paraId="1BB0EA06" w14:textId="77777777" w:rsidTr="00785B70">
        <w:trPr>
          <w:divId w:val="248657329"/>
          <w:trHeight w:val="235"/>
        </w:trPr>
        <w:tc>
          <w:tcPr>
            <w:tcW w:w="525" w:type="dxa"/>
            <w:tcBorders>
              <w:top w:val="nil"/>
              <w:left w:val="single" w:sz="4" w:space="0" w:color="auto"/>
              <w:bottom w:val="nil"/>
              <w:right w:val="single" w:sz="4" w:space="0" w:color="auto"/>
            </w:tcBorders>
            <w:shd w:val="clear" w:color="auto" w:fill="auto"/>
            <w:noWrap/>
            <w:hideMark/>
          </w:tcPr>
          <w:p w14:paraId="7CC013C6" w14:textId="77777777" w:rsidR="00785B70" w:rsidRPr="00005453" w:rsidRDefault="00785B70" w:rsidP="00785B70">
            <w:pPr>
              <w:rPr>
                <w:color w:val="000000"/>
                <w:sz w:val="14"/>
                <w:szCs w:val="14"/>
                <w:lang w:eastAsia="tr-TR"/>
              </w:rPr>
            </w:pPr>
            <w:r w:rsidRPr="00005453">
              <w:rPr>
                <w:color w:val="000000"/>
                <w:sz w:val="14"/>
                <w:szCs w:val="14"/>
                <w:lang w:eastAsia="tr-TR"/>
              </w:rPr>
              <w:t>14.4.</w:t>
            </w:r>
          </w:p>
        </w:tc>
        <w:tc>
          <w:tcPr>
            <w:tcW w:w="3118" w:type="dxa"/>
            <w:tcBorders>
              <w:top w:val="nil"/>
              <w:left w:val="single" w:sz="4" w:space="0" w:color="auto"/>
              <w:bottom w:val="nil"/>
              <w:right w:val="single" w:sz="4" w:space="0" w:color="auto"/>
            </w:tcBorders>
            <w:shd w:val="clear" w:color="auto" w:fill="auto"/>
            <w:hideMark/>
          </w:tcPr>
          <w:p w14:paraId="6FC392C1" w14:textId="77777777" w:rsidR="00785B70" w:rsidRPr="00005453" w:rsidRDefault="00785B70" w:rsidP="00785B70">
            <w:pPr>
              <w:rPr>
                <w:color w:val="000000"/>
                <w:sz w:val="14"/>
                <w:szCs w:val="14"/>
                <w:lang w:eastAsia="tr-TR"/>
              </w:rPr>
            </w:pPr>
            <w:r w:rsidRPr="00005453">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3CE1F1D2"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306DAEF" w14:textId="3C94620C" w:rsidR="00785B70" w:rsidRPr="00005453" w:rsidRDefault="00785B70" w:rsidP="00785B70">
            <w:pPr>
              <w:jc w:val="right"/>
              <w:rPr>
                <w:bCs/>
                <w:sz w:val="14"/>
                <w:szCs w:val="14"/>
              </w:rPr>
            </w:pPr>
            <w:r w:rsidRPr="00005453">
              <w:rPr>
                <w:sz w:val="14"/>
                <w:szCs w:val="18"/>
              </w:rPr>
              <w:t>(5,732,435)</w:t>
            </w:r>
          </w:p>
        </w:tc>
        <w:tc>
          <w:tcPr>
            <w:tcW w:w="851" w:type="dxa"/>
            <w:tcBorders>
              <w:top w:val="nil"/>
              <w:left w:val="single" w:sz="4" w:space="0" w:color="auto"/>
              <w:bottom w:val="nil"/>
              <w:right w:val="single" w:sz="4" w:space="0" w:color="auto"/>
            </w:tcBorders>
            <w:shd w:val="clear" w:color="auto" w:fill="auto"/>
            <w:vAlign w:val="center"/>
            <w:hideMark/>
          </w:tcPr>
          <w:p w14:paraId="7909CDE6" w14:textId="585B6563" w:rsidR="00785B70" w:rsidRPr="00005453" w:rsidRDefault="00785B70" w:rsidP="00785B70">
            <w:pPr>
              <w:jc w:val="right"/>
              <w:rPr>
                <w:bCs/>
                <w:sz w:val="14"/>
                <w:szCs w:val="14"/>
              </w:rPr>
            </w:pPr>
            <w:r w:rsidRPr="00005453">
              <w:rPr>
                <w:sz w:val="14"/>
                <w:szCs w:val="18"/>
              </w:rPr>
              <w:t>273,187</w:t>
            </w:r>
          </w:p>
        </w:tc>
        <w:tc>
          <w:tcPr>
            <w:tcW w:w="991" w:type="dxa"/>
            <w:tcBorders>
              <w:top w:val="nil"/>
              <w:left w:val="single" w:sz="4" w:space="0" w:color="auto"/>
              <w:bottom w:val="nil"/>
              <w:right w:val="single" w:sz="4" w:space="0" w:color="auto"/>
            </w:tcBorders>
            <w:shd w:val="clear" w:color="auto" w:fill="auto"/>
            <w:vAlign w:val="center"/>
            <w:hideMark/>
          </w:tcPr>
          <w:p w14:paraId="082CF0E9" w14:textId="454D61B4" w:rsidR="00785B70" w:rsidRPr="00005453" w:rsidRDefault="00785B70" w:rsidP="00785B70">
            <w:pPr>
              <w:jc w:val="right"/>
              <w:rPr>
                <w:bCs/>
                <w:sz w:val="14"/>
                <w:szCs w:val="14"/>
              </w:rPr>
            </w:pPr>
            <w:r w:rsidRPr="00005453">
              <w:rPr>
                <w:sz w:val="14"/>
                <w:szCs w:val="18"/>
              </w:rPr>
              <w:t>(5,459,248)</w:t>
            </w:r>
          </w:p>
        </w:tc>
        <w:tc>
          <w:tcPr>
            <w:tcW w:w="851" w:type="dxa"/>
            <w:tcBorders>
              <w:top w:val="nil"/>
              <w:left w:val="single" w:sz="4" w:space="0" w:color="auto"/>
              <w:bottom w:val="nil"/>
              <w:right w:val="single" w:sz="4" w:space="0" w:color="auto"/>
            </w:tcBorders>
            <w:shd w:val="clear" w:color="auto" w:fill="auto"/>
            <w:vAlign w:val="center"/>
            <w:hideMark/>
          </w:tcPr>
          <w:p w14:paraId="3F22D3F7" w14:textId="75EC982A" w:rsidR="00785B70" w:rsidRPr="00005453" w:rsidRDefault="00785B70" w:rsidP="00785B70">
            <w:pPr>
              <w:jc w:val="right"/>
              <w:rPr>
                <w:sz w:val="14"/>
                <w:szCs w:val="14"/>
                <w:lang w:eastAsia="tr-TR"/>
              </w:rPr>
            </w:pPr>
            <w:r w:rsidRPr="00005453">
              <w:rPr>
                <w:bCs/>
                <w:sz w:val="14"/>
                <w:szCs w:val="14"/>
              </w:rPr>
              <w:t>(1,277,616)</w:t>
            </w:r>
          </w:p>
        </w:tc>
        <w:tc>
          <w:tcPr>
            <w:tcW w:w="850" w:type="dxa"/>
            <w:tcBorders>
              <w:top w:val="nil"/>
              <w:left w:val="single" w:sz="4" w:space="0" w:color="auto"/>
              <w:bottom w:val="nil"/>
              <w:right w:val="single" w:sz="4" w:space="0" w:color="auto"/>
            </w:tcBorders>
            <w:shd w:val="clear" w:color="auto" w:fill="auto"/>
            <w:vAlign w:val="center"/>
            <w:hideMark/>
          </w:tcPr>
          <w:p w14:paraId="362A82D9" w14:textId="78ED9B3B" w:rsidR="00785B70" w:rsidRPr="00005453" w:rsidRDefault="00785B70" w:rsidP="00785B70">
            <w:pPr>
              <w:jc w:val="right"/>
              <w:rPr>
                <w:sz w:val="14"/>
                <w:szCs w:val="14"/>
                <w:lang w:eastAsia="tr-TR"/>
              </w:rPr>
            </w:pPr>
            <w:r w:rsidRPr="00005453">
              <w:rPr>
                <w:bCs/>
                <w:sz w:val="14"/>
                <w:szCs w:val="14"/>
              </w:rPr>
              <w:t>233,137</w:t>
            </w:r>
          </w:p>
        </w:tc>
        <w:tc>
          <w:tcPr>
            <w:tcW w:w="993" w:type="dxa"/>
            <w:tcBorders>
              <w:top w:val="nil"/>
              <w:left w:val="single" w:sz="4" w:space="0" w:color="auto"/>
              <w:bottom w:val="nil"/>
              <w:right w:val="single" w:sz="4" w:space="0" w:color="auto"/>
            </w:tcBorders>
            <w:shd w:val="clear" w:color="auto" w:fill="auto"/>
            <w:vAlign w:val="center"/>
            <w:hideMark/>
          </w:tcPr>
          <w:p w14:paraId="17EA89B0" w14:textId="3401A145" w:rsidR="00785B70" w:rsidRPr="00005453" w:rsidRDefault="00785B70" w:rsidP="00785B70">
            <w:pPr>
              <w:jc w:val="right"/>
              <w:rPr>
                <w:sz w:val="14"/>
                <w:szCs w:val="14"/>
                <w:lang w:eastAsia="tr-TR"/>
              </w:rPr>
            </w:pPr>
            <w:r w:rsidRPr="00005453">
              <w:rPr>
                <w:bCs/>
                <w:sz w:val="14"/>
                <w:szCs w:val="14"/>
              </w:rPr>
              <w:t>(1,044,479)</w:t>
            </w:r>
          </w:p>
        </w:tc>
      </w:tr>
      <w:tr w:rsidR="00785B70" w:rsidRPr="00005453" w14:paraId="44F1CACC"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6D0EADC9" w14:textId="77777777" w:rsidR="00785B70" w:rsidRPr="00005453" w:rsidRDefault="00785B70" w:rsidP="00785B70">
            <w:pPr>
              <w:rPr>
                <w:color w:val="000000"/>
                <w:sz w:val="14"/>
                <w:szCs w:val="14"/>
                <w:lang w:eastAsia="tr-TR"/>
              </w:rPr>
            </w:pPr>
            <w:r w:rsidRPr="00005453">
              <w:rPr>
                <w:color w:val="000000"/>
                <w:sz w:val="14"/>
                <w:szCs w:val="14"/>
                <w:lang w:eastAsia="tr-TR"/>
              </w:rPr>
              <w:t>14.5.</w:t>
            </w:r>
          </w:p>
        </w:tc>
        <w:tc>
          <w:tcPr>
            <w:tcW w:w="3118" w:type="dxa"/>
            <w:tcBorders>
              <w:top w:val="nil"/>
              <w:left w:val="single" w:sz="4" w:space="0" w:color="auto"/>
              <w:bottom w:val="nil"/>
              <w:right w:val="single" w:sz="4" w:space="0" w:color="auto"/>
            </w:tcBorders>
            <w:shd w:val="clear" w:color="auto" w:fill="auto"/>
            <w:noWrap/>
            <w:hideMark/>
          </w:tcPr>
          <w:p w14:paraId="672DEE67" w14:textId="77777777" w:rsidR="00785B70" w:rsidRPr="00005453" w:rsidRDefault="00785B70" w:rsidP="00785B70">
            <w:pPr>
              <w:rPr>
                <w:color w:val="000000"/>
                <w:sz w:val="14"/>
                <w:szCs w:val="14"/>
                <w:lang w:eastAsia="tr-TR"/>
              </w:rPr>
            </w:pPr>
            <w:r w:rsidRPr="00005453">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hideMark/>
          </w:tcPr>
          <w:p w14:paraId="681FE552"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2AAD56F4" w14:textId="4B0C9B4E" w:rsidR="00785B70" w:rsidRPr="00005453" w:rsidRDefault="00785B70" w:rsidP="00785B70">
            <w:pPr>
              <w:jc w:val="right"/>
              <w:rPr>
                <w:bCs/>
                <w:sz w:val="14"/>
                <w:szCs w:val="14"/>
              </w:rPr>
            </w:pPr>
            <w:r w:rsidRPr="00005453">
              <w:rPr>
                <w:sz w:val="14"/>
                <w:szCs w:val="18"/>
              </w:rPr>
              <w:t>42,203,716</w:t>
            </w:r>
          </w:p>
        </w:tc>
        <w:tc>
          <w:tcPr>
            <w:tcW w:w="851" w:type="dxa"/>
            <w:tcBorders>
              <w:top w:val="nil"/>
              <w:left w:val="single" w:sz="4" w:space="0" w:color="auto"/>
              <w:bottom w:val="nil"/>
              <w:right w:val="single" w:sz="4" w:space="0" w:color="auto"/>
            </w:tcBorders>
            <w:shd w:val="clear" w:color="auto" w:fill="auto"/>
            <w:vAlign w:val="center"/>
            <w:hideMark/>
          </w:tcPr>
          <w:p w14:paraId="56ED9226" w14:textId="76BD514D"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30CAEE4" w14:textId="0707DE5F" w:rsidR="00785B70" w:rsidRPr="00005453" w:rsidRDefault="00785B70" w:rsidP="00785B70">
            <w:pPr>
              <w:jc w:val="right"/>
              <w:rPr>
                <w:bCs/>
                <w:sz w:val="14"/>
                <w:szCs w:val="14"/>
              </w:rPr>
            </w:pPr>
            <w:r w:rsidRPr="00005453">
              <w:rPr>
                <w:sz w:val="14"/>
                <w:szCs w:val="18"/>
              </w:rPr>
              <w:t>42,203,716</w:t>
            </w:r>
          </w:p>
        </w:tc>
        <w:tc>
          <w:tcPr>
            <w:tcW w:w="851" w:type="dxa"/>
            <w:tcBorders>
              <w:top w:val="nil"/>
              <w:left w:val="single" w:sz="4" w:space="0" w:color="auto"/>
              <w:bottom w:val="nil"/>
              <w:right w:val="single" w:sz="4" w:space="0" w:color="auto"/>
            </w:tcBorders>
            <w:shd w:val="clear" w:color="auto" w:fill="auto"/>
            <w:vAlign w:val="center"/>
            <w:hideMark/>
          </w:tcPr>
          <w:p w14:paraId="489E6108" w14:textId="0970AB05" w:rsidR="00785B70" w:rsidRPr="00005453" w:rsidRDefault="00785B70" w:rsidP="00785B70">
            <w:pPr>
              <w:jc w:val="right"/>
              <w:rPr>
                <w:sz w:val="14"/>
                <w:szCs w:val="14"/>
                <w:lang w:eastAsia="tr-TR"/>
              </w:rPr>
            </w:pPr>
            <w:r w:rsidRPr="00005453">
              <w:rPr>
                <w:bCs/>
                <w:sz w:val="14"/>
                <w:szCs w:val="14"/>
              </w:rPr>
              <w:t>18,253,903</w:t>
            </w:r>
          </w:p>
        </w:tc>
        <w:tc>
          <w:tcPr>
            <w:tcW w:w="850" w:type="dxa"/>
            <w:tcBorders>
              <w:top w:val="nil"/>
              <w:left w:val="single" w:sz="4" w:space="0" w:color="auto"/>
              <w:bottom w:val="nil"/>
              <w:right w:val="single" w:sz="4" w:space="0" w:color="auto"/>
            </w:tcBorders>
            <w:shd w:val="clear" w:color="auto" w:fill="auto"/>
            <w:vAlign w:val="center"/>
            <w:hideMark/>
          </w:tcPr>
          <w:p w14:paraId="7EFD41A6" w14:textId="1C79E522"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4CC8406" w14:textId="4CB89E16" w:rsidR="00785B70" w:rsidRPr="00005453" w:rsidRDefault="00785B70" w:rsidP="00785B70">
            <w:pPr>
              <w:jc w:val="right"/>
              <w:rPr>
                <w:sz w:val="14"/>
                <w:szCs w:val="14"/>
                <w:lang w:eastAsia="tr-TR"/>
              </w:rPr>
            </w:pPr>
            <w:r w:rsidRPr="00005453">
              <w:rPr>
                <w:bCs/>
                <w:sz w:val="14"/>
                <w:szCs w:val="14"/>
              </w:rPr>
              <w:t>18,253,903</w:t>
            </w:r>
          </w:p>
        </w:tc>
      </w:tr>
      <w:tr w:rsidR="00785B70" w:rsidRPr="00005453" w14:paraId="776329E4"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0AFDCE2D" w14:textId="77777777" w:rsidR="00785B70" w:rsidRPr="00005453" w:rsidRDefault="00785B70" w:rsidP="00785B70">
            <w:pPr>
              <w:rPr>
                <w:color w:val="000000"/>
                <w:sz w:val="14"/>
                <w:szCs w:val="14"/>
                <w:lang w:eastAsia="tr-TR"/>
              </w:rPr>
            </w:pPr>
            <w:r w:rsidRPr="00005453">
              <w:rPr>
                <w:color w:val="000000"/>
                <w:sz w:val="14"/>
                <w:szCs w:val="14"/>
                <w:lang w:eastAsia="tr-TR"/>
              </w:rPr>
              <w:t>14.5.1.</w:t>
            </w:r>
          </w:p>
        </w:tc>
        <w:tc>
          <w:tcPr>
            <w:tcW w:w="3118" w:type="dxa"/>
            <w:tcBorders>
              <w:top w:val="nil"/>
              <w:left w:val="single" w:sz="4" w:space="0" w:color="auto"/>
              <w:bottom w:val="nil"/>
              <w:right w:val="single" w:sz="4" w:space="0" w:color="auto"/>
            </w:tcBorders>
            <w:shd w:val="clear" w:color="auto" w:fill="auto"/>
            <w:noWrap/>
            <w:hideMark/>
          </w:tcPr>
          <w:p w14:paraId="45DB5490" w14:textId="77777777" w:rsidR="00785B70" w:rsidRPr="00005453" w:rsidRDefault="00785B70" w:rsidP="00785B70">
            <w:pPr>
              <w:rPr>
                <w:color w:val="000000"/>
                <w:sz w:val="14"/>
                <w:szCs w:val="14"/>
                <w:lang w:eastAsia="tr-TR"/>
              </w:rPr>
            </w:pPr>
            <w:r w:rsidRPr="00005453">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hideMark/>
          </w:tcPr>
          <w:p w14:paraId="0A47E558"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033609F5" w14:textId="67E80F55" w:rsidR="00785B70" w:rsidRPr="00005453" w:rsidRDefault="00785B70" w:rsidP="00785B70">
            <w:pPr>
              <w:jc w:val="right"/>
              <w:rPr>
                <w:bCs/>
                <w:sz w:val="14"/>
                <w:szCs w:val="14"/>
              </w:rPr>
            </w:pPr>
            <w:r w:rsidRPr="00005453">
              <w:rPr>
                <w:sz w:val="14"/>
                <w:szCs w:val="18"/>
              </w:rPr>
              <w:t>2,944,691</w:t>
            </w:r>
          </w:p>
        </w:tc>
        <w:tc>
          <w:tcPr>
            <w:tcW w:w="851" w:type="dxa"/>
            <w:tcBorders>
              <w:top w:val="nil"/>
              <w:left w:val="single" w:sz="4" w:space="0" w:color="auto"/>
              <w:bottom w:val="nil"/>
              <w:right w:val="single" w:sz="4" w:space="0" w:color="auto"/>
            </w:tcBorders>
            <w:shd w:val="clear" w:color="auto" w:fill="auto"/>
            <w:vAlign w:val="center"/>
            <w:hideMark/>
          </w:tcPr>
          <w:p w14:paraId="4B28BD31" w14:textId="5C3D6424"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4EEDBB0" w14:textId="00B8B6CC" w:rsidR="00785B70" w:rsidRPr="00005453" w:rsidRDefault="00785B70" w:rsidP="00785B70">
            <w:pPr>
              <w:jc w:val="right"/>
              <w:rPr>
                <w:bCs/>
                <w:sz w:val="14"/>
                <w:szCs w:val="14"/>
              </w:rPr>
            </w:pPr>
            <w:r w:rsidRPr="00005453">
              <w:rPr>
                <w:sz w:val="14"/>
                <w:szCs w:val="18"/>
              </w:rPr>
              <w:t>2,944,691</w:t>
            </w:r>
          </w:p>
        </w:tc>
        <w:tc>
          <w:tcPr>
            <w:tcW w:w="851" w:type="dxa"/>
            <w:tcBorders>
              <w:top w:val="nil"/>
              <w:left w:val="single" w:sz="4" w:space="0" w:color="auto"/>
              <w:bottom w:val="nil"/>
              <w:right w:val="single" w:sz="4" w:space="0" w:color="auto"/>
            </w:tcBorders>
            <w:shd w:val="clear" w:color="auto" w:fill="auto"/>
            <w:vAlign w:val="center"/>
            <w:hideMark/>
          </w:tcPr>
          <w:p w14:paraId="0A6EEC72" w14:textId="44837520" w:rsidR="00785B70" w:rsidRPr="00005453" w:rsidRDefault="00785B70" w:rsidP="00785B70">
            <w:pPr>
              <w:jc w:val="right"/>
              <w:rPr>
                <w:sz w:val="14"/>
                <w:szCs w:val="14"/>
                <w:lang w:eastAsia="tr-TR"/>
              </w:rPr>
            </w:pPr>
            <w:r w:rsidRPr="00005453">
              <w:rPr>
                <w:bCs/>
                <w:sz w:val="14"/>
                <w:szCs w:val="14"/>
              </w:rPr>
              <w:t>1,348,129</w:t>
            </w:r>
          </w:p>
        </w:tc>
        <w:tc>
          <w:tcPr>
            <w:tcW w:w="850" w:type="dxa"/>
            <w:tcBorders>
              <w:top w:val="nil"/>
              <w:left w:val="single" w:sz="4" w:space="0" w:color="auto"/>
              <w:bottom w:val="nil"/>
              <w:right w:val="single" w:sz="4" w:space="0" w:color="auto"/>
            </w:tcBorders>
            <w:shd w:val="clear" w:color="auto" w:fill="auto"/>
            <w:vAlign w:val="center"/>
            <w:hideMark/>
          </w:tcPr>
          <w:p w14:paraId="5C718E7B" w14:textId="30A0ABCB"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0B73DFF3" w14:textId="4781970A" w:rsidR="00785B70" w:rsidRPr="00005453" w:rsidRDefault="00785B70" w:rsidP="00785B70">
            <w:pPr>
              <w:jc w:val="right"/>
              <w:rPr>
                <w:sz w:val="14"/>
                <w:szCs w:val="14"/>
                <w:lang w:eastAsia="tr-TR"/>
              </w:rPr>
            </w:pPr>
            <w:r w:rsidRPr="00005453">
              <w:rPr>
                <w:bCs/>
                <w:sz w:val="14"/>
                <w:szCs w:val="14"/>
              </w:rPr>
              <w:t>1,348,129</w:t>
            </w:r>
          </w:p>
        </w:tc>
      </w:tr>
      <w:tr w:rsidR="00785B70" w:rsidRPr="00005453" w14:paraId="07BFA7F4"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324B0E02" w14:textId="77777777" w:rsidR="00785B70" w:rsidRPr="00005453" w:rsidRDefault="00785B70" w:rsidP="00785B70">
            <w:pPr>
              <w:rPr>
                <w:color w:val="000000"/>
                <w:sz w:val="14"/>
                <w:szCs w:val="14"/>
                <w:lang w:eastAsia="tr-TR"/>
              </w:rPr>
            </w:pPr>
            <w:r w:rsidRPr="00005453">
              <w:rPr>
                <w:color w:val="000000"/>
                <w:sz w:val="14"/>
                <w:szCs w:val="14"/>
                <w:lang w:eastAsia="tr-TR"/>
              </w:rPr>
              <w:t>14.5.2.</w:t>
            </w:r>
          </w:p>
        </w:tc>
        <w:tc>
          <w:tcPr>
            <w:tcW w:w="3118" w:type="dxa"/>
            <w:tcBorders>
              <w:top w:val="nil"/>
              <w:left w:val="single" w:sz="4" w:space="0" w:color="auto"/>
              <w:bottom w:val="nil"/>
              <w:right w:val="single" w:sz="4" w:space="0" w:color="auto"/>
            </w:tcBorders>
            <w:shd w:val="clear" w:color="auto" w:fill="auto"/>
            <w:noWrap/>
            <w:hideMark/>
          </w:tcPr>
          <w:p w14:paraId="04653813" w14:textId="77777777" w:rsidR="00785B70" w:rsidRPr="00005453" w:rsidRDefault="00785B70" w:rsidP="00785B70">
            <w:pPr>
              <w:rPr>
                <w:color w:val="000000"/>
                <w:sz w:val="14"/>
                <w:szCs w:val="14"/>
                <w:lang w:eastAsia="tr-TR"/>
              </w:rPr>
            </w:pPr>
            <w:r w:rsidRPr="00005453">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hideMark/>
          </w:tcPr>
          <w:p w14:paraId="3A24E01C"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3B65648" w14:textId="20169C50"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518E643" w14:textId="678FC47D"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57469DF0" w14:textId="572B17EF" w:rsidR="00785B70" w:rsidRPr="00005453" w:rsidRDefault="00785B70" w:rsidP="00785B70">
            <w:pPr>
              <w:jc w:val="right"/>
              <w:rPr>
                <w:bCs/>
                <w:sz w:val="14"/>
                <w:szCs w:val="14"/>
              </w:rPr>
            </w:pPr>
            <w:r w:rsidRPr="00005453">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B25D4EE" w14:textId="08BAAF2B" w:rsidR="00785B70" w:rsidRPr="00005453" w:rsidRDefault="00785B70" w:rsidP="00785B70">
            <w:pPr>
              <w:jc w:val="right"/>
              <w:rPr>
                <w:sz w:val="14"/>
                <w:szCs w:val="14"/>
                <w:lang w:eastAsia="tr-TR"/>
              </w:rPr>
            </w:pPr>
            <w:r w:rsidRPr="00005453">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05669903" w14:textId="0A62C510"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C08C6CE" w14:textId="3D4193CB" w:rsidR="00785B70" w:rsidRPr="00005453" w:rsidRDefault="00785B70" w:rsidP="00785B70">
            <w:pPr>
              <w:jc w:val="right"/>
              <w:rPr>
                <w:sz w:val="14"/>
                <w:szCs w:val="14"/>
                <w:lang w:eastAsia="tr-TR"/>
              </w:rPr>
            </w:pPr>
            <w:r w:rsidRPr="00005453">
              <w:rPr>
                <w:bCs/>
                <w:sz w:val="14"/>
                <w:szCs w:val="14"/>
              </w:rPr>
              <w:t>-</w:t>
            </w:r>
          </w:p>
        </w:tc>
      </w:tr>
      <w:tr w:rsidR="00785B70" w:rsidRPr="00005453" w14:paraId="7510CAF5"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5E9AEA52" w14:textId="77777777" w:rsidR="00785B70" w:rsidRPr="00005453" w:rsidRDefault="00785B70" w:rsidP="00785B70">
            <w:pPr>
              <w:rPr>
                <w:color w:val="000000"/>
                <w:sz w:val="14"/>
                <w:szCs w:val="14"/>
                <w:lang w:eastAsia="tr-TR"/>
              </w:rPr>
            </w:pPr>
            <w:r w:rsidRPr="00005453">
              <w:rPr>
                <w:color w:val="000000"/>
                <w:sz w:val="14"/>
                <w:szCs w:val="14"/>
                <w:lang w:eastAsia="tr-TR"/>
              </w:rPr>
              <w:t>14.5.3.</w:t>
            </w:r>
          </w:p>
        </w:tc>
        <w:tc>
          <w:tcPr>
            <w:tcW w:w="3118" w:type="dxa"/>
            <w:tcBorders>
              <w:top w:val="nil"/>
              <w:left w:val="single" w:sz="4" w:space="0" w:color="auto"/>
              <w:bottom w:val="nil"/>
              <w:right w:val="single" w:sz="4" w:space="0" w:color="auto"/>
            </w:tcBorders>
            <w:shd w:val="clear" w:color="auto" w:fill="auto"/>
            <w:noWrap/>
            <w:hideMark/>
          </w:tcPr>
          <w:p w14:paraId="781C2BD8" w14:textId="77777777" w:rsidR="00785B70" w:rsidRPr="00005453" w:rsidRDefault="00785B70" w:rsidP="00785B70">
            <w:pPr>
              <w:rPr>
                <w:color w:val="000000"/>
                <w:sz w:val="14"/>
                <w:szCs w:val="14"/>
                <w:lang w:eastAsia="tr-TR"/>
              </w:rPr>
            </w:pPr>
            <w:r w:rsidRPr="00005453">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hideMark/>
          </w:tcPr>
          <w:p w14:paraId="6BCAF86C"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4A94A48" w14:textId="230D6C53" w:rsidR="00785B70" w:rsidRPr="00005453" w:rsidRDefault="00785B70" w:rsidP="00785B70">
            <w:pPr>
              <w:jc w:val="right"/>
              <w:rPr>
                <w:bCs/>
                <w:sz w:val="14"/>
                <w:szCs w:val="14"/>
              </w:rPr>
            </w:pPr>
            <w:r w:rsidRPr="00005453">
              <w:rPr>
                <w:sz w:val="14"/>
                <w:szCs w:val="18"/>
              </w:rPr>
              <w:t>38,978,346</w:t>
            </w:r>
          </w:p>
        </w:tc>
        <w:tc>
          <w:tcPr>
            <w:tcW w:w="851" w:type="dxa"/>
            <w:tcBorders>
              <w:top w:val="nil"/>
              <w:left w:val="single" w:sz="4" w:space="0" w:color="auto"/>
              <w:bottom w:val="nil"/>
              <w:right w:val="single" w:sz="4" w:space="0" w:color="auto"/>
            </w:tcBorders>
            <w:shd w:val="clear" w:color="auto" w:fill="auto"/>
            <w:vAlign w:val="center"/>
            <w:hideMark/>
          </w:tcPr>
          <w:p w14:paraId="4D93A085" w14:textId="30E6B35A"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3381EB87" w14:textId="1DC94496" w:rsidR="00785B70" w:rsidRPr="00005453" w:rsidRDefault="00785B70" w:rsidP="00785B70">
            <w:pPr>
              <w:jc w:val="right"/>
              <w:rPr>
                <w:bCs/>
                <w:sz w:val="14"/>
                <w:szCs w:val="14"/>
              </w:rPr>
            </w:pPr>
            <w:r w:rsidRPr="00005453">
              <w:rPr>
                <w:sz w:val="14"/>
                <w:szCs w:val="18"/>
              </w:rPr>
              <w:t>38,978,346</w:t>
            </w:r>
          </w:p>
        </w:tc>
        <w:tc>
          <w:tcPr>
            <w:tcW w:w="851" w:type="dxa"/>
            <w:tcBorders>
              <w:top w:val="nil"/>
              <w:left w:val="single" w:sz="4" w:space="0" w:color="auto"/>
              <w:bottom w:val="nil"/>
              <w:right w:val="single" w:sz="4" w:space="0" w:color="auto"/>
            </w:tcBorders>
            <w:shd w:val="clear" w:color="auto" w:fill="auto"/>
            <w:vAlign w:val="center"/>
            <w:hideMark/>
          </w:tcPr>
          <w:p w14:paraId="1A357263" w14:textId="159582BC" w:rsidR="00785B70" w:rsidRPr="00005453" w:rsidRDefault="00785B70" w:rsidP="00785B70">
            <w:pPr>
              <w:jc w:val="right"/>
              <w:rPr>
                <w:sz w:val="14"/>
                <w:szCs w:val="14"/>
                <w:lang w:eastAsia="tr-TR"/>
              </w:rPr>
            </w:pPr>
            <w:r w:rsidRPr="00005453">
              <w:rPr>
                <w:bCs/>
                <w:sz w:val="14"/>
                <w:szCs w:val="14"/>
              </w:rPr>
              <w:t>16,674,091</w:t>
            </w:r>
          </w:p>
        </w:tc>
        <w:tc>
          <w:tcPr>
            <w:tcW w:w="850" w:type="dxa"/>
            <w:tcBorders>
              <w:top w:val="nil"/>
              <w:left w:val="single" w:sz="4" w:space="0" w:color="auto"/>
              <w:bottom w:val="nil"/>
              <w:right w:val="single" w:sz="4" w:space="0" w:color="auto"/>
            </w:tcBorders>
            <w:shd w:val="clear" w:color="auto" w:fill="auto"/>
            <w:vAlign w:val="center"/>
            <w:hideMark/>
          </w:tcPr>
          <w:p w14:paraId="0F71F95D" w14:textId="5E37F30B"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2781D82" w14:textId="3017DDF2" w:rsidR="00785B70" w:rsidRPr="00005453" w:rsidRDefault="00785B70" w:rsidP="00785B70">
            <w:pPr>
              <w:jc w:val="right"/>
              <w:rPr>
                <w:sz w:val="14"/>
                <w:szCs w:val="14"/>
                <w:lang w:eastAsia="tr-TR"/>
              </w:rPr>
            </w:pPr>
            <w:r w:rsidRPr="00005453">
              <w:rPr>
                <w:bCs/>
                <w:sz w:val="14"/>
                <w:szCs w:val="14"/>
              </w:rPr>
              <w:t>16,674,091</w:t>
            </w:r>
          </w:p>
        </w:tc>
      </w:tr>
      <w:tr w:rsidR="00785B70" w:rsidRPr="00005453" w14:paraId="70AA9FE9" w14:textId="77777777" w:rsidTr="00785B70">
        <w:trPr>
          <w:divId w:val="248657329"/>
          <w:trHeight w:val="73"/>
        </w:trPr>
        <w:tc>
          <w:tcPr>
            <w:tcW w:w="525" w:type="dxa"/>
            <w:tcBorders>
              <w:top w:val="nil"/>
              <w:left w:val="single" w:sz="4" w:space="0" w:color="auto"/>
              <w:bottom w:val="nil"/>
              <w:right w:val="single" w:sz="4" w:space="0" w:color="auto"/>
            </w:tcBorders>
            <w:shd w:val="clear" w:color="auto" w:fill="auto"/>
            <w:noWrap/>
            <w:hideMark/>
          </w:tcPr>
          <w:p w14:paraId="204704D4" w14:textId="77777777" w:rsidR="00785B70" w:rsidRPr="00005453" w:rsidRDefault="00785B70" w:rsidP="00785B70">
            <w:pPr>
              <w:rPr>
                <w:color w:val="000000"/>
                <w:sz w:val="14"/>
                <w:szCs w:val="14"/>
                <w:lang w:eastAsia="tr-TR"/>
              </w:rPr>
            </w:pPr>
            <w:r w:rsidRPr="00005453">
              <w:rPr>
                <w:color w:val="000000"/>
                <w:sz w:val="14"/>
                <w:szCs w:val="14"/>
                <w:lang w:eastAsia="tr-TR"/>
              </w:rPr>
              <w:t>14.5.4.</w:t>
            </w:r>
          </w:p>
        </w:tc>
        <w:tc>
          <w:tcPr>
            <w:tcW w:w="3118" w:type="dxa"/>
            <w:tcBorders>
              <w:top w:val="nil"/>
              <w:left w:val="single" w:sz="4" w:space="0" w:color="auto"/>
              <w:bottom w:val="nil"/>
              <w:right w:val="single" w:sz="4" w:space="0" w:color="auto"/>
            </w:tcBorders>
            <w:shd w:val="clear" w:color="auto" w:fill="auto"/>
            <w:noWrap/>
            <w:hideMark/>
          </w:tcPr>
          <w:p w14:paraId="5F90FB2D" w14:textId="77777777" w:rsidR="00785B70" w:rsidRPr="00005453" w:rsidRDefault="00785B70" w:rsidP="00785B70">
            <w:pPr>
              <w:rPr>
                <w:color w:val="000000"/>
                <w:sz w:val="14"/>
                <w:szCs w:val="14"/>
                <w:lang w:eastAsia="tr-TR"/>
              </w:rPr>
            </w:pPr>
            <w:r w:rsidRPr="00005453">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hideMark/>
          </w:tcPr>
          <w:p w14:paraId="5800D619"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33225460" w14:textId="67E161BE" w:rsidR="00785B70" w:rsidRPr="00005453" w:rsidRDefault="00785B70" w:rsidP="00785B70">
            <w:pPr>
              <w:jc w:val="right"/>
              <w:rPr>
                <w:bCs/>
                <w:sz w:val="14"/>
                <w:szCs w:val="14"/>
              </w:rPr>
            </w:pPr>
            <w:r w:rsidRPr="00005453">
              <w:rPr>
                <w:sz w:val="14"/>
                <w:szCs w:val="18"/>
              </w:rPr>
              <w:t>280,679</w:t>
            </w:r>
          </w:p>
        </w:tc>
        <w:tc>
          <w:tcPr>
            <w:tcW w:w="851" w:type="dxa"/>
            <w:tcBorders>
              <w:top w:val="nil"/>
              <w:left w:val="single" w:sz="4" w:space="0" w:color="auto"/>
              <w:bottom w:val="nil"/>
              <w:right w:val="single" w:sz="4" w:space="0" w:color="auto"/>
            </w:tcBorders>
            <w:shd w:val="clear" w:color="auto" w:fill="auto"/>
            <w:vAlign w:val="center"/>
            <w:hideMark/>
          </w:tcPr>
          <w:p w14:paraId="470BB1CE" w14:textId="73EB2989"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26B0F7E4" w14:textId="2441CD06" w:rsidR="00785B70" w:rsidRPr="00005453" w:rsidRDefault="00785B70" w:rsidP="00785B70">
            <w:pPr>
              <w:jc w:val="right"/>
              <w:rPr>
                <w:bCs/>
                <w:sz w:val="14"/>
                <w:szCs w:val="14"/>
              </w:rPr>
            </w:pPr>
            <w:r w:rsidRPr="00005453">
              <w:rPr>
                <w:sz w:val="14"/>
                <w:szCs w:val="18"/>
              </w:rPr>
              <w:t>280,679</w:t>
            </w:r>
          </w:p>
        </w:tc>
        <w:tc>
          <w:tcPr>
            <w:tcW w:w="851" w:type="dxa"/>
            <w:tcBorders>
              <w:top w:val="nil"/>
              <w:left w:val="single" w:sz="4" w:space="0" w:color="auto"/>
              <w:bottom w:val="nil"/>
              <w:right w:val="single" w:sz="4" w:space="0" w:color="auto"/>
            </w:tcBorders>
            <w:shd w:val="clear" w:color="auto" w:fill="auto"/>
            <w:vAlign w:val="center"/>
            <w:hideMark/>
          </w:tcPr>
          <w:p w14:paraId="6E22A750" w14:textId="05CDFE7C" w:rsidR="00785B70" w:rsidRPr="00005453" w:rsidRDefault="00785B70" w:rsidP="00785B70">
            <w:pPr>
              <w:jc w:val="right"/>
              <w:rPr>
                <w:sz w:val="14"/>
                <w:szCs w:val="14"/>
                <w:lang w:eastAsia="tr-TR"/>
              </w:rPr>
            </w:pPr>
            <w:r w:rsidRPr="00005453">
              <w:rPr>
                <w:bCs/>
                <w:sz w:val="14"/>
                <w:szCs w:val="14"/>
              </w:rPr>
              <w:t>231,683</w:t>
            </w:r>
          </w:p>
        </w:tc>
        <w:tc>
          <w:tcPr>
            <w:tcW w:w="850" w:type="dxa"/>
            <w:tcBorders>
              <w:top w:val="nil"/>
              <w:left w:val="single" w:sz="4" w:space="0" w:color="auto"/>
              <w:bottom w:val="nil"/>
              <w:right w:val="single" w:sz="4" w:space="0" w:color="auto"/>
            </w:tcBorders>
            <w:shd w:val="clear" w:color="auto" w:fill="auto"/>
            <w:vAlign w:val="center"/>
            <w:hideMark/>
          </w:tcPr>
          <w:p w14:paraId="42799ED3" w14:textId="400035E3"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ECEDABF" w14:textId="602A5E5B" w:rsidR="00785B70" w:rsidRPr="00005453" w:rsidRDefault="00785B70" w:rsidP="00785B70">
            <w:pPr>
              <w:jc w:val="right"/>
              <w:rPr>
                <w:sz w:val="14"/>
                <w:szCs w:val="14"/>
                <w:lang w:eastAsia="tr-TR"/>
              </w:rPr>
            </w:pPr>
            <w:r w:rsidRPr="00005453">
              <w:rPr>
                <w:bCs/>
                <w:sz w:val="14"/>
                <w:szCs w:val="14"/>
              </w:rPr>
              <w:t>231,683</w:t>
            </w:r>
          </w:p>
        </w:tc>
      </w:tr>
      <w:tr w:rsidR="00785B70" w:rsidRPr="00005453" w14:paraId="1E41B3BE"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5CC59545" w14:textId="77777777" w:rsidR="00785B70" w:rsidRPr="00005453" w:rsidRDefault="00785B70" w:rsidP="00785B70">
            <w:pPr>
              <w:rPr>
                <w:color w:val="000000"/>
                <w:sz w:val="14"/>
                <w:szCs w:val="14"/>
                <w:lang w:eastAsia="tr-TR"/>
              </w:rPr>
            </w:pPr>
            <w:r w:rsidRPr="00005453">
              <w:rPr>
                <w:color w:val="000000"/>
                <w:sz w:val="14"/>
                <w:szCs w:val="14"/>
                <w:lang w:eastAsia="tr-TR"/>
              </w:rPr>
              <w:t>14.6.</w:t>
            </w:r>
          </w:p>
        </w:tc>
        <w:tc>
          <w:tcPr>
            <w:tcW w:w="3118" w:type="dxa"/>
            <w:tcBorders>
              <w:top w:val="nil"/>
              <w:left w:val="single" w:sz="4" w:space="0" w:color="auto"/>
              <w:bottom w:val="nil"/>
              <w:right w:val="single" w:sz="4" w:space="0" w:color="auto"/>
            </w:tcBorders>
            <w:shd w:val="clear" w:color="auto" w:fill="auto"/>
            <w:noWrap/>
            <w:hideMark/>
          </w:tcPr>
          <w:p w14:paraId="22FC5A00" w14:textId="77777777" w:rsidR="00785B70" w:rsidRPr="00005453" w:rsidRDefault="00785B70" w:rsidP="00785B70">
            <w:pPr>
              <w:rPr>
                <w:color w:val="000000"/>
                <w:sz w:val="14"/>
                <w:szCs w:val="14"/>
                <w:lang w:eastAsia="tr-TR"/>
              </w:rPr>
            </w:pPr>
            <w:r w:rsidRPr="00005453">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hideMark/>
          </w:tcPr>
          <w:p w14:paraId="461574FC"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035D039" w14:textId="7322E4F3" w:rsidR="00785B70" w:rsidRPr="00005453" w:rsidRDefault="00785B70" w:rsidP="00785B70">
            <w:pPr>
              <w:jc w:val="right"/>
              <w:rPr>
                <w:bCs/>
                <w:sz w:val="14"/>
                <w:szCs w:val="14"/>
              </w:rPr>
            </w:pPr>
            <w:r w:rsidRPr="00005453">
              <w:rPr>
                <w:sz w:val="14"/>
                <w:szCs w:val="18"/>
              </w:rPr>
              <w:t>34,714,074</w:t>
            </w:r>
          </w:p>
        </w:tc>
        <w:tc>
          <w:tcPr>
            <w:tcW w:w="851" w:type="dxa"/>
            <w:tcBorders>
              <w:top w:val="nil"/>
              <w:left w:val="single" w:sz="4" w:space="0" w:color="auto"/>
              <w:bottom w:val="nil"/>
              <w:right w:val="single" w:sz="4" w:space="0" w:color="auto"/>
            </w:tcBorders>
            <w:shd w:val="clear" w:color="auto" w:fill="auto"/>
            <w:vAlign w:val="center"/>
            <w:hideMark/>
          </w:tcPr>
          <w:p w14:paraId="6B81EB07" w14:textId="15CCEEEA"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22260F4" w14:textId="101A029B" w:rsidR="00785B70" w:rsidRPr="00005453" w:rsidRDefault="00785B70" w:rsidP="00785B70">
            <w:pPr>
              <w:jc w:val="right"/>
              <w:rPr>
                <w:bCs/>
                <w:sz w:val="14"/>
                <w:szCs w:val="14"/>
              </w:rPr>
            </w:pPr>
            <w:r w:rsidRPr="00005453">
              <w:rPr>
                <w:sz w:val="14"/>
                <w:szCs w:val="18"/>
              </w:rPr>
              <w:t>34,714,074</w:t>
            </w:r>
          </w:p>
        </w:tc>
        <w:tc>
          <w:tcPr>
            <w:tcW w:w="851" w:type="dxa"/>
            <w:tcBorders>
              <w:top w:val="nil"/>
              <w:left w:val="single" w:sz="4" w:space="0" w:color="auto"/>
              <w:bottom w:val="nil"/>
              <w:right w:val="single" w:sz="4" w:space="0" w:color="auto"/>
            </w:tcBorders>
            <w:shd w:val="clear" w:color="auto" w:fill="auto"/>
            <w:vAlign w:val="center"/>
            <w:hideMark/>
          </w:tcPr>
          <w:p w14:paraId="2BEE62C2" w14:textId="4D1F6062" w:rsidR="00785B70" w:rsidRPr="00005453" w:rsidRDefault="00785B70" w:rsidP="00785B70">
            <w:pPr>
              <w:jc w:val="right"/>
              <w:rPr>
                <w:sz w:val="14"/>
                <w:szCs w:val="14"/>
                <w:lang w:eastAsia="tr-TR"/>
              </w:rPr>
            </w:pPr>
            <w:r w:rsidRPr="00005453">
              <w:rPr>
                <w:bCs/>
                <w:sz w:val="14"/>
                <w:szCs w:val="14"/>
              </w:rPr>
              <w:t>26,669,989</w:t>
            </w:r>
          </w:p>
        </w:tc>
        <w:tc>
          <w:tcPr>
            <w:tcW w:w="850" w:type="dxa"/>
            <w:tcBorders>
              <w:top w:val="nil"/>
              <w:left w:val="single" w:sz="4" w:space="0" w:color="auto"/>
              <w:bottom w:val="nil"/>
              <w:right w:val="single" w:sz="4" w:space="0" w:color="auto"/>
            </w:tcBorders>
            <w:shd w:val="clear" w:color="auto" w:fill="auto"/>
            <w:vAlign w:val="center"/>
            <w:hideMark/>
          </w:tcPr>
          <w:p w14:paraId="734F7887" w14:textId="5FCEFE8D"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ACFBAE5" w14:textId="123B6BE1" w:rsidR="00785B70" w:rsidRPr="00005453" w:rsidRDefault="00785B70" w:rsidP="00785B70">
            <w:pPr>
              <w:jc w:val="right"/>
              <w:rPr>
                <w:sz w:val="14"/>
                <w:szCs w:val="14"/>
                <w:lang w:eastAsia="tr-TR"/>
              </w:rPr>
            </w:pPr>
            <w:r w:rsidRPr="00005453">
              <w:rPr>
                <w:bCs/>
                <w:sz w:val="14"/>
                <w:szCs w:val="14"/>
              </w:rPr>
              <w:t>26,669,989</w:t>
            </w:r>
          </w:p>
        </w:tc>
      </w:tr>
      <w:tr w:rsidR="00785B70" w:rsidRPr="00005453" w14:paraId="32E4393E"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59993D9D" w14:textId="77777777" w:rsidR="00785B70" w:rsidRPr="00005453" w:rsidRDefault="00785B70" w:rsidP="00785B70">
            <w:pPr>
              <w:rPr>
                <w:color w:val="000000"/>
                <w:sz w:val="14"/>
                <w:szCs w:val="14"/>
                <w:lang w:eastAsia="tr-TR"/>
              </w:rPr>
            </w:pPr>
            <w:r w:rsidRPr="00005453">
              <w:rPr>
                <w:color w:val="000000"/>
                <w:sz w:val="14"/>
                <w:szCs w:val="14"/>
                <w:lang w:eastAsia="tr-TR"/>
              </w:rPr>
              <w:t>14.6.1.</w:t>
            </w:r>
          </w:p>
        </w:tc>
        <w:tc>
          <w:tcPr>
            <w:tcW w:w="3118" w:type="dxa"/>
            <w:tcBorders>
              <w:top w:val="nil"/>
              <w:left w:val="single" w:sz="4" w:space="0" w:color="auto"/>
              <w:bottom w:val="nil"/>
              <w:right w:val="single" w:sz="4" w:space="0" w:color="auto"/>
            </w:tcBorders>
            <w:shd w:val="clear" w:color="auto" w:fill="auto"/>
            <w:noWrap/>
            <w:hideMark/>
          </w:tcPr>
          <w:p w14:paraId="66DD95B6" w14:textId="77777777" w:rsidR="00785B70" w:rsidRPr="00005453" w:rsidRDefault="00785B70" w:rsidP="00785B70">
            <w:pPr>
              <w:rPr>
                <w:color w:val="000000"/>
                <w:sz w:val="14"/>
                <w:szCs w:val="14"/>
                <w:lang w:eastAsia="tr-TR"/>
              </w:rPr>
            </w:pPr>
            <w:r w:rsidRPr="00005453">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hideMark/>
          </w:tcPr>
          <w:p w14:paraId="5DC5539D"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76258878" w14:textId="25DDB291" w:rsidR="00785B70" w:rsidRPr="00005453" w:rsidRDefault="00785B70" w:rsidP="00785B70">
            <w:pPr>
              <w:jc w:val="right"/>
              <w:rPr>
                <w:bCs/>
                <w:sz w:val="14"/>
                <w:szCs w:val="14"/>
              </w:rPr>
            </w:pPr>
            <w:r w:rsidRPr="00005453">
              <w:rPr>
                <w:sz w:val="14"/>
                <w:szCs w:val="18"/>
              </w:rPr>
              <w:t>60,618</w:t>
            </w:r>
          </w:p>
        </w:tc>
        <w:tc>
          <w:tcPr>
            <w:tcW w:w="851" w:type="dxa"/>
            <w:tcBorders>
              <w:top w:val="nil"/>
              <w:left w:val="single" w:sz="4" w:space="0" w:color="auto"/>
              <w:bottom w:val="nil"/>
              <w:right w:val="single" w:sz="4" w:space="0" w:color="auto"/>
            </w:tcBorders>
            <w:shd w:val="clear" w:color="auto" w:fill="auto"/>
            <w:vAlign w:val="center"/>
            <w:hideMark/>
          </w:tcPr>
          <w:p w14:paraId="18F16D04" w14:textId="4D262B01"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00EFEB07" w14:textId="350E0256" w:rsidR="00785B70" w:rsidRPr="00005453" w:rsidRDefault="00785B70" w:rsidP="00785B70">
            <w:pPr>
              <w:jc w:val="right"/>
              <w:rPr>
                <w:bCs/>
                <w:sz w:val="14"/>
                <w:szCs w:val="14"/>
              </w:rPr>
            </w:pPr>
            <w:r w:rsidRPr="00005453">
              <w:rPr>
                <w:sz w:val="14"/>
                <w:szCs w:val="18"/>
              </w:rPr>
              <w:t>60,618</w:t>
            </w:r>
          </w:p>
        </w:tc>
        <w:tc>
          <w:tcPr>
            <w:tcW w:w="851" w:type="dxa"/>
            <w:tcBorders>
              <w:top w:val="nil"/>
              <w:left w:val="single" w:sz="4" w:space="0" w:color="auto"/>
              <w:bottom w:val="nil"/>
              <w:right w:val="single" w:sz="4" w:space="0" w:color="auto"/>
            </w:tcBorders>
            <w:shd w:val="clear" w:color="auto" w:fill="auto"/>
            <w:vAlign w:val="center"/>
            <w:hideMark/>
          </w:tcPr>
          <w:p w14:paraId="0F182458" w14:textId="63F56094" w:rsidR="00785B70" w:rsidRPr="00005453" w:rsidRDefault="00785B70" w:rsidP="00785B70">
            <w:pPr>
              <w:jc w:val="right"/>
              <w:rPr>
                <w:sz w:val="14"/>
                <w:szCs w:val="14"/>
                <w:lang w:eastAsia="tr-TR"/>
              </w:rPr>
            </w:pPr>
            <w:r w:rsidRPr="00005453">
              <w:rPr>
                <w:bCs/>
                <w:sz w:val="14"/>
                <w:szCs w:val="14"/>
              </w:rPr>
              <w:t>60,618</w:t>
            </w:r>
          </w:p>
        </w:tc>
        <w:tc>
          <w:tcPr>
            <w:tcW w:w="850" w:type="dxa"/>
            <w:tcBorders>
              <w:top w:val="nil"/>
              <w:left w:val="single" w:sz="4" w:space="0" w:color="auto"/>
              <w:bottom w:val="nil"/>
              <w:right w:val="single" w:sz="4" w:space="0" w:color="auto"/>
            </w:tcBorders>
            <w:shd w:val="clear" w:color="auto" w:fill="auto"/>
            <w:vAlign w:val="center"/>
            <w:hideMark/>
          </w:tcPr>
          <w:p w14:paraId="2C36EB4F" w14:textId="72160170"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1EE028A" w14:textId="6EEB8DA5" w:rsidR="00785B70" w:rsidRPr="00005453" w:rsidRDefault="00785B70" w:rsidP="00785B70">
            <w:pPr>
              <w:jc w:val="right"/>
              <w:rPr>
                <w:sz w:val="14"/>
                <w:szCs w:val="14"/>
                <w:lang w:eastAsia="tr-TR"/>
              </w:rPr>
            </w:pPr>
            <w:r w:rsidRPr="00005453">
              <w:rPr>
                <w:bCs/>
                <w:sz w:val="14"/>
                <w:szCs w:val="14"/>
              </w:rPr>
              <w:t>60,618</w:t>
            </w:r>
          </w:p>
        </w:tc>
      </w:tr>
      <w:tr w:rsidR="00785B70" w:rsidRPr="00005453" w14:paraId="461FB0CD" w14:textId="77777777" w:rsidTr="00785B70">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7874DE3B" w14:textId="77777777" w:rsidR="00785B70" w:rsidRPr="00005453" w:rsidRDefault="00785B70" w:rsidP="00785B70">
            <w:pPr>
              <w:rPr>
                <w:color w:val="000000"/>
                <w:sz w:val="14"/>
                <w:szCs w:val="14"/>
                <w:lang w:eastAsia="tr-TR"/>
              </w:rPr>
            </w:pPr>
            <w:r w:rsidRPr="00005453">
              <w:rPr>
                <w:color w:val="000000"/>
                <w:sz w:val="14"/>
                <w:szCs w:val="14"/>
                <w:lang w:eastAsia="tr-TR"/>
              </w:rPr>
              <w:t>14.6.2.</w:t>
            </w:r>
          </w:p>
        </w:tc>
        <w:tc>
          <w:tcPr>
            <w:tcW w:w="3118" w:type="dxa"/>
            <w:tcBorders>
              <w:top w:val="nil"/>
              <w:left w:val="single" w:sz="4" w:space="0" w:color="auto"/>
              <w:bottom w:val="nil"/>
              <w:right w:val="single" w:sz="4" w:space="0" w:color="auto"/>
            </w:tcBorders>
            <w:shd w:val="clear" w:color="auto" w:fill="auto"/>
            <w:noWrap/>
            <w:hideMark/>
          </w:tcPr>
          <w:p w14:paraId="367E6E0D" w14:textId="77777777" w:rsidR="00785B70" w:rsidRPr="00005453" w:rsidRDefault="00785B70" w:rsidP="00785B70">
            <w:pPr>
              <w:rPr>
                <w:color w:val="000000"/>
                <w:sz w:val="14"/>
                <w:szCs w:val="14"/>
                <w:lang w:eastAsia="tr-TR"/>
              </w:rPr>
            </w:pPr>
            <w:r w:rsidRPr="00005453">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hideMark/>
          </w:tcPr>
          <w:p w14:paraId="2B50C2DD" w14:textId="77777777" w:rsidR="00785B70" w:rsidRPr="00005453" w:rsidRDefault="00785B70" w:rsidP="00785B70">
            <w:pPr>
              <w:jc w:val="cente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4505F77" w14:textId="4147C571" w:rsidR="00785B70" w:rsidRPr="00005453" w:rsidRDefault="00785B70" w:rsidP="00785B70">
            <w:pPr>
              <w:jc w:val="right"/>
              <w:rPr>
                <w:bCs/>
                <w:sz w:val="14"/>
                <w:szCs w:val="14"/>
              </w:rPr>
            </w:pPr>
            <w:r w:rsidRPr="00005453">
              <w:rPr>
                <w:sz w:val="14"/>
                <w:szCs w:val="18"/>
              </w:rPr>
              <w:t>34,653,456</w:t>
            </w:r>
          </w:p>
        </w:tc>
        <w:tc>
          <w:tcPr>
            <w:tcW w:w="851" w:type="dxa"/>
            <w:tcBorders>
              <w:top w:val="nil"/>
              <w:left w:val="single" w:sz="4" w:space="0" w:color="auto"/>
              <w:bottom w:val="nil"/>
              <w:right w:val="single" w:sz="4" w:space="0" w:color="auto"/>
            </w:tcBorders>
            <w:shd w:val="clear" w:color="auto" w:fill="auto"/>
            <w:vAlign w:val="center"/>
            <w:hideMark/>
          </w:tcPr>
          <w:p w14:paraId="2A6B4780" w14:textId="18DA58BF" w:rsidR="00785B70" w:rsidRPr="00005453" w:rsidRDefault="00785B70" w:rsidP="00785B70">
            <w:pPr>
              <w:jc w:val="right"/>
              <w:rPr>
                <w:bCs/>
                <w:sz w:val="14"/>
                <w:szCs w:val="14"/>
              </w:rPr>
            </w:pPr>
            <w:r w:rsidRPr="00005453">
              <w:rPr>
                <w:sz w:val="14"/>
                <w:szCs w:val="18"/>
              </w:rPr>
              <w:t>-</w:t>
            </w:r>
          </w:p>
        </w:tc>
        <w:tc>
          <w:tcPr>
            <w:tcW w:w="991" w:type="dxa"/>
            <w:tcBorders>
              <w:top w:val="nil"/>
              <w:left w:val="single" w:sz="4" w:space="0" w:color="auto"/>
              <w:bottom w:val="nil"/>
              <w:right w:val="single" w:sz="4" w:space="0" w:color="auto"/>
            </w:tcBorders>
            <w:shd w:val="clear" w:color="auto" w:fill="auto"/>
            <w:vAlign w:val="center"/>
            <w:hideMark/>
          </w:tcPr>
          <w:p w14:paraId="70A2C939" w14:textId="79CF5170" w:rsidR="00785B70" w:rsidRPr="00005453" w:rsidRDefault="00785B70" w:rsidP="00785B70">
            <w:pPr>
              <w:jc w:val="right"/>
              <w:rPr>
                <w:bCs/>
                <w:sz w:val="14"/>
                <w:szCs w:val="14"/>
              </w:rPr>
            </w:pPr>
            <w:r w:rsidRPr="00005453">
              <w:rPr>
                <w:sz w:val="14"/>
                <w:szCs w:val="18"/>
              </w:rPr>
              <w:t>34,653,456</w:t>
            </w:r>
          </w:p>
        </w:tc>
        <w:tc>
          <w:tcPr>
            <w:tcW w:w="851" w:type="dxa"/>
            <w:tcBorders>
              <w:top w:val="nil"/>
              <w:left w:val="single" w:sz="4" w:space="0" w:color="auto"/>
              <w:bottom w:val="nil"/>
              <w:right w:val="single" w:sz="4" w:space="0" w:color="auto"/>
            </w:tcBorders>
            <w:shd w:val="clear" w:color="auto" w:fill="auto"/>
            <w:vAlign w:val="center"/>
            <w:hideMark/>
          </w:tcPr>
          <w:p w14:paraId="300E73BD" w14:textId="4156D0CF" w:rsidR="00785B70" w:rsidRPr="00005453" w:rsidRDefault="00785B70" w:rsidP="00785B70">
            <w:pPr>
              <w:jc w:val="right"/>
              <w:rPr>
                <w:sz w:val="14"/>
                <w:szCs w:val="14"/>
                <w:lang w:eastAsia="tr-TR"/>
              </w:rPr>
            </w:pPr>
            <w:r w:rsidRPr="00005453">
              <w:rPr>
                <w:bCs/>
                <w:sz w:val="14"/>
                <w:szCs w:val="14"/>
              </w:rPr>
              <w:t>26,609,371</w:t>
            </w:r>
          </w:p>
        </w:tc>
        <w:tc>
          <w:tcPr>
            <w:tcW w:w="850" w:type="dxa"/>
            <w:tcBorders>
              <w:top w:val="nil"/>
              <w:left w:val="single" w:sz="4" w:space="0" w:color="auto"/>
              <w:bottom w:val="nil"/>
              <w:right w:val="single" w:sz="4" w:space="0" w:color="auto"/>
            </w:tcBorders>
            <w:shd w:val="clear" w:color="auto" w:fill="auto"/>
            <w:vAlign w:val="center"/>
            <w:hideMark/>
          </w:tcPr>
          <w:p w14:paraId="357AE005" w14:textId="10815370" w:rsidR="00785B70" w:rsidRPr="00005453" w:rsidRDefault="00785B70" w:rsidP="00785B70">
            <w:pPr>
              <w:jc w:val="right"/>
              <w:rPr>
                <w:sz w:val="14"/>
                <w:szCs w:val="14"/>
                <w:lang w:eastAsia="tr-TR"/>
              </w:rPr>
            </w:pPr>
            <w:r w:rsidRPr="00005453">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5F0E8CC" w14:textId="35358F13" w:rsidR="00785B70" w:rsidRPr="00005453" w:rsidRDefault="00785B70" w:rsidP="00785B70">
            <w:pPr>
              <w:jc w:val="right"/>
              <w:rPr>
                <w:sz w:val="14"/>
                <w:szCs w:val="14"/>
                <w:lang w:eastAsia="tr-TR"/>
              </w:rPr>
            </w:pPr>
            <w:r w:rsidRPr="00005453">
              <w:rPr>
                <w:bCs/>
                <w:sz w:val="14"/>
                <w:szCs w:val="14"/>
              </w:rPr>
              <w:t>26,609,371</w:t>
            </w:r>
          </w:p>
        </w:tc>
      </w:tr>
      <w:tr w:rsidR="00BA04A2" w:rsidRPr="00005453" w14:paraId="5652081E" w14:textId="77777777" w:rsidTr="00BA04A2">
        <w:trPr>
          <w:divId w:val="248657329"/>
          <w:trHeight w:val="57"/>
        </w:trPr>
        <w:tc>
          <w:tcPr>
            <w:tcW w:w="525" w:type="dxa"/>
            <w:tcBorders>
              <w:top w:val="nil"/>
              <w:left w:val="single" w:sz="4" w:space="0" w:color="auto"/>
              <w:bottom w:val="nil"/>
              <w:right w:val="single" w:sz="4" w:space="0" w:color="auto"/>
            </w:tcBorders>
            <w:shd w:val="clear" w:color="auto" w:fill="auto"/>
            <w:noWrap/>
            <w:hideMark/>
          </w:tcPr>
          <w:p w14:paraId="48CE8861" w14:textId="77777777" w:rsidR="00BA04A2" w:rsidRPr="00005453" w:rsidRDefault="00BA04A2" w:rsidP="00BA04A2">
            <w:pPr>
              <w:rPr>
                <w:color w:val="000000"/>
                <w:sz w:val="14"/>
                <w:szCs w:val="14"/>
                <w:lang w:eastAsia="tr-TR"/>
              </w:rPr>
            </w:pPr>
            <w:r w:rsidRPr="00005453">
              <w:rPr>
                <w:color w:val="000000"/>
                <w:sz w:val="14"/>
                <w:szCs w:val="14"/>
                <w:lang w:eastAsia="tr-TR"/>
              </w:rPr>
              <w:t>14.7.</w:t>
            </w:r>
          </w:p>
        </w:tc>
        <w:tc>
          <w:tcPr>
            <w:tcW w:w="3118" w:type="dxa"/>
            <w:tcBorders>
              <w:top w:val="nil"/>
              <w:left w:val="single" w:sz="4" w:space="0" w:color="auto"/>
              <w:bottom w:val="nil"/>
              <w:right w:val="single" w:sz="4" w:space="0" w:color="auto"/>
            </w:tcBorders>
            <w:shd w:val="clear" w:color="auto" w:fill="auto"/>
            <w:noWrap/>
            <w:hideMark/>
          </w:tcPr>
          <w:p w14:paraId="3652DE43" w14:textId="77777777" w:rsidR="00BA04A2" w:rsidRPr="00005453" w:rsidRDefault="00BA04A2" w:rsidP="00BA04A2">
            <w:pPr>
              <w:rPr>
                <w:color w:val="000000"/>
                <w:sz w:val="14"/>
                <w:szCs w:val="14"/>
                <w:lang w:eastAsia="tr-TR"/>
              </w:rPr>
            </w:pPr>
            <w:r w:rsidRPr="00005453">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hideMark/>
          </w:tcPr>
          <w:p w14:paraId="24256ED5" w14:textId="1EDF6212" w:rsidR="00BA04A2" w:rsidRPr="00005453" w:rsidRDefault="00BA04A2" w:rsidP="00BA04A2">
            <w:pPr>
              <w:jc w:val="center"/>
              <w:rPr>
                <w:color w:val="000000"/>
                <w:sz w:val="14"/>
                <w:szCs w:val="14"/>
                <w:lang w:eastAsia="tr-TR"/>
              </w:rPr>
            </w:pPr>
            <w:r w:rsidRPr="00005453">
              <w:rPr>
                <w:color w:val="000000"/>
                <w:sz w:val="14"/>
                <w:szCs w:val="14"/>
                <w:lang w:eastAsia="tr-TR"/>
              </w:rPr>
              <w:t>(5.2.13.)</w:t>
            </w:r>
          </w:p>
        </w:tc>
        <w:tc>
          <w:tcPr>
            <w:tcW w:w="851" w:type="dxa"/>
            <w:tcBorders>
              <w:top w:val="nil"/>
              <w:left w:val="single" w:sz="4" w:space="0" w:color="auto"/>
              <w:bottom w:val="nil"/>
              <w:right w:val="single" w:sz="4" w:space="0" w:color="auto"/>
            </w:tcBorders>
            <w:shd w:val="clear" w:color="auto" w:fill="auto"/>
            <w:hideMark/>
          </w:tcPr>
          <w:p w14:paraId="4B19A796" w14:textId="2168CA74" w:rsidR="00BA04A2" w:rsidRPr="00005453" w:rsidRDefault="00BA04A2" w:rsidP="00BA04A2">
            <w:pPr>
              <w:jc w:val="right"/>
              <w:rPr>
                <w:sz w:val="14"/>
                <w:szCs w:val="14"/>
                <w:lang w:eastAsia="tr-TR"/>
              </w:rPr>
            </w:pPr>
            <w:r w:rsidRPr="00005453">
              <w:rPr>
                <w:sz w:val="14"/>
                <w:szCs w:val="14"/>
              </w:rPr>
              <w:t>-</w:t>
            </w:r>
          </w:p>
        </w:tc>
        <w:tc>
          <w:tcPr>
            <w:tcW w:w="851" w:type="dxa"/>
            <w:tcBorders>
              <w:top w:val="nil"/>
              <w:left w:val="single" w:sz="4" w:space="0" w:color="auto"/>
              <w:bottom w:val="nil"/>
              <w:right w:val="single" w:sz="4" w:space="0" w:color="auto"/>
            </w:tcBorders>
            <w:shd w:val="clear" w:color="auto" w:fill="auto"/>
            <w:hideMark/>
          </w:tcPr>
          <w:p w14:paraId="323F06E6" w14:textId="3E980C08" w:rsidR="00BA04A2" w:rsidRPr="00005453" w:rsidRDefault="00BA04A2" w:rsidP="00BA04A2">
            <w:pPr>
              <w:jc w:val="right"/>
              <w:rPr>
                <w:sz w:val="14"/>
                <w:szCs w:val="14"/>
                <w:lang w:eastAsia="tr-TR"/>
              </w:rPr>
            </w:pPr>
            <w:r w:rsidRPr="00005453">
              <w:rPr>
                <w:sz w:val="14"/>
                <w:szCs w:val="14"/>
              </w:rPr>
              <w:t>-</w:t>
            </w:r>
          </w:p>
        </w:tc>
        <w:tc>
          <w:tcPr>
            <w:tcW w:w="991" w:type="dxa"/>
            <w:tcBorders>
              <w:top w:val="nil"/>
              <w:left w:val="single" w:sz="4" w:space="0" w:color="auto"/>
              <w:bottom w:val="nil"/>
              <w:right w:val="single" w:sz="4" w:space="0" w:color="auto"/>
            </w:tcBorders>
            <w:shd w:val="clear" w:color="auto" w:fill="auto"/>
            <w:hideMark/>
          </w:tcPr>
          <w:p w14:paraId="36F8847D" w14:textId="5DD389DF" w:rsidR="00BA04A2" w:rsidRPr="00005453" w:rsidRDefault="00BA04A2" w:rsidP="00BA04A2">
            <w:pPr>
              <w:jc w:val="right"/>
              <w:rPr>
                <w:sz w:val="14"/>
                <w:szCs w:val="14"/>
                <w:lang w:eastAsia="tr-TR"/>
              </w:rPr>
            </w:pPr>
            <w:r w:rsidRPr="00005453">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6FF8E91" w14:textId="434E8536" w:rsidR="00BA04A2" w:rsidRPr="00005453" w:rsidRDefault="00BA04A2" w:rsidP="00BA04A2">
            <w:pPr>
              <w:jc w:val="right"/>
              <w:rPr>
                <w:sz w:val="14"/>
                <w:szCs w:val="14"/>
                <w:lang w:eastAsia="tr-TR"/>
              </w:rPr>
            </w:pPr>
            <w:r w:rsidRPr="00005453">
              <w:rPr>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450D44BD" w14:textId="164C573A" w:rsidR="00BA04A2" w:rsidRPr="00005453" w:rsidRDefault="00BA04A2" w:rsidP="00BA04A2">
            <w:pPr>
              <w:jc w:val="right"/>
              <w:rPr>
                <w:sz w:val="14"/>
                <w:szCs w:val="14"/>
                <w:lang w:eastAsia="tr-TR"/>
              </w:rPr>
            </w:pPr>
            <w:r w:rsidRPr="00005453">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912EE70" w14:textId="667D08EF" w:rsidR="00BA04A2" w:rsidRPr="00005453" w:rsidRDefault="00BA04A2" w:rsidP="00BA04A2">
            <w:pPr>
              <w:jc w:val="right"/>
              <w:rPr>
                <w:sz w:val="14"/>
                <w:szCs w:val="14"/>
                <w:lang w:eastAsia="tr-TR"/>
              </w:rPr>
            </w:pPr>
            <w:r w:rsidRPr="00005453">
              <w:rPr>
                <w:sz w:val="14"/>
                <w:szCs w:val="14"/>
              </w:rPr>
              <w:t>-</w:t>
            </w:r>
          </w:p>
        </w:tc>
      </w:tr>
      <w:tr w:rsidR="00C0703C" w:rsidRPr="00005453" w14:paraId="4076122D" w14:textId="77777777" w:rsidTr="00BD1BED">
        <w:trPr>
          <w:divId w:val="248657329"/>
          <w:trHeight w:val="57"/>
        </w:trPr>
        <w:tc>
          <w:tcPr>
            <w:tcW w:w="525" w:type="dxa"/>
            <w:tcBorders>
              <w:top w:val="nil"/>
              <w:left w:val="single" w:sz="4" w:space="0" w:color="auto"/>
              <w:bottom w:val="single" w:sz="4" w:space="0" w:color="auto"/>
              <w:right w:val="single" w:sz="4" w:space="0" w:color="auto"/>
            </w:tcBorders>
            <w:shd w:val="clear" w:color="auto" w:fill="auto"/>
            <w:noWrap/>
            <w:hideMark/>
          </w:tcPr>
          <w:p w14:paraId="240E410A" w14:textId="77777777" w:rsidR="00C0703C" w:rsidRPr="00005453" w:rsidRDefault="00C0703C" w:rsidP="00614CD2">
            <w:pPr>
              <w:rPr>
                <w:color w:val="000000"/>
                <w:sz w:val="10"/>
                <w:szCs w:val="10"/>
                <w:lang w:eastAsia="tr-TR"/>
              </w:rPr>
            </w:pPr>
            <w:r w:rsidRPr="00005453">
              <w:rPr>
                <w:color w:val="000000"/>
                <w:sz w:val="10"/>
                <w:szCs w:val="10"/>
                <w:lang w:eastAsia="tr-TR"/>
              </w:rPr>
              <w:t> </w:t>
            </w:r>
          </w:p>
        </w:tc>
        <w:tc>
          <w:tcPr>
            <w:tcW w:w="3118" w:type="dxa"/>
            <w:tcBorders>
              <w:top w:val="nil"/>
              <w:left w:val="single" w:sz="4" w:space="0" w:color="auto"/>
              <w:bottom w:val="single" w:sz="4" w:space="0" w:color="auto"/>
              <w:right w:val="single" w:sz="4" w:space="0" w:color="auto"/>
            </w:tcBorders>
            <w:shd w:val="clear" w:color="auto" w:fill="auto"/>
            <w:noWrap/>
            <w:hideMark/>
          </w:tcPr>
          <w:p w14:paraId="51E1E3D0" w14:textId="77777777" w:rsidR="00C0703C" w:rsidRPr="00005453" w:rsidRDefault="00C0703C" w:rsidP="00614CD2">
            <w:pPr>
              <w:rPr>
                <w:color w:val="000000"/>
                <w:sz w:val="10"/>
                <w:szCs w:val="10"/>
                <w:lang w:eastAsia="tr-TR"/>
              </w:rPr>
            </w:pPr>
            <w:r w:rsidRPr="00005453">
              <w:rPr>
                <w:color w:val="000000"/>
                <w:sz w:val="10"/>
                <w:szCs w:val="10"/>
                <w:lang w:eastAsia="tr-TR"/>
              </w:rPr>
              <w:t> </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61ED91D4" w14:textId="62DA84B2" w:rsidR="00C0703C" w:rsidRPr="00005453" w:rsidRDefault="00C0703C" w:rsidP="00C0703C">
            <w:pPr>
              <w:jc w:val="center"/>
              <w:rPr>
                <w:color w:val="000000"/>
                <w:sz w:val="10"/>
                <w:szCs w:val="10"/>
                <w:lang w:eastAsia="tr-TR"/>
              </w:rPr>
            </w:pPr>
          </w:p>
        </w:tc>
        <w:tc>
          <w:tcPr>
            <w:tcW w:w="851" w:type="dxa"/>
            <w:tcBorders>
              <w:top w:val="nil"/>
              <w:left w:val="single" w:sz="4" w:space="0" w:color="auto"/>
              <w:bottom w:val="single" w:sz="4" w:space="0" w:color="auto"/>
              <w:right w:val="single" w:sz="4" w:space="0" w:color="auto"/>
            </w:tcBorders>
            <w:shd w:val="clear" w:color="auto" w:fill="auto"/>
            <w:hideMark/>
          </w:tcPr>
          <w:p w14:paraId="7200681A" w14:textId="175D080E" w:rsidR="00C0703C" w:rsidRPr="00005453" w:rsidRDefault="00C0703C" w:rsidP="008A460B">
            <w:pPr>
              <w:jc w:val="right"/>
              <w:rPr>
                <w:sz w:val="10"/>
                <w:szCs w:val="10"/>
                <w:lang w:eastAsia="tr-TR"/>
              </w:rPr>
            </w:pPr>
          </w:p>
        </w:tc>
        <w:tc>
          <w:tcPr>
            <w:tcW w:w="851" w:type="dxa"/>
            <w:tcBorders>
              <w:top w:val="nil"/>
              <w:left w:val="single" w:sz="4" w:space="0" w:color="auto"/>
              <w:bottom w:val="single" w:sz="4" w:space="0" w:color="auto"/>
              <w:right w:val="single" w:sz="4" w:space="0" w:color="auto"/>
            </w:tcBorders>
            <w:shd w:val="clear" w:color="auto" w:fill="auto"/>
            <w:hideMark/>
          </w:tcPr>
          <w:p w14:paraId="14A6917A" w14:textId="6533EA8E" w:rsidR="00C0703C" w:rsidRPr="00005453" w:rsidRDefault="00C0703C" w:rsidP="008A460B">
            <w:pPr>
              <w:jc w:val="right"/>
              <w:rPr>
                <w:sz w:val="10"/>
                <w:szCs w:val="10"/>
                <w:lang w:eastAsia="tr-TR"/>
              </w:rPr>
            </w:pPr>
          </w:p>
        </w:tc>
        <w:tc>
          <w:tcPr>
            <w:tcW w:w="991" w:type="dxa"/>
            <w:tcBorders>
              <w:top w:val="nil"/>
              <w:left w:val="single" w:sz="4" w:space="0" w:color="auto"/>
              <w:bottom w:val="single" w:sz="4" w:space="0" w:color="auto"/>
              <w:right w:val="single" w:sz="4" w:space="0" w:color="auto"/>
            </w:tcBorders>
            <w:shd w:val="clear" w:color="auto" w:fill="auto"/>
            <w:hideMark/>
          </w:tcPr>
          <w:p w14:paraId="5527BBAD" w14:textId="670AC4F8" w:rsidR="00C0703C" w:rsidRPr="00005453" w:rsidRDefault="00C0703C" w:rsidP="008A460B">
            <w:pPr>
              <w:jc w:val="right"/>
              <w:rPr>
                <w:sz w:val="10"/>
                <w:szCs w:val="10"/>
                <w:lang w:eastAsia="tr-TR"/>
              </w:rPr>
            </w:pPr>
          </w:p>
        </w:tc>
        <w:tc>
          <w:tcPr>
            <w:tcW w:w="851" w:type="dxa"/>
            <w:tcBorders>
              <w:top w:val="nil"/>
              <w:left w:val="single" w:sz="4" w:space="0" w:color="auto"/>
              <w:bottom w:val="single" w:sz="4" w:space="0" w:color="auto"/>
              <w:right w:val="single" w:sz="4" w:space="0" w:color="auto"/>
            </w:tcBorders>
            <w:shd w:val="clear" w:color="auto" w:fill="auto"/>
            <w:hideMark/>
          </w:tcPr>
          <w:p w14:paraId="7057CB30" w14:textId="2553AAEE" w:rsidR="00C0703C" w:rsidRPr="00005453" w:rsidRDefault="00C0703C" w:rsidP="008A460B">
            <w:pPr>
              <w:jc w:val="right"/>
              <w:rPr>
                <w:sz w:val="10"/>
                <w:szCs w:val="10"/>
                <w:lang w:eastAsia="tr-TR"/>
              </w:rPr>
            </w:pPr>
          </w:p>
        </w:tc>
        <w:tc>
          <w:tcPr>
            <w:tcW w:w="850" w:type="dxa"/>
            <w:tcBorders>
              <w:top w:val="nil"/>
              <w:left w:val="single" w:sz="4" w:space="0" w:color="auto"/>
              <w:bottom w:val="single" w:sz="4" w:space="0" w:color="auto"/>
              <w:right w:val="single" w:sz="4" w:space="0" w:color="auto"/>
            </w:tcBorders>
            <w:shd w:val="clear" w:color="auto" w:fill="auto"/>
            <w:hideMark/>
          </w:tcPr>
          <w:p w14:paraId="731AED7D" w14:textId="15D12629" w:rsidR="00C0703C" w:rsidRPr="00005453" w:rsidRDefault="00C0703C" w:rsidP="008A460B">
            <w:pPr>
              <w:jc w:val="right"/>
              <w:rPr>
                <w:sz w:val="10"/>
                <w:szCs w:val="10"/>
                <w:lang w:eastAsia="tr-TR"/>
              </w:rPr>
            </w:pPr>
          </w:p>
        </w:tc>
        <w:tc>
          <w:tcPr>
            <w:tcW w:w="993" w:type="dxa"/>
            <w:tcBorders>
              <w:top w:val="nil"/>
              <w:left w:val="single" w:sz="4" w:space="0" w:color="auto"/>
              <w:bottom w:val="single" w:sz="4" w:space="0" w:color="auto"/>
              <w:right w:val="single" w:sz="4" w:space="0" w:color="auto"/>
            </w:tcBorders>
            <w:shd w:val="clear" w:color="auto" w:fill="auto"/>
            <w:hideMark/>
          </w:tcPr>
          <w:p w14:paraId="6B15DAC1" w14:textId="13B1A121" w:rsidR="00C0703C" w:rsidRPr="00005453" w:rsidRDefault="00C0703C" w:rsidP="008A460B">
            <w:pPr>
              <w:jc w:val="right"/>
              <w:rPr>
                <w:sz w:val="10"/>
                <w:szCs w:val="10"/>
                <w:lang w:eastAsia="tr-TR"/>
              </w:rPr>
            </w:pPr>
          </w:p>
        </w:tc>
      </w:tr>
      <w:tr w:rsidR="00785B70" w:rsidRPr="00005453" w14:paraId="21C339CC" w14:textId="77777777" w:rsidTr="00785B70">
        <w:trPr>
          <w:divId w:val="248657329"/>
          <w:trHeight w:val="196"/>
        </w:trPr>
        <w:tc>
          <w:tcPr>
            <w:tcW w:w="525" w:type="dxa"/>
            <w:tcBorders>
              <w:top w:val="nil"/>
              <w:left w:val="single" w:sz="4" w:space="0" w:color="auto"/>
              <w:bottom w:val="single" w:sz="4" w:space="0" w:color="auto"/>
              <w:right w:val="single" w:sz="4" w:space="0" w:color="auto"/>
            </w:tcBorders>
            <w:shd w:val="clear" w:color="auto" w:fill="auto"/>
            <w:noWrap/>
            <w:hideMark/>
          </w:tcPr>
          <w:p w14:paraId="0CA43020"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1D7050F"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00E9C43B"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 </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2319AC41" w14:textId="07C26BE6" w:rsidR="00785B70" w:rsidRPr="00005453" w:rsidRDefault="00785B70" w:rsidP="00785B70">
            <w:pPr>
              <w:jc w:val="right"/>
              <w:rPr>
                <w:b/>
                <w:bCs/>
                <w:sz w:val="14"/>
                <w:szCs w:val="14"/>
              </w:rPr>
            </w:pPr>
            <w:r w:rsidRPr="00005453">
              <w:rPr>
                <w:b/>
                <w:bCs/>
                <w:sz w:val="14"/>
                <w:szCs w:val="18"/>
              </w:rPr>
              <w:t>412,688,863</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2AF20285" w14:textId="71124842" w:rsidR="00785B70" w:rsidRPr="00005453" w:rsidRDefault="00785B70" w:rsidP="00785B70">
            <w:pPr>
              <w:jc w:val="right"/>
              <w:rPr>
                <w:b/>
                <w:bCs/>
                <w:sz w:val="14"/>
                <w:szCs w:val="14"/>
              </w:rPr>
            </w:pPr>
            <w:r w:rsidRPr="00005453">
              <w:rPr>
                <w:b/>
                <w:bCs/>
                <w:sz w:val="14"/>
                <w:szCs w:val="18"/>
              </w:rPr>
              <w:t>439,431,540</w:t>
            </w:r>
          </w:p>
        </w:tc>
        <w:tc>
          <w:tcPr>
            <w:tcW w:w="991" w:type="dxa"/>
            <w:tcBorders>
              <w:top w:val="nil"/>
              <w:left w:val="single" w:sz="4" w:space="0" w:color="auto"/>
              <w:bottom w:val="single" w:sz="4" w:space="0" w:color="auto"/>
              <w:right w:val="single" w:sz="4" w:space="0" w:color="auto"/>
            </w:tcBorders>
            <w:shd w:val="clear" w:color="auto" w:fill="auto"/>
            <w:vAlign w:val="center"/>
            <w:hideMark/>
          </w:tcPr>
          <w:p w14:paraId="2157838B" w14:textId="53359B1F" w:rsidR="00785B70" w:rsidRPr="00005453" w:rsidRDefault="00785B70" w:rsidP="00785B70">
            <w:pPr>
              <w:jc w:val="right"/>
              <w:rPr>
                <w:b/>
                <w:bCs/>
                <w:sz w:val="14"/>
                <w:szCs w:val="14"/>
              </w:rPr>
            </w:pPr>
            <w:r w:rsidRPr="00005453">
              <w:rPr>
                <w:b/>
                <w:bCs/>
                <w:sz w:val="14"/>
                <w:szCs w:val="18"/>
              </w:rPr>
              <w:t>852,120,403</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55E37D0" w14:textId="70438909" w:rsidR="00785B70" w:rsidRPr="00005453" w:rsidRDefault="00785B70" w:rsidP="00785B70">
            <w:pPr>
              <w:jc w:val="right"/>
              <w:rPr>
                <w:b/>
                <w:bCs/>
                <w:sz w:val="14"/>
                <w:szCs w:val="14"/>
                <w:lang w:eastAsia="tr-TR"/>
              </w:rPr>
            </w:pPr>
            <w:r w:rsidRPr="00005453">
              <w:rPr>
                <w:b/>
                <w:bCs/>
                <w:sz w:val="14"/>
                <w:szCs w:val="14"/>
              </w:rPr>
              <w:t>320,578,793</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A8FED41" w14:textId="464435E6" w:rsidR="00785B70" w:rsidRPr="00005453" w:rsidRDefault="00785B70" w:rsidP="00785B70">
            <w:pPr>
              <w:jc w:val="right"/>
              <w:rPr>
                <w:b/>
                <w:bCs/>
                <w:sz w:val="14"/>
                <w:szCs w:val="14"/>
                <w:lang w:eastAsia="tr-TR"/>
              </w:rPr>
            </w:pPr>
            <w:r w:rsidRPr="00005453">
              <w:rPr>
                <w:b/>
                <w:bCs/>
                <w:sz w:val="14"/>
                <w:szCs w:val="14"/>
              </w:rPr>
              <w:t>347,589,422</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7E8DD221" w14:textId="10A279A7" w:rsidR="00785B70" w:rsidRPr="00005453" w:rsidRDefault="00785B70" w:rsidP="00785B70">
            <w:pPr>
              <w:jc w:val="right"/>
              <w:rPr>
                <w:b/>
                <w:bCs/>
                <w:sz w:val="14"/>
                <w:szCs w:val="14"/>
                <w:lang w:eastAsia="tr-TR"/>
              </w:rPr>
            </w:pPr>
            <w:r w:rsidRPr="00005453">
              <w:rPr>
                <w:b/>
                <w:bCs/>
                <w:sz w:val="14"/>
                <w:szCs w:val="14"/>
              </w:rPr>
              <w:t>668,168,215</w:t>
            </w:r>
          </w:p>
        </w:tc>
      </w:tr>
    </w:tbl>
    <w:p w14:paraId="529F8C85" w14:textId="76C1A8FA" w:rsidR="002F1C1D" w:rsidRPr="00005453" w:rsidRDefault="002F1C1D" w:rsidP="00666B0D">
      <w:pPr>
        <w:autoSpaceDE w:val="0"/>
        <w:autoSpaceDN w:val="0"/>
        <w:adjustRightInd w:val="0"/>
        <w:spacing w:after="60"/>
        <w:jc w:val="both"/>
        <w:rPr>
          <w:lang w:val="en-GB" w:eastAsia="en-GB"/>
        </w:rPr>
      </w:pPr>
    </w:p>
    <w:p w14:paraId="4580BB08" w14:textId="011DBE45" w:rsidR="007A576D" w:rsidRPr="00005453" w:rsidRDefault="007A576D" w:rsidP="00666B0D">
      <w:pPr>
        <w:autoSpaceDE w:val="0"/>
        <w:autoSpaceDN w:val="0"/>
        <w:adjustRightInd w:val="0"/>
        <w:spacing w:after="60"/>
        <w:jc w:val="both"/>
        <w:rPr>
          <w:b/>
          <w:sz w:val="14"/>
          <w:szCs w:val="14"/>
        </w:rPr>
      </w:pPr>
    </w:p>
    <w:p w14:paraId="6AAF2FAD" w14:textId="77777777" w:rsidR="0038384F" w:rsidRPr="00005453" w:rsidRDefault="0038384F" w:rsidP="00690AD3">
      <w:pPr>
        <w:tabs>
          <w:tab w:val="left" w:pos="5880"/>
        </w:tabs>
        <w:autoSpaceDE w:val="0"/>
        <w:autoSpaceDN w:val="0"/>
        <w:adjustRightInd w:val="0"/>
        <w:rPr>
          <w:b/>
          <w:sz w:val="14"/>
          <w:szCs w:val="14"/>
        </w:rPr>
      </w:pPr>
    </w:p>
    <w:p w14:paraId="2921DBDC" w14:textId="409F1355" w:rsidR="00666B0D" w:rsidRPr="00005453" w:rsidRDefault="00666B0D" w:rsidP="00690AD3">
      <w:pPr>
        <w:tabs>
          <w:tab w:val="left" w:pos="5880"/>
        </w:tabs>
        <w:autoSpaceDE w:val="0"/>
        <w:autoSpaceDN w:val="0"/>
        <w:adjustRightInd w:val="0"/>
        <w:rPr>
          <w:b/>
          <w:sz w:val="14"/>
          <w:szCs w:val="14"/>
        </w:rPr>
      </w:pPr>
    </w:p>
    <w:p w14:paraId="31B581EA" w14:textId="24EE4D72" w:rsidR="00666B0D" w:rsidRPr="00005453" w:rsidRDefault="00666B0D" w:rsidP="00690AD3">
      <w:pPr>
        <w:tabs>
          <w:tab w:val="left" w:pos="5880"/>
        </w:tabs>
        <w:autoSpaceDE w:val="0"/>
        <w:autoSpaceDN w:val="0"/>
        <w:adjustRightInd w:val="0"/>
        <w:rPr>
          <w:b/>
          <w:sz w:val="14"/>
          <w:szCs w:val="14"/>
        </w:rPr>
      </w:pPr>
    </w:p>
    <w:p w14:paraId="651DE601" w14:textId="5134E3F7" w:rsidR="00666B0D" w:rsidRPr="00005453" w:rsidRDefault="00666B0D" w:rsidP="00690AD3">
      <w:pPr>
        <w:tabs>
          <w:tab w:val="left" w:pos="5880"/>
        </w:tabs>
        <w:autoSpaceDE w:val="0"/>
        <w:autoSpaceDN w:val="0"/>
        <w:adjustRightInd w:val="0"/>
        <w:rPr>
          <w:b/>
          <w:sz w:val="14"/>
          <w:szCs w:val="14"/>
        </w:rPr>
      </w:pPr>
    </w:p>
    <w:p w14:paraId="73897C3C" w14:textId="40A3FEEC" w:rsidR="00666B0D" w:rsidRPr="00005453" w:rsidRDefault="00666B0D" w:rsidP="00690AD3">
      <w:pPr>
        <w:tabs>
          <w:tab w:val="left" w:pos="5880"/>
        </w:tabs>
        <w:autoSpaceDE w:val="0"/>
        <w:autoSpaceDN w:val="0"/>
        <w:adjustRightInd w:val="0"/>
        <w:rPr>
          <w:b/>
          <w:sz w:val="14"/>
          <w:szCs w:val="14"/>
        </w:rPr>
      </w:pPr>
    </w:p>
    <w:p w14:paraId="6E777960" w14:textId="49FD60F4" w:rsidR="00666B0D" w:rsidRPr="00005453" w:rsidRDefault="00666B0D" w:rsidP="00690AD3">
      <w:pPr>
        <w:tabs>
          <w:tab w:val="left" w:pos="5880"/>
        </w:tabs>
        <w:autoSpaceDE w:val="0"/>
        <w:autoSpaceDN w:val="0"/>
        <w:adjustRightInd w:val="0"/>
        <w:rPr>
          <w:b/>
          <w:sz w:val="14"/>
          <w:szCs w:val="14"/>
        </w:rPr>
      </w:pPr>
    </w:p>
    <w:p w14:paraId="187D446A" w14:textId="77777777" w:rsidR="00666B0D" w:rsidRPr="00005453" w:rsidRDefault="00666B0D" w:rsidP="00690AD3">
      <w:pPr>
        <w:tabs>
          <w:tab w:val="left" w:pos="5880"/>
        </w:tabs>
        <w:autoSpaceDE w:val="0"/>
        <w:autoSpaceDN w:val="0"/>
        <w:adjustRightInd w:val="0"/>
        <w:rPr>
          <w:b/>
          <w:sz w:val="14"/>
          <w:szCs w:val="14"/>
        </w:rPr>
      </w:pPr>
    </w:p>
    <w:p w14:paraId="3E74429D" w14:textId="77777777" w:rsidR="00690AD3" w:rsidRPr="00005453" w:rsidRDefault="00690AD3" w:rsidP="00690AD3">
      <w:pPr>
        <w:tabs>
          <w:tab w:val="left" w:pos="5880"/>
        </w:tabs>
        <w:autoSpaceDE w:val="0"/>
        <w:autoSpaceDN w:val="0"/>
        <w:adjustRightInd w:val="0"/>
        <w:rPr>
          <w:b/>
          <w:sz w:val="14"/>
          <w:szCs w:val="14"/>
        </w:rPr>
      </w:pPr>
    </w:p>
    <w:p w14:paraId="4EC3AC8C" w14:textId="77777777" w:rsidR="00994629" w:rsidRPr="00005453" w:rsidRDefault="00994629" w:rsidP="00994629">
      <w:pPr>
        <w:tabs>
          <w:tab w:val="left" w:pos="5880"/>
        </w:tabs>
        <w:autoSpaceDE w:val="0"/>
        <w:autoSpaceDN w:val="0"/>
        <w:adjustRightInd w:val="0"/>
        <w:jc w:val="center"/>
        <w:rPr>
          <w:bCs/>
          <w:i/>
          <w:iCs/>
          <w:sz w:val="14"/>
          <w:szCs w:val="14"/>
        </w:rPr>
      </w:pPr>
    </w:p>
    <w:p w14:paraId="1EAFC762" w14:textId="77777777" w:rsidR="00994629" w:rsidRPr="00005453" w:rsidRDefault="00994629" w:rsidP="00994629">
      <w:pPr>
        <w:tabs>
          <w:tab w:val="left" w:pos="5880"/>
        </w:tabs>
        <w:autoSpaceDE w:val="0"/>
        <w:autoSpaceDN w:val="0"/>
        <w:adjustRightInd w:val="0"/>
        <w:jc w:val="center"/>
        <w:rPr>
          <w:bCs/>
          <w:i/>
          <w:iCs/>
          <w:sz w:val="14"/>
          <w:szCs w:val="14"/>
        </w:rPr>
      </w:pPr>
    </w:p>
    <w:p w14:paraId="5B32EBFB" w14:textId="77777777" w:rsidR="00994629" w:rsidRPr="00005453" w:rsidRDefault="00994629" w:rsidP="00994629">
      <w:pPr>
        <w:tabs>
          <w:tab w:val="left" w:pos="5880"/>
        </w:tabs>
        <w:autoSpaceDE w:val="0"/>
        <w:autoSpaceDN w:val="0"/>
        <w:adjustRightInd w:val="0"/>
        <w:jc w:val="center"/>
        <w:rPr>
          <w:bCs/>
          <w:i/>
          <w:iCs/>
          <w:sz w:val="14"/>
          <w:szCs w:val="14"/>
        </w:rPr>
      </w:pPr>
    </w:p>
    <w:p w14:paraId="75CA7F7C" w14:textId="77777777" w:rsidR="00020EFB" w:rsidRPr="00005453" w:rsidRDefault="00020EFB" w:rsidP="00994629">
      <w:pPr>
        <w:tabs>
          <w:tab w:val="left" w:pos="5880"/>
        </w:tabs>
        <w:autoSpaceDE w:val="0"/>
        <w:autoSpaceDN w:val="0"/>
        <w:adjustRightInd w:val="0"/>
        <w:jc w:val="center"/>
        <w:rPr>
          <w:bCs/>
          <w:i/>
          <w:iCs/>
          <w:sz w:val="14"/>
          <w:szCs w:val="14"/>
        </w:rPr>
      </w:pPr>
    </w:p>
    <w:p w14:paraId="3FF65296" w14:textId="77777777" w:rsidR="00020EFB" w:rsidRPr="00005453" w:rsidRDefault="00020EFB" w:rsidP="00994629">
      <w:pPr>
        <w:tabs>
          <w:tab w:val="left" w:pos="5880"/>
        </w:tabs>
        <w:autoSpaceDE w:val="0"/>
        <w:autoSpaceDN w:val="0"/>
        <w:adjustRightInd w:val="0"/>
        <w:jc w:val="center"/>
        <w:rPr>
          <w:bCs/>
          <w:i/>
          <w:iCs/>
          <w:sz w:val="14"/>
          <w:szCs w:val="14"/>
        </w:rPr>
      </w:pPr>
    </w:p>
    <w:p w14:paraId="7800E168" w14:textId="77777777" w:rsidR="00020EFB" w:rsidRPr="00005453" w:rsidRDefault="00020EFB" w:rsidP="00994629">
      <w:pPr>
        <w:tabs>
          <w:tab w:val="left" w:pos="5880"/>
        </w:tabs>
        <w:autoSpaceDE w:val="0"/>
        <w:autoSpaceDN w:val="0"/>
        <w:adjustRightInd w:val="0"/>
        <w:jc w:val="center"/>
        <w:rPr>
          <w:bCs/>
          <w:i/>
          <w:iCs/>
          <w:sz w:val="14"/>
          <w:szCs w:val="14"/>
        </w:rPr>
      </w:pPr>
    </w:p>
    <w:p w14:paraId="3F26B55E" w14:textId="77777777" w:rsidR="00020EFB" w:rsidRPr="00005453" w:rsidRDefault="00020EFB" w:rsidP="00994629">
      <w:pPr>
        <w:tabs>
          <w:tab w:val="left" w:pos="5880"/>
        </w:tabs>
        <w:autoSpaceDE w:val="0"/>
        <w:autoSpaceDN w:val="0"/>
        <w:adjustRightInd w:val="0"/>
        <w:jc w:val="center"/>
        <w:rPr>
          <w:bCs/>
          <w:i/>
          <w:iCs/>
          <w:sz w:val="14"/>
          <w:szCs w:val="14"/>
        </w:rPr>
      </w:pPr>
    </w:p>
    <w:p w14:paraId="142AE6F2" w14:textId="77777777" w:rsidR="00020EFB" w:rsidRPr="00005453" w:rsidRDefault="00020EFB" w:rsidP="00994629">
      <w:pPr>
        <w:tabs>
          <w:tab w:val="left" w:pos="5880"/>
        </w:tabs>
        <w:autoSpaceDE w:val="0"/>
        <w:autoSpaceDN w:val="0"/>
        <w:adjustRightInd w:val="0"/>
        <w:jc w:val="center"/>
        <w:rPr>
          <w:bCs/>
          <w:i/>
          <w:iCs/>
          <w:sz w:val="14"/>
          <w:szCs w:val="14"/>
        </w:rPr>
      </w:pPr>
    </w:p>
    <w:p w14:paraId="7D3332FE" w14:textId="77777777" w:rsidR="00020EFB" w:rsidRPr="00005453" w:rsidRDefault="00020EFB" w:rsidP="00994629">
      <w:pPr>
        <w:tabs>
          <w:tab w:val="left" w:pos="5880"/>
        </w:tabs>
        <w:autoSpaceDE w:val="0"/>
        <w:autoSpaceDN w:val="0"/>
        <w:adjustRightInd w:val="0"/>
        <w:jc w:val="center"/>
        <w:rPr>
          <w:bCs/>
          <w:i/>
          <w:iCs/>
          <w:sz w:val="14"/>
          <w:szCs w:val="14"/>
        </w:rPr>
      </w:pPr>
    </w:p>
    <w:p w14:paraId="7BBC7F3D" w14:textId="77777777" w:rsidR="00020EFB" w:rsidRPr="00005453" w:rsidRDefault="00020EFB" w:rsidP="00994629">
      <w:pPr>
        <w:tabs>
          <w:tab w:val="left" w:pos="5880"/>
        </w:tabs>
        <w:autoSpaceDE w:val="0"/>
        <w:autoSpaceDN w:val="0"/>
        <w:adjustRightInd w:val="0"/>
        <w:jc w:val="center"/>
        <w:rPr>
          <w:bCs/>
          <w:i/>
          <w:iCs/>
          <w:sz w:val="14"/>
          <w:szCs w:val="14"/>
        </w:rPr>
      </w:pPr>
    </w:p>
    <w:p w14:paraId="58B33572" w14:textId="77777777" w:rsidR="00020EFB" w:rsidRPr="00005453" w:rsidRDefault="00020EFB" w:rsidP="00994629">
      <w:pPr>
        <w:tabs>
          <w:tab w:val="left" w:pos="5880"/>
        </w:tabs>
        <w:autoSpaceDE w:val="0"/>
        <w:autoSpaceDN w:val="0"/>
        <w:adjustRightInd w:val="0"/>
        <w:jc w:val="center"/>
        <w:rPr>
          <w:bCs/>
          <w:i/>
          <w:iCs/>
          <w:sz w:val="14"/>
          <w:szCs w:val="14"/>
        </w:rPr>
      </w:pPr>
    </w:p>
    <w:p w14:paraId="1D32841F" w14:textId="77777777" w:rsidR="00020EFB" w:rsidRPr="00005453" w:rsidRDefault="00020EFB" w:rsidP="00994629">
      <w:pPr>
        <w:tabs>
          <w:tab w:val="left" w:pos="5880"/>
        </w:tabs>
        <w:autoSpaceDE w:val="0"/>
        <w:autoSpaceDN w:val="0"/>
        <w:adjustRightInd w:val="0"/>
        <w:jc w:val="center"/>
        <w:rPr>
          <w:bCs/>
          <w:i/>
          <w:iCs/>
          <w:sz w:val="14"/>
          <w:szCs w:val="14"/>
        </w:rPr>
      </w:pPr>
    </w:p>
    <w:p w14:paraId="2F181ADD" w14:textId="77777777" w:rsidR="00020EFB" w:rsidRPr="00005453" w:rsidRDefault="00020EFB" w:rsidP="00994629">
      <w:pPr>
        <w:tabs>
          <w:tab w:val="left" w:pos="5880"/>
        </w:tabs>
        <w:autoSpaceDE w:val="0"/>
        <w:autoSpaceDN w:val="0"/>
        <w:adjustRightInd w:val="0"/>
        <w:jc w:val="center"/>
        <w:rPr>
          <w:bCs/>
          <w:i/>
          <w:iCs/>
          <w:sz w:val="14"/>
          <w:szCs w:val="14"/>
        </w:rPr>
      </w:pPr>
    </w:p>
    <w:p w14:paraId="61ACD311" w14:textId="77777777" w:rsidR="00020EFB" w:rsidRPr="00005453" w:rsidRDefault="00020EFB" w:rsidP="00994629">
      <w:pPr>
        <w:tabs>
          <w:tab w:val="left" w:pos="5880"/>
        </w:tabs>
        <w:autoSpaceDE w:val="0"/>
        <w:autoSpaceDN w:val="0"/>
        <w:adjustRightInd w:val="0"/>
        <w:jc w:val="center"/>
        <w:rPr>
          <w:bCs/>
          <w:i/>
          <w:iCs/>
          <w:sz w:val="14"/>
          <w:szCs w:val="14"/>
        </w:rPr>
      </w:pPr>
    </w:p>
    <w:p w14:paraId="1799C2F4" w14:textId="77777777" w:rsidR="00020EFB" w:rsidRPr="00005453" w:rsidRDefault="00020EFB" w:rsidP="00994629">
      <w:pPr>
        <w:tabs>
          <w:tab w:val="left" w:pos="5880"/>
        </w:tabs>
        <w:autoSpaceDE w:val="0"/>
        <w:autoSpaceDN w:val="0"/>
        <w:adjustRightInd w:val="0"/>
        <w:jc w:val="center"/>
        <w:rPr>
          <w:bCs/>
          <w:i/>
          <w:iCs/>
          <w:sz w:val="14"/>
          <w:szCs w:val="14"/>
        </w:rPr>
      </w:pPr>
    </w:p>
    <w:p w14:paraId="77CCCA62" w14:textId="66A65F0F" w:rsidR="008D745E" w:rsidRPr="00005453" w:rsidRDefault="00690AD3" w:rsidP="00994629">
      <w:pPr>
        <w:tabs>
          <w:tab w:val="left" w:pos="5880"/>
        </w:tabs>
        <w:autoSpaceDE w:val="0"/>
        <w:autoSpaceDN w:val="0"/>
        <w:adjustRightInd w:val="0"/>
        <w:jc w:val="center"/>
        <w:rPr>
          <w:bCs/>
          <w:i/>
          <w:iCs/>
          <w:sz w:val="15"/>
          <w:szCs w:val="15"/>
        </w:rPr>
        <w:sectPr w:rsidR="008D745E" w:rsidRPr="00005453" w:rsidSect="004D3907">
          <w:footerReference w:type="default" r:id="rId25"/>
          <w:pgSz w:w="11907" w:h="16840" w:code="9"/>
          <w:pgMar w:top="624" w:right="1247" w:bottom="624" w:left="1418" w:header="357" w:footer="709" w:gutter="0"/>
          <w:pgNumType w:start="3"/>
          <w:cols w:space="708"/>
          <w:noEndnote/>
        </w:sectPr>
      </w:pPr>
      <w:r w:rsidRPr="00005453">
        <w:rPr>
          <w:bCs/>
          <w:i/>
          <w:iCs/>
          <w:sz w:val="14"/>
          <w:szCs w:val="14"/>
        </w:rPr>
        <w:t>İlişikteki notlar bu finansal tabloların tamamlayıcı parçalarıdı</w:t>
      </w:r>
      <w:r w:rsidR="00EB6D85" w:rsidRPr="00005453">
        <w:rPr>
          <w:bCs/>
          <w:i/>
          <w:iCs/>
          <w:sz w:val="14"/>
          <w:szCs w:val="14"/>
        </w:rPr>
        <w:t>r.</w:t>
      </w:r>
    </w:p>
    <w:p w14:paraId="067D06CB" w14:textId="77777777" w:rsidR="002745FF" w:rsidRPr="00005453" w:rsidRDefault="006C3524" w:rsidP="002B3F7E">
      <w:pPr>
        <w:autoSpaceDE w:val="0"/>
        <w:autoSpaceDN w:val="0"/>
        <w:adjustRightInd w:val="0"/>
        <w:ind w:hanging="567"/>
        <w:jc w:val="both"/>
        <w:rPr>
          <w:rFonts w:eastAsia="Arial Unicode MS"/>
          <w:b/>
          <w:sz w:val="22"/>
        </w:rPr>
      </w:pPr>
      <w:r w:rsidRPr="00005453">
        <w:rPr>
          <w:rFonts w:eastAsia="Arial Unicode MS"/>
          <w:b/>
          <w:sz w:val="22"/>
        </w:rPr>
        <w:lastRenderedPageBreak/>
        <w:t>2</w:t>
      </w:r>
      <w:r w:rsidR="002745FF" w:rsidRPr="00005453">
        <w:rPr>
          <w:rFonts w:eastAsia="Arial Unicode MS"/>
          <w:b/>
          <w:sz w:val="22"/>
        </w:rPr>
        <w:t>.</w:t>
      </w:r>
      <w:r w:rsidR="002745FF" w:rsidRPr="00005453">
        <w:rPr>
          <w:rFonts w:eastAsia="Arial Unicode MS"/>
          <w:b/>
          <w:sz w:val="22"/>
        </w:rPr>
        <w:tab/>
        <w:t xml:space="preserve">NAZIM HESAPLAR TABLOSU </w:t>
      </w:r>
    </w:p>
    <w:p w14:paraId="359A29BE" w14:textId="59BB4A49" w:rsidR="00A2067C" w:rsidRPr="00005453" w:rsidRDefault="00A2067C" w:rsidP="002B3F7E">
      <w:pPr>
        <w:autoSpaceDE w:val="0"/>
        <w:autoSpaceDN w:val="0"/>
        <w:adjustRightInd w:val="0"/>
        <w:ind w:hanging="567"/>
        <w:jc w:val="both"/>
        <w:rPr>
          <w:lang w:val="en-GB" w:eastAsia="en-GB"/>
        </w:rPr>
      </w:pPr>
    </w:p>
    <w:tbl>
      <w:tblPr>
        <w:tblW w:w="10223" w:type="dxa"/>
        <w:tblCellMar>
          <w:left w:w="70" w:type="dxa"/>
          <w:right w:w="70" w:type="dxa"/>
        </w:tblCellMar>
        <w:tblLook w:val="04A0" w:firstRow="1" w:lastRow="0" w:firstColumn="1" w:lastColumn="0" w:noHBand="0" w:noVBand="1"/>
      </w:tblPr>
      <w:tblGrid>
        <w:gridCol w:w="525"/>
        <w:gridCol w:w="3138"/>
        <w:gridCol w:w="585"/>
        <w:gridCol w:w="992"/>
        <w:gridCol w:w="992"/>
        <w:gridCol w:w="1015"/>
        <w:gridCol w:w="992"/>
        <w:gridCol w:w="945"/>
        <w:gridCol w:w="1039"/>
      </w:tblGrid>
      <w:tr w:rsidR="00A2067C" w:rsidRPr="00005453" w14:paraId="54037F4A" w14:textId="77777777" w:rsidTr="00DC3599">
        <w:trPr>
          <w:divId w:val="150484548"/>
          <w:trHeight w:val="164"/>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3FAE4BA" w14:textId="25868B49" w:rsidR="00A2067C" w:rsidRPr="00005453" w:rsidRDefault="00A2067C" w:rsidP="00A2067C">
            <w:pPr>
              <w:jc w:val="center"/>
              <w:rPr>
                <w:color w:val="000000"/>
                <w:sz w:val="14"/>
                <w:szCs w:val="14"/>
                <w:lang w:eastAsia="tr-TR"/>
              </w:rPr>
            </w:pPr>
            <w:r w:rsidRPr="00005453">
              <w:rPr>
                <w:color w:val="000000"/>
                <w:sz w:val="14"/>
                <w:szCs w:val="14"/>
                <w:lang w:eastAsia="tr-TR"/>
              </w:rPr>
              <w:t> </w:t>
            </w:r>
          </w:p>
        </w:tc>
        <w:tc>
          <w:tcPr>
            <w:tcW w:w="313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B259EA4" w14:textId="77777777" w:rsidR="00A2067C" w:rsidRPr="00005453" w:rsidRDefault="00A2067C" w:rsidP="00A2067C">
            <w:pPr>
              <w:jc w:val="center"/>
              <w:rPr>
                <w:color w:val="000000"/>
                <w:sz w:val="14"/>
                <w:szCs w:val="14"/>
                <w:lang w:eastAsia="tr-TR"/>
              </w:rPr>
            </w:pPr>
            <w:r w:rsidRPr="00005453">
              <w:rPr>
                <w:color w:val="000000"/>
                <w:sz w:val="14"/>
                <w:szCs w:val="14"/>
                <w:lang w:eastAsia="tr-TR"/>
              </w:rPr>
              <w:t> </w:t>
            </w:r>
          </w:p>
        </w:tc>
        <w:tc>
          <w:tcPr>
            <w:tcW w:w="58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43E912" w14:textId="77777777" w:rsidR="00A2067C" w:rsidRPr="00005453" w:rsidRDefault="00A2067C" w:rsidP="00A2067C">
            <w:pPr>
              <w:jc w:val="center"/>
              <w:rPr>
                <w:color w:val="000000"/>
                <w:sz w:val="14"/>
                <w:szCs w:val="14"/>
                <w:lang w:eastAsia="tr-TR"/>
              </w:rPr>
            </w:pPr>
            <w:r w:rsidRPr="00005453">
              <w:rPr>
                <w:color w:val="000000"/>
                <w:sz w:val="14"/>
                <w:szCs w:val="14"/>
                <w:lang w:eastAsia="tr-TR"/>
              </w:rPr>
              <w:t> </w:t>
            </w:r>
          </w:p>
        </w:tc>
        <w:tc>
          <w:tcPr>
            <w:tcW w:w="2999" w:type="dxa"/>
            <w:gridSpan w:val="3"/>
            <w:tcBorders>
              <w:top w:val="single" w:sz="4" w:space="0" w:color="auto"/>
              <w:left w:val="single" w:sz="4" w:space="0" w:color="auto"/>
              <w:bottom w:val="nil"/>
              <w:right w:val="single" w:sz="4" w:space="0" w:color="auto"/>
            </w:tcBorders>
            <w:shd w:val="clear" w:color="auto" w:fill="auto"/>
            <w:noWrap/>
            <w:vAlign w:val="center"/>
            <w:hideMark/>
          </w:tcPr>
          <w:p w14:paraId="41513C2B"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Bağımsız Denetimden Geçmiş</w:t>
            </w:r>
          </w:p>
        </w:tc>
        <w:tc>
          <w:tcPr>
            <w:tcW w:w="2976" w:type="dxa"/>
            <w:gridSpan w:val="3"/>
            <w:tcBorders>
              <w:top w:val="single" w:sz="4" w:space="0" w:color="auto"/>
              <w:left w:val="single" w:sz="4" w:space="0" w:color="auto"/>
              <w:bottom w:val="nil"/>
              <w:right w:val="single" w:sz="4" w:space="0" w:color="auto"/>
            </w:tcBorders>
            <w:shd w:val="clear" w:color="auto" w:fill="auto"/>
            <w:noWrap/>
            <w:vAlign w:val="center"/>
            <w:hideMark/>
          </w:tcPr>
          <w:p w14:paraId="647E1549"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Bağımsız Denetimden Geçmiş</w:t>
            </w:r>
          </w:p>
        </w:tc>
      </w:tr>
      <w:tr w:rsidR="00A2067C" w:rsidRPr="00005453" w14:paraId="21BEED51" w14:textId="77777777" w:rsidTr="00DC3599">
        <w:trPr>
          <w:divId w:val="150484548"/>
          <w:trHeight w:val="119"/>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253717B2" w14:textId="77777777" w:rsidR="00A2067C" w:rsidRPr="00005453" w:rsidRDefault="00A2067C" w:rsidP="00A2067C">
            <w:pPr>
              <w:rPr>
                <w:color w:val="000000"/>
                <w:sz w:val="14"/>
                <w:szCs w:val="14"/>
                <w:lang w:eastAsia="tr-TR"/>
              </w:rPr>
            </w:pPr>
          </w:p>
        </w:tc>
        <w:tc>
          <w:tcPr>
            <w:tcW w:w="3138" w:type="dxa"/>
            <w:vMerge/>
            <w:tcBorders>
              <w:top w:val="single" w:sz="8" w:space="0" w:color="auto"/>
              <w:left w:val="single" w:sz="4" w:space="0" w:color="auto"/>
              <w:bottom w:val="single" w:sz="8" w:space="0" w:color="000000"/>
              <w:right w:val="single" w:sz="4" w:space="0" w:color="auto"/>
            </w:tcBorders>
            <w:vAlign w:val="center"/>
            <w:hideMark/>
          </w:tcPr>
          <w:p w14:paraId="4D94CB06" w14:textId="77777777" w:rsidR="00A2067C" w:rsidRPr="00005453" w:rsidRDefault="00A2067C" w:rsidP="00A2067C">
            <w:pPr>
              <w:rPr>
                <w:color w:val="000000"/>
                <w:sz w:val="14"/>
                <w:szCs w:val="14"/>
                <w:lang w:eastAsia="tr-TR"/>
              </w:rPr>
            </w:pPr>
          </w:p>
        </w:tc>
        <w:tc>
          <w:tcPr>
            <w:tcW w:w="585" w:type="dxa"/>
            <w:vMerge/>
            <w:tcBorders>
              <w:top w:val="single" w:sz="8" w:space="0" w:color="auto"/>
              <w:left w:val="single" w:sz="4" w:space="0" w:color="auto"/>
              <w:bottom w:val="single" w:sz="8" w:space="0" w:color="000000"/>
              <w:right w:val="single" w:sz="4" w:space="0" w:color="auto"/>
            </w:tcBorders>
            <w:vAlign w:val="center"/>
            <w:hideMark/>
          </w:tcPr>
          <w:p w14:paraId="603D8A55" w14:textId="77777777" w:rsidR="00A2067C" w:rsidRPr="00005453" w:rsidRDefault="00A2067C" w:rsidP="00A2067C">
            <w:pPr>
              <w:rPr>
                <w:color w:val="000000"/>
                <w:sz w:val="14"/>
                <w:szCs w:val="14"/>
                <w:lang w:eastAsia="tr-TR"/>
              </w:rPr>
            </w:pPr>
          </w:p>
        </w:tc>
        <w:tc>
          <w:tcPr>
            <w:tcW w:w="2999" w:type="dxa"/>
            <w:gridSpan w:val="3"/>
            <w:tcBorders>
              <w:top w:val="nil"/>
              <w:left w:val="single" w:sz="4" w:space="0" w:color="auto"/>
              <w:bottom w:val="nil"/>
              <w:right w:val="single" w:sz="4" w:space="0" w:color="auto"/>
            </w:tcBorders>
            <w:shd w:val="clear" w:color="auto" w:fill="auto"/>
            <w:noWrap/>
            <w:vAlign w:val="center"/>
            <w:hideMark/>
          </w:tcPr>
          <w:p w14:paraId="33F0C0F6"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Cari Dönem</w:t>
            </w:r>
          </w:p>
        </w:tc>
        <w:tc>
          <w:tcPr>
            <w:tcW w:w="2976" w:type="dxa"/>
            <w:gridSpan w:val="3"/>
            <w:tcBorders>
              <w:top w:val="nil"/>
              <w:left w:val="single" w:sz="4" w:space="0" w:color="auto"/>
              <w:bottom w:val="nil"/>
              <w:right w:val="single" w:sz="4" w:space="0" w:color="auto"/>
            </w:tcBorders>
            <w:shd w:val="clear" w:color="auto" w:fill="auto"/>
            <w:noWrap/>
            <w:vAlign w:val="center"/>
            <w:hideMark/>
          </w:tcPr>
          <w:p w14:paraId="36276E4A" w14:textId="77777777" w:rsidR="00A2067C" w:rsidRPr="00005453" w:rsidRDefault="00A2067C" w:rsidP="00A2067C">
            <w:pPr>
              <w:jc w:val="right"/>
              <w:rPr>
                <w:b/>
                <w:bCs/>
                <w:color w:val="000000"/>
                <w:sz w:val="14"/>
                <w:szCs w:val="14"/>
                <w:lang w:eastAsia="tr-TR"/>
              </w:rPr>
            </w:pPr>
            <w:r w:rsidRPr="00005453">
              <w:rPr>
                <w:b/>
                <w:bCs/>
                <w:color w:val="000000"/>
                <w:sz w:val="14"/>
                <w:szCs w:val="14"/>
                <w:lang w:eastAsia="tr-TR"/>
              </w:rPr>
              <w:t>Önceki Dönem</w:t>
            </w:r>
          </w:p>
        </w:tc>
      </w:tr>
      <w:tr w:rsidR="00A2067C" w:rsidRPr="00005453" w14:paraId="2C2CEDE8" w14:textId="77777777" w:rsidTr="00DC3599">
        <w:trPr>
          <w:divId w:val="150484548"/>
          <w:trHeight w:val="179"/>
        </w:trPr>
        <w:tc>
          <w:tcPr>
            <w:tcW w:w="525" w:type="dxa"/>
            <w:vMerge/>
            <w:tcBorders>
              <w:top w:val="single" w:sz="8" w:space="0" w:color="auto"/>
              <w:left w:val="single" w:sz="4" w:space="0" w:color="auto"/>
              <w:bottom w:val="single" w:sz="4" w:space="0" w:color="auto"/>
              <w:right w:val="single" w:sz="4" w:space="0" w:color="auto"/>
            </w:tcBorders>
            <w:vAlign w:val="center"/>
            <w:hideMark/>
          </w:tcPr>
          <w:p w14:paraId="34A30D80" w14:textId="77777777" w:rsidR="00A2067C" w:rsidRPr="00005453" w:rsidRDefault="00A2067C" w:rsidP="00A2067C">
            <w:pPr>
              <w:rPr>
                <w:color w:val="000000"/>
                <w:sz w:val="14"/>
                <w:szCs w:val="14"/>
                <w:lang w:eastAsia="tr-TR"/>
              </w:rPr>
            </w:pPr>
          </w:p>
        </w:tc>
        <w:tc>
          <w:tcPr>
            <w:tcW w:w="3138" w:type="dxa"/>
            <w:vMerge/>
            <w:tcBorders>
              <w:top w:val="single" w:sz="8" w:space="0" w:color="auto"/>
              <w:left w:val="single" w:sz="4" w:space="0" w:color="auto"/>
              <w:bottom w:val="single" w:sz="4" w:space="0" w:color="auto"/>
              <w:right w:val="single" w:sz="4" w:space="0" w:color="auto"/>
            </w:tcBorders>
            <w:vAlign w:val="center"/>
            <w:hideMark/>
          </w:tcPr>
          <w:p w14:paraId="6E49AF81" w14:textId="77777777" w:rsidR="00A2067C" w:rsidRPr="00005453" w:rsidRDefault="00A2067C" w:rsidP="00A2067C">
            <w:pPr>
              <w:rPr>
                <w:color w:val="000000"/>
                <w:sz w:val="14"/>
                <w:szCs w:val="14"/>
                <w:lang w:eastAsia="tr-TR"/>
              </w:rPr>
            </w:pPr>
          </w:p>
        </w:tc>
        <w:tc>
          <w:tcPr>
            <w:tcW w:w="585" w:type="dxa"/>
            <w:vMerge/>
            <w:tcBorders>
              <w:top w:val="single" w:sz="8" w:space="0" w:color="auto"/>
              <w:left w:val="single" w:sz="4" w:space="0" w:color="auto"/>
              <w:bottom w:val="single" w:sz="4" w:space="0" w:color="auto"/>
              <w:right w:val="single" w:sz="4" w:space="0" w:color="auto"/>
            </w:tcBorders>
            <w:vAlign w:val="center"/>
            <w:hideMark/>
          </w:tcPr>
          <w:p w14:paraId="1BDED70F" w14:textId="77777777" w:rsidR="00A2067C" w:rsidRPr="00005453" w:rsidRDefault="00A2067C" w:rsidP="00A2067C">
            <w:pPr>
              <w:rPr>
                <w:color w:val="000000"/>
                <w:sz w:val="14"/>
                <w:szCs w:val="14"/>
                <w:lang w:eastAsia="tr-TR"/>
              </w:rPr>
            </w:pPr>
          </w:p>
        </w:tc>
        <w:tc>
          <w:tcPr>
            <w:tcW w:w="2999" w:type="dxa"/>
            <w:gridSpan w:val="3"/>
            <w:tcBorders>
              <w:top w:val="nil"/>
              <w:left w:val="single" w:sz="4" w:space="0" w:color="auto"/>
              <w:bottom w:val="single" w:sz="4" w:space="0" w:color="auto"/>
              <w:right w:val="single" w:sz="4" w:space="0" w:color="auto"/>
            </w:tcBorders>
            <w:shd w:val="clear" w:color="auto" w:fill="auto"/>
            <w:noWrap/>
            <w:vAlign w:val="center"/>
            <w:hideMark/>
          </w:tcPr>
          <w:p w14:paraId="4EED2334" w14:textId="5B21D3EA" w:rsidR="00A2067C" w:rsidRPr="00005453" w:rsidRDefault="00A2067C" w:rsidP="00A2067C">
            <w:pPr>
              <w:jc w:val="right"/>
              <w:rPr>
                <w:b/>
                <w:bCs/>
                <w:color w:val="000000"/>
                <w:sz w:val="14"/>
                <w:szCs w:val="14"/>
                <w:lang w:eastAsia="tr-TR"/>
              </w:rPr>
            </w:pPr>
            <w:r w:rsidRPr="00005453">
              <w:rPr>
                <w:b/>
                <w:bCs/>
                <w:color w:val="000000"/>
                <w:sz w:val="14"/>
                <w:szCs w:val="14"/>
                <w:lang w:eastAsia="tr-TR"/>
              </w:rPr>
              <w:t>31.12.202</w:t>
            </w:r>
            <w:r w:rsidR="00546405" w:rsidRPr="00005453">
              <w:rPr>
                <w:b/>
                <w:bCs/>
                <w:color w:val="000000"/>
                <w:sz w:val="14"/>
                <w:szCs w:val="14"/>
                <w:lang w:eastAsia="tr-TR"/>
              </w:rPr>
              <w:t>4</w:t>
            </w:r>
          </w:p>
        </w:tc>
        <w:tc>
          <w:tcPr>
            <w:tcW w:w="2976" w:type="dxa"/>
            <w:gridSpan w:val="3"/>
            <w:tcBorders>
              <w:top w:val="nil"/>
              <w:left w:val="single" w:sz="4" w:space="0" w:color="auto"/>
              <w:bottom w:val="single" w:sz="4" w:space="0" w:color="auto"/>
              <w:right w:val="single" w:sz="4" w:space="0" w:color="auto"/>
            </w:tcBorders>
            <w:shd w:val="clear" w:color="auto" w:fill="auto"/>
            <w:noWrap/>
            <w:vAlign w:val="center"/>
            <w:hideMark/>
          </w:tcPr>
          <w:p w14:paraId="7A6C6A0A" w14:textId="0EC33FAF" w:rsidR="00A2067C" w:rsidRPr="00005453" w:rsidRDefault="00A2067C" w:rsidP="00A2067C">
            <w:pPr>
              <w:jc w:val="right"/>
              <w:rPr>
                <w:b/>
                <w:bCs/>
                <w:color w:val="000000"/>
                <w:sz w:val="14"/>
                <w:szCs w:val="14"/>
                <w:lang w:eastAsia="tr-TR"/>
              </w:rPr>
            </w:pPr>
            <w:r w:rsidRPr="00005453">
              <w:rPr>
                <w:b/>
                <w:bCs/>
                <w:color w:val="000000"/>
                <w:sz w:val="14"/>
                <w:szCs w:val="14"/>
                <w:lang w:eastAsia="tr-TR"/>
              </w:rPr>
              <w:t>31.12.202</w:t>
            </w:r>
            <w:r w:rsidR="00546405" w:rsidRPr="00005453">
              <w:rPr>
                <w:b/>
                <w:bCs/>
                <w:color w:val="000000"/>
                <w:sz w:val="14"/>
                <w:szCs w:val="14"/>
                <w:lang w:eastAsia="tr-TR"/>
              </w:rPr>
              <w:t>3</w:t>
            </w:r>
          </w:p>
        </w:tc>
      </w:tr>
      <w:tr w:rsidR="00614CD2" w:rsidRPr="00005453" w14:paraId="1BAEE858" w14:textId="77777777" w:rsidTr="00DC3599">
        <w:trPr>
          <w:divId w:val="150484548"/>
          <w:trHeight w:val="56"/>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FA2E4" w14:textId="77777777" w:rsidR="00A2067C" w:rsidRPr="00005453" w:rsidRDefault="00A2067C" w:rsidP="00A2067C">
            <w:pPr>
              <w:rPr>
                <w:color w:val="000000"/>
                <w:sz w:val="14"/>
                <w:szCs w:val="14"/>
                <w:lang w:eastAsia="tr-TR"/>
              </w:rPr>
            </w:pPr>
            <w:r w:rsidRPr="00005453">
              <w:rPr>
                <w:color w:val="000000"/>
                <w:sz w:val="14"/>
                <w:szCs w:val="14"/>
                <w:lang w:eastAsia="tr-TR"/>
              </w:rPr>
              <w:t> </w:t>
            </w:r>
          </w:p>
        </w:tc>
        <w:tc>
          <w:tcPr>
            <w:tcW w:w="3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8D4DA" w14:textId="77777777" w:rsidR="00A2067C" w:rsidRPr="00005453" w:rsidRDefault="00A2067C" w:rsidP="00A2067C">
            <w:pPr>
              <w:rPr>
                <w:color w:val="000000"/>
                <w:sz w:val="14"/>
                <w:szCs w:val="14"/>
                <w:lang w:eastAsia="tr-TR"/>
              </w:rPr>
            </w:pPr>
            <w:r w:rsidRPr="00005453">
              <w:rPr>
                <w:color w:val="000000"/>
                <w:sz w:val="14"/>
                <w:szCs w:val="14"/>
                <w:lang w:eastAsia="tr-TR"/>
              </w:rPr>
              <w:t> </w:t>
            </w:r>
          </w:p>
        </w:tc>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A88BC" w14:textId="77777777" w:rsidR="00A2067C" w:rsidRPr="00005453" w:rsidRDefault="00A2067C" w:rsidP="00A2067C">
            <w:pPr>
              <w:jc w:val="center"/>
              <w:rPr>
                <w:b/>
                <w:color w:val="000000"/>
                <w:sz w:val="14"/>
                <w:szCs w:val="14"/>
                <w:lang w:eastAsia="tr-TR"/>
              </w:rPr>
            </w:pPr>
            <w:r w:rsidRPr="00005453">
              <w:rPr>
                <w:b/>
                <w:color w:val="000000"/>
                <w:sz w:val="14"/>
                <w:szCs w:val="14"/>
                <w:lang w:eastAsia="tr-TR"/>
              </w:rPr>
              <w:t>Dipnot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C7076" w14:textId="77777777" w:rsidR="00A2067C" w:rsidRPr="00005453" w:rsidRDefault="00A2067C" w:rsidP="00CF19C8">
            <w:pPr>
              <w:jc w:val="right"/>
              <w:rPr>
                <w:b/>
                <w:bCs/>
                <w:color w:val="000000"/>
                <w:sz w:val="14"/>
                <w:szCs w:val="14"/>
                <w:lang w:eastAsia="tr-TR"/>
              </w:rPr>
            </w:pPr>
            <w:r w:rsidRPr="00005453">
              <w:rPr>
                <w:b/>
                <w:bCs/>
                <w:color w:val="000000"/>
                <w:sz w:val="14"/>
                <w:szCs w:val="14"/>
                <w:lang w:eastAsia="tr-TR"/>
              </w:rPr>
              <w:t>TP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32261" w14:textId="77777777" w:rsidR="00A2067C" w:rsidRPr="00005453" w:rsidRDefault="00A2067C" w:rsidP="00CF19C8">
            <w:pPr>
              <w:jc w:val="right"/>
              <w:rPr>
                <w:b/>
                <w:bCs/>
                <w:color w:val="000000"/>
                <w:sz w:val="14"/>
                <w:szCs w:val="14"/>
                <w:lang w:eastAsia="tr-TR"/>
              </w:rPr>
            </w:pPr>
            <w:r w:rsidRPr="00005453">
              <w:rPr>
                <w:b/>
                <w:bCs/>
                <w:color w:val="000000"/>
                <w:sz w:val="14"/>
                <w:szCs w:val="14"/>
                <w:lang w:eastAsia="tr-TR"/>
              </w:rPr>
              <w:t>YP</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AAFF6" w14:textId="2D3BCCFD" w:rsidR="00A2067C" w:rsidRPr="00005453" w:rsidRDefault="00B64AFE" w:rsidP="00CF19C8">
            <w:pPr>
              <w:jc w:val="right"/>
              <w:rPr>
                <w:b/>
                <w:bCs/>
                <w:color w:val="000000"/>
                <w:sz w:val="14"/>
                <w:szCs w:val="14"/>
                <w:lang w:eastAsia="tr-TR"/>
              </w:rPr>
            </w:pPr>
            <w:r w:rsidRPr="00005453">
              <w:rPr>
                <w:b/>
                <w:bCs/>
                <w:color w:val="000000"/>
                <w:sz w:val="14"/>
                <w:szCs w:val="14"/>
                <w:lang w:eastAsia="tr-TR"/>
              </w:rPr>
              <w:t>Toplam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D7093" w14:textId="77777777" w:rsidR="00A2067C" w:rsidRPr="00005453" w:rsidRDefault="00A2067C" w:rsidP="00CF19C8">
            <w:pPr>
              <w:jc w:val="right"/>
              <w:rPr>
                <w:b/>
                <w:bCs/>
                <w:color w:val="000000"/>
                <w:sz w:val="14"/>
                <w:szCs w:val="14"/>
                <w:lang w:eastAsia="tr-TR"/>
              </w:rPr>
            </w:pPr>
            <w:r w:rsidRPr="00005453">
              <w:rPr>
                <w:b/>
                <w:bCs/>
                <w:color w:val="000000"/>
                <w:sz w:val="14"/>
                <w:szCs w:val="14"/>
                <w:lang w:eastAsia="tr-TR"/>
              </w:rPr>
              <w:t>TP</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462C9" w14:textId="77777777" w:rsidR="00A2067C" w:rsidRPr="00005453" w:rsidRDefault="00A2067C" w:rsidP="00CF19C8">
            <w:pPr>
              <w:jc w:val="right"/>
              <w:rPr>
                <w:b/>
                <w:bCs/>
                <w:color w:val="000000"/>
                <w:sz w:val="14"/>
                <w:szCs w:val="14"/>
                <w:lang w:eastAsia="tr-TR"/>
              </w:rPr>
            </w:pPr>
            <w:r w:rsidRPr="00005453">
              <w:rPr>
                <w:b/>
                <w:bCs/>
                <w:color w:val="000000"/>
                <w:sz w:val="14"/>
                <w:szCs w:val="14"/>
                <w:lang w:eastAsia="tr-TR"/>
              </w:rPr>
              <w:t>YP</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E9960" w14:textId="6A33BF9B" w:rsidR="00A2067C" w:rsidRPr="00005453" w:rsidRDefault="00B64AFE" w:rsidP="00CF19C8">
            <w:pPr>
              <w:jc w:val="right"/>
              <w:rPr>
                <w:b/>
                <w:bCs/>
                <w:color w:val="000000"/>
                <w:sz w:val="14"/>
                <w:szCs w:val="14"/>
                <w:lang w:eastAsia="tr-TR"/>
              </w:rPr>
            </w:pPr>
            <w:r w:rsidRPr="00005453">
              <w:rPr>
                <w:b/>
                <w:bCs/>
                <w:color w:val="000000"/>
                <w:sz w:val="14"/>
                <w:szCs w:val="14"/>
                <w:lang w:eastAsia="tr-TR"/>
              </w:rPr>
              <w:t>Toplam</w:t>
            </w:r>
          </w:p>
        </w:tc>
      </w:tr>
      <w:tr w:rsidR="00614CD2" w:rsidRPr="00005453" w14:paraId="3CA303C0" w14:textId="77777777" w:rsidTr="00DC3599">
        <w:trPr>
          <w:divId w:val="150484548"/>
          <w:trHeight w:val="104"/>
        </w:trPr>
        <w:tc>
          <w:tcPr>
            <w:tcW w:w="525" w:type="dxa"/>
            <w:tcBorders>
              <w:top w:val="single" w:sz="4" w:space="0" w:color="auto"/>
              <w:left w:val="single" w:sz="4" w:space="0" w:color="auto"/>
              <w:bottom w:val="nil"/>
              <w:right w:val="single" w:sz="4" w:space="0" w:color="auto"/>
            </w:tcBorders>
            <w:shd w:val="clear" w:color="auto" w:fill="auto"/>
            <w:noWrap/>
            <w:vAlign w:val="center"/>
            <w:hideMark/>
          </w:tcPr>
          <w:p w14:paraId="20144419" w14:textId="77777777" w:rsidR="00A2067C" w:rsidRPr="00005453" w:rsidRDefault="00A2067C" w:rsidP="00A2067C">
            <w:pPr>
              <w:jc w:val="center"/>
              <w:rPr>
                <w:b/>
                <w:bCs/>
                <w:color w:val="000000"/>
                <w:sz w:val="10"/>
                <w:szCs w:val="10"/>
                <w:lang w:eastAsia="tr-TR"/>
              </w:rPr>
            </w:pPr>
          </w:p>
        </w:tc>
        <w:tc>
          <w:tcPr>
            <w:tcW w:w="3138" w:type="dxa"/>
            <w:tcBorders>
              <w:top w:val="single" w:sz="4" w:space="0" w:color="auto"/>
              <w:left w:val="single" w:sz="4" w:space="0" w:color="auto"/>
              <w:bottom w:val="nil"/>
              <w:right w:val="single" w:sz="4" w:space="0" w:color="auto"/>
            </w:tcBorders>
            <w:shd w:val="clear" w:color="auto" w:fill="auto"/>
            <w:noWrap/>
            <w:vAlign w:val="center"/>
            <w:hideMark/>
          </w:tcPr>
          <w:p w14:paraId="44853B8A" w14:textId="77777777" w:rsidR="00A2067C" w:rsidRPr="00005453" w:rsidRDefault="00A2067C" w:rsidP="00A2067C">
            <w:pPr>
              <w:rPr>
                <w:sz w:val="10"/>
                <w:szCs w:val="10"/>
                <w:lang w:eastAsia="tr-TR"/>
              </w:rPr>
            </w:pPr>
          </w:p>
        </w:tc>
        <w:tc>
          <w:tcPr>
            <w:tcW w:w="585" w:type="dxa"/>
            <w:tcBorders>
              <w:top w:val="single" w:sz="4" w:space="0" w:color="auto"/>
              <w:left w:val="single" w:sz="4" w:space="0" w:color="auto"/>
              <w:bottom w:val="nil"/>
              <w:right w:val="single" w:sz="4" w:space="0" w:color="auto"/>
            </w:tcBorders>
            <w:shd w:val="clear" w:color="auto" w:fill="auto"/>
            <w:vAlign w:val="center"/>
            <w:hideMark/>
          </w:tcPr>
          <w:p w14:paraId="4649E969" w14:textId="77777777" w:rsidR="00A2067C" w:rsidRPr="00005453" w:rsidRDefault="00A2067C" w:rsidP="00A2067C">
            <w:pPr>
              <w:rPr>
                <w:sz w:val="10"/>
                <w:szCs w:val="10"/>
                <w:lang w:eastAsia="tr-TR"/>
              </w:rPr>
            </w:pPr>
          </w:p>
        </w:tc>
        <w:tc>
          <w:tcPr>
            <w:tcW w:w="992" w:type="dxa"/>
            <w:tcBorders>
              <w:top w:val="single" w:sz="4" w:space="0" w:color="auto"/>
              <w:left w:val="single" w:sz="4" w:space="0" w:color="auto"/>
              <w:bottom w:val="nil"/>
              <w:right w:val="single" w:sz="4" w:space="0" w:color="auto"/>
            </w:tcBorders>
            <w:shd w:val="clear" w:color="auto" w:fill="auto"/>
            <w:vAlign w:val="center"/>
            <w:hideMark/>
          </w:tcPr>
          <w:p w14:paraId="1C8C378A" w14:textId="77777777" w:rsidR="00A2067C" w:rsidRPr="00005453" w:rsidRDefault="00A2067C" w:rsidP="00A2067C">
            <w:pPr>
              <w:jc w:val="right"/>
              <w:rPr>
                <w:sz w:val="10"/>
                <w:szCs w:val="10"/>
                <w:lang w:eastAsia="tr-TR"/>
              </w:rPr>
            </w:pPr>
          </w:p>
        </w:tc>
        <w:tc>
          <w:tcPr>
            <w:tcW w:w="992" w:type="dxa"/>
            <w:tcBorders>
              <w:top w:val="single" w:sz="4" w:space="0" w:color="auto"/>
              <w:left w:val="single" w:sz="4" w:space="0" w:color="auto"/>
              <w:bottom w:val="nil"/>
              <w:right w:val="single" w:sz="4" w:space="0" w:color="auto"/>
            </w:tcBorders>
            <w:shd w:val="clear" w:color="auto" w:fill="auto"/>
            <w:vAlign w:val="center"/>
            <w:hideMark/>
          </w:tcPr>
          <w:p w14:paraId="4A3B6D2B" w14:textId="77777777" w:rsidR="00A2067C" w:rsidRPr="00005453" w:rsidRDefault="00A2067C" w:rsidP="00A2067C">
            <w:pPr>
              <w:jc w:val="right"/>
              <w:rPr>
                <w:sz w:val="10"/>
                <w:szCs w:val="10"/>
                <w:lang w:eastAsia="tr-TR"/>
              </w:rPr>
            </w:pPr>
          </w:p>
        </w:tc>
        <w:tc>
          <w:tcPr>
            <w:tcW w:w="1015" w:type="dxa"/>
            <w:tcBorders>
              <w:top w:val="single" w:sz="4" w:space="0" w:color="auto"/>
              <w:left w:val="single" w:sz="4" w:space="0" w:color="auto"/>
              <w:bottom w:val="nil"/>
              <w:right w:val="single" w:sz="4" w:space="0" w:color="auto"/>
            </w:tcBorders>
            <w:shd w:val="clear" w:color="auto" w:fill="auto"/>
            <w:vAlign w:val="center"/>
            <w:hideMark/>
          </w:tcPr>
          <w:p w14:paraId="64D7E1C3" w14:textId="77777777" w:rsidR="00A2067C" w:rsidRPr="00005453" w:rsidRDefault="00A2067C" w:rsidP="00A2067C">
            <w:pPr>
              <w:jc w:val="right"/>
              <w:rPr>
                <w:sz w:val="10"/>
                <w:szCs w:val="10"/>
                <w:lang w:eastAsia="tr-TR"/>
              </w:rPr>
            </w:pPr>
          </w:p>
        </w:tc>
        <w:tc>
          <w:tcPr>
            <w:tcW w:w="992" w:type="dxa"/>
            <w:tcBorders>
              <w:top w:val="single" w:sz="4" w:space="0" w:color="auto"/>
              <w:left w:val="single" w:sz="4" w:space="0" w:color="auto"/>
              <w:bottom w:val="nil"/>
              <w:right w:val="single" w:sz="4" w:space="0" w:color="auto"/>
            </w:tcBorders>
            <w:shd w:val="clear" w:color="auto" w:fill="auto"/>
            <w:vAlign w:val="center"/>
            <w:hideMark/>
          </w:tcPr>
          <w:p w14:paraId="48FCD932" w14:textId="77777777" w:rsidR="00A2067C" w:rsidRPr="00005453" w:rsidRDefault="00A2067C" w:rsidP="00A2067C">
            <w:pPr>
              <w:jc w:val="right"/>
              <w:rPr>
                <w:sz w:val="10"/>
                <w:szCs w:val="10"/>
                <w:lang w:eastAsia="tr-TR"/>
              </w:rPr>
            </w:pPr>
          </w:p>
        </w:tc>
        <w:tc>
          <w:tcPr>
            <w:tcW w:w="945" w:type="dxa"/>
            <w:tcBorders>
              <w:top w:val="single" w:sz="4" w:space="0" w:color="auto"/>
              <w:left w:val="single" w:sz="4" w:space="0" w:color="auto"/>
              <w:bottom w:val="nil"/>
              <w:right w:val="single" w:sz="4" w:space="0" w:color="auto"/>
            </w:tcBorders>
            <w:shd w:val="clear" w:color="auto" w:fill="auto"/>
            <w:vAlign w:val="center"/>
            <w:hideMark/>
          </w:tcPr>
          <w:p w14:paraId="27252776" w14:textId="77777777" w:rsidR="00A2067C" w:rsidRPr="00005453" w:rsidRDefault="00A2067C" w:rsidP="00A2067C">
            <w:pPr>
              <w:jc w:val="right"/>
              <w:rPr>
                <w:sz w:val="10"/>
                <w:szCs w:val="10"/>
                <w:lang w:eastAsia="tr-TR"/>
              </w:rPr>
            </w:pPr>
          </w:p>
        </w:tc>
        <w:tc>
          <w:tcPr>
            <w:tcW w:w="1039" w:type="dxa"/>
            <w:tcBorders>
              <w:top w:val="single" w:sz="4" w:space="0" w:color="auto"/>
              <w:left w:val="single" w:sz="4" w:space="0" w:color="auto"/>
              <w:bottom w:val="nil"/>
              <w:right w:val="single" w:sz="4" w:space="0" w:color="auto"/>
            </w:tcBorders>
            <w:shd w:val="clear" w:color="auto" w:fill="auto"/>
            <w:vAlign w:val="center"/>
            <w:hideMark/>
          </w:tcPr>
          <w:p w14:paraId="57679A9B" w14:textId="77777777" w:rsidR="00A2067C" w:rsidRPr="00005453" w:rsidRDefault="00A2067C" w:rsidP="00A2067C">
            <w:pPr>
              <w:jc w:val="right"/>
              <w:rPr>
                <w:sz w:val="10"/>
                <w:szCs w:val="10"/>
                <w:lang w:eastAsia="tr-TR"/>
              </w:rPr>
            </w:pPr>
          </w:p>
        </w:tc>
      </w:tr>
      <w:tr w:rsidR="00DC3599" w:rsidRPr="00005453" w14:paraId="67C8126D"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4D3B59D"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A.</w:t>
            </w:r>
          </w:p>
        </w:tc>
        <w:tc>
          <w:tcPr>
            <w:tcW w:w="3138" w:type="dxa"/>
            <w:tcBorders>
              <w:top w:val="nil"/>
              <w:left w:val="single" w:sz="4" w:space="0" w:color="auto"/>
              <w:bottom w:val="nil"/>
              <w:right w:val="single" w:sz="4" w:space="0" w:color="auto"/>
            </w:tcBorders>
            <w:shd w:val="clear" w:color="auto" w:fill="auto"/>
            <w:noWrap/>
            <w:hideMark/>
          </w:tcPr>
          <w:p w14:paraId="58EB3235"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BİLANÇO DIŞI YÜKÜMLÜLÜKLER (I+II+III)</w:t>
            </w:r>
          </w:p>
        </w:tc>
        <w:tc>
          <w:tcPr>
            <w:tcW w:w="585" w:type="dxa"/>
            <w:tcBorders>
              <w:top w:val="nil"/>
              <w:left w:val="single" w:sz="4" w:space="0" w:color="auto"/>
              <w:bottom w:val="nil"/>
              <w:right w:val="single" w:sz="4" w:space="0" w:color="auto"/>
            </w:tcBorders>
            <w:shd w:val="clear" w:color="auto" w:fill="auto"/>
            <w:hideMark/>
          </w:tcPr>
          <w:p w14:paraId="51F203DA" w14:textId="77777777" w:rsidR="00DC3599" w:rsidRPr="00005453" w:rsidRDefault="00DC3599" w:rsidP="00DC3599">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C8AB1EA" w14:textId="5F41FCBF" w:rsidR="00DC3599" w:rsidRPr="00005453" w:rsidRDefault="00DC3599" w:rsidP="00DC3599">
            <w:pPr>
              <w:jc w:val="right"/>
              <w:rPr>
                <w:b/>
                <w:bCs/>
                <w:sz w:val="14"/>
                <w:szCs w:val="14"/>
              </w:rPr>
            </w:pPr>
            <w:r w:rsidRPr="00005453">
              <w:rPr>
                <w:b/>
                <w:bCs/>
                <w:sz w:val="14"/>
                <w:szCs w:val="18"/>
              </w:rPr>
              <w:t>248,076,321</w:t>
            </w:r>
          </w:p>
        </w:tc>
        <w:tc>
          <w:tcPr>
            <w:tcW w:w="992" w:type="dxa"/>
            <w:tcBorders>
              <w:top w:val="nil"/>
              <w:left w:val="single" w:sz="4" w:space="0" w:color="auto"/>
              <w:bottom w:val="nil"/>
              <w:right w:val="single" w:sz="4" w:space="0" w:color="auto"/>
            </w:tcBorders>
            <w:shd w:val="clear" w:color="auto" w:fill="auto"/>
            <w:vAlign w:val="center"/>
            <w:hideMark/>
          </w:tcPr>
          <w:p w14:paraId="7FD8312D" w14:textId="2A1F0F67" w:rsidR="00DC3599" w:rsidRPr="00005453" w:rsidRDefault="00DC3599" w:rsidP="00DC3599">
            <w:pPr>
              <w:jc w:val="right"/>
              <w:rPr>
                <w:b/>
                <w:bCs/>
                <w:sz w:val="14"/>
                <w:szCs w:val="14"/>
              </w:rPr>
            </w:pPr>
            <w:r w:rsidRPr="00005453">
              <w:rPr>
                <w:b/>
                <w:bCs/>
                <w:sz w:val="14"/>
                <w:szCs w:val="18"/>
              </w:rPr>
              <w:t>297,568,524</w:t>
            </w:r>
          </w:p>
        </w:tc>
        <w:tc>
          <w:tcPr>
            <w:tcW w:w="1015" w:type="dxa"/>
            <w:tcBorders>
              <w:top w:val="nil"/>
              <w:left w:val="single" w:sz="4" w:space="0" w:color="auto"/>
              <w:bottom w:val="nil"/>
              <w:right w:val="single" w:sz="4" w:space="0" w:color="auto"/>
            </w:tcBorders>
            <w:shd w:val="clear" w:color="auto" w:fill="auto"/>
            <w:vAlign w:val="center"/>
            <w:hideMark/>
          </w:tcPr>
          <w:p w14:paraId="23E37D04" w14:textId="5786BA36" w:rsidR="00DC3599" w:rsidRPr="00005453" w:rsidRDefault="00DC3599" w:rsidP="00DC3599">
            <w:pPr>
              <w:jc w:val="right"/>
              <w:rPr>
                <w:b/>
                <w:bCs/>
                <w:sz w:val="14"/>
                <w:szCs w:val="14"/>
              </w:rPr>
            </w:pPr>
            <w:r w:rsidRPr="00005453">
              <w:rPr>
                <w:b/>
                <w:bCs/>
                <w:sz w:val="14"/>
                <w:szCs w:val="18"/>
              </w:rPr>
              <w:t>545,644,845</w:t>
            </w:r>
          </w:p>
        </w:tc>
        <w:tc>
          <w:tcPr>
            <w:tcW w:w="992" w:type="dxa"/>
            <w:tcBorders>
              <w:top w:val="nil"/>
              <w:left w:val="single" w:sz="4" w:space="0" w:color="auto"/>
              <w:bottom w:val="nil"/>
              <w:right w:val="single" w:sz="4" w:space="0" w:color="auto"/>
            </w:tcBorders>
            <w:shd w:val="clear" w:color="auto" w:fill="auto"/>
            <w:vAlign w:val="center"/>
            <w:hideMark/>
          </w:tcPr>
          <w:p w14:paraId="693FCB0E" w14:textId="378703BD" w:rsidR="00DC3599" w:rsidRPr="00005453" w:rsidRDefault="00DC3599" w:rsidP="00DC3599">
            <w:pPr>
              <w:jc w:val="right"/>
              <w:rPr>
                <w:b/>
                <w:bCs/>
                <w:sz w:val="14"/>
                <w:szCs w:val="14"/>
                <w:lang w:eastAsia="tr-TR"/>
              </w:rPr>
            </w:pPr>
            <w:r w:rsidRPr="00E41120">
              <w:rPr>
                <w:b/>
                <w:bCs/>
                <w:sz w:val="14"/>
                <w:szCs w:val="14"/>
              </w:rPr>
              <w:t>169,038,320</w:t>
            </w:r>
          </w:p>
        </w:tc>
        <w:tc>
          <w:tcPr>
            <w:tcW w:w="945" w:type="dxa"/>
            <w:tcBorders>
              <w:top w:val="nil"/>
              <w:left w:val="single" w:sz="4" w:space="0" w:color="auto"/>
              <w:bottom w:val="nil"/>
              <w:right w:val="single" w:sz="4" w:space="0" w:color="auto"/>
            </w:tcBorders>
            <w:shd w:val="clear" w:color="auto" w:fill="auto"/>
            <w:vAlign w:val="center"/>
            <w:hideMark/>
          </w:tcPr>
          <w:p w14:paraId="4F5DD8AA" w14:textId="195F50F8" w:rsidR="00DC3599" w:rsidRPr="00005453" w:rsidRDefault="00DC3599" w:rsidP="00DC3599">
            <w:pPr>
              <w:jc w:val="right"/>
              <w:rPr>
                <w:b/>
                <w:bCs/>
                <w:sz w:val="14"/>
                <w:szCs w:val="14"/>
                <w:lang w:eastAsia="tr-TR"/>
              </w:rPr>
            </w:pPr>
            <w:r w:rsidRPr="00E41120">
              <w:rPr>
                <w:b/>
                <w:bCs/>
                <w:sz w:val="14"/>
                <w:szCs w:val="14"/>
              </w:rPr>
              <w:t>149,442,897</w:t>
            </w:r>
          </w:p>
        </w:tc>
        <w:tc>
          <w:tcPr>
            <w:tcW w:w="1039" w:type="dxa"/>
            <w:tcBorders>
              <w:top w:val="nil"/>
              <w:left w:val="single" w:sz="4" w:space="0" w:color="auto"/>
              <w:bottom w:val="nil"/>
              <w:right w:val="single" w:sz="4" w:space="0" w:color="auto"/>
            </w:tcBorders>
            <w:shd w:val="clear" w:color="auto" w:fill="auto"/>
            <w:vAlign w:val="center"/>
            <w:hideMark/>
          </w:tcPr>
          <w:p w14:paraId="5E4DBFE8" w14:textId="5BFC96D5" w:rsidR="00DC3599" w:rsidRPr="00005453" w:rsidRDefault="00DC3599" w:rsidP="00DC3599">
            <w:pPr>
              <w:jc w:val="right"/>
              <w:rPr>
                <w:b/>
                <w:bCs/>
                <w:sz w:val="14"/>
                <w:szCs w:val="14"/>
                <w:lang w:eastAsia="tr-TR"/>
              </w:rPr>
            </w:pPr>
            <w:r w:rsidRPr="00E41120">
              <w:rPr>
                <w:b/>
                <w:bCs/>
                <w:sz w:val="14"/>
                <w:szCs w:val="14"/>
              </w:rPr>
              <w:t>318,481,217</w:t>
            </w:r>
          </w:p>
        </w:tc>
      </w:tr>
      <w:tr w:rsidR="00DC3599" w:rsidRPr="00005453" w14:paraId="35B682B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177D610"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I.</w:t>
            </w:r>
          </w:p>
        </w:tc>
        <w:tc>
          <w:tcPr>
            <w:tcW w:w="3138" w:type="dxa"/>
            <w:tcBorders>
              <w:top w:val="nil"/>
              <w:left w:val="single" w:sz="4" w:space="0" w:color="auto"/>
              <w:bottom w:val="nil"/>
              <w:right w:val="single" w:sz="4" w:space="0" w:color="auto"/>
            </w:tcBorders>
            <w:shd w:val="clear" w:color="auto" w:fill="auto"/>
            <w:noWrap/>
            <w:hideMark/>
          </w:tcPr>
          <w:p w14:paraId="6D5BDDF4"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GARANTİ ve KEFALETLER</w:t>
            </w:r>
          </w:p>
        </w:tc>
        <w:tc>
          <w:tcPr>
            <w:tcW w:w="585" w:type="dxa"/>
            <w:tcBorders>
              <w:top w:val="nil"/>
              <w:left w:val="single" w:sz="4" w:space="0" w:color="auto"/>
              <w:bottom w:val="nil"/>
              <w:right w:val="single" w:sz="4" w:space="0" w:color="auto"/>
            </w:tcBorders>
            <w:shd w:val="clear" w:color="auto" w:fill="auto"/>
            <w:hideMark/>
          </w:tcPr>
          <w:p w14:paraId="785ED80B" w14:textId="77777777" w:rsidR="00DC3599" w:rsidRPr="00005453" w:rsidRDefault="00DC3599" w:rsidP="00DC3599">
            <w:pPr>
              <w:jc w:val="center"/>
              <w:rPr>
                <w:b/>
                <w:bCs/>
                <w:sz w:val="14"/>
                <w:szCs w:val="14"/>
                <w:lang w:eastAsia="tr-TR"/>
              </w:rPr>
            </w:pPr>
            <w:r w:rsidRPr="00005453">
              <w:rPr>
                <w:b/>
                <w:bCs/>
                <w:sz w:val="14"/>
                <w:szCs w:val="14"/>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699313DB" w14:textId="04DD5298" w:rsidR="00DC3599" w:rsidRPr="00005453" w:rsidRDefault="00DC3599" w:rsidP="00DC3599">
            <w:pPr>
              <w:jc w:val="right"/>
              <w:rPr>
                <w:b/>
                <w:bCs/>
                <w:sz w:val="14"/>
                <w:szCs w:val="14"/>
              </w:rPr>
            </w:pPr>
            <w:r w:rsidRPr="00005453">
              <w:rPr>
                <w:b/>
                <w:bCs/>
                <w:sz w:val="14"/>
                <w:szCs w:val="18"/>
              </w:rPr>
              <w:t>69,514,466</w:t>
            </w:r>
          </w:p>
        </w:tc>
        <w:tc>
          <w:tcPr>
            <w:tcW w:w="992" w:type="dxa"/>
            <w:tcBorders>
              <w:top w:val="nil"/>
              <w:left w:val="single" w:sz="4" w:space="0" w:color="auto"/>
              <w:bottom w:val="nil"/>
              <w:right w:val="single" w:sz="4" w:space="0" w:color="auto"/>
            </w:tcBorders>
            <w:shd w:val="clear" w:color="auto" w:fill="auto"/>
            <w:vAlign w:val="center"/>
            <w:hideMark/>
          </w:tcPr>
          <w:p w14:paraId="4A6DAE1F" w14:textId="1F623EC1" w:rsidR="00DC3599" w:rsidRPr="00005453" w:rsidRDefault="00DC3599" w:rsidP="00DC3599">
            <w:pPr>
              <w:jc w:val="right"/>
              <w:rPr>
                <w:b/>
                <w:bCs/>
                <w:sz w:val="14"/>
                <w:szCs w:val="14"/>
              </w:rPr>
            </w:pPr>
            <w:r w:rsidRPr="00005453">
              <w:rPr>
                <w:b/>
                <w:bCs/>
                <w:sz w:val="14"/>
                <w:szCs w:val="18"/>
              </w:rPr>
              <w:t>35,653,962</w:t>
            </w:r>
          </w:p>
        </w:tc>
        <w:tc>
          <w:tcPr>
            <w:tcW w:w="1015" w:type="dxa"/>
            <w:tcBorders>
              <w:top w:val="nil"/>
              <w:left w:val="single" w:sz="4" w:space="0" w:color="auto"/>
              <w:bottom w:val="nil"/>
              <w:right w:val="single" w:sz="4" w:space="0" w:color="auto"/>
            </w:tcBorders>
            <w:shd w:val="clear" w:color="auto" w:fill="auto"/>
            <w:vAlign w:val="center"/>
            <w:hideMark/>
          </w:tcPr>
          <w:p w14:paraId="6CBDB4E0" w14:textId="167F8F9D" w:rsidR="00DC3599" w:rsidRPr="00005453" w:rsidRDefault="00DC3599" w:rsidP="00DC3599">
            <w:pPr>
              <w:jc w:val="right"/>
              <w:rPr>
                <w:b/>
                <w:bCs/>
                <w:sz w:val="14"/>
                <w:szCs w:val="14"/>
              </w:rPr>
            </w:pPr>
            <w:r w:rsidRPr="00005453">
              <w:rPr>
                <w:b/>
                <w:bCs/>
                <w:sz w:val="14"/>
                <w:szCs w:val="18"/>
              </w:rPr>
              <w:t>105,168,428</w:t>
            </w:r>
          </w:p>
        </w:tc>
        <w:tc>
          <w:tcPr>
            <w:tcW w:w="992" w:type="dxa"/>
            <w:tcBorders>
              <w:top w:val="nil"/>
              <w:left w:val="single" w:sz="4" w:space="0" w:color="auto"/>
              <w:bottom w:val="nil"/>
              <w:right w:val="single" w:sz="4" w:space="0" w:color="auto"/>
            </w:tcBorders>
            <w:shd w:val="clear" w:color="auto" w:fill="auto"/>
            <w:vAlign w:val="center"/>
            <w:hideMark/>
          </w:tcPr>
          <w:p w14:paraId="44D0D881" w14:textId="3EF3FE04" w:rsidR="00DC3599" w:rsidRPr="00005453" w:rsidRDefault="00DC3599" w:rsidP="00DC3599">
            <w:pPr>
              <w:jc w:val="right"/>
              <w:rPr>
                <w:b/>
                <w:bCs/>
                <w:sz w:val="14"/>
                <w:szCs w:val="14"/>
                <w:lang w:eastAsia="tr-TR"/>
              </w:rPr>
            </w:pPr>
            <w:r w:rsidRPr="00E41120">
              <w:rPr>
                <w:b/>
                <w:bCs/>
                <w:sz w:val="14"/>
                <w:szCs w:val="14"/>
              </w:rPr>
              <w:t>37,869,833</w:t>
            </w:r>
          </w:p>
        </w:tc>
        <w:tc>
          <w:tcPr>
            <w:tcW w:w="945" w:type="dxa"/>
            <w:tcBorders>
              <w:top w:val="nil"/>
              <w:left w:val="single" w:sz="4" w:space="0" w:color="auto"/>
              <w:bottom w:val="nil"/>
              <w:right w:val="single" w:sz="4" w:space="0" w:color="auto"/>
            </w:tcBorders>
            <w:shd w:val="clear" w:color="auto" w:fill="auto"/>
            <w:vAlign w:val="center"/>
            <w:hideMark/>
          </w:tcPr>
          <w:p w14:paraId="1B0EB2B2" w14:textId="7D6DA336" w:rsidR="00DC3599" w:rsidRPr="00005453" w:rsidRDefault="00DC3599" w:rsidP="00DC3599">
            <w:pPr>
              <w:jc w:val="right"/>
              <w:rPr>
                <w:b/>
                <w:bCs/>
                <w:sz w:val="14"/>
                <w:szCs w:val="14"/>
                <w:lang w:eastAsia="tr-TR"/>
              </w:rPr>
            </w:pPr>
            <w:r w:rsidRPr="00E41120">
              <w:rPr>
                <w:b/>
                <w:bCs/>
                <w:sz w:val="14"/>
                <w:szCs w:val="14"/>
              </w:rPr>
              <w:t>23,717,066</w:t>
            </w:r>
          </w:p>
        </w:tc>
        <w:tc>
          <w:tcPr>
            <w:tcW w:w="1039" w:type="dxa"/>
            <w:tcBorders>
              <w:top w:val="nil"/>
              <w:left w:val="single" w:sz="4" w:space="0" w:color="auto"/>
              <w:bottom w:val="nil"/>
              <w:right w:val="single" w:sz="4" w:space="0" w:color="auto"/>
            </w:tcBorders>
            <w:shd w:val="clear" w:color="auto" w:fill="auto"/>
            <w:vAlign w:val="center"/>
            <w:hideMark/>
          </w:tcPr>
          <w:p w14:paraId="1DEA045F" w14:textId="1C94A113" w:rsidR="00DC3599" w:rsidRPr="00005453" w:rsidRDefault="00DC3599" w:rsidP="00DC3599">
            <w:pPr>
              <w:jc w:val="right"/>
              <w:rPr>
                <w:b/>
                <w:bCs/>
                <w:sz w:val="14"/>
                <w:szCs w:val="14"/>
                <w:lang w:eastAsia="tr-TR"/>
              </w:rPr>
            </w:pPr>
            <w:r w:rsidRPr="00E41120">
              <w:rPr>
                <w:b/>
                <w:bCs/>
                <w:sz w:val="14"/>
                <w:szCs w:val="14"/>
              </w:rPr>
              <w:t>61,586,899</w:t>
            </w:r>
          </w:p>
        </w:tc>
      </w:tr>
      <w:tr w:rsidR="00DC3599" w:rsidRPr="00005453" w14:paraId="4F364408"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5C13D8F" w14:textId="77777777" w:rsidR="00DC3599" w:rsidRPr="00005453" w:rsidRDefault="00DC3599" w:rsidP="00DC3599">
            <w:pPr>
              <w:rPr>
                <w:color w:val="000000"/>
                <w:sz w:val="14"/>
                <w:szCs w:val="14"/>
                <w:lang w:eastAsia="tr-TR"/>
              </w:rPr>
            </w:pPr>
            <w:r w:rsidRPr="00005453">
              <w:rPr>
                <w:color w:val="000000"/>
                <w:sz w:val="14"/>
                <w:szCs w:val="14"/>
                <w:lang w:eastAsia="tr-TR"/>
              </w:rPr>
              <w:t>1.1.</w:t>
            </w:r>
          </w:p>
        </w:tc>
        <w:tc>
          <w:tcPr>
            <w:tcW w:w="3138" w:type="dxa"/>
            <w:tcBorders>
              <w:top w:val="nil"/>
              <w:left w:val="single" w:sz="4" w:space="0" w:color="auto"/>
              <w:bottom w:val="nil"/>
              <w:right w:val="single" w:sz="4" w:space="0" w:color="auto"/>
            </w:tcBorders>
            <w:shd w:val="clear" w:color="auto" w:fill="auto"/>
            <w:noWrap/>
            <w:hideMark/>
          </w:tcPr>
          <w:p w14:paraId="51636EB1" w14:textId="77777777" w:rsidR="00DC3599" w:rsidRPr="00005453" w:rsidRDefault="00DC3599" w:rsidP="00DC3599">
            <w:pPr>
              <w:rPr>
                <w:color w:val="000000"/>
                <w:sz w:val="14"/>
                <w:szCs w:val="14"/>
                <w:lang w:eastAsia="tr-TR"/>
              </w:rPr>
            </w:pPr>
            <w:r w:rsidRPr="00005453">
              <w:rPr>
                <w:color w:val="000000"/>
                <w:sz w:val="14"/>
                <w:szCs w:val="14"/>
                <w:lang w:eastAsia="tr-TR"/>
              </w:rPr>
              <w:t>Teminat Mektupları</w:t>
            </w:r>
          </w:p>
        </w:tc>
        <w:tc>
          <w:tcPr>
            <w:tcW w:w="585" w:type="dxa"/>
            <w:tcBorders>
              <w:top w:val="nil"/>
              <w:left w:val="single" w:sz="4" w:space="0" w:color="auto"/>
              <w:bottom w:val="nil"/>
              <w:right w:val="single" w:sz="4" w:space="0" w:color="auto"/>
            </w:tcBorders>
            <w:shd w:val="clear" w:color="auto" w:fill="auto"/>
            <w:hideMark/>
          </w:tcPr>
          <w:p w14:paraId="6E9A4AAC"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02FA88A" w14:textId="622F2EC6" w:rsidR="00DC3599" w:rsidRPr="00005453" w:rsidRDefault="00DC3599" w:rsidP="00DC3599">
            <w:pPr>
              <w:jc w:val="right"/>
              <w:rPr>
                <w:bCs/>
                <w:sz w:val="14"/>
                <w:szCs w:val="14"/>
              </w:rPr>
            </w:pPr>
            <w:r w:rsidRPr="00005453">
              <w:rPr>
                <w:sz w:val="14"/>
                <w:szCs w:val="18"/>
              </w:rPr>
              <w:t>64,564,321</w:t>
            </w:r>
          </w:p>
        </w:tc>
        <w:tc>
          <w:tcPr>
            <w:tcW w:w="992" w:type="dxa"/>
            <w:tcBorders>
              <w:top w:val="nil"/>
              <w:left w:val="single" w:sz="4" w:space="0" w:color="auto"/>
              <w:bottom w:val="nil"/>
              <w:right w:val="single" w:sz="4" w:space="0" w:color="auto"/>
            </w:tcBorders>
            <w:shd w:val="clear" w:color="auto" w:fill="auto"/>
            <w:vAlign w:val="center"/>
            <w:hideMark/>
          </w:tcPr>
          <w:p w14:paraId="2F6179F2" w14:textId="0A35E565" w:rsidR="00DC3599" w:rsidRPr="00005453" w:rsidRDefault="00DC3599" w:rsidP="00DC3599">
            <w:pPr>
              <w:jc w:val="right"/>
              <w:rPr>
                <w:bCs/>
                <w:sz w:val="14"/>
                <w:szCs w:val="14"/>
              </w:rPr>
            </w:pPr>
            <w:r w:rsidRPr="00005453">
              <w:rPr>
                <w:sz w:val="14"/>
                <w:szCs w:val="18"/>
              </w:rPr>
              <w:t>21,083,692</w:t>
            </w:r>
          </w:p>
        </w:tc>
        <w:tc>
          <w:tcPr>
            <w:tcW w:w="1015" w:type="dxa"/>
            <w:tcBorders>
              <w:top w:val="nil"/>
              <w:left w:val="single" w:sz="4" w:space="0" w:color="auto"/>
              <w:bottom w:val="nil"/>
              <w:right w:val="single" w:sz="4" w:space="0" w:color="auto"/>
            </w:tcBorders>
            <w:shd w:val="clear" w:color="auto" w:fill="auto"/>
            <w:vAlign w:val="center"/>
            <w:hideMark/>
          </w:tcPr>
          <w:p w14:paraId="498FFB27" w14:textId="3DA0E1F3" w:rsidR="00DC3599" w:rsidRPr="00005453" w:rsidRDefault="00DC3599" w:rsidP="00DC3599">
            <w:pPr>
              <w:jc w:val="right"/>
              <w:rPr>
                <w:bCs/>
                <w:sz w:val="14"/>
                <w:szCs w:val="14"/>
              </w:rPr>
            </w:pPr>
            <w:r w:rsidRPr="00005453">
              <w:rPr>
                <w:sz w:val="14"/>
                <w:szCs w:val="18"/>
              </w:rPr>
              <w:t>85,648,013</w:t>
            </w:r>
          </w:p>
        </w:tc>
        <w:tc>
          <w:tcPr>
            <w:tcW w:w="992" w:type="dxa"/>
            <w:tcBorders>
              <w:top w:val="nil"/>
              <w:left w:val="single" w:sz="4" w:space="0" w:color="auto"/>
              <w:bottom w:val="nil"/>
              <w:right w:val="single" w:sz="4" w:space="0" w:color="auto"/>
            </w:tcBorders>
            <w:shd w:val="clear" w:color="auto" w:fill="auto"/>
            <w:vAlign w:val="center"/>
            <w:hideMark/>
          </w:tcPr>
          <w:p w14:paraId="33A2D086" w14:textId="09469DD8" w:rsidR="00DC3599" w:rsidRPr="00005453" w:rsidRDefault="00DC3599" w:rsidP="00DC3599">
            <w:pPr>
              <w:jc w:val="right"/>
              <w:rPr>
                <w:sz w:val="14"/>
                <w:szCs w:val="14"/>
                <w:lang w:eastAsia="tr-TR"/>
              </w:rPr>
            </w:pPr>
            <w:r w:rsidRPr="00E41120">
              <w:rPr>
                <w:bCs/>
                <w:sz w:val="14"/>
                <w:szCs w:val="14"/>
              </w:rPr>
              <w:t>35,113,871</w:t>
            </w:r>
          </w:p>
        </w:tc>
        <w:tc>
          <w:tcPr>
            <w:tcW w:w="945" w:type="dxa"/>
            <w:tcBorders>
              <w:top w:val="nil"/>
              <w:left w:val="single" w:sz="4" w:space="0" w:color="auto"/>
              <w:bottom w:val="nil"/>
              <w:right w:val="single" w:sz="4" w:space="0" w:color="auto"/>
            </w:tcBorders>
            <w:shd w:val="clear" w:color="auto" w:fill="auto"/>
            <w:vAlign w:val="center"/>
            <w:hideMark/>
          </w:tcPr>
          <w:p w14:paraId="082677DB" w14:textId="39FD35BD" w:rsidR="00DC3599" w:rsidRPr="00005453" w:rsidRDefault="00DC3599" w:rsidP="00DC3599">
            <w:pPr>
              <w:jc w:val="right"/>
              <w:rPr>
                <w:sz w:val="14"/>
                <w:szCs w:val="14"/>
                <w:lang w:eastAsia="tr-TR"/>
              </w:rPr>
            </w:pPr>
            <w:r w:rsidRPr="00E41120">
              <w:rPr>
                <w:bCs/>
                <w:sz w:val="14"/>
                <w:szCs w:val="14"/>
              </w:rPr>
              <w:t>14,392,194</w:t>
            </w:r>
          </w:p>
        </w:tc>
        <w:tc>
          <w:tcPr>
            <w:tcW w:w="1039" w:type="dxa"/>
            <w:tcBorders>
              <w:top w:val="nil"/>
              <w:left w:val="single" w:sz="4" w:space="0" w:color="auto"/>
              <w:bottom w:val="nil"/>
              <w:right w:val="single" w:sz="4" w:space="0" w:color="auto"/>
            </w:tcBorders>
            <w:shd w:val="clear" w:color="auto" w:fill="auto"/>
            <w:vAlign w:val="center"/>
            <w:hideMark/>
          </w:tcPr>
          <w:p w14:paraId="46D0B180" w14:textId="197E0E50" w:rsidR="00DC3599" w:rsidRPr="00005453" w:rsidRDefault="00DC3599" w:rsidP="00DC3599">
            <w:pPr>
              <w:jc w:val="right"/>
              <w:rPr>
                <w:sz w:val="14"/>
                <w:szCs w:val="14"/>
                <w:lang w:eastAsia="tr-TR"/>
              </w:rPr>
            </w:pPr>
            <w:r w:rsidRPr="00E41120">
              <w:rPr>
                <w:bCs/>
                <w:sz w:val="14"/>
                <w:szCs w:val="14"/>
              </w:rPr>
              <w:t>49,506,065</w:t>
            </w:r>
          </w:p>
        </w:tc>
      </w:tr>
      <w:tr w:rsidR="00DC3599" w:rsidRPr="00005453" w14:paraId="53022639"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FDCBA26" w14:textId="77777777" w:rsidR="00DC3599" w:rsidRPr="00005453" w:rsidRDefault="00DC3599" w:rsidP="00DC3599">
            <w:pPr>
              <w:rPr>
                <w:color w:val="000000"/>
                <w:sz w:val="14"/>
                <w:szCs w:val="14"/>
                <w:lang w:eastAsia="tr-TR"/>
              </w:rPr>
            </w:pPr>
            <w:r w:rsidRPr="00005453">
              <w:rPr>
                <w:color w:val="000000"/>
                <w:sz w:val="14"/>
                <w:szCs w:val="14"/>
                <w:lang w:eastAsia="tr-TR"/>
              </w:rPr>
              <w:t>1.1.1.</w:t>
            </w:r>
          </w:p>
        </w:tc>
        <w:tc>
          <w:tcPr>
            <w:tcW w:w="3138" w:type="dxa"/>
            <w:tcBorders>
              <w:top w:val="nil"/>
              <w:left w:val="single" w:sz="4" w:space="0" w:color="auto"/>
              <w:bottom w:val="nil"/>
              <w:right w:val="single" w:sz="4" w:space="0" w:color="auto"/>
            </w:tcBorders>
            <w:shd w:val="clear" w:color="auto" w:fill="auto"/>
            <w:noWrap/>
            <w:hideMark/>
          </w:tcPr>
          <w:p w14:paraId="01DE3C72" w14:textId="77777777" w:rsidR="00DC3599" w:rsidRPr="00005453" w:rsidRDefault="00DC3599" w:rsidP="00DC3599">
            <w:pPr>
              <w:rPr>
                <w:color w:val="000000"/>
                <w:sz w:val="14"/>
                <w:szCs w:val="14"/>
                <w:lang w:eastAsia="tr-TR"/>
              </w:rPr>
            </w:pPr>
            <w:r w:rsidRPr="00005453">
              <w:rPr>
                <w:color w:val="000000"/>
                <w:sz w:val="14"/>
                <w:szCs w:val="14"/>
                <w:lang w:eastAsia="tr-TR"/>
              </w:rPr>
              <w:t>Devlet İhale Kanunu Kapsamına Girenler</w:t>
            </w:r>
          </w:p>
        </w:tc>
        <w:tc>
          <w:tcPr>
            <w:tcW w:w="585" w:type="dxa"/>
            <w:tcBorders>
              <w:top w:val="nil"/>
              <w:left w:val="single" w:sz="4" w:space="0" w:color="auto"/>
              <w:bottom w:val="nil"/>
              <w:right w:val="single" w:sz="4" w:space="0" w:color="auto"/>
            </w:tcBorders>
            <w:shd w:val="clear" w:color="auto" w:fill="auto"/>
            <w:hideMark/>
          </w:tcPr>
          <w:p w14:paraId="45C17F9C"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B49653C" w14:textId="564E589E" w:rsidR="00DC3599" w:rsidRPr="00005453" w:rsidRDefault="00DC3599" w:rsidP="00DC3599">
            <w:pPr>
              <w:jc w:val="right"/>
              <w:rPr>
                <w:bCs/>
                <w:sz w:val="14"/>
                <w:szCs w:val="14"/>
              </w:rPr>
            </w:pPr>
            <w:r w:rsidRPr="00005453">
              <w:rPr>
                <w:sz w:val="14"/>
                <w:szCs w:val="18"/>
              </w:rPr>
              <w:t>990,082</w:t>
            </w:r>
          </w:p>
        </w:tc>
        <w:tc>
          <w:tcPr>
            <w:tcW w:w="992" w:type="dxa"/>
            <w:tcBorders>
              <w:top w:val="nil"/>
              <w:left w:val="single" w:sz="4" w:space="0" w:color="auto"/>
              <w:bottom w:val="nil"/>
              <w:right w:val="single" w:sz="4" w:space="0" w:color="auto"/>
            </w:tcBorders>
            <w:shd w:val="clear" w:color="auto" w:fill="auto"/>
            <w:vAlign w:val="center"/>
            <w:hideMark/>
          </w:tcPr>
          <w:p w14:paraId="39BD65F2" w14:textId="293E7209" w:rsidR="00DC3599" w:rsidRPr="00005453" w:rsidRDefault="00DC3599" w:rsidP="00DC3599">
            <w:pPr>
              <w:jc w:val="right"/>
              <w:rPr>
                <w:bCs/>
                <w:sz w:val="14"/>
                <w:szCs w:val="14"/>
              </w:rPr>
            </w:pPr>
            <w:r w:rsidRPr="00005453">
              <w:rPr>
                <w:sz w:val="14"/>
                <w:szCs w:val="18"/>
              </w:rPr>
              <w:t>27,987</w:t>
            </w:r>
          </w:p>
        </w:tc>
        <w:tc>
          <w:tcPr>
            <w:tcW w:w="1015" w:type="dxa"/>
            <w:tcBorders>
              <w:top w:val="nil"/>
              <w:left w:val="single" w:sz="4" w:space="0" w:color="auto"/>
              <w:bottom w:val="nil"/>
              <w:right w:val="single" w:sz="4" w:space="0" w:color="auto"/>
            </w:tcBorders>
            <w:shd w:val="clear" w:color="auto" w:fill="auto"/>
            <w:vAlign w:val="center"/>
            <w:hideMark/>
          </w:tcPr>
          <w:p w14:paraId="31FCC2C4" w14:textId="139E5CA0" w:rsidR="00DC3599" w:rsidRPr="00005453" w:rsidRDefault="00DC3599" w:rsidP="00DC3599">
            <w:pPr>
              <w:jc w:val="right"/>
              <w:rPr>
                <w:bCs/>
                <w:sz w:val="14"/>
                <w:szCs w:val="14"/>
              </w:rPr>
            </w:pPr>
            <w:r w:rsidRPr="00005453">
              <w:rPr>
                <w:sz w:val="14"/>
                <w:szCs w:val="18"/>
              </w:rPr>
              <w:t>1,018,069</w:t>
            </w:r>
          </w:p>
        </w:tc>
        <w:tc>
          <w:tcPr>
            <w:tcW w:w="992" w:type="dxa"/>
            <w:tcBorders>
              <w:top w:val="nil"/>
              <w:left w:val="single" w:sz="4" w:space="0" w:color="auto"/>
              <w:bottom w:val="nil"/>
              <w:right w:val="single" w:sz="4" w:space="0" w:color="auto"/>
            </w:tcBorders>
            <w:shd w:val="clear" w:color="auto" w:fill="auto"/>
            <w:vAlign w:val="center"/>
            <w:hideMark/>
          </w:tcPr>
          <w:p w14:paraId="48C8A87A" w14:textId="2354B022" w:rsidR="00DC3599" w:rsidRPr="00005453" w:rsidRDefault="00DC3599" w:rsidP="00DC3599">
            <w:pPr>
              <w:jc w:val="right"/>
              <w:rPr>
                <w:sz w:val="14"/>
                <w:szCs w:val="14"/>
                <w:lang w:eastAsia="tr-TR"/>
              </w:rPr>
            </w:pPr>
            <w:r w:rsidRPr="00E41120">
              <w:rPr>
                <w:bCs/>
                <w:sz w:val="14"/>
                <w:szCs w:val="14"/>
              </w:rPr>
              <w:t>732,597</w:t>
            </w:r>
          </w:p>
        </w:tc>
        <w:tc>
          <w:tcPr>
            <w:tcW w:w="945" w:type="dxa"/>
            <w:tcBorders>
              <w:top w:val="nil"/>
              <w:left w:val="single" w:sz="4" w:space="0" w:color="auto"/>
              <w:bottom w:val="nil"/>
              <w:right w:val="single" w:sz="4" w:space="0" w:color="auto"/>
            </w:tcBorders>
            <w:shd w:val="clear" w:color="auto" w:fill="auto"/>
            <w:vAlign w:val="center"/>
            <w:hideMark/>
          </w:tcPr>
          <w:p w14:paraId="54F430E7" w14:textId="2D8048A6" w:rsidR="00DC3599" w:rsidRPr="00005453" w:rsidRDefault="00DC3599" w:rsidP="00DC3599">
            <w:pPr>
              <w:jc w:val="right"/>
              <w:rPr>
                <w:sz w:val="14"/>
                <w:szCs w:val="14"/>
                <w:lang w:eastAsia="tr-TR"/>
              </w:rPr>
            </w:pPr>
            <w:r w:rsidRPr="00E41120">
              <w:rPr>
                <w:bCs/>
                <w:sz w:val="14"/>
                <w:szCs w:val="14"/>
              </w:rPr>
              <w:t>24,480</w:t>
            </w:r>
          </w:p>
        </w:tc>
        <w:tc>
          <w:tcPr>
            <w:tcW w:w="1039" w:type="dxa"/>
            <w:tcBorders>
              <w:top w:val="nil"/>
              <w:left w:val="single" w:sz="4" w:space="0" w:color="auto"/>
              <w:bottom w:val="nil"/>
              <w:right w:val="single" w:sz="4" w:space="0" w:color="auto"/>
            </w:tcBorders>
            <w:shd w:val="clear" w:color="auto" w:fill="auto"/>
            <w:vAlign w:val="center"/>
            <w:hideMark/>
          </w:tcPr>
          <w:p w14:paraId="3704ECEE" w14:textId="34277D73" w:rsidR="00DC3599" w:rsidRPr="00005453" w:rsidRDefault="00DC3599" w:rsidP="00DC3599">
            <w:pPr>
              <w:jc w:val="right"/>
              <w:rPr>
                <w:sz w:val="14"/>
                <w:szCs w:val="14"/>
                <w:lang w:eastAsia="tr-TR"/>
              </w:rPr>
            </w:pPr>
            <w:r w:rsidRPr="00E41120">
              <w:rPr>
                <w:bCs/>
                <w:sz w:val="14"/>
                <w:szCs w:val="14"/>
              </w:rPr>
              <w:t>757,077</w:t>
            </w:r>
          </w:p>
        </w:tc>
      </w:tr>
      <w:tr w:rsidR="00DC3599" w:rsidRPr="00005453" w14:paraId="7A83C34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48148A7" w14:textId="77777777" w:rsidR="00DC3599" w:rsidRPr="00005453" w:rsidRDefault="00DC3599" w:rsidP="00DC3599">
            <w:pPr>
              <w:rPr>
                <w:color w:val="000000"/>
                <w:sz w:val="14"/>
                <w:szCs w:val="14"/>
                <w:lang w:eastAsia="tr-TR"/>
              </w:rPr>
            </w:pPr>
            <w:r w:rsidRPr="00005453">
              <w:rPr>
                <w:color w:val="000000"/>
                <w:sz w:val="14"/>
                <w:szCs w:val="14"/>
                <w:lang w:eastAsia="tr-TR"/>
              </w:rPr>
              <w:t>1.1.2.</w:t>
            </w:r>
          </w:p>
        </w:tc>
        <w:tc>
          <w:tcPr>
            <w:tcW w:w="3138" w:type="dxa"/>
            <w:tcBorders>
              <w:top w:val="nil"/>
              <w:left w:val="single" w:sz="4" w:space="0" w:color="auto"/>
              <w:bottom w:val="nil"/>
              <w:right w:val="single" w:sz="4" w:space="0" w:color="auto"/>
            </w:tcBorders>
            <w:shd w:val="clear" w:color="auto" w:fill="auto"/>
            <w:noWrap/>
            <w:hideMark/>
          </w:tcPr>
          <w:p w14:paraId="3ECCF061" w14:textId="77777777" w:rsidR="00DC3599" w:rsidRPr="00005453" w:rsidRDefault="00DC3599" w:rsidP="00DC3599">
            <w:pPr>
              <w:rPr>
                <w:color w:val="000000"/>
                <w:sz w:val="14"/>
                <w:szCs w:val="14"/>
                <w:lang w:eastAsia="tr-TR"/>
              </w:rPr>
            </w:pPr>
            <w:r w:rsidRPr="00005453">
              <w:rPr>
                <w:color w:val="000000"/>
                <w:sz w:val="14"/>
                <w:szCs w:val="14"/>
                <w:lang w:eastAsia="tr-TR"/>
              </w:rPr>
              <w:t>Dış Ticaret İşlemleri Dolayısıyla Verilenler</w:t>
            </w:r>
          </w:p>
        </w:tc>
        <w:tc>
          <w:tcPr>
            <w:tcW w:w="585" w:type="dxa"/>
            <w:tcBorders>
              <w:top w:val="nil"/>
              <w:left w:val="single" w:sz="4" w:space="0" w:color="auto"/>
              <w:bottom w:val="nil"/>
              <w:right w:val="single" w:sz="4" w:space="0" w:color="auto"/>
            </w:tcBorders>
            <w:shd w:val="clear" w:color="auto" w:fill="auto"/>
            <w:hideMark/>
          </w:tcPr>
          <w:p w14:paraId="572E9E8A"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2850427" w14:textId="5EF0F468" w:rsidR="00DC3599" w:rsidRPr="00005453" w:rsidRDefault="00DC3599" w:rsidP="00DC3599">
            <w:pPr>
              <w:jc w:val="right"/>
              <w:rPr>
                <w:bCs/>
                <w:sz w:val="14"/>
                <w:szCs w:val="14"/>
              </w:rPr>
            </w:pPr>
            <w:r w:rsidRPr="00005453">
              <w:rPr>
                <w:sz w:val="14"/>
                <w:szCs w:val="18"/>
              </w:rPr>
              <w:t>2,948,213</w:t>
            </w:r>
          </w:p>
        </w:tc>
        <w:tc>
          <w:tcPr>
            <w:tcW w:w="992" w:type="dxa"/>
            <w:tcBorders>
              <w:top w:val="nil"/>
              <w:left w:val="single" w:sz="4" w:space="0" w:color="auto"/>
              <w:bottom w:val="nil"/>
              <w:right w:val="single" w:sz="4" w:space="0" w:color="auto"/>
            </w:tcBorders>
            <w:shd w:val="clear" w:color="auto" w:fill="auto"/>
            <w:vAlign w:val="center"/>
            <w:hideMark/>
          </w:tcPr>
          <w:p w14:paraId="33FD14D9" w14:textId="2D0F1558" w:rsidR="00DC3599" w:rsidRPr="00005453" w:rsidRDefault="00DC3599" w:rsidP="00DC3599">
            <w:pPr>
              <w:jc w:val="right"/>
              <w:rPr>
                <w:bCs/>
                <w:sz w:val="14"/>
                <w:szCs w:val="14"/>
              </w:rPr>
            </w:pPr>
            <w:r w:rsidRPr="00005453">
              <w:rPr>
                <w:sz w:val="14"/>
                <w:szCs w:val="18"/>
              </w:rPr>
              <w:t>166,991</w:t>
            </w:r>
          </w:p>
        </w:tc>
        <w:tc>
          <w:tcPr>
            <w:tcW w:w="1015" w:type="dxa"/>
            <w:tcBorders>
              <w:top w:val="nil"/>
              <w:left w:val="single" w:sz="4" w:space="0" w:color="auto"/>
              <w:bottom w:val="nil"/>
              <w:right w:val="single" w:sz="4" w:space="0" w:color="auto"/>
            </w:tcBorders>
            <w:shd w:val="clear" w:color="auto" w:fill="auto"/>
            <w:vAlign w:val="center"/>
            <w:hideMark/>
          </w:tcPr>
          <w:p w14:paraId="0F15AA04" w14:textId="7ADD4C15" w:rsidR="00DC3599" w:rsidRPr="00005453" w:rsidRDefault="00DC3599" w:rsidP="00DC3599">
            <w:pPr>
              <w:jc w:val="right"/>
              <w:rPr>
                <w:bCs/>
                <w:sz w:val="14"/>
                <w:szCs w:val="14"/>
              </w:rPr>
            </w:pPr>
            <w:r w:rsidRPr="00005453">
              <w:rPr>
                <w:sz w:val="14"/>
                <w:szCs w:val="18"/>
              </w:rPr>
              <w:t>3,115,204</w:t>
            </w:r>
          </w:p>
        </w:tc>
        <w:tc>
          <w:tcPr>
            <w:tcW w:w="992" w:type="dxa"/>
            <w:tcBorders>
              <w:top w:val="nil"/>
              <w:left w:val="single" w:sz="4" w:space="0" w:color="auto"/>
              <w:bottom w:val="nil"/>
              <w:right w:val="single" w:sz="4" w:space="0" w:color="auto"/>
            </w:tcBorders>
            <w:shd w:val="clear" w:color="auto" w:fill="auto"/>
            <w:vAlign w:val="center"/>
            <w:hideMark/>
          </w:tcPr>
          <w:p w14:paraId="4D28257B" w14:textId="49DEE08B" w:rsidR="00DC3599" w:rsidRPr="00005453" w:rsidRDefault="00DC3599" w:rsidP="00DC3599">
            <w:pPr>
              <w:jc w:val="right"/>
              <w:rPr>
                <w:sz w:val="14"/>
                <w:szCs w:val="14"/>
                <w:lang w:eastAsia="tr-TR"/>
              </w:rPr>
            </w:pPr>
            <w:r w:rsidRPr="00E41120">
              <w:rPr>
                <w:bCs/>
                <w:sz w:val="14"/>
                <w:szCs w:val="14"/>
              </w:rPr>
              <w:t>1,774,567</w:t>
            </w:r>
          </w:p>
        </w:tc>
        <w:tc>
          <w:tcPr>
            <w:tcW w:w="945" w:type="dxa"/>
            <w:tcBorders>
              <w:top w:val="nil"/>
              <w:left w:val="single" w:sz="4" w:space="0" w:color="auto"/>
              <w:bottom w:val="nil"/>
              <w:right w:val="single" w:sz="4" w:space="0" w:color="auto"/>
            </w:tcBorders>
            <w:shd w:val="clear" w:color="auto" w:fill="auto"/>
            <w:vAlign w:val="center"/>
            <w:hideMark/>
          </w:tcPr>
          <w:p w14:paraId="1832CB35" w14:textId="22D81BC9" w:rsidR="00DC3599" w:rsidRPr="00005453" w:rsidRDefault="00DC3599" w:rsidP="00DC3599">
            <w:pPr>
              <w:jc w:val="right"/>
              <w:rPr>
                <w:sz w:val="14"/>
                <w:szCs w:val="14"/>
                <w:lang w:eastAsia="tr-TR"/>
              </w:rPr>
            </w:pPr>
            <w:r w:rsidRPr="00E41120">
              <w:rPr>
                <w:bCs/>
                <w:sz w:val="14"/>
                <w:szCs w:val="14"/>
              </w:rPr>
              <w:t>86,137</w:t>
            </w:r>
          </w:p>
        </w:tc>
        <w:tc>
          <w:tcPr>
            <w:tcW w:w="1039" w:type="dxa"/>
            <w:tcBorders>
              <w:top w:val="nil"/>
              <w:left w:val="single" w:sz="4" w:space="0" w:color="auto"/>
              <w:bottom w:val="nil"/>
              <w:right w:val="single" w:sz="4" w:space="0" w:color="auto"/>
            </w:tcBorders>
            <w:shd w:val="clear" w:color="auto" w:fill="auto"/>
            <w:vAlign w:val="center"/>
            <w:hideMark/>
          </w:tcPr>
          <w:p w14:paraId="6FAA7CD4" w14:textId="63E05B00" w:rsidR="00DC3599" w:rsidRPr="00005453" w:rsidRDefault="00DC3599" w:rsidP="00DC3599">
            <w:pPr>
              <w:jc w:val="right"/>
              <w:rPr>
                <w:sz w:val="14"/>
                <w:szCs w:val="14"/>
                <w:lang w:eastAsia="tr-TR"/>
              </w:rPr>
            </w:pPr>
            <w:r w:rsidRPr="00E41120">
              <w:rPr>
                <w:bCs/>
                <w:sz w:val="14"/>
                <w:szCs w:val="14"/>
              </w:rPr>
              <w:t>1,860,704</w:t>
            </w:r>
          </w:p>
        </w:tc>
      </w:tr>
      <w:tr w:rsidR="00DC3599" w:rsidRPr="00005453" w14:paraId="30090408"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BE77B26" w14:textId="77777777" w:rsidR="00DC3599" w:rsidRPr="00005453" w:rsidRDefault="00DC3599" w:rsidP="00DC3599">
            <w:pPr>
              <w:rPr>
                <w:color w:val="000000"/>
                <w:sz w:val="14"/>
                <w:szCs w:val="14"/>
                <w:lang w:eastAsia="tr-TR"/>
              </w:rPr>
            </w:pPr>
            <w:r w:rsidRPr="00005453">
              <w:rPr>
                <w:color w:val="000000"/>
                <w:sz w:val="14"/>
                <w:szCs w:val="14"/>
                <w:lang w:eastAsia="tr-TR"/>
              </w:rPr>
              <w:t>1.1.3.</w:t>
            </w:r>
          </w:p>
        </w:tc>
        <w:tc>
          <w:tcPr>
            <w:tcW w:w="3138" w:type="dxa"/>
            <w:tcBorders>
              <w:top w:val="nil"/>
              <w:left w:val="single" w:sz="4" w:space="0" w:color="auto"/>
              <w:bottom w:val="nil"/>
              <w:right w:val="single" w:sz="4" w:space="0" w:color="auto"/>
            </w:tcBorders>
            <w:shd w:val="clear" w:color="auto" w:fill="auto"/>
            <w:noWrap/>
            <w:hideMark/>
          </w:tcPr>
          <w:p w14:paraId="6A6C1A1F" w14:textId="77777777" w:rsidR="00DC3599" w:rsidRPr="00005453" w:rsidRDefault="00DC3599" w:rsidP="00DC3599">
            <w:pPr>
              <w:rPr>
                <w:color w:val="000000"/>
                <w:sz w:val="14"/>
                <w:szCs w:val="14"/>
                <w:lang w:eastAsia="tr-TR"/>
              </w:rPr>
            </w:pPr>
            <w:r w:rsidRPr="00005453">
              <w:rPr>
                <w:color w:val="000000"/>
                <w:sz w:val="14"/>
                <w:szCs w:val="14"/>
                <w:lang w:eastAsia="tr-TR"/>
              </w:rPr>
              <w:t>Diğer Teminat Mektupları</w:t>
            </w:r>
          </w:p>
        </w:tc>
        <w:tc>
          <w:tcPr>
            <w:tcW w:w="585" w:type="dxa"/>
            <w:tcBorders>
              <w:top w:val="nil"/>
              <w:left w:val="single" w:sz="4" w:space="0" w:color="auto"/>
              <w:bottom w:val="nil"/>
              <w:right w:val="single" w:sz="4" w:space="0" w:color="auto"/>
            </w:tcBorders>
            <w:shd w:val="clear" w:color="auto" w:fill="auto"/>
            <w:hideMark/>
          </w:tcPr>
          <w:p w14:paraId="503315BD"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2D5E4E0" w14:textId="5FAD396C" w:rsidR="00DC3599" w:rsidRPr="00005453" w:rsidRDefault="00DC3599" w:rsidP="00DC3599">
            <w:pPr>
              <w:jc w:val="right"/>
              <w:rPr>
                <w:bCs/>
                <w:sz w:val="14"/>
                <w:szCs w:val="14"/>
              </w:rPr>
            </w:pPr>
            <w:r w:rsidRPr="00005453">
              <w:rPr>
                <w:sz w:val="14"/>
                <w:szCs w:val="18"/>
              </w:rPr>
              <w:t>60,626,026</w:t>
            </w:r>
          </w:p>
        </w:tc>
        <w:tc>
          <w:tcPr>
            <w:tcW w:w="992" w:type="dxa"/>
            <w:tcBorders>
              <w:top w:val="nil"/>
              <w:left w:val="single" w:sz="4" w:space="0" w:color="auto"/>
              <w:bottom w:val="nil"/>
              <w:right w:val="single" w:sz="4" w:space="0" w:color="auto"/>
            </w:tcBorders>
            <w:shd w:val="clear" w:color="auto" w:fill="auto"/>
            <w:vAlign w:val="center"/>
            <w:hideMark/>
          </w:tcPr>
          <w:p w14:paraId="72BA50D2" w14:textId="4DFD0595" w:rsidR="00DC3599" w:rsidRPr="00005453" w:rsidRDefault="00DC3599" w:rsidP="00DC3599">
            <w:pPr>
              <w:jc w:val="right"/>
              <w:rPr>
                <w:bCs/>
                <w:sz w:val="14"/>
                <w:szCs w:val="14"/>
              </w:rPr>
            </w:pPr>
            <w:r w:rsidRPr="00005453">
              <w:rPr>
                <w:sz w:val="14"/>
                <w:szCs w:val="18"/>
              </w:rPr>
              <w:t>20,888,714</w:t>
            </w:r>
          </w:p>
        </w:tc>
        <w:tc>
          <w:tcPr>
            <w:tcW w:w="1015" w:type="dxa"/>
            <w:tcBorders>
              <w:top w:val="nil"/>
              <w:left w:val="single" w:sz="4" w:space="0" w:color="auto"/>
              <w:bottom w:val="nil"/>
              <w:right w:val="single" w:sz="4" w:space="0" w:color="auto"/>
            </w:tcBorders>
            <w:shd w:val="clear" w:color="auto" w:fill="auto"/>
            <w:vAlign w:val="center"/>
            <w:hideMark/>
          </w:tcPr>
          <w:p w14:paraId="70BB7442" w14:textId="722F6B34" w:rsidR="00DC3599" w:rsidRPr="00005453" w:rsidRDefault="00DC3599" w:rsidP="00DC3599">
            <w:pPr>
              <w:jc w:val="right"/>
              <w:rPr>
                <w:bCs/>
                <w:sz w:val="14"/>
                <w:szCs w:val="14"/>
              </w:rPr>
            </w:pPr>
            <w:r w:rsidRPr="00005453">
              <w:rPr>
                <w:sz w:val="14"/>
                <w:szCs w:val="18"/>
              </w:rPr>
              <w:t>81,514,740</w:t>
            </w:r>
          </w:p>
        </w:tc>
        <w:tc>
          <w:tcPr>
            <w:tcW w:w="992" w:type="dxa"/>
            <w:tcBorders>
              <w:top w:val="nil"/>
              <w:left w:val="single" w:sz="4" w:space="0" w:color="auto"/>
              <w:bottom w:val="nil"/>
              <w:right w:val="single" w:sz="4" w:space="0" w:color="auto"/>
            </w:tcBorders>
            <w:shd w:val="clear" w:color="auto" w:fill="auto"/>
            <w:vAlign w:val="center"/>
            <w:hideMark/>
          </w:tcPr>
          <w:p w14:paraId="6267FE70" w14:textId="4F85F6AD" w:rsidR="00DC3599" w:rsidRPr="00005453" w:rsidRDefault="00DC3599" w:rsidP="00DC3599">
            <w:pPr>
              <w:jc w:val="right"/>
              <w:rPr>
                <w:sz w:val="14"/>
                <w:szCs w:val="14"/>
                <w:lang w:eastAsia="tr-TR"/>
              </w:rPr>
            </w:pPr>
            <w:r w:rsidRPr="00E41120">
              <w:rPr>
                <w:bCs/>
                <w:sz w:val="14"/>
                <w:szCs w:val="14"/>
              </w:rPr>
              <w:t>32,606,707</w:t>
            </w:r>
          </w:p>
        </w:tc>
        <w:tc>
          <w:tcPr>
            <w:tcW w:w="945" w:type="dxa"/>
            <w:tcBorders>
              <w:top w:val="nil"/>
              <w:left w:val="single" w:sz="4" w:space="0" w:color="auto"/>
              <w:bottom w:val="nil"/>
              <w:right w:val="single" w:sz="4" w:space="0" w:color="auto"/>
            </w:tcBorders>
            <w:shd w:val="clear" w:color="auto" w:fill="auto"/>
            <w:vAlign w:val="center"/>
            <w:hideMark/>
          </w:tcPr>
          <w:p w14:paraId="4A98EF45" w14:textId="19D4EC77" w:rsidR="00DC3599" w:rsidRPr="00005453" w:rsidRDefault="00DC3599" w:rsidP="00DC3599">
            <w:pPr>
              <w:jc w:val="right"/>
              <w:rPr>
                <w:sz w:val="14"/>
                <w:szCs w:val="14"/>
                <w:lang w:eastAsia="tr-TR"/>
              </w:rPr>
            </w:pPr>
            <w:r w:rsidRPr="00E41120">
              <w:rPr>
                <w:bCs/>
                <w:sz w:val="14"/>
                <w:szCs w:val="14"/>
              </w:rPr>
              <w:t>14,281,577</w:t>
            </w:r>
          </w:p>
        </w:tc>
        <w:tc>
          <w:tcPr>
            <w:tcW w:w="1039" w:type="dxa"/>
            <w:tcBorders>
              <w:top w:val="nil"/>
              <w:left w:val="single" w:sz="4" w:space="0" w:color="auto"/>
              <w:bottom w:val="nil"/>
              <w:right w:val="single" w:sz="4" w:space="0" w:color="auto"/>
            </w:tcBorders>
            <w:shd w:val="clear" w:color="auto" w:fill="auto"/>
            <w:vAlign w:val="center"/>
            <w:hideMark/>
          </w:tcPr>
          <w:p w14:paraId="68200913" w14:textId="0FC3D84B" w:rsidR="00DC3599" w:rsidRPr="00005453" w:rsidRDefault="00DC3599" w:rsidP="00DC3599">
            <w:pPr>
              <w:jc w:val="right"/>
              <w:rPr>
                <w:sz w:val="14"/>
                <w:szCs w:val="14"/>
                <w:lang w:eastAsia="tr-TR"/>
              </w:rPr>
            </w:pPr>
            <w:r w:rsidRPr="00E41120">
              <w:rPr>
                <w:bCs/>
                <w:sz w:val="14"/>
                <w:szCs w:val="14"/>
              </w:rPr>
              <w:t>46,888,284</w:t>
            </w:r>
          </w:p>
        </w:tc>
      </w:tr>
      <w:tr w:rsidR="00DC3599" w:rsidRPr="00005453" w14:paraId="6A2E2A28"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4EC707C" w14:textId="77777777" w:rsidR="00DC3599" w:rsidRPr="00005453" w:rsidRDefault="00DC3599" w:rsidP="00DC3599">
            <w:pPr>
              <w:rPr>
                <w:color w:val="000000"/>
                <w:sz w:val="14"/>
                <w:szCs w:val="14"/>
                <w:lang w:eastAsia="tr-TR"/>
              </w:rPr>
            </w:pPr>
            <w:r w:rsidRPr="00005453">
              <w:rPr>
                <w:color w:val="000000"/>
                <w:sz w:val="14"/>
                <w:szCs w:val="14"/>
                <w:lang w:eastAsia="tr-TR"/>
              </w:rPr>
              <w:t>1.2.</w:t>
            </w:r>
          </w:p>
        </w:tc>
        <w:tc>
          <w:tcPr>
            <w:tcW w:w="3138" w:type="dxa"/>
            <w:tcBorders>
              <w:top w:val="nil"/>
              <w:left w:val="single" w:sz="4" w:space="0" w:color="auto"/>
              <w:bottom w:val="nil"/>
              <w:right w:val="single" w:sz="4" w:space="0" w:color="auto"/>
            </w:tcBorders>
            <w:shd w:val="clear" w:color="auto" w:fill="auto"/>
            <w:noWrap/>
            <w:hideMark/>
          </w:tcPr>
          <w:p w14:paraId="5DA42D1F" w14:textId="77777777" w:rsidR="00DC3599" w:rsidRPr="00005453" w:rsidRDefault="00DC3599" w:rsidP="00DC3599">
            <w:pPr>
              <w:rPr>
                <w:color w:val="000000"/>
                <w:sz w:val="14"/>
                <w:szCs w:val="14"/>
                <w:lang w:eastAsia="tr-TR"/>
              </w:rPr>
            </w:pPr>
            <w:r w:rsidRPr="00005453">
              <w:rPr>
                <w:color w:val="000000"/>
                <w:sz w:val="14"/>
                <w:szCs w:val="14"/>
                <w:lang w:eastAsia="tr-TR"/>
              </w:rPr>
              <w:t>Banka Kredileri</w:t>
            </w:r>
          </w:p>
        </w:tc>
        <w:tc>
          <w:tcPr>
            <w:tcW w:w="585" w:type="dxa"/>
            <w:tcBorders>
              <w:top w:val="nil"/>
              <w:left w:val="single" w:sz="4" w:space="0" w:color="auto"/>
              <w:bottom w:val="nil"/>
              <w:right w:val="single" w:sz="4" w:space="0" w:color="auto"/>
            </w:tcBorders>
            <w:shd w:val="clear" w:color="auto" w:fill="auto"/>
            <w:hideMark/>
          </w:tcPr>
          <w:p w14:paraId="7E63E390"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1DFB54" w14:textId="0502F797" w:rsidR="00DC3599" w:rsidRPr="00005453" w:rsidRDefault="00DC3599" w:rsidP="00DC3599">
            <w:pPr>
              <w:jc w:val="right"/>
              <w:rPr>
                <w:bCs/>
                <w:sz w:val="14"/>
                <w:szCs w:val="14"/>
              </w:rPr>
            </w:pPr>
            <w:r w:rsidRPr="00005453">
              <w:rPr>
                <w:sz w:val="14"/>
                <w:szCs w:val="18"/>
              </w:rPr>
              <w:t>93,099</w:t>
            </w:r>
          </w:p>
        </w:tc>
        <w:tc>
          <w:tcPr>
            <w:tcW w:w="992" w:type="dxa"/>
            <w:tcBorders>
              <w:top w:val="nil"/>
              <w:left w:val="single" w:sz="4" w:space="0" w:color="auto"/>
              <w:bottom w:val="nil"/>
              <w:right w:val="single" w:sz="4" w:space="0" w:color="auto"/>
            </w:tcBorders>
            <w:shd w:val="clear" w:color="auto" w:fill="auto"/>
            <w:vAlign w:val="center"/>
            <w:hideMark/>
          </w:tcPr>
          <w:p w14:paraId="6E3FB4A2" w14:textId="206EC686" w:rsidR="00DC3599" w:rsidRPr="00005453" w:rsidRDefault="00DC3599" w:rsidP="00DC3599">
            <w:pPr>
              <w:jc w:val="right"/>
              <w:rPr>
                <w:bCs/>
                <w:sz w:val="14"/>
                <w:szCs w:val="14"/>
              </w:rPr>
            </w:pPr>
            <w:r w:rsidRPr="00005453">
              <w:rPr>
                <w:sz w:val="14"/>
                <w:szCs w:val="18"/>
              </w:rPr>
              <w:t>634,440</w:t>
            </w:r>
          </w:p>
        </w:tc>
        <w:tc>
          <w:tcPr>
            <w:tcW w:w="1015" w:type="dxa"/>
            <w:tcBorders>
              <w:top w:val="nil"/>
              <w:left w:val="single" w:sz="4" w:space="0" w:color="auto"/>
              <w:bottom w:val="nil"/>
              <w:right w:val="single" w:sz="4" w:space="0" w:color="auto"/>
            </w:tcBorders>
            <w:shd w:val="clear" w:color="auto" w:fill="auto"/>
            <w:vAlign w:val="center"/>
            <w:hideMark/>
          </w:tcPr>
          <w:p w14:paraId="1D019301" w14:textId="4FE96AA3" w:rsidR="00DC3599" w:rsidRPr="00005453" w:rsidRDefault="00DC3599" w:rsidP="00DC3599">
            <w:pPr>
              <w:jc w:val="right"/>
              <w:rPr>
                <w:bCs/>
                <w:sz w:val="14"/>
                <w:szCs w:val="14"/>
              </w:rPr>
            </w:pPr>
            <w:r w:rsidRPr="00005453">
              <w:rPr>
                <w:sz w:val="14"/>
                <w:szCs w:val="18"/>
              </w:rPr>
              <w:t>727,539</w:t>
            </w:r>
          </w:p>
        </w:tc>
        <w:tc>
          <w:tcPr>
            <w:tcW w:w="992" w:type="dxa"/>
            <w:tcBorders>
              <w:top w:val="nil"/>
              <w:left w:val="single" w:sz="4" w:space="0" w:color="auto"/>
              <w:bottom w:val="nil"/>
              <w:right w:val="single" w:sz="4" w:space="0" w:color="auto"/>
            </w:tcBorders>
            <w:shd w:val="clear" w:color="auto" w:fill="auto"/>
            <w:vAlign w:val="center"/>
            <w:hideMark/>
          </w:tcPr>
          <w:p w14:paraId="6071536B" w14:textId="229451E7" w:rsidR="00DC3599" w:rsidRPr="00005453" w:rsidRDefault="00DC3599" w:rsidP="00DC3599">
            <w:pPr>
              <w:jc w:val="right"/>
              <w:rPr>
                <w:sz w:val="14"/>
                <w:szCs w:val="14"/>
                <w:lang w:eastAsia="tr-TR"/>
              </w:rPr>
            </w:pPr>
            <w:r w:rsidRPr="00E41120">
              <w:rPr>
                <w:bCs/>
                <w:sz w:val="14"/>
                <w:szCs w:val="14"/>
              </w:rPr>
              <w:t>18,769</w:t>
            </w:r>
          </w:p>
        </w:tc>
        <w:tc>
          <w:tcPr>
            <w:tcW w:w="945" w:type="dxa"/>
            <w:tcBorders>
              <w:top w:val="nil"/>
              <w:left w:val="single" w:sz="4" w:space="0" w:color="auto"/>
              <w:bottom w:val="nil"/>
              <w:right w:val="single" w:sz="4" w:space="0" w:color="auto"/>
            </w:tcBorders>
            <w:shd w:val="clear" w:color="auto" w:fill="auto"/>
            <w:vAlign w:val="center"/>
            <w:hideMark/>
          </w:tcPr>
          <w:p w14:paraId="769A29B4" w14:textId="19FFB2EC" w:rsidR="00DC3599" w:rsidRPr="00005453" w:rsidRDefault="00DC3599" w:rsidP="00DC3599">
            <w:pPr>
              <w:jc w:val="right"/>
              <w:rPr>
                <w:sz w:val="14"/>
                <w:szCs w:val="14"/>
                <w:lang w:eastAsia="tr-TR"/>
              </w:rPr>
            </w:pPr>
            <w:r w:rsidRPr="00E41120">
              <w:rPr>
                <w:bCs/>
                <w:sz w:val="14"/>
                <w:szCs w:val="14"/>
              </w:rPr>
              <w:t>164,427</w:t>
            </w:r>
          </w:p>
        </w:tc>
        <w:tc>
          <w:tcPr>
            <w:tcW w:w="1039" w:type="dxa"/>
            <w:tcBorders>
              <w:top w:val="nil"/>
              <w:left w:val="single" w:sz="4" w:space="0" w:color="auto"/>
              <w:bottom w:val="nil"/>
              <w:right w:val="single" w:sz="4" w:space="0" w:color="auto"/>
            </w:tcBorders>
            <w:shd w:val="clear" w:color="auto" w:fill="auto"/>
            <w:vAlign w:val="center"/>
            <w:hideMark/>
          </w:tcPr>
          <w:p w14:paraId="133EC592" w14:textId="1D88696B" w:rsidR="00DC3599" w:rsidRPr="00005453" w:rsidRDefault="00DC3599" w:rsidP="00DC3599">
            <w:pPr>
              <w:jc w:val="right"/>
              <w:rPr>
                <w:sz w:val="14"/>
                <w:szCs w:val="14"/>
                <w:lang w:eastAsia="tr-TR"/>
              </w:rPr>
            </w:pPr>
            <w:r w:rsidRPr="00E41120">
              <w:rPr>
                <w:bCs/>
                <w:sz w:val="14"/>
                <w:szCs w:val="14"/>
              </w:rPr>
              <w:t>183,196</w:t>
            </w:r>
          </w:p>
        </w:tc>
      </w:tr>
      <w:tr w:rsidR="00DC3599" w:rsidRPr="00005453" w14:paraId="57FC885B"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814429C" w14:textId="77777777" w:rsidR="00DC3599" w:rsidRPr="00005453" w:rsidRDefault="00DC3599" w:rsidP="00DC3599">
            <w:pPr>
              <w:rPr>
                <w:color w:val="000000"/>
                <w:sz w:val="14"/>
                <w:szCs w:val="14"/>
                <w:lang w:eastAsia="tr-TR"/>
              </w:rPr>
            </w:pPr>
            <w:r w:rsidRPr="00005453">
              <w:rPr>
                <w:color w:val="000000"/>
                <w:sz w:val="14"/>
                <w:szCs w:val="14"/>
                <w:lang w:eastAsia="tr-TR"/>
              </w:rPr>
              <w:t>1.2.1.</w:t>
            </w:r>
          </w:p>
        </w:tc>
        <w:tc>
          <w:tcPr>
            <w:tcW w:w="3138" w:type="dxa"/>
            <w:tcBorders>
              <w:top w:val="nil"/>
              <w:left w:val="single" w:sz="4" w:space="0" w:color="auto"/>
              <w:bottom w:val="nil"/>
              <w:right w:val="single" w:sz="4" w:space="0" w:color="auto"/>
            </w:tcBorders>
            <w:shd w:val="clear" w:color="auto" w:fill="auto"/>
            <w:noWrap/>
            <w:hideMark/>
          </w:tcPr>
          <w:p w14:paraId="0C4C1ABD" w14:textId="77777777" w:rsidR="00DC3599" w:rsidRPr="00005453" w:rsidRDefault="00DC3599" w:rsidP="00DC3599">
            <w:pPr>
              <w:rPr>
                <w:color w:val="000000"/>
                <w:sz w:val="14"/>
                <w:szCs w:val="14"/>
                <w:lang w:eastAsia="tr-TR"/>
              </w:rPr>
            </w:pPr>
            <w:r w:rsidRPr="00005453">
              <w:rPr>
                <w:color w:val="000000"/>
                <w:sz w:val="14"/>
                <w:szCs w:val="14"/>
                <w:lang w:eastAsia="tr-TR"/>
              </w:rPr>
              <w:t>İthalat Kabul Kredileri</w:t>
            </w:r>
          </w:p>
        </w:tc>
        <w:tc>
          <w:tcPr>
            <w:tcW w:w="585" w:type="dxa"/>
            <w:tcBorders>
              <w:top w:val="nil"/>
              <w:left w:val="single" w:sz="4" w:space="0" w:color="auto"/>
              <w:bottom w:val="nil"/>
              <w:right w:val="single" w:sz="4" w:space="0" w:color="auto"/>
            </w:tcBorders>
            <w:shd w:val="clear" w:color="auto" w:fill="auto"/>
            <w:hideMark/>
          </w:tcPr>
          <w:p w14:paraId="5EAA83C0"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E8D3457" w14:textId="2A3C3225" w:rsidR="00DC3599" w:rsidRPr="00005453" w:rsidRDefault="00DC3599" w:rsidP="00DC3599">
            <w:pPr>
              <w:jc w:val="right"/>
              <w:rPr>
                <w:bCs/>
                <w:sz w:val="14"/>
                <w:szCs w:val="14"/>
              </w:rPr>
            </w:pPr>
            <w:r w:rsidRPr="00005453">
              <w:rPr>
                <w:sz w:val="14"/>
                <w:szCs w:val="18"/>
              </w:rPr>
              <w:t>93,099</w:t>
            </w:r>
          </w:p>
        </w:tc>
        <w:tc>
          <w:tcPr>
            <w:tcW w:w="992" w:type="dxa"/>
            <w:tcBorders>
              <w:top w:val="nil"/>
              <w:left w:val="single" w:sz="4" w:space="0" w:color="auto"/>
              <w:bottom w:val="nil"/>
              <w:right w:val="single" w:sz="4" w:space="0" w:color="auto"/>
            </w:tcBorders>
            <w:shd w:val="clear" w:color="auto" w:fill="auto"/>
            <w:vAlign w:val="center"/>
            <w:hideMark/>
          </w:tcPr>
          <w:p w14:paraId="1A1DD469" w14:textId="106DD74F" w:rsidR="00DC3599" w:rsidRPr="00005453" w:rsidRDefault="00DC3599" w:rsidP="00DC3599">
            <w:pPr>
              <w:jc w:val="right"/>
              <w:rPr>
                <w:bCs/>
                <w:sz w:val="14"/>
                <w:szCs w:val="14"/>
              </w:rPr>
            </w:pPr>
            <w:r w:rsidRPr="00005453">
              <w:rPr>
                <w:sz w:val="14"/>
                <w:szCs w:val="18"/>
              </w:rPr>
              <w:t>634,440</w:t>
            </w:r>
          </w:p>
        </w:tc>
        <w:tc>
          <w:tcPr>
            <w:tcW w:w="1015" w:type="dxa"/>
            <w:tcBorders>
              <w:top w:val="nil"/>
              <w:left w:val="single" w:sz="4" w:space="0" w:color="auto"/>
              <w:bottom w:val="nil"/>
              <w:right w:val="single" w:sz="4" w:space="0" w:color="auto"/>
            </w:tcBorders>
            <w:shd w:val="clear" w:color="auto" w:fill="auto"/>
            <w:vAlign w:val="center"/>
            <w:hideMark/>
          </w:tcPr>
          <w:p w14:paraId="056A7BB7" w14:textId="01F6388B" w:rsidR="00DC3599" w:rsidRPr="00005453" w:rsidRDefault="00DC3599" w:rsidP="00DC3599">
            <w:pPr>
              <w:jc w:val="right"/>
              <w:rPr>
                <w:bCs/>
                <w:sz w:val="14"/>
                <w:szCs w:val="14"/>
              </w:rPr>
            </w:pPr>
            <w:r w:rsidRPr="00005453">
              <w:rPr>
                <w:sz w:val="14"/>
                <w:szCs w:val="18"/>
              </w:rPr>
              <w:t>727,539</w:t>
            </w:r>
          </w:p>
        </w:tc>
        <w:tc>
          <w:tcPr>
            <w:tcW w:w="992" w:type="dxa"/>
            <w:tcBorders>
              <w:top w:val="nil"/>
              <w:left w:val="single" w:sz="4" w:space="0" w:color="auto"/>
              <w:bottom w:val="nil"/>
              <w:right w:val="single" w:sz="4" w:space="0" w:color="auto"/>
            </w:tcBorders>
            <w:shd w:val="clear" w:color="auto" w:fill="auto"/>
            <w:vAlign w:val="center"/>
            <w:hideMark/>
          </w:tcPr>
          <w:p w14:paraId="6118DE77" w14:textId="78B82679" w:rsidR="00DC3599" w:rsidRPr="00005453" w:rsidRDefault="00DC3599" w:rsidP="00DC3599">
            <w:pPr>
              <w:jc w:val="right"/>
              <w:rPr>
                <w:sz w:val="14"/>
                <w:szCs w:val="14"/>
                <w:lang w:eastAsia="tr-TR"/>
              </w:rPr>
            </w:pPr>
            <w:r w:rsidRPr="00E41120">
              <w:rPr>
                <w:bCs/>
                <w:sz w:val="14"/>
                <w:szCs w:val="14"/>
              </w:rPr>
              <w:t>18,769</w:t>
            </w:r>
          </w:p>
        </w:tc>
        <w:tc>
          <w:tcPr>
            <w:tcW w:w="945" w:type="dxa"/>
            <w:tcBorders>
              <w:top w:val="nil"/>
              <w:left w:val="single" w:sz="4" w:space="0" w:color="auto"/>
              <w:bottom w:val="nil"/>
              <w:right w:val="single" w:sz="4" w:space="0" w:color="auto"/>
            </w:tcBorders>
            <w:shd w:val="clear" w:color="auto" w:fill="auto"/>
            <w:vAlign w:val="center"/>
            <w:hideMark/>
          </w:tcPr>
          <w:p w14:paraId="121B63E9" w14:textId="27F47A7E" w:rsidR="00DC3599" w:rsidRPr="00005453" w:rsidRDefault="00DC3599" w:rsidP="00DC3599">
            <w:pPr>
              <w:jc w:val="right"/>
              <w:rPr>
                <w:sz w:val="14"/>
                <w:szCs w:val="14"/>
                <w:lang w:eastAsia="tr-TR"/>
              </w:rPr>
            </w:pPr>
            <w:r w:rsidRPr="00E41120">
              <w:rPr>
                <w:bCs/>
                <w:sz w:val="14"/>
                <w:szCs w:val="14"/>
              </w:rPr>
              <w:t>164,427</w:t>
            </w:r>
          </w:p>
        </w:tc>
        <w:tc>
          <w:tcPr>
            <w:tcW w:w="1039" w:type="dxa"/>
            <w:tcBorders>
              <w:top w:val="nil"/>
              <w:left w:val="single" w:sz="4" w:space="0" w:color="auto"/>
              <w:bottom w:val="nil"/>
              <w:right w:val="single" w:sz="4" w:space="0" w:color="auto"/>
            </w:tcBorders>
            <w:shd w:val="clear" w:color="auto" w:fill="auto"/>
            <w:vAlign w:val="center"/>
            <w:hideMark/>
          </w:tcPr>
          <w:p w14:paraId="3FD48B9B" w14:textId="0DCF3915" w:rsidR="00DC3599" w:rsidRPr="00005453" w:rsidRDefault="00DC3599" w:rsidP="00DC3599">
            <w:pPr>
              <w:jc w:val="right"/>
              <w:rPr>
                <w:sz w:val="14"/>
                <w:szCs w:val="14"/>
                <w:lang w:eastAsia="tr-TR"/>
              </w:rPr>
            </w:pPr>
            <w:r w:rsidRPr="00E41120">
              <w:rPr>
                <w:bCs/>
                <w:sz w:val="14"/>
                <w:szCs w:val="14"/>
              </w:rPr>
              <w:t>183,196</w:t>
            </w:r>
          </w:p>
        </w:tc>
      </w:tr>
      <w:tr w:rsidR="00DC3599" w:rsidRPr="00005453" w14:paraId="2E99867C"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E07FD1A" w14:textId="77777777" w:rsidR="00DC3599" w:rsidRPr="00005453" w:rsidRDefault="00DC3599" w:rsidP="00DC3599">
            <w:pPr>
              <w:rPr>
                <w:color w:val="000000"/>
                <w:sz w:val="14"/>
                <w:szCs w:val="14"/>
                <w:lang w:eastAsia="tr-TR"/>
              </w:rPr>
            </w:pPr>
            <w:r w:rsidRPr="00005453">
              <w:rPr>
                <w:color w:val="000000"/>
                <w:sz w:val="14"/>
                <w:szCs w:val="14"/>
                <w:lang w:eastAsia="tr-TR"/>
              </w:rPr>
              <w:t>1.2.2.</w:t>
            </w:r>
          </w:p>
        </w:tc>
        <w:tc>
          <w:tcPr>
            <w:tcW w:w="3138" w:type="dxa"/>
            <w:tcBorders>
              <w:top w:val="nil"/>
              <w:left w:val="single" w:sz="4" w:space="0" w:color="auto"/>
              <w:bottom w:val="nil"/>
              <w:right w:val="single" w:sz="4" w:space="0" w:color="auto"/>
            </w:tcBorders>
            <w:shd w:val="clear" w:color="auto" w:fill="auto"/>
            <w:noWrap/>
            <w:hideMark/>
          </w:tcPr>
          <w:p w14:paraId="63859374" w14:textId="77777777" w:rsidR="00DC3599" w:rsidRPr="00005453" w:rsidRDefault="00DC3599" w:rsidP="00DC3599">
            <w:pPr>
              <w:rPr>
                <w:color w:val="000000"/>
                <w:sz w:val="14"/>
                <w:szCs w:val="14"/>
                <w:lang w:eastAsia="tr-TR"/>
              </w:rPr>
            </w:pPr>
            <w:r w:rsidRPr="00005453">
              <w:rPr>
                <w:color w:val="000000"/>
                <w:sz w:val="14"/>
                <w:szCs w:val="14"/>
                <w:lang w:eastAsia="tr-TR"/>
              </w:rPr>
              <w:t>Diğer Banka Kabulleri</w:t>
            </w:r>
          </w:p>
        </w:tc>
        <w:tc>
          <w:tcPr>
            <w:tcW w:w="585" w:type="dxa"/>
            <w:tcBorders>
              <w:top w:val="nil"/>
              <w:left w:val="single" w:sz="4" w:space="0" w:color="auto"/>
              <w:bottom w:val="nil"/>
              <w:right w:val="single" w:sz="4" w:space="0" w:color="auto"/>
            </w:tcBorders>
            <w:shd w:val="clear" w:color="auto" w:fill="auto"/>
            <w:hideMark/>
          </w:tcPr>
          <w:p w14:paraId="1676AE26"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2039596" w14:textId="0C2DACF3"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E8E74A8" w14:textId="650731AD"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7A1E30B6" w14:textId="6D423847"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33FB498" w14:textId="26754C1C"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E001C6F" w14:textId="7674F5AF"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154FB9D9" w14:textId="6D261D9C" w:rsidR="00DC3599" w:rsidRPr="00005453" w:rsidRDefault="00DC3599" w:rsidP="00DC3599">
            <w:pPr>
              <w:jc w:val="right"/>
              <w:rPr>
                <w:sz w:val="14"/>
                <w:szCs w:val="14"/>
                <w:lang w:eastAsia="tr-TR"/>
              </w:rPr>
            </w:pPr>
            <w:r w:rsidRPr="00E41120">
              <w:rPr>
                <w:bCs/>
                <w:sz w:val="14"/>
                <w:szCs w:val="14"/>
              </w:rPr>
              <w:t>-</w:t>
            </w:r>
          </w:p>
        </w:tc>
      </w:tr>
      <w:tr w:rsidR="00DC3599" w:rsidRPr="00005453" w14:paraId="6F9FEF4D"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2C915EB" w14:textId="77777777" w:rsidR="00DC3599" w:rsidRPr="00005453" w:rsidRDefault="00DC3599" w:rsidP="00DC3599">
            <w:pPr>
              <w:rPr>
                <w:color w:val="000000"/>
                <w:sz w:val="14"/>
                <w:szCs w:val="14"/>
                <w:lang w:eastAsia="tr-TR"/>
              </w:rPr>
            </w:pPr>
            <w:r w:rsidRPr="00005453">
              <w:rPr>
                <w:color w:val="000000"/>
                <w:sz w:val="14"/>
                <w:szCs w:val="14"/>
                <w:lang w:eastAsia="tr-TR"/>
              </w:rPr>
              <w:t>1.3.</w:t>
            </w:r>
          </w:p>
        </w:tc>
        <w:tc>
          <w:tcPr>
            <w:tcW w:w="3138" w:type="dxa"/>
            <w:tcBorders>
              <w:top w:val="nil"/>
              <w:left w:val="single" w:sz="4" w:space="0" w:color="auto"/>
              <w:bottom w:val="nil"/>
              <w:right w:val="single" w:sz="4" w:space="0" w:color="auto"/>
            </w:tcBorders>
            <w:shd w:val="clear" w:color="auto" w:fill="auto"/>
            <w:noWrap/>
            <w:hideMark/>
          </w:tcPr>
          <w:p w14:paraId="075AAE2B" w14:textId="77777777" w:rsidR="00DC3599" w:rsidRPr="00005453" w:rsidRDefault="00DC3599" w:rsidP="00DC3599">
            <w:pPr>
              <w:rPr>
                <w:color w:val="000000"/>
                <w:sz w:val="14"/>
                <w:szCs w:val="14"/>
                <w:lang w:eastAsia="tr-TR"/>
              </w:rPr>
            </w:pPr>
            <w:r w:rsidRPr="00005453">
              <w:rPr>
                <w:color w:val="000000"/>
                <w:sz w:val="14"/>
                <w:szCs w:val="14"/>
                <w:lang w:eastAsia="tr-TR"/>
              </w:rPr>
              <w:t>Akreditifler</w:t>
            </w:r>
          </w:p>
        </w:tc>
        <w:tc>
          <w:tcPr>
            <w:tcW w:w="585" w:type="dxa"/>
            <w:tcBorders>
              <w:top w:val="nil"/>
              <w:left w:val="single" w:sz="4" w:space="0" w:color="auto"/>
              <w:bottom w:val="nil"/>
              <w:right w:val="single" w:sz="4" w:space="0" w:color="auto"/>
            </w:tcBorders>
            <w:shd w:val="clear" w:color="auto" w:fill="auto"/>
            <w:hideMark/>
          </w:tcPr>
          <w:p w14:paraId="3CD85A46"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30C012D" w14:textId="6454F0CD" w:rsidR="00DC3599" w:rsidRPr="00005453" w:rsidRDefault="00DC3599" w:rsidP="00DC3599">
            <w:pPr>
              <w:jc w:val="right"/>
              <w:rPr>
                <w:bCs/>
                <w:sz w:val="14"/>
                <w:szCs w:val="14"/>
              </w:rPr>
            </w:pPr>
            <w:r w:rsidRPr="00005453">
              <w:rPr>
                <w:sz w:val="14"/>
                <w:szCs w:val="18"/>
              </w:rPr>
              <w:t>30,972</w:t>
            </w:r>
          </w:p>
        </w:tc>
        <w:tc>
          <w:tcPr>
            <w:tcW w:w="992" w:type="dxa"/>
            <w:tcBorders>
              <w:top w:val="nil"/>
              <w:left w:val="single" w:sz="4" w:space="0" w:color="auto"/>
              <w:bottom w:val="nil"/>
              <w:right w:val="single" w:sz="4" w:space="0" w:color="auto"/>
            </w:tcBorders>
            <w:shd w:val="clear" w:color="auto" w:fill="auto"/>
            <w:vAlign w:val="center"/>
            <w:hideMark/>
          </w:tcPr>
          <w:p w14:paraId="0E95FBB5" w14:textId="0272AF72" w:rsidR="00DC3599" w:rsidRPr="00005453" w:rsidRDefault="00DC3599" w:rsidP="00DC3599">
            <w:pPr>
              <w:jc w:val="right"/>
              <w:rPr>
                <w:bCs/>
                <w:sz w:val="14"/>
                <w:szCs w:val="14"/>
              </w:rPr>
            </w:pPr>
            <w:r w:rsidRPr="00005453">
              <w:rPr>
                <w:sz w:val="14"/>
                <w:szCs w:val="18"/>
              </w:rPr>
              <w:t>13,550,814</w:t>
            </w:r>
          </w:p>
        </w:tc>
        <w:tc>
          <w:tcPr>
            <w:tcW w:w="1015" w:type="dxa"/>
            <w:tcBorders>
              <w:top w:val="nil"/>
              <w:left w:val="single" w:sz="4" w:space="0" w:color="auto"/>
              <w:bottom w:val="nil"/>
              <w:right w:val="single" w:sz="4" w:space="0" w:color="auto"/>
            </w:tcBorders>
            <w:shd w:val="clear" w:color="auto" w:fill="auto"/>
            <w:vAlign w:val="center"/>
            <w:hideMark/>
          </w:tcPr>
          <w:p w14:paraId="2AE618DC" w14:textId="0B3C50FE" w:rsidR="00DC3599" w:rsidRPr="00005453" w:rsidRDefault="00DC3599" w:rsidP="00DC3599">
            <w:pPr>
              <w:jc w:val="right"/>
              <w:rPr>
                <w:bCs/>
                <w:sz w:val="14"/>
                <w:szCs w:val="14"/>
              </w:rPr>
            </w:pPr>
            <w:r w:rsidRPr="00005453">
              <w:rPr>
                <w:sz w:val="14"/>
                <w:szCs w:val="18"/>
              </w:rPr>
              <w:t>13,581,786</w:t>
            </w:r>
          </w:p>
        </w:tc>
        <w:tc>
          <w:tcPr>
            <w:tcW w:w="992" w:type="dxa"/>
            <w:tcBorders>
              <w:top w:val="nil"/>
              <w:left w:val="single" w:sz="4" w:space="0" w:color="auto"/>
              <w:bottom w:val="nil"/>
              <w:right w:val="single" w:sz="4" w:space="0" w:color="auto"/>
            </w:tcBorders>
            <w:shd w:val="clear" w:color="auto" w:fill="auto"/>
            <w:vAlign w:val="center"/>
            <w:hideMark/>
          </w:tcPr>
          <w:p w14:paraId="58547C0C" w14:textId="57377344" w:rsidR="00DC3599" w:rsidRPr="00005453" w:rsidRDefault="00DC3599" w:rsidP="00DC3599">
            <w:pPr>
              <w:jc w:val="right"/>
              <w:rPr>
                <w:sz w:val="14"/>
                <w:szCs w:val="14"/>
                <w:lang w:eastAsia="tr-TR"/>
              </w:rPr>
            </w:pPr>
            <w:r w:rsidRPr="00E41120">
              <w:rPr>
                <w:bCs/>
                <w:sz w:val="14"/>
                <w:szCs w:val="14"/>
              </w:rPr>
              <w:t>49,354</w:t>
            </w:r>
          </w:p>
        </w:tc>
        <w:tc>
          <w:tcPr>
            <w:tcW w:w="945" w:type="dxa"/>
            <w:tcBorders>
              <w:top w:val="nil"/>
              <w:left w:val="single" w:sz="4" w:space="0" w:color="auto"/>
              <w:bottom w:val="nil"/>
              <w:right w:val="single" w:sz="4" w:space="0" w:color="auto"/>
            </w:tcBorders>
            <w:shd w:val="clear" w:color="auto" w:fill="auto"/>
            <w:vAlign w:val="center"/>
            <w:hideMark/>
          </w:tcPr>
          <w:p w14:paraId="3C27C72E" w14:textId="186650E6" w:rsidR="00DC3599" w:rsidRPr="00005453" w:rsidRDefault="00DC3599" w:rsidP="00DC3599">
            <w:pPr>
              <w:jc w:val="right"/>
              <w:rPr>
                <w:sz w:val="14"/>
                <w:szCs w:val="14"/>
                <w:lang w:eastAsia="tr-TR"/>
              </w:rPr>
            </w:pPr>
            <w:r w:rsidRPr="00E41120">
              <w:rPr>
                <w:bCs/>
                <w:sz w:val="14"/>
                <w:szCs w:val="14"/>
              </w:rPr>
              <w:t>8,836,973</w:t>
            </w:r>
          </w:p>
        </w:tc>
        <w:tc>
          <w:tcPr>
            <w:tcW w:w="1039" w:type="dxa"/>
            <w:tcBorders>
              <w:top w:val="nil"/>
              <w:left w:val="single" w:sz="4" w:space="0" w:color="auto"/>
              <w:bottom w:val="nil"/>
              <w:right w:val="single" w:sz="4" w:space="0" w:color="auto"/>
            </w:tcBorders>
            <w:shd w:val="clear" w:color="auto" w:fill="auto"/>
            <w:vAlign w:val="center"/>
            <w:hideMark/>
          </w:tcPr>
          <w:p w14:paraId="5D10FBFD" w14:textId="5FF6F10C" w:rsidR="00DC3599" w:rsidRPr="00005453" w:rsidRDefault="00DC3599" w:rsidP="00DC3599">
            <w:pPr>
              <w:jc w:val="right"/>
              <w:rPr>
                <w:sz w:val="14"/>
                <w:szCs w:val="14"/>
                <w:lang w:eastAsia="tr-TR"/>
              </w:rPr>
            </w:pPr>
            <w:r w:rsidRPr="00E41120">
              <w:rPr>
                <w:bCs/>
                <w:sz w:val="14"/>
                <w:szCs w:val="14"/>
              </w:rPr>
              <w:t>8,886,327</w:t>
            </w:r>
          </w:p>
        </w:tc>
      </w:tr>
      <w:tr w:rsidR="00DC3599" w:rsidRPr="00005453" w14:paraId="17DC1FF4"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5AC475E" w14:textId="77777777" w:rsidR="00DC3599" w:rsidRPr="00005453" w:rsidRDefault="00DC3599" w:rsidP="00DC3599">
            <w:pPr>
              <w:rPr>
                <w:color w:val="000000"/>
                <w:sz w:val="14"/>
                <w:szCs w:val="14"/>
                <w:lang w:eastAsia="tr-TR"/>
              </w:rPr>
            </w:pPr>
            <w:r w:rsidRPr="00005453">
              <w:rPr>
                <w:color w:val="000000"/>
                <w:sz w:val="14"/>
                <w:szCs w:val="14"/>
                <w:lang w:eastAsia="tr-TR"/>
              </w:rPr>
              <w:t>1.3.1.</w:t>
            </w:r>
          </w:p>
        </w:tc>
        <w:tc>
          <w:tcPr>
            <w:tcW w:w="3138" w:type="dxa"/>
            <w:tcBorders>
              <w:top w:val="nil"/>
              <w:left w:val="single" w:sz="4" w:space="0" w:color="auto"/>
              <w:bottom w:val="nil"/>
              <w:right w:val="single" w:sz="4" w:space="0" w:color="auto"/>
            </w:tcBorders>
            <w:shd w:val="clear" w:color="auto" w:fill="auto"/>
            <w:noWrap/>
            <w:hideMark/>
          </w:tcPr>
          <w:p w14:paraId="1D3ADEA8" w14:textId="77777777" w:rsidR="00DC3599" w:rsidRPr="00005453" w:rsidRDefault="00DC3599" w:rsidP="00DC3599">
            <w:pPr>
              <w:rPr>
                <w:color w:val="000000"/>
                <w:sz w:val="14"/>
                <w:szCs w:val="14"/>
                <w:lang w:eastAsia="tr-TR"/>
              </w:rPr>
            </w:pPr>
            <w:r w:rsidRPr="00005453">
              <w:rPr>
                <w:color w:val="000000"/>
                <w:sz w:val="14"/>
                <w:szCs w:val="14"/>
                <w:lang w:eastAsia="tr-TR"/>
              </w:rPr>
              <w:t>Belgeli Akreditifler</w:t>
            </w:r>
          </w:p>
        </w:tc>
        <w:tc>
          <w:tcPr>
            <w:tcW w:w="585" w:type="dxa"/>
            <w:tcBorders>
              <w:top w:val="nil"/>
              <w:left w:val="single" w:sz="4" w:space="0" w:color="auto"/>
              <w:bottom w:val="nil"/>
              <w:right w:val="single" w:sz="4" w:space="0" w:color="auto"/>
            </w:tcBorders>
            <w:shd w:val="clear" w:color="auto" w:fill="auto"/>
            <w:hideMark/>
          </w:tcPr>
          <w:p w14:paraId="767C9005"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3AE0A7A" w14:textId="12387CF0" w:rsidR="00DC3599" w:rsidRPr="00005453" w:rsidRDefault="00DC3599" w:rsidP="00DC3599">
            <w:pPr>
              <w:jc w:val="right"/>
              <w:rPr>
                <w:bCs/>
                <w:sz w:val="14"/>
                <w:szCs w:val="14"/>
              </w:rPr>
            </w:pPr>
            <w:r w:rsidRPr="00005453">
              <w:rPr>
                <w:sz w:val="14"/>
                <w:szCs w:val="18"/>
              </w:rPr>
              <w:t>4,784</w:t>
            </w:r>
          </w:p>
        </w:tc>
        <w:tc>
          <w:tcPr>
            <w:tcW w:w="992" w:type="dxa"/>
            <w:tcBorders>
              <w:top w:val="nil"/>
              <w:left w:val="single" w:sz="4" w:space="0" w:color="auto"/>
              <w:bottom w:val="nil"/>
              <w:right w:val="single" w:sz="4" w:space="0" w:color="auto"/>
            </w:tcBorders>
            <w:shd w:val="clear" w:color="auto" w:fill="auto"/>
            <w:vAlign w:val="center"/>
            <w:hideMark/>
          </w:tcPr>
          <w:p w14:paraId="66D4AB22" w14:textId="3AD00B1D" w:rsidR="00DC3599" w:rsidRPr="00005453" w:rsidRDefault="00DC3599" w:rsidP="00DC3599">
            <w:pPr>
              <w:jc w:val="right"/>
              <w:rPr>
                <w:bCs/>
                <w:sz w:val="14"/>
                <w:szCs w:val="14"/>
              </w:rPr>
            </w:pPr>
            <w:r w:rsidRPr="00005453">
              <w:rPr>
                <w:sz w:val="14"/>
                <w:szCs w:val="18"/>
              </w:rPr>
              <w:t>1,480,135</w:t>
            </w:r>
          </w:p>
        </w:tc>
        <w:tc>
          <w:tcPr>
            <w:tcW w:w="1015" w:type="dxa"/>
            <w:tcBorders>
              <w:top w:val="nil"/>
              <w:left w:val="single" w:sz="4" w:space="0" w:color="auto"/>
              <w:bottom w:val="nil"/>
              <w:right w:val="single" w:sz="4" w:space="0" w:color="auto"/>
            </w:tcBorders>
            <w:shd w:val="clear" w:color="auto" w:fill="auto"/>
            <w:vAlign w:val="center"/>
            <w:hideMark/>
          </w:tcPr>
          <w:p w14:paraId="07B615C4" w14:textId="74B48A48" w:rsidR="00DC3599" w:rsidRPr="00005453" w:rsidRDefault="00DC3599" w:rsidP="00DC3599">
            <w:pPr>
              <w:jc w:val="right"/>
              <w:rPr>
                <w:bCs/>
                <w:sz w:val="14"/>
                <w:szCs w:val="14"/>
              </w:rPr>
            </w:pPr>
            <w:r w:rsidRPr="00005453">
              <w:rPr>
                <w:sz w:val="14"/>
                <w:szCs w:val="18"/>
              </w:rPr>
              <w:t>1,484,919</w:t>
            </w:r>
          </w:p>
        </w:tc>
        <w:tc>
          <w:tcPr>
            <w:tcW w:w="992" w:type="dxa"/>
            <w:tcBorders>
              <w:top w:val="nil"/>
              <w:left w:val="single" w:sz="4" w:space="0" w:color="auto"/>
              <w:bottom w:val="nil"/>
              <w:right w:val="single" w:sz="4" w:space="0" w:color="auto"/>
            </w:tcBorders>
            <w:shd w:val="clear" w:color="auto" w:fill="auto"/>
            <w:vAlign w:val="center"/>
            <w:hideMark/>
          </w:tcPr>
          <w:p w14:paraId="6F6DAE95" w14:textId="159E48E6" w:rsidR="00DC3599" w:rsidRPr="00005453" w:rsidRDefault="00DC3599" w:rsidP="00DC3599">
            <w:pPr>
              <w:jc w:val="right"/>
              <w:rPr>
                <w:sz w:val="14"/>
                <w:szCs w:val="14"/>
                <w:lang w:eastAsia="tr-TR"/>
              </w:rPr>
            </w:pPr>
            <w:r w:rsidRPr="00E41120">
              <w:rPr>
                <w:bCs/>
                <w:sz w:val="14"/>
                <w:szCs w:val="14"/>
              </w:rPr>
              <w:t>18,355</w:t>
            </w:r>
          </w:p>
        </w:tc>
        <w:tc>
          <w:tcPr>
            <w:tcW w:w="945" w:type="dxa"/>
            <w:tcBorders>
              <w:top w:val="nil"/>
              <w:left w:val="single" w:sz="4" w:space="0" w:color="auto"/>
              <w:bottom w:val="nil"/>
              <w:right w:val="single" w:sz="4" w:space="0" w:color="auto"/>
            </w:tcBorders>
            <w:shd w:val="clear" w:color="auto" w:fill="auto"/>
            <w:vAlign w:val="center"/>
            <w:hideMark/>
          </w:tcPr>
          <w:p w14:paraId="5DCF74AD" w14:textId="08B6436F" w:rsidR="00DC3599" w:rsidRPr="00005453" w:rsidRDefault="00DC3599" w:rsidP="00DC3599">
            <w:pPr>
              <w:jc w:val="right"/>
              <w:rPr>
                <w:sz w:val="14"/>
                <w:szCs w:val="14"/>
                <w:lang w:eastAsia="tr-TR"/>
              </w:rPr>
            </w:pPr>
            <w:r w:rsidRPr="00E41120">
              <w:rPr>
                <w:bCs/>
                <w:sz w:val="14"/>
                <w:szCs w:val="14"/>
              </w:rPr>
              <w:t>1,805,046</w:t>
            </w:r>
          </w:p>
        </w:tc>
        <w:tc>
          <w:tcPr>
            <w:tcW w:w="1039" w:type="dxa"/>
            <w:tcBorders>
              <w:top w:val="nil"/>
              <w:left w:val="single" w:sz="4" w:space="0" w:color="auto"/>
              <w:bottom w:val="nil"/>
              <w:right w:val="single" w:sz="4" w:space="0" w:color="auto"/>
            </w:tcBorders>
            <w:shd w:val="clear" w:color="auto" w:fill="auto"/>
            <w:vAlign w:val="center"/>
            <w:hideMark/>
          </w:tcPr>
          <w:p w14:paraId="7ABBF613" w14:textId="344AB767" w:rsidR="00DC3599" w:rsidRPr="00005453" w:rsidRDefault="00DC3599" w:rsidP="00DC3599">
            <w:pPr>
              <w:jc w:val="right"/>
              <w:rPr>
                <w:sz w:val="14"/>
                <w:szCs w:val="14"/>
                <w:lang w:eastAsia="tr-TR"/>
              </w:rPr>
            </w:pPr>
            <w:r w:rsidRPr="00E41120">
              <w:rPr>
                <w:bCs/>
                <w:sz w:val="14"/>
                <w:szCs w:val="14"/>
              </w:rPr>
              <w:t>1,823,401</w:t>
            </w:r>
          </w:p>
        </w:tc>
      </w:tr>
      <w:tr w:rsidR="00DC3599" w:rsidRPr="00005453" w14:paraId="7E9A063D"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72C2A097" w14:textId="77777777" w:rsidR="00DC3599" w:rsidRPr="00005453" w:rsidRDefault="00DC3599" w:rsidP="00DC3599">
            <w:pPr>
              <w:rPr>
                <w:color w:val="000000"/>
                <w:sz w:val="14"/>
                <w:szCs w:val="14"/>
                <w:lang w:eastAsia="tr-TR"/>
              </w:rPr>
            </w:pPr>
            <w:r w:rsidRPr="00005453">
              <w:rPr>
                <w:color w:val="000000"/>
                <w:sz w:val="14"/>
                <w:szCs w:val="14"/>
                <w:lang w:eastAsia="tr-TR"/>
              </w:rPr>
              <w:t>1.3.2.</w:t>
            </w:r>
          </w:p>
        </w:tc>
        <w:tc>
          <w:tcPr>
            <w:tcW w:w="3138" w:type="dxa"/>
            <w:tcBorders>
              <w:top w:val="nil"/>
              <w:left w:val="single" w:sz="4" w:space="0" w:color="auto"/>
              <w:bottom w:val="nil"/>
              <w:right w:val="single" w:sz="4" w:space="0" w:color="auto"/>
            </w:tcBorders>
            <w:shd w:val="clear" w:color="auto" w:fill="auto"/>
            <w:noWrap/>
            <w:hideMark/>
          </w:tcPr>
          <w:p w14:paraId="2F97AF9A" w14:textId="77777777" w:rsidR="00DC3599" w:rsidRPr="00005453" w:rsidRDefault="00DC3599" w:rsidP="00DC3599">
            <w:pPr>
              <w:rPr>
                <w:color w:val="000000"/>
                <w:sz w:val="14"/>
                <w:szCs w:val="14"/>
                <w:lang w:eastAsia="tr-TR"/>
              </w:rPr>
            </w:pPr>
            <w:r w:rsidRPr="00005453">
              <w:rPr>
                <w:color w:val="000000"/>
                <w:sz w:val="14"/>
                <w:szCs w:val="14"/>
                <w:lang w:eastAsia="tr-TR"/>
              </w:rPr>
              <w:t>Diğer Akreditifler</w:t>
            </w:r>
          </w:p>
        </w:tc>
        <w:tc>
          <w:tcPr>
            <w:tcW w:w="585" w:type="dxa"/>
            <w:tcBorders>
              <w:top w:val="nil"/>
              <w:left w:val="single" w:sz="4" w:space="0" w:color="auto"/>
              <w:bottom w:val="nil"/>
              <w:right w:val="single" w:sz="4" w:space="0" w:color="auto"/>
            </w:tcBorders>
            <w:shd w:val="clear" w:color="auto" w:fill="auto"/>
            <w:hideMark/>
          </w:tcPr>
          <w:p w14:paraId="69386C67"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4A393DE" w14:textId="5B5D82C1" w:rsidR="00DC3599" w:rsidRPr="00005453" w:rsidRDefault="00DC3599" w:rsidP="00DC3599">
            <w:pPr>
              <w:jc w:val="right"/>
              <w:rPr>
                <w:bCs/>
                <w:sz w:val="14"/>
                <w:szCs w:val="14"/>
              </w:rPr>
            </w:pPr>
            <w:r w:rsidRPr="00005453">
              <w:rPr>
                <w:sz w:val="14"/>
                <w:szCs w:val="18"/>
              </w:rPr>
              <w:t>26,188</w:t>
            </w:r>
          </w:p>
        </w:tc>
        <w:tc>
          <w:tcPr>
            <w:tcW w:w="992" w:type="dxa"/>
            <w:tcBorders>
              <w:top w:val="nil"/>
              <w:left w:val="single" w:sz="4" w:space="0" w:color="auto"/>
              <w:bottom w:val="nil"/>
              <w:right w:val="single" w:sz="4" w:space="0" w:color="auto"/>
            </w:tcBorders>
            <w:shd w:val="clear" w:color="auto" w:fill="auto"/>
            <w:vAlign w:val="center"/>
            <w:hideMark/>
          </w:tcPr>
          <w:p w14:paraId="026C8D6F" w14:textId="6F7FAB21" w:rsidR="00DC3599" w:rsidRPr="00005453" w:rsidRDefault="00DC3599" w:rsidP="00DC3599">
            <w:pPr>
              <w:jc w:val="right"/>
              <w:rPr>
                <w:bCs/>
                <w:sz w:val="14"/>
                <w:szCs w:val="14"/>
              </w:rPr>
            </w:pPr>
            <w:r w:rsidRPr="00005453">
              <w:rPr>
                <w:sz w:val="14"/>
                <w:szCs w:val="18"/>
              </w:rPr>
              <w:t>12,070,679</w:t>
            </w:r>
          </w:p>
        </w:tc>
        <w:tc>
          <w:tcPr>
            <w:tcW w:w="1015" w:type="dxa"/>
            <w:tcBorders>
              <w:top w:val="nil"/>
              <w:left w:val="single" w:sz="4" w:space="0" w:color="auto"/>
              <w:bottom w:val="nil"/>
              <w:right w:val="single" w:sz="4" w:space="0" w:color="auto"/>
            </w:tcBorders>
            <w:shd w:val="clear" w:color="auto" w:fill="auto"/>
            <w:vAlign w:val="center"/>
            <w:hideMark/>
          </w:tcPr>
          <w:p w14:paraId="197A9060" w14:textId="7AFBC23D" w:rsidR="00DC3599" w:rsidRPr="00005453" w:rsidRDefault="00DC3599" w:rsidP="00DC3599">
            <w:pPr>
              <w:jc w:val="right"/>
              <w:rPr>
                <w:bCs/>
                <w:sz w:val="14"/>
                <w:szCs w:val="14"/>
              </w:rPr>
            </w:pPr>
            <w:r w:rsidRPr="00005453">
              <w:rPr>
                <w:sz w:val="14"/>
                <w:szCs w:val="18"/>
              </w:rPr>
              <w:t>12,096,867</w:t>
            </w:r>
          </w:p>
        </w:tc>
        <w:tc>
          <w:tcPr>
            <w:tcW w:w="992" w:type="dxa"/>
            <w:tcBorders>
              <w:top w:val="nil"/>
              <w:left w:val="single" w:sz="4" w:space="0" w:color="auto"/>
              <w:bottom w:val="nil"/>
              <w:right w:val="single" w:sz="4" w:space="0" w:color="auto"/>
            </w:tcBorders>
            <w:shd w:val="clear" w:color="auto" w:fill="auto"/>
            <w:vAlign w:val="center"/>
            <w:hideMark/>
          </w:tcPr>
          <w:p w14:paraId="0E017D6F" w14:textId="667C7AB8" w:rsidR="00DC3599" w:rsidRPr="00005453" w:rsidRDefault="00DC3599" w:rsidP="00DC3599">
            <w:pPr>
              <w:jc w:val="right"/>
              <w:rPr>
                <w:sz w:val="14"/>
                <w:szCs w:val="14"/>
                <w:lang w:eastAsia="tr-TR"/>
              </w:rPr>
            </w:pPr>
            <w:r w:rsidRPr="00E41120">
              <w:rPr>
                <w:bCs/>
                <w:sz w:val="14"/>
                <w:szCs w:val="14"/>
              </w:rPr>
              <w:t>30,999</w:t>
            </w:r>
          </w:p>
        </w:tc>
        <w:tc>
          <w:tcPr>
            <w:tcW w:w="945" w:type="dxa"/>
            <w:tcBorders>
              <w:top w:val="nil"/>
              <w:left w:val="single" w:sz="4" w:space="0" w:color="auto"/>
              <w:bottom w:val="nil"/>
              <w:right w:val="single" w:sz="4" w:space="0" w:color="auto"/>
            </w:tcBorders>
            <w:shd w:val="clear" w:color="auto" w:fill="auto"/>
            <w:vAlign w:val="center"/>
            <w:hideMark/>
          </w:tcPr>
          <w:p w14:paraId="6A35CB89" w14:textId="5DA3461F" w:rsidR="00DC3599" w:rsidRPr="00005453" w:rsidRDefault="00DC3599" w:rsidP="00DC3599">
            <w:pPr>
              <w:jc w:val="right"/>
              <w:rPr>
                <w:sz w:val="14"/>
                <w:szCs w:val="14"/>
                <w:lang w:eastAsia="tr-TR"/>
              </w:rPr>
            </w:pPr>
            <w:r w:rsidRPr="00E41120">
              <w:rPr>
                <w:bCs/>
                <w:sz w:val="14"/>
                <w:szCs w:val="14"/>
              </w:rPr>
              <w:t>7,031,927</w:t>
            </w:r>
          </w:p>
        </w:tc>
        <w:tc>
          <w:tcPr>
            <w:tcW w:w="1039" w:type="dxa"/>
            <w:tcBorders>
              <w:top w:val="nil"/>
              <w:left w:val="single" w:sz="4" w:space="0" w:color="auto"/>
              <w:bottom w:val="nil"/>
              <w:right w:val="single" w:sz="4" w:space="0" w:color="auto"/>
            </w:tcBorders>
            <w:shd w:val="clear" w:color="auto" w:fill="auto"/>
            <w:vAlign w:val="center"/>
            <w:hideMark/>
          </w:tcPr>
          <w:p w14:paraId="2CCE3A29" w14:textId="57759E74" w:rsidR="00DC3599" w:rsidRPr="00005453" w:rsidRDefault="00DC3599" w:rsidP="00DC3599">
            <w:pPr>
              <w:jc w:val="right"/>
              <w:rPr>
                <w:sz w:val="14"/>
                <w:szCs w:val="14"/>
                <w:lang w:eastAsia="tr-TR"/>
              </w:rPr>
            </w:pPr>
            <w:r w:rsidRPr="00E41120">
              <w:rPr>
                <w:bCs/>
                <w:sz w:val="14"/>
                <w:szCs w:val="14"/>
              </w:rPr>
              <w:t>7,062,926</w:t>
            </w:r>
          </w:p>
        </w:tc>
      </w:tr>
      <w:tr w:rsidR="00DC3599" w:rsidRPr="00005453" w14:paraId="661E574E"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75EE6012" w14:textId="77777777" w:rsidR="00DC3599" w:rsidRPr="00005453" w:rsidRDefault="00DC3599" w:rsidP="00DC3599">
            <w:pPr>
              <w:rPr>
                <w:color w:val="000000"/>
                <w:sz w:val="14"/>
                <w:szCs w:val="14"/>
                <w:lang w:eastAsia="tr-TR"/>
              </w:rPr>
            </w:pPr>
            <w:r w:rsidRPr="00005453">
              <w:rPr>
                <w:color w:val="000000"/>
                <w:sz w:val="14"/>
                <w:szCs w:val="14"/>
                <w:lang w:eastAsia="tr-TR"/>
              </w:rPr>
              <w:t>1.4.</w:t>
            </w:r>
          </w:p>
        </w:tc>
        <w:tc>
          <w:tcPr>
            <w:tcW w:w="3138" w:type="dxa"/>
            <w:tcBorders>
              <w:top w:val="nil"/>
              <w:left w:val="single" w:sz="4" w:space="0" w:color="auto"/>
              <w:bottom w:val="nil"/>
              <w:right w:val="single" w:sz="4" w:space="0" w:color="auto"/>
            </w:tcBorders>
            <w:shd w:val="clear" w:color="auto" w:fill="auto"/>
            <w:noWrap/>
            <w:hideMark/>
          </w:tcPr>
          <w:p w14:paraId="54E893F0" w14:textId="77777777" w:rsidR="00DC3599" w:rsidRPr="00005453" w:rsidRDefault="00DC3599" w:rsidP="00DC3599">
            <w:pPr>
              <w:rPr>
                <w:color w:val="000000"/>
                <w:sz w:val="14"/>
                <w:szCs w:val="14"/>
                <w:lang w:eastAsia="tr-TR"/>
              </w:rPr>
            </w:pPr>
            <w:r w:rsidRPr="00005453">
              <w:rPr>
                <w:color w:val="000000"/>
                <w:sz w:val="14"/>
                <w:szCs w:val="14"/>
                <w:lang w:eastAsia="tr-TR"/>
              </w:rPr>
              <w:t>Garanti Verilen Prefinansmanlar</w:t>
            </w:r>
          </w:p>
        </w:tc>
        <w:tc>
          <w:tcPr>
            <w:tcW w:w="585" w:type="dxa"/>
            <w:tcBorders>
              <w:top w:val="nil"/>
              <w:left w:val="single" w:sz="4" w:space="0" w:color="auto"/>
              <w:bottom w:val="nil"/>
              <w:right w:val="single" w:sz="4" w:space="0" w:color="auto"/>
            </w:tcBorders>
            <w:shd w:val="clear" w:color="auto" w:fill="auto"/>
            <w:hideMark/>
          </w:tcPr>
          <w:p w14:paraId="798052B3"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AF1882D" w14:textId="66075741"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F01F699" w14:textId="3EBDE6AA"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795E13A9" w14:textId="36E7EC29"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925308F" w14:textId="592D7AF8"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2C4A2A9" w14:textId="08C7EA27"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1CA0F687" w14:textId="43DB0903" w:rsidR="00DC3599" w:rsidRPr="00005453" w:rsidRDefault="00DC3599" w:rsidP="00DC3599">
            <w:pPr>
              <w:jc w:val="right"/>
              <w:rPr>
                <w:sz w:val="14"/>
                <w:szCs w:val="14"/>
                <w:lang w:eastAsia="tr-TR"/>
              </w:rPr>
            </w:pPr>
            <w:r w:rsidRPr="00E41120">
              <w:rPr>
                <w:bCs/>
                <w:sz w:val="14"/>
                <w:szCs w:val="14"/>
              </w:rPr>
              <w:t>-</w:t>
            </w:r>
          </w:p>
        </w:tc>
      </w:tr>
      <w:tr w:rsidR="00DC3599" w:rsidRPr="00005453" w14:paraId="108CFD4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508495E" w14:textId="77777777" w:rsidR="00DC3599" w:rsidRPr="00005453" w:rsidRDefault="00DC3599" w:rsidP="00DC3599">
            <w:pPr>
              <w:rPr>
                <w:color w:val="000000"/>
                <w:sz w:val="14"/>
                <w:szCs w:val="14"/>
                <w:lang w:eastAsia="tr-TR"/>
              </w:rPr>
            </w:pPr>
            <w:r w:rsidRPr="00005453">
              <w:rPr>
                <w:color w:val="000000"/>
                <w:sz w:val="14"/>
                <w:szCs w:val="14"/>
                <w:lang w:eastAsia="tr-TR"/>
              </w:rPr>
              <w:t>1.5.</w:t>
            </w:r>
          </w:p>
        </w:tc>
        <w:tc>
          <w:tcPr>
            <w:tcW w:w="3138" w:type="dxa"/>
            <w:tcBorders>
              <w:top w:val="nil"/>
              <w:left w:val="single" w:sz="4" w:space="0" w:color="auto"/>
              <w:bottom w:val="nil"/>
              <w:right w:val="single" w:sz="4" w:space="0" w:color="auto"/>
            </w:tcBorders>
            <w:shd w:val="clear" w:color="auto" w:fill="auto"/>
            <w:noWrap/>
            <w:hideMark/>
          </w:tcPr>
          <w:p w14:paraId="19F3628F" w14:textId="77777777" w:rsidR="00DC3599" w:rsidRPr="00005453" w:rsidRDefault="00DC3599" w:rsidP="00DC3599">
            <w:pPr>
              <w:rPr>
                <w:color w:val="000000"/>
                <w:sz w:val="14"/>
                <w:szCs w:val="14"/>
                <w:lang w:eastAsia="tr-TR"/>
              </w:rPr>
            </w:pPr>
            <w:r w:rsidRPr="00005453">
              <w:rPr>
                <w:color w:val="000000"/>
                <w:sz w:val="14"/>
                <w:szCs w:val="14"/>
                <w:lang w:eastAsia="tr-TR"/>
              </w:rPr>
              <w:t>Cirolar</w:t>
            </w:r>
          </w:p>
        </w:tc>
        <w:tc>
          <w:tcPr>
            <w:tcW w:w="585" w:type="dxa"/>
            <w:tcBorders>
              <w:top w:val="nil"/>
              <w:left w:val="single" w:sz="4" w:space="0" w:color="auto"/>
              <w:bottom w:val="nil"/>
              <w:right w:val="single" w:sz="4" w:space="0" w:color="auto"/>
            </w:tcBorders>
            <w:shd w:val="clear" w:color="auto" w:fill="auto"/>
            <w:hideMark/>
          </w:tcPr>
          <w:p w14:paraId="2918BF66"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5736F6B" w14:textId="2D3FA2A6" w:rsidR="00DC3599" w:rsidRPr="00005453" w:rsidRDefault="00DC3599" w:rsidP="00DC3599">
            <w:pPr>
              <w:tabs>
                <w:tab w:val="center" w:pos="426"/>
                <w:tab w:val="right" w:pos="852"/>
              </w:tabs>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8861AAA" w14:textId="7085E606"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BB9A77A" w14:textId="4DA320B1"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C5AC43E" w14:textId="19DB40EE"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1275EF5" w14:textId="194B5FF1"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7E72AE13" w14:textId="2022BF8F" w:rsidR="00DC3599" w:rsidRPr="00005453" w:rsidRDefault="00DC3599" w:rsidP="00DC3599">
            <w:pPr>
              <w:jc w:val="right"/>
              <w:rPr>
                <w:sz w:val="14"/>
                <w:szCs w:val="14"/>
                <w:lang w:eastAsia="tr-TR"/>
              </w:rPr>
            </w:pPr>
            <w:r w:rsidRPr="00E41120">
              <w:rPr>
                <w:bCs/>
                <w:sz w:val="14"/>
                <w:szCs w:val="14"/>
              </w:rPr>
              <w:t>-</w:t>
            </w:r>
          </w:p>
        </w:tc>
      </w:tr>
      <w:tr w:rsidR="00DC3599" w:rsidRPr="00005453" w14:paraId="13C8B0BE"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BDD2F57" w14:textId="77777777" w:rsidR="00DC3599" w:rsidRPr="00005453" w:rsidRDefault="00DC3599" w:rsidP="00DC3599">
            <w:pPr>
              <w:rPr>
                <w:color w:val="000000"/>
                <w:sz w:val="14"/>
                <w:szCs w:val="14"/>
                <w:lang w:eastAsia="tr-TR"/>
              </w:rPr>
            </w:pPr>
            <w:r w:rsidRPr="00005453">
              <w:rPr>
                <w:color w:val="000000"/>
                <w:sz w:val="14"/>
                <w:szCs w:val="14"/>
                <w:lang w:eastAsia="tr-TR"/>
              </w:rPr>
              <w:t>1.5.1.</w:t>
            </w:r>
          </w:p>
        </w:tc>
        <w:tc>
          <w:tcPr>
            <w:tcW w:w="3138" w:type="dxa"/>
            <w:tcBorders>
              <w:top w:val="nil"/>
              <w:left w:val="single" w:sz="4" w:space="0" w:color="auto"/>
              <w:bottom w:val="nil"/>
              <w:right w:val="single" w:sz="4" w:space="0" w:color="auto"/>
            </w:tcBorders>
            <w:shd w:val="clear" w:color="auto" w:fill="auto"/>
            <w:noWrap/>
            <w:hideMark/>
          </w:tcPr>
          <w:p w14:paraId="3F6DC5F7" w14:textId="77777777" w:rsidR="00DC3599" w:rsidRPr="00005453" w:rsidRDefault="00DC3599" w:rsidP="00DC3599">
            <w:pPr>
              <w:rPr>
                <w:color w:val="000000"/>
                <w:sz w:val="14"/>
                <w:szCs w:val="14"/>
                <w:lang w:eastAsia="tr-TR"/>
              </w:rPr>
            </w:pPr>
            <w:r w:rsidRPr="00005453">
              <w:rPr>
                <w:color w:val="000000"/>
                <w:sz w:val="14"/>
                <w:szCs w:val="14"/>
                <w:lang w:eastAsia="tr-TR"/>
              </w:rPr>
              <w:t>T.C. Merkez Bankasına Cirolar</w:t>
            </w:r>
          </w:p>
        </w:tc>
        <w:tc>
          <w:tcPr>
            <w:tcW w:w="585" w:type="dxa"/>
            <w:tcBorders>
              <w:top w:val="nil"/>
              <w:left w:val="single" w:sz="4" w:space="0" w:color="auto"/>
              <w:bottom w:val="nil"/>
              <w:right w:val="single" w:sz="4" w:space="0" w:color="auto"/>
            </w:tcBorders>
            <w:shd w:val="clear" w:color="auto" w:fill="auto"/>
            <w:hideMark/>
          </w:tcPr>
          <w:p w14:paraId="715078C2"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7359720" w14:textId="1611C2B5"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DF368CA" w14:textId="11FBEBBC"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1E07CFC6" w14:textId="7CBB08D4"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CBA8FDC" w14:textId="6BDF0DD1"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C2DB5DB" w14:textId="1F094EA3"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50A6383F" w14:textId="6995D27B" w:rsidR="00DC3599" w:rsidRPr="00005453" w:rsidRDefault="00DC3599" w:rsidP="00DC3599">
            <w:pPr>
              <w:jc w:val="right"/>
              <w:rPr>
                <w:sz w:val="14"/>
                <w:szCs w:val="14"/>
                <w:lang w:eastAsia="tr-TR"/>
              </w:rPr>
            </w:pPr>
            <w:r w:rsidRPr="00E41120">
              <w:rPr>
                <w:bCs/>
                <w:sz w:val="14"/>
                <w:szCs w:val="14"/>
              </w:rPr>
              <w:t>-</w:t>
            </w:r>
          </w:p>
        </w:tc>
      </w:tr>
      <w:tr w:rsidR="00DC3599" w:rsidRPr="00005453" w14:paraId="29F772CB"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5311310" w14:textId="77777777" w:rsidR="00DC3599" w:rsidRPr="00005453" w:rsidRDefault="00DC3599" w:rsidP="00DC3599">
            <w:pPr>
              <w:rPr>
                <w:color w:val="000000"/>
                <w:sz w:val="14"/>
                <w:szCs w:val="14"/>
                <w:lang w:eastAsia="tr-TR"/>
              </w:rPr>
            </w:pPr>
            <w:r w:rsidRPr="00005453">
              <w:rPr>
                <w:color w:val="000000"/>
                <w:sz w:val="14"/>
                <w:szCs w:val="14"/>
                <w:lang w:eastAsia="tr-TR"/>
              </w:rPr>
              <w:t>1.5.2.</w:t>
            </w:r>
          </w:p>
        </w:tc>
        <w:tc>
          <w:tcPr>
            <w:tcW w:w="3138" w:type="dxa"/>
            <w:tcBorders>
              <w:top w:val="nil"/>
              <w:left w:val="single" w:sz="4" w:space="0" w:color="auto"/>
              <w:bottom w:val="nil"/>
              <w:right w:val="single" w:sz="4" w:space="0" w:color="auto"/>
            </w:tcBorders>
            <w:shd w:val="clear" w:color="auto" w:fill="auto"/>
            <w:noWrap/>
            <w:hideMark/>
          </w:tcPr>
          <w:p w14:paraId="16B4FC78" w14:textId="77777777" w:rsidR="00DC3599" w:rsidRPr="00005453" w:rsidRDefault="00DC3599" w:rsidP="00DC3599">
            <w:pPr>
              <w:rPr>
                <w:color w:val="000000"/>
                <w:sz w:val="14"/>
                <w:szCs w:val="14"/>
                <w:lang w:eastAsia="tr-TR"/>
              </w:rPr>
            </w:pPr>
            <w:r w:rsidRPr="00005453">
              <w:rPr>
                <w:color w:val="000000"/>
                <w:sz w:val="14"/>
                <w:szCs w:val="14"/>
                <w:lang w:eastAsia="tr-TR"/>
              </w:rPr>
              <w:t>Diğer Cirolar</w:t>
            </w:r>
          </w:p>
        </w:tc>
        <w:tc>
          <w:tcPr>
            <w:tcW w:w="585" w:type="dxa"/>
            <w:tcBorders>
              <w:top w:val="nil"/>
              <w:left w:val="single" w:sz="4" w:space="0" w:color="auto"/>
              <w:bottom w:val="nil"/>
              <w:right w:val="single" w:sz="4" w:space="0" w:color="auto"/>
            </w:tcBorders>
            <w:shd w:val="clear" w:color="auto" w:fill="auto"/>
            <w:hideMark/>
          </w:tcPr>
          <w:p w14:paraId="38464F27"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C57508C" w14:textId="19EAFF71"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CBA12B4" w14:textId="775693F1"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496C695E" w14:textId="0CBC40BC"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F131D27" w14:textId="4B5B4A88"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B52517B" w14:textId="2C1CE158"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200CE69A" w14:textId="21E3C5DA" w:rsidR="00DC3599" w:rsidRPr="00005453" w:rsidRDefault="00DC3599" w:rsidP="00DC3599">
            <w:pPr>
              <w:jc w:val="right"/>
              <w:rPr>
                <w:sz w:val="14"/>
                <w:szCs w:val="14"/>
                <w:lang w:eastAsia="tr-TR"/>
              </w:rPr>
            </w:pPr>
            <w:r w:rsidRPr="00E41120">
              <w:rPr>
                <w:bCs/>
                <w:sz w:val="14"/>
                <w:szCs w:val="14"/>
              </w:rPr>
              <w:t>-</w:t>
            </w:r>
          </w:p>
        </w:tc>
      </w:tr>
      <w:tr w:rsidR="00DC3599" w:rsidRPr="00005453" w14:paraId="4BEB228A"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4FBAF37" w14:textId="77777777" w:rsidR="00DC3599" w:rsidRPr="00005453" w:rsidRDefault="00DC3599" w:rsidP="00DC3599">
            <w:pPr>
              <w:rPr>
                <w:color w:val="000000"/>
                <w:sz w:val="14"/>
                <w:szCs w:val="14"/>
                <w:lang w:eastAsia="tr-TR"/>
              </w:rPr>
            </w:pPr>
            <w:r w:rsidRPr="00005453">
              <w:rPr>
                <w:color w:val="000000"/>
                <w:sz w:val="14"/>
                <w:szCs w:val="14"/>
                <w:lang w:eastAsia="tr-TR"/>
              </w:rPr>
              <w:t>1.6.</w:t>
            </w:r>
          </w:p>
        </w:tc>
        <w:tc>
          <w:tcPr>
            <w:tcW w:w="3138" w:type="dxa"/>
            <w:tcBorders>
              <w:top w:val="nil"/>
              <w:left w:val="single" w:sz="4" w:space="0" w:color="auto"/>
              <w:bottom w:val="nil"/>
              <w:right w:val="single" w:sz="4" w:space="0" w:color="auto"/>
            </w:tcBorders>
            <w:shd w:val="clear" w:color="auto" w:fill="auto"/>
            <w:noWrap/>
            <w:hideMark/>
          </w:tcPr>
          <w:p w14:paraId="167D7FD0" w14:textId="77777777" w:rsidR="00DC3599" w:rsidRPr="00005453" w:rsidRDefault="00DC3599" w:rsidP="00DC3599">
            <w:pPr>
              <w:rPr>
                <w:color w:val="000000"/>
                <w:sz w:val="14"/>
                <w:szCs w:val="14"/>
                <w:lang w:eastAsia="tr-TR"/>
              </w:rPr>
            </w:pPr>
            <w:r w:rsidRPr="00005453">
              <w:rPr>
                <w:color w:val="000000"/>
                <w:sz w:val="14"/>
                <w:szCs w:val="14"/>
                <w:lang w:eastAsia="tr-TR"/>
              </w:rPr>
              <w:t>Diğer Garantilerimizden</w:t>
            </w:r>
          </w:p>
        </w:tc>
        <w:tc>
          <w:tcPr>
            <w:tcW w:w="585" w:type="dxa"/>
            <w:tcBorders>
              <w:top w:val="nil"/>
              <w:left w:val="single" w:sz="4" w:space="0" w:color="auto"/>
              <w:bottom w:val="nil"/>
              <w:right w:val="single" w:sz="4" w:space="0" w:color="auto"/>
            </w:tcBorders>
            <w:shd w:val="clear" w:color="auto" w:fill="auto"/>
            <w:hideMark/>
          </w:tcPr>
          <w:p w14:paraId="679D1631"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0694885" w14:textId="4511E1C4" w:rsidR="00DC3599" w:rsidRPr="00005453" w:rsidRDefault="00DC3599" w:rsidP="00DC3599">
            <w:pPr>
              <w:jc w:val="right"/>
              <w:rPr>
                <w:bCs/>
                <w:sz w:val="14"/>
                <w:szCs w:val="14"/>
              </w:rPr>
            </w:pPr>
            <w:r w:rsidRPr="00005453">
              <w:rPr>
                <w:sz w:val="14"/>
                <w:szCs w:val="18"/>
              </w:rPr>
              <w:t>4,826,074</w:t>
            </w:r>
          </w:p>
        </w:tc>
        <w:tc>
          <w:tcPr>
            <w:tcW w:w="992" w:type="dxa"/>
            <w:tcBorders>
              <w:top w:val="nil"/>
              <w:left w:val="single" w:sz="4" w:space="0" w:color="auto"/>
              <w:bottom w:val="nil"/>
              <w:right w:val="single" w:sz="4" w:space="0" w:color="auto"/>
            </w:tcBorders>
            <w:shd w:val="clear" w:color="auto" w:fill="auto"/>
            <w:vAlign w:val="center"/>
            <w:hideMark/>
          </w:tcPr>
          <w:p w14:paraId="320FCD51" w14:textId="0ABFB8A5" w:rsidR="00DC3599" w:rsidRPr="00005453" w:rsidRDefault="00DC3599" w:rsidP="00DC3599">
            <w:pPr>
              <w:jc w:val="right"/>
              <w:rPr>
                <w:bCs/>
                <w:sz w:val="14"/>
                <w:szCs w:val="14"/>
              </w:rPr>
            </w:pPr>
            <w:r w:rsidRPr="00005453">
              <w:rPr>
                <w:sz w:val="14"/>
                <w:szCs w:val="18"/>
              </w:rPr>
              <w:t>385,016</w:t>
            </w:r>
          </w:p>
        </w:tc>
        <w:tc>
          <w:tcPr>
            <w:tcW w:w="1015" w:type="dxa"/>
            <w:tcBorders>
              <w:top w:val="nil"/>
              <w:left w:val="single" w:sz="4" w:space="0" w:color="auto"/>
              <w:bottom w:val="nil"/>
              <w:right w:val="single" w:sz="4" w:space="0" w:color="auto"/>
            </w:tcBorders>
            <w:shd w:val="clear" w:color="auto" w:fill="auto"/>
            <w:vAlign w:val="center"/>
            <w:hideMark/>
          </w:tcPr>
          <w:p w14:paraId="23445C57" w14:textId="4BE66D27" w:rsidR="00DC3599" w:rsidRPr="00005453" w:rsidRDefault="00DC3599" w:rsidP="00DC3599">
            <w:pPr>
              <w:jc w:val="right"/>
              <w:rPr>
                <w:bCs/>
                <w:sz w:val="14"/>
                <w:szCs w:val="14"/>
              </w:rPr>
            </w:pPr>
            <w:r w:rsidRPr="00005453">
              <w:rPr>
                <w:sz w:val="14"/>
                <w:szCs w:val="18"/>
              </w:rPr>
              <w:t>5,211,090</w:t>
            </w:r>
          </w:p>
        </w:tc>
        <w:tc>
          <w:tcPr>
            <w:tcW w:w="992" w:type="dxa"/>
            <w:tcBorders>
              <w:top w:val="nil"/>
              <w:left w:val="single" w:sz="4" w:space="0" w:color="auto"/>
              <w:bottom w:val="nil"/>
              <w:right w:val="single" w:sz="4" w:space="0" w:color="auto"/>
            </w:tcBorders>
            <w:shd w:val="clear" w:color="auto" w:fill="auto"/>
            <w:vAlign w:val="center"/>
            <w:hideMark/>
          </w:tcPr>
          <w:p w14:paraId="10974D20" w14:textId="780FD1CE" w:rsidR="00DC3599" w:rsidRPr="00005453" w:rsidRDefault="00DC3599" w:rsidP="00DC3599">
            <w:pPr>
              <w:jc w:val="right"/>
              <w:rPr>
                <w:sz w:val="14"/>
                <w:szCs w:val="14"/>
                <w:lang w:eastAsia="tr-TR"/>
              </w:rPr>
            </w:pPr>
            <w:r w:rsidRPr="00E41120">
              <w:rPr>
                <w:bCs/>
                <w:sz w:val="14"/>
                <w:szCs w:val="14"/>
              </w:rPr>
              <w:t>2,687,839</w:t>
            </w:r>
          </w:p>
        </w:tc>
        <w:tc>
          <w:tcPr>
            <w:tcW w:w="945" w:type="dxa"/>
            <w:tcBorders>
              <w:top w:val="nil"/>
              <w:left w:val="single" w:sz="4" w:space="0" w:color="auto"/>
              <w:bottom w:val="nil"/>
              <w:right w:val="single" w:sz="4" w:space="0" w:color="auto"/>
            </w:tcBorders>
            <w:shd w:val="clear" w:color="auto" w:fill="auto"/>
            <w:vAlign w:val="center"/>
            <w:hideMark/>
          </w:tcPr>
          <w:p w14:paraId="17767E19" w14:textId="5D6EB1C6" w:rsidR="00DC3599" w:rsidRPr="00005453" w:rsidRDefault="00DC3599" w:rsidP="00DC3599">
            <w:pPr>
              <w:jc w:val="right"/>
              <w:rPr>
                <w:sz w:val="14"/>
                <w:szCs w:val="14"/>
                <w:lang w:eastAsia="tr-TR"/>
              </w:rPr>
            </w:pPr>
            <w:r w:rsidRPr="00E41120">
              <w:rPr>
                <w:bCs/>
                <w:sz w:val="14"/>
                <w:szCs w:val="14"/>
              </w:rPr>
              <w:t>323,472</w:t>
            </w:r>
          </w:p>
        </w:tc>
        <w:tc>
          <w:tcPr>
            <w:tcW w:w="1039" w:type="dxa"/>
            <w:tcBorders>
              <w:top w:val="nil"/>
              <w:left w:val="single" w:sz="4" w:space="0" w:color="auto"/>
              <w:bottom w:val="nil"/>
              <w:right w:val="single" w:sz="4" w:space="0" w:color="auto"/>
            </w:tcBorders>
            <w:shd w:val="clear" w:color="auto" w:fill="auto"/>
            <w:vAlign w:val="center"/>
            <w:hideMark/>
          </w:tcPr>
          <w:p w14:paraId="37D044C6" w14:textId="71AACACA" w:rsidR="00DC3599" w:rsidRPr="00005453" w:rsidRDefault="00DC3599" w:rsidP="00DC3599">
            <w:pPr>
              <w:jc w:val="right"/>
              <w:rPr>
                <w:sz w:val="14"/>
                <w:szCs w:val="14"/>
                <w:lang w:eastAsia="tr-TR"/>
              </w:rPr>
            </w:pPr>
            <w:r w:rsidRPr="00E41120">
              <w:rPr>
                <w:bCs/>
                <w:sz w:val="14"/>
                <w:szCs w:val="14"/>
              </w:rPr>
              <w:t>3,011,311</w:t>
            </w:r>
          </w:p>
        </w:tc>
      </w:tr>
      <w:tr w:rsidR="00DC3599" w:rsidRPr="00005453" w14:paraId="575CF4DB"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698F455" w14:textId="77777777" w:rsidR="00DC3599" w:rsidRPr="00005453" w:rsidRDefault="00DC3599" w:rsidP="00DC3599">
            <w:pPr>
              <w:rPr>
                <w:color w:val="000000"/>
                <w:sz w:val="14"/>
                <w:szCs w:val="14"/>
                <w:lang w:eastAsia="tr-TR"/>
              </w:rPr>
            </w:pPr>
            <w:r w:rsidRPr="00005453">
              <w:rPr>
                <w:color w:val="000000"/>
                <w:sz w:val="14"/>
                <w:szCs w:val="14"/>
                <w:lang w:eastAsia="tr-TR"/>
              </w:rPr>
              <w:t>1.7.</w:t>
            </w:r>
          </w:p>
        </w:tc>
        <w:tc>
          <w:tcPr>
            <w:tcW w:w="3138" w:type="dxa"/>
            <w:tcBorders>
              <w:top w:val="nil"/>
              <w:left w:val="single" w:sz="4" w:space="0" w:color="auto"/>
              <w:bottom w:val="nil"/>
              <w:right w:val="single" w:sz="4" w:space="0" w:color="auto"/>
            </w:tcBorders>
            <w:shd w:val="clear" w:color="auto" w:fill="auto"/>
            <w:noWrap/>
            <w:hideMark/>
          </w:tcPr>
          <w:p w14:paraId="04E21F73" w14:textId="77777777" w:rsidR="00DC3599" w:rsidRPr="00005453" w:rsidRDefault="00DC3599" w:rsidP="00DC3599">
            <w:pPr>
              <w:rPr>
                <w:color w:val="000000"/>
                <w:sz w:val="14"/>
                <w:szCs w:val="14"/>
                <w:lang w:eastAsia="tr-TR"/>
              </w:rPr>
            </w:pPr>
            <w:r w:rsidRPr="00005453">
              <w:rPr>
                <w:color w:val="000000"/>
                <w:sz w:val="14"/>
                <w:szCs w:val="14"/>
                <w:lang w:eastAsia="tr-TR"/>
              </w:rPr>
              <w:t>Diğer Kefaletlerimizden</w:t>
            </w:r>
          </w:p>
        </w:tc>
        <w:tc>
          <w:tcPr>
            <w:tcW w:w="585" w:type="dxa"/>
            <w:tcBorders>
              <w:top w:val="nil"/>
              <w:left w:val="single" w:sz="4" w:space="0" w:color="auto"/>
              <w:bottom w:val="nil"/>
              <w:right w:val="single" w:sz="4" w:space="0" w:color="auto"/>
            </w:tcBorders>
            <w:shd w:val="clear" w:color="auto" w:fill="auto"/>
            <w:hideMark/>
          </w:tcPr>
          <w:p w14:paraId="71DD2596"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BF7EF24" w14:textId="3F32AE36"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19E1777" w14:textId="687B8847"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28F6EC79" w14:textId="26E2E405"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3DAB94C" w14:textId="70FB06C1"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90367B3" w14:textId="353A833D"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32ADFA02" w14:textId="7085913F" w:rsidR="00DC3599" w:rsidRPr="00005453" w:rsidRDefault="00DC3599" w:rsidP="00DC3599">
            <w:pPr>
              <w:jc w:val="right"/>
              <w:rPr>
                <w:sz w:val="14"/>
                <w:szCs w:val="14"/>
                <w:lang w:eastAsia="tr-TR"/>
              </w:rPr>
            </w:pPr>
            <w:r w:rsidRPr="00E41120">
              <w:rPr>
                <w:bCs/>
                <w:sz w:val="14"/>
                <w:szCs w:val="14"/>
              </w:rPr>
              <w:t>-</w:t>
            </w:r>
          </w:p>
        </w:tc>
      </w:tr>
      <w:tr w:rsidR="00DC3599" w:rsidRPr="00005453" w14:paraId="375C2438"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42A5AC0"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II.</w:t>
            </w:r>
          </w:p>
        </w:tc>
        <w:tc>
          <w:tcPr>
            <w:tcW w:w="3138" w:type="dxa"/>
            <w:tcBorders>
              <w:top w:val="nil"/>
              <w:left w:val="single" w:sz="4" w:space="0" w:color="auto"/>
              <w:bottom w:val="nil"/>
              <w:right w:val="single" w:sz="4" w:space="0" w:color="auto"/>
            </w:tcBorders>
            <w:shd w:val="clear" w:color="auto" w:fill="auto"/>
            <w:noWrap/>
            <w:hideMark/>
          </w:tcPr>
          <w:p w14:paraId="07E84A2D"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TAAHHÜTLER</w:t>
            </w:r>
          </w:p>
        </w:tc>
        <w:tc>
          <w:tcPr>
            <w:tcW w:w="585" w:type="dxa"/>
            <w:tcBorders>
              <w:top w:val="nil"/>
              <w:left w:val="single" w:sz="4" w:space="0" w:color="auto"/>
              <w:bottom w:val="nil"/>
              <w:right w:val="single" w:sz="4" w:space="0" w:color="auto"/>
            </w:tcBorders>
            <w:shd w:val="clear" w:color="auto" w:fill="auto"/>
            <w:hideMark/>
          </w:tcPr>
          <w:p w14:paraId="75724C54" w14:textId="77777777" w:rsidR="00DC3599" w:rsidRPr="00005453" w:rsidRDefault="00DC3599" w:rsidP="00DC3599">
            <w:pPr>
              <w:jc w:val="center"/>
              <w:rPr>
                <w:b/>
                <w:bCs/>
                <w:sz w:val="14"/>
                <w:szCs w:val="14"/>
                <w:lang w:eastAsia="tr-TR"/>
              </w:rPr>
            </w:pPr>
            <w:r w:rsidRPr="00005453">
              <w:rPr>
                <w:b/>
                <w:bCs/>
                <w:sz w:val="14"/>
                <w:szCs w:val="14"/>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3CE72442" w14:textId="19542292" w:rsidR="00DC3599" w:rsidRPr="00005453" w:rsidRDefault="00DC3599" w:rsidP="00DC3599">
            <w:pPr>
              <w:jc w:val="right"/>
              <w:rPr>
                <w:b/>
                <w:bCs/>
                <w:sz w:val="14"/>
                <w:szCs w:val="14"/>
              </w:rPr>
            </w:pPr>
            <w:r w:rsidRPr="00005453">
              <w:rPr>
                <w:b/>
                <w:bCs/>
                <w:sz w:val="14"/>
                <w:szCs w:val="18"/>
              </w:rPr>
              <w:t>96,030,796</w:t>
            </w:r>
          </w:p>
        </w:tc>
        <w:tc>
          <w:tcPr>
            <w:tcW w:w="992" w:type="dxa"/>
            <w:tcBorders>
              <w:top w:val="nil"/>
              <w:left w:val="single" w:sz="4" w:space="0" w:color="auto"/>
              <w:bottom w:val="nil"/>
              <w:right w:val="single" w:sz="4" w:space="0" w:color="auto"/>
            </w:tcBorders>
            <w:shd w:val="clear" w:color="auto" w:fill="auto"/>
            <w:vAlign w:val="center"/>
            <w:hideMark/>
          </w:tcPr>
          <w:p w14:paraId="0A66C7A1" w14:textId="76E24ED9" w:rsidR="00DC3599" w:rsidRPr="00005453" w:rsidRDefault="00DC3599" w:rsidP="00DC3599">
            <w:pPr>
              <w:jc w:val="right"/>
              <w:rPr>
                <w:b/>
                <w:bCs/>
                <w:sz w:val="14"/>
                <w:szCs w:val="14"/>
              </w:rPr>
            </w:pPr>
            <w:r w:rsidRPr="00005453">
              <w:rPr>
                <w:b/>
                <w:bCs/>
                <w:sz w:val="14"/>
                <w:szCs w:val="18"/>
              </w:rPr>
              <w:t>13,707,495</w:t>
            </w:r>
          </w:p>
        </w:tc>
        <w:tc>
          <w:tcPr>
            <w:tcW w:w="1015" w:type="dxa"/>
            <w:tcBorders>
              <w:top w:val="nil"/>
              <w:left w:val="single" w:sz="4" w:space="0" w:color="auto"/>
              <w:bottom w:val="nil"/>
              <w:right w:val="single" w:sz="4" w:space="0" w:color="auto"/>
            </w:tcBorders>
            <w:shd w:val="clear" w:color="auto" w:fill="auto"/>
            <w:vAlign w:val="center"/>
            <w:hideMark/>
          </w:tcPr>
          <w:p w14:paraId="24052230" w14:textId="55D4E578" w:rsidR="00DC3599" w:rsidRPr="00005453" w:rsidRDefault="00DC3599" w:rsidP="00DC3599">
            <w:pPr>
              <w:jc w:val="right"/>
              <w:rPr>
                <w:b/>
                <w:bCs/>
                <w:sz w:val="14"/>
                <w:szCs w:val="14"/>
              </w:rPr>
            </w:pPr>
            <w:r w:rsidRPr="00005453">
              <w:rPr>
                <w:b/>
                <w:bCs/>
                <w:sz w:val="14"/>
                <w:szCs w:val="18"/>
              </w:rPr>
              <w:t>109,738,291</w:t>
            </w:r>
          </w:p>
        </w:tc>
        <w:tc>
          <w:tcPr>
            <w:tcW w:w="992" w:type="dxa"/>
            <w:tcBorders>
              <w:top w:val="nil"/>
              <w:left w:val="single" w:sz="4" w:space="0" w:color="auto"/>
              <w:bottom w:val="nil"/>
              <w:right w:val="single" w:sz="4" w:space="0" w:color="auto"/>
            </w:tcBorders>
            <w:shd w:val="clear" w:color="auto" w:fill="auto"/>
            <w:vAlign w:val="center"/>
            <w:hideMark/>
          </w:tcPr>
          <w:p w14:paraId="73FD55D7" w14:textId="69CC96D4" w:rsidR="00DC3599" w:rsidRPr="00005453" w:rsidRDefault="00DC3599" w:rsidP="00DC3599">
            <w:pPr>
              <w:jc w:val="right"/>
              <w:rPr>
                <w:b/>
                <w:bCs/>
                <w:sz w:val="14"/>
                <w:szCs w:val="14"/>
                <w:lang w:eastAsia="tr-TR"/>
              </w:rPr>
            </w:pPr>
            <w:r w:rsidRPr="00E41120">
              <w:rPr>
                <w:b/>
                <w:bCs/>
                <w:sz w:val="14"/>
                <w:szCs w:val="14"/>
              </w:rPr>
              <w:t>99,196,596</w:t>
            </w:r>
          </w:p>
        </w:tc>
        <w:tc>
          <w:tcPr>
            <w:tcW w:w="945" w:type="dxa"/>
            <w:tcBorders>
              <w:top w:val="nil"/>
              <w:left w:val="single" w:sz="4" w:space="0" w:color="auto"/>
              <w:bottom w:val="nil"/>
              <w:right w:val="single" w:sz="4" w:space="0" w:color="auto"/>
            </w:tcBorders>
            <w:shd w:val="clear" w:color="auto" w:fill="auto"/>
            <w:vAlign w:val="center"/>
            <w:hideMark/>
          </w:tcPr>
          <w:p w14:paraId="58D3011B" w14:textId="23CBC5FA" w:rsidR="00DC3599" w:rsidRPr="00005453" w:rsidRDefault="00DC3599" w:rsidP="00DC3599">
            <w:pPr>
              <w:jc w:val="right"/>
              <w:rPr>
                <w:b/>
                <w:bCs/>
                <w:sz w:val="14"/>
                <w:szCs w:val="14"/>
                <w:lang w:eastAsia="tr-TR"/>
              </w:rPr>
            </w:pPr>
            <w:r w:rsidRPr="00E41120">
              <w:rPr>
                <w:b/>
                <w:bCs/>
                <w:sz w:val="14"/>
                <w:szCs w:val="14"/>
              </w:rPr>
              <w:t>8,317,056</w:t>
            </w:r>
          </w:p>
        </w:tc>
        <w:tc>
          <w:tcPr>
            <w:tcW w:w="1039" w:type="dxa"/>
            <w:tcBorders>
              <w:top w:val="nil"/>
              <w:left w:val="single" w:sz="4" w:space="0" w:color="auto"/>
              <w:bottom w:val="nil"/>
              <w:right w:val="single" w:sz="4" w:space="0" w:color="auto"/>
            </w:tcBorders>
            <w:shd w:val="clear" w:color="auto" w:fill="auto"/>
            <w:vAlign w:val="center"/>
            <w:hideMark/>
          </w:tcPr>
          <w:p w14:paraId="31DE4725" w14:textId="7920D48F" w:rsidR="00DC3599" w:rsidRPr="00005453" w:rsidRDefault="00DC3599" w:rsidP="00DC3599">
            <w:pPr>
              <w:jc w:val="right"/>
              <w:rPr>
                <w:b/>
                <w:bCs/>
                <w:sz w:val="14"/>
                <w:szCs w:val="14"/>
                <w:lang w:eastAsia="tr-TR"/>
              </w:rPr>
            </w:pPr>
            <w:r w:rsidRPr="00E41120">
              <w:rPr>
                <w:b/>
                <w:bCs/>
                <w:sz w:val="14"/>
                <w:szCs w:val="14"/>
              </w:rPr>
              <w:t>107,513,652</w:t>
            </w:r>
          </w:p>
        </w:tc>
      </w:tr>
      <w:tr w:rsidR="00DC3599" w:rsidRPr="00005453" w14:paraId="09D13689"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4E640A6" w14:textId="77777777" w:rsidR="00DC3599" w:rsidRPr="00005453" w:rsidRDefault="00DC3599" w:rsidP="00DC3599">
            <w:pPr>
              <w:rPr>
                <w:color w:val="000000"/>
                <w:sz w:val="14"/>
                <w:szCs w:val="14"/>
                <w:lang w:eastAsia="tr-TR"/>
              </w:rPr>
            </w:pPr>
            <w:r w:rsidRPr="00005453">
              <w:rPr>
                <w:color w:val="000000"/>
                <w:sz w:val="14"/>
                <w:szCs w:val="14"/>
                <w:lang w:eastAsia="tr-TR"/>
              </w:rPr>
              <w:t>2.1.</w:t>
            </w:r>
          </w:p>
        </w:tc>
        <w:tc>
          <w:tcPr>
            <w:tcW w:w="3138" w:type="dxa"/>
            <w:tcBorders>
              <w:top w:val="nil"/>
              <w:left w:val="single" w:sz="4" w:space="0" w:color="auto"/>
              <w:bottom w:val="nil"/>
              <w:right w:val="single" w:sz="4" w:space="0" w:color="auto"/>
            </w:tcBorders>
            <w:shd w:val="clear" w:color="auto" w:fill="auto"/>
            <w:noWrap/>
            <w:hideMark/>
          </w:tcPr>
          <w:p w14:paraId="704B0501" w14:textId="77777777" w:rsidR="00DC3599" w:rsidRPr="00005453" w:rsidRDefault="00DC3599" w:rsidP="00DC3599">
            <w:pPr>
              <w:rPr>
                <w:color w:val="000000"/>
                <w:sz w:val="14"/>
                <w:szCs w:val="14"/>
                <w:lang w:eastAsia="tr-TR"/>
              </w:rPr>
            </w:pPr>
            <w:r w:rsidRPr="00005453">
              <w:rPr>
                <w:color w:val="000000"/>
                <w:sz w:val="14"/>
                <w:szCs w:val="14"/>
                <w:lang w:eastAsia="tr-TR"/>
              </w:rPr>
              <w:t>Cayılamaz Taahhütler</w:t>
            </w:r>
          </w:p>
        </w:tc>
        <w:tc>
          <w:tcPr>
            <w:tcW w:w="585" w:type="dxa"/>
            <w:tcBorders>
              <w:top w:val="nil"/>
              <w:left w:val="single" w:sz="4" w:space="0" w:color="auto"/>
              <w:bottom w:val="nil"/>
              <w:right w:val="single" w:sz="4" w:space="0" w:color="auto"/>
            </w:tcBorders>
            <w:shd w:val="clear" w:color="auto" w:fill="auto"/>
            <w:hideMark/>
          </w:tcPr>
          <w:p w14:paraId="090BFC5D"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BDD3F26" w14:textId="76ABB089" w:rsidR="00DC3599" w:rsidRPr="00005453" w:rsidRDefault="00DC3599" w:rsidP="00DC3599">
            <w:pPr>
              <w:jc w:val="right"/>
              <w:rPr>
                <w:bCs/>
                <w:sz w:val="14"/>
                <w:szCs w:val="14"/>
              </w:rPr>
            </w:pPr>
            <w:r w:rsidRPr="00005453">
              <w:rPr>
                <w:sz w:val="14"/>
                <w:szCs w:val="18"/>
              </w:rPr>
              <w:t>96,030,796</w:t>
            </w:r>
          </w:p>
        </w:tc>
        <w:tc>
          <w:tcPr>
            <w:tcW w:w="992" w:type="dxa"/>
            <w:tcBorders>
              <w:top w:val="nil"/>
              <w:left w:val="single" w:sz="4" w:space="0" w:color="auto"/>
              <w:bottom w:val="nil"/>
              <w:right w:val="single" w:sz="4" w:space="0" w:color="auto"/>
            </w:tcBorders>
            <w:shd w:val="clear" w:color="auto" w:fill="auto"/>
            <w:vAlign w:val="center"/>
            <w:hideMark/>
          </w:tcPr>
          <w:p w14:paraId="61CC5398" w14:textId="2B335F25" w:rsidR="00DC3599" w:rsidRPr="00005453" w:rsidRDefault="00DC3599" w:rsidP="00DC3599">
            <w:pPr>
              <w:jc w:val="right"/>
              <w:rPr>
                <w:bCs/>
                <w:sz w:val="14"/>
                <w:szCs w:val="14"/>
              </w:rPr>
            </w:pPr>
            <w:r w:rsidRPr="00005453">
              <w:rPr>
                <w:sz w:val="14"/>
                <w:szCs w:val="18"/>
              </w:rPr>
              <w:t>13,707,495</w:t>
            </w:r>
          </w:p>
        </w:tc>
        <w:tc>
          <w:tcPr>
            <w:tcW w:w="1015" w:type="dxa"/>
            <w:tcBorders>
              <w:top w:val="nil"/>
              <w:left w:val="single" w:sz="4" w:space="0" w:color="auto"/>
              <w:bottom w:val="nil"/>
              <w:right w:val="single" w:sz="4" w:space="0" w:color="auto"/>
            </w:tcBorders>
            <w:shd w:val="clear" w:color="auto" w:fill="auto"/>
            <w:vAlign w:val="center"/>
            <w:hideMark/>
          </w:tcPr>
          <w:p w14:paraId="76AFD04C" w14:textId="60DEB622" w:rsidR="00DC3599" w:rsidRPr="00005453" w:rsidRDefault="00DC3599" w:rsidP="00DC3599">
            <w:pPr>
              <w:jc w:val="right"/>
              <w:rPr>
                <w:bCs/>
                <w:sz w:val="14"/>
                <w:szCs w:val="14"/>
              </w:rPr>
            </w:pPr>
            <w:r w:rsidRPr="00005453">
              <w:rPr>
                <w:sz w:val="14"/>
                <w:szCs w:val="18"/>
              </w:rPr>
              <w:t>109,738,291</w:t>
            </w:r>
          </w:p>
        </w:tc>
        <w:tc>
          <w:tcPr>
            <w:tcW w:w="992" w:type="dxa"/>
            <w:tcBorders>
              <w:top w:val="nil"/>
              <w:left w:val="single" w:sz="4" w:space="0" w:color="auto"/>
              <w:bottom w:val="nil"/>
              <w:right w:val="single" w:sz="4" w:space="0" w:color="auto"/>
            </w:tcBorders>
            <w:shd w:val="clear" w:color="auto" w:fill="auto"/>
            <w:vAlign w:val="center"/>
            <w:hideMark/>
          </w:tcPr>
          <w:p w14:paraId="51D6EAE5" w14:textId="1275DF0F" w:rsidR="00DC3599" w:rsidRPr="00005453" w:rsidRDefault="00DC3599" w:rsidP="00DC3599">
            <w:pPr>
              <w:jc w:val="right"/>
              <w:rPr>
                <w:sz w:val="14"/>
                <w:szCs w:val="14"/>
                <w:lang w:eastAsia="tr-TR"/>
              </w:rPr>
            </w:pPr>
            <w:r w:rsidRPr="00E41120">
              <w:rPr>
                <w:bCs/>
                <w:sz w:val="14"/>
                <w:szCs w:val="14"/>
              </w:rPr>
              <w:t>43,894,580</w:t>
            </w:r>
          </w:p>
        </w:tc>
        <w:tc>
          <w:tcPr>
            <w:tcW w:w="945" w:type="dxa"/>
            <w:tcBorders>
              <w:top w:val="nil"/>
              <w:left w:val="single" w:sz="4" w:space="0" w:color="auto"/>
              <w:bottom w:val="nil"/>
              <w:right w:val="single" w:sz="4" w:space="0" w:color="auto"/>
            </w:tcBorders>
            <w:shd w:val="clear" w:color="auto" w:fill="auto"/>
            <w:vAlign w:val="center"/>
            <w:hideMark/>
          </w:tcPr>
          <w:p w14:paraId="3CFE33A0" w14:textId="0D714E7F" w:rsidR="00DC3599" w:rsidRPr="00005453" w:rsidRDefault="00DC3599" w:rsidP="00DC3599">
            <w:pPr>
              <w:jc w:val="right"/>
              <w:rPr>
                <w:sz w:val="14"/>
                <w:szCs w:val="14"/>
                <w:lang w:eastAsia="tr-TR"/>
              </w:rPr>
            </w:pPr>
            <w:r w:rsidRPr="00E41120">
              <w:rPr>
                <w:bCs/>
                <w:sz w:val="14"/>
                <w:szCs w:val="14"/>
              </w:rPr>
              <w:t>8,317,056</w:t>
            </w:r>
          </w:p>
        </w:tc>
        <w:tc>
          <w:tcPr>
            <w:tcW w:w="1039" w:type="dxa"/>
            <w:tcBorders>
              <w:top w:val="nil"/>
              <w:left w:val="single" w:sz="4" w:space="0" w:color="auto"/>
              <w:bottom w:val="nil"/>
              <w:right w:val="single" w:sz="4" w:space="0" w:color="auto"/>
            </w:tcBorders>
            <w:shd w:val="clear" w:color="auto" w:fill="auto"/>
            <w:vAlign w:val="center"/>
            <w:hideMark/>
          </w:tcPr>
          <w:p w14:paraId="7F0F5232" w14:textId="12A03E36" w:rsidR="00DC3599" w:rsidRPr="00005453" w:rsidRDefault="00DC3599" w:rsidP="00DC3599">
            <w:pPr>
              <w:jc w:val="right"/>
              <w:rPr>
                <w:sz w:val="14"/>
                <w:szCs w:val="14"/>
                <w:lang w:eastAsia="tr-TR"/>
              </w:rPr>
            </w:pPr>
            <w:r w:rsidRPr="00E41120">
              <w:rPr>
                <w:bCs/>
                <w:sz w:val="14"/>
                <w:szCs w:val="14"/>
              </w:rPr>
              <w:t>52,211,636</w:t>
            </w:r>
          </w:p>
        </w:tc>
      </w:tr>
      <w:tr w:rsidR="00DC3599" w:rsidRPr="00005453" w14:paraId="77E6C63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A25EEAD" w14:textId="77777777" w:rsidR="00DC3599" w:rsidRPr="00005453" w:rsidRDefault="00DC3599" w:rsidP="00DC3599">
            <w:pPr>
              <w:rPr>
                <w:color w:val="000000"/>
                <w:sz w:val="14"/>
                <w:szCs w:val="14"/>
                <w:lang w:eastAsia="tr-TR"/>
              </w:rPr>
            </w:pPr>
            <w:r w:rsidRPr="00005453">
              <w:rPr>
                <w:color w:val="000000"/>
                <w:sz w:val="14"/>
                <w:szCs w:val="14"/>
                <w:lang w:eastAsia="tr-TR"/>
              </w:rPr>
              <w:t>2.1.1.</w:t>
            </w:r>
          </w:p>
        </w:tc>
        <w:tc>
          <w:tcPr>
            <w:tcW w:w="3138" w:type="dxa"/>
            <w:tcBorders>
              <w:top w:val="nil"/>
              <w:left w:val="single" w:sz="4" w:space="0" w:color="auto"/>
              <w:bottom w:val="nil"/>
              <w:right w:val="single" w:sz="4" w:space="0" w:color="auto"/>
            </w:tcBorders>
            <w:shd w:val="clear" w:color="auto" w:fill="auto"/>
            <w:noWrap/>
            <w:hideMark/>
          </w:tcPr>
          <w:p w14:paraId="5C423292" w14:textId="77777777" w:rsidR="00DC3599" w:rsidRPr="00005453" w:rsidRDefault="00DC3599" w:rsidP="00DC3599">
            <w:pPr>
              <w:rPr>
                <w:color w:val="000000"/>
                <w:sz w:val="14"/>
                <w:szCs w:val="14"/>
                <w:lang w:eastAsia="tr-TR"/>
              </w:rPr>
            </w:pPr>
            <w:r w:rsidRPr="00005453">
              <w:rPr>
                <w:color w:val="000000"/>
                <w:sz w:val="14"/>
                <w:szCs w:val="14"/>
                <w:lang w:eastAsia="tr-TR"/>
              </w:rPr>
              <w:t>Vadeli Aktif Değerler Alım-Satım Taahhütleri</w:t>
            </w:r>
          </w:p>
        </w:tc>
        <w:tc>
          <w:tcPr>
            <w:tcW w:w="585" w:type="dxa"/>
            <w:tcBorders>
              <w:top w:val="nil"/>
              <w:left w:val="single" w:sz="4" w:space="0" w:color="auto"/>
              <w:bottom w:val="nil"/>
              <w:right w:val="single" w:sz="4" w:space="0" w:color="auto"/>
            </w:tcBorders>
            <w:shd w:val="clear" w:color="auto" w:fill="auto"/>
            <w:hideMark/>
          </w:tcPr>
          <w:p w14:paraId="729AEF11"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CD24BD3" w14:textId="64380600" w:rsidR="00DC3599" w:rsidRPr="00005453" w:rsidRDefault="00DC3599" w:rsidP="00DC3599">
            <w:pPr>
              <w:jc w:val="right"/>
              <w:rPr>
                <w:bCs/>
                <w:sz w:val="14"/>
                <w:szCs w:val="14"/>
              </w:rPr>
            </w:pPr>
            <w:r w:rsidRPr="00005453">
              <w:rPr>
                <w:sz w:val="14"/>
                <w:szCs w:val="18"/>
              </w:rPr>
              <w:t>7,573,069</w:t>
            </w:r>
          </w:p>
        </w:tc>
        <w:tc>
          <w:tcPr>
            <w:tcW w:w="992" w:type="dxa"/>
            <w:tcBorders>
              <w:top w:val="nil"/>
              <w:left w:val="single" w:sz="4" w:space="0" w:color="auto"/>
              <w:bottom w:val="nil"/>
              <w:right w:val="single" w:sz="4" w:space="0" w:color="auto"/>
            </w:tcBorders>
            <w:shd w:val="clear" w:color="auto" w:fill="auto"/>
            <w:vAlign w:val="center"/>
            <w:hideMark/>
          </w:tcPr>
          <w:p w14:paraId="6AB39FD0" w14:textId="5ED18542" w:rsidR="00DC3599" w:rsidRPr="00005453" w:rsidRDefault="00DC3599" w:rsidP="00DC3599">
            <w:pPr>
              <w:jc w:val="right"/>
              <w:rPr>
                <w:bCs/>
                <w:sz w:val="14"/>
                <w:szCs w:val="14"/>
              </w:rPr>
            </w:pPr>
            <w:r w:rsidRPr="00005453">
              <w:rPr>
                <w:sz w:val="14"/>
                <w:szCs w:val="18"/>
              </w:rPr>
              <w:t>13,707,495</w:t>
            </w:r>
          </w:p>
        </w:tc>
        <w:tc>
          <w:tcPr>
            <w:tcW w:w="1015" w:type="dxa"/>
            <w:tcBorders>
              <w:top w:val="nil"/>
              <w:left w:val="single" w:sz="4" w:space="0" w:color="auto"/>
              <w:bottom w:val="nil"/>
              <w:right w:val="single" w:sz="4" w:space="0" w:color="auto"/>
            </w:tcBorders>
            <w:shd w:val="clear" w:color="auto" w:fill="auto"/>
            <w:vAlign w:val="center"/>
            <w:hideMark/>
          </w:tcPr>
          <w:p w14:paraId="0806D751" w14:textId="2FBEF322" w:rsidR="00DC3599" w:rsidRPr="00005453" w:rsidRDefault="00DC3599" w:rsidP="00DC3599">
            <w:pPr>
              <w:jc w:val="right"/>
              <w:rPr>
                <w:bCs/>
                <w:sz w:val="14"/>
                <w:szCs w:val="14"/>
              </w:rPr>
            </w:pPr>
            <w:r w:rsidRPr="00005453">
              <w:rPr>
                <w:sz w:val="14"/>
                <w:szCs w:val="18"/>
              </w:rPr>
              <w:t>21,280,564</w:t>
            </w:r>
          </w:p>
        </w:tc>
        <w:tc>
          <w:tcPr>
            <w:tcW w:w="992" w:type="dxa"/>
            <w:tcBorders>
              <w:top w:val="nil"/>
              <w:left w:val="single" w:sz="4" w:space="0" w:color="auto"/>
              <w:bottom w:val="nil"/>
              <w:right w:val="single" w:sz="4" w:space="0" w:color="auto"/>
            </w:tcBorders>
            <w:shd w:val="clear" w:color="auto" w:fill="auto"/>
            <w:vAlign w:val="center"/>
            <w:hideMark/>
          </w:tcPr>
          <w:p w14:paraId="097EEF5C" w14:textId="35F2676E" w:rsidR="00DC3599" w:rsidRPr="00005453" w:rsidRDefault="00DC3599" w:rsidP="00DC3599">
            <w:pPr>
              <w:jc w:val="right"/>
              <w:rPr>
                <w:sz w:val="14"/>
                <w:szCs w:val="14"/>
                <w:lang w:eastAsia="tr-TR"/>
              </w:rPr>
            </w:pPr>
            <w:r w:rsidRPr="00E41120">
              <w:rPr>
                <w:bCs/>
                <w:sz w:val="14"/>
                <w:szCs w:val="14"/>
              </w:rPr>
              <w:t>1,955,404</w:t>
            </w:r>
          </w:p>
        </w:tc>
        <w:tc>
          <w:tcPr>
            <w:tcW w:w="945" w:type="dxa"/>
            <w:tcBorders>
              <w:top w:val="nil"/>
              <w:left w:val="single" w:sz="4" w:space="0" w:color="auto"/>
              <w:bottom w:val="nil"/>
              <w:right w:val="single" w:sz="4" w:space="0" w:color="auto"/>
            </w:tcBorders>
            <w:shd w:val="clear" w:color="auto" w:fill="auto"/>
            <w:vAlign w:val="center"/>
            <w:hideMark/>
          </w:tcPr>
          <w:p w14:paraId="65B140FC" w14:textId="75D5B7EC" w:rsidR="00DC3599" w:rsidRPr="00005453" w:rsidRDefault="00DC3599" w:rsidP="00DC3599">
            <w:pPr>
              <w:jc w:val="right"/>
              <w:rPr>
                <w:sz w:val="14"/>
                <w:szCs w:val="14"/>
                <w:lang w:eastAsia="tr-TR"/>
              </w:rPr>
            </w:pPr>
            <w:r w:rsidRPr="00E41120">
              <w:rPr>
                <w:bCs/>
                <w:sz w:val="14"/>
                <w:szCs w:val="14"/>
              </w:rPr>
              <w:t>7,582,980</w:t>
            </w:r>
          </w:p>
        </w:tc>
        <w:tc>
          <w:tcPr>
            <w:tcW w:w="1039" w:type="dxa"/>
            <w:tcBorders>
              <w:top w:val="nil"/>
              <w:left w:val="single" w:sz="4" w:space="0" w:color="auto"/>
              <w:bottom w:val="nil"/>
              <w:right w:val="single" w:sz="4" w:space="0" w:color="auto"/>
            </w:tcBorders>
            <w:shd w:val="clear" w:color="auto" w:fill="auto"/>
            <w:vAlign w:val="center"/>
            <w:hideMark/>
          </w:tcPr>
          <w:p w14:paraId="5C16F5F6" w14:textId="7F8F3FE5" w:rsidR="00DC3599" w:rsidRPr="00005453" w:rsidRDefault="00DC3599" w:rsidP="00DC3599">
            <w:pPr>
              <w:jc w:val="right"/>
              <w:rPr>
                <w:sz w:val="14"/>
                <w:szCs w:val="14"/>
                <w:lang w:eastAsia="tr-TR"/>
              </w:rPr>
            </w:pPr>
            <w:r w:rsidRPr="00E41120">
              <w:rPr>
                <w:bCs/>
                <w:sz w:val="14"/>
                <w:szCs w:val="14"/>
              </w:rPr>
              <w:t>9,538,384</w:t>
            </w:r>
          </w:p>
        </w:tc>
      </w:tr>
      <w:tr w:rsidR="00DC3599" w:rsidRPr="00005453" w14:paraId="5385BE72"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B4F22BD" w14:textId="77777777" w:rsidR="00DC3599" w:rsidRPr="00005453" w:rsidRDefault="00DC3599" w:rsidP="00DC3599">
            <w:pPr>
              <w:rPr>
                <w:color w:val="000000"/>
                <w:sz w:val="14"/>
                <w:szCs w:val="14"/>
                <w:lang w:eastAsia="tr-TR"/>
              </w:rPr>
            </w:pPr>
            <w:r w:rsidRPr="00005453">
              <w:rPr>
                <w:color w:val="000000"/>
                <w:sz w:val="14"/>
                <w:szCs w:val="14"/>
                <w:lang w:eastAsia="tr-TR"/>
              </w:rPr>
              <w:t>2.1.2.</w:t>
            </w:r>
          </w:p>
        </w:tc>
        <w:tc>
          <w:tcPr>
            <w:tcW w:w="3138" w:type="dxa"/>
            <w:tcBorders>
              <w:top w:val="nil"/>
              <w:left w:val="single" w:sz="4" w:space="0" w:color="auto"/>
              <w:bottom w:val="nil"/>
              <w:right w:val="single" w:sz="4" w:space="0" w:color="auto"/>
            </w:tcBorders>
            <w:shd w:val="clear" w:color="auto" w:fill="auto"/>
            <w:noWrap/>
            <w:hideMark/>
          </w:tcPr>
          <w:p w14:paraId="55F4A91D" w14:textId="77777777" w:rsidR="00DC3599" w:rsidRPr="00005453" w:rsidRDefault="00DC3599" w:rsidP="00DC3599">
            <w:pPr>
              <w:rPr>
                <w:color w:val="000000"/>
                <w:sz w:val="14"/>
                <w:szCs w:val="14"/>
                <w:lang w:eastAsia="tr-TR"/>
              </w:rPr>
            </w:pPr>
            <w:r w:rsidRPr="00005453">
              <w:rPr>
                <w:color w:val="000000"/>
                <w:sz w:val="14"/>
                <w:szCs w:val="14"/>
                <w:lang w:eastAsia="tr-TR"/>
              </w:rPr>
              <w:t xml:space="preserve">İştir. </w:t>
            </w:r>
            <w:proofErr w:type="gramStart"/>
            <w:r w:rsidRPr="00005453">
              <w:rPr>
                <w:color w:val="000000"/>
                <w:sz w:val="14"/>
                <w:szCs w:val="14"/>
                <w:lang w:eastAsia="tr-TR"/>
              </w:rPr>
              <w:t>ve</w:t>
            </w:r>
            <w:proofErr w:type="gramEnd"/>
            <w:r w:rsidRPr="00005453">
              <w:rPr>
                <w:color w:val="000000"/>
                <w:sz w:val="14"/>
                <w:szCs w:val="14"/>
                <w:lang w:eastAsia="tr-TR"/>
              </w:rPr>
              <w:t xml:space="preserve"> Bağ. Ort. Ser. İşt. Taahhütleri</w:t>
            </w:r>
          </w:p>
        </w:tc>
        <w:tc>
          <w:tcPr>
            <w:tcW w:w="585" w:type="dxa"/>
            <w:tcBorders>
              <w:top w:val="nil"/>
              <w:left w:val="single" w:sz="4" w:space="0" w:color="auto"/>
              <w:bottom w:val="nil"/>
              <w:right w:val="single" w:sz="4" w:space="0" w:color="auto"/>
            </w:tcBorders>
            <w:shd w:val="clear" w:color="auto" w:fill="auto"/>
            <w:hideMark/>
          </w:tcPr>
          <w:p w14:paraId="2608B280"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6B4A0BB" w14:textId="5BA577D2" w:rsidR="00DC3599" w:rsidRPr="00005453" w:rsidRDefault="00DC3599" w:rsidP="00DC3599">
            <w:pPr>
              <w:jc w:val="right"/>
              <w:rPr>
                <w:bCs/>
                <w:sz w:val="14"/>
                <w:szCs w:val="14"/>
              </w:rPr>
            </w:pPr>
            <w:r w:rsidRPr="00005453">
              <w:rPr>
                <w:sz w:val="14"/>
                <w:szCs w:val="18"/>
              </w:rPr>
              <w:t>22,500</w:t>
            </w:r>
          </w:p>
        </w:tc>
        <w:tc>
          <w:tcPr>
            <w:tcW w:w="992" w:type="dxa"/>
            <w:tcBorders>
              <w:top w:val="nil"/>
              <w:left w:val="single" w:sz="4" w:space="0" w:color="auto"/>
              <w:bottom w:val="nil"/>
              <w:right w:val="single" w:sz="4" w:space="0" w:color="auto"/>
            </w:tcBorders>
            <w:shd w:val="clear" w:color="auto" w:fill="auto"/>
            <w:vAlign w:val="center"/>
            <w:hideMark/>
          </w:tcPr>
          <w:p w14:paraId="4A8703AB" w14:textId="755C39D0"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8A499E1" w14:textId="48EDA9C8" w:rsidR="00DC3599" w:rsidRPr="00005453" w:rsidRDefault="00DC3599" w:rsidP="00DC3599">
            <w:pPr>
              <w:jc w:val="right"/>
              <w:rPr>
                <w:bCs/>
                <w:sz w:val="14"/>
                <w:szCs w:val="14"/>
              </w:rPr>
            </w:pPr>
            <w:r w:rsidRPr="00005453">
              <w:rPr>
                <w:sz w:val="14"/>
                <w:szCs w:val="18"/>
              </w:rPr>
              <w:t>22,500</w:t>
            </w:r>
          </w:p>
        </w:tc>
        <w:tc>
          <w:tcPr>
            <w:tcW w:w="992" w:type="dxa"/>
            <w:tcBorders>
              <w:top w:val="nil"/>
              <w:left w:val="single" w:sz="4" w:space="0" w:color="auto"/>
              <w:bottom w:val="nil"/>
              <w:right w:val="single" w:sz="4" w:space="0" w:color="auto"/>
            </w:tcBorders>
            <w:shd w:val="clear" w:color="auto" w:fill="auto"/>
            <w:vAlign w:val="center"/>
            <w:hideMark/>
          </w:tcPr>
          <w:p w14:paraId="1DB00FA7" w14:textId="6D16E3F3" w:rsidR="00DC3599" w:rsidRPr="00005453" w:rsidRDefault="00DC3599" w:rsidP="00DC3599">
            <w:pPr>
              <w:jc w:val="right"/>
              <w:rPr>
                <w:sz w:val="14"/>
                <w:szCs w:val="14"/>
                <w:lang w:eastAsia="tr-TR"/>
              </w:rPr>
            </w:pPr>
            <w:r w:rsidRPr="00E41120">
              <w:rPr>
                <w:bCs/>
                <w:sz w:val="14"/>
                <w:szCs w:val="14"/>
              </w:rPr>
              <w:t>67,500</w:t>
            </w:r>
          </w:p>
        </w:tc>
        <w:tc>
          <w:tcPr>
            <w:tcW w:w="945" w:type="dxa"/>
            <w:tcBorders>
              <w:top w:val="nil"/>
              <w:left w:val="single" w:sz="4" w:space="0" w:color="auto"/>
              <w:bottom w:val="nil"/>
              <w:right w:val="single" w:sz="4" w:space="0" w:color="auto"/>
            </w:tcBorders>
            <w:shd w:val="clear" w:color="auto" w:fill="auto"/>
            <w:vAlign w:val="center"/>
            <w:hideMark/>
          </w:tcPr>
          <w:p w14:paraId="06553504" w14:textId="372DCDBF"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0DDF888A" w14:textId="3415B327" w:rsidR="00DC3599" w:rsidRPr="00005453" w:rsidRDefault="00DC3599" w:rsidP="00DC3599">
            <w:pPr>
              <w:jc w:val="right"/>
              <w:rPr>
                <w:sz w:val="14"/>
                <w:szCs w:val="14"/>
                <w:lang w:eastAsia="tr-TR"/>
              </w:rPr>
            </w:pPr>
            <w:r w:rsidRPr="00E41120">
              <w:rPr>
                <w:bCs/>
                <w:sz w:val="14"/>
                <w:szCs w:val="14"/>
              </w:rPr>
              <w:t>67,500</w:t>
            </w:r>
          </w:p>
        </w:tc>
      </w:tr>
      <w:tr w:rsidR="00DC3599" w:rsidRPr="00005453" w14:paraId="03005244"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4CE7EA9D" w14:textId="77777777" w:rsidR="00DC3599" w:rsidRPr="00005453" w:rsidRDefault="00DC3599" w:rsidP="00DC3599">
            <w:pPr>
              <w:rPr>
                <w:color w:val="000000"/>
                <w:sz w:val="14"/>
                <w:szCs w:val="14"/>
                <w:lang w:eastAsia="tr-TR"/>
              </w:rPr>
            </w:pPr>
            <w:r w:rsidRPr="00005453">
              <w:rPr>
                <w:color w:val="000000"/>
                <w:sz w:val="14"/>
                <w:szCs w:val="14"/>
                <w:lang w:eastAsia="tr-TR"/>
              </w:rPr>
              <w:t>2.1.3.</w:t>
            </w:r>
          </w:p>
        </w:tc>
        <w:tc>
          <w:tcPr>
            <w:tcW w:w="3138" w:type="dxa"/>
            <w:tcBorders>
              <w:top w:val="nil"/>
              <w:left w:val="single" w:sz="4" w:space="0" w:color="auto"/>
              <w:bottom w:val="nil"/>
              <w:right w:val="single" w:sz="4" w:space="0" w:color="auto"/>
            </w:tcBorders>
            <w:shd w:val="clear" w:color="auto" w:fill="auto"/>
            <w:noWrap/>
            <w:hideMark/>
          </w:tcPr>
          <w:p w14:paraId="782062A5" w14:textId="77777777" w:rsidR="00DC3599" w:rsidRPr="00005453" w:rsidRDefault="00DC3599" w:rsidP="00DC3599">
            <w:pPr>
              <w:rPr>
                <w:color w:val="000000"/>
                <w:sz w:val="14"/>
                <w:szCs w:val="14"/>
                <w:lang w:eastAsia="tr-TR"/>
              </w:rPr>
            </w:pPr>
            <w:r w:rsidRPr="00005453">
              <w:rPr>
                <w:color w:val="000000"/>
                <w:sz w:val="14"/>
                <w:szCs w:val="14"/>
                <w:lang w:eastAsia="tr-TR"/>
              </w:rPr>
              <w:t>Kul. Gar. Kredi Tahsis Taahhütleri</w:t>
            </w:r>
          </w:p>
        </w:tc>
        <w:tc>
          <w:tcPr>
            <w:tcW w:w="585" w:type="dxa"/>
            <w:tcBorders>
              <w:top w:val="nil"/>
              <w:left w:val="single" w:sz="4" w:space="0" w:color="auto"/>
              <w:bottom w:val="nil"/>
              <w:right w:val="single" w:sz="4" w:space="0" w:color="auto"/>
            </w:tcBorders>
            <w:shd w:val="clear" w:color="auto" w:fill="auto"/>
            <w:hideMark/>
          </w:tcPr>
          <w:p w14:paraId="0D755D70"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A8E5126" w14:textId="230DE243" w:rsidR="00DC3599" w:rsidRPr="00005453" w:rsidRDefault="00DC3599" w:rsidP="00DC3599">
            <w:pPr>
              <w:jc w:val="right"/>
              <w:rPr>
                <w:bCs/>
                <w:sz w:val="14"/>
                <w:szCs w:val="14"/>
              </w:rPr>
            </w:pPr>
            <w:r w:rsidRPr="00005453">
              <w:rPr>
                <w:sz w:val="14"/>
                <w:szCs w:val="18"/>
              </w:rPr>
              <w:t>5,708,160</w:t>
            </w:r>
          </w:p>
        </w:tc>
        <w:tc>
          <w:tcPr>
            <w:tcW w:w="992" w:type="dxa"/>
            <w:tcBorders>
              <w:top w:val="nil"/>
              <w:left w:val="single" w:sz="4" w:space="0" w:color="auto"/>
              <w:bottom w:val="nil"/>
              <w:right w:val="single" w:sz="4" w:space="0" w:color="auto"/>
            </w:tcBorders>
            <w:shd w:val="clear" w:color="auto" w:fill="auto"/>
            <w:vAlign w:val="center"/>
            <w:hideMark/>
          </w:tcPr>
          <w:p w14:paraId="70CC193C" w14:textId="3728F3FE"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60F10B5B" w14:textId="63E26B4F" w:rsidR="00DC3599" w:rsidRPr="00005453" w:rsidRDefault="00DC3599" w:rsidP="00DC3599">
            <w:pPr>
              <w:jc w:val="right"/>
              <w:rPr>
                <w:bCs/>
                <w:sz w:val="14"/>
                <w:szCs w:val="14"/>
              </w:rPr>
            </w:pPr>
            <w:r w:rsidRPr="00005453">
              <w:rPr>
                <w:sz w:val="14"/>
                <w:szCs w:val="18"/>
              </w:rPr>
              <w:t>5,708,160</w:t>
            </w:r>
          </w:p>
        </w:tc>
        <w:tc>
          <w:tcPr>
            <w:tcW w:w="992" w:type="dxa"/>
            <w:tcBorders>
              <w:top w:val="nil"/>
              <w:left w:val="single" w:sz="4" w:space="0" w:color="auto"/>
              <w:bottom w:val="nil"/>
              <w:right w:val="single" w:sz="4" w:space="0" w:color="auto"/>
            </w:tcBorders>
            <w:shd w:val="clear" w:color="auto" w:fill="auto"/>
            <w:vAlign w:val="center"/>
            <w:hideMark/>
          </w:tcPr>
          <w:p w14:paraId="1A4D85F1" w14:textId="2DD91A62" w:rsidR="00DC3599" w:rsidRPr="00005453" w:rsidRDefault="00DC3599" w:rsidP="00DC3599">
            <w:pPr>
              <w:jc w:val="right"/>
              <w:rPr>
                <w:sz w:val="14"/>
                <w:szCs w:val="14"/>
                <w:lang w:eastAsia="tr-TR"/>
              </w:rPr>
            </w:pPr>
            <w:r w:rsidRPr="00E41120">
              <w:rPr>
                <w:bCs/>
                <w:sz w:val="14"/>
                <w:szCs w:val="14"/>
              </w:rPr>
              <w:t>3,871,287</w:t>
            </w:r>
          </w:p>
        </w:tc>
        <w:tc>
          <w:tcPr>
            <w:tcW w:w="945" w:type="dxa"/>
            <w:tcBorders>
              <w:top w:val="nil"/>
              <w:left w:val="single" w:sz="4" w:space="0" w:color="auto"/>
              <w:bottom w:val="nil"/>
              <w:right w:val="single" w:sz="4" w:space="0" w:color="auto"/>
            </w:tcBorders>
            <w:shd w:val="clear" w:color="auto" w:fill="auto"/>
            <w:vAlign w:val="center"/>
            <w:hideMark/>
          </w:tcPr>
          <w:p w14:paraId="2B1826E6" w14:textId="36E57DB1"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58990FCF" w14:textId="18C256A7" w:rsidR="00DC3599" w:rsidRPr="00005453" w:rsidRDefault="00DC3599" w:rsidP="00DC3599">
            <w:pPr>
              <w:jc w:val="right"/>
              <w:rPr>
                <w:sz w:val="14"/>
                <w:szCs w:val="14"/>
                <w:lang w:eastAsia="tr-TR"/>
              </w:rPr>
            </w:pPr>
            <w:r w:rsidRPr="00E41120">
              <w:rPr>
                <w:bCs/>
                <w:sz w:val="14"/>
                <w:szCs w:val="14"/>
              </w:rPr>
              <w:t>3,871,287</w:t>
            </w:r>
          </w:p>
        </w:tc>
      </w:tr>
      <w:tr w:rsidR="00DC3599" w:rsidRPr="00005453" w14:paraId="2F7F07AD"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E60BAEB" w14:textId="77777777" w:rsidR="00DC3599" w:rsidRPr="00005453" w:rsidRDefault="00DC3599" w:rsidP="00DC3599">
            <w:pPr>
              <w:rPr>
                <w:color w:val="000000"/>
                <w:sz w:val="14"/>
                <w:szCs w:val="14"/>
                <w:lang w:eastAsia="tr-TR"/>
              </w:rPr>
            </w:pPr>
            <w:r w:rsidRPr="00005453">
              <w:rPr>
                <w:color w:val="000000"/>
                <w:sz w:val="14"/>
                <w:szCs w:val="14"/>
                <w:lang w:eastAsia="tr-TR"/>
              </w:rPr>
              <w:t>2.1.4.</w:t>
            </w:r>
          </w:p>
        </w:tc>
        <w:tc>
          <w:tcPr>
            <w:tcW w:w="3138" w:type="dxa"/>
            <w:tcBorders>
              <w:top w:val="nil"/>
              <w:left w:val="single" w:sz="4" w:space="0" w:color="auto"/>
              <w:bottom w:val="nil"/>
              <w:right w:val="single" w:sz="4" w:space="0" w:color="auto"/>
            </w:tcBorders>
            <w:shd w:val="clear" w:color="auto" w:fill="auto"/>
            <w:noWrap/>
            <w:hideMark/>
          </w:tcPr>
          <w:p w14:paraId="1FEF9667" w14:textId="77777777" w:rsidR="00DC3599" w:rsidRPr="00005453" w:rsidRDefault="00DC3599" w:rsidP="00DC3599">
            <w:pPr>
              <w:rPr>
                <w:color w:val="000000"/>
                <w:sz w:val="14"/>
                <w:szCs w:val="14"/>
                <w:lang w:eastAsia="tr-TR"/>
              </w:rPr>
            </w:pPr>
            <w:r w:rsidRPr="00005453">
              <w:rPr>
                <w:color w:val="000000"/>
                <w:sz w:val="14"/>
                <w:szCs w:val="14"/>
                <w:lang w:eastAsia="tr-TR"/>
              </w:rPr>
              <w:t>Men. Kıy. İhr. Aracılık Taahhütleri</w:t>
            </w:r>
          </w:p>
        </w:tc>
        <w:tc>
          <w:tcPr>
            <w:tcW w:w="585" w:type="dxa"/>
            <w:tcBorders>
              <w:top w:val="nil"/>
              <w:left w:val="single" w:sz="4" w:space="0" w:color="auto"/>
              <w:bottom w:val="nil"/>
              <w:right w:val="single" w:sz="4" w:space="0" w:color="auto"/>
            </w:tcBorders>
            <w:shd w:val="clear" w:color="auto" w:fill="auto"/>
            <w:hideMark/>
          </w:tcPr>
          <w:p w14:paraId="4569AD68"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22E4D45" w14:textId="0899ABD3"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557056A" w14:textId="5851D29F"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67799F0" w14:textId="584DEA7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5596248" w14:textId="275F1F21"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11C32AE" w14:textId="57C53ECB"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61D124D6" w14:textId="30E5495B" w:rsidR="00DC3599" w:rsidRPr="00005453" w:rsidRDefault="00DC3599" w:rsidP="00DC3599">
            <w:pPr>
              <w:jc w:val="right"/>
              <w:rPr>
                <w:sz w:val="14"/>
                <w:szCs w:val="14"/>
                <w:lang w:eastAsia="tr-TR"/>
              </w:rPr>
            </w:pPr>
            <w:r w:rsidRPr="00E41120">
              <w:rPr>
                <w:bCs/>
                <w:sz w:val="14"/>
                <w:szCs w:val="14"/>
              </w:rPr>
              <w:t>-</w:t>
            </w:r>
          </w:p>
        </w:tc>
      </w:tr>
      <w:tr w:rsidR="00DC3599" w:rsidRPr="00005453" w14:paraId="520BAEB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7563AD6" w14:textId="77777777" w:rsidR="00DC3599" w:rsidRPr="00005453" w:rsidRDefault="00DC3599" w:rsidP="00DC3599">
            <w:pPr>
              <w:rPr>
                <w:color w:val="000000"/>
                <w:sz w:val="14"/>
                <w:szCs w:val="14"/>
                <w:lang w:eastAsia="tr-TR"/>
              </w:rPr>
            </w:pPr>
            <w:r w:rsidRPr="00005453">
              <w:rPr>
                <w:color w:val="000000"/>
                <w:sz w:val="14"/>
                <w:szCs w:val="14"/>
                <w:lang w:eastAsia="tr-TR"/>
              </w:rPr>
              <w:t>2.1.5.</w:t>
            </w:r>
          </w:p>
        </w:tc>
        <w:tc>
          <w:tcPr>
            <w:tcW w:w="3138" w:type="dxa"/>
            <w:tcBorders>
              <w:top w:val="nil"/>
              <w:left w:val="single" w:sz="4" w:space="0" w:color="auto"/>
              <w:bottom w:val="nil"/>
              <w:right w:val="single" w:sz="4" w:space="0" w:color="auto"/>
            </w:tcBorders>
            <w:shd w:val="clear" w:color="auto" w:fill="auto"/>
            <w:noWrap/>
            <w:hideMark/>
          </w:tcPr>
          <w:p w14:paraId="021BE60F" w14:textId="77777777" w:rsidR="00DC3599" w:rsidRPr="00005453" w:rsidRDefault="00DC3599" w:rsidP="00DC3599">
            <w:pPr>
              <w:rPr>
                <w:color w:val="000000"/>
                <w:sz w:val="14"/>
                <w:szCs w:val="14"/>
                <w:lang w:eastAsia="tr-TR"/>
              </w:rPr>
            </w:pPr>
            <w:r w:rsidRPr="00005453">
              <w:rPr>
                <w:color w:val="000000"/>
                <w:sz w:val="14"/>
                <w:szCs w:val="14"/>
                <w:lang w:eastAsia="tr-TR"/>
              </w:rPr>
              <w:t>Zorunlu Karşılık Ödeme Taahhüdü</w:t>
            </w:r>
          </w:p>
        </w:tc>
        <w:tc>
          <w:tcPr>
            <w:tcW w:w="585" w:type="dxa"/>
            <w:tcBorders>
              <w:top w:val="nil"/>
              <w:left w:val="single" w:sz="4" w:space="0" w:color="auto"/>
              <w:bottom w:val="nil"/>
              <w:right w:val="single" w:sz="4" w:space="0" w:color="auto"/>
            </w:tcBorders>
            <w:shd w:val="clear" w:color="auto" w:fill="auto"/>
            <w:hideMark/>
          </w:tcPr>
          <w:p w14:paraId="0355776A"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0D2C633" w14:textId="1A033CB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10A4ED7" w14:textId="263A1D4A"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737F68C8" w14:textId="0D792BE9"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9E3B4A4" w14:textId="012AC85F"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F95FEAD" w14:textId="2DB43F91"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2857F982" w14:textId="09E56BDA" w:rsidR="00DC3599" w:rsidRPr="00005453" w:rsidRDefault="00DC3599" w:rsidP="00DC3599">
            <w:pPr>
              <w:jc w:val="right"/>
              <w:rPr>
                <w:sz w:val="14"/>
                <w:szCs w:val="14"/>
                <w:lang w:eastAsia="tr-TR"/>
              </w:rPr>
            </w:pPr>
            <w:r w:rsidRPr="00E41120">
              <w:rPr>
                <w:bCs/>
                <w:sz w:val="14"/>
                <w:szCs w:val="14"/>
              </w:rPr>
              <w:t>-</w:t>
            </w:r>
          </w:p>
        </w:tc>
      </w:tr>
      <w:tr w:rsidR="00DC3599" w:rsidRPr="00005453" w14:paraId="712F274E"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53A8F0E" w14:textId="77777777" w:rsidR="00DC3599" w:rsidRPr="00005453" w:rsidRDefault="00DC3599" w:rsidP="00DC3599">
            <w:pPr>
              <w:rPr>
                <w:color w:val="000000"/>
                <w:sz w:val="14"/>
                <w:szCs w:val="14"/>
                <w:lang w:eastAsia="tr-TR"/>
              </w:rPr>
            </w:pPr>
            <w:r w:rsidRPr="00005453">
              <w:rPr>
                <w:color w:val="000000"/>
                <w:sz w:val="14"/>
                <w:szCs w:val="14"/>
                <w:lang w:eastAsia="tr-TR"/>
              </w:rPr>
              <w:t>2.1.6.</w:t>
            </w:r>
          </w:p>
        </w:tc>
        <w:tc>
          <w:tcPr>
            <w:tcW w:w="3138" w:type="dxa"/>
            <w:tcBorders>
              <w:top w:val="nil"/>
              <w:left w:val="single" w:sz="4" w:space="0" w:color="auto"/>
              <w:bottom w:val="nil"/>
              <w:right w:val="single" w:sz="4" w:space="0" w:color="auto"/>
            </w:tcBorders>
            <w:shd w:val="clear" w:color="auto" w:fill="auto"/>
            <w:noWrap/>
            <w:hideMark/>
          </w:tcPr>
          <w:p w14:paraId="528EC721" w14:textId="77777777" w:rsidR="00DC3599" w:rsidRPr="00005453" w:rsidRDefault="00DC3599" w:rsidP="00DC3599">
            <w:pPr>
              <w:rPr>
                <w:color w:val="000000"/>
                <w:sz w:val="14"/>
                <w:szCs w:val="14"/>
                <w:lang w:eastAsia="tr-TR"/>
              </w:rPr>
            </w:pPr>
            <w:r w:rsidRPr="00005453">
              <w:rPr>
                <w:color w:val="000000"/>
                <w:sz w:val="14"/>
                <w:szCs w:val="14"/>
                <w:lang w:eastAsia="tr-TR"/>
              </w:rPr>
              <w:t>Çekler İçin Ödeme Taahhütleri</w:t>
            </w:r>
          </w:p>
        </w:tc>
        <w:tc>
          <w:tcPr>
            <w:tcW w:w="585" w:type="dxa"/>
            <w:tcBorders>
              <w:top w:val="nil"/>
              <w:left w:val="single" w:sz="4" w:space="0" w:color="auto"/>
              <w:bottom w:val="nil"/>
              <w:right w:val="single" w:sz="4" w:space="0" w:color="auto"/>
            </w:tcBorders>
            <w:shd w:val="clear" w:color="auto" w:fill="auto"/>
            <w:hideMark/>
          </w:tcPr>
          <w:p w14:paraId="4A7A1BEC"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8E0BE5" w14:textId="2A94015C" w:rsidR="00DC3599" w:rsidRPr="00005453" w:rsidRDefault="00DC3599" w:rsidP="00DC3599">
            <w:pPr>
              <w:jc w:val="right"/>
              <w:rPr>
                <w:bCs/>
                <w:sz w:val="14"/>
                <w:szCs w:val="14"/>
              </w:rPr>
            </w:pPr>
            <w:r w:rsidRPr="00005453">
              <w:rPr>
                <w:sz w:val="14"/>
                <w:szCs w:val="18"/>
              </w:rPr>
              <w:t>5,864,748</w:t>
            </w:r>
          </w:p>
        </w:tc>
        <w:tc>
          <w:tcPr>
            <w:tcW w:w="992" w:type="dxa"/>
            <w:tcBorders>
              <w:top w:val="nil"/>
              <w:left w:val="single" w:sz="4" w:space="0" w:color="auto"/>
              <w:bottom w:val="nil"/>
              <w:right w:val="single" w:sz="4" w:space="0" w:color="auto"/>
            </w:tcBorders>
            <w:shd w:val="clear" w:color="auto" w:fill="auto"/>
            <w:vAlign w:val="center"/>
            <w:hideMark/>
          </w:tcPr>
          <w:p w14:paraId="696B1DE4" w14:textId="552512D8"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4D669B87" w14:textId="5A4EBEEF" w:rsidR="00DC3599" w:rsidRPr="00005453" w:rsidRDefault="00DC3599" w:rsidP="00DC3599">
            <w:pPr>
              <w:jc w:val="right"/>
              <w:rPr>
                <w:bCs/>
                <w:sz w:val="14"/>
                <w:szCs w:val="14"/>
              </w:rPr>
            </w:pPr>
            <w:r w:rsidRPr="00005453">
              <w:rPr>
                <w:sz w:val="14"/>
                <w:szCs w:val="18"/>
              </w:rPr>
              <w:t>5,864,748</w:t>
            </w:r>
          </w:p>
        </w:tc>
        <w:tc>
          <w:tcPr>
            <w:tcW w:w="992" w:type="dxa"/>
            <w:tcBorders>
              <w:top w:val="nil"/>
              <w:left w:val="single" w:sz="4" w:space="0" w:color="auto"/>
              <w:bottom w:val="nil"/>
              <w:right w:val="single" w:sz="4" w:space="0" w:color="auto"/>
            </w:tcBorders>
            <w:shd w:val="clear" w:color="auto" w:fill="auto"/>
            <w:vAlign w:val="center"/>
            <w:hideMark/>
          </w:tcPr>
          <w:p w14:paraId="746972DD" w14:textId="2FE6CA78" w:rsidR="00DC3599" w:rsidRPr="00005453" w:rsidRDefault="00DC3599" w:rsidP="00DC3599">
            <w:pPr>
              <w:jc w:val="right"/>
              <w:rPr>
                <w:sz w:val="14"/>
                <w:szCs w:val="14"/>
                <w:lang w:eastAsia="tr-TR"/>
              </w:rPr>
            </w:pPr>
            <w:r w:rsidRPr="00E41120">
              <w:rPr>
                <w:bCs/>
                <w:sz w:val="14"/>
                <w:szCs w:val="14"/>
              </w:rPr>
              <w:t>3,861,133</w:t>
            </w:r>
          </w:p>
        </w:tc>
        <w:tc>
          <w:tcPr>
            <w:tcW w:w="945" w:type="dxa"/>
            <w:tcBorders>
              <w:top w:val="nil"/>
              <w:left w:val="single" w:sz="4" w:space="0" w:color="auto"/>
              <w:bottom w:val="nil"/>
              <w:right w:val="single" w:sz="4" w:space="0" w:color="auto"/>
            </w:tcBorders>
            <w:shd w:val="clear" w:color="auto" w:fill="auto"/>
            <w:vAlign w:val="center"/>
            <w:hideMark/>
          </w:tcPr>
          <w:p w14:paraId="0C688CE9" w14:textId="3CAD415C"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21F28D9B" w14:textId="755F8BF9" w:rsidR="00DC3599" w:rsidRPr="00005453" w:rsidRDefault="00DC3599" w:rsidP="00DC3599">
            <w:pPr>
              <w:jc w:val="right"/>
              <w:rPr>
                <w:sz w:val="14"/>
                <w:szCs w:val="14"/>
                <w:lang w:eastAsia="tr-TR"/>
              </w:rPr>
            </w:pPr>
            <w:r w:rsidRPr="00E41120">
              <w:rPr>
                <w:bCs/>
                <w:sz w:val="14"/>
                <w:szCs w:val="14"/>
              </w:rPr>
              <w:t>3,861,133</w:t>
            </w:r>
          </w:p>
        </w:tc>
      </w:tr>
      <w:tr w:rsidR="00DC3599" w:rsidRPr="00005453" w14:paraId="6BE7531E"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903DDC9" w14:textId="77777777" w:rsidR="00DC3599" w:rsidRPr="00005453" w:rsidRDefault="00DC3599" w:rsidP="00DC3599">
            <w:pPr>
              <w:rPr>
                <w:color w:val="000000"/>
                <w:sz w:val="14"/>
                <w:szCs w:val="14"/>
                <w:lang w:eastAsia="tr-TR"/>
              </w:rPr>
            </w:pPr>
            <w:r w:rsidRPr="00005453">
              <w:rPr>
                <w:color w:val="000000"/>
                <w:sz w:val="14"/>
                <w:szCs w:val="14"/>
                <w:lang w:eastAsia="tr-TR"/>
              </w:rPr>
              <w:t>2.1.7.</w:t>
            </w:r>
          </w:p>
        </w:tc>
        <w:tc>
          <w:tcPr>
            <w:tcW w:w="3138" w:type="dxa"/>
            <w:tcBorders>
              <w:top w:val="nil"/>
              <w:left w:val="single" w:sz="4" w:space="0" w:color="auto"/>
              <w:bottom w:val="nil"/>
              <w:right w:val="single" w:sz="4" w:space="0" w:color="auto"/>
            </w:tcBorders>
            <w:shd w:val="clear" w:color="auto" w:fill="auto"/>
            <w:hideMark/>
          </w:tcPr>
          <w:p w14:paraId="64604AFF" w14:textId="77777777" w:rsidR="00DC3599" w:rsidRPr="00005453" w:rsidRDefault="00DC3599" w:rsidP="00DC3599">
            <w:pPr>
              <w:rPr>
                <w:color w:val="000000"/>
                <w:sz w:val="14"/>
                <w:szCs w:val="14"/>
                <w:lang w:eastAsia="tr-TR"/>
              </w:rPr>
            </w:pPr>
            <w:r w:rsidRPr="00005453">
              <w:rPr>
                <w:color w:val="000000"/>
                <w:sz w:val="14"/>
                <w:szCs w:val="14"/>
                <w:lang w:eastAsia="tr-TR"/>
              </w:rPr>
              <w:t>İhracat Taahhütlerinden Kaynaklanan Vergi ve Fon Yükümlülükleri</w:t>
            </w:r>
          </w:p>
        </w:tc>
        <w:tc>
          <w:tcPr>
            <w:tcW w:w="585" w:type="dxa"/>
            <w:tcBorders>
              <w:top w:val="nil"/>
              <w:left w:val="single" w:sz="4" w:space="0" w:color="auto"/>
              <w:bottom w:val="nil"/>
              <w:right w:val="single" w:sz="4" w:space="0" w:color="auto"/>
            </w:tcBorders>
            <w:shd w:val="clear" w:color="auto" w:fill="auto"/>
            <w:hideMark/>
          </w:tcPr>
          <w:p w14:paraId="5D2A16D1"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2BA2545" w14:textId="045996B4"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A349DA3" w14:textId="56F77881"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F903A53" w14:textId="43CD93D1"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B1A6044" w14:textId="5907AE20"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DEBC992" w14:textId="76015930"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39A0E112" w14:textId="7E540A03" w:rsidR="00DC3599" w:rsidRPr="00005453" w:rsidRDefault="00DC3599" w:rsidP="00DC3599">
            <w:pPr>
              <w:jc w:val="right"/>
              <w:rPr>
                <w:sz w:val="14"/>
                <w:szCs w:val="14"/>
                <w:lang w:eastAsia="tr-TR"/>
              </w:rPr>
            </w:pPr>
            <w:r w:rsidRPr="00E41120">
              <w:rPr>
                <w:bCs/>
                <w:sz w:val="14"/>
                <w:szCs w:val="14"/>
              </w:rPr>
              <w:t>-</w:t>
            </w:r>
          </w:p>
        </w:tc>
      </w:tr>
      <w:tr w:rsidR="00DC3599" w:rsidRPr="00005453" w14:paraId="6FFF0999"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46C8F1A" w14:textId="77777777" w:rsidR="00DC3599" w:rsidRPr="00005453" w:rsidRDefault="00DC3599" w:rsidP="00DC3599">
            <w:pPr>
              <w:rPr>
                <w:color w:val="000000"/>
                <w:sz w:val="14"/>
                <w:szCs w:val="14"/>
                <w:lang w:eastAsia="tr-TR"/>
              </w:rPr>
            </w:pPr>
            <w:r w:rsidRPr="00005453">
              <w:rPr>
                <w:color w:val="000000"/>
                <w:sz w:val="14"/>
                <w:szCs w:val="14"/>
                <w:lang w:eastAsia="tr-TR"/>
              </w:rPr>
              <w:t>2.1.8.</w:t>
            </w:r>
          </w:p>
        </w:tc>
        <w:tc>
          <w:tcPr>
            <w:tcW w:w="3138" w:type="dxa"/>
            <w:tcBorders>
              <w:top w:val="nil"/>
              <w:left w:val="single" w:sz="4" w:space="0" w:color="auto"/>
              <w:bottom w:val="nil"/>
              <w:right w:val="single" w:sz="4" w:space="0" w:color="auto"/>
            </w:tcBorders>
            <w:shd w:val="clear" w:color="auto" w:fill="auto"/>
            <w:noWrap/>
            <w:hideMark/>
          </w:tcPr>
          <w:p w14:paraId="73BA8CD1" w14:textId="77777777" w:rsidR="00DC3599" w:rsidRPr="00005453" w:rsidRDefault="00DC3599" w:rsidP="00DC3599">
            <w:pPr>
              <w:rPr>
                <w:color w:val="000000"/>
                <w:sz w:val="14"/>
                <w:szCs w:val="14"/>
                <w:lang w:eastAsia="tr-TR"/>
              </w:rPr>
            </w:pPr>
            <w:r w:rsidRPr="00005453">
              <w:rPr>
                <w:color w:val="000000"/>
                <w:sz w:val="14"/>
                <w:szCs w:val="14"/>
                <w:lang w:eastAsia="tr-TR"/>
              </w:rPr>
              <w:t>Kredi Kartı Harcama Limit Taahhütleri</w:t>
            </w:r>
          </w:p>
        </w:tc>
        <w:tc>
          <w:tcPr>
            <w:tcW w:w="585" w:type="dxa"/>
            <w:tcBorders>
              <w:top w:val="nil"/>
              <w:left w:val="single" w:sz="4" w:space="0" w:color="auto"/>
              <w:bottom w:val="nil"/>
              <w:right w:val="single" w:sz="4" w:space="0" w:color="auto"/>
            </w:tcBorders>
            <w:shd w:val="clear" w:color="auto" w:fill="auto"/>
            <w:hideMark/>
          </w:tcPr>
          <w:p w14:paraId="56B92CDA"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8FA9C03" w14:textId="37D7B741" w:rsidR="00DC3599" w:rsidRPr="00005453" w:rsidRDefault="00DC3599" w:rsidP="00DC3599">
            <w:pPr>
              <w:jc w:val="right"/>
              <w:rPr>
                <w:bCs/>
                <w:sz w:val="14"/>
                <w:szCs w:val="14"/>
              </w:rPr>
            </w:pPr>
            <w:r w:rsidRPr="00005453">
              <w:rPr>
                <w:sz w:val="14"/>
                <w:szCs w:val="18"/>
              </w:rPr>
              <w:t>76,389,710</w:t>
            </w:r>
          </w:p>
        </w:tc>
        <w:tc>
          <w:tcPr>
            <w:tcW w:w="992" w:type="dxa"/>
            <w:tcBorders>
              <w:top w:val="nil"/>
              <w:left w:val="single" w:sz="4" w:space="0" w:color="auto"/>
              <w:bottom w:val="nil"/>
              <w:right w:val="single" w:sz="4" w:space="0" w:color="auto"/>
            </w:tcBorders>
            <w:shd w:val="clear" w:color="auto" w:fill="auto"/>
            <w:vAlign w:val="center"/>
            <w:hideMark/>
          </w:tcPr>
          <w:p w14:paraId="613FD962" w14:textId="7019FF1A"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69836A94" w14:textId="694F15E9" w:rsidR="00DC3599" w:rsidRPr="00005453" w:rsidRDefault="00DC3599" w:rsidP="00DC3599">
            <w:pPr>
              <w:jc w:val="right"/>
              <w:rPr>
                <w:bCs/>
                <w:sz w:val="14"/>
                <w:szCs w:val="14"/>
              </w:rPr>
            </w:pPr>
            <w:r w:rsidRPr="00005453">
              <w:rPr>
                <w:sz w:val="14"/>
                <w:szCs w:val="18"/>
              </w:rPr>
              <w:t>76,389,710</w:t>
            </w:r>
          </w:p>
        </w:tc>
        <w:tc>
          <w:tcPr>
            <w:tcW w:w="992" w:type="dxa"/>
            <w:tcBorders>
              <w:top w:val="nil"/>
              <w:left w:val="single" w:sz="4" w:space="0" w:color="auto"/>
              <w:bottom w:val="nil"/>
              <w:right w:val="single" w:sz="4" w:space="0" w:color="auto"/>
            </w:tcBorders>
            <w:shd w:val="clear" w:color="auto" w:fill="auto"/>
            <w:vAlign w:val="center"/>
            <w:hideMark/>
          </w:tcPr>
          <w:p w14:paraId="719C91C5" w14:textId="1C2BF572" w:rsidR="00DC3599" w:rsidRPr="00005453" w:rsidRDefault="00DC3599" w:rsidP="00DC3599">
            <w:pPr>
              <w:jc w:val="right"/>
              <w:rPr>
                <w:sz w:val="14"/>
                <w:szCs w:val="14"/>
                <w:lang w:eastAsia="tr-TR"/>
              </w:rPr>
            </w:pPr>
            <w:r w:rsidRPr="00E41120">
              <w:rPr>
                <w:bCs/>
                <w:sz w:val="14"/>
                <w:szCs w:val="14"/>
              </w:rPr>
              <w:t>33,913,418</w:t>
            </w:r>
          </w:p>
        </w:tc>
        <w:tc>
          <w:tcPr>
            <w:tcW w:w="945" w:type="dxa"/>
            <w:tcBorders>
              <w:top w:val="nil"/>
              <w:left w:val="single" w:sz="4" w:space="0" w:color="auto"/>
              <w:bottom w:val="nil"/>
              <w:right w:val="single" w:sz="4" w:space="0" w:color="auto"/>
            </w:tcBorders>
            <w:shd w:val="clear" w:color="auto" w:fill="auto"/>
            <w:vAlign w:val="center"/>
            <w:hideMark/>
          </w:tcPr>
          <w:p w14:paraId="1E9122E3" w14:textId="405F671E"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40F41CBB" w14:textId="56E6366B" w:rsidR="00DC3599" w:rsidRPr="00005453" w:rsidRDefault="00DC3599" w:rsidP="00DC3599">
            <w:pPr>
              <w:jc w:val="right"/>
              <w:rPr>
                <w:sz w:val="14"/>
                <w:szCs w:val="14"/>
                <w:lang w:eastAsia="tr-TR"/>
              </w:rPr>
            </w:pPr>
            <w:r w:rsidRPr="00E41120">
              <w:rPr>
                <w:bCs/>
                <w:sz w:val="14"/>
                <w:szCs w:val="14"/>
              </w:rPr>
              <w:t>33,913,418</w:t>
            </w:r>
          </w:p>
        </w:tc>
      </w:tr>
      <w:tr w:rsidR="00DC3599" w:rsidRPr="00005453" w14:paraId="16D431DF"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620205B" w14:textId="77777777" w:rsidR="00DC3599" w:rsidRPr="00005453" w:rsidRDefault="00DC3599" w:rsidP="00DC3599">
            <w:pPr>
              <w:rPr>
                <w:color w:val="000000"/>
                <w:sz w:val="14"/>
                <w:szCs w:val="14"/>
                <w:lang w:eastAsia="tr-TR"/>
              </w:rPr>
            </w:pPr>
            <w:r w:rsidRPr="00005453">
              <w:rPr>
                <w:color w:val="000000"/>
                <w:sz w:val="14"/>
                <w:szCs w:val="14"/>
                <w:lang w:eastAsia="tr-TR"/>
              </w:rPr>
              <w:t>2.1.9.</w:t>
            </w:r>
          </w:p>
        </w:tc>
        <w:tc>
          <w:tcPr>
            <w:tcW w:w="3138" w:type="dxa"/>
            <w:tcBorders>
              <w:top w:val="nil"/>
              <w:left w:val="single" w:sz="4" w:space="0" w:color="auto"/>
              <w:right w:val="single" w:sz="4" w:space="0" w:color="auto"/>
            </w:tcBorders>
            <w:shd w:val="clear" w:color="auto" w:fill="auto"/>
            <w:hideMark/>
          </w:tcPr>
          <w:p w14:paraId="3985FA95" w14:textId="77777777" w:rsidR="00DC3599" w:rsidRPr="00005453" w:rsidRDefault="00DC3599" w:rsidP="00DC3599">
            <w:pPr>
              <w:rPr>
                <w:color w:val="000000"/>
                <w:sz w:val="14"/>
                <w:szCs w:val="14"/>
                <w:lang w:eastAsia="tr-TR"/>
              </w:rPr>
            </w:pPr>
            <w:r w:rsidRPr="00005453">
              <w:rPr>
                <w:color w:val="000000"/>
                <w:sz w:val="14"/>
                <w:szCs w:val="14"/>
                <w:lang w:eastAsia="tr-TR"/>
              </w:rPr>
              <w:t>Kredi Kartları ve Bankacılık Hizmetlerine İlişkin Promosyon Uyg. Taah.</w:t>
            </w:r>
          </w:p>
        </w:tc>
        <w:tc>
          <w:tcPr>
            <w:tcW w:w="585" w:type="dxa"/>
            <w:tcBorders>
              <w:top w:val="nil"/>
              <w:left w:val="single" w:sz="4" w:space="0" w:color="auto"/>
              <w:right w:val="single" w:sz="4" w:space="0" w:color="auto"/>
            </w:tcBorders>
            <w:shd w:val="clear" w:color="auto" w:fill="auto"/>
            <w:hideMark/>
          </w:tcPr>
          <w:p w14:paraId="63EAF075"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right w:val="single" w:sz="4" w:space="0" w:color="auto"/>
            </w:tcBorders>
            <w:shd w:val="clear" w:color="auto" w:fill="auto"/>
            <w:vAlign w:val="center"/>
            <w:hideMark/>
          </w:tcPr>
          <w:p w14:paraId="47179989" w14:textId="53600738"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F69FF39" w14:textId="319D9310"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50712178" w14:textId="25BCFAB8"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F1DEADD" w14:textId="38469DFF"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9C7D3D6" w14:textId="063AE56D"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62169161" w14:textId="7E7A39FC" w:rsidR="00DC3599" w:rsidRPr="00005453" w:rsidRDefault="00DC3599" w:rsidP="00DC3599">
            <w:pPr>
              <w:jc w:val="right"/>
              <w:rPr>
                <w:sz w:val="14"/>
                <w:szCs w:val="14"/>
                <w:lang w:eastAsia="tr-TR"/>
              </w:rPr>
            </w:pPr>
            <w:r w:rsidRPr="00E41120">
              <w:rPr>
                <w:bCs/>
                <w:sz w:val="14"/>
                <w:szCs w:val="14"/>
              </w:rPr>
              <w:t>-</w:t>
            </w:r>
          </w:p>
        </w:tc>
      </w:tr>
      <w:tr w:rsidR="00DC3599" w:rsidRPr="00005453" w14:paraId="6C526320"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58A069C" w14:textId="77777777" w:rsidR="00DC3599" w:rsidRPr="00005453" w:rsidRDefault="00DC3599" w:rsidP="00DC3599">
            <w:pPr>
              <w:rPr>
                <w:color w:val="000000"/>
                <w:sz w:val="14"/>
                <w:szCs w:val="14"/>
                <w:lang w:eastAsia="tr-TR"/>
              </w:rPr>
            </w:pPr>
            <w:r w:rsidRPr="00005453">
              <w:rPr>
                <w:color w:val="000000"/>
                <w:sz w:val="14"/>
                <w:szCs w:val="14"/>
                <w:lang w:eastAsia="tr-TR"/>
              </w:rPr>
              <w:t>2.1.10.</w:t>
            </w:r>
          </w:p>
        </w:tc>
        <w:tc>
          <w:tcPr>
            <w:tcW w:w="3138" w:type="dxa"/>
            <w:tcBorders>
              <w:top w:val="nil"/>
              <w:left w:val="single" w:sz="4" w:space="0" w:color="auto"/>
              <w:bottom w:val="nil"/>
              <w:right w:val="single" w:sz="4" w:space="0" w:color="auto"/>
            </w:tcBorders>
            <w:shd w:val="clear" w:color="auto" w:fill="auto"/>
            <w:noWrap/>
            <w:hideMark/>
          </w:tcPr>
          <w:p w14:paraId="2E229CCE" w14:textId="1C0B9A62" w:rsidR="00DC3599" w:rsidRPr="00005453" w:rsidRDefault="00DC3599" w:rsidP="00DC3599">
            <w:pPr>
              <w:rPr>
                <w:color w:val="000000"/>
                <w:sz w:val="14"/>
                <w:szCs w:val="14"/>
                <w:lang w:eastAsia="tr-TR"/>
              </w:rPr>
            </w:pPr>
            <w:r w:rsidRPr="00005453">
              <w:rPr>
                <w:color w:val="000000"/>
                <w:sz w:val="14"/>
                <w:szCs w:val="14"/>
                <w:lang w:eastAsia="tr-TR"/>
              </w:rPr>
              <w:t>Açığa Menkul Kıymet Satış Taahhütlerinden Alacaklar</w:t>
            </w:r>
          </w:p>
        </w:tc>
        <w:tc>
          <w:tcPr>
            <w:tcW w:w="585" w:type="dxa"/>
            <w:tcBorders>
              <w:top w:val="nil"/>
              <w:left w:val="single" w:sz="4" w:space="0" w:color="auto"/>
              <w:bottom w:val="nil"/>
              <w:right w:val="single" w:sz="4" w:space="0" w:color="auto"/>
            </w:tcBorders>
            <w:shd w:val="clear" w:color="auto" w:fill="auto"/>
          </w:tcPr>
          <w:p w14:paraId="7B2C7D43" w14:textId="5713D015"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CE776F" w14:textId="21E812BE"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FC8E685" w14:textId="7CC60880"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49404645" w14:textId="5CA9D03F"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bottom"/>
            <w:hideMark/>
          </w:tcPr>
          <w:p w14:paraId="41D4A99F" w14:textId="15AC7A1B" w:rsidR="00DC3599" w:rsidRPr="00005453" w:rsidRDefault="00DC3599" w:rsidP="00DC3599">
            <w:pPr>
              <w:jc w:val="right"/>
              <w:rPr>
                <w:sz w:val="14"/>
                <w:szCs w:val="14"/>
                <w:lang w:eastAsia="tr-TR"/>
              </w:rPr>
            </w:pPr>
            <w:r w:rsidRPr="00E41120">
              <w:rPr>
                <w:sz w:val="14"/>
                <w:szCs w:val="18"/>
              </w:rPr>
              <w:t>-</w:t>
            </w:r>
            <w:r w:rsidRPr="00E41120">
              <w:rPr>
                <w:sz w:val="18"/>
                <w:szCs w:val="18"/>
              </w:rPr>
              <w:t xml:space="preserve">   </w:t>
            </w:r>
          </w:p>
        </w:tc>
        <w:tc>
          <w:tcPr>
            <w:tcW w:w="945" w:type="dxa"/>
            <w:tcBorders>
              <w:top w:val="nil"/>
              <w:left w:val="single" w:sz="4" w:space="0" w:color="auto"/>
              <w:bottom w:val="nil"/>
              <w:right w:val="single" w:sz="4" w:space="0" w:color="auto"/>
            </w:tcBorders>
            <w:shd w:val="clear" w:color="auto" w:fill="auto"/>
            <w:vAlign w:val="center"/>
            <w:hideMark/>
          </w:tcPr>
          <w:p w14:paraId="167C0976" w14:textId="4CE5509D"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2F83BF65" w14:textId="3ABB27CC" w:rsidR="00DC3599" w:rsidRPr="00005453" w:rsidRDefault="00DC3599" w:rsidP="00DC3599">
            <w:pPr>
              <w:jc w:val="right"/>
              <w:rPr>
                <w:sz w:val="14"/>
                <w:szCs w:val="14"/>
                <w:lang w:eastAsia="tr-TR"/>
              </w:rPr>
            </w:pPr>
            <w:r w:rsidRPr="00E41120">
              <w:rPr>
                <w:bCs/>
                <w:sz w:val="14"/>
                <w:szCs w:val="14"/>
              </w:rPr>
              <w:t>-</w:t>
            </w:r>
          </w:p>
        </w:tc>
      </w:tr>
      <w:tr w:rsidR="00DC3599" w:rsidRPr="00005453" w14:paraId="76350D81"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FB1AFDF" w14:textId="77777777" w:rsidR="00DC3599" w:rsidRPr="00005453" w:rsidRDefault="00DC3599" w:rsidP="00DC3599">
            <w:pPr>
              <w:rPr>
                <w:color w:val="000000"/>
                <w:sz w:val="14"/>
                <w:szCs w:val="14"/>
                <w:lang w:eastAsia="tr-TR"/>
              </w:rPr>
            </w:pPr>
            <w:r w:rsidRPr="00005453">
              <w:rPr>
                <w:color w:val="000000"/>
                <w:sz w:val="14"/>
                <w:szCs w:val="14"/>
                <w:lang w:eastAsia="tr-TR"/>
              </w:rPr>
              <w:t>2.1.11.</w:t>
            </w:r>
          </w:p>
        </w:tc>
        <w:tc>
          <w:tcPr>
            <w:tcW w:w="3138" w:type="dxa"/>
            <w:tcBorders>
              <w:top w:val="nil"/>
              <w:left w:val="single" w:sz="4" w:space="0" w:color="auto"/>
              <w:bottom w:val="nil"/>
              <w:right w:val="single" w:sz="4" w:space="0" w:color="auto"/>
            </w:tcBorders>
            <w:shd w:val="clear" w:color="auto" w:fill="auto"/>
            <w:noWrap/>
            <w:hideMark/>
          </w:tcPr>
          <w:p w14:paraId="4EB4D18E" w14:textId="77777777" w:rsidR="00DC3599" w:rsidRPr="00005453" w:rsidRDefault="00DC3599" w:rsidP="00DC3599">
            <w:pPr>
              <w:rPr>
                <w:color w:val="000000"/>
                <w:sz w:val="14"/>
                <w:szCs w:val="14"/>
                <w:lang w:eastAsia="tr-TR"/>
              </w:rPr>
            </w:pPr>
            <w:r w:rsidRPr="00005453">
              <w:rPr>
                <w:color w:val="000000"/>
                <w:sz w:val="14"/>
                <w:szCs w:val="14"/>
                <w:lang w:eastAsia="tr-TR"/>
              </w:rPr>
              <w:t>Açığa Menkul Kıymet Satış Taahhütlerinden Borçlar</w:t>
            </w:r>
          </w:p>
        </w:tc>
        <w:tc>
          <w:tcPr>
            <w:tcW w:w="585" w:type="dxa"/>
            <w:tcBorders>
              <w:top w:val="nil"/>
              <w:left w:val="single" w:sz="4" w:space="0" w:color="auto"/>
              <w:bottom w:val="nil"/>
              <w:right w:val="single" w:sz="4" w:space="0" w:color="auto"/>
            </w:tcBorders>
            <w:shd w:val="clear" w:color="auto" w:fill="auto"/>
            <w:hideMark/>
          </w:tcPr>
          <w:p w14:paraId="09D822BC"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3B93A39" w14:textId="14385FAE"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3FB71D4" w14:textId="1B9BD8DE"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504A92AE" w14:textId="33073AA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7E9EDAF" w14:textId="4B87B19E"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4502F8F" w14:textId="6B93B13D"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533D6ABF" w14:textId="47DC5417" w:rsidR="00DC3599" w:rsidRPr="00005453" w:rsidRDefault="00DC3599" w:rsidP="00DC3599">
            <w:pPr>
              <w:jc w:val="right"/>
              <w:rPr>
                <w:sz w:val="14"/>
                <w:szCs w:val="14"/>
                <w:lang w:eastAsia="tr-TR"/>
              </w:rPr>
            </w:pPr>
            <w:r w:rsidRPr="00E41120">
              <w:rPr>
                <w:bCs/>
                <w:sz w:val="14"/>
                <w:szCs w:val="14"/>
              </w:rPr>
              <w:t>-</w:t>
            </w:r>
          </w:p>
        </w:tc>
      </w:tr>
      <w:tr w:rsidR="00DC3599" w:rsidRPr="00005453" w14:paraId="5F7BB4B4"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C54122F" w14:textId="77777777" w:rsidR="00DC3599" w:rsidRPr="00005453" w:rsidRDefault="00DC3599" w:rsidP="00DC3599">
            <w:pPr>
              <w:rPr>
                <w:color w:val="000000"/>
                <w:sz w:val="14"/>
                <w:szCs w:val="14"/>
                <w:lang w:eastAsia="tr-TR"/>
              </w:rPr>
            </w:pPr>
            <w:r w:rsidRPr="00005453">
              <w:rPr>
                <w:color w:val="000000"/>
                <w:sz w:val="14"/>
                <w:szCs w:val="14"/>
                <w:lang w:eastAsia="tr-TR"/>
              </w:rPr>
              <w:t>2.1.12.</w:t>
            </w:r>
          </w:p>
        </w:tc>
        <w:tc>
          <w:tcPr>
            <w:tcW w:w="3138" w:type="dxa"/>
            <w:tcBorders>
              <w:top w:val="nil"/>
              <w:left w:val="single" w:sz="4" w:space="0" w:color="auto"/>
              <w:bottom w:val="nil"/>
              <w:right w:val="single" w:sz="4" w:space="0" w:color="auto"/>
            </w:tcBorders>
            <w:shd w:val="clear" w:color="auto" w:fill="auto"/>
            <w:noWrap/>
            <w:hideMark/>
          </w:tcPr>
          <w:p w14:paraId="704A8CE2" w14:textId="77777777" w:rsidR="00DC3599" w:rsidRPr="00005453" w:rsidRDefault="00DC3599" w:rsidP="00DC3599">
            <w:pPr>
              <w:rPr>
                <w:color w:val="000000"/>
                <w:sz w:val="14"/>
                <w:szCs w:val="14"/>
                <w:lang w:eastAsia="tr-TR"/>
              </w:rPr>
            </w:pPr>
            <w:r w:rsidRPr="00005453">
              <w:rPr>
                <w:color w:val="000000"/>
                <w:sz w:val="14"/>
                <w:szCs w:val="14"/>
                <w:lang w:eastAsia="tr-TR"/>
              </w:rPr>
              <w:t>Diğer Cayılamaz Taahhütler</w:t>
            </w:r>
          </w:p>
        </w:tc>
        <w:tc>
          <w:tcPr>
            <w:tcW w:w="585" w:type="dxa"/>
            <w:tcBorders>
              <w:top w:val="nil"/>
              <w:left w:val="single" w:sz="4" w:space="0" w:color="auto"/>
              <w:bottom w:val="nil"/>
              <w:right w:val="single" w:sz="4" w:space="0" w:color="auto"/>
            </w:tcBorders>
            <w:shd w:val="clear" w:color="auto" w:fill="auto"/>
            <w:hideMark/>
          </w:tcPr>
          <w:p w14:paraId="770BA505"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4C6B8D0" w14:textId="635C896C" w:rsidR="00DC3599" w:rsidRPr="00005453" w:rsidRDefault="00DC3599" w:rsidP="00DC3599">
            <w:pPr>
              <w:jc w:val="right"/>
              <w:rPr>
                <w:bCs/>
                <w:sz w:val="14"/>
                <w:szCs w:val="14"/>
              </w:rPr>
            </w:pPr>
            <w:r w:rsidRPr="00005453">
              <w:rPr>
                <w:sz w:val="14"/>
                <w:szCs w:val="18"/>
              </w:rPr>
              <w:t>472,609</w:t>
            </w:r>
          </w:p>
        </w:tc>
        <w:tc>
          <w:tcPr>
            <w:tcW w:w="992" w:type="dxa"/>
            <w:tcBorders>
              <w:top w:val="nil"/>
              <w:left w:val="single" w:sz="4" w:space="0" w:color="auto"/>
              <w:bottom w:val="nil"/>
              <w:right w:val="single" w:sz="4" w:space="0" w:color="auto"/>
            </w:tcBorders>
            <w:shd w:val="clear" w:color="auto" w:fill="auto"/>
            <w:vAlign w:val="center"/>
            <w:hideMark/>
          </w:tcPr>
          <w:p w14:paraId="26ACD11D" w14:textId="521FE528"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4EDF1F4C" w14:textId="206144B4" w:rsidR="00DC3599" w:rsidRPr="00005453" w:rsidRDefault="00DC3599" w:rsidP="00DC3599">
            <w:pPr>
              <w:jc w:val="right"/>
              <w:rPr>
                <w:bCs/>
                <w:sz w:val="14"/>
                <w:szCs w:val="14"/>
              </w:rPr>
            </w:pPr>
            <w:r w:rsidRPr="00005453">
              <w:rPr>
                <w:sz w:val="14"/>
                <w:szCs w:val="18"/>
              </w:rPr>
              <w:t>472,609</w:t>
            </w:r>
          </w:p>
        </w:tc>
        <w:tc>
          <w:tcPr>
            <w:tcW w:w="992" w:type="dxa"/>
            <w:tcBorders>
              <w:top w:val="nil"/>
              <w:left w:val="single" w:sz="4" w:space="0" w:color="auto"/>
              <w:bottom w:val="nil"/>
              <w:right w:val="single" w:sz="4" w:space="0" w:color="auto"/>
            </w:tcBorders>
            <w:shd w:val="clear" w:color="auto" w:fill="auto"/>
            <w:vAlign w:val="center"/>
            <w:hideMark/>
          </w:tcPr>
          <w:p w14:paraId="60C097AD" w14:textId="1EB6EF6A" w:rsidR="00DC3599" w:rsidRPr="00005453" w:rsidRDefault="00DC3599" w:rsidP="00DC3599">
            <w:pPr>
              <w:jc w:val="right"/>
              <w:rPr>
                <w:sz w:val="14"/>
                <w:szCs w:val="14"/>
                <w:lang w:eastAsia="tr-TR"/>
              </w:rPr>
            </w:pPr>
            <w:r w:rsidRPr="00E41120">
              <w:rPr>
                <w:bCs/>
                <w:sz w:val="14"/>
                <w:szCs w:val="14"/>
              </w:rPr>
              <w:t>225,838</w:t>
            </w:r>
          </w:p>
        </w:tc>
        <w:tc>
          <w:tcPr>
            <w:tcW w:w="945" w:type="dxa"/>
            <w:tcBorders>
              <w:top w:val="nil"/>
              <w:left w:val="single" w:sz="4" w:space="0" w:color="auto"/>
              <w:bottom w:val="nil"/>
              <w:right w:val="single" w:sz="4" w:space="0" w:color="auto"/>
            </w:tcBorders>
            <w:shd w:val="clear" w:color="auto" w:fill="auto"/>
            <w:vAlign w:val="center"/>
            <w:hideMark/>
          </w:tcPr>
          <w:p w14:paraId="5787A55B" w14:textId="31C42654" w:rsidR="00DC3599" w:rsidRPr="00005453" w:rsidRDefault="00DC3599" w:rsidP="00DC3599">
            <w:pPr>
              <w:jc w:val="right"/>
              <w:rPr>
                <w:sz w:val="14"/>
                <w:szCs w:val="14"/>
                <w:lang w:eastAsia="tr-TR"/>
              </w:rPr>
            </w:pPr>
            <w:r w:rsidRPr="00E41120">
              <w:rPr>
                <w:bCs/>
                <w:sz w:val="14"/>
                <w:szCs w:val="14"/>
              </w:rPr>
              <w:t>734,076</w:t>
            </w:r>
          </w:p>
        </w:tc>
        <w:tc>
          <w:tcPr>
            <w:tcW w:w="1039" w:type="dxa"/>
            <w:tcBorders>
              <w:top w:val="nil"/>
              <w:left w:val="single" w:sz="4" w:space="0" w:color="auto"/>
              <w:bottom w:val="nil"/>
              <w:right w:val="single" w:sz="4" w:space="0" w:color="auto"/>
            </w:tcBorders>
            <w:shd w:val="clear" w:color="auto" w:fill="auto"/>
            <w:vAlign w:val="center"/>
            <w:hideMark/>
          </w:tcPr>
          <w:p w14:paraId="09DF8847" w14:textId="76E57C48" w:rsidR="00DC3599" w:rsidRPr="00005453" w:rsidRDefault="00DC3599" w:rsidP="00DC3599">
            <w:pPr>
              <w:jc w:val="right"/>
              <w:rPr>
                <w:sz w:val="14"/>
                <w:szCs w:val="14"/>
                <w:lang w:eastAsia="tr-TR"/>
              </w:rPr>
            </w:pPr>
            <w:r w:rsidRPr="00E41120">
              <w:rPr>
                <w:bCs/>
                <w:sz w:val="14"/>
                <w:szCs w:val="14"/>
              </w:rPr>
              <w:t>959,914</w:t>
            </w:r>
          </w:p>
        </w:tc>
      </w:tr>
      <w:tr w:rsidR="00DC3599" w:rsidRPr="00005453" w14:paraId="0D1E3A5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7D03DFA" w14:textId="77777777" w:rsidR="00DC3599" w:rsidRPr="00005453" w:rsidRDefault="00DC3599" w:rsidP="00DC3599">
            <w:pPr>
              <w:rPr>
                <w:color w:val="000000"/>
                <w:sz w:val="14"/>
                <w:szCs w:val="14"/>
                <w:lang w:eastAsia="tr-TR"/>
              </w:rPr>
            </w:pPr>
            <w:r w:rsidRPr="00005453">
              <w:rPr>
                <w:color w:val="000000"/>
                <w:sz w:val="14"/>
                <w:szCs w:val="14"/>
                <w:lang w:eastAsia="tr-TR"/>
              </w:rPr>
              <w:t>2.2.</w:t>
            </w:r>
          </w:p>
        </w:tc>
        <w:tc>
          <w:tcPr>
            <w:tcW w:w="3138" w:type="dxa"/>
            <w:tcBorders>
              <w:top w:val="nil"/>
              <w:left w:val="single" w:sz="4" w:space="0" w:color="auto"/>
              <w:bottom w:val="nil"/>
              <w:right w:val="single" w:sz="4" w:space="0" w:color="auto"/>
            </w:tcBorders>
            <w:shd w:val="clear" w:color="auto" w:fill="auto"/>
            <w:noWrap/>
            <w:hideMark/>
          </w:tcPr>
          <w:p w14:paraId="7AE65876" w14:textId="77777777" w:rsidR="00DC3599" w:rsidRPr="00005453" w:rsidRDefault="00DC3599" w:rsidP="00DC3599">
            <w:pPr>
              <w:rPr>
                <w:color w:val="000000"/>
                <w:sz w:val="14"/>
                <w:szCs w:val="14"/>
                <w:lang w:eastAsia="tr-TR"/>
              </w:rPr>
            </w:pPr>
            <w:r w:rsidRPr="00005453">
              <w:rPr>
                <w:color w:val="000000"/>
                <w:sz w:val="14"/>
                <w:szCs w:val="14"/>
                <w:lang w:eastAsia="tr-TR"/>
              </w:rPr>
              <w:t>Cayılabilir Taahhütler</w:t>
            </w:r>
          </w:p>
        </w:tc>
        <w:tc>
          <w:tcPr>
            <w:tcW w:w="585" w:type="dxa"/>
            <w:tcBorders>
              <w:top w:val="nil"/>
              <w:left w:val="single" w:sz="4" w:space="0" w:color="auto"/>
              <w:bottom w:val="nil"/>
              <w:right w:val="single" w:sz="4" w:space="0" w:color="auto"/>
            </w:tcBorders>
            <w:shd w:val="clear" w:color="auto" w:fill="auto"/>
            <w:hideMark/>
          </w:tcPr>
          <w:p w14:paraId="71DCB35B"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AD99A14" w14:textId="5372B92A"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8F8BA05" w14:textId="0930AB7B"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090539F8" w14:textId="4CE9AA54"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88DA501" w14:textId="414DC905" w:rsidR="00DC3599" w:rsidRPr="00005453" w:rsidRDefault="00DC3599" w:rsidP="00DC3599">
            <w:pPr>
              <w:jc w:val="right"/>
              <w:rPr>
                <w:sz w:val="14"/>
                <w:szCs w:val="14"/>
                <w:lang w:eastAsia="tr-TR"/>
              </w:rPr>
            </w:pPr>
            <w:r w:rsidRPr="00E41120">
              <w:rPr>
                <w:bCs/>
                <w:sz w:val="14"/>
                <w:szCs w:val="14"/>
              </w:rPr>
              <w:t>55,302,016</w:t>
            </w:r>
          </w:p>
        </w:tc>
        <w:tc>
          <w:tcPr>
            <w:tcW w:w="945" w:type="dxa"/>
            <w:tcBorders>
              <w:top w:val="nil"/>
              <w:left w:val="single" w:sz="4" w:space="0" w:color="auto"/>
              <w:bottom w:val="nil"/>
              <w:right w:val="single" w:sz="4" w:space="0" w:color="auto"/>
            </w:tcBorders>
            <w:shd w:val="clear" w:color="auto" w:fill="auto"/>
            <w:vAlign w:val="center"/>
            <w:hideMark/>
          </w:tcPr>
          <w:p w14:paraId="5CFFDCE5" w14:textId="1DC8CA44"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5ECA2C9C" w14:textId="31831C2A" w:rsidR="00DC3599" w:rsidRPr="00005453" w:rsidRDefault="00DC3599" w:rsidP="00DC3599">
            <w:pPr>
              <w:jc w:val="right"/>
              <w:rPr>
                <w:sz w:val="14"/>
                <w:szCs w:val="14"/>
                <w:lang w:eastAsia="tr-TR"/>
              </w:rPr>
            </w:pPr>
            <w:r w:rsidRPr="00E41120">
              <w:rPr>
                <w:bCs/>
                <w:sz w:val="14"/>
                <w:szCs w:val="14"/>
              </w:rPr>
              <w:t>55,302,016</w:t>
            </w:r>
          </w:p>
        </w:tc>
      </w:tr>
      <w:tr w:rsidR="00DC3599" w:rsidRPr="00005453" w14:paraId="552DE119"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BB0AAAA" w14:textId="77777777" w:rsidR="00DC3599" w:rsidRPr="00005453" w:rsidRDefault="00DC3599" w:rsidP="00DC3599">
            <w:pPr>
              <w:rPr>
                <w:color w:val="000000"/>
                <w:sz w:val="14"/>
                <w:szCs w:val="14"/>
                <w:lang w:eastAsia="tr-TR"/>
              </w:rPr>
            </w:pPr>
            <w:r w:rsidRPr="00005453">
              <w:rPr>
                <w:color w:val="000000"/>
                <w:sz w:val="14"/>
                <w:szCs w:val="14"/>
                <w:lang w:eastAsia="tr-TR"/>
              </w:rPr>
              <w:t>2.2.1.</w:t>
            </w:r>
          </w:p>
        </w:tc>
        <w:tc>
          <w:tcPr>
            <w:tcW w:w="3138" w:type="dxa"/>
            <w:tcBorders>
              <w:top w:val="nil"/>
              <w:left w:val="single" w:sz="4" w:space="0" w:color="auto"/>
              <w:bottom w:val="nil"/>
              <w:right w:val="single" w:sz="4" w:space="0" w:color="auto"/>
            </w:tcBorders>
            <w:shd w:val="clear" w:color="auto" w:fill="auto"/>
            <w:noWrap/>
            <w:hideMark/>
          </w:tcPr>
          <w:p w14:paraId="23902928" w14:textId="77777777" w:rsidR="00DC3599" w:rsidRPr="00005453" w:rsidRDefault="00DC3599" w:rsidP="00DC3599">
            <w:pPr>
              <w:rPr>
                <w:color w:val="000000"/>
                <w:sz w:val="14"/>
                <w:szCs w:val="14"/>
                <w:lang w:eastAsia="tr-TR"/>
              </w:rPr>
            </w:pPr>
            <w:r w:rsidRPr="00005453">
              <w:rPr>
                <w:color w:val="000000"/>
                <w:sz w:val="14"/>
                <w:szCs w:val="14"/>
                <w:lang w:eastAsia="tr-TR"/>
              </w:rPr>
              <w:t>Cayılabilir Kredi Tahsis Taahhütleri</w:t>
            </w:r>
          </w:p>
        </w:tc>
        <w:tc>
          <w:tcPr>
            <w:tcW w:w="585" w:type="dxa"/>
            <w:tcBorders>
              <w:top w:val="nil"/>
              <w:left w:val="single" w:sz="4" w:space="0" w:color="auto"/>
              <w:bottom w:val="nil"/>
              <w:right w:val="single" w:sz="4" w:space="0" w:color="auto"/>
            </w:tcBorders>
            <w:shd w:val="clear" w:color="auto" w:fill="auto"/>
            <w:hideMark/>
          </w:tcPr>
          <w:p w14:paraId="6C879E7F"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9D86C78" w14:textId="755565B6"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EC5F4A8" w14:textId="78856480"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B47D2A8" w14:textId="72EBB457"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D695A29" w14:textId="55B5F98F" w:rsidR="00DC3599" w:rsidRPr="00005453" w:rsidRDefault="00DC3599" w:rsidP="00DC3599">
            <w:pPr>
              <w:jc w:val="right"/>
              <w:rPr>
                <w:sz w:val="14"/>
                <w:szCs w:val="14"/>
                <w:lang w:eastAsia="tr-TR"/>
              </w:rPr>
            </w:pPr>
            <w:r w:rsidRPr="00E41120">
              <w:rPr>
                <w:bCs/>
                <w:sz w:val="14"/>
                <w:szCs w:val="14"/>
              </w:rPr>
              <w:t>55,302,016</w:t>
            </w:r>
          </w:p>
        </w:tc>
        <w:tc>
          <w:tcPr>
            <w:tcW w:w="945" w:type="dxa"/>
            <w:tcBorders>
              <w:top w:val="nil"/>
              <w:left w:val="single" w:sz="4" w:space="0" w:color="auto"/>
              <w:bottom w:val="nil"/>
              <w:right w:val="single" w:sz="4" w:space="0" w:color="auto"/>
            </w:tcBorders>
            <w:shd w:val="clear" w:color="auto" w:fill="auto"/>
            <w:vAlign w:val="center"/>
            <w:hideMark/>
          </w:tcPr>
          <w:p w14:paraId="5DB4BCA5" w14:textId="7959FD7E"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79B5F967" w14:textId="27FD3444" w:rsidR="00DC3599" w:rsidRPr="00005453" w:rsidRDefault="00DC3599" w:rsidP="00DC3599">
            <w:pPr>
              <w:jc w:val="right"/>
              <w:rPr>
                <w:sz w:val="14"/>
                <w:szCs w:val="14"/>
                <w:lang w:eastAsia="tr-TR"/>
              </w:rPr>
            </w:pPr>
            <w:r w:rsidRPr="00E41120">
              <w:rPr>
                <w:bCs/>
                <w:sz w:val="14"/>
                <w:szCs w:val="14"/>
              </w:rPr>
              <w:t>55,302,016</w:t>
            </w:r>
          </w:p>
        </w:tc>
      </w:tr>
      <w:tr w:rsidR="00DC3599" w:rsidRPr="00005453" w14:paraId="1173A5D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C215F83" w14:textId="77777777" w:rsidR="00DC3599" w:rsidRPr="00005453" w:rsidRDefault="00DC3599" w:rsidP="00DC3599">
            <w:pPr>
              <w:rPr>
                <w:color w:val="000000"/>
                <w:sz w:val="14"/>
                <w:szCs w:val="14"/>
                <w:lang w:eastAsia="tr-TR"/>
              </w:rPr>
            </w:pPr>
            <w:r w:rsidRPr="00005453">
              <w:rPr>
                <w:color w:val="000000"/>
                <w:sz w:val="14"/>
                <w:szCs w:val="14"/>
                <w:lang w:eastAsia="tr-TR"/>
              </w:rPr>
              <w:t>2.2.2.</w:t>
            </w:r>
          </w:p>
        </w:tc>
        <w:tc>
          <w:tcPr>
            <w:tcW w:w="3138" w:type="dxa"/>
            <w:tcBorders>
              <w:top w:val="nil"/>
              <w:left w:val="single" w:sz="4" w:space="0" w:color="auto"/>
              <w:bottom w:val="nil"/>
              <w:right w:val="single" w:sz="4" w:space="0" w:color="auto"/>
            </w:tcBorders>
            <w:shd w:val="clear" w:color="auto" w:fill="auto"/>
            <w:noWrap/>
            <w:hideMark/>
          </w:tcPr>
          <w:p w14:paraId="0759FFDB" w14:textId="77777777" w:rsidR="00DC3599" w:rsidRPr="00005453" w:rsidRDefault="00DC3599" w:rsidP="00DC3599">
            <w:pPr>
              <w:rPr>
                <w:color w:val="000000"/>
                <w:sz w:val="14"/>
                <w:szCs w:val="14"/>
                <w:lang w:eastAsia="tr-TR"/>
              </w:rPr>
            </w:pPr>
            <w:r w:rsidRPr="00005453">
              <w:rPr>
                <w:color w:val="000000"/>
                <w:sz w:val="14"/>
                <w:szCs w:val="14"/>
                <w:lang w:eastAsia="tr-TR"/>
              </w:rPr>
              <w:t>Diğer Cayılabilir Taahhütler</w:t>
            </w:r>
          </w:p>
        </w:tc>
        <w:tc>
          <w:tcPr>
            <w:tcW w:w="585" w:type="dxa"/>
            <w:tcBorders>
              <w:top w:val="nil"/>
              <w:left w:val="single" w:sz="4" w:space="0" w:color="auto"/>
              <w:bottom w:val="nil"/>
              <w:right w:val="single" w:sz="4" w:space="0" w:color="auto"/>
            </w:tcBorders>
            <w:shd w:val="clear" w:color="auto" w:fill="auto"/>
            <w:hideMark/>
          </w:tcPr>
          <w:p w14:paraId="22B9312D"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5A0632A" w14:textId="5B759552"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5091799" w14:textId="7C24141C"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28DB4484" w14:textId="01829938"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EE0400F" w14:textId="7D5F50FC"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C0683EB" w14:textId="05130BAC"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20FFD3F8" w14:textId="7092CBC0" w:rsidR="00DC3599" w:rsidRPr="00005453" w:rsidRDefault="00DC3599" w:rsidP="00DC3599">
            <w:pPr>
              <w:jc w:val="right"/>
              <w:rPr>
                <w:sz w:val="14"/>
                <w:szCs w:val="14"/>
                <w:lang w:eastAsia="tr-TR"/>
              </w:rPr>
            </w:pPr>
            <w:r w:rsidRPr="00E41120">
              <w:rPr>
                <w:bCs/>
                <w:sz w:val="14"/>
                <w:szCs w:val="14"/>
              </w:rPr>
              <w:t>-</w:t>
            </w:r>
          </w:p>
        </w:tc>
      </w:tr>
      <w:tr w:rsidR="00DC3599" w:rsidRPr="00005453" w14:paraId="3D999F72"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CADED4B"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III.</w:t>
            </w:r>
          </w:p>
        </w:tc>
        <w:tc>
          <w:tcPr>
            <w:tcW w:w="3138" w:type="dxa"/>
            <w:tcBorders>
              <w:top w:val="nil"/>
              <w:left w:val="single" w:sz="4" w:space="0" w:color="auto"/>
              <w:bottom w:val="nil"/>
              <w:right w:val="single" w:sz="4" w:space="0" w:color="auto"/>
            </w:tcBorders>
            <w:shd w:val="clear" w:color="auto" w:fill="auto"/>
            <w:noWrap/>
            <w:hideMark/>
          </w:tcPr>
          <w:p w14:paraId="577514F6"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TÜREV FİNANSAL ARAÇLAR</w:t>
            </w:r>
          </w:p>
        </w:tc>
        <w:tc>
          <w:tcPr>
            <w:tcW w:w="585" w:type="dxa"/>
            <w:tcBorders>
              <w:top w:val="nil"/>
              <w:left w:val="single" w:sz="4" w:space="0" w:color="auto"/>
              <w:bottom w:val="nil"/>
              <w:right w:val="single" w:sz="4" w:space="0" w:color="auto"/>
            </w:tcBorders>
            <w:shd w:val="clear" w:color="auto" w:fill="auto"/>
            <w:hideMark/>
          </w:tcPr>
          <w:p w14:paraId="41B1FC7B" w14:textId="77777777" w:rsidR="00DC3599" w:rsidRPr="00005453" w:rsidRDefault="00DC3599" w:rsidP="00DC3599">
            <w:pPr>
              <w:jc w:val="center"/>
              <w:rPr>
                <w:b/>
                <w:bCs/>
                <w:sz w:val="14"/>
                <w:szCs w:val="14"/>
                <w:lang w:eastAsia="tr-TR"/>
              </w:rPr>
            </w:pPr>
            <w:r w:rsidRPr="00005453">
              <w:rPr>
                <w:b/>
                <w:bCs/>
                <w:color w:val="000000"/>
                <w:sz w:val="14"/>
                <w:szCs w:val="14"/>
                <w:lang w:eastAsia="tr-TR"/>
              </w:rPr>
              <w:t>(</w:t>
            </w:r>
            <w:r w:rsidRPr="00005453">
              <w:rPr>
                <w:b/>
                <w:bCs/>
                <w:sz w:val="14"/>
                <w:szCs w:val="14"/>
                <w:lang w:eastAsia="tr-TR"/>
              </w:rPr>
              <w:t>5.3.2.)</w:t>
            </w:r>
          </w:p>
        </w:tc>
        <w:tc>
          <w:tcPr>
            <w:tcW w:w="992" w:type="dxa"/>
            <w:tcBorders>
              <w:top w:val="nil"/>
              <w:left w:val="single" w:sz="4" w:space="0" w:color="auto"/>
              <w:bottom w:val="nil"/>
              <w:right w:val="single" w:sz="4" w:space="0" w:color="auto"/>
            </w:tcBorders>
            <w:shd w:val="clear" w:color="auto" w:fill="auto"/>
            <w:vAlign w:val="center"/>
            <w:hideMark/>
          </w:tcPr>
          <w:p w14:paraId="642FCFBA" w14:textId="555CDED9" w:rsidR="00DC3599" w:rsidRPr="00005453" w:rsidRDefault="00DC3599" w:rsidP="00DC3599">
            <w:pPr>
              <w:jc w:val="right"/>
              <w:rPr>
                <w:b/>
                <w:bCs/>
                <w:sz w:val="14"/>
                <w:szCs w:val="14"/>
              </w:rPr>
            </w:pPr>
            <w:r w:rsidRPr="00005453">
              <w:rPr>
                <w:b/>
                <w:bCs/>
                <w:sz w:val="14"/>
                <w:szCs w:val="18"/>
              </w:rPr>
              <w:t>82,531,059</w:t>
            </w:r>
          </w:p>
        </w:tc>
        <w:tc>
          <w:tcPr>
            <w:tcW w:w="992" w:type="dxa"/>
            <w:tcBorders>
              <w:top w:val="nil"/>
              <w:left w:val="single" w:sz="4" w:space="0" w:color="auto"/>
              <w:bottom w:val="nil"/>
              <w:right w:val="single" w:sz="4" w:space="0" w:color="auto"/>
            </w:tcBorders>
            <w:shd w:val="clear" w:color="auto" w:fill="auto"/>
            <w:vAlign w:val="center"/>
            <w:hideMark/>
          </w:tcPr>
          <w:p w14:paraId="1940F2A2" w14:textId="709522F6" w:rsidR="00DC3599" w:rsidRPr="00005453" w:rsidRDefault="00DC3599" w:rsidP="00DC3599">
            <w:pPr>
              <w:jc w:val="right"/>
              <w:rPr>
                <w:b/>
                <w:bCs/>
                <w:sz w:val="14"/>
                <w:szCs w:val="14"/>
              </w:rPr>
            </w:pPr>
            <w:r w:rsidRPr="00005453">
              <w:rPr>
                <w:b/>
                <w:bCs/>
                <w:sz w:val="14"/>
                <w:szCs w:val="18"/>
              </w:rPr>
              <w:t>248,207,067</w:t>
            </w:r>
          </w:p>
        </w:tc>
        <w:tc>
          <w:tcPr>
            <w:tcW w:w="1015" w:type="dxa"/>
            <w:tcBorders>
              <w:top w:val="nil"/>
              <w:left w:val="single" w:sz="4" w:space="0" w:color="auto"/>
              <w:bottom w:val="nil"/>
              <w:right w:val="single" w:sz="4" w:space="0" w:color="auto"/>
            </w:tcBorders>
            <w:shd w:val="clear" w:color="auto" w:fill="auto"/>
            <w:vAlign w:val="center"/>
            <w:hideMark/>
          </w:tcPr>
          <w:p w14:paraId="6BA8DF14" w14:textId="40456D87" w:rsidR="00DC3599" w:rsidRPr="00005453" w:rsidRDefault="00DC3599" w:rsidP="00DC3599">
            <w:pPr>
              <w:jc w:val="right"/>
              <w:rPr>
                <w:b/>
                <w:bCs/>
                <w:sz w:val="14"/>
                <w:szCs w:val="14"/>
              </w:rPr>
            </w:pPr>
            <w:r w:rsidRPr="00005453">
              <w:rPr>
                <w:b/>
                <w:bCs/>
                <w:sz w:val="14"/>
                <w:szCs w:val="18"/>
              </w:rPr>
              <w:t>330,738,126</w:t>
            </w:r>
          </w:p>
        </w:tc>
        <w:tc>
          <w:tcPr>
            <w:tcW w:w="992" w:type="dxa"/>
            <w:tcBorders>
              <w:top w:val="nil"/>
              <w:left w:val="single" w:sz="4" w:space="0" w:color="auto"/>
              <w:bottom w:val="nil"/>
              <w:right w:val="single" w:sz="4" w:space="0" w:color="auto"/>
            </w:tcBorders>
            <w:shd w:val="clear" w:color="auto" w:fill="auto"/>
            <w:vAlign w:val="center"/>
            <w:hideMark/>
          </w:tcPr>
          <w:p w14:paraId="4883053D" w14:textId="60D6E330" w:rsidR="00DC3599" w:rsidRPr="00005453" w:rsidRDefault="00DC3599" w:rsidP="00DC3599">
            <w:pPr>
              <w:jc w:val="right"/>
              <w:rPr>
                <w:b/>
                <w:bCs/>
                <w:sz w:val="14"/>
                <w:szCs w:val="14"/>
                <w:lang w:eastAsia="tr-TR"/>
              </w:rPr>
            </w:pPr>
            <w:r w:rsidRPr="00E41120">
              <w:rPr>
                <w:b/>
                <w:bCs/>
                <w:sz w:val="14"/>
                <w:szCs w:val="14"/>
              </w:rPr>
              <w:t>31,971,891</w:t>
            </w:r>
          </w:p>
        </w:tc>
        <w:tc>
          <w:tcPr>
            <w:tcW w:w="945" w:type="dxa"/>
            <w:tcBorders>
              <w:top w:val="nil"/>
              <w:left w:val="single" w:sz="4" w:space="0" w:color="auto"/>
              <w:bottom w:val="nil"/>
              <w:right w:val="single" w:sz="4" w:space="0" w:color="auto"/>
            </w:tcBorders>
            <w:shd w:val="clear" w:color="auto" w:fill="auto"/>
            <w:vAlign w:val="center"/>
            <w:hideMark/>
          </w:tcPr>
          <w:p w14:paraId="656CE27B" w14:textId="77D4BE01" w:rsidR="00DC3599" w:rsidRPr="00005453" w:rsidRDefault="00DC3599" w:rsidP="00DC3599">
            <w:pPr>
              <w:jc w:val="right"/>
              <w:rPr>
                <w:b/>
                <w:bCs/>
                <w:sz w:val="14"/>
                <w:szCs w:val="14"/>
                <w:lang w:eastAsia="tr-TR"/>
              </w:rPr>
            </w:pPr>
            <w:r w:rsidRPr="00E41120">
              <w:rPr>
                <w:b/>
                <w:bCs/>
                <w:sz w:val="14"/>
                <w:szCs w:val="14"/>
              </w:rPr>
              <w:t>117,408,775</w:t>
            </w:r>
          </w:p>
        </w:tc>
        <w:tc>
          <w:tcPr>
            <w:tcW w:w="1039" w:type="dxa"/>
            <w:tcBorders>
              <w:top w:val="nil"/>
              <w:left w:val="single" w:sz="4" w:space="0" w:color="auto"/>
              <w:bottom w:val="nil"/>
              <w:right w:val="single" w:sz="4" w:space="0" w:color="auto"/>
            </w:tcBorders>
            <w:shd w:val="clear" w:color="auto" w:fill="auto"/>
            <w:vAlign w:val="center"/>
            <w:hideMark/>
          </w:tcPr>
          <w:p w14:paraId="1D39630D" w14:textId="47E88A5C" w:rsidR="00DC3599" w:rsidRPr="00005453" w:rsidRDefault="00DC3599" w:rsidP="00DC3599">
            <w:pPr>
              <w:jc w:val="right"/>
              <w:rPr>
                <w:b/>
                <w:bCs/>
                <w:sz w:val="14"/>
                <w:szCs w:val="14"/>
                <w:lang w:eastAsia="tr-TR"/>
              </w:rPr>
            </w:pPr>
            <w:r w:rsidRPr="00E41120">
              <w:rPr>
                <w:b/>
                <w:bCs/>
                <w:sz w:val="14"/>
                <w:szCs w:val="14"/>
              </w:rPr>
              <w:t>149,380,666</w:t>
            </w:r>
          </w:p>
        </w:tc>
      </w:tr>
      <w:tr w:rsidR="00DC3599" w:rsidRPr="00005453" w14:paraId="5774EC3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4986BB52" w14:textId="77777777" w:rsidR="00DC3599" w:rsidRPr="00005453" w:rsidRDefault="00DC3599" w:rsidP="00DC3599">
            <w:pPr>
              <w:rPr>
                <w:color w:val="000000"/>
                <w:sz w:val="14"/>
                <w:szCs w:val="14"/>
                <w:lang w:eastAsia="tr-TR"/>
              </w:rPr>
            </w:pPr>
            <w:r w:rsidRPr="00005453">
              <w:rPr>
                <w:color w:val="000000"/>
                <w:sz w:val="14"/>
                <w:szCs w:val="14"/>
                <w:lang w:eastAsia="tr-TR"/>
              </w:rPr>
              <w:t>3.1</w:t>
            </w:r>
          </w:p>
        </w:tc>
        <w:tc>
          <w:tcPr>
            <w:tcW w:w="3138" w:type="dxa"/>
            <w:tcBorders>
              <w:top w:val="nil"/>
              <w:left w:val="single" w:sz="4" w:space="0" w:color="auto"/>
              <w:bottom w:val="nil"/>
              <w:right w:val="single" w:sz="4" w:space="0" w:color="auto"/>
            </w:tcBorders>
            <w:shd w:val="clear" w:color="auto" w:fill="auto"/>
            <w:noWrap/>
            <w:hideMark/>
          </w:tcPr>
          <w:p w14:paraId="50CD09A3" w14:textId="77777777" w:rsidR="00DC3599" w:rsidRPr="00005453" w:rsidRDefault="00DC3599" w:rsidP="00DC3599">
            <w:pPr>
              <w:rPr>
                <w:color w:val="000000"/>
                <w:sz w:val="14"/>
                <w:szCs w:val="14"/>
                <w:lang w:eastAsia="tr-TR"/>
              </w:rPr>
            </w:pPr>
            <w:r w:rsidRPr="00005453">
              <w:rPr>
                <w:color w:val="000000"/>
                <w:sz w:val="14"/>
                <w:szCs w:val="14"/>
                <w:lang w:eastAsia="tr-TR"/>
              </w:rPr>
              <w:t>Riskten Korunma Amaçlı Türev Finansal Araçlar</w:t>
            </w:r>
          </w:p>
        </w:tc>
        <w:tc>
          <w:tcPr>
            <w:tcW w:w="585" w:type="dxa"/>
            <w:tcBorders>
              <w:top w:val="nil"/>
              <w:left w:val="single" w:sz="4" w:space="0" w:color="auto"/>
              <w:bottom w:val="nil"/>
              <w:right w:val="single" w:sz="4" w:space="0" w:color="auto"/>
            </w:tcBorders>
            <w:shd w:val="clear" w:color="auto" w:fill="auto"/>
            <w:hideMark/>
          </w:tcPr>
          <w:p w14:paraId="64F78BAD"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7B66768" w14:textId="69E46BBF"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BA9C869" w14:textId="4016FC5A"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B7A56DC" w14:textId="2918C441"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F63135B" w14:textId="02CDFD1C"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6EA774D" w14:textId="7B80F6D9"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1BEFBEBC" w14:textId="73DE65E5" w:rsidR="00DC3599" w:rsidRPr="00005453" w:rsidRDefault="00DC3599" w:rsidP="00DC3599">
            <w:pPr>
              <w:jc w:val="right"/>
              <w:rPr>
                <w:sz w:val="14"/>
                <w:szCs w:val="14"/>
                <w:lang w:eastAsia="tr-TR"/>
              </w:rPr>
            </w:pPr>
            <w:r w:rsidRPr="00E41120">
              <w:rPr>
                <w:bCs/>
                <w:sz w:val="14"/>
                <w:szCs w:val="14"/>
              </w:rPr>
              <w:t>-</w:t>
            </w:r>
          </w:p>
        </w:tc>
      </w:tr>
      <w:tr w:rsidR="00DC3599" w:rsidRPr="00005453" w14:paraId="57CCB1C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B96E37B" w14:textId="77777777" w:rsidR="00DC3599" w:rsidRPr="00005453" w:rsidRDefault="00DC3599" w:rsidP="00DC3599">
            <w:pPr>
              <w:rPr>
                <w:color w:val="000000"/>
                <w:sz w:val="14"/>
                <w:szCs w:val="14"/>
                <w:lang w:eastAsia="tr-TR"/>
              </w:rPr>
            </w:pPr>
            <w:r w:rsidRPr="00005453">
              <w:rPr>
                <w:color w:val="000000"/>
                <w:sz w:val="14"/>
                <w:szCs w:val="14"/>
                <w:lang w:eastAsia="tr-TR"/>
              </w:rPr>
              <w:t>3.1.1</w:t>
            </w:r>
          </w:p>
        </w:tc>
        <w:tc>
          <w:tcPr>
            <w:tcW w:w="3138" w:type="dxa"/>
            <w:tcBorders>
              <w:top w:val="nil"/>
              <w:left w:val="single" w:sz="4" w:space="0" w:color="auto"/>
              <w:bottom w:val="nil"/>
              <w:right w:val="single" w:sz="4" w:space="0" w:color="auto"/>
            </w:tcBorders>
            <w:shd w:val="clear" w:color="auto" w:fill="auto"/>
            <w:hideMark/>
          </w:tcPr>
          <w:p w14:paraId="26A1B5EF" w14:textId="77777777" w:rsidR="00DC3599" w:rsidRPr="00005453" w:rsidRDefault="00DC3599" w:rsidP="00DC3599">
            <w:pPr>
              <w:rPr>
                <w:color w:val="000000"/>
                <w:sz w:val="14"/>
                <w:szCs w:val="14"/>
                <w:lang w:eastAsia="tr-TR"/>
              </w:rPr>
            </w:pPr>
            <w:r w:rsidRPr="00005453">
              <w:rPr>
                <w:color w:val="000000"/>
                <w:sz w:val="14"/>
                <w:szCs w:val="14"/>
                <w:lang w:eastAsia="tr-TR"/>
              </w:rPr>
              <w:t>Gerçeğe Uygun Değer Riskinden Korunma Amaçlı İşlemler</w:t>
            </w:r>
          </w:p>
        </w:tc>
        <w:tc>
          <w:tcPr>
            <w:tcW w:w="585" w:type="dxa"/>
            <w:tcBorders>
              <w:top w:val="nil"/>
              <w:left w:val="single" w:sz="4" w:space="0" w:color="auto"/>
              <w:bottom w:val="nil"/>
              <w:right w:val="single" w:sz="4" w:space="0" w:color="auto"/>
            </w:tcBorders>
            <w:shd w:val="clear" w:color="auto" w:fill="auto"/>
            <w:hideMark/>
          </w:tcPr>
          <w:p w14:paraId="24CD59E8"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FEE914" w14:textId="159DF5EB"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2408F43" w14:textId="7D794FFF"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1C4E5DE" w14:textId="1A6C39B8"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9B3381C" w14:textId="0302B696"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B7C686F" w14:textId="596DC083"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0EBF3123" w14:textId="4A9588E7" w:rsidR="00DC3599" w:rsidRPr="00005453" w:rsidRDefault="00DC3599" w:rsidP="00DC3599">
            <w:pPr>
              <w:jc w:val="right"/>
              <w:rPr>
                <w:sz w:val="14"/>
                <w:szCs w:val="14"/>
                <w:lang w:eastAsia="tr-TR"/>
              </w:rPr>
            </w:pPr>
            <w:r w:rsidRPr="00E41120">
              <w:rPr>
                <w:bCs/>
                <w:sz w:val="14"/>
                <w:szCs w:val="14"/>
              </w:rPr>
              <w:t>-</w:t>
            </w:r>
          </w:p>
        </w:tc>
      </w:tr>
      <w:tr w:rsidR="00DC3599" w:rsidRPr="00005453" w14:paraId="575EBCFD"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2CD039F" w14:textId="77777777" w:rsidR="00DC3599" w:rsidRPr="00005453" w:rsidRDefault="00DC3599" w:rsidP="00DC3599">
            <w:pPr>
              <w:rPr>
                <w:color w:val="000000"/>
                <w:sz w:val="14"/>
                <w:szCs w:val="14"/>
                <w:lang w:eastAsia="tr-TR"/>
              </w:rPr>
            </w:pPr>
            <w:r w:rsidRPr="00005453">
              <w:rPr>
                <w:color w:val="000000"/>
                <w:sz w:val="14"/>
                <w:szCs w:val="14"/>
                <w:lang w:eastAsia="tr-TR"/>
              </w:rPr>
              <w:t>3.1.2</w:t>
            </w:r>
          </w:p>
        </w:tc>
        <w:tc>
          <w:tcPr>
            <w:tcW w:w="3138" w:type="dxa"/>
            <w:tcBorders>
              <w:top w:val="nil"/>
              <w:left w:val="single" w:sz="4" w:space="0" w:color="auto"/>
              <w:bottom w:val="nil"/>
              <w:right w:val="single" w:sz="4" w:space="0" w:color="auto"/>
            </w:tcBorders>
            <w:shd w:val="clear" w:color="auto" w:fill="auto"/>
            <w:noWrap/>
            <w:hideMark/>
          </w:tcPr>
          <w:p w14:paraId="6E10CCEA" w14:textId="77777777" w:rsidR="00DC3599" w:rsidRPr="00005453" w:rsidRDefault="00DC3599" w:rsidP="00DC3599">
            <w:pPr>
              <w:rPr>
                <w:color w:val="000000"/>
                <w:sz w:val="14"/>
                <w:szCs w:val="14"/>
                <w:lang w:eastAsia="tr-TR"/>
              </w:rPr>
            </w:pPr>
            <w:r w:rsidRPr="00005453">
              <w:rPr>
                <w:color w:val="000000"/>
                <w:sz w:val="14"/>
                <w:szCs w:val="14"/>
                <w:lang w:eastAsia="tr-TR"/>
              </w:rPr>
              <w:t>Nakit Akış Riskinden Korunma Amaçlı İşlemler</w:t>
            </w:r>
          </w:p>
        </w:tc>
        <w:tc>
          <w:tcPr>
            <w:tcW w:w="585" w:type="dxa"/>
            <w:tcBorders>
              <w:top w:val="nil"/>
              <w:left w:val="single" w:sz="4" w:space="0" w:color="auto"/>
              <w:bottom w:val="nil"/>
              <w:right w:val="single" w:sz="4" w:space="0" w:color="auto"/>
            </w:tcBorders>
            <w:shd w:val="clear" w:color="auto" w:fill="auto"/>
            <w:hideMark/>
          </w:tcPr>
          <w:p w14:paraId="15922B44"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39285BA" w14:textId="2048DDA9"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72108FC" w14:textId="26493847"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59629246" w14:textId="5272B7A8"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5926265" w14:textId="73FEA5DA"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BD583CC" w14:textId="6F574C7D"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592E1169" w14:textId="3D7B9AB6" w:rsidR="00DC3599" w:rsidRPr="00005453" w:rsidRDefault="00DC3599" w:rsidP="00DC3599">
            <w:pPr>
              <w:jc w:val="right"/>
              <w:rPr>
                <w:sz w:val="14"/>
                <w:szCs w:val="14"/>
                <w:lang w:eastAsia="tr-TR"/>
              </w:rPr>
            </w:pPr>
            <w:r w:rsidRPr="00E41120">
              <w:rPr>
                <w:bCs/>
                <w:sz w:val="14"/>
                <w:szCs w:val="14"/>
              </w:rPr>
              <w:t>-</w:t>
            </w:r>
          </w:p>
        </w:tc>
      </w:tr>
      <w:tr w:rsidR="00DC3599" w:rsidRPr="00005453" w14:paraId="4866CEA3"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8851990" w14:textId="77777777" w:rsidR="00DC3599" w:rsidRPr="00005453" w:rsidRDefault="00DC3599" w:rsidP="00DC3599">
            <w:pPr>
              <w:rPr>
                <w:color w:val="000000"/>
                <w:sz w:val="14"/>
                <w:szCs w:val="14"/>
                <w:lang w:eastAsia="tr-TR"/>
              </w:rPr>
            </w:pPr>
            <w:r w:rsidRPr="00005453">
              <w:rPr>
                <w:color w:val="000000"/>
                <w:sz w:val="14"/>
                <w:szCs w:val="14"/>
                <w:lang w:eastAsia="tr-TR"/>
              </w:rPr>
              <w:t>3.1.3</w:t>
            </w:r>
          </w:p>
        </w:tc>
        <w:tc>
          <w:tcPr>
            <w:tcW w:w="3138" w:type="dxa"/>
            <w:tcBorders>
              <w:top w:val="nil"/>
              <w:left w:val="single" w:sz="4" w:space="0" w:color="auto"/>
              <w:bottom w:val="nil"/>
              <w:right w:val="single" w:sz="4" w:space="0" w:color="auto"/>
            </w:tcBorders>
            <w:shd w:val="clear" w:color="auto" w:fill="auto"/>
            <w:hideMark/>
          </w:tcPr>
          <w:p w14:paraId="5532997B" w14:textId="6DC53CB4" w:rsidR="00DC3599" w:rsidRPr="00005453" w:rsidRDefault="00DC3599" w:rsidP="00DC3599">
            <w:pPr>
              <w:rPr>
                <w:color w:val="000000"/>
                <w:sz w:val="14"/>
                <w:szCs w:val="14"/>
                <w:lang w:eastAsia="tr-TR"/>
              </w:rPr>
            </w:pPr>
            <w:r w:rsidRPr="00005453">
              <w:rPr>
                <w:color w:val="000000"/>
                <w:sz w:val="14"/>
                <w:szCs w:val="14"/>
                <w:lang w:eastAsia="tr-TR"/>
              </w:rPr>
              <w:t>Yurt dışındaki Net Yatırım Riskinden Korunma Amaçlı İşlemler</w:t>
            </w:r>
          </w:p>
        </w:tc>
        <w:tc>
          <w:tcPr>
            <w:tcW w:w="585" w:type="dxa"/>
            <w:tcBorders>
              <w:top w:val="nil"/>
              <w:left w:val="single" w:sz="4" w:space="0" w:color="auto"/>
              <w:bottom w:val="nil"/>
              <w:right w:val="single" w:sz="4" w:space="0" w:color="auto"/>
            </w:tcBorders>
            <w:shd w:val="clear" w:color="auto" w:fill="auto"/>
            <w:hideMark/>
          </w:tcPr>
          <w:p w14:paraId="1136DA4E"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06194EB" w14:textId="1328F886"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A9A9FC9" w14:textId="260DCEC8"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58F0C680" w14:textId="17AA4E9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7FBF49E" w14:textId="5A5EE9B4"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7E41C41" w14:textId="41072E7C"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551CAEB2" w14:textId="4AC3C9F3" w:rsidR="00DC3599" w:rsidRPr="00005453" w:rsidRDefault="00DC3599" w:rsidP="00DC3599">
            <w:pPr>
              <w:jc w:val="right"/>
              <w:rPr>
                <w:sz w:val="14"/>
                <w:szCs w:val="14"/>
                <w:lang w:eastAsia="tr-TR"/>
              </w:rPr>
            </w:pPr>
            <w:r w:rsidRPr="00E41120">
              <w:rPr>
                <w:bCs/>
                <w:sz w:val="14"/>
                <w:szCs w:val="14"/>
              </w:rPr>
              <w:t>-</w:t>
            </w:r>
          </w:p>
        </w:tc>
      </w:tr>
      <w:tr w:rsidR="00DC3599" w:rsidRPr="00005453" w14:paraId="3C00B28B"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B12133D" w14:textId="77777777" w:rsidR="00DC3599" w:rsidRPr="00005453" w:rsidRDefault="00DC3599" w:rsidP="00DC3599">
            <w:pPr>
              <w:rPr>
                <w:color w:val="000000"/>
                <w:sz w:val="14"/>
                <w:szCs w:val="14"/>
                <w:lang w:eastAsia="tr-TR"/>
              </w:rPr>
            </w:pPr>
            <w:r w:rsidRPr="00005453">
              <w:rPr>
                <w:color w:val="000000"/>
                <w:sz w:val="14"/>
                <w:szCs w:val="14"/>
                <w:lang w:eastAsia="tr-TR"/>
              </w:rPr>
              <w:t>3.2</w:t>
            </w:r>
          </w:p>
        </w:tc>
        <w:tc>
          <w:tcPr>
            <w:tcW w:w="3138" w:type="dxa"/>
            <w:tcBorders>
              <w:top w:val="nil"/>
              <w:left w:val="single" w:sz="4" w:space="0" w:color="auto"/>
              <w:bottom w:val="nil"/>
              <w:right w:val="single" w:sz="4" w:space="0" w:color="auto"/>
            </w:tcBorders>
            <w:shd w:val="clear" w:color="auto" w:fill="auto"/>
            <w:noWrap/>
            <w:hideMark/>
          </w:tcPr>
          <w:p w14:paraId="6F78E4B2" w14:textId="77777777" w:rsidR="00DC3599" w:rsidRPr="00005453" w:rsidRDefault="00DC3599" w:rsidP="00DC3599">
            <w:pPr>
              <w:rPr>
                <w:color w:val="000000"/>
                <w:sz w:val="14"/>
                <w:szCs w:val="14"/>
                <w:lang w:eastAsia="tr-TR"/>
              </w:rPr>
            </w:pPr>
            <w:r w:rsidRPr="00005453">
              <w:rPr>
                <w:color w:val="000000"/>
                <w:sz w:val="14"/>
                <w:szCs w:val="14"/>
                <w:lang w:eastAsia="tr-TR"/>
              </w:rPr>
              <w:t>Alım Satım Amaçlı Türev Finansal Araçlar</w:t>
            </w:r>
          </w:p>
        </w:tc>
        <w:tc>
          <w:tcPr>
            <w:tcW w:w="585" w:type="dxa"/>
            <w:tcBorders>
              <w:top w:val="nil"/>
              <w:left w:val="single" w:sz="4" w:space="0" w:color="auto"/>
              <w:bottom w:val="nil"/>
              <w:right w:val="single" w:sz="4" w:space="0" w:color="auto"/>
            </w:tcBorders>
            <w:shd w:val="clear" w:color="auto" w:fill="auto"/>
            <w:hideMark/>
          </w:tcPr>
          <w:p w14:paraId="0BEA8331"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EB7B276" w14:textId="5DCA99E0" w:rsidR="00DC3599" w:rsidRPr="00005453" w:rsidRDefault="00DC3599" w:rsidP="00DC3599">
            <w:pPr>
              <w:jc w:val="right"/>
              <w:rPr>
                <w:bCs/>
                <w:sz w:val="14"/>
                <w:szCs w:val="14"/>
              </w:rPr>
            </w:pPr>
            <w:r w:rsidRPr="00005453">
              <w:rPr>
                <w:sz w:val="14"/>
                <w:szCs w:val="18"/>
              </w:rPr>
              <w:t>82,531,059</w:t>
            </w:r>
          </w:p>
        </w:tc>
        <w:tc>
          <w:tcPr>
            <w:tcW w:w="992" w:type="dxa"/>
            <w:tcBorders>
              <w:top w:val="nil"/>
              <w:left w:val="single" w:sz="4" w:space="0" w:color="auto"/>
              <w:bottom w:val="nil"/>
              <w:right w:val="single" w:sz="4" w:space="0" w:color="auto"/>
            </w:tcBorders>
            <w:shd w:val="clear" w:color="auto" w:fill="auto"/>
            <w:vAlign w:val="center"/>
            <w:hideMark/>
          </w:tcPr>
          <w:p w14:paraId="28463388" w14:textId="406766C9" w:rsidR="00DC3599" w:rsidRPr="00005453" w:rsidRDefault="00DC3599" w:rsidP="00DC3599">
            <w:pPr>
              <w:jc w:val="right"/>
              <w:rPr>
                <w:bCs/>
                <w:sz w:val="14"/>
                <w:szCs w:val="14"/>
              </w:rPr>
            </w:pPr>
            <w:r w:rsidRPr="00005453">
              <w:rPr>
                <w:sz w:val="14"/>
                <w:szCs w:val="18"/>
              </w:rPr>
              <w:t>248,207,067</w:t>
            </w:r>
          </w:p>
        </w:tc>
        <w:tc>
          <w:tcPr>
            <w:tcW w:w="1015" w:type="dxa"/>
            <w:tcBorders>
              <w:top w:val="nil"/>
              <w:left w:val="single" w:sz="4" w:space="0" w:color="auto"/>
              <w:bottom w:val="nil"/>
              <w:right w:val="single" w:sz="4" w:space="0" w:color="auto"/>
            </w:tcBorders>
            <w:shd w:val="clear" w:color="auto" w:fill="auto"/>
            <w:vAlign w:val="center"/>
            <w:hideMark/>
          </w:tcPr>
          <w:p w14:paraId="2833BA01" w14:textId="5C5634BF" w:rsidR="00DC3599" w:rsidRPr="00005453" w:rsidRDefault="00DC3599" w:rsidP="00DC3599">
            <w:pPr>
              <w:jc w:val="right"/>
              <w:rPr>
                <w:bCs/>
                <w:sz w:val="14"/>
                <w:szCs w:val="14"/>
              </w:rPr>
            </w:pPr>
            <w:r w:rsidRPr="00005453">
              <w:rPr>
                <w:sz w:val="14"/>
                <w:szCs w:val="18"/>
              </w:rPr>
              <w:t>330,738,126</w:t>
            </w:r>
          </w:p>
        </w:tc>
        <w:tc>
          <w:tcPr>
            <w:tcW w:w="992" w:type="dxa"/>
            <w:tcBorders>
              <w:top w:val="nil"/>
              <w:left w:val="single" w:sz="4" w:space="0" w:color="auto"/>
              <w:bottom w:val="nil"/>
              <w:right w:val="single" w:sz="4" w:space="0" w:color="auto"/>
            </w:tcBorders>
            <w:shd w:val="clear" w:color="auto" w:fill="auto"/>
            <w:vAlign w:val="center"/>
            <w:hideMark/>
          </w:tcPr>
          <w:p w14:paraId="63738AC8" w14:textId="048E3A28" w:rsidR="00DC3599" w:rsidRPr="00005453" w:rsidRDefault="00DC3599" w:rsidP="00DC3599">
            <w:pPr>
              <w:jc w:val="right"/>
              <w:rPr>
                <w:sz w:val="14"/>
                <w:szCs w:val="14"/>
                <w:lang w:eastAsia="tr-TR"/>
              </w:rPr>
            </w:pPr>
            <w:r w:rsidRPr="00E41120">
              <w:rPr>
                <w:bCs/>
                <w:sz w:val="14"/>
                <w:szCs w:val="14"/>
              </w:rPr>
              <w:t>31,971,891</w:t>
            </w:r>
          </w:p>
        </w:tc>
        <w:tc>
          <w:tcPr>
            <w:tcW w:w="945" w:type="dxa"/>
            <w:tcBorders>
              <w:top w:val="nil"/>
              <w:left w:val="single" w:sz="4" w:space="0" w:color="auto"/>
              <w:bottom w:val="nil"/>
              <w:right w:val="single" w:sz="4" w:space="0" w:color="auto"/>
            </w:tcBorders>
            <w:shd w:val="clear" w:color="auto" w:fill="auto"/>
            <w:vAlign w:val="center"/>
            <w:hideMark/>
          </w:tcPr>
          <w:p w14:paraId="62A0135D" w14:textId="12FD842D" w:rsidR="00DC3599" w:rsidRPr="00005453" w:rsidRDefault="00DC3599" w:rsidP="00DC3599">
            <w:pPr>
              <w:jc w:val="right"/>
              <w:rPr>
                <w:sz w:val="14"/>
                <w:szCs w:val="14"/>
                <w:lang w:eastAsia="tr-TR"/>
              </w:rPr>
            </w:pPr>
            <w:r w:rsidRPr="00E41120">
              <w:rPr>
                <w:bCs/>
                <w:sz w:val="14"/>
                <w:szCs w:val="14"/>
              </w:rPr>
              <w:t>117,408,775</w:t>
            </w:r>
          </w:p>
        </w:tc>
        <w:tc>
          <w:tcPr>
            <w:tcW w:w="1039" w:type="dxa"/>
            <w:tcBorders>
              <w:top w:val="nil"/>
              <w:left w:val="single" w:sz="4" w:space="0" w:color="auto"/>
              <w:bottom w:val="nil"/>
              <w:right w:val="single" w:sz="4" w:space="0" w:color="auto"/>
            </w:tcBorders>
            <w:shd w:val="clear" w:color="auto" w:fill="auto"/>
            <w:vAlign w:val="center"/>
            <w:hideMark/>
          </w:tcPr>
          <w:p w14:paraId="3213C887" w14:textId="648015F1" w:rsidR="00DC3599" w:rsidRPr="00005453" w:rsidRDefault="00DC3599" w:rsidP="00DC3599">
            <w:pPr>
              <w:jc w:val="right"/>
              <w:rPr>
                <w:sz w:val="14"/>
                <w:szCs w:val="14"/>
                <w:lang w:eastAsia="tr-TR"/>
              </w:rPr>
            </w:pPr>
            <w:r w:rsidRPr="00E41120">
              <w:rPr>
                <w:bCs/>
                <w:sz w:val="14"/>
                <w:szCs w:val="14"/>
              </w:rPr>
              <w:t>149,380,666</w:t>
            </w:r>
          </w:p>
        </w:tc>
      </w:tr>
      <w:tr w:rsidR="00DC3599" w:rsidRPr="00005453" w14:paraId="589FBE1A"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1CE4DA0" w14:textId="77777777" w:rsidR="00DC3599" w:rsidRPr="00005453" w:rsidRDefault="00DC3599" w:rsidP="00DC3599">
            <w:pPr>
              <w:rPr>
                <w:color w:val="000000"/>
                <w:sz w:val="14"/>
                <w:szCs w:val="14"/>
                <w:lang w:eastAsia="tr-TR"/>
              </w:rPr>
            </w:pPr>
            <w:r w:rsidRPr="00005453">
              <w:rPr>
                <w:color w:val="000000"/>
                <w:sz w:val="14"/>
                <w:szCs w:val="14"/>
                <w:lang w:eastAsia="tr-TR"/>
              </w:rPr>
              <w:t>3.2.1</w:t>
            </w:r>
          </w:p>
        </w:tc>
        <w:tc>
          <w:tcPr>
            <w:tcW w:w="3138" w:type="dxa"/>
            <w:tcBorders>
              <w:top w:val="nil"/>
              <w:left w:val="single" w:sz="4" w:space="0" w:color="auto"/>
              <w:bottom w:val="nil"/>
              <w:right w:val="single" w:sz="4" w:space="0" w:color="auto"/>
            </w:tcBorders>
            <w:shd w:val="clear" w:color="auto" w:fill="auto"/>
            <w:noWrap/>
            <w:hideMark/>
          </w:tcPr>
          <w:p w14:paraId="62849F68" w14:textId="77777777" w:rsidR="00DC3599" w:rsidRPr="00005453" w:rsidRDefault="00DC3599" w:rsidP="00DC3599">
            <w:pPr>
              <w:rPr>
                <w:color w:val="000000"/>
                <w:sz w:val="14"/>
                <w:szCs w:val="14"/>
                <w:lang w:eastAsia="tr-TR"/>
              </w:rPr>
            </w:pPr>
            <w:r w:rsidRPr="00005453">
              <w:rPr>
                <w:color w:val="000000"/>
                <w:sz w:val="14"/>
                <w:szCs w:val="14"/>
                <w:lang w:eastAsia="tr-TR"/>
              </w:rPr>
              <w:t>Vadeli Alım-Satım İşlemleri</w:t>
            </w:r>
          </w:p>
        </w:tc>
        <w:tc>
          <w:tcPr>
            <w:tcW w:w="585" w:type="dxa"/>
            <w:tcBorders>
              <w:top w:val="nil"/>
              <w:left w:val="single" w:sz="4" w:space="0" w:color="auto"/>
              <w:bottom w:val="nil"/>
              <w:right w:val="single" w:sz="4" w:space="0" w:color="auto"/>
            </w:tcBorders>
            <w:shd w:val="clear" w:color="auto" w:fill="auto"/>
            <w:hideMark/>
          </w:tcPr>
          <w:p w14:paraId="14E4400A"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3796F4A" w14:textId="14C7225C" w:rsidR="00DC3599" w:rsidRPr="00005453" w:rsidRDefault="00DC3599" w:rsidP="00DC3599">
            <w:pPr>
              <w:jc w:val="right"/>
              <w:rPr>
                <w:bCs/>
                <w:sz w:val="14"/>
                <w:szCs w:val="14"/>
              </w:rPr>
            </w:pPr>
            <w:r w:rsidRPr="00005453">
              <w:rPr>
                <w:sz w:val="14"/>
                <w:szCs w:val="18"/>
              </w:rPr>
              <w:t>7,499,657</w:t>
            </w:r>
          </w:p>
        </w:tc>
        <w:tc>
          <w:tcPr>
            <w:tcW w:w="992" w:type="dxa"/>
            <w:tcBorders>
              <w:top w:val="nil"/>
              <w:left w:val="single" w:sz="4" w:space="0" w:color="auto"/>
              <w:bottom w:val="nil"/>
              <w:right w:val="single" w:sz="4" w:space="0" w:color="auto"/>
            </w:tcBorders>
            <w:shd w:val="clear" w:color="auto" w:fill="auto"/>
            <w:vAlign w:val="center"/>
            <w:hideMark/>
          </w:tcPr>
          <w:p w14:paraId="34AF3171" w14:textId="18365E5D" w:rsidR="00DC3599" w:rsidRPr="00005453" w:rsidRDefault="00DC3599" w:rsidP="00DC3599">
            <w:pPr>
              <w:jc w:val="right"/>
              <w:rPr>
                <w:bCs/>
                <w:sz w:val="14"/>
                <w:szCs w:val="14"/>
              </w:rPr>
            </w:pPr>
            <w:r w:rsidRPr="00005453">
              <w:rPr>
                <w:sz w:val="14"/>
                <w:szCs w:val="18"/>
              </w:rPr>
              <w:t>11,975,720</w:t>
            </w:r>
          </w:p>
        </w:tc>
        <w:tc>
          <w:tcPr>
            <w:tcW w:w="1015" w:type="dxa"/>
            <w:tcBorders>
              <w:top w:val="nil"/>
              <w:left w:val="single" w:sz="4" w:space="0" w:color="auto"/>
              <w:bottom w:val="nil"/>
              <w:right w:val="single" w:sz="4" w:space="0" w:color="auto"/>
            </w:tcBorders>
            <w:shd w:val="clear" w:color="auto" w:fill="auto"/>
            <w:vAlign w:val="center"/>
            <w:hideMark/>
          </w:tcPr>
          <w:p w14:paraId="4008816F" w14:textId="304B1E2B" w:rsidR="00DC3599" w:rsidRPr="00005453" w:rsidRDefault="00DC3599" w:rsidP="00DC3599">
            <w:pPr>
              <w:jc w:val="right"/>
              <w:rPr>
                <w:bCs/>
                <w:sz w:val="14"/>
                <w:szCs w:val="14"/>
              </w:rPr>
            </w:pPr>
            <w:r w:rsidRPr="00005453">
              <w:rPr>
                <w:sz w:val="14"/>
                <w:szCs w:val="18"/>
              </w:rPr>
              <w:t>19,475,377</w:t>
            </w:r>
          </w:p>
        </w:tc>
        <w:tc>
          <w:tcPr>
            <w:tcW w:w="992" w:type="dxa"/>
            <w:tcBorders>
              <w:top w:val="nil"/>
              <w:left w:val="single" w:sz="4" w:space="0" w:color="auto"/>
              <w:bottom w:val="nil"/>
              <w:right w:val="single" w:sz="4" w:space="0" w:color="auto"/>
            </w:tcBorders>
            <w:shd w:val="clear" w:color="auto" w:fill="auto"/>
            <w:vAlign w:val="center"/>
            <w:hideMark/>
          </w:tcPr>
          <w:p w14:paraId="215A60CF" w14:textId="66B4A290" w:rsidR="00DC3599" w:rsidRPr="00005453" w:rsidRDefault="00DC3599" w:rsidP="00DC3599">
            <w:pPr>
              <w:jc w:val="right"/>
              <w:rPr>
                <w:sz w:val="14"/>
                <w:szCs w:val="14"/>
                <w:lang w:eastAsia="tr-TR"/>
              </w:rPr>
            </w:pPr>
            <w:r w:rsidRPr="00E41120">
              <w:rPr>
                <w:bCs/>
                <w:sz w:val="14"/>
                <w:szCs w:val="14"/>
              </w:rPr>
              <w:t>3,814,368</w:t>
            </w:r>
          </w:p>
        </w:tc>
        <w:tc>
          <w:tcPr>
            <w:tcW w:w="945" w:type="dxa"/>
            <w:tcBorders>
              <w:top w:val="nil"/>
              <w:left w:val="single" w:sz="4" w:space="0" w:color="auto"/>
              <w:bottom w:val="nil"/>
              <w:right w:val="single" w:sz="4" w:space="0" w:color="auto"/>
            </w:tcBorders>
            <w:shd w:val="clear" w:color="auto" w:fill="auto"/>
            <w:vAlign w:val="center"/>
            <w:hideMark/>
          </w:tcPr>
          <w:p w14:paraId="2340A4BE" w14:textId="73862D1C" w:rsidR="00DC3599" w:rsidRPr="00005453" w:rsidRDefault="00DC3599" w:rsidP="00DC3599">
            <w:pPr>
              <w:jc w:val="right"/>
              <w:rPr>
                <w:sz w:val="14"/>
                <w:szCs w:val="14"/>
                <w:lang w:eastAsia="tr-TR"/>
              </w:rPr>
            </w:pPr>
            <w:r w:rsidRPr="00E41120">
              <w:rPr>
                <w:bCs/>
                <w:sz w:val="14"/>
                <w:szCs w:val="14"/>
              </w:rPr>
              <w:t>9,338,242</w:t>
            </w:r>
          </w:p>
        </w:tc>
        <w:tc>
          <w:tcPr>
            <w:tcW w:w="1039" w:type="dxa"/>
            <w:tcBorders>
              <w:top w:val="nil"/>
              <w:left w:val="single" w:sz="4" w:space="0" w:color="auto"/>
              <w:bottom w:val="nil"/>
              <w:right w:val="single" w:sz="4" w:space="0" w:color="auto"/>
            </w:tcBorders>
            <w:shd w:val="clear" w:color="auto" w:fill="auto"/>
            <w:vAlign w:val="center"/>
            <w:hideMark/>
          </w:tcPr>
          <w:p w14:paraId="01FCC1B4" w14:textId="515C1606" w:rsidR="00DC3599" w:rsidRPr="00005453" w:rsidRDefault="00DC3599" w:rsidP="00DC3599">
            <w:pPr>
              <w:jc w:val="right"/>
              <w:rPr>
                <w:sz w:val="14"/>
                <w:szCs w:val="14"/>
                <w:lang w:eastAsia="tr-TR"/>
              </w:rPr>
            </w:pPr>
            <w:r w:rsidRPr="00E41120">
              <w:rPr>
                <w:bCs/>
                <w:sz w:val="14"/>
                <w:szCs w:val="14"/>
              </w:rPr>
              <w:t>13,152,610</w:t>
            </w:r>
          </w:p>
        </w:tc>
      </w:tr>
      <w:tr w:rsidR="00DC3599" w:rsidRPr="00005453" w14:paraId="3E0815A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34CCFA1" w14:textId="77777777" w:rsidR="00DC3599" w:rsidRPr="00005453" w:rsidRDefault="00DC3599" w:rsidP="00DC3599">
            <w:pPr>
              <w:rPr>
                <w:color w:val="000000"/>
                <w:sz w:val="14"/>
                <w:szCs w:val="14"/>
                <w:lang w:eastAsia="tr-TR"/>
              </w:rPr>
            </w:pPr>
            <w:r w:rsidRPr="00005453">
              <w:rPr>
                <w:color w:val="000000"/>
                <w:sz w:val="14"/>
                <w:szCs w:val="14"/>
                <w:lang w:eastAsia="tr-TR"/>
              </w:rPr>
              <w:t>3.2.1.1</w:t>
            </w:r>
          </w:p>
        </w:tc>
        <w:tc>
          <w:tcPr>
            <w:tcW w:w="3138" w:type="dxa"/>
            <w:tcBorders>
              <w:top w:val="nil"/>
              <w:left w:val="single" w:sz="4" w:space="0" w:color="auto"/>
              <w:bottom w:val="nil"/>
              <w:right w:val="single" w:sz="4" w:space="0" w:color="auto"/>
            </w:tcBorders>
            <w:shd w:val="clear" w:color="auto" w:fill="auto"/>
            <w:noWrap/>
            <w:hideMark/>
          </w:tcPr>
          <w:p w14:paraId="34C61859" w14:textId="77777777" w:rsidR="00DC3599" w:rsidRPr="00005453" w:rsidRDefault="00DC3599" w:rsidP="00DC3599">
            <w:pPr>
              <w:rPr>
                <w:color w:val="000000"/>
                <w:sz w:val="14"/>
                <w:szCs w:val="14"/>
                <w:lang w:eastAsia="tr-TR"/>
              </w:rPr>
            </w:pPr>
            <w:r w:rsidRPr="00005453">
              <w:rPr>
                <w:color w:val="000000"/>
                <w:sz w:val="14"/>
                <w:szCs w:val="14"/>
                <w:lang w:eastAsia="tr-TR"/>
              </w:rPr>
              <w:t>Vadeli Döviz Alım İşlemleri</w:t>
            </w:r>
          </w:p>
        </w:tc>
        <w:tc>
          <w:tcPr>
            <w:tcW w:w="585" w:type="dxa"/>
            <w:tcBorders>
              <w:top w:val="nil"/>
              <w:left w:val="single" w:sz="4" w:space="0" w:color="auto"/>
              <w:bottom w:val="nil"/>
              <w:right w:val="single" w:sz="4" w:space="0" w:color="auto"/>
            </w:tcBorders>
            <w:shd w:val="clear" w:color="auto" w:fill="auto"/>
            <w:hideMark/>
          </w:tcPr>
          <w:p w14:paraId="2EA0E567"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D8D6D71" w14:textId="0E3B665F" w:rsidR="00DC3599" w:rsidRPr="00005453" w:rsidRDefault="00DC3599" w:rsidP="00DC3599">
            <w:pPr>
              <w:jc w:val="right"/>
              <w:rPr>
                <w:bCs/>
                <w:sz w:val="14"/>
                <w:szCs w:val="14"/>
              </w:rPr>
            </w:pPr>
            <w:r w:rsidRPr="00005453">
              <w:rPr>
                <w:sz w:val="14"/>
                <w:szCs w:val="18"/>
              </w:rPr>
              <w:t>4,305,649</w:t>
            </w:r>
          </w:p>
        </w:tc>
        <w:tc>
          <w:tcPr>
            <w:tcW w:w="992" w:type="dxa"/>
            <w:tcBorders>
              <w:top w:val="nil"/>
              <w:left w:val="single" w:sz="4" w:space="0" w:color="auto"/>
              <w:bottom w:val="nil"/>
              <w:right w:val="single" w:sz="4" w:space="0" w:color="auto"/>
            </w:tcBorders>
            <w:shd w:val="clear" w:color="auto" w:fill="auto"/>
            <w:vAlign w:val="center"/>
            <w:hideMark/>
          </w:tcPr>
          <w:p w14:paraId="65AC7DC3" w14:textId="17ED3BFA" w:rsidR="00DC3599" w:rsidRPr="00005453" w:rsidRDefault="00DC3599" w:rsidP="00DC3599">
            <w:pPr>
              <w:jc w:val="right"/>
              <w:rPr>
                <w:bCs/>
                <w:sz w:val="14"/>
                <w:szCs w:val="14"/>
              </w:rPr>
            </w:pPr>
            <w:r w:rsidRPr="00005453">
              <w:rPr>
                <w:sz w:val="14"/>
                <w:szCs w:val="18"/>
              </w:rPr>
              <w:t>5,511,268</w:t>
            </w:r>
          </w:p>
        </w:tc>
        <w:tc>
          <w:tcPr>
            <w:tcW w:w="1015" w:type="dxa"/>
            <w:tcBorders>
              <w:top w:val="nil"/>
              <w:left w:val="single" w:sz="4" w:space="0" w:color="auto"/>
              <w:bottom w:val="nil"/>
              <w:right w:val="single" w:sz="4" w:space="0" w:color="auto"/>
            </w:tcBorders>
            <w:shd w:val="clear" w:color="auto" w:fill="auto"/>
            <w:vAlign w:val="center"/>
            <w:hideMark/>
          </w:tcPr>
          <w:p w14:paraId="25618978" w14:textId="62DB3935" w:rsidR="00DC3599" w:rsidRPr="00005453" w:rsidRDefault="00DC3599" w:rsidP="00DC3599">
            <w:pPr>
              <w:jc w:val="right"/>
              <w:rPr>
                <w:bCs/>
                <w:sz w:val="14"/>
                <w:szCs w:val="14"/>
              </w:rPr>
            </w:pPr>
            <w:r w:rsidRPr="00005453">
              <w:rPr>
                <w:sz w:val="14"/>
                <w:szCs w:val="18"/>
              </w:rPr>
              <w:t>9,816,917</w:t>
            </w:r>
          </w:p>
        </w:tc>
        <w:tc>
          <w:tcPr>
            <w:tcW w:w="992" w:type="dxa"/>
            <w:tcBorders>
              <w:top w:val="nil"/>
              <w:left w:val="single" w:sz="4" w:space="0" w:color="auto"/>
              <w:bottom w:val="nil"/>
              <w:right w:val="single" w:sz="4" w:space="0" w:color="auto"/>
            </w:tcBorders>
            <w:shd w:val="clear" w:color="auto" w:fill="auto"/>
            <w:vAlign w:val="center"/>
            <w:hideMark/>
          </w:tcPr>
          <w:p w14:paraId="29E37C17" w14:textId="3FA1E84D" w:rsidR="00DC3599" w:rsidRPr="00005453" w:rsidRDefault="00DC3599" w:rsidP="00DC3599">
            <w:pPr>
              <w:jc w:val="right"/>
              <w:rPr>
                <w:sz w:val="14"/>
                <w:szCs w:val="14"/>
                <w:lang w:eastAsia="tr-TR"/>
              </w:rPr>
            </w:pPr>
            <w:r w:rsidRPr="00E41120">
              <w:rPr>
                <w:bCs/>
                <w:sz w:val="14"/>
                <w:szCs w:val="14"/>
              </w:rPr>
              <w:t>2,534,340</w:t>
            </w:r>
          </w:p>
        </w:tc>
        <w:tc>
          <w:tcPr>
            <w:tcW w:w="945" w:type="dxa"/>
            <w:tcBorders>
              <w:top w:val="nil"/>
              <w:left w:val="single" w:sz="4" w:space="0" w:color="auto"/>
              <w:bottom w:val="nil"/>
              <w:right w:val="single" w:sz="4" w:space="0" w:color="auto"/>
            </w:tcBorders>
            <w:shd w:val="clear" w:color="auto" w:fill="auto"/>
            <w:vAlign w:val="center"/>
            <w:hideMark/>
          </w:tcPr>
          <w:p w14:paraId="171C3A60" w14:textId="27DC1F57" w:rsidR="00DC3599" w:rsidRPr="00005453" w:rsidRDefault="00DC3599" w:rsidP="00DC3599">
            <w:pPr>
              <w:jc w:val="right"/>
              <w:rPr>
                <w:sz w:val="14"/>
                <w:szCs w:val="14"/>
                <w:lang w:eastAsia="tr-TR"/>
              </w:rPr>
            </w:pPr>
            <w:r w:rsidRPr="00E41120">
              <w:rPr>
                <w:bCs/>
                <w:sz w:val="14"/>
                <w:szCs w:val="14"/>
              </w:rPr>
              <w:t>4,143,482</w:t>
            </w:r>
          </w:p>
        </w:tc>
        <w:tc>
          <w:tcPr>
            <w:tcW w:w="1039" w:type="dxa"/>
            <w:tcBorders>
              <w:top w:val="nil"/>
              <w:left w:val="single" w:sz="4" w:space="0" w:color="auto"/>
              <w:bottom w:val="nil"/>
              <w:right w:val="single" w:sz="4" w:space="0" w:color="auto"/>
            </w:tcBorders>
            <w:shd w:val="clear" w:color="auto" w:fill="auto"/>
            <w:vAlign w:val="center"/>
            <w:hideMark/>
          </w:tcPr>
          <w:p w14:paraId="30F83B4F" w14:textId="387091CC" w:rsidR="00DC3599" w:rsidRPr="00005453" w:rsidRDefault="00DC3599" w:rsidP="00DC3599">
            <w:pPr>
              <w:jc w:val="right"/>
              <w:rPr>
                <w:sz w:val="14"/>
                <w:szCs w:val="14"/>
                <w:lang w:eastAsia="tr-TR"/>
              </w:rPr>
            </w:pPr>
            <w:r w:rsidRPr="00E41120">
              <w:rPr>
                <w:bCs/>
                <w:sz w:val="14"/>
                <w:szCs w:val="14"/>
              </w:rPr>
              <w:t>6,677,822</w:t>
            </w:r>
          </w:p>
        </w:tc>
      </w:tr>
      <w:tr w:rsidR="00DC3599" w:rsidRPr="00005453" w14:paraId="2D5E53A1"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73353E0" w14:textId="77777777" w:rsidR="00DC3599" w:rsidRPr="00005453" w:rsidRDefault="00DC3599" w:rsidP="00DC3599">
            <w:pPr>
              <w:rPr>
                <w:color w:val="000000"/>
                <w:sz w:val="14"/>
                <w:szCs w:val="14"/>
                <w:lang w:eastAsia="tr-TR"/>
              </w:rPr>
            </w:pPr>
            <w:r w:rsidRPr="00005453">
              <w:rPr>
                <w:color w:val="000000"/>
                <w:sz w:val="14"/>
                <w:szCs w:val="14"/>
                <w:lang w:eastAsia="tr-TR"/>
              </w:rPr>
              <w:t>3.2.1.2</w:t>
            </w:r>
          </w:p>
        </w:tc>
        <w:tc>
          <w:tcPr>
            <w:tcW w:w="3138" w:type="dxa"/>
            <w:tcBorders>
              <w:top w:val="nil"/>
              <w:left w:val="single" w:sz="4" w:space="0" w:color="auto"/>
              <w:bottom w:val="nil"/>
              <w:right w:val="single" w:sz="4" w:space="0" w:color="auto"/>
            </w:tcBorders>
            <w:shd w:val="clear" w:color="auto" w:fill="auto"/>
            <w:noWrap/>
            <w:hideMark/>
          </w:tcPr>
          <w:p w14:paraId="672598A8" w14:textId="77777777" w:rsidR="00DC3599" w:rsidRPr="00005453" w:rsidRDefault="00DC3599" w:rsidP="00DC3599">
            <w:pPr>
              <w:rPr>
                <w:color w:val="000000"/>
                <w:sz w:val="14"/>
                <w:szCs w:val="14"/>
                <w:lang w:eastAsia="tr-TR"/>
              </w:rPr>
            </w:pPr>
            <w:r w:rsidRPr="00005453">
              <w:rPr>
                <w:color w:val="000000"/>
                <w:sz w:val="14"/>
                <w:szCs w:val="14"/>
                <w:lang w:eastAsia="tr-TR"/>
              </w:rPr>
              <w:t>Vadeli Döviz Satım İşlemleri</w:t>
            </w:r>
          </w:p>
        </w:tc>
        <w:tc>
          <w:tcPr>
            <w:tcW w:w="585" w:type="dxa"/>
            <w:tcBorders>
              <w:top w:val="nil"/>
              <w:left w:val="single" w:sz="4" w:space="0" w:color="auto"/>
              <w:bottom w:val="nil"/>
              <w:right w:val="single" w:sz="4" w:space="0" w:color="auto"/>
            </w:tcBorders>
            <w:shd w:val="clear" w:color="auto" w:fill="auto"/>
            <w:hideMark/>
          </w:tcPr>
          <w:p w14:paraId="285E4E88"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4F787A8" w14:textId="0A9B0BDB" w:rsidR="00DC3599" w:rsidRPr="00005453" w:rsidRDefault="00DC3599" w:rsidP="00DC3599">
            <w:pPr>
              <w:jc w:val="right"/>
              <w:rPr>
                <w:bCs/>
                <w:sz w:val="14"/>
                <w:szCs w:val="14"/>
              </w:rPr>
            </w:pPr>
            <w:r w:rsidRPr="00005453">
              <w:rPr>
                <w:sz w:val="14"/>
                <w:szCs w:val="18"/>
              </w:rPr>
              <w:t>3,194,008</w:t>
            </w:r>
          </w:p>
        </w:tc>
        <w:tc>
          <w:tcPr>
            <w:tcW w:w="992" w:type="dxa"/>
            <w:tcBorders>
              <w:top w:val="nil"/>
              <w:left w:val="single" w:sz="4" w:space="0" w:color="auto"/>
              <w:bottom w:val="nil"/>
              <w:right w:val="single" w:sz="4" w:space="0" w:color="auto"/>
            </w:tcBorders>
            <w:shd w:val="clear" w:color="auto" w:fill="auto"/>
            <w:vAlign w:val="center"/>
            <w:hideMark/>
          </w:tcPr>
          <w:p w14:paraId="671C001C" w14:textId="3DCB2C73" w:rsidR="00DC3599" w:rsidRPr="00005453" w:rsidRDefault="00DC3599" w:rsidP="00DC3599">
            <w:pPr>
              <w:jc w:val="right"/>
              <w:rPr>
                <w:bCs/>
                <w:sz w:val="14"/>
                <w:szCs w:val="14"/>
              </w:rPr>
            </w:pPr>
            <w:r w:rsidRPr="00005453">
              <w:rPr>
                <w:sz w:val="14"/>
                <w:szCs w:val="18"/>
              </w:rPr>
              <w:t>6,464,452</w:t>
            </w:r>
          </w:p>
        </w:tc>
        <w:tc>
          <w:tcPr>
            <w:tcW w:w="1015" w:type="dxa"/>
            <w:tcBorders>
              <w:top w:val="nil"/>
              <w:left w:val="single" w:sz="4" w:space="0" w:color="auto"/>
              <w:bottom w:val="nil"/>
              <w:right w:val="single" w:sz="4" w:space="0" w:color="auto"/>
            </w:tcBorders>
            <w:shd w:val="clear" w:color="auto" w:fill="auto"/>
            <w:vAlign w:val="center"/>
            <w:hideMark/>
          </w:tcPr>
          <w:p w14:paraId="383D2856" w14:textId="420F84A4" w:rsidR="00DC3599" w:rsidRPr="00005453" w:rsidRDefault="00DC3599" w:rsidP="00DC3599">
            <w:pPr>
              <w:jc w:val="right"/>
              <w:rPr>
                <w:bCs/>
                <w:sz w:val="14"/>
                <w:szCs w:val="14"/>
              </w:rPr>
            </w:pPr>
            <w:r w:rsidRPr="00005453">
              <w:rPr>
                <w:sz w:val="14"/>
                <w:szCs w:val="18"/>
              </w:rPr>
              <w:t>9,658,460</w:t>
            </w:r>
          </w:p>
        </w:tc>
        <w:tc>
          <w:tcPr>
            <w:tcW w:w="992" w:type="dxa"/>
            <w:tcBorders>
              <w:top w:val="nil"/>
              <w:left w:val="single" w:sz="4" w:space="0" w:color="auto"/>
              <w:bottom w:val="nil"/>
              <w:right w:val="single" w:sz="4" w:space="0" w:color="auto"/>
            </w:tcBorders>
            <w:shd w:val="clear" w:color="auto" w:fill="auto"/>
            <w:vAlign w:val="center"/>
            <w:hideMark/>
          </w:tcPr>
          <w:p w14:paraId="1D412FE1" w14:textId="05567ED1" w:rsidR="00DC3599" w:rsidRPr="00005453" w:rsidRDefault="00DC3599" w:rsidP="00DC3599">
            <w:pPr>
              <w:jc w:val="right"/>
              <w:rPr>
                <w:sz w:val="14"/>
                <w:szCs w:val="14"/>
                <w:lang w:eastAsia="tr-TR"/>
              </w:rPr>
            </w:pPr>
            <w:r w:rsidRPr="00E41120">
              <w:rPr>
                <w:bCs/>
                <w:sz w:val="14"/>
                <w:szCs w:val="14"/>
              </w:rPr>
              <w:t>1,280,028</w:t>
            </w:r>
          </w:p>
        </w:tc>
        <w:tc>
          <w:tcPr>
            <w:tcW w:w="945" w:type="dxa"/>
            <w:tcBorders>
              <w:top w:val="nil"/>
              <w:left w:val="single" w:sz="4" w:space="0" w:color="auto"/>
              <w:bottom w:val="nil"/>
              <w:right w:val="single" w:sz="4" w:space="0" w:color="auto"/>
            </w:tcBorders>
            <w:shd w:val="clear" w:color="auto" w:fill="auto"/>
            <w:vAlign w:val="center"/>
            <w:hideMark/>
          </w:tcPr>
          <w:p w14:paraId="68D68CE6" w14:textId="10D83F51" w:rsidR="00DC3599" w:rsidRPr="00005453" w:rsidRDefault="00DC3599" w:rsidP="00DC3599">
            <w:pPr>
              <w:jc w:val="right"/>
              <w:rPr>
                <w:sz w:val="14"/>
                <w:szCs w:val="14"/>
                <w:lang w:eastAsia="tr-TR"/>
              </w:rPr>
            </w:pPr>
            <w:r w:rsidRPr="00E41120">
              <w:rPr>
                <w:bCs/>
                <w:sz w:val="14"/>
                <w:szCs w:val="14"/>
              </w:rPr>
              <w:t>5,194,760</w:t>
            </w:r>
          </w:p>
        </w:tc>
        <w:tc>
          <w:tcPr>
            <w:tcW w:w="1039" w:type="dxa"/>
            <w:tcBorders>
              <w:top w:val="nil"/>
              <w:left w:val="single" w:sz="4" w:space="0" w:color="auto"/>
              <w:bottom w:val="nil"/>
              <w:right w:val="single" w:sz="4" w:space="0" w:color="auto"/>
            </w:tcBorders>
            <w:shd w:val="clear" w:color="auto" w:fill="auto"/>
            <w:vAlign w:val="center"/>
            <w:hideMark/>
          </w:tcPr>
          <w:p w14:paraId="09E83C4F" w14:textId="063F8DD5" w:rsidR="00DC3599" w:rsidRPr="00005453" w:rsidRDefault="00DC3599" w:rsidP="00DC3599">
            <w:pPr>
              <w:jc w:val="right"/>
              <w:rPr>
                <w:sz w:val="14"/>
                <w:szCs w:val="14"/>
                <w:lang w:eastAsia="tr-TR"/>
              </w:rPr>
            </w:pPr>
            <w:r w:rsidRPr="00E41120">
              <w:rPr>
                <w:bCs/>
                <w:sz w:val="14"/>
                <w:szCs w:val="14"/>
              </w:rPr>
              <w:t>6,474,788</w:t>
            </w:r>
          </w:p>
        </w:tc>
      </w:tr>
      <w:tr w:rsidR="00DC3599" w:rsidRPr="00005453" w14:paraId="25079F17"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6BB126B" w14:textId="77777777" w:rsidR="00DC3599" w:rsidRPr="00005453" w:rsidRDefault="00DC3599" w:rsidP="00DC3599">
            <w:pPr>
              <w:rPr>
                <w:color w:val="000000"/>
                <w:sz w:val="14"/>
                <w:szCs w:val="14"/>
                <w:lang w:eastAsia="tr-TR"/>
              </w:rPr>
            </w:pPr>
            <w:r w:rsidRPr="00005453">
              <w:rPr>
                <w:color w:val="000000"/>
                <w:sz w:val="14"/>
                <w:szCs w:val="14"/>
                <w:lang w:eastAsia="tr-TR"/>
              </w:rPr>
              <w:t>3.2.2</w:t>
            </w:r>
          </w:p>
        </w:tc>
        <w:tc>
          <w:tcPr>
            <w:tcW w:w="3138" w:type="dxa"/>
            <w:tcBorders>
              <w:top w:val="nil"/>
              <w:left w:val="single" w:sz="4" w:space="0" w:color="auto"/>
              <w:bottom w:val="nil"/>
              <w:right w:val="single" w:sz="4" w:space="0" w:color="auto"/>
            </w:tcBorders>
            <w:shd w:val="clear" w:color="auto" w:fill="auto"/>
            <w:noWrap/>
            <w:hideMark/>
          </w:tcPr>
          <w:p w14:paraId="21BE5EED" w14:textId="77777777" w:rsidR="00DC3599" w:rsidRPr="00005453" w:rsidRDefault="00DC3599" w:rsidP="00DC3599">
            <w:pPr>
              <w:rPr>
                <w:color w:val="000000"/>
                <w:sz w:val="14"/>
                <w:szCs w:val="14"/>
                <w:lang w:eastAsia="tr-TR"/>
              </w:rPr>
            </w:pPr>
            <w:r w:rsidRPr="00005453">
              <w:rPr>
                <w:color w:val="000000"/>
                <w:sz w:val="14"/>
                <w:szCs w:val="14"/>
                <w:lang w:eastAsia="tr-TR"/>
              </w:rPr>
              <w:t>Diğer Vadeli Alım-Satım İşlemleri</w:t>
            </w:r>
          </w:p>
        </w:tc>
        <w:tc>
          <w:tcPr>
            <w:tcW w:w="585" w:type="dxa"/>
            <w:tcBorders>
              <w:top w:val="nil"/>
              <w:left w:val="single" w:sz="4" w:space="0" w:color="auto"/>
              <w:bottom w:val="nil"/>
              <w:right w:val="single" w:sz="4" w:space="0" w:color="auto"/>
            </w:tcBorders>
            <w:shd w:val="clear" w:color="auto" w:fill="auto"/>
            <w:hideMark/>
          </w:tcPr>
          <w:p w14:paraId="1F4C6B96"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1C829E4" w14:textId="56D07D29" w:rsidR="00DC3599" w:rsidRPr="00005453" w:rsidRDefault="00DC3599" w:rsidP="00DC3599">
            <w:pPr>
              <w:jc w:val="right"/>
              <w:rPr>
                <w:bCs/>
                <w:sz w:val="14"/>
                <w:szCs w:val="14"/>
              </w:rPr>
            </w:pPr>
            <w:r w:rsidRPr="00005453">
              <w:rPr>
                <w:sz w:val="14"/>
                <w:szCs w:val="18"/>
              </w:rPr>
              <w:t>75,031,402</w:t>
            </w:r>
          </w:p>
        </w:tc>
        <w:tc>
          <w:tcPr>
            <w:tcW w:w="992" w:type="dxa"/>
            <w:tcBorders>
              <w:top w:val="nil"/>
              <w:left w:val="single" w:sz="4" w:space="0" w:color="auto"/>
              <w:bottom w:val="nil"/>
              <w:right w:val="single" w:sz="4" w:space="0" w:color="auto"/>
            </w:tcBorders>
            <w:shd w:val="clear" w:color="auto" w:fill="auto"/>
            <w:vAlign w:val="center"/>
            <w:hideMark/>
          </w:tcPr>
          <w:p w14:paraId="06FBE5DA" w14:textId="1C2BA40F" w:rsidR="00DC3599" w:rsidRPr="00005453" w:rsidRDefault="00DC3599" w:rsidP="00DC3599">
            <w:pPr>
              <w:jc w:val="right"/>
              <w:rPr>
                <w:bCs/>
                <w:sz w:val="14"/>
                <w:szCs w:val="14"/>
              </w:rPr>
            </w:pPr>
            <w:r w:rsidRPr="00005453">
              <w:rPr>
                <w:sz w:val="14"/>
                <w:szCs w:val="18"/>
              </w:rPr>
              <w:t>236,231,347</w:t>
            </w:r>
          </w:p>
        </w:tc>
        <w:tc>
          <w:tcPr>
            <w:tcW w:w="1015" w:type="dxa"/>
            <w:tcBorders>
              <w:top w:val="nil"/>
              <w:left w:val="single" w:sz="4" w:space="0" w:color="auto"/>
              <w:bottom w:val="nil"/>
              <w:right w:val="single" w:sz="4" w:space="0" w:color="auto"/>
            </w:tcBorders>
            <w:shd w:val="clear" w:color="auto" w:fill="auto"/>
            <w:vAlign w:val="center"/>
            <w:hideMark/>
          </w:tcPr>
          <w:p w14:paraId="08AD7D64" w14:textId="595809FA" w:rsidR="00DC3599" w:rsidRPr="00005453" w:rsidRDefault="00DC3599" w:rsidP="00DC3599">
            <w:pPr>
              <w:jc w:val="right"/>
              <w:rPr>
                <w:bCs/>
                <w:sz w:val="14"/>
                <w:szCs w:val="14"/>
              </w:rPr>
            </w:pPr>
            <w:r w:rsidRPr="00005453">
              <w:rPr>
                <w:sz w:val="14"/>
                <w:szCs w:val="18"/>
              </w:rPr>
              <w:t>311,262,749</w:t>
            </w:r>
          </w:p>
        </w:tc>
        <w:tc>
          <w:tcPr>
            <w:tcW w:w="992" w:type="dxa"/>
            <w:tcBorders>
              <w:top w:val="nil"/>
              <w:left w:val="single" w:sz="4" w:space="0" w:color="auto"/>
              <w:bottom w:val="nil"/>
              <w:right w:val="single" w:sz="4" w:space="0" w:color="auto"/>
            </w:tcBorders>
            <w:shd w:val="clear" w:color="auto" w:fill="auto"/>
            <w:vAlign w:val="center"/>
            <w:hideMark/>
          </w:tcPr>
          <w:p w14:paraId="02B02AB7" w14:textId="204E78CD" w:rsidR="00DC3599" w:rsidRPr="00005453" w:rsidRDefault="00DC3599" w:rsidP="00DC3599">
            <w:pPr>
              <w:jc w:val="right"/>
              <w:rPr>
                <w:sz w:val="14"/>
                <w:szCs w:val="14"/>
                <w:lang w:eastAsia="tr-TR"/>
              </w:rPr>
            </w:pPr>
            <w:r w:rsidRPr="00E41120">
              <w:rPr>
                <w:bCs/>
                <w:sz w:val="14"/>
                <w:szCs w:val="14"/>
              </w:rPr>
              <w:t>28,157,523</w:t>
            </w:r>
          </w:p>
        </w:tc>
        <w:tc>
          <w:tcPr>
            <w:tcW w:w="945" w:type="dxa"/>
            <w:tcBorders>
              <w:top w:val="nil"/>
              <w:left w:val="single" w:sz="4" w:space="0" w:color="auto"/>
              <w:bottom w:val="nil"/>
              <w:right w:val="single" w:sz="4" w:space="0" w:color="auto"/>
            </w:tcBorders>
            <w:shd w:val="clear" w:color="auto" w:fill="auto"/>
            <w:vAlign w:val="center"/>
            <w:hideMark/>
          </w:tcPr>
          <w:p w14:paraId="3B636999" w14:textId="42CAB365" w:rsidR="00DC3599" w:rsidRPr="00005453" w:rsidRDefault="00DC3599" w:rsidP="00DC3599">
            <w:pPr>
              <w:jc w:val="right"/>
              <w:rPr>
                <w:sz w:val="14"/>
                <w:szCs w:val="14"/>
                <w:lang w:eastAsia="tr-TR"/>
              </w:rPr>
            </w:pPr>
            <w:r w:rsidRPr="00E41120">
              <w:rPr>
                <w:bCs/>
                <w:sz w:val="14"/>
                <w:szCs w:val="14"/>
              </w:rPr>
              <w:t>108,070,533</w:t>
            </w:r>
          </w:p>
        </w:tc>
        <w:tc>
          <w:tcPr>
            <w:tcW w:w="1039" w:type="dxa"/>
            <w:tcBorders>
              <w:top w:val="nil"/>
              <w:left w:val="single" w:sz="4" w:space="0" w:color="auto"/>
              <w:bottom w:val="nil"/>
              <w:right w:val="single" w:sz="4" w:space="0" w:color="auto"/>
            </w:tcBorders>
            <w:shd w:val="clear" w:color="auto" w:fill="auto"/>
            <w:vAlign w:val="center"/>
            <w:hideMark/>
          </w:tcPr>
          <w:p w14:paraId="6FD6F87C" w14:textId="3EBF5890" w:rsidR="00DC3599" w:rsidRPr="00005453" w:rsidRDefault="00DC3599" w:rsidP="00DC3599">
            <w:pPr>
              <w:jc w:val="right"/>
              <w:rPr>
                <w:sz w:val="14"/>
                <w:szCs w:val="14"/>
                <w:lang w:eastAsia="tr-TR"/>
              </w:rPr>
            </w:pPr>
            <w:r w:rsidRPr="00E41120">
              <w:rPr>
                <w:bCs/>
                <w:sz w:val="14"/>
                <w:szCs w:val="14"/>
              </w:rPr>
              <w:t>136,228,056</w:t>
            </w:r>
          </w:p>
        </w:tc>
      </w:tr>
      <w:tr w:rsidR="00DC3599" w:rsidRPr="00005453" w14:paraId="4B0BFCE0"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06EFA84" w14:textId="77777777" w:rsidR="00DC3599" w:rsidRPr="00005453" w:rsidRDefault="00DC3599" w:rsidP="00DC3599">
            <w:pPr>
              <w:rPr>
                <w:color w:val="000000"/>
                <w:sz w:val="14"/>
                <w:szCs w:val="14"/>
                <w:lang w:eastAsia="tr-TR"/>
              </w:rPr>
            </w:pPr>
            <w:r w:rsidRPr="00005453">
              <w:rPr>
                <w:color w:val="000000"/>
                <w:sz w:val="14"/>
                <w:szCs w:val="14"/>
                <w:lang w:eastAsia="tr-TR"/>
              </w:rPr>
              <w:t>3.3</w:t>
            </w:r>
          </w:p>
        </w:tc>
        <w:tc>
          <w:tcPr>
            <w:tcW w:w="3138" w:type="dxa"/>
            <w:tcBorders>
              <w:top w:val="nil"/>
              <w:left w:val="single" w:sz="4" w:space="0" w:color="auto"/>
              <w:bottom w:val="nil"/>
              <w:right w:val="single" w:sz="4" w:space="0" w:color="auto"/>
            </w:tcBorders>
            <w:shd w:val="clear" w:color="auto" w:fill="auto"/>
            <w:noWrap/>
            <w:hideMark/>
          </w:tcPr>
          <w:p w14:paraId="2C8D6688" w14:textId="77777777" w:rsidR="00DC3599" w:rsidRPr="00005453" w:rsidRDefault="00DC3599" w:rsidP="00DC3599">
            <w:pPr>
              <w:rPr>
                <w:color w:val="000000"/>
                <w:sz w:val="14"/>
                <w:szCs w:val="14"/>
                <w:lang w:eastAsia="tr-TR"/>
              </w:rPr>
            </w:pPr>
            <w:r w:rsidRPr="00005453">
              <w:rPr>
                <w:color w:val="000000"/>
                <w:sz w:val="14"/>
                <w:szCs w:val="14"/>
                <w:lang w:eastAsia="tr-TR"/>
              </w:rPr>
              <w:t>Diğer</w:t>
            </w:r>
          </w:p>
        </w:tc>
        <w:tc>
          <w:tcPr>
            <w:tcW w:w="585" w:type="dxa"/>
            <w:tcBorders>
              <w:top w:val="nil"/>
              <w:left w:val="single" w:sz="4" w:space="0" w:color="auto"/>
              <w:bottom w:val="nil"/>
              <w:right w:val="single" w:sz="4" w:space="0" w:color="auto"/>
            </w:tcBorders>
            <w:shd w:val="clear" w:color="auto" w:fill="auto"/>
            <w:hideMark/>
          </w:tcPr>
          <w:p w14:paraId="47A33B4F" w14:textId="77777777" w:rsidR="00DC3599" w:rsidRPr="00005453" w:rsidRDefault="00DC3599" w:rsidP="00DC3599">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C271F9D" w14:textId="50E5FC7F"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3F4A2AC" w14:textId="05055EE9"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B119C1E" w14:textId="1582F58B"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D9EF980" w14:textId="433F364A"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6D66BBB" w14:textId="403F74CC"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2AEFC2AC" w14:textId="3F9D4DFD" w:rsidR="00DC3599" w:rsidRPr="00005453" w:rsidRDefault="00DC3599" w:rsidP="00DC3599">
            <w:pPr>
              <w:jc w:val="right"/>
              <w:rPr>
                <w:sz w:val="14"/>
                <w:szCs w:val="14"/>
                <w:lang w:eastAsia="tr-TR"/>
              </w:rPr>
            </w:pPr>
            <w:r w:rsidRPr="00E41120">
              <w:rPr>
                <w:bCs/>
                <w:sz w:val="14"/>
                <w:szCs w:val="14"/>
              </w:rPr>
              <w:t>-</w:t>
            </w:r>
          </w:p>
        </w:tc>
      </w:tr>
      <w:tr w:rsidR="00DC3599" w:rsidRPr="00005453" w14:paraId="6A10FC34"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5F106A7"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B.</w:t>
            </w:r>
          </w:p>
        </w:tc>
        <w:tc>
          <w:tcPr>
            <w:tcW w:w="3138" w:type="dxa"/>
            <w:tcBorders>
              <w:top w:val="nil"/>
              <w:left w:val="single" w:sz="4" w:space="0" w:color="auto"/>
              <w:bottom w:val="nil"/>
              <w:right w:val="single" w:sz="4" w:space="0" w:color="auto"/>
            </w:tcBorders>
            <w:shd w:val="clear" w:color="auto" w:fill="auto"/>
            <w:noWrap/>
            <w:hideMark/>
          </w:tcPr>
          <w:p w14:paraId="2A98F003"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EMANET VE REHİNLİ KIYMETLER (IV+V+VI)</w:t>
            </w:r>
          </w:p>
        </w:tc>
        <w:tc>
          <w:tcPr>
            <w:tcW w:w="585" w:type="dxa"/>
            <w:tcBorders>
              <w:top w:val="nil"/>
              <w:left w:val="single" w:sz="4" w:space="0" w:color="auto"/>
              <w:bottom w:val="nil"/>
              <w:right w:val="single" w:sz="4" w:space="0" w:color="auto"/>
            </w:tcBorders>
            <w:shd w:val="clear" w:color="auto" w:fill="auto"/>
            <w:hideMark/>
          </w:tcPr>
          <w:p w14:paraId="483C7789" w14:textId="77777777" w:rsidR="00DC3599" w:rsidRPr="00005453" w:rsidRDefault="00DC3599" w:rsidP="00DC3599">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2C29172" w14:textId="4CF29794" w:rsidR="00DC3599" w:rsidRPr="00005453" w:rsidRDefault="00DC3599" w:rsidP="00DC3599">
            <w:pPr>
              <w:jc w:val="right"/>
              <w:rPr>
                <w:b/>
                <w:bCs/>
                <w:sz w:val="14"/>
                <w:szCs w:val="14"/>
              </w:rPr>
            </w:pPr>
            <w:r w:rsidRPr="00005453">
              <w:rPr>
                <w:b/>
                <w:bCs/>
                <w:sz w:val="14"/>
                <w:szCs w:val="18"/>
              </w:rPr>
              <w:t>4,152,268,333</w:t>
            </w:r>
          </w:p>
        </w:tc>
        <w:tc>
          <w:tcPr>
            <w:tcW w:w="992" w:type="dxa"/>
            <w:tcBorders>
              <w:top w:val="nil"/>
              <w:left w:val="single" w:sz="4" w:space="0" w:color="auto"/>
              <w:bottom w:val="nil"/>
              <w:right w:val="single" w:sz="4" w:space="0" w:color="auto"/>
            </w:tcBorders>
            <w:shd w:val="clear" w:color="auto" w:fill="auto"/>
            <w:vAlign w:val="center"/>
            <w:hideMark/>
          </w:tcPr>
          <w:p w14:paraId="0D52919E" w14:textId="57C6DB60" w:rsidR="00DC3599" w:rsidRPr="00005453" w:rsidRDefault="00DC3599" w:rsidP="00DC3599">
            <w:pPr>
              <w:jc w:val="right"/>
              <w:rPr>
                <w:b/>
                <w:bCs/>
                <w:sz w:val="14"/>
                <w:szCs w:val="14"/>
              </w:rPr>
            </w:pPr>
            <w:r w:rsidRPr="00005453">
              <w:rPr>
                <w:b/>
                <w:bCs/>
                <w:sz w:val="14"/>
                <w:szCs w:val="18"/>
              </w:rPr>
              <w:t>5,573,608,289</w:t>
            </w:r>
          </w:p>
        </w:tc>
        <w:tc>
          <w:tcPr>
            <w:tcW w:w="1015" w:type="dxa"/>
            <w:tcBorders>
              <w:top w:val="nil"/>
              <w:left w:val="single" w:sz="4" w:space="0" w:color="auto"/>
              <w:bottom w:val="nil"/>
              <w:right w:val="single" w:sz="4" w:space="0" w:color="auto"/>
            </w:tcBorders>
            <w:shd w:val="clear" w:color="auto" w:fill="auto"/>
            <w:vAlign w:val="center"/>
            <w:hideMark/>
          </w:tcPr>
          <w:p w14:paraId="33A90DA7" w14:textId="1FCE7142" w:rsidR="00DC3599" w:rsidRPr="00005453" w:rsidRDefault="00DC3599" w:rsidP="00DC3599">
            <w:pPr>
              <w:jc w:val="right"/>
              <w:rPr>
                <w:b/>
                <w:bCs/>
                <w:sz w:val="14"/>
                <w:szCs w:val="14"/>
              </w:rPr>
            </w:pPr>
            <w:r w:rsidRPr="00005453">
              <w:rPr>
                <w:b/>
                <w:bCs/>
                <w:sz w:val="14"/>
                <w:szCs w:val="18"/>
              </w:rPr>
              <w:t>9,725,876,622</w:t>
            </w:r>
          </w:p>
        </w:tc>
        <w:tc>
          <w:tcPr>
            <w:tcW w:w="992" w:type="dxa"/>
            <w:tcBorders>
              <w:top w:val="nil"/>
              <w:left w:val="single" w:sz="4" w:space="0" w:color="auto"/>
              <w:bottom w:val="nil"/>
              <w:right w:val="single" w:sz="4" w:space="0" w:color="auto"/>
            </w:tcBorders>
            <w:shd w:val="clear" w:color="auto" w:fill="auto"/>
            <w:vAlign w:val="center"/>
            <w:hideMark/>
          </w:tcPr>
          <w:p w14:paraId="777D7C6F" w14:textId="0B93B2B0" w:rsidR="00DC3599" w:rsidRPr="00005453" w:rsidRDefault="00DC3599" w:rsidP="00DC3599">
            <w:pPr>
              <w:jc w:val="right"/>
              <w:rPr>
                <w:b/>
                <w:bCs/>
                <w:sz w:val="14"/>
                <w:szCs w:val="14"/>
                <w:lang w:eastAsia="tr-TR"/>
              </w:rPr>
            </w:pPr>
            <w:r w:rsidRPr="00E41120">
              <w:rPr>
                <w:b/>
                <w:bCs/>
                <w:sz w:val="14"/>
                <w:szCs w:val="18"/>
              </w:rPr>
              <w:t>2,450,729,796</w:t>
            </w:r>
          </w:p>
        </w:tc>
        <w:tc>
          <w:tcPr>
            <w:tcW w:w="945" w:type="dxa"/>
            <w:tcBorders>
              <w:top w:val="nil"/>
              <w:left w:val="single" w:sz="4" w:space="0" w:color="auto"/>
              <w:bottom w:val="nil"/>
              <w:right w:val="single" w:sz="4" w:space="0" w:color="auto"/>
            </w:tcBorders>
            <w:shd w:val="clear" w:color="auto" w:fill="auto"/>
            <w:vAlign w:val="center"/>
            <w:hideMark/>
          </w:tcPr>
          <w:p w14:paraId="241B9414" w14:textId="3292F36D" w:rsidR="00DC3599" w:rsidRPr="00005453" w:rsidRDefault="00DC3599" w:rsidP="00DC3599">
            <w:pPr>
              <w:jc w:val="right"/>
              <w:rPr>
                <w:b/>
                <w:bCs/>
                <w:sz w:val="14"/>
                <w:szCs w:val="14"/>
                <w:lang w:eastAsia="tr-TR"/>
              </w:rPr>
            </w:pPr>
            <w:r w:rsidRPr="00E41120">
              <w:rPr>
                <w:b/>
                <w:bCs/>
                <w:sz w:val="14"/>
                <w:szCs w:val="18"/>
              </w:rPr>
              <w:t>2,900,613,677</w:t>
            </w:r>
          </w:p>
        </w:tc>
        <w:tc>
          <w:tcPr>
            <w:tcW w:w="1039" w:type="dxa"/>
            <w:tcBorders>
              <w:top w:val="nil"/>
              <w:left w:val="single" w:sz="4" w:space="0" w:color="auto"/>
              <w:bottom w:val="nil"/>
              <w:right w:val="single" w:sz="4" w:space="0" w:color="auto"/>
            </w:tcBorders>
            <w:shd w:val="clear" w:color="auto" w:fill="auto"/>
            <w:vAlign w:val="center"/>
            <w:hideMark/>
          </w:tcPr>
          <w:p w14:paraId="510C9084" w14:textId="4665DBCB" w:rsidR="00DC3599" w:rsidRPr="00005453" w:rsidRDefault="00DC3599" w:rsidP="00DC3599">
            <w:pPr>
              <w:jc w:val="right"/>
              <w:rPr>
                <w:b/>
                <w:bCs/>
                <w:sz w:val="14"/>
                <w:szCs w:val="14"/>
                <w:lang w:eastAsia="tr-TR"/>
              </w:rPr>
            </w:pPr>
            <w:r w:rsidRPr="00E41120">
              <w:rPr>
                <w:b/>
                <w:bCs/>
                <w:sz w:val="14"/>
                <w:szCs w:val="18"/>
              </w:rPr>
              <w:t>5,351,343,473</w:t>
            </w:r>
          </w:p>
        </w:tc>
      </w:tr>
      <w:tr w:rsidR="00DC3599" w:rsidRPr="00005453" w14:paraId="6CF8D41E"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8A85872"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IV.</w:t>
            </w:r>
          </w:p>
        </w:tc>
        <w:tc>
          <w:tcPr>
            <w:tcW w:w="3138" w:type="dxa"/>
            <w:tcBorders>
              <w:top w:val="nil"/>
              <w:left w:val="single" w:sz="4" w:space="0" w:color="auto"/>
              <w:bottom w:val="nil"/>
              <w:right w:val="single" w:sz="4" w:space="0" w:color="auto"/>
            </w:tcBorders>
            <w:shd w:val="clear" w:color="auto" w:fill="auto"/>
            <w:noWrap/>
            <w:hideMark/>
          </w:tcPr>
          <w:p w14:paraId="5D55C310"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EMANET KIYMETLER</w:t>
            </w:r>
          </w:p>
        </w:tc>
        <w:tc>
          <w:tcPr>
            <w:tcW w:w="585" w:type="dxa"/>
            <w:tcBorders>
              <w:top w:val="nil"/>
              <w:left w:val="single" w:sz="4" w:space="0" w:color="auto"/>
              <w:bottom w:val="nil"/>
              <w:right w:val="single" w:sz="4" w:space="0" w:color="auto"/>
            </w:tcBorders>
            <w:shd w:val="clear" w:color="auto" w:fill="auto"/>
            <w:hideMark/>
          </w:tcPr>
          <w:p w14:paraId="3E2918C0" w14:textId="77777777" w:rsidR="00DC3599" w:rsidRPr="00005453" w:rsidRDefault="00DC3599" w:rsidP="00DC3599">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A752B8" w14:textId="7EDC17D4" w:rsidR="00DC3599" w:rsidRPr="00005453" w:rsidRDefault="00DC3599" w:rsidP="00DC3599">
            <w:pPr>
              <w:jc w:val="right"/>
              <w:rPr>
                <w:b/>
                <w:bCs/>
                <w:sz w:val="14"/>
                <w:szCs w:val="14"/>
              </w:rPr>
            </w:pPr>
            <w:r w:rsidRPr="00005453">
              <w:rPr>
                <w:b/>
                <w:bCs/>
                <w:sz w:val="14"/>
                <w:szCs w:val="18"/>
              </w:rPr>
              <w:t>203,063,073</w:t>
            </w:r>
          </w:p>
        </w:tc>
        <w:tc>
          <w:tcPr>
            <w:tcW w:w="992" w:type="dxa"/>
            <w:tcBorders>
              <w:top w:val="nil"/>
              <w:left w:val="single" w:sz="4" w:space="0" w:color="auto"/>
              <w:bottom w:val="nil"/>
              <w:right w:val="single" w:sz="4" w:space="0" w:color="auto"/>
            </w:tcBorders>
            <w:shd w:val="clear" w:color="auto" w:fill="auto"/>
            <w:vAlign w:val="center"/>
            <w:hideMark/>
          </w:tcPr>
          <w:p w14:paraId="331D35EF" w14:textId="6017F966" w:rsidR="00DC3599" w:rsidRPr="00005453" w:rsidRDefault="00DC3599" w:rsidP="00DC3599">
            <w:pPr>
              <w:jc w:val="right"/>
              <w:rPr>
                <w:b/>
                <w:bCs/>
                <w:sz w:val="14"/>
                <w:szCs w:val="14"/>
              </w:rPr>
            </w:pPr>
            <w:r w:rsidRPr="00005453">
              <w:rPr>
                <w:b/>
                <w:bCs/>
                <w:sz w:val="14"/>
                <w:szCs w:val="18"/>
              </w:rPr>
              <w:t>4,699,808,964</w:t>
            </w:r>
          </w:p>
        </w:tc>
        <w:tc>
          <w:tcPr>
            <w:tcW w:w="1015" w:type="dxa"/>
            <w:tcBorders>
              <w:top w:val="nil"/>
              <w:left w:val="single" w:sz="4" w:space="0" w:color="auto"/>
              <w:bottom w:val="nil"/>
              <w:right w:val="single" w:sz="4" w:space="0" w:color="auto"/>
            </w:tcBorders>
            <w:shd w:val="clear" w:color="auto" w:fill="auto"/>
            <w:vAlign w:val="center"/>
            <w:hideMark/>
          </w:tcPr>
          <w:p w14:paraId="02AAEA8B" w14:textId="0E519B69" w:rsidR="00DC3599" w:rsidRPr="00005453" w:rsidRDefault="00DC3599" w:rsidP="00DC3599">
            <w:pPr>
              <w:jc w:val="right"/>
              <w:rPr>
                <w:b/>
                <w:bCs/>
                <w:sz w:val="14"/>
                <w:szCs w:val="14"/>
              </w:rPr>
            </w:pPr>
            <w:r w:rsidRPr="00005453">
              <w:rPr>
                <w:b/>
                <w:bCs/>
                <w:sz w:val="14"/>
                <w:szCs w:val="18"/>
              </w:rPr>
              <w:t>4,902,872,037</w:t>
            </w:r>
          </w:p>
        </w:tc>
        <w:tc>
          <w:tcPr>
            <w:tcW w:w="992" w:type="dxa"/>
            <w:tcBorders>
              <w:top w:val="nil"/>
              <w:left w:val="single" w:sz="4" w:space="0" w:color="auto"/>
              <w:bottom w:val="nil"/>
              <w:right w:val="single" w:sz="4" w:space="0" w:color="auto"/>
            </w:tcBorders>
            <w:shd w:val="clear" w:color="auto" w:fill="auto"/>
            <w:vAlign w:val="center"/>
            <w:hideMark/>
          </w:tcPr>
          <w:p w14:paraId="71F48C5E" w14:textId="462E343B" w:rsidR="00DC3599" w:rsidRPr="00005453" w:rsidRDefault="00DC3599" w:rsidP="00DC3599">
            <w:pPr>
              <w:jc w:val="right"/>
              <w:rPr>
                <w:b/>
                <w:bCs/>
                <w:sz w:val="14"/>
                <w:szCs w:val="14"/>
                <w:lang w:eastAsia="tr-TR"/>
              </w:rPr>
            </w:pPr>
            <w:r w:rsidRPr="00E41120">
              <w:rPr>
                <w:b/>
                <w:bCs/>
                <w:sz w:val="14"/>
                <w:szCs w:val="18"/>
              </w:rPr>
              <w:t>149,692,755</w:t>
            </w:r>
          </w:p>
        </w:tc>
        <w:tc>
          <w:tcPr>
            <w:tcW w:w="945" w:type="dxa"/>
            <w:tcBorders>
              <w:top w:val="nil"/>
              <w:left w:val="single" w:sz="4" w:space="0" w:color="auto"/>
              <w:bottom w:val="nil"/>
              <w:right w:val="single" w:sz="4" w:space="0" w:color="auto"/>
            </w:tcBorders>
            <w:shd w:val="clear" w:color="auto" w:fill="auto"/>
            <w:vAlign w:val="center"/>
            <w:hideMark/>
          </w:tcPr>
          <w:p w14:paraId="4DB9E2FE" w14:textId="2BAD3E54" w:rsidR="00DC3599" w:rsidRPr="00005453" w:rsidRDefault="00DC3599" w:rsidP="00DC3599">
            <w:pPr>
              <w:jc w:val="right"/>
              <w:rPr>
                <w:b/>
                <w:bCs/>
                <w:sz w:val="14"/>
                <w:szCs w:val="14"/>
                <w:lang w:eastAsia="tr-TR"/>
              </w:rPr>
            </w:pPr>
            <w:r w:rsidRPr="00E41120">
              <w:rPr>
                <w:b/>
                <w:bCs/>
                <w:sz w:val="14"/>
                <w:szCs w:val="18"/>
              </w:rPr>
              <w:t>2,201,236,887</w:t>
            </w:r>
          </w:p>
        </w:tc>
        <w:tc>
          <w:tcPr>
            <w:tcW w:w="1039" w:type="dxa"/>
            <w:tcBorders>
              <w:top w:val="nil"/>
              <w:left w:val="single" w:sz="4" w:space="0" w:color="auto"/>
              <w:bottom w:val="nil"/>
              <w:right w:val="single" w:sz="4" w:space="0" w:color="auto"/>
            </w:tcBorders>
            <w:shd w:val="clear" w:color="auto" w:fill="auto"/>
            <w:vAlign w:val="center"/>
            <w:hideMark/>
          </w:tcPr>
          <w:p w14:paraId="6F4609F4" w14:textId="2CA45FAA" w:rsidR="00DC3599" w:rsidRPr="00005453" w:rsidRDefault="00DC3599" w:rsidP="00DC3599">
            <w:pPr>
              <w:jc w:val="right"/>
              <w:rPr>
                <w:b/>
                <w:bCs/>
                <w:sz w:val="14"/>
                <w:szCs w:val="14"/>
                <w:lang w:eastAsia="tr-TR"/>
              </w:rPr>
            </w:pPr>
            <w:r w:rsidRPr="00E41120">
              <w:rPr>
                <w:b/>
                <w:bCs/>
                <w:sz w:val="14"/>
                <w:szCs w:val="18"/>
              </w:rPr>
              <w:t>2,350,929,642</w:t>
            </w:r>
          </w:p>
        </w:tc>
      </w:tr>
      <w:tr w:rsidR="00DC3599" w:rsidRPr="00005453" w14:paraId="79DF89AB"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20EE741E" w14:textId="77777777" w:rsidR="00DC3599" w:rsidRPr="00005453" w:rsidRDefault="00DC3599" w:rsidP="00DC3599">
            <w:pPr>
              <w:rPr>
                <w:color w:val="000000"/>
                <w:sz w:val="14"/>
                <w:szCs w:val="14"/>
                <w:lang w:eastAsia="tr-TR"/>
              </w:rPr>
            </w:pPr>
            <w:r w:rsidRPr="00005453">
              <w:rPr>
                <w:color w:val="000000"/>
                <w:sz w:val="14"/>
                <w:szCs w:val="14"/>
                <w:lang w:eastAsia="tr-TR"/>
              </w:rPr>
              <w:t>4.1.</w:t>
            </w:r>
          </w:p>
        </w:tc>
        <w:tc>
          <w:tcPr>
            <w:tcW w:w="3138" w:type="dxa"/>
            <w:tcBorders>
              <w:top w:val="nil"/>
              <w:left w:val="single" w:sz="4" w:space="0" w:color="auto"/>
              <w:bottom w:val="nil"/>
              <w:right w:val="single" w:sz="4" w:space="0" w:color="auto"/>
            </w:tcBorders>
            <w:shd w:val="clear" w:color="auto" w:fill="auto"/>
            <w:noWrap/>
            <w:hideMark/>
          </w:tcPr>
          <w:p w14:paraId="76E9680E" w14:textId="77777777" w:rsidR="00DC3599" w:rsidRPr="00005453" w:rsidRDefault="00DC3599" w:rsidP="00DC3599">
            <w:pPr>
              <w:rPr>
                <w:color w:val="000000"/>
                <w:sz w:val="14"/>
                <w:szCs w:val="14"/>
                <w:lang w:eastAsia="tr-TR"/>
              </w:rPr>
            </w:pPr>
            <w:r w:rsidRPr="00005453">
              <w:rPr>
                <w:color w:val="000000"/>
                <w:sz w:val="14"/>
                <w:szCs w:val="14"/>
                <w:lang w:eastAsia="tr-TR"/>
              </w:rPr>
              <w:t>Müşteri Fon ve Portföy Mevcutları</w:t>
            </w:r>
          </w:p>
        </w:tc>
        <w:tc>
          <w:tcPr>
            <w:tcW w:w="585" w:type="dxa"/>
            <w:tcBorders>
              <w:top w:val="nil"/>
              <w:left w:val="single" w:sz="4" w:space="0" w:color="auto"/>
              <w:bottom w:val="nil"/>
              <w:right w:val="single" w:sz="4" w:space="0" w:color="auto"/>
            </w:tcBorders>
            <w:shd w:val="clear" w:color="auto" w:fill="auto"/>
            <w:vAlign w:val="center"/>
            <w:hideMark/>
          </w:tcPr>
          <w:p w14:paraId="7349D406"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257DC98" w14:textId="4F270EE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FB69B25" w14:textId="15EF971B"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0B6AB1E3" w14:textId="312573EF"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73703F8" w14:textId="6F06CF19"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4A004E8" w14:textId="0F9EB8AF"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79E8FA84" w14:textId="7BA03552" w:rsidR="00DC3599" w:rsidRPr="00005453" w:rsidRDefault="00DC3599" w:rsidP="00DC3599">
            <w:pPr>
              <w:jc w:val="right"/>
              <w:rPr>
                <w:sz w:val="14"/>
                <w:szCs w:val="14"/>
                <w:lang w:eastAsia="tr-TR"/>
              </w:rPr>
            </w:pPr>
            <w:r w:rsidRPr="00E41120">
              <w:rPr>
                <w:bCs/>
                <w:sz w:val="14"/>
                <w:szCs w:val="14"/>
              </w:rPr>
              <w:t>-</w:t>
            </w:r>
          </w:p>
        </w:tc>
      </w:tr>
      <w:tr w:rsidR="00DC3599" w:rsidRPr="00005453" w14:paraId="138CCC98"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FB15EBC" w14:textId="77777777" w:rsidR="00DC3599" w:rsidRPr="00005453" w:rsidRDefault="00DC3599" w:rsidP="00DC3599">
            <w:pPr>
              <w:rPr>
                <w:color w:val="000000"/>
                <w:sz w:val="14"/>
                <w:szCs w:val="14"/>
                <w:lang w:eastAsia="tr-TR"/>
              </w:rPr>
            </w:pPr>
            <w:r w:rsidRPr="00005453">
              <w:rPr>
                <w:color w:val="000000"/>
                <w:sz w:val="14"/>
                <w:szCs w:val="14"/>
                <w:lang w:eastAsia="tr-TR"/>
              </w:rPr>
              <w:t>4.2.</w:t>
            </w:r>
          </w:p>
        </w:tc>
        <w:tc>
          <w:tcPr>
            <w:tcW w:w="3138" w:type="dxa"/>
            <w:tcBorders>
              <w:top w:val="nil"/>
              <w:left w:val="single" w:sz="4" w:space="0" w:color="auto"/>
              <w:bottom w:val="nil"/>
              <w:right w:val="single" w:sz="4" w:space="0" w:color="auto"/>
            </w:tcBorders>
            <w:shd w:val="clear" w:color="auto" w:fill="auto"/>
            <w:noWrap/>
            <w:hideMark/>
          </w:tcPr>
          <w:p w14:paraId="228BFE48" w14:textId="77777777" w:rsidR="00DC3599" w:rsidRPr="00005453" w:rsidRDefault="00DC3599" w:rsidP="00DC3599">
            <w:pPr>
              <w:rPr>
                <w:color w:val="000000"/>
                <w:sz w:val="14"/>
                <w:szCs w:val="14"/>
                <w:lang w:eastAsia="tr-TR"/>
              </w:rPr>
            </w:pPr>
            <w:r w:rsidRPr="00005453">
              <w:rPr>
                <w:color w:val="000000"/>
                <w:sz w:val="14"/>
                <w:szCs w:val="14"/>
                <w:lang w:eastAsia="tr-TR"/>
              </w:rPr>
              <w:t>Emanete Alınan Menkul Değerler</w:t>
            </w:r>
          </w:p>
        </w:tc>
        <w:tc>
          <w:tcPr>
            <w:tcW w:w="585" w:type="dxa"/>
            <w:tcBorders>
              <w:top w:val="nil"/>
              <w:left w:val="single" w:sz="4" w:space="0" w:color="auto"/>
              <w:bottom w:val="nil"/>
              <w:right w:val="single" w:sz="4" w:space="0" w:color="auto"/>
            </w:tcBorders>
            <w:shd w:val="clear" w:color="auto" w:fill="auto"/>
            <w:vAlign w:val="center"/>
            <w:hideMark/>
          </w:tcPr>
          <w:p w14:paraId="6FA6DB88"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F40E644" w14:textId="3D10E76F" w:rsidR="00DC3599" w:rsidRPr="00005453" w:rsidRDefault="00DC3599" w:rsidP="00DC3599">
            <w:pPr>
              <w:jc w:val="right"/>
              <w:rPr>
                <w:bCs/>
                <w:sz w:val="14"/>
                <w:szCs w:val="14"/>
              </w:rPr>
            </w:pPr>
            <w:r w:rsidRPr="00005453">
              <w:rPr>
                <w:sz w:val="14"/>
                <w:szCs w:val="18"/>
              </w:rPr>
              <w:t>47,479,628</w:t>
            </w:r>
          </w:p>
        </w:tc>
        <w:tc>
          <w:tcPr>
            <w:tcW w:w="992" w:type="dxa"/>
            <w:tcBorders>
              <w:top w:val="nil"/>
              <w:left w:val="single" w:sz="4" w:space="0" w:color="auto"/>
              <w:bottom w:val="nil"/>
              <w:right w:val="single" w:sz="4" w:space="0" w:color="auto"/>
            </w:tcBorders>
            <w:shd w:val="clear" w:color="auto" w:fill="auto"/>
            <w:vAlign w:val="center"/>
            <w:hideMark/>
          </w:tcPr>
          <w:p w14:paraId="27CEB444" w14:textId="17D6EC67" w:rsidR="00DC3599" w:rsidRPr="00005453" w:rsidRDefault="00DC3599" w:rsidP="00DC3599">
            <w:pPr>
              <w:jc w:val="right"/>
              <w:rPr>
                <w:bCs/>
                <w:sz w:val="14"/>
                <w:szCs w:val="14"/>
              </w:rPr>
            </w:pPr>
            <w:r w:rsidRPr="00005453">
              <w:rPr>
                <w:sz w:val="14"/>
                <w:szCs w:val="18"/>
              </w:rPr>
              <w:t>4,636,308,727</w:t>
            </w:r>
          </w:p>
        </w:tc>
        <w:tc>
          <w:tcPr>
            <w:tcW w:w="1015" w:type="dxa"/>
            <w:tcBorders>
              <w:top w:val="nil"/>
              <w:left w:val="single" w:sz="4" w:space="0" w:color="auto"/>
              <w:bottom w:val="nil"/>
              <w:right w:val="single" w:sz="4" w:space="0" w:color="auto"/>
            </w:tcBorders>
            <w:shd w:val="clear" w:color="auto" w:fill="auto"/>
            <w:vAlign w:val="center"/>
            <w:hideMark/>
          </w:tcPr>
          <w:p w14:paraId="3FE66E65" w14:textId="1B0CB63E" w:rsidR="00DC3599" w:rsidRPr="00005453" w:rsidRDefault="00DC3599" w:rsidP="00DC3599">
            <w:pPr>
              <w:jc w:val="right"/>
              <w:rPr>
                <w:bCs/>
                <w:sz w:val="14"/>
                <w:szCs w:val="14"/>
              </w:rPr>
            </w:pPr>
            <w:r w:rsidRPr="00005453">
              <w:rPr>
                <w:sz w:val="14"/>
                <w:szCs w:val="18"/>
              </w:rPr>
              <w:t>4,683,788,355</w:t>
            </w:r>
          </w:p>
        </w:tc>
        <w:tc>
          <w:tcPr>
            <w:tcW w:w="992" w:type="dxa"/>
            <w:tcBorders>
              <w:top w:val="nil"/>
              <w:left w:val="single" w:sz="4" w:space="0" w:color="auto"/>
              <w:bottom w:val="nil"/>
              <w:right w:val="single" w:sz="4" w:space="0" w:color="auto"/>
            </w:tcBorders>
            <w:shd w:val="clear" w:color="auto" w:fill="auto"/>
            <w:vAlign w:val="center"/>
            <w:hideMark/>
          </w:tcPr>
          <w:p w14:paraId="0625DC6E" w14:textId="1362EF38" w:rsidR="00DC3599" w:rsidRPr="00005453" w:rsidRDefault="00DC3599" w:rsidP="00DC3599">
            <w:pPr>
              <w:jc w:val="right"/>
              <w:rPr>
                <w:sz w:val="14"/>
                <w:szCs w:val="14"/>
                <w:lang w:eastAsia="tr-TR"/>
              </w:rPr>
            </w:pPr>
            <w:r w:rsidRPr="00E41120">
              <w:rPr>
                <w:bCs/>
                <w:sz w:val="14"/>
                <w:szCs w:val="14"/>
              </w:rPr>
              <w:t>19,584,500</w:t>
            </w:r>
          </w:p>
        </w:tc>
        <w:tc>
          <w:tcPr>
            <w:tcW w:w="945" w:type="dxa"/>
            <w:tcBorders>
              <w:top w:val="nil"/>
              <w:left w:val="single" w:sz="4" w:space="0" w:color="auto"/>
              <w:bottom w:val="nil"/>
              <w:right w:val="single" w:sz="4" w:space="0" w:color="auto"/>
            </w:tcBorders>
            <w:shd w:val="clear" w:color="auto" w:fill="auto"/>
            <w:vAlign w:val="center"/>
            <w:hideMark/>
          </w:tcPr>
          <w:p w14:paraId="7586233A" w14:textId="27A828BB" w:rsidR="00DC3599" w:rsidRPr="00005453" w:rsidRDefault="00DC3599" w:rsidP="00DC3599">
            <w:pPr>
              <w:jc w:val="right"/>
              <w:rPr>
                <w:sz w:val="14"/>
                <w:szCs w:val="14"/>
                <w:lang w:eastAsia="tr-TR"/>
              </w:rPr>
            </w:pPr>
            <w:r w:rsidRPr="00E41120">
              <w:rPr>
                <w:bCs/>
                <w:sz w:val="14"/>
                <w:szCs w:val="14"/>
              </w:rPr>
              <w:t>2,141,385,286</w:t>
            </w:r>
          </w:p>
        </w:tc>
        <w:tc>
          <w:tcPr>
            <w:tcW w:w="1039" w:type="dxa"/>
            <w:tcBorders>
              <w:top w:val="nil"/>
              <w:left w:val="single" w:sz="4" w:space="0" w:color="auto"/>
              <w:bottom w:val="nil"/>
              <w:right w:val="single" w:sz="4" w:space="0" w:color="auto"/>
            </w:tcBorders>
            <w:shd w:val="clear" w:color="auto" w:fill="auto"/>
            <w:vAlign w:val="center"/>
            <w:hideMark/>
          </w:tcPr>
          <w:p w14:paraId="36025BE9" w14:textId="26AAB6C6" w:rsidR="00DC3599" w:rsidRPr="00005453" w:rsidRDefault="00DC3599" w:rsidP="00DC3599">
            <w:pPr>
              <w:jc w:val="right"/>
              <w:rPr>
                <w:sz w:val="14"/>
                <w:szCs w:val="14"/>
                <w:lang w:eastAsia="tr-TR"/>
              </w:rPr>
            </w:pPr>
            <w:r w:rsidRPr="00E41120">
              <w:rPr>
                <w:bCs/>
                <w:sz w:val="14"/>
                <w:szCs w:val="14"/>
              </w:rPr>
              <w:t>2,160,969,786</w:t>
            </w:r>
          </w:p>
        </w:tc>
      </w:tr>
      <w:tr w:rsidR="00DC3599" w:rsidRPr="00005453" w14:paraId="2D50C022"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B91999F" w14:textId="77777777" w:rsidR="00DC3599" w:rsidRPr="00005453" w:rsidRDefault="00DC3599" w:rsidP="00DC3599">
            <w:pPr>
              <w:rPr>
                <w:color w:val="000000"/>
                <w:sz w:val="14"/>
                <w:szCs w:val="14"/>
                <w:lang w:eastAsia="tr-TR"/>
              </w:rPr>
            </w:pPr>
            <w:r w:rsidRPr="00005453">
              <w:rPr>
                <w:color w:val="000000"/>
                <w:sz w:val="14"/>
                <w:szCs w:val="14"/>
                <w:lang w:eastAsia="tr-TR"/>
              </w:rPr>
              <w:t>4.3.</w:t>
            </w:r>
          </w:p>
        </w:tc>
        <w:tc>
          <w:tcPr>
            <w:tcW w:w="3138" w:type="dxa"/>
            <w:tcBorders>
              <w:top w:val="nil"/>
              <w:left w:val="single" w:sz="4" w:space="0" w:color="auto"/>
              <w:bottom w:val="nil"/>
              <w:right w:val="single" w:sz="4" w:space="0" w:color="auto"/>
            </w:tcBorders>
            <w:shd w:val="clear" w:color="auto" w:fill="auto"/>
            <w:noWrap/>
            <w:hideMark/>
          </w:tcPr>
          <w:p w14:paraId="3BBF174B" w14:textId="77777777" w:rsidR="00DC3599" w:rsidRPr="00005453" w:rsidRDefault="00DC3599" w:rsidP="00DC3599">
            <w:pPr>
              <w:rPr>
                <w:color w:val="000000"/>
                <w:sz w:val="14"/>
                <w:szCs w:val="14"/>
                <w:lang w:eastAsia="tr-TR"/>
              </w:rPr>
            </w:pPr>
            <w:r w:rsidRPr="00005453">
              <w:rPr>
                <w:color w:val="000000"/>
                <w:sz w:val="14"/>
                <w:szCs w:val="14"/>
                <w:lang w:eastAsia="tr-TR"/>
              </w:rPr>
              <w:t>Tahsile Alınan Çekler</w:t>
            </w:r>
          </w:p>
        </w:tc>
        <w:tc>
          <w:tcPr>
            <w:tcW w:w="585" w:type="dxa"/>
            <w:tcBorders>
              <w:top w:val="nil"/>
              <w:left w:val="single" w:sz="4" w:space="0" w:color="auto"/>
              <w:bottom w:val="nil"/>
              <w:right w:val="single" w:sz="4" w:space="0" w:color="auto"/>
            </w:tcBorders>
            <w:shd w:val="clear" w:color="auto" w:fill="auto"/>
            <w:vAlign w:val="center"/>
            <w:hideMark/>
          </w:tcPr>
          <w:p w14:paraId="2CED6A5E"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B1674FC" w14:textId="22139B46" w:rsidR="00DC3599" w:rsidRPr="00005453" w:rsidRDefault="00DC3599" w:rsidP="00DC3599">
            <w:pPr>
              <w:jc w:val="right"/>
              <w:rPr>
                <w:bCs/>
                <w:sz w:val="14"/>
                <w:szCs w:val="14"/>
              </w:rPr>
            </w:pPr>
            <w:r w:rsidRPr="00005453">
              <w:rPr>
                <w:sz w:val="14"/>
                <w:szCs w:val="18"/>
              </w:rPr>
              <w:t>79,818,813</w:t>
            </w:r>
          </w:p>
        </w:tc>
        <w:tc>
          <w:tcPr>
            <w:tcW w:w="992" w:type="dxa"/>
            <w:tcBorders>
              <w:top w:val="nil"/>
              <w:left w:val="single" w:sz="4" w:space="0" w:color="auto"/>
              <w:bottom w:val="nil"/>
              <w:right w:val="single" w:sz="4" w:space="0" w:color="auto"/>
            </w:tcBorders>
            <w:shd w:val="clear" w:color="auto" w:fill="auto"/>
            <w:vAlign w:val="center"/>
            <w:hideMark/>
          </w:tcPr>
          <w:p w14:paraId="1792C369" w14:textId="45F11D89" w:rsidR="00DC3599" w:rsidRPr="00005453" w:rsidRDefault="00DC3599" w:rsidP="00DC3599">
            <w:pPr>
              <w:jc w:val="right"/>
              <w:rPr>
                <w:bCs/>
                <w:sz w:val="14"/>
                <w:szCs w:val="14"/>
              </w:rPr>
            </w:pPr>
            <w:r w:rsidRPr="00005453">
              <w:rPr>
                <w:sz w:val="14"/>
                <w:szCs w:val="18"/>
              </w:rPr>
              <w:t>1,735,102</w:t>
            </w:r>
          </w:p>
        </w:tc>
        <w:tc>
          <w:tcPr>
            <w:tcW w:w="1015" w:type="dxa"/>
            <w:tcBorders>
              <w:top w:val="nil"/>
              <w:left w:val="single" w:sz="4" w:space="0" w:color="auto"/>
              <w:bottom w:val="nil"/>
              <w:right w:val="single" w:sz="4" w:space="0" w:color="auto"/>
            </w:tcBorders>
            <w:shd w:val="clear" w:color="auto" w:fill="auto"/>
            <w:vAlign w:val="center"/>
            <w:hideMark/>
          </w:tcPr>
          <w:p w14:paraId="745F6124" w14:textId="7B9F661D" w:rsidR="00DC3599" w:rsidRPr="00005453" w:rsidRDefault="00DC3599" w:rsidP="00DC3599">
            <w:pPr>
              <w:jc w:val="right"/>
              <w:rPr>
                <w:bCs/>
                <w:sz w:val="14"/>
                <w:szCs w:val="14"/>
              </w:rPr>
            </w:pPr>
            <w:r w:rsidRPr="00005453">
              <w:rPr>
                <w:sz w:val="14"/>
                <w:szCs w:val="18"/>
              </w:rPr>
              <w:t>81,553,915</w:t>
            </w:r>
          </w:p>
        </w:tc>
        <w:tc>
          <w:tcPr>
            <w:tcW w:w="992" w:type="dxa"/>
            <w:tcBorders>
              <w:top w:val="nil"/>
              <w:left w:val="single" w:sz="4" w:space="0" w:color="auto"/>
              <w:bottom w:val="nil"/>
              <w:right w:val="single" w:sz="4" w:space="0" w:color="auto"/>
            </w:tcBorders>
            <w:shd w:val="clear" w:color="auto" w:fill="auto"/>
            <w:vAlign w:val="center"/>
            <w:hideMark/>
          </w:tcPr>
          <w:p w14:paraId="0A1EA5A8" w14:textId="73F5F9F3" w:rsidR="00DC3599" w:rsidRPr="00005453" w:rsidRDefault="00DC3599" w:rsidP="00DC3599">
            <w:pPr>
              <w:jc w:val="right"/>
              <w:rPr>
                <w:sz w:val="14"/>
                <w:szCs w:val="14"/>
                <w:lang w:eastAsia="tr-TR"/>
              </w:rPr>
            </w:pPr>
            <w:r w:rsidRPr="00E41120">
              <w:rPr>
                <w:bCs/>
                <w:sz w:val="14"/>
                <w:szCs w:val="14"/>
              </w:rPr>
              <w:t>56,183,252</w:t>
            </w:r>
          </w:p>
        </w:tc>
        <w:tc>
          <w:tcPr>
            <w:tcW w:w="945" w:type="dxa"/>
            <w:tcBorders>
              <w:top w:val="nil"/>
              <w:left w:val="single" w:sz="4" w:space="0" w:color="auto"/>
              <w:bottom w:val="nil"/>
              <w:right w:val="single" w:sz="4" w:space="0" w:color="auto"/>
            </w:tcBorders>
            <w:shd w:val="clear" w:color="auto" w:fill="auto"/>
            <w:vAlign w:val="center"/>
            <w:hideMark/>
          </w:tcPr>
          <w:p w14:paraId="54C5D002" w14:textId="39B971FD" w:rsidR="00DC3599" w:rsidRPr="00005453" w:rsidRDefault="00DC3599" w:rsidP="00DC3599">
            <w:pPr>
              <w:jc w:val="right"/>
              <w:rPr>
                <w:sz w:val="14"/>
                <w:szCs w:val="14"/>
                <w:lang w:eastAsia="tr-TR"/>
              </w:rPr>
            </w:pPr>
            <w:r w:rsidRPr="00E41120">
              <w:rPr>
                <w:bCs/>
                <w:sz w:val="14"/>
                <w:szCs w:val="14"/>
              </w:rPr>
              <w:t>1,430,053</w:t>
            </w:r>
          </w:p>
        </w:tc>
        <w:tc>
          <w:tcPr>
            <w:tcW w:w="1039" w:type="dxa"/>
            <w:tcBorders>
              <w:top w:val="nil"/>
              <w:left w:val="single" w:sz="4" w:space="0" w:color="auto"/>
              <w:bottom w:val="nil"/>
              <w:right w:val="single" w:sz="4" w:space="0" w:color="auto"/>
            </w:tcBorders>
            <w:shd w:val="clear" w:color="auto" w:fill="auto"/>
            <w:vAlign w:val="center"/>
            <w:hideMark/>
          </w:tcPr>
          <w:p w14:paraId="43C9BC7C" w14:textId="0EAA51E7" w:rsidR="00DC3599" w:rsidRPr="00005453" w:rsidRDefault="00DC3599" w:rsidP="00DC3599">
            <w:pPr>
              <w:jc w:val="right"/>
              <w:rPr>
                <w:sz w:val="14"/>
                <w:szCs w:val="14"/>
                <w:lang w:eastAsia="tr-TR"/>
              </w:rPr>
            </w:pPr>
            <w:r w:rsidRPr="00E41120">
              <w:rPr>
                <w:bCs/>
                <w:sz w:val="14"/>
                <w:szCs w:val="14"/>
              </w:rPr>
              <w:t>57,613,305</w:t>
            </w:r>
          </w:p>
        </w:tc>
      </w:tr>
      <w:tr w:rsidR="00DC3599" w:rsidRPr="00005453" w14:paraId="7BF26EB9"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DE79F16" w14:textId="77777777" w:rsidR="00DC3599" w:rsidRPr="00005453" w:rsidRDefault="00DC3599" w:rsidP="00DC3599">
            <w:pPr>
              <w:rPr>
                <w:color w:val="000000"/>
                <w:sz w:val="14"/>
                <w:szCs w:val="14"/>
                <w:lang w:eastAsia="tr-TR"/>
              </w:rPr>
            </w:pPr>
            <w:r w:rsidRPr="00005453">
              <w:rPr>
                <w:color w:val="000000"/>
                <w:sz w:val="14"/>
                <w:szCs w:val="14"/>
                <w:lang w:eastAsia="tr-TR"/>
              </w:rPr>
              <w:t>4.4.</w:t>
            </w:r>
          </w:p>
        </w:tc>
        <w:tc>
          <w:tcPr>
            <w:tcW w:w="3138" w:type="dxa"/>
            <w:tcBorders>
              <w:top w:val="nil"/>
              <w:left w:val="single" w:sz="4" w:space="0" w:color="auto"/>
              <w:bottom w:val="nil"/>
              <w:right w:val="single" w:sz="4" w:space="0" w:color="auto"/>
            </w:tcBorders>
            <w:shd w:val="clear" w:color="auto" w:fill="auto"/>
            <w:noWrap/>
            <w:hideMark/>
          </w:tcPr>
          <w:p w14:paraId="09CED474" w14:textId="77777777" w:rsidR="00DC3599" w:rsidRPr="00005453" w:rsidRDefault="00DC3599" w:rsidP="00DC3599">
            <w:pPr>
              <w:rPr>
                <w:color w:val="000000"/>
                <w:sz w:val="14"/>
                <w:szCs w:val="14"/>
                <w:lang w:eastAsia="tr-TR"/>
              </w:rPr>
            </w:pPr>
            <w:r w:rsidRPr="00005453">
              <w:rPr>
                <w:color w:val="000000"/>
                <w:sz w:val="14"/>
                <w:szCs w:val="14"/>
                <w:lang w:eastAsia="tr-TR"/>
              </w:rPr>
              <w:t>Tahsile Alınan Ticari Senetler</w:t>
            </w:r>
          </w:p>
        </w:tc>
        <w:tc>
          <w:tcPr>
            <w:tcW w:w="585" w:type="dxa"/>
            <w:tcBorders>
              <w:top w:val="nil"/>
              <w:left w:val="single" w:sz="4" w:space="0" w:color="auto"/>
              <w:bottom w:val="nil"/>
              <w:right w:val="single" w:sz="4" w:space="0" w:color="auto"/>
            </w:tcBorders>
            <w:shd w:val="clear" w:color="auto" w:fill="auto"/>
            <w:vAlign w:val="center"/>
            <w:hideMark/>
          </w:tcPr>
          <w:p w14:paraId="5EB9283A"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0491ADB" w14:textId="5CF82706" w:rsidR="00DC3599" w:rsidRPr="00005453" w:rsidRDefault="00DC3599" w:rsidP="00DC3599">
            <w:pPr>
              <w:jc w:val="right"/>
              <w:rPr>
                <w:bCs/>
                <w:sz w:val="14"/>
                <w:szCs w:val="14"/>
              </w:rPr>
            </w:pPr>
            <w:r w:rsidRPr="00005453">
              <w:rPr>
                <w:sz w:val="14"/>
                <w:szCs w:val="18"/>
              </w:rPr>
              <w:t>7,049,650</w:t>
            </w:r>
          </w:p>
        </w:tc>
        <w:tc>
          <w:tcPr>
            <w:tcW w:w="992" w:type="dxa"/>
            <w:tcBorders>
              <w:top w:val="nil"/>
              <w:left w:val="single" w:sz="4" w:space="0" w:color="auto"/>
              <w:bottom w:val="nil"/>
              <w:right w:val="single" w:sz="4" w:space="0" w:color="auto"/>
            </w:tcBorders>
            <w:shd w:val="clear" w:color="auto" w:fill="auto"/>
            <w:vAlign w:val="center"/>
            <w:hideMark/>
          </w:tcPr>
          <w:p w14:paraId="0F97F89C" w14:textId="4A4CE106" w:rsidR="00DC3599" w:rsidRPr="00005453" w:rsidRDefault="00DC3599" w:rsidP="00DC3599">
            <w:pPr>
              <w:jc w:val="right"/>
              <w:rPr>
                <w:bCs/>
                <w:sz w:val="14"/>
                <w:szCs w:val="14"/>
              </w:rPr>
            </w:pPr>
            <w:r w:rsidRPr="00005453">
              <w:rPr>
                <w:sz w:val="14"/>
                <w:szCs w:val="18"/>
              </w:rPr>
              <w:t>2,677,302</w:t>
            </w:r>
          </w:p>
        </w:tc>
        <w:tc>
          <w:tcPr>
            <w:tcW w:w="1015" w:type="dxa"/>
            <w:tcBorders>
              <w:top w:val="nil"/>
              <w:left w:val="single" w:sz="4" w:space="0" w:color="auto"/>
              <w:bottom w:val="nil"/>
              <w:right w:val="single" w:sz="4" w:space="0" w:color="auto"/>
            </w:tcBorders>
            <w:shd w:val="clear" w:color="auto" w:fill="auto"/>
            <w:vAlign w:val="center"/>
            <w:hideMark/>
          </w:tcPr>
          <w:p w14:paraId="5429433A" w14:textId="7444B51C" w:rsidR="00DC3599" w:rsidRPr="00005453" w:rsidRDefault="00DC3599" w:rsidP="00DC3599">
            <w:pPr>
              <w:jc w:val="right"/>
              <w:rPr>
                <w:bCs/>
                <w:sz w:val="14"/>
                <w:szCs w:val="14"/>
              </w:rPr>
            </w:pPr>
            <w:r w:rsidRPr="00005453">
              <w:rPr>
                <w:sz w:val="14"/>
                <w:szCs w:val="18"/>
              </w:rPr>
              <w:t>9,726,952</w:t>
            </w:r>
          </w:p>
        </w:tc>
        <w:tc>
          <w:tcPr>
            <w:tcW w:w="992" w:type="dxa"/>
            <w:tcBorders>
              <w:top w:val="nil"/>
              <w:left w:val="single" w:sz="4" w:space="0" w:color="auto"/>
              <w:bottom w:val="nil"/>
              <w:right w:val="single" w:sz="4" w:space="0" w:color="auto"/>
            </w:tcBorders>
            <w:shd w:val="clear" w:color="auto" w:fill="auto"/>
            <w:vAlign w:val="center"/>
            <w:hideMark/>
          </w:tcPr>
          <w:p w14:paraId="4E04E603" w14:textId="300FEEED" w:rsidR="00DC3599" w:rsidRPr="00005453" w:rsidRDefault="00DC3599" w:rsidP="00DC3599">
            <w:pPr>
              <w:jc w:val="right"/>
              <w:rPr>
                <w:sz w:val="14"/>
                <w:szCs w:val="14"/>
                <w:lang w:eastAsia="tr-TR"/>
              </w:rPr>
            </w:pPr>
            <w:r w:rsidRPr="00E41120">
              <w:rPr>
                <w:bCs/>
                <w:sz w:val="14"/>
                <w:szCs w:val="14"/>
              </w:rPr>
              <w:t>5,132,928</w:t>
            </w:r>
          </w:p>
        </w:tc>
        <w:tc>
          <w:tcPr>
            <w:tcW w:w="945" w:type="dxa"/>
            <w:tcBorders>
              <w:top w:val="nil"/>
              <w:left w:val="single" w:sz="4" w:space="0" w:color="auto"/>
              <w:bottom w:val="nil"/>
              <w:right w:val="single" w:sz="4" w:space="0" w:color="auto"/>
            </w:tcBorders>
            <w:shd w:val="clear" w:color="auto" w:fill="auto"/>
            <w:vAlign w:val="center"/>
            <w:hideMark/>
          </w:tcPr>
          <w:p w14:paraId="2CF8DA42" w14:textId="3B2D0B55" w:rsidR="00DC3599" w:rsidRPr="00005453" w:rsidRDefault="00DC3599" w:rsidP="00DC3599">
            <w:pPr>
              <w:jc w:val="right"/>
              <w:rPr>
                <w:sz w:val="14"/>
                <w:szCs w:val="14"/>
                <w:lang w:eastAsia="tr-TR"/>
              </w:rPr>
            </w:pPr>
            <w:r w:rsidRPr="00E41120">
              <w:rPr>
                <w:bCs/>
                <w:sz w:val="14"/>
                <w:szCs w:val="14"/>
              </w:rPr>
              <w:t>1,862,477</w:t>
            </w:r>
          </w:p>
        </w:tc>
        <w:tc>
          <w:tcPr>
            <w:tcW w:w="1039" w:type="dxa"/>
            <w:tcBorders>
              <w:top w:val="nil"/>
              <w:left w:val="single" w:sz="4" w:space="0" w:color="auto"/>
              <w:bottom w:val="nil"/>
              <w:right w:val="single" w:sz="4" w:space="0" w:color="auto"/>
            </w:tcBorders>
            <w:shd w:val="clear" w:color="auto" w:fill="auto"/>
            <w:vAlign w:val="center"/>
            <w:hideMark/>
          </w:tcPr>
          <w:p w14:paraId="61D9CF4C" w14:textId="2D87B642" w:rsidR="00DC3599" w:rsidRPr="00005453" w:rsidRDefault="00DC3599" w:rsidP="00DC3599">
            <w:pPr>
              <w:jc w:val="right"/>
              <w:rPr>
                <w:sz w:val="14"/>
                <w:szCs w:val="14"/>
                <w:lang w:eastAsia="tr-TR"/>
              </w:rPr>
            </w:pPr>
            <w:r w:rsidRPr="00E41120">
              <w:rPr>
                <w:bCs/>
                <w:sz w:val="14"/>
                <w:szCs w:val="14"/>
              </w:rPr>
              <w:t>6,995,405</w:t>
            </w:r>
          </w:p>
        </w:tc>
      </w:tr>
      <w:tr w:rsidR="00DC3599" w:rsidRPr="00005453" w14:paraId="28447C50"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E8EA06D" w14:textId="77777777" w:rsidR="00DC3599" w:rsidRPr="00005453" w:rsidRDefault="00DC3599" w:rsidP="00DC3599">
            <w:pPr>
              <w:rPr>
                <w:color w:val="000000"/>
                <w:sz w:val="14"/>
                <w:szCs w:val="14"/>
                <w:lang w:eastAsia="tr-TR"/>
              </w:rPr>
            </w:pPr>
            <w:r w:rsidRPr="00005453">
              <w:rPr>
                <w:color w:val="000000"/>
                <w:sz w:val="14"/>
                <w:szCs w:val="14"/>
                <w:lang w:eastAsia="tr-TR"/>
              </w:rPr>
              <w:t>4.5.</w:t>
            </w:r>
          </w:p>
        </w:tc>
        <w:tc>
          <w:tcPr>
            <w:tcW w:w="3138" w:type="dxa"/>
            <w:tcBorders>
              <w:top w:val="nil"/>
              <w:left w:val="single" w:sz="4" w:space="0" w:color="auto"/>
              <w:bottom w:val="nil"/>
              <w:right w:val="single" w:sz="4" w:space="0" w:color="auto"/>
            </w:tcBorders>
            <w:shd w:val="clear" w:color="auto" w:fill="auto"/>
            <w:noWrap/>
            <w:hideMark/>
          </w:tcPr>
          <w:p w14:paraId="60AD3AC1" w14:textId="77777777" w:rsidR="00DC3599" w:rsidRPr="00005453" w:rsidRDefault="00DC3599" w:rsidP="00DC3599">
            <w:pPr>
              <w:rPr>
                <w:color w:val="000000"/>
                <w:sz w:val="14"/>
                <w:szCs w:val="14"/>
                <w:lang w:eastAsia="tr-TR"/>
              </w:rPr>
            </w:pPr>
            <w:r w:rsidRPr="00005453">
              <w:rPr>
                <w:color w:val="000000"/>
                <w:sz w:val="14"/>
                <w:szCs w:val="14"/>
                <w:lang w:eastAsia="tr-TR"/>
              </w:rPr>
              <w:t>Tahsile Alınan Diğer Kıymetler</w:t>
            </w:r>
          </w:p>
        </w:tc>
        <w:tc>
          <w:tcPr>
            <w:tcW w:w="585" w:type="dxa"/>
            <w:tcBorders>
              <w:top w:val="nil"/>
              <w:left w:val="single" w:sz="4" w:space="0" w:color="auto"/>
              <w:bottom w:val="nil"/>
              <w:right w:val="single" w:sz="4" w:space="0" w:color="auto"/>
            </w:tcBorders>
            <w:shd w:val="clear" w:color="auto" w:fill="auto"/>
            <w:vAlign w:val="center"/>
            <w:hideMark/>
          </w:tcPr>
          <w:p w14:paraId="70B3F10D"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23371FD" w14:textId="0C063661"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AA8D0E6" w14:textId="4FFB4CEB"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4962E72A" w14:textId="27394E3F"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24B0767" w14:textId="0974E020"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367EFC1" w14:textId="5E44874F"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0565AA57" w14:textId="7161F26C" w:rsidR="00DC3599" w:rsidRPr="00005453" w:rsidRDefault="00DC3599" w:rsidP="00DC3599">
            <w:pPr>
              <w:jc w:val="right"/>
              <w:rPr>
                <w:sz w:val="14"/>
                <w:szCs w:val="14"/>
                <w:lang w:eastAsia="tr-TR"/>
              </w:rPr>
            </w:pPr>
            <w:r w:rsidRPr="00E41120">
              <w:rPr>
                <w:bCs/>
                <w:sz w:val="14"/>
                <w:szCs w:val="14"/>
              </w:rPr>
              <w:t>-</w:t>
            </w:r>
          </w:p>
        </w:tc>
      </w:tr>
      <w:tr w:rsidR="00DC3599" w:rsidRPr="00005453" w14:paraId="39095398"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661BF15" w14:textId="77777777" w:rsidR="00DC3599" w:rsidRPr="00005453" w:rsidRDefault="00DC3599" w:rsidP="00DC3599">
            <w:pPr>
              <w:rPr>
                <w:color w:val="000000"/>
                <w:sz w:val="14"/>
                <w:szCs w:val="14"/>
                <w:lang w:eastAsia="tr-TR"/>
              </w:rPr>
            </w:pPr>
            <w:r w:rsidRPr="00005453">
              <w:rPr>
                <w:color w:val="000000"/>
                <w:sz w:val="14"/>
                <w:szCs w:val="14"/>
                <w:lang w:eastAsia="tr-TR"/>
              </w:rPr>
              <w:t>4.6.</w:t>
            </w:r>
          </w:p>
        </w:tc>
        <w:tc>
          <w:tcPr>
            <w:tcW w:w="3138" w:type="dxa"/>
            <w:tcBorders>
              <w:top w:val="nil"/>
              <w:left w:val="single" w:sz="4" w:space="0" w:color="auto"/>
              <w:bottom w:val="nil"/>
              <w:right w:val="single" w:sz="4" w:space="0" w:color="auto"/>
            </w:tcBorders>
            <w:shd w:val="clear" w:color="auto" w:fill="auto"/>
            <w:noWrap/>
            <w:hideMark/>
          </w:tcPr>
          <w:p w14:paraId="4EEC8768" w14:textId="77777777" w:rsidR="00DC3599" w:rsidRPr="00005453" w:rsidRDefault="00DC3599" w:rsidP="00DC3599">
            <w:pPr>
              <w:rPr>
                <w:color w:val="000000"/>
                <w:sz w:val="14"/>
                <w:szCs w:val="14"/>
                <w:lang w:eastAsia="tr-TR"/>
              </w:rPr>
            </w:pPr>
            <w:r w:rsidRPr="00005453">
              <w:rPr>
                <w:color w:val="000000"/>
                <w:sz w:val="14"/>
                <w:szCs w:val="14"/>
                <w:lang w:eastAsia="tr-TR"/>
              </w:rPr>
              <w:t>İhracına Aracı Olunan Kıymetler</w:t>
            </w:r>
          </w:p>
        </w:tc>
        <w:tc>
          <w:tcPr>
            <w:tcW w:w="585" w:type="dxa"/>
            <w:tcBorders>
              <w:top w:val="nil"/>
              <w:left w:val="single" w:sz="4" w:space="0" w:color="auto"/>
              <w:bottom w:val="nil"/>
              <w:right w:val="single" w:sz="4" w:space="0" w:color="auto"/>
            </w:tcBorders>
            <w:shd w:val="clear" w:color="auto" w:fill="auto"/>
            <w:vAlign w:val="center"/>
            <w:hideMark/>
          </w:tcPr>
          <w:p w14:paraId="63138782"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F426130" w14:textId="0A063CF5"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0975BE9" w14:textId="10B4CAB3"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39ADBBA8" w14:textId="274002D3"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904F6D8" w14:textId="2D3CEFB2"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E7E9C01" w14:textId="25210446"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4A339C8B" w14:textId="6B5C133F" w:rsidR="00DC3599" w:rsidRPr="00005453" w:rsidRDefault="00DC3599" w:rsidP="00DC3599">
            <w:pPr>
              <w:jc w:val="right"/>
              <w:rPr>
                <w:sz w:val="14"/>
                <w:szCs w:val="14"/>
                <w:lang w:eastAsia="tr-TR"/>
              </w:rPr>
            </w:pPr>
            <w:r w:rsidRPr="00E41120">
              <w:rPr>
                <w:bCs/>
                <w:sz w:val="14"/>
                <w:szCs w:val="14"/>
              </w:rPr>
              <w:t>-</w:t>
            </w:r>
          </w:p>
        </w:tc>
      </w:tr>
      <w:tr w:rsidR="00DC3599" w:rsidRPr="00005453" w14:paraId="773E8F80"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5D8B28E" w14:textId="77777777" w:rsidR="00DC3599" w:rsidRPr="00005453" w:rsidRDefault="00DC3599" w:rsidP="00DC3599">
            <w:pPr>
              <w:rPr>
                <w:color w:val="000000"/>
                <w:sz w:val="14"/>
                <w:szCs w:val="14"/>
                <w:lang w:eastAsia="tr-TR"/>
              </w:rPr>
            </w:pPr>
            <w:r w:rsidRPr="00005453">
              <w:rPr>
                <w:color w:val="000000"/>
                <w:sz w:val="14"/>
                <w:szCs w:val="14"/>
                <w:lang w:eastAsia="tr-TR"/>
              </w:rPr>
              <w:t>4.7.</w:t>
            </w:r>
          </w:p>
        </w:tc>
        <w:tc>
          <w:tcPr>
            <w:tcW w:w="3138" w:type="dxa"/>
            <w:tcBorders>
              <w:top w:val="nil"/>
              <w:left w:val="single" w:sz="4" w:space="0" w:color="auto"/>
              <w:bottom w:val="nil"/>
              <w:right w:val="single" w:sz="4" w:space="0" w:color="auto"/>
            </w:tcBorders>
            <w:shd w:val="clear" w:color="auto" w:fill="auto"/>
            <w:noWrap/>
            <w:hideMark/>
          </w:tcPr>
          <w:p w14:paraId="5546BE3D" w14:textId="77777777" w:rsidR="00DC3599" w:rsidRPr="00005453" w:rsidRDefault="00DC3599" w:rsidP="00DC3599">
            <w:pPr>
              <w:rPr>
                <w:color w:val="000000"/>
                <w:sz w:val="14"/>
                <w:szCs w:val="14"/>
                <w:lang w:eastAsia="tr-TR"/>
              </w:rPr>
            </w:pPr>
            <w:r w:rsidRPr="00005453">
              <w:rPr>
                <w:color w:val="000000"/>
                <w:sz w:val="14"/>
                <w:szCs w:val="14"/>
                <w:lang w:eastAsia="tr-TR"/>
              </w:rPr>
              <w:t>Diğer Emanet Kıymetler</w:t>
            </w:r>
          </w:p>
        </w:tc>
        <w:tc>
          <w:tcPr>
            <w:tcW w:w="585" w:type="dxa"/>
            <w:tcBorders>
              <w:top w:val="nil"/>
              <w:left w:val="single" w:sz="4" w:space="0" w:color="auto"/>
              <w:bottom w:val="nil"/>
              <w:right w:val="single" w:sz="4" w:space="0" w:color="auto"/>
            </w:tcBorders>
            <w:shd w:val="clear" w:color="auto" w:fill="auto"/>
            <w:vAlign w:val="center"/>
            <w:hideMark/>
          </w:tcPr>
          <w:p w14:paraId="15FCFD09"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583F1B3" w14:textId="22FB89A9"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1DC390B" w14:textId="01A5433F"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08852CBF" w14:textId="03E7A549"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8125561" w14:textId="36BA19D9"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2625AB4" w14:textId="3973474E"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423E9DF5" w14:textId="4600212F" w:rsidR="00DC3599" w:rsidRPr="00005453" w:rsidRDefault="00DC3599" w:rsidP="00DC3599">
            <w:pPr>
              <w:jc w:val="right"/>
              <w:rPr>
                <w:sz w:val="14"/>
                <w:szCs w:val="14"/>
                <w:lang w:eastAsia="tr-TR"/>
              </w:rPr>
            </w:pPr>
            <w:r w:rsidRPr="00E41120">
              <w:rPr>
                <w:bCs/>
                <w:sz w:val="14"/>
                <w:szCs w:val="14"/>
              </w:rPr>
              <w:t>-</w:t>
            </w:r>
          </w:p>
        </w:tc>
      </w:tr>
      <w:tr w:rsidR="00DC3599" w:rsidRPr="00005453" w14:paraId="4FEA7D0C"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361416FD" w14:textId="77777777" w:rsidR="00DC3599" w:rsidRPr="00005453" w:rsidRDefault="00DC3599" w:rsidP="00DC3599">
            <w:pPr>
              <w:rPr>
                <w:color w:val="000000"/>
                <w:sz w:val="14"/>
                <w:szCs w:val="14"/>
                <w:lang w:eastAsia="tr-TR"/>
              </w:rPr>
            </w:pPr>
            <w:r w:rsidRPr="00005453">
              <w:rPr>
                <w:color w:val="000000"/>
                <w:sz w:val="14"/>
                <w:szCs w:val="14"/>
                <w:lang w:eastAsia="tr-TR"/>
              </w:rPr>
              <w:t>4.8.</w:t>
            </w:r>
          </w:p>
        </w:tc>
        <w:tc>
          <w:tcPr>
            <w:tcW w:w="3138" w:type="dxa"/>
            <w:tcBorders>
              <w:top w:val="nil"/>
              <w:left w:val="single" w:sz="4" w:space="0" w:color="auto"/>
              <w:bottom w:val="nil"/>
              <w:right w:val="single" w:sz="4" w:space="0" w:color="auto"/>
            </w:tcBorders>
            <w:shd w:val="clear" w:color="auto" w:fill="auto"/>
            <w:noWrap/>
            <w:hideMark/>
          </w:tcPr>
          <w:p w14:paraId="3BC2BA8F" w14:textId="77777777" w:rsidR="00DC3599" w:rsidRPr="00005453" w:rsidRDefault="00DC3599" w:rsidP="00DC3599">
            <w:pPr>
              <w:rPr>
                <w:color w:val="000000"/>
                <w:sz w:val="14"/>
                <w:szCs w:val="14"/>
                <w:lang w:eastAsia="tr-TR"/>
              </w:rPr>
            </w:pPr>
            <w:r w:rsidRPr="00005453">
              <w:rPr>
                <w:color w:val="000000"/>
                <w:sz w:val="14"/>
                <w:szCs w:val="14"/>
                <w:lang w:eastAsia="tr-TR"/>
              </w:rPr>
              <w:t>Emanet Kıymet Alanlar</w:t>
            </w:r>
          </w:p>
        </w:tc>
        <w:tc>
          <w:tcPr>
            <w:tcW w:w="585" w:type="dxa"/>
            <w:tcBorders>
              <w:top w:val="nil"/>
              <w:left w:val="single" w:sz="4" w:space="0" w:color="auto"/>
              <w:bottom w:val="nil"/>
              <w:right w:val="single" w:sz="4" w:space="0" w:color="auto"/>
            </w:tcBorders>
            <w:shd w:val="clear" w:color="auto" w:fill="auto"/>
            <w:vAlign w:val="center"/>
            <w:hideMark/>
          </w:tcPr>
          <w:p w14:paraId="387BC0D7"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EA1B71E" w14:textId="2345A7FD" w:rsidR="00DC3599" w:rsidRPr="00005453" w:rsidRDefault="00DC3599" w:rsidP="00DC3599">
            <w:pPr>
              <w:jc w:val="right"/>
              <w:rPr>
                <w:bCs/>
                <w:sz w:val="14"/>
                <w:szCs w:val="14"/>
              </w:rPr>
            </w:pPr>
            <w:r w:rsidRPr="00005453">
              <w:rPr>
                <w:sz w:val="14"/>
                <w:szCs w:val="18"/>
              </w:rPr>
              <w:t>68,714,982</w:t>
            </w:r>
          </w:p>
        </w:tc>
        <w:tc>
          <w:tcPr>
            <w:tcW w:w="992" w:type="dxa"/>
            <w:tcBorders>
              <w:top w:val="nil"/>
              <w:left w:val="single" w:sz="4" w:space="0" w:color="auto"/>
              <w:bottom w:val="nil"/>
              <w:right w:val="single" w:sz="4" w:space="0" w:color="auto"/>
            </w:tcBorders>
            <w:shd w:val="clear" w:color="auto" w:fill="auto"/>
            <w:vAlign w:val="center"/>
            <w:hideMark/>
          </w:tcPr>
          <w:p w14:paraId="1CFAF0E3" w14:textId="36A55131" w:rsidR="00DC3599" w:rsidRPr="00005453" w:rsidRDefault="00DC3599" w:rsidP="00DC3599">
            <w:pPr>
              <w:jc w:val="right"/>
              <w:rPr>
                <w:bCs/>
                <w:sz w:val="14"/>
                <w:szCs w:val="14"/>
              </w:rPr>
            </w:pPr>
            <w:r w:rsidRPr="00005453">
              <w:rPr>
                <w:sz w:val="14"/>
                <w:szCs w:val="18"/>
              </w:rPr>
              <w:t>59,087,833</w:t>
            </w:r>
          </w:p>
        </w:tc>
        <w:tc>
          <w:tcPr>
            <w:tcW w:w="1015" w:type="dxa"/>
            <w:tcBorders>
              <w:top w:val="nil"/>
              <w:left w:val="single" w:sz="4" w:space="0" w:color="auto"/>
              <w:bottom w:val="nil"/>
              <w:right w:val="single" w:sz="4" w:space="0" w:color="auto"/>
            </w:tcBorders>
            <w:shd w:val="clear" w:color="auto" w:fill="auto"/>
            <w:vAlign w:val="center"/>
            <w:hideMark/>
          </w:tcPr>
          <w:p w14:paraId="61F7F906" w14:textId="50333B1A" w:rsidR="00DC3599" w:rsidRPr="00005453" w:rsidRDefault="00DC3599" w:rsidP="00DC3599">
            <w:pPr>
              <w:jc w:val="right"/>
              <w:rPr>
                <w:bCs/>
                <w:sz w:val="14"/>
                <w:szCs w:val="14"/>
              </w:rPr>
            </w:pPr>
            <w:r w:rsidRPr="00005453">
              <w:rPr>
                <w:sz w:val="14"/>
                <w:szCs w:val="18"/>
              </w:rPr>
              <w:t>127,802,815</w:t>
            </w:r>
          </w:p>
        </w:tc>
        <w:tc>
          <w:tcPr>
            <w:tcW w:w="992" w:type="dxa"/>
            <w:tcBorders>
              <w:top w:val="nil"/>
              <w:left w:val="single" w:sz="4" w:space="0" w:color="auto"/>
              <w:bottom w:val="nil"/>
              <w:right w:val="single" w:sz="4" w:space="0" w:color="auto"/>
            </w:tcBorders>
            <w:shd w:val="clear" w:color="auto" w:fill="auto"/>
            <w:vAlign w:val="center"/>
            <w:hideMark/>
          </w:tcPr>
          <w:p w14:paraId="01193CBE" w14:textId="151CE423" w:rsidR="00DC3599" w:rsidRPr="00005453" w:rsidRDefault="00DC3599" w:rsidP="00DC3599">
            <w:pPr>
              <w:jc w:val="right"/>
              <w:rPr>
                <w:sz w:val="14"/>
                <w:szCs w:val="14"/>
                <w:lang w:eastAsia="tr-TR"/>
              </w:rPr>
            </w:pPr>
            <w:r w:rsidRPr="00E41120">
              <w:rPr>
                <w:sz w:val="14"/>
                <w:szCs w:val="18"/>
              </w:rPr>
              <w:t>68,792,075</w:t>
            </w:r>
          </w:p>
        </w:tc>
        <w:tc>
          <w:tcPr>
            <w:tcW w:w="945" w:type="dxa"/>
            <w:tcBorders>
              <w:top w:val="nil"/>
              <w:left w:val="single" w:sz="4" w:space="0" w:color="auto"/>
              <w:bottom w:val="nil"/>
              <w:right w:val="single" w:sz="4" w:space="0" w:color="auto"/>
            </w:tcBorders>
            <w:shd w:val="clear" w:color="auto" w:fill="auto"/>
            <w:vAlign w:val="center"/>
            <w:hideMark/>
          </w:tcPr>
          <w:p w14:paraId="403BE52B" w14:textId="1F26305D" w:rsidR="00DC3599" w:rsidRPr="00005453" w:rsidRDefault="00DC3599" w:rsidP="00DC3599">
            <w:pPr>
              <w:jc w:val="right"/>
              <w:rPr>
                <w:sz w:val="14"/>
                <w:szCs w:val="14"/>
                <w:lang w:eastAsia="tr-TR"/>
              </w:rPr>
            </w:pPr>
            <w:r w:rsidRPr="00E41120">
              <w:rPr>
                <w:sz w:val="14"/>
                <w:szCs w:val="18"/>
              </w:rPr>
              <w:t>56,559,071</w:t>
            </w:r>
          </w:p>
        </w:tc>
        <w:tc>
          <w:tcPr>
            <w:tcW w:w="1039" w:type="dxa"/>
            <w:tcBorders>
              <w:top w:val="nil"/>
              <w:left w:val="single" w:sz="4" w:space="0" w:color="auto"/>
              <w:bottom w:val="nil"/>
              <w:right w:val="single" w:sz="4" w:space="0" w:color="auto"/>
            </w:tcBorders>
            <w:shd w:val="clear" w:color="auto" w:fill="auto"/>
            <w:vAlign w:val="center"/>
            <w:hideMark/>
          </w:tcPr>
          <w:p w14:paraId="54D3798A" w14:textId="5ED79DB5" w:rsidR="00DC3599" w:rsidRPr="00005453" w:rsidRDefault="00DC3599" w:rsidP="00DC3599">
            <w:pPr>
              <w:jc w:val="right"/>
              <w:rPr>
                <w:sz w:val="14"/>
                <w:szCs w:val="14"/>
                <w:lang w:eastAsia="tr-TR"/>
              </w:rPr>
            </w:pPr>
            <w:r w:rsidRPr="00E41120">
              <w:rPr>
                <w:sz w:val="14"/>
                <w:szCs w:val="18"/>
              </w:rPr>
              <w:t>125,351,146</w:t>
            </w:r>
          </w:p>
        </w:tc>
      </w:tr>
      <w:tr w:rsidR="00DC3599" w:rsidRPr="00005453" w14:paraId="28A15A90"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71CC0DFF"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V.</w:t>
            </w:r>
          </w:p>
        </w:tc>
        <w:tc>
          <w:tcPr>
            <w:tcW w:w="3138" w:type="dxa"/>
            <w:tcBorders>
              <w:top w:val="nil"/>
              <w:left w:val="single" w:sz="4" w:space="0" w:color="auto"/>
              <w:bottom w:val="nil"/>
              <w:right w:val="single" w:sz="4" w:space="0" w:color="auto"/>
            </w:tcBorders>
            <w:shd w:val="clear" w:color="auto" w:fill="auto"/>
            <w:noWrap/>
            <w:hideMark/>
          </w:tcPr>
          <w:p w14:paraId="3C41EB45"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REHİNLİ KIYMETLER</w:t>
            </w:r>
          </w:p>
        </w:tc>
        <w:tc>
          <w:tcPr>
            <w:tcW w:w="585" w:type="dxa"/>
            <w:tcBorders>
              <w:top w:val="nil"/>
              <w:left w:val="single" w:sz="4" w:space="0" w:color="auto"/>
              <w:bottom w:val="nil"/>
              <w:right w:val="single" w:sz="4" w:space="0" w:color="auto"/>
            </w:tcBorders>
            <w:shd w:val="clear" w:color="auto" w:fill="auto"/>
            <w:vAlign w:val="center"/>
            <w:hideMark/>
          </w:tcPr>
          <w:p w14:paraId="47EB84D1" w14:textId="77777777" w:rsidR="00DC3599" w:rsidRPr="00005453" w:rsidRDefault="00DC3599" w:rsidP="00DC359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1531C18" w14:textId="3AC889C8" w:rsidR="00DC3599" w:rsidRPr="00005453" w:rsidRDefault="00DC3599" w:rsidP="00DC3599">
            <w:pPr>
              <w:jc w:val="right"/>
              <w:rPr>
                <w:b/>
                <w:bCs/>
                <w:sz w:val="14"/>
                <w:szCs w:val="14"/>
              </w:rPr>
            </w:pPr>
            <w:r w:rsidRPr="00005453">
              <w:rPr>
                <w:b/>
                <w:bCs/>
                <w:sz w:val="14"/>
                <w:szCs w:val="18"/>
              </w:rPr>
              <w:t>3,947,957,092</w:t>
            </w:r>
          </w:p>
        </w:tc>
        <w:tc>
          <w:tcPr>
            <w:tcW w:w="992" w:type="dxa"/>
            <w:tcBorders>
              <w:top w:val="nil"/>
              <w:left w:val="single" w:sz="4" w:space="0" w:color="auto"/>
              <w:bottom w:val="nil"/>
              <w:right w:val="single" w:sz="4" w:space="0" w:color="auto"/>
            </w:tcBorders>
            <w:shd w:val="clear" w:color="auto" w:fill="auto"/>
            <w:vAlign w:val="center"/>
            <w:hideMark/>
          </w:tcPr>
          <w:p w14:paraId="5C699A36" w14:textId="3E228F73" w:rsidR="00DC3599" w:rsidRPr="00005453" w:rsidRDefault="00DC3599" w:rsidP="00DC3599">
            <w:pPr>
              <w:jc w:val="right"/>
              <w:rPr>
                <w:b/>
                <w:bCs/>
                <w:sz w:val="14"/>
                <w:szCs w:val="14"/>
              </w:rPr>
            </w:pPr>
            <w:r w:rsidRPr="00005453">
              <w:rPr>
                <w:b/>
                <w:bCs/>
                <w:sz w:val="14"/>
                <w:szCs w:val="18"/>
              </w:rPr>
              <w:t>873,242,903</w:t>
            </w:r>
          </w:p>
        </w:tc>
        <w:tc>
          <w:tcPr>
            <w:tcW w:w="1015" w:type="dxa"/>
            <w:tcBorders>
              <w:top w:val="nil"/>
              <w:left w:val="single" w:sz="4" w:space="0" w:color="auto"/>
              <w:bottom w:val="nil"/>
              <w:right w:val="single" w:sz="4" w:space="0" w:color="auto"/>
            </w:tcBorders>
            <w:shd w:val="clear" w:color="auto" w:fill="auto"/>
            <w:vAlign w:val="center"/>
            <w:hideMark/>
          </w:tcPr>
          <w:p w14:paraId="5A4DED1F" w14:textId="6A91DF4F" w:rsidR="00DC3599" w:rsidRPr="00005453" w:rsidRDefault="00DC3599" w:rsidP="00DC3599">
            <w:pPr>
              <w:jc w:val="right"/>
              <w:rPr>
                <w:b/>
                <w:bCs/>
                <w:sz w:val="14"/>
                <w:szCs w:val="14"/>
              </w:rPr>
            </w:pPr>
            <w:r w:rsidRPr="00005453">
              <w:rPr>
                <w:b/>
                <w:bCs/>
                <w:sz w:val="14"/>
                <w:szCs w:val="18"/>
              </w:rPr>
              <w:t>4,821,199,995</w:t>
            </w:r>
          </w:p>
        </w:tc>
        <w:tc>
          <w:tcPr>
            <w:tcW w:w="992" w:type="dxa"/>
            <w:tcBorders>
              <w:top w:val="nil"/>
              <w:left w:val="single" w:sz="4" w:space="0" w:color="auto"/>
              <w:bottom w:val="nil"/>
              <w:right w:val="single" w:sz="4" w:space="0" w:color="auto"/>
            </w:tcBorders>
            <w:shd w:val="clear" w:color="auto" w:fill="auto"/>
            <w:vAlign w:val="center"/>
            <w:hideMark/>
          </w:tcPr>
          <w:p w14:paraId="7A8EA07D" w14:textId="342DCC39" w:rsidR="00DC3599" w:rsidRPr="00005453" w:rsidRDefault="00DC3599" w:rsidP="00DC3599">
            <w:pPr>
              <w:jc w:val="right"/>
              <w:rPr>
                <w:b/>
                <w:bCs/>
                <w:sz w:val="14"/>
                <w:szCs w:val="14"/>
                <w:lang w:eastAsia="tr-TR"/>
              </w:rPr>
            </w:pPr>
            <w:r w:rsidRPr="00E41120">
              <w:rPr>
                <w:b/>
                <w:bCs/>
                <w:sz w:val="14"/>
                <w:szCs w:val="14"/>
              </w:rPr>
              <w:t>2,300,424,666</w:t>
            </w:r>
          </w:p>
        </w:tc>
        <w:tc>
          <w:tcPr>
            <w:tcW w:w="945" w:type="dxa"/>
            <w:tcBorders>
              <w:top w:val="nil"/>
              <w:left w:val="single" w:sz="4" w:space="0" w:color="auto"/>
              <w:bottom w:val="nil"/>
              <w:right w:val="single" w:sz="4" w:space="0" w:color="auto"/>
            </w:tcBorders>
            <w:shd w:val="clear" w:color="auto" w:fill="auto"/>
            <w:vAlign w:val="center"/>
            <w:hideMark/>
          </w:tcPr>
          <w:p w14:paraId="4CAFE0A2" w14:textId="198FB533" w:rsidR="00DC3599" w:rsidRPr="00005453" w:rsidRDefault="00DC3599" w:rsidP="00DC3599">
            <w:pPr>
              <w:jc w:val="right"/>
              <w:rPr>
                <w:b/>
                <w:bCs/>
                <w:sz w:val="14"/>
                <w:szCs w:val="14"/>
                <w:lang w:eastAsia="tr-TR"/>
              </w:rPr>
            </w:pPr>
            <w:r w:rsidRPr="00E41120">
              <w:rPr>
                <w:b/>
                <w:bCs/>
                <w:sz w:val="14"/>
                <w:szCs w:val="14"/>
              </w:rPr>
              <w:t>698,929,858</w:t>
            </w:r>
          </w:p>
        </w:tc>
        <w:tc>
          <w:tcPr>
            <w:tcW w:w="1039" w:type="dxa"/>
            <w:tcBorders>
              <w:top w:val="nil"/>
              <w:left w:val="single" w:sz="4" w:space="0" w:color="auto"/>
              <w:bottom w:val="nil"/>
              <w:right w:val="single" w:sz="4" w:space="0" w:color="auto"/>
            </w:tcBorders>
            <w:shd w:val="clear" w:color="auto" w:fill="auto"/>
            <w:vAlign w:val="center"/>
            <w:hideMark/>
          </w:tcPr>
          <w:p w14:paraId="12497F32" w14:textId="2D0820C0" w:rsidR="00DC3599" w:rsidRPr="00005453" w:rsidRDefault="00DC3599" w:rsidP="00DC3599">
            <w:pPr>
              <w:jc w:val="right"/>
              <w:rPr>
                <w:b/>
                <w:bCs/>
                <w:sz w:val="14"/>
                <w:szCs w:val="14"/>
                <w:lang w:eastAsia="tr-TR"/>
              </w:rPr>
            </w:pPr>
            <w:r w:rsidRPr="00E41120">
              <w:rPr>
                <w:b/>
                <w:bCs/>
                <w:sz w:val="14"/>
                <w:szCs w:val="14"/>
              </w:rPr>
              <w:t>2,999,354,524</w:t>
            </w:r>
          </w:p>
        </w:tc>
      </w:tr>
      <w:tr w:rsidR="00DC3599" w:rsidRPr="00005453" w14:paraId="405F259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11BFF08" w14:textId="77777777" w:rsidR="00DC3599" w:rsidRPr="00005453" w:rsidRDefault="00DC3599" w:rsidP="00DC3599">
            <w:pPr>
              <w:rPr>
                <w:color w:val="000000"/>
                <w:sz w:val="14"/>
                <w:szCs w:val="14"/>
                <w:lang w:eastAsia="tr-TR"/>
              </w:rPr>
            </w:pPr>
            <w:r w:rsidRPr="00005453">
              <w:rPr>
                <w:color w:val="000000"/>
                <w:sz w:val="14"/>
                <w:szCs w:val="14"/>
                <w:lang w:eastAsia="tr-TR"/>
              </w:rPr>
              <w:t>5.1.</w:t>
            </w:r>
          </w:p>
        </w:tc>
        <w:tc>
          <w:tcPr>
            <w:tcW w:w="3138" w:type="dxa"/>
            <w:tcBorders>
              <w:top w:val="nil"/>
              <w:left w:val="single" w:sz="4" w:space="0" w:color="auto"/>
              <w:bottom w:val="nil"/>
              <w:right w:val="single" w:sz="4" w:space="0" w:color="auto"/>
            </w:tcBorders>
            <w:shd w:val="clear" w:color="auto" w:fill="auto"/>
            <w:noWrap/>
            <w:hideMark/>
          </w:tcPr>
          <w:p w14:paraId="3A13C301" w14:textId="77777777" w:rsidR="00DC3599" w:rsidRPr="00005453" w:rsidRDefault="00DC3599" w:rsidP="00DC3599">
            <w:pPr>
              <w:rPr>
                <w:color w:val="000000"/>
                <w:sz w:val="14"/>
                <w:szCs w:val="14"/>
                <w:lang w:eastAsia="tr-TR"/>
              </w:rPr>
            </w:pPr>
            <w:r w:rsidRPr="00005453">
              <w:rPr>
                <w:color w:val="000000"/>
                <w:sz w:val="14"/>
                <w:szCs w:val="14"/>
                <w:lang w:eastAsia="tr-TR"/>
              </w:rPr>
              <w:t>Menkul Kıymetler</w:t>
            </w:r>
          </w:p>
        </w:tc>
        <w:tc>
          <w:tcPr>
            <w:tcW w:w="585" w:type="dxa"/>
            <w:tcBorders>
              <w:top w:val="nil"/>
              <w:left w:val="single" w:sz="4" w:space="0" w:color="auto"/>
              <w:bottom w:val="nil"/>
              <w:right w:val="single" w:sz="4" w:space="0" w:color="auto"/>
            </w:tcBorders>
            <w:shd w:val="clear" w:color="auto" w:fill="auto"/>
            <w:vAlign w:val="center"/>
            <w:hideMark/>
          </w:tcPr>
          <w:p w14:paraId="232CC2D3"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73ADABE" w14:textId="5F83A2DA" w:rsidR="00DC3599" w:rsidRPr="00005453" w:rsidRDefault="00DC3599" w:rsidP="00DC3599">
            <w:pPr>
              <w:jc w:val="right"/>
              <w:rPr>
                <w:bCs/>
                <w:sz w:val="14"/>
                <w:szCs w:val="14"/>
              </w:rPr>
            </w:pPr>
            <w:r w:rsidRPr="00005453">
              <w:rPr>
                <w:sz w:val="14"/>
                <w:szCs w:val="18"/>
              </w:rPr>
              <w:t>5,797,660</w:t>
            </w:r>
          </w:p>
        </w:tc>
        <w:tc>
          <w:tcPr>
            <w:tcW w:w="992" w:type="dxa"/>
            <w:tcBorders>
              <w:top w:val="nil"/>
              <w:left w:val="single" w:sz="4" w:space="0" w:color="auto"/>
              <w:bottom w:val="nil"/>
              <w:right w:val="single" w:sz="4" w:space="0" w:color="auto"/>
            </w:tcBorders>
            <w:shd w:val="clear" w:color="auto" w:fill="auto"/>
            <w:vAlign w:val="center"/>
            <w:hideMark/>
          </w:tcPr>
          <w:p w14:paraId="77E66670" w14:textId="4801A5AA" w:rsidR="00DC3599" w:rsidRPr="00005453" w:rsidRDefault="00DC3599" w:rsidP="00DC3599">
            <w:pPr>
              <w:jc w:val="right"/>
              <w:rPr>
                <w:bCs/>
                <w:sz w:val="14"/>
                <w:szCs w:val="14"/>
              </w:rPr>
            </w:pPr>
            <w:r w:rsidRPr="00005453">
              <w:rPr>
                <w:sz w:val="14"/>
                <w:szCs w:val="18"/>
              </w:rPr>
              <w:t>3,150,772</w:t>
            </w:r>
          </w:p>
        </w:tc>
        <w:tc>
          <w:tcPr>
            <w:tcW w:w="1015" w:type="dxa"/>
            <w:tcBorders>
              <w:top w:val="nil"/>
              <w:left w:val="single" w:sz="4" w:space="0" w:color="auto"/>
              <w:bottom w:val="nil"/>
              <w:right w:val="single" w:sz="4" w:space="0" w:color="auto"/>
            </w:tcBorders>
            <w:shd w:val="clear" w:color="auto" w:fill="auto"/>
            <w:vAlign w:val="center"/>
            <w:hideMark/>
          </w:tcPr>
          <w:p w14:paraId="5CF4D876" w14:textId="04242BC2" w:rsidR="00DC3599" w:rsidRPr="00005453" w:rsidRDefault="00DC3599" w:rsidP="00DC3599">
            <w:pPr>
              <w:jc w:val="right"/>
              <w:rPr>
                <w:bCs/>
                <w:sz w:val="14"/>
                <w:szCs w:val="14"/>
              </w:rPr>
            </w:pPr>
            <w:r w:rsidRPr="00005453">
              <w:rPr>
                <w:sz w:val="14"/>
                <w:szCs w:val="18"/>
              </w:rPr>
              <w:t>8,948,432</w:t>
            </w:r>
          </w:p>
        </w:tc>
        <w:tc>
          <w:tcPr>
            <w:tcW w:w="992" w:type="dxa"/>
            <w:tcBorders>
              <w:top w:val="nil"/>
              <w:left w:val="single" w:sz="4" w:space="0" w:color="auto"/>
              <w:bottom w:val="nil"/>
              <w:right w:val="single" w:sz="4" w:space="0" w:color="auto"/>
            </w:tcBorders>
            <w:shd w:val="clear" w:color="auto" w:fill="auto"/>
            <w:vAlign w:val="center"/>
            <w:hideMark/>
          </w:tcPr>
          <w:p w14:paraId="382117C9" w14:textId="609E43E1" w:rsidR="00DC3599" w:rsidRPr="00005453" w:rsidRDefault="00DC3599" w:rsidP="00DC3599">
            <w:pPr>
              <w:jc w:val="right"/>
              <w:rPr>
                <w:sz w:val="14"/>
                <w:szCs w:val="14"/>
                <w:lang w:eastAsia="tr-TR"/>
              </w:rPr>
            </w:pPr>
            <w:r w:rsidRPr="00E41120">
              <w:rPr>
                <w:bCs/>
                <w:sz w:val="14"/>
                <w:szCs w:val="14"/>
              </w:rPr>
              <w:t>3,152,926</w:t>
            </w:r>
          </w:p>
        </w:tc>
        <w:tc>
          <w:tcPr>
            <w:tcW w:w="945" w:type="dxa"/>
            <w:tcBorders>
              <w:top w:val="nil"/>
              <w:left w:val="single" w:sz="4" w:space="0" w:color="auto"/>
              <w:bottom w:val="nil"/>
              <w:right w:val="single" w:sz="4" w:space="0" w:color="auto"/>
            </w:tcBorders>
            <w:shd w:val="clear" w:color="auto" w:fill="auto"/>
            <w:vAlign w:val="center"/>
            <w:hideMark/>
          </w:tcPr>
          <w:p w14:paraId="689A4997" w14:textId="1A8BAB0B" w:rsidR="00DC3599" w:rsidRPr="00005453" w:rsidRDefault="00DC3599" w:rsidP="00DC3599">
            <w:pPr>
              <w:jc w:val="right"/>
              <w:rPr>
                <w:sz w:val="14"/>
                <w:szCs w:val="14"/>
                <w:lang w:eastAsia="tr-TR"/>
              </w:rPr>
            </w:pPr>
            <w:r w:rsidRPr="00E41120">
              <w:rPr>
                <w:bCs/>
                <w:sz w:val="14"/>
                <w:szCs w:val="14"/>
              </w:rPr>
              <w:t>235,462</w:t>
            </w:r>
          </w:p>
        </w:tc>
        <w:tc>
          <w:tcPr>
            <w:tcW w:w="1039" w:type="dxa"/>
            <w:tcBorders>
              <w:top w:val="nil"/>
              <w:left w:val="single" w:sz="4" w:space="0" w:color="auto"/>
              <w:bottom w:val="nil"/>
              <w:right w:val="single" w:sz="4" w:space="0" w:color="auto"/>
            </w:tcBorders>
            <w:shd w:val="clear" w:color="auto" w:fill="auto"/>
            <w:vAlign w:val="center"/>
            <w:hideMark/>
          </w:tcPr>
          <w:p w14:paraId="02062251" w14:textId="1F2DB52F" w:rsidR="00DC3599" w:rsidRPr="00005453" w:rsidRDefault="00DC3599" w:rsidP="00DC3599">
            <w:pPr>
              <w:jc w:val="right"/>
              <w:rPr>
                <w:sz w:val="14"/>
                <w:szCs w:val="14"/>
                <w:lang w:eastAsia="tr-TR"/>
              </w:rPr>
            </w:pPr>
            <w:r w:rsidRPr="00E41120">
              <w:rPr>
                <w:bCs/>
                <w:sz w:val="14"/>
                <w:szCs w:val="14"/>
              </w:rPr>
              <w:t>3,388,388</w:t>
            </w:r>
          </w:p>
        </w:tc>
      </w:tr>
      <w:tr w:rsidR="00DC3599" w:rsidRPr="00005453" w14:paraId="00983C63"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1D31D31F" w14:textId="77777777" w:rsidR="00DC3599" w:rsidRPr="00005453" w:rsidRDefault="00DC3599" w:rsidP="00DC3599">
            <w:pPr>
              <w:rPr>
                <w:color w:val="000000"/>
                <w:sz w:val="14"/>
                <w:szCs w:val="14"/>
                <w:lang w:eastAsia="tr-TR"/>
              </w:rPr>
            </w:pPr>
            <w:r w:rsidRPr="00005453">
              <w:rPr>
                <w:color w:val="000000"/>
                <w:sz w:val="14"/>
                <w:szCs w:val="14"/>
                <w:lang w:eastAsia="tr-TR"/>
              </w:rPr>
              <w:t>5.2.</w:t>
            </w:r>
          </w:p>
        </w:tc>
        <w:tc>
          <w:tcPr>
            <w:tcW w:w="3138" w:type="dxa"/>
            <w:tcBorders>
              <w:top w:val="nil"/>
              <w:left w:val="single" w:sz="4" w:space="0" w:color="auto"/>
              <w:bottom w:val="nil"/>
              <w:right w:val="single" w:sz="4" w:space="0" w:color="auto"/>
            </w:tcBorders>
            <w:shd w:val="clear" w:color="auto" w:fill="auto"/>
            <w:noWrap/>
            <w:hideMark/>
          </w:tcPr>
          <w:p w14:paraId="1B7D1EC3" w14:textId="77777777" w:rsidR="00DC3599" w:rsidRPr="00005453" w:rsidRDefault="00DC3599" w:rsidP="00DC3599">
            <w:pPr>
              <w:rPr>
                <w:color w:val="000000"/>
                <w:sz w:val="14"/>
                <w:szCs w:val="14"/>
                <w:lang w:eastAsia="tr-TR"/>
              </w:rPr>
            </w:pPr>
            <w:r w:rsidRPr="00005453">
              <w:rPr>
                <w:color w:val="000000"/>
                <w:sz w:val="14"/>
                <w:szCs w:val="14"/>
                <w:lang w:eastAsia="tr-TR"/>
              </w:rPr>
              <w:t>Teminat Senetleri</w:t>
            </w:r>
          </w:p>
        </w:tc>
        <w:tc>
          <w:tcPr>
            <w:tcW w:w="585" w:type="dxa"/>
            <w:tcBorders>
              <w:top w:val="nil"/>
              <w:left w:val="single" w:sz="4" w:space="0" w:color="auto"/>
              <w:bottom w:val="nil"/>
              <w:right w:val="single" w:sz="4" w:space="0" w:color="auto"/>
            </w:tcBorders>
            <w:shd w:val="clear" w:color="auto" w:fill="auto"/>
            <w:vAlign w:val="center"/>
            <w:hideMark/>
          </w:tcPr>
          <w:p w14:paraId="2A11D1CB"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8AA2002" w14:textId="345C5D58" w:rsidR="00DC3599" w:rsidRPr="00005453" w:rsidRDefault="00DC3599" w:rsidP="00DC3599">
            <w:pPr>
              <w:jc w:val="right"/>
              <w:rPr>
                <w:bCs/>
                <w:sz w:val="14"/>
                <w:szCs w:val="14"/>
              </w:rPr>
            </w:pPr>
            <w:r w:rsidRPr="00005453">
              <w:rPr>
                <w:sz w:val="14"/>
                <w:szCs w:val="18"/>
              </w:rPr>
              <w:t>100,977</w:t>
            </w:r>
          </w:p>
        </w:tc>
        <w:tc>
          <w:tcPr>
            <w:tcW w:w="992" w:type="dxa"/>
            <w:tcBorders>
              <w:top w:val="nil"/>
              <w:left w:val="single" w:sz="4" w:space="0" w:color="auto"/>
              <w:bottom w:val="nil"/>
              <w:right w:val="single" w:sz="4" w:space="0" w:color="auto"/>
            </w:tcBorders>
            <w:shd w:val="clear" w:color="auto" w:fill="auto"/>
            <w:vAlign w:val="center"/>
            <w:hideMark/>
          </w:tcPr>
          <w:p w14:paraId="019A963E" w14:textId="7F47F656" w:rsidR="00DC3599" w:rsidRPr="00005453" w:rsidRDefault="00DC3599" w:rsidP="00DC3599">
            <w:pPr>
              <w:jc w:val="right"/>
              <w:rPr>
                <w:bCs/>
                <w:sz w:val="14"/>
                <w:szCs w:val="14"/>
              </w:rPr>
            </w:pPr>
            <w:r w:rsidRPr="00005453">
              <w:rPr>
                <w:sz w:val="14"/>
                <w:szCs w:val="18"/>
              </w:rPr>
              <w:t>14,953,279</w:t>
            </w:r>
          </w:p>
        </w:tc>
        <w:tc>
          <w:tcPr>
            <w:tcW w:w="1015" w:type="dxa"/>
            <w:tcBorders>
              <w:top w:val="nil"/>
              <w:left w:val="single" w:sz="4" w:space="0" w:color="auto"/>
              <w:bottom w:val="nil"/>
              <w:right w:val="single" w:sz="4" w:space="0" w:color="auto"/>
            </w:tcBorders>
            <w:shd w:val="clear" w:color="auto" w:fill="auto"/>
            <w:vAlign w:val="center"/>
            <w:hideMark/>
          </w:tcPr>
          <w:p w14:paraId="22826DC4" w14:textId="644D100F" w:rsidR="00DC3599" w:rsidRPr="00005453" w:rsidRDefault="00DC3599" w:rsidP="00DC3599">
            <w:pPr>
              <w:jc w:val="right"/>
              <w:rPr>
                <w:bCs/>
                <w:sz w:val="14"/>
                <w:szCs w:val="14"/>
              </w:rPr>
            </w:pPr>
            <w:r w:rsidRPr="00005453">
              <w:rPr>
                <w:sz w:val="14"/>
                <w:szCs w:val="18"/>
              </w:rPr>
              <w:t>15,054,256</w:t>
            </w:r>
          </w:p>
        </w:tc>
        <w:tc>
          <w:tcPr>
            <w:tcW w:w="992" w:type="dxa"/>
            <w:tcBorders>
              <w:top w:val="nil"/>
              <w:left w:val="single" w:sz="4" w:space="0" w:color="auto"/>
              <w:bottom w:val="nil"/>
              <w:right w:val="single" w:sz="4" w:space="0" w:color="auto"/>
            </w:tcBorders>
            <w:shd w:val="clear" w:color="auto" w:fill="auto"/>
            <w:vAlign w:val="center"/>
            <w:hideMark/>
          </w:tcPr>
          <w:p w14:paraId="00B9B640" w14:textId="286CE333" w:rsidR="00DC3599" w:rsidRPr="00005453" w:rsidRDefault="00DC3599" w:rsidP="00DC3599">
            <w:pPr>
              <w:jc w:val="right"/>
              <w:rPr>
                <w:sz w:val="14"/>
                <w:szCs w:val="14"/>
                <w:lang w:eastAsia="tr-TR"/>
              </w:rPr>
            </w:pPr>
            <w:r w:rsidRPr="00E41120">
              <w:rPr>
                <w:bCs/>
                <w:sz w:val="14"/>
                <w:szCs w:val="14"/>
              </w:rPr>
              <w:t>100,977</w:t>
            </w:r>
          </w:p>
        </w:tc>
        <w:tc>
          <w:tcPr>
            <w:tcW w:w="945" w:type="dxa"/>
            <w:tcBorders>
              <w:top w:val="nil"/>
              <w:left w:val="single" w:sz="4" w:space="0" w:color="auto"/>
              <w:bottom w:val="nil"/>
              <w:right w:val="single" w:sz="4" w:space="0" w:color="auto"/>
            </w:tcBorders>
            <w:shd w:val="clear" w:color="auto" w:fill="auto"/>
            <w:vAlign w:val="center"/>
            <w:hideMark/>
          </w:tcPr>
          <w:p w14:paraId="6F915D26" w14:textId="79A3B0D6" w:rsidR="00DC3599" w:rsidRPr="00005453" w:rsidRDefault="00DC3599" w:rsidP="00DC3599">
            <w:pPr>
              <w:jc w:val="right"/>
              <w:rPr>
                <w:sz w:val="14"/>
                <w:szCs w:val="14"/>
                <w:lang w:eastAsia="tr-TR"/>
              </w:rPr>
            </w:pPr>
            <w:r w:rsidRPr="00E41120">
              <w:rPr>
                <w:bCs/>
                <w:sz w:val="14"/>
                <w:szCs w:val="14"/>
              </w:rPr>
              <w:t>11,889,942</w:t>
            </w:r>
          </w:p>
        </w:tc>
        <w:tc>
          <w:tcPr>
            <w:tcW w:w="1039" w:type="dxa"/>
            <w:tcBorders>
              <w:top w:val="nil"/>
              <w:left w:val="single" w:sz="4" w:space="0" w:color="auto"/>
              <w:bottom w:val="nil"/>
              <w:right w:val="single" w:sz="4" w:space="0" w:color="auto"/>
            </w:tcBorders>
            <w:shd w:val="clear" w:color="auto" w:fill="auto"/>
            <w:vAlign w:val="center"/>
            <w:hideMark/>
          </w:tcPr>
          <w:p w14:paraId="36AF5D3A" w14:textId="538609F0" w:rsidR="00DC3599" w:rsidRPr="00005453" w:rsidRDefault="00DC3599" w:rsidP="00DC3599">
            <w:pPr>
              <w:jc w:val="right"/>
              <w:rPr>
                <w:sz w:val="14"/>
                <w:szCs w:val="14"/>
                <w:lang w:eastAsia="tr-TR"/>
              </w:rPr>
            </w:pPr>
            <w:r w:rsidRPr="00E41120">
              <w:rPr>
                <w:bCs/>
                <w:sz w:val="14"/>
                <w:szCs w:val="14"/>
              </w:rPr>
              <w:t>11,990,919</w:t>
            </w:r>
          </w:p>
        </w:tc>
      </w:tr>
      <w:tr w:rsidR="00DC3599" w:rsidRPr="00005453" w14:paraId="783707F5"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B514BEC" w14:textId="77777777" w:rsidR="00DC3599" w:rsidRPr="00005453" w:rsidRDefault="00DC3599" w:rsidP="00DC3599">
            <w:pPr>
              <w:rPr>
                <w:color w:val="000000"/>
                <w:sz w:val="14"/>
                <w:szCs w:val="14"/>
                <w:lang w:eastAsia="tr-TR"/>
              </w:rPr>
            </w:pPr>
            <w:r w:rsidRPr="00005453">
              <w:rPr>
                <w:color w:val="000000"/>
                <w:sz w:val="14"/>
                <w:szCs w:val="14"/>
                <w:lang w:eastAsia="tr-TR"/>
              </w:rPr>
              <w:t>5.3.</w:t>
            </w:r>
          </w:p>
        </w:tc>
        <w:tc>
          <w:tcPr>
            <w:tcW w:w="3138" w:type="dxa"/>
            <w:tcBorders>
              <w:top w:val="nil"/>
              <w:left w:val="single" w:sz="4" w:space="0" w:color="auto"/>
              <w:bottom w:val="nil"/>
              <w:right w:val="single" w:sz="4" w:space="0" w:color="auto"/>
            </w:tcBorders>
            <w:shd w:val="clear" w:color="auto" w:fill="auto"/>
            <w:noWrap/>
            <w:hideMark/>
          </w:tcPr>
          <w:p w14:paraId="28DA9226" w14:textId="77777777" w:rsidR="00DC3599" w:rsidRPr="00005453" w:rsidRDefault="00DC3599" w:rsidP="00DC3599">
            <w:pPr>
              <w:rPr>
                <w:color w:val="000000"/>
                <w:sz w:val="14"/>
                <w:szCs w:val="14"/>
                <w:lang w:eastAsia="tr-TR"/>
              </w:rPr>
            </w:pPr>
            <w:r w:rsidRPr="00005453">
              <w:rPr>
                <w:color w:val="000000"/>
                <w:sz w:val="14"/>
                <w:szCs w:val="14"/>
                <w:lang w:eastAsia="tr-TR"/>
              </w:rPr>
              <w:t>Emtia</w:t>
            </w:r>
          </w:p>
        </w:tc>
        <w:tc>
          <w:tcPr>
            <w:tcW w:w="585" w:type="dxa"/>
            <w:tcBorders>
              <w:top w:val="nil"/>
              <w:left w:val="single" w:sz="4" w:space="0" w:color="auto"/>
              <w:bottom w:val="nil"/>
              <w:right w:val="single" w:sz="4" w:space="0" w:color="auto"/>
            </w:tcBorders>
            <w:shd w:val="clear" w:color="auto" w:fill="auto"/>
            <w:vAlign w:val="center"/>
            <w:hideMark/>
          </w:tcPr>
          <w:p w14:paraId="64259318"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088F103" w14:textId="42E92A10" w:rsidR="00DC3599" w:rsidRPr="00005453" w:rsidRDefault="00DC3599" w:rsidP="00DC3599">
            <w:pPr>
              <w:jc w:val="right"/>
              <w:rPr>
                <w:bCs/>
                <w:sz w:val="14"/>
                <w:szCs w:val="14"/>
              </w:rPr>
            </w:pPr>
            <w:r w:rsidRPr="00005453">
              <w:rPr>
                <w:sz w:val="14"/>
                <w:szCs w:val="18"/>
              </w:rPr>
              <w:t>133,357,236</w:t>
            </w:r>
          </w:p>
        </w:tc>
        <w:tc>
          <w:tcPr>
            <w:tcW w:w="992" w:type="dxa"/>
            <w:tcBorders>
              <w:top w:val="nil"/>
              <w:left w:val="single" w:sz="4" w:space="0" w:color="auto"/>
              <w:bottom w:val="nil"/>
              <w:right w:val="single" w:sz="4" w:space="0" w:color="auto"/>
            </w:tcBorders>
            <w:shd w:val="clear" w:color="auto" w:fill="auto"/>
            <w:vAlign w:val="center"/>
            <w:hideMark/>
          </w:tcPr>
          <w:p w14:paraId="7092CC24" w14:textId="36A1EF64" w:rsidR="00DC3599" w:rsidRPr="00005453" w:rsidRDefault="00DC3599" w:rsidP="00DC3599">
            <w:pPr>
              <w:jc w:val="right"/>
              <w:rPr>
                <w:bCs/>
                <w:sz w:val="14"/>
                <w:szCs w:val="14"/>
              </w:rPr>
            </w:pPr>
            <w:r w:rsidRPr="00005453">
              <w:rPr>
                <w:sz w:val="14"/>
                <w:szCs w:val="18"/>
              </w:rPr>
              <w:t>54,581,832</w:t>
            </w:r>
          </w:p>
        </w:tc>
        <w:tc>
          <w:tcPr>
            <w:tcW w:w="1015" w:type="dxa"/>
            <w:tcBorders>
              <w:top w:val="nil"/>
              <w:left w:val="single" w:sz="4" w:space="0" w:color="auto"/>
              <w:bottom w:val="nil"/>
              <w:right w:val="single" w:sz="4" w:space="0" w:color="auto"/>
            </w:tcBorders>
            <w:shd w:val="clear" w:color="auto" w:fill="auto"/>
            <w:vAlign w:val="center"/>
            <w:hideMark/>
          </w:tcPr>
          <w:p w14:paraId="4AAE68EE" w14:textId="59D0A530" w:rsidR="00DC3599" w:rsidRPr="00005453" w:rsidRDefault="00DC3599" w:rsidP="00DC3599">
            <w:pPr>
              <w:jc w:val="right"/>
              <w:rPr>
                <w:bCs/>
                <w:sz w:val="14"/>
                <w:szCs w:val="14"/>
              </w:rPr>
            </w:pPr>
            <w:r w:rsidRPr="00005453">
              <w:rPr>
                <w:sz w:val="14"/>
                <w:szCs w:val="18"/>
              </w:rPr>
              <w:t>187,939,068</w:t>
            </w:r>
          </w:p>
        </w:tc>
        <w:tc>
          <w:tcPr>
            <w:tcW w:w="992" w:type="dxa"/>
            <w:tcBorders>
              <w:top w:val="nil"/>
              <w:left w:val="single" w:sz="4" w:space="0" w:color="auto"/>
              <w:bottom w:val="nil"/>
              <w:right w:val="single" w:sz="4" w:space="0" w:color="auto"/>
            </w:tcBorders>
            <w:shd w:val="clear" w:color="auto" w:fill="auto"/>
            <w:vAlign w:val="center"/>
            <w:hideMark/>
          </w:tcPr>
          <w:p w14:paraId="1FFC4303" w14:textId="7D9A5AB7" w:rsidR="00DC3599" w:rsidRPr="00005453" w:rsidRDefault="00DC3599" w:rsidP="00DC3599">
            <w:pPr>
              <w:jc w:val="right"/>
              <w:rPr>
                <w:sz w:val="14"/>
                <w:szCs w:val="14"/>
                <w:lang w:eastAsia="tr-TR"/>
              </w:rPr>
            </w:pPr>
            <w:r w:rsidRPr="00E41120">
              <w:rPr>
                <w:bCs/>
                <w:sz w:val="14"/>
                <w:szCs w:val="14"/>
              </w:rPr>
              <w:t>67,498,620</w:t>
            </w:r>
          </w:p>
        </w:tc>
        <w:tc>
          <w:tcPr>
            <w:tcW w:w="945" w:type="dxa"/>
            <w:tcBorders>
              <w:top w:val="nil"/>
              <w:left w:val="single" w:sz="4" w:space="0" w:color="auto"/>
              <w:bottom w:val="nil"/>
              <w:right w:val="single" w:sz="4" w:space="0" w:color="auto"/>
            </w:tcBorders>
            <w:shd w:val="clear" w:color="auto" w:fill="auto"/>
            <w:vAlign w:val="center"/>
            <w:hideMark/>
          </w:tcPr>
          <w:p w14:paraId="2BA387AF" w14:textId="32754641" w:rsidR="00DC3599" w:rsidRPr="00005453" w:rsidRDefault="00DC3599" w:rsidP="00DC3599">
            <w:pPr>
              <w:jc w:val="right"/>
              <w:rPr>
                <w:sz w:val="14"/>
                <w:szCs w:val="14"/>
                <w:lang w:eastAsia="tr-TR"/>
              </w:rPr>
            </w:pPr>
            <w:r w:rsidRPr="00E41120">
              <w:rPr>
                <w:bCs/>
                <w:sz w:val="14"/>
                <w:szCs w:val="14"/>
              </w:rPr>
              <w:t>3,423,389</w:t>
            </w:r>
          </w:p>
        </w:tc>
        <w:tc>
          <w:tcPr>
            <w:tcW w:w="1039" w:type="dxa"/>
            <w:tcBorders>
              <w:top w:val="nil"/>
              <w:left w:val="single" w:sz="4" w:space="0" w:color="auto"/>
              <w:bottom w:val="nil"/>
              <w:right w:val="single" w:sz="4" w:space="0" w:color="auto"/>
            </w:tcBorders>
            <w:shd w:val="clear" w:color="auto" w:fill="auto"/>
            <w:vAlign w:val="center"/>
            <w:hideMark/>
          </w:tcPr>
          <w:p w14:paraId="3B9903E4" w14:textId="38AD2E41" w:rsidR="00DC3599" w:rsidRPr="00005453" w:rsidRDefault="00DC3599" w:rsidP="00DC3599">
            <w:pPr>
              <w:jc w:val="right"/>
              <w:rPr>
                <w:sz w:val="14"/>
                <w:szCs w:val="14"/>
                <w:lang w:eastAsia="tr-TR"/>
              </w:rPr>
            </w:pPr>
            <w:r w:rsidRPr="00E41120">
              <w:rPr>
                <w:bCs/>
                <w:sz w:val="14"/>
                <w:szCs w:val="14"/>
              </w:rPr>
              <w:t>70,922,009</w:t>
            </w:r>
          </w:p>
        </w:tc>
      </w:tr>
      <w:tr w:rsidR="00DC3599" w:rsidRPr="00005453" w14:paraId="30FB80F9"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723942CE" w14:textId="77777777" w:rsidR="00DC3599" w:rsidRPr="00005453" w:rsidRDefault="00DC3599" w:rsidP="00DC3599">
            <w:pPr>
              <w:rPr>
                <w:color w:val="000000"/>
                <w:sz w:val="14"/>
                <w:szCs w:val="14"/>
                <w:lang w:eastAsia="tr-TR"/>
              </w:rPr>
            </w:pPr>
            <w:r w:rsidRPr="00005453">
              <w:rPr>
                <w:color w:val="000000"/>
                <w:sz w:val="14"/>
                <w:szCs w:val="14"/>
                <w:lang w:eastAsia="tr-TR"/>
              </w:rPr>
              <w:t>5.4.</w:t>
            </w:r>
          </w:p>
        </w:tc>
        <w:tc>
          <w:tcPr>
            <w:tcW w:w="3138" w:type="dxa"/>
            <w:tcBorders>
              <w:top w:val="nil"/>
              <w:left w:val="single" w:sz="4" w:space="0" w:color="auto"/>
              <w:bottom w:val="nil"/>
              <w:right w:val="single" w:sz="4" w:space="0" w:color="auto"/>
            </w:tcBorders>
            <w:shd w:val="clear" w:color="auto" w:fill="auto"/>
            <w:noWrap/>
            <w:hideMark/>
          </w:tcPr>
          <w:p w14:paraId="19C4BBF8" w14:textId="77777777" w:rsidR="00DC3599" w:rsidRPr="00005453" w:rsidRDefault="00DC3599" w:rsidP="00DC3599">
            <w:pPr>
              <w:rPr>
                <w:color w:val="000000"/>
                <w:sz w:val="14"/>
                <w:szCs w:val="14"/>
                <w:lang w:eastAsia="tr-TR"/>
              </w:rPr>
            </w:pPr>
            <w:r w:rsidRPr="00005453">
              <w:rPr>
                <w:color w:val="000000"/>
                <w:sz w:val="14"/>
                <w:szCs w:val="14"/>
                <w:lang w:eastAsia="tr-TR"/>
              </w:rPr>
              <w:t>Varant</w:t>
            </w:r>
          </w:p>
        </w:tc>
        <w:tc>
          <w:tcPr>
            <w:tcW w:w="585" w:type="dxa"/>
            <w:tcBorders>
              <w:top w:val="nil"/>
              <w:left w:val="single" w:sz="4" w:space="0" w:color="auto"/>
              <w:bottom w:val="nil"/>
              <w:right w:val="single" w:sz="4" w:space="0" w:color="auto"/>
            </w:tcBorders>
            <w:shd w:val="clear" w:color="auto" w:fill="auto"/>
            <w:vAlign w:val="center"/>
            <w:hideMark/>
          </w:tcPr>
          <w:p w14:paraId="2B6BD88F"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35FBA04" w14:textId="1705660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A702403" w14:textId="46D20BF9"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6B226AE4" w14:textId="51940EE6"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26BAAEF" w14:textId="78B21810"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7896147" w14:textId="5C821D60"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0C659B17" w14:textId="536CF051" w:rsidR="00DC3599" w:rsidRPr="00005453" w:rsidRDefault="00DC3599" w:rsidP="00DC3599">
            <w:pPr>
              <w:jc w:val="right"/>
              <w:rPr>
                <w:sz w:val="14"/>
                <w:szCs w:val="14"/>
                <w:lang w:eastAsia="tr-TR"/>
              </w:rPr>
            </w:pPr>
            <w:r w:rsidRPr="00E41120">
              <w:rPr>
                <w:bCs/>
                <w:sz w:val="14"/>
                <w:szCs w:val="14"/>
              </w:rPr>
              <w:t>-</w:t>
            </w:r>
          </w:p>
        </w:tc>
      </w:tr>
      <w:tr w:rsidR="00DC3599" w:rsidRPr="00005453" w14:paraId="13A59812" w14:textId="77777777" w:rsidTr="00DC3599">
        <w:trPr>
          <w:divId w:val="150484548"/>
          <w:trHeight w:val="63"/>
        </w:trPr>
        <w:tc>
          <w:tcPr>
            <w:tcW w:w="525" w:type="dxa"/>
            <w:tcBorders>
              <w:top w:val="nil"/>
              <w:left w:val="single" w:sz="4" w:space="0" w:color="auto"/>
              <w:bottom w:val="nil"/>
              <w:right w:val="single" w:sz="4" w:space="0" w:color="auto"/>
            </w:tcBorders>
            <w:shd w:val="clear" w:color="auto" w:fill="auto"/>
            <w:noWrap/>
            <w:hideMark/>
          </w:tcPr>
          <w:p w14:paraId="3B8F8C1A" w14:textId="77777777" w:rsidR="00DC3599" w:rsidRPr="00005453" w:rsidRDefault="00DC3599" w:rsidP="00DC3599">
            <w:pPr>
              <w:rPr>
                <w:color w:val="000000"/>
                <w:sz w:val="14"/>
                <w:szCs w:val="14"/>
                <w:lang w:eastAsia="tr-TR"/>
              </w:rPr>
            </w:pPr>
            <w:r w:rsidRPr="00005453">
              <w:rPr>
                <w:color w:val="000000"/>
                <w:sz w:val="14"/>
                <w:szCs w:val="14"/>
                <w:lang w:eastAsia="tr-TR"/>
              </w:rPr>
              <w:t>5.5.</w:t>
            </w:r>
          </w:p>
        </w:tc>
        <w:tc>
          <w:tcPr>
            <w:tcW w:w="3138" w:type="dxa"/>
            <w:tcBorders>
              <w:top w:val="nil"/>
              <w:left w:val="single" w:sz="4" w:space="0" w:color="auto"/>
              <w:bottom w:val="nil"/>
              <w:right w:val="single" w:sz="4" w:space="0" w:color="auto"/>
            </w:tcBorders>
            <w:shd w:val="clear" w:color="auto" w:fill="auto"/>
            <w:noWrap/>
            <w:hideMark/>
          </w:tcPr>
          <w:p w14:paraId="0CFE8B67" w14:textId="77777777" w:rsidR="00DC3599" w:rsidRPr="00005453" w:rsidRDefault="00DC3599" w:rsidP="00DC3599">
            <w:pPr>
              <w:rPr>
                <w:color w:val="000000"/>
                <w:sz w:val="14"/>
                <w:szCs w:val="14"/>
                <w:lang w:eastAsia="tr-TR"/>
              </w:rPr>
            </w:pPr>
            <w:r w:rsidRPr="00005453">
              <w:rPr>
                <w:color w:val="000000"/>
                <w:sz w:val="14"/>
                <w:szCs w:val="14"/>
                <w:lang w:eastAsia="tr-TR"/>
              </w:rPr>
              <w:t>Gayrimenkul</w:t>
            </w:r>
          </w:p>
        </w:tc>
        <w:tc>
          <w:tcPr>
            <w:tcW w:w="585" w:type="dxa"/>
            <w:tcBorders>
              <w:top w:val="nil"/>
              <w:left w:val="single" w:sz="4" w:space="0" w:color="auto"/>
              <w:bottom w:val="nil"/>
              <w:right w:val="single" w:sz="4" w:space="0" w:color="auto"/>
            </w:tcBorders>
            <w:shd w:val="clear" w:color="auto" w:fill="auto"/>
            <w:vAlign w:val="center"/>
            <w:hideMark/>
          </w:tcPr>
          <w:p w14:paraId="1C36AC9C"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888AD5E" w14:textId="51FB12EE" w:rsidR="00DC3599" w:rsidRPr="00005453" w:rsidRDefault="00DC3599" w:rsidP="00DC3599">
            <w:pPr>
              <w:jc w:val="right"/>
              <w:rPr>
                <w:bCs/>
                <w:sz w:val="14"/>
                <w:szCs w:val="14"/>
              </w:rPr>
            </w:pPr>
            <w:r w:rsidRPr="00005453">
              <w:rPr>
                <w:sz w:val="14"/>
                <w:szCs w:val="18"/>
              </w:rPr>
              <w:t>914,931,926</w:t>
            </w:r>
          </w:p>
        </w:tc>
        <w:tc>
          <w:tcPr>
            <w:tcW w:w="992" w:type="dxa"/>
            <w:tcBorders>
              <w:top w:val="nil"/>
              <w:left w:val="single" w:sz="4" w:space="0" w:color="auto"/>
              <w:bottom w:val="nil"/>
              <w:right w:val="single" w:sz="4" w:space="0" w:color="auto"/>
            </w:tcBorders>
            <w:shd w:val="clear" w:color="auto" w:fill="auto"/>
            <w:vAlign w:val="center"/>
            <w:hideMark/>
          </w:tcPr>
          <w:p w14:paraId="2E6FE10A" w14:textId="598FFC90" w:rsidR="00DC3599" w:rsidRPr="00005453" w:rsidRDefault="00DC3599" w:rsidP="00DC3599">
            <w:pPr>
              <w:jc w:val="right"/>
              <w:rPr>
                <w:bCs/>
                <w:sz w:val="14"/>
                <w:szCs w:val="14"/>
              </w:rPr>
            </w:pPr>
            <w:r w:rsidRPr="00005453">
              <w:rPr>
                <w:sz w:val="14"/>
                <w:szCs w:val="18"/>
              </w:rPr>
              <w:t>37,315,693</w:t>
            </w:r>
          </w:p>
        </w:tc>
        <w:tc>
          <w:tcPr>
            <w:tcW w:w="1015" w:type="dxa"/>
            <w:tcBorders>
              <w:top w:val="nil"/>
              <w:left w:val="single" w:sz="4" w:space="0" w:color="auto"/>
              <w:bottom w:val="nil"/>
              <w:right w:val="single" w:sz="4" w:space="0" w:color="auto"/>
            </w:tcBorders>
            <w:shd w:val="clear" w:color="auto" w:fill="auto"/>
            <w:vAlign w:val="center"/>
            <w:hideMark/>
          </w:tcPr>
          <w:p w14:paraId="15191A12" w14:textId="38C1BC28" w:rsidR="00DC3599" w:rsidRPr="00005453" w:rsidRDefault="00DC3599" w:rsidP="00DC3599">
            <w:pPr>
              <w:jc w:val="right"/>
              <w:rPr>
                <w:bCs/>
                <w:sz w:val="14"/>
                <w:szCs w:val="14"/>
              </w:rPr>
            </w:pPr>
            <w:r w:rsidRPr="00005453">
              <w:rPr>
                <w:sz w:val="14"/>
                <w:szCs w:val="18"/>
              </w:rPr>
              <w:t>952,247,619</w:t>
            </w:r>
          </w:p>
        </w:tc>
        <w:tc>
          <w:tcPr>
            <w:tcW w:w="992" w:type="dxa"/>
            <w:tcBorders>
              <w:top w:val="nil"/>
              <w:left w:val="single" w:sz="4" w:space="0" w:color="auto"/>
              <w:bottom w:val="nil"/>
              <w:right w:val="single" w:sz="4" w:space="0" w:color="auto"/>
            </w:tcBorders>
            <w:shd w:val="clear" w:color="auto" w:fill="auto"/>
            <w:vAlign w:val="center"/>
            <w:hideMark/>
          </w:tcPr>
          <w:p w14:paraId="7F09EB6B" w14:textId="262F3E5A" w:rsidR="00DC3599" w:rsidRPr="00005453" w:rsidRDefault="00DC3599" w:rsidP="00DC3599">
            <w:pPr>
              <w:jc w:val="right"/>
              <w:rPr>
                <w:sz w:val="14"/>
                <w:szCs w:val="14"/>
                <w:lang w:eastAsia="tr-TR"/>
              </w:rPr>
            </w:pPr>
            <w:r w:rsidRPr="00E41120">
              <w:rPr>
                <w:bCs/>
                <w:sz w:val="14"/>
                <w:szCs w:val="14"/>
              </w:rPr>
              <w:t>523,785,679</w:t>
            </w:r>
          </w:p>
        </w:tc>
        <w:tc>
          <w:tcPr>
            <w:tcW w:w="945" w:type="dxa"/>
            <w:tcBorders>
              <w:top w:val="nil"/>
              <w:left w:val="single" w:sz="4" w:space="0" w:color="auto"/>
              <w:bottom w:val="nil"/>
              <w:right w:val="single" w:sz="4" w:space="0" w:color="auto"/>
            </w:tcBorders>
            <w:shd w:val="clear" w:color="auto" w:fill="auto"/>
            <w:vAlign w:val="center"/>
            <w:hideMark/>
          </w:tcPr>
          <w:p w14:paraId="3A9961A1" w14:textId="77380943" w:rsidR="00DC3599" w:rsidRPr="00005453" w:rsidRDefault="00DC3599" w:rsidP="00DC3599">
            <w:pPr>
              <w:jc w:val="right"/>
              <w:rPr>
                <w:sz w:val="14"/>
                <w:szCs w:val="14"/>
                <w:lang w:eastAsia="tr-TR"/>
              </w:rPr>
            </w:pPr>
            <w:r w:rsidRPr="00E41120">
              <w:rPr>
                <w:bCs/>
                <w:sz w:val="14"/>
                <w:szCs w:val="14"/>
              </w:rPr>
              <w:t>31,954,004</w:t>
            </w:r>
          </w:p>
        </w:tc>
        <w:tc>
          <w:tcPr>
            <w:tcW w:w="1039" w:type="dxa"/>
            <w:tcBorders>
              <w:top w:val="nil"/>
              <w:left w:val="single" w:sz="4" w:space="0" w:color="auto"/>
              <w:bottom w:val="nil"/>
              <w:right w:val="single" w:sz="4" w:space="0" w:color="auto"/>
            </w:tcBorders>
            <w:shd w:val="clear" w:color="auto" w:fill="auto"/>
            <w:vAlign w:val="center"/>
            <w:hideMark/>
          </w:tcPr>
          <w:p w14:paraId="29433DC6" w14:textId="0D2AAA0F" w:rsidR="00DC3599" w:rsidRPr="00005453" w:rsidRDefault="00DC3599" w:rsidP="00DC3599">
            <w:pPr>
              <w:jc w:val="right"/>
              <w:rPr>
                <w:sz w:val="14"/>
                <w:szCs w:val="14"/>
                <w:lang w:eastAsia="tr-TR"/>
              </w:rPr>
            </w:pPr>
            <w:r w:rsidRPr="00E41120">
              <w:rPr>
                <w:bCs/>
                <w:sz w:val="14"/>
                <w:szCs w:val="14"/>
              </w:rPr>
              <w:t>555,739,683</w:t>
            </w:r>
          </w:p>
        </w:tc>
      </w:tr>
      <w:tr w:rsidR="00DC3599" w:rsidRPr="00005453" w14:paraId="62AE9FC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52C7946C" w14:textId="77777777" w:rsidR="00DC3599" w:rsidRPr="00005453" w:rsidRDefault="00DC3599" w:rsidP="00DC3599">
            <w:pPr>
              <w:rPr>
                <w:color w:val="000000"/>
                <w:sz w:val="14"/>
                <w:szCs w:val="14"/>
                <w:lang w:eastAsia="tr-TR"/>
              </w:rPr>
            </w:pPr>
            <w:r w:rsidRPr="00005453">
              <w:rPr>
                <w:color w:val="000000"/>
                <w:sz w:val="14"/>
                <w:szCs w:val="14"/>
                <w:lang w:eastAsia="tr-TR"/>
              </w:rPr>
              <w:t>5.6.</w:t>
            </w:r>
          </w:p>
        </w:tc>
        <w:tc>
          <w:tcPr>
            <w:tcW w:w="3138" w:type="dxa"/>
            <w:tcBorders>
              <w:top w:val="nil"/>
              <w:left w:val="single" w:sz="4" w:space="0" w:color="auto"/>
              <w:bottom w:val="nil"/>
              <w:right w:val="single" w:sz="4" w:space="0" w:color="auto"/>
            </w:tcBorders>
            <w:shd w:val="clear" w:color="auto" w:fill="auto"/>
            <w:noWrap/>
            <w:hideMark/>
          </w:tcPr>
          <w:p w14:paraId="4D95E1AE" w14:textId="77777777" w:rsidR="00DC3599" w:rsidRPr="00005453" w:rsidRDefault="00DC3599" w:rsidP="00DC3599">
            <w:pPr>
              <w:rPr>
                <w:color w:val="000000"/>
                <w:sz w:val="14"/>
                <w:szCs w:val="14"/>
                <w:lang w:eastAsia="tr-TR"/>
              </w:rPr>
            </w:pPr>
            <w:r w:rsidRPr="00005453">
              <w:rPr>
                <w:color w:val="000000"/>
                <w:sz w:val="14"/>
                <w:szCs w:val="14"/>
                <w:lang w:eastAsia="tr-TR"/>
              </w:rPr>
              <w:t>Diğer Rehinli Kıymetler</w:t>
            </w:r>
          </w:p>
        </w:tc>
        <w:tc>
          <w:tcPr>
            <w:tcW w:w="585" w:type="dxa"/>
            <w:tcBorders>
              <w:top w:val="nil"/>
              <w:left w:val="single" w:sz="4" w:space="0" w:color="auto"/>
              <w:bottom w:val="nil"/>
              <w:right w:val="single" w:sz="4" w:space="0" w:color="auto"/>
            </w:tcBorders>
            <w:shd w:val="clear" w:color="auto" w:fill="auto"/>
            <w:vAlign w:val="center"/>
            <w:hideMark/>
          </w:tcPr>
          <w:p w14:paraId="09FFA003"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EAA57BA" w14:textId="1706580B" w:rsidR="00DC3599" w:rsidRPr="00005453" w:rsidRDefault="00DC3599" w:rsidP="00DC3599">
            <w:pPr>
              <w:jc w:val="right"/>
              <w:rPr>
                <w:bCs/>
                <w:sz w:val="14"/>
                <w:szCs w:val="14"/>
              </w:rPr>
            </w:pPr>
            <w:r w:rsidRPr="00005453">
              <w:rPr>
                <w:sz w:val="14"/>
                <w:szCs w:val="18"/>
              </w:rPr>
              <w:t>2,893,769,293</w:t>
            </w:r>
          </w:p>
        </w:tc>
        <w:tc>
          <w:tcPr>
            <w:tcW w:w="992" w:type="dxa"/>
            <w:tcBorders>
              <w:top w:val="nil"/>
              <w:left w:val="single" w:sz="4" w:space="0" w:color="auto"/>
              <w:bottom w:val="nil"/>
              <w:right w:val="single" w:sz="4" w:space="0" w:color="auto"/>
            </w:tcBorders>
            <w:shd w:val="clear" w:color="auto" w:fill="auto"/>
            <w:vAlign w:val="center"/>
            <w:hideMark/>
          </w:tcPr>
          <w:p w14:paraId="57F43CBB" w14:textId="7C53170E" w:rsidR="00DC3599" w:rsidRPr="00005453" w:rsidRDefault="00DC3599" w:rsidP="00DC3599">
            <w:pPr>
              <w:jc w:val="right"/>
              <w:rPr>
                <w:bCs/>
                <w:sz w:val="14"/>
                <w:szCs w:val="14"/>
              </w:rPr>
            </w:pPr>
            <w:r w:rsidRPr="00005453">
              <w:rPr>
                <w:sz w:val="14"/>
                <w:szCs w:val="18"/>
              </w:rPr>
              <w:t>763,241,327</w:t>
            </w:r>
          </w:p>
        </w:tc>
        <w:tc>
          <w:tcPr>
            <w:tcW w:w="1015" w:type="dxa"/>
            <w:tcBorders>
              <w:top w:val="nil"/>
              <w:left w:val="single" w:sz="4" w:space="0" w:color="auto"/>
              <w:bottom w:val="nil"/>
              <w:right w:val="single" w:sz="4" w:space="0" w:color="auto"/>
            </w:tcBorders>
            <w:shd w:val="clear" w:color="auto" w:fill="auto"/>
            <w:vAlign w:val="center"/>
            <w:hideMark/>
          </w:tcPr>
          <w:p w14:paraId="4FCABAAF" w14:textId="4BBB8A0B" w:rsidR="00DC3599" w:rsidRPr="00005453" w:rsidRDefault="00DC3599" w:rsidP="00DC3599">
            <w:pPr>
              <w:jc w:val="right"/>
              <w:rPr>
                <w:bCs/>
                <w:sz w:val="14"/>
                <w:szCs w:val="14"/>
              </w:rPr>
            </w:pPr>
            <w:r w:rsidRPr="00005453">
              <w:rPr>
                <w:sz w:val="14"/>
                <w:szCs w:val="18"/>
              </w:rPr>
              <w:t>3,657,010,620</w:t>
            </w:r>
          </w:p>
        </w:tc>
        <w:tc>
          <w:tcPr>
            <w:tcW w:w="992" w:type="dxa"/>
            <w:tcBorders>
              <w:top w:val="nil"/>
              <w:left w:val="single" w:sz="4" w:space="0" w:color="auto"/>
              <w:bottom w:val="nil"/>
              <w:right w:val="single" w:sz="4" w:space="0" w:color="auto"/>
            </w:tcBorders>
            <w:shd w:val="clear" w:color="auto" w:fill="auto"/>
            <w:vAlign w:val="center"/>
            <w:hideMark/>
          </w:tcPr>
          <w:p w14:paraId="2F68A2DE" w14:textId="545210D8" w:rsidR="00DC3599" w:rsidRPr="00005453" w:rsidRDefault="00DC3599" w:rsidP="00DC3599">
            <w:pPr>
              <w:jc w:val="right"/>
              <w:rPr>
                <w:sz w:val="14"/>
                <w:szCs w:val="14"/>
                <w:lang w:eastAsia="tr-TR"/>
              </w:rPr>
            </w:pPr>
            <w:r w:rsidRPr="00E41120">
              <w:rPr>
                <w:bCs/>
                <w:sz w:val="14"/>
                <w:szCs w:val="14"/>
              </w:rPr>
              <w:t>1,705,886,464</w:t>
            </w:r>
          </w:p>
        </w:tc>
        <w:tc>
          <w:tcPr>
            <w:tcW w:w="945" w:type="dxa"/>
            <w:tcBorders>
              <w:top w:val="nil"/>
              <w:left w:val="single" w:sz="4" w:space="0" w:color="auto"/>
              <w:bottom w:val="nil"/>
              <w:right w:val="single" w:sz="4" w:space="0" w:color="auto"/>
            </w:tcBorders>
            <w:shd w:val="clear" w:color="auto" w:fill="auto"/>
            <w:vAlign w:val="center"/>
            <w:hideMark/>
          </w:tcPr>
          <w:p w14:paraId="5C3CE993" w14:textId="6E648A38" w:rsidR="00DC3599" w:rsidRPr="00005453" w:rsidRDefault="00DC3599" w:rsidP="00DC3599">
            <w:pPr>
              <w:jc w:val="right"/>
              <w:rPr>
                <w:sz w:val="14"/>
                <w:szCs w:val="14"/>
                <w:lang w:eastAsia="tr-TR"/>
              </w:rPr>
            </w:pPr>
            <w:r w:rsidRPr="00E41120">
              <w:rPr>
                <w:bCs/>
                <w:sz w:val="14"/>
                <w:szCs w:val="14"/>
              </w:rPr>
              <w:t>651,427,061</w:t>
            </w:r>
          </w:p>
        </w:tc>
        <w:tc>
          <w:tcPr>
            <w:tcW w:w="1039" w:type="dxa"/>
            <w:tcBorders>
              <w:top w:val="nil"/>
              <w:left w:val="single" w:sz="4" w:space="0" w:color="auto"/>
              <w:bottom w:val="nil"/>
              <w:right w:val="single" w:sz="4" w:space="0" w:color="auto"/>
            </w:tcBorders>
            <w:shd w:val="clear" w:color="auto" w:fill="auto"/>
            <w:vAlign w:val="center"/>
            <w:hideMark/>
          </w:tcPr>
          <w:p w14:paraId="27D99ED2" w14:textId="778C68E7" w:rsidR="00DC3599" w:rsidRPr="00005453" w:rsidRDefault="00DC3599" w:rsidP="00DC3599">
            <w:pPr>
              <w:jc w:val="right"/>
              <w:rPr>
                <w:sz w:val="14"/>
                <w:szCs w:val="14"/>
                <w:lang w:eastAsia="tr-TR"/>
              </w:rPr>
            </w:pPr>
            <w:r w:rsidRPr="00E41120">
              <w:rPr>
                <w:bCs/>
                <w:sz w:val="14"/>
                <w:szCs w:val="14"/>
              </w:rPr>
              <w:t>2,357,313,525</w:t>
            </w:r>
          </w:p>
        </w:tc>
      </w:tr>
      <w:tr w:rsidR="00DC3599" w:rsidRPr="00005453" w14:paraId="43C56E36"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603465B0" w14:textId="77777777" w:rsidR="00DC3599" w:rsidRPr="00005453" w:rsidRDefault="00DC3599" w:rsidP="00DC3599">
            <w:pPr>
              <w:rPr>
                <w:color w:val="000000"/>
                <w:sz w:val="14"/>
                <w:szCs w:val="14"/>
                <w:lang w:eastAsia="tr-TR"/>
              </w:rPr>
            </w:pPr>
            <w:r w:rsidRPr="00005453">
              <w:rPr>
                <w:color w:val="000000"/>
                <w:sz w:val="14"/>
                <w:szCs w:val="14"/>
                <w:lang w:eastAsia="tr-TR"/>
              </w:rPr>
              <w:t>5.7.</w:t>
            </w:r>
          </w:p>
        </w:tc>
        <w:tc>
          <w:tcPr>
            <w:tcW w:w="3138" w:type="dxa"/>
            <w:tcBorders>
              <w:top w:val="nil"/>
              <w:left w:val="single" w:sz="4" w:space="0" w:color="auto"/>
              <w:bottom w:val="nil"/>
              <w:right w:val="single" w:sz="4" w:space="0" w:color="auto"/>
            </w:tcBorders>
            <w:shd w:val="clear" w:color="auto" w:fill="auto"/>
            <w:noWrap/>
            <w:hideMark/>
          </w:tcPr>
          <w:p w14:paraId="552E0D51" w14:textId="77777777" w:rsidR="00DC3599" w:rsidRPr="00005453" w:rsidRDefault="00DC3599" w:rsidP="00DC3599">
            <w:pPr>
              <w:rPr>
                <w:color w:val="000000"/>
                <w:sz w:val="14"/>
                <w:szCs w:val="14"/>
                <w:lang w:eastAsia="tr-TR"/>
              </w:rPr>
            </w:pPr>
            <w:r w:rsidRPr="00005453">
              <w:rPr>
                <w:color w:val="000000"/>
                <w:sz w:val="14"/>
                <w:szCs w:val="14"/>
                <w:lang w:eastAsia="tr-TR"/>
              </w:rPr>
              <w:t>Rehinli Kıymet Alanlar</w:t>
            </w:r>
          </w:p>
        </w:tc>
        <w:tc>
          <w:tcPr>
            <w:tcW w:w="585" w:type="dxa"/>
            <w:tcBorders>
              <w:top w:val="nil"/>
              <w:left w:val="single" w:sz="4" w:space="0" w:color="auto"/>
              <w:bottom w:val="nil"/>
              <w:right w:val="single" w:sz="4" w:space="0" w:color="auto"/>
            </w:tcBorders>
            <w:shd w:val="clear" w:color="auto" w:fill="auto"/>
            <w:vAlign w:val="center"/>
            <w:hideMark/>
          </w:tcPr>
          <w:p w14:paraId="62C1CA58" w14:textId="77777777" w:rsidR="00DC3599" w:rsidRPr="00005453" w:rsidRDefault="00DC3599" w:rsidP="00DC3599">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F7C7DB7" w14:textId="778BFEFD"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25EFB6F7" w14:textId="43A2E6F5" w:rsidR="00DC3599" w:rsidRPr="00005453" w:rsidRDefault="00DC3599" w:rsidP="00DC3599">
            <w:pPr>
              <w:jc w:val="right"/>
              <w:rPr>
                <w:bCs/>
                <w:sz w:val="14"/>
                <w:szCs w:val="14"/>
              </w:rPr>
            </w:pPr>
            <w:r w:rsidRPr="00005453">
              <w:rPr>
                <w:sz w:val="14"/>
                <w:szCs w:val="18"/>
              </w:rPr>
              <w:t>-</w:t>
            </w:r>
          </w:p>
        </w:tc>
        <w:tc>
          <w:tcPr>
            <w:tcW w:w="1015" w:type="dxa"/>
            <w:tcBorders>
              <w:top w:val="nil"/>
              <w:left w:val="single" w:sz="4" w:space="0" w:color="auto"/>
              <w:bottom w:val="nil"/>
              <w:right w:val="single" w:sz="4" w:space="0" w:color="auto"/>
            </w:tcBorders>
            <w:shd w:val="clear" w:color="auto" w:fill="auto"/>
            <w:vAlign w:val="center"/>
            <w:hideMark/>
          </w:tcPr>
          <w:p w14:paraId="784AE144" w14:textId="4E858A2F" w:rsidR="00DC3599" w:rsidRPr="00005453" w:rsidRDefault="00DC3599" w:rsidP="00DC3599">
            <w:pPr>
              <w:jc w:val="right"/>
              <w:rPr>
                <w:bCs/>
                <w:sz w:val="14"/>
                <w:szCs w:val="14"/>
              </w:rPr>
            </w:pPr>
            <w:r w:rsidRPr="00005453">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6BB0EF1A" w14:textId="28B27DA3" w:rsidR="00DC3599" w:rsidRPr="00005453" w:rsidRDefault="00DC3599" w:rsidP="00DC3599">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DD1ACF5" w14:textId="7AB99B79" w:rsidR="00DC3599" w:rsidRPr="00005453" w:rsidRDefault="00DC3599" w:rsidP="00DC3599">
            <w:pPr>
              <w:jc w:val="right"/>
              <w:rPr>
                <w:sz w:val="14"/>
                <w:szCs w:val="14"/>
                <w:lang w:eastAsia="tr-TR"/>
              </w:rPr>
            </w:pPr>
            <w:r w:rsidRPr="00E41120">
              <w:rPr>
                <w:bCs/>
                <w:sz w:val="14"/>
                <w:szCs w:val="14"/>
              </w:rPr>
              <w:t>-</w:t>
            </w:r>
          </w:p>
        </w:tc>
        <w:tc>
          <w:tcPr>
            <w:tcW w:w="1039" w:type="dxa"/>
            <w:tcBorders>
              <w:top w:val="nil"/>
              <w:left w:val="single" w:sz="4" w:space="0" w:color="auto"/>
              <w:bottom w:val="nil"/>
              <w:right w:val="single" w:sz="4" w:space="0" w:color="auto"/>
            </w:tcBorders>
            <w:shd w:val="clear" w:color="auto" w:fill="auto"/>
            <w:vAlign w:val="center"/>
            <w:hideMark/>
          </w:tcPr>
          <w:p w14:paraId="6FE51E39" w14:textId="1D8C5893" w:rsidR="00DC3599" w:rsidRPr="00005453" w:rsidRDefault="00DC3599" w:rsidP="00DC3599">
            <w:pPr>
              <w:jc w:val="right"/>
              <w:rPr>
                <w:sz w:val="14"/>
                <w:szCs w:val="14"/>
                <w:lang w:eastAsia="tr-TR"/>
              </w:rPr>
            </w:pPr>
            <w:r w:rsidRPr="00E41120">
              <w:rPr>
                <w:bCs/>
                <w:sz w:val="14"/>
                <w:szCs w:val="14"/>
              </w:rPr>
              <w:t>-</w:t>
            </w:r>
          </w:p>
        </w:tc>
      </w:tr>
      <w:tr w:rsidR="00DC3599" w:rsidRPr="00005453" w14:paraId="4CC70DBB" w14:textId="77777777" w:rsidTr="00DC3599">
        <w:trPr>
          <w:divId w:val="150484548"/>
          <w:trHeight w:val="134"/>
        </w:trPr>
        <w:tc>
          <w:tcPr>
            <w:tcW w:w="525" w:type="dxa"/>
            <w:tcBorders>
              <w:top w:val="nil"/>
              <w:left w:val="single" w:sz="4" w:space="0" w:color="auto"/>
              <w:bottom w:val="nil"/>
              <w:right w:val="single" w:sz="4" w:space="0" w:color="auto"/>
            </w:tcBorders>
            <w:shd w:val="clear" w:color="auto" w:fill="auto"/>
            <w:noWrap/>
            <w:hideMark/>
          </w:tcPr>
          <w:p w14:paraId="0821F10D"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VI.</w:t>
            </w:r>
          </w:p>
        </w:tc>
        <w:tc>
          <w:tcPr>
            <w:tcW w:w="3138" w:type="dxa"/>
            <w:tcBorders>
              <w:top w:val="nil"/>
              <w:left w:val="single" w:sz="4" w:space="0" w:color="auto"/>
              <w:bottom w:val="nil"/>
              <w:right w:val="single" w:sz="4" w:space="0" w:color="auto"/>
            </w:tcBorders>
            <w:shd w:val="clear" w:color="auto" w:fill="auto"/>
            <w:noWrap/>
            <w:hideMark/>
          </w:tcPr>
          <w:p w14:paraId="192934A0"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KABUL EDİLEN AVALLER VE KEFALETLER</w:t>
            </w:r>
          </w:p>
        </w:tc>
        <w:tc>
          <w:tcPr>
            <w:tcW w:w="585" w:type="dxa"/>
            <w:tcBorders>
              <w:top w:val="nil"/>
              <w:left w:val="single" w:sz="4" w:space="0" w:color="auto"/>
              <w:bottom w:val="nil"/>
              <w:right w:val="single" w:sz="4" w:space="0" w:color="auto"/>
            </w:tcBorders>
            <w:shd w:val="clear" w:color="auto" w:fill="auto"/>
            <w:vAlign w:val="center"/>
            <w:hideMark/>
          </w:tcPr>
          <w:p w14:paraId="5CD49ABE" w14:textId="77777777" w:rsidR="00DC3599" w:rsidRPr="00005453" w:rsidRDefault="00DC3599" w:rsidP="00DC3599">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34142D6" w14:textId="1CA90665" w:rsidR="00DC3599" w:rsidRPr="00005453" w:rsidRDefault="00DC3599" w:rsidP="00DC3599">
            <w:pPr>
              <w:jc w:val="right"/>
              <w:rPr>
                <w:b/>
                <w:bCs/>
                <w:sz w:val="14"/>
                <w:szCs w:val="14"/>
              </w:rPr>
            </w:pPr>
            <w:r w:rsidRPr="00005453">
              <w:rPr>
                <w:b/>
                <w:bCs/>
                <w:sz w:val="14"/>
                <w:szCs w:val="18"/>
              </w:rPr>
              <w:t>1,248,168</w:t>
            </w:r>
          </w:p>
        </w:tc>
        <w:tc>
          <w:tcPr>
            <w:tcW w:w="992" w:type="dxa"/>
            <w:tcBorders>
              <w:top w:val="nil"/>
              <w:left w:val="single" w:sz="4" w:space="0" w:color="auto"/>
              <w:bottom w:val="nil"/>
              <w:right w:val="single" w:sz="4" w:space="0" w:color="auto"/>
            </w:tcBorders>
            <w:shd w:val="clear" w:color="auto" w:fill="auto"/>
            <w:vAlign w:val="center"/>
            <w:hideMark/>
          </w:tcPr>
          <w:p w14:paraId="59AE0773" w14:textId="594E8058" w:rsidR="00DC3599" w:rsidRPr="00005453" w:rsidRDefault="00DC3599" w:rsidP="00DC3599">
            <w:pPr>
              <w:jc w:val="right"/>
              <w:rPr>
                <w:b/>
                <w:bCs/>
                <w:sz w:val="14"/>
                <w:szCs w:val="14"/>
              </w:rPr>
            </w:pPr>
            <w:r w:rsidRPr="00005453">
              <w:rPr>
                <w:b/>
                <w:bCs/>
                <w:sz w:val="14"/>
                <w:szCs w:val="18"/>
              </w:rPr>
              <w:t>556,422</w:t>
            </w:r>
          </w:p>
        </w:tc>
        <w:tc>
          <w:tcPr>
            <w:tcW w:w="1015" w:type="dxa"/>
            <w:tcBorders>
              <w:top w:val="nil"/>
              <w:left w:val="single" w:sz="4" w:space="0" w:color="auto"/>
              <w:bottom w:val="nil"/>
              <w:right w:val="single" w:sz="4" w:space="0" w:color="auto"/>
            </w:tcBorders>
            <w:shd w:val="clear" w:color="auto" w:fill="auto"/>
            <w:vAlign w:val="center"/>
            <w:hideMark/>
          </w:tcPr>
          <w:p w14:paraId="04609C59" w14:textId="6704FA3F" w:rsidR="00DC3599" w:rsidRPr="00005453" w:rsidRDefault="00DC3599" w:rsidP="00DC3599">
            <w:pPr>
              <w:jc w:val="right"/>
              <w:rPr>
                <w:b/>
                <w:bCs/>
                <w:sz w:val="14"/>
                <w:szCs w:val="14"/>
              </w:rPr>
            </w:pPr>
            <w:r w:rsidRPr="00005453">
              <w:rPr>
                <w:b/>
                <w:bCs/>
                <w:sz w:val="14"/>
                <w:szCs w:val="18"/>
              </w:rPr>
              <w:t>1,804,590</w:t>
            </w:r>
          </w:p>
        </w:tc>
        <w:tc>
          <w:tcPr>
            <w:tcW w:w="992" w:type="dxa"/>
            <w:tcBorders>
              <w:top w:val="nil"/>
              <w:left w:val="single" w:sz="4" w:space="0" w:color="auto"/>
              <w:bottom w:val="nil"/>
              <w:right w:val="single" w:sz="4" w:space="0" w:color="auto"/>
            </w:tcBorders>
            <w:shd w:val="clear" w:color="auto" w:fill="auto"/>
            <w:vAlign w:val="center"/>
            <w:hideMark/>
          </w:tcPr>
          <w:p w14:paraId="095AC672" w14:textId="1B7F1AA3" w:rsidR="00DC3599" w:rsidRPr="00005453" w:rsidRDefault="00DC3599" w:rsidP="00DC3599">
            <w:pPr>
              <w:jc w:val="right"/>
              <w:rPr>
                <w:b/>
                <w:bCs/>
                <w:sz w:val="14"/>
                <w:szCs w:val="14"/>
                <w:lang w:eastAsia="tr-TR"/>
              </w:rPr>
            </w:pPr>
            <w:r w:rsidRPr="00E41120">
              <w:rPr>
                <w:b/>
                <w:bCs/>
                <w:sz w:val="14"/>
                <w:szCs w:val="14"/>
              </w:rPr>
              <w:t>612,375</w:t>
            </w:r>
          </w:p>
        </w:tc>
        <w:tc>
          <w:tcPr>
            <w:tcW w:w="945" w:type="dxa"/>
            <w:tcBorders>
              <w:top w:val="nil"/>
              <w:left w:val="single" w:sz="4" w:space="0" w:color="auto"/>
              <w:bottom w:val="nil"/>
              <w:right w:val="single" w:sz="4" w:space="0" w:color="auto"/>
            </w:tcBorders>
            <w:shd w:val="clear" w:color="auto" w:fill="auto"/>
            <w:vAlign w:val="center"/>
            <w:hideMark/>
          </w:tcPr>
          <w:p w14:paraId="7A7BBB28" w14:textId="52270B02" w:rsidR="00DC3599" w:rsidRPr="00005453" w:rsidRDefault="00DC3599" w:rsidP="00DC3599">
            <w:pPr>
              <w:jc w:val="right"/>
              <w:rPr>
                <w:b/>
                <w:bCs/>
                <w:sz w:val="14"/>
                <w:szCs w:val="14"/>
                <w:lang w:eastAsia="tr-TR"/>
              </w:rPr>
            </w:pPr>
            <w:r w:rsidRPr="00E41120">
              <w:rPr>
                <w:b/>
                <w:bCs/>
                <w:sz w:val="14"/>
                <w:szCs w:val="14"/>
              </w:rPr>
              <w:t>446,932</w:t>
            </w:r>
          </w:p>
        </w:tc>
        <w:tc>
          <w:tcPr>
            <w:tcW w:w="1039" w:type="dxa"/>
            <w:tcBorders>
              <w:top w:val="nil"/>
              <w:left w:val="single" w:sz="4" w:space="0" w:color="auto"/>
              <w:bottom w:val="nil"/>
              <w:right w:val="single" w:sz="4" w:space="0" w:color="auto"/>
            </w:tcBorders>
            <w:shd w:val="clear" w:color="auto" w:fill="auto"/>
            <w:vAlign w:val="center"/>
            <w:hideMark/>
          </w:tcPr>
          <w:p w14:paraId="77C7F320" w14:textId="6D42671A" w:rsidR="00DC3599" w:rsidRPr="00005453" w:rsidRDefault="00DC3599" w:rsidP="00DC3599">
            <w:pPr>
              <w:jc w:val="right"/>
              <w:rPr>
                <w:b/>
                <w:bCs/>
                <w:sz w:val="14"/>
                <w:szCs w:val="14"/>
                <w:lang w:eastAsia="tr-TR"/>
              </w:rPr>
            </w:pPr>
            <w:r w:rsidRPr="00E41120">
              <w:rPr>
                <w:b/>
                <w:bCs/>
                <w:sz w:val="14"/>
                <w:szCs w:val="14"/>
              </w:rPr>
              <w:t>1,059,307</w:t>
            </w:r>
          </w:p>
        </w:tc>
      </w:tr>
      <w:tr w:rsidR="00DC3599" w:rsidRPr="00005453" w14:paraId="40563377" w14:textId="77777777" w:rsidTr="00DC3599">
        <w:trPr>
          <w:divId w:val="150484548"/>
          <w:trHeight w:val="104"/>
        </w:trPr>
        <w:tc>
          <w:tcPr>
            <w:tcW w:w="525" w:type="dxa"/>
            <w:tcBorders>
              <w:top w:val="nil"/>
              <w:left w:val="single" w:sz="4" w:space="0" w:color="auto"/>
              <w:bottom w:val="nil"/>
              <w:right w:val="single" w:sz="4" w:space="0" w:color="auto"/>
            </w:tcBorders>
            <w:shd w:val="clear" w:color="auto" w:fill="auto"/>
            <w:noWrap/>
            <w:hideMark/>
          </w:tcPr>
          <w:p w14:paraId="0B66A98F" w14:textId="77777777" w:rsidR="00DC3599" w:rsidRPr="00005453" w:rsidRDefault="00DC3599" w:rsidP="00DC3599">
            <w:pPr>
              <w:rPr>
                <w:b/>
                <w:bCs/>
                <w:sz w:val="10"/>
                <w:szCs w:val="10"/>
                <w:lang w:eastAsia="tr-TR"/>
              </w:rPr>
            </w:pPr>
          </w:p>
        </w:tc>
        <w:tc>
          <w:tcPr>
            <w:tcW w:w="3138" w:type="dxa"/>
            <w:tcBorders>
              <w:top w:val="nil"/>
              <w:left w:val="single" w:sz="4" w:space="0" w:color="auto"/>
              <w:bottom w:val="nil"/>
              <w:right w:val="single" w:sz="4" w:space="0" w:color="auto"/>
            </w:tcBorders>
            <w:shd w:val="clear" w:color="auto" w:fill="auto"/>
            <w:noWrap/>
            <w:hideMark/>
          </w:tcPr>
          <w:p w14:paraId="7C8398A1" w14:textId="77777777" w:rsidR="00DC3599" w:rsidRPr="00005453" w:rsidRDefault="00DC3599" w:rsidP="00DC3599">
            <w:pPr>
              <w:rPr>
                <w:sz w:val="10"/>
                <w:szCs w:val="10"/>
                <w:lang w:eastAsia="tr-TR"/>
              </w:rPr>
            </w:pPr>
          </w:p>
        </w:tc>
        <w:tc>
          <w:tcPr>
            <w:tcW w:w="585" w:type="dxa"/>
            <w:tcBorders>
              <w:top w:val="nil"/>
              <w:left w:val="single" w:sz="4" w:space="0" w:color="auto"/>
              <w:bottom w:val="nil"/>
              <w:right w:val="single" w:sz="4" w:space="0" w:color="auto"/>
            </w:tcBorders>
            <w:shd w:val="clear" w:color="auto" w:fill="auto"/>
            <w:vAlign w:val="center"/>
            <w:hideMark/>
          </w:tcPr>
          <w:p w14:paraId="5F8355D7" w14:textId="77777777" w:rsidR="00DC3599" w:rsidRPr="00005453" w:rsidRDefault="00DC3599" w:rsidP="00DC3599">
            <w:pPr>
              <w:rPr>
                <w:sz w:val="10"/>
                <w:szCs w:val="10"/>
                <w:lang w:eastAsia="tr-TR"/>
              </w:rPr>
            </w:pPr>
          </w:p>
        </w:tc>
        <w:tc>
          <w:tcPr>
            <w:tcW w:w="992" w:type="dxa"/>
            <w:tcBorders>
              <w:top w:val="nil"/>
              <w:left w:val="single" w:sz="4" w:space="0" w:color="auto"/>
              <w:bottom w:val="nil"/>
              <w:right w:val="single" w:sz="4" w:space="0" w:color="auto"/>
            </w:tcBorders>
            <w:shd w:val="clear" w:color="auto" w:fill="auto"/>
            <w:hideMark/>
          </w:tcPr>
          <w:p w14:paraId="4C8114F6" w14:textId="5536D881" w:rsidR="00DC3599" w:rsidRPr="00005453" w:rsidRDefault="00DC3599" w:rsidP="00DC3599">
            <w:pPr>
              <w:jc w:val="right"/>
              <w:rPr>
                <w:sz w:val="10"/>
                <w:szCs w:val="10"/>
                <w:lang w:eastAsia="tr-TR"/>
              </w:rPr>
            </w:pPr>
          </w:p>
        </w:tc>
        <w:tc>
          <w:tcPr>
            <w:tcW w:w="992" w:type="dxa"/>
            <w:tcBorders>
              <w:top w:val="nil"/>
              <w:left w:val="single" w:sz="4" w:space="0" w:color="auto"/>
              <w:bottom w:val="nil"/>
              <w:right w:val="single" w:sz="4" w:space="0" w:color="auto"/>
            </w:tcBorders>
            <w:shd w:val="clear" w:color="auto" w:fill="auto"/>
            <w:hideMark/>
          </w:tcPr>
          <w:p w14:paraId="0F0E04E0" w14:textId="77777777" w:rsidR="00DC3599" w:rsidRPr="00005453" w:rsidRDefault="00DC3599" w:rsidP="00DC3599">
            <w:pPr>
              <w:jc w:val="right"/>
              <w:rPr>
                <w:sz w:val="10"/>
                <w:szCs w:val="10"/>
                <w:lang w:eastAsia="tr-TR"/>
              </w:rPr>
            </w:pPr>
          </w:p>
        </w:tc>
        <w:tc>
          <w:tcPr>
            <w:tcW w:w="1015" w:type="dxa"/>
            <w:tcBorders>
              <w:top w:val="nil"/>
              <w:left w:val="single" w:sz="4" w:space="0" w:color="auto"/>
              <w:bottom w:val="nil"/>
              <w:right w:val="single" w:sz="4" w:space="0" w:color="auto"/>
            </w:tcBorders>
            <w:shd w:val="clear" w:color="auto" w:fill="auto"/>
            <w:hideMark/>
          </w:tcPr>
          <w:p w14:paraId="27DDC13F" w14:textId="341CBFF4" w:rsidR="00DC3599" w:rsidRPr="00005453" w:rsidRDefault="00DC3599" w:rsidP="00DC3599">
            <w:pPr>
              <w:jc w:val="right"/>
              <w:rPr>
                <w:sz w:val="10"/>
                <w:szCs w:val="10"/>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14B4663" w14:textId="77777777" w:rsidR="00DC3599" w:rsidRPr="00005453" w:rsidRDefault="00DC3599" w:rsidP="00DC3599">
            <w:pPr>
              <w:jc w:val="right"/>
              <w:rPr>
                <w:sz w:val="10"/>
                <w:szCs w:val="10"/>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FD7F5CB" w14:textId="77777777" w:rsidR="00DC3599" w:rsidRPr="00005453" w:rsidRDefault="00DC3599" w:rsidP="00DC3599">
            <w:pPr>
              <w:jc w:val="right"/>
              <w:rPr>
                <w:sz w:val="10"/>
                <w:szCs w:val="10"/>
                <w:lang w:eastAsia="tr-TR"/>
              </w:rPr>
            </w:pPr>
          </w:p>
        </w:tc>
        <w:tc>
          <w:tcPr>
            <w:tcW w:w="1039" w:type="dxa"/>
            <w:tcBorders>
              <w:top w:val="nil"/>
              <w:left w:val="single" w:sz="4" w:space="0" w:color="auto"/>
              <w:bottom w:val="nil"/>
              <w:right w:val="single" w:sz="4" w:space="0" w:color="auto"/>
            </w:tcBorders>
            <w:shd w:val="clear" w:color="auto" w:fill="auto"/>
            <w:vAlign w:val="center"/>
            <w:hideMark/>
          </w:tcPr>
          <w:p w14:paraId="5AFD3E91" w14:textId="77777777" w:rsidR="00DC3599" w:rsidRPr="00005453" w:rsidRDefault="00DC3599" w:rsidP="00DC3599">
            <w:pPr>
              <w:jc w:val="right"/>
              <w:rPr>
                <w:sz w:val="10"/>
                <w:szCs w:val="10"/>
                <w:lang w:eastAsia="tr-TR"/>
              </w:rPr>
            </w:pPr>
          </w:p>
        </w:tc>
      </w:tr>
      <w:tr w:rsidR="00DC3599" w:rsidRPr="00005453" w14:paraId="0190A7EB" w14:textId="77777777" w:rsidTr="00DC3599">
        <w:trPr>
          <w:divId w:val="150484548"/>
          <w:trHeight w:val="134"/>
        </w:trPr>
        <w:tc>
          <w:tcPr>
            <w:tcW w:w="525" w:type="dxa"/>
            <w:tcBorders>
              <w:top w:val="single" w:sz="4" w:space="0" w:color="auto"/>
              <w:left w:val="single" w:sz="4" w:space="0" w:color="auto"/>
              <w:bottom w:val="single" w:sz="4" w:space="0" w:color="auto"/>
              <w:right w:val="single" w:sz="4" w:space="0" w:color="auto"/>
            </w:tcBorders>
            <w:shd w:val="clear" w:color="auto" w:fill="auto"/>
            <w:noWrap/>
            <w:hideMark/>
          </w:tcPr>
          <w:p w14:paraId="4601408F"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 </w:t>
            </w:r>
          </w:p>
        </w:tc>
        <w:tc>
          <w:tcPr>
            <w:tcW w:w="3138" w:type="dxa"/>
            <w:tcBorders>
              <w:top w:val="single" w:sz="4" w:space="0" w:color="auto"/>
              <w:left w:val="single" w:sz="4" w:space="0" w:color="auto"/>
              <w:bottom w:val="single" w:sz="4" w:space="0" w:color="auto"/>
              <w:right w:val="single" w:sz="4" w:space="0" w:color="auto"/>
            </w:tcBorders>
            <w:shd w:val="clear" w:color="auto" w:fill="auto"/>
            <w:noWrap/>
            <w:hideMark/>
          </w:tcPr>
          <w:p w14:paraId="3916901B" w14:textId="77777777" w:rsidR="00DC3599" w:rsidRPr="00005453" w:rsidRDefault="00DC3599" w:rsidP="00DC3599">
            <w:pPr>
              <w:rPr>
                <w:b/>
                <w:bCs/>
                <w:color w:val="000000"/>
                <w:sz w:val="14"/>
                <w:szCs w:val="14"/>
                <w:lang w:eastAsia="tr-TR"/>
              </w:rPr>
            </w:pPr>
            <w:r w:rsidRPr="00005453">
              <w:rPr>
                <w:b/>
                <w:bCs/>
                <w:color w:val="000000"/>
                <w:sz w:val="14"/>
                <w:szCs w:val="14"/>
                <w:lang w:eastAsia="tr-TR"/>
              </w:rPr>
              <w:t>BİLANÇO DIŞI HESAPLAR TOPLAMI (A+B)</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333B3" w14:textId="77777777" w:rsidR="00DC3599" w:rsidRPr="00005453" w:rsidRDefault="00DC3599" w:rsidP="00DC3599">
            <w:pPr>
              <w:jc w:val="right"/>
              <w:rPr>
                <w:b/>
                <w:bCs/>
                <w:sz w:val="14"/>
                <w:szCs w:val="14"/>
                <w:lang w:eastAsia="tr-TR"/>
              </w:rPr>
            </w:pPr>
            <w:r w:rsidRPr="00005453">
              <w:rPr>
                <w:b/>
                <w:bCs/>
                <w:sz w:val="14"/>
                <w:szCs w:val="14"/>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33656" w14:textId="4A883363" w:rsidR="00DC3599" w:rsidRPr="00005453" w:rsidRDefault="00DC3599" w:rsidP="00DC3599">
            <w:pPr>
              <w:jc w:val="right"/>
              <w:rPr>
                <w:b/>
                <w:bCs/>
                <w:sz w:val="14"/>
                <w:szCs w:val="14"/>
              </w:rPr>
            </w:pPr>
            <w:r w:rsidRPr="00005453">
              <w:rPr>
                <w:b/>
                <w:bCs/>
                <w:sz w:val="14"/>
                <w:szCs w:val="18"/>
              </w:rPr>
              <w:t>4,400,344,654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8790D" w14:textId="2F60F34B" w:rsidR="00DC3599" w:rsidRPr="00005453" w:rsidRDefault="00DC3599" w:rsidP="00DC3599">
            <w:pPr>
              <w:jc w:val="right"/>
              <w:rPr>
                <w:b/>
                <w:bCs/>
                <w:sz w:val="14"/>
                <w:szCs w:val="14"/>
              </w:rPr>
            </w:pPr>
            <w:r w:rsidRPr="00005453">
              <w:rPr>
                <w:b/>
                <w:bCs/>
                <w:sz w:val="14"/>
                <w:szCs w:val="18"/>
              </w:rPr>
              <w:t>5,871,176,813</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8D291" w14:textId="1989A620" w:rsidR="00DC3599" w:rsidRPr="00005453" w:rsidRDefault="00DC3599" w:rsidP="00DC3599">
            <w:pPr>
              <w:jc w:val="right"/>
              <w:rPr>
                <w:b/>
                <w:bCs/>
                <w:sz w:val="14"/>
                <w:szCs w:val="14"/>
              </w:rPr>
            </w:pPr>
            <w:r w:rsidRPr="00005453">
              <w:rPr>
                <w:b/>
                <w:bCs/>
                <w:sz w:val="14"/>
                <w:szCs w:val="18"/>
              </w:rPr>
              <w:t>10,271,521,467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305A1" w14:textId="17A62263" w:rsidR="00DC3599" w:rsidRPr="00005453" w:rsidRDefault="00DC3599" w:rsidP="00DC3599">
            <w:pPr>
              <w:jc w:val="right"/>
              <w:rPr>
                <w:b/>
                <w:bCs/>
                <w:sz w:val="14"/>
                <w:szCs w:val="14"/>
                <w:lang w:eastAsia="tr-TR"/>
              </w:rPr>
            </w:pPr>
            <w:r w:rsidRPr="00E41120">
              <w:rPr>
                <w:b/>
                <w:bCs/>
                <w:sz w:val="14"/>
                <w:szCs w:val="18"/>
              </w:rPr>
              <w:t>2,619,768,116</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BC30" w14:textId="2124960B" w:rsidR="00DC3599" w:rsidRPr="00005453" w:rsidRDefault="00DC3599" w:rsidP="00DC3599">
            <w:pPr>
              <w:jc w:val="right"/>
              <w:rPr>
                <w:b/>
                <w:bCs/>
                <w:sz w:val="14"/>
                <w:szCs w:val="14"/>
                <w:lang w:eastAsia="tr-TR"/>
              </w:rPr>
            </w:pPr>
            <w:r w:rsidRPr="00E41120">
              <w:rPr>
                <w:b/>
                <w:bCs/>
                <w:sz w:val="14"/>
                <w:szCs w:val="18"/>
              </w:rPr>
              <w:t>3,050,056,574</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8150" w14:textId="066A0772" w:rsidR="00DC3599" w:rsidRPr="00005453" w:rsidRDefault="00DC3599" w:rsidP="00DC3599">
            <w:pPr>
              <w:jc w:val="right"/>
              <w:rPr>
                <w:b/>
                <w:bCs/>
                <w:sz w:val="14"/>
                <w:szCs w:val="14"/>
                <w:lang w:eastAsia="tr-TR"/>
              </w:rPr>
            </w:pPr>
            <w:r w:rsidRPr="00E41120">
              <w:rPr>
                <w:b/>
                <w:bCs/>
                <w:sz w:val="14"/>
                <w:szCs w:val="18"/>
              </w:rPr>
              <w:t>5,669,824,690</w:t>
            </w:r>
          </w:p>
        </w:tc>
      </w:tr>
    </w:tbl>
    <w:p w14:paraId="5E51CD9C" w14:textId="2B398BF7" w:rsidR="002F1C1D" w:rsidRPr="00005453" w:rsidRDefault="002F1C1D" w:rsidP="002B3F7E">
      <w:pPr>
        <w:autoSpaceDE w:val="0"/>
        <w:autoSpaceDN w:val="0"/>
        <w:adjustRightInd w:val="0"/>
        <w:ind w:hanging="567"/>
        <w:jc w:val="both"/>
        <w:rPr>
          <w:rFonts w:eastAsia="Arial Unicode MS"/>
          <w:b/>
          <w:sz w:val="22"/>
        </w:rPr>
      </w:pPr>
    </w:p>
    <w:p w14:paraId="278EEB6C" w14:textId="30EA5FD5" w:rsidR="006879A6" w:rsidRDefault="006879A6" w:rsidP="00994629">
      <w:pPr>
        <w:tabs>
          <w:tab w:val="left" w:pos="5880"/>
        </w:tabs>
        <w:autoSpaceDE w:val="0"/>
        <w:autoSpaceDN w:val="0"/>
        <w:adjustRightInd w:val="0"/>
        <w:jc w:val="center"/>
        <w:rPr>
          <w:bCs/>
          <w:i/>
          <w:iCs/>
          <w:sz w:val="14"/>
          <w:szCs w:val="14"/>
        </w:rPr>
      </w:pPr>
    </w:p>
    <w:p w14:paraId="2A6B40CD" w14:textId="77777777" w:rsidR="006879A6" w:rsidRPr="00005453" w:rsidRDefault="006879A6" w:rsidP="00994629">
      <w:pPr>
        <w:tabs>
          <w:tab w:val="left" w:pos="5880"/>
        </w:tabs>
        <w:autoSpaceDE w:val="0"/>
        <w:autoSpaceDN w:val="0"/>
        <w:adjustRightInd w:val="0"/>
        <w:jc w:val="center"/>
        <w:rPr>
          <w:bCs/>
          <w:i/>
          <w:iCs/>
          <w:sz w:val="14"/>
          <w:szCs w:val="14"/>
        </w:rPr>
      </w:pPr>
    </w:p>
    <w:p w14:paraId="6A9610C2" w14:textId="77777777" w:rsidR="00020EFB" w:rsidRPr="00005453" w:rsidRDefault="00020EFB" w:rsidP="00994629">
      <w:pPr>
        <w:tabs>
          <w:tab w:val="left" w:pos="5880"/>
        </w:tabs>
        <w:autoSpaceDE w:val="0"/>
        <w:autoSpaceDN w:val="0"/>
        <w:adjustRightInd w:val="0"/>
        <w:jc w:val="center"/>
        <w:rPr>
          <w:bCs/>
          <w:i/>
          <w:iCs/>
          <w:sz w:val="14"/>
          <w:szCs w:val="14"/>
        </w:rPr>
      </w:pPr>
    </w:p>
    <w:p w14:paraId="3D69797F" w14:textId="28F0F749" w:rsidR="00573A0C" w:rsidRPr="00005453" w:rsidRDefault="00084767" w:rsidP="00994629">
      <w:pPr>
        <w:tabs>
          <w:tab w:val="left" w:pos="5880"/>
        </w:tabs>
        <w:autoSpaceDE w:val="0"/>
        <w:autoSpaceDN w:val="0"/>
        <w:adjustRightInd w:val="0"/>
        <w:jc w:val="center"/>
        <w:rPr>
          <w:bCs/>
          <w:i/>
          <w:iCs/>
          <w:sz w:val="15"/>
          <w:szCs w:val="15"/>
        </w:rPr>
      </w:pPr>
      <w:r w:rsidRPr="00005453">
        <w:rPr>
          <w:bCs/>
          <w:i/>
          <w:iCs/>
          <w:sz w:val="14"/>
          <w:szCs w:val="14"/>
        </w:rPr>
        <w:t>İlişikteki notlar bu finansal tabloların tamamlayıcı parçalarıdır.</w:t>
      </w:r>
    </w:p>
    <w:p w14:paraId="1266D003" w14:textId="77777777" w:rsidR="00DE6DD3" w:rsidRPr="00005453" w:rsidRDefault="00DE6DD3" w:rsidP="00DE6DD3">
      <w:pPr>
        <w:pStyle w:val="1tipi"/>
        <w:tabs>
          <w:tab w:val="clear" w:pos="1134"/>
        </w:tabs>
        <w:autoSpaceDE w:val="0"/>
        <w:autoSpaceDN w:val="0"/>
        <w:adjustRightInd w:val="0"/>
        <w:rPr>
          <w:rFonts w:ascii="Times New Roman" w:hAnsi="Times New Roman"/>
          <w:b/>
          <w:sz w:val="16"/>
          <w:szCs w:val="16"/>
        </w:rPr>
        <w:sectPr w:rsidR="00DE6DD3" w:rsidRPr="00005453" w:rsidSect="00BD1BED">
          <w:headerReference w:type="default" r:id="rId26"/>
          <w:footerReference w:type="default" r:id="rId27"/>
          <w:pgSz w:w="11907" w:h="16840" w:code="9"/>
          <w:pgMar w:top="851" w:right="1418" w:bottom="1418" w:left="1418" w:header="357" w:footer="709" w:gutter="0"/>
          <w:cols w:space="708"/>
          <w:noEndnote/>
        </w:sectPr>
      </w:pPr>
    </w:p>
    <w:p w14:paraId="69D113A5" w14:textId="01434947" w:rsidR="002F1C1D" w:rsidRPr="00005453"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bookmarkStart w:id="10" w:name="_Hlk62567038"/>
      <w:r w:rsidRPr="00005453">
        <w:rPr>
          <w:rFonts w:eastAsia="Arial Unicode MS"/>
          <w:b/>
          <w:sz w:val="22"/>
        </w:rPr>
        <w:lastRenderedPageBreak/>
        <w:t>3</w:t>
      </w:r>
      <w:r w:rsidR="00F8366B" w:rsidRPr="00005453">
        <w:rPr>
          <w:rFonts w:eastAsia="Arial Unicode MS"/>
          <w:b/>
          <w:sz w:val="22"/>
        </w:rPr>
        <w:t>.</w:t>
      </w:r>
      <w:r w:rsidR="00F8366B" w:rsidRPr="00005453">
        <w:rPr>
          <w:rFonts w:eastAsia="Arial Unicode MS"/>
          <w:b/>
          <w:sz w:val="22"/>
        </w:rPr>
        <w:tab/>
      </w:r>
      <w:r w:rsidR="00995454" w:rsidRPr="00005453">
        <w:rPr>
          <w:rFonts w:eastAsia="Arial Unicode MS"/>
          <w:b/>
          <w:sz w:val="22"/>
        </w:rPr>
        <w:t xml:space="preserve">KAR VEYA ZARAR </w:t>
      </w:r>
      <w:r w:rsidR="00F8366B" w:rsidRPr="00005453">
        <w:rPr>
          <w:rFonts w:eastAsia="Arial Unicode MS"/>
          <w:b/>
          <w:sz w:val="22"/>
        </w:rPr>
        <w:t xml:space="preserve">TABLOSU </w:t>
      </w:r>
      <w:r w:rsidR="00421A4B" w:rsidRPr="00005453">
        <w:rPr>
          <w:rFonts w:eastAsia="Arial Unicode MS"/>
          <w:b/>
          <w:sz w:val="22"/>
        </w:rPr>
        <w:t>(</w:t>
      </w:r>
      <w:r w:rsidR="00995454" w:rsidRPr="00005453">
        <w:rPr>
          <w:rFonts w:eastAsia="Arial Unicode MS"/>
          <w:b/>
          <w:sz w:val="22"/>
        </w:rPr>
        <w:t>GELİR TABLOSU</w:t>
      </w:r>
      <w:r w:rsidR="00421A4B" w:rsidRPr="00005453">
        <w:rPr>
          <w:rFonts w:eastAsia="Arial Unicode MS"/>
          <w:b/>
          <w:sz w:val="22"/>
        </w:rPr>
        <w:t>)</w:t>
      </w:r>
    </w:p>
    <w:p w14:paraId="5621D822" w14:textId="18715C29" w:rsidR="00E30BB9" w:rsidRPr="00005453" w:rsidRDefault="00E30BB9"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p>
    <w:tbl>
      <w:tblPr>
        <w:tblW w:w="9313" w:type="dxa"/>
        <w:tblCellMar>
          <w:left w:w="70" w:type="dxa"/>
          <w:right w:w="70" w:type="dxa"/>
        </w:tblCellMar>
        <w:tblLook w:val="04A0" w:firstRow="1" w:lastRow="0" w:firstColumn="1" w:lastColumn="0" w:noHBand="0" w:noVBand="1"/>
      </w:tblPr>
      <w:tblGrid>
        <w:gridCol w:w="562"/>
        <w:gridCol w:w="4253"/>
        <w:gridCol w:w="619"/>
        <w:gridCol w:w="1933"/>
        <w:gridCol w:w="1946"/>
      </w:tblGrid>
      <w:tr w:rsidR="00E30BB9" w:rsidRPr="00005453" w14:paraId="184D24D3" w14:textId="77777777" w:rsidTr="00C07B3E">
        <w:trPr>
          <w:divId w:val="1497571832"/>
          <w:trHeight w:val="68"/>
        </w:trPr>
        <w:tc>
          <w:tcPr>
            <w:tcW w:w="562"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EA3FC6B" w14:textId="11ADDDC7" w:rsidR="00E30BB9" w:rsidRPr="00005453" w:rsidRDefault="00E30BB9" w:rsidP="00E30BB9">
            <w:pPr>
              <w:rPr>
                <w:color w:val="000000"/>
                <w:sz w:val="14"/>
                <w:szCs w:val="14"/>
                <w:lang w:eastAsia="tr-TR"/>
              </w:rPr>
            </w:pPr>
            <w:r w:rsidRPr="00005453">
              <w:rPr>
                <w:color w:val="000000"/>
                <w:sz w:val="14"/>
                <w:szCs w:val="14"/>
                <w:lang w:eastAsia="tr-TR"/>
              </w:rPr>
              <w:t> </w:t>
            </w:r>
          </w:p>
        </w:tc>
        <w:tc>
          <w:tcPr>
            <w:tcW w:w="4253"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4177AD9" w14:textId="77777777" w:rsidR="00E30BB9" w:rsidRPr="00005453" w:rsidRDefault="00E30BB9" w:rsidP="00E30BB9">
            <w:pPr>
              <w:rPr>
                <w:color w:val="000000"/>
                <w:sz w:val="14"/>
                <w:szCs w:val="14"/>
                <w:lang w:eastAsia="tr-TR"/>
              </w:rPr>
            </w:pPr>
            <w:r w:rsidRPr="00005453">
              <w:rPr>
                <w:color w:val="000000"/>
                <w:sz w:val="14"/>
                <w:szCs w:val="14"/>
                <w:lang w:eastAsia="tr-TR"/>
              </w:rPr>
              <w:t> </w:t>
            </w:r>
          </w:p>
        </w:tc>
        <w:tc>
          <w:tcPr>
            <w:tcW w:w="61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3D0B8D8" w14:textId="77777777" w:rsidR="00E30BB9" w:rsidRPr="00005453" w:rsidRDefault="00E30BB9" w:rsidP="00E30BB9">
            <w:pPr>
              <w:rPr>
                <w:b/>
                <w:bCs/>
                <w:color w:val="000000"/>
                <w:sz w:val="14"/>
                <w:szCs w:val="14"/>
                <w:lang w:eastAsia="tr-TR"/>
              </w:rPr>
            </w:pPr>
            <w:r w:rsidRPr="00005453">
              <w:rPr>
                <w:b/>
                <w:bCs/>
                <w:color w:val="000000"/>
                <w:sz w:val="14"/>
                <w:szCs w:val="14"/>
                <w:lang w:val="de-DE" w:eastAsia="tr-TR"/>
              </w:rPr>
              <w:t> </w:t>
            </w:r>
          </w:p>
        </w:tc>
        <w:tc>
          <w:tcPr>
            <w:tcW w:w="1933" w:type="dxa"/>
            <w:tcBorders>
              <w:top w:val="single" w:sz="8" w:space="0" w:color="auto"/>
              <w:left w:val="single" w:sz="4" w:space="0" w:color="auto"/>
              <w:bottom w:val="nil"/>
              <w:right w:val="single" w:sz="4" w:space="0" w:color="auto"/>
            </w:tcBorders>
            <w:shd w:val="clear" w:color="auto" w:fill="auto"/>
            <w:noWrap/>
            <w:vAlign w:val="center"/>
            <w:hideMark/>
          </w:tcPr>
          <w:p w14:paraId="794FDA0E" w14:textId="77777777" w:rsidR="00E30BB9" w:rsidRPr="00005453" w:rsidRDefault="00E30BB9" w:rsidP="00614CD2">
            <w:pPr>
              <w:jc w:val="right"/>
              <w:rPr>
                <w:b/>
                <w:bCs/>
                <w:color w:val="000000"/>
                <w:sz w:val="14"/>
                <w:szCs w:val="14"/>
                <w:lang w:eastAsia="tr-TR"/>
              </w:rPr>
            </w:pPr>
            <w:r w:rsidRPr="00005453">
              <w:rPr>
                <w:b/>
                <w:bCs/>
                <w:color w:val="000000"/>
                <w:sz w:val="14"/>
                <w:szCs w:val="14"/>
                <w:lang w:eastAsia="tr-TR"/>
              </w:rPr>
              <w:t>Cari Dönem</w:t>
            </w:r>
          </w:p>
        </w:tc>
        <w:tc>
          <w:tcPr>
            <w:tcW w:w="1946" w:type="dxa"/>
            <w:tcBorders>
              <w:top w:val="single" w:sz="8" w:space="0" w:color="auto"/>
              <w:left w:val="nil"/>
              <w:bottom w:val="nil"/>
              <w:right w:val="single" w:sz="4" w:space="0" w:color="auto"/>
            </w:tcBorders>
            <w:shd w:val="clear" w:color="auto" w:fill="auto"/>
            <w:noWrap/>
            <w:vAlign w:val="center"/>
            <w:hideMark/>
          </w:tcPr>
          <w:p w14:paraId="08893537" w14:textId="77777777" w:rsidR="00E30BB9" w:rsidRPr="00005453" w:rsidRDefault="00E30BB9" w:rsidP="00614CD2">
            <w:pPr>
              <w:jc w:val="right"/>
              <w:rPr>
                <w:b/>
                <w:bCs/>
                <w:color w:val="000000"/>
                <w:sz w:val="14"/>
                <w:szCs w:val="14"/>
                <w:lang w:eastAsia="tr-TR"/>
              </w:rPr>
            </w:pPr>
            <w:r w:rsidRPr="00005453">
              <w:rPr>
                <w:b/>
                <w:bCs/>
                <w:color w:val="000000"/>
                <w:sz w:val="14"/>
                <w:szCs w:val="14"/>
                <w:lang w:eastAsia="tr-TR"/>
              </w:rPr>
              <w:t>Önceki Dönem</w:t>
            </w:r>
          </w:p>
        </w:tc>
      </w:tr>
      <w:tr w:rsidR="00E30BB9" w:rsidRPr="00005453" w14:paraId="6B09202A" w14:textId="77777777" w:rsidTr="00C07B3E">
        <w:trPr>
          <w:divId w:val="1497571832"/>
          <w:trHeight w:val="72"/>
        </w:trPr>
        <w:tc>
          <w:tcPr>
            <w:tcW w:w="562" w:type="dxa"/>
            <w:vMerge/>
            <w:tcBorders>
              <w:top w:val="single" w:sz="8" w:space="0" w:color="auto"/>
              <w:left w:val="single" w:sz="4" w:space="0" w:color="auto"/>
              <w:bottom w:val="single" w:sz="8" w:space="0" w:color="000000"/>
              <w:right w:val="single" w:sz="4" w:space="0" w:color="auto"/>
            </w:tcBorders>
            <w:vAlign w:val="center"/>
            <w:hideMark/>
          </w:tcPr>
          <w:p w14:paraId="628A7A48" w14:textId="77777777" w:rsidR="00E30BB9" w:rsidRPr="00005453" w:rsidRDefault="00E30BB9" w:rsidP="00E30BB9">
            <w:pPr>
              <w:rPr>
                <w:color w:val="000000"/>
                <w:sz w:val="14"/>
                <w:szCs w:val="14"/>
                <w:lang w:eastAsia="tr-TR"/>
              </w:rPr>
            </w:pPr>
          </w:p>
        </w:tc>
        <w:tc>
          <w:tcPr>
            <w:tcW w:w="4253" w:type="dxa"/>
            <w:vMerge/>
            <w:tcBorders>
              <w:top w:val="single" w:sz="8" w:space="0" w:color="auto"/>
              <w:left w:val="single" w:sz="4" w:space="0" w:color="auto"/>
              <w:bottom w:val="single" w:sz="8" w:space="0" w:color="000000"/>
              <w:right w:val="single" w:sz="4" w:space="0" w:color="auto"/>
            </w:tcBorders>
            <w:vAlign w:val="center"/>
            <w:hideMark/>
          </w:tcPr>
          <w:p w14:paraId="75820EDE" w14:textId="77777777" w:rsidR="00E30BB9" w:rsidRPr="00005453" w:rsidRDefault="00E30BB9" w:rsidP="00E30BB9">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19815E60" w14:textId="77777777" w:rsidR="00E30BB9" w:rsidRPr="00005453" w:rsidRDefault="00E30BB9" w:rsidP="00E30BB9">
            <w:pP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noWrap/>
            <w:vAlign w:val="center"/>
            <w:hideMark/>
          </w:tcPr>
          <w:p w14:paraId="130E48F1" w14:textId="77777777" w:rsidR="00E30BB9" w:rsidRPr="00005453" w:rsidRDefault="00E30BB9" w:rsidP="00614CD2">
            <w:pPr>
              <w:jc w:val="right"/>
              <w:rPr>
                <w:b/>
                <w:bCs/>
                <w:color w:val="000000"/>
                <w:sz w:val="14"/>
                <w:szCs w:val="14"/>
                <w:lang w:eastAsia="tr-TR"/>
              </w:rPr>
            </w:pPr>
            <w:r w:rsidRPr="00005453">
              <w:rPr>
                <w:b/>
                <w:bCs/>
                <w:color w:val="000000"/>
                <w:sz w:val="14"/>
                <w:szCs w:val="14"/>
                <w:lang w:eastAsia="tr-TR"/>
              </w:rPr>
              <w:t>Bağımsız Denetimden Geçmiş</w:t>
            </w:r>
          </w:p>
        </w:tc>
        <w:tc>
          <w:tcPr>
            <w:tcW w:w="1946" w:type="dxa"/>
            <w:tcBorders>
              <w:top w:val="nil"/>
              <w:left w:val="nil"/>
              <w:bottom w:val="nil"/>
              <w:right w:val="single" w:sz="4" w:space="0" w:color="auto"/>
            </w:tcBorders>
            <w:shd w:val="clear" w:color="auto" w:fill="auto"/>
            <w:noWrap/>
            <w:vAlign w:val="center"/>
            <w:hideMark/>
          </w:tcPr>
          <w:p w14:paraId="75EBDF2B" w14:textId="77777777" w:rsidR="00E30BB9" w:rsidRPr="00005453" w:rsidRDefault="00E30BB9" w:rsidP="00614CD2">
            <w:pPr>
              <w:jc w:val="right"/>
              <w:rPr>
                <w:b/>
                <w:bCs/>
                <w:color w:val="000000"/>
                <w:sz w:val="14"/>
                <w:szCs w:val="14"/>
                <w:lang w:eastAsia="tr-TR"/>
              </w:rPr>
            </w:pPr>
            <w:r w:rsidRPr="00005453">
              <w:rPr>
                <w:b/>
                <w:bCs/>
                <w:color w:val="000000"/>
                <w:sz w:val="14"/>
                <w:szCs w:val="14"/>
                <w:lang w:eastAsia="tr-TR"/>
              </w:rPr>
              <w:t>Bağımsız Denetimden Geçmiş</w:t>
            </w:r>
          </w:p>
        </w:tc>
      </w:tr>
      <w:tr w:rsidR="00E30BB9" w:rsidRPr="00005453" w14:paraId="3144FE5B" w14:textId="77777777" w:rsidTr="00C07B3E">
        <w:trPr>
          <w:divId w:val="1497571832"/>
          <w:trHeight w:val="131"/>
        </w:trPr>
        <w:tc>
          <w:tcPr>
            <w:tcW w:w="562" w:type="dxa"/>
            <w:vMerge/>
            <w:tcBorders>
              <w:top w:val="single" w:sz="8" w:space="0" w:color="auto"/>
              <w:left w:val="single" w:sz="4" w:space="0" w:color="auto"/>
              <w:bottom w:val="single" w:sz="8" w:space="0" w:color="000000"/>
              <w:right w:val="single" w:sz="4" w:space="0" w:color="auto"/>
            </w:tcBorders>
            <w:vAlign w:val="center"/>
            <w:hideMark/>
          </w:tcPr>
          <w:p w14:paraId="5823D4AE" w14:textId="77777777" w:rsidR="00E30BB9" w:rsidRPr="00005453" w:rsidRDefault="00E30BB9" w:rsidP="00E30BB9">
            <w:pPr>
              <w:rPr>
                <w:color w:val="000000"/>
                <w:sz w:val="14"/>
                <w:szCs w:val="14"/>
                <w:lang w:eastAsia="tr-TR"/>
              </w:rPr>
            </w:pPr>
          </w:p>
        </w:tc>
        <w:tc>
          <w:tcPr>
            <w:tcW w:w="4253" w:type="dxa"/>
            <w:vMerge/>
            <w:tcBorders>
              <w:top w:val="single" w:sz="8" w:space="0" w:color="auto"/>
              <w:left w:val="single" w:sz="4" w:space="0" w:color="auto"/>
              <w:bottom w:val="single" w:sz="8" w:space="0" w:color="000000"/>
              <w:right w:val="single" w:sz="4" w:space="0" w:color="auto"/>
            </w:tcBorders>
            <w:vAlign w:val="center"/>
            <w:hideMark/>
          </w:tcPr>
          <w:p w14:paraId="71A306ED" w14:textId="77777777" w:rsidR="00E30BB9" w:rsidRPr="00005453" w:rsidRDefault="00E30BB9" w:rsidP="00E30BB9">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164DABA2" w14:textId="77777777" w:rsidR="00E30BB9" w:rsidRPr="00005453" w:rsidRDefault="00E30BB9" w:rsidP="00E30BB9">
            <w:pPr>
              <w:rPr>
                <w:b/>
                <w:bCs/>
                <w:color w:val="000000"/>
                <w:sz w:val="14"/>
                <w:szCs w:val="14"/>
                <w:lang w:eastAsia="tr-TR"/>
              </w:rPr>
            </w:pPr>
          </w:p>
        </w:tc>
        <w:tc>
          <w:tcPr>
            <w:tcW w:w="1933" w:type="dxa"/>
            <w:tcBorders>
              <w:top w:val="nil"/>
              <w:left w:val="single" w:sz="4" w:space="0" w:color="auto"/>
              <w:bottom w:val="single" w:sz="8" w:space="0" w:color="auto"/>
              <w:right w:val="single" w:sz="4" w:space="0" w:color="auto"/>
            </w:tcBorders>
            <w:shd w:val="clear" w:color="auto" w:fill="auto"/>
            <w:noWrap/>
            <w:vAlign w:val="center"/>
            <w:hideMark/>
          </w:tcPr>
          <w:p w14:paraId="3CBE314E" w14:textId="643C5C6D" w:rsidR="00E30BB9" w:rsidRPr="00005453" w:rsidRDefault="00E30BB9" w:rsidP="00614CD2">
            <w:pPr>
              <w:jc w:val="right"/>
              <w:rPr>
                <w:b/>
                <w:bCs/>
                <w:color w:val="000000"/>
                <w:sz w:val="14"/>
                <w:szCs w:val="14"/>
                <w:lang w:eastAsia="tr-TR"/>
              </w:rPr>
            </w:pPr>
            <w:r w:rsidRPr="00005453">
              <w:rPr>
                <w:b/>
                <w:bCs/>
                <w:color w:val="000000"/>
                <w:sz w:val="14"/>
                <w:szCs w:val="14"/>
                <w:lang w:eastAsia="tr-TR"/>
              </w:rPr>
              <w:t>01.01.202</w:t>
            </w:r>
            <w:r w:rsidR="00380913" w:rsidRPr="00005453">
              <w:rPr>
                <w:b/>
                <w:bCs/>
                <w:color w:val="000000"/>
                <w:sz w:val="14"/>
                <w:szCs w:val="14"/>
                <w:lang w:eastAsia="tr-TR"/>
              </w:rPr>
              <w:t>4</w:t>
            </w:r>
            <w:r w:rsidRPr="00005453">
              <w:rPr>
                <w:b/>
                <w:bCs/>
                <w:color w:val="000000"/>
                <w:sz w:val="14"/>
                <w:szCs w:val="14"/>
                <w:lang w:eastAsia="tr-TR"/>
              </w:rPr>
              <w:t>-31.12.202</w:t>
            </w:r>
            <w:r w:rsidR="00380913" w:rsidRPr="00005453">
              <w:rPr>
                <w:b/>
                <w:bCs/>
                <w:color w:val="000000"/>
                <w:sz w:val="14"/>
                <w:szCs w:val="14"/>
                <w:lang w:eastAsia="tr-TR"/>
              </w:rPr>
              <w:t>4</w:t>
            </w:r>
          </w:p>
        </w:tc>
        <w:tc>
          <w:tcPr>
            <w:tcW w:w="1946" w:type="dxa"/>
            <w:tcBorders>
              <w:top w:val="nil"/>
              <w:left w:val="nil"/>
              <w:bottom w:val="single" w:sz="8" w:space="0" w:color="auto"/>
              <w:right w:val="single" w:sz="4" w:space="0" w:color="auto"/>
            </w:tcBorders>
            <w:shd w:val="clear" w:color="auto" w:fill="auto"/>
            <w:noWrap/>
            <w:vAlign w:val="center"/>
            <w:hideMark/>
          </w:tcPr>
          <w:p w14:paraId="4179D0D7" w14:textId="3AC345E5" w:rsidR="00E30BB9" w:rsidRPr="00005453" w:rsidRDefault="00E30BB9" w:rsidP="00614CD2">
            <w:pPr>
              <w:jc w:val="right"/>
              <w:rPr>
                <w:b/>
                <w:bCs/>
                <w:color w:val="000000"/>
                <w:sz w:val="14"/>
                <w:szCs w:val="14"/>
                <w:lang w:eastAsia="tr-TR"/>
              </w:rPr>
            </w:pPr>
            <w:r w:rsidRPr="00005453">
              <w:rPr>
                <w:b/>
                <w:bCs/>
                <w:color w:val="000000"/>
                <w:sz w:val="14"/>
                <w:szCs w:val="14"/>
                <w:lang w:eastAsia="tr-TR"/>
              </w:rPr>
              <w:t>01.01.202</w:t>
            </w:r>
            <w:r w:rsidR="00380913" w:rsidRPr="00005453">
              <w:rPr>
                <w:b/>
                <w:bCs/>
                <w:color w:val="000000"/>
                <w:sz w:val="14"/>
                <w:szCs w:val="14"/>
                <w:lang w:eastAsia="tr-TR"/>
              </w:rPr>
              <w:t>3</w:t>
            </w:r>
            <w:r w:rsidRPr="00005453">
              <w:rPr>
                <w:b/>
                <w:bCs/>
                <w:color w:val="000000"/>
                <w:sz w:val="14"/>
                <w:szCs w:val="14"/>
                <w:lang w:eastAsia="tr-TR"/>
              </w:rPr>
              <w:t>-31.12.202</w:t>
            </w:r>
            <w:r w:rsidR="00380913" w:rsidRPr="00005453">
              <w:rPr>
                <w:b/>
                <w:bCs/>
                <w:color w:val="000000"/>
                <w:sz w:val="14"/>
                <w:szCs w:val="14"/>
                <w:lang w:eastAsia="tr-TR"/>
              </w:rPr>
              <w:t>3</w:t>
            </w:r>
          </w:p>
        </w:tc>
      </w:tr>
      <w:tr w:rsidR="00E30BB9" w:rsidRPr="00005453" w14:paraId="529E0486" w14:textId="77777777" w:rsidTr="00C07B3E">
        <w:trPr>
          <w:divId w:val="1497571832"/>
          <w:trHeight w:val="86"/>
        </w:trPr>
        <w:tc>
          <w:tcPr>
            <w:tcW w:w="562" w:type="dxa"/>
            <w:tcBorders>
              <w:top w:val="nil"/>
              <w:left w:val="single" w:sz="4" w:space="0" w:color="auto"/>
              <w:bottom w:val="single" w:sz="8" w:space="0" w:color="auto"/>
              <w:right w:val="single" w:sz="4" w:space="0" w:color="auto"/>
            </w:tcBorders>
            <w:shd w:val="clear" w:color="auto" w:fill="auto"/>
            <w:noWrap/>
            <w:vAlign w:val="center"/>
            <w:hideMark/>
          </w:tcPr>
          <w:p w14:paraId="3EDEB9E8" w14:textId="77777777" w:rsidR="00E30BB9" w:rsidRPr="00005453" w:rsidRDefault="00E30BB9" w:rsidP="00E30BB9">
            <w:pPr>
              <w:rPr>
                <w:color w:val="000000"/>
                <w:sz w:val="14"/>
                <w:szCs w:val="14"/>
                <w:lang w:eastAsia="tr-TR"/>
              </w:rPr>
            </w:pPr>
            <w:r w:rsidRPr="00005453">
              <w:rPr>
                <w:color w:val="000000"/>
                <w:sz w:val="14"/>
                <w:szCs w:val="14"/>
                <w:lang w:val="en-US" w:eastAsia="tr-TR"/>
              </w:rPr>
              <w:t> </w:t>
            </w:r>
          </w:p>
        </w:tc>
        <w:tc>
          <w:tcPr>
            <w:tcW w:w="4253" w:type="dxa"/>
            <w:tcBorders>
              <w:top w:val="nil"/>
              <w:left w:val="single" w:sz="4" w:space="0" w:color="auto"/>
              <w:bottom w:val="single" w:sz="8" w:space="0" w:color="auto"/>
              <w:right w:val="single" w:sz="4" w:space="0" w:color="auto"/>
            </w:tcBorders>
            <w:shd w:val="clear" w:color="auto" w:fill="auto"/>
            <w:vAlign w:val="center"/>
            <w:hideMark/>
          </w:tcPr>
          <w:p w14:paraId="018ED2C0" w14:textId="77777777" w:rsidR="00E30BB9" w:rsidRPr="00005453" w:rsidRDefault="00E30BB9" w:rsidP="00E30BB9">
            <w:pPr>
              <w:rPr>
                <w:b/>
                <w:bCs/>
                <w:color w:val="000000"/>
                <w:sz w:val="14"/>
                <w:szCs w:val="14"/>
                <w:lang w:eastAsia="tr-TR"/>
              </w:rPr>
            </w:pPr>
            <w:r w:rsidRPr="00005453">
              <w:rPr>
                <w:b/>
                <w:bCs/>
                <w:color w:val="000000"/>
                <w:sz w:val="14"/>
                <w:szCs w:val="14"/>
                <w:lang w:val="en-US" w:eastAsia="tr-TR"/>
              </w:rPr>
              <w:t>GELİR VE GİDER KALEMLERİ</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5F37BE94" w14:textId="77777777" w:rsidR="00E30BB9" w:rsidRPr="00005453" w:rsidRDefault="00E30BB9" w:rsidP="00E30BB9">
            <w:pPr>
              <w:jc w:val="center"/>
              <w:rPr>
                <w:b/>
                <w:bCs/>
                <w:color w:val="000000"/>
                <w:sz w:val="14"/>
                <w:szCs w:val="14"/>
                <w:lang w:eastAsia="tr-TR"/>
              </w:rPr>
            </w:pPr>
            <w:r w:rsidRPr="00005453">
              <w:rPr>
                <w:b/>
                <w:bCs/>
                <w:color w:val="000000"/>
                <w:sz w:val="14"/>
                <w:szCs w:val="14"/>
                <w:lang w:val="en-US" w:eastAsia="tr-TR"/>
              </w:rPr>
              <w:t>Dipnot</w:t>
            </w:r>
          </w:p>
        </w:tc>
        <w:tc>
          <w:tcPr>
            <w:tcW w:w="1933" w:type="dxa"/>
            <w:tcBorders>
              <w:top w:val="nil"/>
              <w:left w:val="single" w:sz="4" w:space="0" w:color="auto"/>
              <w:bottom w:val="single" w:sz="8" w:space="0" w:color="auto"/>
              <w:right w:val="single" w:sz="4" w:space="0" w:color="auto"/>
            </w:tcBorders>
            <w:shd w:val="clear" w:color="auto" w:fill="auto"/>
            <w:noWrap/>
            <w:vAlign w:val="center"/>
            <w:hideMark/>
          </w:tcPr>
          <w:p w14:paraId="789721C2" w14:textId="77777777" w:rsidR="00E30BB9" w:rsidRPr="00005453" w:rsidRDefault="00E30BB9" w:rsidP="00E30BB9">
            <w:pPr>
              <w:jc w:val="right"/>
              <w:rPr>
                <w:b/>
                <w:bCs/>
                <w:color w:val="000000"/>
                <w:sz w:val="14"/>
                <w:szCs w:val="14"/>
                <w:lang w:eastAsia="tr-TR"/>
              </w:rPr>
            </w:pPr>
            <w:r w:rsidRPr="00005453">
              <w:rPr>
                <w:b/>
                <w:bCs/>
                <w:color w:val="000000"/>
                <w:sz w:val="14"/>
                <w:szCs w:val="14"/>
                <w:lang w:val="en-US" w:eastAsia="tr-TR"/>
              </w:rPr>
              <w:t> </w:t>
            </w:r>
          </w:p>
        </w:tc>
        <w:tc>
          <w:tcPr>
            <w:tcW w:w="1946" w:type="dxa"/>
            <w:tcBorders>
              <w:top w:val="nil"/>
              <w:left w:val="nil"/>
              <w:bottom w:val="single" w:sz="8" w:space="0" w:color="auto"/>
              <w:right w:val="single" w:sz="4" w:space="0" w:color="auto"/>
            </w:tcBorders>
            <w:shd w:val="clear" w:color="auto" w:fill="auto"/>
            <w:noWrap/>
            <w:vAlign w:val="center"/>
            <w:hideMark/>
          </w:tcPr>
          <w:p w14:paraId="18D3BB61" w14:textId="77777777" w:rsidR="00E30BB9" w:rsidRPr="00005453" w:rsidRDefault="00E30BB9" w:rsidP="00E30BB9">
            <w:pPr>
              <w:jc w:val="right"/>
              <w:rPr>
                <w:b/>
                <w:bCs/>
                <w:color w:val="000000"/>
                <w:sz w:val="14"/>
                <w:szCs w:val="14"/>
                <w:lang w:eastAsia="tr-TR"/>
              </w:rPr>
            </w:pPr>
            <w:r w:rsidRPr="00005453">
              <w:rPr>
                <w:b/>
                <w:bCs/>
                <w:color w:val="000000"/>
                <w:sz w:val="14"/>
                <w:szCs w:val="14"/>
                <w:lang w:eastAsia="tr-TR"/>
              </w:rPr>
              <w:t> </w:t>
            </w:r>
          </w:p>
        </w:tc>
      </w:tr>
      <w:tr w:rsidR="00785B70" w:rsidRPr="00005453" w14:paraId="33491E23"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132066CB"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w:t>
            </w:r>
          </w:p>
        </w:tc>
        <w:tc>
          <w:tcPr>
            <w:tcW w:w="4253" w:type="dxa"/>
            <w:tcBorders>
              <w:top w:val="nil"/>
              <w:left w:val="single" w:sz="4" w:space="0" w:color="auto"/>
              <w:bottom w:val="nil"/>
              <w:right w:val="single" w:sz="4" w:space="0" w:color="auto"/>
            </w:tcBorders>
            <w:shd w:val="clear" w:color="auto" w:fill="auto"/>
            <w:hideMark/>
          </w:tcPr>
          <w:p w14:paraId="5D14329D"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KÂR PAYI GELİRLERİ</w:t>
            </w:r>
          </w:p>
        </w:tc>
        <w:tc>
          <w:tcPr>
            <w:tcW w:w="619" w:type="dxa"/>
            <w:tcBorders>
              <w:top w:val="nil"/>
              <w:left w:val="single" w:sz="4" w:space="0" w:color="auto"/>
              <w:bottom w:val="nil"/>
              <w:right w:val="single" w:sz="4" w:space="0" w:color="auto"/>
            </w:tcBorders>
            <w:shd w:val="clear" w:color="auto" w:fill="auto"/>
            <w:noWrap/>
            <w:hideMark/>
          </w:tcPr>
          <w:p w14:paraId="6AE6AC11"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(5.4.1.)</w:t>
            </w:r>
          </w:p>
        </w:tc>
        <w:tc>
          <w:tcPr>
            <w:tcW w:w="1933" w:type="dxa"/>
            <w:tcBorders>
              <w:top w:val="nil"/>
              <w:left w:val="single" w:sz="4" w:space="0" w:color="auto"/>
              <w:bottom w:val="nil"/>
              <w:right w:val="single" w:sz="4" w:space="0" w:color="auto"/>
            </w:tcBorders>
            <w:shd w:val="clear" w:color="auto" w:fill="auto"/>
            <w:vAlign w:val="center"/>
            <w:hideMark/>
          </w:tcPr>
          <w:p w14:paraId="2E63EBC2" w14:textId="29E465DF" w:rsidR="00785B70" w:rsidRPr="00005453" w:rsidRDefault="00785B70" w:rsidP="00785B70">
            <w:pPr>
              <w:jc w:val="right"/>
              <w:rPr>
                <w:b/>
                <w:sz w:val="14"/>
                <w:szCs w:val="16"/>
              </w:rPr>
            </w:pPr>
            <w:r w:rsidRPr="00005453">
              <w:rPr>
                <w:b/>
                <w:bCs/>
                <w:sz w:val="14"/>
                <w:szCs w:val="16"/>
              </w:rPr>
              <w:t>129,337,843</w:t>
            </w:r>
          </w:p>
        </w:tc>
        <w:tc>
          <w:tcPr>
            <w:tcW w:w="1946" w:type="dxa"/>
            <w:tcBorders>
              <w:top w:val="nil"/>
              <w:left w:val="nil"/>
              <w:bottom w:val="nil"/>
              <w:right w:val="single" w:sz="4" w:space="0" w:color="auto"/>
            </w:tcBorders>
            <w:shd w:val="clear" w:color="auto" w:fill="auto"/>
            <w:vAlign w:val="center"/>
            <w:hideMark/>
          </w:tcPr>
          <w:p w14:paraId="34DE9BAC" w14:textId="1A5B22F4" w:rsidR="00785B70" w:rsidRPr="00005453" w:rsidRDefault="00785B70" w:rsidP="00785B70">
            <w:pPr>
              <w:jc w:val="right"/>
              <w:rPr>
                <w:b/>
                <w:bCs/>
                <w:sz w:val="14"/>
                <w:szCs w:val="14"/>
                <w:lang w:eastAsia="tr-TR"/>
              </w:rPr>
            </w:pPr>
            <w:r w:rsidRPr="00005453">
              <w:rPr>
                <w:b/>
                <w:sz w:val="14"/>
                <w:szCs w:val="14"/>
              </w:rPr>
              <w:t>63,057,751</w:t>
            </w:r>
          </w:p>
        </w:tc>
      </w:tr>
      <w:tr w:rsidR="00785B70" w:rsidRPr="00005453" w14:paraId="6A99F5F9"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715F3EB" w14:textId="77777777" w:rsidR="00785B70" w:rsidRPr="00005453" w:rsidRDefault="00785B70" w:rsidP="00785B70">
            <w:pPr>
              <w:rPr>
                <w:color w:val="000000"/>
                <w:sz w:val="14"/>
                <w:szCs w:val="14"/>
                <w:lang w:eastAsia="tr-TR"/>
              </w:rPr>
            </w:pPr>
            <w:r w:rsidRPr="00005453">
              <w:rPr>
                <w:color w:val="000000"/>
                <w:sz w:val="14"/>
                <w:szCs w:val="14"/>
                <w:lang w:val="en-US" w:eastAsia="tr-TR"/>
              </w:rPr>
              <w:t>1.1.</w:t>
            </w:r>
          </w:p>
        </w:tc>
        <w:tc>
          <w:tcPr>
            <w:tcW w:w="4253" w:type="dxa"/>
            <w:tcBorders>
              <w:top w:val="nil"/>
              <w:left w:val="single" w:sz="4" w:space="0" w:color="auto"/>
              <w:bottom w:val="nil"/>
              <w:right w:val="single" w:sz="4" w:space="0" w:color="auto"/>
            </w:tcBorders>
            <w:shd w:val="clear" w:color="auto" w:fill="auto"/>
            <w:hideMark/>
          </w:tcPr>
          <w:p w14:paraId="403B319F" w14:textId="77777777" w:rsidR="00785B70" w:rsidRPr="00005453" w:rsidRDefault="00785B70" w:rsidP="00785B70">
            <w:pPr>
              <w:rPr>
                <w:color w:val="000000"/>
                <w:sz w:val="14"/>
                <w:szCs w:val="14"/>
                <w:lang w:eastAsia="tr-TR"/>
              </w:rPr>
            </w:pPr>
            <w:r w:rsidRPr="00005453">
              <w:rPr>
                <w:color w:val="000000"/>
                <w:sz w:val="14"/>
                <w:szCs w:val="14"/>
                <w:lang w:val="en-US" w:eastAsia="tr-TR"/>
              </w:rPr>
              <w:t>Kredilerden Alınan Kâr Payları</w:t>
            </w:r>
          </w:p>
        </w:tc>
        <w:tc>
          <w:tcPr>
            <w:tcW w:w="619" w:type="dxa"/>
            <w:tcBorders>
              <w:top w:val="nil"/>
              <w:left w:val="single" w:sz="4" w:space="0" w:color="auto"/>
              <w:bottom w:val="nil"/>
              <w:right w:val="single" w:sz="4" w:space="0" w:color="auto"/>
            </w:tcBorders>
            <w:shd w:val="clear" w:color="auto" w:fill="auto"/>
            <w:noWrap/>
            <w:hideMark/>
          </w:tcPr>
          <w:p w14:paraId="39EB83E4"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1B2FA795" w14:textId="357D0EF0" w:rsidR="00785B70" w:rsidRPr="00005453" w:rsidRDefault="00785B70" w:rsidP="00785B70">
            <w:pPr>
              <w:jc w:val="right"/>
              <w:rPr>
                <w:sz w:val="14"/>
                <w:szCs w:val="16"/>
              </w:rPr>
            </w:pPr>
            <w:r w:rsidRPr="00005453">
              <w:rPr>
                <w:sz w:val="14"/>
                <w:szCs w:val="16"/>
              </w:rPr>
              <w:t>85,697,791</w:t>
            </w:r>
          </w:p>
        </w:tc>
        <w:tc>
          <w:tcPr>
            <w:tcW w:w="1946" w:type="dxa"/>
            <w:tcBorders>
              <w:top w:val="nil"/>
              <w:left w:val="nil"/>
              <w:bottom w:val="nil"/>
              <w:right w:val="single" w:sz="4" w:space="0" w:color="auto"/>
            </w:tcBorders>
            <w:shd w:val="clear" w:color="auto" w:fill="auto"/>
            <w:vAlign w:val="center"/>
            <w:hideMark/>
          </w:tcPr>
          <w:p w14:paraId="4D73C9C0" w14:textId="24ED289B" w:rsidR="00785B70" w:rsidRPr="00005453" w:rsidRDefault="00785B70" w:rsidP="00785B70">
            <w:pPr>
              <w:jc w:val="right"/>
              <w:rPr>
                <w:sz w:val="14"/>
                <w:szCs w:val="14"/>
                <w:lang w:eastAsia="tr-TR"/>
              </w:rPr>
            </w:pPr>
            <w:r w:rsidRPr="00005453">
              <w:rPr>
                <w:sz w:val="14"/>
                <w:szCs w:val="14"/>
              </w:rPr>
              <w:t>37,357,184</w:t>
            </w:r>
          </w:p>
        </w:tc>
      </w:tr>
      <w:tr w:rsidR="00785B70" w:rsidRPr="00005453" w14:paraId="5C3DF11B"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2F7E3497" w14:textId="77777777" w:rsidR="00785B70" w:rsidRPr="00005453" w:rsidRDefault="00785B70" w:rsidP="00785B70">
            <w:pPr>
              <w:rPr>
                <w:color w:val="000000"/>
                <w:sz w:val="14"/>
                <w:szCs w:val="14"/>
                <w:lang w:eastAsia="tr-TR"/>
              </w:rPr>
            </w:pPr>
            <w:r w:rsidRPr="00005453">
              <w:rPr>
                <w:color w:val="000000"/>
                <w:sz w:val="14"/>
                <w:szCs w:val="14"/>
                <w:lang w:val="en-US" w:eastAsia="tr-TR"/>
              </w:rPr>
              <w:t>1.2.</w:t>
            </w:r>
          </w:p>
        </w:tc>
        <w:tc>
          <w:tcPr>
            <w:tcW w:w="4253" w:type="dxa"/>
            <w:tcBorders>
              <w:top w:val="nil"/>
              <w:left w:val="single" w:sz="4" w:space="0" w:color="auto"/>
              <w:bottom w:val="nil"/>
              <w:right w:val="single" w:sz="4" w:space="0" w:color="auto"/>
            </w:tcBorders>
            <w:shd w:val="clear" w:color="auto" w:fill="auto"/>
            <w:hideMark/>
          </w:tcPr>
          <w:p w14:paraId="17B4443F" w14:textId="77777777" w:rsidR="00785B70" w:rsidRPr="00005453" w:rsidRDefault="00785B70" w:rsidP="00785B70">
            <w:pPr>
              <w:rPr>
                <w:color w:val="000000"/>
                <w:sz w:val="14"/>
                <w:szCs w:val="14"/>
                <w:lang w:eastAsia="tr-TR"/>
              </w:rPr>
            </w:pPr>
            <w:r w:rsidRPr="00005453">
              <w:rPr>
                <w:color w:val="000000"/>
                <w:sz w:val="14"/>
                <w:szCs w:val="14"/>
                <w:lang w:val="en-US"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hideMark/>
          </w:tcPr>
          <w:p w14:paraId="79AAF1FC"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2E124D3B" w14:textId="004CFE19" w:rsidR="00785B70" w:rsidRPr="00005453" w:rsidRDefault="00785B70" w:rsidP="00785B70">
            <w:pPr>
              <w:jc w:val="right"/>
              <w:rPr>
                <w:sz w:val="14"/>
                <w:szCs w:val="16"/>
              </w:rPr>
            </w:pPr>
            <w:r w:rsidRPr="00005453">
              <w:rPr>
                <w:sz w:val="14"/>
                <w:szCs w:val="16"/>
              </w:rPr>
              <w:t>9,688,833</w:t>
            </w:r>
          </w:p>
        </w:tc>
        <w:tc>
          <w:tcPr>
            <w:tcW w:w="1946" w:type="dxa"/>
            <w:tcBorders>
              <w:top w:val="nil"/>
              <w:left w:val="nil"/>
              <w:bottom w:val="nil"/>
              <w:right w:val="single" w:sz="4" w:space="0" w:color="auto"/>
            </w:tcBorders>
            <w:shd w:val="clear" w:color="auto" w:fill="auto"/>
            <w:vAlign w:val="center"/>
            <w:hideMark/>
          </w:tcPr>
          <w:p w14:paraId="482642C3" w14:textId="3B5B9816" w:rsidR="00785B70" w:rsidRPr="00005453" w:rsidRDefault="00785B70" w:rsidP="00785B70">
            <w:pPr>
              <w:jc w:val="right"/>
              <w:rPr>
                <w:sz w:val="14"/>
                <w:szCs w:val="14"/>
                <w:lang w:eastAsia="tr-TR"/>
              </w:rPr>
            </w:pPr>
            <w:r w:rsidRPr="00005453">
              <w:rPr>
                <w:sz w:val="14"/>
                <w:szCs w:val="14"/>
              </w:rPr>
              <w:t>-</w:t>
            </w:r>
          </w:p>
        </w:tc>
      </w:tr>
      <w:tr w:rsidR="00785B70" w:rsidRPr="00005453" w14:paraId="29D147A3"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F576E27" w14:textId="77777777" w:rsidR="00785B70" w:rsidRPr="00005453" w:rsidRDefault="00785B70" w:rsidP="00785B70">
            <w:pPr>
              <w:rPr>
                <w:color w:val="000000"/>
                <w:sz w:val="14"/>
                <w:szCs w:val="14"/>
                <w:lang w:eastAsia="tr-TR"/>
              </w:rPr>
            </w:pPr>
            <w:r w:rsidRPr="00005453">
              <w:rPr>
                <w:color w:val="000000"/>
                <w:sz w:val="14"/>
                <w:szCs w:val="14"/>
                <w:lang w:val="en-US" w:eastAsia="tr-TR"/>
              </w:rPr>
              <w:t>1.3.</w:t>
            </w:r>
          </w:p>
        </w:tc>
        <w:tc>
          <w:tcPr>
            <w:tcW w:w="4253" w:type="dxa"/>
            <w:tcBorders>
              <w:top w:val="nil"/>
              <w:left w:val="single" w:sz="4" w:space="0" w:color="auto"/>
              <w:bottom w:val="nil"/>
              <w:right w:val="single" w:sz="4" w:space="0" w:color="auto"/>
            </w:tcBorders>
            <w:shd w:val="clear" w:color="auto" w:fill="auto"/>
            <w:hideMark/>
          </w:tcPr>
          <w:p w14:paraId="6829A3BC" w14:textId="77777777" w:rsidR="00785B70" w:rsidRPr="00005453" w:rsidRDefault="00785B70" w:rsidP="00785B70">
            <w:pPr>
              <w:rPr>
                <w:color w:val="000000"/>
                <w:sz w:val="14"/>
                <w:szCs w:val="14"/>
                <w:lang w:eastAsia="tr-TR"/>
              </w:rPr>
            </w:pPr>
            <w:r w:rsidRPr="00005453">
              <w:rPr>
                <w:color w:val="000000"/>
                <w:sz w:val="14"/>
                <w:szCs w:val="14"/>
                <w:lang w:val="en-US" w:eastAsia="tr-TR"/>
              </w:rPr>
              <w:t>Bankalardan Alınan Gelirler</w:t>
            </w:r>
          </w:p>
        </w:tc>
        <w:tc>
          <w:tcPr>
            <w:tcW w:w="619" w:type="dxa"/>
            <w:tcBorders>
              <w:top w:val="nil"/>
              <w:left w:val="single" w:sz="4" w:space="0" w:color="auto"/>
              <w:bottom w:val="nil"/>
              <w:right w:val="single" w:sz="4" w:space="0" w:color="auto"/>
            </w:tcBorders>
            <w:shd w:val="clear" w:color="auto" w:fill="auto"/>
            <w:noWrap/>
            <w:hideMark/>
          </w:tcPr>
          <w:p w14:paraId="207B4DC6"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5635CAD" w14:textId="7591282C" w:rsidR="00785B70" w:rsidRPr="00005453" w:rsidRDefault="00785B70" w:rsidP="00785B70">
            <w:pPr>
              <w:jc w:val="right"/>
              <w:rPr>
                <w:sz w:val="14"/>
                <w:szCs w:val="16"/>
              </w:rPr>
            </w:pPr>
            <w:r w:rsidRPr="00005453">
              <w:rPr>
                <w:sz w:val="14"/>
                <w:szCs w:val="16"/>
              </w:rPr>
              <w:t>698,337</w:t>
            </w:r>
          </w:p>
        </w:tc>
        <w:tc>
          <w:tcPr>
            <w:tcW w:w="1946" w:type="dxa"/>
            <w:tcBorders>
              <w:top w:val="nil"/>
              <w:left w:val="nil"/>
              <w:bottom w:val="nil"/>
              <w:right w:val="single" w:sz="4" w:space="0" w:color="auto"/>
            </w:tcBorders>
            <w:shd w:val="clear" w:color="auto" w:fill="auto"/>
            <w:vAlign w:val="center"/>
            <w:hideMark/>
          </w:tcPr>
          <w:p w14:paraId="245F524D" w14:textId="760C98AC" w:rsidR="00785B70" w:rsidRPr="00005453" w:rsidRDefault="00785B70" w:rsidP="00785B70">
            <w:pPr>
              <w:jc w:val="right"/>
              <w:rPr>
                <w:sz w:val="14"/>
                <w:szCs w:val="14"/>
                <w:lang w:eastAsia="tr-TR"/>
              </w:rPr>
            </w:pPr>
            <w:r w:rsidRPr="00005453">
              <w:rPr>
                <w:sz w:val="14"/>
                <w:szCs w:val="14"/>
              </w:rPr>
              <w:t>548,136</w:t>
            </w:r>
          </w:p>
        </w:tc>
      </w:tr>
      <w:tr w:rsidR="00785B70" w:rsidRPr="00005453" w14:paraId="6E33D55F"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5CB612F4" w14:textId="77777777" w:rsidR="00785B70" w:rsidRPr="00005453" w:rsidRDefault="00785B70" w:rsidP="00785B70">
            <w:pPr>
              <w:rPr>
                <w:color w:val="000000"/>
                <w:sz w:val="14"/>
                <w:szCs w:val="14"/>
                <w:lang w:eastAsia="tr-TR"/>
              </w:rPr>
            </w:pPr>
            <w:r w:rsidRPr="00005453">
              <w:rPr>
                <w:color w:val="000000"/>
                <w:sz w:val="14"/>
                <w:szCs w:val="14"/>
                <w:lang w:val="en-US" w:eastAsia="tr-TR"/>
              </w:rPr>
              <w:t>1.4.</w:t>
            </w:r>
          </w:p>
        </w:tc>
        <w:tc>
          <w:tcPr>
            <w:tcW w:w="4253" w:type="dxa"/>
            <w:tcBorders>
              <w:top w:val="nil"/>
              <w:left w:val="single" w:sz="4" w:space="0" w:color="auto"/>
              <w:bottom w:val="nil"/>
              <w:right w:val="single" w:sz="4" w:space="0" w:color="auto"/>
            </w:tcBorders>
            <w:shd w:val="clear" w:color="auto" w:fill="auto"/>
            <w:hideMark/>
          </w:tcPr>
          <w:p w14:paraId="5001F335" w14:textId="77777777" w:rsidR="00785B70" w:rsidRPr="00005453" w:rsidRDefault="00785B70" w:rsidP="00785B70">
            <w:pPr>
              <w:rPr>
                <w:color w:val="000000"/>
                <w:sz w:val="14"/>
                <w:szCs w:val="14"/>
                <w:lang w:eastAsia="tr-TR"/>
              </w:rPr>
            </w:pPr>
            <w:r w:rsidRPr="00005453">
              <w:rPr>
                <w:color w:val="000000"/>
                <w:sz w:val="14"/>
                <w:szCs w:val="14"/>
                <w:lang w:val="de-DE"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hideMark/>
          </w:tcPr>
          <w:p w14:paraId="75DC068D"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14F4484F" w14:textId="2BE95BAF"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1F7C16D8" w14:textId="1A9D5BA4" w:rsidR="00785B70" w:rsidRPr="00005453" w:rsidRDefault="00785B70" w:rsidP="00785B70">
            <w:pPr>
              <w:jc w:val="right"/>
              <w:rPr>
                <w:sz w:val="14"/>
                <w:szCs w:val="14"/>
                <w:lang w:eastAsia="tr-TR"/>
              </w:rPr>
            </w:pPr>
            <w:r w:rsidRPr="00005453">
              <w:rPr>
                <w:sz w:val="14"/>
                <w:szCs w:val="14"/>
              </w:rPr>
              <w:t>-</w:t>
            </w:r>
          </w:p>
        </w:tc>
      </w:tr>
      <w:tr w:rsidR="00785B70" w:rsidRPr="00005453" w14:paraId="1EAC13FA"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558D88BC" w14:textId="77777777" w:rsidR="00785B70" w:rsidRPr="00005453" w:rsidRDefault="00785B70" w:rsidP="00785B70">
            <w:pPr>
              <w:rPr>
                <w:color w:val="000000"/>
                <w:sz w:val="14"/>
                <w:szCs w:val="14"/>
                <w:lang w:eastAsia="tr-TR"/>
              </w:rPr>
            </w:pPr>
            <w:r w:rsidRPr="00005453">
              <w:rPr>
                <w:color w:val="000000"/>
                <w:sz w:val="14"/>
                <w:szCs w:val="14"/>
                <w:lang w:val="en-US" w:eastAsia="tr-TR"/>
              </w:rPr>
              <w:t>1.5.</w:t>
            </w:r>
          </w:p>
        </w:tc>
        <w:tc>
          <w:tcPr>
            <w:tcW w:w="4253" w:type="dxa"/>
            <w:tcBorders>
              <w:top w:val="nil"/>
              <w:left w:val="single" w:sz="4" w:space="0" w:color="auto"/>
              <w:bottom w:val="nil"/>
              <w:right w:val="single" w:sz="4" w:space="0" w:color="auto"/>
            </w:tcBorders>
            <w:shd w:val="clear" w:color="auto" w:fill="auto"/>
            <w:hideMark/>
          </w:tcPr>
          <w:p w14:paraId="31C36B71" w14:textId="77777777" w:rsidR="00785B70" w:rsidRPr="00005453" w:rsidRDefault="00785B70" w:rsidP="00785B70">
            <w:pPr>
              <w:rPr>
                <w:color w:val="000000"/>
                <w:sz w:val="14"/>
                <w:szCs w:val="14"/>
                <w:lang w:eastAsia="tr-TR"/>
              </w:rPr>
            </w:pPr>
            <w:r w:rsidRPr="00005453">
              <w:rPr>
                <w:color w:val="000000"/>
                <w:sz w:val="14"/>
                <w:szCs w:val="14"/>
                <w:lang w:val="en-US"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hideMark/>
          </w:tcPr>
          <w:p w14:paraId="30FD8B0B"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09CBF94B" w14:textId="6C2EF230" w:rsidR="00785B70" w:rsidRPr="00005453" w:rsidRDefault="00785B70" w:rsidP="00785B70">
            <w:pPr>
              <w:jc w:val="right"/>
              <w:rPr>
                <w:sz w:val="14"/>
                <w:szCs w:val="16"/>
              </w:rPr>
            </w:pPr>
            <w:r w:rsidRPr="00005453">
              <w:rPr>
                <w:sz w:val="14"/>
                <w:szCs w:val="16"/>
              </w:rPr>
              <w:t>23,137,917</w:t>
            </w:r>
          </w:p>
        </w:tc>
        <w:tc>
          <w:tcPr>
            <w:tcW w:w="1946" w:type="dxa"/>
            <w:tcBorders>
              <w:top w:val="nil"/>
              <w:left w:val="nil"/>
              <w:bottom w:val="nil"/>
              <w:right w:val="single" w:sz="4" w:space="0" w:color="auto"/>
            </w:tcBorders>
            <w:shd w:val="clear" w:color="auto" w:fill="auto"/>
            <w:vAlign w:val="center"/>
            <w:hideMark/>
          </w:tcPr>
          <w:p w14:paraId="117304FE" w14:textId="7710068E" w:rsidR="00785B70" w:rsidRPr="00005453" w:rsidRDefault="00785B70" w:rsidP="00785B70">
            <w:pPr>
              <w:jc w:val="right"/>
              <w:rPr>
                <w:sz w:val="14"/>
                <w:szCs w:val="14"/>
                <w:lang w:eastAsia="tr-TR"/>
              </w:rPr>
            </w:pPr>
            <w:r w:rsidRPr="00005453">
              <w:rPr>
                <w:sz w:val="14"/>
                <w:szCs w:val="14"/>
              </w:rPr>
              <w:t>20,308,521</w:t>
            </w:r>
          </w:p>
        </w:tc>
      </w:tr>
      <w:tr w:rsidR="00785B70" w:rsidRPr="00005453" w14:paraId="0856417C"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A871BF0" w14:textId="77777777" w:rsidR="00785B70" w:rsidRPr="00005453" w:rsidRDefault="00785B70" w:rsidP="00785B70">
            <w:pPr>
              <w:rPr>
                <w:color w:val="000000"/>
                <w:sz w:val="14"/>
                <w:szCs w:val="14"/>
                <w:lang w:eastAsia="tr-TR"/>
              </w:rPr>
            </w:pPr>
            <w:r w:rsidRPr="00005453">
              <w:rPr>
                <w:color w:val="000000"/>
                <w:sz w:val="14"/>
                <w:szCs w:val="14"/>
                <w:lang w:val="en-US" w:eastAsia="tr-TR"/>
              </w:rPr>
              <w:t>1.5.1.</w:t>
            </w:r>
          </w:p>
        </w:tc>
        <w:tc>
          <w:tcPr>
            <w:tcW w:w="4253" w:type="dxa"/>
            <w:tcBorders>
              <w:top w:val="nil"/>
              <w:left w:val="single" w:sz="4" w:space="0" w:color="auto"/>
              <w:bottom w:val="nil"/>
              <w:right w:val="single" w:sz="4" w:space="0" w:color="auto"/>
            </w:tcBorders>
            <w:shd w:val="clear" w:color="auto" w:fill="auto"/>
            <w:hideMark/>
          </w:tcPr>
          <w:p w14:paraId="3C478FEB" w14:textId="77777777" w:rsidR="00785B70" w:rsidRPr="00005453" w:rsidRDefault="00785B70" w:rsidP="00785B70">
            <w:pPr>
              <w:rPr>
                <w:color w:val="000000"/>
                <w:sz w:val="14"/>
                <w:szCs w:val="14"/>
                <w:lang w:eastAsia="tr-TR"/>
              </w:rPr>
            </w:pPr>
            <w:r w:rsidRPr="00005453">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hideMark/>
          </w:tcPr>
          <w:p w14:paraId="2068FA06"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764C6EE0" w14:textId="145C018A" w:rsidR="00785B70" w:rsidRPr="00005453" w:rsidRDefault="00785B70" w:rsidP="00785B70">
            <w:pPr>
              <w:jc w:val="right"/>
              <w:rPr>
                <w:sz w:val="14"/>
                <w:szCs w:val="16"/>
              </w:rPr>
            </w:pPr>
            <w:r w:rsidRPr="00005453">
              <w:rPr>
                <w:sz w:val="14"/>
                <w:szCs w:val="16"/>
              </w:rPr>
              <w:t>1,055,118</w:t>
            </w:r>
          </w:p>
        </w:tc>
        <w:tc>
          <w:tcPr>
            <w:tcW w:w="1946" w:type="dxa"/>
            <w:tcBorders>
              <w:top w:val="nil"/>
              <w:left w:val="nil"/>
              <w:bottom w:val="nil"/>
              <w:right w:val="single" w:sz="4" w:space="0" w:color="auto"/>
            </w:tcBorders>
            <w:shd w:val="clear" w:color="auto" w:fill="auto"/>
            <w:vAlign w:val="center"/>
            <w:hideMark/>
          </w:tcPr>
          <w:p w14:paraId="437BE527" w14:textId="581A2D78" w:rsidR="00785B70" w:rsidRPr="00005453" w:rsidRDefault="00785B70" w:rsidP="00785B70">
            <w:pPr>
              <w:jc w:val="right"/>
              <w:rPr>
                <w:sz w:val="14"/>
                <w:szCs w:val="14"/>
                <w:lang w:eastAsia="tr-TR"/>
              </w:rPr>
            </w:pPr>
            <w:r w:rsidRPr="00005453">
              <w:rPr>
                <w:sz w:val="14"/>
                <w:szCs w:val="14"/>
              </w:rPr>
              <w:t>761,342</w:t>
            </w:r>
          </w:p>
        </w:tc>
      </w:tr>
      <w:tr w:rsidR="00785B70" w:rsidRPr="00005453" w14:paraId="03AF1F16"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701AF69B" w14:textId="77777777" w:rsidR="00785B70" w:rsidRPr="00005453" w:rsidRDefault="00785B70" w:rsidP="00785B70">
            <w:pPr>
              <w:rPr>
                <w:color w:val="000000"/>
                <w:sz w:val="14"/>
                <w:szCs w:val="14"/>
                <w:lang w:eastAsia="tr-TR"/>
              </w:rPr>
            </w:pPr>
            <w:r w:rsidRPr="00005453">
              <w:rPr>
                <w:color w:val="000000"/>
                <w:sz w:val="14"/>
                <w:szCs w:val="14"/>
                <w:lang w:val="en-US" w:eastAsia="tr-TR"/>
              </w:rPr>
              <w:t>1.5.2.</w:t>
            </w:r>
          </w:p>
        </w:tc>
        <w:tc>
          <w:tcPr>
            <w:tcW w:w="4253" w:type="dxa"/>
            <w:tcBorders>
              <w:top w:val="nil"/>
              <w:left w:val="single" w:sz="4" w:space="0" w:color="auto"/>
              <w:bottom w:val="nil"/>
              <w:right w:val="single" w:sz="4" w:space="0" w:color="auto"/>
            </w:tcBorders>
            <w:shd w:val="clear" w:color="auto" w:fill="auto"/>
            <w:hideMark/>
          </w:tcPr>
          <w:p w14:paraId="557390DC" w14:textId="77777777" w:rsidR="00785B70" w:rsidRPr="00005453" w:rsidRDefault="00785B70" w:rsidP="00785B70">
            <w:pPr>
              <w:rPr>
                <w:color w:val="000000"/>
                <w:sz w:val="14"/>
                <w:szCs w:val="14"/>
                <w:lang w:eastAsia="tr-TR"/>
              </w:rPr>
            </w:pPr>
            <w:r w:rsidRPr="00005453">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hideMark/>
          </w:tcPr>
          <w:p w14:paraId="4D891C84"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2017D091" w14:textId="11BB62D2" w:rsidR="00785B70" w:rsidRPr="00005453" w:rsidRDefault="00785B70" w:rsidP="00785B70">
            <w:pPr>
              <w:jc w:val="right"/>
              <w:rPr>
                <w:sz w:val="14"/>
                <w:szCs w:val="16"/>
              </w:rPr>
            </w:pPr>
            <w:r w:rsidRPr="00005453">
              <w:rPr>
                <w:sz w:val="14"/>
                <w:szCs w:val="16"/>
              </w:rPr>
              <w:t>12,124,041</w:t>
            </w:r>
          </w:p>
        </w:tc>
        <w:tc>
          <w:tcPr>
            <w:tcW w:w="1946" w:type="dxa"/>
            <w:tcBorders>
              <w:top w:val="nil"/>
              <w:left w:val="nil"/>
              <w:bottom w:val="nil"/>
              <w:right w:val="single" w:sz="4" w:space="0" w:color="auto"/>
            </w:tcBorders>
            <w:shd w:val="clear" w:color="auto" w:fill="auto"/>
            <w:vAlign w:val="center"/>
            <w:hideMark/>
          </w:tcPr>
          <w:p w14:paraId="0D164E38" w14:textId="1E362D29" w:rsidR="00785B70" w:rsidRPr="00005453" w:rsidRDefault="00785B70" w:rsidP="00785B70">
            <w:pPr>
              <w:jc w:val="right"/>
              <w:rPr>
                <w:sz w:val="14"/>
                <w:szCs w:val="14"/>
                <w:lang w:eastAsia="tr-TR"/>
              </w:rPr>
            </w:pPr>
            <w:r w:rsidRPr="00005453">
              <w:rPr>
                <w:sz w:val="14"/>
                <w:szCs w:val="14"/>
              </w:rPr>
              <w:t>15,074,251</w:t>
            </w:r>
          </w:p>
        </w:tc>
      </w:tr>
      <w:tr w:rsidR="00785B70" w:rsidRPr="00005453" w14:paraId="31D4204B"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70483979" w14:textId="77777777" w:rsidR="00785B70" w:rsidRPr="00005453" w:rsidRDefault="00785B70" w:rsidP="00785B70">
            <w:pPr>
              <w:rPr>
                <w:color w:val="000000"/>
                <w:sz w:val="14"/>
                <w:szCs w:val="14"/>
                <w:lang w:eastAsia="tr-TR"/>
              </w:rPr>
            </w:pPr>
            <w:r w:rsidRPr="00005453">
              <w:rPr>
                <w:color w:val="000000"/>
                <w:sz w:val="14"/>
                <w:szCs w:val="14"/>
                <w:lang w:val="en-US" w:eastAsia="tr-TR"/>
              </w:rPr>
              <w:t>1.5.3.</w:t>
            </w:r>
          </w:p>
        </w:tc>
        <w:tc>
          <w:tcPr>
            <w:tcW w:w="4253" w:type="dxa"/>
            <w:tcBorders>
              <w:top w:val="nil"/>
              <w:left w:val="single" w:sz="4" w:space="0" w:color="auto"/>
              <w:bottom w:val="nil"/>
              <w:right w:val="single" w:sz="4" w:space="0" w:color="auto"/>
            </w:tcBorders>
            <w:shd w:val="clear" w:color="auto" w:fill="auto"/>
            <w:hideMark/>
          </w:tcPr>
          <w:p w14:paraId="1DD1D6CA" w14:textId="77777777" w:rsidR="00785B70" w:rsidRPr="00005453" w:rsidRDefault="00785B70" w:rsidP="00785B70">
            <w:pPr>
              <w:rPr>
                <w:color w:val="000000"/>
                <w:sz w:val="14"/>
                <w:szCs w:val="14"/>
                <w:lang w:eastAsia="tr-TR"/>
              </w:rPr>
            </w:pPr>
            <w:r w:rsidRPr="00005453">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hideMark/>
          </w:tcPr>
          <w:p w14:paraId="1629B25E"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8AC6F5A" w14:textId="6E087438" w:rsidR="00785B70" w:rsidRPr="00005453" w:rsidRDefault="00785B70" w:rsidP="00785B70">
            <w:pPr>
              <w:jc w:val="right"/>
              <w:rPr>
                <w:sz w:val="14"/>
                <w:szCs w:val="16"/>
              </w:rPr>
            </w:pPr>
            <w:r w:rsidRPr="00005453">
              <w:rPr>
                <w:sz w:val="14"/>
                <w:szCs w:val="16"/>
              </w:rPr>
              <w:t>9,958,758</w:t>
            </w:r>
          </w:p>
        </w:tc>
        <w:tc>
          <w:tcPr>
            <w:tcW w:w="1946" w:type="dxa"/>
            <w:tcBorders>
              <w:top w:val="nil"/>
              <w:left w:val="nil"/>
              <w:bottom w:val="nil"/>
              <w:right w:val="single" w:sz="4" w:space="0" w:color="auto"/>
            </w:tcBorders>
            <w:shd w:val="clear" w:color="auto" w:fill="auto"/>
            <w:vAlign w:val="center"/>
            <w:hideMark/>
          </w:tcPr>
          <w:p w14:paraId="1D4AE1BC" w14:textId="07F998DC" w:rsidR="00785B70" w:rsidRPr="00005453" w:rsidRDefault="00785B70" w:rsidP="00785B70">
            <w:pPr>
              <w:jc w:val="right"/>
              <w:rPr>
                <w:sz w:val="14"/>
                <w:szCs w:val="14"/>
                <w:lang w:eastAsia="tr-TR"/>
              </w:rPr>
            </w:pPr>
            <w:r w:rsidRPr="00005453">
              <w:rPr>
                <w:sz w:val="14"/>
                <w:szCs w:val="14"/>
              </w:rPr>
              <w:t>4,472,928</w:t>
            </w:r>
          </w:p>
        </w:tc>
      </w:tr>
      <w:tr w:rsidR="00785B70" w:rsidRPr="00005453" w14:paraId="030DF397"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31E79A77" w14:textId="77777777" w:rsidR="00785B70" w:rsidRPr="00005453" w:rsidRDefault="00785B70" w:rsidP="00785B70">
            <w:pPr>
              <w:rPr>
                <w:color w:val="000000"/>
                <w:sz w:val="14"/>
                <w:szCs w:val="14"/>
                <w:lang w:eastAsia="tr-TR"/>
              </w:rPr>
            </w:pPr>
            <w:r w:rsidRPr="00005453">
              <w:rPr>
                <w:color w:val="000000"/>
                <w:sz w:val="14"/>
                <w:szCs w:val="14"/>
                <w:lang w:val="en-US" w:eastAsia="tr-TR"/>
              </w:rPr>
              <w:t>1.6.</w:t>
            </w:r>
          </w:p>
        </w:tc>
        <w:tc>
          <w:tcPr>
            <w:tcW w:w="4253" w:type="dxa"/>
            <w:tcBorders>
              <w:top w:val="nil"/>
              <w:left w:val="single" w:sz="4" w:space="0" w:color="auto"/>
              <w:bottom w:val="nil"/>
              <w:right w:val="single" w:sz="4" w:space="0" w:color="auto"/>
            </w:tcBorders>
            <w:shd w:val="clear" w:color="auto" w:fill="auto"/>
            <w:hideMark/>
          </w:tcPr>
          <w:p w14:paraId="1D1D8A12" w14:textId="77777777" w:rsidR="00785B70" w:rsidRPr="00005453" w:rsidRDefault="00785B70" w:rsidP="00785B70">
            <w:pPr>
              <w:rPr>
                <w:color w:val="000000"/>
                <w:sz w:val="14"/>
                <w:szCs w:val="14"/>
                <w:lang w:eastAsia="tr-TR"/>
              </w:rPr>
            </w:pPr>
            <w:r w:rsidRPr="00005453">
              <w:rPr>
                <w:color w:val="000000"/>
                <w:sz w:val="14"/>
                <w:szCs w:val="14"/>
                <w:lang w:val="en-US" w:eastAsia="tr-TR"/>
              </w:rPr>
              <w:t>Finansal Kiralama Gelirleri</w:t>
            </w:r>
          </w:p>
        </w:tc>
        <w:tc>
          <w:tcPr>
            <w:tcW w:w="619" w:type="dxa"/>
            <w:tcBorders>
              <w:top w:val="nil"/>
              <w:left w:val="single" w:sz="4" w:space="0" w:color="auto"/>
              <w:bottom w:val="nil"/>
              <w:right w:val="single" w:sz="4" w:space="0" w:color="auto"/>
            </w:tcBorders>
            <w:shd w:val="clear" w:color="auto" w:fill="auto"/>
            <w:noWrap/>
            <w:hideMark/>
          </w:tcPr>
          <w:p w14:paraId="114688EB"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9FF5192" w14:textId="4D6AD027" w:rsidR="00785B70" w:rsidRPr="00005453" w:rsidRDefault="00785B70" w:rsidP="00785B70">
            <w:pPr>
              <w:jc w:val="right"/>
              <w:rPr>
                <w:sz w:val="14"/>
                <w:szCs w:val="16"/>
              </w:rPr>
            </w:pPr>
            <w:r w:rsidRPr="00005453">
              <w:rPr>
                <w:sz w:val="14"/>
                <w:szCs w:val="16"/>
              </w:rPr>
              <w:t>9,437,621</w:t>
            </w:r>
          </w:p>
        </w:tc>
        <w:tc>
          <w:tcPr>
            <w:tcW w:w="1946" w:type="dxa"/>
            <w:tcBorders>
              <w:top w:val="nil"/>
              <w:left w:val="nil"/>
              <w:bottom w:val="nil"/>
              <w:right w:val="single" w:sz="4" w:space="0" w:color="auto"/>
            </w:tcBorders>
            <w:shd w:val="clear" w:color="auto" w:fill="auto"/>
            <w:vAlign w:val="center"/>
            <w:hideMark/>
          </w:tcPr>
          <w:p w14:paraId="39B0C61D" w14:textId="32960E1B" w:rsidR="00785B70" w:rsidRPr="00005453" w:rsidRDefault="00785B70" w:rsidP="00785B70">
            <w:pPr>
              <w:jc w:val="right"/>
              <w:rPr>
                <w:sz w:val="14"/>
                <w:szCs w:val="14"/>
                <w:lang w:eastAsia="tr-TR"/>
              </w:rPr>
            </w:pPr>
            <w:r w:rsidRPr="00005453">
              <w:rPr>
                <w:sz w:val="14"/>
                <w:szCs w:val="14"/>
              </w:rPr>
              <w:t>4,714,670</w:t>
            </w:r>
          </w:p>
        </w:tc>
      </w:tr>
      <w:tr w:rsidR="00785B70" w:rsidRPr="00005453" w14:paraId="2792ADBB"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946927D" w14:textId="77777777" w:rsidR="00785B70" w:rsidRPr="00005453" w:rsidRDefault="00785B70" w:rsidP="00785B70">
            <w:pPr>
              <w:rPr>
                <w:color w:val="000000"/>
                <w:sz w:val="14"/>
                <w:szCs w:val="14"/>
                <w:lang w:eastAsia="tr-TR"/>
              </w:rPr>
            </w:pPr>
            <w:r w:rsidRPr="00005453">
              <w:rPr>
                <w:color w:val="000000"/>
                <w:sz w:val="14"/>
                <w:szCs w:val="14"/>
                <w:lang w:val="en-US" w:eastAsia="tr-TR"/>
              </w:rPr>
              <w:t>1.7.</w:t>
            </w:r>
          </w:p>
        </w:tc>
        <w:tc>
          <w:tcPr>
            <w:tcW w:w="4253" w:type="dxa"/>
            <w:tcBorders>
              <w:top w:val="nil"/>
              <w:left w:val="single" w:sz="4" w:space="0" w:color="auto"/>
              <w:bottom w:val="nil"/>
              <w:right w:val="single" w:sz="4" w:space="0" w:color="auto"/>
            </w:tcBorders>
            <w:shd w:val="clear" w:color="auto" w:fill="auto"/>
            <w:hideMark/>
          </w:tcPr>
          <w:p w14:paraId="336EACD1" w14:textId="77777777" w:rsidR="00785B70" w:rsidRPr="00005453" w:rsidRDefault="00785B70" w:rsidP="00785B70">
            <w:pPr>
              <w:rPr>
                <w:color w:val="000000"/>
                <w:sz w:val="14"/>
                <w:szCs w:val="14"/>
                <w:lang w:eastAsia="tr-TR"/>
              </w:rPr>
            </w:pPr>
            <w:r w:rsidRPr="00005453">
              <w:rPr>
                <w:color w:val="000000"/>
                <w:sz w:val="14"/>
                <w:szCs w:val="14"/>
                <w:lang w:val="en-US" w:eastAsia="tr-TR"/>
              </w:rPr>
              <w:t>Diğer Kâr Payı Gelirleri</w:t>
            </w:r>
          </w:p>
        </w:tc>
        <w:tc>
          <w:tcPr>
            <w:tcW w:w="619" w:type="dxa"/>
            <w:tcBorders>
              <w:top w:val="nil"/>
              <w:left w:val="single" w:sz="4" w:space="0" w:color="auto"/>
              <w:bottom w:val="nil"/>
              <w:right w:val="single" w:sz="4" w:space="0" w:color="auto"/>
            </w:tcBorders>
            <w:shd w:val="clear" w:color="auto" w:fill="auto"/>
            <w:noWrap/>
            <w:hideMark/>
          </w:tcPr>
          <w:p w14:paraId="37E88B85"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6F3D2CA1" w14:textId="0F181137" w:rsidR="00785B70" w:rsidRPr="00005453" w:rsidRDefault="00785B70" w:rsidP="00785B70">
            <w:pPr>
              <w:jc w:val="right"/>
              <w:rPr>
                <w:sz w:val="14"/>
                <w:szCs w:val="16"/>
              </w:rPr>
            </w:pPr>
            <w:r w:rsidRPr="00005453">
              <w:rPr>
                <w:sz w:val="14"/>
                <w:szCs w:val="16"/>
              </w:rPr>
              <w:t>677,344</w:t>
            </w:r>
          </w:p>
        </w:tc>
        <w:tc>
          <w:tcPr>
            <w:tcW w:w="1946" w:type="dxa"/>
            <w:tcBorders>
              <w:top w:val="nil"/>
              <w:left w:val="nil"/>
              <w:bottom w:val="nil"/>
              <w:right w:val="single" w:sz="4" w:space="0" w:color="auto"/>
            </w:tcBorders>
            <w:shd w:val="clear" w:color="auto" w:fill="auto"/>
            <w:vAlign w:val="center"/>
            <w:hideMark/>
          </w:tcPr>
          <w:p w14:paraId="4BF385FC" w14:textId="64512245" w:rsidR="00785B70" w:rsidRPr="00005453" w:rsidRDefault="00785B70" w:rsidP="00785B70">
            <w:pPr>
              <w:jc w:val="right"/>
              <w:rPr>
                <w:sz w:val="14"/>
                <w:szCs w:val="14"/>
                <w:lang w:eastAsia="tr-TR"/>
              </w:rPr>
            </w:pPr>
            <w:r w:rsidRPr="00005453">
              <w:rPr>
                <w:sz w:val="14"/>
                <w:szCs w:val="14"/>
              </w:rPr>
              <w:t>129,240</w:t>
            </w:r>
          </w:p>
        </w:tc>
      </w:tr>
      <w:tr w:rsidR="00785B70" w:rsidRPr="00005453" w14:paraId="46534403"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411FB028"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II.</w:t>
            </w:r>
          </w:p>
        </w:tc>
        <w:tc>
          <w:tcPr>
            <w:tcW w:w="4253" w:type="dxa"/>
            <w:tcBorders>
              <w:top w:val="nil"/>
              <w:left w:val="single" w:sz="4" w:space="0" w:color="auto"/>
              <w:bottom w:val="nil"/>
              <w:right w:val="single" w:sz="4" w:space="0" w:color="auto"/>
            </w:tcBorders>
            <w:shd w:val="clear" w:color="auto" w:fill="auto"/>
            <w:hideMark/>
          </w:tcPr>
          <w:p w14:paraId="77B5C479"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KÂR PAYI GİDERLERİ (-)</w:t>
            </w:r>
          </w:p>
        </w:tc>
        <w:tc>
          <w:tcPr>
            <w:tcW w:w="619" w:type="dxa"/>
            <w:tcBorders>
              <w:top w:val="nil"/>
              <w:left w:val="single" w:sz="4" w:space="0" w:color="auto"/>
              <w:bottom w:val="nil"/>
              <w:right w:val="single" w:sz="4" w:space="0" w:color="auto"/>
            </w:tcBorders>
            <w:shd w:val="clear" w:color="auto" w:fill="auto"/>
            <w:noWrap/>
            <w:hideMark/>
          </w:tcPr>
          <w:p w14:paraId="133F3CE9"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7C10804C" w14:textId="5D790313" w:rsidR="00785B70" w:rsidRPr="00005453" w:rsidRDefault="00785B70" w:rsidP="00785B70">
            <w:pPr>
              <w:jc w:val="right"/>
              <w:rPr>
                <w:b/>
                <w:sz w:val="14"/>
                <w:szCs w:val="16"/>
              </w:rPr>
            </w:pPr>
            <w:r w:rsidRPr="00005453">
              <w:rPr>
                <w:b/>
                <w:bCs/>
                <w:sz w:val="14"/>
                <w:szCs w:val="16"/>
              </w:rPr>
              <w:t>80,903,588</w:t>
            </w:r>
          </w:p>
        </w:tc>
        <w:tc>
          <w:tcPr>
            <w:tcW w:w="1946" w:type="dxa"/>
            <w:tcBorders>
              <w:top w:val="nil"/>
              <w:left w:val="nil"/>
              <w:bottom w:val="nil"/>
              <w:right w:val="single" w:sz="4" w:space="0" w:color="auto"/>
            </w:tcBorders>
            <w:shd w:val="clear" w:color="auto" w:fill="auto"/>
            <w:vAlign w:val="center"/>
            <w:hideMark/>
          </w:tcPr>
          <w:p w14:paraId="269C3200" w14:textId="6BE5B3D0" w:rsidR="00785B70" w:rsidRPr="00005453" w:rsidRDefault="00785B70" w:rsidP="00785B70">
            <w:pPr>
              <w:jc w:val="right"/>
              <w:rPr>
                <w:b/>
                <w:bCs/>
                <w:sz w:val="14"/>
                <w:szCs w:val="14"/>
                <w:lang w:eastAsia="tr-TR"/>
              </w:rPr>
            </w:pPr>
            <w:r w:rsidRPr="00005453">
              <w:rPr>
                <w:b/>
                <w:sz w:val="14"/>
                <w:szCs w:val="14"/>
              </w:rPr>
              <w:t>27,876,292</w:t>
            </w:r>
          </w:p>
        </w:tc>
      </w:tr>
      <w:tr w:rsidR="00785B70" w:rsidRPr="00005453" w14:paraId="6D9534F9"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0364F46B" w14:textId="77777777" w:rsidR="00785B70" w:rsidRPr="00005453" w:rsidRDefault="00785B70" w:rsidP="00785B70">
            <w:pPr>
              <w:rPr>
                <w:color w:val="000000"/>
                <w:sz w:val="14"/>
                <w:szCs w:val="14"/>
                <w:lang w:eastAsia="tr-TR"/>
              </w:rPr>
            </w:pPr>
            <w:r w:rsidRPr="00005453">
              <w:rPr>
                <w:color w:val="000000"/>
                <w:sz w:val="14"/>
                <w:szCs w:val="14"/>
                <w:lang w:val="en-US" w:eastAsia="tr-TR"/>
              </w:rPr>
              <w:t>2.1.</w:t>
            </w:r>
          </w:p>
        </w:tc>
        <w:tc>
          <w:tcPr>
            <w:tcW w:w="4253" w:type="dxa"/>
            <w:tcBorders>
              <w:top w:val="nil"/>
              <w:left w:val="single" w:sz="4" w:space="0" w:color="auto"/>
              <w:bottom w:val="nil"/>
              <w:right w:val="single" w:sz="4" w:space="0" w:color="auto"/>
            </w:tcBorders>
            <w:shd w:val="clear" w:color="auto" w:fill="auto"/>
            <w:hideMark/>
          </w:tcPr>
          <w:p w14:paraId="530171BB" w14:textId="77777777" w:rsidR="00785B70" w:rsidRPr="00005453" w:rsidRDefault="00785B70" w:rsidP="00785B70">
            <w:pPr>
              <w:rPr>
                <w:color w:val="000000"/>
                <w:sz w:val="14"/>
                <w:szCs w:val="14"/>
                <w:lang w:eastAsia="tr-TR"/>
              </w:rPr>
            </w:pPr>
            <w:r w:rsidRPr="00005453">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hideMark/>
          </w:tcPr>
          <w:p w14:paraId="7974E9FF" w14:textId="77777777" w:rsidR="00785B70" w:rsidRPr="00005453" w:rsidRDefault="00785B70" w:rsidP="00785B70">
            <w:pPr>
              <w:jc w:val="center"/>
              <w:rPr>
                <w:color w:val="000000"/>
                <w:sz w:val="14"/>
                <w:szCs w:val="14"/>
                <w:lang w:eastAsia="tr-TR"/>
              </w:rPr>
            </w:pPr>
            <w:r w:rsidRPr="00005453">
              <w:rPr>
                <w:color w:val="000000"/>
                <w:sz w:val="14"/>
                <w:szCs w:val="14"/>
                <w:lang w:val="en-US" w:eastAsia="tr-TR"/>
              </w:rPr>
              <w:t>(5.4.4.)</w:t>
            </w:r>
          </w:p>
        </w:tc>
        <w:tc>
          <w:tcPr>
            <w:tcW w:w="1933" w:type="dxa"/>
            <w:tcBorders>
              <w:top w:val="nil"/>
              <w:left w:val="single" w:sz="4" w:space="0" w:color="auto"/>
              <w:bottom w:val="nil"/>
              <w:right w:val="single" w:sz="4" w:space="0" w:color="auto"/>
            </w:tcBorders>
            <w:shd w:val="clear" w:color="auto" w:fill="auto"/>
            <w:vAlign w:val="center"/>
            <w:hideMark/>
          </w:tcPr>
          <w:p w14:paraId="1541DE64" w14:textId="4137B982" w:rsidR="00785B70" w:rsidRPr="00005453" w:rsidRDefault="00785B70" w:rsidP="00785B70">
            <w:pPr>
              <w:jc w:val="right"/>
              <w:rPr>
                <w:sz w:val="14"/>
                <w:szCs w:val="16"/>
              </w:rPr>
            </w:pPr>
            <w:r w:rsidRPr="00005453">
              <w:rPr>
                <w:sz w:val="14"/>
                <w:szCs w:val="16"/>
              </w:rPr>
              <w:t>60,169,698</w:t>
            </w:r>
          </w:p>
        </w:tc>
        <w:tc>
          <w:tcPr>
            <w:tcW w:w="1946" w:type="dxa"/>
            <w:tcBorders>
              <w:top w:val="nil"/>
              <w:left w:val="nil"/>
              <w:bottom w:val="nil"/>
              <w:right w:val="single" w:sz="4" w:space="0" w:color="auto"/>
            </w:tcBorders>
            <w:shd w:val="clear" w:color="auto" w:fill="auto"/>
            <w:vAlign w:val="center"/>
            <w:hideMark/>
          </w:tcPr>
          <w:p w14:paraId="039DD3D7" w14:textId="5F8338B1" w:rsidR="00785B70" w:rsidRPr="00005453" w:rsidRDefault="00785B70" w:rsidP="00785B70">
            <w:pPr>
              <w:jc w:val="right"/>
              <w:rPr>
                <w:sz w:val="14"/>
                <w:szCs w:val="14"/>
                <w:lang w:eastAsia="tr-TR"/>
              </w:rPr>
            </w:pPr>
            <w:r w:rsidRPr="00005453">
              <w:rPr>
                <w:sz w:val="14"/>
                <w:szCs w:val="14"/>
              </w:rPr>
              <w:t>23,092,934</w:t>
            </w:r>
          </w:p>
        </w:tc>
      </w:tr>
      <w:tr w:rsidR="00785B70" w:rsidRPr="00005453" w14:paraId="0ED62C92"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01E193D" w14:textId="77777777" w:rsidR="00785B70" w:rsidRPr="00005453" w:rsidRDefault="00785B70" w:rsidP="00785B70">
            <w:pPr>
              <w:rPr>
                <w:color w:val="000000"/>
                <w:sz w:val="14"/>
                <w:szCs w:val="14"/>
                <w:lang w:eastAsia="tr-TR"/>
              </w:rPr>
            </w:pPr>
            <w:r w:rsidRPr="00005453">
              <w:rPr>
                <w:color w:val="000000"/>
                <w:sz w:val="14"/>
                <w:szCs w:val="14"/>
                <w:lang w:val="en-US" w:eastAsia="tr-TR"/>
              </w:rPr>
              <w:t>2.2.</w:t>
            </w:r>
          </w:p>
        </w:tc>
        <w:tc>
          <w:tcPr>
            <w:tcW w:w="4253" w:type="dxa"/>
            <w:tcBorders>
              <w:top w:val="nil"/>
              <w:left w:val="single" w:sz="4" w:space="0" w:color="auto"/>
              <w:bottom w:val="nil"/>
              <w:right w:val="single" w:sz="4" w:space="0" w:color="auto"/>
            </w:tcBorders>
            <w:shd w:val="clear" w:color="auto" w:fill="auto"/>
            <w:hideMark/>
          </w:tcPr>
          <w:p w14:paraId="6DBAF879" w14:textId="77777777" w:rsidR="00785B70" w:rsidRPr="00005453" w:rsidRDefault="00785B70" w:rsidP="00785B70">
            <w:pPr>
              <w:rPr>
                <w:color w:val="000000"/>
                <w:sz w:val="14"/>
                <w:szCs w:val="14"/>
                <w:lang w:eastAsia="tr-TR"/>
              </w:rPr>
            </w:pPr>
            <w:r w:rsidRPr="00005453">
              <w:rPr>
                <w:color w:val="000000"/>
                <w:sz w:val="14"/>
                <w:szCs w:val="14"/>
                <w:lang w:val="de-DE"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hideMark/>
          </w:tcPr>
          <w:p w14:paraId="38DB2674" w14:textId="77777777" w:rsidR="00785B70" w:rsidRPr="00005453" w:rsidRDefault="00785B70" w:rsidP="00785B70">
            <w:pPr>
              <w:jc w:val="center"/>
              <w:rPr>
                <w:color w:val="000000"/>
                <w:sz w:val="14"/>
                <w:szCs w:val="14"/>
                <w:lang w:eastAsia="tr-TR"/>
              </w:rPr>
            </w:pPr>
            <w:r w:rsidRPr="00005453">
              <w:rPr>
                <w:color w:val="000000"/>
                <w:sz w:val="14"/>
                <w:szCs w:val="14"/>
                <w:lang w:val="en-US" w:eastAsia="tr-TR"/>
              </w:rPr>
              <w:t>(5.4.2.)</w:t>
            </w:r>
          </w:p>
        </w:tc>
        <w:tc>
          <w:tcPr>
            <w:tcW w:w="1933" w:type="dxa"/>
            <w:tcBorders>
              <w:top w:val="nil"/>
              <w:left w:val="single" w:sz="4" w:space="0" w:color="auto"/>
              <w:bottom w:val="nil"/>
              <w:right w:val="single" w:sz="4" w:space="0" w:color="auto"/>
            </w:tcBorders>
            <w:shd w:val="clear" w:color="auto" w:fill="auto"/>
            <w:vAlign w:val="center"/>
            <w:hideMark/>
          </w:tcPr>
          <w:p w14:paraId="4A5F0A94" w14:textId="21A1E146" w:rsidR="00785B70" w:rsidRPr="00005453" w:rsidRDefault="00785B70" w:rsidP="00785B70">
            <w:pPr>
              <w:jc w:val="right"/>
              <w:rPr>
                <w:sz w:val="14"/>
                <w:szCs w:val="16"/>
              </w:rPr>
            </w:pPr>
            <w:r w:rsidRPr="00005453">
              <w:rPr>
                <w:sz w:val="14"/>
                <w:szCs w:val="16"/>
              </w:rPr>
              <w:t>12,647,218</w:t>
            </w:r>
          </w:p>
        </w:tc>
        <w:tc>
          <w:tcPr>
            <w:tcW w:w="1946" w:type="dxa"/>
            <w:tcBorders>
              <w:top w:val="nil"/>
              <w:left w:val="nil"/>
              <w:bottom w:val="nil"/>
              <w:right w:val="single" w:sz="4" w:space="0" w:color="auto"/>
            </w:tcBorders>
            <w:shd w:val="clear" w:color="auto" w:fill="auto"/>
            <w:vAlign w:val="center"/>
            <w:hideMark/>
          </w:tcPr>
          <w:p w14:paraId="304A0113" w14:textId="7C09B4AE" w:rsidR="00785B70" w:rsidRPr="00005453" w:rsidRDefault="00785B70" w:rsidP="00785B70">
            <w:pPr>
              <w:jc w:val="right"/>
              <w:rPr>
                <w:sz w:val="14"/>
                <w:szCs w:val="14"/>
                <w:lang w:eastAsia="tr-TR"/>
              </w:rPr>
            </w:pPr>
            <w:r w:rsidRPr="00005453">
              <w:rPr>
                <w:sz w:val="14"/>
                <w:szCs w:val="14"/>
              </w:rPr>
              <w:t>4,124,833</w:t>
            </w:r>
          </w:p>
        </w:tc>
      </w:tr>
      <w:tr w:rsidR="00785B70" w:rsidRPr="00005453" w14:paraId="4B23F9C7"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9789DA1" w14:textId="77777777" w:rsidR="00785B70" w:rsidRPr="00005453" w:rsidRDefault="00785B70" w:rsidP="00785B70">
            <w:pPr>
              <w:rPr>
                <w:color w:val="000000"/>
                <w:sz w:val="14"/>
                <w:szCs w:val="14"/>
                <w:lang w:eastAsia="tr-TR"/>
              </w:rPr>
            </w:pPr>
            <w:r w:rsidRPr="00005453">
              <w:rPr>
                <w:color w:val="000000"/>
                <w:sz w:val="14"/>
                <w:szCs w:val="14"/>
                <w:lang w:val="en-US" w:eastAsia="tr-TR"/>
              </w:rPr>
              <w:t>2.3.</w:t>
            </w:r>
          </w:p>
        </w:tc>
        <w:tc>
          <w:tcPr>
            <w:tcW w:w="4253" w:type="dxa"/>
            <w:tcBorders>
              <w:top w:val="nil"/>
              <w:left w:val="single" w:sz="4" w:space="0" w:color="auto"/>
              <w:bottom w:val="nil"/>
              <w:right w:val="single" w:sz="4" w:space="0" w:color="auto"/>
            </w:tcBorders>
            <w:shd w:val="clear" w:color="auto" w:fill="auto"/>
            <w:hideMark/>
          </w:tcPr>
          <w:p w14:paraId="3343F2FE" w14:textId="77777777" w:rsidR="00785B70" w:rsidRPr="00005453" w:rsidRDefault="00785B70" w:rsidP="00785B70">
            <w:pPr>
              <w:rPr>
                <w:color w:val="000000"/>
                <w:sz w:val="14"/>
                <w:szCs w:val="14"/>
                <w:lang w:eastAsia="tr-TR"/>
              </w:rPr>
            </w:pPr>
            <w:r w:rsidRPr="00005453">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hideMark/>
          </w:tcPr>
          <w:p w14:paraId="50CDDB61"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046601AB" w14:textId="2EECC3B4" w:rsidR="00785B70" w:rsidRPr="00005453" w:rsidRDefault="00785B70" w:rsidP="00785B70">
            <w:pPr>
              <w:jc w:val="right"/>
              <w:rPr>
                <w:sz w:val="14"/>
                <w:szCs w:val="16"/>
              </w:rPr>
            </w:pPr>
            <w:r w:rsidRPr="00005453">
              <w:rPr>
                <w:sz w:val="14"/>
                <w:szCs w:val="16"/>
              </w:rPr>
              <w:t>7,818,671</w:t>
            </w:r>
          </w:p>
        </w:tc>
        <w:tc>
          <w:tcPr>
            <w:tcW w:w="1946" w:type="dxa"/>
            <w:tcBorders>
              <w:top w:val="nil"/>
              <w:left w:val="nil"/>
              <w:bottom w:val="nil"/>
              <w:right w:val="single" w:sz="4" w:space="0" w:color="auto"/>
            </w:tcBorders>
            <w:shd w:val="clear" w:color="auto" w:fill="auto"/>
            <w:vAlign w:val="center"/>
            <w:hideMark/>
          </w:tcPr>
          <w:p w14:paraId="27BA6BD6" w14:textId="1D3B9F7F" w:rsidR="00785B70" w:rsidRPr="00005453" w:rsidRDefault="00785B70" w:rsidP="00785B70">
            <w:pPr>
              <w:jc w:val="right"/>
              <w:rPr>
                <w:sz w:val="14"/>
                <w:szCs w:val="14"/>
                <w:lang w:eastAsia="tr-TR"/>
              </w:rPr>
            </w:pPr>
            <w:r w:rsidRPr="00005453">
              <w:rPr>
                <w:sz w:val="14"/>
                <w:szCs w:val="14"/>
              </w:rPr>
              <w:t>517,231</w:t>
            </w:r>
          </w:p>
        </w:tc>
      </w:tr>
      <w:tr w:rsidR="00785B70" w:rsidRPr="00005453" w14:paraId="69C3B158"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3E321E0F" w14:textId="77777777" w:rsidR="00785B70" w:rsidRPr="00005453" w:rsidRDefault="00785B70" w:rsidP="00785B70">
            <w:pPr>
              <w:rPr>
                <w:color w:val="000000"/>
                <w:sz w:val="14"/>
                <w:szCs w:val="14"/>
                <w:lang w:eastAsia="tr-TR"/>
              </w:rPr>
            </w:pPr>
            <w:r w:rsidRPr="00005453">
              <w:rPr>
                <w:color w:val="000000"/>
                <w:sz w:val="14"/>
                <w:szCs w:val="14"/>
                <w:lang w:val="en-US" w:eastAsia="tr-TR"/>
              </w:rPr>
              <w:t>2.4.</w:t>
            </w:r>
          </w:p>
        </w:tc>
        <w:tc>
          <w:tcPr>
            <w:tcW w:w="4253" w:type="dxa"/>
            <w:tcBorders>
              <w:top w:val="nil"/>
              <w:left w:val="single" w:sz="4" w:space="0" w:color="auto"/>
              <w:bottom w:val="nil"/>
              <w:right w:val="single" w:sz="4" w:space="0" w:color="auto"/>
            </w:tcBorders>
            <w:shd w:val="clear" w:color="auto" w:fill="auto"/>
            <w:hideMark/>
          </w:tcPr>
          <w:p w14:paraId="23B80C54" w14:textId="77777777" w:rsidR="00785B70" w:rsidRPr="00005453" w:rsidRDefault="00785B70" w:rsidP="00785B70">
            <w:pPr>
              <w:rPr>
                <w:color w:val="000000"/>
                <w:sz w:val="14"/>
                <w:szCs w:val="14"/>
                <w:lang w:eastAsia="tr-TR"/>
              </w:rPr>
            </w:pPr>
            <w:r w:rsidRPr="00005453">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hideMark/>
          </w:tcPr>
          <w:p w14:paraId="66BDB50D" w14:textId="06EF330A" w:rsidR="00785B70" w:rsidRPr="00005453" w:rsidRDefault="00785B70" w:rsidP="00785B70">
            <w:pPr>
              <w:jc w:val="center"/>
              <w:rPr>
                <w:color w:val="000000"/>
                <w:sz w:val="14"/>
                <w:szCs w:val="14"/>
                <w:lang w:eastAsia="tr-TR"/>
              </w:rPr>
            </w:pPr>
            <w:r w:rsidRPr="00005453">
              <w:rPr>
                <w:color w:val="000000"/>
                <w:sz w:val="14"/>
                <w:szCs w:val="14"/>
                <w:lang w:eastAsia="tr-TR"/>
              </w:rPr>
              <w:t>(5.4.2.)</w:t>
            </w:r>
          </w:p>
        </w:tc>
        <w:tc>
          <w:tcPr>
            <w:tcW w:w="1933" w:type="dxa"/>
            <w:tcBorders>
              <w:top w:val="nil"/>
              <w:left w:val="single" w:sz="4" w:space="0" w:color="auto"/>
              <w:bottom w:val="nil"/>
              <w:right w:val="single" w:sz="4" w:space="0" w:color="auto"/>
            </w:tcBorders>
            <w:shd w:val="clear" w:color="auto" w:fill="auto"/>
            <w:vAlign w:val="center"/>
            <w:hideMark/>
          </w:tcPr>
          <w:p w14:paraId="16D798F4" w14:textId="00AD62C7"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50D4E251" w14:textId="491B0B1B" w:rsidR="00785B70" w:rsidRPr="00005453" w:rsidRDefault="00785B70" w:rsidP="00785B70">
            <w:pPr>
              <w:jc w:val="right"/>
              <w:rPr>
                <w:sz w:val="14"/>
                <w:szCs w:val="14"/>
                <w:lang w:eastAsia="tr-TR"/>
              </w:rPr>
            </w:pPr>
            <w:r w:rsidRPr="00005453">
              <w:rPr>
                <w:sz w:val="14"/>
                <w:szCs w:val="14"/>
              </w:rPr>
              <w:t>-</w:t>
            </w:r>
          </w:p>
        </w:tc>
      </w:tr>
      <w:tr w:rsidR="00785B70" w:rsidRPr="00005453" w14:paraId="295138F7"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3777D19" w14:textId="77777777" w:rsidR="00785B70" w:rsidRPr="00005453" w:rsidRDefault="00785B70" w:rsidP="00785B70">
            <w:pPr>
              <w:rPr>
                <w:color w:val="000000"/>
                <w:sz w:val="14"/>
                <w:szCs w:val="14"/>
                <w:lang w:eastAsia="tr-TR"/>
              </w:rPr>
            </w:pPr>
            <w:r w:rsidRPr="00005453">
              <w:rPr>
                <w:color w:val="000000"/>
                <w:sz w:val="14"/>
                <w:szCs w:val="14"/>
                <w:lang w:val="en-US" w:eastAsia="tr-TR"/>
              </w:rPr>
              <w:t>2.5.</w:t>
            </w:r>
          </w:p>
        </w:tc>
        <w:tc>
          <w:tcPr>
            <w:tcW w:w="4253" w:type="dxa"/>
            <w:tcBorders>
              <w:top w:val="nil"/>
              <w:left w:val="single" w:sz="4" w:space="0" w:color="auto"/>
              <w:bottom w:val="nil"/>
              <w:right w:val="single" w:sz="4" w:space="0" w:color="auto"/>
            </w:tcBorders>
            <w:shd w:val="clear" w:color="auto" w:fill="auto"/>
            <w:hideMark/>
          </w:tcPr>
          <w:p w14:paraId="6A06F2C9" w14:textId="77777777" w:rsidR="00785B70" w:rsidRPr="00005453" w:rsidRDefault="00785B70" w:rsidP="00785B70">
            <w:pPr>
              <w:rPr>
                <w:color w:val="000000"/>
                <w:sz w:val="14"/>
                <w:szCs w:val="14"/>
                <w:lang w:eastAsia="tr-TR"/>
              </w:rPr>
            </w:pPr>
            <w:r w:rsidRPr="00005453">
              <w:rPr>
                <w:color w:val="000000"/>
                <w:sz w:val="14"/>
                <w:szCs w:val="14"/>
                <w:lang w:val="en-US" w:eastAsia="tr-TR"/>
              </w:rPr>
              <w:t>Kiralama Kar Payı Giderleri</w:t>
            </w:r>
          </w:p>
        </w:tc>
        <w:tc>
          <w:tcPr>
            <w:tcW w:w="619" w:type="dxa"/>
            <w:tcBorders>
              <w:top w:val="nil"/>
              <w:left w:val="single" w:sz="4" w:space="0" w:color="auto"/>
              <w:bottom w:val="nil"/>
              <w:right w:val="single" w:sz="4" w:space="0" w:color="auto"/>
            </w:tcBorders>
            <w:shd w:val="clear" w:color="auto" w:fill="auto"/>
            <w:noWrap/>
            <w:hideMark/>
          </w:tcPr>
          <w:p w14:paraId="279CE688"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4944BD42" w14:textId="6ECE51A5" w:rsidR="00785B70" w:rsidRPr="00005453" w:rsidRDefault="00785B70" w:rsidP="00785B70">
            <w:pPr>
              <w:jc w:val="right"/>
              <w:rPr>
                <w:sz w:val="14"/>
                <w:szCs w:val="16"/>
              </w:rPr>
            </w:pPr>
            <w:r w:rsidRPr="00005453">
              <w:rPr>
                <w:sz w:val="14"/>
                <w:szCs w:val="16"/>
              </w:rPr>
              <w:t>268,001</w:t>
            </w:r>
          </w:p>
        </w:tc>
        <w:tc>
          <w:tcPr>
            <w:tcW w:w="1946" w:type="dxa"/>
            <w:tcBorders>
              <w:top w:val="nil"/>
              <w:left w:val="nil"/>
              <w:bottom w:val="nil"/>
              <w:right w:val="single" w:sz="4" w:space="0" w:color="auto"/>
            </w:tcBorders>
            <w:shd w:val="clear" w:color="auto" w:fill="auto"/>
            <w:vAlign w:val="center"/>
            <w:hideMark/>
          </w:tcPr>
          <w:p w14:paraId="1A68E3D6" w14:textId="055C5D93" w:rsidR="00785B70" w:rsidRPr="00005453" w:rsidRDefault="00785B70" w:rsidP="00785B70">
            <w:pPr>
              <w:jc w:val="right"/>
              <w:rPr>
                <w:sz w:val="14"/>
                <w:szCs w:val="14"/>
                <w:lang w:eastAsia="tr-TR"/>
              </w:rPr>
            </w:pPr>
            <w:r w:rsidRPr="00005453">
              <w:rPr>
                <w:sz w:val="14"/>
                <w:szCs w:val="14"/>
              </w:rPr>
              <w:t>141,294</w:t>
            </w:r>
          </w:p>
        </w:tc>
      </w:tr>
      <w:tr w:rsidR="00785B70" w:rsidRPr="00005453" w14:paraId="5E19A50A"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2C032131" w14:textId="77777777" w:rsidR="00785B70" w:rsidRPr="00005453" w:rsidRDefault="00785B70" w:rsidP="00785B70">
            <w:pPr>
              <w:rPr>
                <w:color w:val="000000"/>
                <w:sz w:val="14"/>
                <w:szCs w:val="14"/>
                <w:lang w:eastAsia="tr-TR"/>
              </w:rPr>
            </w:pPr>
            <w:r w:rsidRPr="00005453">
              <w:rPr>
                <w:color w:val="000000"/>
                <w:sz w:val="14"/>
                <w:szCs w:val="14"/>
                <w:lang w:val="en-US" w:eastAsia="tr-TR"/>
              </w:rPr>
              <w:t>2.6.</w:t>
            </w:r>
          </w:p>
        </w:tc>
        <w:tc>
          <w:tcPr>
            <w:tcW w:w="4253" w:type="dxa"/>
            <w:tcBorders>
              <w:top w:val="nil"/>
              <w:left w:val="single" w:sz="4" w:space="0" w:color="auto"/>
              <w:bottom w:val="nil"/>
              <w:right w:val="single" w:sz="4" w:space="0" w:color="auto"/>
            </w:tcBorders>
            <w:shd w:val="clear" w:color="auto" w:fill="auto"/>
            <w:hideMark/>
          </w:tcPr>
          <w:p w14:paraId="0F1D16E4" w14:textId="77777777" w:rsidR="00785B70" w:rsidRPr="00005453" w:rsidRDefault="00785B70" w:rsidP="00785B70">
            <w:pPr>
              <w:rPr>
                <w:color w:val="000000"/>
                <w:sz w:val="14"/>
                <w:szCs w:val="14"/>
                <w:lang w:eastAsia="tr-TR"/>
              </w:rPr>
            </w:pPr>
            <w:r w:rsidRPr="00005453">
              <w:rPr>
                <w:color w:val="000000"/>
                <w:sz w:val="14"/>
                <w:szCs w:val="14"/>
                <w:lang w:val="en-US" w:eastAsia="tr-TR"/>
              </w:rPr>
              <w:t>Diğer Kâr Payı Giderleri</w:t>
            </w:r>
          </w:p>
        </w:tc>
        <w:tc>
          <w:tcPr>
            <w:tcW w:w="619" w:type="dxa"/>
            <w:tcBorders>
              <w:top w:val="nil"/>
              <w:left w:val="single" w:sz="4" w:space="0" w:color="auto"/>
              <w:bottom w:val="nil"/>
              <w:right w:val="single" w:sz="4" w:space="0" w:color="auto"/>
            </w:tcBorders>
            <w:shd w:val="clear" w:color="auto" w:fill="auto"/>
            <w:noWrap/>
            <w:hideMark/>
          </w:tcPr>
          <w:p w14:paraId="6A03E43E"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258204D" w14:textId="50A249EF"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0640AE9F" w14:textId="679EC005" w:rsidR="00785B70" w:rsidRPr="00005453" w:rsidRDefault="00785B70" w:rsidP="00785B70">
            <w:pPr>
              <w:jc w:val="right"/>
              <w:rPr>
                <w:sz w:val="14"/>
                <w:szCs w:val="14"/>
                <w:lang w:eastAsia="tr-TR"/>
              </w:rPr>
            </w:pPr>
            <w:r w:rsidRPr="00005453">
              <w:rPr>
                <w:sz w:val="14"/>
                <w:szCs w:val="14"/>
              </w:rPr>
              <w:t>-</w:t>
            </w:r>
          </w:p>
        </w:tc>
      </w:tr>
      <w:tr w:rsidR="00785B70" w:rsidRPr="00005453" w14:paraId="1ADACDDC"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18DD502B"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III.</w:t>
            </w:r>
          </w:p>
        </w:tc>
        <w:tc>
          <w:tcPr>
            <w:tcW w:w="4253" w:type="dxa"/>
            <w:tcBorders>
              <w:top w:val="nil"/>
              <w:left w:val="single" w:sz="4" w:space="0" w:color="auto"/>
              <w:bottom w:val="nil"/>
              <w:right w:val="single" w:sz="4" w:space="0" w:color="auto"/>
            </w:tcBorders>
            <w:shd w:val="clear" w:color="auto" w:fill="auto"/>
            <w:hideMark/>
          </w:tcPr>
          <w:p w14:paraId="7D594BCC"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NET KÂR PAYI GELİRİ/GİDERİ (I - II)</w:t>
            </w:r>
          </w:p>
        </w:tc>
        <w:tc>
          <w:tcPr>
            <w:tcW w:w="619" w:type="dxa"/>
            <w:tcBorders>
              <w:top w:val="nil"/>
              <w:left w:val="single" w:sz="4" w:space="0" w:color="auto"/>
              <w:bottom w:val="nil"/>
              <w:right w:val="single" w:sz="4" w:space="0" w:color="auto"/>
            </w:tcBorders>
            <w:shd w:val="clear" w:color="auto" w:fill="auto"/>
            <w:noWrap/>
            <w:hideMark/>
          </w:tcPr>
          <w:p w14:paraId="65BDCA91"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D110773" w14:textId="4A85E842" w:rsidR="00785B70" w:rsidRPr="00005453" w:rsidRDefault="00785B70" w:rsidP="00785B70">
            <w:pPr>
              <w:jc w:val="right"/>
              <w:rPr>
                <w:b/>
                <w:sz w:val="14"/>
                <w:szCs w:val="16"/>
              </w:rPr>
            </w:pPr>
            <w:r w:rsidRPr="00005453">
              <w:rPr>
                <w:b/>
                <w:bCs/>
                <w:sz w:val="14"/>
                <w:szCs w:val="16"/>
              </w:rPr>
              <w:t>48,434,255</w:t>
            </w:r>
          </w:p>
        </w:tc>
        <w:tc>
          <w:tcPr>
            <w:tcW w:w="1946" w:type="dxa"/>
            <w:tcBorders>
              <w:top w:val="nil"/>
              <w:left w:val="nil"/>
              <w:bottom w:val="nil"/>
              <w:right w:val="single" w:sz="4" w:space="0" w:color="auto"/>
            </w:tcBorders>
            <w:shd w:val="clear" w:color="auto" w:fill="auto"/>
            <w:vAlign w:val="center"/>
            <w:hideMark/>
          </w:tcPr>
          <w:p w14:paraId="28CB09CE" w14:textId="4705879A" w:rsidR="00785B70" w:rsidRPr="00005453" w:rsidRDefault="00785B70" w:rsidP="00785B70">
            <w:pPr>
              <w:jc w:val="right"/>
              <w:rPr>
                <w:b/>
                <w:bCs/>
                <w:sz w:val="14"/>
                <w:szCs w:val="14"/>
                <w:lang w:eastAsia="tr-TR"/>
              </w:rPr>
            </w:pPr>
            <w:r w:rsidRPr="00005453">
              <w:rPr>
                <w:b/>
                <w:sz w:val="14"/>
                <w:szCs w:val="14"/>
              </w:rPr>
              <w:t>35,181,459</w:t>
            </w:r>
          </w:p>
        </w:tc>
      </w:tr>
      <w:tr w:rsidR="00785B70" w:rsidRPr="00005453" w14:paraId="4E0CC6DA"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57182E10"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IV.</w:t>
            </w:r>
          </w:p>
        </w:tc>
        <w:tc>
          <w:tcPr>
            <w:tcW w:w="4253" w:type="dxa"/>
            <w:tcBorders>
              <w:top w:val="nil"/>
              <w:left w:val="single" w:sz="4" w:space="0" w:color="auto"/>
              <w:bottom w:val="nil"/>
              <w:right w:val="single" w:sz="4" w:space="0" w:color="auto"/>
            </w:tcBorders>
            <w:shd w:val="clear" w:color="auto" w:fill="auto"/>
            <w:hideMark/>
          </w:tcPr>
          <w:p w14:paraId="55ABFE0B"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hideMark/>
          </w:tcPr>
          <w:p w14:paraId="423DCADB"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79C0BC0" w14:textId="4ACDEA40" w:rsidR="00785B70" w:rsidRPr="00005453" w:rsidRDefault="00785B70" w:rsidP="00785B70">
            <w:pPr>
              <w:jc w:val="right"/>
              <w:rPr>
                <w:b/>
                <w:sz w:val="14"/>
                <w:szCs w:val="16"/>
              </w:rPr>
            </w:pPr>
            <w:r w:rsidRPr="00005453">
              <w:rPr>
                <w:b/>
                <w:bCs/>
                <w:sz w:val="14"/>
                <w:szCs w:val="16"/>
              </w:rPr>
              <w:t>9,139,091</w:t>
            </w:r>
          </w:p>
        </w:tc>
        <w:tc>
          <w:tcPr>
            <w:tcW w:w="1946" w:type="dxa"/>
            <w:tcBorders>
              <w:top w:val="nil"/>
              <w:left w:val="nil"/>
              <w:bottom w:val="nil"/>
              <w:right w:val="single" w:sz="4" w:space="0" w:color="auto"/>
            </w:tcBorders>
            <w:shd w:val="clear" w:color="auto" w:fill="auto"/>
            <w:vAlign w:val="center"/>
            <w:hideMark/>
          </w:tcPr>
          <w:p w14:paraId="584C465D" w14:textId="5F761106" w:rsidR="00785B70" w:rsidRPr="00005453" w:rsidRDefault="00785B70" w:rsidP="00785B70">
            <w:pPr>
              <w:jc w:val="right"/>
              <w:rPr>
                <w:b/>
                <w:bCs/>
                <w:sz w:val="14"/>
                <w:szCs w:val="14"/>
                <w:lang w:eastAsia="tr-TR"/>
              </w:rPr>
            </w:pPr>
            <w:r w:rsidRPr="00005453">
              <w:rPr>
                <w:b/>
                <w:sz w:val="14"/>
                <w:szCs w:val="14"/>
              </w:rPr>
              <w:t>3,428,469</w:t>
            </w:r>
          </w:p>
        </w:tc>
      </w:tr>
      <w:tr w:rsidR="00785B70" w:rsidRPr="00005453" w14:paraId="29FD9EDC"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5B35847E" w14:textId="77777777" w:rsidR="00785B70" w:rsidRPr="00005453" w:rsidRDefault="00785B70" w:rsidP="00785B70">
            <w:pPr>
              <w:rPr>
                <w:color w:val="000000"/>
                <w:sz w:val="14"/>
                <w:szCs w:val="14"/>
                <w:lang w:eastAsia="tr-TR"/>
              </w:rPr>
            </w:pPr>
            <w:r w:rsidRPr="00005453">
              <w:rPr>
                <w:color w:val="000000"/>
                <w:sz w:val="14"/>
                <w:szCs w:val="14"/>
                <w:lang w:val="en-US" w:eastAsia="tr-TR"/>
              </w:rPr>
              <w:t>4.1.</w:t>
            </w:r>
          </w:p>
        </w:tc>
        <w:tc>
          <w:tcPr>
            <w:tcW w:w="4253" w:type="dxa"/>
            <w:tcBorders>
              <w:top w:val="nil"/>
              <w:left w:val="single" w:sz="4" w:space="0" w:color="auto"/>
              <w:bottom w:val="nil"/>
              <w:right w:val="single" w:sz="4" w:space="0" w:color="auto"/>
            </w:tcBorders>
            <w:shd w:val="clear" w:color="auto" w:fill="auto"/>
            <w:hideMark/>
          </w:tcPr>
          <w:p w14:paraId="2F28BF46" w14:textId="77777777" w:rsidR="00785B70" w:rsidRPr="00005453" w:rsidRDefault="00785B70" w:rsidP="00785B70">
            <w:pPr>
              <w:rPr>
                <w:color w:val="000000"/>
                <w:sz w:val="14"/>
                <w:szCs w:val="14"/>
                <w:lang w:eastAsia="tr-TR"/>
              </w:rPr>
            </w:pPr>
            <w:r w:rsidRPr="00005453">
              <w:rPr>
                <w:color w:val="000000"/>
                <w:sz w:val="14"/>
                <w:szCs w:val="14"/>
                <w:lang w:val="en-US" w:eastAsia="tr-TR"/>
              </w:rPr>
              <w:t>Alınan Ücret ve Komisyonlar</w:t>
            </w:r>
          </w:p>
        </w:tc>
        <w:tc>
          <w:tcPr>
            <w:tcW w:w="619" w:type="dxa"/>
            <w:tcBorders>
              <w:top w:val="nil"/>
              <w:left w:val="single" w:sz="4" w:space="0" w:color="auto"/>
              <w:bottom w:val="nil"/>
              <w:right w:val="single" w:sz="4" w:space="0" w:color="auto"/>
            </w:tcBorders>
            <w:shd w:val="clear" w:color="auto" w:fill="auto"/>
            <w:noWrap/>
            <w:hideMark/>
          </w:tcPr>
          <w:p w14:paraId="493EB0AD"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050CCB4C" w14:textId="20B0B0E8" w:rsidR="00785B70" w:rsidRPr="00005453" w:rsidRDefault="00785B70" w:rsidP="00785B70">
            <w:pPr>
              <w:jc w:val="right"/>
              <w:rPr>
                <w:sz w:val="14"/>
                <w:szCs w:val="16"/>
              </w:rPr>
            </w:pPr>
            <w:r w:rsidRPr="00005453">
              <w:rPr>
                <w:sz w:val="14"/>
                <w:szCs w:val="16"/>
              </w:rPr>
              <w:t>18,747,752</w:t>
            </w:r>
          </w:p>
        </w:tc>
        <w:tc>
          <w:tcPr>
            <w:tcW w:w="1946" w:type="dxa"/>
            <w:tcBorders>
              <w:top w:val="nil"/>
              <w:left w:val="nil"/>
              <w:bottom w:val="nil"/>
              <w:right w:val="single" w:sz="4" w:space="0" w:color="auto"/>
            </w:tcBorders>
            <w:shd w:val="clear" w:color="auto" w:fill="auto"/>
            <w:vAlign w:val="center"/>
            <w:hideMark/>
          </w:tcPr>
          <w:p w14:paraId="62A3ACFE" w14:textId="48B274A2" w:rsidR="00785B70" w:rsidRPr="00005453" w:rsidRDefault="00785B70" w:rsidP="00785B70">
            <w:pPr>
              <w:jc w:val="right"/>
              <w:rPr>
                <w:sz w:val="14"/>
                <w:szCs w:val="14"/>
                <w:lang w:eastAsia="tr-TR"/>
              </w:rPr>
            </w:pPr>
            <w:r w:rsidRPr="00005453">
              <w:rPr>
                <w:sz w:val="14"/>
                <w:szCs w:val="14"/>
              </w:rPr>
              <w:t>7,184,139</w:t>
            </w:r>
          </w:p>
        </w:tc>
      </w:tr>
      <w:tr w:rsidR="00785B70" w:rsidRPr="00005453" w14:paraId="238B3C4D"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01C43538" w14:textId="77777777" w:rsidR="00785B70" w:rsidRPr="00005453" w:rsidRDefault="00785B70" w:rsidP="00785B70">
            <w:pPr>
              <w:rPr>
                <w:color w:val="000000"/>
                <w:sz w:val="14"/>
                <w:szCs w:val="14"/>
                <w:lang w:eastAsia="tr-TR"/>
              </w:rPr>
            </w:pPr>
            <w:r w:rsidRPr="00005453">
              <w:rPr>
                <w:color w:val="000000"/>
                <w:sz w:val="14"/>
                <w:szCs w:val="14"/>
                <w:lang w:val="en-US" w:eastAsia="tr-TR"/>
              </w:rPr>
              <w:t>4.1.1.</w:t>
            </w:r>
          </w:p>
        </w:tc>
        <w:tc>
          <w:tcPr>
            <w:tcW w:w="4253" w:type="dxa"/>
            <w:tcBorders>
              <w:top w:val="nil"/>
              <w:left w:val="single" w:sz="4" w:space="0" w:color="auto"/>
              <w:bottom w:val="nil"/>
              <w:right w:val="single" w:sz="4" w:space="0" w:color="auto"/>
            </w:tcBorders>
            <w:shd w:val="clear" w:color="auto" w:fill="auto"/>
            <w:hideMark/>
          </w:tcPr>
          <w:p w14:paraId="5F3A49E8" w14:textId="77777777" w:rsidR="00785B70" w:rsidRPr="00005453" w:rsidRDefault="00785B70" w:rsidP="00785B70">
            <w:pPr>
              <w:rPr>
                <w:color w:val="000000"/>
                <w:sz w:val="14"/>
                <w:szCs w:val="14"/>
                <w:lang w:eastAsia="tr-TR"/>
              </w:rPr>
            </w:pPr>
            <w:r w:rsidRPr="00005453">
              <w:rPr>
                <w:color w:val="000000"/>
                <w:sz w:val="14"/>
                <w:szCs w:val="14"/>
                <w:lang w:val="en-US" w:eastAsia="tr-TR"/>
              </w:rPr>
              <w:t>Gayri Nakdi Kredilerden</w:t>
            </w:r>
          </w:p>
        </w:tc>
        <w:tc>
          <w:tcPr>
            <w:tcW w:w="619" w:type="dxa"/>
            <w:tcBorders>
              <w:top w:val="nil"/>
              <w:left w:val="single" w:sz="4" w:space="0" w:color="auto"/>
              <w:bottom w:val="nil"/>
              <w:right w:val="single" w:sz="4" w:space="0" w:color="auto"/>
            </w:tcBorders>
            <w:shd w:val="clear" w:color="auto" w:fill="auto"/>
            <w:noWrap/>
            <w:hideMark/>
          </w:tcPr>
          <w:p w14:paraId="5A323BB3"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4291A84" w14:textId="7565BC01" w:rsidR="00785B70" w:rsidRPr="00005453" w:rsidRDefault="00785B70" w:rsidP="00785B70">
            <w:pPr>
              <w:jc w:val="right"/>
              <w:rPr>
                <w:sz w:val="14"/>
                <w:szCs w:val="16"/>
              </w:rPr>
            </w:pPr>
            <w:r w:rsidRPr="00005453">
              <w:rPr>
                <w:sz w:val="14"/>
                <w:szCs w:val="16"/>
              </w:rPr>
              <w:t>772,906</w:t>
            </w:r>
          </w:p>
        </w:tc>
        <w:tc>
          <w:tcPr>
            <w:tcW w:w="1946" w:type="dxa"/>
            <w:tcBorders>
              <w:top w:val="nil"/>
              <w:left w:val="nil"/>
              <w:bottom w:val="nil"/>
              <w:right w:val="single" w:sz="4" w:space="0" w:color="auto"/>
            </w:tcBorders>
            <w:shd w:val="clear" w:color="auto" w:fill="auto"/>
            <w:vAlign w:val="center"/>
            <w:hideMark/>
          </w:tcPr>
          <w:p w14:paraId="235CE226" w14:textId="5930B6F7" w:rsidR="00785B70" w:rsidRPr="00005453" w:rsidRDefault="00785B70" w:rsidP="00785B70">
            <w:pPr>
              <w:jc w:val="right"/>
              <w:rPr>
                <w:sz w:val="14"/>
                <w:szCs w:val="14"/>
                <w:lang w:eastAsia="tr-TR"/>
              </w:rPr>
            </w:pPr>
            <w:r w:rsidRPr="00005453">
              <w:rPr>
                <w:sz w:val="14"/>
                <w:szCs w:val="14"/>
              </w:rPr>
              <w:t>411,273</w:t>
            </w:r>
          </w:p>
        </w:tc>
      </w:tr>
      <w:tr w:rsidR="00785B70" w:rsidRPr="00005453" w14:paraId="6C317DC4"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2F951537" w14:textId="77777777" w:rsidR="00785B70" w:rsidRPr="00005453" w:rsidRDefault="00785B70" w:rsidP="00785B70">
            <w:pPr>
              <w:rPr>
                <w:color w:val="000000"/>
                <w:sz w:val="14"/>
                <w:szCs w:val="14"/>
                <w:lang w:eastAsia="tr-TR"/>
              </w:rPr>
            </w:pPr>
            <w:r w:rsidRPr="00005453">
              <w:rPr>
                <w:color w:val="000000"/>
                <w:sz w:val="14"/>
                <w:szCs w:val="14"/>
                <w:lang w:val="en-US" w:eastAsia="tr-TR"/>
              </w:rPr>
              <w:t>4.1.2.</w:t>
            </w:r>
          </w:p>
        </w:tc>
        <w:tc>
          <w:tcPr>
            <w:tcW w:w="4253" w:type="dxa"/>
            <w:tcBorders>
              <w:top w:val="nil"/>
              <w:left w:val="single" w:sz="4" w:space="0" w:color="auto"/>
              <w:bottom w:val="nil"/>
              <w:right w:val="single" w:sz="4" w:space="0" w:color="auto"/>
            </w:tcBorders>
            <w:shd w:val="clear" w:color="auto" w:fill="auto"/>
            <w:hideMark/>
          </w:tcPr>
          <w:p w14:paraId="055B9E26" w14:textId="77777777" w:rsidR="00785B70" w:rsidRPr="00005453" w:rsidRDefault="00785B70" w:rsidP="00785B70">
            <w:pPr>
              <w:rPr>
                <w:color w:val="000000"/>
                <w:sz w:val="14"/>
                <w:szCs w:val="14"/>
                <w:lang w:eastAsia="tr-TR"/>
              </w:rPr>
            </w:pPr>
            <w:r w:rsidRPr="00005453">
              <w:rPr>
                <w:color w:val="000000"/>
                <w:sz w:val="14"/>
                <w:szCs w:val="14"/>
                <w:lang w:val="en-US" w:eastAsia="tr-TR"/>
              </w:rPr>
              <w:t>Diğer</w:t>
            </w:r>
          </w:p>
        </w:tc>
        <w:tc>
          <w:tcPr>
            <w:tcW w:w="619" w:type="dxa"/>
            <w:tcBorders>
              <w:top w:val="nil"/>
              <w:left w:val="single" w:sz="4" w:space="0" w:color="auto"/>
              <w:bottom w:val="nil"/>
              <w:right w:val="single" w:sz="4" w:space="0" w:color="auto"/>
            </w:tcBorders>
            <w:shd w:val="clear" w:color="auto" w:fill="auto"/>
            <w:noWrap/>
            <w:hideMark/>
          </w:tcPr>
          <w:p w14:paraId="26CED001" w14:textId="77777777" w:rsidR="00785B70" w:rsidRPr="00005453" w:rsidRDefault="00785B70" w:rsidP="00785B70">
            <w:pPr>
              <w:jc w:val="center"/>
              <w:rPr>
                <w:color w:val="000000"/>
                <w:sz w:val="14"/>
                <w:szCs w:val="14"/>
                <w:lang w:eastAsia="tr-TR"/>
              </w:rPr>
            </w:pPr>
            <w:r w:rsidRPr="00005453">
              <w:rPr>
                <w:color w:val="000000"/>
                <w:sz w:val="14"/>
                <w:szCs w:val="14"/>
                <w:lang w:eastAsia="tr-TR"/>
              </w:rPr>
              <w:t>(5.4.13.)</w:t>
            </w:r>
          </w:p>
        </w:tc>
        <w:tc>
          <w:tcPr>
            <w:tcW w:w="1933" w:type="dxa"/>
            <w:tcBorders>
              <w:top w:val="nil"/>
              <w:left w:val="single" w:sz="4" w:space="0" w:color="auto"/>
              <w:bottom w:val="nil"/>
              <w:right w:val="single" w:sz="4" w:space="0" w:color="auto"/>
            </w:tcBorders>
            <w:shd w:val="clear" w:color="auto" w:fill="auto"/>
            <w:vAlign w:val="center"/>
            <w:hideMark/>
          </w:tcPr>
          <w:p w14:paraId="670E72AE" w14:textId="6FBE3079" w:rsidR="00785B70" w:rsidRPr="00005453" w:rsidRDefault="00785B70" w:rsidP="00785B70">
            <w:pPr>
              <w:jc w:val="right"/>
              <w:rPr>
                <w:sz w:val="14"/>
                <w:szCs w:val="16"/>
              </w:rPr>
            </w:pPr>
            <w:r w:rsidRPr="00005453">
              <w:rPr>
                <w:sz w:val="14"/>
                <w:szCs w:val="16"/>
              </w:rPr>
              <w:t>17,974,846</w:t>
            </w:r>
          </w:p>
        </w:tc>
        <w:tc>
          <w:tcPr>
            <w:tcW w:w="1946" w:type="dxa"/>
            <w:tcBorders>
              <w:top w:val="nil"/>
              <w:left w:val="nil"/>
              <w:bottom w:val="nil"/>
              <w:right w:val="single" w:sz="4" w:space="0" w:color="auto"/>
            </w:tcBorders>
            <w:shd w:val="clear" w:color="auto" w:fill="auto"/>
            <w:vAlign w:val="center"/>
            <w:hideMark/>
          </w:tcPr>
          <w:p w14:paraId="632730C7" w14:textId="2B5A454A" w:rsidR="00785B70" w:rsidRPr="00005453" w:rsidRDefault="00785B70" w:rsidP="00785B70">
            <w:pPr>
              <w:jc w:val="right"/>
              <w:rPr>
                <w:sz w:val="14"/>
                <w:szCs w:val="14"/>
                <w:lang w:eastAsia="tr-TR"/>
              </w:rPr>
            </w:pPr>
            <w:r w:rsidRPr="00005453">
              <w:rPr>
                <w:sz w:val="14"/>
                <w:szCs w:val="14"/>
              </w:rPr>
              <w:t>6,772,866</w:t>
            </w:r>
          </w:p>
        </w:tc>
      </w:tr>
      <w:tr w:rsidR="00785B70" w:rsidRPr="00005453" w14:paraId="6B650107"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1B2AC15" w14:textId="77777777" w:rsidR="00785B70" w:rsidRPr="00005453" w:rsidRDefault="00785B70" w:rsidP="00785B70">
            <w:pPr>
              <w:rPr>
                <w:color w:val="000000"/>
                <w:sz w:val="14"/>
                <w:szCs w:val="14"/>
                <w:lang w:eastAsia="tr-TR"/>
              </w:rPr>
            </w:pPr>
            <w:r w:rsidRPr="00005453">
              <w:rPr>
                <w:color w:val="000000"/>
                <w:sz w:val="14"/>
                <w:szCs w:val="14"/>
                <w:lang w:val="en-US" w:eastAsia="tr-TR"/>
              </w:rPr>
              <w:t>4.2.</w:t>
            </w:r>
          </w:p>
        </w:tc>
        <w:tc>
          <w:tcPr>
            <w:tcW w:w="4253" w:type="dxa"/>
            <w:tcBorders>
              <w:top w:val="nil"/>
              <w:left w:val="single" w:sz="4" w:space="0" w:color="auto"/>
              <w:bottom w:val="nil"/>
              <w:right w:val="single" w:sz="4" w:space="0" w:color="auto"/>
            </w:tcBorders>
            <w:shd w:val="clear" w:color="auto" w:fill="auto"/>
            <w:hideMark/>
          </w:tcPr>
          <w:p w14:paraId="7E808069" w14:textId="77777777" w:rsidR="00785B70" w:rsidRPr="00005453" w:rsidRDefault="00785B70" w:rsidP="00785B70">
            <w:pPr>
              <w:rPr>
                <w:color w:val="000000"/>
                <w:sz w:val="14"/>
                <w:szCs w:val="14"/>
                <w:lang w:eastAsia="tr-TR"/>
              </w:rPr>
            </w:pPr>
            <w:r w:rsidRPr="00005453">
              <w:rPr>
                <w:color w:val="000000"/>
                <w:sz w:val="14"/>
                <w:szCs w:val="14"/>
                <w:lang w:val="en-US" w:eastAsia="tr-TR"/>
              </w:rPr>
              <w:t>Verilen Ücret ve Komisyonlar (-)</w:t>
            </w:r>
          </w:p>
        </w:tc>
        <w:tc>
          <w:tcPr>
            <w:tcW w:w="619" w:type="dxa"/>
            <w:tcBorders>
              <w:top w:val="nil"/>
              <w:left w:val="single" w:sz="4" w:space="0" w:color="auto"/>
              <w:bottom w:val="nil"/>
              <w:right w:val="single" w:sz="4" w:space="0" w:color="auto"/>
            </w:tcBorders>
            <w:shd w:val="clear" w:color="auto" w:fill="auto"/>
            <w:noWrap/>
            <w:hideMark/>
          </w:tcPr>
          <w:p w14:paraId="22CB33BB"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688C62E0" w14:textId="05C293A7" w:rsidR="00785B70" w:rsidRPr="00005453" w:rsidRDefault="00785B70" w:rsidP="00785B70">
            <w:pPr>
              <w:jc w:val="right"/>
              <w:rPr>
                <w:sz w:val="14"/>
                <w:szCs w:val="16"/>
              </w:rPr>
            </w:pPr>
            <w:r w:rsidRPr="00005453">
              <w:rPr>
                <w:sz w:val="14"/>
                <w:szCs w:val="16"/>
              </w:rPr>
              <w:t>9,608,661</w:t>
            </w:r>
          </w:p>
        </w:tc>
        <w:tc>
          <w:tcPr>
            <w:tcW w:w="1946" w:type="dxa"/>
            <w:tcBorders>
              <w:top w:val="nil"/>
              <w:left w:val="nil"/>
              <w:bottom w:val="nil"/>
              <w:right w:val="single" w:sz="4" w:space="0" w:color="auto"/>
            </w:tcBorders>
            <w:shd w:val="clear" w:color="auto" w:fill="auto"/>
            <w:vAlign w:val="center"/>
            <w:hideMark/>
          </w:tcPr>
          <w:p w14:paraId="395DEA05" w14:textId="25D99B18" w:rsidR="00785B70" w:rsidRPr="00005453" w:rsidRDefault="00785B70" w:rsidP="00785B70">
            <w:pPr>
              <w:jc w:val="right"/>
              <w:rPr>
                <w:sz w:val="14"/>
                <w:szCs w:val="14"/>
                <w:lang w:eastAsia="tr-TR"/>
              </w:rPr>
            </w:pPr>
            <w:r w:rsidRPr="00005453">
              <w:rPr>
                <w:sz w:val="14"/>
                <w:szCs w:val="14"/>
              </w:rPr>
              <w:t>3,755,670</w:t>
            </w:r>
          </w:p>
        </w:tc>
      </w:tr>
      <w:tr w:rsidR="00785B70" w:rsidRPr="00005453" w14:paraId="09121C9B"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CE55511" w14:textId="77777777" w:rsidR="00785B70" w:rsidRPr="00005453" w:rsidRDefault="00785B70" w:rsidP="00785B70">
            <w:pPr>
              <w:rPr>
                <w:color w:val="000000"/>
                <w:sz w:val="14"/>
                <w:szCs w:val="14"/>
                <w:lang w:eastAsia="tr-TR"/>
              </w:rPr>
            </w:pPr>
            <w:r w:rsidRPr="00005453">
              <w:rPr>
                <w:color w:val="000000"/>
                <w:sz w:val="14"/>
                <w:szCs w:val="14"/>
                <w:lang w:val="en-US" w:eastAsia="tr-TR"/>
              </w:rPr>
              <w:t>4.2.1.</w:t>
            </w:r>
          </w:p>
        </w:tc>
        <w:tc>
          <w:tcPr>
            <w:tcW w:w="4253" w:type="dxa"/>
            <w:tcBorders>
              <w:top w:val="nil"/>
              <w:left w:val="single" w:sz="4" w:space="0" w:color="auto"/>
              <w:bottom w:val="nil"/>
              <w:right w:val="single" w:sz="4" w:space="0" w:color="auto"/>
            </w:tcBorders>
            <w:shd w:val="clear" w:color="auto" w:fill="auto"/>
            <w:hideMark/>
          </w:tcPr>
          <w:p w14:paraId="24FD39D4" w14:textId="77777777" w:rsidR="00785B70" w:rsidRPr="00005453" w:rsidRDefault="00785B70" w:rsidP="00785B70">
            <w:pPr>
              <w:rPr>
                <w:color w:val="000000"/>
                <w:sz w:val="14"/>
                <w:szCs w:val="14"/>
                <w:lang w:eastAsia="tr-TR"/>
              </w:rPr>
            </w:pPr>
            <w:r w:rsidRPr="00005453">
              <w:rPr>
                <w:color w:val="000000"/>
                <w:sz w:val="14"/>
                <w:szCs w:val="14"/>
                <w:lang w:val="en-US" w:eastAsia="tr-TR"/>
              </w:rPr>
              <w:t>Gayri Nakdi Kredilere</w:t>
            </w:r>
          </w:p>
        </w:tc>
        <w:tc>
          <w:tcPr>
            <w:tcW w:w="619" w:type="dxa"/>
            <w:tcBorders>
              <w:top w:val="nil"/>
              <w:left w:val="single" w:sz="4" w:space="0" w:color="auto"/>
              <w:bottom w:val="nil"/>
              <w:right w:val="single" w:sz="4" w:space="0" w:color="auto"/>
            </w:tcBorders>
            <w:shd w:val="clear" w:color="auto" w:fill="auto"/>
            <w:noWrap/>
            <w:hideMark/>
          </w:tcPr>
          <w:p w14:paraId="21A04CE3"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1DB27643" w14:textId="6D1C3E2D" w:rsidR="00785B70" w:rsidRPr="00005453" w:rsidRDefault="00785B70" w:rsidP="00785B70">
            <w:pPr>
              <w:jc w:val="right"/>
              <w:rPr>
                <w:sz w:val="14"/>
                <w:szCs w:val="16"/>
              </w:rPr>
            </w:pPr>
            <w:r w:rsidRPr="00005453">
              <w:rPr>
                <w:sz w:val="14"/>
                <w:szCs w:val="16"/>
              </w:rPr>
              <w:t>6,131</w:t>
            </w:r>
          </w:p>
        </w:tc>
        <w:tc>
          <w:tcPr>
            <w:tcW w:w="1946" w:type="dxa"/>
            <w:tcBorders>
              <w:top w:val="nil"/>
              <w:left w:val="nil"/>
              <w:bottom w:val="nil"/>
              <w:right w:val="single" w:sz="4" w:space="0" w:color="auto"/>
            </w:tcBorders>
            <w:shd w:val="clear" w:color="auto" w:fill="auto"/>
            <w:vAlign w:val="center"/>
            <w:hideMark/>
          </w:tcPr>
          <w:p w14:paraId="6E99D405" w14:textId="6299BBEB" w:rsidR="00785B70" w:rsidRPr="00005453" w:rsidRDefault="00785B70" w:rsidP="00785B70">
            <w:pPr>
              <w:jc w:val="right"/>
              <w:rPr>
                <w:sz w:val="14"/>
                <w:szCs w:val="14"/>
                <w:lang w:eastAsia="tr-TR"/>
              </w:rPr>
            </w:pPr>
            <w:r w:rsidRPr="00005453">
              <w:rPr>
                <w:sz w:val="14"/>
                <w:szCs w:val="14"/>
              </w:rPr>
              <w:t>2,645</w:t>
            </w:r>
          </w:p>
        </w:tc>
      </w:tr>
      <w:tr w:rsidR="00785B70" w:rsidRPr="00005453" w14:paraId="58F66429"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6E01A03" w14:textId="77777777" w:rsidR="00785B70" w:rsidRPr="00005453" w:rsidRDefault="00785B70" w:rsidP="00785B70">
            <w:pPr>
              <w:rPr>
                <w:color w:val="000000"/>
                <w:sz w:val="14"/>
                <w:szCs w:val="14"/>
                <w:lang w:eastAsia="tr-TR"/>
              </w:rPr>
            </w:pPr>
            <w:r w:rsidRPr="00005453">
              <w:rPr>
                <w:color w:val="000000"/>
                <w:sz w:val="14"/>
                <w:szCs w:val="14"/>
                <w:lang w:val="en-US" w:eastAsia="tr-TR"/>
              </w:rPr>
              <w:t>4.2.2.</w:t>
            </w:r>
          </w:p>
        </w:tc>
        <w:tc>
          <w:tcPr>
            <w:tcW w:w="4253" w:type="dxa"/>
            <w:tcBorders>
              <w:top w:val="nil"/>
              <w:left w:val="single" w:sz="4" w:space="0" w:color="auto"/>
              <w:bottom w:val="nil"/>
              <w:right w:val="single" w:sz="4" w:space="0" w:color="auto"/>
            </w:tcBorders>
            <w:shd w:val="clear" w:color="auto" w:fill="auto"/>
            <w:hideMark/>
          </w:tcPr>
          <w:p w14:paraId="2E52A54E" w14:textId="77777777" w:rsidR="00785B70" w:rsidRPr="00005453" w:rsidRDefault="00785B70" w:rsidP="00785B70">
            <w:pPr>
              <w:rPr>
                <w:color w:val="000000"/>
                <w:sz w:val="14"/>
                <w:szCs w:val="14"/>
                <w:lang w:eastAsia="tr-TR"/>
              </w:rPr>
            </w:pPr>
            <w:r w:rsidRPr="00005453">
              <w:rPr>
                <w:color w:val="000000"/>
                <w:sz w:val="14"/>
                <w:szCs w:val="14"/>
                <w:lang w:val="en-US" w:eastAsia="tr-TR"/>
              </w:rPr>
              <w:t>Diğer</w:t>
            </w:r>
          </w:p>
        </w:tc>
        <w:tc>
          <w:tcPr>
            <w:tcW w:w="619" w:type="dxa"/>
            <w:tcBorders>
              <w:top w:val="nil"/>
              <w:left w:val="single" w:sz="4" w:space="0" w:color="auto"/>
              <w:bottom w:val="nil"/>
              <w:right w:val="single" w:sz="4" w:space="0" w:color="auto"/>
            </w:tcBorders>
            <w:shd w:val="clear" w:color="auto" w:fill="auto"/>
            <w:noWrap/>
            <w:hideMark/>
          </w:tcPr>
          <w:p w14:paraId="339C6E5D" w14:textId="77777777" w:rsidR="00785B70" w:rsidRPr="00005453" w:rsidRDefault="00785B70" w:rsidP="00785B70">
            <w:pPr>
              <w:jc w:val="center"/>
              <w:rPr>
                <w:color w:val="000000"/>
                <w:sz w:val="14"/>
                <w:szCs w:val="14"/>
                <w:lang w:eastAsia="tr-TR"/>
              </w:rPr>
            </w:pPr>
            <w:r w:rsidRPr="00005453">
              <w:rPr>
                <w:color w:val="000000"/>
                <w:sz w:val="14"/>
                <w:szCs w:val="14"/>
                <w:lang w:val="en-US" w:eastAsia="tr-TR"/>
              </w:rPr>
              <w:t>(5.4.13.)</w:t>
            </w:r>
          </w:p>
        </w:tc>
        <w:tc>
          <w:tcPr>
            <w:tcW w:w="1933" w:type="dxa"/>
            <w:tcBorders>
              <w:top w:val="nil"/>
              <w:left w:val="single" w:sz="4" w:space="0" w:color="auto"/>
              <w:bottom w:val="nil"/>
              <w:right w:val="single" w:sz="4" w:space="0" w:color="auto"/>
            </w:tcBorders>
            <w:shd w:val="clear" w:color="auto" w:fill="auto"/>
            <w:vAlign w:val="center"/>
            <w:hideMark/>
          </w:tcPr>
          <w:p w14:paraId="1342B523" w14:textId="25387532" w:rsidR="00785B70" w:rsidRPr="00005453" w:rsidRDefault="00785B70" w:rsidP="00785B70">
            <w:pPr>
              <w:jc w:val="right"/>
              <w:rPr>
                <w:sz w:val="14"/>
                <w:szCs w:val="16"/>
              </w:rPr>
            </w:pPr>
            <w:r w:rsidRPr="00005453">
              <w:rPr>
                <w:sz w:val="14"/>
                <w:szCs w:val="16"/>
              </w:rPr>
              <w:t>9,602,530</w:t>
            </w:r>
          </w:p>
        </w:tc>
        <w:tc>
          <w:tcPr>
            <w:tcW w:w="1946" w:type="dxa"/>
            <w:tcBorders>
              <w:top w:val="nil"/>
              <w:left w:val="nil"/>
              <w:bottom w:val="nil"/>
              <w:right w:val="single" w:sz="4" w:space="0" w:color="auto"/>
            </w:tcBorders>
            <w:shd w:val="clear" w:color="auto" w:fill="auto"/>
            <w:vAlign w:val="center"/>
            <w:hideMark/>
          </w:tcPr>
          <w:p w14:paraId="069438CF" w14:textId="0CBCEA54" w:rsidR="00785B70" w:rsidRPr="00005453" w:rsidRDefault="00785B70" w:rsidP="00785B70">
            <w:pPr>
              <w:jc w:val="right"/>
              <w:rPr>
                <w:sz w:val="14"/>
                <w:szCs w:val="14"/>
                <w:lang w:eastAsia="tr-TR"/>
              </w:rPr>
            </w:pPr>
            <w:r w:rsidRPr="00005453">
              <w:rPr>
                <w:sz w:val="14"/>
                <w:szCs w:val="14"/>
              </w:rPr>
              <w:t>3,753,025</w:t>
            </w:r>
          </w:p>
        </w:tc>
      </w:tr>
      <w:tr w:rsidR="00785B70" w:rsidRPr="00005453" w14:paraId="730CBC0E"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7F6D537B"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V.</w:t>
            </w:r>
          </w:p>
        </w:tc>
        <w:tc>
          <w:tcPr>
            <w:tcW w:w="4253" w:type="dxa"/>
            <w:tcBorders>
              <w:top w:val="nil"/>
              <w:left w:val="single" w:sz="4" w:space="0" w:color="auto"/>
              <w:bottom w:val="nil"/>
              <w:right w:val="single" w:sz="4" w:space="0" w:color="auto"/>
            </w:tcBorders>
            <w:shd w:val="clear" w:color="auto" w:fill="auto"/>
            <w:hideMark/>
          </w:tcPr>
          <w:p w14:paraId="202886AD"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TEMETTÜ GELİRLERİ</w:t>
            </w:r>
          </w:p>
        </w:tc>
        <w:tc>
          <w:tcPr>
            <w:tcW w:w="619" w:type="dxa"/>
            <w:tcBorders>
              <w:top w:val="nil"/>
              <w:left w:val="single" w:sz="4" w:space="0" w:color="auto"/>
              <w:bottom w:val="nil"/>
              <w:right w:val="single" w:sz="4" w:space="0" w:color="auto"/>
            </w:tcBorders>
            <w:shd w:val="clear" w:color="auto" w:fill="auto"/>
            <w:noWrap/>
            <w:hideMark/>
          </w:tcPr>
          <w:p w14:paraId="4DC37164"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(5.4.3.)</w:t>
            </w:r>
          </w:p>
        </w:tc>
        <w:tc>
          <w:tcPr>
            <w:tcW w:w="1933" w:type="dxa"/>
            <w:tcBorders>
              <w:top w:val="nil"/>
              <w:left w:val="single" w:sz="4" w:space="0" w:color="auto"/>
              <w:bottom w:val="nil"/>
              <w:right w:val="single" w:sz="4" w:space="0" w:color="auto"/>
            </w:tcBorders>
            <w:shd w:val="clear" w:color="auto" w:fill="auto"/>
            <w:vAlign w:val="center"/>
            <w:hideMark/>
          </w:tcPr>
          <w:p w14:paraId="5DE1DB4C" w14:textId="29248DD0" w:rsidR="00785B70" w:rsidRPr="00005453" w:rsidRDefault="00785B70" w:rsidP="00785B70">
            <w:pPr>
              <w:jc w:val="right"/>
              <w:rPr>
                <w:b/>
                <w:sz w:val="14"/>
                <w:szCs w:val="16"/>
              </w:rPr>
            </w:pPr>
            <w:r w:rsidRPr="00005453">
              <w:rPr>
                <w:b/>
                <w:bCs/>
                <w:sz w:val="14"/>
                <w:szCs w:val="16"/>
              </w:rPr>
              <w:t>4,123</w:t>
            </w:r>
          </w:p>
        </w:tc>
        <w:tc>
          <w:tcPr>
            <w:tcW w:w="1946" w:type="dxa"/>
            <w:tcBorders>
              <w:top w:val="nil"/>
              <w:left w:val="nil"/>
              <w:bottom w:val="nil"/>
              <w:right w:val="single" w:sz="4" w:space="0" w:color="auto"/>
            </w:tcBorders>
            <w:shd w:val="clear" w:color="auto" w:fill="auto"/>
            <w:vAlign w:val="center"/>
            <w:hideMark/>
          </w:tcPr>
          <w:p w14:paraId="6A1A3A1D" w14:textId="426DEB08" w:rsidR="00785B70" w:rsidRPr="00005453" w:rsidRDefault="00785B70" w:rsidP="00785B70">
            <w:pPr>
              <w:jc w:val="right"/>
              <w:rPr>
                <w:b/>
                <w:bCs/>
                <w:sz w:val="14"/>
                <w:szCs w:val="14"/>
                <w:lang w:eastAsia="tr-TR"/>
              </w:rPr>
            </w:pPr>
            <w:r w:rsidRPr="00005453">
              <w:rPr>
                <w:b/>
                <w:sz w:val="14"/>
                <w:szCs w:val="14"/>
              </w:rPr>
              <w:t>2,053</w:t>
            </w:r>
          </w:p>
        </w:tc>
      </w:tr>
      <w:tr w:rsidR="00785B70" w:rsidRPr="00005453" w14:paraId="75188B72"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4A9766A3"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VI.</w:t>
            </w:r>
          </w:p>
        </w:tc>
        <w:tc>
          <w:tcPr>
            <w:tcW w:w="4253" w:type="dxa"/>
            <w:tcBorders>
              <w:top w:val="nil"/>
              <w:left w:val="single" w:sz="4" w:space="0" w:color="auto"/>
              <w:bottom w:val="nil"/>
              <w:right w:val="single" w:sz="4" w:space="0" w:color="auto"/>
            </w:tcBorders>
            <w:shd w:val="clear" w:color="auto" w:fill="auto"/>
            <w:hideMark/>
          </w:tcPr>
          <w:p w14:paraId="2D49574E"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TİCARİ KAR/ZARAR (Net)</w:t>
            </w:r>
          </w:p>
        </w:tc>
        <w:tc>
          <w:tcPr>
            <w:tcW w:w="619" w:type="dxa"/>
            <w:tcBorders>
              <w:top w:val="nil"/>
              <w:left w:val="single" w:sz="4" w:space="0" w:color="auto"/>
              <w:bottom w:val="nil"/>
              <w:right w:val="single" w:sz="4" w:space="0" w:color="auto"/>
            </w:tcBorders>
            <w:shd w:val="clear" w:color="auto" w:fill="auto"/>
            <w:noWrap/>
            <w:hideMark/>
          </w:tcPr>
          <w:p w14:paraId="71A707E0"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(5.4.5.)</w:t>
            </w:r>
          </w:p>
        </w:tc>
        <w:tc>
          <w:tcPr>
            <w:tcW w:w="1933" w:type="dxa"/>
            <w:tcBorders>
              <w:top w:val="nil"/>
              <w:left w:val="single" w:sz="4" w:space="0" w:color="auto"/>
              <w:bottom w:val="nil"/>
              <w:right w:val="single" w:sz="4" w:space="0" w:color="auto"/>
            </w:tcBorders>
            <w:shd w:val="clear" w:color="auto" w:fill="auto"/>
            <w:vAlign w:val="center"/>
            <w:hideMark/>
          </w:tcPr>
          <w:p w14:paraId="2FE61396" w14:textId="7D877667" w:rsidR="00785B70" w:rsidRPr="00005453" w:rsidRDefault="00785B70" w:rsidP="00785B70">
            <w:pPr>
              <w:jc w:val="right"/>
              <w:rPr>
                <w:b/>
                <w:sz w:val="14"/>
                <w:szCs w:val="16"/>
              </w:rPr>
            </w:pPr>
            <w:r w:rsidRPr="00005453">
              <w:rPr>
                <w:b/>
                <w:bCs/>
                <w:sz w:val="14"/>
                <w:szCs w:val="16"/>
              </w:rPr>
              <w:t>7,084,527</w:t>
            </w:r>
          </w:p>
        </w:tc>
        <w:tc>
          <w:tcPr>
            <w:tcW w:w="1946" w:type="dxa"/>
            <w:tcBorders>
              <w:top w:val="nil"/>
              <w:left w:val="nil"/>
              <w:bottom w:val="nil"/>
              <w:right w:val="single" w:sz="4" w:space="0" w:color="auto"/>
            </w:tcBorders>
            <w:shd w:val="clear" w:color="auto" w:fill="auto"/>
            <w:vAlign w:val="center"/>
            <w:hideMark/>
          </w:tcPr>
          <w:p w14:paraId="5A077E11" w14:textId="2AF4B7BF" w:rsidR="00785B70" w:rsidRPr="00005453" w:rsidRDefault="00785B70" w:rsidP="00785B70">
            <w:pPr>
              <w:jc w:val="right"/>
              <w:rPr>
                <w:b/>
                <w:bCs/>
                <w:sz w:val="14"/>
                <w:szCs w:val="14"/>
                <w:lang w:eastAsia="tr-TR"/>
              </w:rPr>
            </w:pPr>
            <w:r w:rsidRPr="00005453">
              <w:rPr>
                <w:b/>
                <w:sz w:val="14"/>
                <w:szCs w:val="14"/>
              </w:rPr>
              <w:t>9,612,948</w:t>
            </w:r>
          </w:p>
        </w:tc>
      </w:tr>
      <w:tr w:rsidR="00785B70" w:rsidRPr="00005453" w14:paraId="20DFE0AC"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9AA949E" w14:textId="77777777" w:rsidR="00785B70" w:rsidRPr="00005453" w:rsidRDefault="00785B70" w:rsidP="00785B70">
            <w:pPr>
              <w:rPr>
                <w:color w:val="000000"/>
                <w:sz w:val="14"/>
                <w:szCs w:val="14"/>
                <w:lang w:eastAsia="tr-TR"/>
              </w:rPr>
            </w:pPr>
            <w:r w:rsidRPr="00005453">
              <w:rPr>
                <w:color w:val="000000"/>
                <w:sz w:val="14"/>
                <w:szCs w:val="14"/>
                <w:lang w:val="en-US" w:eastAsia="tr-TR"/>
              </w:rPr>
              <w:t>6.1.</w:t>
            </w:r>
          </w:p>
        </w:tc>
        <w:tc>
          <w:tcPr>
            <w:tcW w:w="4253" w:type="dxa"/>
            <w:tcBorders>
              <w:top w:val="nil"/>
              <w:left w:val="single" w:sz="4" w:space="0" w:color="auto"/>
              <w:bottom w:val="nil"/>
              <w:right w:val="single" w:sz="4" w:space="0" w:color="auto"/>
            </w:tcBorders>
            <w:shd w:val="clear" w:color="auto" w:fill="auto"/>
            <w:hideMark/>
          </w:tcPr>
          <w:p w14:paraId="30144326" w14:textId="77777777" w:rsidR="00785B70" w:rsidRPr="00005453" w:rsidRDefault="00785B70" w:rsidP="00785B70">
            <w:pPr>
              <w:rPr>
                <w:color w:val="000000"/>
                <w:sz w:val="14"/>
                <w:szCs w:val="14"/>
                <w:lang w:eastAsia="tr-TR"/>
              </w:rPr>
            </w:pPr>
            <w:r w:rsidRPr="00005453">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hideMark/>
          </w:tcPr>
          <w:p w14:paraId="1460C2CD"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F1DFC93" w14:textId="4821E1DF" w:rsidR="00785B70" w:rsidRPr="00005453" w:rsidRDefault="00785B70" w:rsidP="00785B70">
            <w:pPr>
              <w:jc w:val="right"/>
              <w:rPr>
                <w:sz w:val="14"/>
                <w:szCs w:val="16"/>
              </w:rPr>
            </w:pPr>
            <w:r w:rsidRPr="00005453">
              <w:rPr>
                <w:sz w:val="14"/>
                <w:szCs w:val="16"/>
              </w:rPr>
              <w:t>5,657,827</w:t>
            </w:r>
          </w:p>
        </w:tc>
        <w:tc>
          <w:tcPr>
            <w:tcW w:w="1946" w:type="dxa"/>
            <w:tcBorders>
              <w:top w:val="nil"/>
              <w:left w:val="nil"/>
              <w:bottom w:val="nil"/>
              <w:right w:val="single" w:sz="4" w:space="0" w:color="auto"/>
            </w:tcBorders>
            <w:shd w:val="clear" w:color="auto" w:fill="auto"/>
            <w:vAlign w:val="center"/>
            <w:hideMark/>
          </w:tcPr>
          <w:p w14:paraId="7D706AA5" w14:textId="0E2A7474" w:rsidR="00785B70" w:rsidRPr="00005453" w:rsidRDefault="00785B70" w:rsidP="00785B70">
            <w:pPr>
              <w:jc w:val="right"/>
              <w:rPr>
                <w:sz w:val="14"/>
                <w:szCs w:val="14"/>
                <w:lang w:eastAsia="tr-TR"/>
              </w:rPr>
            </w:pPr>
            <w:r w:rsidRPr="00005453">
              <w:rPr>
                <w:sz w:val="14"/>
                <w:szCs w:val="14"/>
              </w:rPr>
              <w:t>2,546,513</w:t>
            </w:r>
          </w:p>
        </w:tc>
      </w:tr>
      <w:tr w:rsidR="00785B70" w:rsidRPr="00005453" w14:paraId="1C72E44B"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7BAF875" w14:textId="77777777" w:rsidR="00785B70" w:rsidRPr="00005453" w:rsidRDefault="00785B70" w:rsidP="00785B70">
            <w:pPr>
              <w:rPr>
                <w:color w:val="000000"/>
                <w:sz w:val="14"/>
                <w:szCs w:val="14"/>
                <w:lang w:eastAsia="tr-TR"/>
              </w:rPr>
            </w:pPr>
            <w:r w:rsidRPr="00005453">
              <w:rPr>
                <w:color w:val="000000"/>
                <w:sz w:val="14"/>
                <w:szCs w:val="14"/>
                <w:lang w:val="en-US" w:eastAsia="tr-TR"/>
              </w:rPr>
              <w:t>6.2.</w:t>
            </w:r>
          </w:p>
        </w:tc>
        <w:tc>
          <w:tcPr>
            <w:tcW w:w="4253" w:type="dxa"/>
            <w:tcBorders>
              <w:top w:val="nil"/>
              <w:left w:val="single" w:sz="4" w:space="0" w:color="auto"/>
              <w:bottom w:val="nil"/>
              <w:right w:val="single" w:sz="4" w:space="0" w:color="auto"/>
            </w:tcBorders>
            <w:shd w:val="clear" w:color="auto" w:fill="auto"/>
            <w:hideMark/>
          </w:tcPr>
          <w:p w14:paraId="6ADA6F67" w14:textId="77777777" w:rsidR="00785B70" w:rsidRPr="00005453" w:rsidRDefault="00785B70" w:rsidP="00785B70">
            <w:pPr>
              <w:rPr>
                <w:color w:val="000000"/>
                <w:sz w:val="14"/>
                <w:szCs w:val="14"/>
                <w:lang w:eastAsia="tr-TR"/>
              </w:rPr>
            </w:pPr>
            <w:r w:rsidRPr="00005453">
              <w:rPr>
                <w:color w:val="000000"/>
                <w:sz w:val="14"/>
                <w:szCs w:val="14"/>
                <w:lang w:val="de-DE"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hideMark/>
          </w:tcPr>
          <w:p w14:paraId="58F0A685"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23312FEF" w14:textId="56E3006D" w:rsidR="00785B70" w:rsidRPr="00005453" w:rsidRDefault="00785B70" w:rsidP="00785B70">
            <w:pPr>
              <w:jc w:val="right"/>
              <w:rPr>
                <w:sz w:val="14"/>
                <w:szCs w:val="16"/>
              </w:rPr>
            </w:pPr>
            <w:r w:rsidRPr="00005453">
              <w:rPr>
                <w:sz w:val="14"/>
                <w:szCs w:val="16"/>
              </w:rPr>
              <w:t>(2,343,363)</w:t>
            </w:r>
          </w:p>
        </w:tc>
        <w:tc>
          <w:tcPr>
            <w:tcW w:w="1946" w:type="dxa"/>
            <w:tcBorders>
              <w:top w:val="nil"/>
              <w:left w:val="nil"/>
              <w:bottom w:val="nil"/>
              <w:right w:val="single" w:sz="4" w:space="0" w:color="auto"/>
            </w:tcBorders>
            <w:shd w:val="clear" w:color="auto" w:fill="auto"/>
            <w:vAlign w:val="center"/>
            <w:hideMark/>
          </w:tcPr>
          <w:p w14:paraId="3330C4AB" w14:textId="71511B3D" w:rsidR="00785B70" w:rsidRPr="00005453" w:rsidRDefault="00785B70" w:rsidP="00785B70">
            <w:pPr>
              <w:jc w:val="right"/>
              <w:rPr>
                <w:sz w:val="14"/>
                <w:szCs w:val="14"/>
                <w:lang w:eastAsia="tr-TR"/>
              </w:rPr>
            </w:pPr>
            <w:r w:rsidRPr="00005453">
              <w:rPr>
                <w:sz w:val="14"/>
                <w:szCs w:val="14"/>
              </w:rPr>
              <w:t>8,350,409</w:t>
            </w:r>
          </w:p>
        </w:tc>
      </w:tr>
      <w:tr w:rsidR="00785B70" w:rsidRPr="00005453" w14:paraId="5932B251"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7EACBFEC" w14:textId="77777777" w:rsidR="00785B70" w:rsidRPr="00005453" w:rsidRDefault="00785B70" w:rsidP="00785B70">
            <w:pPr>
              <w:rPr>
                <w:color w:val="000000"/>
                <w:sz w:val="14"/>
                <w:szCs w:val="14"/>
                <w:lang w:eastAsia="tr-TR"/>
              </w:rPr>
            </w:pPr>
            <w:r w:rsidRPr="00005453">
              <w:rPr>
                <w:color w:val="000000"/>
                <w:sz w:val="14"/>
                <w:szCs w:val="14"/>
                <w:lang w:val="en-US" w:eastAsia="tr-TR"/>
              </w:rPr>
              <w:t>6.3.</w:t>
            </w:r>
          </w:p>
        </w:tc>
        <w:tc>
          <w:tcPr>
            <w:tcW w:w="4253" w:type="dxa"/>
            <w:tcBorders>
              <w:top w:val="nil"/>
              <w:left w:val="single" w:sz="4" w:space="0" w:color="auto"/>
              <w:bottom w:val="nil"/>
              <w:right w:val="single" w:sz="4" w:space="0" w:color="auto"/>
            </w:tcBorders>
            <w:shd w:val="clear" w:color="auto" w:fill="auto"/>
            <w:hideMark/>
          </w:tcPr>
          <w:p w14:paraId="444BC728" w14:textId="77777777" w:rsidR="00785B70" w:rsidRPr="00005453" w:rsidRDefault="00785B70" w:rsidP="00785B70">
            <w:pPr>
              <w:rPr>
                <w:color w:val="000000"/>
                <w:sz w:val="14"/>
                <w:szCs w:val="14"/>
                <w:lang w:eastAsia="tr-TR"/>
              </w:rPr>
            </w:pPr>
            <w:r w:rsidRPr="00005453">
              <w:rPr>
                <w:color w:val="000000"/>
                <w:sz w:val="14"/>
                <w:szCs w:val="14"/>
                <w:lang w:val="en-US" w:eastAsia="tr-TR"/>
              </w:rPr>
              <w:t>Kambiyo İşlemleri Kârı/Zararı</w:t>
            </w:r>
          </w:p>
        </w:tc>
        <w:tc>
          <w:tcPr>
            <w:tcW w:w="619" w:type="dxa"/>
            <w:tcBorders>
              <w:top w:val="nil"/>
              <w:left w:val="single" w:sz="4" w:space="0" w:color="auto"/>
              <w:bottom w:val="nil"/>
              <w:right w:val="single" w:sz="4" w:space="0" w:color="auto"/>
            </w:tcBorders>
            <w:shd w:val="clear" w:color="auto" w:fill="auto"/>
            <w:noWrap/>
            <w:hideMark/>
          </w:tcPr>
          <w:p w14:paraId="2A241E47"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46AA4DFA" w14:textId="1ADB171E" w:rsidR="00785B70" w:rsidRPr="00005453" w:rsidRDefault="00785B70" w:rsidP="00785B70">
            <w:pPr>
              <w:jc w:val="right"/>
              <w:rPr>
                <w:sz w:val="14"/>
                <w:szCs w:val="16"/>
              </w:rPr>
            </w:pPr>
            <w:r w:rsidRPr="00005453">
              <w:rPr>
                <w:sz w:val="14"/>
                <w:szCs w:val="16"/>
              </w:rPr>
              <w:t>3,770,063</w:t>
            </w:r>
          </w:p>
        </w:tc>
        <w:tc>
          <w:tcPr>
            <w:tcW w:w="1946" w:type="dxa"/>
            <w:tcBorders>
              <w:top w:val="nil"/>
              <w:left w:val="nil"/>
              <w:bottom w:val="nil"/>
              <w:right w:val="single" w:sz="4" w:space="0" w:color="auto"/>
            </w:tcBorders>
            <w:shd w:val="clear" w:color="auto" w:fill="auto"/>
            <w:vAlign w:val="center"/>
            <w:hideMark/>
          </w:tcPr>
          <w:p w14:paraId="1F8BD6AB" w14:textId="3671F2B1" w:rsidR="00785B70" w:rsidRPr="00005453" w:rsidRDefault="00785B70" w:rsidP="00785B70">
            <w:pPr>
              <w:jc w:val="right"/>
              <w:rPr>
                <w:sz w:val="14"/>
                <w:szCs w:val="14"/>
                <w:lang w:eastAsia="tr-TR"/>
              </w:rPr>
            </w:pPr>
            <w:r w:rsidRPr="00005453">
              <w:rPr>
                <w:sz w:val="14"/>
                <w:szCs w:val="14"/>
              </w:rPr>
              <w:t>(1,283,974)</w:t>
            </w:r>
          </w:p>
        </w:tc>
      </w:tr>
      <w:tr w:rsidR="00785B70" w:rsidRPr="00005453" w14:paraId="1091509C"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08EFA206"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VII.</w:t>
            </w:r>
          </w:p>
        </w:tc>
        <w:tc>
          <w:tcPr>
            <w:tcW w:w="4253" w:type="dxa"/>
            <w:tcBorders>
              <w:top w:val="nil"/>
              <w:left w:val="single" w:sz="4" w:space="0" w:color="auto"/>
              <w:bottom w:val="nil"/>
              <w:right w:val="single" w:sz="4" w:space="0" w:color="auto"/>
            </w:tcBorders>
            <w:shd w:val="clear" w:color="auto" w:fill="auto"/>
            <w:hideMark/>
          </w:tcPr>
          <w:p w14:paraId="6C27766D"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DİĞER FAALİYET GELİRLERİ</w:t>
            </w:r>
          </w:p>
        </w:tc>
        <w:tc>
          <w:tcPr>
            <w:tcW w:w="619" w:type="dxa"/>
            <w:tcBorders>
              <w:top w:val="nil"/>
              <w:left w:val="single" w:sz="4" w:space="0" w:color="auto"/>
              <w:bottom w:val="nil"/>
              <w:right w:val="single" w:sz="4" w:space="0" w:color="auto"/>
            </w:tcBorders>
            <w:shd w:val="clear" w:color="auto" w:fill="auto"/>
            <w:noWrap/>
            <w:hideMark/>
          </w:tcPr>
          <w:p w14:paraId="40F720EB"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(5.4.6.)</w:t>
            </w:r>
          </w:p>
        </w:tc>
        <w:tc>
          <w:tcPr>
            <w:tcW w:w="1933" w:type="dxa"/>
            <w:tcBorders>
              <w:top w:val="nil"/>
              <w:left w:val="single" w:sz="4" w:space="0" w:color="auto"/>
              <w:bottom w:val="nil"/>
              <w:right w:val="single" w:sz="4" w:space="0" w:color="auto"/>
            </w:tcBorders>
            <w:shd w:val="clear" w:color="auto" w:fill="auto"/>
            <w:vAlign w:val="center"/>
            <w:hideMark/>
          </w:tcPr>
          <w:p w14:paraId="63B6B1CF" w14:textId="7FB78BA9" w:rsidR="00785B70" w:rsidRPr="00005453" w:rsidRDefault="00785B70" w:rsidP="00785B70">
            <w:pPr>
              <w:jc w:val="right"/>
              <w:rPr>
                <w:b/>
                <w:sz w:val="14"/>
                <w:szCs w:val="16"/>
              </w:rPr>
            </w:pPr>
            <w:r w:rsidRPr="00005453">
              <w:rPr>
                <w:b/>
                <w:bCs/>
                <w:sz w:val="14"/>
                <w:szCs w:val="16"/>
              </w:rPr>
              <w:t>10,042,113</w:t>
            </w:r>
          </w:p>
        </w:tc>
        <w:tc>
          <w:tcPr>
            <w:tcW w:w="1946" w:type="dxa"/>
            <w:tcBorders>
              <w:top w:val="nil"/>
              <w:left w:val="nil"/>
              <w:bottom w:val="nil"/>
              <w:right w:val="single" w:sz="4" w:space="0" w:color="auto"/>
            </w:tcBorders>
            <w:shd w:val="clear" w:color="auto" w:fill="auto"/>
            <w:vAlign w:val="center"/>
            <w:hideMark/>
          </w:tcPr>
          <w:p w14:paraId="3897DD66" w14:textId="3ED7EC35" w:rsidR="00785B70" w:rsidRPr="00005453" w:rsidRDefault="00785B70" w:rsidP="00785B70">
            <w:pPr>
              <w:jc w:val="right"/>
              <w:rPr>
                <w:b/>
                <w:bCs/>
                <w:sz w:val="14"/>
                <w:szCs w:val="14"/>
                <w:lang w:eastAsia="tr-TR"/>
              </w:rPr>
            </w:pPr>
            <w:r w:rsidRPr="00005453">
              <w:rPr>
                <w:b/>
                <w:sz w:val="14"/>
                <w:szCs w:val="14"/>
              </w:rPr>
              <w:t>3,655,946</w:t>
            </w:r>
          </w:p>
        </w:tc>
      </w:tr>
      <w:tr w:rsidR="00785B70" w:rsidRPr="00005453" w14:paraId="53A3370E"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31CE2D24"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VIII.</w:t>
            </w:r>
          </w:p>
        </w:tc>
        <w:tc>
          <w:tcPr>
            <w:tcW w:w="4253" w:type="dxa"/>
            <w:tcBorders>
              <w:top w:val="nil"/>
              <w:left w:val="single" w:sz="4" w:space="0" w:color="auto"/>
              <w:bottom w:val="nil"/>
              <w:right w:val="single" w:sz="4" w:space="0" w:color="auto"/>
            </w:tcBorders>
            <w:shd w:val="clear" w:color="auto" w:fill="auto"/>
            <w:hideMark/>
          </w:tcPr>
          <w:p w14:paraId="4DA687F5" w14:textId="77777777" w:rsidR="00785B70" w:rsidRPr="00005453" w:rsidRDefault="00785B70" w:rsidP="00785B70">
            <w:pPr>
              <w:rPr>
                <w:b/>
                <w:bCs/>
                <w:color w:val="000000"/>
                <w:sz w:val="14"/>
                <w:szCs w:val="14"/>
                <w:lang w:eastAsia="tr-TR"/>
              </w:rPr>
            </w:pPr>
            <w:r w:rsidRPr="00005453">
              <w:rPr>
                <w:b/>
                <w:bCs/>
                <w:color w:val="000000"/>
                <w:sz w:val="14"/>
                <w:szCs w:val="14"/>
                <w:lang w:val="de-DE" w:eastAsia="tr-TR"/>
              </w:rPr>
              <w:t>FAALİYET BRÜT KÂRI (III+IV+V+VI+VII)</w:t>
            </w:r>
          </w:p>
        </w:tc>
        <w:tc>
          <w:tcPr>
            <w:tcW w:w="619" w:type="dxa"/>
            <w:tcBorders>
              <w:top w:val="nil"/>
              <w:left w:val="single" w:sz="4" w:space="0" w:color="auto"/>
              <w:bottom w:val="nil"/>
              <w:right w:val="single" w:sz="4" w:space="0" w:color="auto"/>
            </w:tcBorders>
            <w:shd w:val="clear" w:color="auto" w:fill="auto"/>
            <w:noWrap/>
            <w:hideMark/>
          </w:tcPr>
          <w:p w14:paraId="08BA9F98"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7A8938AC" w14:textId="253713AD" w:rsidR="00785B70" w:rsidRPr="00005453" w:rsidRDefault="00785B70" w:rsidP="00785B70">
            <w:pPr>
              <w:jc w:val="right"/>
              <w:rPr>
                <w:b/>
                <w:sz w:val="14"/>
                <w:szCs w:val="16"/>
              </w:rPr>
            </w:pPr>
            <w:r w:rsidRPr="00005453">
              <w:rPr>
                <w:b/>
                <w:bCs/>
                <w:sz w:val="14"/>
                <w:szCs w:val="16"/>
              </w:rPr>
              <w:t>74,704,109</w:t>
            </w:r>
          </w:p>
        </w:tc>
        <w:tc>
          <w:tcPr>
            <w:tcW w:w="1946" w:type="dxa"/>
            <w:tcBorders>
              <w:top w:val="nil"/>
              <w:left w:val="nil"/>
              <w:bottom w:val="nil"/>
              <w:right w:val="single" w:sz="4" w:space="0" w:color="auto"/>
            </w:tcBorders>
            <w:shd w:val="clear" w:color="auto" w:fill="auto"/>
            <w:vAlign w:val="center"/>
            <w:hideMark/>
          </w:tcPr>
          <w:p w14:paraId="0382B109" w14:textId="5A0931F8" w:rsidR="00785B70" w:rsidRPr="00005453" w:rsidRDefault="00785B70" w:rsidP="00785B70">
            <w:pPr>
              <w:jc w:val="right"/>
              <w:rPr>
                <w:b/>
                <w:bCs/>
                <w:sz w:val="14"/>
                <w:szCs w:val="14"/>
                <w:lang w:eastAsia="tr-TR"/>
              </w:rPr>
            </w:pPr>
            <w:r w:rsidRPr="00005453">
              <w:rPr>
                <w:b/>
                <w:sz w:val="14"/>
                <w:szCs w:val="14"/>
              </w:rPr>
              <w:t>51,880,875</w:t>
            </w:r>
          </w:p>
        </w:tc>
      </w:tr>
      <w:tr w:rsidR="00785B70" w:rsidRPr="00005453" w14:paraId="34373616"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37840228"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IX.</w:t>
            </w:r>
          </w:p>
        </w:tc>
        <w:tc>
          <w:tcPr>
            <w:tcW w:w="4253" w:type="dxa"/>
            <w:tcBorders>
              <w:top w:val="nil"/>
              <w:left w:val="single" w:sz="4" w:space="0" w:color="auto"/>
              <w:bottom w:val="nil"/>
              <w:right w:val="single" w:sz="4" w:space="0" w:color="auto"/>
            </w:tcBorders>
            <w:shd w:val="clear" w:color="auto" w:fill="auto"/>
            <w:hideMark/>
          </w:tcPr>
          <w:p w14:paraId="5E538BDA"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hideMark/>
          </w:tcPr>
          <w:p w14:paraId="4629036F"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(5.4.7.)</w:t>
            </w:r>
          </w:p>
        </w:tc>
        <w:tc>
          <w:tcPr>
            <w:tcW w:w="1933" w:type="dxa"/>
            <w:tcBorders>
              <w:top w:val="nil"/>
              <w:left w:val="single" w:sz="4" w:space="0" w:color="auto"/>
              <w:bottom w:val="nil"/>
              <w:right w:val="single" w:sz="4" w:space="0" w:color="auto"/>
            </w:tcBorders>
            <w:shd w:val="clear" w:color="auto" w:fill="auto"/>
            <w:vAlign w:val="center"/>
            <w:hideMark/>
          </w:tcPr>
          <w:p w14:paraId="2E759FFA" w14:textId="468A3A42" w:rsidR="00785B70" w:rsidRPr="00005453" w:rsidRDefault="00785B70" w:rsidP="00785B70">
            <w:pPr>
              <w:jc w:val="right"/>
              <w:rPr>
                <w:b/>
                <w:sz w:val="14"/>
                <w:szCs w:val="16"/>
              </w:rPr>
            </w:pPr>
            <w:r w:rsidRPr="00005453">
              <w:rPr>
                <w:b/>
                <w:bCs/>
                <w:sz w:val="14"/>
                <w:szCs w:val="16"/>
              </w:rPr>
              <w:t>5,562,804</w:t>
            </w:r>
          </w:p>
        </w:tc>
        <w:tc>
          <w:tcPr>
            <w:tcW w:w="1946" w:type="dxa"/>
            <w:tcBorders>
              <w:top w:val="nil"/>
              <w:left w:val="nil"/>
              <w:bottom w:val="nil"/>
              <w:right w:val="single" w:sz="4" w:space="0" w:color="auto"/>
            </w:tcBorders>
            <w:shd w:val="clear" w:color="auto" w:fill="auto"/>
            <w:vAlign w:val="center"/>
            <w:hideMark/>
          </w:tcPr>
          <w:p w14:paraId="6529D627" w14:textId="76654220" w:rsidR="00785B70" w:rsidRPr="00005453" w:rsidRDefault="00785B70" w:rsidP="00785B70">
            <w:pPr>
              <w:jc w:val="right"/>
              <w:rPr>
                <w:b/>
                <w:bCs/>
                <w:sz w:val="14"/>
                <w:szCs w:val="14"/>
                <w:lang w:eastAsia="tr-TR"/>
              </w:rPr>
            </w:pPr>
            <w:r w:rsidRPr="00005453">
              <w:rPr>
                <w:b/>
                <w:sz w:val="14"/>
                <w:szCs w:val="14"/>
              </w:rPr>
              <w:t>6,836,429</w:t>
            </w:r>
          </w:p>
        </w:tc>
      </w:tr>
      <w:tr w:rsidR="00785B70" w:rsidRPr="00005453" w14:paraId="333B5F08"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4522BBE4"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w:t>
            </w:r>
          </w:p>
        </w:tc>
        <w:tc>
          <w:tcPr>
            <w:tcW w:w="4253" w:type="dxa"/>
            <w:tcBorders>
              <w:top w:val="nil"/>
              <w:left w:val="single" w:sz="4" w:space="0" w:color="auto"/>
              <w:bottom w:val="nil"/>
              <w:right w:val="single" w:sz="4" w:space="0" w:color="auto"/>
            </w:tcBorders>
            <w:shd w:val="clear" w:color="auto" w:fill="auto"/>
            <w:hideMark/>
          </w:tcPr>
          <w:p w14:paraId="608EE1C2"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DİĞER KARŞILIK GİDERLERİ (-)</w:t>
            </w:r>
          </w:p>
        </w:tc>
        <w:tc>
          <w:tcPr>
            <w:tcW w:w="619" w:type="dxa"/>
            <w:tcBorders>
              <w:top w:val="nil"/>
              <w:left w:val="single" w:sz="4" w:space="0" w:color="auto"/>
              <w:bottom w:val="nil"/>
              <w:right w:val="single" w:sz="4" w:space="0" w:color="auto"/>
            </w:tcBorders>
            <w:shd w:val="clear" w:color="auto" w:fill="auto"/>
            <w:noWrap/>
            <w:hideMark/>
          </w:tcPr>
          <w:p w14:paraId="6477B7B3"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w:t>
            </w:r>
            <w:r w:rsidRPr="00005453">
              <w:rPr>
                <w:b/>
                <w:bCs/>
                <w:color w:val="000000"/>
                <w:sz w:val="14"/>
                <w:szCs w:val="14"/>
                <w:lang w:eastAsia="tr-TR"/>
              </w:rPr>
              <w:t>5.4.7.)</w:t>
            </w:r>
          </w:p>
        </w:tc>
        <w:tc>
          <w:tcPr>
            <w:tcW w:w="1933" w:type="dxa"/>
            <w:tcBorders>
              <w:top w:val="nil"/>
              <w:left w:val="single" w:sz="4" w:space="0" w:color="auto"/>
              <w:bottom w:val="nil"/>
              <w:right w:val="single" w:sz="4" w:space="0" w:color="auto"/>
            </w:tcBorders>
            <w:shd w:val="clear" w:color="auto" w:fill="auto"/>
            <w:vAlign w:val="center"/>
            <w:hideMark/>
          </w:tcPr>
          <w:p w14:paraId="5FCF4144" w14:textId="07C23782" w:rsidR="00785B70" w:rsidRPr="00005453" w:rsidRDefault="00785B70" w:rsidP="00785B70">
            <w:pPr>
              <w:jc w:val="right"/>
              <w:rPr>
                <w:b/>
                <w:sz w:val="14"/>
                <w:szCs w:val="16"/>
              </w:rPr>
            </w:pPr>
            <w:r w:rsidRPr="00005453">
              <w:rPr>
                <w:b/>
                <w:bCs/>
                <w:sz w:val="14"/>
                <w:szCs w:val="16"/>
              </w:rPr>
              <w:t>854,421</w:t>
            </w:r>
          </w:p>
        </w:tc>
        <w:tc>
          <w:tcPr>
            <w:tcW w:w="1946" w:type="dxa"/>
            <w:tcBorders>
              <w:top w:val="nil"/>
              <w:left w:val="nil"/>
              <w:bottom w:val="nil"/>
              <w:right w:val="single" w:sz="4" w:space="0" w:color="auto"/>
            </w:tcBorders>
            <w:shd w:val="clear" w:color="auto" w:fill="auto"/>
            <w:vAlign w:val="center"/>
            <w:hideMark/>
          </w:tcPr>
          <w:p w14:paraId="1BC9F91E" w14:textId="08EC342E" w:rsidR="00785B70" w:rsidRPr="00005453" w:rsidRDefault="00785B70" w:rsidP="00785B70">
            <w:pPr>
              <w:jc w:val="right"/>
              <w:rPr>
                <w:b/>
                <w:bCs/>
                <w:sz w:val="14"/>
                <w:szCs w:val="14"/>
                <w:lang w:eastAsia="tr-TR"/>
              </w:rPr>
            </w:pPr>
            <w:r w:rsidRPr="00005453">
              <w:rPr>
                <w:b/>
                <w:sz w:val="14"/>
                <w:szCs w:val="14"/>
              </w:rPr>
              <w:t>228,546</w:t>
            </w:r>
          </w:p>
        </w:tc>
      </w:tr>
      <w:tr w:rsidR="00785B70" w:rsidRPr="00005453" w14:paraId="555ECB79"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07B97ED1"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XI.</w:t>
            </w:r>
          </w:p>
        </w:tc>
        <w:tc>
          <w:tcPr>
            <w:tcW w:w="4253" w:type="dxa"/>
            <w:tcBorders>
              <w:top w:val="nil"/>
              <w:left w:val="single" w:sz="4" w:space="0" w:color="auto"/>
              <w:bottom w:val="nil"/>
              <w:right w:val="single" w:sz="4" w:space="0" w:color="auto"/>
            </w:tcBorders>
            <w:shd w:val="clear" w:color="auto" w:fill="auto"/>
            <w:hideMark/>
          </w:tcPr>
          <w:p w14:paraId="7242C149"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PERSONEL GİDERLERİ (-)</w:t>
            </w:r>
          </w:p>
        </w:tc>
        <w:tc>
          <w:tcPr>
            <w:tcW w:w="619" w:type="dxa"/>
            <w:tcBorders>
              <w:top w:val="nil"/>
              <w:left w:val="single" w:sz="4" w:space="0" w:color="auto"/>
              <w:bottom w:val="nil"/>
              <w:right w:val="single" w:sz="4" w:space="0" w:color="auto"/>
            </w:tcBorders>
            <w:shd w:val="clear" w:color="auto" w:fill="auto"/>
            <w:noWrap/>
            <w:hideMark/>
          </w:tcPr>
          <w:p w14:paraId="05FDF18D" w14:textId="7202C74A"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7A287494" w14:textId="3E466143" w:rsidR="00785B70" w:rsidRPr="00005453" w:rsidRDefault="00785B70" w:rsidP="00785B70">
            <w:pPr>
              <w:jc w:val="right"/>
              <w:rPr>
                <w:b/>
                <w:sz w:val="14"/>
                <w:szCs w:val="16"/>
              </w:rPr>
            </w:pPr>
            <w:r w:rsidRPr="00005453">
              <w:rPr>
                <w:b/>
                <w:bCs/>
                <w:sz w:val="14"/>
                <w:szCs w:val="16"/>
              </w:rPr>
              <w:t>11,943,826</w:t>
            </w:r>
          </w:p>
        </w:tc>
        <w:tc>
          <w:tcPr>
            <w:tcW w:w="1946" w:type="dxa"/>
            <w:tcBorders>
              <w:top w:val="nil"/>
              <w:left w:val="nil"/>
              <w:bottom w:val="nil"/>
              <w:right w:val="single" w:sz="4" w:space="0" w:color="auto"/>
            </w:tcBorders>
            <w:shd w:val="clear" w:color="auto" w:fill="auto"/>
            <w:vAlign w:val="center"/>
            <w:hideMark/>
          </w:tcPr>
          <w:p w14:paraId="0087A605" w14:textId="0C610F2B" w:rsidR="00785B70" w:rsidRPr="00005453" w:rsidRDefault="00785B70" w:rsidP="00785B70">
            <w:pPr>
              <w:jc w:val="right"/>
              <w:rPr>
                <w:b/>
                <w:bCs/>
                <w:sz w:val="14"/>
                <w:szCs w:val="14"/>
                <w:lang w:eastAsia="tr-TR"/>
              </w:rPr>
            </w:pPr>
            <w:r w:rsidRPr="00005453">
              <w:rPr>
                <w:b/>
                <w:sz w:val="14"/>
                <w:szCs w:val="14"/>
              </w:rPr>
              <w:t>6,123,344</w:t>
            </w:r>
          </w:p>
        </w:tc>
      </w:tr>
      <w:tr w:rsidR="00785B70" w:rsidRPr="00005453" w14:paraId="03C72033"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30B0CDFB"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XII.</w:t>
            </w:r>
          </w:p>
        </w:tc>
        <w:tc>
          <w:tcPr>
            <w:tcW w:w="4253" w:type="dxa"/>
            <w:tcBorders>
              <w:top w:val="nil"/>
              <w:left w:val="single" w:sz="4" w:space="0" w:color="auto"/>
              <w:bottom w:val="nil"/>
              <w:right w:val="single" w:sz="4" w:space="0" w:color="auto"/>
            </w:tcBorders>
            <w:shd w:val="clear" w:color="auto" w:fill="auto"/>
            <w:hideMark/>
          </w:tcPr>
          <w:p w14:paraId="09DAD4AD"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DİĞER FAALİYET GİDERLERİ (-)</w:t>
            </w:r>
          </w:p>
        </w:tc>
        <w:tc>
          <w:tcPr>
            <w:tcW w:w="619" w:type="dxa"/>
            <w:tcBorders>
              <w:top w:val="nil"/>
              <w:left w:val="single" w:sz="4" w:space="0" w:color="auto"/>
              <w:bottom w:val="nil"/>
              <w:right w:val="single" w:sz="4" w:space="0" w:color="auto"/>
            </w:tcBorders>
            <w:shd w:val="clear" w:color="auto" w:fill="auto"/>
            <w:noWrap/>
            <w:hideMark/>
          </w:tcPr>
          <w:p w14:paraId="2B1DB70F" w14:textId="77777777" w:rsidR="00785B70" w:rsidRPr="00005453" w:rsidRDefault="00785B70" w:rsidP="00785B70">
            <w:pPr>
              <w:jc w:val="center"/>
              <w:rPr>
                <w:b/>
                <w:bCs/>
                <w:color w:val="000000"/>
                <w:sz w:val="14"/>
                <w:szCs w:val="14"/>
                <w:lang w:eastAsia="tr-TR"/>
              </w:rPr>
            </w:pPr>
            <w:r w:rsidRPr="00005453">
              <w:rPr>
                <w:b/>
                <w:bCs/>
                <w:color w:val="000000"/>
                <w:sz w:val="14"/>
                <w:szCs w:val="14"/>
                <w:lang w:eastAsia="tr-TR"/>
              </w:rPr>
              <w:t>(5.4.8.)</w:t>
            </w:r>
          </w:p>
        </w:tc>
        <w:tc>
          <w:tcPr>
            <w:tcW w:w="1933" w:type="dxa"/>
            <w:tcBorders>
              <w:top w:val="nil"/>
              <w:left w:val="single" w:sz="4" w:space="0" w:color="auto"/>
              <w:bottom w:val="nil"/>
              <w:right w:val="single" w:sz="4" w:space="0" w:color="auto"/>
            </w:tcBorders>
            <w:shd w:val="clear" w:color="auto" w:fill="auto"/>
            <w:vAlign w:val="center"/>
            <w:hideMark/>
          </w:tcPr>
          <w:p w14:paraId="2E04757E" w14:textId="13B10127" w:rsidR="00785B70" w:rsidRPr="00005453" w:rsidRDefault="00785B70" w:rsidP="00785B70">
            <w:pPr>
              <w:jc w:val="right"/>
              <w:rPr>
                <w:b/>
                <w:sz w:val="14"/>
                <w:szCs w:val="16"/>
              </w:rPr>
            </w:pPr>
            <w:r w:rsidRPr="00005453">
              <w:rPr>
                <w:b/>
                <w:bCs/>
                <w:sz w:val="14"/>
                <w:szCs w:val="16"/>
              </w:rPr>
              <w:t>10,085,900</w:t>
            </w:r>
          </w:p>
        </w:tc>
        <w:tc>
          <w:tcPr>
            <w:tcW w:w="1946" w:type="dxa"/>
            <w:tcBorders>
              <w:top w:val="nil"/>
              <w:left w:val="nil"/>
              <w:bottom w:val="nil"/>
              <w:right w:val="single" w:sz="4" w:space="0" w:color="auto"/>
            </w:tcBorders>
            <w:shd w:val="clear" w:color="auto" w:fill="auto"/>
            <w:vAlign w:val="center"/>
            <w:hideMark/>
          </w:tcPr>
          <w:p w14:paraId="63119BE9" w14:textId="5C688A9F" w:rsidR="00785B70" w:rsidRPr="00005453" w:rsidRDefault="00785B70" w:rsidP="00785B70">
            <w:pPr>
              <w:jc w:val="right"/>
              <w:rPr>
                <w:b/>
                <w:bCs/>
                <w:sz w:val="14"/>
                <w:szCs w:val="14"/>
                <w:lang w:eastAsia="tr-TR"/>
              </w:rPr>
            </w:pPr>
            <w:r w:rsidRPr="00005453">
              <w:rPr>
                <w:b/>
                <w:sz w:val="14"/>
                <w:szCs w:val="14"/>
              </w:rPr>
              <w:t>5,189,148</w:t>
            </w:r>
          </w:p>
        </w:tc>
      </w:tr>
      <w:tr w:rsidR="00785B70" w:rsidRPr="00005453" w14:paraId="6A019F91"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092AFEC0"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XIII.</w:t>
            </w:r>
          </w:p>
        </w:tc>
        <w:tc>
          <w:tcPr>
            <w:tcW w:w="4253" w:type="dxa"/>
            <w:tcBorders>
              <w:top w:val="nil"/>
              <w:left w:val="single" w:sz="4" w:space="0" w:color="auto"/>
              <w:bottom w:val="nil"/>
              <w:right w:val="single" w:sz="4" w:space="0" w:color="auto"/>
            </w:tcBorders>
            <w:shd w:val="clear" w:color="auto" w:fill="auto"/>
            <w:hideMark/>
          </w:tcPr>
          <w:p w14:paraId="517BC465" w14:textId="77777777" w:rsidR="00785B70" w:rsidRPr="00005453" w:rsidRDefault="00785B70" w:rsidP="00785B70">
            <w:pPr>
              <w:rPr>
                <w:b/>
                <w:bCs/>
                <w:color w:val="000000"/>
                <w:sz w:val="14"/>
                <w:szCs w:val="14"/>
                <w:lang w:eastAsia="tr-TR"/>
              </w:rPr>
            </w:pPr>
            <w:r w:rsidRPr="00005453">
              <w:rPr>
                <w:b/>
                <w:bCs/>
                <w:color w:val="000000"/>
                <w:sz w:val="14"/>
                <w:szCs w:val="14"/>
                <w:lang w:val="de-DE"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hideMark/>
          </w:tcPr>
          <w:p w14:paraId="142A3CD2"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36C0DDF" w14:textId="1351FE17" w:rsidR="00785B70" w:rsidRPr="00005453" w:rsidRDefault="00785B70" w:rsidP="00785B70">
            <w:pPr>
              <w:jc w:val="right"/>
              <w:rPr>
                <w:b/>
                <w:sz w:val="14"/>
                <w:szCs w:val="16"/>
              </w:rPr>
            </w:pPr>
            <w:r w:rsidRPr="00005453">
              <w:rPr>
                <w:b/>
                <w:bCs/>
                <w:sz w:val="14"/>
                <w:szCs w:val="16"/>
              </w:rPr>
              <w:t>46,257,158</w:t>
            </w:r>
          </w:p>
        </w:tc>
        <w:tc>
          <w:tcPr>
            <w:tcW w:w="1946" w:type="dxa"/>
            <w:tcBorders>
              <w:top w:val="nil"/>
              <w:left w:val="nil"/>
              <w:bottom w:val="nil"/>
              <w:right w:val="single" w:sz="4" w:space="0" w:color="auto"/>
            </w:tcBorders>
            <w:shd w:val="clear" w:color="auto" w:fill="auto"/>
            <w:vAlign w:val="center"/>
            <w:hideMark/>
          </w:tcPr>
          <w:p w14:paraId="2DE5CF83" w14:textId="1ADED257" w:rsidR="00785B70" w:rsidRPr="00005453" w:rsidRDefault="00785B70" w:rsidP="00785B70">
            <w:pPr>
              <w:jc w:val="right"/>
              <w:rPr>
                <w:b/>
                <w:bCs/>
                <w:sz w:val="14"/>
                <w:szCs w:val="14"/>
                <w:lang w:eastAsia="tr-TR"/>
              </w:rPr>
            </w:pPr>
            <w:r w:rsidRPr="00005453">
              <w:rPr>
                <w:b/>
                <w:sz w:val="14"/>
                <w:szCs w:val="14"/>
              </w:rPr>
              <w:t>33,503,408</w:t>
            </w:r>
          </w:p>
        </w:tc>
      </w:tr>
      <w:tr w:rsidR="00785B70" w:rsidRPr="00005453" w14:paraId="31C849B3"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5B535EDB"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XIV.</w:t>
            </w:r>
          </w:p>
        </w:tc>
        <w:tc>
          <w:tcPr>
            <w:tcW w:w="4253" w:type="dxa"/>
            <w:tcBorders>
              <w:top w:val="nil"/>
              <w:left w:val="single" w:sz="4" w:space="0" w:color="auto"/>
              <w:bottom w:val="nil"/>
              <w:right w:val="single" w:sz="4" w:space="0" w:color="auto"/>
            </w:tcBorders>
            <w:shd w:val="clear" w:color="auto" w:fill="auto"/>
            <w:hideMark/>
          </w:tcPr>
          <w:p w14:paraId="286AE7F4"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hideMark/>
          </w:tcPr>
          <w:p w14:paraId="285140CD"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02FC50C" w14:textId="0F654E67"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54A6870A" w14:textId="0D8001C9" w:rsidR="00785B70" w:rsidRPr="00005453" w:rsidRDefault="00785B70" w:rsidP="00785B70">
            <w:pPr>
              <w:jc w:val="right"/>
              <w:rPr>
                <w:b/>
                <w:bCs/>
                <w:sz w:val="14"/>
                <w:szCs w:val="14"/>
                <w:lang w:eastAsia="tr-TR"/>
              </w:rPr>
            </w:pPr>
            <w:r w:rsidRPr="00005453">
              <w:rPr>
                <w:sz w:val="14"/>
                <w:szCs w:val="14"/>
              </w:rPr>
              <w:t>-</w:t>
            </w:r>
          </w:p>
        </w:tc>
      </w:tr>
      <w:tr w:rsidR="00785B70" w:rsidRPr="00005453" w14:paraId="01E87428"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6BC026A0"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XV.</w:t>
            </w:r>
          </w:p>
        </w:tc>
        <w:tc>
          <w:tcPr>
            <w:tcW w:w="4253" w:type="dxa"/>
            <w:tcBorders>
              <w:top w:val="nil"/>
              <w:left w:val="single" w:sz="4" w:space="0" w:color="auto"/>
              <w:bottom w:val="nil"/>
              <w:right w:val="single" w:sz="4" w:space="0" w:color="auto"/>
            </w:tcBorders>
            <w:shd w:val="clear" w:color="auto" w:fill="auto"/>
            <w:hideMark/>
          </w:tcPr>
          <w:p w14:paraId="4596B6B8"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hideMark/>
          </w:tcPr>
          <w:p w14:paraId="41EC8E94"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2B26A686" w14:textId="34F85656"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19E1F391" w14:textId="3153C790" w:rsidR="00785B70" w:rsidRPr="00005453" w:rsidRDefault="00785B70" w:rsidP="00785B70">
            <w:pPr>
              <w:jc w:val="right"/>
              <w:rPr>
                <w:b/>
                <w:bCs/>
                <w:sz w:val="14"/>
                <w:szCs w:val="14"/>
                <w:lang w:eastAsia="tr-TR"/>
              </w:rPr>
            </w:pPr>
            <w:r w:rsidRPr="00005453">
              <w:rPr>
                <w:sz w:val="14"/>
                <w:szCs w:val="14"/>
              </w:rPr>
              <w:t>-</w:t>
            </w:r>
          </w:p>
        </w:tc>
      </w:tr>
      <w:tr w:rsidR="00785B70" w:rsidRPr="00005453" w14:paraId="0368AAC5"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4DBCCB5E"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XVI.</w:t>
            </w:r>
          </w:p>
        </w:tc>
        <w:tc>
          <w:tcPr>
            <w:tcW w:w="4253" w:type="dxa"/>
            <w:tcBorders>
              <w:top w:val="nil"/>
              <w:left w:val="single" w:sz="4" w:space="0" w:color="auto"/>
              <w:bottom w:val="nil"/>
              <w:right w:val="single" w:sz="4" w:space="0" w:color="auto"/>
            </w:tcBorders>
            <w:shd w:val="clear" w:color="auto" w:fill="auto"/>
            <w:hideMark/>
          </w:tcPr>
          <w:p w14:paraId="5ED2AEC3"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NET PARASAL POZİSYON KÂRI/ZARARI</w:t>
            </w:r>
          </w:p>
        </w:tc>
        <w:tc>
          <w:tcPr>
            <w:tcW w:w="619" w:type="dxa"/>
            <w:tcBorders>
              <w:top w:val="nil"/>
              <w:left w:val="single" w:sz="4" w:space="0" w:color="auto"/>
              <w:bottom w:val="nil"/>
              <w:right w:val="single" w:sz="4" w:space="0" w:color="auto"/>
            </w:tcBorders>
            <w:shd w:val="clear" w:color="auto" w:fill="auto"/>
            <w:noWrap/>
            <w:hideMark/>
          </w:tcPr>
          <w:p w14:paraId="538768F9"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0CD2F526" w14:textId="5F41772B"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457E9E64" w14:textId="20E5B27C" w:rsidR="00785B70" w:rsidRPr="00005453" w:rsidRDefault="00785B70" w:rsidP="00785B70">
            <w:pPr>
              <w:jc w:val="right"/>
              <w:rPr>
                <w:b/>
                <w:bCs/>
                <w:sz w:val="14"/>
                <w:szCs w:val="14"/>
                <w:lang w:eastAsia="tr-TR"/>
              </w:rPr>
            </w:pPr>
            <w:r w:rsidRPr="00005453">
              <w:rPr>
                <w:sz w:val="14"/>
                <w:szCs w:val="14"/>
              </w:rPr>
              <w:t>-</w:t>
            </w:r>
          </w:p>
        </w:tc>
      </w:tr>
      <w:tr w:rsidR="00785B70" w:rsidRPr="00005453" w14:paraId="443A8284"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616C03CF"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XVII.</w:t>
            </w:r>
          </w:p>
        </w:tc>
        <w:tc>
          <w:tcPr>
            <w:tcW w:w="4253" w:type="dxa"/>
            <w:tcBorders>
              <w:top w:val="nil"/>
              <w:left w:val="single" w:sz="4" w:space="0" w:color="auto"/>
              <w:bottom w:val="nil"/>
              <w:right w:val="single" w:sz="4" w:space="0" w:color="auto"/>
            </w:tcBorders>
            <w:shd w:val="clear" w:color="auto" w:fill="auto"/>
            <w:hideMark/>
          </w:tcPr>
          <w:p w14:paraId="07DAF78A"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hideMark/>
          </w:tcPr>
          <w:p w14:paraId="76572CB7"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(5.4.9.)</w:t>
            </w:r>
          </w:p>
        </w:tc>
        <w:tc>
          <w:tcPr>
            <w:tcW w:w="1933" w:type="dxa"/>
            <w:tcBorders>
              <w:top w:val="nil"/>
              <w:left w:val="single" w:sz="4" w:space="0" w:color="auto"/>
              <w:bottom w:val="nil"/>
              <w:right w:val="single" w:sz="4" w:space="0" w:color="auto"/>
            </w:tcBorders>
            <w:shd w:val="clear" w:color="auto" w:fill="auto"/>
            <w:vAlign w:val="center"/>
            <w:hideMark/>
          </w:tcPr>
          <w:p w14:paraId="095B628B" w14:textId="38EE32BC" w:rsidR="00785B70" w:rsidRPr="00005453" w:rsidRDefault="00785B70" w:rsidP="00785B70">
            <w:pPr>
              <w:jc w:val="right"/>
              <w:rPr>
                <w:b/>
                <w:sz w:val="14"/>
                <w:szCs w:val="16"/>
              </w:rPr>
            </w:pPr>
            <w:r w:rsidRPr="00005453">
              <w:rPr>
                <w:b/>
                <w:bCs/>
                <w:sz w:val="14"/>
                <w:szCs w:val="16"/>
              </w:rPr>
              <w:t>46,257,158</w:t>
            </w:r>
          </w:p>
        </w:tc>
        <w:tc>
          <w:tcPr>
            <w:tcW w:w="1946" w:type="dxa"/>
            <w:tcBorders>
              <w:top w:val="nil"/>
              <w:left w:val="nil"/>
              <w:bottom w:val="nil"/>
              <w:right w:val="single" w:sz="4" w:space="0" w:color="auto"/>
            </w:tcBorders>
            <w:shd w:val="clear" w:color="auto" w:fill="auto"/>
            <w:vAlign w:val="center"/>
            <w:hideMark/>
          </w:tcPr>
          <w:p w14:paraId="5DE8E61C" w14:textId="50B752F0" w:rsidR="00785B70" w:rsidRPr="00005453" w:rsidRDefault="00785B70" w:rsidP="00785B70">
            <w:pPr>
              <w:jc w:val="right"/>
              <w:rPr>
                <w:b/>
                <w:bCs/>
                <w:sz w:val="14"/>
                <w:szCs w:val="14"/>
                <w:lang w:eastAsia="tr-TR"/>
              </w:rPr>
            </w:pPr>
            <w:r w:rsidRPr="00005453">
              <w:rPr>
                <w:b/>
                <w:sz w:val="14"/>
                <w:szCs w:val="14"/>
              </w:rPr>
              <w:t>33,503,408</w:t>
            </w:r>
          </w:p>
        </w:tc>
      </w:tr>
      <w:tr w:rsidR="00785B70" w:rsidRPr="00005453" w14:paraId="73AB0034"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13ADCC0F"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XVIII.</w:t>
            </w:r>
          </w:p>
        </w:tc>
        <w:tc>
          <w:tcPr>
            <w:tcW w:w="4253" w:type="dxa"/>
            <w:tcBorders>
              <w:top w:val="nil"/>
              <w:left w:val="single" w:sz="4" w:space="0" w:color="auto"/>
              <w:bottom w:val="nil"/>
              <w:right w:val="single" w:sz="4" w:space="0" w:color="auto"/>
            </w:tcBorders>
            <w:shd w:val="clear" w:color="auto" w:fill="auto"/>
            <w:hideMark/>
          </w:tcPr>
          <w:p w14:paraId="0D7A2794"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224D2139"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(5.4.10)</w:t>
            </w:r>
          </w:p>
        </w:tc>
        <w:tc>
          <w:tcPr>
            <w:tcW w:w="1933" w:type="dxa"/>
            <w:tcBorders>
              <w:top w:val="nil"/>
              <w:left w:val="single" w:sz="4" w:space="0" w:color="auto"/>
              <w:bottom w:val="nil"/>
              <w:right w:val="single" w:sz="4" w:space="0" w:color="auto"/>
            </w:tcBorders>
            <w:shd w:val="clear" w:color="auto" w:fill="auto"/>
            <w:vAlign w:val="center"/>
            <w:hideMark/>
          </w:tcPr>
          <w:p w14:paraId="040053FD" w14:textId="251D2C17" w:rsidR="00785B70" w:rsidRPr="00005453" w:rsidRDefault="00785B70" w:rsidP="00785B70">
            <w:pPr>
              <w:jc w:val="right"/>
              <w:rPr>
                <w:b/>
                <w:sz w:val="14"/>
                <w:szCs w:val="16"/>
              </w:rPr>
            </w:pPr>
            <w:r w:rsidRPr="00005453">
              <w:rPr>
                <w:b/>
                <w:bCs/>
                <w:sz w:val="14"/>
                <w:szCs w:val="16"/>
              </w:rPr>
              <w:t>(11,603,702)</w:t>
            </w:r>
          </w:p>
        </w:tc>
        <w:tc>
          <w:tcPr>
            <w:tcW w:w="1946" w:type="dxa"/>
            <w:tcBorders>
              <w:top w:val="nil"/>
              <w:left w:val="nil"/>
              <w:bottom w:val="nil"/>
              <w:right w:val="single" w:sz="4" w:space="0" w:color="auto"/>
            </w:tcBorders>
            <w:shd w:val="clear" w:color="auto" w:fill="auto"/>
            <w:vAlign w:val="center"/>
            <w:hideMark/>
          </w:tcPr>
          <w:p w14:paraId="4DD0A196" w14:textId="2112642A" w:rsidR="00785B70" w:rsidRPr="00005453" w:rsidRDefault="00785B70" w:rsidP="00785B70">
            <w:pPr>
              <w:jc w:val="right"/>
              <w:rPr>
                <w:b/>
                <w:bCs/>
                <w:sz w:val="14"/>
                <w:szCs w:val="14"/>
                <w:lang w:eastAsia="tr-TR"/>
              </w:rPr>
            </w:pPr>
            <w:r w:rsidRPr="00005453">
              <w:rPr>
                <w:b/>
                <w:sz w:val="14"/>
                <w:szCs w:val="14"/>
              </w:rPr>
              <w:t>(6,894,037)</w:t>
            </w:r>
          </w:p>
        </w:tc>
      </w:tr>
      <w:tr w:rsidR="00785B70" w:rsidRPr="00005453" w14:paraId="29E3E8E9"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0233C58D" w14:textId="77777777" w:rsidR="00785B70" w:rsidRPr="00005453" w:rsidRDefault="00785B70" w:rsidP="00785B70">
            <w:pPr>
              <w:rPr>
                <w:color w:val="000000"/>
                <w:sz w:val="14"/>
                <w:szCs w:val="14"/>
                <w:lang w:eastAsia="tr-TR"/>
              </w:rPr>
            </w:pPr>
            <w:r w:rsidRPr="00005453">
              <w:rPr>
                <w:color w:val="000000"/>
                <w:sz w:val="14"/>
                <w:szCs w:val="14"/>
                <w:lang w:val="en-US" w:eastAsia="tr-TR"/>
              </w:rPr>
              <w:t>18.1.</w:t>
            </w:r>
          </w:p>
        </w:tc>
        <w:tc>
          <w:tcPr>
            <w:tcW w:w="4253" w:type="dxa"/>
            <w:tcBorders>
              <w:top w:val="nil"/>
              <w:left w:val="single" w:sz="4" w:space="0" w:color="auto"/>
              <w:bottom w:val="nil"/>
              <w:right w:val="single" w:sz="4" w:space="0" w:color="auto"/>
            </w:tcBorders>
            <w:shd w:val="clear" w:color="auto" w:fill="auto"/>
            <w:hideMark/>
          </w:tcPr>
          <w:p w14:paraId="172E730A" w14:textId="77777777" w:rsidR="00785B70" w:rsidRPr="00005453" w:rsidRDefault="00785B70" w:rsidP="00785B70">
            <w:pPr>
              <w:rPr>
                <w:color w:val="000000"/>
                <w:sz w:val="14"/>
                <w:szCs w:val="14"/>
                <w:lang w:eastAsia="tr-TR"/>
              </w:rPr>
            </w:pPr>
            <w:r w:rsidRPr="00005453">
              <w:rPr>
                <w:color w:val="000000"/>
                <w:sz w:val="14"/>
                <w:szCs w:val="14"/>
                <w:lang w:val="en-US" w:eastAsia="tr-TR"/>
              </w:rPr>
              <w:t>Cari Vergi Karşılığı</w:t>
            </w:r>
          </w:p>
        </w:tc>
        <w:tc>
          <w:tcPr>
            <w:tcW w:w="619" w:type="dxa"/>
            <w:tcBorders>
              <w:top w:val="nil"/>
              <w:left w:val="single" w:sz="4" w:space="0" w:color="auto"/>
              <w:bottom w:val="nil"/>
              <w:right w:val="single" w:sz="4" w:space="0" w:color="auto"/>
            </w:tcBorders>
            <w:shd w:val="clear" w:color="auto" w:fill="auto"/>
            <w:noWrap/>
            <w:hideMark/>
          </w:tcPr>
          <w:p w14:paraId="6BFFFEAE"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6DA44F5" w14:textId="5C8BD942" w:rsidR="00785B70" w:rsidRPr="00005453" w:rsidRDefault="00785B70" w:rsidP="00785B70">
            <w:pPr>
              <w:jc w:val="right"/>
              <w:rPr>
                <w:sz w:val="14"/>
                <w:szCs w:val="16"/>
              </w:rPr>
            </w:pPr>
            <w:r w:rsidRPr="00005453">
              <w:rPr>
                <w:sz w:val="14"/>
                <w:szCs w:val="16"/>
              </w:rPr>
              <w:t>12,287,240</w:t>
            </w:r>
          </w:p>
        </w:tc>
        <w:tc>
          <w:tcPr>
            <w:tcW w:w="1946" w:type="dxa"/>
            <w:tcBorders>
              <w:top w:val="nil"/>
              <w:left w:val="nil"/>
              <w:bottom w:val="nil"/>
              <w:right w:val="single" w:sz="4" w:space="0" w:color="auto"/>
            </w:tcBorders>
            <w:shd w:val="clear" w:color="auto" w:fill="auto"/>
            <w:vAlign w:val="center"/>
            <w:hideMark/>
          </w:tcPr>
          <w:p w14:paraId="6A4CD6B0" w14:textId="6CB9A8EE" w:rsidR="00785B70" w:rsidRPr="00005453" w:rsidRDefault="00785B70" w:rsidP="00785B70">
            <w:pPr>
              <w:jc w:val="right"/>
              <w:rPr>
                <w:sz w:val="14"/>
                <w:szCs w:val="14"/>
                <w:lang w:eastAsia="tr-TR"/>
              </w:rPr>
            </w:pPr>
            <w:r w:rsidRPr="00005453">
              <w:rPr>
                <w:sz w:val="14"/>
                <w:szCs w:val="14"/>
              </w:rPr>
              <w:t>9,420,021</w:t>
            </w:r>
          </w:p>
        </w:tc>
      </w:tr>
      <w:tr w:rsidR="00785B70" w:rsidRPr="00005453" w14:paraId="7FEA5790"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276AE96B" w14:textId="77777777" w:rsidR="00785B70" w:rsidRPr="00005453" w:rsidRDefault="00785B70" w:rsidP="00785B70">
            <w:pPr>
              <w:rPr>
                <w:color w:val="000000"/>
                <w:sz w:val="14"/>
                <w:szCs w:val="14"/>
                <w:lang w:eastAsia="tr-TR"/>
              </w:rPr>
            </w:pPr>
            <w:r w:rsidRPr="00005453">
              <w:rPr>
                <w:color w:val="000000"/>
                <w:sz w:val="14"/>
                <w:szCs w:val="14"/>
                <w:lang w:val="en-US" w:eastAsia="tr-TR"/>
              </w:rPr>
              <w:t>18.2.</w:t>
            </w:r>
          </w:p>
        </w:tc>
        <w:tc>
          <w:tcPr>
            <w:tcW w:w="4253" w:type="dxa"/>
            <w:tcBorders>
              <w:top w:val="nil"/>
              <w:left w:val="single" w:sz="4" w:space="0" w:color="auto"/>
              <w:bottom w:val="nil"/>
              <w:right w:val="single" w:sz="4" w:space="0" w:color="auto"/>
            </w:tcBorders>
            <w:shd w:val="clear" w:color="auto" w:fill="auto"/>
            <w:hideMark/>
          </w:tcPr>
          <w:p w14:paraId="4B897F3E" w14:textId="77777777" w:rsidR="00785B70" w:rsidRPr="00005453" w:rsidRDefault="00785B70" w:rsidP="00785B70">
            <w:pPr>
              <w:rPr>
                <w:color w:val="000000"/>
                <w:sz w:val="14"/>
                <w:szCs w:val="14"/>
                <w:lang w:eastAsia="tr-TR"/>
              </w:rPr>
            </w:pPr>
            <w:r w:rsidRPr="00005453">
              <w:rPr>
                <w:color w:val="000000"/>
                <w:sz w:val="14"/>
                <w:szCs w:val="14"/>
                <w:lang w:val="en-US" w:eastAsia="tr-TR"/>
              </w:rPr>
              <w:t>Ertelenmiş Vergi Gider Etkisi (+)</w:t>
            </w:r>
          </w:p>
        </w:tc>
        <w:tc>
          <w:tcPr>
            <w:tcW w:w="619" w:type="dxa"/>
            <w:tcBorders>
              <w:top w:val="nil"/>
              <w:left w:val="single" w:sz="4" w:space="0" w:color="auto"/>
              <w:bottom w:val="nil"/>
              <w:right w:val="single" w:sz="4" w:space="0" w:color="auto"/>
            </w:tcBorders>
            <w:shd w:val="clear" w:color="auto" w:fill="auto"/>
            <w:noWrap/>
            <w:hideMark/>
          </w:tcPr>
          <w:p w14:paraId="74E35166"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4FB6BB20" w14:textId="237C2238" w:rsidR="00785B70" w:rsidRPr="00005453" w:rsidRDefault="00785B70" w:rsidP="00785B70">
            <w:pPr>
              <w:jc w:val="right"/>
              <w:rPr>
                <w:sz w:val="14"/>
                <w:szCs w:val="16"/>
              </w:rPr>
            </w:pPr>
            <w:r w:rsidRPr="00005453">
              <w:rPr>
                <w:sz w:val="14"/>
                <w:szCs w:val="16"/>
              </w:rPr>
              <w:t>528,499</w:t>
            </w:r>
          </w:p>
        </w:tc>
        <w:tc>
          <w:tcPr>
            <w:tcW w:w="1946" w:type="dxa"/>
            <w:tcBorders>
              <w:top w:val="nil"/>
              <w:left w:val="nil"/>
              <w:bottom w:val="nil"/>
              <w:right w:val="single" w:sz="4" w:space="0" w:color="auto"/>
            </w:tcBorders>
            <w:shd w:val="clear" w:color="auto" w:fill="auto"/>
            <w:vAlign w:val="center"/>
            <w:hideMark/>
          </w:tcPr>
          <w:p w14:paraId="15F74397" w14:textId="774DEA02" w:rsidR="00785B70" w:rsidRPr="00005453" w:rsidRDefault="00785B70" w:rsidP="00785B70">
            <w:pPr>
              <w:jc w:val="right"/>
              <w:rPr>
                <w:sz w:val="14"/>
                <w:szCs w:val="14"/>
                <w:lang w:eastAsia="tr-TR"/>
              </w:rPr>
            </w:pPr>
            <w:r w:rsidRPr="00005453">
              <w:rPr>
                <w:sz w:val="14"/>
                <w:szCs w:val="14"/>
              </w:rPr>
              <w:t>1,065,583</w:t>
            </w:r>
          </w:p>
        </w:tc>
      </w:tr>
      <w:tr w:rsidR="00785B70" w:rsidRPr="00005453" w14:paraId="0C2A8CC4"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5C2E2506" w14:textId="77777777" w:rsidR="00785B70" w:rsidRPr="00005453" w:rsidRDefault="00785B70" w:rsidP="00785B70">
            <w:pPr>
              <w:rPr>
                <w:color w:val="000000"/>
                <w:sz w:val="14"/>
                <w:szCs w:val="14"/>
                <w:lang w:eastAsia="tr-TR"/>
              </w:rPr>
            </w:pPr>
            <w:r w:rsidRPr="00005453">
              <w:rPr>
                <w:color w:val="000000"/>
                <w:sz w:val="14"/>
                <w:szCs w:val="14"/>
                <w:lang w:val="en-US" w:eastAsia="tr-TR"/>
              </w:rPr>
              <w:t>18.3.</w:t>
            </w:r>
          </w:p>
        </w:tc>
        <w:tc>
          <w:tcPr>
            <w:tcW w:w="4253" w:type="dxa"/>
            <w:tcBorders>
              <w:top w:val="nil"/>
              <w:left w:val="single" w:sz="4" w:space="0" w:color="auto"/>
              <w:bottom w:val="nil"/>
              <w:right w:val="single" w:sz="4" w:space="0" w:color="auto"/>
            </w:tcBorders>
            <w:shd w:val="clear" w:color="auto" w:fill="auto"/>
            <w:hideMark/>
          </w:tcPr>
          <w:p w14:paraId="714F3ECE" w14:textId="77777777" w:rsidR="00785B70" w:rsidRPr="00005453" w:rsidRDefault="00785B70" w:rsidP="00785B70">
            <w:pPr>
              <w:rPr>
                <w:color w:val="000000"/>
                <w:sz w:val="14"/>
                <w:szCs w:val="14"/>
                <w:lang w:eastAsia="tr-TR"/>
              </w:rPr>
            </w:pPr>
            <w:r w:rsidRPr="00005453">
              <w:rPr>
                <w:color w:val="000000"/>
                <w:sz w:val="14"/>
                <w:szCs w:val="14"/>
                <w:lang w:val="en-US" w:eastAsia="tr-TR"/>
              </w:rPr>
              <w:t>Ertelenmiş Vergi Gelir Etkisi (-)</w:t>
            </w:r>
          </w:p>
        </w:tc>
        <w:tc>
          <w:tcPr>
            <w:tcW w:w="619" w:type="dxa"/>
            <w:tcBorders>
              <w:top w:val="nil"/>
              <w:left w:val="single" w:sz="4" w:space="0" w:color="auto"/>
              <w:bottom w:val="nil"/>
              <w:right w:val="single" w:sz="4" w:space="0" w:color="auto"/>
            </w:tcBorders>
            <w:shd w:val="clear" w:color="auto" w:fill="auto"/>
            <w:noWrap/>
            <w:hideMark/>
          </w:tcPr>
          <w:p w14:paraId="082946B2"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289D6D5" w14:textId="75E9B344" w:rsidR="00785B70" w:rsidRPr="00005453" w:rsidRDefault="00785B70" w:rsidP="00785B70">
            <w:pPr>
              <w:jc w:val="right"/>
              <w:rPr>
                <w:sz w:val="14"/>
                <w:szCs w:val="16"/>
              </w:rPr>
            </w:pPr>
            <w:r w:rsidRPr="00005453">
              <w:rPr>
                <w:sz w:val="14"/>
                <w:szCs w:val="16"/>
              </w:rPr>
              <w:t>1,212,037</w:t>
            </w:r>
          </w:p>
        </w:tc>
        <w:tc>
          <w:tcPr>
            <w:tcW w:w="1946" w:type="dxa"/>
            <w:tcBorders>
              <w:top w:val="nil"/>
              <w:left w:val="nil"/>
              <w:bottom w:val="nil"/>
              <w:right w:val="single" w:sz="4" w:space="0" w:color="auto"/>
            </w:tcBorders>
            <w:shd w:val="clear" w:color="auto" w:fill="auto"/>
            <w:vAlign w:val="center"/>
            <w:hideMark/>
          </w:tcPr>
          <w:p w14:paraId="39FBF675" w14:textId="2EFCC07D" w:rsidR="00785B70" w:rsidRPr="00005453" w:rsidRDefault="00785B70" w:rsidP="00785B70">
            <w:pPr>
              <w:jc w:val="right"/>
              <w:rPr>
                <w:sz w:val="14"/>
                <w:szCs w:val="14"/>
                <w:lang w:eastAsia="tr-TR"/>
              </w:rPr>
            </w:pPr>
            <w:r w:rsidRPr="00005453">
              <w:rPr>
                <w:sz w:val="14"/>
                <w:szCs w:val="14"/>
              </w:rPr>
              <w:t>3,591,567</w:t>
            </w:r>
          </w:p>
        </w:tc>
      </w:tr>
      <w:tr w:rsidR="00785B70" w:rsidRPr="00005453" w14:paraId="0123CEC3"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5766F75F"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XIX.</w:t>
            </w:r>
          </w:p>
        </w:tc>
        <w:tc>
          <w:tcPr>
            <w:tcW w:w="4253" w:type="dxa"/>
            <w:tcBorders>
              <w:top w:val="nil"/>
              <w:left w:val="single" w:sz="4" w:space="0" w:color="auto"/>
              <w:bottom w:val="nil"/>
              <w:right w:val="single" w:sz="4" w:space="0" w:color="auto"/>
            </w:tcBorders>
            <w:shd w:val="clear" w:color="auto" w:fill="auto"/>
            <w:hideMark/>
          </w:tcPr>
          <w:p w14:paraId="242CCBE2" w14:textId="77777777" w:rsidR="00785B70" w:rsidRPr="00005453" w:rsidRDefault="00785B70" w:rsidP="00785B70">
            <w:pPr>
              <w:rPr>
                <w:b/>
                <w:bCs/>
                <w:color w:val="000000"/>
                <w:sz w:val="14"/>
                <w:szCs w:val="14"/>
                <w:lang w:eastAsia="tr-TR"/>
              </w:rPr>
            </w:pPr>
            <w:r w:rsidRPr="00005453">
              <w:rPr>
                <w:b/>
                <w:bCs/>
                <w:color w:val="000000"/>
                <w:sz w:val="14"/>
                <w:szCs w:val="14"/>
                <w:lang w:val="de-DE"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hideMark/>
          </w:tcPr>
          <w:p w14:paraId="659664CE"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(5.4.11.)</w:t>
            </w:r>
          </w:p>
        </w:tc>
        <w:tc>
          <w:tcPr>
            <w:tcW w:w="1933" w:type="dxa"/>
            <w:tcBorders>
              <w:top w:val="nil"/>
              <w:left w:val="single" w:sz="4" w:space="0" w:color="auto"/>
              <w:bottom w:val="nil"/>
              <w:right w:val="single" w:sz="4" w:space="0" w:color="auto"/>
            </w:tcBorders>
            <w:shd w:val="clear" w:color="auto" w:fill="auto"/>
            <w:vAlign w:val="center"/>
            <w:hideMark/>
          </w:tcPr>
          <w:p w14:paraId="55A62C85" w14:textId="0A9ABC7C" w:rsidR="00785B70" w:rsidRPr="00005453" w:rsidRDefault="00785B70" w:rsidP="00785B70">
            <w:pPr>
              <w:jc w:val="right"/>
              <w:rPr>
                <w:b/>
                <w:sz w:val="14"/>
                <w:szCs w:val="16"/>
              </w:rPr>
            </w:pPr>
            <w:r w:rsidRPr="00005453">
              <w:rPr>
                <w:b/>
                <w:bCs/>
                <w:sz w:val="14"/>
                <w:szCs w:val="16"/>
              </w:rPr>
              <w:t>34,653,456</w:t>
            </w:r>
          </w:p>
        </w:tc>
        <w:tc>
          <w:tcPr>
            <w:tcW w:w="1946" w:type="dxa"/>
            <w:tcBorders>
              <w:top w:val="nil"/>
              <w:left w:val="nil"/>
              <w:bottom w:val="nil"/>
              <w:right w:val="single" w:sz="4" w:space="0" w:color="auto"/>
            </w:tcBorders>
            <w:shd w:val="clear" w:color="auto" w:fill="auto"/>
            <w:vAlign w:val="center"/>
            <w:hideMark/>
          </w:tcPr>
          <w:p w14:paraId="1589053E" w14:textId="635F06BE" w:rsidR="00785B70" w:rsidRPr="00005453" w:rsidRDefault="00785B70" w:rsidP="00785B70">
            <w:pPr>
              <w:jc w:val="right"/>
              <w:rPr>
                <w:b/>
                <w:bCs/>
                <w:sz w:val="14"/>
                <w:szCs w:val="14"/>
                <w:lang w:eastAsia="tr-TR"/>
              </w:rPr>
            </w:pPr>
            <w:r w:rsidRPr="00005453">
              <w:rPr>
                <w:b/>
                <w:sz w:val="14"/>
                <w:szCs w:val="14"/>
              </w:rPr>
              <w:t>26,609,371</w:t>
            </w:r>
          </w:p>
        </w:tc>
      </w:tr>
      <w:tr w:rsidR="00785B70" w:rsidRPr="00005453" w14:paraId="15C31748"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55BFD067"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XX.</w:t>
            </w:r>
          </w:p>
        </w:tc>
        <w:tc>
          <w:tcPr>
            <w:tcW w:w="4253" w:type="dxa"/>
            <w:tcBorders>
              <w:top w:val="nil"/>
              <w:left w:val="single" w:sz="4" w:space="0" w:color="auto"/>
              <w:bottom w:val="nil"/>
              <w:right w:val="single" w:sz="4" w:space="0" w:color="auto"/>
            </w:tcBorders>
            <w:shd w:val="clear" w:color="auto" w:fill="auto"/>
            <w:hideMark/>
          </w:tcPr>
          <w:p w14:paraId="3AAAD6C9"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DURDURULAN FAALİYETLERDEN GELİRLER</w:t>
            </w:r>
          </w:p>
        </w:tc>
        <w:tc>
          <w:tcPr>
            <w:tcW w:w="619" w:type="dxa"/>
            <w:tcBorders>
              <w:top w:val="nil"/>
              <w:left w:val="single" w:sz="4" w:space="0" w:color="auto"/>
              <w:bottom w:val="nil"/>
              <w:right w:val="single" w:sz="4" w:space="0" w:color="auto"/>
            </w:tcBorders>
            <w:shd w:val="clear" w:color="auto" w:fill="auto"/>
            <w:noWrap/>
            <w:hideMark/>
          </w:tcPr>
          <w:p w14:paraId="46FEBA61"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5410184" w14:textId="6FFBB8E4"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5A59676D" w14:textId="45C4C929" w:rsidR="00785B70" w:rsidRPr="00005453" w:rsidRDefault="00785B70" w:rsidP="00785B70">
            <w:pPr>
              <w:jc w:val="right"/>
              <w:rPr>
                <w:b/>
                <w:bCs/>
                <w:sz w:val="14"/>
                <w:szCs w:val="14"/>
                <w:lang w:eastAsia="tr-TR"/>
              </w:rPr>
            </w:pPr>
            <w:r w:rsidRPr="00005453">
              <w:rPr>
                <w:sz w:val="14"/>
                <w:szCs w:val="14"/>
              </w:rPr>
              <w:t>-</w:t>
            </w:r>
          </w:p>
        </w:tc>
      </w:tr>
      <w:tr w:rsidR="00785B70" w:rsidRPr="00005453" w14:paraId="7E22B1C2"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7860EAFC" w14:textId="77777777" w:rsidR="00785B70" w:rsidRPr="00005453" w:rsidRDefault="00785B70" w:rsidP="00785B70">
            <w:pPr>
              <w:rPr>
                <w:color w:val="000000"/>
                <w:sz w:val="14"/>
                <w:szCs w:val="14"/>
                <w:lang w:eastAsia="tr-TR"/>
              </w:rPr>
            </w:pPr>
            <w:r w:rsidRPr="00005453">
              <w:rPr>
                <w:color w:val="000000"/>
                <w:sz w:val="14"/>
                <w:szCs w:val="14"/>
                <w:lang w:val="en-US" w:eastAsia="tr-TR"/>
              </w:rPr>
              <w:t>20.1.</w:t>
            </w:r>
          </w:p>
        </w:tc>
        <w:tc>
          <w:tcPr>
            <w:tcW w:w="4253" w:type="dxa"/>
            <w:tcBorders>
              <w:top w:val="nil"/>
              <w:left w:val="single" w:sz="4" w:space="0" w:color="auto"/>
              <w:bottom w:val="nil"/>
              <w:right w:val="single" w:sz="4" w:space="0" w:color="auto"/>
            </w:tcBorders>
            <w:shd w:val="clear" w:color="auto" w:fill="auto"/>
            <w:hideMark/>
          </w:tcPr>
          <w:p w14:paraId="3923D0D7" w14:textId="77777777" w:rsidR="00785B70" w:rsidRPr="00005453" w:rsidRDefault="00785B70" w:rsidP="00785B70">
            <w:pPr>
              <w:rPr>
                <w:color w:val="000000"/>
                <w:sz w:val="14"/>
                <w:szCs w:val="14"/>
                <w:lang w:eastAsia="tr-TR"/>
              </w:rPr>
            </w:pPr>
            <w:r w:rsidRPr="00005453">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hideMark/>
          </w:tcPr>
          <w:p w14:paraId="2E0F955C"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26E1A851" w14:textId="041CFD8A"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1B61D344" w14:textId="484B64BF" w:rsidR="00785B70" w:rsidRPr="00005453" w:rsidRDefault="00785B70" w:rsidP="00785B70">
            <w:pPr>
              <w:jc w:val="right"/>
              <w:rPr>
                <w:sz w:val="14"/>
                <w:szCs w:val="14"/>
                <w:lang w:eastAsia="tr-TR"/>
              </w:rPr>
            </w:pPr>
            <w:r w:rsidRPr="00005453">
              <w:rPr>
                <w:sz w:val="14"/>
                <w:szCs w:val="14"/>
              </w:rPr>
              <w:t>-</w:t>
            </w:r>
          </w:p>
        </w:tc>
      </w:tr>
      <w:tr w:rsidR="00785B70" w:rsidRPr="00005453" w14:paraId="73C8B79A"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40A5EEF" w14:textId="77777777" w:rsidR="00785B70" w:rsidRPr="00005453" w:rsidRDefault="00785B70" w:rsidP="00785B70">
            <w:pPr>
              <w:rPr>
                <w:color w:val="000000"/>
                <w:sz w:val="14"/>
                <w:szCs w:val="14"/>
                <w:lang w:eastAsia="tr-TR"/>
              </w:rPr>
            </w:pPr>
            <w:r w:rsidRPr="00005453">
              <w:rPr>
                <w:color w:val="000000"/>
                <w:sz w:val="14"/>
                <w:szCs w:val="14"/>
                <w:lang w:val="en-US" w:eastAsia="tr-TR"/>
              </w:rPr>
              <w:t>20.2.</w:t>
            </w:r>
          </w:p>
        </w:tc>
        <w:tc>
          <w:tcPr>
            <w:tcW w:w="4253" w:type="dxa"/>
            <w:tcBorders>
              <w:top w:val="nil"/>
              <w:left w:val="single" w:sz="4" w:space="0" w:color="auto"/>
              <w:bottom w:val="nil"/>
              <w:right w:val="single" w:sz="4" w:space="0" w:color="auto"/>
            </w:tcBorders>
            <w:shd w:val="clear" w:color="auto" w:fill="auto"/>
            <w:hideMark/>
          </w:tcPr>
          <w:p w14:paraId="6CE8A940" w14:textId="77777777" w:rsidR="00785B70" w:rsidRPr="00005453" w:rsidRDefault="00785B70" w:rsidP="00785B70">
            <w:pPr>
              <w:rPr>
                <w:color w:val="000000"/>
                <w:sz w:val="14"/>
                <w:szCs w:val="14"/>
                <w:lang w:eastAsia="tr-TR"/>
              </w:rPr>
            </w:pPr>
            <w:r w:rsidRPr="00005453">
              <w:rPr>
                <w:color w:val="000000"/>
                <w:sz w:val="14"/>
                <w:szCs w:val="14"/>
                <w:lang w:eastAsia="tr-TR"/>
              </w:rPr>
              <w:t xml:space="preserve">İştirak, Bağlı Ortaklık ve Birlikte Kontrol Edilen Ortaklıklar (İş Ort.) </w:t>
            </w:r>
            <w:r w:rsidRPr="00005453">
              <w:rPr>
                <w:color w:val="000000"/>
                <w:sz w:val="14"/>
                <w:szCs w:val="14"/>
                <w:lang w:val="en-US" w:eastAsia="tr-TR"/>
              </w:rPr>
              <w:t>Satış Karları</w:t>
            </w:r>
          </w:p>
        </w:tc>
        <w:tc>
          <w:tcPr>
            <w:tcW w:w="619" w:type="dxa"/>
            <w:tcBorders>
              <w:top w:val="nil"/>
              <w:left w:val="single" w:sz="4" w:space="0" w:color="auto"/>
              <w:bottom w:val="nil"/>
              <w:right w:val="single" w:sz="4" w:space="0" w:color="auto"/>
            </w:tcBorders>
            <w:shd w:val="clear" w:color="auto" w:fill="auto"/>
            <w:noWrap/>
            <w:hideMark/>
          </w:tcPr>
          <w:p w14:paraId="34B1DF75"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26D651DD" w14:textId="5104DF86"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72208B64" w14:textId="29ABF589" w:rsidR="00785B70" w:rsidRPr="00005453" w:rsidRDefault="00785B70" w:rsidP="00785B70">
            <w:pPr>
              <w:jc w:val="right"/>
              <w:rPr>
                <w:sz w:val="14"/>
                <w:szCs w:val="14"/>
                <w:lang w:eastAsia="tr-TR"/>
              </w:rPr>
            </w:pPr>
            <w:r w:rsidRPr="00005453">
              <w:rPr>
                <w:sz w:val="14"/>
                <w:szCs w:val="14"/>
              </w:rPr>
              <w:t>-</w:t>
            </w:r>
          </w:p>
        </w:tc>
      </w:tr>
      <w:tr w:rsidR="00785B70" w:rsidRPr="00005453" w14:paraId="699A930B"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763873CC" w14:textId="77777777" w:rsidR="00785B70" w:rsidRPr="00005453" w:rsidRDefault="00785B70" w:rsidP="00785B70">
            <w:pPr>
              <w:rPr>
                <w:color w:val="000000"/>
                <w:sz w:val="14"/>
                <w:szCs w:val="14"/>
                <w:lang w:eastAsia="tr-TR"/>
              </w:rPr>
            </w:pPr>
            <w:r w:rsidRPr="00005453">
              <w:rPr>
                <w:color w:val="000000"/>
                <w:sz w:val="14"/>
                <w:szCs w:val="14"/>
                <w:lang w:val="en-US" w:eastAsia="tr-TR"/>
              </w:rPr>
              <w:t>20.3.</w:t>
            </w:r>
          </w:p>
        </w:tc>
        <w:tc>
          <w:tcPr>
            <w:tcW w:w="4253" w:type="dxa"/>
            <w:tcBorders>
              <w:top w:val="nil"/>
              <w:left w:val="single" w:sz="4" w:space="0" w:color="auto"/>
              <w:bottom w:val="nil"/>
              <w:right w:val="single" w:sz="4" w:space="0" w:color="auto"/>
            </w:tcBorders>
            <w:shd w:val="clear" w:color="auto" w:fill="auto"/>
            <w:hideMark/>
          </w:tcPr>
          <w:p w14:paraId="6EBF45D4" w14:textId="77777777" w:rsidR="00785B70" w:rsidRPr="00005453" w:rsidRDefault="00785B70" w:rsidP="00785B70">
            <w:pPr>
              <w:rPr>
                <w:color w:val="000000"/>
                <w:sz w:val="14"/>
                <w:szCs w:val="14"/>
                <w:lang w:eastAsia="tr-TR"/>
              </w:rPr>
            </w:pPr>
            <w:r w:rsidRPr="00005453">
              <w:rPr>
                <w:color w:val="000000"/>
                <w:sz w:val="14"/>
                <w:szCs w:val="14"/>
                <w:lang w:val="en-US"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hideMark/>
          </w:tcPr>
          <w:p w14:paraId="3AE6C56F"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4231110F" w14:textId="6E1E014A"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0FB3672B" w14:textId="60979777" w:rsidR="00785B70" w:rsidRPr="00005453" w:rsidRDefault="00785B70" w:rsidP="00785B70">
            <w:pPr>
              <w:jc w:val="right"/>
              <w:rPr>
                <w:sz w:val="14"/>
                <w:szCs w:val="14"/>
                <w:lang w:eastAsia="tr-TR"/>
              </w:rPr>
            </w:pPr>
            <w:r w:rsidRPr="00005453">
              <w:rPr>
                <w:sz w:val="14"/>
                <w:szCs w:val="14"/>
              </w:rPr>
              <w:t>-</w:t>
            </w:r>
          </w:p>
        </w:tc>
      </w:tr>
      <w:tr w:rsidR="00785B70" w:rsidRPr="00005453" w14:paraId="7CAE3346"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6A07FDE9"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XXI.</w:t>
            </w:r>
          </w:p>
        </w:tc>
        <w:tc>
          <w:tcPr>
            <w:tcW w:w="4253" w:type="dxa"/>
            <w:tcBorders>
              <w:top w:val="nil"/>
              <w:left w:val="single" w:sz="4" w:space="0" w:color="auto"/>
              <w:bottom w:val="nil"/>
              <w:right w:val="single" w:sz="4" w:space="0" w:color="auto"/>
            </w:tcBorders>
            <w:shd w:val="clear" w:color="auto" w:fill="auto"/>
            <w:hideMark/>
          </w:tcPr>
          <w:p w14:paraId="4FA4C995"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DURDURULAN FAALİYETLERDEN GİDERLER (-)</w:t>
            </w:r>
          </w:p>
        </w:tc>
        <w:tc>
          <w:tcPr>
            <w:tcW w:w="619" w:type="dxa"/>
            <w:tcBorders>
              <w:top w:val="nil"/>
              <w:left w:val="single" w:sz="4" w:space="0" w:color="auto"/>
              <w:bottom w:val="nil"/>
              <w:right w:val="single" w:sz="4" w:space="0" w:color="auto"/>
            </w:tcBorders>
            <w:shd w:val="clear" w:color="auto" w:fill="auto"/>
            <w:noWrap/>
            <w:hideMark/>
          </w:tcPr>
          <w:p w14:paraId="7FD62F38"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6DE6C3B" w14:textId="60AEAB5D"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2AAE504F" w14:textId="6EFD1735" w:rsidR="00785B70" w:rsidRPr="00005453" w:rsidRDefault="00785B70" w:rsidP="00785B70">
            <w:pPr>
              <w:jc w:val="right"/>
              <w:rPr>
                <w:b/>
                <w:bCs/>
                <w:sz w:val="14"/>
                <w:szCs w:val="14"/>
                <w:lang w:eastAsia="tr-TR"/>
              </w:rPr>
            </w:pPr>
            <w:r w:rsidRPr="00005453">
              <w:rPr>
                <w:sz w:val="14"/>
                <w:szCs w:val="14"/>
              </w:rPr>
              <w:t>-</w:t>
            </w:r>
          </w:p>
        </w:tc>
      </w:tr>
      <w:tr w:rsidR="00785B70" w:rsidRPr="00005453" w14:paraId="0979D1BE"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41F1FABE" w14:textId="77777777" w:rsidR="00785B70" w:rsidRPr="00005453" w:rsidRDefault="00785B70" w:rsidP="00785B70">
            <w:pPr>
              <w:rPr>
                <w:color w:val="000000"/>
                <w:sz w:val="14"/>
                <w:szCs w:val="14"/>
                <w:lang w:eastAsia="tr-TR"/>
              </w:rPr>
            </w:pPr>
            <w:r w:rsidRPr="00005453">
              <w:rPr>
                <w:color w:val="000000"/>
                <w:sz w:val="14"/>
                <w:szCs w:val="14"/>
                <w:lang w:val="en-US" w:eastAsia="tr-TR"/>
              </w:rPr>
              <w:t>21.1.</w:t>
            </w:r>
          </w:p>
        </w:tc>
        <w:tc>
          <w:tcPr>
            <w:tcW w:w="4253" w:type="dxa"/>
            <w:tcBorders>
              <w:top w:val="nil"/>
              <w:left w:val="single" w:sz="4" w:space="0" w:color="auto"/>
              <w:bottom w:val="nil"/>
              <w:right w:val="single" w:sz="4" w:space="0" w:color="auto"/>
            </w:tcBorders>
            <w:shd w:val="clear" w:color="auto" w:fill="auto"/>
            <w:hideMark/>
          </w:tcPr>
          <w:p w14:paraId="7B2D1DAB" w14:textId="77777777" w:rsidR="00785B70" w:rsidRPr="00005453" w:rsidRDefault="00785B70" w:rsidP="00785B70">
            <w:pPr>
              <w:rPr>
                <w:color w:val="000000"/>
                <w:sz w:val="14"/>
                <w:szCs w:val="14"/>
                <w:lang w:eastAsia="tr-TR"/>
              </w:rPr>
            </w:pPr>
            <w:r w:rsidRPr="00005453">
              <w:rPr>
                <w:color w:val="000000"/>
                <w:sz w:val="14"/>
                <w:szCs w:val="14"/>
                <w:lang w:val="en-US"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hideMark/>
          </w:tcPr>
          <w:p w14:paraId="0CD81060"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57F8F20A" w14:textId="605B30D2"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7C60627A" w14:textId="327A558C" w:rsidR="00785B70" w:rsidRPr="00005453" w:rsidRDefault="00785B70" w:rsidP="00785B70">
            <w:pPr>
              <w:jc w:val="right"/>
              <w:rPr>
                <w:sz w:val="14"/>
                <w:szCs w:val="14"/>
                <w:lang w:eastAsia="tr-TR"/>
              </w:rPr>
            </w:pPr>
            <w:r w:rsidRPr="00005453">
              <w:rPr>
                <w:sz w:val="14"/>
                <w:szCs w:val="14"/>
              </w:rPr>
              <w:t>-</w:t>
            </w:r>
          </w:p>
        </w:tc>
      </w:tr>
      <w:tr w:rsidR="00785B70" w:rsidRPr="00005453" w14:paraId="5C4CA1B2"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217013BB" w14:textId="77777777" w:rsidR="00785B70" w:rsidRPr="00005453" w:rsidRDefault="00785B70" w:rsidP="00785B70">
            <w:pPr>
              <w:rPr>
                <w:color w:val="000000"/>
                <w:sz w:val="14"/>
                <w:szCs w:val="14"/>
                <w:lang w:eastAsia="tr-TR"/>
              </w:rPr>
            </w:pPr>
            <w:r w:rsidRPr="00005453">
              <w:rPr>
                <w:color w:val="000000"/>
                <w:sz w:val="14"/>
                <w:szCs w:val="14"/>
                <w:lang w:val="en-US" w:eastAsia="tr-TR"/>
              </w:rPr>
              <w:t>21.2.</w:t>
            </w:r>
          </w:p>
        </w:tc>
        <w:tc>
          <w:tcPr>
            <w:tcW w:w="4253" w:type="dxa"/>
            <w:tcBorders>
              <w:top w:val="nil"/>
              <w:left w:val="single" w:sz="4" w:space="0" w:color="auto"/>
              <w:bottom w:val="nil"/>
              <w:right w:val="single" w:sz="4" w:space="0" w:color="auto"/>
            </w:tcBorders>
            <w:shd w:val="clear" w:color="auto" w:fill="auto"/>
            <w:hideMark/>
          </w:tcPr>
          <w:p w14:paraId="63B1BF21" w14:textId="77777777" w:rsidR="00785B70" w:rsidRPr="00005453" w:rsidRDefault="00785B70" w:rsidP="00785B70">
            <w:pPr>
              <w:rPr>
                <w:color w:val="000000"/>
                <w:sz w:val="14"/>
                <w:szCs w:val="14"/>
                <w:lang w:eastAsia="tr-TR"/>
              </w:rPr>
            </w:pPr>
            <w:r w:rsidRPr="00005453">
              <w:rPr>
                <w:color w:val="000000"/>
                <w:sz w:val="14"/>
                <w:szCs w:val="14"/>
                <w:lang w:eastAsia="tr-TR"/>
              </w:rPr>
              <w:t xml:space="preserve">İştirak, Bağlı Ortaklık ve Birlikte Kontrol Edilen Ortaklıklar (İş Ort.) </w:t>
            </w:r>
            <w:r w:rsidRPr="00005453">
              <w:rPr>
                <w:color w:val="000000"/>
                <w:sz w:val="14"/>
                <w:szCs w:val="14"/>
                <w:lang w:val="en-US" w:eastAsia="tr-TR"/>
              </w:rPr>
              <w:t>Satış Zararları</w:t>
            </w:r>
          </w:p>
        </w:tc>
        <w:tc>
          <w:tcPr>
            <w:tcW w:w="619" w:type="dxa"/>
            <w:tcBorders>
              <w:top w:val="nil"/>
              <w:left w:val="single" w:sz="4" w:space="0" w:color="auto"/>
              <w:bottom w:val="nil"/>
              <w:right w:val="single" w:sz="4" w:space="0" w:color="auto"/>
            </w:tcBorders>
            <w:shd w:val="clear" w:color="auto" w:fill="auto"/>
            <w:noWrap/>
            <w:hideMark/>
          </w:tcPr>
          <w:p w14:paraId="34FE38CB"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17D59B7D" w14:textId="5B59FB63"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331B70B6" w14:textId="5AAE9A93" w:rsidR="00785B70" w:rsidRPr="00005453" w:rsidRDefault="00785B70" w:rsidP="00785B70">
            <w:pPr>
              <w:jc w:val="right"/>
              <w:rPr>
                <w:sz w:val="14"/>
                <w:szCs w:val="14"/>
                <w:lang w:eastAsia="tr-TR"/>
              </w:rPr>
            </w:pPr>
            <w:r w:rsidRPr="00005453">
              <w:rPr>
                <w:sz w:val="14"/>
                <w:szCs w:val="14"/>
              </w:rPr>
              <w:t>-</w:t>
            </w:r>
          </w:p>
        </w:tc>
      </w:tr>
      <w:tr w:rsidR="00785B70" w:rsidRPr="00005453" w14:paraId="1BEC10D2"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02E41963" w14:textId="77777777" w:rsidR="00785B70" w:rsidRPr="00005453" w:rsidRDefault="00785B70" w:rsidP="00785B70">
            <w:pPr>
              <w:rPr>
                <w:color w:val="000000"/>
                <w:sz w:val="14"/>
                <w:szCs w:val="14"/>
                <w:lang w:eastAsia="tr-TR"/>
              </w:rPr>
            </w:pPr>
            <w:r w:rsidRPr="00005453">
              <w:rPr>
                <w:color w:val="000000"/>
                <w:sz w:val="14"/>
                <w:szCs w:val="14"/>
                <w:lang w:val="en-US" w:eastAsia="tr-TR"/>
              </w:rPr>
              <w:t>21.3.</w:t>
            </w:r>
          </w:p>
        </w:tc>
        <w:tc>
          <w:tcPr>
            <w:tcW w:w="4253" w:type="dxa"/>
            <w:tcBorders>
              <w:top w:val="nil"/>
              <w:left w:val="single" w:sz="4" w:space="0" w:color="auto"/>
              <w:bottom w:val="nil"/>
              <w:right w:val="single" w:sz="4" w:space="0" w:color="auto"/>
            </w:tcBorders>
            <w:shd w:val="clear" w:color="auto" w:fill="auto"/>
            <w:hideMark/>
          </w:tcPr>
          <w:p w14:paraId="03AE97C7" w14:textId="77777777" w:rsidR="00785B70" w:rsidRPr="00005453" w:rsidRDefault="00785B70" w:rsidP="00785B70">
            <w:pPr>
              <w:rPr>
                <w:color w:val="000000"/>
                <w:sz w:val="14"/>
                <w:szCs w:val="14"/>
                <w:lang w:eastAsia="tr-TR"/>
              </w:rPr>
            </w:pPr>
            <w:r w:rsidRPr="00005453">
              <w:rPr>
                <w:color w:val="000000"/>
                <w:sz w:val="14"/>
                <w:szCs w:val="14"/>
                <w:lang w:val="en-US"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hideMark/>
          </w:tcPr>
          <w:p w14:paraId="5C01523C"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9BCA752" w14:textId="0028D3FB"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64FF5B5B" w14:textId="29409189" w:rsidR="00785B70" w:rsidRPr="00005453" w:rsidRDefault="00785B70" w:rsidP="00785B70">
            <w:pPr>
              <w:jc w:val="right"/>
              <w:rPr>
                <w:sz w:val="14"/>
                <w:szCs w:val="14"/>
                <w:lang w:eastAsia="tr-TR"/>
              </w:rPr>
            </w:pPr>
            <w:r w:rsidRPr="00005453">
              <w:rPr>
                <w:sz w:val="14"/>
                <w:szCs w:val="14"/>
              </w:rPr>
              <w:t>-</w:t>
            </w:r>
          </w:p>
        </w:tc>
      </w:tr>
      <w:tr w:rsidR="00785B70" w:rsidRPr="00005453" w14:paraId="18D60225"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4A4E10AB"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XXII.</w:t>
            </w:r>
          </w:p>
        </w:tc>
        <w:tc>
          <w:tcPr>
            <w:tcW w:w="4253" w:type="dxa"/>
            <w:tcBorders>
              <w:top w:val="nil"/>
              <w:left w:val="single" w:sz="4" w:space="0" w:color="auto"/>
              <w:bottom w:val="nil"/>
              <w:right w:val="single" w:sz="4" w:space="0" w:color="auto"/>
            </w:tcBorders>
            <w:shd w:val="clear" w:color="auto" w:fill="auto"/>
            <w:noWrap/>
            <w:hideMark/>
          </w:tcPr>
          <w:p w14:paraId="2FE25BCB" w14:textId="77777777" w:rsidR="00785B70" w:rsidRPr="00005453" w:rsidRDefault="00785B70" w:rsidP="00785B70">
            <w:pPr>
              <w:rPr>
                <w:b/>
                <w:bCs/>
                <w:color w:val="000000"/>
                <w:sz w:val="14"/>
                <w:szCs w:val="14"/>
                <w:lang w:eastAsia="tr-TR"/>
              </w:rPr>
            </w:pPr>
            <w:r w:rsidRPr="00005453">
              <w:rPr>
                <w:b/>
                <w:bCs/>
                <w:color w:val="000000"/>
                <w:sz w:val="14"/>
                <w:szCs w:val="14"/>
                <w:lang w:val="de-DE"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hideMark/>
          </w:tcPr>
          <w:p w14:paraId="19E85543"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011BAF01" w14:textId="26E52BC4"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371CE45B" w14:textId="26EDD96B" w:rsidR="00785B70" w:rsidRPr="00005453" w:rsidRDefault="00785B70" w:rsidP="00785B70">
            <w:pPr>
              <w:jc w:val="right"/>
              <w:rPr>
                <w:b/>
                <w:bCs/>
                <w:sz w:val="14"/>
                <w:szCs w:val="14"/>
                <w:lang w:eastAsia="tr-TR"/>
              </w:rPr>
            </w:pPr>
            <w:r w:rsidRPr="00005453">
              <w:rPr>
                <w:sz w:val="14"/>
                <w:szCs w:val="14"/>
              </w:rPr>
              <w:t>-</w:t>
            </w:r>
          </w:p>
        </w:tc>
      </w:tr>
      <w:tr w:rsidR="00785B70" w:rsidRPr="00005453" w14:paraId="21FA10FF"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651CFA90"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XXIII.</w:t>
            </w:r>
          </w:p>
        </w:tc>
        <w:tc>
          <w:tcPr>
            <w:tcW w:w="4253" w:type="dxa"/>
            <w:tcBorders>
              <w:top w:val="nil"/>
              <w:left w:val="single" w:sz="4" w:space="0" w:color="auto"/>
              <w:bottom w:val="nil"/>
              <w:right w:val="single" w:sz="4" w:space="0" w:color="auto"/>
            </w:tcBorders>
            <w:shd w:val="clear" w:color="auto" w:fill="auto"/>
            <w:hideMark/>
          </w:tcPr>
          <w:p w14:paraId="23C55E33"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65BB95FA"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687594A6" w14:textId="0AA630E9"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537EBA81" w14:textId="4A5E09E2" w:rsidR="00785B70" w:rsidRPr="00005453" w:rsidRDefault="00785B70" w:rsidP="00785B70">
            <w:pPr>
              <w:jc w:val="right"/>
              <w:rPr>
                <w:b/>
                <w:bCs/>
                <w:sz w:val="14"/>
                <w:szCs w:val="14"/>
                <w:lang w:eastAsia="tr-TR"/>
              </w:rPr>
            </w:pPr>
            <w:r w:rsidRPr="00005453">
              <w:rPr>
                <w:sz w:val="14"/>
                <w:szCs w:val="14"/>
              </w:rPr>
              <w:t>-</w:t>
            </w:r>
          </w:p>
        </w:tc>
      </w:tr>
      <w:tr w:rsidR="00785B70" w:rsidRPr="00005453" w14:paraId="56DD9F75"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116AD012" w14:textId="77777777" w:rsidR="00785B70" w:rsidRPr="00005453" w:rsidRDefault="00785B70" w:rsidP="00785B70">
            <w:pPr>
              <w:rPr>
                <w:color w:val="000000"/>
                <w:sz w:val="14"/>
                <w:szCs w:val="14"/>
                <w:lang w:eastAsia="tr-TR"/>
              </w:rPr>
            </w:pPr>
            <w:r w:rsidRPr="00005453">
              <w:rPr>
                <w:color w:val="000000"/>
                <w:sz w:val="14"/>
                <w:szCs w:val="14"/>
                <w:lang w:val="en-US" w:eastAsia="tr-TR"/>
              </w:rPr>
              <w:t>23.1.</w:t>
            </w:r>
          </w:p>
        </w:tc>
        <w:tc>
          <w:tcPr>
            <w:tcW w:w="4253" w:type="dxa"/>
            <w:tcBorders>
              <w:top w:val="nil"/>
              <w:left w:val="single" w:sz="4" w:space="0" w:color="auto"/>
              <w:bottom w:val="nil"/>
              <w:right w:val="single" w:sz="4" w:space="0" w:color="auto"/>
            </w:tcBorders>
            <w:shd w:val="clear" w:color="auto" w:fill="auto"/>
            <w:hideMark/>
          </w:tcPr>
          <w:p w14:paraId="49BCF650" w14:textId="77777777" w:rsidR="00785B70" w:rsidRPr="00005453" w:rsidRDefault="00785B70" w:rsidP="00785B70">
            <w:pPr>
              <w:rPr>
                <w:color w:val="000000"/>
                <w:sz w:val="14"/>
                <w:szCs w:val="14"/>
                <w:lang w:eastAsia="tr-TR"/>
              </w:rPr>
            </w:pPr>
            <w:r w:rsidRPr="00005453">
              <w:rPr>
                <w:color w:val="000000"/>
                <w:sz w:val="14"/>
                <w:szCs w:val="14"/>
                <w:lang w:val="en-US" w:eastAsia="tr-TR"/>
              </w:rPr>
              <w:t>Cari Vergi Karşılığı</w:t>
            </w:r>
          </w:p>
        </w:tc>
        <w:tc>
          <w:tcPr>
            <w:tcW w:w="619" w:type="dxa"/>
            <w:tcBorders>
              <w:top w:val="nil"/>
              <w:left w:val="single" w:sz="4" w:space="0" w:color="auto"/>
              <w:bottom w:val="nil"/>
              <w:right w:val="single" w:sz="4" w:space="0" w:color="auto"/>
            </w:tcBorders>
            <w:shd w:val="clear" w:color="auto" w:fill="auto"/>
            <w:noWrap/>
            <w:hideMark/>
          </w:tcPr>
          <w:p w14:paraId="7142489B"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16E85194" w14:textId="686A87B4"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179B0150" w14:textId="705D8BC6" w:rsidR="00785B70" w:rsidRPr="00005453" w:rsidRDefault="00785B70" w:rsidP="00785B70">
            <w:pPr>
              <w:jc w:val="right"/>
              <w:rPr>
                <w:sz w:val="14"/>
                <w:szCs w:val="14"/>
                <w:lang w:eastAsia="tr-TR"/>
              </w:rPr>
            </w:pPr>
            <w:r w:rsidRPr="00005453">
              <w:rPr>
                <w:sz w:val="14"/>
                <w:szCs w:val="14"/>
              </w:rPr>
              <w:t>-</w:t>
            </w:r>
          </w:p>
        </w:tc>
      </w:tr>
      <w:tr w:rsidR="00785B70" w:rsidRPr="00005453" w14:paraId="263B6E3E"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0F3B22CC" w14:textId="77777777" w:rsidR="00785B70" w:rsidRPr="00005453" w:rsidRDefault="00785B70" w:rsidP="00785B70">
            <w:pPr>
              <w:rPr>
                <w:color w:val="000000"/>
                <w:sz w:val="14"/>
                <w:szCs w:val="14"/>
                <w:lang w:eastAsia="tr-TR"/>
              </w:rPr>
            </w:pPr>
            <w:r w:rsidRPr="00005453">
              <w:rPr>
                <w:color w:val="000000"/>
                <w:sz w:val="14"/>
                <w:szCs w:val="14"/>
                <w:lang w:val="en-US" w:eastAsia="tr-TR"/>
              </w:rPr>
              <w:t>23.2.</w:t>
            </w:r>
          </w:p>
        </w:tc>
        <w:tc>
          <w:tcPr>
            <w:tcW w:w="4253" w:type="dxa"/>
            <w:tcBorders>
              <w:top w:val="nil"/>
              <w:left w:val="single" w:sz="4" w:space="0" w:color="auto"/>
              <w:bottom w:val="nil"/>
              <w:right w:val="single" w:sz="4" w:space="0" w:color="auto"/>
            </w:tcBorders>
            <w:shd w:val="clear" w:color="auto" w:fill="auto"/>
            <w:hideMark/>
          </w:tcPr>
          <w:p w14:paraId="6AB2B709" w14:textId="77777777" w:rsidR="00785B70" w:rsidRPr="00005453" w:rsidRDefault="00785B70" w:rsidP="00785B70">
            <w:pPr>
              <w:rPr>
                <w:color w:val="000000"/>
                <w:sz w:val="14"/>
                <w:szCs w:val="14"/>
                <w:lang w:eastAsia="tr-TR"/>
              </w:rPr>
            </w:pPr>
            <w:r w:rsidRPr="00005453">
              <w:rPr>
                <w:color w:val="000000"/>
                <w:sz w:val="14"/>
                <w:szCs w:val="14"/>
                <w:lang w:val="en-US" w:eastAsia="tr-TR"/>
              </w:rPr>
              <w:t>Ertelenmiş Vergi Gider Etkisi (+)</w:t>
            </w:r>
          </w:p>
        </w:tc>
        <w:tc>
          <w:tcPr>
            <w:tcW w:w="619" w:type="dxa"/>
            <w:tcBorders>
              <w:top w:val="nil"/>
              <w:left w:val="single" w:sz="4" w:space="0" w:color="auto"/>
              <w:bottom w:val="nil"/>
              <w:right w:val="single" w:sz="4" w:space="0" w:color="auto"/>
            </w:tcBorders>
            <w:shd w:val="clear" w:color="auto" w:fill="auto"/>
            <w:noWrap/>
            <w:hideMark/>
          </w:tcPr>
          <w:p w14:paraId="6524C6AF"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4EE70F6D" w14:textId="3D78E03C"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02C544A9" w14:textId="4BAA5A6D" w:rsidR="00785B70" w:rsidRPr="00005453" w:rsidRDefault="00785B70" w:rsidP="00785B70">
            <w:pPr>
              <w:jc w:val="right"/>
              <w:rPr>
                <w:sz w:val="14"/>
                <w:szCs w:val="14"/>
                <w:lang w:eastAsia="tr-TR"/>
              </w:rPr>
            </w:pPr>
            <w:r w:rsidRPr="00005453">
              <w:rPr>
                <w:sz w:val="14"/>
                <w:szCs w:val="14"/>
              </w:rPr>
              <w:t>-</w:t>
            </w:r>
          </w:p>
        </w:tc>
      </w:tr>
      <w:tr w:rsidR="00785B70" w:rsidRPr="00005453" w14:paraId="365B76F5"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510112A5" w14:textId="77777777" w:rsidR="00785B70" w:rsidRPr="00005453" w:rsidRDefault="00785B70" w:rsidP="00785B70">
            <w:pPr>
              <w:rPr>
                <w:color w:val="000000"/>
                <w:sz w:val="14"/>
                <w:szCs w:val="14"/>
                <w:lang w:eastAsia="tr-TR"/>
              </w:rPr>
            </w:pPr>
            <w:r w:rsidRPr="00005453">
              <w:rPr>
                <w:color w:val="000000"/>
                <w:sz w:val="14"/>
                <w:szCs w:val="14"/>
                <w:lang w:val="en-US" w:eastAsia="tr-TR"/>
              </w:rPr>
              <w:t>23.3.</w:t>
            </w:r>
          </w:p>
        </w:tc>
        <w:tc>
          <w:tcPr>
            <w:tcW w:w="4253" w:type="dxa"/>
            <w:tcBorders>
              <w:top w:val="nil"/>
              <w:left w:val="single" w:sz="4" w:space="0" w:color="auto"/>
              <w:bottom w:val="nil"/>
              <w:right w:val="single" w:sz="4" w:space="0" w:color="auto"/>
            </w:tcBorders>
            <w:shd w:val="clear" w:color="auto" w:fill="auto"/>
            <w:hideMark/>
          </w:tcPr>
          <w:p w14:paraId="313520C7" w14:textId="77777777" w:rsidR="00785B70" w:rsidRPr="00005453" w:rsidRDefault="00785B70" w:rsidP="00785B70">
            <w:pPr>
              <w:rPr>
                <w:color w:val="000000"/>
                <w:sz w:val="14"/>
                <w:szCs w:val="14"/>
                <w:lang w:eastAsia="tr-TR"/>
              </w:rPr>
            </w:pPr>
            <w:r w:rsidRPr="00005453">
              <w:rPr>
                <w:color w:val="000000"/>
                <w:sz w:val="14"/>
                <w:szCs w:val="14"/>
                <w:lang w:val="en-US" w:eastAsia="tr-TR"/>
              </w:rPr>
              <w:t>Ertelenmiş Vergi Gelir Etkisi (-)</w:t>
            </w:r>
          </w:p>
        </w:tc>
        <w:tc>
          <w:tcPr>
            <w:tcW w:w="619" w:type="dxa"/>
            <w:tcBorders>
              <w:top w:val="nil"/>
              <w:left w:val="single" w:sz="4" w:space="0" w:color="auto"/>
              <w:bottom w:val="nil"/>
              <w:right w:val="single" w:sz="4" w:space="0" w:color="auto"/>
            </w:tcBorders>
            <w:shd w:val="clear" w:color="auto" w:fill="auto"/>
            <w:noWrap/>
            <w:hideMark/>
          </w:tcPr>
          <w:p w14:paraId="5E374E27"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0ABE2289" w14:textId="4F2CB212" w:rsidR="00785B70" w:rsidRPr="00005453" w:rsidRDefault="00785B70" w:rsidP="00785B70">
            <w:pPr>
              <w:jc w:val="right"/>
              <w:rPr>
                <w:sz w:val="14"/>
                <w:szCs w:val="16"/>
              </w:rPr>
            </w:pPr>
            <w:r w:rsidRPr="00005453">
              <w:rPr>
                <w:sz w:val="14"/>
                <w:szCs w:val="16"/>
              </w:rPr>
              <w:t>-</w:t>
            </w:r>
          </w:p>
        </w:tc>
        <w:tc>
          <w:tcPr>
            <w:tcW w:w="1946" w:type="dxa"/>
            <w:tcBorders>
              <w:top w:val="nil"/>
              <w:left w:val="nil"/>
              <w:bottom w:val="nil"/>
              <w:right w:val="single" w:sz="4" w:space="0" w:color="auto"/>
            </w:tcBorders>
            <w:shd w:val="clear" w:color="auto" w:fill="auto"/>
            <w:vAlign w:val="center"/>
            <w:hideMark/>
          </w:tcPr>
          <w:p w14:paraId="11CEBDBE" w14:textId="202311FD" w:rsidR="00785B70" w:rsidRPr="00005453" w:rsidRDefault="00785B70" w:rsidP="00785B70">
            <w:pPr>
              <w:jc w:val="right"/>
              <w:rPr>
                <w:sz w:val="14"/>
                <w:szCs w:val="14"/>
                <w:lang w:eastAsia="tr-TR"/>
              </w:rPr>
            </w:pPr>
            <w:r w:rsidRPr="00005453">
              <w:rPr>
                <w:sz w:val="14"/>
                <w:szCs w:val="14"/>
              </w:rPr>
              <w:t>-</w:t>
            </w:r>
          </w:p>
        </w:tc>
      </w:tr>
      <w:tr w:rsidR="00785B70" w:rsidRPr="00005453" w14:paraId="502A910B" w14:textId="77777777" w:rsidTr="00C07B3E">
        <w:trPr>
          <w:divId w:val="1497571832"/>
          <w:trHeight w:val="57"/>
        </w:trPr>
        <w:tc>
          <w:tcPr>
            <w:tcW w:w="562" w:type="dxa"/>
            <w:tcBorders>
              <w:top w:val="nil"/>
              <w:left w:val="single" w:sz="4" w:space="0" w:color="auto"/>
              <w:bottom w:val="nil"/>
              <w:right w:val="single" w:sz="4" w:space="0" w:color="auto"/>
            </w:tcBorders>
            <w:shd w:val="clear" w:color="auto" w:fill="auto"/>
            <w:noWrap/>
            <w:hideMark/>
          </w:tcPr>
          <w:p w14:paraId="6DEF5BBC"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XXIV.</w:t>
            </w:r>
          </w:p>
        </w:tc>
        <w:tc>
          <w:tcPr>
            <w:tcW w:w="4253" w:type="dxa"/>
            <w:tcBorders>
              <w:top w:val="nil"/>
              <w:left w:val="single" w:sz="4" w:space="0" w:color="auto"/>
              <w:bottom w:val="nil"/>
              <w:right w:val="single" w:sz="4" w:space="0" w:color="auto"/>
            </w:tcBorders>
            <w:shd w:val="clear" w:color="auto" w:fill="auto"/>
            <w:noWrap/>
            <w:hideMark/>
          </w:tcPr>
          <w:p w14:paraId="129F271F" w14:textId="77777777" w:rsidR="00785B70" w:rsidRPr="00005453" w:rsidRDefault="00785B70" w:rsidP="00785B70">
            <w:pPr>
              <w:rPr>
                <w:b/>
                <w:bCs/>
                <w:color w:val="000000"/>
                <w:sz w:val="14"/>
                <w:szCs w:val="14"/>
                <w:lang w:eastAsia="tr-TR"/>
              </w:rPr>
            </w:pPr>
            <w:r w:rsidRPr="00005453">
              <w:rPr>
                <w:b/>
                <w:bCs/>
                <w:color w:val="000000"/>
                <w:sz w:val="14"/>
                <w:szCs w:val="14"/>
                <w:lang w:val="de-DE"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hideMark/>
          </w:tcPr>
          <w:p w14:paraId="7EAC926B" w14:textId="77777777" w:rsidR="00785B70" w:rsidRPr="00005453" w:rsidRDefault="00785B70" w:rsidP="00785B70">
            <w:pPr>
              <w:jc w:val="center"/>
              <w:rPr>
                <w:b/>
                <w:bCs/>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D7A21FC" w14:textId="367B13DE" w:rsidR="00785B70" w:rsidRPr="00005453" w:rsidRDefault="00785B70" w:rsidP="00785B70">
            <w:pPr>
              <w:jc w:val="right"/>
              <w:rPr>
                <w:sz w:val="14"/>
                <w:szCs w:val="16"/>
              </w:rPr>
            </w:pPr>
            <w:r w:rsidRPr="00005453">
              <w:rPr>
                <w:b/>
                <w:bCs/>
                <w:sz w:val="14"/>
                <w:szCs w:val="16"/>
              </w:rPr>
              <w:t>-</w:t>
            </w:r>
          </w:p>
        </w:tc>
        <w:tc>
          <w:tcPr>
            <w:tcW w:w="1946" w:type="dxa"/>
            <w:tcBorders>
              <w:top w:val="nil"/>
              <w:left w:val="nil"/>
              <w:bottom w:val="nil"/>
              <w:right w:val="single" w:sz="4" w:space="0" w:color="auto"/>
            </w:tcBorders>
            <w:shd w:val="clear" w:color="auto" w:fill="auto"/>
            <w:vAlign w:val="center"/>
            <w:hideMark/>
          </w:tcPr>
          <w:p w14:paraId="0DB19DC7" w14:textId="4D8EAD63" w:rsidR="00785B70" w:rsidRPr="00005453" w:rsidRDefault="00785B70" w:rsidP="00785B70">
            <w:pPr>
              <w:jc w:val="right"/>
              <w:rPr>
                <w:b/>
                <w:bCs/>
                <w:sz w:val="14"/>
                <w:szCs w:val="14"/>
                <w:lang w:eastAsia="tr-TR"/>
              </w:rPr>
            </w:pPr>
            <w:r w:rsidRPr="00005453">
              <w:rPr>
                <w:sz w:val="14"/>
                <w:szCs w:val="14"/>
              </w:rPr>
              <w:t>-</w:t>
            </w:r>
          </w:p>
        </w:tc>
      </w:tr>
      <w:tr w:rsidR="00785B70" w:rsidRPr="00005453" w14:paraId="18922282" w14:textId="77777777" w:rsidTr="00C07B3E">
        <w:trPr>
          <w:divId w:val="1497571832"/>
          <w:trHeight w:val="90"/>
        </w:trPr>
        <w:tc>
          <w:tcPr>
            <w:tcW w:w="562" w:type="dxa"/>
            <w:tcBorders>
              <w:top w:val="nil"/>
              <w:left w:val="single" w:sz="4" w:space="0" w:color="auto"/>
              <w:bottom w:val="nil"/>
              <w:right w:val="single" w:sz="4" w:space="0" w:color="auto"/>
            </w:tcBorders>
            <w:shd w:val="clear" w:color="auto" w:fill="auto"/>
            <w:noWrap/>
            <w:hideMark/>
          </w:tcPr>
          <w:p w14:paraId="0C0B42B8"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XXV.</w:t>
            </w:r>
          </w:p>
        </w:tc>
        <w:tc>
          <w:tcPr>
            <w:tcW w:w="4253" w:type="dxa"/>
            <w:tcBorders>
              <w:top w:val="nil"/>
              <w:left w:val="single" w:sz="4" w:space="0" w:color="auto"/>
              <w:bottom w:val="nil"/>
              <w:right w:val="single" w:sz="4" w:space="0" w:color="auto"/>
            </w:tcBorders>
            <w:shd w:val="clear" w:color="auto" w:fill="auto"/>
            <w:hideMark/>
          </w:tcPr>
          <w:p w14:paraId="270B39A7" w14:textId="77777777" w:rsidR="00785B70" w:rsidRPr="00005453" w:rsidRDefault="00785B70" w:rsidP="00785B70">
            <w:pPr>
              <w:rPr>
                <w:b/>
                <w:bCs/>
                <w:color w:val="000000"/>
                <w:sz w:val="14"/>
                <w:szCs w:val="14"/>
                <w:lang w:eastAsia="tr-TR"/>
              </w:rPr>
            </w:pPr>
            <w:r w:rsidRPr="00005453">
              <w:rPr>
                <w:b/>
                <w:bCs/>
                <w:color w:val="000000"/>
                <w:sz w:val="14"/>
                <w:szCs w:val="14"/>
                <w:lang w:val="de-DE" w:eastAsia="tr-TR"/>
              </w:rPr>
              <w:t>DÖNEM NET KARI/ZARARI (XIX+XXIV)</w:t>
            </w:r>
          </w:p>
        </w:tc>
        <w:tc>
          <w:tcPr>
            <w:tcW w:w="619" w:type="dxa"/>
            <w:tcBorders>
              <w:top w:val="nil"/>
              <w:left w:val="single" w:sz="4" w:space="0" w:color="auto"/>
              <w:bottom w:val="nil"/>
              <w:right w:val="single" w:sz="4" w:space="0" w:color="auto"/>
            </w:tcBorders>
            <w:shd w:val="clear" w:color="auto" w:fill="auto"/>
            <w:noWrap/>
            <w:hideMark/>
          </w:tcPr>
          <w:p w14:paraId="74AF86F8" w14:textId="77777777" w:rsidR="00785B70" w:rsidRPr="00005453" w:rsidRDefault="00785B70" w:rsidP="00785B70">
            <w:pPr>
              <w:jc w:val="center"/>
              <w:rPr>
                <w:b/>
                <w:bCs/>
                <w:color w:val="000000"/>
                <w:sz w:val="14"/>
                <w:szCs w:val="14"/>
                <w:lang w:eastAsia="tr-TR"/>
              </w:rPr>
            </w:pPr>
            <w:r w:rsidRPr="00005453">
              <w:rPr>
                <w:b/>
                <w:bCs/>
                <w:color w:val="000000"/>
                <w:sz w:val="14"/>
                <w:szCs w:val="14"/>
                <w:lang w:val="en-US" w:eastAsia="tr-TR"/>
              </w:rPr>
              <w:t>(5.4.12.)</w:t>
            </w:r>
          </w:p>
        </w:tc>
        <w:tc>
          <w:tcPr>
            <w:tcW w:w="1933" w:type="dxa"/>
            <w:tcBorders>
              <w:top w:val="nil"/>
              <w:left w:val="single" w:sz="4" w:space="0" w:color="auto"/>
              <w:bottom w:val="nil"/>
              <w:right w:val="single" w:sz="4" w:space="0" w:color="auto"/>
            </w:tcBorders>
            <w:shd w:val="clear" w:color="auto" w:fill="auto"/>
            <w:vAlign w:val="center"/>
            <w:hideMark/>
          </w:tcPr>
          <w:p w14:paraId="0CD9C6FE" w14:textId="22D556DE" w:rsidR="00785B70" w:rsidRPr="00005453" w:rsidRDefault="00785B70" w:rsidP="00785B70">
            <w:pPr>
              <w:jc w:val="right"/>
              <w:rPr>
                <w:b/>
                <w:sz w:val="14"/>
                <w:szCs w:val="16"/>
              </w:rPr>
            </w:pPr>
            <w:r w:rsidRPr="00005453">
              <w:rPr>
                <w:b/>
                <w:bCs/>
                <w:sz w:val="14"/>
                <w:szCs w:val="16"/>
              </w:rPr>
              <w:t>34,653,456</w:t>
            </w:r>
          </w:p>
        </w:tc>
        <w:tc>
          <w:tcPr>
            <w:tcW w:w="1946" w:type="dxa"/>
            <w:tcBorders>
              <w:top w:val="nil"/>
              <w:left w:val="nil"/>
              <w:bottom w:val="nil"/>
              <w:right w:val="single" w:sz="4" w:space="0" w:color="auto"/>
            </w:tcBorders>
            <w:shd w:val="clear" w:color="auto" w:fill="auto"/>
            <w:vAlign w:val="center"/>
            <w:hideMark/>
          </w:tcPr>
          <w:p w14:paraId="1CB9EFCE" w14:textId="5E8E5186" w:rsidR="00785B70" w:rsidRPr="00005453" w:rsidRDefault="00785B70" w:rsidP="00785B70">
            <w:pPr>
              <w:jc w:val="right"/>
              <w:rPr>
                <w:b/>
                <w:bCs/>
                <w:sz w:val="14"/>
                <w:szCs w:val="14"/>
                <w:lang w:eastAsia="tr-TR"/>
              </w:rPr>
            </w:pPr>
            <w:r w:rsidRPr="00005453">
              <w:rPr>
                <w:b/>
                <w:sz w:val="14"/>
                <w:szCs w:val="14"/>
              </w:rPr>
              <w:t>26,609,371</w:t>
            </w:r>
          </w:p>
        </w:tc>
      </w:tr>
      <w:tr w:rsidR="00785B70" w:rsidRPr="00005453" w14:paraId="7CDED02D" w14:textId="77777777" w:rsidTr="00C07B3E">
        <w:trPr>
          <w:divId w:val="1497571832"/>
          <w:trHeight w:val="72"/>
        </w:trPr>
        <w:tc>
          <w:tcPr>
            <w:tcW w:w="562" w:type="dxa"/>
            <w:tcBorders>
              <w:top w:val="nil"/>
              <w:left w:val="single" w:sz="4" w:space="0" w:color="auto"/>
              <w:bottom w:val="nil"/>
              <w:right w:val="single" w:sz="4" w:space="0" w:color="auto"/>
            </w:tcBorders>
            <w:shd w:val="clear" w:color="auto" w:fill="auto"/>
            <w:noWrap/>
            <w:hideMark/>
          </w:tcPr>
          <w:p w14:paraId="3942A3FA" w14:textId="77777777" w:rsidR="00785B70" w:rsidRPr="00005453" w:rsidRDefault="00785B70" w:rsidP="00785B70">
            <w:pPr>
              <w:rPr>
                <w:color w:val="000000"/>
                <w:sz w:val="14"/>
                <w:szCs w:val="14"/>
                <w:lang w:eastAsia="tr-TR"/>
              </w:rPr>
            </w:pPr>
            <w:r w:rsidRPr="00005453">
              <w:rPr>
                <w:color w:val="000000"/>
                <w:sz w:val="14"/>
                <w:szCs w:val="14"/>
                <w:lang w:val="en-US" w:eastAsia="tr-TR"/>
              </w:rPr>
              <w:t>25.1.</w:t>
            </w:r>
          </w:p>
        </w:tc>
        <w:tc>
          <w:tcPr>
            <w:tcW w:w="4253" w:type="dxa"/>
            <w:tcBorders>
              <w:top w:val="nil"/>
              <w:left w:val="single" w:sz="4" w:space="0" w:color="auto"/>
              <w:bottom w:val="nil"/>
              <w:right w:val="single" w:sz="4" w:space="0" w:color="auto"/>
            </w:tcBorders>
            <w:shd w:val="clear" w:color="auto" w:fill="auto"/>
            <w:hideMark/>
          </w:tcPr>
          <w:p w14:paraId="4C9983FD" w14:textId="77777777" w:rsidR="00785B70" w:rsidRPr="00005453" w:rsidRDefault="00785B70" w:rsidP="00785B70">
            <w:pPr>
              <w:rPr>
                <w:color w:val="000000"/>
                <w:sz w:val="14"/>
                <w:szCs w:val="14"/>
                <w:lang w:eastAsia="tr-TR"/>
              </w:rPr>
            </w:pPr>
            <w:r w:rsidRPr="00005453">
              <w:rPr>
                <w:color w:val="000000"/>
                <w:sz w:val="14"/>
                <w:szCs w:val="14"/>
                <w:lang w:val="en-US" w:eastAsia="tr-TR"/>
              </w:rPr>
              <w:t>Grubun Kârı / Zararı</w:t>
            </w:r>
          </w:p>
        </w:tc>
        <w:tc>
          <w:tcPr>
            <w:tcW w:w="619" w:type="dxa"/>
            <w:tcBorders>
              <w:top w:val="nil"/>
              <w:left w:val="single" w:sz="4" w:space="0" w:color="auto"/>
              <w:bottom w:val="nil"/>
              <w:right w:val="single" w:sz="4" w:space="0" w:color="auto"/>
            </w:tcBorders>
            <w:shd w:val="clear" w:color="auto" w:fill="auto"/>
            <w:noWrap/>
            <w:vAlign w:val="center"/>
            <w:hideMark/>
          </w:tcPr>
          <w:p w14:paraId="38695667"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nil"/>
              <w:right w:val="single" w:sz="4" w:space="0" w:color="auto"/>
            </w:tcBorders>
            <w:shd w:val="clear" w:color="auto" w:fill="auto"/>
            <w:vAlign w:val="center"/>
            <w:hideMark/>
          </w:tcPr>
          <w:p w14:paraId="3C2490EC" w14:textId="566D036D" w:rsidR="00785B70" w:rsidRPr="00005453" w:rsidRDefault="00785B70" w:rsidP="00785B70">
            <w:pPr>
              <w:jc w:val="right"/>
              <w:rPr>
                <w:sz w:val="14"/>
                <w:szCs w:val="16"/>
              </w:rPr>
            </w:pPr>
            <w:r w:rsidRPr="00005453">
              <w:rPr>
                <w:sz w:val="14"/>
                <w:szCs w:val="16"/>
              </w:rPr>
              <w:t>34,653,456</w:t>
            </w:r>
          </w:p>
        </w:tc>
        <w:tc>
          <w:tcPr>
            <w:tcW w:w="1946" w:type="dxa"/>
            <w:tcBorders>
              <w:top w:val="nil"/>
              <w:left w:val="nil"/>
              <w:bottom w:val="nil"/>
              <w:right w:val="single" w:sz="4" w:space="0" w:color="auto"/>
            </w:tcBorders>
            <w:shd w:val="clear" w:color="auto" w:fill="auto"/>
            <w:vAlign w:val="center"/>
            <w:hideMark/>
          </w:tcPr>
          <w:p w14:paraId="4C17D597" w14:textId="1909C293" w:rsidR="00785B70" w:rsidRPr="00005453" w:rsidRDefault="00785B70" w:rsidP="00785B70">
            <w:pPr>
              <w:jc w:val="right"/>
              <w:rPr>
                <w:sz w:val="14"/>
                <w:szCs w:val="14"/>
                <w:lang w:eastAsia="tr-TR"/>
              </w:rPr>
            </w:pPr>
            <w:r w:rsidRPr="00005453">
              <w:rPr>
                <w:sz w:val="14"/>
                <w:szCs w:val="14"/>
              </w:rPr>
              <w:t>26,609,371</w:t>
            </w:r>
          </w:p>
        </w:tc>
      </w:tr>
      <w:tr w:rsidR="00785B70" w:rsidRPr="00005453" w14:paraId="1F977870" w14:textId="77777777" w:rsidTr="00C07B3E">
        <w:trPr>
          <w:divId w:val="1497571832"/>
          <w:trHeight w:val="72"/>
        </w:trPr>
        <w:tc>
          <w:tcPr>
            <w:tcW w:w="562" w:type="dxa"/>
            <w:tcBorders>
              <w:top w:val="nil"/>
              <w:left w:val="single" w:sz="4" w:space="0" w:color="auto"/>
              <w:right w:val="single" w:sz="4" w:space="0" w:color="auto"/>
            </w:tcBorders>
            <w:shd w:val="clear" w:color="auto" w:fill="auto"/>
            <w:noWrap/>
            <w:hideMark/>
          </w:tcPr>
          <w:p w14:paraId="0AE55C0A" w14:textId="77777777" w:rsidR="00785B70" w:rsidRPr="00005453" w:rsidRDefault="00785B70" w:rsidP="00785B70">
            <w:pPr>
              <w:rPr>
                <w:color w:val="000000"/>
                <w:sz w:val="14"/>
                <w:szCs w:val="14"/>
                <w:lang w:eastAsia="tr-TR"/>
              </w:rPr>
            </w:pPr>
            <w:r w:rsidRPr="00005453">
              <w:rPr>
                <w:color w:val="000000"/>
                <w:sz w:val="14"/>
                <w:szCs w:val="14"/>
                <w:lang w:val="en-US" w:eastAsia="tr-TR"/>
              </w:rPr>
              <w:t>25.2.</w:t>
            </w:r>
          </w:p>
        </w:tc>
        <w:tc>
          <w:tcPr>
            <w:tcW w:w="4253" w:type="dxa"/>
            <w:tcBorders>
              <w:top w:val="nil"/>
              <w:left w:val="single" w:sz="4" w:space="0" w:color="auto"/>
              <w:right w:val="single" w:sz="4" w:space="0" w:color="auto"/>
            </w:tcBorders>
            <w:shd w:val="clear" w:color="auto" w:fill="auto"/>
            <w:hideMark/>
          </w:tcPr>
          <w:p w14:paraId="1C08B1B1" w14:textId="77777777" w:rsidR="00785B70" w:rsidRPr="00005453" w:rsidRDefault="00785B70" w:rsidP="00785B70">
            <w:pPr>
              <w:rPr>
                <w:color w:val="000000"/>
                <w:sz w:val="14"/>
                <w:szCs w:val="14"/>
                <w:lang w:eastAsia="tr-TR"/>
              </w:rPr>
            </w:pPr>
            <w:r w:rsidRPr="00005453">
              <w:rPr>
                <w:color w:val="000000"/>
                <w:sz w:val="14"/>
                <w:szCs w:val="14"/>
                <w:lang w:val="en-US" w:eastAsia="tr-TR"/>
              </w:rPr>
              <w:t>Azınlık Payları Kârı / Zararı (-)</w:t>
            </w:r>
          </w:p>
        </w:tc>
        <w:tc>
          <w:tcPr>
            <w:tcW w:w="619" w:type="dxa"/>
            <w:tcBorders>
              <w:top w:val="nil"/>
              <w:left w:val="single" w:sz="4" w:space="0" w:color="auto"/>
              <w:right w:val="single" w:sz="4" w:space="0" w:color="auto"/>
            </w:tcBorders>
            <w:shd w:val="clear" w:color="auto" w:fill="auto"/>
            <w:noWrap/>
            <w:vAlign w:val="center"/>
            <w:hideMark/>
          </w:tcPr>
          <w:p w14:paraId="1495A6C6"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right w:val="single" w:sz="4" w:space="0" w:color="auto"/>
            </w:tcBorders>
            <w:shd w:val="clear" w:color="auto" w:fill="auto"/>
            <w:vAlign w:val="center"/>
            <w:hideMark/>
          </w:tcPr>
          <w:p w14:paraId="4C2BBABE" w14:textId="60DE618F" w:rsidR="00785B70" w:rsidRPr="00005453" w:rsidRDefault="00785B70" w:rsidP="00785B70">
            <w:pPr>
              <w:jc w:val="right"/>
              <w:rPr>
                <w:sz w:val="14"/>
                <w:szCs w:val="16"/>
                <w:lang w:eastAsia="tr-TR"/>
              </w:rPr>
            </w:pPr>
            <w:r w:rsidRPr="00005453">
              <w:rPr>
                <w:sz w:val="14"/>
                <w:szCs w:val="16"/>
              </w:rPr>
              <w:t>-</w:t>
            </w:r>
          </w:p>
        </w:tc>
        <w:tc>
          <w:tcPr>
            <w:tcW w:w="1946" w:type="dxa"/>
            <w:tcBorders>
              <w:top w:val="nil"/>
              <w:left w:val="nil"/>
              <w:right w:val="single" w:sz="4" w:space="0" w:color="auto"/>
            </w:tcBorders>
            <w:shd w:val="clear" w:color="auto" w:fill="auto"/>
            <w:vAlign w:val="center"/>
            <w:hideMark/>
          </w:tcPr>
          <w:p w14:paraId="78B31C11" w14:textId="3D2E00AA" w:rsidR="00785B70" w:rsidRPr="00005453" w:rsidRDefault="00785B70" w:rsidP="00785B70">
            <w:pPr>
              <w:jc w:val="right"/>
              <w:rPr>
                <w:sz w:val="14"/>
                <w:szCs w:val="14"/>
                <w:lang w:eastAsia="tr-TR"/>
              </w:rPr>
            </w:pPr>
            <w:r w:rsidRPr="00005453">
              <w:rPr>
                <w:sz w:val="14"/>
                <w:szCs w:val="14"/>
              </w:rPr>
              <w:t>-</w:t>
            </w:r>
          </w:p>
        </w:tc>
      </w:tr>
      <w:tr w:rsidR="00785B70" w:rsidRPr="00005453" w14:paraId="67C5840E" w14:textId="77777777" w:rsidTr="00C07B3E">
        <w:trPr>
          <w:divId w:val="1497571832"/>
          <w:trHeight w:val="72"/>
        </w:trPr>
        <w:tc>
          <w:tcPr>
            <w:tcW w:w="562" w:type="dxa"/>
            <w:tcBorders>
              <w:top w:val="nil"/>
              <w:left w:val="single" w:sz="4" w:space="0" w:color="auto"/>
              <w:bottom w:val="single" w:sz="4" w:space="0" w:color="auto"/>
              <w:right w:val="single" w:sz="4" w:space="0" w:color="auto"/>
            </w:tcBorders>
            <w:shd w:val="clear" w:color="auto" w:fill="auto"/>
            <w:noWrap/>
          </w:tcPr>
          <w:p w14:paraId="761D89B7" w14:textId="77777777" w:rsidR="00785B70" w:rsidRPr="00005453" w:rsidRDefault="00785B70" w:rsidP="00785B70">
            <w:pPr>
              <w:rPr>
                <w:color w:val="000000"/>
                <w:sz w:val="14"/>
                <w:szCs w:val="14"/>
                <w:lang w:val="en-US" w:eastAsia="tr-TR"/>
              </w:rPr>
            </w:pPr>
          </w:p>
        </w:tc>
        <w:tc>
          <w:tcPr>
            <w:tcW w:w="4253" w:type="dxa"/>
            <w:tcBorders>
              <w:top w:val="nil"/>
              <w:left w:val="single" w:sz="4" w:space="0" w:color="auto"/>
              <w:bottom w:val="single" w:sz="4" w:space="0" w:color="auto"/>
              <w:right w:val="single" w:sz="4" w:space="0" w:color="auto"/>
            </w:tcBorders>
            <w:shd w:val="clear" w:color="auto" w:fill="auto"/>
          </w:tcPr>
          <w:p w14:paraId="6639208F" w14:textId="0ABD851E" w:rsidR="00785B70" w:rsidRPr="00005453" w:rsidRDefault="00785B70" w:rsidP="00785B70">
            <w:pPr>
              <w:rPr>
                <w:color w:val="000000"/>
                <w:sz w:val="14"/>
                <w:szCs w:val="14"/>
                <w:lang w:val="en-US" w:eastAsia="tr-TR"/>
              </w:rPr>
            </w:pPr>
            <w:r w:rsidRPr="00005453">
              <w:rPr>
                <w:color w:val="000000"/>
                <w:sz w:val="14"/>
                <w:szCs w:val="14"/>
                <w:lang w:eastAsia="tr-TR"/>
              </w:rPr>
              <w:t>Hisse Başına Kâr / Zarar (Tam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tcPr>
          <w:p w14:paraId="38A305E9" w14:textId="77777777" w:rsidR="00785B70" w:rsidRPr="00005453" w:rsidRDefault="00785B70" w:rsidP="00785B70">
            <w:pPr>
              <w:jc w:val="center"/>
              <w:rPr>
                <w:color w:val="000000"/>
                <w:sz w:val="14"/>
                <w:szCs w:val="14"/>
                <w:lang w:eastAsia="tr-TR"/>
              </w:rPr>
            </w:pPr>
          </w:p>
        </w:tc>
        <w:tc>
          <w:tcPr>
            <w:tcW w:w="1933" w:type="dxa"/>
            <w:tcBorders>
              <w:top w:val="nil"/>
              <w:left w:val="single" w:sz="4" w:space="0" w:color="auto"/>
              <w:bottom w:val="single" w:sz="4" w:space="0" w:color="auto"/>
              <w:right w:val="single" w:sz="4" w:space="0" w:color="auto"/>
            </w:tcBorders>
            <w:shd w:val="clear" w:color="auto" w:fill="auto"/>
            <w:vAlign w:val="center"/>
          </w:tcPr>
          <w:p w14:paraId="61268E10" w14:textId="2CC1189E" w:rsidR="00785B70" w:rsidRPr="00005453" w:rsidRDefault="00785B70" w:rsidP="00785B70">
            <w:pPr>
              <w:jc w:val="right"/>
              <w:rPr>
                <w:sz w:val="14"/>
                <w:szCs w:val="16"/>
              </w:rPr>
            </w:pPr>
            <w:r w:rsidRPr="00005453">
              <w:rPr>
                <w:sz w:val="14"/>
                <w:szCs w:val="16"/>
              </w:rPr>
              <w:t>7.2997</w:t>
            </w:r>
          </w:p>
        </w:tc>
        <w:tc>
          <w:tcPr>
            <w:tcW w:w="1946" w:type="dxa"/>
            <w:tcBorders>
              <w:top w:val="nil"/>
              <w:left w:val="nil"/>
              <w:bottom w:val="single" w:sz="4" w:space="0" w:color="auto"/>
              <w:right w:val="single" w:sz="4" w:space="0" w:color="auto"/>
            </w:tcBorders>
            <w:shd w:val="clear" w:color="auto" w:fill="auto"/>
            <w:vAlign w:val="center"/>
          </w:tcPr>
          <w:p w14:paraId="1F24F486" w14:textId="26777227" w:rsidR="00785B70" w:rsidRPr="00005453" w:rsidRDefault="00785B70" w:rsidP="00785B70">
            <w:pPr>
              <w:jc w:val="right"/>
              <w:rPr>
                <w:sz w:val="14"/>
                <w:szCs w:val="14"/>
              </w:rPr>
            </w:pPr>
            <w:r w:rsidRPr="00005453">
              <w:rPr>
                <w:sz w:val="14"/>
                <w:szCs w:val="14"/>
              </w:rPr>
              <w:t>5.7846</w:t>
            </w:r>
          </w:p>
        </w:tc>
      </w:tr>
    </w:tbl>
    <w:p w14:paraId="5E41FBC7" w14:textId="14583F1D" w:rsidR="00931598" w:rsidRPr="00005453" w:rsidRDefault="00931598" w:rsidP="0017615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2"/>
          <w:szCs w:val="14"/>
        </w:rPr>
      </w:pPr>
    </w:p>
    <w:bookmarkEnd w:id="10"/>
    <w:p w14:paraId="159ED586" w14:textId="46A2BF40" w:rsidR="00A96811" w:rsidRPr="00005453" w:rsidRDefault="00A96811" w:rsidP="0017615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2AE6E721" w14:textId="6FA1CAD1" w:rsidR="005102D5" w:rsidRDefault="005102D5" w:rsidP="0017615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2CEEA5AB" w14:textId="5A5660C5" w:rsidR="006879A6" w:rsidRDefault="006879A6" w:rsidP="0017615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28CA1779" w14:textId="77777777" w:rsidR="006879A6" w:rsidRPr="00005453" w:rsidRDefault="006879A6" w:rsidP="0017615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17C82F7E" w14:textId="75D2B057" w:rsidR="00E30BB9" w:rsidRPr="00005453" w:rsidRDefault="00E30BB9" w:rsidP="0017615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96C5F42" w14:textId="4B93DCD7" w:rsidR="00F81289" w:rsidRPr="00005453" w:rsidRDefault="002B67B0" w:rsidP="00614CD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005453">
        <w:rPr>
          <w:bCs/>
          <w:i/>
          <w:iCs/>
          <w:sz w:val="14"/>
          <w:szCs w:val="14"/>
        </w:rPr>
        <w:t>İlişikteki notlar bu finansal tabloların tamamlayıcı parçalarıdır.</w:t>
      </w:r>
    </w:p>
    <w:p w14:paraId="3CC8C84D" w14:textId="77777777" w:rsidR="00F81289" w:rsidRPr="00005453" w:rsidRDefault="00F81289" w:rsidP="00F81289">
      <w:pPr>
        <w:rPr>
          <w:bCs/>
          <w:i/>
          <w:iCs/>
          <w:sz w:val="14"/>
          <w:szCs w:val="14"/>
        </w:rPr>
        <w:sectPr w:rsidR="00F81289" w:rsidRPr="00005453" w:rsidSect="00A07E0F">
          <w:headerReference w:type="default" r:id="rId28"/>
          <w:footerReference w:type="default" r:id="rId29"/>
          <w:pgSz w:w="11907" w:h="16840" w:code="9"/>
          <w:pgMar w:top="1418" w:right="1418" w:bottom="1418" w:left="1418" w:header="360" w:footer="708" w:gutter="0"/>
          <w:cols w:space="708"/>
          <w:noEndnote/>
        </w:sectPr>
      </w:pPr>
    </w:p>
    <w:p w14:paraId="357AAF4F" w14:textId="77777777" w:rsidR="00D52CB0" w:rsidRPr="00005453" w:rsidRDefault="00D52CB0" w:rsidP="00D52CB0">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bookmarkStart w:id="11" w:name="_Hlk62566349"/>
      <w:r w:rsidRPr="00005453">
        <w:rPr>
          <w:rFonts w:eastAsia="Arial Unicode MS"/>
          <w:b/>
          <w:sz w:val="22"/>
        </w:rPr>
        <w:lastRenderedPageBreak/>
        <w:t>4.</w:t>
      </w:r>
      <w:r w:rsidRPr="00005453">
        <w:rPr>
          <w:rFonts w:eastAsia="Arial Unicode MS"/>
          <w:b/>
          <w:sz w:val="22"/>
        </w:rPr>
        <w:tab/>
        <w:t>KAR VEYA ZARAR VE DİĞER KAPSAMLI GELİR TABLOSU</w:t>
      </w:r>
    </w:p>
    <w:p w14:paraId="21F8EB74" w14:textId="5983120C" w:rsidR="00E30BB9" w:rsidRPr="00005453" w:rsidRDefault="00E30BB9" w:rsidP="00376680">
      <w:pPr>
        <w:autoSpaceDE w:val="0"/>
        <w:autoSpaceDN w:val="0"/>
        <w:adjustRightInd w:val="0"/>
        <w:spacing w:after="60"/>
        <w:ind w:hanging="567"/>
        <w:jc w:val="both"/>
        <w:rPr>
          <w:lang w:val="de-DE" w:eastAsia="en-GB"/>
        </w:rPr>
      </w:pPr>
    </w:p>
    <w:tbl>
      <w:tblPr>
        <w:tblW w:w="9089" w:type="dxa"/>
        <w:tblCellMar>
          <w:left w:w="70" w:type="dxa"/>
          <w:right w:w="70" w:type="dxa"/>
        </w:tblCellMar>
        <w:tblLook w:val="04A0" w:firstRow="1" w:lastRow="0" w:firstColumn="1" w:lastColumn="0" w:noHBand="0" w:noVBand="1"/>
      </w:tblPr>
      <w:tblGrid>
        <w:gridCol w:w="423"/>
        <w:gridCol w:w="4675"/>
        <w:gridCol w:w="1985"/>
        <w:gridCol w:w="2006"/>
      </w:tblGrid>
      <w:tr w:rsidR="0068420B" w:rsidRPr="00005453" w14:paraId="3710CB4A" w14:textId="77777777" w:rsidTr="00BD1BED">
        <w:trPr>
          <w:trHeight w:val="51"/>
        </w:trPr>
        <w:tc>
          <w:tcPr>
            <w:tcW w:w="4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bookmarkEnd w:id="11"/>
          <w:p w14:paraId="0BD81835" w14:textId="77777777" w:rsidR="0068420B" w:rsidRPr="00005453" w:rsidRDefault="0068420B" w:rsidP="0068420B">
            <w:pPr>
              <w:rPr>
                <w:b/>
                <w:bCs/>
                <w:color w:val="000000"/>
                <w:sz w:val="14"/>
                <w:szCs w:val="14"/>
                <w:lang w:eastAsia="tr-TR"/>
              </w:rPr>
            </w:pPr>
            <w:r w:rsidRPr="00005453">
              <w:rPr>
                <w:b/>
                <w:bCs/>
                <w:color w:val="000000"/>
                <w:sz w:val="14"/>
                <w:szCs w:val="14"/>
                <w:lang w:eastAsia="tr-TR"/>
              </w:rPr>
              <w:t> </w:t>
            </w:r>
          </w:p>
        </w:tc>
        <w:tc>
          <w:tcPr>
            <w:tcW w:w="46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25717B" w14:textId="77777777" w:rsidR="0068420B" w:rsidRPr="00005453" w:rsidRDefault="0068420B" w:rsidP="0068420B">
            <w:pPr>
              <w:rPr>
                <w:b/>
                <w:bCs/>
                <w:color w:val="000000"/>
                <w:sz w:val="14"/>
                <w:szCs w:val="14"/>
                <w:lang w:eastAsia="tr-TR"/>
              </w:rPr>
            </w:pPr>
            <w:r w:rsidRPr="00005453">
              <w:rPr>
                <w:b/>
                <w:bCs/>
                <w:color w:val="000000"/>
                <w:sz w:val="14"/>
                <w:szCs w:val="14"/>
                <w:lang w:eastAsia="tr-TR"/>
              </w:rPr>
              <w:t> </w:t>
            </w:r>
          </w:p>
        </w:tc>
        <w:tc>
          <w:tcPr>
            <w:tcW w:w="1985" w:type="dxa"/>
            <w:tcBorders>
              <w:top w:val="single" w:sz="4" w:space="0" w:color="auto"/>
              <w:left w:val="single" w:sz="4" w:space="0" w:color="auto"/>
              <w:bottom w:val="nil"/>
              <w:right w:val="single" w:sz="4" w:space="0" w:color="auto"/>
            </w:tcBorders>
            <w:shd w:val="clear" w:color="auto" w:fill="auto"/>
            <w:noWrap/>
            <w:vAlign w:val="center"/>
            <w:hideMark/>
          </w:tcPr>
          <w:p w14:paraId="437F7FC8" w14:textId="6E633BBF" w:rsidR="0068420B" w:rsidRPr="00005453" w:rsidRDefault="0068420B" w:rsidP="0068420B">
            <w:pPr>
              <w:jc w:val="right"/>
              <w:rPr>
                <w:b/>
                <w:bCs/>
                <w:color w:val="000000"/>
                <w:sz w:val="14"/>
                <w:szCs w:val="14"/>
                <w:lang w:eastAsia="tr-TR"/>
              </w:rPr>
            </w:pPr>
            <w:r w:rsidRPr="00005453">
              <w:rPr>
                <w:b/>
                <w:bCs/>
                <w:color w:val="000000"/>
                <w:sz w:val="14"/>
                <w:szCs w:val="14"/>
                <w:lang w:eastAsia="tr-TR"/>
              </w:rPr>
              <w:t>Bağımsız Denetimden Geçmiş</w:t>
            </w:r>
          </w:p>
        </w:tc>
        <w:tc>
          <w:tcPr>
            <w:tcW w:w="2006" w:type="dxa"/>
            <w:tcBorders>
              <w:top w:val="single" w:sz="4" w:space="0" w:color="auto"/>
              <w:left w:val="single" w:sz="4" w:space="0" w:color="auto"/>
              <w:bottom w:val="nil"/>
              <w:right w:val="single" w:sz="4" w:space="0" w:color="auto"/>
            </w:tcBorders>
            <w:shd w:val="clear" w:color="auto" w:fill="auto"/>
            <w:noWrap/>
            <w:vAlign w:val="center"/>
            <w:hideMark/>
          </w:tcPr>
          <w:p w14:paraId="0D55FE7D" w14:textId="6FF7F556" w:rsidR="0068420B" w:rsidRPr="00005453" w:rsidRDefault="0068420B" w:rsidP="0068420B">
            <w:pPr>
              <w:jc w:val="right"/>
              <w:rPr>
                <w:b/>
                <w:bCs/>
                <w:color w:val="000000"/>
                <w:sz w:val="14"/>
                <w:szCs w:val="14"/>
                <w:lang w:eastAsia="tr-TR"/>
              </w:rPr>
            </w:pPr>
            <w:r w:rsidRPr="00005453">
              <w:rPr>
                <w:b/>
                <w:bCs/>
                <w:color w:val="000000"/>
                <w:sz w:val="14"/>
                <w:szCs w:val="14"/>
                <w:lang w:eastAsia="tr-TR"/>
              </w:rPr>
              <w:t>Bağımsız</w:t>
            </w:r>
            <w:r w:rsidR="000D1A65" w:rsidRPr="00005453">
              <w:rPr>
                <w:b/>
                <w:bCs/>
                <w:color w:val="000000"/>
                <w:sz w:val="14"/>
                <w:szCs w:val="14"/>
                <w:lang w:eastAsia="tr-TR"/>
              </w:rPr>
              <w:t xml:space="preserve"> </w:t>
            </w:r>
            <w:r w:rsidRPr="00005453">
              <w:rPr>
                <w:b/>
                <w:bCs/>
                <w:color w:val="000000"/>
                <w:sz w:val="14"/>
                <w:szCs w:val="14"/>
                <w:lang w:eastAsia="tr-TR"/>
              </w:rPr>
              <w:t>Denetimden Geçmiş</w:t>
            </w:r>
          </w:p>
        </w:tc>
      </w:tr>
      <w:tr w:rsidR="0068420B" w:rsidRPr="00005453" w14:paraId="4164442F" w14:textId="77777777" w:rsidTr="00BD1BED">
        <w:trPr>
          <w:trHeight w:val="51"/>
        </w:trPr>
        <w:tc>
          <w:tcPr>
            <w:tcW w:w="423" w:type="dxa"/>
            <w:vMerge/>
            <w:tcBorders>
              <w:top w:val="single" w:sz="8" w:space="0" w:color="auto"/>
              <w:left w:val="single" w:sz="4" w:space="0" w:color="auto"/>
              <w:bottom w:val="single" w:sz="8" w:space="0" w:color="000000"/>
              <w:right w:val="single" w:sz="4" w:space="0" w:color="auto"/>
            </w:tcBorders>
            <w:vAlign w:val="center"/>
            <w:hideMark/>
          </w:tcPr>
          <w:p w14:paraId="1A53B379" w14:textId="77777777" w:rsidR="0068420B" w:rsidRPr="00005453" w:rsidRDefault="0068420B" w:rsidP="0068420B">
            <w:pPr>
              <w:rPr>
                <w:b/>
                <w:bCs/>
                <w:color w:val="000000"/>
                <w:sz w:val="14"/>
                <w:szCs w:val="14"/>
                <w:lang w:eastAsia="tr-TR"/>
              </w:rPr>
            </w:pPr>
          </w:p>
        </w:tc>
        <w:tc>
          <w:tcPr>
            <w:tcW w:w="4675" w:type="dxa"/>
            <w:vMerge/>
            <w:tcBorders>
              <w:top w:val="single" w:sz="8" w:space="0" w:color="auto"/>
              <w:left w:val="single" w:sz="4" w:space="0" w:color="auto"/>
              <w:bottom w:val="single" w:sz="8" w:space="0" w:color="000000"/>
              <w:right w:val="single" w:sz="4" w:space="0" w:color="auto"/>
            </w:tcBorders>
            <w:vAlign w:val="center"/>
            <w:hideMark/>
          </w:tcPr>
          <w:p w14:paraId="1818D76A" w14:textId="77777777" w:rsidR="0068420B" w:rsidRPr="00005453" w:rsidRDefault="0068420B" w:rsidP="0068420B">
            <w:pPr>
              <w:rPr>
                <w:b/>
                <w:bCs/>
                <w:color w:val="000000"/>
                <w:sz w:val="14"/>
                <w:szCs w:val="14"/>
                <w:lang w:eastAsia="tr-TR"/>
              </w:rPr>
            </w:pPr>
          </w:p>
        </w:tc>
        <w:tc>
          <w:tcPr>
            <w:tcW w:w="1985" w:type="dxa"/>
            <w:tcBorders>
              <w:top w:val="nil"/>
              <w:left w:val="single" w:sz="4" w:space="0" w:color="auto"/>
              <w:bottom w:val="nil"/>
              <w:right w:val="single" w:sz="4" w:space="0" w:color="auto"/>
            </w:tcBorders>
            <w:shd w:val="clear" w:color="auto" w:fill="auto"/>
            <w:noWrap/>
            <w:vAlign w:val="center"/>
            <w:hideMark/>
          </w:tcPr>
          <w:p w14:paraId="0C0CC8AA" w14:textId="77777777" w:rsidR="0068420B" w:rsidRPr="00005453" w:rsidRDefault="0068420B" w:rsidP="0068420B">
            <w:pPr>
              <w:jc w:val="right"/>
              <w:rPr>
                <w:b/>
                <w:bCs/>
                <w:color w:val="000000"/>
                <w:sz w:val="14"/>
                <w:szCs w:val="14"/>
                <w:lang w:eastAsia="tr-TR"/>
              </w:rPr>
            </w:pPr>
            <w:r w:rsidRPr="00005453">
              <w:rPr>
                <w:b/>
                <w:bCs/>
                <w:color w:val="000000"/>
                <w:sz w:val="14"/>
                <w:szCs w:val="14"/>
                <w:lang w:eastAsia="tr-TR"/>
              </w:rPr>
              <w:t>Cari Dönem</w:t>
            </w:r>
          </w:p>
        </w:tc>
        <w:tc>
          <w:tcPr>
            <w:tcW w:w="2006" w:type="dxa"/>
            <w:tcBorders>
              <w:top w:val="nil"/>
              <w:left w:val="single" w:sz="4" w:space="0" w:color="auto"/>
              <w:bottom w:val="nil"/>
              <w:right w:val="single" w:sz="4" w:space="0" w:color="auto"/>
            </w:tcBorders>
            <w:shd w:val="clear" w:color="auto" w:fill="auto"/>
            <w:noWrap/>
            <w:vAlign w:val="center"/>
            <w:hideMark/>
          </w:tcPr>
          <w:p w14:paraId="617ADC5A" w14:textId="77777777" w:rsidR="0068420B" w:rsidRPr="00005453" w:rsidRDefault="0068420B" w:rsidP="0068420B">
            <w:pPr>
              <w:jc w:val="right"/>
              <w:rPr>
                <w:b/>
                <w:bCs/>
                <w:color w:val="000000"/>
                <w:sz w:val="14"/>
                <w:szCs w:val="14"/>
                <w:lang w:eastAsia="tr-TR"/>
              </w:rPr>
            </w:pPr>
            <w:r w:rsidRPr="00005453">
              <w:rPr>
                <w:b/>
                <w:bCs/>
                <w:color w:val="000000"/>
                <w:sz w:val="14"/>
                <w:szCs w:val="14"/>
                <w:lang w:eastAsia="tr-TR"/>
              </w:rPr>
              <w:t>Önceki Dönem</w:t>
            </w:r>
          </w:p>
        </w:tc>
      </w:tr>
      <w:tr w:rsidR="0068420B" w:rsidRPr="00005453" w14:paraId="42F7A998" w14:textId="77777777" w:rsidTr="00BD1BED">
        <w:trPr>
          <w:trHeight w:val="51"/>
        </w:trPr>
        <w:tc>
          <w:tcPr>
            <w:tcW w:w="423" w:type="dxa"/>
            <w:vMerge/>
            <w:tcBorders>
              <w:top w:val="single" w:sz="8" w:space="0" w:color="auto"/>
              <w:left w:val="single" w:sz="4" w:space="0" w:color="auto"/>
              <w:bottom w:val="single" w:sz="4" w:space="0" w:color="auto"/>
              <w:right w:val="single" w:sz="4" w:space="0" w:color="auto"/>
            </w:tcBorders>
            <w:vAlign w:val="center"/>
            <w:hideMark/>
          </w:tcPr>
          <w:p w14:paraId="3E989099" w14:textId="77777777" w:rsidR="0068420B" w:rsidRPr="00005453" w:rsidRDefault="0068420B" w:rsidP="0068420B">
            <w:pPr>
              <w:rPr>
                <w:b/>
                <w:bCs/>
                <w:color w:val="000000"/>
                <w:sz w:val="14"/>
                <w:szCs w:val="14"/>
                <w:lang w:eastAsia="tr-TR"/>
              </w:rPr>
            </w:pPr>
          </w:p>
        </w:tc>
        <w:tc>
          <w:tcPr>
            <w:tcW w:w="4675" w:type="dxa"/>
            <w:vMerge/>
            <w:tcBorders>
              <w:top w:val="single" w:sz="8" w:space="0" w:color="auto"/>
              <w:left w:val="single" w:sz="4" w:space="0" w:color="auto"/>
              <w:bottom w:val="single" w:sz="4" w:space="0" w:color="auto"/>
              <w:right w:val="single" w:sz="4" w:space="0" w:color="auto"/>
            </w:tcBorders>
            <w:vAlign w:val="center"/>
            <w:hideMark/>
          </w:tcPr>
          <w:p w14:paraId="7DF00908" w14:textId="77777777" w:rsidR="0068420B" w:rsidRPr="00005453" w:rsidRDefault="0068420B" w:rsidP="0068420B">
            <w:pPr>
              <w:rPr>
                <w:b/>
                <w:bCs/>
                <w:color w:val="000000"/>
                <w:sz w:val="14"/>
                <w:szCs w:val="14"/>
                <w:lang w:eastAsia="tr-TR"/>
              </w:rPr>
            </w:pP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C9774BC" w14:textId="24F7AA42" w:rsidR="0068420B" w:rsidRPr="00005453" w:rsidRDefault="0068420B" w:rsidP="0068420B">
            <w:pPr>
              <w:jc w:val="right"/>
              <w:rPr>
                <w:b/>
                <w:bCs/>
                <w:color w:val="000000"/>
                <w:sz w:val="14"/>
                <w:szCs w:val="14"/>
                <w:lang w:eastAsia="tr-TR"/>
              </w:rPr>
            </w:pPr>
            <w:proofErr w:type="gramStart"/>
            <w:r w:rsidRPr="00005453">
              <w:rPr>
                <w:b/>
                <w:bCs/>
                <w:color w:val="000000"/>
                <w:sz w:val="14"/>
                <w:szCs w:val="14"/>
                <w:lang w:eastAsia="tr-TR"/>
              </w:rPr>
              <w:t>01.01.202</w:t>
            </w:r>
            <w:r w:rsidR="00380913" w:rsidRPr="00005453">
              <w:rPr>
                <w:b/>
                <w:bCs/>
                <w:color w:val="000000"/>
                <w:sz w:val="14"/>
                <w:szCs w:val="14"/>
                <w:lang w:eastAsia="tr-TR"/>
              </w:rPr>
              <w:t>4</w:t>
            </w:r>
            <w:r w:rsidRPr="00005453">
              <w:rPr>
                <w:b/>
                <w:bCs/>
                <w:color w:val="000000"/>
                <w:sz w:val="14"/>
                <w:szCs w:val="14"/>
                <w:lang w:eastAsia="tr-TR"/>
              </w:rPr>
              <w:t xml:space="preserve"> -</w:t>
            </w:r>
            <w:proofErr w:type="gramEnd"/>
            <w:r w:rsidRPr="00005453">
              <w:rPr>
                <w:b/>
                <w:bCs/>
                <w:color w:val="000000"/>
                <w:sz w:val="14"/>
                <w:szCs w:val="14"/>
                <w:lang w:eastAsia="tr-TR"/>
              </w:rPr>
              <w:t xml:space="preserve"> 31.12.202</w:t>
            </w:r>
            <w:r w:rsidR="00380913" w:rsidRPr="00005453">
              <w:rPr>
                <w:b/>
                <w:bCs/>
                <w:color w:val="000000"/>
                <w:sz w:val="14"/>
                <w:szCs w:val="14"/>
                <w:lang w:eastAsia="tr-TR"/>
              </w:rPr>
              <w:t>4</w:t>
            </w:r>
          </w:p>
        </w:tc>
        <w:tc>
          <w:tcPr>
            <w:tcW w:w="2006" w:type="dxa"/>
            <w:tcBorders>
              <w:top w:val="nil"/>
              <w:left w:val="single" w:sz="4" w:space="0" w:color="auto"/>
              <w:bottom w:val="single" w:sz="4" w:space="0" w:color="auto"/>
              <w:right w:val="single" w:sz="4" w:space="0" w:color="auto"/>
            </w:tcBorders>
            <w:shd w:val="clear" w:color="auto" w:fill="auto"/>
            <w:noWrap/>
            <w:vAlign w:val="center"/>
            <w:hideMark/>
          </w:tcPr>
          <w:p w14:paraId="596641D0" w14:textId="6BAB82A5" w:rsidR="0068420B" w:rsidRPr="00005453" w:rsidRDefault="0068420B" w:rsidP="0068420B">
            <w:pPr>
              <w:jc w:val="right"/>
              <w:rPr>
                <w:b/>
                <w:bCs/>
                <w:color w:val="000000"/>
                <w:sz w:val="14"/>
                <w:szCs w:val="14"/>
                <w:lang w:eastAsia="tr-TR"/>
              </w:rPr>
            </w:pPr>
            <w:proofErr w:type="gramStart"/>
            <w:r w:rsidRPr="00005453">
              <w:rPr>
                <w:b/>
                <w:bCs/>
                <w:color w:val="000000"/>
                <w:sz w:val="14"/>
                <w:szCs w:val="14"/>
                <w:lang w:eastAsia="tr-TR"/>
              </w:rPr>
              <w:t>01.01.202</w:t>
            </w:r>
            <w:r w:rsidR="00380913" w:rsidRPr="00005453">
              <w:rPr>
                <w:b/>
                <w:bCs/>
                <w:color w:val="000000"/>
                <w:sz w:val="14"/>
                <w:szCs w:val="14"/>
                <w:lang w:eastAsia="tr-TR"/>
              </w:rPr>
              <w:t>3</w:t>
            </w:r>
            <w:r w:rsidRPr="00005453">
              <w:rPr>
                <w:b/>
                <w:bCs/>
                <w:color w:val="000000"/>
                <w:sz w:val="14"/>
                <w:szCs w:val="14"/>
                <w:lang w:eastAsia="tr-TR"/>
              </w:rPr>
              <w:t xml:space="preserve"> -</w:t>
            </w:r>
            <w:proofErr w:type="gramEnd"/>
            <w:r w:rsidRPr="00005453">
              <w:rPr>
                <w:b/>
                <w:bCs/>
                <w:color w:val="000000"/>
                <w:sz w:val="14"/>
                <w:szCs w:val="14"/>
                <w:lang w:eastAsia="tr-TR"/>
              </w:rPr>
              <w:t xml:space="preserve"> 31.12.202</w:t>
            </w:r>
            <w:r w:rsidR="00380913" w:rsidRPr="00005453">
              <w:rPr>
                <w:b/>
                <w:bCs/>
                <w:color w:val="000000"/>
                <w:sz w:val="14"/>
                <w:szCs w:val="14"/>
                <w:lang w:eastAsia="tr-TR"/>
              </w:rPr>
              <w:t>3</w:t>
            </w:r>
          </w:p>
        </w:tc>
      </w:tr>
      <w:tr w:rsidR="0068420B" w:rsidRPr="00005453" w14:paraId="673C0960" w14:textId="77777777" w:rsidTr="00BD1BED">
        <w:trPr>
          <w:trHeight w:val="51"/>
        </w:trPr>
        <w:tc>
          <w:tcPr>
            <w:tcW w:w="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20EAD" w14:textId="77777777" w:rsidR="0068420B" w:rsidRPr="00005453" w:rsidRDefault="0068420B" w:rsidP="0068420B">
            <w:pPr>
              <w:rPr>
                <w:b/>
                <w:bCs/>
                <w:color w:val="000000"/>
                <w:sz w:val="14"/>
                <w:szCs w:val="14"/>
                <w:lang w:eastAsia="tr-TR"/>
              </w:rPr>
            </w:pPr>
            <w:r w:rsidRPr="00005453">
              <w:rPr>
                <w:b/>
                <w:bCs/>
                <w:color w:val="000000"/>
                <w:sz w:val="14"/>
                <w:szCs w:val="14"/>
                <w:lang w:val="en-US" w:eastAsia="tr-TR"/>
              </w:rPr>
              <w:t> </w:t>
            </w:r>
          </w:p>
        </w:tc>
        <w:tc>
          <w:tcPr>
            <w:tcW w:w="4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9D040" w14:textId="77777777" w:rsidR="0068420B" w:rsidRPr="00005453" w:rsidRDefault="0068420B" w:rsidP="0068420B">
            <w:pPr>
              <w:rPr>
                <w:b/>
                <w:bCs/>
                <w:color w:val="000000"/>
                <w:sz w:val="14"/>
                <w:szCs w:val="14"/>
                <w:lang w:eastAsia="tr-TR"/>
              </w:rPr>
            </w:pPr>
            <w:r w:rsidRPr="00005453">
              <w:rPr>
                <w:b/>
                <w:bCs/>
                <w:color w:val="000000"/>
                <w:sz w:val="14"/>
                <w:szCs w:val="14"/>
                <w:lang w:val="en-US" w:eastAsia="tr-TR"/>
              </w:rPr>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6F315" w14:textId="77777777" w:rsidR="0068420B" w:rsidRPr="00005453" w:rsidRDefault="0068420B" w:rsidP="0068420B">
            <w:pPr>
              <w:jc w:val="right"/>
              <w:rPr>
                <w:b/>
                <w:bCs/>
                <w:color w:val="000000"/>
                <w:sz w:val="14"/>
                <w:szCs w:val="14"/>
                <w:lang w:eastAsia="tr-TR"/>
              </w:rPr>
            </w:pPr>
            <w:r w:rsidRPr="00005453">
              <w:rPr>
                <w:b/>
                <w:bCs/>
                <w:color w:val="000000"/>
                <w:sz w:val="14"/>
                <w:szCs w:val="14"/>
                <w:lang w:val="en-US" w:eastAsia="tr-TR"/>
              </w:rPr>
              <w:t> </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81937" w14:textId="77777777" w:rsidR="0068420B" w:rsidRPr="00005453" w:rsidRDefault="0068420B" w:rsidP="0068420B">
            <w:pPr>
              <w:jc w:val="right"/>
              <w:rPr>
                <w:b/>
                <w:bCs/>
                <w:color w:val="000000"/>
                <w:sz w:val="14"/>
                <w:szCs w:val="14"/>
                <w:lang w:eastAsia="tr-TR"/>
              </w:rPr>
            </w:pPr>
            <w:r w:rsidRPr="00005453">
              <w:rPr>
                <w:b/>
                <w:bCs/>
                <w:color w:val="000000"/>
                <w:sz w:val="14"/>
                <w:szCs w:val="14"/>
                <w:lang w:eastAsia="tr-TR"/>
              </w:rPr>
              <w:t> </w:t>
            </w:r>
          </w:p>
        </w:tc>
      </w:tr>
      <w:tr w:rsidR="00785B70" w:rsidRPr="00005453" w14:paraId="24C60CAD" w14:textId="77777777" w:rsidTr="00785B70">
        <w:trPr>
          <w:trHeight w:val="51"/>
        </w:trPr>
        <w:tc>
          <w:tcPr>
            <w:tcW w:w="423" w:type="dxa"/>
            <w:tcBorders>
              <w:top w:val="single" w:sz="4" w:space="0" w:color="auto"/>
              <w:left w:val="single" w:sz="4" w:space="0" w:color="auto"/>
              <w:bottom w:val="nil"/>
              <w:right w:val="single" w:sz="4" w:space="0" w:color="auto"/>
            </w:tcBorders>
            <w:shd w:val="clear" w:color="auto" w:fill="auto"/>
            <w:noWrap/>
            <w:hideMark/>
          </w:tcPr>
          <w:p w14:paraId="0540A323"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w:t>
            </w:r>
          </w:p>
        </w:tc>
        <w:tc>
          <w:tcPr>
            <w:tcW w:w="4675" w:type="dxa"/>
            <w:tcBorders>
              <w:top w:val="single" w:sz="4" w:space="0" w:color="auto"/>
              <w:left w:val="single" w:sz="4" w:space="0" w:color="auto"/>
              <w:bottom w:val="nil"/>
              <w:right w:val="single" w:sz="4" w:space="0" w:color="auto"/>
            </w:tcBorders>
            <w:shd w:val="clear" w:color="auto" w:fill="auto"/>
            <w:noWrap/>
            <w:vAlign w:val="center"/>
            <w:hideMark/>
          </w:tcPr>
          <w:p w14:paraId="1BBF217A"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DÖNEM KARI/ZARARI</w:t>
            </w:r>
          </w:p>
        </w:tc>
        <w:tc>
          <w:tcPr>
            <w:tcW w:w="1985" w:type="dxa"/>
            <w:tcBorders>
              <w:top w:val="single" w:sz="4" w:space="0" w:color="auto"/>
              <w:left w:val="single" w:sz="4" w:space="0" w:color="auto"/>
              <w:bottom w:val="nil"/>
              <w:right w:val="single" w:sz="4" w:space="0" w:color="auto"/>
            </w:tcBorders>
            <w:shd w:val="clear" w:color="auto" w:fill="auto"/>
            <w:vAlign w:val="center"/>
            <w:hideMark/>
          </w:tcPr>
          <w:p w14:paraId="0E73FBCC" w14:textId="6091DF9A" w:rsidR="00785B70" w:rsidRPr="00005453" w:rsidRDefault="00785B70" w:rsidP="00785B70">
            <w:pPr>
              <w:jc w:val="right"/>
              <w:rPr>
                <w:b/>
                <w:bCs/>
                <w:sz w:val="14"/>
                <w:szCs w:val="14"/>
                <w:lang w:val="en-GB" w:eastAsia="tr-TR"/>
              </w:rPr>
            </w:pPr>
            <w:r w:rsidRPr="00005453">
              <w:rPr>
                <w:b/>
                <w:bCs/>
                <w:sz w:val="14"/>
                <w:szCs w:val="18"/>
              </w:rPr>
              <w:t>34,653,456</w:t>
            </w:r>
          </w:p>
        </w:tc>
        <w:tc>
          <w:tcPr>
            <w:tcW w:w="2006" w:type="dxa"/>
            <w:tcBorders>
              <w:top w:val="single" w:sz="4" w:space="0" w:color="auto"/>
              <w:left w:val="single" w:sz="4" w:space="0" w:color="auto"/>
              <w:bottom w:val="nil"/>
              <w:right w:val="single" w:sz="4" w:space="0" w:color="auto"/>
            </w:tcBorders>
            <w:shd w:val="clear" w:color="auto" w:fill="auto"/>
            <w:vAlign w:val="center"/>
            <w:hideMark/>
          </w:tcPr>
          <w:p w14:paraId="128F769C" w14:textId="17F55984" w:rsidR="00785B70" w:rsidRPr="00005453" w:rsidRDefault="00785B70" w:rsidP="00785B70">
            <w:pPr>
              <w:jc w:val="right"/>
              <w:rPr>
                <w:b/>
                <w:bCs/>
                <w:sz w:val="14"/>
                <w:szCs w:val="14"/>
                <w:lang w:eastAsia="tr-TR"/>
              </w:rPr>
            </w:pPr>
            <w:r w:rsidRPr="00005453">
              <w:rPr>
                <w:b/>
                <w:sz w:val="14"/>
                <w:szCs w:val="14"/>
              </w:rPr>
              <w:t>26,609,371</w:t>
            </w:r>
          </w:p>
        </w:tc>
      </w:tr>
      <w:tr w:rsidR="00785B70" w:rsidRPr="00005453" w14:paraId="1FAD8F11"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5CE0FFB2"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II.</w:t>
            </w:r>
          </w:p>
        </w:tc>
        <w:tc>
          <w:tcPr>
            <w:tcW w:w="4675" w:type="dxa"/>
            <w:tcBorders>
              <w:top w:val="nil"/>
              <w:left w:val="single" w:sz="4" w:space="0" w:color="auto"/>
              <w:bottom w:val="nil"/>
              <w:right w:val="single" w:sz="4" w:space="0" w:color="auto"/>
            </w:tcBorders>
            <w:shd w:val="clear" w:color="auto" w:fill="auto"/>
            <w:noWrap/>
            <w:vAlign w:val="center"/>
            <w:hideMark/>
          </w:tcPr>
          <w:p w14:paraId="3EBE2801" w14:textId="77777777" w:rsidR="00785B70" w:rsidRPr="00005453" w:rsidRDefault="00785B70" w:rsidP="00785B70">
            <w:pPr>
              <w:rPr>
                <w:b/>
                <w:bCs/>
                <w:color w:val="000000"/>
                <w:sz w:val="14"/>
                <w:szCs w:val="14"/>
                <w:lang w:eastAsia="tr-TR"/>
              </w:rPr>
            </w:pPr>
            <w:r w:rsidRPr="00005453">
              <w:rPr>
                <w:b/>
                <w:bCs/>
                <w:color w:val="000000"/>
                <w:sz w:val="14"/>
                <w:szCs w:val="14"/>
                <w:lang w:val="en-US" w:eastAsia="tr-TR"/>
              </w:rPr>
              <w:t>DİĞER KAPSAMLI GELİRLER</w:t>
            </w:r>
          </w:p>
        </w:tc>
        <w:tc>
          <w:tcPr>
            <w:tcW w:w="1985" w:type="dxa"/>
            <w:tcBorders>
              <w:top w:val="nil"/>
              <w:left w:val="single" w:sz="4" w:space="0" w:color="auto"/>
              <w:bottom w:val="nil"/>
              <w:right w:val="single" w:sz="4" w:space="0" w:color="auto"/>
            </w:tcBorders>
            <w:shd w:val="clear" w:color="auto" w:fill="auto"/>
            <w:vAlign w:val="center"/>
            <w:hideMark/>
          </w:tcPr>
          <w:p w14:paraId="20118E20" w14:textId="573BF37B" w:rsidR="00785B70" w:rsidRPr="00005453" w:rsidRDefault="00785B70" w:rsidP="00785B70">
            <w:pPr>
              <w:jc w:val="right"/>
              <w:rPr>
                <w:b/>
                <w:bCs/>
                <w:sz w:val="14"/>
                <w:szCs w:val="14"/>
                <w:lang w:val="en-GB" w:eastAsia="tr-TR"/>
              </w:rPr>
            </w:pPr>
            <w:r w:rsidRPr="00005453">
              <w:rPr>
                <w:b/>
                <w:bCs/>
                <w:sz w:val="14"/>
                <w:szCs w:val="18"/>
              </w:rPr>
              <w:t>(4,454,553)</w:t>
            </w:r>
          </w:p>
        </w:tc>
        <w:tc>
          <w:tcPr>
            <w:tcW w:w="2006" w:type="dxa"/>
            <w:tcBorders>
              <w:top w:val="nil"/>
              <w:left w:val="single" w:sz="4" w:space="0" w:color="auto"/>
              <w:bottom w:val="nil"/>
              <w:right w:val="single" w:sz="4" w:space="0" w:color="auto"/>
            </w:tcBorders>
            <w:shd w:val="clear" w:color="auto" w:fill="auto"/>
            <w:vAlign w:val="center"/>
            <w:hideMark/>
          </w:tcPr>
          <w:p w14:paraId="5C861A58" w14:textId="3A77E675" w:rsidR="00785B70" w:rsidRPr="00005453" w:rsidRDefault="00785B70" w:rsidP="00785B70">
            <w:pPr>
              <w:jc w:val="right"/>
              <w:rPr>
                <w:b/>
                <w:bCs/>
                <w:sz w:val="14"/>
                <w:szCs w:val="14"/>
                <w:lang w:val="en-US"/>
              </w:rPr>
            </w:pPr>
            <w:r w:rsidRPr="00005453">
              <w:rPr>
                <w:b/>
                <w:sz w:val="14"/>
                <w:szCs w:val="14"/>
              </w:rPr>
              <w:t>(5,947,555)</w:t>
            </w:r>
          </w:p>
        </w:tc>
      </w:tr>
      <w:tr w:rsidR="00785B70" w:rsidRPr="00005453" w14:paraId="7C3EC298"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605644A2" w14:textId="77777777" w:rsidR="00785B70" w:rsidRPr="00005453" w:rsidRDefault="00785B70" w:rsidP="00785B70">
            <w:pPr>
              <w:rPr>
                <w:color w:val="000000"/>
                <w:sz w:val="14"/>
                <w:szCs w:val="14"/>
                <w:lang w:eastAsia="tr-TR"/>
              </w:rPr>
            </w:pPr>
            <w:r w:rsidRPr="00005453">
              <w:rPr>
                <w:color w:val="000000"/>
                <w:sz w:val="14"/>
                <w:szCs w:val="14"/>
                <w:lang w:val="en-US" w:eastAsia="tr-TR"/>
              </w:rPr>
              <w:t>2.1</w:t>
            </w:r>
          </w:p>
        </w:tc>
        <w:tc>
          <w:tcPr>
            <w:tcW w:w="4675" w:type="dxa"/>
            <w:tcBorders>
              <w:top w:val="nil"/>
              <w:left w:val="single" w:sz="4" w:space="0" w:color="auto"/>
              <w:bottom w:val="nil"/>
              <w:right w:val="single" w:sz="4" w:space="0" w:color="auto"/>
            </w:tcBorders>
            <w:shd w:val="clear" w:color="auto" w:fill="auto"/>
            <w:noWrap/>
            <w:vAlign w:val="center"/>
            <w:hideMark/>
          </w:tcPr>
          <w:p w14:paraId="6893E34D"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Kar veya Zararda Yeniden Sınıflandırılmayacaklar</w:t>
            </w:r>
          </w:p>
        </w:tc>
        <w:tc>
          <w:tcPr>
            <w:tcW w:w="1985" w:type="dxa"/>
            <w:tcBorders>
              <w:top w:val="nil"/>
              <w:left w:val="single" w:sz="4" w:space="0" w:color="auto"/>
              <w:bottom w:val="nil"/>
              <w:right w:val="single" w:sz="4" w:space="0" w:color="auto"/>
            </w:tcBorders>
            <w:shd w:val="clear" w:color="auto" w:fill="auto"/>
            <w:vAlign w:val="center"/>
            <w:hideMark/>
          </w:tcPr>
          <w:p w14:paraId="0C83E2C2" w14:textId="31F89C09" w:rsidR="00785B70" w:rsidRPr="00005453" w:rsidRDefault="00785B70" w:rsidP="00785B70">
            <w:pPr>
              <w:jc w:val="right"/>
              <w:rPr>
                <w:bCs/>
                <w:sz w:val="14"/>
                <w:szCs w:val="14"/>
                <w:lang w:val="en-GB" w:eastAsia="tr-TR"/>
              </w:rPr>
            </w:pPr>
            <w:r w:rsidRPr="00005453">
              <w:rPr>
                <w:b/>
                <w:bCs/>
                <w:sz w:val="14"/>
                <w:szCs w:val="18"/>
              </w:rPr>
              <w:t>(39,784)</w:t>
            </w:r>
          </w:p>
        </w:tc>
        <w:tc>
          <w:tcPr>
            <w:tcW w:w="2006" w:type="dxa"/>
            <w:tcBorders>
              <w:top w:val="nil"/>
              <w:left w:val="single" w:sz="4" w:space="0" w:color="auto"/>
              <w:bottom w:val="nil"/>
              <w:right w:val="single" w:sz="4" w:space="0" w:color="auto"/>
            </w:tcBorders>
            <w:shd w:val="clear" w:color="auto" w:fill="auto"/>
            <w:vAlign w:val="center"/>
            <w:hideMark/>
          </w:tcPr>
          <w:p w14:paraId="3A9EE187" w14:textId="24D0F79D" w:rsidR="00785B70" w:rsidRPr="00005453" w:rsidRDefault="00785B70" w:rsidP="00785B70">
            <w:pPr>
              <w:jc w:val="right"/>
              <w:rPr>
                <w:b/>
                <w:sz w:val="14"/>
                <w:szCs w:val="14"/>
                <w:lang w:eastAsia="tr-TR"/>
              </w:rPr>
            </w:pPr>
            <w:r w:rsidRPr="00005453">
              <w:rPr>
                <w:b/>
                <w:sz w:val="14"/>
                <w:szCs w:val="14"/>
              </w:rPr>
              <w:t>(219,573)</w:t>
            </w:r>
          </w:p>
        </w:tc>
      </w:tr>
      <w:tr w:rsidR="00785B70" w:rsidRPr="00005453" w14:paraId="645D8AB9"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0EBC3729" w14:textId="77777777" w:rsidR="00785B70" w:rsidRPr="00005453" w:rsidRDefault="00785B70" w:rsidP="00785B70">
            <w:pPr>
              <w:rPr>
                <w:color w:val="000000"/>
                <w:sz w:val="14"/>
                <w:szCs w:val="14"/>
                <w:lang w:eastAsia="tr-TR"/>
              </w:rPr>
            </w:pPr>
            <w:r w:rsidRPr="00005453">
              <w:rPr>
                <w:color w:val="000000"/>
                <w:sz w:val="14"/>
                <w:szCs w:val="14"/>
                <w:lang w:val="en-US" w:eastAsia="tr-TR"/>
              </w:rPr>
              <w:t>2.1.1</w:t>
            </w:r>
          </w:p>
        </w:tc>
        <w:tc>
          <w:tcPr>
            <w:tcW w:w="4675" w:type="dxa"/>
            <w:tcBorders>
              <w:top w:val="nil"/>
              <w:left w:val="single" w:sz="4" w:space="0" w:color="auto"/>
              <w:bottom w:val="nil"/>
              <w:right w:val="single" w:sz="4" w:space="0" w:color="auto"/>
            </w:tcBorders>
            <w:shd w:val="clear" w:color="auto" w:fill="auto"/>
            <w:noWrap/>
            <w:vAlign w:val="center"/>
            <w:hideMark/>
          </w:tcPr>
          <w:p w14:paraId="659CCFC6" w14:textId="77777777" w:rsidR="00785B70" w:rsidRPr="00005453" w:rsidRDefault="00785B70" w:rsidP="00785B70">
            <w:pPr>
              <w:rPr>
                <w:color w:val="000000"/>
                <w:sz w:val="14"/>
                <w:szCs w:val="14"/>
                <w:lang w:eastAsia="tr-TR"/>
              </w:rPr>
            </w:pPr>
            <w:r w:rsidRPr="00005453">
              <w:rPr>
                <w:color w:val="000000"/>
                <w:sz w:val="14"/>
                <w:szCs w:val="14"/>
                <w:lang w:eastAsia="tr-TR"/>
              </w:rPr>
              <w:t>Maddi Duran Varlıklar Yeniden Değerleme Artışları/Azalışları</w:t>
            </w:r>
          </w:p>
        </w:tc>
        <w:tc>
          <w:tcPr>
            <w:tcW w:w="1985" w:type="dxa"/>
            <w:tcBorders>
              <w:top w:val="nil"/>
              <w:left w:val="single" w:sz="4" w:space="0" w:color="auto"/>
              <w:bottom w:val="nil"/>
              <w:right w:val="single" w:sz="4" w:space="0" w:color="auto"/>
            </w:tcBorders>
            <w:shd w:val="clear" w:color="auto" w:fill="auto"/>
            <w:vAlign w:val="center"/>
            <w:hideMark/>
          </w:tcPr>
          <w:p w14:paraId="4BDBBB64" w14:textId="36DC3ED4"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47B0CAB6" w14:textId="0B1A8FA3" w:rsidR="00785B70" w:rsidRPr="00005453" w:rsidRDefault="00785B70" w:rsidP="00785B70">
            <w:pPr>
              <w:jc w:val="right"/>
              <w:rPr>
                <w:sz w:val="14"/>
                <w:szCs w:val="14"/>
                <w:lang w:eastAsia="tr-TR"/>
              </w:rPr>
            </w:pPr>
            <w:r w:rsidRPr="00005453">
              <w:rPr>
                <w:sz w:val="14"/>
                <w:szCs w:val="14"/>
              </w:rPr>
              <w:t>-</w:t>
            </w:r>
          </w:p>
        </w:tc>
      </w:tr>
      <w:tr w:rsidR="00785B70" w:rsidRPr="00005453" w14:paraId="702C98CE"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739FB68B" w14:textId="77777777" w:rsidR="00785B70" w:rsidRPr="00005453" w:rsidRDefault="00785B70" w:rsidP="00785B70">
            <w:pPr>
              <w:rPr>
                <w:color w:val="000000"/>
                <w:sz w:val="14"/>
                <w:szCs w:val="14"/>
                <w:lang w:eastAsia="tr-TR"/>
              </w:rPr>
            </w:pPr>
            <w:r w:rsidRPr="00005453">
              <w:rPr>
                <w:color w:val="000000"/>
                <w:sz w:val="14"/>
                <w:szCs w:val="14"/>
                <w:lang w:val="en-US" w:eastAsia="tr-TR"/>
              </w:rPr>
              <w:t>2.1.2</w:t>
            </w:r>
          </w:p>
        </w:tc>
        <w:tc>
          <w:tcPr>
            <w:tcW w:w="4675" w:type="dxa"/>
            <w:tcBorders>
              <w:top w:val="nil"/>
              <w:left w:val="single" w:sz="4" w:space="0" w:color="auto"/>
              <w:bottom w:val="nil"/>
              <w:right w:val="single" w:sz="4" w:space="0" w:color="auto"/>
            </w:tcBorders>
            <w:shd w:val="clear" w:color="auto" w:fill="auto"/>
            <w:noWrap/>
            <w:vAlign w:val="center"/>
            <w:hideMark/>
          </w:tcPr>
          <w:p w14:paraId="512ADC72" w14:textId="77777777" w:rsidR="00785B70" w:rsidRPr="00005453" w:rsidRDefault="00785B70" w:rsidP="00785B70">
            <w:pPr>
              <w:rPr>
                <w:color w:val="000000"/>
                <w:sz w:val="14"/>
                <w:szCs w:val="14"/>
                <w:lang w:eastAsia="tr-TR"/>
              </w:rPr>
            </w:pPr>
            <w:r w:rsidRPr="00005453">
              <w:rPr>
                <w:color w:val="000000"/>
                <w:sz w:val="14"/>
                <w:szCs w:val="14"/>
                <w:lang w:eastAsia="tr-TR"/>
              </w:rPr>
              <w:t>Maddi Olmayan Duran Varlıklar Yeniden Değerleme Artışları/Azalışları</w:t>
            </w:r>
          </w:p>
        </w:tc>
        <w:tc>
          <w:tcPr>
            <w:tcW w:w="1985" w:type="dxa"/>
            <w:tcBorders>
              <w:top w:val="nil"/>
              <w:left w:val="single" w:sz="4" w:space="0" w:color="auto"/>
              <w:bottom w:val="nil"/>
              <w:right w:val="single" w:sz="4" w:space="0" w:color="auto"/>
            </w:tcBorders>
            <w:shd w:val="clear" w:color="auto" w:fill="auto"/>
            <w:vAlign w:val="center"/>
            <w:hideMark/>
          </w:tcPr>
          <w:p w14:paraId="7457D542" w14:textId="04ACE3B9"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689D28A1" w14:textId="7CEE54B2" w:rsidR="00785B70" w:rsidRPr="00005453" w:rsidRDefault="00785B70" w:rsidP="00785B70">
            <w:pPr>
              <w:jc w:val="right"/>
              <w:rPr>
                <w:sz w:val="14"/>
                <w:szCs w:val="14"/>
                <w:lang w:eastAsia="tr-TR"/>
              </w:rPr>
            </w:pPr>
            <w:r w:rsidRPr="00005453">
              <w:rPr>
                <w:sz w:val="14"/>
                <w:szCs w:val="14"/>
              </w:rPr>
              <w:t>-</w:t>
            </w:r>
          </w:p>
        </w:tc>
      </w:tr>
      <w:tr w:rsidR="00785B70" w:rsidRPr="00005453" w14:paraId="1C13BF00"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79EEFB63" w14:textId="77777777" w:rsidR="00785B70" w:rsidRPr="00005453" w:rsidRDefault="00785B70" w:rsidP="00785B70">
            <w:pPr>
              <w:rPr>
                <w:color w:val="000000"/>
                <w:sz w:val="14"/>
                <w:szCs w:val="14"/>
                <w:lang w:eastAsia="tr-TR"/>
              </w:rPr>
            </w:pPr>
            <w:r w:rsidRPr="00005453">
              <w:rPr>
                <w:color w:val="000000"/>
                <w:sz w:val="14"/>
                <w:szCs w:val="14"/>
                <w:lang w:val="en-US" w:eastAsia="tr-TR"/>
              </w:rPr>
              <w:t>2.1.3</w:t>
            </w:r>
          </w:p>
        </w:tc>
        <w:tc>
          <w:tcPr>
            <w:tcW w:w="4675" w:type="dxa"/>
            <w:tcBorders>
              <w:top w:val="nil"/>
              <w:left w:val="single" w:sz="4" w:space="0" w:color="auto"/>
              <w:bottom w:val="nil"/>
              <w:right w:val="single" w:sz="4" w:space="0" w:color="auto"/>
            </w:tcBorders>
            <w:shd w:val="clear" w:color="auto" w:fill="auto"/>
            <w:noWrap/>
            <w:vAlign w:val="center"/>
            <w:hideMark/>
          </w:tcPr>
          <w:p w14:paraId="602EFC2D" w14:textId="77777777" w:rsidR="00785B70" w:rsidRPr="00005453" w:rsidRDefault="00785B70" w:rsidP="00785B70">
            <w:pPr>
              <w:rPr>
                <w:color w:val="000000"/>
                <w:sz w:val="14"/>
                <w:szCs w:val="14"/>
                <w:lang w:eastAsia="tr-TR"/>
              </w:rPr>
            </w:pPr>
            <w:r w:rsidRPr="00005453">
              <w:rPr>
                <w:color w:val="000000"/>
                <w:sz w:val="14"/>
                <w:szCs w:val="14"/>
                <w:lang w:eastAsia="tr-TR"/>
              </w:rPr>
              <w:t>Tanımlanmış Fayda Planları Yeniden Ölçüm Kazançları/Kayıpları</w:t>
            </w:r>
          </w:p>
        </w:tc>
        <w:tc>
          <w:tcPr>
            <w:tcW w:w="1985" w:type="dxa"/>
            <w:tcBorders>
              <w:top w:val="nil"/>
              <w:left w:val="single" w:sz="4" w:space="0" w:color="auto"/>
              <w:bottom w:val="nil"/>
              <w:right w:val="single" w:sz="4" w:space="0" w:color="auto"/>
            </w:tcBorders>
            <w:shd w:val="clear" w:color="auto" w:fill="auto"/>
            <w:vAlign w:val="center"/>
            <w:hideMark/>
          </w:tcPr>
          <w:p w14:paraId="058D23E4" w14:textId="77A8E16F" w:rsidR="00785B70" w:rsidRPr="00005453" w:rsidRDefault="00785B70" w:rsidP="00785B70">
            <w:pPr>
              <w:jc w:val="right"/>
              <w:rPr>
                <w:b/>
                <w:bCs/>
                <w:sz w:val="14"/>
                <w:szCs w:val="14"/>
                <w:lang w:val="en-GB" w:eastAsia="tr-TR"/>
              </w:rPr>
            </w:pPr>
            <w:r w:rsidRPr="00005453">
              <w:rPr>
                <w:sz w:val="14"/>
                <w:szCs w:val="18"/>
              </w:rPr>
              <w:t>(56,835)</w:t>
            </w:r>
          </w:p>
        </w:tc>
        <w:tc>
          <w:tcPr>
            <w:tcW w:w="2006" w:type="dxa"/>
            <w:tcBorders>
              <w:top w:val="nil"/>
              <w:left w:val="single" w:sz="4" w:space="0" w:color="auto"/>
              <w:bottom w:val="nil"/>
              <w:right w:val="single" w:sz="4" w:space="0" w:color="auto"/>
            </w:tcBorders>
            <w:shd w:val="clear" w:color="auto" w:fill="auto"/>
            <w:vAlign w:val="center"/>
            <w:hideMark/>
          </w:tcPr>
          <w:p w14:paraId="12A697A1" w14:textId="7FB80518" w:rsidR="00785B70" w:rsidRPr="00005453" w:rsidRDefault="00785B70" w:rsidP="00785B70">
            <w:pPr>
              <w:jc w:val="right"/>
              <w:rPr>
                <w:sz w:val="14"/>
                <w:szCs w:val="14"/>
                <w:lang w:eastAsia="tr-TR"/>
              </w:rPr>
            </w:pPr>
            <w:r w:rsidRPr="00005453">
              <w:rPr>
                <w:sz w:val="14"/>
                <w:szCs w:val="14"/>
              </w:rPr>
              <w:t>(341,715)</w:t>
            </w:r>
          </w:p>
        </w:tc>
      </w:tr>
      <w:tr w:rsidR="00785B70" w:rsidRPr="00005453" w14:paraId="78760164"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3C932FBA" w14:textId="77777777" w:rsidR="00785B70" w:rsidRPr="00005453" w:rsidRDefault="00785B70" w:rsidP="00785B70">
            <w:pPr>
              <w:rPr>
                <w:color w:val="000000"/>
                <w:sz w:val="14"/>
                <w:szCs w:val="14"/>
                <w:lang w:eastAsia="tr-TR"/>
              </w:rPr>
            </w:pPr>
            <w:r w:rsidRPr="00005453">
              <w:rPr>
                <w:color w:val="000000"/>
                <w:sz w:val="14"/>
                <w:szCs w:val="14"/>
                <w:lang w:val="en-US" w:eastAsia="tr-TR"/>
              </w:rPr>
              <w:t>2.1.4</w:t>
            </w:r>
          </w:p>
        </w:tc>
        <w:tc>
          <w:tcPr>
            <w:tcW w:w="4675" w:type="dxa"/>
            <w:tcBorders>
              <w:top w:val="nil"/>
              <w:left w:val="single" w:sz="4" w:space="0" w:color="auto"/>
              <w:bottom w:val="nil"/>
              <w:right w:val="single" w:sz="4" w:space="0" w:color="auto"/>
            </w:tcBorders>
            <w:shd w:val="clear" w:color="auto" w:fill="auto"/>
            <w:noWrap/>
            <w:vAlign w:val="center"/>
            <w:hideMark/>
          </w:tcPr>
          <w:p w14:paraId="759ACC68" w14:textId="77777777" w:rsidR="00785B70" w:rsidRPr="00005453" w:rsidRDefault="00785B70" w:rsidP="00785B70">
            <w:pPr>
              <w:rPr>
                <w:color w:val="000000"/>
                <w:sz w:val="14"/>
                <w:szCs w:val="14"/>
                <w:lang w:eastAsia="tr-TR"/>
              </w:rPr>
            </w:pPr>
            <w:r w:rsidRPr="00005453">
              <w:rPr>
                <w:color w:val="000000"/>
                <w:sz w:val="14"/>
                <w:szCs w:val="14"/>
                <w:lang w:eastAsia="tr-TR"/>
              </w:rPr>
              <w:t>Diğer Kâr veya Zarar Olarak Yeniden Sınıflandırılmayacak Diğer Kapsamlı Gelir Unsurları</w:t>
            </w:r>
          </w:p>
        </w:tc>
        <w:tc>
          <w:tcPr>
            <w:tcW w:w="1985" w:type="dxa"/>
            <w:tcBorders>
              <w:top w:val="nil"/>
              <w:left w:val="single" w:sz="4" w:space="0" w:color="auto"/>
              <w:bottom w:val="nil"/>
              <w:right w:val="single" w:sz="4" w:space="0" w:color="auto"/>
            </w:tcBorders>
            <w:shd w:val="clear" w:color="auto" w:fill="auto"/>
            <w:vAlign w:val="center"/>
            <w:hideMark/>
          </w:tcPr>
          <w:p w14:paraId="4EA0A9D1" w14:textId="57D81B8E"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049F9078" w14:textId="42791123" w:rsidR="00785B70" w:rsidRPr="00005453" w:rsidRDefault="00785B70" w:rsidP="00785B70">
            <w:pPr>
              <w:jc w:val="right"/>
              <w:rPr>
                <w:sz w:val="14"/>
                <w:szCs w:val="14"/>
                <w:lang w:eastAsia="tr-TR"/>
              </w:rPr>
            </w:pPr>
            <w:r w:rsidRPr="00005453">
              <w:rPr>
                <w:sz w:val="14"/>
                <w:szCs w:val="14"/>
              </w:rPr>
              <w:t>-</w:t>
            </w:r>
          </w:p>
        </w:tc>
      </w:tr>
      <w:tr w:rsidR="00785B70" w:rsidRPr="00005453" w14:paraId="41D4BAF9"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62204333" w14:textId="77777777" w:rsidR="00785B70" w:rsidRPr="00005453" w:rsidRDefault="00785B70" w:rsidP="00785B70">
            <w:pPr>
              <w:rPr>
                <w:color w:val="000000"/>
                <w:sz w:val="14"/>
                <w:szCs w:val="14"/>
                <w:lang w:eastAsia="tr-TR"/>
              </w:rPr>
            </w:pPr>
            <w:r w:rsidRPr="00005453">
              <w:rPr>
                <w:color w:val="000000"/>
                <w:sz w:val="14"/>
                <w:szCs w:val="14"/>
                <w:lang w:val="en-US" w:eastAsia="tr-TR"/>
              </w:rPr>
              <w:t>2.1.5</w:t>
            </w:r>
          </w:p>
        </w:tc>
        <w:tc>
          <w:tcPr>
            <w:tcW w:w="4675" w:type="dxa"/>
            <w:tcBorders>
              <w:top w:val="nil"/>
              <w:left w:val="single" w:sz="4" w:space="0" w:color="auto"/>
              <w:bottom w:val="nil"/>
              <w:right w:val="single" w:sz="4" w:space="0" w:color="auto"/>
            </w:tcBorders>
            <w:shd w:val="clear" w:color="auto" w:fill="auto"/>
            <w:noWrap/>
            <w:vAlign w:val="center"/>
            <w:hideMark/>
          </w:tcPr>
          <w:p w14:paraId="0ABEEEB2" w14:textId="77777777" w:rsidR="00785B70" w:rsidRPr="00005453" w:rsidRDefault="00785B70" w:rsidP="00785B70">
            <w:pPr>
              <w:rPr>
                <w:color w:val="000000"/>
                <w:sz w:val="14"/>
                <w:szCs w:val="14"/>
                <w:lang w:eastAsia="tr-TR"/>
              </w:rPr>
            </w:pPr>
            <w:r w:rsidRPr="00005453">
              <w:rPr>
                <w:color w:val="000000"/>
                <w:sz w:val="14"/>
                <w:szCs w:val="14"/>
                <w:lang w:eastAsia="tr-TR"/>
              </w:rPr>
              <w:t>Kâr veya Zararda Yeniden Sınıflandırılmayacak Diğer Kapsamlı Gelire İlişkin Vergiler</w:t>
            </w:r>
          </w:p>
        </w:tc>
        <w:tc>
          <w:tcPr>
            <w:tcW w:w="1985" w:type="dxa"/>
            <w:tcBorders>
              <w:top w:val="nil"/>
              <w:left w:val="single" w:sz="4" w:space="0" w:color="auto"/>
              <w:bottom w:val="nil"/>
              <w:right w:val="single" w:sz="4" w:space="0" w:color="auto"/>
            </w:tcBorders>
            <w:shd w:val="clear" w:color="auto" w:fill="auto"/>
            <w:vAlign w:val="center"/>
            <w:hideMark/>
          </w:tcPr>
          <w:p w14:paraId="59D7DD1B" w14:textId="33585C80" w:rsidR="00785B70" w:rsidRPr="00005453" w:rsidRDefault="00785B70" w:rsidP="00785B70">
            <w:pPr>
              <w:jc w:val="right"/>
              <w:rPr>
                <w:bCs/>
                <w:sz w:val="14"/>
                <w:szCs w:val="14"/>
                <w:lang w:val="en-GB" w:eastAsia="tr-TR"/>
              </w:rPr>
            </w:pPr>
            <w:r w:rsidRPr="00005453">
              <w:rPr>
                <w:sz w:val="14"/>
                <w:szCs w:val="18"/>
              </w:rPr>
              <w:t>17,051</w:t>
            </w:r>
          </w:p>
        </w:tc>
        <w:tc>
          <w:tcPr>
            <w:tcW w:w="2006" w:type="dxa"/>
            <w:tcBorders>
              <w:top w:val="nil"/>
              <w:left w:val="single" w:sz="4" w:space="0" w:color="auto"/>
              <w:bottom w:val="nil"/>
              <w:right w:val="single" w:sz="4" w:space="0" w:color="auto"/>
            </w:tcBorders>
            <w:shd w:val="clear" w:color="auto" w:fill="auto"/>
            <w:vAlign w:val="center"/>
            <w:hideMark/>
          </w:tcPr>
          <w:p w14:paraId="494A48B9" w14:textId="6267442D" w:rsidR="00785B70" w:rsidRPr="00005453" w:rsidRDefault="00785B70" w:rsidP="00785B70">
            <w:pPr>
              <w:jc w:val="right"/>
              <w:rPr>
                <w:sz w:val="14"/>
                <w:szCs w:val="14"/>
                <w:lang w:eastAsia="tr-TR"/>
              </w:rPr>
            </w:pPr>
            <w:r w:rsidRPr="00005453">
              <w:rPr>
                <w:sz w:val="14"/>
                <w:szCs w:val="14"/>
              </w:rPr>
              <w:t>122,142</w:t>
            </w:r>
          </w:p>
        </w:tc>
      </w:tr>
      <w:tr w:rsidR="00785B70" w:rsidRPr="00005453" w14:paraId="6E6E8C13"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1915AD2A" w14:textId="77777777" w:rsidR="00785B70" w:rsidRPr="00005453" w:rsidRDefault="00785B70" w:rsidP="00785B70">
            <w:pPr>
              <w:rPr>
                <w:color w:val="000000"/>
                <w:sz w:val="14"/>
                <w:szCs w:val="14"/>
                <w:lang w:eastAsia="tr-TR"/>
              </w:rPr>
            </w:pPr>
            <w:r w:rsidRPr="00005453">
              <w:rPr>
                <w:color w:val="000000"/>
                <w:sz w:val="14"/>
                <w:szCs w:val="14"/>
                <w:lang w:val="en-US" w:eastAsia="tr-TR"/>
              </w:rPr>
              <w:t>2.2</w:t>
            </w:r>
          </w:p>
        </w:tc>
        <w:tc>
          <w:tcPr>
            <w:tcW w:w="4675" w:type="dxa"/>
            <w:tcBorders>
              <w:top w:val="nil"/>
              <w:left w:val="single" w:sz="4" w:space="0" w:color="auto"/>
              <w:bottom w:val="nil"/>
              <w:right w:val="single" w:sz="4" w:space="0" w:color="auto"/>
            </w:tcBorders>
            <w:shd w:val="clear" w:color="auto" w:fill="auto"/>
            <w:noWrap/>
            <w:vAlign w:val="center"/>
            <w:hideMark/>
          </w:tcPr>
          <w:p w14:paraId="6FA0DB67" w14:textId="77777777" w:rsidR="00785B70" w:rsidRPr="00005453" w:rsidRDefault="00785B70" w:rsidP="00785B70">
            <w:pPr>
              <w:rPr>
                <w:b/>
                <w:bCs/>
                <w:color w:val="000000"/>
                <w:sz w:val="14"/>
                <w:szCs w:val="14"/>
                <w:lang w:eastAsia="tr-TR"/>
              </w:rPr>
            </w:pPr>
            <w:r w:rsidRPr="00005453">
              <w:rPr>
                <w:b/>
                <w:bCs/>
                <w:color w:val="000000"/>
                <w:sz w:val="14"/>
                <w:szCs w:val="14"/>
                <w:lang w:eastAsia="tr-TR"/>
              </w:rPr>
              <w:t>Kâr veya Zararda Yeniden Sınıflandırılacaklar</w:t>
            </w:r>
          </w:p>
        </w:tc>
        <w:tc>
          <w:tcPr>
            <w:tcW w:w="1985" w:type="dxa"/>
            <w:tcBorders>
              <w:top w:val="nil"/>
              <w:left w:val="single" w:sz="4" w:space="0" w:color="auto"/>
              <w:bottom w:val="nil"/>
              <w:right w:val="single" w:sz="4" w:space="0" w:color="auto"/>
            </w:tcBorders>
            <w:shd w:val="clear" w:color="auto" w:fill="auto"/>
            <w:vAlign w:val="center"/>
            <w:hideMark/>
          </w:tcPr>
          <w:p w14:paraId="090DF2A3" w14:textId="5FE16AD2" w:rsidR="00785B70" w:rsidRPr="00005453" w:rsidRDefault="00785B70" w:rsidP="00785B70">
            <w:pPr>
              <w:jc w:val="right"/>
              <w:rPr>
                <w:b/>
                <w:bCs/>
                <w:sz w:val="14"/>
                <w:szCs w:val="14"/>
                <w:lang w:val="en-GB" w:eastAsia="tr-TR"/>
              </w:rPr>
            </w:pPr>
            <w:r w:rsidRPr="00005453">
              <w:rPr>
                <w:b/>
                <w:bCs/>
                <w:sz w:val="14"/>
                <w:szCs w:val="18"/>
              </w:rPr>
              <w:t>(4,414,769)</w:t>
            </w:r>
          </w:p>
        </w:tc>
        <w:tc>
          <w:tcPr>
            <w:tcW w:w="2006" w:type="dxa"/>
            <w:tcBorders>
              <w:top w:val="nil"/>
              <w:left w:val="single" w:sz="4" w:space="0" w:color="auto"/>
              <w:bottom w:val="nil"/>
              <w:right w:val="single" w:sz="4" w:space="0" w:color="auto"/>
            </w:tcBorders>
            <w:shd w:val="clear" w:color="auto" w:fill="auto"/>
            <w:vAlign w:val="center"/>
            <w:hideMark/>
          </w:tcPr>
          <w:p w14:paraId="77220033" w14:textId="2EAF703B" w:rsidR="00785B70" w:rsidRPr="00005453" w:rsidRDefault="00785B70" w:rsidP="00785B70">
            <w:pPr>
              <w:jc w:val="right"/>
              <w:rPr>
                <w:b/>
                <w:bCs/>
                <w:sz w:val="14"/>
                <w:szCs w:val="14"/>
                <w:lang w:val="en-US"/>
              </w:rPr>
            </w:pPr>
            <w:r w:rsidRPr="00005453">
              <w:rPr>
                <w:b/>
                <w:sz w:val="14"/>
                <w:szCs w:val="14"/>
              </w:rPr>
              <w:t>(5,727,982)</w:t>
            </w:r>
          </w:p>
        </w:tc>
      </w:tr>
      <w:tr w:rsidR="00785B70" w:rsidRPr="00005453" w14:paraId="51FFCCD9"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2200B64E" w14:textId="77777777" w:rsidR="00785B70" w:rsidRPr="00005453" w:rsidRDefault="00785B70" w:rsidP="00785B70">
            <w:pPr>
              <w:rPr>
                <w:color w:val="000000"/>
                <w:sz w:val="14"/>
                <w:szCs w:val="14"/>
                <w:lang w:eastAsia="tr-TR"/>
              </w:rPr>
            </w:pPr>
            <w:r w:rsidRPr="00005453">
              <w:rPr>
                <w:color w:val="000000"/>
                <w:sz w:val="14"/>
                <w:szCs w:val="14"/>
                <w:lang w:val="en-US" w:eastAsia="tr-TR"/>
              </w:rPr>
              <w:t>2.2.1</w:t>
            </w:r>
          </w:p>
        </w:tc>
        <w:tc>
          <w:tcPr>
            <w:tcW w:w="4675" w:type="dxa"/>
            <w:tcBorders>
              <w:top w:val="nil"/>
              <w:left w:val="single" w:sz="4" w:space="0" w:color="auto"/>
              <w:bottom w:val="nil"/>
              <w:right w:val="single" w:sz="4" w:space="0" w:color="auto"/>
            </w:tcBorders>
            <w:shd w:val="clear" w:color="auto" w:fill="auto"/>
            <w:noWrap/>
            <w:vAlign w:val="center"/>
            <w:hideMark/>
          </w:tcPr>
          <w:p w14:paraId="105E9C7D" w14:textId="77777777" w:rsidR="00785B70" w:rsidRPr="00005453" w:rsidRDefault="00785B70" w:rsidP="00785B70">
            <w:pPr>
              <w:rPr>
                <w:color w:val="000000"/>
                <w:sz w:val="14"/>
                <w:szCs w:val="14"/>
                <w:lang w:eastAsia="tr-TR"/>
              </w:rPr>
            </w:pPr>
            <w:r w:rsidRPr="00005453">
              <w:rPr>
                <w:color w:val="000000"/>
                <w:sz w:val="14"/>
                <w:szCs w:val="14"/>
                <w:lang w:val="en-US" w:eastAsia="tr-TR"/>
              </w:rPr>
              <w:t>Yabancı Para Çevirim Farkları</w:t>
            </w:r>
          </w:p>
        </w:tc>
        <w:tc>
          <w:tcPr>
            <w:tcW w:w="1985" w:type="dxa"/>
            <w:tcBorders>
              <w:top w:val="nil"/>
              <w:left w:val="single" w:sz="4" w:space="0" w:color="auto"/>
              <w:bottom w:val="nil"/>
              <w:right w:val="single" w:sz="4" w:space="0" w:color="auto"/>
            </w:tcBorders>
            <w:shd w:val="clear" w:color="auto" w:fill="auto"/>
            <w:vAlign w:val="center"/>
            <w:hideMark/>
          </w:tcPr>
          <w:p w14:paraId="18A62C32" w14:textId="5BB79811"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39FA4A43" w14:textId="62D3C3F8" w:rsidR="00785B70" w:rsidRPr="00005453" w:rsidRDefault="00785B70" w:rsidP="00785B70">
            <w:pPr>
              <w:jc w:val="right"/>
              <w:rPr>
                <w:sz w:val="14"/>
                <w:szCs w:val="14"/>
                <w:lang w:eastAsia="tr-TR"/>
              </w:rPr>
            </w:pPr>
            <w:r w:rsidRPr="00005453">
              <w:rPr>
                <w:sz w:val="14"/>
                <w:szCs w:val="14"/>
              </w:rPr>
              <w:t>-</w:t>
            </w:r>
          </w:p>
        </w:tc>
      </w:tr>
      <w:tr w:rsidR="00785B70" w:rsidRPr="00005453" w14:paraId="29817844"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5D6278DF" w14:textId="77777777" w:rsidR="00785B70" w:rsidRPr="00005453" w:rsidRDefault="00785B70" w:rsidP="00785B70">
            <w:pPr>
              <w:rPr>
                <w:color w:val="000000"/>
                <w:sz w:val="14"/>
                <w:szCs w:val="14"/>
                <w:lang w:eastAsia="tr-TR"/>
              </w:rPr>
            </w:pPr>
            <w:r w:rsidRPr="00005453">
              <w:rPr>
                <w:color w:val="000000"/>
                <w:sz w:val="14"/>
                <w:szCs w:val="14"/>
                <w:lang w:val="en-US" w:eastAsia="tr-TR"/>
              </w:rPr>
              <w:t>2.2.2</w:t>
            </w:r>
          </w:p>
        </w:tc>
        <w:tc>
          <w:tcPr>
            <w:tcW w:w="4675" w:type="dxa"/>
            <w:tcBorders>
              <w:top w:val="nil"/>
              <w:left w:val="single" w:sz="4" w:space="0" w:color="auto"/>
              <w:bottom w:val="nil"/>
              <w:right w:val="single" w:sz="4" w:space="0" w:color="auto"/>
            </w:tcBorders>
            <w:shd w:val="clear" w:color="auto" w:fill="auto"/>
            <w:hideMark/>
          </w:tcPr>
          <w:p w14:paraId="25C3ED43" w14:textId="77777777" w:rsidR="00785B70" w:rsidRPr="00005453" w:rsidRDefault="00785B70" w:rsidP="00785B70">
            <w:pPr>
              <w:rPr>
                <w:color w:val="000000"/>
                <w:sz w:val="14"/>
                <w:szCs w:val="14"/>
                <w:lang w:eastAsia="tr-TR"/>
              </w:rPr>
            </w:pPr>
            <w:r w:rsidRPr="00005453">
              <w:rPr>
                <w:color w:val="000000"/>
                <w:sz w:val="14"/>
                <w:szCs w:val="14"/>
                <w:lang w:eastAsia="tr-TR"/>
              </w:rPr>
              <w:t>Gerçeğe Uygun Değer Farkı Diğer Kapsamlı Gelire Yansıtılan Finansal Varlıkların Değerleme ve/veya Sınıflandırma Gelirleri/Giderleri</w:t>
            </w:r>
          </w:p>
        </w:tc>
        <w:tc>
          <w:tcPr>
            <w:tcW w:w="1985" w:type="dxa"/>
            <w:tcBorders>
              <w:top w:val="nil"/>
              <w:left w:val="single" w:sz="4" w:space="0" w:color="auto"/>
              <w:bottom w:val="nil"/>
              <w:right w:val="single" w:sz="4" w:space="0" w:color="auto"/>
            </w:tcBorders>
            <w:shd w:val="clear" w:color="auto" w:fill="auto"/>
            <w:vAlign w:val="center"/>
            <w:hideMark/>
          </w:tcPr>
          <w:p w14:paraId="6871EC8B" w14:textId="2D51AF8D" w:rsidR="00785B70" w:rsidRPr="00005453" w:rsidRDefault="00785B70" w:rsidP="00785B70">
            <w:pPr>
              <w:jc w:val="right"/>
              <w:rPr>
                <w:bCs/>
                <w:sz w:val="14"/>
                <w:szCs w:val="14"/>
                <w:lang w:val="en-GB" w:eastAsia="tr-TR"/>
              </w:rPr>
            </w:pPr>
            <w:r w:rsidRPr="00005453">
              <w:rPr>
                <w:sz w:val="14"/>
                <w:szCs w:val="18"/>
              </w:rPr>
              <w:t>(6,306,812)</w:t>
            </w:r>
          </w:p>
        </w:tc>
        <w:tc>
          <w:tcPr>
            <w:tcW w:w="2006" w:type="dxa"/>
            <w:tcBorders>
              <w:top w:val="nil"/>
              <w:left w:val="single" w:sz="4" w:space="0" w:color="auto"/>
              <w:bottom w:val="nil"/>
              <w:right w:val="single" w:sz="4" w:space="0" w:color="auto"/>
            </w:tcBorders>
            <w:shd w:val="clear" w:color="auto" w:fill="auto"/>
            <w:vAlign w:val="center"/>
            <w:hideMark/>
          </w:tcPr>
          <w:p w14:paraId="758C7C17" w14:textId="7111EA11" w:rsidR="00785B70" w:rsidRPr="00005453" w:rsidRDefault="00785B70" w:rsidP="00785B70">
            <w:pPr>
              <w:jc w:val="right"/>
              <w:rPr>
                <w:sz w:val="14"/>
                <w:szCs w:val="14"/>
                <w:lang w:val="en-US"/>
              </w:rPr>
            </w:pPr>
            <w:r w:rsidRPr="00005453">
              <w:rPr>
                <w:sz w:val="14"/>
                <w:szCs w:val="14"/>
              </w:rPr>
              <w:t>(7,735,464)</w:t>
            </w:r>
          </w:p>
        </w:tc>
      </w:tr>
      <w:tr w:rsidR="00785B70" w:rsidRPr="00005453" w14:paraId="7C74069E"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66EF908F" w14:textId="77777777" w:rsidR="00785B70" w:rsidRPr="00005453" w:rsidRDefault="00785B70" w:rsidP="00785B70">
            <w:pPr>
              <w:rPr>
                <w:color w:val="000000"/>
                <w:sz w:val="14"/>
                <w:szCs w:val="14"/>
                <w:lang w:eastAsia="tr-TR"/>
              </w:rPr>
            </w:pPr>
            <w:r w:rsidRPr="00005453">
              <w:rPr>
                <w:color w:val="000000"/>
                <w:sz w:val="14"/>
                <w:szCs w:val="14"/>
                <w:lang w:val="en-US" w:eastAsia="tr-TR"/>
              </w:rPr>
              <w:t>2.2.3</w:t>
            </w:r>
          </w:p>
        </w:tc>
        <w:tc>
          <w:tcPr>
            <w:tcW w:w="4675" w:type="dxa"/>
            <w:tcBorders>
              <w:top w:val="nil"/>
              <w:left w:val="single" w:sz="4" w:space="0" w:color="auto"/>
              <w:bottom w:val="nil"/>
              <w:right w:val="single" w:sz="4" w:space="0" w:color="auto"/>
            </w:tcBorders>
            <w:shd w:val="clear" w:color="auto" w:fill="auto"/>
            <w:noWrap/>
            <w:vAlign w:val="center"/>
            <w:hideMark/>
          </w:tcPr>
          <w:p w14:paraId="0F899F36" w14:textId="77777777" w:rsidR="00785B70" w:rsidRPr="00005453" w:rsidRDefault="00785B70" w:rsidP="00785B70">
            <w:pPr>
              <w:rPr>
                <w:color w:val="000000"/>
                <w:sz w:val="14"/>
                <w:szCs w:val="14"/>
                <w:lang w:eastAsia="tr-TR"/>
              </w:rPr>
            </w:pPr>
            <w:r w:rsidRPr="00005453">
              <w:rPr>
                <w:color w:val="000000"/>
                <w:sz w:val="14"/>
                <w:szCs w:val="14"/>
                <w:lang w:val="de-DE" w:eastAsia="tr-TR"/>
              </w:rPr>
              <w:t>Nakit Akış Riskinden Korunma Gelirleri/Giderleri</w:t>
            </w:r>
          </w:p>
        </w:tc>
        <w:tc>
          <w:tcPr>
            <w:tcW w:w="1985" w:type="dxa"/>
            <w:tcBorders>
              <w:top w:val="nil"/>
              <w:left w:val="single" w:sz="4" w:space="0" w:color="auto"/>
              <w:bottom w:val="nil"/>
              <w:right w:val="single" w:sz="4" w:space="0" w:color="auto"/>
            </w:tcBorders>
            <w:shd w:val="clear" w:color="auto" w:fill="auto"/>
            <w:vAlign w:val="center"/>
            <w:hideMark/>
          </w:tcPr>
          <w:p w14:paraId="2DAD8541" w14:textId="71EB5C6D"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74DDCFA6" w14:textId="14986EF9" w:rsidR="00785B70" w:rsidRPr="00005453" w:rsidRDefault="00785B70" w:rsidP="00785B70">
            <w:pPr>
              <w:jc w:val="right"/>
              <w:rPr>
                <w:sz w:val="14"/>
                <w:szCs w:val="14"/>
                <w:lang w:eastAsia="tr-TR"/>
              </w:rPr>
            </w:pPr>
            <w:r w:rsidRPr="00005453">
              <w:rPr>
                <w:sz w:val="14"/>
                <w:szCs w:val="14"/>
              </w:rPr>
              <w:t>-</w:t>
            </w:r>
          </w:p>
        </w:tc>
      </w:tr>
      <w:tr w:rsidR="00785B70" w:rsidRPr="00005453" w14:paraId="7CB9B004"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0A2ECA39" w14:textId="77777777" w:rsidR="00785B70" w:rsidRPr="00005453" w:rsidRDefault="00785B70" w:rsidP="00785B70">
            <w:pPr>
              <w:rPr>
                <w:color w:val="000000"/>
                <w:sz w:val="14"/>
                <w:szCs w:val="14"/>
                <w:lang w:eastAsia="tr-TR"/>
              </w:rPr>
            </w:pPr>
            <w:r w:rsidRPr="00005453">
              <w:rPr>
                <w:color w:val="000000"/>
                <w:sz w:val="14"/>
                <w:szCs w:val="14"/>
                <w:lang w:val="en-US" w:eastAsia="tr-TR"/>
              </w:rPr>
              <w:t>2.2.4</w:t>
            </w:r>
          </w:p>
        </w:tc>
        <w:tc>
          <w:tcPr>
            <w:tcW w:w="4675" w:type="dxa"/>
            <w:tcBorders>
              <w:top w:val="nil"/>
              <w:left w:val="single" w:sz="4" w:space="0" w:color="auto"/>
              <w:bottom w:val="nil"/>
              <w:right w:val="single" w:sz="4" w:space="0" w:color="auto"/>
            </w:tcBorders>
            <w:shd w:val="clear" w:color="auto" w:fill="auto"/>
            <w:noWrap/>
            <w:vAlign w:val="center"/>
            <w:hideMark/>
          </w:tcPr>
          <w:p w14:paraId="401092B2" w14:textId="42B6C8E4" w:rsidR="00785B70" w:rsidRPr="00005453" w:rsidRDefault="00785B70" w:rsidP="00785B70">
            <w:pPr>
              <w:rPr>
                <w:color w:val="000000"/>
                <w:sz w:val="14"/>
                <w:szCs w:val="14"/>
                <w:lang w:eastAsia="tr-TR"/>
              </w:rPr>
            </w:pPr>
            <w:r w:rsidRPr="00005453">
              <w:rPr>
                <w:color w:val="000000"/>
                <w:sz w:val="14"/>
                <w:szCs w:val="14"/>
                <w:lang w:eastAsia="tr-TR"/>
              </w:rPr>
              <w:t>Yurt dışındaki İşletmeye İlişkin Yatırım Riskinden Korunma Gelirleri/Giderleri</w:t>
            </w:r>
          </w:p>
        </w:tc>
        <w:tc>
          <w:tcPr>
            <w:tcW w:w="1985" w:type="dxa"/>
            <w:tcBorders>
              <w:top w:val="nil"/>
              <w:left w:val="single" w:sz="4" w:space="0" w:color="auto"/>
              <w:bottom w:val="nil"/>
              <w:right w:val="single" w:sz="4" w:space="0" w:color="auto"/>
            </w:tcBorders>
            <w:shd w:val="clear" w:color="auto" w:fill="auto"/>
            <w:vAlign w:val="center"/>
            <w:hideMark/>
          </w:tcPr>
          <w:p w14:paraId="56D89406" w14:textId="280EC876"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4DB39075" w14:textId="2FFCD423" w:rsidR="00785B70" w:rsidRPr="00005453" w:rsidRDefault="00785B70" w:rsidP="00785B70">
            <w:pPr>
              <w:jc w:val="right"/>
              <w:rPr>
                <w:sz w:val="14"/>
                <w:szCs w:val="14"/>
                <w:lang w:eastAsia="tr-TR"/>
              </w:rPr>
            </w:pPr>
            <w:r w:rsidRPr="00005453">
              <w:rPr>
                <w:sz w:val="14"/>
                <w:szCs w:val="14"/>
              </w:rPr>
              <w:t>-</w:t>
            </w:r>
          </w:p>
        </w:tc>
      </w:tr>
      <w:tr w:rsidR="00785B70" w:rsidRPr="00005453" w14:paraId="713F5077" w14:textId="77777777" w:rsidTr="00785B70">
        <w:trPr>
          <w:trHeight w:val="51"/>
        </w:trPr>
        <w:tc>
          <w:tcPr>
            <w:tcW w:w="423" w:type="dxa"/>
            <w:tcBorders>
              <w:top w:val="nil"/>
              <w:left w:val="single" w:sz="4" w:space="0" w:color="auto"/>
              <w:bottom w:val="nil"/>
              <w:right w:val="single" w:sz="4" w:space="0" w:color="auto"/>
            </w:tcBorders>
            <w:shd w:val="clear" w:color="auto" w:fill="auto"/>
            <w:noWrap/>
            <w:hideMark/>
          </w:tcPr>
          <w:p w14:paraId="7AA28FA5" w14:textId="77777777" w:rsidR="00785B70" w:rsidRPr="00005453" w:rsidRDefault="00785B70" w:rsidP="00785B70">
            <w:pPr>
              <w:rPr>
                <w:color w:val="000000"/>
                <w:sz w:val="14"/>
                <w:szCs w:val="14"/>
                <w:lang w:eastAsia="tr-TR"/>
              </w:rPr>
            </w:pPr>
            <w:r w:rsidRPr="00005453">
              <w:rPr>
                <w:color w:val="000000"/>
                <w:sz w:val="14"/>
                <w:szCs w:val="14"/>
                <w:lang w:val="en-US" w:eastAsia="tr-TR"/>
              </w:rPr>
              <w:t>2.2.5</w:t>
            </w:r>
          </w:p>
        </w:tc>
        <w:tc>
          <w:tcPr>
            <w:tcW w:w="4675" w:type="dxa"/>
            <w:tcBorders>
              <w:top w:val="nil"/>
              <w:left w:val="single" w:sz="4" w:space="0" w:color="auto"/>
              <w:bottom w:val="nil"/>
              <w:right w:val="single" w:sz="4" w:space="0" w:color="auto"/>
            </w:tcBorders>
            <w:shd w:val="clear" w:color="auto" w:fill="auto"/>
            <w:noWrap/>
            <w:vAlign w:val="center"/>
            <w:hideMark/>
          </w:tcPr>
          <w:p w14:paraId="496DB96F" w14:textId="77777777" w:rsidR="00785B70" w:rsidRPr="00005453" w:rsidRDefault="00785B70" w:rsidP="00785B70">
            <w:pPr>
              <w:rPr>
                <w:color w:val="000000"/>
                <w:sz w:val="14"/>
                <w:szCs w:val="14"/>
                <w:lang w:eastAsia="tr-TR"/>
              </w:rPr>
            </w:pPr>
            <w:r w:rsidRPr="00005453">
              <w:rPr>
                <w:color w:val="000000"/>
                <w:sz w:val="14"/>
                <w:szCs w:val="14"/>
                <w:lang w:eastAsia="tr-TR"/>
              </w:rPr>
              <w:t>Diğer Kâr veya Zarar Olarak Yeniden Sınıflandırılacak Diğer Kapsamlı Gelir Unsurları</w:t>
            </w:r>
          </w:p>
        </w:tc>
        <w:tc>
          <w:tcPr>
            <w:tcW w:w="1985" w:type="dxa"/>
            <w:tcBorders>
              <w:top w:val="nil"/>
              <w:left w:val="single" w:sz="4" w:space="0" w:color="auto"/>
              <w:bottom w:val="nil"/>
              <w:right w:val="single" w:sz="4" w:space="0" w:color="auto"/>
            </w:tcBorders>
            <w:shd w:val="clear" w:color="auto" w:fill="auto"/>
            <w:vAlign w:val="center"/>
            <w:hideMark/>
          </w:tcPr>
          <w:p w14:paraId="116FA0FB" w14:textId="0ECA0E6F" w:rsidR="00785B70" w:rsidRPr="00005453" w:rsidRDefault="00785B70" w:rsidP="00785B70">
            <w:pPr>
              <w:jc w:val="right"/>
              <w:rPr>
                <w:b/>
                <w:bCs/>
                <w:sz w:val="14"/>
                <w:szCs w:val="14"/>
                <w:lang w:val="en-GB" w:eastAsia="tr-TR"/>
              </w:rPr>
            </w:pPr>
            <w:r w:rsidRPr="00005453">
              <w:rPr>
                <w:sz w:val="14"/>
                <w:szCs w:val="18"/>
              </w:rPr>
              <w:t>-</w:t>
            </w:r>
          </w:p>
        </w:tc>
        <w:tc>
          <w:tcPr>
            <w:tcW w:w="2006" w:type="dxa"/>
            <w:tcBorders>
              <w:top w:val="nil"/>
              <w:left w:val="single" w:sz="4" w:space="0" w:color="auto"/>
              <w:bottom w:val="nil"/>
              <w:right w:val="single" w:sz="4" w:space="0" w:color="auto"/>
            </w:tcBorders>
            <w:shd w:val="clear" w:color="auto" w:fill="auto"/>
            <w:vAlign w:val="center"/>
            <w:hideMark/>
          </w:tcPr>
          <w:p w14:paraId="027F85DE" w14:textId="1DAAFA8B" w:rsidR="00785B70" w:rsidRPr="00005453" w:rsidRDefault="00785B70" w:rsidP="00785B70">
            <w:pPr>
              <w:jc w:val="right"/>
              <w:rPr>
                <w:sz w:val="14"/>
                <w:szCs w:val="14"/>
                <w:lang w:eastAsia="tr-TR"/>
              </w:rPr>
            </w:pPr>
            <w:r w:rsidRPr="00005453">
              <w:rPr>
                <w:sz w:val="14"/>
                <w:szCs w:val="14"/>
              </w:rPr>
              <w:t>-</w:t>
            </w:r>
          </w:p>
        </w:tc>
      </w:tr>
      <w:tr w:rsidR="00785B70" w:rsidRPr="00005453" w14:paraId="315C42EA" w14:textId="77777777" w:rsidTr="00785B70">
        <w:trPr>
          <w:trHeight w:val="51"/>
        </w:trPr>
        <w:tc>
          <w:tcPr>
            <w:tcW w:w="423" w:type="dxa"/>
            <w:tcBorders>
              <w:top w:val="nil"/>
              <w:left w:val="single" w:sz="4" w:space="0" w:color="auto"/>
              <w:bottom w:val="single" w:sz="4" w:space="0" w:color="auto"/>
              <w:right w:val="single" w:sz="4" w:space="0" w:color="auto"/>
            </w:tcBorders>
            <w:shd w:val="clear" w:color="auto" w:fill="auto"/>
            <w:noWrap/>
            <w:hideMark/>
          </w:tcPr>
          <w:p w14:paraId="24FED5A1" w14:textId="77777777" w:rsidR="00785B70" w:rsidRPr="00005453" w:rsidRDefault="00785B70" w:rsidP="00785B70">
            <w:pPr>
              <w:rPr>
                <w:color w:val="000000"/>
                <w:sz w:val="14"/>
                <w:szCs w:val="14"/>
                <w:lang w:eastAsia="tr-TR"/>
              </w:rPr>
            </w:pPr>
            <w:r w:rsidRPr="00005453">
              <w:rPr>
                <w:color w:val="000000"/>
                <w:sz w:val="14"/>
                <w:szCs w:val="14"/>
                <w:lang w:val="en-US" w:eastAsia="tr-TR"/>
              </w:rPr>
              <w:t>2.2.6</w:t>
            </w:r>
          </w:p>
        </w:tc>
        <w:tc>
          <w:tcPr>
            <w:tcW w:w="4675" w:type="dxa"/>
            <w:tcBorders>
              <w:top w:val="nil"/>
              <w:left w:val="single" w:sz="4" w:space="0" w:color="auto"/>
              <w:bottom w:val="single" w:sz="4" w:space="0" w:color="auto"/>
              <w:right w:val="single" w:sz="4" w:space="0" w:color="auto"/>
            </w:tcBorders>
            <w:shd w:val="clear" w:color="auto" w:fill="auto"/>
            <w:noWrap/>
            <w:vAlign w:val="center"/>
            <w:hideMark/>
          </w:tcPr>
          <w:p w14:paraId="5F56375C" w14:textId="77777777" w:rsidR="00785B70" w:rsidRPr="00005453" w:rsidRDefault="00785B70" w:rsidP="00785B70">
            <w:pPr>
              <w:rPr>
                <w:color w:val="000000"/>
                <w:sz w:val="14"/>
                <w:szCs w:val="14"/>
                <w:lang w:eastAsia="tr-TR"/>
              </w:rPr>
            </w:pPr>
            <w:r w:rsidRPr="00005453">
              <w:rPr>
                <w:color w:val="000000"/>
                <w:sz w:val="14"/>
                <w:szCs w:val="14"/>
                <w:lang w:eastAsia="tr-TR"/>
              </w:rPr>
              <w:t>Kâr veya Zararda Yeniden Sınıflandırılacak Diğer Kapsamlı Gelire İlişkin Vergiler</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14:paraId="0996B544" w14:textId="0C8E9093" w:rsidR="00785B70" w:rsidRPr="00005453" w:rsidRDefault="00785B70" w:rsidP="00785B70">
            <w:pPr>
              <w:jc w:val="right"/>
              <w:rPr>
                <w:bCs/>
                <w:sz w:val="14"/>
                <w:szCs w:val="14"/>
                <w:lang w:val="en-GB" w:eastAsia="tr-TR"/>
              </w:rPr>
            </w:pPr>
            <w:r w:rsidRPr="00005453">
              <w:rPr>
                <w:sz w:val="14"/>
                <w:szCs w:val="18"/>
              </w:rPr>
              <w:t>1,892,043</w:t>
            </w:r>
          </w:p>
        </w:tc>
        <w:tc>
          <w:tcPr>
            <w:tcW w:w="2006" w:type="dxa"/>
            <w:tcBorders>
              <w:top w:val="nil"/>
              <w:left w:val="single" w:sz="4" w:space="0" w:color="auto"/>
              <w:bottom w:val="single" w:sz="4" w:space="0" w:color="auto"/>
              <w:right w:val="single" w:sz="4" w:space="0" w:color="auto"/>
            </w:tcBorders>
            <w:shd w:val="clear" w:color="auto" w:fill="auto"/>
            <w:vAlign w:val="center"/>
            <w:hideMark/>
          </w:tcPr>
          <w:p w14:paraId="75B4BA4E" w14:textId="7DA4A6D5" w:rsidR="00785B70" w:rsidRPr="00005453" w:rsidRDefault="00785B70" w:rsidP="00785B70">
            <w:pPr>
              <w:jc w:val="right"/>
              <w:rPr>
                <w:sz w:val="14"/>
                <w:szCs w:val="14"/>
                <w:lang w:eastAsia="tr-TR"/>
              </w:rPr>
            </w:pPr>
            <w:r w:rsidRPr="00005453">
              <w:rPr>
                <w:sz w:val="14"/>
                <w:szCs w:val="14"/>
              </w:rPr>
              <w:t>2,007,482</w:t>
            </w:r>
          </w:p>
        </w:tc>
      </w:tr>
      <w:tr w:rsidR="00380913" w:rsidRPr="00005453" w14:paraId="7E6E354B" w14:textId="77777777" w:rsidTr="00785B70">
        <w:trPr>
          <w:trHeight w:val="51"/>
        </w:trPr>
        <w:tc>
          <w:tcPr>
            <w:tcW w:w="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FD929" w14:textId="77777777" w:rsidR="00380913" w:rsidRPr="00005453" w:rsidRDefault="00380913" w:rsidP="00380913">
            <w:pPr>
              <w:rPr>
                <w:b/>
                <w:bCs/>
                <w:color w:val="000000"/>
                <w:sz w:val="14"/>
                <w:szCs w:val="14"/>
                <w:lang w:eastAsia="tr-TR"/>
              </w:rPr>
            </w:pPr>
            <w:r w:rsidRPr="00005453">
              <w:rPr>
                <w:b/>
                <w:bCs/>
                <w:color w:val="000000"/>
                <w:sz w:val="14"/>
                <w:szCs w:val="14"/>
                <w:lang w:val="en-US" w:eastAsia="tr-TR"/>
              </w:rPr>
              <w:t>III.</w:t>
            </w:r>
          </w:p>
        </w:tc>
        <w:tc>
          <w:tcPr>
            <w:tcW w:w="4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BEAE" w14:textId="77777777" w:rsidR="00380913" w:rsidRPr="00005453" w:rsidRDefault="00380913" w:rsidP="00380913">
            <w:pPr>
              <w:rPr>
                <w:b/>
                <w:bCs/>
                <w:color w:val="000000"/>
                <w:sz w:val="14"/>
                <w:szCs w:val="14"/>
                <w:lang w:eastAsia="tr-TR"/>
              </w:rPr>
            </w:pPr>
            <w:r w:rsidRPr="00005453">
              <w:rPr>
                <w:b/>
                <w:bCs/>
                <w:color w:val="000000"/>
                <w:sz w:val="14"/>
                <w:szCs w:val="14"/>
                <w:lang w:val="en-US" w:eastAsia="tr-TR"/>
              </w:rPr>
              <w:t>TOPLAM KAPSAMLI GELİR (I+II)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D9AF1" w14:textId="178E17C6" w:rsidR="00785B70" w:rsidRPr="00005453" w:rsidRDefault="00785B70" w:rsidP="00785B70">
            <w:pPr>
              <w:jc w:val="right"/>
              <w:rPr>
                <w:b/>
                <w:bCs/>
                <w:sz w:val="14"/>
                <w:szCs w:val="18"/>
                <w:lang w:eastAsia="tr-TR"/>
              </w:rPr>
            </w:pPr>
            <w:r w:rsidRPr="00005453">
              <w:rPr>
                <w:b/>
                <w:bCs/>
                <w:sz w:val="14"/>
                <w:szCs w:val="18"/>
              </w:rPr>
              <w:t>30,198,903</w:t>
            </w:r>
          </w:p>
          <w:p w14:paraId="4131E94F" w14:textId="3C83E775" w:rsidR="00380913" w:rsidRPr="00005453" w:rsidRDefault="00380913" w:rsidP="00785B70">
            <w:pPr>
              <w:jc w:val="right"/>
              <w:rPr>
                <w:b/>
                <w:bCs/>
                <w:sz w:val="14"/>
                <w:szCs w:val="14"/>
                <w:lang w:val="en-GB" w:eastAsia="tr-TR"/>
              </w:rPr>
            </w:pP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05C35" w14:textId="3105FF17" w:rsidR="00380913" w:rsidRPr="00005453" w:rsidRDefault="00380913" w:rsidP="00380913">
            <w:pPr>
              <w:jc w:val="right"/>
              <w:rPr>
                <w:b/>
                <w:bCs/>
                <w:sz w:val="14"/>
                <w:szCs w:val="14"/>
                <w:lang w:eastAsia="tr-TR"/>
              </w:rPr>
            </w:pPr>
            <w:r w:rsidRPr="00005453">
              <w:rPr>
                <w:b/>
                <w:bCs/>
                <w:sz w:val="14"/>
                <w:szCs w:val="14"/>
              </w:rPr>
              <w:t>20,661,816</w:t>
            </w:r>
          </w:p>
        </w:tc>
      </w:tr>
    </w:tbl>
    <w:p w14:paraId="16ABE32E" w14:textId="77777777" w:rsidR="00303901" w:rsidRPr="00005453" w:rsidRDefault="00303901" w:rsidP="00376680">
      <w:pPr>
        <w:autoSpaceDE w:val="0"/>
        <w:autoSpaceDN w:val="0"/>
        <w:adjustRightInd w:val="0"/>
        <w:spacing w:after="60"/>
        <w:ind w:hanging="567"/>
        <w:jc w:val="both"/>
        <w:rPr>
          <w:rFonts w:eastAsia="Arial Unicode MS"/>
          <w:b/>
          <w:sz w:val="22"/>
        </w:rPr>
      </w:pPr>
    </w:p>
    <w:p w14:paraId="5B37164E" w14:textId="77777777" w:rsidR="00303901" w:rsidRPr="00005453" w:rsidRDefault="00303901" w:rsidP="00376680">
      <w:pPr>
        <w:autoSpaceDE w:val="0"/>
        <w:autoSpaceDN w:val="0"/>
        <w:adjustRightInd w:val="0"/>
        <w:spacing w:after="60"/>
        <w:ind w:hanging="567"/>
        <w:jc w:val="both"/>
        <w:rPr>
          <w:rFonts w:eastAsia="Arial Unicode MS"/>
          <w:b/>
          <w:sz w:val="22"/>
        </w:rPr>
      </w:pPr>
    </w:p>
    <w:p w14:paraId="56D8D8ED" w14:textId="65DB6CD0" w:rsidR="0038384F" w:rsidRPr="0000545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2DEA57BB" w14:textId="39869B60"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C037C33" w14:textId="662A2CA5"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AFFA941" w14:textId="7BE3E07A"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027A4EC" w14:textId="25956420"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6F2EF185" w14:textId="34699AB0"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2602C9A" w14:textId="45829BE2"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EA3146E" w14:textId="24FF7414"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714E187" w14:textId="61297E53"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FE01743" w14:textId="6A3164C8"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3F4358F" w14:textId="69CCB3EB"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6D1F3E45" w14:textId="028D779F"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832B14F" w14:textId="71ACDD09"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FA8870D" w14:textId="6D8AFAEC"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102F36F2" w14:textId="2C008F82" w:rsidR="00AE7B9A" w:rsidRPr="00005453"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06E2D3" w14:textId="77777777" w:rsidR="0038384F" w:rsidRPr="0000545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B38939E" w14:textId="77777777" w:rsidR="0038384F" w:rsidRPr="0000545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483DB81" w14:textId="77777777" w:rsidR="0038384F" w:rsidRPr="0000545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188CC2A" w14:textId="77777777" w:rsidR="0038384F" w:rsidRPr="00005453"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80D3B1A" w14:textId="77777777" w:rsidR="00CC70EB" w:rsidRPr="00005453"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5EA13819" w14:textId="77777777" w:rsidR="00CC70EB" w:rsidRPr="0000545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9F2073F" w14:textId="77777777" w:rsidR="00CC70EB" w:rsidRPr="0000545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50CF8DF" w14:textId="2C871877" w:rsidR="00CC70EB" w:rsidRPr="00005453"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C25F6D" w14:textId="1CD3BC68" w:rsidR="000522D3" w:rsidRPr="00005453"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EF932A" w14:textId="5FC6EC66" w:rsidR="000522D3" w:rsidRPr="00005453"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D67DE84" w14:textId="44D06983"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6C8E4D" w14:textId="019BCCEF"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1119FB3" w14:textId="2C287CAF"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843FEAC" w14:textId="538DCFB2"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265B6E2" w14:textId="1325C011"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A45F5FD" w14:textId="58FAC306"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718AE66" w14:textId="78E74423"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B2DDEAF" w14:textId="09C4D60A"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F53F7C7" w14:textId="33556556"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1D5820" w14:textId="76CAB331"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3A12AF" w14:textId="52BEAC23"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E80BF86" w14:textId="77777777" w:rsidR="0068420B" w:rsidRPr="00005453" w:rsidRDefault="0068420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F06E0B5" w14:textId="39FC4DC6" w:rsidR="00084767" w:rsidRPr="00005453" w:rsidRDefault="001F24CC" w:rsidP="00BD1BED">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005453">
        <w:rPr>
          <w:bCs/>
          <w:i/>
          <w:iCs/>
          <w:sz w:val="14"/>
          <w:szCs w:val="14"/>
        </w:rPr>
        <w:t xml:space="preserve">                                           </w:t>
      </w:r>
    </w:p>
    <w:p w14:paraId="2908C995" w14:textId="77777777" w:rsidR="00084767" w:rsidRPr="00005453"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28A19589" w14:textId="77777777" w:rsidR="00084767" w:rsidRPr="00005453"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5D48E5C" w14:textId="77777777" w:rsidR="00084767" w:rsidRPr="00005453"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2D14A67" w14:textId="77777777" w:rsidR="00994629" w:rsidRPr="00005453" w:rsidRDefault="00084767" w:rsidP="00222BAE">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sidRPr="00005453">
        <w:rPr>
          <w:bCs/>
          <w:i/>
          <w:iCs/>
          <w:sz w:val="14"/>
          <w:szCs w:val="14"/>
        </w:rPr>
        <w:t xml:space="preserve">                                                                               </w:t>
      </w:r>
    </w:p>
    <w:p w14:paraId="46705CED" w14:textId="77777777" w:rsidR="00994629" w:rsidRPr="00005453" w:rsidRDefault="00994629" w:rsidP="00222BAE">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83A754" w14:textId="5FA9C4B1" w:rsidR="0038384F" w:rsidRPr="00005453" w:rsidRDefault="001F24CC" w:rsidP="0099462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
          <w:sz w:val="14"/>
          <w:szCs w:val="14"/>
        </w:rPr>
      </w:pPr>
      <w:r w:rsidRPr="00005453">
        <w:rPr>
          <w:bCs/>
          <w:i/>
          <w:iCs/>
          <w:sz w:val="14"/>
          <w:szCs w:val="14"/>
        </w:rPr>
        <w:t>İlişikteki notlar bu finansal tabloların tamamlayıcı parçalarıdır.</w:t>
      </w:r>
    </w:p>
    <w:p w14:paraId="12B7319D" w14:textId="77777777" w:rsidR="008D745E" w:rsidRPr="00005453" w:rsidRDefault="008D745E" w:rsidP="00134A72">
      <w:pPr>
        <w:sectPr w:rsidR="008D745E" w:rsidRPr="00005453" w:rsidSect="00A07E0F">
          <w:headerReference w:type="default" r:id="rId30"/>
          <w:footerReference w:type="default" r:id="rId31"/>
          <w:pgSz w:w="11907" w:h="16840" w:code="9"/>
          <w:pgMar w:top="1418" w:right="1418" w:bottom="1418" w:left="1418" w:header="360" w:footer="708" w:gutter="0"/>
          <w:cols w:space="708"/>
          <w:noEndnote/>
        </w:sectPr>
      </w:pPr>
    </w:p>
    <w:p w14:paraId="18F6FD53" w14:textId="0AE7E3A8" w:rsidR="00741BC7" w:rsidRPr="00005453" w:rsidRDefault="006C3524" w:rsidP="00D25610">
      <w:pPr>
        <w:autoSpaceDE w:val="0"/>
        <w:autoSpaceDN w:val="0"/>
        <w:adjustRightInd w:val="0"/>
        <w:ind w:left="-142" w:hanging="425"/>
        <w:jc w:val="both"/>
        <w:rPr>
          <w:rFonts w:eastAsia="Arial Unicode MS"/>
          <w:b/>
          <w:sz w:val="22"/>
        </w:rPr>
      </w:pPr>
      <w:r w:rsidRPr="00005453">
        <w:rPr>
          <w:rFonts w:eastAsia="Arial Unicode MS"/>
          <w:b/>
          <w:sz w:val="22"/>
        </w:rPr>
        <w:lastRenderedPageBreak/>
        <w:t xml:space="preserve">5.       </w:t>
      </w:r>
      <w:r w:rsidR="007638D5" w:rsidRPr="00005453">
        <w:rPr>
          <w:rFonts w:eastAsia="Arial Unicode MS"/>
          <w:b/>
          <w:sz w:val="22"/>
        </w:rPr>
        <w:t>ÖZKAYNAK DEĞİŞİM TABLOSU</w:t>
      </w:r>
    </w:p>
    <w:p w14:paraId="3AE34016" w14:textId="1E6829EC" w:rsidR="00F43903" w:rsidRPr="00005453" w:rsidRDefault="00F43903" w:rsidP="00A81DF8">
      <w:pPr>
        <w:rPr>
          <w:lang w:val="en-GB" w:eastAsia="en-GB"/>
        </w:rPr>
      </w:pPr>
    </w:p>
    <w:tbl>
      <w:tblPr>
        <w:tblW w:w="14667" w:type="dxa"/>
        <w:tblInd w:w="-5" w:type="dxa"/>
        <w:tblCellMar>
          <w:left w:w="70" w:type="dxa"/>
          <w:right w:w="70" w:type="dxa"/>
        </w:tblCellMar>
        <w:tblLook w:val="04A0" w:firstRow="1" w:lastRow="0" w:firstColumn="1" w:lastColumn="0" w:noHBand="0" w:noVBand="1"/>
      </w:tblPr>
      <w:tblGrid>
        <w:gridCol w:w="410"/>
        <w:gridCol w:w="2183"/>
        <w:gridCol w:w="346"/>
        <w:gridCol w:w="169"/>
        <w:gridCol w:w="703"/>
        <w:gridCol w:w="843"/>
        <w:gridCol w:w="703"/>
        <w:gridCol w:w="844"/>
        <w:gridCol w:w="565"/>
        <w:gridCol w:w="610"/>
        <w:gridCol w:w="568"/>
        <w:gridCol w:w="424"/>
        <w:gridCol w:w="703"/>
        <w:gridCol w:w="536"/>
        <w:gridCol w:w="954"/>
        <w:gridCol w:w="1022"/>
        <w:gridCol w:w="760"/>
        <w:gridCol w:w="844"/>
        <w:gridCol w:w="702"/>
        <w:gridCol w:w="778"/>
      </w:tblGrid>
      <w:tr w:rsidR="00F745D9" w:rsidRPr="00005453" w14:paraId="6C326722" w14:textId="77777777" w:rsidTr="00E563BC">
        <w:trPr>
          <w:trHeight w:val="1"/>
        </w:trPr>
        <w:tc>
          <w:tcPr>
            <w:tcW w:w="410"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7E712101" w14:textId="77777777" w:rsidR="00346B96" w:rsidRPr="00005453" w:rsidRDefault="00346B96" w:rsidP="0068420B">
            <w:pPr>
              <w:jc w:val="center"/>
              <w:rPr>
                <w:color w:val="000000"/>
                <w:lang w:eastAsia="tr-TR"/>
              </w:rPr>
            </w:pPr>
            <w:r w:rsidRPr="00005453">
              <w:rPr>
                <w:color w:val="000000"/>
                <w:lang w:val="en-US" w:eastAsia="tr-TR"/>
              </w:rPr>
              <w:t> </w:t>
            </w:r>
          </w:p>
        </w:tc>
        <w:tc>
          <w:tcPr>
            <w:tcW w:w="2183" w:type="dxa"/>
            <w:tcBorders>
              <w:top w:val="single" w:sz="4" w:space="0" w:color="auto"/>
              <w:left w:val="nil"/>
              <w:bottom w:val="single" w:sz="4" w:space="0" w:color="auto"/>
              <w:right w:val="nil"/>
            </w:tcBorders>
            <w:shd w:val="clear" w:color="auto" w:fill="D0CECE" w:themeFill="background2" w:themeFillShade="E6"/>
            <w:noWrap/>
            <w:vAlign w:val="center"/>
            <w:hideMark/>
          </w:tcPr>
          <w:p w14:paraId="550C2AE8" w14:textId="77777777" w:rsidR="00346B96" w:rsidRPr="00005453" w:rsidRDefault="00346B96" w:rsidP="0068420B">
            <w:pPr>
              <w:jc w:val="center"/>
              <w:rPr>
                <w:color w:val="7B7B7B" w:themeColor="accent3" w:themeShade="BF"/>
                <w:lang w:eastAsia="tr-TR"/>
              </w:rPr>
            </w:pPr>
            <w:r w:rsidRPr="00005453">
              <w:rPr>
                <w:color w:val="7B7B7B" w:themeColor="accent3" w:themeShade="BF"/>
                <w:lang w:val="en-US" w:eastAsia="tr-TR"/>
              </w:rPr>
              <w:t> </w:t>
            </w:r>
          </w:p>
        </w:tc>
        <w:tc>
          <w:tcPr>
            <w:tcW w:w="515" w:type="dxa"/>
            <w:gridSpan w:val="2"/>
            <w:tcBorders>
              <w:top w:val="single" w:sz="4" w:space="0" w:color="auto"/>
              <w:left w:val="nil"/>
              <w:right w:val="nil"/>
            </w:tcBorders>
            <w:shd w:val="clear" w:color="auto" w:fill="D0CECE" w:themeFill="background2" w:themeFillShade="E6"/>
            <w:vAlign w:val="center"/>
            <w:hideMark/>
          </w:tcPr>
          <w:p w14:paraId="4ED6F6BF" w14:textId="77777777" w:rsidR="00346B96" w:rsidRPr="00005453" w:rsidRDefault="00346B96" w:rsidP="0068420B">
            <w:pPr>
              <w:jc w:val="right"/>
              <w:rPr>
                <w:color w:val="7B7B7B" w:themeColor="accent3" w:themeShade="BF"/>
                <w:sz w:val="10"/>
                <w:szCs w:val="10"/>
                <w:lang w:eastAsia="tr-TR"/>
              </w:rPr>
            </w:pPr>
            <w:r w:rsidRPr="00005453">
              <w:rPr>
                <w:color w:val="7B7B7B" w:themeColor="accent3" w:themeShade="BF"/>
                <w:sz w:val="10"/>
                <w:szCs w:val="10"/>
                <w:lang w:val="en-US"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27C4EFE1" w14:textId="77777777" w:rsidR="00346B96" w:rsidRPr="00005453" w:rsidRDefault="00346B96" w:rsidP="0068420B">
            <w:pPr>
              <w:jc w:val="right"/>
              <w:rPr>
                <w:color w:val="7B7B7B" w:themeColor="accent3" w:themeShade="BF"/>
                <w:sz w:val="10"/>
                <w:szCs w:val="10"/>
                <w:lang w:eastAsia="tr-TR"/>
              </w:rPr>
            </w:pPr>
            <w:r w:rsidRPr="00005453">
              <w:rPr>
                <w:color w:val="7B7B7B" w:themeColor="accent3" w:themeShade="BF"/>
                <w:sz w:val="10"/>
                <w:szCs w:val="10"/>
                <w:lang w:val="en-US" w:eastAsia="tr-TR"/>
              </w:rPr>
              <w:t> </w:t>
            </w:r>
          </w:p>
        </w:tc>
        <w:tc>
          <w:tcPr>
            <w:tcW w:w="843" w:type="dxa"/>
            <w:tcBorders>
              <w:top w:val="single" w:sz="4" w:space="0" w:color="auto"/>
              <w:left w:val="nil"/>
              <w:bottom w:val="single" w:sz="4" w:space="0" w:color="auto"/>
              <w:right w:val="nil"/>
            </w:tcBorders>
            <w:shd w:val="clear" w:color="auto" w:fill="D0CECE" w:themeFill="background2" w:themeFillShade="E6"/>
            <w:noWrap/>
            <w:vAlign w:val="center"/>
            <w:hideMark/>
          </w:tcPr>
          <w:p w14:paraId="49335332" w14:textId="77777777" w:rsidR="00346B96" w:rsidRPr="00005453" w:rsidRDefault="00346B96" w:rsidP="0068420B">
            <w:pPr>
              <w:jc w:val="right"/>
              <w:rPr>
                <w:color w:val="7B7B7B" w:themeColor="accent3" w:themeShade="BF"/>
                <w:sz w:val="10"/>
                <w:szCs w:val="10"/>
                <w:lang w:eastAsia="tr-TR"/>
              </w:rPr>
            </w:pPr>
            <w:r w:rsidRPr="00005453">
              <w:rPr>
                <w:color w:val="7B7B7B" w:themeColor="accent3" w:themeShade="BF"/>
                <w:sz w:val="10"/>
                <w:szCs w:val="10"/>
                <w:lang w:val="en-US"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510B7171" w14:textId="77777777" w:rsidR="00346B96" w:rsidRPr="00005453" w:rsidRDefault="00346B96" w:rsidP="0068420B">
            <w:pPr>
              <w:jc w:val="right"/>
              <w:rPr>
                <w:color w:val="7B7B7B" w:themeColor="accent3" w:themeShade="BF"/>
                <w:sz w:val="10"/>
                <w:szCs w:val="10"/>
                <w:lang w:eastAsia="tr-TR"/>
              </w:rPr>
            </w:pPr>
            <w:r w:rsidRPr="00005453">
              <w:rPr>
                <w:color w:val="7B7B7B" w:themeColor="accent3" w:themeShade="BF"/>
                <w:sz w:val="10"/>
                <w:szCs w:val="10"/>
                <w:lang w:val="en-US" w:eastAsia="tr-TR"/>
              </w:rPr>
              <w:t> </w:t>
            </w:r>
          </w:p>
        </w:tc>
        <w:tc>
          <w:tcPr>
            <w:tcW w:w="84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F0BD272" w14:textId="77777777" w:rsidR="00346B96" w:rsidRPr="00005453" w:rsidRDefault="00346B96" w:rsidP="0068420B">
            <w:pPr>
              <w:jc w:val="right"/>
              <w:rPr>
                <w:color w:val="7B7B7B" w:themeColor="accent3" w:themeShade="BF"/>
                <w:sz w:val="10"/>
                <w:szCs w:val="10"/>
                <w:lang w:eastAsia="tr-TR"/>
              </w:rPr>
            </w:pPr>
            <w:r w:rsidRPr="00005453">
              <w:rPr>
                <w:color w:val="7B7B7B" w:themeColor="accent3" w:themeShade="BF"/>
                <w:sz w:val="10"/>
                <w:szCs w:val="10"/>
                <w:lang w:val="en-US" w:eastAsia="tr-TR"/>
              </w:rPr>
              <w:t> </w:t>
            </w:r>
          </w:p>
        </w:tc>
        <w:tc>
          <w:tcPr>
            <w:tcW w:w="174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952373" w14:textId="77777777" w:rsidR="00346B96" w:rsidRPr="00005453" w:rsidRDefault="00346B96" w:rsidP="0068420B">
            <w:pPr>
              <w:jc w:val="right"/>
              <w:rPr>
                <w:b/>
                <w:bCs/>
                <w:color w:val="000000"/>
                <w:sz w:val="10"/>
                <w:szCs w:val="10"/>
                <w:lang w:eastAsia="tr-TR"/>
              </w:rPr>
            </w:pPr>
            <w:r w:rsidRPr="00005453">
              <w:rPr>
                <w:b/>
                <w:bCs/>
                <w:color w:val="000000"/>
                <w:sz w:val="10"/>
                <w:szCs w:val="10"/>
                <w:lang w:eastAsia="tr-TR"/>
              </w:rPr>
              <w:t>Kâr veya Zararda Yeniden Sınıflandırılmayacak Birikmiş Diğer Kapsamlı Gelirler ve Giderler</w:t>
            </w:r>
          </w:p>
        </w:tc>
        <w:tc>
          <w:tcPr>
            <w:tcW w:w="1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7DC9EB" w14:textId="77777777" w:rsidR="00346B96" w:rsidRPr="00005453" w:rsidRDefault="00346B96" w:rsidP="0068420B">
            <w:pPr>
              <w:jc w:val="right"/>
              <w:rPr>
                <w:b/>
                <w:bCs/>
                <w:color w:val="000000"/>
                <w:sz w:val="10"/>
                <w:szCs w:val="10"/>
                <w:lang w:eastAsia="tr-TR"/>
              </w:rPr>
            </w:pPr>
            <w:r w:rsidRPr="00005453">
              <w:rPr>
                <w:b/>
                <w:bCs/>
                <w:color w:val="000000"/>
                <w:sz w:val="10"/>
                <w:szCs w:val="10"/>
                <w:lang w:eastAsia="tr-TR"/>
              </w:rPr>
              <w:t>Kâr veya Zararda Yeniden Sınıflandırılacak Birikmiş Diğer Kapsamlı Gelirler ve Giderler</w:t>
            </w:r>
          </w:p>
        </w:tc>
        <w:tc>
          <w:tcPr>
            <w:tcW w:w="954"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33B81FBA" w14:textId="77777777" w:rsidR="00346B96" w:rsidRPr="00005453" w:rsidRDefault="00346B96" w:rsidP="0068420B">
            <w:pPr>
              <w:jc w:val="right"/>
              <w:rPr>
                <w:color w:val="000000"/>
                <w:sz w:val="10"/>
                <w:szCs w:val="10"/>
                <w:lang w:eastAsia="tr-TR"/>
              </w:rPr>
            </w:pPr>
            <w:r w:rsidRPr="00005453">
              <w:rPr>
                <w:color w:val="000000"/>
                <w:sz w:val="10"/>
                <w:szCs w:val="10"/>
                <w:lang w:eastAsia="tr-TR"/>
              </w:rPr>
              <w:t> </w:t>
            </w:r>
          </w:p>
        </w:tc>
        <w:tc>
          <w:tcPr>
            <w:tcW w:w="1022" w:type="dxa"/>
            <w:tcBorders>
              <w:top w:val="single" w:sz="4" w:space="0" w:color="auto"/>
              <w:left w:val="nil"/>
              <w:bottom w:val="single" w:sz="4" w:space="0" w:color="auto"/>
              <w:right w:val="nil"/>
            </w:tcBorders>
            <w:shd w:val="clear" w:color="auto" w:fill="D0CECE" w:themeFill="background2" w:themeFillShade="E6"/>
            <w:noWrap/>
            <w:vAlign w:val="center"/>
            <w:hideMark/>
          </w:tcPr>
          <w:p w14:paraId="39A5F6DE" w14:textId="77777777" w:rsidR="00346B96" w:rsidRPr="00005453" w:rsidRDefault="00346B96" w:rsidP="0068420B">
            <w:pPr>
              <w:jc w:val="right"/>
              <w:rPr>
                <w:color w:val="000000"/>
                <w:sz w:val="10"/>
                <w:szCs w:val="10"/>
                <w:lang w:eastAsia="tr-TR"/>
              </w:rPr>
            </w:pPr>
            <w:r w:rsidRPr="00005453">
              <w:rPr>
                <w:color w:val="000000"/>
                <w:sz w:val="10"/>
                <w:szCs w:val="10"/>
                <w:lang w:eastAsia="tr-TR"/>
              </w:rPr>
              <w:t> </w:t>
            </w:r>
          </w:p>
        </w:tc>
        <w:tc>
          <w:tcPr>
            <w:tcW w:w="760" w:type="dxa"/>
            <w:tcBorders>
              <w:top w:val="single" w:sz="4" w:space="0" w:color="auto"/>
              <w:left w:val="nil"/>
              <w:bottom w:val="single" w:sz="4" w:space="0" w:color="auto"/>
              <w:right w:val="nil"/>
            </w:tcBorders>
            <w:shd w:val="clear" w:color="auto" w:fill="D0CECE" w:themeFill="background2" w:themeFillShade="E6"/>
            <w:noWrap/>
            <w:vAlign w:val="center"/>
            <w:hideMark/>
          </w:tcPr>
          <w:p w14:paraId="2EFC6363" w14:textId="77777777" w:rsidR="00346B96" w:rsidRPr="00005453" w:rsidRDefault="00346B96" w:rsidP="0068420B">
            <w:pPr>
              <w:jc w:val="right"/>
              <w:rPr>
                <w:color w:val="000000"/>
                <w:sz w:val="10"/>
                <w:szCs w:val="10"/>
                <w:lang w:eastAsia="tr-TR"/>
              </w:rPr>
            </w:pPr>
            <w:r w:rsidRPr="00005453">
              <w:rPr>
                <w:color w:val="000000"/>
                <w:sz w:val="10"/>
                <w:szCs w:val="10"/>
                <w:lang w:eastAsia="tr-TR"/>
              </w:rPr>
              <w:t> </w:t>
            </w:r>
          </w:p>
        </w:tc>
        <w:tc>
          <w:tcPr>
            <w:tcW w:w="844" w:type="dxa"/>
            <w:tcBorders>
              <w:top w:val="single" w:sz="4" w:space="0" w:color="auto"/>
              <w:left w:val="nil"/>
              <w:bottom w:val="single" w:sz="4" w:space="0" w:color="auto"/>
              <w:right w:val="nil"/>
            </w:tcBorders>
            <w:shd w:val="clear" w:color="auto" w:fill="D0CECE" w:themeFill="background2" w:themeFillShade="E6"/>
            <w:noWrap/>
            <w:vAlign w:val="center"/>
            <w:hideMark/>
          </w:tcPr>
          <w:p w14:paraId="237DA469" w14:textId="77777777" w:rsidR="00346B96" w:rsidRPr="00005453" w:rsidRDefault="00346B96" w:rsidP="0068420B">
            <w:pPr>
              <w:jc w:val="right"/>
              <w:rPr>
                <w:color w:val="000000"/>
                <w:sz w:val="10"/>
                <w:szCs w:val="10"/>
                <w:lang w:eastAsia="tr-TR"/>
              </w:rPr>
            </w:pPr>
            <w:r w:rsidRPr="00005453">
              <w:rPr>
                <w:color w:val="000000"/>
                <w:sz w:val="10"/>
                <w:szCs w:val="10"/>
                <w:lang w:eastAsia="tr-TR"/>
              </w:rPr>
              <w:t> </w:t>
            </w:r>
          </w:p>
        </w:tc>
        <w:tc>
          <w:tcPr>
            <w:tcW w:w="702" w:type="dxa"/>
            <w:tcBorders>
              <w:top w:val="single" w:sz="4" w:space="0" w:color="auto"/>
              <w:left w:val="nil"/>
              <w:bottom w:val="single" w:sz="4" w:space="0" w:color="auto"/>
              <w:right w:val="nil"/>
            </w:tcBorders>
            <w:shd w:val="clear" w:color="auto" w:fill="D0CECE" w:themeFill="background2" w:themeFillShade="E6"/>
            <w:noWrap/>
            <w:vAlign w:val="center"/>
            <w:hideMark/>
          </w:tcPr>
          <w:p w14:paraId="261902A6" w14:textId="77777777" w:rsidR="00346B96" w:rsidRPr="00005453" w:rsidRDefault="00346B96" w:rsidP="0068420B">
            <w:pPr>
              <w:jc w:val="right"/>
              <w:rPr>
                <w:color w:val="000000"/>
                <w:sz w:val="10"/>
                <w:szCs w:val="10"/>
                <w:lang w:eastAsia="tr-TR"/>
              </w:rPr>
            </w:pPr>
            <w:r w:rsidRPr="00005453">
              <w:rPr>
                <w:color w:val="000000"/>
                <w:sz w:val="10"/>
                <w:szCs w:val="10"/>
                <w:lang w:eastAsia="tr-TR"/>
              </w:rPr>
              <w:t> </w:t>
            </w:r>
          </w:p>
        </w:tc>
        <w:tc>
          <w:tcPr>
            <w:tcW w:w="778"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28875E1E" w14:textId="77777777" w:rsidR="00346B96" w:rsidRPr="00005453" w:rsidRDefault="00346B96" w:rsidP="0068420B">
            <w:pPr>
              <w:jc w:val="right"/>
              <w:rPr>
                <w:color w:val="000000"/>
                <w:sz w:val="10"/>
                <w:szCs w:val="10"/>
                <w:lang w:eastAsia="tr-TR"/>
              </w:rPr>
            </w:pPr>
            <w:r w:rsidRPr="00005453">
              <w:rPr>
                <w:color w:val="000000"/>
                <w:sz w:val="10"/>
                <w:szCs w:val="10"/>
                <w:lang w:eastAsia="tr-TR"/>
              </w:rPr>
              <w:t> </w:t>
            </w:r>
          </w:p>
        </w:tc>
      </w:tr>
      <w:tr w:rsidR="00346B96" w:rsidRPr="00005453" w14:paraId="1DC5BA87" w14:textId="77777777" w:rsidTr="00E563BC">
        <w:trPr>
          <w:trHeight w:val="1"/>
        </w:trPr>
        <w:tc>
          <w:tcPr>
            <w:tcW w:w="41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4AB7311" w14:textId="77777777" w:rsidR="00346B96" w:rsidRPr="00005453" w:rsidRDefault="00346B96" w:rsidP="0068420B">
            <w:pPr>
              <w:jc w:val="right"/>
              <w:rPr>
                <w:color w:val="000000"/>
                <w:sz w:val="10"/>
                <w:szCs w:val="10"/>
                <w:lang w:eastAsia="tr-TR"/>
              </w:rPr>
            </w:pPr>
          </w:p>
        </w:tc>
        <w:tc>
          <w:tcPr>
            <w:tcW w:w="218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06A4CC9" w14:textId="77777777" w:rsidR="00346B96" w:rsidRPr="00005453" w:rsidRDefault="00346B96" w:rsidP="0068420B">
            <w:pPr>
              <w:rPr>
                <w:lang w:eastAsia="tr-TR"/>
              </w:rPr>
            </w:pPr>
          </w:p>
        </w:tc>
        <w:tc>
          <w:tcPr>
            <w:tcW w:w="346" w:type="dxa"/>
            <w:tcBorders>
              <w:top w:val="single" w:sz="4" w:space="0" w:color="auto"/>
              <w:left w:val="single" w:sz="4" w:space="0" w:color="auto"/>
            </w:tcBorders>
            <w:shd w:val="clear" w:color="auto" w:fill="auto"/>
            <w:vAlign w:val="center"/>
            <w:hideMark/>
          </w:tcPr>
          <w:p w14:paraId="29108D4B" w14:textId="77777777" w:rsidR="00346B96" w:rsidRPr="00005453" w:rsidRDefault="00346B96" w:rsidP="0068420B">
            <w:pPr>
              <w:rPr>
                <w:lang w:eastAsia="tr-TR"/>
              </w:rPr>
            </w:pPr>
          </w:p>
        </w:tc>
        <w:tc>
          <w:tcPr>
            <w:tcW w:w="169" w:type="dxa"/>
            <w:tcBorders>
              <w:top w:val="single" w:sz="4" w:space="0" w:color="auto"/>
              <w:right w:val="single" w:sz="4" w:space="0" w:color="auto"/>
            </w:tcBorders>
            <w:shd w:val="clear" w:color="auto" w:fill="auto"/>
            <w:vAlign w:val="center"/>
            <w:hideMark/>
          </w:tcPr>
          <w:p w14:paraId="7B093AA7" w14:textId="77777777" w:rsidR="00346B96" w:rsidRPr="00005453" w:rsidRDefault="00346B96" w:rsidP="0068420B">
            <w:pPr>
              <w:jc w:val="right"/>
              <w:rPr>
                <w:lang w:eastAsia="tr-TR"/>
              </w:rPr>
            </w:pP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1C12A7"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Ödenmiş Sermaye</w:t>
            </w:r>
          </w:p>
        </w:tc>
        <w:tc>
          <w:tcPr>
            <w:tcW w:w="8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C045F6B"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Hisse Senedi İhraç Primleri</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ECD6209"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Hisse Senedi İptal Karları</w:t>
            </w:r>
          </w:p>
        </w:tc>
        <w:tc>
          <w:tcPr>
            <w:tcW w:w="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836EF21"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Diğer Sermaye Yedekleri</w:t>
            </w:r>
          </w:p>
        </w:tc>
        <w:tc>
          <w:tcPr>
            <w:tcW w:w="5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808221"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1</w:t>
            </w:r>
          </w:p>
        </w:tc>
        <w:tc>
          <w:tcPr>
            <w:tcW w:w="6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30D0E38"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2</w:t>
            </w:r>
          </w:p>
        </w:tc>
        <w:tc>
          <w:tcPr>
            <w:tcW w:w="5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E75935"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3</w:t>
            </w:r>
          </w:p>
        </w:tc>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455F814"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4</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11B0F74"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5</w:t>
            </w:r>
          </w:p>
        </w:tc>
        <w:tc>
          <w:tcPr>
            <w:tcW w:w="5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62C961B"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6</w:t>
            </w:r>
          </w:p>
        </w:tc>
        <w:tc>
          <w:tcPr>
            <w:tcW w:w="9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7874FCB"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Kar Yedekleri</w:t>
            </w:r>
          </w:p>
        </w:tc>
        <w:tc>
          <w:tcPr>
            <w:tcW w:w="10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D0CEB40"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Geçmiş Dönem Kârı / (Zararı)</w:t>
            </w:r>
          </w:p>
        </w:tc>
        <w:tc>
          <w:tcPr>
            <w:tcW w:w="7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3A9BB2F" w14:textId="77777777" w:rsidR="00346B96" w:rsidRPr="00005453" w:rsidRDefault="00346B96" w:rsidP="0068420B">
            <w:pPr>
              <w:jc w:val="right"/>
              <w:rPr>
                <w:b/>
                <w:bCs/>
                <w:color w:val="000000"/>
                <w:sz w:val="10"/>
                <w:szCs w:val="10"/>
                <w:lang w:eastAsia="tr-TR"/>
              </w:rPr>
            </w:pPr>
            <w:r w:rsidRPr="00005453">
              <w:rPr>
                <w:b/>
                <w:bCs/>
                <w:color w:val="000000"/>
                <w:sz w:val="10"/>
                <w:szCs w:val="10"/>
                <w:lang w:val="de-DE" w:eastAsia="tr-TR"/>
              </w:rPr>
              <w:t>Dönem Net Kar veya Zararı</w:t>
            </w:r>
          </w:p>
        </w:tc>
        <w:tc>
          <w:tcPr>
            <w:tcW w:w="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17ED81D" w14:textId="77777777" w:rsidR="00346B96" w:rsidRPr="00005453" w:rsidRDefault="00346B96" w:rsidP="0068420B">
            <w:pPr>
              <w:jc w:val="right"/>
              <w:rPr>
                <w:b/>
                <w:bCs/>
                <w:color w:val="000000"/>
                <w:sz w:val="10"/>
                <w:szCs w:val="10"/>
                <w:lang w:eastAsia="tr-TR"/>
              </w:rPr>
            </w:pPr>
            <w:r w:rsidRPr="00005453">
              <w:rPr>
                <w:b/>
                <w:bCs/>
                <w:color w:val="000000"/>
                <w:sz w:val="10"/>
                <w:szCs w:val="10"/>
                <w:lang w:eastAsia="tr-TR"/>
              </w:rPr>
              <w:t>Azınlık Payları Hariç Toplam Özkaynak</w:t>
            </w:r>
          </w:p>
        </w:tc>
        <w:tc>
          <w:tcPr>
            <w:tcW w:w="7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A358270"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Azınlık Payları</w:t>
            </w:r>
          </w:p>
        </w:tc>
        <w:tc>
          <w:tcPr>
            <w:tcW w:w="7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1D9DB7B"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Toplam Özkaynak</w:t>
            </w:r>
          </w:p>
        </w:tc>
      </w:tr>
      <w:tr w:rsidR="00346B96" w:rsidRPr="00005453" w14:paraId="09D09C16" w14:textId="77777777" w:rsidTr="00E563BC">
        <w:trPr>
          <w:trHeight w:val="1"/>
        </w:trPr>
        <w:tc>
          <w:tcPr>
            <w:tcW w:w="410" w:type="dxa"/>
            <w:vMerge/>
            <w:tcBorders>
              <w:top w:val="nil"/>
              <w:left w:val="single" w:sz="4" w:space="0" w:color="auto"/>
              <w:bottom w:val="single" w:sz="8" w:space="0" w:color="000000"/>
              <w:right w:val="single" w:sz="4" w:space="0" w:color="auto"/>
            </w:tcBorders>
            <w:shd w:val="clear" w:color="auto" w:fill="auto"/>
            <w:vAlign w:val="center"/>
            <w:hideMark/>
          </w:tcPr>
          <w:p w14:paraId="45919367" w14:textId="77777777" w:rsidR="00346B96" w:rsidRPr="00005453" w:rsidRDefault="00346B96" w:rsidP="0068420B">
            <w:pPr>
              <w:rPr>
                <w:color w:val="000000"/>
                <w:sz w:val="10"/>
                <w:szCs w:val="10"/>
                <w:lang w:eastAsia="tr-TR"/>
              </w:rPr>
            </w:pPr>
          </w:p>
        </w:tc>
        <w:tc>
          <w:tcPr>
            <w:tcW w:w="218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7CD0B666" w14:textId="77777777" w:rsidR="00346B96" w:rsidRPr="00005453" w:rsidRDefault="00346B96" w:rsidP="0068420B">
            <w:pPr>
              <w:rPr>
                <w:lang w:eastAsia="tr-TR"/>
              </w:rPr>
            </w:pPr>
          </w:p>
        </w:tc>
        <w:tc>
          <w:tcPr>
            <w:tcW w:w="515" w:type="dxa"/>
            <w:gridSpan w:val="2"/>
            <w:tcBorders>
              <w:top w:val="nil"/>
              <w:left w:val="single" w:sz="4" w:space="0" w:color="auto"/>
              <w:right w:val="single" w:sz="4" w:space="0" w:color="auto"/>
            </w:tcBorders>
            <w:shd w:val="clear" w:color="auto" w:fill="auto"/>
            <w:vAlign w:val="center"/>
            <w:hideMark/>
          </w:tcPr>
          <w:p w14:paraId="6DF25B0B" w14:textId="77777777" w:rsidR="00346B96" w:rsidRPr="00005453" w:rsidRDefault="00346B96" w:rsidP="0068420B">
            <w:pPr>
              <w:jc w:val="center"/>
              <w:rPr>
                <w:b/>
                <w:bCs/>
                <w:color w:val="000000"/>
                <w:sz w:val="10"/>
                <w:szCs w:val="10"/>
                <w:lang w:eastAsia="tr-TR"/>
              </w:rPr>
            </w:pPr>
            <w:r w:rsidRPr="00005453">
              <w:rPr>
                <w:b/>
                <w:bCs/>
                <w:color w:val="000000"/>
                <w:sz w:val="10"/>
                <w:szCs w:val="10"/>
                <w:lang w:val="en-US" w:eastAsia="tr-TR"/>
              </w:rPr>
              <w:t>Dipnot</w:t>
            </w:r>
          </w:p>
        </w:tc>
        <w:tc>
          <w:tcPr>
            <w:tcW w:w="703" w:type="dxa"/>
            <w:vMerge/>
            <w:tcBorders>
              <w:top w:val="single" w:sz="8" w:space="0" w:color="000000"/>
              <w:left w:val="single" w:sz="4" w:space="0" w:color="auto"/>
              <w:bottom w:val="single" w:sz="8" w:space="0" w:color="000000"/>
              <w:right w:val="single" w:sz="4" w:space="0" w:color="auto"/>
            </w:tcBorders>
            <w:vAlign w:val="center"/>
            <w:hideMark/>
          </w:tcPr>
          <w:p w14:paraId="059B95BB" w14:textId="77777777" w:rsidR="00346B96" w:rsidRPr="00005453" w:rsidRDefault="00346B96" w:rsidP="0068420B">
            <w:pPr>
              <w:rPr>
                <w:b/>
                <w:bCs/>
                <w:color w:val="000000"/>
                <w:sz w:val="10"/>
                <w:szCs w:val="10"/>
                <w:lang w:eastAsia="tr-TR"/>
              </w:rPr>
            </w:pPr>
          </w:p>
        </w:tc>
        <w:tc>
          <w:tcPr>
            <w:tcW w:w="843" w:type="dxa"/>
            <w:vMerge/>
            <w:tcBorders>
              <w:top w:val="nil"/>
              <w:left w:val="single" w:sz="4" w:space="0" w:color="auto"/>
              <w:bottom w:val="single" w:sz="8" w:space="0" w:color="000000"/>
              <w:right w:val="single" w:sz="4" w:space="0" w:color="auto"/>
            </w:tcBorders>
            <w:vAlign w:val="center"/>
            <w:hideMark/>
          </w:tcPr>
          <w:p w14:paraId="3CCBED97" w14:textId="77777777" w:rsidR="00346B96" w:rsidRPr="00005453" w:rsidRDefault="00346B96" w:rsidP="0068420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76669EB5" w14:textId="77777777" w:rsidR="00346B96" w:rsidRPr="00005453" w:rsidRDefault="00346B96" w:rsidP="0068420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59E37253" w14:textId="77777777" w:rsidR="00346B96" w:rsidRPr="00005453" w:rsidRDefault="00346B96" w:rsidP="0068420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05A5BBA3" w14:textId="77777777" w:rsidR="00346B96" w:rsidRPr="00005453" w:rsidRDefault="00346B96" w:rsidP="0068420B">
            <w:pPr>
              <w:rPr>
                <w:b/>
                <w:bCs/>
                <w:color w:val="000000"/>
                <w:sz w:val="10"/>
                <w:szCs w:val="10"/>
                <w:lang w:eastAsia="tr-TR"/>
              </w:rPr>
            </w:pPr>
          </w:p>
        </w:tc>
        <w:tc>
          <w:tcPr>
            <w:tcW w:w="610" w:type="dxa"/>
            <w:vMerge/>
            <w:tcBorders>
              <w:top w:val="nil"/>
              <w:left w:val="single" w:sz="4" w:space="0" w:color="auto"/>
              <w:bottom w:val="single" w:sz="8" w:space="0" w:color="000000"/>
              <w:right w:val="single" w:sz="4" w:space="0" w:color="auto"/>
            </w:tcBorders>
            <w:vAlign w:val="center"/>
            <w:hideMark/>
          </w:tcPr>
          <w:p w14:paraId="421C1BC1" w14:textId="77777777" w:rsidR="00346B96" w:rsidRPr="00005453" w:rsidRDefault="00346B96" w:rsidP="0068420B">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4B619627" w14:textId="77777777" w:rsidR="00346B96" w:rsidRPr="00005453" w:rsidRDefault="00346B96" w:rsidP="0068420B">
            <w:pPr>
              <w:rPr>
                <w:b/>
                <w:bCs/>
                <w:color w:val="000000"/>
                <w:sz w:val="10"/>
                <w:szCs w:val="10"/>
                <w:lang w:eastAsia="tr-TR"/>
              </w:rPr>
            </w:pPr>
          </w:p>
        </w:tc>
        <w:tc>
          <w:tcPr>
            <w:tcW w:w="424" w:type="dxa"/>
            <w:vMerge/>
            <w:tcBorders>
              <w:top w:val="nil"/>
              <w:left w:val="single" w:sz="4" w:space="0" w:color="auto"/>
              <w:bottom w:val="single" w:sz="8" w:space="0" w:color="000000"/>
              <w:right w:val="single" w:sz="4" w:space="0" w:color="auto"/>
            </w:tcBorders>
            <w:vAlign w:val="center"/>
            <w:hideMark/>
          </w:tcPr>
          <w:p w14:paraId="79CA243D" w14:textId="77777777" w:rsidR="00346B96" w:rsidRPr="00005453" w:rsidRDefault="00346B96" w:rsidP="0068420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5ADD42B4" w14:textId="77777777" w:rsidR="00346B96" w:rsidRPr="00005453" w:rsidRDefault="00346B96" w:rsidP="0068420B">
            <w:pPr>
              <w:rPr>
                <w:b/>
                <w:bCs/>
                <w:color w:val="000000"/>
                <w:sz w:val="10"/>
                <w:szCs w:val="10"/>
                <w:lang w:eastAsia="tr-TR"/>
              </w:rPr>
            </w:pPr>
          </w:p>
        </w:tc>
        <w:tc>
          <w:tcPr>
            <w:tcW w:w="536" w:type="dxa"/>
            <w:vMerge/>
            <w:tcBorders>
              <w:top w:val="nil"/>
              <w:left w:val="single" w:sz="4" w:space="0" w:color="auto"/>
              <w:bottom w:val="single" w:sz="8" w:space="0" w:color="000000"/>
              <w:right w:val="single" w:sz="4" w:space="0" w:color="auto"/>
            </w:tcBorders>
            <w:vAlign w:val="center"/>
            <w:hideMark/>
          </w:tcPr>
          <w:p w14:paraId="7554C7AF" w14:textId="77777777" w:rsidR="00346B96" w:rsidRPr="00005453" w:rsidRDefault="00346B96" w:rsidP="0068420B">
            <w:pPr>
              <w:rPr>
                <w:b/>
                <w:bCs/>
                <w:color w:val="000000"/>
                <w:sz w:val="10"/>
                <w:szCs w:val="10"/>
                <w:lang w:eastAsia="tr-TR"/>
              </w:rPr>
            </w:pPr>
          </w:p>
        </w:tc>
        <w:tc>
          <w:tcPr>
            <w:tcW w:w="954" w:type="dxa"/>
            <w:vMerge/>
            <w:tcBorders>
              <w:top w:val="nil"/>
              <w:left w:val="single" w:sz="4" w:space="0" w:color="auto"/>
              <w:bottom w:val="single" w:sz="8" w:space="0" w:color="000000"/>
              <w:right w:val="single" w:sz="4" w:space="0" w:color="auto"/>
            </w:tcBorders>
            <w:vAlign w:val="center"/>
            <w:hideMark/>
          </w:tcPr>
          <w:p w14:paraId="507D6BAD" w14:textId="77777777" w:rsidR="00346B96" w:rsidRPr="00005453" w:rsidRDefault="00346B96" w:rsidP="0068420B">
            <w:pPr>
              <w:rPr>
                <w:b/>
                <w:bCs/>
                <w:color w:val="000000"/>
                <w:sz w:val="10"/>
                <w:szCs w:val="10"/>
                <w:lang w:eastAsia="tr-TR"/>
              </w:rPr>
            </w:pPr>
          </w:p>
        </w:tc>
        <w:tc>
          <w:tcPr>
            <w:tcW w:w="1022" w:type="dxa"/>
            <w:vMerge/>
            <w:tcBorders>
              <w:top w:val="nil"/>
              <w:left w:val="single" w:sz="4" w:space="0" w:color="auto"/>
              <w:bottom w:val="single" w:sz="8" w:space="0" w:color="000000"/>
              <w:right w:val="single" w:sz="4" w:space="0" w:color="auto"/>
            </w:tcBorders>
            <w:vAlign w:val="center"/>
            <w:hideMark/>
          </w:tcPr>
          <w:p w14:paraId="7698A349" w14:textId="77777777" w:rsidR="00346B96" w:rsidRPr="00005453" w:rsidRDefault="00346B96" w:rsidP="0068420B">
            <w:pPr>
              <w:rPr>
                <w:b/>
                <w:bCs/>
                <w:color w:val="000000"/>
                <w:sz w:val="10"/>
                <w:szCs w:val="10"/>
                <w:lang w:eastAsia="tr-TR"/>
              </w:rPr>
            </w:pPr>
          </w:p>
        </w:tc>
        <w:tc>
          <w:tcPr>
            <w:tcW w:w="760" w:type="dxa"/>
            <w:vMerge/>
            <w:tcBorders>
              <w:top w:val="nil"/>
              <w:left w:val="single" w:sz="4" w:space="0" w:color="auto"/>
              <w:bottom w:val="single" w:sz="8" w:space="0" w:color="000000"/>
              <w:right w:val="single" w:sz="4" w:space="0" w:color="auto"/>
            </w:tcBorders>
            <w:vAlign w:val="center"/>
            <w:hideMark/>
          </w:tcPr>
          <w:p w14:paraId="58BD26BF" w14:textId="77777777" w:rsidR="00346B96" w:rsidRPr="00005453" w:rsidRDefault="00346B96" w:rsidP="0068420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6B8457B5" w14:textId="77777777" w:rsidR="00346B96" w:rsidRPr="00005453" w:rsidRDefault="00346B96" w:rsidP="0068420B">
            <w:pPr>
              <w:rPr>
                <w:b/>
                <w:bCs/>
                <w:color w:val="000000"/>
                <w:sz w:val="10"/>
                <w:szCs w:val="10"/>
                <w:lang w:eastAsia="tr-TR"/>
              </w:rPr>
            </w:pPr>
          </w:p>
        </w:tc>
        <w:tc>
          <w:tcPr>
            <w:tcW w:w="702" w:type="dxa"/>
            <w:vMerge/>
            <w:tcBorders>
              <w:top w:val="nil"/>
              <w:left w:val="single" w:sz="4" w:space="0" w:color="auto"/>
              <w:bottom w:val="single" w:sz="8" w:space="0" w:color="000000"/>
              <w:right w:val="single" w:sz="4" w:space="0" w:color="auto"/>
            </w:tcBorders>
            <w:vAlign w:val="center"/>
            <w:hideMark/>
          </w:tcPr>
          <w:p w14:paraId="4F25B14A" w14:textId="77777777" w:rsidR="00346B96" w:rsidRPr="00005453" w:rsidRDefault="00346B96" w:rsidP="0068420B">
            <w:pPr>
              <w:rPr>
                <w:b/>
                <w:bCs/>
                <w:color w:val="000000"/>
                <w:sz w:val="10"/>
                <w:szCs w:val="10"/>
                <w:lang w:eastAsia="tr-TR"/>
              </w:rPr>
            </w:pPr>
          </w:p>
        </w:tc>
        <w:tc>
          <w:tcPr>
            <w:tcW w:w="778" w:type="dxa"/>
            <w:vMerge/>
            <w:tcBorders>
              <w:top w:val="nil"/>
              <w:left w:val="single" w:sz="4" w:space="0" w:color="auto"/>
              <w:bottom w:val="single" w:sz="8" w:space="0" w:color="000000"/>
              <w:right w:val="single" w:sz="4" w:space="0" w:color="auto"/>
            </w:tcBorders>
            <w:vAlign w:val="center"/>
            <w:hideMark/>
          </w:tcPr>
          <w:p w14:paraId="740F4B81" w14:textId="77777777" w:rsidR="00346B96" w:rsidRPr="00005453" w:rsidRDefault="00346B96" w:rsidP="0068420B">
            <w:pPr>
              <w:rPr>
                <w:b/>
                <w:bCs/>
                <w:color w:val="000000"/>
                <w:sz w:val="10"/>
                <w:szCs w:val="10"/>
                <w:lang w:eastAsia="tr-TR"/>
              </w:rPr>
            </w:pPr>
          </w:p>
        </w:tc>
      </w:tr>
      <w:tr w:rsidR="00346B96" w:rsidRPr="00005453" w14:paraId="788BCBB6" w14:textId="77777777" w:rsidTr="00E563BC">
        <w:trPr>
          <w:trHeight w:val="40"/>
        </w:trPr>
        <w:tc>
          <w:tcPr>
            <w:tcW w:w="410" w:type="dxa"/>
            <w:vMerge/>
            <w:tcBorders>
              <w:top w:val="nil"/>
              <w:left w:val="single" w:sz="4" w:space="0" w:color="auto"/>
              <w:bottom w:val="single" w:sz="4" w:space="0" w:color="auto"/>
              <w:right w:val="single" w:sz="4" w:space="0" w:color="auto"/>
            </w:tcBorders>
            <w:shd w:val="clear" w:color="auto" w:fill="auto"/>
            <w:vAlign w:val="center"/>
            <w:hideMark/>
          </w:tcPr>
          <w:p w14:paraId="2300B429" w14:textId="77777777" w:rsidR="00346B96" w:rsidRPr="00005453" w:rsidRDefault="00346B96" w:rsidP="0068420B">
            <w:pPr>
              <w:rPr>
                <w:color w:val="000000"/>
                <w:sz w:val="10"/>
                <w:szCs w:val="10"/>
                <w:lang w:eastAsia="tr-TR"/>
              </w:rPr>
            </w:pPr>
          </w:p>
        </w:tc>
        <w:tc>
          <w:tcPr>
            <w:tcW w:w="2183" w:type="dxa"/>
            <w:vMerge/>
            <w:tcBorders>
              <w:top w:val="single" w:sz="8" w:space="0" w:color="000000"/>
              <w:left w:val="single" w:sz="4" w:space="0" w:color="auto"/>
              <w:bottom w:val="single" w:sz="4" w:space="0" w:color="auto"/>
              <w:right w:val="single" w:sz="4" w:space="0" w:color="auto"/>
            </w:tcBorders>
            <w:shd w:val="clear" w:color="auto" w:fill="auto"/>
            <w:vAlign w:val="center"/>
            <w:hideMark/>
          </w:tcPr>
          <w:p w14:paraId="6D0C5D43" w14:textId="77777777" w:rsidR="00346B96" w:rsidRPr="00005453" w:rsidRDefault="00346B96" w:rsidP="0068420B">
            <w:pPr>
              <w:rPr>
                <w:lang w:eastAsia="tr-TR"/>
              </w:rPr>
            </w:pPr>
          </w:p>
        </w:tc>
        <w:tc>
          <w:tcPr>
            <w:tcW w:w="346" w:type="dxa"/>
            <w:tcBorders>
              <w:left w:val="single" w:sz="4" w:space="0" w:color="auto"/>
              <w:bottom w:val="single" w:sz="4" w:space="0" w:color="auto"/>
            </w:tcBorders>
            <w:shd w:val="clear" w:color="auto" w:fill="auto"/>
            <w:vAlign w:val="center"/>
            <w:hideMark/>
          </w:tcPr>
          <w:p w14:paraId="0E62C16A" w14:textId="77777777" w:rsidR="00346B96" w:rsidRPr="00005453" w:rsidRDefault="00346B96" w:rsidP="0068420B">
            <w:pPr>
              <w:jc w:val="right"/>
              <w:rPr>
                <w:color w:val="000000"/>
                <w:sz w:val="10"/>
                <w:szCs w:val="10"/>
                <w:lang w:eastAsia="tr-TR"/>
              </w:rPr>
            </w:pPr>
            <w:r w:rsidRPr="00005453">
              <w:rPr>
                <w:color w:val="000000"/>
                <w:sz w:val="10"/>
                <w:szCs w:val="10"/>
                <w:lang w:val="en-US" w:eastAsia="tr-TR"/>
              </w:rPr>
              <w:t> </w:t>
            </w:r>
          </w:p>
        </w:tc>
        <w:tc>
          <w:tcPr>
            <w:tcW w:w="169" w:type="dxa"/>
            <w:tcBorders>
              <w:left w:val="nil"/>
              <w:bottom w:val="single" w:sz="4" w:space="0" w:color="auto"/>
              <w:right w:val="single" w:sz="4" w:space="0" w:color="auto"/>
            </w:tcBorders>
            <w:shd w:val="clear" w:color="auto" w:fill="auto"/>
            <w:vAlign w:val="center"/>
            <w:hideMark/>
          </w:tcPr>
          <w:p w14:paraId="7DA2AC89" w14:textId="77777777" w:rsidR="00346B96" w:rsidRPr="00005453" w:rsidRDefault="00346B96" w:rsidP="0068420B">
            <w:pPr>
              <w:jc w:val="right"/>
              <w:rPr>
                <w:color w:val="000000"/>
                <w:sz w:val="10"/>
                <w:szCs w:val="10"/>
                <w:lang w:eastAsia="tr-TR"/>
              </w:rPr>
            </w:pPr>
            <w:r w:rsidRPr="00005453">
              <w:rPr>
                <w:color w:val="000000"/>
                <w:sz w:val="10"/>
                <w:szCs w:val="10"/>
                <w:lang w:val="en-US" w:eastAsia="tr-TR"/>
              </w:rPr>
              <w:t> </w:t>
            </w:r>
          </w:p>
        </w:tc>
        <w:tc>
          <w:tcPr>
            <w:tcW w:w="703" w:type="dxa"/>
            <w:vMerge/>
            <w:tcBorders>
              <w:top w:val="single" w:sz="8" w:space="0" w:color="000000"/>
              <w:left w:val="single" w:sz="4" w:space="0" w:color="auto"/>
              <w:bottom w:val="single" w:sz="4" w:space="0" w:color="auto"/>
              <w:right w:val="single" w:sz="4" w:space="0" w:color="auto"/>
            </w:tcBorders>
            <w:vAlign w:val="center"/>
            <w:hideMark/>
          </w:tcPr>
          <w:p w14:paraId="64C20A57" w14:textId="77777777" w:rsidR="00346B96" w:rsidRPr="00005453" w:rsidRDefault="00346B96" w:rsidP="0068420B">
            <w:pPr>
              <w:rPr>
                <w:b/>
                <w:bCs/>
                <w:color w:val="000000"/>
                <w:sz w:val="10"/>
                <w:szCs w:val="10"/>
                <w:lang w:eastAsia="tr-TR"/>
              </w:rPr>
            </w:pPr>
          </w:p>
        </w:tc>
        <w:tc>
          <w:tcPr>
            <w:tcW w:w="843" w:type="dxa"/>
            <w:vMerge/>
            <w:tcBorders>
              <w:top w:val="nil"/>
              <w:left w:val="single" w:sz="4" w:space="0" w:color="auto"/>
              <w:bottom w:val="single" w:sz="4" w:space="0" w:color="auto"/>
              <w:right w:val="single" w:sz="4" w:space="0" w:color="auto"/>
            </w:tcBorders>
            <w:vAlign w:val="center"/>
            <w:hideMark/>
          </w:tcPr>
          <w:p w14:paraId="03138E24" w14:textId="77777777" w:rsidR="00346B96" w:rsidRPr="00005453" w:rsidRDefault="00346B96" w:rsidP="0068420B">
            <w:pPr>
              <w:rPr>
                <w:b/>
                <w:bCs/>
                <w:color w:val="000000"/>
                <w:sz w:val="10"/>
                <w:szCs w:val="10"/>
                <w:lang w:eastAsia="tr-TR"/>
              </w:rPr>
            </w:pPr>
          </w:p>
        </w:tc>
        <w:tc>
          <w:tcPr>
            <w:tcW w:w="703" w:type="dxa"/>
            <w:vMerge/>
            <w:tcBorders>
              <w:top w:val="nil"/>
              <w:left w:val="single" w:sz="4" w:space="0" w:color="auto"/>
              <w:bottom w:val="single" w:sz="4" w:space="0" w:color="auto"/>
              <w:right w:val="single" w:sz="4" w:space="0" w:color="auto"/>
            </w:tcBorders>
            <w:vAlign w:val="center"/>
            <w:hideMark/>
          </w:tcPr>
          <w:p w14:paraId="2040A916" w14:textId="77777777" w:rsidR="00346B96" w:rsidRPr="00005453" w:rsidRDefault="00346B96" w:rsidP="0068420B">
            <w:pPr>
              <w:rPr>
                <w:b/>
                <w:bCs/>
                <w:color w:val="000000"/>
                <w:sz w:val="10"/>
                <w:szCs w:val="10"/>
                <w:lang w:eastAsia="tr-TR"/>
              </w:rPr>
            </w:pPr>
          </w:p>
        </w:tc>
        <w:tc>
          <w:tcPr>
            <w:tcW w:w="844" w:type="dxa"/>
            <w:vMerge/>
            <w:tcBorders>
              <w:top w:val="nil"/>
              <w:left w:val="single" w:sz="4" w:space="0" w:color="auto"/>
              <w:bottom w:val="single" w:sz="4" w:space="0" w:color="auto"/>
              <w:right w:val="single" w:sz="4" w:space="0" w:color="auto"/>
            </w:tcBorders>
            <w:vAlign w:val="center"/>
            <w:hideMark/>
          </w:tcPr>
          <w:p w14:paraId="6BA378B3" w14:textId="77777777" w:rsidR="00346B96" w:rsidRPr="00005453" w:rsidRDefault="00346B96" w:rsidP="0068420B">
            <w:pPr>
              <w:rPr>
                <w:b/>
                <w:bCs/>
                <w:color w:val="000000"/>
                <w:sz w:val="10"/>
                <w:szCs w:val="10"/>
                <w:lang w:eastAsia="tr-TR"/>
              </w:rPr>
            </w:pPr>
          </w:p>
        </w:tc>
        <w:tc>
          <w:tcPr>
            <w:tcW w:w="565" w:type="dxa"/>
            <w:vMerge/>
            <w:tcBorders>
              <w:top w:val="nil"/>
              <w:left w:val="single" w:sz="4" w:space="0" w:color="auto"/>
              <w:bottom w:val="single" w:sz="4" w:space="0" w:color="auto"/>
              <w:right w:val="single" w:sz="4" w:space="0" w:color="auto"/>
            </w:tcBorders>
            <w:vAlign w:val="center"/>
            <w:hideMark/>
          </w:tcPr>
          <w:p w14:paraId="795A5559" w14:textId="77777777" w:rsidR="00346B96" w:rsidRPr="00005453" w:rsidRDefault="00346B96" w:rsidP="0068420B">
            <w:pPr>
              <w:rPr>
                <w:b/>
                <w:bCs/>
                <w:color w:val="000000"/>
                <w:sz w:val="10"/>
                <w:szCs w:val="10"/>
                <w:lang w:eastAsia="tr-TR"/>
              </w:rPr>
            </w:pPr>
          </w:p>
        </w:tc>
        <w:tc>
          <w:tcPr>
            <w:tcW w:w="610" w:type="dxa"/>
            <w:vMerge/>
            <w:tcBorders>
              <w:top w:val="nil"/>
              <w:left w:val="single" w:sz="4" w:space="0" w:color="auto"/>
              <w:bottom w:val="single" w:sz="4" w:space="0" w:color="auto"/>
              <w:right w:val="single" w:sz="4" w:space="0" w:color="auto"/>
            </w:tcBorders>
            <w:vAlign w:val="center"/>
            <w:hideMark/>
          </w:tcPr>
          <w:p w14:paraId="19892DF2" w14:textId="77777777" w:rsidR="00346B96" w:rsidRPr="00005453" w:rsidRDefault="00346B96" w:rsidP="0068420B">
            <w:pPr>
              <w:rPr>
                <w:b/>
                <w:bCs/>
                <w:color w:val="000000"/>
                <w:sz w:val="10"/>
                <w:szCs w:val="10"/>
                <w:lang w:eastAsia="tr-TR"/>
              </w:rPr>
            </w:pPr>
          </w:p>
        </w:tc>
        <w:tc>
          <w:tcPr>
            <w:tcW w:w="568" w:type="dxa"/>
            <w:vMerge/>
            <w:tcBorders>
              <w:top w:val="nil"/>
              <w:left w:val="single" w:sz="4" w:space="0" w:color="auto"/>
              <w:bottom w:val="single" w:sz="4" w:space="0" w:color="auto"/>
              <w:right w:val="single" w:sz="4" w:space="0" w:color="auto"/>
            </w:tcBorders>
            <w:vAlign w:val="center"/>
            <w:hideMark/>
          </w:tcPr>
          <w:p w14:paraId="3EB46512" w14:textId="77777777" w:rsidR="00346B96" w:rsidRPr="00005453" w:rsidRDefault="00346B96" w:rsidP="0068420B">
            <w:pPr>
              <w:rPr>
                <w:b/>
                <w:bCs/>
                <w:color w:val="000000"/>
                <w:sz w:val="10"/>
                <w:szCs w:val="10"/>
                <w:lang w:eastAsia="tr-TR"/>
              </w:rPr>
            </w:pPr>
          </w:p>
        </w:tc>
        <w:tc>
          <w:tcPr>
            <w:tcW w:w="424" w:type="dxa"/>
            <w:vMerge/>
            <w:tcBorders>
              <w:top w:val="nil"/>
              <w:left w:val="single" w:sz="4" w:space="0" w:color="auto"/>
              <w:bottom w:val="single" w:sz="4" w:space="0" w:color="auto"/>
              <w:right w:val="single" w:sz="4" w:space="0" w:color="auto"/>
            </w:tcBorders>
            <w:vAlign w:val="center"/>
            <w:hideMark/>
          </w:tcPr>
          <w:p w14:paraId="29963A4F" w14:textId="77777777" w:rsidR="00346B96" w:rsidRPr="00005453" w:rsidRDefault="00346B96" w:rsidP="0068420B">
            <w:pPr>
              <w:rPr>
                <w:b/>
                <w:bCs/>
                <w:color w:val="000000"/>
                <w:sz w:val="10"/>
                <w:szCs w:val="10"/>
                <w:lang w:eastAsia="tr-TR"/>
              </w:rPr>
            </w:pPr>
          </w:p>
        </w:tc>
        <w:tc>
          <w:tcPr>
            <w:tcW w:w="703" w:type="dxa"/>
            <w:vMerge/>
            <w:tcBorders>
              <w:top w:val="nil"/>
              <w:left w:val="single" w:sz="4" w:space="0" w:color="auto"/>
              <w:bottom w:val="single" w:sz="4" w:space="0" w:color="auto"/>
              <w:right w:val="single" w:sz="4" w:space="0" w:color="auto"/>
            </w:tcBorders>
            <w:vAlign w:val="center"/>
            <w:hideMark/>
          </w:tcPr>
          <w:p w14:paraId="0347A937" w14:textId="77777777" w:rsidR="00346B96" w:rsidRPr="00005453" w:rsidRDefault="00346B96" w:rsidP="0068420B">
            <w:pPr>
              <w:rPr>
                <w:b/>
                <w:bCs/>
                <w:color w:val="000000"/>
                <w:sz w:val="10"/>
                <w:szCs w:val="10"/>
                <w:lang w:eastAsia="tr-TR"/>
              </w:rPr>
            </w:pPr>
          </w:p>
        </w:tc>
        <w:tc>
          <w:tcPr>
            <w:tcW w:w="536" w:type="dxa"/>
            <w:vMerge/>
            <w:tcBorders>
              <w:top w:val="nil"/>
              <w:left w:val="single" w:sz="4" w:space="0" w:color="auto"/>
              <w:bottom w:val="single" w:sz="4" w:space="0" w:color="auto"/>
              <w:right w:val="single" w:sz="4" w:space="0" w:color="auto"/>
            </w:tcBorders>
            <w:vAlign w:val="center"/>
            <w:hideMark/>
          </w:tcPr>
          <w:p w14:paraId="6F336584" w14:textId="77777777" w:rsidR="00346B96" w:rsidRPr="00005453" w:rsidRDefault="00346B96" w:rsidP="0068420B">
            <w:pPr>
              <w:rPr>
                <w:b/>
                <w:bCs/>
                <w:color w:val="000000"/>
                <w:sz w:val="10"/>
                <w:szCs w:val="10"/>
                <w:lang w:eastAsia="tr-TR"/>
              </w:rPr>
            </w:pPr>
          </w:p>
        </w:tc>
        <w:tc>
          <w:tcPr>
            <w:tcW w:w="954" w:type="dxa"/>
            <w:vMerge/>
            <w:tcBorders>
              <w:top w:val="nil"/>
              <w:left w:val="single" w:sz="4" w:space="0" w:color="auto"/>
              <w:bottom w:val="single" w:sz="4" w:space="0" w:color="auto"/>
              <w:right w:val="single" w:sz="4" w:space="0" w:color="auto"/>
            </w:tcBorders>
            <w:vAlign w:val="center"/>
            <w:hideMark/>
          </w:tcPr>
          <w:p w14:paraId="21CA5E30" w14:textId="77777777" w:rsidR="00346B96" w:rsidRPr="00005453" w:rsidRDefault="00346B96" w:rsidP="0068420B">
            <w:pPr>
              <w:rPr>
                <w:b/>
                <w:bCs/>
                <w:color w:val="000000"/>
                <w:sz w:val="10"/>
                <w:szCs w:val="10"/>
                <w:lang w:eastAsia="tr-TR"/>
              </w:rPr>
            </w:pPr>
          </w:p>
        </w:tc>
        <w:tc>
          <w:tcPr>
            <w:tcW w:w="1022" w:type="dxa"/>
            <w:vMerge/>
            <w:tcBorders>
              <w:top w:val="nil"/>
              <w:left w:val="single" w:sz="4" w:space="0" w:color="auto"/>
              <w:bottom w:val="single" w:sz="4" w:space="0" w:color="auto"/>
              <w:right w:val="single" w:sz="4" w:space="0" w:color="auto"/>
            </w:tcBorders>
            <w:vAlign w:val="center"/>
            <w:hideMark/>
          </w:tcPr>
          <w:p w14:paraId="6B8C0AC3" w14:textId="77777777" w:rsidR="00346B96" w:rsidRPr="00005453" w:rsidRDefault="00346B96" w:rsidP="0068420B">
            <w:pPr>
              <w:rPr>
                <w:b/>
                <w:bCs/>
                <w:color w:val="000000"/>
                <w:sz w:val="10"/>
                <w:szCs w:val="10"/>
                <w:lang w:eastAsia="tr-TR"/>
              </w:rPr>
            </w:pPr>
          </w:p>
        </w:tc>
        <w:tc>
          <w:tcPr>
            <w:tcW w:w="760" w:type="dxa"/>
            <w:vMerge/>
            <w:tcBorders>
              <w:top w:val="nil"/>
              <w:left w:val="single" w:sz="4" w:space="0" w:color="auto"/>
              <w:bottom w:val="single" w:sz="4" w:space="0" w:color="auto"/>
              <w:right w:val="single" w:sz="4" w:space="0" w:color="auto"/>
            </w:tcBorders>
            <w:vAlign w:val="center"/>
            <w:hideMark/>
          </w:tcPr>
          <w:p w14:paraId="7685C4EF" w14:textId="77777777" w:rsidR="00346B96" w:rsidRPr="00005453" w:rsidRDefault="00346B96" w:rsidP="0068420B">
            <w:pPr>
              <w:rPr>
                <w:b/>
                <w:bCs/>
                <w:color w:val="000000"/>
                <w:sz w:val="10"/>
                <w:szCs w:val="10"/>
                <w:lang w:eastAsia="tr-TR"/>
              </w:rPr>
            </w:pPr>
          </w:p>
        </w:tc>
        <w:tc>
          <w:tcPr>
            <w:tcW w:w="844" w:type="dxa"/>
            <w:vMerge/>
            <w:tcBorders>
              <w:top w:val="nil"/>
              <w:left w:val="single" w:sz="4" w:space="0" w:color="auto"/>
              <w:bottom w:val="single" w:sz="4" w:space="0" w:color="auto"/>
              <w:right w:val="single" w:sz="4" w:space="0" w:color="auto"/>
            </w:tcBorders>
            <w:vAlign w:val="center"/>
            <w:hideMark/>
          </w:tcPr>
          <w:p w14:paraId="04E10CD3" w14:textId="77777777" w:rsidR="00346B96" w:rsidRPr="00005453" w:rsidRDefault="00346B96" w:rsidP="0068420B">
            <w:pPr>
              <w:rPr>
                <w:b/>
                <w:bCs/>
                <w:color w:val="000000"/>
                <w:sz w:val="10"/>
                <w:szCs w:val="10"/>
                <w:lang w:eastAsia="tr-TR"/>
              </w:rPr>
            </w:pPr>
          </w:p>
        </w:tc>
        <w:tc>
          <w:tcPr>
            <w:tcW w:w="702" w:type="dxa"/>
            <w:vMerge/>
            <w:tcBorders>
              <w:top w:val="nil"/>
              <w:left w:val="single" w:sz="4" w:space="0" w:color="auto"/>
              <w:bottom w:val="single" w:sz="4" w:space="0" w:color="auto"/>
              <w:right w:val="single" w:sz="4" w:space="0" w:color="auto"/>
            </w:tcBorders>
            <w:vAlign w:val="center"/>
            <w:hideMark/>
          </w:tcPr>
          <w:p w14:paraId="48B5A1D7" w14:textId="77777777" w:rsidR="00346B96" w:rsidRPr="00005453" w:rsidRDefault="00346B96" w:rsidP="0068420B">
            <w:pPr>
              <w:rPr>
                <w:b/>
                <w:bCs/>
                <w:color w:val="000000"/>
                <w:sz w:val="10"/>
                <w:szCs w:val="10"/>
                <w:lang w:eastAsia="tr-TR"/>
              </w:rPr>
            </w:pPr>
          </w:p>
        </w:tc>
        <w:tc>
          <w:tcPr>
            <w:tcW w:w="778" w:type="dxa"/>
            <w:vMerge/>
            <w:tcBorders>
              <w:top w:val="nil"/>
              <w:left w:val="single" w:sz="4" w:space="0" w:color="auto"/>
              <w:bottom w:val="single" w:sz="4" w:space="0" w:color="auto"/>
              <w:right w:val="single" w:sz="4" w:space="0" w:color="auto"/>
            </w:tcBorders>
            <w:vAlign w:val="center"/>
            <w:hideMark/>
          </w:tcPr>
          <w:p w14:paraId="7B0E8EDE" w14:textId="77777777" w:rsidR="00346B96" w:rsidRPr="00005453" w:rsidRDefault="00346B96" w:rsidP="0068420B">
            <w:pPr>
              <w:rPr>
                <w:b/>
                <w:bCs/>
                <w:color w:val="000000"/>
                <w:sz w:val="10"/>
                <w:szCs w:val="10"/>
                <w:lang w:eastAsia="tr-TR"/>
              </w:rPr>
            </w:pPr>
          </w:p>
        </w:tc>
      </w:tr>
      <w:tr w:rsidR="00346B96" w:rsidRPr="00005453" w14:paraId="4387585F" w14:textId="77777777" w:rsidTr="00E563BC">
        <w:trPr>
          <w:trHeight w:val="1"/>
        </w:trPr>
        <w:tc>
          <w:tcPr>
            <w:tcW w:w="410" w:type="dxa"/>
            <w:tcBorders>
              <w:top w:val="single" w:sz="4" w:space="0" w:color="auto"/>
              <w:left w:val="single" w:sz="4" w:space="0" w:color="auto"/>
              <w:bottom w:val="nil"/>
              <w:right w:val="single" w:sz="4" w:space="0" w:color="auto"/>
            </w:tcBorders>
            <w:shd w:val="clear" w:color="auto" w:fill="auto"/>
            <w:noWrap/>
            <w:vAlign w:val="center"/>
            <w:hideMark/>
          </w:tcPr>
          <w:p w14:paraId="26130911" w14:textId="77777777" w:rsidR="00346B96" w:rsidRPr="00005453" w:rsidRDefault="00346B96" w:rsidP="0068420B">
            <w:pPr>
              <w:jc w:val="right"/>
              <w:rPr>
                <w:color w:val="000000"/>
                <w:sz w:val="10"/>
                <w:szCs w:val="10"/>
                <w:lang w:eastAsia="tr-TR"/>
              </w:rPr>
            </w:pPr>
          </w:p>
        </w:tc>
        <w:tc>
          <w:tcPr>
            <w:tcW w:w="2183" w:type="dxa"/>
            <w:tcBorders>
              <w:top w:val="single" w:sz="4" w:space="0" w:color="auto"/>
              <w:left w:val="single" w:sz="4" w:space="0" w:color="auto"/>
              <w:bottom w:val="nil"/>
              <w:right w:val="single" w:sz="4" w:space="0" w:color="auto"/>
            </w:tcBorders>
            <w:shd w:val="clear" w:color="auto" w:fill="auto"/>
            <w:noWrap/>
            <w:vAlign w:val="center"/>
            <w:hideMark/>
          </w:tcPr>
          <w:p w14:paraId="434FA612" w14:textId="77777777" w:rsidR="00346B96" w:rsidRPr="00005453" w:rsidRDefault="00346B96" w:rsidP="0068420B">
            <w:pPr>
              <w:jc w:val="center"/>
              <w:rPr>
                <w:sz w:val="10"/>
                <w:szCs w:val="10"/>
                <w:lang w:eastAsia="tr-TR"/>
              </w:rPr>
            </w:pPr>
          </w:p>
        </w:tc>
        <w:tc>
          <w:tcPr>
            <w:tcW w:w="515" w:type="dxa"/>
            <w:gridSpan w:val="2"/>
            <w:tcBorders>
              <w:top w:val="single" w:sz="4" w:space="0" w:color="auto"/>
              <w:left w:val="single" w:sz="4" w:space="0" w:color="auto"/>
              <w:bottom w:val="nil"/>
              <w:right w:val="single" w:sz="4" w:space="0" w:color="auto"/>
            </w:tcBorders>
            <w:shd w:val="clear" w:color="auto" w:fill="auto"/>
            <w:vAlign w:val="center"/>
            <w:hideMark/>
          </w:tcPr>
          <w:p w14:paraId="61A2D2A9" w14:textId="77777777" w:rsidR="00346B96" w:rsidRPr="00005453" w:rsidRDefault="00346B96" w:rsidP="0068420B">
            <w:pPr>
              <w:jc w:val="right"/>
              <w:rPr>
                <w:b/>
                <w:bCs/>
                <w:color w:val="000000"/>
                <w:sz w:val="10"/>
                <w:szCs w:val="10"/>
                <w:lang w:eastAsia="tr-TR"/>
              </w:rPr>
            </w:pPr>
            <w:r w:rsidRPr="00005453">
              <w:rPr>
                <w:b/>
                <w:bCs/>
                <w:color w:val="000000"/>
                <w:sz w:val="10"/>
                <w:szCs w:val="10"/>
                <w:lang w:val="en-US" w:eastAsia="tr-TR"/>
              </w:rPr>
              <w:t> </w:t>
            </w:r>
          </w:p>
        </w:tc>
        <w:tc>
          <w:tcPr>
            <w:tcW w:w="703" w:type="dxa"/>
            <w:tcBorders>
              <w:top w:val="single" w:sz="4" w:space="0" w:color="auto"/>
              <w:left w:val="single" w:sz="4" w:space="0" w:color="auto"/>
              <w:bottom w:val="nil"/>
              <w:right w:val="single" w:sz="4" w:space="0" w:color="auto"/>
            </w:tcBorders>
            <w:shd w:val="clear" w:color="auto" w:fill="auto"/>
            <w:noWrap/>
            <w:vAlign w:val="center"/>
            <w:hideMark/>
          </w:tcPr>
          <w:p w14:paraId="3E787A3B" w14:textId="77777777" w:rsidR="00346B96" w:rsidRPr="00005453" w:rsidRDefault="00346B96" w:rsidP="0068420B">
            <w:pPr>
              <w:jc w:val="right"/>
              <w:rPr>
                <w:b/>
                <w:bCs/>
                <w:color w:val="000000"/>
                <w:sz w:val="10"/>
                <w:szCs w:val="10"/>
                <w:lang w:eastAsia="tr-TR"/>
              </w:rPr>
            </w:pPr>
          </w:p>
        </w:tc>
        <w:tc>
          <w:tcPr>
            <w:tcW w:w="843" w:type="dxa"/>
            <w:tcBorders>
              <w:top w:val="single" w:sz="4" w:space="0" w:color="auto"/>
              <w:left w:val="single" w:sz="4" w:space="0" w:color="auto"/>
              <w:bottom w:val="nil"/>
              <w:right w:val="single" w:sz="4" w:space="0" w:color="auto"/>
            </w:tcBorders>
            <w:shd w:val="clear" w:color="auto" w:fill="auto"/>
            <w:noWrap/>
            <w:vAlign w:val="center"/>
            <w:hideMark/>
          </w:tcPr>
          <w:p w14:paraId="2EF6054C" w14:textId="77777777" w:rsidR="00346B96" w:rsidRPr="00005453" w:rsidRDefault="00346B96" w:rsidP="0068420B">
            <w:pPr>
              <w:jc w:val="right"/>
              <w:rPr>
                <w:sz w:val="10"/>
                <w:szCs w:val="10"/>
                <w:lang w:eastAsia="tr-TR"/>
              </w:rPr>
            </w:pPr>
          </w:p>
        </w:tc>
        <w:tc>
          <w:tcPr>
            <w:tcW w:w="703" w:type="dxa"/>
            <w:tcBorders>
              <w:top w:val="single" w:sz="4" w:space="0" w:color="auto"/>
              <w:left w:val="single" w:sz="4" w:space="0" w:color="auto"/>
              <w:bottom w:val="nil"/>
              <w:right w:val="single" w:sz="4" w:space="0" w:color="auto"/>
            </w:tcBorders>
            <w:shd w:val="clear" w:color="auto" w:fill="auto"/>
            <w:noWrap/>
            <w:vAlign w:val="center"/>
            <w:hideMark/>
          </w:tcPr>
          <w:p w14:paraId="2F36029C" w14:textId="77777777" w:rsidR="00346B96" w:rsidRPr="00005453" w:rsidRDefault="00346B96" w:rsidP="0068420B">
            <w:pPr>
              <w:jc w:val="right"/>
              <w:rPr>
                <w:sz w:val="10"/>
                <w:szCs w:val="10"/>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center"/>
            <w:hideMark/>
          </w:tcPr>
          <w:p w14:paraId="460EF7E2" w14:textId="77777777" w:rsidR="00346B96" w:rsidRPr="00005453" w:rsidRDefault="00346B96" w:rsidP="0068420B">
            <w:pPr>
              <w:jc w:val="right"/>
              <w:rPr>
                <w:sz w:val="10"/>
                <w:szCs w:val="10"/>
                <w:lang w:eastAsia="tr-TR"/>
              </w:rPr>
            </w:pPr>
          </w:p>
        </w:tc>
        <w:tc>
          <w:tcPr>
            <w:tcW w:w="565" w:type="dxa"/>
            <w:tcBorders>
              <w:top w:val="single" w:sz="4" w:space="0" w:color="auto"/>
              <w:left w:val="single" w:sz="4" w:space="0" w:color="auto"/>
              <w:bottom w:val="nil"/>
              <w:right w:val="single" w:sz="4" w:space="0" w:color="auto"/>
            </w:tcBorders>
            <w:shd w:val="clear" w:color="auto" w:fill="auto"/>
            <w:noWrap/>
            <w:vAlign w:val="center"/>
            <w:hideMark/>
          </w:tcPr>
          <w:p w14:paraId="47487171" w14:textId="77777777" w:rsidR="00346B96" w:rsidRPr="00005453" w:rsidRDefault="00346B96" w:rsidP="0068420B">
            <w:pPr>
              <w:jc w:val="right"/>
              <w:rPr>
                <w:sz w:val="10"/>
                <w:szCs w:val="10"/>
                <w:lang w:eastAsia="tr-TR"/>
              </w:rPr>
            </w:pPr>
          </w:p>
        </w:tc>
        <w:tc>
          <w:tcPr>
            <w:tcW w:w="610" w:type="dxa"/>
            <w:tcBorders>
              <w:top w:val="single" w:sz="4" w:space="0" w:color="auto"/>
              <w:left w:val="single" w:sz="4" w:space="0" w:color="auto"/>
              <w:bottom w:val="nil"/>
              <w:right w:val="single" w:sz="4" w:space="0" w:color="auto"/>
            </w:tcBorders>
            <w:shd w:val="clear" w:color="auto" w:fill="auto"/>
            <w:noWrap/>
            <w:vAlign w:val="center"/>
            <w:hideMark/>
          </w:tcPr>
          <w:p w14:paraId="4134DBCF" w14:textId="77777777" w:rsidR="00346B96" w:rsidRPr="00005453" w:rsidRDefault="00346B96" w:rsidP="0068420B">
            <w:pPr>
              <w:jc w:val="right"/>
              <w:rPr>
                <w:sz w:val="10"/>
                <w:szCs w:val="10"/>
                <w:lang w:eastAsia="tr-TR"/>
              </w:rPr>
            </w:pPr>
          </w:p>
        </w:tc>
        <w:tc>
          <w:tcPr>
            <w:tcW w:w="568" w:type="dxa"/>
            <w:tcBorders>
              <w:top w:val="single" w:sz="4" w:space="0" w:color="auto"/>
              <w:left w:val="single" w:sz="4" w:space="0" w:color="auto"/>
              <w:bottom w:val="nil"/>
              <w:right w:val="single" w:sz="4" w:space="0" w:color="auto"/>
            </w:tcBorders>
            <w:shd w:val="clear" w:color="auto" w:fill="auto"/>
            <w:noWrap/>
            <w:vAlign w:val="center"/>
            <w:hideMark/>
          </w:tcPr>
          <w:p w14:paraId="23E17349" w14:textId="77777777" w:rsidR="00346B96" w:rsidRPr="00005453" w:rsidRDefault="00346B96" w:rsidP="0068420B">
            <w:pPr>
              <w:jc w:val="right"/>
              <w:rPr>
                <w:sz w:val="10"/>
                <w:szCs w:val="10"/>
                <w:lang w:eastAsia="tr-TR"/>
              </w:rPr>
            </w:pPr>
          </w:p>
        </w:tc>
        <w:tc>
          <w:tcPr>
            <w:tcW w:w="424" w:type="dxa"/>
            <w:tcBorders>
              <w:top w:val="single" w:sz="4" w:space="0" w:color="auto"/>
              <w:left w:val="single" w:sz="4" w:space="0" w:color="auto"/>
              <w:bottom w:val="nil"/>
              <w:right w:val="single" w:sz="4" w:space="0" w:color="auto"/>
            </w:tcBorders>
            <w:shd w:val="clear" w:color="auto" w:fill="auto"/>
            <w:noWrap/>
            <w:vAlign w:val="center"/>
            <w:hideMark/>
          </w:tcPr>
          <w:p w14:paraId="1B107E41" w14:textId="77777777" w:rsidR="00346B96" w:rsidRPr="00005453" w:rsidRDefault="00346B96" w:rsidP="0068420B">
            <w:pPr>
              <w:jc w:val="right"/>
              <w:rPr>
                <w:sz w:val="10"/>
                <w:szCs w:val="10"/>
                <w:lang w:eastAsia="tr-TR"/>
              </w:rPr>
            </w:pPr>
          </w:p>
        </w:tc>
        <w:tc>
          <w:tcPr>
            <w:tcW w:w="703" w:type="dxa"/>
            <w:tcBorders>
              <w:top w:val="single" w:sz="4" w:space="0" w:color="auto"/>
              <w:left w:val="single" w:sz="4" w:space="0" w:color="auto"/>
              <w:bottom w:val="nil"/>
              <w:right w:val="single" w:sz="4" w:space="0" w:color="auto"/>
            </w:tcBorders>
            <w:shd w:val="clear" w:color="auto" w:fill="auto"/>
            <w:noWrap/>
            <w:vAlign w:val="center"/>
            <w:hideMark/>
          </w:tcPr>
          <w:p w14:paraId="62C84912" w14:textId="77777777" w:rsidR="00346B96" w:rsidRPr="00005453" w:rsidRDefault="00346B96" w:rsidP="0068420B">
            <w:pPr>
              <w:jc w:val="right"/>
              <w:rPr>
                <w:sz w:val="10"/>
                <w:szCs w:val="10"/>
                <w:lang w:eastAsia="tr-TR"/>
              </w:rPr>
            </w:pPr>
          </w:p>
        </w:tc>
        <w:tc>
          <w:tcPr>
            <w:tcW w:w="536" w:type="dxa"/>
            <w:tcBorders>
              <w:top w:val="single" w:sz="4" w:space="0" w:color="auto"/>
              <w:left w:val="single" w:sz="4" w:space="0" w:color="auto"/>
              <w:bottom w:val="nil"/>
              <w:right w:val="single" w:sz="4" w:space="0" w:color="auto"/>
            </w:tcBorders>
            <w:shd w:val="clear" w:color="auto" w:fill="auto"/>
            <w:noWrap/>
            <w:vAlign w:val="center"/>
            <w:hideMark/>
          </w:tcPr>
          <w:p w14:paraId="38A81FFD" w14:textId="77777777" w:rsidR="00346B96" w:rsidRPr="00005453" w:rsidRDefault="00346B96" w:rsidP="0068420B">
            <w:pPr>
              <w:jc w:val="right"/>
              <w:rPr>
                <w:sz w:val="10"/>
                <w:szCs w:val="10"/>
                <w:lang w:eastAsia="tr-TR"/>
              </w:rPr>
            </w:pPr>
          </w:p>
        </w:tc>
        <w:tc>
          <w:tcPr>
            <w:tcW w:w="954" w:type="dxa"/>
            <w:tcBorders>
              <w:top w:val="single" w:sz="4" w:space="0" w:color="auto"/>
              <w:left w:val="single" w:sz="4" w:space="0" w:color="auto"/>
              <w:bottom w:val="nil"/>
              <w:right w:val="single" w:sz="4" w:space="0" w:color="auto"/>
            </w:tcBorders>
            <w:shd w:val="clear" w:color="auto" w:fill="auto"/>
            <w:noWrap/>
            <w:vAlign w:val="center"/>
            <w:hideMark/>
          </w:tcPr>
          <w:p w14:paraId="24E00EB2" w14:textId="77777777" w:rsidR="00346B96" w:rsidRPr="00005453" w:rsidRDefault="00346B96" w:rsidP="0068420B">
            <w:pPr>
              <w:jc w:val="right"/>
              <w:rPr>
                <w:sz w:val="10"/>
                <w:szCs w:val="10"/>
                <w:lang w:eastAsia="tr-TR"/>
              </w:rPr>
            </w:pPr>
          </w:p>
        </w:tc>
        <w:tc>
          <w:tcPr>
            <w:tcW w:w="1022" w:type="dxa"/>
            <w:tcBorders>
              <w:top w:val="single" w:sz="4" w:space="0" w:color="auto"/>
              <w:left w:val="single" w:sz="4" w:space="0" w:color="auto"/>
              <w:bottom w:val="nil"/>
              <w:right w:val="single" w:sz="4" w:space="0" w:color="auto"/>
            </w:tcBorders>
            <w:shd w:val="clear" w:color="auto" w:fill="auto"/>
            <w:noWrap/>
            <w:vAlign w:val="center"/>
            <w:hideMark/>
          </w:tcPr>
          <w:p w14:paraId="42A077B7" w14:textId="77777777" w:rsidR="00346B96" w:rsidRPr="00005453" w:rsidRDefault="00346B96" w:rsidP="0068420B">
            <w:pPr>
              <w:jc w:val="right"/>
              <w:rPr>
                <w:sz w:val="10"/>
                <w:szCs w:val="10"/>
                <w:lang w:eastAsia="tr-TR"/>
              </w:rPr>
            </w:pPr>
          </w:p>
        </w:tc>
        <w:tc>
          <w:tcPr>
            <w:tcW w:w="760" w:type="dxa"/>
            <w:tcBorders>
              <w:top w:val="single" w:sz="4" w:space="0" w:color="auto"/>
              <w:left w:val="single" w:sz="4" w:space="0" w:color="auto"/>
              <w:bottom w:val="nil"/>
              <w:right w:val="single" w:sz="4" w:space="0" w:color="auto"/>
            </w:tcBorders>
            <w:shd w:val="clear" w:color="auto" w:fill="auto"/>
            <w:noWrap/>
            <w:vAlign w:val="center"/>
            <w:hideMark/>
          </w:tcPr>
          <w:p w14:paraId="211D7209" w14:textId="77777777" w:rsidR="00346B96" w:rsidRPr="00005453" w:rsidRDefault="00346B96" w:rsidP="0068420B">
            <w:pPr>
              <w:jc w:val="right"/>
              <w:rPr>
                <w:sz w:val="10"/>
                <w:szCs w:val="10"/>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center"/>
            <w:hideMark/>
          </w:tcPr>
          <w:p w14:paraId="01AC92D9" w14:textId="77777777" w:rsidR="00346B96" w:rsidRPr="00005453" w:rsidRDefault="00346B96" w:rsidP="0068420B">
            <w:pPr>
              <w:jc w:val="right"/>
              <w:rPr>
                <w:sz w:val="10"/>
                <w:szCs w:val="10"/>
                <w:lang w:eastAsia="tr-TR"/>
              </w:rPr>
            </w:pPr>
          </w:p>
        </w:tc>
        <w:tc>
          <w:tcPr>
            <w:tcW w:w="702" w:type="dxa"/>
            <w:tcBorders>
              <w:top w:val="single" w:sz="4" w:space="0" w:color="auto"/>
              <w:left w:val="single" w:sz="4" w:space="0" w:color="auto"/>
              <w:bottom w:val="nil"/>
              <w:right w:val="single" w:sz="4" w:space="0" w:color="auto"/>
            </w:tcBorders>
            <w:shd w:val="clear" w:color="auto" w:fill="auto"/>
            <w:noWrap/>
            <w:vAlign w:val="center"/>
            <w:hideMark/>
          </w:tcPr>
          <w:p w14:paraId="548A3E8F" w14:textId="77777777" w:rsidR="00346B96" w:rsidRPr="00005453" w:rsidRDefault="00346B96" w:rsidP="0068420B">
            <w:pPr>
              <w:jc w:val="right"/>
              <w:rPr>
                <w:sz w:val="10"/>
                <w:szCs w:val="10"/>
                <w:lang w:eastAsia="tr-TR"/>
              </w:rPr>
            </w:pPr>
          </w:p>
        </w:tc>
        <w:tc>
          <w:tcPr>
            <w:tcW w:w="778" w:type="dxa"/>
            <w:tcBorders>
              <w:top w:val="single" w:sz="4" w:space="0" w:color="auto"/>
              <w:left w:val="single" w:sz="4" w:space="0" w:color="auto"/>
              <w:bottom w:val="nil"/>
              <w:right w:val="single" w:sz="4" w:space="0" w:color="auto"/>
            </w:tcBorders>
            <w:shd w:val="clear" w:color="auto" w:fill="auto"/>
            <w:noWrap/>
            <w:vAlign w:val="center"/>
            <w:hideMark/>
          </w:tcPr>
          <w:p w14:paraId="568EE8D7" w14:textId="77777777" w:rsidR="00346B96" w:rsidRPr="00005453" w:rsidRDefault="00346B96" w:rsidP="0068420B">
            <w:pPr>
              <w:jc w:val="right"/>
              <w:rPr>
                <w:sz w:val="10"/>
                <w:szCs w:val="10"/>
                <w:lang w:eastAsia="tr-TR"/>
              </w:rPr>
            </w:pPr>
          </w:p>
        </w:tc>
      </w:tr>
      <w:tr w:rsidR="00346B96" w:rsidRPr="00005453" w14:paraId="75C314B2" w14:textId="77777777" w:rsidTr="00E563BC">
        <w:trPr>
          <w:trHeight w:val="2"/>
        </w:trPr>
        <w:tc>
          <w:tcPr>
            <w:tcW w:w="410" w:type="dxa"/>
            <w:tcBorders>
              <w:top w:val="nil"/>
              <w:left w:val="single" w:sz="4" w:space="0" w:color="auto"/>
              <w:bottom w:val="nil"/>
              <w:right w:val="single" w:sz="4" w:space="0" w:color="auto"/>
            </w:tcBorders>
            <w:shd w:val="clear" w:color="auto" w:fill="auto"/>
            <w:noWrap/>
            <w:vAlign w:val="center"/>
            <w:hideMark/>
          </w:tcPr>
          <w:p w14:paraId="3A560D4D" w14:textId="77777777" w:rsidR="00346B96" w:rsidRPr="00005453" w:rsidRDefault="00346B96" w:rsidP="0068420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1249262E" w14:textId="77777777" w:rsidR="00346B96" w:rsidRPr="00005453" w:rsidRDefault="00346B96" w:rsidP="0068420B">
            <w:pPr>
              <w:rPr>
                <w:b/>
                <w:bCs/>
                <w:color w:val="000000"/>
                <w:sz w:val="10"/>
                <w:szCs w:val="10"/>
                <w:lang w:eastAsia="tr-TR"/>
              </w:rPr>
            </w:pPr>
            <w:r w:rsidRPr="00005453">
              <w:rPr>
                <w:b/>
                <w:bCs/>
                <w:color w:val="000000"/>
                <w:sz w:val="10"/>
                <w:szCs w:val="10"/>
                <w:lang w:val="en-US" w:eastAsia="tr-TR"/>
              </w:rPr>
              <w:t>Önceki Dönem</w:t>
            </w:r>
          </w:p>
        </w:tc>
        <w:tc>
          <w:tcPr>
            <w:tcW w:w="515" w:type="dxa"/>
            <w:gridSpan w:val="2"/>
            <w:tcBorders>
              <w:top w:val="nil"/>
              <w:left w:val="single" w:sz="4" w:space="0" w:color="auto"/>
              <w:bottom w:val="nil"/>
              <w:right w:val="single" w:sz="4" w:space="0" w:color="auto"/>
            </w:tcBorders>
            <w:shd w:val="clear" w:color="auto" w:fill="auto"/>
            <w:vAlign w:val="center"/>
            <w:hideMark/>
          </w:tcPr>
          <w:p w14:paraId="1B4A7912" w14:textId="77777777" w:rsidR="00346B96" w:rsidRPr="00005453" w:rsidRDefault="00346B96" w:rsidP="0068420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13137086" w14:textId="77777777" w:rsidR="00346B96" w:rsidRPr="00005453" w:rsidRDefault="00346B96" w:rsidP="0068420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6BD07502"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725ADA3"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B830CDF" w14:textId="77777777" w:rsidR="00346B96" w:rsidRPr="00005453" w:rsidRDefault="00346B96" w:rsidP="0068420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2D91ABDE" w14:textId="77777777" w:rsidR="00346B96" w:rsidRPr="00005453" w:rsidRDefault="00346B96" w:rsidP="0068420B">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vAlign w:val="center"/>
            <w:hideMark/>
          </w:tcPr>
          <w:p w14:paraId="487B29DB" w14:textId="77777777" w:rsidR="00346B96" w:rsidRPr="00005453" w:rsidRDefault="00346B96" w:rsidP="0068420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380197F7" w14:textId="77777777" w:rsidR="00346B96" w:rsidRPr="00005453" w:rsidRDefault="00346B96" w:rsidP="0068420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302FBDAA"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28C01EB" w14:textId="77777777" w:rsidR="00346B96" w:rsidRPr="00005453" w:rsidRDefault="00346B96" w:rsidP="0068420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40326212" w14:textId="77777777" w:rsidR="00346B96" w:rsidRPr="00005453" w:rsidRDefault="00346B96" w:rsidP="0068420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67E9343D" w14:textId="77777777" w:rsidR="00346B96" w:rsidRPr="00005453" w:rsidRDefault="00346B96" w:rsidP="0068420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7885F0FB" w14:textId="77777777" w:rsidR="00346B96" w:rsidRPr="00005453" w:rsidRDefault="00346B96" w:rsidP="0068420B">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vAlign w:val="center"/>
            <w:hideMark/>
          </w:tcPr>
          <w:p w14:paraId="457AD1CF"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13CFB929" w14:textId="77777777" w:rsidR="00346B96" w:rsidRPr="00005453" w:rsidRDefault="00346B96" w:rsidP="0068420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22FF0DE6" w14:textId="77777777" w:rsidR="00346B96" w:rsidRPr="00005453" w:rsidRDefault="00346B96" w:rsidP="0068420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2DC4E648" w14:textId="77777777" w:rsidR="00346B96" w:rsidRPr="00005453" w:rsidRDefault="00346B96" w:rsidP="0068420B">
            <w:pPr>
              <w:jc w:val="right"/>
              <w:rPr>
                <w:sz w:val="10"/>
                <w:szCs w:val="10"/>
                <w:lang w:eastAsia="tr-TR"/>
              </w:rPr>
            </w:pPr>
          </w:p>
        </w:tc>
      </w:tr>
      <w:tr w:rsidR="00346B96" w:rsidRPr="00005453" w14:paraId="2FA45F7C"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7FDE7E0" w14:textId="77777777" w:rsidR="00346B96" w:rsidRPr="00005453" w:rsidRDefault="00346B96" w:rsidP="0068420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42B555EA" w14:textId="585AC2BF" w:rsidR="00346B96" w:rsidRPr="00005453" w:rsidRDefault="00346B96" w:rsidP="0068420B">
            <w:pPr>
              <w:rPr>
                <w:b/>
                <w:bCs/>
                <w:color w:val="000000"/>
                <w:sz w:val="10"/>
                <w:szCs w:val="10"/>
                <w:lang w:eastAsia="tr-TR"/>
              </w:rPr>
            </w:pPr>
            <w:r w:rsidRPr="00005453">
              <w:rPr>
                <w:b/>
                <w:bCs/>
                <w:color w:val="000000"/>
                <w:sz w:val="10"/>
                <w:szCs w:val="10"/>
                <w:lang w:val="en-US" w:eastAsia="tr-TR"/>
              </w:rPr>
              <w:t>(01/01/202</w:t>
            </w:r>
            <w:r w:rsidR="008755B7" w:rsidRPr="00005453">
              <w:rPr>
                <w:b/>
                <w:bCs/>
                <w:color w:val="000000"/>
                <w:sz w:val="10"/>
                <w:szCs w:val="10"/>
                <w:lang w:val="en-US" w:eastAsia="tr-TR"/>
              </w:rPr>
              <w:t>3</w:t>
            </w:r>
            <w:r w:rsidRPr="00005453">
              <w:rPr>
                <w:b/>
                <w:bCs/>
                <w:color w:val="000000"/>
                <w:sz w:val="10"/>
                <w:szCs w:val="10"/>
                <w:lang w:val="en-US" w:eastAsia="tr-TR"/>
              </w:rPr>
              <w:t xml:space="preserve"> – 31/12/202</w:t>
            </w:r>
            <w:r w:rsidR="008755B7" w:rsidRPr="00005453">
              <w:rPr>
                <w:b/>
                <w:bCs/>
                <w:color w:val="000000"/>
                <w:sz w:val="10"/>
                <w:szCs w:val="10"/>
                <w:lang w:val="en-US" w:eastAsia="tr-TR"/>
              </w:rPr>
              <w:t>3</w:t>
            </w:r>
            <w:r w:rsidRPr="00005453">
              <w:rPr>
                <w:b/>
                <w:bCs/>
                <w:color w:val="000000"/>
                <w:sz w:val="10"/>
                <w:szCs w:val="10"/>
                <w:lang w:val="en-US" w:eastAsia="tr-TR"/>
              </w:rPr>
              <w:t>)</w:t>
            </w:r>
          </w:p>
        </w:tc>
        <w:tc>
          <w:tcPr>
            <w:tcW w:w="515" w:type="dxa"/>
            <w:gridSpan w:val="2"/>
            <w:tcBorders>
              <w:top w:val="nil"/>
              <w:left w:val="single" w:sz="4" w:space="0" w:color="auto"/>
              <w:bottom w:val="nil"/>
              <w:right w:val="single" w:sz="4" w:space="0" w:color="auto"/>
            </w:tcBorders>
            <w:shd w:val="clear" w:color="auto" w:fill="auto"/>
            <w:vAlign w:val="center"/>
            <w:hideMark/>
          </w:tcPr>
          <w:p w14:paraId="41ADCE2B" w14:textId="77777777" w:rsidR="00346B96" w:rsidRPr="00005453" w:rsidRDefault="00346B96" w:rsidP="0068420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43CB317F" w14:textId="77777777" w:rsidR="00346B96" w:rsidRPr="00005453" w:rsidRDefault="00346B96" w:rsidP="0068420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6536A1DD"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7BEC751F"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9561E4C" w14:textId="77777777" w:rsidR="00346B96" w:rsidRPr="00005453" w:rsidRDefault="00346B96" w:rsidP="0068420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37D52326" w14:textId="77777777" w:rsidR="00346B96" w:rsidRPr="00005453" w:rsidRDefault="00346B96" w:rsidP="0068420B">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vAlign w:val="center"/>
            <w:hideMark/>
          </w:tcPr>
          <w:p w14:paraId="06B244F8" w14:textId="77777777" w:rsidR="00346B96" w:rsidRPr="00005453" w:rsidRDefault="00346B96" w:rsidP="0068420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000CA19C" w14:textId="77777777" w:rsidR="00346B96" w:rsidRPr="00005453" w:rsidRDefault="00346B96" w:rsidP="0068420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7FA08408"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4BF6271C" w14:textId="77777777" w:rsidR="00346B96" w:rsidRPr="00005453" w:rsidRDefault="00346B96" w:rsidP="0068420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3D473C8E" w14:textId="77777777" w:rsidR="00346B96" w:rsidRPr="00005453" w:rsidRDefault="00346B96" w:rsidP="0068420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70EAF630" w14:textId="77777777" w:rsidR="00346B96" w:rsidRPr="00005453" w:rsidRDefault="00346B96" w:rsidP="0068420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00F39124" w14:textId="77777777" w:rsidR="00346B96" w:rsidRPr="00005453" w:rsidRDefault="00346B96" w:rsidP="0068420B">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vAlign w:val="center"/>
            <w:hideMark/>
          </w:tcPr>
          <w:p w14:paraId="1B13D5BE"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62FB8E53" w14:textId="77777777" w:rsidR="00346B96" w:rsidRPr="00005453" w:rsidRDefault="00346B96" w:rsidP="0068420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678FE340" w14:textId="77777777" w:rsidR="00346B96" w:rsidRPr="00005453" w:rsidRDefault="00346B96" w:rsidP="0068420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160DEF5C" w14:textId="77777777" w:rsidR="00346B96" w:rsidRPr="00005453" w:rsidRDefault="00346B96" w:rsidP="0068420B">
            <w:pPr>
              <w:jc w:val="right"/>
              <w:rPr>
                <w:sz w:val="10"/>
                <w:szCs w:val="10"/>
                <w:lang w:eastAsia="tr-TR"/>
              </w:rPr>
            </w:pPr>
          </w:p>
        </w:tc>
      </w:tr>
      <w:tr w:rsidR="00346B96" w:rsidRPr="00005453" w14:paraId="4287E461"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4FEFE153" w14:textId="77777777" w:rsidR="00346B96" w:rsidRPr="00005453" w:rsidRDefault="00346B96" w:rsidP="0068420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40A41FB8" w14:textId="77777777" w:rsidR="00346B96" w:rsidRPr="00005453" w:rsidRDefault="00346B96" w:rsidP="0068420B">
            <w:pPr>
              <w:jc w:val="center"/>
              <w:rPr>
                <w:sz w:val="10"/>
                <w:szCs w:val="10"/>
                <w:lang w:eastAsia="tr-TR"/>
              </w:rPr>
            </w:pPr>
          </w:p>
        </w:tc>
        <w:tc>
          <w:tcPr>
            <w:tcW w:w="515" w:type="dxa"/>
            <w:gridSpan w:val="2"/>
            <w:tcBorders>
              <w:top w:val="nil"/>
              <w:left w:val="single" w:sz="4" w:space="0" w:color="auto"/>
              <w:bottom w:val="nil"/>
              <w:right w:val="single" w:sz="4" w:space="0" w:color="auto"/>
            </w:tcBorders>
            <w:shd w:val="clear" w:color="auto" w:fill="auto"/>
            <w:vAlign w:val="center"/>
            <w:hideMark/>
          </w:tcPr>
          <w:p w14:paraId="7361A544" w14:textId="77777777" w:rsidR="00346B96" w:rsidRPr="00005453" w:rsidRDefault="00346B96" w:rsidP="0068420B">
            <w:pPr>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040E103A" w14:textId="77777777" w:rsidR="00346B96" w:rsidRPr="00005453" w:rsidRDefault="00346B96" w:rsidP="0068420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2A91318D"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F26B5B5"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B159F2C" w14:textId="77777777" w:rsidR="00346B96" w:rsidRPr="00005453" w:rsidRDefault="00346B96" w:rsidP="0068420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77881A39" w14:textId="77777777" w:rsidR="00346B96" w:rsidRPr="00005453" w:rsidRDefault="00346B96" w:rsidP="0068420B">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vAlign w:val="bottom"/>
            <w:hideMark/>
          </w:tcPr>
          <w:p w14:paraId="3B62E23C" w14:textId="77777777" w:rsidR="00346B96" w:rsidRPr="00005453" w:rsidRDefault="00346B96" w:rsidP="0068420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5B8DF66E" w14:textId="77777777" w:rsidR="00346B96" w:rsidRPr="00005453" w:rsidRDefault="00346B96" w:rsidP="0068420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7033C39B"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0CE415DC" w14:textId="77777777" w:rsidR="00346B96" w:rsidRPr="00005453" w:rsidRDefault="00346B96" w:rsidP="0068420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252758D6" w14:textId="77777777" w:rsidR="00346B96" w:rsidRPr="00005453" w:rsidRDefault="00346B96" w:rsidP="0068420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7187E141" w14:textId="77777777" w:rsidR="00346B96" w:rsidRPr="00005453" w:rsidRDefault="00346B96" w:rsidP="0068420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04D980D0" w14:textId="77777777" w:rsidR="00346B96" w:rsidRPr="00005453" w:rsidRDefault="00346B96" w:rsidP="0068420B">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vAlign w:val="bottom"/>
            <w:hideMark/>
          </w:tcPr>
          <w:p w14:paraId="272F6B54"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61353F18" w14:textId="77777777" w:rsidR="00346B96" w:rsidRPr="00005453" w:rsidRDefault="00346B96" w:rsidP="0068420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52C263CB" w14:textId="77777777" w:rsidR="00346B96" w:rsidRPr="00005453" w:rsidRDefault="00346B96" w:rsidP="0068420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067B480E" w14:textId="77777777" w:rsidR="00346B96" w:rsidRPr="00005453" w:rsidRDefault="00346B96" w:rsidP="0068420B">
            <w:pPr>
              <w:jc w:val="right"/>
              <w:rPr>
                <w:sz w:val="10"/>
                <w:szCs w:val="10"/>
                <w:lang w:eastAsia="tr-TR"/>
              </w:rPr>
            </w:pPr>
          </w:p>
        </w:tc>
      </w:tr>
      <w:tr w:rsidR="008755B7" w:rsidRPr="00005453" w14:paraId="3F586D61"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725125EA"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I.</w:t>
            </w:r>
          </w:p>
        </w:tc>
        <w:tc>
          <w:tcPr>
            <w:tcW w:w="2183" w:type="dxa"/>
            <w:tcBorders>
              <w:top w:val="nil"/>
              <w:left w:val="single" w:sz="4" w:space="0" w:color="auto"/>
              <w:bottom w:val="nil"/>
              <w:right w:val="single" w:sz="4" w:space="0" w:color="auto"/>
            </w:tcBorders>
            <w:shd w:val="clear" w:color="auto" w:fill="auto"/>
            <w:noWrap/>
            <w:vAlign w:val="center"/>
            <w:hideMark/>
          </w:tcPr>
          <w:p w14:paraId="2E28898E"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Önceki Dönem Sonu Bakiyesi</w:t>
            </w:r>
          </w:p>
        </w:tc>
        <w:tc>
          <w:tcPr>
            <w:tcW w:w="515" w:type="dxa"/>
            <w:gridSpan w:val="2"/>
            <w:tcBorders>
              <w:top w:val="nil"/>
              <w:left w:val="single" w:sz="4" w:space="0" w:color="auto"/>
              <w:bottom w:val="nil"/>
              <w:right w:val="single" w:sz="4" w:space="0" w:color="auto"/>
            </w:tcBorders>
            <w:shd w:val="clear" w:color="auto" w:fill="auto"/>
            <w:vAlign w:val="center"/>
            <w:hideMark/>
          </w:tcPr>
          <w:p w14:paraId="6431D6B0" w14:textId="77777777" w:rsidR="008755B7" w:rsidRPr="00005453" w:rsidRDefault="008755B7" w:rsidP="008755B7">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706106D" w14:textId="5BF90588" w:rsidR="008755B7" w:rsidRPr="00005453" w:rsidRDefault="008755B7" w:rsidP="008755B7">
            <w:pPr>
              <w:jc w:val="right"/>
              <w:rPr>
                <w:b/>
                <w:bCs/>
                <w:sz w:val="10"/>
                <w:szCs w:val="10"/>
              </w:rPr>
            </w:pPr>
            <w:r w:rsidRPr="00005453">
              <w:rPr>
                <w:b/>
                <w:bCs/>
                <w:sz w:val="10"/>
                <w:szCs w:val="10"/>
              </w:rPr>
              <w:t>4,595,131</w:t>
            </w:r>
          </w:p>
        </w:tc>
        <w:tc>
          <w:tcPr>
            <w:tcW w:w="843" w:type="dxa"/>
            <w:tcBorders>
              <w:top w:val="nil"/>
              <w:left w:val="single" w:sz="4" w:space="0" w:color="auto"/>
              <w:bottom w:val="nil"/>
              <w:right w:val="single" w:sz="4" w:space="0" w:color="auto"/>
            </w:tcBorders>
            <w:shd w:val="clear" w:color="auto" w:fill="auto"/>
            <w:vAlign w:val="center"/>
            <w:hideMark/>
          </w:tcPr>
          <w:p w14:paraId="6EB1146A" w14:textId="30B02C95" w:rsidR="008755B7" w:rsidRPr="00005453" w:rsidRDefault="008755B7" w:rsidP="008755B7">
            <w:pPr>
              <w:jc w:val="right"/>
              <w:rPr>
                <w:b/>
                <w:bCs/>
                <w:sz w:val="10"/>
                <w:szCs w:val="10"/>
              </w:rPr>
            </w:pPr>
            <w:r w:rsidRPr="00005453">
              <w:rPr>
                <w:b/>
                <w:bCs/>
                <w:sz w:val="10"/>
                <w:szCs w:val="10"/>
              </w:rPr>
              <w:t>23,250</w:t>
            </w:r>
          </w:p>
        </w:tc>
        <w:tc>
          <w:tcPr>
            <w:tcW w:w="703" w:type="dxa"/>
            <w:tcBorders>
              <w:top w:val="nil"/>
              <w:left w:val="single" w:sz="4" w:space="0" w:color="auto"/>
              <w:bottom w:val="nil"/>
              <w:right w:val="single" w:sz="4" w:space="0" w:color="auto"/>
            </w:tcBorders>
            <w:shd w:val="clear" w:color="auto" w:fill="auto"/>
            <w:vAlign w:val="center"/>
            <w:hideMark/>
          </w:tcPr>
          <w:p w14:paraId="1A691927" w14:textId="4ECC1CE3" w:rsidR="008755B7" w:rsidRPr="00005453" w:rsidRDefault="008755B7" w:rsidP="008755B7">
            <w:pPr>
              <w:jc w:val="right"/>
              <w:rPr>
                <w:b/>
                <w:bCs/>
                <w:sz w:val="10"/>
                <w:szCs w:val="10"/>
              </w:rPr>
            </w:pPr>
            <w:r w:rsidRPr="00005453">
              <w:rPr>
                <w:b/>
                <w:bCs/>
                <w:sz w:val="10"/>
                <w:szCs w:val="10"/>
              </w:rPr>
              <w:t>1,874</w:t>
            </w:r>
          </w:p>
        </w:tc>
        <w:tc>
          <w:tcPr>
            <w:tcW w:w="844" w:type="dxa"/>
            <w:tcBorders>
              <w:top w:val="nil"/>
              <w:left w:val="single" w:sz="4" w:space="0" w:color="auto"/>
              <w:bottom w:val="nil"/>
              <w:right w:val="single" w:sz="4" w:space="0" w:color="auto"/>
            </w:tcBorders>
            <w:shd w:val="clear" w:color="auto" w:fill="auto"/>
            <w:vAlign w:val="center"/>
            <w:hideMark/>
          </w:tcPr>
          <w:p w14:paraId="4CF69D59" w14:textId="61A83386" w:rsidR="008755B7" w:rsidRPr="00005453" w:rsidRDefault="008755B7" w:rsidP="008755B7">
            <w:pPr>
              <w:jc w:val="right"/>
              <w:rPr>
                <w:b/>
                <w:bCs/>
                <w:sz w:val="10"/>
                <w:szCs w:val="10"/>
              </w:rPr>
            </w:pPr>
            <w:r w:rsidRPr="00005453">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BFF314E" w14:textId="462FC6CB" w:rsidR="008755B7" w:rsidRPr="00005453" w:rsidRDefault="008755B7" w:rsidP="008755B7">
            <w:pPr>
              <w:jc w:val="right"/>
              <w:rPr>
                <w:b/>
                <w:bCs/>
                <w:sz w:val="10"/>
                <w:szCs w:val="10"/>
              </w:rPr>
            </w:pPr>
            <w:r w:rsidRPr="00005453">
              <w:rPr>
                <w:b/>
                <w:bCs/>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78134C3B" w14:textId="7EC46A70" w:rsidR="008755B7" w:rsidRPr="00005453" w:rsidRDefault="008755B7" w:rsidP="008755B7">
            <w:pPr>
              <w:jc w:val="right"/>
              <w:rPr>
                <w:b/>
                <w:bCs/>
                <w:sz w:val="10"/>
                <w:szCs w:val="10"/>
              </w:rPr>
            </w:pPr>
            <w:r w:rsidRPr="00005453">
              <w:rPr>
                <w:b/>
                <w:bCs/>
                <w:sz w:val="10"/>
                <w:szCs w:val="10"/>
              </w:rPr>
              <w:t>(294,407)</w:t>
            </w:r>
          </w:p>
        </w:tc>
        <w:tc>
          <w:tcPr>
            <w:tcW w:w="568" w:type="dxa"/>
            <w:tcBorders>
              <w:top w:val="nil"/>
              <w:left w:val="single" w:sz="4" w:space="0" w:color="auto"/>
              <w:bottom w:val="nil"/>
              <w:right w:val="single" w:sz="4" w:space="0" w:color="auto"/>
            </w:tcBorders>
            <w:shd w:val="clear" w:color="auto" w:fill="auto"/>
            <w:vAlign w:val="center"/>
            <w:hideMark/>
          </w:tcPr>
          <w:p w14:paraId="17607DE7" w14:textId="0307091C" w:rsidR="008755B7" w:rsidRPr="00005453" w:rsidRDefault="008755B7" w:rsidP="008755B7">
            <w:pPr>
              <w:jc w:val="right"/>
              <w:rPr>
                <w:b/>
                <w:bCs/>
                <w:sz w:val="10"/>
                <w:szCs w:val="10"/>
              </w:rPr>
            </w:pPr>
            <w:r w:rsidRPr="00005453">
              <w:rPr>
                <w:b/>
                <w:bCs/>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6BCAD42B" w14:textId="3D633D9B" w:rsidR="008755B7" w:rsidRPr="00005453" w:rsidRDefault="008755B7" w:rsidP="008755B7">
            <w:pPr>
              <w:jc w:val="right"/>
              <w:rPr>
                <w:b/>
                <w:bCs/>
                <w:sz w:val="10"/>
                <w:szCs w:val="10"/>
              </w:rPr>
            </w:pPr>
            <w:r w:rsidRPr="00005453">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F3A59E0" w14:textId="4C1F6C38" w:rsidR="008755B7" w:rsidRPr="00005453" w:rsidRDefault="008755B7" w:rsidP="008755B7">
            <w:pPr>
              <w:jc w:val="right"/>
              <w:rPr>
                <w:b/>
                <w:bCs/>
                <w:sz w:val="10"/>
                <w:szCs w:val="10"/>
              </w:rPr>
            </w:pPr>
            <w:r w:rsidRPr="00005453">
              <w:rPr>
                <w:b/>
                <w:bCs/>
                <w:sz w:val="10"/>
                <w:szCs w:val="10"/>
              </w:rPr>
              <w:t>4,683,503</w:t>
            </w:r>
          </w:p>
        </w:tc>
        <w:tc>
          <w:tcPr>
            <w:tcW w:w="536" w:type="dxa"/>
            <w:tcBorders>
              <w:top w:val="nil"/>
              <w:left w:val="single" w:sz="4" w:space="0" w:color="auto"/>
              <w:bottom w:val="nil"/>
              <w:right w:val="single" w:sz="4" w:space="0" w:color="auto"/>
            </w:tcBorders>
            <w:shd w:val="clear" w:color="auto" w:fill="auto"/>
            <w:vAlign w:val="center"/>
            <w:hideMark/>
          </w:tcPr>
          <w:p w14:paraId="5C96C1B6" w14:textId="2319BDC0" w:rsidR="008755B7" w:rsidRPr="00005453" w:rsidRDefault="008755B7" w:rsidP="008755B7">
            <w:pPr>
              <w:jc w:val="right"/>
              <w:rPr>
                <w:b/>
                <w:bCs/>
                <w:sz w:val="10"/>
                <w:szCs w:val="10"/>
              </w:rPr>
            </w:pPr>
            <w:r w:rsidRPr="00005453">
              <w:rPr>
                <w:b/>
                <w:bCs/>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1E924D11" w14:textId="3675BEBD" w:rsidR="008755B7" w:rsidRPr="00005453" w:rsidRDefault="008755B7" w:rsidP="008755B7">
            <w:pPr>
              <w:jc w:val="right"/>
              <w:rPr>
                <w:b/>
                <w:bCs/>
                <w:sz w:val="10"/>
                <w:szCs w:val="10"/>
              </w:rPr>
            </w:pPr>
            <w:r w:rsidRPr="00005453">
              <w:rPr>
                <w:b/>
                <w:bCs/>
                <w:sz w:val="10"/>
                <w:szCs w:val="10"/>
              </w:rPr>
              <w:t>5,610,413</w:t>
            </w:r>
          </w:p>
        </w:tc>
        <w:tc>
          <w:tcPr>
            <w:tcW w:w="1022" w:type="dxa"/>
            <w:tcBorders>
              <w:top w:val="nil"/>
              <w:left w:val="single" w:sz="4" w:space="0" w:color="auto"/>
              <w:bottom w:val="nil"/>
              <w:right w:val="single" w:sz="4" w:space="0" w:color="auto"/>
            </w:tcBorders>
            <w:shd w:val="clear" w:color="auto" w:fill="auto"/>
            <w:vAlign w:val="center"/>
            <w:hideMark/>
          </w:tcPr>
          <w:p w14:paraId="6DA358DE" w14:textId="07B6E5C7" w:rsidR="008755B7" w:rsidRPr="00005453" w:rsidRDefault="008755B7" w:rsidP="008755B7">
            <w:pPr>
              <w:jc w:val="right"/>
              <w:rPr>
                <w:b/>
                <w:bCs/>
                <w:sz w:val="10"/>
                <w:szCs w:val="10"/>
              </w:rPr>
            </w:pPr>
            <w:r w:rsidRPr="00005453">
              <w:rPr>
                <w:b/>
                <w:bCs/>
                <w:sz w:val="10"/>
                <w:szCs w:val="10"/>
              </w:rPr>
              <w:t>51,631</w:t>
            </w:r>
          </w:p>
        </w:tc>
        <w:tc>
          <w:tcPr>
            <w:tcW w:w="760" w:type="dxa"/>
            <w:tcBorders>
              <w:top w:val="nil"/>
              <w:left w:val="single" w:sz="4" w:space="0" w:color="auto"/>
              <w:bottom w:val="nil"/>
              <w:right w:val="single" w:sz="4" w:space="0" w:color="auto"/>
            </w:tcBorders>
            <w:shd w:val="clear" w:color="auto" w:fill="auto"/>
            <w:vAlign w:val="center"/>
            <w:hideMark/>
          </w:tcPr>
          <w:p w14:paraId="2E9538BB" w14:textId="3BF3DEFF" w:rsidR="008755B7" w:rsidRPr="00005453" w:rsidRDefault="008755B7" w:rsidP="008755B7">
            <w:pPr>
              <w:jc w:val="right"/>
              <w:rPr>
                <w:b/>
                <w:bCs/>
                <w:sz w:val="10"/>
                <w:szCs w:val="10"/>
              </w:rPr>
            </w:pPr>
            <w:r w:rsidRPr="00005453">
              <w:rPr>
                <w:b/>
                <w:bCs/>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2DAE2FFB" w14:textId="4D9C9853" w:rsidR="008755B7" w:rsidRPr="00005453" w:rsidRDefault="008755B7" w:rsidP="008755B7">
            <w:pPr>
              <w:jc w:val="right"/>
              <w:rPr>
                <w:b/>
                <w:bCs/>
                <w:sz w:val="10"/>
                <w:szCs w:val="10"/>
              </w:rPr>
            </w:pPr>
            <w:r w:rsidRPr="00005453">
              <w:rPr>
                <w:b/>
                <w:bCs/>
                <w:sz w:val="10"/>
                <w:szCs w:val="10"/>
              </w:rPr>
              <w:t>28,714,842</w:t>
            </w:r>
          </w:p>
        </w:tc>
        <w:tc>
          <w:tcPr>
            <w:tcW w:w="702" w:type="dxa"/>
            <w:tcBorders>
              <w:top w:val="nil"/>
              <w:left w:val="single" w:sz="4" w:space="0" w:color="auto"/>
              <w:bottom w:val="nil"/>
              <w:right w:val="single" w:sz="4" w:space="0" w:color="auto"/>
            </w:tcBorders>
            <w:shd w:val="clear" w:color="auto" w:fill="auto"/>
            <w:vAlign w:val="center"/>
            <w:hideMark/>
          </w:tcPr>
          <w:p w14:paraId="0E73860E" w14:textId="277DC94B" w:rsidR="008755B7" w:rsidRPr="00005453" w:rsidRDefault="008755B7" w:rsidP="008755B7">
            <w:pPr>
              <w:jc w:val="right"/>
              <w:rPr>
                <w:b/>
                <w:bCs/>
                <w:sz w:val="10"/>
                <w:szCs w:val="10"/>
              </w:rPr>
            </w:pPr>
            <w:r w:rsidRPr="00005453">
              <w:rPr>
                <w:b/>
                <w:bCs/>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00EA80B6" w14:textId="59FB2557" w:rsidR="008755B7" w:rsidRPr="00005453" w:rsidRDefault="008755B7" w:rsidP="008755B7">
            <w:pPr>
              <w:jc w:val="right"/>
              <w:rPr>
                <w:b/>
                <w:bCs/>
                <w:sz w:val="10"/>
                <w:szCs w:val="10"/>
              </w:rPr>
            </w:pPr>
            <w:r w:rsidRPr="00005453">
              <w:rPr>
                <w:b/>
                <w:bCs/>
                <w:sz w:val="10"/>
                <w:szCs w:val="10"/>
              </w:rPr>
              <w:t>28,714,842</w:t>
            </w:r>
          </w:p>
        </w:tc>
      </w:tr>
      <w:tr w:rsidR="008755B7" w:rsidRPr="00005453" w14:paraId="6423A235"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3E6902F9"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II.</w:t>
            </w:r>
          </w:p>
        </w:tc>
        <w:tc>
          <w:tcPr>
            <w:tcW w:w="2183" w:type="dxa"/>
            <w:tcBorders>
              <w:top w:val="nil"/>
              <w:left w:val="single" w:sz="4" w:space="0" w:color="auto"/>
              <w:bottom w:val="nil"/>
              <w:right w:val="single" w:sz="4" w:space="0" w:color="auto"/>
            </w:tcBorders>
            <w:shd w:val="clear" w:color="auto" w:fill="auto"/>
            <w:noWrap/>
            <w:vAlign w:val="center"/>
            <w:hideMark/>
          </w:tcPr>
          <w:p w14:paraId="5DA3DC81"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TMS 8 Uyarınca Yapılan Düzeltmeler</w:t>
            </w:r>
          </w:p>
        </w:tc>
        <w:tc>
          <w:tcPr>
            <w:tcW w:w="515" w:type="dxa"/>
            <w:gridSpan w:val="2"/>
            <w:tcBorders>
              <w:top w:val="nil"/>
              <w:left w:val="single" w:sz="4" w:space="0" w:color="auto"/>
              <w:bottom w:val="nil"/>
              <w:right w:val="single" w:sz="4" w:space="0" w:color="auto"/>
            </w:tcBorders>
            <w:shd w:val="clear" w:color="auto" w:fill="auto"/>
            <w:vAlign w:val="center"/>
            <w:hideMark/>
          </w:tcPr>
          <w:p w14:paraId="724F16BA" w14:textId="77777777" w:rsidR="008755B7" w:rsidRPr="00005453" w:rsidRDefault="008755B7" w:rsidP="008755B7">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F27E3EA" w14:textId="7695ECA3" w:rsidR="008755B7" w:rsidRPr="00005453" w:rsidRDefault="008755B7" w:rsidP="008755B7">
            <w:pPr>
              <w:jc w:val="right"/>
              <w:rPr>
                <w:b/>
                <w:bCs/>
                <w:sz w:val="10"/>
                <w:szCs w:val="10"/>
              </w:rPr>
            </w:pPr>
            <w:r w:rsidRPr="00005453">
              <w:rPr>
                <w:b/>
                <w:bCs/>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185F7C13" w14:textId="60AE2F77" w:rsidR="008755B7" w:rsidRPr="00005453" w:rsidRDefault="008755B7" w:rsidP="008755B7">
            <w:pPr>
              <w:jc w:val="right"/>
              <w:rPr>
                <w:b/>
                <w:bCs/>
                <w:sz w:val="10"/>
                <w:szCs w:val="10"/>
              </w:rPr>
            </w:pPr>
            <w:r w:rsidRPr="00005453">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227A63E" w14:textId="1AEC016E" w:rsidR="008755B7" w:rsidRPr="00005453" w:rsidRDefault="008755B7" w:rsidP="008755B7">
            <w:pPr>
              <w:jc w:val="right"/>
              <w:rPr>
                <w:b/>
                <w:bCs/>
                <w:sz w:val="10"/>
                <w:szCs w:val="10"/>
              </w:rPr>
            </w:pPr>
            <w:r w:rsidRPr="00005453">
              <w:rPr>
                <w:b/>
                <w:bCs/>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6215AFC" w14:textId="6B9B5540" w:rsidR="008755B7" w:rsidRPr="00005453" w:rsidRDefault="008755B7" w:rsidP="008755B7">
            <w:pPr>
              <w:jc w:val="right"/>
              <w:rPr>
                <w:b/>
                <w:bCs/>
                <w:sz w:val="10"/>
                <w:szCs w:val="10"/>
              </w:rPr>
            </w:pPr>
            <w:r w:rsidRPr="00005453">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8AC53CF" w14:textId="5F886D83" w:rsidR="008755B7" w:rsidRPr="00005453" w:rsidRDefault="008755B7" w:rsidP="008755B7">
            <w:pPr>
              <w:jc w:val="right"/>
              <w:rPr>
                <w:b/>
                <w:bCs/>
                <w:sz w:val="10"/>
                <w:szCs w:val="10"/>
              </w:rPr>
            </w:pPr>
            <w:r w:rsidRPr="00005453">
              <w:rPr>
                <w:b/>
                <w:bCs/>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7617F301" w14:textId="56552B09" w:rsidR="008755B7" w:rsidRPr="00005453" w:rsidRDefault="008755B7" w:rsidP="008755B7">
            <w:pPr>
              <w:jc w:val="right"/>
              <w:rPr>
                <w:b/>
                <w:bCs/>
                <w:sz w:val="10"/>
                <w:szCs w:val="10"/>
              </w:rPr>
            </w:pPr>
            <w:r w:rsidRPr="00005453">
              <w:rPr>
                <w:b/>
                <w:bCs/>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0FD26028" w14:textId="4C578C17" w:rsidR="008755B7" w:rsidRPr="00005453" w:rsidRDefault="008755B7" w:rsidP="008755B7">
            <w:pPr>
              <w:jc w:val="right"/>
              <w:rPr>
                <w:b/>
                <w:bCs/>
                <w:sz w:val="10"/>
                <w:szCs w:val="10"/>
              </w:rPr>
            </w:pPr>
            <w:r w:rsidRPr="00005453">
              <w:rPr>
                <w:b/>
                <w:bCs/>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14BF9C80" w14:textId="6218FB11" w:rsidR="008755B7" w:rsidRPr="00005453" w:rsidRDefault="008755B7" w:rsidP="008755B7">
            <w:pPr>
              <w:jc w:val="right"/>
              <w:rPr>
                <w:b/>
                <w:bCs/>
                <w:sz w:val="10"/>
                <w:szCs w:val="10"/>
              </w:rPr>
            </w:pPr>
            <w:r w:rsidRPr="00005453">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5E3964C" w14:textId="78953F81" w:rsidR="008755B7" w:rsidRPr="00005453" w:rsidRDefault="008755B7" w:rsidP="008755B7">
            <w:pPr>
              <w:jc w:val="right"/>
              <w:rPr>
                <w:b/>
                <w:bCs/>
                <w:sz w:val="10"/>
                <w:szCs w:val="10"/>
              </w:rPr>
            </w:pPr>
            <w:r w:rsidRPr="00005453">
              <w:rPr>
                <w:b/>
                <w:bCs/>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57099323" w14:textId="1FB63A95" w:rsidR="008755B7" w:rsidRPr="00005453" w:rsidRDefault="008755B7" w:rsidP="008755B7">
            <w:pPr>
              <w:jc w:val="right"/>
              <w:rPr>
                <w:b/>
                <w:bCs/>
                <w:sz w:val="10"/>
                <w:szCs w:val="10"/>
              </w:rPr>
            </w:pPr>
            <w:r w:rsidRPr="00005453">
              <w:rPr>
                <w:b/>
                <w:bCs/>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255E8207" w14:textId="5F03BE86" w:rsidR="008755B7" w:rsidRPr="00005453" w:rsidRDefault="008755B7" w:rsidP="008755B7">
            <w:pPr>
              <w:jc w:val="right"/>
              <w:rPr>
                <w:b/>
                <w:bCs/>
                <w:sz w:val="10"/>
                <w:szCs w:val="10"/>
              </w:rPr>
            </w:pPr>
            <w:r w:rsidRPr="00005453">
              <w:rPr>
                <w:b/>
                <w:bCs/>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35AF17FE" w14:textId="7853C77A" w:rsidR="008755B7" w:rsidRPr="00005453" w:rsidRDefault="008755B7" w:rsidP="008755B7">
            <w:pPr>
              <w:jc w:val="right"/>
              <w:rPr>
                <w:b/>
                <w:bCs/>
                <w:sz w:val="10"/>
                <w:szCs w:val="10"/>
              </w:rPr>
            </w:pPr>
            <w:r w:rsidRPr="00005453">
              <w:rPr>
                <w:b/>
                <w:bCs/>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19382FC3" w14:textId="663C74DF" w:rsidR="008755B7" w:rsidRPr="00005453" w:rsidRDefault="008755B7" w:rsidP="008755B7">
            <w:pPr>
              <w:jc w:val="right"/>
              <w:rPr>
                <w:b/>
                <w:bCs/>
                <w:sz w:val="10"/>
                <w:szCs w:val="10"/>
              </w:rPr>
            </w:pPr>
            <w:r w:rsidRPr="00005453">
              <w:rPr>
                <w:b/>
                <w:bCs/>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B8D0011" w14:textId="4EE9C571" w:rsidR="008755B7" w:rsidRPr="00005453" w:rsidRDefault="008755B7" w:rsidP="008755B7">
            <w:pPr>
              <w:jc w:val="right"/>
              <w:rPr>
                <w:b/>
                <w:bCs/>
                <w:sz w:val="10"/>
                <w:szCs w:val="10"/>
              </w:rPr>
            </w:pPr>
            <w:r w:rsidRPr="00005453">
              <w:rPr>
                <w:b/>
                <w:bCs/>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0B4856CF" w14:textId="6703B921" w:rsidR="008755B7" w:rsidRPr="00005453" w:rsidRDefault="008755B7" w:rsidP="008755B7">
            <w:pPr>
              <w:jc w:val="right"/>
              <w:rPr>
                <w:b/>
                <w:bCs/>
                <w:sz w:val="10"/>
                <w:szCs w:val="10"/>
              </w:rPr>
            </w:pPr>
            <w:r w:rsidRPr="00005453">
              <w:rPr>
                <w:b/>
                <w:bCs/>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7136F360" w14:textId="3F2980F6" w:rsidR="008755B7" w:rsidRPr="00005453" w:rsidRDefault="008755B7" w:rsidP="008755B7">
            <w:pPr>
              <w:jc w:val="right"/>
              <w:rPr>
                <w:b/>
                <w:bCs/>
                <w:sz w:val="10"/>
                <w:szCs w:val="10"/>
              </w:rPr>
            </w:pPr>
            <w:r w:rsidRPr="00005453">
              <w:rPr>
                <w:b/>
                <w:bCs/>
                <w:sz w:val="10"/>
                <w:szCs w:val="10"/>
              </w:rPr>
              <w:t>-</w:t>
            </w:r>
          </w:p>
        </w:tc>
      </w:tr>
      <w:tr w:rsidR="008755B7" w:rsidRPr="00005453" w14:paraId="1FD2F79D"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4612C0AB" w14:textId="77777777" w:rsidR="008755B7" w:rsidRPr="00005453" w:rsidRDefault="008755B7" w:rsidP="008755B7">
            <w:pPr>
              <w:rPr>
                <w:color w:val="000000"/>
                <w:sz w:val="10"/>
                <w:szCs w:val="10"/>
                <w:lang w:eastAsia="tr-TR"/>
              </w:rPr>
            </w:pPr>
            <w:r w:rsidRPr="00005453">
              <w:rPr>
                <w:color w:val="000000"/>
                <w:sz w:val="10"/>
                <w:szCs w:val="10"/>
                <w:lang w:val="en-US" w:eastAsia="tr-TR"/>
              </w:rPr>
              <w:t>2.1</w:t>
            </w:r>
          </w:p>
        </w:tc>
        <w:tc>
          <w:tcPr>
            <w:tcW w:w="2183" w:type="dxa"/>
            <w:tcBorders>
              <w:top w:val="nil"/>
              <w:left w:val="single" w:sz="4" w:space="0" w:color="auto"/>
              <w:bottom w:val="nil"/>
              <w:right w:val="single" w:sz="4" w:space="0" w:color="auto"/>
            </w:tcBorders>
            <w:shd w:val="clear" w:color="auto" w:fill="auto"/>
            <w:noWrap/>
            <w:vAlign w:val="center"/>
            <w:hideMark/>
          </w:tcPr>
          <w:p w14:paraId="58762BCC" w14:textId="77777777" w:rsidR="008755B7" w:rsidRPr="00005453" w:rsidRDefault="008755B7" w:rsidP="008755B7">
            <w:pPr>
              <w:rPr>
                <w:color w:val="000000"/>
                <w:sz w:val="10"/>
                <w:szCs w:val="10"/>
                <w:lang w:eastAsia="tr-TR"/>
              </w:rPr>
            </w:pPr>
            <w:r w:rsidRPr="00005453">
              <w:rPr>
                <w:color w:val="000000"/>
                <w:sz w:val="10"/>
                <w:szCs w:val="10"/>
                <w:lang w:val="en-US" w:eastAsia="tr-TR"/>
              </w:rPr>
              <w:t>Hataların Düzeltilmesinin Etkisi</w:t>
            </w:r>
          </w:p>
        </w:tc>
        <w:tc>
          <w:tcPr>
            <w:tcW w:w="515" w:type="dxa"/>
            <w:gridSpan w:val="2"/>
            <w:tcBorders>
              <w:top w:val="nil"/>
              <w:left w:val="single" w:sz="4" w:space="0" w:color="auto"/>
              <w:bottom w:val="nil"/>
              <w:right w:val="single" w:sz="4" w:space="0" w:color="auto"/>
            </w:tcBorders>
            <w:shd w:val="clear" w:color="auto" w:fill="auto"/>
            <w:vAlign w:val="center"/>
            <w:hideMark/>
          </w:tcPr>
          <w:p w14:paraId="487B1C7B" w14:textId="77777777" w:rsidR="008755B7" w:rsidRPr="00005453" w:rsidRDefault="008755B7" w:rsidP="008755B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36007FB0" w14:textId="180D81CF" w:rsidR="008755B7" w:rsidRPr="00005453" w:rsidRDefault="008755B7" w:rsidP="008755B7">
            <w:pPr>
              <w:jc w:val="right"/>
              <w:rPr>
                <w:sz w:val="10"/>
                <w:szCs w:val="10"/>
              </w:rPr>
            </w:pPr>
            <w:r w:rsidRPr="00005453">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4C2F5715" w14:textId="1266518E"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F2C99CB" w14:textId="6F0525E0"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D14E06D" w14:textId="7550CC22" w:rsidR="008755B7" w:rsidRPr="00005453" w:rsidRDefault="008755B7" w:rsidP="008755B7">
            <w:pPr>
              <w:jc w:val="right"/>
              <w:rPr>
                <w:sz w:val="10"/>
                <w:szCs w:val="10"/>
              </w:rPr>
            </w:pPr>
            <w:r w:rsidRPr="00005453">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4F2B414" w14:textId="153D3556" w:rsidR="008755B7" w:rsidRPr="00005453" w:rsidRDefault="008755B7" w:rsidP="008755B7">
            <w:pPr>
              <w:jc w:val="right"/>
              <w:rPr>
                <w:sz w:val="10"/>
                <w:szCs w:val="10"/>
              </w:rPr>
            </w:pPr>
            <w:r w:rsidRPr="00005453">
              <w:rPr>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0DF32E1F" w14:textId="293210A5" w:rsidR="008755B7" w:rsidRPr="00005453" w:rsidRDefault="008755B7" w:rsidP="008755B7">
            <w:pPr>
              <w:jc w:val="right"/>
              <w:rPr>
                <w:sz w:val="10"/>
                <w:szCs w:val="10"/>
              </w:rPr>
            </w:pPr>
            <w:r w:rsidRPr="00005453">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453D2058" w14:textId="47A83983" w:rsidR="008755B7" w:rsidRPr="00005453" w:rsidRDefault="008755B7" w:rsidP="008755B7">
            <w:pPr>
              <w:jc w:val="right"/>
              <w:rPr>
                <w:sz w:val="10"/>
                <w:szCs w:val="10"/>
              </w:rPr>
            </w:pPr>
            <w:r w:rsidRPr="00005453">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550EBBF1" w14:textId="44C5E40E"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14CDC93" w14:textId="59E29EED" w:rsidR="008755B7" w:rsidRPr="00005453" w:rsidRDefault="008755B7" w:rsidP="008755B7">
            <w:pPr>
              <w:jc w:val="right"/>
              <w:rPr>
                <w:sz w:val="10"/>
                <w:szCs w:val="10"/>
              </w:rPr>
            </w:pPr>
            <w:r w:rsidRPr="00005453">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6CB6CCF0" w14:textId="70497BA5" w:rsidR="008755B7" w:rsidRPr="00005453" w:rsidRDefault="008755B7" w:rsidP="008755B7">
            <w:pPr>
              <w:jc w:val="right"/>
              <w:rPr>
                <w:sz w:val="10"/>
                <w:szCs w:val="10"/>
              </w:rPr>
            </w:pPr>
            <w:r w:rsidRPr="00005453">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3BE115B7" w14:textId="3F5F4823" w:rsidR="008755B7" w:rsidRPr="00005453" w:rsidRDefault="008755B7" w:rsidP="008755B7">
            <w:pPr>
              <w:jc w:val="right"/>
              <w:rPr>
                <w:sz w:val="10"/>
                <w:szCs w:val="10"/>
              </w:rPr>
            </w:pPr>
            <w:r w:rsidRPr="00005453">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450AD124" w14:textId="72E031E2" w:rsidR="008755B7" w:rsidRPr="00005453" w:rsidRDefault="008755B7" w:rsidP="008755B7">
            <w:pPr>
              <w:jc w:val="right"/>
              <w:rPr>
                <w:sz w:val="10"/>
                <w:szCs w:val="10"/>
              </w:rPr>
            </w:pPr>
            <w:r w:rsidRPr="00005453">
              <w:rPr>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4B062CBE" w14:textId="34804A15"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46EF469F" w14:textId="73C8B9E9" w:rsidR="008755B7" w:rsidRPr="00005453" w:rsidRDefault="008755B7" w:rsidP="008755B7">
            <w:pPr>
              <w:jc w:val="right"/>
              <w:rPr>
                <w:sz w:val="10"/>
                <w:szCs w:val="10"/>
              </w:rPr>
            </w:pPr>
            <w:r w:rsidRPr="00005453">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6475142E" w14:textId="386B7A69" w:rsidR="008755B7" w:rsidRPr="00005453" w:rsidRDefault="008755B7" w:rsidP="008755B7">
            <w:pPr>
              <w:jc w:val="right"/>
              <w:rPr>
                <w:sz w:val="10"/>
                <w:szCs w:val="10"/>
              </w:rPr>
            </w:pPr>
            <w:r w:rsidRPr="00005453">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7A94216B" w14:textId="5CAC114A" w:rsidR="008755B7" w:rsidRPr="00005453" w:rsidRDefault="008755B7" w:rsidP="008755B7">
            <w:pPr>
              <w:jc w:val="right"/>
              <w:rPr>
                <w:sz w:val="10"/>
                <w:szCs w:val="10"/>
              </w:rPr>
            </w:pPr>
            <w:r w:rsidRPr="00005453">
              <w:rPr>
                <w:sz w:val="10"/>
                <w:szCs w:val="10"/>
              </w:rPr>
              <w:t>-</w:t>
            </w:r>
          </w:p>
        </w:tc>
      </w:tr>
      <w:tr w:rsidR="008755B7" w:rsidRPr="00005453" w14:paraId="7AB79967" w14:textId="77777777" w:rsidTr="00E563BC">
        <w:trPr>
          <w:trHeight w:val="1"/>
        </w:trPr>
        <w:tc>
          <w:tcPr>
            <w:tcW w:w="410" w:type="dxa"/>
            <w:tcBorders>
              <w:top w:val="nil"/>
              <w:left w:val="single" w:sz="4" w:space="0" w:color="auto"/>
              <w:bottom w:val="nil"/>
              <w:right w:val="single" w:sz="4" w:space="0" w:color="auto"/>
            </w:tcBorders>
            <w:shd w:val="clear" w:color="auto" w:fill="auto"/>
            <w:noWrap/>
            <w:hideMark/>
          </w:tcPr>
          <w:p w14:paraId="7B7211AE" w14:textId="77777777" w:rsidR="008755B7" w:rsidRPr="00005453" w:rsidRDefault="008755B7" w:rsidP="008755B7">
            <w:pPr>
              <w:rPr>
                <w:color w:val="000000"/>
                <w:sz w:val="10"/>
                <w:szCs w:val="10"/>
                <w:lang w:eastAsia="tr-TR"/>
              </w:rPr>
            </w:pPr>
            <w:r w:rsidRPr="00005453">
              <w:rPr>
                <w:color w:val="000000"/>
                <w:sz w:val="10"/>
                <w:szCs w:val="10"/>
                <w:lang w:val="en-US" w:eastAsia="tr-TR"/>
              </w:rPr>
              <w:t>2.2</w:t>
            </w:r>
          </w:p>
        </w:tc>
        <w:tc>
          <w:tcPr>
            <w:tcW w:w="2183" w:type="dxa"/>
            <w:tcBorders>
              <w:top w:val="nil"/>
              <w:left w:val="single" w:sz="4" w:space="0" w:color="auto"/>
              <w:bottom w:val="nil"/>
              <w:right w:val="single" w:sz="4" w:space="0" w:color="auto"/>
            </w:tcBorders>
            <w:shd w:val="clear" w:color="auto" w:fill="auto"/>
            <w:noWrap/>
            <w:hideMark/>
          </w:tcPr>
          <w:p w14:paraId="621D43A2" w14:textId="77777777" w:rsidR="008755B7" w:rsidRPr="00005453" w:rsidRDefault="008755B7" w:rsidP="008755B7">
            <w:pPr>
              <w:rPr>
                <w:color w:val="000000"/>
                <w:sz w:val="10"/>
                <w:szCs w:val="10"/>
                <w:lang w:eastAsia="tr-TR"/>
              </w:rPr>
            </w:pPr>
            <w:r w:rsidRPr="00005453">
              <w:rPr>
                <w:color w:val="000000"/>
                <w:sz w:val="10"/>
                <w:szCs w:val="10"/>
                <w:lang w:val="de-DE" w:eastAsia="tr-TR"/>
              </w:rPr>
              <w:t>Muhasebe Politikasında Yapılan Değişikliklerin Etkisi</w:t>
            </w:r>
          </w:p>
        </w:tc>
        <w:tc>
          <w:tcPr>
            <w:tcW w:w="515" w:type="dxa"/>
            <w:gridSpan w:val="2"/>
            <w:tcBorders>
              <w:top w:val="nil"/>
              <w:left w:val="single" w:sz="4" w:space="0" w:color="auto"/>
              <w:bottom w:val="nil"/>
              <w:right w:val="single" w:sz="4" w:space="0" w:color="auto"/>
            </w:tcBorders>
            <w:shd w:val="clear" w:color="auto" w:fill="auto"/>
            <w:hideMark/>
          </w:tcPr>
          <w:p w14:paraId="17B88EC5" w14:textId="77777777" w:rsidR="008755B7" w:rsidRPr="00005453" w:rsidRDefault="008755B7" w:rsidP="008755B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E49EB25" w14:textId="7C1848C1" w:rsidR="008755B7" w:rsidRPr="00005453" w:rsidRDefault="008755B7" w:rsidP="008755B7">
            <w:pPr>
              <w:jc w:val="right"/>
              <w:rPr>
                <w:sz w:val="10"/>
                <w:szCs w:val="10"/>
              </w:rPr>
            </w:pPr>
            <w:r w:rsidRPr="00005453">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14CE9A2C" w14:textId="452449BA"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4FD5882" w14:textId="0E4A391F"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6395ADB" w14:textId="1123A357" w:rsidR="008755B7" w:rsidRPr="00005453" w:rsidRDefault="008755B7" w:rsidP="008755B7">
            <w:pPr>
              <w:jc w:val="right"/>
              <w:rPr>
                <w:sz w:val="10"/>
                <w:szCs w:val="10"/>
              </w:rPr>
            </w:pPr>
            <w:r w:rsidRPr="00005453">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315F3F0E" w14:textId="2911210D" w:rsidR="008755B7" w:rsidRPr="00005453" w:rsidRDefault="008755B7" w:rsidP="008755B7">
            <w:pPr>
              <w:jc w:val="right"/>
              <w:rPr>
                <w:sz w:val="10"/>
                <w:szCs w:val="10"/>
              </w:rPr>
            </w:pPr>
            <w:r w:rsidRPr="00005453">
              <w:rPr>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2E02B81B" w14:textId="1FE6012D" w:rsidR="008755B7" w:rsidRPr="00005453" w:rsidRDefault="008755B7" w:rsidP="008755B7">
            <w:pPr>
              <w:jc w:val="right"/>
              <w:rPr>
                <w:sz w:val="10"/>
                <w:szCs w:val="10"/>
              </w:rPr>
            </w:pPr>
            <w:r w:rsidRPr="00005453">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395DAA3E" w14:textId="6D536673" w:rsidR="008755B7" w:rsidRPr="00005453" w:rsidRDefault="008755B7" w:rsidP="008755B7">
            <w:pPr>
              <w:jc w:val="right"/>
              <w:rPr>
                <w:sz w:val="10"/>
                <w:szCs w:val="10"/>
              </w:rPr>
            </w:pPr>
            <w:r w:rsidRPr="00005453">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5958DC79" w14:textId="7545CD84"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10EE087" w14:textId="613D1F96" w:rsidR="008755B7" w:rsidRPr="00005453" w:rsidRDefault="008755B7" w:rsidP="008755B7">
            <w:pPr>
              <w:jc w:val="right"/>
              <w:rPr>
                <w:sz w:val="10"/>
                <w:szCs w:val="10"/>
              </w:rPr>
            </w:pPr>
            <w:r w:rsidRPr="00005453">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72C87B53" w14:textId="52246892" w:rsidR="008755B7" w:rsidRPr="00005453" w:rsidRDefault="008755B7" w:rsidP="008755B7">
            <w:pPr>
              <w:jc w:val="right"/>
              <w:rPr>
                <w:sz w:val="10"/>
                <w:szCs w:val="10"/>
              </w:rPr>
            </w:pPr>
            <w:r w:rsidRPr="00005453">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103008A8" w14:textId="1932876F" w:rsidR="008755B7" w:rsidRPr="00005453" w:rsidRDefault="008755B7" w:rsidP="008755B7">
            <w:pPr>
              <w:jc w:val="right"/>
              <w:rPr>
                <w:sz w:val="10"/>
                <w:szCs w:val="10"/>
              </w:rPr>
            </w:pPr>
            <w:r w:rsidRPr="00005453">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1DC8BEEB" w14:textId="1EDF691D" w:rsidR="008755B7" w:rsidRPr="00005453" w:rsidRDefault="008755B7" w:rsidP="008755B7">
            <w:pPr>
              <w:jc w:val="right"/>
              <w:rPr>
                <w:sz w:val="10"/>
                <w:szCs w:val="10"/>
              </w:rPr>
            </w:pPr>
            <w:r w:rsidRPr="00005453">
              <w:rPr>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39510574" w14:textId="7DB2C939"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44B02F0" w14:textId="4AAE361E" w:rsidR="008755B7" w:rsidRPr="00005453" w:rsidRDefault="008755B7" w:rsidP="008755B7">
            <w:pPr>
              <w:jc w:val="right"/>
              <w:rPr>
                <w:sz w:val="10"/>
                <w:szCs w:val="10"/>
              </w:rPr>
            </w:pPr>
            <w:r w:rsidRPr="00005453">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7CBC9C2F" w14:textId="0CC53280" w:rsidR="008755B7" w:rsidRPr="00005453" w:rsidRDefault="008755B7" w:rsidP="008755B7">
            <w:pPr>
              <w:jc w:val="right"/>
              <w:rPr>
                <w:sz w:val="10"/>
                <w:szCs w:val="10"/>
              </w:rPr>
            </w:pPr>
            <w:r w:rsidRPr="00005453">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6AC09F99" w14:textId="1E4F8BF3" w:rsidR="008755B7" w:rsidRPr="00005453" w:rsidRDefault="008755B7" w:rsidP="008755B7">
            <w:pPr>
              <w:jc w:val="right"/>
              <w:rPr>
                <w:sz w:val="10"/>
                <w:szCs w:val="10"/>
              </w:rPr>
            </w:pPr>
            <w:r w:rsidRPr="00005453">
              <w:rPr>
                <w:sz w:val="10"/>
                <w:szCs w:val="10"/>
              </w:rPr>
              <w:t>-</w:t>
            </w:r>
          </w:p>
        </w:tc>
      </w:tr>
      <w:tr w:rsidR="008755B7" w:rsidRPr="00005453" w14:paraId="11754A36"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7085090A"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III.</w:t>
            </w:r>
          </w:p>
        </w:tc>
        <w:tc>
          <w:tcPr>
            <w:tcW w:w="2183" w:type="dxa"/>
            <w:tcBorders>
              <w:top w:val="nil"/>
              <w:left w:val="single" w:sz="4" w:space="0" w:color="auto"/>
              <w:bottom w:val="nil"/>
              <w:right w:val="single" w:sz="4" w:space="0" w:color="auto"/>
            </w:tcBorders>
            <w:shd w:val="clear" w:color="auto" w:fill="auto"/>
            <w:noWrap/>
            <w:vAlign w:val="center"/>
            <w:hideMark/>
          </w:tcPr>
          <w:p w14:paraId="3AB8B1F4"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Yeni Bakiye (I+II)</w:t>
            </w:r>
          </w:p>
        </w:tc>
        <w:tc>
          <w:tcPr>
            <w:tcW w:w="515" w:type="dxa"/>
            <w:gridSpan w:val="2"/>
            <w:tcBorders>
              <w:top w:val="nil"/>
              <w:left w:val="single" w:sz="4" w:space="0" w:color="auto"/>
              <w:bottom w:val="nil"/>
              <w:right w:val="single" w:sz="4" w:space="0" w:color="auto"/>
            </w:tcBorders>
            <w:shd w:val="clear" w:color="auto" w:fill="auto"/>
            <w:vAlign w:val="center"/>
            <w:hideMark/>
          </w:tcPr>
          <w:p w14:paraId="5A8FB814" w14:textId="77777777" w:rsidR="008755B7" w:rsidRPr="00005453" w:rsidRDefault="008755B7" w:rsidP="008755B7">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695BA52" w14:textId="020082AD" w:rsidR="008755B7" w:rsidRPr="00005453" w:rsidRDefault="008755B7" w:rsidP="008755B7">
            <w:pPr>
              <w:jc w:val="right"/>
              <w:rPr>
                <w:b/>
                <w:bCs/>
                <w:sz w:val="10"/>
                <w:szCs w:val="10"/>
              </w:rPr>
            </w:pPr>
            <w:r w:rsidRPr="00005453">
              <w:rPr>
                <w:b/>
                <w:bCs/>
                <w:sz w:val="10"/>
                <w:szCs w:val="10"/>
              </w:rPr>
              <w:t>4,595,131</w:t>
            </w:r>
          </w:p>
        </w:tc>
        <w:tc>
          <w:tcPr>
            <w:tcW w:w="843" w:type="dxa"/>
            <w:tcBorders>
              <w:top w:val="nil"/>
              <w:left w:val="single" w:sz="4" w:space="0" w:color="auto"/>
              <w:bottom w:val="nil"/>
              <w:right w:val="single" w:sz="4" w:space="0" w:color="auto"/>
            </w:tcBorders>
            <w:shd w:val="clear" w:color="auto" w:fill="auto"/>
            <w:vAlign w:val="center"/>
            <w:hideMark/>
          </w:tcPr>
          <w:p w14:paraId="4919BA93" w14:textId="24BA2E66" w:rsidR="008755B7" w:rsidRPr="00005453" w:rsidRDefault="008755B7" w:rsidP="008755B7">
            <w:pPr>
              <w:jc w:val="right"/>
              <w:rPr>
                <w:b/>
                <w:bCs/>
                <w:sz w:val="10"/>
                <w:szCs w:val="10"/>
              </w:rPr>
            </w:pPr>
            <w:r w:rsidRPr="00005453">
              <w:rPr>
                <w:b/>
                <w:bCs/>
                <w:sz w:val="10"/>
                <w:szCs w:val="10"/>
              </w:rPr>
              <w:t>23,250</w:t>
            </w:r>
          </w:p>
        </w:tc>
        <w:tc>
          <w:tcPr>
            <w:tcW w:w="703" w:type="dxa"/>
            <w:tcBorders>
              <w:top w:val="nil"/>
              <w:left w:val="single" w:sz="4" w:space="0" w:color="auto"/>
              <w:bottom w:val="nil"/>
              <w:right w:val="single" w:sz="4" w:space="0" w:color="auto"/>
            </w:tcBorders>
            <w:shd w:val="clear" w:color="auto" w:fill="auto"/>
            <w:vAlign w:val="center"/>
            <w:hideMark/>
          </w:tcPr>
          <w:p w14:paraId="7B176A9F" w14:textId="3847F809" w:rsidR="008755B7" w:rsidRPr="00005453" w:rsidRDefault="008755B7" w:rsidP="008755B7">
            <w:pPr>
              <w:jc w:val="right"/>
              <w:rPr>
                <w:b/>
                <w:bCs/>
                <w:sz w:val="10"/>
                <w:szCs w:val="10"/>
              </w:rPr>
            </w:pPr>
            <w:r w:rsidRPr="00005453">
              <w:rPr>
                <w:b/>
                <w:bCs/>
                <w:sz w:val="10"/>
                <w:szCs w:val="10"/>
              </w:rPr>
              <w:t>1,874</w:t>
            </w:r>
          </w:p>
        </w:tc>
        <w:tc>
          <w:tcPr>
            <w:tcW w:w="844" w:type="dxa"/>
            <w:tcBorders>
              <w:top w:val="nil"/>
              <w:left w:val="single" w:sz="4" w:space="0" w:color="auto"/>
              <w:bottom w:val="nil"/>
              <w:right w:val="single" w:sz="4" w:space="0" w:color="auto"/>
            </w:tcBorders>
            <w:shd w:val="clear" w:color="auto" w:fill="auto"/>
            <w:vAlign w:val="center"/>
            <w:hideMark/>
          </w:tcPr>
          <w:p w14:paraId="4C625211" w14:textId="643D302A" w:rsidR="008755B7" w:rsidRPr="00005453" w:rsidRDefault="008755B7" w:rsidP="008755B7">
            <w:pPr>
              <w:jc w:val="right"/>
              <w:rPr>
                <w:b/>
                <w:bCs/>
                <w:sz w:val="10"/>
                <w:szCs w:val="10"/>
              </w:rPr>
            </w:pPr>
            <w:r w:rsidRPr="00005453">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72F33D33" w14:textId="794B4E42" w:rsidR="008755B7" w:rsidRPr="00005453" w:rsidRDefault="008755B7" w:rsidP="008755B7">
            <w:pPr>
              <w:jc w:val="right"/>
              <w:rPr>
                <w:b/>
                <w:bCs/>
                <w:sz w:val="10"/>
                <w:szCs w:val="10"/>
              </w:rPr>
            </w:pPr>
            <w:r w:rsidRPr="00005453">
              <w:rPr>
                <w:b/>
                <w:bCs/>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787FC45C" w14:textId="5F742290" w:rsidR="008755B7" w:rsidRPr="00005453" w:rsidRDefault="008755B7" w:rsidP="008755B7">
            <w:pPr>
              <w:jc w:val="right"/>
              <w:rPr>
                <w:b/>
                <w:bCs/>
                <w:sz w:val="10"/>
                <w:szCs w:val="10"/>
              </w:rPr>
            </w:pPr>
            <w:r w:rsidRPr="00005453">
              <w:rPr>
                <w:b/>
                <w:bCs/>
                <w:sz w:val="10"/>
                <w:szCs w:val="10"/>
              </w:rPr>
              <w:t>(294,407)</w:t>
            </w:r>
          </w:p>
        </w:tc>
        <w:tc>
          <w:tcPr>
            <w:tcW w:w="568" w:type="dxa"/>
            <w:tcBorders>
              <w:top w:val="nil"/>
              <w:left w:val="single" w:sz="4" w:space="0" w:color="auto"/>
              <w:bottom w:val="nil"/>
              <w:right w:val="single" w:sz="4" w:space="0" w:color="auto"/>
            </w:tcBorders>
            <w:shd w:val="clear" w:color="auto" w:fill="auto"/>
            <w:vAlign w:val="center"/>
            <w:hideMark/>
          </w:tcPr>
          <w:p w14:paraId="589D00EB" w14:textId="211467A0" w:rsidR="008755B7" w:rsidRPr="00005453" w:rsidRDefault="008755B7" w:rsidP="008755B7">
            <w:pPr>
              <w:jc w:val="right"/>
              <w:rPr>
                <w:b/>
                <w:bCs/>
                <w:sz w:val="10"/>
                <w:szCs w:val="10"/>
              </w:rPr>
            </w:pPr>
            <w:r w:rsidRPr="00005453">
              <w:rPr>
                <w:b/>
                <w:bCs/>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1A392F2F" w14:textId="4E175C61" w:rsidR="008755B7" w:rsidRPr="00005453" w:rsidRDefault="008755B7" w:rsidP="008755B7">
            <w:pPr>
              <w:jc w:val="right"/>
              <w:rPr>
                <w:b/>
                <w:bCs/>
                <w:sz w:val="10"/>
                <w:szCs w:val="10"/>
              </w:rPr>
            </w:pPr>
            <w:r w:rsidRPr="00005453">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ED3E290" w14:textId="3A288AB8" w:rsidR="008755B7" w:rsidRPr="00005453" w:rsidRDefault="008755B7" w:rsidP="008755B7">
            <w:pPr>
              <w:jc w:val="right"/>
              <w:rPr>
                <w:b/>
                <w:bCs/>
                <w:sz w:val="10"/>
                <w:szCs w:val="10"/>
              </w:rPr>
            </w:pPr>
            <w:r w:rsidRPr="00005453">
              <w:rPr>
                <w:b/>
                <w:bCs/>
                <w:sz w:val="10"/>
                <w:szCs w:val="10"/>
              </w:rPr>
              <w:t>4,683,503</w:t>
            </w:r>
          </w:p>
        </w:tc>
        <w:tc>
          <w:tcPr>
            <w:tcW w:w="536" w:type="dxa"/>
            <w:tcBorders>
              <w:top w:val="nil"/>
              <w:left w:val="single" w:sz="4" w:space="0" w:color="auto"/>
              <w:bottom w:val="nil"/>
              <w:right w:val="single" w:sz="4" w:space="0" w:color="auto"/>
            </w:tcBorders>
            <w:shd w:val="clear" w:color="auto" w:fill="auto"/>
            <w:vAlign w:val="center"/>
            <w:hideMark/>
          </w:tcPr>
          <w:p w14:paraId="41A7628A" w14:textId="06D3DE68" w:rsidR="008755B7" w:rsidRPr="00005453" w:rsidRDefault="008755B7" w:rsidP="008755B7">
            <w:pPr>
              <w:jc w:val="right"/>
              <w:rPr>
                <w:b/>
                <w:bCs/>
                <w:sz w:val="10"/>
                <w:szCs w:val="10"/>
              </w:rPr>
            </w:pPr>
            <w:r w:rsidRPr="00005453">
              <w:rPr>
                <w:b/>
                <w:bCs/>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4D7C12C3" w14:textId="0E4AA17B" w:rsidR="008755B7" w:rsidRPr="00005453" w:rsidRDefault="008755B7" w:rsidP="008755B7">
            <w:pPr>
              <w:jc w:val="right"/>
              <w:rPr>
                <w:b/>
                <w:bCs/>
                <w:sz w:val="10"/>
                <w:szCs w:val="10"/>
              </w:rPr>
            </w:pPr>
            <w:r w:rsidRPr="00005453">
              <w:rPr>
                <w:b/>
                <w:bCs/>
                <w:sz w:val="10"/>
                <w:szCs w:val="10"/>
              </w:rPr>
              <w:t>5,610,413</w:t>
            </w:r>
          </w:p>
        </w:tc>
        <w:tc>
          <w:tcPr>
            <w:tcW w:w="1022" w:type="dxa"/>
            <w:tcBorders>
              <w:top w:val="nil"/>
              <w:left w:val="single" w:sz="4" w:space="0" w:color="auto"/>
              <w:bottom w:val="nil"/>
              <w:right w:val="single" w:sz="4" w:space="0" w:color="auto"/>
            </w:tcBorders>
            <w:shd w:val="clear" w:color="auto" w:fill="auto"/>
            <w:vAlign w:val="center"/>
            <w:hideMark/>
          </w:tcPr>
          <w:p w14:paraId="2BE89962" w14:textId="086A50F6" w:rsidR="008755B7" w:rsidRPr="00005453" w:rsidRDefault="008755B7" w:rsidP="008755B7">
            <w:pPr>
              <w:jc w:val="right"/>
              <w:rPr>
                <w:b/>
                <w:bCs/>
                <w:sz w:val="10"/>
                <w:szCs w:val="10"/>
              </w:rPr>
            </w:pPr>
            <w:r w:rsidRPr="00005453">
              <w:rPr>
                <w:b/>
                <w:bCs/>
                <w:sz w:val="10"/>
                <w:szCs w:val="10"/>
              </w:rPr>
              <w:t>51,631</w:t>
            </w:r>
          </w:p>
        </w:tc>
        <w:tc>
          <w:tcPr>
            <w:tcW w:w="760" w:type="dxa"/>
            <w:tcBorders>
              <w:top w:val="nil"/>
              <w:left w:val="single" w:sz="4" w:space="0" w:color="auto"/>
              <w:bottom w:val="nil"/>
              <w:right w:val="single" w:sz="4" w:space="0" w:color="auto"/>
            </w:tcBorders>
            <w:shd w:val="clear" w:color="auto" w:fill="auto"/>
            <w:vAlign w:val="center"/>
            <w:hideMark/>
          </w:tcPr>
          <w:p w14:paraId="15511693" w14:textId="2192BF12" w:rsidR="008755B7" w:rsidRPr="00005453" w:rsidRDefault="008755B7" w:rsidP="008755B7">
            <w:pPr>
              <w:jc w:val="right"/>
              <w:rPr>
                <w:b/>
                <w:bCs/>
                <w:sz w:val="10"/>
                <w:szCs w:val="10"/>
              </w:rPr>
            </w:pPr>
            <w:r w:rsidRPr="00005453">
              <w:rPr>
                <w:b/>
                <w:bCs/>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62DBD44D" w14:textId="71B03A53" w:rsidR="008755B7" w:rsidRPr="00005453" w:rsidRDefault="008755B7" w:rsidP="008755B7">
            <w:pPr>
              <w:jc w:val="right"/>
              <w:rPr>
                <w:b/>
                <w:bCs/>
                <w:sz w:val="10"/>
                <w:szCs w:val="10"/>
              </w:rPr>
            </w:pPr>
            <w:r w:rsidRPr="00005453">
              <w:rPr>
                <w:b/>
                <w:bCs/>
                <w:sz w:val="10"/>
                <w:szCs w:val="10"/>
              </w:rPr>
              <w:t>28,714,842</w:t>
            </w:r>
          </w:p>
        </w:tc>
        <w:tc>
          <w:tcPr>
            <w:tcW w:w="702" w:type="dxa"/>
            <w:tcBorders>
              <w:top w:val="nil"/>
              <w:left w:val="single" w:sz="4" w:space="0" w:color="auto"/>
              <w:bottom w:val="nil"/>
              <w:right w:val="single" w:sz="4" w:space="0" w:color="auto"/>
            </w:tcBorders>
            <w:shd w:val="clear" w:color="auto" w:fill="auto"/>
            <w:vAlign w:val="center"/>
            <w:hideMark/>
          </w:tcPr>
          <w:p w14:paraId="266C7214" w14:textId="5A229D1A" w:rsidR="008755B7" w:rsidRPr="00005453" w:rsidRDefault="008755B7" w:rsidP="008755B7">
            <w:pPr>
              <w:jc w:val="right"/>
              <w:rPr>
                <w:b/>
                <w:bCs/>
                <w:sz w:val="10"/>
                <w:szCs w:val="10"/>
              </w:rPr>
            </w:pPr>
            <w:r w:rsidRPr="00005453">
              <w:rPr>
                <w:b/>
                <w:bCs/>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29613685" w14:textId="663820AD" w:rsidR="008755B7" w:rsidRPr="00005453" w:rsidRDefault="008755B7" w:rsidP="008755B7">
            <w:pPr>
              <w:jc w:val="right"/>
              <w:rPr>
                <w:b/>
                <w:bCs/>
                <w:sz w:val="10"/>
                <w:szCs w:val="10"/>
              </w:rPr>
            </w:pPr>
            <w:r w:rsidRPr="00005453">
              <w:rPr>
                <w:b/>
                <w:bCs/>
                <w:sz w:val="10"/>
                <w:szCs w:val="10"/>
              </w:rPr>
              <w:t>28,714,842</w:t>
            </w:r>
          </w:p>
        </w:tc>
      </w:tr>
      <w:tr w:rsidR="008755B7" w:rsidRPr="00005453" w14:paraId="4AB66192"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BACAE71"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IV.</w:t>
            </w:r>
          </w:p>
        </w:tc>
        <w:tc>
          <w:tcPr>
            <w:tcW w:w="2183" w:type="dxa"/>
            <w:tcBorders>
              <w:top w:val="nil"/>
              <w:left w:val="single" w:sz="4" w:space="0" w:color="auto"/>
              <w:bottom w:val="nil"/>
              <w:right w:val="single" w:sz="4" w:space="0" w:color="auto"/>
            </w:tcBorders>
            <w:shd w:val="clear" w:color="auto" w:fill="auto"/>
            <w:noWrap/>
            <w:vAlign w:val="center"/>
            <w:hideMark/>
          </w:tcPr>
          <w:p w14:paraId="0AAD0111" w14:textId="77777777" w:rsidR="008755B7" w:rsidRPr="00005453" w:rsidRDefault="008755B7" w:rsidP="008755B7">
            <w:pPr>
              <w:rPr>
                <w:b/>
                <w:color w:val="000000"/>
                <w:sz w:val="10"/>
                <w:szCs w:val="10"/>
                <w:lang w:eastAsia="tr-TR"/>
              </w:rPr>
            </w:pPr>
            <w:r w:rsidRPr="00005453">
              <w:rPr>
                <w:b/>
                <w:color w:val="000000"/>
                <w:sz w:val="10"/>
                <w:szCs w:val="10"/>
                <w:lang w:val="en-US" w:eastAsia="tr-TR"/>
              </w:rPr>
              <w:t>Toplam Kapsamlı Gelir</w:t>
            </w:r>
          </w:p>
        </w:tc>
        <w:tc>
          <w:tcPr>
            <w:tcW w:w="515" w:type="dxa"/>
            <w:gridSpan w:val="2"/>
            <w:tcBorders>
              <w:top w:val="nil"/>
              <w:left w:val="single" w:sz="4" w:space="0" w:color="auto"/>
              <w:bottom w:val="nil"/>
              <w:right w:val="single" w:sz="4" w:space="0" w:color="auto"/>
            </w:tcBorders>
            <w:shd w:val="clear" w:color="auto" w:fill="auto"/>
            <w:vAlign w:val="center"/>
            <w:hideMark/>
          </w:tcPr>
          <w:p w14:paraId="2A0E9EC0"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DED00B9" w14:textId="4E3D9DFC"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58416BEF" w14:textId="0E6C31C3"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0D6888A" w14:textId="7322399D"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2140F25F" w14:textId="13A689EE"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39EF0FD" w14:textId="407D251D"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139008E2" w14:textId="1FEEE4D3" w:rsidR="008755B7" w:rsidRPr="00005453" w:rsidRDefault="008755B7" w:rsidP="008755B7">
            <w:pPr>
              <w:jc w:val="right"/>
              <w:rPr>
                <w:b/>
                <w:sz w:val="10"/>
                <w:szCs w:val="10"/>
              </w:rPr>
            </w:pPr>
            <w:r w:rsidRPr="00005453">
              <w:rPr>
                <w:b/>
                <w:sz w:val="10"/>
                <w:szCs w:val="10"/>
              </w:rPr>
              <w:t>(219,573)</w:t>
            </w:r>
          </w:p>
        </w:tc>
        <w:tc>
          <w:tcPr>
            <w:tcW w:w="568" w:type="dxa"/>
            <w:tcBorders>
              <w:top w:val="nil"/>
              <w:left w:val="single" w:sz="4" w:space="0" w:color="auto"/>
              <w:bottom w:val="nil"/>
              <w:right w:val="single" w:sz="4" w:space="0" w:color="auto"/>
            </w:tcBorders>
            <w:shd w:val="clear" w:color="auto" w:fill="auto"/>
            <w:vAlign w:val="center"/>
            <w:hideMark/>
          </w:tcPr>
          <w:p w14:paraId="17B179F4" w14:textId="1D8CB705"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EA053CB" w14:textId="12944C05"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7BB5788" w14:textId="33005449" w:rsidR="008755B7" w:rsidRPr="00005453" w:rsidRDefault="008755B7" w:rsidP="008755B7">
            <w:pPr>
              <w:jc w:val="right"/>
              <w:rPr>
                <w:b/>
                <w:sz w:val="10"/>
                <w:szCs w:val="10"/>
              </w:rPr>
            </w:pPr>
            <w:r w:rsidRPr="00005453">
              <w:rPr>
                <w:b/>
                <w:sz w:val="10"/>
                <w:szCs w:val="10"/>
              </w:rPr>
              <w:t>(5,727,982)</w:t>
            </w:r>
          </w:p>
        </w:tc>
        <w:tc>
          <w:tcPr>
            <w:tcW w:w="536" w:type="dxa"/>
            <w:tcBorders>
              <w:top w:val="nil"/>
              <w:left w:val="single" w:sz="4" w:space="0" w:color="auto"/>
              <w:bottom w:val="nil"/>
              <w:right w:val="single" w:sz="4" w:space="0" w:color="auto"/>
            </w:tcBorders>
            <w:shd w:val="clear" w:color="auto" w:fill="auto"/>
            <w:vAlign w:val="center"/>
            <w:hideMark/>
          </w:tcPr>
          <w:p w14:paraId="2919CC82" w14:textId="6BA5A345"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DC7515F" w14:textId="52F714CC" w:rsidR="008755B7" w:rsidRPr="00005453" w:rsidRDefault="008755B7" w:rsidP="008755B7">
            <w:pPr>
              <w:jc w:val="right"/>
              <w:rPr>
                <w:b/>
                <w:sz w:val="10"/>
                <w:szCs w:val="10"/>
              </w:rPr>
            </w:pPr>
            <w:r w:rsidRPr="00005453">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4289818D" w14:textId="6817125E"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303BE879" w14:textId="254CA008" w:rsidR="008755B7" w:rsidRPr="00005453" w:rsidRDefault="008755B7" w:rsidP="008755B7">
            <w:pPr>
              <w:jc w:val="right"/>
              <w:rPr>
                <w:b/>
                <w:sz w:val="10"/>
                <w:szCs w:val="10"/>
              </w:rPr>
            </w:pPr>
            <w:r w:rsidRPr="00005453">
              <w:rPr>
                <w:b/>
                <w:sz w:val="10"/>
                <w:szCs w:val="10"/>
              </w:rPr>
              <w:t>26,609,371</w:t>
            </w:r>
          </w:p>
        </w:tc>
        <w:tc>
          <w:tcPr>
            <w:tcW w:w="844" w:type="dxa"/>
            <w:tcBorders>
              <w:top w:val="nil"/>
              <w:left w:val="single" w:sz="4" w:space="0" w:color="auto"/>
              <w:bottom w:val="nil"/>
              <w:right w:val="single" w:sz="4" w:space="0" w:color="auto"/>
            </w:tcBorders>
            <w:shd w:val="clear" w:color="auto" w:fill="auto"/>
            <w:vAlign w:val="center"/>
            <w:hideMark/>
          </w:tcPr>
          <w:p w14:paraId="0552332A" w14:textId="3BF45F7F" w:rsidR="008755B7" w:rsidRPr="00005453" w:rsidRDefault="008755B7" w:rsidP="008755B7">
            <w:pPr>
              <w:jc w:val="right"/>
              <w:rPr>
                <w:b/>
                <w:sz w:val="10"/>
                <w:szCs w:val="10"/>
              </w:rPr>
            </w:pPr>
            <w:r w:rsidRPr="00005453">
              <w:rPr>
                <w:b/>
                <w:sz w:val="10"/>
                <w:szCs w:val="10"/>
              </w:rPr>
              <w:t>20,661,816</w:t>
            </w:r>
          </w:p>
        </w:tc>
        <w:tc>
          <w:tcPr>
            <w:tcW w:w="702" w:type="dxa"/>
            <w:tcBorders>
              <w:top w:val="nil"/>
              <w:left w:val="single" w:sz="4" w:space="0" w:color="auto"/>
              <w:bottom w:val="nil"/>
              <w:right w:val="single" w:sz="4" w:space="0" w:color="auto"/>
            </w:tcBorders>
            <w:shd w:val="clear" w:color="auto" w:fill="auto"/>
            <w:vAlign w:val="center"/>
            <w:hideMark/>
          </w:tcPr>
          <w:p w14:paraId="3D81977E" w14:textId="0E822441"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2F9D9052" w14:textId="1E3DB852" w:rsidR="008755B7" w:rsidRPr="00005453" w:rsidRDefault="008755B7" w:rsidP="008755B7">
            <w:pPr>
              <w:jc w:val="right"/>
              <w:rPr>
                <w:b/>
                <w:sz w:val="10"/>
                <w:szCs w:val="10"/>
              </w:rPr>
            </w:pPr>
            <w:r w:rsidRPr="00005453">
              <w:rPr>
                <w:b/>
                <w:sz w:val="10"/>
                <w:szCs w:val="10"/>
              </w:rPr>
              <w:t>20,661,816</w:t>
            </w:r>
          </w:p>
        </w:tc>
      </w:tr>
      <w:tr w:rsidR="008755B7" w:rsidRPr="00005453" w14:paraId="0848729E"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1C9F854"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V.</w:t>
            </w:r>
          </w:p>
        </w:tc>
        <w:tc>
          <w:tcPr>
            <w:tcW w:w="2183" w:type="dxa"/>
            <w:tcBorders>
              <w:top w:val="nil"/>
              <w:left w:val="single" w:sz="4" w:space="0" w:color="auto"/>
              <w:bottom w:val="nil"/>
              <w:right w:val="single" w:sz="4" w:space="0" w:color="auto"/>
            </w:tcBorders>
            <w:shd w:val="clear" w:color="auto" w:fill="auto"/>
            <w:noWrap/>
            <w:vAlign w:val="center"/>
            <w:hideMark/>
          </w:tcPr>
          <w:p w14:paraId="4C4883A2" w14:textId="77777777" w:rsidR="008755B7" w:rsidRPr="00005453" w:rsidRDefault="008755B7" w:rsidP="008755B7">
            <w:pPr>
              <w:rPr>
                <w:b/>
                <w:color w:val="000000"/>
                <w:sz w:val="10"/>
                <w:szCs w:val="10"/>
                <w:lang w:eastAsia="tr-TR"/>
              </w:rPr>
            </w:pPr>
            <w:r w:rsidRPr="00005453">
              <w:rPr>
                <w:b/>
                <w:color w:val="000000"/>
                <w:sz w:val="10"/>
                <w:szCs w:val="10"/>
                <w:lang w:val="en-US" w:eastAsia="tr-TR"/>
              </w:rPr>
              <w:t>Nakden Gerçekleştirilen Sermaye Artırımı</w:t>
            </w:r>
          </w:p>
        </w:tc>
        <w:tc>
          <w:tcPr>
            <w:tcW w:w="515" w:type="dxa"/>
            <w:gridSpan w:val="2"/>
            <w:tcBorders>
              <w:top w:val="nil"/>
              <w:left w:val="single" w:sz="4" w:space="0" w:color="auto"/>
              <w:bottom w:val="nil"/>
              <w:right w:val="single" w:sz="4" w:space="0" w:color="auto"/>
            </w:tcBorders>
            <w:shd w:val="clear" w:color="auto" w:fill="auto"/>
            <w:vAlign w:val="center"/>
            <w:hideMark/>
          </w:tcPr>
          <w:p w14:paraId="14EEC4E2"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703BC37" w14:textId="40D55A10"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5558409A" w14:textId="45751487"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5B33DBF" w14:textId="43FE2639"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8548E25" w14:textId="7B9E4A72"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1EDDFF67" w14:textId="0B685930"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459BE3B7" w14:textId="4A9CD1E8"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087BC065" w14:textId="57787359"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E909F29" w14:textId="3D4A2F01"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D36B1C6" w14:textId="4F585F3D"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164ED685" w14:textId="2121303A"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69885AC5" w14:textId="73D5FE2A" w:rsidR="008755B7" w:rsidRPr="00005453" w:rsidRDefault="008755B7" w:rsidP="008755B7">
            <w:pPr>
              <w:jc w:val="right"/>
              <w:rPr>
                <w:b/>
                <w:sz w:val="10"/>
                <w:szCs w:val="10"/>
              </w:rPr>
            </w:pPr>
            <w:r w:rsidRPr="00005453">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2F0F2916" w14:textId="3E463F34"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73A7EB95" w14:textId="4368F117"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0C05B4FC" w14:textId="11B6E38C" w:rsidR="008755B7" w:rsidRPr="00005453" w:rsidRDefault="008755B7" w:rsidP="008755B7">
            <w:pPr>
              <w:jc w:val="right"/>
              <w:rPr>
                <w:b/>
                <w:sz w:val="10"/>
                <w:szCs w:val="10"/>
              </w:rPr>
            </w:pPr>
            <w:r w:rsidRPr="00005453">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51FCD2C8" w14:textId="40DAAB9B"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6B2F1513" w14:textId="41715D5C" w:rsidR="008755B7" w:rsidRPr="00005453" w:rsidRDefault="008755B7" w:rsidP="008755B7">
            <w:pPr>
              <w:jc w:val="right"/>
              <w:rPr>
                <w:b/>
                <w:sz w:val="10"/>
                <w:szCs w:val="10"/>
              </w:rPr>
            </w:pPr>
            <w:r w:rsidRPr="00005453">
              <w:rPr>
                <w:b/>
                <w:sz w:val="10"/>
                <w:szCs w:val="10"/>
              </w:rPr>
              <w:t>-</w:t>
            </w:r>
          </w:p>
        </w:tc>
      </w:tr>
      <w:tr w:rsidR="008755B7" w:rsidRPr="00005453" w14:paraId="46BDE3B2" w14:textId="77777777" w:rsidTr="00E563BC">
        <w:trPr>
          <w:trHeight w:val="1"/>
        </w:trPr>
        <w:tc>
          <w:tcPr>
            <w:tcW w:w="410" w:type="dxa"/>
            <w:tcBorders>
              <w:top w:val="nil"/>
              <w:left w:val="single" w:sz="4" w:space="0" w:color="auto"/>
              <w:bottom w:val="nil"/>
              <w:right w:val="single" w:sz="4" w:space="0" w:color="auto"/>
            </w:tcBorders>
            <w:shd w:val="clear" w:color="auto" w:fill="auto"/>
            <w:noWrap/>
            <w:hideMark/>
          </w:tcPr>
          <w:p w14:paraId="5E61BC7D"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VI.</w:t>
            </w:r>
          </w:p>
        </w:tc>
        <w:tc>
          <w:tcPr>
            <w:tcW w:w="2183" w:type="dxa"/>
            <w:tcBorders>
              <w:top w:val="nil"/>
              <w:left w:val="single" w:sz="4" w:space="0" w:color="auto"/>
              <w:bottom w:val="nil"/>
              <w:right w:val="single" w:sz="4" w:space="0" w:color="auto"/>
            </w:tcBorders>
            <w:shd w:val="clear" w:color="auto" w:fill="auto"/>
            <w:noWrap/>
            <w:hideMark/>
          </w:tcPr>
          <w:p w14:paraId="6688DDE0" w14:textId="77777777" w:rsidR="008755B7" w:rsidRPr="00005453" w:rsidRDefault="008755B7" w:rsidP="008755B7">
            <w:pPr>
              <w:rPr>
                <w:b/>
                <w:color w:val="000000"/>
                <w:sz w:val="10"/>
                <w:szCs w:val="10"/>
                <w:lang w:eastAsia="tr-TR"/>
              </w:rPr>
            </w:pPr>
            <w:r w:rsidRPr="00005453">
              <w:rPr>
                <w:b/>
                <w:color w:val="000000"/>
                <w:sz w:val="10"/>
                <w:szCs w:val="10"/>
                <w:lang w:eastAsia="tr-TR"/>
              </w:rPr>
              <w:t>İç Kaynaklardan Gerçekleştirilen Sermaye Artırımı</w:t>
            </w:r>
          </w:p>
        </w:tc>
        <w:tc>
          <w:tcPr>
            <w:tcW w:w="515" w:type="dxa"/>
            <w:gridSpan w:val="2"/>
            <w:tcBorders>
              <w:top w:val="nil"/>
              <w:left w:val="single" w:sz="4" w:space="0" w:color="auto"/>
              <w:bottom w:val="nil"/>
              <w:right w:val="single" w:sz="4" w:space="0" w:color="auto"/>
            </w:tcBorders>
            <w:shd w:val="clear" w:color="auto" w:fill="auto"/>
            <w:hideMark/>
          </w:tcPr>
          <w:p w14:paraId="2BB4CBBE"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1F90B0B" w14:textId="5CBE2DBD"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5A2988B9" w14:textId="615B0ED8"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66F1859" w14:textId="4CFA7AC0"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F05BA76" w14:textId="09810091"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9CF408B" w14:textId="455169ED"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2EEC021E" w14:textId="0A1D6A8D"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2F1A08C6" w14:textId="39133069"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14CF5F89" w14:textId="799B8F9A"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7290C8CF" w14:textId="5332F8B6"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37749653" w14:textId="6A925721"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0EB7C200" w14:textId="382B1F0E" w:rsidR="008755B7" w:rsidRPr="00005453" w:rsidRDefault="008755B7" w:rsidP="008755B7">
            <w:pPr>
              <w:jc w:val="right"/>
              <w:rPr>
                <w:b/>
                <w:sz w:val="10"/>
                <w:szCs w:val="10"/>
              </w:rPr>
            </w:pPr>
            <w:r w:rsidRPr="00005453">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3A9A374B" w14:textId="36B908BF"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4948020D" w14:textId="2AD5E50C"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A838356" w14:textId="7F917949" w:rsidR="008755B7" w:rsidRPr="00005453" w:rsidRDefault="008755B7" w:rsidP="008755B7">
            <w:pPr>
              <w:jc w:val="right"/>
              <w:rPr>
                <w:b/>
                <w:sz w:val="10"/>
                <w:szCs w:val="10"/>
              </w:rPr>
            </w:pPr>
            <w:r w:rsidRPr="00005453">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5252798B" w14:textId="58B128D0"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410DBAA3" w14:textId="4A08081D" w:rsidR="008755B7" w:rsidRPr="00005453" w:rsidRDefault="008755B7" w:rsidP="008755B7">
            <w:pPr>
              <w:jc w:val="right"/>
              <w:rPr>
                <w:b/>
                <w:sz w:val="10"/>
                <w:szCs w:val="10"/>
              </w:rPr>
            </w:pPr>
            <w:r w:rsidRPr="00005453">
              <w:rPr>
                <w:b/>
                <w:sz w:val="10"/>
                <w:szCs w:val="10"/>
              </w:rPr>
              <w:t>-</w:t>
            </w:r>
          </w:p>
        </w:tc>
      </w:tr>
      <w:tr w:rsidR="008755B7" w:rsidRPr="00005453" w14:paraId="03959796"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7DD4ED64"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VII.</w:t>
            </w:r>
          </w:p>
        </w:tc>
        <w:tc>
          <w:tcPr>
            <w:tcW w:w="2183" w:type="dxa"/>
            <w:tcBorders>
              <w:top w:val="nil"/>
              <w:left w:val="single" w:sz="4" w:space="0" w:color="auto"/>
              <w:bottom w:val="nil"/>
              <w:right w:val="single" w:sz="4" w:space="0" w:color="auto"/>
            </w:tcBorders>
            <w:shd w:val="clear" w:color="auto" w:fill="auto"/>
            <w:vAlign w:val="center"/>
            <w:hideMark/>
          </w:tcPr>
          <w:p w14:paraId="6CA40B56" w14:textId="77777777" w:rsidR="008755B7" w:rsidRPr="00005453" w:rsidRDefault="008755B7" w:rsidP="008755B7">
            <w:pPr>
              <w:rPr>
                <w:b/>
                <w:color w:val="000000"/>
                <w:sz w:val="10"/>
                <w:szCs w:val="10"/>
                <w:lang w:eastAsia="tr-TR"/>
              </w:rPr>
            </w:pPr>
            <w:r w:rsidRPr="00005453">
              <w:rPr>
                <w:b/>
                <w:color w:val="000000"/>
                <w:sz w:val="10"/>
                <w:szCs w:val="10"/>
                <w:lang w:val="en-US" w:eastAsia="tr-TR"/>
              </w:rPr>
              <w:t>Ödenmiş Sermaye Enflasyon Düzeltme Farkı</w:t>
            </w:r>
          </w:p>
        </w:tc>
        <w:tc>
          <w:tcPr>
            <w:tcW w:w="515" w:type="dxa"/>
            <w:gridSpan w:val="2"/>
            <w:tcBorders>
              <w:top w:val="nil"/>
              <w:left w:val="single" w:sz="4" w:space="0" w:color="auto"/>
              <w:bottom w:val="nil"/>
              <w:right w:val="single" w:sz="4" w:space="0" w:color="auto"/>
            </w:tcBorders>
            <w:shd w:val="clear" w:color="auto" w:fill="auto"/>
            <w:vAlign w:val="center"/>
            <w:hideMark/>
          </w:tcPr>
          <w:p w14:paraId="6C53E5BD"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9A17B78" w14:textId="045002CD"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730A9583" w14:textId="5D69D55B"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7816CA82" w14:textId="4764742B"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D63CA40" w14:textId="0F788E0E"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1852B7D1" w14:textId="3A593F36"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38629A1A" w14:textId="3E4F89A1"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39BEB4BB" w14:textId="50B485C1"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6428493E" w14:textId="0E46C0C3"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788EAB28" w14:textId="6260BFD7"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1449235B" w14:textId="58682A11"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4DE1D6B" w14:textId="60242CA8" w:rsidR="008755B7" w:rsidRPr="00005453" w:rsidRDefault="008755B7" w:rsidP="008755B7">
            <w:pPr>
              <w:jc w:val="right"/>
              <w:rPr>
                <w:b/>
                <w:sz w:val="10"/>
                <w:szCs w:val="10"/>
              </w:rPr>
            </w:pPr>
            <w:r w:rsidRPr="00005453">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681B7706" w14:textId="25514DD2"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00B20344" w14:textId="4E858207"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4833F243" w14:textId="38B0F7E4" w:rsidR="008755B7" w:rsidRPr="00005453" w:rsidRDefault="008755B7" w:rsidP="008755B7">
            <w:pPr>
              <w:jc w:val="right"/>
              <w:rPr>
                <w:b/>
                <w:sz w:val="10"/>
                <w:szCs w:val="10"/>
              </w:rPr>
            </w:pPr>
            <w:r w:rsidRPr="00005453">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0BE1D4C7" w14:textId="65EC6E24"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71AC8C77" w14:textId="4C21E9F0" w:rsidR="008755B7" w:rsidRPr="00005453" w:rsidRDefault="008755B7" w:rsidP="008755B7">
            <w:pPr>
              <w:jc w:val="right"/>
              <w:rPr>
                <w:b/>
                <w:sz w:val="10"/>
                <w:szCs w:val="10"/>
              </w:rPr>
            </w:pPr>
            <w:r w:rsidRPr="00005453">
              <w:rPr>
                <w:b/>
                <w:sz w:val="10"/>
                <w:szCs w:val="10"/>
              </w:rPr>
              <w:t>-</w:t>
            </w:r>
          </w:p>
        </w:tc>
      </w:tr>
      <w:tr w:rsidR="008755B7" w:rsidRPr="00005453" w14:paraId="42093D7D"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1CE50DC4"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VIII.</w:t>
            </w:r>
          </w:p>
        </w:tc>
        <w:tc>
          <w:tcPr>
            <w:tcW w:w="2183" w:type="dxa"/>
            <w:tcBorders>
              <w:top w:val="nil"/>
              <w:left w:val="single" w:sz="4" w:space="0" w:color="auto"/>
              <w:bottom w:val="nil"/>
              <w:right w:val="single" w:sz="4" w:space="0" w:color="auto"/>
            </w:tcBorders>
            <w:shd w:val="clear" w:color="auto" w:fill="auto"/>
            <w:noWrap/>
            <w:vAlign w:val="center"/>
            <w:hideMark/>
          </w:tcPr>
          <w:p w14:paraId="1A4DDB7E" w14:textId="77777777" w:rsidR="008755B7" w:rsidRPr="00005453" w:rsidRDefault="008755B7" w:rsidP="008755B7">
            <w:pPr>
              <w:rPr>
                <w:b/>
                <w:color w:val="000000"/>
                <w:sz w:val="10"/>
                <w:szCs w:val="10"/>
                <w:lang w:eastAsia="tr-TR"/>
              </w:rPr>
            </w:pPr>
            <w:r w:rsidRPr="00005453">
              <w:rPr>
                <w:b/>
                <w:color w:val="000000"/>
                <w:sz w:val="10"/>
                <w:szCs w:val="10"/>
                <w:lang w:val="en-US" w:eastAsia="tr-TR"/>
              </w:rPr>
              <w:t>Hisse Senedine Dönüştürülebilir Tahviller</w:t>
            </w:r>
          </w:p>
        </w:tc>
        <w:tc>
          <w:tcPr>
            <w:tcW w:w="515" w:type="dxa"/>
            <w:gridSpan w:val="2"/>
            <w:tcBorders>
              <w:top w:val="nil"/>
              <w:left w:val="single" w:sz="4" w:space="0" w:color="auto"/>
              <w:bottom w:val="nil"/>
              <w:right w:val="single" w:sz="4" w:space="0" w:color="auto"/>
            </w:tcBorders>
            <w:shd w:val="clear" w:color="auto" w:fill="auto"/>
            <w:vAlign w:val="center"/>
            <w:hideMark/>
          </w:tcPr>
          <w:p w14:paraId="37EA2899"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D24356C" w14:textId="63D0610E"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612240C8" w14:textId="3F3BCC51"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7A1C1C9B" w14:textId="2A533FD7"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2382725A" w14:textId="59B9DED5"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E69ACE7" w14:textId="6CFED9ED"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171AFB54" w14:textId="51052C10"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01287E17" w14:textId="7752D34B"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979F128" w14:textId="4AFA6D4A"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62532DF" w14:textId="16E6551C"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7C1D61D9" w14:textId="69334E2F"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0E3FB94F" w14:textId="14C06AE9" w:rsidR="008755B7" w:rsidRPr="00005453" w:rsidRDefault="008755B7" w:rsidP="008755B7">
            <w:pPr>
              <w:jc w:val="right"/>
              <w:rPr>
                <w:b/>
                <w:sz w:val="10"/>
                <w:szCs w:val="10"/>
              </w:rPr>
            </w:pPr>
            <w:r w:rsidRPr="00005453">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3DB4C41F" w14:textId="7DD64388"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5AD4AA7C" w14:textId="63A412B2"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2B9D2CFE" w14:textId="21BE1390" w:rsidR="008755B7" w:rsidRPr="00005453" w:rsidRDefault="008755B7" w:rsidP="008755B7">
            <w:pPr>
              <w:jc w:val="right"/>
              <w:rPr>
                <w:b/>
                <w:sz w:val="10"/>
                <w:szCs w:val="10"/>
              </w:rPr>
            </w:pPr>
            <w:r w:rsidRPr="00005453">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47D3CCDD" w14:textId="0F668AC9"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236703CB" w14:textId="193DFB48" w:rsidR="008755B7" w:rsidRPr="00005453" w:rsidRDefault="008755B7" w:rsidP="008755B7">
            <w:pPr>
              <w:jc w:val="right"/>
              <w:rPr>
                <w:b/>
                <w:sz w:val="10"/>
                <w:szCs w:val="10"/>
              </w:rPr>
            </w:pPr>
            <w:r w:rsidRPr="00005453">
              <w:rPr>
                <w:b/>
                <w:sz w:val="10"/>
                <w:szCs w:val="10"/>
              </w:rPr>
              <w:t>-</w:t>
            </w:r>
          </w:p>
        </w:tc>
      </w:tr>
      <w:tr w:rsidR="008755B7" w:rsidRPr="00005453" w14:paraId="75BE123B"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7788CDD5"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IX.</w:t>
            </w:r>
          </w:p>
        </w:tc>
        <w:tc>
          <w:tcPr>
            <w:tcW w:w="2183" w:type="dxa"/>
            <w:tcBorders>
              <w:top w:val="nil"/>
              <w:left w:val="single" w:sz="4" w:space="0" w:color="auto"/>
              <w:bottom w:val="nil"/>
              <w:right w:val="single" w:sz="4" w:space="0" w:color="auto"/>
            </w:tcBorders>
            <w:shd w:val="clear" w:color="auto" w:fill="auto"/>
            <w:noWrap/>
            <w:vAlign w:val="center"/>
            <w:hideMark/>
          </w:tcPr>
          <w:p w14:paraId="564D5405" w14:textId="77777777" w:rsidR="008755B7" w:rsidRPr="00005453" w:rsidRDefault="008755B7" w:rsidP="008755B7">
            <w:pPr>
              <w:rPr>
                <w:b/>
                <w:color w:val="000000"/>
                <w:sz w:val="10"/>
                <w:szCs w:val="10"/>
                <w:lang w:eastAsia="tr-TR"/>
              </w:rPr>
            </w:pPr>
            <w:r w:rsidRPr="00005453">
              <w:rPr>
                <w:b/>
                <w:color w:val="000000"/>
                <w:sz w:val="10"/>
                <w:szCs w:val="10"/>
                <w:lang w:val="en-US" w:eastAsia="tr-TR"/>
              </w:rPr>
              <w:t>Sermaye Benzeri Borçlanma Araçları</w:t>
            </w:r>
          </w:p>
        </w:tc>
        <w:tc>
          <w:tcPr>
            <w:tcW w:w="515" w:type="dxa"/>
            <w:gridSpan w:val="2"/>
            <w:tcBorders>
              <w:top w:val="nil"/>
              <w:left w:val="single" w:sz="4" w:space="0" w:color="auto"/>
              <w:bottom w:val="nil"/>
              <w:right w:val="single" w:sz="4" w:space="0" w:color="auto"/>
            </w:tcBorders>
            <w:shd w:val="clear" w:color="auto" w:fill="auto"/>
            <w:vAlign w:val="center"/>
            <w:hideMark/>
          </w:tcPr>
          <w:p w14:paraId="6F9D3687"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D41DCC3" w14:textId="49FAC017"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62BF31A1" w14:textId="50FFAACD"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BDFD304" w14:textId="21950A33"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4AF1F03" w14:textId="58120E8B"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3D4598C5" w14:textId="65FFC2A2"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32029FE0" w14:textId="2186FD4D"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29BC13D7" w14:textId="4D663CEE"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2F51F32D" w14:textId="30CAC3B3"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75EAD78B" w14:textId="5A1BAF63"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4D5BD34D" w14:textId="5539FB6F"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6C608B6" w14:textId="5265432C" w:rsidR="008755B7" w:rsidRPr="00005453" w:rsidRDefault="008755B7" w:rsidP="008755B7">
            <w:pPr>
              <w:jc w:val="right"/>
              <w:rPr>
                <w:b/>
                <w:sz w:val="10"/>
                <w:szCs w:val="10"/>
              </w:rPr>
            </w:pPr>
            <w:r w:rsidRPr="00005453">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064922DC" w14:textId="4500D811"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3ECB0540" w14:textId="2C9DA021"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0D952BFD" w14:textId="587D5A28" w:rsidR="008755B7" w:rsidRPr="00005453" w:rsidRDefault="008755B7" w:rsidP="008755B7">
            <w:pPr>
              <w:jc w:val="right"/>
              <w:rPr>
                <w:b/>
                <w:sz w:val="10"/>
                <w:szCs w:val="10"/>
              </w:rPr>
            </w:pPr>
            <w:r w:rsidRPr="00005453">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2EC5442E" w14:textId="6A7F1D8F"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60D5662F" w14:textId="295C44A8" w:rsidR="008755B7" w:rsidRPr="00005453" w:rsidRDefault="008755B7" w:rsidP="008755B7">
            <w:pPr>
              <w:jc w:val="right"/>
              <w:rPr>
                <w:b/>
                <w:sz w:val="10"/>
                <w:szCs w:val="10"/>
              </w:rPr>
            </w:pPr>
            <w:r w:rsidRPr="00005453">
              <w:rPr>
                <w:b/>
                <w:sz w:val="10"/>
                <w:szCs w:val="10"/>
              </w:rPr>
              <w:t>-</w:t>
            </w:r>
          </w:p>
        </w:tc>
      </w:tr>
      <w:tr w:rsidR="008755B7" w:rsidRPr="00005453" w14:paraId="5A9CC9D3"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17CE56A0"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X.</w:t>
            </w:r>
          </w:p>
        </w:tc>
        <w:tc>
          <w:tcPr>
            <w:tcW w:w="2183" w:type="dxa"/>
            <w:tcBorders>
              <w:top w:val="nil"/>
              <w:left w:val="single" w:sz="4" w:space="0" w:color="auto"/>
              <w:bottom w:val="nil"/>
              <w:right w:val="single" w:sz="4" w:space="0" w:color="auto"/>
            </w:tcBorders>
            <w:shd w:val="clear" w:color="auto" w:fill="auto"/>
            <w:noWrap/>
            <w:vAlign w:val="center"/>
            <w:hideMark/>
          </w:tcPr>
          <w:p w14:paraId="61DDEEE5" w14:textId="77777777" w:rsidR="008755B7" w:rsidRPr="00005453" w:rsidRDefault="008755B7" w:rsidP="008755B7">
            <w:pPr>
              <w:rPr>
                <w:b/>
                <w:color w:val="000000"/>
                <w:sz w:val="10"/>
                <w:szCs w:val="10"/>
                <w:lang w:eastAsia="tr-TR"/>
              </w:rPr>
            </w:pPr>
            <w:r w:rsidRPr="00005453">
              <w:rPr>
                <w:b/>
                <w:color w:val="000000"/>
                <w:sz w:val="10"/>
                <w:szCs w:val="10"/>
                <w:lang w:eastAsia="tr-TR"/>
              </w:rPr>
              <w:t>Diğer Değişiklikler Nedeniyle Artış /Azalış</w:t>
            </w:r>
          </w:p>
        </w:tc>
        <w:tc>
          <w:tcPr>
            <w:tcW w:w="515" w:type="dxa"/>
            <w:gridSpan w:val="2"/>
            <w:tcBorders>
              <w:top w:val="nil"/>
              <w:left w:val="single" w:sz="4" w:space="0" w:color="auto"/>
              <w:bottom w:val="nil"/>
              <w:right w:val="single" w:sz="4" w:space="0" w:color="auto"/>
            </w:tcBorders>
            <w:shd w:val="clear" w:color="auto" w:fill="auto"/>
            <w:vAlign w:val="center"/>
            <w:hideMark/>
          </w:tcPr>
          <w:p w14:paraId="1A22BEEE"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42036DFA" w14:textId="6D29757B"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189EEE88" w14:textId="37581D34"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431A1AA" w14:textId="22E0BB6A"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F13AA76" w14:textId="07568524"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07F3114" w14:textId="7E7E1D17"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3A8ABFA8" w14:textId="70950D58"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77E75F61" w14:textId="7A51238D"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242F3CB" w14:textId="14FD3F09"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D8F676B" w14:textId="7890621E"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617F684F" w14:textId="6567D55F"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6FD199E1" w14:textId="2C75186D" w:rsidR="008755B7" w:rsidRPr="00005453" w:rsidRDefault="008755B7" w:rsidP="008755B7">
            <w:pPr>
              <w:jc w:val="right"/>
              <w:rPr>
                <w:b/>
                <w:sz w:val="10"/>
                <w:szCs w:val="10"/>
              </w:rPr>
            </w:pPr>
            <w:r w:rsidRPr="00005453">
              <w:rPr>
                <w:b/>
                <w:sz w:val="10"/>
                <w:szCs w:val="10"/>
              </w:rPr>
              <w:t>43</w:t>
            </w:r>
          </w:p>
        </w:tc>
        <w:tc>
          <w:tcPr>
            <w:tcW w:w="1022" w:type="dxa"/>
            <w:tcBorders>
              <w:top w:val="nil"/>
              <w:left w:val="single" w:sz="4" w:space="0" w:color="auto"/>
              <w:bottom w:val="nil"/>
              <w:right w:val="single" w:sz="4" w:space="0" w:color="auto"/>
            </w:tcBorders>
            <w:shd w:val="clear" w:color="auto" w:fill="auto"/>
            <w:vAlign w:val="center"/>
            <w:hideMark/>
          </w:tcPr>
          <w:p w14:paraId="57093E41" w14:textId="0BDDEAED" w:rsidR="008755B7" w:rsidRPr="00005453" w:rsidRDefault="008755B7" w:rsidP="008755B7">
            <w:pPr>
              <w:jc w:val="right"/>
              <w:rPr>
                <w:b/>
                <w:sz w:val="10"/>
                <w:szCs w:val="10"/>
              </w:rPr>
            </w:pPr>
            <w:r w:rsidRPr="00005453">
              <w:rPr>
                <w:b/>
                <w:sz w:val="10"/>
                <w:szCs w:val="10"/>
              </w:rPr>
              <w:t>8,987</w:t>
            </w:r>
          </w:p>
        </w:tc>
        <w:tc>
          <w:tcPr>
            <w:tcW w:w="760" w:type="dxa"/>
            <w:tcBorders>
              <w:top w:val="nil"/>
              <w:left w:val="single" w:sz="4" w:space="0" w:color="auto"/>
              <w:bottom w:val="nil"/>
              <w:right w:val="single" w:sz="4" w:space="0" w:color="auto"/>
            </w:tcBorders>
            <w:shd w:val="clear" w:color="auto" w:fill="auto"/>
            <w:vAlign w:val="center"/>
            <w:hideMark/>
          </w:tcPr>
          <w:p w14:paraId="18A624A6" w14:textId="5E8DC811"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8D8B066" w14:textId="5E193AB7" w:rsidR="008755B7" w:rsidRPr="00005453" w:rsidRDefault="008755B7" w:rsidP="008755B7">
            <w:pPr>
              <w:jc w:val="right"/>
              <w:rPr>
                <w:b/>
                <w:sz w:val="10"/>
                <w:szCs w:val="10"/>
              </w:rPr>
            </w:pPr>
            <w:r w:rsidRPr="00005453">
              <w:rPr>
                <w:b/>
                <w:sz w:val="10"/>
                <w:szCs w:val="10"/>
              </w:rPr>
              <w:t>9,030</w:t>
            </w:r>
          </w:p>
        </w:tc>
        <w:tc>
          <w:tcPr>
            <w:tcW w:w="702" w:type="dxa"/>
            <w:tcBorders>
              <w:top w:val="nil"/>
              <w:left w:val="single" w:sz="4" w:space="0" w:color="auto"/>
              <w:bottom w:val="nil"/>
              <w:right w:val="single" w:sz="4" w:space="0" w:color="auto"/>
            </w:tcBorders>
            <w:shd w:val="clear" w:color="auto" w:fill="auto"/>
            <w:vAlign w:val="center"/>
            <w:hideMark/>
          </w:tcPr>
          <w:p w14:paraId="6BF40674" w14:textId="3B3ABC49"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0BA88256" w14:textId="1E0BE8EE" w:rsidR="008755B7" w:rsidRPr="00005453" w:rsidRDefault="008755B7" w:rsidP="008755B7">
            <w:pPr>
              <w:jc w:val="right"/>
              <w:rPr>
                <w:b/>
                <w:sz w:val="10"/>
                <w:szCs w:val="10"/>
              </w:rPr>
            </w:pPr>
            <w:r w:rsidRPr="00005453">
              <w:rPr>
                <w:b/>
                <w:sz w:val="10"/>
                <w:szCs w:val="10"/>
              </w:rPr>
              <w:t>9,030</w:t>
            </w:r>
          </w:p>
        </w:tc>
      </w:tr>
      <w:tr w:rsidR="008755B7" w:rsidRPr="00005453" w14:paraId="2E16856B"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4BF7806A" w14:textId="77777777" w:rsidR="008755B7" w:rsidRPr="00005453" w:rsidRDefault="008755B7" w:rsidP="008755B7">
            <w:pPr>
              <w:rPr>
                <w:b/>
                <w:bCs/>
                <w:color w:val="000000"/>
                <w:sz w:val="10"/>
                <w:szCs w:val="10"/>
                <w:lang w:eastAsia="tr-TR"/>
              </w:rPr>
            </w:pPr>
            <w:r w:rsidRPr="00005453">
              <w:rPr>
                <w:b/>
                <w:bCs/>
                <w:color w:val="000000"/>
                <w:sz w:val="10"/>
                <w:szCs w:val="10"/>
                <w:lang w:val="en-US" w:eastAsia="tr-TR"/>
              </w:rPr>
              <w:t>XI.</w:t>
            </w:r>
          </w:p>
        </w:tc>
        <w:tc>
          <w:tcPr>
            <w:tcW w:w="2183" w:type="dxa"/>
            <w:tcBorders>
              <w:top w:val="nil"/>
              <w:left w:val="single" w:sz="4" w:space="0" w:color="auto"/>
              <w:bottom w:val="nil"/>
              <w:right w:val="single" w:sz="4" w:space="0" w:color="auto"/>
            </w:tcBorders>
            <w:shd w:val="clear" w:color="auto" w:fill="auto"/>
            <w:noWrap/>
            <w:vAlign w:val="center"/>
            <w:hideMark/>
          </w:tcPr>
          <w:p w14:paraId="71063766" w14:textId="77777777" w:rsidR="008755B7" w:rsidRPr="00005453" w:rsidRDefault="008755B7" w:rsidP="008755B7">
            <w:pPr>
              <w:rPr>
                <w:b/>
                <w:color w:val="000000"/>
                <w:sz w:val="10"/>
                <w:szCs w:val="10"/>
                <w:lang w:eastAsia="tr-TR"/>
              </w:rPr>
            </w:pPr>
            <w:r w:rsidRPr="00005453">
              <w:rPr>
                <w:b/>
                <w:color w:val="000000"/>
                <w:sz w:val="10"/>
                <w:szCs w:val="10"/>
                <w:lang w:val="en-US" w:eastAsia="tr-TR"/>
              </w:rPr>
              <w:t>Kâr Dağıtımı</w:t>
            </w:r>
          </w:p>
        </w:tc>
        <w:tc>
          <w:tcPr>
            <w:tcW w:w="515" w:type="dxa"/>
            <w:gridSpan w:val="2"/>
            <w:tcBorders>
              <w:top w:val="nil"/>
              <w:left w:val="single" w:sz="4" w:space="0" w:color="auto"/>
              <w:bottom w:val="nil"/>
              <w:right w:val="single" w:sz="4" w:space="0" w:color="auto"/>
            </w:tcBorders>
            <w:shd w:val="clear" w:color="auto" w:fill="auto"/>
            <w:vAlign w:val="center"/>
            <w:hideMark/>
          </w:tcPr>
          <w:p w14:paraId="16883C8B" w14:textId="77777777" w:rsidR="008755B7" w:rsidRPr="00005453" w:rsidRDefault="008755B7" w:rsidP="008755B7">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38756F9" w14:textId="266AB4BF" w:rsidR="008755B7" w:rsidRPr="00005453" w:rsidRDefault="008755B7" w:rsidP="008755B7">
            <w:pPr>
              <w:jc w:val="right"/>
              <w:rPr>
                <w:b/>
                <w:sz w:val="10"/>
                <w:szCs w:val="10"/>
              </w:rPr>
            </w:pPr>
            <w:r w:rsidRPr="00005453">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7A2043F4" w14:textId="58F0E37B"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2DBDC01" w14:textId="258DD658" w:rsidR="008755B7" w:rsidRPr="00005453" w:rsidRDefault="008755B7" w:rsidP="008755B7">
            <w:pPr>
              <w:jc w:val="right"/>
              <w:rPr>
                <w:b/>
                <w:sz w:val="10"/>
                <w:szCs w:val="10"/>
              </w:rPr>
            </w:pPr>
            <w:r w:rsidRPr="00005453">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0793EFA7" w14:textId="29B4B707" w:rsidR="008755B7" w:rsidRPr="00005453" w:rsidRDefault="008755B7" w:rsidP="008755B7">
            <w:pPr>
              <w:jc w:val="right"/>
              <w:rPr>
                <w:b/>
                <w:sz w:val="10"/>
                <w:szCs w:val="10"/>
              </w:rPr>
            </w:pPr>
            <w:r w:rsidRPr="00005453">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15D929D" w14:textId="2D57174F" w:rsidR="008755B7" w:rsidRPr="00005453" w:rsidRDefault="008755B7" w:rsidP="008755B7">
            <w:pPr>
              <w:jc w:val="right"/>
              <w:rPr>
                <w:b/>
                <w:sz w:val="10"/>
                <w:szCs w:val="10"/>
              </w:rPr>
            </w:pPr>
            <w:r w:rsidRPr="00005453">
              <w:rPr>
                <w:b/>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0DCE6CAD" w14:textId="27E98919" w:rsidR="008755B7" w:rsidRPr="00005453" w:rsidRDefault="008755B7" w:rsidP="008755B7">
            <w:pPr>
              <w:jc w:val="right"/>
              <w:rPr>
                <w:b/>
                <w:sz w:val="10"/>
                <w:szCs w:val="10"/>
              </w:rPr>
            </w:pPr>
            <w:r w:rsidRPr="00005453">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432BE1F1" w14:textId="5932DE7E" w:rsidR="008755B7" w:rsidRPr="00005453" w:rsidRDefault="008755B7" w:rsidP="008755B7">
            <w:pPr>
              <w:jc w:val="right"/>
              <w:rPr>
                <w:b/>
                <w:sz w:val="10"/>
                <w:szCs w:val="10"/>
              </w:rPr>
            </w:pPr>
            <w:r w:rsidRPr="00005453">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587C421" w14:textId="64747382" w:rsidR="008755B7" w:rsidRPr="00005453" w:rsidRDefault="008755B7" w:rsidP="008755B7">
            <w:pPr>
              <w:jc w:val="right"/>
              <w:rPr>
                <w:b/>
                <w:sz w:val="10"/>
                <w:szCs w:val="10"/>
              </w:rPr>
            </w:pPr>
            <w:r w:rsidRPr="00005453">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47BD6D7" w14:textId="68B01F1D" w:rsidR="008755B7" w:rsidRPr="00005453" w:rsidRDefault="008755B7" w:rsidP="008755B7">
            <w:pPr>
              <w:jc w:val="right"/>
              <w:rPr>
                <w:b/>
                <w:sz w:val="10"/>
                <w:szCs w:val="10"/>
              </w:rPr>
            </w:pPr>
            <w:r w:rsidRPr="00005453">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5DEDE06D" w14:textId="585C10C3" w:rsidR="008755B7" w:rsidRPr="00005453" w:rsidRDefault="008755B7" w:rsidP="008755B7">
            <w:pPr>
              <w:jc w:val="right"/>
              <w:rPr>
                <w:b/>
                <w:sz w:val="10"/>
                <w:szCs w:val="10"/>
              </w:rPr>
            </w:pPr>
            <w:r w:rsidRPr="00005453">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09C7AC23" w14:textId="00481DFB" w:rsidR="008755B7" w:rsidRPr="00005453" w:rsidRDefault="008755B7" w:rsidP="008755B7">
            <w:pPr>
              <w:jc w:val="right"/>
              <w:rPr>
                <w:b/>
                <w:sz w:val="10"/>
                <w:szCs w:val="10"/>
              </w:rPr>
            </w:pPr>
            <w:r w:rsidRPr="00005453">
              <w:rPr>
                <w:b/>
                <w:sz w:val="10"/>
                <w:szCs w:val="10"/>
              </w:rPr>
              <w:t>12,643,447</w:t>
            </w:r>
          </w:p>
        </w:tc>
        <w:tc>
          <w:tcPr>
            <w:tcW w:w="1022" w:type="dxa"/>
            <w:tcBorders>
              <w:top w:val="nil"/>
              <w:left w:val="single" w:sz="4" w:space="0" w:color="auto"/>
              <w:bottom w:val="nil"/>
              <w:right w:val="single" w:sz="4" w:space="0" w:color="auto"/>
            </w:tcBorders>
            <w:shd w:val="clear" w:color="auto" w:fill="auto"/>
            <w:vAlign w:val="center"/>
            <w:hideMark/>
          </w:tcPr>
          <w:p w14:paraId="4C237BD4" w14:textId="0EB0CA6C" w:rsidR="008755B7" w:rsidRPr="00005453" w:rsidRDefault="008755B7" w:rsidP="008755B7">
            <w:pPr>
              <w:jc w:val="right"/>
              <w:rPr>
                <w:b/>
                <w:sz w:val="10"/>
                <w:szCs w:val="10"/>
              </w:rPr>
            </w:pPr>
            <w:r w:rsidRPr="00005453">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085247F0" w14:textId="043C539C" w:rsidR="008755B7" w:rsidRPr="00005453" w:rsidRDefault="008755B7" w:rsidP="008755B7">
            <w:pPr>
              <w:jc w:val="right"/>
              <w:rPr>
                <w:b/>
                <w:sz w:val="10"/>
                <w:szCs w:val="10"/>
              </w:rPr>
            </w:pPr>
            <w:r w:rsidRPr="00005453">
              <w:rPr>
                <w:b/>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579E8672" w14:textId="1B375913" w:rsidR="008755B7" w:rsidRPr="00005453" w:rsidRDefault="008755B7" w:rsidP="008755B7">
            <w:pPr>
              <w:jc w:val="right"/>
              <w:rPr>
                <w:b/>
                <w:sz w:val="10"/>
                <w:szCs w:val="10"/>
              </w:rPr>
            </w:pPr>
            <w:r w:rsidRPr="00005453">
              <w:rPr>
                <w:b/>
                <w:sz w:val="10"/>
                <w:szCs w:val="10"/>
              </w:rPr>
              <w:t>(1,400,000)</w:t>
            </w:r>
          </w:p>
        </w:tc>
        <w:tc>
          <w:tcPr>
            <w:tcW w:w="702" w:type="dxa"/>
            <w:tcBorders>
              <w:top w:val="nil"/>
              <w:left w:val="single" w:sz="4" w:space="0" w:color="auto"/>
              <w:bottom w:val="nil"/>
              <w:right w:val="single" w:sz="4" w:space="0" w:color="auto"/>
            </w:tcBorders>
            <w:shd w:val="clear" w:color="auto" w:fill="auto"/>
            <w:vAlign w:val="center"/>
            <w:hideMark/>
          </w:tcPr>
          <w:p w14:paraId="7798AF75" w14:textId="63621900" w:rsidR="008755B7" w:rsidRPr="00005453" w:rsidRDefault="008755B7" w:rsidP="008755B7">
            <w:pPr>
              <w:jc w:val="right"/>
              <w:rPr>
                <w:b/>
                <w:sz w:val="10"/>
                <w:szCs w:val="10"/>
              </w:rPr>
            </w:pPr>
            <w:r w:rsidRPr="00005453">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379018DC" w14:textId="74574AF4" w:rsidR="008755B7" w:rsidRPr="00005453" w:rsidRDefault="008755B7" w:rsidP="008755B7">
            <w:pPr>
              <w:jc w:val="right"/>
              <w:rPr>
                <w:b/>
                <w:sz w:val="10"/>
                <w:szCs w:val="10"/>
              </w:rPr>
            </w:pPr>
            <w:r w:rsidRPr="00005453">
              <w:rPr>
                <w:b/>
                <w:sz w:val="10"/>
                <w:szCs w:val="10"/>
              </w:rPr>
              <w:t>(1,400,000)</w:t>
            </w:r>
          </w:p>
        </w:tc>
      </w:tr>
      <w:tr w:rsidR="008755B7" w:rsidRPr="00005453" w14:paraId="4492D6E3"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31091704" w14:textId="77777777" w:rsidR="008755B7" w:rsidRPr="00005453" w:rsidRDefault="008755B7" w:rsidP="008755B7">
            <w:pPr>
              <w:rPr>
                <w:color w:val="000000"/>
                <w:sz w:val="10"/>
                <w:szCs w:val="10"/>
                <w:lang w:eastAsia="tr-TR"/>
              </w:rPr>
            </w:pPr>
            <w:r w:rsidRPr="00005453">
              <w:rPr>
                <w:color w:val="000000"/>
                <w:sz w:val="10"/>
                <w:szCs w:val="10"/>
                <w:lang w:val="en-US" w:eastAsia="tr-TR"/>
              </w:rPr>
              <w:t>11.1</w:t>
            </w:r>
          </w:p>
        </w:tc>
        <w:tc>
          <w:tcPr>
            <w:tcW w:w="2183" w:type="dxa"/>
            <w:tcBorders>
              <w:top w:val="nil"/>
              <w:left w:val="single" w:sz="4" w:space="0" w:color="auto"/>
              <w:bottom w:val="nil"/>
              <w:right w:val="single" w:sz="4" w:space="0" w:color="auto"/>
            </w:tcBorders>
            <w:shd w:val="clear" w:color="auto" w:fill="auto"/>
            <w:noWrap/>
            <w:vAlign w:val="center"/>
            <w:hideMark/>
          </w:tcPr>
          <w:p w14:paraId="44C4B052" w14:textId="77777777" w:rsidR="008755B7" w:rsidRPr="00005453" w:rsidRDefault="008755B7" w:rsidP="008755B7">
            <w:pPr>
              <w:rPr>
                <w:color w:val="000000"/>
                <w:sz w:val="10"/>
                <w:szCs w:val="10"/>
                <w:lang w:eastAsia="tr-TR"/>
              </w:rPr>
            </w:pPr>
            <w:r w:rsidRPr="00005453">
              <w:rPr>
                <w:color w:val="000000"/>
                <w:sz w:val="10"/>
                <w:szCs w:val="10"/>
                <w:lang w:val="en-US" w:eastAsia="tr-TR"/>
              </w:rPr>
              <w:t>Dağıtılan Temettü</w:t>
            </w:r>
          </w:p>
        </w:tc>
        <w:tc>
          <w:tcPr>
            <w:tcW w:w="515" w:type="dxa"/>
            <w:gridSpan w:val="2"/>
            <w:tcBorders>
              <w:top w:val="nil"/>
              <w:left w:val="single" w:sz="4" w:space="0" w:color="auto"/>
              <w:bottom w:val="nil"/>
              <w:right w:val="single" w:sz="4" w:space="0" w:color="auto"/>
            </w:tcBorders>
            <w:shd w:val="clear" w:color="auto" w:fill="auto"/>
            <w:vAlign w:val="center"/>
            <w:hideMark/>
          </w:tcPr>
          <w:p w14:paraId="48AD18A6" w14:textId="77777777" w:rsidR="008755B7" w:rsidRPr="00005453" w:rsidRDefault="008755B7" w:rsidP="008755B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3397707F" w14:textId="55F64E98" w:rsidR="008755B7" w:rsidRPr="00005453" w:rsidRDefault="008755B7" w:rsidP="008755B7">
            <w:pPr>
              <w:jc w:val="right"/>
              <w:rPr>
                <w:sz w:val="10"/>
                <w:szCs w:val="10"/>
              </w:rPr>
            </w:pPr>
            <w:r w:rsidRPr="00005453">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53C389F5" w14:textId="4A1EDDC4"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F906355" w14:textId="1C9E8D67"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13F79DD" w14:textId="5D95B481" w:rsidR="008755B7" w:rsidRPr="00005453" w:rsidRDefault="008755B7" w:rsidP="008755B7">
            <w:pPr>
              <w:jc w:val="right"/>
              <w:rPr>
                <w:sz w:val="10"/>
                <w:szCs w:val="10"/>
              </w:rPr>
            </w:pPr>
            <w:r w:rsidRPr="00005453">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6B32DFC9" w14:textId="0C930D1B" w:rsidR="008755B7" w:rsidRPr="00005453" w:rsidRDefault="008755B7" w:rsidP="008755B7">
            <w:pPr>
              <w:jc w:val="right"/>
              <w:rPr>
                <w:sz w:val="10"/>
                <w:szCs w:val="10"/>
              </w:rPr>
            </w:pPr>
            <w:r w:rsidRPr="00005453">
              <w:rPr>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19C00D52" w14:textId="0E6787C6" w:rsidR="008755B7" w:rsidRPr="00005453" w:rsidRDefault="008755B7" w:rsidP="008755B7">
            <w:pPr>
              <w:jc w:val="right"/>
              <w:rPr>
                <w:sz w:val="10"/>
                <w:szCs w:val="10"/>
              </w:rPr>
            </w:pPr>
            <w:r w:rsidRPr="00005453">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77CBBA75" w14:textId="3C18C33D" w:rsidR="008755B7" w:rsidRPr="00005453" w:rsidRDefault="008755B7" w:rsidP="008755B7">
            <w:pPr>
              <w:jc w:val="right"/>
              <w:rPr>
                <w:sz w:val="10"/>
                <w:szCs w:val="10"/>
              </w:rPr>
            </w:pPr>
            <w:r w:rsidRPr="00005453">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5DBD1922" w14:textId="2827F997"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A7A064B" w14:textId="0C2A93AB" w:rsidR="008755B7" w:rsidRPr="00005453" w:rsidRDefault="008755B7" w:rsidP="008755B7">
            <w:pPr>
              <w:jc w:val="right"/>
              <w:rPr>
                <w:sz w:val="10"/>
                <w:szCs w:val="10"/>
              </w:rPr>
            </w:pPr>
            <w:r w:rsidRPr="00005453">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76503606" w14:textId="50E3566D" w:rsidR="008755B7" w:rsidRPr="00005453" w:rsidRDefault="008755B7" w:rsidP="008755B7">
            <w:pPr>
              <w:jc w:val="right"/>
              <w:rPr>
                <w:sz w:val="10"/>
                <w:szCs w:val="10"/>
              </w:rPr>
            </w:pPr>
            <w:r w:rsidRPr="00005453">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7E3568A8" w14:textId="4E51E07A" w:rsidR="008755B7" w:rsidRPr="00005453" w:rsidRDefault="008755B7" w:rsidP="008755B7">
            <w:pPr>
              <w:jc w:val="right"/>
              <w:rPr>
                <w:sz w:val="10"/>
                <w:szCs w:val="10"/>
              </w:rPr>
            </w:pPr>
            <w:r w:rsidRPr="00005453">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61FCE532" w14:textId="26D79C65" w:rsidR="008755B7" w:rsidRPr="00005453" w:rsidRDefault="008755B7" w:rsidP="008755B7">
            <w:pPr>
              <w:jc w:val="right"/>
              <w:rPr>
                <w:sz w:val="10"/>
                <w:szCs w:val="10"/>
              </w:rPr>
            </w:pPr>
            <w:r w:rsidRPr="00005453">
              <w:rPr>
                <w:sz w:val="10"/>
                <w:szCs w:val="10"/>
              </w:rPr>
              <w:t>(1,400,000)</w:t>
            </w:r>
          </w:p>
        </w:tc>
        <w:tc>
          <w:tcPr>
            <w:tcW w:w="760" w:type="dxa"/>
            <w:tcBorders>
              <w:top w:val="nil"/>
              <w:left w:val="single" w:sz="4" w:space="0" w:color="auto"/>
              <w:bottom w:val="nil"/>
              <w:right w:val="single" w:sz="4" w:space="0" w:color="auto"/>
            </w:tcBorders>
            <w:shd w:val="clear" w:color="auto" w:fill="auto"/>
            <w:vAlign w:val="center"/>
            <w:hideMark/>
          </w:tcPr>
          <w:p w14:paraId="3DF1AC38" w14:textId="28BCAE09"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B68C040" w14:textId="2172565E" w:rsidR="008755B7" w:rsidRPr="00005453" w:rsidRDefault="008755B7" w:rsidP="008755B7">
            <w:pPr>
              <w:jc w:val="right"/>
              <w:rPr>
                <w:sz w:val="10"/>
                <w:szCs w:val="10"/>
              </w:rPr>
            </w:pPr>
            <w:r w:rsidRPr="00005453">
              <w:rPr>
                <w:sz w:val="10"/>
                <w:szCs w:val="10"/>
              </w:rPr>
              <w:t>(1,400,000)</w:t>
            </w:r>
          </w:p>
        </w:tc>
        <w:tc>
          <w:tcPr>
            <w:tcW w:w="702" w:type="dxa"/>
            <w:tcBorders>
              <w:top w:val="nil"/>
              <w:left w:val="single" w:sz="4" w:space="0" w:color="auto"/>
              <w:bottom w:val="nil"/>
              <w:right w:val="single" w:sz="4" w:space="0" w:color="auto"/>
            </w:tcBorders>
            <w:shd w:val="clear" w:color="auto" w:fill="auto"/>
            <w:vAlign w:val="center"/>
            <w:hideMark/>
          </w:tcPr>
          <w:p w14:paraId="7CA44444" w14:textId="4893E1C6" w:rsidR="008755B7" w:rsidRPr="00005453" w:rsidRDefault="008755B7" w:rsidP="008755B7">
            <w:pPr>
              <w:jc w:val="right"/>
              <w:rPr>
                <w:sz w:val="10"/>
                <w:szCs w:val="10"/>
              </w:rPr>
            </w:pPr>
            <w:r w:rsidRPr="00005453">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44DBEFFF" w14:textId="5142D4DC" w:rsidR="008755B7" w:rsidRPr="00005453" w:rsidRDefault="008755B7" w:rsidP="008755B7">
            <w:pPr>
              <w:jc w:val="right"/>
              <w:rPr>
                <w:sz w:val="10"/>
                <w:szCs w:val="10"/>
              </w:rPr>
            </w:pPr>
            <w:r w:rsidRPr="00005453">
              <w:rPr>
                <w:sz w:val="10"/>
                <w:szCs w:val="10"/>
              </w:rPr>
              <w:t>(1,400,000)</w:t>
            </w:r>
          </w:p>
        </w:tc>
      </w:tr>
      <w:tr w:rsidR="008755B7" w:rsidRPr="00005453" w14:paraId="56E9FF65"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04AA6B8" w14:textId="77777777" w:rsidR="008755B7" w:rsidRPr="00005453" w:rsidRDefault="008755B7" w:rsidP="008755B7">
            <w:pPr>
              <w:rPr>
                <w:color w:val="000000"/>
                <w:sz w:val="10"/>
                <w:szCs w:val="10"/>
                <w:lang w:eastAsia="tr-TR"/>
              </w:rPr>
            </w:pPr>
            <w:r w:rsidRPr="00005453">
              <w:rPr>
                <w:color w:val="000000"/>
                <w:sz w:val="10"/>
                <w:szCs w:val="10"/>
                <w:lang w:val="en-US" w:eastAsia="tr-TR"/>
              </w:rPr>
              <w:t>11.2</w:t>
            </w:r>
          </w:p>
        </w:tc>
        <w:tc>
          <w:tcPr>
            <w:tcW w:w="2183" w:type="dxa"/>
            <w:tcBorders>
              <w:top w:val="nil"/>
              <w:left w:val="single" w:sz="4" w:space="0" w:color="auto"/>
              <w:bottom w:val="nil"/>
              <w:right w:val="single" w:sz="4" w:space="0" w:color="auto"/>
            </w:tcBorders>
            <w:shd w:val="clear" w:color="auto" w:fill="auto"/>
            <w:noWrap/>
            <w:vAlign w:val="center"/>
            <w:hideMark/>
          </w:tcPr>
          <w:p w14:paraId="5AEABC08" w14:textId="77777777" w:rsidR="008755B7" w:rsidRPr="00005453" w:rsidRDefault="008755B7" w:rsidP="008755B7">
            <w:pPr>
              <w:rPr>
                <w:color w:val="000000"/>
                <w:sz w:val="10"/>
                <w:szCs w:val="10"/>
                <w:lang w:eastAsia="tr-TR"/>
              </w:rPr>
            </w:pPr>
            <w:r w:rsidRPr="00005453">
              <w:rPr>
                <w:color w:val="000000"/>
                <w:sz w:val="10"/>
                <w:szCs w:val="10"/>
                <w:lang w:val="en-US" w:eastAsia="tr-TR"/>
              </w:rPr>
              <w:t>Yedeklere Aktarılan Tutarlar</w:t>
            </w:r>
          </w:p>
        </w:tc>
        <w:tc>
          <w:tcPr>
            <w:tcW w:w="515" w:type="dxa"/>
            <w:gridSpan w:val="2"/>
            <w:tcBorders>
              <w:top w:val="nil"/>
              <w:left w:val="single" w:sz="4" w:space="0" w:color="auto"/>
              <w:bottom w:val="nil"/>
              <w:right w:val="single" w:sz="4" w:space="0" w:color="auto"/>
            </w:tcBorders>
            <w:shd w:val="clear" w:color="auto" w:fill="auto"/>
            <w:vAlign w:val="center"/>
            <w:hideMark/>
          </w:tcPr>
          <w:p w14:paraId="7A3C5AEA" w14:textId="77777777" w:rsidR="008755B7" w:rsidRPr="00005453" w:rsidRDefault="008755B7" w:rsidP="008755B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878C54E" w14:textId="17D16B84" w:rsidR="008755B7" w:rsidRPr="00005453" w:rsidRDefault="008755B7" w:rsidP="008755B7">
            <w:pPr>
              <w:jc w:val="right"/>
              <w:rPr>
                <w:sz w:val="10"/>
                <w:szCs w:val="10"/>
              </w:rPr>
            </w:pPr>
            <w:r w:rsidRPr="00005453">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4C363CBE" w14:textId="6C86C068"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7C52528" w14:textId="22230E9C"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412F4B18" w14:textId="751B4D4A" w:rsidR="008755B7" w:rsidRPr="00005453" w:rsidRDefault="008755B7" w:rsidP="008755B7">
            <w:pPr>
              <w:jc w:val="right"/>
              <w:rPr>
                <w:sz w:val="10"/>
                <w:szCs w:val="10"/>
              </w:rPr>
            </w:pPr>
            <w:r w:rsidRPr="00005453">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E60B035" w14:textId="12F05443" w:rsidR="008755B7" w:rsidRPr="00005453" w:rsidRDefault="008755B7" w:rsidP="008755B7">
            <w:pPr>
              <w:jc w:val="right"/>
              <w:rPr>
                <w:sz w:val="10"/>
                <w:szCs w:val="10"/>
              </w:rPr>
            </w:pPr>
            <w:r w:rsidRPr="00005453">
              <w:rPr>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6E54CEF2" w14:textId="4DE1C1B0" w:rsidR="008755B7" w:rsidRPr="00005453" w:rsidRDefault="008755B7" w:rsidP="008755B7">
            <w:pPr>
              <w:jc w:val="right"/>
              <w:rPr>
                <w:sz w:val="10"/>
                <w:szCs w:val="10"/>
              </w:rPr>
            </w:pPr>
            <w:r w:rsidRPr="00005453">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4694171F" w14:textId="1D6CAD25" w:rsidR="008755B7" w:rsidRPr="00005453" w:rsidRDefault="008755B7" w:rsidP="008755B7">
            <w:pPr>
              <w:jc w:val="right"/>
              <w:rPr>
                <w:sz w:val="10"/>
                <w:szCs w:val="10"/>
              </w:rPr>
            </w:pPr>
            <w:r w:rsidRPr="00005453">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3A47C7D2" w14:textId="130DD623"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EC988AC" w14:textId="708B630A" w:rsidR="008755B7" w:rsidRPr="00005453" w:rsidRDefault="008755B7" w:rsidP="008755B7">
            <w:pPr>
              <w:jc w:val="right"/>
              <w:rPr>
                <w:sz w:val="10"/>
                <w:szCs w:val="10"/>
              </w:rPr>
            </w:pPr>
            <w:r w:rsidRPr="00005453">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448D0FF7" w14:textId="3876C5A1" w:rsidR="008755B7" w:rsidRPr="00005453" w:rsidRDefault="008755B7" w:rsidP="008755B7">
            <w:pPr>
              <w:jc w:val="right"/>
              <w:rPr>
                <w:sz w:val="10"/>
                <w:szCs w:val="10"/>
              </w:rPr>
            </w:pPr>
            <w:r w:rsidRPr="00005453">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72AA5CB5" w14:textId="7214212E" w:rsidR="008755B7" w:rsidRPr="00005453" w:rsidRDefault="008755B7" w:rsidP="008755B7">
            <w:pPr>
              <w:jc w:val="right"/>
              <w:rPr>
                <w:sz w:val="10"/>
                <w:szCs w:val="10"/>
              </w:rPr>
            </w:pPr>
            <w:r w:rsidRPr="00005453">
              <w:rPr>
                <w:sz w:val="10"/>
                <w:szCs w:val="10"/>
              </w:rPr>
              <w:t>12,643,447</w:t>
            </w:r>
          </w:p>
        </w:tc>
        <w:tc>
          <w:tcPr>
            <w:tcW w:w="1022" w:type="dxa"/>
            <w:tcBorders>
              <w:top w:val="nil"/>
              <w:left w:val="single" w:sz="4" w:space="0" w:color="auto"/>
              <w:bottom w:val="nil"/>
              <w:right w:val="single" w:sz="4" w:space="0" w:color="auto"/>
            </w:tcBorders>
            <w:shd w:val="clear" w:color="auto" w:fill="auto"/>
            <w:vAlign w:val="center"/>
            <w:hideMark/>
          </w:tcPr>
          <w:p w14:paraId="0CB36DC3" w14:textId="70029B7B" w:rsidR="008755B7" w:rsidRPr="00005453" w:rsidRDefault="008755B7" w:rsidP="008755B7">
            <w:pPr>
              <w:jc w:val="right"/>
              <w:rPr>
                <w:sz w:val="10"/>
                <w:szCs w:val="10"/>
              </w:rPr>
            </w:pPr>
            <w:r w:rsidRPr="00005453">
              <w:rPr>
                <w:sz w:val="10"/>
                <w:szCs w:val="10"/>
              </w:rPr>
              <w:t>(12,643,447)</w:t>
            </w:r>
          </w:p>
        </w:tc>
        <w:tc>
          <w:tcPr>
            <w:tcW w:w="760" w:type="dxa"/>
            <w:tcBorders>
              <w:top w:val="nil"/>
              <w:left w:val="single" w:sz="4" w:space="0" w:color="auto"/>
              <w:bottom w:val="nil"/>
              <w:right w:val="single" w:sz="4" w:space="0" w:color="auto"/>
            </w:tcBorders>
            <w:shd w:val="clear" w:color="auto" w:fill="auto"/>
            <w:vAlign w:val="center"/>
            <w:hideMark/>
          </w:tcPr>
          <w:p w14:paraId="5A869BCB" w14:textId="23E419BA"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9139F4C" w14:textId="3E609589" w:rsidR="008755B7" w:rsidRPr="00005453" w:rsidRDefault="008755B7" w:rsidP="008755B7">
            <w:pPr>
              <w:jc w:val="right"/>
              <w:rPr>
                <w:sz w:val="10"/>
                <w:szCs w:val="10"/>
              </w:rPr>
            </w:pPr>
            <w:r w:rsidRPr="00005453">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00D31DAD" w14:textId="5BCE6B56" w:rsidR="008755B7" w:rsidRPr="00005453" w:rsidRDefault="008755B7" w:rsidP="008755B7">
            <w:pPr>
              <w:jc w:val="right"/>
              <w:rPr>
                <w:sz w:val="10"/>
                <w:szCs w:val="10"/>
              </w:rPr>
            </w:pPr>
            <w:r w:rsidRPr="00005453">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3E261B16" w14:textId="1488A34E" w:rsidR="008755B7" w:rsidRPr="00005453" w:rsidRDefault="008755B7" w:rsidP="008755B7">
            <w:pPr>
              <w:jc w:val="right"/>
              <w:rPr>
                <w:sz w:val="10"/>
                <w:szCs w:val="10"/>
              </w:rPr>
            </w:pPr>
            <w:r w:rsidRPr="00005453">
              <w:rPr>
                <w:sz w:val="10"/>
                <w:szCs w:val="10"/>
              </w:rPr>
              <w:t>-</w:t>
            </w:r>
          </w:p>
        </w:tc>
      </w:tr>
      <w:tr w:rsidR="008755B7" w:rsidRPr="00005453" w14:paraId="6175EC74"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69F7BA47" w14:textId="77777777" w:rsidR="008755B7" w:rsidRPr="00005453" w:rsidRDefault="008755B7" w:rsidP="008755B7">
            <w:pPr>
              <w:rPr>
                <w:color w:val="000000"/>
                <w:sz w:val="10"/>
                <w:szCs w:val="10"/>
                <w:lang w:eastAsia="tr-TR"/>
              </w:rPr>
            </w:pPr>
            <w:r w:rsidRPr="00005453">
              <w:rPr>
                <w:color w:val="000000"/>
                <w:sz w:val="10"/>
                <w:szCs w:val="10"/>
                <w:lang w:val="en-US" w:eastAsia="tr-TR"/>
              </w:rPr>
              <w:t>11.3</w:t>
            </w:r>
          </w:p>
        </w:tc>
        <w:tc>
          <w:tcPr>
            <w:tcW w:w="2183" w:type="dxa"/>
            <w:tcBorders>
              <w:top w:val="nil"/>
              <w:left w:val="single" w:sz="4" w:space="0" w:color="auto"/>
              <w:bottom w:val="nil"/>
              <w:right w:val="single" w:sz="4" w:space="0" w:color="auto"/>
            </w:tcBorders>
            <w:shd w:val="clear" w:color="auto" w:fill="auto"/>
            <w:noWrap/>
            <w:vAlign w:val="center"/>
            <w:hideMark/>
          </w:tcPr>
          <w:p w14:paraId="5FB227E8" w14:textId="77777777" w:rsidR="008755B7" w:rsidRPr="00005453" w:rsidRDefault="008755B7" w:rsidP="008755B7">
            <w:pPr>
              <w:rPr>
                <w:color w:val="000000"/>
                <w:sz w:val="10"/>
                <w:szCs w:val="10"/>
                <w:lang w:eastAsia="tr-TR"/>
              </w:rPr>
            </w:pPr>
            <w:r w:rsidRPr="00005453">
              <w:rPr>
                <w:color w:val="000000"/>
                <w:sz w:val="10"/>
                <w:szCs w:val="10"/>
                <w:lang w:val="en-US" w:eastAsia="tr-TR"/>
              </w:rPr>
              <w:t>Diğer</w:t>
            </w:r>
          </w:p>
        </w:tc>
        <w:tc>
          <w:tcPr>
            <w:tcW w:w="515" w:type="dxa"/>
            <w:gridSpan w:val="2"/>
            <w:tcBorders>
              <w:top w:val="nil"/>
              <w:left w:val="single" w:sz="4" w:space="0" w:color="auto"/>
              <w:bottom w:val="nil"/>
              <w:right w:val="single" w:sz="4" w:space="0" w:color="auto"/>
            </w:tcBorders>
            <w:shd w:val="clear" w:color="auto" w:fill="auto"/>
            <w:vAlign w:val="center"/>
            <w:hideMark/>
          </w:tcPr>
          <w:p w14:paraId="50B1E19F" w14:textId="77777777" w:rsidR="008755B7" w:rsidRPr="00005453" w:rsidRDefault="008755B7" w:rsidP="008755B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32971A5" w14:textId="2E47B003" w:rsidR="008755B7" w:rsidRPr="00005453" w:rsidRDefault="008755B7" w:rsidP="008755B7">
            <w:pPr>
              <w:jc w:val="right"/>
              <w:rPr>
                <w:sz w:val="10"/>
                <w:szCs w:val="10"/>
              </w:rPr>
            </w:pPr>
            <w:r w:rsidRPr="00005453">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77F99B75" w14:textId="7969E071"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DCDD383" w14:textId="05FF7635" w:rsidR="008755B7" w:rsidRPr="00005453" w:rsidRDefault="008755B7" w:rsidP="008755B7">
            <w:pPr>
              <w:jc w:val="right"/>
              <w:rPr>
                <w:sz w:val="10"/>
                <w:szCs w:val="10"/>
              </w:rPr>
            </w:pPr>
            <w:r w:rsidRPr="00005453">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C3813BF" w14:textId="5C1F4CB1" w:rsidR="008755B7" w:rsidRPr="00005453" w:rsidRDefault="008755B7" w:rsidP="008755B7">
            <w:pPr>
              <w:jc w:val="right"/>
              <w:rPr>
                <w:sz w:val="10"/>
                <w:szCs w:val="10"/>
              </w:rPr>
            </w:pPr>
            <w:r w:rsidRPr="00005453">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E5A40FB" w14:textId="73C4C8F4" w:rsidR="008755B7" w:rsidRPr="00005453" w:rsidRDefault="008755B7" w:rsidP="008755B7">
            <w:pPr>
              <w:jc w:val="right"/>
              <w:rPr>
                <w:sz w:val="10"/>
                <w:szCs w:val="10"/>
              </w:rPr>
            </w:pPr>
            <w:r w:rsidRPr="00005453">
              <w:rPr>
                <w:sz w:val="10"/>
                <w:szCs w:val="10"/>
              </w:rPr>
              <w:t>-</w:t>
            </w:r>
          </w:p>
        </w:tc>
        <w:tc>
          <w:tcPr>
            <w:tcW w:w="610" w:type="dxa"/>
            <w:tcBorders>
              <w:top w:val="nil"/>
              <w:left w:val="single" w:sz="4" w:space="0" w:color="auto"/>
              <w:bottom w:val="nil"/>
              <w:right w:val="single" w:sz="4" w:space="0" w:color="auto"/>
            </w:tcBorders>
            <w:shd w:val="clear" w:color="auto" w:fill="auto"/>
            <w:vAlign w:val="center"/>
            <w:hideMark/>
          </w:tcPr>
          <w:p w14:paraId="577BB8AC" w14:textId="3D8C3EA5" w:rsidR="008755B7" w:rsidRPr="00005453" w:rsidRDefault="008755B7" w:rsidP="008755B7">
            <w:pPr>
              <w:jc w:val="right"/>
              <w:rPr>
                <w:sz w:val="10"/>
                <w:szCs w:val="10"/>
              </w:rPr>
            </w:pPr>
            <w:r w:rsidRPr="00005453">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40687002" w14:textId="2BCAB0B7" w:rsidR="008755B7" w:rsidRPr="00005453" w:rsidRDefault="008755B7" w:rsidP="008755B7">
            <w:pPr>
              <w:jc w:val="right"/>
              <w:rPr>
                <w:sz w:val="10"/>
                <w:szCs w:val="10"/>
              </w:rPr>
            </w:pPr>
            <w:r w:rsidRPr="00005453">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19DC82F" w14:textId="4855636B" w:rsidR="008755B7" w:rsidRPr="00005453" w:rsidRDefault="008755B7" w:rsidP="008755B7">
            <w:pPr>
              <w:jc w:val="right"/>
              <w:rPr>
                <w:sz w:val="10"/>
                <w:szCs w:val="10"/>
              </w:rPr>
            </w:pPr>
            <w:r w:rsidRPr="00005453">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D15632E" w14:textId="71D23B96" w:rsidR="008755B7" w:rsidRPr="00005453" w:rsidRDefault="008755B7" w:rsidP="008755B7">
            <w:pPr>
              <w:jc w:val="right"/>
              <w:rPr>
                <w:sz w:val="10"/>
                <w:szCs w:val="10"/>
              </w:rPr>
            </w:pPr>
            <w:r w:rsidRPr="00005453">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588AA6B7" w14:textId="520E5746" w:rsidR="008755B7" w:rsidRPr="00005453" w:rsidRDefault="008755B7" w:rsidP="008755B7">
            <w:pPr>
              <w:jc w:val="right"/>
              <w:rPr>
                <w:sz w:val="10"/>
                <w:szCs w:val="10"/>
              </w:rPr>
            </w:pPr>
            <w:r w:rsidRPr="00005453">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A2A9900" w14:textId="54BFC0D5" w:rsidR="008755B7" w:rsidRPr="00005453" w:rsidRDefault="008755B7" w:rsidP="008755B7">
            <w:pPr>
              <w:jc w:val="right"/>
              <w:rPr>
                <w:sz w:val="10"/>
                <w:szCs w:val="10"/>
              </w:rPr>
            </w:pPr>
            <w:r w:rsidRPr="00005453">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2F3C8758" w14:textId="7EE6B8D8" w:rsidR="008755B7" w:rsidRPr="00005453" w:rsidRDefault="008755B7" w:rsidP="008755B7">
            <w:pPr>
              <w:jc w:val="right"/>
              <w:rPr>
                <w:sz w:val="10"/>
                <w:szCs w:val="10"/>
              </w:rPr>
            </w:pPr>
            <w:r w:rsidRPr="00005453">
              <w:rPr>
                <w:sz w:val="10"/>
                <w:szCs w:val="10"/>
              </w:rPr>
              <w:t>14,043,447</w:t>
            </w:r>
          </w:p>
        </w:tc>
        <w:tc>
          <w:tcPr>
            <w:tcW w:w="760" w:type="dxa"/>
            <w:tcBorders>
              <w:top w:val="nil"/>
              <w:left w:val="single" w:sz="4" w:space="0" w:color="auto"/>
              <w:bottom w:val="nil"/>
              <w:right w:val="single" w:sz="4" w:space="0" w:color="auto"/>
            </w:tcBorders>
            <w:shd w:val="clear" w:color="auto" w:fill="auto"/>
            <w:vAlign w:val="center"/>
            <w:hideMark/>
          </w:tcPr>
          <w:p w14:paraId="4020F57D" w14:textId="75806E3A" w:rsidR="008755B7" w:rsidRPr="00005453" w:rsidRDefault="008755B7" w:rsidP="008755B7">
            <w:pPr>
              <w:jc w:val="right"/>
              <w:rPr>
                <w:sz w:val="10"/>
                <w:szCs w:val="10"/>
              </w:rPr>
            </w:pPr>
            <w:r w:rsidRPr="00005453">
              <w:rPr>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4B7690EE" w14:textId="50986B2D" w:rsidR="008755B7" w:rsidRPr="00005453" w:rsidRDefault="008755B7" w:rsidP="008755B7">
            <w:pPr>
              <w:jc w:val="right"/>
              <w:rPr>
                <w:sz w:val="10"/>
                <w:szCs w:val="10"/>
              </w:rPr>
            </w:pPr>
            <w:r w:rsidRPr="00005453">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1EA2D01B" w14:textId="7BC0F160" w:rsidR="008755B7" w:rsidRPr="00005453" w:rsidRDefault="008755B7" w:rsidP="008755B7">
            <w:pPr>
              <w:jc w:val="right"/>
              <w:rPr>
                <w:sz w:val="10"/>
                <w:szCs w:val="10"/>
              </w:rPr>
            </w:pPr>
            <w:r w:rsidRPr="00005453">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671666E2" w14:textId="70167867" w:rsidR="008755B7" w:rsidRPr="00005453" w:rsidRDefault="008755B7" w:rsidP="008755B7">
            <w:pPr>
              <w:jc w:val="right"/>
              <w:rPr>
                <w:sz w:val="10"/>
                <w:szCs w:val="10"/>
              </w:rPr>
            </w:pPr>
            <w:r w:rsidRPr="00005453">
              <w:rPr>
                <w:sz w:val="10"/>
                <w:szCs w:val="10"/>
              </w:rPr>
              <w:t>-</w:t>
            </w:r>
          </w:p>
        </w:tc>
      </w:tr>
      <w:tr w:rsidR="00346B96" w:rsidRPr="00005453" w14:paraId="58F5D89D" w14:textId="77777777" w:rsidTr="00E563BC">
        <w:trPr>
          <w:trHeight w:val="1"/>
        </w:trPr>
        <w:tc>
          <w:tcPr>
            <w:tcW w:w="410" w:type="dxa"/>
            <w:tcBorders>
              <w:top w:val="nil"/>
              <w:left w:val="single" w:sz="4" w:space="0" w:color="auto"/>
              <w:bottom w:val="single" w:sz="4" w:space="0" w:color="auto"/>
              <w:right w:val="single" w:sz="4" w:space="0" w:color="auto"/>
            </w:tcBorders>
            <w:shd w:val="clear" w:color="auto" w:fill="auto"/>
            <w:noWrap/>
            <w:vAlign w:val="bottom"/>
            <w:hideMark/>
          </w:tcPr>
          <w:p w14:paraId="03FCFDC1" w14:textId="77777777" w:rsidR="00346B96" w:rsidRPr="00005453" w:rsidRDefault="00346B96" w:rsidP="0068420B">
            <w:pPr>
              <w:rPr>
                <w:color w:val="000000"/>
                <w:sz w:val="10"/>
                <w:szCs w:val="10"/>
                <w:lang w:eastAsia="tr-TR"/>
              </w:rPr>
            </w:pPr>
            <w:r w:rsidRPr="00005453">
              <w:rPr>
                <w:color w:val="000000"/>
                <w:sz w:val="10"/>
                <w:szCs w:val="10"/>
                <w:lang w:eastAsia="tr-TR"/>
              </w:rPr>
              <w:t> </w:t>
            </w:r>
          </w:p>
        </w:tc>
        <w:tc>
          <w:tcPr>
            <w:tcW w:w="2183" w:type="dxa"/>
            <w:tcBorders>
              <w:top w:val="nil"/>
              <w:left w:val="single" w:sz="4" w:space="0" w:color="auto"/>
              <w:bottom w:val="single" w:sz="4" w:space="0" w:color="auto"/>
              <w:right w:val="single" w:sz="4" w:space="0" w:color="auto"/>
            </w:tcBorders>
            <w:shd w:val="clear" w:color="auto" w:fill="auto"/>
            <w:noWrap/>
            <w:vAlign w:val="bottom"/>
            <w:hideMark/>
          </w:tcPr>
          <w:p w14:paraId="1B9F7FE6" w14:textId="77777777" w:rsidR="00346B96" w:rsidRPr="00005453" w:rsidRDefault="00346B96" w:rsidP="0068420B">
            <w:pPr>
              <w:rPr>
                <w:color w:val="000000"/>
                <w:sz w:val="10"/>
                <w:szCs w:val="10"/>
                <w:lang w:eastAsia="tr-TR"/>
              </w:rPr>
            </w:pPr>
            <w:r w:rsidRPr="00005453">
              <w:rPr>
                <w:color w:val="000000"/>
                <w:sz w:val="10"/>
                <w:szCs w:val="10"/>
                <w:lang w:eastAsia="tr-TR"/>
              </w:rPr>
              <w:t> </w:t>
            </w:r>
          </w:p>
        </w:tc>
        <w:tc>
          <w:tcPr>
            <w:tcW w:w="515" w:type="dxa"/>
            <w:gridSpan w:val="2"/>
            <w:tcBorders>
              <w:top w:val="nil"/>
              <w:left w:val="single" w:sz="4" w:space="0" w:color="auto"/>
              <w:bottom w:val="single" w:sz="4" w:space="0" w:color="auto"/>
              <w:right w:val="single" w:sz="4" w:space="0" w:color="auto"/>
            </w:tcBorders>
            <w:shd w:val="clear" w:color="auto" w:fill="auto"/>
            <w:vAlign w:val="center"/>
            <w:hideMark/>
          </w:tcPr>
          <w:p w14:paraId="50FA6987" w14:textId="77777777" w:rsidR="00346B96" w:rsidRPr="00005453" w:rsidRDefault="00346B96" w:rsidP="0068420B">
            <w:pPr>
              <w:jc w:val="right"/>
              <w:rPr>
                <w:color w:val="000000"/>
                <w:sz w:val="10"/>
                <w:szCs w:val="10"/>
                <w:lang w:eastAsia="tr-TR"/>
              </w:rPr>
            </w:pPr>
            <w:r w:rsidRPr="00005453">
              <w:rPr>
                <w:color w:val="000000"/>
                <w:sz w:val="10"/>
                <w:szCs w:val="10"/>
                <w:lang w:val="en-US" w:eastAsia="tr-TR"/>
              </w:rPr>
              <w:t> </w:t>
            </w:r>
          </w:p>
        </w:tc>
        <w:tc>
          <w:tcPr>
            <w:tcW w:w="703" w:type="dxa"/>
            <w:tcBorders>
              <w:top w:val="nil"/>
              <w:left w:val="single" w:sz="4" w:space="0" w:color="auto"/>
              <w:bottom w:val="single" w:sz="4" w:space="0" w:color="auto"/>
              <w:right w:val="single" w:sz="4" w:space="0" w:color="auto"/>
            </w:tcBorders>
            <w:shd w:val="clear" w:color="auto" w:fill="auto"/>
            <w:vAlign w:val="center"/>
            <w:hideMark/>
          </w:tcPr>
          <w:p w14:paraId="31AF4B1E" w14:textId="77777777" w:rsidR="00346B96" w:rsidRPr="00005453" w:rsidRDefault="00346B96" w:rsidP="0068420B">
            <w:pPr>
              <w:jc w:val="right"/>
              <w:rPr>
                <w:sz w:val="10"/>
                <w:szCs w:val="10"/>
              </w:rPr>
            </w:pP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2CE18708" w14:textId="77777777" w:rsidR="00346B96" w:rsidRPr="00005453" w:rsidRDefault="00346B96" w:rsidP="0068420B">
            <w:pPr>
              <w:jc w:val="right"/>
              <w:rPr>
                <w:sz w:val="10"/>
                <w:szCs w:val="10"/>
              </w:rPr>
            </w:pPr>
          </w:p>
        </w:tc>
        <w:tc>
          <w:tcPr>
            <w:tcW w:w="703" w:type="dxa"/>
            <w:tcBorders>
              <w:top w:val="nil"/>
              <w:left w:val="single" w:sz="4" w:space="0" w:color="auto"/>
              <w:bottom w:val="single" w:sz="4" w:space="0" w:color="auto"/>
              <w:right w:val="single" w:sz="4" w:space="0" w:color="auto"/>
            </w:tcBorders>
            <w:shd w:val="clear" w:color="auto" w:fill="auto"/>
            <w:vAlign w:val="center"/>
            <w:hideMark/>
          </w:tcPr>
          <w:p w14:paraId="6305FC2B" w14:textId="77777777" w:rsidR="00346B96" w:rsidRPr="00005453" w:rsidRDefault="00346B96" w:rsidP="0068420B">
            <w:pPr>
              <w:jc w:val="right"/>
              <w:rPr>
                <w:sz w:val="10"/>
                <w:szCs w:val="10"/>
              </w:rPr>
            </w:pP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77A7FBA6" w14:textId="77777777" w:rsidR="00346B96" w:rsidRPr="00005453" w:rsidRDefault="00346B96" w:rsidP="0068420B">
            <w:pPr>
              <w:jc w:val="right"/>
              <w:rPr>
                <w:sz w:val="10"/>
                <w:szCs w:val="10"/>
              </w:rPr>
            </w:pPr>
          </w:p>
        </w:tc>
        <w:tc>
          <w:tcPr>
            <w:tcW w:w="565" w:type="dxa"/>
            <w:tcBorders>
              <w:top w:val="nil"/>
              <w:left w:val="single" w:sz="4" w:space="0" w:color="auto"/>
              <w:bottom w:val="single" w:sz="4" w:space="0" w:color="auto"/>
              <w:right w:val="single" w:sz="4" w:space="0" w:color="auto"/>
            </w:tcBorders>
            <w:shd w:val="clear" w:color="auto" w:fill="auto"/>
            <w:vAlign w:val="center"/>
            <w:hideMark/>
          </w:tcPr>
          <w:p w14:paraId="026DFD14" w14:textId="77777777" w:rsidR="00346B96" w:rsidRPr="00005453" w:rsidRDefault="00346B96" w:rsidP="0068420B">
            <w:pPr>
              <w:jc w:val="right"/>
              <w:rPr>
                <w:sz w:val="10"/>
                <w:szCs w:val="10"/>
              </w:rPr>
            </w:pPr>
          </w:p>
        </w:tc>
        <w:tc>
          <w:tcPr>
            <w:tcW w:w="610" w:type="dxa"/>
            <w:tcBorders>
              <w:top w:val="nil"/>
              <w:left w:val="single" w:sz="4" w:space="0" w:color="auto"/>
              <w:bottom w:val="single" w:sz="4" w:space="0" w:color="auto"/>
              <w:right w:val="single" w:sz="4" w:space="0" w:color="auto"/>
            </w:tcBorders>
            <w:shd w:val="clear" w:color="auto" w:fill="auto"/>
            <w:vAlign w:val="center"/>
            <w:hideMark/>
          </w:tcPr>
          <w:p w14:paraId="50929FC9" w14:textId="77777777" w:rsidR="00346B96" w:rsidRPr="00005453" w:rsidRDefault="00346B96" w:rsidP="0068420B">
            <w:pPr>
              <w:jc w:val="right"/>
              <w:rPr>
                <w:sz w:val="10"/>
                <w:szCs w:val="10"/>
              </w:rPr>
            </w:pPr>
          </w:p>
        </w:tc>
        <w:tc>
          <w:tcPr>
            <w:tcW w:w="568" w:type="dxa"/>
            <w:tcBorders>
              <w:top w:val="nil"/>
              <w:left w:val="single" w:sz="4" w:space="0" w:color="auto"/>
              <w:bottom w:val="single" w:sz="4" w:space="0" w:color="auto"/>
              <w:right w:val="single" w:sz="4" w:space="0" w:color="auto"/>
            </w:tcBorders>
            <w:shd w:val="clear" w:color="auto" w:fill="auto"/>
            <w:vAlign w:val="center"/>
            <w:hideMark/>
          </w:tcPr>
          <w:p w14:paraId="2408D2B7" w14:textId="77777777" w:rsidR="00346B96" w:rsidRPr="00005453" w:rsidRDefault="00346B96" w:rsidP="0068420B">
            <w:pPr>
              <w:jc w:val="right"/>
              <w:rPr>
                <w:sz w:val="10"/>
                <w:szCs w:val="10"/>
              </w:rPr>
            </w:pPr>
          </w:p>
        </w:tc>
        <w:tc>
          <w:tcPr>
            <w:tcW w:w="424" w:type="dxa"/>
            <w:tcBorders>
              <w:top w:val="nil"/>
              <w:left w:val="single" w:sz="4" w:space="0" w:color="auto"/>
              <w:bottom w:val="single" w:sz="4" w:space="0" w:color="auto"/>
              <w:right w:val="single" w:sz="4" w:space="0" w:color="auto"/>
            </w:tcBorders>
            <w:shd w:val="clear" w:color="auto" w:fill="auto"/>
            <w:vAlign w:val="center"/>
            <w:hideMark/>
          </w:tcPr>
          <w:p w14:paraId="01888828" w14:textId="77777777" w:rsidR="00346B96" w:rsidRPr="00005453" w:rsidRDefault="00346B96" w:rsidP="0068420B">
            <w:pPr>
              <w:jc w:val="right"/>
              <w:rPr>
                <w:sz w:val="10"/>
                <w:szCs w:val="10"/>
              </w:rPr>
            </w:pPr>
          </w:p>
        </w:tc>
        <w:tc>
          <w:tcPr>
            <w:tcW w:w="703" w:type="dxa"/>
            <w:tcBorders>
              <w:top w:val="nil"/>
              <w:left w:val="single" w:sz="4" w:space="0" w:color="auto"/>
              <w:bottom w:val="single" w:sz="4" w:space="0" w:color="auto"/>
              <w:right w:val="single" w:sz="4" w:space="0" w:color="auto"/>
            </w:tcBorders>
            <w:shd w:val="clear" w:color="auto" w:fill="auto"/>
            <w:vAlign w:val="center"/>
            <w:hideMark/>
          </w:tcPr>
          <w:p w14:paraId="6DDC198E" w14:textId="77777777" w:rsidR="00346B96" w:rsidRPr="00005453" w:rsidRDefault="00346B96" w:rsidP="0068420B">
            <w:pPr>
              <w:jc w:val="right"/>
              <w:rPr>
                <w:sz w:val="10"/>
                <w:szCs w:val="10"/>
              </w:rPr>
            </w:pPr>
          </w:p>
        </w:tc>
        <w:tc>
          <w:tcPr>
            <w:tcW w:w="536" w:type="dxa"/>
            <w:tcBorders>
              <w:top w:val="nil"/>
              <w:left w:val="single" w:sz="4" w:space="0" w:color="auto"/>
              <w:bottom w:val="single" w:sz="4" w:space="0" w:color="auto"/>
              <w:right w:val="single" w:sz="4" w:space="0" w:color="auto"/>
            </w:tcBorders>
            <w:shd w:val="clear" w:color="auto" w:fill="auto"/>
            <w:vAlign w:val="center"/>
            <w:hideMark/>
          </w:tcPr>
          <w:p w14:paraId="2FCD512D" w14:textId="77777777" w:rsidR="00346B96" w:rsidRPr="00005453" w:rsidRDefault="00346B96" w:rsidP="0068420B">
            <w:pPr>
              <w:jc w:val="right"/>
              <w:rPr>
                <w:sz w:val="10"/>
                <w:szCs w:val="10"/>
              </w:rPr>
            </w:pPr>
          </w:p>
        </w:tc>
        <w:tc>
          <w:tcPr>
            <w:tcW w:w="954" w:type="dxa"/>
            <w:tcBorders>
              <w:top w:val="nil"/>
              <w:left w:val="single" w:sz="4" w:space="0" w:color="auto"/>
              <w:bottom w:val="single" w:sz="4" w:space="0" w:color="auto"/>
              <w:right w:val="single" w:sz="4" w:space="0" w:color="auto"/>
            </w:tcBorders>
            <w:shd w:val="clear" w:color="auto" w:fill="auto"/>
            <w:vAlign w:val="center"/>
            <w:hideMark/>
          </w:tcPr>
          <w:p w14:paraId="72B002A3" w14:textId="77777777" w:rsidR="00346B96" w:rsidRPr="00005453" w:rsidRDefault="00346B96" w:rsidP="0068420B">
            <w:pPr>
              <w:jc w:val="right"/>
              <w:rPr>
                <w:sz w:val="10"/>
                <w:szCs w:val="10"/>
              </w:rPr>
            </w:pPr>
          </w:p>
        </w:tc>
        <w:tc>
          <w:tcPr>
            <w:tcW w:w="1022" w:type="dxa"/>
            <w:tcBorders>
              <w:top w:val="nil"/>
              <w:left w:val="single" w:sz="4" w:space="0" w:color="auto"/>
              <w:bottom w:val="single" w:sz="4" w:space="0" w:color="auto"/>
              <w:right w:val="single" w:sz="4" w:space="0" w:color="auto"/>
            </w:tcBorders>
            <w:shd w:val="clear" w:color="auto" w:fill="auto"/>
            <w:vAlign w:val="center"/>
            <w:hideMark/>
          </w:tcPr>
          <w:p w14:paraId="65621881" w14:textId="77777777" w:rsidR="00346B96" w:rsidRPr="00005453" w:rsidRDefault="00346B96" w:rsidP="0068420B">
            <w:pPr>
              <w:jc w:val="right"/>
              <w:rPr>
                <w:sz w:val="10"/>
                <w:szCs w:val="10"/>
              </w:rPr>
            </w:pP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7F52FF46" w14:textId="77777777" w:rsidR="00346B96" w:rsidRPr="00005453" w:rsidRDefault="00346B96" w:rsidP="0068420B">
            <w:pPr>
              <w:jc w:val="right"/>
              <w:rPr>
                <w:sz w:val="10"/>
                <w:szCs w:val="10"/>
              </w:rPr>
            </w:pP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2E182EA5" w14:textId="77777777" w:rsidR="00346B96" w:rsidRPr="00005453" w:rsidRDefault="00346B96" w:rsidP="0068420B">
            <w:pPr>
              <w:jc w:val="right"/>
              <w:rPr>
                <w:sz w:val="10"/>
                <w:szCs w:val="1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70C2407D" w14:textId="77777777" w:rsidR="00346B96" w:rsidRPr="00005453" w:rsidRDefault="00346B96" w:rsidP="0068420B">
            <w:pPr>
              <w:jc w:val="right"/>
              <w:rPr>
                <w:sz w:val="10"/>
                <w:szCs w:val="10"/>
              </w:rPr>
            </w:pPr>
          </w:p>
        </w:tc>
        <w:tc>
          <w:tcPr>
            <w:tcW w:w="778" w:type="dxa"/>
            <w:tcBorders>
              <w:top w:val="nil"/>
              <w:left w:val="single" w:sz="4" w:space="0" w:color="auto"/>
              <w:bottom w:val="single" w:sz="4" w:space="0" w:color="auto"/>
              <w:right w:val="single" w:sz="4" w:space="0" w:color="auto"/>
            </w:tcBorders>
            <w:shd w:val="clear" w:color="auto" w:fill="auto"/>
            <w:vAlign w:val="center"/>
            <w:hideMark/>
          </w:tcPr>
          <w:p w14:paraId="6730DF5D" w14:textId="77777777" w:rsidR="00346B96" w:rsidRPr="00005453" w:rsidRDefault="00346B96" w:rsidP="0068420B">
            <w:pPr>
              <w:jc w:val="right"/>
              <w:rPr>
                <w:sz w:val="10"/>
                <w:szCs w:val="10"/>
              </w:rPr>
            </w:pPr>
          </w:p>
        </w:tc>
      </w:tr>
      <w:tr w:rsidR="008755B7" w:rsidRPr="00005453" w14:paraId="3C3B6C7B" w14:textId="77777777" w:rsidTr="00E563BC">
        <w:trPr>
          <w:trHeight w:val="87"/>
        </w:trPr>
        <w:tc>
          <w:tcPr>
            <w:tcW w:w="41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6A83D31A" w14:textId="77777777" w:rsidR="008755B7" w:rsidRPr="00005453" w:rsidRDefault="008755B7" w:rsidP="008755B7">
            <w:pPr>
              <w:rPr>
                <w:color w:val="000000"/>
                <w:sz w:val="10"/>
                <w:szCs w:val="10"/>
                <w:lang w:eastAsia="tr-TR"/>
              </w:rPr>
            </w:pPr>
            <w:r w:rsidRPr="00005453">
              <w:rPr>
                <w:color w:val="000000"/>
                <w:sz w:val="10"/>
                <w:szCs w:val="10"/>
                <w:lang w:eastAsia="tr-TR"/>
              </w:rPr>
              <w:t> </w:t>
            </w:r>
          </w:p>
        </w:tc>
        <w:tc>
          <w:tcPr>
            <w:tcW w:w="2183"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E468501" w14:textId="77777777" w:rsidR="008755B7" w:rsidRPr="00005453" w:rsidRDefault="008755B7" w:rsidP="008755B7">
            <w:pPr>
              <w:rPr>
                <w:b/>
                <w:bCs/>
                <w:color w:val="000000"/>
                <w:sz w:val="10"/>
                <w:szCs w:val="10"/>
                <w:lang w:eastAsia="tr-TR"/>
              </w:rPr>
            </w:pPr>
            <w:r w:rsidRPr="00005453">
              <w:rPr>
                <w:b/>
                <w:bCs/>
                <w:color w:val="000000"/>
                <w:sz w:val="10"/>
                <w:szCs w:val="10"/>
                <w:lang w:val="de-DE" w:eastAsia="tr-TR"/>
              </w:rPr>
              <w:t>Dönem Sonu Bakiyesi (III+IV+…...+X+XI)</w:t>
            </w:r>
          </w:p>
        </w:tc>
        <w:tc>
          <w:tcPr>
            <w:tcW w:w="515"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52695B2B" w14:textId="1F4070FC" w:rsidR="008755B7" w:rsidRPr="00005453" w:rsidRDefault="008755B7" w:rsidP="008755B7">
            <w:pPr>
              <w:jc w:val="center"/>
              <w:rPr>
                <w:b/>
                <w:bCs/>
                <w:color w:val="000000"/>
                <w:sz w:val="10"/>
                <w:szCs w:val="10"/>
                <w:lang w:eastAsia="tr-TR"/>
              </w:rPr>
            </w:pPr>
            <w:r w:rsidRPr="00005453">
              <w:rPr>
                <w:b/>
                <w:bCs/>
                <w:color w:val="000000"/>
                <w:sz w:val="10"/>
                <w:szCs w:val="10"/>
                <w:lang w:eastAsia="tr-TR"/>
              </w:rPr>
              <w:t>(5.2.12.)</w:t>
            </w:r>
          </w:p>
        </w:tc>
        <w:tc>
          <w:tcPr>
            <w:tcW w:w="70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EDB585D" w14:textId="08317236" w:rsidR="008755B7" w:rsidRPr="00005453" w:rsidRDefault="008755B7" w:rsidP="008755B7">
            <w:pPr>
              <w:jc w:val="right"/>
              <w:rPr>
                <w:b/>
                <w:bCs/>
                <w:sz w:val="10"/>
                <w:szCs w:val="10"/>
              </w:rPr>
            </w:pPr>
            <w:r w:rsidRPr="00005453">
              <w:rPr>
                <w:b/>
                <w:bCs/>
                <w:sz w:val="10"/>
                <w:szCs w:val="10"/>
              </w:rPr>
              <w:t>4,595,131</w:t>
            </w:r>
          </w:p>
        </w:tc>
        <w:tc>
          <w:tcPr>
            <w:tcW w:w="84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FD9B629" w14:textId="05F06911" w:rsidR="008755B7" w:rsidRPr="00005453" w:rsidRDefault="008755B7" w:rsidP="008755B7">
            <w:pPr>
              <w:jc w:val="right"/>
              <w:rPr>
                <w:b/>
                <w:bCs/>
                <w:sz w:val="10"/>
                <w:szCs w:val="10"/>
              </w:rPr>
            </w:pPr>
            <w:r w:rsidRPr="00005453">
              <w:rPr>
                <w:b/>
                <w:bCs/>
                <w:sz w:val="10"/>
                <w:szCs w:val="10"/>
              </w:rPr>
              <w:t>23,250</w:t>
            </w:r>
          </w:p>
        </w:tc>
        <w:tc>
          <w:tcPr>
            <w:tcW w:w="70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E2E1C95" w14:textId="31A1A8B8" w:rsidR="008755B7" w:rsidRPr="00005453" w:rsidRDefault="008755B7" w:rsidP="008755B7">
            <w:pPr>
              <w:jc w:val="right"/>
              <w:rPr>
                <w:b/>
                <w:bCs/>
                <w:sz w:val="10"/>
                <w:szCs w:val="10"/>
              </w:rPr>
            </w:pPr>
            <w:r w:rsidRPr="00005453">
              <w:rPr>
                <w:b/>
                <w:bCs/>
                <w:sz w:val="10"/>
                <w:szCs w:val="10"/>
              </w:rPr>
              <w:t>1,874</w:t>
            </w:r>
          </w:p>
        </w:tc>
        <w:tc>
          <w:tcPr>
            <w:tcW w:w="844"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A0B6A3A" w14:textId="21BC3048" w:rsidR="008755B7" w:rsidRPr="00005453" w:rsidRDefault="008755B7" w:rsidP="008755B7">
            <w:pPr>
              <w:jc w:val="right"/>
              <w:rPr>
                <w:b/>
                <w:bCs/>
                <w:sz w:val="10"/>
                <w:szCs w:val="10"/>
              </w:rPr>
            </w:pPr>
            <w:r w:rsidRPr="00005453">
              <w:rPr>
                <w:b/>
                <w:bCs/>
                <w:sz w:val="10"/>
                <w:szCs w:val="10"/>
              </w:rPr>
              <w:t>-</w:t>
            </w:r>
          </w:p>
        </w:tc>
        <w:tc>
          <w:tcPr>
            <w:tcW w:w="56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2F714B5" w14:textId="304CB966" w:rsidR="008755B7" w:rsidRPr="00005453" w:rsidRDefault="008755B7" w:rsidP="008755B7">
            <w:pPr>
              <w:jc w:val="right"/>
              <w:rPr>
                <w:b/>
                <w:bCs/>
                <w:sz w:val="10"/>
                <w:szCs w:val="10"/>
              </w:rPr>
            </w:pPr>
            <w:r w:rsidRPr="00005453">
              <w:rPr>
                <w:b/>
                <w:bCs/>
                <w:sz w:val="10"/>
                <w:szCs w:val="10"/>
              </w:rPr>
              <w:t>-</w:t>
            </w:r>
          </w:p>
        </w:tc>
        <w:tc>
          <w:tcPr>
            <w:tcW w:w="61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BE20ADD" w14:textId="35A267C4" w:rsidR="008755B7" w:rsidRPr="00005453" w:rsidRDefault="008755B7" w:rsidP="008755B7">
            <w:pPr>
              <w:jc w:val="right"/>
              <w:rPr>
                <w:b/>
                <w:bCs/>
                <w:sz w:val="10"/>
                <w:szCs w:val="10"/>
              </w:rPr>
            </w:pPr>
            <w:r w:rsidRPr="00005453">
              <w:rPr>
                <w:b/>
                <w:bCs/>
                <w:sz w:val="10"/>
                <w:szCs w:val="10"/>
              </w:rPr>
              <w:t>(513,980)</w:t>
            </w:r>
          </w:p>
        </w:tc>
        <w:tc>
          <w:tcPr>
            <w:tcW w:w="56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9C7B973" w14:textId="18385961" w:rsidR="008755B7" w:rsidRPr="00005453" w:rsidRDefault="008755B7" w:rsidP="008755B7">
            <w:pPr>
              <w:jc w:val="right"/>
              <w:rPr>
                <w:b/>
                <w:bCs/>
                <w:sz w:val="10"/>
                <w:szCs w:val="10"/>
              </w:rPr>
            </w:pPr>
            <w:r w:rsidRPr="00005453">
              <w:rPr>
                <w:b/>
                <w:bCs/>
                <w:sz w:val="10"/>
                <w:szCs w:val="10"/>
              </w:rPr>
              <w:t>-</w:t>
            </w:r>
          </w:p>
        </w:tc>
        <w:tc>
          <w:tcPr>
            <w:tcW w:w="424"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E22303E" w14:textId="060FD253" w:rsidR="008755B7" w:rsidRPr="00005453" w:rsidRDefault="008755B7" w:rsidP="008755B7">
            <w:pPr>
              <w:jc w:val="right"/>
              <w:rPr>
                <w:b/>
                <w:bCs/>
                <w:sz w:val="10"/>
                <w:szCs w:val="10"/>
              </w:rPr>
            </w:pPr>
            <w:r w:rsidRPr="00005453">
              <w:rPr>
                <w:b/>
                <w:bCs/>
                <w:sz w:val="10"/>
                <w:szCs w:val="10"/>
              </w:rPr>
              <w:t>-</w:t>
            </w:r>
          </w:p>
        </w:tc>
        <w:tc>
          <w:tcPr>
            <w:tcW w:w="703"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0A18E99" w14:textId="4F05331B" w:rsidR="008755B7" w:rsidRPr="00005453" w:rsidRDefault="008755B7" w:rsidP="008755B7">
            <w:pPr>
              <w:jc w:val="right"/>
              <w:rPr>
                <w:b/>
                <w:bCs/>
                <w:sz w:val="10"/>
                <w:szCs w:val="10"/>
              </w:rPr>
            </w:pPr>
            <w:r w:rsidRPr="00005453">
              <w:rPr>
                <w:b/>
                <w:bCs/>
                <w:sz w:val="10"/>
                <w:szCs w:val="10"/>
              </w:rPr>
              <w:t>(1,044,479)</w:t>
            </w:r>
          </w:p>
        </w:tc>
        <w:tc>
          <w:tcPr>
            <w:tcW w:w="53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0E82F6B" w14:textId="610E6D75" w:rsidR="008755B7" w:rsidRPr="00005453" w:rsidRDefault="008755B7" w:rsidP="008755B7">
            <w:pPr>
              <w:jc w:val="right"/>
              <w:rPr>
                <w:b/>
                <w:bCs/>
                <w:sz w:val="10"/>
                <w:szCs w:val="10"/>
              </w:rPr>
            </w:pPr>
            <w:r w:rsidRPr="00005453">
              <w:rPr>
                <w:b/>
                <w:bCs/>
                <w:sz w:val="10"/>
                <w:szCs w:val="10"/>
              </w:rPr>
              <w:t>-</w:t>
            </w:r>
          </w:p>
        </w:tc>
        <w:tc>
          <w:tcPr>
            <w:tcW w:w="954"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66FD951" w14:textId="28B24BA8" w:rsidR="008755B7" w:rsidRPr="00005453" w:rsidRDefault="008755B7" w:rsidP="008755B7">
            <w:pPr>
              <w:jc w:val="right"/>
              <w:rPr>
                <w:b/>
                <w:bCs/>
                <w:sz w:val="10"/>
                <w:szCs w:val="10"/>
              </w:rPr>
            </w:pPr>
            <w:r w:rsidRPr="00005453">
              <w:rPr>
                <w:b/>
                <w:bCs/>
                <w:sz w:val="10"/>
                <w:szCs w:val="10"/>
              </w:rPr>
              <w:t>18,253,903</w:t>
            </w:r>
          </w:p>
        </w:tc>
        <w:tc>
          <w:tcPr>
            <w:tcW w:w="1022"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BF0A9CF" w14:textId="230589D0" w:rsidR="008755B7" w:rsidRPr="00005453" w:rsidRDefault="008755B7" w:rsidP="008755B7">
            <w:pPr>
              <w:jc w:val="right"/>
              <w:rPr>
                <w:b/>
                <w:bCs/>
                <w:sz w:val="10"/>
                <w:szCs w:val="10"/>
              </w:rPr>
            </w:pPr>
            <w:r w:rsidRPr="00005453">
              <w:rPr>
                <w:b/>
                <w:bCs/>
                <w:sz w:val="10"/>
                <w:szCs w:val="10"/>
              </w:rPr>
              <w:t>60,618</w:t>
            </w:r>
          </w:p>
        </w:tc>
        <w:tc>
          <w:tcPr>
            <w:tcW w:w="7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AF1236" w14:textId="4DF412FF" w:rsidR="008755B7" w:rsidRPr="00005453" w:rsidRDefault="008755B7" w:rsidP="008755B7">
            <w:pPr>
              <w:jc w:val="right"/>
              <w:rPr>
                <w:b/>
                <w:bCs/>
                <w:sz w:val="10"/>
                <w:szCs w:val="10"/>
              </w:rPr>
            </w:pPr>
            <w:r w:rsidRPr="00005453">
              <w:rPr>
                <w:b/>
                <w:bCs/>
                <w:sz w:val="10"/>
                <w:szCs w:val="10"/>
              </w:rPr>
              <w:t>26,609,371</w:t>
            </w:r>
          </w:p>
        </w:tc>
        <w:tc>
          <w:tcPr>
            <w:tcW w:w="844"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95A7B4F" w14:textId="66201EAB" w:rsidR="008755B7" w:rsidRPr="00005453" w:rsidRDefault="008755B7" w:rsidP="008755B7">
            <w:pPr>
              <w:jc w:val="right"/>
              <w:rPr>
                <w:b/>
                <w:bCs/>
                <w:sz w:val="10"/>
                <w:szCs w:val="10"/>
              </w:rPr>
            </w:pPr>
            <w:r w:rsidRPr="00005453">
              <w:rPr>
                <w:b/>
                <w:bCs/>
                <w:sz w:val="10"/>
                <w:szCs w:val="10"/>
              </w:rPr>
              <w:t>47,985,688</w:t>
            </w:r>
          </w:p>
        </w:tc>
        <w:tc>
          <w:tcPr>
            <w:tcW w:w="702"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3F39496F" w14:textId="7ACED4DD" w:rsidR="008755B7" w:rsidRPr="00005453" w:rsidRDefault="008755B7" w:rsidP="008755B7">
            <w:pPr>
              <w:jc w:val="right"/>
              <w:rPr>
                <w:b/>
                <w:bCs/>
                <w:sz w:val="10"/>
                <w:szCs w:val="10"/>
              </w:rPr>
            </w:pPr>
            <w:r w:rsidRPr="00005453">
              <w:rPr>
                <w:b/>
                <w:bCs/>
                <w:sz w:val="10"/>
                <w:szCs w:val="10"/>
              </w:rPr>
              <w:t>-</w:t>
            </w:r>
          </w:p>
        </w:tc>
        <w:tc>
          <w:tcPr>
            <w:tcW w:w="77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13C308F5" w14:textId="1F455B43" w:rsidR="008755B7" w:rsidRPr="00005453" w:rsidRDefault="008755B7" w:rsidP="008755B7">
            <w:pPr>
              <w:jc w:val="right"/>
              <w:rPr>
                <w:b/>
                <w:bCs/>
                <w:sz w:val="10"/>
                <w:szCs w:val="10"/>
              </w:rPr>
            </w:pPr>
            <w:r w:rsidRPr="00005453">
              <w:rPr>
                <w:b/>
                <w:bCs/>
                <w:sz w:val="10"/>
                <w:szCs w:val="10"/>
              </w:rPr>
              <w:t>47,985,688</w:t>
            </w:r>
          </w:p>
        </w:tc>
      </w:tr>
      <w:tr w:rsidR="00346B96" w:rsidRPr="00005453" w14:paraId="18635CE5" w14:textId="77777777" w:rsidTr="00E563BC">
        <w:trPr>
          <w:trHeight w:val="21"/>
        </w:trPr>
        <w:tc>
          <w:tcPr>
            <w:tcW w:w="410" w:type="dxa"/>
            <w:tcBorders>
              <w:top w:val="nil"/>
              <w:left w:val="single" w:sz="4" w:space="0" w:color="auto"/>
              <w:bottom w:val="nil"/>
              <w:right w:val="single" w:sz="4" w:space="0" w:color="auto"/>
            </w:tcBorders>
            <w:shd w:val="clear" w:color="auto" w:fill="auto"/>
            <w:noWrap/>
            <w:vAlign w:val="bottom"/>
            <w:hideMark/>
          </w:tcPr>
          <w:p w14:paraId="4EBD7D7B" w14:textId="77777777" w:rsidR="00346B96" w:rsidRPr="00005453" w:rsidRDefault="00346B96" w:rsidP="0068420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bottom"/>
            <w:hideMark/>
          </w:tcPr>
          <w:p w14:paraId="5683A682" w14:textId="77777777" w:rsidR="00346B96" w:rsidRPr="00005453" w:rsidRDefault="00346B96" w:rsidP="0068420B">
            <w:pPr>
              <w:rPr>
                <w:sz w:val="10"/>
                <w:szCs w:val="10"/>
                <w:lang w:eastAsia="tr-TR"/>
              </w:rPr>
            </w:pPr>
          </w:p>
        </w:tc>
        <w:tc>
          <w:tcPr>
            <w:tcW w:w="515" w:type="dxa"/>
            <w:gridSpan w:val="2"/>
            <w:tcBorders>
              <w:top w:val="double" w:sz="6" w:space="0" w:color="auto"/>
              <w:left w:val="single" w:sz="4" w:space="0" w:color="auto"/>
              <w:bottom w:val="nil"/>
              <w:right w:val="single" w:sz="4" w:space="0" w:color="auto"/>
            </w:tcBorders>
            <w:shd w:val="clear" w:color="auto" w:fill="auto"/>
            <w:vAlign w:val="center"/>
            <w:hideMark/>
          </w:tcPr>
          <w:p w14:paraId="1397A65E" w14:textId="77777777" w:rsidR="00346B96" w:rsidRPr="00005453" w:rsidRDefault="00346B96" w:rsidP="0068420B">
            <w:pPr>
              <w:jc w:val="right"/>
              <w:rPr>
                <w:color w:val="000000"/>
                <w:sz w:val="10"/>
                <w:szCs w:val="10"/>
                <w:lang w:eastAsia="tr-TR"/>
              </w:rPr>
            </w:pPr>
            <w:r w:rsidRPr="00005453">
              <w:rPr>
                <w:color w:val="000000"/>
                <w:sz w:val="10"/>
                <w:szCs w:val="10"/>
                <w:lang w:val="en-US" w:eastAsia="tr-TR"/>
              </w:rPr>
              <w:t> </w:t>
            </w:r>
          </w:p>
        </w:tc>
        <w:tc>
          <w:tcPr>
            <w:tcW w:w="703" w:type="dxa"/>
            <w:tcBorders>
              <w:top w:val="nil"/>
              <w:left w:val="single" w:sz="4" w:space="0" w:color="auto"/>
              <w:bottom w:val="nil"/>
              <w:right w:val="single" w:sz="4" w:space="0" w:color="auto"/>
            </w:tcBorders>
            <w:shd w:val="clear" w:color="auto" w:fill="auto"/>
            <w:noWrap/>
            <w:vAlign w:val="bottom"/>
            <w:hideMark/>
          </w:tcPr>
          <w:p w14:paraId="3BD60F28" w14:textId="77777777" w:rsidR="00346B96" w:rsidRPr="00005453" w:rsidRDefault="00346B96" w:rsidP="0068420B">
            <w:pPr>
              <w:jc w:val="right"/>
              <w:rPr>
                <w:color w:val="000000"/>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1E10556A"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73A97BDA"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48014AD0" w14:textId="77777777" w:rsidR="00346B96" w:rsidRPr="00005453" w:rsidRDefault="00346B96" w:rsidP="0068420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749FE7B3" w14:textId="77777777" w:rsidR="00346B96" w:rsidRPr="00005453" w:rsidRDefault="00346B96" w:rsidP="0068420B">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vAlign w:val="bottom"/>
            <w:hideMark/>
          </w:tcPr>
          <w:p w14:paraId="3588AB93" w14:textId="77777777" w:rsidR="00346B96" w:rsidRPr="00005453" w:rsidRDefault="00346B96" w:rsidP="0068420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572AEF75" w14:textId="77777777" w:rsidR="00346B96" w:rsidRPr="00005453" w:rsidRDefault="00346B96" w:rsidP="0068420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2531392B"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C6ADC0B" w14:textId="77777777" w:rsidR="00346B96" w:rsidRPr="00005453" w:rsidRDefault="00346B96" w:rsidP="0068420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5A887F64" w14:textId="77777777" w:rsidR="00346B96" w:rsidRPr="00005453" w:rsidRDefault="00346B96" w:rsidP="0068420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418C00A9" w14:textId="77777777" w:rsidR="00346B96" w:rsidRPr="00005453" w:rsidRDefault="00346B96" w:rsidP="0068420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33022B5D" w14:textId="77777777" w:rsidR="00346B96" w:rsidRPr="00005453" w:rsidRDefault="00346B96" w:rsidP="0068420B">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vAlign w:val="bottom"/>
            <w:hideMark/>
          </w:tcPr>
          <w:p w14:paraId="75464BB3"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4D305B8" w14:textId="77777777" w:rsidR="00346B96" w:rsidRPr="00005453" w:rsidRDefault="00346B96" w:rsidP="0068420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4E8F28B4" w14:textId="77777777" w:rsidR="00346B96" w:rsidRPr="00005453" w:rsidRDefault="00346B96" w:rsidP="0068420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5195875" w14:textId="77777777" w:rsidR="00346B96" w:rsidRPr="00005453" w:rsidRDefault="00346B96" w:rsidP="0068420B">
            <w:pPr>
              <w:jc w:val="right"/>
              <w:rPr>
                <w:sz w:val="10"/>
                <w:szCs w:val="10"/>
                <w:lang w:eastAsia="tr-TR"/>
              </w:rPr>
            </w:pPr>
          </w:p>
        </w:tc>
      </w:tr>
      <w:tr w:rsidR="00346B96" w:rsidRPr="00005453" w14:paraId="13103C10"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36EF6F3F" w14:textId="77777777" w:rsidR="00346B96" w:rsidRPr="00005453" w:rsidRDefault="00346B96" w:rsidP="0068420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1A8B8441" w14:textId="77777777" w:rsidR="00346B96" w:rsidRPr="00005453" w:rsidRDefault="00346B96" w:rsidP="0068420B">
            <w:pPr>
              <w:rPr>
                <w:b/>
                <w:bCs/>
                <w:color w:val="000000"/>
                <w:sz w:val="10"/>
                <w:szCs w:val="10"/>
                <w:lang w:eastAsia="tr-TR"/>
              </w:rPr>
            </w:pPr>
            <w:r w:rsidRPr="00005453">
              <w:rPr>
                <w:b/>
                <w:bCs/>
                <w:color w:val="000000"/>
                <w:sz w:val="10"/>
                <w:szCs w:val="10"/>
                <w:lang w:val="en-US" w:eastAsia="tr-TR"/>
              </w:rPr>
              <w:t>Cari Dönem</w:t>
            </w:r>
          </w:p>
        </w:tc>
        <w:tc>
          <w:tcPr>
            <w:tcW w:w="515" w:type="dxa"/>
            <w:gridSpan w:val="2"/>
            <w:tcBorders>
              <w:top w:val="nil"/>
              <w:left w:val="single" w:sz="4" w:space="0" w:color="auto"/>
              <w:bottom w:val="nil"/>
              <w:right w:val="single" w:sz="4" w:space="0" w:color="auto"/>
            </w:tcBorders>
            <w:shd w:val="clear" w:color="auto" w:fill="auto"/>
            <w:vAlign w:val="center"/>
            <w:hideMark/>
          </w:tcPr>
          <w:p w14:paraId="755D6636" w14:textId="77777777" w:rsidR="00346B96" w:rsidRPr="00005453" w:rsidRDefault="00346B96" w:rsidP="0068420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B271317" w14:textId="77777777" w:rsidR="00346B96" w:rsidRPr="00005453" w:rsidRDefault="00346B96" w:rsidP="0068420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45141B5E"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F6ABFF6"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D531FE7" w14:textId="77777777" w:rsidR="00346B96" w:rsidRPr="00005453" w:rsidRDefault="00346B96" w:rsidP="0068420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68FBAB18" w14:textId="77777777" w:rsidR="00346B96" w:rsidRPr="00005453" w:rsidRDefault="00346B96" w:rsidP="0068420B">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vAlign w:val="bottom"/>
            <w:hideMark/>
          </w:tcPr>
          <w:p w14:paraId="19DFB12E" w14:textId="77777777" w:rsidR="00346B96" w:rsidRPr="00005453" w:rsidRDefault="00346B96" w:rsidP="0068420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359CF60C" w14:textId="77777777" w:rsidR="00346B96" w:rsidRPr="00005453" w:rsidRDefault="00346B96" w:rsidP="0068420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6197F702"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DEC00F7" w14:textId="77777777" w:rsidR="00346B96" w:rsidRPr="00005453" w:rsidRDefault="00346B96" w:rsidP="0068420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01EDB32A" w14:textId="77777777" w:rsidR="00346B96" w:rsidRPr="00005453" w:rsidRDefault="00346B96" w:rsidP="0068420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16FF04EA" w14:textId="77777777" w:rsidR="00346B96" w:rsidRPr="00005453" w:rsidRDefault="00346B96" w:rsidP="0068420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506C3065" w14:textId="77777777" w:rsidR="00346B96" w:rsidRPr="00005453" w:rsidRDefault="00346B96" w:rsidP="0068420B">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vAlign w:val="bottom"/>
            <w:hideMark/>
          </w:tcPr>
          <w:p w14:paraId="618963B0"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6EC23E56" w14:textId="77777777" w:rsidR="00346B96" w:rsidRPr="00005453" w:rsidRDefault="00346B96" w:rsidP="0068420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2CDE5C8F" w14:textId="77777777" w:rsidR="00346B96" w:rsidRPr="00005453" w:rsidRDefault="00346B96" w:rsidP="0068420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991A267" w14:textId="77777777" w:rsidR="00346B96" w:rsidRPr="00005453" w:rsidRDefault="00346B96" w:rsidP="0068420B">
            <w:pPr>
              <w:jc w:val="right"/>
              <w:rPr>
                <w:sz w:val="10"/>
                <w:szCs w:val="10"/>
                <w:lang w:eastAsia="tr-TR"/>
              </w:rPr>
            </w:pPr>
          </w:p>
        </w:tc>
      </w:tr>
      <w:tr w:rsidR="00346B96" w:rsidRPr="00005453" w14:paraId="2F8E1724"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70DCE1D7" w14:textId="77777777" w:rsidR="00346B96" w:rsidRPr="00005453" w:rsidRDefault="00346B96" w:rsidP="0068420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64D0DF80" w14:textId="401E9998" w:rsidR="00346B96" w:rsidRPr="00005453" w:rsidRDefault="00346B96" w:rsidP="0068420B">
            <w:pPr>
              <w:rPr>
                <w:b/>
                <w:bCs/>
                <w:color w:val="000000"/>
                <w:sz w:val="10"/>
                <w:szCs w:val="10"/>
                <w:lang w:eastAsia="tr-TR"/>
              </w:rPr>
            </w:pPr>
            <w:r w:rsidRPr="00005453">
              <w:rPr>
                <w:b/>
                <w:bCs/>
                <w:color w:val="000000"/>
                <w:sz w:val="10"/>
                <w:szCs w:val="10"/>
                <w:lang w:val="en-US" w:eastAsia="tr-TR"/>
              </w:rPr>
              <w:t>(01/01/202</w:t>
            </w:r>
            <w:r w:rsidR="008755B7" w:rsidRPr="00005453">
              <w:rPr>
                <w:b/>
                <w:bCs/>
                <w:color w:val="000000"/>
                <w:sz w:val="10"/>
                <w:szCs w:val="10"/>
                <w:lang w:val="en-US" w:eastAsia="tr-TR"/>
              </w:rPr>
              <w:t>4</w:t>
            </w:r>
            <w:r w:rsidRPr="00005453">
              <w:rPr>
                <w:b/>
                <w:bCs/>
                <w:color w:val="000000"/>
                <w:sz w:val="10"/>
                <w:szCs w:val="10"/>
                <w:lang w:val="en-US" w:eastAsia="tr-TR"/>
              </w:rPr>
              <w:t xml:space="preserve"> – 31/12/202</w:t>
            </w:r>
            <w:r w:rsidR="008755B7" w:rsidRPr="00005453">
              <w:rPr>
                <w:b/>
                <w:bCs/>
                <w:color w:val="000000"/>
                <w:sz w:val="10"/>
                <w:szCs w:val="10"/>
                <w:lang w:val="en-US" w:eastAsia="tr-TR"/>
              </w:rPr>
              <w:t>4</w:t>
            </w:r>
            <w:r w:rsidRPr="00005453">
              <w:rPr>
                <w:b/>
                <w:bCs/>
                <w:color w:val="000000"/>
                <w:sz w:val="10"/>
                <w:szCs w:val="10"/>
                <w:lang w:val="en-US" w:eastAsia="tr-TR"/>
              </w:rPr>
              <w:t>)</w:t>
            </w:r>
          </w:p>
        </w:tc>
        <w:tc>
          <w:tcPr>
            <w:tcW w:w="515" w:type="dxa"/>
            <w:gridSpan w:val="2"/>
            <w:tcBorders>
              <w:top w:val="nil"/>
              <w:left w:val="single" w:sz="4" w:space="0" w:color="auto"/>
              <w:bottom w:val="nil"/>
              <w:right w:val="single" w:sz="4" w:space="0" w:color="auto"/>
            </w:tcBorders>
            <w:shd w:val="clear" w:color="auto" w:fill="auto"/>
            <w:vAlign w:val="center"/>
            <w:hideMark/>
          </w:tcPr>
          <w:p w14:paraId="3C1B2F01" w14:textId="77777777" w:rsidR="00346B96" w:rsidRPr="00005453" w:rsidRDefault="00346B96" w:rsidP="0068420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79E71CB7" w14:textId="77777777" w:rsidR="00346B96" w:rsidRPr="00005453" w:rsidRDefault="00346B96" w:rsidP="0068420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32459324"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322A8CE4"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56BE53D" w14:textId="77777777" w:rsidR="00346B96" w:rsidRPr="00005453" w:rsidRDefault="00346B96" w:rsidP="0068420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374629E8" w14:textId="77777777" w:rsidR="00346B96" w:rsidRPr="00005453" w:rsidRDefault="00346B96" w:rsidP="0068420B">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vAlign w:val="bottom"/>
            <w:hideMark/>
          </w:tcPr>
          <w:p w14:paraId="19C26D78" w14:textId="77777777" w:rsidR="00346B96" w:rsidRPr="00005453" w:rsidRDefault="00346B96" w:rsidP="0068420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52EE534F" w14:textId="77777777" w:rsidR="00346B96" w:rsidRPr="00005453" w:rsidRDefault="00346B96" w:rsidP="0068420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1BFED8D1" w14:textId="77777777" w:rsidR="00346B96" w:rsidRPr="00005453" w:rsidRDefault="00346B96" w:rsidP="0068420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AD0789C" w14:textId="77777777" w:rsidR="00346B96" w:rsidRPr="00005453" w:rsidRDefault="00346B96" w:rsidP="0068420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4AAFB25E" w14:textId="77777777" w:rsidR="00346B96" w:rsidRPr="00005453" w:rsidRDefault="00346B96" w:rsidP="0068420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515A94BE" w14:textId="77777777" w:rsidR="00346B96" w:rsidRPr="00005453" w:rsidRDefault="00346B96" w:rsidP="0068420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1B0919A3" w14:textId="77777777" w:rsidR="00346B96" w:rsidRPr="00005453" w:rsidRDefault="00346B96" w:rsidP="0068420B">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vAlign w:val="bottom"/>
            <w:hideMark/>
          </w:tcPr>
          <w:p w14:paraId="4729492C" w14:textId="77777777" w:rsidR="00346B96" w:rsidRPr="00005453" w:rsidRDefault="00346B96" w:rsidP="0068420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15E8F75A" w14:textId="77777777" w:rsidR="00346B96" w:rsidRPr="00005453" w:rsidRDefault="00346B96" w:rsidP="0068420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2565ED6C" w14:textId="77777777" w:rsidR="00346B96" w:rsidRPr="00005453" w:rsidRDefault="00346B96" w:rsidP="0068420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525204C7" w14:textId="77777777" w:rsidR="00346B96" w:rsidRPr="00005453" w:rsidRDefault="00346B96" w:rsidP="0068420B">
            <w:pPr>
              <w:jc w:val="right"/>
              <w:rPr>
                <w:sz w:val="10"/>
                <w:szCs w:val="10"/>
                <w:lang w:eastAsia="tr-TR"/>
              </w:rPr>
            </w:pPr>
          </w:p>
        </w:tc>
      </w:tr>
      <w:tr w:rsidR="00346B96" w:rsidRPr="00005453" w14:paraId="1F14C0EA" w14:textId="77777777" w:rsidTr="00E563BC">
        <w:trPr>
          <w:trHeight w:val="64"/>
        </w:trPr>
        <w:tc>
          <w:tcPr>
            <w:tcW w:w="410" w:type="dxa"/>
            <w:tcBorders>
              <w:top w:val="nil"/>
              <w:left w:val="single" w:sz="4" w:space="0" w:color="auto"/>
              <w:bottom w:val="nil"/>
              <w:right w:val="single" w:sz="4" w:space="0" w:color="auto"/>
            </w:tcBorders>
            <w:shd w:val="clear" w:color="auto" w:fill="auto"/>
            <w:noWrap/>
            <w:vAlign w:val="center"/>
            <w:hideMark/>
          </w:tcPr>
          <w:p w14:paraId="791A998A" w14:textId="77777777" w:rsidR="00346B96" w:rsidRPr="00005453" w:rsidRDefault="00346B96" w:rsidP="0068420B">
            <w:pPr>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0C813EB1" w14:textId="77777777" w:rsidR="00346B96" w:rsidRPr="00005453" w:rsidRDefault="00346B96" w:rsidP="0068420B">
            <w:pPr>
              <w:jc w:val="center"/>
              <w:rPr>
                <w:sz w:val="10"/>
                <w:szCs w:val="10"/>
                <w:lang w:eastAsia="tr-TR"/>
              </w:rPr>
            </w:pPr>
          </w:p>
        </w:tc>
        <w:tc>
          <w:tcPr>
            <w:tcW w:w="515" w:type="dxa"/>
            <w:gridSpan w:val="2"/>
            <w:tcBorders>
              <w:top w:val="nil"/>
              <w:left w:val="single" w:sz="4" w:space="0" w:color="auto"/>
              <w:bottom w:val="nil"/>
              <w:right w:val="single" w:sz="4" w:space="0" w:color="auto"/>
            </w:tcBorders>
            <w:shd w:val="clear" w:color="auto" w:fill="auto"/>
            <w:vAlign w:val="center"/>
            <w:hideMark/>
          </w:tcPr>
          <w:p w14:paraId="554ED402" w14:textId="77777777" w:rsidR="00346B96" w:rsidRPr="00005453" w:rsidRDefault="00346B96" w:rsidP="0068420B">
            <w:pPr>
              <w:rPr>
                <w:sz w:val="10"/>
                <w:szCs w:val="10"/>
                <w:lang w:eastAsia="tr-TR"/>
              </w:rPr>
            </w:pPr>
          </w:p>
        </w:tc>
        <w:tc>
          <w:tcPr>
            <w:tcW w:w="703" w:type="dxa"/>
            <w:tcBorders>
              <w:top w:val="nil"/>
              <w:left w:val="single" w:sz="4" w:space="0" w:color="auto"/>
              <w:bottom w:val="nil"/>
              <w:right w:val="single" w:sz="4" w:space="0" w:color="auto"/>
            </w:tcBorders>
            <w:shd w:val="clear" w:color="auto" w:fill="auto"/>
            <w:noWrap/>
            <w:hideMark/>
          </w:tcPr>
          <w:p w14:paraId="4C28240C" w14:textId="77777777" w:rsidR="00346B96" w:rsidRPr="00005453" w:rsidRDefault="00346B96" w:rsidP="00605D99">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hideMark/>
          </w:tcPr>
          <w:p w14:paraId="3AFBB999" w14:textId="77777777" w:rsidR="00346B96" w:rsidRPr="00005453" w:rsidRDefault="00346B96" w:rsidP="00605D99">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hideMark/>
          </w:tcPr>
          <w:p w14:paraId="660C093B" w14:textId="77777777" w:rsidR="00346B96" w:rsidRPr="00005453" w:rsidRDefault="00346B96" w:rsidP="00605D99">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hideMark/>
          </w:tcPr>
          <w:p w14:paraId="76CB16CA" w14:textId="77777777" w:rsidR="00346B96" w:rsidRPr="00005453" w:rsidRDefault="00346B96" w:rsidP="00605D99">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hideMark/>
          </w:tcPr>
          <w:p w14:paraId="683634F9" w14:textId="77777777" w:rsidR="00346B96" w:rsidRPr="00005453" w:rsidRDefault="00346B96" w:rsidP="00605D99">
            <w:pPr>
              <w:jc w:val="right"/>
              <w:rPr>
                <w:sz w:val="10"/>
                <w:szCs w:val="10"/>
                <w:lang w:eastAsia="tr-TR"/>
              </w:rPr>
            </w:pPr>
          </w:p>
        </w:tc>
        <w:tc>
          <w:tcPr>
            <w:tcW w:w="610" w:type="dxa"/>
            <w:tcBorders>
              <w:top w:val="nil"/>
              <w:left w:val="single" w:sz="4" w:space="0" w:color="auto"/>
              <w:bottom w:val="nil"/>
              <w:right w:val="single" w:sz="4" w:space="0" w:color="auto"/>
            </w:tcBorders>
            <w:shd w:val="clear" w:color="auto" w:fill="auto"/>
            <w:noWrap/>
            <w:hideMark/>
          </w:tcPr>
          <w:p w14:paraId="029B1C63" w14:textId="77777777" w:rsidR="00346B96" w:rsidRPr="00005453" w:rsidRDefault="00346B96" w:rsidP="00605D99">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hideMark/>
          </w:tcPr>
          <w:p w14:paraId="139CB2F9" w14:textId="77777777" w:rsidR="00346B96" w:rsidRPr="00005453" w:rsidRDefault="00346B96" w:rsidP="00605D99">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hideMark/>
          </w:tcPr>
          <w:p w14:paraId="7D8AA5FD" w14:textId="77777777" w:rsidR="00346B96" w:rsidRPr="00005453" w:rsidRDefault="00346B96" w:rsidP="00605D99">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hideMark/>
          </w:tcPr>
          <w:p w14:paraId="4B0EE035" w14:textId="77777777" w:rsidR="00346B96" w:rsidRPr="00005453" w:rsidRDefault="00346B96" w:rsidP="00605D99">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hideMark/>
          </w:tcPr>
          <w:p w14:paraId="14BC307E" w14:textId="77777777" w:rsidR="00346B96" w:rsidRPr="00005453" w:rsidRDefault="00346B96" w:rsidP="00605D99">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hideMark/>
          </w:tcPr>
          <w:p w14:paraId="129D0015" w14:textId="77777777" w:rsidR="00346B96" w:rsidRPr="00005453" w:rsidRDefault="00346B96" w:rsidP="00605D99">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hideMark/>
          </w:tcPr>
          <w:p w14:paraId="2C18E2D9" w14:textId="77777777" w:rsidR="00346B96" w:rsidRPr="00005453" w:rsidRDefault="00346B96" w:rsidP="00605D99">
            <w:pPr>
              <w:jc w:val="right"/>
              <w:rPr>
                <w:sz w:val="10"/>
                <w:szCs w:val="10"/>
                <w:lang w:eastAsia="tr-TR"/>
              </w:rPr>
            </w:pPr>
          </w:p>
        </w:tc>
        <w:tc>
          <w:tcPr>
            <w:tcW w:w="760" w:type="dxa"/>
            <w:tcBorders>
              <w:top w:val="nil"/>
              <w:left w:val="single" w:sz="4" w:space="0" w:color="auto"/>
              <w:bottom w:val="nil"/>
              <w:right w:val="single" w:sz="4" w:space="0" w:color="auto"/>
            </w:tcBorders>
            <w:shd w:val="clear" w:color="auto" w:fill="auto"/>
            <w:noWrap/>
            <w:hideMark/>
          </w:tcPr>
          <w:p w14:paraId="51C361AB" w14:textId="77777777" w:rsidR="00346B96" w:rsidRPr="00005453" w:rsidRDefault="00346B96" w:rsidP="00605D99">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hideMark/>
          </w:tcPr>
          <w:p w14:paraId="4F86B7DC" w14:textId="77777777" w:rsidR="00346B96" w:rsidRPr="00005453" w:rsidRDefault="00346B96" w:rsidP="00605D99">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hideMark/>
          </w:tcPr>
          <w:p w14:paraId="7E484B7C" w14:textId="77777777" w:rsidR="00346B96" w:rsidRPr="00005453" w:rsidRDefault="00346B96" w:rsidP="00605D99">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hideMark/>
          </w:tcPr>
          <w:p w14:paraId="3684C8B6" w14:textId="77777777" w:rsidR="00346B96" w:rsidRPr="00005453" w:rsidRDefault="00346B96" w:rsidP="00605D99">
            <w:pPr>
              <w:jc w:val="right"/>
              <w:rPr>
                <w:sz w:val="10"/>
                <w:szCs w:val="10"/>
                <w:lang w:eastAsia="tr-TR"/>
              </w:rPr>
            </w:pPr>
          </w:p>
        </w:tc>
      </w:tr>
      <w:tr w:rsidR="00E563BC" w:rsidRPr="00005453" w14:paraId="57F0BB53"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7A399FD4"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I.</w:t>
            </w:r>
          </w:p>
        </w:tc>
        <w:tc>
          <w:tcPr>
            <w:tcW w:w="2183" w:type="dxa"/>
            <w:tcBorders>
              <w:top w:val="nil"/>
              <w:left w:val="single" w:sz="4" w:space="0" w:color="auto"/>
              <w:bottom w:val="nil"/>
              <w:right w:val="single" w:sz="4" w:space="0" w:color="auto"/>
            </w:tcBorders>
            <w:shd w:val="clear" w:color="auto" w:fill="auto"/>
            <w:noWrap/>
            <w:vAlign w:val="center"/>
            <w:hideMark/>
          </w:tcPr>
          <w:p w14:paraId="0FB58B85"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Önceki Dönem Sonu Bakiyesi</w:t>
            </w:r>
          </w:p>
        </w:tc>
        <w:tc>
          <w:tcPr>
            <w:tcW w:w="515" w:type="dxa"/>
            <w:gridSpan w:val="2"/>
            <w:tcBorders>
              <w:top w:val="nil"/>
              <w:left w:val="single" w:sz="4" w:space="0" w:color="auto"/>
              <w:bottom w:val="nil"/>
              <w:right w:val="single" w:sz="4" w:space="0" w:color="auto"/>
            </w:tcBorders>
            <w:shd w:val="clear" w:color="auto" w:fill="auto"/>
            <w:vAlign w:val="center"/>
            <w:hideMark/>
          </w:tcPr>
          <w:p w14:paraId="42B61866" w14:textId="77777777" w:rsidR="00E563BC" w:rsidRPr="00005453" w:rsidRDefault="00E563BC" w:rsidP="00E563BC">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ED2EBE7" w14:textId="3C7FDCAF" w:rsidR="00E563BC" w:rsidRPr="00005453" w:rsidRDefault="00E563BC" w:rsidP="00E563BC">
            <w:pPr>
              <w:jc w:val="right"/>
              <w:rPr>
                <w:b/>
                <w:bCs/>
                <w:sz w:val="10"/>
                <w:szCs w:val="10"/>
              </w:rPr>
            </w:pPr>
            <w:r w:rsidRPr="00005453">
              <w:rPr>
                <w:b/>
                <w:bCs/>
                <w:sz w:val="10"/>
                <w:szCs w:val="18"/>
              </w:rPr>
              <w:t>4,595,131</w:t>
            </w:r>
          </w:p>
        </w:tc>
        <w:tc>
          <w:tcPr>
            <w:tcW w:w="843" w:type="dxa"/>
            <w:tcBorders>
              <w:top w:val="nil"/>
              <w:left w:val="single" w:sz="4" w:space="0" w:color="auto"/>
              <w:bottom w:val="nil"/>
              <w:right w:val="single" w:sz="4" w:space="0" w:color="auto"/>
            </w:tcBorders>
            <w:shd w:val="clear" w:color="auto" w:fill="auto"/>
            <w:vAlign w:val="center"/>
            <w:hideMark/>
          </w:tcPr>
          <w:p w14:paraId="5CB0D781" w14:textId="4C38B67A" w:rsidR="00E563BC" w:rsidRPr="00005453" w:rsidRDefault="00E563BC" w:rsidP="00E563BC">
            <w:pPr>
              <w:jc w:val="right"/>
              <w:rPr>
                <w:b/>
                <w:bCs/>
                <w:sz w:val="10"/>
                <w:szCs w:val="10"/>
              </w:rPr>
            </w:pPr>
            <w:r w:rsidRPr="00005453">
              <w:rPr>
                <w:b/>
                <w:bCs/>
                <w:sz w:val="10"/>
                <w:szCs w:val="18"/>
              </w:rPr>
              <w:t>23,250</w:t>
            </w:r>
          </w:p>
        </w:tc>
        <w:tc>
          <w:tcPr>
            <w:tcW w:w="703" w:type="dxa"/>
            <w:tcBorders>
              <w:top w:val="nil"/>
              <w:left w:val="single" w:sz="4" w:space="0" w:color="auto"/>
              <w:bottom w:val="nil"/>
              <w:right w:val="single" w:sz="4" w:space="0" w:color="auto"/>
            </w:tcBorders>
            <w:shd w:val="clear" w:color="auto" w:fill="auto"/>
            <w:vAlign w:val="center"/>
            <w:hideMark/>
          </w:tcPr>
          <w:p w14:paraId="074860DC" w14:textId="153C379B" w:rsidR="00E563BC" w:rsidRPr="00005453" w:rsidRDefault="00E563BC" w:rsidP="00E563BC">
            <w:pPr>
              <w:jc w:val="right"/>
              <w:rPr>
                <w:b/>
                <w:bCs/>
                <w:sz w:val="10"/>
                <w:szCs w:val="10"/>
              </w:rPr>
            </w:pPr>
            <w:r w:rsidRPr="00005453">
              <w:rPr>
                <w:b/>
                <w:bCs/>
                <w:sz w:val="10"/>
                <w:szCs w:val="18"/>
              </w:rPr>
              <w:t>1,874</w:t>
            </w:r>
          </w:p>
        </w:tc>
        <w:tc>
          <w:tcPr>
            <w:tcW w:w="844" w:type="dxa"/>
            <w:tcBorders>
              <w:top w:val="nil"/>
              <w:left w:val="single" w:sz="4" w:space="0" w:color="auto"/>
              <w:bottom w:val="nil"/>
              <w:right w:val="single" w:sz="4" w:space="0" w:color="auto"/>
            </w:tcBorders>
            <w:shd w:val="clear" w:color="auto" w:fill="auto"/>
            <w:vAlign w:val="center"/>
            <w:hideMark/>
          </w:tcPr>
          <w:p w14:paraId="7EB88819" w14:textId="756802C7" w:rsidR="00E563BC" w:rsidRPr="00005453" w:rsidRDefault="00E563BC" w:rsidP="00E563BC">
            <w:pPr>
              <w:jc w:val="right"/>
              <w:rPr>
                <w:b/>
                <w:bCs/>
                <w:sz w:val="10"/>
                <w:szCs w:val="10"/>
              </w:rPr>
            </w:pPr>
            <w:r w:rsidRPr="00005453">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084A1F6C" w14:textId="475A5FC9" w:rsidR="00E563BC" w:rsidRPr="00005453" w:rsidRDefault="00E563BC" w:rsidP="00E563BC">
            <w:pPr>
              <w:jc w:val="right"/>
              <w:rPr>
                <w:b/>
                <w:bCs/>
                <w:sz w:val="10"/>
                <w:szCs w:val="10"/>
              </w:rPr>
            </w:pPr>
            <w:r w:rsidRPr="00005453">
              <w:rPr>
                <w:b/>
                <w:bCs/>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1EA41AEC" w14:textId="71197AE2" w:rsidR="00E563BC" w:rsidRPr="00005453" w:rsidRDefault="00E563BC" w:rsidP="00E563BC">
            <w:pPr>
              <w:jc w:val="right"/>
              <w:rPr>
                <w:b/>
                <w:bCs/>
                <w:sz w:val="10"/>
                <w:szCs w:val="10"/>
              </w:rPr>
            </w:pPr>
            <w:r w:rsidRPr="00005453">
              <w:rPr>
                <w:b/>
                <w:bCs/>
                <w:sz w:val="10"/>
                <w:szCs w:val="18"/>
              </w:rPr>
              <w:t>(513,980)</w:t>
            </w:r>
          </w:p>
        </w:tc>
        <w:tc>
          <w:tcPr>
            <w:tcW w:w="568" w:type="dxa"/>
            <w:tcBorders>
              <w:top w:val="nil"/>
              <w:left w:val="single" w:sz="4" w:space="0" w:color="auto"/>
              <w:bottom w:val="nil"/>
              <w:right w:val="single" w:sz="4" w:space="0" w:color="auto"/>
            </w:tcBorders>
            <w:shd w:val="clear" w:color="auto" w:fill="auto"/>
            <w:vAlign w:val="center"/>
            <w:hideMark/>
          </w:tcPr>
          <w:p w14:paraId="18A99B6A" w14:textId="0ED8D81C" w:rsidR="00E563BC" w:rsidRPr="00005453" w:rsidRDefault="00E563BC" w:rsidP="00E563BC">
            <w:pPr>
              <w:jc w:val="right"/>
              <w:rPr>
                <w:b/>
                <w:bCs/>
                <w:sz w:val="10"/>
                <w:szCs w:val="10"/>
              </w:rPr>
            </w:pPr>
            <w:r w:rsidRPr="00005453">
              <w:rPr>
                <w:b/>
                <w:bCs/>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DBBF684" w14:textId="58964B45" w:rsidR="00E563BC" w:rsidRPr="00005453" w:rsidRDefault="00E563BC" w:rsidP="00E563BC">
            <w:pPr>
              <w:jc w:val="right"/>
              <w:rPr>
                <w:b/>
                <w:bCs/>
                <w:sz w:val="10"/>
                <w:szCs w:val="10"/>
              </w:rPr>
            </w:pPr>
            <w:r w:rsidRPr="00005453">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EED0AF4" w14:textId="18D283FD" w:rsidR="00E563BC" w:rsidRPr="00005453" w:rsidRDefault="00E563BC" w:rsidP="00E563BC">
            <w:pPr>
              <w:jc w:val="right"/>
              <w:rPr>
                <w:b/>
                <w:bCs/>
                <w:sz w:val="10"/>
                <w:szCs w:val="10"/>
              </w:rPr>
            </w:pPr>
            <w:r w:rsidRPr="00005453">
              <w:rPr>
                <w:b/>
                <w:bCs/>
                <w:sz w:val="10"/>
                <w:szCs w:val="18"/>
              </w:rPr>
              <w:t>(1,044,479)</w:t>
            </w:r>
          </w:p>
        </w:tc>
        <w:tc>
          <w:tcPr>
            <w:tcW w:w="536" w:type="dxa"/>
            <w:tcBorders>
              <w:top w:val="nil"/>
              <w:left w:val="single" w:sz="4" w:space="0" w:color="auto"/>
              <w:bottom w:val="nil"/>
              <w:right w:val="single" w:sz="4" w:space="0" w:color="auto"/>
            </w:tcBorders>
            <w:shd w:val="clear" w:color="auto" w:fill="auto"/>
            <w:vAlign w:val="center"/>
            <w:hideMark/>
          </w:tcPr>
          <w:p w14:paraId="16CA2D27" w14:textId="277B8CBB" w:rsidR="00E563BC" w:rsidRPr="00005453" w:rsidRDefault="00E563BC" w:rsidP="00E563BC">
            <w:pPr>
              <w:jc w:val="right"/>
              <w:rPr>
                <w:b/>
                <w:bCs/>
                <w:sz w:val="10"/>
                <w:szCs w:val="10"/>
              </w:rPr>
            </w:pPr>
            <w:r w:rsidRPr="00005453">
              <w:rPr>
                <w:b/>
                <w:bCs/>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6532E40B" w14:textId="308979FF" w:rsidR="00E563BC" w:rsidRPr="00005453" w:rsidRDefault="00E563BC" w:rsidP="00E563BC">
            <w:pPr>
              <w:jc w:val="right"/>
              <w:rPr>
                <w:b/>
                <w:bCs/>
                <w:sz w:val="10"/>
                <w:szCs w:val="10"/>
              </w:rPr>
            </w:pPr>
            <w:r w:rsidRPr="00005453">
              <w:rPr>
                <w:b/>
                <w:bCs/>
                <w:sz w:val="10"/>
                <w:szCs w:val="18"/>
              </w:rPr>
              <w:t>18,253,903</w:t>
            </w:r>
          </w:p>
        </w:tc>
        <w:tc>
          <w:tcPr>
            <w:tcW w:w="1022" w:type="dxa"/>
            <w:tcBorders>
              <w:top w:val="nil"/>
              <w:left w:val="single" w:sz="4" w:space="0" w:color="auto"/>
              <w:bottom w:val="nil"/>
              <w:right w:val="single" w:sz="4" w:space="0" w:color="auto"/>
            </w:tcBorders>
            <w:shd w:val="clear" w:color="auto" w:fill="auto"/>
            <w:vAlign w:val="center"/>
            <w:hideMark/>
          </w:tcPr>
          <w:p w14:paraId="6C6360A5" w14:textId="708D9F4B" w:rsidR="00E563BC" w:rsidRPr="00005453" w:rsidRDefault="00E563BC" w:rsidP="00E563BC">
            <w:pPr>
              <w:jc w:val="right"/>
              <w:rPr>
                <w:b/>
                <w:bCs/>
                <w:sz w:val="10"/>
                <w:szCs w:val="10"/>
              </w:rPr>
            </w:pPr>
            <w:r w:rsidRPr="00005453">
              <w:rPr>
                <w:b/>
                <w:bCs/>
                <w:sz w:val="10"/>
                <w:szCs w:val="18"/>
              </w:rPr>
              <w:t>60,618</w:t>
            </w:r>
          </w:p>
        </w:tc>
        <w:tc>
          <w:tcPr>
            <w:tcW w:w="760" w:type="dxa"/>
            <w:tcBorders>
              <w:top w:val="nil"/>
              <w:left w:val="single" w:sz="4" w:space="0" w:color="auto"/>
              <w:bottom w:val="nil"/>
              <w:right w:val="single" w:sz="4" w:space="0" w:color="auto"/>
            </w:tcBorders>
            <w:shd w:val="clear" w:color="auto" w:fill="auto"/>
            <w:vAlign w:val="center"/>
            <w:hideMark/>
          </w:tcPr>
          <w:p w14:paraId="3B7F944D" w14:textId="19B77727" w:rsidR="00E563BC" w:rsidRPr="00005453" w:rsidRDefault="00E563BC" w:rsidP="00E563BC">
            <w:pPr>
              <w:jc w:val="right"/>
              <w:rPr>
                <w:b/>
                <w:bCs/>
                <w:sz w:val="10"/>
                <w:szCs w:val="10"/>
              </w:rPr>
            </w:pPr>
            <w:r w:rsidRPr="00005453">
              <w:rPr>
                <w:b/>
                <w:bCs/>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28691947" w14:textId="1EAD96A4" w:rsidR="00E563BC" w:rsidRPr="00005453" w:rsidRDefault="00E563BC" w:rsidP="00E563BC">
            <w:pPr>
              <w:jc w:val="right"/>
              <w:rPr>
                <w:b/>
                <w:bCs/>
                <w:sz w:val="10"/>
                <w:szCs w:val="10"/>
              </w:rPr>
            </w:pPr>
            <w:r w:rsidRPr="00005453">
              <w:rPr>
                <w:b/>
                <w:bCs/>
                <w:sz w:val="10"/>
                <w:szCs w:val="18"/>
              </w:rPr>
              <w:t>47,985,688</w:t>
            </w:r>
          </w:p>
        </w:tc>
        <w:tc>
          <w:tcPr>
            <w:tcW w:w="702" w:type="dxa"/>
            <w:tcBorders>
              <w:top w:val="nil"/>
              <w:left w:val="single" w:sz="4" w:space="0" w:color="auto"/>
              <w:bottom w:val="nil"/>
              <w:right w:val="single" w:sz="4" w:space="0" w:color="auto"/>
            </w:tcBorders>
            <w:shd w:val="clear" w:color="auto" w:fill="auto"/>
            <w:vAlign w:val="center"/>
            <w:hideMark/>
          </w:tcPr>
          <w:p w14:paraId="62FB8152" w14:textId="2B26397D" w:rsidR="00E563BC" w:rsidRPr="00005453" w:rsidRDefault="00E563BC" w:rsidP="00E563BC">
            <w:pPr>
              <w:jc w:val="right"/>
              <w:rPr>
                <w:b/>
                <w:bCs/>
                <w:sz w:val="10"/>
                <w:szCs w:val="10"/>
              </w:rPr>
            </w:pPr>
            <w:r w:rsidRPr="00005453">
              <w:rPr>
                <w:b/>
                <w:bCs/>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659D2065" w14:textId="43050A9B" w:rsidR="00E563BC" w:rsidRPr="00005453" w:rsidRDefault="00E563BC" w:rsidP="00E563BC">
            <w:pPr>
              <w:jc w:val="right"/>
              <w:rPr>
                <w:b/>
                <w:bCs/>
                <w:sz w:val="10"/>
                <w:szCs w:val="10"/>
              </w:rPr>
            </w:pPr>
            <w:r w:rsidRPr="00005453">
              <w:rPr>
                <w:b/>
                <w:bCs/>
                <w:sz w:val="10"/>
                <w:szCs w:val="18"/>
              </w:rPr>
              <w:t>47,985,688</w:t>
            </w:r>
          </w:p>
        </w:tc>
      </w:tr>
      <w:tr w:rsidR="00E563BC" w:rsidRPr="00005453" w14:paraId="17BAA004"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494F49ED"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II.</w:t>
            </w:r>
          </w:p>
        </w:tc>
        <w:tc>
          <w:tcPr>
            <w:tcW w:w="2183" w:type="dxa"/>
            <w:tcBorders>
              <w:top w:val="nil"/>
              <w:left w:val="single" w:sz="4" w:space="0" w:color="auto"/>
              <w:bottom w:val="nil"/>
              <w:right w:val="single" w:sz="4" w:space="0" w:color="auto"/>
            </w:tcBorders>
            <w:shd w:val="clear" w:color="auto" w:fill="auto"/>
            <w:noWrap/>
            <w:vAlign w:val="center"/>
            <w:hideMark/>
          </w:tcPr>
          <w:p w14:paraId="01D3DCB9" w14:textId="77777777" w:rsidR="00E563BC" w:rsidRPr="00005453" w:rsidRDefault="00E563BC" w:rsidP="00E563BC">
            <w:pPr>
              <w:rPr>
                <w:b/>
                <w:bCs/>
                <w:color w:val="000000"/>
                <w:sz w:val="10"/>
                <w:szCs w:val="10"/>
                <w:lang w:val="en-US" w:eastAsia="tr-TR"/>
              </w:rPr>
            </w:pPr>
            <w:r w:rsidRPr="00005453">
              <w:rPr>
                <w:b/>
                <w:bCs/>
                <w:color w:val="000000"/>
                <w:sz w:val="10"/>
                <w:szCs w:val="10"/>
                <w:lang w:val="en-US" w:eastAsia="tr-TR"/>
              </w:rPr>
              <w:t xml:space="preserve">TMS 8 Uyarınca Yapılan Düzeltmeler </w:t>
            </w:r>
          </w:p>
        </w:tc>
        <w:tc>
          <w:tcPr>
            <w:tcW w:w="515" w:type="dxa"/>
            <w:gridSpan w:val="2"/>
            <w:tcBorders>
              <w:top w:val="nil"/>
              <w:left w:val="single" w:sz="4" w:space="0" w:color="auto"/>
              <w:bottom w:val="nil"/>
              <w:right w:val="single" w:sz="4" w:space="0" w:color="auto"/>
            </w:tcBorders>
            <w:shd w:val="clear" w:color="auto" w:fill="auto"/>
            <w:vAlign w:val="center"/>
            <w:hideMark/>
          </w:tcPr>
          <w:p w14:paraId="37C74D98" w14:textId="77777777" w:rsidR="00E563BC" w:rsidRPr="00005453" w:rsidRDefault="00E563BC" w:rsidP="00E563BC">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3F89663" w14:textId="2142CD0C" w:rsidR="00E563BC" w:rsidRPr="00005453" w:rsidRDefault="00E563BC" w:rsidP="00E563BC">
            <w:pPr>
              <w:jc w:val="right"/>
              <w:rPr>
                <w:b/>
                <w:bCs/>
                <w:sz w:val="10"/>
                <w:szCs w:val="10"/>
              </w:rPr>
            </w:pPr>
            <w:r w:rsidRPr="00005453">
              <w:rPr>
                <w:b/>
                <w:bCs/>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22AE4077" w14:textId="782DFA60" w:rsidR="00E563BC" w:rsidRPr="00005453" w:rsidRDefault="00E563BC" w:rsidP="00E563BC">
            <w:pPr>
              <w:jc w:val="right"/>
              <w:rPr>
                <w:b/>
                <w:bCs/>
                <w:sz w:val="10"/>
                <w:szCs w:val="10"/>
              </w:rPr>
            </w:pPr>
            <w:r w:rsidRPr="00005453">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1EBC94F" w14:textId="591DC97A" w:rsidR="00E563BC" w:rsidRPr="00005453" w:rsidRDefault="00E563BC" w:rsidP="00E563BC">
            <w:pPr>
              <w:jc w:val="right"/>
              <w:rPr>
                <w:b/>
                <w:bCs/>
                <w:sz w:val="10"/>
                <w:szCs w:val="10"/>
              </w:rPr>
            </w:pPr>
            <w:r w:rsidRPr="00005453">
              <w:rPr>
                <w:b/>
                <w:bCs/>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1D969865" w14:textId="01ABFC45" w:rsidR="00E563BC" w:rsidRPr="00005453" w:rsidRDefault="00E563BC" w:rsidP="00E563BC">
            <w:pPr>
              <w:jc w:val="right"/>
              <w:rPr>
                <w:b/>
                <w:bCs/>
                <w:sz w:val="10"/>
                <w:szCs w:val="10"/>
              </w:rPr>
            </w:pPr>
            <w:r w:rsidRPr="00005453">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561131D" w14:textId="28ACDFB8" w:rsidR="00E563BC" w:rsidRPr="00005453" w:rsidRDefault="00E563BC" w:rsidP="00E563BC">
            <w:pPr>
              <w:jc w:val="right"/>
              <w:rPr>
                <w:b/>
                <w:bCs/>
                <w:sz w:val="10"/>
                <w:szCs w:val="10"/>
              </w:rPr>
            </w:pPr>
            <w:r w:rsidRPr="00005453">
              <w:rPr>
                <w:b/>
                <w:bCs/>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682710C1" w14:textId="672E816C" w:rsidR="00E563BC" w:rsidRPr="00005453" w:rsidRDefault="00E563BC" w:rsidP="00E563BC">
            <w:pPr>
              <w:jc w:val="right"/>
              <w:rPr>
                <w:b/>
                <w:bCs/>
                <w:sz w:val="10"/>
                <w:szCs w:val="10"/>
              </w:rPr>
            </w:pPr>
            <w:r w:rsidRPr="00005453">
              <w:rPr>
                <w:b/>
                <w:bCs/>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3DBAB86B" w14:textId="5CE2EADD" w:rsidR="00E563BC" w:rsidRPr="00005453" w:rsidRDefault="00E563BC" w:rsidP="00E563BC">
            <w:pPr>
              <w:jc w:val="right"/>
              <w:rPr>
                <w:b/>
                <w:bCs/>
                <w:sz w:val="10"/>
                <w:szCs w:val="10"/>
              </w:rPr>
            </w:pPr>
            <w:r w:rsidRPr="00005453">
              <w:rPr>
                <w:b/>
                <w:bCs/>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F41C7D3" w14:textId="5BF5C777" w:rsidR="00E563BC" w:rsidRPr="00005453" w:rsidRDefault="00E563BC" w:rsidP="00E563BC">
            <w:pPr>
              <w:jc w:val="right"/>
              <w:rPr>
                <w:b/>
                <w:bCs/>
                <w:sz w:val="10"/>
                <w:szCs w:val="10"/>
              </w:rPr>
            </w:pPr>
            <w:r w:rsidRPr="00005453">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99BB328" w14:textId="23839CAE" w:rsidR="00E563BC" w:rsidRPr="00005453" w:rsidRDefault="00E563BC" w:rsidP="00E563BC">
            <w:pPr>
              <w:jc w:val="right"/>
              <w:rPr>
                <w:b/>
                <w:bCs/>
                <w:sz w:val="10"/>
                <w:szCs w:val="10"/>
              </w:rPr>
            </w:pPr>
            <w:r w:rsidRPr="00005453">
              <w:rPr>
                <w:b/>
                <w:bCs/>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4534E6A3" w14:textId="2C3383D1" w:rsidR="00E563BC" w:rsidRPr="00005453" w:rsidRDefault="00E563BC" w:rsidP="00E563BC">
            <w:pPr>
              <w:jc w:val="right"/>
              <w:rPr>
                <w:b/>
                <w:bCs/>
                <w:sz w:val="10"/>
                <w:szCs w:val="10"/>
              </w:rPr>
            </w:pPr>
            <w:r w:rsidRPr="00005453">
              <w:rPr>
                <w:b/>
                <w:bCs/>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1980E4A4" w14:textId="7D489E58" w:rsidR="00E563BC" w:rsidRPr="00005453" w:rsidRDefault="00E563BC" w:rsidP="00E563BC">
            <w:pPr>
              <w:jc w:val="right"/>
              <w:rPr>
                <w:b/>
                <w:bCs/>
                <w:sz w:val="10"/>
                <w:szCs w:val="10"/>
              </w:rPr>
            </w:pPr>
            <w:r w:rsidRPr="00005453">
              <w:rPr>
                <w:b/>
                <w:bCs/>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00D030DD" w14:textId="31E578CE" w:rsidR="00E563BC" w:rsidRPr="00005453" w:rsidRDefault="00E563BC" w:rsidP="00E563BC">
            <w:pPr>
              <w:jc w:val="right"/>
              <w:rPr>
                <w:b/>
                <w:bCs/>
                <w:sz w:val="10"/>
                <w:szCs w:val="10"/>
              </w:rPr>
            </w:pPr>
            <w:r w:rsidRPr="00005453">
              <w:rPr>
                <w:b/>
                <w:bCs/>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4DEF3420" w14:textId="125E9997" w:rsidR="00E563BC" w:rsidRPr="00005453" w:rsidRDefault="00E563BC" w:rsidP="00E563BC">
            <w:pPr>
              <w:jc w:val="right"/>
              <w:rPr>
                <w:b/>
                <w:bCs/>
                <w:sz w:val="10"/>
                <w:szCs w:val="10"/>
              </w:rPr>
            </w:pPr>
            <w:r w:rsidRPr="00005453">
              <w:rPr>
                <w:b/>
                <w:bCs/>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CAF7F0C" w14:textId="1E40A376" w:rsidR="00E563BC" w:rsidRPr="00005453" w:rsidRDefault="00E563BC" w:rsidP="00E563BC">
            <w:pPr>
              <w:jc w:val="right"/>
              <w:rPr>
                <w:b/>
                <w:bCs/>
                <w:sz w:val="10"/>
                <w:szCs w:val="10"/>
              </w:rPr>
            </w:pPr>
            <w:r w:rsidRPr="00005453">
              <w:rPr>
                <w:b/>
                <w:bCs/>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23A9E958" w14:textId="0EEEA953" w:rsidR="00E563BC" w:rsidRPr="00005453" w:rsidRDefault="00E563BC" w:rsidP="00E563BC">
            <w:pPr>
              <w:jc w:val="right"/>
              <w:rPr>
                <w:b/>
                <w:bCs/>
                <w:sz w:val="10"/>
                <w:szCs w:val="10"/>
              </w:rPr>
            </w:pPr>
            <w:r w:rsidRPr="00005453">
              <w:rPr>
                <w:b/>
                <w:bCs/>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869A3B8" w14:textId="31303F34" w:rsidR="00E563BC" w:rsidRPr="00005453" w:rsidRDefault="00E563BC" w:rsidP="00E563BC">
            <w:pPr>
              <w:jc w:val="right"/>
              <w:rPr>
                <w:b/>
                <w:bCs/>
                <w:sz w:val="10"/>
                <w:szCs w:val="10"/>
              </w:rPr>
            </w:pPr>
            <w:r w:rsidRPr="00005453">
              <w:rPr>
                <w:b/>
                <w:bCs/>
                <w:sz w:val="10"/>
                <w:szCs w:val="18"/>
              </w:rPr>
              <w:t>-</w:t>
            </w:r>
          </w:p>
        </w:tc>
      </w:tr>
      <w:tr w:rsidR="00E563BC" w:rsidRPr="00005453" w14:paraId="189D0F2B"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6D996895" w14:textId="77777777" w:rsidR="00E563BC" w:rsidRPr="00005453" w:rsidRDefault="00E563BC" w:rsidP="00E563BC">
            <w:pPr>
              <w:rPr>
                <w:color w:val="000000"/>
                <w:sz w:val="10"/>
                <w:szCs w:val="10"/>
                <w:lang w:eastAsia="tr-TR"/>
              </w:rPr>
            </w:pPr>
            <w:r w:rsidRPr="00005453">
              <w:rPr>
                <w:color w:val="000000"/>
                <w:sz w:val="10"/>
                <w:szCs w:val="10"/>
                <w:lang w:val="en-US" w:eastAsia="tr-TR"/>
              </w:rPr>
              <w:t>2.1</w:t>
            </w:r>
          </w:p>
        </w:tc>
        <w:tc>
          <w:tcPr>
            <w:tcW w:w="2183" w:type="dxa"/>
            <w:tcBorders>
              <w:top w:val="nil"/>
              <w:left w:val="single" w:sz="4" w:space="0" w:color="auto"/>
              <w:bottom w:val="nil"/>
              <w:right w:val="single" w:sz="4" w:space="0" w:color="auto"/>
            </w:tcBorders>
            <w:shd w:val="clear" w:color="auto" w:fill="auto"/>
            <w:noWrap/>
            <w:vAlign w:val="center"/>
            <w:hideMark/>
          </w:tcPr>
          <w:p w14:paraId="314DFFA3" w14:textId="77777777" w:rsidR="00E563BC" w:rsidRPr="00005453" w:rsidRDefault="00E563BC" w:rsidP="00E563BC">
            <w:pPr>
              <w:rPr>
                <w:color w:val="000000"/>
                <w:sz w:val="10"/>
                <w:szCs w:val="10"/>
                <w:lang w:eastAsia="tr-TR"/>
              </w:rPr>
            </w:pPr>
            <w:r w:rsidRPr="00005453">
              <w:rPr>
                <w:color w:val="000000"/>
                <w:sz w:val="10"/>
                <w:szCs w:val="10"/>
                <w:lang w:val="en-US" w:eastAsia="tr-TR"/>
              </w:rPr>
              <w:t>Hataların Düzeltilmesinin Etkisi</w:t>
            </w:r>
          </w:p>
        </w:tc>
        <w:tc>
          <w:tcPr>
            <w:tcW w:w="515" w:type="dxa"/>
            <w:gridSpan w:val="2"/>
            <w:tcBorders>
              <w:top w:val="nil"/>
              <w:left w:val="single" w:sz="4" w:space="0" w:color="auto"/>
              <w:bottom w:val="nil"/>
              <w:right w:val="single" w:sz="4" w:space="0" w:color="auto"/>
            </w:tcBorders>
            <w:shd w:val="clear" w:color="auto" w:fill="auto"/>
            <w:vAlign w:val="center"/>
            <w:hideMark/>
          </w:tcPr>
          <w:p w14:paraId="1854CC16" w14:textId="77777777" w:rsidR="00E563BC" w:rsidRPr="00005453" w:rsidRDefault="00E563BC" w:rsidP="00E563BC">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826207E" w14:textId="416D56B5" w:rsidR="00E563BC" w:rsidRPr="00005453" w:rsidRDefault="00E563BC" w:rsidP="00E563BC">
            <w:pPr>
              <w:jc w:val="right"/>
              <w:rPr>
                <w:sz w:val="10"/>
                <w:szCs w:val="10"/>
              </w:rPr>
            </w:pPr>
            <w:r w:rsidRPr="00005453">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39B9339A" w14:textId="2990CCE9"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0FD6CC5" w14:textId="4B31FC85"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5428287" w14:textId="471929AC" w:rsidR="00E563BC" w:rsidRPr="00005453" w:rsidRDefault="00E563BC" w:rsidP="00E563BC">
            <w:pPr>
              <w:jc w:val="right"/>
              <w:rPr>
                <w:sz w:val="10"/>
                <w:szCs w:val="10"/>
              </w:rPr>
            </w:pPr>
            <w:r w:rsidRPr="00005453">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3966164" w14:textId="2FDF1EB9" w:rsidR="00E563BC" w:rsidRPr="00005453" w:rsidRDefault="00E563BC" w:rsidP="00E563BC">
            <w:pPr>
              <w:jc w:val="right"/>
              <w:rPr>
                <w:sz w:val="10"/>
                <w:szCs w:val="10"/>
              </w:rPr>
            </w:pPr>
            <w:r w:rsidRPr="00005453">
              <w:rPr>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7B2305D4" w14:textId="2F34DB91" w:rsidR="00E563BC" w:rsidRPr="00005453" w:rsidRDefault="00E563BC" w:rsidP="00E563BC">
            <w:pPr>
              <w:jc w:val="right"/>
              <w:rPr>
                <w:sz w:val="10"/>
                <w:szCs w:val="10"/>
              </w:rPr>
            </w:pPr>
            <w:r w:rsidRPr="00005453">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09A38151" w14:textId="144A4B74" w:rsidR="00E563BC" w:rsidRPr="00005453" w:rsidRDefault="00E563BC" w:rsidP="00E563BC">
            <w:pPr>
              <w:jc w:val="right"/>
              <w:rPr>
                <w:sz w:val="10"/>
                <w:szCs w:val="10"/>
              </w:rPr>
            </w:pPr>
            <w:r w:rsidRPr="00005453">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60A4B819" w14:textId="2CDD954A"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A376F59" w14:textId="7C3C45F7" w:rsidR="00E563BC" w:rsidRPr="00005453" w:rsidRDefault="00E563BC" w:rsidP="00E563BC">
            <w:pPr>
              <w:jc w:val="right"/>
              <w:rPr>
                <w:sz w:val="10"/>
                <w:szCs w:val="10"/>
              </w:rPr>
            </w:pPr>
            <w:r w:rsidRPr="00005453">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2BB78220" w14:textId="6B4AE670" w:rsidR="00E563BC" w:rsidRPr="00005453" w:rsidRDefault="00E563BC" w:rsidP="00E563BC">
            <w:pPr>
              <w:jc w:val="right"/>
              <w:rPr>
                <w:sz w:val="10"/>
                <w:szCs w:val="10"/>
              </w:rPr>
            </w:pPr>
            <w:r w:rsidRPr="00005453">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3A07C278" w14:textId="018CFA57" w:rsidR="00E563BC" w:rsidRPr="00005453" w:rsidRDefault="00E563BC" w:rsidP="00E563BC">
            <w:pPr>
              <w:jc w:val="right"/>
              <w:rPr>
                <w:sz w:val="10"/>
                <w:szCs w:val="10"/>
              </w:rPr>
            </w:pPr>
            <w:r w:rsidRPr="00005453">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56BC3BF3" w14:textId="15D42029" w:rsidR="00E563BC" w:rsidRPr="00005453" w:rsidRDefault="00E563BC" w:rsidP="00E563BC">
            <w:pPr>
              <w:jc w:val="right"/>
              <w:rPr>
                <w:sz w:val="10"/>
                <w:szCs w:val="10"/>
              </w:rPr>
            </w:pPr>
            <w:r w:rsidRPr="00005453">
              <w:rPr>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0E54C8A0" w14:textId="5EBBB8E4"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5A15274" w14:textId="36F5C358" w:rsidR="00E563BC" w:rsidRPr="00005453" w:rsidRDefault="00E563BC" w:rsidP="00E563BC">
            <w:pPr>
              <w:jc w:val="right"/>
              <w:rPr>
                <w:sz w:val="10"/>
                <w:szCs w:val="10"/>
              </w:rPr>
            </w:pPr>
            <w:r w:rsidRPr="00005453">
              <w:rPr>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78E50C0C" w14:textId="67542651" w:rsidR="00E563BC" w:rsidRPr="00005453" w:rsidRDefault="00E563BC" w:rsidP="00E563BC">
            <w:pPr>
              <w:jc w:val="right"/>
              <w:rPr>
                <w:sz w:val="10"/>
                <w:szCs w:val="10"/>
              </w:rPr>
            </w:pPr>
            <w:r w:rsidRPr="00005453">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060C1562" w14:textId="45377199" w:rsidR="00E563BC" w:rsidRPr="00005453" w:rsidRDefault="00E563BC" w:rsidP="00E563BC">
            <w:pPr>
              <w:jc w:val="right"/>
              <w:rPr>
                <w:sz w:val="10"/>
                <w:szCs w:val="10"/>
              </w:rPr>
            </w:pPr>
            <w:r w:rsidRPr="00005453">
              <w:rPr>
                <w:sz w:val="10"/>
                <w:szCs w:val="18"/>
              </w:rPr>
              <w:t>-</w:t>
            </w:r>
          </w:p>
        </w:tc>
      </w:tr>
      <w:tr w:rsidR="00E563BC" w:rsidRPr="00005453" w14:paraId="0DDF87FA" w14:textId="77777777" w:rsidTr="00E563BC">
        <w:trPr>
          <w:trHeight w:val="1"/>
        </w:trPr>
        <w:tc>
          <w:tcPr>
            <w:tcW w:w="410" w:type="dxa"/>
            <w:tcBorders>
              <w:top w:val="nil"/>
              <w:left w:val="single" w:sz="4" w:space="0" w:color="auto"/>
              <w:bottom w:val="nil"/>
              <w:right w:val="single" w:sz="4" w:space="0" w:color="auto"/>
            </w:tcBorders>
            <w:shd w:val="clear" w:color="auto" w:fill="auto"/>
            <w:noWrap/>
            <w:hideMark/>
          </w:tcPr>
          <w:p w14:paraId="5C5BB1CC" w14:textId="77777777" w:rsidR="00E563BC" w:rsidRPr="00005453" w:rsidRDefault="00E563BC" w:rsidP="00E563BC">
            <w:pPr>
              <w:rPr>
                <w:color w:val="000000"/>
                <w:sz w:val="10"/>
                <w:szCs w:val="10"/>
                <w:lang w:eastAsia="tr-TR"/>
              </w:rPr>
            </w:pPr>
            <w:r w:rsidRPr="00005453">
              <w:rPr>
                <w:color w:val="000000"/>
                <w:sz w:val="10"/>
                <w:szCs w:val="10"/>
                <w:lang w:val="en-US" w:eastAsia="tr-TR"/>
              </w:rPr>
              <w:t>2.2</w:t>
            </w:r>
          </w:p>
        </w:tc>
        <w:tc>
          <w:tcPr>
            <w:tcW w:w="2183" w:type="dxa"/>
            <w:tcBorders>
              <w:top w:val="nil"/>
              <w:left w:val="single" w:sz="4" w:space="0" w:color="auto"/>
              <w:bottom w:val="nil"/>
              <w:right w:val="single" w:sz="4" w:space="0" w:color="auto"/>
            </w:tcBorders>
            <w:shd w:val="clear" w:color="auto" w:fill="auto"/>
            <w:noWrap/>
            <w:vAlign w:val="center"/>
            <w:hideMark/>
          </w:tcPr>
          <w:p w14:paraId="44C0BC65" w14:textId="77777777" w:rsidR="00E563BC" w:rsidRPr="00005453" w:rsidRDefault="00E563BC" w:rsidP="00E563BC">
            <w:pPr>
              <w:rPr>
                <w:color w:val="000000"/>
                <w:sz w:val="10"/>
                <w:szCs w:val="10"/>
                <w:lang w:eastAsia="tr-TR"/>
              </w:rPr>
            </w:pPr>
            <w:r w:rsidRPr="00005453">
              <w:rPr>
                <w:color w:val="000000"/>
                <w:sz w:val="10"/>
                <w:szCs w:val="10"/>
                <w:lang w:val="de-DE" w:eastAsia="tr-TR"/>
              </w:rPr>
              <w:t>Muhasebe Politikasında Yapılan Değişikliklerin Etkisi</w:t>
            </w:r>
          </w:p>
        </w:tc>
        <w:tc>
          <w:tcPr>
            <w:tcW w:w="515" w:type="dxa"/>
            <w:gridSpan w:val="2"/>
            <w:tcBorders>
              <w:top w:val="nil"/>
              <w:left w:val="single" w:sz="4" w:space="0" w:color="auto"/>
              <w:bottom w:val="nil"/>
              <w:right w:val="single" w:sz="4" w:space="0" w:color="auto"/>
            </w:tcBorders>
            <w:shd w:val="clear" w:color="auto" w:fill="auto"/>
            <w:vAlign w:val="center"/>
            <w:hideMark/>
          </w:tcPr>
          <w:p w14:paraId="31084E00" w14:textId="77777777" w:rsidR="00E563BC" w:rsidRPr="00005453" w:rsidRDefault="00E563BC" w:rsidP="00E563BC">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6A531A4" w14:textId="5BEE8CAA" w:rsidR="00E563BC" w:rsidRPr="00005453" w:rsidRDefault="00E563BC" w:rsidP="00E563BC">
            <w:pPr>
              <w:jc w:val="right"/>
              <w:rPr>
                <w:sz w:val="10"/>
                <w:szCs w:val="10"/>
              </w:rPr>
            </w:pPr>
            <w:r w:rsidRPr="00005453">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2A6E19AD" w14:textId="6A8DB548"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CDBC50F" w14:textId="4D31DF02"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623A7AA" w14:textId="31BFECB1" w:rsidR="00E563BC" w:rsidRPr="00005453" w:rsidRDefault="00E563BC" w:rsidP="00E563BC">
            <w:pPr>
              <w:jc w:val="right"/>
              <w:rPr>
                <w:sz w:val="10"/>
                <w:szCs w:val="10"/>
              </w:rPr>
            </w:pPr>
            <w:r w:rsidRPr="00005453">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50E40F15" w14:textId="263E9ABC" w:rsidR="00E563BC" w:rsidRPr="00005453" w:rsidRDefault="00E563BC" w:rsidP="00E563BC">
            <w:pPr>
              <w:jc w:val="right"/>
              <w:rPr>
                <w:sz w:val="10"/>
                <w:szCs w:val="10"/>
              </w:rPr>
            </w:pPr>
            <w:r w:rsidRPr="00005453">
              <w:rPr>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582368E0" w14:textId="30D954E0" w:rsidR="00E563BC" w:rsidRPr="00005453" w:rsidRDefault="00E563BC" w:rsidP="00E563BC">
            <w:pPr>
              <w:jc w:val="right"/>
              <w:rPr>
                <w:sz w:val="10"/>
                <w:szCs w:val="10"/>
              </w:rPr>
            </w:pPr>
            <w:r w:rsidRPr="00005453">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617B47D1" w14:textId="5824A688" w:rsidR="00E563BC" w:rsidRPr="00005453" w:rsidRDefault="00E563BC" w:rsidP="00E563BC">
            <w:pPr>
              <w:jc w:val="right"/>
              <w:rPr>
                <w:sz w:val="10"/>
                <w:szCs w:val="10"/>
              </w:rPr>
            </w:pPr>
            <w:r w:rsidRPr="00005453">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517F1316" w14:textId="03757998"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30C1DFE" w14:textId="75F0F7BA" w:rsidR="00E563BC" w:rsidRPr="00005453" w:rsidRDefault="00E563BC" w:rsidP="00E563BC">
            <w:pPr>
              <w:jc w:val="right"/>
              <w:rPr>
                <w:sz w:val="10"/>
                <w:szCs w:val="10"/>
              </w:rPr>
            </w:pPr>
            <w:r w:rsidRPr="00005453">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52E75B6F" w14:textId="520C824C" w:rsidR="00E563BC" w:rsidRPr="00005453" w:rsidRDefault="00E563BC" w:rsidP="00E563BC">
            <w:pPr>
              <w:jc w:val="right"/>
              <w:rPr>
                <w:sz w:val="10"/>
                <w:szCs w:val="10"/>
              </w:rPr>
            </w:pPr>
            <w:r w:rsidRPr="00005453">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10AB9A14" w14:textId="35723E29" w:rsidR="00E563BC" w:rsidRPr="00005453" w:rsidRDefault="00E563BC" w:rsidP="00E563BC">
            <w:pPr>
              <w:jc w:val="right"/>
              <w:rPr>
                <w:sz w:val="10"/>
                <w:szCs w:val="10"/>
              </w:rPr>
            </w:pPr>
            <w:r w:rsidRPr="00005453">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2242A232" w14:textId="526FDB26" w:rsidR="00E563BC" w:rsidRPr="00005453" w:rsidRDefault="00E563BC" w:rsidP="00E563BC">
            <w:pPr>
              <w:jc w:val="right"/>
              <w:rPr>
                <w:sz w:val="10"/>
                <w:szCs w:val="10"/>
              </w:rPr>
            </w:pPr>
            <w:r w:rsidRPr="00005453">
              <w:rPr>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71552317" w14:textId="689254BE"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A301BC5" w14:textId="7043A8E5" w:rsidR="00E563BC" w:rsidRPr="00005453" w:rsidRDefault="00E563BC" w:rsidP="00E563BC">
            <w:pPr>
              <w:jc w:val="right"/>
              <w:rPr>
                <w:sz w:val="10"/>
                <w:szCs w:val="10"/>
              </w:rPr>
            </w:pPr>
            <w:r w:rsidRPr="00005453">
              <w:rPr>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52A63C7E" w14:textId="6F516244" w:rsidR="00E563BC" w:rsidRPr="00005453" w:rsidRDefault="00E563BC" w:rsidP="00E563BC">
            <w:pPr>
              <w:jc w:val="right"/>
              <w:rPr>
                <w:sz w:val="10"/>
                <w:szCs w:val="10"/>
              </w:rPr>
            </w:pPr>
            <w:r w:rsidRPr="00005453">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E6B8524" w14:textId="7CD10579" w:rsidR="00E563BC" w:rsidRPr="00005453" w:rsidRDefault="00E563BC" w:rsidP="00E563BC">
            <w:pPr>
              <w:jc w:val="right"/>
              <w:rPr>
                <w:sz w:val="10"/>
                <w:szCs w:val="10"/>
              </w:rPr>
            </w:pPr>
            <w:r w:rsidRPr="00005453">
              <w:rPr>
                <w:sz w:val="10"/>
                <w:szCs w:val="18"/>
              </w:rPr>
              <w:t>-</w:t>
            </w:r>
          </w:p>
        </w:tc>
      </w:tr>
      <w:tr w:rsidR="00E563BC" w:rsidRPr="00005453" w14:paraId="45A5E6FB"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37049C0"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III.</w:t>
            </w:r>
          </w:p>
        </w:tc>
        <w:tc>
          <w:tcPr>
            <w:tcW w:w="2183" w:type="dxa"/>
            <w:tcBorders>
              <w:top w:val="nil"/>
              <w:left w:val="single" w:sz="4" w:space="0" w:color="auto"/>
              <w:bottom w:val="nil"/>
              <w:right w:val="single" w:sz="4" w:space="0" w:color="auto"/>
            </w:tcBorders>
            <w:shd w:val="clear" w:color="auto" w:fill="auto"/>
            <w:noWrap/>
            <w:vAlign w:val="center"/>
            <w:hideMark/>
          </w:tcPr>
          <w:p w14:paraId="15CA32FA"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Yeni Bakiye (I+II)</w:t>
            </w:r>
          </w:p>
        </w:tc>
        <w:tc>
          <w:tcPr>
            <w:tcW w:w="515" w:type="dxa"/>
            <w:gridSpan w:val="2"/>
            <w:tcBorders>
              <w:top w:val="nil"/>
              <w:left w:val="single" w:sz="4" w:space="0" w:color="auto"/>
              <w:bottom w:val="nil"/>
              <w:right w:val="single" w:sz="4" w:space="0" w:color="auto"/>
            </w:tcBorders>
            <w:shd w:val="clear" w:color="auto" w:fill="auto"/>
            <w:vAlign w:val="center"/>
            <w:hideMark/>
          </w:tcPr>
          <w:p w14:paraId="09126DB3" w14:textId="77777777" w:rsidR="00E563BC" w:rsidRPr="00005453" w:rsidRDefault="00E563BC" w:rsidP="00E563BC">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3072D71" w14:textId="22334716" w:rsidR="00E563BC" w:rsidRPr="00005453" w:rsidRDefault="00E563BC" w:rsidP="00E563BC">
            <w:pPr>
              <w:jc w:val="right"/>
              <w:rPr>
                <w:b/>
                <w:bCs/>
                <w:sz w:val="10"/>
                <w:szCs w:val="10"/>
              </w:rPr>
            </w:pPr>
            <w:r w:rsidRPr="00005453">
              <w:rPr>
                <w:b/>
                <w:bCs/>
                <w:sz w:val="10"/>
                <w:szCs w:val="18"/>
              </w:rPr>
              <w:t>4,595,131</w:t>
            </w:r>
          </w:p>
        </w:tc>
        <w:tc>
          <w:tcPr>
            <w:tcW w:w="843" w:type="dxa"/>
            <w:tcBorders>
              <w:top w:val="nil"/>
              <w:left w:val="single" w:sz="4" w:space="0" w:color="auto"/>
              <w:bottom w:val="nil"/>
              <w:right w:val="single" w:sz="4" w:space="0" w:color="auto"/>
            </w:tcBorders>
            <w:shd w:val="clear" w:color="auto" w:fill="auto"/>
            <w:vAlign w:val="center"/>
            <w:hideMark/>
          </w:tcPr>
          <w:p w14:paraId="6567117B" w14:textId="01A68A8B" w:rsidR="00E563BC" w:rsidRPr="00005453" w:rsidRDefault="00E563BC" w:rsidP="00E563BC">
            <w:pPr>
              <w:jc w:val="right"/>
              <w:rPr>
                <w:b/>
                <w:bCs/>
                <w:sz w:val="10"/>
                <w:szCs w:val="10"/>
              </w:rPr>
            </w:pPr>
            <w:r w:rsidRPr="00005453">
              <w:rPr>
                <w:b/>
                <w:bCs/>
                <w:sz w:val="10"/>
                <w:szCs w:val="18"/>
              </w:rPr>
              <w:t>23,250</w:t>
            </w:r>
          </w:p>
        </w:tc>
        <w:tc>
          <w:tcPr>
            <w:tcW w:w="703" w:type="dxa"/>
            <w:tcBorders>
              <w:top w:val="nil"/>
              <w:left w:val="single" w:sz="4" w:space="0" w:color="auto"/>
              <w:bottom w:val="nil"/>
              <w:right w:val="single" w:sz="4" w:space="0" w:color="auto"/>
            </w:tcBorders>
            <w:shd w:val="clear" w:color="auto" w:fill="auto"/>
            <w:vAlign w:val="center"/>
            <w:hideMark/>
          </w:tcPr>
          <w:p w14:paraId="3E1675D3" w14:textId="2311E988" w:rsidR="00E563BC" w:rsidRPr="00005453" w:rsidRDefault="00E563BC" w:rsidP="00E563BC">
            <w:pPr>
              <w:jc w:val="right"/>
              <w:rPr>
                <w:b/>
                <w:bCs/>
                <w:sz w:val="10"/>
                <w:szCs w:val="10"/>
              </w:rPr>
            </w:pPr>
            <w:r w:rsidRPr="00005453">
              <w:rPr>
                <w:b/>
                <w:bCs/>
                <w:sz w:val="10"/>
                <w:szCs w:val="18"/>
              </w:rPr>
              <w:t>1,874</w:t>
            </w:r>
          </w:p>
        </w:tc>
        <w:tc>
          <w:tcPr>
            <w:tcW w:w="844" w:type="dxa"/>
            <w:tcBorders>
              <w:top w:val="nil"/>
              <w:left w:val="single" w:sz="4" w:space="0" w:color="auto"/>
              <w:bottom w:val="nil"/>
              <w:right w:val="single" w:sz="4" w:space="0" w:color="auto"/>
            </w:tcBorders>
            <w:shd w:val="clear" w:color="auto" w:fill="auto"/>
            <w:vAlign w:val="center"/>
            <w:hideMark/>
          </w:tcPr>
          <w:p w14:paraId="7EB2E6D5" w14:textId="7D366B9C" w:rsidR="00E563BC" w:rsidRPr="00005453" w:rsidRDefault="00E563BC" w:rsidP="00E563BC">
            <w:pPr>
              <w:jc w:val="right"/>
              <w:rPr>
                <w:b/>
                <w:bCs/>
                <w:sz w:val="10"/>
                <w:szCs w:val="10"/>
              </w:rPr>
            </w:pPr>
            <w:r w:rsidRPr="00005453">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04E68A6" w14:textId="2C89F241" w:rsidR="00E563BC" w:rsidRPr="00005453" w:rsidRDefault="00E563BC" w:rsidP="00E563BC">
            <w:pPr>
              <w:jc w:val="right"/>
              <w:rPr>
                <w:b/>
                <w:bCs/>
                <w:sz w:val="10"/>
                <w:szCs w:val="10"/>
              </w:rPr>
            </w:pPr>
            <w:r w:rsidRPr="00005453">
              <w:rPr>
                <w:b/>
                <w:bCs/>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4B11781A" w14:textId="431F6342" w:rsidR="00E563BC" w:rsidRPr="00005453" w:rsidRDefault="00E563BC" w:rsidP="00E563BC">
            <w:pPr>
              <w:jc w:val="right"/>
              <w:rPr>
                <w:b/>
                <w:bCs/>
                <w:sz w:val="10"/>
                <w:szCs w:val="10"/>
              </w:rPr>
            </w:pPr>
            <w:r w:rsidRPr="00005453">
              <w:rPr>
                <w:b/>
                <w:bCs/>
                <w:sz w:val="10"/>
                <w:szCs w:val="18"/>
              </w:rPr>
              <w:t>(513,980)</w:t>
            </w:r>
          </w:p>
        </w:tc>
        <w:tc>
          <w:tcPr>
            <w:tcW w:w="568" w:type="dxa"/>
            <w:tcBorders>
              <w:top w:val="nil"/>
              <w:left w:val="single" w:sz="4" w:space="0" w:color="auto"/>
              <w:bottom w:val="nil"/>
              <w:right w:val="single" w:sz="4" w:space="0" w:color="auto"/>
            </w:tcBorders>
            <w:shd w:val="clear" w:color="auto" w:fill="auto"/>
            <w:vAlign w:val="center"/>
            <w:hideMark/>
          </w:tcPr>
          <w:p w14:paraId="78396871" w14:textId="0CD72305" w:rsidR="00E563BC" w:rsidRPr="00005453" w:rsidRDefault="00E563BC" w:rsidP="00E563BC">
            <w:pPr>
              <w:jc w:val="right"/>
              <w:rPr>
                <w:b/>
                <w:bCs/>
                <w:sz w:val="10"/>
                <w:szCs w:val="10"/>
              </w:rPr>
            </w:pPr>
            <w:r w:rsidRPr="00005453">
              <w:rPr>
                <w:b/>
                <w:bCs/>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4D689F93" w14:textId="736FA0B1" w:rsidR="00E563BC" w:rsidRPr="00005453" w:rsidRDefault="00E563BC" w:rsidP="00E563BC">
            <w:pPr>
              <w:jc w:val="right"/>
              <w:rPr>
                <w:b/>
                <w:bCs/>
                <w:sz w:val="10"/>
                <w:szCs w:val="10"/>
              </w:rPr>
            </w:pPr>
            <w:r w:rsidRPr="00005453">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1BEB33A" w14:textId="1C74AA1A" w:rsidR="00E563BC" w:rsidRPr="00005453" w:rsidRDefault="00E563BC" w:rsidP="00E563BC">
            <w:pPr>
              <w:jc w:val="right"/>
              <w:rPr>
                <w:b/>
                <w:bCs/>
                <w:sz w:val="10"/>
                <w:szCs w:val="10"/>
              </w:rPr>
            </w:pPr>
            <w:r w:rsidRPr="00005453">
              <w:rPr>
                <w:b/>
                <w:bCs/>
                <w:sz w:val="10"/>
                <w:szCs w:val="18"/>
              </w:rPr>
              <w:t>(1,044,479)</w:t>
            </w:r>
          </w:p>
        </w:tc>
        <w:tc>
          <w:tcPr>
            <w:tcW w:w="536" w:type="dxa"/>
            <w:tcBorders>
              <w:top w:val="nil"/>
              <w:left w:val="single" w:sz="4" w:space="0" w:color="auto"/>
              <w:bottom w:val="nil"/>
              <w:right w:val="single" w:sz="4" w:space="0" w:color="auto"/>
            </w:tcBorders>
            <w:shd w:val="clear" w:color="auto" w:fill="auto"/>
            <w:vAlign w:val="center"/>
            <w:hideMark/>
          </w:tcPr>
          <w:p w14:paraId="4BEE9654" w14:textId="38CE3FC8" w:rsidR="00E563BC" w:rsidRPr="00005453" w:rsidRDefault="00E563BC" w:rsidP="00E563BC">
            <w:pPr>
              <w:jc w:val="right"/>
              <w:rPr>
                <w:b/>
                <w:bCs/>
                <w:sz w:val="10"/>
                <w:szCs w:val="10"/>
              </w:rPr>
            </w:pPr>
            <w:r w:rsidRPr="00005453">
              <w:rPr>
                <w:b/>
                <w:bCs/>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1B0A01B0" w14:textId="34A2D6EE" w:rsidR="00E563BC" w:rsidRPr="00005453" w:rsidRDefault="00E563BC" w:rsidP="00E563BC">
            <w:pPr>
              <w:jc w:val="right"/>
              <w:rPr>
                <w:b/>
                <w:bCs/>
                <w:sz w:val="10"/>
                <w:szCs w:val="10"/>
              </w:rPr>
            </w:pPr>
            <w:r w:rsidRPr="00005453">
              <w:rPr>
                <w:b/>
                <w:bCs/>
                <w:sz w:val="10"/>
                <w:szCs w:val="18"/>
              </w:rPr>
              <w:t>18,253,903</w:t>
            </w:r>
          </w:p>
        </w:tc>
        <w:tc>
          <w:tcPr>
            <w:tcW w:w="1022" w:type="dxa"/>
            <w:tcBorders>
              <w:top w:val="nil"/>
              <w:left w:val="single" w:sz="4" w:space="0" w:color="auto"/>
              <w:bottom w:val="nil"/>
              <w:right w:val="single" w:sz="4" w:space="0" w:color="auto"/>
            </w:tcBorders>
            <w:shd w:val="clear" w:color="auto" w:fill="auto"/>
            <w:vAlign w:val="center"/>
            <w:hideMark/>
          </w:tcPr>
          <w:p w14:paraId="69EF895D" w14:textId="63CF6529" w:rsidR="00E563BC" w:rsidRPr="00005453" w:rsidRDefault="00E563BC" w:rsidP="00E563BC">
            <w:pPr>
              <w:jc w:val="right"/>
              <w:rPr>
                <w:b/>
                <w:bCs/>
                <w:sz w:val="10"/>
                <w:szCs w:val="10"/>
              </w:rPr>
            </w:pPr>
            <w:r w:rsidRPr="00005453">
              <w:rPr>
                <w:b/>
                <w:bCs/>
                <w:sz w:val="10"/>
                <w:szCs w:val="18"/>
              </w:rPr>
              <w:t>60,618</w:t>
            </w:r>
          </w:p>
        </w:tc>
        <w:tc>
          <w:tcPr>
            <w:tcW w:w="760" w:type="dxa"/>
            <w:tcBorders>
              <w:top w:val="nil"/>
              <w:left w:val="single" w:sz="4" w:space="0" w:color="auto"/>
              <w:bottom w:val="nil"/>
              <w:right w:val="single" w:sz="4" w:space="0" w:color="auto"/>
            </w:tcBorders>
            <w:shd w:val="clear" w:color="auto" w:fill="auto"/>
            <w:vAlign w:val="center"/>
            <w:hideMark/>
          </w:tcPr>
          <w:p w14:paraId="2575991E" w14:textId="1E3816C6" w:rsidR="00E563BC" w:rsidRPr="00005453" w:rsidRDefault="00E563BC" w:rsidP="00E563BC">
            <w:pPr>
              <w:jc w:val="right"/>
              <w:rPr>
                <w:b/>
                <w:bCs/>
                <w:sz w:val="10"/>
                <w:szCs w:val="10"/>
              </w:rPr>
            </w:pPr>
            <w:r w:rsidRPr="00005453">
              <w:rPr>
                <w:b/>
                <w:bCs/>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2B7FCFB1" w14:textId="539C8584" w:rsidR="00E563BC" w:rsidRPr="00005453" w:rsidRDefault="00E563BC" w:rsidP="00E563BC">
            <w:pPr>
              <w:jc w:val="right"/>
              <w:rPr>
                <w:b/>
                <w:bCs/>
                <w:sz w:val="10"/>
                <w:szCs w:val="10"/>
              </w:rPr>
            </w:pPr>
            <w:r w:rsidRPr="00005453">
              <w:rPr>
                <w:b/>
                <w:bCs/>
                <w:sz w:val="10"/>
                <w:szCs w:val="18"/>
              </w:rPr>
              <w:t>47,985,688</w:t>
            </w:r>
          </w:p>
        </w:tc>
        <w:tc>
          <w:tcPr>
            <w:tcW w:w="702" w:type="dxa"/>
            <w:tcBorders>
              <w:top w:val="nil"/>
              <w:left w:val="single" w:sz="4" w:space="0" w:color="auto"/>
              <w:bottom w:val="nil"/>
              <w:right w:val="single" w:sz="4" w:space="0" w:color="auto"/>
            </w:tcBorders>
            <w:shd w:val="clear" w:color="auto" w:fill="auto"/>
            <w:vAlign w:val="center"/>
            <w:hideMark/>
          </w:tcPr>
          <w:p w14:paraId="614F9131" w14:textId="3EDE51F3" w:rsidR="00E563BC" w:rsidRPr="00005453" w:rsidRDefault="00E563BC" w:rsidP="00E563BC">
            <w:pPr>
              <w:jc w:val="right"/>
              <w:rPr>
                <w:b/>
                <w:bCs/>
                <w:sz w:val="10"/>
                <w:szCs w:val="10"/>
              </w:rPr>
            </w:pPr>
            <w:r w:rsidRPr="00005453">
              <w:rPr>
                <w:b/>
                <w:bCs/>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481E11D" w14:textId="3A4F933A" w:rsidR="00E563BC" w:rsidRPr="00005453" w:rsidRDefault="00E563BC" w:rsidP="00E563BC">
            <w:pPr>
              <w:jc w:val="right"/>
              <w:rPr>
                <w:b/>
                <w:bCs/>
                <w:sz w:val="10"/>
                <w:szCs w:val="10"/>
              </w:rPr>
            </w:pPr>
            <w:r w:rsidRPr="00005453">
              <w:rPr>
                <w:b/>
                <w:bCs/>
                <w:sz w:val="10"/>
                <w:szCs w:val="18"/>
              </w:rPr>
              <w:t>47,985,688</w:t>
            </w:r>
          </w:p>
        </w:tc>
      </w:tr>
      <w:tr w:rsidR="00E563BC" w:rsidRPr="00005453" w14:paraId="4B5A1F2D"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089B1609"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IV.</w:t>
            </w:r>
          </w:p>
        </w:tc>
        <w:tc>
          <w:tcPr>
            <w:tcW w:w="2183" w:type="dxa"/>
            <w:tcBorders>
              <w:top w:val="nil"/>
              <w:left w:val="single" w:sz="4" w:space="0" w:color="auto"/>
              <w:bottom w:val="nil"/>
              <w:right w:val="single" w:sz="4" w:space="0" w:color="auto"/>
            </w:tcBorders>
            <w:shd w:val="clear" w:color="auto" w:fill="auto"/>
            <w:noWrap/>
            <w:vAlign w:val="center"/>
            <w:hideMark/>
          </w:tcPr>
          <w:p w14:paraId="40A90B7F" w14:textId="77777777" w:rsidR="00E563BC" w:rsidRPr="00005453" w:rsidRDefault="00E563BC" w:rsidP="00E563BC">
            <w:pPr>
              <w:rPr>
                <w:b/>
                <w:color w:val="000000"/>
                <w:sz w:val="10"/>
                <w:szCs w:val="10"/>
                <w:lang w:eastAsia="tr-TR"/>
              </w:rPr>
            </w:pPr>
            <w:r w:rsidRPr="00005453">
              <w:rPr>
                <w:b/>
                <w:color w:val="000000"/>
                <w:sz w:val="10"/>
                <w:szCs w:val="10"/>
                <w:lang w:val="en-US" w:eastAsia="tr-TR"/>
              </w:rPr>
              <w:t>Toplam Kapsamlı Gelir</w:t>
            </w:r>
          </w:p>
        </w:tc>
        <w:tc>
          <w:tcPr>
            <w:tcW w:w="515" w:type="dxa"/>
            <w:gridSpan w:val="2"/>
            <w:tcBorders>
              <w:top w:val="nil"/>
              <w:left w:val="single" w:sz="4" w:space="0" w:color="auto"/>
              <w:bottom w:val="nil"/>
              <w:right w:val="single" w:sz="4" w:space="0" w:color="auto"/>
            </w:tcBorders>
            <w:shd w:val="clear" w:color="auto" w:fill="auto"/>
            <w:vAlign w:val="center"/>
            <w:hideMark/>
          </w:tcPr>
          <w:p w14:paraId="302AD1C4"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5BE22BE" w14:textId="560AF126"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1A47CB5C" w14:textId="23757EB3"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F515778" w14:textId="72DB8686"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E9588A2" w14:textId="1A4FA006"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9A79A39" w14:textId="457CB330"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3DD461C9" w14:textId="5BF3017E" w:rsidR="00E563BC" w:rsidRPr="00005453" w:rsidRDefault="00E563BC" w:rsidP="00E563BC">
            <w:pPr>
              <w:jc w:val="right"/>
              <w:rPr>
                <w:b/>
                <w:sz w:val="10"/>
                <w:szCs w:val="10"/>
              </w:rPr>
            </w:pPr>
            <w:r w:rsidRPr="00005453">
              <w:rPr>
                <w:b/>
                <w:sz w:val="10"/>
                <w:szCs w:val="18"/>
              </w:rPr>
              <w:t>(39,784)</w:t>
            </w:r>
          </w:p>
        </w:tc>
        <w:tc>
          <w:tcPr>
            <w:tcW w:w="568" w:type="dxa"/>
            <w:tcBorders>
              <w:top w:val="nil"/>
              <w:left w:val="single" w:sz="4" w:space="0" w:color="auto"/>
              <w:bottom w:val="nil"/>
              <w:right w:val="single" w:sz="4" w:space="0" w:color="auto"/>
            </w:tcBorders>
            <w:shd w:val="clear" w:color="auto" w:fill="auto"/>
            <w:vAlign w:val="center"/>
            <w:hideMark/>
          </w:tcPr>
          <w:p w14:paraId="17B83723" w14:textId="0488AA1E" w:rsidR="00E563BC" w:rsidRPr="00005453" w:rsidRDefault="00E563BC" w:rsidP="00E563BC">
            <w:pPr>
              <w:jc w:val="right"/>
              <w:rPr>
                <w:b/>
                <w:sz w:val="10"/>
                <w:szCs w:val="10"/>
              </w:rPr>
            </w:pPr>
            <w:r w:rsidRPr="00005453">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1127E866" w14:textId="45C45902"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30B4AC0" w14:textId="189779B2" w:rsidR="00E563BC" w:rsidRPr="00005453" w:rsidRDefault="00E563BC" w:rsidP="00E563BC">
            <w:pPr>
              <w:jc w:val="right"/>
              <w:rPr>
                <w:b/>
                <w:sz w:val="10"/>
                <w:szCs w:val="10"/>
              </w:rPr>
            </w:pPr>
            <w:r w:rsidRPr="00005453">
              <w:rPr>
                <w:b/>
                <w:sz w:val="10"/>
                <w:szCs w:val="18"/>
              </w:rPr>
              <w:t>(4,414,769)</w:t>
            </w:r>
          </w:p>
        </w:tc>
        <w:tc>
          <w:tcPr>
            <w:tcW w:w="536" w:type="dxa"/>
            <w:tcBorders>
              <w:top w:val="nil"/>
              <w:left w:val="single" w:sz="4" w:space="0" w:color="auto"/>
              <w:bottom w:val="nil"/>
              <w:right w:val="single" w:sz="4" w:space="0" w:color="auto"/>
            </w:tcBorders>
            <w:shd w:val="clear" w:color="auto" w:fill="auto"/>
            <w:vAlign w:val="center"/>
            <w:hideMark/>
          </w:tcPr>
          <w:p w14:paraId="233F7C59" w14:textId="3C4D4775" w:rsidR="00E563BC" w:rsidRPr="00005453" w:rsidRDefault="00E563BC" w:rsidP="00E563BC">
            <w:pPr>
              <w:jc w:val="right"/>
              <w:rPr>
                <w:b/>
                <w:sz w:val="10"/>
                <w:szCs w:val="10"/>
              </w:rPr>
            </w:pPr>
            <w:r w:rsidRPr="00005453">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55921894" w14:textId="53A27EDA" w:rsidR="00E563BC" w:rsidRPr="00005453" w:rsidRDefault="00E563BC" w:rsidP="00E563BC">
            <w:pPr>
              <w:jc w:val="right"/>
              <w:rPr>
                <w:b/>
                <w:sz w:val="10"/>
                <w:szCs w:val="10"/>
              </w:rPr>
            </w:pPr>
            <w:r w:rsidRPr="00005453">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60C5D316" w14:textId="6057E549" w:rsidR="00E563BC" w:rsidRPr="00005453" w:rsidRDefault="00E563BC" w:rsidP="00E563BC">
            <w:pPr>
              <w:jc w:val="right"/>
              <w:rPr>
                <w:b/>
                <w:sz w:val="10"/>
                <w:szCs w:val="10"/>
              </w:rPr>
            </w:pPr>
            <w:r w:rsidRPr="00005453">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203FCD5C" w14:textId="5F810213" w:rsidR="00E563BC" w:rsidRPr="00005453" w:rsidRDefault="00E563BC" w:rsidP="00E563BC">
            <w:pPr>
              <w:jc w:val="right"/>
              <w:rPr>
                <w:b/>
                <w:sz w:val="10"/>
                <w:szCs w:val="10"/>
              </w:rPr>
            </w:pPr>
            <w:r w:rsidRPr="00005453">
              <w:rPr>
                <w:b/>
                <w:sz w:val="10"/>
                <w:szCs w:val="18"/>
              </w:rPr>
              <w:t>34,653,456</w:t>
            </w:r>
          </w:p>
        </w:tc>
        <w:tc>
          <w:tcPr>
            <w:tcW w:w="844" w:type="dxa"/>
            <w:tcBorders>
              <w:top w:val="nil"/>
              <w:left w:val="single" w:sz="4" w:space="0" w:color="auto"/>
              <w:bottom w:val="nil"/>
              <w:right w:val="single" w:sz="4" w:space="0" w:color="auto"/>
            </w:tcBorders>
            <w:shd w:val="clear" w:color="auto" w:fill="auto"/>
            <w:vAlign w:val="center"/>
            <w:hideMark/>
          </w:tcPr>
          <w:p w14:paraId="4AB5F825" w14:textId="7EF070F7" w:rsidR="00E563BC" w:rsidRPr="00005453" w:rsidRDefault="00E563BC" w:rsidP="00E563BC">
            <w:pPr>
              <w:jc w:val="right"/>
              <w:rPr>
                <w:b/>
                <w:sz w:val="10"/>
                <w:szCs w:val="10"/>
              </w:rPr>
            </w:pPr>
            <w:r w:rsidRPr="00005453">
              <w:rPr>
                <w:b/>
                <w:sz w:val="10"/>
                <w:szCs w:val="18"/>
              </w:rPr>
              <w:t>30,198,903</w:t>
            </w:r>
          </w:p>
        </w:tc>
        <w:tc>
          <w:tcPr>
            <w:tcW w:w="702" w:type="dxa"/>
            <w:tcBorders>
              <w:top w:val="nil"/>
              <w:left w:val="single" w:sz="4" w:space="0" w:color="auto"/>
              <w:bottom w:val="nil"/>
              <w:right w:val="single" w:sz="4" w:space="0" w:color="auto"/>
            </w:tcBorders>
            <w:shd w:val="clear" w:color="auto" w:fill="auto"/>
            <w:vAlign w:val="center"/>
            <w:hideMark/>
          </w:tcPr>
          <w:p w14:paraId="41FD8659" w14:textId="25F52D32" w:rsidR="00E563BC" w:rsidRPr="00005453" w:rsidRDefault="00E563BC" w:rsidP="00E563BC">
            <w:pPr>
              <w:jc w:val="right"/>
              <w:rPr>
                <w:b/>
                <w:sz w:val="10"/>
                <w:szCs w:val="10"/>
              </w:rPr>
            </w:pPr>
            <w:r w:rsidRPr="00005453">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3617D52E" w14:textId="54801B7B" w:rsidR="00E563BC" w:rsidRPr="00005453" w:rsidRDefault="00E563BC" w:rsidP="00E563BC">
            <w:pPr>
              <w:jc w:val="right"/>
              <w:rPr>
                <w:b/>
                <w:sz w:val="10"/>
                <w:szCs w:val="10"/>
              </w:rPr>
            </w:pPr>
            <w:r w:rsidRPr="00005453">
              <w:rPr>
                <w:b/>
                <w:sz w:val="10"/>
                <w:szCs w:val="18"/>
              </w:rPr>
              <w:t>30,198,903</w:t>
            </w:r>
          </w:p>
        </w:tc>
      </w:tr>
      <w:tr w:rsidR="00E563BC" w:rsidRPr="00005453" w14:paraId="058FC5B6"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B6AD68A"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V.</w:t>
            </w:r>
          </w:p>
        </w:tc>
        <w:tc>
          <w:tcPr>
            <w:tcW w:w="2183" w:type="dxa"/>
            <w:tcBorders>
              <w:top w:val="nil"/>
              <w:left w:val="single" w:sz="4" w:space="0" w:color="auto"/>
              <w:bottom w:val="nil"/>
              <w:right w:val="single" w:sz="4" w:space="0" w:color="auto"/>
            </w:tcBorders>
            <w:shd w:val="clear" w:color="auto" w:fill="auto"/>
            <w:noWrap/>
            <w:vAlign w:val="center"/>
            <w:hideMark/>
          </w:tcPr>
          <w:p w14:paraId="2CB55A21" w14:textId="77777777" w:rsidR="00E563BC" w:rsidRPr="00005453" w:rsidRDefault="00E563BC" w:rsidP="00E563BC">
            <w:pPr>
              <w:rPr>
                <w:b/>
                <w:color w:val="000000"/>
                <w:sz w:val="10"/>
                <w:szCs w:val="10"/>
                <w:lang w:eastAsia="tr-TR"/>
              </w:rPr>
            </w:pPr>
            <w:r w:rsidRPr="00005453">
              <w:rPr>
                <w:b/>
                <w:color w:val="000000"/>
                <w:sz w:val="10"/>
                <w:szCs w:val="10"/>
                <w:lang w:val="en-US" w:eastAsia="tr-TR"/>
              </w:rPr>
              <w:t>Nakden Gerçekleştirilen Sermaye Artırımı</w:t>
            </w:r>
          </w:p>
        </w:tc>
        <w:tc>
          <w:tcPr>
            <w:tcW w:w="515" w:type="dxa"/>
            <w:gridSpan w:val="2"/>
            <w:tcBorders>
              <w:top w:val="nil"/>
              <w:left w:val="single" w:sz="4" w:space="0" w:color="auto"/>
              <w:bottom w:val="nil"/>
              <w:right w:val="single" w:sz="4" w:space="0" w:color="auto"/>
            </w:tcBorders>
            <w:shd w:val="clear" w:color="auto" w:fill="auto"/>
            <w:vAlign w:val="center"/>
            <w:hideMark/>
          </w:tcPr>
          <w:p w14:paraId="444F7057"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369596F8" w14:textId="2CEB9342" w:rsidR="00E563BC" w:rsidRPr="00005453" w:rsidRDefault="00E563BC" w:rsidP="00E563BC">
            <w:pPr>
              <w:jc w:val="right"/>
              <w:rPr>
                <w:b/>
                <w:sz w:val="10"/>
                <w:szCs w:val="10"/>
              </w:rPr>
            </w:pPr>
            <w:r w:rsidRPr="00005453">
              <w:rPr>
                <w:b/>
                <w:sz w:val="10"/>
                <w:szCs w:val="18"/>
              </w:rPr>
              <w:t>352,205</w:t>
            </w:r>
          </w:p>
        </w:tc>
        <w:tc>
          <w:tcPr>
            <w:tcW w:w="843" w:type="dxa"/>
            <w:tcBorders>
              <w:top w:val="nil"/>
              <w:left w:val="single" w:sz="4" w:space="0" w:color="auto"/>
              <w:bottom w:val="nil"/>
              <w:right w:val="single" w:sz="4" w:space="0" w:color="auto"/>
            </w:tcBorders>
            <w:shd w:val="clear" w:color="auto" w:fill="auto"/>
            <w:vAlign w:val="center"/>
            <w:hideMark/>
          </w:tcPr>
          <w:p w14:paraId="23CD6802" w14:textId="2BD58752" w:rsidR="00E563BC" w:rsidRPr="00005453" w:rsidRDefault="00E563BC" w:rsidP="00E563BC">
            <w:pPr>
              <w:jc w:val="right"/>
              <w:rPr>
                <w:b/>
                <w:sz w:val="10"/>
                <w:szCs w:val="10"/>
              </w:rPr>
            </w:pPr>
            <w:r w:rsidRPr="00005453">
              <w:rPr>
                <w:b/>
                <w:sz w:val="10"/>
                <w:szCs w:val="18"/>
              </w:rPr>
              <w:t>6,350,256</w:t>
            </w:r>
          </w:p>
        </w:tc>
        <w:tc>
          <w:tcPr>
            <w:tcW w:w="703" w:type="dxa"/>
            <w:tcBorders>
              <w:top w:val="nil"/>
              <w:left w:val="single" w:sz="4" w:space="0" w:color="auto"/>
              <w:bottom w:val="nil"/>
              <w:right w:val="single" w:sz="4" w:space="0" w:color="auto"/>
            </w:tcBorders>
            <w:shd w:val="clear" w:color="auto" w:fill="auto"/>
            <w:vAlign w:val="center"/>
            <w:hideMark/>
          </w:tcPr>
          <w:p w14:paraId="1A1BEC3F" w14:textId="74A5A0DC"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C42E65B" w14:textId="07E8162B"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D8C171C" w14:textId="430544B5"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325F7626" w14:textId="254339E9"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134455B7" w14:textId="7A68F2FE" w:rsidR="00E563BC" w:rsidRPr="00005453" w:rsidRDefault="00E563BC" w:rsidP="00E563BC">
            <w:pPr>
              <w:jc w:val="right"/>
              <w:rPr>
                <w:b/>
                <w:sz w:val="10"/>
                <w:szCs w:val="10"/>
              </w:rPr>
            </w:pPr>
            <w:r w:rsidRPr="00005453">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F991304" w14:textId="37F9169A"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E7B4981" w14:textId="0A67DB89" w:rsidR="00E563BC" w:rsidRPr="00005453" w:rsidRDefault="00E563BC" w:rsidP="00E563BC">
            <w:pPr>
              <w:jc w:val="right"/>
              <w:rPr>
                <w:b/>
                <w:sz w:val="10"/>
                <w:szCs w:val="10"/>
              </w:rPr>
            </w:pPr>
            <w:r w:rsidRPr="00005453">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0ABFDDE4" w14:textId="2477A9CA" w:rsidR="00E563BC" w:rsidRPr="00005453" w:rsidRDefault="00E563BC" w:rsidP="00E563BC">
            <w:pPr>
              <w:jc w:val="right"/>
              <w:rPr>
                <w:b/>
                <w:sz w:val="10"/>
                <w:szCs w:val="10"/>
              </w:rPr>
            </w:pPr>
            <w:r w:rsidRPr="00005453">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7DB02966" w14:textId="6FA540CD" w:rsidR="00E563BC" w:rsidRPr="00005453" w:rsidRDefault="00E563BC" w:rsidP="00E563BC">
            <w:pPr>
              <w:jc w:val="right"/>
              <w:rPr>
                <w:b/>
                <w:sz w:val="10"/>
                <w:szCs w:val="10"/>
              </w:rPr>
            </w:pPr>
            <w:r w:rsidRPr="00005453">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6A312962" w14:textId="5E388F1C" w:rsidR="00E563BC" w:rsidRPr="00005453" w:rsidRDefault="00E563BC" w:rsidP="00E563BC">
            <w:pPr>
              <w:jc w:val="right"/>
              <w:rPr>
                <w:b/>
                <w:sz w:val="10"/>
                <w:szCs w:val="10"/>
              </w:rPr>
            </w:pPr>
            <w:r w:rsidRPr="00005453">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7B0D9433" w14:textId="68C4DC6F"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2FB758B" w14:textId="17F08297" w:rsidR="00E563BC" w:rsidRPr="00005453" w:rsidRDefault="00E563BC" w:rsidP="00E563BC">
            <w:pPr>
              <w:jc w:val="right"/>
              <w:rPr>
                <w:b/>
                <w:sz w:val="10"/>
                <w:szCs w:val="10"/>
              </w:rPr>
            </w:pPr>
            <w:r w:rsidRPr="00005453">
              <w:rPr>
                <w:b/>
                <w:sz w:val="10"/>
                <w:szCs w:val="18"/>
              </w:rPr>
              <w:t>6,702,461</w:t>
            </w:r>
          </w:p>
        </w:tc>
        <w:tc>
          <w:tcPr>
            <w:tcW w:w="702" w:type="dxa"/>
            <w:tcBorders>
              <w:top w:val="nil"/>
              <w:left w:val="single" w:sz="4" w:space="0" w:color="auto"/>
              <w:bottom w:val="nil"/>
              <w:right w:val="single" w:sz="4" w:space="0" w:color="auto"/>
            </w:tcBorders>
            <w:shd w:val="clear" w:color="auto" w:fill="auto"/>
            <w:vAlign w:val="center"/>
            <w:hideMark/>
          </w:tcPr>
          <w:p w14:paraId="13D929A5" w14:textId="0E87CC71" w:rsidR="00E563BC" w:rsidRPr="00005453" w:rsidRDefault="00E563BC" w:rsidP="00E563BC">
            <w:pPr>
              <w:jc w:val="right"/>
              <w:rPr>
                <w:b/>
                <w:sz w:val="10"/>
                <w:szCs w:val="10"/>
              </w:rPr>
            </w:pPr>
            <w:r w:rsidRPr="00005453">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0D1F51BF" w14:textId="3C485A65" w:rsidR="00E563BC" w:rsidRPr="00005453" w:rsidRDefault="00E563BC" w:rsidP="00E563BC">
            <w:pPr>
              <w:jc w:val="right"/>
              <w:rPr>
                <w:b/>
                <w:sz w:val="10"/>
                <w:szCs w:val="10"/>
              </w:rPr>
            </w:pPr>
            <w:r w:rsidRPr="00005453">
              <w:rPr>
                <w:b/>
                <w:sz w:val="10"/>
                <w:szCs w:val="18"/>
              </w:rPr>
              <w:t>6,702,461</w:t>
            </w:r>
          </w:p>
        </w:tc>
      </w:tr>
      <w:tr w:rsidR="00E563BC" w:rsidRPr="00005453" w14:paraId="7B402F12" w14:textId="77777777" w:rsidTr="00E563BC">
        <w:trPr>
          <w:trHeight w:val="1"/>
        </w:trPr>
        <w:tc>
          <w:tcPr>
            <w:tcW w:w="410" w:type="dxa"/>
            <w:tcBorders>
              <w:top w:val="nil"/>
              <w:left w:val="single" w:sz="4" w:space="0" w:color="auto"/>
              <w:bottom w:val="nil"/>
              <w:right w:val="single" w:sz="4" w:space="0" w:color="auto"/>
            </w:tcBorders>
            <w:shd w:val="clear" w:color="auto" w:fill="auto"/>
            <w:noWrap/>
            <w:hideMark/>
          </w:tcPr>
          <w:p w14:paraId="77A088DE"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VI.</w:t>
            </w:r>
          </w:p>
        </w:tc>
        <w:tc>
          <w:tcPr>
            <w:tcW w:w="2183" w:type="dxa"/>
            <w:tcBorders>
              <w:top w:val="nil"/>
              <w:left w:val="single" w:sz="4" w:space="0" w:color="auto"/>
              <w:bottom w:val="nil"/>
              <w:right w:val="single" w:sz="4" w:space="0" w:color="auto"/>
            </w:tcBorders>
            <w:shd w:val="clear" w:color="auto" w:fill="auto"/>
            <w:noWrap/>
            <w:hideMark/>
          </w:tcPr>
          <w:p w14:paraId="64AF9DDD" w14:textId="77777777" w:rsidR="00E563BC" w:rsidRPr="00005453" w:rsidRDefault="00E563BC" w:rsidP="00E563BC">
            <w:pPr>
              <w:rPr>
                <w:b/>
                <w:color w:val="000000"/>
                <w:sz w:val="10"/>
                <w:szCs w:val="10"/>
                <w:lang w:eastAsia="tr-TR"/>
              </w:rPr>
            </w:pPr>
            <w:r w:rsidRPr="00005453">
              <w:rPr>
                <w:b/>
                <w:color w:val="000000"/>
                <w:sz w:val="10"/>
                <w:szCs w:val="10"/>
                <w:lang w:eastAsia="tr-TR"/>
              </w:rPr>
              <w:t>İç Kaynaklardan Gerçekleştirilen Sermaye Artırımı</w:t>
            </w:r>
          </w:p>
        </w:tc>
        <w:tc>
          <w:tcPr>
            <w:tcW w:w="515" w:type="dxa"/>
            <w:gridSpan w:val="2"/>
            <w:tcBorders>
              <w:top w:val="nil"/>
              <w:left w:val="single" w:sz="4" w:space="0" w:color="auto"/>
              <w:bottom w:val="nil"/>
              <w:right w:val="single" w:sz="4" w:space="0" w:color="auto"/>
            </w:tcBorders>
            <w:shd w:val="clear" w:color="auto" w:fill="auto"/>
            <w:hideMark/>
          </w:tcPr>
          <w:p w14:paraId="404812CF"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8065BC7" w14:textId="7EBCB294"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16FBAD33" w14:textId="4FDFCF57"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0303114" w14:textId="2E6AC919"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3D7A4E7" w14:textId="2219058B"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2DE2D8C" w14:textId="6C805A71"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008648D4" w14:textId="7DC3424A"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3AA48EE2" w14:textId="276C0B89" w:rsidR="00E563BC" w:rsidRPr="00005453" w:rsidRDefault="00E563BC" w:rsidP="00E563BC">
            <w:pPr>
              <w:jc w:val="right"/>
              <w:rPr>
                <w:b/>
                <w:sz w:val="10"/>
                <w:szCs w:val="10"/>
              </w:rPr>
            </w:pPr>
            <w:r w:rsidRPr="00005453">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560A51D6" w14:textId="54E95183"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4F26CF6" w14:textId="22775DA7" w:rsidR="00E563BC" w:rsidRPr="00005453" w:rsidRDefault="00E563BC" w:rsidP="00E563BC">
            <w:pPr>
              <w:jc w:val="right"/>
              <w:rPr>
                <w:b/>
                <w:sz w:val="10"/>
                <w:szCs w:val="10"/>
              </w:rPr>
            </w:pPr>
            <w:r w:rsidRPr="00005453">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434AFAA0" w14:textId="277E492E" w:rsidR="00E563BC" w:rsidRPr="00005453" w:rsidRDefault="00E563BC" w:rsidP="00E563BC">
            <w:pPr>
              <w:jc w:val="right"/>
              <w:rPr>
                <w:b/>
                <w:sz w:val="10"/>
                <w:szCs w:val="10"/>
              </w:rPr>
            </w:pPr>
            <w:r w:rsidRPr="00005453">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2E7D9D20" w14:textId="10ABB6A5" w:rsidR="00E563BC" w:rsidRPr="00005453" w:rsidRDefault="00E563BC" w:rsidP="00E563BC">
            <w:pPr>
              <w:jc w:val="right"/>
              <w:rPr>
                <w:b/>
                <w:sz w:val="10"/>
                <w:szCs w:val="10"/>
              </w:rPr>
            </w:pPr>
            <w:r w:rsidRPr="00005453">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240195AA" w14:textId="2CF94F33" w:rsidR="00E563BC" w:rsidRPr="00005453" w:rsidRDefault="00E563BC" w:rsidP="00E563BC">
            <w:pPr>
              <w:jc w:val="right"/>
              <w:rPr>
                <w:b/>
                <w:sz w:val="10"/>
                <w:szCs w:val="10"/>
              </w:rPr>
            </w:pPr>
            <w:r w:rsidRPr="00005453">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6BD767B5" w14:textId="48D79CE9"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41B27980" w14:textId="57B08394" w:rsidR="00E563BC" w:rsidRPr="00005453" w:rsidRDefault="00E563BC" w:rsidP="00E563BC">
            <w:pPr>
              <w:jc w:val="right"/>
              <w:rPr>
                <w:b/>
                <w:sz w:val="10"/>
                <w:szCs w:val="10"/>
              </w:rPr>
            </w:pPr>
            <w:r w:rsidRPr="00005453">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76EBE8F5" w14:textId="11B9AC09" w:rsidR="00E563BC" w:rsidRPr="00005453" w:rsidRDefault="00E563BC" w:rsidP="00E563BC">
            <w:pPr>
              <w:jc w:val="right"/>
              <w:rPr>
                <w:b/>
                <w:sz w:val="10"/>
                <w:szCs w:val="10"/>
              </w:rPr>
            </w:pPr>
            <w:r w:rsidRPr="00005453">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5354E774" w14:textId="5814D5F4" w:rsidR="00E563BC" w:rsidRPr="00005453" w:rsidRDefault="00E563BC" w:rsidP="00E563BC">
            <w:pPr>
              <w:jc w:val="right"/>
              <w:rPr>
                <w:b/>
                <w:sz w:val="10"/>
                <w:szCs w:val="10"/>
              </w:rPr>
            </w:pPr>
            <w:r w:rsidRPr="00005453">
              <w:rPr>
                <w:b/>
                <w:sz w:val="10"/>
                <w:szCs w:val="18"/>
              </w:rPr>
              <w:t>-</w:t>
            </w:r>
          </w:p>
        </w:tc>
      </w:tr>
      <w:tr w:rsidR="00E563BC" w:rsidRPr="00005453" w14:paraId="117AB01C"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685AAEE3"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VII.</w:t>
            </w:r>
          </w:p>
        </w:tc>
        <w:tc>
          <w:tcPr>
            <w:tcW w:w="2183" w:type="dxa"/>
            <w:tcBorders>
              <w:top w:val="nil"/>
              <w:left w:val="single" w:sz="4" w:space="0" w:color="auto"/>
              <w:bottom w:val="nil"/>
              <w:right w:val="single" w:sz="4" w:space="0" w:color="auto"/>
            </w:tcBorders>
            <w:shd w:val="clear" w:color="auto" w:fill="auto"/>
            <w:vAlign w:val="center"/>
            <w:hideMark/>
          </w:tcPr>
          <w:p w14:paraId="79F42349" w14:textId="77777777" w:rsidR="00E563BC" w:rsidRPr="00005453" w:rsidRDefault="00E563BC" w:rsidP="00E563BC">
            <w:pPr>
              <w:rPr>
                <w:b/>
                <w:color w:val="000000"/>
                <w:sz w:val="10"/>
                <w:szCs w:val="10"/>
                <w:lang w:eastAsia="tr-TR"/>
              </w:rPr>
            </w:pPr>
            <w:r w:rsidRPr="00005453">
              <w:rPr>
                <w:b/>
                <w:color w:val="000000"/>
                <w:sz w:val="10"/>
                <w:szCs w:val="10"/>
                <w:lang w:val="en-US" w:eastAsia="tr-TR"/>
              </w:rPr>
              <w:t>Ödenmiş Sermaye Enflasyon Düzeltme Farkı</w:t>
            </w:r>
          </w:p>
        </w:tc>
        <w:tc>
          <w:tcPr>
            <w:tcW w:w="515" w:type="dxa"/>
            <w:gridSpan w:val="2"/>
            <w:tcBorders>
              <w:top w:val="nil"/>
              <w:left w:val="single" w:sz="4" w:space="0" w:color="auto"/>
              <w:bottom w:val="nil"/>
              <w:right w:val="single" w:sz="4" w:space="0" w:color="auto"/>
            </w:tcBorders>
            <w:shd w:val="clear" w:color="auto" w:fill="auto"/>
            <w:vAlign w:val="center"/>
            <w:hideMark/>
          </w:tcPr>
          <w:p w14:paraId="25FAAC25"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CAACE67" w14:textId="48C6A432"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5FBCF96B" w14:textId="20041796"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FB959F5" w14:textId="02E38C3B"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4BCEEE9" w14:textId="5E07AD59"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F26317E" w14:textId="6B7ECBBC"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0745883E" w14:textId="0CF26049"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1188615B" w14:textId="30569D3E" w:rsidR="00E563BC" w:rsidRPr="00E6433E" w:rsidRDefault="00E563BC" w:rsidP="00E563BC">
            <w:pPr>
              <w:jc w:val="right"/>
              <w:rPr>
                <w:b/>
                <w:sz w:val="10"/>
                <w:szCs w:val="10"/>
              </w:rPr>
            </w:pPr>
            <w:r w:rsidRPr="00E6433E">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80BA7B1" w14:textId="40350AD3" w:rsidR="00E563BC" w:rsidRPr="00E6433E" w:rsidRDefault="00E563BC" w:rsidP="00E563BC">
            <w:pPr>
              <w:jc w:val="right"/>
              <w:rPr>
                <w:b/>
                <w:sz w:val="10"/>
                <w:szCs w:val="10"/>
              </w:rPr>
            </w:pPr>
            <w:r w:rsidRPr="00E6433E">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22CFDA7" w14:textId="1D0F9A96" w:rsidR="00E563BC" w:rsidRPr="00E6433E" w:rsidRDefault="00E563BC" w:rsidP="00E563BC">
            <w:pPr>
              <w:jc w:val="right"/>
              <w:rPr>
                <w:b/>
                <w:sz w:val="10"/>
                <w:szCs w:val="10"/>
              </w:rPr>
            </w:pPr>
            <w:r w:rsidRPr="00E6433E">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030BCD08" w14:textId="6B658117" w:rsidR="00E563BC" w:rsidRPr="00E6433E" w:rsidRDefault="00E563BC" w:rsidP="00E563BC">
            <w:pPr>
              <w:jc w:val="right"/>
              <w:rPr>
                <w:b/>
                <w:sz w:val="10"/>
                <w:szCs w:val="10"/>
              </w:rPr>
            </w:pPr>
            <w:r w:rsidRPr="00E6433E">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76C56BD1" w14:textId="6283F7DE" w:rsidR="00E563BC" w:rsidRPr="00E6433E" w:rsidRDefault="00E563BC" w:rsidP="00E563BC">
            <w:pPr>
              <w:jc w:val="right"/>
              <w:rPr>
                <w:b/>
                <w:sz w:val="10"/>
                <w:szCs w:val="10"/>
              </w:rPr>
            </w:pPr>
            <w:r w:rsidRPr="00E6433E">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0EC62ED0" w14:textId="65FB632C" w:rsidR="00E563BC" w:rsidRPr="00E6433E" w:rsidRDefault="00E563BC" w:rsidP="00E563BC">
            <w:pPr>
              <w:jc w:val="right"/>
              <w:rPr>
                <w:b/>
                <w:sz w:val="10"/>
                <w:szCs w:val="10"/>
              </w:rPr>
            </w:pPr>
            <w:r w:rsidRPr="00E6433E">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63FE8BBF" w14:textId="5D4BE35F" w:rsidR="00E563BC" w:rsidRPr="00E6433E" w:rsidRDefault="00E563BC" w:rsidP="00E563BC">
            <w:pPr>
              <w:jc w:val="right"/>
              <w:rPr>
                <w:b/>
                <w:sz w:val="10"/>
                <w:szCs w:val="10"/>
              </w:rPr>
            </w:pPr>
            <w:r w:rsidRPr="00E6433E">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7440258" w14:textId="20BFE092" w:rsidR="00E563BC" w:rsidRPr="00E6433E" w:rsidRDefault="00E563BC" w:rsidP="00E563BC">
            <w:pPr>
              <w:jc w:val="right"/>
              <w:rPr>
                <w:b/>
                <w:sz w:val="10"/>
                <w:szCs w:val="10"/>
              </w:rPr>
            </w:pPr>
            <w:r w:rsidRPr="00E6433E">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471AA948" w14:textId="1C104B31" w:rsidR="00E563BC" w:rsidRPr="00E6433E" w:rsidRDefault="00E563BC" w:rsidP="00E563BC">
            <w:pPr>
              <w:jc w:val="right"/>
              <w:rPr>
                <w:b/>
                <w:sz w:val="10"/>
                <w:szCs w:val="10"/>
              </w:rPr>
            </w:pPr>
            <w:r w:rsidRPr="00E6433E">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64DD1BA7" w14:textId="70B55141" w:rsidR="00E563BC" w:rsidRPr="00E6433E" w:rsidRDefault="00E563BC" w:rsidP="00E563BC">
            <w:pPr>
              <w:jc w:val="right"/>
              <w:rPr>
                <w:b/>
                <w:sz w:val="10"/>
                <w:szCs w:val="10"/>
              </w:rPr>
            </w:pPr>
            <w:r w:rsidRPr="00E6433E">
              <w:rPr>
                <w:b/>
                <w:sz w:val="10"/>
                <w:szCs w:val="18"/>
              </w:rPr>
              <w:t>-</w:t>
            </w:r>
          </w:p>
        </w:tc>
      </w:tr>
      <w:tr w:rsidR="00E563BC" w:rsidRPr="00005453" w14:paraId="1195B888"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2AC2DEDE"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VIII.</w:t>
            </w:r>
          </w:p>
        </w:tc>
        <w:tc>
          <w:tcPr>
            <w:tcW w:w="2183" w:type="dxa"/>
            <w:tcBorders>
              <w:top w:val="nil"/>
              <w:left w:val="single" w:sz="4" w:space="0" w:color="auto"/>
              <w:bottom w:val="nil"/>
              <w:right w:val="single" w:sz="4" w:space="0" w:color="auto"/>
            </w:tcBorders>
            <w:shd w:val="clear" w:color="auto" w:fill="auto"/>
            <w:noWrap/>
            <w:vAlign w:val="center"/>
            <w:hideMark/>
          </w:tcPr>
          <w:p w14:paraId="10ECA313" w14:textId="77777777" w:rsidR="00E563BC" w:rsidRPr="00005453" w:rsidRDefault="00E563BC" w:rsidP="00E563BC">
            <w:pPr>
              <w:rPr>
                <w:b/>
                <w:color w:val="000000"/>
                <w:sz w:val="10"/>
                <w:szCs w:val="10"/>
                <w:lang w:eastAsia="tr-TR"/>
              </w:rPr>
            </w:pPr>
            <w:r w:rsidRPr="00005453">
              <w:rPr>
                <w:b/>
                <w:color w:val="000000"/>
                <w:sz w:val="10"/>
                <w:szCs w:val="10"/>
                <w:lang w:val="en-US" w:eastAsia="tr-TR"/>
              </w:rPr>
              <w:t>Hisse Senedine Dönüştürülebilir Tahviller</w:t>
            </w:r>
          </w:p>
        </w:tc>
        <w:tc>
          <w:tcPr>
            <w:tcW w:w="515" w:type="dxa"/>
            <w:gridSpan w:val="2"/>
            <w:tcBorders>
              <w:top w:val="nil"/>
              <w:left w:val="single" w:sz="4" w:space="0" w:color="auto"/>
              <w:bottom w:val="nil"/>
              <w:right w:val="single" w:sz="4" w:space="0" w:color="auto"/>
            </w:tcBorders>
            <w:shd w:val="clear" w:color="auto" w:fill="auto"/>
            <w:vAlign w:val="center"/>
            <w:hideMark/>
          </w:tcPr>
          <w:p w14:paraId="6138BAC2"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861A0C8" w14:textId="1BAF30CC"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3461FF9C" w14:textId="4B71B201"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E97CD2E" w14:textId="59F4C21C"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10A71875" w14:textId="0C781B3A"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5620390" w14:textId="3C7F3690"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4C2F9AF5" w14:textId="47408A7F"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5958755B" w14:textId="3DEC68CE" w:rsidR="00E563BC" w:rsidRPr="00E6433E" w:rsidRDefault="00E563BC" w:rsidP="00E563BC">
            <w:pPr>
              <w:jc w:val="right"/>
              <w:rPr>
                <w:b/>
                <w:sz w:val="10"/>
                <w:szCs w:val="10"/>
              </w:rPr>
            </w:pPr>
            <w:r w:rsidRPr="00E6433E">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19B016C" w14:textId="352610E2" w:rsidR="00E563BC" w:rsidRPr="00E6433E" w:rsidRDefault="00E563BC" w:rsidP="00E563BC">
            <w:pPr>
              <w:jc w:val="right"/>
              <w:rPr>
                <w:b/>
                <w:sz w:val="10"/>
                <w:szCs w:val="10"/>
              </w:rPr>
            </w:pPr>
            <w:r w:rsidRPr="00E6433E">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2924C26" w14:textId="306A6A30" w:rsidR="00E563BC" w:rsidRPr="00E6433E" w:rsidRDefault="00E563BC" w:rsidP="00E563BC">
            <w:pPr>
              <w:jc w:val="right"/>
              <w:rPr>
                <w:b/>
                <w:sz w:val="10"/>
                <w:szCs w:val="10"/>
              </w:rPr>
            </w:pPr>
            <w:r w:rsidRPr="00E6433E">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61802552" w14:textId="12E80474" w:rsidR="00E563BC" w:rsidRPr="00E6433E" w:rsidRDefault="00E563BC" w:rsidP="00E563BC">
            <w:pPr>
              <w:jc w:val="right"/>
              <w:rPr>
                <w:b/>
                <w:sz w:val="10"/>
                <w:szCs w:val="10"/>
              </w:rPr>
            </w:pPr>
            <w:r w:rsidRPr="00E6433E">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0C249AA0" w14:textId="0CBF3385" w:rsidR="00E563BC" w:rsidRPr="00E6433E" w:rsidRDefault="00E563BC" w:rsidP="00E563BC">
            <w:pPr>
              <w:jc w:val="right"/>
              <w:rPr>
                <w:b/>
                <w:sz w:val="10"/>
                <w:szCs w:val="10"/>
              </w:rPr>
            </w:pPr>
            <w:r w:rsidRPr="00E6433E">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734CABD0" w14:textId="071075A5" w:rsidR="00E563BC" w:rsidRPr="00E6433E" w:rsidRDefault="00E563BC" w:rsidP="00E563BC">
            <w:pPr>
              <w:jc w:val="right"/>
              <w:rPr>
                <w:b/>
                <w:sz w:val="10"/>
                <w:szCs w:val="10"/>
              </w:rPr>
            </w:pPr>
            <w:r w:rsidRPr="00E6433E">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5F683389" w14:textId="0283D84E" w:rsidR="00E563BC" w:rsidRPr="00E6433E" w:rsidRDefault="00E563BC" w:rsidP="00E563BC">
            <w:pPr>
              <w:jc w:val="right"/>
              <w:rPr>
                <w:b/>
                <w:sz w:val="10"/>
                <w:szCs w:val="10"/>
              </w:rPr>
            </w:pPr>
            <w:r w:rsidRPr="00E6433E">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B8DFB0B" w14:textId="0C34AF88" w:rsidR="00E563BC" w:rsidRPr="00E6433E" w:rsidRDefault="00E563BC" w:rsidP="00E563BC">
            <w:pPr>
              <w:jc w:val="right"/>
              <w:rPr>
                <w:b/>
                <w:sz w:val="10"/>
                <w:szCs w:val="10"/>
              </w:rPr>
            </w:pPr>
            <w:r w:rsidRPr="00E6433E">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50E49A87" w14:textId="693D0BF9" w:rsidR="00E563BC" w:rsidRPr="00E6433E" w:rsidRDefault="00E563BC" w:rsidP="00E563BC">
            <w:pPr>
              <w:jc w:val="right"/>
              <w:rPr>
                <w:b/>
                <w:sz w:val="10"/>
                <w:szCs w:val="10"/>
              </w:rPr>
            </w:pPr>
            <w:r w:rsidRPr="00E6433E">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6D091C75" w14:textId="572F680C" w:rsidR="00E563BC" w:rsidRPr="00E6433E" w:rsidRDefault="00E563BC" w:rsidP="00E563BC">
            <w:pPr>
              <w:jc w:val="right"/>
              <w:rPr>
                <w:b/>
                <w:sz w:val="10"/>
                <w:szCs w:val="10"/>
              </w:rPr>
            </w:pPr>
            <w:r w:rsidRPr="00E6433E">
              <w:rPr>
                <w:b/>
                <w:sz w:val="10"/>
                <w:szCs w:val="18"/>
              </w:rPr>
              <w:t>-</w:t>
            </w:r>
          </w:p>
        </w:tc>
      </w:tr>
      <w:tr w:rsidR="00E563BC" w:rsidRPr="00005453" w14:paraId="274D1CE1"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37D4EEFB"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IX.</w:t>
            </w:r>
          </w:p>
        </w:tc>
        <w:tc>
          <w:tcPr>
            <w:tcW w:w="2183" w:type="dxa"/>
            <w:tcBorders>
              <w:top w:val="nil"/>
              <w:left w:val="single" w:sz="4" w:space="0" w:color="auto"/>
              <w:bottom w:val="nil"/>
              <w:right w:val="single" w:sz="4" w:space="0" w:color="auto"/>
            </w:tcBorders>
            <w:shd w:val="clear" w:color="auto" w:fill="auto"/>
            <w:noWrap/>
            <w:vAlign w:val="center"/>
            <w:hideMark/>
          </w:tcPr>
          <w:p w14:paraId="7EE0E826" w14:textId="77777777" w:rsidR="00E563BC" w:rsidRPr="00005453" w:rsidRDefault="00E563BC" w:rsidP="00E563BC">
            <w:pPr>
              <w:rPr>
                <w:b/>
                <w:color w:val="000000"/>
                <w:sz w:val="10"/>
                <w:szCs w:val="10"/>
                <w:lang w:eastAsia="tr-TR"/>
              </w:rPr>
            </w:pPr>
            <w:r w:rsidRPr="00005453">
              <w:rPr>
                <w:b/>
                <w:color w:val="000000"/>
                <w:sz w:val="10"/>
                <w:szCs w:val="10"/>
                <w:lang w:val="en-US" w:eastAsia="tr-TR"/>
              </w:rPr>
              <w:t>Sermaye Benzeri Borçlanma Araçları</w:t>
            </w:r>
          </w:p>
        </w:tc>
        <w:tc>
          <w:tcPr>
            <w:tcW w:w="515" w:type="dxa"/>
            <w:gridSpan w:val="2"/>
            <w:tcBorders>
              <w:top w:val="nil"/>
              <w:left w:val="single" w:sz="4" w:space="0" w:color="auto"/>
              <w:bottom w:val="nil"/>
              <w:right w:val="single" w:sz="4" w:space="0" w:color="auto"/>
            </w:tcBorders>
            <w:shd w:val="clear" w:color="auto" w:fill="auto"/>
            <w:vAlign w:val="center"/>
            <w:hideMark/>
          </w:tcPr>
          <w:p w14:paraId="1536F943"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90531C3" w14:textId="272296AD"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57530F68" w14:textId="64BDDA2C"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882F581" w14:textId="3D6C22AB"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43111ED8" w14:textId="1BD48E06"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02D91B2A" w14:textId="2E68FBFA"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5DF3D3CD" w14:textId="2AB30BF3"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6E114C7E" w14:textId="32385BD2" w:rsidR="00E563BC" w:rsidRPr="00E6433E" w:rsidRDefault="00E563BC" w:rsidP="00E563BC">
            <w:pPr>
              <w:jc w:val="right"/>
              <w:rPr>
                <w:b/>
                <w:sz w:val="10"/>
                <w:szCs w:val="10"/>
              </w:rPr>
            </w:pPr>
            <w:r w:rsidRPr="00E6433E">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28B079A2" w14:textId="793F6944" w:rsidR="00E563BC" w:rsidRPr="00E6433E" w:rsidRDefault="00E563BC" w:rsidP="00E563BC">
            <w:pPr>
              <w:jc w:val="right"/>
              <w:rPr>
                <w:b/>
                <w:sz w:val="10"/>
                <w:szCs w:val="10"/>
              </w:rPr>
            </w:pPr>
            <w:r w:rsidRPr="00E6433E">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536F912" w14:textId="3C6C89A7" w:rsidR="00E563BC" w:rsidRPr="00E6433E" w:rsidRDefault="00E563BC" w:rsidP="00E563BC">
            <w:pPr>
              <w:jc w:val="right"/>
              <w:rPr>
                <w:b/>
                <w:sz w:val="10"/>
                <w:szCs w:val="10"/>
              </w:rPr>
            </w:pPr>
            <w:r w:rsidRPr="00E6433E">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78FDEA5F" w14:textId="5E6B75D2" w:rsidR="00E563BC" w:rsidRPr="00E6433E" w:rsidRDefault="00E563BC" w:rsidP="00E563BC">
            <w:pPr>
              <w:jc w:val="right"/>
              <w:rPr>
                <w:b/>
                <w:sz w:val="10"/>
                <w:szCs w:val="10"/>
              </w:rPr>
            </w:pPr>
            <w:r w:rsidRPr="00E6433E">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40153F9D" w14:textId="560B11A0" w:rsidR="00E563BC" w:rsidRPr="00E6433E" w:rsidRDefault="00E563BC" w:rsidP="00E563BC">
            <w:pPr>
              <w:jc w:val="right"/>
              <w:rPr>
                <w:b/>
                <w:sz w:val="10"/>
                <w:szCs w:val="10"/>
              </w:rPr>
            </w:pPr>
            <w:r w:rsidRPr="00E6433E">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0A3642AE" w14:textId="5BAB4CAA" w:rsidR="00E563BC" w:rsidRPr="00E6433E" w:rsidRDefault="00E563BC" w:rsidP="00E563BC">
            <w:pPr>
              <w:jc w:val="right"/>
              <w:rPr>
                <w:b/>
                <w:sz w:val="10"/>
                <w:szCs w:val="10"/>
              </w:rPr>
            </w:pPr>
            <w:r w:rsidRPr="00E6433E">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5EA8BC1D" w14:textId="4DD9FF4C" w:rsidR="00E563BC" w:rsidRPr="00E6433E" w:rsidRDefault="00E563BC" w:rsidP="00E563BC">
            <w:pPr>
              <w:jc w:val="right"/>
              <w:rPr>
                <w:b/>
                <w:sz w:val="10"/>
                <w:szCs w:val="10"/>
              </w:rPr>
            </w:pPr>
            <w:r w:rsidRPr="00E6433E">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A459980" w14:textId="61298DA2" w:rsidR="00E563BC" w:rsidRPr="00E6433E" w:rsidRDefault="00E563BC" w:rsidP="00E563BC">
            <w:pPr>
              <w:jc w:val="right"/>
              <w:rPr>
                <w:b/>
                <w:sz w:val="10"/>
                <w:szCs w:val="10"/>
              </w:rPr>
            </w:pPr>
            <w:r w:rsidRPr="00E6433E">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2B1E8BBC" w14:textId="275887BB" w:rsidR="00E563BC" w:rsidRPr="00E6433E" w:rsidRDefault="00E563BC" w:rsidP="00E563BC">
            <w:pPr>
              <w:jc w:val="right"/>
              <w:rPr>
                <w:b/>
                <w:sz w:val="10"/>
                <w:szCs w:val="10"/>
              </w:rPr>
            </w:pPr>
            <w:r w:rsidRPr="00E6433E">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DE362AB" w14:textId="7DD57E73" w:rsidR="00E563BC" w:rsidRPr="00E6433E" w:rsidRDefault="00E563BC" w:rsidP="00E563BC">
            <w:pPr>
              <w:jc w:val="right"/>
              <w:rPr>
                <w:b/>
                <w:sz w:val="10"/>
                <w:szCs w:val="10"/>
              </w:rPr>
            </w:pPr>
            <w:r w:rsidRPr="00E6433E">
              <w:rPr>
                <w:b/>
                <w:sz w:val="10"/>
                <w:szCs w:val="18"/>
              </w:rPr>
              <w:t>-</w:t>
            </w:r>
          </w:p>
        </w:tc>
      </w:tr>
      <w:tr w:rsidR="00E563BC" w:rsidRPr="00005453" w14:paraId="0F81E336"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459A6A6"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X.</w:t>
            </w:r>
          </w:p>
        </w:tc>
        <w:tc>
          <w:tcPr>
            <w:tcW w:w="2183" w:type="dxa"/>
            <w:tcBorders>
              <w:top w:val="nil"/>
              <w:left w:val="single" w:sz="4" w:space="0" w:color="auto"/>
              <w:bottom w:val="nil"/>
              <w:right w:val="single" w:sz="4" w:space="0" w:color="auto"/>
            </w:tcBorders>
            <w:shd w:val="clear" w:color="auto" w:fill="auto"/>
            <w:noWrap/>
            <w:vAlign w:val="center"/>
            <w:hideMark/>
          </w:tcPr>
          <w:p w14:paraId="0E5B1004" w14:textId="77777777" w:rsidR="00E563BC" w:rsidRPr="00005453" w:rsidRDefault="00E563BC" w:rsidP="00E563BC">
            <w:pPr>
              <w:rPr>
                <w:b/>
                <w:color w:val="000000"/>
                <w:sz w:val="10"/>
                <w:szCs w:val="10"/>
                <w:lang w:eastAsia="tr-TR"/>
              </w:rPr>
            </w:pPr>
            <w:r w:rsidRPr="00005453">
              <w:rPr>
                <w:b/>
                <w:color w:val="000000"/>
                <w:sz w:val="10"/>
                <w:szCs w:val="10"/>
                <w:lang w:eastAsia="tr-TR"/>
              </w:rPr>
              <w:t>Diğer Değişiklikler Nedeniyle Artış /Azalış</w:t>
            </w:r>
          </w:p>
        </w:tc>
        <w:tc>
          <w:tcPr>
            <w:tcW w:w="515" w:type="dxa"/>
            <w:gridSpan w:val="2"/>
            <w:tcBorders>
              <w:top w:val="nil"/>
              <w:left w:val="single" w:sz="4" w:space="0" w:color="auto"/>
              <w:bottom w:val="nil"/>
              <w:right w:val="single" w:sz="4" w:space="0" w:color="auto"/>
            </w:tcBorders>
            <w:shd w:val="clear" w:color="auto" w:fill="auto"/>
            <w:vAlign w:val="center"/>
            <w:hideMark/>
          </w:tcPr>
          <w:p w14:paraId="56821788"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7CDB171" w14:textId="5FB53EFF"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091D319E" w14:textId="499532AC"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0052DA6" w14:textId="6F3D14D2"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1B51C70" w14:textId="6C1E1E8E"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C10B414" w14:textId="0EAC9371"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67D9305D" w14:textId="762DEF41"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12215C78" w14:textId="56B2D717" w:rsidR="00E563BC" w:rsidRPr="00E6433E" w:rsidRDefault="00E563BC" w:rsidP="00E563BC">
            <w:pPr>
              <w:jc w:val="right"/>
              <w:rPr>
                <w:b/>
                <w:sz w:val="10"/>
                <w:szCs w:val="10"/>
              </w:rPr>
            </w:pPr>
            <w:r w:rsidRPr="00E6433E">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24E524AA" w14:textId="5EC9E235" w:rsidR="00E563BC" w:rsidRPr="00E6433E" w:rsidRDefault="00E563BC" w:rsidP="00E563BC">
            <w:pPr>
              <w:jc w:val="right"/>
              <w:rPr>
                <w:b/>
                <w:sz w:val="10"/>
                <w:szCs w:val="10"/>
              </w:rPr>
            </w:pPr>
            <w:r w:rsidRPr="00E6433E">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05BC42A9" w14:textId="1EC07405" w:rsidR="00E563BC" w:rsidRPr="00E6433E" w:rsidRDefault="00E563BC" w:rsidP="00E563BC">
            <w:pPr>
              <w:jc w:val="right"/>
              <w:rPr>
                <w:b/>
                <w:sz w:val="10"/>
                <w:szCs w:val="10"/>
              </w:rPr>
            </w:pPr>
            <w:r w:rsidRPr="00E6433E">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22560A03" w14:textId="39C567A1" w:rsidR="00E563BC" w:rsidRPr="00E6433E" w:rsidRDefault="00E563BC" w:rsidP="00E563BC">
            <w:pPr>
              <w:jc w:val="right"/>
              <w:rPr>
                <w:b/>
                <w:sz w:val="10"/>
                <w:szCs w:val="10"/>
              </w:rPr>
            </w:pPr>
            <w:r w:rsidRPr="00E6433E">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59CAECE8" w14:textId="65256B9F" w:rsidR="00E563BC" w:rsidRPr="00E6433E" w:rsidRDefault="00E563BC" w:rsidP="00E563BC">
            <w:pPr>
              <w:jc w:val="right"/>
              <w:rPr>
                <w:b/>
                <w:sz w:val="10"/>
                <w:szCs w:val="10"/>
              </w:rPr>
            </w:pPr>
            <w:r w:rsidRPr="00E6433E">
              <w:rPr>
                <w:b/>
                <w:sz w:val="10"/>
                <w:szCs w:val="18"/>
              </w:rPr>
              <w:t>(1,438)</w:t>
            </w:r>
          </w:p>
        </w:tc>
        <w:tc>
          <w:tcPr>
            <w:tcW w:w="1022" w:type="dxa"/>
            <w:tcBorders>
              <w:top w:val="nil"/>
              <w:left w:val="single" w:sz="4" w:space="0" w:color="auto"/>
              <w:bottom w:val="nil"/>
              <w:right w:val="single" w:sz="4" w:space="0" w:color="auto"/>
            </w:tcBorders>
            <w:shd w:val="clear" w:color="auto" w:fill="auto"/>
            <w:vAlign w:val="center"/>
            <w:hideMark/>
          </w:tcPr>
          <w:p w14:paraId="58EF55A0" w14:textId="48C6DEA4" w:rsidR="00E563BC" w:rsidRPr="00E6433E" w:rsidRDefault="00E563BC" w:rsidP="00E563BC">
            <w:pPr>
              <w:jc w:val="right"/>
              <w:rPr>
                <w:b/>
                <w:sz w:val="10"/>
                <w:szCs w:val="10"/>
              </w:rPr>
            </w:pPr>
            <w:r w:rsidRPr="00E6433E">
              <w:rPr>
                <w:b/>
                <w:sz w:val="10"/>
                <w:szCs w:val="18"/>
              </w:rPr>
              <w:t>-</w:t>
            </w:r>
          </w:p>
        </w:tc>
        <w:tc>
          <w:tcPr>
            <w:tcW w:w="760" w:type="dxa"/>
            <w:tcBorders>
              <w:top w:val="nil"/>
              <w:left w:val="single" w:sz="4" w:space="0" w:color="auto"/>
              <w:bottom w:val="nil"/>
              <w:right w:val="single" w:sz="4" w:space="0" w:color="auto"/>
            </w:tcBorders>
            <w:shd w:val="clear" w:color="auto" w:fill="auto"/>
            <w:vAlign w:val="center"/>
            <w:hideMark/>
          </w:tcPr>
          <w:p w14:paraId="70B4B0B1" w14:textId="20E77F46" w:rsidR="00E563BC" w:rsidRPr="00E6433E" w:rsidRDefault="00E563BC" w:rsidP="00E563BC">
            <w:pPr>
              <w:jc w:val="right"/>
              <w:rPr>
                <w:b/>
                <w:sz w:val="10"/>
                <w:szCs w:val="10"/>
              </w:rPr>
            </w:pPr>
            <w:r w:rsidRPr="00E6433E">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EEB60C6" w14:textId="6C0A67E9" w:rsidR="00E563BC" w:rsidRPr="00E6433E" w:rsidRDefault="00E563BC" w:rsidP="00E563BC">
            <w:pPr>
              <w:jc w:val="right"/>
              <w:rPr>
                <w:b/>
                <w:sz w:val="10"/>
                <w:szCs w:val="10"/>
              </w:rPr>
            </w:pPr>
            <w:r w:rsidRPr="00E6433E">
              <w:rPr>
                <w:b/>
                <w:sz w:val="10"/>
                <w:szCs w:val="18"/>
              </w:rPr>
              <w:t>(1,438)</w:t>
            </w:r>
          </w:p>
        </w:tc>
        <w:tc>
          <w:tcPr>
            <w:tcW w:w="702" w:type="dxa"/>
            <w:tcBorders>
              <w:top w:val="nil"/>
              <w:left w:val="single" w:sz="4" w:space="0" w:color="auto"/>
              <w:bottom w:val="nil"/>
              <w:right w:val="single" w:sz="4" w:space="0" w:color="auto"/>
            </w:tcBorders>
            <w:shd w:val="clear" w:color="auto" w:fill="auto"/>
            <w:vAlign w:val="center"/>
            <w:hideMark/>
          </w:tcPr>
          <w:p w14:paraId="06EC6A1E" w14:textId="6F6B26E9" w:rsidR="00E563BC" w:rsidRPr="00E6433E" w:rsidRDefault="00E563BC" w:rsidP="00E563BC">
            <w:pPr>
              <w:jc w:val="right"/>
              <w:rPr>
                <w:b/>
                <w:sz w:val="10"/>
                <w:szCs w:val="10"/>
              </w:rPr>
            </w:pPr>
            <w:r w:rsidRPr="00E6433E">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36AFC0BD" w14:textId="7CC0A523" w:rsidR="00E563BC" w:rsidRPr="00E6433E" w:rsidRDefault="00E563BC" w:rsidP="00E563BC">
            <w:pPr>
              <w:jc w:val="right"/>
              <w:rPr>
                <w:b/>
                <w:sz w:val="10"/>
                <w:szCs w:val="10"/>
              </w:rPr>
            </w:pPr>
            <w:r w:rsidRPr="00E6433E">
              <w:rPr>
                <w:b/>
                <w:sz w:val="10"/>
                <w:szCs w:val="18"/>
              </w:rPr>
              <w:t>(1,438)</w:t>
            </w:r>
          </w:p>
        </w:tc>
      </w:tr>
      <w:tr w:rsidR="00E563BC" w:rsidRPr="00005453" w14:paraId="2852A27B"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04F64C36" w14:textId="77777777" w:rsidR="00E563BC" w:rsidRPr="00005453" w:rsidRDefault="00E563BC" w:rsidP="00E563BC">
            <w:pPr>
              <w:rPr>
                <w:b/>
                <w:bCs/>
                <w:color w:val="000000"/>
                <w:sz w:val="10"/>
                <w:szCs w:val="10"/>
                <w:lang w:eastAsia="tr-TR"/>
              </w:rPr>
            </w:pPr>
            <w:r w:rsidRPr="00005453">
              <w:rPr>
                <w:b/>
                <w:bCs/>
                <w:color w:val="000000"/>
                <w:sz w:val="10"/>
                <w:szCs w:val="10"/>
                <w:lang w:val="en-US" w:eastAsia="tr-TR"/>
              </w:rPr>
              <w:t>XI.</w:t>
            </w:r>
          </w:p>
        </w:tc>
        <w:tc>
          <w:tcPr>
            <w:tcW w:w="2183" w:type="dxa"/>
            <w:tcBorders>
              <w:top w:val="nil"/>
              <w:left w:val="single" w:sz="4" w:space="0" w:color="auto"/>
              <w:bottom w:val="nil"/>
              <w:right w:val="single" w:sz="4" w:space="0" w:color="auto"/>
            </w:tcBorders>
            <w:shd w:val="clear" w:color="auto" w:fill="auto"/>
            <w:noWrap/>
            <w:vAlign w:val="center"/>
            <w:hideMark/>
          </w:tcPr>
          <w:p w14:paraId="77D672EE" w14:textId="77777777" w:rsidR="00E563BC" w:rsidRPr="00005453" w:rsidRDefault="00E563BC" w:rsidP="00E563BC">
            <w:pPr>
              <w:rPr>
                <w:b/>
                <w:color w:val="000000"/>
                <w:sz w:val="10"/>
                <w:szCs w:val="10"/>
                <w:lang w:eastAsia="tr-TR"/>
              </w:rPr>
            </w:pPr>
            <w:r w:rsidRPr="00005453">
              <w:rPr>
                <w:b/>
                <w:color w:val="000000"/>
                <w:sz w:val="10"/>
                <w:szCs w:val="10"/>
                <w:lang w:val="en-US" w:eastAsia="tr-TR"/>
              </w:rPr>
              <w:t>Kâr Dağıtımı</w:t>
            </w:r>
          </w:p>
        </w:tc>
        <w:tc>
          <w:tcPr>
            <w:tcW w:w="515" w:type="dxa"/>
            <w:gridSpan w:val="2"/>
            <w:tcBorders>
              <w:top w:val="nil"/>
              <w:left w:val="single" w:sz="4" w:space="0" w:color="auto"/>
              <w:bottom w:val="nil"/>
              <w:right w:val="single" w:sz="4" w:space="0" w:color="auto"/>
            </w:tcBorders>
            <w:shd w:val="clear" w:color="auto" w:fill="auto"/>
            <w:vAlign w:val="center"/>
            <w:hideMark/>
          </w:tcPr>
          <w:p w14:paraId="790400F4" w14:textId="77777777" w:rsidR="00E563BC" w:rsidRPr="00005453" w:rsidRDefault="00E563BC" w:rsidP="00E563BC">
            <w:pPr>
              <w:rPr>
                <w:b/>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9A59172" w14:textId="6E2E1B15" w:rsidR="00E563BC" w:rsidRPr="00005453" w:rsidRDefault="00E563BC" w:rsidP="00E563BC">
            <w:pPr>
              <w:jc w:val="right"/>
              <w:rPr>
                <w:b/>
                <w:sz w:val="10"/>
                <w:szCs w:val="10"/>
              </w:rPr>
            </w:pPr>
            <w:r w:rsidRPr="00005453">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4FC97F2E" w14:textId="02B3AEDB" w:rsidR="00E563BC" w:rsidRPr="00005453" w:rsidRDefault="00E563BC" w:rsidP="00E563BC">
            <w:pPr>
              <w:jc w:val="right"/>
              <w:rPr>
                <w:b/>
                <w:sz w:val="10"/>
                <w:szCs w:val="10"/>
              </w:rPr>
            </w:pPr>
            <w:r w:rsidRPr="00005453">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0020ED78" w14:textId="567187D6" w:rsidR="00E563BC" w:rsidRPr="00005453" w:rsidRDefault="00E563BC" w:rsidP="00E563BC">
            <w:pPr>
              <w:jc w:val="right"/>
              <w:rPr>
                <w:b/>
                <w:sz w:val="10"/>
                <w:szCs w:val="10"/>
              </w:rPr>
            </w:pPr>
            <w:r w:rsidRPr="00005453">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A42BB56" w14:textId="114C3F77" w:rsidR="00E563BC" w:rsidRPr="00005453" w:rsidRDefault="00E563BC" w:rsidP="00E563BC">
            <w:pPr>
              <w:jc w:val="right"/>
              <w:rPr>
                <w:b/>
                <w:sz w:val="10"/>
                <w:szCs w:val="10"/>
              </w:rPr>
            </w:pPr>
            <w:r w:rsidRPr="00005453">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D198233" w14:textId="5CAD7D7C" w:rsidR="00E563BC" w:rsidRPr="00005453" w:rsidRDefault="00E563BC" w:rsidP="00E563BC">
            <w:pPr>
              <w:jc w:val="right"/>
              <w:rPr>
                <w:b/>
                <w:sz w:val="10"/>
                <w:szCs w:val="10"/>
              </w:rPr>
            </w:pPr>
            <w:r w:rsidRPr="00005453">
              <w:rPr>
                <w:b/>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16A4A9F9" w14:textId="413F19A8" w:rsidR="00E563BC" w:rsidRPr="00005453" w:rsidRDefault="00E563BC" w:rsidP="00E563BC">
            <w:pPr>
              <w:jc w:val="right"/>
              <w:rPr>
                <w:b/>
                <w:sz w:val="10"/>
                <w:szCs w:val="10"/>
              </w:rPr>
            </w:pPr>
            <w:r w:rsidRPr="00005453">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46197CA4" w14:textId="13553206" w:rsidR="00E563BC" w:rsidRPr="00E6433E" w:rsidRDefault="00E563BC" w:rsidP="00E563BC">
            <w:pPr>
              <w:jc w:val="right"/>
              <w:rPr>
                <w:b/>
                <w:sz w:val="10"/>
                <w:szCs w:val="10"/>
              </w:rPr>
            </w:pPr>
            <w:r w:rsidRPr="00E6433E">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5ACF687B" w14:textId="570DA505" w:rsidR="00E563BC" w:rsidRPr="00E6433E" w:rsidRDefault="00E563BC" w:rsidP="00E563BC">
            <w:pPr>
              <w:jc w:val="right"/>
              <w:rPr>
                <w:b/>
                <w:sz w:val="10"/>
                <w:szCs w:val="10"/>
              </w:rPr>
            </w:pPr>
            <w:r w:rsidRPr="00E6433E">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1E82CC5" w14:textId="7C14B809" w:rsidR="00E563BC" w:rsidRPr="00E6433E" w:rsidRDefault="00E563BC" w:rsidP="00E563BC">
            <w:pPr>
              <w:jc w:val="right"/>
              <w:rPr>
                <w:b/>
                <w:sz w:val="10"/>
                <w:szCs w:val="10"/>
              </w:rPr>
            </w:pPr>
            <w:r w:rsidRPr="00E6433E">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230A6599" w14:textId="0F742E78" w:rsidR="00E563BC" w:rsidRPr="00E6433E" w:rsidRDefault="00E563BC" w:rsidP="00E563BC">
            <w:pPr>
              <w:jc w:val="right"/>
              <w:rPr>
                <w:b/>
                <w:sz w:val="10"/>
                <w:szCs w:val="10"/>
              </w:rPr>
            </w:pPr>
            <w:r w:rsidRPr="00E6433E">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60E864DD" w14:textId="40233545" w:rsidR="00E563BC" w:rsidRPr="00E6433E" w:rsidRDefault="00E563BC" w:rsidP="00E563BC">
            <w:pPr>
              <w:jc w:val="right"/>
              <w:rPr>
                <w:b/>
                <w:sz w:val="10"/>
                <w:szCs w:val="10"/>
              </w:rPr>
            </w:pPr>
            <w:r w:rsidRPr="00E6433E">
              <w:rPr>
                <w:b/>
                <w:sz w:val="10"/>
                <w:szCs w:val="18"/>
              </w:rPr>
              <w:t>23,951,251</w:t>
            </w:r>
          </w:p>
        </w:tc>
        <w:tc>
          <w:tcPr>
            <w:tcW w:w="1022" w:type="dxa"/>
            <w:tcBorders>
              <w:top w:val="nil"/>
              <w:left w:val="single" w:sz="4" w:space="0" w:color="auto"/>
              <w:bottom w:val="nil"/>
              <w:right w:val="single" w:sz="4" w:space="0" w:color="auto"/>
            </w:tcBorders>
            <w:shd w:val="clear" w:color="auto" w:fill="auto"/>
            <w:vAlign w:val="center"/>
            <w:hideMark/>
          </w:tcPr>
          <w:p w14:paraId="4E725AA9" w14:textId="0834DBE3" w:rsidR="00E563BC" w:rsidRPr="00E6433E" w:rsidRDefault="00CF19C8" w:rsidP="00E563BC">
            <w:pPr>
              <w:jc w:val="right"/>
              <w:rPr>
                <w:b/>
                <w:sz w:val="10"/>
                <w:szCs w:val="10"/>
              </w:rPr>
            </w:pPr>
            <w:r w:rsidRPr="00E6433E">
              <w:rPr>
                <w:b/>
                <w:sz w:val="10"/>
                <w:szCs w:val="10"/>
              </w:rPr>
              <w:t>-</w:t>
            </w:r>
          </w:p>
        </w:tc>
        <w:tc>
          <w:tcPr>
            <w:tcW w:w="760" w:type="dxa"/>
            <w:tcBorders>
              <w:top w:val="nil"/>
              <w:left w:val="single" w:sz="4" w:space="0" w:color="auto"/>
              <w:bottom w:val="nil"/>
              <w:right w:val="single" w:sz="4" w:space="0" w:color="auto"/>
            </w:tcBorders>
            <w:shd w:val="clear" w:color="auto" w:fill="auto"/>
            <w:vAlign w:val="center"/>
            <w:hideMark/>
          </w:tcPr>
          <w:p w14:paraId="140CE036" w14:textId="456286E8" w:rsidR="00E563BC" w:rsidRPr="00E6433E" w:rsidRDefault="00E563BC" w:rsidP="00E563BC">
            <w:pPr>
              <w:jc w:val="right"/>
              <w:rPr>
                <w:b/>
                <w:sz w:val="10"/>
                <w:szCs w:val="10"/>
              </w:rPr>
            </w:pPr>
            <w:r w:rsidRPr="00E6433E">
              <w:rPr>
                <w:b/>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4D0230C9" w14:textId="6FDE466C" w:rsidR="00E563BC" w:rsidRPr="00E6433E" w:rsidRDefault="00E563BC" w:rsidP="00E563BC">
            <w:pPr>
              <w:jc w:val="right"/>
              <w:rPr>
                <w:b/>
                <w:sz w:val="10"/>
                <w:szCs w:val="10"/>
              </w:rPr>
            </w:pPr>
            <w:r w:rsidRPr="00E6433E">
              <w:rPr>
                <w:b/>
                <w:sz w:val="10"/>
                <w:szCs w:val="18"/>
              </w:rPr>
              <w:t>(2,658,120)</w:t>
            </w:r>
          </w:p>
        </w:tc>
        <w:tc>
          <w:tcPr>
            <w:tcW w:w="702" w:type="dxa"/>
            <w:tcBorders>
              <w:top w:val="nil"/>
              <w:left w:val="single" w:sz="4" w:space="0" w:color="auto"/>
              <w:bottom w:val="nil"/>
              <w:right w:val="single" w:sz="4" w:space="0" w:color="auto"/>
            </w:tcBorders>
            <w:shd w:val="clear" w:color="auto" w:fill="auto"/>
            <w:vAlign w:val="center"/>
            <w:hideMark/>
          </w:tcPr>
          <w:p w14:paraId="68167F8F" w14:textId="72CAC4AC" w:rsidR="00E563BC" w:rsidRPr="00E6433E" w:rsidRDefault="00E563BC" w:rsidP="00E563BC">
            <w:pPr>
              <w:jc w:val="right"/>
              <w:rPr>
                <w:b/>
                <w:sz w:val="10"/>
                <w:szCs w:val="10"/>
              </w:rPr>
            </w:pPr>
            <w:r w:rsidRPr="00E6433E">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2288A68" w14:textId="67E7E089" w:rsidR="00E563BC" w:rsidRPr="00E6433E" w:rsidRDefault="00E563BC" w:rsidP="00E563BC">
            <w:pPr>
              <w:jc w:val="right"/>
              <w:rPr>
                <w:b/>
                <w:sz w:val="10"/>
                <w:szCs w:val="10"/>
              </w:rPr>
            </w:pPr>
            <w:r w:rsidRPr="00E6433E">
              <w:rPr>
                <w:b/>
                <w:sz w:val="10"/>
                <w:szCs w:val="18"/>
              </w:rPr>
              <w:t>(2,658,120)</w:t>
            </w:r>
          </w:p>
        </w:tc>
      </w:tr>
      <w:tr w:rsidR="00E563BC" w:rsidRPr="00005453" w14:paraId="22DCEDA6"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05301557" w14:textId="77777777" w:rsidR="00E563BC" w:rsidRPr="00005453" w:rsidRDefault="00E563BC" w:rsidP="00E563BC">
            <w:pPr>
              <w:rPr>
                <w:color w:val="000000"/>
                <w:sz w:val="10"/>
                <w:szCs w:val="10"/>
                <w:lang w:eastAsia="tr-TR"/>
              </w:rPr>
            </w:pPr>
            <w:r w:rsidRPr="00005453">
              <w:rPr>
                <w:color w:val="000000"/>
                <w:sz w:val="10"/>
                <w:szCs w:val="10"/>
                <w:lang w:val="en-US" w:eastAsia="tr-TR"/>
              </w:rPr>
              <w:t>11.1</w:t>
            </w:r>
          </w:p>
        </w:tc>
        <w:tc>
          <w:tcPr>
            <w:tcW w:w="2183" w:type="dxa"/>
            <w:tcBorders>
              <w:top w:val="nil"/>
              <w:left w:val="single" w:sz="4" w:space="0" w:color="auto"/>
              <w:bottom w:val="nil"/>
              <w:right w:val="single" w:sz="4" w:space="0" w:color="auto"/>
            </w:tcBorders>
            <w:shd w:val="clear" w:color="auto" w:fill="auto"/>
            <w:noWrap/>
            <w:vAlign w:val="center"/>
            <w:hideMark/>
          </w:tcPr>
          <w:p w14:paraId="20AF571D" w14:textId="77777777" w:rsidR="00E563BC" w:rsidRPr="00005453" w:rsidRDefault="00E563BC" w:rsidP="00E563BC">
            <w:pPr>
              <w:rPr>
                <w:color w:val="000000"/>
                <w:sz w:val="10"/>
                <w:szCs w:val="10"/>
                <w:lang w:eastAsia="tr-TR"/>
              </w:rPr>
            </w:pPr>
            <w:r w:rsidRPr="00005453">
              <w:rPr>
                <w:color w:val="000000"/>
                <w:sz w:val="10"/>
                <w:szCs w:val="10"/>
                <w:lang w:val="en-US" w:eastAsia="tr-TR"/>
              </w:rPr>
              <w:t>Dağıtılan Temettü</w:t>
            </w:r>
          </w:p>
        </w:tc>
        <w:tc>
          <w:tcPr>
            <w:tcW w:w="515" w:type="dxa"/>
            <w:gridSpan w:val="2"/>
            <w:tcBorders>
              <w:top w:val="nil"/>
              <w:left w:val="single" w:sz="4" w:space="0" w:color="auto"/>
              <w:bottom w:val="nil"/>
              <w:right w:val="single" w:sz="4" w:space="0" w:color="auto"/>
            </w:tcBorders>
            <w:shd w:val="clear" w:color="auto" w:fill="auto"/>
            <w:vAlign w:val="center"/>
            <w:hideMark/>
          </w:tcPr>
          <w:p w14:paraId="01ADC955" w14:textId="77777777" w:rsidR="00E563BC" w:rsidRPr="00005453" w:rsidRDefault="00E563BC" w:rsidP="00E563BC">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3117489" w14:textId="5263B4F6" w:rsidR="00E563BC" w:rsidRPr="00005453" w:rsidRDefault="00E563BC" w:rsidP="00E563BC">
            <w:pPr>
              <w:jc w:val="right"/>
              <w:rPr>
                <w:sz w:val="10"/>
                <w:szCs w:val="10"/>
              </w:rPr>
            </w:pPr>
            <w:r w:rsidRPr="00005453">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4FB05728" w14:textId="75E7CD02"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B0C6A86" w14:textId="101C136B"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65F7670" w14:textId="47646968" w:rsidR="00E563BC" w:rsidRPr="00005453" w:rsidRDefault="00E563BC" w:rsidP="00E563BC">
            <w:pPr>
              <w:jc w:val="right"/>
              <w:rPr>
                <w:sz w:val="10"/>
                <w:szCs w:val="10"/>
              </w:rPr>
            </w:pPr>
            <w:r w:rsidRPr="00005453">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74F85C5" w14:textId="33964634" w:rsidR="00E563BC" w:rsidRPr="00005453" w:rsidRDefault="00E563BC" w:rsidP="00E563BC">
            <w:pPr>
              <w:jc w:val="right"/>
              <w:rPr>
                <w:sz w:val="10"/>
                <w:szCs w:val="10"/>
              </w:rPr>
            </w:pPr>
            <w:r w:rsidRPr="00005453">
              <w:rPr>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40CBC3AA" w14:textId="2AAC0FA6" w:rsidR="00E563BC" w:rsidRPr="00005453" w:rsidRDefault="00E563BC" w:rsidP="00E563BC">
            <w:pPr>
              <w:jc w:val="right"/>
              <w:rPr>
                <w:sz w:val="10"/>
                <w:szCs w:val="10"/>
              </w:rPr>
            </w:pPr>
            <w:r w:rsidRPr="00005453">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641E1637" w14:textId="46212911" w:rsidR="00E563BC" w:rsidRPr="00E6433E" w:rsidRDefault="00E563BC" w:rsidP="00E563BC">
            <w:pPr>
              <w:jc w:val="right"/>
              <w:rPr>
                <w:sz w:val="10"/>
                <w:szCs w:val="10"/>
              </w:rPr>
            </w:pPr>
            <w:r w:rsidRPr="00E6433E">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7147246E" w14:textId="5CE3956E" w:rsidR="00E563BC" w:rsidRPr="00E6433E" w:rsidRDefault="00E563BC" w:rsidP="00E563BC">
            <w:pPr>
              <w:jc w:val="right"/>
              <w:rPr>
                <w:sz w:val="10"/>
                <w:szCs w:val="10"/>
              </w:rPr>
            </w:pPr>
            <w:r w:rsidRPr="00E6433E">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14D71BE" w14:textId="72BCFE95" w:rsidR="00E563BC" w:rsidRPr="00E6433E" w:rsidRDefault="00E563BC" w:rsidP="00E563BC">
            <w:pPr>
              <w:jc w:val="right"/>
              <w:rPr>
                <w:sz w:val="10"/>
                <w:szCs w:val="10"/>
              </w:rPr>
            </w:pPr>
            <w:r w:rsidRPr="00E6433E">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23116183" w14:textId="53CC7202" w:rsidR="00E563BC" w:rsidRPr="00E6433E" w:rsidRDefault="00E563BC" w:rsidP="00E563BC">
            <w:pPr>
              <w:jc w:val="right"/>
              <w:rPr>
                <w:sz w:val="10"/>
                <w:szCs w:val="10"/>
              </w:rPr>
            </w:pPr>
            <w:r w:rsidRPr="00E6433E">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6CD6B01C" w14:textId="2F0E5BE3" w:rsidR="00E563BC" w:rsidRPr="00E6433E" w:rsidRDefault="00E563BC" w:rsidP="00E563BC">
            <w:pPr>
              <w:jc w:val="right"/>
              <w:rPr>
                <w:sz w:val="10"/>
                <w:szCs w:val="10"/>
              </w:rPr>
            </w:pPr>
            <w:r w:rsidRPr="00E6433E">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032F13FE" w14:textId="54E7EE47" w:rsidR="00E563BC" w:rsidRPr="00E6433E" w:rsidRDefault="00E563BC" w:rsidP="00E563BC">
            <w:pPr>
              <w:jc w:val="right"/>
              <w:rPr>
                <w:sz w:val="10"/>
                <w:szCs w:val="10"/>
              </w:rPr>
            </w:pPr>
            <w:r w:rsidRPr="00E6433E">
              <w:rPr>
                <w:sz w:val="10"/>
                <w:szCs w:val="18"/>
              </w:rPr>
              <w:t>(2,660,937)</w:t>
            </w:r>
          </w:p>
        </w:tc>
        <w:tc>
          <w:tcPr>
            <w:tcW w:w="760" w:type="dxa"/>
            <w:tcBorders>
              <w:top w:val="nil"/>
              <w:left w:val="single" w:sz="4" w:space="0" w:color="auto"/>
              <w:bottom w:val="nil"/>
              <w:right w:val="single" w:sz="4" w:space="0" w:color="auto"/>
            </w:tcBorders>
            <w:shd w:val="clear" w:color="auto" w:fill="auto"/>
            <w:vAlign w:val="center"/>
            <w:hideMark/>
          </w:tcPr>
          <w:p w14:paraId="401EA774" w14:textId="66E5D5B1" w:rsidR="00E563BC" w:rsidRPr="00E6433E" w:rsidRDefault="00E563BC" w:rsidP="00E563BC">
            <w:pPr>
              <w:jc w:val="right"/>
              <w:rPr>
                <w:sz w:val="10"/>
                <w:szCs w:val="10"/>
              </w:rPr>
            </w:pPr>
            <w:r w:rsidRPr="00E6433E">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30ADF1D" w14:textId="1A43E0C3" w:rsidR="00E563BC" w:rsidRPr="00E6433E" w:rsidRDefault="00E563BC" w:rsidP="00E563BC">
            <w:pPr>
              <w:jc w:val="right"/>
              <w:rPr>
                <w:sz w:val="10"/>
                <w:szCs w:val="10"/>
              </w:rPr>
            </w:pPr>
            <w:r w:rsidRPr="00E6433E">
              <w:rPr>
                <w:sz w:val="10"/>
                <w:szCs w:val="18"/>
              </w:rPr>
              <w:t>(2,660,937)</w:t>
            </w:r>
          </w:p>
        </w:tc>
        <w:tc>
          <w:tcPr>
            <w:tcW w:w="702" w:type="dxa"/>
            <w:tcBorders>
              <w:top w:val="nil"/>
              <w:left w:val="single" w:sz="4" w:space="0" w:color="auto"/>
              <w:bottom w:val="nil"/>
              <w:right w:val="single" w:sz="4" w:space="0" w:color="auto"/>
            </w:tcBorders>
            <w:shd w:val="clear" w:color="auto" w:fill="auto"/>
            <w:vAlign w:val="center"/>
            <w:hideMark/>
          </w:tcPr>
          <w:p w14:paraId="031E4171" w14:textId="108D5401" w:rsidR="00E563BC" w:rsidRPr="00E6433E" w:rsidRDefault="00E563BC" w:rsidP="00E563BC">
            <w:pPr>
              <w:jc w:val="right"/>
              <w:rPr>
                <w:sz w:val="10"/>
                <w:szCs w:val="10"/>
              </w:rPr>
            </w:pPr>
            <w:r w:rsidRPr="00E6433E">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3AC140BA" w14:textId="18DC56E0" w:rsidR="00E563BC" w:rsidRPr="00E6433E" w:rsidRDefault="00E563BC" w:rsidP="00E563BC">
            <w:pPr>
              <w:jc w:val="right"/>
              <w:rPr>
                <w:sz w:val="10"/>
                <w:szCs w:val="10"/>
              </w:rPr>
            </w:pPr>
            <w:r w:rsidRPr="00E6433E">
              <w:rPr>
                <w:sz w:val="10"/>
                <w:szCs w:val="18"/>
              </w:rPr>
              <w:t>(2,660,937)</w:t>
            </w:r>
          </w:p>
        </w:tc>
      </w:tr>
      <w:tr w:rsidR="00E563BC" w:rsidRPr="00005453" w14:paraId="55EF58F7"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1095CE20" w14:textId="77777777" w:rsidR="00E563BC" w:rsidRPr="00005453" w:rsidRDefault="00E563BC" w:rsidP="00E563BC">
            <w:pPr>
              <w:rPr>
                <w:color w:val="000000"/>
                <w:sz w:val="10"/>
                <w:szCs w:val="10"/>
                <w:lang w:eastAsia="tr-TR"/>
              </w:rPr>
            </w:pPr>
            <w:r w:rsidRPr="00005453">
              <w:rPr>
                <w:color w:val="000000"/>
                <w:sz w:val="10"/>
                <w:szCs w:val="10"/>
                <w:lang w:val="en-US" w:eastAsia="tr-TR"/>
              </w:rPr>
              <w:t>11.2</w:t>
            </w:r>
          </w:p>
        </w:tc>
        <w:tc>
          <w:tcPr>
            <w:tcW w:w="2183" w:type="dxa"/>
            <w:tcBorders>
              <w:top w:val="nil"/>
              <w:left w:val="single" w:sz="4" w:space="0" w:color="auto"/>
              <w:bottom w:val="nil"/>
              <w:right w:val="single" w:sz="4" w:space="0" w:color="auto"/>
            </w:tcBorders>
            <w:shd w:val="clear" w:color="auto" w:fill="auto"/>
            <w:noWrap/>
            <w:vAlign w:val="center"/>
            <w:hideMark/>
          </w:tcPr>
          <w:p w14:paraId="5E116CC7" w14:textId="77777777" w:rsidR="00E563BC" w:rsidRPr="00005453" w:rsidRDefault="00E563BC" w:rsidP="00E563BC">
            <w:pPr>
              <w:rPr>
                <w:color w:val="000000"/>
                <w:sz w:val="10"/>
                <w:szCs w:val="10"/>
                <w:lang w:eastAsia="tr-TR"/>
              </w:rPr>
            </w:pPr>
            <w:r w:rsidRPr="00005453">
              <w:rPr>
                <w:color w:val="000000"/>
                <w:sz w:val="10"/>
                <w:szCs w:val="10"/>
                <w:lang w:val="en-US" w:eastAsia="tr-TR"/>
              </w:rPr>
              <w:t>Yedeklere Aktarılan Tutarlar</w:t>
            </w:r>
          </w:p>
        </w:tc>
        <w:tc>
          <w:tcPr>
            <w:tcW w:w="515" w:type="dxa"/>
            <w:gridSpan w:val="2"/>
            <w:tcBorders>
              <w:top w:val="nil"/>
              <w:left w:val="single" w:sz="4" w:space="0" w:color="auto"/>
              <w:bottom w:val="nil"/>
              <w:right w:val="single" w:sz="4" w:space="0" w:color="auto"/>
            </w:tcBorders>
            <w:shd w:val="clear" w:color="auto" w:fill="auto"/>
            <w:vAlign w:val="center"/>
            <w:hideMark/>
          </w:tcPr>
          <w:p w14:paraId="5D86EF40" w14:textId="77777777" w:rsidR="00E563BC" w:rsidRPr="00005453" w:rsidRDefault="00E563BC" w:rsidP="00E563BC">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C9545BD" w14:textId="32F67DDA" w:rsidR="00E563BC" w:rsidRPr="00005453" w:rsidRDefault="00E563BC" w:rsidP="00E563BC">
            <w:pPr>
              <w:jc w:val="right"/>
              <w:rPr>
                <w:sz w:val="10"/>
                <w:szCs w:val="10"/>
              </w:rPr>
            </w:pPr>
            <w:r w:rsidRPr="00005453">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25A1352F" w14:textId="7BF02EE8"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4821787" w14:textId="03C013F5"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DCD6C82" w14:textId="3D151F55" w:rsidR="00E563BC" w:rsidRPr="00005453" w:rsidRDefault="00E563BC" w:rsidP="00E563BC">
            <w:pPr>
              <w:jc w:val="right"/>
              <w:rPr>
                <w:sz w:val="10"/>
                <w:szCs w:val="10"/>
              </w:rPr>
            </w:pPr>
            <w:r w:rsidRPr="00005453">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CC8A898" w14:textId="6DBD3EB0" w:rsidR="00E563BC" w:rsidRPr="00005453" w:rsidRDefault="00E563BC" w:rsidP="00E563BC">
            <w:pPr>
              <w:jc w:val="right"/>
              <w:rPr>
                <w:sz w:val="10"/>
                <w:szCs w:val="10"/>
              </w:rPr>
            </w:pPr>
            <w:r w:rsidRPr="00005453">
              <w:rPr>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48F8A250" w14:textId="6EE573E6" w:rsidR="00E563BC" w:rsidRPr="00005453" w:rsidRDefault="00E563BC" w:rsidP="00E563BC">
            <w:pPr>
              <w:jc w:val="right"/>
              <w:rPr>
                <w:sz w:val="10"/>
                <w:szCs w:val="10"/>
              </w:rPr>
            </w:pPr>
            <w:r w:rsidRPr="00005453">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0577C1C4" w14:textId="47F03A89" w:rsidR="00E563BC" w:rsidRPr="00E6433E" w:rsidRDefault="00E563BC" w:rsidP="00E563BC">
            <w:pPr>
              <w:jc w:val="right"/>
              <w:rPr>
                <w:sz w:val="10"/>
                <w:szCs w:val="10"/>
              </w:rPr>
            </w:pPr>
            <w:r w:rsidRPr="00E6433E">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5E51227D" w14:textId="0986DD6A" w:rsidR="00E563BC" w:rsidRPr="00E6433E" w:rsidRDefault="00E563BC" w:rsidP="00E563BC">
            <w:pPr>
              <w:jc w:val="right"/>
              <w:rPr>
                <w:sz w:val="10"/>
                <w:szCs w:val="10"/>
              </w:rPr>
            </w:pPr>
            <w:r w:rsidRPr="00E6433E">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9A50EA4" w14:textId="20830972" w:rsidR="00E563BC" w:rsidRPr="00E6433E" w:rsidRDefault="00E563BC" w:rsidP="00E563BC">
            <w:pPr>
              <w:jc w:val="right"/>
              <w:rPr>
                <w:sz w:val="10"/>
                <w:szCs w:val="10"/>
              </w:rPr>
            </w:pPr>
            <w:r w:rsidRPr="00E6433E">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7C2FA5BB" w14:textId="60D80037" w:rsidR="00E563BC" w:rsidRPr="00E6433E" w:rsidRDefault="00E563BC" w:rsidP="00E563BC">
            <w:pPr>
              <w:jc w:val="right"/>
              <w:rPr>
                <w:sz w:val="10"/>
                <w:szCs w:val="10"/>
              </w:rPr>
            </w:pPr>
            <w:r w:rsidRPr="00E6433E">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4AF5F650" w14:textId="190AB499" w:rsidR="00E563BC" w:rsidRPr="00E6433E" w:rsidRDefault="00E563BC" w:rsidP="00E563BC">
            <w:pPr>
              <w:jc w:val="right"/>
              <w:rPr>
                <w:sz w:val="10"/>
                <w:szCs w:val="10"/>
              </w:rPr>
            </w:pPr>
            <w:r w:rsidRPr="00E6433E">
              <w:rPr>
                <w:sz w:val="10"/>
                <w:szCs w:val="18"/>
              </w:rPr>
              <w:t>23,951,251</w:t>
            </w:r>
          </w:p>
        </w:tc>
        <w:tc>
          <w:tcPr>
            <w:tcW w:w="1022" w:type="dxa"/>
            <w:tcBorders>
              <w:top w:val="nil"/>
              <w:left w:val="single" w:sz="4" w:space="0" w:color="auto"/>
              <w:bottom w:val="nil"/>
              <w:right w:val="single" w:sz="4" w:space="0" w:color="auto"/>
            </w:tcBorders>
            <w:shd w:val="clear" w:color="auto" w:fill="auto"/>
            <w:vAlign w:val="center"/>
            <w:hideMark/>
          </w:tcPr>
          <w:p w14:paraId="58F72CCF" w14:textId="4ABEFDDD" w:rsidR="00E563BC" w:rsidRPr="00E6433E" w:rsidRDefault="00E563BC" w:rsidP="00E563BC">
            <w:pPr>
              <w:jc w:val="right"/>
              <w:rPr>
                <w:sz w:val="10"/>
                <w:szCs w:val="10"/>
              </w:rPr>
            </w:pPr>
            <w:r w:rsidRPr="00E6433E">
              <w:rPr>
                <w:sz w:val="10"/>
                <w:szCs w:val="18"/>
              </w:rPr>
              <w:t>(23,948,434)</w:t>
            </w:r>
          </w:p>
        </w:tc>
        <w:tc>
          <w:tcPr>
            <w:tcW w:w="760" w:type="dxa"/>
            <w:tcBorders>
              <w:top w:val="nil"/>
              <w:left w:val="single" w:sz="4" w:space="0" w:color="auto"/>
              <w:bottom w:val="nil"/>
              <w:right w:val="single" w:sz="4" w:space="0" w:color="auto"/>
            </w:tcBorders>
            <w:shd w:val="clear" w:color="auto" w:fill="auto"/>
            <w:vAlign w:val="center"/>
            <w:hideMark/>
          </w:tcPr>
          <w:p w14:paraId="1D7EE18F" w14:textId="4354E326" w:rsidR="00E563BC" w:rsidRPr="00E6433E" w:rsidRDefault="00E563BC" w:rsidP="00E563BC">
            <w:pPr>
              <w:jc w:val="right"/>
              <w:rPr>
                <w:sz w:val="10"/>
                <w:szCs w:val="10"/>
              </w:rPr>
            </w:pPr>
            <w:r w:rsidRPr="00E6433E">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79FF50E" w14:textId="165FB586" w:rsidR="00E563BC" w:rsidRPr="00E6433E" w:rsidRDefault="00E563BC" w:rsidP="00E563BC">
            <w:pPr>
              <w:jc w:val="right"/>
              <w:rPr>
                <w:sz w:val="10"/>
                <w:szCs w:val="10"/>
              </w:rPr>
            </w:pPr>
            <w:r w:rsidRPr="00E6433E">
              <w:rPr>
                <w:sz w:val="10"/>
                <w:szCs w:val="18"/>
              </w:rPr>
              <w:t>2,817</w:t>
            </w:r>
          </w:p>
        </w:tc>
        <w:tc>
          <w:tcPr>
            <w:tcW w:w="702" w:type="dxa"/>
            <w:tcBorders>
              <w:top w:val="nil"/>
              <w:left w:val="single" w:sz="4" w:space="0" w:color="auto"/>
              <w:bottom w:val="nil"/>
              <w:right w:val="single" w:sz="4" w:space="0" w:color="auto"/>
            </w:tcBorders>
            <w:shd w:val="clear" w:color="auto" w:fill="auto"/>
            <w:vAlign w:val="center"/>
            <w:hideMark/>
          </w:tcPr>
          <w:p w14:paraId="3E88E637" w14:textId="1999A7E3" w:rsidR="00E563BC" w:rsidRPr="00E6433E" w:rsidRDefault="00E563BC" w:rsidP="00E563BC">
            <w:pPr>
              <w:jc w:val="right"/>
              <w:rPr>
                <w:sz w:val="10"/>
                <w:szCs w:val="10"/>
              </w:rPr>
            </w:pPr>
            <w:r w:rsidRPr="00E6433E">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24F49470" w14:textId="0CD54E24" w:rsidR="00E563BC" w:rsidRPr="00E6433E" w:rsidRDefault="00E563BC" w:rsidP="00E563BC">
            <w:pPr>
              <w:jc w:val="right"/>
              <w:rPr>
                <w:sz w:val="10"/>
                <w:szCs w:val="10"/>
              </w:rPr>
            </w:pPr>
            <w:r w:rsidRPr="00E6433E">
              <w:rPr>
                <w:sz w:val="10"/>
                <w:szCs w:val="18"/>
              </w:rPr>
              <w:t>2,817</w:t>
            </w:r>
          </w:p>
        </w:tc>
      </w:tr>
      <w:tr w:rsidR="00E563BC" w:rsidRPr="00005453" w14:paraId="0DA46B48" w14:textId="77777777" w:rsidTr="00E563BC">
        <w:trPr>
          <w:trHeight w:val="1"/>
        </w:trPr>
        <w:tc>
          <w:tcPr>
            <w:tcW w:w="410" w:type="dxa"/>
            <w:tcBorders>
              <w:top w:val="nil"/>
              <w:left w:val="single" w:sz="4" w:space="0" w:color="auto"/>
              <w:bottom w:val="nil"/>
              <w:right w:val="single" w:sz="4" w:space="0" w:color="auto"/>
            </w:tcBorders>
            <w:shd w:val="clear" w:color="auto" w:fill="auto"/>
            <w:noWrap/>
            <w:vAlign w:val="center"/>
            <w:hideMark/>
          </w:tcPr>
          <w:p w14:paraId="5A34D21F" w14:textId="77777777" w:rsidR="00E563BC" w:rsidRPr="00005453" w:rsidRDefault="00E563BC" w:rsidP="00E563BC">
            <w:pPr>
              <w:rPr>
                <w:color w:val="000000"/>
                <w:sz w:val="10"/>
                <w:szCs w:val="10"/>
                <w:lang w:eastAsia="tr-TR"/>
              </w:rPr>
            </w:pPr>
            <w:r w:rsidRPr="00005453">
              <w:rPr>
                <w:color w:val="000000"/>
                <w:sz w:val="10"/>
                <w:szCs w:val="10"/>
                <w:lang w:val="en-US" w:eastAsia="tr-TR"/>
              </w:rPr>
              <w:t>11.3</w:t>
            </w:r>
          </w:p>
        </w:tc>
        <w:tc>
          <w:tcPr>
            <w:tcW w:w="2183" w:type="dxa"/>
            <w:tcBorders>
              <w:top w:val="nil"/>
              <w:left w:val="single" w:sz="4" w:space="0" w:color="auto"/>
              <w:bottom w:val="nil"/>
              <w:right w:val="single" w:sz="4" w:space="0" w:color="auto"/>
            </w:tcBorders>
            <w:shd w:val="clear" w:color="auto" w:fill="auto"/>
            <w:noWrap/>
            <w:vAlign w:val="center"/>
            <w:hideMark/>
          </w:tcPr>
          <w:p w14:paraId="376DD9A9" w14:textId="77777777" w:rsidR="00E563BC" w:rsidRPr="00005453" w:rsidRDefault="00E563BC" w:rsidP="00E563BC">
            <w:pPr>
              <w:rPr>
                <w:color w:val="000000"/>
                <w:sz w:val="10"/>
                <w:szCs w:val="10"/>
                <w:lang w:eastAsia="tr-TR"/>
              </w:rPr>
            </w:pPr>
            <w:r w:rsidRPr="00005453">
              <w:rPr>
                <w:color w:val="000000"/>
                <w:sz w:val="10"/>
                <w:szCs w:val="10"/>
                <w:lang w:val="en-US" w:eastAsia="tr-TR"/>
              </w:rPr>
              <w:t>Diğer</w:t>
            </w:r>
          </w:p>
        </w:tc>
        <w:tc>
          <w:tcPr>
            <w:tcW w:w="515" w:type="dxa"/>
            <w:gridSpan w:val="2"/>
            <w:tcBorders>
              <w:top w:val="nil"/>
              <w:left w:val="single" w:sz="4" w:space="0" w:color="auto"/>
              <w:bottom w:val="nil"/>
              <w:right w:val="single" w:sz="4" w:space="0" w:color="auto"/>
            </w:tcBorders>
            <w:shd w:val="clear" w:color="auto" w:fill="auto"/>
            <w:vAlign w:val="center"/>
            <w:hideMark/>
          </w:tcPr>
          <w:p w14:paraId="0C43FF8A" w14:textId="77777777" w:rsidR="00E563BC" w:rsidRPr="00005453" w:rsidRDefault="00E563BC" w:rsidP="00E563BC">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7AF0E20" w14:textId="60BC8A9A" w:rsidR="00E563BC" w:rsidRPr="00005453" w:rsidRDefault="00E563BC" w:rsidP="00E563BC">
            <w:pPr>
              <w:jc w:val="right"/>
              <w:rPr>
                <w:sz w:val="10"/>
                <w:szCs w:val="10"/>
              </w:rPr>
            </w:pPr>
            <w:r w:rsidRPr="00005453">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01BDB5EC" w14:textId="69085B6A" w:rsidR="00E563BC" w:rsidRPr="00005453" w:rsidRDefault="00E563BC" w:rsidP="00E563BC">
            <w:pPr>
              <w:jc w:val="right"/>
              <w:rPr>
                <w:sz w:val="10"/>
                <w:szCs w:val="10"/>
              </w:rPr>
            </w:pPr>
            <w:r w:rsidRPr="00005453">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5F8DF78" w14:textId="40D79F81" w:rsidR="00E563BC" w:rsidRPr="00005453" w:rsidRDefault="00E563BC" w:rsidP="00E563BC">
            <w:pPr>
              <w:jc w:val="right"/>
              <w:rPr>
                <w:sz w:val="10"/>
                <w:szCs w:val="10"/>
              </w:rPr>
            </w:pPr>
            <w:r w:rsidRPr="00005453">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17A1FC67" w14:textId="75F6F38F" w:rsidR="00E563BC" w:rsidRPr="00005453" w:rsidRDefault="00E563BC" w:rsidP="00E563BC">
            <w:pPr>
              <w:jc w:val="right"/>
              <w:rPr>
                <w:sz w:val="10"/>
                <w:szCs w:val="10"/>
              </w:rPr>
            </w:pPr>
            <w:r w:rsidRPr="00005453">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C5CC4EC" w14:textId="50C70465" w:rsidR="00E563BC" w:rsidRPr="00005453" w:rsidRDefault="00E563BC" w:rsidP="00E563BC">
            <w:pPr>
              <w:jc w:val="right"/>
              <w:rPr>
                <w:sz w:val="10"/>
                <w:szCs w:val="10"/>
              </w:rPr>
            </w:pPr>
            <w:r w:rsidRPr="00005453">
              <w:rPr>
                <w:sz w:val="10"/>
                <w:szCs w:val="18"/>
              </w:rPr>
              <w:t>-</w:t>
            </w:r>
          </w:p>
        </w:tc>
        <w:tc>
          <w:tcPr>
            <w:tcW w:w="610" w:type="dxa"/>
            <w:tcBorders>
              <w:top w:val="nil"/>
              <w:left w:val="single" w:sz="4" w:space="0" w:color="auto"/>
              <w:bottom w:val="nil"/>
              <w:right w:val="single" w:sz="4" w:space="0" w:color="auto"/>
            </w:tcBorders>
            <w:shd w:val="clear" w:color="auto" w:fill="auto"/>
            <w:vAlign w:val="center"/>
            <w:hideMark/>
          </w:tcPr>
          <w:p w14:paraId="4DFB72D7" w14:textId="712F0B7B" w:rsidR="00E563BC" w:rsidRPr="00005453" w:rsidRDefault="00E563BC" w:rsidP="00E563BC">
            <w:pPr>
              <w:jc w:val="right"/>
              <w:rPr>
                <w:sz w:val="10"/>
                <w:szCs w:val="10"/>
              </w:rPr>
            </w:pPr>
            <w:r w:rsidRPr="00005453">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42718B88" w14:textId="6DD43105" w:rsidR="00E563BC" w:rsidRPr="00E6433E" w:rsidRDefault="00E563BC" w:rsidP="00E563BC">
            <w:pPr>
              <w:jc w:val="right"/>
              <w:rPr>
                <w:sz w:val="10"/>
                <w:szCs w:val="10"/>
              </w:rPr>
            </w:pPr>
            <w:r w:rsidRPr="00E6433E">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1902A9B0" w14:textId="6A73C015" w:rsidR="00E563BC" w:rsidRPr="00E6433E" w:rsidRDefault="00E563BC" w:rsidP="00E563BC">
            <w:pPr>
              <w:jc w:val="right"/>
              <w:rPr>
                <w:sz w:val="10"/>
                <w:szCs w:val="10"/>
              </w:rPr>
            </w:pPr>
            <w:r w:rsidRPr="00E6433E">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6349124" w14:textId="1EBFA139" w:rsidR="00E563BC" w:rsidRPr="00E6433E" w:rsidRDefault="00E563BC" w:rsidP="00E563BC">
            <w:pPr>
              <w:jc w:val="right"/>
              <w:rPr>
                <w:sz w:val="10"/>
                <w:szCs w:val="10"/>
              </w:rPr>
            </w:pPr>
            <w:r w:rsidRPr="00E6433E">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79B0E180" w14:textId="5B25D422" w:rsidR="00E563BC" w:rsidRPr="00E6433E" w:rsidRDefault="00E563BC" w:rsidP="00E563BC">
            <w:pPr>
              <w:jc w:val="right"/>
              <w:rPr>
                <w:sz w:val="10"/>
                <w:szCs w:val="10"/>
              </w:rPr>
            </w:pPr>
            <w:r w:rsidRPr="00E6433E">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11C7DA06" w14:textId="495152B5" w:rsidR="00E563BC" w:rsidRPr="00E6433E" w:rsidRDefault="00E563BC" w:rsidP="00E563BC">
            <w:pPr>
              <w:jc w:val="right"/>
              <w:rPr>
                <w:sz w:val="10"/>
                <w:szCs w:val="10"/>
              </w:rPr>
            </w:pPr>
            <w:r w:rsidRPr="00E6433E">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3B03C8A9" w14:textId="30EE254A" w:rsidR="00E563BC" w:rsidRPr="00E6433E" w:rsidRDefault="00E563BC" w:rsidP="00E563BC">
            <w:pPr>
              <w:jc w:val="right"/>
              <w:rPr>
                <w:sz w:val="10"/>
                <w:szCs w:val="10"/>
              </w:rPr>
            </w:pPr>
            <w:r w:rsidRPr="00E6433E">
              <w:rPr>
                <w:sz w:val="10"/>
                <w:szCs w:val="18"/>
              </w:rPr>
              <w:t>26,609,371</w:t>
            </w:r>
          </w:p>
        </w:tc>
        <w:tc>
          <w:tcPr>
            <w:tcW w:w="760" w:type="dxa"/>
            <w:tcBorders>
              <w:top w:val="nil"/>
              <w:left w:val="single" w:sz="4" w:space="0" w:color="auto"/>
              <w:bottom w:val="nil"/>
              <w:right w:val="single" w:sz="4" w:space="0" w:color="auto"/>
            </w:tcBorders>
            <w:shd w:val="clear" w:color="auto" w:fill="auto"/>
            <w:vAlign w:val="center"/>
            <w:hideMark/>
          </w:tcPr>
          <w:p w14:paraId="1B35C2E1" w14:textId="3B194241" w:rsidR="00E563BC" w:rsidRPr="00E6433E" w:rsidRDefault="00E563BC" w:rsidP="00E563BC">
            <w:pPr>
              <w:jc w:val="right"/>
              <w:rPr>
                <w:sz w:val="10"/>
                <w:szCs w:val="10"/>
              </w:rPr>
            </w:pPr>
            <w:r w:rsidRPr="00E6433E">
              <w:rPr>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7881F027" w14:textId="1469220D" w:rsidR="00E563BC" w:rsidRPr="00E6433E" w:rsidRDefault="00E563BC" w:rsidP="00E563BC">
            <w:pPr>
              <w:jc w:val="right"/>
              <w:rPr>
                <w:sz w:val="10"/>
                <w:szCs w:val="10"/>
              </w:rPr>
            </w:pPr>
            <w:r w:rsidRPr="00E6433E">
              <w:rPr>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2BE6EDC6" w14:textId="221D2EC2" w:rsidR="00E563BC" w:rsidRPr="00E6433E" w:rsidRDefault="00E563BC" w:rsidP="00E563BC">
            <w:pPr>
              <w:jc w:val="right"/>
              <w:rPr>
                <w:sz w:val="10"/>
                <w:szCs w:val="10"/>
              </w:rPr>
            </w:pPr>
            <w:r w:rsidRPr="00E6433E">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553C8418" w14:textId="53C5A270" w:rsidR="00E563BC" w:rsidRPr="00E6433E" w:rsidRDefault="00E563BC" w:rsidP="00E563BC">
            <w:pPr>
              <w:jc w:val="right"/>
              <w:rPr>
                <w:sz w:val="10"/>
                <w:szCs w:val="10"/>
              </w:rPr>
            </w:pPr>
            <w:r w:rsidRPr="00E6433E">
              <w:rPr>
                <w:sz w:val="10"/>
                <w:szCs w:val="18"/>
              </w:rPr>
              <w:t>-</w:t>
            </w:r>
          </w:p>
        </w:tc>
      </w:tr>
      <w:tr w:rsidR="00346B96" w:rsidRPr="00005453" w14:paraId="734BFEF9" w14:textId="77777777" w:rsidTr="00E563BC">
        <w:trPr>
          <w:trHeight w:val="1"/>
        </w:trPr>
        <w:tc>
          <w:tcPr>
            <w:tcW w:w="410" w:type="dxa"/>
            <w:tcBorders>
              <w:top w:val="nil"/>
              <w:left w:val="single" w:sz="4" w:space="0" w:color="auto"/>
              <w:bottom w:val="single" w:sz="4" w:space="0" w:color="auto"/>
              <w:right w:val="single" w:sz="4" w:space="0" w:color="auto"/>
            </w:tcBorders>
            <w:shd w:val="clear" w:color="auto" w:fill="auto"/>
            <w:noWrap/>
            <w:vAlign w:val="bottom"/>
            <w:hideMark/>
          </w:tcPr>
          <w:p w14:paraId="77B46578" w14:textId="77777777" w:rsidR="00346B96" w:rsidRPr="00005453" w:rsidRDefault="00346B96" w:rsidP="0068420B">
            <w:pPr>
              <w:rPr>
                <w:color w:val="000000"/>
                <w:sz w:val="10"/>
                <w:szCs w:val="10"/>
                <w:lang w:eastAsia="tr-TR"/>
              </w:rPr>
            </w:pPr>
            <w:r w:rsidRPr="00005453">
              <w:rPr>
                <w:color w:val="000000"/>
                <w:sz w:val="10"/>
                <w:szCs w:val="10"/>
                <w:lang w:eastAsia="tr-TR"/>
              </w:rPr>
              <w:t> </w:t>
            </w:r>
          </w:p>
        </w:tc>
        <w:tc>
          <w:tcPr>
            <w:tcW w:w="2183" w:type="dxa"/>
            <w:tcBorders>
              <w:top w:val="nil"/>
              <w:left w:val="single" w:sz="4" w:space="0" w:color="auto"/>
              <w:bottom w:val="single" w:sz="4" w:space="0" w:color="auto"/>
              <w:right w:val="single" w:sz="4" w:space="0" w:color="auto"/>
            </w:tcBorders>
            <w:shd w:val="clear" w:color="auto" w:fill="auto"/>
            <w:noWrap/>
            <w:vAlign w:val="bottom"/>
            <w:hideMark/>
          </w:tcPr>
          <w:p w14:paraId="5EA5B543" w14:textId="77777777" w:rsidR="00346B96" w:rsidRPr="00005453" w:rsidRDefault="00346B96" w:rsidP="0068420B">
            <w:pPr>
              <w:rPr>
                <w:color w:val="000000"/>
                <w:sz w:val="10"/>
                <w:szCs w:val="10"/>
                <w:lang w:eastAsia="tr-TR"/>
              </w:rPr>
            </w:pPr>
            <w:r w:rsidRPr="00005453">
              <w:rPr>
                <w:color w:val="000000"/>
                <w:sz w:val="10"/>
                <w:szCs w:val="10"/>
                <w:lang w:eastAsia="tr-TR"/>
              </w:rPr>
              <w:t> </w:t>
            </w:r>
          </w:p>
        </w:tc>
        <w:tc>
          <w:tcPr>
            <w:tcW w:w="515" w:type="dxa"/>
            <w:gridSpan w:val="2"/>
            <w:tcBorders>
              <w:top w:val="nil"/>
              <w:left w:val="single" w:sz="4" w:space="0" w:color="auto"/>
              <w:bottom w:val="single" w:sz="4" w:space="0" w:color="auto"/>
              <w:right w:val="single" w:sz="4" w:space="0" w:color="auto"/>
            </w:tcBorders>
            <w:shd w:val="clear" w:color="auto" w:fill="auto"/>
            <w:vAlign w:val="center"/>
            <w:hideMark/>
          </w:tcPr>
          <w:p w14:paraId="1627B12C" w14:textId="77777777" w:rsidR="00346B96" w:rsidRPr="00005453" w:rsidRDefault="00346B96" w:rsidP="0068420B">
            <w:pPr>
              <w:jc w:val="right"/>
              <w:rPr>
                <w:color w:val="000000"/>
                <w:sz w:val="10"/>
                <w:szCs w:val="10"/>
                <w:lang w:eastAsia="tr-TR"/>
              </w:rPr>
            </w:pPr>
            <w:r w:rsidRPr="00005453">
              <w:rPr>
                <w:color w:val="000000"/>
                <w:sz w:val="10"/>
                <w:szCs w:val="10"/>
                <w:lang w:val="en-US" w:eastAsia="tr-TR"/>
              </w:rPr>
              <w:t> </w:t>
            </w:r>
          </w:p>
        </w:tc>
        <w:tc>
          <w:tcPr>
            <w:tcW w:w="703" w:type="dxa"/>
            <w:tcBorders>
              <w:top w:val="nil"/>
              <w:left w:val="single" w:sz="4" w:space="0" w:color="auto"/>
              <w:bottom w:val="single" w:sz="4" w:space="0" w:color="auto"/>
              <w:right w:val="single" w:sz="4" w:space="0" w:color="auto"/>
            </w:tcBorders>
            <w:shd w:val="clear" w:color="auto" w:fill="auto"/>
            <w:vAlign w:val="center"/>
          </w:tcPr>
          <w:p w14:paraId="0BC492B2" w14:textId="77777777" w:rsidR="00346B96" w:rsidRPr="00005453" w:rsidRDefault="00346B96" w:rsidP="0068420B">
            <w:pPr>
              <w:jc w:val="right"/>
              <w:rPr>
                <w:sz w:val="10"/>
                <w:szCs w:val="10"/>
              </w:rPr>
            </w:pPr>
          </w:p>
        </w:tc>
        <w:tc>
          <w:tcPr>
            <w:tcW w:w="843" w:type="dxa"/>
            <w:tcBorders>
              <w:top w:val="nil"/>
              <w:left w:val="single" w:sz="4" w:space="0" w:color="auto"/>
              <w:bottom w:val="single" w:sz="4" w:space="0" w:color="auto"/>
              <w:right w:val="single" w:sz="4" w:space="0" w:color="auto"/>
            </w:tcBorders>
            <w:shd w:val="clear" w:color="auto" w:fill="auto"/>
            <w:vAlign w:val="center"/>
          </w:tcPr>
          <w:p w14:paraId="0F3C6280" w14:textId="77777777" w:rsidR="00346B96" w:rsidRPr="00005453" w:rsidRDefault="00346B96" w:rsidP="0068420B">
            <w:pPr>
              <w:jc w:val="right"/>
              <w:rPr>
                <w:sz w:val="10"/>
                <w:szCs w:val="10"/>
              </w:rPr>
            </w:pPr>
          </w:p>
        </w:tc>
        <w:tc>
          <w:tcPr>
            <w:tcW w:w="703" w:type="dxa"/>
            <w:tcBorders>
              <w:top w:val="nil"/>
              <w:left w:val="single" w:sz="4" w:space="0" w:color="auto"/>
              <w:bottom w:val="single" w:sz="4" w:space="0" w:color="auto"/>
              <w:right w:val="single" w:sz="4" w:space="0" w:color="auto"/>
            </w:tcBorders>
            <w:shd w:val="clear" w:color="auto" w:fill="auto"/>
            <w:vAlign w:val="center"/>
          </w:tcPr>
          <w:p w14:paraId="1A9B85F2" w14:textId="77777777" w:rsidR="00346B96" w:rsidRPr="00005453" w:rsidRDefault="00346B96" w:rsidP="0068420B">
            <w:pPr>
              <w:jc w:val="right"/>
              <w:rPr>
                <w:sz w:val="10"/>
                <w:szCs w:val="10"/>
              </w:rPr>
            </w:pPr>
          </w:p>
        </w:tc>
        <w:tc>
          <w:tcPr>
            <w:tcW w:w="844" w:type="dxa"/>
            <w:tcBorders>
              <w:top w:val="nil"/>
              <w:left w:val="single" w:sz="4" w:space="0" w:color="auto"/>
              <w:bottom w:val="single" w:sz="4" w:space="0" w:color="auto"/>
              <w:right w:val="single" w:sz="4" w:space="0" w:color="auto"/>
            </w:tcBorders>
            <w:shd w:val="clear" w:color="auto" w:fill="auto"/>
            <w:vAlign w:val="center"/>
          </w:tcPr>
          <w:p w14:paraId="5B6E464A" w14:textId="77777777" w:rsidR="00346B96" w:rsidRPr="00005453" w:rsidRDefault="00346B96" w:rsidP="0068420B">
            <w:pPr>
              <w:jc w:val="right"/>
              <w:rPr>
                <w:sz w:val="10"/>
                <w:szCs w:val="10"/>
              </w:rPr>
            </w:pPr>
          </w:p>
        </w:tc>
        <w:tc>
          <w:tcPr>
            <w:tcW w:w="565" w:type="dxa"/>
            <w:tcBorders>
              <w:top w:val="nil"/>
              <w:left w:val="single" w:sz="4" w:space="0" w:color="auto"/>
              <w:bottom w:val="single" w:sz="4" w:space="0" w:color="auto"/>
              <w:right w:val="single" w:sz="4" w:space="0" w:color="auto"/>
            </w:tcBorders>
            <w:shd w:val="clear" w:color="auto" w:fill="auto"/>
            <w:vAlign w:val="center"/>
          </w:tcPr>
          <w:p w14:paraId="308B799F" w14:textId="77777777" w:rsidR="00346B96" w:rsidRPr="00005453" w:rsidRDefault="00346B96" w:rsidP="0068420B">
            <w:pPr>
              <w:jc w:val="right"/>
              <w:rPr>
                <w:sz w:val="10"/>
                <w:szCs w:val="10"/>
              </w:rPr>
            </w:pPr>
          </w:p>
        </w:tc>
        <w:tc>
          <w:tcPr>
            <w:tcW w:w="610" w:type="dxa"/>
            <w:tcBorders>
              <w:top w:val="nil"/>
              <w:left w:val="single" w:sz="4" w:space="0" w:color="auto"/>
              <w:bottom w:val="single" w:sz="4" w:space="0" w:color="auto"/>
              <w:right w:val="single" w:sz="4" w:space="0" w:color="auto"/>
            </w:tcBorders>
            <w:shd w:val="clear" w:color="auto" w:fill="auto"/>
            <w:vAlign w:val="center"/>
          </w:tcPr>
          <w:p w14:paraId="71C5A273" w14:textId="77777777" w:rsidR="00346B96" w:rsidRPr="00005453" w:rsidRDefault="00346B96" w:rsidP="0068420B">
            <w:pPr>
              <w:jc w:val="right"/>
              <w:rPr>
                <w:sz w:val="10"/>
                <w:szCs w:val="10"/>
              </w:rPr>
            </w:pPr>
          </w:p>
        </w:tc>
        <w:tc>
          <w:tcPr>
            <w:tcW w:w="568" w:type="dxa"/>
            <w:tcBorders>
              <w:top w:val="nil"/>
              <w:left w:val="single" w:sz="4" w:space="0" w:color="auto"/>
              <w:bottom w:val="single" w:sz="4" w:space="0" w:color="auto"/>
              <w:right w:val="single" w:sz="4" w:space="0" w:color="auto"/>
            </w:tcBorders>
            <w:shd w:val="clear" w:color="auto" w:fill="auto"/>
            <w:vAlign w:val="center"/>
          </w:tcPr>
          <w:p w14:paraId="45F5FFE0" w14:textId="77777777" w:rsidR="00346B96" w:rsidRPr="00E6433E" w:rsidRDefault="00346B96" w:rsidP="0068420B">
            <w:pPr>
              <w:jc w:val="right"/>
              <w:rPr>
                <w:sz w:val="10"/>
                <w:szCs w:val="10"/>
              </w:rPr>
            </w:pPr>
          </w:p>
        </w:tc>
        <w:tc>
          <w:tcPr>
            <w:tcW w:w="424" w:type="dxa"/>
            <w:tcBorders>
              <w:top w:val="nil"/>
              <w:left w:val="single" w:sz="4" w:space="0" w:color="auto"/>
              <w:bottom w:val="single" w:sz="4" w:space="0" w:color="auto"/>
              <w:right w:val="single" w:sz="4" w:space="0" w:color="auto"/>
            </w:tcBorders>
            <w:shd w:val="clear" w:color="auto" w:fill="auto"/>
            <w:vAlign w:val="center"/>
          </w:tcPr>
          <w:p w14:paraId="09661603" w14:textId="77777777" w:rsidR="00346B96" w:rsidRPr="00E6433E" w:rsidRDefault="00346B96" w:rsidP="0068420B">
            <w:pPr>
              <w:jc w:val="right"/>
              <w:rPr>
                <w:sz w:val="10"/>
                <w:szCs w:val="10"/>
              </w:rPr>
            </w:pPr>
          </w:p>
        </w:tc>
        <w:tc>
          <w:tcPr>
            <w:tcW w:w="703" w:type="dxa"/>
            <w:tcBorders>
              <w:top w:val="nil"/>
              <w:left w:val="single" w:sz="4" w:space="0" w:color="auto"/>
              <w:bottom w:val="single" w:sz="4" w:space="0" w:color="auto"/>
              <w:right w:val="single" w:sz="4" w:space="0" w:color="auto"/>
            </w:tcBorders>
            <w:shd w:val="clear" w:color="auto" w:fill="auto"/>
            <w:vAlign w:val="center"/>
          </w:tcPr>
          <w:p w14:paraId="2C671834" w14:textId="77777777" w:rsidR="00346B96" w:rsidRPr="00E6433E" w:rsidRDefault="00346B96" w:rsidP="0068420B">
            <w:pPr>
              <w:jc w:val="right"/>
              <w:rPr>
                <w:sz w:val="10"/>
                <w:szCs w:val="10"/>
              </w:rPr>
            </w:pPr>
          </w:p>
        </w:tc>
        <w:tc>
          <w:tcPr>
            <w:tcW w:w="536" w:type="dxa"/>
            <w:tcBorders>
              <w:top w:val="nil"/>
              <w:left w:val="single" w:sz="4" w:space="0" w:color="auto"/>
              <w:bottom w:val="single" w:sz="4" w:space="0" w:color="auto"/>
              <w:right w:val="single" w:sz="4" w:space="0" w:color="auto"/>
            </w:tcBorders>
            <w:shd w:val="clear" w:color="auto" w:fill="auto"/>
            <w:vAlign w:val="center"/>
          </w:tcPr>
          <w:p w14:paraId="0A1855B1" w14:textId="77777777" w:rsidR="00346B96" w:rsidRPr="00E6433E" w:rsidRDefault="00346B96" w:rsidP="0068420B">
            <w:pPr>
              <w:jc w:val="right"/>
              <w:rPr>
                <w:sz w:val="10"/>
                <w:szCs w:val="10"/>
              </w:rPr>
            </w:pPr>
          </w:p>
        </w:tc>
        <w:tc>
          <w:tcPr>
            <w:tcW w:w="954" w:type="dxa"/>
            <w:tcBorders>
              <w:top w:val="nil"/>
              <w:left w:val="single" w:sz="4" w:space="0" w:color="auto"/>
              <w:bottom w:val="single" w:sz="4" w:space="0" w:color="auto"/>
              <w:right w:val="single" w:sz="4" w:space="0" w:color="auto"/>
            </w:tcBorders>
            <w:shd w:val="clear" w:color="auto" w:fill="auto"/>
            <w:vAlign w:val="center"/>
          </w:tcPr>
          <w:p w14:paraId="629C0FC3" w14:textId="77777777" w:rsidR="00346B96" w:rsidRPr="00E6433E" w:rsidRDefault="00346B96" w:rsidP="0068420B">
            <w:pPr>
              <w:jc w:val="right"/>
              <w:rPr>
                <w:sz w:val="10"/>
                <w:szCs w:val="10"/>
              </w:rPr>
            </w:pPr>
          </w:p>
        </w:tc>
        <w:tc>
          <w:tcPr>
            <w:tcW w:w="1022" w:type="dxa"/>
            <w:tcBorders>
              <w:top w:val="nil"/>
              <w:left w:val="single" w:sz="4" w:space="0" w:color="auto"/>
              <w:bottom w:val="single" w:sz="4" w:space="0" w:color="auto"/>
              <w:right w:val="single" w:sz="4" w:space="0" w:color="auto"/>
            </w:tcBorders>
            <w:shd w:val="clear" w:color="auto" w:fill="auto"/>
            <w:vAlign w:val="center"/>
          </w:tcPr>
          <w:p w14:paraId="181588FA" w14:textId="77777777" w:rsidR="00346B96" w:rsidRPr="00E6433E" w:rsidRDefault="00346B96" w:rsidP="0068420B">
            <w:pPr>
              <w:jc w:val="right"/>
              <w:rPr>
                <w:sz w:val="10"/>
                <w:szCs w:val="10"/>
              </w:rPr>
            </w:pPr>
          </w:p>
        </w:tc>
        <w:tc>
          <w:tcPr>
            <w:tcW w:w="760" w:type="dxa"/>
            <w:tcBorders>
              <w:top w:val="nil"/>
              <w:left w:val="single" w:sz="4" w:space="0" w:color="auto"/>
              <w:bottom w:val="single" w:sz="4" w:space="0" w:color="auto"/>
              <w:right w:val="single" w:sz="4" w:space="0" w:color="auto"/>
            </w:tcBorders>
            <w:shd w:val="clear" w:color="auto" w:fill="auto"/>
            <w:vAlign w:val="center"/>
          </w:tcPr>
          <w:p w14:paraId="0D34B032" w14:textId="77777777" w:rsidR="00346B96" w:rsidRPr="00E6433E" w:rsidRDefault="00346B96" w:rsidP="0068420B">
            <w:pPr>
              <w:jc w:val="right"/>
              <w:rPr>
                <w:sz w:val="10"/>
                <w:szCs w:val="10"/>
              </w:rPr>
            </w:pPr>
          </w:p>
        </w:tc>
        <w:tc>
          <w:tcPr>
            <w:tcW w:w="844" w:type="dxa"/>
            <w:tcBorders>
              <w:top w:val="nil"/>
              <w:left w:val="single" w:sz="4" w:space="0" w:color="auto"/>
              <w:bottom w:val="single" w:sz="4" w:space="0" w:color="auto"/>
              <w:right w:val="single" w:sz="4" w:space="0" w:color="auto"/>
            </w:tcBorders>
            <w:shd w:val="clear" w:color="auto" w:fill="auto"/>
            <w:vAlign w:val="center"/>
          </w:tcPr>
          <w:p w14:paraId="39582BAE" w14:textId="77777777" w:rsidR="00346B96" w:rsidRPr="00E6433E" w:rsidRDefault="00346B96" w:rsidP="0068420B">
            <w:pPr>
              <w:jc w:val="right"/>
              <w:rPr>
                <w:sz w:val="10"/>
                <w:szCs w:val="10"/>
              </w:rPr>
            </w:pPr>
          </w:p>
        </w:tc>
        <w:tc>
          <w:tcPr>
            <w:tcW w:w="702" w:type="dxa"/>
            <w:tcBorders>
              <w:top w:val="nil"/>
              <w:left w:val="single" w:sz="4" w:space="0" w:color="auto"/>
              <w:bottom w:val="single" w:sz="4" w:space="0" w:color="auto"/>
              <w:right w:val="single" w:sz="4" w:space="0" w:color="auto"/>
            </w:tcBorders>
            <w:shd w:val="clear" w:color="auto" w:fill="auto"/>
            <w:vAlign w:val="center"/>
          </w:tcPr>
          <w:p w14:paraId="069090ED" w14:textId="77777777" w:rsidR="00346B96" w:rsidRPr="00E6433E" w:rsidRDefault="00346B96" w:rsidP="0068420B">
            <w:pPr>
              <w:jc w:val="right"/>
              <w:rPr>
                <w:sz w:val="10"/>
                <w:szCs w:val="10"/>
              </w:rPr>
            </w:pPr>
          </w:p>
        </w:tc>
        <w:tc>
          <w:tcPr>
            <w:tcW w:w="778" w:type="dxa"/>
            <w:tcBorders>
              <w:top w:val="nil"/>
              <w:left w:val="single" w:sz="4" w:space="0" w:color="auto"/>
              <w:bottom w:val="single" w:sz="4" w:space="0" w:color="auto"/>
              <w:right w:val="single" w:sz="4" w:space="0" w:color="auto"/>
            </w:tcBorders>
            <w:shd w:val="clear" w:color="auto" w:fill="auto"/>
            <w:vAlign w:val="center"/>
          </w:tcPr>
          <w:p w14:paraId="731477FC" w14:textId="77777777" w:rsidR="00346B96" w:rsidRPr="00E6433E" w:rsidRDefault="00346B96" w:rsidP="0068420B">
            <w:pPr>
              <w:jc w:val="right"/>
              <w:rPr>
                <w:sz w:val="10"/>
                <w:szCs w:val="10"/>
              </w:rPr>
            </w:pPr>
          </w:p>
        </w:tc>
      </w:tr>
      <w:tr w:rsidR="00E563BC" w:rsidRPr="00005453" w14:paraId="77446663" w14:textId="77777777" w:rsidTr="00E563BC">
        <w:trPr>
          <w:trHeight w:val="85"/>
        </w:trPr>
        <w:tc>
          <w:tcPr>
            <w:tcW w:w="410"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14:paraId="45817D2F" w14:textId="77777777" w:rsidR="00E563BC" w:rsidRPr="00005453" w:rsidRDefault="00E563BC" w:rsidP="00E563BC">
            <w:pPr>
              <w:rPr>
                <w:color w:val="000000"/>
                <w:sz w:val="10"/>
                <w:szCs w:val="10"/>
                <w:lang w:eastAsia="tr-TR"/>
              </w:rPr>
            </w:pPr>
            <w:r w:rsidRPr="00005453">
              <w:rPr>
                <w:color w:val="000000"/>
                <w:sz w:val="10"/>
                <w:szCs w:val="10"/>
                <w:lang w:eastAsia="tr-TR"/>
              </w:rPr>
              <w:t> </w:t>
            </w:r>
          </w:p>
        </w:tc>
        <w:tc>
          <w:tcPr>
            <w:tcW w:w="2183"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13AC4F1D" w14:textId="77777777" w:rsidR="00E563BC" w:rsidRPr="00005453" w:rsidRDefault="00E563BC" w:rsidP="00E563BC">
            <w:pPr>
              <w:rPr>
                <w:b/>
                <w:bCs/>
                <w:color w:val="000000"/>
                <w:sz w:val="10"/>
                <w:szCs w:val="10"/>
                <w:lang w:eastAsia="tr-TR"/>
              </w:rPr>
            </w:pPr>
            <w:r w:rsidRPr="00005453">
              <w:rPr>
                <w:b/>
                <w:bCs/>
                <w:color w:val="000000"/>
                <w:sz w:val="10"/>
                <w:szCs w:val="10"/>
                <w:lang w:val="de-DE" w:eastAsia="tr-TR"/>
              </w:rPr>
              <w:t>Dönem Sonu Bakiyesi (III+IV+…...+X+XI)</w:t>
            </w:r>
          </w:p>
        </w:tc>
        <w:tc>
          <w:tcPr>
            <w:tcW w:w="515"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5463D99C" w14:textId="063B350A" w:rsidR="00E563BC" w:rsidRPr="00005453" w:rsidRDefault="00E563BC" w:rsidP="00E563BC">
            <w:pPr>
              <w:jc w:val="center"/>
              <w:rPr>
                <w:b/>
                <w:bCs/>
                <w:color w:val="000000"/>
                <w:sz w:val="10"/>
                <w:szCs w:val="10"/>
                <w:lang w:eastAsia="tr-TR"/>
              </w:rPr>
            </w:pPr>
            <w:r w:rsidRPr="00005453">
              <w:rPr>
                <w:b/>
                <w:bCs/>
                <w:color w:val="000000"/>
                <w:sz w:val="10"/>
                <w:szCs w:val="10"/>
                <w:lang w:val="en-US" w:eastAsia="tr-TR"/>
              </w:rPr>
              <w:t>(5.2.12.)</w:t>
            </w:r>
          </w:p>
        </w:tc>
        <w:tc>
          <w:tcPr>
            <w:tcW w:w="70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5A019DB" w14:textId="7A5F93C2" w:rsidR="00E563BC" w:rsidRPr="00005453" w:rsidRDefault="00E563BC" w:rsidP="00E563BC">
            <w:pPr>
              <w:jc w:val="right"/>
              <w:rPr>
                <w:b/>
                <w:bCs/>
                <w:sz w:val="10"/>
                <w:szCs w:val="10"/>
              </w:rPr>
            </w:pPr>
            <w:r w:rsidRPr="00005453">
              <w:rPr>
                <w:b/>
                <w:bCs/>
                <w:sz w:val="10"/>
                <w:szCs w:val="18"/>
              </w:rPr>
              <w:t>4,947,336</w:t>
            </w:r>
          </w:p>
        </w:tc>
        <w:tc>
          <w:tcPr>
            <w:tcW w:w="84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A0C946A" w14:textId="063781CB" w:rsidR="00E563BC" w:rsidRPr="00005453" w:rsidRDefault="00E563BC" w:rsidP="00E563BC">
            <w:pPr>
              <w:jc w:val="right"/>
              <w:rPr>
                <w:b/>
                <w:bCs/>
                <w:sz w:val="10"/>
                <w:szCs w:val="10"/>
              </w:rPr>
            </w:pPr>
            <w:r w:rsidRPr="00005453">
              <w:rPr>
                <w:b/>
                <w:bCs/>
                <w:sz w:val="10"/>
                <w:szCs w:val="18"/>
              </w:rPr>
              <w:t>6,373,506</w:t>
            </w:r>
          </w:p>
        </w:tc>
        <w:tc>
          <w:tcPr>
            <w:tcW w:w="70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FA686A5" w14:textId="7CA3776F" w:rsidR="00E563BC" w:rsidRPr="00005453" w:rsidRDefault="00E563BC" w:rsidP="00E563BC">
            <w:pPr>
              <w:jc w:val="right"/>
              <w:rPr>
                <w:b/>
                <w:bCs/>
                <w:sz w:val="10"/>
                <w:szCs w:val="10"/>
              </w:rPr>
            </w:pPr>
            <w:r w:rsidRPr="00005453">
              <w:rPr>
                <w:b/>
                <w:bCs/>
                <w:sz w:val="10"/>
                <w:szCs w:val="18"/>
              </w:rPr>
              <w:t>1,874</w:t>
            </w:r>
          </w:p>
        </w:tc>
        <w:tc>
          <w:tcPr>
            <w:tcW w:w="844"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2881D25" w14:textId="2EA8BB47" w:rsidR="00E563BC" w:rsidRPr="00005453" w:rsidRDefault="00E563BC" w:rsidP="00E563BC">
            <w:pPr>
              <w:jc w:val="right"/>
              <w:rPr>
                <w:b/>
                <w:bCs/>
                <w:sz w:val="10"/>
                <w:szCs w:val="10"/>
              </w:rPr>
            </w:pPr>
            <w:r w:rsidRPr="00005453">
              <w:rPr>
                <w:b/>
                <w:bCs/>
                <w:sz w:val="10"/>
                <w:szCs w:val="18"/>
              </w:rPr>
              <w:t>-</w:t>
            </w:r>
          </w:p>
        </w:tc>
        <w:tc>
          <w:tcPr>
            <w:tcW w:w="56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AD2C692" w14:textId="26838E85" w:rsidR="00E563BC" w:rsidRPr="00005453" w:rsidRDefault="00E563BC" w:rsidP="00E563BC">
            <w:pPr>
              <w:jc w:val="right"/>
              <w:rPr>
                <w:b/>
                <w:bCs/>
                <w:sz w:val="10"/>
                <w:szCs w:val="10"/>
              </w:rPr>
            </w:pPr>
            <w:r w:rsidRPr="00005453">
              <w:rPr>
                <w:b/>
                <w:bCs/>
                <w:sz w:val="10"/>
                <w:szCs w:val="18"/>
              </w:rPr>
              <w:t>-</w:t>
            </w:r>
          </w:p>
        </w:tc>
        <w:tc>
          <w:tcPr>
            <w:tcW w:w="61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3189660" w14:textId="1FFF4E0C" w:rsidR="00E563BC" w:rsidRPr="00005453" w:rsidRDefault="00E563BC" w:rsidP="00E563BC">
            <w:pPr>
              <w:jc w:val="right"/>
              <w:rPr>
                <w:b/>
                <w:bCs/>
                <w:sz w:val="10"/>
                <w:szCs w:val="10"/>
              </w:rPr>
            </w:pPr>
            <w:r w:rsidRPr="00005453">
              <w:rPr>
                <w:b/>
                <w:bCs/>
                <w:sz w:val="10"/>
                <w:szCs w:val="18"/>
              </w:rPr>
              <w:t>(553,764)</w:t>
            </w:r>
          </w:p>
        </w:tc>
        <w:tc>
          <w:tcPr>
            <w:tcW w:w="568"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14DA85C" w14:textId="688E13C9" w:rsidR="00E563BC" w:rsidRPr="00005453" w:rsidRDefault="00E563BC" w:rsidP="00E563BC">
            <w:pPr>
              <w:jc w:val="right"/>
              <w:rPr>
                <w:b/>
                <w:bCs/>
                <w:sz w:val="10"/>
                <w:szCs w:val="10"/>
              </w:rPr>
            </w:pPr>
            <w:r w:rsidRPr="00005453">
              <w:rPr>
                <w:b/>
                <w:bCs/>
                <w:sz w:val="10"/>
                <w:szCs w:val="18"/>
              </w:rPr>
              <w:t>-</w:t>
            </w:r>
          </w:p>
        </w:tc>
        <w:tc>
          <w:tcPr>
            <w:tcW w:w="424"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B408FD6" w14:textId="069D6506" w:rsidR="00E563BC" w:rsidRPr="00005453" w:rsidRDefault="00E563BC" w:rsidP="00E563BC">
            <w:pPr>
              <w:jc w:val="right"/>
              <w:rPr>
                <w:b/>
                <w:bCs/>
                <w:sz w:val="10"/>
                <w:szCs w:val="10"/>
              </w:rPr>
            </w:pPr>
            <w:r w:rsidRPr="00005453">
              <w:rPr>
                <w:b/>
                <w:bCs/>
                <w:sz w:val="10"/>
                <w:szCs w:val="18"/>
              </w:rPr>
              <w:t>-</w:t>
            </w:r>
          </w:p>
        </w:tc>
        <w:tc>
          <w:tcPr>
            <w:tcW w:w="703"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6DAEA59" w14:textId="5F394F26" w:rsidR="00E563BC" w:rsidRPr="00005453" w:rsidRDefault="00E563BC" w:rsidP="00E563BC">
            <w:pPr>
              <w:jc w:val="right"/>
              <w:rPr>
                <w:b/>
                <w:bCs/>
                <w:sz w:val="10"/>
                <w:szCs w:val="10"/>
              </w:rPr>
            </w:pPr>
            <w:r w:rsidRPr="00005453">
              <w:rPr>
                <w:b/>
                <w:bCs/>
                <w:sz w:val="10"/>
                <w:szCs w:val="18"/>
              </w:rPr>
              <w:t>(5,459,248)</w:t>
            </w:r>
          </w:p>
        </w:tc>
        <w:tc>
          <w:tcPr>
            <w:tcW w:w="53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75D1780" w14:textId="39C70438" w:rsidR="00E563BC" w:rsidRPr="00005453" w:rsidRDefault="00E563BC" w:rsidP="00E563BC">
            <w:pPr>
              <w:jc w:val="right"/>
              <w:rPr>
                <w:b/>
                <w:bCs/>
                <w:sz w:val="10"/>
                <w:szCs w:val="10"/>
              </w:rPr>
            </w:pPr>
            <w:r w:rsidRPr="00005453">
              <w:rPr>
                <w:b/>
                <w:bCs/>
                <w:sz w:val="10"/>
                <w:szCs w:val="18"/>
              </w:rPr>
              <w:t>-</w:t>
            </w:r>
          </w:p>
        </w:tc>
        <w:tc>
          <w:tcPr>
            <w:tcW w:w="954"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95B41B3" w14:textId="61D653FE" w:rsidR="00E563BC" w:rsidRPr="00005453" w:rsidRDefault="00E563BC" w:rsidP="00E563BC">
            <w:pPr>
              <w:jc w:val="right"/>
              <w:rPr>
                <w:b/>
                <w:bCs/>
                <w:sz w:val="10"/>
                <w:szCs w:val="10"/>
              </w:rPr>
            </w:pPr>
            <w:r w:rsidRPr="00005453">
              <w:rPr>
                <w:b/>
                <w:bCs/>
                <w:sz w:val="10"/>
                <w:szCs w:val="18"/>
              </w:rPr>
              <w:t>42,203,716</w:t>
            </w:r>
          </w:p>
        </w:tc>
        <w:tc>
          <w:tcPr>
            <w:tcW w:w="1022"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CF42C58" w14:textId="0738DBEC" w:rsidR="00E563BC" w:rsidRPr="00005453" w:rsidRDefault="00E563BC" w:rsidP="00E563BC">
            <w:pPr>
              <w:jc w:val="right"/>
              <w:rPr>
                <w:b/>
                <w:bCs/>
                <w:sz w:val="10"/>
                <w:szCs w:val="10"/>
              </w:rPr>
            </w:pPr>
            <w:r w:rsidRPr="00005453">
              <w:rPr>
                <w:b/>
                <w:bCs/>
                <w:sz w:val="10"/>
                <w:szCs w:val="18"/>
              </w:rPr>
              <w:t>60,618</w:t>
            </w:r>
          </w:p>
        </w:tc>
        <w:tc>
          <w:tcPr>
            <w:tcW w:w="7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E560E47" w14:textId="2A4133D3" w:rsidR="00E563BC" w:rsidRPr="00005453" w:rsidRDefault="00E563BC" w:rsidP="00E563BC">
            <w:pPr>
              <w:jc w:val="right"/>
              <w:rPr>
                <w:b/>
                <w:bCs/>
                <w:sz w:val="10"/>
                <w:szCs w:val="10"/>
              </w:rPr>
            </w:pPr>
            <w:r w:rsidRPr="00005453">
              <w:rPr>
                <w:b/>
                <w:bCs/>
                <w:sz w:val="10"/>
                <w:szCs w:val="18"/>
              </w:rPr>
              <w:t>34,653,456</w:t>
            </w:r>
          </w:p>
        </w:tc>
        <w:tc>
          <w:tcPr>
            <w:tcW w:w="844"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666E7941" w14:textId="6C158E50" w:rsidR="00E563BC" w:rsidRPr="00005453" w:rsidRDefault="00E563BC" w:rsidP="00E563BC">
            <w:pPr>
              <w:jc w:val="right"/>
              <w:rPr>
                <w:b/>
                <w:bCs/>
                <w:sz w:val="10"/>
                <w:szCs w:val="10"/>
              </w:rPr>
            </w:pPr>
            <w:r w:rsidRPr="00005453">
              <w:rPr>
                <w:b/>
                <w:bCs/>
                <w:sz w:val="10"/>
                <w:szCs w:val="18"/>
              </w:rPr>
              <w:t>82,227,494</w:t>
            </w:r>
          </w:p>
        </w:tc>
        <w:tc>
          <w:tcPr>
            <w:tcW w:w="702"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72EAD0C" w14:textId="5E00518A" w:rsidR="00E563BC" w:rsidRPr="00005453" w:rsidRDefault="00E563BC" w:rsidP="00E563BC">
            <w:pPr>
              <w:jc w:val="right"/>
              <w:rPr>
                <w:b/>
                <w:bCs/>
                <w:sz w:val="10"/>
                <w:szCs w:val="10"/>
              </w:rPr>
            </w:pPr>
            <w:r w:rsidRPr="00005453">
              <w:rPr>
                <w:b/>
                <w:bCs/>
                <w:sz w:val="10"/>
                <w:szCs w:val="18"/>
              </w:rPr>
              <w:t>-</w:t>
            </w:r>
          </w:p>
        </w:tc>
        <w:tc>
          <w:tcPr>
            <w:tcW w:w="778"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4B1778F" w14:textId="6C2B86F5" w:rsidR="00E563BC" w:rsidRPr="00005453" w:rsidRDefault="00E563BC" w:rsidP="00E563BC">
            <w:pPr>
              <w:jc w:val="right"/>
              <w:rPr>
                <w:b/>
                <w:bCs/>
                <w:sz w:val="10"/>
                <w:szCs w:val="10"/>
              </w:rPr>
            </w:pPr>
            <w:r w:rsidRPr="00005453">
              <w:rPr>
                <w:b/>
                <w:bCs/>
                <w:sz w:val="10"/>
                <w:szCs w:val="18"/>
              </w:rPr>
              <w:t>82,227,494</w:t>
            </w:r>
          </w:p>
        </w:tc>
      </w:tr>
    </w:tbl>
    <w:p w14:paraId="6029D5E1" w14:textId="77777777" w:rsidR="00B420B8" w:rsidRPr="00005453" w:rsidRDefault="00B420B8" w:rsidP="00C62BB7">
      <w:pPr>
        <w:tabs>
          <w:tab w:val="left" w:pos="5689"/>
        </w:tabs>
        <w:jc w:val="both"/>
        <w:rPr>
          <w:sz w:val="11"/>
          <w:szCs w:val="11"/>
        </w:rPr>
      </w:pPr>
    </w:p>
    <w:tbl>
      <w:tblPr>
        <w:tblW w:w="13099" w:type="dxa"/>
        <w:tblInd w:w="108" w:type="dxa"/>
        <w:tblLook w:val="04A0" w:firstRow="1" w:lastRow="0" w:firstColumn="1" w:lastColumn="0" w:noHBand="0" w:noVBand="1"/>
      </w:tblPr>
      <w:tblGrid>
        <w:gridCol w:w="13099"/>
      </w:tblGrid>
      <w:tr w:rsidR="00F337B6" w:rsidRPr="00005453"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005453" w:rsidRDefault="00F337B6" w:rsidP="00C62BB7">
            <w:pPr>
              <w:rPr>
                <w:sz w:val="12"/>
                <w:szCs w:val="12"/>
              </w:rPr>
            </w:pPr>
            <w:r w:rsidRPr="00005453">
              <w:rPr>
                <w:sz w:val="12"/>
                <w:szCs w:val="12"/>
              </w:rPr>
              <w:t>1. Duran varlıklar birikmiş yeniden değerleme artışları/azalışları,</w:t>
            </w:r>
          </w:p>
          <w:p w14:paraId="328A6AFE" w14:textId="77777777" w:rsidR="00F337B6" w:rsidRPr="00005453" w:rsidRDefault="00F337B6" w:rsidP="00C62BB7">
            <w:pPr>
              <w:rPr>
                <w:sz w:val="12"/>
                <w:szCs w:val="12"/>
              </w:rPr>
            </w:pPr>
            <w:r w:rsidRPr="00005453">
              <w:rPr>
                <w:sz w:val="12"/>
                <w:szCs w:val="12"/>
              </w:rPr>
              <w:t>2. Tanımlanmış fayda planlarının birikmiş yeniden ölçüm kazançları/kayıpları,</w:t>
            </w:r>
          </w:p>
        </w:tc>
      </w:tr>
      <w:tr w:rsidR="00F337B6" w:rsidRPr="00005453"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005453" w:rsidRDefault="00F337B6" w:rsidP="00C62BB7">
            <w:pPr>
              <w:rPr>
                <w:sz w:val="12"/>
                <w:szCs w:val="12"/>
              </w:rPr>
            </w:pPr>
            <w:r w:rsidRPr="00005453">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005453"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46345D50" w:rsidR="009E243B" w:rsidRPr="00005453" w:rsidRDefault="009E243B" w:rsidP="00C62BB7">
            <w:pPr>
              <w:rPr>
                <w:sz w:val="12"/>
                <w:szCs w:val="12"/>
              </w:rPr>
            </w:pPr>
            <w:r w:rsidRPr="00005453">
              <w:rPr>
                <w:sz w:val="12"/>
                <w:szCs w:val="12"/>
              </w:rPr>
              <w:t>4. Yabancı para çev</w:t>
            </w:r>
            <w:r w:rsidR="00B22D85" w:rsidRPr="00005453">
              <w:rPr>
                <w:sz w:val="12"/>
                <w:szCs w:val="12"/>
              </w:rPr>
              <w:t>i</w:t>
            </w:r>
            <w:r w:rsidRPr="00005453">
              <w:rPr>
                <w:sz w:val="12"/>
                <w:szCs w:val="12"/>
              </w:rPr>
              <w:t>rim farkları</w:t>
            </w:r>
          </w:p>
        </w:tc>
      </w:tr>
      <w:tr w:rsidR="009E243B" w:rsidRPr="00005453"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005453" w:rsidRDefault="009E243B" w:rsidP="009E243B">
            <w:pPr>
              <w:rPr>
                <w:sz w:val="12"/>
                <w:szCs w:val="12"/>
              </w:rPr>
            </w:pPr>
            <w:r w:rsidRPr="00005453">
              <w:rPr>
                <w:sz w:val="12"/>
                <w:szCs w:val="12"/>
              </w:rPr>
              <w:t>5. Gerçeğe uygun değer farkı diğer kapsamlı gelire yansıtılan finansal varlıkların birikmiş yeniden değerleme ve/veya sınıflandırma kazançları/kayıpları,</w:t>
            </w:r>
          </w:p>
        </w:tc>
      </w:tr>
      <w:tr w:rsidR="009E243B" w:rsidRPr="00005453"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005453" w:rsidRDefault="009E243B" w:rsidP="009E243B">
            <w:pPr>
              <w:rPr>
                <w:sz w:val="12"/>
                <w:szCs w:val="12"/>
              </w:rPr>
            </w:pPr>
            <w:r w:rsidRPr="00005453">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B201221" w14:textId="77777777" w:rsidR="00471F21" w:rsidRPr="00005453" w:rsidRDefault="00471F21" w:rsidP="008317D1">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rPr>
      </w:pPr>
    </w:p>
    <w:p w14:paraId="3663F1B0" w14:textId="77777777" w:rsidR="009E243B" w:rsidRPr="00005453"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C445E1B" w14:textId="34709C07" w:rsidR="009E243B"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DCB6E45" w14:textId="10522B8E" w:rsidR="005F6E0A" w:rsidRDefault="005F6E0A"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3E0AAB5" w14:textId="77777777" w:rsidR="005F6E0A" w:rsidRPr="00005453" w:rsidRDefault="005F6E0A"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59B0380" w14:textId="46E1FE25" w:rsidR="00152E65" w:rsidRPr="00005453"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4751D6" w14:textId="77777777" w:rsidR="00994629" w:rsidRPr="00005453" w:rsidRDefault="00994629"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3819BBD3" w:rsidR="008D745E" w:rsidRPr="00005453"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005453" w:rsidSect="00A07E0F">
          <w:headerReference w:type="default" r:id="rId32"/>
          <w:footerReference w:type="default" r:id="rId33"/>
          <w:pgSz w:w="16840" w:h="11907" w:orient="landscape" w:code="9"/>
          <w:pgMar w:top="1418" w:right="1418" w:bottom="1418" w:left="1418" w:header="357" w:footer="709" w:gutter="0"/>
          <w:pgNumType w:start="8"/>
          <w:cols w:space="708"/>
          <w:noEndnote/>
        </w:sectPr>
      </w:pPr>
      <w:r w:rsidRPr="00005453">
        <w:rPr>
          <w:bCs/>
          <w:i/>
          <w:iCs/>
          <w:sz w:val="14"/>
          <w:szCs w:val="14"/>
        </w:rPr>
        <w:t>İlişikteki notlar bu finansal tabloların tamamlayıcı parçaları</w:t>
      </w:r>
      <w:r w:rsidR="009534EE" w:rsidRPr="00005453">
        <w:rPr>
          <w:bCs/>
          <w:i/>
          <w:iCs/>
          <w:sz w:val="14"/>
          <w:szCs w:val="14"/>
        </w:rPr>
        <w:t>dır.</w:t>
      </w:r>
      <w:r w:rsidR="003702AD" w:rsidRPr="00005453">
        <w:rPr>
          <w:bCs/>
          <w:i/>
          <w:iCs/>
          <w:sz w:val="10"/>
          <w:szCs w:val="10"/>
        </w:rPr>
        <w:t xml:space="preserve">                                                                                                                                                                                       </w:t>
      </w:r>
    </w:p>
    <w:p w14:paraId="635BE5C5" w14:textId="77777777" w:rsidR="00555815" w:rsidRPr="00005453" w:rsidRDefault="006C3524" w:rsidP="007C131B">
      <w:pPr>
        <w:pStyle w:val="1tipi"/>
        <w:tabs>
          <w:tab w:val="clear" w:pos="1134"/>
        </w:tabs>
        <w:autoSpaceDE w:val="0"/>
        <w:autoSpaceDN w:val="0"/>
        <w:adjustRightInd w:val="0"/>
        <w:ind w:hanging="567"/>
        <w:rPr>
          <w:rFonts w:ascii="Times New Roman" w:hAnsi="Times New Roman"/>
          <w:b/>
          <w:sz w:val="22"/>
        </w:rPr>
      </w:pPr>
      <w:r w:rsidRPr="00005453">
        <w:rPr>
          <w:rFonts w:ascii="Times New Roman" w:hAnsi="Times New Roman"/>
          <w:b/>
          <w:snapToGrid/>
          <w:sz w:val="22"/>
          <w:lang w:eastAsia="en-US"/>
        </w:rPr>
        <w:lastRenderedPageBreak/>
        <w:t>6</w:t>
      </w:r>
      <w:r w:rsidR="00555815" w:rsidRPr="00005453">
        <w:rPr>
          <w:rFonts w:ascii="Times New Roman" w:hAnsi="Times New Roman"/>
          <w:b/>
          <w:snapToGrid/>
          <w:sz w:val="22"/>
          <w:lang w:eastAsia="en-US"/>
        </w:rPr>
        <w:t>.</w:t>
      </w:r>
      <w:r w:rsidR="00555815" w:rsidRPr="00005453">
        <w:rPr>
          <w:rFonts w:ascii="Times New Roman" w:hAnsi="Times New Roman"/>
          <w:b/>
          <w:snapToGrid/>
          <w:sz w:val="22"/>
          <w:lang w:eastAsia="en-US"/>
        </w:rPr>
        <w:tab/>
      </w:r>
      <w:r w:rsidR="00555815" w:rsidRPr="00005453">
        <w:rPr>
          <w:rFonts w:ascii="Times New Roman" w:hAnsi="Times New Roman"/>
          <w:b/>
          <w:sz w:val="22"/>
        </w:rPr>
        <w:t xml:space="preserve">NAKİT AKIŞ TABLOSU </w:t>
      </w:r>
    </w:p>
    <w:p w14:paraId="150E34D7" w14:textId="46D5510B" w:rsidR="000A28FB" w:rsidRPr="00005453" w:rsidRDefault="000A28FB" w:rsidP="007C131B">
      <w:pPr>
        <w:pStyle w:val="1tipi"/>
        <w:tabs>
          <w:tab w:val="clear" w:pos="1134"/>
        </w:tabs>
        <w:autoSpaceDE w:val="0"/>
        <w:autoSpaceDN w:val="0"/>
        <w:adjustRightInd w:val="0"/>
        <w:ind w:hanging="567"/>
        <w:rPr>
          <w:rFonts w:ascii="Times New Roman" w:hAnsi="Times New Roman"/>
          <w:b/>
          <w:sz w:val="16"/>
          <w:szCs w:val="16"/>
        </w:rPr>
      </w:pPr>
    </w:p>
    <w:tbl>
      <w:tblPr>
        <w:tblW w:w="9510" w:type="dxa"/>
        <w:tblCellMar>
          <w:left w:w="70" w:type="dxa"/>
          <w:right w:w="70" w:type="dxa"/>
        </w:tblCellMar>
        <w:tblLook w:val="04A0" w:firstRow="1" w:lastRow="0" w:firstColumn="1" w:lastColumn="0" w:noHBand="0" w:noVBand="1"/>
      </w:tblPr>
      <w:tblGrid>
        <w:gridCol w:w="490"/>
        <w:gridCol w:w="4824"/>
        <w:gridCol w:w="679"/>
        <w:gridCol w:w="1796"/>
        <w:gridCol w:w="1721"/>
      </w:tblGrid>
      <w:tr w:rsidR="000A28FB" w:rsidRPr="00005453" w14:paraId="215BFDEB" w14:textId="77777777" w:rsidTr="00392422">
        <w:trPr>
          <w:trHeight w:val="111"/>
        </w:trPr>
        <w:tc>
          <w:tcPr>
            <w:tcW w:w="490" w:type="dxa"/>
            <w:tcBorders>
              <w:top w:val="single" w:sz="6" w:space="0" w:color="auto"/>
              <w:left w:val="single" w:sz="6" w:space="0" w:color="auto"/>
              <w:bottom w:val="nil"/>
            </w:tcBorders>
            <w:shd w:val="clear" w:color="auto" w:fill="auto"/>
            <w:noWrap/>
            <w:vAlign w:val="bottom"/>
            <w:hideMark/>
          </w:tcPr>
          <w:p w14:paraId="5D0DCC6F" w14:textId="77777777" w:rsidR="000A28FB" w:rsidRPr="00005453" w:rsidRDefault="000A28FB" w:rsidP="000A28FB">
            <w:pPr>
              <w:rPr>
                <w:color w:val="000000"/>
                <w:sz w:val="14"/>
                <w:szCs w:val="14"/>
                <w:lang w:eastAsia="tr-TR"/>
              </w:rPr>
            </w:pPr>
          </w:p>
        </w:tc>
        <w:tc>
          <w:tcPr>
            <w:tcW w:w="4824" w:type="dxa"/>
            <w:tcBorders>
              <w:top w:val="single" w:sz="6" w:space="0" w:color="auto"/>
              <w:right w:val="single" w:sz="6" w:space="0" w:color="auto"/>
            </w:tcBorders>
            <w:shd w:val="clear" w:color="auto" w:fill="auto"/>
            <w:noWrap/>
            <w:vAlign w:val="bottom"/>
            <w:hideMark/>
          </w:tcPr>
          <w:p w14:paraId="75689E3B" w14:textId="77777777" w:rsidR="000A28FB" w:rsidRPr="00005453" w:rsidRDefault="000A28FB" w:rsidP="000A28FB">
            <w:pPr>
              <w:rPr>
                <w:color w:val="000000"/>
                <w:sz w:val="14"/>
                <w:szCs w:val="14"/>
                <w:lang w:eastAsia="tr-TR"/>
              </w:rPr>
            </w:pPr>
          </w:p>
        </w:tc>
        <w:tc>
          <w:tcPr>
            <w:tcW w:w="679" w:type="dxa"/>
            <w:tcBorders>
              <w:top w:val="single" w:sz="6" w:space="0" w:color="auto"/>
              <w:left w:val="single" w:sz="6" w:space="0" w:color="auto"/>
              <w:right w:val="single" w:sz="6" w:space="0" w:color="auto"/>
            </w:tcBorders>
            <w:shd w:val="clear" w:color="auto" w:fill="auto"/>
            <w:noWrap/>
            <w:vAlign w:val="bottom"/>
            <w:hideMark/>
          </w:tcPr>
          <w:p w14:paraId="498B2A74" w14:textId="77777777" w:rsidR="000A28FB" w:rsidRPr="00005453" w:rsidRDefault="000A28FB" w:rsidP="000A28FB">
            <w:pPr>
              <w:rPr>
                <w:b/>
                <w:bCs/>
                <w:color w:val="000000"/>
                <w:sz w:val="14"/>
                <w:szCs w:val="14"/>
                <w:lang w:eastAsia="tr-TR"/>
              </w:rPr>
            </w:pPr>
          </w:p>
        </w:tc>
        <w:tc>
          <w:tcPr>
            <w:tcW w:w="1796" w:type="dxa"/>
            <w:tcBorders>
              <w:top w:val="single" w:sz="6" w:space="0" w:color="auto"/>
              <w:left w:val="single" w:sz="6" w:space="0" w:color="auto"/>
              <w:right w:val="single" w:sz="6" w:space="0" w:color="auto"/>
            </w:tcBorders>
            <w:shd w:val="clear" w:color="auto" w:fill="auto"/>
            <w:vAlign w:val="bottom"/>
            <w:hideMark/>
          </w:tcPr>
          <w:p w14:paraId="7AE88911" w14:textId="77777777" w:rsidR="000A28FB" w:rsidRPr="00005453" w:rsidRDefault="000A28FB" w:rsidP="000A28FB">
            <w:pPr>
              <w:jc w:val="right"/>
              <w:rPr>
                <w:b/>
                <w:bCs/>
                <w:color w:val="000000"/>
                <w:sz w:val="14"/>
                <w:szCs w:val="14"/>
                <w:lang w:eastAsia="tr-TR"/>
              </w:rPr>
            </w:pPr>
            <w:r w:rsidRPr="00005453">
              <w:rPr>
                <w:b/>
                <w:bCs/>
                <w:color w:val="000000"/>
                <w:sz w:val="14"/>
                <w:szCs w:val="14"/>
                <w:lang w:eastAsia="tr-TR"/>
              </w:rPr>
              <w:t>Bağımsız Denetimden Geçmiş</w:t>
            </w:r>
          </w:p>
        </w:tc>
        <w:tc>
          <w:tcPr>
            <w:tcW w:w="1721" w:type="dxa"/>
            <w:tcBorders>
              <w:top w:val="single" w:sz="6" w:space="0" w:color="auto"/>
              <w:left w:val="single" w:sz="6" w:space="0" w:color="auto"/>
              <w:right w:val="single" w:sz="6" w:space="0" w:color="auto"/>
            </w:tcBorders>
            <w:shd w:val="clear" w:color="auto" w:fill="auto"/>
            <w:vAlign w:val="bottom"/>
            <w:hideMark/>
          </w:tcPr>
          <w:p w14:paraId="45DF44B7" w14:textId="77777777" w:rsidR="000A28FB" w:rsidRPr="00005453" w:rsidRDefault="000A28FB" w:rsidP="000A28FB">
            <w:pPr>
              <w:jc w:val="right"/>
              <w:rPr>
                <w:b/>
                <w:bCs/>
                <w:color w:val="000000"/>
                <w:sz w:val="14"/>
                <w:szCs w:val="14"/>
                <w:lang w:eastAsia="tr-TR"/>
              </w:rPr>
            </w:pPr>
            <w:r w:rsidRPr="00005453">
              <w:rPr>
                <w:b/>
                <w:bCs/>
                <w:color w:val="000000"/>
                <w:sz w:val="14"/>
                <w:szCs w:val="14"/>
                <w:lang w:eastAsia="tr-TR"/>
              </w:rPr>
              <w:t>Bağımsız Denetimden Geçmiş</w:t>
            </w:r>
          </w:p>
        </w:tc>
      </w:tr>
      <w:tr w:rsidR="000A28FB" w:rsidRPr="00005453" w14:paraId="21AF21AB" w14:textId="77777777" w:rsidTr="00392422">
        <w:trPr>
          <w:trHeight w:val="111"/>
        </w:trPr>
        <w:tc>
          <w:tcPr>
            <w:tcW w:w="490" w:type="dxa"/>
            <w:tcBorders>
              <w:top w:val="nil"/>
              <w:left w:val="single" w:sz="6" w:space="0" w:color="auto"/>
              <w:bottom w:val="nil"/>
            </w:tcBorders>
            <w:shd w:val="clear" w:color="auto" w:fill="auto"/>
            <w:noWrap/>
            <w:vAlign w:val="bottom"/>
            <w:hideMark/>
          </w:tcPr>
          <w:p w14:paraId="6128E740" w14:textId="77777777" w:rsidR="000A28FB" w:rsidRPr="00005453" w:rsidRDefault="000A28FB" w:rsidP="000A28FB">
            <w:pPr>
              <w:rPr>
                <w:color w:val="000000"/>
                <w:sz w:val="14"/>
                <w:szCs w:val="14"/>
                <w:lang w:eastAsia="tr-TR"/>
              </w:rPr>
            </w:pPr>
          </w:p>
        </w:tc>
        <w:tc>
          <w:tcPr>
            <w:tcW w:w="4824" w:type="dxa"/>
            <w:tcBorders>
              <w:bottom w:val="nil"/>
              <w:right w:val="single" w:sz="6" w:space="0" w:color="auto"/>
            </w:tcBorders>
            <w:shd w:val="clear" w:color="auto" w:fill="auto"/>
            <w:noWrap/>
            <w:vAlign w:val="bottom"/>
            <w:hideMark/>
          </w:tcPr>
          <w:p w14:paraId="793C7C01" w14:textId="77777777" w:rsidR="000A28FB" w:rsidRPr="00005453" w:rsidRDefault="000A28FB" w:rsidP="000A28FB">
            <w:pPr>
              <w:rPr>
                <w:color w:val="000000"/>
                <w:sz w:val="14"/>
                <w:szCs w:val="14"/>
                <w:lang w:eastAsia="tr-TR"/>
              </w:rPr>
            </w:pPr>
          </w:p>
        </w:tc>
        <w:tc>
          <w:tcPr>
            <w:tcW w:w="679" w:type="dxa"/>
            <w:tcBorders>
              <w:left w:val="single" w:sz="6" w:space="0" w:color="auto"/>
              <w:bottom w:val="nil"/>
              <w:right w:val="single" w:sz="6" w:space="0" w:color="auto"/>
            </w:tcBorders>
            <w:shd w:val="clear" w:color="auto" w:fill="auto"/>
            <w:noWrap/>
            <w:vAlign w:val="bottom"/>
            <w:hideMark/>
          </w:tcPr>
          <w:p w14:paraId="206E38F0" w14:textId="77777777" w:rsidR="000A28FB" w:rsidRPr="00005453" w:rsidRDefault="000A28FB" w:rsidP="000A28FB">
            <w:pPr>
              <w:rPr>
                <w:b/>
                <w:bCs/>
                <w:color w:val="000000"/>
                <w:sz w:val="14"/>
                <w:szCs w:val="14"/>
                <w:lang w:eastAsia="tr-TR"/>
              </w:rPr>
            </w:pPr>
          </w:p>
        </w:tc>
        <w:tc>
          <w:tcPr>
            <w:tcW w:w="1796" w:type="dxa"/>
            <w:tcBorders>
              <w:left w:val="single" w:sz="6" w:space="0" w:color="auto"/>
              <w:right w:val="single" w:sz="6" w:space="0" w:color="auto"/>
            </w:tcBorders>
            <w:shd w:val="clear" w:color="auto" w:fill="auto"/>
            <w:vAlign w:val="bottom"/>
            <w:hideMark/>
          </w:tcPr>
          <w:p w14:paraId="3F8B0B5B" w14:textId="77777777" w:rsidR="000A28FB" w:rsidRPr="00005453" w:rsidRDefault="000A28FB" w:rsidP="000A28FB">
            <w:pPr>
              <w:jc w:val="right"/>
              <w:rPr>
                <w:b/>
                <w:bCs/>
                <w:color w:val="000000"/>
                <w:sz w:val="14"/>
                <w:szCs w:val="14"/>
                <w:lang w:eastAsia="tr-TR"/>
              </w:rPr>
            </w:pPr>
            <w:r w:rsidRPr="00005453">
              <w:rPr>
                <w:b/>
                <w:bCs/>
                <w:color w:val="000000"/>
                <w:sz w:val="14"/>
                <w:szCs w:val="14"/>
                <w:lang w:eastAsia="tr-TR"/>
              </w:rPr>
              <w:t>Cari Dönem</w:t>
            </w:r>
          </w:p>
        </w:tc>
        <w:tc>
          <w:tcPr>
            <w:tcW w:w="1721" w:type="dxa"/>
            <w:tcBorders>
              <w:left w:val="single" w:sz="6" w:space="0" w:color="auto"/>
              <w:right w:val="single" w:sz="6" w:space="0" w:color="auto"/>
            </w:tcBorders>
            <w:shd w:val="clear" w:color="auto" w:fill="auto"/>
            <w:vAlign w:val="bottom"/>
            <w:hideMark/>
          </w:tcPr>
          <w:p w14:paraId="543F766D" w14:textId="77777777" w:rsidR="000A28FB" w:rsidRPr="00005453" w:rsidRDefault="000A28FB" w:rsidP="000A28FB">
            <w:pPr>
              <w:jc w:val="right"/>
              <w:rPr>
                <w:b/>
                <w:bCs/>
                <w:color w:val="000000"/>
                <w:sz w:val="14"/>
                <w:szCs w:val="14"/>
                <w:lang w:eastAsia="tr-TR"/>
              </w:rPr>
            </w:pPr>
            <w:r w:rsidRPr="00005453">
              <w:rPr>
                <w:b/>
                <w:bCs/>
                <w:color w:val="000000"/>
                <w:sz w:val="14"/>
                <w:szCs w:val="14"/>
                <w:lang w:eastAsia="tr-TR"/>
              </w:rPr>
              <w:t>Önceki Dönem</w:t>
            </w:r>
          </w:p>
        </w:tc>
      </w:tr>
      <w:tr w:rsidR="000A28FB" w:rsidRPr="00005453" w14:paraId="3BE901E3" w14:textId="77777777" w:rsidTr="00392422">
        <w:trPr>
          <w:trHeight w:val="111"/>
        </w:trPr>
        <w:tc>
          <w:tcPr>
            <w:tcW w:w="490" w:type="dxa"/>
            <w:tcBorders>
              <w:top w:val="nil"/>
              <w:left w:val="single" w:sz="6" w:space="0" w:color="auto"/>
              <w:bottom w:val="single" w:sz="6" w:space="0" w:color="auto"/>
            </w:tcBorders>
            <w:shd w:val="clear" w:color="auto" w:fill="auto"/>
            <w:noWrap/>
            <w:vAlign w:val="bottom"/>
            <w:hideMark/>
          </w:tcPr>
          <w:p w14:paraId="56AB7071" w14:textId="77777777" w:rsidR="000A28FB" w:rsidRPr="00005453" w:rsidRDefault="000A28FB" w:rsidP="000A28FB">
            <w:pPr>
              <w:rPr>
                <w:color w:val="000000"/>
                <w:sz w:val="14"/>
                <w:szCs w:val="14"/>
                <w:lang w:eastAsia="tr-TR"/>
              </w:rPr>
            </w:pPr>
          </w:p>
        </w:tc>
        <w:tc>
          <w:tcPr>
            <w:tcW w:w="4824" w:type="dxa"/>
            <w:tcBorders>
              <w:top w:val="nil"/>
              <w:bottom w:val="single" w:sz="6" w:space="0" w:color="auto"/>
              <w:right w:val="single" w:sz="6" w:space="0" w:color="auto"/>
            </w:tcBorders>
            <w:shd w:val="clear" w:color="auto" w:fill="auto"/>
            <w:noWrap/>
            <w:vAlign w:val="bottom"/>
            <w:hideMark/>
          </w:tcPr>
          <w:p w14:paraId="0A05784B" w14:textId="77777777" w:rsidR="000A28FB" w:rsidRPr="00005453" w:rsidRDefault="000A28FB" w:rsidP="000A28FB">
            <w:pPr>
              <w:rPr>
                <w:color w:val="000000"/>
                <w:sz w:val="14"/>
                <w:szCs w:val="14"/>
                <w:lang w:eastAsia="tr-TR"/>
              </w:rPr>
            </w:pPr>
          </w:p>
        </w:tc>
        <w:tc>
          <w:tcPr>
            <w:tcW w:w="679" w:type="dxa"/>
            <w:tcBorders>
              <w:top w:val="nil"/>
              <w:left w:val="single" w:sz="6" w:space="0" w:color="auto"/>
              <w:bottom w:val="single" w:sz="6" w:space="0" w:color="auto"/>
              <w:right w:val="single" w:sz="6" w:space="0" w:color="auto"/>
            </w:tcBorders>
            <w:shd w:val="clear" w:color="auto" w:fill="auto"/>
            <w:noWrap/>
            <w:vAlign w:val="bottom"/>
            <w:hideMark/>
          </w:tcPr>
          <w:p w14:paraId="0EE4958A" w14:textId="77777777" w:rsidR="000A28FB" w:rsidRPr="00005453" w:rsidRDefault="000A28FB" w:rsidP="00BD1BED">
            <w:pPr>
              <w:jc w:val="center"/>
              <w:rPr>
                <w:b/>
                <w:bCs/>
                <w:color w:val="000000"/>
                <w:sz w:val="14"/>
                <w:szCs w:val="14"/>
                <w:lang w:eastAsia="tr-TR"/>
              </w:rPr>
            </w:pPr>
            <w:r w:rsidRPr="00005453">
              <w:rPr>
                <w:b/>
                <w:bCs/>
                <w:color w:val="000000"/>
                <w:sz w:val="14"/>
                <w:szCs w:val="14"/>
                <w:lang w:eastAsia="tr-TR"/>
              </w:rPr>
              <w:t>Dipnot</w:t>
            </w:r>
          </w:p>
        </w:tc>
        <w:tc>
          <w:tcPr>
            <w:tcW w:w="1796" w:type="dxa"/>
            <w:tcBorders>
              <w:left w:val="single" w:sz="6" w:space="0" w:color="auto"/>
              <w:bottom w:val="single" w:sz="6" w:space="0" w:color="auto"/>
              <w:right w:val="single" w:sz="6" w:space="0" w:color="auto"/>
            </w:tcBorders>
            <w:shd w:val="clear" w:color="auto" w:fill="auto"/>
            <w:vAlign w:val="bottom"/>
            <w:hideMark/>
          </w:tcPr>
          <w:p w14:paraId="72497CC3" w14:textId="36F8498A" w:rsidR="000A28FB" w:rsidRPr="00005453" w:rsidRDefault="000A28FB" w:rsidP="000A28FB">
            <w:pPr>
              <w:jc w:val="right"/>
              <w:rPr>
                <w:b/>
                <w:bCs/>
                <w:color w:val="000000"/>
                <w:sz w:val="14"/>
                <w:szCs w:val="14"/>
                <w:lang w:eastAsia="tr-TR"/>
              </w:rPr>
            </w:pPr>
            <w:r w:rsidRPr="00005453">
              <w:rPr>
                <w:b/>
                <w:bCs/>
                <w:color w:val="000000"/>
                <w:sz w:val="14"/>
                <w:szCs w:val="14"/>
                <w:lang w:eastAsia="tr-TR"/>
              </w:rPr>
              <w:t>01.01.202</w:t>
            </w:r>
            <w:r w:rsidR="008755B7" w:rsidRPr="00005453">
              <w:rPr>
                <w:b/>
                <w:bCs/>
                <w:color w:val="000000"/>
                <w:sz w:val="14"/>
                <w:szCs w:val="14"/>
                <w:lang w:eastAsia="tr-TR"/>
              </w:rPr>
              <w:t>4</w:t>
            </w:r>
            <w:r w:rsidRPr="00005453">
              <w:rPr>
                <w:b/>
                <w:bCs/>
                <w:color w:val="000000"/>
                <w:sz w:val="14"/>
                <w:szCs w:val="14"/>
                <w:lang w:eastAsia="tr-TR"/>
              </w:rPr>
              <w:t>-31.12.202</w:t>
            </w:r>
            <w:r w:rsidR="008755B7" w:rsidRPr="00005453">
              <w:rPr>
                <w:b/>
                <w:bCs/>
                <w:color w:val="000000"/>
                <w:sz w:val="14"/>
                <w:szCs w:val="14"/>
                <w:lang w:eastAsia="tr-TR"/>
              </w:rPr>
              <w:t>4</w:t>
            </w:r>
          </w:p>
        </w:tc>
        <w:tc>
          <w:tcPr>
            <w:tcW w:w="1721" w:type="dxa"/>
            <w:tcBorders>
              <w:left w:val="single" w:sz="6" w:space="0" w:color="auto"/>
              <w:bottom w:val="single" w:sz="6" w:space="0" w:color="auto"/>
              <w:right w:val="single" w:sz="6" w:space="0" w:color="auto"/>
            </w:tcBorders>
            <w:shd w:val="clear" w:color="auto" w:fill="auto"/>
            <w:vAlign w:val="bottom"/>
            <w:hideMark/>
          </w:tcPr>
          <w:p w14:paraId="0844366F" w14:textId="1887E1C5" w:rsidR="000A28FB" w:rsidRPr="00005453" w:rsidRDefault="000A28FB" w:rsidP="000A28FB">
            <w:pPr>
              <w:jc w:val="right"/>
              <w:rPr>
                <w:b/>
                <w:bCs/>
                <w:color w:val="000000"/>
                <w:sz w:val="14"/>
                <w:szCs w:val="14"/>
                <w:lang w:eastAsia="tr-TR"/>
              </w:rPr>
            </w:pPr>
            <w:r w:rsidRPr="00005453">
              <w:rPr>
                <w:b/>
                <w:bCs/>
                <w:color w:val="000000"/>
                <w:sz w:val="14"/>
                <w:szCs w:val="14"/>
                <w:lang w:eastAsia="tr-TR"/>
              </w:rPr>
              <w:t>01.01.202</w:t>
            </w:r>
            <w:r w:rsidR="008755B7" w:rsidRPr="00005453">
              <w:rPr>
                <w:b/>
                <w:bCs/>
                <w:color w:val="000000"/>
                <w:sz w:val="14"/>
                <w:szCs w:val="14"/>
                <w:lang w:eastAsia="tr-TR"/>
              </w:rPr>
              <w:t>3</w:t>
            </w:r>
            <w:r w:rsidRPr="00005453">
              <w:rPr>
                <w:b/>
                <w:bCs/>
                <w:color w:val="000000"/>
                <w:sz w:val="14"/>
                <w:szCs w:val="14"/>
                <w:lang w:eastAsia="tr-TR"/>
              </w:rPr>
              <w:t>-31.12.202</w:t>
            </w:r>
            <w:r w:rsidR="008755B7" w:rsidRPr="00005453">
              <w:rPr>
                <w:b/>
                <w:bCs/>
                <w:color w:val="000000"/>
                <w:sz w:val="14"/>
                <w:szCs w:val="14"/>
                <w:lang w:eastAsia="tr-TR"/>
              </w:rPr>
              <w:t>3</w:t>
            </w:r>
          </w:p>
        </w:tc>
      </w:tr>
      <w:tr w:rsidR="000A28FB" w:rsidRPr="00005453" w14:paraId="37B3D482" w14:textId="77777777" w:rsidTr="00392422">
        <w:trPr>
          <w:trHeight w:val="111"/>
        </w:trPr>
        <w:tc>
          <w:tcPr>
            <w:tcW w:w="490" w:type="dxa"/>
            <w:tcBorders>
              <w:top w:val="single" w:sz="6" w:space="0" w:color="auto"/>
              <w:left w:val="single" w:sz="6" w:space="0" w:color="auto"/>
              <w:bottom w:val="nil"/>
              <w:right w:val="single" w:sz="6" w:space="0" w:color="auto"/>
            </w:tcBorders>
            <w:shd w:val="clear" w:color="auto" w:fill="auto"/>
            <w:noWrap/>
            <w:vAlign w:val="bottom"/>
            <w:hideMark/>
          </w:tcPr>
          <w:p w14:paraId="74FA38D4" w14:textId="77777777" w:rsidR="000A28FB" w:rsidRPr="00005453" w:rsidRDefault="000A28FB" w:rsidP="000A28FB">
            <w:pPr>
              <w:rPr>
                <w:color w:val="000000"/>
                <w:sz w:val="10"/>
                <w:szCs w:val="10"/>
                <w:lang w:eastAsia="tr-TR"/>
              </w:rPr>
            </w:pPr>
          </w:p>
        </w:tc>
        <w:tc>
          <w:tcPr>
            <w:tcW w:w="4824" w:type="dxa"/>
            <w:tcBorders>
              <w:top w:val="single" w:sz="6" w:space="0" w:color="auto"/>
              <w:left w:val="single" w:sz="6" w:space="0" w:color="auto"/>
              <w:bottom w:val="nil"/>
              <w:right w:val="single" w:sz="6" w:space="0" w:color="auto"/>
            </w:tcBorders>
            <w:shd w:val="clear" w:color="auto" w:fill="auto"/>
            <w:noWrap/>
            <w:vAlign w:val="bottom"/>
            <w:hideMark/>
          </w:tcPr>
          <w:p w14:paraId="3E631547" w14:textId="77777777" w:rsidR="000A28FB" w:rsidRPr="00005453" w:rsidRDefault="000A28FB" w:rsidP="000A28FB">
            <w:pPr>
              <w:rPr>
                <w:color w:val="000000"/>
                <w:sz w:val="10"/>
                <w:szCs w:val="10"/>
                <w:lang w:eastAsia="tr-TR"/>
              </w:rPr>
            </w:pPr>
          </w:p>
        </w:tc>
        <w:tc>
          <w:tcPr>
            <w:tcW w:w="679" w:type="dxa"/>
            <w:tcBorders>
              <w:top w:val="single" w:sz="6" w:space="0" w:color="auto"/>
              <w:left w:val="single" w:sz="6" w:space="0" w:color="auto"/>
              <w:bottom w:val="nil"/>
              <w:right w:val="single" w:sz="6" w:space="0" w:color="auto"/>
            </w:tcBorders>
            <w:shd w:val="clear" w:color="auto" w:fill="auto"/>
            <w:noWrap/>
            <w:vAlign w:val="bottom"/>
            <w:hideMark/>
          </w:tcPr>
          <w:p w14:paraId="7A340CCC" w14:textId="77777777" w:rsidR="000A28FB" w:rsidRPr="00005453" w:rsidRDefault="000A28FB" w:rsidP="000A28FB">
            <w:pPr>
              <w:rPr>
                <w:b/>
                <w:bCs/>
                <w:color w:val="000000"/>
                <w:sz w:val="10"/>
                <w:szCs w:val="10"/>
                <w:lang w:eastAsia="tr-TR"/>
              </w:rPr>
            </w:pPr>
          </w:p>
        </w:tc>
        <w:tc>
          <w:tcPr>
            <w:tcW w:w="1796" w:type="dxa"/>
            <w:tcBorders>
              <w:top w:val="single" w:sz="6" w:space="0" w:color="auto"/>
              <w:left w:val="single" w:sz="6" w:space="0" w:color="auto"/>
              <w:bottom w:val="nil"/>
              <w:right w:val="single" w:sz="6" w:space="0" w:color="auto"/>
            </w:tcBorders>
            <w:shd w:val="clear" w:color="auto" w:fill="auto"/>
            <w:vAlign w:val="bottom"/>
            <w:hideMark/>
          </w:tcPr>
          <w:p w14:paraId="39DBDD4E" w14:textId="77777777" w:rsidR="000A28FB" w:rsidRPr="00005453" w:rsidRDefault="000A28FB" w:rsidP="000A28FB">
            <w:pPr>
              <w:jc w:val="right"/>
              <w:rPr>
                <w:b/>
                <w:bCs/>
                <w:color w:val="000000"/>
                <w:sz w:val="10"/>
                <w:szCs w:val="10"/>
                <w:lang w:eastAsia="tr-TR"/>
              </w:rPr>
            </w:pPr>
          </w:p>
        </w:tc>
        <w:tc>
          <w:tcPr>
            <w:tcW w:w="1721" w:type="dxa"/>
            <w:tcBorders>
              <w:top w:val="single" w:sz="6" w:space="0" w:color="auto"/>
              <w:left w:val="single" w:sz="6" w:space="0" w:color="auto"/>
              <w:bottom w:val="nil"/>
              <w:right w:val="single" w:sz="6" w:space="0" w:color="auto"/>
            </w:tcBorders>
            <w:shd w:val="clear" w:color="auto" w:fill="auto"/>
            <w:noWrap/>
            <w:vAlign w:val="bottom"/>
            <w:hideMark/>
          </w:tcPr>
          <w:p w14:paraId="42C5C217" w14:textId="77777777" w:rsidR="000A28FB" w:rsidRPr="00005453" w:rsidRDefault="000A28FB" w:rsidP="000A28FB">
            <w:pPr>
              <w:jc w:val="right"/>
              <w:rPr>
                <w:b/>
                <w:bCs/>
                <w:color w:val="000000"/>
                <w:sz w:val="10"/>
                <w:szCs w:val="10"/>
                <w:lang w:eastAsia="tr-TR"/>
              </w:rPr>
            </w:pPr>
          </w:p>
        </w:tc>
      </w:tr>
      <w:tr w:rsidR="000A28FB" w:rsidRPr="00005453" w14:paraId="4025CAAC" w14:textId="77777777" w:rsidTr="00392422">
        <w:trPr>
          <w:trHeight w:val="111"/>
        </w:trPr>
        <w:tc>
          <w:tcPr>
            <w:tcW w:w="490" w:type="dxa"/>
            <w:tcBorders>
              <w:top w:val="nil"/>
              <w:left w:val="single" w:sz="6" w:space="0" w:color="auto"/>
              <w:bottom w:val="nil"/>
              <w:right w:val="single" w:sz="6" w:space="0" w:color="auto"/>
            </w:tcBorders>
            <w:shd w:val="clear" w:color="auto" w:fill="auto"/>
            <w:noWrap/>
            <w:hideMark/>
          </w:tcPr>
          <w:p w14:paraId="08EC4523" w14:textId="77777777" w:rsidR="000A28FB" w:rsidRPr="00005453" w:rsidRDefault="000A28FB" w:rsidP="00605D99">
            <w:pPr>
              <w:rPr>
                <w:b/>
                <w:bCs/>
                <w:color w:val="000000"/>
                <w:sz w:val="14"/>
                <w:szCs w:val="14"/>
                <w:lang w:eastAsia="tr-TR"/>
              </w:rPr>
            </w:pPr>
            <w:r w:rsidRPr="00005453">
              <w:rPr>
                <w:b/>
                <w:bCs/>
                <w:color w:val="000000"/>
                <w:sz w:val="14"/>
                <w:szCs w:val="14"/>
                <w:lang w:val="en-US" w:eastAsia="tr-TR"/>
              </w:rPr>
              <w:t>A.</w:t>
            </w:r>
          </w:p>
        </w:tc>
        <w:tc>
          <w:tcPr>
            <w:tcW w:w="4824" w:type="dxa"/>
            <w:tcBorders>
              <w:top w:val="nil"/>
              <w:left w:val="single" w:sz="6" w:space="0" w:color="auto"/>
              <w:bottom w:val="nil"/>
              <w:right w:val="single" w:sz="6" w:space="0" w:color="auto"/>
            </w:tcBorders>
            <w:shd w:val="clear" w:color="auto" w:fill="auto"/>
            <w:noWrap/>
            <w:hideMark/>
          </w:tcPr>
          <w:p w14:paraId="6B25153F" w14:textId="77777777" w:rsidR="000A28FB" w:rsidRPr="00005453" w:rsidRDefault="000A28FB" w:rsidP="00605D99">
            <w:pPr>
              <w:rPr>
                <w:b/>
                <w:bCs/>
                <w:color w:val="000000"/>
                <w:sz w:val="14"/>
                <w:szCs w:val="14"/>
                <w:lang w:eastAsia="tr-TR"/>
              </w:rPr>
            </w:pPr>
            <w:r w:rsidRPr="00005453">
              <w:rPr>
                <w:b/>
                <w:bCs/>
                <w:color w:val="000000"/>
                <w:sz w:val="14"/>
                <w:szCs w:val="14"/>
                <w:lang w:eastAsia="tr-TR"/>
              </w:rPr>
              <w:t>BANKACILIK FAALİYETLERİNE İLİŞKİN NAKİT AKIŞLARI</w:t>
            </w:r>
          </w:p>
        </w:tc>
        <w:tc>
          <w:tcPr>
            <w:tcW w:w="679" w:type="dxa"/>
            <w:tcBorders>
              <w:top w:val="nil"/>
              <w:left w:val="single" w:sz="6" w:space="0" w:color="auto"/>
              <w:bottom w:val="nil"/>
              <w:right w:val="single" w:sz="6" w:space="0" w:color="auto"/>
            </w:tcBorders>
            <w:shd w:val="clear" w:color="auto" w:fill="auto"/>
            <w:noWrap/>
            <w:vAlign w:val="bottom"/>
            <w:hideMark/>
          </w:tcPr>
          <w:p w14:paraId="08AD014F" w14:textId="77777777" w:rsidR="000A28FB" w:rsidRPr="00005453" w:rsidRDefault="000A28FB" w:rsidP="000A28FB">
            <w:pP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hideMark/>
          </w:tcPr>
          <w:p w14:paraId="7017EB12" w14:textId="77777777" w:rsidR="000A28FB" w:rsidRPr="00005453" w:rsidRDefault="000A28FB" w:rsidP="00605D99">
            <w:pPr>
              <w:jc w:val="right"/>
              <w:rPr>
                <w:color w:val="000000"/>
                <w:sz w:val="14"/>
                <w:szCs w:val="14"/>
                <w:lang w:eastAsia="tr-TR"/>
              </w:rPr>
            </w:pPr>
          </w:p>
        </w:tc>
        <w:tc>
          <w:tcPr>
            <w:tcW w:w="1721" w:type="dxa"/>
            <w:tcBorders>
              <w:top w:val="nil"/>
              <w:left w:val="single" w:sz="6" w:space="0" w:color="auto"/>
              <w:bottom w:val="nil"/>
              <w:right w:val="single" w:sz="6" w:space="0" w:color="auto"/>
            </w:tcBorders>
            <w:shd w:val="clear" w:color="auto" w:fill="auto"/>
            <w:noWrap/>
            <w:hideMark/>
          </w:tcPr>
          <w:p w14:paraId="60A1F44B" w14:textId="77777777" w:rsidR="000A28FB" w:rsidRPr="00005453" w:rsidRDefault="000A28FB" w:rsidP="00605D99">
            <w:pPr>
              <w:jc w:val="right"/>
              <w:rPr>
                <w:color w:val="000000"/>
                <w:sz w:val="14"/>
                <w:szCs w:val="14"/>
                <w:lang w:eastAsia="tr-TR"/>
              </w:rPr>
            </w:pPr>
          </w:p>
        </w:tc>
      </w:tr>
      <w:tr w:rsidR="000A28FB" w:rsidRPr="00005453" w14:paraId="52D12D64" w14:textId="77777777" w:rsidTr="00392422">
        <w:trPr>
          <w:trHeight w:val="132"/>
        </w:trPr>
        <w:tc>
          <w:tcPr>
            <w:tcW w:w="490" w:type="dxa"/>
            <w:tcBorders>
              <w:top w:val="nil"/>
              <w:left w:val="single" w:sz="6" w:space="0" w:color="auto"/>
              <w:bottom w:val="nil"/>
              <w:right w:val="single" w:sz="6" w:space="0" w:color="auto"/>
            </w:tcBorders>
            <w:shd w:val="clear" w:color="auto" w:fill="auto"/>
            <w:noWrap/>
            <w:hideMark/>
          </w:tcPr>
          <w:p w14:paraId="04DCF1C5" w14:textId="77777777" w:rsidR="000A28FB" w:rsidRPr="00005453" w:rsidRDefault="000A28FB" w:rsidP="00605D99">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2B33B868" w14:textId="77777777" w:rsidR="000A28FB" w:rsidRPr="00005453" w:rsidRDefault="000A28FB" w:rsidP="00605D99">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vAlign w:val="bottom"/>
            <w:hideMark/>
          </w:tcPr>
          <w:p w14:paraId="7A363D34" w14:textId="77777777" w:rsidR="000A28FB" w:rsidRPr="00005453" w:rsidRDefault="000A28FB" w:rsidP="000A28FB">
            <w:pP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hideMark/>
          </w:tcPr>
          <w:p w14:paraId="0DD6E26A" w14:textId="77777777" w:rsidR="000A28FB" w:rsidRPr="00005453" w:rsidRDefault="000A28FB" w:rsidP="00605D99">
            <w:pPr>
              <w:jc w:val="right"/>
              <w:rPr>
                <w:color w:val="000000"/>
                <w:sz w:val="10"/>
                <w:szCs w:val="10"/>
                <w:lang w:eastAsia="tr-TR"/>
              </w:rPr>
            </w:pPr>
          </w:p>
        </w:tc>
        <w:tc>
          <w:tcPr>
            <w:tcW w:w="1721" w:type="dxa"/>
            <w:tcBorders>
              <w:top w:val="nil"/>
              <w:left w:val="single" w:sz="6" w:space="0" w:color="auto"/>
              <w:bottom w:val="nil"/>
              <w:right w:val="single" w:sz="6" w:space="0" w:color="auto"/>
            </w:tcBorders>
            <w:shd w:val="clear" w:color="auto" w:fill="auto"/>
            <w:noWrap/>
            <w:hideMark/>
          </w:tcPr>
          <w:p w14:paraId="07B8ACFD" w14:textId="77777777" w:rsidR="000A28FB" w:rsidRPr="00005453" w:rsidRDefault="000A28FB" w:rsidP="00605D99">
            <w:pPr>
              <w:jc w:val="right"/>
              <w:rPr>
                <w:color w:val="000000"/>
                <w:sz w:val="10"/>
                <w:szCs w:val="10"/>
                <w:lang w:eastAsia="tr-TR"/>
              </w:rPr>
            </w:pPr>
          </w:p>
        </w:tc>
      </w:tr>
      <w:tr w:rsidR="008755B7" w:rsidRPr="00005453" w14:paraId="19F25C3B"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DC73A1B"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1.1</w:t>
            </w:r>
          </w:p>
        </w:tc>
        <w:tc>
          <w:tcPr>
            <w:tcW w:w="4824" w:type="dxa"/>
            <w:tcBorders>
              <w:top w:val="nil"/>
              <w:left w:val="single" w:sz="6" w:space="0" w:color="auto"/>
              <w:bottom w:val="nil"/>
              <w:right w:val="single" w:sz="6" w:space="0" w:color="auto"/>
            </w:tcBorders>
            <w:shd w:val="clear" w:color="auto" w:fill="auto"/>
            <w:noWrap/>
            <w:hideMark/>
          </w:tcPr>
          <w:p w14:paraId="1F0D036A"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Bankacılık Faaliyet Konusu Varlık ve Yükümlülüklerdeki Değişim Öncesi Faaliyet Kârı</w:t>
            </w:r>
          </w:p>
        </w:tc>
        <w:tc>
          <w:tcPr>
            <w:tcW w:w="679" w:type="dxa"/>
            <w:tcBorders>
              <w:top w:val="nil"/>
              <w:left w:val="single" w:sz="6" w:space="0" w:color="auto"/>
              <w:bottom w:val="nil"/>
              <w:right w:val="single" w:sz="6" w:space="0" w:color="auto"/>
            </w:tcBorders>
            <w:shd w:val="clear" w:color="auto" w:fill="auto"/>
            <w:noWrap/>
            <w:hideMark/>
          </w:tcPr>
          <w:p w14:paraId="5148B8AC"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6DE17D0B" w14:textId="12682628" w:rsidR="008755B7" w:rsidRPr="00005453" w:rsidRDefault="00E84D06" w:rsidP="00A01767">
            <w:pPr>
              <w:jc w:val="right"/>
              <w:rPr>
                <w:b/>
                <w:bCs/>
                <w:color w:val="000000"/>
                <w:sz w:val="14"/>
                <w:szCs w:val="14"/>
                <w:lang w:eastAsia="tr-TR"/>
              </w:rPr>
            </w:pPr>
            <w:r w:rsidRPr="00005453">
              <w:rPr>
                <w:b/>
                <w:bCs/>
                <w:color w:val="000000"/>
                <w:sz w:val="14"/>
                <w:szCs w:val="14"/>
              </w:rPr>
              <w:t>61</w:t>
            </w:r>
            <w:r w:rsidR="008755B7" w:rsidRPr="00005453">
              <w:rPr>
                <w:b/>
                <w:bCs/>
                <w:color w:val="000000"/>
                <w:sz w:val="14"/>
                <w:szCs w:val="14"/>
              </w:rPr>
              <w:t>,</w:t>
            </w:r>
            <w:r w:rsidRPr="00005453">
              <w:rPr>
                <w:b/>
                <w:bCs/>
                <w:color w:val="000000"/>
                <w:sz w:val="14"/>
                <w:szCs w:val="14"/>
              </w:rPr>
              <w:t>852</w:t>
            </w:r>
            <w:r w:rsidR="008755B7" w:rsidRPr="00005453">
              <w:rPr>
                <w:b/>
                <w:bCs/>
                <w:color w:val="000000"/>
                <w:sz w:val="14"/>
                <w:szCs w:val="14"/>
              </w:rPr>
              <w:t>,</w:t>
            </w:r>
            <w:r w:rsidRPr="00005453">
              <w:rPr>
                <w:b/>
                <w:bCs/>
                <w:color w:val="000000"/>
                <w:sz w:val="14"/>
                <w:szCs w:val="14"/>
              </w:rPr>
              <w:t>648</w:t>
            </w:r>
          </w:p>
        </w:tc>
        <w:tc>
          <w:tcPr>
            <w:tcW w:w="1721" w:type="dxa"/>
            <w:tcBorders>
              <w:top w:val="nil"/>
              <w:left w:val="single" w:sz="6" w:space="0" w:color="auto"/>
              <w:bottom w:val="nil"/>
              <w:right w:val="single" w:sz="6" w:space="0" w:color="auto"/>
            </w:tcBorders>
            <w:shd w:val="clear" w:color="auto" w:fill="auto"/>
            <w:noWrap/>
            <w:vAlign w:val="center"/>
            <w:hideMark/>
          </w:tcPr>
          <w:p w14:paraId="7E86F1AC" w14:textId="5A5939E7" w:rsidR="008755B7" w:rsidRPr="00005453" w:rsidRDefault="008755B7" w:rsidP="00A01767">
            <w:pPr>
              <w:jc w:val="right"/>
              <w:rPr>
                <w:b/>
                <w:bCs/>
                <w:color w:val="000000"/>
                <w:sz w:val="14"/>
                <w:szCs w:val="14"/>
                <w:lang w:eastAsia="tr-TR"/>
              </w:rPr>
            </w:pPr>
            <w:r w:rsidRPr="00005453">
              <w:rPr>
                <w:b/>
                <w:bCs/>
                <w:color w:val="000000"/>
                <w:sz w:val="14"/>
                <w:szCs w:val="14"/>
              </w:rPr>
              <w:t>39,537,441</w:t>
            </w:r>
          </w:p>
        </w:tc>
      </w:tr>
      <w:tr w:rsidR="008755B7" w:rsidRPr="00005453" w14:paraId="29010562"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1C909F2"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188F3978"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499C7F0C"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3C2C0A9" w14:textId="408C8D6B" w:rsidR="008755B7" w:rsidRPr="00005453" w:rsidRDefault="008755B7" w:rsidP="00A01767">
            <w:pPr>
              <w:jc w:val="right"/>
              <w:rPr>
                <w:b/>
                <w:bCs/>
                <w:color w:val="000000"/>
                <w:sz w:val="10"/>
                <w:szCs w:val="10"/>
                <w:lang w:eastAsia="tr-TR"/>
              </w:rPr>
            </w:pPr>
          </w:p>
        </w:tc>
        <w:tc>
          <w:tcPr>
            <w:tcW w:w="1721" w:type="dxa"/>
            <w:tcBorders>
              <w:top w:val="nil"/>
              <w:left w:val="single" w:sz="6" w:space="0" w:color="auto"/>
              <w:bottom w:val="nil"/>
              <w:right w:val="single" w:sz="6" w:space="0" w:color="auto"/>
            </w:tcBorders>
            <w:shd w:val="clear" w:color="auto" w:fill="auto"/>
            <w:noWrap/>
            <w:vAlign w:val="center"/>
            <w:hideMark/>
          </w:tcPr>
          <w:p w14:paraId="3165C9F2" w14:textId="2C0F3CF1" w:rsidR="008755B7" w:rsidRPr="00005453" w:rsidRDefault="008755B7" w:rsidP="00A01767">
            <w:pPr>
              <w:jc w:val="right"/>
              <w:rPr>
                <w:b/>
                <w:bCs/>
                <w:color w:val="000000"/>
                <w:sz w:val="10"/>
                <w:szCs w:val="10"/>
                <w:lang w:eastAsia="tr-TR"/>
              </w:rPr>
            </w:pPr>
          </w:p>
        </w:tc>
      </w:tr>
      <w:tr w:rsidR="00E84D06" w:rsidRPr="00005453" w14:paraId="7BAB008B"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27384A7C" w14:textId="77777777" w:rsidR="00E84D06" w:rsidRPr="00005453" w:rsidRDefault="00E84D06" w:rsidP="00E84D06">
            <w:pPr>
              <w:rPr>
                <w:color w:val="000000"/>
                <w:sz w:val="14"/>
                <w:szCs w:val="14"/>
                <w:lang w:eastAsia="tr-TR"/>
              </w:rPr>
            </w:pPr>
            <w:r w:rsidRPr="00005453">
              <w:rPr>
                <w:color w:val="000000"/>
                <w:sz w:val="14"/>
                <w:szCs w:val="14"/>
                <w:lang w:val="en-US" w:eastAsia="tr-TR"/>
              </w:rPr>
              <w:t>1.1.1</w:t>
            </w:r>
          </w:p>
        </w:tc>
        <w:tc>
          <w:tcPr>
            <w:tcW w:w="4824" w:type="dxa"/>
            <w:tcBorders>
              <w:top w:val="nil"/>
              <w:left w:val="single" w:sz="6" w:space="0" w:color="auto"/>
              <w:bottom w:val="nil"/>
              <w:right w:val="single" w:sz="6" w:space="0" w:color="auto"/>
            </w:tcBorders>
            <w:shd w:val="clear" w:color="auto" w:fill="auto"/>
            <w:noWrap/>
            <w:hideMark/>
          </w:tcPr>
          <w:p w14:paraId="358E2E45" w14:textId="77777777" w:rsidR="00E84D06" w:rsidRPr="00005453" w:rsidRDefault="00E84D06" w:rsidP="00E84D06">
            <w:pPr>
              <w:rPr>
                <w:color w:val="000000"/>
                <w:sz w:val="14"/>
                <w:szCs w:val="14"/>
                <w:lang w:eastAsia="tr-TR"/>
              </w:rPr>
            </w:pPr>
            <w:r w:rsidRPr="00005453">
              <w:rPr>
                <w:color w:val="000000"/>
                <w:sz w:val="14"/>
                <w:szCs w:val="14"/>
                <w:lang w:val="en-US" w:eastAsia="tr-TR"/>
              </w:rPr>
              <w:t>Alınan Kâr Payları</w:t>
            </w:r>
          </w:p>
        </w:tc>
        <w:tc>
          <w:tcPr>
            <w:tcW w:w="679" w:type="dxa"/>
            <w:tcBorders>
              <w:top w:val="nil"/>
              <w:left w:val="single" w:sz="6" w:space="0" w:color="auto"/>
              <w:bottom w:val="nil"/>
              <w:right w:val="single" w:sz="6" w:space="0" w:color="auto"/>
            </w:tcBorders>
            <w:shd w:val="clear" w:color="auto" w:fill="auto"/>
            <w:noWrap/>
            <w:hideMark/>
          </w:tcPr>
          <w:p w14:paraId="2A91E1E3"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9938C9E" w14:textId="4E452E01" w:rsidR="00E84D06" w:rsidRPr="00005453" w:rsidRDefault="00E84D06" w:rsidP="00A01767">
            <w:pPr>
              <w:jc w:val="right"/>
              <w:rPr>
                <w:color w:val="000000"/>
                <w:sz w:val="16"/>
                <w:szCs w:val="14"/>
              </w:rPr>
            </w:pPr>
            <w:r w:rsidRPr="00005453">
              <w:rPr>
                <w:color w:val="000000"/>
                <w:sz w:val="16"/>
                <w:szCs w:val="22"/>
              </w:rPr>
              <w:t>123,139,124</w:t>
            </w:r>
          </w:p>
        </w:tc>
        <w:tc>
          <w:tcPr>
            <w:tcW w:w="1721" w:type="dxa"/>
            <w:tcBorders>
              <w:top w:val="nil"/>
              <w:left w:val="single" w:sz="6" w:space="0" w:color="auto"/>
              <w:bottom w:val="nil"/>
              <w:right w:val="single" w:sz="6" w:space="0" w:color="auto"/>
            </w:tcBorders>
            <w:shd w:val="clear" w:color="auto" w:fill="auto"/>
            <w:noWrap/>
            <w:vAlign w:val="center"/>
            <w:hideMark/>
          </w:tcPr>
          <w:p w14:paraId="6C866A5A" w14:textId="5E1BC17F" w:rsidR="00E84D06" w:rsidRPr="00005453" w:rsidRDefault="00E84D06" w:rsidP="00A01767">
            <w:pPr>
              <w:jc w:val="right"/>
              <w:rPr>
                <w:color w:val="000000"/>
                <w:sz w:val="14"/>
                <w:szCs w:val="14"/>
                <w:lang w:eastAsia="tr-TR"/>
              </w:rPr>
            </w:pPr>
            <w:r w:rsidRPr="00005453">
              <w:rPr>
                <w:color w:val="000000"/>
                <w:sz w:val="14"/>
                <w:szCs w:val="14"/>
              </w:rPr>
              <w:t>66,115,155</w:t>
            </w:r>
          </w:p>
        </w:tc>
      </w:tr>
      <w:tr w:rsidR="00E84D06" w:rsidRPr="00005453" w14:paraId="46F14A40"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6A40CC74" w14:textId="77777777" w:rsidR="00E84D06" w:rsidRPr="00005453" w:rsidRDefault="00E84D06" w:rsidP="00E84D06">
            <w:pPr>
              <w:rPr>
                <w:color w:val="000000"/>
                <w:sz w:val="14"/>
                <w:szCs w:val="14"/>
                <w:lang w:eastAsia="tr-TR"/>
              </w:rPr>
            </w:pPr>
            <w:r w:rsidRPr="00005453">
              <w:rPr>
                <w:color w:val="000000"/>
                <w:sz w:val="14"/>
                <w:szCs w:val="14"/>
                <w:lang w:val="en-US" w:eastAsia="tr-TR"/>
              </w:rPr>
              <w:t>1.1.2</w:t>
            </w:r>
          </w:p>
        </w:tc>
        <w:tc>
          <w:tcPr>
            <w:tcW w:w="4824" w:type="dxa"/>
            <w:tcBorders>
              <w:top w:val="nil"/>
              <w:left w:val="single" w:sz="6" w:space="0" w:color="auto"/>
              <w:bottom w:val="nil"/>
              <w:right w:val="single" w:sz="6" w:space="0" w:color="auto"/>
            </w:tcBorders>
            <w:shd w:val="clear" w:color="auto" w:fill="auto"/>
            <w:noWrap/>
            <w:hideMark/>
          </w:tcPr>
          <w:p w14:paraId="52F07700" w14:textId="77777777" w:rsidR="00E84D06" w:rsidRPr="00005453" w:rsidRDefault="00E84D06" w:rsidP="00E84D06">
            <w:pPr>
              <w:rPr>
                <w:color w:val="000000"/>
                <w:sz w:val="14"/>
                <w:szCs w:val="14"/>
                <w:lang w:eastAsia="tr-TR"/>
              </w:rPr>
            </w:pPr>
            <w:r w:rsidRPr="00005453">
              <w:rPr>
                <w:color w:val="000000"/>
                <w:sz w:val="14"/>
                <w:szCs w:val="14"/>
                <w:lang w:val="en-US" w:eastAsia="tr-TR"/>
              </w:rPr>
              <w:t>Ödenen Kâr Payları</w:t>
            </w:r>
          </w:p>
        </w:tc>
        <w:tc>
          <w:tcPr>
            <w:tcW w:w="679" w:type="dxa"/>
            <w:tcBorders>
              <w:top w:val="nil"/>
              <w:left w:val="single" w:sz="6" w:space="0" w:color="auto"/>
              <w:bottom w:val="nil"/>
              <w:right w:val="single" w:sz="6" w:space="0" w:color="auto"/>
            </w:tcBorders>
            <w:shd w:val="clear" w:color="auto" w:fill="auto"/>
            <w:noWrap/>
            <w:hideMark/>
          </w:tcPr>
          <w:p w14:paraId="6E121450"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6A22EAF" w14:textId="37C1074B" w:rsidR="00E84D06" w:rsidRPr="00005453" w:rsidRDefault="00E84D06" w:rsidP="00A01767">
            <w:pPr>
              <w:jc w:val="right"/>
              <w:rPr>
                <w:color w:val="000000"/>
                <w:sz w:val="16"/>
                <w:szCs w:val="14"/>
              </w:rPr>
            </w:pPr>
            <w:r w:rsidRPr="00005453">
              <w:rPr>
                <w:color w:val="000000"/>
                <w:sz w:val="16"/>
                <w:szCs w:val="22"/>
              </w:rPr>
              <w:t>(75,550,874)</w:t>
            </w:r>
          </w:p>
        </w:tc>
        <w:tc>
          <w:tcPr>
            <w:tcW w:w="1721" w:type="dxa"/>
            <w:tcBorders>
              <w:top w:val="nil"/>
              <w:left w:val="single" w:sz="6" w:space="0" w:color="auto"/>
              <w:bottom w:val="nil"/>
              <w:right w:val="single" w:sz="6" w:space="0" w:color="auto"/>
            </w:tcBorders>
            <w:shd w:val="clear" w:color="auto" w:fill="auto"/>
            <w:noWrap/>
            <w:vAlign w:val="center"/>
            <w:hideMark/>
          </w:tcPr>
          <w:p w14:paraId="56E5BF86" w14:textId="165CB5FB" w:rsidR="00E84D06" w:rsidRPr="00005453" w:rsidRDefault="00E84D06" w:rsidP="00A01767">
            <w:pPr>
              <w:jc w:val="right"/>
              <w:rPr>
                <w:color w:val="000000"/>
                <w:sz w:val="14"/>
                <w:szCs w:val="14"/>
                <w:lang w:eastAsia="tr-TR"/>
              </w:rPr>
            </w:pPr>
            <w:r w:rsidRPr="00005453">
              <w:rPr>
                <w:color w:val="000000"/>
                <w:sz w:val="14"/>
                <w:szCs w:val="14"/>
              </w:rPr>
              <w:t>(22,650,931)</w:t>
            </w:r>
          </w:p>
        </w:tc>
      </w:tr>
      <w:tr w:rsidR="00E84D06" w:rsidRPr="00005453" w14:paraId="5EE1FEFE"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1BA5989" w14:textId="77777777" w:rsidR="00E84D06" w:rsidRPr="00005453" w:rsidRDefault="00E84D06" w:rsidP="00E84D06">
            <w:pPr>
              <w:rPr>
                <w:color w:val="000000"/>
                <w:sz w:val="14"/>
                <w:szCs w:val="14"/>
                <w:lang w:eastAsia="tr-TR"/>
              </w:rPr>
            </w:pPr>
            <w:r w:rsidRPr="00005453">
              <w:rPr>
                <w:color w:val="000000"/>
                <w:sz w:val="14"/>
                <w:szCs w:val="14"/>
                <w:lang w:val="en-US" w:eastAsia="tr-TR"/>
              </w:rPr>
              <w:t>1.1.3</w:t>
            </w:r>
          </w:p>
        </w:tc>
        <w:tc>
          <w:tcPr>
            <w:tcW w:w="4824" w:type="dxa"/>
            <w:tcBorders>
              <w:top w:val="nil"/>
              <w:left w:val="single" w:sz="6" w:space="0" w:color="auto"/>
              <w:bottom w:val="nil"/>
              <w:right w:val="single" w:sz="6" w:space="0" w:color="auto"/>
            </w:tcBorders>
            <w:shd w:val="clear" w:color="auto" w:fill="auto"/>
            <w:noWrap/>
            <w:hideMark/>
          </w:tcPr>
          <w:p w14:paraId="55099FE8" w14:textId="77777777" w:rsidR="00E84D06" w:rsidRPr="00005453" w:rsidRDefault="00E84D06" w:rsidP="00E84D06">
            <w:pPr>
              <w:rPr>
                <w:color w:val="000000"/>
                <w:sz w:val="14"/>
                <w:szCs w:val="14"/>
                <w:lang w:eastAsia="tr-TR"/>
              </w:rPr>
            </w:pPr>
            <w:r w:rsidRPr="00005453">
              <w:rPr>
                <w:color w:val="000000"/>
                <w:sz w:val="14"/>
                <w:szCs w:val="14"/>
                <w:lang w:val="en-US" w:eastAsia="tr-TR"/>
              </w:rPr>
              <w:t>Alınan Temettüler</w:t>
            </w:r>
          </w:p>
        </w:tc>
        <w:tc>
          <w:tcPr>
            <w:tcW w:w="679" w:type="dxa"/>
            <w:tcBorders>
              <w:top w:val="nil"/>
              <w:left w:val="single" w:sz="6" w:space="0" w:color="auto"/>
              <w:bottom w:val="nil"/>
              <w:right w:val="single" w:sz="6" w:space="0" w:color="auto"/>
            </w:tcBorders>
            <w:shd w:val="clear" w:color="auto" w:fill="auto"/>
            <w:noWrap/>
            <w:hideMark/>
          </w:tcPr>
          <w:p w14:paraId="6D485787"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B52C47E" w14:textId="07DA18D5" w:rsidR="00E84D06" w:rsidRPr="00005453" w:rsidRDefault="00E84D06" w:rsidP="00A01767">
            <w:pPr>
              <w:jc w:val="right"/>
              <w:rPr>
                <w:color w:val="000000"/>
                <w:sz w:val="16"/>
                <w:szCs w:val="14"/>
              </w:rPr>
            </w:pPr>
            <w:r w:rsidRPr="00005453">
              <w:rPr>
                <w:color w:val="000000"/>
                <w:sz w:val="16"/>
                <w:szCs w:val="22"/>
              </w:rPr>
              <w:t>4,123</w:t>
            </w:r>
          </w:p>
        </w:tc>
        <w:tc>
          <w:tcPr>
            <w:tcW w:w="1721" w:type="dxa"/>
            <w:tcBorders>
              <w:top w:val="nil"/>
              <w:left w:val="single" w:sz="6" w:space="0" w:color="auto"/>
              <w:bottom w:val="nil"/>
              <w:right w:val="single" w:sz="6" w:space="0" w:color="auto"/>
            </w:tcBorders>
            <w:shd w:val="clear" w:color="auto" w:fill="auto"/>
            <w:noWrap/>
            <w:vAlign w:val="center"/>
            <w:hideMark/>
          </w:tcPr>
          <w:p w14:paraId="0148BF5D" w14:textId="7FFA6F17" w:rsidR="00E84D06" w:rsidRPr="00005453" w:rsidRDefault="00E84D06" w:rsidP="00A01767">
            <w:pPr>
              <w:jc w:val="right"/>
              <w:rPr>
                <w:color w:val="000000"/>
                <w:sz w:val="14"/>
                <w:szCs w:val="14"/>
                <w:lang w:eastAsia="tr-TR"/>
              </w:rPr>
            </w:pPr>
            <w:r w:rsidRPr="00005453">
              <w:rPr>
                <w:color w:val="000000"/>
                <w:sz w:val="14"/>
                <w:szCs w:val="14"/>
              </w:rPr>
              <w:t>2,053</w:t>
            </w:r>
          </w:p>
        </w:tc>
      </w:tr>
      <w:tr w:rsidR="00E84D06" w:rsidRPr="00005453" w14:paraId="0D0EFD4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F00368F" w14:textId="77777777" w:rsidR="00E84D06" w:rsidRPr="00005453" w:rsidRDefault="00E84D06" w:rsidP="00E84D06">
            <w:pPr>
              <w:rPr>
                <w:color w:val="000000"/>
                <w:sz w:val="14"/>
                <w:szCs w:val="14"/>
                <w:lang w:eastAsia="tr-TR"/>
              </w:rPr>
            </w:pPr>
            <w:r w:rsidRPr="00005453">
              <w:rPr>
                <w:color w:val="000000"/>
                <w:sz w:val="14"/>
                <w:szCs w:val="14"/>
                <w:lang w:val="en-US" w:eastAsia="tr-TR"/>
              </w:rPr>
              <w:t>1.1.4</w:t>
            </w:r>
          </w:p>
        </w:tc>
        <w:tc>
          <w:tcPr>
            <w:tcW w:w="4824" w:type="dxa"/>
            <w:tcBorders>
              <w:top w:val="nil"/>
              <w:left w:val="single" w:sz="6" w:space="0" w:color="auto"/>
              <w:bottom w:val="nil"/>
              <w:right w:val="single" w:sz="6" w:space="0" w:color="auto"/>
            </w:tcBorders>
            <w:shd w:val="clear" w:color="auto" w:fill="auto"/>
            <w:noWrap/>
            <w:hideMark/>
          </w:tcPr>
          <w:p w14:paraId="6639DA8C" w14:textId="77777777" w:rsidR="00E84D06" w:rsidRPr="00005453" w:rsidRDefault="00E84D06" w:rsidP="00E84D06">
            <w:pPr>
              <w:rPr>
                <w:color w:val="000000"/>
                <w:sz w:val="14"/>
                <w:szCs w:val="14"/>
                <w:lang w:eastAsia="tr-TR"/>
              </w:rPr>
            </w:pPr>
            <w:r w:rsidRPr="00005453">
              <w:rPr>
                <w:color w:val="000000"/>
                <w:sz w:val="14"/>
                <w:szCs w:val="14"/>
                <w:lang w:val="en-US" w:eastAsia="tr-TR"/>
              </w:rPr>
              <w:t>Alınan Ücret ve Komisyonlar</w:t>
            </w:r>
          </w:p>
        </w:tc>
        <w:tc>
          <w:tcPr>
            <w:tcW w:w="679" w:type="dxa"/>
            <w:tcBorders>
              <w:top w:val="nil"/>
              <w:left w:val="single" w:sz="6" w:space="0" w:color="auto"/>
              <w:bottom w:val="nil"/>
              <w:right w:val="single" w:sz="6" w:space="0" w:color="auto"/>
            </w:tcBorders>
            <w:shd w:val="clear" w:color="auto" w:fill="auto"/>
            <w:noWrap/>
            <w:hideMark/>
          </w:tcPr>
          <w:p w14:paraId="54821B74"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E640EE1" w14:textId="2F89DB33" w:rsidR="00E84D06" w:rsidRPr="00005453" w:rsidRDefault="00E84D06" w:rsidP="00A01767">
            <w:pPr>
              <w:jc w:val="right"/>
              <w:rPr>
                <w:color w:val="000000"/>
                <w:sz w:val="16"/>
                <w:szCs w:val="14"/>
              </w:rPr>
            </w:pPr>
            <w:r w:rsidRPr="00005453">
              <w:rPr>
                <w:color w:val="000000"/>
                <w:sz w:val="16"/>
                <w:szCs w:val="22"/>
              </w:rPr>
              <w:t>18,747,752</w:t>
            </w:r>
          </w:p>
        </w:tc>
        <w:tc>
          <w:tcPr>
            <w:tcW w:w="1721" w:type="dxa"/>
            <w:tcBorders>
              <w:top w:val="nil"/>
              <w:left w:val="single" w:sz="6" w:space="0" w:color="auto"/>
              <w:bottom w:val="nil"/>
              <w:right w:val="single" w:sz="6" w:space="0" w:color="auto"/>
            </w:tcBorders>
            <w:shd w:val="clear" w:color="auto" w:fill="auto"/>
            <w:noWrap/>
            <w:vAlign w:val="center"/>
            <w:hideMark/>
          </w:tcPr>
          <w:p w14:paraId="7F9B8A20" w14:textId="0ED8B083" w:rsidR="00E84D06" w:rsidRPr="00005453" w:rsidRDefault="00E84D06" w:rsidP="00A01767">
            <w:pPr>
              <w:jc w:val="right"/>
              <w:rPr>
                <w:color w:val="000000"/>
                <w:sz w:val="14"/>
                <w:szCs w:val="14"/>
                <w:lang w:eastAsia="tr-TR"/>
              </w:rPr>
            </w:pPr>
            <w:r w:rsidRPr="00005453">
              <w:rPr>
                <w:color w:val="000000"/>
                <w:sz w:val="14"/>
                <w:szCs w:val="14"/>
              </w:rPr>
              <w:t>7,184,139</w:t>
            </w:r>
          </w:p>
        </w:tc>
      </w:tr>
      <w:tr w:rsidR="00E84D06" w:rsidRPr="00005453" w14:paraId="5407CE90"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316D520" w14:textId="77777777" w:rsidR="00E84D06" w:rsidRPr="00005453" w:rsidRDefault="00E84D06" w:rsidP="00E84D06">
            <w:pPr>
              <w:rPr>
                <w:color w:val="000000"/>
                <w:sz w:val="14"/>
                <w:szCs w:val="14"/>
                <w:lang w:eastAsia="tr-TR"/>
              </w:rPr>
            </w:pPr>
            <w:r w:rsidRPr="00005453">
              <w:rPr>
                <w:color w:val="000000"/>
                <w:sz w:val="14"/>
                <w:szCs w:val="14"/>
                <w:lang w:val="en-US" w:eastAsia="tr-TR"/>
              </w:rPr>
              <w:t>1.1.5</w:t>
            </w:r>
          </w:p>
        </w:tc>
        <w:tc>
          <w:tcPr>
            <w:tcW w:w="4824" w:type="dxa"/>
            <w:tcBorders>
              <w:top w:val="nil"/>
              <w:left w:val="single" w:sz="6" w:space="0" w:color="auto"/>
              <w:bottom w:val="nil"/>
              <w:right w:val="single" w:sz="6" w:space="0" w:color="auto"/>
            </w:tcBorders>
            <w:shd w:val="clear" w:color="auto" w:fill="auto"/>
            <w:noWrap/>
            <w:hideMark/>
          </w:tcPr>
          <w:p w14:paraId="6DFAE1AC" w14:textId="77777777" w:rsidR="00E84D06" w:rsidRPr="00005453" w:rsidRDefault="00E84D06" w:rsidP="00E84D06">
            <w:pPr>
              <w:rPr>
                <w:color w:val="000000"/>
                <w:sz w:val="14"/>
                <w:szCs w:val="14"/>
                <w:lang w:eastAsia="tr-TR"/>
              </w:rPr>
            </w:pPr>
            <w:r w:rsidRPr="00005453">
              <w:rPr>
                <w:color w:val="000000"/>
                <w:sz w:val="14"/>
                <w:szCs w:val="14"/>
                <w:lang w:val="en-US" w:eastAsia="tr-TR"/>
              </w:rPr>
              <w:t>Elde Edilen Diğer Kazançlar</w:t>
            </w:r>
          </w:p>
        </w:tc>
        <w:tc>
          <w:tcPr>
            <w:tcW w:w="679" w:type="dxa"/>
            <w:tcBorders>
              <w:top w:val="nil"/>
              <w:left w:val="single" w:sz="6" w:space="0" w:color="auto"/>
              <w:bottom w:val="nil"/>
              <w:right w:val="single" w:sz="6" w:space="0" w:color="auto"/>
            </w:tcBorders>
            <w:shd w:val="clear" w:color="auto" w:fill="auto"/>
            <w:noWrap/>
            <w:hideMark/>
          </w:tcPr>
          <w:p w14:paraId="4CB07467"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286E6312" w14:textId="7A29EC75" w:rsidR="00E84D06" w:rsidRPr="00005453" w:rsidRDefault="00E84D06" w:rsidP="00A01767">
            <w:pPr>
              <w:jc w:val="right"/>
              <w:rPr>
                <w:color w:val="000000"/>
                <w:sz w:val="16"/>
                <w:szCs w:val="14"/>
              </w:rPr>
            </w:pPr>
            <w:r w:rsidRPr="00005453">
              <w:rPr>
                <w:color w:val="000000"/>
                <w:sz w:val="16"/>
                <w:szCs w:val="22"/>
              </w:rPr>
              <w:t>28,992,280</w:t>
            </w:r>
          </w:p>
        </w:tc>
        <w:tc>
          <w:tcPr>
            <w:tcW w:w="1721" w:type="dxa"/>
            <w:tcBorders>
              <w:top w:val="nil"/>
              <w:left w:val="single" w:sz="6" w:space="0" w:color="auto"/>
              <w:bottom w:val="nil"/>
              <w:right w:val="single" w:sz="6" w:space="0" w:color="auto"/>
            </w:tcBorders>
            <w:shd w:val="clear" w:color="auto" w:fill="auto"/>
            <w:noWrap/>
            <w:vAlign w:val="center"/>
            <w:hideMark/>
          </w:tcPr>
          <w:p w14:paraId="2DDB603D" w14:textId="37EB2767" w:rsidR="00E84D06" w:rsidRPr="00005453" w:rsidRDefault="00E84D06" w:rsidP="00A01767">
            <w:pPr>
              <w:jc w:val="right"/>
              <w:rPr>
                <w:color w:val="000000"/>
                <w:sz w:val="14"/>
                <w:szCs w:val="14"/>
                <w:lang w:eastAsia="tr-TR"/>
              </w:rPr>
            </w:pPr>
            <w:r w:rsidRPr="00005453">
              <w:rPr>
                <w:color w:val="000000"/>
                <w:sz w:val="14"/>
                <w:szCs w:val="14"/>
              </w:rPr>
              <w:t>5,145,334</w:t>
            </w:r>
          </w:p>
        </w:tc>
      </w:tr>
      <w:tr w:rsidR="00E84D06" w:rsidRPr="00005453" w14:paraId="1047F64D"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A8C5250" w14:textId="77777777" w:rsidR="00E84D06" w:rsidRPr="00005453" w:rsidRDefault="00E84D06" w:rsidP="00E84D06">
            <w:pPr>
              <w:rPr>
                <w:color w:val="000000"/>
                <w:sz w:val="14"/>
                <w:szCs w:val="14"/>
                <w:lang w:eastAsia="tr-TR"/>
              </w:rPr>
            </w:pPr>
            <w:r w:rsidRPr="00005453">
              <w:rPr>
                <w:color w:val="000000"/>
                <w:sz w:val="14"/>
                <w:szCs w:val="14"/>
                <w:lang w:val="en-US" w:eastAsia="tr-TR"/>
              </w:rPr>
              <w:t>1.1.6</w:t>
            </w:r>
          </w:p>
        </w:tc>
        <w:tc>
          <w:tcPr>
            <w:tcW w:w="4824" w:type="dxa"/>
            <w:tcBorders>
              <w:top w:val="nil"/>
              <w:left w:val="single" w:sz="6" w:space="0" w:color="auto"/>
              <w:bottom w:val="nil"/>
              <w:right w:val="single" w:sz="6" w:space="0" w:color="auto"/>
            </w:tcBorders>
            <w:shd w:val="clear" w:color="auto" w:fill="auto"/>
            <w:noWrap/>
            <w:hideMark/>
          </w:tcPr>
          <w:p w14:paraId="043EA567" w14:textId="77777777" w:rsidR="00E84D06" w:rsidRPr="00005453" w:rsidRDefault="00E84D06" w:rsidP="00E84D06">
            <w:pPr>
              <w:rPr>
                <w:color w:val="000000"/>
                <w:sz w:val="14"/>
                <w:szCs w:val="14"/>
                <w:lang w:eastAsia="tr-TR"/>
              </w:rPr>
            </w:pPr>
            <w:r w:rsidRPr="00005453">
              <w:rPr>
                <w:color w:val="000000"/>
                <w:sz w:val="14"/>
                <w:szCs w:val="14"/>
                <w:lang w:eastAsia="tr-TR"/>
              </w:rPr>
              <w:t>Zarar Olarak Muhasebeleştirilen Donuk Alacaklardan Tahsilatlar</w:t>
            </w:r>
          </w:p>
        </w:tc>
        <w:tc>
          <w:tcPr>
            <w:tcW w:w="679" w:type="dxa"/>
            <w:tcBorders>
              <w:top w:val="nil"/>
              <w:left w:val="single" w:sz="6" w:space="0" w:color="auto"/>
              <w:bottom w:val="nil"/>
              <w:right w:val="single" w:sz="6" w:space="0" w:color="auto"/>
            </w:tcBorders>
            <w:shd w:val="clear" w:color="auto" w:fill="auto"/>
            <w:noWrap/>
            <w:hideMark/>
          </w:tcPr>
          <w:p w14:paraId="725C07D4"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FA53EAF" w14:textId="6D9BBC42" w:rsidR="00E84D06" w:rsidRPr="00005453" w:rsidRDefault="00E84D06" w:rsidP="00A01767">
            <w:pPr>
              <w:jc w:val="right"/>
              <w:rPr>
                <w:color w:val="000000"/>
                <w:sz w:val="16"/>
                <w:szCs w:val="14"/>
              </w:rPr>
            </w:pPr>
            <w:r w:rsidRPr="00005453">
              <w:rPr>
                <w:color w:val="000000"/>
                <w:sz w:val="16"/>
                <w:szCs w:val="22"/>
              </w:rPr>
              <w:t>1,736,292</w:t>
            </w:r>
          </w:p>
        </w:tc>
        <w:tc>
          <w:tcPr>
            <w:tcW w:w="1721" w:type="dxa"/>
            <w:tcBorders>
              <w:top w:val="nil"/>
              <w:left w:val="single" w:sz="6" w:space="0" w:color="auto"/>
              <w:bottom w:val="nil"/>
              <w:right w:val="single" w:sz="6" w:space="0" w:color="auto"/>
            </w:tcBorders>
            <w:shd w:val="clear" w:color="auto" w:fill="auto"/>
            <w:noWrap/>
            <w:vAlign w:val="center"/>
            <w:hideMark/>
          </w:tcPr>
          <w:p w14:paraId="1162A45B" w14:textId="44EA6AC7" w:rsidR="00E84D06" w:rsidRPr="00005453" w:rsidRDefault="00E84D06" w:rsidP="00A01767">
            <w:pPr>
              <w:jc w:val="right"/>
              <w:rPr>
                <w:color w:val="000000"/>
                <w:sz w:val="14"/>
                <w:szCs w:val="14"/>
                <w:lang w:eastAsia="tr-TR"/>
              </w:rPr>
            </w:pPr>
            <w:r w:rsidRPr="00005453">
              <w:rPr>
                <w:color w:val="000000"/>
                <w:sz w:val="14"/>
                <w:szCs w:val="14"/>
              </w:rPr>
              <w:t>1,145,045</w:t>
            </w:r>
          </w:p>
        </w:tc>
      </w:tr>
      <w:tr w:rsidR="00E84D06" w:rsidRPr="00005453" w14:paraId="34085410"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3C0A723" w14:textId="77777777" w:rsidR="00E84D06" w:rsidRPr="00005453" w:rsidRDefault="00E84D06" w:rsidP="00E84D06">
            <w:pPr>
              <w:rPr>
                <w:color w:val="000000"/>
                <w:sz w:val="14"/>
                <w:szCs w:val="14"/>
                <w:lang w:eastAsia="tr-TR"/>
              </w:rPr>
            </w:pPr>
            <w:r w:rsidRPr="00005453">
              <w:rPr>
                <w:color w:val="000000"/>
                <w:sz w:val="14"/>
                <w:szCs w:val="14"/>
                <w:lang w:val="en-US" w:eastAsia="tr-TR"/>
              </w:rPr>
              <w:t>1.1.7</w:t>
            </w:r>
          </w:p>
        </w:tc>
        <w:tc>
          <w:tcPr>
            <w:tcW w:w="4824" w:type="dxa"/>
            <w:tcBorders>
              <w:top w:val="nil"/>
              <w:left w:val="single" w:sz="6" w:space="0" w:color="auto"/>
              <w:bottom w:val="nil"/>
              <w:right w:val="single" w:sz="6" w:space="0" w:color="auto"/>
            </w:tcBorders>
            <w:shd w:val="clear" w:color="auto" w:fill="auto"/>
            <w:noWrap/>
            <w:hideMark/>
          </w:tcPr>
          <w:p w14:paraId="00D8C847" w14:textId="77777777" w:rsidR="00E84D06" w:rsidRPr="00005453" w:rsidRDefault="00E84D06" w:rsidP="00E84D06">
            <w:pPr>
              <w:rPr>
                <w:color w:val="000000"/>
                <w:sz w:val="14"/>
                <w:szCs w:val="14"/>
                <w:lang w:eastAsia="tr-TR"/>
              </w:rPr>
            </w:pPr>
            <w:r w:rsidRPr="00005453">
              <w:rPr>
                <w:color w:val="000000"/>
                <w:sz w:val="14"/>
                <w:szCs w:val="14"/>
                <w:lang w:val="en-US" w:eastAsia="tr-TR"/>
              </w:rPr>
              <w:t>Personele ve Hizmet Tedarik Edenlere Yapılan Nakit Ödemeler</w:t>
            </w:r>
          </w:p>
        </w:tc>
        <w:tc>
          <w:tcPr>
            <w:tcW w:w="679" w:type="dxa"/>
            <w:tcBorders>
              <w:top w:val="nil"/>
              <w:left w:val="single" w:sz="6" w:space="0" w:color="auto"/>
              <w:bottom w:val="nil"/>
              <w:right w:val="single" w:sz="6" w:space="0" w:color="auto"/>
            </w:tcBorders>
            <w:shd w:val="clear" w:color="auto" w:fill="auto"/>
            <w:noWrap/>
            <w:hideMark/>
          </w:tcPr>
          <w:p w14:paraId="1788081D"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58ABFC7A" w14:textId="25BF417E" w:rsidR="00E84D06" w:rsidRPr="00005453" w:rsidRDefault="00E84D06" w:rsidP="00A01767">
            <w:pPr>
              <w:jc w:val="right"/>
              <w:rPr>
                <w:color w:val="000000"/>
                <w:sz w:val="16"/>
                <w:szCs w:val="14"/>
              </w:rPr>
            </w:pPr>
            <w:r w:rsidRPr="00005453">
              <w:rPr>
                <w:color w:val="000000"/>
                <w:sz w:val="16"/>
                <w:szCs w:val="22"/>
              </w:rPr>
              <w:t>(10,738,133)</w:t>
            </w:r>
          </w:p>
        </w:tc>
        <w:tc>
          <w:tcPr>
            <w:tcW w:w="1721" w:type="dxa"/>
            <w:tcBorders>
              <w:top w:val="nil"/>
              <w:left w:val="single" w:sz="6" w:space="0" w:color="auto"/>
              <w:bottom w:val="nil"/>
              <w:right w:val="single" w:sz="6" w:space="0" w:color="auto"/>
            </w:tcBorders>
            <w:shd w:val="clear" w:color="auto" w:fill="auto"/>
            <w:noWrap/>
            <w:vAlign w:val="center"/>
            <w:hideMark/>
          </w:tcPr>
          <w:p w14:paraId="5901C5A6" w14:textId="0F501836" w:rsidR="00E84D06" w:rsidRPr="00005453" w:rsidRDefault="00E84D06" w:rsidP="00A01767">
            <w:pPr>
              <w:jc w:val="right"/>
              <w:rPr>
                <w:color w:val="000000"/>
                <w:sz w:val="14"/>
                <w:szCs w:val="14"/>
                <w:lang w:eastAsia="tr-TR"/>
              </w:rPr>
            </w:pPr>
            <w:r w:rsidRPr="00005453">
              <w:rPr>
                <w:color w:val="000000"/>
                <w:sz w:val="14"/>
                <w:szCs w:val="14"/>
              </w:rPr>
              <w:t>(5,047,985)</w:t>
            </w:r>
          </w:p>
        </w:tc>
      </w:tr>
      <w:tr w:rsidR="00E84D06" w:rsidRPr="00005453" w14:paraId="3A8EC151"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E8DACB9" w14:textId="77777777" w:rsidR="00E84D06" w:rsidRPr="00005453" w:rsidRDefault="00E84D06" w:rsidP="00E84D06">
            <w:pPr>
              <w:rPr>
                <w:color w:val="000000"/>
                <w:sz w:val="14"/>
                <w:szCs w:val="14"/>
                <w:lang w:eastAsia="tr-TR"/>
              </w:rPr>
            </w:pPr>
            <w:r w:rsidRPr="00005453">
              <w:rPr>
                <w:color w:val="000000"/>
                <w:sz w:val="14"/>
                <w:szCs w:val="14"/>
                <w:lang w:val="en-US" w:eastAsia="tr-TR"/>
              </w:rPr>
              <w:t>1.1.8</w:t>
            </w:r>
          </w:p>
        </w:tc>
        <w:tc>
          <w:tcPr>
            <w:tcW w:w="4824" w:type="dxa"/>
            <w:tcBorders>
              <w:top w:val="nil"/>
              <w:left w:val="single" w:sz="6" w:space="0" w:color="auto"/>
              <w:bottom w:val="nil"/>
              <w:right w:val="single" w:sz="6" w:space="0" w:color="auto"/>
            </w:tcBorders>
            <w:shd w:val="clear" w:color="auto" w:fill="auto"/>
            <w:noWrap/>
            <w:hideMark/>
          </w:tcPr>
          <w:p w14:paraId="5C2816EA" w14:textId="77777777" w:rsidR="00E84D06" w:rsidRPr="00005453" w:rsidRDefault="00E84D06" w:rsidP="00E84D06">
            <w:pPr>
              <w:rPr>
                <w:color w:val="000000"/>
                <w:sz w:val="14"/>
                <w:szCs w:val="14"/>
                <w:lang w:eastAsia="tr-TR"/>
              </w:rPr>
            </w:pPr>
            <w:r w:rsidRPr="00005453">
              <w:rPr>
                <w:color w:val="000000"/>
                <w:sz w:val="14"/>
                <w:szCs w:val="14"/>
                <w:lang w:val="en-US" w:eastAsia="tr-TR"/>
              </w:rPr>
              <w:t>Ödenen Vergiler</w:t>
            </w:r>
          </w:p>
        </w:tc>
        <w:tc>
          <w:tcPr>
            <w:tcW w:w="679" w:type="dxa"/>
            <w:tcBorders>
              <w:top w:val="nil"/>
              <w:left w:val="single" w:sz="6" w:space="0" w:color="auto"/>
              <w:bottom w:val="nil"/>
              <w:right w:val="single" w:sz="6" w:space="0" w:color="auto"/>
            </w:tcBorders>
            <w:shd w:val="clear" w:color="auto" w:fill="auto"/>
            <w:noWrap/>
            <w:hideMark/>
          </w:tcPr>
          <w:p w14:paraId="0903E375"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7539A7D0" w14:textId="7BC3282F" w:rsidR="00E84D06" w:rsidRPr="00005453" w:rsidRDefault="00E84D06" w:rsidP="00A01767">
            <w:pPr>
              <w:jc w:val="right"/>
              <w:rPr>
                <w:color w:val="000000"/>
                <w:sz w:val="16"/>
                <w:szCs w:val="14"/>
              </w:rPr>
            </w:pPr>
            <w:r w:rsidRPr="00005453">
              <w:rPr>
                <w:color w:val="000000"/>
                <w:sz w:val="16"/>
                <w:szCs w:val="22"/>
              </w:rPr>
              <w:t>(8,853,598)</w:t>
            </w:r>
          </w:p>
        </w:tc>
        <w:tc>
          <w:tcPr>
            <w:tcW w:w="1721" w:type="dxa"/>
            <w:tcBorders>
              <w:top w:val="nil"/>
              <w:left w:val="single" w:sz="6" w:space="0" w:color="auto"/>
              <w:bottom w:val="nil"/>
              <w:right w:val="single" w:sz="6" w:space="0" w:color="auto"/>
            </w:tcBorders>
            <w:shd w:val="clear" w:color="auto" w:fill="auto"/>
            <w:noWrap/>
            <w:vAlign w:val="center"/>
            <w:hideMark/>
          </w:tcPr>
          <w:p w14:paraId="3FE7CC20" w14:textId="17CDFC38" w:rsidR="00E84D06" w:rsidRPr="00005453" w:rsidRDefault="00E84D06" w:rsidP="00A01767">
            <w:pPr>
              <w:jc w:val="right"/>
              <w:rPr>
                <w:color w:val="000000"/>
                <w:sz w:val="14"/>
                <w:szCs w:val="14"/>
                <w:lang w:eastAsia="tr-TR"/>
              </w:rPr>
            </w:pPr>
            <w:r w:rsidRPr="00005453">
              <w:rPr>
                <w:color w:val="000000"/>
                <w:sz w:val="14"/>
                <w:szCs w:val="14"/>
              </w:rPr>
              <w:t>(6,988,997)</w:t>
            </w:r>
          </w:p>
        </w:tc>
      </w:tr>
      <w:tr w:rsidR="00E84D06" w:rsidRPr="00005453" w14:paraId="451038D8"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19B042A" w14:textId="77777777" w:rsidR="00E84D06" w:rsidRPr="00005453" w:rsidRDefault="00E84D06" w:rsidP="00E84D06">
            <w:pPr>
              <w:rPr>
                <w:color w:val="000000"/>
                <w:sz w:val="14"/>
                <w:szCs w:val="14"/>
                <w:lang w:eastAsia="tr-TR"/>
              </w:rPr>
            </w:pPr>
            <w:r w:rsidRPr="00005453">
              <w:rPr>
                <w:color w:val="000000"/>
                <w:sz w:val="14"/>
                <w:szCs w:val="14"/>
                <w:lang w:val="en-US" w:eastAsia="tr-TR"/>
              </w:rPr>
              <w:t>1.1.9</w:t>
            </w:r>
          </w:p>
        </w:tc>
        <w:tc>
          <w:tcPr>
            <w:tcW w:w="4824" w:type="dxa"/>
            <w:tcBorders>
              <w:top w:val="nil"/>
              <w:left w:val="single" w:sz="6" w:space="0" w:color="auto"/>
              <w:bottom w:val="nil"/>
              <w:right w:val="single" w:sz="6" w:space="0" w:color="auto"/>
            </w:tcBorders>
            <w:shd w:val="clear" w:color="auto" w:fill="auto"/>
            <w:noWrap/>
            <w:hideMark/>
          </w:tcPr>
          <w:p w14:paraId="02FB7A88" w14:textId="77777777" w:rsidR="00E84D06" w:rsidRPr="00005453" w:rsidRDefault="00E84D06" w:rsidP="00E84D06">
            <w:pPr>
              <w:rPr>
                <w:color w:val="000000"/>
                <w:sz w:val="14"/>
                <w:szCs w:val="14"/>
                <w:lang w:eastAsia="tr-TR"/>
              </w:rPr>
            </w:pPr>
            <w:r w:rsidRPr="00005453">
              <w:rPr>
                <w:color w:val="000000"/>
                <w:sz w:val="14"/>
                <w:szCs w:val="14"/>
                <w:lang w:val="en-US" w:eastAsia="tr-TR"/>
              </w:rPr>
              <w:t>Diğer</w:t>
            </w:r>
          </w:p>
        </w:tc>
        <w:tc>
          <w:tcPr>
            <w:tcW w:w="679" w:type="dxa"/>
            <w:tcBorders>
              <w:top w:val="nil"/>
              <w:left w:val="single" w:sz="6" w:space="0" w:color="auto"/>
              <w:bottom w:val="nil"/>
              <w:right w:val="single" w:sz="6" w:space="0" w:color="auto"/>
            </w:tcBorders>
            <w:shd w:val="clear" w:color="auto" w:fill="auto"/>
            <w:noWrap/>
            <w:hideMark/>
          </w:tcPr>
          <w:p w14:paraId="04985A86" w14:textId="35CD1537" w:rsidR="00E84D06" w:rsidRPr="00005453" w:rsidRDefault="00E84D06" w:rsidP="00E84D06">
            <w:pPr>
              <w:jc w:val="center"/>
              <w:rPr>
                <w:color w:val="000000"/>
                <w:sz w:val="14"/>
                <w:szCs w:val="14"/>
                <w:lang w:eastAsia="tr-TR"/>
              </w:rPr>
            </w:pPr>
            <w:r w:rsidRPr="00005453">
              <w:rPr>
                <w:color w:val="000000"/>
                <w:sz w:val="14"/>
                <w:szCs w:val="14"/>
                <w:lang w:eastAsia="tr-TR"/>
              </w:rPr>
              <w:t>(5.6.3)</w:t>
            </w:r>
          </w:p>
        </w:tc>
        <w:tc>
          <w:tcPr>
            <w:tcW w:w="1796" w:type="dxa"/>
            <w:tcBorders>
              <w:top w:val="nil"/>
              <w:left w:val="single" w:sz="6" w:space="0" w:color="auto"/>
              <w:bottom w:val="nil"/>
              <w:right w:val="single" w:sz="6" w:space="0" w:color="auto"/>
            </w:tcBorders>
            <w:shd w:val="clear" w:color="auto" w:fill="auto"/>
            <w:vAlign w:val="center"/>
            <w:hideMark/>
          </w:tcPr>
          <w:p w14:paraId="63D5731D" w14:textId="042E37AF" w:rsidR="00E84D06" w:rsidRPr="00005453" w:rsidRDefault="00E84D06" w:rsidP="00A01767">
            <w:pPr>
              <w:jc w:val="right"/>
              <w:rPr>
                <w:color w:val="000000"/>
                <w:sz w:val="16"/>
                <w:szCs w:val="14"/>
              </w:rPr>
            </w:pPr>
            <w:r w:rsidRPr="00005453">
              <w:rPr>
                <w:color w:val="000000"/>
                <w:sz w:val="16"/>
                <w:szCs w:val="22"/>
              </w:rPr>
              <w:t>(15,624,318)</w:t>
            </w:r>
          </w:p>
        </w:tc>
        <w:tc>
          <w:tcPr>
            <w:tcW w:w="1721" w:type="dxa"/>
            <w:tcBorders>
              <w:top w:val="nil"/>
              <w:left w:val="single" w:sz="6" w:space="0" w:color="auto"/>
              <w:bottom w:val="nil"/>
              <w:right w:val="single" w:sz="6" w:space="0" w:color="auto"/>
            </w:tcBorders>
            <w:shd w:val="clear" w:color="auto" w:fill="auto"/>
            <w:noWrap/>
            <w:vAlign w:val="center"/>
            <w:hideMark/>
          </w:tcPr>
          <w:p w14:paraId="0EAE055B" w14:textId="5F00132E" w:rsidR="00E84D06" w:rsidRPr="00005453" w:rsidRDefault="00E84D06" w:rsidP="00A01767">
            <w:pPr>
              <w:jc w:val="right"/>
              <w:rPr>
                <w:color w:val="000000"/>
                <w:sz w:val="14"/>
                <w:szCs w:val="14"/>
                <w:lang w:eastAsia="tr-TR"/>
              </w:rPr>
            </w:pPr>
            <w:r w:rsidRPr="00005453">
              <w:rPr>
                <w:color w:val="000000"/>
                <w:sz w:val="14"/>
                <w:szCs w:val="14"/>
              </w:rPr>
              <w:t>(5,366,372)</w:t>
            </w:r>
          </w:p>
        </w:tc>
      </w:tr>
      <w:tr w:rsidR="008755B7" w:rsidRPr="00005453" w14:paraId="506C984E"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A618692"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2A74492F"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4A28681D"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B2F0AC9" w14:textId="7BE18935"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26BD8A3A" w14:textId="20ECA40E" w:rsidR="008755B7" w:rsidRPr="00005453" w:rsidRDefault="008755B7" w:rsidP="00A01767">
            <w:pPr>
              <w:jc w:val="right"/>
              <w:rPr>
                <w:b/>
                <w:bCs/>
                <w:color w:val="000000"/>
                <w:sz w:val="10"/>
                <w:szCs w:val="10"/>
                <w:lang w:eastAsia="tr-TR"/>
              </w:rPr>
            </w:pPr>
          </w:p>
        </w:tc>
      </w:tr>
      <w:tr w:rsidR="008755B7" w:rsidRPr="00005453" w14:paraId="234870EE"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11BBBE1"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1.2</w:t>
            </w:r>
          </w:p>
        </w:tc>
        <w:tc>
          <w:tcPr>
            <w:tcW w:w="4824" w:type="dxa"/>
            <w:tcBorders>
              <w:top w:val="nil"/>
              <w:left w:val="single" w:sz="6" w:space="0" w:color="auto"/>
              <w:bottom w:val="nil"/>
              <w:right w:val="single" w:sz="6" w:space="0" w:color="auto"/>
            </w:tcBorders>
            <w:shd w:val="clear" w:color="auto" w:fill="auto"/>
            <w:noWrap/>
            <w:hideMark/>
          </w:tcPr>
          <w:p w14:paraId="500394E2"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Bankacılık Faaliyetleri Konusu Varlık ve Yükümlülüklerdeki Değişim</w:t>
            </w:r>
          </w:p>
        </w:tc>
        <w:tc>
          <w:tcPr>
            <w:tcW w:w="679" w:type="dxa"/>
            <w:tcBorders>
              <w:top w:val="nil"/>
              <w:left w:val="single" w:sz="6" w:space="0" w:color="auto"/>
              <w:bottom w:val="nil"/>
              <w:right w:val="single" w:sz="6" w:space="0" w:color="auto"/>
            </w:tcBorders>
            <w:shd w:val="clear" w:color="auto" w:fill="auto"/>
            <w:noWrap/>
            <w:hideMark/>
          </w:tcPr>
          <w:p w14:paraId="34737C8B"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D7D9D30" w14:textId="5351A237" w:rsidR="008755B7" w:rsidRPr="00005453" w:rsidRDefault="008755B7" w:rsidP="00A01767">
            <w:pPr>
              <w:jc w:val="right"/>
              <w:rPr>
                <w:b/>
                <w:color w:val="000000"/>
                <w:sz w:val="14"/>
                <w:szCs w:val="14"/>
              </w:rPr>
            </w:pPr>
            <w:r w:rsidRPr="00005453">
              <w:rPr>
                <w:b/>
                <w:color w:val="000000"/>
                <w:sz w:val="14"/>
                <w:szCs w:val="14"/>
              </w:rPr>
              <w:t>(</w:t>
            </w:r>
            <w:r w:rsidR="00E84D06" w:rsidRPr="00005453">
              <w:rPr>
                <w:b/>
                <w:color w:val="000000"/>
                <w:sz w:val="14"/>
                <w:szCs w:val="14"/>
              </w:rPr>
              <w:t>41,127</w:t>
            </w:r>
            <w:r w:rsidRPr="00005453">
              <w:rPr>
                <w:b/>
                <w:color w:val="000000"/>
                <w:sz w:val="14"/>
                <w:szCs w:val="14"/>
              </w:rPr>
              <w:t>,</w:t>
            </w:r>
            <w:r w:rsidR="00E84D06" w:rsidRPr="00005453">
              <w:rPr>
                <w:b/>
                <w:color w:val="000000"/>
                <w:sz w:val="14"/>
                <w:szCs w:val="14"/>
              </w:rPr>
              <w:t>958</w:t>
            </w:r>
            <w:r w:rsidRPr="00005453">
              <w:rPr>
                <w:b/>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67041938" w14:textId="0D8E5BC5" w:rsidR="008755B7" w:rsidRPr="00005453" w:rsidRDefault="008755B7" w:rsidP="00A01767">
            <w:pPr>
              <w:jc w:val="right"/>
              <w:rPr>
                <w:b/>
                <w:bCs/>
                <w:color w:val="000000"/>
                <w:sz w:val="14"/>
                <w:szCs w:val="14"/>
                <w:lang w:eastAsia="tr-TR"/>
              </w:rPr>
            </w:pPr>
            <w:r w:rsidRPr="00005453">
              <w:rPr>
                <w:b/>
                <w:color w:val="000000"/>
                <w:sz w:val="14"/>
                <w:szCs w:val="14"/>
              </w:rPr>
              <w:t>(430,861)</w:t>
            </w:r>
          </w:p>
        </w:tc>
      </w:tr>
      <w:tr w:rsidR="008755B7" w:rsidRPr="00005453" w14:paraId="5A58BF0B"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2D213068"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6D4AC65E"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68A8F404"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4A61EA3" w14:textId="6CADADDB"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63F21D3E" w14:textId="29635B4D" w:rsidR="008755B7" w:rsidRPr="00005453" w:rsidRDefault="008755B7" w:rsidP="00A01767">
            <w:pPr>
              <w:jc w:val="right"/>
              <w:rPr>
                <w:b/>
                <w:bCs/>
                <w:color w:val="000000"/>
                <w:sz w:val="10"/>
                <w:szCs w:val="10"/>
                <w:lang w:eastAsia="tr-TR"/>
              </w:rPr>
            </w:pPr>
          </w:p>
        </w:tc>
      </w:tr>
      <w:tr w:rsidR="00E84D06" w:rsidRPr="00005453" w14:paraId="2FC9AAC8"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9A5FBF0" w14:textId="77777777" w:rsidR="00E84D06" w:rsidRPr="00005453" w:rsidRDefault="00E84D06" w:rsidP="00E84D06">
            <w:pPr>
              <w:rPr>
                <w:color w:val="000000"/>
                <w:sz w:val="14"/>
                <w:szCs w:val="14"/>
                <w:lang w:eastAsia="tr-TR"/>
              </w:rPr>
            </w:pPr>
            <w:r w:rsidRPr="00005453">
              <w:rPr>
                <w:color w:val="000000"/>
                <w:sz w:val="14"/>
                <w:szCs w:val="14"/>
                <w:lang w:val="en-US" w:eastAsia="tr-TR"/>
              </w:rPr>
              <w:t>1.2.1</w:t>
            </w:r>
          </w:p>
        </w:tc>
        <w:tc>
          <w:tcPr>
            <w:tcW w:w="4824" w:type="dxa"/>
            <w:tcBorders>
              <w:top w:val="nil"/>
              <w:left w:val="single" w:sz="6" w:space="0" w:color="auto"/>
              <w:bottom w:val="nil"/>
              <w:right w:val="single" w:sz="6" w:space="0" w:color="auto"/>
            </w:tcBorders>
            <w:shd w:val="clear" w:color="auto" w:fill="auto"/>
            <w:noWrap/>
            <w:hideMark/>
          </w:tcPr>
          <w:p w14:paraId="0FBEF218" w14:textId="77777777" w:rsidR="00E84D06" w:rsidRPr="00005453" w:rsidRDefault="00E84D06" w:rsidP="00E84D06">
            <w:pPr>
              <w:rPr>
                <w:color w:val="000000"/>
                <w:sz w:val="14"/>
                <w:szCs w:val="14"/>
                <w:lang w:eastAsia="tr-TR"/>
              </w:rPr>
            </w:pPr>
            <w:r w:rsidRPr="00005453">
              <w:rPr>
                <w:color w:val="000000"/>
                <w:sz w:val="14"/>
                <w:szCs w:val="14"/>
                <w:lang w:eastAsia="tr-TR"/>
              </w:rPr>
              <w:t>Gerçeğe Uygun Değer Farkı K/Z'a Yansıtılan FV'larda Net (Artış) Azalış</w:t>
            </w:r>
          </w:p>
        </w:tc>
        <w:tc>
          <w:tcPr>
            <w:tcW w:w="679" w:type="dxa"/>
            <w:tcBorders>
              <w:top w:val="nil"/>
              <w:left w:val="single" w:sz="6" w:space="0" w:color="auto"/>
              <w:bottom w:val="nil"/>
              <w:right w:val="single" w:sz="6" w:space="0" w:color="auto"/>
            </w:tcBorders>
            <w:shd w:val="clear" w:color="auto" w:fill="auto"/>
            <w:noWrap/>
            <w:hideMark/>
          </w:tcPr>
          <w:p w14:paraId="2B5A3645"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EE0CDB5" w14:textId="5A1D5EC7" w:rsidR="00E84D06" w:rsidRPr="00005453" w:rsidRDefault="00E84D06" w:rsidP="00A01767">
            <w:pPr>
              <w:jc w:val="right"/>
              <w:rPr>
                <w:color w:val="000000"/>
                <w:sz w:val="16"/>
                <w:szCs w:val="14"/>
              </w:rPr>
            </w:pPr>
            <w:r w:rsidRPr="00005453">
              <w:rPr>
                <w:color w:val="000000"/>
                <w:sz w:val="16"/>
                <w:szCs w:val="22"/>
              </w:rPr>
              <w:t>27,228,976</w:t>
            </w:r>
          </w:p>
        </w:tc>
        <w:tc>
          <w:tcPr>
            <w:tcW w:w="1721" w:type="dxa"/>
            <w:tcBorders>
              <w:top w:val="nil"/>
              <w:left w:val="single" w:sz="6" w:space="0" w:color="auto"/>
              <w:bottom w:val="nil"/>
              <w:right w:val="single" w:sz="6" w:space="0" w:color="auto"/>
            </w:tcBorders>
            <w:shd w:val="clear" w:color="auto" w:fill="auto"/>
            <w:noWrap/>
            <w:vAlign w:val="center"/>
            <w:hideMark/>
          </w:tcPr>
          <w:p w14:paraId="51406E06" w14:textId="4CDD8A69" w:rsidR="00E84D06" w:rsidRPr="00005453" w:rsidRDefault="00E84D06" w:rsidP="00A01767">
            <w:pPr>
              <w:jc w:val="right"/>
              <w:rPr>
                <w:color w:val="000000"/>
                <w:sz w:val="14"/>
                <w:szCs w:val="14"/>
                <w:lang w:eastAsia="tr-TR"/>
              </w:rPr>
            </w:pPr>
            <w:r w:rsidRPr="00005453">
              <w:rPr>
                <w:color w:val="000000"/>
                <w:sz w:val="14"/>
                <w:szCs w:val="14"/>
              </w:rPr>
              <w:t>(29,686,542)</w:t>
            </w:r>
          </w:p>
        </w:tc>
      </w:tr>
      <w:tr w:rsidR="00E84D06" w:rsidRPr="00005453" w14:paraId="28DA4791"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66A982E3" w14:textId="77777777" w:rsidR="00E84D06" w:rsidRPr="00005453" w:rsidRDefault="00E84D06" w:rsidP="00E84D06">
            <w:pPr>
              <w:rPr>
                <w:color w:val="000000"/>
                <w:sz w:val="14"/>
                <w:szCs w:val="14"/>
                <w:lang w:eastAsia="tr-TR"/>
              </w:rPr>
            </w:pPr>
            <w:r w:rsidRPr="00005453">
              <w:rPr>
                <w:color w:val="000000"/>
                <w:sz w:val="14"/>
                <w:szCs w:val="14"/>
                <w:lang w:val="en-US" w:eastAsia="tr-TR"/>
              </w:rPr>
              <w:t>1.2.2</w:t>
            </w:r>
          </w:p>
        </w:tc>
        <w:tc>
          <w:tcPr>
            <w:tcW w:w="4824" w:type="dxa"/>
            <w:tcBorders>
              <w:top w:val="nil"/>
              <w:left w:val="single" w:sz="6" w:space="0" w:color="auto"/>
              <w:bottom w:val="nil"/>
              <w:right w:val="single" w:sz="6" w:space="0" w:color="auto"/>
            </w:tcBorders>
            <w:shd w:val="clear" w:color="auto" w:fill="auto"/>
            <w:noWrap/>
            <w:hideMark/>
          </w:tcPr>
          <w:p w14:paraId="100F1C34" w14:textId="77777777" w:rsidR="00E84D06" w:rsidRPr="00005453" w:rsidRDefault="00E84D06" w:rsidP="00E84D06">
            <w:pPr>
              <w:rPr>
                <w:color w:val="000000"/>
                <w:sz w:val="14"/>
                <w:szCs w:val="14"/>
                <w:lang w:eastAsia="tr-TR"/>
              </w:rPr>
            </w:pPr>
            <w:r w:rsidRPr="00005453">
              <w:rPr>
                <w:color w:val="000000"/>
                <w:sz w:val="14"/>
                <w:szCs w:val="14"/>
                <w:lang w:val="en-US" w:eastAsia="tr-TR"/>
              </w:rPr>
              <w:t>Bankalar Hesabındaki Net (Artış) Azalış</w:t>
            </w:r>
          </w:p>
        </w:tc>
        <w:tc>
          <w:tcPr>
            <w:tcW w:w="679" w:type="dxa"/>
            <w:tcBorders>
              <w:top w:val="nil"/>
              <w:left w:val="single" w:sz="6" w:space="0" w:color="auto"/>
              <w:bottom w:val="nil"/>
              <w:right w:val="single" w:sz="6" w:space="0" w:color="auto"/>
            </w:tcBorders>
            <w:shd w:val="clear" w:color="auto" w:fill="auto"/>
            <w:noWrap/>
            <w:hideMark/>
          </w:tcPr>
          <w:p w14:paraId="2EB9B349"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251FBA6F" w14:textId="62527FB8" w:rsidR="00E84D06" w:rsidRPr="00005453" w:rsidRDefault="00E84D06" w:rsidP="00A01767">
            <w:pPr>
              <w:jc w:val="right"/>
              <w:rPr>
                <w:color w:val="000000"/>
                <w:sz w:val="16"/>
                <w:szCs w:val="14"/>
              </w:rPr>
            </w:pPr>
            <w:r w:rsidRPr="00005453">
              <w:rPr>
                <w:color w:val="000000"/>
                <w:sz w:val="16"/>
                <w:szCs w:val="22"/>
              </w:rPr>
              <w:t>(31,429,043)</w:t>
            </w:r>
          </w:p>
        </w:tc>
        <w:tc>
          <w:tcPr>
            <w:tcW w:w="1721" w:type="dxa"/>
            <w:tcBorders>
              <w:top w:val="nil"/>
              <w:left w:val="single" w:sz="6" w:space="0" w:color="auto"/>
              <w:bottom w:val="nil"/>
              <w:right w:val="single" w:sz="6" w:space="0" w:color="auto"/>
            </w:tcBorders>
            <w:shd w:val="clear" w:color="auto" w:fill="auto"/>
            <w:noWrap/>
            <w:vAlign w:val="center"/>
            <w:hideMark/>
          </w:tcPr>
          <w:p w14:paraId="4D3FEFAB" w14:textId="12B6C283" w:rsidR="00E84D06" w:rsidRPr="00005453" w:rsidRDefault="00E84D06" w:rsidP="00A01767">
            <w:pPr>
              <w:jc w:val="right"/>
              <w:rPr>
                <w:color w:val="000000"/>
                <w:sz w:val="14"/>
                <w:szCs w:val="14"/>
                <w:lang w:eastAsia="tr-TR"/>
              </w:rPr>
            </w:pPr>
            <w:r w:rsidRPr="00005453">
              <w:rPr>
                <w:color w:val="000000"/>
                <w:sz w:val="14"/>
                <w:szCs w:val="14"/>
              </w:rPr>
              <w:t>(34,872,176)</w:t>
            </w:r>
          </w:p>
        </w:tc>
      </w:tr>
      <w:tr w:rsidR="00E84D06" w:rsidRPr="00005453" w14:paraId="6DA46125"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58F85459" w14:textId="77777777" w:rsidR="00E84D06" w:rsidRPr="00005453" w:rsidRDefault="00E84D06" w:rsidP="00E84D06">
            <w:pPr>
              <w:rPr>
                <w:color w:val="000000"/>
                <w:sz w:val="14"/>
                <w:szCs w:val="14"/>
                <w:lang w:eastAsia="tr-TR"/>
              </w:rPr>
            </w:pPr>
            <w:r w:rsidRPr="00005453">
              <w:rPr>
                <w:color w:val="000000"/>
                <w:sz w:val="14"/>
                <w:szCs w:val="14"/>
                <w:lang w:val="en-US" w:eastAsia="tr-TR"/>
              </w:rPr>
              <w:t>1.2.3</w:t>
            </w:r>
          </w:p>
        </w:tc>
        <w:tc>
          <w:tcPr>
            <w:tcW w:w="4824" w:type="dxa"/>
            <w:tcBorders>
              <w:top w:val="nil"/>
              <w:left w:val="single" w:sz="6" w:space="0" w:color="auto"/>
              <w:bottom w:val="nil"/>
              <w:right w:val="single" w:sz="6" w:space="0" w:color="auto"/>
            </w:tcBorders>
            <w:shd w:val="clear" w:color="auto" w:fill="auto"/>
            <w:noWrap/>
            <w:hideMark/>
          </w:tcPr>
          <w:p w14:paraId="49C8CFE5" w14:textId="77777777" w:rsidR="00E84D06" w:rsidRPr="00005453" w:rsidRDefault="00E84D06" w:rsidP="00E84D06">
            <w:pPr>
              <w:rPr>
                <w:color w:val="000000"/>
                <w:sz w:val="14"/>
                <w:szCs w:val="14"/>
                <w:lang w:eastAsia="tr-TR"/>
              </w:rPr>
            </w:pPr>
            <w:r w:rsidRPr="00005453">
              <w:rPr>
                <w:color w:val="000000"/>
                <w:sz w:val="14"/>
                <w:szCs w:val="14"/>
                <w:lang w:val="en-US" w:eastAsia="tr-TR"/>
              </w:rPr>
              <w:t>Kredilerdeki Net (Artış) Azalış</w:t>
            </w:r>
          </w:p>
        </w:tc>
        <w:tc>
          <w:tcPr>
            <w:tcW w:w="679" w:type="dxa"/>
            <w:tcBorders>
              <w:top w:val="nil"/>
              <w:left w:val="single" w:sz="6" w:space="0" w:color="auto"/>
              <w:bottom w:val="nil"/>
              <w:right w:val="single" w:sz="6" w:space="0" w:color="auto"/>
            </w:tcBorders>
            <w:shd w:val="clear" w:color="auto" w:fill="auto"/>
            <w:noWrap/>
            <w:hideMark/>
          </w:tcPr>
          <w:p w14:paraId="37DC5DCE"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C078AF8" w14:textId="551C1619" w:rsidR="00E84D06" w:rsidRPr="00005453" w:rsidRDefault="00E84D06" w:rsidP="00A01767">
            <w:pPr>
              <w:jc w:val="right"/>
              <w:rPr>
                <w:color w:val="000000"/>
                <w:sz w:val="16"/>
                <w:szCs w:val="14"/>
              </w:rPr>
            </w:pPr>
            <w:r w:rsidRPr="00005453">
              <w:rPr>
                <w:color w:val="000000"/>
                <w:sz w:val="16"/>
                <w:szCs w:val="22"/>
              </w:rPr>
              <w:t>(60,374,553)</w:t>
            </w:r>
          </w:p>
        </w:tc>
        <w:tc>
          <w:tcPr>
            <w:tcW w:w="1721" w:type="dxa"/>
            <w:tcBorders>
              <w:top w:val="nil"/>
              <w:left w:val="single" w:sz="6" w:space="0" w:color="auto"/>
              <w:bottom w:val="nil"/>
              <w:right w:val="single" w:sz="6" w:space="0" w:color="auto"/>
            </w:tcBorders>
            <w:shd w:val="clear" w:color="auto" w:fill="auto"/>
            <w:noWrap/>
            <w:vAlign w:val="center"/>
            <w:hideMark/>
          </w:tcPr>
          <w:p w14:paraId="686B0B7B" w14:textId="2299E904" w:rsidR="00E84D06" w:rsidRPr="00005453" w:rsidRDefault="00E84D06" w:rsidP="00A01767">
            <w:pPr>
              <w:jc w:val="right"/>
              <w:rPr>
                <w:color w:val="000000"/>
                <w:sz w:val="14"/>
                <w:szCs w:val="14"/>
                <w:lang w:eastAsia="tr-TR"/>
              </w:rPr>
            </w:pPr>
            <w:r w:rsidRPr="00005453">
              <w:rPr>
                <w:color w:val="000000"/>
                <w:sz w:val="14"/>
                <w:szCs w:val="14"/>
              </w:rPr>
              <w:t>(106,390,671)</w:t>
            </w:r>
          </w:p>
        </w:tc>
      </w:tr>
      <w:tr w:rsidR="00E84D06" w:rsidRPr="00005453" w14:paraId="3B0F251C"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562FC51F" w14:textId="77777777" w:rsidR="00E84D06" w:rsidRPr="00005453" w:rsidRDefault="00E84D06" w:rsidP="00E84D06">
            <w:pPr>
              <w:rPr>
                <w:color w:val="000000"/>
                <w:sz w:val="14"/>
                <w:szCs w:val="14"/>
                <w:lang w:eastAsia="tr-TR"/>
              </w:rPr>
            </w:pPr>
            <w:r w:rsidRPr="00005453">
              <w:rPr>
                <w:color w:val="000000"/>
                <w:sz w:val="14"/>
                <w:szCs w:val="14"/>
                <w:lang w:val="en-US" w:eastAsia="tr-TR"/>
              </w:rPr>
              <w:t>1.2.4</w:t>
            </w:r>
          </w:p>
        </w:tc>
        <w:tc>
          <w:tcPr>
            <w:tcW w:w="4824" w:type="dxa"/>
            <w:tcBorders>
              <w:top w:val="nil"/>
              <w:left w:val="single" w:sz="6" w:space="0" w:color="auto"/>
              <w:bottom w:val="nil"/>
              <w:right w:val="single" w:sz="6" w:space="0" w:color="auto"/>
            </w:tcBorders>
            <w:shd w:val="clear" w:color="auto" w:fill="auto"/>
            <w:noWrap/>
            <w:hideMark/>
          </w:tcPr>
          <w:p w14:paraId="01AA19B2" w14:textId="77777777" w:rsidR="00E84D06" w:rsidRPr="00005453" w:rsidRDefault="00E84D06" w:rsidP="00E84D06">
            <w:pPr>
              <w:rPr>
                <w:color w:val="000000"/>
                <w:sz w:val="14"/>
                <w:szCs w:val="14"/>
                <w:lang w:eastAsia="tr-TR"/>
              </w:rPr>
            </w:pPr>
            <w:r w:rsidRPr="00005453">
              <w:rPr>
                <w:color w:val="000000"/>
                <w:sz w:val="14"/>
                <w:szCs w:val="14"/>
                <w:lang w:val="en-US" w:eastAsia="tr-TR"/>
              </w:rPr>
              <w:t>Diğer Varlıklarda Net (Artış) Azalış</w:t>
            </w:r>
          </w:p>
        </w:tc>
        <w:tc>
          <w:tcPr>
            <w:tcW w:w="679" w:type="dxa"/>
            <w:tcBorders>
              <w:top w:val="nil"/>
              <w:left w:val="single" w:sz="6" w:space="0" w:color="auto"/>
              <w:bottom w:val="nil"/>
              <w:right w:val="single" w:sz="6" w:space="0" w:color="auto"/>
            </w:tcBorders>
            <w:shd w:val="clear" w:color="auto" w:fill="auto"/>
            <w:noWrap/>
            <w:hideMark/>
          </w:tcPr>
          <w:p w14:paraId="75A8768F" w14:textId="33E5A05D" w:rsidR="00E84D06" w:rsidRPr="00005453" w:rsidRDefault="00E84D06" w:rsidP="00E84D06">
            <w:pPr>
              <w:jc w:val="center"/>
              <w:rPr>
                <w:color w:val="000000"/>
                <w:sz w:val="14"/>
                <w:szCs w:val="14"/>
                <w:lang w:eastAsia="tr-TR"/>
              </w:rPr>
            </w:pPr>
            <w:r w:rsidRPr="00005453">
              <w:rPr>
                <w:color w:val="000000"/>
                <w:sz w:val="14"/>
                <w:szCs w:val="14"/>
                <w:lang w:eastAsia="tr-TR"/>
              </w:rPr>
              <w:t>(5.6.3)</w:t>
            </w:r>
          </w:p>
        </w:tc>
        <w:tc>
          <w:tcPr>
            <w:tcW w:w="1796" w:type="dxa"/>
            <w:tcBorders>
              <w:top w:val="nil"/>
              <w:left w:val="single" w:sz="6" w:space="0" w:color="auto"/>
              <w:bottom w:val="nil"/>
              <w:right w:val="single" w:sz="6" w:space="0" w:color="auto"/>
            </w:tcBorders>
            <w:shd w:val="clear" w:color="auto" w:fill="auto"/>
            <w:vAlign w:val="center"/>
            <w:hideMark/>
          </w:tcPr>
          <w:p w14:paraId="5AD9554B" w14:textId="61577ECA" w:rsidR="00E84D06" w:rsidRPr="00005453" w:rsidRDefault="00E84D06" w:rsidP="00A01767">
            <w:pPr>
              <w:jc w:val="right"/>
              <w:rPr>
                <w:color w:val="000000"/>
                <w:sz w:val="16"/>
                <w:szCs w:val="14"/>
              </w:rPr>
            </w:pPr>
            <w:r w:rsidRPr="00005453">
              <w:rPr>
                <w:color w:val="000000"/>
                <w:sz w:val="16"/>
                <w:szCs w:val="22"/>
              </w:rPr>
              <w:t>(12,054,124)</w:t>
            </w:r>
          </w:p>
        </w:tc>
        <w:tc>
          <w:tcPr>
            <w:tcW w:w="1721" w:type="dxa"/>
            <w:tcBorders>
              <w:top w:val="nil"/>
              <w:left w:val="single" w:sz="6" w:space="0" w:color="auto"/>
              <w:bottom w:val="nil"/>
              <w:right w:val="single" w:sz="6" w:space="0" w:color="auto"/>
            </w:tcBorders>
            <w:shd w:val="clear" w:color="auto" w:fill="auto"/>
            <w:noWrap/>
            <w:vAlign w:val="center"/>
            <w:hideMark/>
          </w:tcPr>
          <w:p w14:paraId="5EAA01AD" w14:textId="105A0D63" w:rsidR="00E84D06" w:rsidRPr="00005453" w:rsidRDefault="00E84D06" w:rsidP="00A01767">
            <w:pPr>
              <w:jc w:val="right"/>
              <w:rPr>
                <w:color w:val="000000"/>
                <w:sz w:val="14"/>
                <w:szCs w:val="14"/>
                <w:lang w:eastAsia="tr-TR"/>
              </w:rPr>
            </w:pPr>
            <w:r w:rsidRPr="00005453">
              <w:rPr>
                <w:color w:val="000000"/>
                <w:sz w:val="14"/>
                <w:szCs w:val="14"/>
              </w:rPr>
              <w:t>4,435,890</w:t>
            </w:r>
          </w:p>
        </w:tc>
      </w:tr>
      <w:tr w:rsidR="00E84D06" w:rsidRPr="00005453" w14:paraId="2A46C75F"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F0F8627" w14:textId="77777777" w:rsidR="00E84D06" w:rsidRPr="00005453" w:rsidRDefault="00E84D06" w:rsidP="00E84D06">
            <w:pPr>
              <w:rPr>
                <w:color w:val="000000"/>
                <w:sz w:val="14"/>
                <w:szCs w:val="14"/>
                <w:lang w:eastAsia="tr-TR"/>
              </w:rPr>
            </w:pPr>
            <w:r w:rsidRPr="00005453">
              <w:rPr>
                <w:color w:val="000000"/>
                <w:sz w:val="14"/>
                <w:szCs w:val="14"/>
                <w:lang w:val="en-US" w:eastAsia="tr-TR"/>
              </w:rPr>
              <w:t>1.2.5</w:t>
            </w:r>
          </w:p>
        </w:tc>
        <w:tc>
          <w:tcPr>
            <w:tcW w:w="4824" w:type="dxa"/>
            <w:tcBorders>
              <w:top w:val="nil"/>
              <w:left w:val="single" w:sz="6" w:space="0" w:color="auto"/>
              <w:bottom w:val="nil"/>
              <w:right w:val="single" w:sz="6" w:space="0" w:color="auto"/>
            </w:tcBorders>
            <w:shd w:val="clear" w:color="auto" w:fill="auto"/>
            <w:noWrap/>
            <w:hideMark/>
          </w:tcPr>
          <w:p w14:paraId="219A5DFC" w14:textId="77777777" w:rsidR="00E84D06" w:rsidRPr="00005453" w:rsidRDefault="00E84D06" w:rsidP="00E84D06">
            <w:pPr>
              <w:rPr>
                <w:color w:val="000000"/>
                <w:sz w:val="14"/>
                <w:szCs w:val="14"/>
                <w:lang w:eastAsia="tr-TR"/>
              </w:rPr>
            </w:pPr>
            <w:r w:rsidRPr="00005453">
              <w:rPr>
                <w:color w:val="000000"/>
                <w:sz w:val="14"/>
                <w:szCs w:val="14"/>
                <w:lang w:val="en-US" w:eastAsia="tr-TR"/>
              </w:rPr>
              <w:t>Bankalardan Toplanan Fonlarda Net Artış (Azalış)</w:t>
            </w:r>
          </w:p>
        </w:tc>
        <w:tc>
          <w:tcPr>
            <w:tcW w:w="679" w:type="dxa"/>
            <w:tcBorders>
              <w:top w:val="nil"/>
              <w:left w:val="single" w:sz="6" w:space="0" w:color="auto"/>
              <w:bottom w:val="nil"/>
              <w:right w:val="single" w:sz="6" w:space="0" w:color="auto"/>
            </w:tcBorders>
            <w:shd w:val="clear" w:color="auto" w:fill="auto"/>
            <w:noWrap/>
            <w:hideMark/>
          </w:tcPr>
          <w:p w14:paraId="3A1461E4"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AFC3D66" w14:textId="6CF3F51F" w:rsidR="00E84D06" w:rsidRPr="00005453" w:rsidRDefault="00E84D06" w:rsidP="00A01767">
            <w:pPr>
              <w:jc w:val="right"/>
              <w:rPr>
                <w:color w:val="000000"/>
                <w:sz w:val="16"/>
                <w:szCs w:val="14"/>
              </w:rPr>
            </w:pPr>
            <w:r w:rsidRPr="00005453">
              <w:rPr>
                <w:color w:val="000000"/>
                <w:sz w:val="16"/>
                <w:szCs w:val="22"/>
              </w:rPr>
              <w:t>1,722</w:t>
            </w:r>
          </w:p>
        </w:tc>
        <w:tc>
          <w:tcPr>
            <w:tcW w:w="1721" w:type="dxa"/>
            <w:tcBorders>
              <w:top w:val="nil"/>
              <w:left w:val="single" w:sz="6" w:space="0" w:color="auto"/>
              <w:bottom w:val="nil"/>
              <w:right w:val="single" w:sz="6" w:space="0" w:color="auto"/>
            </w:tcBorders>
            <w:shd w:val="clear" w:color="auto" w:fill="auto"/>
            <w:noWrap/>
            <w:vAlign w:val="center"/>
            <w:hideMark/>
          </w:tcPr>
          <w:p w14:paraId="79CC3629" w14:textId="11D2A2EE" w:rsidR="00E84D06" w:rsidRPr="00005453" w:rsidRDefault="00E84D06" w:rsidP="00A01767">
            <w:pPr>
              <w:jc w:val="right"/>
              <w:rPr>
                <w:color w:val="000000"/>
                <w:sz w:val="14"/>
                <w:szCs w:val="14"/>
                <w:lang w:eastAsia="tr-TR"/>
              </w:rPr>
            </w:pPr>
            <w:r w:rsidRPr="00005453">
              <w:rPr>
                <w:color w:val="000000"/>
                <w:sz w:val="14"/>
                <w:szCs w:val="14"/>
              </w:rPr>
              <w:t>(11,130)</w:t>
            </w:r>
          </w:p>
        </w:tc>
      </w:tr>
      <w:tr w:rsidR="00E84D06" w:rsidRPr="00005453" w14:paraId="0174CEE7"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85B4061" w14:textId="77777777" w:rsidR="00E84D06" w:rsidRPr="00005453" w:rsidRDefault="00E84D06" w:rsidP="00E84D06">
            <w:pPr>
              <w:rPr>
                <w:color w:val="000000"/>
                <w:sz w:val="14"/>
                <w:szCs w:val="14"/>
                <w:lang w:eastAsia="tr-TR"/>
              </w:rPr>
            </w:pPr>
            <w:r w:rsidRPr="00005453">
              <w:rPr>
                <w:color w:val="000000"/>
                <w:sz w:val="14"/>
                <w:szCs w:val="14"/>
                <w:lang w:val="en-US" w:eastAsia="tr-TR"/>
              </w:rPr>
              <w:t>1.2.6</w:t>
            </w:r>
          </w:p>
        </w:tc>
        <w:tc>
          <w:tcPr>
            <w:tcW w:w="4824" w:type="dxa"/>
            <w:tcBorders>
              <w:top w:val="nil"/>
              <w:left w:val="single" w:sz="6" w:space="0" w:color="auto"/>
              <w:bottom w:val="nil"/>
              <w:right w:val="single" w:sz="6" w:space="0" w:color="auto"/>
            </w:tcBorders>
            <w:shd w:val="clear" w:color="auto" w:fill="auto"/>
            <w:noWrap/>
            <w:hideMark/>
          </w:tcPr>
          <w:p w14:paraId="5FC1C445" w14:textId="77777777" w:rsidR="00E84D06" w:rsidRPr="00005453" w:rsidRDefault="00E84D06" w:rsidP="00E84D06">
            <w:pPr>
              <w:rPr>
                <w:color w:val="000000"/>
                <w:sz w:val="14"/>
                <w:szCs w:val="14"/>
                <w:lang w:eastAsia="tr-TR"/>
              </w:rPr>
            </w:pPr>
            <w:r w:rsidRPr="00005453">
              <w:rPr>
                <w:color w:val="000000"/>
                <w:sz w:val="14"/>
                <w:szCs w:val="14"/>
                <w:lang w:val="en-US" w:eastAsia="tr-TR"/>
              </w:rPr>
              <w:t>Diğer Toplanan Fonlarda Net Artış (Azalış)</w:t>
            </w:r>
          </w:p>
        </w:tc>
        <w:tc>
          <w:tcPr>
            <w:tcW w:w="679" w:type="dxa"/>
            <w:tcBorders>
              <w:top w:val="nil"/>
              <w:left w:val="single" w:sz="6" w:space="0" w:color="auto"/>
              <w:bottom w:val="nil"/>
              <w:right w:val="single" w:sz="6" w:space="0" w:color="auto"/>
            </w:tcBorders>
            <w:shd w:val="clear" w:color="auto" w:fill="auto"/>
            <w:noWrap/>
            <w:hideMark/>
          </w:tcPr>
          <w:p w14:paraId="27936ECC"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5E0E58E1" w14:textId="7D3365DC" w:rsidR="00E84D06" w:rsidRPr="00005453" w:rsidRDefault="00E84D06" w:rsidP="00A01767">
            <w:pPr>
              <w:jc w:val="right"/>
              <w:rPr>
                <w:color w:val="000000"/>
                <w:sz w:val="16"/>
                <w:szCs w:val="14"/>
              </w:rPr>
            </w:pPr>
            <w:r w:rsidRPr="00005453">
              <w:rPr>
                <w:color w:val="000000"/>
                <w:sz w:val="16"/>
                <w:szCs w:val="22"/>
              </w:rPr>
              <w:t>(401,403)</w:t>
            </w:r>
          </w:p>
        </w:tc>
        <w:tc>
          <w:tcPr>
            <w:tcW w:w="1721" w:type="dxa"/>
            <w:tcBorders>
              <w:top w:val="nil"/>
              <w:left w:val="single" w:sz="6" w:space="0" w:color="auto"/>
              <w:bottom w:val="nil"/>
              <w:right w:val="single" w:sz="6" w:space="0" w:color="auto"/>
            </w:tcBorders>
            <w:shd w:val="clear" w:color="auto" w:fill="auto"/>
            <w:noWrap/>
            <w:vAlign w:val="center"/>
            <w:hideMark/>
          </w:tcPr>
          <w:p w14:paraId="6774A898" w14:textId="08D3751F" w:rsidR="00E84D06" w:rsidRPr="00005453" w:rsidRDefault="00E84D06" w:rsidP="00A01767">
            <w:pPr>
              <w:jc w:val="right"/>
              <w:rPr>
                <w:color w:val="000000"/>
                <w:sz w:val="14"/>
                <w:szCs w:val="14"/>
                <w:lang w:eastAsia="tr-TR"/>
              </w:rPr>
            </w:pPr>
            <w:r w:rsidRPr="00005453">
              <w:rPr>
                <w:color w:val="000000"/>
                <w:sz w:val="14"/>
                <w:szCs w:val="14"/>
              </w:rPr>
              <w:t>137,093,160</w:t>
            </w:r>
          </w:p>
        </w:tc>
      </w:tr>
      <w:tr w:rsidR="00E84D06" w:rsidRPr="00005453" w14:paraId="2A3607F0"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93214CF" w14:textId="77777777" w:rsidR="00E84D06" w:rsidRPr="00005453" w:rsidRDefault="00E84D06" w:rsidP="00E84D06">
            <w:pPr>
              <w:rPr>
                <w:color w:val="000000"/>
                <w:sz w:val="14"/>
                <w:szCs w:val="14"/>
                <w:lang w:eastAsia="tr-TR"/>
              </w:rPr>
            </w:pPr>
            <w:r w:rsidRPr="00005453">
              <w:rPr>
                <w:color w:val="000000"/>
                <w:sz w:val="14"/>
                <w:szCs w:val="14"/>
                <w:lang w:val="en-US" w:eastAsia="tr-TR"/>
              </w:rPr>
              <w:t>1.2.7</w:t>
            </w:r>
          </w:p>
        </w:tc>
        <w:tc>
          <w:tcPr>
            <w:tcW w:w="4824" w:type="dxa"/>
            <w:tcBorders>
              <w:top w:val="nil"/>
              <w:left w:val="single" w:sz="6" w:space="0" w:color="auto"/>
              <w:bottom w:val="nil"/>
              <w:right w:val="single" w:sz="6" w:space="0" w:color="auto"/>
            </w:tcBorders>
            <w:shd w:val="clear" w:color="auto" w:fill="auto"/>
            <w:noWrap/>
            <w:hideMark/>
          </w:tcPr>
          <w:p w14:paraId="11553F71" w14:textId="77777777" w:rsidR="00E84D06" w:rsidRPr="00005453" w:rsidRDefault="00E84D06" w:rsidP="00E84D06">
            <w:pPr>
              <w:rPr>
                <w:color w:val="000000"/>
                <w:sz w:val="14"/>
                <w:szCs w:val="14"/>
                <w:lang w:eastAsia="tr-TR"/>
              </w:rPr>
            </w:pPr>
            <w:r w:rsidRPr="00005453">
              <w:rPr>
                <w:color w:val="000000"/>
                <w:sz w:val="14"/>
                <w:szCs w:val="14"/>
                <w:lang w:eastAsia="tr-TR"/>
              </w:rPr>
              <w:t>Gerçeğe Uygun Değer Farkı K/Z'a Yansıtılan FY'lerde Net Artış (Azalış)</w:t>
            </w:r>
          </w:p>
        </w:tc>
        <w:tc>
          <w:tcPr>
            <w:tcW w:w="679" w:type="dxa"/>
            <w:tcBorders>
              <w:top w:val="nil"/>
              <w:left w:val="single" w:sz="6" w:space="0" w:color="auto"/>
              <w:bottom w:val="nil"/>
              <w:right w:val="single" w:sz="6" w:space="0" w:color="auto"/>
            </w:tcBorders>
            <w:shd w:val="clear" w:color="auto" w:fill="auto"/>
            <w:noWrap/>
            <w:hideMark/>
          </w:tcPr>
          <w:p w14:paraId="0E6F82D5"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66FAE25E" w14:textId="6635712B" w:rsidR="00E84D06" w:rsidRPr="00005453" w:rsidRDefault="00E84D06" w:rsidP="00A01767">
            <w:pPr>
              <w:jc w:val="right"/>
              <w:rPr>
                <w:color w:val="000000"/>
                <w:sz w:val="16"/>
                <w:szCs w:val="14"/>
              </w:rPr>
            </w:pPr>
            <w:r w:rsidRPr="00005453">
              <w:rPr>
                <w:color w:val="000000"/>
                <w:sz w:val="16"/>
                <w:szCs w:val="22"/>
              </w:rPr>
              <w:t>-</w:t>
            </w:r>
          </w:p>
        </w:tc>
        <w:tc>
          <w:tcPr>
            <w:tcW w:w="1721" w:type="dxa"/>
            <w:tcBorders>
              <w:top w:val="nil"/>
              <w:left w:val="single" w:sz="6" w:space="0" w:color="auto"/>
              <w:bottom w:val="nil"/>
              <w:right w:val="single" w:sz="6" w:space="0" w:color="auto"/>
            </w:tcBorders>
            <w:shd w:val="clear" w:color="auto" w:fill="auto"/>
            <w:noWrap/>
            <w:vAlign w:val="center"/>
            <w:hideMark/>
          </w:tcPr>
          <w:p w14:paraId="41CB2ACE" w14:textId="58728A67" w:rsidR="00E84D06" w:rsidRPr="00005453" w:rsidRDefault="00E84D06" w:rsidP="00A01767">
            <w:pPr>
              <w:jc w:val="right"/>
              <w:rPr>
                <w:color w:val="000000"/>
                <w:sz w:val="14"/>
                <w:szCs w:val="14"/>
                <w:lang w:eastAsia="tr-TR"/>
              </w:rPr>
            </w:pPr>
            <w:r w:rsidRPr="00005453">
              <w:rPr>
                <w:color w:val="000000"/>
                <w:sz w:val="14"/>
                <w:szCs w:val="14"/>
              </w:rPr>
              <w:t>-</w:t>
            </w:r>
          </w:p>
        </w:tc>
      </w:tr>
      <w:tr w:rsidR="00E84D06" w:rsidRPr="00005453" w14:paraId="4CDDF8C6"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5DB59A0" w14:textId="77777777" w:rsidR="00E84D06" w:rsidRPr="00005453" w:rsidRDefault="00E84D06" w:rsidP="00E84D06">
            <w:pPr>
              <w:rPr>
                <w:color w:val="000000"/>
                <w:sz w:val="14"/>
                <w:szCs w:val="14"/>
                <w:lang w:eastAsia="tr-TR"/>
              </w:rPr>
            </w:pPr>
            <w:r w:rsidRPr="00005453">
              <w:rPr>
                <w:color w:val="000000"/>
                <w:sz w:val="14"/>
                <w:szCs w:val="14"/>
                <w:lang w:val="en-US" w:eastAsia="tr-TR"/>
              </w:rPr>
              <w:t>1.2.8</w:t>
            </w:r>
          </w:p>
        </w:tc>
        <w:tc>
          <w:tcPr>
            <w:tcW w:w="4824" w:type="dxa"/>
            <w:tcBorders>
              <w:top w:val="nil"/>
              <w:left w:val="single" w:sz="6" w:space="0" w:color="auto"/>
              <w:bottom w:val="nil"/>
              <w:right w:val="single" w:sz="6" w:space="0" w:color="auto"/>
            </w:tcBorders>
            <w:shd w:val="clear" w:color="auto" w:fill="auto"/>
            <w:noWrap/>
            <w:hideMark/>
          </w:tcPr>
          <w:p w14:paraId="7B0A4E5A" w14:textId="77777777" w:rsidR="00E84D06" w:rsidRPr="00005453" w:rsidRDefault="00E84D06" w:rsidP="00E84D06">
            <w:pPr>
              <w:rPr>
                <w:color w:val="000000"/>
                <w:sz w:val="14"/>
                <w:szCs w:val="14"/>
                <w:lang w:eastAsia="tr-TR"/>
              </w:rPr>
            </w:pPr>
            <w:r w:rsidRPr="00005453">
              <w:rPr>
                <w:color w:val="000000"/>
                <w:sz w:val="14"/>
                <w:szCs w:val="14"/>
                <w:lang w:val="de-DE" w:eastAsia="tr-TR"/>
              </w:rPr>
              <w:t>Alınan Kredilerdeki Net Artış (Azalış)</w:t>
            </w:r>
          </w:p>
        </w:tc>
        <w:tc>
          <w:tcPr>
            <w:tcW w:w="679" w:type="dxa"/>
            <w:tcBorders>
              <w:top w:val="nil"/>
              <w:left w:val="single" w:sz="6" w:space="0" w:color="auto"/>
              <w:bottom w:val="nil"/>
              <w:right w:val="single" w:sz="6" w:space="0" w:color="auto"/>
            </w:tcBorders>
            <w:shd w:val="clear" w:color="auto" w:fill="auto"/>
            <w:noWrap/>
            <w:hideMark/>
          </w:tcPr>
          <w:p w14:paraId="556CBD05"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79C3911" w14:textId="539C81E8" w:rsidR="00E84D06" w:rsidRPr="00005453" w:rsidRDefault="00E84D06" w:rsidP="00A01767">
            <w:pPr>
              <w:jc w:val="right"/>
              <w:rPr>
                <w:color w:val="000000"/>
                <w:sz w:val="16"/>
                <w:szCs w:val="14"/>
              </w:rPr>
            </w:pPr>
            <w:r w:rsidRPr="00005453">
              <w:rPr>
                <w:color w:val="000000"/>
                <w:sz w:val="16"/>
                <w:szCs w:val="22"/>
              </w:rPr>
              <w:t>16,750,453</w:t>
            </w:r>
          </w:p>
        </w:tc>
        <w:tc>
          <w:tcPr>
            <w:tcW w:w="1721" w:type="dxa"/>
            <w:tcBorders>
              <w:top w:val="nil"/>
              <w:left w:val="single" w:sz="6" w:space="0" w:color="auto"/>
              <w:bottom w:val="nil"/>
              <w:right w:val="single" w:sz="6" w:space="0" w:color="auto"/>
            </w:tcBorders>
            <w:shd w:val="clear" w:color="auto" w:fill="auto"/>
            <w:noWrap/>
            <w:vAlign w:val="center"/>
            <w:hideMark/>
          </w:tcPr>
          <w:p w14:paraId="4F460942" w14:textId="1FFAC987" w:rsidR="00E84D06" w:rsidRPr="00005453" w:rsidRDefault="00E84D06" w:rsidP="00A01767">
            <w:pPr>
              <w:jc w:val="right"/>
              <w:rPr>
                <w:color w:val="000000"/>
                <w:sz w:val="14"/>
                <w:szCs w:val="14"/>
                <w:lang w:eastAsia="tr-TR"/>
              </w:rPr>
            </w:pPr>
            <w:r w:rsidRPr="00005453">
              <w:rPr>
                <w:color w:val="000000"/>
                <w:sz w:val="14"/>
                <w:szCs w:val="14"/>
              </w:rPr>
              <w:t>21,535,471</w:t>
            </w:r>
          </w:p>
        </w:tc>
      </w:tr>
      <w:tr w:rsidR="00E84D06" w:rsidRPr="00005453" w14:paraId="28CFDA2A"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A9DAEED" w14:textId="77777777" w:rsidR="00E84D06" w:rsidRPr="00005453" w:rsidRDefault="00E84D06" w:rsidP="00E84D06">
            <w:pPr>
              <w:rPr>
                <w:color w:val="000000"/>
                <w:sz w:val="14"/>
                <w:szCs w:val="14"/>
                <w:lang w:eastAsia="tr-TR"/>
              </w:rPr>
            </w:pPr>
            <w:r w:rsidRPr="00005453">
              <w:rPr>
                <w:color w:val="000000"/>
                <w:sz w:val="14"/>
                <w:szCs w:val="14"/>
                <w:lang w:val="en-US" w:eastAsia="tr-TR"/>
              </w:rPr>
              <w:t>1.2.9</w:t>
            </w:r>
          </w:p>
        </w:tc>
        <w:tc>
          <w:tcPr>
            <w:tcW w:w="4824" w:type="dxa"/>
            <w:tcBorders>
              <w:top w:val="nil"/>
              <w:left w:val="single" w:sz="6" w:space="0" w:color="auto"/>
              <w:bottom w:val="nil"/>
              <w:right w:val="single" w:sz="6" w:space="0" w:color="auto"/>
            </w:tcBorders>
            <w:shd w:val="clear" w:color="auto" w:fill="auto"/>
            <w:noWrap/>
            <w:hideMark/>
          </w:tcPr>
          <w:p w14:paraId="0E4CA2A0" w14:textId="77777777" w:rsidR="00E84D06" w:rsidRPr="00005453" w:rsidRDefault="00E84D06" w:rsidP="00E84D06">
            <w:pPr>
              <w:rPr>
                <w:color w:val="000000"/>
                <w:sz w:val="14"/>
                <w:szCs w:val="14"/>
                <w:lang w:eastAsia="tr-TR"/>
              </w:rPr>
            </w:pPr>
            <w:r w:rsidRPr="00005453">
              <w:rPr>
                <w:color w:val="000000"/>
                <w:sz w:val="14"/>
                <w:szCs w:val="14"/>
                <w:lang w:eastAsia="tr-TR"/>
              </w:rPr>
              <w:t>Vadesi Gelmiş Borçlarda Net Artış (Azalış)</w:t>
            </w:r>
          </w:p>
        </w:tc>
        <w:tc>
          <w:tcPr>
            <w:tcW w:w="679" w:type="dxa"/>
            <w:tcBorders>
              <w:top w:val="nil"/>
              <w:left w:val="single" w:sz="6" w:space="0" w:color="auto"/>
              <w:bottom w:val="nil"/>
              <w:right w:val="single" w:sz="6" w:space="0" w:color="auto"/>
            </w:tcBorders>
            <w:shd w:val="clear" w:color="auto" w:fill="auto"/>
            <w:noWrap/>
            <w:hideMark/>
          </w:tcPr>
          <w:p w14:paraId="2D079696"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728D6C1" w14:textId="7E06F963" w:rsidR="00E84D06" w:rsidRPr="00005453" w:rsidRDefault="00E84D06" w:rsidP="00A01767">
            <w:pPr>
              <w:jc w:val="right"/>
              <w:rPr>
                <w:color w:val="000000"/>
                <w:sz w:val="16"/>
                <w:szCs w:val="14"/>
              </w:rPr>
            </w:pPr>
            <w:r w:rsidRPr="00005453">
              <w:rPr>
                <w:color w:val="000000"/>
                <w:sz w:val="16"/>
                <w:szCs w:val="22"/>
              </w:rPr>
              <w:t>-</w:t>
            </w:r>
          </w:p>
        </w:tc>
        <w:tc>
          <w:tcPr>
            <w:tcW w:w="1721" w:type="dxa"/>
            <w:tcBorders>
              <w:top w:val="nil"/>
              <w:left w:val="single" w:sz="6" w:space="0" w:color="auto"/>
              <w:bottom w:val="nil"/>
              <w:right w:val="single" w:sz="6" w:space="0" w:color="auto"/>
            </w:tcBorders>
            <w:shd w:val="clear" w:color="auto" w:fill="auto"/>
            <w:noWrap/>
            <w:vAlign w:val="center"/>
            <w:hideMark/>
          </w:tcPr>
          <w:p w14:paraId="14C370EC" w14:textId="1707D554" w:rsidR="00E84D06" w:rsidRPr="00005453" w:rsidRDefault="00E84D06" w:rsidP="00A01767">
            <w:pPr>
              <w:jc w:val="right"/>
              <w:rPr>
                <w:color w:val="000000"/>
                <w:sz w:val="14"/>
                <w:szCs w:val="14"/>
                <w:lang w:eastAsia="tr-TR"/>
              </w:rPr>
            </w:pPr>
            <w:r w:rsidRPr="00005453">
              <w:rPr>
                <w:color w:val="000000"/>
                <w:sz w:val="14"/>
                <w:szCs w:val="14"/>
              </w:rPr>
              <w:t>-</w:t>
            </w:r>
          </w:p>
        </w:tc>
      </w:tr>
      <w:tr w:rsidR="00E84D06" w:rsidRPr="00005453" w14:paraId="7824D0F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8F13B39" w14:textId="77777777" w:rsidR="00E84D06" w:rsidRPr="00005453" w:rsidRDefault="00E84D06" w:rsidP="00E84D06">
            <w:pPr>
              <w:rPr>
                <w:color w:val="000000"/>
                <w:sz w:val="14"/>
                <w:szCs w:val="14"/>
                <w:lang w:eastAsia="tr-TR"/>
              </w:rPr>
            </w:pPr>
            <w:r w:rsidRPr="00005453">
              <w:rPr>
                <w:color w:val="000000"/>
                <w:sz w:val="14"/>
                <w:szCs w:val="14"/>
                <w:lang w:val="en-US" w:eastAsia="tr-TR"/>
              </w:rPr>
              <w:t>1.2.10</w:t>
            </w:r>
          </w:p>
        </w:tc>
        <w:tc>
          <w:tcPr>
            <w:tcW w:w="4824" w:type="dxa"/>
            <w:tcBorders>
              <w:top w:val="nil"/>
              <w:left w:val="single" w:sz="6" w:space="0" w:color="auto"/>
              <w:bottom w:val="nil"/>
              <w:right w:val="single" w:sz="6" w:space="0" w:color="auto"/>
            </w:tcBorders>
            <w:shd w:val="clear" w:color="auto" w:fill="auto"/>
            <w:noWrap/>
            <w:hideMark/>
          </w:tcPr>
          <w:p w14:paraId="6979DBDC" w14:textId="77777777" w:rsidR="00E84D06" w:rsidRPr="00005453" w:rsidRDefault="00E84D06" w:rsidP="00E84D06">
            <w:pPr>
              <w:rPr>
                <w:color w:val="000000"/>
                <w:sz w:val="14"/>
                <w:szCs w:val="14"/>
                <w:lang w:eastAsia="tr-TR"/>
              </w:rPr>
            </w:pPr>
            <w:r w:rsidRPr="00005453">
              <w:rPr>
                <w:color w:val="000000"/>
                <w:sz w:val="14"/>
                <w:szCs w:val="14"/>
                <w:lang w:val="en-US" w:eastAsia="tr-TR"/>
              </w:rPr>
              <w:t>Diğer Borçlarda Net Artış (Azalış)</w:t>
            </w:r>
          </w:p>
        </w:tc>
        <w:tc>
          <w:tcPr>
            <w:tcW w:w="679" w:type="dxa"/>
            <w:tcBorders>
              <w:top w:val="nil"/>
              <w:left w:val="single" w:sz="6" w:space="0" w:color="auto"/>
              <w:bottom w:val="nil"/>
              <w:right w:val="single" w:sz="6" w:space="0" w:color="auto"/>
            </w:tcBorders>
            <w:shd w:val="clear" w:color="auto" w:fill="auto"/>
            <w:noWrap/>
            <w:hideMark/>
          </w:tcPr>
          <w:p w14:paraId="02F4852E" w14:textId="34C8FF5F" w:rsidR="00E84D06" w:rsidRPr="00005453" w:rsidRDefault="00E84D06" w:rsidP="00E84D06">
            <w:pPr>
              <w:jc w:val="center"/>
              <w:rPr>
                <w:color w:val="000000"/>
                <w:sz w:val="14"/>
                <w:szCs w:val="14"/>
                <w:lang w:eastAsia="tr-TR"/>
              </w:rPr>
            </w:pPr>
            <w:r w:rsidRPr="00005453">
              <w:rPr>
                <w:color w:val="000000"/>
                <w:sz w:val="14"/>
                <w:szCs w:val="14"/>
                <w:lang w:eastAsia="tr-TR"/>
              </w:rPr>
              <w:t>(5.6.3)</w:t>
            </w:r>
          </w:p>
        </w:tc>
        <w:tc>
          <w:tcPr>
            <w:tcW w:w="1796" w:type="dxa"/>
            <w:tcBorders>
              <w:top w:val="nil"/>
              <w:left w:val="single" w:sz="6" w:space="0" w:color="auto"/>
              <w:bottom w:val="nil"/>
              <w:right w:val="single" w:sz="6" w:space="0" w:color="auto"/>
            </w:tcBorders>
            <w:shd w:val="clear" w:color="auto" w:fill="auto"/>
            <w:vAlign w:val="center"/>
            <w:hideMark/>
          </w:tcPr>
          <w:p w14:paraId="79A5EBA8" w14:textId="73C73F05" w:rsidR="00E84D06" w:rsidRPr="00005453" w:rsidRDefault="00E84D06" w:rsidP="00A01767">
            <w:pPr>
              <w:jc w:val="right"/>
              <w:rPr>
                <w:color w:val="000000"/>
                <w:sz w:val="16"/>
                <w:szCs w:val="14"/>
              </w:rPr>
            </w:pPr>
            <w:r w:rsidRPr="00005453">
              <w:rPr>
                <w:color w:val="000000"/>
                <w:sz w:val="16"/>
                <w:szCs w:val="22"/>
              </w:rPr>
              <w:t>19,150,014</w:t>
            </w:r>
          </w:p>
        </w:tc>
        <w:tc>
          <w:tcPr>
            <w:tcW w:w="1721" w:type="dxa"/>
            <w:tcBorders>
              <w:top w:val="nil"/>
              <w:left w:val="single" w:sz="6" w:space="0" w:color="auto"/>
              <w:bottom w:val="nil"/>
              <w:right w:val="single" w:sz="6" w:space="0" w:color="auto"/>
            </w:tcBorders>
            <w:shd w:val="clear" w:color="auto" w:fill="auto"/>
            <w:noWrap/>
            <w:vAlign w:val="center"/>
            <w:hideMark/>
          </w:tcPr>
          <w:p w14:paraId="6D4E83D7" w14:textId="00E3F2CE" w:rsidR="00E84D06" w:rsidRPr="00005453" w:rsidRDefault="00E84D06" w:rsidP="00A01767">
            <w:pPr>
              <w:jc w:val="right"/>
              <w:rPr>
                <w:color w:val="000000"/>
                <w:sz w:val="14"/>
                <w:szCs w:val="14"/>
                <w:lang w:eastAsia="tr-TR"/>
              </w:rPr>
            </w:pPr>
            <w:r w:rsidRPr="00005453">
              <w:rPr>
                <w:color w:val="000000"/>
                <w:sz w:val="14"/>
                <w:szCs w:val="14"/>
              </w:rPr>
              <w:t>7,465,137</w:t>
            </w:r>
          </w:p>
        </w:tc>
      </w:tr>
      <w:tr w:rsidR="008755B7" w:rsidRPr="00005453" w14:paraId="5AB614A3"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771189A"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08C99E72"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39D02E5E"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28F9369" w14:textId="29D789F6"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5916CCA7" w14:textId="43E682C1" w:rsidR="008755B7" w:rsidRPr="00005453" w:rsidRDefault="008755B7" w:rsidP="00A01767">
            <w:pPr>
              <w:jc w:val="right"/>
              <w:rPr>
                <w:b/>
                <w:bCs/>
                <w:color w:val="000000"/>
                <w:sz w:val="10"/>
                <w:szCs w:val="10"/>
                <w:lang w:eastAsia="tr-TR"/>
              </w:rPr>
            </w:pPr>
          </w:p>
        </w:tc>
      </w:tr>
      <w:tr w:rsidR="008755B7" w:rsidRPr="00005453" w14:paraId="4F083EF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6428643"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I.</w:t>
            </w:r>
          </w:p>
        </w:tc>
        <w:tc>
          <w:tcPr>
            <w:tcW w:w="4824" w:type="dxa"/>
            <w:tcBorders>
              <w:top w:val="nil"/>
              <w:left w:val="single" w:sz="6" w:space="0" w:color="auto"/>
              <w:bottom w:val="nil"/>
              <w:right w:val="single" w:sz="6" w:space="0" w:color="auto"/>
            </w:tcBorders>
            <w:shd w:val="clear" w:color="auto" w:fill="auto"/>
            <w:noWrap/>
            <w:hideMark/>
          </w:tcPr>
          <w:p w14:paraId="1125720A" w14:textId="77777777" w:rsidR="008755B7" w:rsidRPr="00005453" w:rsidRDefault="008755B7" w:rsidP="008755B7">
            <w:pPr>
              <w:rPr>
                <w:b/>
                <w:bCs/>
                <w:color w:val="000000"/>
                <w:sz w:val="14"/>
                <w:szCs w:val="14"/>
                <w:lang w:eastAsia="tr-TR"/>
              </w:rPr>
            </w:pPr>
            <w:r w:rsidRPr="00005453">
              <w:rPr>
                <w:b/>
                <w:bCs/>
                <w:color w:val="000000"/>
                <w:sz w:val="14"/>
                <w:szCs w:val="14"/>
                <w:lang w:val="de-DE" w:eastAsia="tr-TR"/>
              </w:rPr>
              <w:t>Bankacılık Faaliyetlerinden Kaynaklanan Net Nakit Akışı</w:t>
            </w:r>
          </w:p>
        </w:tc>
        <w:tc>
          <w:tcPr>
            <w:tcW w:w="679" w:type="dxa"/>
            <w:tcBorders>
              <w:top w:val="nil"/>
              <w:left w:val="single" w:sz="6" w:space="0" w:color="auto"/>
              <w:bottom w:val="nil"/>
              <w:right w:val="single" w:sz="6" w:space="0" w:color="auto"/>
            </w:tcBorders>
            <w:shd w:val="clear" w:color="auto" w:fill="auto"/>
            <w:noWrap/>
            <w:hideMark/>
          </w:tcPr>
          <w:p w14:paraId="649497DD"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392D5E6" w14:textId="21E4F484" w:rsidR="008755B7" w:rsidRPr="00005453" w:rsidRDefault="00E84D06" w:rsidP="00A01767">
            <w:pPr>
              <w:jc w:val="right"/>
              <w:rPr>
                <w:b/>
                <w:color w:val="000000"/>
                <w:sz w:val="14"/>
                <w:szCs w:val="14"/>
              </w:rPr>
            </w:pPr>
            <w:r w:rsidRPr="00005453">
              <w:rPr>
                <w:b/>
                <w:color w:val="000000"/>
                <w:sz w:val="14"/>
                <w:szCs w:val="14"/>
              </w:rPr>
              <w:t>20</w:t>
            </w:r>
            <w:r w:rsidR="008755B7" w:rsidRPr="00005453">
              <w:rPr>
                <w:b/>
                <w:color w:val="000000"/>
                <w:sz w:val="14"/>
                <w:szCs w:val="14"/>
              </w:rPr>
              <w:t>,</w:t>
            </w:r>
            <w:r w:rsidRPr="00005453">
              <w:rPr>
                <w:b/>
                <w:color w:val="000000"/>
                <w:sz w:val="14"/>
                <w:szCs w:val="14"/>
              </w:rPr>
              <w:t>724</w:t>
            </w:r>
            <w:r w:rsidR="008755B7" w:rsidRPr="00005453">
              <w:rPr>
                <w:b/>
                <w:color w:val="000000"/>
                <w:sz w:val="14"/>
                <w:szCs w:val="14"/>
              </w:rPr>
              <w:t>,</w:t>
            </w:r>
            <w:r w:rsidRPr="00005453">
              <w:rPr>
                <w:b/>
                <w:color w:val="000000"/>
                <w:sz w:val="14"/>
                <w:szCs w:val="14"/>
              </w:rPr>
              <w:t>69</w:t>
            </w:r>
            <w:r w:rsidR="008755B7" w:rsidRPr="00005453">
              <w:rPr>
                <w:b/>
                <w:color w:val="000000"/>
                <w:sz w:val="14"/>
                <w:szCs w:val="14"/>
              </w:rPr>
              <w:t>0</w:t>
            </w:r>
          </w:p>
        </w:tc>
        <w:tc>
          <w:tcPr>
            <w:tcW w:w="1721" w:type="dxa"/>
            <w:tcBorders>
              <w:top w:val="nil"/>
              <w:left w:val="single" w:sz="6" w:space="0" w:color="auto"/>
              <w:bottom w:val="nil"/>
              <w:right w:val="single" w:sz="6" w:space="0" w:color="auto"/>
            </w:tcBorders>
            <w:shd w:val="clear" w:color="auto" w:fill="auto"/>
            <w:noWrap/>
            <w:vAlign w:val="center"/>
            <w:hideMark/>
          </w:tcPr>
          <w:p w14:paraId="23249F84" w14:textId="2AEAD5C0" w:rsidR="008755B7" w:rsidRPr="00005453" w:rsidRDefault="008755B7" w:rsidP="00A01767">
            <w:pPr>
              <w:jc w:val="right"/>
              <w:rPr>
                <w:b/>
                <w:bCs/>
                <w:color w:val="000000"/>
                <w:sz w:val="14"/>
                <w:szCs w:val="14"/>
                <w:lang w:eastAsia="tr-TR"/>
              </w:rPr>
            </w:pPr>
            <w:r w:rsidRPr="00005453">
              <w:rPr>
                <w:b/>
                <w:color w:val="000000"/>
                <w:sz w:val="14"/>
                <w:szCs w:val="14"/>
              </w:rPr>
              <w:t>39,106,580</w:t>
            </w:r>
          </w:p>
        </w:tc>
      </w:tr>
      <w:tr w:rsidR="008755B7" w:rsidRPr="00005453" w14:paraId="0B11C226"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A63F2BB"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3763AC7A"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05DC952C"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7A536C15" w14:textId="6B1A273F" w:rsidR="008755B7" w:rsidRPr="00005453" w:rsidRDefault="008755B7" w:rsidP="00A01767">
            <w:pPr>
              <w:jc w:val="right"/>
              <w:rPr>
                <w:b/>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6D665D2F" w14:textId="5FA1C436" w:rsidR="008755B7" w:rsidRPr="00005453" w:rsidRDefault="008755B7" w:rsidP="00A01767">
            <w:pPr>
              <w:jc w:val="right"/>
              <w:rPr>
                <w:b/>
                <w:bCs/>
                <w:color w:val="000000"/>
                <w:sz w:val="10"/>
                <w:szCs w:val="10"/>
                <w:lang w:eastAsia="tr-TR"/>
              </w:rPr>
            </w:pPr>
          </w:p>
        </w:tc>
      </w:tr>
      <w:tr w:rsidR="008755B7" w:rsidRPr="00005453" w14:paraId="08B610B6"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351D8D6"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B.</w:t>
            </w:r>
          </w:p>
        </w:tc>
        <w:tc>
          <w:tcPr>
            <w:tcW w:w="4824" w:type="dxa"/>
            <w:tcBorders>
              <w:top w:val="nil"/>
              <w:left w:val="single" w:sz="6" w:space="0" w:color="auto"/>
              <w:bottom w:val="nil"/>
              <w:right w:val="single" w:sz="6" w:space="0" w:color="auto"/>
            </w:tcBorders>
            <w:shd w:val="clear" w:color="auto" w:fill="auto"/>
            <w:noWrap/>
            <w:hideMark/>
          </w:tcPr>
          <w:p w14:paraId="35F869F3"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YATIRIM FAALİYETLERİNE İLİŞKİN NAKİT AKIŞLARI</w:t>
            </w:r>
          </w:p>
        </w:tc>
        <w:tc>
          <w:tcPr>
            <w:tcW w:w="679" w:type="dxa"/>
            <w:tcBorders>
              <w:top w:val="nil"/>
              <w:left w:val="single" w:sz="6" w:space="0" w:color="auto"/>
              <w:bottom w:val="nil"/>
              <w:right w:val="single" w:sz="6" w:space="0" w:color="auto"/>
            </w:tcBorders>
            <w:shd w:val="clear" w:color="auto" w:fill="auto"/>
            <w:noWrap/>
            <w:hideMark/>
          </w:tcPr>
          <w:p w14:paraId="160571D0"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69EBE691" w14:textId="2C150149" w:rsidR="008755B7" w:rsidRPr="00005453" w:rsidRDefault="008755B7" w:rsidP="00A01767">
            <w:pPr>
              <w:jc w:val="right"/>
              <w:rPr>
                <w:b/>
                <w:color w:val="000000"/>
                <w:sz w:val="14"/>
                <w:szCs w:val="14"/>
              </w:rPr>
            </w:pPr>
          </w:p>
        </w:tc>
        <w:tc>
          <w:tcPr>
            <w:tcW w:w="1721" w:type="dxa"/>
            <w:tcBorders>
              <w:top w:val="nil"/>
              <w:left w:val="single" w:sz="6" w:space="0" w:color="auto"/>
              <w:bottom w:val="nil"/>
              <w:right w:val="single" w:sz="6" w:space="0" w:color="auto"/>
            </w:tcBorders>
            <w:shd w:val="clear" w:color="auto" w:fill="auto"/>
            <w:noWrap/>
            <w:vAlign w:val="center"/>
            <w:hideMark/>
          </w:tcPr>
          <w:p w14:paraId="19F936C0" w14:textId="77777777" w:rsidR="008755B7" w:rsidRPr="00005453" w:rsidRDefault="008755B7" w:rsidP="00A01767">
            <w:pPr>
              <w:jc w:val="right"/>
              <w:rPr>
                <w:b/>
                <w:bCs/>
                <w:color w:val="000000"/>
                <w:sz w:val="14"/>
                <w:szCs w:val="14"/>
                <w:lang w:eastAsia="tr-TR"/>
              </w:rPr>
            </w:pPr>
          </w:p>
        </w:tc>
      </w:tr>
      <w:tr w:rsidR="008755B7" w:rsidRPr="00005453" w14:paraId="6D8F3679"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BABC8FE"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184A9EEE"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01BFBE19"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3EC69F3" w14:textId="656092DF" w:rsidR="008755B7" w:rsidRPr="00005453" w:rsidRDefault="008755B7" w:rsidP="00A01767">
            <w:pPr>
              <w:jc w:val="right"/>
              <w:rPr>
                <w:b/>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0FA950D8" w14:textId="5BF14393" w:rsidR="008755B7" w:rsidRPr="00005453" w:rsidRDefault="008755B7" w:rsidP="00A01767">
            <w:pPr>
              <w:jc w:val="right"/>
              <w:rPr>
                <w:b/>
                <w:bCs/>
                <w:color w:val="000000"/>
                <w:sz w:val="10"/>
                <w:szCs w:val="10"/>
                <w:lang w:eastAsia="tr-TR"/>
              </w:rPr>
            </w:pPr>
          </w:p>
        </w:tc>
      </w:tr>
      <w:tr w:rsidR="008755B7" w:rsidRPr="00005453" w14:paraId="6151A333"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2A29AF27"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II.</w:t>
            </w:r>
          </w:p>
        </w:tc>
        <w:tc>
          <w:tcPr>
            <w:tcW w:w="4824" w:type="dxa"/>
            <w:tcBorders>
              <w:top w:val="nil"/>
              <w:left w:val="single" w:sz="6" w:space="0" w:color="auto"/>
              <w:bottom w:val="nil"/>
              <w:right w:val="single" w:sz="6" w:space="0" w:color="auto"/>
            </w:tcBorders>
            <w:shd w:val="clear" w:color="auto" w:fill="auto"/>
            <w:noWrap/>
            <w:hideMark/>
          </w:tcPr>
          <w:p w14:paraId="1C3133ED" w14:textId="77777777" w:rsidR="008755B7" w:rsidRPr="00005453" w:rsidRDefault="008755B7" w:rsidP="008755B7">
            <w:pPr>
              <w:rPr>
                <w:b/>
                <w:bCs/>
                <w:color w:val="000000"/>
                <w:sz w:val="14"/>
                <w:szCs w:val="14"/>
                <w:lang w:eastAsia="tr-TR"/>
              </w:rPr>
            </w:pPr>
            <w:r w:rsidRPr="00005453">
              <w:rPr>
                <w:b/>
                <w:bCs/>
                <w:color w:val="000000"/>
                <w:sz w:val="14"/>
                <w:szCs w:val="14"/>
                <w:lang w:val="de-DE" w:eastAsia="tr-TR"/>
              </w:rPr>
              <w:t>Yatırım Faaliyetlerinden Kaynaklanan Net Nakit Akışı</w:t>
            </w:r>
          </w:p>
        </w:tc>
        <w:tc>
          <w:tcPr>
            <w:tcW w:w="679" w:type="dxa"/>
            <w:tcBorders>
              <w:top w:val="nil"/>
              <w:left w:val="single" w:sz="6" w:space="0" w:color="auto"/>
              <w:bottom w:val="nil"/>
              <w:right w:val="single" w:sz="6" w:space="0" w:color="auto"/>
            </w:tcBorders>
            <w:shd w:val="clear" w:color="auto" w:fill="auto"/>
            <w:noWrap/>
            <w:hideMark/>
          </w:tcPr>
          <w:p w14:paraId="26A1CCE3"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283DE660" w14:textId="4FFE1A22" w:rsidR="008755B7" w:rsidRPr="00005453" w:rsidRDefault="008755B7" w:rsidP="00A01767">
            <w:pPr>
              <w:jc w:val="right"/>
              <w:rPr>
                <w:b/>
                <w:color w:val="000000"/>
                <w:sz w:val="14"/>
                <w:szCs w:val="14"/>
              </w:rPr>
            </w:pPr>
            <w:r w:rsidRPr="00005453">
              <w:rPr>
                <w:b/>
                <w:color w:val="000000"/>
                <w:sz w:val="14"/>
                <w:szCs w:val="14"/>
              </w:rPr>
              <w:t>(</w:t>
            </w:r>
            <w:r w:rsidR="00E84D06" w:rsidRPr="00005453">
              <w:rPr>
                <w:b/>
                <w:color w:val="000000"/>
                <w:sz w:val="14"/>
                <w:szCs w:val="14"/>
              </w:rPr>
              <w:t>462</w:t>
            </w:r>
            <w:r w:rsidRPr="00005453">
              <w:rPr>
                <w:b/>
                <w:color w:val="000000"/>
                <w:sz w:val="14"/>
                <w:szCs w:val="14"/>
              </w:rPr>
              <w:t>,</w:t>
            </w:r>
            <w:r w:rsidR="00E84D06" w:rsidRPr="00005453">
              <w:rPr>
                <w:b/>
                <w:color w:val="000000"/>
                <w:sz w:val="14"/>
                <w:szCs w:val="14"/>
              </w:rPr>
              <w:t>472</w:t>
            </w:r>
            <w:r w:rsidRPr="00005453">
              <w:rPr>
                <w:b/>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69BBB668" w14:textId="414E7CFB" w:rsidR="008755B7" w:rsidRPr="00005453" w:rsidRDefault="008755B7" w:rsidP="00A01767">
            <w:pPr>
              <w:jc w:val="right"/>
              <w:rPr>
                <w:b/>
                <w:bCs/>
                <w:color w:val="000000"/>
                <w:sz w:val="14"/>
                <w:szCs w:val="14"/>
                <w:lang w:eastAsia="tr-TR"/>
              </w:rPr>
            </w:pPr>
            <w:r w:rsidRPr="00005453">
              <w:rPr>
                <w:b/>
                <w:color w:val="000000"/>
                <w:sz w:val="14"/>
                <w:szCs w:val="14"/>
              </w:rPr>
              <w:t>(47,124,849)</w:t>
            </w:r>
          </w:p>
        </w:tc>
      </w:tr>
      <w:tr w:rsidR="008755B7" w:rsidRPr="00005453" w14:paraId="2ECE3942"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3EEB931"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48434239"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5750721A"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43630C7" w14:textId="29D796D6"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6DFA1A42" w14:textId="7B1D91DB" w:rsidR="008755B7" w:rsidRPr="00005453" w:rsidRDefault="008755B7" w:rsidP="00A01767">
            <w:pPr>
              <w:jc w:val="right"/>
              <w:rPr>
                <w:b/>
                <w:bCs/>
                <w:color w:val="000000"/>
                <w:sz w:val="10"/>
                <w:szCs w:val="10"/>
                <w:lang w:eastAsia="tr-TR"/>
              </w:rPr>
            </w:pPr>
          </w:p>
        </w:tc>
      </w:tr>
      <w:tr w:rsidR="00E84D06" w:rsidRPr="00005453" w14:paraId="05015A07"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8776661" w14:textId="77777777" w:rsidR="00E84D06" w:rsidRPr="00005453" w:rsidRDefault="00E84D06" w:rsidP="00E84D06">
            <w:pPr>
              <w:rPr>
                <w:color w:val="000000"/>
                <w:sz w:val="14"/>
                <w:szCs w:val="14"/>
                <w:lang w:eastAsia="tr-TR"/>
              </w:rPr>
            </w:pPr>
            <w:r w:rsidRPr="00005453">
              <w:rPr>
                <w:color w:val="000000"/>
                <w:sz w:val="14"/>
                <w:szCs w:val="14"/>
                <w:lang w:val="en-US" w:eastAsia="tr-TR"/>
              </w:rPr>
              <w:t>2.1</w:t>
            </w:r>
          </w:p>
        </w:tc>
        <w:tc>
          <w:tcPr>
            <w:tcW w:w="4824" w:type="dxa"/>
            <w:tcBorders>
              <w:top w:val="nil"/>
              <w:left w:val="single" w:sz="6" w:space="0" w:color="auto"/>
              <w:bottom w:val="nil"/>
              <w:right w:val="single" w:sz="6" w:space="0" w:color="auto"/>
            </w:tcBorders>
            <w:shd w:val="clear" w:color="auto" w:fill="auto"/>
            <w:noWrap/>
            <w:hideMark/>
          </w:tcPr>
          <w:p w14:paraId="579F6311" w14:textId="77777777" w:rsidR="00E84D06" w:rsidRPr="00005453" w:rsidRDefault="00E84D06" w:rsidP="00E84D06">
            <w:pPr>
              <w:rPr>
                <w:color w:val="000000"/>
                <w:sz w:val="14"/>
                <w:szCs w:val="14"/>
                <w:lang w:eastAsia="tr-TR"/>
              </w:rPr>
            </w:pPr>
            <w:r w:rsidRPr="00005453">
              <w:rPr>
                <w:color w:val="000000"/>
                <w:sz w:val="14"/>
                <w:szCs w:val="14"/>
                <w:lang w:eastAsia="tr-TR"/>
              </w:rPr>
              <w:t>İktisap Edilen İştirakler, Bağlı Ortaklıklar ve Birlikte Kontrol Edilen Ortaklıklar (İş Ortaklıkları)</w:t>
            </w:r>
          </w:p>
        </w:tc>
        <w:tc>
          <w:tcPr>
            <w:tcW w:w="679" w:type="dxa"/>
            <w:tcBorders>
              <w:top w:val="nil"/>
              <w:left w:val="single" w:sz="6" w:space="0" w:color="auto"/>
              <w:bottom w:val="nil"/>
              <w:right w:val="single" w:sz="6" w:space="0" w:color="auto"/>
            </w:tcBorders>
            <w:shd w:val="clear" w:color="auto" w:fill="auto"/>
            <w:noWrap/>
            <w:hideMark/>
          </w:tcPr>
          <w:p w14:paraId="18A85620"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CFCC007" w14:textId="59BBB934" w:rsidR="00E84D06" w:rsidRPr="00005453" w:rsidRDefault="00E84D06" w:rsidP="00A01767">
            <w:pPr>
              <w:jc w:val="right"/>
              <w:rPr>
                <w:color w:val="000000"/>
                <w:sz w:val="14"/>
                <w:szCs w:val="14"/>
              </w:rPr>
            </w:pPr>
            <w:r w:rsidRPr="00005453">
              <w:rPr>
                <w:color w:val="000000"/>
                <w:sz w:val="14"/>
                <w:szCs w:val="22"/>
              </w:rPr>
              <w:t>(974,287)</w:t>
            </w:r>
          </w:p>
        </w:tc>
        <w:tc>
          <w:tcPr>
            <w:tcW w:w="1721" w:type="dxa"/>
            <w:tcBorders>
              <w:top w:val="nil"/>
              <w:left w:val="single" w:sz="6" w:space="0" w:color="auto"/>
              <w:bottom w:val="nil"/>
              <w:right w:val="single" w:sz="6" w:space="0" w:color="auto"/>
            </w:tcBorders>
            <w:shd w:val="clear" w:color="auto" w:fill="auto"/>
            <w:noWrap/>
            <w:vAlign w:val="center"/>
            <w:hideMark/>
          </w:tcPr>
          <w:p w14:paraId="575F7B13" w14:textId="75638D39" w:rsidR="00E84D06" w:rsidRPr="00005453" w:rsidRDefault="00E84D06" w:rsidP="00A01767">
            <w:pPr>
              <w:jc w:val="right"/>
              <w:rPr>
                <w:color w:val="000000"/>
                <w:sz w:val="14"/>
                <w:szCs w:val="14"/>
                <w:lang w:eastAsia="tr-TR"/>
              </w:rPr>
            </w:pPr>
            <w:r w:rsidRPr="00005453">
              <w:rPr>
                <w:color w:val="000000"/>
                <w:sz w:val="14"/>
                <w:szCs w:val="14"/>
              </w:rPr>
              <w:t>(772,500)</w:t>
            </w:r>
          </w:p>
        </w:tc>
      </w:tr>
      <w:tr w:rsidR="00E84D06" w:rsidRPr="00005453" w14:paraId="72BCA3E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FE77505" w14:textId="77777777" w:rsidR="00E84D06" w:rsidRPr="00005453" w:rsidRDefault="00E84D06" w:rsidP="00E84D06">
            <w:pPr>
              <w:rPr>
                <w:color w:val="000000"/>
                <w:sz w:val="14"/>
                <w:szCs w:val="14"/>
                <w:lang w:eastAsia="tr-TR"/>
              </w:rPr>
            </w:pPr>
            <w:r w:rsidRPr="00005453">
              <w:rPr>
                <w:color w:val="000000"/>
                <w:sz w:val="14"/>
                <w:szCs w:val="14"/>
                <w:lang w:val="en-US" w:eastAsia="tr-TR"/>
              </w:rPr>
              <w:t>2.2</w:t>
            </w:r>
          </w:p>
        </w:tc>
        <w:tc>
          <w:tcPr>
            <w:tcW w:w="4824" w:type="dxa"/>
            <w:tcBorders>
              <w:top w:val="nil"/>
              <w:left w:val="single" w:sz="6" w:space="0" w:color="auto"/>
              <w:bottom w:val="nil"/>
              <w:right w:val="single" w:sz="6" w:space="0" w:color="auto"/>
            </w:tcBorders>
            <w:shd w:val="clear" w:color="auto" w:fill="auto"/>
            <w:noWrap/>
            <w:hideMark/>
          </w:tcPr>
          <w:p w14:paraId="0D80F652" w14:textId="77777777" w:rsidR="00E84D06" w:rsidRPr="00005453" w:rsidRDefault="00E84D06" w:rsidP="00E84D06">
            <w:pPr>
              <w:rPr>
                <w:color w:val="000000"/>
                <w:sz w:val="14"/>
                <w:szCs w:val="14"/>
                <w:lang w:eastAsia="tr-TR"/>
              </w:rPr>
            </w:pPr>
            <w:r w:rsidRPr="00005453">
              <w:rPr>
                <w:color w:val="000000"/>
                <w:sz w:val="14"/>
                <w:szCs w:val="14"/>
                <w:lang w:eastAsia="tr-TR"/>
              </w:rPr>
              <w:t>Elden Çıkarılan İştirakler, Bağlı Ortaklıklar ve Birlikte Kontrol Edilen Ortaklıklar (İş Ortaklıkları)</w:t>
            </w:r>
          </w:p>
        </w:tc>
        <w:tc>
          <w:tcPr>
            <w:tcW w:w="679" w:type="dxa"/>
            <w:tcBorders>
              <w:top w:val="nil"/>
              <w:left w:val="single" w:sz="6" w:space="0" w:color="auto"/>
              <w:bottom w:val="nil"/>
              <w:right w:val="single" w:sz="6" w:space="0" w:color="auto"/>
            </w:tcBorders>
            <w:shd w:val="clear" w:color="auto" w:fill="auto"/>
            <w:noWrap/>
            <w:hideMark/>
          </w:tcPr>
          <w:p w14:paraId="27764F6E"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0D1E5D0" w14:textId="1713346D" w:rsidR="00E84D06" w:rsidRPr="00005453" w:rsidRDefault="00E84D06" w:rsidP="00A01767">
            <w:pPr>
              <w:jc w:val="right"/>
              <w:rPr>
                <w:color w:val="000000"/>
                <w:sz w:val="14"/>
                <w:szCs w:val="14"/>
              </w:rPr>
            </w:pPr>
            <w:r w:rsidRPr="00005453">
              <w:rPr>
                <w:color w:val="000000"/>
                <w:sz w:val="14"/>
                <w:szCs w:val="22"/>
              </w:rPr>
              <w:t>-</w:t>
            </w:r>
          </w:p>
        </w:tc>
        <w:tc>
          <w:tcPr>
            <w:tcW w:w="1721" w:type="dxa"/>
            <w:tcBorders>
              <w:top w:val="nil"/>
              <w:left w:val="single" w:sz="6" w:space="0" w:color="auto"/>
              <w:bottom w:val="nil"/>
              <w:right w:val="single" w:sz="6" w:space="0" w:color="auto"/>
            </w:tcBorders>
            <w:shd w:val="clear" w:color="auto" w:fill="auto"/>
            <w:noWrap/>
            <w:vAlign w:val="center"/>
            <w:hideMark/>
          </w:tcPr>
          <w:p w14:paraId="0F6A0E8B" w14:textId="7E2C9C91" w:rsidR="00E84D06" w:rsidRPr="00005453" w:rsidRDefault="00E84D06" w:rsidP="00A01767">
            <w:pPr>
              <w:jc w:val="right"/>
              <w:rPr>
                <w:color w:val="000000"/>
                <w:sz w:val="14"/>
                <w:szCs w:val="14"/>
                <w:lang w:eastAsia="tr-TR"/>
              </w:rPr>
            </w:pPr>
            <w:r w:rsidRPr="00005453">
              <w:rPr>
                <w:color w:val="000000"/>
                <w:sz w:val="14"/>
                <w:szCs w:val="14"/>
              </w:rPr>
              <w:t>-</w:t>
            </w:r>
          </w:p>
        </w:tc>
      </w:tr>
      <w:tr w:rsidR="00E84D06" w:rsidRPr="00005453" w14:paraId="0DA252D5"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9E84C6A" w14:textId="77777777" w:rsidR="00E84D06" w:rsidRPr="00005453" w:rsidRDefault="00E84D06" w:rsidP="00E84D06">
            <w:pPr>
              <w:rPr>
                <w:color w:val="000000"/>
                <w:sz w:val="14"/>
                <w:szCs w:val="14"/>
                <w:lang w:eastAsia="tr-TR"/>
              </w:rPr>
            </w:pPr>
            <w:r w:rsidRPr="00005453">
              <w:rPr>
                <w:color w:val="000000"/>
                <w:sz w:val="14"/>
                <w:szCs w:val="14"/>
                <w:lang w:val="en-US" w:eastAsia="tr-TR"/>
              </w:rPr>
              <w:t>2.3</w:t>
            </w:r>
          </w:p>
        </w:tc>
        <w:tc>
          <w:tcPr>
            <w:tcW w:w="4824" w:type="dxa"/>
            <w:tcBorders>
              <w:top w:val="nil"/>
              <w:left w:val="single" w:sz="6" w:space="0" w:color="auto"/>
              <w:bottom w:val="nil"/>
              <w:right w:val="single" w:sz="6" w:space="0" w:color="auto"/>
            </w:tcBorders>
            <w:shd w:val="clear" w:color="auto" w:fill="auto"/>
            <w:noWrap/>
            <w:hideMark/>
          </w:tcPr>
          <w:p w14:paraId="6FC85400" w14:textId="77777777" w:rsidR="00E84D06" w:rsidRPr="00005453" w:rsidRDefault="00E84D06" w:rsidP="00E84D06">
            <w:pPr>
              <w:rPr>
                <w:color w:val="000000"/>
                <w:sz w:val="14"/>
                <w:szCs w:val="14"/>
                <w:lang w:eastAsia="tr-TR"/>
              </w:rPr>
            </w:pPr>
            <w:r w:rsidRPr="00005453">
              <w:rPr>
                <w:color w:val="000000"/>
                <w:sz w:val="14"/>
                <w:szCs w:val="14"/>
                <w:lang w:val="de-DE" w:eastAsia="tr-TR"/>
              </w:rPr>
              <w:t>Satın Alınan Menkul ve Gayrimenkuller</w:t>
            </w:r>
          </w:p>
        </w:tc>
        <w:tc>
          <w:tcPr>
            <w:tcW w:w="679" w:type="dxa"/>
            <w:tcBorders>
              <w:top w:val="nil"/>
              <w:left w:val="single" w:sz="6" w:space="0" w:color="auto"/>
              <w:bottom w:val="nil"/>
              <w:right w:val="single" w:sz="6" w:space="0" w:color="auto"/>
            </w:tcBorders>
            <w:shd w:val="clear" w:color="auto" w:fill="auto"/>
            <w:noWrap/>
            <w:hideMark/>
          </w:tcPr>
          <w:p w14:paraId="734B6781"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2ECEA218" w14:textId="5AD72A2B" w:rsidR="00E84D06" w:rsidRPr="00005453" w:rsidRDefault="00E84D06" w:rsidP="00A01767">
            <w:pPr>
              <w:jc w:val="right"/>
              <w:rPr>
                <w:color w:val="000000"/>
                <w:sz w:val="14"/>
                <w:szCs w:val="14"/>
              </w:rPr>
            </w:pPr>
            <w:r w:rsidRPr="00005453">
              <w:rPr>
                <w:color w:val="000000"/>
                <w:sz w:val="14"/>
                <w:szCs w:val="22"/>
              </w:rPr>
              <w:t>(2,840,012)</w:t>
            </w:r>
          </w:p>
        </w:tc>
        <w:tc>
          <w:tcPr>
            <w:tcW w:w="1721" w:type="dxa"/>
            <w:tcBorders>
              <w:top w:val="nil"/>
              <w:left w:val="single" w:sz="6" w:space="0" w:color="auto"/>
              <w:bottom w:val="nil"/>
              <w:right w:val="single" w:sz="6" w:space="0" w:color="auto"/>
            </w:tcBorders>
            <w:shd w:val="clear" w:color="auto" w:fill="auto"/>
            <w:noWrap/>
            <w:vAlign w:val="center"/>
            <w:hideMark/>
          </w:tcPr>
          <w:p w14:paraId="482D51A7" w14:textId="0413269F" w:rsidR="00E84D06" w:rsidRPr="00005453" w:rsidRDefault="00E84D06" w:rsidP="00A01767">
            <w:pPr>
              <w:jc w:val="right"/>
              <w:rPr>
                <w:color w:val="000000"/>
                <w:sz w:val="14"/>
                <w:szCs w:val="14"/>
                <w:lang w:eastAsia="tr-TR"/>
              </w:rPr>
            </w:pPr>
            <w:r w:rsidRPr="00005453">
              <w:rPr>
                <w:color w:val="000000"/>
                <w:sz w:val="14"/>
                <w:szCs w:val="14"/>
              </w:rPr>
              <w:t>(2,246,519)</w:t>
            </w:r>
          </w:p>
        </w:tc>
      </w:tr>
      <w:tr w:rsidR="00E84D06" w:rsidRPr="00005453" w14:paraId="5EF184E8"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27505CB8" w14:textId="77777777" w:rsidR="00E84D06" w:rsidRPr="00005453" w:rsidRDefault="00E84D06" w:rsidP="00E84D06">
            <w:pPr>
              <w:rPr>
                <w:color w:val="000000"/>
                <w:sz w:val="14"/>
                <w:szCs w:val="14"/>
                <w:lang w:eastAsia="tr-TR"/>
              </w:rPr>
            </w:pPr>
            <w:r w:rsidRPr="00005453">
              <w:rPr>
                <w:color w:val="000000"/>
                <w:sz w:val="14"/>
                <w:szCs w:val="14"/>
                <w:lang w:val="en-US" w:eastAsia="tr-TR"/>
              </w:rPr>
              <w:t>2.4</w:t>
            </w:r>
          </w:p>
        </w:tc>
        <w:tc>
          <w:tcPr>
            <w:tcW w:w="4824" w:type="dxa"/>
            <w:tcBorders>
              <w:top w:val="nil"/>
              <w:left w:val="single" w:sz="6" w:space="0" w:color="auto"/>
              <w:bottom w:val="nil"/>
              <w:right w:val="single" w:sz="6" w:space="0" w:color="auto"/>
            </w:tcBorders>
            <w:shd w:val="clear" w:color="auto" w:fill="auto"/>
            <w:noWrap/>
            <w:hideMark/>
          </w:tcPr>
          <w:p w14:paraId="5101C02E" w14:textId="77777777" w:rsidR="00E84D06" w:rsidRPr="00005453" w:rsidRDefault="00E84D06" w:rsidP="00E84D06">
            <w:pPr>
              <w:rPr>
                <w:color w:val="000000"/>
                <w:sz w:val="14"/>
                <w:szCs w:val="14"/>
                <w:lang w:eastAsia="tr-TR"/>
              </w:rPr>
            </w:pPr>
            <w:r w:rsidRPr="00005453">
              <w:rPr>
                <w:color w:val="000000"/>
                <w:sz w:val="14"/>
                <w:szCs w:val="14"/>
                <w:lang w:val="de-DE" w:eastAsia="tr-TR"/>
              </w:rPr>
              <w:t>Elden Çıkarılan Menkul ve Gayrimenkuller</w:t>
            </w:r>
          </w:p>
        </w:tc>
        <w:tc>
          <w:tcPr>
            <w:tcW w:w="679" w:type="dxa"/>
            <w:tcBorders>
              <w:top w:val="nil"/>
              <w:left w:val="single" w:sz="6" w:space="0" w:color="auto"/>
              <w:bottom w:val="nil"/>
              <w:right w:val="single" w:sz="6" w:space="0" w:color="auto"/>
            </w:tcBorders>
            <w:shd w:val="clear" w:color="auto" w:fill="auto"/>
            <w:noWrap/>
            <w:hideMark/>
          </w:tcPr>
          <w:p w14:paraId="4B368D89"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6E09F08" w14:textId="53E3BAA1" w:rsidR="00E84D06" w:rsidRPr="00005453" w:rsidRDefault="00E84D06" w:rsidP="00A01767">
            <w:pPr>
              <w:jc w:val="right"/>
              <w:rPr>
                <w:color w:val="000000"/>
                <w:sz w:val="14"/>
                <w:szCs w:val="14"/>
              </w:rPr>
            </w:pPr>
            <w:r w:rsidRPr="00005453">
              <w:rPr>
                <w:color w:val="000000"/>
                <w:sz w:val="14"/>
                <w:szCs w:val="22"/>
              </w:rPr>
              <w:t>764,983</w:t>
            </w:r>
          </w:p>
        </w:tc>
        <w:tc>
          <w:tcPr>
            <w:tcW w:w="1721" w:type="dxa"/>
            <w:tcBorders>
              <w:top w:val="nil"/>
              <w:left w:val="single" w:sz="6" w:space="0" w:color="auto"/>
              <w:bottom w:val="nil"/>
              <w:right w:val="single" w:sz="6" w:space="0" w:color="auto"/>
            </w:tcBorders>
            <w:shd w:val="clear" w:color="auto" w:fill="auto"/>
            <w:noWrap/>
            <w:vAlign w:val="center"/>
            <w:hideMark/>
          </w:tcPr>
          <w:p w14:paraId="7241BCB6" w14:textId="1516E457" w:rsidR="00E84D06" w:rsidRPr="00005453" w:rsidRDefault="00E84D06" w:rsidP="00A01767">
            <w:pPr>
              <w:jc w:val="right"/>
              <w:rPr>
                <w:color w:val="000000"/>
                <w:sz w:val="14"/>
                <w:szCs w:val="14"/>
                <w:lang w:eastAsia="tr-TR"/>
              </w:rPr>
            </w:pPr>
            <w:r w:rsidRPr="00005453">
              <w:rPr>
                <w:color w:val="000000"/>
                <w:sz w:val="14"/>
                <w:szCs w:val="14"/>
              </w:rPr>
              <w:t>533,248</w:t>
            </w:r>
          </w:p>
        </w:tc>
      </w:tr>
      <w:tr w:rsidR="00E84D06" w:rsidRPr="00005453" w14:paraId="0BFD370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2849C9C" w14:textId="77777777" w:rsidR="00E84D06" w:rsidRPr="00005453" w:rsidRDefault="00E84D06" w:rsidP="00E84D06">
            <w:pPr>
              <w:rPr>
                <w:color w:val="000000"/>
                <w:sz w:val="14"/>
                <w:szCs w:val="14"/>
                <w:lang w:eastAsia="tr-TR"/>
              </w:rPr>
            </w:pPr>
            <w:r w:rsidRPr="00005453">
              <w:rPr>
                <w:color w:val="000000"/>
                <w:sz w:val="14"/>
                <w:szCs w:val="14"/>
                <w:lang w:val="en-US" w:eastAsia="tr-TR"/>
              </w:rPr>
              <w:t>2.5</w:t>
            </w:r>
          </w:p>
        </w:tc>
        <w:tc>
          <w:tcPr>
            <w:tcW w:w="4824" w:type="dxa"/>
            <w:tcBorders>
              <w:top w:val="nil"/>
              <w:left w:val="single" w:sz="6" w:space="0" w:color="auto"/>
              <w:bottom w:val="nil"/>
              <w:right w:val="single" w:sz="6" w:space="0" w:color="auto"/>
            </w:tcBorders>
            <w:shd w:val="clear" w:color="auto" w:fill="auto"/>
            <w:noWrap/>
            <w:hideMark/>
          </w:tcPr>
          <w:p w14:paraId="6478EED3" w14:textId="77777777" w:rsidR="00E84D06" w:rsidRPr="00005453" w:rsidRDefault="00E84D06" w:rsidP="00E84D06">
            <w:pPr>
              <w:rPr>
                <w:color w:val="000000"/>
                <w:sz w:val="14"/>
                <w:szCs w:val="14"/>
                <w:lang w:eastAsia="tr-TR"/>
              </w:rPr>
            </w:pPr>
            <w:r w:rsidRPr="00005453">
              <w:rPr>
                <w:color w:val="000000"/>
                <w:sz w:val="14"/>
                <w:szCs w:val="14"/>
                <w:lang w:eastAsia="tr-TR"/>
              </w:rPr>
              <w:t>Elde Edilen Gerçeğe Uygun Değer Farkı Diğer Kapsamlı Gelire Yansıtılan Finansal Varlıklar</w:t>
            </w:r>
          </w:p>
        </w:tc>
        <w:tc>
          <w:tcPr>
            <w:tcW w:w="679" w:type="dxa"/>
            <w:tcBorders>
              <w:top w:val="nil"/>
              <w:left w:val="single" w:sz="6" w:space="0" w:color="auto"/>
              <w:bottom w:val="nil"/>
              <w:right w:val="single" w:sz="6" w:space="0" w:color="auto"/>
            </w:tcBorders>
            <w:shd w:val="clear" w:color="auto" w:fill="auto"/>
            <w:noWrap/>
            <w:hideMark/>
          </w:tcPr>
          <w:p w14:paraId="0E6F130F"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563AEA55" w14:textId="3A920F5E" w:rsidR="00E84D06" w:rsidRPr="00005453" w:rsidRDefault="00E84D06" w:rsidP="00A01767">
            <w:pPr>
              <w:jc w:val="right"/>
              <w:rPr>
                <w:color w:val="000000"/>
                <w:sz w:val="14"/>
                <w:szCs w:val="14"/>
              </w:rPr>
            </w:pPr>
            <w:r w:rsidRPr="00005453">
              <w:rPr>
                <w:color w:val="000000"/>
                <w:sz w:val="14"/>
                <w:szCs w:val="22"/>
              </w:rPr>
              <w:t>(25,148,291)</w:t>
            </w:r>
          </w:p>
        </w:tc>
        <w:tc>
          <w:tcPr>
            <w:tcW w:w="1721" w:type="dxa"/>
            <w:tcBorders>
              <w:top w:val="nil"/>
              <w:left w:val="single" w:sz="6" w:space="0" w:color="auto"/>
              <w:bottom w:val="nil"/>
              <w:right w:val="single" w:sz="6" w:space="0" w:color="auto"/>
            </w:tcBorders>
            <w:shd w:val="clear" w:color="auto" w:fill="auto"/>
            <w:noWrap/>
            <w:vAlign w:val="center"/>
            <w:hideMark/>
          </w:tcPr>
          <w:p w14:paraId="2D3CAE73" w14:textId="5A623AA8" w:rsidR="00E84D06" w:rsidRPr="00005453" w:rsidRDefault="00E84D06" w:rsidP="00A01767">
            <w:pPr>
              <w:jc w:val="right"/>
              <w:rPr>
                <w:color w:val="000000"/>
                <w:sz w:val="14"/>
                <w:szCs w:val="14"/>
                <w:lang w:eastAsia="tr-TR"/>
              </w:rPr>
            </w:pPr>
            <w:r w:rsidRPr="00005453">
              <w:rPr>
                <w:color w:val="000000"/>
                <w:sz w:val="14"/>
                <w:szCs w:val="14"/>
              </w:rPr>
              <w:t>(21,189,008)</w:t>
            </w:r>
          </w:p>
        </w:tc>
      </w:tr>
      <w:tr w:rsidR="00E84D06" w:rsidRPr="00005453" w14:paraId="1ECB603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C3441A3" w14:textId="77777777" w:rsidR="00E84D06" w:rsidRPr="00005453" w:rsidRDefault="00E84D06" w:rsidP="00E84D06">
            <w:pPr>
              <w:rPr>
                <w:color w:val="000000"/>
                <w:sz w:val="14"/>
                <w:szCs w:val="14"/>
                <w:lang w:eastAsia="tr-TR"/>
              </w:rPr>
            </w:pPr>
            <w:r w:rsidRPr="00005453">
              <w:rPr>
                <w:color w:val="000000"/>
                <w:sz w:val="14"/>
                <w:szCs w:val="14"/>
                <w:lang w:val="en-US" w:eastAsia="tr-TR"/>
              </w:rPr>
              <w:t>2.6</w:t>
            </w:r>
          </w:p>
        </w:tc>
        <w:tc>
          <w:tcPr>
            <w:tcW w:w="4824" w:type="dxa"/>
            <w:tcBorders>
              <w:top w:val="nil"/>
              <w:left w:val="single" w:sz="6" w:space="0" w:color="auto"/>
              <w:bottom w:val="nil"/>
              <w:right w:val="single" w:sz="6" w:space="0" w:color="auto"/>
            </w:tcBorders>
            <w:shd w:val="clear" w:color="auto" w:fill="auto"/>
            <w:noWrap/>
            <w:hideMark/>
          </w:tcPr>
          <w:p w14:paraId="4BC6D1FF" w14:textId="77777777" w:rsidR="00E84D06" w:rsidRPr="00005453" w:rsidRDefault="00E84D06" w:rsidP="00E84D06">
            <w:pPr>
              <w:rPr>
                <w:color w:val="000000"/>
                <w:sz w:val="14"/>
                <w:szCs w:val="14"/>
                <w:lang w:eastAsia="tr-TR"/>
              </w:rPr>
            </w:pPr>
            <w:r w:rsidRPr="00005453">
              <w:rPr>
                <w:color w:val="000000"/>
                <w:sz w:val="14"/>
                <w:szCs w:val="14"/>
                <w:lang w:eastAsia="tr-TR"/>
              </w:rPr>
              <w:t>Elden Çıkarılan Gerçeğe Uygun Değer Farkı Diğer Kapsamlı Gelire Yansıtılan Finansal Varlıklar</w:t>
            </w:r>
          </w:p>
        </w:tc>
        <w:tc>
          <w:tcPr>
            <w:tcW w:w="679" w:type="dxa"/>
            <w:tcBorders>
              <w:top w:val="nil"/>
              <w:left w:val="single" w:sz="6" w:space="0" w:color="auto"/>
              <w:bottom w:val="nil"/>
              <w:right w:val="single" w:sz="6" w:space="0" w:color="auto"/>
            </w:tcBorders>
            <w:shd w:val="clear" w:color="auto" w:fill="auto"/>
            <w:noWrap/>
            <w:hideMark/>
          </w:tcPr>
          <w:p w14:paraId="2572FDED"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7844237" w14:textId="747309E2" w:rsidR="00E84D06" w:rsidRPr="00005453" w:rsidRDefault="00E84D06" w:rsidP="00A01767">
            <w:pPr>
              <w:jc w:val="right"/>
              <w:rPr>
                <w:color w:val="000000"/>
                <w:sz w:val="14"/>
                <w:szCs w:val="14"/>
              </w:rPr>
            </w:pPr>
            <w:r w:rsidRPr="00005453">
              <w:rPr>
                <w:color w:val="000000"/>
                <w:sz w:val="14"/>
                <w:szCs w:val="22"/>
              </w:rPr>
              <w:t>24,845,926</w:t>
            </w:r>
          </w:p>
        </w:tc>
        <w:tc>
          <w:tcPr>
            <w:tcW w:w="1721" w:type="dxa"/>
            <w:tcBorders>
              <w:top w:val="nil"/>
              <w:left w:val="single" w:sz="6" w:space="0" w:color="auto"/>
              <w:bottom w:val="nil"/>
              <w:right w:val="single" w:sz="6" w:space="0" w:color="auto"/>
            </w:tcBorders>
            <w:shd w:val="clear" w:color="auto" w:fill="auto"/>
            <w:noWrap/>
            <w:vAlign w:val="center"/>
            <w:hideMark/>
          </w:tcPr>
          <w:p w14:paraId="37ED1F02" w14:textId="611E5A4D" w:rsidR="00E84D06" w:rsidRPr="00005453" w:rsidRDefault="00E84D06" w:rsidP="00A01767">
            <w:pPr>
              <w:jc w:val="right"/>
              <w:rPr>
                <w:color w:val="000000"/>
                <w:sz w:val="14"/>
                <w:szCs w:val="14"/>
                <w:lang w:eastAsia="tr-TR"/>
              </w:rPr>
            </w:pPr>
            <w:r w:rsidRPr="00005453">
              <w:rPr>
                <w:color w:val="000000"/>
                <w:sz w:val="14"/>
                <w:szCs w:val="14"/>
              </w:rPr>
              <w:t>10,258,801</w:t>
            </w:r>
          </w:p>
        </w:tc>
      </w:tr>
      <w:tr w:rsidR="00E84D06" w:rsidRPr="00005453" w14:paraId="2CEFBE2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B366183" w14:textId="77777777" w:rsidR="00E84D06" w:rsidRPr="00005453" w:rsidRDefault="00E84D06" w:rsidP="00E84D06">
            <w:pPr>
              <w:rPr>
                <w:color w:val="000000"/>
                <w:sz w:val="14"/>
                <w:szCs w:val="14"/>
                <w:lang w:eastAsia="tr-TR"/>
              </w:rPr>
            </w:pPr>
            <w:r w:rsidRPr="00005453">
              <w:rPr>
                <w:color w:val="000000"/>
                <w:sz w:val="14"/>
                <w:szCs w:val="14"/>
                <w:lang w:val="en-US" w:eastAsia="tr-TR"/>
              </w:rPr>
              <w:t>2.7</w:t>
            </w:r>
          </w:p>
        </w:tc>
        <w:tc>
          <w:tcPr>
            <w:tcW w:w="4824" w:type="dxa"/>
            <w:tcBorders>
              <w:top w:val="nil"/>
              <w:left w:val="single" w:sz="6" w:space="0" w:color="auto"/>
              <w:bottom w:val="nil"/>
              <w:right w:val="single" w:sz="6" w:space="0" w:color="auto"/>
            </w:tcBorders>
            <w:shd w:val="clear" w:color="auto" w:fill="auto"/>
            <w:noWrap/>
            <w:hideMark/>
          </w:tcPr>
          <w:p w14:paraId="7047C863" w14:textId="77777777" w:rsidR="00E84D06" w:rsidRPr="00005453" w:rsidRDefault="00E84D06" w:rsidP="00E84D06">
            <w:pPr>
              <w:rPr>
                <w:color w:val="000000"/>
                <w:sz w:val="14"/>
                <w:szCs w:val="14"/>
                <w:lang w:eastAsia="tr-TR"/>
              </w:rPr>
            </w:pPr>
            <w:r w:rsidRPr="00005453">
              <w:rPr>
                <w:color w:val="000000"/>
                <w:sz w:val="14"/>
                <w:szCs w:val="14"/>
                <w:lang w:eastAsia="tr-TR"/>
              </w:rPr>
              <w:t>Satın Alınan İtfa Edilmiş Maliyeti ile Ölçülen Finansal Varlıklar</w:t>
            </w:r>
          </w:p>
        </w:tc>
        <w:tc>
          <w:tcPr>
            <w:tcW w:w="679" w:type="dxa"/>
            <w:tcBorders>
              <w:top w:val="nil"/>
              <w:left w:val="single" w:sz="6" w:space="0" w:color="auto"/>
              <w:bottom w:val="nil"/>
              <w:right w:val="single" w:sz="6" w:space="0" w:color="auto"/>
            </w:tcBorders>
            <w:shd w:val="clear" w:color="auto" w:fill="auto"/>
            <w:noWrap/>
            <w:hideMark/>
          </w:tcPr>
          <w:p w14:paraId="0CDF6A17" w14:textId="125E9DB1" w:rsidR="00E84D06" w:rsidRPr="00005453" w:rsidRDefault="00E84D06" w:rsidP="00E84D06">
            <w:pPr>
              <w:jc w:val="center"/>
              <w:rPr>
                <w:color w:val="000000"/>
                <w:sz w:val="14"/>
                <w:szCs w:val="14"/>
                <w:lang w:eastAsia="tr-TR"/>
              </w:rPr>
            </w:pPr>
            <w:r w:rsidRPr="00005453">
              <w:rPr>
                <w:color w:val="000000"/>
                <w:sz w:val="14"/>
                <w:szCs w:val="14"/>
                <w:lang w:eastAsia="tr-TR"/>
              </w:rPr>
              <w:t>(5.1.6.)</w:t>
            </w:r>
          </w:p>
        </w:tc>
        <w:tc>
          <w:tcPr>
            <w:tcW w:w="1796" w:type="dxa"/>
            <w:tcBorders>
              <w:top w:val="nil"/>
              <w:left w:val="single" w:sz="6" w:space="0" w:color="auto"/>
              <w:bottom w:val="nil"/>
              <w:right w:val="single" w:sz="6" w:space="0" w:color="auto"/>
            </w:tcBorders>
            <w:shd w:val="clear" w:color="auto" w:fill="auto"/>
            <w:vAlign w:val="center"/>
            <w:hideMark/>
          </w:tcPr>
          <w:p w14:paraId="71F5AC06" w14:textId="0232A2B6" w:rsidR="00E84D06" w:rsidRPr="00005453" w:rsidRDefault="00E84D06" w:rsidP="00A01767">
            <w:pPr>
              <w:jc w:val="right"/>
              <w:rPr>
                <w:color w:val="000000"/>
                <w:sz w:val="14"/>
                <w:szCs w:val="14"/>
              </w:rPr>
            </w:pPr>
            <w:r w:rsidRPr="00005453">
              <w:rPr>
                <w:color w:val="000000"/>
                <w:sz w:val="14"/>
                <w:szCs w:val="22"/>
              </w:rPr>
              <w:t>(3,660,000)</w:t>
            </w:r>
          </w:p>
        </w:tc>
        <w:tc>
          <w:tcPr>
            <w:tcW w:w="1721" w:type="dxa"/>
            <w:tcBorders>
              <w:top w:val="nil"/>
              <w:left w:val="single" w:sz="6" w:space="0" w:color="auto"/>
              <w:bottom w:val="nil"/>
              <w:right w:val="single" w:sz="6" w:space="0" w:color="auto"/>
            </w:tcBorders>
            <w:shd w:val="clear" w:color="auto" w:fill="auto"/>
            <w:noWrap/>
            <w:vAlign w:val="center"/>
            <w:hideMark/>
          </w:tcPr>
          <w:p w14:paraId="78D560CE" w14:textId="616DD951" w:rsidR="00E84D06" w:rsidRPr="00005453" w:rsidRDefault="00E84D06" w:rsidP="00A01767">
            <w:pPr>
              <w:jc w:val="right"/>
              <w:rPr>
                <w:color w:val="000000"/>
                <w:sz w:val="14"/>
                <w:szCs w:val="14"/>
                <w:lang w:eastAsia="tr-TR"/>
              </w:rPr>
            </w:pPr>
            <w:r w:rsidRPr="00005453">
              <w:rPr>
                <w:color w:val="000000"/>
                <w:sz w:val="14"/>
                <w:szCs w:val="14"/>
              </w:rPr>
              <w:t>(33,590,663)</w:t>
            </w:r>
          </w:p>
        </w:tc>
      </w:tr>
      <w:tr w:rsidR="00E84D06" w:rsidRPr="00005453" w14:paraId="16141147"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45E35EF" w14:textId="77777777" w:rsidR="00E84D06" w:rsidRPr="00005453" w:rsidRDefault="00E84D06" w:rsidP="00E84D06">
            <w:pPr>
              <w:rPr>
                <w:color w:val="000000"/>
                <w:sz w:val="14"/>
                <w:szCs w:val="14"/>
                <w:lang w:eastAsia="tr-TR"/>
              </w:rPr>
            </w:pPr>
            <w:r w:rsidRPr="00005453">
              <w:rPr>
                <w:color w:val="000000"/>
                <w:sz w:val="14"/>
                <w:szCs w:val="14"/>
                <w:lang w:val="en-US" w:eastAsia="tr-TR"/>
              </w:rPr>
              <w:t>2.8</w:t>
            </w:r>
          </w:p>
        </w:tc>
        <w:tc>
          <w:tcPr>
            <w:tcW w:w="4824" w:type="dxa"/>
            <w:tcBorders>
              <w:top w:val="nil"/>
              <w:left w:val="single" w:sz="6" w:space="0" w:color="auto"/>
              <w:bottom w:val="nil"/>
              <w:right w:val="single" w:sz="6" w:space="0" w:color="auto"/>
            </w:tcBorders>
            <w:shd w:val="clear" w:color="auto" w:fill="auto"/>
            <w:noWrap/>
            <w:hideMark/>
          </w:tcPr>
          <w:p w14:paraId="2D47D6E9" w14:textId="77777777" w:rsidR="00E84D06" w:rsidRPr="00005453" w:rsidRDefault="00E84D06" w:rsidP="00E84D06">
            <w:pPr>
              <w:rPr>
                <w:color w:val="000000"/>
                <w:sz w:val="14"/>
                <w:szCs w:val="14"/>
                <w:lang w:eastAsia="tr-TR"/>
              </w:rPr>
            </w:pPr>
            <w:r w:rsidRPr="00005453">
              <w:rPr>
                <w:color w:val="000000"/>
                <w:sz w:val="14"/>
                <w:szCs w:val="14"/>
                <w:lang w:eastAsia="tr-TR"/>
              </w:rPr>
              <w:t>Satılan İtfa Edilmiş Maliyeti ile Ölçülen Finansal Varlıklar</w:t>
            </w:r>
          </w:p>
        </w:tc>
        <w:tc>
          <w:tcPr>
            <w:tcW w:w="679" w:type="dxa"/>
            <w:tcBorders>
              <w:top w:val="nil"/>
              <w:left w:val="single" w:sz="6" w:space="0" w:color="auto"/>
              <w:bottom w:val="nil"/>
              <w:right w:val="single" w:sz="6" w:space="0" w:color="auto"/>
            </w:tcBorders>
            <w:shd w:val="clear" w:color="auto" w:fill="auto"/>
            <w:noWrap/>
            <w:hideMark/>
          </w:tcPr>
          <w:p w14:paraId="380C6E41" w14:textId="1142D377" w:rsidR="00E84D06" w:rsidRPr="00005453" w:rsidRDefault="00E84D06" w:rsidP="00E84D06">
            <w:pPr>
              <w:jc w:val="center"/>
              <w:rPr>
                <w:color w:val="000000"/>
                <w:sz w:val="14"/>
                <w:szCs w:val="14"/>
                <w:lang w:eastAsia="tr-TR"/>
              </w:rPr>
            </w:pPr>
            <w:r w:rsidRPr="00005453">
              <w:rPr>
                <w:color w:val="000000"/>
                <w:sz w:val="14"/>
                <w:szCs w:val="14"/>
                <w:lang w:eastAsia="tr-TR"/>
              </w:rPr>
              <w:t>(5.1.6.)</w:t>
            </w:r>
          </w:p>
        </w:tc>
        <w:tc>
          <w:tcPr>
            <w:tcW w:w="1796" w:type="dxa"/>
            <w:tcBorders>
              <w:top w:val="nil"/>
              <w:left w:val="single" w:sz="6" w:space="0" w:color="auto"/>
              <w:bottom w:val="nil"/>
              <w:right w:val="single" w:sz="6" w:space="0" w:color="auto"/>
            </w:tcBorders>
            <w:shd w:val="clear" w:color="auto" w:fill="auto"/>
            <w:vAlign w:val="center"/>
            <w:hideMark/>
          </w:tcPr>
          <w:p w14:paraId="4FEE83A3" w14:textId="613F3CCA" w:rsidR="00E84D06" w:rsidRPr="00005453" w:rsidRDefault="00E84D06" w:rsidP="00A01767">
            <w:pPr>
              <w:jc w:val="right"/>
              <w:rPr>
                <w:color w:val="000000"/>
                <w:sz w:val="14"/>
                <w:szCs w:val="14"/>
              </w:rPr>
            </w:pPr>
            <w:r w:rsidRPr="00005453">
              <w:rPr>
                <w:color w:val="000000"/>
                <w:sz w:val="14"/>
                <w:szCs w:val="22"/>
              </w:rPr>
              <w:t>8,560,000</w:t>
            </w:r>
          </w:p>
        </w:tc>
        <w:tc>
          <w:tcPr>
            <w:tcW w:w="1721" w:type="dxa"/>
            <w:tcBorders>
              <w:top w:val="nil"/>
              <w:left w:val="single" w:sz="6" w:space="0" w:color="auto"/>
              <w:bottom w:val="nil"/>
              <w:right w:val="single" w:sz="6" w:space="0" w:color="auto"/>
            </w:tcBorders>
            <w:shd w:val="clear" w:color="auto" w:fill="auto"/>
            <w:noWrap/>
            <w:vAlign w:val="center"/>
            <w:hideMark/>
          </w:tcPr>
          <w:p w14:paraId="0C3CDDC2" w14:textId="2D63105F" w:rsidR="00E84D06" w:rsidRPr="00005453" w:rsidRDefault="00E84D06" w:rsidP="00A01767">
            <w:pPr>
              <w:jc w:val="right"/>
              <w:rPr>
                <w:color w:val="000000"/>
                <w:sz w:val="14"/>
                <w:szCs w:val="14"/>
                <w:lang w:eastAsia="tr-TR"/>
              </w:rPr>
            </w:pPr>
            <w:r w:rsidRPr="00005453">
              <w:rPr>
                <w:color w:val="000000"/>
                <w:sz w:val="14"/>
                <w:szCs w:val="14"/>
              </w:rPr>
              <w:t>692,130</w:t>
            </w:r>
          </w:p>
        </w:tc>
      </w:tr>
      <w:tr w:rsidR="00E84D06" w:rsidRPr="00005453" w14:paraId="3C3602DD"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AE7944E" w14:textId="77777777" w:rsidR="00E84D06" w:rsidRPr="00005453" w:rsidRDefault="00E84D06" w:rsidP="00E84D06">
            <w:pPr>
              <w:rPr>
                <w:color w:val="000000"/>
                <w:sz w:val="14"/>
                <w:szCs w:val="14"/>
                <w:lang w:eastAsia="tr-TR"/>
              </w:rPr>
            </w:pPr>
            <w:r w:rsidRPr="00005453">
              <w:rPr>
                <w:color w:val="000000"/>
                <w:sz w:val="14"/>
                <w:szCs w:val="14"/>
                <w:lang w:val="en-US" w:eastAsia="tr-TR"/>
              </w:rPr>
              <w:t>2.9</w:t>
            </w:r>
          </w:p>
        </w:tc>
        <w:tc>
          <w:tcPr>
            <w:tcW w:w="4824" w:type="dxa"/>
            <w:tcBorders>
              <w:top w:val="nil"/>
              <w:left w:val="single" w:sz="6" w:space="0" w:color="auto"/>
              <w:bottom w:val="nil"/>
              <w:right w:val="single" w:sz="6" w:space="0" w:color="auto"/>
            </w:tcBorders>
            <w:shd w:val="clear" w:color="auto" w:fill="auto"/>
            <w:noWrap/>
            <w:hideMark/>
          </w:tcPr>
          <w:p w14:paraId="41314110" w14:textId="77777777" w:rsidR="00E84D06" w:rsidRPr="00005453" w:rsidRDefault="00E84D06" w:rsidP="00E84D06">
            <w:pPr>
              <w:rPr>
                <w:color w:val="000000"/>
                <w:sz w:val="14"/>
                <w:szCs w:val="14"/>
                <w:lang w:eastAsia="tr-TR"/>
              </w:rPr>
            </w:pPr>
            <w:r w:rsidRPr="00005453">
              <w:rPr>
                <w:color w:val="000000"/>
                <w:sz w:val="14"/>
                <w:szCs w:val="14"/>
                <w:lang w:val="en-US" w:eastAsia="tr-TR"/>
              </w:rPr>
              <w:t>Diğer</w:t>
            </w:r>
          </w:p>
        </w:tc>
        <w:tc>
          <w:tcPr>
            <w:tcW w:w="679" w:type="dxa"/>
            <w:tcBorders>
              <w:top w:val="nil"/>
              <w:left w:val="single" w:sz="6" w:space="0" w:color="auto"/>
              <w:bottom w:val="nil"/>
              <w:right w:val="single" w:sz="6" w:space="0" w:color="auto"/>
            </w:tcBorders>
            <w:shd w:val="clear" w:color="auto" w:fill="auto"/>
            <w:noWrap/>
            <w:hideMark/>
          </w:tcPr>
          <w:p w14:paraId="1999DCA7"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EB2C457" w14:textId="2E5CFA9B" w:rsidR="00E84D06" w:rsidRPr="00005453" w:rsidRDefault="00E84D06" w:rsidP="00A01767">
            <w:pPr>
              <w:jc w:val="right"/>
              <w:rPr>
                <w:color w:val="000000"/>
                <w:sz w:val="14"/>
                <w:szCs w:val="14"/>
              </w:rPr>
            </w:pPr>
            <w:r w:rsidRPr="00005453">
              <w:rPr>
                <w:color w:val="000000"/>
                <w:sz w:val="14"/>
                <w:szCs w:val="22"/>
              </w:rPr>
              <w:t>(2,010,791)</w:t>
            </w:r>
          </w:p>
        </w:tc>
        <w:tc>
          <w:tcPr>
            <w:tcW w:w="1721" w:type="dxa"/>
            <w:tcBorders>
              <w:top w:val="nil"/>
              <w:left w:val="single" w:sz="6" w:space="0" w:color="auto"/>
              <w:bottom w:val="nil"/>
              <w:right w:val="single" w:sz="6" w:space="0" w:color="auto"/>
            </w:tcBorders>
            <w:shd w:val="clear" w:color="auto" w:fill="auto"/>
            <w:noWrap/>
            <w:vAlign w:val="center"/>
            <w:hideMark/>
          </w:tcPr>
          <w:p w14:paraId="6B2316FE" w14:textId="29E1D503" w:rsidR="00E84D06" w:rsidRPr="00005453" w:rsidRDefault="00E84D06" w:rsidP="00A01767">
            <w:pPr>
              <w:jc w:val="right"/>
              <w:rPr>
                <w:color w:val="000000"/>
                <w:sz w:val="14"/>
                <w:szCs w:val="14"/>
                <w:lang w:eastAsia="tr-TR"/>
              </w:rPr>
            </w:pPr>
            <w:r w:rsidRPr="00005453">
              <w:rPr>
                <w:color w:val="000000"/>
                <w:sz w:val="14"/>
                <w:szCs w:val="14"/>
              </w:rPr>
              <w:t>(810,338)</w:t>
            </w:r>
          </w:p>
        </w:tc>
      </w:tr>
      <w:tr w:rsidR="008755B7" w:rsidRPr="00005453" w14:paraId="258E4485"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F18A409"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6F59DF9C"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65E444B4"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12C8FED" w14:textId="44EF5FEF"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259A251B" w14:textId="51BA5730" w:rsidR="008755B7" w:rsidRPr="00005453" w:rsidRDefault="008755B7" w:rsidP="00A01767">
            <w:pPr>
              <w:jc w:val="right"/>
              <w:rPr>
                <w:b/>
                <w:bCs/>
                <w:color w:val="000000"/>
                <w:sz w:val="10"/>
                <w:szCs w:val="10"/>
                <w:lang w:eastAsia="tr-TR"/>
              </w:rPr>
            </w:pPr>
          </w:p>
        </w:tc>
      </w:tr>
      <w:tr w:rsidR="008755B7" w:rsidRPr="00005453" w14:paraId="1ABADF31"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5DE75AC6"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C.</w:t>
            </w:r>
          </w:p>
        </w:tc>
        <w:tc>
          <w:tcPr>
            <w:tcW w:w="4824" w:type="dxa"/>
            <w:tcBorders>
              <w:top w:val="nil"/>
              <w:left w:val="single" w:sz="6" w:space="0" w:color="auto"/>
              <w:bottom w:val="nil"/>
              <w:right w:val="single" w:sz="6" w:space="0" w:color="auto"/>
            </w:tcBorders>
            <w:shd w:val="clear" w:color="auto" w:fill="auto"/>
            <w:noWrap/>
            <w:hideMark/>
          </w:tcPr>
          <w:p w14:paraId="0F9245D2"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FİNANSMAN FAALİYETLERİNE İLİŞKİN NAKİT AKIŞLARI</w:t>
            </w:r>
          </w:p>
        </w:tc>
        <w:tc>
          <w:tcPr>
            <w:tcW w:w="679" w:type="dxa"/>
            <w:tcBorders>
              <w:top w:val="nil"/>
              <w:left w:val="single" w:sz="6" w:space="0" w:color="auto"/>
              <w:bottom w:val="nil"/>
              <w:right w:val="single" w:sz="6" w:space="0" w:color="auto"/>
            </w:tcBorders>
            <w:shd w:val="clear" w:color="auto" w:fill="auto"/>
            <w:noWrap/>
            <w:hideMark/>
          </w:tcPr>
          <w:p w14:paraId="798D4A06"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tcPr>
          <w:p w14:paraId="3C5DC5FC" w14:textId="60EF0FA0" w:rsidR="008755B7" w:rsidRPr="00005453" w:rsidRDefault="008755B7" w:rsidP="00A01767">
            <w:pPr>
              <w:jc w:val="right"/>
              <w:rPr>
                <w:color w:val="000000"/>
                <w:sz w:val="14"/>
                <w:szCs w:val="14"/>
              </w:rPr>
            </w:pPr>
          </w:p>
        </w:tc>
        <w:tc>
          <w:tcPr>
            <w:tcW w:w="1721" w:type="dxa"/>
            <w:tcBorders>
              <w:top w:val="nil"/>
              <w:left w:val="single" w:sz="6" w:space="0" w:color="auto"/>
              <w:bottom w:val="nil"/>
              <w:right w:val="single" w:sz="6" w:space="0" w:color="auto"/>
            </w:tcBorders>
            <w:shd w:val="clear" w:color="auto" w:fill="auto"/>
            <w:noWrap/>
            <w:vAlign w:val="center"/>
          </w:tcPr>
          <w:p w14:paraId="74812D7C" w14:textId="2A7E1594" w:rsidR="008755B7" w:rsidRPr="00005453" w:rsidRDefault="008755B7" w:rsidP="00A01767">
            <w:pPr>
              <w:jc w:val="right"/>
              <w:rPr>
                <w:b/>
                <w:bCs/>
                <w:color w:val="000000"/>
                <w:sz w:val="14"/>
                <w:szCs w:val="14"/>
                <w:lang w:eastAsia="tr-TR"/>
              </w:rPr>
            </w:pPr>
          </w:p>
        </w:tc>
      </w:tr>
      <w:tr w:rsidR="008755B7" w:rsidRPr="00005453" w14:paraId="5E69F343"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E111912"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40FB78D8"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0A57BDE1"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631C182F" w14:textId="2E403562"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47D8ACCC" w14:textId="74AF9EC8" w:rsidR="008755B7" w:rsidRPr="00005453" w:rsidRDefault="008755B7" w:rsidP="00A01767">
            <w:pPr>
              <w:jc w:val="right"/>
              <w:rPr>
                <w:b/>
                <w:bCs/>
                <w:color w:val="000000"/>
                <w:sz w:val="10"/>
                <w:szCs w:val="10"/>
                <w:lang w:eastAsia="tr-TR"/>
              </w:rPr>
            </w:pPr>
          </w:p>
        </w:tc>
      </w:tr>
      <w:tr w:rsidR="008755B7" w:rsidRPr="00005453" w14:paraId="312D5E9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21A6336C"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III.</w:t>
            </w:r>
          </w:p>
        </w:tc>
        <w:tc>
          <w:tcPr>
            <w:tcW w:w="4824" w:type="dxa"/>
            <w:tcBorders>
              <w:top w:val="nil"/>
              <w:left w:val="single" w:sz="6" w:space="0" w:color="auto"/>
              <w:bottom w:val="nil"/>
              <w:right w:val="single" w:sz="6" w:space="0" w:color="auto"/>
            </w:tcBorders>
            <w:shd w:val="clear" w:color="auto" w:fill="auto"/>
            <w:noWrap/>
            <w:hideMark/>
          </w:tcPr>
          <w:p w14:paraId="000F8729" w14:textId="77777777" w:rsidR="008755B7" w:rsidRPr="00005453" w:rsidRDefault="008755B7" w:rsidP="008755B7">
            <w:pPr>
              <w:rPr>
                <w:b/>
                <w:bCs/>
                <w:color w:val="000000"/>
                <w:sz w:val="14"/>
                <w:szCs w:val="14"/>
                <w:lang w:eastAsia="tr-TR"/>
              </w:rPr>
            </w:pPr>
            <w:r w:rsidRPr="00005453">
              <w:rPr>
                <w:b/>
                <w:bCs/>
                <w:color w:val="000000"/>
                <w:sz w:val="14"/>
                <w:szCs w:val="14"/>
                <w:lang w:val="de-DE" w:eastAsia="tr-TR"/>
              </w:rPr>
              <w:t>Finansman Faaliyetlerinden Sağlanan Net Nakit</w:t>
            </w:r>
          </w:p>
        </w:tc>
        <w:tc>
          <w:tcPr>
            <w:tcW w:w="679" w:type="dxa"/>
            <w:tcBorders>
              <w:top w:val="nil"/>
              <w:left w:val="single" w:sz="6" w:space="0" w:color="auto"/>
              <w:bottom w:val="nil"/>
              <w:right w:val="single" w:sz="6" w:space="0" w:color="auto"/>
            </w:tcBorders>
            <w:shd w:val="clear" w:color="auto" w:fill="auto"/>
            <w:noWrap/>
            <w:hideMark/>
          </w:tcPr>
          <w:p w14:paraId="6EC0E9F6"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79DC79CD" w14:textId="704CB71B" w:rsidR="008755B7" w:rsidRPr="00005453" w:rsidRDefault="008755B7" w:rsidP="00A01767">
            <w:pPr>
              <w:jc w:val="right"/>
              <w:rPr>
                <w:b/>
                <w:color w:val="000000"/>
                <w:sz w:val="14"/>
                <w:szCs w:val="14"/>
              </w:rPr>
            </w:pPr>
            <w:r w:rsidRPr="00005453">
              <w:rPr>
                <w:b/>
                <w:color w:val="000000"/>
                <w:sz w:val="14"/>
                <w:szCs w:val="14"/>
              </w:rPr>
              <w:t>(</w:t>
            </w:r>
            <w:r w:rsidR="00E84D06" w:rsidRPr="00005453">
              <w:rPr>
                <w:b/>
                <w:color w:val="000000"/>
                <w:sz w:val="14"/>
                <w:szCs w:val="14"/>
              </w:rPr>
              <w:t>2</w:t>
            </w:r>
            <w:r w:rsidRPr="00005453">
              <w:rPr>
                <w:b/>
                <w:color w:val="000000"/>
                <w:sz w:val="14"/>
                <w:szCs w:val="14"/>
              </w:rPr>
              <w:t>,</w:t>
            </w:r>
            <w:r w:rsidR="00E84D06" w:rsidRPr="00005453">
              <w:rPr>
                <w:b/>
                <w:color w:val="000000"/>
                <w:sz w:val="14"/>
                <w:szCs w:val="14"/>
              </w:rPr>
              <w:t>928</w:t>
            </w:r>
            <w:r w:rsidRPr="00005453">
              <w:rPr>
                <w:b/>
                <w:color w:val="000000"/>
                <w:sz w:val="14"/>
                <w:szCs w:val="14"/>
              </w:rPr>
              <w:t>,</w:t>
            </w:r>
            <w:r w:rsidR="00E84D06" w:rsidRPr="00005453">
              <w:rPr>
                <w:b/>
                <w:color w:val="000000"/>
                <w:sz w:val="14"/>
                <w:szCs w:val="14"/>
              </w:rPr>
              <w:t>938</w:t>
            </w:r>
            <w:r w:rsidRPr="00005453">
              <w:rPr>
                <w:b/>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1A39A9A2" w14:textId="106B5067" w:rsidR="008755B7" w:rsidRPr="00005453" w:rsidRDefault="008755B7" w:rsidP="00A01767">
            <w:pPr>
              <w:jc w:val="right"/>
              <w:rPr>
                <w:b/>
                <w:bCs/>
                <w:color w:val="000000"/>
                <w:sz w:val="14"/>
                <w:szCs w:val="14"/>
                <w:lang w:eastAsia="tr-TR"/>
              </w:rPr>
            </w:pPr>
            <w:r w:rsidRPr="00005453">
              <w:rPr>
                <w:b/>
                <w:color w:val="000000"/>
                <w:sz w:val="14"/>
                <w:szCs w:val="14"/>
              </w:rPr>
              <w:t>(1,541,294)</w:t>
            </w:r>
          </w:p>
        </w:tc>
      </w:tr>
      <w:tr w:rsidR="008755B7" w:rsidRPr="00005453" w14:paraId="7E8A15E7"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4922C7B"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66C146EB"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1FCA9637"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39F18496" w14:textId="4A198417"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017848B6" w14:textId="7FF828B3" w:rsidR="008755B7" w:rsidRPr="00005453" w:rsidRDefault="008755B7" w:rsidP="00A01767">
            <w:pPr>
              <w:jc w:val="right"/>
              <w:rPr>
                <w:b/>
                <w:bCs/>
                <w:color w:val="000000"/>
                <w:sz w:val="10"/>
                <w:szCs w:val="10"/>
                <w:lang w:eastAsia="tr-TR"/>
              </w:rPr>
            </w:pPr>
          </w:p>
        </w:tc>
      </w:tr>
      <w:tr w:rsidR="008755B7" w:rsidRPr="00005453" w14:paraId="546982F8"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12772A12" w14:textId="77777777" w:rsidR="008755B7" w:rsidRPr="00005453" w:rsidRDefault="008755B7" w:rsidP="008755B7">
            <w:pPr>
              <w:rPr>
                <w:color w:val="000000"/>
                <w:sz w:val="14"/>
                <w:szCs w:val="14"/>
                <w:lang w:eastAsia="tr-TR"/>
              </w:rPr>
            </w:pPr>
            <w:r w:rsidRPr="00005453">
              <w:rPr>
                <w:color w:val="000000"/>
                <w:sz w:val="14"/>
                <w:szCs w:val="14"/>
                <w:lang w:val="en-US" w:eastAsia="tr-TR"/>
              </w:rPr>
              <w:t>3.1</w:t>
            </w:r>
          </w:p>
        </w:tc>
        <w:tc>
          <w:tcPr>
            <w:tcW w:w="4824" w:type="dxa"/>
            <w:tcBorders>
              <w:top w:val="nil"/>
              <w:left w:val="single" w:sz="6" w:space="0" w:color="auto"/>
              <w:bottom w:val="nil"/>
              <w:right w:val="single" w:sz="6" w:space="0" w:color="auto"/>
            </w:tcBorders>
            <w:shd w:val="clear" w:color="auto" w:fill="auto"/>
            <w:noWrap/>
            <w:hideMark/>
          </w:tcPr>
          <w:p w14:paraId="0095A9D1" w14:textId="77777777" w:rsidR="008755B7" w:rsidRPr="00005453" w:rsidRDefault="008755B7" w:rsidP="008755B7">
            <w:pPr>
              <w:rPr>
                <w:color w:val="000000"/>
                <w:sz w:val="14"/>
                <w:szCs w:val="14"/>
                <w:lang w:eastAsia="tr-TR"/>
              </w:rPr>
            </w:pPr>
            <w:r w:rsidRPr="00005453">
              <w:rPr>
                <w:color w:val="000000"/>
                <w:sz w:val="14"/>
                <w:szCs w:val="14"/>
                <w:lang w:val="de-DE" w:eastAsia="tr-TR"/>
              </w:rPr>
              <w:t>Krediler ve İhraç Edilen Menkul Değerlerden Sağlanan Nakit</w:t>
            </w:r>
          </w:p>
        </w:tc>
        <w:tc>
          <w:tcPr>
            <w:tcW w:w="679" w:type="dxa"/>
            <w:tcBorders>
              <w:top w:val="nil"/>
              <w:left w:val="single" w:sz="6" w:space="0" w:color="auto"/>
              <w:bottom w:val="nil"/>
              <w:right w:val="single" w:sz="6" w:space="0" w:color="auto"/>
            </w:tcBorders>
            <w:shd w:val="clear" w:color="auto" w:fill="auto"/>
            <w:noWrap/>
            <w:hideMark/>
          </w:tcPr>
          <w:p w14:paraId="08A07006"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DF65965" w14:textId="7B9B050C" w:rsidR="008755B7" w:rsidRPr="00005453" w:rsidRDefault="008755B7" w:rsidP="00A01767">
            <w:pPr>
              <w:jc w:val="right"/>
              <w:rPr>
                <w:color w:val="000000"/>
                <w:sz w:val="14"/>
                <w:szCs w:val="14"/>
              </w:rPr>
            </w:pPr>
            <w:r w:rsidRPr="00005453">
              <w:rPr>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3ED0340C" w14:textId="13172B6C" w:rsidR="008755B7" w:rsidRPr="00005453" w:rsidRDefault="008755B7" w:rsidP="00A01767">
            <w:pPr>
              <w:jc w:val="right"/>
              <w:rPr>
                <w:b/>
                <w:bCs/>
                <w:color w:val="000000"/>
                <w:sz w:val="14"/>
                <w:szCs w:val="14"/>
                <w:lang w:eastAsia="tr-TR"/>
              </w:rPr>
            </w:pPr>
            <w:r w:rsidRPr="00005453">
              <w:rPr>
                <w:color w:val="000000"/>
                <w:sz w:val="14"/>
                <w:szCs w:val="14"/>
              </w:rPr>
              <w:t>-</w:t>
            </w:r>
          </w:p>
        </w:tc>
      </w:tr>
      <w:tr w:rsidR="008755B7" w:rsidRPr="00005453" w14:paraId="5D1CB9CB"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6ED234B7" w14:textId="77777777" w:rsidR="008755B7" w:rsidRPr="00005453" w:rsidRDefault="008755B7" w:rsidP="008755B7">
            <w:pPr>
              <w:rPr>
                <w:color w:val="000000"/>
                <w:sz w:val="14"/>
                <w:szCs w:val="14"/>
                <w:lang w:eastAsia="tr-TR"/>
              </w:rPr>
            </w:pPr>
            <w:r w:rsidRPr="00005453">
              <w:rPr>
                <w:color w:val="000000"/>
                <w:sz w:val="14"/>
                <w:szCs w:val="14"/>
                <w:lang w:val="en-US" w:eastAsia="tr-TR"/>
              </w:rPr>
              <w:t>3.2</w:t>
            </w:r>
          </w:p>
        </w:tc>
        <w:tc>
          <w:tcPr>
            <w:tcW w:w="4824" w:type="dxa"/>
            <w:tcBorders>
              <w:top w:val="nil"/>
              <w:left w:val="single" w:sz="6" w:space="0" w:color="auto"/>
              <w:bottom w:val="nil"/>
              <w:right w:val="single" w:sz="6" w:space="0" w:color="auto"/>
            </w:tcBorders>
            <w:shd w:val="clear" w:color="auto" w:fill="auto"/>
            <w:noWrap/>
            <w:hideMark/>
          </w:tcPr>
          <w:p w14:paraId="113D3B68" w14:textId="77777777" w:rsidR="008755B7" w:rsidRPr="00005453" w:rsidRDefault="008755B7" w:rsidP="008755B7">
            <w:pPr>
              <w:rPr>
                <w:color w:val="000000"/>
                <w:sz w:val="14"/>
                <w:szCs w:val="14"/>
                <w:lang w:eastAsia="tr-TR"/>
              </w:rPr>
            </w:pPr>
            <w:r w:rsidRPr="00005453">
              <w:rPr>
                <w:color w:val="000000"/>
                <w:sz w:val="14"/>
                <w:szCs w:val="14"/>
                <w:lang w:eastAsia="tr-TR"/>
              </w:rPr>
              <w:t>Krediler ve İhraç Edilen Menkul Değerlerden Kaynaklanan Nakit Çıkışı</w:t>
            </w:r>
          </w:p>
        </w:tc>
        <w:tc>
          <w:tcPr>
            <w:tcW w:w="679" w:type="dxa"/>
            <w:tcBorders>
              <w:top w:val="nil"/>
              <w:left w:val="single" w:sz="6" w:space="0" w:color="auto"/>
              <w:bottom w:val="nil"/>
              <w:right w:val="single" w:sz="6" w:space="0" w:color="auto"/>
            </w:tcBorders>
            <w:shd w:val="clear" w:color="auto" w:fill="auto"/>
            <w:noWrap/>
            <w:hideMark/>
          </w:tcPr>
          <w:p w14:paraId="751CC00C"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6B008032" w14:textId="5C8E6AEB" w:rsidR="008755B7" w:rsidRPr="00005453" w:rsidRDefault="008755B7" w:rsidP="00A01767">
            <w:pPr>
              <w:jc w:val="right"/>
              <w:rPr>
                <w:color w:val="000000"/>
                <w:sz w:val="14"/>
                <w:szCs w:val="14"/>
              </w:rPr>
            </w:pPr>
            <w:r w:rsidRPr="00005453">
              <w:rPr>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0D42F77A" w14:textId="6E3B5118" w:rsidR="008755B7" w:rsidRPr="00005453" w:rsidRDefault="008755B7" w:rsidP="00A01767">
            <w:pPr>
              <w:jc w:val="right"/>
              <w:rPr>
                <w:b/>
                <w:bCs/>
                <w:color w:val="000000"/>
                <w:sz w:val="14"/>
                <w:szCs w:val="14"/>
                <w:lang w:eastAsia="tr-TR"/>
              </w:rPr>
            </w:pPr>
            <w:r w:rsidRPr="00005453">
              <w:rPr>
                <w:color w:val="000000"/>
                <w:sz w:val="14"/>
                <w:szCs w:val="14"/>
              </w:rPr>
              <w:t>-</w:t>
            </w:r>
          </w:p>
        </w:tc>
      </w:tr>
      <w:tr w:rsidR="008755B7" w:rsidRPr="00005453" w14:paraId="5B60A858"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2107C9C" w14:textId="77777777" w:rsidR="008755B7" w:rsidRPr="00005453" w:rsidRDefault="008755B7" w:rsidP="008755B7">
            <w:pPr>
              <w:rPr>
                <w:color w:val="000000"/>
                <w:sz w:val="14"/>
                <w:szCs w:val="14"/>
                <w:lang w:eastAsia="tr-TR"/>
              </w:rPr>
            </w:pPr>
            <w:r w:rsidRPr="00005453">
              <w:rPr>
                <w:color w:val="000000"/>
                <w:sz w:val="14"/>
                <w:szCs w:val="14"/>
                <w:lang w:val="en-US" w:eastAsia="tr-TR"/>
              </w:rPr>
              <w:t>3.3</w:t>
            </w:r>
          </w:p>
        </w:tc>
        <w:tc>
          <w:tcPr>
            <w:tcW w:w="4824" w:type="dxa"/>
            <w:tcBorders>
              <w:top w:val="nil"/>
              <w:left w:val="single" w:sz="6" w:space="0" w:color="auto"/>
              <w:bottom w:val="nil"/>
              <w:right w:val="single" w:sz="6" w:space="0" w:color="auto"/>
            </w:tcBorders>
            <w:shd w:val="clear" w:color="auto" w:fill="auto"/>
            <w:noWrap/>
            <w:hideMark/>
          </w:tcPr>
          <w:p w14:paraId="3D893AAC" w14:textId="77777777" w:rsidR="008755B7" w:rsidRPr="00005453" w:rsidRDefault="008755B7" w:rsidP="008755B7">
            <w:pPr>
              <w:rPr>
                <w:color w:val="000000"/>
                <w:sz w:val="14"/>
                <w:szCs w:val="14"/>
                <w:lang w:eastAsia="tr-TR"/>
              </w:rPr>
            </w:pPr>
            <w:r w:rsidRPr="00005453">
              <w:rPr>
                <w:color w:val="000000"/>
                <w:sz w:val="14"/>
                <w:szCs w:val="14"/>
                <w:lang w:val="en-US" w:eastAsia="tr-TR"/>
              </w:rPr>
              <w:t>İhraç Edilen Sermaye Araçları</w:t>
            </w:r>
          </w:p>
        </w:tc>
        <w:tc>
          <w:tcPr>
            <w:tcW w:w="679" w:type="dxa"/>
            <w:tcBorders>
              <w:top w:val="nil"/>
              <w:left w:val="single" w:sz="6" w:space="0" w:color="auto"/>
              <w:bottom w:val="nil"/>
              <w:right w:val="single" w:sz="6" w:space="0" w:color="auto"/>
            </w:tcBorders>
            <w:shd w:val="clear" w:color="auto" w:fill="auto"/>
            <w:noWrap/>
            <w:hideMark/>
          </w:tcPr>
          <w:p w14:paraId="549CB5B2"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AF34602" w14:textId="085A3FCC" w:rsidR="008755B7" w:rsidRPr="00005453" w:rsidRDefault="008755B7" w:rsidP="00A01767">
            <w:pPr>
              <w:jc w:val="right"/>
              <w:rPr>
                <w:color w:val="000000"/>
                <w:sz w:val="14"/>
                <w:szCs w:val="14"/>
              </w:rPr>
            </w:pPr>
            <w:r w:rsidRPr="00005453">
              <w:rPr>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01D17420" w14:textId="29612BF0" w:rsidR="008755B7" w:rsidRPr="00005453" w:rsidRDefault="008755B7" w:rsidP="00A01767">
            <w:pPr>
              <w:jc w:val="right"/>
              <w:rPr>
                <w:color w:val="000000"/>
                <w:sz w:val="14"/>
                <w:szCs w:val="14"/>
                <w:lang w:eastAsia="tr-TR"/>
              </w:rPr>
            </w:pPr>
            <w:r w:rsidRPr="00005453">
              <w:rPr>
                <w:color w:val="000000"/>
                <w:sz w:val="14"/>
                <w:szCs w:val="14"/>
              </w:rPr>
              <w:t>-</w:t>
            </w:r>
          </w:p>
        </w:tc>
      </w:tr>
      <w:tr w:rsidR="00E84D06" w:rsidRPr="00005453" w14:paraId="2BD8E6E1"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26272512" w14:textId="77777777" w:rsidR="00E84D06" w:rsidRPr="00005453" w:rsidRDefault="00E84D06" w:rsidP="00E84D06">
            <w:pPr>
              <w:rPr>
                <w:color w:val="000000"/>
                <w:sz w:val="14"/>
                <w:szCs w:val="14"/>
                <w:lang w:eastAsia="tr-TR"/>
              </w:rPr>
            </w:pPr>
            <w:r w:rsidRPr="00005453">
              <w:rPr>
                <w:color w:val="000000"/>
                <w:sz w:val="14"/>
                <w:szCs w:val="14"/>
                <w:lang w:val="en-US" w:eastAsia="tr-TR"/>
              </w:rPr>
              <w:t>3.4</w:t>
            </w:r>
          </w:p>
        </w:tc>
        <w:tc>
          <w:tcPr>
            <w:tcW w:w="4824" w:type="dxa"/>
            <w:tcBorders>
              <w:top w:val="nil"/>
              <w:left w:val="single" w:sz="6" w:space="0" w:color="auto"/>
              <w:bottom w:val="nil"/>
              <w:right w:val="single" w:sz="6" w:space="0" w:color="auto"/>
            </w:tcBorders>
            <w:shd w:val="clear" w:color="auto" w:fill="auto"/>
            <w:noWrap/>
            <w:hideMark/>
          </w:tcPr>
          <w:p w14:paraId="46C5D9A3" w14:textId="77777777" w:rsidR="00E84D06" w:rsidRPr="00005453" w:rsidRDefault="00E84D06" w:rsidP="00E84D06">
            <w:pPr>
              <w:rPr>
                <w:color w:val="000000"/>
                <w:sz w:val="14"/>
                <w:szCs w:val="14"/>
                <w:lang w:eastAsia="tr-TR"/>
              </w:rPr>
            </w:pPr>
            <w:r w:rsidRPr="00005453">
              <w:rPr>
                <w:color w:val="000000"/>
                <w:sz w:val="14"/>
                <w:szCs w:val="14"/>
                <w:lang w:val="en-US" w:eastAsia="tr-TR"/>
              </w:rPr>
              <w:t>Temettü Ödemeleri</w:t>
            </w:r>
          </w:p>
        </w:tc>
        <w:tc>
          <w:tcPr>
            <w:tcW w:w="679" w:type="dxa"/>
            <w:tcBorders>
              <w:top w:val="nil"/>
              <w:left w:val="single" w:sz="6" w:space="0" w:color="auto"/>
              <w:bottom w:val="nil"/>
              <w:right w:val="single" w:sz="6" w:space="0" w:color="auto"/>
            </w:tcBorders>
            <w:shd w:val="clear" w:color="auto" w:fill="auto"/>
            <w:noWrap/>
            <w:hideMark/>
          </w:tcPr>
          <w:p w14:paraId="2F3B219A"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0A84CD31" w14:textId="02BD157E" w:rsidR="00E84D06" w:rsidRPr="00005453" w:rsidRDefault="00E84D06" w:rsidP="00A01767">
            <w:pPr>
              <w:jc w:val="right"/>
              <w:rPr>
                <w:color w:val="000000"/>
                <w:sz w:val="14"/>
                <w:szCs w:val="14"/>
              </w:rPr>
            </w:pPr>
            <w:r w:rsidRPr="00005453">
              <w:rPr>
                <w:color w:val="000000"/>
                <w:sz w:val="14"/>
                <w:szCs w:val="22"/>
              </w:rPr>
              <w:t>(2,660,937)</w:t>
            </w:r>
          </w:p>
        </w:tc>
        <w:tc>
          <w:tcPr>
            <w:tcW w:w="1721" w:type="dxa"/>
            <w:tcBorders>
              <w:top w:val="nil"/>
              <w:left w:val="single" w:sz="6" w:space="0" w:color="auto"/>
              <w:bottom w:val="nil"/>
              <w:right w:val="single" w:sz="6" w:space="0" w:color="auto"/>
            </w:tcBorders>
            <w:shd w:val="clear" w:color="auto" w:fill="auto"/>
            <w:noWrap/>
            <w:vAlign w:val="center"/>
            <w:hideMark/>
          </w:tcPr>
          <w:p w14:paraId="23C085C7" w14:textId="05A0BED8" w:rsidR="00E84D06" w:rsidRPr="00005453" w:rsidRDefault="00E84D06" w:rsidP="00A01767">
            <w:pPr>
              <w:jc w:val="right"/>
              <w:rPr>
                <w:color w:val="000000"/>
                <w:sz w:val="14"/>
                <w:szCs w:val="14"/>
                <w:lang w:eastAsia="tr-TR"/>
              </w:rPr>
            </w:pPr>
            <w:r w:rsidRPr="00005453">
              <w:rPr>
                <w:color w:val="000000"/>
                <w:sz w:val="14"/>
                <w:szCs w:val="14"/>
              </w:rPr>
              <w:t>(1,400,000)</w:t>
            </w:r>
          </w:p>
        </w:tc>
      </w:tr>
      <w:tr w:rsidR="00E84D06" w:rsidRPr="00005453" w14:paraId="114672C5"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B1E196F" w14:textId="77777777" w:rsidR="00E84D06" w:rsidRPr="00005453" w:rsidRDefault="00E84D06" w:rsidP="00E84D06">
            <w:pPr>
              <w:rPr>
                <w:color w:val="000000"/>
                <w:sz w:val="14"/>
                <w:szCs w:val="14"/>
                <w:lang w:eastAsia="tr-TR"/>
              </w:rPr>
            </w:pPr>
            <w:r w:rsidRPr="00005453">
              <w:rPr>
                <w:color w:val="000000"/>
                <w:sz w:val="14"/>
                <w:szCs w:val="14"/>
                <w:lang w:val="en-US" w:eastAsia="tr-TR"/>
              </w:rPr>
              <w:t>3.5</w:t>
            </w:r>
          </w:p>
        </w:tc>
        <w:tc>
          <w:tcPr>
            <w:tcW w:w="4824" w:type="dxa"/>
            <w:tcBorders>
              <w:top w:val="nil"/>
              <w:left w:val="single" w:sz="6" w:space="0" w:color="auto"/>
              <w:bottom w:val="nil"/>
              <w:right w:val="single" w:sz="6" w:space="0" w:color="auto"/>
            </w:tcBorders>
            <w:shd w:val="clear" w:color="auto" w:fill="auto"/>
            <w:noWrap/>
            <w:hideMark/>
          </w:tcPr>
          <w:p w14:paraId="0CC28D0C" w14:textId="7A2FDF59" w:rsidR="00E84D06" w:rsidRPr="00005453" w:rsidRDefault="00E84D06" w:rsidP="00E84D06">
            <w:pPr>
              <w:rPr>
                <w:color w:val="000000"/>
                <w:sz w:val="14"/>
                <w:szCs w:val="14"/>
                <w:lang w:eastAsia="tr-TR"/>
              </w:rPr>
            </w:pPr>
            <w:r w:rsidRPr="00005453">
              <w:rPr>
                <w:color w:val="000000"/>
                <w:sz w:val="14"/>
                <w:szCs w:val="14"/>
                <w:lang w:val="en-US" w:eastAsia="tr-TR"/>
              </w:rPr>
              <w:t>Kiralamaya İlişkin Ödemeler</w:t>
            </w:r>
          </w:p>
        </w:tc>
        <w:tc>
          <w:tcPr>
            <w:tcW w:w="679" w:type="dxa"/>
            <w:tcBorders>
              <w:top w:val="nil"/>
              <w:left w:val="single" w:sz="6" w:space="0" w:color="auto"/>
              <w:bottom w:val="nil"/>
              <w:right w:val="single" w:sz="6" w:space="0" w:color="auto"/>
            </w:tcBorders>
            <w:shd w:val="clear" w:color="auto" w:fill="auto"/>
            <w:noWrap/>
            <w:hideMark/>
          </w:tcPr>
          <w:p w14:paraId="1EA9B10C" w14:textId="77777777" w:rsidR="00E84D06" w:rsidRPr="00005453" w:rsidRDefault="00E84D06" w:rsidP="00E84D06">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6EF9C8DD" w14:textId="0EC990C2" w:rsidR="00E84D06" w:rsidRPr="00005453" w:rsidRDefault="00E84D06" w:rsidP="00A01767">
            <w:pPr>
              <w:jc w:val="right"/>
              <w:rPr>
                <w:color w:val="000000"/>
                <w:sz w:val="14"/>
                <w:szCs w:val="14"/>
              </w:rPr>
            </w:pPr>
            <w:r w:rsidRPr="00005453">
              <w:rPr>
                <w:color w:val="000000"/>
                <w:sz w:val="14"/>
                <w:szCs w:val="22"/>
              </w:rPr>
              <w:t>(268,001)</w:t>
            </w:r>
          </w:p>
        </w:tc>
        <w:tc>
          <w:tcPr>
            <w:tcW w:w="1721" w:type="dxa"/>
            <w:tcBorders>
              <w:top w:val="nil"/>
              <w:left w:val="single" w:sz="6" w:space="0" w:color="auto"/>
              <w:bottom w:val="nil"/>
              <w:right w:val="single" w:sz="6" w:space="0" w:color="auto"/>
            </w:tcBorders>
            <w:shd w:val="clear" w:color="auto" w:fill="auto"/>
            <w:noWrap/>
            <w:vAlign w:val="center"/>
            <w:hideMark/>
          </w:tcPr>
          <w:p w14:paraId="7F9BA644" w14:textId="06BF1780" w:rsidR="00E84D06" w:rsidRPr="00005453" w:rsidRDefault="00E84D06" w:rsidP="00A01767">
            <w:pPr>
              <w:jc w:val="right"/>
              <w:rPr>
                <w:color w:val="000000"/>
                <w:sz w:val="14"/>
                <w:szCs w:val="14"/>
                <w:lang w:eastAsia="tr-TR"/>
              </w:rPr>
            </w:pPr>
            <w:r w:rsidRPr="00005453">
              <w:rPr>
                <w:color w:val="000000"/>
                <w:sz w:val="14"/>
                <w:szCs w:val="14"/>
              </w:rPr>
              <w:t>(141,294)</w:t>
            </w:r>
          </w:p>
        </w:tc>
      </w:tr>
      <w:tr w:rsidR="008755B7" w:rsidRPr="00005453" w14:paraId="569E96DC"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56ADB0FA" w14:textId="77777777" w:rsidR="008755B7" w:rsidRPr="00005453" w:rsidRDefault="008755B7" w:rsidP="008755B7">
            <w:pPr>
              <w:rPr>
                <w:color w:val="000000"/>
                <w:sz w:val="14"/>
                <w:szCs w:val="14"/>
                <w:lang w:eastAsia="tr-TR"/>
              </w:rPr>
            </w:pPr>
            <w:r w:rsidRPr="00005453">
              <w:rPr>
                <w:color w:val="000000"/>
                <w:sz w:val="14"/>
                <w:szCs w:val="14"/>
                <w:lang w:val="en-US" w:eastAsia="tr-TR"/>
              </w:rPr>
              <w:t>3.6</w:t>
            </w:r>
          </w:p>
        </w:tc>
        <w:tc>
          <w:tcPr>
            <w:tcW w:w="4824" w:type="dxa"/>
            <w:tcBorders>
              <w:top w:val="nil"/>
              <w:left w:val="single" w:sz="6" w:space="0" w:color="auto"/>
              <w:bottom w:val="nil"/>
              <w:right w:val="single" w:sz="6" w:space="0" w:color="auto"/>
            </w:tcBorders>
            <w:shd w:val="clear" w:color="auto" w:fill="auto"/>
            <w:noWrap/>
            <w:hideMark/>
          </w:tcPr>
          <w:p w14:paraId="606B569D" w14:textId="77777777" w:rsidR="008755B7" w:rsidRPr="00005453" w:rsidRDefault="008755B7" w:rsidP="008755B7">
            <w:pPr>
              <w:rPr>
                <w:color w:val="000000"/>
                <w:sz w:val="14"/>
                <w:szCs w:val="14"/>
                <w:lang w:eastAsia="tr-TR"/>
              </w:rPr>
            </w:pPr>
            <w:r w:rsidRPr="00005453">
              <w:rPr>
                <w:color w:val="000000"/>
                <w:sz w:val="14"/>
                <w:szCs w:val="14"/>
                <w:lang w:val="en-US" w:eastAsia="tr-TR"/>
              </w:rPr>
              <w:t>Diğer</w:t>
            </w:r>
          </w:p>
        </w:tc>
        <w:tc>
          <w:tcPr>
            <w:tcW w:w="679" w:type="dxa"/>
            <w:tcBorders>
              <w:top w:val="nil"/>
              <w:left w:val="single" w:sz="6" w:space="0" w:color="auto"/>
              <w:bottom w:val="nil"/>
              <w:right w:val="single" w:sz="6" w:space="0" w:color="auto"/>
            </w:tcBorders>
            <w:shd w:val="clear" w:color="auto" w:fill="auto"/>
            <w:noWrap/>
            <w:hideMark/>
          </w:tcPr>
          <w:p w14:paraId="10E69F2D"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7A754887" w14:textId="0511C8C2" w:rsidR="008755B7" w:rsidRPr="00005453" w:rsidRDefault="008755B7" w:rsidP="00A01767">
            <w:pPr>
              <w:jc w:val="right"/>
              <w:rPr>
                <w:color w:val="000000"/>
                <w:sz w:val="14"/>
                <w:szCs w:val="14"/>
              </w:rPr>
            </w:pPr>
            <w:r w:rsidRPr="00005453">
              <w:rPr>
                <w:color w:val="000000"/>
                <w:sz w:val="14"/>
                <w:szCs w:val="14"/>
              </w:rPr>
              <w:t>-</w:t>
            </w:r>
          </w:p>
        </w:tc>
        <w:tc>
          <w:tcPr>
            <w:tcW w:w="1721" w:type="dxa"/>
            <w:tcBorders>
              <w:top w:val="nil"/>
              <w:left w:val="single" w:sz="6" w:space="0" w:color="auto"/>
              <w:bottom w:val="nil"/>
              <w:right w:val="single" w:sz="6" w:space="0" w:color="auto"/>
            </w:tcBorders>
            <w:shd w:val="clear" w:color="auto" w:fill="auto"/>
            <w:noWrap/>
            <w:vAlign w:val="center"/>
            <w:hideMark/>
          </w:tcPr>
          <w:p w14:paraId="006C5251" w14:textId="3B0BA1A8" w:rsidR="008755B7" w:rsidRPr="00005453" w:rsidRDefault="008755B7" w:rsidP="00A01767">
            <w:pPr>
              <w:jc w:val="right"/>
              <w:rPr>
                <w:b/>
                <w:bCs/>
                <w:color w:val="000000"/>
                <w:sz w:val="14"/>
                <w:szCs w:val="14"/>
                <w:lang w:eastAsia="tr-TR"/>
              </w:rPr>
            </w:pPr>
            <w:r w:rsidRPr="00005453">
              <w:rPr>
                <w:color w:val="000000"/>
                <w:sz w:val="14"/>
                <w:szCs w:val="14"/>
              </w:rPr>
              <w:t>-</w:t>
            </w:r>
          </w:p>
        </w:tc>
      </w:tr>
      <w:tr w:rsidR="008755B7" w:rsidRPr="00005453" w14:paraId="39539190" w14:textId="77777777" w:rsidTr="00A01767">
        <w:trPr>
          <w:trHeight w:val="111"/>
        </w:trPr>
        <w:tc>
          <w:tcPr>
            <w:tcW w:w="490" w:type="dxa"/>
            <w:tcBorders>
              <w:top w:val="nil"/>
              <w:left w:val="single" w:sz="6" w:space="0" w:color="auto"/>
              <w:bottom w:val="nil"/>
              <w:right w:val="single" w:sz="6" w:space="0" w:color="auto"/>
            </w:tcBorders>
            <w:shd w:val="clear" w:color="auto" w:fill="auto"/>
            <w:noWrap/>
            <w:vAlign w:val="bottom"/>
            <w:hideMark/>
          </w:tcPr>
          <w:p w14:paraId="1D0E60EC"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hideMark/>
          </w:tcPr>
          <w:p w14:paraId="4BA90B5C"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2F25A928"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52D72A1D" w14:textId="4FED34CE" w:rsidR="008755B7" w:rsidRPr="00005453" w:rsidRDefault="008755B7" w:rsidP="00A01767">
            <w:pPr>
              <w:jc w:val="right"/>
              <w:rPr>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2377786C" w14:textId="6E3E5E73" w:rsidR="008755B7" w:rsidRPr="00005453" w:rsidRDefault="008755B7" w:rsidP="00A01767">
            <w:pPr>
              <w:jc w:val="right"/>
              <w:rPr>
                <w:b/>
                <w:bCs/>
                <w:color w:val="000000"/>
                <w:sz w:val="10"/>
                <w:szCs w:val="10"/>
                <w:lang w:eastAsia="tr-TR"/>
              </w:rPr>
            </w:pPr>
          </w:p>
        </w:tc>
      </w:tr>
      <w:tr w:rsidR="008755B7" w:rsidRPr="00005453" w14:paraId="733B3D04"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56042258"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IV.</w:t>
            </w:r>
          </w:p>
        </w:tc>
        <w:tc>
          <w:tcPr>
            <w:tcW w:w="4824" w:type="dxa"/>
            <w:tcBorders>
              <w:top w:val="nil"/>
              <w:left w:val="single" w:sz="6" w:space="0" w:color="auto"/>
              <w:bottom w:val="nil"/>
              <w:right w:val="single" w:sz="6" w:space="0" w:color="auto"/>
            </w:tcBorders>
            <w:shd w:val="clear" w:color="auto" w:fill="auto"/>
            <w:noWrap/>
            <w:hideMark/>
          </w:tcPr>
          <w:p w14:paraId="77A66C6C"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Yabancı Para Çevrim Farklarının Nakit ve Nakde Eşdeğer Varlıklar Üzerindeki Etkisi</w:t>
            </w:r>
          </w:p>
        </w:tc>
        <w:tc>
          <w:tcPr>
            <w:tcW w:w="679" w:type="dxa"/>
            <w:tcBorders>
              <w:top w:val="nil"/>
              <w:left w:val="single" w:sz="6" w:space="0" w:color="auto"/>
              <w:bottom w:val="nil"/>
              <w:right w:val="single" w:sz="6" w:space="0" w:color="auto"/>
            </w:tcBorders>
            <w:shd w:val="clear" w:color="auto" w:fill="auto"/>
            <w:noWrap/>
            <w:hideMark/>
          </w:tcPr>
          <w:p w14:paraId="469A5F00" w14:textId="28D9BC36" w:rsidR="008755B7" w:rsidRPr="00005453" w:rsidRDefault="008755B7" w:rsidP="008755B7">
            <w:pPr>
              <w:jc w:val="center"/>
              <w:rPr>
                <w:b/>
                <w:bCs/>
                <w:color w:val="000000"/>
                <w:sz w:val="14"/>
                <w:szCs w:val="14"/>
                <w:lang w:eastAsia="tr-TR"/>
              </w:rPr>
            </w:pPr>
            <w:r w:rsidRPr="00005453">
              <w:rPr>
                <w:b/>
                <w:bCs/>
                <w:color w:val="000000"/>
                <w:sz w:val="14"/>
                <w:szCs w:val="14"/>
                <w:lang w:eastAsia="tr-TR"/>
              </w:rPr>
              <w:t>(5.6.4)</w:t>
            </w:r>
          </w:p>
        </w:tc>
        <w:tc>
          <w:tcPr>
            <w:tcW w:w="1796" w:type="dxa"/>
            <w:tcBorders>
              <w:top w:val="nil"/>
              <w:left w:val="single" w:sz="6" w:space="0" w:color="auto"/>
              <w:bottom w:val="nil"/>
              <w:right w:val="single" w:sz="6" w:space="0" w:color="auto"/>
            </w:tcBorders>
            <w:shd w:val="clear" w:color="auto" w:fill="auto"/>
            <w:vAlign w:val="center"/>
            <w:hideMark/>
          </w:tcPr>
          <w:p w14:paraId="2B3B4EE7" w14:textId="22636E12" w:rsidR="008755B7" w:rsidRPr="00005453" w:rsidRDefault="008755B7" w:rsidP="00A01767">
            <w:pPr>
              <w:jc w:val="right"/>
              <w:rPr>
                <w:b/>
                <w:color w:val="000000"/>
                <w:sz w:val="14"/>
                <w:szCs w:val="14"/>
              </w:rPr>
            </w:pPr>
            <w:r w:rsidRPr="00005453">
              <w:rPr>
                <w:b/>
                <w:color w:val="000000"/>
                <w:sz w:val="14"/>
                <w:szCs w:val="14"/>
              </w:rPr>
              <w:t>3</w:t>
            </w:r>
            <w:r w:rsidR="00E84D06" w:rsidRPr="00005453">
              <w:rPr>
                <w:b/>
                <w:color w:val="000000"/>
                <w:sz w:val="14"/>
                <w:szCs w:val="14"/>
              </w:rPr>
              <w:t>6</w:t>
            </w:r>
            <w:r w:rsidRPr="00005453">
              <w:rPr>
                <w:b/>
                <w:color w:val="000000"/>
                <w:sz w:val="14"/>
                <w:szCs w:val="14"/>
              </w:rPr>
              <w:t>,</w:t>
            </w:r>
            <w:r w:rsidR="00E84D06" w:rsidRPr="00005453">
              <w:rPr>
                <w:b/>
                <w:color w:val="000000"/>
                <w:sz w:val="14"/>
                <w:szCs w:val="14"/>
              </w:rPr>
              <w:t>516</w:t>
            </w:r>
            <w:r w:rsidRPr="00005453">
              <w:rPr>
                <w:b/>
                <w:color w:val="000000"/>
                <w:sz w:val="14"/>
                <w:szCs w:val="14"/>
              </w:rPr>
              <w:t>,</w:t>
            </w:r>
            <w:r w:rsidR="00E84D06" w:rsidRPr="00005453">
              <w:rPr>
                <w:b/>
                <w:color w:val="000000"/>
                <w:sz w:val="14"/>
                <w:szCs w:val="14"/>
              </w:rPr>
              <w:t>686</w:t>
            </w:r>
          </w:p>
        </w:tc>
        <w:tc>
          <w:tcPr>
            <w:tcW w:w="1721" w:type="dxa"/>
            <w:tcBorders>
              <w:top w:val="nil"/>
              <w:left w:val="single" w:sz="6" w:space="0" w:color="auto"/>
              <w:bottom w:val="nil"/>
              <w:right w:val="single" w:sz="6" w:space="0" w:color="auto"/>
            </w:tcBorders>
            <w:shd w:val="clear" w:color="auto" w:fill="auto"/>
            <w:noWrap/>
            <w:vAlign w:val="center"/>
            <w:hideMark/>
          </w:tcPr>
          <w:p w14:paraId="1D4ECDD6" w14:textId="7692BAD3" w:rsidR="008755B7" w:rsidRPr="00005453" w:rsidRDefault="008755B7" w:rsidP="00A01767">
            <w:pPr>
              <w:jc w:val="right"/>
              <w:rPr>
                <w:b/>
                <w:bCs/>
                <w:color w:val="000000"/>
                <w:sz w:val="14"/>
                <w:szCs w:val="14"/>
                <w:lang w:eastAsia="tr-TR"/>
              </w:rPr>
            </w:pPr>
            <w:r w:rsidRPr="00005453">
              <w:rPr>
                <w:b/>
                <w:color w:val="000000"/>
                <w:sz w:val="14"/>
                <w:szCs w:val="14"/>
              </w:rPr>
              <w:t>35,924,861</w:t>
            </w:r>
          </w:p>
        </w:tc>
      </w:tr>
      <w:tr w:rsidR="008755B7" w:rsidRPr="00005453" w14:paraId="5E3747FB"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42A0BE16"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vAlign w:val="bottom"/>
            <w:hideMark/>
          </w:tcPr>
          <w:p w14:paraId="2BA920BE"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1259EF32"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F3A004C" w14:textId="7659DF09" w:rsidR="008755B7" w:rsidRPr="00005453" w:rsidRDefault="008755B7" w:rsidP="00A01767">
            <w:pPr>
              <w:jc w:val="right"/>
              <w:rPr>
                <w:b/>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0F2A20C1" w14:textId="761622EA" w:rsidR="008755B7" w:rsidRPr="00005453" w:rsidRDefault="008755B7" w:rsidP="00A01767">
            <w:pPr>
              <w:jc w:val="right"/>
              <w:rPr>
                <w:b/>
                <w:bCs/>
                <w:color w:val="000000"/>
                <w:sz w:val="10"/>
                <w:szCs w:val="10"/>
                <w:lang w:eastAsia="tr-TR"/>
              </w:rPr>
            </w:pPr>
          </w:p>
        </w:tc>
      </w:tr>
      <w:tr w:rsidR="008755B7" w:rsidRPr="00005453" w14:paraId="7969FF4A"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9D1470C"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V.</w:t>
            </w:r>
          </w:p>
        </w:tc>
        <w:tc>
          <w:tcPr>
            <w:tcW w:w="4824" w:type="dxa"/>
            <w:tcBorders>
              <w:top w:val="nil"/>
              <w:left w:val="single" w:sz="6" w:space="0" w:color="auto"/>
              <w:bottom w:val="nil"/>
              <w:right w:val="single" w:sz="6" w:space="0" w:color="auto"/>
            </w:tcBorders>
            <w:shd w:val="clear" w:color="auto" w:fill="auto"/>
            <w:noWrap/>
            <w:vAlign w:val="bottom"/>
            <w:hideMark/>
          </w:tcPr>
          <w:p w14:paraId="3C9F4930"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Nakit ve Nakde Eşdeğer Varlıklardaki Net Artış</w:t>
            </w:r>
          </w:p>
        </w:tc>
        <w:tc>
          <w:tcPr>
            <w:tcW w:w="679" w:type="dxa"/>
            <w:tcBorders>
              <w:top w:val="nil"/>
              <w:left w:val="single" w:sz="6" w:space="0" w:color="auto"/>
              <w:bottom w:val="nil"/>
              <w:right w:val="single" w:sz="6" w:space="0" w:color="auto"/>
            </w:tcBorders>
            <w:shd w:val="clear" w:color="auto" w:fill="auto"/>
            <w:noWrap/>
            <w:hideMark/>
          </w:tcPr>
          <w:p w14:paraId="45C78842" w14:textId="77777777" w:rsidR="008755B7" w:rsidRPr="00005453" w:rsidRDefault="008755B7" w:rsidP="008755B7">
            <w:pPr>
              <w:jc w:val="center"/>
              <w:rPr>
                <w:color w:val="000000"/>
                <w:sz w:val="14"/>
                <w:szCs w:val="14"/>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12C3334E" w14:textId="2400F6A4" w:rsidR="008755B7" w:rsidRPr="00005453" w:rsidRDefault="00E84D06" w:rsidP="00A01767">
            <w:pPr>
              <w:jc w:val="right"/>
              <w:rPr>
                <w:b/>
                <w:color w:val="000000"/>
                <w:sz w:val="14"/>
                <w:szCs w:val="14"/>
              </w:rPr>
            </w:pPr>
            <w:r w:rsidRPr="00005453">
              <w:rPr>
                <w:b/>
                <w:color w:val="000000"/>
                <w:sz w:val="14"/>
                <w:szCs w:val="14"/>
              </w:rPr>
              <w:t>53</w:t>
            </w:r>
            <w:r w:rsidR="008755B7" w:rsidRPr="00005453">
              <w:rPr>
                <w:b/>
                <w:color w:val="000000"/>
                <w:sz w:val="14"/>
                <w:szCs w:val="14"/>
              </w:rPr>
              <w:t>,</w:t>
            </w:r>
            <w:r w:rsidRPr="00005453">
              <w:rPr>
                <w:b/>
                <w:color w:val="000000"/>
                <w:sz w:val="14"/>
                <w:szCs w:val="14"/>
              </w:rPr>
              <w:t>849</w:t>
            </w:r>
            <w:r w:rsidR="008755B7" w:rsidRPr="00005453">
              <w:rPr>
                <w:b/>
                <w:color w:val="000000"/>
                <w:sz w:val="14"/>
                <w:szCs w:val="14"/>
              </w:rPr>
              <w:t>,</w:t>
            </w:r>
            <w:r w:rsidRPr="00005453">
              <w:rPr>
                <w:b/>
                <w:color w:val="000000"/>
                <w:sz w:val="14"/>
                <w:szCs w:val="14"/>
              </w:rPr>
              <w:t>966</w:t>
            </w:r>
          </w:p>
        </w:tc>
        <w:tc>
          <w:tcPr>
            <w:tcW w:w="1721" w:type="dxa"/>
            <w:tcBorders>
              <w:top w:val="nil"/>
              <w:left w:val="single" w:sz="6" w:space="0" w:color="auto"/>
              <w:bottom w:val="nil"/>
              <w:right w:val="single" w:sz="6" w:space="0" w:color="auto"/>
            </w:tcBorders>
            <w:shd w:val="clear" w:color="auto" w:fill="auto"/>
            <w:noWrap/>
            <w:vAlign w:val="center"/>
            <w:hideMark/>
          </w:tcPr>
          <w:p w14:paraId="6593FD51" w14:textId="0A91881C" w:rsidR="008755B7" w:rsidRPr="00005453" w:rsidRDefault="008755B7" w:rsidP="00A01767">
            <w:pPr>
              <w:jc w:val="right"/>
              <w:rPr>
                <w:b/>
                <w:bCs/>
                <w:color w:val="000000"/>
                <w:sz w:val="14"/>
                <w:szCs w:val="14"/>
                <w:lang w:eastAsia="tr-TR"/>
              </w:rPr>
            </w:pPr>
            <w:r w:rsidRPr="00005453">
              <w:rPr>
                <w:b/>
                <w:color w:val="000000"/>
                <w:sz w:val="14"/>
                <w:szCs w:val="14"/>
              </w:rPr>
              <w:t>26,365,298</w:t>
            </w:r>
          </w:p>
        </w:tc>
      </w:tr>
      <w:tr w:rsidR="008755B7" w:rsidRPr="00005453" w14:paraId="7BF4C8AD"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273A52D"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vAlign w:val="bottom"/>
            <w:hideMark/>
          </w:tcPr>
          <w:p w14:paraId="5994B3BF"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38C07EBA" w14:textId="77777777" w:rsidR="008755B7" w:rsidRPr="00005453" w:rsidRDefault="008755B7" w:rsidP="008755B7">
            <w:pPr>
              <w:jc w:val="center"/>
              <w:rPr>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4BCA8554" w14:textId="602875AE" w:rsidR="008755B7" w:rsidRPr="00005453" w:rsidRDefault="008755B7" w:rsidP="00A01767">
            <w:pPr>
              <w:jc w:val="right"/>
              <w:rPr>
                <w:b/>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3369C69A" w14:textId="0C1F4BEE" w:rsidR="008755B7" w:rsidRPr="00005453" w:rsidRDefault="008755B7" w:rsidP="00A01767">
            <w:pPr>
              <w:jc w:val="right"/>
              <w:rPr>
                <w:b/>
                <w:bCs/>
                <w:color w:val="000000"/>
                <w:sz w:val="10"/>
                <w:szCs w:val="10"/>
                <w:lang w:eastAsia="tr-TR"/>
              </w:rPr>
            </w:pPr>
          </w:p>
        </w:tc>
      </w:tr>
      <w:tr w:rsidR="008755B7" w:rsidRPr="00005453" w14:paraId="7344F8F3"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78C380AB"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VI.</w:t>
            </w:r>
          </w:p>
        </w:tc>
        <w:tc>
          <w:tcPr>
            <w:tcW w:w="4824" w:type="dxa"/>
            <w:tcBorders>
              <w:top w:val="nil"/>
              <w:left w:val="single" w:sz="6" w:space="0" w:color="auto"/>
              <w:bottom w:val="nil"/>
              <w:right w:val="single" w:sz="6" w:space="0" w:color="auto"/>
            </w:tcBorders>
            <w:shd w:val="clear" w:color="auto" w:fill="auto"/>
            <w:noWrap/>
            <w:vAlign w:val="bottom"/>
            <w:hideMark/>
          </w:tcPr>
          <w:p w14:paraId="7F2C08A4"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Dönem Başındaki Nakit ve Nakde Eşdeğer Varlıklar</w:t>
            </w:r>
          </w:p>
        </w:tc>
        <w:tc>
          <w:tcPr>
            <w:tcW w:w="679" w:type="dxa"/>
            <w:tcBorders>
              <w:top w:val="nil"/>
              <w:left w:val="single" w:sz="6" w:space="0" w:color="auto"/>
              <w:bottom w:val="nil"/>
              <w:right w:val="single" w:sz="6" w:space="0" w:color="auto"/>
            </w:tcBorders>
            <w:shd w:val="clear" w:color="auto" w:fill="auto"/>
            <w:noWrap/>
            <w:hideMark/>
          </w:tcPr>
          <w:p w14:paraId="57548AC4" w14:textId="227497DF" w:rsidR="008755B7" w:rsidRPr="00005453" w:rsidRDefault="008755B7" w:rsidP="008755B7">
            <w:pPr>
              <w:jc w:val="center"/>
              <w:rPr>
                <w:b/>
                <w:bCs/>
                <w:color w:val="000000"/>
                <w:sz w:val="14"/>
                <w:szCs w:val="14"/>
                <w:lang w:eastAsia="tr-TR"/>
              </w:rPr>
            </w:pPr>
            <w:r w:rsidRPr="00005453">
              <w:rPr>
                <w:b/>
                <w:bCs/>
                <w:color w:val="000000"/>
                <w:sz w:val="14"/>
                <w:szCs w:val="14"/>
                <w:lang w:eastAsia="tr-TR"/>
              </w:rPr>
              <w:t>(5.6.1)</w:t>
            </w:r>
          </w:p>
        </w:tc>
        <w:tc>
          <w:tcPr>
            <w:tcW w:w="1796" w:type="dxa"/>
            <w:tcBorders>
              <w:top w:val="nil"/>
              <w:left w:val="single" w:sz="6" w:space="0" w:color="auto"/>
              <w:bottom w:val="nil"/>
              <w:right w:val="single" w:sz="6" w:space="0" w:color="auto"/>
            </w:tcBorders>
            <w:shd w:val="clear" w:color="auto" w:fill="auto"/>
            <w:vAlign w:val="center"/>
            <w:hideMark/>
          </w:tcPr>
          <w:p w14:paraId="615C5F89" w14:textId="0415DCA6" w:rsidR="008755B7" w:rsidRPr="00005453" w:rsidRDefault="00E84D06" w:rsidP="00A01767">
            <w:pPr>
              <w:jc w:val="right"/>
              <w:rPr>
                <w:b/>
                <w:color w:val="000000"/>
                <w:sz w:val="14"/>
                <w:szCs w:val="14"/>
              </w:rPr>
            </w:pPr>
            <w:r w:rsidRPr="00005453">
              <w:rPr>
                <w:b/>
                <w:color w:val="000000"/>
                <w:sz w:val="14"/>
                <w:szCs w:val="14"/>
              </w:rPr>
              <w:t>71</w:t>
            </w:r>
            <w:r w:rsidR="008755B7" w:rsidRPr="00005453">
              <w:rPr>
                <w:b/>
                <w:color w:val="000000"/>
                <w:sz w:val="14"/>
                <w:szCs w:val="14"/>
              </w:rPr>
              <w:t>,</w:t>
            </w:r>
            <w:r w:rsidRPr="00005453">
              <w:rPr>
                <w:b/>
                <w:color w:val="000000"/>
                <w:sz w:val="14"/>
                <w:szCs w:val="14"/>
              </w:rPr>
              <w:t>638</w:t>
            </w:r>
            <w:r w:rsidR="008755B7" w:rsidRPr="00005453">
              <w:rPr>
                <w:b/>
                <w:color w:val="000000"/>
                <w:sz w:val="14"/>
                <w:szCs w:val="14"/>
              </w:rPr>
              <w:t>,</w:t>
            </w:r>
            <w:r w:rsidRPr="00005453">
              <w:rPr>
                <w:b/>
                <w:color w:val="000000"/>
                <w:sz w:val="14"/>
                <w:szCs w:val="14"/>
              </w:rPr>
              <w:t>42</w:t>
            </w:r>
            <w:r w:rsidR="007F0B8F" w:rsidRPr="00005453">
              <w:rPr>
                <w:b/>
                <w:color w:val="000000"/>
                <w:sz w:val="14"/>
                <w:szCs w:val="14"/>
              </w:rPr>
              <w:t>2</w:t>
            </w:r>
          </w:p>
        </w:tc>
        <w:tc>
          <w:tcPr>
            <w:tcW w:w="1721" w:type="dxa"/>
            <w:tcBorders>
              <w:top w:val="nil"/>
              <w:left w:val="single" w:sz="6" w:space="0" w:color="auto"/>
              <w:bottom w:val="nil"/>
              <w:right w:val="single" w:sz="6" w:space="0" w:color="auto"/>
            </w:tcBorders>
            <w:shd w:val="clear" w:color="auto" w:fill="auto"/>
            <w:noWrap/>
            <w:vAlign w:val="center"/>
            <w:hideMark/>
          </w:tcPr>
          <w:p w14:paraId="2FC9FEE9" w14:textId="3B428EBA" w:rsidR="008755B7" w:rsidRPr="00005453" w:rsidRDefault="008755B7" w:rsidP="00A01767">
            <w:pPr>
              <w:jc w:val="right"/>
              <w:rPr>
                <w:b/>
                <w:bCs/>
                <w:color w:val="000000"/>
                <w:sz w:val="14"/>
                <w:szCs w:val="14"/>
                <w:lang w:eastAsia="tr-TR"/>
              </w:rPr>
            </w:pPr>
            <w:r w:rsidRPr="00005453">
              <w:rPr>
                <w:b/>
                <w:color w:val="000000"/>
                <w:sz w:val="14"/>
                <w:szCs w:val="14"/>
              </w:rPr>
              <w:t>45,273,124</w:t>
            </w:r>
          </w:p>
        </w:tc>
      </w:tr>
      <w:tr w:rsidR="008755B7" w:rsidRPr="00005453" w14:paraId="478D0A15"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380F66FB" w14:textId="77777777" w:rsidR="008755B7" w:rsidRPr="00005453" w:rsidRDefault="008755B7" w:rsidP="008755B7">
            <w:pPr>
              <w:rPr>
                <w:color w:val="000000"/>
                <w:sz w:val="10"/>
                <w:szCs w:val="10"/>
                <w:lang w:eastAsia="tr-TR"/>
              </w:rPr>
            </w:pPr>
          </w:p>
        </w:tc>
        <w:tc>
          <w:tcPr>
            <w:tcW w:w="4824" w:type="dxa"/>
            <w:tcBorders>
              <w:top w:val="nil"/>
              <w:left w:val="single" w:sz="6" w:space="0" w:color="auto"/>
              <w:bottom w:val="nil"/>
              <w:right w:val="single" w:sz="6" w:space="0" w:color="auto"/>
            </w:tcBorders>
            <w:shd w:val="clear" w:color="auto" w:fill="auto"/>
            <w:noWrap/>
            <w:vAlign w:val="bottom"/>
            <w:hideMark/>
          </w:tcPr>
          <w:p w14:paraId="41EE89D1" w14:textId="77777777" w:rsidR="008755B7" w:rsidRPr="00005453" w:rsidRDefault="008755B7" w:rsidP="008755B7">
            <w:pPr>
              <w:rPr>
                <w:color w:val="000000"/>
                <w:sz w:val="10"/>
                <w:szCs w:val="10"/>
                <w:lang w:eastAsia="tr-TR"/>
              </w:rPr>
            </w:pPr>
          </w:p>
        </w:tc>
        <w:tc>
          <w:tcPr>
            <w:tcW w:w="679" w:type="dxa"/>
            <w:tcBorders>
              <w:top w:val="nil"/>
              <w:left w:val="single" w:sz="6" w:space="0" w:color="auto"/>
              <w:bottom w:val="nil"/>
              <w:right w:val="single" w:sz="6" w:space="0" w:color="auto"/>
            </w:tcBorders>
            <w:shd w:val="clear" w:color="auto" w:fill="auto"/>
            <w:noWrap/>
            <w:hideMark/>
          </w:tcPr>
          <w:p w14:paraId="772A0092" w14:textId="77777777" w:rsidR="008755B7" w:rsidRPr="00005453" w:rsidRDefault="008755B7" w:rsidP="008755B7">
            <w:pPr>
              <w:jc w:val="center"/>
              <w:rPr>
                <w:b/>
                <w:bCs/>
                <w:color w:val="000000"/>
                <w:sz w:val="10"/>
                <w:szCs w:val="10"/>
                <w:lang w:eastAsia="tr-TR"/>
              </w:rPr>
            </w:pPr>
          </w:p>
        </w:tc>
        <w:tc>
          <w:tcPr>
            <w:tcW w:w="1796" w:type="dxa"/>
            <w:tcBorders>
              <w:top w:val="nil"/>
              <w:left w:val="single" w:sz="6" w:space="0" w:color="auto"/>
              <w:bottom w:val="nil"/>
              <w:right w:val="single" w:sz="6" w:space="0" w:color="auto"/>
            </w:tcBorders>
            <w:shd w:val="clear" w:color="auto" w:fill="auto"/>
            <w:vAlign w:val="center"/>
            <w:hideMark/>
          </w:tcPr>
          <w:p w14:paraId="2164E597" w14:textId="23A585D5" w:rsidR="008755B7" w:rsidRPr="00005453" w:rsidRDefault="008755B7" w:rsidP="00A01767">
            <w:pPr>
              <w:jc w:val="right"/>
              <w:rPr>
                <w:b/>
                <w:color w:val="000000"/>
                <w:sz w:val="10"/>
                <w:szCs w:val="10"/>
              </w:rPr>
            </w:pPr>
          </w:p>
        </w:tc>
        <w:tc>
          <w:tcPr>
            <w:tcW w:w="1721" w:type="dxa"/>
            <w:tcBorders>
              <w:top w:val="nil"/>
              <w:left w:val="single" w:sz="6" w:space="0" w:color="auto"/>
              <w:bottom w:val="nil"/>
              <w:right w:val="single" w:sz="6" w:space="0" w:color="auto"/>
            </w:tcBorders>
            <w:shd w:val="clear" w:color="auto" w:fill="auto"/>
            <w:noWrap/>
            <w:vAlign w:val="center"/>
            <w:hideMark/>
          </w:tcPr>
          <w:p w14:paraId="36C891C5" w14:textId="036A3B2F" w:rsidR="008755B7" w:rsidRPr="00005453" w:rsidRDefault="008755B7" w:rsidP="00A01767">
            <w:pPr>
              <w:jc w:val="right"/>
              <w:rPr>
                <w:b/>
                <w:bCs/>
                <w:color w:val="000000"/>
                <w:sz w:val="10"/>
                <w:szCs w:val="10"/>
                <w:lang w:eastAsia="tr-TR"/>
              </w:rPr>
            </w:pPr>
          </w:p>
        </w:tc>
      </w:tr>
      <w:tr w:rsidR="008755B7" w:rsidRPr="00005453" w14:paraId="2D3279B1" w14:textId="77777777" w:rsidTr="00A01767">
        <w:trPr>
          <w:trHeight w:val="111"/>
        </w:trPr>
        <w:tc>
          <w:tcPr>
            <w:tcW w:w="490" w:type="dxa"/>
            <w:tcBorders>
              <w:top w:val="nil"/>
              <w:left w:val="single" w:sz="6" w:space="0" w:color="auto"/>
              <w:bottom w:val="nil"/>
              <w:right w:val="single" w:sz="6" w:space="0" w:color="auto"/>
            </w:tcBorders>
            <w:shd w:val="clear" w:color="auto" w:fill="auto"/>
            <w:noWrap/>
            <w:hideMark/>
          </w:tcPr>
          <w:p w14:paraId="08C8A777" w14:textId="77777777" w:rsidR="008755B7" w:rsidRPr="00005453" w:rsidRDefault="008755B7" w:rsidP="008755B7">
            <w:pPr>
              <w:rPr>
                <w:b/>
                <w:bCs/>
                <w:color w:val="000000"/>
                <w:sz w:val="14"/>
                <w:szCs w:val="14"/>
                <w:lang w:eastAsia="tr-TR"/>
              </w:rPr>
            </w:pPr>
            <w:r w:rsidRPr="00005453">
              <w:rPr>
                <w:b/>
                <w:bCs/>
                <w:color w:val="000000"/>
                <w:sz w:val="14"/>
                <w:szCs w:val="14"/>
                <w:lang w:val="en-US" w:eastAsia="tr-TR"/>
              </w:rPr>
              <w:t>VII.</w:t>
            </w:r>
          </w:p>
        </w:tc>
        <w:tc>
          <w:tcPr>
            <w:tcW w:w="4824" w:type="dxa"/>
            <w:tcBorders>
              <w:top w:val="nil"/>
              <w:left w:val="single" w:sz="6" w:space="0" w:color="auto"/>
              <w:bottom w:val="nil"/>
              <w:right w:val="single" w:sz="6" w:space="0" w:color="auto"/>
            </w:tcBorders>
            <w:shd w:val="clear" w:color="auto" w:fill="auto"/>
            <w:noWrap/>
            <w:vAlign w:val="bottom"/>
            <w:hideMark/>
          </w:tcPr>
          <w:p w14:paraId="14CD3FEC" w14:textId="77777777" w:rsidR="008755B7" w:rsidRPr="00005453" w:rsidRDefault="008755B7" w:rsidP="008755B7">
            <w:pPr>
              <w:rPr>
                <w:b/>
                <w:bCs/>
                <w:color w:val="000000"/>
                <w:sz w:val="14"/>
                <w:szCs w:val="14"/>
                <w:lang w:eastAsia="tr-TR"/>
              </w:rPr>
            </w:pPr>
            <w:r w:rsidRPr="00005453">
              <w:rPr>
                <w:b/>
                <w:bCs/>
                <w:color w:val="000000"/>
                <w:sz w:val="14"/>
                <w:szCs w:val="14"/>
                <w:lang w:eastAsia="tr-TR"/>
              </w:rPr>
              <w:t>Dönem Sonundaki Nakit ve Nakde Eşdeğer Varlıklar</w:t>
            </w:r>
          </w:p>
        </w:tc>
        <w:tc>
          <w:tcPr>
            <w:tcW w:w="679" w:type="dxa"/>
            <w:tcBorders>
              <w:top w:val="nil"/>
              <w:left w:val="single" w:sz="6" w:space="0" w:color="auto"/>
              <w:bottom w:val="nil"/>
              <w:right w:val="single" w:sz="6" w:space="0" w:color="auto"/>
            </w:tcBorders>
            <w:shd w:val="clear" w:color="auto" w:fill="auto"/>
            <w:noWrap/>
            <w:hideMark/>
          </w:tcPr>
          <w:p w14:paraId="211A0359" w14:textId="1E5CB672" w:rsidR="008755B7" w:rsidRPr="00005453" w:rsidRDefault="008755B7" w:rsidP="008755B7">
            <w:pPr>
              <w:jc w:val="center"/>
              <w:rPr>
                <w:b/>
                <w:bCs/>
                <w:color w:val="000000"/>
                <w:sz w:val="14"/>
                <w:szCs w:val="14"/>
                <w:lang w:eastAsia="tr-TR"/>
              </w:rPr>
            </w:pPr>
            <w:r w:rsidRPr="00005453">
              <w:rPr>
                <w:b/>
                <w:bCs/>
                <w:color w:val="000000"/>
                <w:sz w:val="14"/>
                <w:szCs w:val="14"/>
                <w:lang w:eastAsia="tr-TR"/>
              </w:rPr>
              <w:t>(5.6.1)</w:t>
            </w:r>
          </w:p>
        </w:tc>
        <w:tc>
          <w:tcPr>
            <w:tcW w:w="1796" w:type="dxa"/>
            <w:tcBorders>
              <w:top w:val="nil"/>
              <w:left w:val="single" w:sz="6" w:space="0" w:color="auto"/>
              <w:bottom w:val="nil"/>
              <w:right w:val="single" w:sz="6" w:space="0" w:color="auto"/>
            </w:tcBorders>
            <w:shd w:val="clear" w:color="auto" w:fill="auto"/>
            <w:vAlign w:val="center"/>
            <w:hideMark/>
          </w:tcPr>
          <w:p w14:paraId="7DFF3329" w14:textId="39DB0889" w:rsidR="008755B7" w:rsidRPr="00005453" w:rsidRDefault="00E84D06" w:rsidP="00A01767">
            <w:pPr>
              <w:jc w:val="right"/>
              <w:rPr>
                <w:b/>
                <w:color w:val="000000"/>
                <w:sz w:val="14"/>
                <w:szCs w:val="14"/>
              </w:rPr>
            </w:pPr>
            <w:r w:rsidRPr="00005453">
              <w:rPr>
                <w:b/>
                <w:color w:val="000000"/>
                <w:sz w:val="14"/>
                <w:szCs w:val="14"/>
              </w:rPr>
              <w:t>125</w:t>
            </w:r>
            <w:r w:rsidR="008755B7" w:rsidRPr="00005453">
              <w:rPr>
                <w:b/>
                <w:color w:val="000000"/>
                <w:sz w:val="14"/>
                <w:szCs w:val="14"/>
              </w:rPr>
              <w:t>,</w:t>
            </w:r>
            <w:r w:rsidRPr="00005453">
              <w:rPr>
                <w:b/>
                <w:color w:val="000000"/>
                <w:sz w:val="14"/>
                <w:szCs w:val="14"/>
              </w:rPr>
              <w:t>488</w:t>
            </w:r>
            <w:r w:rsidR="008755B7" w:rsidRPr="00005453">
              <w:rPr>
                <w:b/>
                <w:color w:val="000000"/>
                <w:sz w:val="14"/>
                <w:szCs w:val="14"/>
              </w:rPr>
              <w:t>,</w:t>
            </w:r>
            <w:r w:rsidRPr="00005453">
              <w:rPr>
                <w:b/>
                <w:color w:val="000000"/>
                <w:sz w:val="14"/>
                <w:szCs w:val="14"/>
              </w:rPr>
              <w:t>38</w:t>
            </w:r>
            <w:r w:rsidR="007F0B8F" w:rsidRPr="00005453">
              <w:rPr>
                <w:b/>
                <w:color w:val="000000"/>
                <w:sz w:val="14"/>
                <w:szCs w:val="14"/>
              </w:rPr>
              <w:t>8</w:t>
            </w:r>
          </w:p>
        </w:tc>
        <w:tc>
          <w:tcPr>
            <w:tcW w:w="1721" w:type="dxa"/>
            <w:tcBorders>
              <w:top w:val="nil"/>
              <w:left w:val="single" w:sz="6" w:space="0" w:color="auto"/>
              <w:bottom w:val="nil"/>
              <w:right w:val="single" w:sz="6" w:space="0" w:color="auto"/>
            </w:tcBorders>
            <w:shd w:val="clear" w:color="auto" w:fill="auto"/>
            <w:noWrap/>
            <w:vAlign w:val="center"/>
            <w:hideMark/>
          </w:tcPr>
          <w:p w14:paraId="425AB730" w14:textId="7F00BCD5" w:rsidR="008755B7" w:rsidRPr="00005453" w:rsidRDefault="008755B7" w:rsidP="00A01767">
            <w:pPr>
              <w:jc w:val="right"/>
              <w:rPr>
                <w:b/>
                <w:bCs/>
                <w:color w:val="000000"/>
                <w:sz w:val="14"/>
                <w:szCs w:val="14"/>
                <w:lang w:eastAsia="tr-TR"/>
              </w:rPr>
            </w:pPr>
            <w:r w:rsidRPr="00005453">
              <w:rPr>
                <w:b/>
                <w:color w:val="000000"/>
                <w:sz w:val="14"/>
                <w:szCs w:val="14"/>
              </w:rPr>
              <w:t>71,638,422</w:t>
            </w:r>
          </w:p>
        </w:tc>
      </w:tr>
      <w:tr w:rsidR="004A2668" w:rsidRPr="00005453" w14:paraId="3420BB3B" w14:textId="77777777" w:rsidTr="00392422">
        <w:trPr>
          <w:trHeight w:val="111"/>
        </w:trPr>
        <w:tc>
          <w:tcPr>
            <w:tcW w:w="490" w:type="dxa"/>
            <w:tcBorders>
              <w:top w:val="nil"/>
              <w:left w:val="single" w:sz="6" w:space="0" w:color="auto"/>
              <w:bottom w:val="single" w:sz="6" w:space="0" w:color="auto"/>
              <w:right w:val="single" w:sz="6" w:space="0" w:color="auto"/>
            </w:tcBorders>
            <w:shd w:val="clear" w:color="auto" w:fill="auto"/>
            <w:noWrap/>
            <w:vAlign w:val="bottom"/>
            <w:hideMark/>
          </w:tcPr>
          <w:p w14:paraId="04733932" w14:textId="77777777" w:rsidR="004A2668" w:rsidRPr="00005453" w:rsidRDefault="004A2668" w:rsidP="004A2668">
            <w:pPr>
              <w:rPr>
                <w:b/>
                <w:bCs/>
                <w:color w:val="000000"/>
                <w:sz w:val="10"/>
                <w:szCs w:val="10"/>
                <w:lang w:eastAsia="tr-TR"/>
              </w:rPr>
            </w:pPr>
          </w:p>
        </w:tc>
        <w:tc>
          <w:tcPr>
            <w:tcW w:w="4824" w:type="dxa"/>
            <w:tcBorders>
              <w:top w:val="nil"/>
              <w:left w:val="single" w:sz="6" w:space="0" w:color="auto"/>
              <w:bottom w:val="single" w:sz="6" w:space="0" w:color="auto"/>
              <w:right w:val="single" w:sz="6" w:space="0" w:color="auto"/>
            </w:tcBorders>
            <w:shd w:val="clear" w:color="auto" w:fill="auto"/>
            <w:noWrap/>
            <w:vAlign w:val="bottom"/>
            <w:hideMark/>
          </w:tcPr>
          <w:p w14:paraId="5365E7FD" w14:textId="77777777" w:rsidR="004A2668" w:rsidRPr="00005453" w:rsidRDefault="004A2668" w:rsidP="004A2668">
            <w:pPr>
              <w:rPr>
                <w:color w:val="000000"/>
                <w:sz w:val="10"/>
                <w:szCs w:val="10"/>
                <w:lang w:eastAsia="tr-TR"/>
              </w:rPr>
            </w:pPr>
          </w:p>
        </w:tc>
        <w:tc>
          <w:tcPr>
            <w:tcW w:w="679" w:type="dxa"/>
            <w:tcBorders>
              <w:top w:val="nil"/>
              <w:left w:val="single" w:sz="6" w:space="0" w:color="auto"/>
              <w:bottom w:val="single" w:sz="6" w:space="0" w:color="auto"/>
              <w:right w:val="single" w:sz="6" w:space="0" w:color="auto"/>
            </w:tcBorders>
            <w:shd w:val="clear" w:color="auto" w:fill="auto"/>
            <w:noWrap/>
            <w:vAlign w:val="bottom"/>
            <w:hideMark/>
          </w:tcPr>
          <w:p w14:paraId="0781B0ED" w14:textId="77777777" w:rsidR="004A2668" w:rsidRPr="00005453" w:rsidRDefault="004A2668" w:rsidP="004A2668">
            <w:pPr>
              <w:rPr>
                <w:color w:val="000000"/>
                <w:sz w:val="10"/>
                <w:szCs w:val="10"/>
                <w:lang w:eastAsia="tr-TR"/>
              </w:rPr>
            </w:pPr>
          </w:p>
        </w:tc>
        <w:tc>
          <w:tcPr>
            <w:tcW w:w="1796" w:type="dxa"/>
            <w:tcBorders>
              <w:top w:val="nil"/>
              <w:left w:val="single" w:sz="6" w:space="0" w:color="auto"/>
              <w:bottom w:val="single" w:sz="6" w:space="0" w:color="auto"/>
              <w:right w:val="single" w:sz="6" w:space="0" w:color="auto"/>
            </w:tcBorders>
            <w:shd w:val="clear" w:color="auto" w:fill="auto"/>
            <w:vAlign w:val="bottom"/>
            <w:hideMark/>
          </w:tcPr>
          <w:p w14:paraId="156D29AD" w14:textId="77777777" w:rsidR="004A2668" w:rsidRPr="00005453" w:rsidRDefault="004A2668" w:rsidP="004A2668">
            <w:pPr>
              <w:rPr>
                <w:b/>
                <w:bCs/>
                <w:color w:val="000000"/>
                <w:sz w:val="10"/>
                <w:szCs w:val="10"/>
                <w:lang w:eastAsia="tr-TR"/>
              </w:rPr>
            </w:pPr>
          </w:p>
        </w:tc>
        <w:tc>
          <w:tcPr>
            <w:tcW w:w="1721" w:type="dxa"/>
            <w:tcBorders>
              <w:top w:val="nil"/>
              <w:left w:val="single" w:sz="6" w:space="0" w:color="auto"/>
              <w:bottom w:val="single" w:sz="6" w:space="0" w:color="auto"/>
              <w:right w:val="single" w:sz="6" w:space="0" w:color="auto"/>
            </w:tcBorders>
            <w:shd w:val="clear" w:color="auto" w:fill="auto"/>
            <w:noWrap/>
            <w:vAlign w:val="bottom"/>
            <w:hideMark/>
          </w:tcPr>
          <w:p w14:paraId="17E48075" w14:textId="77777777" w:rsidR="004A2668" w:rsidRPr="00005453" w:rsidRDefault="004A2668" w:rsidP="004A2668">
            <w:pPr>
              <w:rPr>
                <w:b/>
                <w:bCs/>
                <w:color w:val="000000"/>
                <w:sz w:val="10"/>
                <w:szCs w:val="10"/>
                <w:lang w:eastAsia="tr-TR"/>
              </w:rPr>
            </w:pPr>
          </w:p>
        </w:tc>
      </w:tr>
    </w:tbl>
    <w:p w14:paraId="592D3E5D" w14:textId="49F34796" w:rsidR="00F43903" w:rsidRPr="00005453" w:rsidRDefault="00F43903" w:rsidP="00994629">
      <w:pPr>
        <w:pStyle w:val="1tipi"/>
        <w:tabs>
          <w:tab w:val="clear" w:pos="1134"/>
        </w:tabs>
        <w:autoSpaceDE w:val="0"/>
        <w:autoSpaceDN w:val="0"/>
        <w:adjustRightInd w:val="0"/>
        <w:rPr>
          <w:rFonts w:ascii="Times New Roman" w:hAnsi="Times New Roman"/>
          <w:b/>
          <w:sz w:val="16"/>
          <w:szCs w:val="16"/>
        </w:rPr>
      </w:pPr>
    </w:p>
    <w:p w14:paraId="06C414B4" w14:textId="7F0B8A7E" w:rsidR="00674E29" w:rsidRPr="00005453" w:rsidRDefault="00674E29" w:rsidP="00BF06FC">
      <w:pPr>
        <w:pStyle w:val="1tipi"/>
        <w:autoSpaceDE w:val="0"/>
        <w:autoSpaceDN w:val="0"/>
        <w:adjustRightInd w:val="0"/>
        <w:ind w:right="-491"/>
        <w:rPr>
          <w:rFonts w:ascii="Times New Roman" w:hAnsi="Times New Roman"/>
          <w:snapToGrid/>
          <w:sz w:val="13"/>
          <w:szCs w:val="13"/>
          <w:lang w:eastAsia="en-US"/>
        </w:rPr>
      </w:pPr>
    </w:p>
    <w:p w14:paraId="583A861B" w14:textId="58379CA3" w:rsidR="00A52352" w:rsidRPr="00005453" w:rsidRDefault="00A52352" w:rsidP="00CB60C2">
      <w:pPr>
        <w:pStyle w:val="1tipi"/>
        <w:autoSpaceDE w:val="0"/>
        <w:autoSpaceDN w:val="0"/>
        <w:adjustRightInd w:val="0"/>
        <w:ind w:right="-491"/>
        <w:rPr>
          <w:rFonts w:ascii="Times New Roman" w:hAnsi="Times New Roman"/>
          <w:snapToGrid/>
          <w:sz w:val="13"/>
          <w:szCs w:val="13"/>
          <w:lang w:eastAsia="en-US"/>
        </w:rPr>
      </w:pPr>
    </w:p>
    <w:p w14:paraId="6F59CAA3" w14:textId="77777777" w:rsidR="00152E65" w:rsidRPr="00005453" w:rsidRDefault="00152E65" w:rsidP="00CE6799">
      <w:pPr>
        <w:pStyle w:val="1tipi"/>
        <w:autoSpaceDE w:val="0"/>
        <w:autoSpaceDN w:val="0"/>
        <w:adjustRightInd w:val="0"/>
        <w:ind w:left="450" w:right="-491" w:hanging="259"/>
        <w:rPr>
          <w:rFonts w:ascii="Times New Roman" w:hAnsi="Times New Roman"/>
          <w:snapToGrid/>
          <w:sz w:val="13"/>
          <w:szCs w:val="13"/>
          <w:lang w:eastAsia="en-US"/>
        </w:rPr>
      </w:pPr>
    </w:p>
    <w:p w14:paraId="5741AE5A" w14:textId="577C56A2" w:rsidR="00674E29" w:rsidRPr="00005453"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8145852" w14:textId="1F8D28F8" w:rsidR="00994629" w:rsidRPr="00005453" w:rsidRDefault="00994629" w:rsidP="00CE6799">
      <w:pPr>
        <w:pStyle w:val="1tipi"/>
        <w:autoSpaceDE w:val="0"/>
        <w:autoSpaceDN w:val="0"/>
        <w:adjustRightInd w:val="0"/>
        <w:ind w:left="450" w:right="-491" w:hanging="259"/>
        <w:rPr>
          <w:rFonts w:ascii="Times New Roman" w:hAnsi="Times New Roman"/>
          <w:snapToGrid/>
          <w:sz w:val="13"/>
          <w:szCs w:val="13"/>
          <w:lang w:eastAsia="en-US"/>
        </w:rPr>
      </w:pPr>
    </w:p>
    <w:p w14:paraId="05696A25" w14:textId="2D0192FC" w:rsidR="00994629" w:rsidRDefault="00994629" w:rsidP="00CE6799">
      <w:pPr>
        <w:pStyle w:val="1tipi"/>
        <w:autoSpaceDE w:val="0"/>
        <w:autoSpaceDN w:val="0"/>
        <w:adjustRightInd w:val="0"/>
        <w:ind w:left="450" w:right="-491" w:hanging="259"/>
        <w:rPr>
          <w:rFonts w:ascii="Times New Roman" w:hAnsi="Times New Roman"/>
          <w:snapToGrid/>
          <w:sz w:val="13"/>
          <w:szCs w:val="13"/>
          <w:lang w:eastAsia="en-US"/>
        </w:rPr>
      </w:pPr>
    </w:p>
    <w:p w14:paraId="30708DFD" w14:textId="6903DE7A" w:rsidR="005F6E0A" w:rsidRDefault="005F6E0A" w:rsidP="00CE6799">
      <w:pPr>
        <w:pStyle w:val="1tipi"/>
        <w:autoSpaceDE w:val="0"/>
        <w:autoSpaceDN w:val="0"/>
        <w:adjustRightInd w:val="0"/>
        <w:ind w:left="450" w:right="-491" w:hanging="259"/>
        <w:rPr>
          <w:rFonts w:ascii="Times New Roman" w:hAnsi="Times New Roman"/>
          <w:snapToGrid/>
          <w:sz w:val="13"/>
          <w:szCs w:val="13"/>
          <w:lang w:eastAsia="en-US"/>
        </w:rPr>
      </w:pPr>
    </w:p>
    <w:p w14:paraId="1E88996F" w14:textId="77777777" w:rsidR="005F6E0A" w:rsidRPr="00005453" w:rsidRDefault="005F6E0A" w:rsidP="00CE6799">
      <w:pPr>
        <w:pStyle w:val="1tipi"/>
        <w:autoSpaceDE w:val="0"/>
        <w:autoSpaceDN w:val="0"/>
        <w:adjustRightInd w:val="0"/>
        <w:ind w:left="450" w:right="-491" w:hanging="259"/>
        <w:rPr>
          <w:rFonts w:ascii="Times New Roman" w:hAnsi="Times New Roman"/>
          <w:snapToGrid/>
          <w:sz w:val="13"/>
          <w:szCs w:val="13"/>
          <w:lang w:eastAsia="en-US"/>
        </w:rPr>
      </w:pPr>
    </w:p>
    <w:p w14:paraId="2142D02F" w14:textId="0FF407D0" w:rsidR="00327C3D" w:rsidRPr="00005453" w:rsidRDefault="00152E65" w:rsidP="00152E65">
      <w:pPr>
        <w:jc w:val="center"/>
        <w:rPr>
          <w:sz w:val="13"/>
          <w:szCs w:val="13"/>
        </w:rPr>
        <w:sectPr w:rsidR="00327C3D" w:rsidRPr="00005453" w:rsidSect="00BA357F">
          <w:headerReference w:type="default" r:id="rId34"/>
          <w:footerReference w:type="default" r:id="rId35"/>
          <w:pgSz w:w="11906" w:h="16838"/>
          <w:pgMar w:top="1273" w:right="1417" w:bottom="1417" w:left="1440" w:header="708" w:footer="708" w:gutter="0"/>
          <w:cols w:space="708"/>
          <w:docGrid w:linePitch="360"/>
        </w:sectPr>
      </w:pPr>
      <w:r w:rsidRPr="00005453">
        <w:rPr>
          <w:bCs/>
          <w:i/>
          <w:iCs/>
          <w:sz w:val="14"/>
          <w:szCs w:val="14"/>
        </w:rPr>
        <w:t xml:space="preserve">İlişikteki notlar bu finansal tabloların tamamlayıcı </w:t>
      </w:r>
      <w:proofErr w:type="gramStart"/>
      <w:r w:rsidRPr="00005453">
        <w:rPr>
          <w:bCs/>
          <w:i/>
          <w:iCs/>
          <w:sz w:val="14"/>
          <w:szCs w:val="14"/>
        </w:rPr>
        <w:t>parçalarıdır</w:t>
      </w:r>
      <w:r w:rsidRPr="00005453">
        <w:rPr>
          <w:sz w:val="13"/>
          <w:szCs w:val="13"/>
        </w:rPr>
        <w:t xml:space="preserve"> .</w:t>
      </w:r>
      <w:proofErr w:type="gramEnd"/>
      <w:r w:rsidR="00327C3D" w:rsidRPr="00005453">
        <w:rPr>
          <w:sz w:val="13"/>
          <w:szCs w:val="13"/>
        </w:rPr>
        <w:br w:type="page"/>
      </w:r>
    </w:p>
    <w:p w14:paraId="671BCF97" w14:textId="3DA42C76" w:rsidR="00327C3D" w:rsidRPr="00005453" w:rsidRDefault="00455DC7" w:rsidP="00327C3D">
      <w:pPr>
        <w:pStyle w:val="1tipi"/>
        <w:tabs>
          <w:tab w:val="clear" w:pos="1134"/>
        </w:tabs>
        <w:autoSpaceDE w:val="0"/>
        <w:autoSpaceDN w:val="0"/>
        <w:adjustRightInd w:val="0"/>
        <w:ind w:hanging="567"/>
        <w:rPr>
          <w:rFonts w:ascii="Times New Roman" w:hAnsi="Times New Roman"/>
          <w:b/>
          <w:sz w:val="22"/>
        </w:rPr>
      </w:pPr>
      <w:r w:rsidRPr="00005453">
        <w:rPr>
          <w:rFonts w:ascii="Times New Roman" w:hAnsi="Times New Roman"/>
          <w:b/>
          <w:snapToGrid/>
          <w:sz w:val="22"/>
          <w:lang w:eastAsia="en-US"/>
        </w:rPr>
        <w:lastRenderedPageBreak/>
        <w:t>7</w:t>
      </w:r>
      <w:r w:rsidR="00327C3D" w:rsidRPr="00005453">
        <w:rPr>
          <w:rFonts w:ascii="Times New Roman" w:hAnsi="Times New Roman"/>
          <w:b/>
          <w:snapToGrid/>
          <w:sz w:val="22"/>
          <w:lang w:eastAsia="en-US"/>
        </w:rPr>
        <w:t>.</w:t>
      </w:r>
      <w:r w:rsidR="00327C3D" w:rsidRPr="00005453">
        <w:rPr>
          <w:rFonts w:ascii="Times New Roman" w:hAnsi="Times New Roman"/>
          <w:b/>
          <w:snapToGrid/>
          <w:sz w:val="22"/>
          <w:lang w:eastAsia="en-US"/>
        </w:rPr>
        <w:tab/>
      </w:r>
      <w:r w:rsidR="00327C3D" w:rsidRPr="00005453">
        <w:rPr>
          <w:rFonts w:ascii="Times New Roman" w:hAnsi="Times New Roman"/>
          <w:b/>
          <w:sz w:val="22"/>
        </w:rPr>
        <w:t xml:space="preserve">KAR DAĞITIM TABLOSU </w:t>
      </w:r>
    </w:p>
    <w:p w14:paraId="179517BC" w14:textId="0B3E5B96" w:rsidR="00220A2F" w:rsidRPr="00005453" w:rsidRDefault="00220A2F" w:rsidP="00674E29">
      <w:pPr>
        <w:autoSpaceDE w:val="0"/>
        <w:autoSpaceDN w:val="0"/>
        <w:adjustRightInd w:val="0"/>
        <w:ind w:left="284" w:right="-449" w:hanging="284"/>
        <w:rPr>
          <w:lang w:val="en-GB" w:eastAsia="en-GB"/>
        </w:rPr>
      </w:pPr>
    </w:p>
    <w:tbl>
      <w:tblPr>
        <w:tblW w:w="8926" w:type="dxa"/>
        <w:tblLayout w:type="fixed"/>
        <w:tblCellMar>
          <w:left w:w="70" w:type="dxa"/>
          <w:right w:w="70" w:type="dxa"/>
        </w:tblCellMar>
        <w:tblLook w:val="04A0" w:firstRow="1" w:lastRow="0" w:firstColumn="1" w:lastColumn="0" w:noHBand="0" w:noVBand="1"/>
      </w:tblPr>
      <w:tblGrid>
        <w:gridCol w:w="699"/>
        <w:gridCol w:w="5533"/>
        <w:gridCol w:w="1276"/>
        <w:gridCol w:w="1418"/>
      </w:tblGrid>
      <w:tr w:rsidR="00220A2F" w:rsidRPr="00005453" w14:paraId="16994801" w14:textId="77777777" w:rsidTr="008E6967">
        <w:trPr>
          <w:divId w:val="1224214583"/>
          <w:trHeight w:val="120"/>
        </w:trPr>
        <w:tc>
          <w:tcPr>
            <w:tcW w:w="699" w:type="dxa"/>
            <w:tcBorders>
              <w:top w:val="single" w:sz="4" w:space="0" w:color="auto"/>
              <w:left w:val="single" w:sz="4" w:space="0" w:color="auto"/>
              <w:bottom w:val="nil"/>
              <w:right w:val="single" w:sz="4" w:space="0" w:color="auto"/>
            </w:tcBorders>
            <w:shd w:val="clear" w:color="auto" w:fill="auto"/>
            <w:noWrap/>
            <w:vAlign w:val="bottom"/>
            <w:hideMark/>
          </w:tcPr>
          <w:p w14:paraId="25E50FAF" w14:textId="756DFD23" w:rsidR="00220A2F" w:rsidRPr="00005453" w:rsidRDefault="00220A2F" w:rsidP="00220A2F">
            <w:pPr>
              <w:rPr>
                <w:sz w:val="14"/>
                <w:szCs w:val="14"/>
                <w:lang w:eastAsia="tr-TR"/>
              </w:rPr>
            </w:pPr>
          </w:p>
        </w:tc>
        <w:tc>
          <w:tcPr>
            <w:tcW w:w="553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F977F25" w14:textId="77777777" w:rsidR="00220A2F" w:rsidRPr="00005453" w:rsidRDefault="00220A2F" w:rsidP="00220A2F">
            <w:pPr>
              <w:rPr>
                <w:color w:val="000000"/>
                <w:sz w:val="14"/>
                <w:szCs w:val="14"/>
                <w:lang w:eastAsia="tr-TR"/>
              </w:rPr>
            </w:pPr>
            <w:r w:rsidRPr="00005453">
              <w:rPr>
                <w:color w:val="000000"/>
                <w:sz w:val="14"/>
                <w:szCs w:val="14"/>
                <w:lang w:eastAsia="tr-TR"/>
              </w:rPr>
              <w:t> </w:t>
            </w:r>
          </w:p>
        </w:tc>
        <w:tc>
          <w:tcPr>
            <w:tcW w:w="1276" w:type="dxa"/>
            <w:tcBorders>
              <w:top w:val="single" w:sz="4" w:space="0" w:color="auto"/>
              <w:left w:val="single" w:sz="4" w:space="0" w:color="auto"/>
              <w:bottom w:val="nil"/>
              <w:right w:val="single" w:sz="4" w:space="0" w:color="auto"/>
            </w:tcBorders>
            <w:shd w:val="clear" w:color="auto" w:fill="auto"/>
            <w:vAlign w:val="center"/>
            <w:hideMark/>
          </w:tcPr>
          <w:p w14:paraId="51F58EB9" w14:textId="77777777" w:rsidR="00220A2F" w:rsidRPr="00005453" w:rsidRDefault="00220A2F" w:rsidP="00220A2F">
            <w:pPr>
              <w:jc w:val="right"/>
              <w:rPr>
                <w:b/>
                <w:bCs/>
                <w:color w:val="000000"/>
                <w:sz w:val="14"/>
                <w:szCs w:val="14"/>
                <w:lang w:eastAsia="tr-TR"/>
              </w:rPr>
            </w:pPr>
            <w:r w:rsidRPr="00005453">
              <w:rPr>
                <w:b/>
                <w:bCs/>
                <w:color w:val="000000"/>
                <w:sz w:val="14"/>
                <w:szCs w:val="14"/>
                <w:lang w:eastAsia="tr-TR"/>
              </w:rPr>
              <w:t>Cari Dönem</w:t>
            </w:r>
          </w:p>
        </w:tc>
        <w:tc>
          <w:tcPr>
            <w:tcW w:w="1418" w:type="dxa"/>
            <w:tcBorders>
              <w:top w:val="single" w:sz="4" w:space="0" w:color="auto"/>
              <w:left w:val="single" w:sz="4" w:space="0" w:color="auto"/>
              <w:bottom w:val="nil"/>
              <w:right w:val="single" w:sz="4" w:space="0" w:color="auto"/>
            </w:tcBorders>
            <w:shd w:val="clear" w:color="auto" w:fill="auto"/>
            <w:vAlign w:val="center"/>
            <w:hideMark/>
          </w:tcPr>
          <w:p w14:paraId="547138B5" w14:textId="77777777" w:rsidR="00220A2F" w:rsidRPr="00005453" w:rsidRDefault="00220A2F" w:rsidP="00220A2F">
            <w:pPr>
              <w:jc w:val="right"/>
              <w:rPr>
                <w:b/>
                <w:bCs/>
                <w:color w:val="000000"/>
                <w:sz w:val="14"/>
                <w:szCs w:val="14"/>
                <w:lang w:eastAsia="tr-TR"/>
              </w:rPr>
            </w:pPr>
            <w:r w:rsidRPr="00005453">
              <w:rPr>
                <w:b/>
                <w:bCs/>
                <w:color w:val="000000"/>
                <w:sz w:val="14"/>
                <w:szCs w:val="14"/>
                <w:lang w:eastAsia="tr-TR"/>
              </w:rPr>
              <w:t>Önceki Dönem</w:t>
            </w:r>
          </w:p>
        </w:tc>
      </w:tr>
      <w:tr w:rsidR="00220A2F" w:rsidRPr="00005453" w14:paraId="3B66AAB3" w14:textId="77777777" w:rsidTr="008E6967">
        <w:trPr>
          <w:divId w:val="1224214583"/>
          <w:trHeight w:val="162"/>
        </w:trPr>
        <w:tc>
          <w:tcPr>
            <w:tcW w:w="699" w:type="dxa"/>
            <w:tcBorders>
              <w:top w:val="nil"/>
              <w:left w:val="single" w:sz="4" w:space="0" w:color="auto"/>
              <w:bottom w:val="single" w:sz="4" w:space="0" w:color="auto"/>
              <w:right w:val="single" w:sz="4" w:space="0" w:color="auto"/>
            </w:tcBorders>
            <w:shd w:val="clear" w:color="auto" w:fill="auto"/>
            <w:noWrap/>
            <w:vAlign w:val="bottom"/>
            <w:hideMark/>
          </w:tcPr>
          <w:p w14:paraId="116C1673" w14:textId="77777777" w:rsidR="00220A2F" w:rsidRPr="00005453" w:rsidRDefault="00220A2F" w:rsidP="00220A2F">
            <w:pPr>
              <w:rPr>
                <w:color w:val="000000"/>
                <w:sz w:val="14"/>
                <w:szCs w:val="14"/>
                <w:lang w:eastAsia="tr-TR"/>
              </w:rPr>
            </w:pPr>
            <w:r w:rsidRPr="00005453">
              <w:rPr>
                <w:color w:val="000000"/>
                <w:sz w:val="14"/>
                <w:szCs w:val="14"/>
                <w:lang w:eastAsia="tr-TR"/>
              </w:rPr>
              <w:t> </w:t>
            </w:r>
          </w:p>
        </w:tc>
        <w:tc>
          <w:tcPr>
            <w:tcW w:w="5533" w:type="dxa"/>
            <w:vMerge/>
            <w:tcBorders>
              <w:top w:val="single" w:sz="8" w:space="0" w:color="auto"/>
              <w:left w:val="single" w:sz="4" w:space="0" w:color="auto"/>
              <w:bottom w:val="single" w:sz="4" w:space="0" w:color="auto"/>
              <w:right w:val="single" w:sz="4" w:space="0" w:color="auto"/>
            </w:tcBorders>
            <w:vAlign w:val="center"/>
            <w:hideMark/>
          </w:tcPr>
          <w:p w14:paraId="7AA5E336" w14:textId="77777777" w:rsidR="00220A2F" w:rsidRPr="00005453" w:rsidRDefault="00220A2F" w:rsidP="00220A2F">
            <w:pPr>
              <w:rPr>
                <w:color w:val="000000"/>
                <w:sz w:val="14"/>
                <w:szCs w:val="14"/>
                <w:lang w:eastAsia="tr-TR"/>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490A799D" w14:textId="7371E5B7" w:rsidR="00220A2F" w:rsidRPr="00005453" w:rsidRDefault="00220A2F" w:rsidP="00220A2F">
            <w:pPr>
              <w:ind w:firstLineChars="200" w:firstLine="281"/>
              <w:jc w:val="right"/>
              <w:rPr>
                <w:b/>
                <w:bCs/>
                <w:color w:val="000000"/>
                <w:sz w:val="14"/>
                <w:szCs w:val="14"/>
                <w:lang w:eastAsia="tr-TR"/>
              </w:rPr>
            </w:pPr>
            <w:r w:rsidRPr="00005453">
              <w:rPr>
                <w:b/>
                <w:bCs/>
                <w:color w:val="000000"/>
                <w:sz w:val="14"/>
                <w:szCs w:val="14"/>
                <w:lang w:eastAsia="tr-TR"/>
              </w:rPr>
              <w:t xml:space="preserve"> 01.01.202</w:t>
            </w:r>
            <w:r w:rsidR="008755B7" w:rsidRPr="00005453">
              <w:rPr>
                <w:b/>
                <w:bCs/>
                <w:color w:val="000000"/>
                <w:sz w:val="14"/>
                <w:szCs w:val="14"/>
                <w:lang w:eastAsia="tr-TR"/>
              </w:rPr>
              <w:t>4</w:t>
            </w:r>
            <w:r w:rsidRPr="00005453">
              <w:rPr>
                <w:b/>
                <w:bCs/>
                <w:color w:val="000000"/>
                <w:sz w:val="14"/>
                <w:szCs w:val="14"/>
                <w:lang w:eastAsia="tr-TR"/>
              </w:rPr>
              <w:t xml:space="preserve"> 31.12.202</w:t>
            </w:r>
            <w:r w:rsidR="008755B7" w:rsidRPr="00005453">
              <w:rPr>
                <w:b/>
                <w:bCs/>
                <w:color w:val="000000"/>
                <w:sz w:val="14"/>
                <w:szCs w:val="14"/>
                <w:lang w:eastAsia="tr-TR"/>
              </w:rPr>
              <w:t>4</w:t>
            </w:r>
            <w:r w:rsidRPr="00005453">
              <w:rPr>
                <w:b/>
                <w:bCs/>
                <w:color w:val="000000"/>
                <w:sz w:val="14"/>
                <w:szCs w:val="14"/>
                <w:lang w:eastAsia="tr-TR"/>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1E86490" w14:textId="65907FB5" w:rsidR="00220A2F" w:rsidRPr="00005453" w:rsidRDefault="00220A2F" w:rsidP="00220A2F">
            <w:pPr>
              <w:ind w:firstLineChars="200" w:firstLine="281"/>
              <w:jc w:val="right"/>
              <w:rPr>
                <w:b/>
                <w:bCs/>
                <w:color w:val="000000"/>
                <w:sz w:val="14"/>
                <w:szCs w:val="14"/>
                <w:lang w:eastAsia="tr-TR"/>
              </w:rPr>
            </w:pPr>
            <w:r w:rsidRPr="00005453">
              <w:rPr>
                <w:b/>
                <w:bCs/>
                <w:color w:val="000000"/>
                <w:sz w:val="14"/>
                <w:szCs w:val="14"/>
                <w:lang w:eastAsia="tr-TR"/>
              </w:rPr>
              <w:t xml:space="preserve"> 01.01.202</w:t>
            </w:r>
            <w:r w:rsidR="008755B7" w:rsidRPr="00005453">
              <w:rPr>
                <w:b/>
                <w:bCs/>
                <w:color w:val="000000"/>
                <w:sz w:val="14"/>
                <w:szCs w:val="14"/>
                <w:lang w:eastAsia="tr-TR"/>
              </w:rPr>
              <w:t>3</w:t>
            </w:r>
            <w:r w:rsidRPr="00005453">
              <w:rPr>
                <w:b/>
                <w:bCs/>
                <w:color w:val="000000"/>
                <w:sz w:val="14"/>
                <w:szCs w:val="14"/>
                <w:lang w:eastAsia="tr-TR"/>
              </w:rPr>
              <w:t>- 31.12.202</w:t>
            </w:r>
            <w:r w:rsidR="008755B7" w:rsidRPr="00005453">
              <w:rPr>
                <w:b/>
                <w:bCs/>
                <w:color w:val="000000"/>
                <w:sz w:val="14"/>
                <w:szCs w:val="14"/>
                <w:lang w:eastAsia="tr-TR"/>
              </w:rPr>
              <w:t>3</w:t>
            </w:r>
            <w:r w:rsidRPr="00005453">
              <w:rPr>
                <w:b/>
                <w:bCs/>
                <w:color w:val="000000"/>
                <w:sz w:val="14"/>
                <w:szCs w:val="14"/>
                <w:lang w:eastAsia="tr-TR"/>
              </w:rPr>
              <w:t xml:space="preserve"> (*)</w:t>
            </w:r>
          </w:p>
        </w:tc>
      </w:tr>
      <w:tr w:rsidR="00220A2F" w:rsidRPr="00005453" w14:paraId="2A8C8965" w14:textId="77777777" w:rsidTr="008E6967">
        <w:trPr>
          <w:divId w:val="1224214583"/>
          <w:trHeight w:val="72"/>
        </w:trPr>
        <w:tc>
          <w:tcPr>
            <w:tcW w:w="699" w:type="dxa"/>
            <w:tcBorders>
              <w:top w:val="single" w:sz="4" w:space="0" w:color="auto"/>
              <w:left w:val="single" w:sz="4" w:space="0" w:color="auto"/>
              <w:bottom w:val="nil"/>
              <w:right w:val="single" w:sz="4" w:space="0" w:color="auto"/>
            </w:tcBorders>
            <w:shd w:val="clear" w:color="auto" w:fill="auto"/>
            <w:noWrap/>
            <w:vAlign w:val="bottom"/>
            <w:hideMark/>
          </w:tcPr>
          <w:p w14:paraId="6CAF6C51" w14:textId="77777777" w:rsidR="00220A2F" w:rsidRPr="00005453" w:rsidRDefault="00220A2F" w:rsidP="00220A2F">
            <w:pPr>
              <w:ind w:firstLineChars="200" w:firstLine="281"/>
              <w:jc w:val="right"/>
              <w:rPr>
                <w:b/>
                <w:bCs/>
                <w:color w:val="000000"/>
                <w:sz w:val="14"/>
                <w:szCs w:val="14"/>
                <w:lang w:eastAsia="tr-TR"/>
              </w:rPr>
            </w:pPr>
          </w:p>
        </w:tc>
        <w:tc>
          <w:tcPr>
            <w:tcW w:w="5533" w:type="dxa"/>
            <w:tcBorders>
              <w:top w:val="single" w:sz="4" w:space="0" w:color="auto"/>
              <w:left w:val="single" w:sz="4" w:space="0" w:color="auto"/>
              <w:bottom w:val="nil"/>
              <w:right w:val="single" w:sz="4" w:space="0" w:color="auto"/>
            </w:tcBorders>
            <w:shd w:val="clear" w:color="auto" w:fill="auto"/>
            <w:vAlign w:val="center"/>
            <w:hideMark/>
          </w:tcPr>
          <w:p w14:paraId="20DB50B8" w14:textId="77777777" w:rsidR="00220A2F" w:rsidRPr="00005453" w:rsidRDefault="00220A2F" w:rsidP="00220A2F">
            <w:pPr>
              <w:rPr>
                <w:sz w:val="14"/>
                <w:szCs w:val="14"/>
                <w:lang w:eastAsia="tr-TR"/>
              </w:rPr>
            </w:pPr>
          </w:p>
        </w:tc>
        <w:tc>
          <w:tcPr>
            <w:tcW w:w="1276" w:type="dxa"/>
            <w:tcBorders>
              <w:top w:val="single" w:sz="4" w:space="0" w:color="auto"/>
              <w:left w:val="single" w:sz="4" w:space="0" w:color="auto"/>
              <w:bottom w:val="nil"/>
              <w:right w:val="single" w:sz="4" w:space="0" w:color="auto"/>
            </w:tcBorders>
            <w:shd w:val="clear" w:color="auto" w:fill="auto"/>
            <w:vAlign w:val="center"/>
            <w:hideMark/>
          </w:tcPr>
          <w:p w14:paraId="18B46EE6" w14:textId="77777777" w:rsidR="00220A2F" w:rsidRPr="00005453" w:rsidRDefault="00220A2F" w:rsidP="00220A2F">
            <w:pPr>
              <w:rPr>
                <w:sz w:val="14"/>
                <w:szCs w:val="14"/>
                <w:lang w:eastAsia="tr-TR"/>
              </w:rPr>
            </w:pPr>
          </w:p>
        </w:tc>
        <w:tc>
          <w:tcPr>
            <w:tcW w:w="1418" w:type="dxa"/>
            <w:tcBorders>
              <w:top w:val="single" w:sz="4" w:space="0" w:color="auto"/>
              <w:left w:val="single" w:sz="4" w:space="0" w:color="auto"/>
              <w:bottom w:val="nil"/>
              <w:right w:val="single" w:sz="4" w:space="0" w:color="auto"/>
            </w:tcBorders>
            <w:shd w:val="clear" w:color="auto" w:fill="auto"/>
            <w:vAlign w:val="center"/>
            <w:hideMark/>
          </w:tcPr>
          <w:p w14:paraId="5D0F2F0A" w14:textId="77777777" w:rsidR="00220A2F" w:rsidRPr="00005453" w:rsidRDefault="00220A2F" w:rsidP="00220A2F">
            <w:pPr>
              <w:jc w:val="right"/>
              <w:rPr>
                <w:sz w:val="14"/>
                <w:szCs w:val="14"/>
                <w:lang w:eastAsia="tr-TR"/>
              </w:rPr>
            </w:pPr>
          </w:p>
        </w:tc>
      </w:tr>
      <w:tr w:rsidR="00220A2F" w:rsidRPr="00005453" w14:paraId="6CBD68BF"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C7FBDB5" w14:textId="77777777" w:rsidR="00220A2F" w:rsidRPr="00005453" w:rsidRDefault="00220A2F" w:rsidP="00220A2F">
            <w:pPr>
              <w:rPr>
                <w:b/>
                <w:bCs/>
                <w:color w:val="000000"/>
                <w:sz w:val="14"/>
                <w:szCs w:val="14"/>
                <w:lang w:eastAsia="tr-TR"/>
              </w:rPr>
            </w:pPr>
            <w:r w:rsidRPr="00005453">
              <w:rPr>
                <w:b/>
                <w:bCs/>
                <w:color w:val="000000"/>
                <w:sz w:val="14"/>
                <w:szCs w:val="14"/>
                <w:lang w:eastAsia="tr-TR"/>
              </w:rPr>
              <w:t xml:space="preserve">I. </w:t>
            </w:r>
          </w:p>
        </w:tc>
        <w:tc>
          <w:tcPr>
            <w:tcW w:w="5533" w:type="dxa"/>
            <w:tcBorders>
              <w:top w:val="nil"/>
              <w:left w:val="single" w:sz="4" w:space="0" w:color="auto"/>
              <w:bottom w:val="nil"/>
              <w:right w:val="single" w:sz="4" w:space="0" w:color="auto"/>
            </w:tcBorders>
            <w:shd w:val="clear" w:color="auto" w:fill="auto"/>
            <w:noWrap/>
            <w:vAlign w:val="bottom"/>
            <w:hideMark/>
          </w:tcPr>
          <w:p w14:paraId="7B9DB6AC" w14:textId="35C72777" w:rsidR="00220A2F" w:rsidRPr="00005453" w:rsidRDefault="009F12C7" w:rsidP="00220A2F">
            <w:pPr>
              <w:rPr>
                <w:b/>
                <w:bCs/>
                <w:color w:val="000000"/>
                <w:sz w:val="14"/>
                <w:szCs w:val="14"/>
                <w:lang w:eastAsia="tr-TR"/>
              </w:rPr>
            </w:pPr>
            <w:r w:rsidRPr="00005453">
              <w:rPr>
                <w:b/>
                <w:bCs/>
                <w:color w:val="000000"/>
                <w:sz w:val="14"/>
                <w:szCs w:val="14"/>
                <w:lang w:eastAsia="tr-TR"/>
              </w:rPr>
              <w:t>Dönem kârının dağıtımı</w:t>
            </w:r>
          </w:p>
        </w:tc>
        <w:tc>
          <w:tcPr>
            <w:tcW w:w="1276" w:type="dxa"/>
            <w:tcBorders>
              <w:top w:val="nil"/>
              <w:left w:val="single" w:sz="4" w:space="0" w:color="auto"/>
              <w:bottom w:val="nil"/>
              <w:right w:val="single" w:sz="4" w:space="0" w:color="auto"/>
            </w:tcBorders>
            <w:shd w:val="clear" w:color="auto" w:fill="auto"/>
            <w:vAlign w:val="center"/>
            <w:hideMark/>
          </w:tcPr>
          <w:p w14:paraId="6C75D04E" w14:textId="77777777" w:rsidR="00220A2F" w:rsidRPr="00005453" w:rsidRDefault="00220A2F" w:rsidP="00220A2F">
            <w:pP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EC528DB" w14:textId="77777777" w:rsidR="00220A2F" w:rsidRPr="00005453" w:rsidRDefault="00220A2F" w:rsidP="00220A2F">
            <w:pPr>
              <w:rPr>
                <w:b/>
                <w:bCs/>
                <w:sz w:val="14"/>
                <w:szCs w:val="14"/>
                <w:lang w:eastAsia="tr-TR"/>
              </w:rPr>
            </w:pPr>
          </w:p>
        </w:tc>
      </w:tr>
      <w:tr w:rsidR="00220A2F" w:rsidRPr="00005453" w14:paraId="35F46F22"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96845B9" w14:textId="77777777" w:rsidR="00220A2F" w:rsidRPr="00005453" w:rsidRDefault="00220A2F" w:rsidP="00220A2F">
            <w:pPr>
              <w:rPr>
                <w:sz w:val="14"/>
                <w:szCs w:val="14"/>
                <w:lang w:eastAsia="tr-TR"/>
              </w:rPr>
            </w:pPr>
            <w:r w:rsidRPr="00005453">
              <w:rPr>
                <w:sz w:val="14"/>
                <w:szCs w:val="14"/>
                <w:lang w:eastAsia="tr-TR"/>
              </w:rPr>
              <w:t> </w:t>
            </w:r>
          </w:p>
        </w:tc>
        <w:tc>
          <w:tcPr>
            <w:tcW w:w="5533" w:type="dxa"/>
            <w:tcBorders>
              <w:top w:val="nil"/>
              <w:left w:val="single" w:sz="4" w:space="0" w:color="auto"/>
              <w:bottom w:val="nil"/>
              <w:right w:val="single" w:sz="4" w:space="0" w:color="auto"/>
            </w:tcBorders>
            <w:shd w:val="clear" w:color="auto" w:fill="auto"/>
            <w:noWrap/>
            <w:vAlign w:val="bottom"/>
            <w:hideMark/>
          </w:tcPr>
          <w:p w14:paraId="7047980E" w14:textId="77777777" w:rsidR="00220A2F" w:rsidRPr="00005453" w:rsidRDefault="00220A2F" w:rsidP="00220A2F">
            <w:pPr>
              <w:rPr>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5A146BA" w14:textId="77777777" w:rsidR="00220A2F" w:rsidRPr="00005453" w:rsidRDefault="00220A2F" w:rsidP="00220A2F">
            <w:pPr>
              <w:rPr>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72307F1" w14:textId="77777777" w:rsidR="00220A2F" w:rsidRPr="00005453" w:rsidRDefault="00220A2F" w:rsidP="00220A2F">
            <w:pPr>
              <w:rPr>
                <w:sz w:val="14"/>
                <w:szCs w:val="14"/>
                <w:lang w:eastAsia="tr-TR"/>
              </w:rPr>
            </w:pPr>
          </w:p>
        </w:tc>
      </w:tr>
      <w:tr w:rsidR="00785B70" w:rsidRPr="00005453" w14:paraId="35C8F0A1"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D58493C" w14:textId="77777777" w:rsidR="00785B70" w:rsidRPr="00005453" w:rsidRDefault="00785B70" w:rsidP="00785B70">
            <w:pPr>
              <w:rPr>
                <w:color w:val="000000"/>
                <w:sz w:val="14"/>
                <w:szCs w:val="14"/>
                <w:lang w:eastAsia="tr-TR"/>
              </w:rPr>
            </w:pPr>
            <w:r w:rsidRPr="00005453">
              <w:rPr>
                <w:color w:val="000000"/>
                <w:sz w:val="14"/>
                <w:szCs w:val="14"/>
                <w:lang w:eastAsia="tr-TR"/>
              </w:rPr>
              <w:t>1.1</w:t>
            </w:r>
          </w:p>
        </w:tc>
        <w:tc>
          <w:tcPr>
            <w:tcW w:w="5533" w:type="dxa"/>
            <w:tcBorders>
              <w:top w:val="nil"/>
              <w:left w:val="single" w:sz="4" w:space="0" w:color="auto"/>
              <w:bottom w:val="nil"/>
              <w:right w:val="single" w:sz="4" w:space="0" w:color="auto"/>
            </w:tcBorders>
            <w:shd w:val="clear" w:color="auto" w:fill="auto"/>
            <w:noWrap/>
            <w:vAlign w:val="bottom"/>
            <w:hideMark/>
          </w:tcPr>
          <w:p w14:paraId="3EFE737D" w14:textId="59192718" w:rsidR="00785B70" w:rsidRPr="00005453" w:rsidRDefault="00785B70" w:rsidP="00785B70">
            <w:pPr>
              <w:rPr>
                <w:color w:val="000000"/>
                <w:sz w:val="14"/>
                <w:szCs w:val="14"/>
                <w:lang w:eastAsia="tr-TR"/>
              </w:rPr>
            </w:pPr>
            <w:r w:rsidRPr="00005453">
              <w:rPr>
                <w:color w:val="000000"/>
                <w:sz w:val="14"/>
                <w:szCs w:val="14"/>
                <w:lang w:eastAsia="tr-TR"/>
              </w:rPr>
              <w:t>Dönem kârı</w:t>
            </w:r>
          </w:p>
        </w:tc>
        <w:tc>
          <w:tcPr>
            <w:tcW w:w="1276" w:type="dxa"/>
            <w:tcBorders>
              <w:top w:val="nil"/>
              <w:left w:val="single" w:sz="4" w:space="0" w:color="auto"/>
              <w:bottom w:val="nil"/>
              <w:right w:val="single" w:sz="4" w:space="0" w:color="auto"/>
            </w:tcBorders>
            <w:shd w:val="clear" w:color="auto" w:fill="auto"/>
            <w:vAlign w:val="center"/>
            <w:hideMark/>
          </w:tcPr>
          <w:p w14:paraId="42A16371" w14:textId="540AA62E" w:rsidR="00785B70" w:rsidRPr="00005453" w:rsidRDefault="00785B70" w:rsidP="00785B70">
            <w:pPr>
              <w:jc w:val="right"/>
              <w:rPr>
                <w:color w:val="000000"/>
                <w:sz w:val="14"/>
                <w:szCs w:val="14"/>
                <w:lang w:eastAsia="tr-TR"/>
              </w:rPr>
            </w:pPr>
            <w:r w:rsidRPr="00005453">
              <w:rPr>
                <w:sz w:val="14"/>
                <w:szCs w:val="18"/>
              </w:rPr>
              <w:t>46,257,158</w:t>
            </w:r>
          </w:p>
        </w:tc>
        <w:tc>
          <w:tcPr>
            <w:tcW w:w="1418" w:type="dxa"/>
            <w:tcBorders>
              <w:top w:val="nil"/>
              <w:left w:val="single" w:sz="4" w:space="0" w:color="auto"/>
              <w:bottom w:val="nil"/>
              <w:right w:val="single" w:sz="4" w:space="0" w:color="auto"/>
            </w:tcBorders>
            <w:shd w:val="clear" w:color="auto" w:fill="auto"/>
            <w:vAlign w:val="center"/>
            <w:hideMark/>
          </w:tcPr>
          <w:p w14:paraId="4470C882" w14:textId="33750636" w:rsidR="00785B70" w:rsidRPr="00005453" w:rsidRDefault="00785B70" w:rsidP="00785B70">
            <w:pPr>
              <w:jc w:val="right"/>
              <w:rPr>
                <w:color w:val="000000"/>
                <w:sz w:val="14"/>
                <w:szCs w:val="14"/>
                <w:lang w:eastAsia="tr-TR"/>
              </w:rPr>
            </w:pPr>
            <w:r w:rsidRPr="00005453">
              <w:rPr>
                <w:sz w:val="14"/>
                <w:szCs w:val="18"/>
              </w:rPr>
              <w:t>33,503,408</w:t>
            </w:r>
          </w:p>
        </w:tc>
      </w:tr>
      <w:tr w:rsidR="00785B70" w:rsidRPr="00005453" w14:paraId="10CBC12B"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8C41C50" w14:textId="77777777" w:rsidR="00785B70" w:rsidRPr="00005453" w:rsidRDefault="00785B70" w:rsidP="00785B70">
            <w:pPr>
              <w:rPr>
                <w:color w:val="000000"/>
                <w:sz w:val="14"/>
                <w:szCs w:val="14"/>
                <w:lang w:eastAsia="tr-TR"/>
              </w:rPr>
            </w:pPr>
            <w:r w:rsidRPr="00005453">
              <w:rPr>
                <w:color w:val="000000"/>
                <w:sz w:val="14"/>
                <w:szCs w:val="14"/>
                <w:lang w:eastAsia="tr-TR"/>
              </w:rPr>
              <w:t>1.2</w:t>
            </w:r>
          </w:p>
        </w:tc>
        <w:tc>
          <w:tcPr>
            <w:tcW w:w="5533" w:type="dxa"/>
            <w:tcBorders>
              <w:top w:val="nil"/>
              <w:left w:val="single" w:sz="4" w:space="0" w:color="auto"/>
              <w:bottom w:val="nil"/>
              <w:right w:val="single" w:sz="4" w:space="0" w:color="auto"/>
            </w:tcBorders>
            <w:shd w:val="clear" w:color="auto" w:fill="auto"/>
            <w:noWrap/>
            <w:vAlign w:val="bottom"/>
            <w:hideMark/>
          </w:tcPr>
          <w:p w14:paraId="167F2260" w14:textId="03FC214F" w:rsidR="00785B70" w:rsidRPr="00005453" w:rsidRDefault="00785B70" w:rsidP="00785B70">
            <w:pPr>
              <w:rPr>
                <w:color w:val="000000"/>
                <w:sz w:val="14"/>
                <w:szCs w:val="14"/>
                <w:lang w:eastAsia="tr-TR"/>
              </w:rPr>
            </w:pPr>
            <w:r w:rsidRPr="00005453">
              <w:rPr>
                <w:color w:val="000000"/>
                <w:sz w:val="14"/>
                <w:szCs w:val="14"/>
                <w:lang w:eastAsia="tr-TR"/>
              </w:rPr>
              <w:t>Ödenecek vergi ve yasal yükümlülükler (-)</w:t>
            </w:r>
          </w:p>
        </w:tc>
        <w:tc>
          <w:tcPr>
            <w:tcW w:w="1276" w:type="dxa"/>
            <w:tcBorders>
              <w:top w:val="nil"/>
              <w:left w:val="single" w:sz="4" w:space="0" w:color="auto"/>
              <w:bottom w:val="nil"/>
              <w:right w:val="single" w:sz="4" w:space="0" w:color="auto"/>
            </w:tcBorders>
            <w:shd w:val="clear" w:color="auto" w:fill="auto"/>
            <w:vAlign w:val="center"/>
            <w:hideMark/>
          </w:tcPr>
          <w:p w14:paraId="2656735A" w14:textId="1260CF6A" w:rsidR="00785B70" w:rsidRPr="00005453" w:rsidRDefault="00785B70" w:rsidP="00785B70">
            <w:pPr>
              <w:jc w:val="right"/>
              <w:rPr>
                <w:color w:val="000000"/>
                <w:sz w:val="14"/>
                <w:szCs w:val="14"/>
                <w:lang w:eastAsia="tr-TR"/>
              </w:rPr>
            </w:pPr>
            <w:r w:rsidRPr="00005453">
              <w:rPr>
                <w:sz w:val="14"/>
                <w:szCs w:val="18"/>
              </w:rPr>
              <w:t>11,603,702</w:t>
            </w:r>
          </w:p>
        </w:tc>
        <w:tc>
          <w:tcPr>
            <w:tcW w:w="1418" w:type="dxa"/>
            <w:tcBorders>
              <w:top w:val="nil"/>
              <w:left w:val="single" w:sz="4" w:space="0" w:color="auto"/>
              <w:bottom w:val="nil"/>
              <w:right w:val="single" w:sz="4" w:space="0" w:color="auto"/>
            </w:tcBorders>
            <w:shd w:val="clear" w:color="auto" w:fill="auto"/>
            <w:vAlign w:val="center"/>
            <w:hideMark/>
          </w:tcPr>
          <w:p w14:paraId="5D93F931" w14:textId="5145FA67" w:rsidR="00785B70" w:rsidRPr="00005453" w:rsidRDefault="00785B70" w:rsidP="00785B70">
            <w:pPr>
              <w:jc w:val="right"/>
              <w:rPr>
                <w:color w:val="000000"/>
                <w:sz w:val="14"/>
                <w:szCs w:val="14"/>
                <w:lang w:eastAsia="tr-TR"/>
              </w:rPr>
            </w:pPr>
            <w:r w:rsidRPr="00005453">
              <w:rPr>
                <w:sz w:val="14"/>
                <w:szCs w:val="18"/>
              </w:rPr>
              <w:t>6,894,037</w:t>
            </w:r>
          </w:p>
        </w:tc>
      </w:tr>
      <w:tr w:rsidR="00785B70" w:rsidRPr="00005453" w14:paraId="6B6C999A"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3BE4577" w14:textId="77777777" w:rsidR="00785B70" w:rsidRPr="00005453" w:rsidRDefault="00785B70" w:rsidP="00785B70">
            <w:pPr>
              <w:rPr>
                <w:color w:val="000000"/>
                <w:sz w:val="14"/>
                <w:szCs w:val="14"/>
                <w:lang w:eastAsia="tr-TR"/>
              </w:rPr>
            </w:pPr>
            <w:r w:rsidRPr="00005453">
              <w:rPr>
                <w:color w:val="000000"/>
                <w:sz w:val="14"/>
                <w:szCs w:val="14"/>
                <w:lang w:eastAsia="tr-TR"/>
              </w:rPr>
              <w:t>1.2.1</w:t>
            </w:r>
          </w:p>
        </w:tc>
        <w:tc>
          <w:tcPr>
            <w:tcW w:w="5533" w:type="dxa"/>
            <w:tcBorders>
              <w:top w:val="nil"/>
              <w:left w:val="single" w:sz="4" w:space="0" w:color="auto"/>
              <w:bottom w:val="nil"/>
              <w:right w:val="single" w:sz="4" w:space="0" w:color="auto"/>
            </w:tcBorders>
            <w:shd w:val="clear" w:color="auto" w:fill="auto"/>
            <w:noWrap/>
            <w:vAlign w:val="bottom"/>
            <w:hideMark/>
          </w:tcPr>
          <w:p w14:paraId="657BE4EF" w14:textId="7DB54508" w:rsidR="00785B70" w:rsidRPr="00005453" w:rsidRDefault="00785B70" w:rsidP="00785B70">
            <w:pPr>
              <w:rPr>
                <w:color w:val="000000"/>
                <w:sz w:val="14"/>
                <w:szCs w:val="14"/>
                <w:lang w:eastAsia="tr-TR"/>
              </w:rPr>
            </w:pPr>
            <w:r w:rsidRPr="00005453">
              <w:rPr>
                <w:color w:val="000000"/>
                <w:sz w:val="14"/>
                <w:szCs w:val="14"/>
                <w:lang w:eastAsia="tr-TR"/>
              </w:rPr>
              <w:t>Kurumlar vergisi (gelir vergisi)</w:t>
            </w:r>
          </w:p>
        </w:tc>
        <w:tc>
          <w:tcPr>
            <w:tcW w:w="1276" w:type="dxa"/>
            <w:tcBorders>
              <w:top w:val="nil"/>
              <w:left w:val="single" w:sz="4" w:space="0" w:color="auto"/>
              <w:bottom w:val="nil"/>
              <w:right w:val="single" w:sz="4" w:space="0" w:color="auto"/>
            </w:tcBorders>
            <w:shd w:val="clear" w:color="auto" w:fill="auto"/>
            <w:vAlign w:val="center"/>
            <w:hideMark/>
          </w:tcPr>
          <w:p w14:paraId="5D0A84A8" w14:textId="0CEF618C" w:rsidR="00785B70" w:rsidRPr="00005453" w:rsidRDefault="00785B70" w:rsidP="00785B70">
            <w:pPr>
              <w:jc w:val="right"/>
              <w:rPr>
                <w:color w:val="000000"/>
                <w:sz w:val="14"/>
                <w:szCs w:val="14"/>
                <w:lang w:eastAsia="tr-TR"/>
              </w:rPr>
            </w:pPr>
            <w:r w:rsidRPr="00005453">
              <w:rPr>
                <w:sz w:val="14"/>
                <w:szCs w:val="18"/>
              </w:rPr>
              <w:t>12,287,240</w:t>
            </w:r>
          </w:p>
        </w:tc>
        <w:tc>
          <w:tcPr>
            <w:tcW w:w="1418" w:type="dxa"/>
            <w:tcBorders>
              <w:top w:val="nil"/>
              <w:left w:val="single" w:sz="4" w:space="0" w:color="auto"/>
              <w:bottom w:val="nil"/>
              <w:right w:val="single" w:sz="4" w:space="0" w:color="auto"/>
            </w:tcBorders>
            <w:shd w:val="clear" w:color="auto" w:fill="auto"/>
            <w:vAlign w:val="center"/>
            <w:hideMark/>
          </w:tcPr>
          <w:p w14:paraId="77900715" w14:textId="283D7310" w:rsidR="00785B70" w:rsidRPr="00005453" w:rsidRDefault="00785B70" w:rsidP="00785B70">
            <w:pPr>
              <w:jc w:val="right"/>
              <w:rPr>
                <w:color w:val="000000"/>
                <w:sz w:val="14"/>
                <w:szCs w:val="14"/>
                <w:lang w:eastAsia="tr-TR"/>
              </w:rPr>
            </w:pPr>
            <w:r w:rsidRPr="00005453">
              <w:rPr>
                <w:sz w:val="14"/>
                <w:szCs w:val="18"/>
              </w:rPr>
              <w:t>9,420,021</w:t>
            </w:r>
          </w:p>
        </w:tc>
      </w:tr>
      <w:tr w:rsidR="00785B70" w:rsidRPr="00005453" w14:paraId="46B638C5"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04D9538" w14:textId="77777777" w:rsidR="00785B70" w:rsidRPr="00005453" w:rsidRDefault="00785B70" w:rsidP="00785B70">
            <w:pPr>
              <w:rPr>
                <w:color w:val="000000"/>
                <w:sz w:val="14"/>
                <w:szCs w:val="14"/>
                <w:lang w:eastAsia="tr-TR"/>
              </w:rPr>
            </w:pPr>
            <w:r w:rsidRPr="00005453">
              <w:rPr>
                <w:color w:val="000000"/>
                <w:sz w:val="14"/>
                <w:szCs w:val="14"/>
                <w:lang w:eastAsia="tr-TR"/>
              </w:rPr>
              <w:t>1.2.2</w:t>
            </w:r>
          </w:p>
        </w:tc>
        <w:tc>
          <w:tcPr>
            <w:tcW w:w="5533" w:type="dxa"/>
            <w:tcBorders>
              <w:top w:val="nil"/>
              <w:left w:val="single" w:sz="4" w:space="0" w:color="auto"/>
              <w:bottom w:val="nil"/>
              <w:right w:val="single" w:sz="4" w:space="0" w:color="auto"/>
            </w:tcBorders>
            <w:shd w:val="clear" w:color="auto" w:fill="auto"/>
            <w:noWrap/>
            <w:vAlign w:val="bottom"/>
            <w:hideMark/>
          </w:tcPr>
          <w:p w14:paraId="7B624AF3" w14:textId="0B7D4A07" w:rsidR="00785B70" w:rsidRPr="00005453" w:rsidRDefault="00785B70" w:rsidP="00785B70">
            <w:pPr>
              <w:rPr>
                <w:color w:val="000000"/>
                <w:sz w:val="14"/>
                <w:szCs w:val="14"/>
                <w:lang w:eastAsia="tr-TR"/>
              </w:rPr>
            </w:pPr>
            <w:r w:rsidRPr="00005453">
              <w:rPr>
                <w:color w:val="000000"/>
                <w:sz w:val="14"/>
                <w:szCs w:val="14"/>
                <w:lang w:eastAsia="tr-TR"/>
              </w:rPr>
              <w:t>Gelir vergisi kesintisi</w:t>
            </w:r>
          </w:p>
        </w:tc>
        <w:tc>
          <w:tcPr>
            <w:tcW w:w="1276" w:type="dxa"/>
            <w:tcBorders>
              <w:top w:val="nil"/>
              <w:left w:val="single" w:sz="4" w:space="0" w:color="auto"/>
              <w:bottom w:val="nil"/>
              <w:right w:val="single" w:sz="4" w:space="0" w:color="auto"/>
            </w:tcBorders>
            <w:shd w:val="clear" w:color="auto" w:fill="auto"/>
            <w:vAlign w:val="center"/>
            <w:hideMark/>
          </w:tcPr>
          <w:p w14:paraId="04E242AB" w14:textId="37BA13EA" w:rsidR="00785B70" w:rsidRPr="00005453" w:rsidRDefault="00785B70" w:rsidP="00785B70">
            <w:pPr>
              <w:jc w:val="right"/>
              <w:rPr>
                <w:color w:val="000000"/>
                <w:sz w:val="14"/>
                <w:szCs w:val="14"/>
                <w:lang w:eastAsia="tr-TR"/>
              </w:rPr>
            </w:pPr>
            <w:r w:rsidRPr="00005453">
              <w:rPr>
                <w:sz w:val="14"/>
                <w:szCs w:val="18"/>
              </w:rPr>
              <w:t>-</w:t>
            </w:r>
          </w:p>
        </w:tc>
        <w:tc>
          <w:tcPr>
            <w:tcW w:w="1418" w:type="dxa"/>
            <w:tcBorders>
              <w:top w:val="nil"/>
              <w:left w:val="single" w:sz="4" w:space="0" w:color="auto"/>
              <w:bottom w:val="nil"/>
              <w:right w:val="single" w:sz="4" w:space="0" w:color="auto"/>
            </w:tcBorders>
            <w:shd w:val="clear" w:color="auto" w:fill="auto"/>
            <w:vAlign w:val="center"/>
            <w:hideMark/>
          </w:tcPr>
          <w:p w14:paraId="77244D4B" w14:textId="729DEF76"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2AD69A4F"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7ACC797" w14:textId="77777777" w:rsidR="00785B70" w:rsidRPr="00005453" w:rsidRDefault="00785B70" w:rsidP="00785B70">
            <w:pPr>
              <w:rPr>
                <w:color w:val="000000"/>
                <w:sz w:val="14"/>
                <w:szCs w:val="14"/>
                <w:lang w:eastAsia="tr-TR"/>
              </w:rPr>
            </w:pPr>
            <w:r w:rsidRPr="00005453">
              <w:rPr>
                <w:color w:val="000000"/>
                <w:sz w:val="14"/>
                <w:szCs w:val="14"/>
                <w:lang w:eastAsia="tr-TR"/>
              </w:rPr>
              <w:t>1.2.3</w:t>
            </w:r>
          </w:p>
        </w:tc>
        <w:tc>
          <w:tcPr>
            <w:tcW w:w="5533" w:type="dxa"/>
            <w:tcBorders>
              <w:top w:val="nil"/>
              <w:left w:val="single" w:sz="4" w:space="0" w:color="auto"/>
              <w:bottom w:val="nil"/>
              <w:right w:val="single" w:sz="4" w:space="0" w:color="auto"/>
            </w:tcBorders>
            <w:shd w:val="clear" w:color="auto" w:fill="auto"/>
            <w:noWrap/>
            <w:vAlign w:val="bottom"/>
            <w:hideMark/>
          </w:tcPr>
          <w:p w14:paraId="1A71C685" w14:textId="7FF24E46" w:rsidR="00785B70" w:rsidRPr="00005453" w:rsidRDefault="00785B70" w:rsidP="00785B70">
            <w:pPr>
              <w:rPr>
                <w:color w:val="000000"/>
                <w:sz w:val="14"/>
                <w:szCs w:val="14"/>
                <w:lang w:eastAsia="tr-TR"/>
              </w:rPr>
            </w:pPr>
            <w:r w:rsidRPr="00005453">
              <w:rPr>
                <w:color w:val="000000"/>
                <w:sz w:val="14"/>
                <w:szCs w:val="14"/>
                <w:lang w:eastAsia="tr-TR"/>
              </w:rPr>
              <w:t>Diğer Vergi ve Yasal Yükümlülükler (**)</w:t>
            </w:r>
          </w:p>
        </w:tc>
        <w:tc>
          <w:tcPr>
            <w:tcW w:w="1276" w:type="dxa"/>
            <w:tcBorders>
              <w:top w:val="nil"/>
              <w:left w:val="single" w:sz="4" w:space="0" w:color="auto"/>
              <w:bottom w:val="nil"/>
              <w:right w:val="single" w:sz="4" w:space="0" w:color="auto"/>
            </w:tcBorders>
            <w:shd w:val="clear" w:color="auto" w:fill="auto"/>
            <w:vAlign w:val="center"/>
            <w:hideMark/>
          </w:tcPr>
          <w:p w14:paraId="19D9ADEA" w14:textId="789AD165" w:rsidR="00785B70" w:rsidRPr="00005453" w:rsidRDefault="00785B70" w:rsidP="00785B70">
            <w:pPr>
              <w:jc w:val="right"/>
              <w:rPr>
                <w:color w:val="000000"/>
                <w:sz w:val="14"/>
                <w:szCs w:val="14"/>
                <w:lang w:eastAsia="tr-TR"/>
              </w:rPr>
            </w:pPr>
            <w:r w:rsidRPr="00005453">
              <w:rPr>
                <w:sz w:val="14"/>
                <w:szCs w:val="18"/>
              </w:rPr>
              <w:t>(683,538)</w:t>
            </w:r>
          </w:p>
        </w:tc>
        <w:tc>
          <w:tcPr>
            <w:tcW w:w="1418" w:type="dxa"/>
            <w:tcBorders>
              <w:top w:val="nil"/>
              <w:left w:val="single" w:sz="4" w:space="0" w:color="auto"/>
              <w:bottom w:val="nil"/>
              <w:right w:val="single" w:sz="4" w:space="0" w:color="auto"/>
            </w:tcBorders>
            <w:shd w:val="clear" w:color="auto" w:fill="auto"/>
            <w:vAlign w:val="center"/>
            <w:hideMark/>
          </w:tcPr>
          <w:p w14:paraId="4EF1BC6E" w14:textId="2FF887C4" w:rsidR="00785B70" w:rsidRPr="00005453" w:rsidRDefault="00785B70" w:rsidP="00785B70">
            <w:pPr>
              <w:jc w:val="right"/>
              <w:rPr>
                <w:color w:val="000000"/>
                <w:sz w:val="14"/>
                <w:szCs w:val="14"/>
                <w:lang w:eastAsia="tr-TR"/>
              </w:rPr>
            </w:pPr>
            <w:r w:rsidRPr="00005453">
              <w:rPr>
                <w:sz w:val="14"/>
                <w:szCs w:val="18"/>
              </w:rPr>
              <w:t>(2,525,984)</w:t>
            </w:r>
          </w:p>
        </w:tc>
      </w:tr>
      <w:tr w:rsidR="00785B70" w:rsidRPr="00005453" w14:paraId="63462925"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5EA9415" w14:textId="77777777" w:rsidR="00785B70" w:rsidRPr="00005453" w:rsidRDefault="00785B70" w:rsidP="00785B70">
            <w:pPr>
              <w:rPr>
                <w:b/>
                <w:sz w:val="14"/>
                <w:szCs w:val="14"/>
                <w:lang w:eastAsia="tr-TR"/>
              </w:rPr>
            </w:pPr>
            <w:r w:rsidRPr="00005453">
              <w:rPr>
                <w:b/>
                <w:color w:val="000000"/>
                <w:sz w:val="14"/>
                <w:szCs w:val="14"/>
                <w:lang w:eastAsia="tr-TR"/>
              </w:rPr>
              <w:t>A</w:t>
            </w:r>
            <w:r w:rsidRPr="00005453">
              <w:rPr>
                <w:b/>
                <w:sz w:val="14"/>
                <w:szCs w:val="14"/>
                <w:lang w:eastAsia="tr-TR"/>
              </w:rPr>
              <w:t>.</w:t>
            </w:r>
          </w:p>
        </w:tc>
        <w:tc>
          <w:tcPr>
            <w:tcW w:w="5533" w:type="dxa"/>
            <w:tcBorders>
              <w:top w:val="nil"/>
              <w:left w:val="single" w:sz="4" w:space="0" w:color="auto"/>
              <w:bottom w:val="nil"/>
              <w:right w:val="single" w:sz="4" w:space="0" w:color="auto"/>
            </w:tcBorders>
            <w:shd w:val="clear" w:color="auto" w:fill="auto"/>
            <w:noWrap/>
            <w:vAlign w:val="bottom"/>
            <w:hideMark/>
          </w:tcPr>
          <w:p w14:paraId="133F92C5" w14:textId="35C0FDA7" w:rsidR="00785B70" w:rsidRPr="00005453" w:rsidRDefault="00785B70" w:rsidP="00785B70">
            <w:pPr>
              <w:rPr>
                <w:b/>
                <w:color w:val="000000"/>
                <w:sz w:val="14"/>
                <w:szCs w:val="14"/>
                <w:lang w:eastAsia="tr-TR"/>
              </w:rPr>
            </w:pPr>
            <w:r w:rsidRPr="00005453">
              <w:rPr>
                <w:b/>
                <w:color w:val="000000"/>
                <w:sz w:val="14"/>
                <w:szCs w:val="14"/>
                <w:lang w:eastAsia="tr-TR"/>
              </w:rPr>
              <w:t>Net dönem kârı (1.1-1.2)</w:t>
            </w:r>
          </w:p>
        </w:tc>
        <w:tc>
          <w:tcPr>
            <w:tcW w:w="1276" w:type="dxa"/>
            <w:tcBorders>
              <w:top w:val="nil"/>
              <w:left w:val="single" w:sz="4" w:space="0" w:color="auto"/>
              <w:bottom w:val="nil"/>
              <w:right w:val="single" w:sz="4" w:space="0" w:color="auto"/>
            </w:tcBorders>
            <w:shd w:val="clear" w:color="auto" w:fill="auto"/>
            <w:vAlign w:val="center"/>
            <w:hideMark/>
          </w:tcPr>
          <w:p w14:paraId="08EE3855" w14:textId="0C9109EA" w:rsidR="00785B70" w:rsidRPr="00005453" w:rsidRDefault="00785B70" w:rsidP="00785B70">
            <w:pPr>
              <w:jc w:val="right"/>
              <w:rPr>
                <w:b/>
                <w:color w:val="000000"/>
                <w:sz w:val="14"/>
                <w:szCs w:val="14"/>
                <w:lang w:eastAsia="tr-TR"/>
              </w:rPr>
            </w:pPr>
            <w:r w:rsidRPr="00005453">
              <w:rPr>
                <w:b/>
                <w:bCs/>
                <w:sz w:val="14"/>
                <w:szCs w:val="18"/>
              </w:rPr>
              <w:t>34,653,456</w:t>
            </w:r>
          </w:p>
        </w:tc>
        <w:tc>
          <w:tcPr>
            <w:tcW w:w="1418" w:type="dxa"/>
            <w:tcBorders>
              <w:top w:val="nil"/>
              <w:left w:val="single" w:sz="4" w:space="0" w:color="auto"/>
              <w:bottom w:val="nil"/>
              <w:right w:val="single" w:sz="4" w:space="0" w:color="auto"/>
            </w:tcBorders>
            <w:shd w:val="clear" w:color="auto" w:fill="auto"/>
            <w:vAlign w:val="center"/>
            <w:hideMark/>
          </w:tcPr>
          <w:p w14:paraId="35F3C12A" w14:textId="1A524692" w:rsidR="00785B70" w:rsidRPr="00005453" w:rsidRDefault="00785B70" w:rsidP="00785B70">
            <w:pPr>
              <w:jc w:val="right"/>
              <w:rPr>
                <w:b/>
                <w:color w:val="000000"/>
                <w:sz w:val="14"/>
                <w:szCs w:val="14"/>
                <w:lang w:eastAsia="tr-TR"/>
              </w:rPr>
            </w:pPr>
            <w:r w:rsidRPr="00005453">
              <w:rPr>
                <w:b/>
                <w:bCs/>
                <w:sz w:val="14"/>
                <w:szCs w:val="18"/>
              </w:rPr>
              <w:t>26,609,371</w:t>
            </w:r>
          </w:p>
        </w:tc>
      </w:tr>
      <w:tr w:rsidR="00785B70" w:rsidRPr="00005453" w14:paraId="76EA914C"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5A555D3" w14:textId="77777777" w:rsidR="00785B70" w:rsidRPr="00005453" w:rsidRDefault="00785B70" w:rsidP="00785B70">
            <w:pPr>
              <w:rPr>
                <w:color w:val="000000"/>
                <w:sz w:val="14"/>
                <w:szCs w:val="14"/>
                <w:lang w:eastAsia="tr-TR"/>
              </w:rPr>
            </w:pPr>
            <w:r w:rsidRPr="00005453">
              <w:rPr>
                <w:color w:val="000000"/>
                <w:sz w:val="14"/>
                <w:szCs w:val="14"/>
                <w:lang w:eastAsia="tr-TR"/>
              </w:rPr>
              <w:t>1.3</w:t>
            </w:r>
          </w:p>
        </w:tc>
        <w:tc>
          <w:tcPr>
            <w:tcW w:w="5533" w:type="dxa"/>
            <w:tcBorders>
              <w:top w:val="nil"/>
              <w:left w:val="single" w:sz="4" w:space="0" w:color="auto"/>
              <w:bottom w:val="nil"/>
              <w:right w:val="single" w:sz="4" w:space="0" w:color="auto"/>
            </w:tcBorders>
            <w:shd w:val="clear" w:color="auto" w:fill="auto"/>
            <w:noWrap/>
            <w:vAlign w:val="bottom"/>
            <w:hideMark/>
          </w:tcPr>
          <w:p w14:paraId="02DA29EA" w14:textId="0689D366" w:rsidR="00785B70" w:rsidRPr="00005453" w:rsidRDefault="00785B70" w:rsidP="00785B70">
            <w:pPr>
              <w:rPr>
                <w:color w:val="000000"/>
                <w:sz w:val="14"/>
                <w:szCs w:val="14"/>
                <w:lang w:eastAsia="tr-TR"/>
              </w:rPr>
            </w:pPr>
            <w:r w:rsidRPr="00005453">
              <w:rPr>
                <w:color w:val="000000"/>
                <w:sz w:val="14"/>
                <w:szCs w:val="14"/>
                <w:lang w:eastAsia="tr-TR"/>
              </w:rPr>
              <w:t>Geçmiş dönemler zararı (-)</w:t>
            </w:r>
          </w:p>
        </w:tc>
        <w:tc>
          <w:tcPr>
            <w:tcW w:w="1276" w:type="dxa"/>
            <w:tcBorders>
              <w:top w:val="nil"/>
              <w:left w:val="single" w:sz="4" w:space="0" w:color="auto"/>
              <w:bottom w:val="nil"/>
              <w:right w:val="single" w:sz="4" w:space="0" w:color="auto"/>
            </w:tcBorders>
            <w:shd w:val="clear" w:color="auto" w:fill="auto"/>
            <w:vAlign w:val="center"/>
            <w:hideMark/>
          </w:tcPr>
          <w:p w14:paraId="0686BA92" w14:textId="3902E3A5" w:rsidR="00785B70" w:rsidRPr="00005453" w:rsidRDefault="00785B70" w:rsidP="00785B70">
            <w:pPr>
              <w:jc w:val="right"/>
              <w:rPr>
                <w:color w:val="000000"/>
                <w:sz w:val="14"/>
                <w:szCs w:val="14"/>
                <w:lang w:eastAsia="tr-TR"/>
              </w:rPr>
            </w:pPr>
            <w:r w:rsidRPr="00005453">
              <w:rPr>
                <w:sz w:val="14"/>
                <w:szCs w:val="18"/>
              </w:rPr>
              <w:t>-</w:t>
            </w:r>
          </w:p>
        </w:tc>
        <w:tc>
          <w:tcPr>
            <w:tcW w:w="1418" w:type="dxa"/>
            <w:tcBorders>
              <w:top w:val="nil"/>
              <w:left w:val="single" w:sz="4" w:space="0" w:color="auto"/>
              <w:bottom w:val="nil"/>
              <w:right w:val="single" w:sz="4" w:space="0" w:color="auto"/>
            </w:tcBorders>
            <w:shd w:val="clear" w:color="auto" w:fill="auto"/>
            <w:vAlign w:val="center"/>
            <w:hideMark/>
          </w:tcPr>
          <w:p w14:paraId="79B02E3B" w14:textId="3CDDBD62"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7CE67D22"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FD4F5B1" w14:textId="77777777" w:rsidR="00785B70" w:rsidRPr="00005453" w:rsidRDefault="00785B70" w:rsidP="00785B70">
            <w:pPr>
              <w:rPr>
                <w:sz w:val="14"/>
                <w:szCs w:val="14"/>
                <w:lang w:eastAsia="tr-TR"/>
              </w:rPr>
            </w:pPr>
            <w:r w:rsidRPr="00005453">
              <w:rPr>
                <w:color w:val="000000"/>
                <w:sz w:val="14"/>
                <w:szCs w:val="14"/>
                <w:lang w:eastAsia="tr-TR"/>
              </w:rPr>
              <w:t>1.4</w:t>
            </w:r>
          </w:p>
        </w:tc>
        <w:tc>
          <w:tcPr>
            <w:tcW w:w="5533" w:type="dxa"/>
            <w:tcBorders>
              <w:top w:val="nil"/>
              <w:left w:val="single" w:sz="4" w:space="0" w:color="auto"/>
              <w:bottom w:val="nil"/>
              <w:right w:val="single" w:sz="4" w:space="0" w:color="auto"/>
            </w:tcBorders>
            <w:shd w:val="clear" w:color="auto" w:fill="auto"/>
            <w:noWrap/>
            <w:vAlign w:val="bottom"/>
            <w:hideMark/>
          </w:tcPr>
          <w:p w14:paraId="47E23C20" w14:textId="6A9A969F" w:rsidR="00785B70" w:rsidRPr="00005453" w:rsidRDefault="00785B70" w:rsidP="00785B70">
            <w:pPr>
              <w:rPr>
                <w:color w:val="000000"/>
                <w:sz w:val="14"/>
                <w:szCs w:val="14"/>
                <w:lang w:eastAsia="tr-TR"/>
              </w:rPr>
            </w:pPr>
            <w:r w:rsidRPr="00005453">
              <w:rPr>
                <w:color w:val="000000"/>
                <w:sz w:val="14"/>
                <w:szCs w:val="14"/>
                <w:lang w:eastAsia="tr-TR"/>
              </w:rPr>
              <w:t>Yasal yedek akçeler (-)</w:t>
            </w:r>
          </w:p>
        </w:tc>
        <w:tc>
          <w:tcPr>
            <w:tcW w:w="1276" w:type="dxa"/>
            <w:tcBorders>
              <w:top w:val="nil"/>
              <w:left w:val="single" w:sz="4" w:space="0" w:color="auto"/>
              <w:bottom w:val="nil"/>
              <w:right w:val="single" w:sz="4" w:space="0" w:color="auto"/>
            </w:tcBorders>
            <w:shd w:val="clear" w:color="auto" w:fill="auto"/>
            <w:vAlign w:val="center"/>
            <w:hideMark/>
          </w:tcPr>
          <w:p w14:paraId="4D2973A3" w14:textId="4CB25583" w:rsidR="00785B70" w:rsidRPr="00005453" w:rsidRDefault="00785B70" w:rsidP="00785B70">
            <w:pPr>
              <w:jc w:val="right"/>
              <w:rPr>
                <w:color w:val="000000"/>
                <w:sz w:val="14"/>
                <w:szCs w:val="14"/>
                <w:lang w:eastAsia="tr-TR"/>
              </w:rPr>
            </w:pPr>
            <w:r w:rsidRPr="00005453">
              <w:rPr>
                <w:sz w:val="14"/>
                <w:szCs w:val="18"/>
              </w:rPr>
              <w:t>-</w:t>
            </w:r>
          </w:p>
        </w:tc>
        <w:tc>
          <w:tcPr>
            <w:tcW w:w="1418" w:type="dxa"/>
            <w:tcBorders>
              <w:top w:val="nil"/>
              <w:left w:val="single" w:sz="4" w:space="0" w:color="auto"/>
              <w:bottom w:val="nil"/>
              <w:right w:val="single" w:sz="4" w:space="0" w:color="auto"/>
            </w:tcBorders>
            <w:shd w:val="clear" w:color="auto" w:fill="auto"/>
            <w:vAlign w:val="center"/>
            <w:hideMark/>
          </w:tcPr>
          <w:p w14:paraId="4A461027" w14:textId="09484B0F" w:rsidR="00785B70" w:rsidRPr="00005453" w:rsidRDefault="00785B70" w:rsidP="00785B70">
            <w:pPr>
              <w:jc w:val="right"/>
              <w:rPr>
                <w:color w:val="000000"/>
                <w:sz w:val="14"/>
                <w:szCs w:val="14"/>
                <w:lang w:eastAsia="tr-TR"/>
              </w:rPr>
            </w:pPr>
            <w:r w:rsidRPr="00005453">
              <w:rPr>
                <w:sz w:val="14"/>
                <w:szCs w:val="18"/>
              </w:rPr>
              <w:t>1,596,562</w:t>
            </w:r>
          </w:p>
        </w:tc>
      </w:tr>
      <w:tr w:rsidR="00785B70" w:rsidRPr="00005453" w14:paraId="46ED1C24"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5B80CE" w14:textId="77777777" w:rsidR="00785B70" w:rsidRPr="00005453" w:rsidRDefault="00785B70" w:rsidP="00785B70">
            <w:pPr>
              <w:rPr>
                <w:color w:val="000000"/>
                <w:sz w:val="14"/>
                <w:szCs w:val="14"/>
                <w:lang w:eastAsia="tr-TR"/>
              </w:rPr>
            </w:pPr>
            <w:r w:rsidRPr="00005453">
              <w:rPr>
                <w:color w:val="000000"/>
                <w:sz w:val="14"/>
                <w:szCs w:val="14"/>
                <w:lang w:eastAsia="tr-TR"/>
              </w:rPr>
              <w:t>1.5</w:t>
            </w:r>
          </w:p>
        </w:tc>
        <w:tc>
          <w:tcPr>
            <w:tcW w:w="5533" w:type="dxa"/>
            <w:tcBorders>
              <w:top w:val="nil"/>
              <w:left w:val="single" w:sz="4" w:space="0" w:color="auto"/>
              <w:bottom w:val="nil"/>
              <w:right w:val="single" w:sz="4" w:space="0" w:color="auto"/>
            </w:tcBorders>
            <w:shd w:val="clear" w:color="auto" w:fill="auto"/>
            <w:noWrap/>
            <w:vAlign w:val="bottom"/>
            <w:hideMark/>
          </w:tcPr>
          <w:p w14:paraId="1E6937A1" w14:textId="299E2976" w:rsidR="00785B70" w:rsidRPr="00005453" w:rsidRDefault="00785B70" w:rsidP="00785B70">
            <w:pPr>
              <w:rPr>
                <w:color w:val="000000"/>
                <w:sz w:val="14"/>
                <w:szCs w:val="14"/>
                <w:lang w:eastAsia="tr-TR"/>
              </w:rPr>
            </w:pPr>
            <w:r w:rsidRPr="00005453">
              <w:rPr>
                <w:color w:val="000000"/>
                <w:sz w:val="14"/>
                <w:szCs w:val="14"/>
                <w:lang w:eastAsia="tr-TR"/>
              </w:rPr>
              <w:t>Bankada bırakılması ve tasarrufu zorunlu yasal fonlar (-)</w:t>
            </w:r>
          </w:p>
        </w:tc>
        <w:tc>
          <w:tcPr>
            <w:tcW w:w="1276" w:type="dxa"/>
            <w:tcBorders>
              <w:top w:val="nil"/>
              <w:left w:val="single" w:sz="4" w:space="0" w:color="auto"/>
              <w:bottom w:val="nil"/>
              <w:right w:val="single" w:sz="4" w:space="0" w:color="auto"/>
            </w:tcBorders>
            <w:shd w:val="clear" w:color="auto" w:fill="auto"/>
            <w:vAlign w:val="center"/>
            <w:hideMark/>
          </w:tcPr>
          <w:p w14:paraId="4587D854" w14:textId="11BB731D" w:rsidR="00785B70" w:rsidRPr="00005453" w:rsidRDefault="00785B70" w:rsidP="00785B70">
            <w:pPr>
              <w:jc w:val="right"/>
              <w:rPr>
                <w:color w:val="000000"/>
                <w:sz w:val="14"/>
                <w:szCs w:val="14"/>
                <w:lang w:eastAsia="tr-TR"/>
              </w:rPr>
            </w:pPr>
            <w:r w:rsidRPr="00005453">
              <w:rPr>
                <w:sz w:val="14"/>
                <w:szCs w:val="18"/>
              </w:rPr>
              <w:t>-</w:t>
            </w:r>
          </w:p>
        </w:tc>
        <w:tc>
          <w:tcPr>
            <w:tcW w:w="1418" w:type="dxa"/>
            <w:tcBorders>
              <w:top w:val="nil"/>
              <w:left w:val="single" w:sz="4" w:space="0" w:color="auto"/>
              <w:bottom w:val="nil"/>
              <w:right w:val="single" w:sz="4" w:space="0" w:color="auto"/>
            </w:tcBorders>
            <w:shd w:val="clear" w:color="auto" w:fill="auto"/>
            <w:vAlign w:val="center"/>
            <w:hideMark/>
          </w:tcPr>
          <w:p w14:paraId="0782FB3E" w14:textId="44C62D1E"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2819D00F"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15D67C6" w14:textId="77777777" w:rsidR="00785B70" w:rsidRPr="00005453" w:rsidRDefault="00785B70" w:rsidP="00785B70">
            <w:pPr>
              <w:rPr>
                <w:b/>
                <w:color w:val="000000"/>
                <w:sz w:val="14"/>
                <w:szCs w:val="14"/>
                <w:lang w:eastAsia="tr-TR"/>
              </w:rPr>
            </w:pPr>
            <w:r w:rsidRPr="00005453">
              <w:rPr>
                <w:b/>
                <w:color w:val="000000"/>
                <w:sz w:val="14"/>
                <w:szCs w:val="14"/>
                <w:lang w:eastAsia="tr-TR"/>
              </w:rPr>
              <w:t>B.</w:t>
            </w:r>
          </w:p>
        </w:tc>
        <w:tc>
          <w:tcPr>
            <w:tcW w:w="5533" w:type="dxa"/>
            <w:tcBorders>
              <w:top w:val="nil"/>
              <w:left w:val="single" w:sz="4" w:space="0" w:color="auto"/>
              <w:bottom w:val="nil"/>
              <w:right w:val="single" w:sz="4" w:space="0" w:color="auto"/>
            </w:tcBorders>
            <w:shd w:val="clear" w:color="auto" w:fill="auto"/>
            <w:noWrap/>
            <w:vAlign w:val="bottom"/>
            <w:hideMark/>
          </w:tcPr>
          <w:p w14:paraId="4762D079" w14:textId="029B3031" w:rsidR="00785B70" w:rsidRPr="00005453" w:rsidRDefault="00785B70" w:rsidP="00785B70">
            <w:pPr>
              <w:rPr>
                <w:b/>
                <w:color w:val="000000"/>
                <w:sz w:val="14"/>
                <w:szCs w:val="14"/>
                <w:lang w:eastAsia="tr-TR"/>
              </w:rPr>
            </w:pPr>
            <w:r w:rsidRPr="00005453">
              <w:rPr>
                <w:b/>
                <w:color w:val="000000"/>
                <w:sz w:val="14"/>
                <w:szCs w:val="14"/>
                <w:lang w:eastAsia="tr-TR"/>
              </w:rPr>
              <w:t>Dağıtılabilir net dönem kârı [(a-(1.3+1.4+1.5)]</w:t>
            </w:r>
          </w:p>
        </w:tc>
        <w:tc>
          <w:tcPr>
            <w:tcW w:w="1276" w:type="dxa"/>
            <w:tcBorders>
              <w:top w:val="nil"/>
              <w:left w:val="single" w:sz="4" w:space="0" w:color="auto"/>
              <w:bottom w:val="nil"/>
              <w:right w:val="single" w:sz="4" w:space="0" w:color="auto"/>
            </w:tcBorders>
            <w:shd w:val="clear" w:color="auto" w:fill="auto"/>
            <w:vAlign w:val="center"/>
            <w:hideMark/>
          </w:tcPr>
          <w:p w14:paraId="34E49EFB" w14:textId="15FB21AD" w:rsidR="00785B70" w:rsidRPr="00005453" w:rsidRDefault="00785B70" w:rsidP="00785B70">
            <w:pPr>
              <w:jc w:val="right"/>
              <w:rPr>
                <w:b/>
                <w:color w:val="000000"/>
                <w:sz w:val="14"/>
                <w:szCs w:val="14"/>
                <w:lang w:eastAsia="tr-TR"/>
              </w:rPr>
            </w:pPr>
            <w:r w:rsidRPr="00005453">
              <w:rPr>
                <w:b/>
                <w:bCs/>
                <w:sz w:val="14"/>
                <w:szCs w:val="18"/>
              </w:rPr>
              <w:t>34,653,456</w:t>
            </w:r>
          </w:p>
        </w:tc>
        <w:tc>
          <w:tcPr>
            <w:tcW w:w="1418" w:type="dxa"/>
            <w:tcBorders>
              <w:top w:val="nil"/>
              <w:left w:val="single" w:sz="4" w:space="0" w:color="auto"/>
              <w:bottom w:val="nil"/>
              <w:right w:val="single" w:sz="4" w:space="0" w:color="auto"/>
            </w:tcBorders>
            <w:shd w:val="clear" w:color="auto" w:fill="auto"/>
            <w:vAlign w:val="center"/>
            <w:hideMark/>
          </w:tcPr>
          <w:p w14:paraId="41B3C1AD" w14:textId="62F14D02" w:rsidR="00785B70" w:rsidRPr="00005453" w:rsidRDefault="00785B70" w:rsidP="00785B70">
            <w:pPr>
              <w:jc w:val="right"/>
              <w:rPr>
                <w:b/>
                <w:color w:val="000000"/>
                <w:sz w:val="14"/>
                <w:szCs w:val="14"/>
                <w:lang w:eastAsia="tr-TR"/>
              </w:rPr>
            </w:pPr>
            <w:r w:rsidRPr="00005453">
              <w:rPr>
                <w:b/>
                <w:bCs/>
                <w:sz w:val="14"/>
                <w:szCs w:val="18"/>
              </w:rPr>
              <w:t>25,012,809</w:t>
            </w:r>
          </w:p>
        </w:tc>
      </w:tr>
      <w:tr w:rsidR="00785B70" w:rsidRPr="00005453" w14:paraId="5B3851AB"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14F8A7F" w14:textId="77777777" w:rsidR="00785B70" w:rsidRPr="00005453" w:rsidRDefault="00785B70" w:rsidP="00785B70">
            <w:pPr>
              <w:rPr>
                <w:color w:val="000000"/>
                <w:sz w:val="14"/>
                <w:szCs w:val="14"/>
                <w:lang w:eastAsia="tr-TR"/>
              </w:rPr>
            </w:pPr>
            <w:r w:rsidRPr="00005453">
              <w:rPr>
                <w:color w:val="000000"/>
                <w:sz w:val="14"/>
                <w:szCs w:val="14"/>
                <w:lang w:eastAsia="tr-TR"/>
              </w:rPr>
              <w:t xml:space="preserve">1.6 </w:t>
            </w:r>
          </w:p>
        </w:tc>
        <w:tc>
          <w:tcPr>
            <w:tcW w:w="5533" w:type="dxa"/>
            <w:tcBorders>
              <w:top w:val="nil"/>
              <w:left w:val="single" w:sz="4" w:space="0" w:color="auto"/>
              <w:bottom w:val="nil"/>
              <w:right w:val="single" w:sz="4" w:space="0" w:color="auto"/>
            </w:tcBorders>
            <w:shd w:val="clear" w:color="auto" w:fill="auto"/>
            <w:noWrap/>
            <w:vAlign w:val="bottom"/>
            <w:hideMark/>
          </w:tcPr>
          <w:p w14:paraId="6380E2B5" w14:textId="77777777" w:rsidR="00785B70" w:rsidRPr="00005453" w:rsidRDefault="00785B70" w:rsidP="00785B70">
            <w:pPr>
              <w:rPr>
                <w:color w:val="000000"/>
                <w:sz w:val="14"/>
                <w:szCs w:val="14"/>
                <w:lang w:eastAsia="tr-TR"/>
              </w:rPr>
            </w:pPr>
            <w:r w:rsidRPr="00005453">
              <w:rPr>
                <w:color w:val="000000"/>
                <w:sz w:val="14"/>
                <w:szCs w:val="14"/>
                <w:lang w:eastAsia="tr-TR"/>
              </w:rPr>
              <w:t>Ortaklara birinci temettü (-)</w:t>
            </w:r>
          </w:p>
        </w:tc>
        <w:tc>
          <w:tcPr>
            <w:tcW w:w="1276" w:type="dxa"/>
            <w:tcBorders>
              <w:top w:val="nil"/>
              <w:left w:val="single" w:sz="4" w:space="0" w:color="auto"/>
              <w:bottom w:val="nil"/>
              <w:right w:val="single" w:sz="4" w:space="0" w:color="auto"/>
            </w:tcBorders>
            <w:shd w:val="clear" w:color="auto" w:fill="auto"/>
            <w:vAlign w:val="center"/>
            <w:hideMark/>
          </w:tcPr>
          <w:p w14:paraId="628618EA" w14:textId="51DB5155"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D76A22C" w14:textId="2AB967E7" w:rsidR="00785B70" w:rsidRPr="00005453" w:rsidRDefault="00785B70" w:rsidP="00785B70">
            <w:pPr>
              <w:jc w:val="right"/>
              <w:rPr>
                <w:color w:val="000000"/>
                <w:sz w:val="14"/>
                <w:szCs w:val="14"/>
                <w:lang w:eastAsia="tr-TR"/>
              </w:rPr>
            </w:pPr>
            <w:r w:rsidRPr="00005453">
              <w:rPr>
                <w:sz w:val="14"/>
                <w:szCs w:val="18"/>
              </w:rPr>
              <w:t>2,660,937</w:t>
            </w:r>
          </w:p>
        </w:tc>
      </w:tr>
      <w:tr w:rsidR="00785B70" w:rsidRPr="00005453" w14:paraId="53BB7E1F"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AA1E53D" w14:textId="77777777" w:rsidR="00785B70" w:rsidRPr="00005453" w:rsidRDefault="00785B70" w:rsidP="00785B70">
            <w:pPr>
              <w:rPr>
                <w:sz w:val="14"/>
                <w:szCs w:val="14"/>
                <w:lang w:eastAsia="tr-TR"/>
              </w:rPr>
            </w:pPr>
            <w:r w:rsidRPr="00005453">
              <w:rPr>
                <w:color w:val="000000"/>
                <w:sz w:val="14"/>
                <w:szCs w:val="14"/>
                <w:lang w:eastAsia="tr-TR"/>
              </w:rPr>
              <w:t>1.6.1</w:t>
            </w:r>
          </w:p>
        </w:tc>
        <w:tc>
          <w:tcPr>
            <w:tcW w:w="5533" w:type="dxa"/>
            <w:tcBorders>
              <w:top w:val="nil"/>
              <w:left w:val="single" w:sz="4" w:space="0" w:color="auto"/>
              <w:bottom w:val="nil"/>
              <w:right w:val="single" w:sz="4" w:space="0" w:color="auto"/>
            </w:tcBorders>
            <w:shd w:val="clear" w:color="auto" w:fill="auto"/>
            <w:noWrap/>
            <w:vAlign w:val="bottom"/>
            <w:hideMark/>
          </w:tcPr>
          <w:p w14:paraId="4FE42003" w14:textId="5B554CEE" w:rsidR="00785B70" w:rsidRPr="00005453" w:rsidRDefault="00785B70" w:rsidP="00785B70">
            <w:pPr>
              <w:rPr>
                <w:color w:val="000000"/>
                <w:sz w:val="14"/>
                <w:szCs w:val="14"/>
                <w:lang w:eastAsia="tr-TR"/>
              </w:rPr>
            </w:pPr>
            <w:r w:rsidRPr="00005453">
              <w:rPr>
                <w:color w:val="000000"/>
                <w:sz w:val="14"/>
                <w:szCs w:val="14"/>
                <w:lang w:eastAsia="tr-TR"/>
              </w:rPr>
              <w:t>Hisse senedi sahiplerine</w:t>
            </w:r>
          </w:p>
        </w:tc>
        <w:tc>
          <w:tcPr>
            <w:tcW w:w="1276" w:type="dxa"/>
            <w:tcBorders>
              <w:top w:val="nil"/>
              <w:left w:val="single" w:sz="4" w:space="0" w:color="auto"/>
              <w:bottom w:val="nil"/>
              <w:right w:val="single" w:sz="4" w:space="0" w:color="auto"/>
            </w:tcBorders>
            <w:shd w:val="clear" w:color="auto" w:fill="auto"/>
            <w:vAlign w:val="center"/>
            <w:hideMark/>
          </w:tcPr>
          <w:p w14:paraId="7DACFE89" w14:textId="6004EC83"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0ADB9BD" w14:textId="4CEB5B6F" w:rsidR="00785B70" w:rsidRPr="00005453" w:rsidRDefault="00785B70" w:rsidP="00785B70">
            <w:pPr>
              <w:jc w:val="right"/>
              <w:rPr>
                <w:color w:val="000000"/>
                <w:sz w:val="14"/>
                <w:szCs w:val="14"/>
                <w:lang w:eastAsia="tr-TR"/>
              </w:rPr>
            </w:pPr>
            <w:r w:rsidRPr="00005453">
              <w:rPr>
                <w:sz w:val="14"/>
                <w:szCs w:val="18"/>
              </w:rPr>
              <w:t>2,660,937</w:t>
            </w:r>
          </w:p>
        </w:tc>
      </w:tr>
      <w:tr w:rsidR="00785B70" w:rsidRPr="00005453" w14:paraId="51A7E622"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AE24BD8" w14:textId="77777777" w:rsidR="00785B70" w:rsidRPr="00005453" w:rsidRDefault="00785B70" w:rsidP="00785B70">
            <w:pPr>
              <w:rPr>
                <w:color w:val="000000"/>
                <w:sz w:val="14"/>
                <w:szCs w:val="14"/>
                <w:lang w:eastAsia="tr-TR"/>
              </w:rPr>
            </w:pPr>
            <w:r w:rsidRPr="00005453">
              <w:rPr>
                <w:color w:val="000000"/>
                <w:sz w:val="14"/>
                <w:szCs w:val="14"/>
                <w:lang w:eastAsia="tr-TR"/>
              </w:rPr>
              <w:t>1.6.2</w:t>
            </w:r>
          </w:p>
        </w:tc>
        <w:tc>
          <w:tcPr>
            <w:tcW w:w="5533" w:type="dxa"/>
            <w:tcBorders>
              <w:top w:val="nil"/>
              <w:left w:val="single" w:sz="4" w:space="0" w:color="auto"/>
              <w:bottom w:val="nil"/>
              <w:right w:val="single" w:sz="4" w:space="0" w:color="auto"/>
            </w:tcBorders>
            <w:shd w:val="clear" w:color="auto" w:fill="auto"/>
            <w:noWrap/>
            <w:vAlign w:val="bottom"/>
            <w:hideMark/>
          </w:tcPr>
          <w:p w14:paraId="36847C7B" w14:textId="129B9931" w:rsidR="00785B70" w:rsidRPr="00005453" w:rsidRDefault="00785B70" w:rsidP="00785B70">
            <w:pPr>
              <w:rPr>
                <w:color w:val="000000"/>
                <w:sz w:val="14"/>
                <w:szCs w:val="14"/>
                <w:lang w:eastAsia="tr-TR"/>
              </w:rPr>
            </w:pPr>
            <w:r w:rsidRPr="00005453">
              <w:rPr>
                <w:color w:val="000000"/>
                <w:sz w:val="14"/>
                <w:szCs w:val="14"/>
                <w:lang w:eastAsia="tr-TR"/>
              </w:rPr>
              <w:t>İmtiyazlı hisse senedi sahiplerine</w:t>
            </w:r>
          </w:p>
        </w:tc>
        <w:tc>
          <w:tcPr>
            <w:tcW w:w="1276" w:type="dxa"/>
            <w:tcBorders>
              <w:top w:val="nil"/>
              <w:left w:val="single" w:sz="4" w:space="0" w:color="auto"/>
              <w:bottom w:val="nil"/>
              <w:right w:val="single" w:sz="4" w:space="0" w:color="auto"/>
            </w:tcBorders>
            <w:shd w:val="clear" w:color="auto" w:fill="auto"/>
            <w:vAlign w:val="center"/>
            <w:hideMark/>
          </w:tcPr>
          <w:p w14:paraId="13A83A73" w14:textId="654D65B6"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7D7175C" w14:textId="5FA0CDA5"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18856529"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348BA8" w14:textId="77777777" w:rsidR="00785B70" w:rsidRPr="00005453" w:rsidRDefault="00785B70" w:rsidP="00785B70">
            <w:pPr>
              <w:rPr>
                <w:sz w:val="14"/>
                <w:szCs w:val="14"/>
                <w:lang w:eastAsia="tr-TR"/>
              </w:rPr>
            </w:pPr>
            <w:r w:rsidRPr="00005453">
              <w:rPr>
                <w:color w:val="000000"/>
                <w:sz w:val="14"/>
                <w:szCs w:val="14"/>
                <w:lang w:eastAsia="tr-TR"/>
              </w:rPr>
              <w:t>1.6.3</w:t>
            </w:r>
          </w:p>
        </w:tc>
        <w:tc>
          <w:tcPr>
            <w:tcW w:w="5533" w:type="dxa"/>
            <w:tcBorders>
              <w:top w:val="nil"/>
              <w:left w:val="single" w:sz="4" w:space="0" w:color="auto"/>
              <w:bottom w:val="nil"/>
              <w:right w:val="single" w:sz="4" w:space="0" w:color="auto"/>
            </w:tcBorders>
            <w:shd w:val="clear" w:color="auto" w:fill="auto"/>
            <w:noWrap/>
            <w:vAlign w:val="bottom"/>
            <w:hideMark/>
          </w:tcPr>
          <w:p w14:paraId="47DE75B0" w14:textId="0DD6D8D5" w:rsidR="00785B70" w:rsidRPr="00005453" w:rsidRDefault="00785B70" w:rsidP="00785B70">
            <w:pPr>
              <w:rPr>
                <w:color w:val="000000"/>
                <w:sz w:val="14"/>
                <w:szCs w:val="14"/>
                <w:lang w:eastAsia="tr-TR"/>
              </w:rPr>
            </w:pPr>
            <w:r w:rsidRPr="00005453">
              <w:rPr>
                <w:color w:val="000000"/>
                <w:sz w:val="14"/>
                <w:szCs w:val="14"/>
                <w:lang w:eastAsia="tr-TR"/>
              </w:rPr>
              <w:t>Katılma intifa senetlerine</w:t>
            </w:r>
          </w:p>
        </w:tc>
        <w:tc>
          <w:tcPr>
            <w:tcW w:w="1276" w:type="dxa"/>
            <w:tcBorders>
              <w:top w:val="nil"/>
              <w:left w:val="single" w:sz="4" w:space="0" w:color="auto"/>
              <w:bottom w:val="nil"/>
              <w:right w:val="single" w:sz="4" w:space="0" w:color="auto"/>
            </w:tcBorders>
            <w:shd w:val="clear" w:color="auto" w:fill="auto"/>
            <w:vAlign w:val="center"/>
            <w:hideMark/>
          </w:tcPr>
          <w:p w14:paraId="3C55A99E" w14:textId="7B5CD77E"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D58F395" w14:textId="4F4DB783"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5F163956"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869B0D" w14:textId="77777777" w:rsidR="00785B70" w:rsidRPr="00005453" w:rsidRDefault="00785B70" w:rsidP="00785B70">
            <w:pPr>
              <w:rPr>
                <w:color w:val="000000"/>
                <w:sz w:val="14"/>
                <w:szCs w:val="14"/>
                <w:lang w:eastAsia="tr-TR"/>
              </w:rPr>
            </w:pPr>
            <w:r w:rsidRPr="00005453">
              <w:rPr>
                <w:color w:val="000000"/>
                <w:sz w:val="14"/>
                <w:szCs w:val="14"/>
                <w:lang w:eastAsia="tr-TR"/>
              </w:rPr>
              <w:t>1.6.4</w:t>
            </w:r>
          </w:p>
        </w:tc>
        <w:tc>
          <w:tcPr>
            <w:tcW w:w="5533" w:type="dxa"/>
            <w:tcBorders>
              <w:top w:val="nil"/>
              <w:left w:val="single" w:sz="4" w:space="0" w:color="auto"/>
              <w:bottom w:val="nil"/>
              <w:right w:val="single" w:sz="4" w:space="0" w:color="auto"/>
            </w:tcBorders>
            <w:shd w:val="clear" w:color="auto" w:fill="auto"/>
            <w:noWrap/>
            <w:vAlign w:val="bottom"/>
            <w:hideMark/>
          </w:tcPr>
          <w:p w14:paraId="56F734A9" w14:textId="3BBCAFB7" w:rsidR="00785B70" w:rsidRPr="00005453" w:rsidRDefault="00785B70" w:rsidP="00785B70">
            <w:pPr>
              <w:rPr>
                <w:color w:val="000000"/>
                <w:sz w:val="14"/>
                <w:szCs w:val="14"/>
                <w:lang w:eastAsia="tr-TR"/>
              </w:rPr>
            </w:pPr>
            <w:r w:rsidRPr="00005453">
              <w:rPr>
                <w:color w:val="000000"/>
                <w:sz w:val="14"/>
                <w:szCs w:val="14"/>
                <w:lang w:eastAsia="tr-TR"/>
              </w:rPr>
              <w:t>Kâra iştirakli tahvillere</w:t>
            </w:r>
          </w:p>
        </w:tc>
        <w:tc>
          <w:tcPr>
            <w:tcW w:w="1276" w:type="dxa"/>
            <w:tcBorders>
              <w:top w:val="nil"/>
              <w:left w:val="single" w:sz="4" w:space="0" w:color="auto"/>
              <w:bottom w:val="nil"/>
              <w:right w:val="single" w:sz="4" w:space="0" w:color="auto"/>
            </w:tcBorders>
            <w:shd w:val="clear" w:color="auto" w:fill="auto"/>
            <w:vAlign w:val="center"/>
            <w:hideMark/>
          </w:tcPr>
          <w:p w14:paraId="64AC29A9" w14:textId="7FEC9EA7"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BC7124F" w14:textId="75E124E8"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739BBA26"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2A293DF" w14:textId="77777777" w:rsidR="00785B70" w:rsidRPr="00005453" w:rsidRDefault="00785B70" w:rsidP="00785B70">
            <w:pPr>
              <w:rPr>
                <w:color w:val="000000"/>
                <w:sz w:val="14"/>
                <w:szCs w:val="14"/>
                <w:lang w:eastAsia="tr-TR"/>
              </w:rPr>
            </w:pPr>
            <w:r w:rsidRPr="00005453">
              <w:rPr>
                <w:color w:val="000000"/>
                <w:sz w:val="14"/>
                <w:szCs w:val="14"/>
                <w:lang w:eastAsia="tr-TR"/>
              </w:rPr>
              <w:t>1.6.5</w:t>
            </w:r>
          </w:p>
        </w:tc>
        <w:tc>
          <w:tcPr>
            <w:tcW w:w="5533" w:type="dxa"/>
            <w:tcBorders>
              <w:top w:val="nil"/>
              <w:left w:val="single" w:sz="4" w:space="0" w:color="auto"/>
              <w:bottom w:val="nil"/>
              <w:right w:val="single" w:sz="4" w:space="0" w:color="auto"/>
            </w:tcBorders>
            <w:shd w:val="clear" w:color="auto" w:fill="auto"/>
            <w:noWrap/>
            <w:vAlign w:val="bottom"/>
            <w:hideMark/>
          </w:tcPr>
          <w:p w14:paraId="620FC6F9" w14:textId="77777777" w:rsidR="00785B70" w:rsidRPr="00005453" w:rsidRDefault="00785B70" w:rsidP="00785B70">
            <w:pPr>
              <w:rPr>
                <w:color w:val="000000"/>
                <w:sz w:val="14"/>
                <w:szCs w:val="14"/>
                <w:lang w:eastAsia="tr-TR"/>
              </w:rPr>
            </w:pPr>
            <w:r w:rsidRPr="00005453">
              <w:rPr>
                <w:color w:val="000000"/>
                <w:sz w:val="14"/>
                <w:szCs w:val="14"/>
                <w:lang w:eastAsia="tr-TR"/>
              </w:rPr>
              <w:t>Kâr ve Zarar Ortaklığı Belgesi Sahiplerine</w:t>
            </w:r>
          </w:p>
        </w:tc>
        <w:tc>
          <w:tcPr>
            <w:tcW w:w="1276" w:type="dxa"/>
            <w:tcBorders>
              <w:top w:val="nil"/>
              <w:left w:val="single" w:sz="4" w:space="0" w:color="auto"/>
              <w:bottom w:val="nil"/>
              <w:right w:val="single" w:sz="4" w:space="0" w:color="auto"/>
            </w:tcBorders>
            <w:shd w:val="clear" w:color="auto" w:fill="auto"/>
            <w:vAlign w:val="center"/>
            <w:hideMark/>
          </w:tcPr>
          <w:p w14:paraId="12512D21" w14:textId="1DB8768F"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F3D0954" w14:textId="3081061C"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3CB508AB"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8412D74" w14:textId="77777777" w:rsidR="00785B70" w:rsidRPr="00005453" w:rsidRDefault="00785B70" w:rsidP="00785B70">
            <w:pPr>
              <w:rPr>
                <w:color w:val="000000"/>
                <w:sz w:val="14"/>
                <w:szCs w:val="14"/>
                <w:lang w:eastAsia="tr-TR"/>
              </w:rPr>
            </w:pPr>
            <w:r w:rsidRPr="00005453">
              <w:rPr>
                <w:color w:val="000000"/>
                <w:sz w:val="14"/>
                <w:szCs w:val="14"/>
                <w:lang w:eastAsia="tr-TR"/>
              </w:rPr>
              <w:t xml:space="preserve">1.7 </w:t>
            </w:r>
          </w:p>
        </w:tc>
        <w:tc>
          <w:tcPr>
            <w:tcW w:w="5533" w:type="dxa"/>
            <w:tcBorders>
              <w:top w:val="nil"/>
              <w:left w:val="single" w:sz="4" w:space="0" w:color="auto"/>
              <w:bottom w:val="nil"/>
              <w:right w:val="single" w:sz="4" w:space="0" w:color="auto"/>
            </w:tcBorders>
            <w:shd w:val="clear" w:color="auto" w:fill="auto"/>
            <w:noWrap/>
            <w:vAlign w:val="bottom"/>
            <w:hideMark/>
          </w:tcPr>
          <w:p w14:paraId="3779997A" w14:textId="3893AF2B" w:rsidR="00785B70" w:rsidRPr="00005453" w:rsidRDefault="00785B70" w:rsidP="00785B70">
            <w:pPr>
              <w:rPr>
                <w:color w:val="000000"/>
                <w:sz w:val="14"/>
                <w:szCs w:val="14"/>
                <w:lang w:eastAsia="tr-TR"/>
              </w:rPr>
            </w:pPr>
            <w:r w:rsidRPr="00005453">
              <w:rPr>
                <w:color w:val="000000"/>
                <w:sz w:val="14"/>
                <w:szCs w:val="14"/>
                <w:lang w:eastAsia="tr-TR"/>
              </w:rPr>
              <w:t>Personele temettü (-)</w:t>
            </w:r>
          </w:p>
        </w:tc>
        <w:tc>
          <w:tcPr>
            <w:tcW w:w="1276" w:type="dxa"/>
            <w:tcBorders>
              <w:top w:val="nil"/>
              <w:left w:val="single" w:sz="4" w:space="0" w:color="auto"/>
              <w:bottom w:val="nil"/>
              <w:right w:val="single" w:sz="4" w:space="0" w:color="auto"/>
            </w:tcBorders>
            <w:shd w:val="clear" w:color="auto" w:fill="auto"/>
            <w:vAlign w:val="center"/>
            <w:hideMark/>
          </w:tcPr>
          <w:p w14:paraId="4F01AB18" w14:textId="1AF9351F"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E0DA664" w14:textId="47C28246"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4D40FA05"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81A66C2" w14:textId="77777777" w:rsidR="00785B70" w:rsidRPr="00005453" w:rsidRDefault="00785B70" w:rsidP="00785B70">
            <w:pPr>
              <w:rPr>
                <w:color w:val="000000"/>
                <w:sz w:val="14"/>
                <w:szCs w:val="14"/>
                <w:lang w:eastAsia="tr-TR"/>
              </w:rPr>
            </w:pPr>
            <w:r w:rsidRPr="00005453">
              <w:rPr>
                <w:color w:val="000000"/>
                <w:sz w:val="14"/>
                <w:szCs w:val="14"/>
                <w:lang w:eastAsia="tr-TR"/>
              </w:rPr>
              <w:t>1.8</w:t>
            </w:r>
          </w:p>
        </w:tc>
        <w:tc>
          <w:tcPr>
            <w:tcW w:w="5533" w:type="dxa"/>
            <w:tcBorders>
              <w:top w:val="nil"/>
              <w:left w:val="single" w:sz="4" w:space="0" w:color="auto"/>
              <w:bottom w:val="nil"/>
              <w:right w:val="single" w:sz="4" w:space="0" w:color="auto"/>
            </w:tcBorders>
            <w:shd w:val="clear" w:color="auto" w:fill="auto"/>
            <w:noWrap/>
            <w:vAlign w:val="bottom"/>
            <w:hideMark/>
          </w:tcPr>
          <w:p w14:paraId="77E4E3C2" w14:textId="52EBAC3B" w:rsidR="00785B70" w:rsidRPr="00005453" w:rsidRDefault="00785B70" w:rsidP="00785B70">
            <w:pPr>
              <w:rPr>
                <w:color w:val="000000"/>
                <w:sz w:val="14"/>
                <w:szCs w:val="14"/>
                <w:lang w:eastAsia="tr-TR"/>
              </w:rPr>
            </w:pPr>
            <w:r w:rsidRPr="00005453">
              <w:rPr>
                <w:color w:val="000000"/>
                <w:sz w:val="14"/>
                <w:szCs w:val="14"/>
                <w:lang w:eastAsia="tr-TR"/>
              </w:rPr>
              <w:t>Yönetim kuruluna temettü (-)</w:t>
            </w:r>
          </w:p>
        </w:tc>
        <w:tc>
          <w:tcPr>
            <w:tcW w:w="1276" w:type="dxa"/>
            <w:tcBorders>
              <w:top w:val="nil"/>
              <w:left w:val="single" w:sz="4" w:space="0" w:color="auto"/>
              <w:bottom w:val="nil"/>
              <w:right w:val="single" w:sz="4" w:space="0" w:color="auto"/>
            </w:tcBorders>
            <w:shd w:val="clear" w:color="auto" w:fill="auto"/>
            <w:vAlign w:val="center"/>
            <w:hideMark/>
          </w:tcPr>
          <w:p w14:paraId="23028E07" w14:textId="37632411"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40F6275" w14:textId="5695D39D"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33441860"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C471A6" w14:textId="77777777" w:rsidR="00785B70" w:rsidRPr="00005453" w:rsidRDefault="00785B70" w:rsidP="00785B70">
            <w:pPr>
              <w:rPr>
                <w:color w:val="000000"/>
                <w:sz w:val="14"/>
                <w:szCs w:val="14"/>
                <w:lang w:eastAsia="tr-TR"/>
              </w:rPr>
            </w:pPr>
            <w:r w:rsidRPr="00005453">
              <w:rPr>
                <w:color w:val="000000"/>
                <w:sz w:val="14"/>
                <w:szCs w:val="14"/>
                <w:lang w:eastAsia="tr-TR"/>
              </w:rPr>
              <w:t>1.9</w:t>
            </w:r>
          </w:p>
        </w:tc>
        <w:tc>
          <w:tcPr>
            <w:tcW w:w="5533" w:type="dxa"/>
            <w:tcBorders>
              <w:top w:val="nil"/>
              <w:left w:val="single" w:sz="4" w:space="0" w:color="auto"/>
              <w:bottom w:val="nil"/>
              <w:right w:val="single" w:sz="4" w:space="0" w:color="auto"/>
            </w:tcBorders>
            <w:shd w:val="clear" w:color="auto" w:fill="auto"/>
            <w:noWrap/>
            <w:vAlign w:val="bottom"/>
            <w:hideMark/>
          </w:tcPr>
          <w:p w14:paraId="1B48D35C" w14:textId="15A0FAFC" w:rsidR="00785B70" w:rsidRPr="00005453" w:rsidRDefault="00785B70" w:rsidP="00785B70">
            <w:pPr>
              <w:rPr>
                <w:color w:val="000000"/>
                <w:sz w:val="14"/>
                <w:szCs w:val="14"/>
                <w:lang w:eastAsia="tr-TR"/>
              </w:rPr>
            </w:pPr>
            <w:r w:rsidRPr="00005453">
              <w:rPr>
                <w:color w:val="000000"/>
                <w:sz w:val="14"/>
                <w:szCs w:val="14"/>
                <w:lang w:eastAsia="tr-TR"/>
              </w:rPr>
              <w:t>Ortaklara ikinci temettü (-)</w:t>
            </w:r>
          </w:p>
        </w:tc>
        <w:tc>
          <w:tcPr>
            <w:tcW w:w="1276" w:type="dxa"/>
            <w:tcBorders>
              <w:top w:val="nil"/>
              <w:left w:val="single" w:sz="4" w:space="0" w:color="auto"/>
              <w:bottom w:val="nil"/>
              <w:right w:val="single" w:sz="4" w:space="0" w:color="auto"/>
            </w:tcBorders>
            <w:shd w:val="clear" w:color="auto" w:fill="auto"/>
            <w:vAlign w:val="center"/>
            <w:hideMark/>
          </w:tcPr>
          <w:p w14:paraId="53E13308" w14:textId="42A7E376"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16FA61B" w14:textId="61EC9B1B"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2A3FD7D0"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667E80D" w14:textId="77777777" w:rsidR="00785B70" w:rsidRPr="00005453" w:rsidRDefault="00785B70" w:rsidP="00785B70">
            <w:pPr>
              <w:rPr>
                <w:color w:val="000000"/>
                <w:sz w:val="14"/>
                <w:szCs w:val="14"/>
                <w:lang w:eastAsia="tr-TR"/>
              </w:rPr>
            </w:pPr>
            <w:r w:rsidRPr="00005453">
              <w:rPr>
                <w:color w:val="000000"/>
                <w:sz w:val="14"/>
                <w:szCs w:val="14"/>
                <w:lang w:eastAsia="tr-TR"/>
              </w:rPr>
              <w:t>1.9.1</w:t>
            </w:r>
          </w:p>
        </w:tc>
        <w:tc>
          <w:tcPr>
            <w:tcW w:w="5533" w:type="dxa"/>
            <w:tcBorders>
              <w:top w:val="nil"/>
              <w:left w:val="single" w:sz="4" w:space="0" w:color="auto"/>
              <w:bottom w:val="nil"/>
              <w:right w:val="single" w:sz="4" w:space="0" w:color="auto"/>
            </w:tcBorders>
            <w:shd w:val="clear" w:color="auto" w:fill="auto"/>
            <w:noWrap/>
            <w:vAlign w:val="bottom"/>
            <w:hideMark/>
          </w:tcPr>
          <w:p w14:paraId="6B3E2382" w14:textId="57E0105D" w:rsidR="00785B70" w:rsidRPr="00005453" w:rsidRDefault="00785B70" w:rsidP="00785B70">
            <w:pPr>
              <w:rPr>
                <w:color w:val="000000"/>
                <w:sz w:val="14"/>
                <w:szCs w:val="14"/>
                <w:lang w:eastAsia="tr-TR"/>
              </w:rPr>
            </w:pPr>
            <w:r w:rsidRPr="00005453">
              <w:rPr>
                <w:color w:val="000000"/>
                <w:sz w:val="14"/>
                <w:szCs w:val="14"/>
                <w:lang w:eastAsia="tr-TR"/>
              </w:rPr>
              <w:t>Hisse senedi sahiplerine</w:t>
            </w:r>
          </w:p>
        </w:tc>
        <w:tc>
          <w:tcPr>
            <w:tcW w:w="1276" w:type="dxa"/>
            <w:tcBorders>
              <w:top w:val="nil"/>
              <w:left w:val="single" w:sz="4" w:space="0" w:color="auto"/>
              <w:bottom w:val="nil"/>
              <w:right w:val="single" w:sz="4" w:space="0" w:color="auto"/>
            </w:tcBorders>
            <w:shd w:val="clear" w:color="auto" w:fill="auto"/>
            <w:vAlign w:val="center"/>
            <w:hideMark/>
          </w:tcPr>
          <w:p w14:paraId="49E52039" w14:textId="244D439E"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611F70E" w14:textId="2D4CBE7F"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233AA0C9"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E4706A0" w14:textId="77777777" w:rsidR="00785B70" w:rsidRPr="00005453" w:rsidRDefault="00785B70" w:rsidP="00785B70">
            <w:pPr>
              <w:rPr>
                <w:color w:val="000000"/>
                <w:sz w:val="14"/>
                <w:szCs w:val="14"/>
                <w:lang w:eastAsia="tr-TR"/>
              </w:rPr>
            </w:pPr>
            <w:r w:rsidRPr="00005453">
              <w:rPr>
                <w:color w:val="000000"/>
                <w:sz w:val="14"/>
                <w:szCs w:val="14"/>
                <w:lang w:eastAsia="tr-TR"/>
              </w:rPr>
              <w:t>1.9.2</w:t>
            </w:r>
          </w:p>
        </w:tc>
        <w:tc>
          <w:tcPr>
            <w:tcW w:w="5533" w:type="dxa"/>
            <w:tcBorders>
              <w:top w:val="nil"/>
              <w:left w:val="single" w:sz="4" w:space="0" w:color="auto"/>
              <w:bottom w:val="nil"/>
              <w:right w:val="single" w:sz="4" w:space="0" w:color="auto"/>
            </w:tcBorders>
            <w:shd w:val="clear" w:color="auto" w:fill="auto"/>
            <w:noWrap/>
            <w:vAlign w:val="bottom"/>
            <w:hideMark/>
          </w:tcPr>
          <w:p w14:paraId="35D60D94" w14:textId="48A61E78" w:rsidR="00785B70" w:rsidRPr="00005453" w:rsidRDefault="00785B70" w:rsidP="00785B70">
            <w:pPr>
              <w:rPr>
                <w:color w:val="000000"/>
                <w:sz w:val="14"/>
                <w:szCs w:val="14"/>
                <w:lang w:eastAsia="tr-TR"/>
              </w:rPr>
            </w:pPr>
            <w:r w:rsidRPr="00005453">
              <w:rPr>
                <w:color w:val="000000"/>
                <w:sz w:val="14"/>
                <w:szCs w:val="14"/>
                <w:lang w:eastAsia="tr-TR"/>
              </w:rPr>
              <w:t>İmtiyazlı hisse senedi sahiplerine</w:t>
            </w:r>
          </w:p>
        </w:tc>
        <w:tc>
          <w:tcPr>
            <w:tcW w:w="1276" w:type="dxa"/>
            <w:tcBorders>
              <w:top w:val="nil"/>
              <w:left w:val="single" w:sz="4" w:space="0" w:color="auto"/>
              <w:bottom w:val="nil"/>
              <w:right w:val="single" w:sz="4" w:space="0" w:color="auto"/>
            </w:tcBorders>
            <w:shd w:val="clear" w:color="auto" w:fill="auto"/>
            <w:vAlign w:val="center"/>
            <w:hideMark/>
          </w:tcPr>
          <w:p w14:paraId="6FD3BE81" w14:textId="65E85C7E"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9404F9A" w14:textId="2C2759D5"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5A546B16"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B3710B2" w14:textId="77777777" w:rsidR="00785B70" w:rsidRPr="00005453" w:rsidRDefault="00785B70" w:rsidP="00785B70">
            <w:pPr>
              <w:rPr>
                <w:color w:val="000000"/>
                <w:sz w:val="14"/>
                <w:szCs w:val="14"/>
                <w:lang w:eastAsia="tr-TR"/>
              </w:rPr>
            </w:pPr>
            <w:r w:rsidRPr="00005453">
              <w:rPr>
                <w:color w:val="000000"/>
                <w:sz w:val="14"/>
                <w:szCs w:val="14"/>
                <w:lang w:eastAsia="tr-TR"/>
              </w:rPr>
              <w:t>1.9.3</w:t>
            </w:r>
          </w:p>
        </w:tc>
        <w:tc>
          <w:tcPr>
            <w:tcW w:w="5533" w:type="dxa"/>
            <w:tcBorders>
              <w:top w:val="nil"/>
              <w:left w:val="single" w:sz="4" w:space="0" w:color="auto"/>
              <w:bottom w:val="nil"/>
              <w:right w:val="single" w:sz="4" w:space="0" w:color="auto"/>
            </w:tcBorders>
            <w:shd w:val="clear" w:color="auto" w:fill="auto"/>
            <w:noWrap/>
            <w:vAlign w:val="bottom"/>
            <w:hideMark/>
          </w:tcPr>
          <w:p w14:paraId="2A882FB1" w14:textId="19D2DF61" w:rsidR="00785B70" w:rsidRPr="00005453" w:rsidRDefault="00785B70" w:rsidP="00785B70">
            <w:pPr>
              <w:rPr>
                <w:color w:val="000000"/>
                <w:sz w:val="14"/>
                <w:szCs w:val="14"/>
                <w:lang w:eastAsia="tr-TR"/>
              </w:rPr>
            </w:pPr>
            <w:r w:rsidRPr="00005453">
              <w:rPr>
                <w:color w:val="000000"/>
                <w:sz w:val="14"/>
                <w:szCs w:val="14"/>
                <w:lang w:eastAsia="tr-TR"/>
              </w:rPr>
              <w:t>Katılma intifa senetlerine</w:t>
            </w:r>
          </w:p>
        </w:tc>
        <w:tc>
          <w:tcPr>
            <w:tcW w:w="1276" w:type="dxa"/>
            <w:tcBorders>
              <w:top w:val="nil"/>
              <w:left w:val="single" w:sz="4" w:space="0" w:color="auto"/>
              <w:bottom w:val="nil"/>
              <w:right w:val="single" w:sz="4" w:space="0" w:color="auto"/>
            </w:tcBorders>
            <w:shd w:val="clear" w:color="auto" w:fill="auto"/>
            <w:vAlign w:val="center"/>
            <w:hideMark/>
          </w:tcPr>
          <w:p w14:paraId="459A6787" w14:textId="62CE9568"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F8271CB" w14:textId="39E6996B"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1CA8E827"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39D0BDF" w14:textId="77777777" w:rsidR="00785B70" w:rsidRPr="00005453" w:rsidRDefault="00785B70" w:rsidP="00785B70">
            <w:pPr>
              <w:rPr>
                <w:color w:val="000000"/>
                <w:sz w:val="14"/>
                <w:szCs w:val="14"/>
                <w:lang w:eastAsia="tr-TR"/>
              </w:rPr>
            </w:pPr>
            <w:r w:rsidRPr="00005453">
              <w:rPr>
                <w:color w:val="000000"/>
                <w:sz w:val="14"/>
                <w:szCs w:val="14"/>
                <w:lang w:eastAsia="tr-TR"/>
              </w:rPr>
              <w:t>1.9.4</w:t>
            </w:r>
          </w:p>
        </w:tc>
        <w:tc>
          <w:tcPr>
            <w:tcW w:w="5533" w:type="dxa"/>
            <w:tcBorders>
              <w:top w:val="nil"/>
              <w:left w:val="single" w:sz="4" w:space="0" w:color="auto"/>
              <w:bottom w:val="nil"/>
              <w:right w:val="single" w:sz="4" w:space="0" w:color="auto"/>
            </w:tcBorders>
            <w:shd w:val="clear" w:color="auto" w:fill="auto"/>
            <w:noWrap/>
            <w:vAlign w:val="bottom"/>
            <w:hideMark/>
          </w:tcPr>
          <w:p w14:paraId="6ADD64E4" w14:textId="550C6272" w:rsidR="00785B70" w:rsidRPr="00005453" w:rsidRDefault="00785B70" w:rsidP="00785B70">
            <w:pPr>
              <w:rPr>
                <w:color w:val="000000"/>
                <w:sz w:val="14"/>
                <w:szCs w:val="14"/>
                <w:lang w:eastAsia="tr-TR"/>
              </w:rPr>
            </w:pPr>
            <w:r w:rsidRPr="00005453">
              <w:rPr>
                <w:color w:val="000000"/>
                <w:sz w:val="14"/>
                <w:szCs w:val="14"/>
                <w:lang w:eastAsia="tr-TR"/>
              </w:rPr>
              <w:t>Kâra iştirakli tahvillere</w:t>
            </w:r>
          </w:p>
        </w:tc>
        <w:tc>
          <w:tcPr>
            <w:tcW w:w="1276" w:type="dxa"/>
            <w:tcBorders>
              <w:top w:val="nil"/>
              <w:left w:val="single" w:sz="4" w:space="0" w:color="auto"/>
              <w:bottom w:val="nil"/>
              <w:right w:val="single" w:sz="4" w:space="0" w:color="auto"/>
            </w:tcBorders>
            <w:shd w:val="clear" w:color="auto" w:fill="auto"/>
            <w:vAlign w:val="center"/>
            <w:hideMark/>
          </w:tcPr>
          <w:p w14:paraId="4A747AD6" w14:textId="7334D241"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1992EE4" w14:textId="1A57D13D"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519D8C21"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6DED572" w14:textId="77777777" w:rsidR="00785B70" w:rsidRPr="00005453" w:rsidRDefault="00785B70" w:rsidP="00785B70">
            <w:pPr>
              <w:rPr>
                <w:color w:val="000000"/>
                <w:sz w:val="14"/>
                <w:szCs w:val="14"/>
                <w:lang w:eastAsia="tr-TR"/>
              </w:rPr>
            </w:pPr>
            <w:r w:rsidRPr="00005453">
              <w:rPr>
                <w:color w:val="000000"/>
                <w:sz w:val="14"/>
                <w:szCs w:val="14"/>
                <w:lang w:eastAsia="tr-TR"/>
              </w:rPr>
              <w:t>1.9.5</w:t>
            </w:r>
          </w:p>
        </w:tc>
        <w:tc>
          <w:tcPr>
            <w:tcW w:w="5533" w:type="dxa"/>
            <w:tcBorders>
              <w:top w:val="nil"/>
              <w:left w:val="single" w:sz="4" w:space="0" w:color="auto"/>
              <w:bottom w:val="nil"/>
              <w:right w:val="single" w:sz="4" w:space="0" w:color="auto"/>
            </w:tcBorders>
            <w:shd w:val="clear" w:color="auto" w:fill="auto"/>
            <w:noWrap/>
            <w:vAlign w:val="bottom"/>
            <w:hideMark/>
          </w:tcPr>
          <w:p w14:paraId="7DAF2F82" w14:textId="77777777" w:rsidR="00785B70" w:rsidRPr="00005453" w:rsidRDefault="00785B70" w:rsidP="00785B70">
            <w:pPr>
              <w:rPr>
                <w:color w:val="000000"/>
                <w:sz w:val="14"/>
                <w:szCs w:val="14"/>
                <w:lang w:eastAsia="tr-TR"/>
              </w:rPr>
            </w:pPr>
            <w:r w:rsidRPr="00005453">
              <w:rPr>
                <w:color w:val="000000"/>
                <w:sz w:val="14"/>
                <w:szCs w:val="14"/>
                <w:lang w:eastAsia="tr-TR"/>
              </w:rPr>
              <w:t>Kâr ve Zarar Ortaklığı Belgesi Sahiplerine</w:t>
            </w:r>
          </w:p>
        </w:tc>
        <w:tc>
          <w:tcPr>
            <w:tcW w:w="1276" w:type="dxa"/>
            <w:tcBorders>
              <w:top w:val="nil"/>
              <w:left w:val="single" w:sz="4" w:space="0" w:color="auto"/>
              <w:bottom w:val="nil"/>
              <w:right w:val="single" w:sz="4" w:space="0" w:color="auto"/>
            </w:tcBorders>
            <w:shd w:val="clear" w:color="auto" w:fill="auto"/>
            <w:vAlign w:val="center"/>
            <w:hideMark/>
          </w:tcPr>
          <w:p w14:paraId="44BE77CD" w14:textId="72AC7DEE"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A06CAC3" w14:textId="27438497"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0F1F6FAE"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415C068" w14:textId="77777777" w:rsidR="00785B70" w:rsidRPr="00005453" w:rsidRDefault="00785B70" w:rsidP="00785B70">
            <w:pPr>
              <w:rPr>
                <w:color w:val="000000"/>
                <w:sz w:val="14"/>
                <w:szCs w:val="14"/>
                <w:lang w:eastAsia="tr-TR"/>
              </w:rPr>
            </w:pPr>
            <w:r w:rsidRPr="00005453">
              <w:rPr>
                <w:color w:val="000000"/>
                <w:sz w:val="14"/>
                <w:szCs w:val="14"/>
                <w:lang w:eastAsia="tr-TR"/>
              </w:rPr>
              <w:t>1.10</w:t>
            </w:r>
          </w:p>
        </w:tc>
        <w:tc>
          <w:tcPr>
            <w:tcW w:w="5533" w:type="dxa"/>
            <w:tcBorders>
              <w:top w:val="nil"/>
              <w:left w:val="single" w:sz="4" w:space="0" w:color="auto"/>
              <w:bottom w:val="nil"/>
              <w:right w:val="single" w:sz="4" w:space="0" w:color="auto"/>
            </w:tcBorders>
            <w:shd w:val="clear" w:color="auto" w:fill="auto"/>
            <w:noWrap/>
            <w:vAlign w:val="bottom"/>
            <w:hideMark/>
          </w:tcPr>
          <w:p w14:paraId="71831744" w14:textId="6FDF5025" w:rsidR="00785B70" w:rsidRPr="00005453" w:rsidRDefault="00785B70" w:rsidP="00785B70">
            <w:pPr>
              <w:rPr>
                <w:color w:val="000000"/>
                <w:sz w:val="14"/>
                <w:szCs w:val="14"/>
                <w:lang w:eastAsia="tr-TR"/>
              </w:rPr>
            </w:pPr>
            <w:r w:rsidRPr="00005453">
              <w:rPr>
                <w:color w:val="000000"/>
                <w:sz w:val="14"/>
                <w:szCs w:val="14"/>
                <w:lang w:eastAsia="tr-TR"/>
              </w:rPr>
              <w:t xml:space="preserve">Statü yedekleri (-) </w:t>
            </w:r>
          </w:p>
        </w:tc>
        <w:tc>
          <w:tcPr>
            <w:tcW w:w="1276" w:type="dxa"/>
            <w:tcBorders>
              <w:top w:val="nil"/>
              <w:left w:val="single" w:sz="4" w:space="0" w:color="auto"/>
              <w:bottom w:val="nil"/>
              <w:right w:val="single" w:sz="4" w:space="0" w:color="auto"/>
            </w:tcBorders>
            <w:shd w:val="clear" w:color="auto" w:fill="auto"/>
            <w:vAlign w:val="center"/>
            <w:hideMark/>
          </w:tcPr>
          <w:p w14:paraId="4D208277" w14:textId="58E41CA5"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339E552" w14:textId="60EB935F" w:rsidR="00785B70" w:rsidRPr="00005453" w:rsidRDefault="00785B70" w:rsidP="00785B70">
            <w:pPr>
              <w:jc w:val="right"/>
              <w:rPr>
                <w:color w:val="000000"/>
                <w:sz w:val="14"/>
                <w:szCs w:val="14"/>
                <w:lang w:eastAsia="tr-TR"/>
              </w:rPr>
            </w:pPr>
            <w:r w:rsidRPr="00005453">
              <w:rPr>
                <w:sz w:val="14"/>
                <w:szCs w:val="18"/>
              </w:rPr>
              <w:t>-</w:t>
            </w:r>
          </w:p>
        </w:tc>
      </w:tr>
      <w:tr w:rsidR="00785B70" w:rsidRPr="00005453" w14:paraId="5E25E347"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40C2779" w14:textId="77777777" w:rsidR="00785B70" w:rsidRPr="00005453" w:rsidRDefault="00785B70" w:rsidP="00785B70">
            <w:pPr>
              <w:rPr>
                <w:color w:val="000000"/>
                <w:sz w:val="14"/>
                <w:szCs w:val="14"/>
                <w:lang w:eastAsia="tr-TR"/>
              </w:rPr>
            </w:pPr>
            <w:r w:rsidRPr="00005453">
              <w:rPr>
                <w:color w:val="000000"/>
                <w:sz w:val="14"/>
                <w:szCs w:val="14"/>
                <w:lang w:eastAsia="tr-TR"/>
              </w:rPr>
              <w:t>1.11</w:t>
            </w:r>
          </w:p>
        </w:tc>
        <w:tc>
          <w:tcPr>
            <w:tcW w:w="5533" w:type="dxa"/>
            <w:tcBorders>
              <w:top w:val="nil"/>
              <w:left w:val="single" w:sz="4" w:space="0" w:color="auto"/>
              <w:bottom w:val="nil"/>
              <w:right w:val="single" w:sz="4" w:space="0" w:color="auto"/>
            </w:tcBorders>
            <w:shd w:val="clear" w:color="auto" w:fill="auto"/>
            <w:noWrap/>
            <w:vAlign w:val="bottom"/>
            <w:hideMark/>
          </w:tcPr>
          <w:p w14:paraId="21532ED1" w14:textId="1354B870" w:rsidR="00785B70" w:rsidRPr="00005453" w:rsidRDefault="00785B70" w:rsidP="00785B70">
            <w:pPr>
              <w:rPr>
                <w:color w:val="000000"/>
                <w:sz w:val="14"/>
                <w:szCs w:val="14"/>
                <w:lang w:eastAsia="tr-TR"/>
              </w:rPr>
            </w:pPr>
            <w:r w:rsidRPr="00005453">
              <w:rPr>
                <w:color w:val="000000"/>
                <w:sz w:val="14"/>
                <w:szCs w:val="14"/>
                <w:lang w:eastAsia="tr-TR"/>
              </w:rPr>
              <w:t xml:space="preserve">Olağanüstü yedekler </w:t>
            </w:r>
          </w:p>
        </w:tc>
        <w:tc>
          <w:tcPr>
            <w:tcW w:w="1276" w:type="dxa"/>
            <w:tcBorders>
              <w:top w:val="nil"/>
              <w:left w:val="single" w:sz="4" w:space="0" w:color="auto"/>
              <w:bottom w:val="nil"/>
              <w:right w:val="single" w:sz="4" w:space="0" w:color="auto"/>
            </w:tcBorders>
            <w:shd w:val="clear" w:color="auto" w:fill="auto"/>
            <w:vAlign w:val="center"/>
            <w:hideMark/>
          </w:tcPr>
          <w:p w14:paraId="0F37C3F2" w14:textId="2623ADE7"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964E158" w14:textId="2F1F446A" w:rsidR="00785B70" w:rsidRPr="00005453" w:rsidRDefault="00785B70" w:rsidP="00785B70">
            <w:pPr>
              <w:jc w:val="right"/>
              <w:rPr>
                <w:color w:val="000000"/>
                <w:sz w:val="14"/>
                <w:szCs w:val="14"/>
                <w:lang w:eastAsia="tr-TR"/>
              </w:rPr>
            </w:pPr>
            <w:r w:rsidRPr="00005453">
              <w:rPr>
                <w:sz w:val="14"/>
                <w:szCs w:val="18"/>
              </w:rPr>
              <w:t>22,301,443</w:t>
            </w:r>
          </w:p>
        </w:tc>
      </w:tr>
      <w:tr w:rsidR="00785B70" w:rsidRPr="00005453" w14:paraId="5A18C0FA"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E8D13BA" w14:textId="77777777" w:rsidR="00785B70" w:rsidRPr="00005453" w:rsidRDefault="00785B70" w:rsidP="00785B70">
            <w:pPr>
              <w:rPr>
                <w:color w:val="000000"/>
                <w:sz w:val="14"/>
                <w:szCs w:val="14"/>
                <w:lang w:eastAsia="tr-TR"/>
              </w:rPr>
            </w:pPr>
            <w:r w:rsidRPr="00005453">
              <w:rPr>
                <w:color w:val="000000"/>
                <w:sz w:val="14"/>
                <w:szCs w:val="14"/>
                <w:lang w:eastAsia="tr-TR"/>
              </w:rPr>
              <w:t>1.12</w:t>
            </w:r>
          </w:p>
        </w:tc>
        <w:tc>
          <w:tcPr>
            <w:tcW w:w="5533" w:type="dxa"/>
            <w:tcBorders>
              <w:top w:val="nil"/>
              <w:left w:val="single" w:sz="4" w:space="0" w:color="auto"/>
              <w:bottom w:val="nil"/>
              <w:right w:val="single" w:sz="4" w:space="0" w:color="auto"/>
            </w:tcBorders>
            <w:shd w:val="clear" w:color="auto" w:fill="auto"/>
            <w:noWrap/>
            <w:vAlign w:val="bottom"/>
            <w:hideMark/>
          </w:tcPr>
          <w:p w14:paraId="353AA6DB" w14:textId="55D88914" w:rsidR="00785B70" w:rsidRPr="00005453" w:rsidRDefault="00785B70" w:rsidP="00785B70">
            <w:pPr>
              <w:rPr>
                <w:color w:val="000000"/>
                <w:sz w:val="14"/>
                <w:szCs w:val="14"/>
                <w:lang w:eastAsia="tr-TR"/>
              </w:rPr>
            </w:pPr>
            <w:r w:rsidRPr="00005453">
              <w:rPr>
                <w:color w:val="000000"/>
                <w:sz w:val="14"/>
                <w:szCs w:val="14"/>
                <w:lang w:eastAsia="tr-TR"/>
              </w:rPr>
              <w:t xml:space="preserve">Diğer yedekler </w:t>
            </w:r>
          </w:p>
        </w:tc>
        <w:tc>
          <w:tcPr>
            <w:tcW w:w="1276" w:type="dxa"/>
            <w:tcBorders>
              <w:top w:val="nil"/>
              <w:left w:val="single" w:sz="4" w:space="0" w:color="auto"/>
              <w:bottom w:val="nil"/>
              <w:right w:val="single" w:sz="4" w:space="0" w:color="auto"/>
            </w:tcBorders>
            <w:shd w:val="clear" w:color="auto" w:fill="auto"/>
            <w:vAlign w:val="center"/>
            <w:hideMark/>
          </w:tcPr>
          <w:p w14:paraId="261FE2C5" w14:textId="62245BC7"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04B76C9" w14:textId="07446E40" w:rsidR="00785B70" w:rsidRPr="00005453" w:rsidRDefault="00785B70" w:rsidP="00785B70">
            <w:pPr>
              <w:jc w:val="right"/>
              <w:rPr>
                <w:color w:val="000000"/>
                <w:sz w:val="14"/>
                <w:szCs w:val="14"/>
                <w:lang w:eastAsia="tr-TR"/>
              </w:rPr>
            </w:pPr>
            <w:r w:rsidRPr="00005453">
              <w:rPr>
                <w:sz w:val="14"/>
                <w:szCs w:val="18"/>
              </w:rPr>
              <w:t>429</w:t>
            </w:r>
          </w:p>
        </w:tc>
      </w:tr>
      <w:tr w:rsidR="00785B70" w:rsidRPr="00005453" w14:paraId="587A964B" w14:textId="77777777" w:rsidTr="00785B70">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2B02D5C" w14:textId="77777777" w:rsidR="00785B70" w:rsidRPr="00005453" w:rsidRDefault="00785B70" w:rsidP="00785B70">
            <w:pPr>
              <w:rPr>
                <w:color w:val="000000"/>
                <w:sz w:val="14"/>
                <w:szCs w:val="14"/>
                <w:lang w:eastAsia="tr-TR"/>
              </w:rPr>
            </w:pPr>
            <w:r w:rsidRPr="00005453">
              <w:rPr>
                <w:color w:val="000000"/>
                <w:sz w:val="14"/>
                <w:szCs w:val="14"/>
                <w:lang w:eastAsia="tr-TR"/>
              </w:rPr>
              <w:t>1.13</w:t>
            </w:r>
          </w:p>
        </w:tc>
        <w:tc>
          <w:tcPr>
            <w:tcW w:w="5533" w:type="dxa"/>
            <w:tcBorders>
              <w:top w:val="nil"/>
              <w:left w:val="single" w:sz="4" w:space="0" w:color="auto"/>
              <w:bottom w:val="nil"/>
              <w:right w:val="single" w:sz="4" w:space="0" w:color="auto"/>
            </w:tcBorders>
            <w:shd w:val="clear" w:color="auto" w:fill="auto"/>
            <w:noWrap/>
            <w:vAlign w:val="bottom"/>
            <w:hideMark/>
          </w:tcPr>
          <w:p w14:paraId="3BC8E389" w14:textId="43C9F3A5" w:rsidR="00785B70" w:rsidRPr="00005453" w:rsidRDefault="00785B70" w:rsidP="00785B70">
            <w:pPr>
              <w:rPr>
                <w:color w:val="000000"/>
                <w:sz w:val="14"/>
                <w:szCs w:val="14"/>
                <w:lang w:eastAsia="tr-TR"/>
              </w:rPr>
            </w:pPr>
            <w:r w:rsidRPr="00005453">
              <w:rPr>
                <w:color w:val="000000"/>
                <w:sz w:val="14"/>
                <w:szCs w:val="14"/>
                <w:lang w:eastAsia="tr-TR"/>
              </w:rPr>
              <w:t>Özel fonlar</w:t>
            </w:r>
          </w:p>
        </w:tc>
        <w:tc>
          <w:tcPr>
            <w:tcW w:w="1276" w:type="dxa"/>
            <w:tcBorders>
              <w:top w:val="nil"/>
              <w:left w:val="single" w:sz="4" w:space="0" w:color="auto"/>
              <w:bottom w:val="nil"/>
              <w:right w:val="single" w:sz="4" w:space="0" w:color="auto"/>
            </w:tcBorders>
            <w:shd w:val="clear" w:color="auto" w:fill="auto"/>
            <w:vAlign w:val="center"/>
            <w:hideMark/>
          </w:tcPr>
          <w:p w14:paraId="24CDD2B2" w14:textId="1BB4E36E" w:rsidR="00785B70" w:rsidRPr="00005453" w:rsidRDefault="00785B70" w:rsidP="00785B70">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718AB91" w14:textId="0FDA1277" w:rsidR="00785B70" w:rsidRPr="00005453" w:rsidRDefault="00785B70" w:rsidP="00785B70">
            <w:pPr>
              <w:jc w:val="right"/>
              <w:rPr>
                <w:color w:val="000000"/>
                <w:sz w:val="14"/>
                <w:szCs w:val="14"/>
                <w:lang w:eastAsia="tr-TR"/>
              </w:rPr>
            </w:pPr>
            <w:r w:rsidRPr="00005453">
              <w:rPr>
                <w:sz w:val="14"/>
                <w:szCs w:val="18"/>
              </w:rPr>
              <w:t>50,000</w:t>
            </w:r>
          </w:p>
        </w:tc>
      </w:tr>
      <w:tr w:rsidR="008755B7" w:rsidRPr="00005453" w14:paraId="0CFD9297"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1E4930F" w14:textId="77777777" w:rsidR="008755B7" w:rsidRPr="00005453" w:rsidRDefault="008755B7" w:rsidP="008755B7">
            <w:pPr>
              <w:rPr>
                <w:b/>
                <w:bCs/>
                <w:sz w:val="14"/>
                <w:szCs w:val="14"/>
                <w:lang w:eastAsia="tr-TR"/>
              </w:rPr>
            </w:pPr>
            <w:r w:rsidRPr="00005453">
              <w:rPr>
                <w:b/>
                <w:color w:val="000000"/>
                <w:sz w:val="14"/>
                <w:szCs w:val="14"/>
                <w:lang w:eastAsia="tr-TR"/>
              </w:rPr>
              <w:t>II.</w:t>
            </w:r>
          </w:p>
        </w:tc>
        <w:tc>
          <w:tcPr>
            <w:tcW w:w="5533" w:type="dxa"/>
            <w:tcBorders>
              <w:top w:val="nil"/>
              <w:left w:val="single" w:sz="4" w:space="0" w:color="auto"/>
              <w:bottom w:val="nil"/>
              <w:right w:val="single" w:sz="4" w:space="0" w:color="auto"/>
            </w:tcBorders>
            <w:shd w:val="clear" w:color="auto" w:fill="auto"/>
            <w:noWrap/>
            <w:vAlign w:val="bottom"/>
            <w:hideMark/>
          </w:tcPr>
          <w:p w14:paraId="68EAA227" w14:textId="2F0D0665" w:rsidR="008755B7" w:rsidRPr="00005453" w:rsidRDefault="008755B7" w:rsidP="008755B7">
            <w:pPr>
              <w:rPr>
                <w:b/>
                <w:color w:val="000000"/>
                <w:sz w:val="14"/>
                <w:szCs w:val="14"/>
                <w:lang w:eastAsia="tr-TR"/>
              </w:rPr>
            </w:pPr>
            <w:r w:rsidRPr="00005453">
              <w:rPr>
                <w:b/>
                <w:color w:val="000000"/>
                <w:sz w:val="14"/>
                <w:szCs w:val="14"/>
                <w:lang w:eastAsia="tr-TR"/>
              </w:rPr>
              <w:t>Yedeklerden dağıtım</w:t>
            </w:r>
          </w:p>
        </w:tc>
        <w:tc>
          <w:tcPr>
            <w:tcW w:w="1276" w:type="dxa"/>
            <w:tcBorders>
              <w:top w:val="nil"/>
              <w:left w:val="single" w:sz="4" w:space="0" w:color="auto"/>
              <w:bottom w:val="nil"/>
              <w:right w:val="single" w:sz="4" w:space="0" w:color="auto"/>
            </w:tcBorders>
            <w:shd w:val="clear" w:color="auto" w:fill="auto"/>
            <w:vAlign w:val="center"/>
          </w:tcPr>
          <w:p w14:paraId="0C5BAE2E" w14:textId="7C01D2A5" w:rsidR="008755B7" w:rsidRPr="00005453" w:rsidRDefault="008755B7" w:rsidP="008755B7">
            <w:pPr>
              <w:jc w:val="right"/>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tcPr>
          <w:p w14:paraId="3435BF6D" w14:textId="6CFAFEF9" w:rsidR="008755B7" w:rsidRPr="00005453" w:rsidRDefault="008755B7" w:rsidP="008755B7">
            <w:pPr>
              <w:jc w:val="right"/>
              <w:rPr>
                <w:color w:val="000000"/>
                <w:sz w:val="14"/>
                <w:szCs w:val="14"/>
                <w:lang w:eastAsia="tr-TR"/>
              </w:rPr>
            </w:pPr>
          </w:p>
        </w:tc>
      </w:tr>
      <w:tr w:rsidR="008755B7" w:rsidRPr="00005453" w14:paraId="12D9B666"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6ED6419" w14:textId="77777777" w:rsidR="008755B7" w:rsidRPr="00005453" w:rsidRDefault="008755B7" w:rsidP="008755B7">
            <w:pPr>
              <w:rPr>
                <w:color w:val="000000"/>
                <w:sz w:val="14"/>
                <w:szCs w:val="14"/>
                <w:lang w:eastAsia="tr-TR"/>
              </w:rPr>
            </w:pPr>
            <w:r w:rsidRPr="00005453">
              <w:rPr>
                <w:color w:val="000000"/>
                <w:sz w:val="14"/>
                <w:szCs w:val="14"/>
                <w:lang w:eastAsia="tr-TR"/>
              </w:rPr>
              <w:t>2.1</w:t>
            </w:r>
          </w:p>
        </w:tc>
        <w:tc>
          <w:tcPr>
            <w:tcW w:w="5533" w:type="dxa"/>
            <w:tcBorders>
              <w:top w:val="nil"/>
              <w:left w:val="single" w:sz="4" w:space="0" w:color="auto"/>
              <w:bottom w:val="nil"/>
              <w:right w:val="single" w:sz="4" w:space="0" w:color="auto"/>
            </w:tcBorders>
            <w:shd w:val="clear" w:color="auto" w:fill="auto"/>
            <w:noWrap/>
            <w:vAlign w:val="bottom"/>
            <w:hideMark/>
          </w:tcPr>
          <w:p w14:paraId="0C260A99" w14:textId="4A414E24" w:rsidR="008755B7" w:rsidRPr="00005453" w:rsidRDefault="008755B7" w:rsidP="008755B7">
            <w:pPr>
              <w:rPr>
                <w:color w:val="000000"/>
                <w:sz w:val="14"/>
                <w:szCs w:val="14"/>
                <w:lang w:eastAsia="tr-TR"/>
              </w:rPr>
            </w:pPr>
            <w:r w:rsidRPr="00005453">
              <w:rPr>
                <w:color w:val="000000"/>
                <w:sz w:val="14"/>
                <w:szCs w:val="14"/>
                <w:lang w:eastAsia="tr-TR"/>
              </w:rPr>
              <w:t>Dağıtılan yedekler</w:t>
            </w:r>
          </w:p>
        </w:tc>
        <w:tc>
          <w:tcPr>
            <w:tcW w:w="1276" w:type="dxa"/>
            <w:tcBorders>
              <w:top w:val="nil"/>
              <w:left w:val="single" w:sz="4" w:space="0" w:color="auto"/>
              <w:bottom w:val="nil"/>
              <w:right w:val="single" w:sz="4" w:space="0" w:color="auto"/>
            </w:tcBorders>
            <w:shd w:val="clear" w:color="auto" w:fill="auto"/>
            <w:vAlign w:val="center"/>
            <w:hideMark/>
          </w:tcPr>
          <w:p w14:paraId="2A713845" w14:textId="7396C520"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4887ABE" w14:textId="38E74156"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7EA0C986"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53725B2" w14:textId="77777777" w:rsidR="008755B7" w:rsidRPr="00005453" w:rsidRDefault="008755B7" w:rsidP="008755B7">
            <w:pPr>
              <w:rPr>
                <w:color w:val="000000"/>
                <w:sz w:val="14"/>
                <w:szCs w:val="14"/>
                <w:lang w:eastAsia="tr-TR"/>
              </w:rPr>
            </w:pPr>
            <w:r w:rsidRPr="00005453">
              <w:rPr>
                <w:color w:val="000000"/>
                <w:sz w:val="14"/>
                <w:szCs w:val="14"/>
                <w:lang w:eastAsia="tr-TR"/>
              </w:rPr>
              <w:t>2.2</w:t>
            </w:r>
          </w:p>
        </w:tc>
        <w:tc>
          <w:tcPr>
            <w:tcW w:w="5533" w:type="dxa"/>
            <w:tcBorders>
              <w:top w:val="nil"/>
              <w:left w:val="single" w:sz="4" w:space="0" w:color="auto"/>
              <w:bottom w:val="nil"/>
              <w:right w:val="single" w:sz="4" w:space="0" w:color="auto"/>
            </w:tcBorders>
            <w:shd w:val="clear" w:color="auto" w:fill="auto"/>
            <w:noWrap/>
            <w:vAlign w:val="bottom"/>
            <w:hideMark/>
          </w:tcPr>
          <w:p w14:paraId="6FADF1CE" w14:textId="59C4655B" w:rsidR="008755B7" w:rsidRPr="00005453" w:rsidRDefault="008755B7" w:rsidP="008755B7">
            <w:pPr>
              <w:rPr>
                <w:color w:val="000000"/>
                <w:sz w:val="14"/>
                <w:szCs w:val="14"/>
                <w:lang w:eastAsia="tr-TR"/>
              </w:rPr>
            </w:pPr>
            <w:r w:rsidRPr="00005453">
              <w:rPr>
                <w:color w:val="000000"/>
                <w:sz w:val="14"/>
                <w:szCs w:val="14"/>
                <w:lang w:eastAsia="tr-TR"/>
              </w:rPr>
              <w:t>Ortaklara pay (-)</w:t>
            </w:r>
          </w:p>
        </w:tc>
        <w:tc>
          <w:tcPr>
            <w:tcW w:w="1276" w:type="dxa"/>
            <w:tcBorders>
              <w:top w:val="nil"/>
              <w:left w:val="single" w:sz="4" w:space="0" w:color="auto"/>
              <w:bottom w:val="nil"/>
              <w:right w:val="single" w:sz="4" w:space="0" w:color="auto"/>
            </w:tcBorders>
            <w:shd w:val="clear" w:color="auto" w:fill="auto"/>
            <w:vAlign w:val="center"/>
            <w:hideMark/>
          </w:tcPr>
          <w:p w14:paraId="7F226B5C" w14:textId="1C94D102"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67DAE9E" w14:textId="2E9BF711"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15FEB94E"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960099F" w14:textId="77777777" w:rsidR="008755B7" w:rsidRPr="00005453" w:rsidRDefault="008755B7" w:rsidP="008755B7">
            <w:pPr>
              <w:rPr>
                <w:color w:val="000000"/>
                <w:sz w:val="14"/>
                <w:szCs w:val="14"/>
                <w:lang w:eastAsia="tr-TR"/>
              </w:rPr>
            </w:pPr>
            <w:r w:rsidRPr="00005453">
              <w:rPr>
                <w:color w:val="000000"/>
                <w:sz w:val="14"/>
                <w:szCs w:val="14"/>
                <w:lang w:eastAsia="tr-TR"/>
              </w:rPr>
              <w:t>2.2.1</w:t>
            </w:r>
          </w:p>
        </w:tc>
        <w:tc>
          <w:tcPr>
            <w:tcW w:w="5533" w:type="dxa"/>
            <w:tcBorders>
              <w:top w:val="nil"/>
              <w:left w:val="single" w:sz="4" w:space="0" w:color="auto"/>
              <w:bottom w:val="nil"/>
              <w:right w:val="single" w:sz="4" w:space="0" w:color="auto"/>
            </w:tcBorders>
            <w:shd w:val="clear" w:color="auto" w:fill="auto"/>
            <w:noWrap/>
            <w:vAlign w:val="bottom"/>
            <w:hideMark/>
          </w:tcPr>
          <w:p w14:paraId="745E00FC" w14:textId="3808D612" w:rsidR="008755B7" w:rsidRPr="00005453" w:rsidRDefault="008755B7" w:rsidP="008755B7">
            <w:pPr>
              <w:rPr>
                <w:color w:val="000000"/>
                <w:sz w:val="14"/>
                <w:szCs w:val="14"/>
                <w:lang w:eastAsia="tr-TR"/>
              </w:rPr>
            </w:pPr>
            <w:r w:rsidRPr="00005453">
              <w:rPr>
                <w:color w:val="000000"/>
                <w:sz w:val="14"/>
                <w:szCs w:val="14"/>
                <w:lang w:eastAsia="tr-TR"/>
              </w:rPr>
              <w:t>Hisse senedi sahiplerine</w:t>
            </w:r>
          </w:p>
        </w:tc>
        <w:tc>
          <w:tcPr>
            <w:tcW w:w="1276" w:type="dxa"/>
            <w:tcBorders>
              <w:top w:val="nil"/>
              <w:left w:val="single" w:sz="4" w:space="0" w:color="auto"/>
              <w:bottom w:val="nil"/>
              <w:right w:val="single" w:sz="4" w:space="0" w:color="auto"/>
            </w:tcBorders>
            <w:shd w:val="clear" w:color="auto" w:fill="auto"/>
            <w:vAlign w:val="center"/>
            <w:hideMark/>
          </w:tcPr>
          <w:p w14:paraId="5558B6DC" w14:textId="1EFD8702"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76C04BE" w14:textId="3EB0929A"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6B2FED68"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817955D" w14:textId="77777777" w:rsidR="008755B7" w:rsidRPr="00005453" w:rsidRDefault="008755B7" w:rsidP="008755B7">
            <w:pPr>
              <w:rPr>
                <w:color w:val="000000"/>
                <w:sz w:val="14"/>
                <w:szCs w:val="14"/>
                <w:lang w:eastAsia="tr-TR"/>
              </w:rPr>
            </w:pPr>
            <w:r w:rsidRPr="00005453">
              <w:rPr>
                <w:color w:val="000000"/>
                <w:sz w:val="14"/>
                <w:szCs w:val="14"/>
                <w:lang w:eastAsia="tr-TR"/>
              </w:rPr>
              <w:t>2.2.2</w:t>
            </w:r>
          </w:p>
        </w:tc>
        <w:tc>
          <w:tcPr>
            <w:tcW w:w="5533" w:type="dxa"/>
            <w:tcBorders>
              <w:top w:val="nil"/>
              <w:left w:val="single" w:sz="4" w:space="0" w:color="auto"/>
              <w:bottom w:val="nil"/>
              <w:right w:val="single" w:sz="4" w:space="0" w:color="auto"/>
            </w:tcBorders>
            <w:shd w:val="clear" w:color="auto" w:fill="auto"/>
            <w:noWrap/>
            <w:vAlign w:val="bottom"/>
            <w:hideMark/>
          </w:tcPr>
          <w:p w14:paraId="6BC9FB2E" w14:textId="6CD64426" w:rsidR="008755B7" w:rsidRPr="00005453" w:rsidRDefault="008755B7" w:rsidP="008755B7">
            <w:pPr>
              <w:rPr>
                <w:color w:val="000000"/>
                <w:sz w:val="14"/>
                <w:szCs w:val="14"/>
                <w:lang w:eastAsia="tr-TR"/>
              </w:rPr>
            </w:pPr>
            <w:r w:rsidRPr="00005453">
              <w:rPr>
                <w:color w:val="000000"/>
                <w:sz w:val="14"/>
                <w:szCs w:val="14"/>
                <w:lang w:eastAsia="tr-TR"/>
              </w:rPr>
              <w:t>İmtiyazlı hisse senedi sahiplerine</w:t>
            </w:r>
          </w:p>
        </w:tc>
        <w:tc>
          <w:tcPr>
            <w:tcW w:w="1276" w:type="dxa"/>
            <w:tcBorders>
              <w:top w:val="nil"/>
              <w:left w:val="single" w:sz="4" w:space="0" w:color="auto"/>
              <w:bottom w:val="nil"/>
              <w:right w:val="single" w:sz="4" w:space="0" w:color="auto"/>
            </w:tcBorders>
            <w:shd w:val="clear" w:color="auto" w:fill="auto"/>
            <w:vAlign w:val="center"/>
            <w:hideMark/>
          </w:tcPr>
          <w:p w14:paraId="3EB61137" w14:textId="1959469D"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9BF4E68" w14:textId="4D09A041"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0E31C4CE"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8B391C3" w14:textId="77777777" w:rsidR="008755B7" w:rsidRPr="00005453" w:rsidRDefault="008755B7" w:rsidP="008755B7">
            <w:pPr>
              <w:rPr>
                <w:sz w:val="14"/>
                <w:szCs w:val="14"/>
                <w:lang w:eastAsia="tr-TR"/>
              </w:rPr>
            </w:pPr>
            <w:r w:rsidRPr="00005453">
              <w:rPr>
                <w:color w:val="000000"/>
                <w:sz w:val="14"/>
                <w:szCs w:val="14"/>
                <w:lang w:eastAsia="tr-TR"/>
              </w:rPr>
              <w:t>2.2.3</w:t>
            </w:r>
          </w:p>
        </w:tc>
        <w:tc>
          <w:tcPr>
            <w:tcW w:w="5533" w:type="dxa"/>
            <w:tcBorders>
              <w:top w:val="nil"/>
              <w:left w:val="single" w:sz="4" w:space="0" w:color="auto"/>
              <w:bottom w:val="nil"/>
              <w:right w:val="single" w:sz="4" w:space="0" w:color="auto"/>
            </w:tcBorders>
            <w:shd w:val="clear" w:color="auto" w:fill="auto"/>
            <w:noWrap/>
            <w:vAlign w:val="bottom"/>
            <w:hideMark/>
          </w:tcPr>
          <w:p w14:paraId="0BEBBDBC" w14:textId="17B8EC38" w:rsidR="008755B7" w:rsidRPr="00005453" w:rsidRDefault="008755B7" w:rsidP="008755B7">
            <w:pPr>
              <w:rPr>
                <w:color w:val="000000"/>
                <w:sz w:val="14"/>
                <w:szCs w:val="14"/>
                <w:lang w:eastAsia="tr-TR"/>
              </w:rPr>
            </w:pPr>
            <w:r w:rsidRPr="00005453">
              <w:rPr>
                <w:color w:val="000000"/>
                <w:sz w:val="14"/>
                <w:szCs w:val="14"/>
                <w:lang w:eastAsia="tr-TR"/>
              </w:rPr>
              <w:t>Katılma intifa senetlerine</w:t>
            </w:r>
          </w:p>
        </w:tc>
        <w:tc>
          <w:tcPr>
            <w:tcW w:w="1276" w:type="dxa"/>
            <w:tcBorders>
              <w:top w:val="nil"/>
              <w:left w:val="single" w:sz="4" w:space="0" w:color="auto"/>
              <w:bottom w:val="nil"/>
              <w:right w:val="single" w:sz="4" w:space="0" w:color="auto"/>
            </w:tcBorders>
            <w:shd w:val="clear" w:color="auto" w:fill="auto"/>
            <w:vAlign w:val="center"/>
            <w:hideMark/>
          </w:tcPr>
          <w:p w14:paraId="6DDA8B3E" w14:textId="6509D476"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41CC155" w14:textId="44D04A49"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621EE462"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657CE1B" w14:textId="77777777" w:rsidR="008755B7" w:rsidRPr="00005453" w:rsidRDefault="008755B7" w:rsidP="008755B7">
            <w:pPr>
              <w:rPr>
                <w:color w:val="000000"/>
                <w:sz w:val="14"/>
                <w:szCs w:val="14"/>
                <w:lang w:eastAsia="tr-TR"/>
              </w:rPr>
            </w:pPr>
            <w:r w:rsidRPr="00005453">
              <w:rPr>
                <w:color w:val="000000"/>
                <w:sz w:val="14"/>
                <w:szCs w:val="14"/>
                <w:lang w:eastAsia="tr-TR"/>
              </w:rPr>
              <w:t>2.2.4</w:t>
            </w:r>
          </w:p>
        </w:tc>
        <w:tc>
          <w:tcPr>
            <w:tcW w:w="5533" w:type="dxa"/>
            <w:tcBorders>
              <w:top w:val="nil"/>
              <w:left w:val="single" w:sz="4" w:space="0" w:color="auto"/>
              <w:bottom w:val="nil"/>
              <w:right w:val="single" w:sz="4" w:space="0" w:color="auto"/>
            </w:tcBorders>
            <w:shd w:val="clear" w:color="auto" w:fill="auto"/>
            <w:noWrap/>
            <w:vAlign w:val="bottom"/>
            <w:hideMark/>
          </w:tcPr>
          <w:p w14:paraId="118AAF4A" w14:textId="4D6DB3CE" w:rsidR="008755B7" w:rsidRPr="00005453" w:rsidRDefault="008755B7" w:rsidP="008755B7">
            <w:pPr>
              <w:rPr>
                <w:color w:val="000000"/>
                <w:sz w:val="14"/>
                <w:szCs w:val="14"/>
                <w:lang w:eastAsia="tr-TR"/>
              </w:rPr>
            </w:pPr>
            <w:r w:rsidRPr="00005453">
              <w:rPr>
                <w:color w:val="000000"/>
                <w:sz w:val="14"/>
                <w:szCs w:val="14"/>
                <w:lang w:eastAsia="tr-TR"/>
              </w:rPr>
              <w:t>Kâra iştirakli tahvillere</w:t>
            </w:r>
          </w:p>
        </w:tc>
        <w:tc>
          <w:tcPr>
            <w:tcW w:w="1276" w:type="dxa"/>
            <w:tcBorders>
              <w:top w:val="nil"/>
              <w:left w:val="single" w:sz="4" w:space="0" w:color="auto"/>
              <w:bottom w:val="nil"/>
              <w:right w:val="single" w:sz="4" w:space="0" w:color="auto"/>
            </w:tcBorders>
            <w:shd w:val="clear" w:color="auto" w:fill="auto"/>
            <w:vAlign w:val="center"/>
            <w:hideMark/>
          </w:tcPr>
          <w:p w14:paraId="10735652" w14:textId="440BDAFD"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3C33040" w14:textId="003767F8"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2774BB2F"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62C7B56" w14:textId="77777777" w:rsidR="008755B7" w:rsidRPr="00005453" w:rsidRDefault="008755B7" w:rsidP="008755B7">
            <w:pPr>
              <w:rPr>
                <w:sz w:val="14"/>
                <w:szCs w:val="14"/>
                <w:lang w:eastAsia="tr-TR"/>
              </w:rPr>
            </w:pPr>
            <w:r w:rsidRPr="00005453">
              <w:rPr>
                <w:sz w:val="14"/>
                <w:szCs w:val="14"/>
                <w:lang w:eastAsia="tr-TR"/>
              </w:rPr>
              <w:t>2.2.5</w:t>
            </w:r>
          </w:p>
        </w:tc>
        <w:tc>
          <w:tcPr>
            <w:tcW w:w="5533" w:type="dxa"/>
            <w:tcBorders>
              <w:top w:val="nil"/>
              <w:left w:val="single" w:sz="4" w:space="0" w:color="auto"/>
              <w:bottom w:val="nil"/>
              <w:right w:val="single" w:sz="4" w:space="0" w:color="auto"/>
            </w:tcBorders>
            <w:shd w:val="clear" w:color="auto" w:fill="auto"/>
            <w:noWrap/>
            <w:vAlign w:val="bottom"/>
            <w:hideMark/>
          </w:tcPr>
          <w:p w14:paraId="03847620" w14:textId="77777777" w:rsidR="008755B7" w:rsidRPr="00005453" w:rsidRDefault="008755B7" w:rsidP="008755B7">
            <w:pPr>
              <w:rPr>
                <w:color w:val="000000"/>
                <w:sz w:val="14"/>
                <w:szCs w:val="14"/>
                <w:lang w:eastAsia="tr-TR"/>
              </w:rPr>
            </w:pPr>
            <w:r w:rsidRPr="00005453">
              <w:rPr>
                <w:color w:val="000000"/>
                <w:sz w:val="14"/>
                <w:szCs w:val="14"/>
                <w:lang w:eastAsia="tr-TR"/>
              </w:rPr>
              <w:t>Kâr ve Zarar Ortaklığı Belgesi Sahiplerine</w:t>
            </w:r>
          </w:p>
        </w:tc>
        <w:tc>
          <w:tcPr>
            <w:tcW w:w="1276" w:type="dxa"/>
            <w:tcBorders>
              <w:top w:val="nil"/>
              <w:left w:val="single" w:sz="4" w:space="0" w:color="auto"/>
              <w:bottom w:val="nil"/>
              <w:right w:val="single" w:sz="4" w:space="0" w:color="auto"/>
            </w:tcBorders>
            <w:shd w:val="clear" w:color="auto" w:fill="auto"/>
            <w:vAlign w:val="center"/>
            <w:hideMark/>
          </w:tcPr>
          <w:p w14:paraId="0BB461F9" w14:textId="59569237"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21F57B7" w14:textId="4B43211F"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3E71BEB1"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43DBA4A" w14:textId="77777777" w:rsidR="008755B7" w:rsidRPr="00005453" w:rsidRDefault="008755B7" w:rsidP="008755B7">
            <w:pPr>
              <w:rPr>
                <w:color w:val="000000"/>
                <w:sz w:val="14"/>
                <w:szCs w:val="14"/>
                <w:lang w:eastAsia="tr-TR"/>
              </w:rPr>
            </w:pPr>
            <w:r w:rsidRPr="00005453">
              <w:rPr>
                <w:color w:val="000000"/>
                <w:sz w:val="14"/>
                <w:szCs w:val="14"/>
                <w:lang w:eastAsia="tr-TR"/>
              </w:rPr>
              <w:t>2.3</w:t>
            </w:r>
          </w:p>
        </w:tc>
        <w:tc>
          <w:tcPr>
            <w:tcW w:w="5533" w:type="dxa"/>
            <w:tcBorders>
              <w:top w:val="nil"/>
              <w:left w:val="single" w:sz="4" w:space="0" w:color="auto"/>
              <w:bottom w:val="nil"/>
              <w:right w:val="single" w:sz="4" w:space="0" w:color="auto"/>
            </w:tcBorders>
            <w:shd w:val="clear" w:color="auto" w:fill="auto"/>
            <w:noWrap/>
            <w:vAlign w:val="bottom"/>
            <w:hideMark/>
          </w:tcPr>
          <w:p w14:paraId="0F2075EA" w14:textId="4EA68A3E" w:rsidR="008755B7" w:rsidRPr="00005453" w:rsidRDefault="008755B7" w:rsidP="008755B7">
            <w:pPr>
              <w:rPr>
                <w:color w:val="000000"/>
                <w:sz w:val="14"/>
                <w:szCs w:val="14"/>
                <w:lang w:eastAsia="tr-TR"/>
              </w:rPr>
            </w:pPr>
            <w:r w:rsidRPr="00005453">
              <w:rPr>
                <w:color w:val="000000"/>
                <w:sz w:val="14"/>
                <w:szCs w:val="14"/>
                <w:lang w:eastAsia="tr-TR"/>
              </w:rPr>
              <w:t>Personele pay (-)</w:t>
            </w:r>
          </w:p>
        </w:tc>
        <w:tc>
          <w:tcPr>
            <w:tcW w:w="1276" w:type="dxa"/>
            <w:tcBorders>
              <w:top w:val="nil"/>
              <w:left w:val="single" w:sz="4" w:space="0" w:color="auto"/>
              <w:bottom w:val="nil"/>
              <w:right w:val="single" w:sz="4" w:space="0" w:color="auto"/>
            </w:tcBorders>
            <w:shd w:val="clear" w:color="auto" w:fill="auto"/>
            <w:vAlign w:val="center"/>
            <w:hideMark/>
          </w:tcPr>
          <w:p w14:paraId="6B583AFE" w14:textId="0F0B1216"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2DC09D3" w14:textId="50E19166"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03D91929"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CAD5A61" w14:textId="77777777" w:rsidR="008755B7" w:rsidRPr="00005453" w:rsidRDefault="008755B7" w:rsidP="008755B7">
            <w:pPr>
              <w:rPr>
                <w:color w:val="000000"/>
                <w:sz w:val="14"/>
                <w:szCs w:val="14"/>
                <w:lang w:eastAsia="tr-TR"/>
              </w:rPr>
            </w:pPr>
            <w:r w:rsidRPr="00005453">
              <w:rPr>
                <w:color w:val="000000"/>
                <w:sz w:val="14"/>
                <w:szCs w:val="14"/>
                <w:lang w:eastAsia="tr-TR"/>
              </w:rPr>
              <w:t>2.4</w:t>
            </w:r>
          </w:p>
        </w:tc>
        <w:tc>
          <w:tcPr>
            <w:tcW w:w="5533" w:type="dxa"/>
            <w:tcBorders>
              <w:top w:val="nil"/>
              <w:left w:val="single" w:sz="4" w:space="0" w:color="auto"/>
              <w:bottom w:val="nil"/>
              <w:right w:val="single" w:sz="4" w:space="0" w:color="auto"/>
            </w:tcBorders>
            <w:shd w:val="clear" w:color="auto" w:fill="auto"/>
            <w:noWrap/>
            <w:vAlign w:val="bottom"/>
            <w:hideMark/>
          </w:tcPr>
          <w:p w14:paraId="1170F90F" w14:textId="6422867A" w:rsidR="008755B7" w:rsidRPr="00005453" w:rsidRDefault="008755B7" w:rsidP="008755B7">
            <w:pPr>
              <w:rPr>
                <w:color w:val="000000"/>
                <w:sz w:val="14"/>
                <w:szCs w:val="14"/>
                <w:lang w:eastAsia="tr-TR"/>
              </w:rPr>
            </w:pPr>
            <w:r w:rsidRPr="00005453">
              <w:rPr>
                <w:color w:val="000000"/>
                <w:sz w:val="14"/>
                <w:szCs w:val="14"/>
                <w:lang w:eastAsia="tr-TR"/>
              </w:rPr>
              <w:t>Yönetim kuruluna pay (-)</w:t>
            </w:r>
          </w:p>
        </w:tc>
        <w:tc>
          <w:tcPr>
            <w:tcW w:w="1276" w:type="dxa"/>
            <w:tcBorders>
              <w:top w:val="nil"/>
              <w:left w:val="single" w:sz="4" w:space="0" w:color="auto"/>
              <w:bottom w:val="nil"/>
              <w:right w:val="single" w:sz="4" w:space="0" w:color="auto"/>
            </w:tcBorders>
            <w:shd w:val="clear" w:color="auto" w:fill="auto"/>
            <w:vAlign w:val="center"/>
            <w:hideMark/>
          </w:tcPr>
          <w:p w14:paraId="360F624E" w14:textId="3B110344"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73B2A79" w14:textId="5B2AE3E3"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782E2D9D"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AA6EC06" w14:textId="77777777" w:rsidR="008755B7" w:rsidRPr="00005453" w:rsidRDefault="008755B7" w:rsidP="008755B7">
            <w:pPr>
              <w:rPr>
                <w:b/>
                <w:bCs/>
                <w:sz w:val="14"/>
                <w:szCs w:val="14"/>
                <w:lang w:eastAsia="tr-TR"/>
              </w:rPr>
            </w:pPr>
            <w:r w:rsidRPr="00005453">
              <w:rPr>
                <w:b/>
                <w:color w:val="000000"/>
                <w:sz w:val="14"/>
                <w:szCs w:val="14"/>
                <w:lang w:eastAsia="tr-TR"/>
              </w:rPr>
              <w:t xml:space="preserve">III. </w:t>
            </w:r>
          </w:p>
        </w:tc>
        <w:tc>
          <w:tcPr>
            <w:tcW w:w="5533" w:type="dxa"/>
            <w:tcBorders>
              <w:top w:val="nil"/>
              <w:left w:val="single" w:sz="4" w:space="0" w:color="auto"/>
              <w:bottom w:val="nil"/>
              <w:right w:val="single" w:sz="4" w:space="0" w:color="auto"/>
            </w:tcBorders>
            <w:shd w:val="clear" w:color="auto" w:fill="auto"/>
            <w:noWrap/>
            <w:vAlign w:val="bottom"/>
            <w:hideMark/>
          </w:tcPr>
          <w:p w14:paraId="30B96983" w14:textId="2B187F53" w:rsidR="008755B7" w:rsidRPr="00005453" w:rsidRDefault="008755B7" w:rsidP="008755B7">
            <w:pPr>
              <w:rPr>
                <w:b/>
                <w:color w:val="000000"/>
                <w:sz w:val="14"/>
                <w:szCs w:val="14"/>
                <w:lang w:eastAsia="tr-TR"/>
              </w:rPr>
            </w:pPr>
            <w:r w:rsidRPr="00005453">
              <w:rPr>
                <w:b/>
                <w:color w:val="000000"/>
                <w:sz w:val="14"/>
                <w:szCs w:val="14"/>
                <w:lang w:eastAsia="tr-TR"/>
              </w:rPr>
              <w:t>Hisse başına kâr</w:t>
            </w:r>
          </w:p>
        </w:tc>
        <w:tc>
          <w:tcPr>
            <w:tcW w:w="1276" w:type="dxa"/>
            <w:tcBorders>
              <w:top w:val="nil"/>
              <w:left w:val="single" w:sz="4" w:space="0" w:color="auto"/>
              <w:bottom w:val="nil"/>
              <w:right w:val="single" w:sz="4" w:space="0" w:color="auto"/>
            </w:tcBorders>
            <w:shd w:val="clear" w:color="auto" w:fill="auto"/>
            <w:vAlign w:val="center"/>
          </w:tcPr>
          <w:p w14:paraId="54119D6E" w14:textId="74147A2F" w:rsidR="008755B7" w:rsidRPr="00005453" w:rsidRDefault="008755B7" w:rsidP="008755B7">
            <w:pPr>
              <w:jc w:val="right"/>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tcPr>
          <w:p w14:paraId="42D172CE" w14:textId="50A05449" w:rsidR="008755B7" w:rsidRPr="00005453" w:rsidRDefault="008755B7" w:rsidP="008755B7">
            <w:pPr>
              <w:jc w:val="right"/>
              <w:rPr>
                <w:color w:val="000000"/>
                <w:sz w:val="14"/>
                <w:szCs w:val="14"/>
                <w:lang w:eastAsia="tr-TR"/>
              </w:rPr>
            </w:pPr>
          </w:p>
        </w:tc>
      </w:tr>
      <w:tr w:rsidR="008755B7" w:rsidRPr="00005453" w14:paraId="4A714381"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E98C5A4" w14:textId="77777777" w:rsidR="008755B7" w:rsidRPr="00005453" w:rsidRDefault="008755B7" w:rsidP="008755B7">
            <w:pPr>
              <w:rPr>
                <w:color w:val="000000"/>
                <w:sz w:val="14"/>
                <w:szCs w:val="14"/>
                <w:lang w:eastAsia="tr-TR"/>
              </w:rPr>
            </w:pPr>
            <w:r w:rsidRPr="00005453">
              <w:rPr>
                <w:color w:val="000000"/>
                <w:sz w:val="14"/>
                <w:szCs w:val="14"/>
                <w:lang w:eastAsia="tr-TR"/>
              </w:rPr>
              <w:t>3.1</w:t>
            </w:r>
          </w:p>
        </w:tc>
        <w:tc>
          <w:tcPr>
            <w:tcW w:w="5533" w:type="dxa"/>
            <w:tcBorders>
              <w:top w:val="nil"/>
              <w:left w:val="single" w:sz="4" w:space="0" w:color="auto"/>
              <w:bottom w:val="nil"/>
              <w:right w:val="single" w:sz="4" w:space="0" w:color="auto"/>
            </w:tcBorders>
            <w:shd w:val="clear" w:color="auto" w:fill="auto"/>
            <w:noWrap/>
            <w:vAlign w:val="bottom"/>
            <w:hideMark/>
          </w:tcPr>
          <w:p w14:paraId="65E2E3BE" w14:textId="610EDFC1" w:rsidR="008755B7" w:rsidRPr="00005453" w:rsidRDefault="008755B7" w:rsidP="008755B7">
            <w:pPr>
              <w:rPr>
                <w:color w:val="000000"/>
                <w:sz w:val="14"/>
                <w:szCs w:val="14"/>
                <w:lang w:eastAsia="tr-TR"/>
              </w:rPr>
            </w:pPr>
            <w:r w:rsidRPr="00005453">
              <w:rPr>
                <w:color w:val="000000"/>
                <w:sz w:val="14"/>
                <w:szCs w:val="14"/>
                <w:lang w:eastAsia="tr-TR"/>
              </w:rPr>
              <w:t xml:space="preserve">Hisse senedi sahiplerine </w:t>
            </w:r>
          </w:p>
        </w:tc>
        <w:tc>
          <w:tcPr>
            <w:tcW w:w="1276" w:type="dxa"/>
            <w:tcBorders>
              <w:top w:val="nil"/>
              <w:left w:val="single" w:sz="4" w:space="0" w:color="auto"/>
              <w:bottom w:val="nil"/>
              <w:right w:val="single" w:sz="4" w:space="0" w:color="auto"/>
            </w:tcBorders>
            <w:shd w:val="clear" w:color="auto" w:fill="auto"/>
            <w:hideMark/>
          </w:tcPr>
          <w:p w14:paraId="4C47CE95" w14:textId="26DE8E37" w:rsidR="008755B7" w:rsidRPr="00005453" w:rsidRDefault="008E6967" w:rsidP="008755B7">
            <w:pPr>
              <w:jc w:val="right"/>
              <w:rPr>
                <w:color w:val="000000"/>
                <w:sz w:val="14"/>
                <w:szCs w:val="14"/>
                <w:lang w:eastAsia="tr-TR"/>
              </w:rPr>
            </w:pPr>
            <w:r w:rsidRPr="00005453">
              <w:rPr>
                <w:color w:val="000000"/>
                <w:sz w:val="14"/>
                <w:szCs w:val="14"/>
                <w:lang w:eastAsia="tr-TR"/>
              </w:rPr>
              <w:t>7.30</w:t>
            </w:r>
          </w:p>
        </w:tc>
        <w:tc>
          <w:tcPr>
            <w:tcW w:w="1418" w:type="dxa"/>
            <w:tcBorders>
              <w:top w:val="nil"/>
              <w:left w:val="single" w:sz="4" w:space="0" w:color="auto"/>
              <w:bottom w:val="nil"/>
              <w:right w:val="single" w:sz="4" w:space="0" w:color="auto"/>
            </w:tcBorders>
            <w:shd w:val="clear" w:color="auto" w:fill="auto"/>
            <w:vAlign w:val="center"/>
            <w:hideMark/>
          </w:tcPr>
          <w:p w14:paraId="79CD0CCE" w14:textId="55E44000" w:rsidR="008755B7" w:rsidRPr="00005453" w:rsidRDefault="008E6967" w:rsidP="008755B7">
            <w:pPr>
              <w:jc w:val="right"/>
              <w:rPr>
                <w:color w:val="000000"/>
                <w:sz w:val="14"/>
                <w:szCs w:val="14"/>
                <w:lang w:eastAsia="tr-TR"/>
              </w:rPr>
            </w:pPr>
            <w:r w:rsidRPr="00005453">
              <w:rPr>
                <w:color w:val="000000"/>
                <w:sz w:val="14"/>
                <w:szCs w:val="14"/>
                <w:lang w:eastAsia="tr-TR"/>
              </w:rPr>
              <w:t>5.78</w:t>
            </w:r>
          </w:p>
        </w:tc>
      </w:tr>
      <w:tr w:rsidR="008755B7" w:rsidRPr="00005453" w14:paraId="6C075178"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63791B0" w14:textId="77777777" w:rsidR="008755B7" w:rsidRPr="00005453" w:rsidRDefault="008755B7" w:rsidP="008755B7">
            <w:pPr>
              <w:rPr>
                <w:color w:val="000000"/>
                <w:sz w:val="14"/>
                <w:szCs w:val="14"/>
                <w:lang w:eastAsia="tr-TR"/>
              </w:rPr>
            </w:pPr>
            <w:r w:rsidRPr="00005453">
              <w:rPr>
                <w:color w:val="000000"/>
                <w:sz w:val="14"/>
                <w:szCs w:val="14"/>
                <w:lang w:eastAsia="tr-TR"/>
              </w:rPr>
              <w:t>3.2</w:t>
            </w:r>
          </w:p>
        </w:tc>
        <w:tc>
          <w:tcPr>
            <w:tcW w:w="5533" w:type="dxa"/>
            <w:tcBorders>
              <w:top w:val="nil"/>
              <w:left w:val="single" w:sz="4" w:space="0" w:color="auto"/>
              <w:bottom w:val="nil"/>
              <w:right w:val="single" w:sz="4" w:space="0" w:color="auto"/>
            </w:tcBorders>
            <w:shd w:val="clear" w:color="auto" w:fill="auto"/>
            <w:noWrap/>
            <w:vAlign w:val="bottom"/>
            <w:hideMark/>
          </w:tcPr>
          <w:p w14:paraId="4CDD075F" w14:textId="3FC069B9" w:rsidR="008755B7" w:rsidRPr="00005453" w:rsidRDefault="008755B7" w:rsidP="008755B7">
            <w:pPr>
              <w:rPr>
                <w:color w:val="000000"/>
                <w:sz w:val="14"/>
                <w:szCs w:val="14"/>
                <w:lang w:eastAsia="tr-TR"/>
              </w:rPr>
            </w:pPr>
            <w:r w:rsidRPr="00005453">
              <w:rPr>
                <w:color w:val="000000"/>
                <w:sz w:val="14"/>
                <w:szCs w:val="14"/>
                <w:lang w:eastAsia="tr-TR"/>
              </w:rPr>
              <w:t xml:space="preserve">Hisse senedi sahiplerine </w:t>
            </w:r>
            <w:proofErr w:type="gramStart"/>
            <w:r w:rsidRPr="00005453">
              <w:rPr>
                <w:color w:val="000000"/>
                <w:sz w:val="14"/>
                <w:szCs w:val="14"/>
                <w:lang w:eastAsia="tr-TR"/>
              </w:rPr>
              <w:t>( %</w:t>
            </w:r>
            <w:proofErr w:type="gramEnd"/>
            <w:r w:rsidRPr="00005453">
              <w:rPr>
                <w:color w:val="000000"/>
                <w:sz w:val="14"/>
                <w:szCs w:val="14"/>
                <w:lang w:eastAsia="tr-TR"/>
              </w:rPr>
              <w:t xml:space="preserve"> )</w:t>
            </w:r>
          </w:p>
        </w:tc>
        <w:tc>
          <w:tcPr>
            <w:tcW w:w="1276" w:type="dxa"/>
            <w:tcBorders>
              <w:top w:val="nil"/>
              <w:left w:val="single" w:sz="4" w:space="0" w:color="auto"/>
              <w:bottom w:val="nil"/>
              <w:right w:val="single" w:sz="4" w:space="0" w:color="auto"/>
            </w:tcBorders>
            <w:shd w:val="clear" w:color="auto" w:fill="auto"/>
            <w:hideMark/>
          </w:tcPr>
          <w:p w14:paraId="567099DB" w14:textId="7EDBE1CE" w:rsidR="008755B7" w:rsidRPr="00005453" w:rsidRDefault="008E6967" w:rsidP="008755B7">
            <w:pPr>
              <w:jc w:val="right"/>
              <w:rPr>
                <w:color w:val="000000"/>
                <w:sz w:val="14"/>
                <w:szCs w:val="14"/>
                <w:lang w:eastAsia="tr-TR"/>
              </w:rPr>
            </w:pPr>
            <w:r w:rsidRPr="00005453">
              <w:rPr>
                <w:color w:val="000000"/>
                <w:sz w:val="14"/>
                <w:szCs w:val="14"/>
                <w:lang w:eastAsia="tr-TR"/>
              </w:rPr>
              <w:t>729.97</w:t>
            </w:r>
          </w:p>
        </w:tc>
        <w:tc>
          <w:tcPr>
            <w:tcW w:w="1418" w:type="dxa"/>
            <w:tcBorders>
              <w:top w:val="nil"/>
              <w:left w:val="single" w:sz="4" w:space="0" w:color="auto"/>
              <w:bottom w:val="nil"/>
              <w:right w:val="single" w:sz="4" w:space="0" w:color="auto"/>
            </w:tcBorders>
            <w:shd w:val="clear" w:color="auto" w:fill="auto"/>
            <w:vAlign w:val="center"/>
            <w:hideMark/>
          </w:tcPr>
          <w:p w14:paraId="38CB584D" w14:textId="4DD666F1" w:rsidR="008755B7" w:rsidRPr="00005453" w:rsidRDefault="008E6967" w:rsidP="008755B7">
            <w:pPr>
              <w:jc w:val="right"/>
              <w:rPr>
                <w:color w:val="000000"/>
                <w:sz w:val="14"/>
                <w:szCs w:val="14"/>
                <w:lang w:eastAsia="tr-TR"/>
              </w:rPr>
            </w:pPr>
            <w:r w:rsidRPr="00005453">
              <w:rPr>
                <w:color w:val="000000"/>
                <w:sz w:val="14"/>
                <w:szCs w:val="14"/>
                <w:lang w:eastAsia="tr-TR"/>
              </w:rPr>
              <w:t>578.46</w:t>
            </w:r>
          </w:p>
        </w:tc>
      </w:tr>
      <w:tr w:rsidR="008755B7" w:rsidRPr="00005453" w14:paraId="661F0D5E"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FCD5E14" w14:textId="77777777" w:rsidR="008755B7" w:rsidRPr="00005453" w:rsidRDefault="008755B7" w:rsidP="008755B7">
            <w:pPr>
              <w:rPr>
                <w:color w:val="000000"/>
                <w:sz w:val="14"/>
                <w:szCs w:val="14"/>
                <w:lang w:eastAsia="tr-TR"/>
              </w:rPr>
            </w:pPr>
            <w:r w:rsidRPr="00005453">
              <w:rPr>
                <w:color w:val="000000"/>
                <w:sz w:val="14"/>
                <w:szCs w:val="14"/>
                <w:lang w:eastAsia="tr-TR"/>
              </w:rPr>
              <w:t>3.3</w:t>
            </w:r>
          </w:p>
        </w:tc>
        <w:tc>
          <w:tcPr>
            <w:tcW w:w="5533" w:type="dxa"/>
            <w:tcBorders>
              <w:top w:val="nil"/>
              <w:left w:val="single" w:sz="4" w:space="0" w:color="auto"/>
              <w:bottom w:val="nil"/>
              <w:right w:val="single" w:sz="4" w:space="0" w:color="auto"/>
            </w:tcBorders>
            <w:shd w:val="clear" w:color="auto" w:fill="auto"/>
            <w:noWrap/>
            <w:vAlign w:val="bottom"/>
            <w:hideMark/>
          </w:tcPr>
          <w:p w14:paraId="349F1E47" w14:textId="70BCBB76" w:rsidR="008755B7" w:rsidRPr="00005453" w:rsidRDefault="008755B7" w:rsidP="008755B7">
            <w:pPr>
              <w:rPr>
                <w:color w:val="000000"/>
                <w:sz w:val="14"/>
                <w:szCs w:val="14"/>
                <w:lang w:eastAsia="tr-TR"/>
              </w:rPr>
            </w:pPr>
            <w:r w:rsidRPr="00005453">
              <w:rPr>
                <w:color w:val="000000"/>
                <w:sz w:val="14"/>
                <w:szCs w:val="14"/>
                <w:lang w:eastAsia="tr-TR"/>
              </w:rPr>
              <w:t xml:space="preserve">İmtiyazlı hisse senedi sahiplerine </w:t>
            </w:r>
          </w:p>
        </w:tc>
        <w:tc>
          <w:tcPr>
            <w:tcW w:w="1276" w:type="dxa"/>
            <w:tcBorders>
              <w:top w:val="nil"/>
              <w:left w:val="single" w:sz="4" w:space="0" w:color="auto"/>
              <w:bottom w:val="nil"/>
              <w:right w:val="single" w:sz="4" w:space="0" w:color="auto"/>
            </w:tcBorders>
            <w:shd w:val="clear" w:color="auto" w:fill="auto"/>
            <w:vAlign w:val="center"/>
            <w:hideMark/>
          </w:tcPr>
          <w:p w14:paraId="57594AC1" w14:textId="0856D755"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1795BA76" w14:textId="04A6CD27"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04B0153B"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50BA72" w14:textId="77777777" w:rsidR="008755B7" w:rsidRPr="00005453" w:rsidRDefault="008755B7" w:rsidP="008755B7">
            <w:pPr>
              <w:rPr>
                <w:color w:val="000000"/>
                <w:sz w:val="14"/>
                <w:szCs w:val="14"/>
                <w:lang w:eastAsia="tr-TR"/>
              </w:rPr>
            </w:pPr>
            <w:r w:rsidRPr="00005453">
              <w:rPr>
                <w:color w:val="000000"/>
                <w:sz w:val="14"/>
                <w:szCs w:val="14"/>
                <w:lang w:eastAsia="tr-TR"/>
              </w:rPr>
              <w:t>3.4</w:t>
            </w:r>
          </w:p>
        </w:tc>
        <w:tc>
          <w:tcPr>
            <w:tcW w:w="5533" w:type="dxa"/>
            <w:tcBorders>
              <w:top w:val="nil"/>
              <w:left w:val="single" w:sz="4" w:space="0" w:color="auto"/>
              <w:bottom w:val="nil"/>
              <w:right w:val="single" w:sz="4" w:space="0" w:color="auto"/>
            </w:tcBorders>
            <w:shd w:val="clear" w:color="auto" w:fill="auto"/>
            <w:noWrap/>
            <w:vAlign w:val="bottom"/>
            <w:hideMark/>
          </w:tcPr>
          <w:p w14:paraId="440D8573" w14:textId="5F8D0B64" w:rsidR="008755B7" w:rsidRPr="00005453" w:rsidRDefault="008755B7" w:rsidP="008755B7">
            <w:pPr>
              <w:rPr>
                <w:color w:val="000000"/>
                <w:sz w:val="14"/>
                <w:szCs w:val="14"/>
                <w:lang w:eastAsia="tr-TR"/>
              </w:rPr>
            </w:pPr>
            <w:r w:rsidRPr="00005453">
              <w:rPr>
                <w:color w:val="000000"/>
                <w:sz w:val="14"/>
                <w:szCs w:val="14"/>
                <w:lang w:eastAsia="tr-TR"/>
              </w:rPr>
              <w:t xml:space="preserve">İmtiyazlı hisse senedi sahiplerine </w:t>
            </w:r>
            <w:proofErr w:type="gramStart"/>
            <w:r w:rsidRPr="00005453">
              <w:rPr>
                <w:color w:val="000000"/>
                <w:sz w:val="14"/>
                <w:szCs w:val="14"/>
                <w:lang w:eastAsia="tr-TR"/>
              </w:rPr>
              <w:t>( %</w:t>
            </w:r>
            <w:proofErr w:type="gramEnd"/>
            <w:r w:rsidRPr="00005453">
              <w:rPr>
                <w:color w:val="000000"/>
                <w:sz w:val="14"/>
                <w:szCs w:val="14"/>
                <w:lang w:eastAsia="tr-TR"/>
              </w:rPr>
              <w:t xml:space="preserve"> )</w:t>
            </w:r>
          </w:p>
        </w:tc>
        <w:tc>
          <w:tcPr>
            <w:tcW w:w="1276" w:type="dxa"/>
            <w:tcBorders>
              <w:top w:val="nil"/>
              <w:left w:val="single" w:sz="4" w:space="0" w:color="auto"/>
              <w:bottom w:val="nil"/>
              <w:right w:val="single" w:sz="4" w:space="0" w:color="auto"/>
            </w:tcBorders>
            <w:shd w:val="clear" w:color="auto" w:fill="auto"/>
            <w:vAlign w:val="center"/>
            <w:hideMark/>
          </w:tcPr>
          <w:p w14:paraId="55C5650B" w14:textId="4DFE5B6B"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10C22FCA" w14:textId="735222E6"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1F12DEA3"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22B186D" w14:textId="77777777" w:rsidR="008755B7" w:rsidRPr="00005453" w:rsidRDefault="008755B7" w:rsidP="008755B7">
            <w:pPr>
              <w:rPr>
                <w:b/>
                <w:sz w:val="14"/>
                <w:szCs w:val="14"/>
                <w:lang w:eastAsia="tr-TR"/>
              </w:rPr>
            </w:pPr>
            <w:r w:rsidRPr="00005453">
              <w:rPr>
                <w:b/>
                <w:color w:val="000000"/>
                <w:sz w:val="14"/>
                <w:szCs w:val="14"/>
                <w:lang w:eastAsia="tr-TR"/>
              </w:rPr>
              <w:t xml:space="preserve">IV. </w:t>
            </w:r>
          </w:p>
        </w:tc>
        <w:tc>
          <w:tcPr>
            <w:tcW w:w="5533" w:type="dxa"/>
            <w:tcBorders>
              <w:top w:val="nil"/>
              <w:left w:val="single" w:sz="4" w:space="0" w:color="auto"/>
              <w:bottom w:val="nil"/>
              <w:right w:val="single" w:sz="4" w:space="0" w:color="auto"/>
            </w:tcBorders>
            <w:shd w:val="clear" w:color="auto" w:fill="auto"/>
            <w:noWrap/>
            <w:vAlign w:val="bottom"/>
            <w:hideMark/>
          </w:tcPr>
          <w:p w14:paraId="7A54FCF0" w14:textId="75AA97EE" w:rsidR="008755B7" w:rsidRPr="00005453" w:rsidRDefault="008755B7" w:rsidP="008755B7">
            <w:pPr>
              <w:rPr>
                <w:b/>
                <w:color w:val="000000"/>
                <w:sz w:val="14"/>
                <w:szCs w:val="14"/>
                <w:lang w:eastAsia="tr-TR"/>
              </w:rPr>
            </w:pPr>
            <w:r w:rsidRPr="00005453">
              <w:rPr>
                <w:b/>
                <w:color w:val="000000"/>
                <w:sz w:val="14"/>
                <w:szCs w:val="14"/>
                <w:lang w:eastAsia="tr-TR"/>
              </w:rPr>
              <w:t>Hisse başına temettü</w:t>
            </w:r>
          </w:p>
        </w:tc>
        <w:tc>
          <w:tcPr>
            <w:tcW w:w="1276" w:type="dxa"/>
            <w:tcBorders>
              <w:top w:val="nil"/>
              <w:left w:val="single" w:sz="4" w:space="0" w:color="auto"/>
              <w:bottom w:val="nil"/>
              <w:right w:val="single" w:sz="4" w:space="0" w:color="auto"/>
            </w:tcBorders>
            <w:shd w:val="clear" w:color="auto" w:fill="auto"/>
            <w:vAlign w:val="center"/>
          </w:tcPr>
          <w:p w14:paraId="29788065" w14:textId="31CE4E0F" w:rsidR="008755B7" w:rsidRPr="00005453" w:rsidRDefault="008755B7" w:rsidP="008755B7">
            <w:pPr>
              <w:jc w:val="right"/>
              <w:rPr>
                <w:b/>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tcPr>
          <w:p w14:paraId="0EE26A40" w14:textId="5295719C" w:rsidR="008755B7" w:rsidRPr="00005453" w:rsidRDefault="008755B7" w:rsidP="008755B7">
            <w:pPr>
              <w:jc w:val="right"/>
              <w:rPr>
                <w:b/>
                <w:color w:val="000000"/>
                <w:sz w:val="14"/>
                <w:szCs w:val="14"/>
                <w:lang w:eastAsia="tr-TR"/>
              </w:rPr>
            </w:pPr>
          </w:p>
        </w:tc>
      </w:tr>
      <w:tr w:rsidR="008755B7" w:rsidRPr="00005453" w14:paraId="68036BB5"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F3CE56" w14:textId="77777777" w:rsidR="008755B7" w:rsidRPr="00005453" w:rsidRDefault="008755B7" w:rsidP="008755B7">
            <w:pPr>
              <w:rPr>
                <w:color w:val="000000"/>
                <w:sz w:val="14"/>
                <w:szCs w:val="14"/>
                <w:lang w:eastAsia="tr-TR"/>
              </w:rPr>
            </w:pPr>
            <w:r w:rsidRPr="00005453">
              <w:rPr>
                <w:color w:val="000000"/>
                <w:sz w:val="14"/>
                <w:szCs w:val="14"/>
                <w:lang w:eastAsia="tr-TR"/>
              </w:rPr>
              <w:t xml:space="preserve">4.1 </w:t>
            </w:r>
          </w:p>
        </w:tc>
        <w:tc>
          <w:tcPr>
            <w:tcW w:w="5533" w:type="dxa"/>
            <w:tcBorders>
              <w:top w:val="nil"/>
              <w:left w:val="single" w:sz="4" w:space="0" w:color="auto"/>
              <w:bottom w:val="nil"/>
              <w:right w:val="single" w:sz="4" w:space="0" w:color="auto"/>
            </w:tcBorders>
            <w:shd w:val="clear" w:color="auto" w:fill="auto"/>
            <w:noWrap/>
            <w:vAlign w:val="bottom"/>
            <w:hideMark/>
          </w:tcPr>
          <w:p w14:paraId="713F78C7" w14:textId="334D72FD" w:rsidR="008755B7" w:rsidRPr="00005453" w:rsidRDefault="008755B7" w:rsidP="008755B7">
            <w:pPr>
              <w:rPr>
                <w:color w:val="000000"/>
                <w:sz w:val="14"/>
                <w:szCs w:val="14"/>
                <w:lang w:eastAsia="tr-TR"/>
              </w:rPr>
            </w:pPr>
            <w:r w:rsidRPr="00005453">
              <w:rPr>
                <w:color w:val="000000"/>
                <w:sz w:val="14"/>
                <w:szCs w:val="14"/>
                <w:lang w:eastAsia="tr-TR"/>
              </w:rPr>
              <w:t xml:space="preserve">Hisse senedi sahiplerine </w:t>
            </w:r>
          </w:p>
        </w:tc>
        <w:tc>
          <w:tcPr>
            <w:tcW w:w="1276" w:type="dxa"/>
            <w:tcBorders>
              <w:top w:val="nil"/>
              <w:left w:val="single" w:sz="4" w:space="0" w:color="auto"/>
              <w:bottom w:val="nil"/>
              <w:right w:val="single" w:sz="4" w:space="0" w:color="auto"/>
            </w:tcBorders>
            <w:shd w:val="clear" w:color="auto" w:fill="auto"/>
            <w:vAlign w:val="center"/>
            <w:hideMark/>
          </w:tcPr>
          <w:p w14:paraId="2B096BB2" w14:textId="27E5F280"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37559D1" w14:textId="2FD6DD26" w:rsidR="008755B7" w:rsidRPr="00005453" w:rsidRDefault="008E6967" w:rsidP="008755B7">
            <w:pPr>
              <w:jc w:val="right"/>
              <w:rPr>
                <w:color w:val="000000"/>
                <w:sz w:val="14"/>
                <w:szCs w:val="14"/>
                <w:lang w:eastAsia="tr-TR"/>
              </w:rPr>
            </w:pPr>
            <w:r w:rsidRPr="00005453">
              <w:rPr>
                <w:color w:val="000000"/>
                <w:sz w:val="14"/>
                <w:szCs w:val="14"/>
                <w:lang w:eastAsia="tr-TR"/>
              </w:rPr>
              <w:t>0.58</w:t>
            </w:r>
          </w:p>
        </w:tc>
      </w:tr>
      <w:tr w:rsidR="008755B7" w:rsidRPr="00005453" w14:paraId="0C25899F"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647F537" w14:textId="77777777" w:rsidR="008755B7" w:rsidRPr="00005453" w:rsidRDefault="008755B7" w:rsidP="008755B7">
            <w:pPr>
              <w:rPr>
                <w:color w:val="000000"/>
                <w:sz w:val="14"/>
                <w:szCs w:val="14"/>
                <w:lang w:eastAsia="tr-TR"/>
              </w:rPr>
            </w:pPr>
            <w:r w:rsidRPr="00005453">
              <w:rPr>
                <w:color w:val="000000"/>
                <w:sz w:val="14"/>
                <w:szCs w:val="14"/>
                <w:lang w:eastAsia="tr-TR"/>
              </w:rPr>
              <w:t>4.2</w:t>
            </w:r>
          </w:p>
        </w:tc>
        <w:tc>
          <w:tcPr>
            <w:tcW w:w="5533" w:type="dxa"/>
            <w:tcBorders>
              <w:top w:val="nil"/>
              <w:left w:val="single" w:sz="4" w:space="0" w:color="auto"/>
              <w:bottom w:val="nil"/>
              <w:right w:val="single" w:sz="4" w:space="0" w:color="auto"/>
            </w:tcBorders>
            <w:shd w:val="clear" w:color="auto" w:fill="auto"/>
            <w:noWrap/>
            <w:vAlign w:val="bottom"/>
            <w:hideMark/>
          </w:tcPr>
          <w:p w14:paraId="71971F7C" w14:textId="095C86BA" w:rsidR="008755B7" w:rsidRPr="00005453" w:rsidRDefault="008755B7" w:rsidP="008755B7">
            <w:pPr>
              <w:rPr>
                <w:color w:val="000000"/>
                <w:sz w:val="14"/>
                <w:szCs w:val="14"/>
                <w:lang w:eastAsia="tr-TR"/>
              </w:rPr>
            </w:pPr>
            <w:r w:rsidRPr="00005453">
              <w:rPr>
                <w:color w:val="000000"/>
                <w:sz w:val="14"/>
                <w:szCs w:val="14"/>
                <w:lang w:eastAsia="tr-TR"/>
              </w:rPr>
              <w:t xml:space="preserve">Hisse senedi sahiplerine </w:t>
            </w:r>
            <w:proofErr w:type="gramStart"/>
            <w:r w:rsidRPr="00005453">
              <w:rPr>
                <w:color w:val="000000"/>
                <w:sz w:val="14"/>
                <w:szCs w:val="14"/>
                <w:lang w:eastAsia="tr-TR"/>
              </w:rPr>
              <w:t>( %</w:t>
            </w:r>
            <w:proofErr w:type="gramEnd"/>
            <w:r w:rsidRPr="00005453">
              <w:rPr>
                <w:color w:val="000000"/>
                <w:sz w:val="14"/>
                <w:szCs w:val="14"/>
                <w:lang w:eastAsia="tr-TR"/>
              </w:rPr>
              <w:t xml:space="preserve"> )</w:t>
            </w:r>
          </w:p>
        </w:tc>
        <w:tc>
          <w:tcPr>
            <w:tcW w:w="1276" w:type="dxa"/>
            <w:tcBorders>
              <w:top w:val="nil"/>
              <w:left w:val="single" w:sz="4" w:space="0" w:color="auto"/>
              <w:bottom w:val="nil"/>
              <w:right w:val="single" w:sz="4" w:space="0" w:color="auto"/>
            </w:tcBorders>
            <w:shd w:val="clear" w:color="auto" w:fill="auto"/>
            <w:vAlign w:val="center"/>
            <w:hideMark/>
          </w:tcPr>
          <w:p w14:paraId="4D9FD673" w14:textId="5889EEA9"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7F2E41B" w14:textId="19281827" w:rsidR="008755B7" w:rsidRPr="00005453" w:rsidRDefault="008E6967" w:rsidP="008755B7">
            <w:pPr>
              <w:jc w:val="right"/>
              <w:rPr>
                <w:color w:val="000000"/>
                <w:sz w:val="14"/>
                <w:szCs w:val="14"/>
                <w:lang w:eastAsia="tr-TR"/>
              </w:rPr>
            </w:pPr>
            <w:r w:rsidRPr="00005453">
              <w:rPr>
                <w:color w:val="000000"/>
                <w:sz w:val="14"/>
                <w:szCs w:val="14"/>
                <w:lang w:eastAsia="tr-TR"/>
              </w:rPr>
              <w:t>58</w:t>
            </w:r>
          </w:p>
        </w:tc>
      </w:tr>
      <w:tr w:rsidR="008755B7" w:rsidRPr="00005453" w14:paraId="5D6534A8"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71D59E1" w14:textId="77777777" w:rsidR="008755B7" w:rsidRPr="00005453" w:rsidRDefault="008755B7" w:rsidP="008755B7">
            <w:pPr>
              <w:rPr>
                <w:sz w:val="14"/>
                <w:szCs w:val="14"/>
                <w:lang w:eastAsia="tr-TR"/>
              </w:rPr>
            </w:pPr>
            <w:r w:rsidRPr="00005453">
              <w:rPr>
                <w:color w:val="000000"/>
                <w:sz w:val="14"/>
                <w:szCs w:val="14"/>
                <w:lang w:eastAsia="tr-TR"/>
              </w:rPr>
              <w:t>4.3</w:t>
            </w:r>
          </w:p>
        </w:tc>
        <w:tc>
          <w:tcPr>
            <w:tcW w:w="5533" w:type="dxa"/>
            <w:tcBorders>
              <w:top w:val="nil"/>
              <w:left w:val="single" w:sz="4" w:space="0" w:color="auto"/>
              <w:bottom w:val="nil"/>
              <w:right w:val="single" w:sz="4" w:space="0" w:color="auto"/>
            </w:tcBorders>
            <w:shd w:val="clear" w:color="auto" w:fill="auto"/>
            <w:noWrap/>
            <w:vAlign w:val="bottom"/>
            <w:hideMark/>
          </w:tcPr>
          <w:p w14:paraId="5C0DBA4B" w14:textId="20CC9F8F" w:rsidR="008755B7" w:rsidRPr="00005453" w:rsidRDefault="008755B7" w:rsidP="008755B7">
            <w:pPr>
              <w:rPr>
                <w:color w:val="000000"/>
                <w:sz w:val="14"/>
                <w:szCs w:val="14"/>
                <w:lang w:eastAsia="tr-TR"/>
              </w:rPr>
            </w:pPr>
            <w:r w:rsidRPr="00005453">
              <w:rPr>
                <w:color w:val="000000"/>
                <w:sz w:val="14"/>
                <w:szCs w:val="14"/>
                <w:lang w:eastAsia="tr-TR"/>
              </w:rPr>
              <w:t xml:space="preserve">İmtiyazlı hisse senedi sahiplerine </w:t>
            </w:r>
          </w:p>
        </w:tc>
        <w:tc>
          <w:tcPr>
            <w:tcW w:w="1276" w:type="dxa"/>
            <w:tcBorders>
              <w:top w:val="nil"/>
              <w:left w:val="single" w:sz="4" w:space="0" w:color="auto"/>
              <w:bottom w:val="nil"/>
              <w:right w:val="single" w:sz="4" w:space="0" w:color="auto"/>
            </w:tcBorders>
            <w:shd w:val="clear" w:color="auto" w:fill="auto"/>
            <w:vAlign w:val="center"/>
            <w:hideMark/>
          </w:tcPr>
          <w:p w14:paraId="15B0B9DF" w14:textId="0FBAAE6B"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7D765B2" w14:textId="1825463E"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8755B7" w:rsidRPr="00005453" w14:paraId="6458E4BA" w14:textId="77777777" w:rsidTr="008E6967">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EA1E674" w14:textId="77777777" w:rsidR="008755B7" w:rsidRPr="00005453" w:rsidRDefault="008755B7" w:rsidP="008755B7">
            <w:pPr>
              <w:rPr>
                <w:color w:val="000000"/>
                <w:sz w:val="14"/>
                <w:szCs w:val="14"/>
                <w:lang w:eastAsia="tr-TR"/>
              </w:rPr>
            </w:pPr>
            <w:r w:rsidRPr="00005453">
              <w:rPr>
                <w:color w:val="000000"/>
                <w:sz w:val="14"/>
                <w:szCs w:val="14"/>
                <w:lang w:eastAsia="tr-TR"/>
              </w:rPr>
              <w:t>4.4</w:t>
            </w:r>
          </w:p>
        </w:tc>
        <w:tc>
          <w:tcPr>
            <w:tcW w:w="5533" w:type="dxa"/>
            <w:tcBorders>
              <w:top w:val="nil"/>
              <w:left w:val="single" w:sz="4" w:space="0" w:color="auto"/>
              <w:bottom w:val="nil"/>
              <w:right w:val="single" w:sz="4" w:space="0" w:color="auto"/>
            </w:tcBorders>
            <w:shd w:val="clear" w:color="auto" w:fill="auto"/>
            <w:noWrap/>
            <w:vAlign w:val="bottom"/>
            <w:hideMark/>
          </w:tcPr>
          <w:p w14:paraId="7412A650" w14:textId="7EC1E9BC" w:rsidR="008755B7" w:rsidRPr="00005453" w:rsidRDefault="008755B7" w:rsidP="008755B7">
            <w:pPr>
              <w:rPr>
                <w:color w:val="000000"/>
                <w:sz w:val="14"/>
                <w:szCs w:val="14"/>
                <w:lang w:eastAsia="tr-TR"/>
              </w:rPr>
            </w:pPr>
            <w:r w:rsidRPr="00005453">
              <w:rPr>
                <w:color w:val="000000"/>
                <w:sz w:val="14"/>
                <w:szCs w:val="14"/>
                <w:lang w:eastAsia="tr-TR"/>
              </w:rPr>
              <w:t xml:space="preserve">İmtiyazlı hisse senedi sahiplerine </w:t>
            </w:r>
            <w:proofErr w:type="gramStart"/>
            <w:r w:rsidRPr="00005453">
              <w:rPr>
                <w:color w:val="000000"/>
                <w:sz w:val="14"/>
                <w:szCs w:val="14"/>
                <w:lang w:eastAsia="tr-TR"/>
              </w:rPr>
              <w:t>( %</w:t>
            </w:r>
            <w:proofErr w:type="gramEnd"/>
            <w:r w:rsidRPr="00005453">
              <w:rPr>
                <w:color w:val="000000"/>
                <w:sz w:val="14"/>
                <w:szCs w:val="14"/>
                <w:lang w:eastAsia="tr-TR"/>
              </w:rPr>
              <w:t xml:space="preserve"> )</w:t>
            </w:r>
          </w:p>
        </w:tc>
        <w:tc>
          <w:tcPr>
            <w:tcW w:w="1276" w:type="dxa"/>
            <w:tcBorders>
              <w:top w:val="nil"/>
              <w:left w:val="single" w:sz="4" w:space="0" w:color="auto"/>
              <w:bottom w:val="nil"/>
              <w:right w:val="single" w:sz="4" w:space="0" w:color="auto"/>
            </w:tcBorders>
            <w:shd w:val="clear" w:color="auto" w:fill="auto"/>
            <w:vAlign w:val="center"/>
            <w:hideMark/>
          </w:tcPr>
          <w:p w14:paraId="0A83316B" w14:textId="3686917D" w:rsidR="008755B7" w:rsidRPr="00005453" w:rsidRDefault="008755B7" w:rsidP="008755B7">
            <w:pPr>
              <w:jc w:val="right"/>
              <w:rPr>
                <w:color w:val="000000"/>
                <w:sz w:val="14"/>
                <w:szCs w:val="14"/>
                <w:lang w:eastAsia="tr-TR"/>
              </w:rPr>
            </w:pPr>
            <w:r w:rsidRPr="00005453">
              <w:rPr>
                <w:color w:val="000000"/>
                <w:sz w:val="14"/>
                <w:szCs w:val="14"/>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60B8E24" w14:textId="6A9EA2EF" w:rsidR="008755B7" w:rsidRPr="00005453" w:rsidRDefault="008755B7" w:rsidP="008755B7">
            <w:pPr>
              <w:jc w:val="right"/>
              <w:rPr>
                <w:color w:val="000000"/>
                <w:sz w:val="14"/>
                <w:szCs w:val="14"/>
                <w:lang w:eastAsia="tr-TR"/>
              </w:rPr>
            </w:pPr>
            <w:r w:rsidRPr="00005453">
              <w:rPr>
                <w:color w:val="000000"/>
                <w:sz w:val="14"/>
                <w:szCs w:val="14"/>
                <w:lang w:eastAsia="tr-TR"/>
              </w:rPr>
              <w:t>-</w:t>
            </w:r>
          </w:p>
        </w:tc>
      </w:tr>
      <w:tr w:rsidR="004A2668" w:rsidRPr="00005453" w14:paraId="0EF8CBFA" w14:textId="77777777" w:rsidTr="008E6967">
        <w:trPr>
          <w:divId w:val="1224214583"/>
          <w:trHeight w:val="72"/>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14B91C1" w14:textId="77777777" w:rsidR="004A2668" w:rsidRPr="00005453" w:rsidRDefault="004A2668" w:rsidP="004A2668">
            <w:pPr>
              <w:jc w:val="right"/>
              <w:rPr>
                <w:sz w:val="14"/>
                <w:szCs w:val="14"/>
                <w:lang w:eastAsia="tr-TR"/>
              </w:rPr>
            </w:pPr>
          </w:p>
        </w:tc>
        <w:tc>
          <w:tcPr>
            <w:tcW w:w="5533" w:type="dxa"/>
            <w:tcBorders>
              <w:top w:val="nil"/>
              <w:left w:val="single" w:sz="4" w:space="0" w:color="auto"/>
              <w:bottom w:val="single" w:sz="4" w:space="0" w:color="auto"/>
              <w:right w:val="single" w:sz="4" w:space="0" w:color="auto"/>
            </w:tcBorders>
            <w:shd w:val="clear" w:color="auto" w:fill="auto"/>
            <w:vAlign w:val="center"/>
            <w:hideMark/>
          </w:tcPr>
          <w:p w14:paraId="0B237F52" w14:textId="77777777" w:rsidR="004A2668" w:rsidRPr="00005453" w:rsidRDefault="004A2668" w:rsidP="004A2668">
            <w:pPr>
              <w:rPr>
                <w:color w:val="000000"/>
                <w:sz w:val="14"/>
                <w:szCs w:val="14"/>
                <w:lang w:eastAsia="tr-TR"/>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6BD816F9" w14:textId="77777777" w:rsidR="004A2668" w:rsidRPr="00005453" w:rsidRDefault="004A2668" w:rsidP="004A2668">
            <w:pPr>
              <w:rPr>
                <w:sz w:val="14"/>
                <w:szCs w:val="14"/>
                <w:lang w:eastAsia="tr-TR"/>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BF63269" w14:textId="77777777" w:rsidR="004A2668" w:rsidRPr="00005453" w:rsidRDefault="004A2668" w:rsidP="004A2668">
            <w:pPr>
              <w:jc w:val="right"/>
              <w:rPr>
                <w:sz w:val="14"/>
                <w:szCs w:val="14"/>
                <w:lang w:eastAsia="tr-TR"/>
              </w:rPr>
            </w:pPr>
          </w:p>
        </w:tc>
      </w:tr>
    </w:tbl>
    <w:p w14:paraId="58CFD71A" w14:textId="35E0C6FB" w:rsidR="00674E29" w:rsidRPr="00005453" w:rsidRDefault="00674E29" w:rsidP="00674E29">
      <w:pPr>
        <w:autoSpaceDE w:val="0"/>
        <w:autoSpaceDN w:val="0"/>
        <w:adjustRightInd w:val="0"/>
        <w:ind w:left="284" w:right="-449" w:hanging="284"/>
        <w:rPr>
          <w:rFonts w:eastAsia="Arial Unicode MS"/>
          <w:sz w:val="10"/>
          <w:szCs w:val="10"/>
        </w:rPr>
      </w:pPr>
    </w:p>
    <w:p w14:paraId="387BF1AA" w14:textId="77777777" w:rsidR="00674E29" w:rsidRPr="00005453" w:rsidRDefault="00674E29" w:rsidP="00674E29">
      <w:pPr>
        <w:autoSpaceDE w:val="0"/>
        <w:autoSpaceDN w:val="0"/>
        <w:adjustRightInd w:val="0"/>
        <w:ind w:left="284" w:right="-449" w:hanging="284"/>
        <w:rPr>
          <w:sz w:val="14"/>
          <w:szCs w:val="14"/>
        </w:rPr>
      </w:pPr>
      <w:r w:rsidRPr="00005453">
        <w:rPr>
          <w:sz w:val="14"/>
          <w:szCs w:val="14"/>
        </w:rPr>
        <w:t xml:space="preserve">(*) </w:t>
      </w:r>
      <w:r w:rsidRPr="00005453">
        <w:rPr>
          <w:sz w:val="14"/>
          <w:szCs w:val="14"/>
        </w:rPr>
        <w:tab/>
        <w:t>Kar dağıtımı, Banka Genel Kurulu tarafından kararlaştırılmakta olup finansal tabloların düzenlendiği tarih itibarıyla Genel Kurul toplantısı henüz gerçekleştirilmemiştir.</w:t>
      </w:r>
    </w:p>
    <w:p w14:paraId="0E4E464B" w14:textId="6A06520A" w:rsidR="00674E29" w:rsidRPr="00005453" w:rsidRDefault="008D539E" w:rsidP="003161D5">
      <w:pPr>
        <w:autoSpaceDE w:val="0"/>
        <w:autoSpaceDN w:val="0"/>
        <w:adjustRightInd w:val="0"/>
        <w:ind w:left="284" w:right="-449" w:hanging="284"/>
        <w:rPr>
          <w:sz w:val="14"/>
          <w:szCs w:val="14"/>
        </w:rPr>
      </w:pPr>
      <w:r w:rsidRPr="00005453">
        <w:rPr>
          <w:sz w:val="14"/>
          <w:szCs w:val="14"/>
        </w:rPr>
        <w:t>(**)   Diğer vergi ve yasal yükümlülükleri satırında gösterilen tutar ertelenmiş vergi geliri/gideridir.</w:t>
      </w:r>
    </w:p>
    <w:p w14:paraId="43685BA8" w14:textId="7AE31C00" w:rsidR="009A0FE6" w:rsidRPr="00005453" w:rsidRDefault="009A0FE6" w:rsidP="00674E29">
      <w:pPr>
        <w:ind w:left="142"/>
        <w:jc w:val="both"/>
        <w:rPr>
          <w:sz w:val="14"/>
          <w:szCs w:val="14"/>
        </w:rPr>
      </w:pPr>
    </w:p>
    <w:p w14:paraId="4DF29256" w14:textId="6DE4BD7D" w:rsidR="00830DC1" w:rsidRPr="00005453" w:rsidRDefault="00830DC1" w:rsidP="00674E29">
      <w:pPr>
        <w:ind w:left="142"/>
        <w:jc w:val="both"/>
        <w:rPr>
          <w:sz w:val="14"/>
          <w:szCs w:val="14"/>
        </w:rPr>
      </w:pPr>
    </w:p>
    <w:p w14:paraId="7B4652DA" w14:textId="53E56B82" w:rsidR="00830DC1" w:rsidRPr="00005453" w:rsidRDefault="00830DC1" w:rsidP="00674E29">
      <w:pPr>
        <w:ind w:left="142"/>
        <w:jc w:val="both"/>
        <w:rPr>
          <w:sz w:val="14"/>
          <w:szCs w:val="14"/>
        </w:rPr>
      </w:pPr>
    </w:p>
    <w:p w14:paraId="235A2CE0" w14:textId="55784E43" w:rsidR="00830DC1" w:rsidRPr="00005453" w:rsidRDefault="00830DC1" w:rsidP="00674E29">
      <w:pPr>
        <w:ind w:left="142"/>
        <w:jc w:val="both"/>
        <w:rPr>
          <w:sz w:val="14"/>
          <w:szCs w:val="14"/>
        </w:rPr>
      </w:pPr>
    </w:p>
    <w:p w14:paraId="035F45B9" w14:textId="79027477" w:rsidR="00830DC1" w:rsidRPr="00005453" w:rsidRDefault="00830DC1" w:rsidP="00674E29">
      <w:pPr>
        <w:ind w:left="142"/>
        <w:jc w:val="both"/>
        <w:rPr>
          <w:sz w:val="14"/>
          <w:szCs w:val="14"/>
        </w:rPr>
      </w:pPr>
    </w:p>
    <w:p w14:paraId="6E3AE427" w14:textId="644F8DCC" w:rsidR="00830DC1" w:rsidRPr="00005453" w:rsidRDefault="00830DC1" w:rsidP="00674E29">
      <w:pPr>
        <w:ind w:left="142"/>
        <w:jc w:val="both"/>
        <w:rPr>
          <w:sz w:val="14"/>
          <w:szCs w:val="14"/>
        </w:rPr>
      </w:pPr>
    </w:p>
    <w:p w14:paraId="5AFFBF06" w14:textId="0DBFE776" w:rsidR="00830DC1" w:rsidRPr="00005453" w:rsidRDefault="00830DC1" w:rsidP="00674E29">
      <w:pPr>
        <w:ind w:left="142"/>
        <w:jc w:val="both"/>
        <w:rPr>
          <w:sz w:val="14"/>
          <w:szCs w:val="14"/>
        </w:rPr>
      </w:pPr>
    </w:p>
    <w:p w14:paraId="161F5FEE" w14:textId="4AAC309B" w:rsidR="00220A2F" w:rsidRPr="00005453" w:rsidRDefault="00220A2F" w:rsidP="00674E29">
      <w:pPr>
        <w:ind w:left="142"/>
        <w:jc w:val="both"/>
        <w:rPr>
          <w:sz w:val="14"/>
          <w:szCs w:val="14"/>
        </w:rPr>
      </w:pPr>
    </w:p>
    <w:p w14:paraId="4AD17F0D" w14:textId="62040045" w:rsidR="00220A2F" w:rsidRPr="00005453" w:rsidRDefault="00220A2F" w:rsidP="00674E29">
      <w:pPr>
        <w:ind w:left="142"/>
        <w:jc w:val="both"/>
        <w:rPr>
          <w:sz w:val="14"/>
          <w:szCs w:val="14"/>
        </w:rPr>
      </w:pPr>
    </w:p>
    <w:p w14:paraId="669346A1" w14:textId="77777777" w:rsidR="00220A2F" w:rsidRPr="00005453" w:rsidRDefault="00220A2F" w:rsidP="00674E29">
      <w:pPr>
        <w:ind w:left="142"/>
        <w:jc w:val="both"/>
        <w:rPr>
          <w:sz w:val="14"/>
          <w:szCs w:val="14"/>
        </w:rPr>
      </w:pPr>
    </w:p>
    <w:p w14:paraId="63058AF1" w14:textId="77777777" w:rsidR="00994629" w:rsidRPr="00005453" w:rsidRDefault="00994629" w:rsidP="00674E29">
      <w:pPr>
        <w:ind w:left="142"/>
        <w:jc w:val="center"/>
        <w:rPr>
          <w:bCs/>
          <w:i/>
          <w:iCs/>
          <w:sz w:val="14"/>
          <w:szCs w:val="14"/>
        </w:rPr>
      </w:pPr>
    </w:p>
    <w:p w14:paraId="0ECD6BDB" w14:textId="77777777" w:rsidR="00994629" w:rsidRPr="00005453" w:rsidRDefault="00994629" w:rsidP="00674E29">
      <w:pPr>
        <w:ind w:left="142"/>
        <w:jc w:val="center"/>
        <w:rPr>
          <w:bCs/>
          <w:i/>
          <w:iCs/>
          <w:sz w:val="14"/>
          <w:szCs w:val="14"/>
        </w:rPr>
      </w:pPr>
    </w:p>
    <w:p w14:paraId="573BEED9" w14:textId="7973065F" w:rsidR="00994629" w:rsidRDefault="00994629" w:rsidP="00674E29">
      <w:pPr>
        <w:ind w:left="142"/>
        <w:jc w:val="center"/>
        <w:rPr>
          <w:bCs/>
          <w:i/>
          <w:iCs/>
          <w:sz w:val="14"/>
          <w:szCs w:val="14"/>
        </w:rPr>
      </w:pPr>
    </w:p>
    <w:p w14:paraId="5D8C03F6" w14:textId="77777777" w:rsidR="005F6E0A" w:rsidRPr="00005453" w:rsidRDefault="005F6E0A" w:rsidP="00674E29">
      <w:pPr>
        <w:ind w:left="142"/>
        <w:jc w:val="center"/>
        <w:rPr>
          <w:bCs/>
          <w:i/>
          <w:iCs/>
          <w:sz w:val="14"/>
          <w:szCs w:val="14"/>
        </w:rPr>
      </w:pPr>
    </w:p>
    <w:p w14:paraId="06848EB6" w14:textId="77777777" w:rsidR="00994629" w:rsidRPr="00005453" w:rsidRDefault="00994629" w:rsidP="00674E29">
      <w:pPr>
        <w:ind w:left="142"/>
        <w:jc w:val="center"/>
        <w:rPr>
          <w:bCs/>
          <w:i/>
          <w:iCs/>
          <w:sz w:val="14"/>
          <w:szCs w:val="14"/>
        </w:rPr>
      </w:pPr>
    </w:p>
    <w:p w14:paraId="537A580C" w14:textId="77777777" w:rsidR="00994629" w:rsidRPr="00005453" w:rsidRDefault="00994629" w:rsidP="00674E29">
      <w:pPr>
        <w:ind w:left="142"/>
        <w:jc w:val="center"/>
        <w:rPr>
          <w:bCs/>
          <w:i/>
          <w:iCs/>
          <w:sz w:val="14"/>
          <w:szCs w:val="14"/>
        </w:rPr>
      </w:pPr>
    </w:p>
    <w:p w14:paraId="22905683" w14:textId="77777777" w:rsidR="00994629" w:rsidRPr="00005453" w:rsidRDefault="00994629" w:rsidP="00674E29">
      <w:pPr>
        <w:ind w:left="142"/>
        <w:jc w:val="center"/>
        <w:rPr>
          <w:bCs/>
          <w:i/>
          <w:iCs/>
          <w:sz w:val="14"/>
          <w:szCs w:val="14"/>
        </w:rPr>
      </w:pPr>
    </w:p>
    <w:p w14:paraId="20BEF385" w14:textId="77777777" w:rsidR="00994629" w:rsidRPr="00005453" w:rsidRDefault="00994629" w:rsidP="00674E29">
      <w:pPr>
        <w:ind w:left="142"/>
        <w:jc w:val="center"/>
        <w:rPr>
          <w:bCs/>
          <w:i/>
          <w:iCs/>
          <w:sz w:val="14"/>
          <w:szCs w:val="14"/>
        </w:rPr>
      </w:pPr>
    </w:p>
    <w:p w14:paraId="4DA95E1A" w14:textId="77777777" w:rsidR="00994629" w:rsidRPr="00005453" w:rsidRDefault="00994629" w:rsidP="00674E29">
      <w:pPr>
        <w:ind w:left="142"/>
        <w:jc w:val="center"/>
        <w:rPr>
          <w:bCs/>
          <w:i/>
          <w:iCs/>
          <w:sz w:val="14"/>
          <w:szCs w:val="14"/>
        </w:rPr>
      </w:pPr>
    </w:p>
    <w:p w14:paraId="14D09D35" w14:textId="77777777" w:rsidR="00994629" w:rsidRPr="00005453" w:rsidRDefault="00994629" w:rsidP="00674E29">
      <w:pPr>
        <w:ind w:left="142"/>
        <w:jc w:val="center"/>
        <w:rPr>
          <w:bCs/>
          <w:i/>
          <w:iCs/>
          <w:sz w:val="14"/>
          <w:szCs w:val="14"/>
        </w:rPr>
      </w:pPr>
    </w:p>
    <w:p w14:paraId="04E20080" w14:textId="77777777" w:rsidR="00994629" w:rsidRPr="00005453" w:rsidRDefault="00994629" w:rsidP="00674E29">
      <w:pPr>
        <w:ind w:left="142"/>
        <w:jc w:val="center"/>
        <w:rPr>
          <w:bCs/>
          <w:i/>
          <w:iCs/>
          <w:sz w:val="14"/>
          <w:szCs w:val="14"/>
        </w:rPr>
      </w:pPr>
    </w:p>
    <w:p w14:paraId="4FE2068A" w14:textId="6D39E306" w:rsidR="00674E29" w:rsidRPr="00005453" w:rsidRDefault="00674E29" w:rsidP="00674E29">
      <w:pPr>
        <w:ind w:left="142"/>
        <w:jc w:val="center"/>
        <w:rPr>
          <w:bCs/>
          <w:i/>
          <w:iCs/>
          <w:sz w:val="14"/>
          <w:szCs w:val="14"/>
        </w:rPr>
        <w:sectPr w:rsidR="00674E29" w:rsidRPr="00005453" w:rsidSect="00BA357F">
          <w:headerReference w:type="default" r:id="rId36"/>
          <w:footerReference w:type="default" r:id="rId37"/>
          <w:pgSz w:w="11906" w:h="16838"/>
          <w:pgMar w:top="1273" w:right="1417" w:bottom="1417" w:left="1440" w:header="708" w:footer="708" w:gutter="0"/>
          <w:cols w:space="708"/>
          <w:docGrid w:linePitch="360"/>
        </w:sectPr>
      </w:pPr>
      <w:r w:rsidRPr="00005453">
        <w:rPr>
          <w:bCs/>
          <w:i/>
          <w:iCs/>
          <w:sz w:val="14"/>
          <w:szCs w:val="14"/>
        </w:rPr>
        <w:t>İlişikteki notlar bu finansal tabloların tamamlayıcı parçalarıdır.</w:t>
      </w:r>
    </w:p>
    <w:p w14:paraId="646F952D" w14:textId="77777777" w:rsidR="00377D13" w:rsidRPr="00005453" w:rsidRDefault="00377D13" w:rsidP="00BD1BED">
      <w:pPr>
        <w:pStyle w:val="Heading5"/>
        <w:spacing w:line="230" w:lineRule="auto"/>
        <w:jc w:val="center"/>
        <w:rPr>
          <w:color w:val="000000"/>
          <w:sz w:val="24"/>
        </w:rPr>
      </w:pPr>
      <w:bookmarkStart w:id="12" w:name="_Hlk93046723"/>
      <w:r w:rsidRPr="00005453">
        <w:rPr>
          <w:color w:val="000000"/>
          <w:sz w:val="24"/>
        </w:rPr>
        <w:lastRenderedPageBreak/>
        <w:t>ÜÇÜNCÜ BÖLÜM</w:t>
      </w:r>
    </w:p>
    <w:p w14:paraId="27BAB9DD" w14:textId="77777777" w:rsidR="00377D13" w:rsidRPr="00005453" w:rsidRDefault="00377D13" w:rsidP="00152E65">
      <w:pPr>
        <w:spacing w:line="230" w:lineRule="auto"/>
        <w:jc w:val="center"/>
        <w:rPr>
          <w:color w:val="000000"/>
          <w:sz w:val="12"/>
        </w:rPr>
      </w:pPr>
    </w:p>
    <w:p w14:paraId="417916F2" w14:textId="77777777" w:rsidR="00377D13" w:rsidRPr="00005453" w:rsidRDefault="00377D13" w:rsidP="00152E65">
      <w:pPr>
        <w:pStyle w:val="Heading5"/>
        <w:spacing w:line="230" w:lineRule="auto"/>
        <w:ind w:left="0" w:firstLine="0"/>
        <w:jc w:val="center"/>
        <w:rPr>
          <w:color w:val="000000"/>
          <w:spacing w:val="-6"/>
          <w:sz w:val="24"/>
        </w:rPr>
      </w:pPr>
      <w:r w:rsidRPr="00005453">
        <w:rPr>
          <w:color w:val="000000"/>
          <w:spacing w:val="-6"/>
          <w:sz w:val="24"/>
        </w:rPr>
        <w:t>İLGİLİ DÖNEMDE UYGULANAN MUHASEBE POLİTİKALARINA İLİŞKİN AÇIKLAMALAR</w:t>
      </w:r>
    </w:p>
    <w:p w14:paraId="5D721C93" w14:textId="77777777" w:rsidR="00377D13" w:rsidRPr="00005453" w:rsidRDefault="00377D13" w:rsidP="00152E65">
      <w:pPr>
        <w:autoSpaceDE w:val="0"/>
        <w:autoSpaceDN w:val="0"/>
        <w:adjustRightInd w:val="0"/>
        <w:spacing w:line="230" w:lineRule="auto"/>
      </w:pPr>
    </w:p>
    <w:p w14:paraId="7DBF2B5C" w14:textId="77777777" w:rsidR="00377D13" w:rsidRPr="00005453" w:rsidRDefault="00377D13" w:rsidP="00152E65">
      <w:pPr>
        <w:tabs>
          <w:tab w:val="left" w:pos="709"/>
          <w:tab w:val="left" w:pos="851"/>
        </w:tabs>
        <w:autoSpaceDE w:val="0"/>
        <w:autoSpaceDN w:val="0"/>
        <w:adjustRightInd w:val="0"/>
        <w:spacing w:line="230" w:lineRule="auto"/>
        <w:ind w:hanging="567"/>
        <w:rPr>
          <w:b/>
        </w:rPr>
      </w:pPr>
      <w:r w:rsidRPr="00005453">
        <w:rPr>
          <w:b/>
        </w:rPr>
        <w:t xml:space="preserve">1.      </w:t>
      </w:r>
      <w:r w:rsidRPr="00005453">
        <w:rPr>
          <w:b/>
        </w:rPr>
        <w:tab/>
        <w:t>Sunum esaslarına ilişkin açıklamalar</w:t>
      </w:r>
    </w:p>
    <w:p w14:paraId="29EF6135" w14:textId="77777777" w:rsidR="00377D13" w:rsidRPr="00005453" w:rsidRDefault="00377D13" w:rsidP="00152E65">
      <w:pPr>
        <w:autoSpaceDE w:val="0"/>
        <w:autoSpaceDN w:val="0"/>
        <w:adjustRightInd w:val="0"/>
        <w:spacing w:line="230" w:lineRule="auto"/>
        <w:ind w:left="-360"/>
        <w:rPr>
          <w:b/>
        </w:rPr>
      </w:pPr>
    </w:p>
    <w:p w14:paraId="5F710099" w14:textId="133FE25D" w:rsidR="00377D13" w:rsidRPr="00005453" w:rsidRDefault="00377D13" w:rsidP="00152E65">
      <w:pPr>
        <w:pStyle w:val="BodyTextIndent"/>
        <w:autoSpaceDE/>
        <w:autoSpaceDN/>
        <w:adjustRightInd/>
        <w:spacing w:line="230" w:lineRule="auto"/>
        <w:ind w:left="0" w:hanging="567"/>
        <w:rPr>
          <w:b/>
        </w:rPr>
      </w:pPr>
      <w:r w:rsidRPr="00005453">
        <w:rPr>
          <w:b/>
        </w:rPr>
        <w:t xml:space="preserve">1.1    </w:t>
      </w:r>
      <w:r w:rsidRPr="00005453">
        <w:rPr>
          <w:b/>
        </w:rPr>
        <w:tab/>
        <w:t xml:space="preserve">Finansal tablolar ile bunlara ilişkin açıklama ve dipnotların Türkiye </w:t>
      </w:r>
      <w:r w:rsidR="00AE2CFA" w:rsidRPr="00005453">
        <w:rPr>
          <w:b/>
        </w:rPr>
        <w:t xml:space="preserve">muhasebe standartları ve bankaların muhasebe uygulamalarına ve belgelerin saklanmasına ilişkin usul ve esaslar hakkında yönetmeliğe </w:t>
      </w:r>
      <w:r w:rsidRPr="00005453">
        <w:rPr>
          <w:b/>
        </w:rPr>
        <w:t>uygun olarak hazırlanması</w:t>
      </w:r>
    </w:p>
    <w:p w14:paraId="0D30DF54" w14:textId="77777777" w:rsidR="00377D13" w:rsidRPr="00005453" w:rsidRDefault="00377D13" w:rsidP="00152E65">
      <w:pPr>
        <w:pStyle w:val="BodyText"/>
        <w:tabs>
          <w:tab w:val="left" w:pos="540"/>
        </w:tabs>
        <w:spacing w:line="230" w:lineRule="auto"/>
        <w:jc w:val="left"/>
        <w:rPr>
          <w:sz w:val="10"/>
          <w:szCs w:val="12"/>
        </w:rPr>
      </w:pPr>
    </w:p>
    <w:p w14:paraId="26F442A7" w14:textId="58C1D962" w:rsidR="00377D13" w:rsidRPr="00005453" w:rsidRDefault="00377D13" w:rsidP="00152E65">
      <w:pPr>
        <w:autoSpaceDE w:val="0"/>
        <w:autoSpaceDN w:val="0"/>
        <w:spacing w:line="230" w:lineRule="auto"/>
        <w:jc w:val="both"/>
        <w:rPr>
          <w:color w:val="000000"/>
        </w:rPr>
      </w:pPr>
      <w:r w:rsidRPr="00005453">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03ADCFCC" w14:textId="77777777" w:rsidR="00377D13" w:rsidRPr="00005453" w:rsidRDefault="00377D13" w:rsidP="00152E65">
      <w:pPr>
        <w:spacing w:line="230" w:lineRule="auto"/>
        <w:jc w:val="both"/>
      </w:pPr>
    </w:p>
    <w:p w14:paraId="3E097164" w14:textId="77777777" w:rsidR="00377D13" w:rsidRPr="00005453" w:rsidRDefault="00377D13" w:rsidP="00152E65">
      <w:pPr>
        <w:pStyle w:val="BodyTextIndent"/>
        <w:autoSpaceDE/>
        <w:autoSpaceDN/>
        <w:adjustRightInd/>
        <w:spacing w:line="230" w:lineRule="auto"/>
        <w:ind w:left="0" w:hanging="567"/>
        <w:jc w:val="left"/>
        <w:rPr>
          <w:b/>
        </w:rPr>
      </w:pPr>
      <w:bookmarkStart w:id="13" w:name="_Hlk46745405"/>
      <w:r w:rsidRPr="00005453">
        <w:rPr>
          <w:b/>
        </w:rPr>
        <w:t xml:space="preserve">1.2    </w:t>
      </w:r>
      <w:r w:rsidRPr="00005453">
        <w:rPr>
          <w:b/>
        </w:rPr>
        <w:tab/>
        <w:t>Finansal tabloların hazırlanmasında izlenen muhasebe politikaları ve kullanılan değerleme esasları</w:t>
      </w:r>
    </w:p>
    <w:p w14:paraId="0B4FF095" w14:textId="77777777" w:rsidR="00377D13" w:rsidRPr="00005453" w:rsidRDefault="00377D13" w:rsidP="00152E65">
      <w:pPr>
        <w:pStyle w:val="BodyText"/>
        <w:tabs>
          <w:tab w:val="left" w:pos="567"/>
        </w:tabs>
        <w:autoSpaceDE/>
        <w:autoSpaceDN/>
        <w:adjustRightInd/>
        <w:spacing w:line="230" w:lineRule="auto"/>
        <w:jc w:val="left"/>
        <w:rPr>
          <w:sz w:val="10"/>
        </w:rPr>
      </w:pPr>
    </w:p>
    <w:bookmarkEnd w:id="13"/>
    <w:p w14:paraId="14CD4326" w14:textId="77777777" w:rsidR="00377D13" w:rsidRPr="00005453" w:rsidRDefault="00377D13" w:rsidP="00152E65">
      <w:pPr>
        <w:pStyle w:val="BodyText"/>
        <w:spacing w:line="230" w:lineRule="auto"/>
      </w:pPr>
      <w:r w:rsidRPr="00005453">
        <w:t xml:space="preserve">Finansal tablolar, gerçeğe uygun değeri ile değerlenen gerçeğe uygun değer farkı </w:t>
      </w:r>
      <w:proofErr w:type="gramStart"/>
      <w:r w:rsidRPr="00005453">
        <w:t>kar</w:t>
      </w:r>
      <w:proofErr w:type="gramEnd"/>
      <w:r w:rsidRPr="00005453">
        <w:t xml:space="preserve"> zarara yansıtılan finansal araçlar, gerçeğe uygun değer farkı diğer kapsamlı gelire yansıtılan finansal varlıklar ve yükümlülükler dışında tarihi maliyet esasına göre hazırlanmaktadır.</w:t>
      </w:r>
    </w:p>
    <w:p w14:paraId="2195B311" w14:textId="77777777" w:rsidR="00377D13" w:rsidRPr="00005453" w:rsidRDefault="00377D13" w:rsidP="00152E65">
      <w:pPr>
        <w:pStyle w:val="BodyText"/>
        <w:spacing w:line="230" w:lineRule="auto"/>
        <w:rPr>
          <w:sz w:val="16"/>
          <w:szCs w:val="16"/>
        </w:rPr>
      </w:pPr>
    </w:p>
    <w:p w14:paraId="070357BD" w14:textId="77777777" w:rsidR="00377D13" w:rsidRPr="00005453" w:rsidRDefault="00377D13" w:rsidP="00152E65">
      <w:pPr>
        <w:pStyle w:val="BodyText"/>
        <w:spacing w:line="230" w:lineRule="auto"/>
      </w:pPr>
      <w:r w:rsidRPr="00005453">
        <w:t>Finansal tabloların BDDK Muhasebe ve Finansal Raporlama Mevzuatı’na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005453">
        <w:tab/>
      </w:r>
    </w:p>
    <w:p w14:paraId="5AE30058" w14:textId="77777777" w:rsidR="00085FC2" w:rsidRPr="00005453" w:rsidRDefault="00085FC2" w:rsidP="00152E65">
      <w:pPr>
        <w:pStyle w:val="BodyText"/>
        <w:spacing w:line="230" w:lineRule="auto"/>
      </w:pPr>
    </w:p>
    <w:p w14:paraId="5E5D032F" w14:textId="15A7EBFC" w:rsidR="00060535" w:rsidRDefault="00060535" w:rsidP="00060535">
      <w:pPr>
        <w:pStyle w:val="BodyTextIndent"/>
        <w:autoSpaceDE/>
        <w:autoSpaceDN/>
        <w:adjustRightInd/>
        <w:spacing w:line="230" w:lineRule="auto"/>
        <w:ind w:left="0" w:hanging="567"/>
      </w:pPr>
      <w:r>
        <w:t xml:space="preserve">           </w:t>
      </w:r>
      <w:bookmarkStart w:id="14" w:name="_Hlk190254060"/>
      <w:r>
        <w:t>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Banka, 31 Aralık 2024 tarihinde sona eren döneme ait finansal tablolarında TMS 29 enflasyon muhasebesini uygulamamıştır</w:t>
      </w:r>
      <w:bookmarkEnd w:id="14"/>
      <w:r>
        <w:t>.</w:t>
      </w:r>
    </w:p>
    <w:p w14:paraId="686B448B" w14:textId="77777777" w:rsidR="00060535" w:rsidRDefault="00060535" w:rsidP="00152E65">
      <w:pPr>
        <w:pStyle w:val="BodyTextIndent"/>
        <w:autoSpaceDE/>
        <w:autoSpaceDN/>
        <w:adjustRightInd/>
        <w:spacing w:line="230" w:lineRule="auto"/>
        <w:ind w:left="0" w:hanging="567"/>
        <w:jc w:val="left"/>
      </w:pPr>
    </w:p>
    <w:p w14:paraId="6BCAC1C5" w14:textId="31501610" w:rsidR="00377D13" w:rsidRPr="00005453" w:rsidRDefault="00377D13" w:rsidP="00152E65">
      <w:pPr>
        <w:pStyle w:val="BodyTextIndent"/>
        <w:autoSpaceDE/>
        <w:autoSpaceDN/>
        <w:adjustRightInd/>
        <w:spacing w:line="230" w:lineRule="auto"/>
        <w:ind w:left="0" w:hanging="567"/>
        <w:jc w:val="left"/>
        <w:rPr>
          <w:b/>
        </w:rPr>
      </w:pPr>
      <w:r w:rsidRPr="00005453">
        <w:rPr>
          <w:b/>
        </w:rPr>
        <w:t>1.3</w:t>
      </w:r>
      <w:r w:rsidRPr="00005453">
        <w:rPr>
          <w:b/>
        </w:rPr>
        <w:tab/>
        <w:t>Muhasebe tahminlerindeki değişiklikler, hatalar ve sınıflandırmalar</w:t>
      </w:r>
    </w:p>
    <w:p w14:paraId="5C788492" w14:textId="77777777" w:rsidR="00377D13" w:rsidRPr="00005453" w:rsidRDefault="00377D13" w:rsidP="00152E65">
      <w:pPr>
        <w:pStyle w:val="BodyTextIndent"/>
        <w:autoSpaceDE/>
        <w:autoSpaceDN/>
        <w:adjustRightInd/>
        <w:spacing w:line="230" w:lineRule="auto"/>
        <w:ind w:left="0" w:hanging="567"/>
        <w:jc w:val="left"/>
        <w:rPr>
          <w:b/>
          <w:sz w:val="10"/>
        </w:rPr>
      </w:pPr>
    </w:p>
    <w:p w14:paraId="1682C55C" w14:textId="1E32B506" w:rsidR="00377D13" w:rsidRPr="00005453" w:rsidRDefault="00377D13" w:rsidP="00152E65">
      <w:pPr>
        <w:pStyle w:val="BodyText"/>
        <w:spacing w:line="230" w:lineRule="auto"/>
      </w:pPr>
      <w:r w:rsidRPr="00005453">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w:t>
      </w:r>
    </w:p>
    <w:p w14:paraId="31E91D72" w14:textId="52E58C43" w:rsidR="00586E59" w:rsidRDefault="00586E59" w:rsidP="00152E65">
      <w:pPr>
        <w:pStyle w:val="BodyText"/>
        <w:spacing w:line="230" w:lineRule="auto"/>
      </w:pPr>
    </w:p>
    <w:p w14:paraId="4B42D130" w14:textId="5D600769" w:rsidR="00C07B3E" w:rsidRDefault="00C07B3E" w:rsidP="00152E65">
      <w:pPr>
        <w:pStyle w:val="BodyText"/>
        <w:spacing w:line="230" w:lineRule="auto"/>
      </w:pPr>
    </w:p>
    <w:p w14:paraId="48093357" w14:textId="24037589" w:rsidR="00C07B3E" w:rsidRDefault="00C07B3E" w:rsidP="00152E65">
      <w:pPr>
        <w:pStyle w:val="BodyText"/>
        <w:spacing w:line="230" w:lineRule="auto"/>
      </w:pPr>
    </w:p>
    <w:p w14:paraId="33C0D5F2" w14:textId="07DC8234" w:rsidR="00C07B3E" w:rsidRDefault="00C07B3E" w:rsidP="00152E65">
      <w:pPr>
        <w:pStyle w:val="BodyText"/>
        <w:spacing w:line="230" w:lineRule="auto"/>
      </w:pPr>
    </w:p>
    <w:p w14:paraId="317BBDD6" w14:textId="732E9660" w:rsidR="00C07B3E" w:rsidRDefault="00C07B3E" w:rsidP="00152E65">
      <w:pPr>
        <w:pStyle w:val="BodyText"/>
        <w:spacing w:line="230" w:lineRule="auto"/>
      </w:pPr>
    </w:p>
    <w:p w14:paraId="5D4BE6B2" w14:textId="43DE2463" w:rsidR="00C07B3E" w:rsidRDefault="00C07B3E" w:rsidP="00152E65">
      <w:pPr>
        <w:pStyle w:val="BodyText"/>
        <w:spacing w:line="230" w:lineRule="auto"/>
      </w:pPr>
    </w:p>
    <w:p w14:paraId="3C26CF1E" w14:textId="37E493FB" w:rsidR="00C07B3E" w:rsidRDefault="00C07B3E" w:rsidP="00152E65">
      <w:pPr>
        <w:pStyle w:val="BodyText"/>
        <w:spacing w:line="230" w:lineRule="auto"/>
      </w:pPr>
    </w:p>
    <w:p w14:paraId="570DD51B" w14:textId="48B54D3E" w:rsidR="00C07B3E" w:rsidRDefault="00C07B3E" w:rsidP="00152E65">
      <w:pPr>
        <w:pStyle w:val="BodyText"/>
        <w:spacing w:line="230" w:lineRule="auto"/>
      </w:pPr>
    </w:p>
    <w:p w14:paraId="6E611498" w14:textId="1D5FF997" w:rsidR="00C07B3E" w:rsidRDefault="00C07B3E" w:rsidP="00152E65">
      <w:pPr>
        <w:pStyle w:val="BodyText"/>
        <w:spacing w:line="230" w:lineRule="auto"/>
      </w:pPr>
    </w:p>
    <w:p w14:paraId="05F6DEC4" w14:textId="77777777" w:rsidR="00C07B3E" w:rsidRPr="00005453" w:rsidRDefault="00C07B3E" w:rsidP="00152E65">
      <w:pPr>
        <w:pStyle w:val="BodyText"/>
        <w:spacing w:line="230" w:lineRule="auto"/>
      </w:pPr>
    </w:p>
    <w:p w14:paraId="6FE5FA6C" w14:textId="77777777" w:rsidR="00377D13" w:rsidRPr="00005453" w:rsidRDefault="00377D13" w:rsidP="00377D13">
      <w:pPr>
        <w:pStyle w:val="BodyTextIndent"/>
        <w:autoSpaceDE/>
        <w:autoSpaceDN/>
        <w:adjustRightInd/>
        <w:spacing w:line="221" w:lineRule="auto"/>
        <w:ind w:left="0" w:hanging="567"/>
        <w:jc w:val="left"/>
        <w:rPr>
          <w:b/>
        </w:rPr>
      </w:pPr>
      <w:r w:rsidRPr="00005453">
        <w:rPr>
          <w:b/>
        </w:rPr>
        <w:lastRenderedPageBreak/>
        <w:t xml:space="preserve">1.4    </w:t>
      </w:r>
      <w:r w:rsidRPr="00005453">
        <w:rPr>
          <w:b/>
        </w:rPr>
        <w:tab/>
      </w:r>
      <w:r w:rsidRPr="00005453">
        <w:rPr>
          <w:b/>
          <w:bCs/>
          <w:lang w:eastAsia="en-US"/>
        </w:rPr>
        <w:t>Finansal tabloların paranın cari satın alma gücüne göre düzenlenmesi</w:t>
      </w:r>
    </w:p>
    <w:p w14:paraId="64C503AF" w14:textId="77777777" w:rsidR="00377D13" w:rsidRPr="00005453" w:rsidRDefault="00377D13" w:rsidP="00377D13">
      <w:pPr>
        <w:pStyle w:val="BodyText"/>
        <w:tabs>
          <w:tab w:val="left" w:pos="567"/>
        </w:tabs>
        <w:autoSpaceDE/>
        <w:autoSpaceDN/>
        <w:adjustRightInd/>
        <w:spacing w:line="221" w:lineRule="auto"/>
        <w:jc w:val="left"/>
        <w:rPr>
          <w:sz w:val="10"/>
        </w:rPr>
      </w:pPr>
    </w:p>
    <w:p w14:paraId="3A8A9834" w14:textId="47C8C5D9" w:rsidR="00377D13" w:rsidRPr="00005453" w:rsidRDefault="00377D13" w:rsidP="00377D13">
      <w:pPr>
        <w:pStyle w:val="BodyText"/>
        <w:tabs>
          <w:tab w:val="left" w:pos="567"/>
        </w:tabs>
        <w:autoSpaceDE/>
        <w:autoSpaceDN/>
        <w:adjustRightInd/>
        <w:spacing w:line="221" w:lineRule="auto"/>
      </w:pPr>
      <w:r w:rsidRPr="00005453">
        <w:t xml:space="preserve">Banka’nın finansal tabloları 31 Aralık 2004 tarihine kadar “Yüksek Enflasyonlu Ekonomilerde Finansal Raporlamaya İlişkin Türkiye Muhasebe Standardı” TMS 29 uyarınca enflasyon düzeltmesine tabi tutulmuştur. </w:t>
      </w:r>
      <w:bookmarkStart w:id="15" w:name="_Hlk190254048"/>
      <w:r w:rsidR="00BF06FC">
        <w:t>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Buna istinaden Banka, 31 Aralık 2024 tarihinde sona eren döneme ait finansal tablolarında TMS 29 enflasyon muhasebesini uygulamamıştır.</w:t>
      </w:r>
      <w:bookmarkEnd w:id="15"/>
    </w:p>
    <w:p w14:paraId="03B0878C" w14:textId="77777777" w:rsidR="0068420B" w:rsidRPr="00005453" w:rsidRDefault="0068420B" w:rsidP="00377D13">
      <w:pPr>
        <w:pStyle w:val="BodyText"/>
        <w:tabs>
          <w:tab w:val="left" w:pos="567"/>
        </w:tabs>
        <w:autoSpaceDE/>
        <w:autoSpaceDN/>
        <w:adjustRightInd/>
        <w:spacing w:line="221" w:lineRule="auto"/>
      </w:pPr>
    </w:p>
    <w:p w14:paraId="14F96343" w14:textId="0180E3E5" w:rsidR="00377D13" w:rsidRPr="00005453" w:rsidRDefault="00E80E26" w:rsidP="00377D13">
      <w:pPr>
        <w:autoSpaceDE w:val="0"/>
        <w:autoSpaceDN w:val="0"/>
        <w:ind w:left="708" w:hanging="1247"/>
        <w:jc w:val="both"/>
        <w:rPr>
          <w:b/>
          <w:bCs/>
        </w:rPr>
      </w:pPr>
      <w:r w:rsidRPr="00005453">
        <w:rPr>
          <w:b/>
          <w:bCs/>
        </w:rPr>
        <w:t>1.5</w:t>
      </w:r>
      <w:r w:rsidR="00377D13" w:rsidRPr="00005453">
        <w:rPr>
          <w:b/>
          <w:bCs/>
        </w:rPr>
        <w:t xml:space="preserve">     TFRS 9 </w:t>
      </w:r>
      <w:r w:rsidR="00972D8C" w:rsidRPr="00005453">
        <w:rPr>
          <w:b/>
          <w:bCs/>
        </w:rPr>
        <w:t>f</w:t>
      </w:r>
      <w:r w:rsidR="00377D13" w:rsidRPr="00005453">
        <w:rPr>
          <w:b/>
          <w:bCs/>
        </w:rPr>
        <w:t xml:space="preserve">inansal </w:t>
      </w:r>
      <w:r w:rsidR="00C81629" w:rsidRPr="00005453">
        <w:rPr>
          <w:b/>
          <w:bCs/>
        </w:rPr>
        <w:t xml:space="preserve">araçlar standardına </w:t>
      </w:r>
      <w:r w:rsidR="00377D13" w:rsidRPr="00005453">
        <w:rPr>
          <w:b/>
          <w:bCs/>
        </w:rPr>
        <w:t>ilişkin açıklamalar</w:t>
      </w:r>
    </w:p>
    <w:p w14:paraId="3E61BBA2" w14:textId="77777777" w:rsidR="00377D13" w:rsidRPr="00005453" w:rsidRDefault="00377D13" w:rsidP="00377D13">
      <w:pPr>
        <w:autoSpaceDE w:val="0"/>
        <w:autoSpaceDN w:val="0"/>
        <w:jc w:val="both"/>
        <w:rPr>
          <w:sz w:val="10"/>
        </w:rPr>
      </w:pPr>
    </w:p>
    <w:p w14:paraId="62A6A9EE" w14:textId="77777777" w:rsidR="00A4435B" w:rsidRPr="00005453" w:rsidRDefault="00A4435B" w:rsidP="00A4435B">
      <w:pPr>
        <w:autoSpaceDE w:val="0"/>
        <w:autoSpaceDN w:val="0"/>
        <w:jc w:val="both"/>
      </w:pPr>
      <w:r w:rsidRPr="00005453">
        <w:t xml:space="preserve">Kamu Gözetimi Muhasebe ve Denetim Standartları Kurumu tarafından 19 Ocak 2017 tarihli ve 29953 sayılı </w:t>
      </w:r>
      <w:proofErr w:type="gramStart"/>
      <w:r w:rsidRPr="00005453">
        <w:t>Resmi</w:t>
      </w:r>
      <w:proofErr w:type="gramEnd"/>
      <w:r w:rsidRPr="00005453">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2ED2088C" w14:textId="77777777" w:rsidR="00A4435B" w:rsidRPr="00005453" w:rsidRDefault="00A4435B" w:rsidP="00A4435B">
      <w:pPr>
        <w:autoSpaceDE w:val="0"/>
        <w:autoSpaceDN w:val="0"/>
        <w:jc w:val="both"/>
        <w:rPr>
          <w:sz w:val="12"/>
          <w:szCs w:val="12"/>
        </w:rPr>
      </w:pPr>
    </w:p>
    <w:p w14:paraId="4A9EAAB7" w14:textId="77777777" w:rsidR="00A4435B" w:rsidRPr="00005453" w:rsidRDefault="00A4435B" w:rsidP="00A4435B">
      <w:pPr>
        <w:autoSpaceDE w:val="0"/>
        <w:autoSpaceDN w:val="0"/>
        <w:jc w:val="both"/>
      </w:pPr>
      <w:r w:rsidRPr="00005453">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44080FBD" w14:textId="77777777" w:rsidR="00A4435B" w:rsidRPr="00005453" w:rsidRDefault="00A4435B" w:rsidP="00A4435B">
      <w:pPr>
        <w:autoSpaceDE w:val="0"/>
        <w:autoSpaceDN w:val="0"/>
        <w:jc w:val="both"/>
        <w:rPr>
          <w:sz w:val="12"/>
          <w:szCs w:val="12"/>
        </w:rPr>
      </w:pPr>
    </w:p>
    <w:p w14:paraId="045096A9" w14:textId="77777777" w:rsidR="00A4435B" w:rsidRPr="00005453" w:rsidRDefault="00A4435B" w:rsidP="00A4435B">
      <w:pPr>
        <w:autoSpaceDE w:val="0"/>
        <w:autoSpaceDN w:val="0"/>
        <w:jc w:val="both"/>
      </w:pPr>
      <w:r w:rsidRPr="00005453">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005453">
        <w:t>kar</w:t>
      </w:r>
      <w:proofErr w:type="gramEnd"/>
      <w:r w:rsidRPr="00005453">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005453">
        <w:t>kar</w:t>
      </w:r>
      <w:proofErr w:type="gramEnd"/>
      <w:r w:rsidRPr="00005453">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22B0926F" w14:textId="77777777" w:rsidR="00A4435B" w:rsidRPr="00005453" w:rsidRDefault="00A4435B" w:rsidP="00A4435B">
      <w:pPr>
        <w:autoSpaceDE w:val="0"/>
        <w:autoSpaceDN w:val="0"/>
        <w:jc w:val="both"/>
        <w:rPr>
          <w:sz w:val="12"/>
          <w:szCs w:val="12"/>
        </w:rPr>
      </w:pPr>
    </w:p>
    <w:p w14:paraId="6AEE7946" w14:textId="77777777" w:rsidR="00A4435B" w:rsidRPr="00005453" w:rsidRDefault="00A4435B" w:rsidP="00A4435B">
      <w:pPr>
        <w:autoSpaceDE w:val="0"/>
        <w:autoSpaceDN w:val="0"/>
        <w:jc w:val="both"/>
      </w:pPr>
      <w:r w:rsidRPr="00005453">
        <w:t>Bu tür yatırımlardan sağlanan temettüler, açıkça yatırımın maliyetinin bir kısmının geri kazanılması niteliğinde olmadıkça, kar veya zarar olarak finansal tablolara alınır.</w:t>
      </w:r>
    </w:p>
    <w:p w14:paraId="59AF612C" w14:textId="77777777" w:rsidR="00A4435B" w:rsidRPr="00005453" w:rsidRDefault="00A4435B" w:rsidP="00A4435B">
      <w:pPr>
        <w:autoSpaceDE w:val="0"/>
        <w:autoSpaceDN w:val="0"/>
        <w:jc w:val="both"/>
        <w:rPr>
          <w:sz w:val="12"/>
          <w:szCs w:val="12"/>
        </w:rPr>
      </w:pPr>
    </w:p>
    <w:p w14:paraId="382FC0CF" w14:textId="77777777" w:rsidR="00A4435B" w:rsidRPr="00005453" w:rsidRDefault="00A4435B" w:rsidP="00A4435B">
      <w:pPr>
        <w:autoSpaceDE w:val="0"/>
        <w:autoSpaceDN w:val="0"/>
        <w:jc w:val="both"/>
      </w:pPr>
      <w:r w:rsidRPr="00005453">
        <w:t>Sözleşmeye dayalı nakit akım özelliklerinin ve iş modellerinin beraber uygulanması sonucunda, TMS 39’daki mevcut sınıflandırmaya kıyasla, finansal varlıkların sınıflandırılmasındaki farklılıklar mali tablolara yansıtılmıştır.</w:t>
      </w:r>
    </w:p>
    <w:p w14:paraId="1B04874A" w14:textId="77777777" w:rsidR="00A4435B" w:rsidRPr="00005453" w:rsidRDefault="00A4435B" w:rsidP="00A4435B">
      <w:pPr>
        <w:autoSpaceDE w:val="0"/>
        <w:autoSpaceDN w:val="0"/>
        <w:jc w:val="both"/>
        <w:rPr>
          <w:sz w:val="12"/>
          <w:szCs w:val="12"/>
        </w:rPr>
      </w:pPr>
    </w:p>
    <w:p w14:paraId="17C6DD4E" w14:textId="77777777" w:rsidR="00A4435B" w:rsidRPr="00005453" w:rsidRDefault="00A4435B" w:rsidP="00A4435B">
      <w:pPr>
        <w:autoSpaceDE w:val="0"/>
        <w:autoSpaceDN w:val="0"/>
        <w:jc w:val="both"/>
      </w:pPr>
      <w:r w:rsidRPr="00005453">
        <w:t>Finansal araçların ilk muhasebeleştirilme esnasında hangi kategoride sınıflandırılacağı, yönetim için kullanılan ilgili iş modeli ile sözleşmeye bağlı nakit akışların özelliklerine bağlıdır.</w:t>
      </w:r>
    </w:p>
    <w:p w14:paraId="06428A3A" w14:textId="77777777" w:rsidR="00377D13" w:rsidRPr="00005453" w:rsidRDefault="00377D13" w:rsidP="00377D13">
      <w:pPr>
        <w:autoSpaceDE w:val="0"/>
        <w:autoSpaceDN w:val="0"/>
        <w:spacing w:beforeLines="60" w:before="144" w:afterLines="60" w:after="144"/>
        <w:jc w:val="both"/>
        <w:rPr>
          <w:b/>
        </w:rPr>
      </w:pPr>
      <w:r w:rsidRPr="00005453">
        <w:rPr>
          <w:b/>
        </w:rPr>
        <w:t>Finansal araçların sınıflandırılması ve ölçümü</w:t>
      </w:r>
    </w:p>
    <w:p w14:paraId="4199B012" w14:textId="77777777" w:rsidR="00A4435B" w:rsidRPr="00005453" w:rsidRDefault="00A4435B" w:rsidP="00A4435B">
      <w:pPr>
        <w:autoSpaceDE w:val="0"/>
        <w:autoSpaceDN w:val="0"/>
        <w:jc w:val="both"/>
      </w:pPr>
      <w:r w:rsidRPr="00005453">
        <w:t xml:space="preserve">TFRS 9 standardına göre finansal varlıkların sınıflandırılması ve ölçümü, finansal varlığın yönetildiği iş modeline ve sadece anapara ve anapara bakiyesine ilişkin </w:t>
      </w:r>
      <w:proofErr w:type="gramStart"/>
      <w:r w:rsidRPr="00005453">
        <w:t>kar</w:t>
      </w:r>
      <w:proofErr w:type="gramEnd"/>
      <w:r w:rsidRPr="00005453">
        <w:t xml:space="preserve"> payı ödemelerini içeren sözleşmeye dayalı nakit akışlarına bağlı olup olmadığına göre belirlenmiştir.</w:t>
      </w:r>
    </w:p>
    <w:p w14:paraId="40047F00" w14:textId="77777777" w:rsidR="00A4435B" w:rsidRPr="00005453" w:rsidRDefault="00A4435B" w:rsidP="00A4435B">
      <w:pPr>
        <w:autoSpaceDE w:val="0"/>
        <w:autoSpaceDN w:val="0"/>
        <w:jc w:val="both"/>
        <w:rPr>
          <w:sz w:val="12"/>
          <w:szCs w:val="12"/>
        </w:rPr>
      </w:pPr>
    </w:p>
    <w:p w14:paraId="07890263" w14:textId="77777777" w:rsidR="00A4435B" w:rsidRPr="00005453" w:rsidRDefault="00A4435B" w:rsidP="00A4435B">
      <w:pPr>
        <w:autoSpaceDE w:val="0"/>
        <w:autoSpaceDN w:val="0"/>
        <w:jc w:val="both"/>
      </w:pPr>
      <w:r w:rsidRPr="00005453">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25F2CAEE" w14:textId="5BF9EDD4" w:rsidR="00A52352" w:rsidRDefault="00A52352" w:rsidP="00377D13">
      <w:pPr>
        <w:autoSpaceDE w:val="0"/>
        <w:autoSpaceDN w:val="0"/>
        <w:adjustRightInd w:val="0"/>
        <w:rPr>
          <w:b/>
          <w:sz w:val="14"/>
        </w:rPr>
      </w:pPr>
    </w:p>
    <w:p w14:paraId="1E25BE00" w14:textId="28F6D3A1" w:rsidR="00C07B3E" w:rsidRDefault="00C07B3E" w:rsidP="00377D13">
      <w:pPr>
        <w:autoSpaceDE w:val="0"/>
        <w:autoSpaceDN w:val="0"/>
        <w:adjustRightInd w:val="0"/>
        <w:rPr>
          <w:b/>
          <w:sz w:val="14"/>
        </w:rPr>
      </w:pPr>
    </w:p>
    <w:p w14:paraId="202181DC" w14:textId="77777777" w:rsidR="00C07B3E" w:rsidRPr="00005453" w:rsidRDefault="00C07B3E" w:rsidP="00377D13">
      <w:pPr>
        <w:autoSpaceDE w:val="0"/>
        <w:autoSpaceDN w:val="0"/>
        <w:adjustRightInd w:val="0"/>
        <w:rPr>
          <w:b/>
          <w:sz w:val="14"/>
        </w:rPr>
      </w:pPr>
    </w:p>
    <w:p w14:paraId="01393C19" w14:textId="7D92A809" w:rsidR="00377D13" w:rsidRPr="00005453" w:rsidRDefault="00377D13" w:rsidP="00377D13">
      <w:pPr>
        <w:autoSpaceDE w:val="0"/>
        <w:autoSpaceDN w:val="0"/>
        <w:adjustRightInd w:val="0"/>
        <w:rPr>
          <w:b/>
        </w:rPr>
      </w:pPr>
      <w:r w:rsidRPr="00005453">
        <w:rPr>
          <w:b/>
        </w:rPr>
        <w:lastRenderedPageBreak/>
        <w:t>Beklenen zarar karşılıklarına ilişkin açıklamalar</w:t>
      </w:r>
    </w:p>
    <w:p w14:paraId="1AD16898" w14:textId="77777777" w:rsidR="00A4435B" w:rsidRPr="00005453" w:rsidRDefault="00A4435B" w:rsidP="00A4435B">
      <w:pPr>
        <w:autoSpaceDE w:val="0"/>
        <w:autoSpaceDN w:val="0"/>
        <w:spacing w:beforeLines="60" w:before="144" w:afterLines="60" w:after="144" w:line="230" w:lineRule="auto"/>
        <w:jc w:val="both"/>
      </w:pPr>
      <w:r w:rsidRPr="00005453">
        <w:t xml:space="preserve">22 Haziran 2016 tarih ve 29750 sayılı </w:t>
      </w:r>
      <w:proofErr w:type="gramStart"/>
      <w:r w:rsidRPr="00005453">
        <w:t>Resmi</w:t>
      </w:r>
      <w:proofErr w:type="gramEnd"/>
      <w:r w:rsidRPr="00005453">
        <w:t xml:space="preserve">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4F8D4333" w14:textId="77777777" w:rsidR="00A4435B" w:rsidRPr="00005453" w:rsidRDefault="00A4435B" w:rsidP="00A4435B">
      <w:pPr>
        <w:autoSpaceDE w:val="0"/>
        <w:autoSpaceDN w:val="0"/>
        <w:spacing w:beforeLines="60" w:before="144" w:afterLines="60" w:after="144" w:line="230" w:lineRule="auto"/>
        <w:jc w:val="both"/>
      </w:pPr>
      <w:r w:rsidRPr="00005453">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7957D49D" w14:textId="77777777" w:rsidR="00A4435B" w:rsidRPr="00005453" w:rsidRDefault="00A4435B" w:rsidP="00A4435B">
      <w:pPr>
        <w:autoSpaceDE w:val="0"/>
        <w:autoSpaceDN w:val="0"/>
        <w:spacing w:beforeLines="60" w:before="144" w:afterLines="60" w:after="144" w:line="230" w:lineRule="auto"/>
        <w:jc w:val="both"/>
      </w:pPr>
      <w:r w:rsidRPr="00005453">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4FE02252" w14:textId="65EB62D9" w:rsidR="00A52352" w:rsidRPr="00005453" w:rsidRDefault="00A52352" w:rsidP="00A52352">
      <w:pPr>
        <w:autoSpaceDE w:val="0"/>
        <w:autoSpaceDN w:val="0"/>
        <w:spacing w:beforeLines="60" w:before="144" w:afterLines="60" w:after="144" w:line="228" w:lineRule="auto"/>
        <w:jc w:val="both"/>
      </w:pPr>
      <w:r w:rsidRPr="00005453">
        <w:t>Banka, 31 Aralık 202</w:t>
      </w:r>
      <w:r w:rsidR="006D7D4F" w:rsidRPr="00005453">
        <w:t>4</w:t>
      </w:r>
      <w:r w:rsidRPr="00005453">
        <w:t xml:space="preserve"> tarihi itibarıyla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 Banka, 31 Aralık 202</w:t>
      </w:r>
      <w:r w:rsidR="006D7D4F" w:rsidRPr="00005453">
        <w:t>4</w:t>
      </w:r>
      <w:r w:rsidRPr="00005453">
        <w:t xml:space="preserve"> tarihi itibarıyla bu yaklaşımını sürdürmektedir. Gerekli gördüğünde ileriki dönemlerde ekonomik ve jeopolitik risklerin gidişatına göre bu varsayımlarını gözden geçirecektir.</w:t>
      </w:r>
    </w:p>
    <w:p w14:paraId="6312F794" w14:textId="77777777" w:rsidR="00A4435B" w:rsidRPr="00005453" w:rsidRDefault="00A4435B" w:rsidP="00A4435B">
      <w:pPr>
        <w:autoSpaceDE w:val="0"/>
        <w:autoSpaceDN w:val="0"/>
        <w:spacing w:beforeLines="60" w:before="144" w:afterLines="60" w:after="144" w:line="230" w:lineRule="auto"/>
        <w:jc w:val="both"/>
      </w:pPr>
      <w:r w:rsidRPr="00005453">
        <w:t>Beklenen kredi zararları tahmini tarafsız, olasılıklara göre ağırlıklandırılmış ve geçmiş olaylar, mevcut şartlar ve gelecekteki ekonomik şartlara ilişkin tahminler hakkında desteklenebilir bilgiler içermektedir.</w:t>
      </w:r>
    </w:p>
    <w:p w14:paraId="75F0F614" w14:textId="77777777" w:rsidR="00A4435B" w:rsidRPr="00005453" w:rsidRDefault="00A4435B" w:rsidP="00A4435B">
      <w:pPr>
        <w:autoSpaceDE w:val="0"/>
        <w:autoSpaceDN w:val="0"/>
        <w:spacing w:beforeLines="60" w:before="144" w:afterLines="60" w:after="144"/>
        <w:jc w:val="both"/>
      </w:pPr>
      <w:r w:rsidRPr="00005453">
        <w:t>Banka, ilk muhasebeleştirmeden sonra kredi kalitesindeki değişime dayanan ‘3 aşamalı’ değer düşüklüğü modeli oluşturmuştur:</w:t>
      </w:r>
    </w:p>
    <w:p w14:paraId="57FBDE64" w14:textId="77777777" w:rsidR="00A4435B" w:rsidRPr="00005453" w:rsidRDefault="00A4435B" w:rsidP="00A4435B">
      <w:pPr>
        <w:autoSpaceDE w:val="0"/>
        <w:autoSpaceDN w:val="0"/>
        <w:spacing w:beforeLines="60" w:before="144" w:afterLines="60" w:after="144" w:line="230" w:lineRule="auto"/>
        <w:jc w:val="both"/>
      </w:pPr>
      <w:r w:rsidRPr="00005453">
        <w:rPr>
          <w:b/>
        </w:rPr>
        <w:t>Aşama 1:</w:t>
      </w:r>
      <w:r w:rsidRPr="00005453">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6" w:name="_Hlk15422413"/>
    </w:p>
    <w:bookmarkEnd w:id="16"/>
    <w:p w14:paraId="748F9797" w14:textId="77777777" w:rsidR="00A4435B" w:rsidRPr="00005453" w:rsidRDefault="00A4435B" w:rsidP="00A4435B">
      <w:pPr>
        <w:autoSpaceDE w:val="0"/>
        <w:autoSpaceDN w:val="0"/>
        <w:spacing w:beforeLines="60" w:before="144" w:afterLines="60" w:after="144" w:line="230" w:lineRule="auto"/>
        <w:jc w:val="both"/>
      </w:pPr>
      <w:r w:rsidRPr="00005453">
        <w:rPr>
          <w:b/>
        </w:rPr>
        <w:t>Aşama 2:</w:t>
      </w:r>
      <w:r w:rsidRPr="00005453">
        <w:t xml:space="preserve"> İlk muhasebeleştirmeden sonra kredi riskinde önemli artış olan fakat değer düşüklüğüne ilişkin tarafsız bir kanıt olmayan finansal varlıkları kapsar. Bu varlıklar için, ömür boyu beklenen kredi zararı </w:t>
      </w:r>
      <w:proofErr w:type="gramStart"/>
      <w:r w:rsidRPr="00005453">
        <w:t>muhasebeleştirilir.Bu</w:t>
      </w:r>
      <w:proofErr w:type="gramEnd"/>
      <w:r w:rsidRPr="00005453">
        <w:t xml:space="preserve"> kapsamda; bir finansal varlığın, kredi riskinin önemli derecede artmasının ve 2. Aşamaya aktarılmasının belirlenmesinde dikkate alınan temel hususlar bunlarla sınırlı olmamakla birlikte aşağıdaki gibidir.</w:t>
      </w:r>
    </w:p>
    <w:p w14:paraId="43B75FF6" w14:textId="77777777" w:rsidR="00A4435B" w:rsidRPr="00005453" w:rsidRDefault="00A4435B" w:rsidP="00A4435B">
      <w:pPr>
        <w:autoSpaceDE w:val="0"/>
        <w:autoSpaceDN w:val="0"/>
        <w:spacing w:line="230" w:lineRule="auto"/>
        <w:jc w:val="both"/>
      </w:pPr>
      <w:r w:rsidRPr="00005453">
        <w:t>•</w:t>
      </w:r>
      <w:r w:rsidRPr="00005453">
        <w:tab/>
        <w:t>Raporlama tarihi itibarıyla 30 günden fazla gecikmiş olması</w:t>
      </w:r>
    </w:p>
    <w:p w14:paraId="6CE92D9E" w14:textId="77777777" w:rsidR="00A4435B" w:rsidRPr="00005453" w:rsidRDefault="00A4435B" w:rsidP="00A4435B">
      <w:pPr>
        <w:autoSpaceDE w:val="0"/>
        <w:autoSpaceDN w:val="0"/>
        <w:spacing w:line="230" w:lineRule="auto"/>
        <w:jc w:val="both"/>
      </w:pPr>
      <w:r w:rsidRPr="00005453">
        <w:t>•</w:t>
      </w:r>
      <w:r w:rsidRPr="00005453">
        <w:tab/>
        <w:t>Yeniden yapılandırma kapsamında bulunması</w:t>
      </w:r>
    </w:p>
    <w:p w14:paraId="4887EAA7" w14:textId="77777777" w:rsidR="00A4435B" w:rsidRPr="00005453" w:rsidRDefault="00A4435B" w:rsidP="00A4435B">
      <w:pPr>
        <w:autoSpaceDE w:val="0"/>
        <w:autoSpaceDN w:val="0"/>
        <w:spacing w:line="230" w:lineRule="auto"/>
        <w:jc w:val="both"/>
      </w:pPr>
      <w:r w:rsidRPr="00005453">
        <w:t>•</w:t>
      </w:r>
      <w:r w:rsidRPr="00005453">
        <w:tab/>
        <w:t>Yakın İzlemede bulunması</w:t>
      </w:r>
    </w:p>
    <w:p w14:paraId="2141E402" w14:textId="77777777" w:rsidR="00A4435B" w:rsidRPr="00005453" w:rsidRDefault="00A4435B" w:rsidP="00A4435B">
      <w:pPr>
        <w:autoSpaceDE w:val="0"/>
        <w:autoSpaceDN w:val="0"/>
        <w:spacing w:line="230" w:lineRule="auto"/>
        <w:jc w:val="both"/>
      </w:pPr>
      <w:r w:rsidRPr="00005453">
        <w:t>•</w:t>
      </w:r>
      <w:r w:rsidRPr="00005453">
        <w:tab/>
        <w:t>Rating notunda bozulmanın değerlendirilmesi</w:t>
      </w:r>
    </w:p>
    <w:p w14:paraId="1651C361" w14:textId="77777777" w:rsidR="00A4435B" w:rsidRPr="00005453" w:rsidRDefault="00A4435B" w:rsidP="00377D13">
      <w:pPr>
        <w:autoSpaceDE w:val="0"/>
        <w:autoSpaceDN w:val="0"/>
        <w:jc w:val="both"/>
        <w:rPr>
          <w:sz w:val="12"/>
        </w:rPr>
      </w:pPr>
    </w:p>
    <w:p w14:paraId="61D1760C" w14:textId="77777777" w:rsidR="00A4435B" w:rsidRPr="00005453" w:rsidRDefault="00A4435B" w:rsidP="00A4435B">
      <w:pPr>
        <w:autoSpaceDE w:val="0"/>
        <w:autoSpaceDN w:val="0"/>
        <w:spacing w:line="230" w:lineRule="auto"/>
        <w:jc w:val="both"/>
      </w:pPr>
      <w:r w:rsidRPr="00005453">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2337F1E8" w14:textId="77777777" w:rsidR="00377D13" w:rsidRPr="00005453" w:rsidRDefault="00377D13" w:rsidP="00377D13">
      <w:pPr>
        <w:autoSpaceDE w:val="0"/>
        <w:autoSpaceDN w:val="0"/>
        <w:adjustRightInd w:val="0"/>
        <w:ind w:left="-567"/>
        <w:jc w:val="both"/>
        <w:rPr>
          <w:sz w:val="12"/>
        </w:rPr>
      </w:pPr>
    </w:p>
    <w:p w14:paraId="1B615EE1" w14:textId="77777777" w:rsidR="00A4435B" w:rsidRPr="00005453" w:rsidRDefault="00A4435B" w:rsidP="00A4435B">
      <w:pPr>
        <w:autoSpaceDE w:val="0"/>
        <w:autoSpaceDN w:val="0"/>
        <w:spacing w:line="230" w:lineRule="auto"/>
        <w:jc w:val="both"/>
      </w:pPr>
      <w:r w:rsidRPr="00005453">
        <w:rPr>
          <w:b/>
        </w:rPr>
        <w:t>Aşama 3:</w:t>
      </w:r>
      <w:r w:rsidRPr="00005453">
        <w:t xml:space="preserve"> Raporlama tarihinde değer düşüklüğü için tarafsız kanıtın olduğu finansal varlıkları içerir. Bu varlıklar için, ömür boyu beklenen kredi zararı muhasebeleştirilir.</w:t>
      </w:r>
    </w:p>
    <w:p w14:paraId="3899DDDE" w14:textId="77777777" w:rsidR="00377D13" w:rsidRPr="00005453" w:rsidRDefault="00377D13" w:rsidP="00377D13">
      <w:pPr>
        <w:autoSpaceDE w:val="0"/>
        <w:autoSpaceDN w:val="0"/>
        <w:jc w:val="both"/>
        <w:rPr>
          <w:sz w:val="12"/>
        </w:rPr>
      </w:pPr>
    </w:p>
    <w:p w14:paraId="1756A3B2" w14:textId="77777777" w:rsidR="000408F0" w:rsidRPr="00005453" w:rsidRDefault="000408F0" w:rsidP="000408F0">
      <w:pPr>
        <w:autoSpaceDE w:val="0"/>
        <w:autoSpaceDN w:val="0"/>
        <w:jc w:val="both"/>
        <w:rPr>
          <w:b/>
          <w:sz w:val="2"/>
          <w:szCs w:val="15"/>
        </w:rPr>
      </w:pPr>
    </w:p>
    <w:p w14:paraId="62AF9C85" w14:textId="544FFDEE" w:rsidR="00A4435B" w:rsidRPr="00005453" w:rsidRDefault="00A4435B" w:rsidP="00A4435B">
      <w:pPr>
        <w:autoSpaceDE w:val="0"/>
        <w:autoSpaceDN w:val="0"/>
        <w:spacing w:line="230" w:lineRule="auto"/>
        <w:jc w:val="both"/>
      </w:pPr>
      <w:r w:rsidRPr="00005453">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1BCD7B8B" w14:textId="77777777" w:rsidR="00D552DD" w:rsidRPr="00005453" w:rsidRDefault="00D552DD" w:rsidP="00A4435B">
      <w:pPr>
        <w:autoSpaceDE w:val="0"/>
        <w:autoSpaceDN w:val="0"/>
        <w:spacing w:line="230" w:lineRule="auto"/>
        <w:jc w:val="both"/>
        <w:rPr>
          <w:sz w:val="14"/>
        </w:rPr>
      </w:pPr>
    </w:p>
    <w:p w14:paraId="73772D64" w14:textId="7FEBCEAA" w:rsidR="00377D13" w:rsidRPr="00005453" w:rsidRDefault="00377D13" w:rsidP="00377D13">
      <w:pPr>
        <w:autoSpaceDE w:val="0"/>
        <w:autoSpaceDN w:val="0"/>
        <w:adjustRightInd w:val="0"/>
        <w:ind w:left="-567"/>
        <w:jc w:val="both"/>
        <w:rPr>
          <w:b/>
        </w:rPr>
      </w:pPr>
      <w:r w:rsidRPr="00005453">
        <w:rPr>
          <w:b/>
        </w:rPr>
        <w:lastRenderedPageBreak/>
        <w:t xml:space="preserve">1.6 </w:t>
      </w:r>
      <w:r w:rsidRPr="00005453">
        <w:rPr>
          <w:b/>
        </w:rPr>
        <w:tab/>
        <w:t xml:space="preserve">TFRS 15 </w:t>
      </w:r>
      <w:r w:rsidR="00AE2CFA" w:rsidRPr="00005453">
        <w:rPr>
          <w:b/>
        </w:rPr>
        <w:t xml:space="preserve">müşteri sözleşmelerinden hasılat standardına ilişkin </w:t>
      </w:r>
      <w:r w:rsidRPr="00005453">
        <w:rPr>
          <w:b/>
        </w:rPr>
        <w:t>açıklamalar</w:t>
      </w:r>
    </w:p>
    <w:p w14:paraId="3E155455" w14:textId="77777777" w:rsidR="00377D13" w:rsidRPr="00005453" w:rsidRDefault="00377D13" w:rsidP="00377D13">
      <w:pPr>
        <w:tabs>
          <w:tab w:val="left" w:pos="915"/>
        </w:tabs>
        <w:autoSpaceDE w:val="0"/>
        <w:autoSpaceDN w:val="0"/>
        <w:adjustRightInd w:val="0"/>
        <w:ind w:left="-567"/>
        <w:jc w:val="both"/>
        <w:rPr>
          <w:b/>
          <w:sz w:val="12"/>
        </w:rPr>
      </w:pPr>
      <w:r w:rsidRPr="00005453">
        <w:rPr>
          <w:b/>
        </w:rPr>
        <w:tab/>
      </w:r>
    </w:p>
    <w:p w14:paraId="0B959843" w14:textId="77777777" w:rsidR="00FD1502" w:rsidRPr="00005453" w:rsidRDefault="00FD1502" w:rsidP="00FD1502">
      <w:pPr>
        <w:autoSpaceDE w:val="0"/>
        <w:autoSpaceDN w:val="0"/>
        <w:adjustRightInd w:val="0"/>
        <w:jc w:val="both"/>
      </w:pPr>
      <w:r w:rsidRPr="00005453">
        <w:t>TFRS 15 Müşteri Sözleşmelerinden Hasılat standardı hasılatın kayda alınmasına ilişkin tek ve kapsamlı bir model ve rehber sunmakta olup TFRS 15 Müşteri Sözleşmelerinden Hasılat standardına uygun olarak gelir kaydedilmektedir.</w:t>
      </w:r>
    </w:p>
    <w:p w14:paraId="3A73AA7E" w14:textId="77777777" w:rsidR="002422D0" w:rsidRPr="00005453" w:rsidRDefault="002422D0" w:rsidP="00377D13">
      <w:pPr>
        <w:autoSpaceDE w:val="0"/>
        <w:autoSpaceDN w:val="0"/>
        <w:adjustRightInd w:val="0"/>
        <w:jc w:val="both"/>
        <w:rPr>
          <w:sz w:val="12"/>
        </w:rPr>
      </w:pPr>
    </w:p>
    <w:p w14:paraId="50038DE7" w14:textId="77777777" w:rsidR="00377D13" w:rsidRPr="00005453" w:rsidRDefault="00377D13" w:rsidP="00377D13">
      <w:pPr>
        <w:autoSpaceDE w:val="0"/>
        <w:autoSpaceDN w:val="0"/>
        <w:ind w:left="-567"/>
        <w:jc w:val="both"/>
        <w:rPr>
          <w:sz w:val="2"/>
        </w:rPr>
      </w:pPr>
    </w:p>
    <w:p w14:paraId="3367B507" w14:textId="67C99D33" w:rsidR="00377D13" w:rsidRPr="00005453" w:rsidRDefault="00377D13" w:rsidP="00377D13">
      <w:pPr>
        <w:autoSpaceDE w:val="0"/>
        <w:autoSpaceDN w:val="0"/>
        <w:ind w:left="-567"/>
        <w:jc w:val="both"/>
        <w:rPr>
          <w:b/>
        </w:rPr>
      </w:pPr>
      <w:r w:rsidRPr="00005453">
        <w:rPr>
          <w:b/>
        </w:rPr>
        <w:t xml:space="preserve">1.7 </w:t>
      </w:r>
      <w:r w:rsidRPr="00005453">
        <w:rPr>
          <w:b/>
        </w:rPr>
        <w:tab/>
        <w:t xml:space="preserve">TFRS 16 </w:t>
      </w:r>
      <w:r w:rsidR="00AE2CFA" w:rsidRPr="00005453">
        <w:rPr>
          <w:b/>
        </w:rPr>
        <w:t xml:space="preserve">kiralamalar standardına ilişkin </w:t>
      </w:r>
      <w:r w:rsidRPr="00005453">
        <w:rPr>
          <w:b/>
        </w:rPr>
        <w:t>açıklamalar</w:t>
      </w:r>
    </w:p>
    <w:p w14:paraId="2C98ACC7" w14:textId="77777777" w:rsidR="00377D13" w:rsidRPr="00005453" w:rsidRDefault="00377D13" w:rsidP="00377D13">
      <w:pPr>
        <w:autoSpaceDE w:val="0"/>
        <w:autoSpaceDN w:val="0"/>
        <w:jc w:val="both"/>
        <w:rPr>
          <w:sz w:val="12"/>
        </w:rPr>
      </w:pPr>
    </w:p>
    <w:p w14:paraId="07B151E8" w14:textId="77777777" w:rsidR="00FD1502" w:rsidRPr="00005453" w:rsidRDefault="00FD1502" w:rsidP="00FD1502">
      <w:pPr>
        <w:autoSpaceDE w:val="0"/>
        <w:autoSpaceDN w:val="0"/>
        <w:adjustRightInd w:val="0"/>
        <w:jc w:val="both"/>
      </w:pPr>
      <w:r w:rsidRPr="00005453">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389FEC7A" w14:textId="77777777" w:rsidR="00FD1502" w:rsidRPr="00005453" w:rsidRDefault="00FD1502" w:rsidP="00FD1502">
      <w:pPr>
        <w:autoSpaceDE w:val="0"/>
        <w:autoSpaceDN w:val="0"/>
        <w:adjustRightInd w:val="0"/>
        <w:jc w:val="both"/>
        <w:rPr>
          <w:sz w:val="12"/>
          <w:szCs w:val="12"/>
        </w:rPr>
      </w:pPr>
    </w:p>
    <w:p w14:paraId="6A3FCAD3" w14:textId="77777777" w:rsidR="00FD1502" w:rsidRPr="00005453" w:rsidRDefault="00FD1502" w:rsidP="00FD1502">
      <w:pPr>
        <w:autoSpaceDE w:val="0"/>
        <w:autoSpaceDN w:val="0"/>
        <w:adjustRightInd w:val="0"/>
        <w:jc w:val="both"/>
        <w:rPr>
          <w:sz w:val="2"/>
          <w:szCs w:val="15"/>
        </w:rPr>
      </w:pPr>
    </w:p>
    <w:p w14:paraId="2C54FDEF" w14:textId="77777777" w:rsidR="00FD1502" w:rsidRPr="00005453" w:rsidRDefault="00FD1502" w:rsidP="00FD1502">
      <w:pPr>
        <w:jc w:val="both"/>
      </w:pPr>
      <w:r w:rsidRPr="00005453">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6055CF06" w14:textId="3B5E581C" w:rsidR="00377D13" w:rsidRPr="00005453" w:rsidRDefault="00377D13" w:rsidP="00377D13">
      <w:pPr>
        <w:jc w:val="both"/>
      </w:pPr>
      <w:r w:rsidRPr="00005453">
        <w:t>31 Aralık 202</w:t>
      </w:r>
      <w:r w:rsidR="006D7D4F" w:rsidRPr="00005453">
        <w:t>4</w:t>
      </w:r>
      <w:r w:rsidRPr="00005453">
        <w:t xml:space="preserve"> tarihi </w:t>
      </w:r>
      <w:r w:rsidR="007860D1" w:rsidRPr="00005453">
        <w:t xml:space="preserve">itibarıyla </w:t>
      </w:r>
      <w:r w:rsidRPr="00005453">
        <w:t xml:space="preserve">Banka’nın bilançosunda brüt </w:t>
      </w:r>
      <w:r w:rsidR="009D5068" w:rsidRPr="00005453">
        <w:t xml:space="preserve">1,976,948 </w:t>
      </w:r>
      <w:r w:rsidRPr="00005453">
        <w:t>TL</w:t>
      </w:r>
      <w:r w:rsidRPr="00005453" w:rsidDel="001F2489">
        <w:t xml:space="preserve"> </w:t>
      </w:r>
      <w:r w:rsidRPr="00005453">
        <w:t>tutarında maddi duran varlık kaleminde sınıflanan kullanım varlığı ve brüt</w:t>
      </w:r>
      <w:r w:rsidR="006D6D91" w:rsidRPr="00005453">
        <w:t xml:space="preserve"> </w:t>
      </w:r>
      <w:r w:rsidR="00561B06" w:rsidRPr="00005453">
        <w:t>2</w:t>
      </w:r>
      <w:r w:rsidR="006D6D91" w:rsidRPr="00005453">
        <w:t>,</w:t>
      </w:r>
      <w:r w:rsidR="00561B06" w:rsidRPr="00005453">
        <w:t>296</w:t>
      </w:r>
      <w:r w:rsidRPr="00005453">
        <w:t>,</w:t>
      </w:r>
      <w:r w:rsidR="00561B06" w:rsidRPr="00005453">
        <w:t>12</w:t>
      </w:r>
      <w:r w:rsidR="006D6D91" w:rsidRPr="00005453">
        <w:t>9</w:t>
      </w:r>
      <w:r w:rsidRPr="00005453">
        <w:t xml:space="preserve"> TL tutarında </w:t>
      </w:r>
      <w:r w:rsidR="00555190" w:rsidRPr="00005453">
        <w:t xml:space="preserve">kiralama işlemlerinden yükümlülükler kaleminde sınıflanan </w:t>
      </w:r>
      <w:r w:rsidRPr="00005453">
        <w:t xml:space="preserve">kiralama yükümlülüğü bulunmaktadır. Aynı tarih itibarıyla sona eren on iki aylık dönemde ise </w:t>
      </w:r>
      <w:r w:rsidR="00561B06" w:rsidRPr="00005453">
        <w:t>268</w:t>
      </w:r>
      <w:r w:rsidRPr="00005453">
        <w:t>,</w:t>
      </w:r>
      <w:r w:rsidR="00561B06" w:rsidRPr="00005453">
        <w:t>00</w:t>
      </w:r>
      <w:r w:rsidR="00D846E2" w:rsidRPr="00005453">
        <w:t>1</w:t>
      </w:r>
      <w:r w:rsidRPr="00005453">
        <w:t xml:space="preserve"> TL tutarında finansman gideri ve </w:t>
      </w:r>
      <w:r w:rsidR="00561B06" w:rsidRPr="00005453">
        <w:t>424</w:t>
      </w:r>
      <w:r w:rsidR="00E01921" w:rsidRPr="00005453">
        <w:t>,</w:t>
      </w:r>
      <w:r w:rsidR="00561B06" w:rsidRPr="00005453">
        <w:t>662</w:t>
      </w:r>
      <w:r w:rsidRPr="00005453">
        <w:t xml:space="preserve"> TL tutarında amortisman gideri oluşmuştur.</w:t>
      </w:r>
    </w:p>
    <w:p w14:paraId="56F411BD" w14:textId="77777777" w:rsidR="00377D13" w:rsidRPr="00005453" w:rsidRDefault="00377D13" w:rsidP="00377D13">
      <w:pPr>
        <w:jc w:val="both"/>
        <w:rPr>
          <w:sz w:val="16"/>
          <w:szCs w:val="16"/>
        </w:rPr>
      </w:pPr>
    </w:p>
    <w:p w14:paraId="59696628" w14:textId="568FC953" w:rsidR="00377D13" w:rsidRPr="00005453" w:rsidRDefault="00377D13" w:rsidP="00377D13">
      <w:pPr>
        <w:tabs>
          <w:tab w:val="left" w:pos="709"/>
        </w:tabs>
        <w:autoSpaceDE w:val="0"/>
        <w:autoSpaceDN w:val="0"/>
        <w:adjustRightInd w:val="0"/>
        <w:spacing w:line="221" w:lineRule="auto"/>
        <w:ind w:hanging="567"/>
        <w:rPr>
          <w:b/>
        </w:rPr>
      </w:pPr>
      <w:r w:rsidRPr="00005453">
        <w:rPr>
          <w:b/>
        </w:rPr>
        <w:t>2.</w:t>
      </w:r>
      <w:r w:rsidRPr="00005453">
        <w:rPr>
          <w:b/>
        </w:rPr>
        <w:tab/>
        <w:t>Finansal araçların kullanım stratejisi ve yabancı para cinsinden işlemlere ilişkin açıklamalar</w:t>
      </w:r>
    </w:p>
    <w:p w14:paraId="3B80FF06" w14:textId="77777777" w:rsidR="00377D13" w:rsidRPr="00005453" w:rsidRDefault="00377D13" w:rsidP="00377D13">
      <w:pPr>
        <w:tabs>
          <w:tab w:val="left" w:pos="709"/>
        </w:tabs>
        <w:autoSpaceDE w:val="0"/>
        <w:autoSpaceDN w:val="0"/>
        <w:adjustRightInd w:val="0"/>
        <w:spacing w:line="221" w:lineRule="auto"/>
        <w:ind w:hanging="567"/>
        <w:rPr>
          <w:b/>
          <w:sz w:val="10"/>
        </w:rPr>
      </w:pPr>
    </w:p>
    <w:p w14:paraId="22DB74DA" w14:textId="77777777" w:rsidR="00FD1502" w:rsidRPr="00005453" w:rsidRDefault="00FD1502" w:rsidP="00FD1502">
      <w:pPr>
        <w:pStyle w:val="BodyTextIndent3"/>
        <w:spacing w:before="0" w:line="221" w:lineRule="auto"/>
        <w:ind w:firstLine="0"/>
        <w:rPr>
          <w:color w:val="000000"/>
          <w:sz w:val="20"/>
        </w:rPr>
      </w:pPr>
      <w:r w:rsidRPr="00005453">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581E96D3" w14:textId="77777777" w:rsidR="00FD1502" w:rsidRPr="00005453" w:rsidRDefault="00FD1502" w:rsidP="00FD1502">
      <w:pPr>
        <w:pStyle w:val="BodyTextIndent3"/>
        <w:spacing w:before="0" w:line="221" w:lineRule="auto"/>
        <w:ind w:firstLine="0"/>
        <w:rPr>
          <w:color w:val="000000"/>
          <w:sz w:val="12"/>
          <w:szCs w:val="12"/>
        </w:rPr>
      </w:pPr>
    </w:p>
    <w:p w14:paraId="288D0F5F" w14:textId="77777777" w:rsidR="00FD1502" w:rsidRPr="00005453" w:rsidRDefault="00FD1502" w:rsidP="00FD1502">
      <w:pPr>
        <w:pStyle w:val="BodyTextIndent3"/>
        <w:tabs>
          <w:tab w:val="left" w:pos="567"/>
        </w:tabs>
        <w:spacing w:before="0" w:line="221" w:lineRule="auto"/>
        <w:ind w:firstLine="0"/>
        <w:rPr>
          <w:color w:val="000000"/>
          <w:sz w:val="20"/>
        </w:rPr>
      </w:pPr>
      <w:r w:rsidRPr="00005453">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46936682" w14:textId="77777777" w:rsidR="00FD1502" w:rsidRPr="00005453" w:rsidRDefault="00FD1502" w:rsidP="00FD1502">
      <w:pPr>
        <w:autoSpaceDE w:val="0"/>
        <w:autoSpaceDN w:val="0"/>
        <w:adjustRightInd w:val="0"/>
        <w:spacing w:line="221" w:lineRule="auto"/>
        <w:jc w:val="both"/>
        <w:rPr>
          <w:color w:val="000000"/>
          <w:sz w:val="12"/>
          <w:szCs w:val="12"/>
        </w:rPr>
      </w:pPr>
    </w:p>
    <w:p w14:paraId="1FD06F82" w14:textId="77777777" w:rsidR="00FD1502" w:rsidRPr="00005453" w:rsidRDefault="00FD1502" w:rsidP="00FD1502">
      <w:pPr>
        <w:autoSpaceDE w:val="0"/>
        <w:autoSpaceDN w:val="0"/>
        <w:adjustRightInd w:val="0"/>
        <w:spacing w:line="221" w:lineRule="auto"/>
        <w:jc w:val="both"/>
        <w:rPr>
          <w:color w:val="000000"/>
        </w:rPr>
      </w:pPr>
      <w:r w:rsidRPr="00005453">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79CAA6A" w14:textId="77777777" w:rsidR="00377D13" w:rsidRPr="00005453" w:rsidRDefault="00377D13" w:rsidP="00377D13">
      <w:pPr>
        <w:autoSpaceDE w:val="0"/>
        <w:autoSpaceDN w:val="0"/>
        <w:adjustRightInd w:val="0"/>
        <w:spacing w:line="221" w:lineRule="auto"/>
        <w:jc w:val="both"/>
        <w:rPr>
          <w:color w:val="000000"/>
        </w:rPr>
      </w:pPr>
    </w:p>
    <w:p w14:paraId="60427FC5" w14:textId="77777777" w:rsidR="00377D13" w:rsidRPr="00005453" w:rsidRDefault="00377D13" w:rsidP="00377D13">
      <w:pPr>
        <w:pStyle w:val="Default"/>
        <w:tabs>
          <w:tab w:val="left" w:pos="709"/>
        </w:tabs>
        <w:ind w:hanging="567"/>
        <w:rPr>
          <w:sz w:val="20"/>
          <w:szCs w:val="20"/>
        </w:rPr>
      </w:pPr>
      <w:r w:rsidRPr="00005453">
        <w:rPr>
          <w:b/>
          <w:bCs/>
          <w:sz w:val="20"/>
          <w:szCs w:val="20"/>
        </w:rPr>
        <w:t>3.</w:t>
      </w:r>
      <w:r w:rsidRPr="00005453">
        <w:rPr>
          <w:b/>
          <w:bCs/>
          <w:sz w:val="20"/>
          <w:szCs w:val="20"/>
        </w:rPr>
        <w:tab/>
        <w:t xml:space="preserve">İştirak ve bağlı ortaklıklara ilişkin bilgiler </w:t>
      </w:r>
    </w:p>
    <w:p w14:paraId="722C8B8B" w14:textId="77777777" w:rsidR="00377D13" w:rsidRPr="00005453" w:rsidRDefault="00377D13" w:rsidP="00377D13">
      <w:pPr>
        <w:tabs>
          <w:tab w:val="left" w:pos="1485"/>
        </w:tabs>
        <w:autoSpaceDE w:val="0"/>
        <w:autoSpaceDN w:val="0"/>
        <w:adjustRightInd w:val="0"/>
        <w:spacing w:line="221" w:lineRule="auto"/>
        <w:jc w:val="both"/>
      </w:pPr>
      <w:r w:rsidRPr="00005453">
        <w:rPr>
          <w:sz w:val="10"/>
          <w:szCs w:val="10"/>
        </w:rPr>
        <w:tab/>
      </w:r>
    </w:p>
    <w:p w14:paraId="69ED8C12" w14:textId="28EA1A05" w:rsidR="00FD1502" w:rsidRPr="00005453" w:rsidRDefault="00FD1502" w:rsidP="00FD1502">
      <w:pPr>
        <w:autoSpaceDE w:val="0"/>
        <w:autoSpaceDN w:val="0"/>
        <w:adjustRightInd w:val="0"/>
        <w:spacing w:line="221" w:lineRule="auto"/>
        <w:jc w:val="both"/>
      </w:pPr>
      <w:r w:rsidRPr="00005453">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37F4FAF2" w14:textId="4C4BFA8B" w:rsidR="00A52352" w:rsidRPr="00005453" w:rsidRDefault="00A52352" w:rsidP="00FD1502">
      <w:pPr>
        <w:autoSpaceDE w:val="0"/>
        <w:autoSpaceDN w:val="0"/>
        <w:adjustRightInd w:val="0"/>
        <w:spacing w:line="221" w:lineRule="auto"/>
        <w:jc w:val="both"/>
        <w:rPr>
          <w:sz w:val="16"/>
        </w:rPr>
      </w:pPr>
    </w:p>
    <w:p w14:paraId="4503405E" w14:textId="77777777" w:rsidR="00377D13" w:rsidRPr="00005453" w:rsidRDefault="00377D13" w:rsidP="00377D13">
      <w:pPr>
        <w:tabs>
          <w:tab w:val="left" w:pos="709"/>
        </w:tabs>
        <w:autoSpaceDE w:val="0"/>
        <w:autoSpaceDN w:val="0"/>
        <w:adjustRightInd w:val="0"/>
        <w:spacing w:line="221" w:lineRule="auto"/>
        <w:ind w:hanging="567"/>
        <w:jc w:val="both"/>
        <w:rPr>
          <w:b/>
        </w:rPr>
      </w:pPr>
      <w:r w:rsidRPr="00005453">
        <w:rPr>
          <w:b/>
        </w:rPr>
        <w:t>4.</w:t>
      </w:r>
      <w:r w:rsidRPr="00005453">
        <w:rPr>
          <w:b/>
        </w:rPr>
        <w:tab/>
        <w:t>Vadeli işlem ve opsiyon sözleşmeleri ile türev ürünlere ilişkin açıklamalar</w:t>
      </w:r>
    </w:p>
    <w:p w14:paraId="28C940A0" w14:textId="77777777" w:rsidR="00377D13" w:rsidRPr="00005453" w:rsidRDefault="00377D13" w:rsidP="00377D13">
      <w:pPr>
        <w:autoSpaceDE w:val="0"/>
        <w:autoSpaceDN w:val="0"/>
        <w:adjustRightInd w:val="0"/>
        <w:rPr>
          <w:sz w:val="10"/>
        </w:rPr>
      </w:pPr>
    </w:p>
    <w:p w14:paraId="403CADD5" w14:textId="3FCCF43F" w:rsidR="00FD1502" w:rsidRPr="00005453" w:rsidRDefault="00FD1502" w:rsidP="00FD1502">
      <w:pPr>
        <w:pStyle w:val="BodyText"/>
      </w:pPr>
      <w:r w:rsidRPr="00005453">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w:t>
      </w:r>
      <w:r w:rsidR="00025CF2" w:rsidRPr="00005453">
        <w:t>Yükümlülükler</w:t>
      </w:r>
      <w:r w:rsidRPr="00005453">
        <w:t xml:space="preserve">” hesabında izlenmektedir. </w:t>
      </w:r>
    </w:p>
    <w:p w14:paraId="440BD73F" w14:textId="77777777" w:rsidR="00377D13" w:rsidRPr="00005453" w:rsidRDefault="00377D13" w:rsidP="00377D13">
      <w:pPr>
        <w:pStyle w:val="BodyText"/>
        <w:rPr>
          <w:sz w:val="12"/>
          <w:szCs w:val="16"/>
        </w:rPr>
      </w:pPr>
    </w:p>
    <w:p w14:paraId="027F3376" w14:textId="0D7EE58F" w:rsidR="00377D13" w:rsidRPr="00005453" w:rsidRDefault="00377D13" w:rsidP="00532EFF">
      <w:pPr>
        <w:pStyle w:val="BodyText"/>
      </w:pPr>
      <w:r w:rsidRPr="00005453">
        <w:t>Türev işlemlerden doğan yükümlülük ve alacaklar sözleşme tutarları üzerinden nazım hesaplara kaydedilmektedir.</w:t>
      </w:r>
      <w:r w:rsidR="00555190" w:rsidRPr="00005453">
        <w:t xml:space="preserve"> </w:t>
      </w:r>
      <w:r w:rsidRPr="00005453">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64E5EA3D" w14:textId="77777777" w:rsidR="00377D13" w:rsidRPr="00005453" w:rsidRDefault="00377D13" w:rsidP="00377D13">
      <w:pPr>
        <w:jc w:val="both"/>
        <w:rPr>
          <w:color w:val="000000"/>
          <w:sz w:val="12"/>
          <w:szCs w:val="16"/>
        </w:rPr>
      </w:pPr>
    </w:p>
    <w:p w14:paraId="63582517" w14:textId="77777777" w:rsidR="00377D13" w:rsidRPr="00005453" w:rsidRDefault="00377D13" w:rsidP="00377D13">
      <w:pPr>
        <w:rPr>
          <w:color w:val="000000"/>
          <w:sz w:val="2"/>
          <w:szCs w:val="10"/>
        </w:rPr>
      </w:pPr>
    </w:p>
    <w:p w14:paraId="26FBEFCD" w14:textId="77777777" w:rsidR="005F6E0A" w:rsidRDefault="005F6E0A" w:rsidP="00377D13">
      <w:pPr>
        <w:autoSpaceDE w:val="0"/>
        <w:autoSpaceDN w:val="0"/>
        <w:adjustRightInd w:val="0"/>
        <w:jc w:val="both"/>
        <w:rPr>
          <w:color w:val="000000"/>
        </w:rPr>
      </w:pPr>
    </w:p>
    <w:p w14:paraId="5CFD29B1" w14:textId="77777777" w:rsidR="005F6E0A" w:rsidRDefault="005F6E0A" w:rsidP="00377D13">
      <w:pPr>
        <w:autoSpaceDE w:val="0"/>
        <w:autoSpaceDN w:val="0"/>
        <w:adjustRightInd w:val="0"/>
        <w:jc w:val="both"/>
        <w:rPr>
          <w:color w:val="000000"/>
        </w:rPr>
      </w:pPr>
    </w:p>
    <w:p w14:paraId="5328968C" w14:textId="77777777" w:rsidR="005F6E0A" w:rsidRDefault="005F6E0A" w:rsidP="00377D13">
      <w:pPr>
        <w:autoSpaceDE w:val="0"/>
        <w:autoSpaceDN w:val="0"/>
        <w:adjustRightInd w:val="0"/>
        <w:jc w:val="both"/>
        <w:rPr>
          <w:color w:val="000000"/>
        </w:rPr>
      </w:pPr>
    </w:p>
    <w:p w14:paraId="4793C8A9" w14:textId="77354F1A" w:rsidR="00377D13" w:rsidRPr="00005453" w:rsidRDefault="00377D13" w:rsidP="00377D13">
      <w:pPr>
        <w:autoSpaceDE w:val="0"/>
        <w:autoSpaceDN w:val="0"/>
        <w:adjustRightInd w:val="0"/>
        <w:jc w:val="both"/>
        <w:rPr>
          <w:color w:val="000000"/>
        </w:rPr>
      </w:pPr>
      <w:r w:rsidRPr="00005453">
        <w:rPr>
          <w:color w:val="000000"/>
        </w:rPr>
        <w:lastRenderedPageBreak/>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B85C50D" w14:textId="77777777" w:rsidR="00377D13" w:rsidRPr="00005453" w:rsidRDefault="00377D13" w:rsidP="00377D13">
      <w:pPr>
        <w:autoSpaceDE w:val="0"/>
        <w:autoSpaceDN w:val="0"/>
        <w:adjustRightInd w:val="0"/>
        <w:jc w:val="center"/>
        <w:rPr>
          <w:color w:val="000000"/>
          <w:sz w:val="12"/>
          <w:szCs w:val="16"/>
        </w:rPr>
      </w:pPr>
    </w:p>
    <w:p w14:paraId="25E54C68" w14:textId="5443B981" w:rsidR="00377D13" w:rsidRPr="00005453" w:rsidRDefault="00377D13" w:rsidP="00377D13">
      <w:pPr>
        <w:autoSpaceDE w:val="0"/>
        <w:autoSpaceDN w:val="0"/>
        <w:adjustRightInd w:val="0"/>
        <w:jc w:val="both"/>
        <w:rPr>
          <w:color w:val="000000"/>
        </w:rPr>
      </w:pPr>
      <w:r w:rsidRPr="00005453">
        <w:rPr>
          <w:color w:val="000000"/>
        </w:rPr>
        <w:t>Banka’nın 31 Aralık 202</w:t>
      </w:r>
      <w:r w:rsidR="006D7D4F" w:rsidRPr="00005453">
        <w:rPr>
          <w:color w:val="000000"/>
        </w:rPr>
        <w:t>4</w:t>
      </w:r>
      <w:r w:rsidRPr="00005453">
        <w:rPr>
          <w:color w:val="000000"/>
        </w:rPr>
        <w:t xml:space="preserve"> tarihi itibarıyla nakit akış riskinden korunma işlemi bulunmamaktadır.</w:t>
      </w:r>
    </w:p>
    <w:p w14:paraId="1F6C6968" w14:textId="1D14735B" w:rsidR="00B07239" w:rsidRPr="00005453" w:rsidRDefault="00B07239" w:rsidP="00377D13">
      <w:pPr>
        <w:autoSpaceDE w:val="0"/>
        <w:autoSpaceDN w:val="0"/>
        <w:adjustRightInd w:val="0"/>
        <w:jc w:val="both"/>
        <w:rPr>
          <w:color w:val="000000"/>
        </w:rPr>
      </w:pPr>
    </w:p>
    <w:p w14:paraId="3513D402" w14:textId="3F6A51BE" w:rsidR="00B263A8" w:rsidRPr="00FE09BD" w:rsidRDefault="00FD1502" w:rsidP="00E4298D">
      <w:pPr>
        <w:autoSpaceDE w:val="0"/>
        <w:autoSpaceDN w:val="0"/>
        <w:adjustRightInd w:val="0"/>
        <w:jc w:val="both"/>
        <w:rPr>
          <w:color w:val="000000"/>
        </w:rPr>
      </w:pPr>
      <w:r w:rsidRPr="00005453">
        <w:rPr>
          <w:color w:val="000000"/>
        </w:rPr>
        <w:t xml:space="preserve">Ocak 2021’den geçerli olmak üzere TFRS 9, TMS 39, TFRS 7, TFRS 4 ve TFRS 16’da değişiklikler getiren Gösterge Faiz Oranı </w:t>
      </w:r>
      <w:proofErr w:type="gramStart"/>
      <w:r w:rsidRPr="00005453">
        <w:rPr>
          <w:color w:val="000000"/>
        </w:rPr>
        <w:t>Reformu -</w:t>
      </w:r>
      <w:proofErr w:type="gramEnd"/>
      <w:r w:rsidRPr="00005453">
        <w:rPr>
          <w:color w:val="00000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Aralık 202</w:t>
      </w:r>
      <w:r w:rsidR="006D7D4F" w:rsidRPr="00005453">
        <w:rPr>
          <w:color w:val="000000"/>
        </w:rPr>
        <w:t>4</w:t>
      </w:r>
      <w:r w:rsidRPr="00005453">
        <w:rPr>
          <w:color w:val="000000"/>
        </w:rPr>
        <w:t xml:space="preserve"> tarihi itibarıyla gösterge faiz oranına dayanan riskten korunma işlemi bulunmamaktadır.</w:t>
      </w:r>
    </w:p>
    <w:p w14:paraId="342597E4" w14:textId="77777777" w:rsidR="0068420B" w:rsidRPr="00005453" w:rsidRDefault="0068420B" w:rsidP="00E4298D">
      <w:pPr>
        <w:autoSpaceDE w:val="0"/>
        <w:autoSpaceDN w:val="0"/>
        <w:adjustRightInd w:val="0"/>
        <w:jc w:val="both"/>
        <w:rPr>
          <w:sz w:val="18"/>
        </w:rPr>
      </w:pPr>
    </w:p>
    <w:p w14:paraId="190AD26B" w14:textId="48FB1E06" w:rsidR="00377D13" w:rsidRPr="00005453" w:rsidRDefault="00377D13" w:rsidP="00377D13">
      <w:pPr>
        <w:autoSpaceDE w:val="0"/>
        <w:autoSpaceDN w:val="0"/>
        <w:adjustRightInd w:val="0"/>
        <w:ind w:hanging="567"/>
        <w:rPr>
          <w:b/>
        </w:rPr>
      </w:pPr>
      <w:r w:rsidRPr="00005453">
        <w:rPr>
          <w:b/>
        </w:rPr>
        <w:t>5.</w:t>
      </w:r>
      <w:r w:rsidRPr="00005453">
        <w:rPr>
          <w:b/>
        </w:rPr>
        <w:tab/>
      </w:r>
      <w:proofErr w:type="gramStart"/>
      <w:r w:rsidRPr="00005453">
        <w:rPr>
          <w:b/>
        </w:rPr>
        <w:t>Kar</w:t>
      </w:r>
      <w:proofErr w:type="gramEnd"/>
      <w:r w:rsidRPr="00005453">
        <w:rPr>
          <w:b/>
        </w:rPr>
        <w:t xml:space="preserve"> payı gelir ve giderine ilişkin açıklamalar</w:t>
      </w:r>
    </w:p>
    <w:p w14:paraId="4F3718EE" w14:textId="77777777" w:rsidR="00377D13" w:rsidRPr="00005453" w:rsidRDefault="00377D13" w:rsidP="00377D13">
      <w:pPr>
        <w:autoSpaceDE w:val="0"/>
        <w:autoSpaceDN w:val="0"/>
        <w:adjustRightInd w:val="0"/>
        <w:rPr>
          <w:b/>
          <w:sz w:val="10"/>
        </w:rPr>
      </w:pPr>
    </w:p>
    <w:p w14:paraId="21FCD473" w14:textId="77777777" w:rsidR="00FD1502" w:rsidRPr="00005453" w:rsidRDefault="00FD1502" w:rsidP="00FD1502">
      <w:pPr>
        <w:autoSpaceDE w:val="0"/>
        <w:autoSpaceDN w:val="0"/>
        <w:adjustRightInd w:val="0"/>
        <w:jc w:val="both"/>
        <w:rPr>
          <w:color w:val="000000"/>
        </w:rPr>
      </w:pPr>
      <w:proofErr w:type="gramStart"/>
      <w:r w:rsidRPr="00005453">
        <w:rPr>
          <w:color w:val="000000"/>
        </w:rPr>
        <w:t>Kar</w:t>
      </w:r>
      <w:proofErr w:type="gramEnd"/>
      <w:r w:rsidRPr="00005453">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005453">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005453">
        <w:rPr>
          <w:color w:val="000000"/>
        </w:rPr>
        <w:t>TFRS 9 Finansal Araçlar Standardı kapsamından bu müşteriler için kar tahakkuk ve reeskontları hesaplanmaktadır.</w:t>
      </w:r>
    </w:p>
    <w:p w14:paraId="7B6F1139" w14:textId="77777777" w:rsidR="00FD1502" w:rsidRPr="00005453" w:rsidRDefault="00FD1502" w:rsidP="00FD1502">
      <w:pPr>
        <w:tabs>
          <w:tab w:val="left" w:pos="3720"/>
        </w:tabs>
        <w:autoSpaceDE w:val="0"/>
        <w:autoSpaceDN w:val="0"/>
        <w:adjustRightInd w:val="0"/>
        <w:jc w:val="both"/>
        <w:rPr>
          <w:color w:val="000000"/>
          <w:sz w:val="12"/>
          <w:szCs w:val="12"/>
        </w:rPr>
      </w:pPr>
    </w:p>
    <w:p w14:paraId="6EF4A28D" w14:textId="77777777" w:rsidR="00FD1502" w:rsidRPr="00005453" w:rsidRDefault="00FD1502" w:rsidP="00FD1502">
      <w:pPr>
        <w:tabs>
          <w:tab w:val="left" w:pos="3720"/>
        </w:tabs>
        <w:autoSpaceDE w:val="0"/>
        <w:autoSpaceDN w:val="0"/>
        <w:adjustRightInd w:val="0"/>
        <w:jc w:val="both"/>
        <w:rPr>
          <w:color w:val="000000"/>
          <w:sz w:val="16"/>
          <w:szCs w:val="16"/>
        </w:rPr>
      </w:pPr>
      <w:r w:rsidRPr="00005453">
        <w:rPr>
          <w:color w:val="000000"/>
        </w:rPr>
        <w:t>Banka, kar/zarar katılma hesapları üzerinden birim değer hesaplama yöntemine göre gider reeskontu hesaplamaktadır ve bu tutarlar bilançoda “Toplanan Fonlar” hesabı üzerinde gösterilmiştir.</w:t>
      </w:r>
    </w:p>
    <w:p w14:paraId="2B3EEFDF" w14:textId="77777777" w:rsidR="00377D13" w:rsidRPr="00005453" w:rsidRDefault="00377D13" w:rsidP="00377D13">
      <w:pPr>
        <w:autoSpaceDE w:val="0"/>
        <w:autoSpaceDN w:val="0"/>
        <w:adjustRightInd w:val="0"/>
        <w:ind w:hanging="567"/>
        <w:rPr>
          <w:b/>
        </w:rPr>
      </w:pPr>
    </w:p>
    <w:p w14:paraId="28850246" w14:textId="77777777" w:rsidR="00377D13" w:rsidRPr="00005453" w:rsidRDefault="00377D13" w:rsidP="00377D13">
      <w:pPr>
        <w:autoSpaceDE w:val="0"/>
        <w:autoSpaceDN w:val="0"/>
        <w:adjustRightInd w:val="0"/>
        <w:ind w:hanging="567"/>
        <w:rPr>
          <w:b/>
        </w:rPr>
      </w:pPr>
      <w:r w:rsidRPr="00005453">
        <w:rPr>
          <w:b/>
        </w:rPr>
        <w:t>6.</w:t>
      </w:r>
      <w:r w:rsidRPr="00005453">
        <w:rPr>
          <w:b/>
        </w:rPr>
        <w:tab/>
        <w:t>Ücret ve komisyon gelir ve giderlerine ilişkin açıklamalar</w:t>
      </w:r>
    </w:p>
    <w:p w14:paraId="11B4FD1E" w14:textId="77777777" w:rsidR="00377D13" w:rsidRPr="00005453" w:rsidRDefault="00377D13" w:rsidP="00377D13">
      <w:pPr>
        <w:autoSpaceDE w:val="0"/>
        <w:autoSpaceDN w:val="0"/>
        <w:adjustRightInd w:val="0"/>
        <w:rPr>
          <w:sz w:val="10"/>
        </w:rPr>
      </w:pPr>
    </w:p>
    <w:p w14:paraId="2086BF2A" w14:textId="77777777" w:rsidR="00FD1502" w:rsidRPr="00005453" w:rsidRDefault="00FD1502" w:rsidP="00FD1502">
      <w:pPr>
        <w:autoSpaceDE w:val="0"/>
        <w:autoSpaceDN w:val="0"/>
        <w:adjustRightInd w:val="0"/>
        <w:jc w:val="both"/>
      </w:pPr>
      <w:r w:rsidRPr="00005453">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005453">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C606AB9" w14:textId="77777777" w:rsidR="00FD1502" w:rsidRPr="00005453" w:rsidRDefault="00FD1502" w:rsidP="00FD1502">
      <w:pPr>
        <w:autoSpaceDE w:val="0"/>
        <w:autoSpaceDN w:val="0"/>
        <w:adjustRightInd w:val="0"/>
        <w:jc w:val="both"/>
        <w:rPr>
          <w:sz w:val="12"/>
          <w:szCs w:val="12"/>
        </w:rPr>
      </w:pPr>
    </w:p>
    <w:p w14:paraId="49EB2B73" w14:textId="77777777" w:rsidR="00FD1502" w:rsidRPr="00005453" w:rsidRDefault="00FD1502" w:rsidP="00FD1502">
      <w:pPr>
        <w:autoSpaceDE w:val="0"/>
        <w:autoSpaceDN w:val="0"/>
        <w:adjustRightInd w:val="0"/>
        <w:jc w:val="both"/>
        <w:rPr>
          <w:color w:val="000000"/>
        </w:rPr>
      </w:pPr>
      <w:r w:rsidRPr="00005453">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DEEB883" w14:textId="77777777" w:rsidR="00FD1502" w:rsidRPr="00005453" w:rsidRDefault="00FD1502" w:rsidP="00FD1502">
      <w:pPr>
        <w:autoSpaceDE w:val="0"/>
        <w:autoSpaceDN w:val="0"/>
        <w:adjustRightInd w:val="0"/>
        <w:jc w:val="both"/>
        <w:rPr>
          <w:color w:val="000000"/>
          <w:sz w:val="12"/>
          <w:szCs w:val="12"/>
        </w:rPr>
      </w:pPr>
    </w:p>
    <w:p w14:paraId="2494DE70" w14:textId="42200910" w:rsidR="00377D13" w:rsidRPr="00005453" w:rsidRDefault="00FD1502" w:rsidP="00377D13">
      <w:pPr>
        <w:autoSpaceDE w:val="0"/>
        <w:autoSpaceDN w:val="0"/>
        <w:adjustRightInd w:val="0"/>
        <w:jc w:val="both"/>
        <w:rPr>
          <w:color w:val="000000"/>
        </w:rPr>
      </w:pPr>
      <w:r w:rsidRPr="00005453">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w:t>
      </w:r>
    </w:p>
    <w:p w14:paraId="62088BEB" w14:textId="77777777" w:rsidR="00D552DD" w:rsidRPr="00005453" w:rsidRDefault="00D552DD" w:rsidP="00377D13">
      <w:pPr>
        <w:autoSpaceDE w:val="0"/>
        <w:autoSpaceDN w:val="0"/>
        <w:adjustRightInd w:val="0"/>
        <w:jc w:val="both"/>
        <w:rPr>
          <w:color w:val="000000"/>
        </w:rPr>
      </w:pPr>
    </w:p>
    <w:p w14:paraId="7E262EBF" w14:textId="77777777" w:rsidR="00377D13" w:rsidRPr="00005453" w:rsidRDefault="00377D13" w:rsidP="00377D13">
      <w:pPr>
        <w:tabs>
          <w:tab w:val="left" w:pos="709"/>
        </w:tabs>
        <w:autoSpaceDE w:val="0"/>
        <w:autoSpaceDN w:val="0"/>
        <w:adjustRightInd w:val="0"/>
        <w:ind w:left="-11" w:hanging="556"/>
        <w:rPr>
          <w:b/>
        </w:rPr>
      </w:pPr>
      <w:r w:rsidRPr="00005453">
        <w:rPr>
          <w:b/>
        </w:rPr>
        <w:t xml:space="preserve">7.     </w:t>
      </w:r>
      <w:r w:rsidRPr="00005453">
        <w:rPr>
          <w:b/>
        </w:rPr>
        <w:tab/>
        <w:t>Finansal varlıklara ilişkin açıklama ve dipnotlar</w:t>
      </w:r>
    </w:p>
    <w:p w14:paraId="19DC6135" w14:textId="77777777" w:rsidR="00377D13" w:rsidRPr="00005453" w:rsidRDefault="00377D13" w:rsidP="00377D13">
      <w:pPr>
        <w:autoSpaceDE w:val="0"/>
        <w:autoSpaceDN w:val="0"/>
        <w:adjustRightInd w:val="0"/>
        <w:ind w:hanging="540"/>
        <w:rPr>
          <w:b/>
          <w:sz w:val="10"/>
        </w:rPr>
      </w:pPr>
    </w:p>
    <w:p w14:paraId="6C864487" w14:textId="77777777" w:rsidR="00FD1502" w:rsidRPr="00005453" w:rsidRDefault="00FD1502" w:rsidP="00FD1502">
      <w:pPr>
        <w:autoSpaceDE w:val="0"/>
        <w:autoSpaceDN w:val="0"/>
        <w:adjustRightInd w:val="0"/>
        <w:jc w:val="both"/>
        <w:rPr>
          <w:color w:val="000000"/>
        </w:rPr>
      </w:pPr>
      <w:r w:rsidRPr="00005453">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005453">
        <w:rPr>
          <w:color w:val="000000"/>
        </w:rPr>
        <w:t>Resmi</w:t>
      </w:r>
      <w:proofErr w:type="gramEnd"/>
      <w:r w:rsidRPr="00005453">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75FFE5E0" w14:textId="77777777" w:rsidR="00FD1502" w:rsidRPr="00005453" w:rsidRDefault="00FD1502" w:rsidP="00FD1502">
      <w:pPr>
        <w:autoSpaceDE w:val="0"/>
        <w:autoSpaceDN w:val="0"/>
        <w:adjustRightInd w:val="0"/>
        <w:jc w:val="both"/>
        <w:rPr>
          <w:color w:val="000000"/>
          <w:sz w:val="12"/>
          <w:szCs w:val="12"/>
        </w:rPr>
      </w:pPr>
    </w:p>
    <w:p w14:paraId="2B904025" w14:textId="77777777" w:rsidR="005F6E0A" w:rsidRDefault="005F6E0A" w:rsidP="00FD1502">
      <w:pPr>
        <w:autoSpaceDE w:val="0"/>
        <w:autoSpaceDN w:val="0"/>
        <w:adjustRightInd w:val="0"/>
        <w:jc w:val="both"/>
        <w:rPr>
          <w:color w:val="000000"/>
        </w:rPr>
      </w:pPr>
    </w:p>
    <w:p w14:paraId="7522C5DF" w14:textId="57F98B0E" w:rsidR="00FD1502" w:rsidRDefault="00FD1502" w:rsidP="00FD1502">
      <w:pPr>
        <w:autoSpaceDE w:val="0"/>
        <w:autoSpaceDN w:val="0"/>
        <w:adjustRightInd w:val="0"/>
        <w:jc w:val="both"/>
        <w:rPr>
          <w:color w:val="000000"/>
        </w:rPr>
      </w:pPr>
      <w:r w:rsidRPr="00005453">
        <w:rPr>
          <w:color w:val="000000"/>
        </w:rPr>
        <w:lastRenderedPageBreak/>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B587A18" w14:textId="77777777" w:rsidR="005F6E0A" w:rsidRPr="00005453" w:rsidRDefault="005F6E0A" w:rsidP="00FD1502">
      <w:pPr>
        <w:autoSpaceDE w:val="0"/>
        <w:autoSpaceDN w:val="0"/>
        <w:adjustRightInd w:val="0"/>
        <w:jc w:val="both"/>
        <w:rPr>
          <w:color w:val="000000"/>
        </w:rPr>
      </w:pPr>
    </w:p>
    <w:p w14:paraId="7B57042F" w14:textId="2B51D8C3" w:rsidR="00377D13" w:rsidRPr="00005453" w:rsidRDefault="00377D13" w:rsidP="00377D13">
      <w:pPr>
        <w:pStyle w:val="BodyText3"/>
        <w:tabs>
          <w:tab w:val="clear" w:pos="539"/>
          <w:tab w:val="num" w:pos="709"/>
        </w:tabs>
        <w:ind w:right="183" w:hanging="567"/>
        <w:rPr>
          <w:b/>
          <w:bCs w:val="0"/>
          <w:i w:val="0"/>
          <w:iCs w:val="0"/>
          <w:sz w:val="20"/>
        </w:rPr>
      </w:pPr>
      <w:r w:rsidRPr="00005453">
        <w:rPr>
          <w:b/>
          <w:bCs w:val="0"/>
          <w:i w:val="0"/>
          <w:iCs w:val="0"/>
          <w:sz w:val="20"/>
        </w:rPr>
        <w:t xml:space="preserve">7.1   </w:t>
      </w:r>
      <w:r w:rsidRPr="00005453">
        <w:rPr>
          <w:b/>
          <w:bCs w:val="0"/>
          <w:i w:val="0"/>
          <w:iCs w:val="0"/>
          <w:sz w:val="20"/>
        </w:rPr>
        <w:tab/>
        <w:t>Gerçeğe uygun değer farkı kar/</w:t>
      </w:r>
      <w:r w:rsidR="00555190" w:rsidRPr="00005453">
        <w:rPr>
          <w:b/>
          <w:bCs w:val="0"/>
          <w:i w:val="0"/>
          <w:iCs w:val="0"/>
          <w:sz w:val="20"/>
        </w:rPr>
        <w:t>zarar</w:t>
      </w:r>
      <w:r w:rsidR="00AE2CFA" w:rsidRPr="00005453">
        <w:rPr>
          <w:b/>
          <w:bCs w:val="0"/>
          <w:i w:val="0"/>
          <w:iCs w:val="0"/>
          <w:sz w:val="20"/>
        </w:rPr>
        <w:t>’</w:t>
      </w:r>
      <w:r w:rsidR="00555190" w:rsidRPr="00005453">
        <w:rPr>
          <w:b/>
          <w:bCs w:val="0"/>
          <w:i w:val="0"/>
          <w:iCs w:val="0"/>
          <w:sz w:val="20"/>
        </w:rPr>
        <w:t>a</w:t>
      </w:r>
      <w:r w:rsidRPr="00005453">
        <w:rPr>
          <w:b/>
          <w:bCs w:val="0"/>
          <w:i w:val="0"/>
          <w:iCs w:val="0"/>
          <w:sz w:val="20"/>
        </w:rPr>
        <w:t xml:space="preserve"> yansıtılan finansal varlıklar</w:t>
      </w:r>
    </w:p>
    <w:p w14:paraId="54486FEA" w14:textId="77777777" w:rsidR="00377D13" w:rsidRPr="00005453" w:rsidRDefault="00377D13" w:rsidP="00FD1502">
      <w:pPr>
        <w:autoSpaceDE w:val="0"/>
        <w:autoSpaceDN w:val="0"/>
        <w:adjustRightInd w:val="0"/>
        <w:ind w:hanging="540"/>
        <w:rPr>
          <w:b/>
          <w:sz w:val="10"/>
        </w:rPr>
      </w:pPr>
    </w:p>
    <w:p w14:paraId="2D507D2D" w14:textId="4B5D5DBA" w:rsidR="006C1D67" w:rsidRDefault="00FD1502" w:rsidP="00FD1502">
      <w:pPr>
        <w:autoSpaceDE w:val="0"/>
        <w:autoSpaceDN w:val="0"/>
        <w:adjustRightInd w:val="0"/>
        <w:jc w:val="both"/>
      </w:pPr>
      <w:r w:rsidRPr="00005453">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57E1742C" w14:textId="77777777" w:rsidR="005F6E0A" w:rsidRPr="00005453" w:rsidRDefault="005F6E0A" w:rsidP="00FD1502">
      <w:pPr>
        <w:autoSpaceDE w:val="0"/>
        <w:autoSpaceDN w:val="0"/>
        <w:adjustRightInd w:val="0"/>
        <w:jc w:val="both"/>
      </w:pPr>
    </w:p>
    <w:p w14:paraId="39AFB622" w14:textId="3FC4C42E" w:rsidR="00FD1502" w:rsidRPr="00005453" w:rsidRDefault="00FD1502" w:rsidP="00FD1502">
      <w:pPr>
        <w:pStyle w:val="BodyText3"/>
        <w:tabs>
          <w:tab w:val="clear" w:pos="539"/>
          <w:tab w:val="clear" w:pos="5310"/>
          <w:tab w:val="clear" w:pos="7560"/>
        </w:tabs>
        <w:ind w:right="183" w:hanging="567"/>
        <w:rPr>
          <w:b/>
          <w:bCs w:val="0"/>
          <w:i w:val="0"/>
          <w:iCs w:val="0"/>
          <w:sz w:val="20"/>
        </w:rPr>
      </w:pPr>
      <w:r w:rsidRPr="00005453">
        <w:rPr>
          <w:b/>
          <w:bCs w:val="0"/>
          <w:i w:val="0"/>
          <w:iCs w:val="0"/>
          <w:sz w:val="20"/>
        </w:rPr>
        <w:t xml:space="preserve">7.2   </w:t>
      </w:r>
      <w:r w:rsidRPr="00005453">
        <w:rPr>
          <w:b/>
          <w:bCs w:val="0"/>
          <w:i w:val="0"/>
          <w:iCs w:val="0"/>
          <w:sz w:val="20"/>
        </w:rPr>
        <w:tab/>
        <w:t xml:space="preserve">Gerçeğe </w:t>
      </w:r>
      <w:r w:rsidR="00FD26C3" w:rsidRPr="00005453">
        <w:rPr>
          <w:b/>
          <w:bCs w:val="0"/>
          <w:i w:val="0"/>
          <w:iCs w:val="0"/>
          <w:sz w:val="20"/>
        </w:rPr>
        <w:t>u</w:t>
      </w:r>
      <w:r w:rsidRPr="00005453">
        <w:rPr>
          <w:b/>
          <w:bCs w:val="0"/>
          <w:i w:val="0"/>
          <w:iCs w:val="0"/>
          <w:sz w:val="20"/>
        </w:rPr>
        <w:t xml:space="preserve">ygun </w:t>
      </w:r>
      <w:r w:rsidR="00FD26C3" w:rsidRPr="00005453">
        <w:rPr>
          <w:b/>
          <w:bCs w:val="0"/>
          <w:i w:val="0"/>
          <w:iCs w:val="0"/>
          <w:sz w:val="20"/>
        </w:rPr>
        <w:t>değer farkı diğer kapsamlı gelire yansıtılan finansal varlıklar</w:t>
      </w:r>
    </w:p>
    <w:p w14:paraId="1B1EDC70" w14:textId="77777777" w:rsidR="00377D13" w:rsidRPr="00005453" w:rsidRDefault="00377D13" w:rsidP="00377D13">
      <w:pPr>
        <w:autoSpaceDE w:val="0"/>
        <w:autoSpaceDN w:val="0"/>
        <w:adjustRightInd w:val="0"/>
        <w:ind w:left="540" w:hanging="540"/>
        <w:jc w:val="both"/>
        <w:rPr>
          <w:sz w:val="10"/>
        </w:rPr>
      </w:pPr>
    </w:p>
    <w:p w14:paraId="58EB4108" w14:textId="77777777" w:rsidR="00FD1502" w:rsidRPr="00005453" w:rsidRDefault="00FD1502" w:rsidP="00FD1502">
      <w:pPr>
        <w:autoSpaceDE w:val="0"/>
        <w:autoSpaceDN w:val="0"/>
        <w:adjustRightInd w:val="0"/>
        <w:jc w:val="both"/>
      </w:pPr>
      <w:r w:rsidRPr="00005453">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005453">
        <w:t>kar</w:t>
      </w:r>
      <w:proofErr w:type="gramEnd"/>
      <w:r w:rsidRPr="00005453">
        <w:t xml:space="preserve"> payı ödemelerini içeren nakit akışlarına yol açması durumlarında finansal varlık, gerçeğe uygun değer farkı diğer kapsamlı gelire yansıtılan olarak sınıflandırılmaktadır. </w:t>
      </w:r>
    </w:p>
    <w:p w14:paraId="542AB74E" w14:textId="77777777" w:rsidR="00FD1502" w:rsidRPr="00005453" w:rsidRDefault="00FD1502" w:rsidP="00FD1502">
      <w:pPr>
        <w:autoSpaceDE w:val="0"/>
        <w:autoSpaceDN w:val="0"/>
        <w:adjustRightInd w:val="0"/>
        <w:jc w:val="both"/>
        <w:rPr>
          <w:sz w:val="12"/>
          <w:szCs w:val="12"/>
        </w:rPr>
      </w:pPr>
    </w:p>
    <w:p w14:paraId="05C71EA8" w14:textId="77777777" w:rsidR="00FD1502" w:rsidRPr="00005453" w:rsidRDefault="00FD1502" w:rsidP="00FD1502">
      <w:pPr>
        <w:autoSpaceDE w:val="0"/>
        <w:autoSpaceDN w:val="0"/>
        <w:adjustRightInd w:val="0"/>
        <w:jc w:val="both"/>
      </w:pPr>
      <w:r w:rsidRPr="00005453">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005453">
        <w:t>kar</w:t>
      </w:r>
      <w:proofErr w:type="gramEnd"/>
      <w:r w:rsidRPr="00005453">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42EFB50D" w14:textId="77777777" w:rsidR="00FD1502" w:rsidRPr="00005453" w:rsidRDefault="00FD1502" w:rsidP="00FD1502">
      <w:pPr>
        <w:autoSpaceDE w:val="0"/>
        <w:autoSpaceDN w:val="0"/>
        <w:adjustRightInd w:val="0"/>
        <w:jc w:val="both"/>
        <w:rPr>
          <w:sz w:val="12"/>
          <w:szCs w:val="12"/>
        </w:rPr>
      </w:pPr>
    </w:p>
    <w:p w14:paraId="01017909" w14:textId="77777777" w:rsidR="00FD1502" w:rsidRPr="00005453" w:rsidRDefault="00FD1502" w:rsidP="00FD1502">
      <w:pPr>
        <w:autoSpaceDE w:val="0"/>
        <w:autoSpaceDN w:val="0"/>
        <w:adjustRightInd w:val="0"/>
        <w:jc w:val="both"/>
      </w:pPr>
      <w:r w:rsidRPr="00005453">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08D026C" w14:textId="77777777" w:rsidR="00FD1502" w:rsidRPr="00005453" w:rsidRDefault="00FD1502" w:rsidP="00FD1502">
      <w:pPr>
        <w:autoSpaceDE w:val="0"/>
        <w:autoSpaceDN w:val="0"/>
        <w:adjustRightInd w:val="0"/>
        <w:jc w:val="both"/>
        <w:rPr>
          <w:sz w:val="12"/>
          <w:szCs w:val="12"/>
        </w:rPr>
      </w:pPr>
    </w:p>
    <w:p w14:paraId="2CA2ACE6" w14:textId="7CEC9FCB" w:rsidR="00FD1502" w:rsidRPr="00005453" w:rsidRDefault="00FD1502" w:rsidP="00FD1502">
      <w:pPr>
        <w:autoSpaceDE w:val="0"/>
        <w:autoSpaceDN w:val="0"/>
        <w:adjustRightInd w:val="0"/>
        <w:jc w:val="both"/>
      </w:pPr>
      <w:r w:rsidRPr="00005453">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1CBB1E64" w14:textId="77777777" w:rsidR="00D552DD" w:rsidRPr="00005453" w:rsidRDefault="00D552DD" w:rsidP="00FD1502">
      <w:pPr>
        <w:autoSpaceDE w:val="0"/>
        <w:autoSpaceDN w:val="0"/>
        <w:adjustRightInd w:val="0"/>
        <w:jc w:val="both"/>
        <w:rPr>
          <w:sz w:val="16"/>
        </w:rPr>
      </w:pPr>
    </w:p>
    <w:p w14:paraId="6FCD383F" w14:textId="77777777" w:rsidR="00377D13" w:rsidRPr="00005453" w:rsidRDefault="00377D13" w:rsidP="00377D13">
      <w:pPr>
        <w:pStyle w:val="BodyText3"/>
        <w:tabs>
          <w:tab w:val="clear" w:pos="539"/>
          <w:tab w:val="num" w:pos="709"/>
        </w:tabs>
        <w:ind w:right="183" w:hanging="567"/>
        <w:rPr>
          <w:b/>
          <w:bCs w:val="0"/>
          <w:i w:val="0"/>
          <w:iCs w:val="0"/>
          <w:sz w:val="20"/>
        </w:rPr>
      </w:pPr>
      <w:r w:rsidRPr="00005453">
        <w:rPr>
          <w:b/>
          <w:i w:val="0"/>
          <w:sz w:val="20"/>
        </w:rPr>
        <w:t xml:space="preserve">7.3 </w:t>
      </w:r>
      <w:r w:rsidRPr="00005453">
        <w:rPr>
          <w:b/>
          <w:i w:val="0"/>
          <w:sz w:val="20"/>
        </w:rPr>
        <w:tab/>
        <w:t>İtfa edilmiş maliyeti ile ölçülen finansal varlıklar</w:t>
      </w:r>
    </w:p>
    <w:p w14:paraId="2EF3AE1E" w14:textId="77777777" w:rsidR="00377D13" w:rsidRPr="00005453" w:rsidRDefault="00377D13" w:rsidP="00377D13">
      <w:pPr>
        <w:pStyle w:val="BodyText3"/>
        <w:tabs>
          <w:tab w:val="clear" w:pos="539"/>
        </w:tabs>
        <w:ind w:right="183"/>
        <w:rPr>
          <w:b/>
          <w:bCs w:val="0"/>
          <w:i w:val="0"/>
          <w:iCs w:val="0"/>
          <w:sz w:val="10"/>
        </w:rPr>
      </w:pPr>
    </w:p>
    <w:p w14:paraId="7D5132A3" w14:textId="77777777" w:rsidR="00FD1502" w:rsidRPr="00005453" w:rsidRDefault="00FD1502" w:rsidP="00FD1502">
      <w:pPr>
        <w:pStyle w:val="BodyTextIndent"/>
        <w:ind w:left="0" w:firstLine="0"/>
      </w:pPr>
      <w:r w:rsidRPr="00005453">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005453">
        <w:t>kar</w:t>
      </w:r>
      <w:proofErr w:type="gramEnd"/>
      <w:r w:rsidRPr="00005453">
        <w:t xml:space="preserve"> payı ödemelerini içeren nakit akışlarına yol açması durumunda finansal varlık itfa edilmiş maliyeti ile ölçülen finansal varlık olarak sınıflandırılmaktadır. </w:t>
      </w:r>
    </w:p>
    <w:p w14:paraId="7CC537DA" w14:textId="2F300F0A" w:rsidR="005F6E0A" w:rsidRDefault="00FD1502" w:rsidP="00FD1502">
      <w:pPr>
        <w:pStyle w:val="BodyTextIndent"/>
        <w:ind w:left="0" w:firstLine="0"/>
        <w:rPr>
          <w:color w:val="000000"/>
        </w:rPr>
      </w:pPr>
      <w:r w:rsidRPr="00005453">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005453">
        <w:rPr>
          <w:color w:val="000000"/>
        </w:rPr>
        <w:t>kar</w:t>
      </w:r>
      <w:proofErr w:type="gramEnd"/>
      <w:r w:rsidRPr="00005453">
        <w:rPr>
          <w:color w:val="000000"/>
        </w:rPr>
        <w:t xml:space="preserve"> payı gelirleri gelir tablosunda yansıtılmaktadır</w:t>
      </w:r>
    </w:p>
    <w:p w14:paraId="6D89D5F2" w14:textId="77777777" w:rsidR="00377D13" w:rsidRPr="00005453" w:rsidRDefault="00377D13" w:rsidP="00377D13">
      <w:pPr>
        <w:pStyle w:val="BodyText3"/>
        <w:tabs>
          <w:tab w:val="clear" w:pos="539"/>
          <w:tab w:val="num" w:pos="709"/>
        </w:tabs>
        <w:ind w:right="183" w:hanging="567"/>
        <w:rPr>
          <w:b/>
          <w:bCs w:val="0"/>
          <w:i w:val="0"/>
          <w:iCs w:val="0"/>
          <w:sz w:val="20"/>
        </w:rPr>
      </w:pPr>
      <w:r w:rsidRPr="00005453">
        <w:rPr>
          <w:b/>
          <w:i w:val="0"/>
          <w:sz w:val="20"/>
        </w:rPr>
        <w:lastRenderedPageBreak/>
        <w:t xml:space="preserve">7.4 </w:t>
      </w:r>
      <w:r w:rsidRPr="00005453">
        <w:rPr>
          <w:b/>
          <w:i w:val="0"/>
          <w:sz w:val="20"/>
        </w:rPr>
        <w:tab/>
        <w:t>Türev finansal varlıklar</w:t>
      </w:r>
    </w:p>
    <w:p w14:paraId="5BE19D53" w14:textId="77777777" w:rsidR="00377D13" w:rsidRPr="00005453" w:rsidRDefault="00377D13" w:rsidP="00377D13">
      <w:pPr>
        <w:pStyle w:val="BodyText3"/>
        <w:tabs>
          <w:tab w:val="clear" w:pos="539"/>
        </w:tabs>
        <w:ind w:right="183"/>
        <w:rPr>
          <w:b/>
          <w:bCs w:val="0"/>
          <w:i w:val="0"/>
          <w:iCs w:val="0"/>
          <w:sz w:val="10"/>
        </w:rPr>
      </w:pPr>
    </w:p>
    <w:p w14:paraId="2EE06F96" w14:textId="7325A05C" w:rsidR="005F6E0A" w:rsidRPr="00005453" w:rsidRDefault="00FD1502" w:rsidP="00FD1502">
      <w:pPr>
        <w:pStyle w:val="BodyTextIndent"/>
        <w:ind w:left="0" w:firstLine="0"/>
      </w:pPr>
      <w:r w:rsidRPr="00005453">
        <w:t xml:space="preserve">Banka’nın türev işlemlerini ağırlıklı olarak yabancı para swapları, çapraz para swapları ile vadeli döviz alım-satım sözleşmeleri oluşturmaktadır. </w:t>
      </w:r>
    </w:p>
    <w:p w14:paraId="2839C3CD" w14:textId="77777777" w:rsidR="00FD1502" w:rsidRPr="00005453" w:rsidRDefault="00FD1502" w:rsidP="00FD1502">
      <w:pPr>
        <w:pStyle w:val="BodyTextIndent"/>
        <w:ind w:left="0" w:firstLine="0"/>
        <w:rPr>
          <w:sz w:val="10"/>
          <w:szCs w:val="12"/>
        </w:rPr>
      </w:pPr>
    </w:p>
    <w:p w14:paraId="4B195262" w14:textId="77777777" w:rsidR="00FD1502" w:rsidRPr="00005453" w:rsidRDefault="00FD1502" w:rsidP="00FD1502">
      <w:pPr>
        <w:pStyle w:val="BodyTextIndent"/>
        <w:ind w:left="0" w:firstLine="0"/>
      </w:pPr>
      <w:r w:rsidRPr="00005453">
        <w:t xml:space="preserve">Türev işlemlerden doğan alacak ve yükümlülük sözleşme tutarları üzerinden nazım hesaplara kaydedilmektedir. </w:t>
      </w:r>
    </w:p>
    <w:p w14:paraId="257A5B4F" w14:textId="77777777" w:rsidR="00FD1502" w:rsidRPr="00005453" w:rsidRDefault="00FD1502" w:rsidP="00FD1502">
      <w:pPr>
        <w:pStyle w:val="BodyTextIndent"/>
        <w:ind w:left="0" w:firstLine="0"/>
        <w:rPr>
          <w:sz w:val="10"/>
          <w:szCs w:val="12"/>
        </w:rPr>
      </w:pPr>
    </w:p>
    <w:p w14:paraId="620DBA24" w14:textId="77777777" w:rsidR="00FD1502" w:rsidRPr="00005453" w:rsidRDefault="00FD1502" w:rsidP="00FD1502">
      <w:pPr>
        <w:pStyle w:val="BodyTextIndent"/>
        <w:ind w:left="0" w:firstLine="0"/>
      </w:pPr>
      <w:r w:rsidRPr="00005453">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152FF27E" w14:textId="77777777" w:rsidR="00FE09BD" w:rsidRPr="00005453" w:rsidRDefault="00FE09BD">
      <w:pPr>
        <w:rPr>
          <w:b/>
          <w:bCs/>
          <w:iCs/>
          <w:sz w:val="12"/>
        </w:rPr>
      </w:pPr>
    </w:p>
    <w:p w14:paraId="57A1B551" w14:textId="17125B5B" w:rsidR="00901E70" w:rsidRPr="00005453" w:rsidRDefault="00220A2F" w:rsidP="00901E70">
      <w:pPr>
        <w:pStyle w:val="BodyText3"/>
        <w:tabs>
          <w:tab w:val="clear" w:pos="539"/>
          <w:tab w:val="num" w:pos="709"/>
        </w:tabs>
        <w:ind w:right="183" w:hanging="567"/>
        <w:rPr>
          <w:b/>
          <w:bCs w:val="0"/>
          <w:i w:val="0"/>
          <w:iCs w:val="0"/>
          <w:sz w:val="20"/>
        </w:rPr>
      </w:pPr>
      <w:r w:rsidRPr="00005453">
        <w:rPr>
          <w:b/>
          <w:i w:val="0"/>
          <w:sz w:val="20"/>
        </w:rPr>
        <w:t>7</w:t>
      </w:r>
      <w:r w:rsidR="00901E70" w:rsidRPr="00005453">
        <w:rPr>
          <w:b/>
          <w:i w:val="0"/>
          <w:sz w:val="20"/>
        </w:rPr>
        <w:t xml:space="preserve">.5 </w:t>
      </w:r>
      <w:r w:rsidR="00901E70" w:rsidRPr="00005453">
        <w:rPr>
          <w:b/>
          <w:i w:val="0"/>
          <w:sz w:val="20"/>
        </w:rPr>
        <w:tab/>
        <w:t>Krediler</w:t>
      </w:r>
    </w:p>
    <w:p w14:paraId="71B5C275" w14:textId="77777777" w:rsidR="00901E70" w:rsidRPr="00005453" w:rsidRDefault="00901E70" w:rsidP="00901E70">
      <w:pPr>
        <w:pStyle w:val="BodyText3"/>
        <w:tabs>
          <w:tab w:val="clear" w:pos="539"/>
        </w:tabs>
        <w:ind w:right="183"/>
        <w:rPr>
          <w:b/>
          <w:bCs w:val="0"/>
          <w:i w:val="0"/>
          <w:iCs w:val="0"/>
          <w:sz w:val="10"/>
        </w:rPr>
      </w:pPr>
    </w:p>
    <w:p w14:paraId="0F310A1A" w14:textId="315E4934" w:rsidR="00FD1502" w:rsidRDefault="00FD1502" w:rsidP="00FD1502">
      <w:pPr>
        <w:pStyle w:val="BodyTextIndent"/>
        <w:ind w:left="0" w:firstLine="0"/>
      </w:pPr>
      <w:r w:rsidRPr="00005453">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005453">
        <w:t>kar</w:t>
      </w:r>
      <w:proofErr w:type="gramEnd"/>
      <w:r w:rsidRPr="00005453">
        <w:t xml:space="preserve"> payı (iç verim) oranı yöntemi” kullanılarak itfa edilmiş bedelleri ile ölçülmektedir.</w:t>
      </w:r>
    </w:p>
    <w:p w14:paraId="092B0D30" w14:textId="77777777" w:rsidR="005F6E0A" w:rsidRPr="00005453" w:rsidRDefault="005F6E0A" w:rsidP="00FD1502">
      <w:pPr>
        <w:pStyle w:val="BodyTextIndent"/>
        <w:ind w:left="0" w:firstLine="0"/>
      </w:pPr>
    </w:p>
    <w:p w14:paraId="46225E06" w14:textId="77777777" w:rsidR="00901E70" w:rsidRPr="00005453" w:rsidRDefault="00901E70" w:rsidP="00901E70">
      <w:pPr>
        <w:ind w:hanging="567"/>
        <w:rPr>
          <w:b/>
        </w:rPr>
      </w:pPr>
      <w:r w:rsidRPr="00005453">
        <w:rPr>
          <w:b/>
        </w:rPr>
        <w:t xml:space="preserve">8.     </w:t>
      </w:r>
      <w:r w:rsidRPr="00005453">
        <w:rPr>
          <w:b/>
        </w:rPr>
        <w:tab/>
        <w:t>Finansal araçların netleştirilmesine ilişkin açıklamalar</w:t>
      </w:r>
    </w:p>
    <w:p w14:paraId="01B2DC8E" w14:textId="77777777" w:rsidR="00FD1502" w:rsidRPr="00005453" w:rsidRDefault="00FD1502" w:rsidP="00FD1502">
      <w:pPr>
        <w:autoSpaceDE w:val="0"/>
        <w:autoSpaceDN w:val="0"/>
        <w:adjustRightInd w:val="0"/>
        <w:jc w:val="both"/>
        <w:rPr>
          <w:sz w:val="10"/>
        </w:rPr>
      </w:pPr>
    </w:p>
    <w:p w14:paraId="7EA1A1CA" w14:textId="7D2CC6FF" w:rsidR="00FD1502" w:rsidRDefault="00FD1502" w:rsidP="00FD1502">
      <w:pPr>
        <w:autoSpaceDE w:val="0"/>
        <w:autoSpaceDN w:val="0"/>
        <w:adjustRightInd w:val="0"/>
        <w:jc w:val="both"/>
      </w:pPr>
      <w:r w:rsidRPr="00005453">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39DB15C7" w14:textId="77777777" w:rsidR="005F6E0A" w:rsidRDefault="005F6E0A" w:rsidP="00FD1502">
      <w:pPr>
        <w:autoSpaceDE w:val="0"/>
        <w:autoSpaceDN w:val="0"/>
        <w:adjustRightInd w:val="0"/>
        <w:jc w:val="both"/>
      </w:pPr>
    </w:p>
    <w:p w14:paraId="54CCCD17" w14:textId="77777777" w:rsidR="00FD1502" w:rsidRPr="00005453" w:rsidRDefault="00FD1502" w:rsidP="005F6E0A">
      <w:pPr>
        <w:autoSpaceDE w:val="0"/>
        <w:autoSpaceDN w:val="0"/>
        <w:adjustRightInd w:val="0"/>
        <w:rPr>
          <w:b/>
          <w:sz w:val="6"/>
          <w:szCs w:val="14"/>
        </w:rPr>
      </w:pPr>
    </w:p>
    <w:p w14:paraId="45CA1E7E" w14:textId="7125DE44" w:rsidR="00901E70" w:rsidRPr="00005453" w:rsidRDefault="00901E70" w:rsidP="00901E70">
      <w:pPr>
        <w:autoSpaceDE w:val="0"/>
        <w:autoSpaceDN w:val="0"/>
        <w:adjustRightInd w:val="0"/>
        <w:ind w:hanging="567"/>
        <w:rPr>
          <w:b/>
        </w:rPr>
      </w:pPr>
      <w:r w:rsidRPr="00005453">
        <w:rPr>
          <w:b/>
        </w:rPr>
        <w:t xml:space="preserve">9.   </w:t>
      </w:r>
      <w:r w:rsidRPr="00005453">
        <w:rPr>
          <w:b/>
        </w:rPr>
        <w:tab/>
        <w:t>Satış ve geri alış anlaşmaları ve menkul değerlerin ödünç verilmesi işlemlerine ilişkin açıklamalar</w:t>
      </w:r>
    </w:p>
    <w:p w14:paraId="76009253" w14:textId="77777777" w:rsidR="00901E70" w:rsidRPr="00005453" w:rsidRDefault="00901E70" w:rsidP="00901E70">
      <w:pPr>
        <w:autoSpaceDE w:val="0"/>
        <w:autoSpaceDN w:val="0"/>
        <w:adjustRightInd w:val="0"/>
        <w:ind w:hanging="540"/>
        <w:rPr>
          <w:b/>
          <w:sz w:val="10"/>
        </w:rPr>
      </w:pPr>
    </w:p>
    <w:p w14:paraId="0EFA7018" w14:textId="77777777" w:rsidR="00901E70" w:rsidRPr="00005453" w:rsidRDefault="00901E70" w:rsidP="00901E70">
      <w:pPr>
        <w:autoSpaceDE w:val="0"/>
        <w:autoSpaceDN w:val="0"/>
        <w:adjustRightInd w:val="0"/>
        <w:jc w:val="both"/>
        <w:rPr>
          <w:color w:val="000000"/>
        </w:rPr>
      </w:pPr>
      <w:r w:rsidRPr="00005453">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38AAF899" w14:textId="77777777" w:rsidR="00901E70" w:rsidRPr="00005453" w:rsidRDefault="00901E70" w:rsidP="00901E70">
      <w:pPr>
        <w:autoSpaceDE w:val="0"/>
        <w:autoSpaceDN w:val="0"/>
        <w:adjustRightInd w:val="0"/>
        <w:jc w:val="both"/>
        <w:rPr>
          <w:sz w:val="16"/>
          <w:szCs w:val="16"/>
        </w:rPr>
      </w:pPr>
    </w:p>
    <w:p w14:paraId="120FE20C" w14:textId="257B3E7A" w:rsidR="00901E70" w:rsidRDefault="00901E70" w:rsidP="00901E70">
      <w:pPr>
        <w:autoSpaceDE w:val="0"/>
        <w:autoSpaceDN w:val="0"/>
        <w:adjustRightInd w:val="0"/>
        <w:jc w:val="both"/>
        <w:rPr>
          <w:color w:val="000000"/>
        </w:rPr>
      </w:pPr>
      <w:r w:rsidRPr="00005453">
        <w:rPr>
          <w:color w:val="000000"/>
        </w:rPr>
        <w:t>31 Aralık 202</w:t>
      </w:r>
      <w:r w:rsidR="00D90035" w:rsidRPr="00005453">
        <w:rPr>
          <w:color w:val="000000"/>
        </w:rPr>
        <w:t>4</w:t>
      </w:r>
      <w:r w:rsidRPr="00005453">
        <w:rPr>
          <w:color w:val="000000"/>
        </w:rPr>
        <w:t xml:space="preserve"> tarihi itibarıyla, Banka’nın </w:t>
      </w:r>
      <w:r w:rsidR="00404928" w:rsidRPr="00005453">
        <w:rPr>
          <w:color w:val="000000"/>
        </w:rPr>
        <w:t>17</w:t>
      </w:r>
      <w:r w:rsidR="006D6D91" w:rsidRPr="00005453">
        <w:rPr>
          <w:color w:val="000000"/>
        </w:rPr>
        <w:t>,</w:t>
      </w:r>
      <w:r w:rsidR="00404928" w:rsidRPr="00005453">
        <w:rPr>
          <w:color w:val="000000"/>
        </w:rPr>
        <w:t>719</w:t>
      </w:r>
      <w:r w:rsidR="00D43689" w:rsidRPr="00005453">
        <w:rPr>
          <w:color w:val="000000"/>
        </w:rPr>
        <w:t>,</w:t>
      </w:r>
      <w:r w:rsidR="00404928" w:rsidRPr="00005453">
        <w:rPr>
          <w:color w:val="000000"/>
        </w:rPr>
        <w:t>258</w:t>
      </w:r>
      <w:r w:rsidRPr="00005453">
        <w:rPr>
          <w:color w:val="000000"/>
        </w:rPr>
        <w:t xml:space="preserve"> TL değer</w:t>
      </w:r>
      <w:r w:rsidR="00D47015" w:rsidRPr="00005453">
        <w:rPr>
          <w:color w:val="000000"/>
        </w:rPr>
        <w:t xml:space="preserve">inde </w:t>
      </w:r>
      <w:r w:rsidRPr="00005453">
        <w:rPr>
          <w:color w:val="000000"/>
        </w:rPr>
        <w:t>geri alım vaadiyle satış işlemi bulunmaktadır (31 Aralık 202</w:t>
      </w:r>
      <w:r w:rsidR="00D90035" w:rsidRPr="00005453">
        <w:rPr>
          <w:color w:val="000000"/>
        </w:rPr>
        <w:t>3</w:t>
      </w:r>
      <w:r w:rsidR="00972D8C" w:rsidRPr="00005453">
        <w:rPr>
          <w:color w:val="000000"/>
        </w:rPr>
        <w:t xml:space="preserve"> </w:t>
      </w:r>
      <w:r w:rsidR="00D90035" w:rsidRPr="00005453">
        <w:rPr>
          <w:color w:val="000000"/>
        </w:rPr>
        <w:t>–</w:t>
      </w:r>
      <w:r w:rsidR="00972D8C" w:rsidRPr="00005453">
        <w:rPr>
          <w:color w:val="000000"/>
        </w:rPr>
        <w:t xml:space="preserve"> </w:t>
      </w:r>
      <w:r w:rsidR="00D90035" w:rsidRPr="00005453">
        <w:rPr>
          <w:color w:val="000000"/>
        </w:rPr>
        <w:t>4,</w:t>
      </w:r>
      <w:r w:rsidR="005C29F0" w:rsidRPr="00005453">
        <w:rPr>
          <w:color w:val="000000"/>
        </w:rPr>
        <w:t>1</w:t>
      </w:r>
      <w:r w:rsidR="00D90035" w:rsidRPr="00005453">
        <w:rPr>
          <w:color w:val="000000"/>
        </w:rPr>
        <w:t>86</w:t>
      </w:r>
      <w:r w:rsidR="005C29F0" w:rsidRPr="00005453">
        <w:rPr>
          <w:color w:val="000000"/>
        </w:rPr>
        <w:t>,</w:t>
      </w:r>
      <w:r w:rsidR="00D90035" w:rsidRPr="00005453">
        <w:rPr>
          <w:color w:val="000000"/>
        </w:rPr>
        <w:t>987</w:t>
      </w:r>
      <w:r w:rsidR="005C29F0" w:rsidRPr="00005453">
        <w:rPr>
          <w:color w:val="000000"/>
        </w:rPr>
        <w:t xml:space="preserve"> TL</w:t>
      </w:r>
      <w:r w:rsidRPr="00005453">
        <w:rPr>
          <w:color w:val="000000"/>
        </w:rPr>
        <w:t>).</w:t>
      </w:r>
    </w:p>
    <w:p w14:paraId="0418A1DF" w14:textId="77777777" w:rsidR="005F6E0A" w:rsidRPr="00005453" w:rsidRDefault="005F6E0A" w:rsidP="00901E70">
      <w:pPr>
        <w:autoSpaceDE w:val="0"/>
        <w:autoSpaceDN w:val="0"/>
        <w:adjustRightInd w:val="0"/>
        <w:jc w:val="both"/>
        <w:rPr>
          <w:color w:val="000000"/>
        </w:rPr>
      </w:pPr>
    </w:p>
    <w:p w14:paraId="45AC7CFB" w14:textId="77777777" w:rsidR="00A52352" w:rsidRPr="00005453" w:rsidRDefault="00A52352" w:rsidP="00901E70">
      <w:pPr>
        <w:autoSpaceDE w:val="0"/>
        <w:autoSpaceDN w:val="0"/>
        <w:adjustRightInd w:val="0"/>
        <w:ind w:hanging="567"/>
        <w:jc w:val="both"/>
        <w:rPr>
          <w:b/>
          <w:sz w:val="6"/>
          <w:szCs w:val="10"/>
        </w:rPr>
      </w:pPr>
    </w:p>
    <w:p w14:paraId="1A66A31F" w14:textId="4AFA71E5" w:rsidR="00901E70" w:rsidRPr="00005453" w:rsidRDefault="00901E70" w:rsidP="00901E70">
      <w:pPr>
        <w:autoSpaceDE w:val="0"/>
        <w:autoSpaceDN w:val="0"/>
        <w:adjustRightInd w:val="0"/>
        <w:ind w:hanging="567"/>
        <w:jc w:val="both"/>
        <w:rPr>
          <w:b/>
        </w:rPr>
      </w:pPr>
      <w:r w:rsidRPr="00005453">
        <w:rPr>
          <w:b/>
        </w:rPr>
        <w:t xml:space="preserve">10.    </w:t>
      </w:r>
      <w:r w:rsidRPr="00005453">
        <w:rPr>
          <w:b/>
        </w:rPr>
        <w:tab/>
        <w:t>Satış amaçlı elde tutulan ve durdurulan faaliyetlere ilişkin duran varlıklar ile bu varlıklara ilişkin borçlar hakkında açıklamalar</w:t>
      </w:r>
    </w:p>
    <w:p w14:paraId="6E8C8B64" w14:textId="77777777" w:rsidR="00901E70" w:rsidRPr="00005453" w:rsidRDefault="00901E70" w:rsidP="00901E70">
      <w:pPr>
        <w:tabs>
          <w:tab w:val="left" w:pos="0"/>
        </w:tabs>
        <w:rPr>
          <w:sz w:val="10"/>
        </w:rPr>
      </w:pPr>
      <w:r w:rsidRPr="00005453">
        <w:rPr>
          <w:sz w:val="16"/>
          <w:szCs w:val="16"/>
        </w:rPr>
        <w:tab/>
      </w:r>
    </w:p>
    <w:p w14:paraId="2FD6BF74" w14:textId="77777777" w:rsidR="00A2031E" w:rsidRPr="00005453" w:rsidRDefault="00A2031E" w:rsidP="00A2031E">
      <w:pPr>
        <w:jc w:val="both"/>
        <w:rPr>
          <w:color w:val="000000"/>
        </w:rPr>
      </w:pPr>
      <w:r w:rsidRPr="00005453">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C7B87E6" w14:textId="77777777" w:rsidR="00A2031E" w:rsidRPr="00005453" w:rsidRDefault="00A2031E" w:rsidP="00A2031E">
      <w:pPr>
        <w:tabs>
          <w:tab w:val="left" w:pos="284"/>
        </w:tabs>
        <w:autoSpaceDE w:val="0"/>
        <w:autoSpaceDN w:val="0"/>
        <w:adjustRightInd w:val="0"/>
        <w:jc w:val="both"/>
        <w:rPr>
          <w:color w:val="000000"/>
          <w:sz w:val="12"/>
          <w:szCs w:val="12"/>
        </w:rPr>
      </w:pPr>
    </w:p>
    <w:p w14:paraId="273CD067" w14:textId="77777777" w:rsidR="005F6E0A" w:rsidRDefault="00A2031E" w:rsidP="00A2031E">
      <w:pPr>
        <w:tabs>
          <w:tab w:val="left" w:pos="284"/>
        </w:tabs>
        <w:autoSpaceDE w:val="0"/>
        <w:autoSpaceDN w:val="0"/>
        <w:adjustRightInd w:val="0"/>
        <w:jc w:val="both"/>
        <w:rPr>
          <w:color w:val="000000"/>
        </w:rPr>
      </w:pPr>
      <w:r w:rsidRPr="00005453">
        <w:rPr>
          <w:color w:val="000000"/>
        </w:rPr>
        <w:t xml:space="preserve">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w:t>
      </w:r>
    </w:p>
    <w:p w14:paraId="0A197CB1" w14:textId="24DF57EC" w:rsidR="00A2031E" w:rsidRPr="00005453" w:rsidRDefault="00A2031E" w:rsidP="00A2031E">
      <w:pPr>
        <w:tabs>
          <w:tab w:val="left" w:pos="284"/>
        </w:tabs>
        <w:autoSpaceDE w:val="0"/>
        <w:autoSpaceDN w:val="0"/>
        <w:adjustRightInd w:val="0"/>
        <w:jc w:val="both"/>
        <w:rPr>
          <w:color w:val="000000"/>
        </w:rPr>
      </w:pPr>
      <w:r w:rsidRPr="00005453">
        <w:rPr>
          <w:color w:val="000000"/>
        </w:rPr>
        <w:lastRenderedPageBreak/>
        <w:t>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0ED148A1" w14:textId="77777777" w:rsidR="00A2031E" w:rsidRPr="00005453" w:rsidRDefault="00A2031E" w:rsidP="00A2031E">
      <w:pPr>
        <w:rPr>
          <w:sz w:val="8"/>
          <w:szCs w:val="8"/>
          <w:lang w:eastAsia="x-none"/>
        </w:rPr>
      </w:pPr>
    </w:p>
    <w:p w14:paraId="054BD959" w14:textId="55D31B40" w:rsidR="00FE09BD" w:rsidRDefault="00A2031E" w:rsidP="00A2031E">
      <w:pPr>
        <w:pStyle w:val="BodyText"/>
        <w:rPr>
          <w:color w:val="000000"/>
          <w:lang w:eastAsia="en-US"/>
        </w:rPr>
      </w:pPr>
      <w:r w:rsidRPr="00005453">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12D418BF" w14:textId="77777777" w:rsidR="00901E70" w:rsidRPr="005F6E0A" w:rsidRDefault="00901E70" w:rsidP="00901E70">
      <w:pPr>
        <w:pStyle w:val="BodyText"/>
        <w:rPr>
          <w:color w:val="000000"/>
          <w:szCs w:val="8"/>
          <w:lang w:eastAsia="en-US"/>
        </w:rPr>
      </w:pPr>
    </w:p>
    <w:p w14:paraId="6DC61D5E" w14:textId="77777777" w:rsidR="00901E70" w:rsidRPr="00005453" w:rsidRDefault="00901E70" w:rsidP="00901E70">
      <w:pPr>
        <w:autoSpaceDE w:val="0"/>
        <w:autoSpaceDN w:val="0"/>
        <w:adjustRightInd w:val="0"/>
        <w:ind w:hanging="567"/>
        <w:rPr>
          <w:b/>
        </w:rPr>
      </w:pPr>
      <w:r w:rsidRPr="00005453">
        <w:rPr>
          <w:b/>
        </w:rPr>
        <w:t xml:space="preserve">11.   </w:t>
      </w:r>
      <w:r w:rsidRPr="00005453">
        <w:rPr>
          <w:b/>
        </w:rPr>
        <w:tab/>
        <w:t>Şerefiye ve diğer maddi olmayan duran varlıklara ilişkin açıklamalar</w:t>
      </w:r>
    </w:p>
    <w:p w14:paraId="64619203" w14:textId="77777777" w:rsidR="00901E70" w:rsidRPr="00005453" w:rsidRDefault="00901E70" w:rsidP="00901E70">
      <w:pPr>
        <w:pStyle w:val="BodyTextIndent"/>
        <w:ind w:left="0" w:firstLine="0"/>
        <w:jc w:val="left"/>
        <w:rPr>
          <w:sz w:val="10"/>
          <w:szCs w:val="10"/>
        </w:rPr>
      </w:pPr>
    </w:p>
    <w:p w14:paraId="5EE80756" w14:textId="77777777" w:rsidR="00A2031E" w:rsidRPr="00005453" w:rsidRDefault="00A2031E" w:rsidP="00A2031E">
      <w:pPr>
        <w:pStyle w:val="BodyTextIndent"/>
        <w:ind w:left="0" w:firstLine="0"/>
        <w:rPr>
          <w:color w:val="000000"/>
          <w:lang w:eastAsia="en-US"/>
        </w:rPr>
      </w:pPr>
      <w:r w:rsidRPr="00005453">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066E641C" w14:textId="77777777" w:rsidR="00A2031E" w:rsidRPr="00005453" w:rsidRDefault="00A2031E" w:rsidP="00A2031E">
      <w:pPr>
        <w:pStyle w:val="BodyTextIndent"/>
        <w:ind w:left="0" w:firstLine="0"/>
        <w:rPr>
          <w:sz w:val="12"/>
          <w:szCs w:val="12"/>
        </w:rPr>
      </w:pPr>
    </w:p>
    <w:p w14:paraId="4ADB2DB2" w14:textId="28F76C2D" w:rsidR="00901E70" w:rsidRDefault="00A2031E" w:rsidP="00F07E85">
      <w:pPr>
        <w:autoSpaceDE w:val="0"/>
        <w:autoSpaceDN w:val="0"/>
        <w:adjustRightInd w:val="0"/>
        <w:jc w:val="both"/>
        <w:rPr>
          <w:color w:val="000000"/>
        </w:rPr>
      </w:pPr>
      <w:r w:rsidRPr="00005453">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6FDCAD2" w14:textId="77777777" w:rsidR="005F6E0A" w:rsidRPr="00005453" w:rsidRDefault="005F6E0A" w:rsidP="00F07E85">
      <w:pPr>
        <w:autoSpaceDE w:val="0"/>
        <w:autoSpaceDN w:val="0"/>
        <w:adjustRightInd w:val="0"/>
        <w:jc w:val="both"/>
        <w:rPr>
          <w:color w:val="000000"/>
        </w:rPr>
      </w:pPr>
    </w:p>
    <w:p w14:paraId="5574E559" w14:textId="77777777" w:rsidR="00901E70" w:rsidRPr="00005453" w:rsidRDefault="00901E70" w:rsidP="00901E70">
      <w:pPr>
        <w:tabs>
          <w:tab w:val="left" w:pos="142"/>
        </w:tabs>
        <w:autoSpaceDE w:val="0"/>
        <w:autoSpaceDN w:val="0"/>
        <w:adjustRightInd w:val="0"/>
        <w:ind w:hanging="567"/>
        <w:rPr>
          <w:b/>
        </w:rPr>
      </w:pPr>
      <w:r w:rsidRPr="00005453">
        <w:rPr>
          <w:b/>
        </w:rPr>
        <w:t>12.</w:t>
      </w:r>
      <w:r w:rsidRPr="00005453">
        <w:t xml:space="preserve">   </w:t>
      </w:r>
      <w:r w:rsidRPr="00005453">
        <w:tab/>
      </w:r>
      <w:r w:rsidRPr="00005453">
        <w:rPr>
          <w:b/>
        </w:rPr>
        <w:t xml:space="preserve">Maddi duran varlıklara ilişkin açıklamalar </w:t>
      </w:r>
    </w:p>
    <w:p w14:paraId="008F5F74" w14:textId="77777777" w:rsidR="00901E70" w:rsidRPr="00005453" w:rsidRDefault="00901E70" w:rsidP="00901E70">
      <w:pPr>
        <w:autoSpaceDE w:val="0"/>
        <w:autoSpaceDN w:val="0"/>
        <w:adjustRightInd w:val="0"/>
        <w:rPr>
          <w:sz w:val="10"/>
          <w:szCs w:val="10"/>
        </w:rPr>
      </w:pPr>
    </w:p>
    <w:p w14:paraId="670FDB74" w14:textId="77777777" w:rsidR="00A2031E" w:rsidRPr="00005453" w:rsidRDefault="00A2031E" w:rsidP="00A2031E">
      <w:pPr>
        <w:pStyle w:val="BodyText3"/>
        <w:jc w:val="both"/>
        <w:rPr>
          <w:i w:val="0"/>
          <w:iCs w:val="0"/>
          <w:sz w:val="20"/>
        </w:rPr>
      </w:pPr>
      <w:r w:rsidRPr="00005453">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6662DC10" w14:textId="77777777" w:rsidR="00A2031E" w:rsidRPr="00005453" w:rsidRDefault="00A2031E" w:rsidP="00A2031E">
      <w:pPr>
        <w:autoSpaceDE w:val="0"/>
        <w:autoSpaceDN w:val="0"/>
        <w:adjustRightInd w:val="0"/>
        <w:jc w:val="both"/>
        <w:rPr>
          <w:sz w:val="12"/>
          <w:szCs w:val="12"/>
        </w:rPr>
      </w:pPr>
    </w:p>
    <w:p w14:paraId="79A1335E" w14:textId="77777777" w:rsidR="00A2031E" w:rsidRPr="00005453" w:rsidRDefault="00A2031E" w:rsidP="00A2031E">
      <w:pPr>
        <w:jc w:val="both"/>
      </w:pPr>
      <w:r w:rsidRPr="00005453">
        <w:t>Amortisman, maddi duran varlıklar için doğrusal amortisman metoduyla varlıkların tahmini faydalı ömürleri dikkate alınarak ayrılmakta olup, kullanılan oranlar aşağıdaki gibidir:</w:t>
      </w:r>
    </w:p>
    <w:p w14:paraId="0A413A49" w14:textId="77777777" w:rsidR="00901E70" w:rsidRPr="00005453" w:rsidRDefault="00901E70" w:rsidP="00901E70">
      <w:pPr>
        <w:tabs>
          <w:tab w:val="right" w:pos="9000"/>
        </w:tabs>
        <w:autoSpaceDE w:val="0"/>
        <w:autoSpaceDN w:val="0"/>
        <w:adjustRightInd w:val="0"/>
        <w:jc w:val="both"/>
        <w:rPr>
          <w:sz w:val="16"/>
          <w:szCs w:val="16"/>
        </w:rPr>
      </w:pPr>
    </w:p>
    <w:p w14:paraId="0365B613" w14:textId="77777777" w:rsidR="00901E70" w:rsidRPr="00005453" w:rsidRDefault="00901E70" w:rsidP="00901E70">
      <w:pPr>
        <w:pBdr>
          <w:top w:val="single" w:sz="4" w:space="1" w:color="auto"/>
          <w:bottom w:val="single" w:sz="4" w:space="1" w:color="auto"/>
        </w:pBdr>
        <w:tabs>
          <w:tab w:val="right" w:pos="9000"/>
        </w:tabs>
        <w:autoSpaceDE w:val="0"/>
        <w:autoSpaceDN w:val="0"/>
        <w:adjustRightInd w:val="0"/>
      </w:pPr>
      <w:r w:rsidRPr="00005453">
        <w:t>Gayrimenkuller</w:t>
      </w:r>
      <w:r w:rsidRPr="00005453">
        <w:tab/>
        <w:t xml:space="preserve">     %2</w:t>
      </w:r>
    </w:p>
    <w:p w14:paraId="7006A92D" w14:textId="77777777" w:rsidR="00901E70" w:rsidRPr="00005453" w:rsidRDefault="00901E70" w:rsidP="00901E70">
      <w:pPr>
        <w:pBdr>
          <w:top w:val="single" w:sz="4" w:space="1" w:color="auto"/>
          <w:bottom w:val="single" w:sz="4" w:space="1" w:color="auto"/>
        </w:pBdr>
        <w:tabs>
          <w:tab w:val="right" w:pos="9000"/>
        </w:tabs>
        <w:autoSpaceDE w:val="0"/>
        <w:autoSpaceDN w:val="0"/>
        <w:adjustRightInd w:val="0"/>
      </w:pPr>
      <w:r w:rsidRPr="00005453">
        <w:t>Menkuller, finansal kiralama ile edinilen menkuller</w:t>
      </w:r>
      <w:r w:rsidRPr="00005453">
        <w:tab/>
        <w:t xml:space="preserve">       %6.</w:t>
      </w:r>
      <w:proofErr w:type="gramStart"/>
      <w:r w:rsidRPr="00005453">
        <w:t>67 -</w:t>
      </w:r>
      <w:proofErr w:type="gramEnd"/>
      <w:r w:rsidRPr="00005453">
        <w:t xml:space="preserve"> %20</w:t>
      </w:r>
    </w:p>
    <w:p w14:paraId="4A951EFB" w14:textId="77777777" w:rsidR="00901E70" w:rsidRPr="00005453" w:rsidRDefault="00901E70" w:rsidP="00901E70">
      <w:pPr>
        <w:jc w:val="both"/>
        <w:rPr>
          <w:sz w:val="16"/>
          <w:szCs w:val="16"/>
        </w:rPr>
      </w:pPr>
    </w:p>
    <w:p w14:paraId="0587B8D0" w14:textId="77777777" w:rsidR="00A2031E" w:rsidRPr="00005453" w:rsidRDefault="00A2031E" w:rsidP="00A2031E">
      <w:pPr>
        <w:jc w:val="both"/>
      </w:pPr>
      <w:r w:rsidRPr="00005453">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09E13FF" w14:textId="77777777" w:rsidR="00901E70" w:rsidRPr="00005453" w:rsidRDefault="00901E70" w:rsidP="00901E70">
      <w:pPr>
        <w:jc w:val="both"/>
        <w:rPr>
          <w:sz w:val="16"/>
          <w:szCs w:val="16"/>
        </w:rPr>
      </w:pPr>
    </w:p>
    <w:p w14:paraId="4ED633EF" w14:textId="0A933E2E" w:rsidR="00A2031E" w:rsidRPr="00005453" w:rsidRDefault="00A2031E" w:rsidP="00A2031E">
      <w:pPr>
        <w:jc w:val="both"/>
      </w:pPr>
      <w:r w:rsidRPr="00005453">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4DC522D5" w14:textId="77777777" w:rsidR="00A2031E" w:rsidRPr="00005453" w:rsidRDefault="00A2031E" w:rsidP="00A2031E">
      <w:pPr>
        <w:jc w:val="both"/>
      </w:pPr>
    </w:p>
    <w:p w14:paraId="5DAAE813" w14:textId="77777777" w:rsidR="00A2031E" w:rsidRPr="00005453" w:rsidRDefault="00A2031E" w:rsidP="00A2031E">
      <w:pPr>
        <w:autoSpaceDE w:val="0"/>
        <w:autoSpaceDN w:val="0"/>
        <w:adjustRightInd w:val="0"/>
        <w:jc w:val="both"/>
        <w:rPr>
          <w:b/>
        </w:rPr>
      </w:pPr>
      <w:r w:rsidRPr="00005453">
        <w:t>Maddi duran varlıkların elden çıkarılmasından kaynaklanan kar veya zarar, net elden çıkarma hasılatı ile ilgili maddi duran varlığın net defter değerinin farkı olarak gelir tablosuna yansıtılmaktadır.</w:t>
      </w:r>
    </w:p>
    <w:p w14:paraId="00961798" w14:textId="77777777" w:rsidR="00A2031E" w:rsidRPr="00005453" w:rsidRDefault="00A2031E" w:rsidP="00A2031E">
      <w:pPr>
        <w:pStyle w:val="BodyTextIndent"/>
        <w:ind w:left="0" w:firstLine="0"/>
        <w:rPr>
          <w:sz w:val="12"/>
          <w:szCs w:val="12"/>
        </w:rPr>
      </w:pPr>
    </w:p>
    <w:p w14:paraId="1913CAE8" w14:textId="77777777" w:rsidR="00A2031E" w:rsidRPr="00005453" w:rsidRDefault="00A2031E" w:rsidP="00A2031E">
      <w:pPr>
        <w:pStyle w:val="BodyTextIndent"/>
        <w:ind w:left="0" w:firstLine="0"/>
      </w:pPr>
      <w:r w:rsidRPr="00005453">
        <w:t>Maddi duran varlığın onarım maliyetlerinden varlığın ekonomik ömrünü uzatıcı nitelikte olanlar aktifleştirilmekte, diğer onarım maliyetleri ise gider olarak kayıtlara yansıtılmaktadır.</w:t>
      </w:r>
    </w:p>
    <w:p w14:paraId="275BF1F6" w14:textId="77777777" w:rsidR="00A2031E" w:rsidRPr="00005453" w:rsidRDefault="00A2031E" w:rsidP="00A2031E">
      <w:pPr>
        <w:pStyle w:val="BodyTextIndent"/>
        <w:ind w:left="0" w:firstLine="0"/>
        <w:rPr>
          <w:sz w:val="12"/>
          <w:szCs w:val="12"/>
        </w:rPr>
      </w:pPr>
    </w:p>
    <w:p w14:paraId="0D5E3AE2" w14:textId="77777777" w:rsidR="00A2031E" w:rsidRPr="00005453" w:rsidRDefault="00A2031E" w:rsidP="00A2031E">
      <w:pPr>
        <w:pStyle w:val="BodyTextIndent"/>
        <w:ind w:left="0" w:firstLine="0"/>
      </w:pPr>
      <w:r w:rsidRPr="00005453">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005453">
        <w:t>uzatan,varlığın</w:t>
      </w:r>
      <w:proofErr w:type="gramEnd"/>
      <w:r w:rsidRPr="00005453">
        <w:t xml:space="preserve"> hizmet kapasitesini artıran, üretilen mal veya hizmetin kalitesini artıran veya maliyetini azaltan giderler gibi maliyet unsurlarından oluşmaktadır.</w:t>
      </w:r>
    </w:p>
    <w:p w14:paraId="73059706" w14:textId="77777777" w:rsidR="00A2031E" w:rsidRPr="00005453" w:rsidRDefault="00A2031E" w:rsidP="00A2031E">
      <w:pPr>
        <w:pStyle w:val="BodyTextIndent"/>
        <w:tabs>
          <w:tab w:val="left" w:pos="1440"/>
        </w:tabs>
        <w:ind w:left="0" w:firstLine="0"/>
        <w:rPr>
          <w:sz w:val="12"/>
          <w:szCs w:val="12"/>
        </w:rPr>
      </w:pPr>
    </w:p>
    <w:p w14:paraId="387FBC1A" w14:textId="415AB746" w:rsidR="00A2031E" w:rsidRDefault="00A2031E" w:rsidP="00A2031E">
      <w:pPr>
        <w:pStyle w:val="BodyTextIndent"/>
        <w:ind w:left="0" w:firstLine="0"/>
      </w:pPr>
      <w:r w:rsidRPr="00005453">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5035E23A" w14:textId="3E34B731" w:rsidR="005F6E0A" w:rsidRDefault="005F6E0A" w:rsidP="00A2031E">
      <w:pPr>
        <w:pStyle w:val="BodyTextIndent"/>
        <w:ind w:left="0" w:firstLine="0"/>
      </w:pPr>
    </w:p>
    <w:p w14:paraId="0764B0C4" w14:textId="3CDDFA23" w:rsidR="005F6E0A" w:rsidRDefault="005F6E0A" w:rsidP="00A2031E">
      <w:pPr>
        <w:pStyle w:val="BodyTextIndent"/>
        <w:ind w:left="0" w:firstLine="0"/>
      </w:pPr>
    </w:p>
    <w:p w14:paraId="2AD1EDA1" w14:textId="5295F5F4" w:rsidR="005F6E0A" w:rsidRDefault="005F6E0A" w:rsidP="00A2031E">
      <w:pPr>
        <w:pStyle w:val="BodyTextIndent"/>
        <w:ind w:left="0" w:firstLine="0"/>
      </w:pPr>
    </w:p>
    <w:p w14:paraId="03966CC3" w14:textId="77777777" w:rsidR="005F6E0A" w:rsidRPr="00005453" w:rsidRDefault="005F6E0A" w:rsidP="00A2031E">
      <w:pPr>
        <w:pStyle w:val="BodyTextIndent"/>
        <w:ind w:left="0" w:firstLine="0"/>
      </w:pPr>
    </w:p>
    <w:p w14:paraId="2C0D73D4" w14:textId="77777777" w:rsidR="00901E70" w:rsidRPr="00005453" w:rsidRDefault="00901E70" w:rsidP="00901E70">
      <w:pPr>
        <w:ind w:hanging="567"/>
        <w:rPr>
          <w:b/>
        </w:rPr>
      </w:pPr>
      <w:r w:rsidRPr="00005453">
        <w:rPr>
          <w:b/>
        </w:rPr>
        <w:lastRenderedPageBreak/>
        <w:t xml:space="preserve">13.   </w:t>
      </w:r>
      <w:r w:rsidRPr="00005453">
        <w:rPr>
          <w:b/>
        </w:rPr>
        <w:tab/>
        <w:t>Kiralama işlemlerine ilişkin açıklamalar</w:t>
      </w:r>
    </w:p>
    <w:p w14:paraId="1B216662" w14:textId="77777777" w:rsidR="00901E70" w:rsidRPr="00005453" w:rsidRDefault="00901E70" w:rsidP="00901E70">
      <w:pPr>
        <w:rPr>
          <w:sz w:val="10"/>
        </w:rPr>
      </w:pPr>
    </w:p>
    <w:p w14:paraId="3C0F1689" w14:textId="77777777" w:rsidR="005F0388" w:rsidRPr="00005453" w:rsidRDefault="005F0388" w:rsidP="005F0388">
      <w:pPr>
        <w:pStyle w:val="BodyText3"/>
        <w:jc w:val="both"/>
        <w:rPr>
          <w:i w:val="0"/>
          <w:sz w:val="20"/>
        </w:rPr>
      </w:pPr>
      <w:r w:rsidRPr="00005453">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29E069BA" w14:textId="77777777" w:rsidR="005F0388" w:rsidRPr="00005453" w:rsidRDefault="005F0388" w:rsidP="005F0388">
      <w:pPr>
        <w:pStyle w:val="BodyText3"/>
        <w:jc w:val="both"/>
        <w:rPr>
          <w:i w:val="0"/>
          <w:sz w:val="12"/>
          <w:szCs w:val="16"/>
        </w:rPr>
      </w:pPr>
    </w:p>
    <w:p w14:paraId="2144C3E3" w14:textId="77777777" w:rsidR="005F0388" w:rsidRPr="00005453" w:rsidRDefault="005F0388" w:rsidP="005F0388">
      <w:pPr>
        <w:pStyle w:val="BodyText3"/>
        <w:jc w:val="both"/>
        <w:rPr>
          <w:i w:val="0"/>
          <w:sz w:val="20"/>
        </w:rPr>
      </w:pPr>
      <w:r w:rsidRPr="00005453">
        <w:rPr>
          <w:i w:val="0"/>
          <w:sz w:val="20"/>
        </w:rPr>
        <w:t>(a) Kiralanan varlığının kullanımından sağlanacak ekonomik yararların tamamına yakınını elde etme hakkı ve</w:t>
      </w:r>
    </w:p>
    <w:p w14:paraId="661BA199" w14:textId="77777777" w:rsidR="005F0388" w:rsidRPr="00005453" w:rsidRDefault="005F0388" w:rsidP="005F0388">
      <w:pPr>
        <w:pStyle w:val="BodyText3"/>
        <w:jc w:val="both"/>
        <w:rPr>
          <w:i w:val="0"/>
          <w:sz w:val="20"/>
        </w:rPr>
      </w:pPr>
      <w:r w:rsidRPr="00005453">
        <w:rPr>
          <w:i w:val="0"/>
          <w:sz w:val="20"/>
        </w:rPr>
        <w:t xml:space="preserve">(b) Kiralanan varlığın kullanımını yönetme hakkının olup olmadığını değerlendirerek belirlemiştir. </w:t>
      </w:r>
    </w:p>
    <w:p w14:paraId="4D134505" w14:textId="77777777" w:rsidR="005F0388" w:rsidRPr="00005453" w:rsidRDefault="005F0388" w:rsidP="005F0388">
      <w:pPr>
        <w:pStyle w:val="BodyText3"/>
        <w:jc w:val="both"/>
        <w:rPr>
          <w:i w:val="0"/>
          <w:sz w:val="12"/>
          <w:szCs w:val="16"/>
        </w:rPr>
      </w:pPr>
    </w:p>
    <w:p w14:paraId="7009D7D4" w14:textId="5E85F720" w:rsidR="00901E70" w:rsidRPr="00005453" w:rsidRDefault="005F0388" w:rsidP="00901E70">
      <w:pPr>
        <w:jc w:val="both"/>
      </w:pPr>
      <w:r w:rsidRPr="00005453">
        <w:t xml:space="preserve">Banka, TFRS 16 standardının ilk uygulama tarihi olan 1 Ocak 2019 tarihinden itibaren TFRS </w:t>
      </w:r>
      <w:proofErr w:type="gramStart"/>
      <w:r w:rsidRPr="00005453">
        <w:t>16 -</w:t>
      </w:r>
      <w:proofErr w:type="gramEnd"/>
      <w:r w:rsidRPr="00005453">
        <w:t xml:space="preserve">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005453">
        <w:t>kar</w:t>
      </w:r>
      <w:proofErr w:type="gramEnd"/>
      <w:r w:rsidRPr="00005453">
        <w:t xml:space="preserve"> payı oranını kullanılarak iskonto edilmiştir. Banka kullanım hakkı varlıklarını, önceden ödenmiş veya tahakkuk etmiş kiralama ödemeleri düzeltilerek, kiralama yükümlülüğüne eşit olarak muhasebeleştirmiştir.</w:t>
      </w:r>
    </w:p>
    <w:p w14:paraId="085F0B19" w14:textId="49DDEE05" w:rsidR="00972D8C" w:rsidRDefault="00972D8C" w:rsidP="00901E70">
      <w:pPr>
        <w:jc w:val="both"/>
        <w:rPr>
          <w:b/>
        </w:rPr>
      </w:pPr>
    </w:p>
    <w:p w14:paraId="44A9E3BD" w14:textId="0D0EB5BF" w:rsidR="00901E70" w:rsidRPr="00005453" w:rsidRDefault="00901E70" w:rsidP="00901E70">
      <w:pPr>
        <w:jc w:val="both"/>
        <w:rPr>
          <w:b/>
        </w:rPr>
      </w:pPr>
      <w:r w:rsidRPr="00005453">
        <w:rPr>
          <w:b/>
        </w:rPr>
        <w:t>Kullanım hakkı varlığı</w:t>
      </w:r>
    </w:p>
    <w:p w14:paraId="4492B016" w14:textId="77777777" w:rsidR="00901E70" w:rsidRPr="00005453" w:rsidRDefault="00901E70" w:rsidP="00901E70">
      <w:pPr>
        <w:jc w:val="both"/>
        <w:rPr>
          <w:b/>
          <w:sz w:val="10"/>
        </w:rPr>
      </w:pPr>
    </w:p>
    <w:p w14:paraId="7DB4273E" w14:textId="77777777" w:rsidR="005F0388" w:rsidRPr="00005453" w:rsidRDefault="005F0388" w:rsidP="005F0388">
      <w:pPr>
        <w:jc w:val="both"/>
      </w:pPr>
      <w:r w:rsidRPr="00005453">
        <w:t>Banka, kiralamanın fiilen başladığı tarihte finansal tablolarına bir kullanım hakkı varlığı ve bir kira yükümlülüğü yansıtır.</w:t>
      </w:r>
    </w:p>
    <w:p w14:paraId="03525E6D" w14:textId="77777777" w:rsidR="005F0388" w:rsidRPr="00005453" w:rsidRDefault="005F0388" w:rsidP="005F0388">
      <w:pPr>
        <w:jc w:val="both"/>
        <w:rPr>
          <w:sz w:val="12"/>
          <w:szCs w:val="12"/>
        </w:rPr>
      </w:pPr>
    </w:p>
    <w:p w14:paraId="09FD3A77" w14:textId="77777777" w:rsidR="005F0388" w:rsidRPr="00005453" w:rsidRDefault="005F0388" w:rsidP="005F0388">
      <w:pPr>
        <w:jc w:val="both"/>
      </w:pPr>
      <w:r w:rsidRPr="00005453">
        <w:t>Kullanım hakkı varlığı ilk olarak maliyet yöntemiyle muhasebeleştirilir ve aşağıdakileri içerir:</w:t>
      </w:r>
    </w:p>
    <w:p w14:paraId="52B8A9EB" w14:textId="77777777" w:rsidR="005F0388" w:rsidRPr="00005453" w:rsidRDefault="005F0388" w:rsidP="005F0388">
      <w:pPr>
        <w:jc w:val="both"/>
        <w:rPr>
          <w:b/>
          <w:sz w:val="12"/>
          <w:szCs w:val="16"/>
        </w:rPr>
      </w:pPr>
    </w:p>
    <w:p w14:paraId="115B802B" w14:textId="77777777" w:rsidR="005F0388" w:rsidRPr="00005453" w:rsidRDefault="005F0388" w:rsidP="005F0388">
      <w:pPr>
        <w:jc w:val="both"/>
      </w:pPr>
      <w:r w:rsidRPr="00005453">
        <w:t>(a) Kira yükümlülüğünün ilk ölçüm tutarı,</w:t>
      </w:r>
    </w:p>
    <w:p w14:paraId="7E50BA13" w14:textId="54667F09" w:rsidR="005F0388" w:rsidRPr="00005453" w:rsidRDefault="005F0388" w:rsidP="005F0388">
      <w:pPr>
        <w:jc w:val="both"/>
      </w:pPr>
      <w:r w:rsidRPr="00005453">
        <w:t>(b) Kiralamanın fiilen başladığı tarihte veya öncesinde yapılan tüm kira ödemelerinden alınan tüm kiralama teşviklerinin düşülmesiyle elde edilen tutar,</w:t>
      </w:r>
    </w:p>
    <w:p w14:paraId="72F01254" w14:textId="77777777" w:rsidR="00FE09BD" w:rsidRPr="00FE09BD" w:rsidRDefault="00FE09BD" w:rsidP="00FE09BD">
      <w:pPr>
        <w:rPr>
          <w:sz w:val="8"/>
        </w:rPr>
      </w:pPr>
    </w:p>
    <w:p w14:paraId="54B4740A" w14:textId="55C7F432" w:rsidR="005F0388" w:rsidRPr="00005453" w:rsidRDefault="005F0388" w:rsidP="00FE09BD">
      <w:r w:rsidRPr="00005453">
        <w:t>Banka maliyet yöntemini uygularken, kullanım hakkı varlığını:</w:t>
      </w:r>
    </w:p>
    <w:p w14:paraId="29D475AE" w14:textId="77777777" w:rsidR="005F0388" w:rsidRPr="00005453" w:rsidRDefault="005F0388" w:rsidP="005F0388">
      <w:pPr>
        <w:jc w:val="both"/>
      </w:pPr>
      <w:r w:rsidRPr="00005453">
        <w:t>(a) Birikmiş amortisman ve birikmiş değer düşüklüğü zararları düşülmüş ve</w:t>
      </w:r>
    </w:p>
    <w:p w14:paraId="56B36A14" w14:textId="77777777" w:rsidR="005F0388" w:rsidRPr="00005453" w:rsidRDefault="005F0388" w:rsidP="005F0388">
      <w:pPr>
        <w:jc w:val="both"/>
      </w:pPr>
      <w:r w:rsidRPr="00005453">
        <w:t>(b) kira yükümlülüğünün yeniden ölçümüne göre düzeltilmiş maliyeti üzerinden ölçer.</w:t>
      </w:r>
    </w:p>
    <w:p w14:paraId="3BF96140" w14:textId="77777777" w:rsidR="005F0388" w:rsidRPr="00005453" w:rsidRDefault="005F0388" w:rsidP="005F0388">
      <w:pPr>
        <w:jc w:val="both"/>
      </w:pPr>
      <w:r w:rsidRPr="00005453">
        <w:t xml:space="preserve">Banka, kullanım hakkı varlığını amortismana tabi tutarken TMS 16 Maddi Duran Varlıklar’da yer alan amortisman hükümlerini uygular. </w:t>
      </w:r>
    </w:p>
    <w:p w14:paraId="6914A1E0" w14:textId="77777777" w:rsidR="005F0388" w:rsidRPr="00005453" w:rsidRDefault="005F0388" w:rsidP="005F0388">
      <w:pPr>
        <w:jc w:val="both"/>
        <w:rPr>
          <w:sz w:val="12"/>
          <w:szCs w:val="12"/>
        </w:rPr>
      </w:pPr>
    </w:p>
    <w:p w14:paraId="5792EF1B" w14:textId="77777777" w:rsidR="005F0388" w:rsidRPr="00005453" w:rsidRDefault="005F0388" w:rsidP="005F0388">
      <w:pPr>
        <w:jc w:val="both"/>
      </w:pPr>
      <w:r w:rsidRPr="00005453">
        <w:t>Banka kullanım hakkı varlığının değer düşüklüğüne uğramış olup olmadığını belirlemek ve belirlenen herhangi bir değer düşüklüğü zararını muhasebeleştirmek için TMS 36 Varlıklarda Değer Düşüklüğü’nü uygular.</w:t>
      </w:r>
    </w:p>
    <w:p w14:paraId="0C8BF4E8" w14:textId="17E01CA1" w:rsidR="00901E70" w:rsidRPr="00005453" w:rsidRDefault="00901E70" w:rsidP="00901E70">
      <w:pPr>
        <w:jc w:val="both"/>
        <w:rPr>
          <w:b/>
          <w:sz w:val="14"/>
        </w:rPr>
      </w:pPr>
    </w:p>
    <w:p w14:paraId="703F27F8" w14:textId="64128905" w:rsidR="00901E70" w:rsidRPr="00005453" w:rsidRDefault="00901E70" w:rsidP="00901E70">
      <w:pPr>
        <w:jc w:val="both"/>
        <w:rPr>
          <w:b/>
        </w:rPr>
      </w:pPr>
      <w:r w:rsidRPr="00005453">
        <w:rPr>
          <w:b/>
        </w:rPr>
        <w:t>Kira yükümlülüğü</w:t>
      </w:r>
    </w:p>
    <w:p w14:paraId="41ED3E12" w14:textId="77777777" w:rsidR="00901E70" w:rsidRPr="00005453" w:rsidRDefault="00901E70" w:rsidP="00901E70">
      <w:pPr>
        <w:jc w:val="both"/>
        <w:rPr>
          <w:b/>
          <w:sz w:val="10"/>
        </w:rPr>
      </w:pPr>
    </w:p>
    <w:p w14:paraId="2EE55E8A" w14:textId="77777777" w:rsidR="005F0388" w:rsidRPr="00005453" w:rsidRDefault="005F0388" w:rsidP="005F0388">
      <w:pPr>
        <w:jc w:val="both"/>
      </w:pPr>
      <w:r w:rsidRPr="00005453">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005453">
        <w:t>kar</w:t>
      </w:r>
      <w:proofErr w:type="gramEnd"/>
      <w:r w:rsidRPr="00005453">
        <w:t xml:space="preserve"> payı oranını kullanılmıştır.</w:t>
      </w:r>
    </w:p>
    <w:p w14:paraId="306894DF" w14:textId="77777777" w:rsidR="005F0388" w:rsidRPr="00005453" w:rsidRDefault="005F0388" w:rsidP="005F0388">
      <w:pPr>
        <w:jc w:val="both"/>
        <w:rPr>
          <w:sz w:val="12"/>
          <w:szCs w:val="12"/>
        </w:rPr>
      </w:pPr>
    </w:p>
    <w:p w14:paraId="37240674" w14:textId="77777777" w:rsidR="005F0388" w:rsidRPr="00005453" w:rsidRDefault="005F0388" w:rsidP="005F0388">
      <w:pPr>
        <w:jc w:val="both"/>
      </w:pPr>
      <w:r w:rsidRPr="00005453">
        <w:t xml:space="preserve">Kiralama süresindeki her bir döneme ait kira yükümlülüğüne ilişkin </w:t>
      </w:r>
      <w:proofErr w:type="gramStart"/>
      <w:r w:rsidRPr="00005453">
        <w:t>kar</w:t>
      </w:r>
      <w:proofErr w:type="gramEnd"/>
      <w:r w:rsidRPr="00005453">
        <w:t xml:space="preserve"> payı, kira yükümlülüğünün kalan bakiyesine sabit bir dönemsel kar payı oranı uygulanarak bulunan tutardır. Dönemsel </w:t>
      </w:r>
      <w:proofErr w:type="gramStart"/>
      <w:r w:rsidRPr="00005453">
        <w:t>kar</w:t>
      </w:r>
      <w:proofErr w:type="gramEnd"/>
      <w:r w:rsidRPr="00005453">
        <w:t xml:space="preserve"> payı oranı Banka’nın alternatif borçlanma kar payı oranıdır.</w:t>
      </w:r>
    </w:p>
    <w:p w14:paraId="7C186901" w14:textId="77777777" w:rsidR="005F0388" w:rsidRPr="00005453" w:rsidRDefault="005F0388" w:rsidP="005F0388">
      <w:pPr>
        <w:jc w:val="both"/>
        <w:rPr>
          <w:sz w:val="12"/>
          <w:szCs w:val="12"/>
        </w:rPr>
      </w:pPr>
    </w:p>
    <w:p w14:paraId="1FE24BB6" w14:textId="2867799D" w:rsidR="005F0388" w:rsidRPr="00005453" w:rsidRDefault="005F0388" w:rsidP="005F0388">
      <w:pPr>
        <w:tabs>
          <w:tab w:val="left" w:pos="1590"/>
        </w:tabs>
        <w:autoSpaceDE w:val="0"/>
        <w:autoSpaceDN w:val="0"/>
        <w:adjustRightInd w:val="0"/>
        <w:ind w:hanging="567"/>
        <w:rPr>
          <w:b/>
        </w:rPr>
      </w:pPr>
      <w:r w:rsidRPr="00005453">
        <w:tab/>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F0FAFB2" w14:textId="42F53408" w:rsidR="00901E70" w:rsidRPr="00005453" w:rsidRDefault="005F0388" w:rsidP="005F0388">
      <w:pPr>
        <w:tabs>
          <w:tab w:val="left" w:pos="1590"/>
        </w:tabs>
        <w:autoSpaceDE w:val="0"/>
        <w:autoSpaceDN w:val="0"/>
        <w:adjustRightInd w:val="0"/>
        <w:ind w:hanging="567"/>
        <w:rPr>
          <w:b/>
          <w:sz w:val="12"/>
        </w:rPr>
      </w:pPr>
      <w:r w:rsidRPr="00005453">
        <w:rPr>
          <w:b/>
        </w:rPr>
        <w:tab/>
      </w:r>
    </w:p>
    <w:p w14:paraId="67D3FAA1" w14:textId="77777777" w:rsidR="00901E70" w:rsidRPr="00005453" w:rsidRDefault="00901E70" w:rsidP="00901E70">
      <w:pPr>
        <w:autoSpaceDE w:val="0"/>
        <w:autoSpaceDN w:val="0"/>
        <w:adjustRightInd w:val="0"/>
        <w:ind w:hanging="567"/>
        <w:rPr>
          <w:b/>
        </w:rPr>
      </w:pPr>
      <w:r w:rsidRPr="00005453">
        <w:rPr>
          <w:b/>
        </w:rPr>
        <w:t>14.</w:t>
      </w:r>
      <w:r w:rsidRPr="00005453">
        <w:t xml:space="preserve">   </w:t>
      </w:r>
      <w:r w:rsidRPr="00005453">
        <w:tab/>
      </w:r>
      <w:r w:rsidRPr="00005453">
        <w:rPr>
          <w:b/>
        </w:rPr>
        <w:t>Karşılıklar ve koşullu yükümlülüklere ilişkin açıklamalar</w:t>
      </w:r>
    </w:p>
    <w:p w14:paraId="4A42F0D1" w14:textId="77777777" w:rsidR="00901E70" w:rsidRPr="00005453" w:rsidRDefault="00901E70" w:rsidP="00901E70">
      <w:pPr>
        <w:rPr>
          <w:rFonts w:eastAsia="Arial Unicode MS"/>
          <w:sz w:val="10"/>
          <w:szCs w:val="22"/>
        </w:rPr>
      </w:pPr>
    </w:p>
    <w:p w14:paraId="051D6536" w14:textId="77777777" w:rsidR="00901E70" w:rsidRPr="00005453" w:rsidRDefault="00901E70" w:rsidP="00901E70">
      <w:pPr>
        <w:pStyle w:val="BodyTextIndent"/>
        <w:ind w:left="0" w:firstLine="0"/>
        <w:rPr>
          <w:rFonts w:eastAsia="Arial Unicode MS"/>
        </w:rPr>
      </w:pPr>
      <w:r w:rsidRPr="00005453">
        <w:rPr>
          <w:rFonts w:eastAsia="Arial Unicode MS"/>
        </w:rPr>
        <w:t xml:space="preserve">Karşılıklar ve koşullu yükümlülükler “Karşılıklar, Koşullu Borçlar ve Koşullu Varlıklara İlişkin Türkiye Muhasebe Standardı”na (“TMS 37”) uygun olarak muhasebeleştirilmektedir. </w:t>
      </w:r>
    </w:p>
    <w:p w14:paraId="53C06F94" w14:textId="77777777" w:rsidR="00901E70" w:rsidRPr="00005453" w:rsidRDefault="00901E70" w:rsidP="00901E70">
      <w:pPr>
        <w:pStyle w:val="BodyTextIndent"/>
        <w:ind w:left="0" w:firstLine="0"/>
        <w:rPr>
          <w:rFonts w:eastAsia="Arial Unicode MS"/>
          <w:sz w:val="12"/>
          <w:szCs w:val="16"/>
        </w:rPr>
      </w:pPr>
    </w:p>
    <w:p w14:paraId="18856BFE" w14:textId="77777777" w:rsidR="00901E70" w:rsidRPr="00005453" w:rsidRDefault="00901E70" w:rsidP="00901E70">
      <w:pPr>
        <w:pStyle w:val="BodyTextIndent"/>
        <w:ind w:left="0" w:firstLine="0"/>
        <w:rPr>
          <w:rFonts w:eastAsia="Arial Unicode MS"/>
          <w:sz w:val="16"/>
          <w:szCs w:val="16"/>
        </w:rPr>
      </w:pPr>
      <w:r w:rsidRPr="00005453">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EDB217" w14:textId="77777777" w:rsidR="00F20AF5" w:rsidRPr="00005453" w:rsidRDefault="00F20AF5" w:rsidP="00901E70">
      <w:pPr>
        <w:pStyle w:val="BodyTextIndent"/>
        <w:ind w:left="0" w:firstLine="0"/>
        <w:rPr>
          <w:rFonts w:eastAsia="Arial Unicode MS"/>
          <w:sz w:val="14"/>
        </w:rPr>
      </w:pPr>
    </w:p>
    <w:p w14:paraId="518C9FFA" w14:textId="080BE5A7" w:rsidR="00901E70" w:rsidRPr="00005453" w:rsidRDefault="00901E70" w:rsidP="00901E70">
      <w:pPr>
        <w:pStyle w:val="BodyTextIndent"/>
        <w:ind w:left="0" w:firstLine="0"/>
        <w:rPr>
          <w:rFonts w:eastAsia="Arial Unicode MS"/>
        </w:rPr>
      </w:pPr>
      <w:r w:rsidRPr="00005453">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4B75EA78" w14:textId="77777777" w:rsidR="001E6F29" w:rsidRPr="00005453" w:rsidRDefault="001E6F29" w:rsidP="00901E70">
      <w:pPr>
        <w:pStyle w:val="BodyTextIndent"/>
        <w:ind w:left="0" w:firstLine="0"/>
        <w:rPr>
          <w:rFonts w:eastAsia="Arial Unicode MS"/>
          <w:sz w:val="10"/>
        </w:rPr>
      </w:pPr>
    </w:p>
    <w:p w14:paraId="6E7AC7AB" w14:textId="0BF28E23" w:rsidR="00901E70" w:rsidRPr="00005453" w:rsidRDefault="00901E70" w:rsidP="00901E70">
      <w:pPr>
        <w:pStyle w:val="BodyTextIndent"/>
        <w:ind w:left="0" w:firstLine="0"/>
      </w:pPr>
      <w:r w:rsidRPr="00005453">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BCED52A" w14:textId="09D5DCCC" w:rsidR="00901E70" w:rsidRPr="00005453" w:rsidRDefault="00901E70" w:rsidP="00901E70">
      <w:pPr>
        <w:ind w:hanging="567"/>
        <w:rPr>
          <w:rFonts w:eastAsia="Arial Unicode MS"/>
          <w:b/>
        </w:rPr>
      </w:pPr>
      <w:r w:rsidRPr="00005453">
        <w:rPr>
          <w:b/>
        </w:rPr>
        <w:lastRenderedPageBreak/>
        <w:t xml:space="preserve">15.   </w:t>
      </w:r>
      <w:r w:rsidRPr="00005453">
        <w:rPr>
          <w:b/>
        </w:rPr>
        <w:tab/>
        <w:t>Çalışanların haklarına ilişkin yükümlülüklere ilişkin açıklamalar</w:t>
      </w:r>
    </w:p>
    <w:p w14:paraId="18D4710B" w14:textId="77777777" w:rsidR="00901E70" w:rsidRPr="00005453" w:rsidRDefault="00901E70" w:rsidP="00901E70">
      <w:pPr>
        <w:pStyle w:val="BodyTextIndent3"/>
        <w:spacing w:before="0" w:line="240" w:lineRule="auto"/>
        <w:ind w:firstLine="0"/>
        <w:jc w:val="left"/>
        <w:rPr>
          <w:sz w:val="12"/>
        </w:rPr>
      </w:pPr>
    </w:p>
    <w:p w14:paraId="29018319" w14:textId="5DBDCFC0" w:rsidR="00901E70" w:rsidRPr="00005453" w:rsidRDefault="00901E70" w:rsidP="00901E70">
      <w:pPr>
        <w:pStyle w:val="BodyText3"/>
        <w:tabs>
          <w:tab w:val="clear" w:pos="539"/>
          <w:tab w:val="num" w:pos="709"/>
        </w:tabs>
        <w:ind w:right="183" w:hanging="567"/>
        <w:rPr>
          <w:b/>
          <w:bCs w:val="0"/>
          <w:i w:val="0"/>
          <w:iCs w:val="0"/>
          <w:sz w:val="20"/>
        </w:rPr>
      </w:pPr>
      <w:r w:rsidRPr="00005453">
        <w:rPr>
          <w:b/>
          <w:bCs w:val="0"/>
          <w:i w:val="0"/>
          <w:iCs w:val="0"/>
          <w:sz w:val="20"/>
        </w:rPr>
        <w:t>15.1</w:t>
      </w:r>
      <w:r w:rsidRPr="00005453">
        <w:rPr>
          <w:b/>
          <w:bCs w:val="0"/>
          <w:i w:val="0"/>
          <w:iCs w:val="0"/>
          <w:sz w:val="20"/>
        </w:rPr>
        <w:tab/>
        <w:t>Tanımlanmış fayda planları</w:t>
      </w:r>
    </w:p>
    <w:p w14:paraId="3A0F103A" w14:textId="77777777" w:rsidR="00901E70" w:rsidRPr="00005453" w:rsidRDefault="00901E70" w:rsidP="00901E70">
      <w:pPr>
        <w:pStyle w:val="BodyText3"/>
        <w:tabs>
          <w:tab w:val="clear" w:pos="539"/>
          <w:tab w:val="num" w:pos="540"/>
        </w:tabs>
        <w:ind w:right="183"/>
        <w:rPr>
          <w:b/>
          <w:bCs w:val="0"/>
          <w:i w:val="0"/>
          <w:iCs w:val="0"/>
          <w:sz w:val="10"/>
        </w:rPr>
      </w:pPr>
    </w:p>
    <w:p w14:paraId="17B23474" w14:textId="77777777" w:rsidR="005F0388" w:rsidRPr="00005453" w:rsidRDefault="005F0388" w:rsidP="005F0388">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05453">
        <w:rPr>
          <w:rFonts w:ascii="Times New Roman" w:eastAsia="Times New Roman" w:hAnsi="Times New Roman" w:cs="Times New Roman"/>
        </w:rPr>
        <w:t>Banka, mevcut iş kanunu gereğince, en az bir yıl hizmet verdikten sonra emeklilik</w:t>
      </w:r>
      <w:r w:rsidRPr="00005453">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A93162A" w14:textId="77777777" w:rsidR="005F0388" w:rsidRPr="00005453" w:rsidRDefault="005F0388" w:rsidP="005F0388">
      <w:pPr>
        <w:jc w:val="both"/>
        <w:rPr>
          <w:sz w:val="10"/>
          <w:szCs w:val="12"/>
        </w:rPr>
      </w:pPr>
    </w:p>
    <w:p w14:paraId="67C622CC" w14:textId="77777777" w:rsidR="005F0388" w:rsidRPr="00005453" w:rsidRDefault="005F0388" w:rsidP="005F0388">
      <w:pPr>
        <w:jc w:val="both"/>
      </w:pPr>
      <w:r w:rsidRPr="00005453">
        <w:t xml:space="preserve">Banka, </w:t>
      </w:r>
      <w:r w:rsidRPr="00005453">
        <w:rPr>
          <w:rFonts w:eastAsia="Arial Unicode MS"/>
        </w:rPr>
        <w:t xml:space="preserve">“Çalışanlara Sağlanan Faydalara İlişkin Türkiye Muhasebe Standardı” (“TMS 19”) hükümleri uyarınca </w:t>
      </w:r>
      <w:r w:rsidRPr="00005453">
        <w:t>bağımsız bir aktüer şirket tarafından hesaplanan yükümlülük tutarını ilişikteki finansal tablolarına yansıtmıştır. Banka, tüm aktüeryal kayıp ve kazançlarını, diğer kapsamlı gelir tablosu altında muhasebeleştirmektedir.</w:t>
      </w:r>
    </w:p>
    <w:p w14:paraId="7E98E8FE" w14:textId="53D9E4AE" w:rsidR="00901E70" w:rsidRPr="00005453" w:rsidRDefault="005F0388" w:rsidP="00700EB9">
      <w:pPr>
        <w:pStyle w:val="BodyTextIndent3"/>
        <w:spacing w:before="0" w:line="240" w:lineRule="auto"/>
        <w:ind w:hanging="567"/>
        <w:jc w:val="left"/>
        <w:rPr>
          <w:rFonts w:eastAsia="Arial Unicode MS"/>
          <w:sz w:val="20"/>
        </w:rPr>
      </w:pPr>
      <w:r w:rsidRPr="00005453">
        <w:rPr>
          <w:rFonts w:eastAsia="Arial Unicode MS"/>
          <w:sz w:val="12"/>
          <w:szCs w:val="12"/>
        </w:rPr>
        <w:tab/>
      </w:r>
      <w:r w:rsidRPr="00005453">
        <w:rPr>
          <w:rFonts w:eastAsia="Arial Unicode MS"/>
          <w:sz w:val="12"/>
          <w:szCs w:val="12"/>
        </w:rPr>
        <w:tab/>
      </w:r>
      <w:r w:rsidRPr="00005453">
        <w:rPr>
          <w:rFonts w:eastAsia="Arial Unicode MS"/>
          <w:sz w:val="12"/>
          <w:szCs w:val="12"/>
        </w:rPr>
        <w:br/>
      </w:r>
      <w:r w:rsidRPr="00005453">
        <w:rPr>
          <w:rFonts w:eastAsia="Arial Unicode MS"/>
          <w:sz w:val="20"/>
        </w:rPr>
        <w:t>Banka çalışanlarının üyesi bulundukları vakıf, sandık ve benzeri kuruluşlar yoktur.</w:t>
      </w:r>
    </w:p>
    <w:p w14:paraId="6926D5E1" w14:textId="77777777" w:rsidR="00700EB9" w:rsidRPr="00005453" w:rsidRDefault="00700EB9" w:rsidP="00700EB9">
      <w:pPr>
        <w:pStyle w:val="BodyTextIndent3"/>
        <w:spacing w:before="0" w:line="240" w:lineRule="auto"/>
        <w:ind w:hanging="567"/>
        <w:jc w:val="left"/>
        <w:rPr>
          <w:rFonts w:eastAsia="Arial Unicode MS"/>
          <w:sz w:val="16"/>
        </w:rPr>
      </w:pPr>
    </w:p>
    <w:p w14:paraId="4B2F551B" w14:textId="3CB5EB8C" w:rsidR="00901E70" w:rsidRPr="00005453" w:rsidRDefault="00901E70" w:rsidP="00901E70">
      <w:pPr>
        <w:pStyle w:val="BodyTextIndent3"/>
        <w:spacing w:before="0" w:line="240" w:lineRule="auto"/>
        <w:ind w:hanging="567"/>
        <w:jc w:val="left"/>
        <w:rPr>
          <w:rFonts w:eastAsia="Arial Unicode MS"/>
          <w:b/>
          <w:sz w:val="20"/>
        </w:rPr>
      </w:pPr>
      <w:r w:rsidRPr="00005453">
        <w:rPr>
          <w:rFonts w:eastAsia="Arial Unicode MS"/>
          <w:b/>
          <w:sz w:val="20"/>
        </w:rPr>
        <w:t>15.2</w:t>
      </w:r>
      <w:r w:rsidRPr="00005453">
        <w:rPr>
          <w:rFonts w:eastAsia="Arial Unicode MS"/>
          <w:b/>
          <w:sz w:val="20"/>
        </w:rPr>
        <w:tab/>
        <w:t>Tanımlanmış katkı planları</w:t>
      </w:r>
    </w:p>
    <w:p w14:paraId="71E0B7F5" w14:textId="77777777" w:rsidR="00901E70" w:rsidRPr="00005453" w:rsidRDefault="00901E70" w:rsidP="00901E70">
      <w:pPr>
        <w:pStyle w:val="BodyTextIndent3"/>
        <w:spacing w:before="0" w:line="240" w:lineRule="auto"/>
        <w:ind w:firstLine="720"/>
        <w:jc w:val="left"/>
        <w:rPr>
          <w:rFonts w:eastAsia="Arial Unicode MS"/>
          <w:b/>
          <w:sz w:val="10"/>
        </w:rPr>
      </w:pPr>
    </w:p>
    <w:p w14:paraId="45F066C0" w14:textId="7EFC1D7E" w:rsidR="00A9473B" w:rsidRPr="00FE09BD" w:rsidRDefault="005F0388" w:rsidP="001E6F2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05453">
        <w:rPr>
          <w:rFonts w:ascii="Times New Roman" w:eastAsia="Times New Roman" w:hAnsi="Times New Roman" w:cs="Times New Roman"/>
        </w:rPr>
        <w:t>Banka, çalışanları adına Sosyal Güvenlik Kurumu’na (</w:t>
      </w:r>
      <w:r w:rsidRPr="00005453">
        <w:rPr>
          <w:rFonts w:ascii="Times New Roman" w:hAnsi="Times New Roman" w:cs="Times New Roman"/>
        </w:rPr>
        <w:t>“</w:t>
      </w:r>
      <w:r w:rsidRPr="00005453">
        <w:rPr>
          <w:rFonts w:ascii="Times New Roman" w:eastAsia="Times New Roman" w:hAnsi="Times New Roman" w:cs="Times New Roman"/>
        </w:rPr>
        <w:t>Kurum</w:t>
      </w:r>
      <w:r w:rsidRPr="00005453">
        <w:rPr>
          <w:rFonts w:ascii="Times New Roman" w:hAnsi="Times New Roman" w:cs="Times New Roman"/>
        </w:rPr>
        <w:t>”</w:t>
      </w:r>
      <w:r w:rsidRPr="00005453">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7EA00CA" w14:textId="26F3CCF8" w:rsidR="00901E70" w:rsidRPr="00005453" w:rsidRDefault="00901E70" w:rsidP="00091736">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0"/>
        </w:rPr>
      </w:pPr>
      <w:r w:rsidRPr="00005453">
        <w:rPr>
          <w:rFonts w:ascii="Times New Roman" w:eastAsia="Times New Roman" w:hAnsi="Times New Roman" w:cs="Times New Roman"/>
          <w:sz w:val="16"/>
          <w:szCs w:val="16"/>
        </w:rPr>
        <w:tab/>
      </w:r>
    </w:p>
    <w:p w14:paraId="272D24D8" w14:textId="77777777" w:rsidR="00901E70" w:rsidRPr="00005453" w:rsidRDefault="00901E70" w:rsidP="00901E70">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005453">
        <w:rPr>
          <w:rFonts w:ascii="Times New Roman" w:eastAsia="Times New Roman" w:hAnsi="Times New Roman" w:cs="Times New Roman"/>
          <w:b/>
        </w:rPr>
        <w:t>15.3</w:t>
      </w:r>
      <w:r w:rsidRPr="00005453">
        <w:rPr>
          <w:rFonts w:ascii="Times New Roman" w:eastAsia="Times New Roman" w:hAnsi="Times New Roman" w:cs="Times New Roman"/>
          <w:b/>
        </w:rPr>
        <w:tab/>
        <w:t>Çalışanlara sağlanan kısa vadeli faydalar</w:t>
      </w:r>
    </w:p>
    <w:p w14:paraId="09EB35AF" w14:textId="77777777" w:rsidR="00901E70" w:rsidRPr="00005453" w:rsidRDefault="00901E70" w:rsidP="00901E7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rPr>
      </w:pPr>
    </w:p>
    <w:p w14:paraId="634711C3" w14:textId="77777777" w:rsidR="005F0388" w:rsidRPr="00005453" w:rsidRDefault="005F0388" w:rsidP="005F0388">
      <w:pPr>
        <w:pStyle w:val="BodyTextIndent3"/>
        <w:spacing w:before="0" w:line="240" w:lineRule="auto"/>
        <w:ind w:firstLine="0"/>
        <w:rPr>
          <w:sz w:val="20"/>
        </w:rPr>
      </w:pPr>
      <w:r w:rsidRPr="00005453">
        <w:rPr>
          <w:sz w:val="20"/>
        </w:rPr>
        <w:t xml:space="preserve">“TMS 19” kapsamında “Çalışanlara kısa vadeli faydalar” olarak tanımlanan izin tazminatlarından doğan yükümlülükler hak kazanıldıkları dönemlerde tahakkuk ettirilmektedir. </w:t>
      </w:r>
    </w:p>
    <w:p w14:paraId="388157F5" w14:textId="77777777" w:rsidR="005F0388" w:rsidRPr="00005453" w:rsidRDefault="005F0388" w:rsidP="005F0388">
      <w:pPr>
        <w:pStyle w:val="BodyTextIndent3"/>
        <w:spacing w:before="0" w:line="240" w:lineRule="auto"/>
        <w:ind w:firstLine="0"/>
        <w:rPr>
          <w:sz w:val="10"/>
          <w:szCs w:val="12"/>
        </w:rPr>
      </w:pPr>
    </w:p>
    <w:p w14:paraId="55181DFB" w14:textId="460F97EE" w:rsidR="005F0388" w:rsidRPr="00005453" w:rsidRDefault="005F0388" w:rsidP="005F0388">
      <w:pPr>
        <w:pStyle w:val="BodyTextIndent3"/>
        <w:spacing w:before="0" w:line="240" w:lineRule="auto"/>
        <w:ind w:firstLine="0"/>
        <w:rPr>
          <w:sz w:val="20"/>
        </w:rPr>
      </w:pPr>
      <w:r w:rsidRPr="00005453">
        <w:rPr>
          <w:sz w:val="20"/>
        </w:rPr>
        <w:t>Banka yönetimi, Yönetim Kurulu tarafından onaylanmış yıl sonu bütçe hedeflerine ulaşılabileceğinin öngörüldüğü durumlarda performans prim karşılığı hesaplamaktadır.</w:t>
      </w:r>
    </w:p>
    <w:p w14:paraId="293A3BDA" w14:textId="3D535E67" w:rsidR="00CB5235" w:rsidRPr="00005453" w:rsidRDefault="00CB5235" w:rsidP="003147DD">
      <w:pPr>
        <w:autoSpaceDE w:val="0"/>
        <w:autoSpaceDN w:val="0"/>
        <w:adjustRightInd w:val="0"/>
        <w:ind w:hanging="567"/>
        <w:rPr>
          <w:rFonts w:eastAsia="Arial Unicode MS"/>
          <w:b/>
          <w:sz w:val="14"/>
        </w:rPr>
      </w:pPr>
    </w:p>
    <w:p w14:paraId="16B5A14A" w14:textId="5FEE5AB7" w:rsidR="003147DD" w:rsidRPr="00005453" w:rsidRDefault="003147DD" w:rsidP="003147DD">
      <w:pPr>
        <w:autoSpaceDE w:val="0"/>
        <w:autoSpaceDN w:val="0"/>
        <w:adjustRightInd w:val="0"/>
        <w:ind w:hanging="567"/>
        <w:rPr>
          <w:b/>
        </w:rPr>
      </w:pPr>
      <w:r w:rsidRPr="00005453">
        <w:rPr>
          <w:rFonts w:eastAsia="Arial Unicode MS"/>
          <w:b/>
        </w:rPr>
        <w:t>1</w:t>
      </w:r>
      <w:r w:rsidR="002E32E4" w:rsidRPr="00005453">
        <w:rPr>
          <w:rFonts w:eastAsia="Arial Unicode MS"/>
          <w:b/>
        </w:rPr>
        <w:t>6</w:t>
      </w:r>
      <w:r w:rsidRPr="00005453">
        <w:rPr>
          <w:rFonts w:eastAsia="Arial Unicode MS"/>
          <w:b/>
        </w:rPr>
        <w:t>.</w:t>
      </w:r>
      <w:r w:rsidRPr="00005453">
        <w:rPr>
          <w:rFonts w:eastAsia="Arial Unicode MS"/>
        </w:rPr>
        <w:t xml:space="preserve">   </w:t>
      </w:r>
      <w:r w:rsidRPr="00005453">
        <w:rPr>
          <w:rFonts w:eastAsia="Arial Unicode MS"/>
        </w:rPr>
        <w:tab/>
      </w:r>
      <w:bookmarkStart w:id="17" w:name="_Hlk92543316"/>
      <w:r w:rsidRPr="00005453">
        <w:rPr>
          <w:b/>
        </w:rPr>
        <w:t>Vergi uygulamalarına ilişkin açıklamalar</w:t>
      </w:r>
    </w:p>
    <w:p w14:paraId="50F94004" w14:textId="30B5ABDF" w:rsidR="003147DD" w:rsidRPr="00005453" w:rsidRDefault="003147DD" w:rsidP="003147DD">
      <w:pPr>
        <w:rPr>
          <w:sz w:val="6"/>
          <w:szCs w:val="16"/>
        </w:rPr>
      </w:pPr>
    </w:p>
    <w:p w14:paraId="448F6713" w14:textId="77777777" w:rsidR="0066083E" w:rsidRPr="00005453" w:rsidRDefault="0066083E" w:rsidP="003147DD">
      <w:pPr>
        <w:rPr>
          <w:sz w:val="6"/>
          <w:szCs w:val="16"/>
        </w:rPr>
      </w:pPr>
    </w:p>
    <w:p w14:paraId="57D153C6" w14:textId="77777777" w:rsidR="0066083E" w:rsidRPr="00005453" w:rsidRDefault="0066083E" w:rsidP="0066083E">
      <w:r w:rsidRPr="00005453">
        <w:rPr>
          <w:b/>
          <w:bCs/>
        </w:rPr>
        <w:t>Cari vergi</w:t>
      </w:r>
    </w:p>
    <w:p w14:paraId="1487C174" w14:textId="77777777" w:rsidR="0066083E" w:rsidRPr="00005453" w:rsidRDefault="0066083E" w:rsidP="0066083E">
      <w:pPr>
        <w:pStyle w:val="Heading6"/>
        <w:ind w:left="0"/>
        <w:jc w:val="left"/>
        <w:rPr>
          <w:rFonts w:cs="Times New Roman"/>
          <w:sz w:val="10"/>
          <w:szCs w:val="10"/>
        </w:rPr>
      </w:pPr>
    </w:p>
    <w:p w14:paraId="737DA643" w14:textId="718D2A2C" w:rsidR="006D6D91" w:rsidRPr="00005453" w:rsidRDefault="006D6D91" w:rsidP="006D6D91">
      <w:pPr>
        <w:autoSpaceDE w:val="0"/>
        <w:autoSpaceDN w:val="0"/>
        <w:jc w:val="both"/>
      </w:pPr>
      <w:bookmarkStart w:id="18" w:name="_Hlk141991348"/>
      <w:bookmarkEnd w:id="17"/>
      <w:r w:rsidRPr="00005453">
        <w:t xml:space="preserve">15 </w:t>
      </w:r>
      <w:r w:rsidR="003D5926" w:rsidRPr="00005453">
        <w:t>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8"/>
    <w:p w14:paraId="36604E21" w14:textId="77777777" w:rsidR="006D6D91" w:rsidRPr="00005453" w:rsidRDefault="006D6D91" w:rsidP="006D6D91">
      <w:pPr>
        <w:autoSpaceDE w:val="0"/>
        <w:autoSpaceDN w:val="0"/>
        <w:jc w:val="both"/>
        <w:rPr>
          <w:sz w:val="12"/>
          <w:szCs w:val="12"/>
        </w:rPr>
      </w:pPr>
    </w:p>
    <w:p w14:paraId="27A21025" w14:textId="0FA30A67" w:rsidR="006D6D91" w:rsidRPr="00005453" w:rsidRDefault="00F07E85" w:rsidP="006D6D91">
      <w:pPr>
        <w:autoSpaceDE w:val="0"/>
        <w:autoSpaceDN w:val="0"/>
        <w:jc w:val="both"/>
      </w:pPr>
      <w:r w:rsidRPr="00005453">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0F523236" w14:textId="77777777" w:rsidR="006D6D91" w:rsidRPr="00005453" w:rsidRDefault="006D6D91" w:rsidP="006D6D91">
      <w:pPr>
        <w:autoSpaceDE w:val="0"/>
        <w:autoSpaceDN w:val="0"/>
        <w:jc w:val="both"/>
        <w:rPr>
          <w:sz w:val="10"/>
          <w:szCs w:val="10"/>
        </w:rPr>
      </w:pPr>
    </w:p>
    <w:p w14:paraId="7C7587A2" w14:textId="77777777" w:rsidR="00F07E85" w:rsidRPr="00005453" w:rsidRDefault="00F07E85" w:rsidP="00F07E85">
      <w:pPr>
        <w:autoSpaceDE w:val="0"/>
        <w:autoSpaceDN w:val="0"/>
        <w:jc w:val="both"/>
      </w:pPr>
      <w:r w:rsidRPr="00005453">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43E14803" w14:textId="77777777" w:rsidR="00F07E85" w:rsidRPr="00005453" w:rsidRDefault="00F07E85" w:rsidP="00F07E85">
      <w:pPr>
        <w:autoSpaceDE w:val="0"/>
        <w:autoSpaceDN w:val="0"/>
        <w:jc w:val="both"/>
        <w:rPr>
          <w:sz w:val="10"/>
          <w:szCs w:val="10"/>
        </w:rPr>
      </w:pPr>
    </w:p>
    <w:p w14:paraId="3494862A" w14:textId="77777777" w:rsidR="00F07E85" w:rsidRPr="00005453" w:rsidRDefault="00F07E85" w:rsidP="00F07E85">
      <w:pPr>
        <w:autoSpaceDE w:val="0"/>
        <w:autoSpaceDN w:val="0"/>
        <w:jc w:val="both"/>
      </w:pPr>
      <w:r w:rsidRPr="00005453">
        <w:t xml:space="preserve">Türkiye’deki bir işyeri ya da </w:t>
      </w:r>
      <w:proofErr w:type="gramStart"/>
      <w:r w:rsidRPr="00005453">
        <w:t>daimi</w:t>
      </w:r>
      <w:proofErr w:type="gramEnd"/>
      <w:r w:rsidRPr="00005453">
        <w:t xml:space="preserve"> temsilcisi aracılığı ile gelir elde eden kurumlar ile Türkiye’de yerleşik kurumlara ödenen kar paylarından (temettüler) stopaj yapılmaz. 3 Şubat 2009 tarih ve 27130 Sayılı </w:t>
      </w:r>
      <w:proofErr w:type="gramStart"/>
      <w:r w:rsidRPr="00005453">
        <w:t>Resmi</w:t>
      </w:r>
      <w:proofErr w:type="gramEnd"/>
      <w:r w:rsidRPr="00005453">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rsidRPr="00005453">
        <w:t>daimi</w:t>
      </w:r>
      <w:proofErr w:type="gramEnd"/>
      <w:r w:rsidRPr="00005453">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40EBC263" w14:textId="77777777" w:rsidR="00F07E85" w:rsidRPr="00005453" w:rsidRDefault="00F07E85" w:rsidP="00F07E85">
      <w:pPr>
        <w:autoSpaceDE w:val="0"/>
        <w:autoSpaceDN w:val="0"/>
        <w:jc w:val="both"/>
        <w:rPr>
          <w:sz w:val="10"/>
          <w:szCs w:val="10"/>
        </w:rPr>
      </w:pPr>
    </w:p>
    <w:p w14:paraId="763DB01B" w14:textId="0CFF116B" w:rsidR="00394E64" w:rsidRDefault="00F07E85" w:rsidP="00F07E85">
      <w:pPr>
        <w:pStyle w:val="CommentText"/>
        <w:jc w:val="both"/>
      </w:pPr>
      <w:r w:rsidRPr="00005453">
        <w:lastRenderedPageBreak/>
        <w:t xml:space="preserve">14 Ocak 2023 tarih ve 32073 sayılı </w:t>
      </w:r>
      <w:proofErr w:type="gramStart"/>
      <w:r w:rsidRPr="00005453">
        <w:t>Resmi</w:t>
      </w:r>
      <w:proofErr w:type="gramEnd"/>
      <w:r w:rsidRPr="00005453">
        <w:t xml:space="preserve">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Grup,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p w14:paraId="304BE394" w14:textId="6A6676F6" w:rsidR="00E6433E" w:rsidRDefault="00E6433E" w:rsidP="00F07E85">
      <w:pPr>
        <w:pStyle w:val="CommentText"/>
        <w:jc w:val="both"/>
      </w:pPr>
    </w:p>
    <w:p w14:paraId="358FDB15" w14:textId="29046A14" w:rsidR="00A9473B" w:rsidRDefault="00F07E85" w:rsidP="00F07E85">
      <w:pPr>
        <w:autoSpaceDE w:val="0"/>
        <w:autoSpaceDN w:val="0"/>
        <w:jc w:val="both"/>
      </w:pPr>
      <w:r w:rsidRPr="00005453">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29664C1F" w14:textId="77777777" w:rsidR="00FE09BD" w:rsidRPr="005F6E0A" w:rsidRDefault="00FE09BD" w:rsidP="00F07E85">
      <w:pPr>
        <w:autoSpaceDE w:val="0"/>
        <w:autoSpaceDN w:val="0"/>
        <w:jc w:val="both"/>
        <w:rPr>
          <w:sz w:val="16"/>
        </w:rPr>
      </w:pPr>
    </w:p>
    <w:p w14:paraId="78126405" w14:textId="01B722A6" w:rsidR="006D6D91" w:rsidRPr="00005453" w:rsidRDefault="00F07E85" w:rsidP="00F07E85">
      <w:pPr>
        <w:autoSpaceDE w:val="0"/>
        <w:autoSpaceDN w:val="0"/>
        <w:jc w:val="both"/>
      </w:pPr>
      <w:r w:rsidRPr="00005453">
        <w:t>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w:t>
      </w:r>
    </w:p>
    <w:p w14:paraId="7493FE91" w14:textId="77777777" w:rsidR="006D6D91" w:rsidRPr="00005453" w:rsidRDefault="006D6D91" w:rsidP="006D6D91">
      <w:pPr>
        <w:autoSpaceDE w:val="0"/>
        <w:autoSpaceDN w:val="0"/>
        <w:jc w:val="both"/>
        <w:rPr>
          <w:sz w:val="12"/>
          <w:szCs w:val="12"/>
        </w:rPr>
      </w:pPr>
    </w:p>
    <w:p w14:paraId="7C7F055B" w14:textId="77777777" w:rsidR="00F07E85" w:rsidRPr="00005453" w:rsidRDefault="00F07E85" w:rsidP="00F07E85">
      <w:pPr>
        <w:autoSpaceDE w:val="0"/>
        <w:autoSpaceDN w:val="0"/>
        <w:jc w:val="both"/>
      </w:pPr>
      <w:r w:rsidRPr="00005453">
        <w:t>Türkiye’de ödenecek vergiler konusunda vergi otoritesi ile mutabakat sağlamak gibi bir uygulama bulunmamaktadır.</w:t>
      </w:r>
    </w:p>
    <w:p w14:paraId="2FFD6786" w14:textId="77777777" w:rsidR="00F07E85" w:rsidRPr="00005453" w:rsidRDefault="00F07E85" w:rsidP="00F07E85">
      <w:pPr>
        <w:jc w:val="both"/>
        <w:rPr>
          <w:sz w:val="12"/>
          <w:szCs w:val="12"/>
        </w:rPr>
      </w:pPr>
    </w:p>
    <w:p w14:paraId="422A364B" w14:textId="2A23A3EC" w:rsidR="006D6D91" w:rsidRDefault="00F07E85" w:rsidP="00F07E85">
      <w:pPr>
        <w:jc w:val="both"/>
      </w:pPr>
      <w:r w:rsidRPr="00005453">
        <w:t>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34546F53" w14:textId="263F8DC8" w:rsidR="006C78DA" w:rsidRPr="00FE09BD" w:rsidRDefault="006C78DA" w:rsidP="00F07E85">
      <w:pPr>
        <w:jc w:val="both"/>
        <w:rPr>
          <w:sz w:val="16"/>
        </w:rPr>
      </w:pPr>
    </w:p>
    <w:p w14:paraId="6E1492CB" w14:textId="77777777" w:rsidR="00BF06FC" w:rsidRPr="00394E64" w:rsidRDefault="00BF06FC" w:rsidP="00BF06FC">
      <w:pPr>
        <w:jc w:val="both"/>
      </w:pPr>
      <w:r>
        <w:rPr>
          <w:rFonts w:eastAsiaTheme="minorHAnsi"/>
        </w:rPr>
        <w:t xml:space="preserve">OECD’ye üye ülkelerin üzerinde anlaştığı Sütun 2 düzenlemeleri 2 Ağustos 2024 tarihli </w:t>
      </w:r>
      <w:proofErr w:type="gramStart"/>
      <w:r>
        <w:rPr>
          <w:rFonts w:eastAsiaTheme="minorHAnsi"/>
        </w:rPr>
        <w:t>Resmi</w:t>
      </w:r>
      <w:proofErr w:type="gramEnd"/>
      <w:r>
        <w:rPr>
          <w:rFonts w:eastAsiaTheme="minorHAnsi"/>
        </w:rPr>
        <w:t xml:space="preserve">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finansallar üzerinde herhangi bir önemli etki yaratmayacağı değerlendirilmektedir. Bununla birlikte, Türkiye'de ve Kuveyt Türk Katılım Bankası A.Ş.’nin faaliyet gösterdiği diğer ülkelerde mevzuat değişiklikleri takip edilmektedir.</w:t>
      </w:r>
    </w:p>
    <w:p w14:paraId="6161FB5D" w14:textId="77777777" w:rsidR="00AB7BA8" w:rsidRPr="00005453" w:rsidRDefault="00AB7BA8" w:rsidP="006D6D91">
      <w:pPr>
        <w:jc w:val="both"/>
        <w:rPr>
          <w:sz w:val="12"/>
          <w:szCs w:val="12"/>
        </w:rPr>
      </w:pPr>
    </w:p>
    <w:p w14:paraId="6871A978" w14:textId="77777777" w:rsidR="006D6D91" w:rsidRPr="00005453" w:rsidRDefault="006D6D91" w:rsidP="006D6D91">
      <w:pPr>
        <w:jc w:val="both"/>
        <w:rPr>
          <w:b/>
          <w:bCs/>
        </w:rPr>
      </w:pPr>
      <w:r w:rsidRPr="00005453">
        <w:rPr>
          <w:b/>
          <w:bCs/>
        </w:rPr>
        <w:t xml:space="preserve">Ertelenmiş vergi </w:t>
      </w:r>
    </w:p>
    <w:p w14:paraId="6B7F52B5" w14:textId="77777777" w:rsidR="006D6D91" w:rsidRPr="00005453" w:rsidRDefault="006D6D91" w:rsidP="006D6D91">
      <w:pPr>
        <w:jc w:val="both"/>
        <w:rPr>
          <w:b/>
          <w:bCs/>
          <w:sz w:val="10"/>
          <w:szCs w:val="10"/>
        </w:rPr>
      </w:pPr>
    </w:p>
    <w:p w14:paraId="715A0938" w14:textId="04F0C95B" w:rsidR="00F07E85" w:rsidRPr="00005453" w:rsidRDefault="00F07E85" w:rsidP="00F07E85">
      <w:pPr>
        <w:jc w:val="both"/>
      </w:pPr>
      <w:bookmarkStart w:id="19" w:name="_Hlk158711200"/>
      <w:r w:rsidRPr="00005453">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2620A56D" w14:textId="77777777" w:rsidR="00F07E85" w:rsidRPr="00FE09BD" w:rsidRDefault="00F07E85" w:rsidP="00F07E85">
      <w:pPr>
        <w:jc w:val="both"/>
        <w:rPr>
          <w:sz w:val="14"/>
          <w:szCs w:val="16"/>
        </w:rPr>
      </w:pPr>
    </w:p>
    <w:p w14:paraId="03E967A0" w14:textId="3CD719A1" w:rsidR="00BE61C6" w:rsidRDefault="00F07E85" w:rsidP="00F07E85">
      <w:pPr>
        <w:jc w:val="both"/>
      </w:pPr>
      <w:r w:rsidRPr="00005453">
        <w:t>Vergi Usul Kanunu’nun geçici 33’üncü maddesine göre 31 Aralık 2024 tarihli mali tabloların enflasyon düzeltmesine ilişkin şartların oluşup oluşmadığına bakılmaksızın enflasyon düzeltmesine tabi tutulmasından kaynaklanan vergi etkileri 31 Aralık 2024 tarihi itibarıyla ertelenmiş vergi hesaplamasına dahil edilmiştir.</w:t>
      </w:r>
    </w:p>
    <w:p w14:paraId="22FF1673" w14:textId="3BEA8A55" w:rsidR="005F6E0A" w:rsidRDefault="005F6E0A" w:rsidP="00F07E85">
      <w:pPr>
        <w:jc w:val="both"/>
      </w:pPr>
    </w:p>
    <w:p w14:paraId="2FC9A9E2" w14:textId="300F8F0C" w:rsidR="005F6E0A" w:rsidRDefault="005F6E0A" w:rsidP="00F07E85">
      <w:pPr>
        <w:jc w:val="both"/>
      </w:pPr>
    </w:p>
    <w:p w14:paraId="5FEF91DB" w14:textId="77777777" w:rsidR="005F6E0A" w:rsidRPr="00005453" w:rsidRDefault="005F6E0A" w:rsidP="00F07E85">
      <w:pPr>
        <w:jc w:val="both"/>
      </w:pPr>
    </w:p>
    <w:bookmarkEnd w:id="19"/>
    <w:p w14:paraId="6D07FE4B" w14:textId="77777777" w:rsidR="002422D0" w:rsidRPr="00FE09BD" w:rsidRDefault="002422D0" w:rsidP="005F0388">
      <w:pPr>
        <w:autoSpaceDE w:val="0"/>
        <w:autoSpaceDN w:val="0"/>
        <w:jc w:val="both"/>
        <w:rPr>
          <w:sz w:val="14"/>
        </w:rPr>
      </w:pPr>
    </w:p>
    <w:p w14:paraId="7AC9ED07" w14:textId="77777777" w:rsidR="00901E70" w:rsidRPr="00005453" w:rsidRDefault="00901E70" w:rsidP="00901E70">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005453">
        <w:rPr>
          <w:rFonts w:eastAsia="Arial Unicode MS"/>
          <w:b/>
        </w:rPr>
        <w:lastRenderedPageBreak/>
        <w:t>17.</w:t>
      </w:r>
      <w:r w:rsidRPr="00005453">
        <w:rPr>
          <w:rFonts w:eastAsia="Arial Unicode MS"/>
        </w:rPr>
        <w:tab/>
      </w:r>
      <w:r w:rsidRPr="00005453">
        <w:rPr>
          <w:b/>
        </w:rPr>
        <w:t>Borçlanmalara ilişkin ilave açıklamalar</w:t>
      </w:r>
    </w:p>
    <w:p w14:paraId="2F972CA4" w14:textId="77777777" w:rsidR="00901E70" w:rsidRPr="00FE09BD" w:rsidRDefault="00901E70" w:rsidP="00901E70">
      <w:pPr>
        <w:autoSpaceDE w:val="0"/>
        <w:autoSpaceDN w:val="0"/>
        <w:adjustRightInd w:val="0"/>
        <w:ind w:right="-23"/>
        <w:jc w:val="both"/>
        <w:rPr>
          <w:rFonts w:eastAsia="Arial Unicode MS"/>
          <w:sz w:val="14"/>
          <w:szCs w:val="10"/>
        </w:rPr>
      </w:pPr>
    </w:p>
    <w:p w14:paraId="766313CB" w14:textId="77777777" w:rsidR="005F0388" w:rsidRPr="00005453" w:rsidRDefault="005F0388" w:rsidP="005F0388">
      <w:pPr>
        <w:autoSpaceDE w:val="0"/>
        <w:autoSpaceDN w:val="0"/>
        <w:adjustRightInd w:val="0"/>
        <w:ind w:right="-23"/>
        <w:jc w:val="both"/>
        <w:rPr>
          <w:rFonts w:eastAsia="Arial Unicode MS"/>
        </w:rPr>
      </w:pPr>
      <w:r w:rsidRPr="00005453">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51FB5A24" w14:textId="77777777" w:rsidR="005F0388" w:rsidRPr="00FE09BD" w:rsidRDefault="005F0388" w:rsidP="005F0388">
      <w:pPr>
        <w:autoSpaceDE w:val="0"/>
        <w:autoSpaceDN w:val="0"/>
        <w:adjustRightInd w:val="0"/>
        <w:ind w:right="-23"/>
        <w:jc w:val="both"/>
        <w:rPr>
          <w:rFonts w:eastAsia="Arial Unicode MS"/>
          <w:sz w:val="14"/>
          <w:szCs w:val="12"/>
        </w:rPr>
      </w:pPr>
    </w:p>
    <w:p w14:paraId="32BDF99C" w14:textId="77777777" w:rsidR="005F0388" w:rsidRPr="00005453" w:rsidRDefault="005F0388" w:rsidP="005F0388">
      <w:pPr>
        <w:autoSpaceDE w:val="0"/>
        <w:autoSpaceDN w:val="0"/>
        <w:adjustRightInd w:val="0"/>
        <w:ind w:right="-23"/>
        <w:jc w:val="both"/>
      </w:pPr>
      <w:r w:rsidRPr="00005453">
        <w:rPr>
          <w:rFonts w:eastAsia="Arial Unicode MS"/>
        </w:rPr>
        <w:t>Banka hisse senedine dönüştürülebilir tahvil ihraç etmemiştir</w:t>
      </w:r>
      <w:r w:rsidRPr="00005453">
        <w:t>.</w:t>
      </w:r>
    </w:p>
    <w:p w14:paraId="2F63AEC8" w14:textId="77777777" w:rsidR="00901E70" w:rsidRPr="00FE09BD" w:rsidRDefault="00901E70" w:rsidP="00901E70">
      <w:pPr>
        <w:autoSpaceDE w:val="0"/>
        <w:autoSpaceDN w:val="0"/>
        <w:adjustRightInd w:val="0"/>
        <w:ind w:right="-23"/>
        <w:jc w:val="both"/>
        <w:rPr>
          <w:sz w:val="14"/>
        </w:rPr>
      </w:pPr>
    </w:p>
    <w:p w14:paraId="1E350D98" w14:textId="77777777" w:rsidR="00901E70" w:rsidRPr="00005453" w:rsidRDefault="00901E70" w:rsidP="00901E70">
      <w:pPr>
        <w:autoSpaceDE w:val="0"/>
        <w:autoSpaceDN w:val="0"/>
        <w:adjustRightInd w:val="0"/>
        <w:ind w:right="-23" w:hanging="567"/>
        <w:rPr>
          <w:rFonts w:eastAsia="Arial Unicode MS"/>
        </w:rPr>
      </w:pPr>
      <w:r w:rsidRPr="00005453">
        <w:rPr>
          <w:b/>
        </w:rPr>
        <w:t xml:space="preserve">18.  </w:t>
      </w:r>
      <w:r w:rsidRPr="00005453">
        <w:rPr>
          <w:b/>
        </w:rPr>
        <w:tab/>
        <w:t>İhraç edilen hisse senetlerine ilişkin açıklamalar</w:t>
      </w:r>
    </w:p>
    <w:p w14:paraId="74573903" w14:textId="77777777" w:rsidR="00901E70" w:rsidRPr="00FE09BD" w:rsidRDefault="00901E70" w:rsidP="00901E70">
      <w:pPr>
        <w:ind w:right="-23"/>
        <w:jc w:val="both"/>
        <w:rPr>
          <w:rFonts w:eastAsia="Arial Unicode MS"/>
          <w:sz w:val="14"/>
          <w:szCs w:val="10"/>
        </w:rPr>
      </w:pPr>
    </w:p>
    <w:p w14:paraId="36112FB4" w14:textId="77777777" w:rsidR="005F0388" w:rsidRPr="00005453" w:rsidRDefault="005F0388" w:rsidP="005F0388">
      <w:pPr>
        <w:autoSpaceDE w:val="0"/>
        <w:autoSpaceDN w:val="0"/>
        <w:adjustRightInd w:val="0"/>
        <w:ind w:right="-23"/>
      </w:pPr>
      <w:r w:rsidRPr="00005453">
        <w:t>Banka’nın hisse senedi ihracı ile ilgili önemli tutarda işlem maliyetleri bulunmamaktadır.</w:t>
      </w:r>
    </w:p>
    <w:p w14:paraId="0A4BE6ED" w14:textId="77777777" w:rsidR="00925FC6" w:rsidRPr="00FE09BD" w:rsidRDefault="00925FC6" w:rsidP="00901E70">
      <w:pPr>
        <w:autoSpaceDE w:val="0"/>
        <w:autoSpaceDN w:val="0"/>
        <w:adjustRightInd w:val="0"/>
        <w:ind w:right="-23"/>
        <w:rPr>
          <w:sz w:val="12"/>
        </w:rPr>
      </w:pPr>
    </w:p>
    <w:p w14:paraId="30CBEBF2" w14:textId="77777777" w:rsidR="00901E70" w:rsidRPr="00005453" w:rsidRDefault="00901E70" w:rsidP="00901E70">
      <w:pPr>
        <w:autoSpaceDE w:val="0"/>
        <w:autoSpaceDN w:val="0"/>
        <w:adjustRightInd w:val="0"/>
        <w:ind w:right="-23" w:hanging="567"/>
        <w:rPr>
          <w:b/>
        </w:rPr>
      </w:pPr>
      <w:r w:rsidRPr="00005453">
        <w:rPr>
          <w:b/>
        </w:rPr>
        <w:t xml:space="preserve">19.   </w:t>
      </w:r>
      <w:r w:rsidRPr="00005453">
        <w:rPr>
          <w:b/>
        </w:rPr>
        <w:tab/>
        <w:t>Aval ve kabullere ilişkin açıklamalar</w:t>
      </w:r>
    </w:p>
    <w:p w14:paraId="1A276C59" w14:textId="77777777" w:rsidR="00901E70" w:rsidRPr="00FE09BD" w:rsidRDefault="00901E70" w:rsidP="00901E70">
      <w:pPr>
        <w:autoSpaceDE w:val="0"/>
        <w:autoSpaceDN w:val="0"/>
        <w:adjustRightInd w:val="0"/>
        <w:ind w:right="-23"/>
        <w:rPr>
          <w:rFonts w:eastAsia="Arial Unicode MS"/>
          <w:sz w:val="14"/>
          <w:szCs w:val="10"/>
        </w:rPr>
      </w:pPr>
    </w:p>
    <w:p w14:paraId="1516225C" w14:textId="77777777" w:rsidR="005F0388" w:rsidRPr="00005453" w:rsidRDefault="005F0388" w:rsidP="005F0388">
      <w:pPr>
        <w:pStyle w:val="BodyTextIndent"/>
        <w:ind w:left="0" w:right="-23" w:firstLine="0"/>
        <w:rPr>
          <w:rFonts w:eastAsia="Arial Unicode MS"/>
        </w:rPr>
      </w:pPr>
      <w:r w:rsidRPr="00005453">
        <w:rPr>
          <w:rFonts w:eastAsia="Arial Unicode MS"/>
        </w:rPr>
        <w:t xml:space="preserve">Aval ve kabuller, müşterilerin ödemeleri ile eş zamanlı olarak gerçekleştirilmekte ve olası borç ve taahhütler olarak bilanço dışı işlemlerde gösterilmektedir. </w:t>
      </w:r>
    </w:p>
    <w:p w14:paraId="6C04B218" w14:textId="54830658" w:rsidR="00BC04DE" w:rsidRDefault="00BC04DE" w:rsidP="00901E70">
      <w:pPr>
        <w:pStyle w:val="BodyTextIndent"/>
        <w:ind w:left="0" w:right="-23" w:firstLine="0"/>
        <w:rPr>
          <w:rFonts w:eastAsia="Arial Unicode MS"/>
          <w:sz w:val="14"/>
        </w:rPr>
      </w:pPr>
    </w:p>
    <w:p w14:paraId="419749F1" w14:textId="77777777" w:rsidR="00FE09BD" w:rsidRPr="00FE09BD" w:rsidRDefault="00FE09BD" w:rsidP="00901E70">
      <w:pPr>
        <w:pStyle w:val="BodyTextIndent"/>
        <w:ind w:left="0" w:right="-23" w:firstLine="0"/>
        <w:rPr>
          <w:rFonts w:eastAsia="Arial Unicode MS"/>
          <w:sz w:val="14"/>
        </w:rPr>
      </w:pPr>
    </w:p>
    <w:p w14:paraId="3F33D71D" w14:textId="77777777" w:rsidR="00901E70" w:rsidRPr="00005453" w:rsidRDefault="00901E70" w:rsidP="00901E70">
      <w:pPr>
        <w:autoSpaceDE w:val="0"/>
        <w:autoSpaceDN w:val="0"/>
        <w:adjustRightInd w:val="0"/>
        <w:ind w:right="-23" w:hanging="567"/>
        <w:rPr>
          <w:b/>
        </w:rPr>
      </w:pPr>
      <w:r w:rsidRPr="00005453">
        <w:rPr>
          <w:b/>
        </w:rPr>
        <w:t xml:space="preserve">20.   </w:t>
      </w:r>
      <w:r w:rsidRPr="00005453">
        <w:rPr>
          <w:b/>
        </w:rPr>
        <w:tab/>
        <w:t>Devlet teşviklerine ilişkin açıklamalar</w:t>
      </w:r>
    </w:p>
    <w:p w14:paraId="42D05132" w14:textId="77777777" w:rsidR="00901E70" w:rsidRPr="00FE09BD" w:rsidRDefault="00901E70" w:rsidP="00901E70">
      <w:pPr>
        <w:autoSpaceDE w:val="0"/>
        <w:autoSpaceDN w:val="0"/>
        <w:adjustRightInd w:val="0"/>
        <w:ind w:right="-23"/>
        <w:rPr>
          <w:rFonts w:eastAsia="Arial Unicode MS"/>
          <w:sz w:val="14"/>
          <w:szCs w:val="10"/>
        </w:rPr>
      </w:pPr>
    </w:p>
    <w:p w14:paraId="7A5B4047" w14:textId="77777777" w:rsidR="00FE09BD" w:rsidRDefault="005F0388" w:rsidP="00FE09BD">
      <w:pPr>
        <w:autoSpaceDE w:val="0"/>
        <w:autoSpaceDN w:val="0"/>
        <w:adjustRightInd w:val="0"/>
        <w:ind w:right="-23"/>
      </w:pPr>
      <w:r w:rsidRPr="00005453">
        <w:t>Banka’nın almış olduğu devlet teşviki bulunmamaktadır.</w:t>
      </w:r>
    </w:p>
    <w:p w14:paraId="210BBF5D" w14:textId="77777777" w:rsidR="00FE09BD" w:rsidRDefault="00FE09BD" w:rsidP="00FE09BD">
      <w:pPr>
        <w:autoSpaceDE w:val="0"/>
        <w:autoSpaceDN w:val="0"/>
        <w:adjustRightInd w:val="0"/>
        <w:ind w:right="-23"/>
        <w:rPr>
          <w:b/>
        </w:rPr>
      </w:pPr>
    </w:p>
    <w:p w14:paraId="4F05B8D1" w14:textId="59D6D08E" w:rsidR="00901E70" w:rsidRPr="00005453" w:rsidRDefault="00901E70" w:rsidP="00FE09BD">
      <w:pPr>
        <w:autoSpaceDE w:val="0"/>
        <w:autoSpaceDN w:val="0"/>
        <w:adjustRightInd w:val="0"/>
        <w:ind w:right="-23" w:hanging="567"/>
        <w:rPr>
          <w:b/>
        </w:rPr>
      </w:pPr>
      <w:r w:rsidRPr="00005453">
        <w:rPr>
          <w:b/>
        </w:rPr>
        <w:t xml:space="preserve">21.   </w:t>
      </w:r>
      <w:r w:rsidRPr="00005453">
        <w:rPr>
          <w:b/>
        </w:rPr>
        <w:tab/>
        <w:t>Raporlamanın bölümlemeye göre yapılmasına ilişkin açıklamalar</w:t>
      </w:r>
    </w:p>
    <w:p w14:paraId="299001E5" w14:textId="77777777" w:rsidR="00901E70" w:rsidRPr="00005453" w:rsidRDefault="00901E70" w:rsidP="00901E70">
      <w:pPr>
        <w:pStyle w:val="BodyTextIndent"/>
        <w:ind w:right="-23"/>
        <w:jc w:val="left"/>
        <w:rPr>
          <w:sz w:val="10"/>
        </w:rPr>
      </w:pPr>
    </w:p>
    <w:p w14:paraId="14A56B1C" w14:textId="77777777" w:rsidR="00901E70" w:rsidRPr="00005453" w:rsidRDefault="00901E70" w:rsidP="00901E70">
      <w:pPr>
        <w:ind w:right="-23"/>
        <w:jc w:val="both"/>
      </w:pPr>
      <w:r w:rsidRPr="00005453">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290ADE80" w14:textId="77777777" w:rsidR="00901E70" w:rsidRPr="00005453" w:rsidRDefault="00901E70" w:rsidP="00901E70">
      <w:pPr>
        <w:ind w:right="-23"/>
        <w:jc w:val="both"/>
        <w:rPr>
          <w:sz w:val="16"/>
          <w:szCs w:val="16"/>
        </w:rPr>
      </w:pPr>
    </w:p>
    <w:p w14:paraId="2106995C" w14:textId="6E7EE896" w:rsidR="00901E70" w:rsidRPr="00005453" w:rsidRDefault="00901E70" w:rsidP="00901E70">
      <w:pPr>
        <w:ind w:right="-23"/>
        <w:jc w:val="both"/>
      </w:pPr>
      <w:r w:rsidRPr="00005453">
        <w:t>Faaliyet bölümlerine göre raporlama, Dördüncü Bölüm 1</w:t>
      </w:r>
      <w:r w:rsidR="00E80E26" w:rsidRPr="00005453">
        <w:t>4</w:t>
      </w:r>
      <w:r w:rsidRPr="00005453">
        <w:t xml:space="preserve"> no’lu dipnotta sunulmuştur.</w:t>
      </w:r>
    </w:p>
    <w:p w14:paraId="1536357E" w14:textId="77777777" w:rsidR="00901E70" w:rsidRPr="00005453" w:rsidRDefault="00901E70" w:rsidP="00901E70">
      <w:pPr>
        <w:ind w:right="-23"/>
        <w:rPr>
          <w:sz w:val="16"/>
        </w:rPr>
      </w:pPr>
    </w:p>
    <w:p w14:paraId="5BAED8CC" w14:textId="77777777" w:rsidR="00901E70" w:rsidRPr="00005453" w:rsidRDefault="00901E70" w:rsidP="00901E70">
      <w:pPr>
        <w:autoSpaceDE w:val="0"/>
        <w:autoSpaceDN w:val="0"/>
        <w:adjustRightInd w:val="0"/>
        <w:ind w:right="-23" w:hanging="567"/>
        <w:rPr>
          <w:b/>
        </w:rPr>
      </w:pPr>
      <w:r w:rsidRPr="00005453">
        <w:rPr>
          <w:b/>
        </w:rPr>
        <w:t xml:space="preserve">22.   </w:t>
      </w:r>
      <w:r w:rsidRPr="00005453">
        <w:rPr>
          <w:b/>
        </w:rPr>
        <w:tab/>
        <w:t>Diğer hususlara ilişkin açıklamalar</w:t>
      </w:r>
    </w:p>
    <w:p w14:paraId="5DBFE286" w14:textId="77777777" w:rsidR="00901E70" w:rsidRPr="00005453" w:rsidRDefault="00901E70" w:rsidP="00901E70">
      <w:pPr>
        <w:autoSpaceDE w:val="0"/>
        <w:autoSpaceDN w:val="0"/>
        <w:adjustRightInd w:val="0"/>
        <w:ind w:right="-23"/>
        <w:rPr>
          <w:b/>
          <w:sz w:val="10"/>
        </w:rPr>
      </w:pPr>
    </w:p>
    <w:p w14:paraId="4C2E9294" w14:textId="737086E5" w:rsidR="00603839" w:rsidRPr="00005453" w:rsidRDefault="00901E70" w:rsidP="00DC7490">
      <w:pPr>
        <w:autoSpaceDE w:val="0"/>
        <w:autoSpaceDN w:val="0"/>
        <w:adjustRightInd w:val="0"/>
      </w:pPr>
      <w:r w:rsidRPr="00005453">
        <w:t>Banka’nın diğer hususlara ilişkin açıklaması bulunmamaktadır.</w:t>
      </w:r>
      <w:bookmarkEnd w:id="12"/>
    </w:p>
    <w:p w14:paraId="3EF3EF82" w14:textId="2F3832DB" w:rsidR="0032562F" w:rsidRPr="00005453" w:rsidRDefault="0032562F" w:rsidP="00DC7490">
      <w:pPr>
        <w:autoSpaceDE w:val="0"/>
        <w:autoSpaceDN w:val="0"/>
        <w:adjustRightInd w:val="0"/>
      </w:pPr>
    </w:p>
    <w:p w14:paraId="47D0F0BB" w14:textId="77777777" w:rsidR="006247B6" w:rsidRPr="00005453" w:rsidRDefault="006247B6" w:rsidP="00930AA3">
      <w:pPr>
        <w:autoSpaceDE w:val="0"/>
        <w:autoSpaceDN w:val="0"/>
        <w:adjustRightInd w:val="0"/>
        <w:jc w:val="center"/>
        <w:rPr>
          <w:rFonts w:eastAsia="Arial Unicode MS"/>
          <w:b/>
          <w:sz w:val="24"/>
        </w:rPr>
        <w:sectPr w:rsidR="006247B6" w:rsidRPr="00005453" w:rsidSect="00012FF9">
          <w:headerReference w:type="default" r:id="rId38"/>
          <w:footerReference w:type="default" r:id="rId39"/>
          <w:pgSz w:w="11906" w:h="16838"/>
          <w:pgMar w:top="1417" w:right="991" w:bottom="1438" w:left="1418" w:header="708" w:footer="708" w:gutter="0"/>
          <w:cols w:space="708"/>
          <w:docGrid w:linePitch="360"/>
        </w:sectPr>
      </w:pPr>
    </w:p>
    <w:p w14:paraId="4B30CE3F" w14:textId="24870882" w:rsidR="003D3060" w:rsidRPr="00005453" w:rsidRDefault="003D3060" w:rsidP="00930AA3">
      <w:pPr>
        <w:autoSpaceDE w:val="0"/>
        <w:autoSpaceDN w:val="0"/>
        <w:adjustRightInd w:val="0"/>
        <w:jc w:val="center"/>
        <w:rPr>
          <w:rFonts w:eastAsia="Arial Unicode MS"/>
          <w:b/>
          <w:sz w:val="24"/>
        </w:rPr>
      </w:pPr>
      <w:r w:rsidRPr="00005453">
        <w:rPr>
          <w:rFonts w:eastAsia="Arial Unicode MS"/>
          <w:b/>
          <w:sz w:val="24"/>
        </w:rPr>
        <w:lastRenderedPageBreak/>
        <w:t>DÖRDÜNCÜ BÖLÜM</w:t>
      </w:r>
    </w:p>
    <w:p w14:paraId="2A652380" w14:textId="77777777" w:rsidR="003D3060" w:rsidRPr="00005453" w:rsidRDefault="003D3060" w:rsidP="008F6231">
      <w:pPr>
        <w:autoSpaceDE w:val="0"/>
        <w:autoSpaceDN w:val="0"/>
        <w:adjustRightInd w:val="0"/>
        <w:ind w:left="2880" w:firstLine="720"/>
        <w:jc w:val="center"/>
        <w:rPr>
          <w:rFonts w:eastAsia="Arial Unicode MS"/>
          <w:b/>
          <w:color w:val="000000"/>
          <w:sz w:val="12"/>
        </w:rPr>
      </w:pPr>
    </w:p>
    <w:p w14:paraId="050FAC76" w14:textId="2CCFDEE2" w:rsidR="00910AD9" w:rsidRPr="00005453" w:rsidRDefault="00910AD9" w:rsidP="00930AA3">
      <w:pPr>
        <w:autoSpaceDE w:val="0"/>
        <w:autoSpaceDN w:val="0"/>
        <w:adjustRightInd w:val="0"/>
        <w:jc w:val="center"/>
        <w:rPr>
          <w:b/>
          <w:color w:val="000000"/>
          <w:sz w:val="18"/>
          <w:szCs w:val="18"/>
        </w:rPr>
      </w:pPr>
      <w:r w:rsidRPr="00005453">
        <w:rPr>
          <w:b/>
          <w:color w:val="000000"/>
        </w:rPr>
        <w:t>MALİ BÜNYE</w:t>
      </w:r>
      <w:r w:rsidR="00243A0C" w:rsidRPr="00005453">
        <w:rPr>
          <w:b/>
          <w:color w:val="000000"/>
        </w:rPr>
        <w:t>YE</w:t>
      </w:r>
      <w:r w:rsidRPr="00005453">
        <w:rPr>
          <w:b/>
          <w:color w:val="000000"/>
        </w:rPr>
        <w:t xml:space="preserve"> VE RİSK YÖNETİMİNE İLİŞKİN BİLGİLER</w:t>
      </w:r>
    </w:p>
    <w:p w14:paraId="4557DEDE" w14:textId="77777777" w:rsidR="00910AD9" w:rsidRPr="00005453" w:rsidRDefault="00910AD9" w:rsidP="00910AD9">
      <w:pPr>
        <w:autoSpaceDE w:val="0"/>
        <w:autoSpaceDN w:val="0"/>
        <w:adjustRightInd w:val="0"/>
        <w:ind w:left="720" w:firstLine="720"/>
        <w:rPr>
          <w:b/>
          <w:color w:val="000000"/>
          <w:sz w:val="16"/>
          <w:szCs w:val="16"/>
        </w:rPr>
      </w:pPr>
      <w:r w:rsidRPr="00005453">
        <w:rPr>
          <w:b/>
          <w:color w:val="000000"/>
          <w:sz w:val="18"/>
          <w:szCs w:val="18"/>
        </w:rPr>
        <w:t xml:space="preserve">           </w:t>
      </w:r>
    </w:p>
    <w:p w14:paraId="570DC6BC" w14:textId="77777777" w:rsidR="00861DCF" w:rsidRPr="00005453" w:rsidRDefault="00372AAD" w:rsidP="0003633B">
      <w:pPr>
        <w:tabs>
          <w:tab w:val="left" w:pos="709"/>
        </w:tabs>
        <w:autoSpaceDE w:val="0"/>
        <w:autoSpaceDN w:val="0"/>
        <w:adjustRightInd w:val="0"/>
        <w:ind w:hanging="567"/>
        <w:rPr>
          <w:b/>
        </w:rPr>
      </w:pPr>
      <w:r w:rsidRPr="00005453">
        <w:rPr>
          <w:b/>
          <w:color w:val="000000"/>
        </w:rPr>
        <w:t>1</w:t>
      </w:r>
      <w:r w:rsidR="00FD72BB" w:rsidRPr="00005453">
        <w:rPr>
          <w:b/>
        </w:rPr>
        <w:t xml:space="preserve">.      </w:t>
      </w:r>
      <w:r w:rsidR="0003633B" w:rsidRPr="00005453">
        <w:rPr>
          <w:b/>
        </w:rPr>
        <w:tab/>
      </w:r>
      <w:r w:rsidR="00861DCF" w:rsidRPr="00005453">
        <w:rPr>
          <w:b/>
        </w:rPr>
        <w:t>Özkaynak</w:t>
      </w:r>
      <w:r w:rsidR="00243A0C" w:rsidRPr="00005453">
        <w:rPr>
          <w:b/>
        </w:rPr>
        <w:t xml:space="preserve"> kalemlerine</w:t>
      </w:r>
      <w:r w:rsidR="00861DCF" w:rsidRPr="00005453">
        <w:rPr>
          <w:b/>
        </w:rPr>
        <w:t xml:space="preserve"> ilişkin</w:t>
      </w:r>
      <w:r w:rsidR="00CD4650" w:rsidRPr="00005453">
        <w:rPr>
          <w:b/>
        </w:rPr>
        <w:t xml:space="preserve"> açıklamalar</w:t>
      </w:r>
    </w:p>
    <w:p w14:paraId="468DFD34" w14:textId="77777777" w:rsidR="00910AD9" w:rsidRPr="00005453" w:rsidRDefault="00910AD9" w:rsidP="000F527F">
      <w:pPr>
        <w:pStyle w:val="BodyText3"/>
        <w:ind w:right="-23"/>
        <w:jc w:val="both"/>
        <w:rPr>
          <w:bCs w:val="0"/>
          <w:i w:val="0"/>
          <w:iCs w:val="0"/>
          <w:sz w:val="10"/>
          <w:szCs w:val="16"/>
        </w:rPr>
      </w:pPr>
    </w:p>
    <w:p w14:paraId="3D1AD300" w14:textId="05E832FA" w:rsidR="003238D1" w:rsidRPr="00005453" w:rsidRDefault="003238D1" w:rsidP="003238D1">
      <w:pPr>
        <w:pStyle w:val="BodyText3"/>
        <w:ind w:right="-23"/>
        <w:jc w:val="both"/>
        <w:rPr>
          <w:bCs w:val="0"/>
          <w:i w:val="0"/>
          <w:iCs w:val="0"/>
          <w:spacing w:val="4"/>
          <w:sz w:val="20"/>
        </w:rPr>
      </w:pPr>
      <w:bookmarkStart w:id="20" w:name="_Hlk93485842"/>
      <w:r w:rsidRPr="00005453">
        <w:rPr>
          <w:bCs w:val="0"/>
          <w:i w:val="0"/>
          <w:iCs w:val="0"/>
          <w:spacing w:val="4"/>
          <w:sz w:val="20"/>
        </w:rPr>
        <w:t>Özkaynak tutarı ve sermaye yeterliliği standart oranı “Bankaların Özkaynaklarına İlişkin Yönetmelik” ile “Bankaların Sermaye Yeterliliğinin Ölçülmesine ve Değerlendirilmesine İlişkin Yönetmelik” çerçevesinde hesaplanmıştır. Banka’nın 31 Aralık 202</w:t>
      </w:r>
      <w:r w:rsidR="0099775D" w:rsidRPr="00005453">
        <w:rPr>
          <w:bCs w:val="0"/>
          <w:i w:val="0"/>
          <w:iCs w:val="0"/>
          <w:spacing w:val="4"/>
          <w:sz w:val="20"/>
        </w:rPr>
        <w:t>4</w:t>
      </w:r>
      <w:r w:rsidRPr="00005453">
        <w:t xml:space="preserve"> </w:t>
      </w:r>
      <w:r w:rsidRPr="00005453">
        <w:rPr>
          <w:bCs w:val="0"/>
          <w:i w:val="0"/>
          <w:iCs w:val="0"/>
          <w:spacing w:val="4"/>
          <w:sz w:val="20"/>
        </w:rPr>
        <w:t xml:space="preserve">tarihi itibarıyla hesaplanan cari dönem özkaynak tutarı </w:t>
      </w:r>
      <w:r w:rsidR="001E2711" w:rsidRPr="00005453">
        <w:rPr>
          <w:bCs w:val="0"/>
          <w:i w:val="0"/>
          <w:iCs w:val="0"/>
          <w:spacing w:val="4"/>
          <w:sz w:val="20"/>
        </w:rPr>
        <w:t xml:space="preserve">97,272,056 </w:t>
      </w:r>
      <w:proofErr w:type="gramStart"/>
      <w:r w:rsidRPr="00005453">
        <w:rPr>
          <w:bCs w:val="0"/>
          <w:i w:val="0"/>
          <w:iCs w:val="0"/>
          <w:spacing w:val="4"/>
          <w:sz w:val="20"/>
        </w:rPr>
        <w:t>TL  (</w:t>
      </w:r>
      <w:proofErr w:type="gramEnd"/>
      <w:r w:rsidRPr="00005453">
        <w:rPr>
          <w:bCs w:val="0"/>
          <w:i w:val="0"/>
          <w:iCs w:val="0"/>
          <w:spacing w:val="4"/>
          <w:sz w:val="20"/>
        </w:rPr>
        <w:t>31 Aralık 202</w:t>
      </w:r>
      <w:r w:rsidR="0099775D" w:rsidRPr="00005453">
        <w:rPr>
          <w:bCs w:val="0"/>
          <w:i w:val="0"/>
          <w:iCs w:val="0"/>
          <w:spacing w:val="4"/>
          <w:sz w:val="20"/>
        </w:rPr>
        <w:t>3</w:t>
      </w:r>
      <w:r w:rsidRPr="00005453">
        <w:rPr>
          <w:bCs w:val="0"/>
          <w:i w:val="0"/>
          <w:iCs w:val="0"/>
          <w:spacing w:val="4"/>
          <w:sz w:val="20"/>
        </w:rPr>
        <w:t xml:space="preserve">: </w:t>
      </w:r>
      <w:r w:rsidR="0099775D" w:rsidRPr="00005453">
        <w:rPr>
          <w:bCs w:val="0"/>
          <w:i w:val="0"/>
          <w:iCs w:val="0"/>
          <w:spacing w:val="4"/>
          <w:sz w:val="20"/>
        </w:rPr>
        <w:t>66</w:t>
      </w:r>
      <w:r w:rsidR="00FC5629" w:rsidRPr="00005453">
        <w:rPr>
          <w:bCs w:val="0"/>
          <w:i w:val="0"/>
          <w:iCs w:val="0"/>
          <w:spacing w:val="4"/>
          <w:sz w:val="20"/>
        </w:rPr>
        <w:t>,</w:t>
      </w:r>
      <w:r w:rsidR="0099775D" w:rsidRPr="00005453">
        <w:rPr>
          <w:bCs w:val="0"/>
          <w:i w:val="0"/>
          <w:iCs w:val="0"/>
          <w:spacing w:val="4"/>
          <w:sz w:val="20"/>
        </w:rPr>
        <w:t>892</w:t>
      </w:r>
      <w:r w:rsidR="00FC5629" w:rsidRPr="00005453">
        <w:rPr>
          <w:bCs w:val="0"/>
          <w:i w:val="0"/>
          <w:iCs w:val="0"/>
          <w:spacing w:val="4"/>
          <w:sz w:val="20"/>
        </w:rPr>
        <w:t>,</w:t>
      </w:r>
      <w:r w:rsidR="0099775D" w:rsidRPr="00005453">
        <w:rPr>
          <w:bCs w:val="0"/>
          <w:i w:val="0"/>
          <w:iCs w:val="0"/>
          <w:spacing w:val="4"/>
          <w:sz w:val="20"/>
        </w:rPr>
        <w:t>662</w:t>
      </w:r>
      <w:r w:rsidR="00FC5629" w:rsidRPr="00005453">
        <w:rPr>
          <w:bCs w:val="0"/>
          <w:i w:val="0"/>
          <w:iCs w:val="0"/>
          <w:spacing w:val="4"/>
          <w:sz w:val="20"/>
        </w:rPr>
        <w:t xml:space="preserve"> </w:t>
      </w:r>
      <w:r w:rsidR="00F23C99" w:rsidRPr="00005453">
        <w:rPr>
          <w:bCs w:val="0"/>
          <w:i w:val="0"/>
          <w:iCs w:val="0"/>
          <w:spacing w:val="4"/>
          <w:sz w:val="20"/>
        </w:rPr>
        <w:t>TL</w:t>
      </w:r>
      <w:r w:rsidRPr="00005453">
        <w:rPr>
          <w:bCs w:val="0"/>
          <w:i w:val="0"/>
          <w:iCs w:val="0"/>
          <w:spacing w:val="4"/>
          <w:sz w:val="20"/>
        </w:rPr>
        <w:t>), sermaye yeterliliği standart oranı da %</w:t>
      </w:r>
      <w:r w:rsidR="000128AF" w:rsidRPr="00005453">
        <w:rPr>
          <w:bCs w:val="0"/>
          <w:i w:val="0"/>
          <w:iCs w:val="0"/>
          <w:spacing w:val="4"/>
          <w:sz w:val="20"/>
        </w:rPr>
        <w:t>2</w:t>
      </w:r>
      <w:r w:rsidR="001E2711" w:rsidRPr="00005453">
        <w:rPr>
          <w:bCs w:val="0"/>
          <w:i w:val="0"/>
          <w:iCs w:val="0"/>
          <w:spacing w:val="4"/>
          <w:sz w:val="20"/>
        </w:rPr>
        <w:t>4</w:t>
      </w:r>
      <w:r w:rsidRPr="00005453">
        <w:rPr>
          <w:bCs w:val="0"/>
          <w:i w:val="0"/>
          <w:iCs w:val="0"/>
          <w:spacing w:val="4"/>
          <w:sz w:val="20"/>
        </w:rPr>
        <w:t>.</w:t>
      </w:r>
      <w:r w:rsidR="001E2711" w:rsidRPr="00005453">
        <w:rPr>
          <w:bCs w:val="0"/>
          <w:i w:val="0"/>
          <w:iCs w:val="0"/>
          <w:spacing w:val="4"/>
          <w:sz w:val="20"/>
        </w:rPr>
        <w:t>46</w:t>
      </w:r>
      <w:r w:rsidRPr="00005453">
        <w:rPr>
          <w:bCs w:val="0"/>
          <w:i w:val="0"/>
          <w:iCs w:val="0"/>
          <w:spacing w:val="4"/>
          <w:sz w:val="20"/>
        </w:rPr>
        <w:t>’d</w:t>
      </w:r>
      <w:r w:rsidR="001E2711" w:rsidRPr="00005453">
        <w:rPr>
          <w:bCs w:val="0"/>
          <w:i w:val="0"/>
          <w:iCs w:val="0"/>
          <w:spacing w:val="4"/>
          <w:sz w:val="20"/>
        </w:rPr>
        <w:t>ı</w:t>
      </w:r>
      <w:r w:rsidRPr="00005453">
        <w:rPr>
          <w:bCs w:val="0"/>
          <w:i w:val="0"/>
          <w:iCs w:val="0"/>
          <w:spacing w:val="4"/>
          <w:sz w:val="20"/>
        </w:rPr>
        <w:t>r (31 Aralık 202</w:t>
      </w:r>
      <w:r w:rsidR="0099775D" w:rsidRPr="00005453">
        <w:rPr>
          <w:bCs w:val="0"/>
          <w:i w:val="0"/>
          <w:iCs w:val="0"/>
          <w:spacing w:val="4"/>
          <w:sz w:val="20"/>
        </w:rPr>
        <w:t>3</w:t>
      </w:r>
      <w:r w:rsidRPr="00005453">
        <w:rPr>
          <w:bCs w:val="0"/>
          <w:i w:val="0"/>
          <w:iCs w:val="0"/>
          <w:spacing w:val="4"/>
          <w:sz w:val="20"/>
        </w:rPr>
        <w:t xml:space="preserve">: </w:t>
      </w:r>
      <w:r w:rsidR="00F23C99" w:rsidRPr="00005453">
        <w:rPr>
          <w:bCs w:val="0"/>
          <w:i w:val="0"/>
          <w:iCs w:val="0"/>
          <w:spacing w:val="4"/>
          <w:sz w:val="20"/>
        </w:rPr>
        <w:t>%2</w:t>
      </w:r>
      <w:r w:rsidR="0099775D" w:rsidRPr="00005453">
        <w:rPr>
          <w:bCs w:val="0"/>
          <w:i w:val="0"/>
          <w:iCs w:val="0"/>
          <w:spacing w:val="4"/>
          <w:sz w:val="20"/>
        </w:rPr>
        <w:t>5</w:t>
      </w:r>
      <w:r w:rsidR="00F23C99" w:rsidRPr="00005453">
        <w:rPr>
          <w:bCs w:val="0"/>
          <w:i w:val="0"/>
          <w:iCs w:val="0"/>
          <w:spacing w:val="4"/>
          <w:sz w:val="20"/>
        </w:rPr>
        <w:t>.</w:t>
      </w:r>
      <w:r w:rsidR="0099775D" w:rsidRPr="00005453">
        <w:rPr>
          <w:bCs w:val="0"/>
          <w:i w:val="0"/>
          <w:iCs w:val="0"/>
          <w:spacing w:val="4"/>
          <w:sz w:val="20"/>
        </w:rPr>
        <w:t>27</w:t>
      </w:r>
      <w:r w:rsidRPr="00005453">
        <w:rPr>
          <w:bCs w:val="0"/>
          <w:i w:val="0"/>
          <w:iCs w:val="0"/>
          <w:spacing w:val="4"/>
          <w:sz w:val="20"/>
        </w:rPr>
        <w:t xml:space="preserve">). </w:t>
      </w:r>
    </w:p>
    <w:p w14:paraId="491D83C3" w14:textId="77777777" w:rsidR="003238D1" w:rsidRPr="00005453" w:rsidRDefault="003238D1" w:rsidP="003238D1">
      <w:pPr>
        <w:pStyle w:val="BodyText3"/>
        <w:ind w:right="-23"/>
        <w:jc w:val="both"/>
        <w:rPr>
          <w:bCs w:val="0"/>
          <w:i w:val="0"/>
          <w:iCs w:val="0"/>
          <w:sz w:val="20"/>
        </w:rPr>
      </w:pPr>
    </w:p>
    <w:p w14:paraId="3DD6FFC5" w14:textId="0AA3744D" w:rsidR="0066083E" w:rsidRPr="00005453" w:rsidRDefault="00BF06FC" w:rsidP="0066083E">
      <w:pPr>
        <w:jc w:val="both"/>
      </w:pPr>
      <w:bookmarkStart w:id="21" w:name="_Hlk134384999"/>
      <w:bookmarkStart w:id="22" w:name="_Hlk133908916"/>
      <w:bookmarkEnd w:id="20"/>
      <w:r w:rsidRPr="00005453">
        <w:t xml:space="preserve">BDDK’nın </w:t>
      </w:r>
      <w:r>
        <w:t>12</w:t>
      </w:r>
      <w:r w:rsidRPr="00005453">
        <w:t>.</w:t>
      </w:r>
      <w:r>
        <w:t>12</w:t>
      </w:r>
      <w:r w:rsidRPr="00005453">
        <w:t>.2023 tarihli ve 10</w:t>
      </w:r>
      <w:r>
        <w:t>747</w:t>
      </w:r>
      <w:r w:rsidRPr="00005453">
        <w:t xml:space="preserve"> sayılı Kurul Kararında belirtilen, 23.10.2015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t>26</w:t>
      </w:r>
      <w:r w:rsidRPr="00005453">
        <w:t>.</w:t>
      </w:r>
      <w:r>
        <w:t>06</w:t>
      </w:r>
      <w:r w:rsidRPr="00005453">
        <w:t>.202</w:t>
      </w:r>
      <w:r>
        <w:t>3</w:t>
      </w:r>
      <w:r w:rsidRPr="00005453">
        <w:t xml:space="preserve"> tarihine ait Türkiye Cumhuriyet Merkez Bankası (Merkez Bankası) döviz alış kurunun kullanılabilmesine yönelik uygulamanın; aksi yönde bir Kurul Kararı alınıncaya kadar, 1</w:t>
      </w:r>
      <w:r>
        <w:t>9</w:t>
      </w:r>
      <w:r w:rsidRPr="00005453">
        <w:t>.12.202</w:t>
      </w:r>
      <w:r>
        <w:t>4</w:t>
      </w:r>
      <w:r w:rsidRPr="00005453">
        <w:t xml:space="preserve"> tarihli kararı uyarınca 01.01.202</w:t>
      </w:r>
      <w:r>
        <w:t>5</w:t>
      </w:r>
      <w:r w:rsidRPr="00005453">
        <w:t xml:space="preserve"> tarihinden itibaren uygulanmak üzere; 2</w:t>
      </w:r>
      <w:r>
        <w:t>8</w:t>
      </w:r>
      <w:r w:rsidRPr="00005453">
        <w:t>.06.202</w:t>
      </w:r>
      <w:r>
        <w:t>4</w:t>
      </w:r>
      <w:r w:rsidRPr="00005453">
        <w:t xml:space="preserve"> tarihine ait Merkez Bankası döviz alış kurunun kullanılması suretiyle devam ettirilmesine,</w:t>
      </w:r>
    </w:p>
    <w:bookmarkEnd w:id="21"/>
    <w:p w14:paraId="7C1EED0C" w14:textId="77777777" w:rsidR="0066083E" w:rsidRPr="00005453" w:rsidRDefault="0066083E" w:rsidP="0066083E">
      <w:pPr>
        <w:jc w:val="both"/>
        <w:rPr>
          <w:sz w:val="12"/>
          <w:szCs w:val="12"/>
        </w:rPr>
      </w:pPr>
    </w:p>
    <w:bookmarkEnd w:id="22"/>
    <w:p w14:paraId="4978E650" w14:textId="54DE0D48" w:rsidR="0066083E" w:rsidRPr="00005453" w:rsidRDefault="0089168B" w:rsidP="0066083E">
      <w:pPr>
        <w:jc w:val="both"/>
      </w:pPr>
      <w:r w:rsidRPr="00005453">
        <w:t xml:space="preserve">Ayrıca BDDK tarafından 12 Aralık 2021 tarihinde yayınlanan düzenlemeler kapsamında gerçeğe uygun değer farkı </w:t>
      </w:r>
      <w:r w:rsidR="0081186C" w:rsidRPr="00005453">
        <w:t>v</w:t>
      </w:r>
      <w:r w:rsidRPr="00005453">
        <w:t xml:space="preserve">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rsidRPr="00005453">
        <w:t>imkan</w:t>
      </w:r>
      <w:proofErr w:type="gramEnd"/>
      <w:r w:rsidRPr="00005453">
        <w:t xml:space="preserve"> tanınmıştır.</w:t>
      </w:r>
    </w:p>
    <w:p w14:paraId="3E2855C4" w14:textId="77777777" w:rsidR="0066083E" w:rsidRPr="00005453" w:rsidRDefault="0066083E" w:rsidP="0066083E">
      <w:pPr>
        <w:jc w:val="both"/>
        <w:rPr>
          <w:sz w:val="12"/>
          <w:szCs w:val="12"/>
        </w:rPr>
      </w:pPr>
    </w:p>
    <w:p w14:paraId="7CEC201F" w14:textId="30D8CBF0" w:rsidR="00910AD9" w:rsidRPr="00005453" w:rsidRDefault="0066083E" w:rsidP="0066083E">
      <w:pPr>
        <w:jc w:val="both"/>
      </w:pPr>
      <w:r w:rsidRPr="00005453">
        <w:t>Bankanın, 31 Aralık 202</w:t>
      </w:r>
      <w:r w:rsidR="0089168B" w:rsidRPr="00005453">
        <w:t>4</w:t>
      </w:r>
      <w:r w:rsidRPr="00005453">
        <w:t xml:space="preserve"> tarihi itibarıyla yasal sermaye yeterliliği oranı hesaplaması, yukarıda belirtilen düzenleme değişikliklerini dikkate alarak gerçekleştirmiştir.</w:t>
      </w:r>
    </w:p>
    <w:p w14:paraId="099940D2" w14:textId="77777777" w:rsidR="00910AD9" w:rsidRPr="00005453" w:rsidRDefault="00910AD9" w:rsidP="000F527F">
      <w:pPr>
        <w:pStyle w:val="BodyText3"/>
        <w:ind w:right="-23"/>
        <w:jc w:val="both"/>
        <w:rPr>
          <w:i w:val="0"/>
          <w:color w:val="000000"/>
          <w:sz w:val="20"/>
        </w:rPr>
      </w:pPr>
    </w:p>
    <w:p w14:paraId="57587FFF" w14:textId="77777777" w:rsidR="00910AD9" w:rsidRPr="00005453" w:rsidRDefault="00910AD9" w:rsidP="000F527F">
      <w:pPr>
        <w:pStyle w:val="BodyText3"/>
        <w:ind w:right="-23"/>
        <w:jc w:val="both"/>
        <w:rPr>
          <w:i w:val="0"/>
          <w:color w:val="000000"/>
          <w:sz w:val="20"/>
        </w:rPr>
      </w:pPr>
    </w:p>
    <w:p w14:paraId="79332CF4" w14:textId="77777777" w:rsidR="00910AD9" w:rsidRPr="00005453" w:rsidRDefault="00910AD9" w:rsidP="000F527F">
      <w:pPr>
        <w:pStyle w:val="BodyText3"/>
        <w:ind w:right="-23"/>
        <w:jc w:val="both"/>
        <w:rPr>
          <w:i w:val="0"/>
          <w:color w:val="000000"/>
          <w:sz w:val="20"/>
        </w:rPr>
      </w:pPr>
    </w:p>
    <w:p w14:paraId="3B508C3E" w14:textId="77777777" w:rsidR="00F560B3" w:rsidRPr="00005453" w:rsidRDefault="00F560B3" w:rsidP="00F560B3">
      <w:pPr>
        <w:pStyle w:val="BodyText3"/>
        <w:ind w:right="-23"/>
        <w:jc w:val="both"/>
        <w:rPr>
          <w:rFonts w:eastAsia="Arial Unicode MS"/>
          <w:i w:val="0"/>
          <w:iCs w:val="0"/>
          <w:sz w:val="20"/>
        </w:rPr>
      </w:pPr>
    </w:p>
    <w:p w14:paraId="1C210D41" w14:textId="77777777" w:rsidR="00F560B3" w:rsidRPr="00005453" w:rsidRDefault="00F560B3" w:rsidP="00F560B3">
      <w:pPr>
        <w:pStyle w:val="BodyText3"/>
        <w:ind w:right="-23"/>
        <w:jc w:val="both"/>
        <w:rPr>
          <w:rFonts w:eastAsia="Arial Unicode MS"/>
          <w:i w:val="0"/>
          <w:iCs w:val="0"/>
          <w:sz w:val="20"/>
        </w:rPr>
      </w:pPr>
    </w:p>
    <w:p w14:paraId="3B062B37" w14:textId="77777777" w:rsidR="00F560B3" w:rsidRPr="00005453" w:rsidRDefault="00F560B3" w:rsidP="00F560B3">
      <w:pPr>
        <w:pStyle w:val="BodyText3"/>
        <w:ind w:right="-23"/>
        <w:jc w:val="both"/>
        <w:rPr>
          <w:rFonts w:eastAsia="Arial Unicode MS"/>
          <w:i w:val="0"/>
          <w:iCs w:val="0"/>
          <w:sz w:val="20"/>
        </w:rPr>
      </w:pPr>
    </w:p>
    <w:p w14:paraId="76B4A416" w14:textId="77777777" w:rsidR="00F560B3" w:rsidRPr="00005453" w:rsidRDefault="00F560B3" w:rsidP="00F560B3">
      <w:pPr>
        <w:pStyle w:val="BodyText3"/>
        <w:ind w:right="-23"/>
        <w:jc w:val="both"/>
        <w:rPr>
          <w:rFonts w:eastAsia="Arial Unicode MS"/>
          <w:i w:val="0"/>
          <w:iCs w:val="0"/>
          <w:sz w:val="20"/>
        </w:rPr>
      </w:pPr>
    </w:p>
    <w:p w14:paraId="0B07C84C" w14:textId="77777777" w:rsidR="00F560B3" w:rsidRPr="00005453" w:rsidRDefault="00F560B3" w:rsidP="00F560B3">
      <w:pPr>
        <w:pStyle w:val="BodyText3"/>
        <w:ind w:right="-23"/>
        <w:jc w:val="both"/>
        <w:rPr>
          <w:rFonts w:eastAsia="Arial Unicode MS"/>
          <w:i w:val="0"/>
          <w:iCs w:val="0"/>
          <w:sz w:val="20"/>
        </w:rPr>
      </w:pPr>
    </w:p>
    <w:p w14:paraId="449BB917" w14:textId="77777777" w:rsidR="00F560B3" w:rsidRPr="00005453" w:rsidRDefault="00F560B3" w:rsidP="00F560B3">
      <w:pPr>
        <w:pStyle w:val="BodyText3"/>
        <w:ind w:right="-23"/>
        <w:jc w:val="both"/>
        <w:rPr>
          <w:rFonts w:eastAsia="Arial Unicode MS"/>
          <w:i w:val="0"/>
          <w:iCs w:val="0"/>
          <w:sz w:val="20"/>
        </w:rPr>
      </w:pPr>
    </w:p>
    <w:p w14:paraId="25188B03" w14:textId="77777777" w:rsidR="00F560B3" w:rsidRPr="00005453" w:rsidRDefault="00F560B3" w:rsidP="00F560B3">
      <w:pPr>
        <w:pStyle w:val="BodyText3"/>
        <w:ind w:right="-23"/>
        <w:jc w:val="both"/>
        <w:rPr>
          <w:rFonts w:eastAsia="Arial Unicode MS"/>
          <w:i w:val="0"/>
          <w:iCs w:val="0"/>
          <w:sz w:val="20"/>
        </w:rPr>
      </w:pPr>
    </w:p>
    <w:p w14:paraId="3999BBE5" w14:textId="77777777" w:rsidR="00F560B3" w:rsidRPr="00005453" w:rsidRDefault="00F560B3" w:rsidP="00F560B3">
      <w:pPr>
        <w:pStyle w:val="BodyText3"/>
        <w:ind w:right="-23"/>
        <w:jc w:val="both"/>
        <w:rPr>
          <w:rFonts w:eastAsia="Arial Unicode MS"/>
          <w:i w:val="0"/>
          <w:iCs w:val="0"/>
          <w:sz w:val="20"/>
        </w:rPr>
      </w:pPr>
    </w:p>
    <w:p w14:paraId="59CA16CF" w14:textId="77777777" w:rsidR="00F560B3" w:rsidRPr="00005453" w:rsidRDefault="00F560B3" w:rsidP="00F560B3">
      <w:pPr>
        <w:pStyle w:val="BodyText3"/>
        <w:ind w:right="-23"/>
        <w:jc w:val="both"/>
        <w:rPr>
          <w:rFonts w:eastAsia="Arial Unicode MS"/>
          <w:i w:val="0"/>
          <w:iCs w:val="0"/>
          <w:sz w:val="20"/>
        </w:rPr>
      </w:pPr>
    </w:p>
    <w:p w14:paraId="38D9DC24" w14:textId="77777777" w:rsidR="00F560B3" w:rsidRPr="00005453" w:rsidRDefault="00F560B3" w:rsidP="00F560B3">
      <w:pPr>
        <w:pStyle w:val="BodyText3"/>
        <w:ind w:right="-23"/>
        <w:jc w:val="both"/>
        <w:rPr>
          <w:rFonts w:eastAsia="Arial Unicode MS"/>
          <w:i w:val="0"/>
          <w:iCs w:val="0"/>
          <w:sz w:val="20"/>
        </w:rPr>
      </w:pPr>
    </w:p>
    <w:p w14:paraId="18DF1BDC" w14:textId="77777777" w:rsidR="00F560B3" w:rsidRPr="00005453" w:rsidRDefault="00F560B3" w:rsidP="00F560B3">
      <w:pPr>
        <w:pStyle w:val="BodyText3"/>
        <w:ind w:right="-23"/>
        <w:jc w:val="both"/>
        <w:rPr>
          <w:rFonts w:eastAsia="Arial Unicode MS"/>
          <w:i w:val="0"/>
          <w:iCs w:val="0"/>
          <w:sz w:val="20"/>
        </w:rPr>
      </w:pPr>
    </w:p>
    <w:p w14:paraId="423C850A" w14:textId="77777777" w:rsidR="00F560B3" w:rsidRPr="00005453" w:rsidRDefault="00F560B3" w:rsidP="00F560B3">
      <w:pPr>
        <w:pStyle w:val="BodyText3"/>
        <w:ind w:right="-23"/>
        <w:jc w:val="both"/>
        <w:rPr>
          <w:rFonts w:eastAsia="Arial Unicode MS"/>
          <w:i w:val="0"/>
          <w:iCs w:val="0"/>
          <w:sz w:val="20"/>
        </w:rPr>
      </w:pPr>
    </w:p>
    <w:p w14:paraId="26C89A5D" w14:textId="77777777" w:rsidR="00F560B3" w:rsidRPr="00005453" w:rsidRDefault="00F560B3" w:rsidP="00F560B3">
      <w:pPr>
        <w:pStyle w:val="BodyText3"/>
        <w:ind w:right="-23"/>
        <w:jc w:val="both"/>
        <w:rPr>
          <w:rFonts w:eastAsia="Arial Unicode MS"/>
          <w:i w:val="0"/>
          <w:iCs w:val="0"/>
          <w:sz w:val="20"/>
        </w:rPr>
      </w:pPr>
    </w:p>
    <w:p w14:paraId="78D6B16E" w14:textId="77777777" w:rsidR="00F560B3" w:rsidRPr="00005453" w:rsidRDefault="00F560B3" w:rsidP="00F560B3">
      <w:pPr>
        <w:pStyle w:val="BodyText3"/>
        <w:ind w:right="-23"/>
        <w:jc w:val="both"/>
        <w:rPr>
          <w:i w:val="0"/>
          <w:iCs w:val="0"/>
          <w:sz w:val="20"/>
        </w:rPr>
      </w:pPr>
    </w:p>
    <w:p w14:paraId="5F61CC62" w14:textId="4816F0E4" w:rsidR="00B4260D" w:rsidRPr="00005453" w:rsidRDefault="00756171" w:rsidP="00DC7490">
      <w:pPr>
        <w:tabs>
          <w:tab w:val="left" w:pos="709"/>
        </w:tabs>
        <w:autoSpaceDE w:val="0"/>
        <w:autoSpaceDN w:val="0"/>
        <w:adjustRightInd w:val="0"/>
        <w:ind w:hanging="567"/>
        <w:rPr>
          <w:b/>
          <w:color w:val="000000"/>
        </w:rPr>
      </w:pPr>
      <w:r w:rsidRPr="00005453">
        <w:rPr>
          <w:rFonts w:eastAsia="Arial Unicode MS"/>
          <w:b/>
        </w:rPr>
        <w:br w:type="page"/>
      </w:r>
      <w:r w:rsidR="00FD72BB" w:rsidRPr="00005453">
        <w:rPr>
          <w:b/>
          <w:color w:val="000000"/>
        </w:rPr>
        <w:lastRenderedPageBreak/>
        <w:t>1</w:t>
      </w:r>
      <w:r w:rsidR="00910AD9" w:rsidRPr="00005453">
        <w:rPr>
          <w:b/>
          <w:color w:val="000000"/>
        </w:rPr>
        <w:t>.</w:t>
      </w:r>
      <w:r w:rsidR="00FD72BB" w:rsidRPr="00005453">
        <w:rPr>
          <w:b/>
          <w:color w:val="000000"/>
        </w:rPr>
        <w:t>1</w:t>
      </w:r>
      <w:r w:rsidR="00910AD9" w:rsidRPr="00005453">
        <w:rPr>
          <w:b/>
          <w:color w:val="000000"/>
        </w:rPr>
        <w:t xml:space="preserve"> </w:t>
      </w:r>
      <w:r w:rsidR="00FD72BB" w:rsidRPr="00005453">
        <w:rPr>
          <w:b/>
          <w:color w:val="000000"/>
        </w:rPr>
        <w:t xml:space="preserve">  </w:t>
      </w:r>
      <w:r w:rsidR="0003633B" w:rsidRPr="00005453">
        <w:rPr>
          <w:b/>
          <w:color w:val="000000"/>
        </w:rPr>
        <w:tab/>
      </w:r>
      <w:r w:rsidR="00910AD9" w:rsidRPr="00005453">
        <w:rPr>
          <w:b/>
          <w:color w:val="000000"/>
        </w:rPr>
        <w:t>Özkaynak kalemlerine ilişkin bilgiler</w:t>
      </w:r>
    </w:p>
    <w:p w14:paraId="2FB2D81C" w14:textId="63650795" w:rsidR="00A42306" w:rsidRPr="00005453" w:rsidRDefault="00A42306" w:rsidP="005571E3">
      <w:pPr>
        <w:tabs>
          <w:tab w:val="left" w:pos="3229"/>
        </w:tabs>
        <w:autoSpaceDE w:val="0"/>
        <w:autoSpaceDN w:val="0"/>
        <w:adjustRightInd w:val="0"/>
        <w:rPr>
          <w:sz w:val="10"/>
          <w:lang w:val="en-GB" w:eastAsia="en-GB"/>
        </w:rPr>
      </w:pPr>
    </w:p>
    <w:tbl>
      <w:tblPr>
        <w:tblW w:w="94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794"/>
        <w:gridCol w:w="1276"/>
        <w:gridCol w:w="1417"/>
      </w:tblGrid>
      <w:tr w:rsidR="00A42306" w:rsidRPr="00005453" w14:paraId="7714DF6F" w14:textId="77777777" w:rsidTr="000E5F12">
        <w:trPr>
          <w:divId w:val="391392177"/>
          <w:trHeight w:val="252"/>
        </w:trPr>
        <w:tc>
          <w:tcPr>
            <w:tcW w:w="6794" w:type="dxa"/>
            <w:shd w:val="clear" w:color="auto" w:fill="auto"/>
            <w:vAlign w:val="center"/>
            <w:hideMark/>
          </w:tcPr>
          <w:p w14:paraId="4872C498" w14:textId="71B108FD" w:rsidR="00A42306" w:rsidRPr="00005453" w:rsidRDefault="00A42306" w:rsidP="00A42306">
            <w:pPr>
              <w:rPr>
                <w:sz w:val="16"/>
                <w:szCs w:val="16"/>
                <w:lang w:eastAsia="tr-TR"/>
              </w:rPr>
            </w:pPr>
            <w:r w:rsidRPr="00005453">
              <w:rPr>
                <w:sz w:val="16"/>
                <w:szCs w:val="16"/>
                <w:lang w:eastAsia="tr-TR"/>
              </w:rPr>
              <w:t> </w:t>
            </w:r>
          </w:p>
        </w:tc>
        <w:tc>
          <w:tcPr>
            <w:tcW w:w="1276" w:type="dxa"/>
            <w:shd w:val="clear" w:color="auto" w:fill="auto"/>
            <w:vAlign w:val="center"/>
            <w:hideMark/>
          </w:tcPr>
          <w:p w14:paraId="75ECE670" w14:textId="77777777" w:rsidR="00A42306" w:rsidRPr="00005453" w:rsidRDefault="00A42306" w:rsidP="00614CD2">
            <w:pPr>
              <w:jc w:val="right"/>
              <w:rPr>
                <w:b/>
                <w:bCs/>
                <w:sz w:val="16"/>
                <w:szCs w:val="16"/>
                <w:lang w:eastAsia="tr-TR"/>
              </w:rPr>
            </w:pPr>
            <w:r w:rsidRPr="00005453">
              <w:rPr>
                <w:b/>
                <w:bCs/>
                <w:sz w:val="16"/>
                <w:szCs w:val="16"/>
                <w:lang w:eastAsia="tr-TR"/>
              </w:rPr>
              <w:t>Cari Dönem</w:t>
            </w:r>
            <w:r w:rsidRPr="00005453">
              <w:rPr>
                <w:b/>
                <w:bCs/>
                <w:sz w:val="16"/>
                <w:szCs w:val="16"/>
                <w:lang w:eastAsia="tr-TR"/>
              </w:rPr>
              <w:br/>
              <w:t xml:space="preserve"> Tutar </w:t>
            </w:r>
          </w:p>
        </w:tc>
        <w:tc>
          <w:tcPr>
            <w:tcW w:w="1417" w:type="dxa"/>
            <w:shd w:val="clear" w:color="auto" w:fill="auto"/>
            <w:vAlign w:val="center"/>
            <w:hideMark/>
          </w:tcPr>
          <w:p w14:paraId="1C51541F" w14:textId="77777777" w:rsidR="00A42306" w:rsidRPr="00005453" w:rsidRDefault="00A42306" w:rsidP="00614CD2">
            <w:pPr>
              <w:jc w:val="right"/>
              <w:rPr>
                <w:b/>
                <w:bCs/>
                <w:sz w:val="16"/>
                <w:szCs w:val="16"/>
                <w:lang w:eastAsia="tr-TR"/>
              </w:rPr>
            </w:pPr>
            <w:r w:rsidRPr="00005453">
              <w:rPr>
                <w:b/>
                <w:bCs/>
                <w:sz w:val="16"/>
                <w:szCs w:val="16"/>
                <w:lang w:eastAsia="tr-TR"/>
              </w:rPr>
              <w:t>Önceki Dönem</w:t>
            </w:r>
            <w:r w:rsidRPr="00005453">
              <w:rPr>
                <w:b/>
                <w:bCs/>
                <w:sz w:val="16"/>
                <w:szCs w:val="16"/>
                <w:lang w:eastAsia="tr-TR"/>
              </w:rPr>
              <w:br/>
              <w:t>Tutar</w:t>
            </w:r>
          </w:p>
        </w:tc>
      </w:tr>
      <w:tr w:rsidR="00A42306" w:rsidRPr="00005453" w14:paraId="367A8CEF" w14:textId="77777777" w:rsidTr="000E5F12">
        <w:trPr>
          <w:divId w:val="391392177"/>
          <w:trHeight w:val="241"/>
        </w:trPr>
        <w:tc>
          <w:tcPr>
            <w:tcW w:w="6794" w:type="dxa"/>
            <w:shd w:val="clear" w:color="auto" w:fill="auto"/>
            <w:vAlign w:val="center"/>
            <w:hideMark/>
          </w:tcPr>
          <w:p w14:paraId="76CC8BAC" w14:textId="77777777" w:rsidR="00A42306" w:rsidRPr="00005453" w:rsidRDefault="00A42306" w:rsidP="00A42306">
            <w:pPr>
              <w:jc w:val="center"/>
              <w:rPr>
                <w:b/>
                <w:bCs/>
                <w:sz w:val="16"/>
                <w:szCs w:val="16"/>
                <w:lang w:eastAsia="tr-TR"/>
              </w:rPr>
            </w:pPr>
            <w:r w:rsidRPr="00005453">
              <w:rPr>
                <w:b/>
                <w:bCs/>
                <w:sz w:val="16"/>
                <w:szCs w:val="16"/>
                <w:lang w:eastAsia="tr-TR"/>
              </w:rPr>
              <w:t>ÇEKİRDEK SERMAYE</w:t>
            </w:r>
          </w:p>
        </w:tc>
        <w:tc>
          <w:tcPr>
            <w:tcW w:w="1276" w:type="dxa"/>
            <w:shd w:val="clear" w:color="auto" w:fill="auto"/>
            <w:vAlign w:val="bottom"/>
            <w:hideMark/>
          </w:tcPr>
          <w:p w14:paraId="20174A7C" w14:textId="77777777" w:rsidR="00A42306" w:rsidRPr="00005453" w:rsidRDefault="00A42306" w:rsidP="00A42306">
            <w:pPr>
              <w:jc w:val="center"/>
              <w:rPr>
                <w:b/>
                <w:bCs/>
                <w:sz w:val="16"/>
                <w:szCs w:val="16"/>
                <w:lang w:eastAsia="tr-TR"/>
              </w:rPr>
            </w:pPr>
            <w:r w:rsidRPr="00005453">
              <w:rPr>
                <w:b/>
                <w:bCs/>
                <w:sz w:val="16"/>
                <w:szCs w:val="16"/>
                <w:lang w:eastAsia="tr-TR"/>
              </w:rPr>
              <w:t> </w:t>
            </w:r>
          </w:p>
        </w:tc>
        <w:tc>
          <w:tcPr>
            <w:tcW w:w="1417" w:type="dxa"/>
            <w:shd w:val="clear" w:color="auto" w:fill="auto"/>
            <w:vAlign w:val="bottom"/>
            <w:hideMark/>
          </w:tcPr>
          <w:p w14:paraId="38913A68" w14:textId="77777777" w:rsidR="00A42306" w:rsidRPr="00005453" w:rsidRDefault="00A42306" w:rsidP="00A42306">
            <w:pPr>
              <w:jc w:val="center"/>
              <w:rPr>
                <w:b/>
                <w:bCs/>
                <w:sz w:val="16"/>
                <w:szCs w:val="16"/>
                <w:lang w:eastAsia="tr-TR"/>
              </w:rPr>
            </w:pPr>
            <w:r w:rsidRPr="00005453">
              <w:rPr>
                <w:b/>
                <w:bCs/>
                <w:sz w:val="16"/>
                <w:szCs w:val="16"/>
                <w:lang w:eastAsia="tr-TR"/>
              </w:rPr>
              <w:t> </w:t>
            </w:r>
          </w:p>
        </w:tc>
      </w:tr>
      <w:tr w:rsidR="001E2711" w:rsidRPr="00005453" w14:paraId="38BE233A" w14:textId="77777777" w:rsidTr="001E2711">
        <w:trPr>
          <w:divId w:val="391392177"/>
          <w:trHeight w:val="165"/>
        </w:trPr>
        <w:tc>
          <w:tcPr>
            <w:tcW w:w="6794" w:type="dxa"/>
            <w:shd w:val="clear" w:color="auto" w:fill="auto"/>
            <w:vAlign w:val="center"/>
            <w:hideMark/>
          </w:tcPr>
          <w:p w14:paraId="167D8EE9" w14:textId="77777777" w:rsidR="001E2711" w:rsidRPr="00005453" w:rsidRDefault="001E2711" w:rsidP="001E2711">
            <w:pPr>
              <w:rPr>
                <w:sz w:val="16"/>
                <w:szCs w:val="16"/>
                <w:lang w:eastAsia="tr-TR"/>
              </w:rPr>
            </w:pPr>
            <w:r w:rsidRPr="00005453">
              <w:rPr>
                <w:sz w:val="16"/>
                <w:szCs w:val="16"/>
                <w:lang w:eastAsia="tr-TR"/>
              </w:rPr>
              <w:t>Bankanın tasfiyesi halinde alacak hakkı açısından diğer tüm alacaklardan sonra gelen ödenmiş sermaye</w:t>
            </w:r>
          </w:p>
        </w:tc>
        <w:tc>
          <w:tcPr>
            <w:tcW w:w="1276" w:type="dxa"/>
            <w:shd w:val="clear" w:color="auto" w:fill="auto"/>
            <w:vAlign w:val="center"/>
            <w:hideMark/>
          </w:tcPr>
          <w:p w14:paraId="69E02B34" w14:textId="7561DE9E" w:rsidR="001E2711" w:rsidRPr="00005453" w:rsidRDefault="001E2711" w:rsidP="001E2711">
            <w:pPr>
              <w:jc w:val="right"/>
              <w:rPr>
                <w:sz w:val="16"/>
                <w:szCs w:val="16"/>
                <w:lang w:eastAsia="tr-TR"/>
              </w:rPr>
            </w:pPr>
            <w:r w:rsidRPr="00005453">
              <w:rPr>
                <w:color w:val="000000"/>
                <w:sz w:val="16"/>
                <w:szCs w:val="18"/>
              </w:rPr>
              <w:t>4,952,205</w:t>
            </w:r>
          </w:p>
        </w:tc>
        <w:tc>
          <w:tcPr>
            <w:tcW w:w="1417" w:type="dxa"/>
            <w:shd w:val="clear" w:color="auto" w:fill="auto"/>
            <w:vAlign w:val="center"/>
            <w:hideMark/>
          </w:tcPr>
          <w:p w14:paraId="57E64A52" w14:textId="14596D7E" w:rsidR="001E2711" w:rsidRPr="00005453" w:rsidRDefault="001E2711" w:rsidP="001E2711">
            <w:pPr>
              <w:jc w:val="right"/>
              <w:rPr>
                <w:sz w:val="16"/>
                <w:szCs w:val="16"/>
                <w:lang w:eastAsia="tr-TR"/>
              </w:rPr>
            </w:pPr>
            <w:r w:rsidRPr="00005453">
              <w:rPr>
                <w:color w:val="000000"/>
                <w:sz w:val="16"/>
                <w:szCs w:val="16"/>
              </w:rPr>
              <w:t>4,600,000</w:t>
            </w:r>
          </w:p>
        </w:tc>
      </w:tr>
      <w:tr w:rsidR="001E2711" w:rsidRPr="00005453" w14:paraId="3E86FCE5" w14:textId="77777777" w:rsidTr="001E2711">
        <w:trPr>
          <w:divId w:val="391392177"/>
          <w:trHeight w:val="165"/>
        </w:trPr>
        <w:tc>
          <w:tcPr>
            <w:tcW w:w="6794" w:type="dxa"/>
            <w:shd w:val="clear" w:color="auto" w:fill="auto"/>
            <w:vAlign w:val="center"/>
            <w:hideMark/>
          </w:tcPr>
          <w:p w14:paraId="715A3013" w14:textId="77777777" w:rsidR="001E2711" w:rsidRPr="00005453" w:rsidRDefault="001E2711" w:rsidP="001E2711">
            <w:pPr>
              <w:rPr>
                <w:sz w:val="16"/>
                <w:szCs w:val="16"/>
                <w:lang w:eastAsia="tr-TR"/>
              </w:rPr>
            </w:pPr>
            <w:r w:rsidRPr="00005453">
              <w:rPr>
                <w:sz w:val="16"/>
                <w:szCs w:val="16"/>
                <w:lang w:eastAsia="tr-TR"/>
              </w:rPr>
              <w:t>Hisse senedi ihraç primleri</w:t>
            </w:r>
          </w:p>
        </w:tc>
        <w:tc>
          <w:tcPr>
            <w:tcW w:w="1276" w:type="dxa"/>
            <w:shd w:val="clear" w:color="auto" w:fill="auto"/>
            <w:vAlign w:val="center"/>
            <w:hideMark/>
          </w:tcPr>
          <w:p w14:paraId="2BF33819" w14:textId="72ABF1AD" w:rsidR="001E2711" w:rsidRPr="00005453" w:rsidRDefault="001E2711" w:rsidP="001E2711">
            <w:pPr>
              <w:jc w:val="right"/>
              <w:rPr>
                <w:sz w:val="16"/>
                <w:szCs w:val="16"/>
                <w:lang w:eastAsia="tr-TR"/>
              </w:rPr>
            </w:pPr>
            <w:r w:rsidRPr="00005453">
              <w:rPr>
                <w:color w:val="000000"/>
                <w:sz w:val="16"/>
                <w:szCs w:val="18"/>
              </w:rPr>
              <w:t>6,373,506</w:t>
            </w:r>
          </w:p>
        </w:tc>
        <w:tc>
          <w:tcPr>
            <w:tcW w:w="1417" w:type="dxa"/>
            <w:shd w:val="clear" w:color="auto" w:fill="auto"/>
            <w:vAlign w:val="center"/>
            <w:hideMark/>
          </w:tcPr>
          <w:p w14:paraId="2CBBDFD7" w14:textId="78689E67" w:rsidR="001E2711" w:rsidRPr="00005453" w:rsidRDefault="001E2711" w:rsidP="001E2711">
            <w:pPr>
              <w:jc w:val="right"/>
              <w:rPr>
                <w:sz w:val="16"/>
                <w:szCs w:val="16"/>
                <w:lang w:eastAsia="tr-TR"/>
              </w:rPr>
            </w:pPr>
            <w:r w:rsidRPr="00005453">
              <w:rPr>
                <w:color w:val="000000"/>
                <w:sz w:val="16"/>
                <w:szCs w:val="16"/>
              </w:rPr>
              <w:t>23,250</w:t>
            </w:r>
          </w:p>
        </w:tc>
      </w:tr>
      <w:tr w:rsidR="001E2711" w:rsidRPr="00005453" w14:paraId="7D9BB8D1" w14:textId="77777777" w:rsidTr="001E2711">
        <w:trPr>
          <w:divId w:val="391392177"/>
          <w:trHeight w:val="165"/>
        </w:trPr>
        <w:tc>
          <w:tcPr>
            <w:tcW w:w="6794" w:type="dxa"/>
            <w:shd w:val="clear" w:color="auto" w:fill="auto"/>
            <w:vAlign w:val="center"/>
            <w:hideMark/>
          </w:tcPr>
          <w:p w14:paraId="5BA0A319" w14:textId="77777777" w:rsidR="001E2711" w:rsidRPr="00005453" w:rsidRDefault="001E2711" w:rsidP="001E2711">
            <w:pPr>
              <w:rPr>
                <w:sz w:val="16"/>
                <w:szCs w:val="16"/>
                <w:lang w:eastAsia="tr-TR"/>
              </w:rPr>
            </w:pPr>
            <w:r w:rsidRPr="00005453">
              <w:rPr>
                <w:sz w:val="16"/>
                <w:szCs w:val="16"/>
                <w:lang w:eastAsia="tr-TR"/>
              </w:rPr>
              <w:t>Yedek akçeler</w:t>
            </w:r>
          </w:p>
        </w:tc>
        <w:tc>
          <w:tcPr>
            <w:tcW w:w="1276" w:type="dxa"/>
            <w:shd w:val="clear" w:color="auto" w:fill="auto"/>
            <w:vAlign w:val="center"/>
            <w:hideMark/>
          </w:tcPr>
          <w:p w14:paraId="3C9DE1FB" w14:textId="765950D6" w:rsidR="001E2711" w:rsidRPr="00005453" w:rsidRDefault="001E2711" w:rsidP="001E2711">
            <w:pPr>
              <w:jc w:val="right"/>
              <w:rPr>
                <w:sz w:val="16"/>
                <w:szCs w:val="16"/>
                <w:lang w:eastAsia="tr-TR"/>
              </w:rPr>
            </w:pPr>
            <w:r w:rsidRPr="00005453">
              <w:rPr>
                <w:color w:val="000000"/>
                <w:sz w:val="16"/>
                <w:szCs w:val="18"/>
              </w:rPr>
              <w:t>42,203,71</w:t>
            </w:r>
            <w:r w:rsidR="004F1E37" w:rsidRPr="00005453">
              <w:rPr>
                <w:color w:val="000000"/>
                <w:sz w:val="16"/>
                <w:szCs w:val="18"/>
              </w:rPr>
              <w:t>6</w:t>
            </w:r>
          </w:p>
        </w:tc>
        <w:tc>
          <w:tcPr>
            <w:tcW w:w="1417" w:type="dxa"/>
            <w:shd w:val="clear" w:color="auto" w:fill="auto"/>
            <w:vAlign w:val="center"/>
            <w:hideMark/>
          </w:tcPr>
          <w:p w14:paraId="0FF3233E" w14:textId="533363BC" w:rsidR="001E2711" w:rsidRPr="00005453" w:rsidRDefault="001E2711" w:rsidP="001E2711">
            <w:pPr>
              <w:jc w:val="right"/>
              <w:rPr>
                <w:sz w:val="16"/>
                <w:szCs w:val="16"/>
                <w:lang w:eastAsia="tr-TR"/>
              </w:rPr>
            </w:pPr>
            <w:r w:rsidRPr="00005453">
              <w:rPr>
                <w:color w:val="000000"/>
                <w:sz w:val="16"/>
                <w:szCs w:val="16"/>
              </w:rPr>
              <w:t>18,253,903</w:t>
            </w:r>
          </w:p>
        </w:tc>
      </w:tr>
      <w:tr w:rsidR="001E2711" w:rsidRPr="00005453" w14:paraId="32976569" w14:textId="77777777" w:rsidTr="001E2711">
        <w:trPr>
          <w:divId w:val="391392177"/>
          <w:trHeight w:val="165"/>
        </w:trPr>
        <w:tc>
          <w:tcPr>
            <w:tcW w:w="6794" w:type="dxa"/>
            <w:shd w:val="clear" w:color="auto" w:fill="auto"/>
            <w:vAlign w:val="center"/>
            <w:hideMark/>
          </w:tcPr>
          <w:p w14:paraId="5A0E2C13" w14:textId="77777777" w:rsidR="001E2711" w:rsidRPr="00005453" w:rsidRDefault="001E2711" w:rsidP="001E2711">
            <w:pPr>
              <w:rPr>
                <w:sz w:val="16"/>
                <w:szCs w:val="16"/>
                <w:lang w:eastAsia="tr-TR"/>
              </w:rPr>
            </w:pPr>
            <w:r w:rsidRPr="00005453">
              <w:rPr>
                <w:sz w:val="16"/>
                <w:szCs w:val="16"/>
                <w:lang w:eastAsia="tr-TR"/>
              </w:rPr>
              <w:t>Türkiye Muhasebe Standartları (TMS) uyarınca özkaynaklara yansıtılan kazançlar</w:t>
            </w:r>
          </w:p>
        </w:tc>
        <w:tc>
          <w:tcPr>
            <w:tcW w:w="1276" w:type="dxa"/>
            <w:shd w:val="clear" w:color="auto" w:fill="auto"/>
            <w:vAlign w:val="center"/>
            <w:hideMark/>
          </w:tcPr>
          <w:p w14:paraId="6CBDC25F" w14:textId="7BCA8AB3" w:rsidR="001E2711" w:rsidRPr="00005453" w:rsidRDefault="001E2711" w:rsidP="001E2711">
            <w:pPr>
              <w:jc w:val="right"/>
              <w:rPr>
                <w:sz w:val="16"/>
                <w:szCs w:val="16"/>
                <w:lang w:eastAsia="tr-TR"/>
              </w:rPr>
            </w:pPr>
            <w:r w:rsidRPr="00005453">
              <w:rPr>
                <w:color w:val="000000"/>
                <w:sz w:val="16"/>
                <w:szCs w:val="18"/>
              </w:rPr>
              <w:t>348,081</w:t>
            </w:r>
          </w:p>
        </w:tc>
        <w:tc>
          <w:tcPr>
            <w:tcW w:w="1417" w:type="dxa"/>
            <w:shd w:val="clear" w:color="auto" w:fill="auto"/>
            <w:vAlign w:val="center"/>
            <w:hideMark/>
          </w:tcPr>
          <w:p w14:paraId="46D69ED0" w14:textId="32DF3BC6" w:rsidR="001E2711" w:rsidRPr="00005453" w:rsidRDefault="001E2711" w:rsidP="001E2711">
            <w:pPr>
              <w:jc w:val="right"/>
              <w:rPr>
                <w:sz w:val="16"/>
                <w:szCs w:val="16"/>
                <w:lang w:eastAsia="tr-TR"/>
              </w:rPr>
            </w:pPr>
            <w:r w:rsidRPr="00005453">
              <w:rPr>
                <w:color w:val="000000"/>
                <w:sz w:val="16"/>
                <w:szCs w:val="16"/>
              </w:rPr>
              <w:t>386,210</w:t>
            </w:r>
          </w:p>
        </w:tc>
      </w:tr>
      <w:tr w:rsidR="001E2711" w:rsidRPr="00005453" w14:paraId="10490124" w14:textId="77777777" w:rsidTr="001E2711">
        <w:trPr>
          <w:divId w:val="391392177"/>
          <w:trHeight w:val="165"/>
        </w:trPr>
        <w:tc>
          <w:tcPr>
            <w:tcW w:w="6794" w:type="dxa"/>
            <w:shd w:val="clear" w:color="auto" w:fill="auto"/>
            <w:vAlign w:val="center"/>
            <w:hideMark/>
          </w:tcPr>
          <w:p w14:paraId="751A2A6F" w14:textId="77777777" w:rsidR="001E2711" w:rsidRPr="00005453" w:rsidRDefault="001E2711" w:rsidP="001E2711">
            <w:pPr>
              <w:rPr>
                <w:sz w:val="16"/>
                <w:szCs w:val="16"/>
                <w:lang w:eastAsia="tr-TR"/>
              </w:rPr>
            </w:pPr>
            <w:r w:rsidRPr="00005453">
              <w:rPr>
                <w:sz w:val="16"/>
                <w:szCs w:val="16"/>
                <w:lang w:eastAsia="tr-TR"/>
              </w:rPr>
              <w:t>Kâr</w:t>
            </w:r>
          </w:p>
        </w:tc>
        <w:tc>
          <w:tcPr>
            <w:tcW w:w="1276" w:type="dxa"/>
            <w:shd w:val="clear" w:color="auto" w:fill="auto"/>
            <w:vAlign w:val="center"/>
            <w:hideMark/>
          </w:tcPr>
          <w:p w14:paraId="07DAD47F" w14:textId="0FF31F30" w:rsidR="001E2711" w:rsidRPr="00005453" w:rsidRDefault="001E2711" w:rsidP="001E2711">
            <w:pPr>
              <w:jc w:val="right"/>
              <w:rPr>
                <w:sz w:val="16"/>
                <w:szCs w:val="16"/>
                <w:lang w:eastAsia="tr-TR"/>
              </w:rPr>
            </w:pPr>
            <w:r w:rsidRPr="00005453">
              <w:rPr>
                <w:color w:val="000000"/>
                <w:sz w:val="16"/>
                <w:szCs w:val="18"/>
              </w:rPr>
              <w:t>34,714,074</w:t>
            </w:r>
          </w:p>
        </w:tc>
        <w:tc>
          <w:tcPr>
            <w:tcW w:w="1417" w:type="dxa"/>
            <w:shd w:val="clear" w:color="auto" w:fill="auto"/>
            <w:vAlign w:val="center"/>
            <w:hideMark/>
          </w:tcPr>
          <w:p w14:paraId="7116BC76" w14:textId="0AAE2397" w:rsidR="001E2711" w:rsidRPr="00005453" w:rsidRDefault="001E2711" w:rsidP="001E2711">
            <w:pPr>
              <w:jc w:val="right"/>
              <w:rPr>
                <w:sz w:val="16"/>
                <w:szCs w:val="16"/>
                <w:lang w:eastAsia="tr-TR"/>
              </w:rPr>
            </w:pPr>
            <w:r w:rsidRPr="00005453">
              <w:rPr>
                <w:color w:val="000000"/>
                <w:sz w:val="16"/>
                <w:szCs w:val="16"/>
              </w:rPr>
              <w:t>26,669,989</w:t>
            </w:r>
          </w:p>
        </w:tc>
      </w:tr>
      <w:tr w:rsidR="001E2711" w:rsidRPr="00005453" w14:paraId="7D11AB47" w14:textId="77777777" w:rsidTr="001E2711">
        <w:trPr>
          <w:divId w:val="391392177"/>
          <w:trHeight w:val="165"/>
        </w:trPr>
        <w:tc>
          <w:tcPr>
            <w:tcW w:w="6794" w:type="dxa"/>
            <w:shd w:val="clear" w:color="auto" w:fill="auto"/>
            <w:vAlign w:val="center"/>
            <w:hideMark/>
          </w:tcPr>
          <w:p w14:paraId="5BBD88BC" w14:textId="77777777" w:rsidR="001E2711" w:rsidRPr="00005453" w:rsidRDefault="001E2711" w:rsidP="001E2711">
            <w:pPr>
              <w:rPr>
                <w:sz w:val="16"/>
                <w:szCs w:val="16"/>
                <w:lang w:eastAsia="tr-TR"/>
              </w:rPr>
            </w:pPr>
            <w:r w:rsidRPr="00005453">
              <w:rPr>
                <w:sz w:val="16"/>
                <w:szCs w:val="16"/>
                <w:lang w:eastAsia="tr-TR"/>
              </w:rPr>
              <w:t>      Net Dönem Kârı</w:t>
            </w:r>
          </w:p>
        </w:tc>
        <w:tc>
          <w:tcPr>
            <w:tcW w:w="1276" w:type="dxa"/>
            <w:shd w:val="clear" w:color="auto" w:fill="auto"/>
            <w:vAlign w:val="center"/>
            <w:hideMark/>
          </w:tcPr>
          <w:p w14:paraId="11337927" w14:textId="0CE50CB4" w:rsidR="001E2711" w:rsidRPr="00005453" w:rsidRDefault="001E2711" w:rsidP="001E2711">
            <w:pPr>
              <w:jc w:val="right"/>
              <w:rPr>
                <w:sz w:val="16"/>
                <w:szCs w:val="16"/>
                <w:lang w:eastAsia="tr-TR"/>
              </w:rPr>
            </w:pPr>
            <w:r w:rsidRPr="00005453">
              <w:rPr>
                <w:color w:val="000000"/>
                <w:sz w:val="16"/>
                <w:szCs w:val="18"/>
              </w:rPr>
              <w:t>34,653,456</w:t>
            </w:r>
          </w:p>
        </w:tc>
        <w:tc>
          <w:tcPr>
            <w:tcW w:w="1417" w:type="dxa"/>
            <w:shd w:val="clear" w:color="auto" w:fill="auto"/>
            <w:vAlign w:val="center"/>
            <w:hideMark/>
          </w:tcPr>
          <w:p w14:paraId="7EBB935F" w14:textId="47DD2C2F" w:rsidR="001E2711" w:rsidRPr="00005453" w:rsidRDefault="001E2711" w:rsidP="001E2711">
            <w:pPr>
              <w:jc w:val="right"/>
              <w:rPr>
                <w:sz w:val="16"/>
                <w:szCs w:val="16"/>
                <w:lang w:eastAsia="tr-TR"/>
              </w:rPr>
            </w:pPr>
            <w:r w:rsidRPr="00005453">
              <w:rPr>
                <w:color w:val="000000"/>
                <w:sz w:val="16"/>
                <w:szCs w:val="16"/>
              </w:rPr>
              <w:t>26,609,371</w:t>
            </w:r>
          </w:p>
        </w:tc>
      </w:tr>
      <w:tr w:rsidR="001E2711" w:rsidRPr="00005453" w14:paraId="5AB4FA42" w14:textId="77777777" w:rsidTr="001E2711">
        <w:trPr>
          <w:divId w:val="391392177"/>
          <w:trHeight w:val="165"/>
        </w:trPr>
        <w:tc>
          <w:tcPr>
            <w:tcW w:w="6794" w:type="dxa"/>
            <w:shd w:val="clear" w:color="auto" w:fill="auto"/>
            <w:vAlign w:val="center"/>
            <w:hideMark/>
          </w:tcPr>
          <w:p w14:paraId="29E4C818" w14:textId="77777777" w:rsidR="001E2711" w:rsidRPr="00005453" w:rsidRDefault="001E2711" w:rsidP="001E2711">
            <w:pPr>
              <w:rPr>
                <w:sz w:val="16"/>
                <w:szCs w:val="16"/>
                <w:lang w:eastAsia="tr-TR"/>
              </w:rPr>
            </w:pPr>
            <w:r w:rsidRPr="00005453">
              <w:rPr>
                <w:sz w:val="16"/>
                <w:szCs w:val="16"/>
                <w:lang w:eastAsia="tr-TR"/>
              </w:rPr>
              <w:t>      Geçmiş Yıllar Kârı</w:t>
            </w:r>
          </w:p>
        </w:tc>
        <w:tc>
          <w:tcPr>
            <w:tcW w:w="1276" w:type="dxa"/>
            <w:shd w:val="clear" w:color="auto" w:fill="auto"/>
            <w:vAlign w:val="center"/>
            <w:hideMark/>
          </w:tcPr>
          <w:p w14:paraId="48DCF997" w14:textId="0D4196C0" w:rsidR="001E2711" w:rsidRPr="00005453" w:rsidRDefault="001E2711" w:rsidP="001E2711">
            <w:pPr>
              <w:jc w:val="right"/>
              <w:rPr>
                <w:sz w:val="16"/>
                <w:szCs w:val="16"/>
                <w:lang w:eastAsia="tr-TR"/>
              </w:rPr>
            </w:pPr>
            <w:r w:rsidRPr="00005453">
              <w:rPr>
                <w:color w:val="000000"/>
                <w:sz w:val="16"/>
                <w:szCs w:val="18"/>
              </w:rPr>
              <w:t>60,618</w:t>
            </w:r>
          </w:p>
        </w:tc>
        <w:tc>
          <w:tcPr>
            <w:tcW w:w="1417" w:type="dxa"/>
            <w:shd w:val="clear" w:color="auto" w:fill="auto"/>
            <w:vAlign w:val="center"/>
            <w:hideMark/>
          </w:tcPr>
          <w:p w14:paraId="605FEA86" w14:textId="70F7B092" w:rsidR="001E2711" w:rsidRPr="00005453" w:rsidRDefault="001E2711" w:rsidP="001E2711">
            <w:pPr>
              <w:jc w:val="right"/>
              <w:rPr>
                <w:sz w:val="16"/>
                <w:szCs w:val="16"/>
                <w:lang w:eastAsia="tr-TR"/>
              </w:rPr>
            </w:pPr>
            <w:r w:rsidRPr="00005453">
              <w:rPr>
                <w:color w:val="000000"/>
                <w:sz w:val="16"/>
                <w:szCs w:val="16"/>
              </w:rPr>
              <w:t>60,618</w:t>
            </w:r>
          </w:p>
        </w:tc>
      </w:tr>
      <w:tr w:rsidR="001E2711" w:rsidRPr="00005453" w14:paraId="23A26C1F" w14:textId="77777777" w:rsidTr="001E2711">
        <w:trPr>
          <w:divId w:val="391392177"/>
          <w:trHeight w:val="165"/>
        </w:trPr>
        <w:tc>
          <w:tcPr>
            <w:tcW w:w="6794" w:type="dxa"/>
            <w:shd w:val="clear" w:color="auto" w:fill="auto"/>
            <w:vAlign w:val="center"/>
            <w:hideMark/>
          </w:tcPr>
          <w:p w14:paraId="6BF19F2C" w14:textId="77777777" w:rsidR="001E2711" w:rsidRPr="00005453" w:rsidRDefault="001E2711" w:rsidP="001E2711">
            <w:pPr>
              <w:rPr>
                <w:sz w:val="16"/>
                <w:szCs w:val="16"/>
                <w:lang w:eastAsia="tr-TR"/>
              </w:rPr>
            </w:pPr>
            <w:r w:rsidRPr="00005453">
              <w:rPr>
                <w:sz w:val="16"/>
                <w:szCs w:val="16"/>
                <w:lang w:eastAsia="tr-TR"/>
              </w:rPr>
              <w:t>İştirakler, bağlı ortaklıklar ve birlikte kontrol edilen ortaklıklardan bedelsiz olarak edinilen ve dönem kârı içerisinde muhasebeleştirilmeyen hisseler</w:t>
            </w:r>
          </w:p>
        </w:tc>
        <w:tc>
          <w:tcPr>
            <w:tcW w:w="1276" w:type="dxa"/>
            <w:shd w:val="clear" w:color="auto" w:fill="auto"/>
            <w:vAlign w:val="center"/>
            <w:hideMark/>
          </w:tcPr>
          <w:p w14:paraId="2F745C16" w14:textId="6005B5FB"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1DFD90A2" w14:textId="03464CA3"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059634C6" w14:textId="77777777" w:rsidTr="001E2711">
        <w:trPr>
          <w:divId w:val="391392177"/>
          <w:trHeight w:val="241"/>
        </w:trPr>
        <w:tc>
          <w:tcPr>
            <w:tcW w:w="6794" w:type="dxa"/>
            <w:shd w:val="clear" w:color="auto" w:fill="auto"/>
            <w:vAlign w:val="center"/>
            <w:hideMark/>
          </w:tcPr>
          <w:p w14:paraId="291AAFDD" w14:textId="77777777" w:rsidR="001E2711" w:rsidRPr="00005453" w:rsidRDefault="001E2711" w:rsidP="001E2711">
            <w:pPr>
              <w:rPr>
                <w:b/>
                <w:bCs/>
                <w:sz w:val="16"/>
                <w:szCs w:val="16"/>
                <w:lang w:eastAsia="tr-TR"/>
              </w:rPr>
            </w:pPr>
            <w:r w:rsidRPr="00005453">
              <w:rPr>
                <w:b/>
                <w:bCs/>
                <w:sz w:val="16"/>
                <w:szCs w:val="16"/>
                <w:lang w:eastAsia="tr-TR"/>
              </w:rPr>
              <w:t>İndirimler öncesi çekirdek sermaye</w:t>
            </w:r>
          </w:p>
        </w:tc>
        <w:tc>
          <w:tcPr>
            <w:tcW w:w="1276" w:type="dxa"/>
            <w:shd w:val="clear" w:color="auto" w:fill="auto"/>
            <w:vAlign w:val="center"/>
            <w:hideMark/>
          </w:tcPr>
          <w:p w14:paraId="7FD97983" w14:textId="05E7BF29" w:rsidR="001E2711" w:rsidRPr="00005453" w:rsidRDefault="001E2711" w:rsidP="001E2711">
            <w:pPr>
              <w:jc w:val="right"/>
              <w:rPr>
                <w:b/>
                <w:sz w:val="16"/>
                <w:szCs w:val="16"/>
                <w:lang w:eastAsia="tr-TR"/>
              </w:rPr>
            </w:pPr>
            <w:r w:rsidRPr="00005453">
              <w:rPr>
                <w:b/>
                <w:bCs/>
                <w:color w:val="000000"/>
                <w:sz w:val="16"/>
                <w:szCs w:val="18"/>
              </w:rPr>
              <w:t>88,591,58</w:t>
            </w:r>
            <w:r w:rsidR="004F1E37" w:rsidRPr="00005453">
              <w:rPr>
                <w:b/>
                <w:bCs/>
                <w:color w:val="000000"/>
                <w:sz w:val="16"/>
                <w:szCs w:val="18"/>
              </w:rPr>
              <w:t>2</w:t>
            </w:r>
          </w:p>
        </w:tc>
        <w:tc>
          <w:tcPr>
            <w:tcW w:w="1417" w:type="dxa"/>
            <w:shd w:val="clear" w:color="auto" w:fill="auto"/>
            <w:vAlign w:val="center"/>
            <w:hideMark/>
          </w:tcPr>
          <w:p w14:paraId="55179AB0" w14:textId="267B066F" w:rsidR="001E2711" w:rsidRPr="00005453" w:rsidRDefault="001E2711" w:rsidP="001E2711">
            <w:pPr>
              <w:jc w:val="right"/>
              <w:rPr>
                <w:b/>
                <w:sz w:val="16"/>
                <w:szCs w:val="16"/>
                <w:lang w:eastAsia="tr-TR"/>
              </w:rPr>
            </w:pPr>
            <w:r w:rsidRPr="00005453">
              <w:rPr>
                <w:b/>
                <w:bCs/>
                <w:color w:val="000000"/>
                <w:sz w:val="16"/>
                <w:szCs w:val="16"/>
              </w:rPr>
              <w:t>49,933,352</w:t>
            </w:r>
          </w:p>
        </w:tc>
      </w:tr>
      <w:tr w:rsidR="001E2711" w:rsidRPr="00005453" w14:paraId="3B52F150" w14:textId="77777777" w:rsidTr="001E2711">
        <w:trPr>
          <w:divId w:val="391392177"/>
          <w:trHeight w:val="241"/>
        </w:trPr>
        <w:tc>
          <w:tcPr>
            <w:tcW w:w="6794" w:type="dxa"/>
            <w:shd w:val="clear" w:color="auto" w:fill="auto"/>
            <w:vAlign w:val="center"/>
            <w:hideMark/>
          </w:tcPr>
          <w:p w14:paraId="6E733371" w14:textId="77777777" w:rsidR="001E2711" w:rsidRPr="00005453" w:rsidRDefault="001E2711" w:rsidP="001E2711">
            <w:pPr>
              <w:rPr>
                <w:b/>
                <w:bCs/>
                <w:sz w:val="16"/>
                <w:szCs w:val="16"/>
                <w:lang w:eastAsia="tr-TR"/>
              </w:rPr>
            </w:pPr>
            <w:r w:rsidRPr="00005453">
              <w:rPr>
                <w:b/>
                <w:bCs/>
                <w:sz w:val="16"/>
                <w:szCs w:val="16"/>
                <w:lang w:eastAsia="tr-TR"/>
              </w:rPr>
              <w:t>Çekirdek sermayeden yapılacak indirimler</w:t>
            </w:r>
          </w:p>
        </w:tc>
        <w:tc>
          <w:tcPr>
            <w:tcW w:w="1276" w:type="dxa"/>
            <w:shd w:val="clear" w:color="auto" w:fill="auto"/>
            <w:vAlign w:val="center"/>
            <w:hideMark/>
          </w:tcPr>
          <w:p w14:paraId="54897A00" w14:textId="12731C17" w:rsidR="001E2711" w:rsidRPr="00005453" w:rsidRDefault="001E2711" w:rsidP="001E2711">
            <w:pPr>
              <w:jc w:val="right"/>
              <w:rPr>
                <w:b/>
                <w:bCs/>
                <w:sz w:val="16"/>
                <w:szCs w:val="16"/>
                <w:lang w:eastAsia="tr-TR"/>
              </w:rPr>
            </w:pPr>
            <w:r w:rsidRPr="00005453">
              <w:rPr>
                <w:color w:val="000000"/>
                <w:sz w:val="16"/>
                <w:szCs w:val="18"/>
              </w:rPr>
              <w:t>-</w:t>
            </w:r>
          </w:p>
        </w:tc>
        <w:tc>
          <w:tcPr>
            <w:tcW w:w="1417" w:type="dxa"/>
            <w:shd w:val="clear" w:color="auto" w:fill="auto"/>
            <w:vAlign w:val="center"/>
            <w:hideMark/>
          </w:tcPr>
          <w:p w14:paraId="391A26E5" w14:textId="5714B780"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2B92EEF7" w14:textId="77777777" w:rsidTr="001E2711">
        <w:trPr>
          <w:divId w:val="391392177"/>
          <w:trHeight w:val="165"/>
        </w:trPr>
        <w:tc>
          <w:tcPr>
            <w:tcW w:w="6794" w:type="dxa"/>
            <w:shd w:val="clear" w:color="auto" w:fill="auto"/>
            <w:vAlign w:val="center"/>
            <w:hideMark/>
          </w:tcPr>
          <w:p w14:paraId="780066E5" w14:textId="77777777" w:rsidR="001E2711" w:rsidRPr="00005453" w:rsidRDefault="001E2711" w:rsidP="001E2711">
            <w:pPr>
              <w:rPr>
                <w:sz w:val="16"/>
                <w:szCs w:val="16"/>
                <w:lang w:eastAsia="tr-TR"/>
              </w:rPr>
            </w:pPr>
            <w:r w:rsidRPr="00005453">
              <w:rPr>
                <w:sz w:val="16"/>
                <w:szCs w:val="16"/>
                <w:lang w:eastAsia="tr-TR"/>
              </w:rPr>
              <w:t>Bankaların Özkaynaklarına İlişkin Yönetmeliğin 9 uncu maddesinin birinci fıkrasının (i) bendi uyarınca hesaplanan değerleme ayarlamaları</w:t>
            </w:r>
          </w:p>
        </w:tc>
        <w:tc>
          <w:tcPr>
            <w:tcW w:w="1276" w:type="dxa"/>
            <w:shd w:val="clear" w:color="auto" w:fill="auto"/>
            <w:vAlign w:val="center"/>
            <w:hideMark/>
          </w:tcPr>
          <w:p w14:paraId="4278616B" w14:textId="323BE28D"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1F3E1406" w14:textId="6C95D7E4"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0E8C3318" w14:textId="77777777" w:rsidTr="001E2711">
        <w:trPr>
          <w:divId w:val="391392177"/>
          <w:trHeight w:val="165"/>
        </w:trPr>
        <w:tc>
          <w:tcPr>
            <w:tcW w:w="6794" w:type="dxa"/>
            <w:shd w:val="clear" w:color="auto" w:fill="auto"/>
            <w:vAlign w:val="center"/>
            <w:hideMark/>
          </w:tcPr>
          <w:p w14:paraId="3EE649D4" w14:textId="77777777" w:rsidR="001E2711" w:rsidRPr="00005453" w:rsidRDefault="001E2711" w:rsidP="001E2711">
            <w:pPr>
              <w:rPr>
                <w:sz w:val="16"/>
                <w:szCs w:val="16"/>
                <w:lang w:eastAsia="tr-TR"/>
              </w:rPr>
            </w:pPr>
            <w:r w:rsidRPr="00005453">
              <w:rPr>
                <w:sz w:val="16"/>
                <w:szCs w:val="16"/>
                <w:lang w:eastAsia="tr-TR"/>
              </w:rPr>
              <w:t>Net dönem zararı ile geçmiş yıllar zararı toplamının yedek akçelerle karşılanamayan kısmı ile TMS uyarınca özkaynaklara yansıtılan kayıplar</w:t>
            </w:r>
          </w:p>
        </w:tc>
        <w:tc>
          <w:tcPr>
            <w:tcW w:w="1276" w:type="dxa"/>
            <w:shd w:val="clear" w:color="auto" w:fill="auto"/>
            <w:vAlign w:val="center"/>
            <w:hideMark/>
          </w:tcPr>
          <w:p w14:paraId="23AB2A86" w14:textId="45236885" w:rsidR="001E2711" w:rsidRPr="00005453" w:rsidRDefault="001E2711" w:rsidP="001E2711">
            <w:pPr>
              <w:jc w:val="right"/>
              <w:rPr>
                <w:sz w:val="16"/>
                <w:szCs w:val="16"/>
                <w:lang w:eastAsia="tr-TR"/>
              </w:rPr>
            </w:pPr>
            <w:r w:rsidRPr="00005453">
              <w:rPr>
                <w:color w:val="000000"/>
                <w:sz w:val="16"/>
                <w:szCs w:val="18"/>
              </w:rPr>
              <w:t>5,761,052</w:t>
            </w:r>
          </w:p>
        </w:tc>
        <w:tc>
          <w:tcPr>
            <w:tcW w:w="1417" w:type="dxa"/>
            <w:shd w:val="clear" w:color="auto" w:fill="auto"/>
            <w:vAlign w:val="center"/>
            <w:hideMark/>
          </w:tcPr>
          <w:p w14:paraId="788B2EB8" w14:textId="4660ADBD" w:rsidR="001E2711" w:rsidRPr="00005453" w:rsidRDefault="001E2711" w:rsidP="001E2711">
            <w:pPr>
              <w:jc w:val="right"/>
              <w:rPr>
                <w:sz w:val="16"/>
                <w:szCs w:val="16"/>
                <w:lang w:eastAsia="tr-TR"/>
              </w:rPr>
            </w:pPr>
            <w:r w:rsidRPr="00005453">
              <w:rPr>
                <w:color w:val="000000"/>
                <w:sz w:val="16"/>
                <w:szCs w:val="16"/>
              </w:rPr>
              <w:t>1,284,744</w:t>
            </w:r>
          </w:p>
        </w:tc>
      </w:tr>
      <w:tr w:rsidR="001E2711" w:rsidRPr="00005453" w14:paraId="2A41E6C9" w14:textId="77777777" w:rsidTr="001E2711">
        <w:trPr>
          <w:divId w:val="391392177"/>
          <w:trHeight w:val="165"/>
        </w:trPr>
        <w:tc>
          <w:tcPr>
            <w:tcW w:w="6794" w:type="dxa"/>
            <w:shd w:val="clear" w:color="auto" w:fill="auto"/>
            <w:vAlign w:val="center"/>
            <w:hideMark/>
          </w:tcPr>
          <w:p w14:paraId="3390E913" w14:textId="77777777" w:rsidR="001E2711" w:rsidRPr="00005453" w:rsidRDefault="001E2711" w:rsidP="001E2711">
            <w:pPr>
              <w:rPr>
                <w:sz w:val="16"/>
                <w:szCs w:val="16"/>
                <w:lang w:eastAsia="tr-TR"/>
              </w:rPr>
            </w:pPr>
            <w:r w:rsidRPr="00005453">
              <w:rPr>
                <w:sz w:val="16"/>
                <w:szCs w:val="16"/>
                <w:lang w:eastAsia="tr-TR"/>
              </w:rPr>
              <w:t>Faaliyet kiralaması geliştirme maliyetleri</w:t>
            </w:r>
          </w:p>
        </w:tc>
        <w:tc>
          <w:tcPr>
            <w:tcW w:w="1276" w:type="dxa"/>
            <w:shd w:val="clear" w:color="auto" w:fill="auto"/>
            <w:vAlign w:val="center"/>
            <w:hideMark/>
          </w:tcPr>
          <w:p w14:paraId="594A5112" w14:textId="5A064BC5" w:rsidR="001E2711" w:rsidRPr="00005453" w:rsidRDefault="001E2711" w:rsidP="001E2711">
            <w:pPr>
              <w:jc w:val="right"/>
              <w:rPr>
                <w:sz w:val="16"/>
                <w:szCs w:val="16"/>
                <w:lang w:eastAsia="tr-TR"/>
              </w:rPr>
            </w:pPr>
            <w:r w:rsidRPr="00005453">
              <w:rPr>
                <w:color w:val="000000"/>
                <w:sz w:val="16"/>
                <w:szCs w:val="18"/>
              </w:rPr>
              <w:t>429,260</w:t>
            </w:r>
          </w:p>
        </w:tc>
        <w:tc>
          <w:tcPr>
            <w:tcW w:w="1417" w:type="dxa"/>
            <w:shd w:val="clear" w:color="auto" w:fill="auto"/>
            <w:vAlign w:val="center"/>
            <w:hideMark/>
          </w:tcPr>
          <w:p w14:paraId="13151135" w14:textId="4ABF2B5A" w:rsidR="001E2711" w:rsidRPr="00005453" w:rsidRDefault="001E2711" w:rsidP="001E2711">
            <w:pPr>
              <w:jc w:val="right"/>
              <w:rPr>
                <w:sz w:val="16"/>
                <w:szCs w:val="16"/>
                <w:lang w:eastAsia="tr-TR"/>
              </w:rPr>
            </w:pPr>
            <w:r w:rsidRPr="00005453">
              <w:rPr>
                <w:color w:val="000000"/>
                <w:sz w:val="16"/>
                <w:szCs w:val="16"/>
              </w:rPr>
              <w:t>238,694</w:t>
            </w:r>
          </w:p>
        </w:tc>
      </w:tr>
      <w:tr w:rsidR="001E2711" w:rsidRPr="00005453" w14:paraId="7EDF2C0D" w14:textId="77777777" w:rsidTr="001E2711">
        <w:trPr>
          <w:divId w:val="391392177"/>
          <w:trHeight w:val="165"/>
        </w:trPr>
        <w:tc>
          <w:tcPr>
            <w:tcW w:w="6794" w:type="dxa"/>
            <w:shd w:val="clear" w:color="auto" w:fill="auto"/>
            <w:vAlign w:val="center"/>
            <w:hideMark/>
          </w:tcPr>
          <w:p w14:paraId="3D3F8044" w14:textId="77777777" w:rsidR="001E2711" w:rsidRPr="00005453" w:rsidRDefault="001E2711" w:rsidP="001E2711">
            <w:pPr>
              <w:rPr>
                <w:sz w:val="16"/>
                <w:szCs w:val="16"/>
                <w:lang w:eastAsia="tr-TR"/>
              </w:rPr>
            </w:pPr>
            <w:r w:rsidRPr="00005453">
              <w:rPr>
                <w:sz w:val="16"/>
                <w:szCs w:val="16"/>
                <w:lang w:eastAsia="tr-TR"/>
              </w:rPr>
              <w:t>İlgili ertelenmiş vergi yükümlülüğü ile mahsup edildikten sonra kalan şerefiye</w:t>
            </w:r>
          </w:p>
        </w:tc>
        <w:tc>
          <w:tcPr>
            <w:tcW w:w="1276" w:type="dxa"/>
            <w:shd w:val="clear" w:color="auto" w:fill="auto"/>
            <w:vAlign w:val="center"/>
            <w:hideMark/>
          </w:tcPr>
          <w:p w14:paraId="482882F9" w14:textId="0D01CC6C"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5535753B" w14:textId="4531703A"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45A71A1C" w14:textId="77777777" w:rsidTr="001E2711">
        <w:trPr>
          <w:divId w:val="391392177"/>
          <w:trHeight w:val="165"/>
        </w:trPr>
        <w:tc>
          <w:tcPr>
            <w:tcW w:w="6794" w:type="dxa"/>
            <w:shd w:val="clear" w:color="auto" w:fill="auto"/>
            <w:vAlign w:val="center"/>
            <w:hideMark/>
          </w:tcPr>
          <w:p w14:paraId="52A9E3D6" w14:textId="77777777" w:rsidR="001E2711" w:rsidRPr="00005453" w:rsidRDefault="001E2711" w:rsidP="001E2711">
            <w:pPr>
              <w:rPr>
                <w:sz w:val="16"/>
                <w:szCs w:val="16"/>
                <w:lang w:eastAsia="tr-TR"/>
              </w:rPr>
            </w:pPr>
            <w:r w:rsidRPr="00005453">
              <w:rPr>
                <w:sz w:val="16"/>
                <w:szCs w:val="16"/>
                <w:lang w:eastAsia="tr-TR"/>
              </w:rPr>
              <w:t>İpotek hizmeti sunma hakları hariç olmak üzere ilgili ertelenmiş vergi yükümlülüğü ile mahsup edildikten sonra kalan diğer maddi olmayan duran varlıklar</w:t>
            </w:r>
          </w:p>
        </w:tc>
        <w:tc>
          <w:tcPr>
            <w:tcW w:w="1276" w:type="dxa"/>
            <w:shd w:val="clear" w:color="auto" w:fill="auto"/>
            <w:vAlign w:val="center"/>
            <w:hideMark/>
          </w:tcPr>
          <w:p w14:paraId="497D0620" w14:textId="77777777" w:rsidR="00F51F68" w:rsidRPr="00005453" w:rsidRDefault="00F51F68" w:rsidP="001E2711">
            <w:pPr>
              <w:jc w:val="right"/>
              <w:rPr>
                <w:color w:val="000000"/>
                <w:sz w:val="16"/>
                <w:szCs w:val="18"/>
              </w:rPr>
            </w:pPr>
          </w:p>
          <w:p w14:paraId="5A965EFC" w14:textId="77C7DD2D" w:rsidR="001E2711" w:rsidRPr="00005453" w:rsidRDefault="001E2711" w:rsidP="001E2711">
            <w:pPr>
              <w:jc w:val="right"/>
              <w:rPr>
                <w:sz w:val="16"/>
                <w:szCs w:val="16"/>
                <w:lang w:eastAsia="tr-TR"/>
              </w:rPr>
            </w:pPr>
            <w:r w:rsidRPr="00005453">
              <w:rPr>
                <w:color w:val="000000"/>
                <w:sz w:val="16"/>
                <w:szCs w:val="18"/>
              </w:rPr>
              <w:t>2,215,572</w:t>
            </w:r>
          </w:p>
        </w:tc>
        <w:tc>
          <w:tcPr>
            <w:tcW w:w="1417" w:type="dxa"/>
            <w:shd w:val="clear" w:color="auto" w:fill="auto"/>
            <w:vAlign w:val="center"/>
            <w:hideMark/>
          </w:tcPr>
          <w:p w14:paraId="0B8BB7A9" w14:textId="77777777" w:rsidR="00F51F68" w:rsidRPr="00005453" w:rsidRDefault="00F51F68" w:rsidP="001E2711">
            <w:pPr>
              <w:jc w:val="right"/>
              <w:rPr>
                <w:color w:val="000000"/>
                <w:sz w:val="16"/>
                <w:szCs w:val="16"/>
              </w:rPr>
            </w:pPr>
          </w:p>
          <w:p w14:paraId="55C6C602" w14:textId="5C60E05A" w:rsidR="001E2711" w:rsidRPr="00005453" w:rsidRDefault="001E2711" w:rsidP="001E2711">
            <w:pPr>
              <w:jc w:val="right"/>
              <w:rPr>
                <w:sz w:val="16"/>
                <w:szCs w:val="16"/>
                <w:lang w:eastAsia="tr-TR"/>
              </w:rPr>
            </w:pPr>
            <w:r w:rsidRPr="00005453">
              <w:rPr>
                <w:color w:val="000000"/>
                <w:sz w:val="16"/>
                <w:szCs w:val="16"/>
              </w:rPr>
              <w:t>925,513</w:t>
            </w:r>
          </w:p>
        </w:tc>
      </w:tr>
      <w:tr w:rsidR="001E2711" w:rsidRPr="00005453" w14:paraId="1420B189" w14:textId="77777777" w:rsidTr="001E2711">
        <w:trPr>
          <w:divId w:val="391392177"/>
          <w:trHeight w:val="165"/>
        </w:trPr>
        <w:tc>
          <w:tcPr>
            <w:tcW w:w="6794" w:type="dxa"/>
            <w:shd w:val="clear" w:color="auto" w:fill="auto"/>
            <w:vAlign w:val="center"/>
            <w:hideMark/>
          </w:tcPr>
          <w:p w14:paraId="36A186C7" w14:textId="77777777" w:rsidR="001E2711" w:rsidRPr="00005453" w:rsidRDefault="001E2711" w:rsidP="001E2711">
            <w:pPr>
              <w:rPr>
                <w:sz w:val="16"/>
                <w:szCs w:val="16"/>
                <w:lang w:eastAsia="tr-TR"/>
              </w:rPr>
            </w:pPr>
            <w:r w:rsidRPr="00005453">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auto"/>
            <w:vAlign w:val="center"/>
            <w:hideMark/>
          </w:tcPr>
          <w:p w14:paraId="6DBC5BA1" w14:textId="0416129E"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6E14196F" w14:textId="34928672"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064A779A" w14:textId="77777777" w:rsidTr="001E2711">
        <w:trPr>
          <w:divId w:val="391392177"/>
          <w:trHeight w:val="165"/>
        </w:trPr>
        <w:tc>
          <w:tcPr>
            <w:tcW w:w="6794" w:type="dxa"/>
            <w:shd w:val="clear" w:color="auto" w:fill="auto"/>
            <w:vAlign w:val="center"/>
            <w:hideMark/>
          </w:tcPr>
          <w:p w14:paraId="45479223" w14:textId="77777777" w:rsidR="001E2711" w:rsidRPr="00005453" w:rsidRDefault="001E2711" w:rsidP="001E2711">
            <w:pPr>
              <w:rPr>
                <w:sz w:val="16"/>
                <w:szCs w:val="16"/>
                <w:lang w:eastAsia="tr-TR"/>
              </w:rPr>
            </w:pPr>
            <w:r w:rsidRPr="00005453">
              <w:rPr>
                <w:sz w:val="16"/>
                <w:szCs w:val="16"/>
                <w:lang w:eastAsia="tr-TR"/>
              </w:rPr>
              <w:t>Gerçeğe uygun değeri üzerinden izlenmeyen varlık veya yükümlülüklerin nakit akış riskinden korunma işlemine konu edilmesi halinde ortaya çıkan farklar</w:t>
            </w:r>
          </w:p>
        </w:tc>
        <w:tc>
          <w:tcPr>
            <w:tcW w:w="1276" w:type="dxa"/>
            <w:shd w:val="clear" w:color="auto" w:fill="auto"/>
            <w:vAlign w:val="center"/>
            <w:hideMark/>
          </w:tcPr>
          <w:p w14:paraId="65BE197C" w14:textId="4ADC1536"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48E4A2E8" w14:textId="54A5F591"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0674B53E" w14:textId="77777777" w:rsidTr="001E2711">
        <w:trPr>
          <w:divId w:val="391392177"/>
          <w:trHeight w:val="165"/>
        </w:trPr>
        <w:tc>
          <w:tcPr>
            <w:tcW w:w="6794" w:type="dxa"/>
            <w:shd w:val="clear" w:color="auto" w:fill="auto"/>
            <w:vAlign w:val="center"/>
            <w:hideMark/>
          </w:tcPr>
          <w:p w14:paraId="71DAEFD6" w14:textId="77777777" w:rsidR="001E2711" w:rsidRPr="00005453" w:rsidRDefault="001E2711" w:rsidP="001E2711">
            <w:pPr>
              <w:rPr>
                <w:sz w:val="16"/>
                <w:szCs w:val="16"/>
                <w:lang w:eastAsia="tr-TR"/>
              </w:rPr>
            </w:pPr>
            <w:r w:rsidRPr="00005453">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auto"/>
            <w:vAlign w:val="center"/>
            <w:hideMark/>
          </w:tcPr>
          <w:p w14:paraId="772FDAFA" w14:textId="7D31A8A0"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01F09AF1" w14:textId="640F89FF"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598BA7D6" w14:textId="77777777" w:rsidTr="001E2711">
        <w:trPr>
          <w:divId w:val="391392177"/>
          <w:trHeight w:val="165"/>
        </w:trPr>
        <w:tc>
          <w:tcPr>
            <w:tcW w:w="6794" w:type="dxa"/>
            <w:shd w:val="clear" w:color="auto" w:fill="auto"/>
            <w:vAlign w:val="center"/>
            <w:hideMark/>
          </w:tcPr>
          <w:p w14:paraId="4659CD03" w14:textId="77777777" w:rsidR="001E2711" w:rsidRPr="00005453" w:rsidRDefault="001E2711" w:rsidP="001E2711">
            <w:pPr>
              <w:rPr>
                <w:sz w:val="16"/>
                <w:szCs w:val="16"/>
                <w:lang w:eastAsia="tr-TR"/>
              </w:rPr>
            </w:pPr>
            <w:r w:rsidRPr="00005453">
              <w:rPr>
                <w:sz w:val="16"/>
                <w:szCs w:val="16"/>
                <w:lang w:eastAsia="tr-TR"/>
              </w:rPr>
              <w:t>Menkul kıymetleştirme işlemlerinden kaynaklanan kazançlar</w:t>
            </w:r>
          </w:p>
        </w:tc>
        <w:tc>
          <w:tcPr>
            <w:tcW w:w="1276" w:type="dxa"/>
            <w:shd w:val="clear" w:color="auto" w:fill="auto"/>
            <w:vAlign w:val="center"/>
            <w:hideMark/>
          </w:tcPr>
          <w:p w14:paraId="7E1AD37A" w14:textId="424A1B05"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662FF9B6" w14:textId="53D8D329"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7BAB7EB3" w14:textId="77777777" w:rsidTr="001E2711">
        <w:trPr>
          <w:divId w:val="391392177"/>
          <w:trHeight w:val="165"/>
        </w:trPr>
        <w:tc>
          <w:tcPr>
            <w:tcW w:w="6794" w:type="dxa"/>
            <w:shd w:val="clear" w:color="auto" w:fill="auto"/>
            <w:vAlign w:val="center"/>
            <w:hideMark/>
          </w:tcPr>
          <w:p w14:paraId="5DB2AC16" w14:textId="77777777" w:rsidR="001E2711" w:rsidRPr="00005453" w:rsidRDefault="001E2711" w:rsidP="001E2711">
            <w:pPr>
              <w:rPr>
                <w:sz w:val="16"/>
                <w:szCs w:val="16"/>
                <w:lang w:eastAsia="tr-TR"/>
              </w:rPr>
            </w:pPr>
            <w:r w:rsidRPr="00005453">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auto"/>
            <w:vAlign w:val="center"/>
            <w:hideMark/>
          </w:tcPr>
          <w:p w14:paraId="2A809EB0" w14:textId="5BD0BC5B"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23547F7C" w14:textId="18383570"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50B11336" w14:textId="77777777" w:rsidTr="001E2711">
        <w:trPr>
          <w:divId w:val="391392177"/>
          <w:trHeight w:val="165"/>
        </w:trPr>
        <w:tc>
          <w:tcPr>
            <w:tcW w:w="6794" w:type="dxa"/>
            <w:shd w:val="clear" w:color="auto" w:fill="auto"/>
            <w:vAlign w:val="center"/>
            <w:hideMark/>
          </w:tcPr>
          <w:p w14:paraId="7D28A43E" w14:textId="77777777" w:rsidR="001E2711" w:rsidRPr="00005453" w:rsidRDefault="001E2711" w:rsidP="001E2711">
            <w:pPr>
              <w:rPr>
                <w:sz w:val="16"/>
                <w:szCs w:val="16"/>
                <w:lang w:eastAsia="tr-TR"/>
              </w:rPr>
            </w:pPr>
            <w:r w:rsidRPr="00005453">
              <w:rPr>
                <w:sz w:val="16"/>
                <w:szCs w:val="16"/>
                <w:lang w:eastAsia="tr-TR"/>
              </w:rPr>
              <w:t>Tanımlanmış fayda plan varlıklarının net tutarı</w:t>
            </w:r>
          </w:p>
        </w:tc>
        <w:tc>
          <w:tcPr>
            <w:tcW w:w="1276" w:type="dxa"/>
            <w:shd w:val="clear" w:color="auto" w:fill="auto"/>
            <w:vAlign w:val="center"/>
            <w:hideMark/>
          </w:tcPr>
          <w:p w14:paraId="1B31CB3F" w14:textId="5A2A971A" w:rsidR="001E2711" w:rsidRPr="00005453" w:rsidRDefault="001E2711" w:rsidP="001E2711">
            <w:pPr>
              <w:jc w:val="right"/>
              <w:rPr>
                <w:sz w:val="16"/>
                <w:szCs w:val="16"/>
                <w:lang w:eastAsia="tr-TR"/>
              </w:rPr>
            </w:pPr>
            <w:r w:rsidRPr="00005453">
              <w:rPr>
                <w:color w:val="000000"/>
                <w:sz w:val="16"/>
                <w:szCs w:val="18"/>
              </w:rPr>
              <w:t>553,764</w:t>
            </w:r>
          </w:p>
        </w:tc>
        <w:tc>
          <w:tcPr>
            <w:tcW w:w="1417" w:type="dxa"/>
            <w:shd w:val="clear" w:color="auto" w:fill="auto"/>
            <w:vAlign w:val="center"/>
            <w:hideMark/>
          </w:tcPr>
          <w:p w14:paraId="604EF8F1" w14:textId="6584AE22" w:rsidR="001E2711" w:rsidRPr="00005453" w:rsidRDefault="001E2711" w:rsidP="001E2711">
            <w:pPr>
              <w:jc w:val="right"/>
              <w:rPr>
                <w:sz w:val="16"/>
                <w:szCs w:val="16"/>
                <w:lang w:eastAsia="tr-TR"/>
              </w:rPr>
            </w:pPr>
            <w:r w:rsidRPr="00005453">
              <w:rPr>
                <w:color w:val="000000"/>
                <w:sz w:val="16"/>
                <w:szCs w:val="16"/>
              </w:rPr>
              <w:t>513,980</w:t>
            </w:r>
          </w:p>
        </w:tc>
      </w:tr>
      <w:tr w:rsidR="001E2711" w:rsidRPr="00005453" w14:paraId="0E9E0329" w14:textId="77777777" w:rsidTr="001E2711">
        <w:trPr>
          <w:divId w:val="391392177"/>
          <w:trHeight w:val="165"/>
        </w:trPr>
        <w:tc>
          <w:tcPr>
            <w:tcW w:w="6794" w:type="dxa"/>
            <w:shd w:val="clear" w:color="auto" w:fill="auto"/>
            <w:vAlign w:val="center"/>
            <w:hideMark/>
          </w:tcPr>
          <w:p w14:paraId="343ADA68" w14:textId="77777777" w:rsidR="001E2711" w:rsidRPr="00005453" w:rsidRDefault="001E2711" w:rsidP="001E2711">
            <w:pPr>
              <w:rPr>
                <w:sz w:val="16"/>
                <w:szCs w:val="16"/>
                <w:lang w:eastAsia="tr-TR"/>
              </w:rPr>
            </w:pPr>
            <w:r w:rsidRPr="00005453">
              <w:rPr>
                <w:sz w:val="16"/>
                <w:szCs w:val="16"/>
                <w:lang w:eastAsia="tr-TR"/>
              </w:rPr>
              <w:t>Bankanın kendi çekirdek sermayesine yapmış olduğu doğrudan veya dolaylı yatırımlar</w:t>
            </w:r>
          </w:p>
        </w:tc>
        <w:tc>
          <w:tcPr>
            <w:tcW w:w="1276" w:type="dxa"/>
            <w:shd w:val="clear" w:color="auto" w:fill="auto"/>
            <w:vAlign w:val="center"/>
            <w:hideMark/>
          </w:tcPr>
          <w:p w14:paraId="50D98ED0" w14:textId="541C210D" w:rsidR="001E2711" w:rsidRPr="00005453" w:rsidRDefault="001E2711" w:rsidP="001E2711">
            <w:pPr>
              <w:jc w:val="right"/>
              <w:rPr>
                <w:sz w:val="16"/>
                <w:szCs w:val="16"/>
                <w:lang w:eastAsia="tr-TR"/>
              </w:rPr>
            </w:pPr>
            <w:r w:rsidRPr="00005453">
              <w:rPr>
                <w:color w:val="000000"/>
                <w:sz w:val="16"/>
                <w:szCs w:val="18"/>
              </w:rPr>
              <w:t>4,869</w:t>
            </w:r>
          </w:p>
        </w:tc>
        <w:tc>
          <w:tcPr>
            <w:tcW w:w="1417" w:type="dxa"/>
            <w:shd w:val="clear" w:color="auto" w:fill="auto"/>
            <w:vAlign w:val="center"/>
            <w:hideMark/>
          </w:tcPr>
          <w:p w14:paraId="4548A2E5" w14:textId="176F62BB" w:rsidR="001E2711" w:rsidRPr="00005453" w:rsidRDefault="001E2711" w:rsidP="001E2711">
            <w:pPr>
              <w:jc w:val="right"/>
              <w:rPr>
                <w:sz w:val="16"/>
                <w:szCs w:val="16"/>
                <w:lang w:eastAsia="tr-TR"/>
              </w:rPr>
            </w:pPr>
            <w:r w:rsidRPr="00005453">
              <w:rPr>
                <w:color w:val="000000"/>
                <w:sz w:val="16"/>
                <w:szCs w:val="16"/>
              </w:rPr>
              <w:t>4,869</w:t>
            </w:r>
          </w:p>
        </w:tc>
      </w:tr>
      <w:tr w:rsidR="001E2711" w:rsidRPr="00005453" w14:paraId="62A79A01" w14:textId="77777777" w:rsidTr="001E2711">
        <w:trPr>
          <w:divId w:val="391392177"/>
          <w:trHeight w:val="165"/>
        </w:trPr>
        <w:tc>
          <w:tcPr>
            <w:tcW w:w="6794" w:type="dxa"/>
            <w:shd w:val="clear" w:color="auto" w:fill="auto"/>
            <w:vAlign w:val="center"/>
            <w:hideMark/>
          </w:tcPr>
          <w:p w14:paraId="5EEBF8CF" w14:textId="77777777" w:rsidR="001E2711" w:rsidRPr="00005453" w:rsidRDefault="001E2711" w:rsidP="001E2711">
            <w:pPr>
              <w:rPr>
                <w:sz w:val="16"/>
                <w:szCs w:val="16"/>
                <w:lang w:eastAsia="tr-TR"/>
              </w:rPr>
            </w:pPr>
            <w:r w:rsidRPr="00005453">
              <w:rPr>
                <w:sz w:val="16"/>
                <w:szCs w:val="16"/>
                <w:lang w:eastAsia="tr-TR"/>
              </w:rPr>
              <w:t xml:space="preserve">Kanunun </w:t>
            </w:r>
            <w:proofErr w:type="gramStart"/>
            <w:r w:rsidRPr="00005453">
              <w:rPr>
                <w:sz w:val="16"/>
                <w:szCs w:val="16"/>
                <w:lang w:eastAsia="tr-TR"/>
              </w:rPr>
              <w:t>56 ncı</w:t>
            </w:r>
            <w:proofErr w:type="gramEnd"/>
            <w:r w:rsidRPr="00005453">
              <w:rPr>
                <w:sz w:val="16"/>
                <w:szCs w:val="16"/>
                <w:lang w:eastAsia="tr-TR"/>
              </w:rPr>
              <w:t> maddesinin dördüncü fıkrasına aykırı olarak edinilen paylar</w:t>
            </w:r>
          </w:p>
        </w:tc>
        <w:tc>
          <w:tcPr>
            <w:tcW w:w="1276" w:type="dxa"/>
            <w:shd w:val="clear" w:color="auto" w:fill="auto"/>
            <w:vAlign w:val="center"/>
            <w:hideMark/>
          </w:tcPr>
          <w:p w14:paraId="1DB510E4" w14:textId="0FC1A50A"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4655BFB0" w14:textId="487003AC"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4A603D96" w14:textId="77777777" w:rsidTr="001E2711">
        <w:trPr>
          <w:divId w:val="391392177"/>
          <w:trHeight w:val="165"/>
        </w:trPr>
        <w:tc>
          <w:tcPr>
            <w:tcW w:w="6794" w:type="dxa"/>
            <w:shd w:val="clear" w:color="auto" w:fill="auto"/>
            <w:vAlign w:val="center"/>
            <w:hideMark/>
          </w:tcPr>
          <w:p w14:paraId="52CBF4C0" w14:textId="77777777" w:rsidR="001E2711" w:rsidRPr="00005453" w:rsidRDefault="001E2711" w:rsidP="001E2711">
            <w:pPr>
              <w:rPr>
                <w:sz w:val="16"/>
                <w:szCs w:val="16"/>
                <w:lang w:eastAsia="tr-TR"/>
              </w:rPr>
            </w:pPr>
            <w:r w:rsidRPr="0000545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7579422A" w14:textId="7BEC14BD"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47EC2BFC" w14:textId="0401F1B5"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011EE66E" w14:textId="77777777" w:rsidTr="001E2711">
        <w:trPr>
          <w:divId w:val="391392177"/>
          <w:trHeight w:val="165"/>
        </w:trPr>
        <w:tc>
          <w:tcPr>
            <w:tcW w:w="6794" w:type="dxa"/>
            <w:shd w:val="clear" w:color="auto" w:fill="auto"/>
            <w:vAlign w:val="center"/>
            <w:hideMark/>
          </w:tcPr>
          <w:p w14:paraId="69277191" w14:textId="77777777" w:rsidR="001E2711" w:rsidRPr="00005453" w:rsidRDefault="001E2711" w:rsidP="001E2711">
            <w:pPr>
              <w:rPr>
                <w:sz w:val="16"/>
                <w:szCs w:val="16"/>
                <w:lang w:eastAsia="tr-TR"/>
              </w:rPr>
            </w:pPr>
            <w:r w:rsidRPr="00005453">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shd w:val="clear" w:color="auto" w:fill="auto"/>
            <w:vAlign w:val="center"/>
            <w:hideMark/>
          </w:tcPr>
          <w:p w14:paraId="293CABDB" w14:textId="1B185517"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1799C4C8" w14:textId="43E299A9"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6A76DF99" w14:textId="77777777" w:rsidTr="001E2711">
        <w:trPr>
          <w:divId w:val="391392177"/>
          <w:trHeight w:val="165"/>
        </w:trPr>
        <w:tc>
          <w:tcPr>
            <w:tcW w:w="6794" w:type="dxa"/>
            <w:shd w:val="clear" w:color="auto" w:fill="auto"/>
            <w:vAlign w:val="center"/>
            <w:hideMark/>
          </w:tcPr>
          <w:p w14:paraId="197ABF2A" w14:textId="77777777" w:rsidR="001E2711" w:rsidRPr="00005453" w:rsidRDefault="001E2711" w:rsidP="001E2711">
            <w:pPr>
              <w:rPr>
                <w:sz w:val="16"/>
                <w:szCs w:val="16"/>
                <w:lang w:eastAsia="tr-TR"/>
              </w:rPr>
            </w:pPr>
            <w:r w:rsidRPr="00005453">
              <w:rPr>
                <w:sz w:val="16"/>
                <w:szCs w:val="16"/>
                <w:lang w:eastAsia="tr-TR"/>
              </w:rPr>
              <w:t>İpotek hizmeti sunma haklarının çekirdek sermayenin %10’nunu aşan kısmı</w:t>
            </w:r>
          </w:p>
        </w:tc>
        <w:tc>
          <w:tcPr>
            <w:tcW w:w="1276" w:type="dxa"/>
            <w:shd w:val="clear" w:color="auto" w:fill="auto"/>
            <w:vAlign w:val="center"/>
            <w:hideMark/>
          </w:tcPr>
          <w:p w14:paraId="15046064" w14:textId="00E7A293"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63F288CC" w14:textId="60001ACC"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62D9F6EF" w14:textId="77777777" w:rsidTr="001E2711">
        <w:trPr>
          <w:divId w:val="391392177"/>
          <w:trHeight w:val="165"/>
        </w:trPr>
        <w:tc>
          <w:tcPr>
            <w:tcW w:w="6794" w:type="dxa"/>
            <w:shd w:val="clear" w:color="auto" w:fill="auto"/>
            <w:vAlign w:val="center"/>
            <w:hideMark/>
          </w:tcPr>
          <w:p w14:paraId="6D6CDEE0" w14:textId="77777777" w:rsidR="001E2711" w:rsidRPr="00005453" w:rsidRDefault="001E2711" w:rsidP="001E2711">
            <w:pPr>
              <w:rPr>
                <w:sz w:val="16"/>
                <w:szCs w:val="16"/>
                <w:lang w:eastAsia="tr-TR"/>
              </w:rPr>
            </w:pPr>
            <w:r w:rsidRPr="00005453">
              <w:rPr>
                <w:sz w:val="16"/>
                <w:szCs w:val="16"/>
                <w:lang w:eastAsia="tr-TR"/>
              </w:rPr>
              <w:t>Geçici farklara dayanan ertelenmiş vergi varlıklarının çekirdek sermayenin %10’nunu aşan kısmı</w:t>
            </w:r>
          </w:p>
        </w:tc>
        <w:tc>
          <w:tcPr>
            <w:tcW w:w="1276" w:type="dxa"/>
            <w:shd w:val="clear" w:color="auto" w:fill="auto"/>
            <w:vAlign w:val="center"/>
            <w:hideMark/>
          </w:tcPr>
          <w:p w14:paraId="04AF1F9B" w14:textId="36F9D53A"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4D5C23E5" w14:textId="4752EB9A"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3C71C72E" w14:textId="77777777" w:rsidTr="001E2711">
        <w:trPr>
          <w:divId w:val="391392177"/>
          <w:trHeight w:val="165"/>
        </w:trPr>
        <w:tc>
          <w:tcPr>
            <w:tcW w:w="6794" w:type="dxa"/>
            <w:shd w:val="clear" w:color="auto" w:fill="auto"/>
            <w:vAlign w:val="center"/>
            <w:hideMark/>
          </w:tcPr>
          <w:p w14:paraId="5EE31A7F" w14:textId="77777777" w:rsidR="001E2711" w:rsidRPr="00005453" w:rsidRDefault="001E2711" w:rsidP="001E2711">
            <w:pPr>
              <w:rPr>
                <w:sz w:val="16"/>
                <w:szCs w:val="16"/>
                <w:lang w:eastAsia="tr-TR"/>
              </w:rPr>
            </w:pPr>
            <w:r w:rsidRPr="00005453">
              <w:rPr>
                <w:sz w:val="16"/>
                <w:szCs w:val="16"/>
                <w:lang w:eastAsia="tr-TR"/>
              </w:rPr>
              <w:t xml:space="preserve">Bankaların Özkaynaklarına İlişkin Yönetmeliğin Geçici </w:t>
            </w:r>
            <w:proofErr w:type="gramStart"/>
            <w:r w:rsidRPr="00005453">
              <w:rPr>
                <w:sz w:val="16"/>
                <w:szCs w:val="16"/>
                <w:lang w:eastAsia="tr-TR"/>
              </w:rPr>
              <w:t>2 nci</w:t>
            </w:r>
            <w:proofErr w:type="gramEnd"/>
            <w:r w:rsidRPr="00005453">
              <w:rPr>
                <w:sz w:val="16"/>
                <w:szCs w:val="16"/>
                <w:lang w:eastAsia="tr-TR"/>
              </w:rPr>
              <w:t xml:space="preserve"> maddesinin ikinci fıkrası uyarınca çekirdek sermayenin %15’ini aşan tutarlar </w:t>
            </w:r>
          </w:p>
        </w:tc>
        <w:tc>
          <w:tcPr>
            <w:tcW w:w="1276" w:type="dxa"/>
            <w:shd w:val="clear" w:color="auto" w:fill="auto"/>
            <w:vAlign w:val="center"/>
            <w:hideMark/>
          </w:tcPr>
          <w:p w14:paraId="497C54A6" w14:textId="2D0D4E20"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41C84E54" w14:textId="58A390D4"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09CF1D0E" w14:textId="77777777" w:rsidTr="001E2711">
        <w:trPr>
          <w:divId w:val="391392177"/>
          <w:trHeight w:val="165"/>
        </w:trPr>
        <w:tc>
          <w:tcPr>
            <w:tcW w:w="6794" w:type="dxa"/>
            <w:shd w:val="clear" w:color="auto" w:fill="auto"/>
            <w:vAlign w:val="center"/>
            <w:hideMark/>
          </w:tcPr>
          <w:p w14:paraId="73F3014E" w14:textId="77777777" w:rsidR="001E2711" w:rsidRPr="00005453" w:rsidRDefault="001E2711" w:rsidP="001E2711">
            <w:pPr>
              <w:rPr>
                <w:sz w:val="16"/>
                <w:szCs w:val="16"/>
                <w:lang w:eastAsia="tr-TR"/>
              </w:rPr>
            </w:pPr>
            <w:r w:rsidRPr="00005453">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auto"/>
            <w:vAlign w:val="center"/>
            <w:hideMark/>
          </w:tcPr>
          <w:p w14:paraId="4C86061F" w14:textId="733BD3D5"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4CA5A59C" w14:textId="6605BD09"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77962B6E" w14:textId="77777777" w:rsidTr="001E2711">
        <w:trPr>
          <w:divId w:val="391392177"/>
          <w:trHeight w:val="165"/>
        </w:trPr>
        <w:tc>
          <w:tcPr>
            <w:tcW w:w="6794" w:type="dxa"/>
            <w:shd w:val="clear" w:color="auto" w:fill="auto"/>
            <w:vAlign w:val="center"/>
            <w:hideMark/>
          </w:tcPr>
          <w:p w14:paraId="699A4B38" w14:textId="77777777" w:rsidR="001E2711" w:rsidRPr="00005453" w:rsidRDefault="001E2711" w:rsidP="001E2711">
            <w:pPr>
              <w:rPr>
                <w:sz w:val="16"/>
                <w:szCs w:val="16"/>
                <w:lang w:eastAsia="tr-TR"/>
              </w:rPr>
            </w:pPr>
            <w:r w:rsidRPr="00005453">
              <w:rPr>
                <w:sz w:val="16"/>
                <w:szCs w:val="16"/>
                <w:lang w:eastAsia="tr-TR"/>
              </w:rPr>
              <w:t>İpotek hizmeti sunma haklarından kaynaklanan aşım tutarı</w:t>
            </w:r>
          </w:p>
        </w:tc>
        <w:tc>
          <w:tcPr>
            <w:tcW w:w="1276" w:type="dxa"/>
            <w:shd w:val="clear" w:color="auto" w:fill="auto"/>
            <w:vAlign w:val="center"/>
            <w:hideMark/>
          </w:tcPr>
          <w:p w14:paraId="5F4498D4" w14:textId="32E8DFFC"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65A7F606" w14:textId="681D4A14"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73D3D4B8" w14:textId="77777777" w:rsidTr="001E2711">
        <w:trPr>
          <w:divId w:val="391392177"/>
          <w:trHeight w:val="165"/>
        </w:trPr>
        <w:tc>
          <w:tcPr>
            <w:tcW w:w="6794" w:type="dxa"/>
            <w:shd w:val="clear" w:color="auto" w:fill="auto"/>
            <w:vAlign w:val="center"/>
            <w:hideMark/>
          </w:tcPr>
          <w:p w14:paraId="570D0056" w14:textId="77777777" w:rsidR="001E2711" w:rsidRPr="00005453" w:rsidRDefault="001E2711" w:rsidP="001E2711">
            <w:pPr>
              <w:rPr>
                <w:sz w:val="16"/>
                <w:szCs w:val="16"/>
                <w:lang w:eastAsia="tr-TR"/>
              </w:rPr>
            </w:pPr>
            <w:r w:rsidRPr="00005453">
              <w:rPr>
                <w:sz w:val="16"/>
                <w:szCs w:val="16"/>
                <w:lang w:eastAsia="tr-TR"/>
              </w:rPr>
              <w:t xml:space="preserve">Geçici farklara dayanan ertelenmiş vergi varlıklarından kaynaklanan aşım tutarı </w:t>
            </w:r>
          </w:p>
        </w:tc>
        <w:tc>
          <w:tcPr>
            <w:tcW w:w="1276" w:type="dxa"/>
            <w:shd w:val="clear" w:color="auto" w:fill="auto"/>
            <w:vAlign w:val="center"/>
            <w:hideMark/>
          </w:tcPr>
          <w:p w14:paraId="28D2DA4E" w14:textId="47075EF9"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3C0DADDD" w14:textId="623BE35A"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381B1F77" w14:textId="77777777" w:rsidTr="001E2711">
        <w:trPr>
          <w:divId w:val="391392177"/>
          <w:trHeight w:val="165"/>
        </w:trPr>
        <w:tc>
          <w:tcPr>
            <w:tcW w:w="6794" w:type="dxa"/>
            <w:shd w:val="clear" w:color="auto" w:fill="auto"/>
            <w:vAlign w:val="center"/>
            <w:hideMark/>
          </w:tcPr>
          <w:p w14:paraId="20948417" w14:textId="77777777" w:rsidR="001E2711" w:rsidRPr="00005453" w:rsidRDefault="001E2711" w:rsidP="001E2711">
            <w:pPr>
              <w:rPr>
                <w:sz w:val="16"/>
                <w:szCs w:val="16"/>
                <w:lang w:eastAsia="tr-TR"/>
              </w:rPr>
            </w:pPr>
            <w:r w:rsidRPr="00005453">
              <w:rPr>
                <w:sz w:val="16"/>
                <w:szCs w:val="16"/>
                <w:lang w:eastAsia="tr-TR"/>
              </w:rPr>
              <w:t xml:space="preserve">Kurulca belirlenecek diğer kalemler </w:t>
            </w:r>
          </w:p>
        </w:tc>
        <w:tc>
          <w:tcPr>
            <w:tcW w:w="1276" w:type="dxa"/>
            <w:shd w:val="clear" w:color="auto" w:fill="auto"/>
            <w:vAlign w:val="center"/>
            <w:hideMark/>
          </w:tcPr>
          <w:p w14:paraId="7C9C39E6" w14:textId="4488B31E"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10661AB4" w14:textId="15D59B9C"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27AA8EE5" w14:textId="77777777" w:rsidTr="001E2711">
        <w:trPr>
          <w:divId w:val="391392177"/>
          <w:trHeight w:val="165"/>
        </w:trPr>
        <w:tc>
          <w:tcPr>
            <w:tcW w:w="6794" w:type="dxa"/>
            <w:shd w:val="clear" w:color="auto" w:fill="auto"/>
            <w:vAlign w:val="center"/>
            <w:hideMark/>
          </w:tcPr>
          <w:p w14:paraId="0392FB4A" w14:textId="77777777" w:rsidR="001E2711" w:rsidRPr="00005453" w:rsidRDefault="001E2711" w:rsidP="001E2711">
            <w:pPr>
              <w:rPr>
                <w:sz w:val="16"/>
                <w:szCs w:val="16"/>
                <w:lang w:eastAsia="tr-TR"/>
              </w:rPr>
            </w:pPr>
            <w:r w:rsidRPr="00005453">
              <w:rPr>
                <w:sz w:val="16"/>
                <w:szCs w:val="16"/>
                <w:lang w:eastAsia="tr-TR"/>
              </w:rPr>
              <w:t>Yeterli ilave ana sermaye veya katkı sermaye bulunmaması halinde çekirdek sermayeden indirim yapılacak tutar</w:t>
            </w:r>
          </w:p>
        </w:tc>
        <w:tc>
          <w:tcPr>
            <w:tcW w:w="1276" w:type="dxa"/>
            <w:shd w:val="clear" w:color="auto" w:fill="auto"/>
            <w:vAlign w:val="center"/>
            <w:hideMark/>
          </w:tcPr>
          <w:p w14:paraId="38BEFE4E" w14:textId="4EC7B2DA" w:rsidR="001E2711" w:rsidRPr="00005453" w:rsidRDefault="001E2711" w:rsidP="001E2711">
            <w:pPr>
              <w:jc w:val="right"/>
              <w:rPr>
                <w:sz w:val="16"/>
                <w:szCs w:val="16"/>
                <w:lang w:eastAsia="tr-TR"/>
              </w:rPr>
            </w:pPr>
            <w:r w:rsidRPr="00005453">
              <w:rPr>
                <w:color w:val="000000"/>
                <w:sz w:val="16"/>
                <w:szCs w:val="18"/>
              </w:rPr>
              <w:t>-</w:t>
            </w:r>
          </w:p>
        </w:tc>
        <w:tc>
          <w:tcPr>
            <w:tcW w:w="1417" w:type="dxa"/>
            <w:shd w:val="clear" w:color="auto" w:fill="auto"/>
            <w:vAlign w:val="center"/>
            <w:hideMark/>
          </w:tcPr>
          <w:p w14:paraId="122EC790" w14:textId="51D51D40"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7939AC6C" w14:textId="77777777" w:rsidTr="001E2711">
        <w:trPr>
          <w:divId w:val="391392177"/>
          <w:trHeight w:val="241"/>
        </w:trPr>
        <w:tc>
          <w:tcPr>
            <w:tcW w:w="6794" w:type="dxa"/>
            <w:shd w:val="clear" w:color="auto" w:fill="auto"/>
            <w:vAlign w:val="center"/>
            <w:hideMark/>
          </w:tcPr>
          <w:p w14:paraId="5538A7C7" w14:textId="77777777" w:rsidR="001E2711" w:rsidRPr="00005453" w:rsidRDefault="001E2711" w:rsidP="001E2711">
            <w:pPr>
              <w:rPr>
                <w:b/>
                <w:bCs/>
                <w:sz w:val="16"/>
                <w:szCs w:val="16"/>
                <w:lang w:eastAsia="tr-TR"/>
              </w:rPr>
            </w:pPr>
            <w:r w:rsidRPr="00005453">
              <w:rPr>
                <w:b/>
                <w:bCs/>
                <w:sz w:val="16"/>
                <w:szCs w:val="16"/>
                <w:lang w:eastAsia="tr-TR"/>
              </w:rPr>
              <w:t>Çekirdek Sermayeden Yapılan İndirimler Toplamı</w:t>
            </w:r>
          </w:p>
        </w:tc>
        <w:tc>
          <w:tcPr>
            <w:tcW w:w="1276" w:type="dxa"/>
            <w:shd w:val="clear" w:color="auto" w:fill="auto"/>
            <w:vAlign w:val="center"/>
            <w:hideMark/>
          </w:tcPr>
          <w:p w14:paraId="79896D28" w14:textId="54F46DA5" w:rsidR="001E2711" w:rsidRPr="00005453" w:rsidRDefault="001E2711" w:rsidP="001E2711">
            <w:pPr>
              <w:jc w:val="right"/>
              <w:rPr>
                <w:b/>
                <w:bCs/>
                <w:sz w:val="16"/>
                <w:szCs w:val="16"/>
                <w:lang w:eastAsia="tr-TR"/>
              </w:rPr>
            </w:pPr>
            <w:r w:rsidRPr="00005453">
              <w:rPr>
                <w:b/>
                <w:bCs/>
                <w:color w:val="000000"/>
                <w:sz w:val="16"/>
                <w:szCs w:val="18"/>
              </w:rPr>
              <w:t>8,964,517</w:t>
            </w:r>
          </w:p>
        </w:tc>
        <w:tc>
          <w:tcPr>
            <w:tcW w:w="1417" w:type="dxa"/>
            <w:shd w:val="clear" w:color="auto" w:fill="auto"/>
            <w:vAlign w:val="center"/>
            <w:hideMark/>
          </w:tcPr>
          <w:p w14:paraId="282D9F01" w14:textId="7F10A92A" w:rsidR="001E2711" w:rsidRPr="00005453" w:rsidRDefault="001E2711" w:rsidP="001E2711">
            <w:pPr>
              <w:jc w:val="right"/>
              <w:rPr>
                <w:b/>
                <w:sz w:val="16"/>
                <w:szCs w:val="16"/>
                <w:lang w:eastAsia="tr-TR"/>
              </w:rPr>
            </w:pPr>
            <w:r w:rsidRPr="00005453">
              <w:rPr>
                <w:b/>
                <w:bCs/>
                <w:color w:val="000000"/>
                <w:sz w:val="16"/>
                <w:szCs w:val="16"/>
              </w:rPr>
              <w:t>2,967,800</w:t>
            </w:r>
          </w:p>
        </w:tc>
      </w:tr>
      <w:tr w:rsidR="001E2711" w:rsidRPr="00005453" w14:paraId="3413ABC2" w14:textId="77777777" w:rsidTr="001E2711">
        <w:trPr>
          <w:divId w:val="391392177"/>
          <w:trHeight w:val="241"/>
        </w:trPr>
        <w:tc>
          <w:tcPr>
            <w:tcW w:w="6794" w:type="dxa"/>
            <w:shd w:val="clear" w:color="auto" w:fill="auto"/>
            <w:vAlign w:val="center"/>
            <w:hideMark/>
          </w:tcPr>
          <w:p w14:paraId="34989AE1" w14:textId="77777777" w:rsidR="001E2711" w:rsidRPr="00005453" w:rsidRDefault="001E2711" w:rsidP="001E2711">
            <w:pPr>
              <w:rPr>
                <w:b/>
                <w:bCs/>
                <w:sz w:val="16"/>
                <w:szCs w:val="16"/>
                <w:lang w:eastAsia="tr-TR"/>
              </w:rPr>
            </w:pPr>
            <w:r w:rsidRPr="00005453">
              <w:rPr>
                <w:b/>
                <w:bCs/>
                <w:sz w:val="16"/>
                <w:szCs w:val="16"/>
                <w:lang w:eastAsia="tr-TR"/>
              </w:rPr>
              <w:t>Çekirdek Sermaye Toplamı</w:t>
            </w:r>
          </w:p>
        </w:tc>
        <w:tc>
          <w:tcPr>
            <w:tcW w:w="1276" w:type="dxa"/>
            <w:shd w:val="clear" w:color="auto" w:fill="auto"/>
            <w:vAlign w:val="center"/>
            <w:hideMark/>
          </w:tcPr>
          <w:p w14:paraId="5D7A7617" w14:textId="7A2EA669" w:rsidR="001E2711" w:rsidRPr="00005453" w:rsidRDefault="001E2711" w:rsidP="001E2711">
            <w:pPr>
              <w:jc w:val="right"/>
              <w:rPr>
                <w:b/>
                <w:bCs/>
                <w:sz w:val="16"/>
                <w:szCs w:val="16"/>
                <w:lang w:eastAsia="tr-TR"/>
              </w:rPr>
            </w:pPr>
            <w:r w:rsidRPr="00005453">
              <w:rPr>
                <w:b/>
                <w:bCs/>
                <w:color w:val="000000"/>
                <w:sz w:val="16"/>
                <w:szCs w:val="18"/>
              </w:rPr>
              <w:t>79,627,06</w:t>
            </w:r>
            <w:r w:rsidR="004D3B16" w:rsidRPr="00005453">
              <w:rPr>
                <w:b/>
                <w:bCs/>
                <w:color w:val="000000"/>
                <w:sz w:val="16"/>
                <w:szCs w:val="18"/>
              </w:rPr>
              <w:t>5</w:t>
            </w:r>
          </w:p>
        </w:tc>
        <w:tc>
          <w:tcPr>
            <w:tcW w:w="1417" w:type="dxa"/>
            <w:shd w:val="clear" w:color="auto" w:fill="auto"/>
            <w:vAlign w:val="center"/>
            <w:hideMark/>
          </w:tcPr>
          <w:p w14:paraId="3E112DB7" w14:textId="757B77DA" w:rsidR="001E2711" w:rsidRPr="00005453" w:rsidRDefault="001E2711" w:rsidP="001E2711">
            <w:pPr>
              <w:jc w:val="right"/>
              <w:rPr>
                <w:b/>
                <w:sz w:val="16"/>
                <w:szCs w:val="16"/>
                <w:lang w:eastAsia="tr-TR"/>
              </w:rPr>
            </w:pPr>
            <w:r w:rsidRPr="00005453">
              <w:rPr>
                <w:b/>
                <w:bCs/>
                <w:color w:val="000000"/>
                <w:sz w:val="16"/>
                <w:szCs w:val="16"/>
              </w:rPr>
              <w:t>46,965,552</w:t>
            </w:r>
          </w:p>
        </w:tc>
      </w:tr>
    </w:tbl>
    <w:p w14:paraId="0C563787" w14:textId="525D6127" w:rsidR="00673BB7" w:rsidRPr="00005453" w:rsidRDefault="00673BB7" w:rsidP="005571E3">
      <w:pPr>
        <w:tabs>
          <w:tab w:val="left" w:pos="3229"/>
        </w:tabs>
        <w:autoSpaceDE w:val="0"/>
        <w:autoSpaceDN w:val="0"/>
        <w:adjustRightInd w:val="0"/>
        <w:rPr>
          <w:lang w:val="en-GB" w:eastAsia="en-GB"/>
        </w:rPr>
      </w:pPr>
    </w:p>
    <w:p w14:paraId="2CF41504" w14:textId="4467AFA3" w:rsidR="00A100AE" w:rsidRPr="00005453" w:rsidRDefault="00A100AE" w:rsidP="005571E3">
      <w:pPr>
        <w:tabs>
          <w:tab w:val="left" w:pos="3229"/>
        </w:tabs>
        <w:autoSpaceDE w:val="0"/>
        <w:autoSpaceDN w:val="0"/>
        <w:adjustRightInd w:val="0"/>
        <w:rPr>
          <w:b/>
          <w:color w:val="000000"/>
        </w:rPr>
      </w:pPr>
    </w:p>
    <w:p w14:paraId="264BDBD6" w14:textId="58154E3F" w:rsidR="00673BB7" w:rsidRPr="00005453" w:rsidRDefault="00673BB7" w:rsidP="005571E3">
      <w:pPr>
        <w:tabs>
          <w:tab w:val="left" w:pos="3229"/>
        </w:tabs>
        <w:autoSpaceDE w:val="0"/>
        <w:autoSpaceDN w:val="0"/>
        <w:adjustRightInd w:val="0"/>
        <w:rPr>
          <w:lang w:val="en-GB" w:eastAsia="en-GB"/>
        </w:rPr>
      </w:pPr>
    </w:p>
    <w:p w14:paraId="0C845A0B" w14:textId="00F9DC2A" w:rsidR="00F20AF5" w:rsidRPr="00005453" w:rsidRDefault="00F20AF5">
      <w:pPr>
        <w:rPr>
          <w:b/>
          <w:color w:val="000000"/>
        </w:rPr>
      </w:pPr>
      <w:r w:rsidRPr="00005453">
        <w:rPr>
          <w:b/>
          <w:color w:val="000000"/>
        </w:rPr>
        <w:br w:type="page"/>
      </w:r>
    </w:p>
    <w:tbl>
      <w:tblPr>
        <w:tblW w:w="94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701"/>
        <w:gridCol w:w="1559"/>
      </w:tblGrid>
      <w:tr w:rsidR="00A42306" w:rsidRPr="00005453" w14:paraId="7587B42B" w14:textId="77777777" w:rsidTr="000E5F12">
        <w:trPr>
          <w:divId w:val="710110297"/>
          <w:trHeight w:val="266"/>
        </w:trPr>
        <w:tc>
          <w:tcPr>
            <w:tcW w:w="6227" w:type="dxa"/>
            <w:shd w:val="clear" w:color="auto" w:fill="auto"/>
            <w:vAlign w:val="center"/>
            <w:hideMark/>
          </w:tcPr>
          <w:p w14:paraId="2797034D" w14:textId="7C48B63E" w:rsidR="00A42306" w:rsidRPr="00005453" w:rsidRDefault="00A42306" w:rsidP="00A42306">
            <w:pPr>
              <w:jc w:val="center"/>
              <w:rPr>
                <w:b/>
                <w:bCs/>
                <w:sz w:val="16"/>
                <w:szCs w:val="16"/>
                <w:lang w:eastAsia="tr-TR"/>
              </w:rPr>
            </w:pPr>
            <w:r w:rsidRPr="00005453">
              <w:rPr>
                <w:b/>
                <w:bCs/>
                <w:sz w:val="16"/>
                <w:szCs w:val="16"/>
                <w:lang w:eastAsia="tr-TR"/>
              </w:rPr>
              <w:lastRenderedPageBreak/>
              <w:t>İLAVE ANA SERMAYE</w:t>
            </w:r>
          </w:p>
        </w:tc>
        <w:tc>
          <w:tcPr>
            <w:tcW w:w="1701" w:type="dxa"/>
            <w:shd w:val="clear" w:color="auto" w:fill="auto"/>
            <w:vAlign w:val="bottom"/>
            <w:hideMark/>
          </w:tcPr>
          <w:p w14:paraId="67665E0A" w14:textId="77777777" w:rsidR="00A42306" w:rsidRPr="00005453" w:rsidRDefault="00A42306" w:rsidP="00A42306">
            <w:pPr>
              <w:jc w:val="center"/>
              <w:rPr>
                <w:b/>
                <w:bCs/>
                <w:sz w:val="16"/>
                <w:szCs w:val="16"/>
                <w:lang w:eastAsia="tr-TR"/>
              </w:rPr>
            </w:pPr>
            <w:r w:rsidRPr="00005453">
              <w:rPr>
                <w:b/>
                <w:bCs/>
                <w:sz w:val="16"/>
                <w:szCs w:val="16"/>
                <w:lang w:eastAsia="tr-TR"/>
              </w:rPr>
              <w:t> </w:t>
            </w:r>
          </w:p>
        </w:tc>
        <w:tc>
          <w:tcPr>
            <w:tcW w:w="1559" w:type="dxa"/>
            <w:shd w:val="clear" w:color="auto" w:fill="auto"/>
            <w:vAlign w:val="bottom"/>
            <w:hideMark/>
          </w:tcPr>
          <w:p w14:paraId="5D3280E5" w14:textId="77777777" w:rsidR="00A42306" w:rsidRPr="00005453" w:rsidRDefault="00A42306" w:rsidP="00A42306">
            <w:pPr>
              <w:jc w:val="center"/>
              <w:rPr>
                <w:b/>
                <w:bCs/>
                <w:sz w:val="16"/>
                <w:szCs w:val="16"/>
                <w:lang w:eastAsia="tr-TR"/>
              </w:rPr>
            </w:pPr>
            <w:r w:rsidRPr="00005453">
              <w:rPr>
                <w:b/>
                <w:bCs/>
                <w:sz w:val="16"/>
                <w:szCs w:val="16"/>
                <w:lang w:eastAsia="tr-TR"/>
              </w:rPr>
              <w:t> </w:t>
            </w:r>
          </w:p>
        </w:tc>
      </w:tr>
      <w:tr w:rsidR="001E2711" w:rsidRPr="00005453" w14:paraId="7790AB1D" w14:textId="77777777" w:rsidTr="001E2711">
        <w:trPr>
          <w:divId w:val="710110297"/>
          <w:trHeight w:val="180"/>
        </w:trPr>
        <w:tc>
          <w:tcPr>
            <w:tcW w:w="6227" w:type="dxa"/>
            <w:shd w:val="clear" w:color="auto" w:fill="auto"/>
            <w:vAlign w:val="center"/>
            <w:hideMark/>
          </w:tcPr>
          <w:p w14:paraId="7217D3CC" w14:textId="77777777" w:rsidR="001E2711" w:rsidRPr="00005453" w:rsidRDefault="001E2711" w:rsidP="001E2711">
            <w:pPr>
              <w:rPr>
                <w:sz w:val="16"/>
                <w:szCs w:val="16"/>
                <w:lang w:eastAsia="tr-TR"/>
              </w:rPr>
            </w:pPr>
            <w:r w:rsidRPr="00005453">
              <w:rPr>
                <w:sz w:val="16"/>
                <w:szCs w:val="16"/>
                <w:lang w:eastAsia="tr-TR"/>
              </w:rPr>
              <w:t>Çekirdek sermayeye dahil edilmeyen imtiyazlı paylara tekabül eden sermaye ve bunlara ilişkin ihraç primleri</w:t>
            </w:r>
          </w:p>
        </w:tc>
        <w:tc>
          <w:tcPr>
            <w:tcW w:w="1701" w:type="dxa"/>
            <w:shd w:val="clear" w:color="auto" w:fill="auto"/>
            <w:vAlign w:val="center"/>
            <w:hideMark/>
          </w:tcPr>
          <w:p w14:paraId="172534D2" w14:textId="54FCFF35"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09680B93" w14:textId="64A33DA6"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11664497" w14:textId="77777777" w:rsidTr="001E2711">
        <w:trPr>
          <w:divId w:val="710110297"/>
          <w:trHeight w:val="180"/>
        </w:trPr>
        <w:tc>
          <w:tcPr>
            <w:tcW w:w="6227" w:type="dxa"/>
            <w:shd w:val="clear" w:color="auto" w:fill="auto"/>
            <w:vAlign w:val="center"/>
            <w:hideMark/>
          </w:tcPr>
          <w:p w14:paraId="040177E4" w14:textId="77777777" w:rsidR="001E2711" w:rsidRPr="00005453" w:rsidRDefault="001E2711" w:rsidP="001E2711">
            <w:pPr>
              <w:rPr>
                <w:sz w:val="16"/>
                <w:szCs w:val="16"/>
                <w:lang w:eastAsia="tr-TR"/>
              </w:rPr>
            </w:pPr>
            <w:r w:rsidRPr="00005453">
              <w:rPr>
                <w:sz w:val="16"/>
                <w:szCs w:val="16"/>
                <w:lang w:eastAsia="tr-TR"/>
              </w:rPr>
              <w:t>Kurumca uygun görülen borçlanma araçları ve bunlara ilişkin ihraç primleri</w:t>
            </w:r>
          </w:p>
        </w:tc>
        <w:tc>
          <w:tcPr>
            <w:tcW w:w="1701" w:type="dxa"/>
            <w:shd w:val="clear" w:color="auto" w:fill="auto"/>
            <w:vAlign w:val="center"/>
            <w:hideMark/>
          </w:tcPr>
          <w:p w14:paraId="47611F26" w14:textId="708CD67E" w:rsidR="001E2711" w:rsidRPr="00005453" w:rsidRDefault="001E2711" w:rsidP="001E2711">
            <w:pPr>
              <w:jc w:val="right"/>
              <w:rPr>
                <w:sz w:val="16"/>
                <w:szCs w:val="16"/>
                <w:lang w:eastAsia="tr-TR"/>
              </w:rPr>
            </w:pPr>
            <w:r w:rsidRPr="00005453">
              <w:rPr>
                <w:color w:val="000000"/>
                <w:sz w:val="16"/>
                <w:szCs w:val="18"/>
              </w:rPr>
              <w:t>1,763,55</w:t>
            </w:r>
            <w:r w:rsidR="004D3B16" w:rsidRPr="00005453">
              <w:rPr>
                <w:color w:val="000000"/>
                <w:sz w:val="16"/>
                <w:szCs w:val="18"/>
              </w:rPr>
              <w:t>8</w:t>
            </w:r>
          </w:p>
        </w:tc>
        <w:tc>
          <w:tcPr>
            <w:tcW w:w="1559" w:type="dxa"/>
            <w:shd w:val="clear" w:color="auto" w:fill="auto"/>
            <w:vAlign w:val="center"/>
            <w:hideMark/>
          </w:tcPr>
          <w:p w14:paraId="73F4CCEB" w14:textId="1E711EC7" w:rsidR="001E2711" w:rsidRPr="00005453" w:rsidRDefault="001E2711" w:rsidP="001E2711">
            <w:pPr>
              <w:jc w:val="right"/>
              <w:rPr>
                <w:sz w:val="16"/>
                <w:szCs w:val="16"/>
                <w:lang w:eastAsia="tr-TR"/>
              </w:rPr>
            </w:pPr>
            <w:r w:rsidRPr="00005453">
              <w:rPr>
                <w:color w:val="000000"/>
                <w:sz w:val="16"/>
                <w:szCs w:val="16"/>
              </w:rPr>
              <w:t>7,358,175</w:t>
            </w:r>
          </w:p>
        </w:tc>
      </w:tr>
      <w:tr w:rsidR="001E2711" w:rsidRPr="00005453" w14:paraId="5A02BD1D" w14:textId="77777777" w:rsidTr="001E2711">
        <w:trPr>
          <w:divId w:val="710110297"/>
          <w:trHeight w:val="180"/>
        </w:trPr>
        <w:tc>
          <w:tcPr>
            <w:tcW w:w="6227" w:type="dxa"/>
            <w:shd w:val="clear" w:color="auto" w:fill="auto"/>
            <w:vAlign w:val="center"/>
            <w:hideMark/>
          </w:tcPr>
          <w:p w14:paraId="1B621A04" w14:textId="77777777" w:rsidR="001E2711" w:rsidRPr="00005453" w:rsidRDefault="001E2711" w:rsidP="001E2711">
            <w:pPr>
              <w:rPr>
                <w:sz w:val="16"/>
                <w:szCs w:val="16"/>
                <w:lang w:eastAsia="tr-TR"/>
              </w:rPr>
            </w:pPr>
            <w:r w:rsidRPr="00005453">
              <w:rPr>
                <w:sz w:val="16"/>
                <w:szCs w:val="16"/>
                <w:lang w:eastAsia="tr-TR"/>
              </w:rPr>
              <w:t>Kurumca uygun görülen borçlanma araçları ve bunlara ilişkin ihraç primleri (Geçici Madde 4 kapsamında olanlar)</w:t>
            </w:r>
          </w:p>
        </w:tc>
        <w:tc>
          <w:tcPr>
            <w:tcW w:w="1701" w:type="dxa"/>
            <w:shd w:val="clear" w:color="auto" w:fill="auto"/>
            <w:vAlign w:val="center"/>
            <w:hideMark/>
          </w:tcPr>
          <w:p w14:paraId="1D8CD808" w14:textId="1922D10A"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3F4876CF" w14:textId="16D544C8"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5380813B" w14:textId="77777777" w:rsidTr="001E2711">
        <w:trPr>
          <w:divId w:val="710110297"/>
          <w:trHeight w:val="266"/>
        </w:trPr>
        <w:tc>
          <w:tcPr>
            <w:tcW w:w="6227" w:type="dxa"/>
            <w:shd w:val="clear" w:color="auto" w:fill="auto"/>
            <w:vAlign w:val="center"/>
            <w:hideMark/>
          </w:tcPr>
          <w:p w14:paraId="361DDA2D" w14:textId="77777777" w:rsidR="001E2711" w:rsidRPr="00005453" w:rsidRDefault="001E2711" w:rsidP="001E2711">
            <w:pPr>
              <w:rPr>
                <w:b/>
                <w:bCs/>
                <w:sz w:val="16"/>
                <w:szCs w:val="16"/>
                <w:lang w:eastAsia="tr-TR"/>
              </w:rPr>
            </w:pPr>
            <w:r w:rsidRPr="00005453">
              <w:rPr>
                <w:b/>
                <w:bCs/>
                <w:sz w:val="16"/>
                <w:szCs w:val="16"/>
                <w:lang w:eastAsia="tr-TR"/>
              </w:rPr>
              <w:t>İndirimler Öncesi İlave Ana Sermaye</w:t>
            </w:r>
          </w:p>
        </w:tc>
        <w:tc>
          <w:tcPr>
            <w:tcW w:w="1701" w:type="dxa"/>
            <w:shd w:val="clear" w:color="auto" w:fill="auto"/>
            <w:vAlign w:val="center"/>
            <w:hideMark/>
          </w:tcPr>
          <w:p w14:paraId="3247C59E" w14:textId="30C54DEA" w:rsidR="001E2711" w:rsidRPr="00005453" w:rsidRDefault="001E2711" w:rsidP="001E2711">
            <w:pPr>
              <w:jc w:val="right"/>
              <w:rPr>
                <w:b/>
                <w:bCs/>
                <w:sz w:val="16"/>
                <w:szCs w:val="16"/>
                <w:lang w:eastAsia="tr-TR"/>
              </w:rPr>
            </w:pPr>
            <w:r w:rsidRPr="00005453">
              <w:rPr>
                <w:b/>
                <w:bCs/>
                <w:color w:val="000000"/>
                <w:sz w:val="16"/>
                <w:szCs w:val="18"/>
              </w:rPr>
              <w:t>1,763,55</w:t>
            </w:r>
            <w:r w:rsidR="004D3B16" w:rsidRPr="00005453">
              <w:rPr>
                <w:b/>
                <w:bCs/>
                <w:color w:val="000000"/>
                <w:sz w:val="16"/>
                <w:szCs w:val="18"/>
              </w:rPr>
              <w:t>8</w:t>
            </w:r>
          </w:p>
        </w:tc>
        <w:tc>
          <w:tcPr>
            <w:tcW w:w="1559" w:type="dxa"/>
            <w:shd w:val="clear" w:color="auto" w:fill="auto"/>
            <w:vAlign w:val="center"/>
            <w:hideMark/>
          </w:tcPr>
          <w:p w14:paraId="06750D01" w14:textId="6E8F69B0" w:rsidR="001E2711" w:rsidRPr="00005453" w:rsidRDefault="001E2711" w:rsidP="001E2711">
            <w:pPr>
              <w:jc w:val="right"/>
              <w:rPr>
                <w:b/>
                <w:bCs/>
                <w:sz w:val="16"/>
                <w:szCs w:val="16"/>
                <w:lang w:eastAsia="tr-TR"/>
              </w:rPr>
            </w:pPr>
            <w:r w:rsidRPr="00005453">
              <w:rPr>
                <w:b/>
                <w:bCs/>
                <w:color w:val="000000"/>
                <w:sz w:val="16"/>
                <w:szCs w:val="16"/>
              </w:rPr>
              <w:t>7,358,175</w:t>
            </w:r>
          </w:p>
        </w:tc>
      </w:tr>
      <w:tr w:rsidR="001E2711" w:rsidRPr="00005453" w14:paraId="601AFD82" w14:textId="77777777" w:rsidTr="001E2711">
        <w:trPr>
          <w:divId w:val="710110297"/>
          <w:trHeight w:val="266"/>
        </w:trPr>
        <w:tc>
          <w:tcPr>
            <w:tcW w:w="6227" w:type="dxa"/>
            <w:shd w:val="clear" w:color="auto" w:fill="auto"/>
            <w:vAlign w:val="center"/>
            <w:hideMark/>
          </w:tcPr>
          <w:p w14:paraId="03EA922C" w14:textId="77777777" w:rsidR="001E2711" w:rsidRPr="00005453" w:rsidRDefault="001E2711" w:rsidP="001E2711">
            <w:pPr>
              <w:rPr>
                <w:b/>
                <w:bCs/>
                <w:sz w:val="16"/>
                <w:szCs w:val="16"/>
                <w:lang w:eastAsia="tr-TR"/>
              </w:rPr>
            </w:pPr>
            <w:r w:rsidRPr="00005453">
              <w:rPr>
                <w:b/>
                <w:bCs/>
                <w:sz w:val="16"/>
                <w:szCs w:val="16"/>
                <w:lang w:eastAsia="tr-TR"/>
              </w:rPr>
              <w:t>İlave Ana Sermayeden Yapılacak İndirimler</w:t>
            </w:r>
          </w:p>
        </w:tc>
        <w:tc>
          <w:tcPr>
            <w:tcW w:w="1701" w:type="dxa"/>
            <w:shd w:val="clear" w:color="auto" w:fill="auto"/>
            <w:vAlign w:val="center"/>
            <w:hideMark/>
          </w:tcPr>
          <w:p w14:paraId="58F65E60" w14:textId="5170DFE8" w:rsidR="001E2711" w:rsidRPr="00005453" w:rsidRDefault="001E2711" w:rsidP="001E2711">
            <w:pPr>
              <w:jc w:val="right"/>
              <w:rPr>
                <w:b/>
                <w:bCs/>
                <w:sz w:val="16"/>
                <w:szCs w:val="16"/>
                <w:lang w:eastAsia="tr-TR"/>
              </w:rPr>
            </w:pPr>
            <w:r w:rsidRPr="00005453">
              <w:rPr>
                <w:color w:val="000000"/>
                <w:sz w:val="16"/>
                <w:szCs w:val="18"/>
              </w:rPr>
              <w:t>-</w:t>
            </w:r>
          </w:p>
        </w:tc>
        <w:tc>
          <w:tcPr>
            <w:tcW w:w="1559" w:type="dxa"/>
            <w:shd w:val="clear" w:color="auto" w:fill="auto"/>
            <w:vAlign w:val="center"/>
            <w:hideMark/>
          </w:tcPr>
          <w:p w14:paraId="7E8F7225" w14:textId="5781FF08" w:rsidR="001E2711" w:rsidRPr="00005453" w:rsidRDefault="001E2711" w:rsidP="001E2711">
            <w:pPr>
              <w:jc w:val="right"/>
              <w:rPr>
                <w:b/>
                <w:bCs/>
                <w:sz w:val="16"/>
                <w:szCs w:val="16"/>
                <w:lang w:eastAsia="tr-TR"/>
              </w:rPr>
            </w:pPr>
            <w:r w:rsidRPr="00005453">
              <w:rPr>
                <w:color w:val="000000"/>
                <w:sz w:val="16"/>
                <w:szCs w:val="16"/>
              </w:rPr>
              <w:t>-</w:t>
            </w:r>
          </w:p>
        </w:tc>
      </w:tr>
      <w:tr w:rsidR="001E2711" w:rsidRPr="00005453" w14:paraId="2644933A" w14:textId="77777777" w:rsidTr="001E2711">
        <w:trPr>
          <w:divId w:val="710110297"/>
          <w:trHeight w:val="180"/>
        </w:trPr>
        <w:tc>
          <w:tcPr>
            <w:tcW w:w="6227" w:type="dxa"/>
            <w:shd w:val="clear" w:color="auto" w:fill="auto"/>
            <w:vAlign w:val="center"/>
            <w:hideMark/>
          </w:tcPr>
          <w:p w14:paraId="067C5F0A" w14:textId="77777777" w:rsidR="001E2711" w:rsidRPr="00005453" w:rsidRDefault="001E2711" w:rsidP="001E2711">
            <w:pPr>
              <w:rPr>
                <w:sz w:val="16"/>
                <w:szCs w:val="16"/>
                <w:lang w:eastAsia="tr-TR"/>
              </w:rPr>
            </w:pPr>
            <w:r w:rsidRPr="00005453">
              <w:rPr>
                <w:sz w:val="16"/>
                <w:szCs w:val="16"/>
                <w:lang w:eastAsia="tr-TR"/>
              </w:rPr>
              <w:t>Bankanın kendi ilave ana sermayesine yapmış olduğu doğrudan veya dolaylı yatırımlar</w:t>
            </w:r>
          </w:p>
        </w:tc>
        <w:tc>
          <w:tcPr>
            <w:tcW w:w="1701" w:type="dxa"/>
            <w:shd w:val="clear" w:color="auto" w:fill="auto"/>
            <w:vAlign w:val="center"/>
            <w:hideMark/>
          </w:tcPr>
          <w:p w14:paraId="6C56AAF1" w14:textId="37DCBF5B"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53E8D51D" w14:textId="7399ACFB"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045A917D" w14:textId="77777777" w:rsidTr="001E2711">
        <w:trPr>
          <w:divId w:val="710110297"/>
          <w:trHeight w:val="180"/>
        </w:trPr>
        <w:tc>
          <w:tcPr>
            <w:tcW w:w="6227" w:type="dxa"/>
            <w:shd w:val="clear" w:color="auto" w:fill="auto"/>
            <w:vAlign w:val="center"/>
            <w:hideMark/>
          </w:tcPr>
          <w:p w14:paraId="2FD0DBCF" w14:textId="77777777" w:rsidR="001E2711" w:rsidRPr="00005453" w:rsidRDefault="001E2711" w:rsidP="001E2711">
            <w:pPr>
              <w:rPr>
                <w:sz w:val="16"/>
                <w:szCs w:val="16"/>
                <w:lang w:eastAsia="tr-TR"/>
              </w:rPr>
            </w:pPr>
            <w:r w:rsidRPr="00005453">
              <w:rPr>
                <w:sz w:val="16"/>
                <w:szCs w:val="16"/>
                <w:lang w:eastAsia="tr-TR"/>
              </w:rPr>
              <w:t xml:space="preserve">Bankanın ilave ana sermaye kalemlerine yatırım yapan bankalar ile finansal kuruluşlar tarafından ihraç edilen ve Yönetmeliğin </w:t>
            </w:r>
            <w:proofErr w:type="gramStart"/>
            <w:r w:rsidRPr="00005453">
              <w:rPr>
                <w:sz w:val="16"/>
                <w:szCs w:val="16"/>
                <w:lang w:eastAsia="tr-TR"/>
              </w:rPr>
              <w:t>7 nci</w:t>
            </w:r>
            <w:proofErr w:type="gramEnd"/>
            <w:r w:rsidRPr="00005453">
              <w:rPr>
                <w:sz w:val="16"/>
                <w:szCs w:val="16"/>
                <w:lang w:eastAsia="tr-TR"/>
              </w:rPr>
              <w:t xml:space="preserve"> maddesinde belirtilen şartları taşıyan özkaynak kalemlerine bankanın yaptığı yatırımlar</w:t>
            </w:r>
          </w:p>
        </w:tc>
        <w:tc>
          <w:tcPr>
            <w:tcW w:w="1701" w:type="dxa"/>
            <w:shd w:val="clear" w:color="auto" w:fill="auto"/>
            <w:vAlign w:val="center"/>
            <w:hideMark/>
          </w:tcPr>
          <w:p w14:paraId="7A8D4F77" w14:textId="35FBE9B7"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1A2E7C12" w14:textId="07FE4458"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146C56F2" w14:textId="77777777" w:rsidTr="001E2711">
        <w:trPr>
          <w:divId w:val="710110297"/>
          <w:trHeight w:val="180"/>
        </w:trPr>
        <w:tc>
          <w:tcPr>
            <w:tcW w:w="6227" w:type="dxa"/>
            <w:shd w:val="clear" w:color="auto" w:fill="auto"/>
            <w:vAlign w:val="center"/>
            <w:hideMark/>
          </w:tcPr>
          <w:p w14:paraId="218C1ECF" w14:textId="77777777" w:rsidR="001E2711" w:rsidRPr="00005453" w:rsidRDefault="001E2711" w:rsidP="001E2711">
            <w:pPr>
              <w:rPr>
                <w:sz w:val="16"/>
                <w:szCs w:val="16"/>
                <w:lang w:eastAsia="tr-TR"/>
              </w:rPr>
            </w:pPr>
            <w:r w:rsidRPr="0000545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01" w:type="dxa"/>
            <w:shd w:val="clear" w:color="auto" w:fill="auto"/>
            <w:vAlign w:val="center"/>
            <w:hideMark/>
          </w:tcPr>
          <w:p w14:paraId="1786C019" w14:textId="24F0DCDD"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27842AD8" w14:textId="05DDE44A"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12ECDC08" w14:textId="77777777" w:rsidTr="001E2711">
        <w:trPr>
          <w:divId w:val="710110297"/>
          <w:trHeight w:val="180"/>
        </w:trPr>
        <w:tc>
          <w:tcPr>
            <w:tcW w:w="6227" w:type="dxa"/>
            <w:shd w:val="clear" w:color="auto" w:fill="auto"/>
            <w:vAlign w:val="center"/>
            <w:hideMark/>
          </w:tcPr>
          <w:p w14:paraId="1B50376A" w14:textId="77777777" w:rsidR="001E2711" w:rsidRPr="00005453" w:rsidRDefault="001E2711" w:rsidP="001E2711">
            <w:pPr>
              <w:rPr>
                <w:sz w:val="16"/>
                <w:szCs w:val="16"/>
                <w:lang w:eastAsia="tr-TR"/>
              </w:rPr>
            </w:pPr>
            <w:r w:rsidRPr="00005453">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01" w:type="dxa"/>
            <w:shd w:val="clear" w:color="auto" w:fill="auto"/>
            <w:vAlign w:val="center"/>
            <w:hideMark/>
          </w:tcPr>
          <w:p w14:paraId="6F6AAB81" w14:textId="42998E44"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6A42776F" w14:textId="0235ED62"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78A5A788" w14:textId="77777777" w:rsidTr="001E2711">
        <w:trPr>
          <w:divId w:val="710110297"/>
          <w:trHeight w:val="180"/>
        </w:trPr>
        <w:tc>
          <w:tcPr>
            <w:tcW w:w="6227" w:type="dxa"/>
            <w:shd w:val="clear" w:color="auto" w:fill="auto"/>
            <w:vAlign w:val="center"/>
            <w:hideMark/>
          </w:tcPr>
          <w:p w14:paraId="23C1D84E" w14:textId="77777777" w:rsidR="001E2711" w:rsidRPr="00005453" w:rsidRDefault="001E2711" w:rsidP="001E2711">
            <w:pPr>
              <w:rPr>
                <w:sz w:val="16"/>
                <w:szCs w:val="16"/>
                <w:lang w:eastAsia="tr-TR"/>
              </w:rPr>
            </w:pPr>
            <w:r w:rsidRPr="00005453">
              <w:rPr>
                <w:sz w:val="16"/>
                <w:szCs w:val="16"/>
                <w:lang w:eastAsia="tr-TR"/>
              </w:rPr>
              <w:t>Kurulca belirlenecek diğer kalemler</w:t>
            </w:r>
          </w:p>
        </w:tc>
        <w:tc>
          <w:tcPr>
            <w:tcW w:w="1701" w:type="dxa"/>
            <w:shd w:val="clear" w:color="auto" w:fill="auto"/>
            <w:vAlign w:val="center"/>
            <w:hideMark/>
          </w:tcPr>
          <w:p w14:paraId="5E93E10E" w14:textId="78AD82CD"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6A2DC32E" w14:textId="65217022"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0225DE28" w14:textId="77777777" w:rsidTr="001E2711">
        <w:trPr>
          <w:divId w:val="710110297"/>
          <w:trHeight w:val="266"/>
        </w:trPr>
        <w:tc>
          <w:tcPr>
            <w:tcW w:w="6227" w:type="dxa"/>
            <w:shd w:val="clear" w:color="auto" w:fill="auto"/>
            <w:vAlign w:val="center"/>
            <w:hideMark/>
          </w:tcPr>
          <w:p w14:paraId="0618F4DC" w14:textId="77777777" w:rsidR="001E2711" w:rsidRPr="00005453" w:rsidRDefault="001E2711" w:rsidP="001E2711">
            <w:pPr>
              <w:rPr>
                <w:b/>
                <w:bCs/>
                <w:sz w:val="16"/>
                <w:szCs w:val="16"/>
                <w:lang w:eastAsia="tr-TR"/>
              </w:rPr>
            </w:pPr>
            <w:r w:rsidRPr="00005453">
              <w:rPr>
                <w:b/>
                <w:bCs/>
                <w:sz w:val="16"/>
                <w:szCs w:val="16"/>
                <w:lang w:eastAsia="tr-TR"/>
              </w:rPr>
              <w:t>Geçiş Süresince Ana Sermayeden İndirilmeye Devam edecek Unsurlar</w:t>
            </w:r>
          </w:p>
        </w:tc>
        <w:tc>
          <w:tcPr>
            <w:tcW w:w="1701" w:type="dxa"/>
            <w:shd w:val="clear" w:color="auto" w:fill="auto"/>
            <w:vAlign w:val="center"/>
            <w:hideMark/>
          </w:tcPr>
          <w:p w14:paraId="0676577E" w14:textId="3BE76D14" w:rsidR="001E2711" w:rsidRPr="00005453" w:rsidRDefault="001E2711" w:rsidP="001E2711">
            <w:pPr>
              <w:jc w:val="right"/>
              <w:rPr>
                <w:b/>
                <w:bCs/>
                <w:sz w:val="16"/>
                <w:szCs w:val="16"/>
                <w:lang w:eastAsia="tr-TR"/>
              </w:rPr>
            </w:pPr>
          </w:p>
        </w:tc>
        <w:tc>
          <w:tcPr>
            <w:tcW w:w="1559" w:type="dxa"/>
            <w:shd w:val="clear" w:color="auto" w:fill="auto"/>
            <w:vAlign w:val="center"/>
            <w:hideMark/>
          </w:tcPr>
          <w:p w14:paraId="05073FC3" w14:textId="58937321" w:rsidR="001E2711" w:rsidRPr="00005453" w:rsidRDefault="001E2711" w:rsidP="001E2711">
            <w:pPr>
              <w:jc w:val="right"/>
              <w:rPr>
                <w:b/>
                <w:bCs/>
                <w:sz w:val="16"/>
                <w:szCs w:val="16"/>
                <w:lang w:eastAsia="tr-TR"/>
              </w:rPr>
            </w:pPr>
          </w:p>
        </w:tc>
      </w:tr>
      <w:tr w:rsidR="001E2711" w:rsidRPr="00005453" w14:paraId="66150440" w14:textId="77777777" w:rsidTr="001E2711">
        <w:trPr>
          <w:divId w:val="710110297"/>
          <w:trHeight w:val="180"/>
        </w:trPr>
        <w:tc>
          <w:tcPr>
            <w:tcW w:w="6227" w:type="dxa"/>
            <w:shd w:val="clear" w:color="auto" w:fill="auto"/>
            <w:vAlign w:val="center"/>
            <w:hideMark/>
          </w:tcPr>
          <w:p w14:paraId="01C84E7F" w14:textId="77777777" w:rsidR="001E2711" w:rsidRPr="00005453" w:rsidRDefault="001E2711" w:rsidP="001E2711">
            <w:pPr>
              <w:rPr>
                <w:sz w:val="16"/>
                <w:szCs w:val="16"/>
                <w:lang w:eastAsia="tr-TR"/>
              </w:rPr>
            </w:pPr>
            <w:r w:rsidRPr="00005453">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005453">
              <w:rPr>
                <w:sz w:val="16"/>
                <w:szCs w:val="16"/>
                <w:lang w:eastAsia="tr-TR"/>
              </w:rPr>
              <w:t>2 nci</w:t>
            </w:r>
            <w:proofErr w:type="gramEnd"/>
            <w:r w:rsidRPr="00005453">
              <w:rPr>
                <w:sz w:val="16"/>
                <w:szCs w:val="16"/>
                <w:lang w:eastAsia="tr-TR"/>
              </w:rPr>
              <w:t xml:space="preserve"> maddesinin birinci fıkrası uyarınca çekirdek sermayeden indirilmeyen kısmı (-)</w:t>
            </w:r>
          </w:p>
        </w:tc>
        <w:tc>
          <w:tcPr>
            <w:tcW w:w="1701" w:type="dxa"/>
            <w:shd w:val="clear" w:color="auto" w:fill="auto"/>
            <w:vAlign w:val="center"/>
            <w:hideMark/>
          </w:tcPr>
          <w:p w14:paraId="7C7806D2" w14:textId="3F0B0CA5"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23AAAF55" w14:textId="46F0C45D"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5C3FC16B" w14:textId="77777777" w:rsidTr="001E2711">
        <w:trPr>
          <w:divId w:val="710110297"/>
          <w:trHeight w:val="180"/>
        </w:trPr>
        <w:tc>
          <w:tcPr>
            <w:tcW w:w="6227" w:type="dxa"/>
            <w:shd w:val="clear" w:color="auto" w:fill="auto"/>
            <w:vAlign w:val="center"/>
            <w:hideMark/>
          </w:tcPr>
          <w:p w14:paraId="4F510A2E" w14:textId="77777777" w:rsidR="001E2711" w:rsidRPr="00005453" w:rsidRDefault="001E2711" w:rsidP="001E2711">
            <w:pPr>
              <w:rPr>
                <w:sz w:val="16"/>
                <w:szCs w:val="16"/>
                <w:lang w:eastAsia="tr-TR"/>
              </w:rPr>
            </w:pPr>
            <w:r w:rsidRPr="00005453">
              <w:rPr>
                <w:sz w:val="16"/>
                <w:szCs w:val="16"/>
                <w:lang w:eastAsia="tr-TR"/>
              </w:rPr>
              <w:t xml:space="preserve">Net ertelenmiş vergi varlığı/vergi borcunun Bankaların Özkaynaklarına İlişkin Yönetmeliğin Geçici </w:t>
            </w:r>
            <w:proofErr w:type="gramStart"/>
            <w:r w:rsidRPr="00005453">
              <w:rPr>
                <w:sz w:val="16"/>
                <w:szCs w:val="16"/>
                <w:lang w:eastAsia="tr-TR"/>
              </w:rPr>
              <w:t>2 nci</w:t>
            </w:r>
            <w:proofErr w:type="gramEnd"/>
            <w:r w:rsidRPr="00005453">
              <w:rPr>
                <w:sz w:val="16"/>
                <w:szCs w:val="16"/>
                <w:lang w:eastAsia="tr-TR"/>
              </w:rPr>
              <w:t> maddesinin birinci fıkrası uyarınca çekirdek sermayeden indirilmeyen kısmı (-)</w:t>
            </w:r>
          </w:p>
        </w:tc>
        <w:tc>
          <w:tcPr>
            <w:tcW w:w="1701" w:type="dxa"/>
            <w:shd w:val="clear" w:color="auto" w:fill="auto"/>
            <w:vAlign w:val="center"/>
            <w:hideMark/>
          </w:tcPr>
          <w:p w14:paraId="73005502" w14:textId="24AD7A0A"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6ECA26CF" w14:textId="1AF59183"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3360BE6F" w14:textId="77777777" w:rsidTr="001E2711">
        <w:trPr>
          <w:divId w:val="710110297"/>
          <w:trHeight w:val="180"/>
        </w:trPr>
        <w:tc>
          <w:tcPr>
            <w:tcW w:w="6227" w:type="dxa"/>
            <w:shd w:val="clear" w:color="auto" w:fill="auto"/>
            <w:vAlign w:val="center"/>
            <w:hideMark/>
          </w:tcPr>
          <w:p w14:paraId="14EC0735" w14:textId="77777777" w:rsidR="001E2711" w:rsidRPr="00005453" w:rsidRDefault="001E2711" w:rsidP="001E2711">
            <w:pPr>
              <w:rPr>
                <w:sz w:val="16"/>
                <w:szCs w:val="16"/>
                <w:lang w:eastAsia="tr-TR"/>
              </w:rPr>
            </w:pPr>
            <w:r w:rsidRPr="00005453">
              <w:rPr>
                <w:sz w:val="16"/>
                <w:szCs w:val="16"/>
                <w:lang w:eastAsia="tr-TR"/>
              </w:rPr>
              <w:t>Yeterli katkı sermaye bulunmaması halinde ilave ana sermayeden indirim yapılacak tutar (-)</w:t>
            </w:r>
          </w:p>
        </w:tc>
        <w:tc>
          <w:tcPr>
            <w:tcW w:w="1701" w:type="dxa"/>
            <w:shd w:val="clear" w:color="auto" w:fill="auto"/>
            <w:vAlign w:val="center"/>
            <w:hideMark/>
          </w:tcPr>
          <w:p w14:paraId="3DDD2DDB" w14:textId="74E09D7D"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69350DD6" w14:textId="6756A2B5"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3854DDA6" w14:textId="77777777" w:rsidTr="001E2711">
        <w:trPr>
          <w:divId w:val="710110297"/>
          <w:trHeight w:val="266"/>
        </w:trPr>
        <w:tc>
          <w:tcPr>
            <w:tcW w:w="6227" w:type="dxa"/>
            <w:shd w:val="clear" w:color="auto" w:fill="auto"/>
            <w:vAlign w:val="center"/>
            <w:hideMark/>
          </w:tcPr>
          <w:p w14:paraId="21766D2F" w14:textId="77777777" w:rsidR="001E2711" w:rsidRPr="00005453" w:rsidRDefault="001E2711" w:rsidP="001E2711">
            <w:pPr>
              <w:rPr>
                <w:b/>
                <w:bCs/>
                <w:sz w:val="16"/>
                <w:szCs w:val="16"/>
                <w:lang w:eastAsia="tr-TR"/>
              </w:rPr>
            </w:pPr>
            <w:r w:rsidRPr="00005453">
              <w:rPr>
                <w:b/>
                <w:bCs/>
                <w:sz w:val="16"/>
                <w:szCs w:val="16"/>
                <w:lang w:eastAsia="tr-TR"/>
              </w:rPr>
              <w:t>İlave ana sermayeden indirimler toplamı</w:t>
            </w:r>
          </w:p>
        </w:tc>
        <w:tc>
          <w:tcPr>
            <w:tcW w:w="1701" w:type="dxa"/>
            <w:shd w:val="clear" w:color="auto" w:fill="auto"/>
            <w:vAlign w:val="center"/>
            <w:hideMark/>
          </w:tcPr>
          <w:p w14:paraId="57477B24" w14:textId="66C2CC01" w:rsidR="001E2711" w:rsidRPr="00005453" w:rsidRDefault="001E2711" w:rsidP="001E2711">
            <w:pPr>
              <w:jc w:val="right"/>
              <w:rPr>
                <w:b/>
                <w:bCs/>
                <w:sz w:val="16"/>
                <w:szCs w:val="16"/>
                <w:lang w:eastAsia="tr-TR"/>
              </w:rPr>
            </w:pPr>
            <w:r w:rsidRPr="00005453">
              <w:rPr>
                <w:color w:val="000000"/>
                <w:sz w:val="16"/>
                <w:szCs w:val="18"/>
              </w:rPr>
              <w:t>-</w:t>
            </w:r>
          </w:p>
        </w:tc>
        <w:tc>
          <w:tcPr>
            <w:tcW w:w="1559" w:type="dxa"/>
            <w:shd w:val="clear" w:color="auto" w:fill="auto"/>
            <w:vAlign w:val="center"/>
            <w:hideMark/>
          </w:tcPr>
          <w:p w14:paraId="6C4BF076" w14:textId="640F3CE6" w:rsidR="001E2711" w:rsidRPr="00005453" w:rsidRDefault="001E2711" w:rsidP="001E2711">
            <w:pPr>
              <w:jc w:val="right"/>
              <w:rPr>
                <w:b/>
                <w:bCs/>
                <w:sz w:val="16"/>
                <w:szCs w:val="16"/>
                <w:lang w:eastAsia="tr-TR"/>
              </w:rPr>
            </w:pPr>
            <w:r w:rsidRPr="00005453">
              <w:rPr>
                <w:b/>
                <w:bCs/>
                <w:sz w:val="16"/>
                <w:szCs w:val="16"/>
                <w:lang w:eastAsia="tr-TR"/>
              </w:rPr>
              <w:t>-</w:t>
            </w:r>
          </w:p>
        </w:tc>
      </w:tr>
      <w:tr w:rsidR="001E2711" w:rsidRPr="00005453" w14:paraId="60AEAE61" w14:textId="77777777" w:rsidTr="001E2711">
        <w:trPr>
          <w:divId w:val="710110297"/>
          <w:trHeight w:val="266"/>
        </w:trPr>
        <w:tc>
          <w:tcPr>
            <w:tcW w:w="6227" w:type="dxa"/>
            <w:shd w:val="clear" w:color="auto" w:fill="auto"/>
            <w:vAlign w:val="center"/>
            <w:hideMark/>
          </w:tcPr>
          <w:p w14:paraId="2AC7E9AB" w14:textId="77777777" w:rsidR="001E2711" w:rsidRPr="00005453" w:rsidRDefault="001E2711" w:rsidP="001E2711">
            <w:pPr>
              <w:rPr>
                <w:b/>
                <w:bCs/>
                <w:sz w:val="16"/>
                <w:szCs w:val="16"/>
                <w:lang w:eastAsia="tr-TR"/>
              </w:rPr>
            </w:pPr>
            <w:r w:rsidRPr="00005453">
              <w:rPr>
                <w:b/>
                <w:bCs/>
                <w:sz w:val="16"/>
                <w:szCs w:val="16"/>
                <w:lang w:eastAsia="tr-TR"/>
              </w:rPr>
              <w:t>İlave Ana Sermaye Toplamı</w:t>
            </w:r>
          </w:p>
        </w:tc>
        <w:tc>
          <w:tcPr>
            <w:tcW w:w="1701" w:type="dxa"/>
            <w:shd w:val="clear" w:color="auto" w:fill="auto"/>
            <w:vAlign w:val="center"/>
            <w:hideMark/>
          </w:tcPr>
          <w:p w14:paraId="525C2015" w14:textId="7F087987" w:rsidR="001E2711" w:rsidRPr="00005453" w:rsidRDefault="001E2711" w:rsidP="001E2711">
            <w:pPr>
              <w:jc w:val="right"/>
              <w:rPr>
                <w:b/>
                <w:bCs/>
                <w:sz w:val="16"/>
                <w:szCs w:val="16"/>
                <w:lang w:eastAsia="tr-TR"/>
              </w:rPr>
            </w:pPr>
            <w:r w:rsidRPr="00005453">
              <w:rPr>
                <w:b/>
                <w:bCs/>
                <w:color w:val="000000"/>
                <w:sz w:val="16"/>
                <w:szCs w:val="18"/>
              </w:rPr>
              <w:t>1,763,55</w:t>
            </w:r>
            <w:r w:rsidR="004D3B16" w:rsidRPr="00005453">
              <w:rPr>
                <w:b/>
                <w:bCs/>
                <w:color w:val="000000"/>
                <w:sz w:val="16"/>
                <w:szCs w:val="18"/>
              </w:rPr>
              <w:t>8</w:t>
            </w:r>
          </w:p>
        </w:tc>
        <w:tc>
          <w:tcPr>
            <w:tcW w:w="1559" w:type="dxa"/>
            <w:shd w:val="clear" w:color="auto" w:fill="auto"/>
            <w:vAlign w:val="center"/>
            <w:hideMark/>
          </w:tcPr>
          <w:p w14:paraId="3347B31A" w14:textId="168E7D9C" w:rsidR="001E2711" w:rsidRPr="00005453" w:rsidRDefault="001E2711" w:rsidP="001E2711">
            <w:pPr>
              <w:jc w:val="right"/>
              <w:rPr>
                <w:b/>
                <w:bCs/>
                <w:sz w:val="16"/>
                <w:szCs w:val="16"/>
                <w:lang w:eastAsia="tr-TR"/>
              </w:rPr>
            </w:pPr>
            <w:r w:rsidRPr="00005453">
              <w:rPr>
                <w:b/>
                <w:bCs/>
                <w:color w:val="000000"/>
                <w:sz w:val="16"/>
                <w:szCs w:val="16"/>
              </w:rPr>
              <w:t>7,358,175</w:t>
            </w:r>
          </w:p>
        </w:tc>
      </w:tr>
      <w:tr w:rsidR="001E2711" w:rsidRPr="00005453" w14:paraId="63FF3096" w14:textId="77777777" w:rsidTr="001E2711">
        <w:trPr>
          <w:divId w:val="710110297"/>
          <w:trHeight w:val="266"/>
        </w:trPr>
        <w:tc>
          <w:tcPr>
            <w:tcW w:w="6227" w:type="dxa"/>
            <w:shd w:val="clear" w:color="auto" w:fill="auto"/>
            <w:vAlign w:val="center"/>
            <w:hideMark/>
          </w:tcPr>
          <w:p w14:paraId="2864B973" w14:textId="77777777" w:rsidR="001E2711" w:rsidRPr="00005453" w:rsidRDefault="001E2711" w:rsidP="001E2711">
            <w:pPr>
              <w:rPr>
                <w:b/>
                <w:bCs/>
                <w:sz w:val="16"/>
                <w:szCs w:val="16"/>
                <w:lang w:eastAsia="tr-TR"/>
              </w:rPr>
            </w:pPr>
            <w:r w:rsidRPr="00005453">
              <w:rPr>
                <w:b/>
                <w:bCs/>
                <w:sz w:val="16"/>
                <w:szCs w:val="16"/>
                <w:lang w:eastAsia="tr-TR"/>
              </w:rPr>
              <w:t>Ana Sermaye Toplamı (Ana Sermaye = Çekirdek Sermaye + İlave Ana Sermaye)</w:t>
            </w:r>
          </w:p>
        </w:tc>
        <w:tc>
          <w:tcPr>
            <w:tcW w:w="1701" w:type="dxa"/>
            <w:shd w:val="clear" w:color="auto" w:fill="auto"/>
            <w:vAlign w:val="center"/>
            <w:hideMark/>
          </w:tcPr>
          <w:p w14:paraId="3B2B2E12" w14:textId="5CBFAF29" w:rsidR="001E2711" w:rsidRPr="00005453" w:rsidRDefault="001E2711" w:rsidP="001E2711">
            <w:pPr>
              <w:jc w:val="right"/>
              <w:rPr>
                <w:b/>
                <w:bCs/>
                <w:sz w:val="16"/>
                <w:szCs w:val="16"/>
                <w:lang w:eastAsia="tr-TR"/>
              </w:rPr>
            </w:pPr>
            <w:r w:rsidRPr="00005453">
              <w:rPr>
                <w:b/>
                <w:bCs/>
                <w:color w:val="000000"/>
                <w:sz w:val="16"/>
                <w:szCs w:val="18"/>
              </w:rPr>
              <w:t>81,390,623</w:t>
            </w:r>
          </w:p>
        </w:tc>
        <w:tc>
          <w:tcPr>
            <w:tcW w:w="1559" w:type="dxa"/>
            <w:shd w:val="clear" w:color="auto" w:fill="auto"/>
            <w:vAlign w:val="center"/>
            <w:hideMark/>
          </w:tcPr>
          <w:p w14:paraId="02933259" w14:textId="7C6BD6B1" w:rsidR="001E2711" w:rsidRPr="00005453" w:rsidRDefault="001E2711" w:rsidP="001E2711">
            <w:pPr>
              <w:jc w:val="right"/>
              <w:rPr>
                <w:b/>
                <w:bCs/>
                <w:sz w:val="16"/>
                <w:szCs w:val="16"/>
                <w:lang w:eastAsia="tr-TR"/>
              </w:rPr>
            </w:pPr>
            <w:r w:rsidRPr="00005453">
              <w:rPr>
                <w:b/>
                <w:bCs/>
                <w:color w:val="000000"/>
                <w:sz w:val="16"/>
                <w:szCs w:val="16"/>
              </w:rPr>
              <w:t>54,323,727</w:t>
            </w:r>
          </w:p>
        </w:tc>
      </w:tr>
      <w:tr w:rsidR="001E2711" w:rsidRPr="00005453" w14:paraId="5C52B342" w14:textId="77777777" w:rsidTr="001E2711">
        <w:trPr>
          <w:divId w:val="710110297"/>
          <w:trHeight w:val="266"/>
        </w:trPr>
        <w:tc>
          <w:tcPr>
            <w:tcW w:w="6227" w:type="dxa"/>
            <w:shd w:val="clear" w:color="auto" w:fill="auto"/>
            <w:vAlign w:val="center"/>
            <w:hideMark/>
          </w:tcPr>
          <w:p w14:paraId="4FF7C36F" w14:textId="77777777" w:rsidR="001E2711" w:rsidRPr="00005453" w:rsidRDefault="001E2711" w:rsidP="001E2711">
            <w:pPr>
              <w:jc w:val="center"/>
              <w:rPr>
                <w:b/>
                <w:bCs/>
                <w:sz w:val="16"/>
                <w:szCs w:val="16"/>
                <w:lang w:eastAsia="tr-TR"/>
              </w:rPr>
            </w:pPr>
            <w:r w:rsidRPr="00005453">
              <w:rPr>
                <w:b/>
                <w:bCs/>
                <w:sz w:val="16"/>
                <w:szCs w:val="16"/>
                <w:lang w:eastAsia="tr-TR"/>
              </w:rPr>
              <w:t>KATKI SERMAYE</w:t>
            </w:r>
          </w:p>
        </w:tc>
        <w:tc>
          <w:tcPr>
            <w:tcW w:w="1701" w:type="dxa"/>
            <w:shd w:val="clear" w:color="auto" w:fill="auto"/>
            <w:vAlign w:val="center"/>
            <w:hideMark/>
          </w:tcPr>
          <w:p w14:paraId="6F115B1A" w14:textId="2A3B9AED" w:rsidR="001E2711" w:rsidRPr="00005453" w:rsidRDefault="001E2711" w:rsidP="001E2711">
            <w:pPr>
              <w:jc w:val="right"/>
              <w:rPr>
                <w:b/>
                <w:bCs/>
                <w:sz w:val="16"/>
                <w:szCs w:val="16"/>
                <w:lang w:eastAsia="tr-TR"/>
              </w:rPr>
            </w:pPr>
          </w:p>
        </w:tc>
        <w:tc>
          <w:tcPr>
            <w:tcW w:w="1559" w:type="dxa"/>
            <w:shd w:val="clear" w:color="auto" w:fill="auto"/>
            <w:vAlign w:val="center"/>
            <w:hideMark/>
          </w:tcPr>
          <w:p w14:paraId="07E0F63A" w14:textId="50904705" w:rsidR="001E2711" w:rsidRPr="00005453" w:rsidRDefault="001E2711" w:rsidP="001E2711">
            <w:pPr>
              <w:jc w:val="right"/>
              <w:rPr>
                <w:b/>
                <w:bCs/>
                <w:sz w:val="16"/>
                <w:szCs w:val="16"/>
                <w:lang w:eastAsia="tr-TR"/>
              </w:rPr>
            </w:pPr>
          </w:p>
        </w:tc>
      </w:tr>
      <w:tr w:rsidR="001E2711" w:rsidRPr="00005453" w14:paraId="3B82B7AA" w14:textId="77777777" w:rsidTr="001E2711">
        <w:trPr>
          <w:divId w:val="710110297"/>
          <w:trHeight w:val="180"/>
        </w:trPr>
        <w:tc>
          <w:tcPr>
            <w:tcW w:w="6227" w:type="dxa"/>
            <w:shd w:val="clear" w:color="auto" w:fill="auto"/>
            <w:vAlign w:val="center"/>
            <w:hideMark/>
          </w:tcPr>
          <w:p w14:paraId="6BB3E0E9" w14:textId="77777777" w:rsidR="001E2711" w:rsidRPr="00005453" w:rsidRDefault="001E2711" w:rsidP="001E2711">
            <w:pPr>
              <w:rPr>
                <w:sz w:val="16"/>
                <w:szCs w:val="16"/>
                <w:lang w:eastAsia="tr-TR"/>
              </w:rPr>
            </w:pPr>
            <w:r w:rsidRPr="00005453">
              <w:rPr>
                <w:sz w:val="16"/>
                <w:szCs w:val="16"/>
                <w:lang w:eastAsia="tr-TR"/>
              </w:rPr>
              <w:t>Kurumca uygun görülen borçlanma araçları ve bunlara ilişkin ihraç primleri</w:t>
            </w:r>
          </w:p>
        </w:tc>
        <w:tc>
          <w:tcPr>
            <w:tcW w:w="1701" w:type="dxa"/>
            <w:shd w:val="clear" w:color="auto" w:fill="auto"/>
            <w:vAlign w:val="center"/>
            <w:hideMark/>
          </w:tcPr>
          <w:p w14:paraId="6EC84719" w14:textId="4B02F2DF" w:rsidR="001E2711" w:rsidRPr="00005453" w:rsidRDefault="001E2711" w:rsidP="001E2711">
            <w:pPr>
              <w:jc w:val="right"/>
              <w:rPr>
                <w:sz w:val="16"/>
                <w:szCs w:val="16"/>
                <w:lang w:eastAsia="tr-TR"/>
              </w:rPr>
            </w:pPr>
            <w:r w:rsidRPr="00005453">
              <w:rPr>
                <w:color w:val="000000"/>
                <w:sz w:val="16"/>
                <w:szCs w:val="18"/>
              </w:rPr>
              <w:t>12,344,896</w:t>
            </w:r>
          </w:p>
        </w:tc>
        <w:tc>
          <w:tcPr>
            <w:tcW w:w="1559" w:type="dxa"/>
            <w:shd w:val="clear" w:color="auto" w:fill="auto"/>
            <w:vAlign w:val="center"/>
            <w:hideMark/>
          </w:tcPr>
          <w:p w14:paraId="145C7F0C" w14:textId="4B067D45" w:rsidR="001E2711" w:rsidRPr="00005453" w:rsidRDefault="001E2711" w:rsidP="001E2711">
            <w:pPr>
              <w:jc w:val="right"/>
              <w:rPr>
                <w:sz w:val="16"/>
                <w:szCs w:val="16"/>
                <w:lang w:eastAsia="tr-TR"/>
              </w:rPr>
            </w:pPr>
            <w:r w:rsidRPr="00005453">
              <w:rPr>
                <w:color w:val="000000"/>
                <w:sz w:val="16"/>
                <w:szCs w:val="16"/>
              </w:rPr>
              <w:t>10,301,445</w:t>
            </w:r>
          </w:p>
        </w:tc>
      </w:tr>
      <w:tr w:rsidR="001E2711" w:rsidRPr="00005453" w14:paraId="4DE93A24" w14:textId="77777777" w:rsidTr="001E2711">
        <w:trPr>
          <w:divId w:val="710110297"/>
          <w:trHeight w:val="180"/>
        </w:trPr>
        <w:tc>
          <w:tcPr>
            <w:tcW w:w="6227" w:type="dxa"/>
            <w:shd w:val="clear" w:color="auto" w:fill="auto"/>
            <w:vAlign w:val="center"/>
            <w:hideMark/>
          </w:tcPr>
          <w:p w14:paraId="20CCD977" w14:textId="77777777" w:rsidR="001E2711" w:rsidRPr="00005453" w:rsidRDefault="001E2711" w:rsidP="001E2711">
            <w:pPr>
              <w:rPr>
                <w:sz w:val="16"/>
                <w:szCs w:val="16"/>
                <w:lang w:eastAsia="tr-TR"/>
              </w:rPr>
            </w:pPr>
            <w:r w:rsidRPr="00005453">
              <w:rPr>
                <w:sz w:val="16"/>
                <w:szCs w:val="16"/>
                <w:lang w:eastAsia="tr-TR"/>
              </w:rPr>
              <w:t xml:space="preserve">Kurumca uygun görülen borçlanma araçları ve bunlara ilişkin ihraç </w:t>
            </w:r>
            <w:proofErr w:type="gramStart"/>
            <w:r w:rsidRPr="00005453">
              <w:rPr>
                <w:sz w:val="16"/>
                <w:szCs w:val="16"/>
                <w:lang w:eastAsia="tr-TR"/>
              </w:rPr>
              <w:t>primleri  (</w:t>
            </w:r>
            <w:proofErr w:type="gramEnd"/>
            <w:r w:rsidRPr="00005453">
              <w:rPr>
                <w:sz w:val="16"/>
                <w:szCs w:val="16"/>
                <w:lang w:eastAsia="tr-TR"/>
              </w:rPr>
              <w:t>Geçici Madde 4 kapsamında olanlar)</w:t>
            </w:r>
          </w:p>
        </w:tc>
        <w:tc>
          <w:tcPr>
            <w:tcW w:w="1701" w:type="dxa"/>
            <w:shd w:val="clear" w:color="auto" w:fill="auto"/>
            <w:vAlign w:val="center"/>
            <w:hideMark/>
          </w:tcPr>
          <w:p w14:paraId="6DBF6280" w14:textId="7B52D8BD"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6232B226" w14:textId="58E0CDAB" w:rsidR="001E2711" w:rsidRPr="00005453" w:rsidRDefault="001E2711" w:rsidP="001E2711">
            <w:pPr>
              <w:jc w:val="right"/>
              <w:rPr>
                <w:sz w:val="16"/>
                <w:szCs w:val="16"/>
                <w:lang w:eastAsia="tr-TR"/>
              </w:rPr>
            </w:pPr>
            <w:r w:rsidRPr="00005453">
              <w:rPr>
                <w:color w:val="000000"/>
                <w:sz w:val="16"/>
                <w:szCs w:val="16"/>
              </w:rPr>
              <w:t>-</w:t>
            </w:r>
          </w:p>
        </w:tc>
      </w:tr>
      <w:tr w:rsidR="001E2711" w:rsidRPr="00005453" w14:paraId="1D20F78C" w14:textId="77777777" w:rsidTr="001E2711">
        <w:trPr>
          <w:divId w:val="710110297"/>
          <w:trHeight w:val="180"/>
        </w:trPr>
        <w:tc>
          <w:tcPr>
            <w:tcW w:w="6227" w:type="dxa"/>
            <w:shd w:val="clear" w:color="auto" w:fill="auto"/>
            <w:vAlign w:val="center"/>
            <w:hideMark/>
          </w:tcPr>
          <w:p w14:paraId="076844DC" w14:textId="77777777" w:rsidR="001E2711" w:rsidRPr="00005453" w:rsidRDefault="001E2711" w:rsidP="001E2711">
            <w:pPr>
              <w:rPr>
                <w:sz w:val="16"/>
                <w:szCs w:val="16"/>
                <w:lang w:eastAsia="tr-TR"/>
              </w:rPr>
            </w:pPr>
            <w:r w:rsidRPr="00005453">
              <w:rPr>
                <w:sz w:val="16"/>
                <w:szCs w:val="16"/>
                <w:lang w:eastAsia="tr-TR"/>
              </w:rPr>
              <w:t>Karşılıklar (Bankaların Özkaynaklarına İlişkin Yönetmeliğin 8 inci maddesinin birinci fıkrasında belirtilen tutarlar)</w:t>
            </w:r>
          </w:p>
        </w:tc>
        <w:tc>
          <w:tcPr>
            <w:tcW w:w="1701" w:type="dxa"/>
            <w:shd w:val="clear" w:color="auto" w:fill="auto"/>
            <w:vAlign w:val="center"/>
            <w:hideMark/>
          </w:tcPr>
          <w:p w14:paraId="46264DDD" w14:textId="4289BEE4" w:rsidR="001E2711" w:rsidRPr="00005453" w:rsidRDefault="001E2711" w:rsidP="001E2711">
            <w:pPr>
              <w:jc w:val="right"/>
              <w:rPr>
                <w:sz w:val="16"/>
                <w:szCs w:val="16"/>
                <w:lang w:eastAsia="tr-TR"/>
              </w:rPr>
            </w:pPr>
            <w:r w:rsidRPr="00005453">
              <w:rPr>
                <w:color w:val="000000"/>
                <w:sz w:val="16"/>
                <w:szCs w:val="18"/>
              </w:rPr>
              <w:t>3,726,449</w:t>
            </w:r>
          </w:p>
        </w:tc>
        <w:tc>
          <w:tcPr>
            <w:tcW w:w="1559" w:type="dxa"/>
            <w:shd w:val="clear" w:color="auto" w:fill="auto"/>
            <w:vAlign w:val="center"/>
            <w:hideMark/>
          </w:tcPr>
          <w:p w14:paraId="4685FBFD" w14:textId="6262E8DF" w:rsidR="001E2711" w:rsidRPr="00005453" w:rsidRDefault="001E2711" w:rsidP="001E2711">
            <w:pPr>
              <w:jc w:val="right"/>
              <w:rPr>
                <w:sz w:val="16"/>
                <w:szCs w:val="16"/>
                <w:lang w:eastAsia="tr-TR"/>
              </w:rPr>
            </w:pPr>
            <w:r w:rsidRPr="00005453">
              <w:rPr>
                <w:color w:val="000000"/>
                <w:sz w:val="16"/>
                <w:szCs w:val="16"/>
              </w:rPr>
              <w:t>2,316,841</w:t>
            </w:r>
          </w:p>
        </w:tc>
      </w:tr>
      <w:tr w:rsidR="001E2711" w:rsidRPr="00005453" w14:paraId="0A1B9511" w14:textId="77777777" w:rsidTr="001E2711">
        <w:trPr>
          <w:divId w:val="710110297"/>
          <w:trHeight w:val="180"/>
        </w:trPr>
        <w:tc>
          <w:tcPr>
            <w:tcW w:w="6227" w:type="dxa"/>
            <w:shd w:val="clear" w:color="auto" w:fill="auto"/>
            <w:vAlign w:val="center"/>
            <w:hideMark/>
          </w:tcPr>
          <w:p w14:paraId="14C57926" w14:textId="77777777" w:rsidR="001E2711" w:rsidRPr="00005453" w:rsidRDefault="001E2711" w:rsidP="001E2711">
            <w:pPr>
              <w:rPr>
                <w:b/>
                <w:sz w:val="16"/>
                <w:szCs w:val="16"/>
                <w:lang w:eastAsia="tr-TR"/>
              </w:rPr>
            </w:pPr>
            <w:r w:rsidRPr="00005453">
              <w:rPr>
                <w:b/>
                <w:sz w:val="16"/>
                <w:szCs w:val="16"/>
                <w:lang w:eastAsia="tr-TR"/>
              </w:rPr>
              <w:t>İndirimler Öncesi Katkı Sermaye</w:t>
            </w:r>
          </w:p>
        </w:tc>
        <w:tc>
          <w:tcPr>
            <w:tcW w:w="1701" w:type="dxa"/>
            <w:shd w:val="clear" w:color="auto" w:fill="auto"/>
            <w:vAlign w:val="center"/>
            <w:hideMark/>
          </w:tcPr>
          <w:p w14:paraId="76C55EA0" w14:textId="28CEA1D2" w:rsidR="001E2711" w:rsidRPr="00005453" w:rsidRDefault="001E2711" w:rsidP="001E2711">
            <w:pPr>
              <w:jc w:val="right"/>
              <w:rPr>
                <w:b/>
                <w:sz w:val="16"/>
                <w:szCs w:val="16"/>
                <w:lang w:eastAsia="tr-TR"/>
              </w:rPr>
            </w:pPr>
            <w:r w:rsidRPr="00005453">
              <w:rPr>
                <w:b/>
                <w:color w:val="000000"/>
                <w:sz w:val="16"/>
                <w:szCs w:val="18"/>
              </w:rPr>
              <w:t>16,071,345</w:t>
            </w:r>
          </w:p>
        </w:tc>
        <w:tc>
          <w:tcPr>
            <w:tcW w:w="1559" w:type="dxa"/>
            <w:shd w:val="clear" w:color="auto" w:fill="auto"/>
            <w:vAlign w:val="center"/>
            <w:hideMark/>
          </w:tcPr>
          <w:p w14:paraId="0CCC0655" w14:textId="393D53C0" w:rsidR="001E2711" w:rsidRPr="00005453" w:rsidRDefault="001E2711" w:rsidP="001E2711">
            <w:pPr>
              <w:jc w:val="right"/>
              <w:rPr>
                <w:b/>
                <w:sz w:val="16"/>
                <w:szCs w:val="16"/>
                <w:lang w:eastAsia="tr-TR"/>
              </w:rPr>
            </w:pPr>
            <w:r w:rsidRPr="00005453">
              <w:rPr>
                <w:b/>
                <w:color w:val="000000"/>
                <w:sz w:val="16"/>
                <w:szCs w:val="16"/>
              </w:rPr>
              <w:t>12,618,286</w:t>
            </w:r>
          </w:p>
        </w:tc>
      </w:tr>
      <w:tr w:rsidR="001E2711" w:rsidRPr="00005453" w14:paraId="488EE23C" w14:textId="77777777" w:rsidTr="001E2711">
        <w:trPr>
          <w:divId w:val="710110297"/>
          <w:trHeight w:val="180"/>
        </w:trPr>
        <w:tc>
          <w:tcPr>
            <w:tcW w:w="6227" w:type="dxa"/>
            <w:shd w:val="clear" w:color="auto" w:fill="auto"/>
            <w:vAlign w:val="center"/>
            <w:hideMark/>
          </w:tcPr>
          <w:p w14:paraId="5F326AC4" w14:textId="77777777" w:rsidR="001E2711" w:rsidRPr="00005453" w:rsidRDefault="001E2711" w:rsidP="001E2711">
            <w:pPr>
              <w:rPr>
                <w:sz w:val="16"/>
                <w:szCs w:val="16"/>
                <w:lang w:eastAsia="tr-TR"/>
              </w:rPr>
            </w:pPr>
            <w:r w:rsidRPr="00005453">
              <w:rPr>
                <w:sz w:val="16"/>
                <w:szCs w:val="16"/>
                <w:lang w:eastAsia="tr-TR"/>
              </w:rPr>
              <w:t>Katkı Sermayeden Yapılacak İndirimler</w:t>
            </w:r>
          </w:p>
        </w:tc>
        <w:tc>
          <w:tcPr>
            <w:tcW w:w="1701" w:type="dxa"/>
            <w:shd w:val="clear" w:color="auto" w:fill="auto"/>
            <w:vAlign w:val="center"/>
            <w:hideMark/>
          </w:tcPr>
          <w:p w14:paraId="2C36C6E2" w14:textId="3F049520"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4C78923C" w14:textId="4C32360D"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5CA9D4B9" w14:textId="77777777" w:rsidTr="001E2711">
        <w:trPr>
          <w:divId w:val="710110297"/>
          <w:trHeight w:val="180"/>
        </w:trPr>
        <w:tc>
          <w:tcPr>
            <w:tcW w:w="6227" w:type="dxa"/>
            <w:shd w:val="clear" w:color="auto" w:fill="auto"/>
            <w:vAlign w:val="center"/>
            <w:hideMark/>
          </w:tcPr>
          <w:p w14:paraId="2C89FADB" w14:textId="77777777" w:rsidR="001E2711" w:rsidRPr="00005453" w:rsidRDefault="001E2711" w:rsidP="001E2711">
            <w:pPr>
              <w:rPr>
                <w:sz w:val="16"/>
                <w:szCs w:val="16"/>
                <w:lang w:eastAsia="tr-TR"/>
              </w:rPr>
            </w:pPr>
            <w:r w:rsidRPr="00005453">
              <w:rPr>
                <w:sz w:val="16"/>
                <w:szCs w:val="16"/>
                <w:lang w:eastAsia="tr-TR"/>
              </w:rPr>
              <w:t>Bankanın kendi katkı sermayesine yapmış olduğu doğrudan veya dolaylı yatırımlar (-)</w:t>
            </w:r>
          </w:p>
        </w:tc>
        <w:tc>
          <w:tcPr>
            <w:tcW w:w="1701" w:type="dxa"/>
            <w:shd w:val="clear" w:color="auto" w:fill="auto"/>
            <w:vAlign w:val="center"/>
            <w:hideMark/>
          </w:tcPr>
          <w:p w14:paraId="44695BFB" w14:textId="15E4BD50"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18FA7D69" w14:textId="52BB8070"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0FDD4231" w14:textId="77777777" w:rsidTr="001E2711">
        <w:trPr>
          <w:divId w:val="710110297"/>
          <w:trHeight w:val="180"/>
        </w:trPr>
        <w:tc>
          <w:tcPr>
            <w:tcW w:w="6227" w:type="dxa"/>
            <w:shd w:val="clear" w:color="auto" w:fill="auto"/>
            <w:vAlign w:val="center"/>
            <w:hideMark/>
          </w:tcPr>
          <w:p w14:paraId="7A52A428" w14:textId="77777777" w:rsidR="001E2711" w:rsidRPr="00005453" w:rsidRDefault="001E2711" w:rsidP="001E2711">
            <w:pPr>
              <w:rPr>
                <w:sz w:val="16"/>
                <w:szCs w:val="16"/>
                <w:lang w:eastAsia="tr-TR"/>
              </w:rPr>
            </w:pPr>
            <w:r w:rsidRPr="00005453">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701" w:type="dxa"/>
            <w:shd w:val="clear" w:color="auto" w:fill="auto"/>
            <w:vAlign w:val="center"/>
            <w:hideMark/>
          </w:tcPr>
          <w:p w14:paraId="4F708266" w14:textId="302FB6BF"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2A47643D" w14:textId="3D97277E"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6970BDEA" w14:textId="77777777" w:rsidTr="001E2711">
        <w:trPr>
          <w:divId w:val="710110297"/>
          <w:trHeight w:val="180"/>
        </w:trPr>
        <w:tc>
          <w:tcPr>
            <w:tcW w:w="6227" w:type="dxa"/>
            <w:shd w:val="clear" w:color="auto" w:fill="auto"/>
            <w:vAlign w:val="center"/>
            <w:hideMark/>
          </w:tcPr>
          <w:p w14:paraId="364116F6" w14:textId="77777777" w:rsidR="001E2711" w:rsidRPr="00005453" w:rsidRDefault="001E2711" w:rsidP="001E2711">
            <w:pPr>
              <w:rPr>
                <w:sz w:val="16"/>
                <w:szCs w:val="16"/>
                <w:lang w:eastAsia="tr-TR"/>
              </w:rPr>
            </w:pPr>
            <w:r w:rsidRPr="0000545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701" w:type="dxa"/>
            <w:shd w:val="clear" w:color="auto" w:fill="auto"/>
            <w:vAlign w:val="center"/>
            <w:hideMark/>
          </w:tcPr>
          <w:p w14:paraId="7A1AA7F1" w14:textId="77A32F41"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6BA9BAD0" w14:textId="35C97F05"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1CC716A8" w14:textId="77777777" w:rsidTr="001E2711">
        <w:trPr>
          <w:divId w:val="710110297"/>
          <w:trHeight w:val="180"/>
        </w:trPr>
        <w:tc>
          <w:tcPr>
            <w:tcW w:w="6227" w:type="dxa"/>
            <w:shd w:val="clear" w:color="auto" w:fill="auto"/>
            <w:vAlign w:val="center"/>
            <w:hideMark/>
          </w:tcPr>
          <w:p w14:paraId="253299B1" w14:textId="77777777" w:rsidR="001E2711" w:rsidRPr="00005453" w:rsidRDefault="001E2711" w:rsidP="001E2711">
            <w:pPr>
              <w:rPr>
                <w:sz w:val="16"/>
                <w:szCs w:val="16"/>
                <w:lang w:eastAsia="tr-TR"/>
              </w:rPr>
            </w:pPr>
            <w:r w:rsidRPr="00005453">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01" w:type="dxa"/>
            <w:shd w:val="clear" w:color="auto" w:fill="auto"/>
            <w:vAlign w:val="center"/>
            <w:hideMark/>
          </w:tcPr>
          <w:p w14:paraId="213EF36B" w14:textId="4B0242AD"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070D1ABA" w14:textId="33D83E4A"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0EFCF536" w14:textId="77777777" w:rsidTr="001E2711">
        <w:trPr>
          <w:divId w:val="710110297"/>
          <w:trHeight w:val="180"/>
        </w:trPr>
        <w:tc>
          <w:tcPr>
            <w:tcW w:w="6227" w:type="dxa"/>
            <w:shd w:val="clear" w:color="auto" w:fill="auto"/>
            <w:vAlign w:val="center"/>
            <w:hideMark/>
          </w:tcPr>
          <w:p w14:paraId="1CBCF0A4" w14:textId="77777777" w:rsidR="001E2711" w:rsidRPr="00005453" w:rsidRDefault="001E2711" w:rsidP="001E2711">
            <w:pPr>
              <w:rPr>
                <w:sz w:val="16"/>
                <w:szCs w:val="16"/>
                <w:lang w:eastAsia="tr-TR"/>
              </w:rPr>
            </w:pPr>
            <w:r w:rsidRPr="00005453">
              <w:rPr>
                <w:sz w:val="16"/>
                <w:szCs w:val="16"/>
                <w:lang w:eastAsia="tr-TR"/>
              </w:rPr>
              <w:t>Kurulca belirlenecek diğer kalemler (-)</w:t>
            </w:r>
          </w:p>
        </w:tc>
        <w:tc>
          <w:tcPr>
            <w:tcW w:w="1701" w:type="dxa"/>
            <w:shd w:val="clear" w:color="auto" w:fill="auto"/>
            <w:vAlign w:val="center"/>
            <w:hideMark/>
          </w:tcPr>
          <w:p w14:paraId="1768939B" w14:textId="0501AA0E" w:rsidR="001E2711" w:rsidRPr="00005453" w:rsidRDefault="001E2711" w:rsidP="001E2711">
            <w:pPr>
              <w:jc w:val="right"/>
              <w:rPr>
                <w:sz w:val="16"/>
                <w:szCs w:val="16"/>
                <w:lang w:eastAsia="tr-TR"/>
              </w:rPr>
            </w:pPr>
            <w:r w:rsidRPr="00005453">
              <w:rPr>
                <w:color w:val="000000"/>
                <w:sz w:val="16"/>
                <w:szCs w:val="18"/>
              </w:rPr>
              <w:t>-</w:t>
            </w:r>
          </w:p>
        </w:tc>
        <w:tc>
          <w:tcPr>
            <w:tcW w:w="1559" w:type="dxa"/>
            <w:shd w:val="clear" w:color="auto" w:fill="auto"/>
            <w:vAlign w:val="center"/>
            <w:hideMark/>
          </w:tcPr>
          <w:p w14:paraId="21F3547D" w14:textId="1B2C3E59"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05EA0377" w14:textId="77777777" w:rsidTr="001E2711">
        <w:trPr>
          <w:divId w:val="710110297"/>
          <w:trHeight w:val="266"/>
        </w:trPr>
        <w:tc>
          <w:tcPr>
            <w:tcW w:w="6227" w:type="dxa"/>
            <w:shd w:val="clear" w:color="auto" w:fill="auto"/>
            <w:vAlign w:val="center"/>
            <w:hideMark/>
          </w:tcPr>
          <w:p w14:paraId="1957DC21" w14:textId="77777777" w:rsidR="001E2711" w:rsidRPr="00005453" w:rsidRDefault="001E2711" w:rsidP="001E2711">
            <w:pPr>
              <w:rPr>
                <w:b/>
                <w:bCs/>
                <w:sz w:val="16"/>
                <w:szCs w:val="16"/>
                <w:lang w:eastAsia="tr-TR"/>
              </w:rPr>
            </w:pPr>
            <w:r w:rsidRPr="00005453">
              <w:rPr>
                <w:b/>
                <w:bCs/>
                <w:sz w:val="16"/>
                <w:szCs w:val="16"/>
                <w:lang w:eastAsia="tr-TR"/>
              </w:rPr>
              <w:t>Katkı Sermayeden Yapılan İndirimler Toplamı</w:t>
            </w:r>
          </w:p>
        </w:tc>
        <w:tc>
          <w:tcPr>
            <w:tcW w:w="1701" w:type="dxa"/>
            <w:shd w:val="clear" w:color="auto" w:fill="auto"/>
            <w:vAlign w:val="center"/>
            <w:hideMark/>
          </w:tcPr>
          <w:p w14:paraId="5AA4AAB7" w14:textId="224748B8" w:rsidR="001E2711" w:rsidRPr="00005453" w:rsidRDefault="001E2711" w:rsidP="001E2711">
            <w:pPr>
              <w:jc w:val="right"/>
              <w:rPr>
                <w:b/>
                <w:bCs/>
                <w:sz w:val="16"/>
                <w:szCs w:val="16"/>
                <w:lang w:eastAsia="tr-TR"/>
              </w:rPr>
            </w:pPr>
            <w:r w:rsidRPr="00005453">
              <w:rPr>
                <w:color w:val="000000"/>
                <w:sz w:val="16"/>
                <w:szCs w:val="18"/>
              </w:rPr>
              <w:t>-</w:t>
            </w:r>
          </w:p>
        </w:tc>
        <w:tc>
          <w:tcPr>
            <w:tcW w:w="1559" w:type="dxa"/>
            <w:shd w:val="clear" w:color="auto" w:fill="auto"/>
            <w:vAlign w:val="center"/>
            <w:hideMark/>
          </w:tcPr>
          <w:p w14:paraId="7A360851" w14:textId="1731138F" w:rsidR="001E2711" w:rsidRPr="00005453" w:rsidRDefault="001E2711" w:rsidP="001E2711">
            <w:pPr>
              <w:jc w:val="right"/>
              <w:rPr>
                <w:b/>
                <w:bCs/>
                <w:sz w:val="16"/>
                <w:szCs w:val="16"/>
                <w:lang w:eastAsia="tr-TR"/>
              </w:rPr>
            </w:pPr>
            <w:r w:rsidRPr="00005453">
              <w:rPr>
                <w:b/>
                <w:bCs/>
                <w:sz w:val="16"/>
                <w:szCs w:val="16"/>
                <w:lang w:eastAsia="tr-TR"/>
              </w:rPr>
              <w:t>-</w:t>
            </w:r>
          </w:p>
        </w:tc>
      </w:tr>
      <w:tr w:rsidR="001E2711" w:rsidRPr="00005453" w14:paraId="2FD84111" w14:textId="77777777" w:rsidTr="001E2711">
        <w:trPr>
          <w:divId w:val="710110297"/>
          <w:trHeight w:val="266"/>
        </w:trPr>
        <w:tc>
          <w:tcPr>
            <w:tcW w:w="6227" w:type="dxa"/>
            <w:shd w:val="clear" w:color="auto" w:fill="auto"/>
            <w:vAlign w:val="center"/>
            <w:hideMark/>
          </w:tcPr>
          <w:p w14:paraId="7D939F67" w14:textId="77777777" w:rsidR="001E2711" w:rsidRPr="00005453" w:rsidRDefault="001E2711" w:rsidP="001E2711">
            <w:pPr>
              <w:rPr>
                <w:b/>
                <w:bCs/>
                <w:sz w:val="16"/>
                <w:szCs w:val="16"/>
                <w:lang w:eastAsia="tr-TR"/>
              </w:rPr>
            </w:pPr>
            <w:r w:rsidRPr="00005453">
              <w:rPr>
                <w:b/>
                <w:bCs/>
                <w:sz w:val="16"/>
                <w:szCs w:val="16"/>
                <w:lang w:eastAsia="tr-TR"/>
              </w:rPr>
              <w:t>Katkı Sermaye Toplamı</w:t>
            </w:r>
          </w:p>
        </w:tc>
        <w:tc>
          <w:tcPr>
            <w:tcW w:w="1701" w:type="dxa"/>
            <w:shd w:val="clear" w:color="auto" w:fill="auto"/>
            <w:vAlign w:val="center"/>
            <w:hideMark/>
          </w:tcPr>
          <w:p w14:paraId="235734F2" w14:textId="352432A0" w:rsidR="001E2711" w:rsidRPr="00005453" w:rsidRDefault="001E2711" w:rsidP="001E2711">
            <w:pPr>
              <w:jc w:val="right"/>
              <w:rPr>
                <w:b/>
                <w:bCs/>
                <w:sz w:val="16"/>
                <w:szCs w:val="16"/>
                <w:lang w:eastAsia="tr-TR"/>
              </w:rPr>
            </w:pPr>
            <w:r w:rsidRPr="00005453">
              <w:rPr>
                <w:b/>
                <w:color w:val="000000"/>
                <w:sz w:val="16"/>
                <w:szCs w:val="18"/>
              </w:rPr>
              <w:t>16,071,345</w:t>
            </w:r>
          </w:p>
        </w:tc>
        <w:tc>
          <w:tcPr>
            <w:tcW w:w="1559" w:type="dxa"/>
            <w:shd w:val="clear" w:color="auto" w:fill="auto"/>
            <w:vAlign w:val="center"/>
            <w:hideMark/>
          </w:tcPr>
          <w:p w14:paraId="6396EB93" w14:textId="243A57CF" w:rsidR="001E2711" w:rsidRPr="00005453" w:rsidRDefault="001E2711" w:rsidP="001E2711">
            <w:pPr>
              <w:jc w:val="right"/>
              <w:rPr>
                <w:b/>
                <w:bCs/>
                <w:sz w:val="16"/>
                <w:szCs w:val="16"/>
                <w:lang w:eastAsia="tr-TR"/>
              </w:rPr>
            </w:pPr>
            <w:r w:rsidRPr="00005453">
              <w:rPr>
                <w:b/>
                <w:color w:val="000000"/>
                <w:sz w:val="16"/>
                <w:szCs w:val="16"/>
              </w:rPr>
              <w:t>12,618,286</w:t>
            </w:r>
          </w:p>
        </w:tc>
      </w:tr>
      <w:tr w:rsidR="001E2711" w:rsidRPr="00005453" w14:paraId="7162F472" w14:textId="77777777" w:rsidTr="001E2711">
        <w:trPr>
          <w:divId w:val="710110297"/>
          <w:trHeight w:val="266"/>
        </w:trPr>
        <w:tc>
          <w:tcPr>
            <w:tcW w:w="6227" w:type="dxa"/>
            <w:shd w:val="clear" w:color="auto" w:fill="auto"/>
            <w:vAlign w:val="center"/>
            <w:hideMark/>
          </w:tcPr>
          <w:p w14:paraId="1644FAC7" w14:textId="77777777" w:rsidR="001E2711" w:rsidRPr="00005453" w:rsidRDefault="001E2711" w:rsidP="001E2711">
            <w:pPr>
              <w:rPr>
                <w:b/>
                <w:bCs/>
                <w:sz w:val="16"/>
                <w:szCs w:val="16"/>
                <w:lang w:eastAsia="tr-TR"/>
              </w:rPr>
            </w:pPr>
            <w:r w:rsidRPr="00005453">
              <w:rPr>
                <w:b/>
                <w:bCs/>
                <w:sz w:val="16"/>
                <w:szCs w:val="16"/>
                <w:lang w:eastAsia="tr-TR"/>
              </w:rPr>
              <w:t>Toplam Özkaynak (Ana Sermaye ve Katkı Sermaye Toplamı)</w:t>
            </w:r>
          </w:p>
        </w:tc>
        <w:tc>
          <w:tcPr>
            <w:tcW w:w="1701" w:type="dxa"/>
            <w:shd w:val="clear" w:color="auto" w:fill="auto"/>
            <w:vAlign w:val="center"/>
            <w:hideMark/>
          </w:tcPr>
          <w:p w14:paraId="6F555059" w14:textId="2EF7A161" w:rsidR="001E2711" w:rsidRPr="00005453" w:rsidRDefault="001E2711" w:rsidP="001E2711">
            <w:pPr>
              <w:jc w:val="right"/>
              <w:rPr>
                <w:b/>
                <w:bCs/>
                <w:sz w:val="16"/>
                <w:szCs w:val="16"/>
                <w:lang w:eastAsia="tr-TR"/>
              </w:rPr>
            </w:pPr>
            <w:r w:rsidRPr="00005453">
              <w:rPr>
                <w:b/>
                <w:color w:val="000000"/>
                <w:sz w:val="16"/>
                <w:szCs w:val="18"/>
              </w:rPr>
              <w:t>97,461,968</w:t>
            </w:r>
          </w:p>
        </w:tc>
        <w:tc>
          <w:tcPr>
            <w:tcW w:w="1559" w:type="dxa"/>
            <w:shd w:val="clear" w:color="auto" w:fill="auto"/>
            <w:vAlign w:val="center"/>
            <w:hideMark/>
          </w:tcPr>
          <w:p w14:paraId="36F85F0B" w14:textId="64D4E058" w:rsidR="001E2711" w:rsidRPr="00005453" w:rsidRDefault="001E2711" w:rsidP="001E2711">
            <w:pPr>
              <w:jc w:val="right"/>
              <w:rPr>
                <w:b/>
                <w:bCs/>
                <w:sz w:val="16"/>
                <w:szCs w:val="16"/>
                <w:lang w:eastAsia="tr-TR"/>
              </w:rPr>
            </w:pPr>
            <w:r w:rsidRPr="00005453">
              <w:rPr>
                <w:b/>
                <w:color w:val="000000"/>
                <w:sz w:val="16"/>
                <w:szCs w:val="16"/>
              </w:rPr>
              <w:t>66,942,013</w:t>
            </w:r>
          </w:p>
        </w:tc>
      </w:tr>
    </w:tbl>
    <w:p w14:paraId="22D0B1B5" w14:textId="1BFDF862" w:rsidR="00673BB7" w:rsidRPr="00005453" w:rsidRDefault="00673BB7" w:rsidP="00673BB7">
      <w:pPr>
        <w:tabs>
          <w:tab w:val="left" w:pos="709"/>
        </w:tabs>
        <w:autoSpaceDE w:val="0"/>
        <w:autoSpaceDN w:val="0"/>
        <w:adjustRightInd w:val="0"/>
        <w:rPr>
          <w:lang w:val="en-GB" w:eastAsia="en-GB"/>
        </w:rPr>
      </w:pPr>
    </w:p>
    <w:p w14:paraId="2255D276" w14:textId="520E4325" w:rsidR="00D92082" w:rsidRPr="00005453" w:rsidRDefault="00D92082" w:rsidP="00D92082">
      <w:pPr>
        <w:autoSpaceDE w:val="0"/>
        <w:autoSpaceDN w:val="0"/>
        <w:adjustRightInd w:val="0"/>
        <w:ind w:left="567" w:right="-24" w:hanging="567"/>
        <w:jc w:val="both"/>
        <w:rPr>
          <w:sz w:val="16"/>
          <w:lang w:eastAsia="en-GB"/>
        </w:rPr>
      </w:pPr>
    </w:p>
    <w:p w14:paraId="63B8D11E" w14:textId="77777777" w:rsidR="00334F87" w:rsidRPr="00005453" w:rsidRDefault="00334F87" w:rsidP="00D92082">
      <w:pPr>
        <w:autoSpaceDE w:val="0"/>
        <w:autoSpaceDN w:val="0"/>
        <w:adjustRightInd w:val="0"/>
        <w:ind w:left="567" w:right="-24" w:hanging="567"/>
        <w:jc w:val="both"/>
      </w:pPr>
    </w:p>
    <w:p w14:paraId="5F0854BF" w14:textId="73FFB009" w:rsidR="007C33CE" w:rsidRPr="00005453" w:rsidRDefault="007C33CE" w:rsidP="005571E3">
      <w:pPr>
        <w:tabs>
          <w:tab w:val="left" w:pos="709"/>
        </w:tabs>
        <w:autoSpaceDE w:val="0"/>
        <w:autoSpaceDN w:val="0"/>
        <w:adjustRightInd w:val="0"/>
        <w:ind w:hanging="567"/>
      </w:pPr>
    </w:p>
    <w:p w14:paraId="331143A1" w14:textId="5E8A092B" w:rsidR="007C33CE" w:rsidRPr="00005453" w:rsidRDefault="007C33CE" w:rsidP="005571E3">
      <w:pPr>
        <w:tabs>
          <w:tab w:val="left" w:pos="709"/>
        </w:tabs>
        <w:autoSpaceDE w:val="0"/>
        <w:autoSpaceDN w:val="0"/>
        <w:adjustRightInd w:val="0"/>
        <w:ind w:hanging="567"/>
      </w:pPr>
    </w:p>
    <w:p w14:paraId="708EA0A4" w14:textId="77777777" w:rsidR="000B11C2" w:rsidRPr="00005453" w:rsidRDefault="000B11C2" w:rsidP="005571E3">
      <w:pPr>
        <w:tabs>
          <w:tab w:val="left" w:pos="709"/>
        </w:tabs>
        <w:autoSpaceDE w:val="0"/>
        <w:autoSpaceDN w:val="0"/>
        <w:adjustRightInd w:val="0"/>
        <w:ind w:hanging="567"/>
      </w:pPr>
    </w:p>
    <w:p w14:paraId="5B59447E" w14:textId="5121BF06" w:rsidR="007C33CE" w:rsidRPr="00005453" w:rsidRDefault="007C33CE" w:rsidP="005571E3">
      <w:pPr>
        <w:tabs>
          <w:tab w:val="left" w:pos="709"/>
        </w:tabs>
        <w:autoSpaceDE w:val="0"/>
        <w:autoSpaceDN w:val="0"/>
        <w:adjustRightInd w:val="0"/>
        <w:ind w:hanging="567"/>
      </w:pPr>
    </w:p>
    <w:p w14:paraId="16AA3BBF" w14:textId="14F65F7A" w:rsidR="007C33CE" w:rsidRPr="00005453" w:rsidRDefault="007C33CE" w:rsidP="005571E3">
      <w:pPr>
        <w:tabs>
          <w:tab w:val="left" w:pos="709"/>
        </w:tabs>
        <w:autoSpaceDE w:val="0"/>
        <w:autoSpaceDN w:val="0"/>
        <w:adjustRightInd w:val="0"/>
        <w:ind w:hanging="567"/>
      </w:pPr>
    </w:p>
    <w:p w14:paraId="1E70AC36" w14:textId="774C14EE" w:rsidR="00F20AF5" w:rsidRPr="00005453" w:rsidRDefault="00F20AF5">
      <w:pPr>
        <w:rPr>
          <w:lang w:val="en-GB" w:eastAsia="en-GB"/>
        </w:rPr>
      </w:pPr>
      <w:r w:rsidRPr="00005453">
        <w:rPr>
          <w:lang w:val="en-GB" w:eastAsia="en-GB"/>
        </w:rPr>
        <w:br w:type="page"/>
      </w:r>
    </w:p>
    <w:tbl>
      <w:tblPr>
        <w:tblW w:w="9346" w:type="dxa"/>
        <w:tblBorders>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052"/>
        <w:gridCol w:w="1740"/>
        <w:gridCol w:w="1554"/>
      </w:tblGrid>
      <w:tr w:rsidR="00A42306" w:rsidRPr="00005453" w14:paraId="61C6677E" w14:textId="77777777" w:rsidTr="000E5F12">
        <w:trPr>
          <w:divId w:val="1462917251"/>
          <w:trHeight w:val="199"/>
        </w:trPr>
        <w:tc>
          <w:tcPr>
            <w:tcW w:w="6052" w:type="dxa"/>
            <w:tcBorders>
              <w:top w:val="single" w:sz="8" w:space="0" w:color="auto"/>
            </w:tcBorders>
            <w:shd w:val="clear" w:color="auto" w:fill="auto"/>
            <w:vAlign w:val="center"/>
            <w:hideMark/>
          </w:tcPr>
          <w:p w14:paraId="460661DE" w14:textId="7D46C140" w:rsidR="00A42306" w:rsidRPr="00005453" w:rsidRDefault="00A42306" w:rsidP="00A42306">
            <w:pPr>
              <w:jc w:val="center"/>
              <w:rPr>
                <w:b/>
                <w:bCs/>
                <w:sz w:val="16"/>
                <w:szCs w:val="16"/>
                <w:lang w:eastAsia="tr-TR"/>
              </w:rPr>
            </w:pPr>
            <w:r w:rsidRPr="00005453">
              <w:rPr>
                <w:b/>
                <w:bCs/>
                <w:sz w:val="16"/>
                <w:szCs w:val="16"/>
                <w:lang w:eastAsia="tr-TR"/>
              </w:rPr>
              <w:lastRenderedPageBreak/>
              <w:t>Ana Sermaye ve Katkı Sermaye Toplamı (Toplam Özkaynak)</w:t>
            </w:r>
          </w:p>
        </w:tc>
        <w:tc>
          <w:tcPr>
            <w:tcW w:w="1740" w:type="dxa"/>
            <w:tcBorders>
              <w:top w:val="single" w:sz="8" w:space="0" w:color="auto"/>
            </w:tcBorders>
            <w:shd w:val="clear" w:color="auto" w:fill="auto"/>
            <w:vAlign w:val="center"/>
            <w:hideMark/>
          </w:tcPr>
          <w:p w14:paraId="7DE56620" w14:textId="77777777" w:rsidR="00A42306" w:rsidRPr="00005453" w:rsidRDefault="00A42306">
            <w:pPr>
              <w:jc w:val="right"/>
              <w:rPr>
                <w:sz w:val="16"/>
                <w:szCs w:val="16"/>
                <w:lang w:eastAsia="tr-TR"/>
              </w:rPr>
            </w:pPr>
            <w:r w:rsidRPr="00005453">
              <w:rPr>
                <w:sz w:val="16"/>
                <w:szCs w:val="16"/>
                <w:lang w:eastAsia="tr-TR"/>
              </w:rPr>
              <w:t> </w:t>
            </w:r>
          </w:p>
        </w:tc>
        <w:tc>
          <w:tcPr>
            <w:tcW w:w="1554" w:type="dxa"/>
            <w:tcBorders>
              <w:top w:val="single" w:sz="8" w:space="0" w:color="auto"/>
            </w:tcBorders>
            <w:shd w:val="clear" w:color="auto" w:fill="auto"/>
            <w:vAlign w:val="bottom"/>
            <w:hideMark/>
          </w:tcPr>
          <w:p w14:paraId="648BC9B7" w14:textId="77777777" w:rsidR="00A42306" w:rsidRPr="00005453" w:rsidRDefault="00A42306" w:rsidP="00A42306">
            <w:pPr>
              <w:jc w:val="right"/>
              <w:rPr>
                <w:sz w:val="16"/>
                <w:szCs w:val="16"/>
                <w:lang w:eastAsia="tr-TR"/>
              </w:rPr>
            </w:pPr>
            <w:r w:rsidRPr="00005453">
              <w:rPr>
                <w:sz w:val="16"/>
                <w:szCs w:val="16"/>
                <w:lang w:eastAsia="tr-TR"/>
              </w:rPr>
              <w:t> </w:t>
            </w:r>
          </w:p>
        </w:tc>
      </w:tr>
      <w:tr w:rsidR="001E2711" w:rsidRPr="00005453" w14:paraId="3B021D63" w14:textId="77777777" w:rsidTr="001E2711">
        <w:trPr>
          <w:divId w:val="1462917251"/>
          <w:trHeight w:val="136"/>
        </w:trPr>
        <w:tc>
          <w:tcPr>
            <w:tcW w:w="6052" w:type="dxa"/>
            <w:shd w:val="clear" w:color="auto" w:fill="auto"/>
            <w:vAlign w:val="center"/>
            <w:hideMark/>
          </w:tcPr>
          <w:p w14:paraId="137D29D6" w14:textId="77777777" w:rsidR="001E2711" w:rsidRPr="00005453" w:rsidRDefault="001E2711" w:rsidP="001E2711">
            <w:pPr>
              <w:rPr>
                <w:sz w:val="16"/>
                <w:szCs w:val="16"/>
                <w:lang w:eastAsia="tr-TR"/>
              </w:rPr>
            </w:pPr>
            <w:r w:rsidRPr="00005453">
              <w:rPr>
                <w:sz w:val="16"/>
                <w:szCs w:val="16"/>
                <w:lang w:eastAsia="tr-TR"/>
              </w:rPr>
              <w:t>Kanunun 50 ve 51 inci maddeleri hükümlerine aykırı olarak kullandırılan krediler</w:t>
            </w:r>
          </w:p>
        </w:tc>
        <w:tc>
          <w:tcPr>
            <w:tcW w:w="1740" w:type="dxa"/>
            <w:shd w:val="clear" w:color="auto" w:fill="auto"/>
            <w:vAlign w:val="center"/>
            <w:hideMark/>
          </w:tcPr>
          <w:p w14:paraId="43BAC125" w14:textId="34AED5C5"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6E909070" w14:textId="0F002014"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248D272F" w14:textId="77777777" w:rsidTr="001E2711">
        <w:trPr>
          <w:divId w:val="1462917251"/>
          <w:trHeight w:val="136"/>
        </w:trPr>
        <w:tc>
          <w:tcPr>
            <w:tcW w:w="6052" w:type="dxa"/>
            <w:shd w:val="clear" w:color="auto" w:fill="auto"/>
            <w:vAlign w:val="center"/>
            <w:hideMark/>
          </w:tcPr>
          <w:p w14:paraId="5B2E2CD0" w14:textId="77777777" w:rsidR="001E2711" w:rsidRPr="00005453" w:rsidRDefault="001E2711" w:rsidP="001E2711">
            <w:pPr>
              <w:rPr>
                <w:sz w:val="16"/>
                <w:szCs w:val="16"/>
                <w:lang w:eastAsia="tr-TR"/>
              </w:rPr>
            </w:pPr>
            <w:r w:rsidRPr="00005453">
              <w:rPr>
                <w:sz w:val="16"/>
                <w:szCs w:val="16"/>
                <w:lang w:eastAsia="tr-TR"/>
              </w:rPr>
              <w:t xml:space="preserve">Kanunun </w:t>
            </w:r>
            <w:proofErr w:type="gramStart"/>
            <w:r w:rsidRPr="00005453">
              <w:rPr>
                <w:sz w:val="16"/>
                <w:szCs w:val="16"/>
                <w:lang w:eastAsia="tr-TR"/>
              </w:rPr>
              <w:t>57 nci</w:t>
            </w:r>
            <w:proofErr w:type="gramEnd"/>
            <w:r w:rsidRPr="00005453">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40" w:type="dxa"/>
            <w:shd w:val="clear" w:color="auto" w:fill="auto"/>
            <w:vAlign w:val="center"/>
            <w:hideMark/>
          </w:tcPr>
          <w:p w14:paraId="157A1D34" w14:textId="1D8619F3" w:rsidR="001E2711" w:rsidRPr="00005453" w:rsidRDefault="001E2711" w:rsidP="001E2711">
            <w:pPr>
              <w:jc w:val="right"/>
              <w:rPr>
                <w:sz w:val="16"/>
                <w:szCs w:val="16"/>
                <w:lang w:eastAsia="tr-TR"/>
              </w:rPr>
            </w:pPr>
            <w:r w:rsidRPr="00005453">
              <w:rPr>
                <w:color w:val="000000"/>
                <w:sz w:val="16"/>
                <w:szCs w:val="18"/>
              </w:rPr>
              <w:t>180,626</w:t>
            </w:r>
          </w:p>
        </w:tc>
        <w:tc>
          <w:tcPr>
            <w:tcW w:w="1554" w:type="dxa"/>
            <w:shd w:val="clear" w:color="auto" w:fill="auto"/>
            <w:vAlign w:val="center"/>
            <w:hideMark/>
          </w:tcPr>
          <w:p w14:paraId="08BF0E1D" w14:textId="034151DB" w:rsidR="001E2711" w:rsidRPr="00005453" w:rsidRDefault="001E2711" w:rsidP="001E2711">
            <w:pPr>
              <w:jc w:val="right"/>
              <w:rPr>
                <w:sz w:val="16"/>
                <w:szCs w:val="16"/>
                <w:lang w:eastAsia="tr-TR"/>
              </w:rPr>
            </w:pPr>
            <w:r w:rsidRPr="00005453">
              <w:rPr>
                <w:color w:val="000000"/>
                <w:sz w:val="16"/>
                <w:szCs w:val="16"/>
              </w:rPr>
              <w:t>48,494</w:t>
            </w:r>
          </w:p>
        </w:tc>
      </w:tr>
      <w:tr w:rsidR="001E2711" w:rsidRPr="00005453" w14:paraId="1376549C" w14:textId="77777777" w:rsidTr="001E2711">
        <w:trPr>
          <w:divId w:val="1462917251"/>
          <w:trHeight w:val="136"/>
        </w:trPr>
        <w:tc>
          <w:tcPr>
            <w:tcW w:w="6052" w:type="dxa"/>
            <w:shd w:val="clear" w:color="auto" w:fill="auto"/>
            <w:vAlign w:val="center"/>
            <w:hideMark/>
          </w:tcPr>
          <w:p w14:paraId="5624F5D6" w14:textId="77777777" w:rsidR="001E2711" w:rsidRPr="00005453" w:rsidRDefault="001E2711" w:rsidP="001E2711">
            <w:pPr>
              <w:rPr>
                <w:sz w:val="16"/>
                <w:szCs w:val="16"/>
                <w:lang w:eastAsia="tr-TR"/>
              </w:rPr>
            </w:pPr>
            <w:r w:rsidRPr="00005453">
              <w:rPr>
                <w:sz w:val="16"/>
                <w:szCs w:val="16"/>
                <w:lang w:eastAsia="tr-TR"/>
              </w:rPr>
              <w:t>Kurulca belirlenecek diğer hesaplar</w:t>
            </w:r>
          </w:p>
        </w:tc>
        <w:tc>
          <w:tcPr>
            <w:tcW w:w="1740" w:type="dxa"/>
            <w:shd w:val="clear" w:color="auto" w:fill="auto"/>
            <w:vAlign w:val="center"/>
            <w:hideMark/>
          </w:tcPr>
          <w:p w14:paraId="62F802AF" w14:textId="1E1070A3" w:rsidR="001E2711" w:rsidRPr="00005453" w:rsidRDefault="001E2711" w:rsidP="001E2711">
            <w:pPr>
              <w:jc w:val="right"/>
              <w:rPr>
                <w:sz w:val="16"/>
                <w:szCs w:val="16"/>
                <w:lang w:eastAsia="tr-TR"/>
              </w:rPr>
            </w:pPr>
            <w:r w:rsidRPr="00005453">
              <w:rPr>
                <w:color w:val="000000"/>
                <w:sz w:val="16"/>
                <w:szCs w:val="18"/>
              </w:rPr>
              <w:t>9,286</w:t>
            </w:r>
          </w:p>
        </w:tc>
        <w:tc>
          <w:tcPr>
            <w:tcW w:w="1554" w:type="dxa"/>
            <w:shd w:val="clear" w:color="auto" w:fill="auto"/>
            <w:vAlign w:val="center"/>
            <w:hideMark/>
          </w:tcPr>
          <w:p w14:paraId="5F8BDBA6" w14:textId="70432DC6" w:rsidR="001E2711" w:rsidRPr="00005453" w:rsidRDefault="001E2711" w:rsidP="001E2711">
            <w:pPr>
              <w:jc w:val="right"/>
              <w:rPr>
                <w:sz w:val="16"/>
                <w:szCs w:val="16"/>
                <w:lang w:eastAsia="tr-TR"/>
              </w:rPr>
            </w:pPr>
            <w:r w:rsidRPr="00005453">
              <w:rPr>
                <w:color w:val="000000"/>
                <w:sz w:val="16"/>
                <w:szCs w:val="16"/>
              </w:rPr>
              <w:t>857</w:t>
            </w:r>
          </w:p>
        </w:tc>
      </w:tr>
      <w:tr w:rsidR="001E2711" w:rsidRPr="00005453" w14:paraId="4094A05D" w14:textId="77777777" w:rsidTr="001E2711">
        <w:trPr>
          <w:divId w:val="1462917251"/>
          <w:trHeight w:val="199"/>
        </w:trPr>
        <w:tc>
          <w:tcPr>
            <w:tcW w:w="6052" w:type="dxa"/>
            <w:shd w:val="clear" w:color="auto" w:fill="auto"/>
            <w:vAlign w:val="center"/>
            <w:hideMark/>
          </w:tcPr>
          <w:p w14:paraId="3D98AE54" w14:textId="77777777" w:rsidR="001E2711" w:rsidRPr="00005453" w:rsidRDefault="001E2711" w:rsidP="001E2711">
            <w:pPr>
              <w:rPr>
                <w:b/>
                <w:bCs/>
                <w:sz w:val="16"/>
                <w:szCs w:val="16"/>
                <w:lang w:eastAsia="tr-TR"/>
              </w:rPr>
            </w:pPr>
            <w:r w:rsidRPr="00005453">
              <w:rPr>
                <w:b/>
                <w:bCs/>
                <w:sz w:val="16"/>
                <w:szCs w:val="16"/>
                <w:lang w:eastAsia="tr-TR"/>
              </w:rPr>
              <w:t>Geçiş Süresince Ana Sermaye ve Katlı Sermaye Toplamından (Sermayeden) İndirilmeye Devam edecek Unsurlar</w:t>
            </w:r>
          </w:p>
        </w:tc>
        <w:tc>
          <w:tcPr>
            <w:tcW w:w="1740" w:type="dxa"/>
            <w:shd w:val="clear" w:color="auto" w:fill="auto"/>
            <w:vAlign w:val="center"/>
            <w:hideMark/>
          </w:tcPr>
          <w:p w14:paraId="25649533" w14:textId="4CAF3D38" w:rsidR="001E2711" w:rsidRPr="00005453" w:rsidRDefault="001E2711" w:rsidP="001E2711">
            <w:pPr>
              <w:jc w:val="right"/>
              <w:rPr>
                <w:b/>
                <w:sz w:val="16"/>
                <w:szCs w:val="16"/>
                <w:lang w:eastAsia="tr-TR"/>
              </w:rPr>
            </w:pPr>
          </w:p>
        </w:tc>
        <w:tc>
          <w:tcPr>
            <w:tcW w:w="1554" w:type="dxa"/>
            <w:shd w:val="clear" w:color="auto" w:fill="auto"/>
            <w:vAlign w:val="center"/>
            <w:hideMark/>
          </w:tcPr>
          <w:p w14:paraId="1EBC8059" w14:textId="79CC60A9" w:rsidR="001E2711" w:rsidRPr="00005453" w:rsidRDefault="001E2711" w:rsidP="001E2711">
            <w:pPr>
              <w:jc w:val="right"/>
              <w:rPr>
                <w:b/>
                <w:sz w:val="16"/>
                <w:szCs w:val="16"/>
                <w:lang w:eastAsia="tr-TR"/>
              </w:rPr>
            </w:pPr>
          </w:p>
        </w:tc>
      </w:tr>
      <w:tr w:rsidR="001E2711" w:rsidRPr="00005453" w14:paraId="718853C2" w14:textId="77777777" w:rsidTr="001E2711">
        <w:trPr>
          <w:divId w:val="1462917251"/>
          <w:trHeight w:val="136"/>
        </w:trPr>
        <w:tc>
          <w:tcPr>
            <w:tcW w:w="6052" w:type="dxa"/>
            <w:shd w:val="clear" w:color="auto" w:fill="auto"/>
            <w:vAlign w:val="center"/>
            <w:hideMark/>
          </w:tcPr>
          <w:p w14:paraId="20D8D4F2" w14:textId="77777777" w:rsidR="001E2711" w:rsidRPr="00005453" w:rsidRDefault="001E2711" w:rsidP="001E2711">
            <w:pPr>
              <w:rPr>
                <w:sz w:val="16"/>
                <w:szCs w:val="16"/>
                <w:lang w:eastAsia="tr-TR"/>
              </w:rPr>
            </w:pPr>
            <w:r w:rsidRPr="00005453">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005453">
              <w:rPr>
                <w:sz w:val="16"/>
                <w:szCs w:val="16"/>
                <w:lang w:eastAsia="tr-TR"/>
              </w:rPr>
              <w:t>2 nci</w:t>
            </w:r>
            <w:proofErr w:type="gramEnd"/>
            <w:r w:rsidRPr="00005453">
              <w:rPr>
                <w:sz w:val="16"/>
                <w:szCs w:val="16"/>
                <w:lang w:eastAsia="tr-TR"/>
              </w:rPr>
              <w:t xml:space="preserve"> maddesinin birinci fıkrası uyarınca çekirdek sermayeden, ilave ana sermayeden ve katkı sermayeden indirilmeyen kısmı</w:t>
            </w:r>
          </w:p>
        </w:tc>
        <w:tc>
          <w:tcPr>
            <w:tcW w:w="1740" w:type="dxa"/>
            <w:shd w:val="clear" w:color="auto" w:fill="auto"/>
            <w:vAlign w:val="center"/>
            <w:hideMark/>
          </w:tcPr>
          <w:p w14:paraId="396E147E" w14:textId="36FDFC64"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4F14F1AD" w14:textId="1A8E2F17"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6D33B2CB" w14:textId="77777777" w:rsidTr="001E2711">
        <w:trPr>
          <w:divId w:val="1462917251"/>
          <w:trHeight w:val="136"/>
        </w:trPr>
        <w:tc>
          <w:tcPr>
            <w:tcW w:w="6052" w:type="dxa"/>
            <w:shd w:val="clear" w:color="auto" w:fill="auto"/>
            <w:vAlign w:val="center"/>
            <w:hideMark/>
          </w:tcPr>
          <w:p w14:paraId="1602387C" w14:textId="77777777" w:rsidR="001E2711" w:rsidRPr="00005453" w:rsidRDefault="001E2711" w:rsidP="001E2711">
            <w:pPr>
              <w:rPr>
                <w:sz w:val="16"/>
                <w:szCs w:val="16"/>
                <w:lang w:eastAsia="tr-TR"/>
              </w:rPr>
            </w:pPr>
            <w:r w:rsidRPr="00005453">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005453">
              <w:rPr>
                <w:sz w:val="16"/>
                <w:szCs w:val="16"/>
                <w:lang w:eastAsia="tr-TR"/>
              </w:rPr>
              <w:t>2 nci</w:t>
            </w:r>
            <w:proofErr w:type="gramEnd"/>
            <w:r w:rsidRPr="00005453">
              <w:rPr>
                <w:sz w:val="16"/>
                <w:szCs w:val="16"/>
                <w:lang w:eastAsia="tr-TR"/>
              </w:rPr>
              <w:t xml:space="preserve"> maddesinin birinci fıkrası uyarınca, ilave ana sermayeden ve katkı sermayeden indirilmeyen kısmı</w:t>
            </w:r>
          </w:p>
        </w:tc>
        <w:tc>
          <w:tcPr>
            <w:tcW w:w="1740" w:type="dxa"/>
            <w:shd w:val="clear" w:color="auto" w:fill="auto"/>
            <w:vAlign w:val="center"/>
            <w:hideMark/>
          </w:tcPr>
          <w:p w14:paraId="6E3D9C06" w14:textId="489092A2"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4C978E1C" w14:textId="3AE65DA5"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40D6EE74" w14:textId="77777777" w:rsidTr="001E2711">
        <w:trPr>
          <w:divId w:val="1462917251"/>
          <w:trHeight w:val="136"/>
        </w:trPr>
        <w:tc>
          <w:tcPr>
            <w:tcW w:w="6052" w:type="dxa"/>
            <w:shd w:val="clear" w:color="auto" w:fill="auto"/>
            <w:vAlign w:val="center"/>
            <w:hideMark/>
          </w:tcPr>
          <w:p w14:paraId="735F01CA" w14:textId="77777777" w:rsidR="001E2711" w:rsidRPr="00005453" w:rsidRDefault="001E2711" w:rsidP="001E2711">
            <w:pPr>
              <w:rPr>
                <w:sz w:val="16"/>
                <w:szCs w:val="16"/>
                <w:lang w:eastAsia="tr-TR"/>
              </w:rPr>
            </w:pPr>
            <w:r w:rsidRPr="00005453">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740" w:type="dxa"/>
            <w:shd w:val="clear" w:color="auto" w:fill="auto"/>
            <w:vAlign w:val="center"/>
            <w:hideMark/>
          </w:tcPr>
          <w:p w14:paraId="1ED49FE4" w14:textId="1C0A0CFC"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5E06AAE5" w14:textId="3D8D7476"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6C1A063D" w14:textId="77777777" w:rsidTr="001E2711">
        <w:trPr>
          <w:divId w:val="1462917251"/>
          <w:trHeight w:val="199"/>
        </w:trPr>
        <w:tc>
          <w:tcPr>
            <w:tcW w:w="6052" w:type="dxa"/>
            <w:shd w:val="clear" w:color="auto" w:fill="auto"/>
            <w:vAlign w:val="center"/>
            <w:hideMark/>
          </w:tcPr>
          <w:p w14:paraId="1086BB20" w14:textId="77777777" w:rsidR="001E2711" w:rsidRPr="00005453" w:rsidRDefault="001E2711" w:rsidP="001E2711">
            <w:pPr>
              <w:jc w:val="center"/>
              <w:rPr>
                <w:b/>
                <w:bCs/>
                <w:sz w:val="16"/>
                <w:szCs w:val="16"/>
                <w:lang w:eastAsia="tr-TR"/>
              </w:rPr>
            </w:pPr>
            <w:r w:rsidRPr="00005453">
              <w:rPr>
                <w:b/>
                <w:bCs/>
                <w:sz w:val="16"/>
                <w:szCs w:val="16"/>
                <w:lang w:eastAsia="tr-TR"/>
              </w:rPr>
              <w:t>ÖZKAYNAK</w:t>
            </w:r>
          </w:p>
        </w:tc>
        <w:tc>
          <w:tcPr>
            <w:tcW w:w="1740" w:type="dxa"/>
            <w:shd w:val="clear" w:color="auto" w:fill="auto"/>
            <w:vAlign w:val="center"/>
            <w:hideMark/>
          </w:tcPr>
          <w:p w14:paraId="1BC56C15" w14:textId="30A53E76" w:rsidR="001E2711" w:rsidRPr="00005453" w:rsidRDefault="001E2711" w:rsidP="001E2711">
            <w:pPr>
              <w:jc w:val="right"/>
              <w:rPr>
                <w:sz w:val="16"/>
                <w:szCs w:val="16"/>
                <w:lang w:eastAsia="tr-TR"/>
              </w:rPr>
            </w:pPr>
          </w:p>
        </w:tc>
        <w:tc>
          <w:tcPr>
            <w:tcW w:w="1554" w:type="dxa"/>
            <w:shd w:val="clear" w:color="auto" w:fill="auto"/>
            <w:vAlign w:val="center"/>
            <w:hideMark/>
          </w:tcPr>
          <w:p w14:paraId="7FD0109B" w14:textId="1FC20131" w:rsidR="001E2711" w:rsidRPr="00005453" w:rsidRDefault="001E2711" w:rsidP="001E2711">
            <w:pPr>
              <w:jc w:val="right"/>
              <w:rPr>
                <w:sz w:val="16"/>
                <w:szCs w:val="16"/>
                <w:lang w:eastAsia="tr-TR"/>
              </w:rPr>
            </w:pPr>
          </w:p>
        </w:tc>
      </w:tr>
      <w:tr w:rsidR="001E2711" w:rsidRPr="00005453" w14:paraId="30C0AEE9" w14:textId="77777777" w:rsidTr="001E2711">
        <w:trPr>
          <w:divId w:val="1462917251"/>
          <w:trHeight w:val="136"/>
        </w:trPr>
        <w:tc>
          <w:tcPr>
            <w:tcW w:w="6052" w:type="dxa"/>
            <w:shd w:val="clear" w:color="auto" w:fill="auto"/>
            <w:vAlign w:val="center"/>
            <w:hideMark/>
          </w:tcPr>
          <w:p w14:paraId="3D6E3CC9" w14:textId="77777777" w:rsidR="001E2711" w:rsidRPr="00005453" w:rsidRDefault="001E2711" w:rsidP="001E2711">
            <w:pPr>
              <w:rPr>
                <w:sz w:val="16"/>
                <w:szCs w:val="16"/>
                <w:lang w:eastAsia="tr-TR"/>
              </w:rPr>
            </w:pPr>
            <w:r w:rsidRPr="00005453">
              <w:rPr>
                <w:sz w:val="16"/>
                <w:szCs w:val="16"/>
                <w:lang w:eastAsia="tr-TR"/>
              </w:rPr>
              <w:t xml:space="preserve">Toplam Özkaynak </w:t>
            </w:r>
            <w:proofErr w:type="gramStart"/>
            <w:r w:rsidRPr="00005453">
              <w:rPr>
                <w:sz w:val="16"/>
                <w:szCs w:val="16"/>
                <w:lang w:eastAsia="tr-TR"/>
              </w:rPr>
              <w:t>( Ana</w:t>
            </w:r>
            <w:proofErr w:type="gramEnd"/>
            <w:r w:rsidRPr="00005453">
              <w:rPr>
                <w:sz w:val="16"/>
                <w:szCs w:val="16"/>
                <w:lang w:eastAsia="tr-TR"/>
              </w:rPr>
              <w:t xml:space="preserve"> sermaye ve katkı sermaye toplamı)</w:t>
            </w:r>
          </w:p>
        </w:tc>
        <w:tc>
          <w:tcPr>
            <w:tcW w:w="1740" w:type="dxa"/>
            <w:shd w:val="clear" w:color="auto" w:fill="auto"/>
            <w:vAlign w:val="center"/>
            <w:hideMark/>
          </w:tcPr>
          <w:p w14:paraId="491EB0C7" w14:textId="75651ED9" w:rsidR="001E2711" w:rsidRPr="00005453" w:rsidRDefault="001E2711" w:rsidP="001E2711">
            <w:pPr>
              <w:jc w:val="right"/>
              <w:rPr>
                <w:sz w:val="16"/>
                <w:szCs w:val="16"/>
                <w:lang w:eastAsia="tr-TR"/>
              </w:rPr>
            </w:pPr>
            <w:r w:rsidRPr="00005453">
              <w:rPr>
                <w:color w:val="000000"/>
                <w:sz w:val="16"/>
                <w:szCs w:val="18"/>
              </w:rPr>
              <w:t>97,272,056</w:t>
            </w:r>
          </w:p>
        </w:tc>
        <w:tc>
          <w:tcPr>
            <w:tcW w:w="1554" w:type="dxa"/>
            <w:shd w:val="clear" w:color="auto" w:fill="auto"/>
            <w:vAlign w:val="center"/>
            <w:hideMark/>
          </w:tcPr>
          <w:p w14:paraId="3970A041" w14:textId="4C3D4C43" w:rsidR="001E2711" w:rsidRPr="00005453" w:rsidRDefault="001E2711" w:rsidP="001E2711">
            <w:pPr>
              <w:jc w:val="right"/>
              <w:rPr>
                <w:sz w:val="16"/>
                <w:szCs w:val="16"/>
                <w:lang w:eastAsia="tr-TR"/>
              </w:rPr>
            </w:pPr>
            <w:r w:rsidRPr="00005453">
              <w:rPr>
                <w:color w:val="000000"/>
                <w:sz w:val="16"/>
                <w:szCs w:val="16"/>
              </w:rPr>
              <w:t>66,892,662</w:t>
            </w:r>
          </w:p>
        </w:tc>
      </w:tr>
      <w:tr w:rsidR="001E2711" w:rsidRPr="00005453" w14:paraId="0C5CB849" w14:textId="77777777" w:rsidTr="001E2711">
        <w:trPr>
          <w:divId w:val="1462917251"/>
          <w:trHeight w:val="136"/>
        </w:trPr>
        <w:tc>
          <w:tcPr>
            <w:tcW w:w="6052" w:type="dxa"/>
            <w:shd w:val="clear" w:color="auto" w:fill="auto"/>
            <w:vAlign w:val="center"/>
            <w:hideMark/>
          </w:tcPr>
          <w:p w14:paraId="6B02FD8E" w14:textId="77777777" w:rsidR="001E2711" w:rsidRPr="00005453" w:rsidRDefault="001E2711" w:rsidP="001E2711">
            <w:pPr>
              <w:rPr>
                <w:sz w:val="16"/>
                <w:szCs w:val="16"/>
                <w:lang w:eastAsia="tr-TR"/>
              </w:rPr>
            </w:pPr>
            <w:r w:rsidRPr="00005453">
              <w:rPr>
                <w:sz w:val="16"/>
                <w:szCs w:val="16"/>
                <w:lang w:eastAsia="tr-TR"/>
              </w:rPr>
              <w:t>Toplam Risk Ağırlıklı Tutarlar</w:t>
            </w:r>
          </w:p>
        </w:tc>
        <w:tc>
          <w:tcPr>
            <w:tcW w:w="1740" w:type="dxa"/>
            <w:shd w:val="clear" w:color="auto" w:fill="auto"/>
            <w:vAlign w:val="center"/>
            <w:hideMark/>
          </w:tcPr>
          <w:p w14:paraId="6CC6136A" w14:textId="6F988431" w:rsidR="001E2711" w:rsidRPr="00005453" w:rsidRDefault="001E2711" w:rsidP="001E2711">
            <w:pPr>
              <w:jc w:val="right"/>
              <w:rPr>
                <w:sz w:val="16"/>
                <w:szCs w:val="16"/>
                <w:lang w:eastAsia="tr-TR"/>
              </w:rPr>
            </w:pPr>
            <w:r w:rsidRPr="00005453">
              <w:rPr>
                <w:color w:val="000000"/>
                <w:sz w:val="16"/>
                <w:szCs w:val="18"/>
              </w:rPr>
              <w:t>397,708,358</w:t>
            </w:r>
          </w:p>
        </w:tc>
        <w:tc>
          <w:tcPr>
            <w:tcW w:w="1554" w:type="dxa"/>
            <w:shd w:val="clear" w:color="auto" w:fill="auto"/>
            <w:vAlign w:val="center"/>
            <w:hideMark/>
          </w:tcPr>
          <w:p w14:paraId="05E3B9D4" w14:textId="299BB4D5" w:rsidR="001E2711" w:rsidRPr="00005453" w:rsidRDefault="001E2711" w:rsidP="001E2711">
            <w:pPr>
              <w:jc w:val="right"/>
              <w:rPr>
                <w:sz w:val="16"/>
                <w:szCs w:val="16"/>
                <w:lang w:eastAsia="tr-TR"/>
              </w:rPr>
            </w:pPr>
            <w:r w:rsidRPr="00005453">
              <w:rPr>
                <w:color w:val="000000"/>
                <w:sz w:val="16"/>
                <w:szCs w:val="16"/>
              </w:rPr>
              <w:t>264,700,050</w:t>
            </w:r>
          </w:p>
        </w:tc>
      </w:tr>
      <w:tr w:rsidR="001E2711" w:rsidRPr="00005453" w14:paraId="7B04C9B2" w14:textId="77777777" w:rsidTr="001E2711">
        <w:trPr>
          <w:divId w:val="1462917251"/>
          <w:trHeight w:val="199"/>
        </w:trPr>
        <w:tc>
          <w:tcPr>
            <w:tcW w:w="6052" w:type="dxa"/>
            <w:shd w:val="clear" w:color="auto" w:fill="auto"/>
            <w:vAlign w:val="center"/>
            <w:hideMark/>
          </w:tcPr>
          <w:p w14:paraId="5C1679D2" w14:textId="77777777" w:rsidR="001E2711" w:rsidRPr="00005453" w:rsidRDefault="001E2711" w:rsidP="001E2711">
            <w:pPr>
              <w:jc w:val="center"/>
              <w:rPr>
                <w:b/>
                <w:bCs/>
                <w:sz w:val="16"/>
                <w:szCs w:val="16"/>
                <w:lang w:eastAsia="tr-TR"/>
              </w:rPr>
            </w:pPr>
            <w:r w:rsidRPr="00005453">
              <w:rPr>
                <w:b/>
                <w:bCs/>
                <w:sz w:val="16"/>
                <w:szCs w:val="16"/>
                <w:lang w:eastAsia="tr-TR"/>
              </w:rPr>
              <w:t>SERMAYE YETERLİLİĞİ ORANLARI</w:t>
            </w:r>
          </w:p>
        </w:tc>
        <w:tc>
          <w:tcPr>
            <w:tcW w:w="1740" w:type="dxa"/>
            <w:shd w:val="clear" w:color="auto" w:fill="auto"/>
            <w:vAlign w:val="center"/>
            <w:hideMark/>
          </w:tcPr>
          <w:p w14:paraId="654C5B0F" w14:textId="74C8C893" w:rsidR="001E2711" w:rsidRPr="00005453" w:rsidRDefault="001E2711" w:rsidP="001E2711">
            <w:pPr>
              <w:jc w:val="right"/>
              <w:rPr>
                <w:sz w:val="16"/>
                <w:szCs w:val="16"/>
                <w:lang w:eastAsia="tr-TR"/>
              </w:rPr>
            </w:pPr>
          </w:p>
        </w:tc>
        <w:tc>
          <w:tcPr>
            <w:tcW w:w="1554" w:type="dxa"/>
            <w:shd w:val="clear" w:color="auto" w:fill="auto"/>
            <w:vAlign w:val="center"/>
            <w:hideMark/>
          </w:tcPr>
          <w:p w14:paraId="3D4E2C43" w14:textId="55C3A198" w:rsidR="001E2711" w:rsidRPr="00005453" w:rsidRDefault="001E2711" w:rsidP="001E2711">
            <w:pPr>
              <w:jc w:val="right"/>
              <w:rPr>
                <w:sz w:val="16"/>
                <w:szCs w:val="16"/>
                <w:lang w:eastAsia="tr-TR"/>
              </w:rPr>
            </w:pPr>
          </w:p>
        </w:tc>
      </w:tr>
      <w:tr w:rsidR="001E2711" w:rsidRPr="00005453" w14:paraId="0A525E6B" w14:textId="77777777" w:rsidTr="001E2711">
        <w:trPr>
          <w:divId w:val="1462917251"/>
          <w:trHeight w:val="136"/>
        </w:trPr>
        <w:tc>
          <w:tcPr>
            <w:tcW w:w="6052" w:type="dxa"/>
            <w:shd w:val="clear" w:color="auto" w:fill="auto"/>
            <w:vAlign w:val="center"/>
            <w:hideMark/>
          </w:tcPr>
          <w:p w14:paraId="01BABD2F" w14:textId="77777777" w:rsidR="001E2711" w:rsidRPr="00005453" w:rsidRDefault="001E2711" w:rsidP="001E2711">
            <w:pPr>
              <w:rPr>
                <w:sz w:val="16"/>
                <w:szCs w:val="16"/>
                <w:lang w:eastAsia="tr-TR"/>
              </w:rPr>
            </w:pPr>
            <w:r w:rsidRPr="00005453">
              <w:rPr>
                <w:sz w:val="16"/>
                <w:szCs w:val="16"/>
                <w:lang w:eastAsia="tr-TR"/>
              </w:rPr>
              <w:t>Çekirdek Sermaye Yeterliliği Oranı (%)</w:t>
            </w:r>
          </w:p>
        </w:tc>
        <w:tc>
          <w:tcPr>
            <w:tcW w:w="1740" w:type="dxa"/>
            <w:shd w:val="clear" w:color="auto" w:fill="auto"/>
            <w:vAlign w:val="center"/>
            <w:hideMark/>
          </w:tcPr>
          <w:p w14:paraId="73F86FF0" w14:textId="52066E1C" w:rsidR="001E2711" w:rsidRPr="00005453" w:rsidRDefault="001E2711" w:rsidP="001E2711">
            <w:pPr>
              <w:jc w:val="right"/>
              <w:rPr>
                <w:sz w:val="16"/>
                <w:szCs w:val="16"/>
                <w:lang w:eastAsia="tr-TR"/>
              </w:rPr>
            </w:pPr>
            <w:r w:rsidRPr="00005453">
              <w:rPr>
                <w:color w:val="000000"/>
                <w:sz w:val="16"/>
                <w:szCs w:val="18"/>
              </w:rPr>
              <w:t>20.02</w:t>
            </w:r>
          </w:p>
        </w:tc>
        <w:tc>
          <w:tcPr>
            <w:tcW w:w="1554" w:type="dxa"/>
            <w:shd w:val="clear" w:color="auto" w:fill="auto"/>
            <w:vAlign w:val="center"/>
            <w:hideMark/>
          </w:tcPr>
          <w:p w14:paraId="1CEB4F6A" w14:textId="70AC8EAE" w:rsidR="001E2711" w:rsidRPr="00005453" w:rsidRDefault="001E2711" w:rsidP="001E2711">
            <w:pPr>
              <w:jc w:val="right"/>
              <w:rPr>
                <w:sz w:val="16"/>
                <w:szCs w:val="16"/>
                <w:lang w:eastAsia="tr-TR"/>
              </w:rPr>
            </w:pPr>
            <w:r w:rsidRPr="00005453">
              <w:rPr>
                <w:color w:val="000000"/>
                <w:sz w:val="16"/>
                <w:szCs w:val="16"/>
              </w:rPr>
              <w:t>17.74</w:t>
            </w:r>
          </w:p>
        </w:tc>
      </w:tr>
      <w:tr w:rsidR="001E2711" w:rsidRPr="00005453" w14:paraId="4E0FE3F7" w14:textId="77777777" w:rsidTr="001E2711">
        <w:trPr>
          <w:divId w:val="1462917251"/>
          <w:trHeight w:val="136"/>
        </w:trPr>
        <w:tc>
          <w:tcPr>
            <w:tcW w:w="6052" w:type="dxa"/>
            <w:shd w:val="clear" w:color="auto" w:fill="auto"/>
            <w:vAlign w:val="center"/>
            <w:hideMark/>
          </w:tcPr>
          <w:p w14:paraId="14FCD83C" w14:textId="77777777" w:rsidR="001E2711" w:rsidRPr="00005453" w:rsidRDefault="001E2711" w:rsidP="001E2711">
            <w:pPr>
              <w:rPr>
                <w:sz w:val="16"/>
                <w:szCs w:val="16"/>
                <w:lang w:eastAsia="tr-TR"/>
              </w:rPr>
            </w:pPr>
            <w:r w:rsidRPr="00005453">
              <w:rPr>
                <w:sz w:val="16"/>
                <w:szCs w:val="16"/>
                <w:lang w:eastAsia="tr-TR"/>
              </w:rPr>
              <w:t>Ana Sermaye Yeterliliği Oranı (%)</w:t>
            </w:r>
          </w:p>
        </w:tc>
        <w:tc>
          <w:tcPr>
            <w:tcW w:w="1740" w:type="dxa"/>
            <w:shd w:val="clear" w:color="auto" w:fill="auto"/>
            <w:vAlign w:val="center"/>
            <w:hideMark/>
          </w:tcPr>
          <w:p w14:paraId="43003377" w14:textId="31F54B7E" w:rsidR="001E2711" w:rsidRPr="00005453" w:rsidRDefault="001E2711" w:rsidP="001E2711">
            <w:pPr>
              <w:jc w:val="right"/>
              <w:rPr>
                <w:sz w:val="16"/>
                <w:szCs w:val="16"/>
                <w:lang w:eastAsia="tr-TR"/>
              </w:rPr>
            </w:pPr>
            <w:r w:rsidRPr="00005453">
              <w:rPr>
                <w:color w:val="000000"/>
                <w:sz w:val="16"/>
                <w:szCs w:val="18"/>
              </w:rPr>
              <w:t>20.47</w:t>
            </w:r>
          </w:p>
        </w:tc>
        <w:tc>
          <w:tcPr>
            <w:tcW w:w="1554" w:type="dxa"/>
            <w:shd w:val="clear" w:color="auto" w:fill="auto"/>
            <w:vAlign w:val="center"/>
            <w:hideMark/>
          </w:tcPr>
          <w:p w14:paraId="79C32283" w14:textId="0ECEEEBF" w:rsidR="001E2711" w:rsidRPr="00005453" w:rsidRDefault="001E2711" w:rsidP="001E2711">
            <w:pPr>
              <w:jc w:val="right"/>
              <w:rPr>
                <w:sz w:val="16"/>
                <w:szCs w:val="16"/>
                <w:lang w:eastAsia="tr-TR"/>
              </w:rPr>
            </w:pPr>
            <w:r w:rsidRPr="00005453">
              <w:rPr>
                <w:color w:val="000000"/>
                <w:sz w:val="16"/>
                <w:szCs w:val="16"/>
              </w:rPr>
              <w:t>20.52</w:t>
            </w:r>
          </w:p>
        </w:tc>
      </w:tr>
      <w:tr w:rsidR="001E2711" w:rsidRPr="00005453" w14:paraId="7810554A" w14:textId="77777777" w:rsidTr="001E2711">
        <w:trPr>
          <w:divId w:val="1462917251"/>
          <w:trHeight w:val="136"/>
        </w:trPr>
        <w:tc>
          <w:tcPr>
            <w:tcW w:w="6052" w:type="dxa"/>
            <w:shd w:val="clear" w:color="auto" w:fill="auto"/>
            <w:vAlign w:val="center"/>
            <w:hideMark/>
          </w:tcPr>
          <w:p w14:paraId="52A9559E" w14:textId="77777777" w:rsidR="001E2711" w:rsidRPr="00005453" w:rsidRDefault="001E2711" w:rsidP="001E2711">
            <w:pPr>
              <w:rPr>
                <w:sz w:val="16"/>
                <w:szCs w:val="16"/>
                <w:lang w:eastAsia="tr-TR"/>
              </w:rPr>
            </w:pPr>
            <w:r w:rsidRPr="00005453">
              <w:rPr>
                <w:sz w:val="16"/>
                <w:szCs w:val="16"/>
                <w:lang w:eastAsia="tr-TR"/>
              </w:rPr>
              <w:t>Sermaye Yeterliliği Oranı (%)</w:t>
            </w:r>
          </w:p>
        </w:tc>
        <w:tc>
          <w:tcPr>
            <w:tcW w:w="1740" w:type="dxa"/>
            <w:shd w:val="clear" w:color="auto" w:fill="auto"/>
            <w:vAlign w:val="center"/>
            <w:hideMark/>
          </w:tcPr>
          <w:p w14:paraId="454674E6" w14:textId="724A4BDE" w:rsidR="001E2711" w:rsidRPr="00005453" w:rsidRDefault="001E2711" w:rsidP="001E2711">
            <w:pPr>
              <w:jc w:val="right"/>
              <w:rPr>
                <w:sz w:val="16"/>
                <w:szCs w:val="16"/>
                <w:lang w:eastAsia="tr-TR"/>
              </w:rPr>
            </w:pPr>
            <w:r w:rsidRPr="00005453">
              <w:rPr>
                <w:color w:val="000000"/>
                <w:sz w:val="16"/>
                <w:szCs w:val="18"/>
              </w:rPr>
              <w:t>24.46</w:t>
            </w:r>
          </w:p>
        </w:tc>
        <w:tc>
          <w:tcPr>
            <w:tcW w:w="1554" w:type="dxa"/>
            <w:shd w:val="clear" w:color="auto" w:fill="auto"/>
            <w:vAlign w:val="center"/>
            <w:hideMark/>
          </w:tcPr>
          <w:p w14:paraId="3AFF87FA" w14:textId="11EACAB6" w:rsidR="001E2711" w:rsidRPr="00005453" w:rsidRDefault="001E2711" w:rsidP="001E2711">
            <w:pPr>
              <w:jc w:val="right"/>
              <w:rPr>
                <w:sz w:val="16"/>
                <w:szCs w:val="16"/>
                <w:lang w:eastAsia="tr-TR"/>
              </w:rPr>
            </w:pPr>
            <w:r w:rsidRPr="00005453">
              <w:rPr>
                <w:color w:val="000000"/>
                <w:sz w:val="16"/>
                <w:szCs w:val="16"/>
              </w:rPr>
              <w:t>25.27</w:t>
            </w:r>
          </w:p>
        </w:tc>
      </w:tr>
      <w:tr w:rsidR="001E2711" w:rsidRPr="00005453" w14:paraId="170F0A33" w14:textId="77777777" w:rsidTr="001E2711">
        <w:trPr>
          <w:divId w:val="1462917251"/>
          <w:trHeight w:val="199"/>
        </w:trPr>
        <w:tc>
          <w:tcPr>
            <w:tcW w:w="6052" w:type="dxa"/>
            <w:shd w:val="clear" w:color="auto" w:fill="auto"/>
            <w:vAlign w:val="center"/>
            <w:hideMark/>
          </w:tcPr>
          <w:p w14:paraId="25A4DF10" w14:textId="77777777" w:rsidR="001E2711" w:rsidRPr="00005453" w:rsidRDefault="001E2711" w:rsidP="001E2711">
            <w:pPr>
              <w:jc w:val="center"/>
              <w:rPr>
                <w:b/>
                <w:bCs/>
                <w:sz w:val="16"/>
                <w:szCs w:val="16"/>
                <w:lang w:eastAsia="tr-TR"/>
              </w:rPr>
            </w:pPr>
            <w:r w:rsidRPr="00005453">
              <w:rPr>
                <w:b/>
                <w:bCs/>
                <w:sz w:val="16"/>
                <w:szCs w:val="16"/>
                <w:lang w:eastAsia="tr-TR"/>
              </w:rPr>
              <w:t>TAMPONLAR</w:t>
            </w:r>
          </w:p>
        </w:tc>
        <w:tc>
          <w:tcPr>
            <w:tcW w:w="1740" w:type="dxa"/>
            <w:shd w:val="clear" w:color="auto" w:fill="auto"/>
            <w:vAlign w:val="center"/>
            <w:hideMark/>
          </w:tcPr>
          <w:p w14:paraId="410E20EF" w14:textId="4DF1AA92" w:rsidR="001E2711" w:rsidRPr="00005453" w:rsidRDefault="001E2711" w:rsidP="001E2711">
            <w:pPr>
              <w:jc w:val="right"/>
              <w:rPr>
                <w:sz w:val="16"/>
                <w:szCs w:val="16"/>
                <w:lang w:eastAsia="tr-TR"/>
              </w:rPr>
            </w:pPr>
          </w:p>
        </w:tc>
        <w:tc>
          <w:tcPr>
            <w:tcW w:w="1554" w:type="dxa"/>
            <w:shd w:val="clear" w:color="auto" w:fill="auto"/>
            <w:vAlign w:val="center"/>
            <w:hideMark/>
          </w:tcPr>
          <w:p w14:paraId="56124C89" w14:textId="4B298B44" w:rsidR="001E2711" w:rsidRPr="00005453" w:rsidRDefault="001E2711" w:rsidP="001E2711">
            <w:pPr>
              <w:jc w:val="right"/>
              <w:rPr>
                <w:sz w:val="16"/>
                <w:szCs w:val="16"/>
                <w:lang w:eastAsia="tr-TR"/>
              </w:rPr>
            </w:pPr>
          </w:p>
        </w:tc>
      </w:tr>
      <w:tr w:rsidR="001E2711" w:rsidRPr="00005453" w14:paraId="76A8750C" w14:textId="77777777" w:rsidTr="001E2711">
        <w:trPr>
          <w:divId w:val="1462917251"/>
          <w:trHeight w:val="136"/>
        </w:trPr>
        <w:tc>
          <w:tcPr>
            <w:tcW w:w="6052" w:type="dxa"/>
            <w:shd w:val="clear" w:color="auto" w:fill="auto"/>
            <w:vAlign w:val="center"/>
            <w:hideMark/>
          </w:tcPr>
          <w:p w14:paraId="3707059E" w14:textId="77777777" w:rsidR="001E2711" w:rsidRPr="00005453" w:rsidRDefault="001E2711" w:rsidP="001E2711">
            <w:pPr>
              <w:rPr>
                <w:sz w:val="16"/>
                <w:szCs w:val="16"/>
                <w:lang w:eastAsia="tr-TR"/>
              </w:rPr>
            </w:pPr>
            <w:r w:rsidRPr="00005453">
              <w:rPr>
                <w:sz w:val="16"/>
                <w:szCs w:val="16"/>
                <w:lang w:eastAsia="tr-TR"/>
              </w:rPr>
              <w:t>Bankaya özgü toplam çekirdek sermaye oranı</w:t>
            </w:r>
          </w:p>
        </w:tc>
        <w:tc>
          <w:tcPr>
            <w:tcW w:w="1740" w:type="dxa"/>
            <w:shd w:val="clear" w:color="auto" w:fill="auto"/>
            <w:vAlign w:val="center"/>
            <w:hideMark/>
          </w:tcPr>
          <w:p w14:paraId="236F55FE" w14:textId="4285EA32" w:rsidR="001E2711" w:rsidRPr="00005453" w:rsidRDefault="001E2711" w:rsidP="001E2711">
            <w:pPr>
              <w:jc w:val="right"/>
              <w:rPr>
                <w:sz w:val="16"/>
                <w:szCs w:val="16"/>
                <w:lang w:eastAsia="tr-TR"/>
              </w:rPr>
            </w:pPr>
            <w:r w:rsidRPr="00005453">
              <w:rPr>
                <w:color w:val="000000"/>
                <w:sz w:val="16"/>
                <w:szCs w:val="18"/>
              </w:rPr>
              <w:t>2.52</w:t>
            </w:r>
          </w:p>
        </w:tc>
        <w:tc>
          <w:tcPr>
            <w:tcW w:w="1554" w:type="dxa"/>
            <w:shd w:val="clear" w:color="auto" w:fill="auto"/>
            <w:vAlign w:val="center"/>
            <w:hideMark/>
          </w:tcPr>
          <w:p w14:paraId="0142B1B7" w14:textId="1EC839B2" w:rsidR="001E2711" w:rsidRPr="00005453" w:rsidRDefault="001E2711" w:rsidP="001E2711">
            <w:pPr>
              <w:jc w:val="right"/>
              <w:rPr>
                <w:sz w:val="16"/>
                <w:szCs w:val="16"/>
                <w:lang w:eastAsia="tr-TR"/>
              </w:rPr>
            </w:pPr>
            <w:r w:rsidRPr="00005453">
              <w:rPr>
                <w:color w:val="000000"/>
                <w:sz w:val="16"/>
                <w:szCs w:val="16"/>
              </w:rPr>
              <w:t>2.52</w:t>
            </w:r>
          </w:p>
        </w:tc>
      </w:tr>
      <w:tr w:rsidR="001E2711" w:rsidRPr="00005453" w14:paraId="770264E1" w14:textId="77777777" w:rsidTr="001E2711">
        <w:trPr>
          <w:divId w:val="1462917251"/>
          <w:trHeight w:val="136"/>
        </w:trPr>
        <w:tc>
          <w:tcPr>
            <w:tcW w:w="6052" w:type="dxa"/>
            <w:shd w:val="clear" w:color="auto" w:fill="auto"/>
            <w:vAlign w:val="center"/>
            <w:hideMark/>
          </w:tcPr>
          <w:p w14:paraId="379F36B6" w14:textId="77777777" w:rsidR="001E2711" w:rsidRPr="00005453" w:rsidRDefault="001E2711" w:rsidP="001E2711">
            <w:pPr>
              <w:rPr>
                <w:sz w:val="16"/>
                <w:szCs w:val="16"/>
                <w:lang w:eastAsia="tr-TR"/>
              </w:rPr>
            </w:pPr>
            <w:r w:rsidRPr="00005453">
              <w:rPr>
                <w:sz w:val="16"/>
                <w:szCs w:val="16"/>
                <w:lang w:eastAsia="tr-TR"/>
              </w:rPr>
              <w:t>Sermaye koruma tamponu oranı (%)</w:t>
            </w:r>
          </w:p>
        </w:tc>
        <w:tc>
          <w:tcPr>
            <w:tcW w:w="1740" w:type="dxa"/>
            <w:shd w:val="clear" w:color="auto" w:fill="auto"/>
            <w:vAlign w:val="center"/>
            <w:hideMark/>
          </w:tcPr>
          <w:p w14:paraId="7202B1F7" w14:textId="23EF1AFB" w:rsidR="001E2711" w:rsidRPr="00005453" w:rsidRDefault="001E2711" w:rsidP="001E2711">
            <w:pPr>
              <w:jc w:val="right"/>
              <w:rPr>
                <w:sz w:val="16"/>
                <w:szCs w:val="16"/>
                <w:lang w:eastAsia="tr-TR"/>
              </w:rPr>
            </w:pPr>
            <w:r w:rsidRPr="00005453">
              <w:rPr>
                <w:color w:val="000000"/>
                <w:sz w:val="16"/>
                <w:szCs w:val="18"/>
              </w:rPr>
              <w:t>2.50</w:t>
            </w:r>
          </w:p>
        </w:tc>
        <w:tc>
          <w:tcPr>
            <w:tcW w:w="1554" w:type="dxa"/>
            <w:shd w:val="clear" w:color="auto" w:fill="auto"/>
            <w:vAlign w:val="center"/>
            <w:hideMark/>
          </w:tcPr>
          <w:p w14:paraId="6C72465E" w14:textId="58F1C952" w:rsidR="001E2711" w:rsidRPr="00005453" w:rsidRDefault="001E2711" w:rsidP="001E2711">
            <w:pPr>
              <w:jc w:val="right"/>
              <w:rPr>
                <w:sz w:val="16"/>
                <w:szCs w:val="16"/>
                <w:lang w:eastAsia="tr-TR"/>
              </w:rPr>
            </w:pPr>
            <w:r w:rsidRPr="00005453">
              <w:rPr>
                <w:color w:val="000000"/>
                <w:sz w:val="16"/>
                <w:szCs w:val="16"/>
              </w:rPr>
              <w:t>2.50</w:t>
            </w:r>
          </w:p>
        </w:tc>
      </w:tr>
      <w:tr w:rsidR="001E2711" w:rsidRPr="00005453" w14:paraId="0693F54B" w14:textId="77777777" w:rsidTr="001E2711">
        <w:trPr>
          <w:divId w:val="1462917251"/>
          <w:trHeight w:val="136"/>
        </w:trPr>
        <w:tc>
          <w:tcPr>
            <w:tcW w:w="6052" w:type="dxa"/>
            <w:shd w:val="clear" w:color="auto" w:fill="auto"/>
            <w:vAlign w:val="center"/>
            <w:hideMark/>
          </w:tcPr>
          <w:p w14:paraId="31E4F8C3" w14:textId="77777777" w:rsidR="001E2711" w:rsidRPr="00005453" w:rsidRDefault="001E2711" w:rsidP="001E2711">
            <w:pPr>
              <w:rPr>
                <w:sz w:val="16"/>
                <w:szCs w:val="16"/>
                <w:lang w:eastAsia="tr-TR"/>
              </w:rPr>
            </w:pPr>
            <w:r w:rsidRPr="00005453">
              <w:rPr>
                <w:sz w:val="16"/>
                <w:szCs w:val="16"/>
                <w:lang w:eastAsia="tr-TR"/>
              </w:rPr>
              <w:t>Bankaya özgü döngüsel sermaye tamponu oranı (%)</w:t>
            </w:r>
          </w:p>
        </w:tc>
        <w:tc>
          <w:tcPr>
            <w:tcW w:w="1740" w:type="dxa"/>
            <w:shd w:val="clear" w:color="auto" w:fill="auto"/>
            <w:vAlign w:val="center"/>
            <w:hideMark/>
          </w:tcPr>
          <w:p w14:paraId="38280F68" w14:textId="44280E2D" w:rsidR="001E2711" w:rsidRPr="00005453" w:rsidRDefault="001E2711" w:rsidP="001E2711">
            <w:pPr>
              <w:jc w:val="right"/>
              <w:rPr>
                <w:sz w:val="16"/>
                <w:szCs w:val="16"/>
                <w:lang w:eastAsia="tr-TR"/>
              </w:rPr>
            </w:pPr>
            <w:r w:rsidRPr="00005453">
              <w:rPr>
                <w:color w:val="000000"/>
                <w:sz w:val="16"/>
                <w:szCs w:val="18"/>
              </w:rPr>
              <w:t>0</w:t>
            </w:r>
            <w:r w:rsidR="00997F14" w:rsidRPr="00005453">
              <w:rPr>
                <w:color w:val="000000"/>
                <w:sz w:val="16"/>
                <w:szCs w:val="18"/>
              </w:rPr>
              <w:t>.0</w:t>
            </w:r>
            <w:r w:rsidR="00632901" w:rsidRPr="00005453">
              <w:rPr>
                <w:color w:val="000000"/>
                <w:sz w:val="16"/>
                <w:szCs w:val="18"/>
              </w:rPr>
              <w:t>3</w:t>
            </w:r>
          </w:p>
        </w:tc>
        <w:tc>
          <w:tcPr>
            <w:tcW w:w="1554" w:type="dxa"/>
            <w:shd w:val="clear" w:color="auto" w:fill="auto"/>
            <w:vAlign w:val="center"/>
            <w:hideMark/>
          </w:tcPr>
          <w:p w14:paraId="73E3D5F4" w14:textId="7F245519" w:rsidR="001E2711" w:rsidRPr="00005453" w:rsidRDefault="001E2711" w:rsidP="001E2711">
            <w:pPr>
              <w:jc w:val="right"/>
              <w:rPr>
                <w:sz w:val="16"/>
                <w:szCs w:val="16"/>
                <w:lang w:eastAsia="tr-TR"/>
              </w:rPr>
            </w:pPr>
            <w:r w:rsidRPr="00005453">
              <w:rPr>
                <w:color w:val="000000"/>
                <w:sz w:val="16"/>
                <w:szCs w:val="16"/>
              </w:rPr>
              <w:t>0.02</w:t>
            </w:r>
          </w:p>
        </w:tc>
      </w:tr>
      <w:tr w:rsidR="001E2711" w:rsidRPr="00005453" w14:paraId="209DAB38" w14:textId="77777777" w:rsidTr="001E2711">
        <w:trPr>
          <w:divId w:val="1462917251"/>
          <w:trHeight w:val="136"/>
        </w:trPr>
        <w:tc>
          <w:tcPr>
            <w:tcW w:w="6052" w:type="dxa"/>
            <w:shd w:val="clear" w:color="auto" w:fill="auto"/>
            <w:vAlign w:val="center"/>
            <w:hideMark/>
          </w:tcPr>
          <w:p w14:paraId="7535F743" w14:textId="77777777" w:rsidR="001E2711" w:rsidRPr="00005453" w:rsidRDefault="001E2711" w:rsidP="001E2711">
            <w:pPr>
              <w:rPr>
                <w:sz w:val="16"/>
                <w:szCs w:val="16"/>
                <w:lang w:eastAsia="tr-TR"/>
              </w:rPr>
            </w:pPr>
            <w:r w:rsidRPr="00005453">
              <w:rPr>
                <w:sz w:val="16"/>
                <w:szCs w:val="16"/>
                <w:lang w:eastAsia="tr-TR"/>
              </w:rPr>
              <w:t xml:space="preserve">Sermaye Koruma ve Döngüsel Sermaye Tamponlarına İlişkin Yönetmeliğin </w:t>
            </w:r>
            <w:proofErr w:type="gramStart"/>
            <w:r w:rsidRPr="00005453">
              <w:rPr>
                <w:sz w:val="16"/>
                <w:szCs w:val="16"/>
                <w:lang w:eastAsia="tr-TR"/>
              </w:rPr>
              <w:t>4 üncü</w:t>
            </w:r>
            <w:proofErr w:type="gramEnd"/>
            <w:r w:rsidRPr="00005453">
              <w:rPr>
                <w:sz w:val="16"/>
                <w:szCs w:val="16"/>
                <w:lang w:eastAsia="tr-TR"/>
              </w:rPr>
              <w:t xml:space="preserve"> maddesinin birinci fıkrası uyarınca hesaplanacak ilave çekirdek sermaye tutarının risk ağırlıklı varlıklar tutarına oranı (%)</w:t>
            </w:r>
          </w:p>
        </w:tc>
        <w:tc>
          <w:tcPr>
            <w:tcW w:w="1740" w:type="dxa"/>
            <w:shd w:val="clear" w:color="auto" w:fill="auto"/>
            <w:vAlign w:val="center"/>
            <w:hideMark/>
          </w:tcPr>
          <w:p w14:paraId="325BCE4F" w14:textId="445FC730" w:rsidR="001E2711" w:rsidRPr="00005453" w:rsidRDefault="001E2711" w:rsidP="001E2711">
            <w:pPr>
              <w:jc w:val="right"/>
              <w:rPr>
                <w:color w:val="000000"/>
                <w:sz w:val="16"/>
                <w:szCs w:val="16"/>
                <w:lang w:eastAsia="tr-TR"/>
              </w:rPr>
            </w:pPr>
            <w:r w:rsidRPr="00005453">
              <w:rPr>
                <w:color w:val="000000"/>
                <w:sz w:val="16"/>
                <w:szCs w:val="18"/>
              </w:rPr>
              <w:t>14.46</w:t>
            </w:r>
          </w:p>
        </w:tc>
        <w:tc>
          <w:tcPr>
            <w:tcW w:w="1554" w:type="dxa"/>
            <w:shd w:val="clear" w:color="auto" w:fill="auto"/>
            <w:vAlign w:val="center"/>
            <w:hideMark/>
          </w:tcPr>
          <w:p w14:paraId="0706880A" w14:textId="7A98C740" w:rsidR="001E2711" w:rsidRPr="00005453" w:rsidRDefault="001E2711" w:rsidP="001E2711">
            <w:pPr>
              <w:jc w:val="right"/>
              <w:rPr>
                <w:sz w:val="16"/>
                <w:szCs w:val="16"/>
                <w:lang w:eastAsia="tr-TR"/>
              </w:rPr>
            </w:pPr>
            <w:r w:rsidRPr="00005453">
              <w:rPr>
                <w:color w:val="000000"/>
                <w:sz w:val="16"/>
                <w:szCs w:val="16"/>
              </w:rPr>
              <w:t>13.24</w:t>
            </w:r>
          </w:p>
        </w:tc>
      </w:tr>
      <w:tr w:rsidR="001E2711" w:rsidRPr="00005453" w14:paraId="4CFD14E4" w14:textId="77777777" w:rsidTr="001E2711">
        <w:trPr>
          <w:divId w:val="1462917251"/>
          <w:trHeight w:val="136"/>
        </w:trPr>
        <w:tc>
          <w:tcPr>
            <w:tcW w:w="6052" w:type="dxa"/>
            <w:shd w:val="clear" w:color="auto" w:fill="auto"/>
            <w:vAlign w:val="center"/>
            <w:hideMark/>
          </w:tcPr>
          <w:p w14:paraId="5BBE570A" w14:textId="77777777" w:rsidR="001E2711" w:rsidRPr="00005453" w:rsidRDefault="001E2711" w:rsidP="001E2711">
            <w:pPr>
              <w:jc w:val="center"/>
              <w:rPr>
                <w:b/>
                <w:bCs/>
                <w:sz w:val="16"/>
                <w:szCs w:val="16"/>
                <w:lang w:eastAsia="tr-TR"/>
              </w:rPr>
            </w:pPr>
            <w:r w:rsidRPr="00005453">
              <w:rPr>
                <w:b/>
                <w:bCs/>
                <w:sz w:val="16"/>
                <w:szCs w:val="16"/>
                <w:lang w:eastAsia="tr-TR"/>
              </w:rPr>
              <w:t>Uygulanacak İndirim Esaslarında Aşım Tutarının Altında Kalan Tutarlar</w:t>
            </w:r>
          </w:p>
        </w:tc>
        <w:tc>
          <w:tcPr>
            <w:tcW w:w="1740" w:type="dxa"/>
            <w:shd w:val="clear" w:color="auto" w:fill="auto"/>
            <w:vAlign w:val="center"/>
            <w:hideMark/>
          </w:tcPr>
          <w:p w14:paraId="301DF05A" w14:textId="13D07C95" w:rsidR="001E2711" w:rsidRPr="00005453" w:rsidRDefault="001E2711" w:rsidP="001E2711">
            <w:pPr>
              <w:jc w:val="right"/>
              <w:rPr>
                <w:sz w:val="16"/>
                <w:szCs w:val="16"/>
                <w:lang w:eastAsia="tr-TR"/>
              </w:rPr>
            </w:pPr>
          </w:p>
        </w:tc>
        <w:tc>
          <w:tcPr>
            <w:tcW w:w="1554" w:type="dxa"/>
            <w:shd w:val="clear" w:color="auto" w:fill="auto"/>
            <w:vAlign w:val="center"/>
            <w:hideMark/>
          </w:tcPr>
          <w:p w14:paraId="079A7EBF" w14:textId="66A2BCD3" w:rsidR="001E2711" w:rsidRPr="00005453" w:rsidRDefault="001E2711" w:rsidP="001E2711">
            <w:pPr>
              <w:jc w:val="right"/>
              <w:rPr>
                <w:sz w:val="16"/>
                <w:szCs w:val="16"/>
                <w:lang w:eastAsia="tr-TR"/>
              </w:rPr>
            </w:pPr>
          </w:p>
        </w:tc>
      </w:tr>
      <w:tr w:rsidR="001E2711" w:rsidRPr="00005453" w14:paraId="32C9EF91" w14:textId="77777777" w:rsidTr="001E2711">
        <w:trPr>
          <w:divId w:val="1462917251"/>
          <w:trHeight w:val="199"/>
        </w:trPr>
        <w:tc>
          <w:tcPr>
            <w:tcW w:w="6052" w:type="dxa"/>
            <w:shd w:val="clear" w:color="auto" w:fill="auto"/>
            <w:vAlign w:val="center"/>
            <w:hideMark/>
          </w:tcPr>
          <w:p w14:paraId="24174ED0" w14:textId="77777777" w:rsidR="001E2711" w:rsidRPr="00005453" w:rsidRDefault="001E2711" w:rsidP="001E2711">
            <w:pPr>
              <w:rPr>
                <w:sz w:val="16"/>
                <w:szCs w:val="16"/>
                <w:lang w:eastAsia="tr-TR"/>
              </w:rPr>
            </w:pPr>
            <w:r w:rsidRPr="00005453">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740" w:type="dxa"/>
            <w:shd w:val="clear" w:color="auto" w:fill="auto"/>
            <w:vAlign w:val="center"/>
            <w:hideMark/>
          </w:tcPr>
          <w:p w14:paraId="2D374F31" w14:textId="6C399F89"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3DE5C52C" w14:textId="51FE34ED"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42CB4C21" w14:textId="77777777" w:rsidTr="001E2711">
        <w:trPr>
          <w:divId w:val="1462917251"/>
          <w:trHeight w:val="136"/>
        </w:trPr>
        <w:tc>
          <w:tcPr>
            <w:tcW w:w="6052" w:type="dxa"/>
            <w:shd w:val="clear" w:color="auto" w:fill="auto"/>
            <w:vAlign w:val="center"/>
            <w:hideMark/>
          </w:tcPr>
          <w:p w14:paraId="07F86B91" w14:textId="77777777" w:rsidR="001E2711" w:rsidRPr="00005453" w:rsidRDefault="001E2711" w:rsidP="001E2711">
            <w:pPr>
              <w:rPr>
                <w:sz w:val="16"/>
                <w:szCs w:val="16"/>
                <w:lang w:eastAsia="tr-TR"/>
              </w:rPr>
            </w:pPr>
            <w:r w:rsidRPr="00005453">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40" w:type="dxa"/>
            <w:shd w:val="clear" w:color="auto" w:fill="auto"/>
            <w:vAlign w:val="center"/>
            <w:hideMark/>
          </w:tcPr>
          <w:p w14:paraId="60433DA4" w14:textId="12EE9C85"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0EA09D9D" w14:textId="01F30CB8"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6490E114" w14:textId="77777777" w:rsidTr="001E2711">
        <w:trPr>
          <w:divId w:val="1462917251"/>
          <w:trHeight w:val="136"/>
        </w:trPr>
        <w:tc>
          <w:tcPr>
            <w:tcW w:w="6052" w:type="dxa"/>
            <w:shd w:val="clear" w:color="auto" w:fill="auto"/>
            <w:vAlign w:val="center"/>
            <w:hideMark/>
          </w:tcPr>
          <w:p w14:paraId="0C345B65" w14:textId="77777777" w:rsidR="001E2711" w:rsidRPr="00005453" w:rsidRDefault="001E2711" w:rsidP="001E2711">
            <w:pPr>
              <w:rPr>
                <w:sz w:val="16"/>
                <w:szCs w:val="16"/>
                <w:lang w:eastAsia="tr-TR"/>
              </w:rPr>
            </w:pPr>
            <w:r w:rsidRPr="00005453">
              <w:rPr>
                <w:sz w:val="16"/>
                <w:szCs w:val="16"/>
                <w:lang w:eastAsia="tr-TR"/>
              </w:rPr>
              <w:t>İpotek hizmeti sunma haklarından kaynaklanan tutar</w:t>
            </w:r>
          </w:p>
        </w:tc>
        <w:tc>
          <w:tcPr>
            <w:tcW w:w="1740" w:type="dxa"/>
            <w:shd w:val="clear" w:color="auto" w:fill="auto"/>
            <w:vAlign w:val="center"/>
            <w:hideMark/>
          </w:tcPr>
          <w:p w14:paraId="4FA2D728" w14:textId="3A8C9E1B"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3524EC7A" w14:textId="5CFA6A8B"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381CFC90" w14:textId="77777777" w:rsidTr="001E2711">
        <w:trPr>
          <w:divId w:val="1462917251"/>
          <w:trHeight w:val="136"/>
        </w:trPr>
        <w:tc>
          <w:tcPr>
            <w:tcW w:w="6052" w:type="dxa"/>
            <w:shd w:val="clear" w:color="auto" w:fill="auto"/>
            <w:vAlign w:val="center"/>
            <w:hideMark/>
          </w:tcPr>
          <w:p w14:paraId="2517B786" w14:textId="77777777" w:rsidR="001E2711" w:rsidRPr="00005453" w:rsidRDefault="001E2711" w:rsidP="001E2711">
            <w:pPr>
              <w:rPr>
                <w:sz w:val="16"/>
                <w:szCs w:val="16"/>
                <w:lang w:eastAsia="tr-TR"/>
              </w:rPr>
            </w:pPr>
            <w:r w:rsidRPr="00005453">
              <w:rPr>
                <w:sz w:val="16"/>
                <w:szCs w:val="16"/>
                <w:lang w:eastAsia="tr-TR"/>
              </w:rPr>
              <w:t>Geçici farklara dayanan ertelenmiş vergi varlıklarından kaynaklanan tutar</w:t>
            </w:r>
          </w:p>
        </w:tc>
        <w:tc>
          <w:tcPr>
            <w:tcW w:w="1740" w:type="dxa"/>
            <w:shd w:val="clear" w:color="auto" w:fill="auto"/>
            <w:vAlign w:val="center"/>
            <w:hideMark/>
          </w:tcPr>
          <w:p w14:paraId="19E861CE" w14:textId="1C243EB0"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02FCD250" w14:textId="6D98DE72"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107212C3" w14:textId="77777777" w:rsidTr="001E2711">
        <w:trPr>
          <w:divId w:val="1462917251"/>
          <w:trHeight w:val="136"/>
        </w:trPr>
        <w:tc>
          <w:tcPr>
            <w:tcW w:w="6052" w:type="dxa"/>
            <w:shd w:val="clear" w:color="auto" w:fill="auto"/>
            <w:vAlign w:val="center"/>
            <w:hideMark/>
          </w:tcPr>
          <w:p w14:paraId="4B11EE51" w14:textId="77777777" w:rsidR="001E2711" w:rsidRPr="00005453" w:rsidRDefault="001E2711" w:rsidP="001E2711">
            <w:pPr>
              <w:jc w:val="center"/>
              <w:rPr>
                <w:b/>
                <w:bCs/>
                <w:sz w:val="16"/>
                <w:szCs w:val="16"/>
                <w:lang w:eastAsia="tr-TR"/>
              </w:rPr>
            </w:pPr>
            <w:r w:rsidRPr="00005453">
              <w:rPr>
                <w:b/>
                <w:bCs/>
                <w:sz w:val="16"/>
                <w:szCs w:val="16"/>
                <w:lang w:eastAsia="tr-TR"/>
              </w:rPr>
              <w:t>Katkı Sermaye Hesaplamasında Dikkate Alınan Karşılıklara İlişkin Sınırlar</w:t>
            </w:r>
          </w:p>
        </w:tc>
        <w:tc>
          <w:tcPr>
            <w:tcW w:w="1740" w:type="dxa"/>
            <w:shd w:val="clear" w:color="auto" w:fill="auto"/>
            <w:vAlign w:val="center"/>
            <w:hideMark/>
          </w:tcPr>
          <w:p w14:paraId="09F06748" w14:textId="4048218B" w:rsidR="001E2711" w:rsidRPr="00005453" w:rsidRDefault="001E2711" w:rsidP="001E2711">
            <w:pPr>
              <w:jc w:val="right"/>
              <w:rPr>
                <w:sz w:val="16"/>
                <w:szCs w:val="16"/>
                <w:lang w:eastAsia="tr-TR"/>
              </w:rPr>
            </w:pPr>
          </w:p>
        </w:tc>
        <w:tc>
          <w:tcPr>
            <w:tcW w:w="1554" w:type="dxa"/>
            <w:shd w:val="clear" w:color="auto" w:fill="auto"/>
            <w:vAlign w:val="center"/>
            <w:hideMark/>
          </w:tcPr>
          <w:p w14:paraId="66B6DE11" w14:textId="14D96E3B" w:rsidR="001E2711" w:rsidRPr="00005453" w:rsidRDefault="001E2711" w:rsidP="001E2711">
            <w:pPr>
              <w:jc w:val="right"/>
              <w:rPr>
                <w:sz w:val="16"/>
                <w:szCs w:val="16"/>
                <w:lang w:eastAsia="tr-TR"/>
              </w:rPr>
            </w:pPr>
          </w:p>
        </w:tc>
      </w:tr>
      <w:tr w:rsidR="001E2711" w:rsidRPr="00005453" w14:paraId="2751882E" w14:textId="77777777" w:rsidTr="001E2711">
        <w:trPr>
          <w:divId w:val="1462917251"/>
          <w:trHeight w:val="199"/>
        </w:trPr>
        <w:tc>
          <w:tcPr>
            <w:tcW w:w="6052" w:type="dxa"/>
            <w:shd w:val="clear" w:color="auto" w:fill="auto"/>
            <w:vAlign w:val="center"/>
            <w:hideMark/>
          </w:tcPr>
          <w:p w14:paraId="03467B7D" w14:textId="3F85A490" w:rsidR="001E2711" w:rsidRPr="00005453" w:rsidRDefault="001E2711" w:rsidP="001E2711">
            <w:pPr>
              <w:rPr>
                <w:sz w:val="16"/>
                <w:szCs w:val="16"/>
                <w:lang w:eastAsia="tr-TR"/>
              </w:rPr>
            </w:pPr>
            <w:r w:rsidRPr="00005453">
              <w:rPr>
                <w:sz w:val="16"/>
                <w:szCs w:val="16"/>
                <w:lang w:eastAsia="tr-TR"/>
              </w:rPr>
              <w:t>Standart yaklaşımın kullanıldığı alacaklar için ayrılan genel karşılıklar (Onbindeyüzyirmibeşlik sınır öncesi)</w:t>
            </w:r>
          </w:p>
        </w:tc>
        <w:tc>
          <w:tcPr>
            <w:tcW w:w="1740" w:type="dxa"/>
            <w:shd w:val="clear" w:color="auto" w:fill="auto"/>
            <w:vAlign w:val="center"/>
            <w:hideMark/>
          </w:tcPr>
          <w:p w14:paraId="41FC2A2D" w14:textId="3AE2AE1C" w:rsidR="001E2711" w:rsidRPr="00005453" w:rsidRDefault="001E2711" w:rsidP="001E2711">
            <w:pPr>
              <w:jc w:val="right"/>
              <w:rPr>
                <w:sz w:val="16"/>
                <w:szCs w:val="16"/>
                <w:lang w:eastAsia="tr-TR"/>
              </w:rPr>
            </w:pPr>
            <w:r w:rsidRPr="00005453">
              <w:rPr>
                <w:color w:val="000000"/>
                <w:sz w:val="16"/>
                <w:szCs w:val="18"/>
              </w:rPr>
              <w:t>4,918,196</w:t>
            </w:r>
          </w:p>
        </w:tc>
        <w:tc>
          <w:tcPr>
            <w:tcW w:w="1554" w:type="dxa"/>
            <w:shd w:val="clear" w:color="auto" w:fill="auto"/>
            <w:vAlign w:val="center"/>
            <w:hideMark/>
          </w:tcPr>
          <w:p w14:paraId="01EAC9EF" w14:textId="74E9077D" w:rsidR="001E2711" w:rsidRPr="00005453" w:rsidRDefault="001E2711" w:rsidP="001E2711">
            <w:pPr>
              <w:jc w:val="right"/>
              <w:rPr>
                <w:sz w:val="16"/>
                <w:szCs w:val="16"/>
                <w:lang w:eastAsia="tr-TR"/>
              </w:rPr>
            </w:pPr>
            <w:r w:rsidRPr="00005453">
              <w:rPr>
                <w:color w:val="000000"/>
                <w:sz w:val="16"/>
                <w:szCs w:val="16"/>
              </w:rPr>
              <w:t>7,948,868</w:t>
            </w:r>
          </w:p>
        </w:tc>
      </w:tr>
      <w:tr w:rsidR="001E2711" w:rsidRPr="00005453" w14:paraId="6B4A9F54" w14:textId="77777777" w:rsidTr="001E2711">
        <w:trPr>
          <w:divId w:val="1462917251"/>
          <w:trHeight w:val="136"/>
        </w:trPr>
        <w:tc>
          <w:tcPr>
            <w:tcW w:w="6052" w:type="dxa"/>
            <w:shd w:val="clear" w:color="auto" w:fill="auto"/>
            <w:vAlign w:val="center"/>
            <w:hideMark/>
          </w:tcPr>
          <w:p w14:paraId="7DE20295" w14:textId="77777777" w:rsidR="001E2711" w:rsidRPr="00005453" w:rsidRDefault="001E2711" w:rsidP="001E2711">
            <w:pPr>
              <w:rPr>
                <w:sz w:val="16"/>
                <w:szCs w:val="16"/>
                <w:lang w:eastAsia="tr-TR"/>
              </w:rPr>
            </w:pPr>
            <w:r w:rsidRPr="00005453">
              <w:rPr>
                <w:sz w:val="16"/>
                <w:szCs w:val="16"/>
                <w:lang w:eastAsia="tr-TR"/>
              </w:rPr>
              <w:t>Standart yaklaşımın kullanıldığı alacaklar için ayrılan genel karşılıkların risk ağırlıklı tutarlar toplamının %1,25'ine kadar olan kısmı</w:t>
            </w:r>
          </w:p>
        </w:tc>
        <w:tc>
          <w:tcPr>
            <w:tcW w:w="1740" w:type="dxa"/>
            <w:shd w:val="clear" w:color="auto" w:fill="auto"/>
            <w:vAlign w:val="center"/>
            <w:hideMark/>
          </w:tcPr>
          <w:p w14:paraId="628A15F9" w14:textId="5E01BB15" w:rsidR="001E2711" w:rsidRPr="00005453" w:rsidRDefault="001E2711" w:rsidP="001E2711">
            <w:pPr>
              <w:jc w:val="right"/>
              <w:rPr>
                <w:sz w:val="16"/>
                <w:szCs w:val="16"/>
                <w:lang w:eastAsia="tr-TR"/>
              </w:rPr>
            </w:pPr>
            <w:r w:rsidRPr="00005453">
              <w:rPr>
                <w:color w:val="000000"/>
                <w:sz w:val="16"/>
                <w:szCs w:val="18"/>
              </w:rPr>
              <w:t>3,726,449</w:t>
            </w:r>
          </w:p>
        </w:tc>
        <w:tc>
          <w:tcPr>
            <w:tcW w:w="1554" w:type="dxa"/>
            <w:shd w:val="clear" w:color="auto" w:fill="auto"/>
            <w:vAlign w:val="center"/>
            <w:hideMark/>
          </w:tcPr>
          <w:p w14:paraId="6679D76F" w14:textId="3AD957FC" w:rsidR="001E2711" w:rsidRPr="00005453" w:rsidRDefault="001E2711" w:rsidP="001E2711">
            <w:pPr>
              <w:jc w:val="right"/>
              <w:rPr>
                <w:sz w:val="16"/>
                <w:szCs w:val="16"/>
                <w:lang w:eastAsia="tr-TR"/>
              </w:rPr>
            </w:pPr>
            <w:r w:rsidRPr="00005453">
              <w:rPr>
                <w:color w:val="000000"/>
                <w:sz w:val="16"/>
                <w:szCs w:val="16"/>
              </w:rPr>
              <w:t>2,316,841</w:t>
            </w:r>
          </w:p>
        </w:tc>
      </w:tr>
      <w:tr w:rsidR="001E2711" w:rsidRPr="00005453" w14:paraId="660DBB19" w14:textId="77777777" w:rsidTr="001E2711">
        <w:trPr>
          <w:divId w:val="1462917251"/>
          <w:trHeight w:val="136"/>
        </w:trPr>
        <w:tc>
          <w:tcPr>
            <w:tcW w:w="6052" w:type="dxa"/>
            <w:shd w:val="clear" w:color="auto" w:fill="auto"/>
            <w:vAlign w:val="center"/>
            <w:hideMark/>
          </w:tcPr>
          <w:p w14:paraId="28CF49D6" w14:textId="77777777" w:rsidR="001E2711" w:rsidRPr="00005453" w:rsidRDefault="001E2711" w:rsidP="001E2711">
            <w:pPr>
              <w:rPr>
                <w:sz w:val="16"/>
                <w:szCs w:val="16"/>
                <w:lang w:eastAsia="tr-TR"/>
              </w:rPr>
            </w:pPr>
            <w:r w:rsidRPr="00005453">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40" w:type="dxa"/>
            <w:shd w:val="clear" w:color="auto" w:fill="auto"/>
            <w:vAlign w:val="center"/>
            <w:hideMark/>
          </w:tcPr>
          <w:p w14:paraId="33505502" w14:textId="6E274140"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2BDA0565" w14:textId="12AA1FC5"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55BBDDF5" w14:textId="77777777" w:rsidTr="001E2711">
        <w:trPr>
          <w:divId w:val="1462917251"/>
          <w:trHeight w:val="136"/>
        </w:trPr>
        <w:tc>
          <w:tcPr>
            <w:tcW w:w="6052" w:type="dxa"/>
            <w:shd w:val="clear" w:color="auto" w:fill="auto"/>
            <w:vAlign w:val="center"/>
            <w:hideMark/>
          </w:tcPr>
          <w:p w14:paraId="37CF8BE5" w14:textId="77777777" w:rsidR="001E2711" w:rsidRPr="00005453" w:rsidRDefault="001E2711" w:rsidP="001E2711">
            <w:pPr>
              <w:rPr>
                <w:sz w:val="16"/>
                <w:szCs w:val="16"/>
                <w:lang w:eastAsia="tr-TR"/>
              </w:rPr>
            </w:pPr>
            <w:r w:rsidRPr="00005453">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40" w:type="dxa"/>
            <w:shd w:val="clear" w:color="auto" w:fill="auto"/>
            <w:vAlign w:val="center"/>
            <w:hideMark/>
          </w:tcPr>
          <w:p w14:paraId="3036938E" w14:textId="42080946"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38C76D60" w14:textId="1FDD5D55"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4526F4B1" w14:textId="77777777" w:rsidTr="001E2711">
        <w:trPr>
          <w:divId w:val="1462917251"/>
          <w:trHeight w:val="136"/>
        </w:trPr>
        <w:tc>
          <w:tcPr>
            <w:tcW w:w="6052" w:type="dxa"/>
            <w:shd w:val="clear" w:color="auto" w:fill="auto"/>
            <w:vAlign w:val="center"/>
            <w:hideMark/>
          </w:tcPr>
          <w:p w14:paraId="233ED0EE" w14:textId="77777777" w:rsidR="001E2711" w:rsidRPr="00005453" w:rsidRDefault="001E2711" w:rsidP="001E2711">
            <w:pPr>
              <w:rPr>
                <w:b/>
                <w:bCs/>
                <w:sz w:val="16"/>
                <w:szCs w:val="16"/>
                <w:lang w:eastAsia="tr-TR"/>
              </w:rPr>
            </w:pPr>
            <w:r w:rsidRPr="00005453">
              <w:rPr>
                <w:b/>
                <w:bCs/>
                <w:sz w:val="16"/>
                <w:szCs w:val="16"/>
                <w:lang w:eastAsia="tr-TR"/>
              </w:rPr>
              <w:t>Geçici Madde 4 hükümlerine tabi borçlanma araçları</w:t>
            </w:r>
            <w:r w:rsidRPr="00005453">
              <w:rPr>
                <w:b/>
                <w:bCs/>
                <w:sz w:val="16"/>
                <w:szCs w:val="16"/>
                <w:lang w:eastAsia="tr-TR"/>
              </w:rPr>
              <w:br/>
              <w:t>(1 Ocak 2018 ve 1 Ocak 2022 arasında uygulanmak üzere)</w:t>
            </w:r>
          </w:p>
        </w:tc>
        <w:tc>
          <w:tcPr>
            <w:tcW w:w="1740" w:type="dxa"/>
            <w:shd w:val="clear" w:color="auto" w:fill="auto"/>
            <w:vAlign w:val="center"/>
            <w:hideMark/>
          </w:tcPr>
          <w:p w14:paraId="3BE1F488" w14:textId="77A6EEC2" w:rsidR="001E2711" w:rsidRPr="00005453" w:rsidRDefault="001E2711" w:rsidP="001E2711">
            <w:pPr>
              <w:jc w:val="right"/>
              <w:rPr>
                <w:sz w:val="16"/>
                <w:szCs w:val="16"/>
                <w:lang w:eastAsia="tr-TR"/>
              </w:rPr>
            </w:pPr>
          </w:p>
        </w:tc>
        <w:tc>
          <w:tcPr>
            <w:tcW w:w="1554" w:type="dxa"/>
            <w:shd w:val="clear" w:color="auto" w:fill="auto"/>
            <w:vAlign w:val="center"/>
            <w:hideMark/>
          </w:tcPr>
          <w:p w14:paraId="666ED67A" w14:textId="21FA35F4" w:rsidR="001E2711" w:rsidRPr="00005453" w:rsidRDefault="001E2711" w:rsidP="001E2711">
            <w:pPr>
              <w:jc w:val="right"/>
              <w:rPr>
                <w:sz w:val="16"/>
                <w:szCs w:val="16"/>
                <w:lang w:eastAsia="tr-TR"/>
              </w:rPr>
            </w:pPr>
          </w:p>
        </w:tc>
      </w:tr>
      <w:tr w:rsidR="001E2711" w:rsidRPr="00005453" w14:paraId="43086947" w14:textId="77777777" w:rsidTr="001E2711">
        <w:trPr>
          <w:divId w:val="1462917251"/>
          <w:trHeight w:val="199"/>
        </w:trPr>
        <w:tc>
          <w:tcPr>
            <w:tcW w:w="6052" w:type="dxa"/>
            <w:shd w:val="clear" w:color="auto" w:fill="auto"/>
            <w:vAlign w:val="center"/>
            <w:hideMark/>
          </w:tcPr>
          <w:p w14:paraId="0285F323" w14:textId="77777777" w:rsidR="001E2711" w:rsidRPr="00005453" w:rsidRDefault="001E2711" w:rsidP="001E2711">
            <w:pPr>
              <w:rPr>
                <w:sz w:val="16"/>
                <w:szCs w:val="16"/>
                <w:lang w:eastAsia="tr-TR"/>
              </w:rPr>
            </w:pPr>
            <w:r w:rsidRPr="00005453">
              <w:rPr>
                <w:sz w:val="16"/>
                <w:szCs w:val="16"/>
                <w:lang w:eastAsia="tr-TR"/>
              </w:rPr>
              <w:t>Geçici Madde 4 hükümlerine tabi ilave ana sermaye kalemlerine ilişkin üst sınır</w:t>
            </w:r>
          </w:p>
        </w:tc>
        <w:tc>
          <w:tcPr>
            <w:tcW w:w="1740" w:type="dxa"/>
            <w:shd w:val="clear" w:color="auto" w:fill="auto"/>
            <w:vAlign w:val="center"/>
            <w:hideMark/>
          </w:tcPr>
          <w:p w14:paraId="67CD281B" w14:textId="48BDA47A"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44887BF6" w14:textId="139999C1"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24319119" w14:textId="77777777" w:rsidTr="001E2711">
        <w:trPr>
          <w:divId w:val="1462917251"/>
          <w:trHeight w:val="136"/>
        </w:trPr>
        <w:tc>
          <w:tcPr>
            <w:tcW w:w="6052" w:type="dxa"/>
            <w:shd w:val="clear" w:color="auto" w:fill="auto"/>
            <w:vAlign w:val="center"/>
            <w:hideMark/>
          </w:tcPr>
          <w:p w14:paraId="34BBABA0" w14:textId="77777777" w:rsidR="001E2711" w:rsidRPr="00005453" w:rsidRDefault="001E2711" w:rsidP="001E2711">
            <w:pPr>
              <w:rPr>
                <w:sz w:val="16"/>
                <w:szCs w:val="16"/>
                <w:lang w:eastAsia="tr-TR"/>
              </w:rPr>
            </w:pPr>
            <w:r w:rsidRPr="00005453">
              <w:rPr>
                <w:sz w:val="16"/>
                <w:szCs w:val="16"/>
                <w:lang w:eastAsia="tr-TR"/>
              </w:rPr>
              <w:t>Geçici Madde 4 hükümlerine tabi ilave ana sermaye kalemlerinin üst sınırı aşan kısmı</w:t>
            </w:r>
          </w:p>
        </w:tc>
        <w:tc>
          <w:tcPr>
            <w:tcW w:w="1740" w:type="dxa"/>
            <w:shd w:val="clear" w:color="auto" w:fill="auto"/>
            <w:vAlign w:val="center"/>
            <w:hideMark/>
          </w:tcPr>
          <w:p w14:paraId="1EB3E302" w14:textId="1050EA18"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76187AF2" w14:textId="1830AD9B"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06DD9179" w14:textId="77777777" w:rsidTr="001E2711">
        <w:trPr>
          <w:divId w:val="1462917251"/>
          <w:trHeight w:val="136"/>
        </w:trPr>
        <w:tc>
          <w:tcPr>
            <w:tcW w:w="6052" w:type="dxa"/>
            <w:shd w:val="clear" w:color="auto" w:fill="auto"/>
            <w:vAlign w:val="center"/>
            <w:hideMark/>
          </w:tcPr>
          <w:p w14:paraId="1C98373D" w14:textId="77777777" w:rsidR="001E2711" w:rsidRPr="00005453" w:rsidRDefault="001E2711" w:rsidP="001E2711">
            <w:pPr>
              <w:rPr>
                <w:sz w:val="16"/>
                <w:szCs w:val="16"/>
                <w:lang w:eastAsia="tr-TR"/>
              </w:rPr>
            </w:pPr>
            <w:r w:rsidRPr="00005453">
              <w:rPr>
                <w:sz w:val="16"/>
                <w:szCs w:val="16"/>
                <w:lang w:eastAsia="tr-TR"/>
              </w:rPr>
              <w:t>Geçici Madde 4 hükümlerine tabi katkı sermaye kalemlerine ilişkin üst sınır</w:t>
            </w:r>
          </w:p>
        </w:tc>
        <w:tc>
          <w:tcPr>
            <w:tcW w:w="1740" w:type="dxa"/>
            <w:shd w:val="clear" w:color="auto" w:fill="auto"/>
            <w:vAlign w:val="center"/>
            <w:hideMark/>
          </w:tcPr>
          <w:p w14:paraId="168BD9C2" w14:textId="7F3832D2"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0E2D9C9B" w14:textId="50A6D88A" w:rsidR="001E2711" w:rsidRPr="00005453" w:rsidRDefault="001E2711" w:rsidP="001E2711">
            <w:pPr>
              <w:jc w:val="right"/>
              <w:rPr>
                <w:sz w:val="16"/>
                <w:szCs w:val="16"/>
                <w:lang w:eastAsia="tr-TR"/>
              </w:rPr>
            </w:pPr>
            <w:r w:rsidRPr="00005453">
              <w:rPr>
                <w:sz w:val="16"/>
                <w:szCs w:val="16"/>
                <w:lang w:eastAsia="tr-TR"/>
              </w:rPr>
              <w:t>-</w:t>
            </w:r>
          </w:p>
        </w:tc>
      </w:tr>
      <w:tr w:rsidR="001E2711" w:rsidRPr="00005453" w14:paraId="7A071893" w14:textId="77777777" w:rsidTr="001E2711">
        <w:trPr>
          <w:divId w:val="1462917251"/>
          <w:trHeight w:val="136"/>
        </w:trPr>
        <w:tc>
          <w:tcPr>
            <w:tcW w:w="6052" w:type="dxa"/>
            <w:shd w:val="clear" w:color="auto" w:fill="auto"/>
            <w:vAlign w:val="center"/>
            <w:hideMark/>
          </w:tcPr>
          <w:p w14:paraId="7D22740B" w14:textId="77777777" w:rsidR="001E2711" w:rsidRPr="00005453" w:rsidRDefault="001E2711" w:rsidP="001E2711">
            <w:pPr>
              <w:rPr>
                <w:sz w:val="16"/>
                <w:szCs w:val="16"/>
                <w:lang w:eastAsia="tr-TR"/>
              </w:rPr>
            </w:pPr>
            <w:r w:rsidRPr="00005453">
              <w:rPr>
                <w:sz w:val="16"/>
                <w:szCs w:val="16"/>
                <w:lang w:eastAsia="tr-TR"/>
              </w:rPr>
              <w:t>Geçici Madde 4 hükümlerine tabi katkı sermaye kalemlerinin üst sınırı aşan kısmı</w:t>
            </w:r>
          </w:p>
        </w:tc>
        <w:tc>
          <w:tcPr>
            <w:tcW w:w="1740" w:type="dxa"/>
            <w:shd w:val="clear" w:color="auto" w:fill="auto"/>
            <w:vAlign w:val="center"/>
            <w:hideMark/>
          </w:tcPr>
          <w:p w14:paraId="2DCAC6D4" w14:textId="4342E062" w:rsidR="001E2711" w:rsidRPr="00005453" w:rsidRDefault="001E2711" w:rsidP="001E2711">
            <w:pPr>
              <w:jc w:val="right"/>
              <w:rPr>
                <w:sz w:val="16"/>
                <w:szCs w:val="16"/>
                <w:lang w:eastAsia="tr-TR"/>
              </w:rPr>
            </w:pPr>
            <w:r w:rsidRPr="00005453">
              <w:rPr>
                <w:color w:val="000000"/>
                <w:sz w:val="16"/>
                <w:szCs w:val="18"/>
              </w:rPr>
              <w:t>-</w:t>
            </w:r>
          </w:p>
        </w:tc>
        <w:tc>
          <w:tcPr>
            <w:tcW w:w="1554" w:type="dxa"/>
            <w:shd w:val="clear" w:color="auto" w:fill="auto"/>
            <w:vAlign w:val="center"/>
            <w:hideMark/>
          </w:tcPr>
          <w:p w14:paraId="573A7E2B" w14:textId="1A999158" w:rsidR="001E2711" w:rsidRPr="00005453" w:rsidRDefault="001E2711" w:rsidP="001E2711">
            <w:pPr>
              <w:jc w:val="right"/>
              <w:rPr>
                <w:sz w:val="16"/>
                <w:szCs w:val="16"/>
                <w:lang w:eastAsia="tr-TR"/>
              </w:rPr>
            </w:pPr>
            <w:r w:rsidRPr="00005453">
              <w:rPr>
                <w:sz w:val="16"/>
                <w:szCs w:val="16"/>
                <w:lang w:eastAsia="tr-TR"/>
              </w:rPr>
              <w:t>-</w:t>
            </w:r>
          </w:p>
        </w:tc>
      </w:tr>
    </w:tbl>
    <w:tbl>
      <w:tblPr>
        <w:tblW w:w="9052" w:type="dxa"/>
        <w:tblCellMar>
          <w:left w:w="70" w:type="dxa"/>
          <w:right w:w="70" w:type="dxa"/>
        </w:tblCellMar>
        <w:tblLook w:val="04A0" w:firstRow="1" w:lastRow="0" w:firstColumn="1" w:lastColumn="0" w:noHBand="0" w:noVBand="1"/>
      </w:tblPr>
      <w:tblGrid>
        <w:gridCol w:w="3866"/>
        <w:gridCol w:w="2730"/>
        <w:gridCol w:w="2456"/>
      </w:tblGrid>
      <w:tr w:rsidR="0089168B" w:rsidRPr="00005453" w14:paraId="73F35ED2" w14:textId="77777777" w:rsidTr="005F6E0A">
        <w:trPr>
          <w:trHeight w:val="264"/>
        </w:trPr>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44D0A" w14:textId="77777777" w:rsidR="0089168B" w:rsidRPr="00005453" w:rsidRDefault="0089168B" w:rsidP="004366CE">
            <w:pPr>
              <w:rPr>
                <w:b/>
                <w:bCs/>
                <w:color w:val="000000"/>
                <w:sz w:val="14"/>
                <w:szCs w:val="18"/>
                <w:lang w:eastAsia="tr-TR"/>
              </w:rPr>
            </w:pPr>
            <w:r w:rsidRPr="00005453">
              <w:rPr>
                <w:b/>
                <w:bCs/>
                <w:color w:val="000000"/>
                <w:sz w:val="14"/>
                <w:szCs w:val="18"/>
                <w:lang w:eastAsia="tr-TR"/>
              </w:rPr>
              <w:lastRenderedPageBreak/>
              <w:t>Özkaynak hesaplamasına dahil edilecek borçlanma araçlarına ilişkin bilgiler:</w:t>
            </w:r>
          </w:p>
        </w:tc>
        <w:tc>
          <w:tcPr>
            <w:tcW w:w="2730" w:type="dxa"/>
            <w:tcBorders>
              <w:top w:val="single" w:sz="4" w:space="0" w:color="auto"/>
              <w:left w:val="nil"/>
              <w:bottom w:val="single" w:sz="4" w:space="0" w:color="auto"/>
              <w:right w:val="single" w:sz="4" w:space="0" w:color="auto"/>
            </w:tcBorders>
            <w:shd w:val="clear" w:color="auto" w:fill="auto"/>
            <w:noWrap/>
            <w:vAlign w:val="center"/>
            <w:hideMark/>
          </w:tcPr>
          <w:p w14:paraId="3B6C7FF4" w14:textId="77777777" w:rsidR="0089168B" w:rsidRPr="00005453" w:rsidRDefault="0089168B" w:rsidP="004366CE">
            <w:pPr>
              <w:jc w:val="right"/>
              <w:rPr>
                <w:b/>
                <w:bCs/>
                <w:color w:val="000000"/>
                <w:sz w:val="18"/>
                <w:szCs w:val="18"/>
                <w:lang w:eastAsia="tr-TR"/>
              </w:rPr>
            </w:pPr>
            <w:r w:rsidRPr="00005453">
              <w:rPr>
                <w:b/>
                <w:bCs/>
                <w:color w:val="000000"/>
                <w:sz w:val="14"/>
                <w:szCs w:val="18"/>
                <w:lang w:eastAsia="tr-TR"/>
              </w:rPr>
              <w:t> </w:t>
            </w:r>
          </w:p>
        </w:tc>
        <w:tc>
          <w:tcPr>
            <w:tcW w:w="2456" w:type="dxa"/>
            <w:tcBorders>
              <w:top w:val="single" w:sz="4" w:space="0" w:color="auto"/>
              <w:left w:val="nil"/>
              <w:bottom w:val="single" w:sz="4" w:space="0" w:color="auto"/>
              <w:right w:val="single" w:sz="4" w:space="0" w:color="auto"/>
            </w:tcBorders>
            <w:shd w:val="clear" w:color="auto" w:fill="auto"/>
            <w:noWrap/>
            <w:vAlign w:val="center"/>
            <w:hideMark/>
          </w:tcPr>
          <w:p w14:paraId="4C758F47" w14:textId="77777777" w:rsidR="0089168B" w:rsidRPr="00005453" w:rsidRDefault="0089168B" w:rsidP="004366CE">
            <w:pPr>
              <w:jc w:val="right"/>
              <w:rPr>
                <w:b/>
                <w:bCs/>
                <w:color w:val="000000"/>
                <w:sz w:val="18"/>
                <w:szCs w:val="18"/>
                <w:lang w:eastAsia="tr-TR"/>
              </w:rPr>
            </w:pPr>
            <w:r w:rsidRPr="00005453">
              <w:rPr>
                <w:b/>
                <w:bCs/>
                <w:color w:val="000000"/>
                <w:sz w:val="14"/>
                <w:szCs w:val="18"/>
                <w:lang w:eastAsia="tr-TR"/>
              </w:rPr>
              <w:t> </w:t>
            </w:r>
          </w:p>
        </w:tc>
      </w:tr>
      <w:tr w:rsidR="001E2711" w:rsidRPr="00005453" w14:paraId="603BB364" w14:textId="77777777" w:rsidTr="005F6E0A">
        <w:trPr>
          <w:trHeight w:val="269"/>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A899BDE" w14:textId="77777777" w:rsidR="001E2711" w:rsidRPr="00005453" w:rsidRDefault="001E2711" w:rsidP="001E2711">
            <w:pPr>
              <w:rPr>
                <w:color w:val="000000"/>
                <w:sz w:val="14"/>
                <w:szCs w:val="18"/>
                <w:lang w:eastAsia="tr-TR"/>
              </w:rPr>
            </w:pPr>
            <w:r w:rsidRPr="00005453">
              <w:rPr>
                <w:color w:val="000000"/>
                <w:sz w:val="14"/>
                <w:szCs w:val="18"/>
                <w:lang w:eastAsia="tr-TR"/>
              </w:rPr>
              <w:t>İhraçcı</w:t>
            </w:r>
          </w:p>
        </w:tc>
        <w:tc>
          <w:tcPr>
            <w:tcW w:w="2730" w:type="dxa"/>
            <w:tcBorders>
              <w:top w:val="nil"/>
              <w:left w:val="nil"/>
              <w:bottom w:val="single" w:sz="4" w:space="0" w:color="auto"/>
              <w:right w:val="single" w:sz="4" w:space="0" w:color="auto"/>
            </w:tcBorders>
            <w:shd w:val="clear" w:color="auto" w:fill="auto"/>
            <w:vAlign w:val="center"/>
            <w:hideMark/>
          </w:tcPr>
          <w:p w14:paraId="6C2D7DF8" w14:textId="665A3AC3" w:rsidR="001E2711" w:rsidRPr="00005453" w:rsidRDefault="001E2711" w:rsidP="001E2711">
            <w:pPr>
              <w:jc w:val="right"/>
              <w:rPr>
                <w:color w:val="000000"/>
                <w:sz w:val="14"/>
                <w:szCs w:val="14"/>
                <w:lang w:eastAsia="tr-TR"/>
              </w:rPr>
            </w:pPr>
            <w:r w:rsidRPr="00005453">
              <w:rPr>
                <w:color w:val="000000"/>
                <w:sz w:val="14"/>
                <w:szCs w:val="22"/>
              </w:rPr>
              <w:t>KT AT One Company Limited</w:t>
            </w:r>
          </w:p>
        </w:tc>
        <w:tc>
          <w:tcPr>
            <w:tcW w:w="2456" w:type="dxa"/>
            <w:tcBorders>
              <w:top w:val="nil"/>
              <w:left w:val="nil"/>
              <w:bottom w:val="single" w:sz="4" w:space="0" w:color="auto"/>
              <w:right w:val="single" w:sz="4" w:space="0" w:color="auto"/>
            </w:tcBorders>
            <w:shd w:val="clear" w:color="auto" w:fill="auto"/>
            <w:vAlign w:val="center"/>
            <w:hideMark/>
          </w:tcPr>
          <w:p w14:paraId="284689A2" w14:textId="7A5FDAE0" w:rsidR="001E2711" w:rsidRPr="00005453" w:rsidRDefault="001E2711" w:rsidP="001E2711">
            <w:pPr>
              <w:jc w:val="right"/>
              <w:rPr>
                <w:color w:val="000000"/>
                <w:sz w:val="14"/>
                <w:szCs w:val="14"/>
                <w:lang w:val="en-US"/>
              </w:rPr>
            </w:pPr>
            <w:r w:rsidRPr="00005453">
              <w:rPr>
                <w:color w:val="000000"/>
                <w:sz w:val="14"/>
                <w:szCs w:val="22"/>
              </w:rPr>
              <w:t>KT21 T2 Company Limited</w:t>
            </w:r>
          </w:p>
        </w:tc>
      </w:tr>
      <w:tr w:rsidR="001E2711" w:rsidRPr="00005453" w14:paraId="64721404"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D5DE5B5" w14:textId="77777777" w:rsidR="001E2711" w:rsidRPr="00005453" w:rsidRDefault="001E2711" w:rsidP="001E2711">
            <w:pPr>
              <w:rPr>
                <w:color w:val="000000"/>
                <w:sz w:val="14"/>
                <w:szCs w:val="18"/>
                <w:lang w:eastAsia="tr-TR"/>
              </w:rPr>
            </w:pPr>
            <w:r w:rsidRPr="00005453">
              <w:rPr>
                <w:color w:val="000000"/>
                <w:sz w:val="14"/>
                <w:szCs w:val="18"/>
                <w:lang w:eastAsia="tr-TR"/>
              </w:rPr>
              <w:t>Aracın Kodu (CUSIP, ISIN vb.)</w:t>
            </w:r>
          </w:p>
        </w:tc>
        <w:tc>
          <w:tcPr>
            <w:tcW w:w="2730" w:type="dxa"/>
            <w:tcBorders>
              <w:top w:val="nil"/>
              <w:left w:val="nil"/>
              <w:bottom w:val="single" w:sz="4" w:space="0" w:color="auto"/>
              <w:right w:val="single" w:sz="4" w:space="0" w:color="auto"/>
            </w:tcBorders>
            <w:shd w:val="clear" w:color="auto" w:fill="auto"/>
            <w:vAlign w:val="center"/>
            <w:hideMark/>
          </w:tcPr>
          <w:p w14:paraId="46423D8D" w14:textId="6429921D" w:rsidR="001E2711" w:rsidRPr="00005453" w:rsidRDefault="001E2711" w:rsidP="001E2711">
            <w:pPr>
              <w:jc w:val="right"/>
              <w:rPr>
                <w:color w:val="000000"/>
                <w:sz w:val="14"/>
                <w:szCs w:val="14"/>
                <w:lang w:eastAsia="tr-TR"/>
              </w:rPr>
            </w:pPr>
            <w:r w:rsidRPr="00005453">
              <w:rPr>
                <w:color w:val="000000"/>
                <w:sz w:val="14"/>
                <w:szCs w:val="22"/>
              </w:rPr>
              <w:t>XS2227803819</w:t>
            </w:r>
          </w:p>
        </w:tc>
        <w:tc>
          <w:tcPr>
            <w:tcW w:w="2456" w:type="dxa"/>
            <w:tcBorders>
              <w:top w:val="nil"/>
              <w:left w:val="nil"/>
              <w:bottom w:val="single" w:sz="4" w:space="0" w:color="auto"/>
              <w:right w:val="single" w:sz="4" w:space="0" w:color="auto"/>
            </w:tcBorders>
            <w:shd w:val="clear" w:color="auto" w:fill="auto"/>
            <w:vAlign w:val="center"/>
            <w:hideMark/>
          </w:tcPr>
          <w:p w14:paraId="76401A2B" w14:textId="442DBE47" w:rsidR="001E2711" w:rsidRPr="00005453" w:rsidRDefault="001E2711" w:rsidP="001E2711">
            <w:pPr>
              <w:jc w:val="right"/>
              <w:rPr>
                <w:color w:val="000000"/>
                <w:sz w:val="14"/>
                <w:szCs w:val="14"/>
                <w:lang w:eastAsia="tr-TR"/>
              </w:rPr>
            </w:pPr>
            <w:r w:rsidRPr="00005453">
              <w:rPr>
                <w:color w:val="000000"/>
                <w:sz w:val="14"/>
                <w:szCs w:val="22"/>
              </w:rPr>
              <w:t>XS2384355520</w:t>
            </w:r>
          </w:p>
        </w:tc>
      </w:tr>
      <w:tr w:rsidR="001E2711" w:rsidRPr="00005453" w14:paraId="4D0B6EAE"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0776D4E5" w14:textId="2F9EEEFE" w:rsidR="001E2711" w:rsidRPr="00005453" w:rsidRDefault="001E2711" w:rsidP="001E2711">
            <w:pPr>
              <w:rPr>
                <w:color w:val="000000"/>
                <w:sz w:val="14"/>
                <w:szCs w:val="18"/>
                <w:lang w:eastAsia="tr-TR"/>
              </w:rPr>
            </w:pPr>
            <w:bookmarkStart w:id="23" w:name="_Hlk157159925"/>
            <w:r w:rsidRPr="00005453">
              <w:rPr>
                <w:color w:val="000000"/>
                <w:sz w:val="14"/>
                <w:szCs w:val="18"/>
                <w:lang w:eastAsia="tr-TR"/>
              </w:rPr>
              <w:t>Aracın tabi olduğu mevzuat</w:t>
            </w:r>
            <w:bookmarkEnd w:id="23"/>
          </w:p>
        </w:tc>
        <w:tc>
          <w:tcPr>
            <w:tcW w:w="2730" w:type="dxa"/>
            <w:tcBorders>
              <w:top w:val="nil"/>
              <w:left w:val="nil"/>
              <w:bottom w:val="single" w:sz="4" w:space="0" w:color="auto"/>
              <w:right w:val="single" w:sz="4" w:space="0" w:color="auto"/>
            </w:tcBorders>
            <w:shd w:val="clear" w:color="auto" w:fill="auto"/>
            <w:noWrap/>
            <w:vAlign w:val="center"/>
            <w:hideMark/>
          </w:tcPr>
          <w:p w14:paraId="74D1F6D5" w14:textId="7BAB6F34" w:rsidR="001E2711" w:rsidRPr="00005453" w:rsidRDefault="001E2711" w:rsidP="001E2711">
            <w:pPr>
              <w:jc w:val="right"/>
              <w:rPr>
                <w:color w:val="000000"/>
                <w:sz w:val="14"/>
                <w:szCs w:val="14"/>
                <w:lang w:eastAsia="tr-TR"/>
              </w:rPr>
            </w:pPr>
            <w:r w:rsidRPr="00005453">
              <w:rPr>
                <w:color w:val="000000"/>
                <w:sz w:val="14"/>
                <w:szCs w:val="22"/>
              </w:rPr>
              <w:t>Bankalarin Özkaynaklarina Ilişkin Bddk Yönetmeliği</w:t>
            </w:r>
          </w:p>
        </w:tc>
        <w:tc>
          <w:tcPr>
            <w:tcW w:w="2456" w:type="dxa"/>
            <w:tcBorders>
              <w:top w:val="nil"/>
              <w:left w:val="nil"/>
              <w:bottom w:val="single" w:sz="4" w:space="0" w:color="auto"/>
              <w:right w:val="single" w:sz="4" w:space="0" w:color="auto"/>
            </w:tcBorders>
            <w:shd w:val="clear" w:color="auto" w:fill="auto"/>
            <w:noWrap/>
            <w:vAlign w:val="center"/>
            <w:hideMark/>
          </w:tcPr>
          <w:p w14:paraId="35F73893" w14:textId="05109C17" w:rsidR="001E2711" w:rsidRPr="00005453" w:rsidRDefault="001E2711" w:rsidP="001E2711">
            <w:pPr>
              <w:jc w:val="right"/>
              <w:rPr>
                <w:color w:val="000000"/>
                <w:sz w:val="14"/>
                <w:szCs w:val="14"/>
                <w:lang w:eastAsia="tr-TR"/>
              </w:rPr>
            </w:pPr>
            <w:r w:rsidRPr="00005453">
              <w:rPr>
                <w:color w:val="000000"/>
                <w:sz w:val="14"/>
                <w:szCs w:val="22"/>
              </w:rPr>
              <w:t>Bankalarin Özkaynaklarina Ilişkin Bddk Yönetmeliği</w:t>
            </w:r>
          </w:p>
        </w:tc>
      </w:tr>
      <w:tr w:rsidR="0089168B" w:rsidRPr="00005453" w14:paraId="2F87DC16"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4AA1F57B" w14:textId="77777777" w:rsidR="0089168B" w:rsidRPr="00005453" w:rsidRDefault="0089168B" w:rsidP="0089168B">
            <w:pPr>
              <w:rPr>
                <w:b/>
                <w:bCs/>
                <w:color w:val="000000"/>
                <w:sz w:val="14"/>
                <w:szCs w:val="18"/>
                <w:lang w:eastAsia="tr-TR"/>
              </w:rPr>
            </w:pPr>
            <w:r w:rsidRPr="00005453">
              <w:rPr>
                <w:b/>
                <w:bCs/>
                <w:color w:val="000000"/>
                <w:sz w:val="14"/>
                <w:szCs w:val="18"/>
                <w:lang w:eastAsia="tr-TR"/>
              </w:rPr>
              <w:t>Özkaynak Hesaplamasında Dikkate Alınma Durumu</w:t>
            </w:r>
          </w:p>
        </w:tc>
        <w:tc>
          <w:tcPr>
            <w:tcW w:w="2730" w:type="dxa"/>
            <w:tcBorders>
              <w:top w:val="nil"/>
              <w:left w:val="nil"/>
              <w:bottom w:val="single" w:sz="4" w:space="0" w:color="auto"/>
              <w:right w:val="single" w:sz="4" w:space="0" w:color="auto"/>
            </w:tcBorders>
            <w:shd w:val="clear" w:color="auto" w:fill="auto"/>
            <w:vAlign w:val="center"/>
            <w:hideMark/>
          </w:tcPr>
          <w:p w14:paraId="42535B95" w14:textId="77777777" w:rsidR="0089168B" w:rsidRPr="00005453" w:rsidRDefault="0089168B" w:rsidP="0089168B">
            <w:pPr>
              <w:jc w:val="right"/>
              <w:rPr>
                <w:b/>
                <w:bCs/>
                <w:color w:val="000000"/>
                <w:sz w:val="14"/>
                <w:szCs w:val="14"/>
                <w:lang w:eastAsia="tr-TR"/>
              </w:rPr>
            </w:pPr>
          </w:p>
        </w:tc>
        <w:tc>
          <w:tcPr>
            <w:tcW w:w="2456" w:type="dxa"/>
            <w:tcBorders>
              <w:top w:val="nil"/>
              <w:left w:val="nil"/>
              <w:bottom w:val="single" w:sz="4" w:space="0" w:color="auto"/>
              <w:right w:val="single" w:sz="4" w:space="0" w:color="auto"/>
            </w:tcBorders>
            <w:shd w:val="clear" w:color="auto" w:fill="auto"/>
            <w:vAlign w:val="center"/>
            <w:hideMark/>
          </w:tcPr>
          <w:p w14:paraId="12ED2C30" w14:textId="77777777" w:rsidR="0089168B" w:rsidRPr="00005453" w:rsidRDefault="0089168B" w:rsidP="0089168B">
            <w:pPr>
              <w:jc w:val="right"/>
              <w:rPr>
                <w:sz w:val="14"/>
                <w:szCs w:val="14"/>
                <w:lang w:eastAsia="tr-TR"/>
              </w:rPr>
            </w:pPr>
          </w:p>
        </w:tc>
      </w:tr>
      <w:tr w:rsidR="0026130B" w:rsidRPr="00005453" w14:paraId="237F66FA"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0A12FF07" w14:textId="77777777" w:rsidR="0026130B" w:rsidRPr="00005453" w:rsidRDefault="0026130B" w:rsidP="0026130B">
            <w:pPr>
              <w:rPr>
                <w:color w:val="000000"/>
                <w:sz w:val="14"/>
                <w:szCs w:val="18"/>
                <w:lang w:eastAsia="tr-TR"/>
              </w:rPr>
            </w:pPr>
            <w:r w:rsidRPr="00005453">
              <w:rPr>
                <w:color w:val="000000"/>
                <w:sz w:val="14"/>
                <w:szCs w:val="18"/>
                <w:lang w:eastAsia="tr-TR"/>
              </w:rPr>
              <w:t>1/1/2015'ten itibaren %10 oranında azaltılarak dikkate alınma uygulamasına tabi olma durumu</w:t>
            </w:r>
          </w:p>
        </w:tc>
        <w:tc>
          <w:tcPr>
            <w:tcW w:w="2730" w:type="dxa"/>
            <w:tcBorders>
              <w:top w:val="nil"/>
              <w:left w:val="nil"/>
              <w:bottom w:val="single" w:sz="4" w:space="0" w:color="auto"/>
              <w:right w:val="single" w:sz="4" w:space="0" w:color="auto"/>
            </w:tcBorders>
            <w:shd w:val="clear" w:color="auto" w:fill="auto"/>
            <w:vAlign w:val="center"/>
            <w:hideMark/>
          </w:tcPr>
          <w:p w14:paraId="15CE6A84" w14:textId="77040BD7" w:rsidR="0026130B" w:rsidRPr="00005453" w:rsidRDefault="0026130B" w:rsidP="0026130B">
            <w:pPr>
              <w:jc w:val="right"/>
              <w:rPr>
                <w:color w:val="000000"/>
                <w:sz w:val="14"/>
                <w:szCs w:val="14"/>
                <w:lang w:val="en-US"/>
              </w:rPr>
            </w:pPr>
            <w:r w:rsidRPr="00005453">
              <w:rPr>
                <w:color w:val="000000"/>
                <w:sz w:val="14"/>
                <w:szCs w:val="22"/>
              </w:rPr>
              <w:t>Tabi Değil</w:t>
            </w:r>
          </w:p>
        </w:tc>
        <w:tc>
          <w:tcPr>
            <w:tcW w:w="2456" w:type="dxa"/>
            <w:tcBorders>
              <w:top w:val="nil"/>
              <w:left w:val="nil"/>
              <w:bottom w:val="single" w:sz="4" w:space="0" w:color="auto"/>
              <w:right w:val="single" w:sz="4" w:space="0" w:color="auto"/>
            </w:tcBorders>
            <w:shd w:val="clear" w:color="auto" w:fill="auto"/>
            <w:vAlign w:val="center"/>
            <w:hideMark/>
          </w:tcPr>
          <w:p w14:paraId="2AD8FB8F" w14:textId="714720D4" w:rsidR="0026130B" w:rsidRPr="00005453" w:rsidRDefault="0026130B" w:rsidP="0026130B">
            <w:pPr>
              <w:jc w:val="right"/>
              <w:rPr>
                <w:color w:val="000000"/>
                <w:sz w:val="14"/>
                <w:szCs w:val="14"/>
                <w:lang w:eastAsia="tr-TR"/>
              </w:rPr>
            </w:pPr>
            <w:r w:rsidRPr="00005453">
              <w:rPr>
                <w:color w:val="000000"/>
                <w:sz w:val="14"/>
                <w:szCs w:val="22"/>
              </w:rPr>
              <w:t>Tabi Değil</w:t>
            </w:r>
          </w:p>
        </w:tc>
      </w:tr>
      <w:tr w:rsidR="0026130B" w:rsidRPr="00005453" w14:paraId="546CE64C" w14:textId="77777777" w:rsidTr="005F6E0A">
        <w:trPr>
          <w:trHeight w:val="426"/>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99E49AD" w14:textId="77777777" w:rsidR="0026130B" w:rsidRPr="00005453" w:rsidRDefault="0026130B" w:rsidP="0026130B">
            <w:pPr>
              <w:rPr>
                <w:color w:val="000000"/>
                <w:sz w:val="14"/>
                <w:szCs w:val="18"/>
                <w:lang w:eastAsia="tr-TR"/>
              </w:rPr>
            </w:pPr>
            <w:r w:rsidRPr="00005453">
              <w:rPr>
                <w:color w:val="000000"/>
                <w:sz w:val="14"/>
                <w:szCs w:val="18"/>
                <w:lang w:eastAsia="tr-TR"/>
              </w:rPr>
              <w:t>Konsolide veya konsolide olmayan bazda veya hem konsolide hem konsolide olmayan bazda geçerlilik durumu</w:t>
            </w:r>
          </w:p>
        </w:tc>
        <w:tc>
          <w:tcPr>
            <w:tcW w:w="2730" w:type="dxa"/>
            <w:tcBorders>
              <w:top w:val="nil"/>
              <w:left w:val="nil"/>
              <w:bottom w:val="single" w:sz="4" w:space="0" w:color="auto"/>
              <w:right w:val="single" w:sz="4" w:space="0" w:color="auto"/>
            </w:tcBorders>
            <w:shd w:val="clear" w:color="auto" w:fill="auto"/>
            <w:vAlign w:val="center"/>
            <w:hideMark/>
          </w:tcPr>
          <w:p w14:paraId="787D6F46" w14:textId="744FF8BF" w:rsidR="0026130B" w:rsidRPr="00005453" w:rsidRDefault="0026130B" w:rsidP="0026130B">
            <w:pPr>
              <w:jc w:val="right"/>
              <w:rPr>
                <w:color w:val="000000"/>
                <w:sz w:val="14"/>
                <w:szCs w:val="14"/>
                <w:lang w:eastAsia="tr-TR"/>
              </w:rPr>
            </w:pPr>
            <w:r w:rsidRPr="00005453">
              <w:rPr>
                <w:color w:val="000000"/>
                <w:sz w:val="14"/>
                <w:szCs w:val="22"/>
              </w:rPr>
              <w:t>Hem konsolide hem konsolide olmayan bazda geçerli</w:t>
            </w:r>
          </w:p>
        </w:tc>
        <w:tc>
          <w:tcPr>
            <w:tcW w:w="2456" w:type="dxa"/>
            <w:tcBorders>
              <w:top w:val="nil"/>
              <w:left w:val="nil"/>
              <w:bottom w:val="single" w:sz="4" w:space="0" w:color="auto"/>
              <w:right w:val="single" w:sz="4" w:space="0" w:color="auto"/>
            </w:tcBorders>
            <w:shd w:val="clear" w:color="auto" w:fill="auto"/>
            <w:vAlign w:val="center"/>
            <w:hideMark/>
          </w:tcPr>
          <w:p w14:paraId="7F22D32D" w14:textId="07BE9BA5" w:rsidR="0026130B" w:rsidRPr="00005453" w:rsidRDefault="0026130B" w:rsidP="0026130B">
            <w:pPr>
              <w:jc w:val="right"/>
              <w:rPr>
                <w:color w:val="000000"/>
                <w:sz w:val="14"/>
                <w:szCs w:val="14"/>
                <w:lang w:eastAsia="tr-TR"/>
              </w:rPr>
            </w:pPr>
            <w:r w:rsidRPr="00005453">
              <w:rPr>
                <w:color w:val="000000"/>
                <w:sz w:val="14"/>
                <w:szCs w:val="22"/>
              </w:rPr>
              <w:t>Hem konsolide hem konsolide olmayan bazda geçerli</w:t>
            </w:r>
          </w:p>
        </w:tc>
      </w:tr>
      <w:tr w:rsidR="0026130B" w:rsidRPr="00005453" w14:paraId="0B5E1A84"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70CBCF7E" w14:textId="77777777" w:rsidR="0026130B" w:rsidRPr="00005453" w:rsidRDefault="0026130B" w:rsidP="0026130B">
            <w:pPr>
              <w:rPr>
                <w:color w:val="000000"/>
                <w:sz w:val="14"/>
                <w:szCs w:val="18"/>
                <w:lang w:eastAsia="tr-TR"/>
              </w:rPr>
            </w:pPr>
            <w:r w:rsidRPr="00005453">
              <w:rPr>
                <w:color w:val="000000"/>
                <w:sz w:val="14"/>
                <w:szCs w:val="18"/>
                <w:lang w:eastAsia="tr-TR"/>
              </w:rPr>
              <w:t>Aracın türü</w:t>
            </w:r>
          </w:p>
        </w:tc>
        <w:tc>
          <w:tcPr>
            <w:tcW w:w="2730" w:type="dxa"/>
            <w:tcBorders>
              <w:top w:val="nil"/>
              <w:left w:val="nil"/>
              <w:bottom w:val="single" w:sz="4" w:space="0" w:color="auto"/>
              <w:right w:val="single" w:sz="4" w:space="0" w:color="auto"/>
            </w:tcBorders>
            <w:shd w:val="clear" w:color="auto" w:fill="auto"/>
            <w:vAlign w:val="center"/>
            <w:hideMark/>
          </w:tcPr>
          <w:p w14:paraId="55E40577" w14:textId="7A58AB40" w:rsidR="0026130B" w:rsidRPr="00005453" w:rsidRDefault="0026130B" w:rsidP="0026130B">
            <w:pPr>
              <w:jc w:val="right"/>
              <w:rPr>
                <w:color w:val="000000"/>
                <w:sz w:val="14"/>
                <w:szCs w:val="14"/>
                <w:lang w:eastAsia="tr-TR"/>
              </w:rPr>
            </w:pPr>
            <w:r w:rsidRPr="00005453">
              <w:rPr>
                <w:color w:val="000000"/>
                <w:sz w:val="14"/>
                <w:szCs w:val="22"/>
              </w:rPr>
              <w:t>Sermaye Benzeri Sukuk İhracı (İlave Ana Sermaye)</w:t>
            </w:r>
          </w:p>
        </w:tc>
        <w:tc>
          <w:tcPr>
            <w:tcW w:w="2456" w:type="dxa"/>
            <w:tcBorders>
              <w:top w:val="nil"/>
              <w:left w:val="nil"/>
              <w:bottom w:val="single" w:sz="4" w:space="0" w:color="auto"/>
              <w:right w:val="single" w:sz="4" w:space="0" w:color="auto"/>
            </w:tcBorders>
            <w:shd w:val="clear" w:color="auto" w:fill="auto"/>
            <w:vAlign w:val="center"/>
            <w:hideMark/>
          </w:tcPr>
          <w:p w14:paraId="27B28744" w14:textId="69749C79" w:rsidR="0026130B" w:rsidRPr="00005453" w:rsidRDefault="0026130B" w:rsidP="0026130B">
            <w:pPr>
              <w:jc w:val="right"/>
              <w:rPr>
                <w:color w:val="000000"/>
                <w:sz w:val="14"/>
                <w:szCs w:val="14"/>
                <w:lang w:eastAsia="tr-TR"/>
              </w:rPr>
            </w:pPr>
            <w:r w:rsidRPr="00005453">
              <w:rPr>
                <w:color w:val="000000"/>
                <w:sz w:val="14"/>
                <w:szCs w:val="22"/>
              </w:rPr>
              <w:t>Sermaye Benzeri Sukuk İhracı (Katkı Sermaye)</w:t>
            </w:r>
          </w:p>
        </w:tc>
      </w:tr>
      <w:tr w:rsidR="0026130B" w:rsidRPr="00005453" w14:paraId="41FB1593"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342BDF6B" w14:textId="77777777" w:rsidR="0026130B" w:rsidRPr="00005453" w:rsidRDefault="0026130B" w:rsidP="0026130B">
            <w:pPr>
              <w:rPr>
                <w:color w:val="000000"/>
                <w:sz w:val="14"/>
                <w:szCs w:val="18"/>
                <w:lang w:eastAsia="tr-TR"/>
              </w:rPr>
            </w:pPr>
            <w:r w:rsidRPr="00005453">
              <w:rPr>
                <w:color w:val="000000"/>
                <w:sz w:val="14"/>
                <w:szCs w:val="18"/>
                <w:lang w:eastAsia="tr-TR"/>
              </w:rPr>
              <w:t>Özkaynak hesaplamasında dikkate alınan tutar (En son raporlama tarihi itibarıyla -Milyon TL)</w:t>
            </w:r>
          </w:p>
        </w:tc>
        <w:tc>
          <w:tcPr>
            <w:tcW w:w="2730" w:type="dxa"/>
            <w:tcBorders>
              <w:top w:val="nil"/>
              <w:left w:val="nil"/>
              <w:bottom w:val="single" w:sz="4" w:space="0" w:color="auto"/>
              <w:right w:val="single" w:sz="4" w:space="0" w:color="auto"/>
            </w:tcBorders>
            <w:shd w:val="clear" w:color="auto" w:fill="auto"/>
            <w:vAlign w:val="center"/>
            <w:hideMark/>
          </w:tcPr>
          <w:p w14:paraId="1226DED2" w14:textId="57ED1D52" w:rsidR="0026130B" w:rsidRPr="00005453" w:rsidRDefault="0026130B" w:rsidP="0026130B">
            <w:pPr>
              <w:jc w:val="right"/>
              <w:rPr>
                <w:color w:val="000000"/>
                <w:sz w:val="14"/>
                <w:szCs w:val="14"/>
                <w:lang w:eastAsia="tr-TR"/>
              </w:rPr>
            </w:pPr>
            <w:r w:rsidRPr="00005453">
              <w:rPr>
                <w:color w:val="000000"/>
                <w:sz w:val="14"/>
                <w:szCs w:val="22"/>
              </w:rPr>
              <w:t>1,764</w:t>
            </w:r>
          </w:p>
        </w:tc>
        <w:tc>
          <w:tcPr>
            <w:tcW w:w="2456" w:type="dxa"/>
            <w:tcBorders>
              <w:top w:val="nil"/>
              <w:left w:val="nil"/>
              <w:bottom w:val="single" w:sz="4" w:space="0" w:color="auto"/>
              <w:right w:val="single" w:sz="4" w:space="0" w:color="auto"/>
            </w:tcBorders>
            <w:shd w:val="clear" w:color="auto" w:fill="auto"/>
            <w:vAlign w:val="center"/>
            <w:hideMark/>
          </w:tcPr>
          <w:p w14:paraId="783ED4AF" w14:textId="6BD92DF5" w:rsidR="0026130B" w:rsidRPr="00005453" w:rsidRDefault="0026130B" w:rsidP="0026130B">
            <w:pPr>
              <w:jc w:val="right"/>
              <w:rPr>
                <w:color w:val="000000"/>
                <w:sz w:val="14"/>
                <w:szCs w:val="14"/>
                <w:lang w:eastAsia="tr-TR"/>
              </w:rPr>
            </w:pPr>
            <w:r w:rsidRPr="00005453">
              <w:rPr>
                <w:color w:val="000000"/>
                <w:sz w:val="14"/>
                <w:szCs w:val="22"/>
              </w:rPr>
              <w:t>12,345</w:t>
            </w:r>
          </w:p>
        </w:tc>
      </w:tr>
      <w:tr w:rsidR="0026130B" w:rsidRPr="00005453" w14:paraId="17A23923"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8778C35" w14:textId="77777777" w:rsidR="0026130B" w:rsidRPr="00005453" w:rsidRDefault="0026130B" w:rsidP="0026130B">
            <w:pPr>
              <w:rPr>
                <w:color w:val="000000"/>
                <w:sz w:val="14"/>
                <w:szCs w:val="18"/>
                <w:lang w:eastAsia="tr-TR"/>
              </w:rPr>
            </w:pPr>
            <w:r w:rsidRPr="00005453">
              <w:rPr>
                <w:color w:val="000000"/>
                <w:sz w:val="14"/>
                <w:szCs w:val="18"/>
                <w:lang w:eastAsia="tr-TR"/>
              </w:rPr>
              <w:t>Aracın nominal değeri (Milyon TL)</w:t>
            </w:r>
          </w:p>
        </w:tc>
        <w:tc>
          <w:tcPr>
            <w:tcW w:w="2730" w:type="dxa"/>
            <w:tcBorders>
              <w:top w:val="nil"/>
              <w:left w:val="nil"/>
              <w:bottom w:val="single" w:sz="4" w:space="0" w:color="auto"/>
              <w:right w:val="single" w:sz="4" w:space="0" w:color="auto"/>
            </w:tcBorders>
            <w:shd w:val="clear" w:color="auto" w:fill="auto"/>
            <w:vAlign w:val="center"/>
            <w:hideMark/>
          </w:tcPr>
          <w:p w14:paraId="7D4AA4FE" w14:textId="6FAD6561" w:rsidR="0026130B" w:rsidRPr="00005453" w:rsidRDefault="0026130B" w:rsidP="0026130B">
            <w:pPr>
              <w:jc w:val="right"/>
              <w:rPr>
                <w:color w:val="000000"/>
                <w:sz w:val="14"/>
                <w:szCs w:val="14"/>
                <w:lang w:eastAsia="tr-TR"/>
              </w:rPr>
            </w:pPr>
            <w:r w:rsidRPr="00005453">
              <w:rPr>
                <w:color w:val="000000"/>
                <w:sz w:val="14"/>
                <w:szCs w:val="22"/>
              </w:rPr>
              <w:t>1,764</w:t>
            </w:r>
          </w:p>
        </w:tc>
        <w:tc>
          <w:tcPr>
            <w:tcW w:w="2456" w:type="dxa"/>
            <w:tcBorders>
              <w:top w:val="nil"/>
              <w:left w:val="nil"/>
              <w:bottom w:val="single" w:sz="4" w:space="0" w:color="auto"/>
              <w:right w:val="single" w:sz="4" w:space="0" w:color="auto"/>
            </w:tcBorders>
            <w:shd w:val="clear" w:color="auto" w:fill="auto"/>
            <w:vAlign w:val="center"/>
            <w:hideMark/>
          </w:tcPr>
          <w:p w14:paraId="33A89903" w14:textId="18F5E9B1" w:rsidR="0026130B" w:rsidRPr="00005453" w:rsidRDefault="0026130B" w:rsidP="0026130B">
            <w:pPr>
              <w:jc w:val="right"/>
              <w:rPr>
                <w:color w:val="000000"/>
                <w:sz w:val="14"/>
                <w:szCs w:val="14"/>
                <w:lang w:eastAsia="tr-TR"/>
              </w:rPr>
            </w:pPr>
            <w:r w:rsidRPr="00005453">
              <w:rPr>
                <w:color w:val="000000"/>
                <w:sz w:val="14"/>
                <w:szCs w:val="22"/>
              </w:rPr>
              <w:t>12,345</w:t>
            </w:r>
          </w:p>
        </w:tc>
      </w:tr>
      <w:tr w:rsidR="0026130B" w:rsidRPr="00005453" w14:paraId="0255585D"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4576A6BE" w14:textId="77777777" w:rsidR="0026130B" w:rsidRPr="00005453" w:rsidRDefault="0026130B" w:rsidP="0026130B">
            <w:pPr>
              <w:rPr>
                <w:color w:val="000000"/>
                <w:sz w:val="14"/>
                <w:szCs w:val="18"/>
                <w:lang w:eastAsia="tr-TR"/>
              </w:rPr>
            </w:pPr>
            <w:r w:rsidRPr="00005453">
              <w:rPr>
                <w:color w:val="000000"/>
                <w:sz w:val="14"/>
                <w:szCs w:val="18"/>
                <w:lang w:eastAsia="tr-TR"/>
              </w:rPr>
              <w:t>Aracın muhasebesel olarak takip edildiği hesap</w:t>
            </w:r>
          </w:p>
        </w:tc>
        <w:tc>
          <w:tcPr>
            <w:tcW w:w="2730" w:type="dxa"/>
            <w:tcBorders>
              <w:top w:val="nil"/>
              <w:left w:val="nil"/>
              <w:bottom w:val="single" w:sz="4" w:space="0" w:color="auto"/>
              <w:right w:val="single" w:sz="4" w:space="0" w:color="auto"/>
            </w:tcBorders>
            <w:shd w:val="clear" w:color="auto" w:fill="auto"/>
            <w:vAlign w:val="center"/>
            <w:hideMark/>
          </w:tcPr>
          <w:p w14:paraId="73E7953F" w14:textId="4C23B9FC" w:rsidR="0026130B" w:rsidRPr="00005453" w:rsidRDefault="0026130B" w:rsidP="0026130B">
            <w:pPr>
              <w:jc w:val="right"/>
              <w:rPr>
                <w:color w:val="000000"/>
                <w:sz w:val="14"/>
                <w:szCs w:val="14"/>
              </w:rPr>
            </w:pPr>
            <w:r w:rsidRPr="00005453">
              <w:rPr>
                <w:color w:val="000000"/>
                <w:sz w:val="14"/>
                <w:szCs w:val="22"/>
              </w:rPr>
              <w:t>3470003</w:t>
            </w:r>
          </w:p>
        </w:tc>
        <w:tc>
          <w:tcPr>
            <w:tcW w:w="2456" w:type="dxa"/>
            <w:tcBorders>
              <w:top w:val="nil"/>
              <w:left w:val="nil"/>
              <w:bottom w:val="single" w:sz="4" w:space="0" w:color="auto"/>
              <w:right w:val="single" w:sz="4" w:space="0" w:color="auto"/>
            </w:tcBorders>
            <w:shd w:val="clear" w:color="auto" w:fill="auto"/>
            <w:vAlign w:val="center"/>
            <w:hideMark/>
          </w:tcPr>
          <w:p w14:paraId="16558401" w14:textId="2F3448B7" w:rsidR="0026130B" w:rsidRPr="00005453" w:rsidRDefault="0026130B" w:rsidP="0026130B">
            <w:pPr>
              <w:jc w:val="right"/>
              <w:rPr>
                <w:color w:val="000000"/>
                <w:sz w:val="14"/>
                <w:szCs w:val="14"/>
              </w:rPr>
            </w:pPr>
            <w:r w:rsidRPr="00005453">
              <w:rPr>
                <w:color w:val="000000"/>
                <w:sz w:val="14"/>
                <w:szCs w:val="22"/>
              </w:rPr>
              <w:t>3470003</w:t>
            </w:r>
          </w:p>
        </w:tc>
      </w:tr>
      <w:tr w:rsidR="0026130B" w:rsidRPr="00005453" w14:paraId="6B8D0156"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1F2B91D2" w14:textId="77777777" w:rsidR="0026130B" w:rsidRPr="00005453" w:rsidRDefault="0026130B" w:rsidP="0026130B">
            <w:pPr>
              <w:rPr>
                <w:color w:val="000000"/>
                <w:sz w:val="14"/>
                <w:szCs w:val="18"/>
                <w:lang w:eastAsia="tr-TR"/>
              </w:rPr>
            </w:pPr>
            <w:r w:rsidRPr="00005453">
              <w:rPr>
                <w:color w:val="000000"/>
                <w:sz w:val="14"/>
                <w:szCs w:val="18"/>
                <w:lang w:eastAsia="tr-TR"/>
              </w:rPr>
              <w:t>Aracın ihraç tarihi</w:t>
            </w:r>
          </w:p>
        </w:tc>
        <w:tc>
          <w:tcPr>
            <w:tcW w:w="2730" w:type="dxa"/>
            <w:tcBorders>
              <w:top w:val="nil"/>
              <w:left w:val="nil"/>
              <w:bottom w:val="single" w:sz="4" w:space="0" w:color="auto"/>
              <w:right w:val="single" w:sz="4" w:space="0" w:color="auto"/>
            </w:tcBorders>
            <w:shd w:val="clear" w:color="auto" w:fill="auto"/>
            <w:vAlign w:val="center"/>
            <w:hideMark/>
          </w:tcPr>
          <w:p w14:paraId="6585FB4F" w14:textId="51E34D86" w:rsidR="0026130B" w:rsidRPr="00005453" w:rsidRDefault="0026130B" w:rsidP="0026130B">
            <w:pPr>
              <w:jc w:val="right"/>
              <w:rPr>
                <w:color w:val="000000"/>
                <w:sz w:val="14"/>
                <w:szCs w:val="14"/>
                <w:lang w:eastAsia="tr-TR"/>
              </w:rPr>
            </w:pPr>
            <w:r w:rsidRPr="00005453">
              <w:rPr>
                <w:color w:val="000000"/>
                <w:sz w:val="14"/>
                <w:szCs w:val="22"/>
              </w:rPr>
              <w:t>28/09/2020</w:t>
            </w:r>
          </w:p>
        </w:tc>
        <w:tc>
          <w:tcPr>
            <w:tcW w:w="2456" w:type="dxa"/>
            <w:tcBorders>
              <w:top w:val="nil"/>
              <w:left w:val="nil"/>
              <w:bottom w:val="single" w:sz="4" w:space="0" w:color="auto"/>
              <w:right w:val="single" w:sz="4" w:space="0" w:color="auto"/>
            </w:tcBorders>
            <w:shd w:val="clear" w:color="auto" w:fill="auto"/>
            <w:vAlign w:val="center"/>
            <w:hideMark/>
          </w:tcPr>
          <w:p w14:paraId="6006E442" w14:textId="69737733" w:rsidR="0026130B" w:rsidRPr="00005453" w:rsidRDefault="0026130B" w:rsidP="0026130B">
            <w:pPr>
              <w:jc w:val="right"/>
              <w:rPr>
                <w:color w:val="000000"/>
                <w:sz w:val="14"/>
                <w:szCs w:val="14"/>
                <w:lang w:eastAsia="tr-TR"/>
              </w:rPr>
            </w:pPr>
            <w:r w:rsidRPr="00005453">
              <w:rPr>
                <w:color w:val="000000"/>
                <w:sz w:val="14"/>
                <w:szCs w:val="22"/>
              </w:rPr>
              <w:t>16/09/2021</w:t>
            </w:r>
          </w:p>
        </w:tc>
      </w:tr>
      <w:tr w:rsidR="0026130B" w:rsidRPr="00005453" w14:paraId="34A3F816"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1B792613" w14:textId="77777777" w:rsidR="0026130B" w:rsidRPr="00005453" w:rsidRDefault="0026130B" w:rsidP="0026130B">
            <w:pPr>
              <w:rPr>
                <w:color w:val="000000"/>
                <w:sz w:val="14"/>
                <w:szCs w:val="18"/>
                <w:lang w:eastAsia="tr-TR"/>
              </w:rPr>
            </w:pPr>
            <w:r w:rsidRPr="00005453">
              <w:rPr>
                <w:color w:val="000000"/>
                <w:sz w:val="14"/>
                <w:szCs w:val="18"/>
                <w:lang w:eastAsia="tr-TR"/>
              </w:rPr>
              <w:t>Aracın vade yapısı (Vadesiz/Vadeli)</w:t>
            </w:r>
          </w:p>
        </w:tc>
        <w:tc>
          <w:tcPr>
            <w:tcW w:w="2730" w:type="dxa"/>
            <w:tcBorders>
              <w:top w:val="nil"/>
              <w:left w:val="nil"/>
              <w:bottom w:val="single" w:sz="4" w:space="0" w:color="auto"/>
              <w:right w:val="single" w:sz="4" w:space="0" w:color="auto"/>
            </w:tcBorders>
            <w:shd w:val="clear" w:color="auto" w:fill="auto"/>
            <w:vAlign w:val="center"/>
            <w:hideMark/>
          </w:tcPr>
          <w:p w14:paraId="11B654B0" w14:textId="52F19838" w:rsidR="0026130B" w:rsidRPr="00005453" w:rsidRDefault="0026130B" w:rsidP="0026130B">
            <w:pPr>
              <w:jc w:val="right"/>
              <w:rPr>
                <w:color w:val="000000"/>
                <w:sz w:val="14"/>
                <w:szCs w:val="14"/>
                <w:lang w:eastAsia="tr-TR"/>
              </w:rPr>
            </w:pPr>
            <w:r w:rsidRPr="00005453">
              <w:rPr>
                <w:color w:val="000000"/>
                <w:sz w:val="14"/>
                <w:szCs w:val="22"/>
              </w:rPr>
              <w:t>Vadesiz</w:t>
            </w:r>
          </w:p>
        </w:tc>
        <w:tc>
          <w:tcPr>
            <w:tcW w:w="2456" w:type="dxa"/>
            <w:tcBorders>
              <w:top w:val="nil"/>
              <w:left w:val="nil"/>
              <w:bottom w:val="single" w:sz="4" w:space="0" w:color="auto"/>
              <w:right w:val="single" w:sz="4" w:space="0" w:color="auto"/>
            </w:tcBorders>
            <w:shd w:val="clear" w:color="auto" w:fill="auto"/>
            <w:vAlign w:val="center"/>
            <w:hideMark/>
          </w:tcPr>
          <w:p w14:paraId="1ADB96BE" w14:textId="50C34A3E" w:rsidR="0026130B" w:rsidRPr="00005453" w:rsidRDefault="0026130B" w:rsidP="0026130B">
            <w:pPr>
              <w:jc w:val="right"/>
              <w:rPr>
                <w:color w:val="000000"/>
                <w:sz w:val="14"/>
                <w:szCs w:val="14"/>
                <w:lang w:eastAsia="tr-TR"/>
              </w:rPr>
            </w:pPr>
            <w:r w:rsidRPr="00005453">
              <w:rPr>
                <w:color w:val="000000"/>
                <w:sz w:val="14"/>
                <w:szCs w:val="22"/>
              </w:rPr>
              <w:t>10 Yıl 3 Ay Vadeli</w:t>
            </w:r>
          </w:p>
        </w:tc>
      </w:tr>
      <w:tr w:rsidR="0026130B" w:rsidRPr="00005453" w14:paraId="5D203ACB"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11712ED9" w14:textId="77777777" w:rsidR="0026130B" w:rsidRPr="00005453" w:rsidRDefault="0026130B" w:rsidP="0026130B">
            <w:pPr>
              <w:rPr>
                <w:color w:val="000000"/>
                <w:sz w:val="14"/>
                <w:szCs w:val="18"/>
                <w:lang w:eastAsia="tr-TR"/>
              </w:rPr>
            </w:pPr>
            <w:r w:rsidRPr="00005453">
              <w:rPr>
                <w:color w:val="000000"/>
                <w:sz w:val="14"/>
                <w:szCs w:val="18"/>
                <w:lang w:eastAsia="tr-TR"/>
              </w:rPr>
              <w:t>Aracın başlangıç vadesi</w:t>
            </w:r>
          </w:p>
        </w:tc>
        <w:tc>
          <w:tcPr>
            <w:tcW w:w="2730" w:type="dxa"/>
            <w:tcBorders>
              <w:top w:val="nil"/>
              <w:left w:val="nil"/>
              <w:bottom w:val="single" w:sz="4" w:space="0" w:color="auto"/>
              <w:right w:val="single" w:sz="4" w:space="0" w:color="auto"/>
            </w:tcBorders>
            <w:shd w:val="clear" w:color="auto" w:fill="auto"/>
            <w:vAlign w:val="center"/>
            <w:hideMark/>
          </w:tcPr>
          <w:p w14:paraId="3E1EFFEB" w14:textId="37088F8E" w:rsidR="0026130B" w:rsidRPr="00005453" w:rsidRDefault="0026130B" w:rsidP="0026130B">
            <w:pPr>
              <w:jc w:val="right"/>
              <w:rPr>
                <w:color w:val="000000"/>
                <w:sz w:val="14"/>
                <w:szCs w:val="14"/>
                <w:lang w:eastAsia="tr-TR"/>
              </w:rPr>
            </w:pPr>
            <w:r w:rsidRPr="00005453">
              <w:rPr>
                <w:color w:val="000000"/>
                <w:sz w:val="14"/>
                <w:szCs w:val="22"/>
              </w:rPr>
              <w:t xml:space="preserve">5 Yıl (Vade </w:t>
            </w:r>
            <w:proofErr w:type="gramStart"/>
            <w:r w:rsidRPr="00005453">
              <w:rPr>
                <w:color w:val="000000"/>
                <w:sz w:val="14"/>
                <w:szCs w:val="22"/>
              </w:rPr>
              <w:t>Tarihi :</w:t>
            </w:r>
            <w:proofErr w:type="gramEnd"/>
            <w:r w:rsidRPr="00005453">
              <w:rPr>
                <w:color w:val="000000"/>
                <w:sz w:val="14"/>
                <w:szCs w:val="22"/>
              </w:rPr>
              <w:t xml:space="preserve"> 28/09/2025)</w:t>
            </w:r>
          </w:p>
        </w:tc>
        <w:tc>
          <w:tcPr>
            <w:tcW w:w="2456" w:type="dxa"/>
            <w:tcBorders>
              <w:top w:val="nil"/>
              <w:left w:val="nil"/>
              <w:bottom w:val="single" w:sz="4" w:space="0" w:color="auto"/>
              <w:right w:val="single" w:sz="4" w:space="0" w:color="auto"/>
            </w:tcBorders>
            <w:shd w:val="clear" w:color="auto" w:fill="auto"/>
            <w:vAlign w:val="center"/>
            <w:hideMark/>
          </w:tcPr>
          <w:p w14:paraId="464C9FFB" w14:textId="3BAF5992" w:rsidR="0026130B" w:rsidRPr="00005453" w:rsidRDefault="0026130B" w:rsidP="0026130B">
            <w:pPr>
              <w:jc w:val="right"/>
              <w:rPr>
                <w:color w:val="000000"/>
                <w:sz w:val="14"/>
                <w:szCs w:val="14"/>
                <w:lang w:eastAsia="tr-TR"/>
              </w:rPr>
            </w:pPr>
            <w:r w:rsidRPr="00005453">
              <w:rPr>
                <w:color w:val="000000"/>
                <w:sz w:val="14"/>
                <w:szCs w:val="22"/>
              </w:rPr>
              <w:t>5 Yıl Üç Ay (Vade Tarihi:16/12/2026)</w:t>
            </w:r>
          </w:p>
        </w:tc>
      </w:tr>
      <w:tr w:rsidR="0026130B" w:rsidRPr="00005453" w14:paraId="604F3E99"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387C59E9" w14:textId="77777777" w:rsidR="0026130B" w:rsidRPr="00005453" w:rsidRDefault="0026130B" w:rsidP="0026130B">
            <w:pPr>
              <w:rPr>
                <w:color w:val="000000"/>
                <w:sz w:val="14"/>
                <w:szCs w:val="18"/>
                <w:lang w:eastAsia="tr-TR"/>
              </w:rPr>
            </w:pPr>
            <w:r w:rsidRPr="00005453">
              <w:rPr>
                <w:color w:val="000000"/>
                <w:sz w:val="14"/>
                <w:szCs w:val="18"/>
                <w:lang w:eastAsia="tr-TR"/>
              </w:rPr>
              <w:t>İhraççının BDDK onayına bağlı geri ödeme hakkının olup olmadığı</w:t>
            </w:r>
          </w:p>
        </w:tc>
        <w:tc>
          <w:tcPr>
            <w:tcW w:w="2730" w:type="dxa"/>
            <w:tcBorders>
              <w:top w:val="nil"/>
              <w:left w:val="nil"/>
              <w:bottom w:val="single" w:sz="4" w:space="0" w:color="auto"/>
              <w:right w:val="single" w:sz="4" w:space="0" w:color="auto"/>
            </w:tcBorders>
            <w:shd w:val="clear" w:color="auto" w:fill="auto"/>
            <w:vAlign w:val="center"/>
            <w:hideMark/>
          </w:tcPr>
          <w:p w14:paraId="15920328" w14:textId="5399A123" w:rsidR="0026130B" w:rsidRPr="00005453" w:rsidRDefault="0026130B" w:rsidP="0026130B">
            <w:pPr>
              <w:jc w:val="right"/>
              <w:rPr>
                <w:color w:val="000000"/>
                <w:sz w:val="14"/>
                <w:szCs w:val="14"/>
                <w:lang w:eastAsia="tr-TR"/>
              </w:rPr>
            </w:pPr>
            <w:r w:rsidRPr="00005453">
              <w:rPr>
                <w:color w:val="000000"/>
                <w:sz w:val="14"/>
                <w:szCs w:val="22"/>
              </w:rPr>
              <w:t>Var</w:t>
            </w:r>
          </w:p>
        </w:tc>
        <w:tc>
          <w:tcPr>
            <w:tcW w:w="2456" w:type="dxa"/>
            <w:tcBorders>
              <w:top w:val="nil"/>
              <w:left w:val="nil"/>
              <w:bottom w:val="single" w:sz="4" w:space="0" w:color="auto"/>
              <w:right w:val="single" w:sz="4" w:space="0" w:color="auto"/>
            </w:tcBorders>
            <w:shd w:val="clear" w:color="auto" w:fill="auto"/>
            <w:vAlign w:val="center"/>
            <w:hideMark/>
          </w:tcPr>
          <w:p w14:paraId="1D8FE243" w14:textId="519B5969" w:rsidR="0026130B" w:rsidRPr="00005453" w:rsidRDefault="0026130B" w:rsidP="0026130B">
            <w:pPr>
              <w:jc w:val="right"/>
              <w:rPr>
                <w:color w:val="000000"/>
                <w:sz w:val="14"/>
                <w:szCs w:val="14"/>
                <w:lang w:eastAsia="tr-TR"/>
              </w:rPr>
            </w:pPr>
            <w:r w:rsidRPr="00005453">
              <w:rPr>
                <w:color w:val="000000"/>
                <w:sz w:val="14"/>
                <w:szCs w:val="22"/>
              </w:rPr>
              <w:t>Var</w:t>
            </w:r>
          </w:p>
        </w:tc>
      </w:tr>
      <w:tr w:rsidR="0026130B" w:rsidRPr="00005453" w14:paraId="4865EBA8"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B214CF8" w14:textId="77777777" w:rsidR="0026130B" w:rsidRPr="00005453" w:rsidRDefault="0026130B" w:rsidP="0026130B">
            <w:pPr>
              <w:rPr>
                <w:color w:val="000000"/>
                <w:sz w:val="14"/>
                <w:szCs w:val="18"/>
                <w:lang w:eastAsia="tr-TR"/>
              </w:rPr>
            </w:pPr>
            <w:r w:rsidRPr="00005453">
              <w:rPr>
                <w:color w:val="000000"/>
                <w:sz w:val="14"/>
                <w:szCs w:val="18"/>
                <w:lang w:eastAsia="tr-TR"/>
              </w:rPr>
              <w:t>Geri ödeme opsiyonu tarihi, şarta bağlı geri ödeme opsiyonları ve geri ödenecek tutar</w:t>
            </w:r>
          </w:p>
        </w:tc>
        <w:tc>
          <w:tcPr>
            <w:tcW w:w="2730" w:type="dxa"/>
            <w:tcBorders>
              <w:top w:val="nil"/>
              <w:left w:val="nil"/>
              <w:bottom w:val="single" w:sz="4" w:space="0" w:color="auto"/>
              <w:right w:val="single" w:sz="4" w:space="0" w:color="auto"/>
            </w:tcBorders>
            <w:shd w:val="clear" w:color="auto" w:fill="auto"/>
            <w:vAlign w:val="center"/>
            <w:hideMark/>
          </w:tcPr>
          <w:p w14:paraId="2792BAAF" w14:textId="5BABAAE0" w:rsidR="0026130B" w:rsidRPr="00005453" w:rsidRDefault="0026130B" w:rsidP="0026130B">
            <w:pPr>
              <w:jc w:val="right"/>
              <w:rPr>
                <w:color w:val="000000"/>
                <w:sz w:val="14"/>
                <w:szCs w:val="14"/>
                <w:lang w:eastAsia="tr-TR"/>
              </w:rPr>
            </w:pPr>
            <w:r w:rsidRPr="00005453">
              <w:rPr>
                <w:color w:val="000000"/>
                <w:sz w:val="14"/>
                <w:szCs w:val="22"/>
              </w:rPr>
              <w:t>28/09/</w:t>
            </w:r>
            <w:proofErr w:type="gramStart"/>
            <w:r w:rsidRPr="00005453">
              <w:rPr>
                <w:color w:val="000000"/>
                <w:sz w:val="14"/>
                <w:szCs w:val="22"/>
              </w:rPr>
              <w:t>2025 -</w:t>
            </w:r>
            <w:proofErr w:type="gramEnd"/>
            <w:r w:rsidRPr="00005453">
              <w:rPr>
                <w:color w:val="000000"/>
                <w:sz w:val="14"/>
                <w:szCs w:val="22"/>
              </w:rPr>
              <w:t xml:space="preserve"> Tamamı</w:t>
            </w:r>
          </w:p>
        </w:tc>
        <w:tc>
          <w:tcPr>
            <w:tcW w:w="2456" w:type="dxa"/>
            <w:tcBorders>
              <w:top w:val="nil"/>
              <w:left w:val="nil"/>
              <w:bottom w:val="single" w:sz="4" w:space="0" w:color="auto"/>
              <w:right w:val="single" w:sz="4" w:space="0" w:color="auto"/>
            </w:tcBorders>
            <w:shd w:val="clear" w:color="auto" w:fill="auto"/>
            <w:vAlign w:val="center"/>
            <w:hideMark/>
          </w:tcPr>
          <w:p w14:paraId="43109754" w14:textId="6CF013B3" w:rsidR="0026130B" w:rsidRPr="00005453" w:rsidRDefault="0026130B" w:rsidP="0026130B">
            <w:pPr>
              <w:jc w:val="right"/>
              <w:rPr>
                <w:color w:val="000000"/>
                <w:sz w:val="14"/>
                <w:szCs w:val="14"/>
                <w:lang w:eastAsia="tr-TR"/>
              </w:rPr>
            </w:pPr>
            <w:r w:rsidRPr="00005453">
              <w:rPr>
                <w:color w:val="000000"/>
                <w:sz w:val="14"/>
                <w:szCs w:val="22"/>
              </w:rPr>
              <w:t>16/12/2026 -Tamamı</w:t>
            </w:r>
          </w:p>
        </w:tc>
      </w:tr>
      <w:tr w:rsidR="0026130B" w:rsidRPr="00005453" w14:paraId="13774EEE"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090E60A1" w14:textId="77777777" w:rsidR="0026130B" w:rsidRPr="00005453" w:rsidRDefault="0026130B" w:rsidP="0026130B">
            <w:pPr>
              <w:rPr>
                <w:color w:val="000000"/>
                <w:sz w:val="14"/>
                <w:szCs w:val="18"/>
                <w:lang w:eastAsia="tr-TR"/>
              </w:rPr>
            </w:pPr>
            <w:r w:rsidRPr="00005453">
              <w:rPr>
                <w:color w:val="000000"/>
                <w:sz w:val="14"/>
                <w:szCs w:val="18"/>
                <w:lang w:eastAsia="tr-TR"/>
              </w:rPr>
              <w:t>Müteakip geri ödeme opsiyonu tarihleri</w:t>
            </w:r>
          </w:p>
        </w:tc>
        <w:tc>
          <w:tcPr>
            <w:tcW w:w="2730" w:type="dxa"/>
            <w:tcBorders>
              <w:top w:val="nil"/>
              <w:left w:val="nil"/>
              <w:bottom w:val="single" w:sz="4" w:space="0" w:color="auto"/>
              <w:right w:val="single" w:sz="4" w:space="0" w:color="auto"/>
            </w:tcBorders>
            <w:shd w:val="clear" w:color="auto" w:fill="auto"/>
            <w:vAlign w:val="center"/>
            <w:hideMark/>
          </w:tcPr>
          <w:p w14:paraId="079DB6BD" w14:textId="5303D699" w:rsidR="0026130B" w:rsidRPr="00005453" w:rsidRDefault="0026130B" w:rsidP="0026130B">
            <w:pPr>
              <w:jc w:val="right"/>
              <w:rPr>
                <w:color w:val="000000"/>
                <w:sz w:val="14"/>
                <w:szCs w:val="14"/>
                <w:lang w:eastAsia="tr-TR"/>
              </w:rPr>
            </w:pPr>
            <w:r w:rsidRPr="00005453">
              <w:rPr>
                <w:color w:val="000000"/>
                <w:sz w:val="14"/>
                <w:szCs w:val="22"/>
              </w:rPr>
              <w:t>28/09/2025</w:t>
            </w:r>
          </w:p>
        </w:tc>
        <w:tc>
          <w:tcPr>
            <w:tcW w:w="2456" w:type="dxa"/>
            <w:tcBorders>
              <w:top w:val="nil"/>
              <w:left w:val="nil"/>
              <w:bottom w:val="single" w:sz="4" w:space="0" w:color="auto"/>
              <w:right w:val="single" w:sz="4" w:space="0" w:color="auto"/>
            </w:tcBorders>
            <w:shd w:val="clear" w:color="auto" w:fill="auto"/>
            <w:vAlign w:val="center"/>
            <w:hideMark/>
          </w:tcPr>
          <w:p w14:paraId="4878379E" w14:textId="7353F5A7" w:rsidR="0026130B" w:rsidRPr="00005453" w:rsidRDefault="0026130B" w:rsidP="0026130B">
            <w:pPr>
              <w:jc w:val="right"/>
              <w:rPr>
                <w:color w:val="000000"/>
                <w:sz w:val="14"/>
                <w:szCs w:val="14"/>
                <w:lang w:eastAsia="tr-TR"/>
              </w:rPr>
            </w:pPr>
            <w:r w:rsidRPr="00005453">
              <w:rPr>
                <w:color w:val="000000"/>
                <w:sz w:val="14"/>
                <w:szCs w:val="22"/>
              </w:rPr>
              <w:t>16/12/2026</w:t>
            </w:r>
          </w:p>
        </w:tc>
      </w:tr>
      <w:tr w:rsidR="0089168B" w:rsidRPr="00005453" w14:paraId="475D9149"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31BBD00" w14:textId="77777777" w:rsidR="0089168B" w:rsidRPr="00005453" w:rsidRDefault="0089168B" w:rsidP="0089168B">
            <w:pPr>
              <w:rPr>
                <w:b/>
                <w:bCs/>
                <w:color w:val="000000"/>
                <w:sz w:val="14"/>
                <w:szCs w:val="18"/>
                <w:lang w:eastAsia="tr-TR"/>
              </w:rPr>
            </w:pPr>
            <w:proofErr w:type="gramStart"/>
            <w:r w:rsidRPr="00005453">
              <w:rPr>
                <w:b/>
                <w:bCs/>
                <w:color w:val="000000"/>
                <w:sz w:val="14"/>
                <w:szCs w:val="18"/>
                <w:lang w:eastAsia="tr-TR"/>
              </w:rPr>
              <w:t>Kar</w:t>
            </w:r>
            <w:proofErr w:type="gramEnd"/>
            <w:r w:rsidRPr="00005453">
              <w:rPr>
                <w:b/>
                <w:bCs/>
                <w:color w:val="000000"/>
                <w:sz w:val="14"/>
                <w:szCs w:val="18"/>
                <w:lang w:eastAsia="tr-TR"/>
              </w:rPr>
              <w:t xml:space="preserve"> payı/temettü ödemeleri</w:t>
            </w:r>
          </w:p>
        </w:tc>
        <w:tc>
          <w:tcPr>
            <w:tcW w:w="2730" w:type="dxa"/>
            <w:tcBorders>
              <w:top w:val="nil"/>
              <w:left w:val="nil"/>
              <w:bottom w:val="single" w:sz="4" w:space="0" w:color="auto"/>
              <w:right w:val="single" w:sz="4" w:space="0" w:color="auto"/>
            </w:tcBorders>
            <w:shd w:val="clear" w:color="auto" w:fill="auto"/>
            <w:vAlign w:val="center"/>
            <w:hideMark/>
          </w:tcPr>
          <w:p w14:paraId="3A2EA036" w14:textId="77777777" w:rsidR="0089168B" w:rsidRPr="00005453" w:rsidRDefault="0089168B" w:rsidP="0089168B">
            <w:pPr>
              <w:jc w:val="right"/>
              <w:rPr>
                <w:b/>
                <w:bCs/>
                <w:color w:val="000000"/>
                <w:sz w:val="14"/>
                <w:szCs w:val="14"/>
                <w:lang w:eastAsia="tr-TR"/>
              </w:rPr>
            </w:pPr>
          </w:p>
        </w:tc>
        <w:tc>
          <w:tcPr>
            <w:tcW w:w="2456" w:type="dxa"/>
            <w:tcBorders>
              <w:top w:val="nil"/>
              <w:left w:val="nil"/>
              <w:bottom w:val="single" w:sz="4" w:space="0" w:color="auto"/>
              <w:right w:val="single" w:sz="4" w:space="0" w:color="auto"/>
            </w:tcBorders>
            <w:shd w:val="clear" w:color="auto" w:fill="auto"/>
            <w:vAlign w:val="center"/>
            <w:hideMark/>
          </w:tcPr>
          <w:p w14:paraId="29C51115" w14:textId="77777777" w:rsidR="0089168B" w:rsidRPr="00005453" w:rsidRDefault="0089168B" w:rsidP="0089168B">
            <w:pPr>
              <w:jc w:val="right"/>
              <w:rPr>
                <w:sz w:val="14"/>
                <w:szCs w:val="14"/>
                <w:lang w:eastAsia="tr-TR"/>
              </w:rPr>
            </w:pPr>
          </w:p>
        </w:tc>
      </w:tr>
      <w:tr w:rsidR="0026130B" w:rsidRPr="00005453" w14:paraId="743C2A2B"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B9B69DE" w14:textId="77777777" w:rsidR="0026130B" w:rsidRPr="00005453" w:rsidRDefault="0026130B" w:rsidP="0026130B">
            <w:pPr>
              <w:rPr>
                <w:color w:val="000000"/>
                <w:sz w:val="14"/>
                <w:szCs w:val="18"/>
                <w:lang w:eastAsia="tr-TR"/>
              </w:rPr>
            </w:pPr>
            <w:r w:rsidRPr="00005453">
              <w:rPr>
                <w:color w:val="000000"/>
                <w:sz w:val="14"/>
                <w:szCs w:val="18"/>
                <w:lang w:eastAsia="tr-TR"/>
              </w:rPr>
              <w:t xml:space="preserve">Sabit ya da değişken </w:t>
            </w:r>
            <w:proofErr w:type="gramStart"/>
            <w:r w:rsidRPr="00005453">
              <w:rPr>
                <w:color w:val="000000"/>
                <w:sz w:val="14"/>
                <w:szCs w:val="18"/>
                <w:lang w:eastAsia="tr-TR"/>
              </w:rPr>
              <w:t>kar</w:t>
            </w:r>
            <w:proofErr w:type="gramEnd"/>
            <w:r w:rsidRPr="00005453">
              <w:rPr>
                <w:color w:val="000000"/>
                <w:sz w:val="14"/>
                <w:szCs w:val="18"/>
                <w:lang w:eastAsia="tr-TR"/>
              </w:rPr>
              <w:t xml:space="preserve"> payı/temettü ödemeleri</w:t>
            </w:r>
          </w:p>
        </w:tc>
        <w:tc>
          <w:tcPr>
            <w:tcW w:w="2730" w:type="dxa"/>
            <w:tcBorders>
              <w:top w:val="nil"/>
              <w:left w:val="nil"/>
              <w:bottom w:val="single" w:sz="4" w:space="0" w:color="auto"/>
              <w:right w:val="single" w:sz="4" w:space="0" w:color="auto"/>
            </w:tcBorders>
            <w:shd w:val="clear" w:color="auto" w:fill="auto"/>
            <w:vAlign w:val="center"/>
            <w:hideMark/>
          </w:tcPr>
          <w:p w14:paraId="44396D5F" w14:textId="1075387F" w:rsidR="0026130B" w:rsidRPr="00005453" w:rsidRDefault="0026130B" w:rsidP="0026130B">
            <w:pPr>
              <w:jc w:val="right"/>
              <w:rPr>
                <w:color w:val="000000"/>
                <w:sz w:val="14"/>
                <w:szCs w:val="14"/>
                <w:lang w:eastAsia="tr-TR"/>
              </w:rPr>
            </w:pPr>
            <w:r w:rsidRPr="00005453">
              <w:rPr>
                <w:color w:val="000000"/>
                <w:sz w:val="14"/>
                <w:szCs w:val="22"/>
              </w:rPr>
              <w:t>Sabit Karpayı ödemeleri</w:t>
            </w:r>
          </w:p>
        </w:tc>
        <w:tc>
          <w:tcPr>
            <w:tcW w:w="2456" w:type="dxa"/>
            <w:tcBorders>
              <w:top w:val="nil"/>
              <w:left w:val="nil"/>
              <w:bottom w:val="single" w:sz="4" w:space="0" w:color="auto"/>
              <w:right w:val="single" w:sz="4" w:space="0" w:color="auto"/>
            </w:tcBorders>
            <w:shd w:val="clear" w:color="auto" w:fill="auto"/>
            <w:vAlign w:val="center"/>
            <w:hideMark/>
          </w:tcPr>
          <w:p w14:paraId="6A25BBF0" w14:textId="6B131117" w:rsidR="0026130B" w:rsidRPr="00005453" w:rsidRDefault="0026130B" w:rsidP="0026130B">
            <w:pPr>
              <w:jc w:val="right"/>
              <w:rPr>
                <w:color w:val="000000"/>
                <w:sz w:val="14"/>
                <w:szCs w:val="14"/>
                <w:lang w:eastAsia="tr-TR"/>
              </w:rPr>
            </w:pPr>
            <w:r w:rsidRPr="00005453">
              <w:rPr>
                <w:color w:val="000000"/>
                <w:sz w:val="14"/>
                <w:szCs w:val="22"/>
              </w:rPr>
              <w:t>Sabit Karpayı ödemeleri</w:t>
            </w:r>
          </w:p>
        </w:tc>
      </w:tr>
      <w:tr w:rsidR="0026130B" w:rsidRPr="00005453" w14:paraId="096DD0E0"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432A9A6C" w14:textId="77777777" w:rsidR="0026130B" w:rsidRPr="00005453" w:rsidRDefault="0026130B" w:rsidP="0026130B">
            <w:pPr>
              <w:rPr>
                <w:color w:val="000000"/>
                <w:sz w:val="14"/>
                <w:szCs w:val="18"/>
                <w:lang w:eastAsia="tr-TR"/>
              </w:rPr>
            </w:pPr>
            <w:proofErr w:type="gramStart"/>
            <w:r w:rsidRPr="00005453">
              <w:rPr>
                <w:color w:val="000000"/>
                <w:sz w:val="14"/>
                <w:szCs w:val="18"/>
                <w:lang w:eastAsia="tr-TR"/>
              </w:rPr>
              <w:t>Kar</w:t>
            </w:r>
            <w:proofErr w:type="gramEnd"/>
            <w:r w:rsidRPr="00005453">
              <w:rPr>
                <w:color w:val="000000"/>
                <w:sz w:val="14"/>
                <w:szCs w:val="18"/>
                <w:lang w:eastAsia="tr-TR"/>
              </w:rPr>
              <w:t xml:space="preserve"> payı oranı ve kar payı oranına ilişkin endeks değeri</w:t>
            </w:r>
          </w:p>
        </w:tc>
        <w:tc>
          <w:tcPr>
            <w:tcW w:w="2730" w:type="dxa"/>
            <w:tcBorders>
              <w:top w:val="nil"/>
              <w:left w:val="nil"/>
              <w:bottom w:val="single" w:sz="4" w:space="0" w:color="auto"/>
              <w:right w:val="single" w:sz="4" w:space="0" w:color="auto"/>
            </w:tcBorders>
            <w:shd w:val="clear" w:color="auto" w:fill="auto"/>
            <w:vAlign w:val="center"/>
            <w:hideMark/>
          </w:tcPr>
          <w:p w14:paraId="5473032A" w14:textId="34B28C87" w:rsidR="0026130B" w:rsidRPr="00005453" w:rsidRDefault="0026130B" w:rsidP="0026130B">
            <w:pPr>
              <w:jc w:val="right"/>
              <w:rPr>
                <w:color w:val="000000"/>
                <w:sz w:val="14"/>
                <w:szCs w:val="14"/>
                <w:lang w:eastAsia="tr-TR"/>
              </w:rPr>
            </w:pPr>
            <w:r w:rsidRPr="00005453">
              <w:rPr>
                <w:color w:val="000000"/>
                <w:sz w:val="14"/>
                <w:szCs w:val="22"/>
              </w:rPr>
              <w:t>9.95%</w:t>
            </w:r>
          </w:p>
        </w:tc>
        <w:tc>
          <w:tcPr>
            <w:tcW w:w="2456" w:type="dxa"/>
            <w:tcBorders>
              <w:top w:val="nil"/>
              <w:left w:val="nil"/>
              <w:bottom w:val="single" w:sz="4" w:space="0" w:color="auto"/>
              <w:right w:val="single" w:sz="4" w:space="0" w:color="auto"/>
            </w:tcBorders>
            <w:shd w:val="clear" w:color="auto" w:fill="auto"/>
            <w:vAlign w:val="center"/>
            <w:hideMark/>
          </w:tcPr>
          <w:p w14:paraId="5B4D4B9B" w14:textId="00E2ABE1" w:rsidR="0026130B" w:rsidRPr="00005453" w:rsidRDefault="0026130B" w:rsidP="0026130B">
            <w:pPr>
              <w:jc w:val="right"/>
              <w:rPr>
                <w:color w:val="000000"/>
                <w:sz w:val="14"/>
                <w:szCs w:val="14"/>
                <w:lang w:eastAsia="tr-TR"/>
              </w:rPr>
            </w:pPr>
            <w:r w:rsidRPr="00005453">
              <w:rPr>
                <w:color w:val="000000"/>
                <w:sz w:val="14"/>
                <w:szCs w:val="22"/>
              </w:rPr>
              <w:t>6.125%</w:t>
            </w:r>
          </w:p>
        </w:tc>
      </w:tr>
      <w:tr w:rsidR="0026130B" w:rsidRPr="00005453" w14:paraId="6BFEB100"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4F2CA0F" w14:textId="77777777" w:rsidR="0026130B" w:rsidRPr="00005453" w:rsidRDefault="0026130B" w:rsidP="0026130B">
            <w:pPr>
              <w:rPr>
                <w:color w:val="000000"/>
                <w:sz w:val="14"/>
                <w:szCs w:val="18"/>
                <w:lang w:eastAsia="tr-TR"/>
              </w:rPr>
            </w:pPr>
            <w:r w:rsidRPr="00005453">
              <w:rPr>
                <w:color w:val="000000"/>
                <w:sz w:val="14"/>
                <w:szCs w:val="18"/>
                <w:lang w:eastAsia="tr-TR"/>
              </w:rPr>
              <w:t>Temettü ödemesini durduran herhangi bir kısıtlamanın var olup olmadığı</w:t>
            </w:r>
          </w:p>
        </w:tc>
        <w:tc>
          <w:tcPr>
            <w:tcW w:w="2730" w:type="dxa"/>
            <w:tcBorders>
              <w:top w:val="nil"/>
              <w:left w:val="nil"/>
              <w:bottom w:val="single" w:sz="4" w:space="0" w:color="auto"/>
              <w:right w:val="single" w:sz="4" w:space="0" w:color="auto"/>
            </w:tcBorders>
            <w:shd w:val="clear" w:color="auto" w:fill="auto"/>
            <w:vAlign w:val="center"/>
            <w:hideMark/>
          </w:tcPr>
          <w:p w14:paraId="013E937F" w14:textId="7BDAAADE" w:rsidR="0026130B" w:rsidRPr="00005453" w:rsidRDefault="0026130B" w:rsidP="0026130B">
            <w:pPr>
              <w:jc w:val="right"/>
              <w:rPr>
                <w:color w:val="000000"/>
                <w:sz w:val="14"/>
                <w:szCs w:val="14"/>
                <w:lang w:eastAsia="tr-TR"/>
              </w:rPr>
            </w:pPr>
            <w:r w:rsidRPr="00005453">
              <w:rPr>
                <w:color w:val="000000"/>
                <w:sz w:val="14"/>
                <w:szCs w:val="22"/>
              </w:rPr>
              <w:t>Yok</w:t>
            </w:r>
          </w:p>
        </w:tc>
        <w:tc>
          <w:tcPr>
            <w:tcW w:w="2456" w:type="dxa"/>
            <w:tcBorders>
              <w:top w:val="nil"/>
              <w:left w:val="nil"/>
              <w:bottom w:val="single" w:sz="4" w:space="0" w:color="auto"/>
              <w:right w:val="single" w:sz="4" w:space="0" w:color="auto"/>
            </w:tcBorders>
            <w:shd w:val="clear" w:color="auto" w:fill="auto"/>
            <w:vAlign w:val="center"/>
            <w:hideMark/>
          </w:tcPr>
          <w:p w14:paraId="58AD0DC8" w14:textId="5EA00B52" w:rsidR="0026130B" w:rsidRPr="00005453" w:rsidRDefault="0026130B" w:rsidP="0026130B">
            <w:pPr>
              <w:jc w:val="right"/>
              <w:rPr>
                <w:color w:val="000000"/>
                <w:sz w:val="14"/>
                <w:szCs w:val="14"/>
                <w:lang w:eastAsia="tr-TR"/>
              </w:rPr>
            </w:pPr>
            <w:r w:rsidRPr="00005453">
              <w:rPr>
                <w:color w:val="000000"/>
                <w:sz w:val="14"/>
                <w:szCs w:val="22"/>
              </w:rPr>
              <w:t>Yok</w:t>
            </w:r>
          </w:p>
        </w:tc>
      </w:tr>
      <w:tr w:rsidR="0026130B" w:rsidRPr="00005453" w14:paraId="37EED999"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24D94484" w14:textId="77777777" w:rsidR="0026130B" w:rsidRPr="00005453" w:rsidRDefault="0026130B" w:rsidP="0026130B">
            <w:pPr>
              <w:rPr>
                <w:color w:val="000000"/>
                <w:sz w:val="14"/>
                <w:szCs w:val="18"/>
                <w:lang w:eastAsia="tr-TR"/>
              </w:rPr>
            </w:pPr>
            <w:r w:rsidRPr="00005453">
              <w:rPr>
                <w:color w:val="000000"/>
                <w:sz w:val="14"/>
                <w:szCs w:val="18"/>
                <w:lang w:eastAsia="tr-TR"/>
              </w:rPr>
              <w:t>Tamamen isteğe bağlı, kısmen isteğe bağlı ya da mecburi olma özelliği</w:t>
            </w:r>
          </w:p>
        </w:tc>
        <w:tc>
          <w:tcPr>
            <w:tcW w:w="2730" w:type="dxa"/>
            <w:tcBorders>
              <w:top w:val="nil"/>
              <w:left w:val="nil"/>
              <w:bottom w:val="single" w:sz="4" w:space="0" w:color="auto"/>
              <w:right w:val="single" w:sz="4" w:space="0" w:color="auto"/>
            </w:tcBorders>
            <w:shd w:val="clear" w:color="auto" w:fill="auto"/>
            <w:vAlign w:val="center"/>
            <w:hideMark/>
          </w:tcPr>
          <w:p w14:paraId="3E263B91" w14:textId="5806A33C" w:rsidR="0026130B" w:rsidRPr="00005453" w:rsidRDefault="0026130B" w:rsidP="0026130B">
            <w:pPr>
              <w:jc w:val="right"/>
              <w:rPr>
                <w:color w:val="000000"/>
                <w:sz w:val="14"/>
                <w:szCs w:val="14"/>
                <w:lang w:eastAsia="tr-TR"/>
              </w:rPr>
            </w:pPr>
            <w:r w:rsidRPr="00005453">
              <w:rPr>
                <w:color w:val="000000"/>
                <w:sz w:val="14"/>
                <w:szCs w:val="22"/>
              </w:rPr>
              <w:t>Mecburi</w:t>
            </w:r>
          </w:p>
        </w:tc>
        <w:tc>
          <w:tcPr>
            <w:tcW w:w="2456" w:type="dxa"/>
            <w:tcBorders>
              <w:top w:val="nil"/>
              <w:left w:val="nil"/>
              <w:bottom w:val="single" w:sz="4" w:space="0" w:color="auto"/>
              <w:right w:val="single" w:sz="4" w:space="0" w:color="auto"/>
            </w:tcBorders>
            <w:shd w:val="clear" w:color="auto" w:fill="auto"/>
            <w:vAlign w:val="center"/>
            <w:hideMark/>
          </w:tcPr>
          <w:p w14:paraId="5BC80BAE" w14:textId="53DB4EBC" w:rsidR="0026130B" w:rsidRPr="00005453" w:rsidRDefault="0026130B" w:rsidP="0026130B">
            <w:pPr>
              <w:jc w:val="right"/>
              <w:rPr>
                <w:color w:val="000000"/>
                <w:sz w:val="14"/>
                <w:szCs w:val="14"/>
                <w:lang w:eastAsia="tr-TR"/>
              </w:rPr>
            </w:pPr>
            <w:r w:rsidRPr="00005453">
              <w:rPr>
                <w:color w:val="000000"/>
                <w:sz w:val="14"/>
                <w:szCs w:val="22"/>
              </w:rPr>
              <w:t>Mecburi</w:t>
            </w:r>
          </w:p>
        </w:tc>
      </w:tr>
      <w:tr w:rsidR="0026130B" w:rsidRPr="00005453" w14:paraId="761DB3CB"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11E9347" w14:textId="77777777" w:rsidR="0026130B" w:rsidRPr="00005453" w:rsidRDefault="0026130B" w:rsidP="0026130B">
            <w:pPr>
              <w:rPr>
                <w:color w:val="000000"/>
                <w:sz w:val="14"/>
                <w:szCs w:val="18"/>
                <w:lang w:eastAsia="tr-TR"/>
              </w:rPr>
            </w:pPr>
            <w:proofErr w:type="gramStart"/>
            <w:r w:rsidRPr="00005453">
              <w:rPr>
                <w:color w:val="000000"/>
                <w:sz w:val="14"/>
                <w:szCs w:val="18"/>
                <w:lang w:eastAsia="tr-TR"/>
              </w:rPr>
              <w:t>Kar</w:t>
            </w:r>
            <w:proofErr w:type="gramEnd"/>
            <w:r w:rsidRPr="00005453">
              <w:rPr>
                <w:color w:val="000000"/>
                <w:sz w:val="14"/>
                <w:szCs w:val="18"/>
                <w:lang w:eastAsia="tr-TR"/>
              </w:rPr>
              <w:t xml:space="preserve"> payı oranı artırımı gibi geri ödemeyi teşvik edecek bir unsurun olup olmadığı</w:t>
            </w:r>
          </w:p>
        </w:tc>
        <w:tc>
          <w:tcPr>
            <w:tcW w:w="2730" w:type="dxa"/>
            <w:tcBorders>
              <w:top w:val="nil"/>
              <w:left w:val="nil"/>
              <w:bottom w:val="single" w:sz="4" w:space="0" w:color="auto"/>
              <w:right w:val="single" w:sz="4" w:space="0" w:color="auto"/>
            </w:tcBorders>
            <w:shd w:val="clear" w:color="auto" w:fill="auto"/>
            <w:vAlign w:val="center"/>
            <w:hideMark/>
          </w:tcPr>
          <w:p w14:paraId="6D04FCAE" w14:textId="035B489B" w:rsidR="0026130B" w:rsidRPr="00005453" w:rsidRDefault="0026130B" w:rsidP="0026130B">
            <w:pPr>
              <w:jc w:val="right"/>
              <w:rPr>
                <w:color w:val="000000"/>
                <w:sz w:val="14"/>
                <w:szCs w:val="14"/>
                <w:lang w:eastAsia="tr-TR"/>
              </w:rPr>
            </w:pPr>
            <w:r w:rsidRPr="00005453">
              <w:rPr>
                <w:color w:val="000000"/>
                <w:sz w:val="14"/>
                <w:szCs w:val="22"/>
              </w:rPr>
              <w:t>Yok</w:t>
            </w:r>
          </w:p>
        </w:tc>
        <w:tc>
          <w:tcPr>
            <w:tcW w:w="2456" w:type="dxa"/>
            <w:tcBorders>
              <w:top w:val="nil"/>
              <w:left w:val="nil"/>
              <w:bottom w:val="single" w:sz="4" w:space="0" w:color="auto"/>
              <w:right w:val="single" w:sz="4" w:space="0" w:color="auto"/>
            </w:tcBorders>
            <w:shd w:val="clear" w:color="auto" w:fill="auto"/>
            <w:vAlign w:val="center"/>
            <w:hideMark/>
          </w:tcPr>
          <w:p w14:paraId="735EA302" w14:textId="08A74F50" w:rsidR="0026130B" w:rsidRPr="00005453" w:rsidRDefault="0026130B" w:rsidP="0026130B">
            <w:pPr>
              <w:jc w:val="right"/>
              <w:rPr>
                <w:color w:val="000000"/>
                <w:sz w:val="14"/>
                <w:szCs w:val="14"/>
                <w:lang w:eastAsia="tr-TR"/>
              </w:rPr>
            </w:pPr>
            <w:r w:rsidRPr="00005453">
              <w:rPr>
                <w:color w:val="000000"/>
                <w:sz w:val="14"/>
                <w:szCs w:val="22"/>
              </w:rPr>
              <w:t>Yok</w:t>
            </w:r>
          </w:p>
        </w:tc>
      </w:tr>
      <w:tr w:rsidR="0026130B" w:rsidRPr="00005453" w14:paraId="7E2F70C4"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C877C2A" w14:textId="77777777" w:rsidR="0026130B" w:rsidRPr="00005453" w:rsidRDefault="0026130B" w:rsidP="0026130B">
            <w:pPr>
              <w:rPr>
                <w:color w:val="000000"/>
                <w:sz w:val="14"/>
                <w:szCs w:val="18"/>
                <w:lang w:eastAsia="tr-TR"/>
              </w:rPr>
            </w:pPr>
            <w:r w:rsidRPr="00005453">
              <w:rPr>
                <w:color w:val="000000"/>
                <w:sz w:val="14"/>
                <w:szCs w:val="18"/>
                <w:lang w:eastAsia="tr-TR"/>
              </w:rPr>
              <w:t>Birikimsiz ya da birikimli olma özelliği</w:t>
            </w:r>
          </w:p>
        </w:tc>
        <w:tc>
          <w:tcPr>
            <w:tcW w:w="2730" w:type="dxa"/>
            <w:tcBorders>
              <w:top w:val="nil"/>
              <w:left w:val="nil"/>
              <w:bottom w:val="single" w:sz="4" w:space="0" w:color="auto"/>
              <w:right w:val="single" w:sz="4" w:space="0" w:color="auto"/>
            </w:tcBorders>
            <w:shd w:val="clear" w:color="auto" w:fill="auto"/>
            <w:vAlign w:val="center"/>
            <w:hideMark/>
          </w:tcPr>
          <w:p w14:paraId="24B33632" w14:textId="5C8AF217" w:rsidR="0026130B" w:rsidRPr="00005453" w:rsidRDefault="0026130B" w:rsidP="0026130B">
            <w:pPr>
              <w:jc w:val="right"/>
              <w:rPr>
                <w:color w:val="000000"/>
                <w:sz w:val="14"/>
                <w:szCs w:val="14"/>
                <w:lang w:eastAsia="tr-TR"/>
              </w:rPr>
            </w:pPr>
            <w:r w:rsidRPr="00005453">
              <w:rPr>
                <w:color w:val="000000"/>
                <w:sz w:val="14"/>
                <w:szCs w:val="22"/>
              </w:rPr>
              <w:t>Birikimsiz</w:t>
            </w:r>
          </w:p>
        </w:tc>
        <w:tc>
          <w:tcPr>
            <w:tcW w:w="2456" w:type="dxa"/>
            <w:tcBorders>
              <w:top w:val="nil"/>
              <w:left w:val="nil"/>
              <w:bottom w:val="single" w:sz="4" w:space="0" w:color="auto"/>
              <w:right w:val="single" w:sz="4" w:space="0" w:color="auto"/>
            </w:tcBorders>
            <w:shd w:val="clear" w:color="auto" w:fill="auto"/>
            <w:vAlign w:val="center"/>
            <w:hideMark/>
          </w:tcPr>
          <w:p w14:paraId="0A32D50A" w14:textId="2ACCE283" w:rsidR="0026130B" w:rsidRPr="00005453" w:rsidRDefault="0026130B" w:rsidP="0026130B">
            <w:pPr>
              <w:jc w:val="right"/>
              <w:rPr>
                <w:color w:val="000000"/>
                <w:sz w:val="14"/>
                <w:szCs w:val="14"/>
                <w:lang w:eastAsia="tr-TR"/>
              </w:rPr>
            </w:pPr>
            <w:r w:rsidRPr="00005453">
              <w:rPr>
                <w:color w:val="000000"/>
                <w:sz w:val="14"/>
                <w:szCs w:val="22"/>
              </w:rPr>
              <w:t>Birikimsiz</w:t>
            </w:r>
          </w:p>
        </w:tc>
      </w:tr>
      <w:tr w:rsidR="0089168B" w:rsidRPr="00005453" w14:paraId="7EDDDE36"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7D05F866" w14:textId="77777777" w:rsidR="0089168B" w:rsidRPr="00005453" w:rsidRDefault="0089168B" w:rsidP="0089168B">
            <w:pPr>
              <w:rPr>
                <w:b/>
                <w:bCs/>
                <w:color w:val="000000"/>
                <w:sz w:val="14"/>
                <w:szCs w:val="18"/>
                <w:lang w:eastAsia="tr-TR"/>
              </w:rPr>
            </w:pPr>
            <w:r w:rsidRPr="00005453">
              <w:rPr>
                <w:b/>
                <w:bCs/>
                <w:color w:val="000000"/>
                <w:sz w:val="14"/>
                <w:szCs w:val="18"/>
                <w:lang w:eastAsia="tr-TR"/>
              </w:rPr>
              <w:t>Hisse senedine dönüştürülebilme özelliği</w:t>
            </w:r>
          </w:p>
        </w:tc>
        <w:tc>
          <w:tcPr>
            <w:tcW w:w="2730" w:type="dxa"/>
            <w:tcBorders>
              <w:top w:val="nil"/>
              <w:left w:val="nil"/>
              <w:bottom w:val="single" w:sz="4" w:space="0" w:color="auto"/>
              <w:right w:val="single" w:sz="4" w:space="0" w:color="auto"/>
            </w:tcBorders>
            <w:shd w:val="clear" w:color="auto" w:fill="auto"/>
            <w:vAlign w:val="center"/>
            <w:hideMark/>
          </w:tcPr>
          <w:p w14:paraId="69176227" w14:textId="77777777" w:rsidR="0089168B" w:rsidRPr="00005453" w:rsidRDefault="0089168B" w:rsidP="0089168B">
            <w:pPr>
              <w:jc w:val="right"/>
              <w:rPr>
                <w:b/>
                <w:bCs/>
                <w:color w:val="000000"/>
                <w:sz w:val="14"/>
                <w:szCs w:val="14"/>
                <w:lang w:eastAsia="tr-TR"/>
              </w:rPr>
            </w:pPr>
          </w:p>
        </w:tc>
        <w:tc>
          <w:tcPr>
            <w:tcW w:w="2456" w:type="dxa"/>
            <w:tcBorders>
              <w:top w:val="nil"/>
              <w:left w:val="nil"/>
              <w:bottom w:val="single" w:sz="4" w:space="0" w:color="auto"/>
              <w:right w:val="single" w:sz="4" w:space="0" w:color="auto"/>
            </w:tcBorders>
            <w:shd w:val="clear" w:color="auto" w:fill="auto"/>
            <w:vAlign w:val="center"/>
            <w:hideMark/>
          </w:tcPr>
          <w:p w14:paraId="411D712C" w14:textId="77777777" w:rsidR="0089168B" w:rsidRPr="00005453" w:rsidRDefault="0089168B" w:rsidP="0089168B">
            <w:pPr>
              <w:jc w:val="right"/>
              <w:rPr>
                <w:sz w:val="14"/>
                <w:szCs w:val="14"/>
                <w:lang w:eastAsia="tr-TR"/>
              </w:rPr>
            </w:pPr>
          </w:p>
        </w:tc>
      </w:tr>
      <w:tr w:rsidR="0026130B" w:rsidRPr="00005453" w14:paraId="7D2B116D"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20A2AC37" w14:textId="77777777" w:rsidR="0026130B" w:rsidRPr="00005453" w:rsidRDefault="0026130B" w:rsidP="0026130B">
            <w:pPr>
              <w:rPr>
                <w:color w:val="000000"/>
                <w:sz w:val="14"/>
                <w:szCs w:val="18"/>
                <w:lang w:eastAsia="tr-TR"/>
              </w:rPr>
            </w:pPr>
            <w:r w:rsidRPr="00005453">
              <w:rPr>
                <w:color w:val="000000"/>
                <w:sz w:val="14"/>
                <w:szCs w:val="18"/>
                <w:lang w:eastAsia="tr-TR"/>
              </w:rPr>
              <w:t>Hisse senedine dönüştürülebilirse, dönüştürmeye sebep olacak tetikleyici olay/olaylar</w:t>
            </w:r>
          </w:p>
        </w:tc>
        <w:tc>
          <w:tcPr>
            <w:tcW w:w="2730" w:type="dxa"/>
            <w:tcBorders>
              <w:top w:val="nil"/>
              <w:left w:val="nil"/>
              <w:bottom w:val="single" w:sz="4" w:space="0" w:color="auto"/>
              <w:right w:val="single" w:sz="4" w:space="0" w:color="auto"/>
            </w:tcBorders>
            <w:shd w:val="clear" w:color="auto" w:fill="auto"/>
            <w:vAlign w:val="center"/>
            <w:hideMark/>
          </w:tcPr>
          <w:p w14:paraId="1BB5715B" w14:textId="2DC81312"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c>
          <w:tcPr>
            <w:tcW w:w="2456" w:type="dxa"/>
            <w:tcBorders>
              <w:top w:val="nil"/>
              <w:left w:val="nil"/>
              <w:bottom w:val="single" w:sz="4" w:space="0" w:color="auto"/>
              <w:right w:val="single" w:sz="4" w:space="0" w:color="auto"/>
            </w:tcBorders>
            <w:shd w:val="clear" w:color="auto" w:fill="auto"/>
            <w:vAlign w:val="center"/>
            <w:hideMark/>
          </w:tcPr>
          <w:p w14:paraId="1ACA6C74" w14:textId="1339E6D4"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r>
      <w:tr w:rsidR="0026130B" w:rsidRPr="00005453" w14:paraId="0C9DBA97"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78487D67" w14:textId="77777777" w:rsidR="0026130B" w:rsidRPr="00005453" w:rsidRDefault="0026130B" w:rsidP="0026130B">
            <w:pPr>
              <w:rPr>
                <w:color w:val="000000"/>
                <w:sz w:val="14"/>
                <w:szCs w:val="18"/>
                <w:lang w:eastAsia="tr-TR"/>
              </w:rPr>
            </w:pPr>
            <w:r w:rsidRPr="00005453">
              <w:rPr>
                <w:color w:val="000000"/>
                <w:sz w:val="14"/>
                <w:szCs w:val="18"/>
                <w:lang w:eastAsia="tr-TR"/>
              </w:rPr>
              <w:t>Hisse senedine dönüştürülebilirse, tamamen ya da kısmen dönüştürme özelliği</w:t>
            </w:r>
          </w:p>
        </w:tc>
        <w:tc>
          <w:tcPr>
            <w:tcW w:w="2730" w:type="dxa"/>
            <w:tcBorders>
              <w:top w:val="nil"/>
              <w:left w:val="nil"/>
              <w:bottom w:val="single" w:sz="4" w:space="0" w:color="auto"/>
              <w:right w:val="single" w:sz="4" w:space="0" w:color="auto"/>
            </w:tcBorders>
            <w:shd w:val="clear" w:color="auto" w:fill="auto"/>
            <w:vAlign w:val="center"/>
            <w:hideMark/>
          </w:tcPr>
          <w:p w14:paraId="0FFFCD89" w14:textId="05C25CCB"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c>
          <w:tcPr>
            <w:tcW w:w="2456" w:type="dxa"/>
            <w:tcBorders>
              <w:top w:val="nil"/>
              <w:left w:val="nil"/>
              <w:bottom w:val="single" w:sz="4" w:space="0" w:color="auto"/>
              <w:right w:val="single" w:sz="4" w:space="0" w:color="auto"/>
            </w:tcBorders>
            <w:shd w:val="clear" w:color="auto" w:fill="auto"/>
            <w:vAlign w:val="center"/>
            <w:hideMark/>
          </w:tcPr>
          <w:p w14:paraId="637CB0A6" w14:textId="0892135D"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r>
      <w:tr w:rsidR="0026130B" w:rsidRPr="00005453" w14:paraId="2259FB58"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1A0BEF1A" w14:textId="77777777" w:rsidR="0026130B" w:rsidRPr="00005453" w:rsidRDefault="0026130B" w:rsidP="0026130B">
            <w:pPr>
              <w:rPr>
                <w:color w:val="000000"/>
                <w:sz w:val="14"/>
                <w:szCs w:val="18"/>
                <w:lang w:eastAsia="tr-TR"/>
              </w:rPr>
            </w:pPr>
            <w:r w:rsidRPr="00005453">
              <w:rPr>
                <w:color w:val="000000"/>
                <w:sz w:val="14"/>
                <w:szCs w:val="18"/>
                <w:lang w:eastAsia="tr-TR"/>
              </w:rPr>
              <w:t>Hisse senedine dönüştürülebilirse, dönüştürme oranı</w:t>
            </w:r>
          </w:p>
        </w:tc>
        <w:tc>
          <w:tcPr>
            <w:tcW w:w="2730" w:type="dxa"/>
            <w:tcBorders>
              <w:top w:val="nil"/>
              <w:left w:val="nil"/>
              <w:bottom w:val="single" w:sz="4" w:space="0" w:color="auto"/>
              <w:right w:val="single" w:sz="4" w:space="0" w:color="auto"/>
            </w:tcBorders>
            <w:shd w:val="clear" w:color="auto" w:fill="auto"/>
            <w:vAlign w:val="center"/>
            <w:hideMark/>
          </w:tcPr>
          <w:p w14:paraId="56E06D6B" w14:textId="2990E849"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c>
          <w:tcPr>
            <w:tcW w:w="2456" w:type="dxa"/>
            <w:tcBorders>
              <w:top w:val="nil"/>
              <w:left w:val="nil"/>
              <w:bottom w:val="single" w:sz="4" w:space="0" w:color="auto"/>
              <w:right w:val="single" w:sz="4" w:space="0" w:color="auto"/>
            </w:tcBorders>
            <w:shd w:val="clear" w:color="auto" w:fill="auto"/>
            <w:vAlign w:val="center"/>
            <w:hideMark/>
          </w:tcPr>
          <w:p w14:paraId="7AD28BD1" w14:textId="3072E8FA"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r>
      <w:tr w:rsidR="0026130B" w:rsidRPr="00005453" w14:paraId="3B95B1F3"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710C11B1" w14:textId="77777777" w:rsidR="0026130B" w:rsidRPr="00005453" w:rsidRDefault="0026130B" w:rsidP="0026130B">
            <w:pPr>
              <w:rPr>
                <w:color w:val="000000"/>
                <w:sz w:val="14"/>
                <w:szCs w:val="18"/>
                <w:lang w:eastAsia="tr-TR"/>
              </w:rPr>
            </w:pPr>
            <w:r w:rsidRPr="00005453">
              <w:rPr>
                <w:color w:val="000000"/>
                <w:sz w:val="14"/>
                <w:szCs w:val="18"/>
                <w:lang w:eastAsia="tr-TR"/>
              </w:rPr>
              <w:t>Hisse senedine dönüştürülebilirse, mecburi ya da isteğe bağlı dönüştürme özelliği</w:t>
            </w:r>
          </w:p>
        </w:tc>
        <w:tc>
          <w:tcPr>
            <w:tcW w:w="2730" w:type="dxa"/>
            <w:tcBorders>
              <w:top w:val="nil"/>
              <w:left w:val="nil"/>
              <w:bottom w:val="single" w:sz="4" w:space="0" w:color="auto"/>
              <w:right w:val="single" w:sz="4" w:space="0" w:color="auto"/>
            </w:tcBorders>
            <w:shd w:val="clear" w:color="auto" w:fill="auto"/>
            <w:vAlign w:val="center"/>
            <w:hideMark/>
          </w:tcPr>
          <w:p w14:paraId="770FB260" w14:textId="67441150"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c>
          <w:tcPr>
            <w:tcW w:w="2456" w:type="dxa"/>
            <w:tcBorders>
              <w:top w:val="nil"/>
              <w:left w:val="nil"/>
              <w:bottom w:val="single" w:sz="4" w:space="0" w:color="auto"/>
              <w:right w:val="single" w:sz="4" w:space="0" w:color="auto"/>
            </w:tcBorders>
            <w:shd w:val="clear" w:color="auto" w:fill="auto"/>
            <w:vAlign w:val="center"/>
            <w:hideMark/>
          </w:tcPr>
          <w:p w14:paraId="303B0F7A" w14:textId="2930ACFC"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r>
      <w:tr w:rsidR="0026130B" w:rsidRPr="00005453" w14:paraId="22DBC9E4"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78D88D5E" w14:textId="77777777" w:rsidR="0026130B" w:rsidRPr="00005453" w:rsidRDefault="0026130B" w:rsidP="0026130B">
            <w:pPr>
              <w:rPr>
                <w:color w:val="000000"/>
                <w:sz w:val="14"/>
                <w:szCs w:val="18"/>
                <w:lang w:eastAsia="tr-TR"/>
              </w:rPr>
            </w:pPr>
            <w:r w:rsidRPr="00005453">
              <w:rPr>
                <w:color w:val="000000"/>
                <w:sz w:val="14"/>
                <w:szCs w:val="18"/>
                <w:lang w:eastAsia="tr-TR"/>
              </w:rPr>
              <w:t>Hisse senedine dönüştürülebilirse, dönüştürülebilir araç türleri</w:t>
            </w:r>
          </w:p>
        </w:tc>
        <w:tc>
          <w:tcPr>
            <w:tcW w:w="2730" w:type="dxa"/>
            <w:tcBorders>
              <w:top w:val="nil"/>
              <w:left w:val="nil"/>
              <w:bottom w:val="single" w:sz="4" w:space="0" w:color="auto"/>
              <w:right w:val="single" w:sz="4" w:space="0" w:color="auto"/>
            </w:tcBorders>
            <w:shd w:val="clear" w:color="auto" w:fill="auto"/>
            <w:vAlign w:val="center"/>
            <w:hideMark/>
          </w:tcPr>
          <w:p w14:paraId="26B4440A" w14:textId="1861CF43"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c>
          <w:tcPr>
            <w:tcW w:w="2456" w:type="dxa"/>
            <w:tcBorders>
              <w:top w:val="nil"/>
              <w:left w:val="nil"/>
              <w:bottom w:val="single" w:sz="4" w:space="0" w:color="auto"/>
              <w:right w:val="single" w:sz="4" w:space="0" w:color="auto"/>
            </w:tcBorders>
            <w:shd w:val="clear" w:color="auto" w:fill="auto"/>
            <w:vAlign w:val="center"/>
            <w:hideMark/>
          </w:tcPr>
          <w:p w14:paraId="6CA2F4E5" w14:textId="20BBF556"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r>
      <w:tr w:rsidR="0026130B" w:rsidRPr="00005453" w14:paraId="16AF965F"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4DD0432" w14:textId="77777777" w:rsidR="0026130B" w:rsidRPr="00005453" w:rsidRDefault="0026130B" w:rsidP="0026130B">
            <w:pPr>
              <w:rPr>
                <w:color w:val="000000"/>
                <w:sz w:val="14"/>
                <w:szCs w:val="18"/>
                <w:lang w:eastAsia="tr-TR"/>
              </w:rPr>
            </w:pPr>
            <w:r w:rsidRPr="00005453">
              <w:rPr>
                <w:color w:val="000000"/>
                <w:sz w:val="14"/>
                <w:szCs w:val="18"/>
                <w:lang w:eastAsia="tr-TR"/>
              </w:rPr>
              <w:t>Hisse senedine dönüştürülebilirse, dönüştürülecek borçlanma aracının ihraççısı</w:t>
            </w:r>
          </w:p>
        </w:tc>
        <w:tc>
          <w:tcPr>
            <w:tcW w:w="2730" w:type="dxa"/>
            <w:tcBorders>
              <w:top w:val="nil"/>
              <w:left w:val="nil"/>
              <w:bottom w:val="single" w:sz="4" w:space="0" w:color="auto"/>
              <w:right w:val="single" w:sz="4" w:space="0" w:color="auto"/>
            </w:tcBorders>
            <w:shd w:val="clear" w:color="auto" w:fill="auto"/>
            <w:vAlign w:val="center"/>
            <w:hideMark/>
          </w:tcPr>
          <w:p w14:paraId="0DF6E03D" w14:textId="07118722"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c>
          <w:tcPr>
            <w:tcW w:w="2456" w:type="dxa"/>
            <w:tcBorders>
              <w:top w:val="nil"/>
              <w:left w:val="nil"/>
              <w:bottom w:val="single" w:sz="4" w:space="0" w:color="auto"/>
              <w:right w:val="single" w:sz="4" w:space="0" w:color="auto"/>
            </w:tcBorders>
            <w:shd w:val="clear" w:color="auto" w:fill="auto"/>
            <w:vAlign w:val="center"/>
            <w:hideMark/>
          </w:tcPr>
          <w:p w14:paraId="5305311E" w14:textId="4C138A9A" w:rsidR="0026130B" w:rsidRPr="00005453" w:rsidRDefault="0026130B" w:rsidP="0026130B">
            <w:pPr>
              <w:jc w:val="right"/>
              <w:rPr>
                <w:color w:val="000000"/>
                <w:sz w:val="14"/>
                <w:szCs w:val="14"/>
                <w:lang w:eastAsia="tr-TR"/>
              </w:rPr>
            </w:pPr>
            <w:r w:rsidRPr="00005453">
              <w:rPr>
                <w:color w:val="000000"/>
                <w:sz w:val="14"/>
                <w:szCs w:val="22"/>
              </w:rPr>
              <w:t>Hisse senedine dönüştürülemez.</w:t>
            </w:r>
          </w:p>
        </w:tc>
      </w:tr>
      <w:tr w:rsidR="0089168B" w:rsidRPr="00005453" w14:paraId="2FB54678"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69286824" w14:textId="77777777" w:rsidR="0089168B" w:rsidRPr="00005453" w:rsidRDefault="0089168B" w:rsidP="0089168B">
            <w:pPr>
              <w:rPr>
                <w:b/>
                <w:bCs/>
                <w:color w:val="000000"/>
                <w:sz w:val="14"/>
                <w:szCs w:val="18"/>
                <w:lang w:eastAsia="tr-TR"/>
              </w:rPr>
            </w:pPr>
            <w:r w:rsidRPr="00005453">
              <w:rPr>
                <w:b/>
                <w:bCs/>
                <w:color w:val="000000"/>
                <w:sz w:val="14"/>
                <w:szCs w:val="18"/>
                <w:lang w:eastAsia="tr-TR"/>
              </w:rPr>
              <w:t>Değer azaltma özelliği</w:t>
            </w:r>
          </w:p>
        </w:tc>
        <w:tc>
          <w:tcPr>
            <w:tcW w:w="2730" w:type="dxa"/>
            <w:tcBorders>
              <w:top w:val="nil"/>
              <w:left w:val="nil"/>
              <w:bottom w:val="single" w:sz="4" w:space="0" w:color="auto"/>
              <w:right w:val="single" w:sz="4" w:space="0" w:color="auto"/>
            </w:tcBorders>
            <w:shd w:val="clear" w:color="auto" w:fill="auto"/>
            <w:vAlign w:val="center"/>
            <w:hideMark/>
          </w:tcPr>
          <w:p w14:paraId="4E301EAB" w14:textId="77777777" w:rsidR="0089168B" w:rsidRPr="00005453" w:rsidRDefault="0089168B" w:rsidP="0089168B">
            <w:pPr>
              <w:jc w:val="right"/>
              <w:rPr>
                <w:b/>
                <w:bCs/>
                <w:color w:val="000000"/>
                <w:sz w:val="14"/>
                <w:szCs w:val="14"/>
                <w:lang w:eastAsia="tr-TR"/>
              </w:rPr>
            </w:pPr>
          </w:p>
        </w:tc>
        <w:tc>
          <w:tcPr>
            <w:tcW w:w="2456" w:type="dxa"/>
            <w:tcBorders>
              <w:top w:val="nil"/>
              <w:left w:val="nil"/>
              <w:bottom w:val="single" w:sz="4" w:space="0" w:color="auto"/>
              <w:right w:val="single" w:sz="4" w:space="0" w:color="auto"/>
            </w:tcBorders>
            <w:shd w:val="clear" w:color="auto" w:fill="auto"/>
            <w:vAlign w:val="center"/>
            <w:hideMark/>
          </w:tcPr>
          <w:p w14:paraId="27156E0C" w14:textId="77777777" w:rsidR="0089168B" w:rsidRPr="00005453" w:rsidRDefault="0089168B" w:rsidP="0089168B">
            <w:pPr>
              <w:jc w:val="right"/>
              <w:rPr>
                <w:sz w:val="14"/>
                <w:szCs w:val="14"/>
                <w:lang w:eastAsia="tr-TR"/>
              </w:rPr>
            </w:pPr>
          </w:p>
        </w:tc>
      </w:tr>
      <w:tr w:rsidR="0026130B" w:rsidRPr="00005453" w14:paraId="2E71CB80"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85D3199" w14:textId="77777777" w:rsidR="0026130B" w:rsidRPr="00005453" w:rsidRDefault="0026130B" w:rsidP="0026130B">
            <w:pPr>
              <w:rPr>
                <w:color w:val="000000"/>
                <w:sz w:val="14"/>
                <w:szCs w:val="18"/>
                <w:lang w:eastAsia="tr-TR"/>
              </w:rPr>
            </w:pPr>
            <w:r w:rsidRPr="00005453">
              <w:rPr>
                <w:color w:val="000000"/>
                <w:sz w:val="14"/>
                <w:szCs w:val="18"/>
                <w:lang w:eastAsia="tr-TR"/>
              </w:rPr>
              <w:t>Değer azaltma özelliğine sahipse, azaltıma sebep olacak tetikleyici olay/olaylar</w:t>
            </w:r>
          </w:p>
        </w:tc>
        <w:tc>
          <w:tcPr>
            <w:tcW w:w="2730" w:type="dxa"/>
            <w:tcBorders>
              <w:top w:val="nil"/>
              <w:left w:val="nil"/>
              <w:bottom w:val="single" w:sz="4" w:space="0" w:color="auto"/>
              <w:right w:val="single" w:sz="4" w:space="0" w:color="auto"/>
            </w:tcBorders>
            <w:shd w:val="clear" w:color="auto" w:fill="auto"/>
            <w:vAlign w:val="center"/>
            <w:hideMark/>
          </w:tcPr>
          <w:p w14:paraId="0A44A9C7" w14:textId="05EE6047"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c>
          <w:tcPr>
            <w:tcW w:w="2456" w:type="dxa"/>
            <w:tcBorders>
              <w:top w:val="nil"/>
              <w:left w:val="nil"/>
              <w:bottom w:val="single" w:sz="4" w:space="0" w:color="auto"/>
              <w:right w:val="single" w:sz="4" w:space="0" w:color="auto"/>
            </w:tcBorders>
            <w:shd w:val="clear" w:color="auto" w:fill="auto"/>
            <w:vAlign w:val="center"/>
            <w:hideMark/>
          </w:tcPr>
          <w:p w14:paraId="0732000D" w14:textId="2FF7F30E"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r>
      <w:tr w:rsidR="0026130B" w:rsidRPr="00005453" w14:paraId="0D5F10BB"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E98B308" w14:textId="77777777" w:rsidR="0026130B" w:rsidRPr="00005453" w:rsidRDefault="0026130B" w:rsidP="0026130B">
            <w:pPr>
              <w:rPr>
                <w:color w:val="000000"/>
                <w:sz w:val="14"/>
                <w:szCs w:val="18"/>
                <w:lang w:eastAsia="tr-TR"/>
              </w:rPr>
            </w:pPr>
            <w:r w:rsidRPr="00005453">
              <w:rPr>
                <w:color w:val="000000"/>
                <w:sz w:val="14"/>
                <w:szCs w:val="18"/>
                <w:lang w:eastAsia="tr-TR"/>
              </w:rPr>
              <w:t>Değer azaltma özelliğine sahipse, tamamen ya da kısmen değer azaltımı özelliği</w:t>
            </w:r>
          </w:p>
        </w:tc>
        <w:tc>
          <w:tcPr>
            <w:tcW w:w="2730" w:type="dxa"/>
            <w:tcBorders>
              <w:top w:val="nil"/>
              <w:left w:val="nil"/>
              <w:bottom w:val="single" w:sz="4" w:space="0" w:color="auto"/>
              <w:right w:val="single" w:sz="4" w:space="0" w:color="auto"/>
            </w:tcBorders>
            <w:shd w:val="clear" w:color="auto" w:fill="auto"/>
            <w:vAlign w:val="center"/>
            <w:hideMark/>
          </w:tcPr>
          <w:p w14:paraId="23192954" w14:textId="2D5FA21B"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c>
          <w:tcPr>
            <w:tcW w:w="2456" w:type="dxa"/>
            <w:tcBorders>
              <w:top w:val="nil"/>
              <w:left w:val="nil"/>
              <w:bottom w:val="single" w:sz="4" w:space="0" w:color="auto"/>
              <w:right w:val="single" w:sz="4" w:space="0" w:color="auto"/>
            </w:tcBorders>
            <w:shd w:val="clear" w:color="auto" w:fill="auto"/>
            <w:vAlign w:val="center"/>
            <w:hideMark/>
          </w:tcPr>
          <w:p w14:paraId="175332D1" w14:textId="09C382D1"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r>
      <w:tr w:rsidR="0026130B" w:rsidRPr="00005453" w14:paraId="1062DD53"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131190E8" w14:textId="77777777" w:rsidR="0026130B" w:rsidRPr="00005453" w:rsidRDefault="0026130B" w:rsidP="0026130B">
            <w:pPr>
              <w:rPr>
                <w:color w:val="000000"/>
                <w:sz w:val="14"/>
                <w:szCs w:val="18"/>
                <w:lang w:eastAsia="tr-TR"/>
              </w:rPr>
            </w:pPr>
            <w:r w:rsidRPr="00005453">
              <w:rPr>
                <w:color w:val="000000"/>
                <w:sz w:val="14"/>
                <w:szCs w:val="18"/>
                <w:lang w:eastAsia="tr-TR"/>
              </w:rPr>
              <w:t>Değer azaltma özelliğine sahipse, sürekli ya da geçici olma özelliği</w:t>
            </w:r>
          </w:p>
        </w:tc>
        <w:tc>
          <w:tcPr>
            <w:tcW w:w="2730" w:type="dxa"/>
            <w:tcBorders>
              <w:top w:val="nil"/>
              <w:left w:val="nil"/>
              <w:bottom w:val="single" w:sz="4" w:space="0" w:color="auto"/>
              <w:right w:val="single" w:sz="4" w:space="0" w:color="auto"/>
            </w:tcBorders>
            <w:shd w:val="clear" w:color="auto" w:fill="auto"/>
            <w:vAlign w:val="center"/>
            <w:hideMark/>
          </w:tcPr>
          <w:p w14:paraId="23F0C5E3" w14:textId="05192426"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c>
          <w:tcPr>
            <w:tcW w:w="2456" w:type="dxa"/>
            <w:tcBorders>
              <w:top w:val="nil"/>
              <w:left w:val="nil"/>
              <w:bottom w:val="single" w:sz="4" w:space="0" w:color="auto"/>
              <w:right w:val="single" w:sz="4" w:space="0" w:color="auto"/>
            </w:tcBorders>
            <w:shd w:val="clear" w:color="auto" w:fill="auto"/>
            <w:vAlign w:val="center"/>
            <w:hideMark/>
          </w:tcPr>
          <w:p w14:paraId="66E45261" w14:textId="1AB352B3"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r>
      <w:tr w:rsidR="0026130B" w:rsidRPr="00005453" w14:paraId="4063A47D"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3BD169DB" w14:textId="77777777" w:rsidR="0026130B" w:rsidRPr="00005453" w:rsidRDefault="0026130B" w:rsidP="0026130B">
            <w:pPr>
              <w:rPr>
                <w:color w:val="000000"/>
                <w:sz w:val="14"/>
                <w:szCs w:val="18"/>
                <w:lang w:eastAsia="tr-TR"/>
              </w:rPr>
            </w:pPr>
            <w:r w:rsidRPr="00005453">
              <w:rPr>
                <w:color w:val="000000"/>
                <w:sz w:val="14"/>
                <w:szCs w:val="18"/>
                <w:lang w:eastAsia="tr-TR"/>
              </w:rPr>
              <w:t>Değeri geçici olarak azaltılabiliyorsa, değer artırım mekanizması</w:t>
            </w:r>
          </w:p>
        </w:tc>
        <w:tc>
          <w:tcPr>
            <w:tcW w:w="2730" w:type="dxa"/>
            <w:tcBorders>
              <w:top w:val="nil"/>
              <w:left w:val="nil"/>
              <w:bottom w:val="single" w:sz="4" w:space="0" w:color="auto"/>
              <w:right w:val="single" w:sz="4" w:space="0" w:color="auto"/>
            </w:tcBorders>
            <w:shd w:val="clear" w:color="auto" w:fill="auto"/>
            <w:vAlign w:val="center"/>
            <w:hideMark/>
          </w:tcPr>
          <w:p w14:paraId="6BD6D2F1" w14:textId="5E78D940"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c>
          <w:tcPr>
            <w:tcW w:w="2456" w:type="dxa"/>
            <w:tcBorders>
              <w:top w:val="nil"/>
              <w:left w:val="nil"/>
              <w:bottom w:val="single" w:sz="4" w:space="0" w:color="auto"/>
              <w:right w:val="single" w:sz="4" w:space="0" w:color="auto"/>
            </w:tcBorders>
            <w:shd w:val="clear" w:color="auto" w:fill="auto"/>
            <w:vAlign w:val="center"/>
            <w:hideMark/>
          </w:tcPr>
          <w:p w14:paraId="2B676655" w14:textId="147EE1BC" w:rsidR="0026130B" w:rsidRPr="00005453" w:rsidRDefault="0026130B" w:rsidP="0026130B">
            <w:pPr>
              <w:jc w:val="right"/>
              <w:rPr>
                <w:color w:val="000000"/>
                <w:sz w:val="14"/>
                <w:szCs w:val="14"/>
                <w:lang w:eastAsia="tr-TR"/>
              </w:rPr>
            </w:pPr>
            <w:r w:rsidRPr="00005453">
              <w:rPr>
                <w:color w:val="000000"/>
                <w:sz w:val="14"/>
                <w:szCs w:val="22"/>
              </w:rPr>
              <w:t>Değer Azaltma Özelliği Yok</w:t>
            </w:r>
          </w:p>
        </w:tc>
      </w:tr>
      <w:tr w:rsidR="0026130B" w:rsidRPr="00005453" w14:paraId="09C669B4"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49AA1684" w14:textId="77777777" w:rsidR="0026130B" w:rsidRPr="00005453" w:rsidRDefault="0026130B" w:rsidP="0026130B">
            <w:pPr>
              <w:rPr>
                <w:color w:val="000000"/>
                <w:sz w:val="14"/>
                <w:szCs w:val="18"/>
                <w:lang w:eastAsia="tr-TR"/>
              </w:rPr>
            </w:pPr>
            <w:r w:rsidRPr="00005453">
              <w:rPr>
                <w:color w:val="000000"/>
                <w:sz w:val="14"/>
                <w:szCs w:val="18"/>
                <w:lang w:eastAsia="tr-TR"/>
              </w:rPr>
              <w:t>Tasfiye halinde alacak hakkı açısından hangi sırada olduğu (Bu borçlanma aracının hemen üstünde yer alan araç)</w:t>
            </w:r>
          </w:p>
        </w:tc>
        <w:tc>
          <w:tcPr>
            <w:tcW w:w="2730" w:type="dxa"/>
            <w:tcBorders>
              <w:top w:val="nil"/>
              <w:left w:val="nil"/>
              <w:bottom w:val="single" w:sz="4" w:space="0" w:color="auto"/>
              <w:right w:val="single" w:sz="4" w:space="0" w:color="auto"/>
            </w:tcBorders>
            <w:shd w:val="clear" w:color="auto" w:fill="auto"/>
            <w:vAlign w:val="center"/>
            <w:hideMark/>
          </w:tcPr>
          <w:p w14:paraId="1D2EAE41" w14:textId="2F740B99" w:rsidR="0026130B" w:rsidRPr="00005453" w:rsidRDefault="0026130B" w:rsidP="0026130B">
            <w:pPr>
              <w:jc w:val="right"/>
              <w:rPr>
                <w:color w:val="000000"/>
                <w:sz w:val="14"/>
                <w:szCs w:val="14"/>
                <w:lang w:eastAsia="tr-TR"/>
              </w:rPr>
            </w:pPr>
            <w:proofErr w:type="gramStart"/>
            <w:r w:rsidRPr="00005453">
              <w:rPr>
                <w:color w:val="000000"/>
                <w:sz w:val="14"/>
                <w:szCs w:val="22"/>
              </w:rPr>
              <w:t>Tier -</w:t>
            </w:r>
            <w:proofErr w:type="gramEnd"/>
            <w:r w:rsidRPr="00005453">
              <w:rPr>
                <w:color w:val="000000"/>
                <w:sz w:val="14"/>
                <w:szCs w:val="22"/>
              </w:rPr>
              <w:t xml:space="preserve"> 2</w:t>
            </w:r>
          </w:p>
        </w:tc>
        <w:tc>
          <w:tcPr>
            <w:tcW w:w="2456" w:type="dxa"/>
            <w:tcBorders>
              <w:top w:val="nil"/>
              <w:left w:val="nil"/>
              <w:bottom w:val="single" w:sz="4" w:space="0" w:color="auto"/>
              <w:right w:val="single" w:sz="4" w:space="0" w:color="auto"/>
            </w:tcBorders>
            <w:shd w:val="clear" w:color="auto" w:fill="auto"/>
            <w:vAlign w:val="center"/>
            <w:hideMark/>
          </w:tcPr>
          <w:p w14:paraId="22DFC776" w14:textId="6A43AA82" w:rsidR="0026130B" w:rsidRPr="00005453" w:rsidRDefault="0026130B" w:rsidP="0026130B">
            <w:pPr>
              <w:jc w:val="right"/>
              <w:rPr>
                <w:color w:val="000000"/>
                <w:sz w:val="14"/>
                <w:szCs w:val="14"/>
                <w:lang w:eastAsia="tr-TR"/>
              </w:rPr>
            </w:pPr>
            <w:r w:rsidRPr="00005453">
              <w:rPr>
                <w:color w:val="000000"/>
                <w:sz w:val="14"/>
                <w:szCs w:val="22"/>
              </w:rPr>
              <w:t>Senior Unsecured</w:t>
            </w:r>
          </w:p>
        </w:tc>
      </w:tr>
      <w:tr w:rsidR="0026130B" w:rsidRPr="00005453" w14:paraId="266DA172"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1BD1CEB9" w14:textId="77777777" w:rsidR="0026130B" w:rsidRPr="00005453" w:rsidRDefault="0026130B" w:rsidP="0026130B">
            <w:pPr>
              <w:rPr>
                <w:color w:val="000000"/>
                <w:sz w:val="14"/>
                <w:szCs w:val="18"/>
                <w:lang w:eastAsia="tr-TR"/>
              </w:rPr>
            </w:pPr>
            <w:r w:rsidRPr="00005453">
              <w:rPr>
                <w:color w:val="000000"/>
                <w:sz w:val="14"/>
                <w:szCs w:val="18"/>
                <w:lang w:eastAsia="tr-TR"/>
              </w:rPr>
              <w:t xml:space="preserve">Bankaların Özkaynaklarına ilişkin Yönetmeliğin </w:t>
            </w:r>
            <w:proofErr w:type="gramStart"/>
            <w:r w:rsidRPr="00005453">
              <w:rPr>
                <w:color w:val="000000"/>
                <w:sz w:val="14"/>
                <w:szCs w:val="18"/>
                <w:lang w:eastAsia="tr-TR"/>
              </w:rPr>
              <w:t>7 nci</w:t>
            </w:r>
            <w:proofErr w:type="gramEnd"/>
            <w:r w:rsidRPr="00005453">
              <w:rPr>
                <w:color w:val="000000"/>
                <w:sz w:val="14"/>
                <w:szCs w:val="18"/>
                <w:lang w:eastAsia="tr-TR"/>
              </w:rPr>
              <w:t xml:space="preserve"> ve 8 inci maddelerinde yer alan şartlardan haiz olunmayan olup olmadığı</w:t>
            </w:r>
          </w:p>
        </w:tc>
        <w:tc>
          <w:tcPr>
            <w:tcW w:w="2730" w:type="dxa"/>
            <w:tcBorders>
              <w:top w:val="nil"/>
              <w:left w:val="nil"/>
              <w:bottom w:val="single" w:sz="4" w:space="0" w:color="auto"/>
              <w:right w:val="single" w:sz="4" w:space="0" w:color="auto"/>
            </w:tcBorders>
            <w:shd w:val="clear" w:color="auto" w:fill="auto"/>
            <w:vAlign w:val="center"/>
            <w:hideMark/>
          </w:tcPr>
          <w:p w14:paraId="5AF448C0" w14:textId="7DFD229A" w:rsidR="0026130B" w:rsidRPr="00005453" w:rsidRDefault="0026130B" w:rsidP="0026130B">
            <w:pPr>
              <w:jc w:val="right"/>
              <w:rPr>
                <w:color w:val="000000"/>
                <w:sz w:val="14"/>
                <w:szCs w:val="14"/>
                <w:lang w:eastAsia="tr-TR"/>
              </w:rPr>
            </w:pPr>
            <w:r w:rsidRPr="00005453">
              <w:rPr>
                <w:color w:val="000000"/>
                <w:sz w:val="14"/>
                <w:szCs w:val="22"/>
              </w:rPr>
              <w:t>Yoktur</w:t>
            </w:r>
          </w:p>
        </w:tc>
        <w:tc>
          <w:tcPr>
            <w:tcW w:w="2456" w:type="dxa"/>
            <w:tcBorders>
              <w:top w:val="nil"/>
              <w:left w:val="nil"/>
              <w:bottom w:val="single" w:sz="4" w:space="0" w:color="auto"/>
              <w:right w:val="single" w:sz="4" w:space="0" w:color="auto"/>
            </w:tcBorders>
            <w:shd w:val="clear" w:color="auto" w:fill="auto"/>
            <w:vAlign w:val="center"/>
            <w:hideMark/>
          </w:tcPr>
          <w:p w14:paraId="6897DAC5" w14:textId="7B30D9E1" w:rsidR="0026130B" w:rsidRPr="00005453" w:rsidRDefault="0026130B" w:rsidP="0026130B">
            <w:pPr>
              <w:jc w:val="right"/>
              <w:rPr>
                <w:color w:val="000000"/>
                <w:sz w:val="14"/>
                <w:szCs w:val="14"/>
                <w:lang w:eastAsia="tr-TR"/>
              </w:rPr>
            </w:pPr>
            <w:r w:rsidRPr="00005453">
              <w:rPr>
                <w:color w:val="000000"/>
                <w:sz w:val="14"/>
                <w:szCs w:val="22"/>
              </w:rPr>
              <w:t>Yoktur</w:t>
            </w:r>
          </w:p>
        </w:tc>
      </w:tr>
      <w:tr w:rsidR="0026130B" w:rsidRPr="00005453" w14:paraId="4F28121B" w14:textId="77777777" w:rsidTr="005F6E0A">
        <w:trPr>
          <w:trHeight w:val="264"/>
        </w:trPr>
        <w:tc>
          <w:tcPr>
            <w:tcW w:w="3866" w:type="dxa"/>
            <w:tcBorders>
              <w:top w:val="nil"/>
              <w:left w:val="single" w:sz="4" w:space="0" w:color="auto"/>
              <w:bottom w:val="single" w:sz="4" w:space="0" w:color="auto"/>
              <w:right w:val="single" w:sz="4" w:space="0" w:color="auto"/>
            </w:tcBorders>
            <w:shd w:val="clear" w:color="auto" w:fill="auto"/>
            <w:noWrap/>
            <w:vAlign w:val="center"/>
            <w:hideMark/>
          </w:tcPr>
          <w:p w14:paraId="56D74D75" w14:textId="77777777" w:rsidR="0026130B" w:rsidRPr="00005453" w:rsidRDefault="0026130B" w:rsidP="0026130B">
            <w:pPr>
              <w:rPr>
                <w:color w:val="000000"/>
                <w:sz w:val="14"/>
                <w:szCs w:val="18"/>
                <w:lang w:eastAsia="tr-TR"/>
              </w:rPr>
            </w:pPr>
            <w:r w:rsidRPr="00005453">
              <w:rPr>
                <w:color w:val="000000"/>
                <w:sz w:val="14"/>
                <w:szCs w:val="18"/>
                <w:lang w:eastAsia="tr-TR"/>
              </w:rPr>
              <w:t xml:space="preserve">Bankaların Özkaynaklarına ilişkin Yönetmeliğin </w:t>
            </w:r>
            <w:proofErr w:type="gramStart"/>
            <w:r w:rsidRPr="00005453">
              <w:rPr>
                <w:color w:val="000000"/>
                <w:sz w:val="14"/>
                <w:szCs w:val="18"/>
                <w:lang w:eastAsia="tr-TR"/>
              </w:rPr>
              <w:t>7 nci</w:t>
            </w:r>
            <w:proofErr w:type="gramEnd"/>
            <w:r w:rsidRPr="00005453">
              <w:rPr>
                <w:color w:val="000000"/>
                <w:sz w:val="14"/>
                <w:szCs w:val="18"/>
                <w:lang w:eastAsia="tr-TR"/>
              </w:rPr>
              <w:t xml:space="preserve"> ve 8 inci maddelerinde yer alan şartlardan hangilerine haiz olunmadığı</w:t>
            </w:r>
          </w:p>
        </w:tc>
        <w:tc>
          <w:tcPr>
            <w:tcW w:w="2730" w:type="dxa"/>
            <w:tcBorders>
              <w:top w:val="nil"/>
              <w:left w:val="nil"/>
              <w:bottom w:val="single" w:sz="4" w:space="0" w:color="auto"/>
              <w:right w:val="single" w:sz="4" w:space="0" w:color="auto"/>
            </w:tcBorders>
            <w:shd w:val="clear" w:color="auto" w:fill="auto"/>
            <w:vAlign w:val="center"/>
            <w:hideMark/>
          </w:tcPr>
          <w:p w14:paraId="1CC36071" w14:textId="1B0B097D" w:rsidR="0026130B" w:rsidRPr="00005453" w:rsidRDefault="0026130B" w:rsidP="0026130B">
            <w:pPr>
              <w:jc w:val="right"/>
              <w:rPr>
                <w:color w:val="000000"/>
                <w:sz w:val="14"/>
                <w:szCs w:val="14"/>
                <w:lang w:eastAsia="tr-TR"/>
              </w:rPr>
            </w:pPr>
            <w:r w:rsidRPr="00005453">
              <w:rPr>
                <w:color w:val="000000"/>
                <w:sz w:val="14"/>
                <w:szCs w:val="22"/>
              </w:rPr>
              <w:t>Yoktur</w:t>
            </w:r>
          </w:p>
        </w:tc>
        <w:tc>
          <w:tcPr>
            <w:tcW w:w="2456" w:type="dxa"/>
            <w:tcBorders>
              <w:top w:val="nil"/>
              <w:left w:val="nil"/>
              <w:bottom w:val="single" w:sz="4" w:space="0" w:color="auto"/>
              <w:right w:val="single" w:sz="4" w:space="0" w:color="auto"/>
            </w:tcBorders>
            <w:shd w:val="clear" w:color="auto" w:fill="auto"/>
            <w:vAlign w:val="center"/>
            <w:hideMark/>
          </w:tcPr>
          <w:p w14:paraId="0E5787DA" w14:textId="3C11110A" w:rsidR="0026130B" w:rsidRPr="00005453" w:rsidRDefault="0026130B" w:rsidP="0026130B">
            <w:pPr>
              <w:jc w:val="right"/>
              <w:rPr>
                <w:color w:val="000000"/>
                <w:sz w:val="14"/>
                <w:szCs w:val="14"/>
                <w:lang w:eastAsia="tr-TR"/>
              </w:rPr>
            </w:pPr>
            <w:r w:rsidRPr="00005453">
              <w:rPr>
                <w:color w:val="000000"/>
                <w:sz w:val="14"/>
                <w:szCs w:val="22"/>
              </w:rPr>
              <w:t>Yoktur</w:t>
            </w:r>
          </w:p>
        </w:tc>
      </w:tr>
    </w:tbl>
    <w:p w14:paraId="19C1F3C9" w14:textId="20030716" w:rsidR="0066083E" w:rsidRPr="00005453" w:rsidRDefault="0066083E" w:rsidP="00F20AF5">
      <w:pPr>
        <w:tabs>
          <w:tab w:val="left" w:pos="567"/>
        </w:tabs>
        <w:ind w:hanging="567"/>
        <w:jc w:val="both"/>
        <w:rPr>
          <w:rFonts w:eastAsia="Arial Unicode MS"/>
          <w:b/>
        </w:rPr>
      </w:pPr>
    </w:p>
    <w:p w14:paraId="2F339423" w14:textId="68C6BE95" w:rsidR="0066083E" w:rsidRPr="00005453" w:rsidRDefault="0066083E" w:rsidP="00F20AF5">
      <w:pPr>
        <w:tabs>
          <w:tab w:val="left" w:pos="567"/>
        </w:tabs>
        <w:ind w:hanging="567"/>
        <w:jc w:val="both"/>
        <w:rPr>
          <w:rFonts w:eastAsia="Arial Unicode MS"/>
          <w:b/>
        </w:rPr>
      </w:pPr>
    </w:p>
    <w:p w14:paraId="2B8A38FD" w14:textId="5ACC83B6" w:rsidR="0066083E" w:rsidRDefault="0066083E" w:rsidP="00F20AF5">
      <w:pPr>
        <w:tabs>
          <w:tab w:val="left" w:pos="567"/>
        </w:tabs>
        <w:ind w:hanging="567"/>
        <w:jc w:val="both"/>
        <w:rPr>
          <w:rFonts w:eastAsia="Arial Unicode MS"/>
          <w:b/>
        </w:rPr>
      </w:pPr>
    </w:p>
    <w:p w14:paraId="72E5BEF9" w14:textId="72DC38D6" w:rsidR="005F6E0A" w:rsidRDefault="005F6E0A" w:rsidP="00F20AF5">
      <w:pPr>
        <w:tabs>
          <w:tab w:val="left" w:pos="567"/>
        </w:tabs>
        <w:ind w:hanging="567"/>
        <w:jc w:val="both"/>
        <w:rPr>
          <w:rFonts w:eastAsia="Arial Unicode MS"/>
          <w:b/>
        </w:rPr>
      </w:pPr>
    </w:p>
    <w:p w14:paraId="057D569E" w14:textId="77777777" w:rsidR="005F6E0A" w:rsidRPr="00005453" w:rsidRDefault="005F6E0A" w:rsidP="00F20AF5">
      <w:pPr>
        <w:tabs>
          <w:tab w:val="left" w:pos="567"/>
        </w:tabs>
        <w:ind w:hanging="567"/>
        <w:jc w:val="both"/>
        <w:rPr>
          <w:rFonts w:eastAsia="Arial Unicode MS"/>
          <w:b/>
        </w:rPr>
      </w:pPr>
    </w:p>
    <w:p w14:paraId="0943BCFD" w14:textId="534BB094" w:rsidR="00334F87" w:rsidRPr="00005453" w:rsidRDefault="00334F87" w:rsidP="00F20AF5">
      <w:pPr>
        <w:tabs>
          <w:tab w:val="left" w:pos="567"/>
        </w:tabs>
        <w:ind w:hanging="567"/>
        <w:jc w:val="both"/>
        <w:rPr>
          <w:rFonts w:eastAsia="Arial Unicode MS"/>
          <w:b/>
        </w:rPr>
      </w:pPr>
      <w:r w:rsidRPr="00005453">
        <w:rPr>
          <w:rFonts w:eastAsia="Arial Unicode MS"/>
          <w:b/>
        </w:rPr>
        <w:lastRenderedPageBreak/>
        <w:t xml:space="preserve">1.2   </w:t>
      </w:r>
      <w:r w:rsidRPr="00005453">
        <w:rPr>
          <w:rFonts w:eastAsia="Arial Unicode MS"/>
          <w:b/>
        </w:rPr>
        <w:tab/>
        <w:t>İçsel sermaye gereksiniminin cari ve gelecek faaliyetler açısından yeterliliğinin değerlendirilmesi amacıyla uygulanan yaklaşımlar</w:t>
      </w:r>
    </w:p>
    <w:p w14:paraId="06B5E5B8" w14:textId="77777777" w:rsidR="00334F87" w:rsidRPr="00005453" w:rsidRDefault="00334F87" w:rsidP="00334F87">
      <w:pPr>
        <w:autoSpaceDE w:val="0"/>
        <w:autoSpaceDN w:val="0"/>
        <w:adjustRightInd w:val="0"/>
        <w:jc w:val="both"/>
        <w:rPr>
          <w:rFonts w:eastAsia="Arial Unicode MS"/>
          <w:b/>
          <w:sz w:val="10"/>
          <w:szCs w:val="16"/>
        </w:rPr>
      </w:pPr>
    </w:p>
    <w:p w14:paraId="0B3A72FA" w14:textId="77777777" w:rsidR="00334F87" w:rsidRPr="00005453" w:rsidRDefault="00334F87" w:rsidP="00334F87">
      <w:pPr>
        <w:jc w:val="both"/>
        <w:rPr>
          <w:spacing w:val="-6"/>
        </w:rPr>
      </w:pPr>
      <w:r w:rsidRPr="00005453">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C599DF6" w14:textId="77777777" w:rsidR="00334F87" w:rsidRPr="00005453" w:rsidRDefault="00334F87" w:rsidP="00334F87">
      <w:pPr>
        <w:jc w:val="both"/>
        <w:rPr>
          <w:sz w:val="6"/>
          <w:szCs w:val="16"/>
        </w:rPr>
      </w:pPr>
    </w:p>
    <w:p w14:paraId="750DC898" w14:textId="77777777" w:rsidR="00334F87" w:rsidRPr="00005453" w:rsidRDefault="00334F87" w:rsidP="00334F87">
      <w:pPr>
        <w:jc w:val="both"/>
      </w:pPr>
      <w:r w:rsidRPr="00005453">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w:t>
      </w:r>
      <w:proofErr w:type="gramStart"/>
      <w:r w:rsidRPr="00005453">
        <w:t>kar</w:t>
      </w:r>
      <w:proofErr w:type="gramEnd"/>
      <w:r w:rsidRPr="00005453">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353C8B45" w14:textId="3CF7CB6C" w:rsidR="0054031F" w:rsidRPr="00005453" w:rsidRDefault="0054031F" w:rsidP="00334F87">
      <w:pPr>
        <w:tabs>
          <w:tab w:val="left" w:pos="567"/>
        </w:tabs>
        <w:ind w:hanging="567"/>
      </w:pPr>
    </w:p>
    <w:p w14:paraId="78C55BC8" w14:textId="226E605F" w:rsidR="0054031F" w:rsidRPr="00005453" w:rsidRDefault="0054031F" w:rsidP="0054031F">
      <w:pPr>
        <w:tabs>
          <w:tab w:val="left" w:pos="567"/>
        </w:tabs>
        <w:ind w:hanging="567"/>
        <w:rPr>
          <w:rFonts w:eastAsia="Arial Unicode MS"/>
          <w:b/>
          <w:sz w:val="2"/>
          <w:szCs w:val="2"/>
        </w:rPr>
      </w:pPr>
      <w:bookmarkStart w:id="24" w:name="_Hlk156987398"/>
      <w:bookmarkStart w:id="25" w:name="_Hlk93645800"/>
      <w:r w:rsidRPr="00005453">
        <w:rPr>
          <w:rFonts w:eastAsia="Arial Unicode MS"/>
          <w:b/>
        </w:rPr>
        <w:t>2.</w:t>
      </w:r>
      <w:r w:rsidRPr="00005453">
        <w:rPr>
          <w:rFonts w:eastAsia="Arial Unicode MS"/>
          <w:b/>
        </w:rPr>
        <w:tab/>
        <w:t>Kredi riskine ilişkin açıklamalar</w:t>
      </w:r>
    </w:p>
    <w:bookmarkEnd w:id="24"/>
    <w:p w14:paraId="465EFB32" w14:textId="77777777" w:rsidR="0054031F" w:rsidRPr="00005453" w:rsidRDefault="0054031F" w:rsidP="0054031F">
      <w:pPr>
        <w:rPr>
          <w:rFonts w:eastAsia="Arial Unicode MS"/>
          <w:b/>
          <w:sz w:val="10"/>
          <w:szCs w:val="16"/>
        </w:rPr>
      </w:pPr>
    </w:p>
    <w:p w14:paraId="44D78A9A" w14:textId="77777777" w:rsidR="0054031F" w:rsidRPr="00005453" w:rsidRDefault="0054031F" w:rsidP="0054031F">
      <w:pPr>
        <w:autoSpaceDE w:val="0"/>
        <w:autoSpaceDN w:val="0"/>
        <w:adjustRightInd w:val="0"/>
        <w:jc w:val="both"/>
      </w:pPr>
      <w:r w:rsidRPr="00005453">
        <w:t>Kredi riski Banka’nın ilişki içinde bulunduğu karşı tarafın, Banka ile yaptığı sözleşme gereklerine uymayarak yükümlülüğünü kısmen veya tamamen zamanında yerine getirememesinden oluşabilecek risk ve zararları ifade eder.</w:t>
      </w:r>
    </w:p>
    <w:p w14:paraId="1BECFCD4" w14:textId="77777777" w:rsidR="0054031F" w:rsidRPr="00005453" w:rsidRDefault="0054031F" w:rsidP="0054031F">
      <w:pPr>
        <w:autoSpaceDE w:val="0"/>
        <w:autoSpaceDN w:val="0"/>
        <w:adjustRightInd w:val="0"/>
        <w:jc w:val="both"/>
        <w:rPr>
          <w:sz w:val="10"/>
          <w:szCs w:val="10"/>
        </w:rPr>
      </w:pPr>
    </w:p>
    <w:p w14:paraId="6DAC2469" w14:textId="77777777" w:rsidR="0054031F" w:rsidRPr="00005453" w:rsidRDefault="0054031F" w:rsidP="0054031F">
      <w:pPr>
        <w:autoSpaceDE w:val="0"/>
        <w:autoSpaceDN w:val="0"/>
        <w:adjustRightInd w:val="0"/>
        <w:jc w:val="both"/>
      </w:pPr>
      <w:r w:rsidRPr="00005453">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7FFDB059" w14:textId="77777777" w:rsidR="0054031F" w:rsidRPr="00005453" w:rsidRDefault="0054031F" w:rsidP="0054031F">
      <w:pPr>
        <w:autoSpaceDE w:val="0"/>
        <w:autoSpaceDN w:val="0"/>
        <w:adjustRightInd w:val="0"/>
        <w:jc w:val="both"/>
        <w:rPr>
          <w:sz w:val="10"/>
          <w:szCs w:val="10"/>
        </w:rPr>
      </w:pPr>
    </w:p>
    <w:p w14:paraId="42634F3A" w14:textId="7945A446" w:rsidR="0054031F" w:rsidRPr="00005453" w:rsidRDefault="0054031F" w:rsidP="0054031F">
      <w:pPr>
        <w:autoSpaceDE w:val="0"/>
        <w:autoSpaceDN w:val="0"/>
        <w:adjustRightInd w:val="0"/>
        <w:jc w:val="both"/>
      </w:pPr>
      <w:r w:rsidRPr="00005453">
        <w:t>Banka’nın Türkiye dışında maruz kaldığı kredi riski ülke ve bölge bazında, Yönetim Kurulu tarafından belirlenen limitler dahilinde takip edilmektedir. Bu kapsamda Banka’nın yabancı ülke veya bölgede aldığı riskin toplamı, yurt</w:t>
      </w:r>
      <w:r w:rsidR="00455FD1" w:rsidRPr="00005453">
        <w:t xml:space="preserve"> </w:t>
      </w:r>
      <w:r w:rsidRPr="00005453">
        <w: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Banka’nın Türkiye’de aldığı riskin toplamı takip edilmektedir.</w:t>
      </w:r>
    </w:p>
    <w:p w14:paraId="76E33883" w14:textId="77777777" w:rsidR="0054031F" w:rsidRPr="00005453" w:rsidRDefault="0054031F" w:rsidP="0054031F">
      <w:pPr>
        <w:autoSpaceDE w:val="0"/>
        <w:autoSpaceDN w:val="0"/>
        <w:adjustRightInd w:val="0"/>
        <w:jc w:val="both"/>
        <w:rPr>
          <w:sz w:val="10"/>
          <w:szCs w:val="10"/>
        </w:rPr>
      </w:pPr>
    </w:p>
    <w:p w14:paraId="05FBEEA2" w14:textId="77777777" w:rsidR="0054031F" w:rsidRPr="00005453" w:rsidRDefault="0054031F" w:rsidP="0054031F">
      <w:pPr>
        <w:autoSpaceDE w:val="0"/>
        <w:autoSpaceDN w:val="0"/>
        <w:adjustRightInd w:val="0"/>
        <w:jc w:val="both"/>
      </w:pPr>
      <w:r w:rsidRPr="00005453">
        <w:t>Hazine işlemlerinden ve müşteri bazlı ticari işlemlerden kaynaklanan risk ve limitler günlük olarak takip edilmektedir. Ayrıca muhabir bankaların derecelerine göre tahsis edilen limitleri ile Banka’nın özkaynakları dahilinde alabileceği maksimum riskin kontrolü de günlük olarak yapılmaktadır. Günlük olarak yapılan işlemlerle ilgili olarak risk limitleri belirlenmekte, bilanço dışı işlemlerle ilgili olarak risk yoğunluğu takip edilmektedir.</w:t>
      </w:r>
    </w:p>
    <w:p w14:paraId="2CFE65D7" w14:textId="77777777" w:rsidR="0054031F" w:rsidRPr="00005453" w:rsidRDefault="0054031F" w:rsidP="0054031F">
      <w:pPr>
        <w:autoSpaceDE w:val="0"/>
        <w:autoSpaceDN w:val="0"/>
        <w:adjustRightInd w:val="0"/>
        <w:jc w:val="both"/>
        <w:rPr>
          <w:sz w:val="10"/>
          <w:szCs w:val="10"/>
        </w:rPr>
      </w:pPr>
    </w:p>
    <w:p w14:paraId="3695AA4B" w14:textId="77777777" w:rsidR="0054031F" w:rsidRPr="00005453" w:rsidRDefault="0054031F" w:rsidP="0054031F">
      <w:pPr>
        <w:autoSpaceDE w:val="0"/>
        <w:autoSpaceDN w:val="0"/>
        <w:adjustRightInd w:val="0"/>
        <w:jc w:val="both"/>
      </w:pPr>
      <w:r w:rsidRPr="00005453">
        <w:rPr>
          <w:color w:val="000000"/>
        </w:rPr>
        <w:t>Kredilerin Sınıflandırılması ve Bunlar için Ayrılacak Karşılıklara İlişkin Usul ve Esaslar Hakkında Yönetmelik</w:t>
      </w:r>
      <w:r w:rsidRPr="00005453">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26B2DA23" w14:textId="77777777" w:rsidR="0054031F" w:rsidRPr="00005453" w:rsidRDefault="0054031F" w:rsidP="0054031F">
      <w:pPr>
        <w:autoSpaceDE w:val="0"/>
        <w:autoSpaceDN w:val="0"/>
        <w:adjustRightInd w:val="0"/>
        <w:jc w:val="both"/>
        <w:rPr>
          <w:sz w:val="10"/>
          <w:szCs w:val="10"/>
        </w:rPr>
      </w:pPr>
    </w:p>
    <w:p w14:paraId="366730DB" w14:textId="77777777" w:rsidR="0054031F" w:rsidRPr="00005453" w:rsidRDefault="0054031F" w:rsidP="0054031F">
      <w:pPr>
        <w:autoSpaceDE w:val="0"/>
        <w:autoSpaceDN w:val="0"/>
        <w:adjustRightInd w:val="0"/>
        <w:jc w:val="both"/>
      </w:pPr>
      <w:r w:rsidRPr="00005453">
        <w:t>Vadeli işlem ve opsiyon sözleşmesi ve benzeri diğer sözleşmeler cinsinden pozisyon tutulmamaktadır.</w:t>
      </w:r>
    </w:p>
    <w:p w14:paraId="2FCA079E" w14:textId="77777777" w:rsidR="0054031F" w:rsidRPr="00005453" w:rsidRDefault="0054031F" w:rsidP="0054031F">
      <w:pPr>
        <w:autoSpaceDE w:val="0"/>
        <w:autoSpaceDN w:val="0"/>
        <w:adjustRightInd w:val="0"/>
        <w:jc w:val="both"/>
        <w:rPr>
          <w:sz w:val="10"/>
          <w:szCs w:val="10"/>
        </w:rPr>
      </w:pPr>
    </w:p>
    <w:p w14:paraId="74930BDE" w14:textId="77777777" w:rsidR="0054031F" w:rsidRPr="00005453" w:rsidRDefault="0054031F" w:rsidP="0054031F">
      <w:pPr>
        <w:autoSpaceDE w:val="0"/>
        <w:autoSpaceDN w:val="0"/>
        <w:adjustRightInd w:val="0"/>
        <w:jc w:val="both"/>
      </w:pPr>
      <w:r w:rsidRPr="00005453">
        <w:t xml:space="preserve">Tazmin edilen gayrinakdi krediler, </w:t>
      </w:r>
      <w:r w:rsidRPr="00005453">
        <w:rPr>
          <w:color w:val="000000"/>
        </w:rPr>
        <w:t xml:space="preserve">Kredilerin Sınıflandırılması ve Bunlar için Ayrılacak Karşılıklara İlişkin Usul ve Esaslar Hakkında Yönetmelik </w:t>
      </w:r>
      <w:r w:rsidRPr="00005453">
        <w:t>uyarınca vadesi geldiği halde ödenmeyen kredilerle aynı risk ağırlığına tabi tutulmaktadır. Yenilenen ve yeniden itfa planına bağlanan krediler ilgili mevzuatta belirlenen yöntemlere uygun olarak izlenmektedir.</w:t>
      </w:r>
    </w:p>
    <w:p w14:paraId="483B2AD3" w14:textId="77777777" w:rsidR="0054031F" w:rsidRPr="00005453" w:rsidRDefault="0054031F" w:rsidP="0054031F">
      <w:pPr>
        <w:autoSpaceDE w:val="0"/>
        <w:autoSpaceDN w:val="0"/>
        <w:adjustRightInd w:val="0"/>
        <w:jc w:val="both"/>
        <w:rPr>
          <w:sz w:val="10"/>
          <w:szCs w:val="10"/>
        </w:rPr>
      </w:pPr>
    </w:p>
    <w:p w14:paraId="20E6BF24" w14:textId="77777777" w:rsidR="0054031F" w:rsidRPr="00005453" w:rsidRDefault="0054031F" w:rsidP="0054031F">
      <w:pPr>
        <w:autoSpaceDE w:val="0"/>
        <w:autoSpaceDN w:val="0"/>
        <w:adjustRightInd w:val="0"/>
        <w:jc w:val="both"/>
      </w:pPr>
      <w:r w:rsidRPr="00005453">
        <w:t>Dış ticaret finansmanı ve bankalararası kredi kullandırım işlemleri geniş bir muhabir ağı ile yürütülmekte olup, bu kapsamda ülke riskleri, limitleri, muhabir riskleri ve limitleri düzenli olarak değerlendirilmektedir.</w:t>
      </w:r>
    </w:p>
    <w:p w14:paraId="4F3F7D6D" w14:textId="77777777" w:rsidR="0054031F" w:rsidRPr="00005453" w:rsidRDefault="0054031F" w:rsidP="0054031F">
      <w:pPr>
        <w:autoSpaceDE w:val="0"/>
        <w:autoSpaceDN w:val="0"/>
        <w:adjustRightInd w:val="0"/>
        <w:jc w:val="both"/>
        <w:rPr>
          <w:sz w:val="10"/>
          <w:szCs w:val="10"/>
        </w:rPr>
      </w:pPr>
    </w:p>
    <w:p w14:paraId="51BBA506" w14:textId="77777777" w:rsidR="0054031F" w:rsidRPr="00005453" w:rsidRDefault="0054031F" w:rsidP="0054031F">
      <w:pPr>
        <w:autoSpaceDE w:val="0"/>
        <w:autoSpaceDN w:val="0"/>
        <w:adjustRightInd w:val="0"/>
        <w:jc w:val="both"/>
      </w:pPr>
      <w:r w:rsidRPr="00005453">
        <w:t>Diğer finansal kurumların finansal faaliyetleri ile birlikte değerlendirildiğinde önemli ölçüde kredi riski yoğunluğu yoktur.</w:t>
      </w:r>
    </w:p>
    <w:p w14:paraId="71090B5D" w14:textId="77777777" w:rsidR="00930AA3" w:rsidRPr="00005453" w:rsidRDefault="00930AA3" w:rsidP="0054031F">
      <w:pPr>
        <w:autoSpaceDE w:val="0"/>
        <w:autoSpaceDN w:val="0"/>
        <w:adjustRightInd w:val="0"/>
        <w:jc w:val="both"/>
        <w:sectPr w:rsidR="00930AA3" w:rsidRPr="00005453" w:rsidSect="00012FF9">
          <w:footerReference w:type="default" r:id="rId40"/>
          <w:pgSz w:w="11906" w:h="16838"/>
          <w:pgMar w:top="1417" w:right="991" w:bottom="1438" w:left="1418" w:header="708" w:footer="708" w:gutter="0"/>
          <w:pgNumType w:start="23"/>
          <w:cols w:space="708"/>
          <w:docGrid w:linePitch="360"/>
        </w:sectPr>
      </w:pPr>
    </w:p>
    <w:p w14:paraId="4B6F6A71" w14:textId="584D3504" w:rsidR="0054031F" w:rsidRPr="00005453" w:rsidRDefault="0054031F" w:rsidP="0054031F">
      <w:pPr>
        <w:autoSpaceDE w:val="0"/>
        <w:autoSpaceDN w:val="0"/>
        <w:adjustRightInd w:val="0"/>
        <w:jc w:val="both"/>
      </w:pPr>
      <w:r w:rsidRPr="00005453">
        <w:lastRenderedPageBreak/>
        <w:t>Banka’nın ilk büyük 100 ve 200 nakdi kredi müşterisinden olan alacağının toplam nakdi krediler portföyü içindeki payı sırasıyla %</w:t>
      </w:r>
      <w:r w:rsidR="00C87AA2" w:rsidRPr="00005453">
        <w:t>18</w:t>
      </w:r>
      <w:r w:rsidR="00D92AD6" w:rsidRPr="00005453">
        <w:t xml:space="preserve"> ve %</w:t>
      </w:r>
      <w:r w:rsidR="00782700" w:rsidRPr="00005453">
        <w:t>2</w:t>
      </w:r>
      <w:r w:rsidR="00C87AA2" w:rsidRPr="00005453">
        <w:t>5</w:t>
      </w:r>
      <w:r w:rsidR="00D84165" w:rsidRPr="00005453">
        <w:t>’</w:t>
      </w:r>
      <w:r w:rsidR="00C87AA2" w:rsidRPr="00005453">
        <w:t>ti</w:t>
      </w:r>
      <w:r w:rsidR="00D84165" w:rsidRPr="00005453">
        <w:t>r</w:t>
      </w:r>
      <w:r w:rsidRPr="00005453">
        <w:t>.</w:t>
      </w:r>
    </w:p>
    <w:p w14:paraId="0C5357DB" w14:textId="77777777" w:rsidR="0054031F" w:rsidRPr="00005453" w:rsidRDefault="0054031F" w:rsidP="0054031F">
      <w:pPr>
        <w:autoSpaceDE w:val="0"/>
        <w:autoSpaceDN w:val="0"/>
        <w:adjustRightInd w:val="0"/>
        <w:jc w:val="both"/>
        <w:rPr>
          <w:sz w:val="10"/>
          <w:szCs w:val="10"/>
        </w:rPr>
      </w:pPr>
    </w:p>
    <w:p w14:paraId="745E2820" w14:textId="73BDA922" w:rsidR="0054031F" w:rsidRPr="00005453" w:rsidRDefault="0054031F" w:rsidP="0054031F">
      <w:pPr>
        <w:autoSpaceDE w:val="0"/>
        <w:autoSpaceDN w:val="0"/>
        <w:adjustRightInd w:val="0"/>
        <w:jc w:val="both"/>
      </w:pPr>
      <w:bookmarkStart w:id="26" w:name="_Hlk158292619"/>
      <w:r w:rsidRPr="00005453">
        <w:t xml:space="preserve">Banka’nın ilk büyük 100 ve 200 </w:t>
      </w:r>
      <w:bookmarkEnd w:id="26"/>
      <w:r w:rsidRPr="00005453">
        <w:t>gayrinakdi kredi müşterisinden olan alacağının toplam gayrinakdi krediler portföyü içindeki payı sırasıyla %</w:t>
      </w:r>
      <w:r w:rsidR="007579CC" w:rsidRPr="00005453">
        <w:t>1</w:t>
      </w:r>
      <w:r w:rsidR="00C87AA2" w:rsidRPr="00005453">
        <w:t>2</w:t>
      </w:r>
      <w:r w:rsidRPr="00005453">
        <w:t xml:space="preserve"> ve %</w:t>
      </w:r>
      <w:r w:rsidR="00C87AA2" w:rsidRPr="00005453">
        <w:t>17</w:t>
      </w:r>
      <w:r w:rsidR="00D84165" w:rsidRPr="00005453">
        <w:t>’</w:t>
      </w:r>
      <w:r w:rsidRPr="00005453">
        <w:t>d</w:t>
      </w:r>
      <w:r w:rsidR="001A3DC2" w:rsidRPr="00005453">
        <w:t>i</w:t>
      </w:r>
      <w:r w:rsidRPr="00005453">
        <w:t>r.</w:t>
      </w:r>
    </w:p>
    <w:p w14:paraId="5B363CF9" w14:textId="77777777" w:rsidR="0054031F" w:rsidRPr="00005453" w:rsidRDefault="0054031F" w:rsidP="0054031F">
      <w:pPr>
        <w:autoSpaceDE w:val="0"/>
        <w:autoSpaceDN w:val="0"/>
        <w:adjustRightInd w:val="0"/>
        <w:jc w:val="both"/>
        <w:rPr>
          <w:sz w:val="10"/>
          <w:szCs w:val="10"/>
        </w:rPr>
      </w:pPr>
    </w:p>
    <w:p w14:paraId="4ACE0548" w14:textId="58F4DA0D" w:rsidR="0054031F" w:rsidRPr="00005453" w:rsidRDefault="0054031F" w:rsidP="0054031F">
      <w:pPr>
        <w:autoSpaceDE w:val="0"/>
        <w:autoSpaceDN w:val="0"/>
        <w:adjustRightInd w:val="0"/>
        <w:jc w:val="both"/>
      </w:pPr>
      <w:r w:rsidRPr="00005453">
        <w:t>Banka’nın ilk büyük 100 ve 200 kredi müşterisinden olan nakdi ve gayrinakdi alacak tutarının toplam nakdi ve gayrinakdi varlıklar içindeki payı sırasıyla %</w:t>
      </w:r>
      <w:r w:rsidR="008F1DB2" w:rsidRPr="00005453">
        <w:t>14</w:t>
      </w:r>
      <w:r w:rsidRPr="00005453">
        <w:t xml:space="preserve"> ve %</w:t>
      </w:r>
      <w:r w:rsidR="00666235" w:rsidRPr="00005453">
        <w:t>2</w:t>
      </w:r>
      <w:r w:rsidR="008F1DB2" w:rsidRPr="00005453">
        <w:t>0</w:t>
      </w:r>
      <w:r w:rsidR="00D84165" w:rsidRPr="00005453">
        <w:t>’</w:t>
      </w:r>
      <w:r w:rsidR="00A36ADB" w:rsidRPr="00005453">
        <w:t>di</w:t>
      </w:r>
      <w:r w:rsidR="00666235" w:rsidRPr="00005453">
        <w:t>r</w:t>
      </w:r>
      <w:r w:rsidRPr="00005453">
        <w:t>.</w:t>
      </w:r>
    </w:p>
    <w:bookmarkEnd w:id="25"/>
    <w:p w14:paraId="5CAD796A" w14:textId="77777777" w:rsidR="0054031F" w:rsidRPr="00005453" w:rsidRDefault="0054031F" w:rsidP="0054031F">
      <w:pPr>
        <w:spacing w:line="240" w:lineRule="exact"/>
      </w:pPr>
    </w:p>
    <w:tbl>
      <w:tblPr>
        <w:tblW w:w="9498" w:type="dxa"/>
        <w:tblCellMar>
          <w:left w:w="70" w:type="dxa"/>
          <w:right w:w="70" w:type="dxa"/>
        </w:tblCellMar>
        <w:tblLook w:val="04A0" w:firstRow="1" w:lastRow="0" w:firstColumn="1" w:lastColumn="0" w:noHBand="0" w:noVBand="1"/>
      </w:tblPr>
      <w:tblGrid>
        <w:gridCol w:w="6663"/>
        <w:gridCol w:w="1559"/>
        <w:gridCol w:w="1276"/>
      </w:tblGrid>
      <w:tr w:rsidR="005305D2" w:rsidRPr="00005453" w14:paraId="30C804F5" w14:textId="77777777" w:rsidTr="00DB082B">
        <w:trPr>
          <w:divId w:val="1792481805"/>
          <w:trHeight w:val="20"/>
        </w:trPr>
        <w:tc>
          <w:tcPr>
            <w:tcW w:w="6663" w:type="dxa"/>
            <w:tcBorders>
              <w:top w:val="single" w:sz="8" w:space="0" w:color="auto"/>
              <w:left w:val="nil"/>
              <w:bottom w:val="nil"/>
              <w:right w:val="nil"/>
            </w:tcBorders>
            <w:shd w:val="clear" w:color="auto" w:fill="auto"/>
            <w:noWrap/>
            <w:vAlign w:val="center"/>
            <w:hideMark/>
          </w:tcPr>
          <w:p w14:paraId="0555DBB9" w14:textId="3F74F8BD" w:rsidR="00F620B7" w:rsidRPr="00005453" w:rsidRDefault="00F620B7" w:rsidP="00F620B7">
            <w:pPr>
              <w:rPr>
                <w:b/>
                <w:bCs/>
                <w:color w:val="000000"/>
                <w:sz w:val="18"/>
                <w:szCs w:val="18"/>
                <w:lang w:eastAsia="tr-TR"/>
              </w:rPr>
            </w:pPr>
            <w:bookmarkStart w:id="27" w:name="_Hlk156987419"/>
            <w:r w:rsidRPr="00005453">
              <w:rPr>
                <w:b/>
                <w:bCs/>
                <w:color w:val="000000"/>
                <w:sz w:val="18"/>
                <w:szCs w:val="18"/>
                <w:lang w:eastAsia="tr-TR"/>
              </w:rPr>
              <w:t> </w:t>
            </w:r>
          </w:p>
        </w:tc>
        <w:tc>
          <w:tcPr>
            <w:tcW w:w="1559" w:type="dxa"/>
            <w:tcBorders>
              <w:top w:val="single" w:sz="8" w:space="0" w:color="auto"/>
              <w:left w:val="nil"/>
              <w:bottom w:val="nil"/>
              <w:right w:val="nil"/>
            </w:tcBorders>
            <w:shd w:val="clear" w:color="auto" w:fill="auto"/>
            <w:noWrap/>
            <w:vAlign w:val="center"/>
            <w:hideMark/>
          </w:tcPr>
          <w:p w14:paraId="49DB0A4B" w14:textId="77777777" w:rsidR="00F620B7" w:rsidRPr="00005453" w:rsidRDefault="00F620B7" w:rsidP="002D2B43">
            <w:pPr>
              <w:jc w:val="right"/>
              <w:rPr>
                <w:b/>
                <w:bCs/>
                <w:color w:val="000000"/>
                <w:sz w:val="18"/>
                <w:szCs w:val="18"/>
                <w:lang w:eastAsia="tr-TR"/>
              </w:rPr>
            </w:pPr>
            <w:r w:rsidRPr="00005453">
              <w:rPr>
                <w:b/>
                <w:bCs/>
                <w:color w:val="000000"/>
                <w:sz w:val="18"/>
                <w:szCs w:val="18"/>
                <w:lang w:eastAsia="tr-TR"/>
              </w:rPr>
              <w:t>Cari Dönem</w:t>
            </w:r>
          </w:p>
        </w:tc>
        <w:tc>
          <w:tcPr>
            <w:tcW w:w="1276" w:type="dxa"/>
            <w:tcBorders>
              <w:top w:val="single" w:sz="8" w:space="0" w:color="auto"/>
              <w:left w:val="nil"/>
              <w:bottom w:val="nil"/>
              <w:right w:val="nil"/>
            </w:tcBorders>
            <w:shd w:val="clear" w:color="auto" w:fill="auto"/>
            <w:noWrap/>
            <w:vAlign w:val="center"/>
            <w:hideMark/>
          </w:tcPr>
          <w:p w14:paraId="7326C106" w14:textId="77777777" w:rsidR="00F620B7" w:rsidRPr="00005453" w:rsidRDefault="00F620B7" w:rsidP="002D2B43">
            <w:pPr>
              <w:jc w:val="right"/>
              <w:rPr>
                <w:b/>
                <w:bCs/>
                <w:color w:val="000000"/>
                <w:sz w:val="18"/>
                <w:szCs w:val="18"/>
                <w:lang w:eastAsia="tr-TR"/>
              </w:rPr>
            </w:pPr>
            <w:r w:rsidRPr="00005453">
              <w:rPr>
                <w:b/>
                <w:bCs/>
                <w:color w:val="000000"/>
                <w:sz w:val="18"/>
                <w:szCs w:val="18"/>
                <w:lang w:eastAsia="tr-TR"/>
              </w:rPr>
              <w:t xml:space="preserve">Ortalama </w:t>
            </w:r>
          </w:p>
        </w:tc>
      </w:tr>
      <w:tr w:rsidR="005305D2" w:rsidRPr="00005453" w14:paraId="456D2A74" w14:textId="77777777" w:rsidTr="00DB082B">
        <w:trPr>
          <w:divId w:val="1792481805"/>
          <w:trHeight w:val="20"/>
        </w:trPr>
        <w:tc>
          <w:tcPr>
            <w:tcW w:w="6663" w:type="dxa"/>
            <w:tcBorders>
              <w:top w:val="nil"/>
              <w:left w:val="nil"/>
              <w:bottom w:val="single" w:sz="8" w:space="0" w:color="auto"/>
              <w:right w:val="nil"/>
            </w:tcBorders>
            <w:shd w:val="clear" w:color="auto" w:fill="auto"/>
            <w:noWrap/>
            <w:vAlign w:val="center"/>
            <w:hideMark/>
          </w:tcPr>
          <w:p w14:paraId="0472F590" w14:textId="77777777" w:rsidR="00F620B7" w:rsidRPr="00005453" w:rsidRDefault="00F620B7" w:rsidP="00F620B7">
            <w:pPr>
              <w:rPr>
                <w:b/>
                <w:bCs/>
                <w:color w:val="000000"/>
                <w:sz w:val="18"/>
                <w:szCs w:val="18"/>
                <w:lang w:eastAsia="tr-TR"/>
              </w:rPr>
            </w:pPr>
            <w:r w:rsidRPr="00005453">
              <w:rPr>
                <w:b/>
                <w:bCs/>
                <w:color w:val="000000"/>
                <w:sz w:val="18"/>
                <w:szCs w:val="18"/>
                <w:lang w:eastAsia="tr-TR"/>
              </w:rPr>
              <w:t>Risk Sınıfları</w:t>
            </w:r>
          </w:p>
        </w:tc>
        <w:tc>
          <w:tcPr>
            <w:tcW w:w="1559" w:type="dxa"/>
            <w:tcBorders>
              <w:top w:val="nil"/>
              <w:left w:val="nil"/>
              <w:bottom w:val="single" w:sz="8" w:space="0" w:color="auto"/>
              <w:right w:val="nil"/>
            </w:tcBorders>
            <w:shd w:val="clear" w:color="auto" w:fill="auto"/>
            <w:noWrap/>
            <w:vAlign w:val="center"/>
            <w:hideMark/>
          </w:tcPr>
          <w:p w14:paraId="49433E86" w14:textId="2E2BEB66" w:rsidR="00F620B7" w:rsidRPr="00005453" w:rsidRDefault="00F620B7" w:rsidP="002D2B43">
            <w:pPr>
              <w:jc w:val="right"/>
              <w:rPr>
                <w:b/>
                <w:bCs/>
                <w:color w:val="000000"/>
                <w:sz w:val="18"/>
                <w:szCs w:val="18"/>
                <w:lang w:eastAsia="tr-TR"/>
              </w:rPr>
            </w:pPr>
            <w:r w:rsidRPr="00005453">
              <w:rPr>
                <w:b/>
                <w:bCs/>
                <w:color w:val="000000"/>
                <w:sz w:val="18"/>
                <w:szCs w:val="18"/>
                <w:lang w:eastAsia="tr-TR"/>
              </w:rPr>
              <w:t>Risk</w:t>
            </w:r>
            <w:r w:rsidR="002D2B43" w:rsidRPr="00005453">
              <w:rPr>
                <w:b/>
                <w:bCs/>
                <w:color w:val="000000"/>
                <w:sz w:val="18"/>
                <w:szCs w:val="18"/>
                <w:lang w:eastAsia="tr-TR"/>
              </w:rPr>
              <w:t xml:space="preserve"> </w:t>
            </w:r>
            <w:r w:rsidRPr="00005453">
              <w:rPr>
                <w:b/>
                <w:bCs/>
                <w:color w:val="000000"/>
                <w:sz w:val="18"/>
                <w:szCs w:val="18"/>
                <w:lang w:eastAsia="tr-TR"/>
              </w:rPr>
              <w:t>Tutarı (*)</w:t>
            </w:r>
          </w:p>
        </w:tc>
        <w:tc>
          <w:tcPr>
            <w:tcW w:w="1276" w:type="dxa"/>
            <w:tcBorders>
              <w:top w:val="nil"/>
              <w:left w:val="nil"/>
              <w:bottom w:val="single" w:sz="8" w:space="0" w:color="auto"/>
              <w:right w:val="nil"/>
            </w:tcBorders>
            <w:shd w:val="clear" w:color="auto" w:fill="auto"/>
            <w:noWrap/>
            <w:vAlign w:val="center"/>
            <w:hideMark/>
          </w:tcPr>
          <w:p w14:paraId="33C270C6" w14:textId="77777777" w:rsidR="00F620B7" w:rsidRPr="00005453" w:rsidRDefault="00F620B7" w:rsidP="002D2B43">
            <w:pPr>
              <w:jc w:val="right"/>
              <w:rPr>
                <w:b/>
                <w:bCs/>
                <w:color w:val="000000"/>
                <w:sz w:val="18"/>
                <w:szCs w:val="18"/>
                <w:lang w:eastAsia="tr-TR"/>
              </w:rPr>
            </w:pPr>
            <w:r w:rsidRPr="00005453">
              <w:rPr>
                <w:b/>
                <w:bCs/>
                <w:color w:val="000000"/>
                <w:sz w:val="18"/>
                <w:szCs w:val="18"/>
                <w:lang w:eastAsia="tr-TR"/>
              </w:rPr>
              <w:t>Risk Tutarı (**)</w:t>
            </w:r>
          </w:p>
        </w:tc>
      </w:tr>
      <w:tr w:rsidR="00697C8C" w:rsidRPr="00005453" w14:paraId="69606ECF"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08028BC5" w14:textId="77777777" w:rsidR="00697C8C" w:rsidRPr="00005453" w:rsidRDefault="00697C8C" w:rsidP="00697C8C">
            <w:pPr>
              <w:rPr>
                <w:color w:val="000000"/>
                <w:sz w:val="18"/>
                <w:szCs w:val="18"/>
                <w:lang w:eastAsia="tr-TR"/>
              </w:rPr>
            </w:pPr>
            <w:r w:rsidRPr="00005453">
              <w:rPr>
                <w:color w:val="000000"/>
                <w:sz w:val="18"/>
                <w:szCs w:val="18"/>
                <w:lang w:eastAsia="tr-TR"/>
              </w:rPr>
              <w:t>Merkezi yönetimlerden veya merkez bankalarından şarta bağlı olan ve olmayan alacaklar</w:t>
            </w:r>
          </w:p>
        </w:tc>
        <w:tc>
          <w:tcPr>
            <w:tcW w:w="1559" w:type="dxa"/>
            <w:tcBorders>
              <w:top w:val="nil"/>
              <w:left w:val="nil"/>
              <w:bottom w:val="nil"/>
              <w:right w:val="nil"/>
            </w:tcBorders>
            <w:shd w:val="clear" w:color="auto" w:fill="auto"/>
            <w:noWrap/>
            <w:vAlign w:val="center"/>
            <w:hideMark/>
          </w:tcPr>
          <w:p w14:paraId="64B8C00F" w14:textId="55F34DF1" w:rsidR="00697C8C" w:rsidRPr="00005453" w:rsidRDefault="00697C8C" w:rsidP="00697C8C">
            <w:pPr>
              <w:jc w:val="right"/>
              <w:rPr>
                <w:color w:val="000000"/>
                <w:sz w:val="18"/>
                <w:szCs w:val="18"/>
              </w:rPr>
            </w:pPr>
            <w:r w:rsidRPr="00005453">
              <w:rPr>
                <w:color w:val="000000"/>
                <w:sz w:val="18"/>
                <w:szCs w:val="18"/>
              </w:rPr>
              <w:t>264,873,248</w:t>
            </w:r>
          </w:p>
        </w:tc>
        <w:tc>
          <w:tcPr>
            <w:tcW w:w="1276" w:type="dxa"/>
            <w:tcBorders>
              <w:top w:val="nil"/>
              <w:left w:val="nil"/>
              <w:bottom w:val="nil"/>
              <w:right w:val="nil"/>
            </w:tcBorders>
            <w:shd w:val="clear" w:color="auto" w:fill="auto"/>
            <w:noWrap/>
            <w:vAlign w:val="center"/>
            <w:hideMark/>
          </w:tcPr>
          <w:p w14:paraId="1EACE1D5" w14:textId="51D44274" w:rsidR="00697C8C" w:rsidRPr="00005453" w:rsidRDefault="00697C8C" w:rsidP="00697C8C">
            <w:pPr>
              <w:jc w:val="right"/>
              <w:rPr>
                <w:color w:val="000000"/>
                <w:sz w:val="18"/>
                <w:szCs w:val="18"/>
              </w:rPr>
            </w:pPr>
            <w:r w:rsidRPr="00005453">
              <w:rPr>
                <w:color w:val="000000"/>
                <w:sz w:val="18"/>
                <w:szCs w:val="18"/>
              </w:rPr>
              <w:t>239,818,075</w:t>
            </w:r>
          </w:p>
        </w:tc>
      </w:tr>
      <w:tr w:rsidR="00697C8C" w:rsidRPr="00005453" w14:paraId="6AC941D8"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3387F183" w14:textId="77777777" w:rsidR="00697C8C" w:rsidRPr="00005453" w:rsidRDefault="00697C8C" w:rsidP="00697C8C">
            <w:pPr>
              <w:rPr>
                <w:color w:val="000000"/>
                <w:sz w:val="18"/>
                <w:szCs w:val="18"/>
                <w:lang w:eastAsia="tr-TR"/>
              </w:rPr>
            </w:pPr>
            <w:r w:rsidRPr="00005453">
              <w:rPr>
                <w:color w:val="000000"/>
                <w:sz w:val="18"/>
                <w:szCs w:val="18"/>
                <w:lang w:eastAsia="tr-TR"/>
              </w:rPr>
              <w:t>Bölgesel yönetimlerden veya yerel yönetimlerden şarta bağlı olan ve olmayan alacaklar</w:t>
            </w:r>
          </w:p>
        </w:tc>
        <w:tc>
          <w:tcPr>
            <w:tcW w:w="1559" w:type="dxa"/>
            <w:tcBorders>
              <w:top w:val="nil"/>
              <w:left w:val="nil"/>
              <w:bottom w:val="nil"/>
              <w:right w:val="nil"/>
            </w:tcBorders>
            <w:shd w:val="clear" w:color="auto" w:fill="auto"/>
            <w:noWrap/>
            <w:vAlign w:val="center"/>
            <w:hideMark/>
          </w:tcPr>
          <w:p w14:paraId="0149012A" w14:textId="24F2A89D" w:rsidR="00697C8C" w:rsidRPr="00005453" w:rsidRDefault="00697C8C" w:rsidP="00697C8C">
            <w:pPr>
              <w:jc w:val="right"/>
              <w:rPr>
                <w:color w:val="000000"/>
                <w:sz w:val="18"/>
                <w:szCs w:val="18"/>
              </w:rPr>
            </w:pPr>
            <w:r w:rsidRPr="00005453">
              <w:rPr>
                <w:color w:val="000000"/>
                <w:sz w:val="18"/>
                <w:szCs w:val="18"/>
              </w:rPr>
              <w:t>-</w:t>
            </w:r>
          </w:p>
        </w:tc>
        <w:tc>
          <w:tcPr>
            <w:tcW w:w="1276" w:type="dxa"/>
            <w:tcBorders>
              <w:top w:val="nil"/>
              <w:left w:val="nil"/>
              <w:bottom w:val="nil"/>
              <w:right w:val="nil"/>
            </w:tcBorders>
            <w:shd w:val="clear" w:color="auto" w:fill="auto"/>
            <w:noWrap/>
            <w:vAlign w:val="center"/>
            <w:hideMark/>
          </w:tcPr>
          <w:p w14:paraId="68BE622D" w14:textId="5E0AECDB" w:rsidR="00697C8C" w:rsidRPr="00005453" w:rsidRDefault="00697C8C" w:rsidP="00697C8C">
            <w:pPr>
              <w:jc w:val="right"/>
              <w:rPr>
                <w:color w:val="000000"/>
                <w:sz w:val="18"/>
                <w:szCs w:val="18"/>
              </w:rPr>
            </w:pPr>
            <w:r w:rsidRPr="00005453">
              <w:rPr>
                <w:color w:val="000000"/>
                <w:sz w:val="18"/>
                <w:szCs w:val="18"/>
              </w:rPr>
              <w:t>-</w:t>
            </w:r>
          </w:p>
        </w:tc>
      </w:tr>
      <w:tr w:rsidR="00697C8C" w:rsidRPr="00005453" w14:paraId="01B35B08"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45EFFD8B" w14:textId="77777777" w:rsidR="00697C8C" w:rsidRPr="00005453" w:rsidRDefault="00697C8C" w:rsidP="00697C8C">
            <w:pPr>
              <w:rPr>
                <w:color w:val="000000"/>
                <w:sz w:val="18"/>
                <w:szCs w:val="18"/>
                <w:lang w:eastAsia="tr-TR"/>
              </w:rPr>
            </w:pPr>
            <w:r w:rsidRPr="00005453">
              <w:rPr>
                <w:color w:val="000000"/>
                <w:sz w:val="18"/>
                <w:szCs w:val="18"/>
                <w:lang w:eastAsia="tr-TR"/>
              </w:rPr>
              <w:t>İdari birimlerden ve ticari olmayan girişimlerden şarta bağlı olan ve olmayan alacaklar</w:t>
            </w:r>
          </w:p>
        </w:tc>
        <w:tc>
          <w:tcPr>
            <w:tcW w:w="1559" w:type="dxa"/>
            <w:tcBorders>
              <w:top w:val="nil"/>
              <w:left w:val="nil"/>
              <w:bottom w:val="nil"/>
              <w:right w:val="nil"/>
            </w:tcBorders>
            <w:shd w:val="clear" w:color="auto" w:fill="auto"/>
            <w:noWrap/>
            <w:vAlign w:val="center"/>
            <w:hideMark/>
          </w:tcPr>
          <w:p w14:paraId="22DEA3ED" w14:textId="3FB8E523" w:rsidR="00697C8C" w:rsidRPr="00005453" w:rsidRDefault="00697C8C" w:rsidP="00697C8C">
            <w:pPr>
              <w:jc w:val="right"/>
              <w:rPr>
                <w:color w:val="000000"/>
                <w:sz w:val="18"/>
                <w:szCs w:val="18"/>
              </w:rPr>
            </w:pPr>
            <w:r w:rsidRPr="00005453">
              <w:rPr>
                <w:color w:val="000000"/>
                <w:sz w:val="18"/>
                <w:szCs w:val="18"/>
              </w:rPr>
              <w:t>-</w:t>
            </w:r>
          </w:p>
        </w:tc>
        <w:tc>
          <w:tcPr>
            <w:tcW w:w="1276" w:type="dxa"/>
            <w:tcBorders>
              <w:top w:val="nil"/>
              <w:left w:val="nil"/>
              <w:bottom w:val="nil"/>
              <w:right w:val="nil"/>
            </w:tcBorders>
            <w:shd w:val="clear" w:color="auto" w:fill="auto"/>
            <w:noWrap/>
            <w:vAlign w:val="center"/>
            <w:hideMark/>
          </w:tcPr>
          <w:p w14:paraId="52437A30" w14:textId="0408E3B2" w:rsidR="00697C8C" w:rsidRPr="00005453" w:rsidRDefault="00697C8C" w:rsidP="00697C8C">
            <w:pPr>
              <w:jc w:val="right"/>
              <w:rPr>
                <w:color w:val="000000"/>
                <w:sz w:val="18"/>
                <w:szCs w:val="18"/>
              </w:rPr>
            </w:pPr>
            <w:r w:rsidRPr="00005453">
              <w:rPr>
                <w:color w:val="000000"/>
                <w:sz w:val="18"/>
                <w:szCs w:val="18"/>
              </w:rPr>
              <w:t>-</w:t>
            </w:r>
          </w:p>
        </w:tc>
      </w:tr>
      <w:tr w:rsidR="00697C8C" w:rsidRPr="00005453" w14:paraId="5F4441E3"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58B80258" w14:textId="77777777" w:rsidR="00697C8C" w:rsidRPr="00005453" w:rsidRDefault="00697C8C" w:rsidP="00697C8C">
            <w:pPr>
              <w:rPr>
                <w:color w:val="000000"/>
                <w:sz w:val="18"/>
                <w:szCs w:val="18"/>
                <w:lang w:eastAsia="tr-TR"/>
              </w:rPr>
            </w:pPr>
            <w:r w:rsidRPr="00005453">
              <w:rPr>
                <w:color w:val="000000"/>
                <w:sz w:val="18"/>
                <w:szCs w:val="18"/>
                <w:lang w:eastAsia="tr-TR"/>
              </w:rPr>
              <w:t>Çok taraflı kalkınma bankalarından şarta bağlı olan ve olmayan alacaklar</w:t>
            </w:r>
          </w:p>
        </w:tc>
        <w:tc>
          <w:tcPr>
            <w:tcW w:w="1559" w:type="dxa"/>
            <w:tcBorders>
              <w:top w:val="nil"/>
              <w:left w:val="nil"/>
              <w:bottom w:val="nil"/>
              <w:right w:val="nil"/>
            </w:tcBorders>
            <w:shd w:val="clear" w:color="auto" w:fill="auto"/>
            <w:noWrap/>
            <w:vAlign w:val="center"/>
            <w:hideMark/>
          </w:tcPr>
          <w:p w14:paraId="263ECBE7" w14:textId="1668875A" w:rsidR="00697C8C" w:rsidRPr="00005453" w:rsidRDefault="00697C8C" w:rsidP="00697C8C">
            <w:pPr>
              <w:jc w:val="right"/>
              <w:rPr>
                <w:color w:val="000000"/>
                <w:sz w:val="18"/>
                <w:szCs w:val="18"/>
              </w:rPr>
            </w:pPr>
            <w:r w:rsidRPr="00005453">
              <w:rPr>
                <w:color w:val="000000"/>
                <w:sz w:val="18"/>
                <w:szCs w:val="18"/>
              </w:rPr>
              <w:t>-</w:t>
            </w:r>
          </w:p>
        </w:tc>
        <w:tc>
          <w:tcPr>
            <w:tcW w:w="1276" w:type="dxa"/>
            <w:tcBorders>
              <w:top w:val="nil"/>
              <w:left w:val="nil"/>
              <w:bottom w:val="nil"/>
              <w:right w:val="nil"/>
            </w:tcBorders>
            <w:shd w:val="clear" w:color="auto" w:fill="auto"/>
            <w:noWrap/>
            <w:vAlign w:val="center"/>
            <w:hideMark/>
          </w:tcPr>
          <w:p w14:paraId="522136E8" w14:textId="01005B66" w:rsidR="00697C8C" w:rsidRPr="00005453" w:rsidRDefault="00697C8C" w:rsidP="00697C8C">
            <w:pPr>
              <w:jc w:val="right"/>
              <w:rPr>
                <w:color w:val="000000"/>
                <w:sz w:val="18"/>
                <w:szCs w:val="18"/>
              </w:rPr>
            </w:pPr>
            <w:r w:rsidRPr="00005453">
              <w:rPr>
                <w:color w:val="000000"/>
                <w:sz w:val="18"/>
                <w:szCs w:val="18"/>
              </w:rPr>
              <w:t>310,755</w:t>
            </w:r>
          </w:p>
        </w:tc>
      </w:tr>
      <w:tr w:rsidR="00697C8C" w:rsidRPr="00005453" w14:paraId="54FAA46B"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58A098F9" w14:textId="77777777" w:rsidR="00697C8C" w:rsidRPr="00005453" w:rsidRDefault="00697C8C" w:rsidP="00697C8C">
            <w:pPr>
              <w:rPr>
                <w:color w:val="000000"/>
                <w:sz w:val="18"/>
                <w:szCs w:val="18"/>
                <w:lang w:eastAsia="tr-TR"/>
              </w:rPr>
            </w:pPr>
            <w:r w:rsidRPr="00005453">
              <w:rPr>
                <w:color w:val="000000"/>
                <w:sz w:val="18"/>
                <w:szCs w:val="18"/>
                <w:lang w:eastAsia="tr-TR"/>
              </w:rPr>
              <w:t>Uluslararası teşkilatlardan şarta bağlı olan ve olmayan alacaklar</w:t>
            </w:r>
          </w:p>
        </w:tc>
        <w:tc>
          <w:tcPr>
            <w:tcW w:w="1559" w:type="dxa"/>
            <w:tcBorders>
              <w:top w:val="nil"/>
              <w:left w:val="nil"/>
              <w:bottom w:val="nil"/>
              <w:right w:val="nil"/>
            </w:tcBorders>
            <w:shd w:val="clear" w:color="auto" w:fill="auto"/>
            <w:noWrap/>
            <w:vAlign w:val="center"/>
            <w:hideMark/>
          </w:tcPr>
          <w:p w14:paraId="24197DCC" w14:textId="0DEDB4C9" w:rsidR="00697C8C" w:rsidRPr="00005453" w:rsidRDefault="00697C8C" w:rsidP="00697C8C">
            <w:pPr>
              <w:jc w:val="right"/>
              <w:rPr>
                <w:color w:val="000000"/>
                <w:sz w:val="18"/>
                <w:szCs w:val="18"/>
              </w:rPr>
            </w:pPr>
            <w:r w:rsidRPr="00005453">
              <w:rPr>
                <w:color w:val="000000"/>
                <w:sz w:val="18"/>
                <w:szCs w:val="18"/>
              </w:rPr>
              <w:t>-</w:t>
            </w:r>
          </w:p>
        </w:tc>
        <w:tc>
          <w:tcPr>
            <w:tcW w:w="1276" w:type="dxa"/>
            <w:tcBorders>
              <w:top w:val="nil"/>
              <w:left w:val="nil"/>
              <w:bottom w:val="nil"/>
              <w:right w:val="nil"/>
            </w:tcBorders>
            <w:shd w:val="clear" w:color="auto" w:fill="auto"/>
            <w:noWrap/>
            <w:vAlign w:val="center"/>
            <w:hideMark/>
          </w:tcPr>
          <w:p w14:paraId="00FBBFD3" w14:textId="110E64F1" w:rsidR="00697C8C" w:rsidRPr="00005453" w:rsidRDefault="00697C8C" w:rsidP="00697C8C">
            <w:pPr>
              <w:jc w:val="right"/>
              <w:rPr>
                <w:color w:val="000000"/>
                <w:sz w:val="18"/>
                <w:szCs w:val="18"/>
              </w:rPr>
            </w:pPr>
            <w:r w:rsidRPr="00005453">
              <w:rPr>
                <w:color w:val="000000"/>
                <w:sz w:val="18"/>
                <w:szCs w:val="18"/>
              </w:rPr>
              <w:t>-</w:t>
            </w:r>
          </w:p>
        </w:tc>
      </w:tr>
      <w:tr w:rsidR="00697C8C" w:rsidRPr="00005453" w14:paraId="4E7C23A0"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2E828181" w14:textId="77777777" w:rsidR="00697C8C" w:rsidRPr="00005453" w:rsidRDefault="00697C8C" w:rsidP="00697C8C">
            <w:pPr>
              <w:rPr>
                <w:color w:val="000000"/>
                <w:sz w:val="18"/>
                <w:szCs w:val="18"/>
                <w:lang w:eastAsia="tr-TR"/>
              </w:rPr>
            </w:pPr>
            <w:r w:rsidRPr="00005453">
              <w:rPr>
                <w:color w:val="000000"/>
                <w:sz w:val="18"/>
                <w:szCs w:val="18"/>
                <w:lang w:eastAsia="tr-TR"/>
              </w:rPr>
              <w:t>Bankalar ve aracı kurumlardan şarta bağlı olan ve olmayan alacaklar</w:t>
            </w:r>
          </w:p>
        </w:tc>
        <w:tc>
          <w:tcPr>
            <w:tcW w:w="1559" w:type="dxa"/>
            <w:tcBorders>
              <w:top w:val="nil"/>
              <w:left w:val="nil"/>
              <w:bottom w:val="nil"/>
              <w:right w:val="nil"/>
            </w:tcBorders>
            <w:shd w:val="clear" w:color="auto" w:fill="auto"/>
            <w:noWrap/>
            <w:vAlign w:val="center"/>
            <w:hideMark/>
          </w:tcPr>
          <w:p w14:paraId="5FAEEEA1" w14:textId="5CDEB8F8" w:rsidR="00697C8C" w:rsidRPr="00005453" w:rsidRDefault="00697C8C" w:rsidP="00697C8C">
            <w:pPr>
              <w:jc w:val="right"/>
              <w:rPr>
                <w:color w:val="000000"/>
                <w:sz w:val="18"/>
                <w:szCs w:val="18"/>
              </w:rPr>
            </w:pPr>
            <w:r w:rsidRPr="00005453">
              <w:rPr>
                <w:color w:val="000000"/>
                <w:sz w:val="18"/>
                <w:szCs w:val="18"/>
              </w:rPr>
              <w:t>30,092,335</w:t>
            </w:r>
          </w:p>
        </w:tc>
        <w:tc>
          <w:tcPr>
            <w:tcW w:w="1276" w:type="dxa"/>
            <w:tcBorders>
              <w:top w:val="nil"/>
              <w:left w:val="nil"/>
              <w:bottom w:val="nil"/>
              <w:right w:val="nil"/>
            </w:tcBorders>
            <w:shd w:val="clear" w:color="auto" w:fill="auto"/>
            <w:noWrap/>
            <w:vAlign w:val="center"/>
            <w:hideMark/>
          </w:tcPr>
          <w:p w14:paraId="55057C3D" w14:textId="0C7B0F5C" w:rsidR="00697C8C" w:rsidRPr="00005453" w:rsidRDefault="00697C8C" w:rsidP="00697C8C">
            <w:pPr>
              <w:jc w:val="right"/>
              <w:rPr>
                <w:color w:val="000000"/>
                <w:sz w:val="18"/>
                <w:szCs w:val="18"/>
              </w:rPr>
            </w:pPr>
            <w:r w:rsidRPr="00005453">
              <w:rPr>
                <w:color w:val="000000"/>
                <w:sz w:val="18"/>
                <w:szCs w:val="18"/>
              </w:rPr>
              <w:t>43,288,758</w:t>
            </w:r>
          </w:p>
        </w:tc>
      </w:tr>
      <w:tr w:rsidR="00697C8C" w:rsidRPr="00005453" w14:paraId="367E30E5"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0B6F8772" w14:textId="77777777" w:rsidR="00697C8C" w:rsidRPr="00005453" w:rsidRDefault="00697C8C" w:rsidP="00697C8C">
            <w:pPr>
              <w:rPr>
                <w:color w:val="000000"/>
                <w:sz w:val="18"/>
                <w:szCs w:val="18"/>
                <w:lang w:eastAsia="tr-TR"/>
              </w:rPr>
            </w:pPr>
            <w:r w:rsidRPr="00005453">
              <w:rPr>
                <w:color w:val="000000"/>
                <w:sz w:val="18"/>
                <w:szCs w:val="18"/>
                <w:lang w:eastAsia="tr-TR"/>
              </w:rPr>
              <w:t>Şarta bağlı olan ve olmayan kurumsal alacaklar</w:t>
            </w:r>
          </w:p>
        </w:tc>
        <w:tc>
          <w:tcPr>
            <w:tcW w:w="1559" w:type="dxa"/>
            <w:tcBorders>
              <w:top w:val="nil"/>
              <w:left w:val="nil"/>
              <w:bottom w:val="nil"/>
              <w:right w:val="nil"/>
            </w:tcBorders>
            <w:shd w:val="clear" w:color="auto" w:fill="auto"/>
            <w:noWrap/>
            <w:vAlign w:val="center"/>
            <w:hideMark/>
          </w:tcPr>
          <w:p w14:paraId="50ABDD7B" w14:textId="37C5F4CD" w:rsidR="00697C8C" w:rsidRPr="00005453" w:rsidRDefault="00697C8C" w:rsidP="00697C8C">
            <w:pPr>
              <w:jc w:val="right"/>
              <w:rPr>
                <w:color w:val="000000"/>
                <w:sz w:val="18"/>
                <w:szCs w:val="18"/>
              </w:rPr>
            </w:pPr>
            <w:r w:rsidRPr="00005453">
              <w:rPr>
                <w:color w:val="000000"/>
                <w:sz w:val="18"/>
                <w:szCs w:val="18"/>
              </w:rPr>
              <w:t>170,849,138</w:t>
            </w:r>
          </w:p>
        </w:tc>
        <w:tc>
          <w:tcPr>
            <w:tcW w:w="1276" w:type="dxa"/>
            <w:tcBorders>
              <w:top w:val="nil"/>
              <w:left w:val="nil"/>
              <w:bottom w:val="nil"/>
              <w:right w:val="nil"/>
            </w:tcBorders>
            <w:shd w:val="clear" w:color="auto" w:fill="auto"/>
            <w:noWrap/>
            <w:vAlign w:val="center"/>
            <w:hideMark/>
          </w:tcPr>
          <w:p w14:paraId="6C5C92F2" w14:textId="69B41491" w:rsidR="00697C8C" w:rsidRPr="00005453" w:rsidRDefault="00697C8C" w:rsidP="00697C8C">
            <w:pPr>
              <w:jc w:val="right"/>
              <w:rPr>
                <w:color w:val="000000"/>
                <w:sz w:val="18"/>
                <w:szCs w:val="18"/>
              </w:rPr>
            </w:pPr>
            <w:r w:rsidRPr="00005453">
              <w:rPr>
                <w:color w:val="000000"/>
                <w:sz w:val="18"/>
                <w:szCs w:val="18"/>
              </w:rPr>
              <w:t>132,656,635</w:t>
            </w:r>
          </w:p>
        </w:tc>
      </w:tr>
      <w:tr w:rsidR="00697C8C" w:rsidRPr="00005453" w14:paraId="7BE45D7B"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22269916" w14:textId="77777777" w:rsidR="00697C8C" w:rsidRPr="00005453" w:rsidRDefault="00697C8C" w:rsidP="00697C8C">
            <w:pPr>
              <w:rPr>
                <w:color w:val="000000"/>
                <w:sz w:val="18"/>
                <w:szCs w:val="18"/>
                <w:lang w:eastAsia="tr-TR"/>
              </w:rPr>
            </w:pPr>
            <w:r w:rsidRPr="00005453">
              <w:rPr>
                <w:color w:val="000000"/>
                <w:sz w:val="18"/>
                <w:szCs w:val="18"/>
                <w:lang w:eastAsia="tr-TR"/>
              </w:rPr>
              <w:t>Şarta bağlı olan ve olmayan perakende alacaklar</w:t>
            </w:r>
          </w:p>
        </w:tc>
        <w:tc>
          <w:tcPr>
            <w:tcW w:w="1559" w:type="dxa"/>
            <w:tcBorders>
              <w:top w:val="nil"/>
              <w:left w:val="nil"/>
              <w:bottom w:val="nil"/>
              <w:right w:val="nil"/>
            </w:tcBorders>
            <w:shd w:val="clear" w:color="auto" w:fill="auto"/>
            <w:noWrap/>
            <w:vAlign w:val="center"/>
            <w:hideMark/>
          </w:tcPr>
          <w:p w14:paraId="3DCB96F1" w14:textId="763D4CB5" w:rsidR="00697C8C" w:rsidRPr="00005453" w:rsidRDefault="00697C8C" w:rsidP="00697C8C">
            <w:pPr>
              <w:jc w:val="right"/>
              <w:rPr>
                <w:color w:val="000000"/>
                <w:sz w:val="18"/>
                <w:szCs w:val="18"/>
              </w:rPr>
            </w:pPr>
            <w:r w:rsidRPr="00005453">
              <w:rPr>
                <w:color w:val="000000"/>
                <w:sz w:val="18"/>
                <w:szCs w:val="18"/>
              </w:rPr>
              <w:t>80,854,760</w:t>
            </w:r>
          </w:p>
        </w:tc>
        <w:tc>
          <w:tcPr>
            <w:tcW w:w="1276" w:type="dxa"/>
            <w:tcBorders>
              <w:top w:val="nil"/>
              <w:left w:val="nil"/>
              <w:bottom w:val="nil"/>
              <w:right w:val="nil"/>
            </w:tcBorders>
            <w:shd w:val="clear" w:color="auto" w:fill="auto"/>
            <w:noWrap/>
            <w:vAlign w:val="center"/>
            <w:hideMark/>
          </w:tcPr>
          <w:p w14:paraId="466A6CFF" w14:textId="38117DF6" w:rsidR="00697C8C" w:rsidRPr="00005453" w:rsidRDefault="00697C8C" w:rsidP="00697C8C">
            <w:pPr>
              <w:jc w:val="right"/>
              <w:rPr>
                <w:color w:val="000000"/>
                <w:sz w:val="18"/>
                <w:szCs w:val="18"/>
              </w:rPr>
            </w:pPr>
            <w:r w:rsidRPr="00005453">
              <w:rPr>
                <w:color w:val="000000"/>
                <w:sz w:val="18"/>
                <w:szCs w:val="18"/>
              </w:rPr>
              <w:t>64,496,083</w:t>
            </w:r>
          </w:p>
        </w:tc>
      </w:tr>
      <w:tr w:rsidR="00697C8C" w:rsidRPr="00005453" w14:paraId="2BA14DF5"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02E338A4" w14:textId="20CAD92C" w:rsidR="00697C8C" w:rsidRPr="00005453" w:rsidRDefault="00697C8C" w:rsidP="00697C8C">
            <w:pPr>
              <w:rPr>
                <w:color w:val="000000"/>
                <w:sz w:val="18"/>
                <w:szCs w:val="18"/>
                <w:lang w:eastAsia="tr-TR"/>
              </w:rPr>
            </w:pPr>
            <w:r w:rsidRPr="00005453">
              <w:rPr>
                <w:color w:val="000000"/>
                <w:sz w:val="18"/>
                <w:szCs w:val="18"/>
                <w:lang w:eastAsia="tr-TR"/>
              </w:rPr>
              <w:t>Şarta bağlı olan ve olmayan gayrimenkul ipoteğiyle teminatlandırılmış alacaklar</w:t>
            </w:r>
          </w:p>
        </w:tc>
        <w:tc>
          <w:tcPr>
            <w:tcW w:w="1559" w:type="dxa"/>
            <w:tcBorders>
              <w:top w:val="nil"/>
              <w:left w:val="nil"/>
              <w:bottom w:val="nil"/>
              <w:right w:val="nil"/>
            </w:tcBorders>
            <w:shd w:val="clear" w:color="auto" w:fill="auto"/>
            <w:noWrap/>
            <w:vAlign w:val="center"/>
            <w:hideMark/>
          </w:tcPr>
          <w:p w14:paraId="62008FEB" w14:textId="0B72AF8C" w:rsidR="00697C8C" w:rsidRPr="00005453" w:rsidRDefault="00697C8C" w:rsidP="00697C8C">
            <w:pPr>
              <w:jc w:val="right"/>
              <w:rPr>
                <w:color w:val="000000"/>
                <w:sz w:val="18"/>
                <w:szCs w:val="18"/>
              </w:rPr>
            </w:pPr>
            <w:r w:rsidRPr="00005453">
              <w:rPr>
                <w:color w:val="000000"/>
                <w:sz w:val="18"/>
                <w:szCs w:val="18"/>
              </w:rPr>
              <w:t>101,796,609</w:t>
            </w:r>
          </w:p>
        </w:tc>
        <w:tc>
          <w:tcPr>
            <w:tcW w:w="1276" w:type="dxa"/>
            <w:tcBorders>
              <w:top w:val="nil"/>
              <w:left w:val="nil"/>
              <w:bottom w:val="nil"/>
              <w:right w:val="nil"/>
            </w:tcBorders>
            <w:shd w:val="clear" w:color="auto" w:fill="auto"/>
            <w:noWrap/>
            <w:vAlign w:val="center"/>
            <w:hideMark/>
          </w:tcPr>
          <w:p w14:paraId="4A9E07E2" w14:textId="2FB02EAF" w:rsidR="00697C8C" w:rsidRPr="00005453" w:rsidRDefault="00697C8C" w:rsidP="00697C8C">
            <w:pPr>
              <w:jc w:val="right"/>
              <w:rPr>
                <w:color w:val="000000"/>
                <w:sz w:val="18"/>
                <w:szCs w:val="18"/>
              </w:rPr>
            </w:pPr>
            <w:r w:rsidRPr="00005453">
              <w:rPr>
                <w:color w:val="000000"/>
                <w:sz w:val="18"/>
                <w:szCs w:val="18"/>
              </w:rPr>
              <w:t>77,476,549</w:t>
            </w:r>
          </w:p>
        </w:tc>
      </w:tr>
      <w:tr w:rsidR="00697C8C" w:rsidRPr="00005453" w14:paraId="7515B87C"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0A14E01E" w14:textId="77777777" w:rsidR="00697C8C" w:rsidRPr="00005453" w:rsidRDefault="00697C8C" w:rsidP="00697C8C">
            <w:pPr>
              <w:rPr>
                <w:color w:val="000000"/>
                <w:sz w:val="18"/>
                <w:szCs w:val="18"/>
                <w:lang w:eastAsia="tr-TR"/>
              </w:rPr>
            </w:pPr>
            <w:r w:rsidRPr="00005453">
              <w:rPr>
                <w:color w:val="000000"/>
                <w:sz w:val="18"/>
                <w:szCs w:val="18"/>
                <w:lang w:eastAsia="tr-TR"/>
              </w:rPr>
              <w:t>Tahsili gecikmiş alacaklar</w:t>
            </w:r>
          </w:p>
        </w:tc>
        <w:tc>
          <w:tcPr>
            <w:tcW w:w="1559" w:type="dxa"/>
            <w:tcBorders>
              <w:top w:val="nil"/>
              <w:left w:val="nil"/>
              <w:bottom w:val="nil"/>
              <w:right w:val="nil"/>
            </w:tcBorders>
            <w:shd w:val="clear" w:color="auto" w:fill="auto"/>
            <w:noWrap/>
            <w:vAlign w:val="center"/>
            <w:hideMark/>
          </w:tcPr>
          <w:p w14:paraId="5DE697B1" w14:textId="4CA2B48C" w:rsidR="00697C8C" w:rsidRPr="00005453" w:rsidRDefault="00697C8C" w:rsidP="00697C8C">
            <w:pPr>
              <w:jc w:val="right"/>
              <w:rPr>
                <w:sz w:val="18"/>
                <w:szCs w:val="18"/>
              </w:rPr>
            </w:pPr>
            <w:r w:rsidRPr="00005453">
              <w:rPr>
                <w:sz w:val="18"/>
                <w:szCs w:val="18"/>
              </w:rPr>
              <w:t>518,076</w:t>
            </w:r>
          </w:p>
        </w:tc>
        <w:tc>
          <w:tcPr>
            <w:tcW w:w="1276" w:type="dxa"/>
            <w:tcBorders>
              <w:top w:val="nil"/>
              <w:left w:val="nil"/>
              <w:bottom w:val="nil"/>
              <w:right w:val="nil"/>
            </w:tcBorders>
            <w:shd w:val="clear" w:color="auto" w:fill="auto"/>
            <w:noWrap/>
            <w:vAlign w:val="center"/>
            <w:hideMark/>
          </w:tcPr>
          <w:p w14:paraId="7256555D" w14:textId="1510DFBC" w:rsidR="00697C8C" w:rsidRPr="00005453" w:rsidRDefault="00697C8C" w:rsidP="00697C8C">
            <w:pPr>
              <w:jc w:val="right"/>
              <w:rPr>
                <w:sz w:val="18"/>
                <w:szCs w:val="18"/>
              </w:rPr>
            </w:pPr>
            <w:r w:rsidRPr="00005453">
              <w:rPr>
                <w:sz w:val="18"/>
                <w:szCs w:val="18"/>
              </w:rPr>
              <w:t>330,733</w:t>
            </w:r>
          </w:p>
        </w:tc>
      </w:tr>
      <w:tr w:rsidR="00697C8C" w:rsidRPr="00005453" w14:paraId="4B2D087A"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5D5355DF" w14:textId="77777777" w:rsidR="00697C8C" w:rsidRPr="00005453" w:rsidRDefault="00697C8C" w:rsidP="00697C8C">
            <w:pPr>
              <w:rPr>
                <w:color w:val="000000"/>
                <w:sz w:val="18"/>
                <w:szCs w:val="18"/>
                <w:lang w:eastAsia="tr-TR"/>
              </w:rPr>
            </w:pPr>
            <w:r w:rsidRPr="00005453">
              <w:rPr>
                <w:color w:val="000000"/>
                <w:sz w:val="18"/>
                <w:szCs w:val="18"/>
                <w:lang w:eastAsia="tr-TR"/>
              </w:rPr>
              <w:t>Kurulca riski yüksek olarak belirlenen alacaklar</w:t>
            </w:r>
          </w:p>
        </w:tc>
        <w:tc>
          <w:tcPr>
            <w:tcW w:w="1559" w:type="dxa"/>
            <w:tcBorders>
              <w:top w:val="nil"/>
              <w:left w:val="nil"/>
              <w:bottom w:val="nil"/>
              <w:right w:val="nil"/>
            </w:tcBorders>
            <w:shd w:val="clear" w:color="auto" w:fill="auto"/>
            <w:noWrap/>
            <w:vAlign w:val="center"/>
            <w:hideMark/>
          </w:tcPr>
          <w:p w14:paraId="61122A58" w14:textId="69925C84" w:rsidR="00697C8C" w:rsidRPr="00005453" w:rsidRDefault="00697C8C" w:rsidP="00697C8C">
            <w:pPr>
              <w:jc w:val="right"/>
              <w:rPr>
                <w:sz w:val="18"/>
                <w:szCs w:val="18"/>
              </w:rPr>
            </w:pPr>
            <w:r w:rsidRPr="00005453">
              <w:rPr>
                <w:sz w:val="18"/>
                <w:szCs w:val="18"/>
              </w:rPr>
              <w:t>1,593,687</w:t>
            </w:r>
          </w:p>
        </w:tc>
        <w:tc>
          <w:tcPr>
            <w:tcW w:w="1276" w:type="dxa"/>
            <w:tcBorders>
              <w:top w:val="nil"/>
              <w:left w:val="nil"/>
              <w:bottom w:val="nil"/>
              <w:right w:val="nil"/>
            </w:tcBorders>
            <w:shd w:val="clear" w:color="auto" w:fill="auto"/>
            <w:noWrap/>
            <w:vAlign w:val="center"/>
            <w:hideMark/>
          </w:tcPr>
          <w:p w14:paraId="10EF661C" w14:textId="642971C3" w:rsidR="00697C8C" w:rsidRPr="00005453" w:rsidRDefault="00697C8C" w:rsidP="00697C8C">
            <w:pPr>
              <w:jc w:val="right"/>
              <w:rPr>
                <w:sz w:val="18"/>
                <w:szCs w:val="18"/>
              </w:rPr>
            </w:pPr>
            <w:r w:rsidRPr="00005453">
              <w:rPr>
                <w:sz w:val="18"/>
                <w:szCs w:val="18"/>
              </w:rPr>
              <w:t>31,437,246</w:t>
            </w:r>
          </w:p>
        </w:tc>
      </w:tr>
      <w:tr w:rsidR="00697C8C" w:rsidRPr="00005453" w14:paraId="2078E3CE"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19AB1507" w14:textId="2B83C8FD" w:rsidR="00697C8C" w:rsidRPr="00005453" w:rsidRDefault="00697C8C" w:rsidP="00697C8C">
            <w:pPr>
              <w:rPr>
                <w:color w:val="000000"/>
                <w:sz w:val="18"/>
                <w:szCs w:val="18"/>
                <w:lang w:eastAsia="tr-TR"/>
              </w:rPr>
            </w:pPr>
            <w:r w:rsidRPr="00005453">
              <w:rPr>
                <w:color w:val="000000"/>
                <w:sz w:val="18"/>
                <w:szCs w:val="18"/>
                <w:lang w:eastAsia="tr-TR"/>
              </w:rPr>
              <w:t>Teminatlı menkul kıymetler</w:t>
            </w:r>
          </w:p>
        </w:tc>
        <w:tc>
          <w:tcPr>
            <w:tcW w:w="1559" w:type="dxa"/>
            <w:tcBorders>
              <w:top w:val="nil"/>
              <w:left w:val="nil"/>
              <w:bottom w:val="nil"/>
              <w:right w:val="nil"/>
            </w:tcBorders>
            <w:shd w:val="clear" w:color="auto" w:fill="auto"/>
            <w:noWrap/>
            <w:vAlign w:val="center"/>
            <w:hideMark/>
          </w:tcPr>
          <w:p w14:paraId="535265D0" w14:textId="44C45FDD" w:rsidR="00697C8C" w:rsidRPr="00005453" w:rsidRDefault="00697C8C" w:rsidP="00697C8C">
            <w:pPr>
              <w:jc w:val="right"/>
              <w:rPr>
                <w:sz w:val="18"/>
                <w:szCs w:val="18"/>
              </w:rPr>
            </w:pPr>
            <w:r w:rsidRPr="00005453">
              <w:rPr>
                <w:sz w:val="18"/>
                <w:szCs w:val="18"/>
              </w:rPr>
              <w:t>-</w:t>
            </w:r>
          </w:p>
        </w:tc>
        <w:tc>
          <w:tcPr>
            <w:tcW w:w="1276" w:type="dxa"/>
            <w:tcBorders>
              <w:top w:val="nil"/>
              <w:left w:val="nil"/>
              <w:bottom w:val="nil"/>
              <w:right w:val="nil"/>
            </w:tcBorders>
            <w:shd w:val="clear" w:color="auto" w:fill="auto"/>
            <w:noWrap/>
            <w:vAlign w:val="center"/>
            <w:hideMark/>
          </w:tcPr>
          <w:p w14:paraId="1B18C637" w14:textId="28C93692" w:rsidR="00697C8C" w:rsidRPr="00005453" w:rsidRDefault="00697C8C" w:rsidP="00697C8C">
            <w:pPr>
              <w:jc w:val="right"/>
              <w:rPr>
                <w:sz w:val="18"/>
                <w:szCs w:val="18"/>
              </w:rPr>
            </w:pPr>
            <w:r w:rsidRPr="00005453">
              <w:rPr>
                <w:sz w:val="18"/>
                <w:szCs w:val="18"/>
              </w:rPr>
              <w:t>-</w:t>
            </w:r>
          </w:p>
        </w:tc>
      </w:tr>
      <w:tr w:rsidR="00697C8C" w:rsidRPr="00005453" w14:paraId="667B9B9E"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58C815AC" w14:textId="77777777" w:rsidR="00697C8C" w:rsidRPr="00005453" w:rsidRDefault="00697C8C" w:rsidP="00697C8C">
            <w:pPr>
              <w:rPr>
                <w:color w:val="000000"/>
                <w:sz w:val="18"/>
                <w:szCs w:val="18"/>
                <w:lang w:eastAsia="tr-TR"/>
              </w:rPr>
            </w:pPr>
            <w:r w:rsidRPr="00005453">
              <w:rPr>
                <w:color w:val="000000"/>
                <w:sz w:val="18"/>
                <w:szCs w:val="18"/>
                <w:lang w:eastAsia="tr-TR"/>
              </w:rPr>
              <w:t>Menkul kıymetleştirme pozisyonları</w:t>
            </w:r>
          </w:p>
        </w:tc>
        <w:tc>
          <w:tcPr>
            <w:tcW w:w="1559" w:type="dxa"/>
            <w:tcBorders>
              <w:top w:val="nil"/>
              <w:left w:val="nil"/>
              <w:bottom w:val="nil"/>
              <w:right w:val="nil"/>
            </w:tcBorders>
            <w:shd w:val="clear" w:color="auto" w:fill="auto"/>
            <w:noWrap/>
            <w:vAlign w:val="center"/>
            <w:hideMark/>
          </w:tcPr>
          <w:p w14:paraId="0EF45E66" w14:textId="7AEB4549" w:rsidR="00697C8C" w:rsidRPr="00005453" w:rsidRDefault="00697C8C" w:rsidP="00697C8C">
            <w:pPr>
              <w:jc w:val="right"/>
              <w:rPr>
                <w:sz w:val="18"/>
                <w:szCs w:val="18"/>
              </w:rPr>
            </w:pPr>
            <w:r w:rsidRPr="00005453">
              <w:rPr>
                <w:sz w:val="18"/>
                <w:szCs w:val="18"/>
              </w:rPr>
              <w:t>-</w:t>
            </w:r>
          </w:p>
        </w:tc>
        <w:tc>
          <w:tcPr>
            <w:tcW w:w="1276" w:type="dxa"/>
            <w:tcBorders>
              <w:top w:val="nil"/>
              <w:left w:val="nil"/>
              <w:bottom w:val="nil"/>
              <w:right w:val="nil"/>
            </w:tcBorders>
            <w:shd w:val="clear" w:color="auto" w:fill="auto"/>
            <w:noWrap/>
            <w:vAlign w:val="center"/>
            <w:hideMark/>
          </w:tcPr>
          <w:p w14:paraId="4FD62CA5" w14:textId="315B59FD" w:rsidR="00697C8C" w:rsidRPr="00005453" w:rsidRDefault="00697C8C" w:rsidP="00697C8C">
            <w:pPr>
              <w:jc w:val="right"/>
              <w:rPr>
                <w:sz w:val="18"/>
                <w:szCs w:val="18"/>
              </w:rPr>
            </w:pPr>
            <w:r w:rsidRPr="00005453">
              <w:rPr>
                <w:sz w:val="18"/>
                <w:szCs w:val="18"/>
              </w:rPr>
              <w:t>-</w:t>
            </w:r>
          </w:p>
        </w:tc>
      </w:tr>
      <w:tr w:rsidR="00697C8C" w:rsidRPr="00005453" w14:paraId="36531548"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2F0DE8E5" w14:textId="77777777" w:rsidR="00697C8C" w:rsidRPr="00005453" w:rsidRDefault="00697C8C" w:rsidP="00697C8C">
            <w:pPr>
              <w:rPr>
                <w:color w:val="000000"/>
                <w:sz w:val="18"/>
                <w:szCs w:val="18"/>
                <w:lang w:eastAsia="tr-TR"/>
              </w:rPr>
            </w:pPr>
            <w:r w:rsidRPr="00005453">
              <w:rPr>
                <w:color w:val="000000"/>
                <w:sz w:val="18"/>
                <w:szCs w:val="18"/>
                <w:lang w:eastAsia="tr-TR"/>
              </w:rPr>
              <w:t>Bankalar ve aracı kurumlardan olan kısa vadeli alacaklar ile kısa vadeli kurumsal alacaklar</w:t>
            </w:r>
          </w:p>
        </w:tc>
        <w:tc>
          <w:tcPr>
            <w:tcW w:w="1559" w:type="dxa"/>
            <w:tcBorders>
              <w:top w:val="nil"/>
              <w:left w:val="nil"/>
              <w:bottom w:val="nil"/>
              <w:right w:val="nil"/>
            </w:tcBorders>
            <w:shd w:val="clear" w:color="auto" w:fill="auto"/>
            <w:noWrap/>
            <w:vAlign w:val="center"/>
            <w:hideMark/>
          </w:tcPr>
          <w:p w14:paraId="43AC73A1" w14:textId="1B7F0C01" w:rsidR="00697C8C" w:rsidRPr="00005453" w:rsidRDefault="00697C8C" w:rsidP="00697C8C">
            <w:pPr>
              <w:jc w:val="right"/>
              <w:rPr>
                <w:sz w:val="18"/>
                <w:szCs w:val="18"/>
              </w:rPr>
            </w:pPr>
            <w:r w:rsidRPr="00005453">
              <w:rPr>
                <w:sz w:val="18"/>
                <w:szCs w:val="18"/>
              </w:rPr>
              <w:t>-</w:t>
            </w:r>
          </w:p>
        </w:tc>
        <w:tc>
          <w:tcPr>
            <w:tcW w:w="1276" w:type="dxa"/>
            <w:tcBorders>
              <w:top w:val="nil"/>
              <w:left w:val="nil"/>
              <w:bottom w:val="nil"/>
              <w:right w:val="nil"/>
            </w:tcBorders>
            <w:shd w:val="clear" w:color="auto" w:fill="auto"/>
            <w:noWrap/>
            <w:vAlign w:val="center"/>
            <w:hideMark/>
          </w:tcPr>
          <w:p w14:paraId="49DCCA8B" w14:textId="31DA7A8A" w:rsidR="00697C8C" w:rsidRPr="00005453" w:rsidRDefault="00697C8C" w:rsidP="00697C8C">
            <w:pPr>
              <w:jc w:val="right"/>
              <w:rPr>
                <w:sz w:val="18"/>
                <w:szCs w:val="18"/>
              </w:rPr>
            </w:pPr>
            <w:r w:rsidRPr="00005453">
              <w:rPr>
                <w:sz w:val="18"/>
                <w:szCs w:val="18"/>
              </w:rPr>
              <w:t>-</w:t>
            </w:r>
          </w:p>
        </w:tc>
      </w:tr>
      <w:tr w:rsidR="00697C8C" w:rsidRPr="00005453" w14:paraId="60EEC543"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2C643C61" w14:textId="77777777" w:rsidR="00697C8C" w:rsidRPr="00005453" w:rsidRDefault="00697C8C" w:rsidP="00697C8C">
            <w:pPr>
              <w:rPr>
                <w:color w:val="000000"/>
                <w:sz w:val="18"/>
                <w:szCs w:val="18"/>
                <w:lang w:eastAsia="tr-TR"/>
              </w:rPr>
            </w:pPr>
            <w:r w:rsidRPr="00005453">
              <w:rPr>
                <w:color w:val="000000"/>
                <w:sz w:val="18"/>
                <w:szCs w:val="18"/>
                <w:lang w:eastAsia="tr-TR"/>
              </w:rPr>
              <w:t>Kolektif yatırım kuruluşu niteliğindeki yatırımlar</w:t>
            </w:r>
          </w:p>
        </w:tc>
        <w:tc>
          <w:tcPr>
            <w:tcW w:w="1559" w:type="dxa"/>
            <w:tcBorders>
              <w:top w:val="nil"/>
              <w:left w:val="nil"/>
              <w:bottom w:val="nil"/>
              <w:right w:val="nil"/>
            </w:tcBorders>
            <w:shd w:val="clear" w:color="auto" w:fill="auto"/>
            <w:noWrap/>
            <w:vAlign w:val="center"/>
            <w:hideMark/>
          </w:tcPr>
          <w:p w14:paraId="1C6D2B2F" w14:textId="3FA227A3" w:rsidR="00697C8C" w:rsidRPr="00005453" w:rsidRDefault="00697C8C" w:rsidP="00697C8C">
            <w:pPr>
              <w:jc w:val="right"/>
              <w:rPr>
                <w:sz w:val="18"/>
                <w:szCs w:val="18"/>
              </w:rPr>
            </w:pPr>
            <w:r w:rsidRPr="00005453">
              <w:rPr>
                <w:sz w:val="18"/>
                <w:szCs w:val="18"/>
              </w:rPr>
              <w:t>-</w:t>
            </w:r>
          </w:p>
        </w:tc>
        <w:tc>
          <w:tcPr>
            <w:tcW w:w="1276" w:type="dxa"/>
            <w:tcBorders>
              <w:top w:val="nil"/>
              <w:left w:val="nil"/>
              <w:bottom w:val="nil"/>
              <w:right w:val="nil"/>
            </w:tcBorders>
            <w:shd w:val="clear" w:color="auto" w:fill="auto"/>
            <w:noWrap/>
            <w:vAlign w:val="center"/>
            <w:hideMark/>
          </w:tcPr>
          <w:p w14:paraId="231E6AAA" w14:textId="43231895" w:rsidR="00697C8C" w:rsidRPr="00005453" w:rsidRDefault="00697C8C" w:rsidP="00697C8C">
            <w:pPr>
              <w:jc w:val="right"/>
              <w:rPr>
                <w:sz w:val="18"/>
                <w:szCs w:val="18"/>
              </w:rPr>
            </w:pPr>
            <w:r w:rsidRPr="00005453">
              <w:rPr>
                <w:sz w:val="18"/>
                <w:szCs w:val="18"/>
              </w:rPr>
              <w:t>-</w:t>
            </w:r>
          </w:p>
        </w:tc>
      </w:tr>
      <w:tr w:rsidR="00697C8C" w:rsidRPr="00005453" w14:paraId="0DE9D92C" w14:textId="77777777" w:rsidTr="00DB082B">
        <w:trPr>
          <w:divId w:val="1792481805"/>
          <w:trHeight w:val="20"/>
        </w:trPr>
        <w:tc>
          <w:tcPr>
            <w:tcW w:w="6663" w:type="dxa"/>
            <w:tcBorders>
              <w:top w:val="nil"/>
              <w:left w:val="nil"/>
              <w:bottom w:val="nil"/>
              <w:right w:val="nil"/>
            </w:tcBorders>
            <w:shd w:val="clear" w:color="auto" w:fill="auto"/>
            <w:noWrap/>
            <w:vAlign w:val="center"/>
            <w:hideMark/>
          </w:tcPr>
          <w:p w14:paraId="43127C72" w14:textId="77777777" w:rsidR="00697C8C" w:rsidRPr="00005453" w:rsidRDefault="00697C8C" w:rsidP="00697C8C">
            <w:pPr>
              <w:rPr>
                <w:color w:val="000000"/>
                <w:sz w:val="18"/>
                <w:szCs w:val="18"/>
                <w:lang w:eastAsia="tr-TR"/>
              </w:rPr>
            </w:pPr>
            <w:r w:rsidRPr="00005453">
              <w:rPr>
                <w:color w:val="000000"/>
                <w:sz w:val="18"/>
                <w:szCs w:val="18"/>
                <w:lang w:eastAsia="tr-TR"/>
              </w:rPr>
              <w:t>Hisse senedi yatırımları</w:t>
            </w:r>
          </w:p>
        </w:tc>
        <w:tc>
          <w:tcPr>
            <w:tcW w:w="1559" w:type="dxa"/>
            <w:tcBorders>
              <w:top w:val="nil"/>
              <w:left w:val="nil"/>
              <w:bottom w:val="nil"/>
              <w:right w:val="nil"/>
            </w:tcBorders>
            <w:shd w:val="clear" w:color="auto" w:fill="auto"/>
            <w:noWrap/>
            <w:vAlign w:val="center"/>
            <w:hideMark/>
          </w:tcPr>
          <w:p w14:paraId="373D0AD7" w14:textId="35749DB5" w:rsidR="00697C8C" w:rsidRPr="00005453" w:rsidRDefault="00697C8C" w:rsidP="00697C8C">
            <w:pPr>
              <w:jc w:val="right"/>
              <w:rPr>
                <w:sz w:val="18"/>
                <w:szCs w:val="18"/>
              </w:rPr>
            </w:pPr>
            <w:r w:rsidRPr="00005453">
              <w:rPr>
                <w:sz w:val="18"/>
                <w:szCs w:val="18"/>
              </w:rPr>
              <w:t>4,486,142</w:t>
            </w:r>
          </w:p>
        </w:tc>
        <w:tc>
          <w:tcPr>
            <w:tcW w:w="1276" w:type="dxa"/>
            <w:tcBorders>
              <w:top w:val="nil"/>
              <w:left w:val="nil"/>
              <w:bottom w:val="nil"/>
              <w:right w:val="nil"/>
            </w:tcBorders>
            <w:shd w:val="clear" w:color="auto" w:fill="auto"/>
            <w:noWrap/>
            <w:vAlign w:val="center"/>
            <w:hideMark/>
          </w:tcPr>
          <w:p w14:paraId="3BD5A363" w14:textId="1B706EE2" w:rsidR="00697C8C" w:rsidRPr="00005453" w:rsidRDefault="00697C8C" w:rsidP="00697C8C">
            <w:pPr>
              <w:jc w:val="right"/>
              <w:rPr>
                <w:sz w:val="18"/>
                <w:szCs w:val="18"/>
              </w:rPr>
            </w:pPr>
            <w:r w:rsidRPr="00005453">
              <w:rPr>
                <w:sz w:val="18"/>
                <w:szCs w:val="18"/>
              </w:rPr>
              <w:t>4,111,574</w:t>
            </w:r>
          </w:p>
        </w:tc>
      </w:tr>
      <w:tr w:rsidR="00697C8C" w:rsidRPr="00005453" w14:paraId="728D81B8" w14:textId="77777777" w:rsidTr="00DB082B">
        <w:trPr>
          <w:divId w:val="1792481805"/>
          <w:trHeight w:val="20"/>
        </w:trPr>
        <w:tc>
          <w:tcPr>
            <w:tcW w:w="6663" w:type="dxa"/>
            <w:tcBorders>
              <w:top w:val="nil"/>
              <w:left w:val="nil"/>
              <w:bottom w:val="single" w:sz="8" w:space="0" w:color="auto"/>
              <w:right w:val="nil"/>
            </w:tcBorders>
            <w:shd w:val="clear" w:color="auto" w:fill="auto"/>
            <w:noWrap/>
            <w:vAlign w:val="center"/>
            <w:hideMark/>
          </w:tcPr>
          <w:p w14:paraId="5F3D160B" w14:textId="77777777" w:rsidR="00697C8C" w:rsidRPr="00005453" w:rsidRDefault="00697C8C" w:rsidP="00697C8C">
            <w:pPr>
              <w:rPr>
                <w:color w:val="000000"/>
                <w:sz w:val="18"/>
                <w:szCs w:val="18"/>
                <w:lang w:eastAsia="tr-TR"/>
              </w:rPr>
            </w:pPr>
            <w:r w:rsidRPr="00005453">
              <w:rPr>
                <w:color w:val="000000"/>
                <w:sz w:val="18"/>
                <w:szCs w:val="18"/>
                <w:lang w:eastAsia="tr-TR"/>
              </w:rPr>
              <w:t>Diğer alacaklar</w:t>
            </w:r>
          </w:p>
        </w:tc>
        <w:tc>
          <w:tcPr>
            <w:tcW w:w="1559" w:type="dxa"/>
            <w:tcBorders>
              <w:top w:val="nil"/>
              <w:left w:val="nil"/>
              <w:bottom w:val="single" w:sz="8" w:space="0" w:color="auto"/>
              <w:right w:val="nil"/>
            </w:tcBorders>
            <w:shd w:val="clear" w:color="auto" w:fill="auto"/>
            <w:noWrap/>
            <w:vAlign w:val="center"/>
            <w:hideMark/>
          </w:tcPr>
          <w:p w14:paraId="45839284" w14:textId="43BEA83E" w:rsidR="00697C8C" w:rsidRPr="00005453" w:rsidRDefault="00697C8C" w:rsidP="00697C8C">
            <w:pPr>
              <w:jc w:val="right"/>
              <w:rPr>
                <w:sz w:val="18"/>
                <w:szCs w:val="18"/>
              </w:rPr>
            </w:pPr>
            <w:r w:rsidRPr="00005453">
              <w:rPr>
                <w:sz w:val="18"/>
                <w:szCs w:val="18"/>
              </w:rPr>
              <w:t>24,836,514</w:t>
            </w:r>
          </w:p>
        </w:tc>
        <w:tc>
          <w:tcPr>
            <w:tcW w:w="1276" w:type="dxa"/>
            <w:tcBorders>
              <w:top w:val="nil"/>
              <w:left w:val="nil"/>
              <w:bottom w:val="single" w:sz="8" w:space="0" w:color="auto"/>
              <w:right w:val="nil"/>
            </w:tcBorders>
            <w:shd w:val="clear" w:color="auto" w:fill="auto"/>
            <w:noWrap/>
            <w:vAlign w:val="center"/>
            <w:hideMark/>
          </w:tcPr>
          <w:p w14:paraId="6398A8B8" w14:textId="05128AA7" w:rsidR="00697C8C" w:rsidRPr="00005453" w:rsidRDefault="00697C8C" w:rsidP="00697C8C">
            <w:pPr>
              <w:jc w:val="right"/>
              <w:rPr>
                <w:sz w:val="18"/>
                <w:szCs w:val="18"/>
              </w:rPr>
            </w:pPr>
            <w:r w:rsidRPr="00005453">
              <w:rPr>
                <w:sz w:val="18"/>
                <w:szCs w:val="18"/>
              </w:rPr>
              <w:t>25,363,259</w:t>
            </w:r>
          </w:p>
        </w:tc>
      </w:tr>
      <w:tr w:rsidR="00697C8C" w:rsidRPr="00005453" w14:paraId="66755CC6" w14:textId="77777777" w:rsidTr="00DB082B">
        <w:trPr>
          <w:divId w:val="1792481805"/>
          <w:trHeight w:val="20"/>
        </w:trPr>
        <w:tc>
          <w:tcPr>
            <w:tcW w:w="6663" w:type="dxa"/>
            <w:tcBorders>
              <w:top w:val="nil"/>
              <w:left w:val="nil"/>
              <w:bottom w:val="double" w:sz="6" w:space="0" w:color="auto"/>
              <w:right w:val="nil"/>
            </w:tcBorders>
            <w:shd w:val="clear" w:color="auto" w:fill="auto"/>
            <w:noWrap/>
            <w:vAlign w:val="center"/>
            <w:hideMark/>
          </w:tcPr>
          <w:p w14:paraId="39B658BE" w14:textId="77777777" w:rsidR="00697C8C" w:rsidRPr="00005453" w:rsidRDefault="00697C8C" w:rsidP="00697C8C">
            <w:pPr>
              <w:rPr>
                <w:b/>
                <w:bCs/>
                <w:color w:val="000000"/>
                <w:sz w:val="18"/>
                <w:szCs w:val="18"/>
                <w:lang w:eastAsia="tr-TR"/>
              </w:rPr>
            </w:pPr>
            <w:r w:rsidRPr="00005453">
              <w:rPr>
                <w:b/>
                <w:bCs/>
                <w:color w:val="000000"/>
                <w:sz w:val="18"/>
                <w:szCs w:val="18"/>
                <w:lang w:eastAsia="tr-TR"/>
              </w:rPr>
              <w:t>Toplam</w:t>
            </w:r>
          </w:p>
        </w:tc>
        <w:tc>
          <w:tcPr>
            <w:tcW w:w="1559" w:type="dxa"/>
            <w:tcBorders>
              <w:top w:val="nil"/>
              <w:left w:val="nil"/>
              <w:bottom w:val="double" w:sz="6" w:space="0" w:color="auto"/>
              <w:right w:val="nil"/>
            </w:tcBorders>
            <w:shd w:val="clear" w:color="auto" w:fill="auto"/>
            <w:noWrap/>
            <w:vAlign w:val="center"/>
            <w:hideMark/>
          </w:tcPr>
          <w:p w14:paraId="23775641" w14:textId="06D8BEDC" w:rsidR="00697C8C" w:rsidRPr="00005453" w:rsidRDefault="00697C8C" w:rsidP="00697C8C">
            <w:pPr>
              <w:jc w:val="right"/>
              <w:rPr>
                <w:b/>
                <w:sz w:val="18"/>
                <w:szCs w:val="18"/>
              </w:rPr>
            </w:pPr>
            <w:r w:rsidRPr="00005453">
              <w:rPr>
                <w:b/>
                <w:bCs/>
                <w:sz w:val="18"/>
                <w:szCs w:val="18"/>
              </w:rPr>
              <w:t>679,900,509</w:t>
            </w:r>
          </w:p>
        </w:tc>
        <w:tc>
          <w:tcPr>
            <w:tcW w:w="1276" w:type="dxa"/>
            <w:tcBorders>
              <w:top w:val="nil"/>
              <w:left w:val="nil"/>
              <w:bottom w:val="double" w:sz="6" w:space="0" w:color="auto"/>
              <w:right w:val="nil"/>
            </w:tcBorders>
            <w:shd w:val="clear" w:color="auto" w:fill="auto"/>
            <w:noWrap/>
            <w:vAlign w:val="center"/>
            <w:hideMark/>
          </w:tcPr>
          <w:p w14:paraId="3434BE4D" w14:textId="674F15D2" w:rsidR="00697C8C" w:rsidRPr="00005453" w:rsidRDefault="00697C8C" w:rsidP="00697C8C">
            <w:pPr>
              <w:jc w:val="right"/>
              <w:rPr>
                <w:b/>
                <w:bCs/>
                <w:sz w:val="18"/>
                <w:szCs w:val="18"/>
              </w:rPr>
            </w:pPr>
            <w:r w:rsidRPr="00005453">
              <w:rPr>
                <w:b/>
                <w:bCs/>
                <w:sz w:val="18"/>
                <w:szCs w:val="18"/>
              </w:rPr>
              <w:t>619,289,667</w:t>
            </w:r>
          </w:p>
        </w:tc>
      </w:tr>
      <w:bookmarkEnd w:id="27"/>
    </w:tbl>
    <w:p w14:paraId="09089B42" w14:textId="77777777" w:rsidR="00DB082B" w:rsidRPr="00005453" w:rsidRDefault="00DB082B" w:rsidP="007303E9">
      <w:pPr>
        <w:autoSpaceDE w:val="0"/>
        <w:autoSpaceDN w:val="0"/>
        <w:adjustRightInd w:val="0"/>
        <w:jc w:val="both"/>
        <w:rPr>
          <w:sz w:val="16"/>
          <w:szCs w:val="16"/>
          <w:lang w:eastAsia="zh-CN"/>
        </w:rPr>
      </w:pPr>
    </w:p>
    <w:p w14:paraId="6D332C15" w14:textId="42CE8D1E" w:rsidR="007303E9" w:rsidRPr="00005453" w:rsidRDefault="007303E9" w:rsidP="007303E9">
      <w:pPr>
        <w:autoSpaceDE w:val="0"/>
        <w:autoSpaceDN w:val="0"/>
        <w:adjustRightInd w:val="0"/>
        <w:jc w:val="both"/>
        <w:rPr>
          <w:sz w:val="16"/>
          <w:szCs w:val="16"/>
          <w:lang w:eastAsia="zh-CN"/>
        </w:rPr>
      </w:pPr>
      <w:r w:rsidRPr="00005453">
        <w:rPr>
          <w:sz w:val="16"/>
          <w:szCs w:val="16"/>
          <w:lang w:eastAsia="zh-CN"/>
        </w:rPr>
        <w:t>(*)    Kredi riski azaltımı öncesi, krediye dönüşüm oranı sonrası risk tutarları verilmiştir.</w:t>
      </w:r>
    </w:p>
    <w:p w14:paraId="5F2F1817" w14:textId="77777777" w:rsidR="007303E9" w:rsidRPr="00005453" w:rsidRDefault="007303E9" w:rsidP="007303E9">
      <w:pPr>
        <w:autoSpaceDE w:val="0"/>
        <w:autoSpaceDN w:val="0"/>
        <w:adjustRightInd w:val="0"/>
        <w:jc w:val="both"/>
        <w:rPr>
          <w:sz w:val="16"/>
          <w:szCs w:val="16"/>
          <w:lang w:eastAsia="zh-CN"/>
        </w:rPr>
      </w:pPr>
      <w:r w:rsidRPr="00005453">
        <w:rPr>
          <w:sz w:val="16"/>
          <w:szCs w:val="16"/>
          <w:lang w:eastAsia="zh-CN"/>
        </w:rPr>
        <w:t>(**</w:t>
      </w:r>
      <w:proofErr w:type="gramStart"/>
      <w:r w:rsidRPr="00005453">
        <w:rPr>
          <w:sz w:val="16"/>
          <w:szCs w:val="16"/>
          <w:lang w:eastAsia="zh-CN"/>
        </w:rPr>
        <w:t>)  Ortalama</w:t>
      </w:r>
      <w:proofErr w:type="gramEnd"/>
      <w:r w:rsidRPr="00005453">
        <w:rPr>
          <w:sz w:val="16"/>
          <w:szCs w:val="16"/>
          <w:lang w:eastAsia="zh-CN"/>
        </w:rPr>
        <w:t xml:space="preserve"> risk tutarı, Bankaların Sermaye Yeterliliğinin Ölçülmesine ve Değerlendirilmesine İlişkin Yönetmelik uyarınca aylık olarak hazırlanan </w:t>
      </w:r>
    </w:p>
    <w:p w14:paraId="2CBC0AF1" w14:textId="77777777" w:rsidR="007303E9" w:rsidRPr="00005453" w:rsidRDefault="007303E9" w:rsidP="007303E9">
      <w:pPr>
        <w:autoSpaceDE w:val="0"/>
        <w:autoSpaceDN w:val="0"/>
        <w:adjustRightInd w:val="0"/>
        <w:jc w:val="both"/>
        <w:rPr>
          <w:sz w:val="16"/>
          <w:szCs w:val="16"/>
          <w:lang w:eastAsia="zh-CN"/>
        </w:rPr>
      </w:pPr>
      <w:r w:rsidRPr="00005453">
        <w:rPr>
          <w:sz w:val="16"/>
          <w:szCs w:val="16"/>
          <w:lang w:eastAsia="zh-CN"/>
        </w:rPr>
        <w:t xml:space="preserve">         </w:t>
      </w:r>
      <w:proofErr w:type="gramStart"/>
      <w:r w:rsidRPr="00005453">
        <w:rPr>
          <w:sz w:val="16"/>
          <w:szCs w:val="16"/>
          <w:lang w:eastAsia="zh-CN"/>
        </w:rPr>
        <w:t>raporlardaki</w:t>
      </w:r>
      <w:proofErr w:type="gramEnd"/>
      <w:r w:rsidRPr="00005453">
        <w:rPr>
          <w:sz w:val="16"/>
          <w:szCs w:val="16"/>
          <w:lang w:eastAsia="zh-CN"/>
        </w:rPr>
        <w:t xml:space="preserve"> değerlerin aritmetik ortalaması alınarak tespit edilmiştir.</w:t>
      </w:r>
    </w:p>
    <w:p w14:paraId="1C7E2FF5" w14:textId="079B55B1" w:rsidR="0054031F" w:rsidRPr="00005453" w:rsidRDefault="0054031F" w:rsidP="007303E9">
      <w:pPr>
        <w:spacing w:line="240" w:lineRule="exact"/>
      </w:pPr>
    </w:p>
    <w:tbl>
      <w:tblPr>
        <w:tblW w:w="9498" w:type="dxa"/>
        <w:tblCellMar>
          <w:left w:w="70" w:type="dxa"/>
          <w:right w:w="70" w:type="dxa"/>
        </w:tblCellMar>
        <w:tblLook w:val="04A0" w:firstRow="1" w:lastRow="0" w:firstColumn="1" w:lastColumn="0" w:noHBand="0" w:noVBand="1"/>
      </w:tblPr>
      <w:tblGrid>
        <w:gridCol w:w="6946"/>
        <w:gridCol w:w="1324"/>
        <w:gridCol w:w="1228"/>
      </w:tblGrid>
      <w:tr w:rsidR="00A42306" w:rsidRPr="00005453" w14:paraId="3217E141" w14:textId="77777777" w:rsidTr="00DB082B">
        <w:trPr>
          <w:divId w:val="1553420560"/>
          <w:trHeight w:val="20"/>
        </w:trPr>
        <w:tc>
          <w:tcPr>
            <w:tcW w:w="6946" w:type="dxa"/>
            <w:tcBorders>
              <w:top w:val="single" w:sz="8" w:space="0" w:color="auto"/>
              <w:left w:val="nil"/>
              <w:bottom w:val="nil"/>
              <w:right w:val="nil"/>
            </w:tcBorders>
            <w:shd w:val="clear" w:color="auto" w:fill="auto"/>
            <w:noWrap/>
            <w:vAlign w:val="center"/>
            <w:hideMark/>
          </w:tcPr>
          <w:p w14:paraId="6E70C013" w14:textId="54A626DB" w:rsidR="00A42306" w:rsidRPr="00005453" w:rsidRDefault="00A42306" w:rsidP="00A42306">
            <w:pPr>
              <w:rPr>
                <w:b/>
                <w:bCs/>
                <w:color w:val="000000"/>
                <w:sz w:val="18"/>
                <w:szCs w:val="18"/>
                <w:lang w:eastAsia="tr-TR"/>
              </w:rPr>
            </w:pPr>
            <w:bookmarkStart w:id="28" w:name="_Hlk156909578"/>
            <w:r w:rsidRPr="00005453">
              <w:rPr>
                <w:b/>
                <w:bCs/>
                <w:color w:val="000000"/>
                <w:sz w:val="18"/>
                <w:szCs w:val="18"/>
                <w:lang w:eastAsia="tr-TR"/>
              </w:rPr>
              <w:t> </w:t>
            </w:r>
          </w:p>
        </w:tc>
        <w:tc>
          <w:tcPr>
            <w:tcW w:w="1324" w:type="dxa"/>
            <w:tcBorders>
              <w:top w:val="single" w:sz="8" w:space="0" w:color="auto"/>
              <w:left w:val="nil"/>
              <w:bottom w:val="nil"/>
              <w:right w:val="nil"/>
            </w:tcBorders>
            <w:shd w:val="clear" w:color="auto" w:fill="auto"/>
            <w:noWrap/>
            <w:vAlign w:val="center"/>
            <w:hideMark/>
          </w:tcPr>
          <w:p w14:paraId="768578BC" w14:textId="77777777" w:rsidR="00A42306" w:rsidRPr="00005453" w:rsidRDefault="00A42306" w:rsidP="00614CD2">
            <w:pPr>
              <w:jc w:val="right"/>
              <w:rPr>
                <w:b/>
                <w:bCs/>
                <w:color w:val="000000"/>
                <w:sz w:val="18"/>
                <w:szCs w:val="18"/>
                <w:lang w:eastAsia="tr-TR"/>
              </w:rPr>
            </w:pPr>
            <w:r w:rsidRPr="00005453">
              <w:rPr>
                <w:b/>
                <w:bCs/>
                <w:color w:val="000000"/>
                <w:sz w:val="18"/>
                <w:szCs w:val="18"/>
                <w:lang w:eastAsia="tr-TR"/>
              </w:rPr>
              <w:t>Önceki Dönem</w:t>
            </w:r>
          </w:p>
        </w:tc>
        <w:tc>
          <w:tcPr>
            <w:tcW w:w="1228" w:type="dxa"/>
            <w:tcBorders>
              <w:top w:val="single" w:sz="8" w:space="0" w:color="auto"/>
              <w:left w:val="nil"/>
              <w:bottom w:val="nil"/>
              <w:right w:val="nil"/>
            </w:tcBorders>
            <w:shd w:val="clear" w:color="auto" w:fill="auto"/>
            <w:noWrap/>
            <w:vAlign w:val="center"/>
            <w:hideMark/>
          </w:tcPr>
          <w:p w14:paraId="7975AA6C" w14:textId="417DE9AE" w:rsidR="00A42306" w:rsidRPr="00005453" w:rsidRDefault="00A42306" w:rsidP="00614CD2">
            <w:pPr>
              <w:jc w:val="right"/>
              <w:rPr>
                <w:b/>
                <w:bCs/>
                <w:color w:val="000000"/>
                <w:sz w:val="18"/>
                <w:szCs w:val="18"/>
                <w:lang w:eastAsia="tr-TR"/>
              </w:rPr>
            </w:pPr>
            <w:r w:rsidRPr="00005453">
              <w:rPr>
                <w:b/>
                <w:bCs/>
                <w:color w:val="000000"/>
                <w:sz w:val="18"/>
                <w:szCs w:val="18"/>
                <w:lang w:eastAsia="tr-TR"/>
              </w:rPr>
              <w:t>Ortalama</w:t>
            </w:r>
          </w:p>
        </w:tc>
      </w:tr>
      <w:tr w:rsidR="00A42306" w:rsidRPr="00005453" w14:paraId="799B13A2" w14:textId="77777777" w:rsidTr="00DB082B">
        <w:trPr>
          <w:divId w:val="1553420560"/>
          <w:trHeight w:val="20"/>
        </w:trPr>
        <w:tc>
          <w:tcPr>
            <w:tcW w:w="6946" w:type="dxa"/>
            <w:tcBorders>
              <w:top w:val="nil"/>
              <w:left w:val="nil"/>
              <w:bottom w:val="single" w:sz="8" w:space="0" w:color="auto"/>
              <w:right w:val="nil"/>
            </w:tcBorders>
            <w:shd w:val="clear" w:color="auto" w:fill="auto"/>
            <w:noWrap/>
            <w:vAlign w:val="center"/>
            <w:hideMark/>
          </w:tcPr>
          <w:p w14:paraId="5929435E" w14:textId="77777777" w:rsidR="00A42306" w:rsidRPr="00005453" w:rsidRDefault="00A42306" w:rsidP="00A42306">
            <w:pPr>
              <w:rPr>
                <w:b/>
                <w:bCs/>
                <w:color w:val="000000"/>
                <w:sz w:val="18"/>
                <w:szCs w:val="18"/>
                <w:lang w:eastAsia="tr-TR"/>
              </w:rPr>
            </w:pPr>
            <w:r w:rsidRPr="00005453">
              <w:rPr>
                <w:b/>
                <w:bCs/>
                <w:color w:val="000000"/>
                <w:sz w:val="18"/>
                <w:szCs w:val="18"/>
                <w:lang w:eastAsia="tr-TR"/>
              </w:rPr>
              <w:t>Risk Sınıfları</w:t>
            </w:r>
          </w:p>
        </w:tc>
        <w:tc>
          <w:tcPr>
            <w:tcW w:w="1324" w:type="dxa"/>
            <w:tcBorders>
              <w:top w:val="nil"/>
              <w:left w:val="nil"/>
              <w:bottom w:val="single" w:sz="8" w:space="0" w:color="auto"/>
              <w:right w:val="nil"/>
            </w:tcBorders>
            <w:shd w:val="clear" w:color="auto" w:fill="auto"/>
            <w:noWrap/>
            <w:vAlign w:val="center"/>
            <w:hideMark/>
          </w:tcPr>
          <w:p w14:paraId="1F0A554D" w14:textId="5A06E56D" w:rsidR="00A42306" w:rsidRPr="00005453" w:rsidRDefault="00A42306" w:rsidP="00614CD2">
            <w:pPr>
              <w:jc w:val="right"/>
              <w:rPr>
                <w:b/>
                <w:bCs/>
                <w:color w:val="000000"/>
                <w:sz w:val="18"/>
                <w:szCs w:val="18"/>
                <w:lang w:eastAsia="tr-TR"/>
              </w:rPr>
            </w:pPr>
            <w:r w:rsidRPr="00005453">
              <w:rPr>
                <w:b/>
                <w:bCs/>
                <w:color w:val="000000"/>
                <w:sz w:val="18"/>
                <w:szCs w:val="18"/>
                <w:lang w:eastAsia="tr-TR"/>
              </w:rPr>
              <w:t>Risk</w:t>
            </w:r>
            <w:r w:rsidR="008A460B" w:rsidRPr="00005453">
              <w:rPr>
                <w:b/>
                <w:bCs/>
                <w:color w:val="000000"/>
                <w:sz w:val="18"/>
                <w:szCs w:val="18"/>
                <w:lang w:eastAsia="tr-TR"/>
              </w:rPr>
              <w:t xml:space="preserve"> </w:t>
            </w:r>
            <w:r w:rsidRPr="00005453">
              <w:rPr>
                <w:b/>
                <w:bCs/>
                <w:color w:val="000000"/>
                <w:sz w:val="18"/>
                <w:szCs w:val="18"/>
                <w:lang w:eastAsia="tr-TR"/>
              </w:rPr>
              <w:t>Tutarı (*)</w:t>
            </w:r>
          </w:p>
        </w:tc>
        <w:tc>
          <w:tcPr>
            <w:tcW w:w="1228" w:type="dxa"/>
            <w:tcBorders>
              <w:top w:val="nil"/>
              <w:left w:val="nil"/>
              <w:bottom w:val="single" w:sz="8" w:space="0" w:color="auto"/>
              <w:right w:val="nil"/>
            </w:tcBorders>
            <w:shd w:val="clear" w:color="auto" w:fill="auto"/>
            <w:noWrap/>
            <w:vAlign w:val="center"/>
            <w:hideMark/>
          </w:tcPr>
          <w:p w14:paraId="6A7730E1" w14:textId="77777777" w:rsidR="00A42306" w:rsidRPr="00005453" w:rsidRDefault="00A42306" w:rsidP="00614CD2">
            <w:pPr>
              <w:jc w:val="right"/>
              <w:rPr>
                <w:b/>
                <w:bCs/>
                <w:color w:val="000000"/>
                <w:sz w:val="18"/>
                <w:szCs w:val="18"/>
                <w:lang w:eastAsia="tr-TR"/>
              </w:rPr>
            </w:pPr>
            <w:r w:rsidRPr="00005453">
              <w:rPr>
                <w:b/>
                <w:bCs/>
                <w:color w:val="000000"/>
                <w:sz w:val="18"/>
                <w:szCs w:val="18"/>
                <w:lang w:eastAsia="tr-TR"/>
              </w:rPr>
              <w:t>Risk Tutarı (**)</w:t>
            </w:r>
          </w:p>
        </w:tc>
      </w:tr>
      <w:tr w:rsidR="001B4EB2" w:rsidRPr="00005453" w14:paraId="4DB44E58"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4D4D1D45" w14:textId="77777777" w:rsidR="001B4EB2" w:rsidRPr="00005453" w:rsidRDefault="001B4EB2" w:rsidP="001B4EB2">
            <w:pPr>
              <w:rPr>
                <w:color w:val="000000"/>
                <w:sz w:val="18"/>
                <w:szCs w:val="18"/>
                <w:lang w:eastAsia="tr-TR"/>
              </w:rPr>
            </w:pPr>
            <w:r w:rsidRPr="00005453">
              <w:rPr>
                <w:color w:val="000000"/>
                <w:sz w:val="18"/>
                <w:szCs w:val="18"/>
                <w:lang w:eastAsia="tr-TR"/>
              </w:rPr>
              <w:t>Merkezi yönetimlerden veya merkez bankalarından şarta bağlı olan ve olmayan alacaklar</w:t>
            </w:r>
          </w:p>
        </w:tc>
        <w:tc>
          <w:tcPr>
            <w:tcW w:w="1324" w:type="dxa"/>
            <w:tcBorders>
              <w:top w:val="nil"/>
              <w:left w:val="nil"/>
              <w:bottom w:val="nil"/>
              <w:right w:val="nil"/>
            </w:tcBorders>
            <w:shd w:val="clear" w:color="auto" w:fill="auto"/>
            <w:noWrap/>
            <w:vAlign w:val="center"/>
            <w:hideMark/>
          </w:tcPr>
          <w:p w14:paraId="2268BDCE" w14:textId="7D0BB972" w:rsidR="001B4EB2" w:rsidRPr="00005453" w:rsidRDefault="001B4EB2" w:rsidP="001B4EB2">
            <w:pPr>
              <w:jc w:val="right"/>
              <w:rPr>
                <w:color w:val="000000"/>
                <w:sz w:val="18"/>
                <w:szCs w:val="18"/>
                <w:lang w:eastAsia="tr-TR"/>
              </w:rPr>
            </w:pPr>
            <w:r w:rsidRPr="00005453">
              <w:rPr>
                <w:color w:val="000000"/>
                <w:sz w:val="18"/>
                <w:szCs w:val="18"/>
              </w:rPr>
              <w:t>191,853,312</w:t>
            </w:r>
          </w:p>
        </w:tc>
        <w:tc>
          <w:tcPr>
            <w:tcW w:w="1228" w:type="dxa"/>
            <w:tcBorders>
              <w:top w:val="nil"/>
              <w:left w:val="nil"/>
              <w:bottom w:val="nil"/>
              <w:right w:val="nil"/>
            </w:tcBorders>
            <w:shd w:val="clear" w:color="auto" w:fill="auto"/>
            <w:noWrap/>
            <w:vAlign w:val="center"/>
            <w:hideMark/>
          </w:tcPr>
          <w:p w14:paraId="2746443B" w14:textId="499A59E7" w:rsidR="001B4EB2" w:rsidRPr="00005453" w:rsidRDefault="001B4EB2" w:rsidP="001B4EB2">
            <w:pPr>
              <w:jc w:val="right"/>
              <w:rPr>
                <w:color w:val="000000"/>
                <w:sz w:val="18"/>
                <w:szCs w:val="18"/>
                <w:lang w:eastAsia="tr-TR"/>
              </w:rPr>
            </w:pPr>
            <w:r w:rsidRPr="00005453">
              <w:rPr>
                <w:color w:val="000000"/>
                <w:sz w:val="18"/>
                <w:szCs w:val="18"/>
              </w:rPr>
              <w:t>170,513,859</w:t>
            </w:r>
          </w:p>
        </w:tc>
      </w:tr>
      <w:tr w:rsidR="001B4EB2" w:rsidRPr="00005453" w14:paraId="14D8B7F0"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192E67AE" w14:textId="77777777" w:rsidR="001B4EB2" w:rsidRPr="00005453" w:rsidRDefault="001B4EB2" w:rsidP="001B4EB2">
            <w:pPr>
              <w:rPr>
                <w:color w:val="000000"/>
                <w:sz w:val="18"/>
                <w:szCs w:val="18"/>
                <w:lang w:eastAsia="tr-TR"/>
              </w:rPr>
            </w:pPr>
            <w:r w:rsidRPr="00005453">
              <w:rPr>
                <w:color w:val="000000"/>
                <w:sz w:val="18"/>
                <w:szCs w:val="18"/>
                <w:lang w:eastAsia="tr-TR"/>
              </w:rPr>
              <w:t>Bölgesel yönetimlerden veya yerel yönetimlerden şarta bağlı olan ve olmayan alacaklar</w:t>
            </w:r>
          </w:p>
        </w:tc>
        <w:tc>
          <w:tcPr>
            <w:tcW w:w="1324" w:type="dxa"/>
            <w:tcBorders>
              <w:top w:val="nil"/>
              <w:left w:val="nil"/>
              <w:bottom w:val="nil"/>
              <w:right w:val="nil"/>
            </w:tcBorders>
            <w:shd w:val="clear" w:color="auto" w:fill="auto"/>
            <w:noWrap/>
            <w:vAlign w:val="center"/>
            <w:hideMark/>
          </w:tcPr>
          <w:p w14:paraId="244C2C4B" w14:textId="2CDA15EF"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194C07EC" w14:textId="15EE8B69"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123CD751"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59152570" w14:textId="77777777" w:rsidR="001B4EB2" w:rsidRPr="00005453" w:rsidRDefault="001B4EB2" w:rsidP="001B4EB2">
            <w:pPr>
              <w:rPr>
                <w:color w:val="000000"/>
                <w:sz w:val="18"/>
                <w:szCs w:val="18"/>
                <w:lang w:eastAsia="tr-TR"/>
              </w:rPr>
            </w:pPr>
            <w:r w:rsidRPr="00005453">
              <w:rPr>
                <w:color w:val="000000"/>
                <w:sz w:val="18"/>
                <w:szCs w:val="18"/>
                <w:lang w:eastAsia="tr-TR"/>
              </w:rPr>
              <w:t>İdari birimlerden ve ticari olmayan girişimlerden şarta bağlı olan ve olmayan alacaklar</w:t>
            </w:r>
          </w:p>
        </w:tc>
        <w:tc>
          <w:tcPr>
            <w:tcW w:w="1324" w:type="dxa"/>
            <w:tcBorders>
              <w:top w:val="nil"/>
              <w:left w:val="nil"/>
              <w:bottom w:val="nil"/>
              <w:right w:val="nil"/>
            </w:tcBorders>
            <w:shd w:val="clear" w:color="auto" w:fill="auto"/>
            <w:noWrap/>
            <w:vAlign w:val="center"/>
            <w:hideMark/>
          </w:tcPr>
          <w:p w14:paraId="1B4A1CD2" w14:textId="390DA237"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054063AF" w14:textId="4DCD141D"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5D1CB395"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431CEE61" w14:textId="77777777" w:rsidR="001B4EB2" w:rsidRPr="00005453" w:rsidRDefault="001B4EB2" w:rsidP="001B4EB2">
            <w:pPr>
              <w:rPr>
                <w:color w:val="000000"/>
                <w:sz w:val="18"/>
                <w:szCs w:val="18"/>
                <w:lang w:eastAsia="tr-TR"/>
              </w:rPr>
            </w:pPr>
            <w:r w:rsidRPr="00005453">
              <w:rPr>
                <w:color w:val="000000"/>
                <w:sz w:val="18"/>
                <w:szCs w:val="18"/>
                <w:lang w:eastAsia="tr-TR"/>
              </w:rPr>
              <w:t>Çok taraflı kalkınma bankalarından şarta bağlı olan ve olmayan alacaklar</w:t>
            </w:r>
          </w:p>
        </w:tc>
        <w:tc>
          <w:tcPr>
            <w:tcW w:w="1324" w:type="dxa"/>
            <w:tcBorders>
              <w:top w:val="nil"/>
              <w:left w:val="nil"/>
              <w:bottom w:val="nil"/>
              <w:right w:val="nil"/>
            </w:tcBorders>
            <w:shd w:val="clear" w:color="auto" w:fill="auto"/>
            <w:noWrap/>
            <w:vAlign w:val="center"/>
            <w:hideMark/>
          </w:tcPr>
          <w:p w14:paraId="47F1E2AB" w14:textId="6B26E929" w:rsidR="001B4EB2" w:rsidRPr="00005453" w:rsidRDefault="001B4EB2" w:rsidP="001B4EB2">
            <w:pPr>
              <w:jc w:val="right"/>
              <w:rPr>
                <w:color w:val="000000"/>
                <w:sz w:val="18"/>
                <w:szCs w:val="18"/>
                <w:lang w:eastAsia="tr-TR"/>
              </w:rPr>
            </w:pPr>
            <w:r w:rsidRPr="00005453">
              <w:rPr>
                <w:color w:val="000000"/>
                <w:sz w:val="18"/>
                <w:szCs w:val="18"/>
              </w:rPr>
              <w:t>231,344</w:t>
            </w:r>
          </w:p>
        </w:tc>
        <w:tc>
          <w:tcPr>
            <w:tcW w:w="1228" w:type="dxa"/>
            <w:tcBorders>
              <w:top w:val="nil"/>
              <w:left w:val="nil"/>
              <w:bottom w:val="nil"/>
              <w:right w:val="nil"/>
            </w:tcBorders>
            <w:shd w:val="clear" w:color="auto" w:fill="auto"/>
            <w:noWrap/>
            <w:vAlign w:val="center"/>
            <w:hideMark/>
          </w:tcPr>
          <w:p w14:paraId="25919563" w14:textId="78DBCC6F" w:rsidR="001B4EB2" w:rsidRPr="00005453" w:rsidRDefault="001B4EB2" w:rsidP="001B4EB2">
            <w:pPr>
              <w:jc w:val="right"/>
              <w:rPr>
                <w:color w:val="000000"/>
                <w:sz w:val="18"/>
                <w:szCs w:val="18"/>
                <w:lang w:eastAsia="tr-TR"/>
              </w:rPr>
            </w:pPr>
            <w:r w:rsidRPr="00005453">
              <w:rPr>
                <w:color w:val="000000"/>
                <w:sz w:val="18"/>
                <w:szCs w:val="18"/>
              </w:rPr>
              <w:t>239,314</w:t>
            </w:r>
          </w:p>
        </w:tc>
      </w:tr>
      <w:tr w:rsidR="001B4EB2" w:rsidRPr="00005453" w14:paraId="74958EF7"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312232F2" w14:textId="77777777" w:rsidR="001B4EB2" w:rsidRPr="00005453" w:rsidRDefault="001B4EB2" w:rsidP="001B4EB2">
            <w:pPr>
              <w:rPr>
                <w:color w:val="000000"/>
                <w:sz w:val="18"/>
                <w:szCs w:val="18"/>
                <w:lang w:eastAsia="tr-TR"/>
              </w:rPr>
            </w:pPr>
            <w:r w:rsidRPr="00005453">
              <w:rPr>
                <w:color w:val="000000"/>
                <w:sz w:val="18"/>
                <w:szCs w:val="18"/>
                <w:lang w:eastAsia="tr-TR"/>
              </w:rPr>
              <w:t>Uluslararası teşkilatlardan şarta bağlı olan ve olmayan alacaklar</w:t>
            </w:r>
          </w:p>
        </w:tc>
        <w:tc>
          <w:tcPr>
            <w:tcW w:w="1324" w:type="dxa"/>
            <w:tcBorders>
              <w:top w:val="nil"/>
              <w:left w:val="nil"/>
              <w:bottom w:val="nil"/>
              <w:right w:val="nil"/>
            </w:tcBorders>
            <w:shd w:val="clear" w:color="auto" w:fill="auto"/>
            <w:noWrap/>
            <w:vAlign w:val="center"/>
            <w:hideMark/>
          </w:tcPr>
          <w:p w14:paraId="08094343" w14:textId="35E717D5"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6666108B" w14:textId="35F7820B"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396FD0D4"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289A9E35" w14:textId="77777777" w:rsidR="001B4EB2" w:rsidRPr="00005453" w:rsidRDefault="001B4EB2" w:rsidP="001B4EB2">
            <w:pPr>
              <w:rPr>
                <w:color w:val="000000"/>
                <w:sz w:val="18"/>
                <w:szCs w:val="18"/>
                <w:lang w:eastAsia="tr-TR"/>
              </w:rPr>
            </w:pPr>
            <w:r w:rsidRPr="00005453">
              <w:rPr>
                <w:color w:val="000000"/>
                <w:sz w:val="18"/>
                <w:szCs w:val="18"/>
                <w:lang w:eastAsia="tr-TR"/>
              </w:rPr>
              <w:t>Bankalar ve aracı kurumlardan şarta bağlı olan ve olmayan alacaklar</w:t>
            </w:r>
          </w:p>
        </w:tc>
        <w:tc>
          <w:tcPr>
            <w:tcW w:w="1324" w:type="dxa"/>
            <w:tcBorders>
              <w:top w:val="nil"/>
              <w:left w:val="nil"/>
              <w:bottom w:val="nil"/>
              <w:right w:val="nil"/>
            </w:tcBorders>
            <w:shd w:val="clear" w:color="auto" w:fill="auto"/>
            <w:noWrap/>
            <w:vAlign w:val="center"/>
            <w:hideMark/>
          </w:tcPr>
          <w:p w14:paraId="4EB41020" w14:textId="2E7D59B5" w:rsidR="001B4EB2" w:rsidRPr="00005453" w:rsidRDefault="001B4EB2" w:rsidP="001B4EB2">
            <w:pPr>
              <w:jc w:val="right"/>
              <w:rPr>
                <w:color w:val="000000"/>
                <w:sz w:val="18"/>
                <w:szCs w:val="18"/>
                <w:lang w:eastAsia="tr-TR"/>
              </w:rPr>
            </w:pPr>
            <w:r w:rsidRPr="00005453">
              <w:rPr>
                <w:color w:val="000000"/>
                <w:sz w:val="18"/>
                <w:szCs w:val="18"/>
              </w:rPr>
              <w:t>21,062,659</w:t>
            </w:r>
          </w:p>
        </w:tc>
        <w:tc>
          <w:tcPr>
            <w:tcW w:w="1228" w:type="dxa"/>
            <w:tcBorders>
              <w:top w:val="nil"/>
              <w:left w:val="nil"/>
              <w:bottom w:val="nil"/>
              <w:right w:val="nil"/>
            </w:tcBorders>
            <w:shd w:val="clear" w:color="auto" w:fill="auto"/>
            <w:noWrap/>
            <w:vAlign w:val="center"/>
            <w:hideMark/>
          </w:tcPr>
          <w:p w14:paraId="6CDB704B" w14:textId="5A1AEAC0" w:rsidR="001B4EB2" w:rsidRPr="00005453" w:rsidRDefault="001B4EB2" w:rsidP="001B4EB2">
            <w:pPr>
              <w:jc w:val="right"/>
              <w:rPr>
                <w:color w:val="000000"/>
                <w:sz w:val="18"/>
                <w:szCs w:val="18"/>
                <w:lang w:eastAsia="tr-TR"/>
              </w:rPr>
            </w:pPr>
            <w:r w:rsidRPr="00005453">
              <w:rPr>
                <w:color w:val="000000"/>
                <w:sz w:val="18"/>
                <w:szCs w:val="18"/>
              </w:rPr>
              <w:t>22,222,897</w:t>
            </w:r>
          </w:p>
        </w:tc>
      </w:tr>
      <w:tr w:rsidR="001B4EB2" w:rsidRPr="00005453" w14:paraId="5C695FE8"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11AB17EE" w14:textId="77777777" w:rsidR="001B4EB2" w:rsidRPr="00005453" w:rsidRDefault="001B4EB2" w:rsidP="001B4EB2">
            <w:pPr>
              <w:rPr>
                <w:color w:val="000000"/>
                <w:sz w:val="18"/>
                <w:szCs w:val="18"/>
                <w:lang w:eastAsia="tr-TR"/>
              </w:rPr>
            </w:pPr>
            <w:r w:rsidRPr="00005453">
              <w:rPr>
                <w:color w:val="000000"/>
                <w:sz w:val="18"/>
                <w:szCs w:val="18"/>
                <w:lang w:eastAsia="tr-TR"/>
              </w:rPr>
              <w:t>Şarta bağlı olan ve olmayan kurumsal alacaklar</w:t>
            </w:r>
          </w:p>
        </w:tc>
        <w:tc>
          <w:tcPr>
            <w:tcW w:w="1324" w:type="dxa"/>
            <w:tcBorders>
              <w:top w:val="nil"/>
              <w:left w:val="nil"/>
              <w:bottom w:val="nil"/>
              <w:right w:val="nil"/>
            </w:tcBorders>
            <w:shd w:val="clear" w:color="auto" w:fill="auto"/>
            <w:noWrap/>
            <w:vAlign w:val="center"/>
            <w:hideMark/>
          </w:tcPr>
          <w:p w14:paraId="6BC1C0CD" w14:textId="5DEA8B0E" w:rsidR="001B4EB2" w:rsidRPr="00005453" w:rsidRDefault="001B4EB2" w:rsidP="001B4EB2">
            <w:pPr>
              <w:jc w:val="right"/>
              <w:rPr>
                <w:color w:val="000000"/>
                <w:sz w:val="18"/>
                <w:szCs w:val="18"/>
                <w:lang w:eastAsia="tr-TR"/>
              </w:rPr>
            </w:pPr>
            <w:r w:rsidRPr="00005453">
              <w:rPr>
                <w:color w:val="000000"/>
                <w:sz w:val="18"/>
                <w:szCs w:val="18"/>
              </w:rPr>
              <w:t>84,469,167</w:t>
            </w:r>
          </w:p>
        </w:tc>
        <w:tc>
          <w:tcPr>
            <w:tcW w:w="1228" w:type="dxa"/>
            <w:tcBorders>
              <w:top w:val="nil"/>
              <w:left w:val="nil"/>
              <w:bottom w:val="nil"/>
              <w:right w:val="nil"/>
            </w:tcBorders>
            <w:shd w:val="clear" w:color="auto" w:fill="auto"/>
            <w:noWrap/>
            <w:vAlign w:val="center"/>
            <w:hideMark/>
          </w:tcPr>
          <w:p w14:paraId="030E7349" w14:textId="464FB4BB" w:rsidR="001B4EB2" w:rsidRPr="00005453" w:rsidRDefault="001B4EB2" w:rsidP="001B4EB2">
            <w:pPr>
              <w:jc w:val="right"/>
              <w:rPr>
                <w:color w:val="000000"/>
                <w:sz w:val="18"/>
                <w:szCs w:val="18"/>
                <w:lang w:eastAsia="tr-TR"/>
              </w:rPr>
            </w:pPr>
            <w:r w:rsidRPr="00005453">
              <w:rPr>
                <w:color w:val="000000"/>
                <w:sz w:val="18"/>
                <w:szCs w:val="18"/>
              </w:rPr>
              <w:t>78,151,703</w:t>
            </w:r>
          </w:p>
        </w:tc>
      </w:tr>
      <w:tr w:rsidR="001B4EB2" w:rsidRPr="00005453" w14:paraId="2D45BBB5"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51911D73" w14:textId="77777777" w:rsidR="001B4EB2" w:rsidRPr="00005453" w:rsidRDefault="001B4EB2" w:rsidP="001B4EB2">
            <w:pPr>
              <w:rPr>
                <w:color w:val="000000"/>
                <w:sz w:val="18"/>
                <w:szCs w:val="18"/>
                <w:lang w:eastAsia="tr-TR"/>
              </w:rPr>
            </w:pPr>
            <w:r w:rsidRPr="00005453">
              <w:rPr>
                <w:color w:val="000000"/>
                <w:sz w:val="18"/>
                <w:szCs w:val="18"/>
                <w:lang w:eastAsia="tr-TR"/>
              </w:rPr>
              <w:t>Şarta bağlı olan ve olmayan perakende alacaklar</w:t>
            </w:r>
          </w:p>
        </w:tc>
        <w:tc>
          <w:tcPr>
            <w:tcW w:w="1324" w:type="dxa"/>
            <w:tcBorders>
              <w:top w:val="nil"/>
              <w:left w:val="nil"/>
              <w:bottom w:val="nil"/>
              <w:right w:val="nil"/>
            </w:tcBorders>
            <w:shd w:val="clear" w:color="auto" w:fill="auto"/>
            <w:noWrap/>
            <w:vAlign w:val="center"/>
            <w:hideMark/>
          </w:tcPr>
          <w:p w14:paraId="4723B146" w14:textId="6120256A" w:rsidR="001B4EB2" w:rsidRPr="00005453" w:rsidRDefault="001B4EB2" w:rsidP="001B4EB2">
            <w:pPr>
              <w:jc w:val="right"/>
              <w:rPr>
                <w:color w:val="000000"/>
                <w:sz w:val="18"/>
                <w:szCs w:val="18"/>
                <w:lang w:eastAsia="tr-TR"/>
              </w:rPr>
            </w:pPr>
            <w:r w:rsidRPr="00005453">
              <w:rPr>
                <w:color w:val="000000"/>
                <w:sz w:val="18"/>
                <w:szCs w:val="18"/>
              </w:rPr>
              <w:t>51,891,336</w:t>
            </w:r>
          </w:p>
        </w:tc>
        <w:tc>
          <w:tcPr>
            <w:tcW w:w="1228" w:type="dxa"/>
            <w:tcBorders>
              <w:top w:val="nil"/>
              <w:left w:val="nil"/>
              <w:bottom w:val="nil"/>
              <w:right w:val="nil"/>
            </w:tcBorders>
            <w:shd w:val="clear" w:color="auto" w:fill="auto"/>
            <w:noWrap/>
            <w:vAlign w:val="center"/>
            <w:hideMark/>
          </w:tcPr>
          <w:p w14:paraId="3F54A4DE" w14:textId="50BB841B" w:rsidR="001B4EB2" w:rsidRPr="00005453" w:rsidRDefault="001B4EB2" w:rsidP="001B4EB2">
            <w:pPr>
              <w:jc w:val="right"/>
              <w:rPr>
                <w:color w:val="000000"/>
                <w:sz w:val="18"/>
                <w:szCs w:val="18"/>
                <w:lang w:eastAsia="tr-TR"/>
              </w:rPr>
            </w:pPr>
            <w:r w:rsidRPr="00005453">
              <w:rPr>
                <w:color w:val="000000"/>
                <w:sz w:val="18"/>
                <w:szCs w:val="18"/>
              </w:rPr>
              <w:t>47,097,770</w:t>
            </w:r>
          </w:p>
        </w:tc>
      </w:tr>
      <w:tr w:rsidR="001B4EB2" w:rsidRPr="00005453" w14:paraId="1672CC36"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673EC72C" w14:textId="0F580BAD" w:rsidR="001B4EB2" w:rsidRPr="00005453" w:rsidRDefault="001B4EB2" w:rsidP="001B4EB2">
            <w:pPr>
              <w:rPr>
                <w:color w:val="000000"/>
                <w:sz w:val="18"/>
                <w:szCs w:val="18"/>
                <w:lang w:eastAsia="tr-TR"/>
              </w:rPr>
            </w:pPr>
            <w:r w:rsidRPr="00005453">
              <w:rPr>
                <w:color w:val="000000"/>
                <w:sz w:val="18"/>
                <w:szCs w:val="18"/>
                <w:lang w:eastAsia="tr-TR"/>
              </w:rPr>
              <w:t>Şarta bağlı olan ve olmayan gayrimenkul ipoteğiyle teminatlandırılmış alacaklar</w:t>
            </w:r>
          </w:p>
        </w:tc>
        <w:tc>
          <w:tcPr>
            <w:tcW w:w="1324" w:type="dxa"/>
            <w:tcBorders>
              <w:top w:val="nil"/>
              <w:left w:val="nil"/>
              <w:bottom w:val="nil"/>
              <w:right w:val="nil"/>
            </w:tcBorders>
            <w:shd w:val="clear" w:color="auto" w:fill="auto"/>
            <w:noWrap/>
            <w:vAlign w:val="center"/>
            <w:hideMark/>
          </w:tcPr>
          <w:p w14:paraId="6E6BDA91" w14:textId="45372179" w:rsidR="001B4EB2" w:rsidRPr="00005453" w:rsidRDefault="001B4EB2" w:rsidP="001B4EB2">
            <w:pPr>
              <w:jc w:val="right"/>
              <w:rPr>
                <w:color w:val="000000"/>
                <w:sz w:val="18"/>
                <w:szCs w:val="18"/>
                <w:lang w:eastAsia="tr-TR"/>
              </w:rPr>
            </w:pPr>
            <w:r w:rsidRPr="00005453">
              <w:rPr>
                <w:color w:val="000000"/>
                <w:sz w:val="18"/>
                <w:szCs w:val="18"/>
              </w:rPr>
              <w:t>55,317,159</w:t>
            </w:r>
          </w:p>
        </w:tc>
        <w:tc>
          <w:tcPr>
            <w:tcW w:w="1228" w:type="dxa"/>
            <w:tcBorders>
              <w:top w:val="nil"/>
              <w:left w:val="nil"/>
              <w:bottom w:val="nil"/>
              <w:right w:val="nil"/>
            </w:tcBorders>
            <w:shd w:val="clear" w:color="auto" w:fill="auto"/>
            <w:noWrap/>
            <w:vAlign w:val="center"/>
            <w:hideMark/>
          </w:tcPr>
          <w:p w14:paraId="3AACE8FC" w14:textId="386306A5" w:rsidR="001B4EB2" w:rsidRPr="00005453" w:rsidRDefault="001B4EB2" w:rsidP="001B4EB2">
            <w:pPr>
              <w:jc w:val="right"/>
              <w:rPr>
                <w:color w:val="000000"/>
                <w:sz w:val="18"/>
                <w:szCs w:val="18"/>
                <w:lang w:eastAsia="tr-TR"/>
              </w:rPr>
            </w:pPr>
            <w:r w:rsidRPr="00005453">
              <w:rPr>
                <w:color w:val="000000"/>
                <w:sz w:val="18"/>
                <w:szCs w:val="18"/>
              </w:rPr>
              <w:t>48,480,721</w:t>
            </w:r>
          </w:p>
        </w:tc>
      </w:tr>
      <w:tr w:rsidR="001B4EB2" w:rsidRPr="00005453" w14:paraId="3C9EAB04"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6A10CA67" w14:textId="77777777" w:rsidR="001B4EB2" w:rsidRPr="00005453" w:rsidRDefault="001B4EB2" w:rsidP="001B4EB2">
            <w:pPr>
              <w:rPr>
                <w:color w:val="000000"/>
                <w:sz w:val="18"/>
                <w:szCs w:val="18"/>
                <w:lang w:eastAsia="tr-TR"/>
              </w:rPr>
            </w:pPr>
            <w:r w:rsidRPr="00005453">
              <w:rPr>
                <w:color w:val="000000"/>
                <w:sz w:val="18"/>
                <w:szCs w:val="18"/>
                <w:lang w:eastAsia="tr-TR"/>
              </w:rPr>
              <w:t>Tahsili gecikmiş alacaklar</w:t>
            </w:r>
          </w:p>
        </w:tc>
        <w:tc>
          <w:tcPr>
            <w:tcW w:w="1324" w:type="dxa"/>
            <w:tcBorders>
              <w:top w:val="nil"/>
              <w:left w:val="nil"/>
              <w:bottom w:val="nil"/>
              <w:right w:val="nil"/>
            </w:tcBorders>
            <w:shd w:val="clear" w:color="auto" w:fill="auto"/>
            <w:noWrap/>
            <w:vAlign w:val="center"/>
            <w:hideMark/>
          </w:tcPr>
          <w:p w14:paraId="2131BD8B" w14:textId="66E7E64B" w:rsidR="001B4EB2" w:rsidRPr="00005453" w:rsidRDefault="001B4EB2" w:rsidP="001B4EB2">
            <w:pPr>
              <w:jc w:val="right"/>
              <w:rPr>
                <w:color w:val="000000"/>
                <w:sz w:val="18"/>
                <w:szCs w:val="18"/>
                <w:lang w:eastAsia="tr-TR"/>
              </w:rPr>
            </w:pPr>
            <w:r w:rsidRPr="00005453">
              <w:rPr>
                <w:color w:val="000000"/>
                <w:sz w:val="18"/>
                <w:szCs w:val="18"/>
              </w:rPr>
              <w:t>102,417</w:t>
            </w:r>
          </w:p>
        </w:tc>
        <w:tc>
          <w:tcPr>
            <w:tcW w:w="1228" w:type="dxa"/>
            <w:tcBorders>
              <w:top w:val="nil"/>
              <w:left w:val="nil"/>
              <w:bottom w:val="nil"/>
              <w:right w:val="nil"/>
            </w:tcBorders>
            <w:shd w:val="clear" w:color="auto" w:fill="auto"/>
            <w:noWrap/>
            <w:vAlign w:val="center"/>
            <w:hideMark/>
          </w:tcPr>
          <w:p w14:paraId="0C413519" w14:textId="21D9C621" w:rsidR="001B4EB2" w:rsidRPr="00005453" w:rsidRDefault="001B4EB2" w:rsidP="001B4EB2">
            <w:pPr>
              <w:jc w:val="right"/>
              <w:rPr>
                <w:color w:val="000000"/>
                <w:sz w:val="18"/>
                <w:szCs w:val="18"/>
                <w:lang w:eastAsia="tr-TR"/>
              </w:rPr>
            </w:pPr>
            <w:r w:rsidRPr="00005453">
              <w:rPr>
                <w:color w:val="000000"/>
                <w:sz w:val="18"/>
                <w:szCs w:val="18"/>
              </w:rPr>
              <w:t>126,077</w:t>
            </w:r>
          </w:p>
        </w:tc>
      </w:tr>
      <w:tr w:rsidR="001B4EB2" w:rsidRPr="00005453" w14:paraId="25E38761"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2E13955E" w14:textId="77777777" w:rsidR="001B4EB2" w:rsidRPr="00005453" w:rsidRDefault="001B4EB2" w:rsidP="001B4EB2">
            <w:pPr>
              <w:rPr>
                <w:color w:val="000000"/>
                <w:sz w:val="18"/>
                <w:szCs w:val="18"/>
                <w:lang w:eastAsia="tr-TR"/>
              </w:rPr>
            </w:pPr>
            <w:r w:rsidRPr="00005453">
              <w:rPr>
                <w:color w:val="000000"/>
                <w:sz w:val="18"/>
                <w:szCs w:val="18"/>
                <w:lang w:eastAsia="tr-TR"/>
              </w:rPr>
              <w:t>Kurulca riski yüksek olarak belirlenen alacaklar</w:t>
            </w:r>
          </w:p>
        </w:tc>
        <w:tc>
          <w:tcPr>
            <w:tcW w:w="1324" w:type="dxa"/>
            <w:tcBorders>
              <w:top w:val="nil"/>
              <w:left w:val="nil"/>
              <w:bottom w:val="nil"/>
              <w:right w:val="nil"/>
            </w:tcBorders>
            <w:shd w:val="clear" w:color="auto" w:fill="auto"/>
            <w:noWrap/>
            <w:vAlign w:val="center"/>
            <w:hideMark/>
          </w:tcPr>
          <w:p w14:paraId="4055F39E" w14:textId="295A526A" w:rsidR="001B4EB2" w:rsidRPr="00005453" w:rsidRDefault="001B4EB2" w:rsidP="001B4EB2">
            <w:pPr>
              <w:jc w:val="right"/>
              <w:rPr>
                <w:color w:val="000000"/>
                <w:sz w:val="18"/>
                <w:szCs w:val="18"/>
                <w:lang w:eastAsia="tr-TR"/>
              </w:rPr>
            </w:pPr>
            <w:r w:rsidRPr="00005453">
              <w:rPr>
                <w:color w:val="000000"/>
                <w:sz w:val="18"/>
                <w:szCs w:val="18"/>
              </w:rPr>
              <w:t>25,598,233</w:t>
            </w:r>
          </w:p>
        </w:tc>
        <w:tc>
          <w:tcPr>
            <w:tcW w:w="1228" w:type="dxa"/>
            <w:tcBorders>
              <w:top w:val="nil"/>
              <w:left w:val="nil"/>
              <w:bottom w:val="nil"/>
              <w:right w:val="nil"/>
            </w:tcBorders>
            <w:shd w:val="clear" w:color="auto" w:fill="auto"/>
            <w:noWrap/>
            <w:vAlign w:val="center"/>
            <w:hideMark/>
          </w:tcPr>
          <w:p w14:paraId="3C6FBE47" w14:textId="0A743233" w:rsidR="001B4EB2" w:rsidRPr="00005453" w:rsidRDefault="001B4EB2" w:rsidP="001B4EB2">
            <w:pPr>
              <w:jc w:val="right"/>
              <w:rPr>
                <w:color w:val="000000"/>
                <w:sz w:val="18"/>
                <w:szCs w:val="18"/>
                <w:lang w:eastAsia="tr-TR"/>
              </w:rPr>
            </w:pPr>
            <w:r w:rsidRPr="00005453">
              <w:rPr>
                <w:color w:val="000000"/>
                <w:sz w:val="18"/>
                <w:szCs w:val="18"/>
              </w:rPr>
              <w:t>16,333,840</w:t>
            </w:r>
          </w:p>
        </w:tc>
      </w:tr>
      <w:tr w:rsidR="001B4EB2" w:rsidRPr="00005453" w14:paraId="59B3048E"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24CD690F" w14:textId="3950362D" w:rsidR="001B4EB2" w:rsidRPr="00005453" w:rsidRDefault="001B4EB2" w:rsidP="001B4EB2">
            <w:pPr>
              <w:rPr>
                <w:color w:val="000000"/>
                <w:sz w:val="18"/>
                <w:szCs w:val="18"/>
                <w:lang w:eastAsia="tr-TR"/>
              </w:rPr>
            </w:pPr>
            <w:r w:rsidRPr="00005453">
              <w:rPr>
                <w:color w:val="000000"/>
                <w:sz w:val="18"/>
                <w:szCs w:val="18"/>
                <w:lang w:eastAsia="tr-TR"/>
              </w:rPr>
              <w:t>Teminatlı menkul kıymetler</w:t>
            </w:r>
          </w:p>
        </w:tc>
        <w:tc>
          <w:tcPr>
            <w:tcW w:w="1324" w:type="dxa"/>
            <w:tcBorders>
              <w:top w:val="nil"/>
              <w:left w:val="nil"/>
              <w:bottom w:val="nil"/>
              <w:right w:val="nil"/>
            </w:tcBorders>
            <w:shd w:val="clear" w:color="auto" w:fill="auto"/>
            <w:noWrap/>
            <w:vAlign w:val="center"/>
            <w:hideMark/>
          </w:tcPr>
          <w:p w14:paraId="77442F99" w14:textId="44FC1723"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0DE307E8" w14:textId="0E22B7CC"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69E9CDEF"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43C29B0B" w14:textId="77777777" w:rsidR="001B4EB2" w:rsidRPr="00005453" w:rsidRDefault="001B4EB2" w:rsidP="001B4EB2">
            <w:pPr>
              <w:rPr>
                <w:color w:val="000000"/>
                <w:sz w:val="18"/>
                <w:szCs w:val="18"/>
                <w:lang w:eastAsia="tr-TR"/>
              </w:rPr>
            </w:pPr>
            <w:r w:rsidRPr="00005453">
              <w:rPr>
                <w:color w:val="000000"/>
                <w:sz w:val="18"/>
                <w:szCs w:val="18"/>
                <w:lang w:eastAsia="tr-TR"/>
              </w:rPr>
              <w:t>Menkul kıymetleştirme pozisyonları</w:t>
            </w:r>
          </w:p>
        </w:tc>
        <w:tc>
          <w:tcPr>
            <w:tcW w:w="1324" w:type="dxa"/>
            <w:tcBorders>
              <w:top w:val="nil"/>
              <w:left w:val="nil"/>
              <w:bottom w:val="nil"/>
              <w:right w:val="nil"/>
            </w:tcBorders>
            <w:shd w:val="clear" w:color="auto" w:fill="auto"/>
            <w:noWrap/>
            <w:vAlign w:val="center"/>
            <w:hideMark/>
          </w:tcPr>
          <w:p w14:paraId="1BC2DE93" w14:textId="2C8F6879"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1DE15E42" w14:textId="7F43A67D"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1E1ABB95"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498E405C" w14:textId="77777777" w:rsidR="001B4EB2" w:rsidRPr="00005453" w:rsidRDefault="001B4EB2" w:rsidP="001B4EB2">
            <w:pPr>
              <w:rPr>
                <w:color w:val="000000"/>
                <w:sz w:val="18"/>
                <w:szCs w:val="18"/>
                <w:lang w:eastAsia="tr-TR"/>
              </w:rPr>
            </w:pPr>
            <w:r w:rsidRPr="00005453">
              <w:rPr>
                <w:color w:val="000000"/>
                <w:sz w:val="18"/>
                <w:szCs w:val="18"/>
                <w:lang w:eastAsia="tr-TR"/>
              </w:rPr>
              <w:t>Bankalar ve aracı kurumlardan olan kısa vadeli alacaklar ile kısa vadeli kurumsal alacaklar</w:t>
            </w:r>
          </w:p>
        </w:tc>
        <w:tc>
          <w:tcPr>
            <w:tcW w:w="1324" w:type="dxa"/>
            <w:tcBorders>
              <w:top w:val="nil"/>
              <w:left w:val="nil"/>
              <w:bottom w:val="nil"/>
              <w:right w:val="nil"/>
            </w:tcBorders>
            <w:shd w:val="clear" w:color="auto" w:fill="auto"/>
            <w:noWrap/>
            <w:vAlign w:val="center"/>
            <w:hideMark/>
          </w:tcPr>
          <w:p w14:paraId="7147F0E5" w14:textId="64CD8A1F"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6FF17B79" w14:textId="68601C60"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1E5AAD1C"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029B08E4" w14:textId="77777777" w:rsidR="001B4EB2" w:rsidRPr="00005453" w:rsidRDefault="001B4EB2" w:rsidP="001B4EB2">
            <w:pPr>
              <w:rPr>
                <w:color w:val="000000"/>
                <w:sz w:val="18"/>
                <w:szCs w:val="18"/>
                <w:lang w:eastAsia="tr-TR"/>
              </w:rPr>
            </w:pPr>
            <w:r w:rsidRPr="00005453">
              <w:rPr>
                <w:color w:val="000000"/>
                <w:sz w:val="18"/>
                <w:szCs w:val="18"/>
                <w:lang w:eastAsia="tr-TR"/>
              </w:rPr>
              <w:t>Kolektif yatırım kuruluşu niteliğindeki yatırımlar</w:t>
            </w:r>
          </w:p>
        </w:tc>
        <w:tc>
          <w:tcPr>
            <w:tcW w:w="1324" w:type="dxa"/>
            <w:tcBorders>
              <w:top w:val="nil"/>
              <w:left w:val="nil"/>
              <w:bottom w:val="nil"/>
              <w:right w:val="nil"/>
            </w:tcBorders>
            <w:shd w:val="clear" w:color="auto" w:fill="auto"/>
            <w:noWrap/>
            <w:vAlign w:val="center"/>
            <w:hideMark/>
          </w:tcPr>
          <w:p w14:paraId="10B0CA6E" w14:textId="4F0DB880" w:rsidR="001B4EB2" w:rsidRPr="00005453" w:rsidRDefault="001B4EB2" w:rsidP="001B4EB2">
            <w:pPr>
              <w:jc w:val="right"/>
              <w:rPr>
                <w:color w:val="000000"/>
                <w:sz w:val="18"/>
                <w:szCs w:val="18"/>
                <w:lang w:eastAsia="tr-TR"/>
              </w:rPr>
            </w:pPr>
            <w:r w:rsidRPr="00005453">
              <w:rPr>
                <w:color w:val="000000"/>
                <w:sz w:val="18"/>
                <w:szCs w:val="18"/>
              </w:rPr>
              <w:t>-</w:t>
            </w:r>
          </w:p>
        </w:tc>
        <w:tc>
          <w:tcPr>
            <w:tcW w:w="1228" w:type="dxa"/>
            <w:tcBorders>
              <w:top w:val="nil"/>
              <w:left w:val="nil"/>
              <w:bottom w:val="nil"/>
              <w:right w:val="nil"/>
            </w:tcBorders>
            <w:shd w:val="clear" w:color="auto" w:fill="auto"/>
            <w:noWrap/>
            <w:vAlign w:val="center"/>
            <w:hideMark/>
          </w:tcPr>
          <w:p w14:paraId="695288E5" w14:textId="31EED6C1" w:rsidR="001B4EB2" w:rsidRPr="00005453" w:rsidRDefault="001B4EB2" w:rsidP="001B4EB2">
            <w:pPr>
              <w:jc w:val="right"/>
              <w:rPr>
                <w:color w:val="000000"/>
                <w:sz w:val="18"/>
                <w:szCs w:val="18"/>
                <w:lang w:eastAsia="tr-TR"/>
              </w:rPr>
            </w:pPr>
            <w:r w:rsidRPr="00005453">
              <w:rPr>
                <w:color w:val="000000"/>
                <w:sz w:val="18"/>
                <w:szCs w:val="18"/>
              </w:rPr>
              <w:t>-</w:t>
            </w:r>
          </w:p>
        </w:tc>
      </w:tr>
      <w:tr w:rsidR="001B4EB2" w:rsidRPr="00005453" w14:paraId="011354A5" w14:textId="77777777" w:rsidTr="00DB082B">
        <w:trPr>
          <w:divId w:val="1553420560"/>
          <w:trHeight w:val="20"/>
        </w:trPr>
        <w:tc>
          <w:tcPr>
            <w:tcW w:w="6946" w:type="dxa"/>
            <w:tcBorders>
              <w:top w:val="nil"/>
              <w:left w:val="nil"/>
              <w:bottom w:val="nil"/>
              <w:right w:val="nil"/>
            </w:tcBorders>
            <w:shd w:val="clear" w:color="auto" w:fill="auto"/>
            <w:noWrap/>
            <w:vAlign w:val="center"/>
            <w:hideMark/>
          </w:tcPr>
          <w:p w14:paraId="17AFBE93" w14:textId="77777777" w:rsidR="001B4EB2" w:rsidRPr="00005453" w:rsidRDefault="001B4EB2" w:rsidP="001B4EB2">
            <w:pPr>
              <w:rPr>
                <w:color w:val="000000"/>
                <w:sz w:val="18"/>
                <w:szCs w:val="18"/>
                <w:lang w:eastAsia="tr-TR"/>
              </w:rPr>
            </w:pPr>
            <w:r w:rsidRPr="00005453">
              <w:rPr>
                <w:color w:val="000000"/>
                <w:sz w:val="18"/>
                <w:szCs w:val="18"/>
                <w:lang w:eastAsia="tr-TR"/>
              </w:rPr>
              <w:t>Hisse senedi yatırımları</w:t>
            </w:r>
          </w:p>
        </w:tc>
        <w:tc>
          <w:tcPr>
            <w:tcW w:w="1324" w:type="dxa"/>
            <w:tcBorders>
              <w:top w:val="nil"/>
              <w:left w:val="nil"/>
              <w:bottom w:val="nil"/>
              <w:right w:val="nil"/>
            </w:tcBorders>
            <w:shd w:val="clear" w:color="auto" w:fill="auto"/>
            <w:noWrap/>
            <w:vAlign w:val="center"/>
            <w:hideMark/>
          </w:tcPr>
          <w:p w14:paraId="4C2ED81B" w14:textId="5AB08C65" w:rsidR="001B4EB2" w:rsidRPr="00005453" w:rsidRDefault="001B4EB2" w:rsidP="001B4EB2">
            <w:pPr>
              <w:jc w:val="right"/>
              <w:rPr>
                <w:color w:val="000000"/>
                <w:sz w:val="18"/>
                <w:szCs w:val="18"/>
                <w:lang w:eastAsia="tr-TR"/>
              </w:rPr>
            </w:pPr>
            <w:r w:rsidRPr="00005453">
              <w:rPr>
                <w:color w:val="000000"/>
                <w:sz w:val="18"/>
                <w:szCs w:val="18"/>
              </w:rPr>
              <w:t>3,415,343</w:t>
            </w:r>
          </w:p>
        </w:tc>
        <w:tc>
          <w:tcPr>
            <w:tcW w:w="1228" w:type="dxa"/>
            <w:tcBorders>
              <w:top w:val="nil"/>
              <w:left w:val="nil"/>
              <w:bottom w:val="nil"/>
              <w:right w:val="nil"/>
            </w:tcBorders>
            <w:shd w:val="clear" w:color="auto" w:fill="auto"/>
            <w:noWrap/>
            <w:vAlign w:val="center"/>
            <w:hideMark/>
          </w:tcPr>
          <w:p w14:paraId="3C256152" w14:textId="1E17AF47" w:rsidR="001B4EB2" w:rsidRPr="00005453" w:rsidRDefault="001B4EB2" w:rsidP="001B4EB2">
            <w:pPr>
              <w:jc w:val="right"/>
              <w:rPr>
                <w:color w:val="000000"/>
                <w:sz w:val="18"/>
                <w:szCs w:val="18"/>
                <w:lang w:eastAsia="tr-TR"/>
              </w:rPr>
            </w:pPr>
            <w:r w:rsidRPr="00005453">
              <w:rPr>
                <w:color w:val="000000"/>
                <w:sz w:val="18"/>
                <w:szCs w:val="18"/>
              </w:rPr>
              <w:t>2,928,458</w:t>
            </w:r>
          </w:p>
        </w:tc>
      </w:tr>
      <w:tr w:rsidR="001B4EB2" w:rsidRPr="00005453" w14:paraId="26D82A51" w14:textId="77777777" w:rsidTr="00DB082B">
        <w:trPr>
          <w:divId w:val="1553420560"/>
          <w:trHeight w:val="20"/>
        </w:trPr>
        <w:tc>
          <w:tcPr>
            <w:tcW w:w="6946" w:type="dxa"/>
            <w:tcBorders>
              <w:top w:val="nil"/>
              <w:left w:val="nil"/>
              <w:bottom w:val="single" w:sz="8" w:space="0" w:color="auto"/>
              <w:right w:val="nil"/>
            </w:tcBorders>
            <w:shd w:val="clear" w:color="auto" w:fill="auto"/>
            <w:noWrap/>
            <w:vAlign w:val="center"/>
            <w:hideMark/>
          </w:tcPr>
          <w:p w14:paraId="5DA2E6DA" w14:textId="77777777" w:rsidR="001B4EB2" w:rsidRPr="00005453" w:rsidRDefault="001B4EB2" w:rsidP="001B4EB2">
            <w:pPr>
              <w:rPr>
                <w:color w:val="000000"/>
                <w:sz w:val="18"/>
                <w:szCs w:val="18"/>
                <w:lang w:eastAsia="tr-TR"/>
              </w:rPr>
            </w:pPr>
            <w:r w:rsidRPr="00005453">
              <w:rPr>
                <w:color w:val="000000"/>
                <w:sz w:val="18"/>
                <w:szCs w:val="18"/>
                <w:lang w:eastAsia="tr-TR"/>
              </w:rPr>
              <w:t>Diğer alacaklar</w:t>
            </w:r>
          </w:p>
        </w:tc>
        <w:tc>
          <w:tcPr>
            <w:tcW w:w="1324" w:type="dxa"/>
            <w:tcBorders>
              <w:top w:val="nil"/>
              <w:left w:val="nil"/>
              <w:bottom w:val="nil"/>
              <w:right w:val="nil"/>
            </w:tcBorders>
            <w:shd w:val="clear" w:color="auto" w:fill="auto"/>
            <w:noWrap/>
            <w:vAlign w:val="center"/>
            <w:hideMark/>
          </w:tcPr>
          <w:p w14:paraId="4D7F19C7" w14:textId="16A911DB" w:rsidR="001B4EB2" w:rsidRPr="00005453" w:rsidRDefault="001B4EB2" w:rsidP="001B4EB2">
            <w:pPr>
              <w:jc w:val="right"/>
              <w:rPr>
                <w:color w:val="000000"/>
                <w:sz w:val="18"/>
                <w:szCs w:val="18"/>
                <w:lang w:eastAsia="tr-TR"/>
              </w:rPr>
            </w:pPr>
            <w:r w:rsidRPr="00005453">
              <w:rPr>
                <w:color w:val="000000"/>
                <w:sz w:val="18"/>
                <w:szCs w:val="18"/>
              </w:rPr>
              <w:t>19,110,684</w:t>
            </w:r>
          </w:p>
        </w:tc>
        <w:tc>
          <w:tcPr>
            <w:tcW w:w="1228" w:type="dxa"/>
            <w:tcBorders>
              <w:top w:val="nil"/>
              <w:left w:val="nil"/>
              <w:bottom w:val="nil"/>
              <w:right w:val="nil"/>
            </w:tcBorders>
            <w:shd w:val="clear" w:color="auto" w:fill="auto"/>
            <w:noWrap/>
            <w:vAlign w:val="center"/>
            <w:hideMark/>
          </w:tcPr>
          <w:p w14:paraId="200CD1C5" w14:textId="07087BCD" w:rsidR="001B4EB2" w:rsidRPr="00005453" w:rsidRDefault="001B4EB2" w:rsidP="001B4EB2">
            <w:pPr>
              <w:jc w:val="right"/>
              <w:rPr>
                <w:color w:val="000000"/>
                <w:sz w:val="18"/>
                <w:szCs w:val="18"/>
                <w:lang w:eastAsia="tr-TR"/>
              </w:rPr>
            </w:pPr>
            <w:r w:rsidRPr="00005453">
              <w:rPr>
                <w:color w:val="000000"/>
                <w:sz w:val="18"/>
                <w:szCs w:val="18"/>
              </w:rPr>
              <w:t>19,656,690</w:t>
            </w:r>
          </w:p>
        </w:tc>
      </w:tr>
      <w:tr w:rsidR="001B4EB2" w:rsidRPr="00005453" w14:paraId="16C9BEB7" w14:textId="77777777" w:rsidTr="00DB082B">
        <w:trPr>
          <w:divId w:val="1553420560"/>
          <w:trHeight w:val="20"/>
        </w:trPr>
        <w:tc>
          <w:tcPr>
            <w:tcW w:w="6946" w:type="dxa"/>
            <w:tcBorders>
              <w:top w:val="nil"/>
              <w:left w:val="nil"/>
              <w:bottom w:val="double" w:sz="6" w:space="0" w:color="auto"/>
              <w:right w:val="nil"/>
            </w:tcBorders>
            <w:shd w:val="clear" w:color="auto" w:fill="auto"/>
            <w:noWrap/>
            <w:vAlign w:val="center"/>
            <w:hideMark/>
          </w:tcPr>
          <w:p w14:paraId="4DDC1E4C" w14:textId="77777777" w:rsidR="001B4EB2" w:rsidRPr="00005453" w:rsidRDefault="001B4EB2" w:rsidP="001B4EB2">
            <w:pPr>
              <w:rPr>
                <w:b/>
                <w:bCs/>
                <w:color w:val="000000"/>
                <w:sz w:val="18"/>
                <w:szCs w:val="18"/>
                <w:lang w:eastAsia="tr-TR"/>
              </w:rPr>
            </w:pPr>
            <w:r w:rsidRPr="00005453">
              <w:rPr>
                <w:b/>
                <w:bCs/>
                <w:color w:val="000000"/>
                <w:sz w:val="18"/>
                <w:szCs w:val="18"/>
                <w:lang w:eastAsia="tr-TR"/>
              </w:rPr>
              <w:t>Toplam</w:t>
            </w:r>
          </w:p>
        </w:tc>
        <w:tc>
          <w:tcPr>
            <w:tcW w:w="1324" w:type="dxa"/>
            <w:tcBorders>
              <w:top w:val="single" w:sz="8" w:space="0" w:color="auto"/>
              <w:left w:val="nil"/>
              <w:bottom w:val="double" w:sz="6" w:space="0" w:color="auto"/>
              <w:right w:val="nil"/>
            </w:tcBorders>
            <w:shd w:val="clear" w:color="auto" w:fill="auto"/>
            <w:noWrap/>
            <w:vAlign w:val="center"/>
            <w:hideMark/>
          </w:tcPr>
          <w:p w14:paraId="10831E48" w14:textId="12536F05" w:rsidR="001B4EB2" w:rsidRPr="00005453" w:rsidRDefault="001B4EB2" w:rsidP="001B4EB2">
            <w:pPr>
              <w:jc w:val="right"/>
              <w:rPr>
                <w:b/>
                <w:bCs/>
                <w:color w:val="000000"/>
                <w:sz w:val="18"/>
                <w:szCs w:val="18"/>
                <w:lang w:eastAsia="tr-TR"/>
              </w:rPr>
            </w:pPr>
            <w:r w:rsidRPr="00005453">
              <w:rPr>
                <w:b/>
                <w:color w:val="000000"/>
                <w:sz w:val="18"/>
                <w:szCs w:val="18"/>
              </w:rPr>
              <w:t>453,051,654</w:t>
            </w:r>
          </w:p>
        </w:tc>
        <w:tc>
          <w:tcPr>
            <w:tcW w:w="1228" w:type="dxa"/>
            <w:tcBorders>
              <w:top w:val="single" w:sz="8" w:space="0" w:color="auto"/>
              <w:left w:val="nil"/>
              <w:bottom w:val="double" w:sz="6" w:space="0" w:color="auto"/>
              <w:right w:val="nil"/>
            </w:tcBorders>
            <w:shd w:val="clear" w:color="auto" w:fill="auto"/>
            <w:noWrap/>
            <w:vAlign w:val="center"/>
            <w:hideMark/>
          </w:tcPr>
          <w:p w14:paraId="112D6D60" w14:textId="3D22CA2B" w:rsidR="001B4EB2" w:rsidRPr="00005453" w:rsidRDefault="001B4EB2" w:rsidP="001B4EB2">
            <w:pPr>
              <w:jc w:val="right"/>
              <w:rPr>
                <w:b/>
                <w:bCs/>
                <w:color w:val="000000"/>
                <w:sz w:val="18"/>
                <w:szCs w:val="18"/>
                <w:lang w:eastAsia="tr-TR"/>
              </w:rPr>
            </w:pPr>
            <w:r w:rsidRPr="00005453">
              <w:rPr>
                <w:b/>
                <w:bCs/>
                <w:color w:val="000000"/>
                <w:sz w:val="18"/>
                <w:szCs w:val="18"/>
              </w:rPr>
              <w:t>405,751,329</w:t>
            </w:r>
          </w:p>
        </w:tc>
      </w:tr>
      <w:bookmarkEnd w:id="28"/>
    </w:tbl>
    <w:p w14:paraId="1CC511D5" w14:textId="77777777" w:rsidR="00DB082B" w:rsidRPr="00005453" w:rsidRDefault="00DB082B" w:rsidP="007303E9">
      <w:pPr>
        <w:autoSpaceDE w:val="0"/>
        <w:autoSpaceDN w:val="0"/>
        <w:adjustRightInd w:val="0"/>
        <w:jc w:val="both"/>
        <w:rPr>
          <w:sz w:val="16"/>
          <w:szCs w:val="16"/>
          <w:lang w:eastAsia="zh-CN"/>
        </w:rPr>
      </w:pPr>
    </w:p>
    <w:p w14:paraId="5B946085" w14:textId="492EA036" w:rsidR="007303E9" w:rsidRPr="00005453" w:rsidRDefault="007303E9" w:rsidP="007303E9">
      <w:pPr>
        <w:autoSpaceDE w:val="0"/>
        <w:autoSpaceDN w:val="0"/>
        <w:adjustRightInd w:val="0"/>
        <w:jc w:val="both"/>
        <w:rPr>
          <w:sz w:val="16"/>
          <w:szCs w:val="16"/>
          <w:lang w:eastAsia="zh-CN"/>
        </w:rPr>
      </w:pPr>
      <w:r w:rsidRPr="00005453">
        <w:rPr>
          <w:sz w:val="16"/>
          <w:szCs w:val="16"/>
          <w:lang w:eastAsia="zh-CN"/>
        </w:rPr>
        <w:t>(*)    Kredi riski azaltımı öncesi, krediye dönüşüm oranı sonrası risk tutarları verilmiştir.</w:t>
      </w:r>
    </w:p>
    <w:p w14:paraId="6647A9A7" w14:textId="77777777" w:rsidR="007303E9" w:rsidRPr="00005453" w:rsidRDefault="007303E9" w:rsidP="007303E9">
      <w:pPr>
        <w:autoSpaceDE w:val="0"/>
        <w:autoSpaceDN w:val="0"/>
        <w:adjustRightInd w:val="0"/>
        <w:jc w:val="both"/>
        <w:rPr>
          <w:sz w:val="16"/>
          <w:szCs w:val="16"/>
          <w:lang w:eastAsia="zh-CN"/>
        </w:rPr>
      </w:pPr>
      <w:r w:rsidRPr="00005453">
        <w:rPr>
          <w:sz w:val="16"/>
          <w:szCs w:val="16"/>
          <w:lang w:eastAsia="zh-CN"/>
        </w:rPr>
        <w:t>(**</w:t>
      </w:r>
      <w:proofErr w:type="gramStart"/>
      <w:r w:rsidRPr="00005453">
        <w:rPr>
          <w:sz w:val="16"/>
          <w:szCs w:val="16"/>
          <w:lang w:eastAsia="zh-CN"/>
        </w:rPr>
        <w:t>)  Ortalama</w:t>
      </w:r>
      <w:proofErr w:type="gramEnd"/>
      <w:r w:rsidRPr="00005453">
        <w:rPr>
          <w:sz w:val="16"/>
          <w:szCs w:val="16"/>
          <w:lang w:eastAsia="zh-CN"/>
        </w:rPr>
        <w:t xml:space="preserve"> risk tutarı, Bankaların Sermaye Yeterliliğinin Ölçülmesine ve Değerlendirilmesine İlişkin Yönetmelik uyarınca aylık olarak hazırlanan      </w:t>
      </w:r>
    </w:p>
    <w:p w14:paraId="6644559D" w14:textId="77777777" w:rsidR="007303E9" w:rsidRPr="00005453" w:rsidRDefault="007303E9" w:rsidP="007303E9">
      <w:pPr>
        <w:autoSpaceDE w:val="0"/>
        <w:autoSpaceDN w:val="0"/>
        <w:adjustRightInd w:val="0"/>
        <w:jc w:val="both"/>
        <w:rPr>
          <w:sz w:val="16"/>
          <w:szCs w:val="16"/>
          <w:lang w:eastAsia="zh-CN"/>
        </w:rPr>
      </w:pPr>
      <w:r w:rsidRPr="00005453">
        <w:rPr>
          <w:sz w:val="16"/>
          <w:szCs w:val="16"/>
          <w:lang w:eastAsia="zh-CN"/>
        </w:rPr>
        <w:t xml:space="preserve">         </w:t>
      </w:r>
      <w:proofErr w:type="gramStart"/>
      <w:r w:rsidRPr="00005453">
        <w:rPr>
          <w:sz w:val="16"/>
          <w:szCs w:val="16"/>
          <w:lang w:eastAsia="zh-CN"/>
        </w:rPr>
        <w:t>raporlardaki</w:t>
      </w:r>
      <w:proofErr w:type="gramEnd"/>
      <w:r w:rsidRPr="00005453">
        <w:rPr>
          <w:sz w:val="16"/>
          <w:szCs w:val="16"/>
          <w:lang w:eastAsia="zh-CN"/>
        </w:rPr>
        <w:t xml:space="preserve"> değerlerin aritmetik ortalaması alınarak tespit edilmiştir.</w:t>
      </w:r>
    </w:p>
    <w:p w14:paraId="2AB842DC" w14:textId="77777777" w:rsidR="0054031F" w:rsidRPr="00005453" w:rsidRDefault="0054031F" w:rsidP="0054031F">
      <w:pPr>
        <w:pStyle w:val="BodyText"/>
        <w:jc w:val="left"/>
        <w:rPr>
          <w:rFonts w:eastAsia="Arial Unicode MS"/>
          <w:color w:val="000000"/>
        </w:rPr>
      </w:pPr>
    </w:p>
    <w:p w14:paraId="79E9A94A" w14:textId="77777777" w:rsidR="0054031F" w:rsidRPr="00005453" w:rsidRDefault="0054031F" w:rsidP="0054031F">
      <w:pPr>
        <w:pStyle w:val="BodyText"/>
        <w:jc w:val="left"/>
        <w:rPr>
          <w:rFonts w:eastAsia="Arial Unicode MS"/>
          <w:color w:val="000000"/>
        </w:rPr>
      </w:pPr>
    </w:p>
    <w:p w14:paraId="24D5160C" w14:textId="5C23E8A5" w:rsidR="0054031F" w:rsidRPr="00005453" w:rsidRDefault="0054031F" w:rsidP="005018C5">
      <w:pPr>
        <w:pStyle w:val="BodyText"/>
        <w:ind w:hanging="709"/>
        <w:jc w:val="left"/>
        <w:rPr>
          <w:b/>
          <w:sz w:val="18"/>
          <w:szCs w:val="18"/>
          <w:lang w:eastAsia="tr-TR"/>
        </w:rPr>
      </w:pPr>
      <w:r w:rsidRPr="00005453">
        <w:rPr>
          <w:rFonts w:eastAsia="Arial Unicode MS"/>
          <w:color w:val="000000"/>
        </w:rPr>
        <w:br w:type="page"/>
      </w:r>
      <w:bookmarkStart w:id="29" w:name="_Hlk125289540"/>
      <w:r w:rsidRPr="00005453">
        <w:rPr>
          <w:b/>
          <w:sz w:val="18"/>
          <w:szCs w:val="18"/>
          <w:lang w:eastAsia="tr-TR"/>
        </w:rPr>
        <w:lastRenderedPageBreak/>
        <w:t>2.1</w:t>
      </w:r>
      <w:r w:rsidRPr="00005453">
        <w:rPr>
          <w:rFonts w:eastAsia="Arial Unicode MS"/>
          <w:color w:val="000000"/>
        </w:rPr>
        <w:t>.</w:t>
      </w:r>
      <w:r w:rsidRPr="00005453">
        <w:rPr>
          <w:b/>
          <w:sz w:val="18"/>
          <w:szCs w:val="18"/>
          <w:lang w:eastAsia="tr-TR"/>
        </w:rPr>
        <w:t xml:space="preserve">      </w:t>
      </w:r>
      <w:r w:rsidR="005018C5" w:rsidRPr="00005453">
        <w:rPr>
          <w:b/>
          <w:sz w:val="18"/>
          <w:szCs w:val="18"/>
          <w:lang w:eastAsia="tr-TR"/>
        </w:rPr>
        <w:tab/>
      </w:r>
      <w:r w:rsidRPr="00005453">
        <w:rPr>
          <w:b/>
          <w:sz w:val="18"/>
          <w:szCs w:val="18"/>
          <w:lang w:eastAsia="tr-TR"/>
        </w:rPr>
        <w:t>Önemli Bölgelerdeki Önemlilik Arz Eden Risklere İlişkin Profil</w:t>
      </w:r>
    </w:p>
    <w:p w14:paraId="09D3116B" w14:textId="40CB3508" w:rsidR="00185B92" w:rsidRPr="00005453" w:rsidRDefault="00185B92" w:rsidP="0054031F">
      <w:pPr>
        <w:pStyle w:val="BodyText"/>
        <w:ind w:hanging="567"/>
        <w:jc w:val="left"/>
        <w:rPr>
          <w:lang w:val="de-DE" w:eastAsia="en-GB"/>
        </w:rPr>
      </w:pPr>
    </w:p>
    <w:tbl>
      <w:tblPr>
        <w:tblW w:w="11118" w:type="dxa"/>
        <w:tblInd w:w="-739" w:type="dxa"/>
        <w:tblLayout w:type="fixed"/>
        <w:tblCellMar>
          <w:left w:w="70" w:type="dxa"/>
          <w:right w:w="70" w:type="dxa"/>
        </w:tblCellMar>
        <w:tblLook w:val="04A0" w:firstRow="1" w:lastRow="0" w:firstColumn="1" w:lastColumn="0" w:noHBand="0" w:noVBand="1"/>
      </w:tblPr>
      <w:tblGrid>
        <w:gridCol w:w="1690"/>
        <w:gridCol w:w="892"/>
        <w:gridCol w:w="830"/>
        <w:gridCol w:w="794"/>
        <w:gridCol w:w="786"/>
        <w:gridCol w:w="706"/>
        <w:gridCol w:w="928"/>
        <w:gridCol w:w="661"/>
        <w:gridCol w:w="727"/>
        <w:gridCol w:w="795"/>
        <w:gridCol w:w="793"/>
        <w:gridCol w:w="687"/>
        <w:gridCol w:w="829"/>
      </w:tblGrid>
      <w:tr w:rsidR="00130A3A" w:rsidRPr="00005453" w14:paraId="55321675" w14:textId="77777777" w:rsidTr="00622EDE">
        <w:trPr>
          <w:trHeight w:val="462"/>
        </w:trPr>
        <w:tc>
          <w:tcPr>
            <w:tcW w:w="1690" w:type="dxa"/>
            <w:tcBorders>
              <w:top w:val="single" w:sz="8" w:space="0" w:color="auto"/>
              <w:left w:val="nil"/>
              <w:bottom w:val="single" w:sz="8" w:space="0" w:color="auto"/>
              <w:right w:val="nil"/>
            </w:tcBorders>
            <w:shd w:val="clear" w:color="auto" w:fill="auto"/>
            <w:vAlign w:val="center"/>
            <w:hideMark/>
          </w:tcPr>
          <w:p w14:paraId="1F24E43A" w14:textId="77777777" w:rsidR="00130A3A" w:rsidRPr="00005453" w:rsidRDefault="00130A3A" w:rsidP="00130A3A">
            <w:pPr>
              <w:rPr>
                <w:b/>
                <w:bCs/>
                <w:color w:val="000000"/>
                <w:sz w:val="12"/>
                <w:szCs w:val="12"/>
                <w:lang w:eastAsia="tr-TR"/>
              </w:rPr>
            </w:pPr>
            <w:r w:rsidRPr="00005453">
              <w:rPr>
                <w:b/>
                <w:bCs/>
                <w:color w:val="000000"/>
                <w:sz w:val="12"/>
                <w:szCs w:val="12"/>
                <w:lang w:eastAsia="tr-TR"/>
              </w:rPr>
              <w:t>Cari Dönem (*)</w:t>
            </w:r>
          </w:p>
        </w:tc>
        <w:tc>
          <w:tcPr>
            <w:tcW w:w="892" w:type="dxa"/>
            <w:tcBorders>
              <w:top w:val="single" w:sz="8" w:space="0" w:color="auto"/>
              <w:left w:val="nil"/>
              <w:bottom w:val="single" w:sz="8" w:space="0" w:color="auto"/>
              <w:right w:val="nil"/>
            </w:tcBorders>
            <w:shd w:val="clear" w:color="auto" w:fill="auto"/>
            <w:vAlign w:val="center"/>
            <w:hideMark/>
          </w:tcPr>
          <w:p w14:paraId="65544C7A"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Merkezi yönetimlerden veya merkez bankalarından şarta bağlı olan ve olmayan alacaklar</w:t>
            </w:r>
          </w:p>
        </w:tc>
        <w:tc>
          <w:tcPr>
            <w:tcW w:w="830" w:type="dxa"/>
            <w:tcBorders>
              <w:top w:val="single" w:sz="8" w:space="0" w:color="auto"/>
              <w:left w:val="nil"/>
              <w:bottom w:val="single" w:sz="8" w:space="0" w:color="auto"/>
              <w:right w:val="nil"/>
            </w:tcBorders>
            <w:shd w:val="clear" w:color="auto" w:fill="auto"/>
            <w:vAlign w:val="center"/>
            <w:hideMark/>
          </w:tcPr>
          <w:p w14:paraId="6E06C221"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Çok Taraflı Kalkınma Bankalarından Şarta Bağlı Olan ve Olmayan Alacaklar</w:t>
            </w:r>
          </w:p>
        </w:tc>
        <w:tc>
          <w:tcPr>
            <w:tcW w:w="794" w:type="dxa"/>
            <w:tcBorders>
              <w:top w:val="single" w:sz="8" w:space="0" w:color="auto"/>
              <w:left w:val="nil"/>
              <w:bottom w:val="single" w:sz="8" w:space="0" w:color="auto"/>
              <w:right w:val="nil"/>
            </w:tcBorders>
            <w:shd w:val="clear" w:color="auto" w:fill="auto"/>
            <w:vAlign w:val="center"/>
            <w:hideMark/>
          </w:tcPr>
          <w:p w14:paraId="145255B7"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Bankalar ve aracı kurumlardan şarta bağlı olan ve olmayan alacaklar</w:t>
            </w:r>
          </w:p>
        </w:tc>
        <w:tc>
          <w:tcPr>
            <w:tcW w:w="786" w:type="dxa"/>
            <w:tcBorders>
              <w:top w:val="single" w:sz="8" w:space="0" w:color="auto"/>
              <w:left w:val="nil"/>
              <w:bottom w:val="single" w:sz="8" w:space="0" w:color="auto"/>
              <w:right w:val="nil"/>
            </w:tcBorders>
            <w:shd w:val="clear" w:color="auto" w:fill="auto"/>
            <w:vAlign w:val="center"/>
            <w:hideMark/>
          </w:tcPr>
          <w:p w14:paraId="35AF0C59"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Şarta bağlı olan ve olmayan kurumsal alacaklar</w:t>
            </w:r>
          </w:p>
        </w:tc>
        <w:tc>
          <w:tcPr>
            <w:tcW w:w="706" w:type="dxa"/>
            <w:tcBorders>
              <w:top w:val="single" w:sz="8" w:space="0" w:color="auto"/>
              <w:left w:val="nil"/>
              <w:bottom w:val="single" w:sz="8" w:space="0" w:color="auto"/>
              <w:right w:val="nil"/>
            </w:tcBorders>
            <w:shd w:val="clear" w:color="auto" w:fill="auto"/>
            <w:vAlign w:val="center"/>
            <w:hideMark/>
          </w:tcPr>
          <w:p w14:paraId="17797505"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Şarta bağlı olan ve olmayan perakende alacaklar</w:t>
            </w:r>
          </w:p>
        </w:tc>
        <w:tc>
          <w:tcPr>
            <w:tcW w:w="928" w:type="dxa"/>
            <w:tcBorders>
              <w:top w:val="single" w:sz="8" w:space="0" w:color="auto"/>
              <w:left w:val="nil"/>
              <w:bottom w:val="single" w:sz="8" w:space="0" w:color="auto"/>
              <w:right w:val="nil"/>
            </w:tcBorders>
            <w:shd w:val="clear" w:color="auto" w:fill="auto"/>
            <w:vAlign w:val="center"/>
            <w:hideMark/>
          </w:tcPr>
          <w:p w14:paraId="298B0D9F"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Şarta bağlı olan ve olmayan gayrimenkul ipoteğiyle teminatlandırılmış alacaklar</w:t>
            </w:r>
          </w:p>
        </w:tc>
        <w:tc>
          <w:tcPr>
            <w:tcW w:w="661" w:type="dxa"/>
            <w:tcBorders>
              <w:top w:val="single" w:sz="8" w:space="0" w:color="auto"/>
              <w:left w:val="nil"/>
              <w:bottom w:val="single" w:sz="8" w:space="0" w:color="auto"/>
              <w:right w:val="nil"/>
            </w:tcBorders>
            <w:shd w:val="clear" w:color="auto" w:fill="auto"/>
            <w:vAlign w:val="center"/>
            <w:hideMark/>
          </w:tcPr>
          <w:p w14:paraId="56964734"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Tahsili gecikmiş alacaklar</w:t>
            </w:r>
          </w:p>
        </w:tc>
        <w:tc>
          <w:tcPr>
            <w:tcW w:w="727" w:type="dxa"/>
            <w:tcBorders>
              <w:top w:val="single" w:sz="8" w:space="0" w:color="auto"/>
              <w:left w:val="nil"/>
              <w:bottom w:val="single" w:sz="8" w:space="0" w:color="auto"/>
              <w:right w:val="nil"/>
            </w:tcBorders>
            <w:shd w:val="clear" w:color="auto" w:fill="auto"/>
            <w:vAlign w:val="center"/>
            <w:hideMark/>
          </w:tcPr>
          <w:p w14:paraId="5E3689CE"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Kurulca riski yüksek olarak belirlenen alacaklar</w:t>
            </w:r>
          </w:p>
        </w:tc>
        <w:tc>
          <w:tcPr>
            <w:tcW w:w="795" w:type="dxa"/>
            <w:tcBorders>
              <w:top w:val="single" w:sz="8" w:space="0" w:color="auto"/>
              <w:left w:val="nil"/>
              <w:bottom w:val="single" w:sz="8" w:space="0" w:color="auto"/>
              <w:right w:val="nil"/>
            </w:tcBorders>
            <w:shd w:val="clear" w:color="auto" w:fill="auto"/>
            <w:vAlign w:val="center"/>
            <w:hideMark/>
          </w:tcPr>
          <w:p w14:paraId="6D517D99"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Kolektif yatırım kuruluşu niteliğindeki yatırımlar</w:t>
            </w:r>
          </w:p>
        </w:tc>
        <w:tc>
          <w:tcPr>
            <w:tcW w:w="793" w:type="dxa"/>
            <w:tcBorders>
              <w:top w:val="single" w:sz="8" w:space="0" w:color="auto"/>
              <w:left w:val="nil"/>
              <w:bottom w:val="single" w:sz="8" w:space="0" w:color="auto"/>
              <w:right w:val="nil"/>
            </w:tcBorders>
            <w:shd w:val="clear" w:color="auto" w:fill="auto"/>
            <w:vAlign w:val="center"/>
            <w:hideMark/>
          </w:tcPr>
          <w:p w14:paraId="6A4C47A6"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Hisse Senedi Yatırımları</w:t>
            </w:r>
          </w:p>
        </w:tc>
        <w:tc>
          <w:tcPr>
            <w:tcW w:w="687" w:type="dxa"/>
            <w:tcBorders>
              <w:top w:val="single" w:sz="8" w:space="0" w:color="auto"/>
              <w:left w:val="nil"/>
              <w:bottom w:val="single" w:sz="8" w:space="0" w:color="auto"/>
              <w:right w:val="nil"/>
            </w:tcBorders>
            <w:shd w:val="clear" w:color="auto" w:fill="auto"/>
            <w:vAlign w:val="center"/>
            <w:hideMark/>
          </w:tcPr>
          <w:p w14:paraId="0B6588E5"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Diğer Alacaklar</w:t>
            </w:r>
          </w:p>
        </w:tc>
        <w:tc>
          <w:tcPr>
            <w:tcW w:w="829" w:type="dxa"/>
            <w:tcBorders>
              <w:top w:val="single" w:sz="8" w:space="0" w:color="auto"/>
              <w:left w:val="nil"/>
              <w:bottom w:val="single" w:sz="8" w:space="0" w:color="auto"/>
              <w:right w:val="nil"/>
            </w:tcBorders>
            <w:shd w:val="clear" w:color="auto" w:fill="auto"/>
            <w:vAlign w:val="center"/>
            <w:hideMark/>
          </w:tcPr>
          <w:p w14:paraId="514167A5" w14:textId="77777777" w:rsidR="00130A3A" w:rsidRPr="00005453" w:rsidRDefault="00130A3A" w:rsidP="00130A3A">
            <w:pPr>
              <w:jc w:val="right"/>
              <w:rPr>
                <w:b/>
                <w:bCs/>
                <w:color w:val="000000"/>
                <w:sz w:val="12"/>
                <w:szCs w:val="12"/>
                <w:lang w:eastAsia="tr-TR"/>
              </w:rPr>
            </w:pPr>
            <w:r w:rsidRPr="00005453">
              <w:rPr>
                <w:b/>
                <w:bCs/>
                <w:color w:val="000000"/>
                <w:sz w:val="12"/>
                <w:szCs w:val="12"/>
                <w:lang w:eastAsia="tr-TR"/>
              </w:rPr>
              <w:t>Toplam</w:t>
            </w:r>
          </w:p>
        </w:tc>
      </w:tr>
      <w:tr w:rsidR="00622EDE" w:rsidRPr="00005453" w14:paraId="68BD85AC" w14:textId="77777777" w:rsidTr="00622EDE">
        <w:trPr>
          <w:trHeight w:val="113"/>
        </w:trPr>
        <w:tc>
          <w:tcPr>
            <w:tcW w:w="1690" w:type="dxa"/>
            <w:tcBorders>
              <w:top w:val="nil"/>
              <w:left w:val="nil"/>
              <w:bottom w:val="nil"/>
              <w:right w:val="nil"/>
            </w:tcBorders>
            <w:shd w:val="clear" w:color="auto" w:fill="auto"/>
            <w:hideMark/>
          </w:tcPr>
          <w:p w14:paraId="7D946775" w14:textId="77777777" w:rsidR="00622EDE" w:rsidRPr="00005453" w:rsidRDefault="00622EDE" w:rsidP="00622EDE">
            <w:pPr>
              <w:rPr>
                <w:color w:val="000000"/>
                <w:sz w:val="12"/>
                <w:szCs w:val="12"/>
                <w:lang w:eastAsia="tr-TR"/>
              </w:rPr>
            </w:pPr>
            <w:r w:rsidRPr="00005453">
              <w:rPr>
                <w:color w:val="000000"/>
                <w:sz w:val="12"/>
                <w:szCs w:val="12"/>
                <w:lang w:eastAsia="tr-TR"/>
              </w:rPr>
              <w:t>Yurt içi</w:t>
            </w:r>
          </w:p>
        </w:tc>
        <w:tc>
          <w:tcPr>
            <w:tcW w:w="892" w:type="dxa"/>
            <w:tcBorders>
              <w:top w:val="nil"/>
              <w:left w:val="nil"/>
              <w:bottom w:val="nil"/>
              <w:right w:val="nil"/>
            </w:tcBorders>
            <w:shd w:val="clear" w:color="auto" w:fill="auto"/>
            <w:vAlign w:val="center"/>
            <w:hideMark/>
          </w:tcPr>
          <w:p w14:paraId="4151F55B" w14:textId="373D1FAD" w:rsidR="00622EDE" w:rsidRPr="00005453" w:rsidRDefault="00622EDE" w:rsidP="00622EDE">
            <w:pPr>
              <w:jc w:val="right"/>
              <w:rPr>
                <w:color w:val="000000"/>
                <w:sz w:val="12"/>
                <w:szCs w:val="12"/>
                <w:lang w:eastAsia="tr-TR"/>
              </w:rPr>
            </w:pPr>
            <w:r w:rsidRPr="00005453">
              <w:rPr>
                <w:color w:val="000000"/>
                <w:sz w:val="12"/>
                <w:szCs w:val="16"/>
              </w:rPr>
              <w:t>264,873,248</w:t>
            </w:r>
          </w:p>
        </w:tc>
        <w:tc>
          <w:tcPr>
            <w:tcW w:w="830" w:type="dxa"/>
            <w:tcBorders>
              <w:top w:val="nil"/>
              <w:left w:val="nil"/>
              <w:bottom w:val="nil"/>
              <w:right w:val="nil"/>
            </w:tcBorders>
            <w:shd w:val="clear" w:color="auto" w:fill="auto"/>
            <w:vAlign w:val="center"/>
            <w:hideMark/>
          </w:tcPr>
          <w:p w14:paraId="003E75A9" w14:textId="595098CF"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vAlign w:val="center"/>
            <w:hideMark/>
          </w:tcPr>
          <w:p w14:paraId="77348073" w14:textId="04869898" w:rsidR="00622EDE" w:rsidRPr="00005453" w:rsidRDefault="00622EDE" w:rsidP="00622EDE">
            <w:pPr>
              <w:jc w:val="right"/>
              <w:rPr>
                <w:color w:val="000000"/>
                <w:sz w:val="12"/>
                <w:szCs w:val="12"/>
                <w:lang w:eastAsia="tr-TR"/>
              </w:rPr>
            </w:pPr>
            <w:r w:rsidRPr="00005453">
              <w:rPr>
                <w:color w:val="000000"/>
                <w:sz w:val="12"/>
                <w:szCs w:val="16"/>
              </w:rPr>
              <w:t>8,571,504</w:t>
            </w:r>
          </w:p>
        </w:tc>
        <w:tc>
          <w:tcPr>
            <w:tcW w:w="786" w:type="dxa"/>
            <w:tcBorders>
              <w:top w:val="nil"/>
              <w:left w:val="nil"/>
              <w:bottom w:val="nil"/>
              <w:right w:val="nil"/>
            </w:tcBorders>
            <w:shd w:val="clear" w:color="auto" w:fill="auto"/>
            <w:vAlign w:val="center"/>
            <w:hideMark/>
          </w:tcPr>
          <w:p w14:paraId="3430B47D" w14:textId="1028BB89" w:rsidR="00622EDE" w:rsidRPr="00005453" w:rsidRDefault="00622EDE" w:rsidP="00622EDE">
            <w:pPr>
              <w:jc w:val="right"/>
              <w:rPr>
                <w:color w:val="000000"/>
                <w:sz w:val="12"/>
                <w:szCs w:val="12"/>
                <w:lang w:eastAsia="tr-TR"/>
              </w:rPr>
            </w:pPr>
            <w:r w:rsidRPr="00005453">
              <w:rPr>
                <w:color w:val="000000"/>
                <w:sz w:val="12"/>
                <w:szCs w:val="16"/>
              </w:rPr>
              <w:t>168,208,790</w:t>
            </w:r>
          </w:p>
        </w:tc>
        <w:tc>
          <w:tcPr>
            <w:tcW w:w="706" w:type="dxa"/>
            <w:tcBorders>
              <w:top w:val="nil"/>
              <w:left w:val="nil"/>
              <w:bottom w:val="nil"/>
              <w:right w:val="nil"/>
            </w:tcBorders>
            <w:shd w:val="clear" w:color="auto" w:fill="auto"/>
            <w:vAlign w:val="center"/>
            <w:hideMark/>
          </w:tcPr>
          <w:p w14:paraId="4B88F940" w14:textId="2DFCCD27" w:rsidR="00622EDE" w:rsidRPr="00005453" w:rsidRDefault="00622EDE" w:rsidP="00622EDE">
            <w:pPr>
              <w:jc w:val="right"/>
              <w:rPr>
                <w:color w:val="000000"/>
                <w:sz w:val="12"/>
                <w:szCs w:val="12"/>
                <w:lang w:eastAsia="tr-TR"/>
              </w:rPr>
            </w:pPr>
            <w:r w:rsidRPr="00005453">
              <w:rPr>
                <w:color w:val="000000"/>
                <w:sz w:val="12"/>
                <w:szCs w:val="16"/>
              </w:rPr>
              <w:t>80,670,857</w:t>
            </w:r>
          </w:p>
        </w:tc>
        <w:tc>
          <w:tcPr>
            <w:tcW w:w="928" w:type="dxa"/>
            <w:tcBorders>
              <w:top w:val="nil"/>
              <w:left w:val="nil"/>
              <w:bottom w:val="nil"/>
              <w:right w:val="nil"/>
            </w:tcBorders>
            <w:shd w:val="clear" w:color="auto" w:fill="auto"/>
            <w:vAlign w:val="center"/>
            <w:hideMark/>
          </w:tcPr>
          <w:p w14:paraId="60CEDDEC" w14:textId="667BFB88" w:rsidR="00622EDE" w:rsidRPr="00005453" w:rsidRDefault="00622EDE" w:rsidP="00622EDE">
            <w:pPr>
              <w:jc w:val="right"/>
              <w:rPr>
                <w:color w:val="000000"/>
                <w:sz w:val="12"/>
                <w:szCs w:val="12"/>
                <w:lang w:eastAsia="tr-TR"/>
              </w:rPr>
            </w:pPr>
            <w:r w:rsidRPr="00005453">
              <w:rPr>
                <w:color w:val="000000"/>
                <w:sz w:val="12"/>
                <w:szCs w:val="16"/>
              </w:rPr>
              <w:t>100,697,015</w:t>
            </w:r>
          </w:p>
        </w:tc>
        <w:tc>
          <w:tcPr>
            <w:tcW w:w="661" w:type="dxa"/>
            <w:tcBorders>
              <w:top w:val="nil"/>
              <w:left w:val="nil"/>
              <w:bottom w:val="nil"/>
              <w:right w:val="nil"/>
            </w:tcBorders>
            <w:shd w:val="clear" w:color="auto" w:fill="auto"/>
            <w:vAlign w:val="center"/>
            <w:hideMark/>
          </w:tcPr>
          <w:p w14:paraId="7B24801F" w14:textId="29ABA365" w:rsidR="00622EDE" w:rsidRPr="00005453" w:rsidRDefault="00622EDE" w:rsidP="00622EDE">
            <w:pPr>
              <w:jc w:val="right"/>
              <w:rPr>
                <w:color w:val="000000"/>
                <w:sz w:val="12"/>
                <w:szCs w:val="12"/>
                <w:lang w:eastAsia="tr-TR"/>
              </w:rPr>
            </w:pPr>
            <w:r w:rsidRPr="00005453">
              <w:rPr>
                <w:color w:val="000000"/>
                <w:sz w:val="12"/>
                <w:szCs w:val="16"/>
              </w:rPr>
              <w:t>517,771</w:t>
            </w:r>
          </w:p>
        </w:tc>
        <w:tc>
          <w:tcPr>
            <w:tcW w:w="727" w:type="dxa"/>
            <w:tcBorders>
              <w:top w:val="nil"/>
              <w:left w:val="nil"/>
              <w:bottom w:val="nil"/>
              <w:right w:val="nil"/>
            </w:tcBorders>
            <w:shd w:val="clear" w:color="auto" w:fill="auto"/>
            <w:vAlign w:val="center"/>
            <w:hideMark/>
          </w:tcPr>
          <w:p w14:paraId="425419DA" w14:textId="27ED58A8" w:rsidR="00622EDE" w:rsidRPr="00005453" w:rsidRDefault="00622EDE" w:rsidP="00622EDE">
            <w:pPr>
              <w:jc w:val="right"/>
              <w:rPr>
                <w:color w:val="000000"/>
                <w:sz w:val="12"/>
                <w:szCs w:val="12"/>
                <w:lang w:eastAsia="tr-TR"/>
              </w:rPr>
            </w:pPr>
            <w:r w:rsidRPr="00005453">
              <w:rPr>
                <w:color w:val="000000"/>
                <w:sz w:val="12"/>
                <w:szCs w:val="16"/>
              </w:rPr>
              <w:t>1,593,687</w:t>
            </w:r>
          </w:p>
        </w:tc>
        <w:tc>
          <w:tcPr>
            <w:tcW w:w="795" w:type="dxa"/>
            <w:tcBorders>
              <w:top w:val="nil"/>
              <w:left w:val="nil"/>
              <w:bottom w:val="nil"/>
              <w:right w:val="nil"/>
            </w:tcBorders>
            <w:shd w:val="clear" w:color="auto" w:fill="auto"/>
            <w:vAlign w:val="center"/>
            <w:hideMark/>
          </w:tcPr>
          <w:p w14:paraId="2F708BF3" w14:textId="5717EF7C"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0BB5B542" w14:textId="01C069E3"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nil"/>
              <w:right w:val="nil"/>
            </w:tcBorders>
            <w:shd w:val="clear" w:color="auto" w:fill="auto"/>
            <w:vAlign w:val="center"/>
            <w:hideMark/>
          </w:tcPr>
          <w:p w14:paraId="54F75F7F" w14:textId="2D4FCDB8"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31175FA8" w14:textId="5841ACC3" w:rsidR="00622EDE" w:rsidRPr="00005453" w:rsidRDefault="00622EDE" w:rsidP="00622EDE">
            <w:pPr>
              <w:jc w:val="right"/>
              <w:rPr>
                <w:color w:val="000000"/>
                <w:sz w:val="12"/>
                <w:szCs w:val="12"/>
                <w:lang w:eastAsia="tr-TR"/>
              </w:rPr>
            </w:pPr>
            <w:r w:rsidRPr="00005453">
              <w:rPr>
                <w:color w:val="000000"/>
                <w:sz w:val="12"/>
                <w:szCs w:val="12"/>
              </w:rPr>
              <w:t>625,132,872</w:t>
            </w:r>
          </w:p>
        </w:tc>
      </w:tr>
      <w:tr w:rsidR="00622EDE" w:rsidRPr="00005453" w14:paraId="38571FA9" w14:textId="77777777" w:rsidTr="00622EDE">
        <w:trPr>
          <w:trHeight w:val="113"/>
        </w:trPr>
        <w:tc>
          <w:tcPr>
            <w:tcW w:w="1690" w:type="dxa"/>
            <w:tcBorders>
              <w:top w:val="nil"/>
              <w:left w:val="nil"/>
              <w:bottom w:val="nil"/>
              <w:right w:val="nil"/>
            </w:tcBorders>
            <w:shd w:val="clear" w:color="auto" w:fill="auto"/>
            <w:hideMark/>
          </w:tcPr>
          <w:p w14:paraId="49BE08ED" w14:textId="77777777" w:rsidR="00622EDE" w:rsidRPr="00005453" w:rsidRDefault="00622EDE" w:rsidP="00622EDE">
            <w:pPr>
              <w:rPr>
                <w:color w:val="000000"/>
                <w:sz w:val="12"/>
                <w:szCs w:val="12"/>
                <w:lang w:eastAsia="tr-TR"/>
              </w:rPr>
            </w:pPr>
            <w:r w:rsidRPr="00005453">
              <w:rPr>
                <w:color w:val="000000"/>
                <w:sz w:val="12"/>
                <w:szCs w:val="12"/>
                <w:lang w:eastAsia="tr-TR"/>
              </w:rPr>
              <w:t>Avrupa Birliği Ülkeleri</w:t>
            </w:r>
          </w:p>
        </w:tc>
        <w:tc>
          <w:tcPr>
            <w:tcW w:w="892" w:type="dxa"/>
            <w:tcBorders>
              <w:top w:val="nil"/>
              <w:left w:val="nil"/>
              <w:bottom w:val="nil"/>
              <w:right w:val="nil"/>
            </w:tcBorders>
            <w:shd w:val="clear" w:color="auto" w:fill="auto"/>
            <w:vAlign w:val="center"/>
            <w:hideMark/>
          </w:tcPr>
          <w:p w14:paraId="1A694617" w14:textId="69947F9B"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nil"/>
              <w:right w:val="nil"/>
            </w:tcBorders>
            <w:shd w:val="clear" w:color="auto" w:fill="auto"/>
            <w:vAlign w:val="center"/>
            <w:hideMark/>
          </w:tcPr>
          <w:p w14:paraId="53B2999A" w14:textId="1EFE4AC0"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vAlign w:val="center"/>
            <w:hideMark/>
          </w:tcPr>
          <w:p w14:paraId="05BB7A19" w14:textId="69835BF3" w:rsidR="00622EDE" w:rsidRPr="00005453" w:rsidRDefault="00622EDE" w:rsidP="00622EDE">
            <w:pPr>
              <w:jc w:val="right"/>
              <w:rPr>
                <w:color w:val="000000"/>
                <w:sz w:val="12"/>
                <w:szCs w:val="12"/>
                <w:lang w:eastAsia="tr-TR"/>
              </w:rPr>
            </w:pPr>
            <w:r w:rsidRPr="00005453">
              <w:rPr>
                <w:color w:val="000000"/>
                <w:sz w:val="12"/>
                <w:szCs w:val="16"/>
              </w:rPr>
              <w:t>959,693</w:t>
            </w:r>
          </w:p>
        </w:tc>
        <w:tc>
          <w:tcPr>
            <w:tcW w:w="786" w:type="dxa"/>
            <w:tcBorders>
              <w:top w:val="nil"/>
              <w:left w:val="nil"/>
              <w:bottom w:val="nil"/>
              <w:right w:val="nil"/>
            </w:tcBorders>
            <w:shd w:val="clear" w:color="auto" w:fill="auto"/>
            <w:vAlign w:val="center"/>
            <w:hideMark/>
          </w:tcPr>
          <w:p w14:paraId="0447B9B2" w14:textId="0513F405" w:rsidR="00622EDE" w:rsidRPr="00005453" w:rsidRDefault="00622EDE" w:rsidP="00622EDE">
            <w:pPr>
              <w:jc w:val="right"/>
              <w:rPr>
                <w:color w:val="000000"/>
                <w:sz w:val="12"/>
                <w:szCs w:val="12"/>
                <w:lang w:eastAsia="tr-TR"/>
              </w:rPr>
            </w:pPr>
            <w:r w:rsidRPr="00005453">
              <w:rPr>
                <w:color w:val="000000"/>
                <w:sz w:val="12"/>
                <w:szCs w:val="16"/>
              </w:rPr>
              <w:t>237,125</w:t>
            </w:r>
          </w:p>
        </w:tc>
        <w:tc>
          <w:tcPr>
            <w:tcW w:w="706" w:type="dxa"/>
            <w:tcBorders>
              <w:top w:val="nil"/>
              <w:left w:val="nil"/>
              <w:bottom w:val="nil"/>
              <w:right w:val="nil"/>
            </w:tcBorders>
            <w:shd w:val="clear" w:color="auto" w:fill="auto"/>
            <w:vAlign w:val="center"/>
            <w:hideMark/>
          </w:tcPr>
          <w:p w14:paraId="4EABA65F" w14:textId="30BBF6DA" w:rsidR="00622EDE" w:rsidRPr="00005453" w:rsidRDefault="00622EDE" w:rsidP="00622EDE">
            <w:pPr>
              <w:jc w:val="right"/>
              <w:rPr>
                <w:color w:val="000000"/>
                <w:sz w:val="12"/>
                <w:szCs w:val="12"/>
                <w:lang w:eastAsia="tr-TR"/>
              </w:rPr>
            </w:pPr>
            <w:r w:rsidRPr="00005453">
              <w:rPr>
                <w:color w:val="000000"/>
                <w:sz w:val="12"/>
                <w:szCs w:val="16"/>
              </w:rPr>
              <w:t>33,619</w:t>
            </w:r>
          </w:p>
        </w:tc>
        <w:tc>
          <w:tcPr>
            <w:tcW w:w="928" w:type="dxa"/>
            <w:tcBorders>
              <w:top w:val="nil"/>
              <w:left w:val="nil"/>
              <w:bottom w:val="nil"/>
              <w:right w:val="nil"/>
            </w:tcBorders>
            <w:shd w:val="clear" w:color="auto" w:fill="auto"/>
            <w:vAlign w:val="center"/>
            <w:hideMark/>
          </w:tcPr>
          <w:p w14:paraId="2A1A7A02" w14:textId="4CFAF3CA" w:rsidR="00622EDE" w:rsidRPr="00005453" w:rsidRDefault="00622EDE" w:rsidP="00622EDE">
            <w:pPr>
              <w:jc w:val="right"/>
              <w:rPr>
                <w:color w:val="000000"/>
                <w:sz w:val="12"/>
                <w:szCs w:val="12"/>
                <w:lang w:eastAsia="tr-TR"/>
              </w:rPr>
            </w:pPr>
            <w:r w:rsidRPr="00005453">
              <w:rPr>
                <w:color w:val="000000"/>
                <w:sz w:val="12"/>
                <w:szCs w:val="16"/>
              </w:rPr>
              <w:t>100,972</w:t>
            </w:r>
          </w:p>
        </w:tc>
        <w:tc>
          <w:tcPr>
            <w:tcW w:w="661" w:type="dxa"/>
            <w:tcBorders>
              <w:top w:val="nil"/>
              <w:left w:val="nil"/>
              <w:bottom w:val="nil"/>
              <w:right w:val="nil"/>
            </w:tcBorders>
            <w:shd w:val="clear" w:color="auto" w:fill="auto"/>
            <w:vAlign w:val="center"/>
            <w:hideMark/>
          </w:tcPr>
          <w:p w14:paraId="54C75CFE" w14:textId="62B576CB" w:rsidR="00622EDE" w:rsidRPr="00005453" w:rsidRDefault="00622EDE" w:rsidP="00622EDE">
            <w:pPr>
              <w:jc w:val="right"/>
              <w:rPr>
                <w:color w:val="000000"/>
                <w:sz w:val="12"/>
                <w:szCs w:val="12"/>
                <w:lang w:eastAsia="tr-TR"/>
              </w:rPr>
            </w:pPr>
            <w:r w:rsidRPr="00005453">
              <w:rPr>
                <w:color w:val="000000"/>
                <w:sz w:val="12"/>
                <w:szCs w:val="16"/>
              </w:rPr>
              <w:t>84</w:t>
            </w:r>
          </w:p>
        </w:tc>
        <w:tc>
          <w:tcPr>
            <w:tcW w:w="727" w:type="dxa"/>
            <w:tcBorders>
              <w:top w:val="nil"/>
              <w:left w:val="nil"/>
              <w:bottom w:val="nil"/>
              <w:right w:val="nil"/>
            </w:tcBorders>
            <w:shd w:val="clear" w:color="auto" w:fill="auto"/>
            <w:vAlign w:val="center"/>
            <w:hideMark/>
          </w:tcPr>
          <w:p w14:paraId="7F4753F0" w14:textId="6A6BAF3F"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nil"/>
              <w:right w:val="nil"/>
            </w:tcBorders>
            <w:shd w:val="clear" w:color="auto" w:fill="auto"/>
            <w:vAlign w:val="center"/>
            <w:hideMark/>
          </w:tcPr>
          <w:p w14:paraId="6E6C0BF4" w14:textId="638C5CC1"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421393E4" w14:textId="1C964E77"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nil"/>
              <w:right w:val="nil"/>
            </w:tcBorders>
            <w:shd w:val="clear" w:color="auto" w:fill="auto"/>
            <w:vAlign w:val="center"/>
            <w:hideMark/>
          </w:tcPr>
          <w:p w14:paraId="041D5C3C" w14:textId="1D1368DF"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75682B6E" w14:textId="56A4187B" w:rsidR="00622EDE" w:rsidRPr="00005453" w:rsidRDefault="00622EDE" w:rsidP="00622EDE">
            <w:pPr>
              <w:jc w:val="right"/>
              <w:rPr>
                <w:color w:val="000000"/>
                <w:sz w:val="12"/>
                <w:szCs w:val="12"/>
                <w:lang w:eastAsia="tr-TR"/>
              </w:rPr>
            </w:pPr>
            <w:r w:rsidRPr="00005453">
              <w:rPr>
                <w:color w:val="000000"/>
                <w:sz w:val="12"/>
                <w:szCs w:val="12"/>
              </w:rPr>
              <w:t>1,331,493</w:t>
            </w:r>
          </w:p>
        </w:tc>
      </w:tr>
      <w:tr w:rsidR="00622EDE" w:rsidRPr="00005453" w14:paraId="608C7504" w14:textId="77777777" w:rsidTr="00622EDE">
        <w:trPr>
          <w:trHeight w:val="113"/>
        </w:trPr>
        <w:tc>
          <w:tcPr>
            <w:tcW w:w="1690" w:type="dxa"/>
            <w:tcBorders>
              <w:top w:val="nil"/>
              <w:left w:val="nil"/>
              <w:bottom w:val="nil"/>
              <w:right w:val="nil"/>
            </w:tcBorders>
            <w:shd w:val="clear" w:color="auto" w:fill="auto"/>
            <w:hideMark/>
          </w:tcPr>
          <w:p w14:paraId="01666440" w14:textId="77777777" w:rsidR="00622EDE" w:rsidRPr="00005453" w:rsidRDefault="00622EDE" w:rsidP="00622EDE">
            <w:pPr>
              <w:rPr>
                <w:color w:val="000000"/>
                <w:sz w:val="12"/>
                <w:szCs w:val="12"/>
                <w:lang w:eastAsia="tr-TR"/>
              </w:rPr>
            </w:pPr>
            <w:r w:rsidRPr="00005453">
              <w:rPr>
                <w:color w:val="000000"/>
                <w:sz w:val="12"/>
                <w:szCs w:val="12"/>
                <w:lang w:eastAsia="tr-TR"/>
              </w:rPr>
              <w:t>OECD Ülkeleri (**)</w:t>
            </w:r>
          </w:p>
        </w:tc>
        <w:tc>
          <w:tcPr>
            <w:tcW w:w="892" w:type="dxa"/>
            <w:tcBorders>
              <w:top w:val="nil"/>
              <w:left w:val="nil"/>
              <w:bottom w:val="nil"/>
              <w:right w:val="nil"/>
            </w:tcBorders>
            <w:shd w:val="clear" w:color="auto" w:fill="auto"/>
            <w:vAlign w:val="center"/>
            <w:hideMark/>
          </w:tcPr>
          <w:p w14:paraId="50209429" w14:textId="152AC622"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nil"/>
              <w:right w:val="nil"/>
            </w:tcBorders>
            <w:shd w:val="clear" w:color="auto" w:fill="auto"/>
            <w:vAlign w:val="center"/>
            <w:hideMark/>
          </w:tcPr>
          <w:p w14:paraId="0CE0C97B" w14:textId="04E724E5"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vAlign w:val="center"/>
            <w:hideMark/>
          </w:tcPr>
          <w:p w14:paraId="269E37CC" w14:textId="4F837992" w:rsidR="00622EDE" w:rsidRPr="00005453" w:rsidRDefault="00622EDE" w:rsidP="00622EDE">
            <w:pPr>
              <w:jc w:val="right"/>
              <w:rPr>
                <w:color w:val="000000"/>
                <w:sz w:val="12"/>
                <w:szCs w:val="12"/>
                <w:lang w:eastAsia="tr-TR"/>
              </w:rPr>
            </w:pPr>
            <w:r w:rsidRPr="00005453">
              <w:rPr>
                <w:color w:val="000000"/>
                <w:sz w:val="12"/>
                <w:szCs w:val="16"/>
              </w:rPr>
              <w:t>8,794,189</w:t>
            </w:r>
          </w:p>
        </w:tc>
        <w:tc>
          <w:tcPr>
            <w:tcW w:w="786" w:type="dxa"/>
            <w:tcBorders>
              <w:top w:val="nil"/>
              <w:left w:val="nil"/>
              <w:bottom w:val="nil"/>
              <w:right w:val="nil"/>
            </w:tcBorders>
            <w:shd w:val="clear" w:color="auto" w:fill="auto"/>
            <w:vAlign w:val="center"/>
            <w:hideMark/>
          </w:tcPr>
          <w:p w14:paraId="1ECF44DC" w14:textId="64811633" w:rsidR="00622EDE" w:rsidRPr="00005453" w:rsidRDefault="00622EDE" w:rsidP="00622EDE">
            <w:pPr>
              <w:jc w:val="right"/>
              <w:rPr>
                <w:color w:val="000000"/>
                <w:sz w:val="12"/>
                <w:szCs w:val="12"/>
                <w:lang w:eastAsia="tr-TR"/>
              </w:rPr>
            </w:pPr>
            <w:r w:rsidRPr="00005453">
              <w:rPr>
                <w:color w:val="000000"/>
                <w:sz w:val="12"/>
                <w:szCs w:val="16"/>
              </w:rPr>
              <w:t>9,990</w:t>
            </w:r>
          </w:p>
        </w:tc>
        <w:tc>
          <w:tcPr>
            <w:tcW w:w="706" w:type="dxa"/>
            <w:tcBorders>
              <w:top w:val="nil"/>
              <w:left w:val="nil"/>
              <w:bottom w:val="nil"/>
              <w:right w:val="nil"/>
            </w:tcBorders>
            <w:shd w:val="clear" w:color="auto" w:fill="auto"/>
            <w:vAlign w:val="center"/>
            <w:hideMark/>
          </w:tcPr>
          <w:p w14:paraId="109164CC" w14:textId="21A193BC" w:rsidR="00622EDE" w:rsidRPr="00005453" w:rsidRDefault="00622EDE" w:rsidP="00622EDE">
            <w:pPr>
              <w:jc w:val="right"/>
              <w:rPr>
                <w:color w:val="000000"/>
                <w:sz w:val="12"/>
                <w:szCs w:val="12"/>
                <w:lang w:eastAsia="tr-TR"/>
              </w:rPr>
            </w:pPr>
            <w:r w:rsidRPr="00005453">
              <w:rPr>
                <w:color w:val="000000"/>
                <w:sz w:val="12"/>
                <w:szCs w:val="16"/>
              </w:rPr>
              <w:t>15,138</w:t>
            </w:r>
          </w:p>
        </w:tc>
        <w:tc>
          <w:tcPr>
            <w:tcW w:w="928" w:type="dxa"/>
            <w:tcBorders>
              <w:top w:val="nil"/>
              <w:left w:val="nil"/>
              <w:bottom w:val="nil"/>
              <w:right w:val="nil"/>
            </w:tcBorders>
            <w:shd w:val="clear" w:color="auto" w:fill="auto"/>
            <w:vAlign w:val="center"/>
            <w:hideMark/>
          </w:tcPr>
          <w:p w14:paraId="34D4946B" w14:textId="68728C3F" w:rsidR="00622EDE" w:rsidRPr="00005453" w:rsidRDefault="00622EDE" w:rsidP="00622EDE">
            <w:pPr>
              <w:jc w:val="right"/>
              <w:rPr>
                <w:color w:val="000000"/>
                <w:sz w:val="12"/>
                <w:szCs w:val="12"/>
                <w:lang w:eastAsia="tr-TR"/>
              </w:rPr>
            </w:pPr>
            <w:r w:rsidRPr="00005453">
              <w:rPr>
                <w:color w:val="000000"/>
                <w:sz w:val="12"/>
                <w:szCs w:val="16"/>
              </w:rPr>
              <w:t>36,010</w:t>
            </w:r>
          </w:p>
        </w:tc>
        <w:tc>
          <w:tcPr>
            <w:tcW w:w="661" w:type="dxa"/>
            <w:tcBorders>
              <w:top w:val="nil"/>
              <w:left w:val="nil"/>
              <w:bottom w:val="nil"/>
              <w:right w:val="nil"/>
            </w:tcBorders>
            <w:shd w:val="clear" w:color="auto" w:fill="auto"/>
            <w:vAlign w:val="center"/>
            <w:hideMark/>
          </w:tcPr>
          <w:p w14:paraId="5A4E8A16" w14:textId="4B8EBC74" w:rsidR="00622EDE" w:rsidRPr="00005453" w:rsidRDefault="00622EDE" w:rsidP="00622EDE">
            <w:pPr>
              <w:jc w:val="right"/>
              <w:rPr>
                <w:color w:val="000000"/>
                <w:sz w:val="12"/>
                <w:szCs w:val="12"/>
                <w:lang w:eastAsia="tr-TR"/>
              </w:rPr>
            </w:pPr>
            <w:r w:rsidRPr="00005453">
              <w:rPr>
                <w:color w:val="000000"/>
                <w:sz w:val="12"/>
                <w:szCs w:val="16"/>
              </w:rPr>
              <w:t>132</w:t>
            </w:r>
          </w:p>
        </w:tc>
        <w:tc>
          <w:tcPr>
            <w:tcW w:w="727" w:type="dxa"/>
            <w:tcBorders>
              <w:top w:val="nil"/>
              <w:left w:val="nil"/>
              <w:bottom w:val="nil"/>
              <w:right w:val="nil"/>
            </w:tcBorders>
            <w:shd w:val="clear" w:color="auto" w:fill="auto"/>
            <w:vAlign w:val="center"/>
            <w:hideMark/>
          </w:tcPr>
          <w:p w14:paraId="12145732" w14:textId="6A5493C6"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nil"/>
              <w:right w:val="nil"/>
            </w:tcBorders>
            <w:shd w:val="clear" w:color="auto" w:fill="auto"/>
            <w:vAlign w:val="center"/>
            <w:hideMark/>
          </w:tcPr>
          <w:p w14:paraId="3161CD8A" w14:textId="68AFB508"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1016FFB4" w14:textId="7C7674FA"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nil"/>
              <w:right w:val="nil"/>
            </w:tcBorders>
            <w:shd w:val="clear" w:color="auto" w:fill="auto"/>
            <w:vAlign w:val="center"/>
            <w:hideMark/>
          </w:tcPr>
          <w:p w14:paraId="5D5C4453" w14:textId="2FB28962"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37B61D3D" w14:textId="311E4AF0" w:rsidR="00622EDE" w:rsidRPr="00005453" w:rsidRDefault="00622EDE" w:rsidP="00622EDE">
            <w:pPr>
              <w:jc w:val="right"/>
              <w:rPr>
                <w:color w:val="000000"/>
                <w:sz w:val="12"/>
                <w:szCs w:val="12"/>
                <w:lang w:eastAsia="tr-TR"/>
              </w:rPr>
            </w:pPr>
            <w:r w:rsidRPr="00005453">
              <w:rPr>
                <w:color w:val="000000"/>
                <w:sz w:val="12"/>
                <w:szCs w:val="12"/>
              </w:rPr>
              <w:t>8,855,459</w:t>
            </w:r>
          </w:p>
        </w:tc>
      </w:tr>
      <w:tr w:rsidR="00622EDE" w:rsidRPr="00005453" w14:paraId="5F12DFA6" w14:textId="77777777" w:rsidTr="00622EDE">
        <w:trPr>
          <w:trHeight w:val="113"/>
        </w:trPr>
        <w:tc>
          <w:tcPr>
            <w:tcW w:w="1690" w:type="dxa"/>
            <w:tcBorders>
              <w:top w:val="nil"/>
              <w:left w:val="nil"/>
              <w:bottom w:val="nil"/>
              <w:right w:val="nil"/>
            </w:tcBorders>
            <w:shd w:val="clear" w:color="auto" w:fill="auto"/>
            <w:hideMark/>
          </w:tcPr>
          <w:p w14:paraId="0771FBB7" w14:textId="77777777" w:rsidR="00622EDE" w:rsidRPr="00005453" w:rsidRDefault="00622EDE" w:rsidP="00622EDE">
            <w:pPr>
              <w:rPr>
                <w:color w:val="000000"/>
                <w:sz w:val="12"/>
                <w:szCs w:val="12"/>
                <w:lang w:eastAsia="tr-TR"/>
              </w:rPr>
            </w:pPr>
            <w:r w:rsidRPr="00005453">
              <w:rPr>
                <w:color w:val="000000"/>
                <w:sz w:val="12"/>
                <w:szCs w:val="12"/>
                <w:lang w:eastAsia="tr-TR"/>
              </w:rPr>
              <w:t>Kıyı Bankacılığı Bölgeleri</w:t>
            </w:r>
          </w:p>
        </w:tc>
        <w:tc>
          <w:tcPr>
            <w:tcW w:w="892" w:type="dxa"/>
            <w:tcBorders>
              <w:top w:val="nil"/>
              <w:left w:val="nil"/>
              <w:bottom w:val="nil"/>
              <w:right w:val="nil"/>
            </w:tcBorders>
            <w:shd w:val="clear" w:color="auto" w:fill="auto"/>
            <w:vAlign w:val="center"/>
            <w:hideMark/>
          </w:tcPr>
          <w:p w14:paraId="3AD2461E" w14:textId="01E14C95"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nil"/>
              <w:right w:val="nil"/>
            </w:tcBorders>
            <w:shd w:val="clear" w:color="auto" w:fill="auto"/>
            <w:vAlign w:val="center"/>
            <w:hideMark/>
          </w:tcPr>
          <w:p w14:paraId="2FD8ADF0" w14:textId="2DBCF96A" w:rsidR="00622EDE" w:rsidRPr="00005453" w:rsidRDefault="00622EDE" w:rsidP="00622EDE">
            <w:pPr>
              <w:ind w:left="-422" w:firstLine="422"/>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vAlign w:val="center"/>
            <w:hideMark/>
          </w:tcPr>
          <w:p w14:paraId="26959D24" w14:textId="6A932CED" w:rsidR="00622EDE" w:rsidRPr="00005453" w:rsidRDefault="00622EDE" w:rsidP="00622EDE">
            <w:pPr>
              <w:jc w:val="right"/>
              <w:rPr>
                <w:color w:val="000000"/>
                <w:sz w:val="12"/>
                <w:szCs w:val="12"/>
                <w:lang w:eastAsia="tr-TR"/>
              </w:rPr>
            </w:pPr>
            <w:r w:rsidRPr="00005453">
              <w:rPr>
                <w:color w:val="000000"/>
                <w:sz w:val="12"/>
                <w:szCs w:val="16"/>
              </w:rPr>
              <w:t>2,357</w:t>
            </w:r>
          </w:p>
        </w:tc>
        <w:tc>
          <w:tcPr>
            <w:tcW w:w="786" w:type="dxa"/>
            <w:tcBorders>
              <w:top w:val="nil"/>
              <w:left w:val="nil"/>
              <w:bottom w:val="nil"/>
              <w:right w:val="nil"/>
            </w:tcBorders>
            <w:shd w:val="clear" w:color="auto" w:fill="auto"/>
            <w:vAlign w:val="center"/>
            <w:hideMark/>
          </w:tcPr>
          <w:p w14:paraId="54BA3675" w14:textId="578DC4D3" w:rsidR="00622EDE" w:rsidRPr="00005453" w:rsidRDefault="00622EDE" w:rsidP="00622EDE">
            <w:pPr>
              <w:jc w:val="right"/>
              <w:rPr>
                <w:color w:val="000000"/>
                <w:sz w:val="12"/>
                <w:szCs w:val="12"/>
                <w:lang w:eastAsia="tr-TR"/>
              </w:rPr>
            </w:pPr>
            <w:r w:rsidRPr="00005453">
              <w:rPr>
                <w:color w:val="000000"/>
                <w:sz w:val="12"/>
                <w:szCs w:val="16"/>
              </w:rPr>
              <w:t>1,672,058</w:t>
            </w:r>
          </w:p>
        </w:tc>
        <w:tc>
          <w:tcPr>
            <w:tcW w:w="706" w:type="dxa"/>
            <w:tcBorders>
              <w:top w:val="nil"/>
              <w:left w:val="nil"/>
              <w:bottom w:val="nil"/>
              <w:right w:val="nil"/>
            </w:tcBorders>
            <w:shd w:val="clear" w:color="auto" w:fill="auto"/>
            <w:vAlign w:val="center"/>
            <w:hideMark/>
          </w:tcPr>
          <w:p w14:paraId="06C8122E" w14:textId="3BA3A6B5" w:rsidR="00622EDE" w:rsidRPr="00005453" w:rsidRDefault="00622EDE" w:rsidP="00622EDE">
            <w:pPr>
              <w:jc w:val="right"/>
              <w:rPr>
                <w:color w:val="000000"/>
                <w:sz w:val="12"/>
                <w:szCs w:val="12"/>
                <w:lang w:eastAsia="tr-TR"/>
              </w:rPr>
            </w:pPr>
            <w:r w:rsidRPr="00005453">
              <w:rPr>
                <w:color w:val="000000"/>
                <w:sz w:val="12"/>
                <w:szCs w:val="16"/>
              </w:rPr>
              <w:t>19,691</w:t>
            </w:r>
          </w:p>
        </w:tc>
        <w:tc>
          <w:tcPr>
            <w:tcW w:w="928" w:type="dxa"/>
            <w:tcBorders>
              <w:top w:val="nil"/>
              <w:left w:val="nil"/>
              <w:bottom w:val="nil"/>
              <w:right w:val="nil"/>
            </w:tcBorders>
            <w:shd w:val="clear" w:color="auto" w:fill="auto"/>
            <w:vAlign w:val="center"/>
            <w:hideMark/>
          </w:tcPr>
          <w:p w14:paraId="446E22DC" w14:textId="678A99CD" w:rsidR="00622EDE" w:rsidRPr="00005453" w:rsidRDefault="00622EDE" w:rsidP="00622EDE">
            <w:pPr>
              <w:jc w:val="right"/>
              <w:rPr>
                <w:color w:val="000000"/>
                <w:sz w:val="12"/>
                <w:szCs w:val="12"/>
                <w:lang w:eastAsia="tr-TR"/>
              </w:rPr>
            </w:pPr>
            <w:r w:rsidRPr="00005453">
              <w:rPr>
                <w:color w:val="000000"/>
                <w:sz w:val="12"/>
                <w:szCs w:val="16"/>
              </w:rPr>
              <w:t>801,632</w:t>
            </w:r>
          </w:p>
        </w:tc>
        <w:tc>
          <w:tcPr>
            <w:tcW w:w="661" w:type="dxa"/>
            <w:tcBorders>
              <w:top w:val="nil"/>
              <w:left w:val="nil"/>
              <w:bottom w:val="nil"/>
              <w:right w:val="nil"/>
            </w:tcBorders>
            <w:shd w:val="clear" w:color="auto" w:fill="auto"/>
            <w:vAlign w:val="center"/>
            <w:hideMark/>
          </w:tcPr>
          <w:p w14:paraId="503C3BF2" w14:textId="3AE0D163" w:rsidR="00622EDE" w:rsidRPr="00005453" w:rsidRDefault="00622EDE" w:rsidP="00622EDE">
            <w:pPr>
              <w:jc w:val="right"/>
              <w:rPr>
                <w:color w:val="000000"/>
                <w:sz w:val="12"/>
                <w:szCs w:val="12"/>
                <w:lang w:eastAsia="tr-TR"/>
              </w:rPr>
            </w:pPr>
            <w:r w:rsidRPr="00005453">
              <w:rPr>
                <w:color w:val="000000"/>
                <w:sz w:val="12"/>
                <w:szCs w:val="16"/>
              </w:rPr>
              <w:t>-</w:t>
            </w:r>
          </w:p>
        </w:tc>
        <w:tc>
          <w:tcPr>
            <w:tcW w:w="727" w:type="dxa"/>
            <w:tcBorders>
              <w:top w:val="nil"/>
              <w:left w:val="nil"/>
              <w:bottom w:val="nil"/>
              <w:right w:val="nil"/>
            </w:tcBorders>
            <w:shd w:val="clear" w:color="auto" w:fill="auto"/>
            <w:vAlign w:val="center"/>
            <w:hideMark/>
          </w:tcPr>
          <w:p w14:paraId="31D48D94" w14:textId="30FD3F6D"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nil"/>
              <w:right w:val="nil"/>
            </w:tcBorders>
            <w:shd w:val="clear" w:color="auto" w:fill="auto"/>
            <w:vAlign w:val="center"/>
            <w:hideMark/>
          </w:tcPr>
          <w:p w14:paraId="4248385D" w14:textId="38FFA4E1"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67A71A34" w14:textId="3A0C96B8"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nil"/>
              <w:right w:val="nil"/>
            </w:tcBorders>
            <w:shd w:val="clear" w:color="auto" w:fill="auto"/>
            <w:vAlign w:val="center"/>
            <w:hideMark/>
          </w:tcPr>
          <w:p w14:paraId="10A5359A" w14:textId="4041DB79"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2D062053" w14:textId="59BC18F2" w:rsidR="00622EDE" w:rsidRPr="00005453" w:rsidRDefault="00622EDE" w:rsidP="00622EDE">
            <w:pPr>
              <w:jc w:val="right"/>
              <w:rPr>
                <w:color w:val="000000"/>
                <w:sz w:val="12"/>
                <w:szCs w:val="12"/>
                <w:lang w:eastAsia="tr-TR"/>
              </w:rPr>
            </w:pPr>
            <w:r w:rsidRPr="00005453">
              <w:rPr>
                <w:color w:val="000000"/>
                <w:sz w:val="12"/>
                <w:szCs w:val="12"/>
              </w:rPr>
              <w:t>2,495,738</w:t>
            </w:r>
          </w:p>
        </w:tc>
      </w:tr>
      <w:tr w:rsidR="00622EDE" w:rsidRPr="00005453" w14:paraId="0353F891" w14:textId="77777777" w:rsidTr="00622EDE">
        <w:trPr>
          <w:trHeight w:val="113"/>
        </w:trPr>
        <w:tc>
          <w:tcPr>
            <w:tcW w:w="1690" w:type="dxa"/>
            <w:tcBorders>
              <w:top w:val="nil"/>
              <w:left w:val="nil"/>
              <w:bottom w:val="nil"/>
              <w:right w:val="nil"/>
            </w:tcBorders>
            <w:shd w:val="clear" w:color="auto" w:fill="auto"/>
            <w:noWrap/>
            <w:hideMark/>
          </w:tcPr>
          <w:p w14:paraId="721AD8CA" w14:textId="77777777" w:rsidR="00622EDE" w:rsidRPr="00005453" w:rsidRDefault="00622EDE" w:rsidP="00622EDE">
            <w:pPr>
              <w:rPr>
                <w:color w:val="000000"/>
                <w:sz w:val="12"/>
                <w:szCs w:val="12"/>
                <w:lang w:eastAsia="tr-TR"/>
              </w:rPr>
            </w:pPr>
            <w:r w:rsidRPr="00005453">
              <w:rPr>
                <w:color w:val="000000"/>
                <w:sz w:val="12"/>
                <w:szCs w:val="12"/>
                <w:lang w:eastAsia="tr-TR"/>
              </w:rPr>
              <w:t>ABD, Kanada</w:t>
            </w:r>
          </w:p>
        </w:tc>
        <w:tc>
          <w:tcPr>
            <w:tcW w:w="892" w:type="dxa"/>
            <w:tcBorders>
              <w:top w:val="nil"/>
              <w:left w:val="nil"/>
              <w:bottom w:val="nil"/>
              <w:right w:val="nil"/>
            </w:tcBorders>
            <w:shd w:val="clear" w:color="auto" w:fill="auto"/>
            <w:vAlign w:val="center"/>
            <w:hideMark/>
          </w:tcPr>
          <w:p w14:paraId="0AFBB665" w14:textId="04F312B8"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nil"/>
              <w:right w:val="nil"/>
            </w:tcBorders>
            <w:shd w:val="clear" w:color="auto" w:fill="auto"/>
            <w:vAlign w:val="center"/>
            <w:hideMark/>
          </w:tcPr>
          <w:p w14:paraId="759101A7" w14:textId="36B4FD4F"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noWrap/>
            <w:vAlign w:val="center"/>
            <w:hideMark/>
          </w:tcPr>
          <w:p w14:paraId="56F95003" w14:textId="72092138" w:rsidR="00622EDE" w:rsidRPr="00005453" w:rsidRDefault="00622EDE" w:rsidP="00622EDE">
            <w:pPr>
              <w:jc w:val="right"/>
              <w:rPr>
                <w:color w:val="000000"/>
                <w:sz w:val="12"/>
                <w:szCs w:val="12"/>
                <w:lang w:eastAsia="tr-TR"/>
              </w:rPr>
            </w:pPr>
            <w:r w:rsidRPr="00005453">
              <w:rPr>
                <w:color w:val="000000"/>
                <w:sz w:val="12"/>
                <w:szCs w:val="16"/>
              </w:rPr>
              <w:t>7,693,451</w:t>
            </w:r>
          </w:p>
        </w:tc>
        <w:tc>
          <w:tcPr>
            <w:tcW w:w="786" w:type="dxa"/>
            <w:tcBorders>
              <w:top w:val="nil"/>
              <w:left w:val="nil"/>
              <w:bottom w:val="nil"/>
              <w:right w:val="nil"/>
            </w:tcBorders>
            <w:shd w:val="clear" w:color="auto" w:fill="auto"/>
            <w:vAlign w:val="center"/>
            <w:hideMark/>
          </w:tcPr>
          <w:p w14:paraId="357F761B" w14:textId="0041F7E9" w:rsidR="00622EDE" w:rsidRPr="00005453" w:rsidRDefault="00622EDE" w:rsidP="00622EDE">
            <w:pPr>
              <w:jc w:val="right"/>
              <w:rPr>
                <w:color w:val="000000"/>
                <w:sz w:val="12"/>
                <w:szCs w:val="12"/>
                <w:lang w:eastAsia="tr-TR"/>
              </w:rPr>
            </w:pPr>
            <w:r w:rsidRPr="00005453">
              <w:rPr>
                <w:color w:val="000000"/>
                <w:sz w:val="12"/>
                <w:szCs w:val="16"/>
              </w:rPr>
              <w:t>1,669</w:t>
            </w:r>
          </w:p>
        </w:tc>
        <w:tc>
          <w:tcPr>
            <w:tcW w:w="706" w:type="dxa"/>
            <w:tcBorders>
              <w:top w:val="nil"/>
              <w:left w:val="nil"/>
              <w:bottom w:val="nil"/>
              <w:right w:val="nil"/>
            </w:tcBorders>
            <w:shd w:val="clear" w:color="auto" w:fill="auto"/>
            <w:vAlign w:val="center"/>
            <w:hideMark/>
          </w:tcPr>
          <w:p w14:paraId="75E2BCAD" w14:textId="3AD2C4A3" w:rsidR="00622EDE" w:rsidRPr="00005453" w:rsidRDefault="00622EDE" w:rsidP="00622EDE">
            <w:pPr>
              <w:jc w:val="right"/>
              <w:rPr>
                <w:color w:val="000000"/>
                <w:sz w:val="12"/>
                <w:szCs w:val="12"/>
                <w:lang w:eastAsia="tr-TR"/>
              </w:rPr>
            </w:pPr>
            <w:r w:rsidRPr="00005453">
              <w:rPr>
                <w:color w:val="000000"/>
                <w:sz w:val="12"/>
                <w:szCs w:val="16"/>
              </w:rPr>
              <w:t>7,790</w:t>
            </w:r>
          </w:p>
        </w:tc>
        <w:tc>
          <w:tcPr>
            <w:tcW w:w="928" w:type="dxa"/>
            <w:tcBorders>
              <w:top w:val="nil"/>
              <w:left w:val="nil"/>
              <w:bottom w:val="nil"/>
              <w:right w:val="nil"/>
            </w:tcBorders>
            <w:shd w:val="clear" w:color="auto" w:fill="auto"/>
            <w:vAlign w:val="center"/>
            <w:hideMark/>
          </w:tcPr>
          <w:p w14:paraId="166D3502" w14:textId="05A72185" w:rsidR="00622EDE" w:rsidRPr="00005453" w:rsidRDefault="00622EDE" w:rsidP="00622EDE">
            <w:pPr>
              <w:jc w:val="right"/>
              <w:rPr>
                <w:color w:val="000000"/>
                <w:sz w:val="12"/>
                <w:szCs w:val="12"/>
                <w:lang w:eastAsia="tr-TR"/>
              </w:rPr>
            </w:pPr>
            <w:r w:rsidRPr="00005453">
              <w:rPr>
                <w:color w:val="000000"/>
                <w:sz w:val="12"/>
                <w:szCs w:val="16"/>
              </w:rPr>
              <w:t>8,443</w:t>
            </w:r>
          </w:p>
        </w:tc>
        <w:tc>
          <w:tcPr>
            <w:tcW w:w="661" w:type="dxa"/>
            <w:tcBorders>
              <w:top w:val="nil"/>
              <w:left w:val="nil"/>
              <w:bottom w:val="nil"/>
              <w:right w:val="nil"/>
            </w:tcBorders>
            <w:shd w:val="clear" w:color="auto" w:fill="auto"/>
            <w:vAlign w:val="center"/>
            <w:hideMark/>
          </w:tcPr>
          <w:p w14:paraId="76974073" w14:textId="42FFC6B5" w:rsidR="00622EDE" w:rsidRPr="00005453" w:rsidRDefault="00622EDE" w:rsidP="00622EDE">
            <w:pPr>
              <w:jc w:val="right"/>
              <w:rPr>
                <w:color w:val="000000"/>
                <w:sz w:val="12"/>
                <w:szCs w:val="12"/>
                <w:lang w:eastAsia="tr-TR"/>
              </w:rPr>
            </w:pPr>
            <w:r w:rsidRPr="00005453">
              <w:rPr>
                <w:color w:val="000000"/>
                <w:sz w:val="12"/>
                <w:szCs w:val="16"/>
              </w:rPr>
              <w:t>1</w:t>
            </w:r>
          </w:p>
        </w:tc>
        <w:tc>
          <w:tcPr>
            <w:tcW w:w="727" w:type="dxa"/>
            <w:tcBorders>
              <w:top w:val="nil"/>
              <w:left w:val="nil"/>
              <w:bottom w:val="nil"/>
              <w:right w:val="nil"/>
            </w:tcBorders>
            <w:shd w:val="clear" w:color="auto" w:fill="auto"/>
            <w:vAlign w:val="center"/>
            <w:hideMark/>
          </w:tcPr>
          <w:p w14:paraId="23907ADC" w14:textId="126E7A95"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nil"/>
              <w:right w:val="nil"/>
            </w:tcBorders>
            <w:shd w:val="clear" w:color="auto" w:fill="auto"/>
            <w:vAlign w:val="center"/>
            <w:hideMark/>
          </w:tcPr>
          <w:p w14:paraId="78C5FFCB" w14:textId="3A2D102B"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5EF2FF96" w14:textId="3096CDFD"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nil"/>
              <w:right w:val="nil"/>
            </w:tcBorders>
            <w:shd w:val="clear" w:color="auto" w:fill="auto"/>
            <w:vAlign w:val="center"/>
            <w:hideMark/>
          </w:tcPr>
          <w:p w14:paraId="2B440C9D" w14:textId="72977714"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6CA4A4D2" w14:textId="007CA160" w:rsidR="00622EDE" w:rsidRPr="00005453" w:rsidRDefault="00622EDE" w:rsidP="00622EDE">
            <w:pPr>
              <w:jc w:val="right"/>
              <w:rPr>
                <w:color w:val="000000"/>
                <w:sz w:val="12"/>
                <w:szCs w:val="12"/>
                <w:lang w:eastAsia="tr-TR"/>
              </w:rPr>
            </w:pPr>
            <w:r w:rsidRPr="00005453">
              <w:rPr>
                <w:color w:val="000000"/>
                <w:sz w:val="12"/>
                <w:szCs w:val="12"/>
              </w:rPr>
              <w:t>7,711,354</w:t>
            </w:r>
          </w:p>
        </w:tc>
      </w:tr>
      <w:tr w:rsidR="00622EDE" w:rsidRPr="00005453" w14:paraId="7DE033FC" w14:textId="77777777" w:rsidTr="00622EDE">
        <w:trPr>
          <w:trHeight w:val="113"/>
        </w:trPr>
        <w:tc>
          <w:tcPr>
            <w:tcW w:w="1690" w:type="dxa"/>
            <w:tcBorders>
              <w:top w:val="nil"/>
              <w:left w:val="nil"/>
              <w:bottom w:val="nil"/>
              <w:right w:val="nil"/>
            </w:tcBorders>
            <w:shd w:val="clear" w:color="auto" w:fill="auto"/>
            <w:noWrap/>
            <w:hideMark/>
          </w:tcPr>
          <w:p w14:paraId="477371EC" w14:textId="77777777" w:rsidR="00622EDE" w:rsidRPr="00005453" w:rsidRDefault="00622EDE" w:rsidP="00622EDE">
            <w:pPr>
              <w:rPr>
                <w:color w:val="000000"/>
                <w:sz w:val="12"/>
                <w:szCs w:val="12"/>
                <w:lang w:eastAsia="tr-TR"/>
              </w:rPr>
            </w:pPr>
            <w:r w:rsidRPr="00005453">
              <w:rPr>
                <w:color w:val="000000"/>
                <w:sz w:val="12"/>
                <w:szCs w:val="12"/>
                <w:lang w:eastAsia="tr-TR"/>
              </w:rPr>
              <w:t>Diğer Ülkeler</w:t>
            </w:r>
          </w:p>
        </w:tc>
        <w:tc>
          <w:tcPr>
            <w:tcW w:w="892" w:type="dxa"/>
            <w:tcBorders>
              <w:top w:val="nil"/>
              <w:left w:val="nil"/>
              <w:bottom w:val="nil"/>
              <w:right w:val="nil"/>
            </w:tcBorders>
            <w:shd w:val="clear" w:color="auto" w:fill="auto"/>
            <w:vAlign w:val="center"/>
            <w:hideMark/>
          </w:tcPr>
          <w:p w14:paraId="32E63AC3" w14:textId="60A1CC9A"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nil"/>
              <w:right w:val="nil"/>
            </w:tcBorders>
            <w:shd w:val="clear" w:color="auto" w:fill="auto"/>
            <w:vAlign w:val="center"/>
            <w:hideMark/>
          </w:tcPr>
          <w:p w14:paraId="45691505" w14:textId="5774E2DD"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noWrap/>
            <w:vAlign w:val="center"/>
            <w:hideMark/>
          </w:tcPr>
          <w:p w14:paraId="6B5833E9" w14:textId="65A39436" w:rsidR="00622EDE" w:rsidRPr="00005453" w:rsidRDefault="00622EDE" w:rsidP="00622EDE">
            <w:pPr>
              <w:jc w:val="right"/>
              <w:rPr>
                <w:color w:val="000000"/>
                <w:sz w:val="12"/>
                <w:szCs w:val="12"/>
                <w:lang w:eastAsia="tr-TR"/>
              </w:rPr>
            </w:pPr>
            <w:r w:rsidRPr="00005453">
              <w:rPr>
                <w:color w:val="000000"/>
                <w:sz w:val="12"/>
                <w:szCs w:val="16"/>
              </w:rPr>
              <w:t>4,071,141</w:t>
            </w:r>
          </w:p>
        </w:tc>
        <w:tc>
          <w:tcPr>
            <w:tcW w:w="786" w:type="dxa"/>
            <w:tcBorders>
              <w:top w:val="nil"/>
              <w:left w:val="nil"/>
              <w:bottom w:val="nil"/>
              <w:right w:val="nil"/>
            </w:tcBorders>
            <w:shd w:val="clear" w:color="auto" w:fill="auto"/>
            <w:vAlign w:val="center"/>
            <w:hideMark/>
          </w:tcPr>
          <w:p w14:paraId="31CC5C58" w14:textId="0E665652" w:rsidR="00622EDE" w:rsidRPr="00005453" w:rsidRDefault="00622EDE" w:rsidP="00622EDE">
            <w:pPr>
              <w:jc w:val="right"/>
              <w:rPr>
                <w:color w:val="000000"/>
                <w:sz w:val="12"/>
                <w:szCs w:val="12"/>
                <w:lang w:eastAsia="tr-TR"/>
              </w:rPr>
            </w:pPr>
            <w:r w:rsidRPr="00005453">
              <w:rPr>
                <w:color w:val="000000"/>
                <w:sz w:val="12"/>
                <w:szCs w:val="16"/>
              </w:rPr>
              <w:t>719,506</w:t>
            </w:r>
          </w:p>
        </w:tc>
        <w:tc>
          <w:tcPr>
            <w:tcW w:w="706" w:type="dxa"/>
            <w:tcBorders>
              <w:top w:val="nil"/>
              <w:left w:val="nil"/>
              <w:bottom w:val="nil"/>
              <w:right w:val="nil"/>
            </w:tcBorders>
            <w:shd w:val="clear" w:color="auto" w:fill="auto"/>
            <w:vAlign w:val="center"/>
            <w:hideMark/>
          </w:tcPr>
          <w:p w14:paraId="07FF68A0" w14:textId="30B578AD" w:rsidR="00622EDE" w:rsidRPr="00005453" w:rsidRDefault="00622EDE" w:rsidP="00622EDE">
            <w:pPr>
              <w:jc w:val="right"/>
              <w:rPr>
                <w:color w:val="000000"/>
                <w:sz w:val="12"/>
                <w:szCs w:val="12"/>
                <w:lang w:eastAsia="tr-TR"/>
              </w:rPr>
            </w:pPr>
            <w:r w:rsidRPr="00005453">
              <w:rPr>
                <w:color w:val="000000"/>
                <w:sz w:val="12"/>
                <w:szCs w:val="16"/>
              </w:rPr>
              <w:t>107,665</w:t>
            </w:r>
          </w:p>
        </w:tc>
        <w:tc>
          <w:tcPr>
            <w:tcW w:w="928" w:type="dxa"/>
            <w:tcBorders>
              <w:top w:val="nil"/>
              <w:left w:val="nil"/>
              <w:bottom w:val="nil"/>
              <w:right w:val="nil"/>
            </w:tcBorders>
            <w:shd w:val="clear" w:color="auto" w:fill="auto"/>
            <w:vAlign w:val="center"/>
            <w:hideMark/>
          </w:tcPr>
          <w:p w14:paraId="6C5D6EA1" w14:textId="76A95AA7" w:rsidR="00622EDE" w:rsidRPr="00005453" w:rsidRDefault="00622EDE" w:rsidP="00622EDE">
            <w:pPr>
              <w:jc w:val="right"/>
              <w:rPr>
                <w:color w:val="000000"/>
                <w:sz w:val="12"/>
                <w:szCs w:val="12"/>
                <w:lang w:eastAsia="tr-TR"/>
              </w:rPr>
            </w:pPr>
            <w:r w:rsidRPr="00005453">
              <w:rPr>
                <w:color w:val="000000"/>
                <w:sz w:val="12"/>
                <w:szCs w:val="16"/>
              </w:rPr>
              <w:t>152,537</w:t>
            </w:r>
          </w:p>
        </w:tc>
        <w:tc>
          <w:tcPr>
            <w:tcW w:w="661" w:type="dxa"/>
            <w:tcBorders>
              <w:top w:val="nil"/>
              <w:left w:val="nil"/>
              <w:bottom w:val="nil"/>
              <w:right w:val="nil"/>
            </w:tcBorders>
            <w:shd w:val="clear" w:color="auto" w:fill="auto"/>
            <w:vAlign w:val="center"/>
            <w:hideMark/>
          </w:tcPr>
          <w:p w14:paraId="576A12A5" w14:textId="75DEAE3C" w:rsidR="00622EDE" w:rsidRPr="00005453" w:rsidRDefault="00622EDE" w:rsidP="00622EDE">
            <w:pPr>
              <w:jc w:val="right"/>
              <w:rPr>
                <w:color w:val="000000"/>
                <w:sz w:val="12"/>
                <w:szCs w:val="12"/>
                <w:lang w:eastAsia="tr-TR"/>
              </w:rPr>
            </w:pPr>
            <w:r w:rsidRPr="00005453">
              <w:rPr>
                <w:color w:val="000000"/>
                <w:sz w:val="12"/>
                <w:szCs w:val="16"/>
              </w:rPr>
              <w:t>88</w:t>
            </w:r>
          </w:p>
        </w:tc>
        <w:tc>
          <w:tcPr>
            <w:tcW w:w="727" w:type="dxa"/>
            <w:tcBorders>
              <w:top w:val="nil"/>
              <w:left w:val="nil"/>
              <w:bottom w:val="nil"/>
              <w:right w:val="nil"/>
            </w:tcBorders>
            <w:shd w:val="clear" w:color="auto" w:fill="auto"/>
            <w:vAlign w:val="center"/>
            <w:hideMark/>
          </w:tcPr>
          <w:p w14:paraId="1B5A1D09" w14:textId="794FDE3A"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nil"/>
              <w:right w:val="nil"/>
            </w:tcBorders>
            <w:shd w:val="clear" w:color="auto" w:fill="auto"/>
            <w:vAlign w:val="center"/>
            <w:hideMark/>
          </w:tcPr>
          <w:p w14:paraId="6B18949E" w14:textId="7F089625"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290A7400" w14:textId="2E3C8512"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nil"/>
              <w:right w:val="nil"/>
            </w:tcBorders>
            <w:shd w:val="clear" w:color="auto" w:fill="auto"/>
            <w:vAlign w:val="center"/>
            <w:hideMark/>
          </w:tcPr>
          <w:p w14:paraId="1110EE8F" w14:textId="70BDF7C4"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519C8D29" w14:textId="7DB5EC50" w:rsidR="00622EDE" w:rsidRPr="00005453" w:rsidRDefault="00622EDE" w:rsidP="00622EDE">
            <w:pPr>
              <w:jc w:val="right"/>
              <w:rPr>
                <w:color w:val="000000"/>
                <w:sz w:val="12"/>
                <w:szCs w:val="12"/>
                <w:lang w:eastAsia="tr-TR"/>
              </w:rPr>
            </w:pPr>
            <w:r w:rsidRPr="00005453">
              <w:rPr>
                <w:color w:val="000000"/>
                <w:sz w:val="12"/>
                <w:szCs w:val="12"/>
              </w:rPr>
              <w:t>5,050,937</w:t>
            </w:r>
          </w:p>
        </w:tc>
      </w:tr>
      <w:tr w:rsidR="00622EDE" w:rsidRPr="00005453" w14:paraId="37480085" w14:textId="77777777" w:rsidTr="00622EDE">
        <w:trPr>
          <w:trHeight w:val="191"/>
        </w:trPr>
        <w:tc>
          <w:tcPr>
            <w:tcW w:w="1690" w:type="dxa"/>
            <w:tcBorders>
              <w:top w:val="nil"/>
              <w:left w:val="nil"/>
              <w:bottom w:val="nil"/>
              <w:right w:val="nil"/>
            </w:tcBorders>
            <w:shd w:val="clear" w:color="auto" w:fill="auto"/>
            <w:hideMark/>
          </w:tcPr>
          <w:p w14:paraId="1D373F70" w14:textId="77777777" w:rsidR="00622EDE" w:rsidRPr="00005453" w:rsidRDefault="00622EDE" w:rsidP="00622EDE">
            <w:pPr>
              <w:rPr>
                <w:color w:val="000000"/>
                <w:sz w:val="12"/>
                <w:szCs w:val="12"/>
                <w:lang w:eastAsia="tr-TR"/>
              </w:rPr>
            </w:pPr>
            <w:r w:rsidRPr="00005453">
              <w:rPr>
                <w:color w:val="000000"/>
                <w:sz w:val="12"/>
                <w:szCs w:val="12"/>
                <w:lang w:eastAsia="tr-TR"/>
              </w:rPr>
              <w:t>İştirak, Bağlı Ortaklık ve Birlikte Kontrol Edilen Ortaklıklar</w:t>
            </w:r>
          </w:p>
        </w:tc>
        <w:tc>
          <w:tcPr>
            <w:tcW w:w="892" w:type="dxa"/>
            <w:tcBorders>
              <w:top w:val="nil"/>
              <w:left w:val="nil"/>
              <w:bottom w:val="nil"/>
              <w:right w:val="nil"/>
            </w:tcBorders>
            <w:shd w:val="clear" w:color="auto" w:fill="auto"/>
            <w:vAlign w:val="center"/>
            <w:hideMark/>
          </w:tcPr>
          <w:p w14:paraId="6B896CF3" w14:textId="517BB52F"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nil"/>
              <w:right w:val="nil"/>
            </w:tcBorders>
            <w:shd w:val="clear" w:color="auto" w:fill="auto"/>
            <w:vAlign w:val="center"/>
            <w:hideMark/>
          </w:tcPr>
          <w:p w14:paraId="12258823" w14:textId="41905653"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nil"/>
              <w:right w:val="nil"/>
            </w:tcBorders>
            <w:shd w:val="clear" w:color="auto" w:fill="auto"/>
            <w:noWrap/>
            <w:vAlign w:val="center"/>
            <w:hideMark/>
          </w:tcPr>
          <w:p w14:paraId="44E462E2" w14:textId="65C26732" w:rsidR="00622EDE" w:rsidRPr="00005453" w:rsidRDefault="00622EDE" w:rsidP="00622EDE">
            <w:pPr>
              <w:jc w:val="right"/>
              <w:rPr>
                <w:color w:val="000000"/>
                <w:sz w:val="12"/>
                <w:szCs w:val="12"/>
                <w:lang w:eastAsia="tr-TR"/>
              </w:rPr>
            </w:pPr>
            <w:r w:rsidRPr="00005453">
              <w:rPr>
                <w:color w:val="000000"/>
                <w:sz w:val="12"/>
                <w:szCs w:val="16"/>
              </w:rPr>
              <w:t>-</w:t>
            </w:r>
          </w:p>
        </w:tc>
        <w:tc>
          <w:tcPr>
            <w:tcW w:w="786" w:type="dxa"/>
            <w:tcBorders>
              <w:top w:val="nil"/>
              <w:left w:val="nil"/>
              <w:bottom w:val="nil"/>
              <w:right w:val="nil"/>
            </w:tcBorders>
            <w:shd w:val="clear" w:color="auto" w:fill="auto"/>
            <w:vAlign w:val="center"/>
            <w:hideMark/>
          </w:tcPr>
          <w:p w14:paraId="08B24C79" w14:textId="3FC0BA66" w:rsidR="00622EDE" w:rsidRPr="00005453" w:rsidRDefault="00622EDE" w:rsidP="00622EDE">
            <w:pPr>
              <w:jc w:val="right"/>
              <w:rPr>
                <w:color w:val="000000"/>
                <w:sz w:val="12"/>
                <w:szCs w:val="12"/>
                <w:lang w:eastAsia="tr-TR"/>
              </w:rPr>
            </w:pPr>
            <w:r w:rsidRPr="00005453">
              <w:rPr>
                <w:color w:val="000000"/>
                <w:sz w:val="12"/>
                <w:szCs w:val="16"/>
              </w:rPr>
              <w:t>-</w:t>
            </w:r>
          </w:p>
        </w:tc>
        <w:tc>
          <w:tcPr>
            <w:tcW w:w="706" w:type="dxa"/>
            <w:tcBorders>
              <w:top w:val="nil"/>
              <w:left w:val="nil"/>
              <w:bottom w:val="nil"/>
              <w:right w:val="nil"/>
            </w:tcBorders>
            <w:shd w:val="clear" w:color="auto" w:fill="auto"/>
            <w:vAlign w:val="center"/>
            <w:hideMark/>
          </w:tcPr>
          <w:p w14:paraId="3B2C85AA" w14:textId="40A43504" w:rsidR="00622EDE" w:rsidRPr="00005453" w:rsidRDefault="00622EDE" w:rsidP="00622EDE">
            <w:pPr>
              <w:jc w:val="right"/>
              <w:rPr>
                <w:color w:val="000000"/>
                <w:sz w:val="12"/>
                <w:szCs w:val="12"/>
                <w:lang w:eastAsia="tr-TR"/>
              </w:rPr>
            </w:pPr>
            <w:r w:rsidRPr="00005453">
              <w:rPr>
                <w:color w:val="000000"/>
                <w:sz w:val="12"/>
                <w:szCs w:val="16"/>
              </w:rPr>
              <w:t>-</w:t>
            </w:r>
          </w:p>
        </w:tc>
        <w:tc>
          <w:tcPr>
            <w:tcW w:w="928" w:type="dxa"/>
            <w:tcBorders>
              <w:top w:val="nil"/>
              <w:left w:val="nil"/>
              <w:bottom w:val="nil"/>
              <w:right w:val="nil"/>
            </w:tcBorders>
            <w:shd w:val="clear" w:color="auto" w:fill="auto"/>
            <w:vAlign w:val="center"/>
            <w:hideMark/>
          </w:tcPr>
          <w:p w14:paraId="36109E14" w14:textId="760CE80D" w:rsidR="00622EDE" w:rsidRPr="00005453" w:rsidRDefault="00622EDE" w:rsidP="00622EDE">
            <w:pPr>
              <w:jc w:val="right"/>
              <w:rPr>
                <w:color w:val="000000"/>
                <w:sz w:val="12"/>
                <w:szCs w:val="12"/>
                <w:lang w:eastAsia="tr-TR"/>
              </w:rPr>
            </w:pPr>
            <w:r w:rsidRPr="00005453">
              <w:rPr>
                <w:color w:val="000000"/>
                <w:sz w:val="12"/>
                <w:szCs w:val="16"/>
              </w:rPr>
              <w:t>-</w:t>
            </w:r>
          </w:p>
        </w:tc>
        <w:tc>
          <w:tcPr>
            <w:tcW w:w="661" w:type="dxa"/>
            <w:tcBorders>
              <w:top w:val="nil"/>
              <w:left w:val="nil"/>
              <w:bottom w:val="nil"/>
              <w:right w:val="nil"/>
            </w:tcBorders>
            <w:shd w:val="clear" w:color="auto" w:fill="auto"/>
            <w:vAlign w:val="center"/>
            <w:hideMark/>
          </w:tcPr>
          <w:p w14:paraId="368D3E82" w14:textId="76C669E9" w:rsidR="00622EDE" w:rsidRPr="00005453" w:rsidRDefault="00622EDE" w:rsidP="00622EDE">
            <w:pPr>
              <w:jc w:val="right"/>
              <w:rPr>
                <w:color w:val="000000"/>
                <w:sz w:val="12"/>
                <w:szCs w:val="12"/>
                <w:lang w:eastAsia="tr-TR"/>
              </w:rPr>
            </w:pPr>
            <w:r w:rsidRPr="00005453">
              <w:rPr>
                <w:color w:val="000000"/>
                <w:sz w:val="12"/>
                <w:szCs w:val="16"/>
              </w:rPr>
              <w:t>-</w:t>
            </w:r>
          </w:p>
        </w:tc>
        <w:tc>
          <w:tcPr>
            <w:tcW w:w="727" w:type="dxa"/>
            <w:tcBorders>
              <w:top w:val="nil"/>
              <w:left w:val="nil"/>
              <w:bottom w:val="nil"/>
              <w:right w:val="nil"/>
            </w:tcBorders>
            <w:shd w:val="clear" w:color="auto" w:fill="auto"/>
            <w:vAlign w:val="center"/>
            <w:hideMark/>
          </w:tcPr>
          <w:p w14:paraId="63A3C183" w14:textId="2BFAF107"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nil"/>
              <w:right w:val="nil"/>
            </w:tcBorders>
            <w:shd w:val="clear" w:color="auto" w:fill="auto"/>
            <w:vAlign w:val="center"/>
            <w:hideMark/>
          </w:tcPr>
          <w:p w14:paraId="1C43B8F3" w14:textId="173B0B11"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nil"/>
              <w:right w:val="nil"/>
            </w:tcBorders>
            <w:shd w:val="clear" w:color="auto" w:fill="auto"/>
            <w:vAlign w:val="center"/>
            <w:hideMark/>
          </w:tcPr>
          <w:p w14:paraId="6D1B0D81" w14:textId="3BDAC5F8" w:rsidR="00622EDE" w:rsidRPr="00005453" w:rsidRDefault="00622EDE" w:rsidP="00622EDE">
            <w:pPr>
              <w:jc w:val="right"/>
              <w:rPr>
                <w:color w:val="000000"/>
                <w:sz w:val="12"/>
                <w:szCs w:val="12"/>
                <w:lang w:eastAsia="tr-TR"/>
              </w:rPr>
            </w:pPr>
            <w:r w:rsidRPr="00005453">
              <w:rPr>
                <w:color w:val="000000"/>
                <w:sz w:val="12"/>
                <w:szCs w:val="16"/>
              </w:rPr>
              <w:t>4,486,142</w:t>
            </w:r>
          </w:p>
        </w:tc>
        <w:tc>
          <w:tcPr>
            <w:tcW w:w="687" w:type="dxa"/>
            <w:tcBorders>
              <w:top w:val="nil"/>
              <w:left w:val="nil"/>
              <w:bottom w:val="nil"/>
              <w:right w:val="nil"/>
            </w:tcBorders>
            <w:shd w:val="clear" w:color="auto" w:fill="auto"/>
            <w:vAlign w:val="center"/>
            <w:hideMark/>
          </w:tcPr>
          <w:p w14:paraId="41E1F5CA" w14:textId="67E370E6" w:rsidR="00622EDE" w:rsidRPr="00005453" w:rsidRDefault="00622EDE" w:rsidP="00622EDE">
            <w:pPr>
              <w:jc w:val="right"/>
              <w:rPr>
                <w:color w:val="000000"/>
                <w:sz w:val="12"/>
                <w:szCs w:val="12"/>
                <w:lang w:eastAsia="tr-TR"/>
              </w:rPr>
            </w:pPr>
            <w:r w:rsidRPr="00005453">
              <w:rPr>
                <w:color w:val="000000"/>
                <w:sz w:val="12"/>
                <w:szCs w:val="16"/>
              </w:rPr>
              <w:t>-</w:t>
            </w:r>
          </w:p>
        </w:tc>
        <w:tc>
          <w:tcPr>
            <w:tcW w:w="829" w:type="dxa"/>
            <w:tcBorders>
              <w:top w:val="nil"/>
              <w:left w:val="nil"/>
              <w:bottom w:val="nil"/>
              <w:right w:val="nil"/>
            </w:tcBorders>
            <w:shd w:val="clear" w:color="auto" w:fill="auto"/>
            <w:vAlign w:val="center"/>
            <w:hideMark/>
          </w:tcPr>
          <w:p w14:paraId="149F1DD4" w14:textId="3E7526C4" w:rsidR="00622EDE" w:rsidRPr="00005453" w:rsidRDefault="00622EDE" w:rsidP="00622EDE">
            <w:pPr>
              <w:jc w:val="right"/>
              <w:rPr>
                <w:color w:val="000000"/>
                <w:sz w:val="12"/>
                <w:szCs w:val="12"/>
                <w:lang w:eastAsia="tr-TR"/>
              </w:rPr>
            </w:pPr>
            <w:r w:rsidRPr="00005453">
              <w:rPr>
                <w:color w:val="000000"/>
                <w:sz w:val="12"/>
                <w:szCs w:val="12"/>
              </w:rPr>
              <w:t>4,486,142</w:t>
            </w:r>
          </w:p>
        </w:tc>
      </w:tr>
      <w:tr w:rsidR="00622EDE" w:rsidRPr="00005453" w14:paraId="325CE9A7" w14:textId="77777777" w:rsidTr="00622EDE">
        <w:trPr>
          <w:trHeight w:val="196"/>
        </w:trPr>
        <w:tc>
          <w:tcPr>
            <w:tcW w:w="1690" w:type="dxa"/>
            <w:tcBorders>
              <w:top w:val="nil"/>
              <w:left w:val="nil"/>
              <w:bottom w:val="single" w:sz="8" w:space="0" w:color="auto"/>
              <w:right w:val="nil"/>
            </w:tcBorders>
            <w:shd w:val="clear" w:color="auto" w:fill="auto"/>
            <w:hideMark/>
          </w:tcPr>
          <w:p w14:paraId="6048B220" w14:textId="77777777" w:rsidR="00622EDE" w:rsidRPr="00005453" w:rsidRDefault="00622EDE" w:rsidP="00622EDE">
            <w:pPr>
              <w:rPr>
                <w:color w:val="000000"/>
                <w:sz w:val="12"/>
                <w:szCs w:val="12"/>
                <w:lang w:eastAsia="tr-TR"/>
              </w:rPr>
            </w:pPr>
            <w:r w:rsidRPr="00005453">
              <w:rPr>
                <w:color w:val="000000"/>
                <w:sz w:val="12"/>
                <w:szCs w:val="12"/>
                <w:lang w:eastAsia="tr-TR"/>
              </w:rPr>
              <w:t>Dağıtılmamış Varlıklar/</w:t>
            </w:r>
            <w:proofErr w:type="gramStart"/>
            <w:r w:rsidRPr="00005453">
              <w:rPr>
                <w:color w:val="000000"/>
                <w:sz w:val="12"/>
                <w:szCs w:val="12"/>
                <w:lang w:eastAsia="tr-TR"/>
              </w:rPr>
              <w:t>Yükümlülükler(</w:t>
            </w:r>
            <w:proofErr w:type="gramEnd"/>
            <w:r w:rsidRPr="00005453">
              <w:rPr>
                <w:color w:val="000000"/>
                <w:sz w:val="12"/>
                <w:szCs w:val="12"/>
                <w:lang w:eastAsia="tr-TR"/>
              </w:rPr>
              <w:t>***)</w:t>
            </w:r>
          </w:p>
        </w:tc>
        <w:tc>
          <w:tcPr>
            <w:tcW w:w="892" w:type="dxa"/>
            <w:tcBorders>
              <w:top w:val="nil"/>
              <w:left w:val="nil"/>
              <w:bottom w:val="single" w:sz="8" w:space="0" w:color="auto"/>
              <w:right w:val="nil"/>
            </w:tcBorders>
            <w:shd w:val="clear" w:color="auto" w:fill="auto"/>
            <w:vAlign w:val="center"/>
            <w:hideMark/>
          </w:tcPr>
          <w:p w14:paraId="5FE65E39" w14:textId="0CDD2E22" w:rsidR="00622EDE" w:rsidRPr="00005453" w:rsidRDefault="00622EDE" w:rsidP="00622EDE">
            <w:pPr>
              <w:jc w:val="right"/>
              <w:rPr>
                <w:color w:val="000000"/>
                <w:sz w:val="12"/>
                <w:szCs w:val="12"/>
                <w:lang w:eastAsia="tr-TR"/>
              </w:rPr>
            </w:pPr>
            <w:r w:rsidRPr="00005453">
              <w:rPr>
                <w:color w:val="000000"/>
                <w:sz w:val="12"/>
                <w:szCs w:val="16"/>
              </w:rPr>
              <w:t>-</w:t>
            </w:r>
          </w:p>
        </w:tc>
        <w:tc>
          <w:tcPr>
            <w:tcW w:w="830" w:type="dxa"/>
            <w:tcBorders>
              <w:top w:val="nil"/>
              <w:left w:val="nil"/>
              <w:bottom w:val="single" w:sz="8" w:space="0" w:color="auto"/>
              <w:right w:val="nil"/>
            </w:tcBorders>
            <w:shd w:val="clear" w:color="auto" w:fill="auto"/>
            <w:vAlign w:val="center"/>
            <w:hideMark/>
          </w:tcPr>
          <w:p w14:paraId="23B9A06D" w14:textId="4D21FFA4" w:rsidR="00622EDE" w:rsidRPr="00005453" w:rsidRDefault="00622EDE" w:rsidP="00622EDE">
            <w:pPr>
              <w:jc w:val="right"/>
              <w:rPr>
                <w:color w:val="000000"/>
                <w:sz w:val="12"/>
                <w:szCs w:val="12"/>
                <w:lang w:eastAsia="tr-TR"/>
              </w:rPr>
            </w:pPr>
            <w:r w:rsidRPr="00005453">
              <w:rPr>
                <w:color w:val="000000"/>
                <w:sz w:val="12"/>
                <w:szCs w:val="16"/>
              </w:rPr>
              <w:t>-</w:t>
            </w:r>
          </w:p>
        </w:tc>
        <w:tc>
          <w:tcPr>
            <w:tcW w:w="794" w:type="dxa"/>
            <w:tcBorders>
              <w:top w:val="nil"/>
              <w:left w:val="nil"/>
              <w:bottom w:val="single" w:sz="8" w:space="0" w:color="auto"/>
              <w:right w:val="nil"/>
            </w:tcBorders>
            <w:shd w:val="clear" w:color="auto" w:fill="auto"/>
            <w:noWrap/>
            <w:vAlign w:val="center"/>
            <w:hideMark/>
          </w:tcPr>
          <w:p w14:paraId="234C48C5" w14:textId="71C8F42B" w:rsidR="00622EDE" w:rsidRPr="00005453" w:rsidRDefault="00622EDE" w:rsidP="00622EDE">
            <w:pPr>
              <w:jc w:val="right"/>
              <w:rPr>
                <w:color w:val="000000"/>
                <w:sz w:val="12"/>
                <w:szCs w:val="12"/>
                <w:lang w:eastAsia="tr-TR"/>
              </w:rPr>
            </w:pPr>
            <w:r w:rsidRPr="00005453">
              <w:rPr>
                <w:color w:val="000000"/>
                <w:sz w:val="12"/>
                <w:szCs w:val="16"/>
              </w:rPr>
              <w:t>-</w:t>
            </w:r>
          </w:p>
        </w:tc>
        <w:tc>
          <w:tcPr>
            <w:tcW w:w="786" w:type="dxa"/>
            <w:tcBorders>
              <w:top w:val="nil"/>
              <w:left w:val="nil"/>
              <w:bottom w:val="single" w:sz="8" w:space="0" w:color="auto"/>
              <w:right w:val="nil"/>
            </w:tcBorders>
            <w:shd w:val="clear" w:color="auto" w:fill="auto"/>
            <w:vAlign w:val="center"/>
            <w:hideMark/>
          </w:tcPr>
          <w:p w14:paraId="409078DF" w14:textId="0F8158EC" w:rsidR="00622EDE" w:rsidRPr="00005453" w:rsidRDefault="00622EDE" w:rsidP="00622EDE">
            <w:pPr>
              <w:jc w:val="right"/>
              <w:rPr>
                <w:color w:val="000000"/>
                <w:sz w:val="12"/>
                <w:szCs w:val="12"/>
                <w:lang w:eastAsia="tr-TR"/>
              </w:rPr>
            </w:pPr>
            <w:r w:rsidRPr="00005453">
              <w:rPr>
                <w:color w:val="000000"/>
                <w:sz w:val="12"/>
                <w:szCs w:val="16"/>
              </w:rPr>
              <w:t>-</w:t>
            </w:r>
          </w:p>
        </w:tc>
        <w:tc>
          <w:tcPr>
            <w:tcW w:w="706" w:type="dxa"/>
            <w:tcBorders>
              <w:top w:val="nil"/>
              <w:left w:val="nil"/>
              <w:bottom w:val="single" w:sz="8" w:space="0" w:color="auto"/>
              <w:right w:val="nil"/>
            </w:tcBorders>
            <w:shd w:val="clear" w:color="auto" w:fill="auto"/>
            <w:vAlign w:val="center"/>
            <w:hideMark/>
          </w:tcPr>
          <w:p w14:paraId="0179CB8C" w14:textId="7140C6A8" w:rsidR="00622EDE" w:rsidRPr="00005453" w:rsidRDefault="00622EDE" w:rsidP="00622EDE">
            <w:pPr>
              <w:jc w:val="right"/>
              <w:rPr>
                <w:color w:val="000000"/>
                <w:sz w:val="12"/>
                <w:szCs w:val="12"/>
                <w:lang w:eastAsia="tr-TR"/>
              </w:rPr>
            </w:pPr>
            <w:r w:rsidRPr="00005453">
              <w:rPr>
                <w:color w:val="000000"/>
                <w:sz w:val="12"/>
                <w:szCs w:val="16"/>
              </w:rPr>
              <w:t>-</w:t>
            </w:r>
          </w:p>
        </w:tc>
        <w:tc>
          <w:tcPr>
            <w:tcW w:w="928" w:type="dxa"/>
            <w:tcBorders>
              <w:top w:val="nil"/>
              <w:left w:val="nil"/>
              <w:bottom w:val="single" w:sz="8" w:space="0" w:color="auto"/>
              <w:right w:val="nil"/>
            </w:tcBorders>
            <w:shd w:val="clear" w:color="auto" w:fill="auto"/>
            <w:vAlign w:val="center"/>
            <w:hideMark/>
          </w:tcPr>
          <w:p w14:paraId="388266BE" w14:textId="18ABF591" w:rsidR="00622EDE" w:rsidRPr="00005453" w:rsidRDefault="00622EDE" w:rsidP="00622EDE">
            <w:pPr>
              <w:jc w:val="right"/>
              <w:rPr>
                <w:color w:val="000000"/>
                <w:sz w:val="12"/>
                <w:szCs w:val="12"/>
                <w:lang w:eastAsia="tr-TR"/>
              </w:rPr>
            </w:pPr>
            <w:r w:rsidRPr="00005453">
              <w:rPr>
                <w:color w:val="000000"/>
                <w:sz w:val="12"/>
                <w:szCs w:val="16"/>
              </w:rPr>
              <w:t>-</w:t>
            </w:r>
          </w:p>
        </w:tc>
        <w:tc>
          <w:tcPr>
            <w:tcW w:w="661" w:type="dxa"/>
            <w:tcBorders>
              <w:top w:val="nil"/>
              <w:left w:val="nil"/>
              <w:bottom w:val="single" w:sz="8" w:space="0" w:color="auto"/>
              <w:right w:val="nil"/>
            </w:tcBorders>
            <w:shd w:val="clear" w:color="auto" w:fill="auto"/>
            <w:vAlign w:val="center"/>
            <w:hideMark/>
          </w:tcPr>
          <w:p w14:paraId="7DAC594B" w14:textId="32794992" w:rsidR="00622EDE" w:rsidRPr="00005453" w:rsidRDefault="00622EDE" w:rsidP="00622EDE">
            <w:pPr>
              <w:jc w:val="right"/>
              <w:rPr>
                <w:color w:val="000000"/>
                <w:sz w:val="12"/>
                <w:szCs w:val="12"/>
                <w:lang w:eastAsia="tr-TR"/>
              </w:rPr>
            </w:pPr>
            <w:r w:rsidRPr="00005453">
              <w:rPr>
                <w:color w:val="000000"/>
                <w:sz w:val="12"/>
                <w:szCs w:val="16"/>
              </w:rPr>
              <w:t>-</w:t>
            </w:r>
          </w:p>
        </w:tc>
        <w:tc>
          <w:tcPr>
            <w:tcW w:w="727" w:type="dxa"/>
            <w:tcBorders>
              <w:top w:val="nil"/>
              <w:left w:val="nil"/>
              <w:bottom w:val="single" w:sz="8" w:space="0" w:color="auto"/>
              <w:right w:val="nil"/>
            </w:tcBorders>
            <w:shd w:val="clear" w:color="auto" w:fill="auto"/>
            <w:vAlign w:val="center"/>
            <w:hideMark/>
          </w:tcPr>
          <w:p w14:paraId="57EA887B" w14:textId="416D8D93" w:rsidR="00622EDE" w:rsidRPr="00005453" w:rsidRDefault="00622EDE" w:rsidP="00622EDE">
            <w:pPr>
              <w:jc w:val="right"/>
              <w:rPr>
                <w:color w:val="000000"/>
                <w:sz w:val="12"/>
                <w:szCs w:val="12"/>
                <w:lang w:eastAsia="tr-TR"/>
              </w:rPr>
            </w:pPr>
            <w:r w:rsidRPr="00005453">
              <w:rPr>
                <w:color w:val="000000"/>
                <w:sz w:val="12"/>
                <w:szCs w:val="16"/>
              </w:rPr>
              <w:t>-</w:t>
            </w:r>
          </w:p>
        </w:tc>
        <w:tc>
          <w:tcPr>
            <w:tcW w:w="795" w:type="dxa"/>
            <w:tcBorders>
              <w:top w:val="nil"/>
              <w:left w:val="nil"/>
              <w:bottom w:val="single" w:sz="8" w:space="0" w:color="auto"/>
              <w:right w:val="nil"/>
            </w:tcBorders>
            <w:shd w:val="clear" w:color="auto" w:fill="auto"/>
            <w:vAlign w:val="center"/>
            <w:hideMark/>
          </w:tcPr>
          <w:p w14:paraId="5B82C8CC" w14:textId="1705510B" w:rsidR="00622EDE" w:rsidRPr="00005453" w:rsidRDefault="00622EDE" w:rsidP="00622EDE">
            <w:pPr>
              <w:jc w:val="right"/>
              <w:rPr>
                <w:color w:val="000000"/>
                <w:sz w:val="12"/>
                <w:szCs w:val="12"/>
                <w:lang w:eastAsia="tr-TR"/>
              </w:rPr>
            </w:pPr>
            <w:r w:rsidRPr="00005453">
              <w:rPr>
                <w:color w:val="000000"/>
                <w:sz w:val="12"/>
                <w:szCs w:val="16"/>
              </w:rPr>
              <w:t>-</w:t>
            </w:r>
          </w:p>
        </w:tc>
        <w:tc>
          <w:tcPr>
            <w:tcW w:w="793" w:type="dxa"/>
            <w:tcBorders>
              <w:top w:val="nil"/>
              <w:left w:val="nil"/>
              <w:bottom w:val="single" w:sz="8" w:space="0" w:color="auto"/>
              <w:right w:val="nil"/>
            </w:tcBorders>
            <w:shd w:val="clear" w:color="auto" w:fill="auto"/>
            <w:vAlign w:val="center"/>
            <w:hideMark/>
          </w:tcPr>
          <w:p w14:paraId="435E2C73" w14:textId="018A4A5B" w:rsidR="00622EDE" w:rsidRPr="00005453" w:rsidRDefault="00622EDE" w:rsidP="00622EDE">
            <w:pPr>
              <w:jc w:val="right"/>
              <w:rPr>
                <w:color w:val="000000"/>
                <w:sz w:val="12"/>
                <w:szCs w:val="12"/>
                <w:lang w:eastAsia="tr-TR"/>
              </w:rPr>
            </w:pPr>
            <w:r w:rsidRPr="00005453">
              <w:rPr>
                <w:color w:val="000000"/>
                <w:sz w:val="12"/>
                <w:szCs w:val="16"/>
              </w:rPr>
              <w:t>-</w:t>
            </w:r>
          </w:p>
        </w:tc>
        <w:tc>
          <w:tcPr>
            <w:tcW w:w="687" w:type="dxa"/>
            <w:tcBorders>
              <w:top w:val="nil"/>
              <w:left w:val="nil"/>
              <w:bottom w:val="single" w:sz="8" w:space="0" w:color="auto"/>
              <w:right w:val="nil"/>
            </w:tcBorders>
            <w:shd w:val="clear" w:color="auto" w:fill="auto"/>
            <w:vAlign w:val="center"/>
            <w:hideMark/>
          </w:tcPr>
          <w:p w14:paraId="0EDC18AA" w14:textId="5EAD0876" w:rsidR="00622EDE" w:rsidRPr="00005453" w:rsidRDefault="00622EDE" w:rsidP="00622EDE">
            <w:pPr>
              <w:jc w:val="right"/>
              <w:rPr>
                <w:color w:val="000000"/>
                <w:sz w:val="12"/>
                <w:szCs w:val="12"/>
                <w:lang w:eastAsia="tr-TR"/>
              </w:rPr>
            </w:pPr>
            <w:r w:rsidRPr="00005453">
              <w:rPr>
                <w:color w:val="000000"/>
                <w:sz w:val="12"/>
                <w:szCs w:val="16"/>
              </w:rPr>
              <w:t>24,836,514</w:t>
            </w:r>
          </w:p>
        </w:tc>
        <w:tc>
          <w:tcPr>
            <w:tcW w:w="829" w:type="dxa"/>
            <w:tcBorders>
              <w:top w:val="nil"/>
              <w:left w:val="nil"/>
              <w:bottom w:val="single" w:sz="8" w:space="0" w:color="auto"/>
              <w:right w:val="nil"/>
            </w:tcBorders>
            <w:shd w:val="clear" w:color="auto" w:fill="auto"/>
            <w:vAlign w:val="center"/>
            <w:hideMark/>
          </w:tcPr>
          <w:p w14:paraId="2CAADFEA" w14:textId="1D93B1CD" w:rsidR="00622EDE" w:rsidRPr="00005453" w:rsidRDefault="00622EDE" w:rsidP="00622EDE">
            <w:pPr>
              <w:jc w:val="right"/>
              <w:rPr>
                <w:color w:val="000000"/>
                <w:sz w:val="12"/>
                <w:szCs w:val="12"/>
                <w:lang w:eastAsia="tr-TR"/>
              </w:rPr>
            </w:pPr>
            <w:r w:rsidRPr="00005453">
              <w:rPr>
                <w:color w:val="000000"/>
                <w:sz w:val="12"/>
                <w:szCs w:val="12"/>
              </w:rPr>
              <w:t>24,836,514</w:t>
            </w:r>
          </w:p>
        </w:tc>
      </w:tr>
      <w:tr w:rsidR="00622EDE" w:rsidRPr="00005453" w14:paraId="22888807" w14:textId="77777777" w:rsidTr="00622EDE">
        <w:trPr>
          <w:trHeight w:val="119"/>
        </w:trPr>
        <w:tc>
          <w:tcPr>
            <w:tcW w:w="1690" w:type="dxa"/>
            <w:tcBorders>
              <w:top w:val="nil"/>
              <w:left w:val="nil"/>
              <w:bottom w:val="double" w:sz="6" w:space="0" w:color="auto"/>
              <w:right w:val="nil"/>
            </w:tcBorders>
            <w:shd w:val="clear" w:color="auto" w:fill="auto"/>
            <w:noWrap/>
            <w:vAlign w:val="center"/>
            <w:hideMark/>
          </w:tcPr>
          <w:p w14:paraId="317C76BF" w14:textId="77777777" w:rsidR="00622EDE" w:rsidRPr="00005453" w:rsidRDefault="00622EDE" w:rsidP="00622EDE">
            <w:pPr>
              <w:rPr>
                <w:b/>
                <w:bCs/>
                <w:color w:val="000000"/>
                <w:sz w:val="12"/>
                <w:szCs w:val="12"/>
                <w:lang w:eastAsia="tr-TR"/>
              </w:rPr>
            </w:pPr>
            <w:r w:rsidRPr="00005453">
              <w:rPr>
                <w:b/>
                <w:bCs/>
                <w:color w:val="000000"/>
                <w:sz w:val="12"/>
                <w:szCs w:val="12"/>
                <w:lang w:eastAsia="tr-TR"/>
              </w:rPr>
              <w:t>Toplam</w:t>
            </w:r>
          </w:p>
        </w:tc>
        <w:tc>
          <w:tcPr>
            <w:tcW w:w="892" w:type="dxa"/>
            <w:tcBorders>
              <w:top w:val="nil"/>
              <w:left w:val="nil"/>
              <w:bottom w:val="double" w:sz="6" w:space="0" w:color="auto"/>
              <w:right w:val="nil"/>
            </w:tcBorders>
            <w:shd w:val="clear" w:color="auto" w:fill="auto"/>
            <w:vAlign w:val="center"/>
            <w:hideMark/>
          </w:tcPr>
          <w:p w14:paraId="0EE45761" w14:textId="2A7D6E9F" w:rsidR="00622EDE" w:rsidRPr="00005453" w:rsidRDefault="00622EDE" w:rsidP="00622EDE">
            <w:pPr>
              <w:jc w:val="right"/>
              <w:rPr>
                <w:b/>
                <w:color w:val="000000"/>
                <w:sz w:val="12"/>
                <w:szCs w:val="12"/>
                <w:lang w:eastAsia="tr-TR"/>
              </w:rPr>
            </w:pPr>
            <w:r w:rsidRPr="00005453">
              <w:rPr>
                <w:b/>
                <w:bCs/>
                <w:color w:val="000000"/>
                <w:sz w:val="12"/>
                <w:szCs w:val="16"/>
              </w:rPr>
              <w:t>264,873,248</w:t>
            </w:r>
          </w:p>
        </w:tc>
        <w:tc>
          <w:tcPr>
            <w:tcW w:w="830" w:type="dxa"/>
            <w:tcBorders>
              <w:top w:val="nil"/>
              <w:left w:val="nil"/>
              <w:bottom w:val="double" w:sz="6" w:space="0" w:color="auto"/>
              <w:right w:val="nil"/>
            </w:tcBorders>
            <w:shd w:val="clear" w:color="auto" w:fill="auto"/>
            <w:vAlign w:val="center"/>
            <w:hideMark/>
          </w:tcPr>
          <w:p w14:paraId="68F8DD7B" w14:textId="7188801B" w:rsidR="00622EDE" w:rsidRPr="00005453" w:rsidRDefault="00622EDE" w:rsidP="00622EDE">
            <w:pPr>
              <w:jc w:val="right"/>
              <w:rPr>
                <w:b/>
                <w:color w:val="000000"/>
                <w:sz w:val="12"/>
                <w:szCs w:val="12"/>
                <w:lang w:eastAsia="tr-TR"/>
              </w:rPr>
            </w:pPr>
            <w:r w:rsidRPr="00005453">
              <w:rPr>
                <w:b/>
                <w:bCs/>
                <w:color w:val="000000"/>
                <w:sz w:val="12"/>
                <w:szCs w:val="12"/>
              </w:rPr>
              <w:t>-</w:t>
            </w:r>
          </w:p>
        </w:tc>
        <w:tc>
          <w:tcPr>
            <w:tcW w:w="794" w:type="dxa"/>
            <w:tcBorders>
              <w:top w:val="nil"/>
              <w:left w:val="nil"/>
              <w:bottom w:val="double" w:sz="6" w:space="0" w:color="auto"/>
              <w:right w:val="nil"/>
            </w:tcBorders>
            <w:shd w:val="clear" w:color="auto" w:fill="auto"/>
            <w:noWrap/>
            <w:vAlign w:val="center"/>
            <w:hideMark/>
          </w:tcPr>
          <w:p w14:paraId="2E55AF32" w14:textId="620F4848" w:rsidR="00622EDE" w:rsidRPr="00005453" w:rsidRDefault="00622EDE" w:rsidP="00622EDE">
            <w:pPr>
              <w:jc w:val="right"/>
              <w:rPr>
                <w:b/>
                <w:color w:val="000000"/>
                <w:sz w:val="12"/>
                <w:szCs w:val="12"/>
                <w:lang w:eastAsia="tr-TR"/>
              </w:rPr>
            </w:pPr>
            <w:r w:rsidRPr="00005453">
              <w:rPr>
                <w:b/>
                <w:bCs/>
                <w:color w:val="000000"/>
                <w:sz w:val="12"/>
                <w:szCs w:val="16"/>
              </w:rPr>
              <w:t>30,092,335</w:t>
            </w:r>
          </w:p>
        </w:tc>
        <w:tc>
          <w:tcPr>
            <w:tcW w:w="786" w:type="dxa"/>
            <w:tcBorders>
              <w:top w:val="nil"/>
              <w:left w:val="nil"/>
              <w:bottom w:val="double" w:sz="6" w:space="0" w:color="auto"/>
              <w:right w:val="nil"/>
            </w:tcBorders>
            <w:shd w:val="clear" w:color="auto" w:fill="auto"/>
            <w:vAlign w:val="center"/>
            <w:hideMark/>
          </w:tcPr>
          <w:p w14:paraId="282EE024" w14:textId="75DD47E1" w:rsidR="00622EDE" w:rsidRPr="00005453" w:rsidRDefault="00622EDE" w:rsidP="00622EDE">
            <w:pPr>
              <w:jc w:val="right"/>
              <w:rPr>
                <w:b/>
                <w:color w:val="000000"/>
                <w:sz w:val="12"/>
                <w:szCs w:val="12"/>
                <w:lang w:eastAsia="tr-TR"/>
              </w:rPr>
            </w:pPr>
            <w:r w:rsidRPr="00005453">
              <w:rPr>
                <w:b/>
                <w:bCs/>
                <w:color w:val="000000"/>
                <w:sz w:val="12"/>
                <w:szCs w:val="16"/>
              </w:rPr>
              <w:t>170,849,138</w:t>
            </w:r>
          </w:p>
        </w:tc>
        <w:tc>
          <w:tcPr>
            <w:tcW w:w="706" w:type="dxa"/>
            <w:tcBorders>
              <w:top w:val="nil"/>
              <w:left w:val="nil"/>
              <w:bottom w:val="double" w:sz="6" w:space="0" w:color="auto"/>
              <w:right w:val="nil"/>
            </w:tcBorders>
            <w:shd w:val="clear" w:color="auto" w:fill="auto"/>
            <w:vAlign w:val="center"/>
            <w:hideMark/>
          </w:tcPr>
          <w:p w14:paraId="295989CA" w14:textId="4AD470CC" w:rsidR="00622EDE" w:rsidRPr="00005453" w:rsidRDefault="00622EDE" w:rsidP="00622EDE">
            <w:pPr>
              <w:jc w:val="right"/>
              <w:rPr>
                <w:b/>
                <w:color w:val="000000"/>
                <w:sz w:val="12"/>
                <w:szCs w:val="12"/>
                <w:lang w:eastAsia="tr-TR"/>
              </w:rPr>
            </w:pPr>
            <w:r w:rsidRPr="00005453">
              <w:rPr>
                <w:b/>
                <w:bCs/>
                <w:color w:val="000000"/>
                <w:sz w:val="12"/>
                <w:szCs w:val="16"/>
              </w:rPr>
              <w:t>80,854,760</w:t>
            </w:r>
          </w:p>
        </w:tc>
        <w:tc>
          <w:tcPr>
            <w:tcW w:w="928" w:type="dxa"/>
            <w:tcBorders>
              <w:top w:val="nil"/>
              <w:left w:val="nil"/>
              <w:bottom w:val="double" w:sz="6" w:space="0" w:color="auto"/>
              <w:right w:val="nil"/>
            </w:tcBorders>
            <w:shd w:val="clear" w:color="auto" w:fill="auto"/>
            <w:vAlign w:val="center"/>
            <w:hideMark/>
          </w:tcPr>
          <w:p w14:paraId="6B07D383" w14:textId="15A25071" w:rsidR="00622EDE" w:rsidRPr="00005453" w:rsidRDefault="00622EDE" w:rsidP="00622EDE">
            <w:pPr>
              <w:jc w:val="right"/>
              <w:rPr>
                <w:b/>
                <w:color w:val="000000"/>
                <w:sz w:val="12"/>
                <w:szCs w:val="12"/>
                <w:lang w:eastAsia="tr-TR"/>
              </w:rPr>
            </w:pPr>
            <w:r w:rsidRPr="00005453">
              <w:rPr>
                <w:b/>
                <w:bCs/>
                <w:color w:val="000000"/>
                <w:sz w:val="12"/>
                <w:szCs w:val="16"/>
              </w:rPr>
              <w:t>101,796,609</w:t>
            </w:r>
          </w:p>
        </w:tc>
        <w:tc>
          <w:tcPr>
            <w:tcW w:w="661" w:type="dxa"/>
            <w:tcBorders>
              <w:top w:val="nil"/>
              <w:left w:val="nil"/>
              <w:bottom w:val="double" w:sz="6" w:space="0" w:color="auto"/>
              <w:right w:val="nil"/>
            </w:tcBorders>
            <w:shd w:val="clear" w:color="auto" w:fill="auto"/>
            <w:vAlign w:val="center"/>
            <w:hideMark/>
          </w:tcPr>
          <w:p w14:paraId="264A2D38" w14:textId="5C40D8E9" w:rsidR="00622EDE" w:rsidRPr="00005453" w:rsidRDefault="00622EDE" w:rsidP="00622EDE">
            <w:pPr>
              <w:jc w:val="right"/>
              <w:rPr>
                <w:b/>
                <w:color w:val="000000"/>
                <w:sz w:val="12"/>
                <w:szCs w:val="12"/>
                <w:lang w:eastAsia="tr-TR"/>
              </w:rPr>
            </w:pPr>
            <w:r w:rsidRPr="00005453">
              <w:rPr>
                <w:b/>
                <w:bCs/>
                <w:color w:val="000000"/>
                <w:sz w:val="12"/>
                <w:szCs w:val="16"/>
              </w:rPr>
              <w:t>518,076</w:t>
            </w:r>
          </w:p>
        </w:tc>
        <w:tc>
          <w:tcPr>
            <w:tcW w:w="727" w:type="dxa"/>
            <w:tcBorders>
              <w:top w:val="nil"/>
              <w:left w:val="nil"/>
              <w:bottom w:val="double" w:sz="6" w:space="0" w:color="auto"/>
              <w:right w:val="nil"/>
            </w:tcBorders>
            <w:shd w:val="clear" w:color="auto" w:fill="auto"/>
            <w:vAlign w:val="center"/>
            <w:hideMark/>
          </w:tcPr>
          <w:p w14:paraId="06B59517" w14:textId="0DA1DCCB" w:rsidR="00622EDE" w:rsidRPr="00005453" w:rsidRDefault="00622EDE" w:rsidP="00622EDE">
            <w:pPr>
              <w:jc w:val="right"/>
              <w:rPr>
                <w:b/>
                <w:color w:val="000000"/>
                <w:sz w:val="12"/>
                <w:szCs w:val="12"/>
                <w:lang w:eastAsia="tr-TR"/>
              </w:rPr>
            </w:pPr>
            <w:r w:rsidRPr="00005453">
              <w:rPr>
                <w:b/>
                <w:bCs/>
                <w:color w:val="000000"/>
                <w:sz w:val="12"/>
                <w:szCs w:val="16"/>
              </w:rPr>
              <w:t>1,593,687</w:t>
            </w:r>
          </w:p>
        </w:tc>
        <w:tc>
          <w:tcPr>
            <w:tcW w:w="795" w:type="dxa"/>
            <w:tcBorders>
              <w:top w:val="nil"/>
              <w:left w:val="nil"/>
              <w:bottom w:val="double" w:sz="6" w:space="0" w:color="auto"/>
              <w:right w:val="nil"/>
            </w:tcBorders>
            <w:shd w:val="clear" w:color="auto" w:fill="auto"/>
            <w:vAlign w:val="center"/>
            <w:hideMark/>
          </w:tcPr>
          <w:p w14:paraId="7F253B5D" w14:textId="2B3B7FD9" w:rsidR="00622EDE" w:rsidRPr="00005453" w:rsidRDefault="00622EDE" w:rsidP="00622EDE">
            <w:pPr>
              <w:jc w:val="right"/>
              <w:rPr>
                <w:b/>
                <w:color w:val="000000"/>
                <w:sz w:val="12"/>
                <w:szCs w:val="12"/>
                <w:lang w:eastAsia="tr-TR"/>
              </w:rPr>
            </w:pPr>
            <w:r w:rsidRPr="00005453">
              <w:rPr>
                <w:b/>
                <w:bCs/>
                <w:color w:val="000000"/>
                <w:sz w:val="12"/>
                <w:szCs w:val="16"/>
              </w:rPr>
              <w:t>-</w:t>
            </w:r>
          </w:p>
        </w:tc>
        <w:tc>
          <w:tcPr>
            <w:tcW w:w="793" w:type="dxa"/>
            <w:tcBorders>
              <w:top w:val="nil"/>
              <w:left w:val="nil"/>
              <w:bottom w:val="double" w:sz="6" w:space="0" w:color="auto"/>
              <w:right w:val="nil"/>
            </w:tcBorders>
            <w:shd w:val="clear" w:color="auto" w:fill="auto"/>
            <w:vAlign w:val="center"/>
            <w:hideMark/>
          </w:tcPr>
          <w:p w14:paraId="52635ED6" w14:textId="7D8FFFC9" w:rsidR="00622EDE" w:rsidRPr="00005453" w:rsidRDefault="00622EDE" w:rsidP="00622EDE">
            <w:pPr>
              <w:jc w:val="right"/>
              <w:rPr>
                <w:b/>
                <w:color w:val="000000"/>
                <w:sz w:val="12"/>
                <w:szCs w:val="12"/>
                <w:lang w:eastAsia="tr-TR"/>
              </w:rPr>
            </w:pPr>
            <w:r w:rsidRPr="00005453">
              <w:rPr>
                <w:b/>
                <w:bCs/>
                <w:color w:val="000000"/>
                <w:sz w:val="12"/>
                <w:szCs w:val="16"/>
              </w:rPr>
              <w:t>4,486,142</w:t>
            </w:r>
          </w:p>
        </w:tc>
        <w:tc>
          <w:tcPr>
            <w:tcW w:w="687" w:type="dxa"/>
            <w:tcBorders>
              <w:top w:val="nil"/>
              <w:left w:val="nil"/>
              <w:bottom w:val="double" w:sz="6" w:space="0" w:color="auto"/>
              <w:right w:val="nil"/>
            </w:tcBorders>
            <w:shd w:val="clear" w:color="auto" w:fill="auto"/>
            <w:vAlign w:val="center"/>
            <w:hideMark/>
          </w:tcPr>
          <w:p w14:paraId="493A21EA" w14:textId="040E14AA" w:rsidR="00622EDE" w:rsidRPr="00005453" w:rsidRDefault="00622EDE" w:rsidP="00622EDE">
            <w:pPr>
              <w:jc w:val="right"/>
              <w:rPr>
                <w:b/>
                <w:color w:val="000000"/>
                <w:sz w:val="12"/>
                <w:szCs w:val="12"/>
                <w:lang w:eastAsia="tr-TR"/>
              </w:rPr>
            </w:pPr>
            <w:r w:rsidRPr="00005453">
              <w:rPr>
                <w:b/>
                <w:bCs/>
                <w:color w:val="000000"/>
                <w:sz w:val="12"/>
                <w:szCs w:val="16"/>
              </w:rPr>
              <w:t>24,836,514</w:t>
            </w:r>
          </w:p>
        </w:tc>
        <w:tc>
          <w:tcPr>
            <w:tcW w:w="829" w:type="dxa"/>
            <w:tcBorders>
              <w:top w:val="nil"/>
              <w:left w:val="nil"/>
              <w:bottom w:val="double" w:sz="6" w:space="0" w:color="auto"/>
              <w:right w:val="nil"/>
            </w:tcBorders>
            <w:shd w:val="clear" w:color="auto" w:fill="auto"/>
            <w:vAlign w:val="center"/>
            <w:hideMark/>
          </w:tcPr>
          <w:p w14:paraId="5633F69B" w14:textId="6F57360C" w:rsidR="00622EDE" w:rsidRPr="00005453" w:rsidRDefault="00622EDE" w:rsidP="00622EDE">
            <w:pPr>
              <w:jc w:val="right"/>
              <w:rPr>
                <w:b/>
                <w:color w:val="000000"/>
                <w:sz w:val="12"/>
                <w:szCs w:val="12"/>
                <w:lang w:eastAsia="tr-TR"/>
              </w:rPr>
            </w:pPr>
            <w:r w:rsidRPr="00005453">
              <w:rPr>
                <w:b/>
                <w:color w:val="000000"/>
                <w:sz w:val="12"/>
                <w:szCs w:val="12"/>
                <w:lang w:eastAsia="tr-TR"/>
              </w:rPr>
              <w:t xml:space="preserve">679,900,509 </w:t>
            </w:r>
          </w:p>
        </w:tc>
      </w:tr>
    </w:tbl>
    <w:p w14:paraId="6F9D2E00" w14:textId="77777777" w:rsidR="00622EDE" w:rsidRPr="00005453" w:rsidRDefault="00622EDE" w:rsidP="00C07B3E">
      <w:pPr>
        <w:pStyle w:val="BodyText"/>
        <w:jc w:val="left"/>
        <w:rPr>
          <w:b/>
          <w:i/>
          <w:iCs/>
          <w:sz w:val="6"/>
          <w:szCs w:val="6"/>
          <w:lang w:eastAsia="tr-TR"/>
        </w:rPr>
      </w:pPr>
    </w:p>
    <w:bookmarkEnd w:id="29"/>
    <w:p w14:paraId="33A1CCBB" w14:textId="6137F733" w:rsidR="00622EDE" w:rsidRPr="00005453" w:rsidRDefault="007303E9" w:rsidP="00622EDE">
      <w:pPr>
        <w:tabs>
          <w:tab w:val="left" w:pos="8080"/>
        </w:tabs>
        <w:autoSpaceDE w:val="0"/>
        <w:autoSpaceDN w:val="0"/>
        <w:adjustRightInd w:val="0"/>
        <w:ind w:left="-737"/>
        <w:rPr>
          <w:sz w:val="14"/>
          <w:szCs w:val="14"/>
          <w:lang w:eastAsia="zh-CN"/>
        </w:rPr>
      </w:pPr>
      <w:r w:rsidRPr="00005453">
        <w:rPr>
          <w:sz w:val="14"/>
          <w:szCs w:val="14"/>
          <w:lang w:eastAsia="zh-CN"/>
        </w:rPr>
        <w:t>(*)      Kredi Riski Azaltımı öncesi, krediye dönüşüm oranı sonrası risk tutarları verilmiştir.</w:t>
      </w:r>
    </w:p>
    <w:p w14:paraId="305C9962" w14:textId="77777777" w:rsidR="007303E9" w:rsidRPr="00005453" w:rsidRDefault="007303E9" w:rsidP="007303E9">
      <w:pPr>
        <w:autoSpaceDE w:val="0"/>
        <w:autoSpaceDN w:val="0"/>
        <w:adjustRightInd w:val="0"/>
        <w:ind w:left="-737"/>
        <w:rPr>
          <w:sz w:val="14"/>
          <w:szCs w:val="14"/>
          <w:lang w:eastAsia="zh-CN"/>
        </w:rPr>
      </w:pPr>
      <w:r w:rsidRPr="00005453">
        <w:rPr>
          <w:sz w:val="14"/>
          <w:szCs w:val="14"/>
          <w:lang w:eastAsia="zh-CN"/>
        </w:rPr>
        <w:t>(**)    AB ülkeleri, ABD ve Kanada dışındaki OECD ülkeleri</w:t>
      </w:r>
    </w:p>
    <w:p w14:paraId="6B750CFB" w14:textId="77777777" w:rsidR="007303E9" w:rsidRPr="00005453" w:rsidRDefault="007303E9" w:rsidP="007303E9">
      <w:pPr>
        <w:autoSpaceDE w:val="0"/>
        <w:autoSpaceDN w:val="0"/>
        <w:adjustRightInd w:val="0"/>
        <w:ind w:left="-737"/>
        <w:rPr>
          <w:sz w:val="14"/>
          <w:szCs w:val="14"/>
          <w:lang w:eastAsia="zh-CN"/>
        </w:rPr>
      </w:pPr>
      <w:r w:rsidRPr="00005453">
        <w:rPr>
          <w:sz w:val="14"/>
          <w:szCs w:val="14"/>
          <w:lang w:eastAsia="zh-CN"/>
        </w:rPr>
        <w:t>(***</w:t>
      </w:r>
      <w:proofErr w:type="gramStart"/>
      <w:r w:rsidRPr="00005453">
        <w:rPr>
          <w:sz w:val="14"/>
          <w:szCs w:val="14"/>
          <w:lang w:eastAsia="zh-CN"/>
        </w:rPr>
        <w:t>)  Tutarlı</w:t>
      </w:r>
      <w:proofErr w:type="gramEnd"/>
      <w:r w:rsidRPr="00005453">
        <w:rPr>
          <w:sz w:val="14"/>
          <w:szCs w:val="14"/>
          <w:lang w:eastAsia="zh-CN"/>
        </w:rPr>
        <w:t xml:space="preserve"> bir esasa göre bölümlere dağıtılamayan varlık ve yükümlülükler</w:t>
      </w:r>
    </w:p>
    <w:p w14:paraId="16E1FBEC" w14:textId="5BA34751" w:rsidR="000A76C0" w:rsidRPr="00005453" w:rsidRDefault="007303E9" w:rsidP="005018C5">
      <w:pPr>
        <w:autoSpaceDE w:val="0"/>
        <w:autoSpaceDN w:val="0"/>
        <w:adjustRightInd w:val="0"/>
        <w:ind w:left="-737"/>
        <w:rPr>
          <w:sz w:val="14"/>
          <w:szCs w:val="14"/>
          <w:lang w:eastAsia="zh-CN"/>
        </w:rPr>
      </w:pPr>
      <w:r w:rsidRPr="00005453">
        <w:rPr>
          <w:sz w:val="14"/>
          <w:szCs w:val="14"/>
          <w:lang w:eastAsia="zh-CN"/>
        </w:rPr>
        <w:t>(****) Bankaların Sermaye Yeterliliğinin Ölçülmesine ve Değerlendirilmesine ilişkin Yönetmelikte yer alan risk sınıfları</w:t>
      </w:r>
    </w:p>
    <w:p w14:paraId="06745755" w14:textId="08174A63" w:rsidR="00A42306" w:rsidRPr="00005453" w:rsidRDefault="00A42306" w:rsidP="00A42306">
      <w:pPr>
        <w:pStyle w:val="BodyText"/>
        <w:ind w:hanging="567"/>
        <w:jc w:val="left"/>
        <w:rPr>
          <w:lang w:eastAsia="en-GB"/>
        </w:rPr>
      </w:pPr>
    </w:p>
    <w:tbl>
      <w:tblPr>
        <w:tblW w:w="10931" w:type="dxa"/>
        <w:tblInd w:w="-728"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80"/>
        <w:gridCol w:w="781"/>
        <w:gridCol w:w="727"/>
        <w:gridCol w:w="680"/>
        <w:gridCol w:w="740"/>
      </w:tblGrid>
      <w:tr w:rsidR="00A42306" w:rsidRPr="00005453" w14:paraId="10ED13C0" w14:textId="77777777" w:rsidTr="00CA0C55">
        <w:trPr>
          <w:divId w:val="734857759"/>
          <w:trHeight w:val="555"/>
        </w:trPr>
        <w:tc>
          <w:tcPr>
            <w:tcW w:w="1600" w:type="dxa"/>
            <w:tcBorders>
              <w:top w:val="single" w:sz="8" w:space="0" w:color="auto"/>
              <w:left w:val="nil"/>
              <w:bottom w:val="single" w:sz="8" w:space="0" w:color="auto"/>
              <w:right w:val="nil"/>
            </w:tcBorders>
            <w:shd w:val="clear" w:color="auto" w:fill="auto"/>
            <w:vAlign w:val="center"/>
            <w:hideMark/>
          </w:tcPr>
          <w:p w14:paraId="5E284FE8" w14:textId="0F59E35E" w:rsidR="00A42306" w:rsidRPr="00005453" w:rsidRDefault="00A42306" w:rsidP="00A42306">
            <w:pPr>
              <w:rPr>
                <w:b/>
                <w:bCs/>
                <w:color w:val="000000"/>
                <w:sz w:val="12"/>
                <w:szCs w:val="12"/>
                <w:lang w:eastAsia="tr-TR"/>
              </w:rPr>
            </w:pPr>
            <w:r w:rsidRPr="00005453">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4B8E687F"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314BBB96"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41682F1A"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54E3C878"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418E7D22"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12635D84"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Şarta bağlı olan ve olmayan gayrimenkul ipoteğiyle teminatlandırılmış alacaklar</w:t>
            </w:r>
          </w:p>
        </w:tc>
        <w:tc>
          <w:tcPr>
            <w:tcW w:w="620" w:type="dxa"/>
            <w:tcBorders>
              <w:top w:val="single" w:sz="8" w:space="0" w:color="auto"/>
              <w:left w:val="nil"/>
              <w:bottom w:val="single" w:sz="8" w:space="0" w:color="auto"/>
              <w:right w:val="nil"/>
            </w:tcBorders>
            <w:shd w:val="clear" w:color="auto" w:fill="auto"/>
            <w:vAlign w:val="center"/>
            <w:hideMark/>
          </w:tcPr>
          <w:p w14:paraId="09075478"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Tahsili gecikmiş alacaklar</w:t>
            </w:r>
          </w:p>
        </w:tc>
        <w:tc>
          <w:tcPr>
            <w:tcW w:w="680" w:type="dxa"/>
            <w:tcBorders>
              <w:top w:val="single" w:sz="8" w:space="0" w:color="auto"/>
              <w:left w:val="nil"/>
              <w:bottom w:val="single" w:sz="8" w:space="0" w:color="auto"/>
              <w:right w:val="nil"/>
            </w:tcBorders>
            <w:shd w:val="clear" w:color="auto" w:fill="auto"/>
            <w:vAlign w:val="center"/>
            <w:hideMark/>
          </w:tcPr>
          <w:p w14:paraId="794025F4"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2CFD01D8"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013C8D38"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Hisse Senedi Yatırımları</w:t>
            </w:r>
          </w:p>
        </w:tc>
        <w:tc>
          <w:tcPr>
            <w:tcW w:w="680" w:type="dxa"/>
            <w:tcBorders>
              <w:top w:val="single" w:sz="8" w:space="0" w:color="auto"/>
              <w:left w:val="nil"/>
              <w:bottom w:val="single" w:sz="8" w:space="0" w:color="auto"/>
              <w:right w:val="nil"/>
            </w:tcBorders>
            <w:shd w:val="clear" w:color="auto" w:fill="auto"/>
            <w:vAlign w:val="center"/>
            <w:hideMark/>
          </w:tcPr>
          <w:p w14:paraId="0B025758"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Diğer Alacaklar</w:t>
            </w:r>
          </w:p>
        </w:tc>
        <w:tc>
          <w:tcPr>
            <w:tcW w:w="740" w:type="dxa"/>
            <w:tcBorders>
              <w:top w:val="single" w:sz="8" w:space="0" w:color="auto"/>
              <w:left w:val="nil"/>
              <w:bottom w:val="single" w:sz="8" w:space="0" w:color="auto"/>
              <w:right w:val="nil"/>
            </w:tcBorders>
            <w:shd w:val="clear" w:color="auto" w:fill="auto"/>
            <w:vAlign w:val="center"/>
            <w:hideMark/>
          </w:tcPr>
          <w:p w14:paraId="73DD6EB5" w14:textId="77777777" w:rsidR="00A42306" w:rsidRPr="00005453" w:rsidRDefault="00A42306" w:rsidP="00A42306">
            <w:pPr>
              <w:jc w:val="right"/>
              <w:rPr>
                <w:b/>
                <w:bCs/>
                <w:color w:val="000000"/>
                <w:sz w:val="12"/>
                <w:szCs w:val="12"/>
                <w:lang w:eastAsia="tr-TR"/>
              </w:rPr>
            </w:pPr>
            <w:r w:rsidRPr="00005453">
              <w:rPr>
                <w:b/>
                <w:bCs/>
                <w:color w:val="000000"/>
                <w:sz w:val="12"/>
                <w:szCs w:val="12"/>
                <w:lang w:eastAsia="tr-TR"/>
              </w:rPr>
              <w:t>Toplam</w:t>
            </w:r>
          </w:p>
        </w:tc>
      </w:tr>
      <w:tr w:rsidR="00CA0C55" w:rsidRPr="00005453" w14:paraId="13C5CBC3" w14:textId="77777777" w:rsidTr="00CA0C55">
        <w:trPr>
          <w:divId w:val="734857759"/>
          <w:trHeight w:val="140"/>
        </w:trPr>
        <w:tc>
          <w:tcPr>
            <w:tcW w:w="1600" w:type="dxa"/>
            <w:tcBorders>
              <w:top w:val="nil"/>
              <w:left w:val="nil"/>
              <w:bottom w:val="nil"/>
              <w:right w:val="nil"/>
            </w:tcBorders>
            <w:shd w:val="clear" w:color="auto" w:fill="auto"/>
            <w:hideMark/>
          </w:tcPr>
          <w:p w14:paraId="721B5D87" w14:textId="752C423F" w:rsidR="00CA0C55" w:rsidRPr="00005453" w:rsidRDefault="00CA0C55" w:rsidP="00CA0C55">
            <w:pPr>
              <w:rPr>
                <w:color w:val="000000"/>
                <w:sz w:val="12"/>
                <w:szCs w:val="12"/>
                <w:lang w:eastAsia="tr-TR"/>
              </w:rPr>
            </w:pPr>
            <w:r w:rsidRPr="00005453">
              <w:rPr>
                <w:color w:val="000000"/>
                <w:sz w:val="12"/>
                <w:szCs w:val="12"/>
                <w:lang w:eastAsia="tr-TR"/>
              </w:rPr>
              <w:t>Yurt içi</w:t>
            </w:r>
          </w:p>
        </w:tc>
        <w:tc>
          <w:tcPr>
            <w:tcW w:w="901" w:type="dxa"/>
            <w:tcBorders>
              <w:top w:val="nil"/>
              <w:left w:val="nil"/>
              <w:bottom w:val="nil"/>
              <w:right w:val="nil"/>
            </w:tcBorders>
            <w:shd w:val="clear" w:color="auto" w:fill="auto"/>
            <w:vAlign w:val="center"/>
            <w:hideMark/>
          </w:tcPr>
          <w:p w14:paraId="1EDFE766" w14:textId="1A378BCE" w:rsidR="00CA0C55" w:rsidRPr="00005453" w:rsidRDefault="00CA0C55" w:rsidP="00CA0C55">
            <w:pPr>
              <w:jc w:val="right"/>
              <w:rPr>
                <w:color w:val="000000"/>
                <w:sz w:val="12"/>
                <w:szCs w:val="12"/>
                <w:lang w:eastAsia="tr-TR"/>
              </w:rPr>
            </w:pPr>
            <w:r w:rsidRPr="00005453">
              <w:rPr>
                <w:color w:val="000000"/>
                <w:sz w:val="12"/>
                <w:szCs w:val="12"/>
                <w:lang w:eastAsia="tr-TR"/>
              </w:rPr>
              <w:t>191,853,312</w:t>
            </w:r>
          </w:p>
        </w:tc>
        <w:tc>
          <w:tcPr>
            <w:tcW w:w="914" w:type="dxa"/>
            <w:tcBorders>
              <w:top w:val="nil"/>
              <w:left w:val="nil"/>
              <w:bottom w:val="nil"/>
              <w:right w:val="nil"/>
            </w:tcBorders>
            <w:shd w:val="clear" w:color="auto" w:fill="auto"/>
            <w:vAlign w:val="center"/>
            <w:hideMark/>
          </w:tcPr>
          <w:p w14:paraId="0EBD0881" w14:textId="4056233A"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4FBE52E" w14:textId="5FFB17AE" w:rsidR="00CA0C55" w:rsidRPr="00005453" w:rsidRDefault="00CA0C55" w:rsidP="00CA0C55">
            <w:pPr>
              <w:jc w:val="right"/>
              <w:rPr>
                <w:color w:val="000000"/>
                <w:sz w:val="12"/>
                <w:szCs w:val="12"/>
                <w:lang w:eastAsia="tr-TR"/>
              </w:rPr>
            </w:pPr>
            <w:r w:rsidRPr="00005453">
              <w:rPr>
                <w:color w:val="000000"/>
                <w:sz w:val="12"/>
                <w:szCs w:val="12"/>
                <w:lang w:eastAsia="tr-TR"/>
              </w:rPr>
              <w:t>4,473,040</w:t>
            </w:r>
          </w:p>
        </w:tc>
        <w:tc>
          <w:tcPr>
            <w:tcW w:w="680" w:type="dxa"/>
            <w:tcBorders>
              <w:top w:val="nil"/>
              <w:left w:val="nil"/>
              <w:bottom w:val="nil"/>
              <w:right w:val="nil"/>
            </w:tcBorders>
            <w:shd w:val="clear" w:color="auto" w:fill="auto"/>
            <w:vAlign w:val="center"/>
            <w:hideMark/>
          </w:tcPr>
          <w:p w14:paraId="4E93BE8C" w14:textId="3EC850BE" w:rsidR="00CA0C55" w:rsidRPr="00005453" w:rsidRDefault="00CA0C55" w:rsidP="00CA0C55">
            <w:pPr>
              <w:jc w:val="right"/>
              <w:rPr>
                <w:color w:val="000000"/>
                <w:sz w:val="12"/>
                <w:szCs w:val="12"/>
                <w:lang w:eastAsia="tr-TR"/>
              </w:rPr>
            </w:pPr>
            <w:r w:rsidRPr="00005453">
              <w:rPr>
                <w:color w:val="000000"/>
                <w:sz w:val="12"/>
                <w:szCs w:val="12"/>
                <w:lang w:eastAsia="tr-TR"/>
              </w:rPr>
              <w:t>83,020,932</w:t>
            </w:r>
          </w:p>
        </w:tc>
        <w:tc>
          <w:tcPr>
            <w:tcW w:w="680" w:type="dxa"/>
            <w:tcBorders>
              <w:top w:val="nil"/>
              <w:left w:val="nil"/>
              <w:bottom w:val="nil"/>
              <w:right w:val="nil"/>
            </w:tcBorders>
            <w:shd w:val="clear" w:color="auto" w:fill="auto"/>
            <w:vAlign w:val="center"/>
            <w:hideMark/>
          </w:tcPr>
          <w:p w14:paraId="1501DA7A" w14:textId="25CE5D65" w:rsidR="00CA0C55" w:rsidRPr="00005453" w:rsidRDefault="00CA0C55" w:rsidP="00CA0C55">
            <w:pPr>
              <w:jc w:val="right"/>
              <w:rPr>
                <w:color w:val="000000"/>
                <w:sz w:val="12"/>
                <w:szCs w:val="12"/>
                <w:lang w:eastAsia="tr-TR"/>
              </w:rPr>
            </w:pPr>
            <w:r w:rsidRPr="00005453">
              <w:rPr>
                <w:color w:val="000000"/>
                <w:sz w:val="12"/>
                <w:szCs w:val="12"/>
                <w:lang w:eastAsia="tr-TR"/>
              </w:rPr>
              <w:t>51,739,495</w:t>
            </w:r>
          </w:p>
        </w:tc>
        <w:tc>
          <w:tcPr>
            <w:tcW w:w="1094" w:type="dxa"/>
            <w:tcBorders>
              <w:top w:val="nil"/>
              <w:left w:val="nil"/>
              <w:bottom w:val="nil"/>
              <w:right w:val="nil"/>
            </w:tcBorders>
            <w:shd w:val="clear" w:color="auto" w:fill="auto"/>
            <w:vAlign w:val="center"/>
            <w:hideMark/>
          </w:tcPr>
          <w:p w14:paraId="03273717" w14:textId="78E1B365" w:rsidR="00CA0C55" w:rsidRPr="00005453" w:rsidRDefault="00CA0C55" w:rsidP="00CA0C55">
            <w:pPr>
              <w:jc w:val="right"/>
              <w:rPr>
                <w:color w:val="000000"/>
                <w:sz w:val="12"/>
                <w:szCs w:val="12"/>
                <w:lang w:eastAsia="tr-TR"/>
              </w:rPr>
            </w:pPr>
            <w:r w:rsidRPr="00005453">
              <w:rPr>
                <w:color w:val="000000"/>
                <w:sz w:val="12"/>
                <w:szCs w:val="12"/>
                <w:lang w:eastAsia="tr-TR"/>
              </w:rPr>
              <w:t>54,694,596</w:t>
            </w:r>
          </w:p>
        </w:tc>
        <w:tc>
          <w:tcPr>
            <w:tcW w:w="620" w:type="dxa"/>
            <w:tcBorders>
              <w:top w:val="nil"/>
              <w:left w:val="nil"/>
              <w:bottom w:val="nil"/>
              <w:right w:val="nil"/>
            </w:tcBorders>
            <w:shd w:val="clear" w:color="auto" w:fill="auto"/>
            <w:vAlign w:val="center"/>
            <w:hideMark/>
          </w:tcPr>
          <w:p w14:paraId="12792CBF" w14:textId="05AC2361" w:rsidR="00CA0C55" w:rsidRPr="00005453" w:rsidRDefault="00CA0C55" w:rsidP="00CA0C55">
            <w:pPr>
              <w:jc w:val="right"/>
              <w:rPr>
                <w:color w:val="000000"/>
                <w:sz w:val="12"/>
                <w:szCs w:val="12"/>
                <w:lang w:eastAsia="tr-TR"/>
              </w:rPr>
            </w:pPr>
            <w:r w:rsidRPr="00005453">
              <w:rPr>
                <w:color w:val="000000"/>
                <w:sz w:val="12"/>
                <w:szCs w:val="12"/>
                <w:lang w:eastAsia="tr-TR"/>
              </w:rPr>
              <w:t>102,352</w:t>
            </w:r>
          </w:p>
        </w:tc>
        <w:tc>
          <w:tcPr>
            <w:tcW w:w="680" w:type="dxa"/>
            <w:tcBorders>
              <w:top w:val="nil"/>
              <w:left w:val="nil"/>
              <w:bottom w:val="nil"/>
              <w:right w:val="nil"/>
            </w:tcBorders>
            <w:shd w:val="clear" w:color="auto" w:fill="auto"/>
            <w:vAlign w:val="center"/>
            <w:hideMark/>
          </w:tcPr>
          <w:p w14:paraId="4DB6687D" w14:textId="37D5F31E" w:rsidR="00CA0C55" w:rsidRPr="00005453" w:rsidRDefault="00CA0C55" w:rsidP="00CA0C55">
            <w:pPr>
              <w:jc w:val="right"/>
              <w:rPr>
                <w:color w:val="000000"/>
                <w:sz w:val="12"/>
                <w:szCs w:val="12"/>
                <w:lang w:eastAsia="tr-TR"/>
              </w:rPr>
            </w:pPr>
            <w:r w:rsidRPr="00005453">
              <w:rPr>
                <w:color w:val="000000"/>
                <w:sz w:val="12"/>
                <w:szCs w:val="12"/>
                <w:lang w:eastAsia="tr-TR"/>
              </w:rPr>
              <w:t>25,598,233</w:t>
            </w:r>
          </w:p>
        </w:tc>
        <w:tc>
          <w:tcPr>
            <w:tcW w:w="781" w:type="dxa"/>
            <w:tcBorders>
              <w:top w:val="nil"/>
              <w:left w:val="nil"/>
              <w:bottom w:val="nil"/>
              <w:right w:val="nil"/>
            </w:tcBorders>
            <w:shd w:val="clear" w:color="auto" w:fill="auto"/>
            <w:vAlign w:val="center"/>
            <w:hideMark/>
          </w:tcPr>
          <w:p w14:paraId="69D370BA" w14:textId="1C853AE8"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6F98904B" w14:textId="126C9061"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4AE48FB2" w14:textId="0B880568"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3D6982A5" w14:textId="25DC8630" w:rsidR="00CA0C55" w:rsidRPr="00005453" w:rsidRDefault="00CA0C55" w:rsidP="00CA0C55">
            <w:pPr>
              <w:jc w:val="right"/>
              <w:rPr>
                <w:color w:val="000000"/>
                <w:sz w:val="12"/>
                <w:szCs w:val="12"/>
                <w:lang w:eastAsia="tr-TR"/>
              </w:rPr>
            </w:pPr>
            <w:r w:rsidRPr="00005453">
              <w:rPr>
                <w:color w:val="000000"/>
                <w:sz w:val="12"/>
                <w:szCs w:val="12"/>
                <w:lang w:eastAsia="tr-TR"/>
              </w:rPr>
              <w:t>411,481,960</w:t>
            </w:r>
          </w:p>
        </w:tc>
      </w:tr>
      <w:tr w:rsidR="00CA0C55" w:rsidRPr="00005453" w14:paraId="3B7B6BBE" w14:textId="77777777" w:rsidTr="00CA0C55">
        <w:trPr>
          <w:divId w:val="734857759"/>
          <w:trHeight w:val="140"/>
        </w:trPr>
        <w:tc>
          <w:tcPr>
            <w:tcW w:w="1600" w:type="dxa"/>
            <w:tcBorders>
              <w:top w:val="nil"/>
              <w:left w:val="nil"/>
              <w:bottom w:val="nil"/>
              <w:right w:val="nil"/>
            </w:tcBorders>
            <w:shd w:val="clear" w:color="auto" w:fill="auto"/>
            <w:hideMark/>
          </w:tcPr>
          <w:p w14:paraId="2626A6D2" w14:textId="77777777" w:rsidR="00CA0C55" w:rsidRPr="00005453" w:rsidRDefault="00CA0C55" w:rsidP="00CA0C55">
            <w:pPr>
              <w:rPr>
                <w:color w:val="000000"/>
                <w:sz w:val="12"/>
                <w:szCs w:val="12"/>
                <w:lang w:eastAsia="tr-TR"/>
              </w:rPr>
            </w:pPr>
            <w:r w:rsidRPr="00005453">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33DA9BDC" w14:textId="1814B36F"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649A0B08" w14:textId="6627BD4F"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4A61005" w14:textId="6D34748D" w:rsidR="00CA0C55" w:rsidRPr="00005453" w:rsidRDefault="00CA0C55" w:rsidP="00CA0C55">
            <w:pPr>
              <w:jc w:val="right"/>
              <w:rPr>
                <w:color w:val="000000"/>
                <w:sz w:val="12"/>
                <w:szCs w:val="12"/>
                <w:lang w:eastAsia="tr-TR"/>
              </w:rPr>
            </w:pPr>
            <w:r w:rsidRPr="00005453">
              <w:rPr>
                <w:color w:val="000000"/>
                <w:sz w:val="12"/>
                <w:szCs w:val="12"/>
                <w:lang w:eastAsia="tr-TR"/>
              </w:rPr>
              <w:t>1,425,991</w:t>
            </w:r>
          </w:p>
        </w:tc>
        <w:tc>
          <w:tcPr>
            <w:tcW w:w="680" w:type="dxa"/>
            <w:tcBorders>
              <w:top w:val="nil"/>
              <w:left w:val="nil"/>
              <w:bottom w:val="nil"/>
              <w:right w:val="nil"/>
            </w:tcBorders>
            <w:shd w:val="clear" w:color="auto" w:fill="auto"/>
            <w:vAlign w:val="center"/>
            <w:hideMark/>
          </w:tcPr>
          <w:p w14:paraId="71C148AF" w14:textId="10682D27" w:rsidR="00CA0C55" w:rsidRPr="00005453" w:rsidRDefault="00CA0C55" w:rsidP="00CA0C55">
            <w:pPr>
              <w:jc w:val="right"/>
              <w:rPr>
                <w:color w:val="000000"/>
                <w:sz w:val="12"/>
                <w:szCs w:val="12"/>
                <w:lang w:eastAsia="tr-TR"/>
              </w:rPr>
            </w:pPr>
            <w:r w:rsidRPr="00005453">
              <w:rPr>
                <w:color w:val="000000"/>
                <w:sz w:val="12"/>
                <w:szCs w:val="12"/>
                <w:lang w:eastAsia="tr-TR"/>
              </w:rPr>
              <w:t>143,211</w:t>
            </w:r>
          </w:p>
        </w:tc>
        <w:tc>
          <w:tcPr>
            <w:tcW w:w="680" w:type="dxa"/>
            <w:tcBorders>
              <w:top w:val="nil"/>
              <w:left w:val="nil"/>
              <w:bottom w:val="nil"/>
              <w:right w:val="nil"/>
            </w:tcBorders>
            <w:shd w:val="clear" w:color="auto" w:fill="auto"/>
            <w:vAlign w:val="center"/>
            <w:hideMark/>
          </w:tcPr>
          <w:p w14:paraId="1F0E5C9C" w14:textId="0798E240" w:rsidR="00CA0C55" w:rsidRPr="00005453" w:rsidRDefault="00CA0C55" w:rsidP="00CA0C55">
            <w:pPr>
              <w:jc w:val="right"/>
              <w:rPr>
                <w:color w:val="000000"/>
                <w:sz w:val="12"/>
                <w:szCs w:val="12"/>
                <w:lang w:eastAsia="tr-TR"/>
              </w:rPr>
            </w:pPr>
            <w:r w:rsidRPr="00005453">
              <w:rPr>
                <w:color w:val="000000"/>
                <w:sz w:val="12"/>
                <w:szCs w:val="12"/>
                <w:lang w:eastAsia="tr-TR"/>
              </w:rPr>
              <w:t>20,463</w:t>
            </w:r>
          </w:p>
        </w:tc>
        <w:tc>
          <w:tcPr>
            <w:tcW w:w="1094" w:type="dxa"/>
            <w:tcBorders>
              <w:top w:val="nil"/>
              <w:left w:val="nil"/>
              <w:bottom w:val="nil"/>
              <w:right w:val="nil"/>
            </w:tcBorders>
            <w:shd w:val="clear" w:color="auto" w:fill="auto"/>
            <w:vAlign w:val="center"/>
            <w:hideMark/>
          </w:tcPr>
          <w:p w14:paraId="05038A0B" w14:textId="0F2C63C1" w:rsidR="00CA0C55" w:rsidRPr="00005453" w:rsidRDefault="00CA0C55" w:rsidP="00CA0C55">
            <w:pPr>
              <w:jc w:val="right"/>
              <w:rPr>
                <w:color w:val="000000"/>
                <w:sz w:val="12"/>
                <w:szCs w:val="12"/>
                <w:lang w:eastAsia="tr-TR"/>
              </w:rPr>
            </w:pPr>
            <w:r w:rsidRPr="00005453">
              <w:rPr>
                <w:color w:val="000000"/>
                <w:sz w:val="12"/>
                <w:szCs w:val="12"/>
                <w:lang w:eastAsia="tr-TR"/>
              </w:rPr>
              <w:t>106,140</w:t>
            </w:r>
          </w:p>
        </w:tc>
        <w:tc>
          <w:tcPr>
            <w:tcW w:w="620" w:type="dxa"/>
            <w:tcBorders>
              <w:top w:val="nil"/>
              <w:left w:val="nil"/>
              <w:bottom w:val="nil"/>
              <w:right w:val="nil"/>
            </w:tcBorders>
            <w:shd w:val="clear" w:color="auto" w:fill="auto"/>
            <w:vAlign w:val="center"/>
            <w:hideMark/>
          </w:tcPr>
          <w:p w14:paraId="73D37267" w14:textId="34FBA6ED" w:rsidR="00CA0C55" w:rsidRPr="00005453" w:rsidRDefault="00CA0C55" w:rsidP="00CA0C55">
            <w:pPr>
              <w:jc w:val="right"/>
              <w:rPr>
                <w:color w:val="000000"/>
                <w:sz w:val="12"/>
                <w:szCs w:val="12"/>
                <w:lang w:eastAsia="tr-TR"/>
              </w:rPr>
            </w:pPr>
            <w:r w:rsidRPr="00005453">
              <w:rPr>
                <w:color w:val="000000"/>
                <w:sz w:val="12"/>
                <w:szCs w:val="12"/>
                <w:lang w:eastAsia="tr-TR"/>
              </w:rPr>
              <w:t>36</w:t>
            </w:r>
          </w:p>
        </w:tc>
        <w:tc>
          <w:tcPr>
            <w:tcW w:w="680" w:type="dxa"/>
            <w:tcBorders>
              <w:top w:val="nil"/>
              <w:left w:val="nil"/>
              <w:bottom w:val="nil"/>
              <w:right w:val="nil"/>
            </w:tcBorders>
            <w:shd w:val="clear" w:color="auto" w:fill="auto"/>
            <w:vAlign w:val="center"/>
            <w:hideMark/>
          </w:tcPr>
          <w:p w14:paraId="11D8D248" w14:textId="353F9456"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4607C72F" w14:textId="34670FFD"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371244D" w14:textId="6F56CEC4"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168A69BA" w14:textId="771DA56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5706D08C" w14:textId="632A7098" w:rsidR="00CA0C55" w:rsidRPr="00005453" w:rsidRDefault="00CA0C55" w:rsidP="00CA0C55">
            <w:pPr>
              <w:jc w:val="right"/>
              <w:rPr>
                <w:color w:val="000000"/>
                <w:sz w:val="12"/>
                <w:szCs w:val="12"/>
                <w:lang w:eastAsia="tr-TR"/>
              </w:rPr>
            </w:pPr>
            <w:r w:rsidRPr="00005453">
              <w:rPr>
                <w:color w:val="000000"/>
                <w:sz w:val="12"/>
                <w:szCs w:val="12"/>
                <w:lang w:eastAsia="tr-TR"/>
              </w:rPr>
              <w:t>1,695,841</w:t>
            </w:r>
          </w:p>
        </w:tc>
      </w:tr>
      <w:tr w:rsidR="00CA0C55" w:rsidRPr="00005453" w14:paraId="4D63D116" w14:textId="77777777" w:rsidTr="00CA0C55">
        <w:trPr>
          <w:divId w:val="734857759"/>
          <w:trHeight w:val="140"/>
        </w:trPr>
        <w:tc>
          <w:tcPr>
            <w:tcW w:w="1600" w:type="dxa"/>
            <w:tcBorders>
              <w:top w:val="nil"/>
              <w:left w:val="nil"/>
              <w:bottom w:val="nil"/>
              <w:right w:val="nil"/>
            </w:tcBorders>
            <w:shd w:val="clear" w:color="auto" w:fill="auto"/>
            <w:hideMark/>
          </w:tcPr>
          <w:p w14:paraId="08E12C8C" w14:textId="77777777" w:rsidR="00CA0C55" w:rsidRPr="00005453" w:rsidRDefault="00CA0C55" w:rsidP="00CA0C55">
            <w:pPr>
              <w:rPr>
                <w:color w:val="000000"/>
                <w:sz w:val="12"/>
                <w:szCs w:val="12"/>
                <w:lang w:eastAsia="tr-TR"/>
              </w:rPr>
            </w:pPr>
            <w:r w:rsidRPr="00005453">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4176A624" w14:textId="6E2E70C0"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FD07E27" w14:textId="38D6B786"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7C849E84" w14:textId="06A8676C" w:rsidR="00CA0C55" w:rsidRPr="00005453" w:rsidRDefault="00CA0C55" w:rsidP="00CA0C55">
            <w:pPr>
              <w:jc w:val="right"/>
              <w:rPr>
                <w:color w:val="000000"/>
                <w:sz w:val="12"/>
                <w:szCs w:val="12"/>
                <w:lang w:eastAsia="tr-TR"/>
              </w:rPr>
            </w:pPr>
            <w:r w:rsidRPr="00005453">
              <w:rPr>
                <w:color w:val="000000"/>
                <w:sz w:val="12"/>
                <w:szCs w:val="12"/>
                <w:lang w:eastAsia="tr-TR"/>
              </w:rPr>
              <w:t>4,162,128</w:t>
            </w:r>
          </w:p>
        </w:tc>
        <w:tc>
          <w:tcPr>
            <w:tcW w:w="680" w:type="dxa"/>
            <w:tcBorders>
              <w:top w:val="nil"/>
              <w:left w:val="nil"/>
              <w:bottom w:val="nil"/>
              <w:right w:val="nil"/>
            </w:tcBorders>
            <w:shd w:val="clear" w:color="auto" w:fill="auto"/>
            <w:vAlign w:val="center"/>
            <w:hideMark/>
          </w:tcPr>
          <w:p w14:paraId="06C23401" w14:textId="05943C7B" w:rsidR="00CA0C55" w:rsidRPr="00005453" w:rsidRDefault="00CA0C55" w:rsidP="00CA0C55">
            <w:pPr>
              <w:jc w:val="right"/>
              <w:rPr>
                <w:color w:val="000000"/>
                <w:sz w:val="12"/>
                <w:szCs w:val="12"/>
                <w:lang w:eastAsia="tr-TR"/>
              </w:rPr>
            </w:pPr>
            <w:r w:rsidRPr="00005453">
              <w:rPr>
                <w:color w:val="000000"/>
                <w:sz w:val="12"/>
                <w:szCs w:val="12"/>
                <w:lang w:eastAsia="tr-TR"/>
              </w:rPr>
              <w:t>5,432</w:t>
            </w:r>
          </w:p>
        </w:tc>
        <w:tc>
          <w:tcPr>
            <w:tcW w:w="680" w:type="dxa"/>
            <w:tcBorders>
              <w:top w:val="nil"/>
              <w:left w:val="nil"/>
              <w:bottom w:val="nil"/>
              <w:right w:val="nil"/>
            </w:tcBorders>
            <w:shd w:val="clear" w:color="auto" w:fill="auto"/>
            <w:vAlign w:val="center"/>
            <w:hideMark/>
          </w:tcPr>
          <w:p w14:paraId="6351BC30" w14:textId="22E0EE89" w:rsidR="00CA0C55" w:rsidRPr="00005453" w:rsidRDefault="00CA0C55" w:rsidP="00CA0C55">
            <w:pPr>
              <w:jc w:val="right"/>
              <w:rPr>
                <w:color w:val="000000"/>
                <w:sz w:val="12"/>
                <w:szCs w:val="12"/>
                <w:lang w:eastAsia="tr-TR"/>
              </w:rPr>
            </w:pPr>
            <w:r w:rsidRPr="00005453">
              <w:rPr>
                <w:color w:val="000000"/>
                <w:sz w:val="12"/>
                <w:szCs w:val="12"/>
                <w:lang w:eastAsia="tr-TR"/>
              </w:rPr>
              <w:t>3,677</w:t>
            </w:r>
          </w:p>
        </w:tc>
        <w:tc>
          <w:tcPr>
            <w:tcW w:w="1094" w:type="dxa"/>
            <w:tcBorders>
              <w:top w:val="nil"/>
              <w:left w:val="nil"/>
              <w:bottom w:val="nil"/>
              <w:right w:val="nil"/>
            </w:tcBorders>
            <w:shd w:val="clear" w:color="auto" w:fill="auto"/>
            <w:vAlign w:val="center"/>
            <w:hideMark/>
          </w:tcPr>
          <w:p w14:paraId="51AD759F" w14:textId="2A2BCBEC" w:rsidR="00CA0C55" w:rsidRPr="00005453" w:rsidRDefault="00CA0C55" w:rsidP="00CA0C55">
            <w:pPr>
              <w:jc w:val="right"/>
              <w:rPr>
                <w:color w:val="000000"/>
                <w:sz w:val="12"/>
                <w:szCs w:val="12"/>
                <w:lang w:eastAsia="tr-TR"/>
              </w:rPr>
            </w:pPr>
            <w:r w:rsidRPr="00005453">
              <w:rPr>
                <w:color w:val="000000"/>
                <w:sz w:val="12"/>
                <w:szCs w:val="12"/>
                <w:lang w:eastAsia="tr-TR"/>
              </w:rPr>
              <w:t>28,154</w:t>
            </w:r>
          </w:p>
        </w:tc>
        <w:tc>
          <w:tcPr>
            <w:tcW w:w="620" w:type="dxa"/>
            <w:tcBorders>
              <w:top w:val="nil"/>
              <w:left w:val="nil"/>
              <w:bottom w:val="nil"/>
              <w:right w:val="nil"/>
            </w:tcBorders>
            <w:shd w:val="clear" w:color="auto" w:fill="auto"/>
            <w:vAlign w:val="center"/>
            <w:hideMark/>
          </w:tcPr>
          <w:p w14:paraId="06863C17" w14:textId="6D3AE184" w:rsidR="00CA0C55" w:rsidRPr="00005453" w:rsidRDefault="00CA0C55" w:rsidP="00CA0C55">
            <w:pPr>
              <w:jc w:val="right"/>
              <w:rPr>
                <w:color w:val="000000"/>
                <w:sz w:val="12"/>
                <w:szCs w:val="12"/>
                <w:lang w:eastAsia="tr-TR"/>
              </w:rPr>
            </w:pPr>
            <w:r w:rsidRPr="00005453">
              <w:rPr>
                <w:color w:val="000000"/>
                <w:sz w:val="12"/>
                <w:szCs w:val="12"/>
                <w:lang w:eastAsia="tr-TR"/>
              </w:rPr>
              <w:t>1</w:t>
            </w:r>
          </w:p>
        </w:tc>
        <w:tc>
          <w:tcPr>
            <w:tcW w:w="680" w:type="dxa"/>
            <w:tcBorders>
              <w:top w:val="nil"/>
              <w:left w:val="nil"/>
              <w:bottom w:val="nil"/>
              <w:right w:val="nil"/>
            </w:tcBorders>
            <w:shd w:val="clear" w:color="auto" w:fill="auto"/>
            <w:vAlign w:val="center"/>
            <w:hideMark/>
          </w:tcPr>
          <w:p w14:paraId="66BC0456" w14:textId="06EA7B6B"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5FF4A1B" w14:textId="037CC268"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DCAD91B" w14:textId="3A876D7F"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9F7BED8" w14:textId="758D0862"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20613CBD" w14:textId="6C8D7217" w:rsidR="00CA0C55" w:rsidRPr="00005453" w:rsidRDefault="00CA0C55" w:rsidP="00CA0C55">
            <w:pPr>
              <w:jc w:val="right"/>
              <w:rPr>
                <w:color w:val="000000"/>
                <w:sz w:val="12"/>
                <w:szCs w:val="12"/>
                <w:lang w:eastAsia="tr-TR"/>
              </w:rPr>
            </w:pPr>
            <w:r w:rsidRPr="00005453">
              <w:rPr>
                <w:color w:val="000000"/>
                <w:sz w:val="12"/>
                <w:szCs w:val="12"/>
                <w:lang w:eastAsia="tr-TR"/>
              </w:rPr>
              <w:t>4,199,392</w:t>
            </w:r>
          </w:p>
        </w:tc>
      </w:tr>
      <w:tr w:rsidR="00CA0C55" w:rsidRPr="00005453" w14:paraId="5AF0E02B" w14:textId="77777777" w:rsidTr="00CA0C55">
        <w:trPr>
          <w:divId w:val="734857759"/>
          <w:trHeight w:val="140"/>
        </w:trPr>
        <w:tc>
          <w:tcPr>
            <w:tcW w:w="1600" w:type="dxa"/>
            <w:tcBorders>
              <w:top w:val="nil"/>
              <w:left w:val="nil"/>
              <w:bottom w:val="nil"/>
              <w:right w:val="nil"/>
            </w:tcBorders>
            <w:shd w:val="clear" w:color="auto" w:fill="auto"/>
            <w:hideMark/>
          </w:tcPr>
          <w:p w14:paraId="09591C33" w14:textId="77777777" w:rsidR="00CA0C55" w:rsidRPr="00005453" w:rsidRDefault="00CA0C55" w:rsidP="00CA0C55">
            <w:pPr>
              <w:rPr>
                <w:color w:val="000000"/>
                <w:sz w:val="12"/>
                <w:szCs w:val="12"/>
                <w:lang w:eastAsia="tr-TR"/>
              </w:rPr>
            </w:pPr>
            <w:r w:rsidRPr="00005453">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3A9B96E3" w14:textId="095EBB5E"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DF84B71" w14:textId="69FD0BFB"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39732B1B" w14:textId="1246C4EA" w:rsidR="00CA0C55" w:rsidRPr="00005453" w:rsidRDefault="00CA0C55" w:rsidP="00CA0C55">
            <w:pPr>
              <w:jc w:val="right"/>
              <w:rPr>
                <w:color w:val="000000"/>
                <w:sz w:val="12"/>
                <w:szCs w:val="12"/>
                <w:lang w:eastAsia="tr-TR"/>
              </w:rPr>
            </w:pPr>
            <w:r w:rsidRPr="00005453">
              <w:rPr>
                <w:color w:val="000000"/>
                <w:sz w:val="12"/>
                <w:szCs w:val="12"/>
                <w:lang w:eastAsia="tr-TR"/>
              </w:rPr>
              <w:t>3,477</w:t>
            </w:r>
          </w:p>
        </w:tc>
        <w:tc>
          <w:tcPr>
            <w:tcW w:w="680" w:type="dxa"/>
            <w:tcBorders>
              <w:top w:val="nil"/>
              <w:left w:val="nil"/>
              <w:bottom w:val="nil"/>
              <w:right w:val="nil"/>
            </w:tcBorders>
            <w:shd w:val="clear" w:color="auto" w:fill="auto"/>
            <w:vAlign w:val="center"/>
            <w:hideMark/>
          </w:tcPr>
          <w:p w14:paraId="12498ACB" w14:textId="3FFD0E96" w:rsidR="00CA0C55" w:rsidRPr="00005453" w:rsidRDefault="00CA0C55" w:rsidP="00CA0C55">
            <w:pPr>
              <w:jc w:val="right"/>
              <w:rPr>
                <w:color w:val="000000"/>
                <w:sz w:val="12"/>
                <w:szCs w:val="12"/>
                <w:lang w:eastAsia="tr-TR"/>
              </w:rPr>
            </w:pPr>
            <w:r w:rsidRPr="00005453">
              <w:rPr>
                <w:color w:val="000000"/>
                <w:sz w:val="12"/>
                <w:szCs w:val="12"/>
                <w:lang w:eastAsia="tr-TR"/>
              </w:rPr>
              <w:t>818,123</w:t>
            </w:r>
          </w:p>
        </w:tc>
        <w:tc>
          <w:tcPr>
            <w:tcW w:w="680" w:type="dxa"/>
            <w:tcBorders>
              <w:top w:val="nil"/>
              <w:left w:val="nil"/>
              <w:bottom w:val="nil"/>
              <w:right w:val="nil"/>
            </w:tcBorders>
            <w:shd w:val="clear" w:color="auto" w:fill="auto"/>
            <w:vAlign w:val="center"/>
            <w:hideMark/>
          </w:tcPr>
          <w:p w14:paraId="2A5E5B60" w14:textId="6A257891" w:rsidR="00CA0C55" w:rsidRPr="00005453" w:rsidRDefault="00CA0C55" w:rsidP="00CA0C55">
            <w:pPr>
              <w:jc w:val="right"/>
              <w:rPr>
                <w:color w:val="000000"/>
                <w:sz w:val="12"/>
                <w:szCs w:val="12"/>
                <w:lang w:eastAsia="tr-TR"/>
              </w:rPr>
            </w:pPr>
            <w:r w:rsidRPr="00005453">
              <w:rPr>
                <w:color w:val="000000"/>
                <w:sz w:val="12"/>
                <w:szCs w:val="12"/>
                <w:lang w:eastAsia="tr-TR"/>
              </w:rPr>
              <w:t>30,760</w:t>
            </w:r>
          </w:p>
        </w:tc>
        <w:tc>
          <w:tcPr>
            <w:tcW w:w="1094" w:type="dxa"/>
            <w:tcBorders>
              <w:top w:val="nil"/>
              <w:left w:val="nil"/>
              <w:bottom w:val="nil"/>
              <w:right w:val="nil"/>
            </w:tcBorders>
            <w:shd w:val="clear" w:color="auto" w:fill="auto"/>
            <w:vAlign w:val="center"/>
            <w:hideMark/>
          </w:tcPr>
          <w:p w14:paraId="00E42C40" w14:textId="3A8F37FB" w:rsidR="00CA0C55" w:rsidRPr="00005453" w:rsidRDefault="00CA0C55" w:rsidP="00CA0C55">
            <w:pPr>
              <w:jc w:val="right"/>
              <w:rPr>
                <w:color w:val="000000"/>
                <w:sz w:val="12"/>
                <w:szCs w:val="12"/>
                <w:lang w:eastAsia="tr-TR"/>
              </w:rPr>
            </w:pPr>
            <w:r w:rsidRPr="00005453">
              <w:rPr>
                <w:color w:val="000000"/>
                <w:sz w:val="12"/>
                <w:szCs w:val="12"/>
                <w:lang w:eastAsia="tr-TR"/>
              </w:rPr>
              <w:t>386,008</w:t>
            </w:r>
          </w:p>
        </w:tc>
        <w:tc>
          <w:tcPr>
            <w:tcW w:w="620" w:type="dxa"/>
            <w:tcBorders>
              <w:top w:val="nil"/>
              <w:left w:val="nil"/>
              <w:bottom w:val="nil"/>
              <w:right w:val="nil"/>
            </w:tcBorders>
            <w:shd w:val="clear" w:color="auto" w:fill="auto"/>
            <w:vAlign w:val="center"/>
            <w:hideMark/>
          </w:tcPr>
          <w:p w14:paraId="4C823378" w14:textId="236361D7"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39FD607B" w14:textId="36AD3DC9"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486B247A" w14:textId="56978B4B"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51633556" w14:textId="1D8D10D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6601F5FD" w14:textId="0D220D26"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7446CB44" w14:textId="2F282934" w:rsidR="00CA0C55" w:rsidRPr="00005453" w:rsidRDefault="00CA0C55" w:rsidP="00CA0C55">
            <w:pPr>
              <w:jc w:val="right"/>
              <w:rPr>
                <w:color w:val="000000"/>
                <w:sz w:val="12"/>
                <w:szCs w:val="12"/>
                <w:lang w:eastAsia="tr-TR"/>
              </w:rPr>
            </w:pPr>
            <w:r w:rsidRPr="00005453">
              <w:rPr>
                <w:color w:val="000000"/>
                <w:sz w:val="12"/>
                <w:szCs w:val="12"/>
                <w:lang w:eastAsia="tr-TR"/>
              </w:rPr>
              <w:t>1,238,368</w:t>
            </w:r>
          </w:p>
        </w:tc>
      </w:tr>
      <w:tr w:rsidR="00CA0C55" w:rsidRPr="00005453" w14:paraId="7A8C0D19" w14:textId="77777777" w:rsidTr="00CA0C55">
        <w:trPr>
          <w:divId w:val="734857759"/>
          <w:trHeight w:val="140"/>
        </w:trPr>
        <w:tc>
          <w:tcPr>
            <w:tcW w:w="1600" w:type="dxa"/>
            <w:tcBorders>
              <w:top w:val="nil"/>
              <w:left w:val="nil"/>
              <w:bottom w:val="nil"/>
              <w:right w:val="nil"/>
            </w:tcBorders>
            <w:shd w:val="clear" w:color="auto" w:fill="auto"/>
            <w:noWrap/>
            <w:hideMark/>
          </w:tcPr>
          <w:p w14:paraId="65D4C42F" w14:textId="77777777" w:rsidR="00CA0C55" w:rsidRPr="00005453" w:rsidRDefault="00CA0C55" w:rsidP="00CA0C55">
            <w:pPr>
              <w:rPr>
                <w:color w:val="000000"/>
                <w:sz w:val="12"/>
                <w:szCs w:val="12"/>
                <w:lang w:eastAsia="tr-TR"/>
              </w:rPr>
            </w:pPr>
            <w:r w:rsidRPr="00005453">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2E7734DD" w14:textId="32C179E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2E33CA71" w14:textId="309F5EF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nil"/>
              <w:right w:val="nil"/>
            </w:tcBorders>
            <w:shd w:val="clear" w:color="auto" w:fill="auto"/>
            <w:noWrap/>
            <w:vAlign w:val="center"/>
            <w:hideMark/>
          </w:tcPr>
          <w:p w14:paraId="13EA27D2" w14:textId="436F17E5" w:rsidR="00CA0C55" w:rsidRPr="00005453" w:rsidRDefault="00CA0C55" w:rsidP="00CA0C55">
            <w:pPr>
              <w:jc w:val="right"/>
              <w:rPr>
                <w:color w:val="000000"/>
                <w:sz w:val="12"/>
                <w:szCs w:val="12"/>
                <w:lang w:eastAsia="tr-TR"/>
              </w:rPr>
            </w:pPr>
            <w:r w:rsidRPr="00005453">
              <w:rPr>
                <w:color w:val="000000"/>
                <w:sz w:val="12"/>
                <w:szCs w:val="12"/>
                <w:lang w:eastAsia="tr-TR"/>
              </w:rPr>
              <w:t>6,662,434</w:t>
            </w:r>
          </w:p>
        </w:tc>
        <w:tc>
          <w:tcPr>
            <w:tcW w:w="680" w:type="dxa"/>
            <w:tcBorders>
              <w:top w:val="nil"/>
              <w:left w:val="nil"/>
              <w:bottom w:val="nil"/>
              <w:right w:val="nil"/>
            </w:tcBorders>
            <w:shd w:val="clear" w:color="auto" w:fill="auto"/>
            <w:vAlign w:val="center"/>
            <w:hideMark/>
          </w:tcPr>
          <w:p w14:paraId="190663CE" w14:textId="17F478C5" w:rsidR="00CA0C55" w:rsidRPr="00005453" w:rsidRDefault="00CA0C55" w:rsidP="00CA0C55">
            <w:pPr>
              <w:jc w:val="right"/>
              <w:rPr>
                <w:color w:val="000000"/>
                <w:sz w:val="12"/>
                <w:szCs w:val="12"/>
                <w:lang w:eastAsia="tr-TR"/>
              </w:rPr>
            </w:pPr>
            <w:r w:rsidRPr="00005453">
              <w:rPr>
                <w:color w:val="000000"/>
                <w:sz w:val="12"/>
                <w:szCs w:val="12"/>
                <w:lang w:eastAsia="tr-TR"/>
              </w:rPr>
              <w:t>2,031</w:t>
            </w:r>
          </w:p>
        </w:tc>
        <w:tc>
          <w:tcPr>
            <w:tcW w:w="680" w:type="dxa"/>
            <w:tcBorders>
              <w:top w:val="nil"/>
              <w:left w:val="nil"/>
              <w:bottom w:val="nil"/>
              <w:right w:val="nil"/>
            </w:tcBorders>
            <w:shd w:val="clear" w:color="auto" w:fill="auto"/>
            <w:vAlign w:val="center"/>
            <w:hideMark/>
          </w:tcPr>
          <w:p w14:paraId="252F9860" w14:textId="18C9E979" w:rsidR="00CA0C55" w:rsidRPr="00005453" w:rsidRDefault="00CA0C55" w:rsidP="00CA0C55">
            <w:pPr>
              <w:jc w:val="right"/>
              <w:rPr>
                <w:color w:val="000000"/>
                <w:sz w:val="12"/>
                <w:szCs w:val="12"/>
                <w:lang w:eastAsia="tr-TR"/>
              </w:rPr>
            </w:pPr>
            <w:r w:rsidRPr="00005453">
              <w:rPr>
                <w:color w:val="000000"/>
                <w:sz w:val="12"/>
                <w:szCs w:val="12"/>
                <w:lang w:eastAsia="tr-TR"/>
              </w:rPr>
              <w:t>5,133</w:t>
            </w:r>
          </w:p>
        </w:tc>
        <w:tc>
          <w:tcPr>
            <w:tcW w:w="1094" w:type="dxa"/>
            <w:tcBorders>
              <w:top w:val="nil"/>
              <w:left w:val="nil"/>
              <w:bottom w:val="nil"/>
              <w:right w:val="nil"/>
            </w:tcBorders>
            <w:shd w:val="clear" w:color="auto" w:fill="auto"/>
            <w:vAlign w:val="center"/>
            <w:hideMark/>
          </w:tcPr>
          <w:p w14:paraId="2DF559BE" w14:textId="150E7A83" w:rsidR="00CA0C55" w:rsidRPr="00005453" w:rsidRDefault="00CA0C55" w:rsidP="00CA0C55">
            <w:pPr>
              <w:jc w:val="right"/>
              <w:rPr>
                <w:color w:val="000000"/>
                <w:sz w:val="12"/>
                <w:szCs w:val="12"/>
                <w:lang w:eastAsia="tr-TR"/>
              </w:rPr>
            </w:pPr>
            <w:r w:rsidRPr="00005453">
              <w:rPr>
                <w:color w:val="000000"/>
                <w:sz w:val="12"/>
                <w:szCs w:val="12"/>
                <w:lang w:eastAsia="tr-TR"/>
              </w:rPr>
              <w:t>8,647</w:t>
            </w:r>
          </w:p>
        </w:tc>
        <w:tc>
          <w:tcPr>
            <w:tcW w:w="620" w:type="dxa"/>
            <w:tcBorders>
              <w:top w:val="nil"/>
              <w:left w:val="nil"/>
              <w:bottom w:val="nil"/>
              <w:right w:val="nil"/>
            </w:tcBorders>
            <w:shd w:val="clear" w:color="auto" w:fill="auto"/>
            <w:vAlign w:val="center"/>
            <w:hideMark/>
          </w:tcPr>
          <w:p w14:paraId="388090B6" w14:textId="677EA5DD"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373C62EB" w14:textId="00AE0AE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22ABB22E" w14:textId="2067117B"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2FDF5C43" w14:textId="4F4322E6"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6E3501B" w14:textId="2A617C08"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7984E682" w14:textId="2FE5A7F9" w:rsidR="00CA0C55" w:rsidRPr="00005453" w:rsidRDefault="00CA0C55" w:rsidP="00CA0C55">
            <w:pPr>
              <w:jc w:val="right"/>
              <w:rPr>
                <w:color w:val="000000"/>
                <w:sz w:val="12"/>
                <w:szCs w:val="12"/>
                <w:lang w:eastAsia="tr-TR"/>
              </w:rPr>
            </w:pPr>
            <w:r w:rsidRPr="00005453">
              <w:rPr>
                <w:color w:val="000000"/>
                <w:sz w:val="12"/>
                <w:szCs w:val="12"/>
                <w:lang w:eastAsia="tr-TR"/>
              </w:rPr>
              <w:t>6,678,245</w:t>
            </w:r>
          </w:p>
        </w:tc>
      </w:tr>
      <w:tr w:rsidR="00CA0C55" w:rsidRPr="00005453" w14:paraId="0C60B9A2" w14:textId="77777777" w:rsidTr="00CA0C55">
        <w:trPr>
          <w:divId w:val="734857759"/>
          <w:trHeight w:val="140"/>
        </w:trPr>
        <w:tc>
          <w:tcPr>
            <w:tcW w:w="1600" w:type="dxa"/>
            <w:tcBorders>
              <w:top w:val="nil"/>
              <w:left w:val="nil"/>
              <w:bottom w:val="nil"/>
              <w:right w:val="nil"/>
            </w:tcBorders>
            <w:shd w:val="clear" w:color="auto" w:fill="auto"/>
            <w:noWrap/>
            <w:hideMark/>
          </w:tcPr>
          <w:p w14:paraId="69DF6C4B" w14:textId="77777777" w:rsidR="00CA0C55" w:rsidRPr="00005453" w:rsidRDefault="00CA0C55" w:rsidP="00CA0C55">
            <w:pPr>
              <w:rPr>
                <w:color w:val="000000"/>
                <w:sz w:val="12"/>
                <w:szCs w:val="12"/>
                <w:lang w:eastAsia="tr-TR"/>
              </w:rPr>
            </w:pPr>
            <w:r w:rsidRPr="00005453">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3B4A6EF6" w14:textId="1869C3B1"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318F948E" w14:textId="2C85202D" w:rsidR="00CA0C55" w:rsidRPr="00005453" w:rsidRDefault="00CA0C55" w:rsidP="00CA0C55">
            <w:pPr>
              <w:jc w:val="right"/>
              <w:rPr>
                <w:color w:val="000000"/>
                <w:sz w:val="12"/>
                <w:szCs w:val="12"/>
                <w:lang w:eastAsia="tr-TR"/>
              </w:rPr>
            </w:pPr>
            <w:r w:rsidRPr="00005453">
              <w:rPr>
                <w:color w:val="000000"/>
                <w:sz w:val="12"/>
                <w:szCs w:val="12"/>
                <w:lang w:eastAsia="tr-TR"/>
              </w:rPr>
              <w:t>231,344</w:t>
            </w:r>
          </w:p>
        </w:tc>
        <w:tc>
          <w:tcPr>
            <w:tcW w:w="834" w:type="dxa"/>
            <w:tcBorders>
              <w:top w:val="nil"/>
              <w:left w:val="nil"/>
              <w:bottom w:val="nil"/>
              <w:right w:val="nil"/>
            </w:tcBorders>
            <w:shd w:val="clear" w:color="auto" w:fill="auto"/>
            <w:noWrap/>
            <w:vAlign w:val="center"/>
            <w:hideMark/>
          </w:tcPr>
          <w:p w14:paraId="6C42E679" w14:textId="0A302964" w:rsidR="00CA0C55" w:rsidRPr="00005453" w:rsidRDefault="00CA0C55" w:rsidP="00CA0C55">
            <w:pPr>
              <w:jc w:val="right"/>
              <w:rPr>
                <w:color w:val="000000"/>
                <w:sz w:val="12"/>
                <w:szCs w:val="12"/>
                <w:lang w:eastAsia="tr-TR"/>
              </w:rPr>
            </w:pPr>
            <w:r w:rsidRPr="00005453">
              <w:rPr>
                <w:color w:val="000000"/>
                <w:sz w:val="12"/>
                <w:szCs w:val="12"/>
                <w:lang w:eastAsia="tr-TR"/>
              </w:rPr>
              <w:t>4,335,589</w:t>
            </w:r>
          </w:p>
        </w:tc>
        <w:tc>
          <w:tcPr>
            <w:tcW w:w="680" w:type="dxa"/>
            <w:tcBorders>
              <w:top w:val="nil"/>
              <w:left w:val="nil"/>
              <w:bottom w:val="nil"/>
              <w:right w:val="nil"/>
            </w:tcBorders>
            <w:shd w:val="clear" w:color="auto" w:fill="auto"/>
            <w:vAlign w:val="center"/>
            <w:hideMark/>
          </w:tcPr>
          <w:p w14:paraId="5D909675" w14:textId="74B0A4A6" w:rsidR="00CA0C55" w:rsidRPr="00005453" w:rsidRDefault="00CA0C55" w:rsidP="00CA0C55">
            <w:pPr>
              <w:jc w:val="right"/>
              <w:rPr>
                <w:color w:val="000000"/>
                <w:sz w:val="12"/>
                <w:szCs w:val="12"/>
                <w:lang w:eastAsia="tr-TR"/>
              </w:rPr>
            </w:pPr>
            <w:r w:rsidRPr="00005453">
              <w:rPr>
                <w:color w:val="000000"/>
                <w:sz w:val="12"/>
                <w:szCs w:val="12"/>
                <w:lang w:eastAsia="tr-TR"/>
              </w:rPr>
              <w:t>479,438</w:t>
            </w:r>
          </w:p>
        </w:tc>
        <w:tc>
          <w:tcPr>
            <w:tcW w:w="680" w:type="dxa"/>
            <w:tcBorders>
              <w:top w:val="nil"/>
              <w:left w:val="nil"/>
              <w:bottom w:val="nil"/>
              <w:right w:val="nil"/>
            </w:tcBorders>
            <w:shd w:val="clear" w:color="auto" w:fill="auto"/>
            <w:vAlign w:val="center"/>
            <w:hideMark/>
          </w:tcPr>
          <w:p w14:paraId="0EE8F2EE" w14:textId="37A96928" w:rsidR="00CA0C55" w:rsidRPr="00005453" w:rsidRDefault="00CA0C55" w:rsidP="00CA0C55">
            <w:pPr>
              <w:jc w:val="right"/>
              <w:rPr>
                <w:color w:val="000000"/>
                <w:sz w:val="12"/>
                <w:szCs w:val="12"/>
                <w:lang w:eastAsia="tr-TR"/>
              </w:rPr>
            </w:pPr>
            <w:r w:rsidRPr="00005453">
              <w:rPr>
                <w:color w:val="000000"/>
                <w:sz w:val="12"/>
                <w:szCs w:val="12"/>
                <w:lang w:eastAsia="tr-TR"/>
              </w:rPr>
              <w:t>91,808</w:t>
            </w:r>
          </w:p>
        </w:tc>
        <w:tc>
          <w:tcPr>
            <w:tcW w:w="1094" w:type="dxa"/>
            <w:tcBorders>
              <w:top w:val="nil"/>
              <w:left w:val="nil"/>
              <w:bottom w:val="nil"/>
              <w:right w:val="nil"/>
            </w:tcBorders>
            <w:shd w:val="clear" w:color="auto" w:fill="auto"/>
            <w:vAlign w:val="center"/>
            <w:hideMark/>
          </w:tcPr>
          <w:p w14:paraId="19BC4192" w14:textId="7933F487" w:rsidR="00CA0C55" w:rsidRPr="00005453" w:rsidRDefault="00CA0C55" w:rsidP="00CA0C55">
            <w:pPr>
              <w:jc w:val="right"/>
              <w:rPr>
                <w:color w:val="000000"/>
                <w:sz w:val="12"/>
                <w:szCs w:val="12"/>
                <w:lang w:eastAsia="tr-TR"/>
              </w:rPr>
            </w:pPr>
            <w:r w:rsidRPr="00005453">
              <w:rPr>
                <w:color w:val="000000"/>
                <w:sz w:val="12"/>
                <w:szCs w:val="12"/>
                <w:lang w:eastAsia="tr-TR"/>
              </w:rPr>
              <w:t>93,614</w:t>
            </w:r>
          </w:p>
        </w:tc>
        <w:tc>
          <w:tcPr>
            <w:tcW w:w="620" w:type="dxa"/>
            <w:tcBorders>
              <w:top w:val="nil"/>
              <w:left w:val="nil"/>
              <w:bottom w:val="nil"/>
              <w:right w:val="nil"/>
            </w:tcBorders>
            <w:shd w:val="clear" w:color="auto" w:fill="auto"/>
            <w:vAlign w:val="center"/>
            <w:hideMark/>
          </w:tcPr>
          <w:p w14:paraId="662C3EDA" w14:textId="5938C671" w:rsidR="00CA0C55" w:rsidRPr="00005453" w:rsidRDefault="00CA0C55" w:rsidP="00CA0C55">
            <w:pPr>
              <w:jc w:val="right"/>
              <w:rPr>
                <w:color w:val="000000"/>
                <w:sz w:val="12"/>
                <w:szCs w:val="12"/>
                <w:lang w:eastAsia="tr-TR"/>
              </w:rPr>
            </w:pPr>
            <w:r w:rsidRPr="00005453">
              <w:rPr>
                <w:color w:val="000000"/>
                <w:sz w:val="12"/>
                <w:szCs w:val="12"/>
                <w:lang w:eastAsia="tr-TR"/>
              </w:rPr>
              <w:t>28</w:t>
            </w:r>
          </w:p>
        </w:tc>
        <w:tc>
          <w:tcPr>
            <w:tcW w:w="680" w:type="dxa"/>
            <w:tcBorders>
              <w:top w:val="nil"/>
              <w:left w:val="nil"/>
              <w:bottom w:val="nil"/>
              <w:right w:val="nil"/>
            </w:tcBorders>
            <w:shd w:val="clear" w:color="auto" w:fill="auto"/>
            <w:vAlign w:val="center"/>
            <w:hideMark/>
          </w:tcPr>
          <w:p w14:paraId="4A740F9B" w14:textId="7221D05D"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6187820D" w14:textId="16A41BD0"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26951746" w14:textId="13646A57"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40AA9725" w14:textId="37239F37"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6B75418D" w14:textId="16436E88" w:rsidR="00CA0C55" w:rsidRPr="00005453" w:rsidRDefault="00CA0C55" w:rsidP="00CA0C55">
            <w:pPr>
              <w:jc w:val="right"/>
              <w:rPr>
                <w:color w:val="000000"/>
                <w:sz w:val="12"/>
                <w:szCs w:val="12"/>
                <w:lang w:eastAsia="tr-TR"/>
              </w:rPr>
            </w:pPr>
            <w:r w:rsidRPr="00005453">
              <w:rPr>
                <w:color w:val="000000"/>
                <w:sz w:val="12"/>
                <w:szCs w:val="12"/>
                <w:lang w:eastAsia="tr-TR"/>
              </w:rPr>
              <w:t>5,231,821</w:t>
            </w:r>
          </w:p>
        </w:tc>
      </w:tr>
      <w:tr w:rsidR="00CA0C55" w:rsidRPr="00005453" w14:paraId="27DA5B83" w14:textId="77777777" w:rsidTr="00CA0C55">
        <w:trPr>
          <w:divId w:val="734857759"/>
          <w:trHeight w:val="231"/>
        </w:trPr>
        <w:tc>
          <w:tcPr>
            <w:tcW w:w="1600" w:type="dxa"/>
            <w:tcBorders>
              <w:top w:val="nil"/>
              <w:left w:val="nil"/>
              <w:bottom w:val="nil"/>
              <w:right w:val="nil"/>
            </w:tcBorders>
            <w:shd w:val="clear" w:color="auto" w:fill="auto"/>
            <w:hideMark/>
          </w:tcPr>
          <w:p w14:paraId="75BE359E" w14:textId="77777777" w:rsidR="00CA0C55" w:rsidRPr="00005453" w:rsidRDefault="00CA0C55" w:rsidP="00CA0C55">
            <w:pPr>
              <w:rPr>
                <w:color w:val="000000"/>
                <w:sz w:val="12"/>
                <w:szCs w:val="12"/>
                <w:lang w:eastAsia="tr-TR"/>
              </w:rPr>
            </w:pPr>
            <w:r w:rsidRPr="00005453">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center"/>
            <w:hideMark/>
          </w:tcPr>
          <w:p w14:paraId="1D1BF054" w14:textId="33F41CDE"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53DF78CB" w14:textId="370432B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nil"/>
              <w:right w:val="nil"/>
            </w:tcBorders>
            <w:shd w:val="clear" w:color="auto" w:fill="auto"/>
            <w:noWrap/>
            <w:vAlign w:val="center"/>
            <w:hideMark/>
          </w:tcPr>
          <w:p w14:paraId="3F29D904" w14:textId="371B3814"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43773D0E" w14:textId="2A4332AE"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506E0A51" w14:textId="6EFC07C3"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1094" w:type="dxa"/>
            <w:tcBorders>
              <w:top w:val="nil"/>
              <w:left w:val="nil"/>
              <w:bottom w:val="nil"/>
              <w:right w:val="nil"/>
            </w:tcBorders>
            <w:shd w:val="clear" w:color="auto" w:fill="auto"/>
            <w:vAlign w:val="center"/>
            <w:hideMark/>
          </w:tcPr>
          <w:p w14:paraId="288EA32A" w14:textId="55C2B9C7"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20" w:type="dxa"/>
            <w:tcBorders>
              <w:top w:val="nil"/>
              <w:left w:val="nil"/>
              <w:bottom w:val="nil"/>
              <w:right w:val="nil"/>
            </w:tcBorders>
            <w:shd w:val="clear" w:color="auto" w:fill="auto"/>
            <w:vAlign w:val="center"/>
            <w:hideMark/>
          </w:tcPr>
          <w:p w14:paraId="03163EA7" w14:textId="2A5DDD89"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076E4F95" w14:textId="6E08AD3B"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2DEFC27A" w14:textId="1715F803"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62048765" w14:textId="5DEA8FD1" w:rsidR="00CA0C55" w:rsidRPr="00005453" w:rsidRDefault="00CA0C55" w:rsidP="00CA0C55">
            <w:pPr>
              <w:jc w:val="right"/>
              <w:rPr>
                <w:color w:val="000000"/>
                <w:sz w:val="12"/>
                <w:szCs w:val="12"/>
                <w:lang w:eastAsia="tr-TR"/>
              </w:rPr>
            </w:pPr>
            <w:r w:rsidRPr="00005453">
              <w:rPr>
                <w:color w:val="000000"/>
                <w:sz w:val="12"/>
                <w:szCs w:val="12"/>
                <w:lang w:eastAsia="tr-TR"/>
              </w:rPr>
              <w:t>3,415,343</w:t>
            </w:r>
          </w:p>
        </w:tc>
        <w:tc>
          <w:tcPr>
            <w:tcW w:w="680" w:type="dxa"/>
            <w:tcBorders>
              <w:top w:val="nil"/>
              <w:left w:val="nil"/>
              <w:bottom w:val="nil"/>
              <w:right w:val="nil"/>
            </w:tcBorders>
            <w:shd w:val="clear" w:color="auto" w:fill="auto"/>
            <w:vAlign w:val="center"/>
            <w:hideMark/>
          </w:tcPr>
          <w:p w14:paraId="62CB0A6A" w14:textId="2A95C7D3"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225B6910" w14:textId="0A9C279C" w:rsidR="00CA0C55" w:rsidRPr="00005453" w:rsidRDefault="00CA0C55" w:rsidP="00CA0C55">
            <w:pPr>
              <w:jc w:val="right"/>
              <w:rPr>
                <w:color w:val="000000"/>
                <w:sz w:val="12"/>
                <w:szCs w:val="12"/>
                <w:lang w:eastAsia="tr-TR"/>
              </w:rPr>
            </w:pPr>
            <w:r w:rsidRPr="00005453">
              <w:rPr>
                <w:color w:val="000000"/>
                <w:sz w:val="12"/>
                <w:szCs w:val="12"/>
                <w:lang w:eastAsia="tr-TR"/>
              </w:rPr>
              <w:t>3,415,343</w:t>
            </w:r>
          </w:p>
        </w:tc>
      </w:tr>
      <w:tr w:rsidR="00CA0C55" w:rsidRPr="00005453" w14:paraId="17B5A10E" w14:textId="77777777" w:rsidTr="00CA0C55">
        <w:trPr>
          <w:divId w:val="734857759"/>
          <w:trHeight w:val="238"/>
        </w:trPr>
        <w:tc>
          <w:tcPr>
            <w:tcW w:w="1600" w:type="dxa"/>
            <w:tcBorders>
              <w:top w:val="nil"/>
              <w:left w:val="nil"/>
              <w:bottom w:val="single" w:sz="8" w:space="0" w:color="auto"/>
              <w:right w:val="nil"/>
            </w:tcBorders>
            <w:shd w:val="clear" w:color="auto" w:fill="auto"/>
            <w:hideMark/>
          </w:tcPr>
          <w:p w14:paraId="7EF57C1D" w14:textId="77777777" w:rsidR="00CA0C55" w:rsidRPr="00005453" w:rsidRDefault="00CA0C55" w:rsidP="00CA0C55">
            <w:pPr>
              <w:rPr>
                <w:color w:val="000000"/>
                <w:sz w:val="12"/>
                <w:szCs w:val="12"/>
                <w:lang w:eastAsia="tr-TR"/>
              </w:rPr>
            </w:pPr>
            <w:r w:rsidRPr="00005453">
              <w:rPr>
                <w:color w:val="000000"/>
                <w:sz w:val="12"/>
                <w:szCs w:val="12"/>
                <w:lang w:eastAsia="tr-TR"/>
              </w:rPr>
              <w:t>Dağıtılmamış Varlıklar/</w:t>
            </w:r>
            <w:proofErr w:type="gramStart"/>
            <w:r w:rsidRPr="00005453">
              <w:rPr>
                <w:color w:val="000000"/>
                <w:sz w:val="12"/>
                <w:szCs w:val="12"/>
                <w:lang w:eastAsia="tr-TR"/>
              </w:rPr>
              <w:t>Yükümlülükler(</w:t>
            </w:r>
            <w:proofErr w:type="gramEnd"/>
            <w:r w:rsidRPr="00005453">
              <w:rPr>
                <w:color w:val="000000"/>
                <w:sz w:val="12"/>
                <w:szCs w:val="12"/>
                <w:lang w:eastAsia="tr-TR"/>
              </w:rPr>
              <w:t>***)</w:t>
            </w:r>
          </w:p>
        </w:tc>
        <w:tc>
          <w:tcPr>
            <w:tcW w:w="901" w:type="dxa"/>
            <w:tcBorders>
              <w:top w:val="nil"/>
              <w:left w:val="nil"/>
              <w:bottom w:val="single" w:sz="8" w:space="0" w:color="auto"/>
              <w:right w:val="nil"/>
            </w:tcBorders>
            <w:shd w:val="clear" w:color="auto" w:fill="auto"/>
            <w:vAlign w:val="center"/>
            <w:hideMark/>
          </w:tcPr>
          <w:p w14:paraId="2AA76856" w14:textId="23A8479E"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914" w:type="dxa"/>
            <w:tcBorders>
              <w:top w:val="nil"/>
              <w:left w:val="nil"/>
              <w:bottom w:val="single" w:sz="8" w:space="0" w:color="auto"/>
              <w:right w:val="nil"/>
            </w:tcBorders>
            <w:shd w:val="clear" w:color="auto" w:fill="auto"/>
            <w:vAlign w:val="center"/>
            <w:hideMark/>
          </w:tcPr>
          <w:p w14:paraId="735A7232" w14:textId="09D037DE"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834" w:type="dxa"/>
            <w:tcBorders>
              <w:top w:val="nil"/>
              <w:left w:val="nil"/>
              <w:bottom w:val="single" w:sz="8" w:space="0" w:color="auto"/>
              <w:right w:val="nil"/>
            </w:tcBorders>
            <w:shd w:val="clear" w:color="auto" w:fill="auto"/>
            <w:noWrap/>
            <w:vAlign w:val="center"/>
            <w:hideMark/>
          </w:tcPr>
          <w:p w14:paraId="6FDBE8E3" w14:textId="13FBED5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62824F10" w14:textId="42CD8E41"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3C2009BB" w14:textId="62D7376A"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1094" w:type="dxa"/>
            <w:tcBorders>
              <w:top w:val="nil"/>
              <w:left w:val="nil"/>
              <w:bottom w:val="single" w:sz="8" w:space="0" w:color="auto"/>
              <w:right w:val="nil"/>
            </w:tcBorders>
            <w:shd w:val="clear" w:color="auto" w:fill="auto"/>
            <w:vAlign w:val="center"/>
            <w:hideMark/>
          </w:tcPr>
          <w:p w14:paraId="34221A82" w14:textId="7575DB9C"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20" w:type="dxa"/>
            <w:tcBorders>
              <w:top w:val="nil"/>
              <w:left w:val="nil"/>
              <w:bottom w:val="single" w:sz="8" w:space="0" w:color="auto"/>
              <w:right w:val="nil"/>
            </w:tcBorders>
            <w:shd w:val="clear" w:color="auto" w:fill="auto"/>
            <w:vAlign w:val="center"/>
            <w:hideMark/>
          </w:tcPr>
          <w:p w14:paraId="1B5FC352" w14:textId="4576E469"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43D4EF50" w14:textId="7D2569FB"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81" w:type="dxa"/>
            <w:tcBorders>
              <w:top w:val="nil"/>
              <w:left w:val="nil"/>
              <w:bottom w:val="single" w:sz="8" w:space="0" w:color="auto"/>
              <w:right w:val="nil"/>
            </w:tcBorders>
            <w:shd w:val="clear" w:color="auto" w:fill="auto"/>
            <w:vAlign w:val="center"/>
            <w:hideMark/>
          </w:tcPr>
          <w:p w14:paraId="5AEDB7B0" w14:textId="2DFEF896"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727" w:type="dxa"/>
            <w:tcBorders>
              <w:top w:val="nil"/>
              <w:left w:val="nil"/>
              <w:bottom w:val="single" w:sz="8" w:space="0" w:color="auto"/>
              <w:right w:val="nil"/>
            </w:tcBorders>
            <w:shd w:val="clear" w:color="auto" w:fill="auto"/>
            <w:vAlign w:val="center"/>
            <w:hideMark/>
          </w:tcPr>
          <w:p w14:paraId="6CACBCCB" w14:textId="1F5FBA39" w:rsidR="00CA0C55" w:rsidRPr="00005453" w:rsidRDefault="00CA0C55" w:rsidP="00CA0C55">
            <w:pPr>
              <w:jc w:val="right"/>
              <w:rPr>
                <w:color w:val="000000"/>
                <w:sz w:val="12"/>
                <w:szCs w:val="12"/>
                <w:lang w:eastAsia="tr-TR"/>
              </w:rPr>
            </w:pPr>
            <w:r w:rsidRPr="00005453">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39D39A21" w14:textId="3677CFE2" w:rsidR="00CA0C55" w:rsidRPr="00005453" w:rsidRDefault="00CA0C55" w:rsidP="00CA0C55">
            <w:pPr>
              <w:jc w:val="right"/>
              <w:rPr>
                <w:color w:val="000000"/>
                <w:sz w:val="12"/>
                <w:szCs w:val="12"/>
                <w:lang w:eastAsia="tr-TR"/>
              </w:rPr>
            </w:pPr>
            <w:r w:rsidRPr="00005453">
              <w:rPr>
                <w:color w:val="000000"/>
                <w:sz w:val="12"/>
                <w:szCs w:val="12"/>
                <w:lang w:eastAsia="tr-TR"/>
              </w:rPr>
              <w:t>19,110,684</w:t>
            </w:r>
          </w:p>
        </w:tc>
        <w:tc>
          <w:tcPr>
            <w:tcW w:w="740" w:type="dxa"/>
            <w:tcBorders>
              <w:top w:val="nil"/>
              <w:left w:val="nil"/>
              <w:bottom w:val="single" w:sz="8" w:space="0" w:color="auto"/>
              <w:right w:val="nil"/>
            </w:tcBorders>
            <w:shd w:val="clear" w:color="auto" w:fill="auto"/>
            <w:vAlign w:val="center"/>
            <w:hideMark/>
          </w:tcPr>
          <w:p w14:paraId="05CCAA80" w14:textId="2D6EED44" w:rsidR="00CA0C55" w:rsidRPr="00005453" w:rsidRDefault="00CA0C55" w:rsidP="00CA0C55">
            <w:pPr>
              <w:jc w:val="right"/>
              <w:rPr>
                <w:color w:val="000000"/>
                <w:sz w:val="12"/>
                <w:szCs w:val="12"/>
                <w:lang w:eastAsia="tr-TR"/>
              </w:rPr>
            </w:pPr>
            <w:r w:rsidRPr="00005453">
              <w:rPr>
                <w:color w:val="000000"/>
                <w:sz w:val="12"/>
                <w:szCs w:val="12"/>
                <w:lang w:eastAsia="tr-TR"/>
              </w:rPr>
              <w:t>19,110,684</w:t>
            </w:r>
          </w:p>
        </w:tc>
      </w:tr>
      <w:tr w:rsidR="00CA0C55" w:rsidRPr="00005453" w14:paraId="37388BD9" w14:textId="77777777" w:rsidTr="00CA0C55">
        <w:trPr>
          <w:divId w:val="734857759"/>
          <w:trHeight w:val="34"/>
        </w:trPr>
        <w:tc>
          <w:tcPr>
            <w:tcW w:w="1600" w:type="dxa"/>
            <w:tcBorders>
              <w:top w:val="single" w:sz="8" w:space="0" w:color="auto"/>
              <w:left w:val="nil"/>
              <w:bottom w:val="double" w:sz="4" w:space="0" w:color="auto"/>
              <w:right w:val="nil"/>
            </w:tcBorders>
            <w:shd w:val="clear" w:color="auto" w:fill="auto"/>
            <w:noWrap/>
            <w:vAlign w:val="center"/>
            <w:hideMark/>
          </w:tcPr>
          <w:p w14:paraId="2DF0648A" w14:textId="77777777" w:rsidR="00CA0C55" w:rsidRPr="00005453" w:rsidRDefault="00CA0C55" w:rsidP="00CA0C55">
            <w:pPr>
              <w:rPr>
                <w:b/>
                <w:bCs/>
                <w:color w:val="000000"/>
                <w:sz w:val="12"/>
                <w:szCs w:val="12"/>
                <w:lang w:eastAsia="tr-TR"/>
              </w:rPr>
            </w:pPr>
            <w:r w:rsidRPr="00005453">
              <w:rPr>
                <w:b/>
                <w:bCs/>
                <w:color w:val="000000"/>
                <w:sz w:val="12"/>
                <w:szCs w:val="12"/>
                <w:lang w:eastAsia="tr-TR"/>
              </w:rPr>
              <w:t>Toplam</w:t>
            </w:r>
          </w:p>
        </w:tc>
        <w:tc>
          <w:tcPr>
            <w:tcW w:w="901" w:type="dxa"/>
            <w:tcBorders>
              <w:top w:val="single" w:sz="8" w:space="0" w:color="auto"/>
              <w:left w:val="nil"/>
              <w:bottom w:val="double" w:sz="4" w:space="0" w:color="auto"/>
              <w:right w:val="nil"/>
            </w:tcBorders>
            <w:shd w:val="clear" w:color="auto" w:fill="auto"/>
            <w:vAlign w:val="center"/>
            <w:hideMark/>
          </w:tcPr>
          <w:p w14:paraId="7A4DBC6C" w14:textId="787842CD" w:rsidR="00CA0C55" w:rsidRPr="00005453" w:rsidRDefault="00CA0C55" w:rsidP="00CA0C55">
            <w:pPr>
              <w:jc w:val="right"/>
              <w:rPr>
                <w:b/>
                <w:bCs/>
                <w:color w:val="000000"/>
                <w:sz w:val="12"/>
                <w:szCs w:val="12"/>
                <w:lang w:eastAsia="tr-TR"/>
              </w:rPr>
            </w:pPr>
            <w:r w:rsidRPr="00005453">
              <w:rPr>
                <w:b/>
                <w:color w:val="000000"/>
                <w:sz w:val="12"/>
                <w:szCs w:val="12"/>
                <w:lang w:eastAsia="tr-TR"/>
              </w:rPr>
              <w:t>191,853,312</w:t>
            </w:r>
          </w:p>
        </w:tc>
        <w:tc>
          <w:tcPr>
            <w:tcW w:w="914" w:type="dxa"/>
            <w:tcBorders>
              <w:top w:val="single" w:sz="8" w:space="0" w:color="auto"/>
              <w:left w:val="nil"/>
              <w:bottom w:val="double" w:sz="4" w:space="0" w:color="auto"/>
              <w:right w:val="nil"/>
            </w:tcBorders>
            <w:shd w:val="clear" w:color="auto" w:fill="auto"/>
            <w:vAlign w:val="center"/>
            <w:hideMark/>
          </w:tcPr>
          <w:p w14:paraId="13428794" w14:textId="38A7A7D0" w:rsidR="00CA0C55" w:rsidRPr="00005453" w:rsidRDefault="00CA0C55" w:rsidP="00CA0C55">
            <w:pPr>
              <w:jc w:val="right"/>
              <w:rPr>
                <w:b/>
                <w:bCs/>
                <w:color w:val="000000"/>
                <w:sz w:val="12"/>
                <w:szCs w:val="12"/>
                <w:lang w:eastAsia="tr-TR"/>
              </w:rPr>
            </w:pPr>
            <w:r w:rsidRPr="00005453">
              <w:rPr>
                <w:b/>
                <w:color w:val="000000"/>
                <w:sz w:val="12"/>
                <w:szCs w:val="12"/>
                <w:lang w:eastAsia="tr-TR"/>
              </w:rPr>
              <w:t>231,344</w:t>
            </w:r>
          </w:p>
        </w:tc>
        <w:tc>
          <w:tcPr>
            <w:tcW w:w="834" w:type="dxa"/>
            <w:tcBorders>
              <w:top w:val="single" w:sz="8" w:space="0" w:color="auto"/>
              <w:left w:val="nil"/>
              <w:bottom w:val="double" w:sz="4" w:space="0" w:color="auto"/>
              <w:right w:val="nil"/>
            </w:tcBorders>
            <w:shd w:val="clear" w:color="auto" w:fill="auto"/>
            <w:noWrap/>
            <w:vAlign w:val="center"/>
            <w:hideMark/>
          </w:tcPr>
          <w:p w14:paraId="7A57F47B" w14:textId="12DD9B6D" w:rsidR="00CA0C55" w:rsidRPr="00005453" w:rsidRDefault="00CA0C55" w:rsidP="00CA0C55">
            <w:pPr>
              <w:jc w:val="right"/>
              <w:rPr>
                <w:b/>
                <w:bCs/>
                <w:color w:val="000000"/>
                <w:sz w:val="12"/>
                <w:szCs w:val="12"/>
                <w:lang w:eastAsia="tr-TR"/>
              </w:rPr>
            </w:pPr>
            <w:r w:rsidRPr="00005453">
              <w:rPr>
                <w:b/>
                <w:color w:val="000000"/>
                <w:sz w:val="12"/>
                <w:szCs w:val="12"/>
                <w:lang w:eastAsia="tr-TR"/>
              </w:rPr>
              <w:t>21,062,659</w:t>
            </w:r>
          </w:p>
        </w:tc>
        <w:tc>
          <w:tcPr>
            <w:tcW w:w="680" w:type="dxa"/>
            <w:tcBorders>
              <w:top w:val="single" w:sz="8" w:space="0" w:color="auto"/>
              <w:left w:val="nil"/>
              <w:bottom w:val="double" w:sz="4" w:space="0" w:color="auto"/>
              <w:right w:val="nil"/>
            </w:tcBorders>
            <w:shd w:val="clear" w:color="auto" w:fill="auto"/>
            <w:vAlign w:val="center"/>
            <w:hideMark/>
          </w:tcPr>
          <w:p w14:paraId="1B4B09F9" w14:textId="5AA0554D" w:rsidR="00CA0C55" w:rsidRPr="00005453" w:rsidRDefault="00CA0C55" w:rsidP="00CA0C55">
            <w:pPr>
              <w:jc w:val="right"/>
              <w:rPr>
                <w:b/>
                <w:bCs/>
                <w:color w:val="000000"/>
                <w:sz w:val="12"/>
                <w:szCs w:val="12"/>
                <w:lang w:eastAsia="tr-TR"/>
              </w:rPr>
            </w:pPr>
            <w:r w:rsidRPr="00005453">
              <w:rPr>
                <w:b/>
                <w:color w:val="000000"/>
                <w:sz w:val="12"/>
                <w:szCs w:val="12"/>
                <w:lang w:eastAsia="tr-TR"/>
              </w:rPr>
              <w:t>84,469,167</w:t>
            </w:r>
          </w:p>
        </w:tc>
        <w:tc>
          <w:tcPr>
            <w:tcW w:w="680" w:type="dxa"/>
            <w:tcBorders>
              <w:top w:val="single" w:sz="8" w:space="0" w:color="auto"/>
              <w:left w:val="nil"/>
              <w:bottom w:val="double" w:sz="4" w:space="0" w:color="auto"/>
              <w:right w:val="nil"/>
            </w:tcBorders>
            <w:shd w:val="clear" w:color="auto" w:fill="auto"/>
            <w:vAlign w:val="center"/>
            <w:hideMark/>
          </w:tcPr>
          <w:p w14:paraId="28CA4F87" w14:textId="53F5475C" w:rsidR="00CA0C55" w:rsidRPr="00005453" w:rsidRDefault="00CA0C55" w:rsidP="00CA0C55">
            <w:pPr>
              <w:jc w:val="right"/>
              <w:rPr>
                <w:b/>
                <w:bCs/>
                <w:color w:val="000000"/>
                <w:sz w:val="12"/>
                <w:szCs w:val="12"/>
                <w:lang w:eastAsia="tr-TR"/>
              </w:rPr>
            </w:pPr>
            <w:r w:rsidRPr="00005453">
              <w:rPr>
                <w:b/>
                <w:color w:val="000000"/>
                <w:sz w:val="12"/>
                <w:szCs w:val="12"/>
                <w:lang w:eastAsia="tr-TR"/>
              </w:rPr>
              <w:t>51,891,336</w:t>
            </w:r>
          </w:p>
        </w:tc>
        <w:tc>
          <w:tcPr>
            <w:tcW w:w="1094" w:type="dxa"/>
            <w:tcBorders>
              <w:top w:val="single" w:sz="8" w:space="0" w:color="auto"/>
              <w:left w:val="nil"/>
              <w:bottom w:val="double" w:sz="4" w:space="0" w:color="auto"/>
              <w:right w:val="nil"/>
            </w:tcBorders>
            <w:shd w:val="clear" w:color="auto" w:fill="auto"/>
            <w:vAlign w:val="center"/>
            <w:hideMark/>
          </w:tcPr>
          <w:p w14:paraId="7459BF1D" w14:textId="03BF6CD7" w:rsidR="00CA0C55" w:rsidRPr="00005453" w:rsidRDefault="00CA0C55" w:rsidP="00CA0C55">
            <w:pPr>
              <w:jc w:val="right"/>
              <w:rPr>
                <w:b/>
                <w:bCs/>
                <w:color w:val="000000"/>
                <w:sz w:val="12"/>
                <w:szCs w:val="12"/>
                <w:lang w:eastAsia="tr-TR"/>
              </w:rPr>
            </w:pPr>
            <w:r w:rsidRPr="00005453">
              <w:rPr>
                <w:b/>
                <w:color w:val="000000"/>
                <w:sz w:val="12"/>
                <w:szCs w:val="12"/>
                <w:lang w:eastAsia="tr-TR"/>
              </w:rPr>
              <w:t>55,317,159</w:t>
            </w:r>
          </w:p>
        </w:tc>
        <w:tc>
          <w:tcPr>
            <w:tcW w:w="620" w:type="dxa"/>
            <w:tcBorders>
              <w:top w:val="single" w:sz="8" w:space="0" w:color="auto"/>
              <w:left w:val="nil"/>
              <w:bottom w:val="double" w:sz="4" w:space="0" w:color="auto"/>
              <w:right w:val="nil"/>
            </w:tcBorders>
            <w:shd w:val="clear" w:color="auto" w:fill="auto"/>
            <w:vAlign w:val="center"/>
            <w:hideMark/>
          </w:tcPr>
          <w:p w14:paraId="3205A9E8" w14:textId="61BF3478" w:rsidR="00CA0C55" w:rsidRPr="00005453" w:rsidRDefault="00CA0C55" w:rsidP="00CA0C55">
            <w:pPr>
              <w:jc w:val="right"/>
              <w:rPr>
                <w:b/>
                <w:bCs/>
                <w:color w:val="000000"/>
                <w:sz w:val="12"/>
                <w:szCs w:val="12"/>
                <w:lang w:eastAsia="tr-TR"/>
              </w:rPr>
            </w:pPr>
            <w:r w:rsidRPr="00005453">
              <w:rPr>
                <w:b/>
                <w:color w:val="000000"/>
                <w:sz w:val="12"/>
                <w:szCs w:val="12"/>
                <w:lang w:eastAsia="tr-TR"/>
              </w:rPr>
              <w:t>102,417</w:t>
            </w:r>
          </w:p>
        </w:tc>
        <w:tc>
          <w:tcPr>
            <w:tcW w:w="680" w:type="dxa"/>
            <w:tcBorders>
              <w:top w:val="single" w:sz="8" w:space="0" w:color="auto"/>
              <w:left w:val="nil"/>
              <w:bottom w:val="double" w:sz="4" w:space="0" w:color="auto"/>
              <w:right w:val="nil"/>
            </w:tcBorders>
            <w:shd w:val="clear" w:color="auto" w:fill="auto"/>
            <w:vAlign w:val="center"/>
            <w:hideMark/>
          </w:tcPr>
          <w:p w14:paraId="1E53F230" w14:textId="7F4CBA8E" w:rsidR="00CA0C55" w:rsidRPr="00005453" w:rsidRDefault="00CA0C55" w:rsidP="00CA0C55">
            <w:pPr>
              <w:jc w:val="right"/>
              <w:rPr>
                <w:b/>
                <w:bCs/>
                <w:color w:val="000000"/>
                <w:sz w:val="12"/>
                <w:szCs w:val="12"/>
                <w:lang w:eastAsia="tr-TR"/>
              </w:rPr>
            </w:pPr>
            <w:r w:rsidRPr="00005453">
              <w:rPr>
                <w:b/>
                <w:color w:val="000000"/>
                <w:sz w:val="12"/>
                <w:szCs w:val="12"/>
                <w:lang w:eastAsia="tr-TR"/>
              </w:rPr>
              <w:t>25,598,233</w:t>
            </w:r>
          </w:p>
        </w:tc>
        <w:tc>
          <w:tcPr>
            <w:tcW w:w="781" w:type="dxa"/>
            <w:tcBorders>
              <w:top w:val="single" w:sz="8" w:space="0" w:color="auto"/>
              <w:left w:val="nil"/>
              <w:bottom w:val="double" w:sz="4" w:space="0" w:color="auto"/>
              <w:right w:val="nil"/>
            </w:tcBorders>
            <w:shd w:val="clear" w:color="auto" w:fill="auto"/>
            <w:vAlign w:val="center"/>
            <w:hideMark/>
          </w:tcPr>
          <w:p w14:paraId="157EEB2A" w14:textId="4A5ED413" w:rsidR="00CA0C55" w:rsidRPr="00005453" w:rsidRDefault="00CA0C55" w:rsidP="00CA0C55">
            <w:pPr>
              <w:jc w:val="right"/>
              <w:rPr>
                <w:b/>
                <w:bCs/>
                <w:color w:val="000000"/>
                <w:sz w:val="12"/>
                <w:szCs w:val="12"/>
                <w:lang w:eastAsia="tr-TR"/>
              </w:rPr>
            </w:pPr>
            <w:r w:rsidRPr="00005453">
              <w:rPr>
                <w:b/>
                <w:color w:val="000000"/>
                <w:sz w:val="12"/>
                <w:szCs w:val="12"/>
                <w:lang w:eastAsia="tr-TR"/>
              </w:rPr>
              <w:t>-</w:t>
            </w:r>
          </w:p>
        </w:tc>
        <w:tc>
          <w:tcPr>
            <w:tcW w:w="727" w:type="dxa"/>
            <w:tcBorders>
              <w:top w:val="single" w:sz="8" w:space="0" w:color="auto"/>
              <w:left w:val="nil"/>
              <w:bottom w:val="double" w:sz="4" w:space="0" w:color="auto"/>
              <w:right w:val="nil"/>
            </w:tcBorders>
            <w:shd w:val="clear" w:color="auto" w:fill="auto"/>
            <w:vAlign w:val="center"/>
            <w:hideMark/>
          </w:tcPr>
          <w:p w14:paraId="411067ED" w14:textId="3D9DC70F" w:rsidR="00CA0C55" w:rsidRPr="00005453" w:rsidRDefault="00CA0C55" w:rsidP="00CA0C55">
            <w:pPr>
              <w:jc w:val="right"/>
              <w:rPr>
                <w:b/>
                <w:bCs/>
                <w:color w:val="000000"/>
                <w:sz w:val="12"/>
                <w:szCs w:val="12"/>
                <w:lang w:eastAsia="tr-TR"/>
              </w:rPr>
            </w:pPr>
            <w:r w:rsidRPr="00005453">
              <w:rPr>
                <w:b/>
                <w:color w:val="000000"/>
                <w:sz w:val="12"/>
                <w:szCs w:val="12"/>
                <w:lang w:eastAsia="tr-TR"/>
              </w:rPr>
              <w:t>3,415,343</w:t>
            </w:r>
          </w:p>
        </w:tc>
        <w:tc>
          <w:tcPr>
            <w:tcW w:w="680" w:type="dxa"/>
            <w:tcBorders>
              <w:top w:val="single" w:sz="8" w:space="0" w:color="auto"/>
              <w:left w:val="nil"/>
              <w:bottom w:val="double" w:sz="4" w:space="0" w:color="auto"/>
              <w:right w:val="nil"/>
            </w:tcBorders>
            <w:shd w:val="clear" w:color="auto" w:fill="auto"/>
            <w:vAlign w:val="center"/>
            <w:hideMark/>
          </w:tcPr>
          <w:p w14:paraId="2D6FB562" w14:textId="68EA4C75" w:rsidR="00CA0C55" w:rsidRPr="00005453" w:rsidRDefault="00CA0C55" w:rsidP="00CA0C55">
            <w:pPr>
              <w:jc w:val="right"/>
              <w:rPr>
                <w:b/>
                <w:bCs/>
                <w:color w:val="000000"/>
                <w:sz w:val="12"/>
                <w:szCs w:val="12"/>
                <w:lang w:eastAsia="tr-TR"/>
              </w:rPr>
            </w:pPr>
            <w:r w:rsidRPr="00005453">
              <w:rPr>
                <w:b/>
                <w:color w:val="000000"/>
                <w:sz w:val="12"/>
                <w:szCs w:val="12"/>
                <w:lang w:eastAsia="tr-TR"/>
              </w:rPr>
              <w:t>19,110,684</w:t>
            </w:r>
          </w:p>
        </w:tc>
        <w:tc>
          <w:tcPr>
            <w:tcW w:w="740" w:type="dxa"/>
            <w:tcBorders>
              <w:top w:val="single" w:sz="8" w:space="0" w:color="auto"/>
              <w:left w:val="nil"/>
              <w:bottom w:val="double" w:sz="4" w:space="0" w:color="auto"/>
              <w:right w:val="nil"/>
            </w:tcBorders>
            <w:shd w:val="clear" w:color="auto" w:fill="auto"/>
            <w:vAlign w:val="center"/>
            <w:hideMark/>
          </w:tcPr>
          <w:p w14:paraId="318E329D" w14:textId="7F8425AD" w:rsidR="00CA0C55" w:rsidRPr="00005453" w:rsidRDefault="00CA0C55" w:rsidP="00CA0C55">
            <w:pPr>
              <w:jc w:val="right"/>
              <w:rPr>
                <w:b/>
                <w:bCs/>
                <w:color w:val="000000"/>
                <w:sz w:val="12"/>
                <w:szCs w:val="12"/>
                <w:lang w:eastAsia="tr-TR"/>
              </w:rPr>
            </w:pPr>
            <w:r w:rsidRPr="00005453">
              <w:rPr>
                <w:b/>
                <w:color w:val="000000"/>
                <w:sz w:val="12"/>
                <w:szCs w:val="12"/>
                <w:lang w:eastAsia="tr-TR"/>
              </w:rPr>
              <w:t>453,051,654</w:t>
            </w:r>
          </w:p>
        </w:tc>
      </w:tr>
    </w:tbl>
    <w:p w14:paraId="4042B4E8" w14:textId="5F487DA0" w:rsidR="00A25B46" w:rsidRPr="00005453" w:rsidRDefault="00A25B46" w:rsidP="007303E9">
      <w:pPr>
        <w:tabs>
          <w:tab w:val="left" w:pos="8080"/>
        </w:tabs>
        <w:autoSpaceDE w:val="0"/>
        <w:autoSpaceDN w:val="0"/>
        <w:adjustRightInd w:val="0"/>
        <w:ind w:left="-737"/>
        <w:rPr>
          <w:sz w:val="6"/>
          <w:szCs w:val="6"/>
          <w:lang w:eastAsia="zh-CN"/>
        </w:rPr>
      </w:pPr>
    </w:p>
    <w:p w14:paraId="7FE9FFB4" w14:textId="0F5EBB43" w:rsidR="007303E9" w:rsidRPr="00005453" w:rsidRDefault="007303E9" w:rsidP="007303E9">
      <w:pPr>
        <w:tabs>
          <w:tab w:val="left" w:pos="8080"/>
        </w:tabs>
        <w:autoSpaceDE w:val="0"/>
        <w:autoSpaceDN w:val="0"/>
        <w:adjustRightInd w:val="0"/>
        <w:ind w:left="-737"/>
        <w:rPr>
          <w:sz w:val="14"/>
          <w:szCs w:val="14"/>
          <w:lang w:eastAsia="zh-CN"/>
        </w:rPr>
      </w:pPr>
      <w:r w:rsidRPr="00005453">
        <w:rPr>
          <w:sz w:val="14"/>
          <w:szCs w:val="14"/>
          <w:lang w:eastAsia="zh-CN"/>
        </w:rPr>
        <w:t>(*)      Kredi Riski Azaltımı öncesi, krediye dönüşüm oranı sonrası risk tutarları verilmiştir.</w:t>
      </w:r>
    </w:p>
    <w:p w14:paraId="4F039241" w14:textId="55F0DB4C" w:rsidR="007303E9" w:rsidRPr="00005453" w:rsidRDefault="007303E9" w:rsidP="007303E9">
      <w:pPr>
        <w:tabs>
          <w:tab w:val="left" w:pos="8080"/>
        </w:tabs>
        <w:autoSpaceDE w:val="0"/>
        <w:autoSpaceDN w:val="0"/>
        <w:adjustRightInd w:val="0"/>
        <w:ind w:left="-737"/>
        <w:rPr>
          <w:sz w:val="14"/>
          <w:szCs w:val="14"/>
          <w:lang w:eastAsia="zh-CN"/>
        </w:rPr>
      </w:pPr>
      <w:r w:rsidRPr="00005453">
        <w:rPr>
          <w:sz w:val="14"/>
          <w:szCs w:val="14"/>
          <w:lang w:eastAsia="zh-CN"/>
        </w:rPr>
        <w:t>(**)    AB ülkeleri, ABD ve Kanada dışındaki OECD ülkeleri</w:t>
      </w:r>
    </w:p>
    <w:p w14:paraId="570E96D0" w14:textId="092C57E7" w:rsidR="007303E9" w:rsidRPr="00005453" w:rsidRDefault="007303E9" w:rsidP="007303E9">
      <w:pPr>
        <w:tabs>
          <w:tab w:val="left" w:pos="8080"/>
        </w:tabs>
        <w:autoSpaceDE w:val="0"/>
        <w:autoSpaceDN w:val="0"/>
        <w:adjustRightInd w:val="0"/>
        <w:ind w:left="-737"/>
        <w:rPr>
          <w:sz w:val="14"/>
          <w:szCs w:val="14"/>
          <w:lang w:eastAsia="zh-CN"/>
        </w:rPr>
      </w:pPr>
      <w:r w:rsidRPr="00005453">
        <w:rPr>
          <w:sz w:val="14"/>
          <w:szCs w:val="14"/>
          <w:lang w:eastAsia="zh-CN"/>
        </w:rPr>
        <w:t>(***</w:t>
      </w:r>
      <w:proofErr w:type="gramStart"/>
      <w:r w:rsidRPr="00005453">
        <w:rPr>
          <w:sz w:val="14"/>
          <w:szCs w:val="14"/>
          <w:lang w:eastAsia="zh-CN"/>
        </w:rPr>
        <w:t>)  Tutarlı</w:t>
      </w:r>
      <w:proofErr w:type="gramEnd"/>
      <w:r w:rsidRPr="00005453">
        <w:rPr>
          <w:sz w:val="14"/>
          <w:szCs w:val="14"/>
          <w:lang w:eastAsia="zh-CN"/>
        </w:rPr>
        <w:t xml:space="preserve"> bir esasa göre bölümlere dağıtılamayan varlık ve yükümlülükler</w:t>
      </w:r>
    </w:p>
    <w:p w14:paraId="65BC832D" w14:textId="28827D37" w:rsidR="007303E9" w:rsidRPr="00005453" w:rsidRDefault="007303E9" w:rsidP="007303E9">
      <w:pPr>
        <w:tabs>
          <w:tab w:val="left" w:pos="8080"/>
        </w:tabs>
        <w:autoSpaceDE w:val="0"/>
        <w:autoSpaceDN w:val="0"/>
        <w:adjustRightInd w:val="0"/>
        <w:ind w:left="-737"/>
        <w:rPr>
          <w:sz w:val="14"/>
          <w:szCs w:val="14"/>
          <w:lang w:eastAsia="zh-CN"/>
        </w:rPr>
      </w:pPr>
      <w:r w:rsidRPr="00005453">
        <w:rPr>
          <w:sz w:val="14"/>
          <w:szCs w:val="14"/>
          <w:lang w:eastAsia="zh-CN"/>
        </w:rPr>
        <w:t>(****) Bankaların Sermaye Yeterliliğinin Ölçülmesine ve Değerlendirilmesine ilişkin Yönetmelikte yer alan risk sınıfları dikkate alınmıştır.</w:t>
      </w:r>
    </w:p>
    <w:p w14:paraId="1BFD8B06" w14:textId="77777777" w:rsidR="0054031F" w:rsidRPr="00005453" w:rsidRDefault="0054031F" w:rsidP="0054031F">
      <w:pPr>
        <w:pStyle w:val="BodyText"/>
        <w:jc w:val="left"/>
        <w:rPr>
          <w:rFonts w:eastAsia="Arial Unicode MS"/>
          <w:color w:val="000000"/>
          <w:sz w:val="18"/>
          <w:szCs w:val="18"/>
        </w:rPr>
      </w:pPr>
    </w:p>
    <w:p w14:paraId="68CB259E" w14:textId="77777777" w:rsidR="0054031F" w:rsidRPr="00005453" w:rsidRDefault="0054031F" w:rsidP="0054031F">
      <w:pPr>
        <w:pStyle w:val="BodyText"/>
        <w:jc w:val="left"/>
        <w:rPr>
          <w:rFonts w:eastAsia="Arial Unicode MS"/>
          <w:color w:val="000000"/>
        </w:rPr>
        <w:sectPr w:rsidR="0054031F" w:rsidRPr="00005453" w:rsidSect="004F6257">
          <w:pgSz w:w="11906" w:h="16838"/>
          <w:pgMar w:top="1417" w:right="991" w:bottom="1438" w:left="1418" w:header="708" w:footer="708" w:gutter="0"/>
          <w:pgNumType w:start="29"/>
          <w:cols w:space="708"/>
          <w:docGrid w:linePitch="360"/>
        </w:sectPr>
      </w:pPr>
    </w:p>
    <w:p w14:paraId="416C7FDD" w14:textId="2C9C4F2F" w:rsidR="0054031F" w:rsidRPr="00005453" w:rsidRDefault="0054031F" w:rsidP="00A10531">
      <w:pPr>
        <w:spacing w:line="240" w:lineRule="exact"/>
        <w:ind w:hanging="567"/>
        <w:jc w:val="both"/>
        <w:rPr>
          <w:rFonts w:eastAsia="Arial Unicode MS"/>
          <w:color w:val="000000"/>
          <w:sz w:val="8"/>
        </w:rPr>
      </w:pPr>
      <w:bookmarkStart w:id="30" w:name="_Hlk125289745"/>
      <w:r w:rsidRPr="00005453">
        <w:rPr>
          <w:b/>
          <w:lang w:eastAsia="tr-TR"/>
        </w:rPr>
        <w:lastRenderedPageBreak/>
        <w:t>2.2.     Sektörlere veya Karşı Taraflara Göre Risk Profili</w:t>
      </w:r>
    </w:p>
    <w:p w14:paraId="2730829E" w14:textId="54266048" w:rsidR="00B21DE5" w:rsidRPr="00005453" w:rsidRDefault="00EB7108" w:rsidP="00B21DE5">
      <w:pPr>
        <w:ind w:left="-1361"/>
        <w:rPr>
          <w:sz w:val="16"/>
          <w:lang w:val="de-DE" w:eastAsia="en-GB"/>
        </w:rPr>
      </w:pPr>
      <w:r w:rsidRPr="00005453">
        <w:rPr>
          <w:sz w:val="14"/>
          <w:szCs w:val="14"/>
          <w:lang w:eastAsia="zh-CN"/>
        </w:rPr>
        <w:t xml:space="preserve">     </w:t>
      </w:r>
      <w:r w:rsidR="00B93F7B" w:rsidRPr="00005453">
        <w:rPr>
          <w:sz w:val="14"/>
          <w:szCs w:val="14"/>
          <w:lang w:eastAsia="zh-CN"/>
        </w:rPr>
        <w:t xml:space="preserve"> </w:t>
      </w:r>
    </w:p>
    <w:tbl>
      <w:tblPr>
        <w:tblW w:w="14884" w:type="dxa"/>
        <w:tblCellMar>
          <w:left w:w="70" w:type="dxa"/>
          <w:right w:w="70" w:type="dxa"/>
        </w:tblCellMar>
        <w:tblLook w:val="04A0" w:firstRow="1" w:lastRow="0" w:firstColumn="1" w:lastColumn="0" w:noHBand="0" w:noVBand="1"/>
      </w:tblPr>
      <w:tblGrid>
        <w:gridCol w:w="1013"/>
        <w:gridCol w:w="756"/>
        <w:gridCol w:w="756"/>
        <w:gridCol w:w="710"/>
        <w:gridCol w:w="745"/>
        <w:gridCol w:w="715"/>
        <w:gridCol w:w="686"/>
        <w:gridCol w:w="640"/>
        <w:gridCol w:w="621"/>
        <w:gridCol w:w="921"/>
        <w:gridCol w:w="529"/>
        <w:gridCol w:w="621"/>
        <w:gridCol w:w="552"/>
        <w:gridCol w:w="779"/>
        <w:gridCol w:w="686"/>
        <w:gridCol w:w="680"/>
        <w:gridCol w:w="616"/>
        <w:gridCol w:w="621"/>
        <w:gridCol w:w="674"/>
        <w:gridCol w:w="674"/>
        <w:gridCol w:w="889"/>
      </w:tblGrid>
      <w:tr w:rsidR="005803BC" w:rsidRPr="00005453" w14:paraId="331258EB" w14:textId="77777777" w:rsidTr="00667FB0">
        <w:trPr>
          <w:trHeight w:val="439"/>
        </w:trPr>
        <w:tc>
          <w:tcPr>
            <w:tcW w:w="1013" w:type="dxa"/>
            <w:tcBorders>
              <w:top w:val="single" w:sz="8" w:space="0" w:color="auto"/>
              <w:left w:val="nil"/>
              <w:bottom w:val="single" w:sz="8" w:space="0" w:color="auto"/>
              <w:right w:val="nil"/>
            </w:tcBorders>
            <w:shd w:val="clear" w:color="auto" w:fill="auto"/>
            <w:vAlign w:val="center"/>
            <w:hideMark/>
          </w:tcPr>
          <w:p w14:paraId="12D517B3"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Cari Dönem</w:t>
            </w:r>
          </w:p>
        </w:tc>
        <w:tc>
          <w:tcPr>
            <w:tcW w:w="756" w:type="dxa"/>
            <w:tcBorders>
              <w:top w:val="single" w:sz="8" w:space="0" w:color="auto"/>
              <w:left w:val="nil"/>
              <w:bottom w:val="single" w:sz="8" w:space="0" w:color="auto"/>
              <w:right w:val="nil"/>
            </w:tcBorders>
            <w:shd w:val="clear" w:color="auto" w:fill="auto"/>
            <w:noWrap/>
            <w:vAlign w:val="center"/>
            <w:hideMark/>
          </w:tcPr>
          <w:p w14:paraId="13FAE0AF" w14:textId="77777777" w:rsidR="005803BC" w:rsidRPr="00005453" w:rsidRDefault="005803BC" w:rsidP="005803BC">
            <w:pPr>
              <w:jc w:val="right"/>
              <w:rPr>
                <w:color w:val="000000"/>
                <w:sz w:val="10"/>
                <w:szCs w:val="10"/>
                <w:lang w:eastAsia="tr-TR"/>
              </w:rPr>
            </w:pPr>
            <w:r w:rsidRPr="00005453">
              <w:rPr>
                <w:color w:val="000000"/>
                <w:sz w:val="10"/>
                <w:szCs w:val="10"/>
                <w:lang w:eastAsia="tr-TR"/>
              </w:rPr>
              <w:t>Merkezi yönetimlerden veya merkez bankalarından şarta bağlı olan ve olmayan alacaklar</w:t>
            </w:r>
          </w:p>
        </w:tc>
        <w:tc>
          <w:tcPr>
            <w:tcW w:w="756" w:type="dxa"/>
            <w:tcBorders>
              <w:top w:val="single" w:sz="8" w:space="0" w:color="auto"/>
              <w:left w:val="nil"/>
              <w:bottom w:val="single" w:sz="8" w:space="0" w:color="auto"/>
              <w:right w:val="nil"/>
            </w:tcBorders>
            <w:shd w:val="clear" w:color="auto" w:fill="auto"/>
            <w:noWrap/>
            <w:vAlign w:val="center"/>
            <w:hideMark/>
          </w:tcPr>
          <w:p w14:paraId="1A8A44F6" w14:textId="77777777" w:rsidR="005803BC" w:rsidRPr="00005453" w:rsidRDefault="005803BC" w:rsidP="005803BC">
            <w:pPr>
              <w:jc w:val="right"/>
              <w:rPr>
                <w:color w:val="000000"/>
                <w:sz w:val="10"/>
                <w:szCs w:val="10"/>
                <w:lang w:eastAsia="tr-TR"/>
              </w:rPr>
            </w:pPr>
            <w:r w:rsidRPr="00005453">
              <w:rPr>
                <w:color w:val="000000"/>
                <w:sz w:val="10"/>
                <w:szCs w:val="10"/>
                <w:lang w:eastAsia="tr-TR"/>
              </w:rPr>
              <w:t>Bölgesel yönetimlerden veya yerel yönetimlerden şarta bağlı olan ve olmayan alacaklar</w:t>
            </w:r>
          </w:p>
        </w:tc>
        <w:tc>
          <w:tcPr>
            <w:tcW w:w="710" w:type="dxa"/>
            <w:tcBorders>
              <w:top w:val="single" w:sz="8" w:space="0" w:color="auto"/>
              <w:left w:val="nil"/>
              <w:bottom w:val="single" w:sz="8" w:space="0" w:color="auto"/>
              <w:right w:val="nil"/>
            </w:tcBorders>
            <w:shd w:val="clear" w:color="auto" w:fill="auto"/>
            <w:noWrap/>
            <w:vAlign w:val="center"/>
            <w:hideMark/>
          </w:tcPr>
          <w:p w14:paraId="45844B5D" w14:textId="77777777" w:rsidR="005803BC" w:rsidRPr="00005453" w:rsidRDefault="005803BC" w:rsidP="005803BC">
            <w:pPr>
              <w:jc w:val="right"/>
              <w:rPr>
                <w:color w:val="000000"/>
                <w:sz w:val="10"/>
                <w:szCs w:val="10"/>
                <w:lang w:eastAsia="tr-TR"/>
              </w:rPr>
            </w:pPr>
            <w:r w:rsidRPr="00005453">
              <w:rPr>
                <w:color w:val="000000"/>
                <w:sz w:val="10"/>
                <w:szCs w:val="10"/>
                <w:lang w:eastAsia="tr-TR"/>
              </w:rPr>
              <w:t>İdari birimlerden ve ticari olmayan girişimlerden şarta bağlı olan ve olmayan alacaklar</w:t>
            </w:r>
          </w:p>
        </w:tc>
        <w:tc>
          <w:tcPr>
            <w:tcW w:w="745" w:type="dxa"/>
            <w:tcBorders>
              <w:top w:val="single" w:sz="8" w:space="0" w:color="auto"/>
              <w:left w:val="nil"/>
              <w:bottom w:val="single" w:sz="8" w:space="0" w:color="auto"/>
              <w:right w:val="nil"/>
            </w:tcBorders>
            <w:shd w:val="clear" w:color="auto" w:fill="auto"/>
            <w:noWrap/>
            <w:vAlign w:val="center"/>
            <w:hideMark/>
          </w:tcPr>
          <w:p w14:paraId="7F4BF8E3" w14:textId="77777777" w:rsidR="005803BC" w:rsidRPr="00005453" w:rsidRDefault="005803BC" w:rsidP="005803BC">
            <w:pPr>
              <w:jc w:val="right"/>
              <w:rPr>
                <w:color w:val="000000"/>
                <w:sz w:val="10"/>
                <w:szCs w:val="10"/>
                <w:lang w:eastAsia="tr-TR"/>
              </w:rPr>
            </w:pPr>
            <w:r w:rsidRPr="00005453">
              <w:rPr>
                <w:color w:val="000000"/>
                <w:sz w:val="10"/>
                <w:szCs w:val="10"/>
                <w:lang w:eastAsia="tr-TR"/>
              </w:rPr>
              <w:t>Çok taraflı kalkınma bankalarından şarta bağlı olan ve olmayan alacaklar</w:t>
            </w:r>
          </w:p>
        </w:tc>
        <w:tc>
          <w:tcPr>
            <w:tcW w:w="715" w:type="dxa"/>
            <w:tcBorders>
              <w:top w:val="single" w:sz="8" w:space="0" w:color="auto"/>
              <w:left w:val="nil"/>
              <w:bottom w:val="single" w:sz="8" w:space="0" w:color="auto"/>
              <w:right w:val="nil"/>
            </w:tcBorders>
            <w:shd w:val="clear" w:color="auto" w:fill="auto"/>
            <w:noWrap/>
            <w:vAlign w:val="center"/>
            <w:hideMark/>
          </w:tcPr>
          <w:p w14:paraId="20980EF5" w14:textId="77777777" w:rsidR="005803BC" w:rsidRPr="00005453" w:rsidRDefault="005803BC" w:rsidP="005803BC">
            <w:pPr>
              <w:jc w:val="right"/>
              <w:rPr>
                <w:color w:val="000000"/>
                <w:sz w:val="10"/>
                <w:szCs w:val="10"/>
                <w:lang w:eastAsia="tr-TR"/>
              </w:rPr>
            </w:pPr>
            <w:r w:rsidRPr="00005453">
              <w:rPr>
                <w:color w:val="000000"/>
                <w:sz w:val="10"/>
                <w:szCs w:val="10"/>
                <w:lang w:eastAsia="tr-TR"/>
              </w:rPr>
              <w:t>Uluslararası teşkilatlardan şarta bağlı olan ve olmayan alacaklar</w:t>
            </w:r>
          </w:p>
        </w:tc>
        <w:tc>
          <w:tcPr>
            <w:tcW w:w="686" w:type="dxa"/>
            <w:tcBorders>
              <w:top w:val="single" w:sz="8" w:space="0" w:color="auto"/>
              <w:left w:val="nil"/>
              <w:bottom w:val="single" w:sz="8" w:space="0" w:color="auto"/>
              <w:right w:val="nil"/>
            </w:tcBorders>
            <w:shd w:val="clear" w:color="auto" w:fill="auto"/>
            <w:noWrap/>
            <w:vAlign w:val="center"/>
            <w:hideMark/>
          </w:tcPr>
          <w:p w14:paraId="04829577" w14:textId="77777777" w:rsidR="005803BC" w:rsidRPr="00005453" w:rsidRDefault="005803BC" w:rsidP="005803BC">
            <w:pPr>
              <w:jc w:val="right"/>
              <w:rPr>
                <w:color w:val="000000"/>
                <w:sz w:val="10"/>
                <w:szCs w:val="10"/>
                <w:lang w:eastAsia="tr-TR"/>
              </w:rPr>
            </w:pPr>
            <w:r w:rsidRPr="00005453">
              <w:rPr>
                <w:color w:val="000000"/>
                <w:sz w:val="10"/>
                <w:szCs w:val="10"/>
                <w:lang w:eastAsia="tr-TR"/>
              </w:rPr>
              <w:t>Bankalar ve aracı kurumlardan şarta bağlı olan ve olmayan alacaklar</w:t>
            </w:r>
          </w:p>
        </w:tc>
        <w:tc>
          <w:tcPr>
            <w:tcW w:w="640" w:type="dxa"/>
            <w:tcBorders>
              <w:top w:val="single" w:sz="8" w:space="0" w:color="auto"/>
              <w:left w:val="nil"/>
              <w:bottom w:val="single" w:sz="8" w:space="0" w:color="auto"/>
              <w:right w:val="nil"/>
            </w:tcBorders>
            <w:shd w:val="clear" w:color="auto" w:fill="auto"/>
            <w:noWrap/>
            <w:vAlign w:val="center"/>
            <w:hideMark/>
          </w:tcPr>
          <w:p w14:paraId="20AC9C25"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Şarta bağlı olan ve olmayan kurumsal alacaklar </w:t>
            </w:r>
          </w:p>
        </w:tc>
        <w:tc>
          <w:tcPr>
            <w:tcW w:w="621" w:type="dxa"/>
            <w:tcBorders>
              <w:top w:val="single" w:sz="8" w:space="0" w:color="auto"/>
              <w:left w:val="nil"/>
              <w:bottom w:val="single" w:sz="8" w:space="0" w:color="auto"/>
              <w:right w:val="nil"/>
            </w:tcBorders>
            <w:shd w:val="clear" w:color="auto" w:fill="auto"/>
            <w:noWrap/>
            <w:vAlign w:val="center"/>
            <w:hideMark/>
          </w:tcPr>
          <w:p w14:paraId="18EF0DD6"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Şarta bağlı olan ve olmayan perakende alacaklar </w:t>
            </w:r>
          </w:p>
        </w:tc>
        <w:tc>
          <w:tcPr>
            <w:tcW w:w="921" w:type="dxa"/>
            <w:tcBorders>
              <w:top w:val="single" w:sz="8" w:space="0" w:color="auto"/>
              <w:left w:val="nil"/>
              <w:bottom w:val="single" w:sz="8" w:space="0" w:color="auto"/>
              <w:right w:val="nil"/>
            </w:tcBorders>
            <w:shd w:val="clear" w:color="auto" w:fill="auto"/>
            <w:noWrap/>
            <w:vAlign w:val="center"/>
            <w:hideMark/>
          </w:tcPr>
          <w:p w14:paraId="25F28EC7"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Şarta bağlı olan ve olmayan gayrimenkul ipoteğiyle teminatlandırılmış alacaklar </w:t>
            </w:r>
          </w:p>
        </w:tc>
        <w:tc>
          <w:tcPr>
            <w:tcW w:w="529" w:type="dxa"/>
            <w:tcBorders>
              <w:top w:val="single" w:sz="8" w:space="0" w:color="auto"/>
              <w:left w:val="nil"/>
              <w:bottom w:val="single" w:sz="8" w:space="0" w:color="auto"/>
              <w:right w:val="nil"/>
            </w:tcBorders>
            <w:shd w:val="clear" w:color="auto" w:fill="auto"/>
            <w:noWrap/>
            <w:vAlign w:val="center"/>
            <w:hideMark/>
          </w:tcPr>
          <w:p w14:paraId="655C3F6F"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Tahsili gecikmiş alacaklar </w:t>
            </w:r>
          </w:p>
        </w:tc>
        <w:tc>
          <w:tcPr>
            <w:tcW w:w="621" w:type="dxa"/>
            <w:tcBorders>
              <w:top w:val="single" w:sz="8" w:space="0" w:color="auto"/>
              <w:left w:val="nil"/>
              <w:bottom w:val="single" w:sz="8" w:space="0" w:color="auto"/>
              <w:right w:val="nil"/>
            </w:tcBorders>
            <w:shd w:val="clear" w:color="auto" w:fill="auto"/>
            <w:noWrap/>
            <w:vAlign w:val="center"/>
            <w:hideMark/>
          </w:tcPr>
          <w:p w14:paraId="1EFA68AE"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Kurulca riski yüksek olarak belirlenen alacaklar </w:t>
            </w:r>
          </w:p>
        </w:tc>
        <w:tc>
          <w:tcPr>
            <w:tcW w:w="552" w:type="dxa"/>
            <w:tcBorders>
              <w:top w:val="single" w:sz="8" w:space="0" w:color="auto"/>
              <w:left w:val="nil"/>
              <w:bottom w:val="single" w:sz="8" w:space="0" w:color="auto"/>
              <w:right w:val="nil"/>
            </w:tcBorders>
            <w:shd w:val="clear" w:color="auto" w:fill="auto"/>
            <w:noWrap/>
            <w:vAlign w:val="center"/>
            <w:hideMark/>
          </w:tcPr>
          <w:p w14:paraId="078EAF82"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Teminatlı menkul kıymetler  </w:t>
            </w:r>
          </w:p>
        </w:tc>
        <w:tc>
          <w:tcPr>
            <w:tcW w:w="779" w:type="dxa"/>
            <w:tcBorders>
              <w:top w:val="single" w:sz="8" w:space="0" w:color="auto"/>
              <w:left w:val="nil"/>
              <w:bottom w:val="single" w:sz="8" w:space="0" w:color="auto"/>
              <w:right w:val="nil"/>
            </w:tcBorders>
            <w:shd w:val="clear" w:color="auto" w:fill="auto"/>
            <w:noWrap/>
            <w:vAlign w:val="center"/>
            <w:hideMark/>
          </w:tcPr>
          <w:p w14:paraId="07EFCEF8"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Menkul kıymetleştirme pozisyonları </w:t>
            </w:r>
          </w:p>
        </w:tc>
        <w:tc>
          <w:tcPr>
            <w:tcW w:w="686" w:type="dxa"/>
            <w:tcBorders>
              <w:top w:val="single" w:sz="8" w:space="0" w:color="auto"/>
              <w:left w:val="nil"/>
              <w:bottom w:val="single" w:sz="8" w:space="0" w:color="auto"/>
              <w:right w:val="nil"/>
            </w:tcBorders>
            <w:shd w:val="clear" w:color="auto" w:fill="auto"/>
            <w:noWrap/>
            <w:vAlign w:val="center"/>
            <w:hideMark/>
          </w:tcPr>
          <w:p w14:paraId="15E3B12D"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Bankalar ve aracı kurumlardan olan kısa vadeli alacaklar ile kısa vadeli kurumsal alacaklar </w:t>
            </w:r>
          </w:p>
        </w:tc>
        <w:tc>
          <w:tcPr>
            <w:tcW w:w="680" w:type="dxa"/>
            <w:tcBorders>
              <w:top w:val="single" w:sz="8" w:space="0" w:color="auto"/>
              <w:left w:val="nil"/>
              <w:bottom w:val="single" w:sz="8" w:space="0" w:color="auto"/>
              <w:right w:val="nil"/>
            </w:tcBorders>
            <w:shd w:val="clear" w:color="auto" w:fill="auto"/>
            <w:noWrap/>
            <w:vAlign w:val="center"/>
            <w:hideMark/>
          </w:tcPr>
          <w:p w14:paraId="5B10BDD9" w14:textId="77777777" w:rsidR="005803BC" w:rsidRPr="00005453" w:rsidRDefault="005803BC" w:rsidP="005803BC">
            <w:pPr>
              <w:jc w:val="right"/>
              <w:rPr>
                <w:color w:val="000000"/>
                <w:sz w:val="10"/>
                <w:szCs w:val="10"/>
                <w:lang w:eastAsia="tr-TR"/>
              </w:rPr>
            </w:pPr>
            <w:r w:rsidRPr="00005453">
              <w:rPr>
                <w:color w:val="000000"/>
                <w:sz w:val="10"/>
                <w:szCs w:val="10"/>
                <w:lang w:eastAsia="tr-TR"/>
              </w:rPr>
              <w:t>Kolektif yatırım kuruluşu niteliğindeki yatırımlar</w:t>
            </w:r>
          </w:p>
        </w:tc>
        <w:tc>
          <w:tcPr>
            <w:tcW w:w="616" w:type="dxa"/>
            <w:tcBorders>
              <w:top w:val="single" w:sz="8" w:space="0" w:color="auto"/>
              <w:left w:val="nil"/>
              <w:bottom w:val="single" w:sz="8" w:space="0" w:color="auto"/>
              <w:right w:val="nil"/>
            </w:tcBorders>
            <w:shd w:val="clear" w:color="auto" w:fill="auto"/>
            <w:noWrap/>
            <w:vAlign w:val="center"/>
            <w:hideMark/>
          </w:tcPr>
          <w:p w14:paraId="2C501802" w14:textId="77777777" w:rsidR="005803BC" w:rsidRPr="00005453" w:rsidRDefault="005803BC" w:rsidP="005803BC">
            <w:pPr>
              <w:jc w:val="right"/>
              <w:rPr>
                <w:color w:val="000000"/>
                <w:sz w:val="10"/>
                <w:szCs w:val="10"/>
                <w:lang w:eastAsia="tr-TR"/>
              </w:rPr>
            </w:pPr>
            <w:r w:rsidRPr="00005453">
              <w:rPr>
                <w:color w:val="000000"/>
                <w:sz w:val="10"/>
                <w:szCs w:val="10"/>
                <w:lang w:eastAsia="tr-TR"/>
              </w:rPr>
              <w:t>Hisse Senedi Yatırımları</w:t>
            </w:r>
          </w:p>
        </w:tc>
        <w:tc>
          <w:tcPr>
            <w:tcW w:w="621" w:type="dxa"/>
            <w:tcBorders>
              <w:top w:val="single" w:sz="8" w:space="0" w:color="auto"/>
              <w:left w:val="nil"/>
              <w:bottom w:val="single" w:sz="8" w:space="0" w:color="auto"/>
              <w:right w:val="nil"/>
            </w:tcBorders>
            <w:shd w:val="clear" w:color="auto" w:fill="auto"/>
            <w:noWrap/>
            <w:vAlign w:val="center"/>
            <w:hideMark/>
          </w:tcPr>
          <w:p w14:paraId="17B5C6F7" w14:textId="77777777" w:rsidR="005803BC" w:rsidRPr="00005453" w:rsidRDefault="005803BC" w:rsidP="005803BC">
            <w:pPr>
              <w:jc w:val="right"/>
              <w:rPr>
                <w:color w:val="000000"/>
                <w:sz w:val="10"/>
                <w:szCs w:val="10"/>
                <w:lang w:eastAsia="tr-TR"/>
              </w:rPr>
            </w:pPr>
            <w:r w:rsidRPr="00005453">
              <w:rPr>
                <w:color w:val="000000"/>
                <w:sz w:val="10"/>
                <w:szCs w:val="10"/>
                <w:lang w:eastAsia="tr-TR"/>
              </w:rPr>
              <w:t xml:space="preserve">Diğer Alacaklar </w:t>
            </w:r>
          </w:p>
        </w:tc>
        <w:tc>
          <w:tcPr>
            <w:tcW w:w="674" w:type="dxa"/>
            <w:tcBorders>
              <w:top w:val="single" w:sz="8" w:space="0" w:color="auto"/>
              <w:left w:val="nil"/>
              <w:bottom w:val="single" w:sz="8" w:space="0" w:color="auto"/>
              <w:right w:val="nil"/>
            </w:tcBorders>
            <w:shd w:val="clear" w:color="auto" w:fill="auto"/>
            <w:noWrap/>
            <w:vAlign w:val="center"/>
            <w:hideMark/>
          </w:tcPr>
          <w:p w14:paraId="339EBB16" w14:textId="77777777" w:rsidR="005803BC" w:rsidRPr="00005453" w:rsidRDefault="005803BC" w:rsidP="005803BC">
            <w:pPr>
              <w:jc w:val="right"/>
              <w:rPr>
                <w:b/>
                <w:bCs/>
                <w:color w:val="000000"/>
                <w:sz w:val="10"/>
                <w:szCs w:val="10"/>
                <w:lang w:eastAsia="tr-TR"/>
              </w:rPr>
            </w:pPr>
            <w:r w:rsidRPr="00005453">
              <w:rPr>
                <w:b/>
                <w:bCs/>
                <w:color w:val="000000"/>
                <w:sz w:val="10"/>
                <w:szCs w:val="10"/>
                <w:lang w:eastAsia="tr-TR"/>
              </w:rPr>
              <w:t xml:space="preserve">TP </w:t>
            </w:r>
          </w:p>
        </w:tc>
        <w:tc>
          <w:tcPr>
            <w:tcW w:w="674" w:type="dxa"/>
            <w:tcBorders>
              <w:top w:val="single" w:sz="8" w:space="0" w:color="auto"/>
              <w:left w:val="nil"/>
              <w:bottom w:val="single" w:sz="8" w:space="0" w:color="auto"/>
              <w:right w:val="nil"/>
            </w:tcBorders>
            <w:shd w:val="clear" w:color="auto" w:fill="auto"/>
            <w:noWrap/>
            <w:vAlign w:val="center"/>
            <w:hideMark/>
          </w:tcPr>
          <w:p w14:paraId="6B7C0E29" w14:textId="77777777" w:rsidR="005803BC" w:rsidRPr="00005453" w:rsidRDefault="005803BC" w:rsidP="005803BC">
            <w:pPr>
              <w:jc w:val="right"/>
              <w:rPr>
                <w:b/>
                <w:bCs/>
                <w:color w:val="000000"/>
                <w:sz w:val="10"/>
                <w:szCs w:val="10"/>
                <w:lang w:eastAsia="tr-TR"/>
              </w:rPr>
            </w:pPr>
            <w:r w:rsidRPr="00005453">
              <w:rPr>
                <w:b/>
                <w:bCs/>
                <w:color w:val="000000"/>
                <w:sz w:val="10"/>
                <w:szCs w:val="10"/>
                <w:lang w:eastAsia="tr-TR"/>
              </w:rPr>
              <w:t xml:space="preserve">YP </w:t>
            </w:r>
          </w:p>
        </w:tc>
        <w:tc>
          <w:tcPr>
            <w:tcW w:w="889" w:type="dxa"/>
            <w:tcBorders>
              <w:top w:val="single" w:sz="8" w:space="0" w:color="auto"/>
              <w:left w:val="nil"/>
              <w:bottom w:val="single" w:sz="8" w:space="0" w:color="auto"/>
              <w:right w:val="nil"/>
            </w:tcBorders>
            <w:shd w:val="clear" w:color="auto" w:fill="auto"/>
            <w:noWrap/>
            <w:vAlign w:val="center"/>
            <w:hideMark/>
          </w:tcPr>
          <w:p w14:paraId="11382C90" w14:textId="77777777" w:rsidR="005803BC" w:rsidRPr="00005453" w:rsidRDefault="005803BC" w:rsidP="005803BC">
            <w:pPr>
              <w:jc w:val="right"/>
              <w:rPr>
                <w:b/>
                <w:bCs/>
                <w:color w:val="000000"/>
                <w:sz w:val="10"/>
                <w:szCs w:val="10"/>
                <w:lang w:eastAsia="tr-TR"/>
              </w:rPr>
            </w:pPr>
            <w:proofErr w:type="gramStart"/>
            <w:r w:rsidRPr="00005453">
              <w:rPr>
                <w:b/>
                <w:bCs/>
                <w:color w:val="000000"/>
                <w:sz w:val="10"/>
                <w:szCs w:val="10"/>
                <w:lang w:eastAsia="tr-TR"/>
              </w:rPr>
              <w:t>Toplam(</w:t>
            </w:r>
            <w:proofErr w:type="gramEnd"/>
            <w:r w:rsidRPr="00005453">
              <w:rPr>
                <w:b/>
                <w:bCs/>
                <w:color w:val="000000"/>
                <w:sz w:val="10"/>
                <w:szCs w:val="10"/>
                <w:lang w:eastAsia="tr-TR"/>
              </w:rPr>
              <w:t xml:space="preserve">*) </w:t>
            </w:r>
          </w:p>
        </w:tc>
      </w:tr>
      <w:tr w:rsidR="005803BC" w:rsidRPr="00005453" w14:paraId="26CE0079" w14:textId="77777777" w:rsidTr="00667FB0">
        <w:trPr>
          <w:trHeight w:val="215"/>
        </w:trPr>
        <w:tc>
          <w:tcPr>
            <w:tcW w:w="1013" w:type="dxa"/>
            <w:tcBorders>
              <w:top w:val="nil"/>
              <w:left w:val="nil"/>
              <w:bottom w:val="nil"/>
              <w:right w:val="nil"/>
            </w:tcBorders>
            <w:shd w:val="clear" w:color="auto" w:fill="auto"/>
            <w:vAlign w:val="center"/>
            <w:hideMark/>
          </w:tcPr>
          <w:p w14:paraId="61EA0995"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Tarım</w:t>
            </w:r>
          </w:p>
        </w:tc>
        <w:tc>
          <w:tcPr>
            <w:tcW w:w="756" w:type="dxa"/>
            <w:tcBorders>
              <w:top w:val="nil"/>
              <w:left w:val="nil"/>
              <w:bottom w:val="nil"/>
              <w:right w:val="nil"/>
            </w:tcBorders>
            <w:shd w:val="clear" w:color="auto" w:fill="auto"/>
            <w:vAlign w:val="center"/>
            <w:hideMark/>
          </w:tcPr>
          <w:p w14:paraId="6A7E8DA4" w14:textId="5B9369E9" w:rsidR="005803BC" w:rsidRPr="00005453" w:rsidRDefault="005803BC" w:rsidP="005803BC">
            <w:pPr>
              <w:jc w:val="right"/>
              <w:rPr>
                <w:b/>
                <w:color w:val="000000"/>
                <w:sz w:val="10"/>
                <w:szCs w:val="10"/>
              </w:rPr>
            </w:pPr>
            <w:r w:rsidRPr="00005453">
              <w:rPr>
                <w:b/>
                <w:bCs/>
                <w:color w:val="000000"/>
                <w:sz w:val="10"/>
                <w:szCs w:val="16"/>
              </w:rPr>
              <w:t>-</w:t>
            </w:r>
          </w:p>
        </w:tc>
        <w:tc>
          <w:tcPr>
            <w:tcW w:w="756" w:type="dxa"/>
            <w:tcBorders>
              <w:top w:val="nil"/>
              <w:left w:val="nil"/>
              <w:bottom w:val="nil"/>
              <w:right w:val="nil"/>
            </w:tcBorders>
            <w:shd w:val="clear" w:color="auto" w:fill="auto"/>
            <w:vAlign w:val="center"/>
            <w:hideMark/>
          </w:tcPr>
          <w:p w14:paraId="140CB7BB" w14:textId="268EC345" w:rsidR="005803BC" w:rsidRPr="00005453" w:rsidRDefault="005803BC" w:rsidP="005803BC">
            <w:pPr>
              <w:jc w:val="right"/>
              <w:rPr>
                <w:b/>
                <w:color w:val="000000"/>
                <w:sz w:val="10"/>
                <w:szCs w:val="10"/>
              </w:rPr>
            </w:pPr>
            <w:r w:rsidRPr="00005453">
              <w:rPr>
                <w:b/>
                <w:bCs/>
                <w:color w:val="000000"/>
                <w:sz w:val="10"/>
                <w:szCs w:val="16"/>
              </w:rPr>
              <w:t>-</w:t>
            </w:r>
          </w:p>
        </w:tc>
        <w:tc>
          <w:tcPr>
            <w:tcW w:w="710" w:type="dxa"/>
            <w:tcBorders>
              <w:top w:val="nil"/>
              <w:left w:val="nil"/>
              <w:bottom w:val="nil"/>
              <w:right w:val="nil"/>
            </w:tcBorders>
            <w:shd w:val="clear" w:color="auto" w:fill="auto"/>
            <w:vAlign w:val="center"/>
            <w:hideMark/>
          </w:tcPr>
          <w:p w14:paraId="46F12AAB" w14:textId="08663386" w:rsidR="005803BC" w:rsidRPr="00005453" w:rsidRDefault="005803BC" w:rsidP="005803BC">
            <w:pPr>
              <w:jc w:val="right"/>
              <w:rPr>
                <w:b/>
                <w:color w:val="000000"/>
                <w:sz w:val="10"/>
                <w:szCs w:val="10"/>
              </w:rPr>
            </w:pPr>
            <w:r w:rsidRPr="00005453">
              <w:rPr>
                <w:b/>
                <w:bCs/>
                <w:color w:val="000000"/>
                <w:sz w:val="10"/>
                <w:szCs w:val="16"/>
              </w:rPr>
              <w:t>-</w:t>
            </w:r>
          </w:p>
        </w:tc>
        <w:tc>
          <w:tcPr>
            <w:tcW w:w="745" w:type="dxa"/>
            <w:tcBorders>
              <w:top w:val="nil"/>
              <w:left w:val="nil"/>
              <w:bottom w:val="nil"/>
              <w:right w:val="nil"/>
            </w:tcBorders>
            <w:shd w:val="clear" w:color="auto" w:fill="auto"/>
            <w:vAlign w:val="center"/>
            <w:hideMark/>
          </w:tcPr>
          <w:p w14:paraId="2CFEC2A1" w14:textId="6C8223D9" w:rsidR="005803BC" w:rsidRPr="00005453" w:rsidRDefault="005803BC" w:rsidP="005803BC">
            <w:pPr>
              <w:jc w:val="right"/>
              <w:rPr>
                <w:b/>
                <w:color w:val="000000"/>
                <w:sz w:val="10"/>
                <w:szCs w:val="10"/>
              </w:rPr>
            </w:pPr>
            <w:r w:rsidRPr="00005453">
              <w:rPr>
                <w:b/>
                <w:bCs/>
                <w:color w:val="000000"/>
                <w:sz w:val="10"/>
                <w:szCs w:val="16"/>
              </w:rPr>
              <w:t>-</w:t>
            </w:r>
          </w:p>
        </w:tc>
        <w:tc>
          <w:tcPr>
            <w:tcW w:w="715" w:type="dxa"/>
            <w:tcBorders>
              <w:top w:val="nil"/>
              <w:left w:val="nil"/>
              <w:bottom w:val="nil"/>
              <w:right w:val="nil"/>
            </w:tcBorders>
            <w:shd w:val="clear" w:color="auto" w:fill="auto"/>
            <w:vAlign w:val="center"/>
            <w:hideMark/>
          </w:tcPr>
          <w:p w14:paraId="447D7287" w14:textId="1C9F765F"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nil"/>
              <w:right w:val="nil"/>
            </w:tcBorders>
            <w:shd w:val="clear" w:color="auto" w:fill="auto"/>
            <w:vAlign w:val="center"/>
            <w:hideMark/>
          </w:tcPr>
          <w:p w14:paraId="1B9F8F4B" w14:textId="314E4E81" w:rsidR="005803BC" w:rsidRPr="00005453" w:rsidRDefault="005803BC" w:rsidP="005803BC">
            <w:pPr>
              <w:jc w:val="right"/>
              <w:rPr>
                <w:b/>
                <w:color w:val="000000"/>
                <w:sz w:val="10"/>
                <w:szCs w:val="10"/>
              </w:rPr>
            </w:pPr>
            <w:r w:rsidRPr="00005453">
              <w:rPr>
                <w:b/>
                <w:bCs/>
                <w:color w:val="000000"/>
                <w:sz w:val="10"/>
                <w:szCs w:val="16"/>
              </w:rPr>
              <w:t>-</w:t>
            </w:r>
          </w:p>
        </w:tc>
        <w:tc>
          <w:tcPr>
            <w:tcW w:w="640" w:type="dxa"/>
            <w:tcBorders>
              <w:top w:val="nil"/>
              <w:left w:val="nil"/>
              <w:bottom w:val="nil"/>
              <w:right w:val="nil"/>
            </w:tcBorders>
            <w:shd w:val="clear" w:color="auto" w:fill="auto"/>
            <w:vAlign w:val="center"/>
            <w:hideMark/>
          </w:tcPr>
          <w:p w14:paraId="5348F973" w14:textId="7464A312" w:rsidR="005803BC" w:rsidRPr="00005453" w:rsidRDefault="005803BC" w:rsidP="005803BC">
            <w:pPr>
              <w:jc w:val="right"/>
              <w:rPr>
                <w:b/>
                <w:color w:val="000000"/>
                <w:sz w:val="10"/>
                <w:szCs w:val="10"/>
              </w:rPr>
            </w:pPr>
            <w:r w:rsidRPr="00005453">
              <w:rPr>
                <w:b/>
                <w:bCs/>
                <w:color w:val="000000"/>
                <w:sz w:val="10"/>
                <w:szCs w:val="16"/>
              </w:rPr>
              <w:t>2,210,209</w:t>
            </w:r>
          </w:p>
        </w:tc>
        <w:tc>
          <w:tcPr>
            <w:tcW w:w="621" w:type="dxa"/>
            <w:tcBorders>
              <w:top w:val="nil"/>
              <w:left w:val="nil"/>
              <w:bottom w:val="nil"/>
              <w:right w:val="nil"/>
            </w:tcBorders>
            <w:shd w:val="clear" w:color="auto" w:fill="auto"/>
            <w:vAlign w:val="center"/>
            <w:hideMark/>
          </w:tcPr>
          <w:p w14:paraId="31969C60" w14:textId="0CB8BCFC" w:rsidR="005803BC" w:rsidRPr="00005453" w:rsidRDefault="005803BC" w:rsidP="005803BC">
            <w:pPr>
              <w:jc w:val="right"/>
              <w:rPr>
                <w:b/>
                <w:color w:val="000000"/>
                <w:sz w:val="10"/>
                <w:szCs w:val="10"/>
              </w:rPr>
            </w:pPr>
            <w:r w:rsidRPr="00005453">
              <w:rPr>
                <w:b/>
                <w:bCs/>
                <w:color w:val="000000"/>
                <w:sz w:val="10"/>
                <w:szCs w:val="16"/>
              </w:rPr>
              <w:t>1,025,749</w:t>
            </w:r>
          </w:p>
        </w:tc>
        <w:tc>
          <w:tcPr>
            <w:tcW w:w="921" w:type="dxa"/>
            <w:tcBorders>
              <w:top w:val="nil"/>
              <w:left w:val="nil"/>
              <w:bottom w:val="nil"/>
              <w:right w:val="nil"/>
            </w:tcBorders>
            <w:shd w:val="clear" w:color="auto" w:fill="auto"/>
            <w:vAlign w:val="center"/>
            <w:hideMark/>
          </w:tcPr>
          <w:p w14:paraId="79F9E26B" w14:textId="1CFBB954" w:rsidR="005803BC" w:rsidRPr="00005453" w:rsidRDefault="005803BC" w:rsidP="005803BC">
            <w:pPr>
              <w:jc w:val="right"/>
              <w:rPr>
                <w:b/>
                <w:color w:val="000000"/>
                <w:sz w:val="10"/>
                <w:szCs w:val="10"/>
              </w:rPr>
            </w:pPr>
            <w:r w:rsidRPr="00005453">
              <w:rPr>
                <w:b/>
                <w:bCs/>
                <w:color w:val="000000"/>
                <w:sz w:val="10"/>
                <w:szCs w:val="16"/>
              </w:rPr>
              <w:t>2,376,730</w:t>
            </w:r>
          </w:p>
        </w:tc>
        <w:tc>
          <w:tcPr>
            <w:tcW w:w="529" w:type="dxa"/>
            <w:tcBorders>
              <w:top w:val="nil"/>
              <w:left w:val="nil"/>
              <w:bottom w:val="nil"/>
              <w:right w:val="nil"/>
            </w:tcBorders>
            <w:shd w:val="clear" w:color="auto" w:fill="auto"/>
            <w:vAlign w:val="center"/>
            <w:hideMark/>
          </w:tcPr>
          <w:p w14:paraId="02701105" w14:textId="58685A4B" w:rsidR="005803BC" w:rsidRPr="00005453" w:rsidRDefault="005803BC" w:rsidP="005803BC">
            <w:pPr>
              <w:jc w:val="right"/>
              <w:rPr>
                <w:b/>
                <w:color w:val="000000"/>
                <w:sz w:val="10"/>
                <w:szCs w:val="10"/>
              </w:rPr>
            </w:pPr>
            <w:r w:rsidRPr="00005453">
              <w:rPr>
                <w:b/>
                <w:bCs/>
                <w:color w:val="000000"/>
                <w:sz w:val="10"/>
                <w:szCs w:val="16"/>
              </w:rPr>
              <w:t>9,450</w:t>
            </w:r>
          </w:p>
        </w:tc>
        <w:tc>
          <w:tcPr>
            <w:tcW w:w="621" w:type="dxa"/>
            <w:tcBorders>
              <w:top w:val="nil"/>
              <w:left w:val="nil"/>
              <w:bottom w:val="nil"/>
              <w:right w:val="nil"/>
            </w:tcBorders>
            <w:shd w:val="clear" w:color="auto" w:fill="auto"/>
            <w:vAlign w:val="center"/>
            <w:hideMark/>
          </w:tcPr>
          <w:p w14:paraId="2049A0E5" w14:textId="20FFCC00" w:rsidR="005803BC" w:rsidRPr="00005453" w:rsidRDefault="005803BC" w:rsidP="005803BC">
            <w:pPr>
              <w:jc w:val="right"/>
              <w:rPr>
                <w:b/>
                <w:color w:val="000000"/>
                <w:sz w:val="10"/>
                <w:szCs w:val="10"/>
              </w:rPr>
            </w:pPr>
            <w:r w:rsidRPr="00005453">
              <w:rPr>
                <w:b/>
                <w:bCs/>
                <w:color w:val="000000"/>
                <w:sz w:val="10"/>
                <w:szCs w:val="16"/>
              </w:rPr>
              <w:t>1,334</w:t>
            </w:r>
          </w:p>
        </w:tc>
        <w:tc>
          <w:tcPr>
            <w:tcW w:w="552" w:type="dxa"/>
            <w:tcBorders>
              <w:top w:val="nil"/>
              <w:left w:val="nil"/>
              <w:bottom w:val="nil"/>
              <w:right w:val="nil"/>
            </w:tcBorders>
            <w:shd w:val="clear" w:color="auto" w:fill="auto"/>
            <w:vAlign w:val="center"/>
            <w:hideMark/>
          </w:tcPr>
          <w:p w14:paraId="43AE2DE3" w14:textId="4C89D5E6" w:rsidR="005803BC" w:rsidRPr="00005453" w:rsidRDefault="005803BC" w:rsidP="005803BC">
            <w:pPr>
              <w:jc w:val="right"/>
              <w:rPr>
                <w:b/>
                <w:color w:val="000000"/>
                <w:sz w:val="10"/>
                <w:szCs w:val="10"/>
              </w:rPr>
            </w:pPr>
            <w:r w:rsidRPr="00005453">
              <w:rPr>
                <w:b/>
                <w:bCs/>
                <w:color w:val="000000"/>
                <w:sz w:val="10"/>
                <w:szCs w:val="16"/>
              </w:rPr>
              <w:t>-</w:t>
            </w:r>
          </w:p>
        </w:tc>
        <w:tc>
          <w:tcPr>
            <w:tcW w:w="779" w:type="dxa"/>
            <w:tcBorders>
              <w:top w:val="nil"/>
              <w:left w:val="nil"/>
              <w:bottom w:val="nil"/>
              <w:right w:val="nil"/>
            </w:tcBorders>
            <w:shd w:val="clear" w:color="auto" w:fill="auto"/>
            <w:vAlign w:val="center"/>
            <w:hideMark/>
          </w:tcPr>
          <w:p w14:paraId="0C232CE4" w14:textId="48190F5C"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nil"/>
              <w:right w:val="nil"/>
            </w:tcBorders>
            <w:shd w:val="clear" w:color="auto" w:fill="auto"/>
            <w:vAlign w:val="center"/>
            <w:hideMark/>
          </w:tcPr>
          <w:p w14:paraId="3C7DEEFC" w14:textId="37BDF718" w:rsidR="005803BC" w:rsidRPr="00005453" w:rsidRDefault="005803BC" w:rsidP="005803BC">
            <w:pPr>
              <w:jc w:val="right"/>
              <w:rPr>
                <w:b/>
                <w:color w:val="000000"/>
                <w:sz w:val="10"/>
                <w:szCs w:val="10"/>
              </w:rPr>
            </w:pPr>
            <w:r w:rsidRPr="00005453">
              <w:rPr>
                <w:b/>
                <w:bCs/>
                <w:color w:val="000000"/>
                <w:sz w:val="10"/>
                <w:szCs w:val="16"/>
              </w:rPr>
              <w:t>-</w:t>
            </w:r>
          </w:p>
        </w:tc>
        <w:tc>
          <w:tcPr>
            <w:tcW w:w="680" w:type="dxa"/>
            <w:tcBorders>
              <w:top w:val="nil"/>
              <w:left w:val="nil"/>
              <w:bottom w:val="nil"/>
              <w:right w:val="nil"/>
            </w:tcBorders>
            <w:shd w:val="clear" w:color="auto" w:fill="auto"/>
            <w:vAlign w:val="center"/>
            <w:hideMark/>
          </w:tcPr>
          <w:p w14:paraId="46461050" w14:textId="2D7299A8" w:rsidR="005803BC" w:rsidRPr="00005453" w:rsidRDefault="005803BC" w:rsidP="005803BC">
            <w:pPr>
              <w:jc w:val="right"/>
              <w:rPr>
                <w:b/>
                <w:color w:val="000000"/>
                <w:sz w:val="10"/>
                <w:szCs w:val="10"/>
              </w:rPr>
            </w:pPr>
            <w:r w:rsidRPr="00005453">
              <w:rPr>
                <w:b/>
                <w:bCs/>
                <w:color w:val="000000"/>
                <w:sz w:val="10"/>
                <w:szCs w:val="16"/>
              </w:rPr>
              <w:t>-</w:t>
            </w:r>
          </w:p>
        </w:tc>
        <w:tc>
          <w:tcPr>
            <w:tcW w:w="616" w:type="dxa"/>
            <w:tcBorders>
              <w:top w:val="nil"/>
              <w:left w:val="nil"/>
              <w:bottom w:val="nil"/>
              <w:right w:val="nil"/>
            </w:tcBorders>
            <w:shd w:val="clear" w:color="auto" w:fill="auto"/>
            <w:vAlign w:val="center"/>
            <w:hideMark/>
          </w:tcPr>
          <w:p w14:paraId="08ECB3F1" w14:textId="0CF155C6" w:rsidR="005803BC" w:rsidRPr="00005453" w:rsidRDefault="005803BC" w:rsidP="005803BC">
            <w:pPr>
              <w:jc w:val="right"/>
              <w:rPr>
                <w:b/>
                <w:color w:val="000000"/>
                <w:sz w:val="10"/>
                <w:szCs w:val="10"/>
              </w:rPr>
            </w:pPr>
            <w:r w:rsidRPr="00005453">
              <w:rPr>
                <w:b/>
                <w:bCs/>
                <w:color w:val="000000"/>
                <w:sz w:val="10"/>
                <w:szCs w:val="16"/>
              </w:rPr>
              <w:t>-</w:t>
            </w:r>
          </w:p>
        </w:tc>
        <w:tc>
          <w:tcPr>
            <w:tcW w:w="621" w:type="dxa"/>
            <w:tcBorders>
              <w:top w:val="nil"/>
              <w:left w:val="nil"/>
              <w:bottom w:val="nil"/>
              <w:right w:val="nil"/>
            </w:tcBorders>
            <w:shd w:val="clear" w:color="auto" w:fill="auto"/>
            <w:vAlign w:val="center"/>
            <w:hideMark/>
          </w:tcPr>
          <w:p w14:paraId="7BBFE715" w14:textId="05F40F25" w:rsidR="005803BC" w:rsidRPr="00005453" w:rsidRDefault="005803BC" w:rsidP="005803BC">
            <w:pPr>
              <w:jc w:val="right"/>
              <w:rPr>
                <w:b/>
                <w:color w:val="000000"/>
                <w:sz w:val="10"/>
                <w:szCs w:val="10"/>
              </w:rPr>
            </w:pPr>
            <w:r w:rsidRPr="00005453">
              <w:rPr>
                <w:b/>
                <w:bCs/>
                <w:color w:val="000000"/>
                <w:sz w:val="10"/>
                <w:szCs w:val="16"/>
              </w:rPr>
              <w:t>3,215</w:t>
            </w:r>
          </w:p>
        </w:tc>
        <w:tc>
          <w:tcPr>
            <w:tcW w:w="674" w:type="dxa"/>
            <w:tcBorders>
              <w:top w:val="nil"/>
              <w:left w:val="nil"/>
              <w:bottom w:val="nil"/>
              <w:right w:val="nil"/>
            </w:tcBorders>
            <w:shd w:val="clear" w:color="auto" w:fill="auto"/>
            <w:vAlign w:val="center"/>
            <w:hideMark/>
          </w:tcPr>
          <w:p w14:paraId="0C111C39" w14:textId="3186A3C1" w:rsidR="005803BC" w:rsidRPr="00005453" w:rsidRDefault="005803BC" w:rsidP="005803BC">
            <w:pPr>
              <w:jc w:val="right"/>
              <w:rPr>
                <w:b/>
                <w:color w:val="000000"/>
                <w:sz w:val="10"/>
                <w:szCs w:val="10"/>
              </w:rPr>
            </w:pPr>
            <w:r w:rsidRPr="00005453">
              <w:rPr>
                <w:b/>
                <w:bCs/>
                <w:color w:val="000000"/>
                <w:sz w:val="10"/>
                <w:szCs w:val="16"/>
              </w:rPr>
              <w:t>2,998,302</w:t>
            </w:r>
          </w:p>
        </w:tc>
        <w:tc>
          <w:tcPr>
            <w:tcW w:w="674" w:type="dxa"/>
            <w:tcBorders>
              <w:top w:val="nil"/>
              <w:left w:val="nil"/>
              <w:bottom w:val="nil"/>
              <w:right w:val="nil"/>
            </w:tcBorders>
            <w:shd w:val="clear" w:color="auto" w:fill="auto"/>
            <w:vAlign w:val="center"/>
            <w:hideMark/>
          </w:tcPr>
          <w:p w14:paraId="07747979" w14:textId="0F1117B3" w:rsidR="005803BC" w:rsidRPr="00005453" w:rsidRDefault="005803BC" w:rsidP="005803BC">
            <w:pPr>
              <w:jc w:val="right"/>
              <w:rPr>
                <w:b/>
                <w:color w:val="000000"/>
                <w:sz w:val="10"/>
                <w:szCs w:val="10"/>
              </w:rPr>
            </w:pPr>
            <w:r w:rsidRPr="00005453">
              <w:rPr>
                <w:b/>
                <w:bCs/>
                <w:color w:val="000000"/>
                <w:sz w:val="10"/>
                <w:szCs w:val="16"/>
              </w:rPr>
              <w:t>2,628,385</w:t>
            </w:r>
          </w:p>
        </w:tc>
        <w:tc>
          <w:tcPr>
            <w:tcW w:w="889" w:type="dxa"/>
            <w:tcBorders>
              <w:top w:val="nil"/>
              <w:left w:val="nil"/>
              <w:bottom w:val="nil"/>
              <w:right w:val="nil"/>
            </w:tcBorders>
            <w:shd w:val="clear" w:color="auto" w:fill="auto"/>
            <w:vAlign w:val="center"/>
            <w:hideMark/>
          </w:tcPr>
          <w:p w14:paraId="1A64C45E" w14:textId="73DC8B7A" w:rsidR="005803BC" w:rsidRPr="00005453" w:rsidRDefault="005803BC" w:rsidP="005803BC">
            <w:pPr>
              <w:jc w:val="right"/>
              <w:rPr>
                <w:b/>
                <w:color w:val="000000"/>
                <w:sz w:val="10"/>
                <w:szCs w:val="10"/>
              </w:rPr>
            </w:pPr>
            <w:r w:rsidRPr="00005453">
              <w:rPr>
                <w:b/>
                <w:bCs/>
                <w:color w:val="000000"/>
                <w:sz w:val="10"/>
                <w:szCs w:val="16"/>
              </w:rPr>
              <w:t>5,626,687</w:t>
            </w:r>
          </w:p>
        </w:tc>
      </w:tr>
      <w:tr w:rsidR="005803BC" w:rsidRPr="00005453" w14:paraId="210D4E09" w14:textId="77777777" w:rsidTr="00667FB0">
        <w:trPr>
          <w:trHeight w:val="215"/>
        </w:trPr>
        <w:tc>
          <w:tcPr>
            <w:tcW w:w="1013" w:type="dxa"/>
            <w:tcBorders>
              <w:top w:val="nil"/>
              <w:left w:val="nil"/>
              <w:bottom w:val="nil"/>
              <w:right w:val="nil"/>
            </w:tcBorders>
            <w:shd w:val="clear" w:color="auto" w:fill="auto"/>
            <w:noWrap/>
            <w:vAlign w:val="center"/>
            <w:hideMark/>
          </w:tcPr>
          <w:p w14:paraId="47F4EFE2" w14:textId="77777777" w:rsidR="005803BC" w:rsidRPr="00005453" w:rsidRDefault="005803BC" w:rsidP="005803BC">
            <w:pPr>
              <w:rPr>
                <w:color w:val="000000"/>
                <w:sz w:val="10"/>
                <w:szCs w:val="10"/>
                <w:lang w:eastAsia="tr-TR"/>
              </w:rPr>
            </w:pPr>
            <w:r w:rsidRPr="00005453">
              <w:rPr>
                <w:color w:val="000000"/>
                <w:sz w:val="10"/>
                <w:szCs w:val="10"/>
                <w:lang w:eastAsia="tr-TR"/>
              </w:rPr>
              <w:t xml:space="preserve">Çiftçilik ve Hayvancılık </w:t>
            </w:r>
          </w:p>
        </w:tc>
        <w:tc>
          <w:tcPr>
            <w:tcW w:w="756" w:type="dxa"/>
            <w:tcBorders>
              <w:top w:val="nil"/>
              <w:left w:val="nil"/>
              <w:bottom w:val="nil"/>
              <w:right w:val="nil"/>
            </w:tcBorders>
            <w:shd w:val="clear" w:color="auto" w:fill="auto"/>
            <w:vAlign w:val="center"/>
            <w:hideMark/>
          </w:tcPr>
          <w:p w14:paraId="1AA38759" w14:textId="1A01B0E9"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0E8C176F" w14:textId="0B595BCB"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2F6BB659" w14:textId="27A84742"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523F3093" w14:textId="29979C27"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5D3752BD" w14:textId="2FFDD579"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2E6E069C" w14:textId="097346E1"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4E00625E" w14:textId="1D93F535" w:rsidR="005803BC" w:rsidRPr="00005453" w:rsidRDefault="005803BC" w:rsidP="005803BC">
            <w:pPr>
              <w:jc w:val="right"/>
              <w:rPr>
                <w:color w:val="000000"/>
                <w:sz w:val="10"/>
                <w:szCs w:val="10"/>
              </w:rPr>
            </w:pPr>
            <w:r w:rsidRPr="00005453">
              <w:rPr>
                <w:color w:val="000000"/>
                <w:sz w:val="10"/>
                <w:szCs w:val="16"/>
              </w:rPr>
              <w:t>1,655,795</w:t>
            </w:r>
          </w:p>
        </w:tc>
        <w:tc>
          <w:tcPr>
            <w:tcW w:w="621" w:type="dxa"/>
            <w:tcBorders>
              <w:top w:val="nil"/>
              <w:left w:val="nil"/>
              <w:bottom w:val="nil"/>
              <w:right w:val="nil"/>
            </w:tcBorders>
            <w:shd w:val="clear" w:color="auto" w:fill="auto"/>
            <w:vAlign w:val="center"/>
            <w:hideMark/>
          </w:tcPr>
          <w:p w14:paraId="7FCA85DD" w14:textId="464B57B8" w:rsidR="005803BC" w:rsidRPr="00005453" w:rsidRDefault="005803BC" w:rsidP="005803BC">
            <w:pPr>
              <w:jc w:val="right"/>
              <w:rPr>
                <w:color w:val="000000"/>
                <w:sz w:val="10"/>
                <w:szCs w:val="10"/>
              </w:rPr>
            </w:pPr>
            <w:r w:rsidRPr="00005453">
              <w:rPr>
                <w:color w:val="000000"/>
                <w:sz w:val="10"/>
                <w:szCs w:val="16"/>
              </w:rPr>
              <w:t>670,832</w:t>
            </w:r>
          </w:p>
        </w:tc>
        <w:tc>
          <w:tcPr>
            <w:tcW w:w="921" w:type="dxa"/>
            <w:tcBorders>
              <w:top w:val="nil"/>
              <w:left w:val="nil"/>
              <w:bottom w:val="nil"/>
              <w:right w:val="nil"/>
            </w:tcBorders>
            <w:shd w:val="clear" w:color="auto" w:fill="auto"/>
            <w:vAlign w:val="center"/>
            <w:hideMark/>
          </w:tcPr>
          <w:p w14:paraId="177E67B3" w14:textId="3473FCE6" w:rsidR="005803BC" w:rsidRPr="00005453" w:rsidRDefault="005803BC" w:rsidP="005803BC">
            <w:pPr>
              <w:jc w:val="right"/>
              <w:rPr>
                <w:color w:val="000000"/>
                <w:sz w:val="10"/>
                <w:szCs w:val="10"/>
              </w:rPr>
            </w:pPr>
            <w:r w:rsidRPr="00005453">
              <w:rPr>
                <w:color w:val="000000"/>
                <w:sz w:val="10"/>
                <w:szCs w:val="16"/>
              </w:rPr>
              <w:t>2,158,964</w:t>
            </w:r>
          </w:p>
        </w:tc>
        <w:tc>
          <w:tcPr>
            <w:tcW w:w="529" w:type="dxa"/>
            <w:tcBorders>
              <w:top w:val="nil"/>
              <w:left w:val="nil"/>
              <w:bottom w:val="nil"/>
              <w:right w:val="nil"/>
            </w:tcBorders>
            <w:shd w:val="clear" w:color="auto" w:fill="auto"/>
            <w:vAlign w:val="center"/>
            <w:hideMark/>
          </w:tcPr>
          <w:p w14:paraId="675CED9B" w14:textId="550D81C2" w:rsidR="005803BC" w:rsidRPr="00005453" w:rsidRDefault="005803BC" w:rsidP="005803BC">
            <w:pPr>
              <w:jc w:val="right"/>
              <w:rPr>
                <w:color w:val="000000"/>
                <w:sz w:val="10"/>
                <w:szCs w:val="10"/>
              </w:rPr>
            </w:pPr>
            <w:r w:rsidRPr="00005453">
              <w:rPr>
                <w:color w:val="000000"/>
                <w:sz w:val="10"/>
                <w:szCs w:val="16"/>
              </w:rPr>
              <w:t>2,534</w:t>
            </w:r>
          </w:p>
        </w:tc>
        <w:tc>
          <w:tcPr>
            <w:tcW w:w="621" w:type="dxa"/>
            <w:tcBorders>
              <w:top w:val="nil"/>
              <w:left w:val="nil"/>
              <w:bottom w:val="nil"/>
              <w:right w:val="nil"/>
            </w:tcBorders>
            <w:shd w:val="clear" w:color="auto" w:fill="auto"/>
            <w:vAlign w:val="center"/>
            <w:hideMark/>
          </w:tcPr>
          <w:p w14:paraId="73143A42" w14:textId="34E1CFAE" w:rsidR="005803BC" w:rsidRPr="00005453" w:rsidRDefault="005803BC" w:rsidP="005803BC">
            <w:pPr>
              <w:jc w:val="right"/>
              <w:rPr>
                <w:color w:val="000000"/>
                <w:sz w:val="10"/>
                <w:szCs w:val="10"/>
              </w:rPr>
            </w:pPr>
            <w:r w:rsidRPr="00005453">
              <w:rPr>
                <w:color w:val="000000"/>
                <w:sz w:val="10"/>
                <w:szCs w:val="16"/>
              </w:rPr>
              <w:t>-</w:t>
            </w:r>
          </w:p>
        </w:tc>
        <w:tc>
          <w:tcPr>
            <w:tcW w:w="552" w:type="dxa"/>
            <w:tcBorders>
              <w:top w:val="nil"/>
              <w:left w:val="nil"/>
              <w:bottom w:val="nil"/>
              <w:right w:val="nil"/>
            </w:tcBorders>
            <w:shd w:val="clear" w:color="auto" w:fill="auto"/>
            <w:vAlign w:val="center"/>
            <w:hideMark/>
          </w:tcPr>
          <w:p w14:paraId="6A0BE5D8" w14:textId="6A154BB1"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657D70A6" w14:textId="4A5D86BD"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185780B3" w14:textId="001B851D"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6FF1182F" w14:textId="1A9F3015"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0F39B604" w14:textId="08B75400"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34088382" w14:textId="2E03D7D7" w:rsidR="005803BC" w:rsidRPr="00005453" w:rsidRDefault="005803BC" w:rsidP="005803BC">
            <w:pPr>
              <w:jc w:val="right"/>
              <w:rPr>
                <w:color w:val="000000"/>
                <w:sz w:val="10"/>
                <w:szCs w:val="10"/>
              </w:rPr>
            </w:pPr>
            <w:r w:rsidRPr="00005453">
              <w:rPr>
                <w:color w:val="000000"/>
                <w:sz w:val="10"/>
                <w:szCs w:val="16"/>
              </w:rPr>
              <w:t>2,804</w:t>
            </w:r>
          </w:p>
        </w:tc>
        <w:tc>
          <w:tcPr>
            <w:tcW w:w="674" w:type="dxa"/>
            <w:tcBorders>
              <w:top w:val="nil"/>
              <w:left w:val="nil"/>
              <w:bottom w:val="nil"/>
              <w:right w:val="nil"/>
            </w:tcBorders>
            <w:shd w:val="clear" w:color="auto" w:fill="auto"/>
            <w:vAlign w:val="center"/>
            <w:hideMark/>
          </w:tcPr>
          <w:p w14:paraId="45A9D3B7" w14:textId="071ABC87" w:rsidR="005803BC" w:rsidRPr="00005453" w:rsidRDefault="005803BC" w:rsidP="005803BC">
            <w:pPr>
              <w:jc w:val="right"/>
              <w:rPr>
                <w:color w:val="000000"/>
                <w:sz w:val="10"/>
                <w:szCs w:val="10"/>
              </w:rPr>
            </w:pPr>
            <w:r w:rsidRPr="00005453">
              <w:rPr>
                <w:color w:val="000000"/>
                <w:sz w:val="10"/>
                <w:szCs w:val="16"/>
              </w:rPr>
              <w:t>2,441,463</w:t>
            </w:r>
          </w:p>
        </w:tc>
        <w:tc>
          <w:tcPr>
            <w:tcW w:w="674" w:type="dxa"/>
            <w:tcBorders>
              <w:top w:val="nil"/>
              <w:left w:val="nil"/>
              <w:bottom w:val="nil"/>
              <w:right w:val="nil"/>
            </w:tcBorders>
            <w:shd w:val="clear" w:color="auto" w:fill="auto"/>
            <w:vAlign w:val="center"/>
            <w:hideMark/>
          </w:tcPr>
          <w:p w14:paraId="1F2BE3E1" w14:textId="6C352902" w:rsidR="005803BC" w:rsidRPr="00005453" w:rsidRDefault="005803BC" w:rsidP="005803BC">
            <w:pPr>
              <w:jc w:val="right"/>
              <w:rPr>
                <w:color w:val="000000"/>
                <w:sz w:val="10"/>
                <w:szCs w:val="10"/>
              </w:rPr>
            </w:pPr>
            <w:r w:rsidRPr="00005453">
              <w:rPr>
                <w:color w:val="000000"/>
                <w:sz w:val="10"/>
                <w:szCs w:val="16"/>
              </w:rPr>
              <w:t>2,049,466</w:t>
            </w:r>
          </w:p>
        </w:tc>
        <w:tc>
          <w:tcPr>
            <w:tcW w:w="889" w:type="dxa"/>
            <w:tcBorders>
              <w:top w:val="nil"/>
              <w:left w:val="nil"/>
              <w:bottom w:val="nil"/>
              <w:right w:val="nil"/>
            </w:tcBorders>
            <w:shd w:val="clear" w:color="auto" w:fill="auto"/>
            <w:vAlign w:val="center"/>
            <w:hideMark/>
          </w:tcPr>
          <w:p w14:paraId="71D204C1" w14:textId="2F30842F" w:rsidR="005803BC" w:rsidRPr="00005453" w:rsidRDefault="005803BC" w:rsidP="005803BC">
            <w:pPr>
              <w:jc w:val="right"/>
              <w:rPr>
                <w:color w:val="000000"/>
                <w:sz w:val="10"/>
                <w:szCs w:val="10"/>
              </w:rPr>
            </w:pPr>
            <w:r w:rsidRPr="00005453">
              <w:rPr>
                <w:bCs/>
                <w:color w:val="000000"/>
                <w:sz w:val="10"/>
                <w:szCs w:val="16"/>
              </w:rPr>
              <w:t>4,490,929</w:t>
            </w:r>
          </w:p>
        </w:tc>
      </w:tr>
      <w:tr w:rsidR="005803BC" w:rsidRPr="00005453" w14:paraId="30754202" w14:textId="77777777" w:rsidTr="00667FB0">
        <w:trPr>
          <w:trHeight w:val="215"/>
        </w:trPr>
        <w:tc>
          <w:tcPr>
            <w:tcW w:w="1013" w:type="dxa"/>
            <w:tcBorders>
              <w:top w:val="nil"/>
              <w:left w:val="nil"/>
              <w:bottom w:val="nil"/>
              <w:right w:val="nil"/>
            </w:tcBorders>
            <w:shd w:val="clear" w:color="auto" w:fill="auto"/>
            <w:noWrap/>
            <w:vAlign w:val="center"/>
            <w:hideMark/>
          </w:tcPr>
          <w:p w14:paraId="167774BB" w14:textId="77777777" w:rsidR="005803BC" w:rsidRPr="00005453" w:rsidRDefault="005803BC" w:rsidP="005803BC">
            <w:pPr>
              <w:rPr>
                <w:color w:val="000000"/>
                <w:sz w:val="10"/>
                <w:szCs w:val="10"/>
                <w:lang w:eastAsia="tr-TR"/>
              </w:rPr>
            </w:pPr>
            <w:r w:rsidRPr="00005453">
              <w:rPr>
                <w:color w:val="000000"/>
                <w:sz w:val="10"/>
                <w:szCs w:val="10"/>
                <w:lang w:eastAsia="tr-TR"/>
              </w:rPr>
              <w:t>Ormancılık</w:t>
            </w:r>
          </w:p>
        </w:tc>
        <w:tc>
          <w:tcPr>
            <w:tcW w:w="756" w:type="dxa"/>
            <w:tcBorders>
              <w:top w:val="nil"/>
              <w:left w:val="nil"/>
              <w:bottom w:val="nil"/>
              <w:right w:val="nil"/>
            </w:tcBorders>
            <w:shd w:val="clear" w:color="auto" w:fill="auto"/>
            <w:vAlign w:val="center"/>
            <w:hideMark/>
          </w:tcPr>
          <w:p w14:paraId="7FC5EC04" w14:textId="3AF0B2AE"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66FC5D99" w14:textId="04EC803F"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7A9F9211" w14:textId="3540C35A"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56B38E0F" w14:textId="78FC0396"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415DC744" w14:textId="05671DF7"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45B2522C" w14:textId="5EAD02ED"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65072CFC" w14:textId="37CFE4A3" w:rsidR="005803BC" w:rsidRPr="00005453" w:rsidRDefault="005803BC" w:rsidP="005803BC">
            <w:pPr>
              <w:jc w:val="right"/>
              <w:rPr>
                <w:color w:val="000000"/>
                <w:sz w:val="10"/>
                <w:szCs w:val="10"/>
              </w:rPr>
            </w:pPr>
            <w:r w:rsidRPr="00005453">
              <w:rPr>
                <w:color w:val="000000"/>
                <w:sz w:val="10"/>
                <w:szCs w:val="16"/>
              </w:rPr>
              <w:t>475,396</w:t>
            </w:r>
          </w:p>
        </w:tc>
        <w:tc>
          <w:tcPr>
            <w:tcW w:w="621" w:type="dxa"/>
            <w:tcBorders>
              <w:top w:val="nil"/>
              <w:left w:val="nil"/>
              <w:bottom w:val="nil"/>
              <w:right w:val="nil"/>
            </w:tcBorders>
            <w:shd w:val="clear" w:color="auto" w:fill="auto"/>
            <w:vAlign w:val="center"/>
            <w:hideMark/>
          </w:tcPr>
          <w:p w14:paraId="5F55B8EE" w14:textId="67955212" w:rsidR="005803BC" w:rsidRPr="00005453" w:rsidRDefault="005803BC" w:rsidP="005803BC">
            <w:pPr>
              <w:jc w:val="right"/>
              <w:rPr>
                <w:color w:val="000000"/>
                <w:sz w:val="10"/>
                <w:szCs w:val="10"/>
              </w:rPr>
            </w:pPr>
            <w:r w:rsidRPr="00005453">
              <w:rPr>
                <w:color w:val="000000"/>
                <w:sz w:val="10"/>
                <w:szCs w:val="16"/>
              </w:rPr>
              <w:t>341,428</w:t>
            </w:r>
          </w:p>
        </w:tc>
        <w:tc>
          <w:tcPr>
            <w:tcW w:w="921" w:type="dxa"/>
            <w:tcBorders>
              <w:top w:val="nil"/>
              <w:left w:val="nil"/>
              <w:bottom w:val="nil"/>
              <w:right w:val="nil"/>
            </w:tcBorders>
            <w:shd w:val="clear" w:color="auto" w:fill="auto"/>
            <w:vAlign w:val="center"/>
            <w:hideMark/>
          </w:tcPr>
          <w:p w14:paraId="76A46630" w14:textId="7F5ECCC0" w:rsidR="005803BC" w:rsidRPr="00005453" w:rsidRDefault="005803BC" w:rsidP="005803BC">
            <w:pPr>
              <w:jc w:val="right"/>
              <w:rPr>
                <w:color w:val="000000"/>
                <w:sz w:val="10"/>
                <w:szCs w:val="10"/>
              </w:rPr>
            </w:pPr>
            <w:r w:rsidRPr="00005453">
              <w:rPr>
                <w:color w:val="000000"/>
                <w:sz w:val="10"/>
                <w:szCs w:val="16"/>
              </w:rPr>
              <w:t>205,511</w:t>
            </w:r>
          </w:p>
        </w:tc>
        <w:tc>
          <w:tcPr>
            <w:tcW w:w="529" w:type="dxa"/>
            <w:tcBorders>
              <w:top w:val="nil"/>
              <w:left w:val="nil"/>
              <w:bottom w:val="nil"/>
              <w:right w:val="nil"/>
            </w:tcBorders>
            <w:shd w:val="clear" w:color="auto" w:fill="auto"/>
            <w:vAlign w:val="center"/>
            <w:hideMark/>
          </w:tcPr>
          <w:p w14:paraId="1BF13693" w14:textId="5E0526A1" w:rsidR="005803BC" w:rsidRPr="00005453" w:rsidRDefault="005803BC" w:rsidP="005803BC">
            <w:pPr>
              <w:jc w:val="right"/>
              <w:rPr>
                <w:color w:val="000000"/>
                <w:sz w:val="10"/>
                <w:szCs w:val="10"/>
              </w:rPr>
            </w:pPr>
            <w:r w:rsidRPr="00005453">
              <w:rPr>
                <w:color w:val="000000"/>
                <w:sz w:val="10"/>
                <w:szCs w:val="16"/>
              </w:rPr>
              <w:t>6,909</w:t>
            </w:r>
          </w:p>
        </w:tc>
        <w:tc>
          <w:tcPr>
            <w:tcW w:w="621" w:type="dxa"/>
            <w:tcBorders>
              <w:top w:val="nil"/>
              <w:left w:val="nil"/>
              <w:bottom w:val="nil"/>
              <w:right w:val="nil"/>
            </w:tcBorders>
            <w:shd w:val="clear" w:color="auto" w:fill="auto"/>
            <w:vAlign w:val="center"/>
            <w:hideMark/>
          </w:tcPr>
          <w:p w14:paraId="0FC7780D" w14:textId="6ED103C5" w:rsidR="005803BC" w:rsidRPr="00005453" w:rsidRDefault="005803BC" w:rsidP="005803BC">
            <w:pPr>
              <w:jc w:val="right"/>
              <w:rPr>
                <w:color w:val="000000"/>
                <w:sz w:val="10"/>
                <w:szCs w:val="10"/>
              </w:rPr>
            </w:pPr>
            <w:r w:rsidRPr="00005453">
              <w:rPr>
                <w:color w:val="000000"/>
                <w:sz w:val="10"/>
                <w:szCs w:val="16"/>
              </w:rPr>
              <w:t>1,334</w:t>
            </w:r>
          </w:p>
        </w:tc>
        <w:tc>
          <w:tcPr>
            <w:tcW w:w="552" w:type="dxa"/>
            <w:tcBorders>
              <w:top w:val="nil"/>
              <w:left w:val="nil"/>
              <w:bottom w:val="nil"/>
              <w:right w:val="nil"/>
            </w:tcBorders>
            <w:shd w:val="clear" w:color="auto" w:fill="auto"/>
            <w:vAlign w:val="center"/>
            <w:hideMark/>
          </w:tcPr>
          <w:p w14:paraId="72554B9C" w14:textId="55CFD8C8"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4D42850D" w14:textId="4F859BAE"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0BF7146D" w14:textId="77073848"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20D73EC4" w14:textId="091A737D"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7C8F9C46" w14:textId="1AF2079F"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2C6B16AD" w14:textId="7427395D" w:rsidR="005803BC" w:rsidRPr="00005453" w:rsidRDefault="005803BC" w:rsidP="005803BC">
            <w:pPr>
              <w:jc w:val="right"/>
              <w:rPr>
                <w:color w:val="000000"/>
                <w:sz w:val="10"/>
                <w:szCs w:val="10"/>
              </w:rPr>
            </w:pPr>
            <w:r w:rsidRPr="00005453">
              <w:rPr>
                <w:color w:val="000000"/>
                <w:sz w:val="10"/>
                <w:szCs w:val="16"/>
              </w:rPr>
              <w:t>410</w:t>
            </w:r>
          </w:p>
        </w:tc>
        <w:tc>
          <w:tcPr>
            <w:tcW w:w="674" w:type="dxa"/>
            <w:tcBorders>
              <w:top w:val="nil"/>
              <w:left w:val="nil"/>
              <w:bottom w:val="nil"/>
              <w:right w:val="nil"/>
            </w:tcBorders>
            <w:shd w:val="clear" w:color="auto" w:fill="auto"/>
            <w:vAlign w:val="center"/>
            <w:hideMark/>
          </w:tcPr>
          <w:p w14:paraId="2351BE65" w14:textId="2022E902" w:rsidR="005803BC" w:rsidRPr="00005453" w:rsidRDefault="005803BC" w:rsidP="005803BC">
            <w:pPr>
              <w:jc w:val="right"/>
              <w:rPr>
                <w:color w:val="000000"/>
                <w:sz w:val="10"/>
                <w:szCs w:val="10"/>
              </w:rPr>
            </w:pPr>
            <w:r w:rsidRPr="00005453">
              <w:rPr>
                <w:color w:val="000000"/>
                <w:sz w:val="10"/>
                <w:szCs w:val="16"/>
              </w:rPr>
              <w:t>532,011</w:t>
            </w:r>
          </w:p>
        </w:tc>
        <w:tc>
          <w:tcPr>
            <w:tcW w:w="674" w:type="dxa"/>
            <w:tcBorders>
              <w:top w:val="nil"/>
              <w:left w:val="nil"/>
              <w:bottom w:val="nil"/>
              <w:right w:val="nil"/>
            </w:tcBorders>
            <w:shd w:val="clear" w:color="auto" w:fill="auto"/>
            <w:vAlign w:val="center"/>
            <w:hideMark/>
          </w:tcPr>
          <w:p w14:paraId="1201F07A" w14:textId="36861EB1" w:rsidR="005803BC" w:rsidRPr="00005453" w:rsidRDefault="005803BC" w:rsidP="005803BC">
            <w:pPr>
              <w:jc w:val="right"/>
              <w:rPr>
                <w:color w:val="000000"/>
                <w:sz w:val="10"/>
                <w:szCs w:val="10"/>
              </w:rPr>
            </w:pPr>
            <w:r w:rsidRPr="00005453">
              <w:rPr>
                <w:color w:val="000000"/>
                <w:sz w:val="10"/>
                <w:szCs w:val="16"/>
              </w:rPr>
              <w:t>498,977</w:t>
            </w:r>
          </w:p>
        </w:tc>
        <w:tc>
          <w:tcPr>
            <w:tcW w:w="889" w:type="dxa"/>
            <w:tcBorders>
              <w:top w:val="nil"/>
              <w:left w:val="nil"/>
              <w:bottom w:val="nil"/>
              <w:right w:val="nil"/>
            </w:tcBorders>
            <w:shd w:val="clear" w:color="auto" w:fill="auto"/>
            <w:vAlign w:val="center"/>
            <w:hideMark/>
          </w:tcPr>
          <w:p w14:paraId="6F732C3E" w14:textId="03FCFCCF" w:rsidR="005803BC" w:rsidRPr="00005453" w:rsidRDefault="005803BC" w:rsidP="005803BC">
            <w:pPr>
              <w:jc w:val="right"/>
              <w:rPr>
                <w:color w:val="000000"/>
                <w:sz w:val="10"/>
                <w:szCs w:val="10"/>
              </w:rPr>
            </w:pPr>
            <w:r w:rsidRPr="00005453">
              <w:rPr>
                <w:bCs/>
                <w:color w:val="000000"/>
                <w:sz w:val="10"/>
                <w:szCs w:val="10"/>
              </w:rPr>
              <w:t>1,030,988</w:t>
            </w:r>
          </w:p>
        </w:tc>
      </w:tr>
      <w:tr w:rsidR="005803BC" w:rsidRPr="00005453" w14:paraId="2D673F9C" w14:textId="77777777" w:rsidTr="00667FB0">
        <w:trPr>
          <w:trHeight w:val="215"/>
        </w:trPr>
        <w:tc>
          <w:tcPr>
            <w:tcW w:w="1013" w:type="dxa"/>
            <w:tcBorders>
              <w:top w:val="nil"/>
              <w:left w:val="nil"/>
              <w:bottom w:val="nil"/>
              <w:right w:val="nil"/>
            </w:tcBorders>
            <w:shd w:val="clear" w:color="auto" w:fill="auto"/>
            <w:noWrap/>
            <w:vAlign w:val="center"/>
            <w:hideMark/>
          </w:tcPr>
          <w:p w14:paraId="1D720764" w14:textId="77777777" w:rsidR="005803BC" w:rsidRPr="00005453" w:rsidRDefault="005803BC" w:rsidP="005803BC">
            <w:pPr>
              <w:rPr>
                <w:color w:val="000000"/>
                <w:sz w:val="10"/>
                <w:szCs w:val="10"/>
                <w:lang w:eastAsia="tr-TR"/>
              </w:rPr>
            </w:pPr>
            <w:r w:rsidRPr="00005453">
              <w:rPr>
                <w:color w:val="000000"/>
                <w:sz w:val="10"/>
                <w:szCs w:val="10"/>
                <w:lang w:eastAsia="tr-TR"/>
              </w:rPr>
              <w:t>Balıkçılık</w:t>
            </w:r>
          </w:p>
        </w:tc>
        <w:tc>
          <w:tcPr>
            <w:tcW w:w="756" w:type="dxa"/>
            <w:tcBorders>
              <w:top w:val="nil"/>
              <w:left w:val="nil"/>
              <w:bottom w:val="nil"/>
              <w:right w:val="nil"/>
            </w:tcBorders>
            <w:shd w:val="clear" w:color="auto" w:fill="auto"/>
            <w:vAlign w:val="center"/>
            <w:hideMark/>
          </w:tcPr>
          <w:p w14:paraId="3A9257CD" w14:textId="62D87496"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1B3F3076" w14:textId="2F0EB7BC"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6232E24D" w14:textId="691B66A9"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55209018" w14:textId="7FC363D3"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5D44C6AD" w14:textId="0687CD9F"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3286D282" w14:textId="38D11C2B"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7946A222" w14:textId="31908ADB" w:rsidR="005803BC" w:rsidRPr="00005453" w:rsidRDefault="005803BC" w:rsidP="005803BC">
            <w:pPr>
              <w:jc w:val="right"/>
              <w:rPr>
                <w:color w:val="000000"/>
                <w:sz w:val="10"/>
                <w:szCs w:val="10"/>
              </w:rPr>
            </w:pPr>
            <w:r w:rsidRPr="00005453">
              <w:rPr>
                <w:color w:val="000000"/>
                <w:sz w:val="10"/>
                <w:szCs w:val="16"/>
              </w:rPr>
              <w:t>79,018</w:t>
            </w:r>
          </w:p>
        </w:tc>
        <w:tc>
          <w:tcPr>
            <w:tcW w:w="621" w:type="dxa"/>
            <w:tcBorders>
              <w:top w:val="nil"/>
              <w:left w:val="nil"/>
              <w:bottom w:val="nil"/>
              <w:right w:val="nil"/>
            </w:tcBorders>
            <w:shd w:val="clear" w:color="auto" w:fill="auto"/>
            <w:vAlign w:val="center"/>
            <w:hideMark/>
          </w:tcPr>
          <w:p w14:paraId="25C6FB8C" w14:textId="59342B0F" w:rsidR="005803BC" w:rsidRPr="00005453" w:rsidRDefault="005803BC" w:rsidP="005803BC">
            <w:pPr>
              <w:jc w:val="right"/>
              <w:rPr>
                <w:color w:val="000000"/>
                <w:sz w:val="10"/>
                <w:szCs w:val="10"/>
              </w:rPr>
            </w:pPr>
            <w:r w:rsidRPr="00005453">
              <w:rPr>
                <w:color w:val="000000"/>
                <w:sz w:val="10"/>
                <w:szCs w:val="16"/>
              </w:rPr>
              <w:t>13,489</w:t>
            </w:r>
          </w:p>
        </w:tc>
        <w:tc>
          <w:tcPr>
            <w:tcW w:w="921" w:type="dxa"/>
            <w:tcBorders>
              <w:top w:val="nil"/>
              <w:left w:val="nil"/>
              <w:bottom w:val="nil"/>
              <w:right w:val="nil"/>
            </w:tcBorders>
            <w:shd w:val="clear" w:color="auto" w:fill="auto"/>
            <w:vAlign w:val="center"/>
            <w:hideMark/>
          </w:tcPr>
          <w:p w14:paraId="5DACF3D0" w14:textId="548AEC2D" w:rsidR="005803BC" w:rsidRPr="00005453" w:rsidRDefault="005803BC" w:rsidP="005803BC">
            <w:pPr>
              <w:jc w:val="right"/>
              <w:rPr>
                <w:color w:val="000000"/>
                <w:sz w:val="10"/>
                <w:szCs w:val="10"/>
              </w:rPr>
            </w:pPr>
            <w:r w:rsidRPr="00005453">
              <w:rPr>
                <w:color w:val="000000"/>
                <w:sz w:val="10"/>
                <w:szCs w:val="16"/>
              </w:rPr>
              <w:t>12,255</w:t>
            </w:r>
          </w:p>
        </w:tc>
        <w:tc>
          <w:tcPr>
            <w:tcW w:w="529" w:type="dxa"/>
            <w:tcBorders>
              <w:top w:val="nil"/>
              <w:left w:val="nil"/>
              <w:bottom w:val="nil"/>
              <w:right w:val="nil"/>
            </w:tcBorders>
            <w:shd w:val="clear" w:color="auto" w:fill="auto"/>
            <w:vAlign w:val="center"/>
            <w:hideMark/>
          </w:tcPr>
          <w:p w14:paraId="4F12571E" w14:textId="61D7872A" w:rsidR="005803BC" w:rsidRPr="00005453" w:rsidRDefault="005803BC" w:rsidP="005803BC">
            <w:pPr>
              <w:jc w:val="right"/>
              <w:rPr>
                <w:color w:val="000000"/>
                <w:sz w:val="10"/>
                <w:szCs w:val="10"/>
              </w:rPr>
            </w:pPr>
            <w:r w:rsidRPr="00005453">
              <w:rPr>
                <w:color w:val="000000"/>
                <w:sz w:val="10"/>
                <w:szCs w:val="16"/>
              </w:rPr>
              <w:t>7</w:t>
            </w:r>
          </w:p>
        </w:tc>
        <w:tc>
          <w:tcPr>
            <w:tcW w:w="621" w:type="dxa"/>
            <w:tcBorders>
              <w:top w:val="nil"/>
              <w:left w:val="nil"/>
              <w:bottom w:val="nil"/>
              <w:right w:val="nil"/>
            </w:tcBorders>
            <w:shd w:val="clear" w:color="auto" w:fill="auto"/>
            <w:vAlign w:val="center"/>
            <w:hideMark/>
          </w:tcPr>
          <w:p w14:paraId="0DA4EA99" w14:textId="7507A27D" w:rsidR="005803BC" w:rsidRPr="00005453" w:rsidRDefault="005803BC" w:rsidP="005803BC">
            <w:pPr>
              <w:jc w:val="right"/>
              <w:rPr>
                <w:color w:val="000000"/>
                <w:sz w:val="10"/>
                <w:szCs w:val="10"/>
              </w:rPr>
            </w:pPr>
            <w:r w:rsidRPr="00005453">
              <w:rPr>
                <w:color w:val="000000"/>
                <w:sz w:val="10"/>
                <w:szCs w:val="16"/>
              </w:rPr>
              <w:t>-</w:t>
            </w:r>
          </w:p>
        </w:tc>
        <w:tc>
          <w:tcPr>
            <w:tcW w:w="552" w:type="dxa"/>
            <w:tcBorders>
              <w:top w:val="nil"/>
              <w:left w:val="nil"/>
              <w:bottom w:val="nil"/>
              <w:right w:val="nil"/>
            </w:tcBorders>
            <w:shd w:val="clear" w:color="auto" w:fill="auto"/>
            <w:vAlign w:val="center"/>
            <w:hideMark/>
          </w:tcPr>
          <w:p w14:paraId="0AC8BB1D" w14:textId="0E2B039D"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51BEFE9B" w14:textId="77CD6A25"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273A6D8E" w14:textId="7CDDBDD4"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0789B3FC" w14:textId="60DA506E"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48CA8464" w14:textId="3D119FC9"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1C45D2DD" w14:textId="6EFE2DAC" w:rsidR="005803BC" w:rsidRPr="00005453" w:rsidRDefault="005803BC" w:rsidP="005803BC">
            <w:pPr>
              <w:jc w:val="right"/>
              <w:rPr>
                <w:color w:val="000000"/>
                <w:sz w:val="10"/>
                <w:szCs w:val="10"/>
              </w:rPr>
            </w:pPr>
            <w:r w:rsidRPr="00005453">
              <w:rPr>
                <w:color w:val="000000"/>
                <w:sz w:val="10"/>
                <w:szCs w:val="16"/>
              </w:rPr>
              <w:t>1</w:t>
            </w:r>
          </w:p>
        </w:tc>
        <w:tc>
          <w:tcPr>
            <w:tcW w:w="674" w:type="dxa"/>
            <w:tcBorders>
              <w:top w:val="nil"/>
              <w:left w:val="nil"/>
              <w:bottom w:val="nil"/>
              <w:right w:val="nil"/>
            </w:tcBorders>
            <w:shd w:val="clear" w:color="auto" w:fill="auto"/>
            <w:vAlign w:val="center"/>
            <w:hideMark/>
          </w:tcPr>
          <w:p w14:paraId="3DB7164B" w14:textId="1688B600" w:rsidR="005803BC" w:rsidRPr="00005453" w:rsidRDefault="005803BC" w:rsidP="005803BC">
            <w:pPr>
              <w:jc w:val="right"/>
              <w:rPr>
                <w:color w:val="000000"/>
                <w:sz w:val="10"/>
                <w:szCs w:val="10"/>
              </w:rPr>
            </w:pPr>
            <w:r w:rsidRPr="00005453">
              <w:rPr>
                <w:color w:val="000000"/>
                <w:sz w:val="10"/>
                <w:szCs w:val="16"/>
              </w:rPr>
              <w:t>24,828</w:t>
            </w:r>
          </w:p>
        </w:tc>
        <w:tc>
          <w:tcPr>
            <w:tcW w:w="674" w:type="dxa"/>
            <w:tcBorders>
              <w:top w:val="nil"/>
              <w:left w:val="nil"/>
              <w:bottom w:val="nil"/>
              <w:right w:val="nil"/>
            </w:tcBorders>
            <w:shd w:val="clear" w:color="auto" w:fill="auto"/>
            <w:vAlign w:val="center"/>
            <w:hideMark/>
          </w:tcPr>
          <w:p w14:paraId="33DF02F4" w14:textId="3AC6A9B5" w:rsidR="005803BC" w:rsidRPr="00005453" w:rsidRDefault="005803BC" w:rsidP="005803BC">
            <w:pPr>
              <w:jc w:val="right"/>
              <w:rPr>
                <w:color w:val="000000"/>
                <w:sz w:val="10"/>
                <w:szCs w:val="10"/>
              </w:rPr>
            </w:pPr>
            <w:r w:rsidRPr="00005453">
              <w:rPr>
                <w:color w:val="000000"/>
                <w:sz w:val="10"/>
                <w:szCs w:val="16"/>
              </w:rPr>
              <w:t>79,942</w:t>
            </w:r>
          </w:p>
        </w:tc>
        <w:tc>
          <w:tcPr>
            <w:tcW w:w="889" w:type="dxa"/>
            <w:tcBorders>
              <w:top w:val="nil"/>
              <w:left w:val="nil"/>
              <w:bottom w:val="nil"/>
              <w:right w:val="nil"/>
            </w:tcBorders>
            <w:shd w:val="clear" w:color="auto" w:fill="auto"/>
            <w:vAlign w:val="center"/>
            <w:hideMark/>
          </w:tcPr>
          <w:p w14:paraId="0D811DF7" w14:textId="50C60EB9" w:rsidR="005803BC" w:rsidRPr="00005453" w:rsidRDefault="005803BC" w:rsidP="005803BC">
            <w:pPr>
              <w:jc w:val="right"/>
              <w:rPr>
                <w:color w:val="000000"/>
                <w:sz w:val="10"/>
                <w:szCs w:val="10"/>
              </w:rPr>
            </w:pPr>
            <w:r w:rsidRPr="00005453">
              <w:rPr>
                <w:bCs/>
                <w:color w:val="000000"/>
                <w:sz w:val="10"/>
                <w:szCs w:val="10"/>
              </w:rPr>
              <w:t>104,770</w:t>
            </w:r>
          </w:p>
        </w:tc>
      </w:tr>
      <w:tr w:rsidR="005803BC" w:rsidRPr="00005453" w14:paraId="6906DF92" w14:textId="77777777" w:rsidTr="00667FB0">
        <w:trPr>
          <w:trHeight w:val="215"/>
        </w:trPr>
        <w:tc>
          <w:tcPr>
            <w:tcW w:w="1013" w:type="dxa"/>
            <w:tcBorders>
              <w:top w:val="nil"/>
              <w:left w:val="nil"/>
              <w:bottom w:val="nil"/>
              <w:right w:val="nil"/>
            </w:tcBorders>
            <w:shd w:val="clear" w:color="auto" w:fill="auto"/>
            <w:noWrap/>
            <w:vAlign w:val="center"/>
            <w:hideMark/>
          </w:tcPr>
          <w:p w14:paraId="6D0003F5"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Sanayi</w:t>
            </w:r>
          </w:p>
        </w:tc>
        <w:tc>
          <w:tcPr>
            <w:tcW w:w="756" w:type="dxa"/>
            <w:tcBorders>
              <w:top w:val="nil"/>
              <w:left w:val="nil"/>
              <w:bottom w:val="nil"/>
              <w:right w:val="nil"/>
            </w:tcBorders>
            <w:shd w:val="clear" w:color="auto" w:fill="auto"/>
            <w:vAlign w:val="center"/>
            <w:hideMark/>
          </w:tcPr>
          <w:p w14:paraId="34A4C85D" w14:textId="17B0DDCA" w:rsidR="005803BC" w:rsidRPr="00005453" w:rsidRDefault="005803BC" w:rsidP="005803BC">
            <w:pPr>
              <w:jc w:val="right"/>
              <w:rPr>
                <w:b/>
                <w:color w:val="000000"/>
                <w:sz w:val="10"/>
                <w:szCs w:val="10"/>
              </w:rPr>
            </w:pPr>
            <w:r w:rsidRPr="00005453">
              <w:rPr>
                <w:b/>
                <w:bCs/>
                <w:color w:val="FF0000"/>
                <w:sz w:val="10"/>
                <w:szCs w:val="16"/>
              </w:rPr>
              <w:t>-</w:t>
            </w:r>
          </w:p>
        </w:tc>
        <w:tc>
          <w:tcPr>
            <w:tcW w:w="756" w:type="dxa"/>
            <w:tcBorders>
              <w:top w:val="nil"/>
              <w:left w:val="nil"/>
              <w:bottom w:val="nil"/>
              <w:right w:val="nil"/>
            </w:tcBorders>
            <w:shd w:val="clear" w:color="auto" w:fill="auto"/>
            <w:vAlign w:val="center"/>
            <w:hideMark/>
          </w:tcPr>
          <w:p w14:paraId="30A76317" w14:textId="6AEB233B" w:rsidR="005803BC" w:rsidRPr="00005453" w:rsidRDefault="005803BC" w:rsidP="005803BC">
            <w:pPr>
              <w:jc w:val="right"/>
              <w:rPr>
                <w:b/>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209131E3" w14:textId="53D38A3E" w:rsidR="005803BC" w:rsidRPr="00005453" w:rsidRDefault="005803BC" w:rsidP="005803BC">
            <w:pPr>
              <w:jc w:val="right"/>
              <w:rPr>
                <w:b/>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7D33A4B5" w14:textId="31ECB323" w:rsidR="005803BC" w:rsidRPr="00005453" w:rsidRDefault="005803BC" w:rsidP="005803BC">
            <w:pPr>
              <w:jc w:val="right"/>
              <w:rPr>
                <w:b/>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4142AC64" w14:textId="1D30BFB2" w:rsidR="005803BC" w:rsidRPr="00005453" w:rsidRDefault="005803BC" w:rsidP="005803BC">
            <w:pPr>
              <w:jc w:val="right"/>
              <w:rPr>
                <w:b/>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35DC3CE3" w14:textId="3C55F1D1" w:rsidR="005803BC" w:rsidRPr="00005453" w:rsidRDefault="005803BC" w:rsidP="005803BC">
            <w:pPr>
              <w:jc w:val="right"/>
              <w:rPr>
                <w:b/>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5D18B205" w14:textId="28C896D8" w:rsidR="005803BC" w:rsidRPr="00005453" w:rsidRDefault="005803BC" w:rsidP="005803BC">
            <w:pPr>
              <w:jc w:val="right"/>
              <w:rPr>
                <w:b/>
                <w:color w:val="000000"/>
                <w:sz w:val="10"/>
                <w:szCs w:val="10"/>
              </w:rPr>
            </w:pPr>
            <w:r w:rsidRPr="00005453">
              <w:rPr>
                <w:b/>
                <w:bCs/>
                <w:color w:val="000000"/>
                <w:sz w:val="10"/>
                <w:szCs w:val="16"/>
              </w:rPr>
              <w:t>72,141,313</w:t>
            </w:r>
          </w:p>
        </w:tc>
        <w:tc>
          <w:tcPr>
            <w:tcW w:w="621" w:type="dxa"/>
            <w:tcBorders>
              <w:top w:val="nil"/>
              <w:left w:val="nil"/>
              <w:bottom w:val="nil"/>
              <w:right w:val="nil"/>
            </w:tcBorders>
            <w:shd w:val="clear" w:color="auto" w:fill="auto"/>
            <w:vAlign w:val="center"/>
            <w:hideMark/>
          </w:tcPr>
          <w:p w14:paraId="177256B1" w14:textId="34B62188" w:rsidR="005803BC" w:rsidRPr="00005453" w:rsidRDefault="005803BC" w:rsidP="005803BC">
            <w:pPr>
              <w:jc w:val="right"/>
              <w:rPr>
                <w:b/>
                <w:color w:val="000000"/>
                <w:sz w:val="10"/>
                <w:szCs w:val="10"/>
              </w:rPr>
            </w:pPr>
            <w:r w:rsidRPr="00005453">
              <w:rPr>
                <w:b/>
                <w:bCs/>
                <w:color w:val="000000"/>
                <w:sz w:val="10"/>
                <w:szCs w:val="16"/>
              </w:rPr>
              <w:t>14,220,175</w:t>
            </w:r>
          </w:p>
        </w:tc>
        <w:tc>
          <w:tcPr>
            <w:tcW w:w="921" w:type="dxa"/>
            <w:tcBorders>
              <w:top w:val="nil"/>
              <w:left w:val="nil"/>
              <w:bottom w:val="nil"/>
              <w:right w:val="nil"/>
            </w:tcBorders>
            <w:shd w:val="clear" w:color="auto" w:fill="auto"/>
            <w:vAlign w:val="center"/>
            <w:hideMark/>
          </w:tcPr>
          <w:p w14:paraId="187474DB" w14:textId="5AACB890" w:rsidR="005803BC" w:rsidRPr="00005453" w:rsidRDefault="005803BC" w:rsidP="005803BC">
            <w:pPr>
              <w:jc w:val="right"/>
              <w:rPr>
                <w:b/>
                <w:color w:val="000000"/>
                <w:sz w:val="10"/>
                <w:szCs w:val="10"/>
              </w:rPr>
            </w:pPr>
            <w:r w:rsidRPr="00005453">
              <w:rPr>
                <w:b/>
                <w:bCs/>
                <w:color w:val="000000"/>
                <w:sz w:val="10"/>
                <w:szCs w:val="16"/>
              </w:rPr>
              <w:t>27,915,706</w:t>
            </w:r>
          </w:p>
        </w:tc>
        <w:tc>
          <w:tcPr>
            <w:tcW w:w="529" w:type="dxa"/>
            <w:tcBorders>
              <w:top w:val="nil"/>
              <w:left w:val="nil"/>
              <w:bottom w:val="nil"/>
              <w:right w:val="nil"/>
            </w:tcBorders>
            <w:shd w:val="clear" w:color="auto" w:fill="auto"/>
            <w:vAlign w:val="center"/>
            <w:hideMark/>
          </w:tcPr>
          <w:p w14:paraId="46B3C402" w14:textId="0FD8DDCB" w:rsidR="005803BC" w:rsidRPr="00005453" w:rsidRDefault="005803BC" w:rsidP="005803BC">
            <w:pPr>
              <w:jc w:val="right"/>
              <w:rPr>
                <w:b/>
                <w:color w:val="000000"/>
                <w:sz w:val="10"/>
                <w:szCs w:val="10"/>
              </w:rPr>
            </w:pPr>
            <w:r w:rsidRPr="00005453">
              <w:rPr>
                <w:b/>
                <w:bCs/>
                <w:color w:val="000000"/>
                <w:sz w:val="10"/>
                <w:szCs w:val="16"/>
              </w:rPr>
              <w:t>166,633</w:t>
            </w:r>
          </w:p>
        </w:tc>
        <w:tc>
          <w:tcPr>
            <w:tcW w:w="621" w:type="dxa"/>
            <w:tcBorders>
              <w:top w:val="nil"/>
              <w:left w:val="nil"/>
              <w:bottom w:val="nil"/>
              <w:right w:val="nil"/>
            </w:tcBorders>
            <w:shd w:val="clear" w:color="auto" w:fill="auto"/>
            <w:vAlign w:val="center"/>
            <w:hideMark/>
          </w:tcPr>
          <w:p w14:paraId="79736162" w14:textId="4F60A909" w:rsidR="005803BC" w:rsidRPr="00005453" w:rsidRDefault="005803BC" w:rsidP="005803BC">
            <w:pPr>
              <w:jc w:val="right"/>
              <w:rPr>
                <w:b/>
                <w:color w:val="000000"/>
                <w:sz w:val="10"/>
                <w:szCs w:val="10"/>
              </w:rPr>
            </w:pPr>
            <w:r w:rsidRPr="00005453">
              <w:rPr>
                <w:b/>
                <w:bCs/>
                <w:color w:val="000000"/>
                <w:sz w:val="10"/>
                <w:szCs w:val="16"/>
              </w:rPr>
              <w:t>777,642</w:t>
            </w:r>
          </w:p>
        </w:tc>
        <w:tc>
          <w:tcPr>
            <w:tcW w:w="552" w:type="dxa"/>
            <w:tcBorders>
              <w:top w:val="nil"/>
              <w:left w:val="nil"/>
              <w:bottom w:val="nil"/>
              <w:right w:val="nil"/>
            </w:tcBorders>
            <w:shd w:val="clear" w:color="auto" w:fill="auto"/>
            <w:vAlign w:val="center"/>
            <w:hideMark/>
          </w:tcPr>
          <w:p w14:paraId="5A6BD294" w14:textId="50A0856A" w:rsidR="005803BC" w:rsidRPr="00005453" w:rsidRDefault="005803BC" w:rsidP="005803BC">
            <w:pPr>
              <w:jc w:val="right"/>
              <w:rPr>
                <w:b/>
                <w:color w:val="000000"/>
                <w:sz w:val="10"/>
                <w:szCs w:val="10"/>
              </w:rPr>
            </w:pPr>
            <w:r w:rsidRPr="00005453">
              <w:rPr>
                <w:b/>
                <w:bCs/>
                <w:color w:val="000000"/>
                <w:sz w:val="10"/>
                <w:szCs w:val="16"/>
              </w:rPr>
              <w:t>-</w:t>
            </w:r>
          </w:p>
        </w:tc>
        <w:tc>
          <w:tcPr>
            <w:tcW w:w="779" w:type="dxa"/>
            <w:tcBorders>
              <w:top w:val="nil"/>
              <w:left w:val="nil"/>
              <w:bottom w:val="nil"/>
              <w:right w:val="nil"/>
            </w:tcBorders>
            <w:shd w:val="clear" w:color="auto" w:fill="auto"/>
            <w:vAlign w:val="center"/>
            <w:hideMark/>
          </w:tcPr>
          <w:p w14:paraId="757A59D8" w14:textId="434FE524"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nil"/>
              <w:right w:val="nil"/>
            </w:tcBorders>
            <w:shd w:val="clear" w:color="auto" w:fill="auto"/>
            <w:vAlign w:val="center"/>
            <w:hideMark/>
          </w:tcPr>
          <w:p w14:paraId="71D5AAC0" w14:textId="5942FFD9" w:rsidR="005803BC" w:rsidRPr="00005453" w:rsidRDefault="005803BC" w:rsidP="005803BC">
            <w:pPr>
              <w:jc w:val="right"/>
              <w:rPr>
                <w:b/>
                <w:color w:val="000000"/>
                <w:sz w:val="10"/>
                <w:szCs w:val="10"/>
              </w:rPr>
            </w:pPr>
            <w:r w:rsidRPr="00005453">
              <w:rPr>
                <w:b/>
                <w:bCs/>
                <w:color w:val="000000"/>
                <w:sz w:val="10"/>
                <w:szCs w:val="16"/>
              </w:rPr>
              <w:t>-</w:t>
            </w:r>
          </w:p>
        </w:tc>
        <w:tc>
          <w:tcPr>
            <w:tcW w:w="680" w:type="dxa"/>
            <w:tcBorders>
              <w:top w:val="nil"/>
              <w:left w:val="nil"/>
              <w:bottom w:val="nil"/>
              <w:right w:val="nil"/>
            </w:tcBorders>
            <w:shd w:val="clear" w:color="auto" w:fill="auto"/>
            <w:vAlign w:val="center"/>
            <w:hideMark/>
          </w:tcPr>
          <w:p w14:paraId="2D048E8C" w14:textId="06BA4F66" w:rsidR="005803BC" w:rsidRPr="00005453" w:rsidRDefault="005803BC" w:rsidP="005803BC">
            <w:pPr>
              <w:jc w:val="right"/>
              <w:rPr>
                <w:b/>
                <w:color w:val="000000"/>
                <w:sz w:val="10"/>
                <w:szCs w:val="10"/>
              </w:rPr>
            </w:pPr>
            <w:r w:rsidRPr="00005453">
              <w:rPr>
                <w:b/>
                <w:bCs/>
                <w:color w:val="000000"/>
                <w:sz w:val="10"/>
                <w:szCs w:val="16"/>
              </w:rPr>
              <w:t>-</w:t>
            </w:r>
          </w:p>
        </w:tc>
        <w:tc>
          <w:tcPr>
            <w:tcW w:w="616" w:type="dxa"/>
            <w:tcBorders>
              <w:top w:val="nil"/>
              <w:left w:val="nil"/>
              <w:bottom w:val="nil"/>
              <w:right w:val="nil"/>
            </w:tcBorders>
            <w:shd w:val="clear" w:color="auto" w:fill="auto"/>
            <w:vAlign w:val="center"/>
            <w:hideMark/>
          </w:tcPr>
          <w:p w14:paraId="22DD6202" w14:textId="5F26DEE8" w:rsidR="005803BC" w:rsidRPr="00005453" w:rsidRDefault="005803BC" w:rsidP="005803BC">
            <w:pPr>
              <w:jc w:val="right"/>
              <w:rPr>
                <w:b/>
                <w:color w:val="000000"/>
                <w:sz w:val="10"/>
                <w:szCs w:val="10"/>
              </w:rPr>
            </w:pPr>
            <w:r w:rsidRPr="00005453">
              <w:rPr>
                <w:b/>
                <w:bCs/>
                <w:color w:val="000000"/>
                <w:sz w:val="10"/>
                <w:szCs w:val="16"/>
              </w:rPr>
              <w:t>-</w:t>
            </w:r>
          </w:p>
        </w:tc>
        <w:tc>
          <w:tcPr>
            <w:tcW w:w="621" w:type="dxa"/>
            <w:tcBorders>
              <w:top w:val="nil"/>
              <w:left w:val="nil"/>
              <w:bottom w:val="nil"/>
              <w:right w:val="nil"/>
            </w:tcBorders>
            <w:shd w:val="clear" w:color="auto" w:fill="auto"/>
            <w:vAlign w:val="center"/>
            <w:hideMark/>
          </w:tcPr>
          <w:p w14:paraId="2205B5B4" w14:textId="19C2C254" w:rsidR="005803BC" w:rsidRPr="00005453" w:rsidRDefault="005803BC" w:rsidP="005803BC">
            <w:pPr>
              <w:jc w:val="right"/>
              <w:rPr>
                <w:b/>
                <w:color w:val="000000"/>
                <w:sz w:val="10"/>
                <w:szCs w:val="10"/>
              </w:rPr>
            </w:pPr>
            <w:r w:rsidRPr="00005453">
              <w:rPr>
                <w:b/>
                <w:bCs/>
                <w:color w:val="000000"/>
                <w:sz w:val="10"/>
                <w:szCs w:val="16"/>
              </w:rPr>
              <w:t>44,108</w:t>
            </w:r>
          </w:p>
        </w:tc>
        <w:tc>
          <w:tcPr>
            <w:tcW w:w="674" w:type="dxa"/>
            <w:tcBorders>
              <w:top w:val="nil"/>
              <w:left w:val="nil"/>
              <w:bottom w:val="nil"/>
              <w:right w:val="nil"/>
            </w:tcBorders>
            <w:shd w:val="clear" w:color="auto" w:fill="auto"/>
            <w:vAlign w:val="center"/>
            <w:hideMark/>
          </w:tcPr>
          <w:p w14:paraId="50187F19" w14:textId="76D827DF" w:rsidR="005803BC" w:rsidRPr="00005453" w:rsidRDefault="005803BC" w:rsidP="005803BC">
            <w:pPr>
              <w:jc w:val="right"/>
              <w:rPr>
                <w:b/>
                <w:color w:val="000000"/>
                <w:sz w:val="10"/>
                <w:szCs w:val="10"/>
              </w:rPr>
            </w:pPr>
            <w:r w:rsidRPr="00005453">
              <w:rPr>
                <w:b/>
                <w:bCs/>
                <w:color w:val="000000"/>
                <w:sz w:val="10"/>
                <w:szCs w:val="16"/>
              </w:rPr>
              <w:t>41,205,449</w:t>
            </w:r>
          </w:p>
        </w:tc>
        <w:tc>
          <w:tcPr>
            <w:tcW w:w="674" w:type="dxa"/>
            <w:tcBorders>
              <w:top w:val="nil"/>
              <w:left w:val="nil"/>
              <w:bottom w:val="nil"/>
              <w:right w:val="nil"/>
            </w:tcBorders>
            <w:shd w:val="clear" w:color="auto" w:fill="auto"/>
            <w:vAlign w:val="center"/>
            <w:hideMark/>
          </w:tcPr>
          <w:p w14:paraId="56D0D193" w14:textId="5B3BDA66" w:rsidR="005803BC" w:rsidRPr="00005453" w:rsidRDefault="005803BC" w:rsidP="005803BC">
            <w:pPr>
              <w:jc w:val="right"/>
              <w:rPr>
                <w:b/>
                <w:color w:val="000000"/>
                <w:sz w:val="10"/>
                <w:szCs w:val="10"/>
              </w:rPr>
            </w:pPr>
            <w:r w:rsidRPr="00005453">
              <w:rPr>
                <w:b/>
                <w:bCs/>
                <w:color w:val="000000"/>
                <w:sz w:val="10"/>
                <w:szCs w:val="16"/>
              </w:rPr>
              <w:t>74,060,128</w:t>
            </w:r>
          </w:p>
        </w:tc>
        <w:tc>
          <w:tcPr>
            <w:tcW w:w="889" w:type="dxa"/>
            <w:tcBorders>
              <w:top w:val="nil"/>
              <w:left w:val="nil"/>
              <w:bottom w:val="nil"/>
              <w:right w:val="nil"/>
            </w:tcBorders>
            <w:shd w:val="clear" w:color="auto" w:fill="auto"/>
            <w:vAlign w:val="center"/>
            <w:hideMark/>
          </w:tcPr>
          <w:p w14:paraId="2404D908" w14:textId="1D65D8B2" w:rsidR="005803BC" w:rsidRPr="00005453" w:rsidRDefault="005803BC" w:rsidP="005803BC">
            <w:pPr>
              <w:jc w:val="right"/>
              <w:rPr>
                <w:b/>
                <w:color w:val="000000"/>
                <w:sz w:val="10"/>
                <w:szCs w:val="10"/>
              </w:rPr>
            </w:pPr>
            <w:r w:rsidRPr="00005453">
              <w:rPr>
                <w:b/>
                <w:bCs/>
                <w:color w:val="000000"/>
                <w:sz w:val="10"/>
                <w:szCs w:val="10"/>
              </w:rPr>
              <w:t>115,265,577</w:t>
            </w:r>
          </w:p>
        </w:tc>
      </w:tr>
      <w:tr w:rsidR="005803BC" w:rsidRPr="00005453" w14:paraId="11CEF859" w14:textId="77777777" w:rsidTr="00667FB0">
        <w:trPr>
          <w:trHeight w:val="215"/>
        </w:trPr>
        <w:tc>
          <w:tcPr>
            <w:tcW w:w="1013" w:type="dxa"/>
            <w:tcBorders>
              <w:top w:val="nil"/>
              <w:left w:val="nil"/>
              <w:bottom w:val="nil"/>
              <w:right w:val="nil"/>
            </w:tcBorders>
            <w:shd w:val="clear" w:color="auto" w:fill="auto"/>
            <w:noWrap/>
            <w:vAlign w:val="center"/>
            <w:hideMark/>
          </w:tcPr>
          <w:p w14:paraId="47BBD1CF" w14:textId="77777777" w:rsidR="005803BC" w:rsidRPr="00005453" w:rsidRDefault="005803BC" w:rsidP="005803BC">
            <w:pPr>
              <w:rPr>
                <w:color w:val="000000"/>
                <w:sz w:val="10"/>
                <w:szCs w:val="10"/>
                <w:lang w:eastAsia="tr-TR"/>
              </w:rPr>
            </w:pPr>
            <w:r w:rsidRPr="00005453">
              <w:rPr>
                <w:color w:val="000000"/>
                <w:sz w:val="10"/>
                <w:szCs w:val="10"/>
                <w:lang w:eastAsia="tr-TR"/>
              </w:rPr>
              <w:t xml:space="preserve">Madencilik ve Taşocakçılığı </w:t>
            </w:r>
          </w:p>
        </w:tc>
        <w:tc>
          <w:tcPr>
            <w:tcW w:w="756" w:type="dxa"/>
            <w:tcBorders>
              <w:top w:val="nil"/>
              <w:left w:val="nil"/>
              <w:bottom w:val="nil"/>
              <w:right w:val="nil"/>
            </w:tcBorders>
            <w:shd w:val="clear" w:color="auto" w:fill="auto"/>
            <w:vAlign w:val="center"/>
            <w:hideMark/>
          </w:tcPr>
          <w:p w14:paraId="0B6CD003" w14:textId="294972F1" w:rsidR="005803BC" w:rsidRPr="00005453" w:rsidRDefault="0084678B" w:rsidP="005803BC">
            <w:pPr>
              <w:jc w:val="right"/>
              <w:rPr>
                <w:color w:val="000000"/>
                <w:sz w:val="10"/>
                <w:szCs w:val="10"/>
              </w:rPr>
            </w:pPr>
            <w:r w:rsidRPr="00005453">
              <w:rPr>
                <w:color w:val="000000"/>
                <w:sz w:val="10"/>
                <w:szCs w:val="10"/>
              </w:rPr>
              <w:t>-</w:t>
            </w:r>
          </w:p>
        </w:tc>
        <w:tc>
          <w:tcPr>
            <w:tcW w:w="756" w:type="dxa"/>
            <w:tcBorders>
              <w:top w:val="nil"/>
              <w:left w:val="nil"/>
              <w:bottom w:val="nil"/>
              <w:right w:val="nil"/>
            </w:tcBorders>
            <w:shd w:val="clear" w:color="auto" w:fill="auto"/>
            <w:vAlign w:val="center"/>
            <w:hideMark/>
          </w:tcPr>
          <w:p w14:paraId="6874C673" w14:textId="3F42069C"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62EE0EEE" w14:textId="38F3F4BD"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61BFA28A" w14:textId="7528E636"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0FCB7F6C" w14:textId="5A8984CA"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0CE40C4F" w14:textId="7BB4819F"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23B8DD69" w14:textId="1192E8CA" w:rsidR="005803BC" w:rsidRPr="00005453" w:rsidRDefault="005803BC" w:rsidP="005803BC">
            <w:pPr>
              <w:jc w:val="right"/>
              <w:rPr>
                <w:color w:val="000000"/>
                <w:sz w:val="10"/>
                <w:szCs w:val="10"/>
              </w:rPr>
            </w:pPr>
            <w:r w:rsidRPr="00005453">
              <w:rPr>
                <w:color w:val="000000"/>
                <w:sz w:val="10"/>
                <w:szCs w:val="16"/>
              </w:rPr>
              <w:t>16,392,375</w:t>
            </w:r>
          </w:p>
        </w:tc>
        <w:tc>
          <w:tcPr>
            <w:tcW w:w="621" w:type="dxa"/>
            <w:tcBorders>
              <w:top w:val="nil"/>
              <w:left w:val="nil"/>
              <w:bottom w:val="nil"/>
              <w:right w:val="nil"/>
            </w:tcBorders>
            <w:shd w:val="clear" w:color="auto" w:fill="auto"/>
            <w:vAlign w:val="center"/>
            <w:hideMark/>
          </w:tcPr>
          <w:p w14:paraId="0612CD28" w14:textId="3470A723" w:rsidR="005803BC" w:rsidRPr="00005453" w:rsidRDefault="005803BC" w:rsidP="005803BC">
            <w:pPr>
              <w:jc w:val="right"/>
              <w:rPr>
                <w:color w:val="000000"/>
                <w:sz w:val="10"/>
                <w:szCs w:val="10"/>
              </w:rPr>
            </w:pPr>
            <w:r w:rsidRPr="00005453">
              <w:rPr>
                <w:color w:val="000000"/>
                <w:sz w:val="10"/>
                <w:szCs w:val="16"/>
              </w:rPr>
              <w:t>2,637,857</w:t>
            </w:r>
          </w:p>
        </w:tc>
        <w:tc>
          <w:tcPr>
            <w:tcW w:w="921" w:type="dxa"/>
            <w:tcBorders>
              <w:top w:val="nil"/>
              <w:left w:val="nil"/>
              <w:bottom w:val="nil"/>
              <w:right w:val="nil"/>
            </w:tcBorders>
            <w:shd w:val="clear" w:color="auto" w:fill="auto"/>
            <w:vAlign w:val="center"/>
            <w:hideMark/>
          </w:tcPr>
          <w:p w14:paraId="1A551A00" w14:textId="10B553C1" w:rsidR="005803BC" w:rsidRPr="00005453" w:rsidRDefault="005803BC" w:rsidP="005803BC">
            <w:pPr>
              <w:jc w:val="right"/>
              <w:rPr>
                <w:color w:val="000000"/>
                <w:sz w:val="10"/>
                <w:szCs w:val="10"/>
              </w:rPr>
            </w:pPr>
            <w:r w:rsidRPr="00005453">
              <w:rPr>
                <w:color w:val="000000"/>
                <w:sz w:val="10"/>
                <w:szCs w:val="16"/>
              </w:rPr>
              <w:t>4,223,184</w:t>
            </w:r>
          </w:p>
        </w:tc>
        <w:tc>
          <w:tcPr>
            <w:tcW w:w="529" w:type="dxa"/>
            <w:tcBorders>
              <w:top w:val="nil"/>
              <w:left w:val="nil"/>
              <w:bottom w:val="nil"/>
              <w:right w:val="nil"/>
            </w:tcBorders>
            <w:shd w:val="clear" w:color="auto" w:fill="auto"/>
            <w:vAlign w:val="center"/>
            <w:hideMark/>
          </w:tcPr>
          <w:p w14:paraId="4DD33AC1" w14:textId="0FDD87E7" w:rsidR="005803BC" w:rsidRPr="00005453" w:rsidRDefault="005803BC" w:rsidP="005803BC">
            <w:pPr>
              <w:jc w:val="right"/>
              <w:rPr>
                <w:color w:val="000000"/>
                <w:sz w:val="10"/>
                <w:szCs w:val="10"/>
              </w:rPr>
            </w:pPr>
            <w:r w:rsidRPr="00005453">
              <w:rPr>
                <w:color w:val="000000"/>
                <w:sz w:val="10"/>
                <w:szCs w:val="16"/>
              </w:rPr>
              <w:t>19,926</w:t>
            </w:r>
          </w:p>
        </w:tc>
        <w:tc>
          <w:tcPr>
            <w:tcW w:w="621" w:type="dxa"/>
            <w:tcBorders>
              <w:top w:val="nil"/>
              <w:left w:val="nil"/>
              <w:bottom w:val="nil"/>
              <w:right w:val="nil"/>
            </w:tcBorders>
            <w:shd w:val="clear" w:color="auto" w:fill="auto"/>
            <w:vAlign w:val="center"/>
            <w:hideMark/>
          </w:tcPr>
          <w:p w14:paraId="3B81E644" w14:textId="3C9038FE" w:rsidR="005803BC" w:rsidRPr="00005453" w:rsidRDefault="005803BC" w:rsidP="005803BC">
            <w:pPr>
              <w:jc w:val="right"/>
              <w:rPr>
                <w:color w:val="000000"/>
                <w:sz w:val="10"/>
                <w:szCs w:val="10"/>
              </w:rPr>
            </w:pPr>
            <w:r w:rsidRPr="00005453">
              <w:rPr>
                <w:color w:val="000000"/>
                <w:sz w:val="10"/>
                <w:szCs w:val="16"/>
              </w:rPr>
              <w:t>18,904</w:t>
            </w:r>
          </w:p>
        </w:tc>
        <w:tc>
          <w:tcPr>
            <w:tcW w:w="552" w:type="dxa"/>
            <w:tcBorders>
              <w:top w:val="nil"/>
              <w:left w:val="nil"/>
              <w:bottom w:val="nil"/>
              <w:right w:val="nil"/>
            </w:tcBorders>
            <w:shd w:val="clear" w:color="auto" w:fill="auto"/>
            <w:vAlign w:val="center"/>
            <w:hideMark/>
          </w:tcPr>
          <w:p w14:paraId="016B849E" w14:textId="5919CD21"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14CB4092" w14:textId="0BAD902E"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5478EA18" w14:textId="18276D50"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3DB983E2" w14:textId="0195F118"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11053924" w14:textId="1D0BB809"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106DCADC" w14:textId="45DD199B" w:rsidR="005803BC" w:rsidRPr="00005453" w:rsidRDefault="005803BC" w:rsidP="005803BC">
            <w:pPr>
              <w:jc w:val="right"/>
              <w:rPr>
                <w:color w:val="000000"/>
                <w:sz w:val="10"/>
                <w:szCs w:val="10"/>
              </w:rPr>
            </w:pPr>
            <w:r w:rsidRPr="00005453">
              <w:rPr>
                <w:color w:val="000000"/>
                <w:sz w:val="10"/>
                <w:szCs w:val="16"/>
              </w:rPr>
              <w:t>7,564</w:t>
            </w:r>
          </w:p>
        </w:tc>
        <w:tc>
          <w:tcPr>
            <w:tcW w:w="674" w:type="dxa"/>
            <w:tcBorders>
              <w:top w:val="nil"/>
              <w:left w:val="nil"/>
              <w:bottom w:val="nil"/>
              <w:right w:val="nil"/>
            </w:tcBorders>
            <w:shd w:val="clear" w:color="auto" w:fill="auto"/>
            <w:vAlign w:val="center"/>
            <w:hideMark/>
          </w:tcPr>
          <w:p w14:paraId="5F0C16E9" w14:textId="0E982F77" w:rsidR="005803BC" w:rsidRPr="00005453" w:rsidRDefault="005803BC" w:rsidP="005803BC">
            <w:pPr>
              <w:jc w:val="right"/>
              <w:rPr>
                <w:color w:val="000000"/>
                <w:sz w:val="10"/>
                <w:szCs w:val="10"/>
              </w:rPr>
            </w:pPr>
            <w:r w:rsidRPr="00005453">
              <w:rPr>
                <w:color w:val="000000"/>
                <w:sz w:val="10"/>
                <w:szCs w:val="16"/>
              </w:rPr>
              <w:t>7,318,069</w:t>
            </w:r>
          </w:p>
        </w:tc>
        <w:tc>
          <w:tcPr>
            <w:tcW w:w="674" w:type="dxa"/>
            <w:tcBorders>
              <w:top w:val="nil"/>
              <w:left w:val="nil"/>
              <w:bottom w:val="nil"/>
              <w:right w:val="nil"/>
            </w:tcBorders>
            <w:shd w:val="clear" w:color="auto" w:fill="auto"/>
            <w:vAlign w:val="center"/>
            <w:hideMark/>
          </w:tcPr>
          <w:p w14:paraId="6DD7E34D" w14:textId="5D68CE64" w:rsidR="005803BC" w:rsidRPr="00005453" w:rsidRDefault="005803BC" w:rsidP="005803BC">
            <w:pPr>
              <w:jc w:val="right"/>
              <w:rPr>
                <w:color w:val="000000"/>
                <w:sz w:val="10"/>
                <w:szCs w:val="10"/>
              </w:rPr>
            </w:pPr>
            <w:r w:rsidRPr="00005453">
              <w:rPr>
                <w:color w:val="000000"/>
                <w:sz w:val="10"/>
                <w:szCs w:val="16"/>
              </w:rPr>
              <w:t>15,981,741</w:t>
            </w:r>
          </w:p>
        </w:tc>
        <w:tc>
          <w:tcPr>
            <w:tcW w:w="889" w:type="dxa"/>
            <w:tcBorders>
              <w:top w:val="nil"/>
              <w:left w:val="nil"/>
              <w:bottom w:val="nil"/>
              <w:right w:val="nil"/>
            </w:tcBorders>
            <w:shd w:val="clear" w:color="auto" w:fill="auto"/>
            <w:vAlign w:val="center"/>
            <w:hideMark/>
          </w:tcPr>
          <w:p w14:paraId="0E37E814" w14:textId="02BD97FB" w:rsidR="005803BC" w:rsidRPr="00005453" w:rsidRDefault="005803BC" w:rsidP="005803BC">
            <w:pPr>
              <w:jc w:val="right"/>
              <w:rPr>
                <w:color w:val="000000"/>
                <w:sz w:val="10"/>
                <w:szCs w:val="10"/>
              </w:rPr>
            </w:pPr>
            <w:r w:rsidRPr="00005453">
              <w:rPr>
                <w:bCs/>
                <w:color w:val="000000"/>
                <w:sz w:val="10"/>
                <w:szCs w:val="10"/>
              </w:rPr>
              <w:t>23,299,810</w:t>
            </w:r>
          </w:p>
        </w:tc>
      </w:tr>
      <w:tr w:rsidR="005803BC" w:rsidRPr="00005453" w14:paraId="20D2E5A2" w14:textId="77777777" w:rsidTr="00667FB0">
        <w:trPr>
          <w:trHeight w:val="215"/>
        </w:trPr>
        <w:tc>
          <w:tcPr>
            <w:tcW w:w="1013" w:type="dxa"/>
            <w:tcBorders>
              <w:top w:val="nil"/>
              <w:left w:val="nil"/>
              <w:bottom w:val="nil"/>
              <w:right w:val="nil"/>
            </w:tcBorders>
            <w:shd w:val="clear" w:color="auto" w:fill="auto"/>
            <w:noWrap/>
            <w:vAlign w:val="center"/>
            <w:hideMark/>
          </w:tcPr>
          <w:p w14:paraId="4C1A20D5" w14:textId="77777777" w:rsidR="005803BC" w:rsidRPr="00005453" w:rsidRDefault="005803BC" w:rsidP="005803BC">
            <w:pPr>
              <w:rPr>
                <w:color w:val="000000"/>
                <w:sz w:val="10"/>
                <w:szCs w:val="10"/>
                <w:lang w:eastAsia="tr-TR"/>
              </w:rPr>
            </w:pPr>
            <w:r w:rsidRPr="00005453">
              <w:rPr>
                <w:color w:val="000000"/>
                <w:sz w:val="10"/>
                <w:szCs w:val="10"/>
                <w:lang w:eastAsia="tr-TR"/>
              </w:rPr>
              <w:t>İmalat Sanayi</w:t>
            </w:r>
          </w:p>
        </w:tc>
        <w:tc>
          <w:tcPr>
            <w:tcW w:w="756" w:type="dxa"/>
            <w:tcBorders>
              <w:top w:val="nil"/>
              <w:left w:val="nil"/>
              <w:bottom w:val="nil"/>
              <w:right w:val="nil"/>
            </w:tcBorders>
            <w:shd w:val="clear" w:color="auto" w:fill="auto"/>
            <w:vAlign w:val="center"/>
            <w:hideMark/>
          </w:tcPr>
          <w:p w14:paraId="216A758E" w14:textId="3E8C6E15"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0C2C8AD3" w14:textId="2D20D8AB"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23D68A02" w14:textId="04AB18CF"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787941E5" w14:textId="5C23FA79"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5EE1DFDB" w14:textId="7E712668"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1A55C388" w14:textId="592DB39C"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673AEC41" w14:textId="25EE3BC6" w:rsidR="005803BC" w:rsidRPr="00005453" w:rsidRDefault="005803BC" w:rsidP="005803BC">
            <w:pPr>
              <w:jc w:val="right"/>
              <w:rPr>
                <w:color w:val="000000"/>
                <w:sz w:val="10"/>
                <w:szCs w:val="10"/>
              </w:rPr>
            </w:pPr>
            <w:r w:rsidRPr="00005453">
              <w:rPr>
                <w:color w:val="000000"/>
                <w:sz w:val="10"/>
                <w:szCs w:val="16"/>
              </w:rPr>
              <w:t>47,312,911</w:t>
            </w:r>
          </w:p>
        </w:tc>
        <w:tc>
          <w:tcPr>
            <w:tcW w:w="621" w:type="dxa"/>
            <w:tcBorders>
              <w:top w:val="nil"/>
              <w:left w:val="nil"/>
              <w:bottom w:val="nil"/>
              <w:right w:val="nil"/>
            </w:tcBorders>
            <w:shd w:val="clear" w:color="auto" w:fill="auto"/>
            <w:vAlign w:val="center"/>
            <w:hideMark/>
          </w:tcPr>
          <w:p w14:paraId="5A866E20" w14:textId="755DF91C" w:rsidR="005803BC" w:rsidRPr="00005453" w:rsidRDefault="005803BC" w:rsidP="005803BC">
            <w:pPr>
              <w:jc w:val="right"/>
              <w:rPr>
                <w:color w:val="000000"/>
                <w:sz w:val="10"/>
                <w:szCs w:val="10"/>
              </w:rPr>
            </w:pPr>
            <w:r w:rsidRPr="00005453">
              <w:rPr>
                <w:color w:val="000000"/>
                <w:sz w:val="10"/>
                <w:szCs w:val="16"/>
              </w:rPr>
              <w:t>10,756,682</w:t>
            </w:r>
          </w:p>
        </w:tc>
        <w:tc>
          <w:tcPr>
            <w:tcW w:w="921" w:type="dxa"/>
            <w:tcBorders>
              <w:top w:val="nil"/>
              <w:left w:val="nil"/>
              <w:bottom w:val="nil"/>
              <w:right w:val="nil"/>
            </w:tcBorders>
            <w:shd w:val="clear" w:color="auto" w:fill="auto"/>
            <w:vAlign w:val="center"/>
            <w:hideMark/>
          </w:tcPr>
          <w:p w14:paraId="723BACC5" w14:textId="4B418CC2" w:rsidR="005803BC" w:rsidRPr="00005453" w:rsidRDefault="005803BC" w:rsidP="005803BC">
            <w:pPr>
              <w:jc w:val="right"/>
              <w:rPr>
                <w:color w:val="000000"/>
                <w:sz w:val="10"/>
                <w:szCs w:val="10"/>
              </w:rPr>
            </w:pPr>
            <w:r w:rsidRPr="00005453">
              <w:rPr>
                <w:color w:val="000000"/>
                <w:sz w:val="10"/>
                <w:szCs w:val="16"/>
              </w:rPr>
              <w:t>22,069,903</w:t>
            </w:r>
          </w:p>
        </w:tc>
        <w:tc>
          <w:tcPr>
            <w:tcW w:w="529" w:type="dxa"/>
            <w:tcBorders>
              <w:top w:val="nil"/>
              <w:left w:val="nil"/>
              <w:bottom w:val="nil"/>
              <w:right w:val="nil"/>
            </w:tcBorders>
            <w:shd w:val="clear" w:color="auto" w:fill="auto"/>
            <w:vAlign w:val="center"/>
            <w:hideMark/>
          </w:tcPr>
          <w:p w14:paraId="765FF806" w14:textId="2256AFC7" w:rsidR="005803BC" w:rsidRPr="00005453" w:rsidRDefault="005803BC" w:rsidP="005803BC">
            <w:pPr>
              <w:jc w:val="right"/>
              <w:rPr>
                <w:color w:val="000000"/>
                <w:sz w:val="10"/>
                <w:szCs w:val="10"/>
              </w:rPr>
            </w:pPr>
            <w:r w:rsidRPr="00005453">
              <w:rPr>
                <w:color w:val="000000"/>
                <w:sz w:val="10"/>
                <w:szCs w:val="16"/>
              </w:rPr>
              <w:t>144,552</w:t>
            </w:r>
          </w:p>
        </w:tc>
        <w:tc>
          <w:tcPr>
            <w:tcW w:w="621" w:type="dxa"/>
            <w:tcBorders>
              <w:top w:val="nil"/>
              <w:left w:val="nil"/>
              <w:bottom w:val="nil"/>
              <w:right w:val="nil"/>
            </w:tcBorders>
            <w:shd w:val="clear" w:color="auto" w:fill="auto"/>
            <w:vAlign w:val="center"/>
            <w:hideMark/>
          </w:tcPr>
          <w:p w14:paraId="5ABB0520" w14:textId="54ECB211" w:rsidR="005803BC" w:rsidRPr="00005453" w:rsidRDefault="005803BC" w:rsidP="005803BC">
            <w:pPr>
              <w:jc w:val="right"/>
              <w:rPr>
                <w:color w:val="000000"/>
                <w:sz w:val="10"/>
                <w:szCs w:val="10"/>
              </w:rPr>
            </w:pPr>
            <w:r w:rsidRPr="00005453">
              <w:rPr>
                <w:color w:val="000000"/>
                <w:sz w:val="10"/>
                <w:szCs w:val="16"/>
              </w:rPr>
              <w:t>758,645</w:t>
            </w:r>
          </w:p>
        </w:tc>
        <w:tc>
          <w:tcPr>
            <w:tcW w:w="552" w:type="dxa"/>
            <w:tcBorders>
              <w:top w:val="nil"/>
              <w:left w:val="nil"/>
              <w:bottom w:val="nil"/>
              <w:right w:val="nil"/>
            </w:tcBorders>
            <w:shd w:val="clear" w:color="auto" w:fill="auto"/>
            <w:vAlign w:val="center"/>
            <w:hideMark/>
          </w:tcPr>
          <w:p w14:paraId="53C07BB5" w14:textId="7513AF39"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1A56BBDA" w14:textId="2AC17E69"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0C715FA8" w14:textId="1D042DFE"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746F721D" w14:textId="79FDB606"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7279CAAD" w14:textId="627EC285"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456150B3" w14:textId="7ECA4EE9" w:rsidR="005803BC" w:rsidRPr="00005453" w:rsidRDefault="005803BC" w:rsidP="005803BC">
            <w:pPr>
              <w:jc w:val="right"/>
              <w:rPr>
                <w:color w:val="000000"/>
                <w:sz w:val="10"/>
                <w:szCs w:val="10"/>
              </w:rPr>
            </w:pPr>
            <w:r w:rsidRPr="00005453">
              <w:rPr>
                <w:color w:val="000000"/>
                <w:sz w:val="10"/>
                <w:szCs w:val="16"/>
              </w:rPr>
              <w:t>19,766</w:t>
            </w:r>
          </w:p>
        </w:tc>
        <w:tc>
          <w:tcPr>
            <w:tcW w:w="674" w:type="dxa"/>
            <w:tcBorders>
              <w:top w:val="nil"/>
              <w:left w:val="nil"/>
              <w:bottom w:val="nil"/>
              <w:right w:val="nil"/>
            </w:tcBorders>
            <w:shd w:val="clear" w:color="auto" w:fill="auto"/>
            <w:vAlign w:val="center"/>
            <w:hideMark/>
          </w:tcPr>
          <w:p w14:paraId="4161B4A0" w14:textId="3498E12B" w:rsidR="005803BC" w:rsidRPr="00005453" w:rsidRDefault="005803BC" w:rsidP="005803BC">
            <w:pPr>
              <w:jc w:val="right"/>
              <w:rPr>
                <w:color w:val="000000"/>
                <w:sz w:val="10"/>
                <w:szCs w:val="10"/>
              </w:rPr>
            </w:pPr>
            <w:r w:rsidRPr="00005453">
              <w:rPr>
                <w:color w:val="000000"/>
                <w:sz w:val="10"/>
                <w:szCs w:val="16"/>
              </w:rPr>
              <w:t>32,081,211</w:t>
            </w:r>
          </w:p>
        </w:tc>
        <w:tc>
          <w:tcPr>
            <w:tcW w:w="674" w:type="dxa"/>
            <w:tcBorders>
              <w:top w:val="nil"/>
              <w:left w:val="nil"/>
              <w:bottom w:val="nil"/>
              <w:right w:val="nil"/>
            </w:tcBorders>
            <w:shd w:val="clear" w:color="auto" w:fill="auto"/>
            <w:vAlign w:val="center"/>
            <w:hideMark/>
          </w:tcPr>
          <w:p w14:paraId="5C5B308B" w14:textId="532CB94B" w:rsidR="005803BC" w:rsidRPr="00005453" w:rsidRDefault="005803BC" w:rsidP="005803BC">
            <w:pPr>
              <w:jc w:val="right"/>
              <w:rPr>
                <w:color w:val="000000"/>
                <w:sz w:val="10"/>
                <w:szCs w:val="10"/>
              </w:rPr>
            </w:pPr>
            <w:r w:rsidRPr="00005453">
              <w:rPr>
                <w:color w:val="000000"/>
                <w:sz w:val="10"/>
                <w:szCs w:val="16"/>
              </w:rPr>
              <w:t>48,981,248</w:t>
            </w:r>
          </w:p>
        </w:tc>
        <w:tc>
          <w:tcPr>
            <w:tcW w:w="889" w:type="dxa"/>
            <w:tcBorders>
              <w:top w:val="nil"/>
              <w:left w:val="nil"/>
              <w:bottom w:val="nil"/>
              <w:right w:val="nil"/>
            </w:tcBorders>
            <w:shd w:val="clear" w:color="auto" w:fill="auto"/>
            <w:vAlign w:val="center"/>
            <w:hideMark/>
          </w:tcPr>
          <w:p w14:paraId="31623D35" w14:textId="62B87976" w:rsidR="005803BC" w:rsidRPr="00005453" w:rsidRDefault="005803BC" w:rsidP="005803BC">
            <w:pPr>
              <w:jc w:val="right"/>
              <w:rPr>
                <w:color w:val="000000"/>
                <w:sz w:val="10"/>
                <w:szCs w:val="10"/>
              </w:rPr>
            </w:pPr>
            <w:r w:rsidRPr="00005453">
              <w:rPr>
                <w:bCs/>
                <w:color w:val="000000"/>
                <w:sz w:val="10"/>
                <w:szCs w:val="10"/>
              </w:rPr>
              <w:t>81,062,459</w:t>
            </w:r>
          </w:p>
        </w:tc>
      </w:tr>
      <w:tr w:rsidR="005803BC" w:rsidRPr="00005453" w14:paraId="0B9010D7" w14:textId="77777777" w:rsidTr="00667FB0">
        <w:trPr>
          <w:trHeight w:val="215"/>
        </w:trPr>
        <w:tc>
          <w:tcPr>
            <w:tcW w:w="1013" w:type="dxa"/>
            <w:tcBorders>
              <w:top w:val="nil"/>
              <w:left w:val="nil"/>
              <w:bottom w:val="nil"/>
              <w:right w:val="nil"/>
            </w:tcBorders>
            <w:shd w:val="clear" w:color="auto" w:fill="auto"/>
            <w:noWrap/>
            <w:vAlign w:val="center"/>
            <w:hideMark/>
          </w:tcPr>
          <w:p w14:paraId="55C04759" w14:textId="77777777" w:rsidR="005803BC" w:rsidRPr="00005453" w:rsidRDefault="005803BC" w:rsidP="005803BC">
            <w:pPr>
              <w:rPr>
                <w:color w:val="000000"/>
                <w:sz w:val="10"/>
                <w:szCs w:val="10"/>
                <w:lang w:eastAsia="tr-TR"/>
              </w:rPr>
            </w:pPr>
            <w:r w:rsidRPr="00005453">
              <w:rPr>
                <w:color w:val="000000"/>
                <w:sz w:val="10"/>
                <w:szCs w:val="10"/>
                <w:lang w:eastAsia="tr-TR"/>
              </w:rPr>
              <w:t>Elektrik, Gaz, Su</w:t>
            </w:r>
          </w:p>
        </w:tc>
        <w:tc>
          <w:tcPr>
            <w:tcW w:w="756" w:type="dxa"/>
            <w:tcBorders>
              <w:top w:val="nil"/>
              <w:left w:val="nil"/>
              <w:bottom w:val="nil"/>
              <w:right w:val="nil"/>
            </w:tcBorders>
            <w:shd w:val="clear" w:color="auto" w:fill="auto"/>
            <w:vAlign w:val="center"/>
            <w:hideMark/>
          </w:tcPr>
          <w:p w14:paraId="4C7E16D2" w14:textId="79FFCA63"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1C3E48F0" w14:textId="6C02F15A"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1C80E014" w14:textId="282E13DD"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17211E48" w14:textId="0675F217"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6C9380C7" w14:textId="0BC9F92A"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71C03D37" w14:textId="680A4685"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76F9489C" w14:textId="55029BD6" w:rsidR="005803BC" w:rsidRPr="00005453" w:rsidRDefault="005803BC" w:rsidP="005803BC">
            <w:pPr>
              <w:jc w:val="right"/>
              <w:rPr>
                <w:color w:val="000000"/>
                <w:sz w:val="10"/>
                <w:szCs w:val="10"/>
              </w:rPr>
            </w:pPr>
            <w:r w:rsidRPr="00005453">
              <w:rPr>
                <w:color w:val="000000"/>
                <w:sz w:val="10"/>
                <w:szCs w:val="16"/>
              </w:rPr>
              <w:t>8,436,027</w:t>
            </w:r>
          </w:p>
        </w:tc>
        <w:tc>
          <w:tcPr>
            <w:tcW w:w="621" w:type="dxa"/>
            <w:tcBorders>
              <w:top w:val="nil"/>
              <w:left w:val="nil"/>
              <w:bottom w:val="nil"/>
              <w:right w:val="nil"/>
            </w:tcBorders>
            <w:shd w:val="clear" w:color="auto" w:fill="auto"/>
            <w:vAlign w:val="center"/>
            <w:hideMark/>
          </w:tcPr>
          <w:p w14:paraId="54637C96" w14:textId="7A0A072C" w:rsidR="005803BC" w:rsidRPr="00005453" w:rsidRDefault="005803BC" w:rsidP="005803BC">
            <w:pPr>
              <w:jc w:val="right"/>
              <w:rPr>
                <w:color w:val="000000"/>
                <w:sz w:val="10"/>
                <w:szCs w:val="10"/>
              </w:rPr>
            </w:pPr>
            <w:r w:rsidRPr="00005453">
              <w:rPr>
                <w:color w:val="000000"/>
                <w:sz w:val="10"/>
                <w:szCs w:val="16"/>
              </w:rPr>
              <w:t>825,636</w:t>
            </w:r>
          </w:p>
        </w:tc>
        <w:tc>
          <w:tcPr>
            <w:tcW w:w="921" w:type="dxa"/>
            <w:tcBorders>
              <w:top w:val="nil"/>
              <w:left w:val="nil"/>
              <w:bottom w:val="nil"/>
              <w:right w:val="nil"/>
            </w:tcBorders>
            <w:shd w:val="clear" w:color="auto" w:fill="auto"/>
            <w:vAlign w:val="center"/>
            <w:hideMark/>
          </w:tcPr>
          <w:p w14:paraId="07AF6056" w14:textId="497C94D3" w:rsidR="005803BC" w:rsidRPr="00005453" w:rsidRDefault="005803BC" w:rsidP="005803BC">
            <w:pPr>
              <w:jc w:val="right"/>
              <w:rPr>
                <w:color w:val="000000"/>
                <w:sz w:val="10"/>
                <w:szCs w:val="10"/>
              </w:rPr>
            </w:pPr>
            <w:r w:rsidRPr="00005453">
              <w:rPr>
                <w:color w:val="000000"/>
                <w:sz w:val="10"/>
                <w:szCs w:val="16"/>
              </w:rPr>
              <w:t>1,622,619</w:t>
            </w:r>
          </w:p>
        </w:tc>
        <w:tc>
          <w:tcPr>
            <w:tcW w:w="529" w:type="dxa"/>
            <w:tcBorders>
              <w:top w:val="nil"/>
              <w:left w:val="nil"/>
              <w:bottom w:val="nil"/>
              <w:right w:val="nil"/>
            </w:tcBorders>
            <w:shd w:val="clear" w:color="auto" w:fill="auto"/>
            <w:vAlign w:val="center"/>
            <w:hideMark/>
          </w:tcPr>
          <w:p w14:paraId="6E0F6E8C" w14:textId="2DE62B88" w:rsidR="005803BC" w:rsidRPr="00005453" w:rsidRDefault="005803BC" w:rsidP="005803BC">
            <w:pPr>
              <w:jc w:val="right"/>
              <w:rPr>
                <w:color w:val="000000"/>
                <w:sz w:val="10"/>
                <w:szCs w:val="10"/>
              </w:rPr>
            </w:pPr>
            <w:r w:rsidRPr="00005453">
              <w:rPr>
                <w:color w:val="000000"/>
                <w:sz w:val="10"/>
                <w:szCs w:val="16"/>
              </w:rPr>
              <w:t>2,155</w:t>
            </w:r>
          </w:p>
        </w:tc>
        <w:tc>
          <w:tcPr>
            <w:tcW w:w="621" w:type="dxa"/>
            <w:tcBorders>
              <w:top w:val="nil"/>
              <w:left w:val="nil"/>
              <w:bottom w:val="nil"/>
              <w:right w:val="nil"/>
            </w:tcBorders>
            <w:shd w:val="clear" w:color="auto" w:fill="auto"/>
            <w:vAlign w:val="center"/>
            <w:hideMark/>
          </w:tcPr>
          <w:p w14:paraId="6110F09C" w14:textId="6E311949" w:rsidR="005803BC" w:rsidRPr="00005453" w:rsidRDefault="005803BC" w:rsidP="005803BC">
            <w:pPr>
              <w:jc w:val="right"/>
              <w:rPr>
                <w:color w:val="000000"/>
                <w:sz w:val="10"/>
                <w:szCs w:val="10"/>
              </w:rPr>
            </w:pPr>
            <w:r w:rsidRPr="00005453">
              <w:rPr>
                <w:color w:val="000000"/>
                <w:sz w:val="10"/>
                <w:szCs w:val="16"/>
              </w:rPr>
              <w:t>93</w:t>
            </w:r>
          </w:p>
        </w:tc>
        <w:tc>
          <w:tcPr>
            <w:tcW w:w="552" w:type="dxa"/>
            <w:tcBorders>
              <w:top w:val="nil"/>
              <w:left w:val="nil"/>
              <w:bottom w:val="nil"/>
              <w:right w:val="nil"/>
            </w:tcBorders>
            <w:shd w:val="clear" w:color="auto" w:fill="auto"/>
            <w:vAlign w:val="center"/>
            <w:hideMark/>
          </w:tcPr>
          <w:p w14:paraId="61EB8555" w14:textId="689C7D0F"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236706F7" w14:textId="1F4DF612"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4282F996" w14:textId="65D15CCC"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35ADD0C0" w14:textId="1276D355"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682E26BF" w14:textId="5FEE1106"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4D9154CA" w14:textId="3D60A65A" w:rsidR="005803BC" w:rsidRPr="00005453" w:rsidRDefault="005803BC" w:rsidP="005803BC">
            <w:pPr>
              <w:jc w:val="right"/>
              <w:rPr>
                <w:color w:val="000000"/>
                <w:sz w:val="10"/>
                <w:szCs w:val="10"/>
              </w:rPr>
            </w:pPr>
            <w:r w:rsidRPr="00005453">
              <w:rPr>
                <w:color w:val="000000"/>
                <w:sz w:val="10"/>
                <w:szCs w:val="16"/>
              </w:rPr>
              <w:t>16,778</w:t>
            </w:r>
          </w:p>
        </w:tc>
        <w:tc>
          <w:tcPr>
            <w:tcW w:w="674" w:type="dxa"/>
            <w:tcBorders>
              <w:top w:val="nil"/>
              <w:left w:val="nil"/>
              <w:bottom w:val="nil"/>
              <w:right w:val="nil"/>
            </w:tcBorders>
            <w:shd w:val="clear" w:color="auto" w:fill="auto"/>
            <w:vAlign w:val="center"/>
            <w:hideMark/>
          </w:tcPr>
          <w:p w14:paraId="5B6E9655" w14:textId="3F51CB30" w:rsidR="005803BC" w:rsidRPr="00005453" w:rsidRDefault="005803BC" w:rsidP="005803BC">
            <w:pPr>
              <w:jc w:val="right"/>
              <w:rPr>
                <w:color w:val="000000"/>
                <w:sz w:val="10"/>
                <w:szCs w:val="10"/>
              </w:rPr>
            </w:pPr>
            <w:r w:rsidRPr="00005453">
              <w:rPr>
                <w:color w:val="000000"/>
                <w:sz w:val="10"/>
                <w:szCs w:val="16"/>
              </w:rPr>
              <w:t>1,806,169</w:t>
            </w:r>
          </w:p>
        </w:tc>
        <w:tc>
          <w:tcPr>
            <w:tcW w:w="674" w:type="dxa"/>
            <w:tcBorders>
              <w:top w:val="nil"/>
              <w:left w:val="nil"/>
              <w:bottom w:val="nil"/>
              <w:right w:val="nil"/>
            </w:tcBorders>
            <w:shd w:val="clear" w:color="auto" w:fill="auto"/>
            <w:vAlign w:val="center"/>
            <w:hideMark/>
          </w:tcPr>
          <w:p w14:paraId="3C8A29A0" w14:textId="78586BA3" w:rsidR="005803BC" w:rsidRPr="00005453" w:rsidRDefault="005803BC" w:rsidP="005803BC">
            <w:pPr>
              <w:jc w:val="right"/>
              <w:rPr>
                <w:color w:val="000000"/>
                <w:sz w:val="10"/>
                <w:szCs w:val="10"/>
              </w:rPr>
            </w:pPr>
            <w:r w:rsidRPr="00005453">
              <w:rPr>
                <w:color w:val="000000"/>
                <w:sz w:val="10"/>
                <w:szCs w:val="16"/>
              </w:rPr>
              <w:t>9,097,139</w:t>
            </w:r>
          </w:p>
        </w:tc>
        <w:tc>
          <w:tcPr>
            <w:tcW w:w="889" w:type="dxa"/>
            <w:tcBorders>
              <w:top w:val="nil"/>
              <w:left w:val="nil"/>
              <w:bottom w:val="nil"/>
              <w:right w:val="nil"/>
            </w:tcBorders>
            <w:shd w:val="clear" w:color="auto" w:fill="auto"/>
            <w:vAlign w:val="center"/>
            <w:hideMark/>
          </w:tcPr>
          <w:p w14:paraId="1B6BA470" w14:textId="1DD8C76F" w:rsidR="005803BC" w:rsidRPr="00005453" w:rsidRDefault="005803BC" w:rsidP="005803BC">
            <w:pPr>
              <w:jc w:val="right"/>
              <w:rPr>
                <w:color w:val="000000"/>
                <w:sz w:val="10"/>
                <w:szCs w:val="10"/>
              </w:rPr>
            </w:pPr>
            <w:r w:rsidRPr="00005453">
              <w:rPr>
                <w:bCs/>
                <w:color w:val="000000"/>
                <w:sz w:val="10"/>
                <w:szCs w:val="10"/>
              </w:rPr>
              <w:t>10,903,308</w:t>
            </w:r>
          </w:p>
        </w:tc>
      </w:tr>
      <w:tr w:rsidR="005803BC" w:rsidRPr="00005453" w14:paraId="4B7FB5DA" w14:textId="77777777" w:rsidTr="00667FB0">
        <w:trPr>
          <w:trHeight w:val="215"/>
        </w:trPr>
        <w:tc>
          <w:tcPr>
            <w:tcW w:w="1013" w:type="dxa"/>
            <w:tcBorders>
              <w:top w:val="nil"/>
              <w:left w:val="nil"/>
              <w:bottom w:val="nil"/>
              <w:right w:val="nil"/>
            </w:tcBorders>
            <w:shd w:val="clear" w:color="auto" w:fill="auto"/>
            <w:noWrap/>
            <w:vAlign w:val="center"/>
            <w:hideMark/>
          </w:tcPr>
          <w:p w14:paraId="30E2CBC4"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İnşaat</w:t>
            </w:r>
          </w:p>
        </w:tc>
        <w:tc>
          <w:tcPr>
            <w:tcW w:w="756" w:type="dxa"/>
            <w:tcBorders>
              <w:top w:val="nil"/>
              <w:left w:val="nil"/>
              <w:bottom w:val="nil"/>
              <w:right w:val="nil"/>
            </w:tcBorders>
            <w:shd w:val="clear" w:color="auto" w:fill="auto"/>
            <w:vAlign w:val="center"/>
            <w:hideMark/>
          </w:tcPr>
          <w:p w14:paraId="07AFF8DF" w14:textId="4359E118" w:rsidR="005803BC" w:rsidRPr="00005453" w:rsidRDefault="005803BC" w:rsidP="005803BC">
            <w:pPr>
              <w:jc w:val="right"/>
              <w:rPr>
                <w:b/>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04EB2E40" w14:textId="79A875CB" w:rsidR="005803BC" w:rsidRPr="00005453" w:rsidRDefault="005803BC" w:rsidP="005803BC">
            <w:pPr>
              <w:jc w:val="right"/>
              <w:rPr>
                <w:b/>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4D59F94F" w14:textId="1BAEAA51" w:rsidR="005803BC" w:rsidRPr="00005453" w:rsidRDefault="005803BC" w:rsidP="005803BC">
            <w:pPr>
              <w:jc w:val="right"/>
              <w:rPr>
                <w:b/>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0FBE1E0C" w14:textId="2D1F53BB" w:rsidR="005803BC" w:rsidRPr="00005453" w:rsidRDefault="005803BC" w:rsidP="005803BC">
            <w:pPr>
              <w:jc w:val="right"/>
              <w:rPr>
                <w:b/>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0B937DBE" w14:textId="047B516D" w:rsidR="005803BC" w:rsidRPr="00005453" w:rsidRDefault="005803BC" w:rsidP="005803BC">
            <w:pPr>
              <w:jc w:val="right"/>
              <w:rPr>
                <w:b/>
                <w:color w:val="000000"/>
                <w:sz w:val="10"/>
                <w:szCs w:val="10"/>
              </w:rPr>
            </w:pPr>
            <w:r w:rsidRPr="00005453">
              <w:rPr>
                <w:b/>
                <w:bCs/>
                <w:color w:val="000000"/>
                <w:sz w:val="10"/>
                <w:szCs w:val="10"/>
              </w:rPr>
              <w:t>-</w:t>
            </w:r>
          </w:p>
        </w:tc>
        <w:tc>
          <w:tcPr>
            <w:tcW w:w="686" w:type="dxa"/>
            <w:tcBorders>
              <w:top w:val="nil"/>
              <w:left w:val="nil"/>
              <w:bottom w:val="nil"/>
              <w:right w:val="nil"/>
            </w:tcBorders>
            <w:shd w:val="clear" w:color="auto" w:fill="auto"/>
            <w:vAlign w:val="center"/>
            <w:hideMark/>
          </w:tcPr>
          <w:p w14:paraId="344B8B29" w14:textId="418BF458" w:rsidR="005803BC" w:rsidRPr="00005453" w:rsidRDefault="005803BC" w:rsidP="005803BC">
            <w:pPr>
              <w:jc w:val="right"/>
              <w:rPr>
                <w:b/>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51267305" w14:textId="25A1DF85" w:rsidR="005803BC" w:rsidRPr="00005453" w:rsidRDefault="005803BC" w:rsidP="005803BC">
            <w:pPr>
              <w:jc w:val="right"/>
              <w:rPr>
                <w:b/>
                <w:color w:val="000000"/>
                <w:sz w:val="10"/>
                <w:szCs w:val="10"/>
              </w:rPr>
            </w:pPr>
            <w:r w:rsidRPr="00005453">
              <w:rPr>
                <w:b/>
                <w:bCs/>
                <w:color w:val="000000"/>
                <w:sz w:val="10"/>
                <w:szCs w:val="16"/>
              </w:rPr>
              <w:t>26,101,906</w:t>
            </w:r>
          </w:p>
        </w:tc>
        <w:tc>
          <w:tcPr>
            <w:tcW w:w="621" w:type="dxa"/>
            <w:tcBorders>
              <w:top w:val="nil"/>
              <w:left w:val="nil"/>
              <w:bottom w:val="nil"/>
              <w:right w:val="nil"/>
            </w:tcBorders>
            <w:shd w:val="clear" w:color="auto" w:fill="auto"/>
            <w:vAlign w:val="center"/>
            <w:hideMark/>
          </w:tcPr>
          <w:p w14:paraId="4B175976" w14:textId="4252701C" w:rsidR="005803BC" w:rsidRPr="00005453" w:rsidRDefault="005803BC" w:rsidP="005803BC">
            <w:pPr>
              <w:jc w:val="right"/>
              <w:rPr>
                <w:b/>
                <w:color w:val="000000"/>
                <w:sz w:val="10"/>
                <w:szCs w:val="10"/>
              </w:rPr>
            </w:pPr>
            <w:r w:rsidRPr="00005453">
              <w:rPr>
                <w:b/>
                <w:bCs/>
                <w:color w:val="000000"/>
                <w:sz w:val="10"/>
                <w:szCs w:val="16"/>
              </w:rPr>
              <w:t>7,364,918</w:t>
            </w:r>
          </w:p>
        </w:tc>
        <w:tc>
          <w:tcPr>
            <w:tcW w:w="921" w:type="dxa"/>
            <w:tcBorders>
              <w:top w:val="nil"/>
              <w:left w:val="nil"/>
              <w:bottom w:val="nil"/>
              <w:right w:val="nil"/>
            </w:tcBorders>
            <w:shd w:val="clear" w:color="auto" w:fill="auto"/>
            <w:vAlign w:val="center"/>
            <w:hideMark/>
          </w:tcPr>
          <w:p w14:paraId="59CFEB1E" w14:textId="75F241F6" w:rsidR="005803BC" w:rsidRPr="00005453" w:rsidRDefault="005803BC" w:rsidP="005803BC">
            <w:pPr>
              <w:jc w:val="right"/>
              <w:rPr>
                <w:b/>
                <w:color w:val="000000"/>
                <w:sz w:val="10"/>
                <w:szCs w:val="10"/>
              </w:rPr>
            </w:pPr>
            <w:r w:rsidRPr="00005453">
              <w:rPr>
                <w:b/>
                <w:bCs/>
                <w:color w:val="000000"/>
                <w:sz w:val="10"/>
                <w:szCs w:val="16"/>
              </w:rPr>
              <w:t>15,882,155</w:t>
            </w:r>
          </w:p>
        </w:tc>
        <w:tc>
          <w:tcPr>
            <w:tcW w:w="529" w:type="dxa"/>
            <w:tcBorders>
              <w:top w:val="nil"/>
              <w:left w:val="nil"/>
              <w:bottom w:val="nil"/>
              <w:right w:val="nil"/>
            </w:tcBorders>
            <w:shd w:val="clear" w:color="auto" w:fill="auto"/>
            <w:vAlign w:val="center"/>
            <w:hideMark/>
          </w:tcPr>
          <w:p w14:paraId="187BC347" w14:textId="531874A3" w:rsidR="005803BC" w:rsidRPr="00005453" w:rsidRDefault="005803BC" w:rsidP="005803BC">
            <w:pPr>
              <w:jc w:val="right"/>
              <w:rPr>
                <w:b/>
                <w:color w:val="000000"/>
                <w:sz w:val="10"/>
                <w:szCs w:val="10"/>
              </w:rPr>
            </w:pPr>
            <w:r w:rsidRPr="00005453">
              <w:rPr>
                <w:b/>
                <w:bCs/>
                <w:color w:val="000000"/>
                <w:sz w:val="10"/>
                <w:szCs w:val="16"/>
              </w:rPr>
              <w:t>49,074</w:t>
            </w:r>
          </w:p>
        </w:tc>
        <w:tc>
          <w:tcPr>
            <w:tcW w:w="621" w:type="dxa"/>
            <w:tcBorders>
              <w:top w:val="nil"/>
              <w:left w:val="nil"/>
              <w:bottom w:val="nil"/>
              <w:right w:val="nil"/>
            </w:tcBorders>
            <w:shd w:val="clear" w:color="auto" w:fill="auto"/>
            <w:vAlign w:val="center"/>
            <w:hideMark/>
          </w:tcPr>
          <w:p w14:paraId="5EFF4B6A" w14:textId="577F2F51" w:rsidR="005803BC" w:rsidRPr="00005453" w:rsidRDefault="005803BC" w:rsidP="005803BC">
            <w:pPr>
              <w:jc w:val="right"/>
              <w:rPr>
                <w:b/>
                <w:color w:val="000000"/>
                <w:sz w:val="10"/>
                <w:szCs w:val="10"/>
              </w:rPr>
            </w:pPr>
            <w:r w:rsidRPr="00005453">
              <w:rPr>
                <w:b/>
                <w:bCs/>
                <w:color w:val="000000"/>
                <w:sz w:val="10"/>
                <w:szCs w:val="16"/>
              </w:rPr>
              <w:t>39,135</w:t>
            </w:r>
          </w:p>
        </w:tc>
        <w:tc>
          <w:tcPr>
            <w:tcW w:w="552" w:type="dxa"/>
            <w:tcBorders>
              <w:top w:val="nil"/>
              <w:left w:val="nil"/>
              <w:bottom w:val="nil"/>
              <w:right w:val="nil"/>
            </w:tcBorders>
            <w:shd w:val="clear" w:color="auto" w:fill="auto"/>
            <w:vAlign w:val="center"/>
            <w:hideMark/>
          </w:tcPr>
          <w:p w14:paraId="02FD0C6F" w14:textId="55C8AA06" w:rsidR="005803BC" w:rsidRPr="00005453" w:rsidRDefault="005803BC" w:rsidP="005803BC">
            <w:pPr>
              <w:jc w:val="right"/>
              <w:rPr>
                <w:b/>
                <w:color w:val="000000"/>
                <w:sz w:val="10"/>
                <w:szCs w:val="10"/>
              </w:rPr>
            </w:pPr>
            <w:r w:rsidRPr="00005453">
              <w:rPr>
                <w:b/>
                <w:bCs/>
                <w:color w:val="000000"/>
                <w:sz w:val="10"/>
                <w:szCs w:val="16"/>
              </w:rPr>
              <w:t>-</w:t>
            </w:r>
          </w:p>
        </w:tc>
        <w:tc>
          <w:tcPr>
            <w:tcW w:w="779" w:type="dxa"/>
            <w:tcBorders>
              <w:top w:val="nil"/>
              <w:left w:val="nil"/>
              <w:bottom w:val="nil"/>
              <w:right w:val="nil"/>
            </w:tcBorders>
            <w:shd w:val="clear" w:color="auto" w:fill="auto"/>
            <w:vAlign w:val="center"/>
            <w:hideMark/>
          </w:tcPr>
          <w:p w14:paraId="40D2B985" w14:textId="52536C31"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nil"/>
              <w:right w:val="nil"/>
            </w:tcBorders>
            <w:shd w:val="clear" w:color="auto" w:fill="auto"/>
            <w:vAlign w:val="center"/>
            <w:hideMark/>
          </w:tcPr>
          <w:p w14:paraId="6F23E9D3" w14:textId="3EF17EC5" w:rsidR="005803BC" w:rsidRPr="00005453" w:rsidRDefault="005803BC" w:rsidP="005803BC">
            <w:pPr>
              <w:jc w:val="right"/>
              <w:rPr>
                <w:b/>
                <w:color w:val="000000"/>
                <w:sz w:val="10"/>
                <w:szCs w:val="10"/>
              </w:rPr>
            </w:pPr>
            <w:r w:rsidRPr="00005453">
              <w:rPr>
                <w:b/>
                <w:bCs/>
                <w:color w:val="000000"/>
                <w:sz w:val="10"/>
                <w:szCs w:val="16"/>
              </w:rPr>
              <w:t>-</w:t>
            </w:r>
          </w:p>
        </w:tc>
        <w:tc>
          <w:tcPr>
            <w:tcW w:w="680" w:type="dxa"/>
            <w:tcBorders>
              <w:top w:val="nil"/>
              <w:left w:val="nil"/>
              <w:bottom w:val="nil"/>
              <w:right w:val="nil"/>
            </w:tcBorders>
            <w:shd w:val="clear" w:color="auto" w:fill="auto"/>
            <w:vAlign w:val="center"/>
            <w:hideMark/>
          </w:tcPr>
          <w:p w14:paraId="4FCE3192" w14:textId="77E43EFD" w:rsidR="005803BC" w:rsidRPr="00005453" w:rsidRDefault="005803BC" w:rsidP="005803BC">
            <w:pPr>
              <w:jc w:val="right"/>
              <w:rPr>
                <w:b/>
                <w:color w:val="000000"/>
                <w:sz w:val="10"/>
                <w:szCs w:val="10"/>
              </w:rPr>
            </w:pPr>
            <w:r w:rsidRPr="00005453">
              <w:rPr>
                <w:b/>
                <w:bCs/>
                <w:color w:val="000000"/>
                <w:sz w:val="10"/>
                <w:szCs w:val="16"/>
              </w:rPr>
              <w:t>-</w:t>
            </w:r>
          </w:p>
        </w:tc>
        <w:tc>
          <w:tcPr>
            <w:tcW w:w="616" w:type="dxa"/>
            <w:tcBorders>
              <w:top w:val="nil"/>
              <w:left w:val="nil"/>
              <w:bottom w:val="nil"/>
              <w:right w:val="nil"/>
            </w:tcBorders>
            <w:shd w:val="clear" w:color="auto" w:fill="auto"/>
            <w:vAlign w:val="center"/>
            <w:hideMark/>
          </w:tcPr>
          <w:p w14:paraId="345099DD" w14:textId="7146DA47" w:rsidR="005803BC" w:rsidRPr="00005453" w:rsidRDefault="005803BC" w:rsidP="005803BC">
            <w:pPr>
              <w:jc w:val="right"/>
              <w:rPr>
                <w:b/>
                <w:color w:val="000000"/>
                <w:sz w:val="10"/>
                <w:szCs w:val="10"/>
              </w:rPr>
            </w:pPr>
            <w:r w:rsidRPr="00005453">
              <w:rPr>
                <w:b/>
                <w:bCs/>
                <w:color w:val="000000"/>
                <w:sz w:val="10"/>
                <w:szCs w:val="16"/>
              </w:rPr>
              <w:t>-</w:t>
            </w:r>
          </w:p>
        </w:tc>
        <w:tc>
          <w:tcPr>
            <w:tcW w:w="621" w:type="dxa"/>
            <w:tcBorders>
              <w:top w:val="nil"/>
              <w:left w:val="nil"/>
              <w:bottom w:val="nil"/>
              <w:right w:val="nil"/>
            </w:tcBorders>
            <w:shd w:val="clear" w:color="auto" w:fill="auto"/>
            <w:vAlign w:val="center"/>
            <w:hideMark/>
          </w:tcPr>
          <w:p w14:paraId="132B7560" w14:textId="5B887E35" w:rsidR="005803BC" w:rsidRPr="00005453" w:rsidRDefault="005803BC" w:rsidP="005803BC">
            <w:pPr>
              <w:jc w:val="right"/>
              <w:rPr>
                <w:b/>
                <w:color w:val="000000"/>
                <w:sz w:val="10"/>
                <w:szCs w:val="10"/>
              </w:rPr>
            </w:pPr>
            <w:r w:rsidRPr="00005453">
              <w:rPr>
                <w:b/>
                <w:bCs/>
                <w:color w:val="000000"/>
                <w:sz w:val="10"/>
                <w:szCs w:val="16"/>
              </w:rPr>
              <w:t>16,681</w:t>
            </w:r>
          </w:p>
        </w:tc>
        <w:tc>
          <w:tcPr>
            <w:tcW w:w="674" w:type="dxa"/>
            <w:tcBorders>
              <w:top w:val="nil"/>
              <w:left w:val="nil"/>
              <w:bottom w:val="nil"/>
              <w:right w:val="nil"/>
            </w:tcBorders>
            <w:shd w:val="clear" w:color="auto" w:fill="auto"/>
            <w:vAlign w:val="center"/>
            <w:hideMark/>
          </w:tcPr>
          <w:p w14:paraId="05429F4C" w14:textId="2CF9B701" w:rsidR="005803BC" w:rsidRPr="00005453" w:rsidRDefault="005803BC" w:rsidP="005803BC">
            <w:pPr>
              <w:jc w:val="right"/>
              <w:rPr>
                <w:b/>
                <w:color w:val="000000"/>
                <w:sz w:val="10"/>
                <w:szCs w:val="10"/>
              </w:rPr>
            </w:pPr>
            <w:r w:rsidRPr="00005453">
              <w:rPr>
                <w:b/>
                <w:bCs/>
                <w:color w:val="000000"/>
                <w:sz w:val="10"/>
                <w:szCs w:val="16"/>
              </w:rPr>
              <w:t>32,476,413</w:t>
            </w:r>
          </w:p>
        </w:tc>
        <w:tc>
          <w:tcPr>
            <w:tcW w:w="674" w:type="dxa"/>
            <w:tcBorders>
              <w:top w:val="nil"/>
              <w:left w:val="nil"/>
              <w:bottom w:val="nil"/>
              <w:right w:val="nil"/>
            </w:tcBorders>
            <w:shd w:val="clear" w:color="auto" w:fill="auto"/>
            <w:vAlign w:val="center"/>
            <w:hideMark/>
          </w:tcPr>
          <w:p w14:paraId="67E5DBA8" w14:textId="100DC1AE" w:rsidR="005803BC" w:rsidRPr="00005453" w:rsidRDefault="005803BC" w:rsidP="005803BC">
            <w:pPr>
              <w:jc w:val="right"/>
              <w:rPr>
                <w:b/>
                <w:color w:val="000000"/>
                <w:sz w:val="10"/>
                <w:szCs w:val="10"/>
              </w:rPr>
            </w:pPr>
            <w:r w:rsidRPr="00005453">
              <w:rPr>
                <w:b/>
                <w:bCs/>
                <w:color w:val="000000"/>
                <w:sz w:val="10"/>
                <w:szCs w:val="16"/>
              </w:rPr>
              <w:t>16,977,456</w:t>
            </w:r>
          </w:p>
        </w:tc>
        <w:tc>
          <w:tcPr>
            <w:tcW w:w="889" w:type="dxa"/>
            <w:tcBorders>
              <w:top w:val="nil"/>
              <w:left w:val="nil"/>
              <w:bottom w:val="nil"/>
              <w:right w:val="nil"/>
            </w:tcBorders>
            <w:shd w:val="clear" w:color="auto" w:fill="auto"/>
            <w:vAlign w:val="center"/>
            <w:hideMark/>
          </w:tcPr>
          <w:p w14:paraId="7828ACF2" w14:textId="7CF8C7F1" w:rsidR="005803BC" w:rsidRPr="00005453" w:rsidRDefault="005803BC" w:rsidP="005803BC">
            <w:pPr>
              <w:jc w:val="right"/>
              <w:rPr>
                <w:b/>
                <w:color w:val="000000"/>
                <w:sz w:val="10"/>
                <w:szCs w:val="10"/>
              </w:rPr>
            </w:pPr>
            <w:r w:rsidRPr="00005453">
              <w:rPr>
                <w:b/>
                <w:bCs/>
                <w:color w:val="000000"/>
                <w:sz w:val="10"/>
                <w:szCs w:val="10"/>
              </w:rPr>
              <w:t>49,453,869</w:t>
            </w:r>
          </w:p>
        </w:tc>
      </w:tr>
      <w:tr w:rsidR="005803BC" w:rsidRPr="00005453" w14:paraId="57E379F4" w14:textId="77777777" w:rsidTr="00667FB0">
        <w:trPr>
          <w:trHeight w:val="215"/>
        </w:trPr>
        <w:tc>
          <w:tcPr>
            <w:tcW w:w="1013" w:type="dxa"/>
            <w:tcBorders>
              <w:top w:val="nil"/>
              <w:left w:val="nil"/>
              <w:bottom w:val="nil"/>
              <w:right w:val="nil"/>
            </w:tcBorders>
            <w:shd w:val="clear" w:color="auto" w:fill="auto"/>
            <w:noWrap/>
            <w:vAlign w:val="center"/>
            <w:hideMark/>
          </w:tcPr>
          <w:p w14:paraId="7D70426F"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Hizmetler</w:t>
            </w:r>
          </w:p>
        </w:tc>
        <w:tc>
          <w:tcPr>
            <w:tcW w:w="756" w:type="dxa"/>
            <w:tcBorders>
              <w:top w:val="nil"/>
              <w:left w:val="nil"/>
              <w:bottom w:val="nil"/>
              <w:right w:val="nil"/>
            </w:tcBorders>
            <w:shd w:val="clear" w:color="auto" w:fill="auto"/>
            <w:vAlign w:val="center"/>
            <w:hideMark/>
          </w:tcPr>
          <w:p w14:paraId="56B19F26" w14:textId="0A187FA8" w:rsidR="005803BC" w:rsidRPr="00005453" w:rsidRDefault="005803BC" w:rsidP="005803BC">
            <w:pPr>
              <w:jc w:val="right"/>
              <w:rPr>
                <w:b/>
                <w:color w:val="000000"/>
                <w:sz w:val="10"/>
                <w:szCs w:val="10"/>
              </w:rPr>
            </w:pPr>
            <w:r w:rsidRPr="00005453">
              <w:rPr>
                <w:b/>
                <w:bCs/>
                <w:color w:val="000000"/>
                <w:sz w:val="10"/>
                <w:szCs w:val="16"/>
              </w:rPr>
              <w:t>264,873,248</w:t>
            </w:r>
          </w:p>
        </w:tc>
        <w:tc>
          <w:tcPr>
            <w:tcW w:w="756" w:type="dxa"/>
            <w:tcBorders>
              <w:top w:val="nil"/>
              <w:left w:val="nil"/>
              <w:bottom w:val="nil"/>
              <w:right w:val="nil"/>
            </w:tcBorders>
            <w:shd w:val="clear" w:color="auto" w:fill="auto"/>
            <w:vAlign w:val="center"/>
            <w:hideMark/>
          </w:tcPr>
          <w:p w14:paraId="77335456" w14:textId="5B3862DD" w:rsidR="005803BC" w:rsidRPr="00005453" w:rsidRDefault="005803BC" w:rsidP="005803BC">
            <w:pPr>
              <w:jc w:val="right"/>
              <w:rPr>
                <w:b/>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073757CA" w14:textId="2BF15EC3" w:rsidR="005803BC" w:rsidRPr="00005453" w:rsidRDefault="005803BC" w:rsidP="005803BC">
            <w:pPr>
              <w:jc w:val="right"/>
              <w:rPr>
                <w:b/>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712F8D43" w14:textId="0C6EC39C" w:rsidR="005803BC" w:rsidRPr="00005453" w:rsidRDefault="005803BC" w:rsidP="005803BC">
            <w:pPr>
              <w:jc w:val="right"/>
              <w:rPr>
                <w:b/>
                <w:color w:val="000000"/>
                <w:sz w:val="10"/>
                <w:szCs w:val="10"/>
              </w:rPr>
            </w:pPr>
            <w:r w:rsidRPr="00005453">
              <w:rPr>
                <w:b/>
                <w:bCs/>
                <w:color w:val="000000"/>
                <w:sz w:val="10"/>
                <w:szCs w:val="16"/>
              </w:rPr>
              <w:t>-</w:t>
            </w:r>
          </w:p>
        </w:tc>
        <w:tc>
          <w:tcPr>
            <w:tcW w:w="715" w:type="dxa"/>
            <w:tcBorders>
              <w:top w:val="nil"/>
              <w:left w:val="nil"/>
              <w:bottom w:val="nil"/>
              <w:right w:val="nil"/>
            </w:tcBorders>
            <w:shd w:val="clear" w:color="auto" w:fill="auto"/>
            <w:vAlign w:val="center"/>
            <w:hideMark/>
          </w:tcPr>
          <w:p w14:paraId="484B3BF9" w14:textId="5B60FC74" w:rsidR="005803BC" w:rsidRPr="00005453" w:rsidRDefault="005803BC" w:rsidP="005803BC">
            <w:pPr>
              <w:jc w:val="right"/>
              <w:rPr>
                <w:b/>
                <w:color w:val="000000"/>
                <w:sz w:val="10"/>
                <w:szCs w:val="10"/>
              </w:rPr>
            </w:pPr>
            <w:r w:rsidRPr="00005453">
              <w:rPr>
                <w:b/>
                <w:bCs/>
                <w:color w:val="FF0000"/>
                <w:sz w:val="10"/>
                <w:szCs w:val="16"/>
              </w:rPr>
              <w:t>-</w:t>
            </w:r>
          </w:p>
        </w:tc>
        <w:tc>
          <w:tcPr>
            <w:tcW w:w="686" w:type="dxa"/>
            <w:tcBorders>
              <w:top w:val="nil"/>
              <w:left w:val="nil"/>
              <w:bottom w:val="nil"/>
              <w:right w:val="nil"/>
            </w:tcBorders>
            <w:shd w:val="clear" w:color="auto" w:fill="auto"/>
            <w:vAlign w:val="center"/>
            <w:hideMark/>
          </w:tcPr>
          <w:p w14:paraId="0948AA62" w14:textId="51779EF4" w:rsidR="005803BC" w:rsidRPr="00005453" w:rsidRDefault="005803BC" w:rsidP="005803BC">
            <w:pPr>
              <w:jc w:val="right"/>
              <w:rPr>
                <w:b/>
                <w:color w:val="000000"/>
                <w:sz w:val="10"/>
                <w:szCs w:val="10"/>
              </w:rPr>
            </w:pPr>
            <w:r w:rsidRPr="00005453">
              <w:rPr>
                <w:b/>
                <w:bCs/>
                <w:color w:val="000000"/>
                <w:sz w:val="10"/>
                <w:szCs w:val="16"/>
              </w:rPr>
              <w:t>30,092,335</w:t>
            </w:r>
          </w:p>
        </w:tc>
        <w:tc>
          <w:tcPr>
            <w:tcW w:w="640" w:type="dxa"/>
            <w:tcBorders>
              <w:top w:val="nil"/>
              <w:left w:val="nil"/>
              <w:bottom w:val="nil"/>
              <w:right w:val="nil"/>
            </w:tcBorders>
            <w:shd w:val="clear" w:color="auto" w:fill="auto"/>
            <w:vAlign w:val="center"/>
            <w:hideMark/>
          </w:tcPr>
          <w:p w14:paraId="43BD2CCC" w14:textId="7E1465AD" w:rsidR="005803BC" w:rsidRPr="00005453" w:rsidRDefault="005803BC" w:rsidP="005803BC">
            <w:pPr>
              <w:jc w:val="right"/>
              <w:rPr>
                <w:b/>
                <w:color w:val="000000"/>
                <w:sz w:val="10"/>
                <w:szCs w:val="10"/>
              </w:rPr>
            </w:pPr>
            <w:r w:rsidRPr="00005453">
              <w:rPr>
                <w:b/>
                <w:bCs/>
                <w:color w:val="000000"/>
                <w:sz w:val="10"/>
                <w:szCs w:val="16"/>
              </w:rPr>
              <w:t>56,540,096</w:t>
            </w:r>
          </w:p>
        </w:tc>
        <w:tc>
          <w:tcPr>
            <w:tcW w:w="621" w:type="dxa"/>
            <w:tcBorders>
              <w:top w:val="nil"/>
              <w:left w:val="nil"/>
              <w:bottom w:val="nil"/>
              <w:right w:val="nil"/>
            </w:tcBorders>
            <w:shd w:val="clear" w:color="auto" w:fill="auto"/>
            <w:vAlign w:val="center"/>
            <w:hideMark/>
          </w:tcPr>
          <w:p w14:paraId="4B6C549E" w14:textId="244EC8FE" w:rsidR="005803BC" w:rsidRPr="00005453" w:rsidRDefault="005803BC" w:rsidP="005803BC">
            <w:pPr>
              <w:jc w:val="right"/>
              <w:rPr>
                <w:b/>
                <w:color w:val="000000"/>
                <w:sz w:val="10"/>
                <w:szCs w:val="10"/>
              </w:rPr>
            </w:pPr>
            <w:r w:rsidRPr="00005453">
              <w:rPr>
                <w:b/>
                <w:bCs/>
                <w:color w:val="000000"/>
                <w:sz w:val="10"/>
                <w:szCs w:val="16"/>
              </w:rPr>
              <w:t>21,480,372</w:t>
            </w:r>
          </w:p>
        </w:tc>
        <w:tc>
          <w:tcPr>
            <w:tcW w:w="921" w:type="dxa"/>
            <w:tcBorders>
              <w:top w:val="nil"/>
              <w:left w:val="nil"/>
              <w:bottom w:val="nil"/>
              <w:right w:val="nil"/>
            </w:tcBorders>
            <w:shd w:val="clear" w:color="auto" w:fill="auto"/>
            <w:vAlign w:val="center"/>
            <w:hideMark/>
          </w:tcPr>
          <w:p w14:paraId="15F70851" w14:textId="6C11D3C3" w:rsidR="005803BC" w:rsidRPr="00005453" w:rsidRDefault="005803BC" w:rsidP="005803BC">
            <w:pPr>
              <w:jc w:val="right"/>
              <w:rPr>
                <w:b/>
                <w:color w:val="000000"/>
                <w:sz w:val="10"/>
                <w:szCs w:val="10"/>
              </w:rPr>
            </w:pPr>
            <w:r w:rsidRPr="00005453">
              <w:rPr>
                <w:b/>
                <w:bCs/>
                <w:color w:val="000000"/>
                <w:sz w:val="10"/>
                <w:szCs w:val="16"/>
              </w:rPr>
              <w:t>31,054,254</w:t>
            </w:r>
          </w:p>
        </w:tc>
        <w:tc>
          <w:tcPr>
            <w:tcW w:w="529" w:type="dxa"/>
            <w:tcBorders>
              <w:top w:val="nil"/>
              <w:left w:val="nil"/>
              <w:bottom w:val="nil"/>
              <w:right w:val="nil"/>
            </w:tcBorders>
            <w:shd w:val="clear" w:color="auto" w:fill="auto"/>
            <w:vAlign w:val="center"/>
            <w:hideMark/>
          </w:tcPr>
          <w:p w14:paraId="4106D9E0" w14:textId="290C0C82" w:rsidR="005803BC" w:rsidRPr="00005453" w:rsidRDefault="005803BC" w:rsidP="005803BC">
            <w:pPr>
              <w:jc w:val="right"/>
              <w:rPr>
                <w:b/>
                <w:color w:val="000000"/>
                <w:sz w:val="10"/>
                <w:szCs w:val="10"/>
              </w:rPr>
            </w:pPr>
            <w:r w:rsidRPr="00005453">
              <w:rPr>
                <w:b/>
                <w:bCs/>
                <w:color w:val="000000"/>
                <w:sz w:val="10"/>
                <w:szCs w:val="16"/>
              </w:rPr>
              <w:t>153,135</w:t>
            </w:r>
          </w:p>
        </w:tc>
        <w:tc>
          <w:tcPr>
            <w:tcW w:w="621" w:type="dxa"/>
            <w:tcBorders>
              <w:top w:val="nil"/>
              <w:left w:val="nil"/>
              <w:bottom w:val="nil"/>
              <w:right w:val="nil"/>
            </w:tcBorders>
            <w:shd w:val="clear" w:color="auto" w:fill="auto"/>
            <w:vAlign w:val="center"/>
            <w:hideMark/>
          </w:tcPr>
          <w:p w14:paraId="3EE14708" w14:textId="55BAE1FB" w:rsidR="005803BC" w:rsidRPr="00005453" w:rsidRDefault="005803BC" w:rsidP="005803BC">
            <w:pPr>
              <w:jc w:val="right"/>
              <w:rPr>
                <w:b/>
                <w:color w:val="000000"/>
                <w:sz w:val="10"/>
                <w:szCs w:val="10"/>
              </w:rPr>
            </w:pPr>
            <w:r w:rsidRPr="00005453">
              <w:rPr>
                <w:b/>
                <w:bCs/>
                <w:color w:val="000000"/>
                <w:sz w:val="10"/>
                <w:szCs w:val="16"/>
              </w:rPr>
              <w:t>629,655</w:t>
            </w:r>
          </w:p>
        </w:tc>
        <w:tc>
          <w:tcPr>
            <w:tcW w:w="552" w:type="dxa"/>
            <w:tcBorders>
              <w:top w:val="nil"/>
              <w:left w:val="nil"/>
              <w:bottom w:val="nil"/>
              <w:right w:val="nil"/>
            </w:tcBorders>
            <w:shd w:val="clear" w:color="auto" w:fill="auto"/>
            <w:vAlign w:val="center"/>
            <w:hideMark/>
          </w:tcPr>
          <w:p w14:paraId="636EE3E2" w14:textId="2015A52A" w:rsidR="005803BC" w:rsidRPr="00005453" w:rsidRDefault="005803BC" w:rsidP="005803BC">
            <w:pPr>
              <w:jc w:val="right"/>
              <w:rPr>
                <w:b/>
                <w:color w:val="000000"/>
                <w:sz w:val="10"/>
                <w:szCs w:val="10"/>
              </w:rPr>
            </w:pPr>
            <w:r w:rsidRPr="00005453">
              <w:rPr>
                <w:b/>
                <w:bCs/>
                <w:color w:val="000000"/>
                <w:sz w:val="10"/>
                <w:szCs w:val="16"/>
              </w:rPr>
              <w:t>-</w:t>
            </w:r>
          </w:p>
        </w:tc>
        <w:tc>
          <w:tcPr>
            <w:tcW w:w="779" w:type="dxa"/>
            <w:tcBorders>
              <w:top w:val="nil"/>
              <w:left w:val="nil"/>
              <w:bottom w:val="nil"/>
              <w:right w:val="nil"/>
            </w:tcBorders>
            <w:shd w:val="clear" w:color="auto" w:fill="auto"/>
            <w:vAlign w:val="center"/>
            <w:hideMark/>
          </w:tcPr>
          <w:p w14:paraId="3029371C" w14:textId="0DC020DD"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nil"/>
              <w:right w:val="nil"/>
            </w:tcBorders>
            <w:shd w:val="clear" w:color="auto" w:fill="auto"/>
            <w:vAlign w:val="center"/>
            <w:hideMark/>
          </w:tcPr>
          <w:p w14:paraId="3833F720" w14:textId="4B7C1571" w:rsidR="005803BC" w:rsidRPr="00005453" w:rsidRDefault="005803BC" w:rsidP="005803BC">
            <w:pPr>
              <w:jc w:val="right"/>
              <w:rPr>
                <w:b/>
                <w:color w:val="000000"/>
                <w:sz w:val="10"/>
                <w:szCs w:val="10"/>
              </w:rPr>
            </w:pPr>
            <w:r w:rsidRPr="00005453">
              <w:rPr>
                <w:b/>
                <w:bCs/>
                <w:color w:val="000000"/>
                <w:sz w:val="10"/>
                <w:szCs w:val="16"/>
              </w:rPr>
              <w:t>-</w:t>
            </w:r>
          </w:p>
        </w:tc>
        <w:tc>
          <w:tcPr>
            <w:tcW w:w="680" w:type="dxa"/>
            <w:tcBorders>
              <w:top w:val="nil"/>
              <w:left w:val="nil"/>
              <w:bottom w:val="nil"/>
              <w:right w:val="nil"/>
            </w:tcBorders>
            <w:shd w:val="clear" w:color="auto" w:fill="auto"/>
            <w:vAlign w:val="center"/>
            <w:hideMark/>
          </w:tcPr>
          <w:p w14:paraId="3C9C6B2E" w14:textId="6D2ACFA7" w:rsidR="005803BC" w:rsidRPr="00005453" w:rsidRDefault="005803BC" w:rsidP="005803BC">
            <w:pPr>
              <w:jc w:val="right"/>
              <w:rPr>
                <w:b/>
                <w:color w:val="000000"/>
                <w:sz w:val="10"/>
                <w:szCs w:val="10"/>
              </w:rPr>
            </w:pPr>
            <w:r w:rsidRPr="00005453">
              <w:rPr>
                <w:b/>
                <w:bCs/>
                <w:color w:val="000000"/>
                <w:sz w:val="10"/>
                <w:szCs w:val="16"/>
              </w:rPr>
              <w:t>-</w:t>
            </w:r>
          </w:p>
        </w:tc>
        <w:tc>
          <w:tcPr>
            <w:tcW w:w="616" w:type="dxa"/>
            <w:tcBorders>
              <w:top w:val="nil"/>
              <w:left w:val="nil"/>
              <w:bottom w:val="nil"/>
              <w:right w:val="nil"/>
            </w:tcBorders>
            <w:shd w:val="clear" w:color="auto" w:fill="auto"/>
            <w:vAlign w:val="center"/>
            <w:hideMark/>
          </w:tcPr>
          <w:p w14:paraId="57C89468" w14:textId="5A83A91C" w:rsidR="005803BC" w:rsidRPr="00005453" w:rsidRDefault="005803BC" w:rsidP="005803BC">
            <w:pPr>
              <w:jc w:val="right"/>
              <w:rPr>
                <w:b/>
                <w:color w:val="000000"/>
                <w:sz w:val="10"/>
                <w:szCs w:val="10"/>
              </w:rPr>
            </w:pPr>
            <w:r w:rsidRPr="00005453">
              <w:rPr>
                <w:b/>
                <w:bCs/>
                <w:color w:val="000000"/>
                <w:sz w:val="10"/>
                <w:szCs w:val="16"/>
              </w:rPr>
              <w:t>3,984,241</w:t>
            </w:r>
          </w:p>
        </w:tc>
        <w:tc>
          <w:tcPr>
            <w:tcW w:w="621" w:type="dxa"/>
            <w:tcBorders>
              <w:top w:val="nil"/>
              <w:left w:val="nil"/>
              <w:bottom w:val="nil"/>
              <w:right w:val="nil"/>
            </w:tcBorders>
            <w:shd w:val="clear" w:color="auto" w:fill="auto"/>
            <w:vAlign w:val="center"/>
            <w:hideMark/>
          </w:tcPr>
          <w:p w14:paraId="44F24BAC" w14:textId="5502E810" w:rsidR="005803BC" w:rsidRPr="00005453" w:rsidRDefault="005803BC" w:rsidP="005803BC">
            <w:pPr>
              <w:jc w:val="right"/>
              <w:rPr>
                <w:b/>
                <w:color w:val="000000"/>
                <w:sz w:val="10"/>
                <w:szCs w:val="10"/>
              </w:rPr>
            </w:pPr>
            <w:r w:rsidRPr="00005453">
              <w:rPr>
                <w:b/>
                <w:bCs/>
                <w:color w:val="000000"/>
                <w:sz w:val="10"/>
                <w:szCs w:val="16"/>
              </w:rPr>
              <w:t>24,247,507</w:t>
            </w:r>
          </w:p>
        </w:tc>
        <w:tc>
          <w:tcPr>
            <w:tcW w:w="674" w:type="dxa"/>
            <w:tcBorders>
              <w:top w:val="nil"/>
              <w:left w:val="nil"/>
              <w:bottom w:val="nil"/>
              <w:right w:val="nil"/>
            </w:tcBorders>
            <w:shd w:val="clear" w:color="auto" w:fill="auto"/>
            <w:vAlign w:val="center"/>
            <w:hideMark/>
          </w:tcPr>
          <w:p w14:paraId="1E4DE2EC" w14:textId="2F3547DE" w:rsidR="005803BC" w:rsidRPr="00005453" w:rsidRDefault="005803BC" w:rsidP="005803BC">
            <w:pPr>
              <w:jc w:val="right"/>
              <w:rPr>
                <w:b/>
                <w:color w:val="000000"/>
                <w:sz w:val="10"/>
                <w:szCs w:val="10"/>
              </w:rPr>
            </w:pPr>
            <w:r w:rsidRPr="00005453">
              <w:rPr>
                <w:b/>
                <w:bCs/>
                <w:color w:val="000000"/>
                <w:sz w:val="10"/>
                <w:szCs w:val="16"/>
              </w:rPr>
              <w:t>224,668,121</w:t>
            </w:r>
          </w:p>
        </w:tc>
        <w:tc>
          <w:tcPr>
            <w:tcW w:w="674" w:type="dxa"/>
            <w:tcBorders>
              <w:top w:val="nil"/>
              <w:left w:val="nil"/>
              <w:bottom w:val="nil"/>
              <w:right w:val="nil"/>
            </w:tcBorders>
            <w:shd w:val="clear" w:color="auto" w:fill="auto"/>
            <w:vAlign w:val="center"/>
            <w:hideMark/>
          </w:tcPr>
          <w:p w14:paraId="2D073E9E" w14:textId="312442A3" w:rsidR="005803BC" w:rsidRPr="00005453" w:rsidRDefault="005803BC" w:rsidP="005803BC">
            <w:pPr>
              <w:jc w:val="right"/>
              <w:rPr>
                <w:b/>
                <w:color w:val="000000"/>
                <w:sz w:val="10"/>
                <w:szCs w:val="10"/>
              </w:rPr>
            </w:pPr>
            <w:r w:rsidRPr="00005453">
              <w:rPr>
                <w:b/>
                <w:bCs/>
                <w:color w:val="000000"/>
                <w:sz w:val="10"/>
                <w:szCs w:val="16"/>
              </w:rPr>
              <w:t>208,386,722</w:t>
            </w:r>
          </w:p>
        </w:tc>
        <w:tc>
          <w:tcPr>
            <w:tcW w:w="889" w:type="dxa"/>
            <w:tcBorders>
              <w:top w:val="nil"/>
              <w:left w:val="nil"/>
              <w:bottom w:val="nil"/>
              <w:right w:val="nil"/>
            </w:tcBorders>
            <w:shd w:val="clear" w:color="auto" w:fill="auto"/>
            <w:vAlign w:val="center"/>
            <w:hideMark/>
          </w:tcPr>
          <w:p w14:paraId="09FA06CC" w14:textId="16D45917" w:rsidR="005803BC" w:rsidRPr="00005453" w:rsidRDefault="005803BC" w:rsidP="005803BC">
            <w:pPr>
              <w:jc w:val="right"/>
              <w:rPr>
                <w:b/>
                <w:color w:val="000000"/>
                <w:sz w:val="10"/>
                <w:szCs w:val="10"/>
              </w:rPr>
            </w:pPr>
            <w:r w:rsidRPr="00005453">
              <w:rPr>
                <w:b/>
                <w:bCs/>
                <w:color w:val="000000"/>
                <w:sz w:val="10"/>
                <w:szCs w:val="10"/>
              </w:rPr>
              <w:t>433,054,843</w:t>
            </w:r>
          </w:p>
        </w:tc>
      </w:tr>
      <w:tr w:rsidR="005803BC" w:rsidRPr="00005453" w14:paraId="5620C153" w14:textId="77777777" w:rsidTr="00667FB0">
        <w:trPr>
          <w:trHeight w:val="215"/>
        </w:trPr>
        <w:tc>
          <w:tcPr>
            <w:tcW w:w="1013" w:type="dxa"/>
            <w:tcBorders>
              <w:top w:val="nil"/>
              <w:left w:val="nil"/>
              <w:bottom w:val="nil"/>
              <w:right w:val="nil"/>
            </w:tcBorders>
            <w:shd w:val="clear" w:color="auto" w:fill="auto"/>
            <w:noWrap/>
            <w:vAlign w:val="center"/>
            <w:hideMark/>
          </w:tcPr>
          <w:p w14:paraId="4CCA682C" w14:textId="77777777" w:rsidR="005803BC" w:rsidRPr="00005453" w:rsidRDefault="005803BC" w:rsidP="005803BC">
            <w:pPr>
              <w:rPr>
                <w:color w:val="000000"/>
                <w:sz w:val="10"/>
                <w:szCs w:val="10"/>
                <w:lang w:eastAsia="tr-TR"/>
              </w:rPr>
            </w:pPr>
            <w:r w:rsidRPr="00005453">
              <w:rPr>
                <w:color w:val="000000"/>
                <w:sz w:val="10"/>
                <w:szCs w:val="10"/>
                <w:lang w:eastAsia="tr-TR"/>
              </w:rPr>
              <w:t>Toptan ve Perakende Ticaret</w:t>
            </w:r>
          </w:p>
        </w:tc>
        <w:tc>
          <w:tcPr>
            <w:tcW w:w="756" w:type="dxa"/>
            <w:tcBorders>
              <w:top w:val="nil"/>
              <w:left w:val="nil"/>
              <w:bottom w:val="nil"/>
              <w:right w:val="nil"/>
            </w:tcBorders>
            <w:shd w:val="clear" w:color="auto" w:fill="auto"/>
            <w:vAlign w:val="center"/>
            <w:hideMark/>
          </w:tcPr>
          <w:p w14:paraId="0C0B345B" w14:textId="712A75B3"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24E44EC4" w14:textId="5F3A3151"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65AE8885" w14:textId="76145C27"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73B855EB" w14:textId="1C81BDFE"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01C4FF07" w14:textId="336E6DDD"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7D785D52" w14:textId="0520D413"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0DA11253" w14:textId="2C04DFBC" w:rsidR="005803BC" w:rsidRPr="00005453" w:rsidRDefault="005803BC" w:rsidP="005803BC">
            <w:pPr>
              <w:jc w:val="right"/>
              <w:rPr>
                <w:color w:val="000000"/>
                <w:sz w:val="10"/>
                <w:szCs w:val="10"/>
              </w:rPr>
            </w:pPr>
            <w:r w:rsidRPr="00005453">
              <w:rPr>
                <w:color w:val="000000"/>
                <w:sz w:val="10"/>
                <w:szCs w:val="16"/>
              </w:rPr>
              <w:t>35,465,966</w:t>
            </w:r>
          </w:p>
        </w:tc>
        <w:tc>
          <w:tcPr>
            <w:tcW w:w="621" w:type="dxa"/>
            <w:tcBorders>
              <w:top w:val="nil"/>
              <w:left w:val="nil"/>
              <w:bottom w:val="nil"/>
              <w:right w:val="nil"/>
            </w:tcBorders>
            <w:shd w:val="clear" w:color="auto" w:fill="auto"/>
            <w:vAlign w:val="center"/>
            <w:hideMark/>
          </w:tcPr>
          <w:p w14:paraId="7748A42F" w14:textId="153464DA" w:rsidR="005803BC" w:rsidRPr="00005453" w:rsidRDefault="005803BC" w:rsidP="005803BC">
            <w:pPr>
              <w:jc w:val="right"/>
              <w:rPr>
                <w:color w:val="000000"/>
                <w:sz w:val="10"/>
                <w:szCs w:val="10"/>
              </w:rPr>
            </w:pPr>
            <w:r w:rsidRPr="00005453">
              <w:rPr>
                <w:color w:val="000000"/>
                <w:sz w:val="10"/>
                <w:szCs w:val="16"/>
              </w:rPr>
              <w:t>12,259,202</w:t>
            </w:r>
          </w:p>
        </w:tc>
        <w:tc>
          <w:tcPr>
            <w:tcW w:w="921" w:type="dxa"/>
            <w:tcBorders>
              <w:top w:val="nil"/>
              <w:left w:val="nil"/>
              <w:bottom w:val="nil"/>
              <w:right w:val="nil"/>
            </w:tcBorders>
            <w:shd w:val="clear" w:color="auto" w:fill="auto"/>
            <w:vAlign w:val="center"/>
            <w:hideMark/>
          </w:tcPr>
          <w:p w14:paraId="38CF9B75" w14:textId="28EAC6DF" w:rsidR="005803BC" w:rsidRPr="00005453" w:rsidRDefault="005803BC" w:rsidP="005803BC">
            <w:pPr>
              <w:jc w:val="right"/>
              <w:rPr>
                <w:color w:val="000000"/>
                <w:sz w:val="10"/>
                <w:szCs w:val="10"/>
              </w:rPr>
            </w:pPr>
            <w:r w:rsidRPr="00005453">
              <w:rPr>
                <w:color w:val="000000"/>
                <w:sz w:val="10"/>
                <w:szCs w:val="16"/>
              </w:rPr>
              <w:t>20,501,281</w:t>
            </w:r>
          </w:p>
        </w:tc>
        <w:tc>
          <w:tcPr>
            <w:tcW w:w="529" w:type="dxa"/>
            <w:tcBorders>
              <w:top w:val="nil"/>
              <w:left w:val="nil"/>
              <w:bottom w:val="nil"/>
              <w:right w:val="nil"/>
            </w:tcBorders>
            <w:shd w:val="clear" w:color="auto" w:fill="auto"/>
            <w:vAlign w:val="center"/>
            <w:hideMark/>
          </w:tcPr>
          <w:p w14:paraId="0F8B9F10" w14:textId="03B233BF" w:rsidR="005803BC" w:rsidRPr="00005453" w:rsidRDefault="005803BC" w:rsidP="005803BC">
            <w:pPr>
              <w:jc w:val="right"/>
              <w:rPr>
                <w:color w:val="000000"/>
                <w:sz w:val="10"/>
                <w:szCs w:val="10"/>
              </w:rPr>
            </w:pPr>
            <w:r w:rsidRPr="00005453">
              <w:rPr>
                <w:color w:val="000000"/>
                <w:sz w:val="10"/>
                <w:szCs w:val="16"/>
              </w:rPr>
              <w:t>96,301</w:t>
            </w:r>
          </w:p>
        </w:tc>
        <w:tc>
          <w:tcPr>
            <w:tcW w:w="621" w:type="dxa"/>
            <w:tcBorders>
              <w:top w:val="nil"/>
              <w:left w:val="nil"/>
              <w:bottom w:val="nil"/>
              <w:right w:val="nil"/>
            </w:tcBorders>
            <w:shd w:val="clear" w:color="auto" w:fill="auto"/>
            <w:vAlign w:val="center"/>
            <w:hideMark/>
          </w:tcPr>
          <w:p w14:paraId="7A61EE31" w14:textId="2071D380" w:rsidR="005803BC" w:rsidRPr="00005453" w:rsidRDefault="005803BC" w:rsidP="005803BC">
            <w:pPr>
              <w:jc w:val="right"/>
              <w:rPr>
                <w:color w:val="000000"/>
                <w:sz w:val="10"/>
                <w:szCs w:val="10"/>
              </w:rPr>
            </w:pPr>
            <w:r w:rsidRPr="00005453">
              <w:rPr>
                <w:color w:val="000000"/>
                <w:sz w:val="10"/>
                <w:szCs w:val="16"/>
              </w:rPr>
              <w:t>208,458</w:t>
            </w:r>
          </w:p>
        </w:tc>
        <w:tc>
          <w:tcPr>
            <w:tcW w:w="552" w:type="dxa"/>
            <w:tcBorders>
              <w:top w:val="nil"/>
              <w:left w:val="nil"/>
              <w:bottom w:val="nil"/>
              <w:right w:val="nil"/>
            </w:tcBorders>
            <w:shd w:val="clear" w:color="auto" w:fill="auto"/>
            <w:vAlign w:val="center"/>
            <w:hideMark/>
          </w:tcPr>
          <w:p w14:paraId="19FBD5A6" w14:textId="231E704B"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6D4000EB" w14:textId="1D723AF9"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4B701960" w14:textId="26C47028"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268A6832" w14:textId="4026C1C4"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26CC045B" w14:textId="38DC8920"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7BCFE7C1" w14:textId="39D6E57C" w:rsidR="005803BC" w:rsidRPr="00005453" w:rsidRDefault="005803BC" w:rsidP="005803BC">
            <w:pPr>
              <w:jc w:val="right"/>
              <w:rPr>
                <w:color w:val="000000"/>
                <w:sz w:val="10"/>
                <w:szCs w:val="10"/>
              </w:rPr>
            </w:pPr>
            <w:r w:rsidRPr="00005453">
              <w:rPr>
                <w:color w:val="000000"/>
                <w:sz w:val="10"/>
                <w:szCs w:val="16"/>
              </w:rPr>
              <w:t>82,522</w:t>
            </w:r>
          </w:p>
        </w:tc>
        <w:tc>
          <w:tcPr>
            <w:tcW w:w="674" w:type="dxa"/>
            <w:tcBorders>
              <w:top w:val="nil"/>
              <w:left w:val="nil"/>
              <w:bottom w:val="nil"/>
              <w:right w:val="nil"/>
            </w:tcBorders>
            <w:shd w:val="clear" w:color="auto" w:fill="auto"/>
            <w:vAlign w:val="center"/>
            <w:hideMark/>
          </w:tcPr>
          <w:p w14:paraId="71FAC900" w14:textId="0A2BEAFD" w:rsidR="005803BC" w:rsidRPr="00005453" w:rsidRDefault="005803BC" w:rsidP="005803BC">
            <w:pPr>
              <w:jc w:val="right"/>
              <w:rPr>
                <w:color w:val="000000"/>
                <w:sz w:val="10"/>
                <w:szCs w:val="10"/>
              </w:rPr>
            </w:pPr>
            <w:r w:rsidRPr="00005453">
              <w:rPr>
                <w:color w:val="000000"/>
                <w:sz w:val="10"/>
                <w:szCs w:val="16"/>
              </w:rPr>
              <w:t>36,026,664</w:t>
            </w:r>
          </w:p>
        </w:tc>
        <w:tc>
          <w:tcPr>
            <w:tcW w:w="674" w:type="dxa"/>
            <w:tcBorders>
              <w:top w:val="nil"/>
              <w:left w:val="nil"/>
              <w:bottom w:val="nil"/>
              <w:right w:val="nil"/>
            </w:tcBorders>
            <w:shd w:val="clear" w:color="auto" w:fill="auto"/>
            <w:vAlign w:val="center"/>
            <w:hideMark/>
          </w:tcPr>
          <w:p w14:paraId="3CFE08CD" w14:textId="7CF5770C" w:rsidR="005803BC" w:rsidRPr="00005453" w:rsidRDefault="005803BC" w:rsidP="005803BC">
            <w:pPr>
              <w:jc w:val="right"/>
              <w:rPr>
                <w:color w:val="000000"/>
                <w:sz w:val="10"/>
                <w:szCs w:val="10"/>
              </w:rPr>
            </w:pPr>
            <w:r w:rsidRPr="00005453">
              <w:rPr>
                <w:color w:val="000000"/>
                <w:sz w:val="10"/>
                <w:szCs w:val="16"/>
              </w:rPr>
              <w:t>32,587,066</w:t>
            </w:r>
          </w:p>
        </w:tc>
        <w:tc>
          <w:tcPr>
            <w:tcW w:w="889" w:type="dxa"/>
            <w:tcBorders>
              <w:top w:val="nil"/>
              <w:left w:val="nil"/>
              <w:bottom w:val="nil"/>
              <w:right w:val="nil"/>
            </w:tcBorders>
            <w:shd w:val="clear" w:color="auto" w:fill="auto"/>
            <w:vAlign w:val="center"/>
            <w:hideMark/>
          </w:tcPr>
          <w:p w14:paraId="78A4676D" w14:textId="421A9D25" w:rsidR="005803BC" w:rsidRPr="00005453" w:rsidRDefault="005803BC" w:rsidP="005803BC">
            <w:pPr>
              <w:jc w:val="right"/>
              <w:rPr>
                <w:color w:val="000000"/>
                <w:sz w:val="10"/>
                <w:szCs w:val="10"/>
              </w:rPr>
            </w:pPr>
            <w:r w:rsidRPr="00005453">
              <w:rPr>
                <w:bCs/>
                <w:color w:val="000000"/>
                <w:sz w:val="10"/>
                <w:szCs w:val="10"/>
              </w:rPr>
              <w:t>68,613,730</w:t>
            </w:r>
          </w:p>
        </w:tc>
      </w:tr>
      <w:tr w:rsidR="005803BC" w:rsidRPr="00005453" w14:paraId="1506AB09" w14:textId="77777777" w:rsidTr="00667FB0">
        <w:trPr>
          <w:trHeight w:val="215"/>
        </w:trPr>
        <w:tc>
          <w:tcPr>
            <w:tcW w:w="1013" w:type="dxa"/>
            <w:tcBorders>
              <w:top w:val="nil"/>
              <w:left w:val="nil"/>
              <w:bottom w:val="nil"/>
              <w:right w:val="nil"/>
            </w:tcBorders>
            <w:shd w:val="clear" w:color="auto" w:fill="auto"/>
            <w:noWrap/>
            <w:vAlign w:val="center"/>
            <w:hideMark/>
          </w:tcPr>
          <w:p w14:paraId="41A56964" w14:textId="77777777" w:rsidR="005803BC" w:rsidRPr="00005453" w:rsidRDefault="005803BC" w:rsidP="005803BC">
            <w:pPr>
              <w:rPr>
                <w:color w:val="000000"/>
                <w:sz w:val="10"/>
                <w:szCs w:val="10"/>
                <w:lang w:eastAsia="tr-TR"/>
              </w:rPr>
            </w:pPr>
            <w:r w:rsidRPr="00005453">
              <w:rPr>
                <w:color w:val="000000"/>
                <w:sz w:val="10"/>
                <w:szCs w:val="10"/>
                <w:lang w:eastAsia="tr-TR"/>
              </w:rPr>
              <w:t>Otel ve Lokanta Hizmetleri</w:t>
            </w:r>
          </w:p>
        </w:tc>
        <w:tc>
          <w:tcPr>
            <w:tcW w:w="756" w:type="dxa"/>
            <w:tcBorders>
              <w:top w:val="nil"/>
              <w:left w:val="nil"/>
              <w:bottom w:val="nil"/>
              <w:right w:val="nil"/>
            </w:tcBorders>
            <w:shd w:val="clear" w:color="auto" w:fill="auto"/>
            <w:vAlign w:val="center"/>
            <w:hideMark/>
          </w:tcPr>
          <w:p w14:paraId="01C8EBD0" w14:textId="59706A66"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140B2CCF" w14:textId="71431C7A"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0BC2B50E" w14:textId="77F84582"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47A898E0" w14:textId="408C83D0"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29FDAB75" w14:textId="2BC502E0"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03A7786E" w14:textId="2A1F81A2"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4AC3CE08" w14:textId="0ACE09F9" w:rsidR="005803BC" w:rsidRPr="00005453" w:rsidRDefault="005803BC" w:rsidP="005803BC">
            <w:pPr>
              <w:jc w:val="right"/>
              <w:rPr>
                <w:color w:val="000000"/>
                <w:sz w:val="10"/>
                <w:szCs w:val="10"/>
              </w:rPr>
            </w:pPr>
            <w:r w:rsidRPr="00005453">
              <w:rPr>
                <w:color w:val="000000"/>
                <w:sz w:val="10"/>
                <w:szCs w:val="16"/>
              </w:rPr>
              <w:t>973,079</w:t>
            </w:r>
          </w:p>
        </w:tc>
        <w:tc>
          <w:tcPr>
            <w:tcW w:w="621" w:type="dxa"/>
            <w:tcBorders>
              <w:top w:val="nil"/>
              <w:left w:val="nil"/>
              <w:bottom w:val="nil"/>
              <w:right w:val="nil"/>
            </w:tcBorders>
            <w:shd w:val="clear" w:color="auto" w:fill="auto"/>
            <w:vAlign w:val="center"/>
            <w:hideMark/>
          </w:tcPr>
          <w:p w14:paraId="54C3D9FA" w14:textId="387427C8" w:rsidR="005803BC" w:rsidRPr="00005453" w:rsidRDefault="005803BC" w:rsidP="005803BC">
            <w:pPr>
              <w:jc w:val="right"/>
              <w:rPr>
                <w:color w:val="000000"/>
                <w:sz w:val="10"/>
                <w:szCs w:val="10"/>
              </w:rPr>
            </w:pPr>
            <w:r w:rsidRPr="00005453">
              <w:rPr>
                <w:color w:val="000000"/>
                <w:sz w:val="10"/>
                <w:szCs w:val="16"/>
              </w:rPr>
              <w:t>668,102</w:t>
            </w:r>
          </w:p>
        </w:tc>
        <w:tc>
          <w:tcPr>
            <w:tcW w:w="921" w:type="dxa"/>
            <w:tcBorders>
              <w:top w:val="nil"/>
              <w:left w:val="nil"/>
              <w:bottom w:val="nil"/>
              <w:right w:val="nil"/>
            </w:tcBorders>
            <w:shd w:val="clear" w:color="auto" w:fill="auto"/>
            <w:vAlign w:val="center"/>
            <w:hideMark/>
          </w:tcPr>
          <w:p w14:paraId="788E3A30" w14:textId="004DF488" w:rsidR="005803BC" w:rsidRPr="00005453" w:rsidRDefault="005803BC" w:rsidP="005803BC">
            <w:pPr>
              <w:jc w:val="right"/>
              <w:rPr>
                <w:color w:val="000000"/>
                <w:sz w:val="10"/>
                <w:szCs w:val="10"/>
              </w:rPr>
            </w:pPr>
            <w:r w:rsidRPr="00005453">
              <w:rPr>
                <w:color w:val="000000"/>
                <w:sz w:val="10"/>
                <w:szCs w:val="16"/>
              </w:rPr>
              <w:t>1,254,309</w:t>
            </w:r>
          </w:p>
        </w:tc>
        <w:tc>
          <w:tcPr>
            <w:tcW w:w="529" w:type="dxa"/>
            <w:tcBorders>
              <w:top w:val="nil"/>
              <w:left w:val="nil"/>
              <w:bottom w:val="nil"/>
              <w:right w:val="nil"/>
            </w:tcBorders>
            <w:shd w:val="clear" w:color="auto" w:fill="auto"/>
            <w:vAlign w:val="center"/>
            <w:hideMark/>
          </w:tcPr>
          <w:p w14:paraId="035B32A3" w14:textId="33D17B4E" w:rsidR="005803BC" w:rsidRPr="00005453" w:rsidRDefault="005803BC" w:rsidP="005803BC">
            <w:pPr>
              <w:jc w:val="right"/>
              <w:rPr>
                <w:color w:val="000000"/>
                <w:sz w:val="10"/>
                <w:szCs w:val="10"/>
              </w:rPr>
            </w:pPr>
            <w:r w:rsidRPr="00005453">
              <w:rPr>
                <w:color w:val="000000"/>
                <w:sz w:val="10"/>
                <w:szCs w:val="16"/>
              </w:rPr>
              <w:t>22,561</w:t>
            </w:r>
          </w:p>
        </w:tc>
        <w:tc>
          <w:tcPr>
            <w:tcW w:w="621" w:type="dxa"/>
            <w:tcBorders>
              <w:top w:val="nil"/>
              <w:left w:val="nil"/>
              <w:bottom w:val="nil"/>
              <w:right w:val="nil"/>
            </w:tcBorders>
            <w:shd w:val="clear" w:color="auto" w:fill="auto"/>
            <w:vAlign w:val="center"/>
            <w:hideMark/>
          </w:tcPr>
          <w:p w14:paraId="5CB2399B" w14:textId="315E0091" w:rsidR="005803BC" w:rsidRPr="00005453" w:rsidRDefault="005803BC" w:rsidP="005803BC">
            <w:pPr>
              <w:jc w:val="right"/>
              <w:rPr>
                <w:color w:val="000000"/>
                <w:sz w:val="10"/>
                <w:szCs w:val="10"/>
              </w:rPr>
            </w:pPr>
            <w:r w:rsidRPr="00005453">
              <w:rPr>
                <w:color w:val="000000"/>
                <w:sz w:val="10"/>
                <w:szCs w:val="16"/>
              </w:rPr>
              <w:t>1,255</w:t>
            </w:r>
          </w:p>
        </w:tc>
        <w:tc>
          <w:tcPr>
            <w:tcW w:w="552" w:type="dxa"/>
            <w:tcBorders>
              <w:top w:val="nil"/>
              <w:left w:val="nil"/>
              <w:bottom w:val="nil"/>
              <w:right w:val="nil"/>
            </w:tcBorders>
            <w:shd w:val="clear" w:color="auto" w:fill="auto"/>
            <w:vAlign w:val="center"/>
            <w:hideMark/>
          </w:tcPr>
          <w:p w14:paraId="3C58D776" w14:textId="40B5C64A"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374E8FC7" w14:textId="3D752477"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5BEE8AD3" w14:textId="19DF30AF"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6950B012" w14:textId="2505194B"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577F8033" w14:textId="00F26234" w:rsidR="005803BC" w:rsidRPr="00005453" w:rsidRDefault="005803BC" w:rsidP="005803BC">
            <w:pPr>
              <w:jc w:val="right"/>
              <w:rPr>
                <w:color w:val="000000"/>
                <w:sz w:val="10"/>
                <w:szCs w:val="10"/>
              </w:rPr>
            </w:pPr>
            <w:r w:rsidRPr="00005453">
              <w:rPr>
                <w:color w:val="000000"/>
                <w:sz w:val="10"/>
                <w:szCs w:val="16"/>
              </w:rPr>
              <w:t>22,680</w:t>
            </w:r>
          </w:p>
        </w:tc>
        <w:tc>
          <w:tcPr>
            <w:tcW w:w="621" w:type="dxa"/>
            <w:tcBorders>
              <w:top w:val="nil"/>
              <w:left w:val="nil"/>
              <w:bottom w:val="nil"/>
              <w:right w:val="nil"/>
            </w:tcBorders>
            <w:shd w:val="clear" w:color="auto" w:fill="auto"/>
            <w:vAlign w:val="center"/>
            <w:hideMark/>
          </w:tcPr>
          <w:p w14:paraId="51660050" w14:textId="4B5C9AA6" w:rsidR="005803BC" w:rsidRPr="00005453" w:rsidRDefault="005803BC" w:rsidP="005803BC">
            <w:pPr>
              <w:jc w:val="right"/>
              <w:rPr>
                <w:color w:val="000000"/>
                <w:sz w:val="10"/>
                <w:szCs w:val="10"/>
              </w:rPr>
            </w:pPr>
            <w:r w:rsidRPr="00005453">
              <w:rPr>
                <w:color w:val="000000"/>
                <w:sz w:val="10"/>
                <w:szCs w:val="16"/>
              </w:rPr>
              <w:t>3,047</w:t>
            </w:r>
          </w:p>
        </w:tc>
        <w:tc>
          <w:tcPr>
            <w:tcW w:w="674" w:type="dxa"/>
            <w:tcBorders>
              <w:top w:val="nil"/>
              <w:left w:val="nil"/>
              <w:bottom w:val="nil"/>
              <w:right w:val="nil"/>
            </w:tcBorders>
            <w:shd w:val="clear" w:color="auto" w:fill="auto"/>
            <w:vAlign w:val="center"/>
            <w:hideMark/>
          </w:tcPr>
          <w:p w14:paraId="5126EA75" w14:textId="00BE59A2" w:rsidR="005803BC" w:rsidRPr="00005453" w:rsidRDefault="005803BC" w:rsidP="005803BC">
            <w:pPr>
              <w:jc w:val="right"/>
              <w:rPr>
                <w:color w:val="000000"/>
                <w:sz w:val="10"/>
                <w:szCs w:val="10"/>
              </w:rPr>
            </w:pPr>
            <w:r w:rsidRPr="00005453">
              <w:rPr>
                <w:color w:val="000000"/>
                <w:sz w:val="10"/>
                <w:szCs w:val="16"/>
              </w:rPr>
              <w:t>2,073,528</w:t>
            </w:r>
          </w:p>
        </w:tc>
        <w:tc>
          <w:tcPr>
            <w:tcW w:w="674" w:type="dxa"/>
            <w:tcBorders>
              <w:top w:val="nil"/>
              <w:left w:val="nil"/>
              <w:bottom w:val="nil"/>
              <w:right w:val="nil"/>
            </w:tcBorders>
            <w:shd w:val="clear" w:color="auto" w:fill="auto"/>
            <w:vAlign w:val="center"/>
            <w:hideMark/>
          </w:tcPr>
          <w:p w14:paraId="5CFD6BD6" w14:textId="7B343F82" w:rsidR="005803BC" w:rsidRPr="00005453" w:rsidRDefault="005803BC" w:rsidP="005803BC">
            <w:pPr>
              <w:jc w:val="right"/>
              <w:rPr>
                <w:color w:val="000000"/>
                <w:sz w:val="10"/>
                <w:szCs w:val="10"/>
              </w:rPr>
            </w:pPr>
            <w:r w:rsidRPr="00005453">
              <w:rPr>
                <w:color w:val="000000"/>
                <w:sz w:val="10"/>
                <w:szCs w:val="16"/>
              </w:rPr>
              <w:t>871,505</w:t>
            </w:r>
          </w:p>
        </w:tc>
        <w:tc>
          <w:tcPr>
            <w:tcW w:w="889" w:type="dxa"/>
            <w:tcBorders>
              <w:top w:val="nil"/>
              <w:left w:val="nil"/>
              <w:bottom w:val="nil"/>
              <w:right w:val="nil"/>
            </w:tcBorders>
            <w:shd w:val="clear" w:color="auto" w:fill="auto"/>
            <w:vAlign w:val="center"/>
            <w:hideMark/>
          </w:tcPr>
          <w:p w14:paraId="011EC8B6" w14:textId="196DAFE5" w:rsidR="005803BC" w:rsidRPr="00005453" w:rsidRDefault="005803BC" w:rsidP="005803BC">
            <w:pPr>
              <w:jc w:val="right"/>
              <w:rPr>
                <w:color w:val="000000"/>
                <w:sz w:val="10"/>
                <w:szCs w:val="10"/>
              </w:rPr>
            </w:pPr>
            <w:r w:rsidRPr="00005453">
              <w:rPr>
                <w:bCs/>
                <w:color w:val="000000"/>
                <w:sz w:val="10"/>
                <w:szCs w:val="10"/>
              </w:rPr>
              <w:t>2,945,033</w:t>
            </w:r>
          </w:p>
        </w:tc>
      </w:tr>
      <w:tr w:rsidR="005803BC" w:rsidRPr="00005453" w14:paraId="2ED9659D" w14:textId="77777777" w:rsidTr="00667FB0">
        <w:trPr>
          <w:trHeight w:val="215"/>
        </w:trPr>
        <w:tc>
          <w:tcPr>
            <w:tcW w:w="1013" w:type="dxa"/>
            <w:tcBorders>
              <w:top w:val="nil"/>
              <w:left w:val="nil"/>
              <w:bottom w:val="nil"/>
              <w:right w:val="nil"/>
            </w:tcBorders>
            <w:shd w:val="clear" w:color="auto" w:fill="auto"/>
            <w:noWrap/>
            <w:vAlign w:val="center"/>
            <w:hideMark/>
          </w:tcPr>
          <w:p w14:paraId="3BDC4599" w14:textId="77777777" w:rsidR="005803BC" w:rsidRPr="00005453" w:rsidRDefault="005803BC" w:rsidP="005803BC">
            <w:pPr>
              <w:rPr>
                <w:color w:val="000000"/>
                <w:sz w:val="10"/>
                <w:szCs w:val="10"/>
                <w:lang w:eastAsia="tr-TR"/>
              </w:rPr>
            </w:pPr>
            <w:r w:rsidRPr="00005453">
              <w:rPr>
                <w:color w:val="000000"/>
                <w:sz w:val="10"/>
                <w:szCs w:val="10"/>
                <w:lang w:eastAsia="tr-TR"/>
              </w:rPr>
              <w:t>Ulaştırma Ve Haberleşme</w:t>
            </w:r>
          </w:p>
        </w:tc>
        <w:tc>
          <w:tcPr>
            <w:tcW w:w="756" w:type="dxa"/>
            <w:tcBorders>
              <w:top w:val="nil"/>
              <w:left w:val="nil"/>
              <w:bottom w:val="nil"/>
              <w:right w:val="nil"/>
            </w:tcBorders>
            <w:shd w:val="clear" w:color="auto" w:fill="auto"/>
            <w:vAlign w:val="center"/>
            <w:hideMark/>
          </w:tcPr>
          <w:p w14:paraId="0C66CEF2" w14:textId="7C93B9B5"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5F1DD94D" w14:textId="51638A08"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17265271" w14:textId="613A2E5B"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34356902" w14:textId="019213EF"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000A2ECC" w14:textId="6FFCBB29"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21B1FD03" w14:textId="4F6007A8"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444418B5" w14:textId="0D088E79" w:rsidR="005803BC" w:rsidRPr="00005453" w:rsidRDefault="005803BC" w:rsidP="005803BC">
            <w:pPr>
              <w:jc w:val="right"/>
              <w:rPr>
                <w:color w:val="000000"/>
                <w:sz w:val="10"/>
                <w:szCs w:val="10"/>
              </w:rPr>
            </w:pPr>
            <w:r w:rsidRPr="00005453">
              <w:rPr>
                <w:color w:val="000000"/>
                <w:sz w:val="10"/>
                <w:szCs w:val="16"/>
              </w:rPr>
              <w:t>11,622,060</w:t>
            </w:r>
          </w:p>
        </w:tc>
        <w:tc>
          <w:tcPr>
            <w:tcW w:w="621" w:type="dxa"/>
            <w:tcBorders>
              <w:top w:val="nil"/>
              <w:left w:val="nil"/>
              <w:bottom w:val="nil"/>
              <w:right w:val="nil"/>
            </w:tcBorders>
            <w:shd w:val="clear" w:color="auto" w:fill="auto"/>
            <w:vAlign w:val="center"/>
            <w:hideMark/>
          </w:tcPr>
          <w:p w14:paraId="0374BD36" w14:textId="0745B575" w:rsidR="005803BC" w:rsidRPr="00005453" w:rsidRDefault="005803BC" w:rsidP="005803BC">
            <w:pPr>
              <w:jc w:val="right"/>
              <w:rPr>
                <w:color w:val="000000"/>
                <w:sz w:val="10"/>
                <w:szCs w:val="10"/>
              </w:rPr>
            </w:pPr>
            <w:r w:rsidRPr="00005453">
              <w:rPr>
                <w:color w:val="000000"/>
                <w:sz w:val="10"/>
                <w:szCs w:val="16"/>
              </w:rPr>
              <w:t>5,556,287</w:t>
            </w:r>
          </w:p>
        </w:tc>
        <w:tc>
          <w:tcPr>
            <w:tcW w:w="921" w:type="dxa"/>
            <w:tcBorders>
              <w:top w:val="nil"/>
              <w:left w:val="nil"/>
              <w:bottom w:val="nil"/>
              <w:right w:val="nil"/>
            </w:tcBorders>
            <w:shd w:val="clear" w:color="auto" w:fill="auto"/>
            <w:vAlign w:val="center"/>
            <w:hideMark/>
          </w:tcPr>
          <w:p w14:paraId="308B71D9" w14:textId="297718EB" w:rsidR="005803BC" w:rsidRPr="00005453" w:rsidRDefault="005803BC" w:rsidP="005803BC">
            <w:pPr>
              <w:jc w:val="right"/>
              <w:rPr>
                <w:color w:val="000000"/>
                <w:sz w:val="10"/>
                <w:szCs w:val="10"/>
              </w:rPr>
            </w:pPr>
            <w:r w:rsidRPr="00005453">
              <w:rPr>
                <w:color w:val="000000"/>
                <w:sz w:val="10"/>
                <w:szCs w:val="16"/>
              </w:rPr>
              <w:t>4,566,462</w:t>
            </w:r>
          </w:p>
        </w:tc>
        <w:tc>
          <w:tcPr>
            <w:tcW w:w="529" w:type="dxa"/>
            <w:tcBorders>
              <w:top w:val="nil"/>
              <w:left w:val="nil"/>
              <w:bottom w:val="nil"/>
              <w:right w:val="nil"/>
            </w:tcBorders>
            <w:shd w:val="clear" w:color="auto" w:fill="auto"/>
            <w:vAlign w:val="center"/>
            <w:hideMark/>
          </w:tcPr>
          <w:p w14:paraId="709B5245" w14:textId="7DB5F78A" w:rsidR="005803BC" w:rsidRPr="00005453" w:rsidRDefault="005803BC" w:rsidP="005803BC">
            <w:pPr>
              <w:jc w:val="right"/>
              <w:rPr>
                <w:color w:val="000000"/>
                <w:sz w:val="10"/>
                <w:szCs w:val="10"/>
              </w:rPr>
            </w:pPr>
            <w:r w:rsidRPr="00005453">
              <w:rPr>
                <w:color w:val="000000"/>
                <w:sz w:val="10"/>
                <w:szCs w:val="16"/>
              </w:rPr>
              <w:t>19,672</w:t>
            </w:r>
          </w:p>
        </w:tc>
        <w:tc>
          <w:tcPr>
            <w:tcW w:w="621" w:type="dxa"/>
            <w:tcBorders>
              <w:top w:val="nil"/>
              <w:left w:val="nil"/>
              <w:bottom w:val="nil"/>
              <w:right w:val="nil"/>
            </w:tcBorders>
            <w:shd w:val="clear" w:color="auto" w:fill="auto"/>
            <w:vAlign w:val="center"/>
            <w:hideMark/>
          </w:tcPr>
          <w:p w14:paraId="11B00300" w14:textId="4BDC691F" w:rsidR="005803BC" w:rsidRPr="00005453" w:rsidRDefault="005803BC" w:rsidP="005803BC">
            <w:pPr>
              <w:jc w:val="right"/>
              <w:rPr>
                <w:color w:val="000000"/>
                <w:sz w:val="10"/>
                <w:szCs w:val="10"/>
              </w:rPr>
            </w:pPr>
            <w:r w:rsidRPr="00005453">
              <w:rPr>
                <w:color w:val="000000"/>
                <w:sz w:val="10"/>
                <w:szCs w:val="16"/>
              </w:rPr>
              <w:t>185,418</w:t>
            </w:r>
          </w:p>
        </w:tc>
        <w:tc>
          <w:tcPr>
            <w:tcW w:w="552" w:type="dxa"/>
            <w:tcBorders>
              <w:top w:val="nil"/>
              <w:left w:val="nil"/>
              <w:bottom w:val="nil"/>
              <w:right w:val="nil"/>
            </w:tcBorders>
            <w:shd w:val="clear" w:color="auto" w:fill="auto"/>
            <w:vAlign w:val="center"/>
            <w:hideMark/>
          </w:tcPr>
          <w:p w14:paraId="286FDA10" w14:textId="2B7458A0"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660D6117" w14:textId="18108D1B"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2A52A1EC" w14:textId="3F8758B2"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3F1AAA29" w14:textId="4C90418B"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7CFEAF0C" w14:textId="11981D5C" w:rsidR="005803BC" w:rsidRPr="00005453" w:rsidRDefault="005803BC" w:rsidP="005803BC">
            <w:pPr>
              <w:jc w:val="right"/>
              <w:rPr>
                <w:color w:val="000000"/>
                <w:sz w:val="10"/>
                <w:szCs w:val="10"/>
              </w:rPr>
            </w:pPr>
            <w:r w:rsidRPr="00005453">
              <w:rPr>
                <w:color w:val="000000"/>
                <w:sz w:val="10"/>
                <w:szCs w:val="16"/>
              </w:rPr>
              <w:t>101,000</w:t>
            </w:r>
          </w:p>
        </w:tc>
        <w:tc>
          <w:tcPr>
            <w:tcW w:w="621" w:type="dxa"/>
            <w:tcBorders>
              <w:top w:val="nil"/>
              <w:left w:val="nil"/>
              <w:bottom w:val="nil"/>
              <w:right w:val="nil"/>
            </w:tcBorders>
            <w:shd w:val="clear" w:color="auto" w:fill="auto"/>
            <w:vAlign w:val="center"/>
            <w:hideMark/>
          </w:tcPr>
          <w:p w14:paraId="518E5C7D" w14:textId="2214057B" w:rsidR="005803BC" w:rsidRPr="00005453" w:rsidRDefault="005803BC" w:rsidP="005803BC">
            <w:pPr>
              <w:jc w:val="right"/>
              <w:rPr>
                <w:color w:val="000000"/>
                <w:sz w:val="10"/>
                <w:szCs w:val="10"/>
              </w:rPr>
            </w:pPr>
            <w:r w:rsidRPr="00005453">
              <w:rPr>
                <w:color w:val="000000"/>
                <w:sz w:val="10"/>
                <w:szCs w:val="16"/>
              </w:rPr>
              <w:t>37,152</w:t>
            </w:r>
          </w:p>
        </w:tc>
        <w:tc>
          <w:tcPr>
            <w:tcW w:w="674" w:type="dxa"/>
            <w:tcBorders>
              <w:top w:val="nil"/>
              <w:left w:val="nil"/>
              <w:bottom w:val="nil"/>
              <w:right w:val="nil"/>
            </w:tcBorders>
            <w:shd w:val="clear" w:color="auto" w:fill="auto"/>
            <w:vAlign w:val="center"/>
            <w:hideMark/>
          </w:tcPr>
          <w:p w14:paraId="5D7F0E6F" w14:textId="5AC2C773" w:rsidR="005803BC" w:rsidRPr="00005453" w:rsidRDefault="005803BC" w:rsidP="005803BC">
            <w:pPr>
              <w:jc w:val="right"/>
              <w:rPr>
                <w:color w:val="000000"/>
                <w:sz w:val="10"/>
                <w:szCs w:val="10"/>
              </w:rPr>
            </w:pPr>
            <w:r w:rsidRPr="00005453">
              <w:rPr>
                <w:color w:val="000000"/>
                <w:sz w:val="10"/>
                <w:szCs w:val="16"/>
              </w:rPr>
              <w:t>8,111,473</w:t>
            </w:r>
          </w:p>
        </w:tc>
        <w:tc>
          <w:tcPr>
            <w:tcW w:w="674" w:type="dxa"/>
            <w:tcBorders>
              <w:top w:val="nil"/>
              <w:left w:val="nil"/>
              <w:bottom w:val="nil"/>
              <w:right w:val="nil"/>
            </w:tcBorders>
            <w:shd w:val="clear" w:color="auto" w:fill="auto"/>
            <w:vAlign w:val="center"/>
            <w:hideMark/>
          </w:tcPr>
          <w:p w14:paraId="6E59AF28" w14:textId="789B75F1" w:rsidR="005803BC" w:rsidRPr="00005453" w:rsidRDefault="005803BC" w:rsidP="005803BC">
            <w:pPr>
              <w:jc w:val="right"/>
              <w:rPr>
                <w:color w:val="000000"/>
                <w:sz w:val="10"/>
                <w:szCs w:val="10"/>
              </w:rPr>
            </w:pPr>
            <w:r w:rsidRPr="00005453">
              <w:rPr>
                <w:color w:val="000000"/>
                <w:sz w:val="10"/>
                <w:szCs w:val="16"/>
              </w:rPr>
              <w:t>13,976,578</w:t>
            </w:r>
          </w:p>
        </w:tc>
        <w:tc>
          <w:tcPr>
            <w:tcW w:w="889" w:type="dxa"/>
            <w:tcBorders>
              <w:top w:val="nil"/>
              <w:left w:val="nil"/>
              <w:bottom w:val="nil"/>
              <w:right w:val="nil"/>
            </w:tcBorders>
            <w:shd w:val="clear" w:color="auto" w:fill="auto"/>
            <w:vAlign w:val="center"/>
            <w:hideMark/>
          </w:tcPr>
          <w:p w14:paraId="01A194E2" w14:textId="07C22F3F" w:rsidR="005803BC" w:rsidRPr="00005453" w:rsidRDefault="005803BC" w:rsidP="005803BC">
            <w:pPr>
              <w:jc w:val="right"/>
              <w:rPr>
                <w:color w:val="000000"/>
                <w:sz w:val="10"/>
                <w:szCs w:val="10"/>
              </w:rPr>
            </w:pPr>
            <w:r w:rsidRPr="00005453">
              <w:rPr>
                <w:bCs/>
                <w:color w:val="000000"/>
                <w:sz w:val="10"/>
                <w:szCs w:val="10"/>
              </w:rPr>
              <w:t>22,088,051</w:t>
            </w:r>
          </w:p>
        </w:tc>
      </w:tr>
      <w:tr w:rsidR="005803BC" w:rsidRPr="00005453" w14:paraId="62B55550" w14:textId="77777777" w:rsidTr="00667FB0">
        <w:trPr>
          <w:trHeight w:val="215"/>
        </w:trPr>
        <w:tc>
          <w:tcPr>
            <w:tcW w:w="1013" w:type="dxa"/>
            <w:tcBorders>
              <w:top w:val="nil"/>
              <w:left w:val="nil"/>
              <w:bottom w:val="nil"/>
              <w:right w:val="nil"/>
            </w:tcBorders>
            <w:shd w:val="clear" w:color="auto" w:fill="auto"/>
            <w:noWrap/>
            <w:vAlign w:val="center"/>
            <w:hideMark/>
          </w:tcPr>
          <w:p w14:paraId="651C04C3" w14:textId="77777777" w:rsidR="005803BC" w:rsidRPr="00005453" w:rsidRDefault="005803BC" w:rsidP="005803BC">
            <w:pPr>
              <w:rPr>
                <w:color w:val="000000"/>
                <w:sz w:val="10"/>
                <w:szCs w:val="10"/>
                <w:lang w:eastAsia="tr-TR"/>
              </w:rPr>
            </w:pPr>
            <w:r w:rsidRPr="00005453">
              <w:rPr>
                <w:color w:val="000000"/>
                <w:sz w:val="10"/>
                <w:szCs w:val="10"/>
                <w:lang w:eastAsia="tr-TR"/>
              </w:rPr>
              <w:t>Mali Kuruluşlar</w:t>
            </w:r>
          </w:p>
        </w:tc>
        <w:tc>
          <w:tcPr>
            <w:tcW w:w="756" w:type="dxa"/>
            <w:tcBorders>
              <w:top w:val="nil"/>
              <w:left w:val="nil"/>
              <w:bottom w:val="nil"/>
              <w:right w:val="nil"/>
            </w:tcBorders>
            <w:shd w:val="clear" w:color="auto" w:fill="auto"/>
            <w:vAlign w:val="center"/>
            <w:hideMark/>
          </w:tcPr>
          <w:p w14:paraId="7EEF922D" w14:textId="3E7FD54A" w:rsidR="005803BC" w:rsidRPr="00005453" w:rsidRDefault="005803BC" w:rsidP="005803BC">
            <w:pPr>
              <w:jc w:val="right"/>
              <w:rPr>
                <w:color w:val="000000"/>
                <w:sz w:val="10"/>
                <w:szCs w:val="10"/>
              </w:rPr>
            </w:pPr>
            <w:r w:rsidRPr="00005453">
              <w:rPr>
                <w:color w:val="000000"/>
                <w:sz w:val="10"/>
                <w:szCs w:val="16"/>
              </w:rPr>
              <w:t>264,873,248</w:t>
            </w:r>
          </w:p>
        </w:tc>
        <w:tc>
          <w:tcPr>
            <w:tcW w:w="756" w:type="dxa"/>
            <w:tcBorders>
              <w:top w:val="nil"/>
              <w:left w:val="nil"/>
              <w:bottom w:val="nil"/>
              <w:right w:val="nil"/>
            </w:tcBorders>
            <w:shd w:val="clear" w:color="auto" w:fill="auto"/>
            <w:vAlign w:val="center"/>
            <w:hideMark/>
          </w:tcPr>
          <w:p w14:paraId="47C7CF12" w14:textId="5BE0D17C"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575FAFCB" w14:textId="2E3A5411"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0CE7D8D0" w14:textId="3F7FB9CD"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357563C7" w14:textId="1CAD39CF"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73819651" w14:textId="690CEDE0" w:rsidR="005803BC" w:rsidRPr="00005453" w:rsidRDefault="005803BC" w:rsidP="005803BC">
            <w:pPr>
              <w:jc w:val="right"/>
              <w:rPr>
                <w:color w:val="000000"/>
                <w:sz w:val="10"/>
                <w:szCs w:val="10"/>
              </w:rPr>
            </w:pPr>
            <w:r w:rsidRPr="00005453">
              <w:rPr>
                <w:color w:val="000000"/>
                <w:sz w:val="10"/>
                <w:szCs w:val="16"/>
              </w:rPr>
              <w:t>29,930,353</w:t>
            </w:r>
          </w:p>
        </w:tc>
        <w:tc>
          <w:tcPr>
            <w:tcW w:w="640" w:type="dxa"/>
            <w:tcBorders>
              <w:top w:val="nil"/>
              <w:left w:val="nil"/>
              <w:bottom w:val="nil"/>
              <w:right w:val="nil"/>
            </w:tcBorders>
            <w:shd w:val="clear" w:color="auto" w:fill="auto"/>
            <w:vAlign w:val="center"/>
            <w:hideMark/>
          </w:tcPr>
          <w:p w14:paraId="4D709723" w14:textId="3A3D6945" w:rsidR="005803BC" w:rsidRPr="00005453" w:rsidRDefault="005803BC" w:rsidP="005803BC">
            <w:pPr>
              <w:jc w:val="right"/>
              <w:rPr>
                <w:color w:val="000000"/>
                <w:sz w:val="10"/>
                <w:szCs w:val="10"/>
              </w:rPr>
            </w:pPr>
            <w:r w:rsidRPr="00005453">
              <w:rPr>
                <w:color w:val="000000"/>
                <w:sz w:val="10"/>
                <w:szCs w:val="16"/>
              </w:rPr>
              <w:t>470,339</w:t>
            </w:r>
          </w:p>
        </w:tc>
        <w:tc>
          <w:tcPr>
            <w:tcW w:w="621" w:type="dxa"/>
            <w:tcBorders>
              <w:top w:val="nil"/>
              <w:left w:val="nil"/>
              <w:bottom w:val="nil"/>
              <w:right w:val="nil"/>
            </w:tcBorders>
            <w:shd w:val="clear" w:color="auto" w:fill="auto"/>
            <w:vAlign w:val="center"/>
            <w:hideMark/>
          </w:tcPr>
          <w:p w14:paraId="73630156" w14:textId="4BE5B20A" w:rsidR="005803BC" w:rsidRPr="00005453" w:rsidRDefault="005803BC" w:rsidP="005803BC">
            <w:pPr>
              <w:jc w:val="right"/>
              <w:rPr>
                <w:color w:val="000000"/>
                <w:sz w:val="10"/>
                <w:szCs w:val="10"/>
              </w:rPr>
            </w:pPr>
            <w:r w:rsidRPr="00005453">
              <w:rPr>
                <w:color w:val="000000"/>
                <w:sz w:val="10"/>
                <w:szCs w:val="16"/>
              </w:rPr>
              <w:t>30,102</w:t>
            </w:r>
          </w:p>
        </w:tc>
        <w:tc>
          <w:tcPr>
            <w:tcW w:w="921" w:type="dxa"/>
            <w:tcBorders>
              <w:top w:val="nil"/>
              <w:left w:val="nil"/>
              <w:bottom w:val="nil"/>
              <w:right w:val="nil"/>
            </w:tcBorders>
            <w:shd w:val="clear" w:color="auto" w:fill="auto"/>
            <w:vAlign w:val="center"/>
            <w:hideMark/>
          </w:tcPr>
          <w:p w14:paraId="38374876" w14:textId="09C410D7" w:rsidR="005803BC" w:rsidRPr="00005453" w:rsidRDefault="005803BC" w:rsidP="005803BC">
            <w:pPr>
              <w:jc w:val="right"/>
              <w:rPr>
                <w:color w:val="000000"/>
                <w:sz w:val="10"/>
                <w:szCs w:val="10"/>
              </w:rPr>
            </w:pPr>
            <w:r w:rsidRPr="00005453">
              <w:rPr>
                <w:color w:val="000000"/>
                <w:sz w:val="10"/>
                <w:szCs w:val="16"/>
              </w:rPr>
              <w:t>145,310</w:t>
            </w:r>
          </w:p>
        </w:tc>
        <w:tc>
          <w:tcPr>
            <w:tcW w:w="529" w:type="dxa"/>
            <w:tcBorders>
              <w:top w:val="nil"/>
              <w:left w:val="nil"/>
              <w:bottom w:val="nil"/>
              <w:right w:val="nil"/>
            </w:tcBorders>
            <w:shd w:val="clear" w:color="auto" w:fill="auto"/>
            <w:vAlign w:val="center"/>
            <w:hideMark/>
          </w:tcPr>
          <w:p w14:paraId="3BE3B966" w14:textId="00EBCB3C"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2A4C526D" w14:textId="6D797C84" w:rsidR="005803BC" w:rsidRPr="00005453" w:rsidRDefault="005803BC" w:rsidP="005803BC">
            <w:pPr>
              <w:jc w:val="right"/>
              <w:rPr>
                <w:color w:val="000000"/>
                <w:sz w:val="10"/>
                <w:szCs w:val="10"/>
              </w:rPr>
            </w:pPr>
            <w:r w:rsidRPr="00005453">
              <w:rPr>
                <w:color w:val="000000"/>
                <w:sz w:val="10"/>
                <w:szCs w:val="16"/>
              </w:rPr>
              <w:t>-</w:t>
            </w:r>
          </w:p>
        </w:tc>
        <w:tc>
          <w:tcPr>
            <w:tcW w:w="552" w:type="dxa"/>
            <w:tcBorders>
              <w:top w:val="nil"/>
              <w:left w:val="nil"/>
              <w:bottom w:val="nil"/>
              <w:right w:val="nil"/>
            </w:tcBorders>
            <w:shd w:val="clear" w:color="auto" w:fill="auto"/>
            <w:vAlign w:val="center"/>
            <w:hideMark/>
          </w:tcPr>
          <w:p w14:paraId="4D02E74E" w14:textId="77A90D2E"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03706EA9" w14:textId="57573134"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0B51FC46" w14:textId="05EA6A5B"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6347C9B7" w14:textId="28D1256A"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54126BD6" w14:textId="47F6A122" w:rsidR="005803BC" w:rsidRPr="00005453" w:rsidRDefault="005803BC" w:rsidP="005803BC">
            <w:pPr>
              <w:jc w:val="right"/>
              <w:rPr>
                <w:color w:val="000000"/>
                <w:sz w:val="10"/>
                <w:szCs w:val="10"/>
              </w:rPr>
            </w:pPr>
            <w:r w:rsidRPr="00005453">
              <w:rPr>
                <w:color w:val="000000"/>
                <w:sz w:val="10"/>
                <w:szCs w:val="16"/>
              </w:rPr>
              <w:t>2,185,960</w:t>
            </w:r>
          </w:p>
        </w:tc>
        <w:tc>
          <w:tcPr>
            <w:tcW w:w="621" w:type="dxa"/>
            <w:tcBorders>
              <w:top w:val="nil"/>
              <w:left w:val="nil"/>
              <w:bottom w:val="nil"/>
              <w:right w:val="nil"/>
            </w:tcBorders>
            <w:shd w:val="clear" w:color="auto" w:fill="auto"/>
            <w:vAlign w:val="center"/>
            <w:hideMark/>
          </w:tcPr>
          <w:p w14:paraId="61BFE255" w14:textId="4F963601" w:rsidR="005803BC" w:rsidRPr="00005453" w:rsidRDefault="005803BC" w:rsidP="005803BC">
            <w:pPr>
              <w:jc w:val="right"/>
              <w:rPr>
                <w:color w:val="000000"/>
                <w:sz w:val="10"/>
                <w:szCs w:val="10"/>
              </w:rPr>
            </w:pPr>
            <w:r w:rsidRPr="00005453">
              <w:rPr>
                <w:color w:val="000000"/>
                <w:sz w:val="10"/>
                <w:szCs w:val="16"/>
              </w:rPr>
              <w:t>23,364,642</w:t>
            </w:r>
          </w:p>
        </w:tc>
        <w:tc>
          <w:tcPr>
            <w:tcW w:w="674" w:type="dxa"/>
            <w:tcBorders>
              <w:top w:val="nil"/>
              <w:left w:val="nil"/>
              <w:bottom w:val="nil"/>
              <w:right w:val="nil"/>
            </w:tcBorders>
            <w:shd w:val="clear" w:color="auto" w:fill="auto"/>
            <w:vAlign w:val="center"/>
            <w:hideMark/>
          </w:tcPr>
          <w:p w14:paraId="195ABECF" w14:textId="0D2859B3" w:rsidR="005803BC" w:rsidRPr="00005453" w:rsidRDefault="005803BC" w:rsidP="005803BC">
            <w:pPr>
              <w:jc w:val="right"/>
              <w:rPr>
                <w:color w:val="000000"/>
                <w:sz w:val="10"/>
                <w:szCs w:val="10"/>
              </w:rPr>
            </w:pPr>
            <w:r w:rsidRPr="00005453">
              <w:rPr>
                <w:color w:val="000000"/>
                <w:sz w:val="10"/>
                <w:szCs w:val="16"/>
              </w:rPr>
              <w:t>164,387,771</w:t>
            </w:r>
          </w:p>
        </w:tc>
        <w:tc>
          <w:tcPr>
            <w:tcW w:w="674" w:type="dxa"/>
            <w:tcBorders>
              <w:top w:val="nil"/>
              <w:left w:val="nil"/>
              <w:bottom w:val="nil"/>
              <w:right w:val="nil"/>
            </w:tcBorders>
            <w:shd w:val="clear" w:color="auto" w:fill="auto"/>
            <w:vAlign w:val="center"/>
            <w:hideMark/>
          </w:tcPr>
          <w:p w14:paraId="4956BC34" w14:textId="5C01F2B0" w:rsidR="005803BC" w:rsidRPr="00005453" w:rsidRDefault="005803BC" w:rsidP="005803BC">
            <w:pPr>
              <w:jc w:val="right"/>
              <w:rPr>
                <w:color w:val="000000"/>
                <w:sz w:val="10"/>
                <w:szCs w:val="10"/>
              </w:rPr>
            </w:pPr>
            <w:r w:rsidRPr="00005453">
              <w:rPr>
                <w:color w:val="000000"/>
                <w:sz w:val="10"/>
                <w:szCs w:val="16"/>
              </w:rPr>
              <w:t>156,612,183</w:t>
            </w:r>
          </w:p>
        </w:tc>
        <w:tc>
          <w:tcPr>
            <w:tcW w:w="889" w:type="dxa"/>
            <w:tcBorders>
              <w:top w:val="nil"/>
              <w:left w:val="nil"/>
              <w:bottom w:val="nil"/>
              <w:right w:val="nil"/>
            </w:tcBorders>
            <w:shd w:val="clear" w:color="auto" w:fill="auto"/>
            <w:vAlign w:val="center"/>
            <w:hideMark/>
          </w:tcPr>
          <w:p w14:paraId="1F7EE8CA" w14:textId="09A93196" w:rsidR="005803BC" w:rsidRPr="00005453" w:rsidRDefault="005803BC" w:rsidP="005803BC">
            <w:pPr>
              <w:jc w:val="right"/>
              <w:rPr>
                <w:color w:val="000000"/>
                <w:sz w:val="10"/>
                <w:szCs w:val="10"/>
              </w:rPr>
            </w:pPr>
            <w:r w:rsidRPr="00005453">
              <w:rPr>
                <w:bCs/>
                <w:color w:val="000000"/>
                <w:sz w:val="10"/>
                <w:szCs w:val="10"/>
              </w:rPr>
              <w:t>320,999,954</w:t>
            </w:r>
          </w:p>
        </w:tc>
      </w:tr>
      <w:tr w:rsidR="005803BC" w:rsidRPr="00005453" w14:paraId="773A35C2" w14:textId="77777777" w:rsidTr="00667FB0">
        <w:trPr>
          <w:trHeight w:val="215"/>
        </w:trPr>
        <w:tc>
          <w:tcPr>
            <w:tcW w:w="1013" w:type="dxa"/>
            <w:tcBorders>
              <w:top w:val="nil"/>
              <w:left w:val="nil"/>
              <w:bottom w:val="nil"/>
              <w:right w:val="nil"/>
            </w:tcBorders>
            <w:shd w:val="clear" w:color="auto" w:fill="auto"/>
            <w:noWrap/>
            <w:vAlign w:val="center"/>
            <w:hideMark/>
          </w:tcPr>
          <w:p w14:paraId="6196C649" w14:textId="77777777" w:rsidR="005803BC" w:rsidRPr="00005453" w:rsidRDefault="005803BC" w:rsidP="005803BC">
            <w:pPr>
              <w:rPr>
                <w:color w:val="000000"/>
                <w:sz w:val="10"/>
                <w:szCs w:val="10"/>
                <w:lang w:eastAsia="tr-TR"/>
              </w:rPr>
            </w:pPr>
            <w:r w:rsidRPr="00005453">
              <w:rPr>
                <w:color w:val="000000"/>
                <w:sz w:val="10"/>
                <w:szCs w:val="10"/>
                <w:lang w:eastAsia="tr-TR"/>
              </w:rPr>
              <w:t>Gayrimenkul ve Kira. Hizm.</w:t>
            </w:r>
          </w:p>
        </w:tc>
        <w:tc>
          <w:tcPr>
            <w:tcW w:w="756" w:type="dxa"/>
            <w:tcBorders>
              <w:top w:val="nil"/>
              <w:left w:val="nil"/>
              <w:bottom w:val="nil"/>
              <w:right w:val="nil"/>
            </w:tcBorders>
            <w:shd w:val="clear" w:color="auto" w:fill="auto"/>
            <w:vAlign w:val="center"/>
            <w:hideMark/>
          </w:tcPr>
          <w:p w14:paraId="7041D1C2" w14:textId="3B72A75F"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2818E741" w14:textId="6600DA4B"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5E6C721E" w14:textId="687DAD1F"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0162CA02" w14:textId="72A28CF9"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45EC71CA" w14:textId="6926F9B6"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1AD61BAB" w14:textId="0D230645" w:rsidR="005803BC" w:rsidRPr="00005453" w:rsidRDefault="005803BC" w:rsidP="005803BC">
            <w:pPr>
              <w:jc w:val="right"/>
              <w:rPr>
                <w:color w:val="000000"/>
                <w:sz w:val="10"/>
                <w:szCs w:val="10"/>
              </w:rPr>
            </w:pPr>
            <w:r w:rsidRPr="00005453">
              <w:rPr>
                <w:color w:val="000000"/>
                <w:sz w:val="10"/>
                <w:szCs w:val="16"/>
              </w:rPr>
              <w:t>161,982</w:t>
            </w:r>
          </w:p>
        </w:tc>
        <w:tc>
          <w:tcPr>
            <w:tcW w:w="640" w:type="dxa"/>
            <w:tcBorders>
              <w:top w:val="nil"/>
              <w:left w:val="nil"/>
              <w:bottom w:val="nil"/>
              <w:right w:val="nil"/>
            </w:tcBorders>
            <w:shd w:val="clear" w:color="auto" w:fill="auto"/>
            <w:vAlign w:val="center"/>
            <w:hideMark/>
          </w:tcPr>
          <w:p w14:paraId="22F0206D" w14:textId="0465989C" w:rsidR="005803BC" w:rsidRPr="00005453" w:rsidRDefault="005803BC" w:rsidP="005803BC">
            <w:pPr>
              <w:jc w:val="right"/>
              <w:rPr>
                <w:color w:val="000000"/>
                <w:sz w:val="10"/>
                <w:szCs w:val="10"/>
              </w:rPr>
            </w:pPr>
            <w:r w:rsidRPr="00005453">
              <w:rPr>
                <w:color w:val="000000"/>
                <w:sz w:val="10"/>
                <w:szCs w:val="16"/>
              </w:rPr>
              <w:t>4,206,718</w:t>
            </w:r>
          </w:p>
        </w:tc>
        <w:tc>
          <w:tcPr>
            <w:tcW w:w="621" w:type="dxa"/>
            <w:tcBorders>
              <w:top w:val="nil"/>
              <w:left w:val="nil"/>
              <w:bottom w:val="nil"/>
              <w:right w:val="nil"/>
            </w:tcBorders>
            <w:shd w:val="clear" w:color="auto" w:fill="auto"/>
            <w:vAlign w:val="center"/>
            <w:hideMark/>
          </w:tcPr>
          <w:p w14:paraId="7118BD00" w14:textId="31416709" w:rsidR="005803BC" w:rsidRPr="00005453" w:rsidRDefault="005803BC" w:rsidP="005803BC">
            <w:pPr>
              <w:jc w:val="right"/>
              <w:rPr>
                <w:color w:val="000000"/>
                <w:sz w:val="10"/>
                <w:szCs w:val="10"/>
              </w:rPr>
            </w:pPr>
            <w:r w:rsidRPr="00005453">
              <w:rPr>
                <w:color w:val="000000"/>
                <w:sz w:val="10"/>
                <w:szCs w:val="16"/>
              </w:rPr>
              <w:t>974,624</w:t>
            </w:r>
          </w:p>
        </w:tc>
        <w:tc>
          <w:tcPr>
            <w:tcW w:w="921" w:type="dxa"/>
            <w:tcBorders>
              <w:top w:val="nil"/>
              <w:left w:val="nil"/>
              <w:bottom w:val="nil"/>
              <w:right w:val="nil"/>
            </w:tcBorders>
            <w:shd w:val="clear" w:color="auto" w:fill="auto"/>
            <w:vAlign w:val="center"/>
            <w:hideMark/>
          </w:tcPr>
          <w:p w14:paraId="5D17AD2C" w14:textId="57619EAA" w:rsidR="005803BC" w:rsidRPr="00005453" w:rsidRDefault="005803BC" w:rsidP="005803BC">
            <w:pPr>
              <w:jc w:val="right"/>
              <w:rPr>
                <w:color w:val="000000"/>
                <w:sz w:val="10"/>
                <w:szCs w:val="10"/>
              </w:rPr>
            </w:pPr>
            <w:r w:rsidRPr="00005453">
              <w:rPr>
                <w:color w:val="000000"/>
                <w:sz w:val="10"/>
                <w:szCs w:val="16"/>
              </w:rPr>
              <w:t>2,078,007</w:t>
            </w:r>
          </w:p>
        </w:tc>
        <w:tc>
          <w:tcPr>
            <w:tcW w:w="529" w:type="dxa"/>
            <w:tcBorders>
              <w:top w:val="nil"/>
              <w:left w:val="nil"/>
              <w:bottom w:val="nil"/>
              <w:right w:val="nil"/>
            </w:tcBorders>
            <w:shd w:val="clear" w:color="auto" w:fill="auto"/>
            <w:vAlign w:val="center"/>
            <w:hideMark/>
          </w:tcPr>
          <w:p w14:paraId="705B5AB5" w14:textId="394DC181" w:rsidR="005803BC" w:rsidRPr="00005453" w:rsidRDefault="005803BC" w:rsidP="005803BC">
            <w:pPr>
              <w:jc w:val="right"/>
              <w:rPr>
                <w:color w:val="000000"/>
                <w:sz w:val="10"/>
                <w:szCs w:val="10"/>
              </w:rPr>
            </w:pPr>
            <w:r w:rsidRPr="00005453">
              <w:rPr>
                <w:color w:val="000000"/>
                <w:sz w:val="10"/>
                <w:szCs w:val="16"/>
              </w:rPr>
              <w:t>4,039</w:t>
            </w:r>
          </w:p>
        </w:tc>
        <w:tc>
          <w:tcPr>
            <w:tcW w:w="621" w:type="dxa"/>
            <w:tcBorders>
              <w:top w:val="nil"/>
              <w:left w:val="nil"/>
              <w:bottom w:val="nil"/>
              <w:right w:val="nil"/>
            </w:tcBorders>
            <w:shd w:val="clear" w:color="auto" w:fill="auto"/>
            <w:vAlign w:val="center"/>
            <w:hideMark/>
          </w:tcPr>
          <w:p w14:paraId="7BB3B6E7" w14:textId="1DD4D0FE" w:rsidR="005803BC" w:rsidRPr="00005453" w:rsidRDefault="005803BC" w:rsidP="005803BC">
            <w:pPr>
              <w:jc w:val="right"/>
              <w:rPr>
                <w:color w:val="000000"/>
                <w:sz w:val="10"/>
                <w:szCs w:val="10"/>
              </w:rPr>
            </w:pPr>
            <w:r w:rsidRPr="00005453">
              <w:rPr>
                <w:color w:val="000000"/>
                <w:sz w:val="10"/>
                <w:szCs w:val="16"/>
              </w:rPr>
              <w:t>177,852</w:t>
            </w:r>
          </w:p>
        </w:tc>
        <w:tc>
          <w:tcPr>
            <w:tcW w:w="552" w:type="dxa"/>
            <w:tcBorders>
              <w:top w:val="nil"/>
              <w:left w:val="nil"/>
              <w:bottom w:val="nil"/>
              <w:right w:val="nil"/>
            </w:tcBorders>
            <w:shd w:val="clear" w:color="auto" w:fill="auto"/>
            <w:vAlign w:val="center"/>
            <w:hideMark/>
          </w:tcPr>
          <w:p w14:paraId="387CC483" w14:textId="4110E8F4"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258BB487" w14:textId="7C42E002"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7B9957D6" w14:textId="74B3E04C"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44CBA0CE" w14:textId="1C49D749"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52E4E69C" w14:textId="1842A7B7" w:rsidR="005803BC" w:rsidRPr="00005453" w:rsidRDefault="005803BC" w:rsidP="005803BC">
            <w:pPr>
              <w:jc w:val="right"/>
              <w:rPr>
                <w:color w:val="000000"/>
                <w:sz w:val="10"/>
                <w:szCs w:val="10"/>
              </w:rPr>
            </w:pPr>
            <w:r w:rsidRPr="00005453">
              <w:rPr>
                <w:color w:val="000000"/>
                <w:sz w:val="10"/>
                <w:szCs w:val="16"/>
              </w:rPr>
              <w:t>50</w:t>
            </w:r>
          </w:p>
        </w:tc>
        <w:tc>
          <w:tcPr>
            <w:tcW w:w="621" w:type="dxa"/>
            <w:tcBorders>
              <w:top w:val="nil"/>
              <w:left w:val="nil"/>
              <w:bottom w:val="nil"/>
              <w:right w:val="nil"/>
            </w:tcBorders>
            <w:shd w:val="clear" w:color="auto" w:fill="auto"/>
            <w:vAlign w:val="center"/>
            <w:hideMark/>
          </w:tcPr>
          <w:p w14:paraId="326FDE77" w14:textId="4AED28EC" w:rsidR="005803BC" w:rsidRPr="00005453" w:rsidRDefault="005803BC" w:rsidP="005803BC">
            <w:pPr>
              <w:jc w:val="right"/>
              <w:rPr>
                <w:color w:val="000000"/>
                <w:sz w:val="10"/>
                <w:szCs w:val="10"/>
              </w:rPr>
            </w:pPr>
            <w:r w:rsidRPr="00005453">
              <w:rPr>
                <w:color w:val="000000"/>
                <w:sz w:val="10"/>
                <w:szCs w:val="16"/>
              </w:rPr>
              <w:t>2,401</w:t>
            </w:r>
          </w:p>
        </w:tc>
        <w:tc>
          <w:tcPr>
            <w:tcW w:w="674" w:type="dxa"/>
            <w:tcBorders>
              <w:top w:val="nil"/>
              <w:left w:val="nil"/>
              <w:bottom w:val="nil"/>
              <w:right w:val="nil"/>
            </w:tcBorders>
            <w:shd w:val="clear" w:color="auto" w:fill="auto"/>
            <w:vAlign w:val="center"/>
            <w:hideMark/>
          </w:tcPr>
          <w:p w14:paraId="08B6555F" w14:textId="66455F4E" w:rsidR="005803BC" w:rsidRPr="00005453" w:rsidRDefault="005803BC" w:rsidP="005803BC">
            <w:pPr>
              <w:jc w:val="right"/>
              <w:rPr>
                <w:color w:val="000000"/>
                <w:sz w:val="10"/>
                <w:szCs w:val="10"/>
              </w:rPr>
            </w:pPr>
            <w:r w:rsidRPr="00005453">
              <w:rPr>
                <w:color w:val="000000"/>
                <w:sz w:val="10"/>
                <w:szCs w:val="16"/>
              </w:rPr>
              <w:t>5,575,766</w:t>
            </w:r>
          </w:p>
        </w:tc>
        <w:tc>
          <w:tcPr>
            <w:tcW w:w="674" w:type="dxa"/>
            <w:tcBorders>
              <w:top w:val="nil"/>
              <w:left w:val="nil"/>
              <w:bottom w:val="nil"/>
              <w:right w:val="nil"/>
            </w:tcBorders>
            <w:shd w:val="clear" w:color="auto" w:fill="auto"/>
            <w:vAlign w:val="center"/>
            <w:hideMark/>
          </w:tcPr>
          <w:p w14:paraId="55F5E4B1" w14:textId="7FF3FC66" w:rsidR="005803BC" w:rsidRPr="00005453" w:rsidRDefault="005803BC" w:rsidP="005803BC">
            <w:pPr>
              <w:jc w:val="right"/>
              <w:rPr>
                <w:color w:val="000000"/>
                <w:sz w:val="10"/>
                <w:szCs w:val="10"/>
              </w:rPr>
            </w:pPr>
            <w:r w:rsidRPr="00005453">
              <w:rPr>
                <w:color w:val="000000"/>
                <w:sz w:val="10"/>
                <w:szCs w:val="16"/>
              </w:rPr>
              <w:t>2,029,907</w:t>
            </w:r>
          </w:p>
        </w:tc>
        <w:tc>
          <w:tcPr>
            <w:tcW w:w="889" w:type="dxa"/>
            <w:tcBorders>
              <w:top w:val="nil"/>
              <w:left w:val="nil"/>
              <w:bottom w:val="nil"/>
              <w:right w:val="nil"/>
            </w:tcBorders>
            <w:shd w:val="clear" w:color="auto" w:fill="auto"/>
            <w:vAlign w:val="center"/>
            <w:hideMark/>
          </w:tcPr>
          <w:p w14:paraId="55534991" w14:textId="4265BB95" w:rsidR="005803BC" w:rsidRPr="00005453" w:rsidRDefault="005803BC" w:rsidP="005803BC">
            <w:pPr>
              <w:jc w:val="right"/>
              <w:rPr>
                <w:color w:val="000000"/>
                <w:sz w:val="10"/>
                <w:szCs w:val="10"/>
              </w:rPr>
            </w:pPr>
            <w:r w:rsidRPr="00005453">
              <w:rPr>
                <w:bCs/>
                <w:color w:val="000000"/>
                <w:sz w:val="10"/>
                <w:szCs w:val="10"/>
              </w:rPr>
              <w:t>7,605,673</w:t>
            </w:r>
          </w:p>
        </w:tc>
      </w:tr>
      <w:tr w:rsidR="005803BC" w:rsidRPr="00005453" w14:paraId="74675169" w14:textId="77777777" w:rsidTr="00667FB0">
        <w:trPr>
          <w:trHeight w:val="215"/>
        </w:trPr>
        <w:tc>
          <w:tcPr>
            <w:tcW w:w="1013" w:type="dxa"/>
            <w:tcBorders>
              <w:top w:val="nil"/>
              <w:left w:val="nil"/>
              <w:bottom w:val="nil"/>
              <w:right w:val="nil"/>
            </w:tcBorders>
            <w:shd w:val="clear" w:color="auto" w:fill="auto"/>
            <w:noWrap/>
            <w:vAlign w:val="center"/>
            <w:hideMark/>
          </w:tcPr>
          <w:p w14:paraId="0F2D5DDF" w14:textId="77777777" w:rsidR="005803BC" w:rsidRPr="00005453" w:rsidRDefault="005803BC" w:rsidP="005803BC">
            <w:pPr>
              <w:rPr>
                <w:color w:val="000000"/>
                <w:sz w:val="10"/>
                <w:szCs w:val="10"/>
                <w:lang w:eastAsia="tr-TR"/>
              </w:rPr>
            </w:pPr>
            <w:r w:rsidRPr="00005453">
              <w:rPr>
                <w:color w:val="000000"/>
                <w:sz w:val="10"/>
                <w:szCs w:val="10"/>
                <w:lang w:eastAsia="tr-TR"/>
              </w:rPr>
              <w:t>Serbest Meslek Hizmetleri</w:t>
            </w:r>
          </w:p>
        </w:tc>
        <w:tc>
          <w:tcPr>
            <w:tcW w:w="756" w:type="dxa"/>
            <w:tcBorders>
              <w:top w:val="nil"/>
              <w:left w:val="nil"/>
              <w:bottom w:val="nil"/>
              <w:right w:val="nil"/>
            </w:tcBorders>
            <w:shd w:val="clear" w:color="auto" w:fill="auto"/>
            <w:vAlign w:val="center"/>
            <w:hideMark/>
          </w:tcPr>
          <w:p w14:paraId="5A76FA5E" w14:textId="7376322A"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216FD77E" w14:textId="0741DE4F"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5AAAD377" w14:textId="0ED48BFA"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667F5C23" w14:textId="34FEE3E9"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3EFE97BC" w14:textId="35DC1D2A"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480FEC26" w14:textId="3551B72E"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25E35A61" w14:textId="17A66057" w:rsidR="005803BC" w:rsidRPr="00005453" w:rsidRDefault="005803BC" w:rsidP="005803BC">
            <w:pPr>
              <w:jc w:val="right"/>
              <w:rPr>
                <w:color w:val="000000"/>
                <w:sz w:val="10"/>
                <w:szCs w:val="10"/>
              </w:rPr>
            </w:pPr>
            <w:r w:rsidRPr="00005453">
              <w:rPr>
                <w:color w:val="000000"/>
                <w:sz w:val="10"/>
                <w:szCs w:val="16"/>
              </w:rPr>
              <w:t>21,832</w:t>
            </w:r>
          </w:p>
        </w:tc>
        <w:tc>
          <w:tcPr>
            <w:tcW w:w="621" w:type="dxa"/>
            <w:tcBorders>
              <w:top w:val="nil"/>
              <w:left w:val="nil"/>
              <w:bottom w:val="nil"/>
              <w:right w:val="nil"/>
            </w:tcBorders>
            <w:shd w:val="clear" w:color="auto" w:fill="auto"/>
            <w:vAlign w:val="center"/>
            <w:hideMark/>
          </w:tcPr>
          <w:p w14:paraId="1E0EF649" w14:textId="4DA54D08" w:rsidR="005803BC" w:rsidRPr="00005453" w:rsidRDefault="005803BC" w:rsidP="005803BC">
            <w:pPr>
              <w:jc w:val="right"/>
              <w:rPr>
                <w:color w:val="000000"/>
                <w:sz w:val="10"/>
                <w:szCs w:val="10"/>
              </w:rPr>
            </w:pPr>
            <w:r w:rsidRPr="00005453">
              <w:rPr>
                <w:color w:val="000000"/>
                <w:sz w:val="10"/>
                <w:szCs w:val="16"/>
              </w:rPr>
              <w:t>4,016</w:t>
            </w:r>
          </w:p>
        </w:tc>
        <w:tc>
          <w:tcPr>
            <w:tcW w:w="921" w:type="dxa"/>
            <w:tcBorders>
              <w:top w:val="nil"/>
              <w:left w:val="nil"/>
              <w:bottom w:val="nil"/>
              <w:right w:val="nil"/>
            </w:tcBorders>
            <w:shd w:val="clear" w:color="auto" w:fill="auto"/>
            <w:vAlign w:val="center"/>
            <w:hideMark/>
          </w:tcPr>
          <w:p w14:paraId="3F0B0717" w14:textId="78946338" w:rsidR="005803BC" w:rsidRPr="00005453" w:rsidRDefault="005803BC" w:rsidP="005803BC">
            <w:pPr>
              <w:jc w:val="right"/>
              <w:rPr>
                <w:color w:val="000000"/>
                <w:sz w:val="10"/>
                <w:szCs w:val="10"/>
              </w:rPr>
            </w:pPr>
            <w:r w:rsidRPr="00005453">
              <w:rPr>
                <w:color w:val="000000"/>
                <w:sz w:val="10"/>
                <w:szCs w:val="16"/>
              </w:rPr>
              <w:t>5,522</w:t>
            </w:r>
          </w:p>
        </w:tc>
        <w:tc>
          <w:tcPr>
            <w:tcW w:w="529" w:type="dxa"/>
            <w:tcBorders>
              <w:top w:val="nil"/>
              <w:left w:val="nil"/>
              <w:bottom w:val="nil"/>
              <w:right w:val="nil"/>
            </w:tcBorders>
            <w:shd w:val="clear" w:color="auto" w:fill="auto"/>
            <w:vAlign w:val="center"/>
            <w:hideMark/>
          </w:tcPr>
          <w:p w14:paraId="251BDC84" w14:textId="3515BE82"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38E781A8" w14:textId="3CAB108B" w:rsidR="005803BC" w:rsidRPr="00005453" w:rsidRDefault="005803BC" w:rsidP="005803BC">
            <w:pPr>
              <w:jc w:val="right"/>
              <w:rPr>
                <w:color w:val="000000"/>
                <w:sz w:val="10"/>
                <w:szCs w:val="10"/>
              </w:rPr>
            </w:pPr>
            <w:r w:rsidRPr="00005453">
              <w:rPr>
                <w:color w:val="000000"/>
                <w:sz w:val="10"/>
                <w:szCs w:val="16"/>
              </w:rPr>
              <w:t>-</w:t>
            </w:r>
          </w:p>
        </w:tc>
        <w:tc>
          <w:tcPr>
            <w:tcW w:w="552" w:type="dxa"/>
            <w:tcBorders>
              <w:top w:val="nil"/>
              <w:left w:val="nil"/>
              <w:bottom w:val="nil"/>
              <w:right w:val="nil"/>
            </w:tcBorders>
            <w:shd w:val="clear" w:color="auto" w:fill="auto"/>
            <w:vAlign w:val="center"/>
            <w:hideMark/>
          </w:tcPr>
          <w:p w14:paraId="2465CB5F" w14:textId="5132D2F8"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7037BDF8" w14:textId="5C909D90"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257FD7B8" w14:textId="2B6D7607"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348374CD" w14:textId="6D3170C3"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3224B6D6" w14:textId="05EC8452"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45870BD4" w14:textId="691CECA8" w:rsidR="005803BC" w:rsidRPr="00005453" w:rsidRDefault="005803BC" w:rsidP="005803BC">
            <w:pPr>
              <w:jc w:val="right"/>
              <w:rPr>
                <w:color w:val="000000"/>
                <w:sz w:val="10"/>
                <w:szCs w:val="10"/>
              </w:rPr>
            </w:pPr>
            <w:r w:rsidRPr="00005453">
              <w:rPr>
                <w:color w:val="000000"/>
                <w:sz w:val="10"/>
                <w:szCs w:val="16"/>
              </w:rPr>
              <w:t>283</w:t>
            </w:r>
          </w:p>
        </w:tc>
        <w:tc>
          <w:tcPr>
            <w:tcW w:w="674" w:type="dxa"/>
            <w:tcBorders>
              <w:top w:val="nil"/>
              <w:left w:val="nil"/>
              <w:bottom w:val="nil"/>
              <w:right w:val="nil"/>
            </w:tcBorders>
            <w:shd w:val="clear" w:color="auto" w:fill="auto"/>
            <w:vAlign w:val="center"/>
            <w:hideMark/>
          </w:tcPr>
          <w:p w14:paraId="68DDA6EB" w14:textId="1709A630" w:rsidR="005803BC" w:rsidRPr="00005453" w:rsidRDefault="005803BC" w:rsidP="005803BC">
            <w:pPr>
              <w:jc w:val="right"/>
              <w:rPr>
                <w:color w:val="000000"/>
                <w:sz w:val="10"/>
                <w:szCs w:val="10"/>
              </w:rPr>
            </w:pPr>
            <w:r w:rsidRPr="00005453">
              <w:rPr>
                <w:color w:val="000000"/>
                <w:sz w:val="10"/>
                <w:szCs w:val="16"/>
              </w:rPr>
              <w:t>12,553</w:t>
            </w:r>
          </w:p>
        </w:tc>
        <w:tc>
          <w:tcPr>
            <w:tcW w:w="674" w:type="dxa"/>
            <w:tcBorders>
              <w:top w:val="nil"/>
              <w:left w:val="nil"/>
              <w:bottom w:val="nil"/>
              <w:right w:val="nil"/>
            </w:tcBorders>
            <w:shd w:val="clear" w:color="auto" w:fill="auto"/>
            <w:vAlign w:val="center"/>
            <w:hideMark/>
          </w:tcPr>
          <w:p w14:paraId="1A597C96" w14:textId="7970BDFD" w:rsidR="005803BC" w:rsidRPr="00005453" w:rsidRDefault="005803BC" w:rsidP="005803BC">
            <w:pPr>
              <w:jc w:val="right"/>
              <w:rPr>
                <w:color w:val="000000"/>
                <w:sz w:val="10"/>
                <w:szCs w:val="10"/>
              </w:rPr>
            </w:pPr>
            <w:r w:rsidRPr="00005453">
              <w:rPr>
                <w:color w:val="000000"/>
                <w:sz w:val="10"/>
                <w:szCs w:val="16"/>
              </w:rPr>
              <w:t>19,100</w:t>
            </w:r>
          </w:p>
        </w:tc>
        <w:tc>
          <w:tcPr>
            <w:tcW w:w="889" w:type="dxa"/>
            <w:tcBorders>
              <w:top w:val="nil"/>
              <w:left w:val="nil"/>
              <w:bottom w:val="nil"/>
              <w:right w:val="nil"/>
            </w:tcBorders>
            <w:shd w:val="clear" w:color="auto" w:fill="auto"/>
            <w:vAlign w:val="center"/>
            <w:hideMark/>
          </w:tcPr>
          <w:p w14:paraId="760D3997" w14:textId="248D2385" w:rsidR="005803BC" w:rsidRPr="00005453" w:rsidRDefault="005803BC" w:rsidP="005803BC">
            <w:pPr>
              <w:jc w:val="right"/>
              <w:rPr>
                <w:color w:val="000000"/>
                <w:sz w:val="10"/>
                <w:szCs w:val="10"/>
              </w:rPr>
            </w:pPr>
            <w:r w:rsidRPr="00005453">
              <w:rPr>
                <w:bCs/>
                <w:color w:val="000000"/>
                <w:sz w:val="10"/>
                <w:szCs w:val="10"/>
              </w:rPr>
              <w:t>31,653</w:t>
            </w:r>
          </w:p>
        </w:tc>
      </w:tr>
      <w:tr w:rsidR="005803BC" w:rsidRPr="00005453" w14:paraId="374F0F78" w14:textId="77777777" w:rsidTr="00667FB0">
        <w:trPr>
          <w:trHeight w:val="215"/>
        </w:trPr>
        <w:tc>
          <w:tcPr>
            <w:tcW w:w="1013" w:type="dxa"/>
            <w:tcBorders>
              <w:top w:val="nil"/>
              <w:left w:val="nil"/>
              <w:bottom w:val="nil"/>
              <w:right w:val="nil"/>
            </w:tcBorders>
            <w:shd w:val="clear" w:color="auto" w:fill="auto"/>
            <w:noWrap/>
            <w:vAlign w:val="center"/>
            <w:hideMark/>
          </w:tcPr>
          <w:p w14:paraId="3AAB1737" w14:textId="77777777" w:rsidR="005803BC" w:rsidRPr="00005453" w:rsidRDefault="005803BC" w:rsidP="005803BC">
            <w:pPr>
              <w:rPr>
                <w:color w:val="000000"/>
                <w:sz w:val="10"/>
                <w:szCs w:val="10"/>
                <w:lang w:eastAsia="tr-TR"/>
              </w:rPr>
            </w:pPr>
            <w:r w:rsidRPr="00005453">
              <w:rPr>
                <w:color w:val="000000"/>
                <w:sz w:val="10"/>
                <w:szCs w:val="10"/>
                <w:lang w:eastAsia="tr-TR"/>
              </w:rPr>
              <w:t>Eğitim Hizmetleri</w:t>
            </w:r>
          </w:p>
        </w:tc>
        <w:tc>
          <w:tcPr>
            <w:tcW w:w="756" w:type="dxa"/>
            <w:tcBorders>
              <w:top w:val="nil"/>
              <w:left w:val="nil"/>
              <w:bottom w:val="nil"/>
              <w:right w:val="nil"/>
            </w:tcBorders>
            <w:shd w:val="clear" w:color="auto" w:fill="auto"/>
            <w:vAlign w:val="center"/>
            <w:hideMark/>
          </w:tcPr>
          <w:p w14:paraId="50A66C60" w14:textId="5583FC83"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1B987F16" w14:textId="660068C8"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44502B29" w14:textId="51583BC5"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52949843" w14:textId="4E475139"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29A23069" w14:textId="2BFAA8FB"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4E27FF77" w14:textId="6381CD49"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6F805178" w14:textId="681137A3" w:rsidR="005803BC" w:rsidRPr="00005453" w:rsidRDefault="005803BC" w:rsidP="005803BC">
            <w:pPr>
              <w:jc w:val="right"/>
              <w:rPr>
                <w:color w:val="000000"/>
                <w:sz w:val="10"/>
                <w:szCs w:val="10"/>
              </w:rPr>
            </w:pPr>
            <w:r w:rsidRPr="00005453">
              <w:rPr>
                <w:color w:val="000000"/>
                <w:sz w:val="10"/>
                <w:szCs w:val="16"/>
              </w:rPr>
              <w:t>176,762</w:t>
            </w:r>
          </w:p>
        </w:tc>
        <w:tc>
          <w:tcPr>
            <w:tcW w:w="621" w:type="dxa"/>
            <w:tcBorders>
              <w:top w:val="nil"/>
              <w:left w:val="nil"/>
              <w:bottom w:val="nil"/>
              <w:right w:val="nil"/>
            </w:tcBorders>
            <w:shd w:val="clear" w:color="auto" w:fill="auto"/>
            <w:vAlign w:val="center"/>
            <w:hideMark/>
          </w:tcPr>
          <w:p w14:paraId="28C24F3F" w14:textId="76C1080B" w:rsidR="005803BC" w:rsidRPr="00005453" w:rsidRDefault="005803BC" w:rsidP="005803BC">
            <w:pPr>
              <w:jc w:val="right"/>
              <w:rPr>
                <w:color w:val="000000"/>
                <w:sz w:val="10"/>
                <w:szCs w:val="10"/>
              </w:rPr>
            </w:pPr>
            <w:r w:rsidRPr="00005453">
              <w:rPr>
                <w:color w:val="000000"/>
                <w:sz w:val="10"/>
                <w:szCs w:val="16"/>
              </w:rPr>
              <w:t>151,114</w:t>
            </w:r>
          </w:p>
        </w:tc>
        <w:tc>
          <w:tcPr>
            <w:tcW w:w="921" w:type="dxa"/>
            <w:tcBorders>
              <w:top w:val="nil"/>
              <w:left w:val="nil"/>
              <w:bottom w:val="nil"/>
              <w:right w:val="nil"/>
            </w:tcBorders>
            <w:shd w:val="clear" w:color="auto" w:fill="auto"/>
            <w:vAlign w:val="center"/>
            <w:hideMark/>
          </w:tcPr>
          <w:p w14:paraId="4166F808" w14:textId="555102F6" w:rsidR="005803BC" w:rsidRPr="00005453" w:rsidRDefault="005803BC" w:rsidP="005803BC">
            <w:pPr>
              <w:jc w:val="right"/>
              <w:rPr>
                <w:color w:val="000000"/>
                <w:sz w:val="10"/>
                <w:szCs w:val="10"/>
              </w:rPr>
            </w:pPr>
            <w:r w:rsidRPr="00005453">
              <w:rPr>
                <w:color w:val="000000"/>
                <w:sz w:val="10"/>
                <w:szCs w:val="16"/>
              </w:rPr>
              <w:t>189,897</w:t>
            </w:r>
          </w:p>
        </w:tc>
        <w:tc>
          <w:tcPr>
            <w:tcW w:w="529" w:type="dxa"/>
            <w:tcBorders>
              <w:top w:val="nil"/>
              <w:left w:val="nil"/>
              <w:bottom w:val="nil"/>
              <w:right w:val="nil"/>
            </w:tcBorders>
            <w:shd w:val="clear" w:color="auto" w:fill="auto"/>
            <w:vAlign w:val="center"/>
            <w:hideMark/>
          </w:tcPr>
          <w:p w14:paraId="26462413" w14:textId="28E3D316"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6BE2A638" w14:textId="1060B6DB" w:rsidR="005803BC" w:rsidRPr="00005453" w:rsidRDefault="005803BC" w:rsidP="005803BC">
            <w:pPr>
              <w:jc w:val="right"/>
              <w:rPr>
                <w:color w:val="000000"/>
                <w:sz w:val="10"/>
                <w:szCs w:val="10"/>
              </w:rPr>
            </w:pPr>
            <w:r w:rsidRPr="00005453">
              <w:rPr>
                <w:color w:val="000000"/>
                <w:sz w:val="10"/>
                <w:szCs w:val="16"/>
              </w:rPr>
              <w:t>-</w:t>
            </w:r>
          </w:p>
        </w:tc>
        <w:tc>
          <w:tcPr>
            <w:tcW w:w="552" w:type="dxa"/>
            <w:tcBorders>
              <w:top w:val="nil"/>
              <w:left w:val="nil"/>
              <w:bottom w:val="nil"/>
              <w:right w:val="nil"/>
            </w:tcBorders>
            <w:shd w:val="clear" w:color="auto" w:fill="auto"/>
            <w:vAlign w:val="center"/>
            <w:hideMark/>
          </w:tcPr>
          <w:p w14:paraId="710FB0D2" w14:textId="4990F735"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01FF5983" w14:textId="1A57739C"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3C199563" w14:textId="5DCA3192"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3C84C38B" w14:textId="18B164C4"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4C4E8E67" w14:textId="2E289388" w:rsidR="005803BC" w:rsidRPr="00005453" w:rsidRDefault="005803BC" w:rsidP="005803BC">
            <w:pPr>
              <w:jc w:val="right"/>
              <w:rPr>
                <w:color w:val="000000"/>
                <w:sz w:val="10"/>
                <w:szCs w:val="10"/>
              </w:rPr>
            </w:pPr>
            <w:r w:rsidRPr="00005453">
              <w:rPr>
                <w:color w:val="000000"/>
                <w:sz w:val="10"/>
                <w:szCs w:val="16"/>
              </w:rPr>
              <w:t>-</w:t>
            </w:r>
          </w:p>
        </w:tc>
        <w:tc>
          <w:tcPr>
            <w:tcW w:w="621" w:type="dxa"/>
            <w:tcBorders>
              <w:top w:val="nil"/>
              <w:left w:val="nil"/>
              <w:bottom w:val="nil"/>
              <w:right w:val="nil"/>
            </w:tcBorders>
            <w:shd w:val="clear" w:color="auto" w:fill="auto"/>
            <w:vAlign w:val="center"/>
            <w:hideMark/>
          </w:tcPr>
          <w:p w14:paraId="7CB9D643" w14:textId="41929BFC" w:rsidR="005803BC" w:rsidRPr="00005453" w:rsidRDefault="005803BC" w:rsidP="005803BC">
            <w:pPr>
              <w:jc w:val="right"/>
              <w:rPr>
                <w:color w:val="000000"/>
                <w:sz w:val="10"/>
                <w:szCs w:val="10"/>
              </w:rPr>
            </w:pPr>
            <w:r w:rsidRPr="00005453">
              <w:rPr>
                <w:color w:val="000000"/>
                <w:sz w:val="10"/>
                <w:szCs w:val="16"/>
              </w:rPr>
              <w:t>662</w:t>
            </w:r>
          </w:p>
        </w:tc>
        <w:tc>
          <w:tcPr>
            <w:tcW w:w="674" w:type="dxa"/>
            <w:tcBorders>
              <w:top w:val="nil"/>
              <w:left w:val="nil"/>
              <w:bottom w:val="nil"/>
              <w:right w:val="nil"/>
            </w:tcBorders>
            <w:shd w:val="clear" w:color="auto" w:fill="auto"/>
            <w:vAlign w:val="center"/>
            <w:hideMark/>
          </w:tcPr>
          <w:p w14:paraId="005DC82C" w14:textId="5DDE7D8F" w:rsidR="005803BC" w:rsidRPr="00005453" w:rsidRDefault="005803BC" w:rsidP="005803BC">
            <w:pPr>
              <w:jc w:val="right"/>
              <w:rPr>
                <w:color w:val="000000"/>
                <w:sz w:val="10"/>
                <w:szCs w:val="10"/>
              </w:rPr>
            </w:pPr>
            <w:r w:rsidRPr="00005453">
              <w:rPr>
                <w:color w:val="000000"/>
                <w:sz w:val="10"/>
                <w:szCs w:val="16"/>
              </w:rPr>
              <w:t>408,287</w:t>
            </w:r>
          </w:p>
        </w:tc>
        <w:tc>
          <w:tcPr>
            <w:tcW w:w="674" w:type="dxa"/>
            <w:tcBorders>
              <w:top w:val="nil"/>
              <w:left w:val="nil"/>
              <w:bottom w:val="nil"/>
              <w:right w:val="nil"/>
            </w:tcBorders>
            <w:shd w:val="clear" w:color="auto" w:fill="auto"/>
            <w:vAlign w:val="center"/>
            <w:hideMark/>
          </w:tcPr>
          <w:p w14:paraId="28D4EEF7" w14:textId="45C8EB10" w:rsidR="005803BC" w:rsidRPr="00005453" w:rsidRDefault="005803BC" w:rsidP="005803BC">
            <w:pPr>
              <w:jc w:val="right"/>
              <w:rPr>
                <w:color w:val="000000"/>
                <w:sz w:val="10"/>
                <w:szCs w:val="10"/>
              </w:rPr>
            </w:pPr>
            <w:r w:rsidRPr="00005453">
              <w:rPr>
                <w:color w:val="000000"/>
                <w:sz w:val="10"/>
                <w:szCs w:val="16"/>
              </w:rPr>
              <w:t>110,148</w:t>
            </w:r>
          </w:p>
        </w:tc>
        <w:tc>
          <w:tcPr>
            <w:tcW w:w="889" w:type="dxa"/>
            <w:tcBorders>
              <w:top w:val="nil"/>
              <w:left w:val="nil"/>
              <w:bottom w:val="nil"/>
              <w:right w:val="nil"/>
            </w:tcBorders>
            <w:shd w:val="clear" w:color="auto" w:fill="auto"/>
            <w:vAlign w:val="center"/>
            <w:hideMark/>
          </w:tcPr>
          <w:p w14:paraId="0BE04F4E" w14:textId="2A1DC943" w:rsidR="005803BC" w:rsidRPr="00005453" w:rsidRDefault="005803BC" w:rsidP="005803BC">
            <w:pPr>
              <w:jc w:val="right"/>
              <w:rPr>
                <w:color w:val="000000"/>
                <w:sz w:val="10"/>
                <w:szCs w:val="10"/>
              </w:rPr>
            </w:pPr>
            <w:r w:rsidRPr="00005453">
              <w:rPr>
                <w:bCs/>
                <w:color w:val="000000"/>
                <w:sz w:val="10"/>
                <w:szCs w:val="10"/>
              </w:rPr>
              <w:t>518,435</w:t>
            </w:r>
          </w:p>
        </w:tc>
      </w:tr>
      <w:tr w:rsidR="005803BC" w:rsidRPr="00005453" w14:paraId="03C70152" w14:textId="77777777" w:rsidTr="00667FB0">
        <w:trPr>
          <w:trHeight w:val="215"/>
        </w:trPr>
        <w:tc>
          <w:tcPr>
            <w:tcW w:w="1013" w:type="dxa"/>
            <w:tcBorders>
              <w:top w:val="nil"/>
              <w:left w:val="nil"/>
              <w:bottom w:val="nil"/>
              <w:right w:val="nil"/>
            </w:tcBorders>
            <w:shd w:val="clear" w:color="auto" w:fill="auto"/>
            <w:noWrap/>
            <w:vAlign w:val="center"/>
            <w:hideMark/>
          </w:tcPr>
          <w:p w14:paraId="6F1147E8" w14:textId="77777777" w:rsidR="005803BC" w:rsidRPr="00005453" w:rsidRDefault="005803BC" w:rsidP="005803BC">
            <w:pPr>
              <w:rPr>
                <w:color w:val="000000"/>
                <w:sz w:val="10"/>
                <w:szCs w:val="10"/>
                <w:lang w:eastAsia="tr-TR"/>
              </w:rPr>
            </w:pPr>
            <w:r w:rsidRPr="00005453">
              <w:rPr>
                <w:color w:val="000000"/>
                <w:sz w:val="10"/>
                <w:szCs w:val="10"/>
                <w:lang w:eastAsia="tr-TR"/>
              </w:rPr>
              <w:t>Sağlık ve Sosyal Hizmetler</w:t>
            </w:r>
          </w:p>
        </w:tc>
        <w:tc>
          <w:tcPr>
            <w:tcW w:w="756" w:type="dxa"/>
            <w:tcBorders>
              <w:top w:val="nil"/>
              <w:left w:val="nil"/>
              <w:bottom w:val="nil"/>
              <w:right w:val="nil"/>
            </w:tcBorders>
            <w:shd w:val="clear" w:color="auto" w:fill="auto"/>
            <w:vAlign w:val="center"/>
            <w:hideMark/>
          </w:tcPr>
          <w:p w14:paraId="05007CE8" w14:textId="5B04DDE9" w:rsidR="005803BC" w:rsidRPr="00005453" w:rsidRDefault="005803BC" w:rsidP="005803BC">
            <w:pPr>
              <w:jc w:val="right"/>
              <w:rPr>
                <w:color w:val="000000"/>
                <w:sz w:val="10"/>
                <w:szCs w:val="10"/>
              </w:rPr>
            </w:pPr>
            <w:r w:rsidRPr="00005453">
              <w:rPr>
                <w:color w:val="000000"/>
                <w:sz w:val="10"/>
                <w:szCs w:val="16"/>
              </w:rPr>
              <w:t>-</w:t>
            </w:r>
          </w:p>
        </w:tc>
        <w:tc>
          <w:tcPr>
            <w:tcW w:w="756" w:type="dxa"/>
            <w:tcBorders>
              <w:top w:val="nil"/>
              <w:left w:val="nil"/>
              <w:bottom w:val="nil"/>
              <w:right w:val="nil"/>
            </w:tcBorders>
            <w:shd w:val="clear" w:color="auto" w:fill="auto"/>
            <w:vAlign w:val="center"/>
            <w:hideMark/>
          </w:tcPr>
          <w:p w14:paraId="7EC479DD" w14:textId="0766135D" w:rsidR="005803BC" w:rsidRPr="00005453" w:rsidRDefault="005803BC" w:rsidP="005803BC">
            <w:pPr>
              <w:jc w:val="right"/>
              <w:rPr>
                <w:color w:val="000000"/>
                <w:sz w:val="10"/>
                <w:szCs w:val="10"/>
              </w:rPr>
            </w:pPr>
            <w:r w:rsidRPr="00005453">
              <w:rPr>
                <w:color w:val="000000"/>
                <w:sz w:val="10"/>
                <w:szCs w:val="16"/>
              </w:rPr>
              <w:t>-</w:t>
            </w:r>
          </w:p>
        </w:tc>
        <w:tc>
          <w:tcPr>
            <w:tcW w:w="710" w:type="dxa"/>
            <w:tcBorders>
              <w:top w:val="nil"/>
              <w:left w:val="nil"/>
              <w:bottom w:val="nil"/>
              <w:right w:val="nil"/>
            </w:tcBorders>
            <w:shd w:val="clear" w:color="auto" w:fill="auto"/>
            <w:vAlign w:val="center"/>
            <w:hideMark/>
          </w:tcPr>
          <w:p w14:paraId="52840C38" w14:textId="40F3D492" w:rsidR="005803BC" w:rsidRPr="00005453" w:rsidRDefault="005803BC" w:rsidP="005803BC">
            <w:pPr>
              <w:jc w:val="right"/>
              <w:rPr>
                <w:color w:val="000000"/>
                <w:sz w:val="10"/>
                <w:szCs w:val="10"/>
              </w:rPr>
            </w:pPr>
            <w:r w:rsidRPr="00005453">
              <w:rPr>
                <w:color w:val="000000"/>
                <w:sz w:val="10"/>
                <w:szCs w:val="16"/>
              </w:rPr>
              <w:t>-</w:t>
            </w:r>
          </w:p>
        </w:tc>
        <w:tc>
          <w:tcPr>
            <w:tcW w:w="745" w:type="dxa"/>
            <w:tcBorders>
              <w:top w:val="nil"/>
              <w:left w:val="nil"/>
              <w:bottom w:val="nil"/>
              <w:right w:val="nil"/>
            </w:tcBorders>
            <w:shd w:val="clear" w:color="auto" w:fill="auto"/>
            <w:vAlign w:val="center"/>
            <w:hideMark/>
          </w:tcPr>
          <w:p w14:paraId="2ED5A0C7" w14:textId="4E380595" w:rsidR="005803BC" w:rsidRPr="00005453" w:rsidRDefault="005803BC" w:rsidP="005803BC">
            <w:pPr>
              <w:jc w:val="right"/>
              <w:rPr>
                <w:color w:val="000000"/>
                <w:sz w:val="10"/>
                <w:szCs w:val="10"/>
              </w:rPr>
            </w:pPr>
            <w:r w:rsidRPr="00005453">
              <w:rPr>
                <w:color w:val="000000"/>
                <w:sz w:val="10"/>
                <w:szCs w:val="16"/>
              </w:rPr>
              <w:t>-</w:t>
            </w:r>
          </w:p>
        </w:tc>
        <w:tc>
          <w:tcPr>
            <w:tcW w:w="715" w:type="dxa"/>
            <w:tcBorders>
              <w:top w:val="nil"/>
              <w:left w:val="nil"/>
              <w:bottom w:val="nil"/>
              <w:right w:val="nil"/>
            </w:tcBorders>
            <w:shd w:val="clear" w:color="auto" w:fill="auto"/>
            <w:vAlign w:val="center"/>
            <w:hideMark/>
          </w:tcPr>
          <w:p w14:paraId="5485C35D" w14:textId="2F518D68" w:rsidR="005803BC" w:rsidRPr="00005453" w:rsidRDefault="005803BC" w:rsidP="005803BC">
            <w:pPr>
              <w:jc w:val="right"/>
              <w:rPr>
                <w:color w:val="000000"/>
                <w:sz w:val="10"/>
                <w:szCs w:val="10"/>
              </w:rPr>
            </w:pPr>
            <w:r w:rsidRPr="00005453">
              <w:rPr>
                <w:color w:val="000000"/>
                <w:sz w:val="10"/>
                <w:szCs w:val="10"/>
              </w:rPr>
              <w:t>-</w:t>
            </w:r>
          </w:p>
        </w:tc>
        <w:tc>
          <w:tcPr>
            <w:tcW w:w="686" w:type="dxa"/>
            <w:tcBorders>
              <w:top w:val="nil"/>
              <w:left w:val="nil"/>
              <w:bottom w:val="nil"/>
              <w:right w:val="nil"/>
            </w:tcBorders>
            <w:shd w:val="clear" w:color="auto" w:fill="auto"/>
            <w:vAlign w:val="center"/>
            <w:hideMark/>
          </w:tcPr>
          <w:p w14:paraId="2AA4B528" w14:textId="3A19C432" w:rsidR="005803BC" w:rsidRPr="00005453" w:rsidRDefault="005803BC" w:rsidP="005803BC">
            <w:pPr>
              <w:jc w:val="right"/>
              <w:rPr>
                <w:color w:val="000000"/>
                <w:sz w:val="10"/>
                <w:szCs w:val="10"/>
              </w:rPr>
            </w:pPr>
            <w:r w:rsidRPr="00005453">
              <w:rPr>
                <w:color w:val="000000"/>
                <w:sz w:val="10"/>
                <w:szCs w:val="16"/>
              </w:rPr>
              <w:t>-</w:t>
            </w:r>
          </w:p>
        </w:tc>
        <w:tc>
          <w:tcPr>
            <w:tcW w:w="640" w:type="dxa"/>
            <w:tcBorders>
              <w:top w:val="nil"/>
              <w:left w:val="nil"/>
              <w:bottom w:val="nil"/>
              <w:right w:val="nil"/>
            </w:tcBorders>
            <w:shd w:val="clear" w:color="auto" w:fill="auto"/>
            <w:vAlign w:val="center"/>
            <w:hideMark/>
          </w:tcPr>
          <w:p w14:paraId="0BC6885D" w14:textId="55D49B05" w:rsidR="005803BC" w:rsidRPr="00005453" w:rsidRDefault="005803BC" w:rsidP="005803BC">
            <w:pPr>
              <w:jc w:val="right"/>
              <w:rPr>
                <w:color w:val="000000"/>
                <w:sz w:val="10"/>
                <w:szCs w:val="10"/>
              </w:rPr>
            </w:pPr>
            <w:r w:rsidRPr="00005453">
              <w:rPr>
                <w:color w:val="000000"/>
                <w:sz w:val="10"/>
                <w:szCs w:val="16"/>
              </w:rPr>
              <w:t>3,603,340</w:t>
            </w:r>
          </w:p>
        </w:tc>
        <w:tc>
          <w:tcPr>
            <w:tcW w:w="621" w:type="dxa"/>
            <w:tcBorders>
              <w:top w:val="nil"/>
              <w:left w:val="nil"/>
              <w:bottom w:val="nil"/>
              <w:right w:val="nil"/>
            </w:tcBorders>
            <w:shd w:val="clear" w:color="auto" w:fill="auto"/>
            <w:vAlign w:val="center"/>
            <w:hideMark/>
          </w:tcPr>
          <w:p w14:paraId="5A6A208A" w14:textId="71F2D4AB" w:rsidR="005803BC" w:rsidRPr="00005453" w:rsidRDefault="005803BC" w:rsidP="005803BC">
            <w:pPr>
              <w:jc w:val="right"/>
              <w:rPr>
                <w:color w:val="000000"/>
                <w:sz w:val="10"/>
                <w:szCs w:val="10"/>
              </w:rPr>
            </w:pPr>
            <w:r w:rsidRPr="00005453">
              <w:rPr>
                <w:color w:val="000000"/>
                <w:sz w:val="10"/>
                <w:szCs w:val="16"/>
              </w:rPr>
              <w:t>1,836,925</w:t>
            </w:r>
          </w:p>
        </w:tc>
        <w:tc>
          <w:tcPr>
            <w:tcW w:w="921" w:type="dxa"/>
            <w:tcBorders>
              <w:top w:val="nil"/>
              <w:left w:val="nil"/>
              <w:bottom w:val="nil"/>
              <w:right w:val="nil"/>
            </w:tcBorders>
            <w:shd w:val="clear" w:color="auto" w:fill="auto"/>
            <w:vAlign w:val="center"/>
            <w:hideMark/>
          </w:tcPr>
          <w:p w14:paraId="346F3649" w14:textId="1BB2310F" w:rsidR="005803BC" w:rsidRPr="00005453" w:rsidRDefault="005803BC" w:rsidP="005803BC">
            <w:pPr>
              <w:jc w:val="right"/>
              <w:rPr>
                <w:color w:val="000000"/>
                <w:sz w:val="10"/>
                <w:szCs w:val="10"/>
              </w:rPr>
            </w:pPr>
            <w:r w:rsidRPr="00005453">
              <w:rPr>
                <w:color w:val="000000"/>
                <w:sz w:val="10"/>
                <w:szCs w:val="16"/>
              </w:rPr>
              <w:t>2,313,466</w:t>
            </w:r>
          </w:p>
        </w:tc>
        <w:tc>
          <w:tcPr>
            <w:tcW w:w="529" w:type="dxa"/>
            <w:tcBorders>
              <w:top w:val="nil"/>
              <w:left w:val="nil"/>
              <w:bottom w:val="nil"/>
              <w:right w:val="nil"/>
            </w:tcBorders>
            <w:shd w:val="clear" w:color="auto" w:fill="auto"/>
            <w:vAlign w:val="center"/>
            <w:hideMark/>
          </w:tcPr>
          <w:p w14:paraId="2982546E" w14:textId="07CFE889" w:rsidR="005803BC" w:rsidRPr="00005453" w:rsidRDefault="005803BC" w:rsidP="005803BC">
            <w:pPr>
              <w:jc w:val="right"/>
              <w:rPr>
                <w:color w:val="000000"/>
                <w:sz w:val="10"/>
                <w:szCs w:val="10"/>
              </w:rPr>
            </w:pPr>
            <w:r w:rsidRPr="00005453">
              <w:rPr>
                <w:color w:val="000000"/>
                <w:sz w:val="10"/>
                <w:szCs w:val="16"/>
              </w:rPr>
              <w:t>10,562</w:t>
            </w:r>
          </w:p>
        </w:tc>
        <w:tc>
          <w:tcPr>
            <w:tcW w:w="621" w:type="dxa"/>
            <w:tcBorders>
              <w:top w:val="nil"/>
              <w:left w:val="nil"/>
              <w:bottom w:val="nil"/>
              <w:right w:val="nil"/>
            </w:tcBorders>
            <w:shd w:val="clear" w:color="auto" w:fill="auto"/>
            <w:vAlign w:val="center"/>
            <w:hideMark/>
          </w:tcPr>
          <w:p w14:paraId="07EDC580" w14:textId="1CF9FEDD" w:rsidR="005803BC" w:rsidRPr="00005453" w:rsidRDefault="005803BC" w:rsidP="005803BC">
            <w:pPr>
              <w:jc w:val="right"/>
              <w:rPr>
                <w:color w:val="000000"/>
                <w:sz w:val="10"/>
                <w:szCs w:val="10"/>
              </w:rPr>
            </w:pPr>
            <w:r w:rsidRPr="00005453">
              <w:rPr>
                <w:color w:val="000000"/>
                <w:sz w:val="10"/>
                <w:szCs w:val="16"/>
              </w:rPr>
              <w:t>56,672</w:t>
            </w:r>
          </w:p>
        </w:tc>
        <w:tc>
          <w:tcPr>
            <w:tcW w:w="552" w:type="dxa"/>
            <w:tcBorders>
              <w:top w:val="nil"/>
              <w:left w:val="nil"/>
              <w:bottom w:val="nil"/>
              <w:right w:val="nil"/>
            </w:tcBorders>
            <w:shd w:val="clear" w:color="auto" w:fill="auto"/>
            <w:vAlign w:val="center"/>
            <w:hideMark/>
          </w:tcPr>
          <w:p w14:paraId="47BE6231" w14:textId="1CE52B85" w:rsidR="005803BC" w:rsidRPr="00005453" w:rsidRDefault="005803BC" w:rsidP="005803BC">
            <w:pPr>
              <w:jc w:val="right"/>
              <w:rPr>
                <w:color w:val="000000"/>
                <w:sz w:val="10"/>
                <w:szCs w:val="10"/>
              </w:rPr>
            </w:pPr>
            <w:r w:rsidRPr="00005453">
              <w:rPr>
                <w:color w:val="000000"/>
                <w:sz w:val="10"/>
                <w:szCs w:val="16"/>
              </w:rPr>
              <w:t>-</w:t>
            </w:r>
          </w:p>
        </w:tc>
        <w:tc>
          <w:tcPr>
            <w:tcW w:w="779" w:type="dxa"/>
            <w:tcBorders>
              <w:top w:val="nil"/>
              <w:left w:val="nil"/>
              <w:bottom w:val="nil"/>
              <w:right w:val="nil"/>
            </w:tcBorders>
            <w:shd w:val="clear" w:color="auto" w:fill="auto"/>
            <w:vAlign w:val="center"/>
            <w:hideMark/>
          </w:tcPr>
          <w:p w14:paraId="6DC9CF75" w14:textId="45E1032A" w:rsidR="005803BC" w:rsidRPr="00005453" w:rsidRDefault="005803BC" w:rsidP="005803BC">
            <w:pPr>
              <w:jc w:val="right"/>
              <w:rPr>
                <w:color w:val="000000"/>
                <w:sz w:val="10"/>
                <w:szCs w:val="10"/>
              </w:rPr>
            </w:pPr>
            <w:r w:rsidRPr="00005453">
              <w:rPr>
                <w:color w:val="000000"/>
                <w:sz w:val="10"/>
                <w:szCs w:val="16"/>
              </w:rPr>
              <w:t>-</w:t>
            </w:r>
          </w:p>
        </w:tc>
        <w:tc>
          <w:tcPr>
            <w:tcW w:w="686" w:type="dxa"/>
            <w:tcBorders>
              <w:top w:val="nil"/>
              <w:left w:val="nil"/>
              <w:bottom w:val="nil"/>
              <w:right w:val="nil"/>
            </w:tcBorders>
            <w:shd w:val="clear" w:color="auto" w:fill="auto"/>
            <w:vAlign w:val="center"/>
            <w:hideMark/>
          </w:tcPr>
          <w:p w14:paraId="7228BDA7" w14:textId="0370B0BB" w:rsidR="005803BC" w:rsidRPr="00005453" w:rsidRDefault="005803BC" w:rsidP="005803BC">
            <w:pPr>
              <w:jc w:val="right"/>
              <w:rPr>
                <w:color w:val="000000"/>
                <w:sz w:val="10"/>
                <w:szCs w:val="10"/>
              </w:rPr>
            </w:pPr>
            <w:r w:rsidRPr="00005453">
              <w:rPr>
                <w:color w:val="000000"/>
                <w:sz w:val="10"/>
                <w:szCs w:val="16"/>
              </w:rPr>
              <w:t>-</w:t>
            </w:r>
          </w:p>
        </w:tc>
        <w:tc>
          <w:tcPr>
            <w:tcW w:w="680" w:type="dxa"/>
            <w:tcBorders>
              <w:top w:val="nil"/>
              <w:left w:val="nil"/>
              <w:bottom w:val="nil"/>
              <w:right w:val="nil"/>
            </w:tcBorders>
            <w:shd w:val="clear" w:color="auto" w:fill="auto"/>
            <w:vAlign w:val="center"/>
            <w:hideMark/>
          </w:tcPr>
          <w:p w14:paraId="20009D24" w14:textId="39C512F2" w:rsidR="005803BC" w:rsidRPr="00005453" w:rsidRDefault="005803BC" w:rsidP="005803BC">
            <w:pPr>
              <w:jc w:val="right"/>
              <w:rPr>
                <w:color w:val="000000"/>
                <w:sz w:val="10"/>
                <w:szCs w:val="10"/>
              </w:rPr>
            </w:pPr>
            <w:r w:rsidRPr="00005453">
              <w:rPr>
                <w:color w:val="000000"/>
                <w:sz w:val="10"/>
                <w:szCs w:val="16"/>
              </w:rPr>
              <w:t>-</w:t>
            </w:r>
          </w:p>
        </w:tc>
        <w:tc>
          <w:tcPr>
            <w:tcW w:w="616" w:type="dxa"/>
            <w:tcBorders>
              <w:top w:val="nil"/>
              <w:left w:val="nil"/>
              <w:bottom w:val="nil"/>
              <w:right w:val="nil"/>
            </w:tcBorders>
            <w:shd w:val="clear" w:color="auto" w:fill="auto"/>
            <w:vAlign w:val="center"/>
            <w:hideMark/>
          </w:tcPr>
          <w:p w14:paraId="52993017" w14:textId="0EE14274" w:rsidR="005803BC" w:rsidRPr="00005453" w:rsidRDefault="005803BC" w:rsidP="005803BC">
            <w:pPr>
              <w:jc w:val="right"/>
              <w:rPr>
                <w:color w:val="000000"/>
                <w:sz w:val="10"/>
                <w:szCs w:val="10"/>
              </w:rPr>
            </w:pPr>
            <w:r w:rsidRPr="00005453">
              <w:rPr>
                <w:color w:val="000000"/>
                <w:sz w:val="10"/>
                <w:szCs w:val="16"/>
              </w:rPr>
              <w:t>1,674,551</w:t>
            </w:r>
          </w:p>
        </w:tc>
        <w:tc>
          <w:tcPr>
            <w:tcW w:w="621" w:type="dxa"/>
            <w:tcBorders>
              <w:top w:val="nil"/>
              <w:left w:val="nil"/>
              <w:bottom w:val="nil"/>
              <w:right w:val="nil"/>
            </w:tcBorders>
            <w:shd w:val="clear" w:color="auto" w:fill="auto"/>
            <w:vAlign w:val="center"/>
            <w:hideMark/>
          </w:tcPr>
          <w:p w14:paraId="59D6BD2B" w14:textId="2531A44F" w:rsidR="005803BC" w:rsidRPr="00005453" w:rsidRDefault="005803BC" w:rsidP="005803BC">
            <w:pPr>
              <w:jc w:val="right"/>
              <w:rPr>
                <w:color w:val="000000"/>
                <w:sz w:val="10"/>
                <w:szCs w:val="10"/>
              </w:rPr>
            </w:pPr>
            <w:r w:rsidRPr="00005453">
              <w:rPr>
                <w:color w:val="000000"/>
                <w:sz w:val="10"/>
                <w:szCs w:val="16"/>
              </w:rPr>
              <w:t>756,798</w:t>
            </w:r>
          </w:p>
        </w:tc>
        <w:tc>
          <w:tcPr>
            <w:tcW w:w="674" w:type="dxa"/>
            <w:tcBorders>
              <w:top w:val="nil"/>
              <w:left w:val="nil"/>
              <w:bottom w:val="nil"/>
              <w:right w:val="nil"/>
            </w:tcBorders>
            <w:shd w:val="clear" w:color="auto" w:fill="auto"/>
            <w:vAlign w:val="center"/>
            <w:hideMark/>
          </w:tcPr>
          <w:p w14:paraId="1E23FA28" w14:textId="4E50ACF7" w:rsidR="005803BC" w:rsidRPr="00005453" w:rsidRDefault="005803BC" w:rsidP="005803BC">
            <w:pPr>
              <w:jc w:val="right"/>
              <w:rPr>
                <w:color w:val="000000"/>
                <w:sz w:val="10"/>
                <w:szCs w:val="10"/>
              </w:rPr>
            </w:pPr>
            <w:r w:rsidRPr="00005453">
              <w:rPr>
                <w:color w:val="000000"/>
                <w:sz w:val="10"/>
                <w:szCs w:val="16"/>
              </w:rPr>
              <w:t>8,072,079</w:t>
            </w:r>
          </w:p>
        </w:tc>
        <w:tc>
          <w:tcPr>
            <w:tcW w:w="674" w:type="dxa"/>
            <w:tcBorders>
              <w:top w:val="nil"/>
              <w:left w:val="nil"/>
              <w:bottom w:val="nil"/>
              <w:right w:val="nil"/>
            </w:tcBorders>
            <w:shd w:val="clear" w:color="auto" w:fill="auto"/>
            <w:vAlign w:val="center"/>
            <w:hideMark/>
          </w:tcPr>
          <w:p w14:paraId="65409AB5" w14:textId="4612E8AC" w:rsidR="005803BC" w:rsidRPr="00005453" w:rsidRDefault="005803BC" w:rsidP="005803BC">
            <w:pPr>
              <w:jc w:val="right"/>
              <w:rPr>
                <w:color w:val="000000"/>
                <w:sz w:val="10"/>
                <w:szCs w:val="10"/>
              </w:rPr>
            </w:pPr>
            <w:r w:rsidRPr="00005453">
              <w:rPr>
                <w:color w:val="000000"/>
                <w:sz w:val="10"/>
                <w:szCs w:val="16"/>
              </w:rPr>
              <w:t>2,180,235</w:t>
            </w:r>
          </w:p>
        </w:tc>
        <w:tc>
          <w:tcPr>
            <w:tcW w:w="889" w:type="dxa"/>
            <w:tcBorders>
              <w:top w:val="nil"/>
              <w:left w:val="nil"/>
              <w:bottom w:val="nil"/>
              <w:right w:val="nil"/>
            </w:tcBorders>
            <w:shd w:val="clear" w:color="auto" w:fill="auto"/>
            <w:vAlign w:val="center"/>
            <w:hideMark/>
          </w:tcPr>
          <w:p w14:paraId="7A7C0B36" w14:textId="47323C1E" w:rsidR="005803BC" w:rsidRPr="00005453" w:rsidRDefault="005803BC" w:rsidP="005803BC">
            <w:pPr>
              <w:jc w:val="right"/>
              <w:rPr>
                <w:color w:val="000000"/>
                <w:sz w:val="10"/>
                <w:szCs w:val="10"/>
              </w:rPr>
            </w:pPr>
            <w:r w:rsidRPr="00005453">
              <w:rPr>
                <w:bCs/>
                <w:color w:val="000000"/>
                <w:sz w:val="10"/>
                <w:szCs w:val="10"/>
              </w:rPr>
              <w:t>10,252,314</w:t>
            </w:r>
          </w:p>
        </w:tc>
      </w:tr>
      <w:tr w:rsidR="005803BC" w:rsidRPr="00005453" w14:paraId="4D2C3C3F" w14:textId="77777777" w:rsidTr="00667FB0">
        <w:trPr>
          <w:trHeight w:val="215"/>
        </w:trPr>
        <w:tc>
          <w:tcPr>
            <w:tcW w:w="1013" w:type="dxa"/>
            <w:tcBorders>
              <w:top w:val="nil"/>
              <w:left w:val="nil"/>
              <w:bottom w:val="single" w:sz="8" w:space="0" w:color="auto"/>
              <w:right w:val="nil"/>
            </w:tcBorders>
            <w:shd w:val="clear" w:color="auto" w:fill="auto"/>
            <w:noWrap/>
            <w:vAlign w:val="center"/>
            <w:hideMark/>
          </w:tcPr>
          <w:p w14:paraId="048A4D15"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Diğer</w:t>
            </w:r>
          </w:p>
        </w:tc>
        <w:tc>
          <w:tcPr>
            <w:tcW w:w="756" w:type="dxa"/>
            <w:tcBorders>
              <w:top w:val="nil"/>
              <w:left w:val="nil"/>
              <w:bottom w:val="single" w:sz="8" w:space="0" w:color="auto"/>
              <w:right w:val="nil"/>
            </w:tcBorders>
            <w:shd w:val="clear" w:color="auto" w:fill="auto"/>
            <w:vAlign w:val="center"/>
            <w:hideMark/>
          </w:tcPr>
          <w:p w14:paraId="48BBCB23" w14:textId="41F8D2B7" w:rsidR="005803BC" w:rsidRPr="00005453" w:rsidRDefault="005803BC" w:rsidP="005803BC">
            <w:pPr>
              <w:jc w:val="right"/>
              <w:rPr>
                <w:b/>
                <w:color w:val="000000"/>
                <w:sz w:val="10"/>
                <w:szCs w:val="10"/>
              </w:rPr>
            </w:pPr>
            <w:r w:rsidRPr="00005453">
              <w:rPr>
                <w:color w:val="000000"/>
                <w:sz w:val="10"/>
                <w:szCs w:val="16"/>
              </w:rPr>
              <w:t>-</w:t>
            </w:r>
          </w:p>
        </w:tc>
        <w:tc>
          <w:tcPr>
            <w:tcW w:w="756" w:type="dxa"/>
            <w:tcBorders>
              <w:top w:val="nil"/>
              <w:left w:val="nil"/>
              <w:bottom w:val="single" w:sz="8" w:space="0" w:color="auto"/>
              <w:right w:val="nil"/>
            </w:tcBorders>
            <w:shd w:val="clear" w:color="auto" w:fill="auto"/>
            <w:vAlign w:val="center"/>
            <w:hideMark/>
          </w:tcPr>
          <w:p w14:paraId="676CD381" w14:textId="1FFB71AC" w:rsidR="005803BC" w:rsidRPr="00005453" w:rsidRDefault="005803BC" w:rsidP="005803BC">
            <w:pPr>
              <w:jc w:val="right"/>
              <w:rPr>
                <w:b/>
                <w:color w:val="000000"/>
                <w:sz w:val="10"/>
                <w:szCs w:val="10"/>
              </w:rPr>
            </w:pPr>
            <w:r w:rsidRPr="00005453">
              <w:rPr>
                <w:color w:val="000000"/>
                <w:sz w:val="10"/>
                <w:szCs w:val="16"/>
              </w:rPr>
              <w:t>-</w:t>
            </w:r>
          </w:p>
        </w:tc>
        <w:tc>
          <w:tcPr>
            <w:tcW w:w="710" w:type="dxa"/>
            <w:tcBorders>
              <w:top w:val="nil"/>
              <w:left w:val="nil"/>
              <w:bottom w:val="single" w:sz="8" w:space="0" w:color="auto"/>
              <w:right w:val="nil"/>
            </w:tcBorders>
            <w:shd w:val="clear" w:color="auto" w:fill="auto"/>
            <w:vAlign w:val="center"/>
            <w:hideMark/>
          </w:tcPr>
          <w:p w14:paraId="54FAFB3E" w14:textId="3CCF2A79" w:rsidR="005803BC" w:rsidRPr="00005453" w:rsidRDefault="005803BC" w:rsidP="005803BC">
            <w:pPr>
              <w:jc w:val="right"/>
              <w:rPr>
                <w:b/>
                <w:color w:val="000000"/>
                <w:sz w:val="10"/>
                <w:szCs w:val="10"/>
              </w:rPr>
            </w:pPr>
            <w:r w:rsidRPr="00005453">
              <w:rPr>
                <w:color w:val="000000"/>
                <w:sz w:val="10"/>
                <w:szCs w:val="16"/>
              </w:rPr>
              <w:t>-</w:t>
            </w:r>
          </w:p>
        </w:tc>
        <w:tc>
          <w:tcPr>
            <w:tcW w:w="745" w:type="dxa"/>
            <w:tcBorders>
              <w:top w:val="nil"/>
              <w:left w:val="nil"/>
              <w:bottom w:val="single" w:sz="8" w:space="0" w:color="auto"/>
              <w:right w:val="nil"/>
            </w:tcBorders>
            <w:shd w:val="clear" w:color="auto" w:fill="auto"/>
            <w:vAlign w:val="center"/>
            <w:hideMark/>
          </w:tcPr>
          <w:p w14:paraId="3B854B45" w14:textId="143639D9" w:rsidR="005803BC" w:rsidRPr="00005453" w:rsidRDefault="005803BC" w:rsidP="005803BC">
            <w:pPr>
              <w:jc w:val="right"/>
              <w:rPr>
                <w:b/>
                <w:color w:val="000000"/>
                <w:sz w:val="10"/>
                <w:szCs w:val="10"/>
              </w:rPr>
            </w:pPr>
            <w:r w:rsidRPr="00005453">
              <w:rPr>
                <w:color w:val="000000"/>
                <w:sz w:val="10"/>
                <w:szCs w:val="16"/>
              </w:rPr>
              <w:t>-</w:t>
            </w:r>
          </w:p>
        </w:tc>
        <w:tc>
          <w:tcPr>
            <w:tcW w:w="715" w:type="dxa"/>
            <w:tcBorders>
              <w:top w:val="nil"/>
              <w:left w:val="nil"/>
              <w:bottom w:val="single" w:sz="8" w:space="0" w:color="auto"/>
              <w:right w:val="nil"/>
            </w:tcBorders>
            <w:shd w:val="clear" w:color="auto" w:fill="auto"/>
            <w:vAlign w:val="center"/>
            <w:hideMark/>
          </w:tcPr>
          <w:p w14:paraId="03A5766E" w14:textId="1D920BFA" w:rsidR="005803BC" w:rsidRPr="00005453" w:rsidRDefault="005803BC" w:rsidP="005803BC">
            <w:pPr>
              <w:jc w:val="right"/>
              <w:rPr>
                <w:b/>
                <w:color w:val="000000"/>
                <w:sz w:val="10"/>
                <w:szCs w:val="10"/>
              </w:rPr>
            </w:pPr>
            <w:r w:rsidRPr="00005453">
              <w:rPr>
                <w:b/>
                <w:bCs/>
                <w:color w:val="000000"/>
                <w:sz w:val="10"/>
                <w:szCs w:val="10"/>
              </w:rPr>
              <w:t>-</w:t>
            </w:r>
          </w:p>
        </w:tc>
        <w:tc>
          <w:tcPr>
            <w:tcW w:w="686" w:type="dxa"/>
            <w:tcBorders>
              <w:top w:val="nil"/>
              <w:left w:val="nil"/>
              <w:bottom w:val="single" w:sz="8" w:space="0" w:color="auto"/>
              <w:right w:val="nil"/>
            </w:tcBorders>
            <w:shd w:val="clear" w:color="auto" w:fill="auto"/>
            <w:vAlign w:val="center"/>
            <w:hideMark/>
          </w:tcPr>
          <w:p w14:paraId="7DBCFDB3" w14:textId="31EBE584" w:rsidR="005803BC" w:rsidRPr="00005453" w:rsidRDefault="005803BC" w:rsidP="005803BC">
            <w:pPr>
              <w:jc w:val="right"/>
              <w:rPr>
                <w:b/>
                <w:color w:val="000000"/>
                <w:sz w:val="10"/>
                <w:szCs w:val="10"/>
              </w:rPr>
            </w:pPr>
            <w:r w:rsidRPr="00005453">
              <w:rPr>
                <w:color w:val="000000"/>
                <w:sz w:val="10"/>
                <w:szCs w:val="16"/>
              </w:rPr>
              <w:t>-</w:t>
            </w:r>
          </w:p>
        </w:tc>
        <w:tc>
          <w:tcPr>
            <w:tcW w:w="640" w:type="dxa"/>
            <w:tcBorders>
              <w:top w:val="nil"/>
              <w:left w:val="nil"/>
              <w:bottom w:val="single" w:sz="8" w:space="0" w:color="auto"/>
              <w:right w:val="nil"/>
            </w:tcBorders>
            <w:shd w:val="clear" w:color="auto" w:fill="auto"/>
            <w:vAlign w:val="center"/>
            <w:hideMark/>
          </w:tcPr>
          <w:p w14:paraId="565DAE84" w14:textId="041F3CD1" w:rsidR="005803BC" w:rsidRPr="00005453" w:rsidRDefault="005803BC" w:rsidP="005803BC">
            <w:pPr>
              <w:jc w:val="right"/>
              <w:rPr>
                <w:b/>
                <w:color w:val="000000"/>
                <w:sz w:val="10"/>
                <w:szCs w:val="10"/>
              </w:rPr>
            </w:pPr>
            <w:r w:rsidRPr="00005453">
              <w:rPr>
                <w:b/>
                <w:color w:val="000000"/>
                <w:sz w:val="10"/>
                <w:szCs w:val="16"/>
              </w:rPr>
              <w:t>13,855,614</w:t>
            </w:r>
          </w:p>
        </w:tc>
        <w:tc>
          <w:tcPr>
            <w:tcW w:w="621" w:type="dxa"/>
            <w:tcBorders>
              <w:top w:val="nil"/>
              <w:left w:val="nil"/>
              <w:bottom w:val="single" w:sz="8" w:space="0" w:color="auto"/>
              <w:right w:val="nil"/>
            </w:tcBorders>
            <w:shd w:val="clear" w:color="auto" w:fill="auto"/>
            <w:vAlign w:val="center"/>
            <w:hideMark/>
          </w:tcPr>
          <w:p w14:paraId="62FCECC5" w14:textId="4F32CFBE" w:rsidR="005803BC" w:rsidRPr="00005453" w:rsidRDefault="005803BC" w:rsidP="005803BC">
            <w:pPr>
              <w:jc w:val="right"/>
              <w:rPr>
                <w:b/>
                <w:color w:val="000000"/>
                <w:sz w:val="10"/>
                <w:szCs w:val="10"/>
              </w:rPr>
            </w:pPr>
            <w:r w:rsidRPr="00005453">
              <w:rPr>
                <w:b/>
                <w:bCs/>
                <w:color w:val="000000"/>
                <w:sz w:val="10"/>
                <w:szCs w:val="16"/>
              </w:rPr>
              <w:t>36,763,54</w:t>
            </w:r>
            <w:r w:rsidR="00A9473B" w:rsidRPr="00005453">
              <w:rPr>
                <w:b/>
                <w:bCs/>
                <w:color w:val="000000"/>
                <w:sz w:val="10"/>
                <w:szCs w:val="16"/>
              </w:rPr>
              <w:t>6</w:t>
            </w:r>
          </w:p>
        </w:tc>
        <w:tc>
          <w:tcPr>
            <w:tcW w:w="921" w:type="dxa"/>
            <w:tcBorders>
              <w:top w:val="nil"/>
              <w:left w:val="nil"/>
              <w:bottom w:val="single" w:sz="8" w:space="0" w:color="auto"/>
              <w:right w:val="nil"/>
            </w:tcBorders>
            <w:shd w:val="clear" w:color="auto" w:fill="auto"/>
            <w:vAlign w:val="center"/>
            <w:hideMark/>
          </w:tcPr>
          <w:p w14:paraId="1C143436" w14:textId="28379D45" w:rsidR="005803BC" w:rsidRPr="00005453" w:rsidRDefault="005803BC" w:rsidP="005803BC">
            <w:pPr>
              <w:jc w:val="right"/>
              <w:rPr>
                <w:b/>
                <w:color w:val="000000"/>
                <w:sz w:val="10"/>
                <w:szCs w:val="10"/>
              </w:rPr>
            </w:pPr>
            <w:r w:rsidRPr="00005453">
              <w:rPr>
                <w:b/>
                <w:bCs/>
                <w:color w:val="000000"/>
                <w:sz w:val="10"/>
                <w:szCs w:val="16"/>
              </w:rPr>
              <w:t>24,567,764</w:t>
            </w:r>
          </w:p>
        </w:tc>
        <w:tc>
          <w:tcPr>
            <w:tcW w:w="529" w:type="dxa"/>
            <w:tcBorders>
              <w:top w:val="nil"/>
              <w:left w:val="nil"/>
              <w:bottom w:val="single" w:sz="8" w:space="0" w:color="auto"/>
              <w:right w:val="nil"/>
            </w:tcBorders>
            <w:shd w:val="clear" w:color="auto" w:fill="auto"/>
            <w:vAlign w:val="center"/>
            <w:hideMark/>
          </w:tcPr>
          <w:p w14:paraId="4E23ABA5" w14:textId="24A380C1" w:rsidR="005803BC" w:rsidRPr="00005453" w:rsidRDefault="005803BC" w:rsidP="005803BC">
            <w:pPr>
              <w:jc w:val="right"/>
              <w:rPr>
                <w:b/>
                <w:color w:val="000000"/>
                <w:sz w:val="10"/>
                <w:szCs w:val="10"/>
              </w:rPr>
            </w:pPr>
            <w:r w:rsidRPr="00005453">
              <w:rPr>
                <w:b/>
                <w:bCs/>
                <w:color w:val="000000"/>
                <w:sz w:val="10"/>
                <w:szCs w:val="16"/>
              </w:rPr>
              <w:t>139,784</w:t>
            </w:r>
          </w:p>
        </w:tc>
        <w:tc>
          <w:tcPr>
            <w:tcW w:w="621" w:type="dxa"/>
            <w:tcBorders>
              <w:top w:val="nil"/>
              <w:left w:val="nil"/>
              <w:bottom w:val="single" w:sz="8" w:space="0" w:color="auto"/>
              <w:right w:val="nil"/>
            </w:tcBorders>
            <w:shd w:val="clear" w:color="auto" w:fill="auto"/>
            <w:vAlign w:val="center"/>
            <w:hideMark/>
          </w:tcPr>
          <w:p w14:paraId="497CC357" w14:textId="24A40886" w:rsidR="005803BC" w:rsidRPr="00005453" w:rsidRDefault="005803BC" w:rsidP="005803BC">
            <w:pPr>
              <w:jc w:val="right"/>
              <w:rPr>
                <w:b/>
                <w:color w:val="000000"/>
                <w:sz w:val="10"/>
                <w:szCs w:val="10"/>
              </w:rPr>
            </w:pPr>
            <w:r w:rsidRPr="00005453">
              <w:rPr>
                <w:b/>
                <w:bCs/>
                <w:color w:val="000000"/>
                <w:sz w:val="10"/>
                <w:szCs w:val="16"/>
              </w:rPr>
              <w:t>145,921</w:t>
            </w:r>
          </w:p>
        </w:tc>
        <w:tc>
          <w:tcPr>
            <w:tcW w:w="552" w:type="dxa"/>
            <w:tcBorders>
              <w:top w:val="nil"/>
              <w:left w:val="nil"/>
              <w:bottom w:val="single" w:sz="8" w:space="0" w:color="auto"/>
              <w:right w:val="nil"/>
            </w:tcBorders>
            <w:shd w:val="clear" w:color="auto" w:fill="auto"/>
            <w:vAlign w:val="center"/>
            <w:hideMark/>
          </w:tcPr>
          <w:p w14:paraId="525EB7BF" w14:textId="2DD8D81D" w:rsidR="005803BC" w:rsidRPr="00005453" w:rsidRDefault="005803BC" w:rsidP="005803BC">
            <w:pPr>
              <w:jc w:val="right"/>
              <w:rPr>
                <w:b/>
                <w:color w:val="000000"/>
                <w:sz w:val="10"/>
                <w:szCs w:val="10"/>
              </w:rPr>
            </w:pPr>
            <w:r w:rsidRPr="00005453">
              <w:rPr>
                <w:b/>
                <w:bCs/>
                <w:color w:val="000000"/>
                <w:sz w:val="10"/>
                <w:szCs w:val="16"/>
              </w:rPr>
              <w:t>-</w:t>
            </w:r>
          </w:p>
        </w:tc>
        <w:tc>
          <w:tcPr>
            <w:tcW w:w="779" w:type="dxa"/>
            <w:tcBorders>
              <w:top w:val="nil"/>
              <w:left w:val="nil"/>
              <w:bottom w:val="single" w:sz="8" w:space="0" w:color="auto"/>
              <w:right w:val="nil"/>
            </w:tcBorders>
            <w:shd w:val="clear" w:color="auto" w:fill="auto"/>
            <w:vAlign w:val="center"/>
            <w:hideMark/>
          </w:tcPr>
          <w:p w14:paraId="16BBFDBF" w14:textId="3AB40B3D"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single" w:sz="8" w:space="0" w:color="auto"/>
              <w:right w:val="nil"/>
            </w:tcBorders>
            <w:shd w:val="clear" w:color="auto" w:fill="auto"/>
            <w:vAlign w:val="center"/>
            <w:hideMark/>
          </w:tcPr>
          <w:p w14:paraId="45023651" w14:textId="6F422EC5" w:rsidR="005803BC" w:rsidRPr="00005453" w:rsidRDefault="005803BC" w:rsidP="005803BC">
            <w:pPr>
              <w:jc w:val="right"/>
              <w:rPr>
                <w:b/>
                <w:color w:val="000000"/>
                <w:sz w:val="10"/>
                <w:szCs w:val="10"/>
              </w:rPr>
            </w:pPr>
            <w:r w:rsidRPr="00005453">
              <w:rPr>
                <w:b/>
                <w:bCs/>
                <w:color w:val="000000"/>
                <w:sz w:val="10"/>
                <w:szCs w:val="16"/>
              </w:rPr>
              <w:t>-</w:t>
            </w:r>
          </w:p>
        </w:tc>
        <w:tc>
          <w:tcPr>
            <w:tcW w:w="680" w:type="dxa"/>
            <w:tcBorders>
              <w:top w:val="nil"/>
              <w:left w:val="nil"/>
              <w:bottom w:val="single" w:sz="8" w:space="0" w:color="auto"/>
              <w:right w:val="nil"/>
            </w:tcBorders>
            <w:shd w:val="clear" w:color="auto" w:fill="auto"/>
            <w:vAlign w:val="center"/>
            <w:hideMark/>
          </w:tcPr>
          <w:p w14:paraId="00EAA888" w14:textId="52E1FF54" w:rsidR="005803BC" w:rsidRPr="00005453" w:rsidRDefault="005803BC" w:rsidP="005803BC">
            <w:pPr>
              <w:jc w:val="right"/>
              <w:rPr>
                <w:b/>
                <w:color w:val="000000"/>
                <w:sz w:val="10"/>
                <w:szCs w:val="10"/>
              </w:rPr>
            </w:pPr>
            <w:r w:rsidRPr="00005453">
              <w:rPr>
                <w:b/>
                <w:bCs/>
                <w:color w:val="000000"/>
                <w:sz w:val="10"/>
                <w:szCs w:val="16"/>
              </w:rPr>
              <w:t>-</w:t>
            </w:r>
          </w:p>
        </w:tc>
        <w:tc>
          <w:tcPr>
            <w:tcW w:w="616" w:type="dxa"/>
            <w:tcBorders>
              <w:top w:val="nil"/>
              <w:left w:val="nil"/>
              <w:bottom w:val="single" w:sz="8" w:space="0" w:color="auto"/>
              <w:right w:val="nil"/>
            </w:tcBorders>
            <w:shd w:val="clear" w:color="auto" w:fill="auto"/>
            <w:vAlign w:val="center"/>
            <w:hideMark/>
          </w:tcPr>
          <w:p w14:paraId="45501A7C" w14:textId="69CBA349" w:rsidR="005803BC" w:rsidRPr="00005453" w:rsidRDefault="005803BC" w:rsidP="005803BC">
            <w:pPr>
              <w:jc w:val="right"/>
              <w:rPr>
                <w:b/>
                <w:color w:val="000000"/>
                <w:sz w:val="10"/>
                <w:szCs w:val="10"/>
              </w:rPr>
            </w:pPr>
            <w:r w:rsidRPr="00005453">
              <w:rPr>
                <w:b/>
                <w:color w:val="000000"/>
                <w:sz w:val="10"/>
                <w:szCs w:val="16"/>
              </w:rPr>
              <w:t>501,901</w:t>
            </w:r>
          </w:p>
        </w:tc>
        <w:tc>
          <w:tcPr>
            <w:tcW w:w="621" w:type="dxa"/>
            <w:tcBorders>
              <w:top w:val="nil"/>
              <w:left w:val="nil"/>
              <w:bottom w:val="single" w:sz="8" w:space="0" w:color="auto"/>
              <w:right w:val="nil"/>
            </w:tcBorders>
            <w:shd w:val="clear" w:color="auto" w:fill="auto"/>
            <w:vAlign w:val="center"/>
            <w:hideMark/>
          </w:tcPr>
          <w:p w14:paraId="2D14DFEA" w14:textId="03E5EAB4" w:rsidR="005803BC" w:rsidRPr="00005453" w:rsidRDefault="005803BC" w:rsidP="005803BC">
            <w:pPr>
              <w:jc w:val="right"/>
              <w:rPr>
                <w:b/>
                <w:color w:val="000000"/>
                <w:sz w:val="10"/>
                <w:szCs w:val="10"/>
              </w:rPr>
            </w:pPr>
            <w:r w:rsidRPr="00005453">
              <w:rPr>
                <w:b/>
                <w:bCs/>
                <w:color w:val="000000"/>
                <w:sz w:val="10"/>
                <w:szCs w:val="16"/>
              </w:rPr>
              <w:t>525,003</w:t>
            </w:r>
          </w:p>
        </w:tc>
        <w:tc>
          <w:tcPr>
            <w:tcW w:w="674" w:type="dxa"/>
            <w:tcBorders>
              <w:top w:val="nil"/>
              <w:left w:val="nil"/>
              <w:bottom w:val="single" w:sz="8" w:space="0" w:color="auto"/>
              <w:right w:val="nil"/>
            </w:tcBorders>
            <w:shd w:val="clear" w:color="auto" w:fill="auto"/>
            <w:vAlign w:val="center"/>
            <w:hideMark/>
          </w:tcPr>
          <w:p w14:paraId="14DEE349" w14:textId="006B82A2" w:rsidR="005803BC" w:rsidRPr="00005453" w:rsidRDefault="005803BC" w:rsidP="005803BC">
            <w:pPr>
              <w:jc w:val="right"/>
              <w:rPr>
                <w:b/>
                <w:color w:val="000000"/>
                <w:sz w:val="10"/>
                <w:szCs w:val="10"/>
              </w:rPr>
            </w:pPr>
            <w:r w:rsidRPr="00005453">
              <w:rPr>
                <w:b/>
                <w:bCs/>
                <w:color w:val="000000"/>
                <w:sz w:val="10"/>
                <w:szCs w:val="16"/>
              </w:rPr>
              <w:t>73,966,29</w:t>
            </w:r>
            <w:r w:rsidR="00A9473B" w:rsidRPr="00005453">
              <w:rPr>
                <w:b/>
                <w:bCs/>
                <w:color w:val="000000"/>
                <w:sz w:val="10"/>
                <w:szCs w:val="16"/>
              </w:rPr>
              <w:t>3</w:t>
            </w:r>
          </w:p>
        </w:tc>
        <w:tc>
          <w:tcPr>
            <w:tcW w:w="674" w:type="dxa"/>
            <w:tcBorders>
              <w:top w:val="nil"/>
              <w:left w:val="nil"/>
              <w:bottom w:val="single" w:sz="8" w:space="0" w:color="auto"/>
              <w:right w:val="nil"/>
            </w:tcBorders>
            <w:shd w:val="clear" w:color="auto" w:fill="auto"/>
            <w:vAlign w:val="center"/>
            <w:hideMark/>
          </w:tcPr>
          <w:p w14:paraId="45C221BD" w14:textId="0E0E8357" w:rsidR="005803BC" w:rsidRPr="00005453" w:rsidRDefault="005803BC" w:rsidP="005803BC">
            <w:pPr>
              <w:jc w:val="right"/>
              <w:rPr>
                <w:b/>
                <w:color w:val="000000"/>
                <w:sz w:val="10"/>
                <w:szCs w:val="10"/>
              </w:rPr>
            </w:pPr>
            <w:r w:rsidRPr="00005453">
              <w:rPr>
                <w:b/>
                <w:bCs/>
                <w:color w:val="000000"/>
                <w:sz w:val="10"/>
                <w:szCs w:val="16"/>
              </w:rPr>
              <w:t>2,533,240</w:t>
            </w:r>
          </w:p>
        </w:tc>
        <w:tc>
          <w:tcPr>
            <w:tcW w:w="889" w:type="dxa"/>
            <w:tcBorders>
              <w:top w:val="nil"/>
              <w:left w:val="nil"/>
              <w:bottom w:val="single" w:sz="8" w:space="0" w:color="auto"/>
              <w:right w:val="nil"/>
            </w:tcBorders>
            <w:shd w:val="clear" w:color="auto" w:fill="auto"/>
            <w:vAlign w:val="center"/>
            <w:hideMark/>
          </w:tcPr>
          <w:p w14:paraId="43952EAB" w14:textId="0E9119CF" w:rsidR="005803BC" w:rsidRPr="00005453" w:rsidRDefault="005803BC" w:rsidP="005803BC">
            <w:pPr>
              <w:jc w:val="right"/>
              <w:rPr>
                <w:b/>
                <w:color w:val="000000"/>
                <w:sz w:val="10"/>
                <w:szCs w:val="10"/>
              </w:rPr>
            </w:pPr>
            <w:r w:rsidRPr="00005453">
              <w:rPr>
                <w:b/>
                <w:bCs/>
                <w:color w:val="000000"/>
                <w:sz w:val="10"/>
                <w:szCs w:val="10"/>
              </w:rPr>
              <w:t>76,499,53</w:t>
            </w:r>
            <w:r w:rsidR="00A9473B" w:rsidRPr="00005453">
              <w:rPr>
                <w:b/>
                <w:bCs/>
                <w:color w:val="000000"/>
                <w:sz w:val="10"/>
                <w:szCs w:val="10"/>
              </w:rPr>
              <w:t>3</w:t>
            </w:r>
          </w:p>
        </w:tc>
      </w:tr>
      <w:tr w:rsidR="005803BC" w:rsidRPr="00005453" w14:paraId="6E4FCF67" w14:textId="77777777" w:rsidTr="00667FB0">
        <w:trPr>
          <w:trHeight w:val="49"/>
        </w:trPr>
        <w:tc>
          <w:tcPr>
            <w:tcW w:w="1013" w:type="dxa"/>
            <w:tcBorders>
              <w:top w:val="nil"/>
              <w:left w:val="nil"/>
              <w:bottom w:val="double" w:sz="6" w:space="0" w:color="auto"/>
              <w:right w:val="nil"/>
            </w:tcBorders>
            <w:shd w:val="clear" w:color="auto" w:fill="auto"/>
            <w:vAlign w:val="center"/>
            <w:hideMark/>
          </w:tcPr>
          <w:p w14:paraId="35102CD5" w14:textId="77777777" w:rsidR="005803BC" w:rsidRPr="00005453" w:rsidRDefault="005803BC" w:rsidP="005803BC">
            <w:pPr>
              <w:rPr>
                <w:b/>
                <w:bCs/>
                <w:color w:val="000000"/>
                <w:sz w:val="10"/>
                <w:szCs w:val="10"/>
                <w:lang w:eastAsia="tr-TR"/>
              </w:rPr>
            </w:pPr>
            <w:r w:rsidRPr="00005453">
              <w:rPr>
                <w:b/>
                <w:bCs/>
                <w:color w:val="000000"/>
                <w:sz w:val="10"/>
                <w:szCs w:val="10"/>
                <w:lang w:eastAsia="tr-TR"/>
              </w:rPr>
              <w:t>Toplam</w:t>
            </w:r>
          </w:p>
        </w:tc>
        <w:tc>
          <w:tcPr>
            <w:tcW w:w="756" w:type="dxa"/>
            <w:tcBorders>
              <w:top w:val="nil"/>
              <w:left w:val="nil"/>
              <w:bottom w:val="double" w:sz="6" w:space="0" w:color="auto"/>
              <w:right w:val="nil"/>
            </w:tcBorders>
            <w:shd w:val="clear" w:color="auto" w:fill="auto"/>
            <w:vAlign w:val="center"/>
            <w:hideMark/>
          </w:tcPr>
          <w:p w14:paraId="4894A917" w14:textId="2827DB72" w:rsidR="005803BC" w:rsidRPr="00005453" w:rsidRDefault="005803BC" w:rsidP="005803BC">
            <w:pPr>
              <w:jc w:val="right"/>
              <w:rPr>
                <w:b/>
                <w:color w:val="000000"/>
                <w:sz w:val="10"/>
                <w:szCs w:val="10"/>
              </w:rPr>
            </w:pPr>
            <w:r w:rsidRPr="00005453">
              <w:rPr>
                <w:b/>
                <w:bCs/>
                <w:color w:val="000000"/>
                <w:sz w:val="10"/>
                <w:szCs w:val="16"/>
              </w:rPr>
              <w:t>264,873,248</w:t>
            </w:r>
          </w:p>
        </w:tc>
        <w:tc>
          <w:tcPr>
            <w:tcW w:w="756" w:type="dxa"/>
            <w:tcBorders>
              <w:top w:val="nil"/>
              <w:left w:val="nil"/>
              <w:bottom w:val="double" w:sz="6" w:space="0" w:color="auto"/>
              <w:right w:val="nil"/>
            </w:tcBorders>
            <w:shd w:val="clear" w:color="auto" w:fill="auto"/>
            <w:vAlign w:val="center"/>
            <w:hideMark/>
          </w:tcPr>
          <w:p w14:paraId="0A27BCAA" w14:textId="3EF47A96" w:rsidR="005803BC" w:rsidRPr="00005453" w:rsidRDefault="005803BC" w:rsidP="005803BC">
            <w:pPr>
              <w:jc w:val="right"/>
              <w:rPr>
                <w:b/>
                <w:color w:val="000000"/>
                <w:sz w:val="10"/>
                <w:szCs w:val="10"/>
              </w:rPr>
            </w:pPr>
            <w:r w:rsidRPr="00005453">
              <w:rPr>
                <w:b/>
                <w:bCs/>
                <w:color w:val="000000"/>
                <w:sz w:val="10"/>
                <w:szCs w:val="16"/>
              </w:rPr>
              <w:t>-</w:t>
            </w:r>
          </w:p>
        </w:tc>
        <w:tc>
          <w:tcPr>
            <w:tcW w:w="710" w:type="dxa"/>
            <w:tcBorders>
              <w:top w:val="nil"/>
              <w:left w:val="nil"/>
              <w:bottom w:val="double" w:sz="6" w:space="0" w:color="auto"/>
              <w:right w:val="nil"/>
            </w:tcBorders>
            <w:shd w:val="clear" w:color="auto" w:fill="auto"/>
            <w:vAlign w:val="center"/>
            <w:hideMark/>
          </w:tcPr>
          <w:p w14:paraId="317D690D" w14:textId="29AEA28F" w:rsidR="005803BC" w:rsidRPr="00005453" w:rsidRDefault="005803BC" w:rsidP="005803BC">
            <w:pPr>
              <w:jc w:val="right"/>
              <w:rPr>
                <w:b/>
                <w:color w:val="000000"/>
                <w:sz w:val="10"/>
                <w:szCs w:val="10"/>
              </w:rPr>
            </w:pPr>
            <w:r w:rsidRPr="00005453">
              <w:rPr>
                <w:b/>
                <w:bCs/>
                <w:color w:val="000000"/>
                <w:sz w:val="10"/>
                <w:szCs w:val="16"/>
              </w:rPr>
              <w:t>-</w:t>
            </w:r>
          </w:p>
        </w:tc>
        <w:tc>
          <w:tcPr>
            <w:tcW w:w="745" w:type="dxa"/>
            <w:tcBorders>
              <w:top w:val="nil"/>
              <w:left w:val="nil"/>
              <w:bottom w:val="double" w:sz="6" w:space="0" w:color="auto"/>
              <w:right w:val="nil"/>
            </w:tcBorders>
            <w:shd w:val="clear" w:color="auto" w:fill="auto"/>
            <w:vAlign w:val="center"/>
            <w:hideMark/>
          </w:tcPr>
          <w:p w14:paraId="3333E067" w14:textId="0F67DC05" w:rsidR="005803BC" w:rsidRPr="00005453" w:rsidRDefault="005803BC" w:rsidP="005803BC">
            <w:pPr>
              <w:jc w:val="right"/>
              <w:rPr>
                <w:b/>
                <w:color w:val="000000"/>
                <w:sz w:val="10"/>
                <w:szCs w:val="10"/>
              </w:rPr>
            </w:pPr>
            <w:r w:rsidRPr="00005453">
              <w:rPr>
                <w:b/>
                <w:bCs/>
                <w:color w:val="000000"/>
                <w:sz w:val="10"/>
                <w:szCs w:val="16"/>
              </w:rPr>
              <w:t>-</w:t>
            </w:r>
          </w:p>
        </w:tc>
        <w:tc>
          <w:tcPr>
            <w:tcW w:w="715" w:type="dxa"/>
            <w:tcBorders>
              <w:top w:val="nil"/>
              <w:left w:val="nil"/>
              <w:bottom w:val="double" w:sz="6" w:space="0" w:color="auto"/>
              <w:right w:val="nil"/>
            </w:tcBorders>
            <w:shd w:val="clear" w:color="auto" w:fill="auto"/>
            <w:vAlign w:val="center"/>
            <w:hideMark/>
          </w:tcPr>
          <w:p w14:paraId="6834B099" w14:textId="590FE5E4"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double" w:sz="6" w:space="0" w:color="auto"/>
              <w:right w:val="nil"/>
            </w:tcBorders>
            <w:shd w:val="clear" w:color="auto" w:fill="auto"/>
            <w:vAlign w:val="center"/>
            <w:hideMark/>
          </w:tcPr>
          <w:p w14:paraId="4867CDF9" w14:textId="7A5BD2EB" w:rsidR="005803BC" w:rsidRPr="00005453" w:rsidRDefault="005803BC" w:rsidP="005803BC">
            <w:pPr>
              <w:jc w:val="right"/>
              <w:rPr>
                <w:b/>
                <w:color w:val="000000"/>
                <w:sz w:val="10"/>
                <w:szCs w:val="10"/>
              </w:rPr>
            </w:pPr>
            <w:r w:rsidRPr="00005453">
              <w:rPr>
                <w:b/>
                <w:bCs/>
                <w:color w:val="000000"/>
                <w:sz w:val="10"/>
                <w:szCs w:val="16"/>
              </w:rPr>
              <w:t>30,092,335</w:t>
            </w:r>
          </w:p>
        </w:tc>
        <w:tc>
          <w:tcPr>
            <w:tcW w:w="640" w:type="dxa"/>
            <w:tcBorders>
              <w:top w:val="nil"/>
              <w:left w:val="nil"/>
              <w:bottom w:val="double" w:sz="6" w:space="0" w:color="auto"/>
              <w:right w:val="nil"/>
            </w:tcBorders>
            <w:shd w:val="clear" w:color="auto" w:fill="auto"/>
            <w:vAlign w:val="center"/>
            <w:hideMark/>
          </w:tcPr>
          <w:p w14:paraId="5155B4FA" w14:textId="2E7F8FBD" w:rsidR="005803BC" w:rsidRPr="00005453" w:rsidRDefault="005803BC" w:rsidP="005803BC">
            <w:pPr>
              <w:jc w:val="right"/>
              <w:rPr>
                <w:b/>
                <w:color w:val="000000"/>
                <w:sz w:val="10"/>
                <w:szCs w:val="10"/>
              </w:rPr>
            </w:pPr>
            <w:r w:rsidRPr="00005453">
              <w:rPr>
                <w:b/>
                <w:bCs/>
                <w:color w:val="000000"/>
                <w:sz w:val="10"/>
                <w:szCs w:val="16"/>
              </w:rPr>
              <w:t>170,849,138</w:t>
            </w:r>
          </w:p>
        </w:tc>
        <w:tc>
          <w:tcPr>
            <w:tcW w:w="621" w:type="dxa"/>
            <w:tcBorders>
              <w:top w:val="nil"/>
              <w:left w:val="nil"/>
              <w:bottom w:val="double" w:sz="6" w:space="0" w:color="auto"/>
              <w:right w:val="nil"/>
            </w:tcBorders>
            <w:shd w:val="clear" w:color="auto" w:fill="auto"/>
            <w:vAlign w:val="center"/>
            <w:hideMark/>
          </w:tcPr>
          <w:p w14:paraId="600CCDC2" w14:textId="6364B22B" w:rsidR="005803BC" w:rsidRPr="00005453" w:rsidRDefault="005803BC" w:rsidP="005803BC">
            <w:pPr>
              <w:jc w:val="right"/>
              <w:rPr>
                <w:b/>
                <w:color w:val="000000"/>
                <w:sz w:val="10"/>
                <w:szCs w:val="10"/>
              </w:rPr>
            </w:pPr>
            <w:r w:rsidRPr="00005453">
              <w:rPr>
                <w:b/>
                <w:bCs/>
                <w:color w:val="000000"/>
                <w:sz w:val="10"/>
                <w:szCs w:val="16"/>
              </w:rPr>
              <w:t>80,854,7</w:t>
            </w:r>
            <w:r w:rsidR="00A9473B" w:rsidRPr="00005453">
              <w:rPr>
                <w:b/>
                <w:bCs/>
                <w:color w:val="000000"/>
                <w:sz w:val="10"/>
                <w:szCs w:val="16"/>
              </w:rPr>
              <w:t>60</w:t>
            </w:r>
          </w:p>
        </w:tc>
        <w:tc>
          <w:tcPr>
            <w:tcW w:w="921" w:type="dxa"/>
            <w:tcBorders>
              <w:top w:val="nil"/>
              <w:left w:val="nil"/>
              <w:bottom w:val="double" w:sz="6" w:space="0" w:color="auto"/>
              <w:right w:val="nil"/>
            </w:tcBorders>
            <w:shd w:val="clear" w:color="auto" w:fill="auto"/>
            <w:vAlign w:val="center"/>
            <w:hideMark/>
          </w:tcPr>
          <w:p w14:paraId="663E7DBD" w14:textId="0DE68C76" w:rsidR="005803BC" w:rsidRPr="00005453" w:rsidRDefault="005803BC" w:rsidP="005803BC">
            <w:pPr>
              <w:jc w:val="right"/>
              <w:rPr>
                <w:b/>
                <w:color w:val="000000"/>
                <w:sz w:val="10"/>
                <w:szCs w:val="10"/>
              </w:rPr>
            </w:pPr>
            <w:r w:rsidRPr="00005453">
              <w:rPr>
                <w:b/>
                <w:bCs/>
                <w:color w:val="000000"/>
                <w:sz w:val="10"/>
                <w:szCs w:val="16"/>
              </w:rPr>
              <w:t>101,796,609</w:t>
            </w:r>
          </w:p>
        </w:tc>
        <w:tc>
          <w:tcPr>
            <w:tcW w:w="529" w:type="dxa"/>
            <w:tcBorders>
              <w:top w:val="nil"/>
              <w:left w:val="nil"/>
              <w:bottom w:val="double" w:sz="6" w:space="0" w:color="auto"/>
              <w:right w:val="nil"/>
            </w:tcBorders>
            <w:shd w:val="clear" w:color="auto" w:fill="auto"/>
            <w:vAlign w:val="center"/>
            <w:hideMark/>
          </w:tcPr>
          <w:p w14:paraId="066ABBF1" w14:textId="090FDEAA" w:rsidR="005803BC" w:rsidRPr="00005453" w:rsidRDefault="005803BC" w:rsidP="005803BC">
            <w:pPr>
              <w:jc w:val="right"/>
              <w:rPr>
                <w:b/>
                <w:color w:val="000000"/>
                <w:sz w:val="10"/>
                <w:szCs w:val="10"/>
              </w:rPr>
            </w:pPr>
            <w:r w:rsidRPr="00005453">
              <w:rPr>
                <w:b/>
                <w:bCs/>
                <w:color w:val="000000"/>
                <w:sz w:val="10"/>
                <w:szCs w:val="16"/>
              </w:rPr>
              <w:t>518,076</w:t>
            </w:r>
          </w:p>
        </w:tc>
        <w:tc>
          <w:tcPr>
            <w:tcW w:w="621" w:type="dxa"/>
            <w:tcBorders>
              <w:top w:val="nil"/>
              <w:left w:val="nil"/>
              <w:bottom w:val="double" w:sz="6" w:space="0" w:color="auto"/>
              <w:right w:val="nil"/>
            </w:tcBorders>
            <w:shd w:val="clear" w:color="auto" w:fill="auto"/>
            <w:vAlign w:val="center"/>
            <w:hideMark/>
          </w:tcPr>
          <w:p w14:paraId="47B8BED4" w14:textId="199E6F3B" w:rsidR="005803BC" w:rsidRPr="00005453" w:rsidRDefault="005803BC" w:rsidP="005803BC">
            <w:pPr>
              <w:jc w:val="right"/>
              <w:rPr>
                <w:b/>
                <w:color w:val="000000"/>
                <w:sz w:val="10"/>
                <w:szCs w:val="10"/>
              </w:rPr>
            </w:pPr>
            <w:r w:rsidRPr="00005453">
              <w:rPr>
                <w:b/>
                <w:bCs/>
                <w:color w:val="000000"/>
                <w:sz w:val="10"/>
                <w:szCs w:val="16"/>
              </w:rPr>
              <w:t>1,593,687</w:t>
            </w:r>
          </w:p>
        </w:tc>
        <w:tc>
          <w:tcPr>
            <w:tcW w:w="552" w:type="dxa"/>
            <w:tcBorders>
              <w:top w:val="nil"/>
              <w:left w:val="nil"/>
              <w:bottom w:val="double" w:sz="6" w:space="0" w:color="auto"/>
              <w:right w:val="nil"/>
            </w:tcBorders>
            <w:shd w:val="clear" w:color="auto" w:fill="auto"/>
            <w:vAlign w:val="center"/>
            <w:hideMark/>
          </w:tcPr>
          <w:p w14:paraId="157DA049" w14:textId="0AAEC721" w:rsidR="005803BC" w:rsidRPr="00005453" w:rsidRDefault="005803BC" w:rsidP="005803BC">
            <w:pPr>
              <w:jc w:val="right"/>
              <w:rPr>
                <w:b/>
                <w:color w:val="000000"/>
                <w:sz w:val="10"/>
                <w:szCs w:val="10"/>
              </w:rPr>
            </w:pPr>
            <w:r w:rsidRPr="00005453">
              <w:rPr>
                <w:b/>
                <w:bCs/>
                <w:color w:val="000000"/>
                <w:sz w:val="10"/>
                <w:szCs w:val="16"/>
              </w:rPr>
              <w:t>-</w:t>
            </w:r>
          </w:p>
        </w:tc>
        <w:tc>
          <w:tcPr>
            <w:tcW w:w="779" w:type="dxa"/>
            <w:tcBorders>
              <w:top w:val="nil"/>
              <w:left w:val="nil"/>
              <w:bottom w:val="double" w:sz="6" w:space="0" w:color="auto"/>
              <w:right w:val="nil"/>
            </w:tcBorders>
            <w:shd w:val="clear" w:color="auto" w:fill="auto"/>
            <w:vAlign w:val="center"/>
            <w:hideMark/>
          </w:tcPr>
          <w:p w14:paraId="0F7ADF1F" w14:textId="76FF364F" w:rsidR="005803BC" w:rsidRPr="00005453" w:rsidRDefault="005803BC" w:rsidP="005803BC">
            <w:pPr>
              <w:jc w:val="right"/>
              <w:rPr>
                <w:b/>
                <w:color w:val="000000"/>
                <w:sz w:val="10"/>
                <w:szCs w:val="10"/>
              </w:rPr>
            </w:pPr>
            <w:r w:rsidRPr="00005453">
              <w:rPr>
                <w:b/>
                <w:bCs/>
                <w:color w:val="000000"/>
                <w:sz w:val="10"/>
                <w:szCs w:val="16"/>
              </w:rPr>
              <w:t>-</w:t>
            </w:r>
          </w:p>
        </w:tc>
        <w:tc>
          <w:tcPr>
            <w:tcW w:w="686" w:type="dxa"/>
            <w:tcBorders>
              <w:top w:val="nil"/>
              <w:left w:val="nil"/>
              <w:bottom w:val="double" w:sz="6" w:space="0" w:color="auto"/>
              <w:right w:val="nil"/>
            </w:tcBorders>
            <w:shd w:val="clear" w:color="auto" w:fill="auto"/>
            <w:vAlign w:val="center"/>
            <w:hideMark/>
          </w:tcPr>
          <w:p w14:paraId="77CE707D" w14:textId="45C598D6" w:rsidR="005803BC" w:rsidRPr="00005453" w:rsidRDefault="005803BC" w:rsidP="005803BC">
            <w:pPr>
              <w:jc w:val="right"/>
              <w:rPr>
                <w:b/>
                <w:color w:val="000000"/>
                <w:sz w:val="10"/>
                <w:szCs w:val="10"/>
              </w:rPr>
            </w:pPr>
            <w:r w:rsidRPr="00005453">
              <w:rPr>
                <w:b/>
                <w:bCs/>
                <w:color w:val="000000"/>
                <w:sz w:val="10"/>
                <w:szCs w:val="16"/>
              </w:rPr>
              <w:t>-</w:t>
            </w:r>
          </w:p>
        </w:tc>
        <w:tc>
          <w:tcPr>
            <w:tcW w:w="680" w:type="dxa"/>
            <w:tcBorders>
              <w:top w:val="nil"/>
              <w:left w:val="nil"/>
              <w:bottom w:val="double" w:sz="6" w:space="0" w:color="auto"/>
              <w:right w:val="nil"/>
            </w:tcBorders>
            <w:shd w:val="clear" w:color="auto" w:fill="auto"/>
            <w:vAlign w:val="center"/>
            <w:hideMark/>
          </w:tcPr>
          <w:p w14:paraId="45BE6F82" w14:textId="3961DDE5" w:rsidR="005803BC" w:rsidRPr="00005453" w:rsidRDefault="005803BC" w:rsidP="005803BC">
            <w:pPr>
              <w:jc w:val="right"/>
              <w:rPr>
                <w:b/>
                <w:color w:val="000000"/>
                <w:sz w:val="10"/>
                <w:szCs w:val="10"/>
              </w:rPr>
            </w:pPr>
            <w:r w:rsidRPr="00005453">
              <w:rPr>
                <w:b/>
                <w:bCs/>
                <w:color w:val="000000"/>
                <w:sz w:val="10"/>
                <w:szCs w:val="16"/>
              </w:rPr>
              <w:t>-</w:t>
            </w:r>
          </w:p>
        </w:tc>
        <w:tc>
          <w:tcPr>
            <w:tcW w:w="616" w:type="dxa"/>
            <w:tcBorders>
              <w:top w:val="nil"/>
              <w:left w:val="nil"/>
              <w:bottom w:val="double" w:sz="6" w:space="0" w:color="auto"/>
              <w:right w:val="nil"/>
            </w:tcBorders>
            <w:shd w:val="clear" w:color="auto" w:fill="auto"/>
            <w:vAlign w:val="center"/>
            <w:hideMark/>
          </w:tcPr>
          <w:p w14:paraId="35C8B10F" w14:textId="28A135F9" w:rsidR="005803BC" w:rsidRPr="00005453" w:rsidRDefault="005803BC" w:rsidP="005803BC">
            <w:pPr>
              <w:jc w:val="right"/>
              <w:rPr>
                <w:b/>
                <w:color w:val="000000"/>
                <w:sz w:val="10"/>
                <w:szCs w:val="10"/>
              </w:rPr>
            </w:pPr>
            <w:r w:rsidRPr="00005453">
              <w:rPr>
                <w:b/>
                <w:bCs/>
                <w:color w:val="000000"/>
                <w:sz w:val="10"/>
                <w:szCs w:val="16"/>
              </w:rPr>
              <w:t>4,486,142</w:t>
            </w:r>
          </w:p>
        </w:tc>
        <w:tc>
          <w:tcPr>
            <w:tcW w:w="621" w:type="dxa"/>
            <w:tcBorders>
              <w:top w:val="nil"/>
              <w:left w:val="nil"/>
              <w:bottom w:val="double" w:sz="6" w:space="0" w:color="auto"/>
              <w:right w:val="nil"/>
            </w:tcBorders>
            <w:shd w:val="clear" w:color="auto" w:fill="auto"/>
            <w:vAlign w:val="center"/>
            <w:hideMark/>
          </w:tcPr>
          <w:p w14:paraId="6F3D5653" w14:textId="6280A874" w:rsidR="005803BC" w:rsidRPr="00005453" w:rsidRDefault="005803BC" w:rsidP="005803BC">
            <w:pPr>
              <w:jc w:val="right"/>
              <w:rPr>
                <w:b/>
                <w:color w:val="000000"/>
                <w:sz w:val="10"/>
                <w:szCs w:val="10"/>
              </w:rPr>
            </w:pPr>
            <w:r w:rsidRPr="00005453">
              <w:rPr>
                <w:b/>
                <w:bCs/>
                <w:color w:val="000000"/>
                <w:sz w:val="10"/>
                <w:szCs w:val="16"/>
              </w:rPr>
              <w:t>24,836,514</w:t>
            </w:r>
          </w:p>
        </w:tc>
        <w:tc>
          <w:tcPr>
            <w:tcW w:w="674" w:type="dxa"/>
            <w:tcBorders>
              <w:top w:val="nil"/>
              <w:left w:val="nil"/>
              <w:bottom w:val="double" w:sz="6" w:space="0" w:color="auto"/>
              <w:right w:val="nil"/>
            </w:tcBorders>
            <w:shd w:val="clear" w:color="auto" w:fill="auto"/>
            <w:vAlign w:val="center"/>
            <w:hideMark/>
          </w:tcPr>
          <w:p w14:paraId="1F25B21A" w14:textId="27D6175E" w:rsidR="005803BC" w:rsidRPr="00005453" w:rsidRDefault="005803BC" w:rsidP="005803BC">
            <w:pPr>
              <w:jc w:val="right"/>
              <w:rPr>
                <w:b/>
                <w:color w:val="000000"/>
                <w:sz w:val="10"/>
                <w:szCs w:val="10"/>
              </w:rPr>
            </w:pPr>
            <w:r w:rsidRPr="00005453">
              <w:rPr>
                <w:b/>
                <w:bCs/>
                <w:color w:val="000000"/>
                <w:sz w:val="10"/>
                <w:szCs w:val="16"/>
              </w:rPr>
              <w:t>375,314,57</w:t>
            </w:r>
            <w:r w:rsidR="00A9473B" w:rsidRPr="00005453">
              <w:rPr>
                <w:b/>
                <w:bCs/>
                <w:color w:val="000000"/>
                <w:sz w:val="10"/>
                <w:szCs w:val="16"/>
              </w:rPr>
              <w:t>8</w:t>
            </w:r>
          </w:p>
        </w:tc>
        <w:tc>
          <w:tcPr>
            <w:tcW w:w="674" w:type="dxa"/>
            <w:tcBorders>
              <w:top w:val="nil"/>
              <w:left w:val="nil"/>
              <w:bottom w:val="double" w:sz="6" w:space="0" w:color="auto"/>
              <w:right w:val="nil"/>
            </w:tcBorders>
            <w:shd w:val="clear" w:color="auto" w:fill="auto"/>
            <w:vAlign w:val="center"/>
            <w:hideMark/>
          </w:tcPr>
          <w:p w14:paraId="042E6458" w14:textId="4B0254F5" w:rsidR="005803BC" w:rsidRPr="00005453" w:rsidRDefault="005803BC" w:rsidP="005803BC">
            <w:pPr>
              <w:jc w:val="right"/>
              <w:rPr>
                <w:b/>
                <w:color w:val="000000"/>
                <w:sz w:val="10"/>
                <w:szCs w:val="10"/>
              </w:rPr>
            </w:pPr>
            <w:r w:rsidRPr="00005453">
              <w:rPr>
                <w:b/>
                <w:bCs/>
                <w:color w:val="000000"/>
                <w:sz w:val="10"/>
                <w:szCs w:val="16"/>
              </w:rPr>
              <w:t>304,585,931</w:t>
            </w:r>
          </w:p>
        </w:tc>
        <w:tc>
          <w:tcPr>
            <w:tcW w:w="889" w:type="dxa"/>
            <w:tcBorders>
              <w:top w:val="nil"/>
              <w:left w:val="nil"/>
              <w:bottom w:val="double" w:sz="6" w:space="0" w:color="auto"/>
              <w:right w:val="nil"/>
            </w:tcBorders>
            <w:shd w:val="clear" w:color="auto" w:fill="auto"/>
            <w:vAlign w:val="center"/>
            <w:hideMark/>
          </w:tcPr>
          <w:p w14:paraId="02CC2FBB" w14:textId="727D1E19" w:rsidR="005803BC" w:rsidRPr="00005453" w:rsidRDefault="005803BC" w:rsidP="005803BC">
            <w:pPr>
              <w:jc w:val="right"/>
              <w:rPr>
                <w:b/>
                <w:color w:val="000000"/>
                <w:sz w:val="10"/>
                <w:szCs w:val="10"/>
              </w:rPr>
            </w:pPr>
            <w:r w:rsidRPr="00005453">
              <w:rPr>
                <w:b/>
                <w:bCs/>
                <w:color w:val="000000"/>
                <w:sz w:val="10"/>
                <w:szCs w:val="16"/>
              </w:rPr>
              <w:t>679,900,50</w:t>
            </w:r>
            <w:r w:rsidR="00A9473B" w:rsidRPr="00005453">
              <w:rPr>
                <w:b/>
                <w:bCs/>
                <w:color w:val="000000"/>
                <w:sz w:val="10"/>
                <w:szCs w:val="16"/>
              </w:rPr>
              <w:t>9</w:t>
            </w:r>
          </w:p>
        </w:tc>
      </w:tr>
    </w:tbl>
    <w:p w14:paraId="4919A549" w14:textId="2394D26E" w:rsidR="000A76C0" w:rsidRPr="00005453" w:rsidRDefault="000A76C0" w:rsidP="0054031F">
      <w:pPr>
        <w:rPr>
          <w:sz w:val="10"/>
          <w:szCs w:val="10"/>
          <w:lang w:val="en-GB" w:eastAsia="en-GB"/>
        </w:rPr>
      </w:pPr>
    </w:p>
    <w:bookmarkEnd w:id="30"/>
    <w:p w14:paraId="49FD4FD5" w14:textId="1C986F37" w:rsidR="00474DA6" w:rsidRPr="00005453" w:rsidRDefault="00474DA6" w:rsidP="00054FCD">
      <w:pPr>
        <w:tabs>
          <w:tab w:val="left" w:pos="426"/>
        </w:tabs>
        <w:ind w:left="-1361"/>
        <w:rPr>
          <w:sz w:val="14"/>
          <w:szCs w:val="14"/>
          <w:lang w:eastAsia="zh-CN"/>
        </w:rPr>
      </w:pPr>
      <w:r w:rsidRPr="00005453">
        <w:rPr>
          <w:lang w:eastAsia="zh-CN"/>
        </w:rPr>
        <w:t xml:space="preserve">                           </w:t>
      </w:r>
      <w:r w:rsidRPr="00005453">
        <w:rPr>
          <w:sz w:val="14"/>
          <w:szCs w:val="14"/>
          <w:lang w:eastAsia="zh-CN"/>
        </w:rPr>
        <w:t>(*)</w:t>
      </w:r>
      <w:r w:rsidR="004327BC" w:rsidRPr="00005453">
        <w:rPr>
          <w:sz w:val="14"/>
          <w:szCs w:val="14"/>
          <w:lang w:eastAsia="zh-CN"/>
        </w:rPr>
        <w:t xml:space="preserve"> </w:t>
      </w:r>
      <w:r w:rsidRPr="00005453">
        <w:rPr>
          <w:sz w:val="14"/>
          <w:szCs w:val="14"/>
          <w:lang w:eastAsia="zh-CN"/>
        </w:rPr>
        <w:t>Kredi riski azaltımı öncesi, krediye dönüşüm oranı sonrası risk tutarları verilmiştir.</w:t>
      </w:r>
    </w:p>
    <w:p w14:paraId="7F2E1BCF" w14:textId="48E6459C" w:rsidR="000A76C0" w:rsidRPr="00005453" w:rsidRDefault="000A76C0" w:rsidP="0054031F">
      <w:pPr>
        <w:rPr>
          <w:lang w:eastAsia="en-GB"/>
        </w:rPr>
      </w:pPr>
    </w:p>
    <w:p w14:paraId="457A936D" w14:textId="2619DAA9" w:rsidR="001D65A5" w:rsidRPr="00005453" w:rsidRDefault="001D65A5" w:rsidP="0054031F">
      <w:pPr>
        <w:rPr>
          <w:lang w:eastAsia="zh-CN"/>
        </w:rPr>
      </w:pPr>
    </w:p>
    <w:p w14:paraId="0003748E" w14:textId="77777777" w:rsidR="001D65A5" w:rsidRPr="00005453" w:rsidRDefault="001D65A5" w:rsidP="0054031F">
      <w:pPr>
        <w:rPr>
          <w:lang w:eastAsia="zh-CN"/>
        </w:rPr>
      </w:pPr>
    </w:p>
    <w:p w14:paraId="6329D2A0" w14:textId="7762D888" w:rsidR="000A76C0" w:rsidRPr="00005453" w:rsidRDefault="000A76C0" w:rsidP="0054031F">
      <w:pPr>
        <w:rPr>
          <w:lang w:eastAsia="zh-CN"/>
        </w:rPr>
      </w:pPr>
    </w:p>
    <w:p w14:paraId="00283384" w14:textId="10C52D2D" w:rsidR="0054031F" w:rsidRPr="00005453" w:rsidRDefault="0054031F" w:rsidP="0054031F">
      <w:pPr>
        <w:rPr>
          <w:sz w:val="16"/>
          <w:szCs w:val="16"/>
          <w:lang w:eastAsia="zh-CN"/>
        </w:rPr>
      </w:pPr>
      <w:r w:rsidRPr="00005453">
        <w:rPr>
          <w:sz w:val="14"/>
          <w:szCs w:val="14"/>
          <w:lang w:eastAsia="zh-CN"/>
        </w:rPr>
        <w:t xml:space="preserve"> </w:t>
      </w:r>
    </w:p>
    <w:p w14:paraId="43CFF858" w14:textId="56769D43" w:rsidR="00A42306" w:rsidRPr="00005453" w:rsidRDefault="00F20AF5" w:rsidP="0054031F">
      <w:pPr>
        <w:rPr>
          <w:lang w:eastAsia="en-GB"/>
        </w:rPr>
      </w:pPr>
      <w:r w:rsidRPr="00005453">
        <w:rPr>
          <w:lang w:eastAsia="en-GB"/>
        </w:rPr>
        <w:br w:type="page"/>
      </w:r>
    </w:p>
    <w:tbl>
      <w:tblPr>
        <w:tblW w:w="14836" w:type="dxa"/>
        <w:tblCellMar>
          <w:left w:w="70" w:type="dxa"/>
          <w:right w:w="70" w:type="dxa"/>
        </w:tblCellMar>
        <w:tblLook w:val="04A0" w:firstRow="1" w:lastRow="0" w:firstColumn="1" w:lastColumn="0" w:noHBand="0" w:noVBand="1"/>
      </w:tblPr>
      <w:tblGrid>
        <w:gridCol w:w="733"/>
        <w:gridCol w:w="776"/>
        <w:gridCol w:w="776"/>
        <w:gridCol w:w="727"/>
        <w:gridCol w:w="764"/>
        <w:gridCol w:w="733"/>
        <w:gridCol w:w="703"/>
        <w:gridCol w:w="635"/>
        <w:gridCol w:w="635"/>
        <w:gridCol w:w="947"/>
        <w:gridCol w:w="676"/>
        <w:gridCol w:w="676"/>
        <w:gridCol w:w="562"/>
        <w:gridCol w:w="800"/>
        <w:gridCol w:w="703"/>
        <w:gridCol w:w="697"/>
        <w:gridCol w:w="629"/>
        <w:gridCol w:w="667"/>
        <w:gridCol w:w="667"/>
        <w:gridCol w:w="640"/>
        <w:gridCol w:w="690"/>
      </w:tblGrid>
      <w:tr w:rsidR="00A42306" w:rsidRPr="00005453" w14:paraId="54C3D909" w14:textId="77777777" w:rsidTr="00CC3696">
        <w:trPr>
          <w:divId w:val="224265873"/>
          <w:trHeight w:val="400"/>
        </w:trPr>
        <w:tc>
          <w:tcPr>
            <w:tcW w:w="733" w:type="dxa"/>
            <w:tcBorders>
              <w:top w:val="single" w:sz="8" w:space="0" w:color="auto"/>
              <w:left w:val="nil"/>
              <w:bottom w:val="single" w:sz="8" w:space="0" w:color="auto"/>
              <w:right w:val="nil"/>
            </w:tcBorders>
            <w:shd w:val="clear" w:color="auto" w:fill="auto"/>
            <w:vAlign w:val="center"/>
            <w:hideMark/>
          </w:tcPr>
          <w:p w14:paraId="63C21F8A" w14:textId="505EFAB3" w:rsidR="00A42306" w:rsidRPr="00005453" w:rsidRDefault="00A42306" w:rsidP="00A42306">
            <w:pPr>
              <w:rPr>
                <w:b/>
                <w:bCs/>
                <w:color w:val="000000"/>
                <w:sz w:val="10"/>
                <w:szCs w:val="10"/>
                <w:lang w:eastAsia="tr-TR"/>
              </w:rPr>
            </w:pPr>
            <w:bookmarkStart w:id="31" w:name="_Hlk125289846"/>
            <w:r w:rsidRPr="00005453">
              <w:rPr>
                <w:b/>
                <w:bCs/>
                <w:color w:val="000000"/>
                <w:sz w:val="10"/>
                <w:szCs w:val="10"/>
                <w:lang w:eastAsia="tr-TR"/>
              </w:rPr>
              <w:lastRenderedPageBreak/>
              <w:t>Önceki Dönem</w:t>
            </w:r>
          </w:p>
        </w:tc>
        <w:tc>
          <w:tcPr>
            <w:tcW w:w="776" w:type="dxa"/>
            <w:tcBorders>
              <w:top w:val="single" w:sz="8" w:space="0" w:color="auto"/>
              <w:left w:val="nil"/>
              <w:bottom w:val="single" w:sz="8" w:space="0" w:color="auto"/>
              <w:right w:val="nil"/>
            </w:tcBorders>
            <w:shd w:val="clear" w:color="auto" w:fill="auto"/>
            <w:noWrap/>
            <w:vAlign w:val="center"/>
            <w:hideMark/>
          </w:tcPr>
          <w:p w14:paraId="2940D22B" w14:textId="77777777" w:rsidR="00A42306" w:rsidRPr="00005453" w:rsidRDefault="00A42306" w:rsidP="00A42306">
            <w:pPr>
              <w:jc w:val="right"/>
              <w:rPr>
                <w:color w:val="000000"/>
                <w:sz w:val="10"/>
                <w:szCs w:val="10"/>
                <w:lang w:eastAsia="tr-TR"/>
              </w:rPr>
            </w:pPr>
            <w:r w:rsidRPr="00005453">
              <w:rPr>
                <w:color w:val="000000"/>
                <w:sz w:val="10"/>
                <w:szCs w:val="10"/>
                <w:lang w:eastAsia="tr-TR"/>
              </w:rPr>
              <w:t>Merkezi yönetimlerden veya merkez bankalarından şarta bağlı olan ve olmayan alacaklar</w:t>
            </w:r>
          </w:p>
        </w:tc>
        <w:tc>
          <w:tcPr>
            <w:tcW w:w="776" w:type="dxa"/>
            <w:tcBorders>
              <w:top w:val="single" w:sz="8" w:space="0" w:color="auto"/>
              <w:left w:val="nil"/>
              <w:bottom w:val="single" w:sz="8" w:space="0" w:color="auto"/>
              <w:right w:val="nil"/>
            </w:tcBorders>
            <w:shd w:val="clear" w:color="auto" w:fill="auto"/>
            <w:noWrap/>
            <w:vAlign w:val="center"/>
            <w:hideMark/>
          </w:tcPr>
          <w:p w14:paraId="36CB77B7" w14:textId="77777777" w:rsidR="00A42306" w:rsidRPr="00005453" w:rsidRDefault="00A42306" w:rsidP="00A42306">
            <w:pPr>
              <w:jc w:val="right"/>
              <w:rPr>
                <w:color w:val="000000"/>
                <w:sz w:val="10"/>
                <w:szCs w:val="10"/>
                <w:lang w:eastAsia="tr-TR"/>
              </w:rPr>
            </w:pPr>
            <w:r w:rsidRPr="00005453">
              <w:rPr>
                <w:color w:val="000000"/>
                <w:sz w:val="10"/>
                <w:szCs w:val="10"/>
                <w:lang w:eastAsia="tr-TR"/>
              </w:rPr>
              <w:t>Bölgesel yönetimlerden veya yerel yönetimlerden şarta bağlı olan ve olmayan alacaklar</w:t>
            </w:r>
          </w:p>
        </w:tc>
        <w:tc>
          <w:tcPr>
            <w:tcW w:w="727" w:type="dxa"/>
            <w:tcBorders>
              <w:top w:val="single" w:sz="8" w:space="0" w:color="auto"/>
              <w:left w:val="nil"/>
              <w:bottom w:val="single" w:sz="8" w:space="0" w:color="auto"/>
              <w:right w:val="nil"/>
            </w:tcBorders>
            <w:shd w:val="clear" w:color="auto" w:fill="auto"/>
            <w:noWrap/>
            <w:vAlign w:val="center"/>
            <w:hideMark/>
          </w:tcPr>
          <w:p w14:paraId="36BC74E2" w14:textId="77777777" w:rsidR="00A42306" w:rsidRPr="00005453" w:rsidRDefault="00A42306" w:rsidP="00A42306">
            <w:pPr>
              <w:jc w:val="right"/>
              <w:rPr>
                <w:color w:val="000000"/>
                <w:sz w:val="10"/>
                <w:szCs w:val="10"/>
                <w:lang w:eastAsia="tr-TR"/>
              </w:rPr>
            </w:pPr>
            <w:r w:rsidRPr="00005453">
              <w:rPr>
                <w:color w:val="000000"/>
                <w:sz w:val="10"/>
                <w:szCs w:val="10"/>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center"/>
            <w:hideMark/>
          </w:tcPr>
          <w:p w14:paraId="76DCCDED" w14:textId="77777777" w:rsidR="00A42306" w:rsidRPr="00005453" w:rsidRDefault="00A42306" w:rsidP="00A42306">
            <w:pPr>
              <w:jc w:val="right"/>
              <w:rPr>
                <w:color w:val="000000"/>
                <w:sz w:val="10"/>
                <w:szCs w:val="10"/>
                <w:lang w:eastAsia="tr-TR"/>
              </w:rPr>
            </w:pPr>
            <w:r w:rsidRPr="00005453">
              <w:rPr>
                <w:color w:val="000000"/>
                <w:sz w:val="10"/>
                <w:szCs w:val="10"/>
                <w:lang w:eastAsia="tr-TR"/>
              </w:rPr>
              <w:t>Çok taraflı kalkınma bankalarından şarta bağlı olan ve olmayan alacaklar</w:t>
            </w:r>
          </w:p>
        </w:tc>
        <w:tc>
          <w:tcPr>
            <w:tcW w:w="733" w:type="dxa"/>
            <w:tcBorders>
              <w:top w:val="single" w:sz="8" w:space="0" w:color="auto"/>
              <w:left w:val="nil"/>
              <w:bottom w:val="single" w:sz="8" w:space="0" w:color="auto"/>
              <w:right w:val="nil"/>
            </w:tcBorders>
            <w:shd w:val="clear" w:color="auto" w:fill="auto"/>
            <w:noWrap/>
            <w:vAlign w:val="center"/>
            <w:hideMark/>
          </w:tcPr>
          <w:p w14:paraId="0FD4F669" w14:textId="77777777" w:rsidR="00A42306" w:rsidRPr="00005453" w:rsidRDefault="00A42306" w:rsidP="00A42306">
            <w:pPr>
              <w:jc w:val="right"/>
              <w:rPr>
                <w:color w:val="000000"/>
                <w:sz w:val="10"/>
                <w:szCs w:val="10"/>
                <w:lang w:eastAsia="tr-TR"/>
              </w:rPr>
            </w:pPr>
            <w:r w:rsidRPr="00005453">
              <w:rPr>
                <w:color w:val="000000"/>
                <w:sz w:val="10"/>
                <w:szCs w:val="10"/>
                <w:lang w:eastAsia="tr-TR"/>
              </w:rPr>
              <w:t>Uluslararası teşkilatlardan şarta bağlı olan ve olmayan alacaklar</w:t>
            </w:r>
          </w:p>
        </w:tc>
        <w:tc>
          <w:tcPr>
            <w:tcW w:w="703" w:type="dxa"/>
            <w:tcBorders>
              <w:top w:val="single" w:sz="8" w:space="0" w:color="auto"/>
              <w:left w:val="nil"/>
              <w:bottom w:val="single" w:sz="8" w:space="0" w:color="auto"/>
              <w:right w:val="nil"/>
            </w:tcBorders>
            <w:shd w:val="clear" w:color="auto" w:fill="auto"/>
            <w:noWrap/>
            <w:vAlign w:val="center"/>
            <w:hideMark/>
          </w:tcPr>
          <w:p w14:paraId="77FDD09D" w14:textId="77777777" w:rsidR="00A42306" w:rsidRPr="00005453" w:rsidRDefault="00A42306" w:rsidP="00A42306">
            <w:pPr>
              <w:jc w:val="right"/>
              <w:rPr>
                <w:color w:val="000000"/>
                <w:sz w:val="10"/>
                <w:szCs w:val="10"/>
                <w:lang w:eastAsia="tr-TR"/>
              </w:rPr>
            </w:pPr>
            <w:r w:rsidRPr="00005453">
              <w:rPr>
                <w:color w:val="000000"/>
                <w:sz w:val="10"/>
                <w:szCs w:val="10"/>
                <w:lang w:eastAsia="tr-TR"/>
              </w:rPr>
              <w:t>Bankalar ve aracı kurumlardan şarta bağlı olan ve olmayan alacaklar</w:t>
            </w:r>
          </w:p>
        </w:tc>
        <w:tc>
          <w:tcPr>
            <w:tcW w:w="635" w:type="dxa"/>
            <w:tcBorders>
              <w:top w:val="single" w:sz="8" w:space="0" w:color="auto"/>
              <w:left w:val="nil"/>
              <w:bottom w:val="single" w:sz="8" w:space="0" w:color="auto"/>
              <w:right w:val="nil"/>
            </w:tcBorders>
            <w:shd w:val="clear" w:color="auto" w:fill="auto"/>
            <w:noWrap/>
            <w:vAlign w:val="center"/>
            <w:hideMark/>
          </w:tcPr>
          <w:p w14:paraId="5F391942"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Şarta bağlı olan ve olmayan kurumsal alacaklar </w:t>
            </w:r>
          </w:p>
        </w:tc>
        <w:tc>
          <w:tcPr>
            <w:tcW w:w="635" w:type="dxa"/>
            <w:tcBorders>
              <w:top w:val="single" w:sz="8" w:space="0" w:color="auto"/>
              <w:left w:val="nil"/>
              <w:bottom w:val="single" w:sz="8" w:space="0" w:color="auto"/>
              <w:right w:val="nil"/>
            </w:tcBorders>
            <w:shd w:val="clear" w:color="auto" w:fill="auto"/>
            <w:noWrap/>
            <w:vAlign w:val="center"/>
            <w:hideMark/>
          </w:tcPr>
          <w:p w14:paraId="2C8AED7E"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Şarta bağlı olan ve olmayan perakende alacaklar </w:t>
            </w:r>
          </w:p>
        </w:tc>
        <w:tc>
          <w:tcPr>
            <w:tcW w:w="947" w:type="dxa"/>
            <w:tcBorders>
              <w:top w:val="single" w:sz="8" w:space="0" w:color="auto"/>
              <w:left w:val="nil"/>
              <w:bottom w:val="single" w:sz="8" w:space="0" w:color="auto"/>
              <w:right w:val="nil"/>
            </w:tcBorders>
            <w:shd w:val="clear" w:color="auto" w:fill="auto"/>
            <w:noWrap/>
            <w:vAlign w:val="center"/>
            <w:hideMark/>
          </w:tcPr>
          <w:p w14:paraId="68C5BF8E"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Şarta bağlı olan ve olmayan gayrimenkul ipoteğiyle teminatlandırılmış alacaklar </w:t>
            </w:r>
          </w:p>
        </w:tc>
        <w:tc>
          <w:tcPr>
            <w:tcW w:w="676" w:type="dxa"/>
            <w:tcBorders>
              <w:top w:val="single" w:sz="8" w:space="0" w:color="auto"/>
              <w:left w:val="nil"/>
              <w:bottom w:val="single" w:sz="8" w:space="0" w:color="auto"/>
              <w:right w:val="nil"/>
            </w:tcBorders>
            <w:shd w:val="clear" w:color="auto" w:fill="auto"/>
            <w:noWrap/>
            <w:vAlign w:val="center"/>
            <w:hideMark/>
          </w:tcPr>
          <w:p w14:paraId="0552A10D"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Tahsili gecikmiş alacaklar </w:t>
            </w:r>
          </w:p>
        </w:tc>
        <w:tc>
          <w:tcPr>
            <w:tcW w:w="676" w:type="dxa"/>
            <w:tcBorders>
              <w:top w:val="single" w:sz="8" w:space="0" w:color="auto"/>
              <w:left w:val="nil"/>
              <w:bottom w:val="single" w:sz="8" w:space="0" w:color="auto"/>
              <w:right w:val="nil"/>
            </w:tcBorders>
            <w:shd w:val="clear" w:color="auto" w:fill="auto"/>
            <w:noWrap/>
            <w:vAlign w:val="center"/>
            <w:hideMark/>
          </w:tcPr>
          <w:p w14:paraId="4DF929DE"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Kurulca riski yüksek olarak belirlenen alacaklar </w:t>
            </w:r>
          </w:p>
        </w:tc>
        <w:tc>
          <w:tcPr>
            <w:tcW w:w="562" w:type="dxa"/>
            <w:tcBorders>
              <w:top w:val="single" w:sz="8" w:space="0" w:color="auto"/>
              <w:left w:val="nil"/>
              <w:bottom w:val="single" w:sz="8" w:space="0" w:color="auto"/>
              <w:right w:val="nil"/>
            </w:tcBorders>
            <w:shd w:val="clear" w:color="auto" w:fill="auto"/>
            <w:noWrap/>
            <w:vAlign w:val="center"/>
            <w:hideMark/>
          </w:tcPr>
          <w:p w14:paraId="6AC801B0" w14:textId="61F0AD87" w:rsidR="00A42306" w:rsidRPr="00005453" w:rsidRDefault="00527651" w:rsidP="00A42306">
            <w:pPr>
              <w:jc w:val="right"/>
              <w:rPr>
                <w:color w:val="000000"/>
                <w:sz w:val="10"/>
                <w:szCs w:val="10"/>
                <w:lang w:eastAsia="tr-TR"/>
              </w:rPr>
            </w:pPr>
            <w:r w:rsidRPr="00005453">
              <w:rPr>
                <w:color w:val="000000"/>
                <w:sz w:val="10"/>
                <w:szCs w:val="10"/>
                <w:lang w:eastAsia="tr-TR"/>
              </w:rPr>
              <w:t xml:space="preserve">Teminatlı menkul kıymetler </w:t>
            </w:r>
            <w:r w:rsidR="00A42306" w:rsidRPr="00005453">
              <w:rPr>
                <w:color w:val="000000"/>
                <w:sz w:val="10"/>
                <w:szCs w:val="10"/>
                <w:lang w:eastAsia="tr-TR"/>
              </w:rPr>
              <w:t xml:space="preserve"> </w:t>
            </w:r>
          </w:p>
        </w:tc>
        <w:tc>
          <w:tcPr>
            <w:tcW w:w="800" w:type="dxa"/>
            <w:tcBorders>
              <w:top w:val="single" w:sz="8" w:space="0" w:color="auto"/>
              <w:left w:val="nil"/>
              <w:bottom w:val="single" w:sz="8" w:space="0" w:color="auto"/>
              <w:right w:val="nil"/>
            </w:tcBorders>
            <w:shd w:val="clear" w:color="auto" w:fill="auto"/>
            <w:noWrap/>
            <w:vAlign w:val="center"/>
            <w:hideMark/>
          </w:tcPr>
          <w:p w14:paraId="15F5A730"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Menkul kıymetleştirme pozisyonları </w:t>
            </w:r>
          </w:p>
        </w:tc>
        <w:tc>
          <w:tcPr>
            <w:tcW w:w="703" w:type="dxa"/>
            <w:tcBorders>
              <w:top w:val="single" w:sz="8" w:space="0" w:color="auto"/>
              <w:left w:val="nil"/>
              <w:bottom w:val="single" w:sz="8" w:space="0" w:color="auto"/>
              <w:right w:val="nil"/>
            </w:tcBorders>
            <w:shd w:val="clear" w:color="auto" w:fill="auto"/>
            <w:noWrap/>
            <w:vAlign w:val="center"/>
            <w:hideMark/>
          </w:tcPr>
          <w:p w14:paraId="0C1BA5CC"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Bankalar ve aracı kurumlardan olan kısa vadeli alacaklar ile kısa vadeli kurumsal alacaklar </w:t>
            </w:r>
          </w:p>
        </w:tc>
        <w:tc>
          <w:tcPr>
            <w:tcW w:w="697" w:type="dxa"/>
            <w:tcBorders>
              <w:top w:val="single" w:sz="8" w:space="0" w:color="auto"/>
              <w:left w:val="nil"/>
              <w:bottom w:val="single" w:sz="8" w:space="0" w:color="auto"/>
              <w:right w:val="nil"/>
            </w:tcBorders>
            <w:shd w:val="clear" w:color="auto" w:fill="auto"/>
            <w:noWrap/>
            <w:vAlign w:val="center"/>
            <w:hideMark/>
          </w:tcPr>
          <w:p w14:paraId="1BB42FEB" w14:textId="77777777" w:rsidR="00A42306" w:rsidRPr="00005453" w:rsidRDefault="00A42306" w:rsidP="00A42306">
            <w:pPr>
              <w:jc w:val="right"/>
              <w:rPr>
                <w:color w:val="000000"/>
                <w:sz w:val="10"/>
                <w:szCs w:val="10"/>
                <w:lang w:eastAsia="tr-TR"/>
              </w:rPr>
            </w:pPr>
            <w:r w:rsidRPr="00005453">
              <w:rPr>
                <w:color w:val="000000"/>
                <w:sz w:val="10"/>
                <w:szCs w:val="10"/>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center"/>
            <w:hideMark/>
          </w:tcPr>
          <w:p w14:paraId="6A9F15AC" w14:textId="77777777" w:rsidR="00A42306" w:rsidRPr="00005453" w:rsidRDefault="00A42306" w:rsidP="00A42306">
            <w:pPr>
              <w:jc w:val="right"/>
              <w:rPr>
                <w:color w:val="000000"/>
                <w:sz w:val="10"/>
                <w:szCs w:val="10"/>
                <w:lang w:eastAsia="tr-TR"/>
              </w:rPr>
            </w:pPr>
            <w:r w:rsidRPr="00005453">
              <w:rPr>
                <w:color w:val="000000"/>
                <w:sz w:val="10"/>
                <w:szCs w:val="10"/>
                <w:lang w:eastAsia="tr-TR"/>
              </w:rPr>
              <w:t>Hisse Senedi Yatırımları</w:t>
            </w:r>
          </w:p>
        </w:tc>
        <w:tc>
          <w:tcPr>
            <w:tcW w:w="667" w:type="dxa"/>
            <w:tcBorders>
              <w:top w:val="single" w:sz="8" w:space="0" w:color="auto"/>
              <w:left w:val="nil"/>
              <w:bottom w:val="single" w:sz="8" w:space="0" w:color="auto"/>
              <w:right w:val="nil"/>
            </w:tcBorders>
            <w:shd w:val="clear" w:color="auto" w:fill="auto"/>
            <w:noWrap/>
            <w:vAlign w:val="center"/>
            <w:hideMark/>
          </w:tcPr>
          <w:p w14:paraId="740F5660" w14:textId="77777777" w:rsidR="00A42306" w:rsidRPr="00005453" w:rsidRDefault="00A42306" w:rsidP="00A42306">
            <w:pPr>
              <w:jc w:val="right"/>
              <w:rPr>
                <w:color w:val="000000"/>
                <w:sz w:val="10"/>
                <w:szCs w:val="10"/>
                <w:lang w:eastAsia="tr-TR"/>
              </w:rPr>
            </w:pPr>
            <w:r w:rsidRPr="00005453">
              <w:rPr>
                <w:color w:val="000000"/>
                <w:sz w:val="10"/>
                <w:szCs w:val="10"/>
                <w:lang w:eastAsia="tr-TR"/>
              </w:rPr>
              <w:t xml:space="preserve">Diğer Alacaklar </w:t>
            </w:r>
          </w:p>
        </w:tc>
        <w:tc>
          <w:tcPr>
            <w:tcW w:w="667" w:type="dxa"/>
            <w:tcBorders>
              <w:top w:val="single" w:sz="8" w:space="0" w:color="auto"/>
              <w:left w:val="nil"/>
              <w:bottom w:val="single" w:sz="8" w:space="0" w:color="auto"/>
              <w:right w:val="nil"/>
            </w:tcBorders>
            <w:shd w:val="clear" w:color="auto" w:fill="auto"/>
            <w:noWrap/>
            <w:vAlign w:val="center"/>
            <w:hideMark/>
          </w:tcPr>
          <w:p w14:paraId="0B719A7D" w14:textId="77777777" w:rsidR="00A42306" w:rsidRPr="00005453" w:rsidRDefault="00A42306" w:rsidP="00A42306">
            <w:pPr>
              <w:jc w:val="right"/>
              <w:rPr>
                <w:b/>
                <w:bCs/>
                <w:color w:val="000000"/>
                <w:sz w:val="10"/>
                <w:szCs w:val="10"/>
                <w:lang w:eastAsia="tr-TR"/>
              </w:rPr>
            </w:pPr>
            <w:r w:rsidRPr="00005453">
              <w:rPr>
                <w:b/>
                <w:bCs/>
                <w:color w:val="000000"/>
                <w:sz w:val="10"/>
                <w:szCs w:val="10"/>
                <w:lang w:eastAsia="tr-TR"/>
              </w:rPr>
              <w:t xml:space="preserve">TP </w:t>
            </w:r>
          </w:p>
        </w:tc>
        <w:tc>
          <w:tcPr>
            <w:tcW w:w="640" w:type="dxa"/>
            <w:tcBorders>
              <w:top w:val="single" w:sz="8" w:space="0" w:color="auto"/>
              <w:left w:val="nil"/>
              <w:bottom w:val="single" w:sz="8" w:space="0" w:color="auto"/>
              <w:right w:val="nil"/>
            </w:tcBorders>
            <w:shd w:val="clear" w:color="auto" w:fill="auto"/>
            <w:noWrap/>
            <w:vAlign w:val="center"/>
            <w:hideMark/>
          </w:tcPr>
          <w:p w14:paraId="20405965" w14:textId="77777777" w:rsidR="00A42306" w:rsidRPr="00005453" w:rsidRDefault="00A42306" w:rsidP="00A42306">
            <w:pPr>
              <w:jc w:val="right"/>
              <w:rPr>
                <w:b/>
                <w:bCs/>
                <w:color w:val="000000"/>
                <w:sz w:val="10"/>
                <w:szCs w:val="10"/>
                <w:lang w:eastAsia="tr-TR"/>
              </w:rPr>
            </w:pPr>
            <w:r w:rsidRPr="00005453">
              <w:rPr>
                <w:b/>
                <w:bCs/>
                <w:color w:val="000000"/>
                <w:sz w:val="10"/>
                <w:szCs w:val="10"/>
                <w:lang w:eastAsia="tr-TR"/>
              </w:rPr>
              <w:t xml:space="preserve">YP </w:t>
            </w:r>
          </w:p>
        </w:tc>
        <w:tc>
          <w:tcPr>
            <w:tcW w:w="690" w:type="dxa"/>
            <w:tcBorders>
              <w:top w:val="single" w:sz="8" w:space="0" w:color="auto"/>
              <w:left w:val="nil"/>
              <w:bottom w:val="single" w:sz="8" w:space="0" w:color="auto"/>
              <w:right w:val="nil"/>
            </w:tcBorders>
            <w:shd w:val="clear" w:color="auto" w:fill="auto"/>
            <w:noWrap/>
            <w:vAlign w:val="center"/>
            <w:hideMark/>
          </w:tcPr>
          <w:p w14:paraId="5FB24311" w14:textId="77777777" w:rsidR="00A42306" w:rsidRPr="00005453" w:rsidRDefault="00A42306" w:rsidP="00A42306">
            <w:pPr>
              <w:jc w:val="right"/>
              <w:rPr>
                <w:b/>
                <w:bCs/>
                <w:color w:val="000000"/>
                <w:sz w:val="10"/>
                <w:szCs w:val="10"/>
                <w:lang w:eastAsia="tr-TR"/>
              </w:rPr>
            </w:pPr>
            <w:proofErr w:type="gramStart"/>
            <w:r w:rsidRPr="00005453">
              <w:rPr>
                <w:b/>
                <w:bCs/>
                <w:color w:val="000000"/>
                <w:sz w:val="10"/>
                <w:szCs w:val="10"/>
                <w:lang w:eastAsia="tr-TR"/>
              </w:rPr>
              <w:t>Toplam(</w:t>
            </w:r>
            <w:proofErr w:type="gramEnd"/>
            <w:r w:rsidRPr="00005453">
              <w:rPr>
                <w:b/>
                <w:bCs/>
                <w:color w:val="000000"/>
                <w:sz w:val="10"/>
                <w:szCs w:val="10"/>
                <w:lang w:eastAsia="tr-TR"/>
              </w:rPr>
              <w:t xml:space="preserve">*) </w:t>
            </w:r>
          </w:p>
        </w:tc>
      </w:tr>
      <w:tr w:rsidR="0080138C" w:rsidRPr="00005453" w14:paraId="5DB16F28" w14:textId="77777777" w:rsidTr="0080138C">
        <w:trPr>
          <w:divId w:val="224265873"/>
          <w:trHeight w:val="199"/>
        </w:trPr>
        <w:tc>
          <w:tcPr>
            <w:tcW w:w="733" w:type="dxa"/>
            <w:tcBorders>
              <w:top w:val="nil"/>
              <w:left w:val="nil"/>
              <w:bottom w:val="nil"/>
              <w:right w:val="nil"/>
            </w:tcBorders>
            <w:shd w:val="clear" w:color="auto" w:fill="auto"/>
            <w:hideMark/>
          </w:tcPr>
          <w:p w14:paraId="786A23C1" w14:textId="77777777" w:rsidR="0080138C" w:rsidRPr="00005453" w:rsidRDefault="0080138C" w:rsidP="0080138C">
            <w:pPr>
              <w:rPr>
                <w:b/>
                <w:bCs/>
                <w:color w:val="000000"/>
                <w:sz w:val="10"/>
                <w:szCs w:val="10"/>
                <w:lang w:eastAsia="tr-TR"/>
              </w:rPr>
            </w:pPr>
            <w:r w:rsidRPr="00005453">
              <w:rPr>
                <w:b/>
                <w:bCs/>
                <w:color w:val="000000"/>
                <w:sz w:val="10"/>
                <w:szCs w:val="10"/>
                <w:lang w:eastAsia="tr-TR"/>
              </w:rPr>
              <w:t>Tarım</w:t>
            </w:r>
          </w:p>
        </w:tc>
        <w:tc>
          <w:tcPr>
            <w:tcW w:w="776" w:type="dxa"/>
            <w:tcBorders>
              <w:top w:val="nil"/>
              <w:left w:val="nil"/>
              <w:bottom w:val="nil"/>
              <w:right w:val="nil"/>
            </w:tcBorders>
            <w:shd w:val="clear" w:color="auto" w:fill="auto"/>
            <w:vAlign w:val="center"/>
            <w:hideMark/>
          </w:tcPr>
          <w:p w14:paraId="1AEA9C20" w14:textId="55B99FB6"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76" w:type="dxa"/>
            <w:tcBorders>
              <w:top w:val="nil"/>
              <w:left w:val="nil"/>
              <w:bottom w:val="nil"/>
              <w:right w:val="nil"/>
            </w:tcBorders>
            <w:shd w:val="clear" w:color="auto" w:fill="auto"/>
            <w:vAlign w:val="center"/>
            <w:hideMark/>
          </w:tcPr>
          <w:p w14:paraId="35743897" w14:textId="6782828B" w:rsidR="0080138C" w:rsidRPr="00005453" w:rsidRDefault="0080138C" w:rsidP="0080138C">
            <w:pPr>
              <w:jc w:val="right"/>
              <w:rPr>
                <w:color w:val="000000"/>
                <w:sz w:val="10"/>
                <w:szCs w:val="10"/>
                <w:lang w:eastAsia="tr-TR"/>
              </w:rPr>
            </w:pPr>
            <w:r w:rsidRPr="00005453">
              <w:rPr>
                <w:b/>
                <w:color w:val="000000"/>
                <w:sz w:val="10"/>
                <w:szCs w:val="10"/>
              </w:rPr>
              <w:t>-</w:t>
            </w:r>
          </w:p>
        </w:tc>
        <w:tc>
          <w:tcPr>
            <w:tcW w:w="727" w:type="dxa"/>
            <w:tcBorders>
              <w:top w:val="nil"/>
              <w:left w:val="nil"/>
              <w:bottom w:val="nil"/>
              <w:right w:val="nil"/>
            </w:tcBorders>
            <w:shd w:val="clear" w:color="auto" w:fill="auto"/>
            <w:vAlign w:val="center"/>
            <w:hideMark/>
          </w:tcPr>
          <w:p w14:paraId="46ABBED7" w14:textId="18AC6297" w:rsidR="0080138C" w:rsidRPr="00005453" w:rsidRDefault="0080138C" w:rsidP="0080138C">
            <w:pPr>
              <w:jc w:val="right"/>
              <w:rPr>
                <w:color w:val="000000"/>
                <w:sz w:val="10"/>
                <w:szCs w:val="10"/>
                <w:lang w:eastAsia="tr-TR"/>
              </w:rPr>
            </w:pPr>
            <w:r w:rsidRPr="00005453">
              <w:rPr>
                <w:b/>
                <w:color w:val="000000"/>
                <w:sz w:val="10"/>
                <w:szCs w:val="10"/>
              </w:rPr>
              <w:t>-</w:t>
            </w:r>
          </w:p>
        </w:tc>
        <w:tc>
          <w:tcPr>
            <w:tcW w:w="764" w:type="dxa"/>
            <w:tcBorders>
              <w:top w:val="nil"/>
              <w:left w:val="nil"/>
              <w:bottom w:val="nil"/>
              <w:right w:val="nil"/>
            </w:tcBorders>
            <w:shd w:val="clear" w:color="auto" w:fill="auto"/>
            <w:vAlign w:val="center"/>
            <w:hideMark/>
          </w:tcPr>
          <w:p w14:paraId="45C50A9B" w14:textId="7A3640B9" w:rsidR="0080138C" w:rsidRPr="00005453" w:rsidRDefault="0080138C" w:rsidP="0080138C">
            <w:pPr>
              <w:jc w:val="right"/>
              <w:rPr>
                <w:color w:val="000000"/>
                <w:sz w:val="10"/>
                <w:szCs w:val="10"/>
                <w:lang w:eastAsia="tr-TR"/>
              </w:rPr>
            </w:pPr>
            <w:r w:rsidRPr="00005453">
              <w:rPr>
                <w:b/>
                <w:color w:val="000000"/>
                <w:sz w:val="10"/>
                <w:szCs w:val="10"/>
              </w:rPr>
              <w:t>-</w:t>
            </w:r>
          </w:p>
        </w:tc>
        <w:tc>
          <w:tcPr>
            <w:tcW w:w="733" w:type="dxa"/>
            <w:tcBorders>
              <w:top w:val="nil"/>
              <w:left w:val="nil"/>
              <w:bottom w:val="nil"/>
              <w:right w:val="nil"/>
            </w:tcBorders>
            <w:shd w:val="clear" w:color="auto" w:fill="auto"/>
            <w:vAlign w:val="center"/>
            <w:hideMark/>
          </w:tcPr>
          <w:p w14:paraId="3334C79B" w14:textId="478C1394" w:rsidR="0080138C" w:rsidRPr="00005453" w:rsidRDefault="0080138C" w:rsidP="0080138C">
            <w:pPr>
              <w:jc w:val="right"/>
              <w:rPr>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0ADA6359" w14:textId="6B6E3E8F" w:rsidR="0080138C" w:rsidRPr="00005453" w:rsidRDefault="0080138C" w:rsidP="0080138C">
            <w:pPr>
              <w:jc w:val="right"/>
              <w:rPr>
                <w:color w:val="000000"/>
                <w:sz w:val="10"/>
                <w:szCs w:val="10"/>
                <w:lang w:eastAsia="tr-TR"/>
              </w:rPr>
            </w:pPr>
            <w:r w:rsidRPr="00005453">
              <w:rPr>
                <w:b/>
                <w:color w:val="000000"/>
                <w:sz w:val="10"/>
                <w:szCs w:val="10"/>
              </w:rPr>
              <w:t>-</w:t>
            </w:r>
          </w:p>
        </w:tc>
        <w:tc>
          <w:tcPr>
            <w:tcW w:w="635" w:type="dxa"/>
            <w:tcBorders>
              <w:top w:val="nil"/>
              <w:left w:val="nil"/>
              <w:bottom w:val="nil"/>
              <w:right w:val="nil"/>
            </w:tcBorders>
            <w:shd w:val="clear" w:color="auto" w:fill="auto"/>
            <w:vAlign w:val="center"/>
            <w:hideMark/>
          </w:tcPr>
          <w:p w14:paraId="7721FF3B" w14:textId="10ADBFD2" w:rsidR="0080138C" w:rsidRPr="00005453" w:rsidRDefault="0080138C" w:rsidP="0080138C">
            <w:pPr>
              <w:jc w:val="right"/>
              <w:rPr>
                <w:b/>
                <w:bCs/>
                <w:color w:val="000000"/>
                <w:sz w:val="10"/>
                <w:szCs w:val="10"/>
                <w:lang w:eastAsia="tr-TR"/>
              </w:rPr>
            </w:pPr>
            <w:r w:rsidRPr="00005453">
              <w:rPr>
                <w:b/>
                <w:color w:val="000000"/>
                <w:sz w:val="10"/>
                <w:szCs w:val="10"/>
              </w:rPr>
              <w:t>1,376,737</w:t>
            </w:r>
          </w:p>
        </w:tc>
        <w:tc>
          <w:tcPr>
            <w:tcW w:w="635" w:type="dxa"/>
            <w:tcBorders>
              <w:top w:val="nil"/>
              <w:left w:val="nil"/>
              <w:bottom w:val="nil"/>
              <w:right w:val="nil"/>
            </w:tcBorders>
            <w:shd w:val="clear" w:color="auto" w:fill="auto"/>
            <w:vAlign w:val="center"/>
            <w:hideMark/>
          </w:tcPr>
          <w:p w14:paraId="6E497996" w14:textId="6792CC0C" w:rsidR="0080138C" w:rsidRPr="00005453" w:rsidRDefault="0080138C" w:rsidP="0080138C">
            <w:pPr>
              <w:jc w:val="right"/>
              <w:rPr>
                <w:b/>
                <w:bCs/>
                <w:color w:val="000000"/>
                <w:sz w:val="10"/>
                <w:szCs w:val="10"/>
                <w:lang w:eastAsia="tr-TR"/>
              </w:rPr>
            </w:pPr>
            <w:r w:rsidRPr="00005453">
              <w:rPr>
                <w:b/>
                <w:color w:val="000000"/>
                <w:sz w:val="10"/>
                <w:szCs w:val="10"/>
              </w:rPr>
              <w:t>710,141</w:t>
            </w:r>
          </w:p>
        </w:tc>
        <w:tc>
          <w:tcPr>
            <w:tcW w:w="947" w:type="dxa"/>
            <w:tcBorders>
              <w:top w:val="nil"/>
              <w:left w:val="nil"/>
              <w:bottom w:val="nil"/>
              <w:right w:val="nil"/>
            </w:tcBorders>
            <w:shd w:val="clear" w:color="auto" w:fill="auto"/>
            <w:vAlign w:val="center"/>
            <w:hideMark/>
          </w:tcPr>
          <w:p w14:paraId="13CA52C6" w14:textId="04925D10" w:rsidR="0080138C" w:rsidRPr="00005453" w:rsidRDefault="0080138C" w:rsidP="0080138C">
            <w:pPr>
              <w:jc w:val="right"/>
              <w:rPr>
                <w:b/>
                <w:bCs/>
                <w:color w:val="000000"/>
                <w:sz w:val="10"/>
                <w:szCs w:val="10"/>
                <w:lang w:eastAsia="tr-TR"/>
              </w:rPr>
            </w:pPr>
            <w:r w:rsidRPr="00005453">
              <w:rPr>
                <w:b/>
                <w:color w:val="000000"/>
                <w:sz w:val="10"/>
                <w:szCs w:val="10"/>
              </w:rPr>
              <w:t>1,184,375</w:t>
            </w:r>
          </w:p>
        </w:tc>
        <w:tc>
          <w:tcPr>
            <w:tcW w:w="676" w:type="dxa"/>
            <w:tcBorders>
              <w:top w:val="nil"/>
              <w:left w:val="nil"/>
              <w:bottom w:val="nil"/>
              <w:right w:val="nil"/>
            </w:tcBorders>
            <w:shd w:val="clear" w:color="auto" w:fill="auto"/>
            <w:vAlign w:val="center"/>
            <w:hideMark/>
          </w:tcPr>
          <w:p w14:paraId="53D64354" w14:textId="36623C9B" w:rsidR="0080138C" w:rsidRPr="00005453" w:rsidRDefault="0080138C" w:rsidP="0080138C">
            <w:pPr>
              <w:jc w:val="right"/>
              <w:rPr>
                <w:b/>
                <w:bCs/>
                <w:color w:val="000000"/>
                <w:sz w:val="10"/>
                <w:szCs w:val="10"/>
                <w:lang w:eastAsia="tr-TR"/>
              </w:rPr>
            </w:pPr>
            <w:r w:rsidRPr="00005453">
              <w:rPr>
                <w:b/>
                <w:color w:val="000000"/>
                <w:sz w:val="10"/>
                <w:szCs w:val="10"/>
              </w:rPr>
              <w:t>552</w:t>
            </w:r>
          </w:p>
        </w:tc>
        <w:tc>
          <w:tcPr>
            <w:tcW w:w="676" w:type="dxa"/>
            <w:tcBorders>
              <w:top w:val="nil"/>
              <w:left w:val="nil"/>
              <w:bottom w:val="nil"/>
              <w:right w:val="nil"/>
            </w:tcBorders>
            <w:shd w:val="clear" w:color="auto" w:fill="auto"/>
            <w:vAlign w:val="center"/>
            <w:hideMark/>
          </w:tcPr>
          <w:p w14:paraId="5DE1DFB4" w14:textId="4FD7E05F" w:rsidR="0080138C" w:rsidRPr="00005453" w:rsidRDefault="0080138C" w:rsidP="0080138C">
            <w:pPr>
              <w:jc w:val="right"/>
              <w:rPr>
                <w:b/>
                <w:bCs/>
                <w:color w:val="000000"/>
                <w:sz w:val="10"/>
                <w:szCs w:val="10"/>
                <w:lang w:eastAsia="tr-TR"/>
              </w:rPr>
            </w:pPr>
            <w:r w:rsidRPr="00005453">
              <w:rPr>
                <w:b/>
                <w:color w:val="000000"/>
                <w:sz w:val="10"/>
                <w:szCs w:val="10"/>
              </w:rPr>
              <w:t>526,499</w:t>
            </w:r>
          </w:p>
        </w:tc>
        <w:tc>
          <w:tcPr>
            <w:tcW w:w="562" w:type="dxa"/>
            <w:tcBorders>
              <w:top w:val="nil"/>
              <w:left w:val="nil"/>
              <w:bottom w:val="nil"/>
              <w:right w:val="nil"/>
            </w:tcBorders>
            <w:shd w:val="clear" w:color="auto" w:fill="auto"/>
            <w:vAlign w:val="center"/>
            <w:hideMark/>
          </w:tcPr>
          <w:p w14:paraId="3D4FF5B3" w14:textId="2C7590F4"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800" w:type="dxa"/>
            <w:tcBorders>
              <w:top w:val="nil"/>
              <w:left w:val="nil"/>
              <w:bottom w:val="nil"/>
              <w:right w:val="nil"/>
            </w:tcBorders>
            <w:shd w:val="clear" w:color="auto" w:fill="auto"/>
            <w:vAlign w:val="center"/>
            <w:hideMark/>
          </w:tcPr>
          <w:p w14:paraId="3F91B0CA" w14:textId="70E94657"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53380A47" w14:textId="6BCA0690"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97" w:type="dxa"/>
            <w:tcBorders>
              <w:top w:val="nil"/>
              <w:left w:val="nil"/>
              <w:bottom w:val="nil"/>
              <w:right w:val="nil"/>
            </w:tcBorders>
            <w:shd w:val="clear" w:color="auto" w:fill="auto"/>
            <w:vAlign w:val="center"/>
            <w:hideMark/>
          </w:tcPr>
          <w:p w14:paraId="27EF17EB" w14:textId="59144687"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29" w:type="dxa"/>
            <w:tcBorders>
              <w:top w:val="nil"/>
              <w:left w:val="nil"/>
              <w:bottom w:val="nil"/>
              <w:right w:val="nil"/>
            </w:tcBorders>
            <w:shd w:val="clear" w:color="auto" w:fill="auto"/>
            <w:vAlign w:val="center"/>
            <w:hideMark/>
          </w:tcPr>
          <w:p w14:paraId="1A7548D9" w14:textId="0B12EFBC"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67" w:type="dxa"/>
            <w:tcBorders>
              <w:top w:val="nil"/>
              <w:left w:val="nil"/>
              <w:bottom w:val="nil"/>
              <w:right w:val="nil"/>
            </w:tcBorders>
            <w:shd w:val="clear" w:color="auto" w:fill="auto"/>
            <w:vAlign w:val="center"/>
            <w:hideMark/>
          </w:tcPr>
          <w:p w14:paraId="20786255" w14:textId="2C1BA263" w:rsidR="0080138C" w:rsidRPr="00005453" w:rsidRDefault="0080138C" w:rsidP="0080138C">
            <w:pPr>
              <w:jc w:val="right"/>
              <w:rPr>
                <w:b/>
                <w:bCs/>
                <w:color w:val="000000"/>
                <w:sz w:val="10"/>
                <w:szCs w:val="10"/>
                <w:lang w:eastAsia="tr-TR"/>
              </w:rPr>
            </w:pPr>
            <w:r w:rsidRPr="00005453">
              <w:rPr>
                <w:b/>
                <w:color w:val="000000"/>
                <w:sz w:val="10"/>
                <w:szCs w:val="10"/>
              </w:rPr>
              <w:t>1,500</w:t>
            </w:r>
          </w:p>
        </w:tc>
        <w:tc>
          <w:tcPr>
            <w:tcW w:w="667" w:type="dxa"/>
            <w:tcBorders>
              <w:top w:val="nil"/>
              <w:left w:val="nil"/>
              <w:bottom w:val="nil"/>
              <w:right w:val="nil"/>
            </w:tcBorders>
            <w:shd w:val="clear" w:color="auto" w:fill="auto"/>
            <w:vAlign w:val="center"/>
            <w:hideMark/>
          </w:tcPr>
          <w:p w14:paraId="456124E1" w14:textId="7205891B" w:rsidR="0080138C" w:rsidRPr="00005453" w:rsidRDefault="0080138C" w:rsidP="0080138C">
            <w:pPr>
              <w:jc w:val="right"/>
              <w:rPr>
                <w:b/>
                <w:bCs/>
                <w:color w:val="000000"/>
                <w:sz w:val="10"/>
                <w:szCs w:val="10"/>
                <w:lang w:eastAsia="tr-TR"/>
              </w:rPr>
            </w:pPr>
            <w:r w:rsidRPr="00005453">
              <w:rPr>
                <w:b/>
                <w:color w:val="000000"/>
                <w:sz w:val="10"/>
                <w:szCs w:val="10"/>
              </w:rPr>
              <w:t>2,595,172</w:t>
            </w:r>
          </w:p>
        </w:tc>
        <w:tc>
          <w:tcPr>
            <w:tcW w:w="640" w:type="dxa"/>
            <w:tcBorders>
              <w:top w:val="nil"/>
              <w:left w:val="nil"/>
              <w:bottom w:val="nil"/>
              <w:right w:val="nil"/>
            </w:tcBorders>
            <w:shd w:val="clear" w:color="auto" w:fill="auto"/>
            <w:vAlign w:val="center"/>
            <w:hideMark/>
          </w:tcPr>
          <w:p w14:paraId="3AD0A8F3" w14:textId="4AA6DBDF" w:rsidR="0080138C" w:rsidRPr="00005453" w:rsidRDefault="0080138C" w:rsidP="0080138C">
            <w:pPr>
              <w:jc w:val="right"/>
              <w:rPr>
                <w:b/>
                <w:bCs/>
                <w:color w:val="000000"/>
                <w:sz w:val="10"/>
                <w:szCs w:val="10"/>
                <w:lang w:eastAsia="tr-TR"/>
              </w:rPr>
            </w:pPr>
            <w:r w:rsidRPr="00005453">
              <w:rPr>
                <w:b/>
                <w:color w:val="000000"/>
                <w:sz w:val="10"/>
                <w:szCs w:val="10"/>
              </w:rPr>
              <w:t>1,204,632</w:t>
            </w:r>
          </w:p>
        </w:tc>
        <w:tc>
          <w:tcPr>
            <w:tcW w:w="690" w:type="dxa"/>
            <w:tcBorders>
              <w:top w:val="nil"/>
              <w:left w:val="nil"/>
              <w:bottom w:val="nil"/>
              <w:right w:val="nil"/>
            </w:tcBorders>
            <w:shd w:val="clear" w:color="auto" w:fill="auto"/>
            <w:vAlign w:val="center"/>
            <w:hideMark/>
          </w:tcPr>
          <w:p w14:paraId="71EE4A9D" w14:textId="089A5CD5" w:rsidR="0080138C" w:rsidRPr="00005453" w:rsidRDefault="0080138C" w:rsidP="0080138C">
            <w:pPr>
              <w:jc w:val="right"/>
              <w:rPr>
                <w:b/>
                <w:bCs/>
                <w:color w:val="000000"/>
                <w:sz w:val="10"/>
                <w:szCs w:val="10"/>
                <w:lang w:eastAsia="tr-TR"/>
              </w:rPr>
            </w:pPr>
            <w:r w:rsidRPr="00005453">
              <w:rPr>
                <w:b/>
                <w:color w:val="000000"/>
                <w:sz w:val="10"/>
                <w:szCs w:val="10"/>
              </w:rPr>
              <w:t>3,799,804</w:t>
            </w:r>
          </w:p>
        </w:tc>
      </w:tr>
      <w:tr w:rsidR="0080138C" w:rsidRPr="00005453" w14:paraId="3BD9FC6A" w14:textId="77777777" w:rsidTr="0080138C">
        <w:trPr>
          <w:divId w:val="224265873"/>
          <w:trHeight w:val="199"/>
        </w:trPr>
        <w:tc>
          <w:tcPr>
            <w:tcW w:w="733" w:type="dxa"/>
            <w:tcBorders>
              <w:top w:val="nil"/>
              <w:left w:val="nil"/>
              <w:bottom w:val="nil"/>
              <w:right w:val="nil"/>
            </w:tcBorders>
            <w:shd w:val="clear" w:color="auto" w:fill="auto"/>
            <w:noWrap/>
            <w:hideMark/>
          </w:tcPr>
          <w:p w14:paraId="7B0230C3" w14:textId="77777777" w:rsidR="0080138C" w:rsidRPr="00005453" w:rsidRDefault="0080138C" w:rsidP="0080138C">
            <w:pPr>
              <w:rPr>
                <w:color w:val="000000"/>
                <w:sz w:val="10"/>
                <w:szCs w:val="10"/>
                <w:lang w:eastAsia="tr-TR"/>
              </w:rPr>
            </w:pPr>
            <w:r w:rsidRPr="00005453">
              <w:rPr>
                <w:color w:val="000000"/>
                <w:sz w:val="10"/>
                <w:szCs w:val="10"/>
                <w:lang w:eastAsia="tr-TR"/>
              </w:rPr>
              <w:t xml:space="preserve">Çiftçilik ve Hayvancılık </w:t>
            </w:r>
          </w:p>
        </w:tc>
        <w:tc>
          <w:tcPr>
            <w:tcW w:w="776" w:type="dxa"/>
            <w:tcBorders>
              <w:top w:val="nil"/>
              <w:left w:val="nil"/>
              <w:bottom w:val="nil"/>
              <w:right w:val="nil"/>
            </w:tcBorders>
            <w:shd w:val="clear" w:color="auto" w:fill="auto"/>
            <w:vAlign w:val="center"/>
            <w:hideMark/>
          </w:tcPr>
          <w:p w14:paraId="1E15A3E0" w14:textId="735D1798" w:rsidR="0080138C" w:rsidRPr="00005453" w:rsidRDefault="0080138C" w:rsidP="0080138C">
            <w:pPr>
              <w:jc w:val="right"/>
              <w:rPr>
                <w:b/>
                <w:bCs/>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3F3C85BE" w14:textId="395D0D29"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0FE39ACD" w14:textId="318E22EE"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29B6569B" w14:textId="60C192A8"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5325519F" w14:textId="6FAFFE41"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59B92E61" w14:textId="70E420B1"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3035357A" w14:textId="43AFE4F6" w:rsidR="0080138C" w:rsidRPr="00005453" w:rsidRDefault="0080138C" w:rsidP="0080138C">
            <w:pPr>
              <w:jc w:val="right"/>
              <w:rPr>
                <w:color w:val="000000"/>
                <w:sz w:val="10"/>
                <w:szCs w:val="10"/>
                <w:lang w:eastAsia="tr-TR"/>
              </w:rPr>
            </w:pPr>
            <w:r w:rsidRPr="00005453">
              <w:rPr>
                <w:color w:val="000000"/>
                <w:sz w:val="10"/>
                <w:szCs w:val="10"/>
              </w:rPr>
              <w:t>843,673</w:t>
            </w:r>
          </w:p>
        </w:tc>
        <w:tc>
          <w:tcPr>
            <w:tcW w:w="635" w:type="dxa"/>
            <w:tcBorders>
              <w:top w:val="nil"/>
              <w:left w:val="nil"/>
              <w:bottom w:val="nil"/>
              <w:right w:val="nil"/>
            </w:tcBorders>
            <w:shd w:val="clear" w:color="auto" w:fill="auto"/>
            <w:vAlign w:val="center"/>
            <w:hideMark/>
          </w:tcPr>
          <w:p w14:paraId="045154ED" w14:textId="779FDA3C" w:rsidR="0080138C" w:rsidRPr="00005453" w:rsidRDefault="0080138C" w:rsidP="0080138C">
            <w:pPr>
              <w:jc w:val="right"/>
              <w:rPr>
                <w:color w:val="000000"/>
                <w:sz w:val="10"/>
                <w:szCs w:val="10"/>
                <w:lang w:eastAsia="tr-TR"/>
              </w:rPr>
            </w:pPr>
            <w:r w:rsidRPr="00005453">
              <w:rPr>
                <w:color w:val="000000"/>
                <w:sz w:val="10"/>
                <w:szCs w:val="10"/>
              </w:rPr>
              <w:t>452,453</w:t>
            </w:r>
          </w:p>
        </w:tc>
        <w:tc>
          <w:tcPr>
            <w:tcW w:w="947" w:type="dxa"/>
            <w:tcBorders>
              <w:top w:val="nil"/>
              <w:left w:val="nil"/>
              <w:bottom w:val="nil"/>
              <w:right w:val="nil"/>
            </w:tcBorders>
            <w:shd w:val="clear" w:color="auto" w:fill="auto"/>
            <w:vAlign w:val="center"/>
            <w:hideMark/>
          </w:tcPr>
          <w:p w14:paraId="3F33C623" w14:textId="4D407597" w:rsidR="0080138C" w:rsidRPr="00005453" w:rsidRDefault="0080138C" w:rsidP="0080138C">
            <w:pPr>
              <w:jc w:val="right"/>
              <w:rPr>
                <w:color w:val="000000"/>
                <w:sz w:val="10"/>
                <w:szCs w:val="10"/>
                <w:lang w:eastAsia="tr-TR"/>
              </w:rPr>
            </w:pPr>
            <w:r w:rsidRPr="00005453">
              <w:rPr>
                <w:color w:val="000000"/>
                <w:sz w:val="10"/>
                <w:szCs w:val="10"/>
              </w:rPr>
              <w:t>998,489</w:t>
            </w:r>
          </w:p>
        </w:tc>
        <w:tc>
          <w:tcPr>
            <w:tcW w:w="676" w:type="dxa"/>
            <w:tcBorders>
              <w:top w:val="nil"/>
              <w:left w:val="nil"/>
              <w:bottom w:val="nil"/>
              <w:right w:val="nil"/>
            </w:tcBorders>
            <w:shd w:val="clear" w:color="auto" w:fill="auto"/>
            <w:vAlign w:val="center"/>
            <w:hideMark/>
          </w:tcPr>
          <w:p w14:paraId="404515D7" w14:textId="448E088D" w:rsidR="0080138C" w:rsidRPr="00005453" w:rsidRDefault="0080138C" w:rsidP="0080138C">
            <w:pPr>
              <w:jc w:val="right"/>
              <w:rPr>
                <w:color w:val="000000"/>
                <w:sz w:val="10"/>
                <w:szCs w:val="10"/>
                <w:lang w:eastAsia="tr-TR"/>
              </w:rPr>
            </w:pPr>
            <w:r w:rsidRPr="00005453">
              <w:rPr>
                <w:color w:val="000000"/>
                <w:sz w:val="10"/>
                <w:szCs w:val="10"/>
              </w:rPr>
              <w:t>422</w:t>
            </w:r>
          </w:p>
        </w:tc>
        <w:tc>
          <w:tcPr>
            <w:tcW w:w="676" w:type="dxa"/>
            <w:tcBorders>
              <w:top w:val="nil"/>
              <w:left w:val="nil"/>
              <w:bottom w:val="nil"/>
              <w:right w:val="nil"/>
            </w:tcBorders>
            <w:shd w:val="clear" w:color="auto" w:fill="auto"/>
            <w:vAlign w:val="center"/>
            <w:hideMark/>
          </w:tcPr>
          <w:p w14:paraId="3563ACE0" w14:textId="2929CD95" w:rsidR="0080138C" w:rsidRPr="00005453" w:rsidRDefault="0080138C" w:rsidP="0080138C">
            <w:pPr>
              <w:jc w:val="right"/>
              <w:rPr>
                <w:color w:val="000000"/>
                <w:sz w:val="10"/>
                <w:szCs w:val="10"/>
                <w:lang w:eastAsia="tr-TR"/>
              </w:rPr>
            </w:pPr>
            <w:r w:rsidRPr="00005453">
              <w:rPr>
                <w:color w:val="000000"/>
                <w:sz w:val="10"/>
                <w:szCs w:val="10"/>
              </w:rPr>
              <w:t>467,096</w:t>
            </w:r>
          </w:p>
        </w:tc>
        <w:tc>
          <w:tcPr>
            <w:tcW w:w="562" w:type="dxa"/>
            <w:tcBorders>
              <w:top w:val="nil"/>
              <w:left w:val="nil"/>
              <w:bottom w:val="nil"/>
              <w:right w:val="nil"/>
            </w:tcBorders>
            <w:shd w:val="clear" w:color="auto" w:fill="auto"/>
            <w:vAlign w:val="center"/>
            <w:hideMark/>
          </w:tcPr>
          <w:p w14:paraId="4BEBEA10" w14:textId="4C6E5C55"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347F35BD" w14:textId="603BBF29"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0F3D69E8" w14:textId="71B4782D"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42149F61" w14:textId="6B562AC2"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2C332BA0" w14:textId="7083B95D"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421D555E" w14:textId="49E2D859" w:rsidR="0080138C" w:rsidRPr="00005453" w:rsidRDefault="0080138C" w:rsidP="0080138C">
            <w:pPr>
              <w:jc w:val="right"/>
              <w:rPr>
                <w:color w:val="000000"/>
                <w:sz w:val="10"/>
                <w:szCs w:val="10"/>
                <w:lang w:eastAsia="tr-TR"/>
              </w:rPr>
            </w:pPr>
            <w:r w:rsidRPr="00005453">
              <w:rPr>
                <w:color w:val="000000"/>
                <w:sz w:val="10"/>
                <w:szCs w:val="10"/>
              </w:rPr>
              <w:t>1,297</w:t>
            </w:r>
          </w:p>
        </w:tc>
        <w:tc>
          <w:tcPr>
            <w:tcW w:w="667" w:type="dxa"/>
            <w:tcBorders>
              <w:top w:val="nil"/>
              <w:left w:val="nil"/>
              <w:bottom w:val="nil"/>
              <w:right w:val="nil"/>
            </w:tcBorders>
            <w:shd w:val="clear" w:color="auto" w:fill="auto"/>
            <w:vAlign w:val="center"/>
            <w:hideMark/>
          </w:tcPr>
          <w:p w14:paraId="7A60D27C" w14:textId="7D6F78F4" w:rsidR="0080138C" w:rsidRPr="00005453" w:rsidRDefault="0080138C" w:rsidP="0080138C">
            <w:pPr>
              <w:jc w:val="right"/>
              <w:rPr>
                <w:color w:val="000000"/>
                <w:sz w:val="10"/>
                <w:szCs w:val="10"/>
                <w:lang w:eastAsia="tr-TR"/>
              </w:rPr>
            </w:pPr>
            <w:r w:rsidRPr="00005453">
              <w:rPr>
                <w:color w:val="000000"/>
                <w:sz w:val="10"/>
                <w:szCs w:val="10"/>
              </w:rPr>
              <w:t>2,104,461</w:t>
            </w:r>
          </w:p>
        </w:tc>
        <w:tc>
          <w:tcPr>
            <w:tcW w:w="640" w:type="dxa"/>
            <w:tcBorders>
              <w:top w:val="nil"/>
              <w:left w:val="nil"/>
              <w:bottom w:val="nil"/>
              <w:right w:val="nil"/>
            </w:tcBorders>
            <w:shd w:val="clear" w:color="auto" w:fill="auto"/>
            <w:vAlign w:val="center"/>
            <w:hideMark/>
          </w:tcPr>
          <w:p w14:paraId="6F77C8FE" w14:textId="24A0BB31" w:rsidR="0080138C" w:rsidRPr="00005453" w:rsidRDefault="0080138C" w:rsidP="0080138C">
            <w:pPr>
              <w:jc w:val="right"/>
              <w:rPr>
                <w:color w:val="000000"/>
                <w:sz w:val="10"/>
                <w:szCs w:val="10"/>
                <w:lang w:eastAsia="tr-TR"/>
              </w:rPr>
            </w:pPr>
            <w:r w:rsidRPr="00005453">
              <w:rPr>
                <w:color w:val="000000"/>
                <w:sz w:val="10"/>
                <w:szCs w:val="10"/>
              </w:rPr>
              <w:t>658,969</w:t>
            </w:r>
          </w:p>
        </w:tc>
        <w:tc>
          <w:tcPr>
            <w:tcW w:w="690" w:type="dxa"/>
            <w:tcBorders>
              <w:top w:val="nil"/>
              <w:left w:val="nil"/>
              <w:bottom w:val="nil"/>
              <w:right w:val="nil"/>
            </w:tcBorders>
            <w:shd w:val="clear" w:color="auto" w:fill="auto"/>
            <w:vAlign w:val="center"/>
            <w:hideMark/>
          </w:tcPr>
          <w:p w14:paraId="6166B27B" w14:textId="5CD5E0DE" w:rsidR="0080138C" w:rsidRPr="00005453" w:rsidRDefault="0080138C" w:rsidP="0080138C">
            <w:pPr>
              <w:jc w:val="right"/>
              <w:rPr>
                <w:color w:val="000000"/>
                <w:sz w:val="10"/>
                <w:szCs w:val="10"/>
                <w:lang w:eastAsia="tr-TR"/>
              </w:rPr>
            </w:pPr>
            <w:r w:rsidRPr="00005453">
              <w:rPr>
                <w:color w:val="000000"/>
                <w:sz w:val="10"/>
                <w:szCs w:val="10"/>
              </w:rPr>
              <w:t>2,763,430</w:t>
            </w:r>
          </w:p>
        </w:tc>
      </w:tr>
      <w:tr w:rsidR="0080138C" w:rsidRPr="00005453" w14:paraId="58C8A375" w14:textId="77777777" w:rsidTr="0080138C">
        <w:trPr>
          <w:divId w:val="224265873"/>
          <w:trHeight w:val="199"/>
        </w:trPr>
        <w:tc>
          <w:tcPr>
            <w:tcW w:w="733" w:type="dxa"/>
            <w:tcBorders>
              <w:top w:val="nil"/>
              <w:left w:val="nil"/>
              <w:bottom w:val="nil"/>
              <w:right w:val="nil"/>
            </w:tcBorders>
            <w:shd w:val="clear" w:color="auto" w:fill="auto"/>
            <w:noWrap/>
            <w:hideMark/>
          </w:tcPr>
          <w:p w14:paraId="34B53F48" w14:textId="77777777" w:rsidR="0080138C" w:rsidRPr="00005453" w:rsidRDefault="0080138C" w:rsidP="0080138C">
            <w:pPr>
              <w:rPr>
                <w:color w:val="000000"/>
                <w:sz w:val="10"/>
                <w:szCs w:val="10"/>
                <w:lang w:eastAsia="tr-TR"/>
              </w:rPr>
            </w:pPr>
            <w:r w:rsidRPr="00005453">
              <w:rPr>
                <w:color w:val="000000"/>
                <w:sz w:val="10"/>
                <w:szCs w:val="10"/>
                <w:lang w:eastAsia="tr-TR"/>
              </w:rPr>
              <w:t>Ormancılık</w:t>
            </w:r>
          </w:p>
        </w:tc>
        <w:tc>
          <w:tcPr>
            <w:tcW w:w="776" w:type="dxa"/>
            <w:tcBorders>
              <w:top w:val="nil"/>
              <w:left w:val="nil"/>
              <w:bottom w:val="nil"/>
              <w:right w:val="nil"/>
            </w:tcBorders>
            <w:shd w:val="clear" w:color="auto" w:fill="auto"/>
            <w:vAlign w:val="center"/>
            <w:hideMark/>
          </w:tcPr>
          <w:p w14:paraId="28497FA7" w14:textId="408F9154"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26B302FC" w14:textId="177620F7"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3C8644CE" w14:textId="628D114E"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060A62B7" w14:textId="521E6D97"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5779ABB8" w14:textId="7E4CC7CA"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71BD963F" w14:textId="387A9A2C"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1139D804" w14:textId="12CFABAB" w:rsidR="0080138C" w:rsidRPr="00005453" w:rsidRDefault="0080138C" w:rsidP="0080138C">
            <w:pPr>
              <w:jc w:val="right"/>
              <w:rPr>
                <w:color w:val="000000"/>
                <w:sz w:val="10"/>
                <w:szCs w:val="10"/>
                <w:lang w:eastAsia="tr-TR"/>
              </w:rPr>
            </w:pPr>
            <w:r w:rsidRPr="00005453">
              <w:rPr>
                <w:color w:val="000000"/>
                <w:sz w:val="10"/>
                <w:szCs w:val="10"/>
              </w:rPr>
              <w:t>532,533</w:t>
            </w:r>
          </w:p>
        </w:tc>
        <w:tc>
          <w:tcPr>
            <w:tcW w:w="635" w:type="dxa"/>
            <w:tcBorders>
              <w:top w:val="nil"/>
              <w:left w:val="nil"/>
              <w:bottom w:val="nil"/>
              <w:right w:val="nil"/>
            </w:tcBorders>
            <w:shd w:val="clear" w:color="auto" w:fill="auto"/>
            <w:vAlign w:val="center"/>
            <w:hideMark/>
          </w:tcPr>
          <w:p w14:paraId="7320BEEF" w14:textId="54ADFDBE" w:rsidR="0080138C" w:rsidRPr="00005453" w:rsidRDefault="0080138C" w:rsidP="0080138C">
            <w:pPr>
              <w:jc w:val="right"/>
              <w:rPr>
                <w:color w:val="000000"/>
                <w:sz w:val="10"/>
                <w:szCs w:val="10"/>
                <w:lang w:eastAsia="tr-TR"/>
              </w:rPr>
            </w:pPr>
            <w:r w:rsidRPr="00005453">
              <w:rPr>
                <w:color w:val="000000"/>
                <w:sz w:val="10"/>
                <w:szCs w:val="10"/>
              </w:rPr>
              <w:t>238,952</w:t>
            </w:r>
          </w:p>
        </w:tc>
        <w:tc>
          <w:tcPr>
            <w:tcW w:w="947" w:type="dxa"/>
            <w:tcBorders>
              <w:top w:val="nil"/>
              <w:left w:val="nil"/>
              <w:bottom w:val="nil"/>
              <w:right w:val="nil"/>
            </w:tcBorders>
            <w:shd w:val="clear" w:color="auto" w:fill="auto"/>
            <w:vAlign w:val="center"/>
            <w:hideMark/>
          </w:tcPr>
          <w:p w14:paraId="4A49BA7B" w14:textId="5136E2A2" w:rsidR="0080138C" w:rsidRPr="00005453" w:rsidRDefault="0080138C" w:rsidP="0080138C">
            <w:pPr>
              <w:jc w:val="right"/>
              <w:rPr>
                <w:color w:val="000000"/>
                <w:sz w:val="10"/>
                <w:szCs w:val="10"/>
                <w:lang w:eastAsia="tr-TR"/>
              </w:rPr>
            </w:pPr>
            <w:r w:rsidRPr="00005453">
              <w:rPr>
                <w:color w:val="000000"/>
                <w:sz w:val="10"/>
                <w:szCs w:val="10"/>
              </w:rPr>
              <w:t>180,425</w:t>
            </w:r>
          </w:p>
        </w:tc>
        <w:tc>
          <w:tcPr>
            <w:tcW w:w="676" w:type="dxa"/>
            <w:tcBorders>
              <w:top w:val="nil"/>
              <w:left w:val="nil"/>
              <w:bottom w:val="nil"/>
              <w:right w:val="nil"/>
            </w:tcBorders>
            <w:shd w:val="clear" w:color="auto" w:fill="auto"/>
            <w:vAlign w:val="center"/>
            <w:hideMark/>
          </w:tcPr>
          <w:p w14:paraId="0983CAA4" w14:textId="63FEAB52" w:rsidR="0080138C" w:rsidRPr="00005453" w:rsidRDefault="0080138C" w:rsidP="0080138C">
            <w:pPr>
              <w:jc w:val="right"/>
              <w:rPr>
                <w:color w:val="000000"/>
                <w:sz w:val="10"/>
                <w:szCs w:val="10"/>
                <w:lang w:eastAsia="tr-TR"/>
              </w:rPr>
            </w:pPr>
            <w:r w:rsidRPr="00005453">
              <w:rPr>
                <w:color w:val="000000"/>
                <w:sz w:val="10"/>
                <w:szCs w:val="10"/>
              </w:rPr>
              <w:t>91</w:t>
            </w:r>
          </w:p>
        </w:tc>
        <w:tc>
          <w:tcPr>
            <w:tcW w:w="676" w:type="dxa"/>
            <w:tcBorders>
              <w:top w:val="nil"/>
              <w:left w:val="nil"/>
              <w:bottom w:val="nil"/>
              <w:right w:val="nil"/>
            </w:tcBorders>
            <w:shd w:val="clear" w:color="auto" w:fill="auto"/>
            <w:vAlign w:val="center"/>
            <w:hideMark/>
          </w:tcPr>
          <w:p w14:paraId="2001B3C5" w14:textId="4DB6E91D" w:rsidR="0080138C" w:rsidRPr="00005453" w:rsidRDefault="0080138C" w:rsidP="0080138C">
            <w:pPr>
              <w:jc w:val="right"/>
              <w:rPr>
                <w:color w:val="000000"/>
                <w:sz w:val="10"/>
                <w:szCs w:val="10"/>
                <w:lang w:eastAsia="tr-TR"/>
              </w:rPr>
            </w:pPr>
            <w:r w:rsidRPr="00005453">
              <w:rPr>
                <w:color w:val="000000"/>
                <w:sz w:val="10"/>
                <w:szCs w:val="10"/>
              </w:rPr>
              <w:t>48,850</w:t>
            </w:r>
          </w:p>
        </w:tc>
        <w:tc>
          <w:tcPr>
            <w:tcW w:w="562" w:type="dxa"/>
            <w:tcBorders>
              <w:top w:val="nil"/>
              <w:left w:val="nil"/>
              <w:bottom w:val="nil"/>
              <w:right w:val="nil"/>
            </w:tcBorders>
            <w:shd w:val="clear" w:color="auto" w:fill="auto"/>
            <w:vAlign w:val="center"/>
            <w:hideMark/>
          </w:tcPr>
          <w:p w14:paraId="7C5A5D43" w14:textId="62B337B1"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31B8C53B" w14:textId="2C4C9393"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187345DF" w14:textId="1DD4B1FB"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194C42E6" w14:textId="76102D07"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1DAF1E97" w14:textId="086B1C39"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623540B3" w14:textId="1A18879B" w:rsidR="0080138C" w:rsidRPr="00005453" w:rsidRDefault="0080138C" w:rsidP="0080138C">
            <w:pPr>
              <w:jc w:val="right"/>
              <w:rPr>
                <w:color w:val="000000"/>
                <w:sz w:val="10"/>
                <w:szCs w:val="10"/>
                <w:lang w:eastAsia="tr-TR"/>
              </w:rPr>
            </w:pPr>
            <w:r w:rsidRPr="00005453">
              <w:rPr>
                <w:color w:val="000000"/>
                <w:sz w:val="10"/>
                <w:szCs w:val="10"/>
              </w:rPr>
              <w:t>203</w:t>
            </w:r>
          </w:p>
        </w:tc>
        <w:tc>
          <w:tcPr>
            <w:tcW w:w="667" w:type="dxa"/>
            <w:tcBorders>
              <w:top w:val="nil"/>
              <w:left w:val="nil"/>
              <w:bottom w:val="nil"/>
              <w:right w:val="nil"/>
            </w:tcBorders>
            <w:shd w:val="clear" w:color="auto" w:fill="auto"/>
            <w:vAlign w:val="center"/>
            <w:hideMark/>
          </w:tcPr>
          <w:p w14:paraId="2FFFF58F" w14:textId="21AE8206" w:rsidR="0080138C" w:rsidRPr="00005453" w:rsidRDefault="0080138C" w:rsidP="0080138C">
            <w:pPr>
              <w:jc w:val="right"/>
              <w:rPr>
                <w:color w:val="000000"/>
                <w:sz w:val="10"/>
                <w:szCs w:val="10"/>
                <w:lang w:eastAsia="tr-TR"/>
              </w:rPr>
            </w:pPr>
            <w:r w:rsidRPr="00005453">
              <w:rPr>
                <w:color w:val="000000"/>
                <w:sz w:val="10"/>
                <w:szCs w:val="10"/>
              </w:rPr>
              <w:t>469,495</w:t>
            </w:r>
          </w:p>
        </w:tc>
        <w:tc>
          <w:tcPr>
            <w:tcW w:w="640" w:type="dxa"/>
            <w:tcBorders>
              <w:top w:val="nil"/>
              <w:left w:val="nil"/>
              <w:bottom w:val="nil"/>
              <w:right w:val="nil"/>
            </w:tcBorders>
            <w:shd w:val="clear" w:color="auto" w:fill="auto"/>
            <w:vAlign w:val="center"/>
            <w:hideMark/>
          </w:tcPr>
          <w:p w14:paraId="097C4352" w14:textId="3EC9CC27" w:rsidR="0080138C" w:rsidRPr="00005453" w:rsidRDefault="0080138C" w:rsidP="0080138C">
            <w:pPr>
              <w:jc w:val="right"/>
              <w:rPr>
                <w:color w:val="000000"/>
                <w:sz w:val="10"/>
                <w:szCs w:val="10"/>
                <w:lang w:eastAsia="tr-TR"/>
              </w:rPr>
            </w:pPr>
            <w:r w:rsidRPr="00005453">
              <w:rPr>
                <w:color w:val="000000"/>
                <w:sz w:val="10"/>
                <w:szCs w:val="10"/>
              </w:rPr>
              <w:t>531,559</w:t>
            </w:r>
          </w:p>
        </w:tc>
        <w:tc>
          <w:tcPr>
            <w:tcW w:w="690" w:type="dxa"/>
            <w:tcBorders>
              <w:top w:val="nil"/>
              <w:left w:val="nil"/>
              <w:bottom w:val="nil"/>
              <w:right w:val="nil"/>
            </w:tcBorders>
            <w:shd w:val="clear" w:color="auto" w:fill="auto"/>
            <w:vAlign w:val="center"/>
            <w:hideMark/>
          </w:tcPr>
          <w:p w14:paraId="7F2F687E" w14:textId="3462081D" w:rsidR="0080138C" w:rsidRPr="00005453" w:rsidRDefault="0080138C" w:rsidP="0080138C">
            <w:pPr>
              <w:jc w:val="right"/>
              <w:rPr>
                <w:color w:val="000000"/>
                <w:sz w:val="10"/>
                <w:szCs w:val="10"/>
                <w:lang w:eastAsia="tr-TR"/>
              </w:rPr>
            </w:pPr>
            <w:r w:rsidRPr="00005453">
              <w:rPr>
                <w:color w:val="000000"/>
                <w:sz w:val="10"/>
                <w:szCs w:val="10"/>
              </w:rPr>
              <w:t>1,001,054</w:t>
            </w:r>
          </w:p>
        </w:tc>
      </w:tr>
      <w:tr w:rsidR="0080138C" w:rsidRPr="00005453" w14:paraId="38649E82" w14:textId="77777777" w:rsidTr="0080138C">
        <w:trPr>
          <w:divId w:val="224265873"/>
          <w:trHeight w:val="199"/>
        </w:trPr>
        <w:tc>
          <w:tcPr>
            <w:tcW w:w="733" w:type="dxa"/>
            <w:tcBorders>
              <w:top w:val="nil"/>
              <w:left w:val="nil"/>
              <w:bottom w:val="nil"/>
              <w:right w:val="nil"/>
            </w:tcBorders>
            <w:shd w:val="clear" w:color="auto" w:fill="auto"/>
            <w:noWrap/>
            <w:hideMark/>
          </w:tcPr>
          <w:p w14:paraId="243398BF" w14:textId="77777777" w:rsidR="0080138C" w:rsidRPr="00005453" w:rsidRDefault="0080138C" w:rsidP="0080138C">
            <w:pPr>
              <w:rPr>
                <w:color w:val="000000"/>
                <w:sz w:val="10"/>
                <w:szCs w:val="10"/>
                <w:lang w:eastAsia="tr-TR"/>
              </w:rPr>
            </w:pPr>
            <w:r w:rsidRPr="00005453">
              <w:rPr>
                <w:color w:val="000000"/>
                <w:sz w:val="10"/>
                <w:szCs w:val="10"/>
                <w:lang w:eastAsia="tr-TR"/>
              </w:rPr>
              <w:t>Balıkçılık</w:t>
            </w:r>
          </w:p>
        </w:tc>
        <w:tc>
          <w:tcPr>
            <w:tcW w:w="776" w:type="dxa"/>
            <w:tcBorders>
              <w:top w:val="nil"/>
              <w:left w:val="nil"/>
              <w:bottom w:val="nil"/>
              <w:right w:val="nil"/>
            </w:tcBorders>
            <w:shd w:val="clear" w:color="auto" w:fill="auto"/>
            <w:vAlign w:val="center"/>
            <w:hideMark/>
          </w:tcPr>
          <w:p w14:paraId="6A7797AC" w14:textId="756794E6"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09029BD9" w14:textId="1927F91F"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442178B2" w14:textId="0ECEB10D"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53202C97" w14:textId="62C1AB8D"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145B743A" w14:textId="21360D17"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1386809B" w14:textId="084B8C9C"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2A00823E" w14:textId="0E76E321" w:rsidR="0080138C" w:rsidRPr="00005453" w:rsidRDefault="0080138C" w:rsidP="0080138C">
            <w:pPr>
              <w:jc w:val="right"/>
              <w:rPr>
                <w:color w:val="000000"/>
                <w:sz w:val="10"/>
                <w:szCs w:val="10"/>
                <w:lang w:eastAsia="tr-TR"/>
              </w:rPr>
            </w:pPr>
            <w:r w:rsidRPr="00005453">
              <w:rPr>
                <w:color w:val="000000"/>
                <w:sz w:val="10"/>
                <w:szCs w:val="10"/>
              </w:rPr>
              <w:t>531</w:t>
            </w:r>
          </w:p>
        </w:tc>
        <w:tc>
          <w:tcPr>
            <w:tcW w:w="635" w:type="dxa"/>
            <w:tcBorders>
              <w:top w:val="nil"/>
              <w:left w:val="nil"/>
              <w:bottom w:val="nil"/>
              <w:right w:val="nil"/>
            </w:tcBorders>
            <w:shd w:val="clear" w:color="auto" w:fill="auto"/>
            <w:vAlign w:val="center"/>
            <w:hideMark/>
          </w:tcPr>
          <w:p w14:paraId="70914662" w14:textId="0CE0B3D0" w:rsidR="0080138C" w:rsidRPr="00005453" w:rsidRDefault="0080138C" w:rsidP="0080138C">
            <w:pPr>
              <w:jc w:val="right"/>
              <w:rPr>
                <w:color w:val="000000"/>
                <w:sz w:val="10"/>
                <w:szCs w:val="10"/>
                <w:lang w:eastAsia="tr-TR"/>
              </w:rPr>
            </w:pPr>
            <w:r w:rsidRPr="00005453">
              <w:rPr>
                <w:color w:val="000000"/>
                <w:sz w:val="10"/>
                <w:szCs w:val="10"/>
              </w:rPr>
              <w:t>18,736</w:t>
            </w:r>
          </w:p>
        </w:tc>
        <w:tc>
          <w:tcPr>
            <w:tcW w:w="947" w:type="dxa"/>
            <w:tcBorders>
              <w:top w:val="nil"/>
              <w:left w:val="nil"/>
              <w:bottom w:val="nil"/>
              <w:right w:val="nil"/>
            </w:tcBorders>
            <w:shd w:val="clear" w:color="auto" w:fill="auto"/>
            <w:vAlign w:val="center"/>
            <w:hideMark/>
          </w:tcPr>
          <w:p w14:paraId="104610D8" w14:textId="092DA781" w:rsidR="0080138C" w:rsidRPr="00005453" w:rsidRDefault="0080138C" w:rsidP="0080138C">
            <w:pPr>
              <w:jc w:val="right"/>
              <w:rPr>
                <w:color w:val="000000"/>
                <w:sz w:val="10"/>
                <w:szCs w:val="10"/>
                <w:lang w:eastAsia="tr-TR"/>
              </w:rPr>
            </w:pPr>
            <w:r w:rsidRPr="00005453">
              <w:rPr>
                <w:color w:val="000000"/>
                <w:sz w:val="10"/>
                <w:szCs w:val="10"/>
              </w:rPr>
              <w:t>5,461</w:t>
            </w:r>
          </w:p>
        </w:tc>
        <w:tc>
          <w:tcPr>
            <w:tcW w:w="676" w:type="dxa"/>
            <w:tcBorders>
              <w:top w:val="nil"/>
              <w:left w:val="nil"/>
              <w:bottom w:val="nil"/>
              <w:right w:val="nil"/>
            </w:tcBorders>
            <w:shd w:val="clear" w:color="auto" w:fill="auto"/>
            <w:vAlign w:val="center"/>
            <w:hideMark/>
          </w:tcPr>
          <w:p w14:paraId="6B00F007" w14:textId="37006A02" w:rsidR="0080138C" w:rsidRPr="00005453" w:rsidRDefault="0080138C" w:rsidP="0080138C">
            <w:pPr>
              <w:jc w:val="right"/>
              <w:rPr>
                <w:color w:val="000000"/>
                <w:sz w:val="10"/>
                <w:szCs w:val="10"/>
                <w:lang w:eastAsia="tr-TR"/>
              </w:rPr>
            </w:pPr>
            <w:r w:rsidRPr="00005453">
              <w:rPr>
                <w:color w:val="000000"/>
                <w:sz w:val="10"/>
                <w:szCs w:val="10"/>
              </w:rPr>
              <w:t>39</w:t>
            </w:r>
          </w:p>
        </w:tc>
        <w:tc>
          <w:tcPr>
            <w:tcW w:w="676" w:type="dxa"/>
            <w:tcBorders>
              <w:top w:val="nil"/>
              <w:left w:val="nil"/>
              <w:bottom w:val="nil"/>
              <w:right w:val="nil"/>
            </w:tcBorders>
            <w:shd w:val="clear" w:color="auto" w:fill="auto"/>
            <w:vAlign w:val="center"/>
            <w:hideMark/>
          </w:tcPr>
          <w:p w14:paraId="1E053A46" w14:textId="774AA706" w:rsidR="0080138C" w:rsidRPr="00005453" w:rsidRDefault="0080138C" w:rsidP="0080138C">
            <w:pPr>
              <w:jc w:val="right"/>
              <w:rPr>
                <w:color w:val="000000"/>
                <w:sz w:val="10"/>
                <w:szCs w:val="10"/>
                <w:lang w:eastAsia="tr-TR"/>
              </w:rPr>
            </w:pPr>
            <w:r w:rsidRPr="00005453">
              <w:rPr>
                <w:color w:val="000000"/>
                <w:sz w:val="10"/>
                <w:szCs w:val="10"/>
              </w:rPr>
              <w:t>10,553</w:t>
            </w:r>
          </w:p>
        </w:tc>
        <w:tc>
          <w:tcPr>
            <w:tcW w:w="562" w:type="dxa"/>
            <w:tcBorders>
              <w:top w:val="nil"/>
              <w:left w:val="nil"/>
              <w:bottom w:val="nil"/>
              <w:right w:val="nil"/>
            </w:tcBorders>
            <w:shd w:val="clear" w:color="auto" w:fill="auto"/>
            <w:vAlign w:val="center"/>
            <w:hideMark/>
          </w:tcPr>
          <w:p w14:paraId="4999617A" w14:textId="5EC41351"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1C3D5B31" w14:textId="00B86A9C"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78E0206B" w14:textId="206C5362"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49489CDC" w14:textId="635BCCA8"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01B684A9" w14:textId="10267EDE"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520BE79D" w14:textId="07EB763C"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2DC14FED" w14:textId="44D72419" w:rsidR="0080138C" w:rsidRPr="00005453" w:rsidRDefault="0080138C" w:rsidP="0080138C">
            <w:pPr>
              <w:jc w:val="right"/>
              <w:rPr>
                <w:color w:val="000000"/>
                <w:sz w:val="10"/>
                <w:szCs w:val="10"/>
                <w:lang w:eastAsia="tr-TR"/>
              </w:rPr>
            </w:pPr>
            <w:r w:rsidRPr="00005453">
              <w:rPr>
                <w:color w:val="000000"/>
                <w:sz w:val="10"/>
                <w:szCs w:val="10"/>
              </w:rPr>
              <w:t>21,216</w:t>
            </w:r>
          </w:p>
        </w:tc>
        <w:tc>
          <w:tcPr>
            <w:tcW w:w="640" w:type="dxa"/>
            <w:tcBorders>
              <w:top w:val="nil"/>
              <w:left w:val="nil"/>
              <w:bottom w:val="nil"/>
              <w:right w:val="nil"/>
            </w:tcBorders>
            <w:shd w:val="clear" w:color="auto" w:fill="auto"/>
            <w:vAlign w:val="center"/>
            <w:hideMark/>
          </w:tcPr>
          <w:p w14:paraId="6C23F210" w14:textId="25AE26C1" w:rsidR="0080138C" w:rsidRPr="00005453" w:rsidRDefault="0080138C" w:rsidP="0080138C">
            <w:pPr>
              <w:jc w:val="right"/>
              <w:rPr>
                <w:color w:val="000000"/>
                <w:sz w:val="10"/>
                <w:szCs w:val="10"/>
                <w:lang w:eastAsia="tr-TR"/>
              </w:rPr>
            </w:pPr>
            <w:r w:rsidRPr="00005453">
              <w:rPr>
                <w:color w:val="000000"/>
                <w:sz w:val="10"/>
                <w:szCs w:val="10"/>
              </w:rPr>
              <w:t>14,104</w:t>
            </w:r>
          </w:p>
        </w:tc>
        <w:tc>
          <w:tcPr>
            <w:tcW w:w="690" w:type="dxa"/>
            <w:tcBorders>
              <w:top w:val="nil"/>
              <w:left w:val="nil"/>
              <w:bottom w:val="nil"/>
              <w:right w:val="nil"/>
            </w:tcBorders>
            <w:shd w:val="clear" w:color="auto" w:fill="auto"/>
            <w:vAlign w:val="center"/>
            <w:hideMark/>
          </w:tcPr>
          <w:p w14:paraId="3A0A4E24" w14:textId="29584383" w:rsidR="0080138C" w:rsidRPr="00005453" w:rsidRDefault="0080138C" w:rsidP="0080138C">
            <w:pPr>
              <w:jc w:val="right"/>
              <w:rPr>
                <w:color w:val="000000"/>
                <w:sz w:val="10"/>
                <w:szCs w:val="10"/>
                <w:lang w:eastAsia="tr-TR"/>
              </w:rPr>
            </w:pPr>
            <w:r w:rsidRPr="00005453">
              <w:rPr>
                <w:color w:val="000000"/>
                <w:sz w:val="10"/>
                <w:szCs w:val="10"/>
              </w:rPr>
              <w:t>35,320</w:t>
            </w:r>
          </w:p>
        </w:tc>
      </w:tr>
      <w:tr w:rsidR="0080138C" w:rsidRPr="00005453" w14:paraId="2737C7CB" w14:textId="77777777" w:rsidTr="0080138C">
        <w:trPr>
          <w:divId w:val="224265873"/>
          <w:trHeight w:val="199"/>
        </w:trPr>
        <w:tc>
          <w:tcPr>
            <w:tcW w:w="733" w:type="dxa"/>
            <w:tcBorders>
              <w:top w:val="nil"/>
              <w:left w:val="nil"/>
              <w:bottom w:val="nil"/>
              <w:right w:val="nil"/>
            </w:tcBorders>
            <w:shd w:val="clear" w:color="auto" w:fill="auto"/>
            <w:noWrap/>
            <w:hideMark/>
          </w:tcPr>
          <w:p w14:paraId="0721BC7E" w14:textId="77777777" w:rsidR="0080138C" w:rsidRPr="00005453" w:rsidRDefault="0080138C" w:rsidP="0080138C">
            <w:pPr>
              <w:rPr>
                <w:b/>
                <w:bCs/>
                <w:color w:val="000000"/>
                <w:sz w:val="10"/>
                <w:szCs w:val="10"/>
                <w:lang w:eastAsia="tr-TR"/>
              </w:rPr>
            </w:pPr>
            <w:r w:rsidRPr="00005453">
              <w:rPr>
                <w:b/>
                <w:bCs/>
                <w:color w:val="000000"/>
                <w:sz w:val="10"/>
                <w:szCs w:val="10"/>
                <w:lang w:eastAsia="tr-TR"/>
              </w:rPr>
              <w:t>Sanayi</w:t>
            </w:r>
          </w:p>
        </w:tc>
        <w:tc>
          <w:tcPr>
            <w:tcW w:w="776" w:type="dxa"/>
            <w:tcBorders>
              <w:top w:val="nil"/>
              <w:left w:val="nil"/>
              <w:bottom w:val="nil"/>
              <w:right w:val="nil"/>
            </w:tcBorders>
            <w:shd w:val="clear" w:color="auto" w:fill="auto"/>
            <w:vAlign w:val="center"/>
            <w:hideMark/>
          </w:tcPr>
          <w:p w14:paraId="3448EA64" w14:textId="6112C41F"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76" w:type="dxa"/>
            <w:tcBorders>
              <w:top w:val="nil"/>
              <w:left w:val="nil"/>
              <w:bottom w:val="nil"/>
              <w:right w:val="nil"/>
            </w:tcBorders>
            <w:shd w:val="clear" w:color="auto" w:fill="auto"/>
            <w:vAlign w:val="center"/>
            <w:hideMark/>
          </w:tcPr>
          <w:p w14:paraId="6C54D624" w14:textId="575F81FF" w:rsidR="0080138C" w:rsidRPr="00005453" w:rsidRDefault="0080138C" w:rsidP="0080138C">
            <w:pPr>
              <w:jc w:val="right"/>
              <w:rPr>
                <w:color w:val="000000"/>
                <w:sz w:val="10"/>
                <w:szCs w:val="10"/>
                <w:lang w:eastAsia="tr-TR"/>
              </w:rPr>
            </w:pPr>
            <w:r w:rsidRPr="00005453">
              <w:rPr>
                <w:b/>
                <w:color w:val="000000"/>
                <w:sz w:val="10"/>
                <w:szCs w:val="10"/>
              </w:rPr>
              <w:t>-</w:t>
            </w:r>
          </w:p>
        </w:tc>
        <w:tc>
          <w:tcPr>
            <w:tcW w:w="727" w:type="dxa"/>
            <w:tcBorders>
              <w:top w:val="nil"/>
              <w:left w:val="nil"/>
              <w:bottom w:val="nil"/>
              <w:right w:val="nil"/>
            </w:tcBorders>
            <w:shd w:val="clear" w:color="auto" w:fill="auto"/>
            <w:vAlign w:val="center"/>
            <w:hideMark/>
          </w:tcPr>
          <w:p w14:paraId="0DA81ECA" w14:textId="6D7BA506" w:rsidR="0080138C" w:rsidRPr="00005453" w:rsidRDefault="0080138C" w:rsidP="0080138C">
            <w:pPr>
              <w:jc w:val="right"/>
              <w:rPr>
                <w:color w:val="000000"/>
                <w:sz w:val="10"/>
                <w:szCs w:val="10"/>
                <w:lang w:eastAsia="tr-TR"/>
              </w:rPr>
            </w:pPr>
            <w:r w:rsidRPr="00005453">
              <w:rPr>
                <w:b/>
                <w:color w:val="000000"/>
                <w:sz w:val="10"/>
                <w:szCs w:val="10"/>
              </w:rPr>
              <w:t>-</w:t>
            </w:r>
          </w:p>
        </w:tc>
        <w:tc>
          <w:tcPr>
            <w:tcW w:w="764" w:type="dxa"/>
            <w:tcBorders>
              <w:top w:val="nil"/>
              <w:left w:val="nil"/>
              <w:bottom w:val="nil"/>
              <w:right w:val="nil"/>
            </w:tcBorders>
            <w:shd w:val="clear" w:color="auto" w:fill="auto"/>
            <w:vAlign w:val="center"/>
            <w:hideMark/>
          </w:tcPr>
          <w:p w14:paraId="05B1DAAB" w14:textId="55AB04F5" w:rsidR="0080138C" w:rsidRPr="00005453" w:rsidRDefault="0080138C" w:rsidP="0080138C">
            <w:pPr>
              <w:jc w:val="right"/>
              <w:rPr>
                <w:color w:val="000000"/>
                <w:sz w:val="10"/>
                <w:szCs w:val="10"/>
                <w:lang w:eastAsia="tr-TR"/>
              </w:rPr>
            </w:pPr>
            <w:r w:rsidRPr="00005453">
              <w:rPr>
                <w:b/>
                <w:color w:val="000000"/>
                <w:sz w:val="10"/>
                <w:szCs w:val="10"/>
              </w:rPr>
              <w:t>-</w:t>
            </w:r>
          </w:p>
        </w:tc>
        <w:tc>
          <w:tcPr>
            <w:tcW w:w="733" w:type="dxa"/>
            <w:tcBorders>
              <w:top w:val="nil"/>
              <w:left w:val="nil"/>
              <w:bottom w:val="nil"/>
              <w:right w:val="nil"/>
            </w:tcBorders>
            <w:shd w:val="clear" w:color="auto" w:fill="auto"/>
            <w:vAlign w:val="center"/>
            <w:hideMark/>
          </w:tcPr>
          <w:p w14:paraId="131E76D7" w14:textId="58360ABC" w:rsidR="0080138C" w:rsidRPr="00005453" w:rsidRDefault="0080138C" w:rsidP="0080138C">
            <w:pPr>
              <w:jc w:val="right"/>
              <w:rPr>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12C1C9BC" w14:textId="305C197B" w:rsidR="0080138C" w:rsidRPr="00005453" w:rsidRDefault="0080138C" w:rsidP="0080138C">
            <w:pPr>
              <w:jc w:val="right"/>
              <w:rPr>
                <w:color w:val="000000"/>
                <w:sz w:val="10"/>
                <w:szCs w:val="10"/>
                <w:lang w:eastAsia="tr-TR"/>
              </w:rPr>
            </w:pPr>
            <w:r w:rsidRPr="00005453">
              <w:rPr>
                <w:b/>
                <w:color w:val="000000"/>
                <w:sz w:val="10"/>
                <w:szCs w:val="10"/>
              </w:rPr>
              <w:t>-</w:t>
            </w:r>
          </w:p>
        </w:tc>
        <w:tc>
          <w:tcPr>
            <w:tcW w:w="635" w:type="dxa"/>
            <w:tcBorders>
              <w:top w:val="nil"/>
              <w:left w:val="nil"/>
              <w:bottom w:val="nil"/>
              <w:right w:val="nil"/>
            </w:tcBorders>
            <w:shd w:val="clear" w:color="auto" w:fill="auto"/>
            <w:vAlign w:val="center"/>
            <w:hideMark/>
          </w:tcPr>
          <w:p w14:paraId="2F64EA8B" w14:textId="3401BCBF" w:rsidR="0080138C" w:rsidRPr="00005453" w:rsidRDefault="0080138C" w:rsidP="0080138C">
            <w:pPr>
              <w:jc w:val="right"/>
              <w:rPr>
                <w:b/>
                <w:bCs/>
                <w:color w:val="000000"/>
                <w:sz w:val="10"/>
                <w:szCs w:val="10"/>
                <w:lang w:eastAsia="tr-TR"/>
              </w:rPr>
            </w:pPr>
            <w:r w:rsidRPr="00005453">
              <w:rPr>
                <w:b/>
                <w:color w:val="000000"/>
                <w:sz w:val="10"/>
                <w:szCs w:val="10"/>
              </w:rPr>
              <w:t>36,752,473</w:t>
            </w:r>
          </w:p>
        </w:tc>
        <w:tc>
          <w:tcPr>
            <w:tcW w:w="635" w:type="dxa"/>
            <w:tcBorders>
              <w:top w:val="nil"/>
              <w:left w:val="nil"/>
              <w:bottom w:val="nil"/>
              <w:right w:val="nil"/>
            </w:tcBorders>
            <w:shd w:val="clear" w:color="auto" w:fill="auto"/>
            <w:vAlign w:val="center"/>
            <w:hideMark/>
          </w:tcPr>
          <w:p w14:paraId="4D86A7A5" w14:textId="0081C80D" w:rsidR="0080138C" w:rsidRPr="00005453" w:rsidRDefault="0080138C" w:rsidP="0080138C">
            <w:pPr>
              <w:jc w:val="right"/>
              <w:rPr>
                <w:b/>
                <w:bCs/>
                <w:color w:val="000000"/>
                <w:sz w:val="10"/>
                <w:szCs w:val="10"/>
                <w:lang w:eastAsia="tr-TR"/>
              </w:rPr>
            </w:pPr>
            <w:r w:rsidRPr="00005453">
              <w:rPr>
                <w:b/>
                <w:color w:val="000000"/>
                <w:sz w:val="10"/>
                <w:szCs w:val="10"/>
              </w:rPr>
              <w:t>11,951,421</w:t>
            </w:r>
          </w:p>
        </w:tc>
        <w:tc>
          <w:tcPr>
            <w:tcW w:w="947" w:type="dxa"/>
            <w:tcBorders>
              <w:top w:val="nil"/>
              <w:left w:val="nil"/>
              <w:bottom w:val="nil"/>
              <w:right w:val="nil"/>
            </w:tcBorders>
            <w:shd w:val="clear" w:color="auto" w:fill="auto"/>
            <w:vAlign w:val="center"/>
            <w:hideMark/>
          </w:tcPr>
          <w:p w14:paraId="41DA33EB" w14:textId="09C135E7" w:rsidR="0080138C" w:rsidRPr="00005453" w:rsidRDefault="0080138C" w:rsidP="0080138C">
            <w:pPr>
              <w:jc w:val="right"/>
              <w:rPr>
                <w:b/>
                <w:bCs/>
                <w:color w:val="000000"/>
                <w:sz w:val="10"/>
                <w:szCs w:val="10"/>
                <w:lang w:eastAsia="tr-TR"/>
              </w:rPr>
            </w:pPr>
            <w:r w:rsidRPr="00005453">
              <w:rPr>
                <w:b/>
                <w:color w:val="000000"/>
                <w:sz w:val="10"/>
                <w:szCs w:val="10"/>
              </w:rPr>
              <w:t>14,743,324</w:t>
            </w:r>
          </w:p>
        </w:tc>
        <w:tc>
          <w:tcPr>
            <w:tcW w:w="676" w:type="dxa"/>
            <w:tcBorders>
              <w:top w:val="nil"/>
              <w:left w:val="nil"/>
              <w:bottom w:val="nil"/>
              <w:right w:val="nil"/>
            </w:tcBorders>
            <w:shd w:val="clear" w:color="auto" w:fill="auto"/>
            <w:vAlign w:val="center"/>
            <w:hideMark/>
          </w:tcPr>
          <w:p w14:paraId="6B068314" w14:textId="5B215789" w:rsidR="0080138C" w:rsidRPr="00005453" w:rsidRDefault="0080138C" w:rsidP="0080138C">
            <w:pPr>
              <w:jc w:val="right"/>
              <w:rPr>
                <w:b/>
                <w:bCs/>
                <w:color w:val="000000"/>
                <w:sz w:val="10"/>
                <w:szCs w:val="10"/>
                <w:lang w:eastAsia="tr-TR"/>
              </w:rPr>
            </w:pPr>
            <w:r w:rsidRPr="00005453">
              <w:rPr>
                <w:b/>
                <w:color w:val="000000"/>
                <w:sz w:val="10"/>
                <w:szCs w:val="10"/>
              </w:rPr>
              <w:t>18,298</w:t>
            </w:r>
          </w:p>
        </w:tc>
        <w:tc>
          <w:tcPr>
            <w:tcW w:w="676" w:type="dxa"/>
            <w:tcBorders>
              <w:top w:val="nil"/>
              <w:left w:val="nil"/>
              <w:bottom w:val="nil"/>
              <w:right w:val="nil"/>
            </w:tcBorders>
            <w:shd w:val="clear" w:color="auto" w:fill="auto"/>
            <w:vAlign w:val="center"/>
            <w:hideMark/>
          </w:tcPr>
          <w:p w14:paraId="73DF85C2" w14:textId="011DBB4D" w:rsidR="0080138C" w:rsidRPr="00005453" w:rsidRDefault="0080138C" w:rsidP="0080138C">
            <w:pPr>
              <w:jc w:val="right"/>
              <w:rPr>
                <w:b/>
                <w:bCs/>
                <w:color w:val="000000"/>
                <w:sz w:val="10"/>
                <w:szCs w:val="10"/>
                <w:lang w:eastAsia="tr-TR"/>
              </w:rPr>
            </w:pPr>
            <w:r w:rsidRPr="00005453">
              <w:rPr>
                <w:b/>
                <w:color w:val="000000"/>
                <w:sz w:val="10"/>
                <w:szCs w:val="10"/>
              </w:rPr>
              <w:t>8,496,920</w:t>
            </w:r>
          </w:p>
        </w:tc>
        <w:tc>
          <w:tcPr>
            <w:tcW w:w="562" w:type="dxa"/>
            <w:tcBorders>
              <w:top w:val="nil"/>
              <w:left w:val="nil"/>
              <w:bottom w:val="nil"/>
              <w:right w:val="nil"/>
            </w:tcBorders>
            <w:shd w:val="clear" w:color="auto" w:fill="auto"/>
            <w:vAlign w:val="center"/>
            <w:hideMark/>
          </w:tcPr>
          <w:p w14:paraId="611B481B" w14:textId="63ABF199"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800" w:type="dxa"/>
            <w:tcBorders>
              <w:top w:val="nil"/>
              <w:left w:val="nil"/>
              <w:bottom w:val="nil"/>
              <w:right w:val="nil"/>
            </w:tcBorders>
            <w:shd w:val="clear" w:color="auto" w:fill="auto"/>
            <w:vAlign w:val="center"/>
            <w:hideMark/>
          </w:tcPr>
          <w:p w14:paraId="6EAA0B8C" w14:textId="48E9C107"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0C89EE9A" w14:textId="4FF8A7CB"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97" w:type="dxa"/>
            <w:tcBorders>
              <w:top w:val="nil"/>
              <w:left w:val="nil"/>
              <w:bottom w:val="nil"/>
              <w:right w:val="nil"/>
            </w:tcBorders>
            <w:shd w:val="clear" w:color="auto" w:fill="auto"/>
            <w:vAlign w:val="center"/>
            <w:hideMark/>
          </w:tcPr>
          <w:p w14:paraId="22933D6C" w14:textId="5BED442E"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29" w:type="dxa"/>
            <w:tcBorders>
              <w:top w:val="nil"/>
              <w:left w:val="nil"/>
              <w:bottom w:val="nil"/>
              <w:right w:val="nil"/>
            </w:tcBorders>
            <w:shd w:val="clear" w:color="auto" w:fill="auto"/>
            <w:vAlign w:val="center"/>
            <w:hideMark/>
          </w:tcPr>
          <w:p w14:paraId="05A829E9" w14:textId="2FDDBB0E"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67" w:type="dxa"/>
            <w:tcBorders>
              <w:top w:val="nil"/>
              <w:left w:val="nil"/>
              <w:bottom w:val="nil"/>
              <w:right w:val="nil"/>
            </w:tcBorders>
            <w:shd w:val="clear" w:color="auto" w:fill="auto"/>
            <w:vAlign w:val="center"/>
            <w:hideMark/>
          </w:tcPr>
          <w:p w14:paraId="1F5C82AC" w14:textId="3EADA3BF" w:rsidR="0080138C" w:rsidRPr="00005453" w:rsidRDefault="0080138C" w:rsidP="0080138C">
            <w:pPr>
              <w:jc w:val="right"/>
              <w:rPr>
                <w:b/>
                <w:bCs/>
                <w:color w:val="000000"/>
                <w:sz w:val="10"/>
                <w:szCs w:val="10"/>
                <w:lang w:eastAsia="tr-TR"/>
              </w:rPr>
            </w:pPr>
            <w:r w:rsidRPr="00005453">
              <w:rPr>
                <w:b/>
                <w:color w:val="000000"/>
                <w:sz w:val="10"/>
                <w:szCs w:val="10"/>
              </w:rPr>
              <w:t>51,853</w:t>
            </w:r>
          </w:p>
        </w:tc>
        <w:tc>
          <w:tcPr>
            <w:tcW w:w="667" w:type="dxa"/>
            <w:tcBorders>
              <w:top w:val="nil"/>
              <w:left w:val="nil"/>
              <w:bottom w:val="nil"/>
              <w:right w:val="nil"/>
            </w:tcBorders>
            <w:shd w:val="clear" w:color="auto" w:fill="auto"/>
            <w:vAlign w:val="center"/>
            <w:hideMark/>
          </w:tcPr>
          <w:p w14:paraId="3B0DCEB6" w14:textId="27B9BC5F" w:rsidR="0080138C" w:rsidRPr="00005453" w:rsidRDefault="0080138C" w:rsidP="0080138C">
            <w:pPr>
              <w:jc w:val="right"/>
              <w:rPr>
                <w:b/>
                <w:bCs/>
                <w:color w:val="000000"/>
                <w:sz w:val="10"/>
                <w:szCs w:val="10"/>
                <w:lang w:eastAsia="tr-TR"/>
              </w:rPr>
            </w:pPr>
            <w:r w:rsidRPr="00005453">
              <w:rPr>
                <w:b/>
                <w:color w:val="000000"/>
                <w:sz w:val="10"/>
                <w:szCs w:val="10"/>
              </w:rPr>
              <w:t>37,032,819</w:t>
            </w:r>
          </w:p>
        </w:tc>
        <w:tc>
          <w:tcPr>
            <w:tcW w:w="640" w:type="dxa"/>
            <w:tcBorders>
              <w:top w:val="nil"/>
              <w:left w:val="nil"/>
              <w:bottom w:val="nil"/>
              <w:right w:val="nil"/>
            </w:tcBorders>
            <w:shd w:val="clear" w:color="auto" w:fill="auto"/>
            <w:vAlign w:val="center"/>
            <w:hideMark/>
          </w:tcPr>
          <w:p w14:paraId="1BBFE7DF" w14:textId="0A692FD1" w:rsidR="0080138C" w:rsidRPr="00005453" w:rsidRDefault="0080138C" w:rsidP="0080138C">
            <w:pPr>
              <w:jc w:val="right"/>
              <w:rPr>
                <w:b/>
                <w:bCs/>
                <w:color w:val="000000"/>
                <w:sz w:val="10"/>
                <w:szCs w:val="10"/>
                <w:lang w:eastAsia="tr-TR"/>
              </w:rPr>
            </w:pPr>
            <w:r w:rsidRPr="00005453">
              <w:rPr>
                <w:b/>
                <w:color w:val="000000"/>
                <w:sz w:val="10"/>
                <w:szCs w:val="10"/>
              </w:rPr>
              <w:t>34,981,470</w:t>
            </w:r>
          </w:p>
        </w:tc>
        <w:tc>
          <w:tcPr>
            <w:tcW w:w="690" w:type="dxa"/>
            <w:tcBorders>
              <w:top w:val="nil"/>
              <w:left w:val="nil"/>
              <w:bottom w:val="nil"/>
              <w:right w:val="nil"/>
            </w:tcBorders>
            <w:shd w:val="clear" w:color="auto" w:fill="auto"/>
            <w:vAlign w:val="center"/>
            <w:hideMark/>
          </w:tcPr>
          <w:p w14:paraId="2C2F21FE" w14:textId="66B3E983" w:rsidR="0080138C" w:rsidRPr="00005453" w:rsidRDefault="0080138C" w:rsidP="0080138C">
            <w:pPr>
              <w:jc w:val="right"/>
              <w:rPr>
                <w:b/>
                <w:bCs/>
                <w:color w:val="000000"/>
                <w:sz w:val="10"/>
                <w:szCs w:val="10"/>
                <w:lang w:eastAsia="tr-TR"/>
              </w:rPr>
            </w:pPr>
            <w:r w:rsidRPr="00005453">
              <w:rPr>
                <w:b/>
                <w:color w:val="000000"/>
                <w:sz w:val="10"/>
                <w:szCs w:val="10"/>
              </w:rPr>
              <w:t>72,014,289</w:t>
            </w:r>
          </w:p>
        </w:tc>
      </w:tr>
      <w:tr w:rsidR="0080138C" w:rsidRPr="00005453" w14:paraId="469E34C7" w14:textId="77777777" w:rsidTr="0080138C">
        <w:trPr>
          <w:divId w:val="224265873"/>
          <w:trHeight w:val="199"/>
        </w:trPr>
        <w:tc>
          <w:tcPr>
            <w:tcW w:w="733" w:type="dxa"/>
            <w:tcBorders>
              <w:top w:val="nil"/>
              <w:left w:val="nil"/>
              <w:bottom w:val="nil"/>
              <w:right w:val="nil"/>
            </w:tcBorders>
            <w:shd w:val="clear" w:color="auto" w:fill="auto"/>
            <w:noWrap/>
            <w:hideMark/>
          </w:tcPr>
          <w:p w14:paraId="21F88B44" w14:textId="77777777" w:rsidR="0080138C" w:rsidRPr="00005453" w:rsidRDefault="0080138C" w:rsidP="0080138C">
            <w:pPr>
              <w:rPr>
                <w:color w:val="000000"/>
                <w:sz w:val="10"/>
                <w:szCs w:val="10"/>
                <w:lang w:eastAsia="tr-TR"/>
              </w:rPr>
            </w:pPr>
            <w:r w:rsidRPr="00005453">
              <w:rPr>
                <w:color w:val="000000"/>
                <w:sz w:val="10"/>
                <w:szCs w:val="10"/>
                <w:lang w:eastAsia="tr-TR"/>
              </w:rPr>
              <w:t xml:space="preserve">Madencilik ve Taşocakçılığı </w:t>
            </w:r>
          </w:p>
        </w:tc>
        <w:tc>
          <w:tcPr>
            <w:tcW w:w="776" w:type="dxa"/>
            <w:tcBorders>
              <w:top w:val="nil"/>
              <w:left w:val="nil"/>
              <w:bottom w:val="nil"/>
              <w:right w:val="nil"/>
            </w:tcBorders>
            <w:shd w:val="clear" w:color="auto" w:fill="auto"/>
            <w:vAlign w:val="center"/>
            <w:hideMark/>
          </w:tcPr>
          <w:p w14:paraId="57038558" w14:textId="19137240"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3D1F7269" w14:textId="5BA06A40"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7A750021" w14:textId="3B60B478"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7592F7F5" w14:textId="57C6143F"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223F6984" w14:textId="5672D120"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75BFBC00" w14:textId="2607E7E8"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579C3E0A" w14:textId="17326034" w:rsidR="0080138C" w:rsidRPr="00005453" w:rsidRDefault="0080138C" w:rsidP="0080138C">
            <w:pPr>
              <w:jc w:val="right"/>
              <w:rPr>
                <w:color w:val="000000"/>
                <w:sz w:val="10"/>
                <w:szCs w:val="10"/>
                <w:lang w:eastAsia="tr-TR"/>
              </w:rPr>
            </w:pPr>
            <w:r w:rsidRPr="00005453">
              <w:rPr>
                <w:color w:val="000000"/>
                <w:sz w:val="10"/>
                <w:szCs w:val="10"/>
              </w:rPr>
              <w:t>8,562,212</w:t>
            </w:r>
          </w:p>
        </w:tc>
        <w:tc>
          <w:tcPr>
            <w:tcW w:w="635" w:type="dxa"/>
            <w:tcBorders>
              <w:top w:val="nil"/>
              <w:left w:val="nil"/>
              <w:bottom w:val="nil"/>
              <w:right w:val="nil"/>
            </w:tcBorders>
            <w:shd w:val="clear" w:color="auto" w:fill="auto"/>
            <w:vAlign w:val="center"/>
            <w:hideMark/>
          </w:tcPr>
          <w:p w14:paraId="2004F128" w14:textId="06BECA85" w:rsidR="0080138C" w:rsidRPr="00005453" w:rsidRDefault="0080138C" w:rsidP="0080138C">
            <w:pPr>
              <w:jc w:val="right"/>
              <w:rPr>
                <w:color w:val="000000"/>
                <w:sz w:val="10"/>
                <w:szCs w:val="10"/>
                <w:lang w:eastAsia="tr-TR"/>
              </w:rPr>
            </w:pPr>
            <w:r w:rsidRPr="00005453">
              <w:rPr>
                <w:color w:val="000000"/>
                <w:sz w:val="10"/>
                <w:szCs w:val="10"/>
              </w:rPr>
              <w:t>2,185,315</w:t>
            </w:r>
          </w:p>
        </w:tc>
        <w:tc>
          <w:tcPr>
            <w:tcW w:w="947" w:type="dxa"/>
            <w:tcBorders>
              <w:top w:val="nil"/>
              <w:left w:val="nil"/>
              <w:bottom w:val="nil"/>
              <w:right w:val="nil"/>
            </w:tcBorders>
            <w:shd w:val="clear" w:color="auto" w:fill="auto"/>
            <w:vAlign w:val="center"/>
            <w:hideMark/>
          </w:tcPr>
          <w:p w14:paraId="78A4581B" w14:textId="28E921C9" w:rsidR="0080138C" w:rsidRPr="00005453" w:rsidRDefault="0080138C" w:rsidP="0080138C">
            <w:pPr>
              <w:jc w:val="right"/>
              <w:rPr>
                <w:color w:val="000000"/>
                <w:sz w:val="10"/>
                <w:szCs w:val="10"/>
                <w:lang w:eastAsia="tr-TR"/>
              </w:rPr>
            </w:pPr>
            <w:r w:rsidRPr="00005453">
              <w:rPr>
                <w:color w:val="000000"/>
                <w:sz w:val="10"/>
                <w:szCs w:val="10"/>
              </w:rPr>
              <w:t>2,299,157</w:t>
            </w:r>
          </w:p>
        </w:tc>
        <w:tc>
          <w:tcPr>
            <w:tcW w:w="676" w:type="dxa"/>
            <w:tcBorders>
              <w:top w:val="nil"/>
              <w:left w:val="nil"/>
              <w:bottom w:val="nil"/>
              <w:right w:val="nil"/>
            </w:tcBorders>
            <w:shd w:val="clear" w:color="auto" w:fill="auto"/>
            <w:vAlign w:val="center"/>
            <w:hideMark/>
          </w:tcPr>
          <w:p w14:paraId="53D4F613" w14:textId="35A5CEBC" w:rsidR="0080138C" w:rsidRPr="00005453" w:rsidRDefault="0080138C" w:rsidP="0080138C">
            <w:pPr>
              <w:jc w:val="right"/>
              <w:rPr>
                <w:color w:val="000000"/>
                <w:sz w:val="10"/>
                <w:szCs w:val="10"/>
                <w:lang w:eastAsia="tr-TR"/>
              </w:rPr>
            </w:pPr>
            <w:r w:rsidRPr="00005453">
              <w:rPr>
                <w:color w:val="000000"/>
                <w:sz w:val="10"/>
                <w:szCs w:val="10"/>
              </w:rPr>
              <w:t>477</w:t>
            </w:r>
          </w:p>
        </w:tc>
        <w:tc>
          <w:tcPr>
            <w:tcW w:w="676" w:type="dxa"/>
            <w:tcBorders>
              <w:top w:val="nil"/>
              <w:left w:val="nil"/>
              <w:bottom w:val="nil"/>
              <w:right w:val="nil"/>
            </w:tcBorders>
            <w:shd w:val="clear" w:color="auto" w:fill="auto"/>
            <w:vAlign w:val="center"/>
            <w:hideMark/>
          </w:tcPr>
          <w:p w14:paraId="2BF110E5" w14:textId="46D4E269" w:rsidR="0080138C" w:rsidRPr="00005453" w:rsidRDefault="0080138C" w:rsidP="0080138C">
            <w:pPr>
              <w:jc w:val="right"/>
              <w:rPr>
                <w:color w:val="000000"/>
                <w:sz w:val="10"/>
                <w:szCs w:val="10"/>
                <w:lang w:eastAsia="tr-TR"/>
              </w:rPr>
            </w:pPr>
            <w:r w:rsidRPr="00005453">
              <w:rPr>
                <w:color w:val="000000"/>
                <w:sz w:val="10"/>
                <w:szCs w:val="10"/>
              </w:rPr>
              <w:t>1,132,336</w:t>
            </w:r>
          </w:p>
        </w:tc>
        <w:tc>
          <w:tcPr>
            <w:tcW w:w="562" w:type="dxa"/>
            <w:tcBorders>
              <w:top w:val="nil"/>
              <w:left w:val="nil"/>
              <w:bottom w:val="nil"/>
              <w:right w:val="nil"/>
            </w:tcBorders>
            <w:shd w:val="clear" w:color="auto" w:fill="auto"/>
            <w:vAlign w:val="center"/>
            <w:hideMark/>
          </w:tcPr>
          <w:p w14:paraId="5A21DA6F" w14:textId="1639C4AC"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5FC5CBD5" w14:textId="06C85EA9"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42299FB8" w14:textId="7D611249"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51E11A8D" w14:textId="0B774BE3"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43C482B7" w14:textId="685DC899"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64D78B1B" w14:textId="7084A53C" w:rsidR="0080138C" w:rsidRPr="00005453" w:rsidRDefault="0080138C" w:rsidP="0080138C">
            <w:pPr>
              <w:jc w:val="right"/>
              <w:rPr>
                <w:color w:val="000000"/>
                <w:sz w:val="10"/>
                <w:szCs w:val="10"/>
                <w:lang w:eastAsia="tr-TR"/>
              </w:rPr>
            </w:pPr>
            <w:r w:rsidRPr="00005453">
              <w:rPr>
                <w:color w:val="000000"/>
                <w:sz w:val="10"/>
                <w:szCs w:val="10"/>
              </w:rPr>
              <w:t>3,273</w:t>
            </w:r>
          </w:p>
        </w:tc>
        <w:tc>
          <w:tcPr>
            <w:tcW w:w="667" w:type="dxa"/>
            <w:tcBorders>
              <w:top w:val="nil"/>
              <w:left w:val="nil"/>
              <w:bottom w:val="nil"/>
              <w:right w:val="nil"/>
            </w:tcBorders>
            <w:shd w:val="clear" w:color="auto" w:fill="auto"/>
            <w:vAlign w:val="center"/>
            <w:hideMark/>
          </w:tcPr>
          <w:p w14:paraId="3C0088D7" w14:textId="17A8F9AF" w:rsidR="0080138C" w:rsidRPr="00005453" w:rsidRDefault="0080138C" w:rsidP="0080138C">
            <w:pPr>
              <w:jc w:val="right"/>
              <w:rPr>
                <w:color w:val="000000"/>
                <w:sz w:val="10"/>
                <w:szCs w:val="10"/>
                <w:lang w:eastAsia="tr-TR"/>
              </w:rPr>
            </w:pPr>
            <w:r w:rsidRPr="00005453">
              <w:rPr>
                <w:color w:val="000000"/>
                <w:sz w:val="10"/>
                <w:szCs w:val="10"/>
              </w:rPr>
              <w:t>6,108,694</w:t>
            </w:r>
          </w:p>
        </w:tc>
        <w:tc>
          <w:tcPr>
            <w:tcW w:w="640" w:type="dxa"/>
            <w:tcBorders>
              <w:top w:val="nil"/>
              <w:left w:val="nil"/>
              <w:bottom w:val="nil"/>
              <w:right w:val="nil"/>
            </w:tcBorders>
            <w:shd w:val="clear" w:color="auto" w:fill="auto"/>
            <w:vAlign w:val="center"/>
            <w:hideMark/>
          </w:tcPr>
          <w:p w14:paraId="7B8E6782" w14:textId="590F87D6" w:rsidR="0080138C" w:rsidRPr="00005453" w:rsidRDefault="0080138C" w:rsidP="0080138C">
            <w:pPr>
              <w:jc w:val="right"/>
              <w:rPr>
                <w:color w:val="000000"/>
                <w:sz w:val="10"/>
                <w:szCs w:val="10"/>
                <w:lang w:eastAsia="tr-TR"/>
              </w:rPr>
            </w:pPr>
            <w:r w:rsidRPr="00005453">
              <w:rPr>
                <w:color w:val="000000"/>
                <w:sz w:val="10"/>
                <w:szCs w:val="10"/>
              </w:rPr>
              <w:t>8,074,076</w:t>
            </w:r>
          </w:p>
        </w:tc>
        <w:tc>
          <w:tcPr>
            <w:tcW w:w="690" w:type="dxa"/>
            <w:tcBorders>
              <w:top w:val="nil"/>
              <w:left w:val="nil"/>
              <w:bottom w:val="nil"/>
              <w:right w:val="nil"/>
            </w:tcBorders>
            <w:shd w:val="clear" w:color="auto" w:fill="auto"/>
            <w:vAlign w:val="center"/>
            <w:hideMark/>
          </w:tcPr>
          <w:p w14:paraId="2125EA67" w14:textId="41386F0D" w:rsidR="0080138C" w:rsidRPr="00005453" w:rsidRDefault="0080138C" w:rsidP="0080138C">
            <w:pPr>
              <w:jc w:val="right"/>
              <w:rPr>
                <w:color w:val="000000"/>
                <w:sz w:val="10"/>
                <w:szCs w:val="10"/>
                <w:lang w:eastAsia="tr-TR"/>
              </w:rPr>
            </w:pPr>
            <w:r w:rsidRPr="00005453">
              <w:rPr>
                <w:color w:val="000000"/>
                <w:sz w:val="10"/>
                <w:szCs w:val="10"/>
              </w:rPr>
              <w:t>14,182,770</w:t>
            </w:r>
          </w:p>
        </w:tc>
      </w:tr>
      <w:tr w:rsidR="0080138C" w:rsidRPr="00005453" w14:paraId="15F96F8A" w14:textId="77777777" w:rsidTr="0080138C">
        <w:trPr>
          <w:divId w:val="224265873"/>
          <w:trHeight w:val="199"/>
        </w:trPr>
        <w:tc>
          <w:tcPr>
            <w:tcW w:w="733" w:type="dxa"/>
            <w:tcBorders>
              <w:top w:val="nil"/>
              <w:left w:val="nil"/>
              <w:bottom w:val="nil"/>
              <w:right w:val="nil"/>
            </w:tcBorders>
            <w:shd w:val="clear" w:color="auto" w:fill="auto"/>
            <w:noWrap/>
            <w:hideMark/>
          </w:tcPr>
          <w:p w14:paraId="3E5B9B72" w14:textId="77777777" w:rsidR="0080138C" w:rsidRPr="00005453" w:rsidRDefault="0080138C" w:rsidP="0080138C">
            <w:pPr>
              <w:rPr>
                <w:color w:val="000000"/>
                <w:sz w:val="10"/>
                <w:szCs w:val="10"/>
                <w:lang w:eastAsia="tr-TR"/>
              </w:rPr>
            </w:pPr>
            <w:r w:rsidRPr="00005453">
              <w:rPr>
                <w:color w:val="000000"/>
                <w:sz w:val="10"/>
                <w:szCs w:val="10"/>
                <w:lang w:eastAsia="tr-TR"/>
              </w:rPr>
              <w:t>İmalat Sanayi</w:t>
            </w:r>
          </w:p>
        </w:tc>
        <w:tc>
          <w:tcPr>
            <w:tcW w:w="776" w:type="dxa"/>
            <w:tcBorders>
              <w:top w:val="nil"/>
              <w:left w:val="nil"/>
              <w:bottom w:val="nil"/>
              <w:right w:val="nil"/>
            </w:tcBorders>
            <w:shd w:val="clear" w:color="auto" w:fill="auto"/>
            <w:vAlign w:val="center"/>
            <w:hideMark/>
          </w:tcPr>
          <w:p w14:paraId="5B67467E" w14:textId="53F832DE"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24084710" w14:textId="4FACEC16"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6C9AEAE1" w14:textId="222D7E31"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0E31B12D" w14:textId="5B320645"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2366D381" w14:textId="69B81630"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3ACCD2A2" w14:textId="425AD157"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5EB9515D" w14:textId="5ED58277" w:rsidR="0080138C" w:rsidRPr="00005453" w:rsidRDefault="0080138C" w:rsidP="0080138C">
            <w:pPr>
              <w:jc w:val="right"/>
              <w:rPr>
                <w:color w:val="000000"/>
                <w:sz w:val="10"/>
                <w:szCs w:val="10"/>
                <w:lang w:eastAsia="tr-TR"/>
              </w:rPr>
            </w:pPr>
            <w:r w:rsidRPr="00005453">
              <w:rPr>
                <w:color w:val="000000"/>
                <w:sz w:val="10"/>
                <w:szCs w:val="10"/>
              </w:rPr>
              <w:t>22,347,847</w:t>
            </w:r>
          </w:p>
        </w:tc>
        <w:tc>
          <w:tcPr>
            <w:tcW w:w="635" w:type="dxa"/>
            <w:tcBorders>
              <w:top w:val="nil"/>
              <w:left w:val="nil"/>
              <w:bottom w:val="nil"/>
              <w:right w:val="nil"/>
            </w:tcBorders>
            <w:shd w:val="clear" w:color="auto" w:fill="auto"/>
            <w:vAlign w:val="center"/>
            <w:hideMark/>
          </w:tcPr>
          <w:p w14:paraId="067345B0" w14:textId="1A55CBFC" w:rsidR="0080138C" w:rsidRPr="00005453" w:rsidRDefault="0080138C" w:rsidP="0080138C">
            <w:pPr>
              <w:jc w:val="right"/>
              <w:rPr>
                <w:color w:val="000000"/>
                <w:sz w:val="10"/>
                <w:szCs w:val="10"/>
                <w:lang w:eastAsia="tr-TR"/>
              </w:rPr>
            </w:pPr>
            <w:r w:rsidRPr="00005453">
              <w:rPr>
                <w:color w:val="000000"/>
                <w:sz w:val="10"/>
                <w:szCs w:val="10"/>
              </w:rPr>
              <w:t>8,906,615</w:t>
            </w:r>
          </w:p>
        </w:tc>
        <w:tc>
          <w:tcPr>
            <w:tcW w:w="947" w:type="dxa"/>
            <w:tcBorders>
              <w:top w:val="nil"/>
              <w:left w:val="nil"/>
              <w:bottom w:val="nil"/>
              <w:right w:val="nil"/>
            </w:tcBorders>
            <w:shd w:val="clear" w:color="auto" w:fill="auto"/>
            <w:vAlign w:val="center"/>
            <w:hideMark/>
          </w:tcPr>
          <w:p w14:paraId="0F452FCE" w14:textId="775EA6C6" w:rsidR="0080138C" w:rsidRPr="00005453" w:rsidRDefault="0080138C" w:rsidP="0080138C">
            <w:pPr>
              <w:jc w:val="right"/>
              <w:rPr>
                <w:color w:val="000000"/>
                <w:sz w:val="10"/>
                <w:szCs w:val="10"/>
                <w:lang w:eastAsia="tr-TR"/>
              </w:rPr>
            </w:pPr>
            <w:r w:rsidRPr="00005453">
              <w:rPr>
                <w:color w:val="000000"/>
                <w:sz w:val="10"/>
                <w:szCs w:val="10"/>
              </w:rPr>
              <w:t>11,453,358</w:t>
            </w:r>
          </w:p>
        </w:tc>
        <w:tc>
          <w:tcPr>
            <w:tcW w:w="676" w:type="dxa"/>
            <w:tcBorders>
              <w:top w:val="nil"/>
              <w:left w:val="nil"/>
              <w:bottom w:val="nil"/>
              <w:right w:val="nil"/>
            </w:tcBorders>
            <w:shd w:val="clear" w:color="auto" w:fill="auto"/>
            <w:vAlign w:val="center"/>
            <w:hideMark/>
          </w:tcPr>
          <w:p w14:paraId="6C47B485" w14:textId="42520399" w:rsidR="0080138C" w:rsidRPr="00005453" w:rsidRDefault="0080138C" w:rsidP="0080138C">
            <w:pPr>
              <w:jc w:val="right"/>
              <w:rPr>
                <w:color w:val="000000"/>
                <w:sz w:val="10"/>
                <w:szCs w:val="10"/>
                <w:lang w:eastAsia="tr-TR"/>
              </w:rPr>
            </w:pPr>
            <w:r w:rsidRPr="00005453">
              <w:rPr>
                <w:color w:val="000000"/>
                <w:sz w:val="10"/>
                <w:szCs w:val="10"/>
              </w:rPr>
              <w:t>17,715</w:t>
            </w:r>
          </w:p>
        </w:tc>
        <w:tc>
          <w:tcPr>
            <w:tcW w:w="676" w:type="dxa"/>
            <w:tcBorders>
              <w:top w:val="nil"/>
              <w:left w:val="nil"/>
              <w:bottom w:val="nil"/>
              <w:right w:val="nil"/>
            </w:tcBorders>
            <w:shd w:val="clear" w:color="auto" w:fill="auto"/>
            <w:vAlign w:val="center"/>
            <w:hideMark/>
          </w:tcPr>
          <w:p w14:paraId="15E5457C" w14:textId="248EEC65" w:rsidR="0080138C" w:rsidRPr="00005453" w:rsidRDefault="0080138C" w:rsidP="0080138C">
            <w:pPr>
              <w:jc w:val="right"/>
              <w:rPr>
                <w:color w:val="000000"/>
                <w:sz w:val="10"/>
                <w:szCs w:val="10"/>
                <w:lang w:eastAsia="tr-TR"/>
              </w:rPr>
            </w:pPr>
            <w:r w:rsidRPr="00005453">
              <w:rPr>
                <w:color w:val="000000"/>
                <w:sz w:val="10"/>
                <w:szCs w:val="10"/>
              </w:rPr>
              <w:t>6,733,717</w:t>
            </w:r>
          </w:p>
        </w:tc>
        <w:tc>
          <w:tcPr>
            <w:tcW w:w="562" w:type="dxa"/>
            <w:tcBorders>
              <w:top w:val="nil"/>
              <w:left w:val="nil"/>
              <w:bottom w:val="nil"/>
              <w:right w:val="nil"/>
            </w:tcBorders>
            <w:shd w:val="clear" w:color="auto" w:fill="auto"/>
            <w:vAlign w:val="center"/>
            <w:hideMark/>
          </w:tcPr>
          <w:p w14:paraId="17A76092" w14:textId="67F62D46"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0B306F33" w14:textId="60ACC2CF"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5C26A6CE" w14:textId="2F133981"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51DA1E47" w14:textId="6721CCDE"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37C863C8" w14:textId="70E57E7B"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1DA8CF44" w14:textId="46C3709D" w:rsidR="0080138C" w:rsidRPr="00005453" w:rsidRDefault="0080138C" w:rsidP="0080138C">
            <w:pPr>
              <w:jc w:val="right"/>
              <w:rPr>
                <w:color w:val="000000"/>
                <w:sz w:val="10"/>
                <w:szCs w:val="10"/>
                <w:lang w:eastAsia="tr-TR"/>
              </w:rPr>
            </w:pPr>
            <w:r w:rsidRPr="00005453">
              <w:rPr>
                <w:color w:val="000000"/>
                <w:sz w:val="10"/>
                <w:szCs w:val="10"/>
              </w:rPr>
              <w:t>34,977</w:t>
            </w:r>
          </w:p>
        </w:tc>
        <w:tc>
          <w:tcPr>
            <w:tcW w:w="667" w:type="dxa"/>
            <w:tcBorders>
              <w:top w:val="nil"/>
              <w:left w:val="nil"/>
              <w:bottom w:val="nil"/>
              <w:right w:val="nil"/>
            </w:tcBorders>
            <w:shd w:val="clear" w:color="auto" w:fill="auto"/>
            <w:vAlign w:val="center"/>
            <w:hideMark/>
          </w:tcPr>
          <w:p w14:paraId="702434D9" w14:textId="46E7D1A0" w:rsidR="0080138C" w:rsidRPr="00005453" w:rsidRDefault="0080138C" w:rsidP="0080138C">
            <w:pPr>
              <w:jc w:val="right"/>
              <w:rPr>
                <w:color w:val="000000"/>
                <w:sz w:val="10"/>
                <w:szCs w:val="10"/>
                <w:lang w:eastAsia="tr-TR"/>
              </w:rPr>
            </w:pPr>
            <w:r w:rsidRPr="00005453">
              <w:rPr>
                <w:color w:val="000000"/>
                <w:sz w:val="10"/>
                <w:szCs w:val="10"/>
              </w:rPr>
              <w:t>28,828,618</w:t>
            </w:r>
          </w:p>
        </w:tc>
        <w:tc>
          <w:tcPr>
            <w:tcW w:w="640" w:type="dxa"/>
            <w:tcBorders>
              <w:top w:val="nil"/>
              <w:left w:val="nil"/>
              <w:bottom w:val="nil"/>
              <w:right w:val="nil"/>
            </w:tcBorders>
            <w:shd w:val="clear" w:color="auto" w:fill="auto"/>
            <w:vAlign w:val="center"/>
            <w:hideMark/>
          </w:tcPr>
          <w:p w14:paraId="380C5E2C" w14:textId="2E180235" w:rsidR="0080138C" w:rsidRPr="00005453" w:rsidRDefault="0080138C" w:rsidP="0080138C">
            <w:pPr>
              <w:jc w:val="right"/>
              <w:rPr>
                <w:color w:val="000000"/>
                <w:sz w:val="10"/>
                <w:szCs w:val="10"/>
                <w:lang w:eastAsia="tr-TR"/>
              </w:rPr>
            </w:pPr>
            <w:r w:rsidRPr="00005453">
              <w:rPr>
                <w:color w:val="000000"/>
                <w:sz w:val="10"/>
                <w:szCs w:val="10"/>
              </w:rPr>
              <w:t>20,665,611</w:t>
            </w:r>
          </w:p>
        </w:tc>
        <w:tc>
          <w:tcPr>
            <w:tcW w:w="690" w:type="dxa"/>
            <w:tcBorders>
              <w:top w:val="nil"/>
              <w:left w:val="nil"/>
              <w:bottom w:val="nil"/>
              <w:right w:val="nil"/>
            </w:tcBorders>
            <w:shd w:val="clear" w:color="auto" w:fill="auto"/>
            <w:vAlign w:val="center"/>
            <w:hideMark/>
          </w:tcPr>
          <w:p w14:paraId="4D8582D8" w14:textId="6DE8F459" w:rsidR="0080138C" w:rsidRPr="00005453" w:rsidRDefault="0080138C" w:rsidP="0080138C">
            <w:pPr>
              <w:jc w:val="right"/>
              <w:rPr>
                <w:color w:val="000000"/>
                <w:sz w:val="10"/>
                <w:szCs w:val="10"/>
                <w:lang w:eastAsia="tr-TR"/>
              </w:rPr>
            </w:pPr>
            <w:r w:rsidRPr="00005453">
              <w:rPr>
                <w:color w:val="000000"/>
                <w:sz w:val="10"/>
                <w:szCs w:val="10"/>
              </w:rPr>
              <w:t>49,494,229</w:t>
            </w:r>
          </w:p>
        </w:tc>
      </w:tr>
      <w:tr w:rsidR="0080138C" w:rsidRPr="00005453" w14:paraId="6B041D71" w14:textId="77777777" w:rsidTr="0080138C">
        <w:trPr>
          <w:divId w:val="224265873"/>
          <w:trHeight w:val="199"/>
        </w:trPr>
        <w:tc>
          <w:tcPr>
            <w:tcW w:w="733" w:type="dxa"/>
            <w:tcBorders>
              <w:top w:val="nil"/>
              <w:left w:val="nil"/>
              <w:bottom w:val="nil"/>
              <w:right w:val="nil"/>
            </w:tcBorders>
            <w:shd w:val="clear" w:color="auto" w:fill="auto"/>
            <w:noWrap/>
            <w:hideMark/>
          </w:tcPr>
          <w:p w14:paraId="1D38B729" w14:textId="77777777" w:rsidR="0080138C" w:rsidRPr="00005453" w:rsidRDefault="0080138C" w:rsidP="0080138C">
            <w:pPr>
              <w:rPr>
                <w:color w:val="000000"/>
                <w:sz w:val="10"/>
                <w:szCs w:val="10"/>
                <w:lang w:eastAsia="tr-TR"/>
              </w:rPr>
            </w:pPr>
            <w:r w:rsidRPr="00005453">
              <w:rPr>
                <w:color w:val="000000"/>
                <w:sz w:val="10"/>
                <w:szCs w:val="10"/>
                <w:lang w:eastAsia="tr-TR"/>
              </w:rPr>
              <w:t>Elektrik, Gaz, Su</w:t>
            </w:r>
          </w:p>
        </w:tc>
        <w:tc>
          <w:tcPr>
            <w:tcW w:w="776" w:type="dxa"/>
            <w:tcBorders>
              <w:top w:val="nil"/>
              <w:left w:val="nil"/>
              <w:bottom w:val="nil"/>
              <w:right w:val="nil"/>
            </w:tcBorders>
            <w:shd w:val="clear" w:color="auto" w:fill="auto"/>
            <w:vAlign w:val="center"/>
            <w:hideMark/>
          </w:tcPr>
          <w:p w14:paraId="23D751F3" w14:textId="2EE71DF0"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166F97A5" w14:textId="4DF15B48"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5219498A" w14:textId="3B4C0216"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2F27209B" w14:textId="0039B9D9"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0B1A9C40" w14:textId="01CBCC3D"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16E8F0BC" w14:textId="44D6AC48"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01681998" w14:textId="5458A839" w:rsidR="0080138C" w:rsidRPr="00005453" w:rsidRDefault="0080138C" w:rsidP="0080138C">
            <w:pPr>
              <w:jc w:val="right"/>
              <w:rPr>
                <w:color w:val="000000"/>
                <w:sz w:val="10"/>
                <w:szCs w:val="10"/>
                <w:lang w:eastAsia="tr-TR"/>
              </w:rPr>
            </w:pPr>
            <w:r w:rsidRPr="00005453">
              <w:rPr>
                <w:color w:val="000000"/>
                <w:sz w:val="10"/>
                <w:szCs w:val="10"/>
              </w:rPr>
              <w:t>5,842,414</w:t>
            </w:r>
          </w:p>
        </w:tc>
        <w:tc>
          <w:tcPr>
            <w:tcW w:w="635" w:type="dxa"/>
            <w:tcBorders>
              <w:top w:val="nil"/>
              <w:left w:val="nil"/>
              <w:bottom w:val="nil"/>
              <w:right w:val="nil"/>
            </w:tcBorders>
            <w:shd w:val="clear" w:color="auto" w:fill="auto"/>
            <w:vAlign w:val="center"/>
            <w:hideMark/>
          </w:tcPr>
          <w:p w14:paraId="11AA7FAA" w14:textId="241E0BA3" w:rsidR="0080138C" w:rsidRPr="00005453" w:rsidRDefault="0080138C" w:rsidP="0080138C">
            <w:pPr>
              <w:jc w:val="right"/>
              <w:rPr>
                <w:color w:val="000000"/>
                <w:sz w:val="10"/>
                <w:szCs w:val="10"/>
                <w:lang w:eastAsia="tr-TR"/>
              </w:rPr>
            </w:pPr>
            <w:r w:rsidRPr="00005453">
              <w:rPr>
                <w:color w:val="000000"/>
                <w:sz w:val="10"/>
                <w:szCs w:val="10"/>
              </w:rPr>
              <w:t>859,491</w:t>
            </w:r>
          </w:p>
        </w:tc>
        <w:tc>
          <w:tcPr>
            <w:tcW w:w="947" w:type="dxa"/>
            <w:tcBorders>
              <w:top w:val="nil"/>
              <w:left w:val="nil"/>
              <w:bottom w:val="nil"/>
              <w:right w:val="nil"/>
            </w:tcBorders>
            <w:shd w:val="clear" w:color="auto" w:fill="auto"/>
            <w:vAlign w:val="center"/>
            <w:hideMark/>
          </w:tcPr>
          <w:p w14:paraId="54F04D03" w14:textId="3C5B3578" w:rsidR="0080138C" w:rsidRPr="00005453" w:rsidRDefault="0080138C" w:rsidP="0080138C">
            <w:pPr>
              <w:jc w:val="right"/>
              <w:rPr>
                <w:color w:val="000000"/>
                <w:sz w:val="10"/>
                <w:szCs w:val="10"/>
                <w:lang w:eastAsia="tr-TR"/>
              </w:rPr>
            </w:pPr>
            <w:r w:rsidRPr="00005453">
              <w:rPr>
                <w:color w:val="000000"/>
                <w:sz w:val="10"/>
                <w:szCs w:val="10"/>
              </w:rPr>
              <w:t>990,809</w:t>
            </w:r>
          </w:p>
        </w:tc>
        <w:tc>
          <w:tcPr>
            <w:tcW w:w="676" w:type="dxa"/>
            <w:tcBorders>
              <w:top w:val="nil"/>
              <w:left w:val="nil"/>
              <w:bottom w:val="nil"/>
              <w:right w:val="nil"/>
            </w:tcBorders>
            <w:shd w:val="clear" w:color="auto" w:fill="auto"/>
            <w:vAlign w:val="center"/>
            <w:hideMark/>
          </w:tcPr>
          <w:p w14:paraId="21C75089" w14:textId="4CBAFCDC" w:rsidR="0080138C" w:rsidRPr="00005453" w:rsidRDefault="0080138C" w:rsidP="0080138C">
            <w:pPr>
              <w:jc w:val="right"/>
              <w:rPr>
                <w:color w:val="000000"/>
                <w:sz w:val="10"/>
                <w:szCs w:val="10"/>
                <w:lang w:eastAsia="tr-TR"/>
              </w:rPr>
            </w:pPr>
            <w:r w:rsidRPr="00005453">
              <w:rPr>
                <w:color w:val="000000"/>
                <w:sz w:val="10"/>
                <w:szCs w:val="10"/>
              </w:rPr>
              <w:t>106</w:t>
            </w:r>
          </w:p>
        </w:tc>
        <w:tc>
          <w:tcPr>
            <w:tcW w:w="676" w:type="dxa"/>
            <w:tcBorders>
              <w:top w:val="nil"/>
              <w:left w:val="nil"/>
              <w:bottom w:val="nil"/>
              <w:right w:val="nil"/>
            </w:tcBorders>
            <w:shd w:val="clear" w:color="auto" w:fill="auto"/>
            <w:vAlign w:val="center"/>
            <w:hideMark/>
          </w:tcPr>
          <w:p w14:paraId="76694ADE" w14:textId="16C212BD" w:rsidR="0080138C" w:rsidRPr="00005453" w:rsidRDefault="0080138C" w:rsidP="0080138C">
            <w:pPr>
              <w:jc w:val="right"/>
              <w:rPr>
                <w:color w:val="000000"/>
                <w:sz w:val="10"/>
                <w:szCs w:val="10"/>
                <w:lang w:eastAsia="tr-TR"/>
              </w:rPr>
            </w:pPr>
            <w:r w:rsidRPr="00005453">
              <w:rPr>
                <w:color w:val="000000"/>
                <w:sz w:val="10"/>
                <w:szCs w:val="10"/>
              </w:rPr>
              <w:t>630,867</w:t>
            </w:r>
          </w:p>
        </w:tc>
        <w:tc>
          <w:tcPr>
            <w:tcW w:w="562" w:type="dxa"/>
            <w:tcBorders>
              <w:top w:val="nil"/>
              <w:left w:val="nil"/>
              <w:bottom w:val="nil"/>
              <w:right w:val="nil"/>
            </w:tcBorders>
            <w:shd w:val="clear" w:color="auto" w:fill="auto"/>
            <w:vAlign w:val="center"/>
            <w:hideMark/>
          </w:tcPr>
          <w:p w14:paraId="406A2235" w14:textId="258149A1"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42AF12F6" w14:textId="4BC487F8"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51773AB0" w14:textId="398418F1"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66134B2D" w14:textId="55B6AFBE"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0D37E401" w14:textId="2F3219EA"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3432A7FF" w14:textId="3532F940" w:rsidR="0080138C" w:rsidRPr="00005453" w:rsidRDefault="0080138C" w:rsidP="0080138C">
            <w:pPr>
              <w:jc w:val="right"/>
              <w:rPr>
                <w:color w:val="000000"/>
                <w:sz w:val="10"/>
                <w:szCs w:val="10"/>
                <w:lang w:eastAsia="tr-TR"/>
              </w:rPr>
            </w:pPr>
            <w:r w:rsidRPr="00005453">
              <w:rPr>
                <w:color w:val="000000"/>
                <w:sz w:val="10"/>
                <w:szCs w:val="10"/>
              </w:rPr>
              <w:t>13,603</w:t>
            </w:r>
          </w:p>
        </w:tc>
        <w:tc>
          <w:tcPr>
            <w:tcW w:w="667" w:type="dxa"/>
            <w:tcBorders>
              <w:top w:val="nil"/>
              <w:left w:val="nil"/>
              <w:bottom w:val="nil"/>
              <w:right w:val="nil"/>
            </w:tcBorders>
            <w:shd w:val="clear" w:color="auto" w:fill="auto"/>
            <w:vAlign w:val="center"/>
            <w:hideMark/>
          </w:tcPr>
          <w:p w14:paraId="1663ACDE" w14:textId="72A46B5F" w:rsidR="0080138C" w:rsidRPr="00005453" w:rsidRDefault="0080138C" w:rsidP="0080138C">
            <w:pPr>
              <w:jc w:val="right"/>
              <w:rPr>
                <w:color w:val="000000"/>
                <w:sz w:val="10"/>
                <w:szCs w:val="10"/>
                <w:lang w:eastAsia="tr-TR"/>
              </w:rPr>
            </w:pPr>
            <w:r w:rsidRPr="00005453">
              <w:rPr>
                <w:color w:val="000000"/>
                <w:sz w:val="10"/>
                <w:szCs w:val="10"/>
              </w:rPr>
              <w:t>2,095,507</w:t>
            </w:r>
          </w:p>
        </w:tc>
        <w:tc>
          <w:tcPr>
            <w:tcW w:w="640" w:type="dxa"/>
            <w:tcBorders>
              <w:top w:val="nil"/>
              <w:left w:val="nil"/>
              <w:bottom w:val="nil"/>
              <w:right w:val="nil"/>
            </w:tcBorders>
            <w:shd w:val="clear" w:color="auto" w:fill="auto"/>
            <w:vAlign w:val="center"/>
            <w:hideMark/>
          </w:tcPr>
          <w:p w14:paraId="08EB8237" w14:textId="3A510A20" w:rsidR="0080138C" w:rsidRPr="00005453" w:rsidRDefault="0080138C" w:rsidP="0080138C">
            <w:pPr>
              <w:jc w:val="right"/>
              <w:rPr>
                <w:color w:val="000000"/>
                <w:sz w:val="10"/>
                <w:szCs w:val="10"/>
                <w:lang w:eastAsia="tr-TR"/>
              </w:rPr>
            </w:pPr>
            <w:r w:rsidRPr="00005453">
              <w:rPr>
                <w:color w:val="000000"/>
                <w:sz w:val="10"/>
                <w:szCs w:val="10"/>
              </w:rPr>
              <w:t>6,241,783</w:t>
            </w:r>
          </w:p>
        </w:tc>
        <w:tc>
          <w:tcPr>
            <w:tcW w:w="690" w:type="dxa"/>
            <w:tcBorders>
              <w:top w:val="nil"/>
              <w:left w:val="nil"/>
              <w:bottom w:val="nil"/>
              <w:right w:val="nil"/>
            </w:tcBorders>
            <w:shd w:val="clear" w:color="auto" w:fill="auto"/>
            <w:vAlign w:val="center"/>
            <w:hideMark/>
          </w:tcPr>
          <w:p w14:paraId="4DEF28FC" w14:textId="20AFACEF" w:rsidR="0080138C" w:rsidRPr="00005453" w:rsidRDefault="0080138C" w:rsidP="0080138C">
            <w:pPr>
              <w:jc w:val="right"/>
              <w:rPr>
                <w:color w:val="000000"/>
                <w:sz w:val="10"/>
                <w:szCs w:val="10"/>
                <w:lang w:eastAsia="tr-TR"/>
              </w:rPr>
            </w:pPr>
            <w:r w:rsidRPr="00005453">
              <w:rPr>
                <w:color w:val="000000"/>
                <w:sz w:val="10"/>
                <w:szCs w:val="10"/>
              </w:rPr>
              <w:t>8,337,290</w:t>
            </w:r>
          </w:p>
        </w:tc>
      </w:tr>
      <w:tr w:rsidR="0080138C" w:rsidRPr="00005453" w14:paraId="7F4E71FC" w14:textId="77777777" w:rsidTr="0080138C">
        <w:trPr>
          <w:divId w:val="224265873"/>
          <w:trHeight w:val="199"/>
        </w:trPr>
        <w:tc>
          <w:tcPr>
            <w:tcW w:w="733" w:type="dxa"/>
            <w:tcBorders>
              <w:top w:val="nil"/>
              <w:left w:val="nil"/>
              <w:bottom w:val="nil"/>
              <w:right w:val="nil"/>
            </w:tcBorders>
            <w:shd w:val="clear" w:color="auto" w:fill="auto"/>
            <w:noWrap/>
            <w:hideMark/>
          </w:tcPr>
          <w:p w14:paraId="17EA6659" w14:textId="77777777" w:rsidR="0080138C" w:rsidRPr="00005453" w:rsidRDefault="0080138C" w:rsidP="0080138C">
            <w:pPr>
              <w:rPr>
                <w:b/>
                <w:bCs/>
                <w:color w:val="000000"/>
                <w:sz w:val="10"/>
                <w:szCs w:val="10"/>
                <w:lang w:eastAsia="tr-TR"/>
              </w:rPr>
            </w:pPr>
            <w:r w:rsidRPr="00005453">
              <w:rPr>
                <w:b/>
                <w:bCs/>
                <w:color w:val="000000"/>
                <w:sz w:val="10"/>
                <w:szCs w:val="10"/>
                <w:lang w:eastAsia="tr-TR"/>
              </w:rPr>
              <w:t>İnşaat</w:t>
            </w:r>
          </w:p>
        </w:tc>
        <w:tc>
          <w:tcPr>
            <w:tcW w:w="776" w:type="dxa"/>
            <w:tcBorders>
              <w:top w:val="nil"/>
              <w:left w:val="nil"/>
              <w:bottom w:val="nil"/>
              <w:right w:val="nil"/>
            </w:tcBorders>
            <w:shd w:val="clear" w:color="auto" w:fill="auto"/>
            <w:vAlign w:val="center"/>
            <w:hideMark/>
          </w:tcPr>
          <w:p w14:paraId="16652632" w14:textId="61C11E8B"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76" w:type="dxa"/>
            <w:tcBorders>
              <w:top w:val="nil"/>
              <w:left w:val="nil"/>
              <w:bottom w:val="nil"/>
              <w:right w:val="nil"/>
            </w:tcBorders>
            <w:shd w:val="clear" w:color="auto" w:fill="auto"/>
            <w:vAlign w:val="center"/>
            <w:hideMark/>
          </w:tcPr>
          <w:p w14:paraId="4177190A" w14:textId="30A4E2BA" w:rsidR="0080138C" w:rsidRPr="00005453" w:rsidRDefault="0080138C" w:rsidP="0080138C">
            <w:pPr>
              <w:jc w:val="right"/>
              <w:rPr>
                <w:color w:val="000000"/>
                <w:sz w:val="10"/>
                <w:szCs w:val="10"/>
                <w:lang w:eastAsia="tr-TR"/>
              </w:rPr>
            </w:pPr>
            <w:r w:rsidRPr="00005453">
              <w:rPr>
                <w:b/>
                <w:color w:val="000000"/>
                <w:sz w:val="10"/>
                <w:szCs w:val="10"/>
              </w:rPr>
              <w:t>-</w:t>
            </w:r>
          </w:p>
        </w:tc>
        <w:tc>
          <w:tcPr>
            <w:tcW w:w="727" w:type="dxa"/>
            <w:tcBorders>
              <w:top w:val="nil"/>
              <w:left w:val="nil"/>
              <w:bottom w:val="nil"/>
              <w:right w:val="nil"/>
            </w:tcBorders>
            <w:shd w:val="clear" w:color="auto" w:fill="auto"/>
            <w:vAlign w:val="center"/>
            <w:hideMark/>
          </w:tcPr>
          <w:p w14:paraId="11087C69" w14:textId="0E8D963E" w:rsidR="0080138C" w:rsidRPr="00005453" w:rsidRDefault="0080138C" w:rsidP="0080138C">
            <w:pPr>
              <w:jc w:val="right"/>
              <w:rPr>
                <w:color w:val="000000"/>
                <w:sz w:val="10"/>
                <w:szCs w:val="10"/>
                <w:lang w:eastAsia="tr-TR"/>
              </w:rPr>
            </w:pPr>
            <w:r w:rsidRPr="00005453">
              <w:rPr>
                <w:b/>
                <w:color w:val="000000"/>
                <w:sz w:val="10"/>
                <w:szCs w:val="10"/>
              </w:rPr>
              <w:t>-</w:t>
            </w:r>
          </w:p>
        </w:tc>
        <w:tc>
          <w:tcPr>
            <w:tcW w:w="764" w:type="dxa"/>
            <w:tcBorders>
              <w:top w:val="nil"/>
              <w:left w:val="nil"/>
              <w:bottom w:val="nil"/>
              <w:right w:val="nil"/>
            </w:tcBorders>
            <w:shd w:val="clear" w:color="auto" w:fill="auto"/>
            <w:vAlign w:val="center"/>
            <w:hideMark/>
          </w:tcPr>
          <w:p w14:paraId="0D999194" w14:textId="15A0F26C" w:rsidR="0080138C" w:rsidRPr="00005453" w:rsidRDefault="0080138C" w:rsidP="0080138C">
            <w:pPr>
              <w:jc w:val="right"/>
              <w:rPr>
                <w:color w:val="000000"/>
                <w:sz w:val="10"/>
                <w:szCs w:val="10"/>
                <w:lang w:eastAsia="tr-TR"/>
              </w:rPr>
            </w:pPr>
            <w:r w:rsidRPr="00005453">
              <w:rPr>
                <w:b/>
                <w:color w:val="000000"/>
                <w:sz w:val="10"/>
                <w:szCs w:val="10"/>
              </w:rPr>
              <w:t>-</w:t>
            </w:r>
          </w:p>
        </w:tc>
        <w:tc>
          <w:tcPr>
            <w:tcW w:w="733" w:type="dxa"/>
            <w:tcBorders>
              <w:top w:val="nil"/>
              <w:left w:val="nil"/>
              <w:bottom w:val="nil"/>
              <w:right w:val="nil"/>
            </w:tcBorders>
            <w:shd w:val="clear" w:color="auto" w:fill="auto"/>
            <w:vAlign w:val="center"/>
            <w:hideMark/>
          </w:tcPr>
          <w:p w14:paraId="57728E8A" w14:textId="1DEBE93E" w:rsidR="0080138C" w:rsidRPr="00005453" w:rsidRDefault="0080138C" w:rsidP="0080138C">
            <w:pPr>
              <w:jc w:val="right"/>
              <w:rPr>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60D331AD" w14:textId="39B47DDE" w:rsidR="0080138C" w:rsidRPr="00005453" w:rsidRDefault="0080138C" w:rsidP="0080138C">
            <w:pPr>
              <w:jc w:val="right"/>
              <w:rPr>
                <w:color w:val="000000"/>
                <w:sz w:val="10"/>
                <w:szCs w:val="10"/>
                <w:lang w:eastAsia="tr-TR"/>
              </w:rPr>
            </w:pPr>
            <w:r w:rsidRPr="00005453">
              <w:rPr>
                <w:b/>
                <w:color w:val="000000"/>
                <w:sz w:val="10"/>
                <w:szCs w:val="10"/>
              </w:rPr>
              <w:t>-</w:t>
            </w:r>
          </w:p>
        </w:tc>
        <w:tc>
          <w:tcPr>
            <w:tcW w:w="635" w:type="dxa"/>
            <w:tcBorders>
              <w:top w:val="nil"/>
              <w:left w:val="nil"/>
              <w:bottom w:val="nil"/>
              <w:right w:val="nil"/>
            </w:tcBorders>
            <w:shd w:val="clear" w:color="auto" w:fill="auto"/>
            <w:vAlign w:val="center"/>
            <w:hideMark/>
          </w:tcPr>
          <w:p w14:paraId="2125A91E" w14:textId="2211FD97" w:rsidR="0080138C" w:rsidRPr="00005453" w:rsidRDefault="0080138C" w:rsidP="0080138C">
            <w:pPr>
              <w:jc w:val="right"/>
              <w:rPr>
                <w:b/>
                <w:bCs/>
                <w:color w:val="000000"/>
                <w:sz w:val="10"/>
                <w:szCs w:val="10"/>
                <w:lang w:eastAsia="tr-TR"/>
              </w:rPr>
            </w:pPr>
            <w:r w:rsidRPr="00005453">
              <w:rPr>
                <w:b/>
                <w:color w:val="000000"/>
                <w:sz w:val="10"/>
                <w:szCs w:val="10"/>
              </w:rPr>
              <w:t>16,923,788</w:t>
            </w:r>
          </w:p>
        </w:tc>
        <w:tc>
          <w:tcPr>
            <w:tcW w:w="635" w:type="dxa"/>
            <w:tcBorders>
              <w:top w:val="nil"/>
              <w:left w:val="nil"/>
              <w:bottom w:val="nil"/>
              <w:right w:val="nil"/>
            </w:tcBorders>
            <w:shd w:val="clear" w:color="auto" w:fill="auto"/>
            <w:vAlign w:val="center"/>
            <w:hideMark/>
          </w:tcPr>
          <w:p w14:paraId="3CD5B39F" w14:textId="011EAE3E" w:rsidR="0080138C" w:rsidRPr="00005453" w:rsidRDefault="0080138C" w:rsidP="0080138C">
            <w:pPr>
              <w:jc w:val="right"/>
              <w:rPr>
                <w:b/>
                <w:bCs/>
                <w:color w:val="000000"/>
                <w:sz w:val="10"/>
                <w:szCs w:val="10"/>
                <w:lang w:eastAsia="tr-TR"/>
              </w:rPr>
            </w:pPr>
            <w:r w:rsidRPr="00005453">
              <w:rPr>
                <w:b/>
                <w:color w:val="000000"/>
                <w:sz w:val="10"/>
                <w:szCs w:val="10"/>
              </w:rPr>
              <w:t>5,173,427</w:t>
            </w:r>
          </w:p>
        </w:tc>
        <w:tc>
          <w:tcPr>
            <w:tcW w:w="947" w:type="dxa"/>
            <w:tcBorders>
              <w:top w:val="nil"/>
              <w:left w:val="nil"/>
              <w:bottom w:val="nil"/>
              <w:right w:val="nil"/>
            </w:tcBorders>
            <w:shd w:val="clear" w:color="auto" w:fill="auto"/>
            <w:vAlign w:val="center"/>
            <w:hideMark/>
          </w:tcPr>
          <w:p w14:paraId="6D58BECA" w14:textId="10C064DD" w:rsidR="0080138C" w:rsidRPr="00005453" w:rsidRDefault="0080138C" w:rsidP="0080138C">
            <w:pPr>
              <w:jc w:val="right"/>
              <w:rPr>
                <w:b/>
                <w:bCs/>
                <w:color w:val="000000"/>
                <w:sz w:val="10"/>
                <w:szCs w:val="10"/>
                <w:lang w:eastAsia="tr-TR"/>
              </w:rPr>
            </w:pPr>
            <w:r w:rsidRPr="00005453">
              <w:rPr>
                <w:b/>
                <w:color w:val="000000"/>
                <w:sz w:val="10"/>
                <w:szCs w:val="10"/>
              </w:rPr>
              <w:t>7,813,406</w:t>
            </w:r>
          </w:p>
        </w:tc>
        <w:tc>
          <w:tcPr>
            <w:tcW w:w="676" w:type="dxa"/>
            <w:tcBorders>
              <w:top w:val="nil"/>
              <w:left w:val="nil"/>
              <w:bottom w:val="nil"/>
              <w:right w:val="nil"/>
            </w:tcBorders>
            <w:shd w:val="clear" w:color="auto" w:fill="auto"/>
            <w:vAlign w:val="center"/>
            <w:hideMark/>
          </w:tcPr>
          <w:p w14:paraId="009C3808" w14:textId="1693361C" w:rsidR="0080138C" w:rsidRPr="00005453" w:rsidRDefault="0080138C" w:rsidP="0080138C">
            <w:pPr>
              <w:jc w:val="right"/>
              <w:rPr>
                <w:b/>
                <w:bCs/>
                <w:color w:val="000000"/>
                <w:sz w:val="10"/>
                <w:szCs w:val="10"/>
                <w:lang w:eastAsia="tr-TR"/>
              </w:rPr>
            </w:pPr>
            <w:r w:rsidRPr="00005453">
              <w:rPr>
                <w:b/>
                <w:color w:val="000000"/>
                <w:sz w:val="10"/>
                <w:szCs w:val="10"/>
              </w:rPr>
              <w:t>2,487</w:t>
            </w:r>
          </w:p>
        </w:tc>
        <w:tc>
          <w:tcPr>
            <w:tcW w:w="676" w:type="dxa"/>
            <w:tcBorders>
              <w:top w:val="nil"/>
              <w:left w:val="nil"/>
              <w:bottom w:val="nil"/>
              <w:right w:val="nil"/>
            </w:tcBorders>
            <w:shd w:val="clear" w:color="auto" w:fill="auto"/>
            <w:vAlign w:val="center"/>
            <w:hideMark/>
          </w:tcPr>
          <w:p w14:paraId="041E4D12" w14:textId="28CDBA08" w:rsidR="0080138C" w:rsidRPr="00005453" w:rsidRDefault="0080138C" w:rsidP="0080138C">
            <w:pPr>
              <w:jc w:val="right"/>
              <w:rPr>
                <w:b/>
                <w:bCs/>
                <w:color w:val="000000"/>
                <w:sz w:val="10"/>
                <w:szCs w:val="10"/>
                <w:lang w:eastAsia="tr-TR"/>
              </w:rPr>
            </w:pPr>
            <w:r w:rsidRPr="00005453">
              <w:rPr>
                <w:b/>
                <w:color w:val="000000"/>
                <w:sz w:val="10"/>
                <w:szCs w:val="10"/>
              </w:rPr>
              <w:t>1,937,201</w:t>
            </w:r>
          </w:p>
        </w:tc>
        <w:tc>
          <w:tcPr>
            <w:tcW w:w="562" w:type="dxa"/>
            <w:tcBorders>
              <w:top w:val="nil"/>
              <w:left w:val="nil"/>
              <w:bottom w:val="nil"/>
              <w:right w:val="nil"/>
            </w:tcBorders>
            <w:shd w:val="clear" w:color="auto" w:fill="auto"/>
            <w:vAlign w:val="center"/>
            <w:hideMark/>
          </w:tcPr>
          <w:p w14:paraId="197F6DEE" w14:textId="36DC3773"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800" w:type="dxa"/>
            <w:tcBorders>
              <w:top w:val="nil"/>
              <w:left w:val="nil"/>
              <w:bottom w:val="nil"/>
              <w:right w:val="nil"/>
            </w:tcBorders>
            <w:shd w:val="clear" w:color="auto" w:fill="auto"/>
            <w:vAlign w:val="center"/>
            <w:hideMark/>
          </w:tcPr>
          <w:p w14:paraId="48A8FFE3" w14:textId="18BE7C99"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166D796C" w14:textId="52DCB750"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97" w:type="dxa"/>
            <w:tcBorders>
              <w:top w:val="nil"/>
              <w:left w:val="nil"/>
              <w:bottom w:val="nil"/>
              <w:right w:val="nil"/>
            </w:tcBorders>
            <w:shd w:val="clear" w:color="auto" w:fill="auto"/>
            <w:vAlign w:val="center"/>
            <w:hideMark/>
          </w:tcPr>
          <w:p w14:paraId="00D7D4A4" w14:textId="2E0F6036"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29" w:type="dxa"/>
            <w:tcBorders>
              <w:top w:val="nil"/>
              <w:left w:val="nil"/>
              <w:bottom w:val="nil"/>
              <w:right w:val="nil"/>
            </w:tcBorders>
            <w:shd w:val="clear" w:color="auto" w:fill="auto"/>
            <w:vAlign w:val="center"/>
            <w:hideMark/>
          </w:tcPr>
          <w:p w14:paraId="73055817" w14:textId="3018E8C5"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67" w:type="dxa"/>
            <w:tcBorders>
              <w:top w:val="nil"/>
              <w:left w:val="nil"/>
              <w:bottom w:val="nil"/>
              <w:right w:val="nil"/>
            </w:tcBorders>
            <w:shd w:val="clear" w:color="auto" w:fill="auto"/>
            <w:vAlign w:val="center"/>
            <w:hideMark/>
          </w:tcPr>
          <w:p w14:paraId="2F115342" w14:textId="03D5BAE4" w:rsidR="0080138C" w:rsidRPr="00005453" w:rsidRDefault="0080138C" w:rsidP="0080138C">
            <w:pPr>
              <w:jc w:val="right"/>
              <w:rPr>
                <w:b/>
                <w:bCs/>
                <w:color w:val="000000"/>
                <w:sz w:val="10"/>
                <w:szCs w:val="10"/>
                <w:lang w:eastAsia="tr-TR"/>
              </w:rPr>
            </w:pPr>
            <w:r w:rsidRPr="00005453">
              <w:rPr>
                <w:b/>
                <w:color w:val="000000"/>
                <w:sz w:val="10"/>
                <w:szCs w:val="10"/>
              </w:rPr>
              <w:t>14,662</w:t>
            </w:r>
          </w:p>
        </w:tc>
        <w:tc>
          <w:tcPr>
            <w:tcW w:w="667" w:type="dxa"/>
            <w:tcBorders>
              <w:top w:val="nil"/>
              <w:left w:val="nil"/>
              <w:bottom w:val="nil"/>
              <w:right w:val="nil"/>
            </w:tcBorders>
            <w:shd w:val="clear" w:color="auto" w:fill="auto"/>
            <w:vAlign w:val="center"/>
            <w:hideMark/>
          </w:tcPr>
          <w:p w14:paraId="46B3D561" w14:textId="0117CA53" w:rsidR="0080138C" w:rsidRPr="00005453" w:rsidRDefault="0080138C" w:rsidP="0080138C">
            <w:pPr>
              <w:jc w:val="right"/>
              <w:rPr>
                <w:b/>
                <w:bCs/>
                <w:color w:val="000000"/>
                <w:sz w:val="10"/>
                <w:szCs w:val="10"/>
                <w:lang w:eastAsia="tr-TR"/>
              </w:rPr>
            </w:pPr>
            <w:r w:rsidRPr="00005453">
              <w:rPr>
                <w:b/>
                <w:color w:val="000000"/>
                <w:sz w:val="10"/>
                <w:szCs w:val="10"/>
              </w:rPr>
              <w:t>20,959,297</w:t>
            </w:r>
          </w:p>
        </w:tc>
        <w:tc>
          <w:tcPr>
            <w:tcW w:w="640" w:type="dxa"/>
            <w:tcBorders>
              <w:top w:val="nil"/>
              <w:left w:val="nil"/>
              <w:bottom w:val="nil"/>
              <w:right w:val="nil"/>
            </w:tcBorders>
            <w:shd w:val="clear" w:color="auto" w:fill="auto"/>
            <w:vAlign w:val="center"/>
            <w:hideMark/>
          </w:tcPr>
          <w:p w14:paraId="7C0DD23C" w14:textId="51567701" w:rsidR="0080138C" w:rsidRPr="00005453" w:rsidRDefault="0080138C" w:rsidP="0080138C">
            <w:pPr>
              <w:jc w:val="right"/>
              <w:rPr>
                <w:b/>
                <w:bCs/>
                <w:color w:val="000000"/>
                <w:sz w:val="10"/>
                <w:szCs w:val="10"/>
                <w:lang w:eastAsia="tr-TR"/>
              </w:rPr>
            </w:pPr>
            <w:r w:rsidRPr="00005453">
              <w:rPr>
                <w:b/>
                <w:color w:val="000000"/>
                <w:sz w:val="10"/>
                <w:szCs w:val="10"/>
              </w:rPr>
              <w:t>10,905,674</w:t>
            </w:r>
          </w:p>
        </w:tc>
        <w:tc>
          <w:tcPr>
            <w:tcW w:w="690" w:type="dxa"/>
            <w:tcBorders>
              <w:top w:val="nil"/>
              <w:left w:val="nil"/>
              <w:bottom w:val="nil"/>
              <w:right w:val="nil"/>
            </w:tcBorders>
            <w:shd w:val="clear" w:color="auto" w:fill="auto"/>
            <w:vAlign w:val="center"/>
            <w:hideMark/>
          </w:tcPr>
          <w:p w14:paraId="39474C7F" w14:textId="59A44EFD" w:rsidR="0080138C" w:rsidRPr="00005453" w:rsidRDefault="0080138C" w:rsidP="0080138C">
            <w:pPr>
              <w:jc w:val="right"/>
              <w:rPr>
                <w:b/>
                <w:bCs/>
                <w:color w:val="000000"/>
                <w:sz w:val="10"/>
                <w:szCs w:val="10"/>
                <w:lang w:eastAsia="tr-TR"/>
              </w:rPr>
            </w:pPr>
            <w:r w:rsidRPr="00005453">
              <w:rPr>
                <w:b/>
                <w:color w:val="000000"/>
                <w:sz w:val="10"/>
                <w:szCs w:val="10"/>
              </w:rPr>
              <w:t>31,864,971</w:t>
            </w:r>
          </w:p>
        </w:tc>
      </w:tr>
      <w:tr w:rsidR="0080138C" w:rsidRPr="00005453" w14:paraId="4D7E1FBA" w14:textId="77777777" w:rsidTr="0080138C">
        <w:trPr>
          <w:divId w:val="224265873"/>
          <w:trHeight w:val="199"/>
        </w:trPr>
        <w:tc>
          <w:tcPr>
            <w:tcW w:w="733" w:type="dxa"/>
            <w:tcBorders>
              <w:top w:val="nil"/>
              <w:left w:val="nil"/>
              <w:bottom w:val="nil"/>
              <w:right w:val="nil"/>
            </w:tcBorders>
            <w:shd w:val="clear" w:color="auto" w:fill="auto"/>
            <w:noWrap/>
            <w:hideMark/>
          </w:tcPr>
          <w:p w14:paraId="7F77C62E" w14:textId="77777777" w:rsidR="0080138C" w:rsidRPr="00005453" w:rsidRDefault="0080138C" w:rsidP="0080138C">
            <w:pPr>
              <w:rPr>
                <w:b/>
                <w:bCs/>
                <w:color w:val="000000"/>
                <w:sz w:val="10"/>
                <w:szCs w:val="10"/>
                <w:lang w:eastAsia="tr-TR"/>
              </w:rPr>
            </w:pPr>
            <w:r w:rsidRPr="00005453">
              <w:rPr>
                <w:b/>
                <w:bCs/>
                <w:color w:val="000000"/>
                <w:sz w:val="10"/>
                <w:szCs w:val="10"/>
                <w:lang w:eastAsia="tr-TR"/>
              </w:rPr>
              <w:t>Hizmetler</w:t>
            </w:r>
          </w:p>
        </w:tc>
        <w:tc>
          <w:tcPr>
            <w:tcW w:w="776" w:type="dxa"/>
            <w:tcBorders>
              <w:top w:val="nil"/>
              <w:left w:val="nil"/>
              <w:bottom w:val="nil"/>
              <w:right w:val="nil"/>
            </w:tcBorders>
            <w:shd w:val="clear" w:color="auto" w:fill="auto"/>
            <w:vAlign w:val="center"/>
            <w:hideMark/>
          </w:tcPr>
          <w:p w14:paraId="30FAD9CF" w14:textId="6AA48412" w:rsidR="0080138C" w:rsidRPr="00005453" w:rsidRDefault="0080138C" w:rsidP="0080138C">
            <w:pPr>
              <w:jc w:val="right"/>
              <w:rPr>
                <w:b/>
                <w:bCs/>
                <w:color w:val="000000"/>
                <w:sz w:val="10"/>
                <w:szCs w:val="10"/>
                <w:lang w:eastAsia="tr-TR"/>
              </w:rPr>
            </w:pPr>
            <w:r w:rsidRPr="00005453">
              <w:rPr>
                <w:b/>
                <w:color w:val="000000"/>
                <w:sz w:val="10"/>
                <w:szCs w:val="10"/>
              </w:rPr>
              <w:t>191,853,312</w:t>
            </w:r>
          </w:p>
        </w:tc>
        <w:tc>
          <w:tcPr>
            <w:tcW w:w="776" w:type="dxa"/>
            <w:tcBorders>
              <w:top w:val="nil"/>
              <w:left w:val="nil"/>
              <w:bottom w:val="nil"/>
              <w:right w:val="nil"/>
            </w:tcBorders>
            <w:shd w:val="clear" w:color="auto" w:fill="auto"/>
            <w:vAlign w:val="center"/>
            <w:hideMark/>
          </w:tcPr>
          <w:p w14:paraId="2282A0DC" w14:textId="6DE07B9C"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27" w:type="dxa"/>
            <w:tcBorders>
              <w:top w:val="nil"/>
              <w:left w:val="nil"/>
              <w:bottom w:val="nil"/>
              <w:right w:val="nil"/>
            </w:tcBorders>
            <w:shd w:val="clear" w:color="auto" w:fill="auto"/>
            <w:vAlign w:val="center"/>
            <w:hideMark/>
          </w:tcPr>
          <w:p w14:paraId="0861D66A" w14:textId="22A956A4"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64" w:type="dxa"/>
            <w:tcBorders>
              <w:top w:val="nil"/>
              <w:left w:val="nil"/>
              <w:bottom w:val="nil"/>
              <w:right w:val="nil"/>
            </w:tcBorders>
            <w:shd w:val="clear" w:color="auto" w:fill="auto"/>
            <w:vAlign w:val="center"/>
            <w:hideMark/>
          </w:tcPr>
          <w:p w14:paraId="2C6B66B8" w14:textId="003666DB" w:rsidR="0080138C" w:rsidRPr="00005453" w:rsidRDefault="0080138C" w:rsidP="0080138C">
            <w:pPr>
              <w:jc w:val="right"/>
              <w:rPr>
                <w:b/>
                <w:bCs/>
                <w:color w:val="000000"/>
                <w:sz w:val="10"/>
                <w:szCs w:val="10"/>
                <w:lang w:eastAsia="tr-TR"/>
              </w:rPr>
            </w:pPr>
            <w:r w:rsidRPr="00005453">
              <w:rPr>
                <w:b/>
                <w:color w:val="000000"/>
                <w:sz w:val="10"/>
                <w:szCs w:val="10"/>
              </w:rPr>
              <w:t>231,344</w:t>
            </w:r>
          </w:p>
        </w:tc>
        <w:tc>
          <w:tcPr>
            <w:tcW w:w="733" w:type="dxa"/>
            <w:tcBorders>
              <w:top w:val="nil"/>
              <w:left w:val="nil"/>
              <w:bottom w:val="nil"/>
              <w:right w:val="nil"/>
            </w:tcBorders>
            <w:shd w:val="clear" w:color="auto" w:fill="auto"/>
            <w:vAlign w:val="center"/>
            <w:hideMark/>
          </w:tcPr>
          <w:p w14:paraId="2F505BE3" w14:textId="5851F31F"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38E1F266" w14:textId="1381CE9D" w:rsidR="0080138C" w:rsidRPr="00005453" w:rsidRDefault="0080138C" w:rsidP="0080138C">
            <w:pPr>
              <w:jc w:val="right"/>
              <w:rPr>
                <w:b/>
                <w:bCs/>
                <w:color w:val="000000"/>
                <w:sz w:val="10"/>
                <w:szCs w:val="10"/>
                <w:lang w:eastAsia="tr-TR"/>
              </w:rPr>
            </w:pPr>
            <w:r w:rsidRPr="00005453">
              <w:rPr>
                <w:b/>
                <w:color w:val="000000"/>
                <w:sz w:val="10"/>
                <w:szCs w:val="10"/>
              </w:rPr>
              <w:t>21,062,659</w:t>
            </w:r>
          </w:p>
        </w:tc>
        <w:tc>
          <w:tcPr>
            <w:tcW w:w="635" w:type="dxa"/>
            <w:tcBorders>
              <w:top w:val="nil"/>
              <w:left w:val="nil"/>
              <w:bottom w:val="nil"/>
              <w:right w:val="nil"/>
            </w:tcBorders>
            <w:shd w:val="clear" w:color="auto" w:fill="auto"/>
            <w:vAlign w:val="center"/>
            <w:hideMark/>
          </w:tcPr>
          <w:p w14:paraId="4F1D1237" w14:textId="70C7C8F2" w:rsidR="0080138C" w:rsidRPr="00005453" w:rsidRDefault="0080138C" w:rsidP="0080138C">
            <w:pPr>
              <w:jc w:val="right"/>
              <w:rPr>
                <w:b/>
                <w:bCs/>
                <w:color w:val="000000"/>
                <w:sz w:val="10"/>
                <w:szCs w:val="10"/>
                <w:lang w:eastAsia="tr-TR"/>
              </w:rPr>
            </w:pPr>
            <w:r w:rsidRPr="00005453">
              <w:rPr>
                <w:b/>
                <w:color w:val="000000"/>
                <w:sz w:val="10"/>
                <w:szCs w:val="10"/>
              </w:rPr>
              <w:t>22,820,740</w:t>
            </w:r>
          </w:p>
        </w:tc>
        <w:tc>
          <w:tcPr>
            <w:tcW w:w="635" w:type="dxa"/>
            <w:tcBorders>
              <w:top w:val="nil"/>
              <w:left w:val="nil"/>
              <w:bottom w:val="nil"/>
              <w:right w:val="nil"/>
            </w:tcBorders>
            <w:shd w:val="clear" w:color="auto" w:fill="auto"/>
            <w:vAlign w:val="center"/>
            <w:hideMark/>
          </w:tcPr>
          <w:p w14:paraId="295095AF" w14:textId="0C48D29E" w:rsidR="0080138C" w:rsidRPr="00005453" w:rsidRDefault="0080138C" w:rsidP="0080138C">
            <w:pPr>
              <w:jc w:val="right"/>
              <w:rPr>
                <w:b/>
                <w:bCs/>
                <w:color w:val="000000"/>
                <w:sz w:val="10"/>
                <w:szCs w:val="10"/>
                <w:lang w:eastAsia="tr-TR"/>
              </w:rPr>
            </w:pPr>
            <w:r w:rsidRPr="00005453">
              <w:rPr>
                <w:b/>
                <w:color w:val="000000"/>
                <w:sz w:val="10"/>
                <w:szCs w:val="10"/>
              </w:rPr>
              <w:t>16,500,270</w:t>
            </w:r>
          </w:p>
        </w:tc>
        <w:tc>
          <w:tcPr>
            <w:tcW w:w="947" w:type="dxa"/>
            <w:tcBorders>
              <w:top w:val="nil"/>
              <w:left w:val="nil"/>
              <w:bottom w:val="nil"/>
              <w:right w:val="nil"/>
            </w:tcBorders>
            <w:shd w:val="clear" w:color="auto" w:fill="auto"/>
            <w:vAlign w:val="center"/>
            <w:hideMark/>
          </w:tcPr>
          <w:p w14:paraId="138B1BEA" w14:textId="72DC508E" w:rsidR="0080138C" w:rsidRPr="00005453" w:rsidRDefault="0080138C" w:rsidP="0080138C">
            <w:pPr>
              <w:jc w:val="right"/>
              <w:rPr>
                <w:b/>
                <w:bCs/>
                <w:color w:val="000000"/>
                <w:sz w:val="10"/>
                <w:szCs w:val="10"/>
                <w:lang w:eastAsia="tr-TR"/>
              </w:rPr>
            </w:pPr>
            <w:r w:rsidRPr="00005453">
              <w:rPr>
                <w:b/>
                <w:color w:val="000000"/>
                <w:sz w:val="10"/>
                <w:szCs w:val="10"/>
              </w:rPr>
              <w:t>16,713,851</w:t>
            </w:r>
          </w:p>
        </w:tc>
        <w:tc>
          <w:tcPr>
            <w:tcW w:w="676" w:type="dxa"/>
            <w:tcBorders>
              <w:top w:val="nil"/>
              <w:left w:val="nil"/>
              <w:bottom w:val="nil"/>
              <w:right w:val="nil"/>
            </w:tcBorders>
            <w:shd w:val="clear" w:color="auto" w:fill="auto"/>
            <w:vAlign w:val="center"/>
            <w:hideMark/>
          </w:tcPr>
          <w:p w14:paraId="5ABAA278" w14:textId="109BAFEF" w:rsidR="0080138C" w:rsidRPr="00005453" w:rsidRDefault="0080138C" w:rsidP="0080138C">
            <w:pPr>
              <w:jc w:val="right"/>
              <w:rPr>
                <w:b/>
                <w:bCs/>
                <w:color w:val="000000"/>
                <w:sz w:val="10"/>
                <w:szCs w:val="10"/>
                <w:lang w:eastAsia="tr-TR"/>
              </w:rPr>
            </w:pPr>
            <w:r w:rsidRPr="00005453">
              <w:rPr>
                <w:b/>
                <w:color w:val="000000"/>
                <w:sz w:val="10"/>
                <w:szCs w:val="10"/>
              </w:rPr>
              <w:t>62,463</w:t>
            </w:r>
          </w:p>
        </w:tc>
        <w:tc>
          <w:tcPr>
            <w:tcW w:w="676" w:type="dxa"/>
            <w:tcBorders>
              <w:top w:val="nil"/>
              <w:left w:val="nil"/>
              <w:bottom w:val="nil"/>
              <w:right w:val="nil"/>
            </w:tcBorders>
            <w:shd w:val="clear" w:color="auto" w:fill="auto"/>
            <w:vAlign w:val="center"/>
            <w:hideMark/>
          </w:tcPr>
          <w:p w14:paraId="44F7B3DB" w14:textId="399D63B5" w:rsidR="0080138C" w:rsidRPr="00005453" w:rsidRDefault="0080138C" w:rsidP="0080138C">
            <w:pPr>
              <w:jc w:val="right"/>
              <w:rPr>
                <w:b/>
                <w:bCs/>
                <w:color w:val="000000"/>
                <w:sz w:val="10"/>
                <w:szCs w:val="10"/>
                <w:lang w:eastAsia="tr-TR"/>
              </w:rPr>
            </w:pPr>
            <w:r w:rsidRPr="00005453">
              <w:rPr>
                <w:b/>
                <w:color w:val="000000"/>
                <w:sz w:val="10"/>
                <w:szCs w:val="10"/>
              </w:rPr>
              <w:t>9,818,541</w:t>
            </w:r>
          </w:p>
        </w:tc>
        <w:tc>
          <w:tcPr>
            <w:tcW w:w="562" w:type="dxa"/>
            <w:tcBorders>
              <w:top w:val="nil"/>
              <w:left w:val="nil"/>
              <w:bottom w:val="nil"/>
              <w:right w:val="nil"/>
            </w:tcBorders>
            <w:shd w:val="clear" w:color="auto" w:fill="auto"/>
            <w:vAlign w:val="center"/>
            <w:hideMark/>
          </w:tcPr>
          <w:p w14:paraId="6DBB9F5D" w14:textId="325A33A0"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800" w:type="dxa"/>
            <w:tcBorders>
              <w:top w:val="nil"/>
              <w:left w:val="nil"/>
              <w:bottom w:val="nil"/>
              <w:right w:val="nil"/>
            </w:tcBorders>
            <w:shd w:val="clear" w:color="auto" w:fill="auto"/>
            <w:vAlign w:val="center"/>
            <w:hideMark/>
          </w:tcPr>
          <w:p w14:paraId="51DDA593" w14:textId="1BD0ADBE"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nil"/>
              <w:right w:val="nil"/>
            </w:tcBorders>
            <w:shd w:val="clear" w:color="auto" w:fill="auto"/>
            <w:vAlign w:val="center"/>
            <w:hideMark/>
          </w:tcPr>
          <w:p w14:paraId="3F25DCBB" w14:textId="10A0A07E"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97" w:type="dxa"/>
            <w:tcBorders>
              <w:top w:val="nil"/>
              <w:left w:val="nil"/>
              <w:bottom w:val="nil"/>
              <w:right w:val="nil"/>
            </w:tcBorders>
            <w:shd w:val="clear" w:color="auto" w:fill="auto"/>
            <w:vAlign w:val="center"/>
            <w:hideMark/>
          </w:tcPr>
          <w:p w14:paraId="2A91D417" w14:textId="2AABC142"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29" w:type="dxa"/>
            <w:tcBorders>
              <w:top w:val="nil"/>
              <w:left w:val="nil"/>
              <w:bottom w:val="nil"/>
              <w:right w:val="nil"/>
            </w:tcBorders>
            <w:shd w:val="clear" w:color="auto" w:fill="auto"/>
            <w:vAlign w:val="center"/>
            <w:hideMark/>
          </w:tcPr>
          <w:p w14:paraId="37824E3F" w14:textId="1EA3A34F" w:rsidR="0080138C" w:rsidRPr="00005453" w:rsidRDefault="0080138C" w:rsidP="0080138C">
            <w:pPr>
              <w:jc w:val="right"/>
              <w:rPr>
                <w:b/>
                <w:bCs/>
                <w:color w:val="000000"/>
                <w:sz w:val="10"/>
                <w:szCs w:val="10"/>
                <w:lang w:eastAsia="tr-TR"/>
              </w:rPr>
            </w:pPr>
            <w:r w:rsidRPr="00005453">
              <w:rPr>
                <w:b/>
                <w:color w:val="000000"/>
                <w:sz w:val="10"/>
                <w:szCs w:val="10"/>
              </w:rPr>
              <w:t>3,363,442</w:t>
            </w:r>
          </w:p>
        </w:tc>
        <w:tc>
          <w:tcPr>
            <w:tcW w:w="667" w:type="dxa"/>
            <w:tcBorders>
              <w:top w:val="nil"/>
              <w:left w:val="nil"/>
              <w:bottom w:val="nil"/>
              <w:right w:val="nil"/>
            </w:tcBorders>
            <w:shd w:val="clear" w:color="auto" w:fill="auto"/>
            <w:vAlign w:val="center"/>
            <w:hideMark/>
          </w:tcPr>
          <w:p w14:paraId="1D00A333" w14:textId="14739431" w:rsidR="0080138C" w:rsidRPr="00005453" w:rsidRDefault="0080138C" w:rsidP="0080138C">
            <w:pPr>
              <w:jc w:val="right"/>
              <w:rPr>
                <w:b/>
                <w:bCs/>
                <w:color w:val="000000"/>
                <w:sz w:val="10"/>
                <w:szCs w:val="10"/>
                <w:lang w:eastAsia="tr-TR"/>
              </w:rPr>
            </w:pPr>
            <w:r w:rsidRPr="00005453">
              <w:rPr>
                <w:b/>
                <w:color w:val="000000"/>
                <w:sz w:val="10"/>
                <w:szCs w:val="10"/>
              </w:rPr>
              <w:t>18,828,566</w:t>
            </w:r>
          </w:p>
        </w:tc>
        <w:tc>
          <w:tcPr>
            <w:tcW w:w="667" w:type="dxa"/>
            <w:tcBorders>
              <w:top w:val="nil"/>
              <w:left w:val="nil"/>
              <w:bottom w:val="nil"/>
              <w:right w:val="nil"/>
            </w:tcBorders>
            <w:shd w:val="clear" w:color="auto" w:fill="auto"/>
            <w:vAlign w:val="center"/>
            <w:hideMark/>
          </w:tcPr>
          <w:p w14:paraId="3C81ACFA" w14:textId="3C1B5069" w:rsidR="0080138C" w:rsidRPr="00005453" w:rsidRDefault="0080138C" w:rsidP="0080138C">
            <w:pPr>
              <w:jc w:val="right"/>
              <w:rPr>
                <w:b/>
                <w:bCs/>
                <w:color w:val="000000"/>
                <w:sz w:val="10"/>
                <w:szCs w:val="10"/>
                <w:lang w:eastAsia="tr-TR"/>
              </w:rPr>
            </w:pPr>
            <w:r w:rsidRPr="00005453">
              <w:rPr>
                <w:b/>
                <w:color w:val="000000"/>
                <w:sz w:val="10"/>
                <w:szCs w:val="10"/>
              </w:rPr>
              <w:t>167,205,883</w:t>
            </w:r>
          </w:p>
        </w:tc>
        <w:tc>
          <w:tcPr>
            <w:tcW w:w="640" w:type="dxa"/>
            <w:tcBorders>
              <w:top w:val="nil"/>
              <w:left w:val="nil"/>
              <w:bottom w:val="nil"/>
              <w:right w:val="nil"/>
            </w:tcBorders>
            <w:shd w:val="clear" w:color="auto" w:fill="auto"/>
            <w:vAlign w:val="center"/>
            <w:hideMark/>
          </w:tcPr>
          <w:p w14:paraId="55D5B74E" w14:textId="3E4005B4" w:rsidR="0080138C" w:rsidRPr="00005453" w:rsidRDefault="0080138C" w:rsidP="0080138C">
            <w:pPr>
              <w:jc w:val="right"/>
              <w:rPr>
                <w:b/>
                <w:bCs/>
                <w:color w:val="000000"/>
                <w:sz w:val="10"/>
                <w:szCs w:val="10"/>
                <w:lang w:eastAsia="tr-TR"/>
              </w:rPr>
            </w:pPr>
            <w:r w:rsidRPr="00005453">
              <w:rPr>
                <w:b/>
                <w:color w:val="000000"/>
                <w:sz w:val="10"/>
                <w:szCs w:val="10"/>
              </w:rPr>
              <w:t>134,049,305</w:t>
            </w:r>
          </w:p>
        </w:tc>
        <w:tc>
          <w:tcPr>
            <w:tcW w:w="690" w:type="dxa"/>
            <w:tcBorders>
              <w:top w:val="nil"/>
              <w:left w:val="nil"/>
              <w:bottom w:val="nil"/>
              <w:right w:val="nil"/>
            </w:tcBorders>
            <w:shd w:val="clear" w:color="auto" w:fill="auto"/>
            <w:vAlign w:val="center"/>
            <w:hideMark/>
          </w:tcPr>
          <w:p w14:paraId="02E605EE" w14:textId="3E505A13" w:rsidR="0080138C" w:rsidRPr="00005453" w:rsidRDefault="0080138C" w:rsidP="0080138C">
            <w:pPr>
              <w:jc w:val="right"/>
              <w:rPr>
                <w:b/>
                <w:bCs/>
                <w:color w:val="000000"/>
                <w:sz w:val="10"/>
                <w:szCs w:val="10"/>
                <w:lang w:eastAsia="tr-TR"/>
              </w:rPr>
            </w:pPr>
            <w:r w:rsidRPr="00005453">
              <w:rPr>
                <w:b/>
                <w:color w:val="000000"/>
                <w:sz w:val="10"/>
                <w:szCs w:val="10"/>
              </w:rPr>
              <w:t>301,255,188</w:t>
            </w:r>
          </w:p>
        </w:tc>
      </w:tr>
      <w:tr w:rsidR="0080138C" w:rsidRPr="00005453" w14:paraId="4EE25AF3" w14:textId="77777777" w:rsidTr="0080138C">
        <w:trPr>
          <w:divId w:val="224265873"/>
          <w:trHeight w:val="199"/>
        </w:trPr>
        <w:tc>
          <w:tcPr>
            <w:tcW w:w="733" w:type="dxa"/>
            <w:tcBorders>
              <w:top w:val="nil"/>
              <w:left w:val="nil"/>
              <w:bottom w:val="nil"/>
              <w:right w:val="nil"/>
            </w:tcBorders>
            <w:shd w:val="clear" w:color="auto" w:fill="auto"/>
            <w:noWrap/>
            <w:hideMark/>
          </w:tcPr>
          <w:p w14:paraId="7A93F91D" w14:textId="77777777" w:rsidR="0080138C" w:rsidRPr="00005453" w:rsidRDefault="0080138C" w:rsidP="0080138C">
            <w:pPr>
              <w:rPr>
                <w:color w:val="000000"/>
                <w:sz w:val="10"/>
                <w:szCs w:val="10"/>
                <w:lang w:eastAsia="tr-TR"/>
              </w:rPr>
            </w:pPr>
            <w:r w:rsidRPr="00005453">
              <w:rPr>
                <w:color w:val="000000"/>
                <w:sz w:val="10"/>
                <w:szCs w:val="10"/>
                <w:lang w:eastAsia="tr-TR"/>
              </w:rPr>
              <w:t>Toptan ve Perakende Ticaret</w:t>
            </w:r>
          </w:p>
        </w:tc>
        <w:tc>
          <w:tcPr>
            <w:tcW w:w="776" w:type="dxa"/>
            <w:tcBorders>
              <w:top w:val="nil"/>
              <w:left w:val="nil"/>
              <w:bottom w:val="nil"/>
              <w:right w:val="nil"/>
            </w:tcBorders>
            <w:shd w:val="clear" w:color="auto" w:fill="auto"/>
            <w:vAlign w:val="center"/>
            <w:hideMark/>
          </w:tcPr>
          <w:p w14:paraId="19C8B683" w14:textId="2A1C5B56"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440E857F" w14:textId="2549C896"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7C244508" w14:textId="28A78C79"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16793354" w14:textId="1D72A2FF"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42B2D4E3" w14:textId="2A4919D0"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619DEB38" w14:textId="50E05F0F"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0255AC9F" w14:textId="3788B2AC" w:rsidR="0080138C" w:rsidRPr="00005453" w:rsidRDefault="0080138C" w:rsidP="0080138C">
            <w:pPr>
              <w:jc w:val="right"/>
              <w:rPr>
                <w:color w:val="000000"/>
                <w:sz w:val="10"/>
                <w:szCs w:val="10"/>
                <w:lang w:eastAsia="tr-TR"/>
              </w:rPr>
            </w:pPr>
            <w:r w:rsidRPr="00005453">
              <w:rPr>
                <w:color w:val="000000"/>
                <w:sz w:val="10"/>
                <w:szCs w:val="10"/>
              </w:rPr>
              <w:t>14,360,614</w:t>
            </w:r>
          </w:p>
        </w:tc>
        <w:tc>
          <w:tcPr>
            <w:tcW w:w="635" w:type="dxa"/>
            <w:tcBorders>
              <w:top w:val="nil"/>
              <w:left w:val="nil"/>
              <w:bottom w:val="nil"/>
              <w:right w:val="nil"/>
            </w:tcBorders>
            <w:shd w:val="clear" w:color="auto" w:fill="auto"/>
            <w:vAlign w:val="center"/>
            <w:hideMark/>
          </w:tcPr>
          <w:p w14:paraId="2BCC0B1B" w14:textId="06B92E2D" w:rsidR="0080138C" w:rsidRPr="00005453" w:rsidRDefault="0080138C" w:rsidP="0080138C">
            <w:pPr>
              <w:jc w:val="right"/>
              <w:rPr>
                <w:color w:val="000000"/>
                <w:sz w:val="10"/>
                <w:szCs w:val="10"/>
                <w:lang w:eastAsia="tr-TR"/>
              </w:rPr>
            </w:pPr>
            <w:r w:rsidRPr="00005453">
              <w:rPr>
                <w:color w:val="000000"/>
                <w:sz w:val="10"/>
                <w:szCs w:val="10"/>
              </w:rPr>
              <w:t>10,254,195</w:t>
            </w:r>
          </w:p>
        </w:tc>
        <w:tc>
          <w:tcPr>
            <w:tcW w:w="947" w:type="dxa"/>
            <w:tcBorders>
              <w:top w:val="nil"/>
              <w:left w:val="nil"/>
              <w:bottom w:val="nil"/>
              <w:right w:val="nil"/>
            </w:tcBorders>
            <w:shd w:val="clear" w:color="auto" w:fill="auto"/>
            <w:vAlign w:val="center"/>
            <w:hideMark/>
          </w:tcPr>
          <w:p w14:paraId="4DD2DF41" w14:textId="21F67701" w:rsidR="0080138C" w:rsidRPr="00005453" w:rsidRDefault="0080138C" w:rsidP="0080138C">
            <w:pPr>
              <w:jc w:val="right"/>
              <w:rPr>
                <w:color w:val="000000"/>
                <w:sz w:val="10"/>
                <w:szCs w:val="10"/>
                <w:lang w:eastAsia="tr-TR"/>
              </w:rPr>
            </w:pPr>
            <w:r w:rsidRPr="00005453">
              <w:rPr>
                <w:color w:val="000000"/>
                <w:sz w:val="10"/>
                <w:szCs w:val="10"/>
              </w:rPr>
              <w:t>10,746,083</w:t>
            </w:r>
          </w:p>
        </w:tc>
        <w:tc>
          <w:tcPr>
            <w:tcW w:w="676" w:type="dxa"/>
            <w:tcBorders>
              <w:top w:val="nil"/>
              <w:left w:val="nil"/>
              <w:bottom w:val="nil"/>
              <w:right w:val="nil"/>
            </w:tcBorders>
            <w:shd w:val="clear" w:color="auto" w:fill="auto"/>
            <w:vAlign w:val="center"/>
            <w:hideMark/>
          </w:tcPr>
          <w:p w14:paraId="2DCBA64B" w14:textId="4049CF54" w:rsidR="0080138C" w:rsidRPr="00005453" w:rsidRDefault="0080138C" w:rsidP="0080138C">
            <w:pPr>
              <w:jc w:val="right"/>
              <w:rPr>
                <w:color w:val="000000"/>
                <w:sz w:val="10"/>
                <w:szCs w:val="10"/>
                <w:lang w:eastAsia="tr-TR"/>
              </w:rPr>
            </w:pPr>
            <w:r w:rsidRPr="00005453">
              <w:rPr>
                <w:color w:val="000000"/>
                <w:sz w:val="10"/>
                <w:szCs w:val="10"/>
              </w:rPr>
              <w:t>27,215</w:t>
            </w:r>
          </w:p>
        </w:tc>
        <w:tc>
          <w:tcPr>
            <w:tcW w:w="676" w:type="dxa"/>
            <w:tcBorders>
              <w:top w:val="nil"/>
              <w:left w:val="nil"/>
              <w:bottom w:val="nil"/>
              <w:right w:val="nil"/>
            </w:tcBorders>
            <w:shd w:val="clear" w:color="auto" w:fill="auto"/>
            <w:vAlign w:val="center"/>
            <w:hideMark/>
          </w:tcPr>
          <w:p w14:paraId="78B75160" w14:textId="2456D95E" w:rsidR="0080138C" w:rsidRPr="00005453" w:rsidRDefault="0080138C" w:rsidP="0080138C">
            <w:pPr>
              <w:jc w:val="right"/>
              <w:rPr>
                <w:color w:val="000000"/>
                <w:sz w:val="10"/>
                <w:szCs w:val="10"/>
                <w:lang w:eastAsia="tr-TR"/>
              </w:rPr>
            </w:pPr>
            <w:r w:rsidRPr="00005453">
              <w:rPr>
                <w:color w:val="000000"/>
                <w:sz w:val="10"/>
                <w:szCs w:val="10"/>
              </w:rPr>
              <w:t>6,902,889</w:t>
            </w:r>
          </w:p>
        </w:tc>
        <w:tc>
          <w:tcPr>
            <w:tcW w:w="562" w:type="dxa"/>
            <w:tcBorders>
              <w:top w:val="nil"/>
              <w:left w:val="nil"/>
              <w:bottom w:val="nil"/>
              <w:right w:val="nil"/>
            </w:tcBorders>
            <w:shd w:val="clear" w:color="auto" w:fill="auto"/>
            <w:vAlign w:val="center"/>
            <w:hideMark/>
          </w:tcPr>
          <w:p w14:paraId="2BB9D0AE" w14:textId="7F54012B"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12875FFB" w14:textId="0E64210B"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6E79DF92" w14:textId="6A3DFDD7"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5482D781" w14:textId="1FB862FD"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3A924642" w14:textId="294CDBB6"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189E1604" w14:textId="7B6BD56F" w:rsidR="0080138C" w:rsidRPr="00005453" w:rsidRDefault="0080138C" w:rsidP="0080138C">
            <w:pPr>
              <w:jc w:val="right"/>
              <w:rPr>
                <w:color w:val="000000"/>
                <w:sz w:val="10"/>
                <w:szCs w:val="10"/>
                <w:lang w:eastAsia="tr-TR"/>
              </w:rPr>
            </w:pPr>
            <w:r w:rsidRPr="00005453">
              <w:rPr>
                <w:color w:val="000000"/>
                <w:sz w:val="10"/>
                <w:szCs w:val="10"/>
              </w:rPr>
              <w:t>72,166</w:t>
            </w:r>
          </w:p>
        </w:tc>
        <w:tc>
          <w:tcPr>
            <w:tcW w:w="667" w:type="dxa"/>
            <w:tcBorders>
              <w:top w:val="nil"/>
              <w:left w:val="nil"/>
              <w:bottom w:val="nil"/>
              <w:right w:val="nil"/>
            </w:tcBorders>
            <w:shd w:val="clear" w:color="auto" w:fill="auto"/>
            <w:vAlign w:val="center"/>
            <w:hideMark/>
          </w:tcPr>
          <w:p w14:paraId="03BF483C" w14:textId="4940EAC6" w:rsidR="0080138C" w:rsidRPr="00005453" w:rsidRDefault="0080138C" w:rsidP="0080138C">
            <w:pPr>
              <w:jc w:val="right"/>
              <w:rPr>
                <w:color w:val="000000"/>
                <w:sz w:val="10"/>
                <w:szCs w:val="10"/>
                <w:lang w:eastAsia="tr-TR"/>
              </w:rPr>
            </w:pPr>
            <w:r w:rsidRPr="00005453">
              <w:rPr>
                <w:color w:val="000000"/>
                <w:sz w:val="10"/>
                <w:szCs w:val="10"/>
              </w:rPr>
              <w:t>30,461,794</w:t>
            </w:r>
          </w:p>
        </w:tc>
        <w:tc>
          <w:tcPr>
            <w:tcW w:w="640" w:type="dxa"/>
            <w:tcBorders>
              <w:top w:val="nil"/>
              <w:left w:val="nil"/>
              <w:bottom w:val="nil"/>
              <w:right w:val="nil"/>
            </w:tcBorders>
            <w:shd w:val="clear" w:color="auto" w:fill="auto"/>
            <w:vAlign w:val="center"/>
            <w:hideMark/>
          </w:tcPr>
          <w:p w14:paraId="5C42E2C9" w14:textId="4FEC240C" w:rsidR="0080138C" w:rsidRPr="00005453" w:rsidRDefault="0080138C" w:rsidP="0080138C">
            <w:pPr>
              <w:jc w:val="right"/>
              <w:rPr>
                <w:color w:val="000000"/>
                <w:sz w:val="10"/>
                <w:szCs w:val="10"/>
                <w:lang w:eastAsia="tr-TR"/>
              </w:rPr>
            </w:pPr>
            <w:r w:rsidRPr="00005453">
              <w:rPr>
                <w:color w:val="000000"/>
                <w:sz w:val="10"/>
                <w:szCs w:val="10"/>
              </w:rPr>
              <w:t>11,901,368</w:t>
            </w:r>
          </w:p>
        </w:tc>
        <w:tc>
          <w:tcPr>
            <w:tcW w:w="690" w:type="dxa"/>
            <w:tcBorders>
              <w:top w:val="nil"/>
              <w:left w:val="nil"/>
              <w:bottom w:val="nil"/>
              <w:right w:val="nil"/>
            </w:tcBorders>
            <w:shd w:val="clear" w:color="auto" w:fill="auto"/>
            <w:vAlign w:val="center"/>
            <w:hideMark/>
          </w:tcPr>
          <w:p w14:paraId="0D0333AE" w14:textId="11DB679D" w:rsidR="0080138C" w:rsidRPr="00005453" w:rsidRDefault="0080138C" w:rsidP="0080138C">
            <w:pPr>
              <w:jc w:val="right"/>
              <w:rPr>
                <w:color w:val="000000"/>
                <w:sz w:val="10"/>
                <w:szCs w:val="10"/>
                <w:lang w:eastAsia="tr-TR"/>
              </w:rPr>
            </w:pPr>
            <w:r w:rsidRPr="00005453">
              <w:rPr>
                <w:color w:val="000000"/>
                <w:sz w:val="10"/>
                <w:szCs w:val="10"/>
              </w:rPr>
              <w:t>42,363,162</w:t>
            </w:r>
          </w:p>
        </w:tc>
      </w:tr>
      <w:tr w:rsidR="0080138C" w:rsidRPr="00005453" w14:paraId="01EDD1E8" w14:textId="77777777" w:rsidTr="0080138C">
        <w:trPr>
          <w:divId w:val="224265873"/>
          <w:trHeight w:val="199"/>
        </w:trPr>
        <w:tc>
          <w:tcPr>
            <w:tcW w:w="733" w:type="dxa"/>
            <w:tcBorders>
              <w:top w:val="nil"/>
              <w:left w:val="nil"/>
              <w:bottom w:val="nil"/>
              <w:right w:val="nil"/>
            </w:tcBorders>
            <w:shd w:val="clear" w:color="auto" w:fill="auto"/>
            <w:noWrap/>
            <w:hideMark/>
          </w:tcPr>
          <w:p w14:paraId="5CC7F3B8" w14:textId="77777777" w:rsidR="0080138C" w:rsidRPr="00005453" w:rsidRDefault="0080138C" w:rsidP="0080138C">
            <w:pPr>
              <w:rPr>
                <w:color w:val="000000"/>
                <w:sz w:val="10"/>
                <w:szCs w:val="10"/>
                <w:lang w:eastAsia="tr-TR"/>
              </w:rPr>
            </w:pPr>
            <w:r w:rsidRPr="00005453">
              <w:rPr>
                <w:color w:val="000000"/>
                <w:sz w:val="10"/>
                <w:szCs w:val="10"/>
                <w:lang w:eastAsia="tr-TR"/>
              </w:rPr>
              <w:t>Otel ve Lokanta Hizmetleri</w:t>
            </w:r>
          </w:p>
        </w:tc>
        <w:tc>
          <w:tcPr>
            <w:tcW w:w="776" w:type="dxa"/>
            <w:tcBorders>
              <w:top w:val="nil"/>
              <w:left w:val="nil"/>
              <w:bottom w:val="nil"/>
              <w:right w:val="nil"/>
            </w:tcBorders>
            <w:shd w:val="clear" w:color="auto" w:fill="auto"/>
            <w:vAlign w:val="center"/>
            <w:hideMark/>
          </w:tcPr>
          <w:p w14:paraId="7DDDB2B5" w14:textId="30BBA9B2"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3D1DB3EE" w14:textId="399CA6A5"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378C73C6" w14:textId="453E6936"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22424341" w14:textId="56C8CF61"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631AE3A9" w14:textId="5E2061AC"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199CBC70" w14:textId="642970F5"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2CF5D9B3" w14:textId="26AD0EC7" w:rsidR="0080138C" w:rsidRPr="00005453" w:rsidRDefault="0080138C" w:rsidP="0080138C">
            <w:pPr>
              <w:jc w:val="right"/>
              <w:rPr>
                <w:color w:val="000000"/>
                <w:sz w:val="10"/>
                <w:szCs w:val="10"/>
                <w:lang w:eastAsia="tr-TR"/>
              </w:rPr>
            </w:pPr>
            <w:r w:rsidRPr="00005453">
              <w:rPr>
                <w:color w:val="000000"/>
                <w:sz w:val="10"/>
                <w:szCs w:val="10"/>
              </w:rPr>
              <w:t>291,121</w:t>
            </w:r>
          </w:p>
        </w:tc>
        <w:tc>
          <w:tcPr>
            <w:tcW w:w="635" w:type="dxa"/>
            <w:tcBorders>
              <w:top w:val="nil"/>
              <w:left w:val="nil"/>
              <w:bottom w:val="nil"/>
              <w:right w:val="nil"/>
            </w:tcBorders>
            <w:shd w:val="clear" w:color="auto" w:fill="auto"/>
            <w:vAlign w:val="center"/>
            <w:hideMark/>
          </w:tcPr>
          <w:p w14:paraId="6EAD66AA" w14:textId="5E231422" w:rsidR="0080138C" w:rsidRPr="00005453" w:rsidRDefault="0080138C" w:rsidP="0080138C">
            <w:pPr>
              <w:jc w:val="right"/>
              <w:rPr>
                <w:color w:val="000000"/>
                <w:sz w:val="10"/>
                <w:szCs w:val="10"/>
                <w:lang w:eastAsia="tr-TR"/>
              </w:rPr>
            </w:pPr>
            <w:r w:rsidRPr="00005453">
              <w:rPr>
                <w:color w:val="000000"/>
                <w:sz w:val="10"/>
                <w:szCs w:val="10"/>
              </w:rPr>
              <w:t>420,528</w:t>
            </w:r>
          </w:p>
        </w:tc>
        <w:tc>
          <w:tcPr>
            <w:tcW w:w="947" w:type="dxa"/>
            <w:tcBorders>
              <w:top w:val="nil"/>
              <w:left w:val="nil"/>
              <w:bottom w:val="nil"/>
              <w:right w:val="nil"/>
            </w:tcBorders>
            <w:shd w:val="clear" w:color="auto" w:fill="auto"/>
            <w:vAlign w:val="center"/>
            <w:hideMark/>
          </w:tcPr>
          <w:p w14:paraId="0D488245" w14:textId="55890AD6" w:rsidR="0080138C" w:rsidRPr="00005453" w:rsidRDefault="0080138C" w:rsidP="0080138C">
            <w:pPr>
              <w:jc w:val="right"/>
              <w:rPr>
                <w:color w:val="000000"/>
                <w:sz w:val="10"/>
                <w:szCs w:val="10"/>
                <w:lang w:eastAsia="tr-TR"/>
              </w:rPr>
            </w:pPr>
            <w:r w:rsidRPr="00005453">
              <w:rPr>
                <w:color w:val="000000"/>
                <w:sz w:val="10"/>
                <w:szCs w:val="10"/>
              </w:rPr>
              <w:t>800,226</w:t>
            </w:r>
          </w:p>
        </w:tc>
        <w:tc>
          <w:tcPr>
            <w:tcW w:w="676" w:type="dxa"/>
            <w:tcBorders>
              <w:top w:val="nil"/>
              <w:left w:val="nil"/>
              <w:bottom w:val="nil"/>
              <w:right w:val="nil"/>
            </w:tcBorders>
            <w:shd w:val="clear" w:color="auto" w:fill="auto"/>
            <w:vAlign w:val="center"/>
            <w:hideMark/>
          </w:tcPr>
          <w:p w14:paraId="31BA43F2" w14:textId="6F0F8449" w:rsidR="0080138C" w:rsidRPr="00005453" w:rsidRDefault="0080138C" w:rsidP="0080138C">
            <w:pPr>
              <w:jc w:val="right"/>
              <w:rPr>
                <w:color w:val="000000"/>
                <w:sz w:val="10"/>
                <w:szCs w:val="10"/>
                <w:lang w:eastAsia="tr-TR"/>
              </w:rPr>
            </w:pPr>
            <w:r w:rsidRPr="00005453">
              <w:rPr>
                <w:color w:val="000000"/>
                <w:sz w:val="10"/>
                <w:szCs w:val="10"/>
              </w:rPr>
              <w:t>27,516</w:t>
            </w:r>
          </w:p>
        </w:tc>
        <w:tc>
          <w:tcPr>
            <w:tcW w:w="676" w:type="dxa"/>
            <w:tcBorders>
              <w:top w:val="nil"/>
              <w:left w:val="nil"/>
              <w:bottom w:val="nil"/>
              <w:right w:val="nil"/>
            </w:tcBorders>
            <w:shd w:val="clear" w:color="auto" w:fill="auto"/>
            <w:vAlign w:val="center"/>
            <w:hideMark/>
          </w:tcPr>
          <w:p w14:paraId="51CD5B34" w14:textId="22DE4D3C" w:rsidR="0080138C" w:rsidRPr="00005453" w:rsidRDefault="0080138C" w:rsidP="0080138C">
            <w:pPr>
              <w:jc w:val="right"/>
              <w:rPr>
                <w:color w:val="000000"/>
                <w:sz w:val="10"/>
                <w:szCs w:val="10"/>
                <w:lang w:eastAsia="tr-TR"/>
              </w:rPr>
            </w:pPr>
            <w:r w:rsidRPr="00005453">
              <w:rPr>
                <w:color w:val="000000"/>
                <w:sz w:val="10"/>
                <w:szCs w:val="10"/>
              </w:rPr>
              <w:t>253,029</w:t>
            </w:r>
          </w:p>
        </w:tc>
        <w:tc>
          <w:tcPr>
            <w:tcW w:w="562" w:type="dxa"/>
            <w:tcBorders>
              <w:top w:val="nil"/>
              <w:left w:val="nil"/>
              <w:bottom w:val="nil"/>
              <w:right w:val="nil"/>
            </w:tcBorders>
            <w:shd w:val="clear" w:color="auto" w:fill="auto"/>
            <w:vAlign w:val="center"/>
            <w:hideMark/>
          </w:tcPr>
          <w:p w14:paraId="4E30ADE2" w14:textId="21E074B5"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3C8BA8B2" w14:textId="41788DA9"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54D3763A" w14:textId="3C060D1E"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4F6B6670" w14:textId="4ECB323D"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6645A895" w14:textId="63B40ADF"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19614A6D" w14:textId="046758A3" w:rsidR="0080138C" w:rsidRPr="00005453" w:rsidRDefault="0080138C" w:rsidP="0080138C">
            <w:pPr>
              <w:jc w:val="right"/>
              <w:rPr>
                <w:color w:val="000000"/>
                <w:sz w:val="10"/>
                <w:szCs w:val="10"/>
                <w:lang w:eastAsia="tr-TR"/>
              </w:rPr>
            </w:pPr>
            <w:r w:rsidRPr="00005453">
              <w:rPr>
                <w:color w:val="000000"/>
                <w:sz w:val="10"/>
                <w:szCs w:val="10"/>
              </w:rPr>
              <w:t>24,276</w:t>
            </w:r>
          </w:p>
        </w:tc>
        <w:tc>
          <w:tcPr>
            <w:tcW w:w="667" w:type="dxa"/>
            <w:tcBorders>
              <w:top w:val="nil"/>
              <w:left w:val="nil"/>
              <w:bottom w:val="nil"/>
              <w:right w:val="nil"/>
            </w:tcBorders>
            <w:shd w:val="clear" w:color="auto" w:fill="auto"/>
            <w:vAlign w:val="center"/>
            <w:hideMark/>
          </w:tcPr>
          <w:p w14:paraId="4470F976" w14:textId="62973A72" w:rsidR="0080138C" w:rsidRPr="00005453" w:rsidRDefault="0080138C" w:rsidP="0080138C">
            <w:pPr>
              <w:jc w:val="right"/>
              <w:rPr>
                <w:color w:val="000000"/>
                <w:sz w:val="10"/>
                <w:szCs w:val="10"/>
                <w:lang w:eastAsia="tr-TR"/>
              </w:rPr>
            </w:pPr>
            <w:r w:rsidRPr="00005453">
              <w:rPr>
                <w:color w:val="000000"/>
                <w:sz w:val="10"/>
                <w:szCs w:val="10"/>
              </w:rPr>
              <w:t>1,494,934</w:t>
            </w:r>
          </w:p>
        </w:tc>
        <w:tc>
          <w:tcPr>
            <w:tcW w:w="640" w:type="dxa"/>
            <w:tcBorders>
              <w:top w:val="nil"/>
              <w:left w:val="nil"/>
              <w:bottom w:val="nil"/>
              <w:right w:val="nil"/>
            </w:tcBorders>
            <w:shd w:val="clear" w:color="auto" w:fill="auto"/>
            <w:vAlign w:val="center"/>
            <w:hideMark/>
          </w:tcPr>
          <w:p w14:paraId="3D1EF0BE" w14:textId="3EF59EA2" w:rsidR="0080138C" w:rsidRPr="00005453" w:rsidRDefault="0080138C" w:rsidP="0080138C">
            <w:pPr>
              <w:jc w:val="right"/>
              <w:rPr>
                <w:color w:val="000000"/>
                <w:sz w:val="10"/>
                <w:szCs w:val="10"/>
                <w:lang w:eastAsia="tr-TR"/>
              </w:rPr>
            </w:pPr>
            <w:r w:rsidRPr="00005453">
              <w:rPr>
                <w:color w:val="000000"/>
                <w:sz w:val="10"/>
                <w:szCs w:val="10"/>
              </w:rPr>
              <w:t>321,762</w:t>
            </w:r>
          </w:p>
        </w:tc>
        <w:tc>
          <w:tcPr>
            <w:tcW w:w="690" w:type="dxa"/>
            <w:tcBorders>
              <w:top w:val="nil"/>
              <w:left w:val="nil"/>
              <w:bottom w:val="nil"/>
              <w:right w:val="nil"/>
            </w:tcBorders>
            <w:shd w:val="clear" w:color="auto" w:fill="auto"/>
            <w:vAlign w:val="center"/>
            <w:hideMark/>
          </w:tcPr>
          <w:p w14:paraId="670690CC" w14:textId="2147A173" w:rsidR="0080138C" w:rsidRPr="00005453" w:rsidRDefault="0080138C" w:rsidP="0080138C">
            <w:pPr>
              <w:jc w:val="right"/>
              <w:rPr>
                <w:color w:val="000000"/>
                <w:sz w:val="10"/>
                <w:szCs w:val="10"/>
                <w:lang w:eastAsia="tr-TR"/>
              </w:rPr>
            </w:pPr>
            <w:r w:rsidRPr="00005453">
              <w:rPr>
                <w:color w:val="000000"/>
                <w:sz w:val="10"/>
                <w:szCs w:val="10"/>
              </w:rPr>
              <w:t>1,816,696</w:t>
            </w:r>
          </w:p>
        </w:tc>
      </w:tr>
      <w:tr w:rsidR="0080138C" w:rsidRPr="00005453" w14:paraId="7D8C416D" w14:textId="77777777" w:rsidTr="0080138C">
        <w:trPr>
          <w:divId w:val="224265873"/>
          <w:trHeight w:val="199"/>
        </w:trPr>
        <w:tc>
          <w:tcPr>
            <w:tcW w:w="733" w:type="dxa"/>
            <w:tcBorders>
              <w:top w:val="nil"/>
              <w:left w:val="nil"/>
              <w:bottom w:val="nil"/>
              <w:right w:val="nil"/>
            </w:tcBorders>
            <w:shd w:val="clear" w:color="auto" w:fill="auto"/>
            <w:noWrap/>
            <w:hideMark/>
          </w:tcPr>
          <w:p w14:paraId="1B9A650F" w14:textId="77777777" w:rsidR="0080138C" w:rsidRPr="00005453" w:rsidRDefault="0080138C" w:rsidP="0080138C">
            <w:pPr>
              <w:rPr>
                <w:color w:val="000000"/>
                <w:sz w:val="10"/>
                <w:szCs w:val="10"/>
                <w:lang w:eastAsia="tr-TR"/>
              </w:rPr>
            </w:pPr>
            <w:r w:rsidRPr="00005453">
              <w:rPr>
                <w:color w:val="000000"/>
                <w:sz w:val="10"/>
                <w:szCs w:val="10"/>
                <w:lang w:eastAsia="tr-TR"/>
              </w:rPr>
              <w:t>Ulaştırma Ve Haberleşme</w:t>
            </w:r>
          </w:p>
        </w:tc>
        <w:tc>
          <w:tcPr>
            <w:tcW w:w="776" w:type="dxa"/>
            <w:tcBorders>
              <w:top w:val="nil"/>
              <w:left w:val="nil"/>
              <w:bottom w:val="nil"/>
              <w:right w:val="nil"/>
            </w:tcBorders>
            <w:shd w:val="clear" w:color="auto" w:fill="auto"/>
            <w:vAlign w:val="center"/>
            <w:hideMark/>
          </w:tcPr>
          <w:p w14:paraId="0D23B7A3" w14:textId="09DDFC07"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2E48A1C3" w14:textId="21AF18CC"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33727C80" w14:textId="09E5C025"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4A1EF8FD" w14:textId="49D7D2AA"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2142EE7C" w14:textId="26DA0884"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1FC3C618" w14:textId="3A6F372F"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34933F4A" w14:textId="6A20B1D6" w:rsidR="0080138C" w:rsidRPr="00005453" w:rsidRDefault="0080138C" w:rsidP="0080138C">
            <w:pPr>
              <w:jc w:val="right"/>
              <w:rPr>
                <w:color w:val="000000"/>
                <w:sz w:val="10"/>
                <w:szCs w:val="10"/>
                <w:lang w:eastAsia="tr-TR"/>
              </w:rPr>
            </w:pPr>
            <w:r w:rsidRPr="00005453">
              <w:rPr>
                <w:color w:val="000000"/>
                <w:sz w:val="10"/>
                <w:szCs w:val="10"/>
              </w:rPr>
              <w:t>4,771,620</w:t>
            </w:r>
          </w:p>
        </w:tc>
        <w:tc>
          <w:tcPr>
            <w:tcW w:w="635" w:type="dxa"/>
            <w:tcBorders>
              <w:top w:val="nil"/>
              <w:left w:val="nil"/>
              <w:bottom w:val="nil"/>
              <w:right w:val="nil"/>
            </w:tcBorders>
            <w:shd w:val="clear" w:color="auto" w:fill="auto"/>
            <w:vAlign w:val="center"/>
            <w:hideMark/>
          </w:tcPr>
          <w:p w14:paraId="0FEFD90C" w14:textId="2B2CF81D" w:rsidR="0080138C" w:rsidRPr="00005453" w:rsidRDefault="0080138C" w:rsidP="0080138C">
            <w:pPr>
              <w:jc w:val="right"/>
              <w:rPr>
                <w:color w:val="000000"/>
                <w:sz w:val="10"/>
                <w:szCs w:val="10"/>
                <w:lang w:eastAsia="tr-TR"/>
              </w:rPr>
            </w:pPr>
            <w:r w:rsidRPr="00005453">
              <w:rPr>
                <w:color w:val="000000"/>
                <w:sz w:val="10"/>
                <w:szCs w:val="10"/>
              </w:rPr>
              <w:t>3,584,115</w:t>
            </w:r>
          </w:p>
        </w:tc>
        <w:tc>
          <w:tcPr>
            <w:tcW w:w="947" w:type="dxa"/>
            <w:tcBorders>
              <w:top w:val="nil"/>
              <w:left w:val="nil"/>
              <w:bottom w:val="nil"/>
              <w:right w:val="nil"/>
            </w:tcBorders>
            <w:shd w:val="clear" w:color="auto" w:fill="auto"/>
            <w:vAlign w:val="center"/>
            <w:hideMark/>
          </w:tcPr>
          <w:p w14:paraId="7F6648B1" w14:textId="1AEE9E70" w:rsidR="0080138C" w:rsidRPr="00005453" w:rsidRDefault="0080138C" w:rsidP="0080138C">
            <w:pPr>
              <w:jc w:val="right"/>
              <w:rPr>
                <w:color w:val="000000"/>
                <w:sz w:val="10"/>
                <w:szCs w:val="10"/>
                <w:lang w:eastAsia="tr-TR"/>
              </w:rPr>
            </w:pPr>
            <w:r w:rsidRPr="00005453">
              <w:rPr>
                <w:color w:val="000000"/>
                <w:sz w:val="10"/>
                <w:szCs w:val="10"/>
              </w:rPr>
              <w:t>2,441,352</w:t>
            </w:r>
          </w:p>
        </w:tc>
        <w:tc>
          <w:tcPr>
            <w:tcW w:w="676" w:type="dxa"/>
            <w:tcBorders>
              <w:top w:val="nil"/>
              <w:left w:val="nil"/>
              <w:bottom w:val="nil"/>
              <w:right w:val="nil"/>
            </w:tcBorders>
            <w:shd w:val="clear" w:color="auto" w:fill="auto"/>
            <w:vAlign w:val="center"/>
            <w:hideMark/>
          </w:tcPr>
          <w:p w14:paraId="11FFBC5E" w14:textId="09421F23" w:rsidR="0080138C" w:rsidRPr="00005453" w:rsidRDefault="0080138C" w:rsidP="0080138C">
            <w:pPr>
              <w:jc w:val="right"/>
              <w:rPr>
                <w:color w:val="000000"/>
                <w:sz w:val="10"/>
                <w:szCs w:val="10"/>
                <w:lang w:eastAsia="tr-TR"/>
              </w:rPr>
            </w:pPr>
            <w:r w:rsidRPr="00005453">
              <w:rPr>
                <w:color w:val="000000"/>
                <w:sz w:val="10"/>
                <w:szCs w:val="10"/>
              </w:rPr>
              <w:t>1,150</w:t>
            </w:r>
          </w:p>
        </w:tc>
        <w:tc>
          <w:tcPr>
            <w:tcW w:w="676" w:type="dxa"/>
            <w:tcBorders>
              <w:top w:val="nil"/>
              <w:left w:val="nil"/>
              <w:bottom w:val="nil"/>
              <w:right w:val="nil"/>
            </w:tcBorders>
            <w:shd w:val="clear" w:color="auto" w:fill="auto"/>
            <w:vAlign w:val="center"/>
            <w:hideMark/>
          </w:tcPr>
          <w:p w14:paraId="1AEA249D" w14:textId="529A1BBB" w:rsidR="0080138C" w:rsidRPr="00005453" w:rsidRDefault="0080138C" w:rsidP="0080138C">
            <w:pPr>
              <w:jc w:val="right"/>
              <w:rPr>
                <w:color w:val="000000"/>
                <w:sz w:val="10"/>
                <w:szCs w:val="10"/>
                <w:lang w:eastAsia="tr-TR"/>
              </w:rPr>
            </w:pPr>
            <w:r w:rsidRPr="00005453">
              <w:rPr>
                <w:color w:val="000000"/>
                <w:sz w:val="10"/>
                <w:szCs w:val="10"/>
              </w:rPr>
              <w:t>903,628</w:t>
            </w:r>
          </w:p>
        </w:tc>
        <w:tc>
          <w:tcPr>
            <w:tcW w:w="562" w:type="dxa"/>
            <w:tcBorders>
              <w:top w:val="nil"/>
              <w:left w:val="nil"/>
              <w:bottom w:val="nil"/>
              <w:right w:val="nil"/>
            </w:tcBorders>
            <w:shd w:val="clear" w:color="auto" w:fill="auto"/>
            <w:vAlign w:val="center"/>
            <w:hideMark/>
          </w:tcPr>
          <w:p w14:paraId="238B52EF" w14:textId="4E9044AC"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32F961A2" w14:textId="2257BA72"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24235048" w14:textId="64F74B10"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79CB981E" w14:textId="03C2F99E"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1297BF6C" w14:textId="0798E631"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629743E9" w14:textId="5FDBB371" w:rsidR="0080138C" w:rsidRPr="00005453" w:rsidRDefault="0080138C" w:rsidP="0080138C">
            <w:pPr>
              <w:jc w:val="right"/>
              <w:rPr>
                <w:color w:val="000000"/>
                <w:sz w:val="10"/>
                <w:szCs w:val="10"/>
                <w:lang w:eastAsia="tr-TR"/>
              </w:rPr>
            </w:pPr>
            <w:r w:rsidRPr="00005453">
              <w:rPr>
                <w:color w:val="000000"/>
                <w:sz w:val="10"/>
                <w:szCs w:val="10"/>
              </w:rPr>
              <w:t>548,526</w:t>
            </w:r>
          </w:p>
        </w:tc>
        <w:tc>
          <w:tcPr>
            <w:tcW w:w="667" w:type="dxa"/>
            <w:tcBorders>
              <w:top w:val="nil"/>
              <w:left w:val="nil"/>
              <w:bottom w:val="nil"/>
              <w:right w:val="nil"/>
            </w:tcBorders>
            <w:shd w:val="clear" w:color="auto" w:fill="auto"/>
            <w:vAlign w:val="center"/>
            <w:hideMark/>
          </w:tcPr>
          <w:p w14:paraId="60152BE4" w14:textId="69537614" w:rsidR="0080138C" w:rsidRPr="00005453" w:rsidRDefault="0080138C" w:rsidP="0080138C">
            <w:pPr>
              <w:jc w:val="right"/>
              <w:rPr>
                <w:color w:val="000000"/>
                <w:sz w:val="10"/>
                <w:szCs w:val="10"/>
                <w:lang w:eastAsia="tr-TR"/>
              </w:rPr>
            </w:pPr>
            <w:r w:rsidRPr="00005453">
              <w:rPr>
                <w:color w:val="000000"/>
                <w:sz w:val="10"/>
                <w:szCs w:val="10"/>
              </w:rPr>
              <w:t>5,732,459</w:t>
            </w:r>
          </w:p>
        </w:tc>
        <w:tc>
          <w:tcPr>
            <w:tcW w:w="640" w:type="dxa"/>
            <w:tcBorders>
              <w:top w:val="nil"/>
              <w:left w:val="nil"/>
              <w:bottom w:val="nil"/>
              <w:right w:val="nil"/>
            </w:tcBorders>
            <w:shd w:val="clear" w:color="auto" w:fill="auto"/>
            <w:vAlign w:val="center"/>
            <w:hideMark/>
          </w:tcPr>
          <w:p w14:paraId="2741B966" w14:textId="265D8515" w:rsidR="0080138C" w:rsidRPr="00005453" w:rsidRDefault="0080138C" w:rsidP="0080138C">
            <w:pPr>
              <w:jc w:val="right"/>
              <w:rPr>
                <w:color w:val="000000"/>
                <w:sz w:val="10"/>
                <w:szCs w:val="10"/>
                <w:lang w:eastAsia="tr-TR"/>
              </w:rPr>
            </w:pPr>
            <w:r w:rsidRPr="00005453">
              <w:rPr>
                <w:color w:val="000000"/>
                <w:sz w:val="10"/>
                <w:szCs w:val="10"/>
              </w:rPr>
              <w:t>6,517,932</w:t>
            </w:r>
          </w:p>
        </w:tc>
        <w:tc>
          <w:tcPr>
            <w:tcW w:w="690" w:type="dxa"/>
            <w:tcBorders>
              <w:top w:val="nil"/>
              <w:left w:val="nil"/>
              <w:bottom w:val="nil"/>
              <w:right w:val="nil"/>
            </w:tcBorders>
            <w:shd w:val="clear" w:color="auto" w:fill="auto"/>
            <w:vAlign w:val="center"/>
            <w:hideMark/>
          </w:tcPr>
          <w:p w14:paraId="1F72434A" w14:textId="34AEE58B" w:rsidR="0080138C" w:rsidRPr="00005453" w:rsidRDefault="0080138C" w:rsidP="0080138C">
            <w:pPr>
              <w:jc w:val="right"/>
              <w:rPr>
                <w:color w:val="000000"/>
                <w:sz w:val="10"/>
                <w:szCs w:val="10"/>
                <w:lang w:eastAsia="tr-TR"/>
              </w:rPr>
            </w:pPr>
            <w:r w:rsidRPr="00005453">
              <w:rPr>
                <w:color w:val="000000"/>
                <w:sz w:val="10"/>
                <w:szCs w:val="10"/>
              </w:rPr>
              <w:t>12,250,391</w:t>
            </w:r>
          </w:p>
        </w:tc>
      </w:tr>
      <w:tr w:rsidR="0080138C" w:rsidRPr="00005453" w14:paraId="09E23FB5" w14:textId="77777777" w:rsidTr="0080138C">
        <w:trPr>
          <w:divId w:val="224265873"/>
          <w:trHeight w:val="199"/>
        </w:trPr>
        <w:tc>
          <w:tcPr>
            <w:tcW w:w="733" w:type="dxa"/>
            <w:tcBorders>
              <w:top w:val="nil"/>
              <w:left w:val="nil"/>
              <w:bottom w:val="nil"/>
              <w:right w:val="nil"/>
            </w:tcBorders>
            <w:shd w:val="clear" w:color="auto" w:fill="auto"/>
            <w:noWrap/>
            <w:hideMark/>
          </w:tcPr>
          <w:p w14:paraId="08B6E0BF" w14:textId="77777777" w:rsidR="0080138C" w:rsidRPr="00005453" w:rsidRDefault="0080138C" w:rsidP="0080138C">
            <w:pPr>
              <w:rPr>
                <w:color w:val="000000"/>
                <w:sz w:val="10"/>
                <w:szCs w:val="10"/>
                <w:lang w:eastAsia="tr-TR"/>
              </w:rPr>
            </w:pPr>
            <w:r w:rsidRPr="00005453">
              <w:rPr>
                <w:color w:val="000000"/>
                <w:sz w:val="10"/>
                <w:szCs w:val="10"/>
                <w:lang w:eastAsia="tr-TR"/>
              </w:rPr>
              <w:t>Mali Kuruluşlar</w:t>
            </w:r>
          </w:p>
        </w:tc>
        <w:tc>
          <w:tcPr>
            <w:tcW w:w="776" w:type="dxa"/>
            <w:tcBorders>
              <w:top w:val="nil"/>
              <w:left w:val="nil"/>
              <w:bottom w:val="nil"/>
              <w:right w:val="nil"/>
            </w:tcBorders>
            <w:shd w:val="clear" w:color="auto" w:fill="auto"/>
            <w:vAlign w:val="center"/>
            <w:hideMark/>
          </w:tcPr>
          <w:p w14:paraId="6AD8B376" w14:textId="4CC940B5" w:rsidR="0080138C" w:rsidRPr="00005453" w:rsidRDefault="0080138C" w:rsidP="0080138C">
            <w:pPr>
              <w:jc w:val="right"/>
              <w:rPr>
                <w:color w:val="000000"/>
                <w:sz w:val="10"/>
                <w:szCs w:val="10"/>
                <w:lang w:eastAsia="tr-TR"/>
              </w:rPr>
            </w:pPr>
            <w:r w:rsidRPr="00005453">
              <w:rPr>
                <w:color w:val="000000"/>
                <w:sz w:val="10"/>
                <w:szCs w:val="10"/>
              </w:rPr>
              <w:t>191,853,312</w:t>
            </w:r>
          </w:p>
        </w:tc>
        <w:tc>
          <w:tcPr>
            <w:tcW w:w="776" w:type="dxa"/>
            <w:tcBorders>
              <w:top w:val="nil"/>
              <w:left w:val="nil"/>
              <w:bottom w:val="nil"/>
              <w:right w:val="nil"/>
            </w:tcBorders>
            <w:shd w:val="clear" w:color="auto" w:fill="auto"/>
            <w:vAlign w:val="center"/>
            <w:hideMark/>
          </w:tcPr>
          <w:p w14:paraId="166998ED" w14:textId="07917A7F"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6C1C74AB" w14:textId="090019FD"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1AB4A348" w14:textId="4991DA6E" w:rsidR="0080138C" w:rsidRPr="00005453" w:rsidRDefault="0080138C" w:rsidP="0080138C">
            <w:pPr>
              <w:jc w:val="right"/>
              <w:rPr>
                <w:color w:val="000000"/>
                <w:sz w:val="10"/>
                <w:szCs w:val="10"/>
                <w:lang w:eastAsia="tr-TR"/>
              </w:rPr>
            </w:pPr>
            <w:r w:rsidRPr="00005453">
              <w:rPr>
                <w:color w:val="000000"/>
                <w:sz w:val="10"/>
                <w:szCs w:val="10"/>
              </w:rPr>
              <w:t>231,344</w:t>
            </w:r>
          </w:p>
        </w:tc>
        <w:tc>
          <w:tcPr>
            <w:tcW w:w="733" w:type="dxa"/>
            <w:tcBorders>
              <w:top w:val="nil"/>
              <w:left w:val="nil"/>
              <w:bottom w:val="nil"/>
              <w:right w:val="nil"/>
            </w:tcBorders>
            <w:shd w:val="clear" w:color="auto" w:fill="auto"/>
            <w:vAlign w:val="center"/>
            <w:hideMark/>
          </w:tcPr>
          <w:p w14:paraId="1EE8CF02" w14:textId="6896C1BE"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645A4F00" w14:textId="0A3F0906" w:rsidR="0080138C" w:rsidRPr="00005453" w:rsidRDefault="0080138C" w:rsidP="0080138C">
            <w:pPr>
              <w:jc w:val="right"/>
              <w:rPr>
                <w:color w:val="000000"/>
                <w:sz w:val="10"/>
                <w:szCs w:val="10"/>
                <w:lang w:eastAsia="tr-TR"/>
              </w:rPr>
            </w:pPr>
            <w:r w:rsidRPr="00005453">
              <w:rPr>
                <w:color w:val="000000"/>
                <w:sz w:val="10"/>
                <w:szCs w:val="10"/>
              </w:rPr>
              <w:t>20,502,158</w:t>
            </w:r>
          </w:p>
        </w:tc>
        <w:tc>
          <w:tcPr>
            <w:tcW w:w="635" w:type="dxa"/>
            <w:tcBorders>
              <w:top w:val="nil"/>
              <w:left w:val="nil"/>
              <w:bottom w:val="nil"/>
              <w:right w:val="nil"/>
            </w:tcBorders>
            <w:shd w:val="clear" w:color="auto" w:fill="auto"/>
            <w:vAlign w:val="center"/>
            <w:hideMark/>
          </w:tcPr>
          <w:p w14:paraId="77959394" w14:textId="3F2C2D7F" w:rsidR="0080138C" w:rsidRPr="00005453" w:rsidRDefault="0080138C" w:rsidP="0080138C">
            <w:pPr>
              <w:jc w:val="right"/>
              <w:rPr>
                <w:color w:val="000000"/>
                <w:sz w:val="10"/>
                <w:szCs w:val="10"/>
                <w:lang w:eastAsia="tr-TR"/>
              </w:rPr>
            </w:pPr>
            <w:r w:rsidRPr="00005453">
              <w:rPr>
                <w:color w:val="000000"/>
                <w:sz w:val="10"/>
                <w:szCs w:val="10"/>
              </w:rPr>
              <w:t>2,107</w:t>
            </w:r>
          </w:p>
        </w:tc>
        <w:tc>
          <w:tcPr>
            <w:tcW w:w="635" w:type="dxa"/>
            <w:tcBorders>
              <w:top w:val="nil"/>
              <w:left w:val="nil"/>
              <w:bottom w:val="nil"/>
              <w:right w:val="nil"/>
            </w:tcBorders>
            <w:shd w:val="clear" w:color="auto" w:fill="auto"/>
            <w:vAlign w:val="center"/>
            <w:hideMark/>
          </w:tcPr>
          <w:p w14:paraId="404B9A23" w14:textId="7CC48717" w:rsidR="0080138C" w:rsidRPr="00005453" w:rsidRDefault="0080138C" w:rsidP="0080138C">
            <w:pPr>
              <w:jc w:val="right"/>
              <w:rPr>
                <w:color w:val="000000"/>
                <w:sz w:val="10"/>
                <w:szCs w:val="10"/>
                <w:lang w:eastAsia="tr-TR"/>
              </w:rPr>
            </w:pPr>
            <w:r w:rsidRPr="00005453">
              <w:rPr>
                <w:color w:val="000000"/>
                <w:sz w:val="10"/>
                <w:szCs w:val="10"/>
              </w:rPr>
              <w:t>29,347</w:t>
            </w:r>
          </w:p>
        </w:tc>
        <w:tc>
          <w:tcPr>
            <w:tcW w:w="947" w:type="dxa"/>
            <w:tcBorders>
              <w:top w:val="nil"/>
              <w:left w:val="nil"/>
              <w:bottom w:val="nil"/>
              <w:right w:val="nil"/>
            </w:tcBorders>
            <w:shd w:val="clear" w:color="auto" w:fill="auto"/>
            <w:vAlign w:val="center"/>
            <w:hideMark/>
          </w:tcPr>
          <w:p w14:paraId="2F6516D8" w14:textId="2748B0FA" w:rsidR="0080138C" w:rsidRPr="00005453" w:rsidRDefault="0080138C" w:rsidP="0080138C">
            <w:pPr>
              <w:jc w:val="right"/>
              <w:rPr>
                <w:color w:val="000000"/>
                <w:sz w:val="10"/>
                <w:szCs w:val="10"/>
                <w:lang w:eastAsia="tr-TR"/>
              </w:rPr>
            </w:pPr>
            <w:r w:rsidRPr="00005453">
              <w:rPr>
                <w:color w:val="000000"/>
                <w:sz w:val="10"/>
                <w:szCs w:val="10"/>
              </w:rPr>
              <w:t>88,610</w:t>
            </w:r>
          </w:p>
        </w:tc>
        <w:tc>
          <w:tcPr>
            <w:tcW w:w="676" w:type="dxa"/>
            <w:tcBorders>
              <w:top w:val="nil"/>
              <w:left w:val="nil"/>
              <w:bottom w:val="nil"/>
              <w:right w:val="nil"/>
            </w:tcBorders>
            <w:shd w:val="clear" w:color="auto" w:fill="auto"/>
            <w:vAlign w:val="center"/>
            <w:hideMark/>
          </w:tcPr>
          <w:p w14:paraId="542A260C" w14:textId="40D1C44F" w:rsidR="0080138C" w:rsidRPr="00005453" w:rsidRDefault="0080138C" w:rsidP="0080138C">
            <w:pPr>
              <w:jc w:val="right"/>
              <w:rPr>
                <w:color w:val="000000"/>
                <w:sz w:val="10"/>
                <w:szCs w:val="10"/>
                <w:lang w:eastAsia="tr-TR"/>
              </w:rPr>
            </w:pPr>
            <w:r w:rsidRPr="00005453">
              <w:rPr>
                <w:color w:val="000000"/>
                <w:sz w:val="10"/>
                <w:szCs w:val="10"/>
              </w:rPr>
              <w:t>-</w:t>
            </w:r>
          </w:p>
        </w:tc>
        <w:tc>
          <w:tcPr>
            <w:tcW w:w="676" w:type="dxa"/>
            <w:tcBorders>
              <w:top w:val="nil"/>
              <w:left w:val="nil"/>
              <w:bottom w:val="nil"/>
              <w:right w:val="nil"/>
            </w:tcBorders>
            <w:shd w:val="clear" w:color="auto" w:fill="auto"/>
            <w:vAlign w:val="center"/>
            <w:hideMark/>
          </w:tcPr>
          <w:p w14:paraId="7002826F" w14:textId="18DA53C0" w:rsidR="0080138C" w:rsidRPr="00005453" w:rsidRDefault="0080138C" w:rsidP="0080138C">
            <w:pPr>
              <w:jc w:val="right"/>
              <w:rPr>
                <w:color w:val="000000"/>
                <w:sz w:val="10"/>
                <w:szCs w:val="10"/>
                <w:lang w:eastAsia="tr-TR"/>
              </w:rPr>
            </w:pPr>
            <w:r w:rsidRPr="00005453">
              <w:rPr>
                <w:color w:val="000000"/>
                <w:sz w:val="10"/>
                <w:szCs w:val="10"/>
              </w:rPr>
              <w:t>9,573</w:t>
            </w:r>
          </w:p>
        </w:tc>
        <w:tc>
          <w:tcPr>
            <w:tcW w:w="562" w:type="dxa"/>
            <w:tcBorders>
              <w:top w:val="nil"/>
              <w:left w:val="nil"/>
              <w:bottom w:val="nil"/>
              <w:right w:val="nil"/>
            </w:tcBorders>
            <w:shd w:val="clear" w:color="auto" w:fill="auto"/>
            <w:vAlign w:val="center"/>
            <w:hideMark/>
          </w:tcPr>
          <w:p w14:paraId="2B52C1A1" w14:textId="43CE2036"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20DB0725" w14:textId="59BA52DF"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0DADDF20" w14:textId="099DAAB9"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62558971" w14:textId="436F92A2"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0686A472" w14:textId="38EA4F65" w:rsidR="0080138C" w:rsidRPr="00005453" w:rsidRDefault="0080138C" w:rsidP="0080138C">
            <w:pPr>
              <w:jc w:val="right"/>
              <w:rPr>
                <w:color w:val="000000"/>
                <w:sz w:val="10"/>
                <w:szCs w:val="10"/>
                <w:lang w:eastAsia="tr-TR"/>
              </w:rPr>
            </w:pPr>
            <w:r w:rsidRPr="00005453">
              <w:rPr>
                <w:color w:val="000000"/>
                <w:sz w:val="10"/>
                <w:szCs w:val="10"/>
              </w:rPr>
              <w:t>2,187,789</w:t>
            </w:r>
          </w:p>
        </w:tc>
        <w:tc>
          <w:tcPr>
            <w:tcW w:w="667" w:type="dxa"/>
            <w:tcBorders>
              <w:top w:val="nil"/>
              <w:left w:val="nil"/>
              <w:bottom w:val="nil"/>
              <w:right w:val="nil"/>
            </w:tcBorders>
            <w:shd w:val="clear" w:color="auto" w:fill="auto"/>
            <w:vAlign w:val="center"/>
            <w:hideMark/>
          </w:tcPr>
          <w:p w14:paraId="765F6E92" w14:textId="394982B7" w:rsidR="0080138C" w:rsidRPr="00005453" w:rsidRDefault="0080138C" w:rsidP="0080138C">
            <w:pPr>
              <w:jc w:val="right"/>
              <w:rPr>
                <w:color w:val="000000"/>
                <w:sz w:val="10"/>
                <w:szCs w:val="10"/>
                <w:lang w:eastAsia="tr-TR"/>
              </w:rPr>
            </w:pPr>
            <w:r w:rsidRPr="00005453">
              <w:rPr>
                <w:color w:val="000000"/>
                <w:sz w:val="10"/>
                <w:szCs w:val="10"/>
              </w:rPr>
              <w:t>18,180,613</w:t>
            </w:r>
          </w:p>
        </w:tc>
        <w:tc>
          <w:tcPr>
            <w:tcW w:w="667" w:type="dxa"/>
            <w:tcBorders>
              <w:top w:val="nil"/>
              <w:left w:val="nil"/>
              <w:bottom w:val="nil"/>
              <w:right w:val="nil"/>
            </w:tcBorders>
            <w:shd w:val="clear" w:color="auto" w:fill="auto"/>
            <w:vAlign w:val="center"/>
            <w:hideMark/>
          </w:tcPr>
          <w:p w14:paraId="4621C9FB" w14:textId="31EF0E88" w:rsidR="0080138C" w:rsidRPr="00005453" w:rsidRDefault="0080138C" w:rsidP="0080138C">
            <w:pPr>
              <w:jc w:val="right"/>
              <w:rPr>
                <w:color w:val="000000"/>
                <w:sz w:val="10"/>
                <w:szCs w:val="10"/>
                <w:lang w:eastAsia="tr-TR"/>
              </w:rPr>
            </w:pPr>
            <w:r w:rsidRPr="00005453">
              <w:rPr>
                <w:color w:val="000000"/>
                <w:sz w:val="10"/>
                <w:szCs w:val="10"/>
              </w:rPr>
              <w:t>120,048,230</w:t>
            </w:r>
          </w:p>
        </w:tc>
        <w:tc>
          <w:tcPr>
            <w:tcW w:w="640" w:type="dxa"/>
            <w:tcBorders>
              <w:top w:val="nil"/>
              <w:left w:val="nil"/>
              <w:bottom w:val="nil"/>
              <w:right w:val="nil"/>
            </w:tcBorders>
            <w:shd w:val="clear" w:color="auto" w:fill="auto"/>
            <w:vAlign w:val="center"/>
            <w:hideMark/>
          </w:tcPr>
          <w:p w14:paraId="194E6E3D" w14:textId="049D217B" w:rsidR="0080138C" w:rsidRPr="00005453" w:rsidRDefault="0080138C" w:rsidP="0080138C">
            <w:pPr>
              <w:jc w:val="right"/>
              <w:rPr>
                <w:color w:val="000000"/>
                <w:sz w:val="10"/>
                <w:szCs w:val="10"/>
                <w:lang w:eastAsia="tr-TR"/>
              </w:rPr>
            </w:pPr>
            <w:r w:rsidRPr="00005453">
              <w:rPr>
                <w:color w:val="000000"/>
                <w:sz w:val="10"/>
                <w:szCs w:val="10"/>
              </w:rPr>
              <w:t>113,036,623</w:t>
            </w:r>
          </w:p>
        </w:tc>
        <w:tc>
          <w:tcPr>
            <w:tcW w:w="690" w:type="dxa"/>
            <w:tcBorders>
              <w:top w:val="nil"/>
              <w:left w:val="nil"/>
              <w:bottom w:val="nil"/>
              <w:right w:val="nil"/>
            </w:tcBorders>
            <w:shd w:val="clear" w:color="auto" w:fill="auto"/>
            <w:vAlign w:val="center"/>
            <w:hideMark/>
          </w:tcPr>
          <w:p w14:paraId="70E7DBA5" w14:textId="56C51B90" w:rsidR="0080138C" w:rsidRPr="00005453" w:rsidRDefault="0080138C" w:rsidP="0080138C">
            <w:pPr>
              <w:jc w:val="right"/>
              <w:rPr>
                <w:color w:val="000000"/>
                <w:sz w:val="10"/>
                <w:szCs w:val="10"/>
                <w:lang w:eastAsia="tr-TR"/>
              </w:rPr>
            </w:pPr>
            <w:r w:rsidRPr="00005453">
              <w:rPr>
                <w:color w:val="000000"/>
                <w:sz w:val="10"/>
                <w:szCs w:val="10"/>
              </w:rPr>
              <w:t>233,084,853</w:t>
            </w:r>
          </w:p>
        </w:tc>
      </w:tr>
      <w:tr w:rsidR="0080138C" w:rsidRPr="00005453" w14:paraId="5D999EE3" w14:textId="77777777" w:rsidTr="0080138C">
        <w:trPr>
          <w:divId w:val="224265873"/>
          <w:trHeight w:val="199"/>
        </w:trPr>
        <w:tc>
          <w:tcPr>
            <w:tcW w:w="733" w:type="dxa"/>
            <w:tcBorders>
              <w:top w:val="nil"/>
              <w:left w:val="nil"/>
              <w:bottom w:val="nil"/>
              <w:right w:val="nil"/>
            </w:tcBorders>
            <w:shd w:val="clear" w:color="auto" w:fill="auto"/>
            <w:noWrap/>
            <w:hideMark/>
          </w:tcPr>
          <w:p w14:paraId="47B2B27C" w14:textId="77777777" w:rsidR="0080138C" w:rsidRPr="00005453" w:rsidRDefault="0080138C" w:rsidP="0080138C">
            <w:pPr>
              <w:rPr>
                <w:color w:val="000000"/>
                <w:sz w:val="10"/>
                <w:szCs w:val="10"/>
                <w:lang w:eastAsia="tr-TR"/>
              </w:rPr>
            </w:pPr>
            <w:r w:rsidRPr="00005453">
              <w:rPr>
                <w:color w:val="000000"/>
                <w:sz w:val="10"/>
                <w:szCs w:val="10"/>
                <w:lang w:eastAsia="tr-TR"/>
              </w:rPr>
              <w:t>Gayrimenkul ve Kira. Hizm.</w:t>
            </w:r>
          </w:p>
        </w:tc>
        <w:tc>
          <w:tcPr>
            <w:tcW w:w="776" w:type="dxa"/>
            <w:tcBorders>
              <w:top w:val="nil"/>
              <w:left w:val="nil"/>
              <w:bottom w:val="nil"/>
              <w:right w:val="nil"/>
            </w:tcBorders>
            <w:shd w:val="clear" w:color="auto" w:fill="auto"/>
            <w:vAlign w:val="center"/>
            <w:hideMark/>
          </w:tcPr>
          <w:p w14:paraId="2D760D93" w14:textId="5DFB8E71"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24F381AB" w14:textId="56F78C41"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2CC2389E" w14:textId="4E6718EE"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3202C16B" w14:textId="421431FE"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2EC2EC4E" w14:textId="61EC80E2"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06F03C4A" w14:textId="67616BC6" w:rsidR="0080138C" w:rsidRPr="00005453" w:rsidRDefault="0080138C" w:rsidP="0080138C">
            <w:pPr>
              <w:jc w:val="right"/>
              <w:rPr>
                <w:color w:val="000000"/>
                <w:sz w:val="10"/>
                <w:szCs w:val="10"/>
                <w:lang w:eastAsia="tr-TR"/>
              </w:rPr>
            </w:pPr>
            <w:r w:rsidRPr="00005453">
              <w:rPr>
                <w:color w:val="000000"/>
                <w:sz w:val="10"/>
                <w:szCs w:val="10"/>
              </w:rPr>
              <w:t>560,501</w:t>
            </w:r>
          </w:p>
        </w:tc>
        <w:tc>
          <w:tcPr>
            <w:tcW w:w="635" w:type="dxa"/>
            <w:tcBorders>
              <w:top w:val="nil"/>
              <w:left w:val="nil"/>
              <w:bottom w:val="nil"/>
              <w:right w:val="nil"/>
            </w:tcBorders>
            <w:shd w:val="clear" w:color="auto" w:fill="auto"/>
            <w:vAlign w:val="center"/>
            <w:hideMark/>
          </w:tcPr>
          <w:p w14:paraId="49458F17" w14:textId="376ED8E0" w:rsidR="0080138C" w:rsidRPr="00005453" w:rsidRDefault="0080138C" w:rsidP="0080138C">
            <w:pPr>
              <w:jc w:val="right"/>
              <w:rPr>
                <w:color w:val="000000"/>
                <w:sz w:val="10"/>
                <w:szCs w:val="10"/>
                <w:lang w:eastAsia="tr-TR"/>
              </w:rPr>
            </w:pPr>
            <w:r w:rsidRPr="00005453">
              <w:rPr>
                <w:color w:val="000000"/>
                <w:sz w:val="10"/>
                <w:szCs w:val="10"/>
              </w:rPr>
              <w:t>1,608,150</w:t>
            </w:r>
          </w:p>
        </w:tc>
        <w:tc>
          <w:tcPr>
            <w:tcW w:w="635" w:type="dxa"/>
            <w:tcBorders>
              <w:top w:val="nil"/>
              <w:left w:val="nil"/>
              <w:bottom w:val="nil"/>
              <w:right w:val="nil"/>
            </w:tcBorders>
            <w:shd w:val="clear" w:color="auto" w:fill="auto"/>
            <w:vAlign w:val="center"/>
            <w:hideMark/>
          </w:tcPr>
          <w:p w14:paraId="0C8F45A4" w14:textId="60CC983D" w:rsidR="0080138C" w:rsidRPr="00005453" w:rsidRDefault="0080138C" w:rsidP="0080138C">
            <w:pPr>
              <w:jc w:val="right"/>
              <w:rPr>
                <w:color w:val="000000"/>
                <w:sz w:val="10"/>
                <w:szCs w:val="10"/>
                <w:lang w:eastAsia="tr-TR"/>
              </w:rPr>
            </w:pPr>
            <w:r w:rsidRPr="00005453">
              <w:rPr>
                <w:color w:val="000000"/>
                <w:sz w:val="10"/>
                <w:szCs w:val="10"/>
              </w:rPr>
              <w:t>660,770</w:t>
            </w:r>
          </w:p>
        </w:tc>
        <w:tc>
          <w:tcPr>
            <w:tcW w:w="947" w:type="dxa"/>
            <w:tcBorders>
              <w:top w:val="nil"/>
              <w:left w:val="nil"/>
              <w:bottom w:val="nil"/>
              <w:right w:val="nil"/>
            </w:tcBorders>
            <w:shd w:val="clear" w:color="auto" w:fill="auto"/>
            <w:vAlign w:val="center"/>
            <w:hideMark/>
          </w:tcPr>
          <w:p w14:paraId="6F6F67B6" w14:textId="2E090819" w:rsidR="0080138C" w:rsidRPr="00005453" w:rsidRDefault="0080138C" w:rsidP="0080138C">
            <w:pPr>
              <w:jc w:val="right"/>
              <w:rPr>
                <w:color w:val="000000"/>
                <w:sz w:val="10"/>
                <w:szCs w:val="10"/>
                <w:lang w:eastAsia="tr-TR"/>
              </w:rPr>
            </w:pPr>
            <w:r w:rsidRPr="00005453">
              <w:rPr>
                <w:color w:val="000000"/>
                <w:sz w:val="10"/>
                <w:szCs w:val="10"/>
              </w:rPr>
              <w:t>1,141,475</w:t>
            </w:r>
          </w:p>
        </w:tc>
        <w:tc>
          <w:tcPr>
            <w:tcW w:w="676" w:type="dxa"/>
            <w:tcBorders>
              <w:top w:val="nil"/>
              <w:left w:val="nil"/>
              <w:bottom w:val="nil"/>
              <w:right w:val="nil"/>
            </w:tcBorders>
            <w:shd w:val="clear" w:color="auto" w:fill="auto"/>
            <w:vAlign w:val="center"/>
            <w:hideMark/>
          </w:tcPr>
          <w:p w14:paraId="1FEAA7BB" w14:textId="2F7327A6" w:rsidR="0080138C" w:rsidRPr="00005453" w:rsidRDefault="0080138C" w:rsidP="0080138C">
            <w:pPr>
              <w:jc w:val="right"/>
              <w:rPr>
                <w:color w:val="000000"/>
                <w:sz w:val="10"/>
                <w:szCs w:val="10"/>
                <w:lang w:eastAsia="tr-TR"/>
              </w:rPr>
            </w:pPr>
            <w:r w:rsidRPr="00005453">
              <w:rPr>
                <w:color w:val="000000"/>
                <w:sz w:val="10"/>
                <w:szCs w:val="10"/>
              </w:rPr>
              <w:t>595</w:t>
            </w:r>
          </w:p>
        </w:tc>
        <w:tc>
          <w:tcPr>
            <w:tcW w:w="676" w:type="dxa"/>
            <w:tcBorders>
              <w:top w:val="nil"/>
              <w:left w:val="nil"/>
              <w:bottom w:val="nil"/>
              <w:right w:val="nil"/>
            </w:tcBorders>
            <w:shd w:val="clear" w:color="auto" w:fill="auto"/>
            <w:vAlign w:val="center"/>
            <w:hideMark/>
          </w:tcPr>
          <w:p w14:paraId="08317918" w14:textId="6CF6EC60" w:rsidR="0080138C" w:rsidRPr="00005453" w:rsidRDefault="0080138C" w:rsidP="0080138C">
            <w:pPr>
              <w:jc w:val="right"/>
              <w:rPr>
                <w:color w:val="000000"/>
                <w:sz w:val="10"/>
                <w:szCs w:val="10"/>
                <w:lang w:eastAsia="tr-TR"/>
              </w:rPr>
            </w:pPr>
            <w:r w:rsidRPr="00005453">
              <w:rPr>
                <w:color w:val="000000"/>
                <w:sz w:val="10"/>
                <w:szCs w:val="10"/>
              </w:rPr>
              <w:t>1,259,401</w:t>
            </w:r>
          </w:p>
        </w:tc>
        <w:tc>
          <w:tcPr>
            <w:tcW w:w="562" w:type="dxa"/>
            <w:tcBorders>
              <w:top w:val="nil"/>
              <w:left w:val="nil"/>
              <w:bottom w:val="nil"/>
              <w:right w:val="nil"/>
            </w:tcBorders>
            <w:shd w:val="clear" w:color="auto" w:fill="auto"/>
            <w:vAlign w:val="center"/>
            <w:hideMark/>
          </w:tcPr>
          <w:p w14:paraId="6CFF3E1F" w14:textId="6DC84DF3"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16FF1224" w14:textId="53DE8631"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5267B1B0" w14:textId="0E26FF97"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6F189922" w14:textId="5C14B763"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1DB79248" w14:textId="3358F291" w:rsidR="0080138C" w:rsidRPr="00005453" w:rsidRDefault="0080138C" w:rsidP="0080138C">
            <w:pPr>
              <w:jc w:val="right"/>
              <w:rPr>
                <w:color w:val="000000"/>
                <w:sz w:val="10"/>
                <w:szCs w:val="10"/>
                <w:lang w:eastAsia="tr-TR"/>
              </w:rPr>
            </w:pPr>
            <w:r w:rsidRPr="00005453">
              <w:rPr>
                <w:color w:val="000000"/>
                <w:sz w:val="10"/>
                <w:szCs w:val="10"/>
              </w:rPr>
              <w:t>50</w:t>
            </w:r>
          </w:p>
        </w:tc>
        <w:tc>
          <w:tcPr>
            <w:tcW w:w="667" w:type="dxa"/>
            <w:tcBorders>
              <w:top w:val="nil"/>
              <w:left w:val="nil"/>
              <w:bottom w:val="nil"/>
              <w:right w:val="nil"/>
            </w:tcBorders>
            <w:shd w:val="clear" w:color="auto" w:fill="auto"/>
            <w:vAlign w:val="center"/>
            <w:hideMark/>
          </w:tcPr>
          <w:p w14:paraId="2673A169" w14:textId="1F0663B6" w:rsidR="0080138C" w:rsidRPr="00005453" w:rsidRDefault="0080138C" w:rsidP="0080138C">
            <w:pPr>
              <w:jc w:val="right"/>
              <w:rPr>
                <w:color w:val="000000"/>
                <w:sz w:val="10"/>
                <w:szCs w:val="10"/>
                <w:lang w:eastAsia="tr-TR"/>
              </w:rPr>
            </w:pPr>
            <w:r w:rsidRPr="00005453">
              <w:rPr>
                <w:color w:val="000000"/>
                <w:sz w:val="10"/>
                <w:szCs w:val="10"/>
              </w:rPr>
              <w:t>1,174</w:t>
            </w:r>
          </w:p>
        </w:tc>
        <w:tc>
          <w:tcPr>
            <w:tcW w:w="667" w:type="dxa"/>
            <w:tcBorders>
              <w:top w:val="nil"/>
              <w:left w:val="nil"/>
              <w:bottom w:val="nil"/>
              <w:right w:val="nil"/>
            </w:tcBorders>
            <w:shd w:val="clear" w:color="auto" w:fill="auto"/>
            <w:vAlign w:val="center"/>
            <w:hideMark/>
          </w:tcPr>
          <w:p w14:paraId="3D03F709" w14:textId="57804B7A" w:rsidR="0080138C" w:rsidRPr="00005453" w:rsidRDefault="0080138C" w:rsidP="0080138C">
            <w:pPr>
              <w:jc w:val="right"/>
              <w:rPr>
                <w:color w:val="000000"/>
                <w:sz w:val="10"/>
                <w:szCs w:val="10"/>
                <w:lang w:eastAsia="tr-TR"/>
              </w:rPr>
            </w:pPr>
            <w:r w:rsidRPr="00005453">
              <w:rPr>
                <w:color w:val="000000"/>
                <w:sz w:val="10"/>
                <w:szCs w:val="10"/>
              </w:rPr>
              <w:t>3,887,287</w:t>
            </w:r>
          </w:p>
        </w:tc>
        <w:tc>
          <w:tcPr>
            <w:tcW w:w="640" w:type="dxa"/>
            <w:tcBorders>
              <w:top w:val="nil"/>
              <w:left w:val="nil"/>
              <w:bottom w:val="nil"/>
              <w:right w:val="nil"/>
            </w:tcBorders>
            <w:shd w:val="clear" w:color="auto" w:fill="auto"/>
            <w:vAlign w:val="center"/>
            <w:hideMark/>
          </w:tcPr>
          <w:p w14:paraId="5C28EF75" w14:textId="75516A83" w:rsidR="0080138C" w:rsidRPr="00005453" w:rsidRDefault="0080138C" w:rsidP="0080138C">
            <w:pPr>
              <w:jc w:val="right"/>
              <w:rPr>
                <w:color w:val="000000"/>
                <w:sz w:val="10"/>
                <w:szCs w:val="10"/>
                <w:lang w:eastAsia="tr-TR"/>
              </w:rPr>
            </w:pPr>
            <w:r w:rsidRPr="00005453">
              <w:rPr>
                <w:color w:val="000000"/>
                <w:sz w:val="10"/>
                <w:szCs w:val="10"/>
              </w:rPr>
              <w:t>1,344,829</w:t>
            </w:r>
          </w:p>
        </w:tc>
        <w:tc>
          <w:tcPr>
            <w:tcW w:w="690" w:type="dxa"/>
            <w:tcBorders>
              <w:top w:val="nil"/>
              <w:left w:val="nil"/>
              <w:bottom w:val="nil"/>
              <w:right w:val="nil"/>
            </w:tcBorders>
            <w:shd w:val="clear" w:color="auto" w:fill="auto"/>
            <w:vAlign w:val="center"/>
            <w:hideMark/>
          </w:tcPr>
          <w:p w14:paraId="29773784" w14:textId="190C17AC" w:rsidR="0080138C" w:rsidRPr="00005453" w:rsidRDefault="0080138C" w:rsidP="0080138C">
            <w:pPr>
              <w:jc w:val="right"/>
              <w:rPr>
                <w:color w:val="000000"/>
                <w:sz w:val="10"/>
                <w:szCs w:val="10"/>
                <w:lang w:eastAsia="tr-TR"/>
              </w:rPr>
            </w:pPr>
            <w:r w:rsidRPr="00005453">
              <w:rPr>
                <w:color w:val="000000"/>
                <w:sz w:val="10"/>
                <w:szCs w:val="10"/>
              </w:rPr>
              <w:t>5,232,116</w:t>
            </w:r>
          </w:p>
        </w:tc>
      </w:tr>
      <w:tr w:rsidR="0080138C" w:rsidRPr="00005453" w14:paraId="5F5F391E" w14:textId="77777777" w:rsidTr="0080138C">
        <w:trPr>
          <w:divId w:val="224265873"/>
          <w:trHeight w:val="199"/>
        </w:trPr>
        <w:tc>
          <w:tcPr>
            <w:tcW w:w="733" w:type="dxa"/>
            <w:tcBorders>
              <w:top w:val="nil"/>
              <w:left w:val="nil"/>
              <w:bottom w:val="nil"/>
              <w:right w:val="nil"/>
            </w:tcBorders>
            <w:shd w:val="clear" w:color="auto" w:fill="auto"/>
            <w:noWrap/>
            <w:hideMark/>
          </w:tcPr>
          <w:p w14:paraId="697165CB" w14:textId="77777777" w:rsidR="0080138C" w:rsidRPr="00005453" w:rsidRDefault="0080138C" w:rsidP="0080138C">
            <w:pPr>
              <w:rPr>
                <w:color w:val="000000"/>
                <w:sz w:val="10"/>
                <w:szCs w:val="10"/>
                <w:lang w:eastAsia="tr-TR"/>
              </w:rPr>
            </w:pPr>
            <w:r w:rsidRPr="00005453">
              <w:rPr>
                <w:color w:val="000000"/>
                <w:sz w:val="10"/>
                <w:szCs w:val="10"/>
                <w:lang w:eastAsia="tr-TR"/>
              </w:rPr>
              <w:t>Serbest Meslek Hizmetleri</w:t>
            </w:r>
          </w:p>
        </w:tc>
        <w:tc>
          <w:tcPr>
            <w:tcW w:w="776" w:type="dxa"/>
            <w:tcBorders>
              <w:top w:val="nil"/>
              <w:left w:val="nil"/>
              <w:bottom w:val="nil"/>
              <w:right w:val="nil"/>
            </w:tcBorders>
            <w:shd w:val="clear" w:color="auto" w:fill="auto"/>
            <w:vAlign w:val="center"/>
            <w:hideMark/>
          </w:tcPr>
          <w:p w14:paraId="3E5B1C33" w14:textId="70D6B94D"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4855A93E" w14:textId="3B6CCCB4"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194A8BC3" w14:textId="0DB16119"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5BE08251" w14:textId="734065C2"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4EF44C65" w14:textId="1A950376"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0D2398E9" w14:textId="19333C22"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29ADCA6F" w14:textId="751A93E2" w:rsidR="0080138C" w:rsidRPr="00005453" w:rsidRDefault="0080138C" w:rsidP="0080138C">
            <w:pPr>
              <w:jc w:val="right"/>
              <w:rPr>
                <w:color w:val="000000"/>
                <w:sz w:val="10"/>
                <w:szCs w:val="10"/>
                <w:lang w:eastAsia="tr-TR"/>
              </w:rPr>
            </w:pPr>
            <w:r w:rsidRPr="00005453">
              <w:rPr>
                <w:color w:val="000000"/>
                <w:sz w:val="10"/>
                <w:szCs w:val="10"/>
              </w:rPr>
              <w:t>20,189</w:t>
            </w:r>
          </w:p>
        </w:tc>
        <w:tc>
          <w:tcPr>
            <w:tcW w:w="635" w:type="dxa"/>
            <w:tcBorders>
              <w:top w:val="nil"/>
              <w:left w:val="nil"/>
              <w:bottom w:val="nil"/>
              <w:right w:val="nil"/>
            </w:tcBorders>
            <w:shd w:val="clear" w:color="auto" w:fill="auto"/>
            <w:vAlign w:val="center"/>
            <w:hideMark/>
          </w:tcPr>
          <w:p w14:paraId="0B3BC91D" w14:textId="2C667F4C" w:rsidR="0080138C" w:rsidRPr="00005453" w:rsidRDefault="0080138C" w:rsidP="0080138C">
            <w:pPr>
              <w:jc w:val="right"/>
              <w:rPr>
                <w:color w:val="000000"/>
                <w:sz w:val="10"/>
                <w:szCs w:val="10"/>
                <w:lang w:eastAsia="tr-TR"/>
              </w:rPr>
            </w:pPr>
            <w:r w:rsidRPr="00005453">
              <w:rPr>
                <w:color w:val="000000"/>
                <w:sz w:val="10"/>
                <w:szCs w:val="10"/>
              </w:rPr>
              <w:t>11,312</w:t>
            </w:r>
          </w:p>
        </w:tc>
        <w:tc>
          <w:tcPr>
            <w:tcW w:w="947" w:type="dxa"/>
            <w:tcBorders>
              <w:top w:val="nil"/>
              <w:left w:val="nil"/>
              <w:bottom w:val="nil"/>
              <w:right w:val="nil"/>
            </w:tcBorders>
            <w:shd w:val="clear" w:color="auto" w:fill="auto"/>
            <w:vAlign w:val="center"/>
            <w:hideMark/>
          </w:tcPr>
          <w:p w14:paraId="0F9F0746" w14:textId="5093C2DC" w:rsidR="0080138C" w:rsidRPr="00005453" w:rsidRDefault="0080138C" w:rsidP="0080138C">
            <w:pPr>
              <w:jc w:val="right"/>
              <w:rPr>
                <w:color w:val="000000"/>
                <w:sz w:val="10"/>
                <w:szCs w:val="10"/>
                <w:lang w:eastAsia="tr-TR"/>
              </w:rPr>
            </w:pPr>
            <w:r w:rsidRPr="00005453">
              <w:rPr>
                <w:color w:val="000000"/>
                <w:sz w:val="10"/>
                <w:szCs w:val="10"/>
              </w:rPr>
              <w:t>277</w:t>
            </w:r>
          </w:p>
        </w:tc>
        <w:tc>
          <w:tcPr>
            <w:tcW w:w="676" w:type="dxa"/>
            <w:tcBorders>
              <w:top w:val="nil"/>
              <w:left w:val="nil"/>
              <w:bottom w:val="nil"/>
              <w:right w:val="nil"/>
            </w:tcBorders>
            <w:shd w:val="clear" w:color="auto" w:fill="auto"/>
            <w:vAlign w:val="center"/>
            <w:hideMark/>
          </w:tcPr>
          <w:p w14:paraId="62E6C292" w14:textId="621D71F9" w:rsidR="0080138C" w:rsidRPr="00005453" w:rsidRDefault="0080138C" w:rsidP="0080138C">
            <w:pPr>
              <w:jc w:val="right"/>
              <w:rPr>
                <w:color w:val="000000"/>
                <w:sz w:val="10"/>
                <w:szCs w:val="10"/>
                <w:lang w:eastAsia="tr-TR"/>
              </w:rPr>
            </w:pPr>
            <w:r w:rsidRPr="00005453">
              <w:rPr>
                <w:color w:val="000000"/>
                <w:sz w:val="10"/>
                <w:szCs w:val="10"/>
              </w:rPr>
              <w:t>-</w:t>
            </w:r>
          </w:p>
        </w:tc>
        <w:tc>
          <w:tcPr>
            <w:tcW w:w="676" w:type="dxa"/>
            <w:tcBorders>
              <w:top w:val="nil"/>
              <w:left w:val="nil"/>
              <w:bottom w:val="nil"/>
              <w:right w:val="nil"/>
            </w:tcBorders>
            <w:shd w:val="clear" w:color="auto" w:fill="auto"/>
            <w:vAlign w:val="center"/>
            <w:hideMark/>
          </w:tcPr>
          <w:p w14:paraId="49C35971" w14:textId="059C1351" w:rsidR="0080138C" w:rsidRPr="00005453" w:rsidRDefault="0080138C" w:rsidP="0080138C">
            <w:pPr>
              <w:jc w:val="right"/>
              <w:rPr>
                <w:color w:val="000000"/>
                <w:sz w:val="10"/>
                <w:szCs w:val="10"/>
                <w:lang w:eastAsia="tr-TR"/>
              </w:rPr>
            </w:pPr>
            <w:r w:rsidRPr="00005453">
              <w:rPr>
                <w:color w:val="000000"/>
                <w:sz w:val="10"/>
                <w:szCs w:val="10"/>
              </w:rPr>
              <w:t>-</w:t>
            </w:r>
          </w:p>
        </w:tc>
        <w:tc>
          <w:tcPr>
            <w:tcW w:w="562" w:type="dxa"/>
            <w:tcBorders>
              <w:top w:val="nil"/>
              <w:left w:val="nil"/>
              <w:bottom w:val="nil"/>
              <w:right w:val="nil"/>
            </w:tcBorders>
            <w:shd w:val="clear" w:color="auto" w:fill="auto"/>
            <w:vAlign w:val="center"/>
            <w:hideMark/>
          </w:tcPr>
          <w:p w14:paraId="664B2E4C" w14:textId="711DDD80"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6D3C092D" w14:textId="7CAF817A"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3338EEF2" w14:textId="52F4E374"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2A338D76" w14:textId="40D7EA4C"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16C6AFA7" w14:textId="75149B7F"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5F4D4D97" w14:textId="7D2811C4"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33A69557" w14:textId="4B49E75A" w:rsidR="0080138C" w:rsidRPr="00005453" w:rsidRDefault="0080138C" w:rsidP="0080138C">
            <w:pPr>
              <w:jc w:val="right"/>
              <w:rPr>
                <w:color w:val="000000"/>
                <w:sz w:val="10"/>
                <w:szCs w:val="10"/>
                <w:lang w:eastAsia="tr-TR"/>
              </w:rPr>
            </w:pPr>
            <w:r w:rsidRPr="00005453">
              <w:rPr>
                <w:color w:val="000000"/>
                <w:sz w:val="10"/>
                <w:szCs w:val="10"/>
              </w:rPr>
              <w:t>7,246</w:t>
            </w:r>
          </w:p>
        </w:tc>
        <w:tc>
          <w:tcPr>
            <w:tcW w:w="640" w:type="dxa"/>
            <w:tcBorders>
              <w:top w:val="nil"/>
              <w:left w:val="nil"/>
              <w:bottom w:val="nil"/>
              <w:right w:val="nil"/>
            </w:tcBorders>
            <w:shd w:val="clear" w:color="auto" w:fill="auto"/>
            <w:vAlign w:val="center"/>
            <w:hideMark/>
          </w:tcPr>
          <w:p w14:paraId="18BBEB45" w14:textId="64B6F788" w:rsidR="0080138C" w:rsidRPr="00005453" w:rsidRDefault="0080138C" w:rsidP="0080138C">
            <w:pPr>
              <w:jc w:val="right"/>
              <w:rPr>
                <w:color w:val="000000"/>
                <w:sz w:val="10"/>
                <w:szCs w:val="10"/>
                <w:lang w:eastAsia="tr-TR"/>
              </w:rPr>
            </w:pPr>
            <w:r w:rsidRPr="00005453">
              <w:rPr>
                <w:color w:val="000000"/>
                <w:sz w:val="10"/>
                <w:szCs w:val="10"/>
              </w:rPr>
              <w:t>24,532</w:t>
            </w:r>
          </w:p>
        </w:tc>
        <w:tc>
          <w:tcPr>
            <w:tcW w:w="690" w:type="dxa"/>
            <w:tcBorders>
              <w:top w:val="nil"/>
              <w:left w:val="nil"/>
              <w:bottom w:val="nil"/>
              <w:right w:val="nil"/>
            </w:tcBorders>
            <w:shd w:val="clear" w:color="auto" w:fill="auto"/>
            <w:vAlign w:val="center"/>
            <w:hideMark/>
          </w:tcPr>
          <w:p w14:paraId="7C3D8689" w14:textId="57BF4B9B" w:rsidR="0080138C" w:rsidRPr="00005453" w:rsidRDefault="0080138C" w:rsidP="0080138C">
            <w:pPr>
              <w:jc w:val="right"/>
              <w:rPr>
                <w:color w:val="000000"/>
                <w:sz w:val="10"/>
                <w:szCs w:val="10"/>
                <w:lang w:eastAsia="tr-TR"/>
              </w:rPr>
            </w:pPr>
            <w:r w:rsidRPr="00005453">
              <w:rPr>
                <w:color w:val="000000"/>
                <w:sz w:val="10"/>
                <w:szCs w:val="10"/>
              </w:rPr>
              <w:t>31,778</w:t>
            </w:r>
          </w:p>
        </w:tc>
      </w:tr>
      <w:tr w:rsidR="0080138C" w:rsidRPr="00005453" w14:paraId="4A37D973" w14:textId="77777777" w:rsidTr="0080138C">
        <w:trPr>
          <w:divId w:val="224265873"/>
          <w:trHeight w:val="199"/>
        </w:trPr>
        <w:tc>
          <w:tcPr>
            <w:tcW w:w="733" w:type="dxa"/>
            <w:tcBorders>
              <w:top w:val="nil"/>
              <w:left w:val="nil"/>
              <w:bottom w:val="nil"/>
              <w:right w:val="nil"/>
            </w:tcBorders>
            <w:shd w:val="clear" w:color="auto" w:fill="auto"/>
            <w:noWrap/>
            <w:hideMark/>
          </w:tcPr>
          <w:p w14:paraId="631F1DC5" w14:textId="77777777" w:rsidR="0080138C" w:rsidRPr="00005453" w:rsidRDefault="0080138C" w:rsidP="0080138C">
            <w:pPr>
              <w:rPr>
                <w:color w:val="000000"/>
                <w:sz w:val="10"/>
                <w:szCs w:val="10"/>
                <w:lang w:eastAsia="tr-TR"/>
              </w:rPr>
            </w:pPr>
            <w:r w:rsidRPr="00005453">
              <w:rPr>
                <w:color w:val="000000"/>
                <w:sz w:val="10"/>
                <w:szCs w:val="10"/>
                <w:lang w:eastAsia="tr-TR"/>
              </w:rPr>
              <w:t>Eğitim Hizmetleri</w:t>
            </w:r>
          </w:p>
        </w:tc>
        <w:tc>
          <w:tcPr>
            <w:tcW w:w="776" w:type="dxa"/>
            <w:tcBorders>
              <w:top w:val="nil"/>
              <w:left w:val="nil"/>
              <w:bottom w:val="nil"/>
              <w:right w:val="nil"/>
            </w:tcBorders>
            <w:shd w:val="clear" w:color="auto" w:fill="auto"/>
            <w:vAlign w:val="center"/>
            <w:hideMark/>
          </w:tcPr>
          <w:p w14:paraId="3BC601A8" w14:textId="6A1503AD"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363A63DF" w14:textId="48B8882C"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791633AE" w14:textId="21D73F1E"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63C999F6" w14:textId="7F125E73"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48246708" w14:textId="6A0F1CED"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379170A1" w14:textId="7F2FDEC8"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619A9858" w14:textId="2F6E772C" w:rsidR="0080138C" w:rsidRPr="00005453" w:rsidRDefault="0080138C" w:rsidP="0080138C">
            <w:pPr>
              <w:jc w:val="right"/>
              <w:rPr>
                <w:color w:val="000000"/>
                <w:sz w:val="10"/>
                <w:szCs w:val="10"/>
                <w:lang w:eastAsia="tr-TR"/>
              </w:rPr>
            </w:pPr>
            <w:r w:rsidRPr="00005453">
              <w:rPr>
                <w:color w:val="000000"/>
                <w:sz w:val="10"/>
                <w:szCs w:val="10"/>
              </w:rPr>
              <w:t>84,205</w:t>
            </w:r>
          </w:p>
        </w:tc>
        <w:tc>
          <w:tcPr>
            <w:tcW w:w="635" w:type="dxa"/>
            <w:tcBorders>
              <w:top w:val="nil"/>
              <w:left w:val="nil"/>
              <w:bottom w:val="nil"/>
              <w:right w:val="nil"/>
            </w:tcBorders>
            <w:shd w:val="clear" w:color="auto" w:fill="auto"/>
            <w:vAlign w:val="center"/>
            <w:hideMark/>
          </w:tcPr>
          <w:p w14:paraId="02D3493B" w14:textId="65267406" w:rsidR="0080138C" w:rsidRPr="00005453" w:rsidRDefault="0080138C" w:rsidP="0080138C">
            <w:pPr>
              <w:jc w:val="right"/>
              <w:rPr>
                <w:color w:val="000000"/>
                <w:sz w:val="10"/>
                <w:szCs w:val="10"/>
                <w:lang w:eastAsia="tr-TR"/>
              </w:rPr>
            </w:pPr>
            <w:r w:rsidRPr="00005453">
              <w:rPr>
                <w:color w:val="000000"/>
                <w:sz w:val="10"/>
                <w:szCs w:val="10"/>
              </w:rPr>
              <w:t>114,796</w:t>
            </w:r>
          </w:p>
        </w:tc>
        <w:tc>
          <w:tcPr>
            <w:tcW w:w="947" w:type="dxa"/>
            <w:tcBorders>
              <w:top w:val="nil"/>
              <w:left w:val="nil"/>
              <w:bottom w:val="nil"/>
              <w:right w:val="nil"/>
            </w:tcBorders>
            <w:shd w:val="clear" w:color="auto" w:fill="auto"/>
            <w:vAlign w:val="center"/>
            <w:hideMark/>
          </w:tcPr>
          <w:p w14:paraId="7EAD0710" w14:textId="59F04578" w:rsidR="0080138C" w:rsidRPr="00005453" w:rsidRDefault="0080138C" w:rsidP="0080138C">
            <w:pPr>
              <w:jc w:val="right"/>
              <w:rPr>
                <w:color w:val="000000"/>
                <w:sz w:val="10"/>
                <w:szCs w:val="10"/>
                <w:lang w:eastAsia="tr-TR"/>
              </w:rPr>
            </w:pPr>
            <w:r w:rsidRPr="00005453">
              <w:rPr>
                <w:color w:val="000000"/>
                <w:sz w:val="10"/>
                <w:szCs w:val="10"/>
              </w:rPr>
              <w:t>121,860</w:t>
            </w:r>
          </w:p>
        </w:tc>
        <w:tc>
          <w:tcPr>
            <w:tcW w:w="676" w:type="dxa"/>
            <w:tcBorders>
              <w:top w:val="nil"/>
              <w:left w:val="nil"/>
              <w:bottom w:val="nil"/>
              <w:right w:val="nil"/>
            </w:tcBorders>
            <w:shd w:val="clear" w:color="auto" w:fill="auto"/>
            <w:vAlign w:val="center"/>
            <w:hideMark/>
          </w:tcPr>
          <w:p w14:paraId="4EF4FE94" w14:textId="0934AC12" w:rsidR="0080138C" w:rsidRPr="00005453" w:rsidRDefault="0080138C" w:rsidP="0080138C">
            <w:pPr>
              <w:jc w:val="right"/>
              <w:rPr>
                <w:color w:val="000000"/>
                <w:sz w:val="10"/>
                <w:szCs w:val="10"/>
                <w:lang w:eastAsia="tr-TR"/>
              </w:rPr>
            </w:pPr>
            <w:r w:rsidRPr="00005453">
              <w:rPr>
                <w:color w:val="000000"/>
                <w:sz w:val="10"/>
                <w:szCs w:val="10"/>
              </w:rPr>
              <w:t>-</w:t>
            </w:r>
          </w:p>
        </w:tc>
        <w:tc>
          <w:tcPr>
            <w:tcW w:w="676" w:type="dxa"/>
            <w:tcBorders>
              <w:top w:val="nil"/>
              <w:left w:val="nil"/>
              <w:bottom w:val="nil"/>
              <w:right w:val="nil"/>
            </w:tcBorders>
            <w:shd w:val="clear" w:color="auto" w:fill="auto"/>
            <w:vAlign w:val="center"/>
            <w:hideMark/>
          </w:tcPr>
          <w:p w14:paraId="27D757CC" w14:textId="2B3FF832" w:rsidR="0080138C" w:rsidRPr="00005453" w:rsidRDefault="0080138C" w:rsidP="0080138C">
            <w:pPr>
              <w:jc w:val="right"/>
              <w:rPr>
                <w:color w:val="000000"/>
                <w:sz w:val="10"/>
                <w:szCs w:val="10"/>
                <w:lang w:eastAsia="tr-TR"/>
              </w:rPr>
            </w:pPr>
            <w:r w:rsidRPr="00005453">
              <w:rPr>
                <w:color w:val="000000"/>
                <w:sz w:val="10"/>
                <w:szCs w:val="10"/>
              </w:rPr>
              <w:t>20,627</w:t>
            </w:r>
          </w:p>
        </w:tc>
        <w:tc>
          <w:tcPr>
            <w:tcW w:w="562" w:type="dxa"/>
            <w:tcBorders>
              <w:top w:val="nil"/>
              <w:left w:val="nil"/>
              <w:bottom w:val="nil"/>
              <w:right w:val="nil"/>
            </w:tcBorders>
            <w:shd w:val="clear" w:color="auto" w:fill="auto"/>
            <w:vAlign w:val="center"/>
            <w:hideMark/>
          </w:tcPr>
          <w:p w14:paraId="0B4FF365" w14:textId="297D19F5"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15392BB5" w14:textId="6A174559"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4D4E7334" w14:textId="520E800B"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55A6716C" w14:textId="3A1BF02C"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6D5A2CC6" w14:textId="21534DA8" w:rsidR="0080138C" w:rsidRPr="00005453" w:rsidRDefault="0080138C" w:rsidP="0080138C">
            <w:pPr>
              <w:jc w:val="right"/>
              <w:rPr>
                <w:color w:val="000000"/>
                <w:sz w:val="10"/>
                <w:szCs w:val="10"/>
                <w:lang w:eastAsia="tr-TR"/>
              </w:rPr>
            </w:pPr>
            <w:r w:rsidRPr="00005453">
              <w:rPr>
                <w:color w:val="000000"/>
                <w:sz w:val="10"/>
                <w:szCs w:val="10"/>
              </w:rPr>
              <w:t>-</w:t>
            </w:r>
          </w:p>
        </w:tc>
        <w:tc>
          <w:tcPr>
            <w:tcW w:w="667" w:type="dxa"/>
            <w:tcBorders>
              <w:top w:val="nil"/>
              <w:left w:val="nil"/>
              <w:bottom w:val="nil"/>
              <w:right w:val="nil"/>
            </w:tcBorders>
            <w:shd w:val="clear" w:color="auto" w:fill="auto"/>
            <w:vAlign w:val="center"/>
            <w:hideMark/>
          </w:tcPr>
          <w:p w14:paraId="3774A164" w14:textId="393CEA08" w:rsidR="0080138C" w:rsidRPr="00005453" w:rsidRDefault="0080138C" w:rsidP="0080138C">
            <w:pPr>
              <w:jc w:val="right"/>
              <w:rPr>
                <w:color w:val="000000"/>
                <w:sz w:val="10"/>
                <w:szCs w:val="10"/>
                <w:lang w:eastAsia="tr-TR"/>
              </w:rPr>
            </w:pPr>
            <w:r w:rsidRPr="00005453">
              <w:rPr>
                <w:color w:val="000000"/>
                <w:sz w:val="10"/>
                <w:szCs w:val="10"/>
              </w:rPr>
              <w:t>364</w:t>
            </w:r>
          </w:p>
        </w:tc>
        <w:tc>
          <w:tcPr>
            <w:tcW w:w="667" w:type="dxa"/>
            <w:tcBorders>
              <w:top w:val="nil"/>
              <w:left w:val="nil"/>
              <w:bottom w:val="nil"/>
              <w:right w:val="nil"/>
            </w:tcBorders>
            <w:shd w:val="clear" w:color="auto" w:fill="auto"/>
            <w:vAlign w:val="center"/>
            <w:hideMark/>
          </w:tcPr>
          <w:p w14:paraId="10603DBE" w14:textId="023A62BD" w:rsidR="0080138C" w:rsidRPr="00005453" w:rsidRDefault="0080138C" w:rsidP="0080138C">
            <w:pPr>
              <w:jc w:val="right"/>
              <w:rPr>
                <w:color w:val="000000"/>
                <w:sz w:val="10"/>
                <w:szCs w:val="10"/>
                <w:lang w:eastAsia="tr-TR"/>
              </w:rPr>
            </w:pPr>
            <w:r w:rsidRPr="00005453">
              <w:rPr>
                <w:color w:val="000000"/>
                <w:sz w:val="10"/>
                <w:szCs w:val="10"/>
              </w:rPr>
              <w:t>278,183</w:t>
            </w:r>
          </w:p>
        </w:tc>
        <w:tc>
          <w:tcPr>
            <w:tcW w:w="640" w:type="dxa"/>
            <w:tcBorders>
              <w:top w:val="nil"/>
              <w:left w:val="nil"/>
              <w:bottom w:val="nil"/>
              <w:right w:val="nil"/>
            </w:tcBorders>
            <w:shd w:val="clear" w:color="auto" w:fill="auto"/>
            <w:vAlign w:val="center"/>
            <w:hideMark/>
          </w:tcPr>
          <w:p w14:paraId="572D4F47" w14:textId="07EBB1F2" w:rsidR="0080138C" w:rsidRPr="00005453" w:rsidRDefault="0080138C" w:rsidP="0080138C">
            <w:pPr>
              <w:jc w:val="right"/>
              <w:rPr>
                <w:color w:val="000000"/>
                <w:sz w:val="10"/>
                <w:szCs w:val="10"/>
                <w:lang w:eastAsia="tr-TR"/>
              </w:rPr>
            </w:pPr>
            <w:r w:rsidRPr="00005453">
              <w:rPr>
                <w:color w:val="000000"/>
                <w:sz w:val="10"/>
                <w:szCs w:val="10"/>
              </w:rPr>
              <w:t>63,669</w:t>
            </w:r>
          </w:p>
        </w:tc>
        <w:tc>
          <w:tcPr>
            <w:tcW w:w="690" w:type="dxa"/>
            <w:tcBorders>
              <w:top w:val="nil"/>
              <w:left w:val="nil"/>
              <w:bottom w:val="nil"/>
              <w:right w:val="nil"/>
            </w:tcBorders>
            <w:shd w:val="clear" w:color="auto" w:fill="auto"/>
            <w:vAlign w:val="center"/>
            <w:hideMark/>
          </w:tcPr>
          <w:p w14:paraId="00474BE9" w14:textId="08956A27" w:rsidR="0080138C" w:rsidRPr="00005453" w:rsidRDefault="0080138C" w:rsidP="0080138C">
            <w:pPr>
              <w:jc w:val="right"/>
              <w:rPr>
                <w:color w:val="000000"/>
                <w:sz w:val="10"/>
                <w:szCs w:val="10"/>
                <w:lang w:eastAsia="tr-TR"/>
              </w:rPr>
            </w:pPr>
            <w:r w:rsidRPr="00005453">
              <w:rPr>
                <w:color w:val="000000"/>
                <w:sz w:val="10"/>
                <w:szCs w:val="10"/>
              </w:rPr>
              <w:t>341,852</w:t>
            </w:r>
          </w:p>
        </w:tc>
      </w:tr>
      <w:tr w:rsidR="0080138C" w:rsidRPr="00005453" w14:paraId="71B18E42" w14:textId="77777777" w:rsidTr="0080138C">
        <w:trPr>
          <w:divId w:val="224265873"/>
          <w:trHeight w:val="199"/>
        </w:trPr>
        <w:tc>
          <w:tcPr>
            <w:tcW w:w="733" w:type="dxa"/>
            <w:tcBorders>
              <w:top w:val="nil"/>
              <w:left w:val="nil"/>
              <w:bottom w:val="nil"/>
              <w:right w:val="nil"/>
            </w:tcBorders>
            <w:shd w:val="clear" w:color="auto" w:fill="auto"/>
            <w:noWrap/>
            <w:hideMark/>
          </w:tcPr>
          <w:p w14:paraId="5B9DE645" w14:textId="77777777" w:rsidR="0080138C" w:rsidRPr="00005453" w:rsidRDefault="0080138C" w:rsidP="0080138C">
            <w:pPr>
              <w:rPr>
                <w:color w:val="000000"/>
                <w:sz w:val="10"/>
                <w:szCs w:val="10"/>
                <w:lang w:eastAsia="tr-TR"/>
              </w:rPr>
            </w:pPr>
            <w:r w:rsidRPr="00005453">
              <w:rPr>
                <w:color w:val="000000"/>
                <w:sz w:val="10"/>
                <w:szCs w:val="10"/>
                <w:lang w:eastAsia="tr-TR"/>
              </w:rPr>
              <w:t>Sağlık ve Sosyal Hizmetler</w:t>
            </w:r>
          </w:p>
        </w:tc>
        <w:tc>
          <w:tcPr>
            <w:tcW w:w="776" w:type="dxa"/>
            <w:tcBorders>
              <w:top w:val="nil"/>
              <w:left w:val="nil"/>
              <w:bottom w:val="nil"/>
              <w:right w:val="nil"/>
            </w:tcBorders>
            <w:shd w:val="clear" w:color="auto" w:fill="auto"/>
            <w:vAlign w:val="center"/>
            <w:hideMark/>
          </w:tcPr>
          <w:p w14:paraId="5397D6F5" w14:textId="52B1D4A6" w:rsidR="0080138C" w:rsidRPr="00005453" w:rsidRDefault="0080138C" w:rsidP="0080138C">
            <w:pPr>
              <w:jc w:val="right"/>
              <w:rPr>
                <w:color w:val="000000"/>
                <w:sz w:val="10"/>
                <w:szCs w:val="10"/>
                <w:lang w:eastAsia="tr-TR"/>
              </w:rPr>
            </w:pPr>
            <w:r w:rsidRPr="00005453">
              <w:rPr>
                <w:color w:val="000000"/>
                <w:sz w:val="10"/>
                <w:szCs w:val="10"/>
              </w:rPr>
              <w:t>-</w:t>
            </w:r>
          </w:p>
        </w:tc>
        <w:tc>
          <w:tcPr>
            <w:tcW w:w="776" w:type="dxa"/>
            <w:tcBorders>
              <w:top w:val="nil"/>
              <w:left w:val="nil"/>
              <w:bottom w:val="nil"/>
              <w:right w:val="nil"/>
            </w:tcBorders>
            <w:shd w:val="clear" w:color="auto" w:fill="auto"/>
            <w:vAlign w:val="center"/>
            <w:hideMark/>
          </w:tcPr>
          <w:p w14:paraId="031E5272" w14:textId="764C8EAD" w:rsidR="0080138C" w:rsidRPr="00005453" w:rsidRDefault="0080138C" w:rsidP="0080138C">
            <w:pPr>
              <w:jc w:val="right"/>
              <w:rPr>
                <w:color w:val="000000"/>
                <w:sz w:val="10"/>
                <w:szCs w:val="10"/>
                <w:lang w:eastAsia="tr-TR"/>
              </w:rPr>
            </w:pPr>
            <w:r w:rsidRPr="00005453">
              <w:rPr>
                <w:color w:val="000000"/>
                <w:sz w:val="10"/>
                <w:szCs w:val="10"/>
              </w:rPr>
              <w:t>-</w:t>
            </w:r>
          </w:p>
        </w:tc>
        <w:tc>
          <w:tcPr>
            <w:tcW w:w="727" w:type="dxa"/>
            <w:tcBorders>
              <w:top w:val="nil"/>
              <w:left w:val="nil"/>
              <w:bottom w:val="nil"/>
              <w:right w:val="nil"/>
            </w:tcBorders>
            <w:shd w:val="clear" w:color="auto" w:fill="auto"/>
            <w:vAlign w:val="center"/>
            <w:hideMark/>
          </w:tcPr>
          <w:p w14:paraId="3D4D7FEF" w14:textId="18695A70" w:rsidR="0080138C" w:rsidRPr="00005453" w:rsidRDefault="0080138C" w:rsidP="0080138C">
            <w:pPr>
              <w:jc w:val="right"/>
              <w:rPr>
                <w:color w:val="000000"/>
                <w:sz w:val="10"/>
                <w:szCs w:val="10"/>
                <w:lang w:eastAsia="tr-TR"/>
              </w:rPr>
            </w:pPr>
            <w:r w:rsidRPr="00005453">
              <w:rPr>
                <w:color w:val="000000"/>
                <w:sz w:val="10"/>
                <w:szCs w:val="10"/>
              </w:rPr>
              <w:t>-</w:t>
            </w:r>
          </w:p>
        </w:tc>
        <w:tc>
          <w:tcPr>
            <w:tcW w:w="764" w:type="dxa"/>
            <w:tcBorders>
              <w:top w:val="nil"/>
              <w:left w:val="nil"/>
              <w:bottom w:val="nil"/>
              <w:right w:val="nil"/>
            </w:tcBorders>
            <w:shd w:val="clear" w:color="auto" w:fill="auto"/>
            <w:vAlign w:val="center"/>
            <w:hideMark/>
          </w:tcPr>
          <w:p w14:paraId="6131C738" w14:textId="6F26BE3C" w:rsidR="0080138C" w:rsidRPr="00005453" w:rsidRDefault="0080138C" w:rsidP="0080138C">
            <w:pPr>
              <w:jc w:val="right"/>
              <w:rPr>
                <w:color w:val="000000"/>
                <w:sz w:val="10"/>
                <w:szCs w:val="10"/>
                <w:lang w:eastAsia="tr-TR"/>
              </w:rPr>
            </w:pPr>
            <w:r w:rsidRPr="00005453">
              <w:rPr>
                <w:color w:val="000000"/>
                <w:sz w:val="10"/>
                <w:szCs w:val="10"/>
              </w:rPr>
              <w:t>-</w:t>
            </w:r>
          </w:p>
        </w:tc>
        <w:tc>
          <w:tcPr>
            <w:tcW w:w="733" w:type="dxa"/>
            <w:tcBorders>
              <w:top w:val="nil"/>
              <w:left w:val="nil"/>
              <w:bottom w:val="nil"/>
              <w:right w:val="nil"/>
            </w:tcBorders>
            <w:shd w:val="clear" w:color="auto" w:fill="auto"/>
            <w:vAlign w:val="center"/>
            <w:hideMark/>
          </w:tcPr>
          <w:p w14:paraId="4DB4A68E" w14:textId="564A12F0"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26666F0D" w14:textId="18FCC4D0" w:rsidR="0080138C" w:rsidRPr="00005453" w:rsidRDefault="0080138C" w:rsidP="0080138C">
            <w:pPr>
              <w:jc w:val="right"/>
              <w:rPr>
                <w:color w:val="000000"/>
                <w:sz w:val="10"/>
                <w:szCs w:val="10"/>
                <w:lang w:eastAsia="tr-TR"/>
              </w:rPr>
            </w:pPr>
            <w:r w:rsidRPr="00005453">
              <w:rPr>
                <w:color w:val="000000"/>
                <w:sz w:val="10"/>
                <w:szCs w:val="10"/>
              </w:rPr>
              <w:t>-</w:t>
            </w:r>
          </w:p>
        </w:tc>
        <w:tc>
          <w:tcPr>
            <w:tcW w:w="635" w:type="dxa"/>
            <w:tcBorders>
              <w:top w:val="nil"/>
              <w:left w:val="nil"/>
              <w:bottom w:val="nil"/>
              <w:right w:val="nil"/>
            </w:tcBorders>
            <w:shd w:val="clear" w:color="auto" w:fill="auto"/>
            <w:vAlign w:val="center"/>
            <w:hideMark/>
          </w:tcPr>
          <w:p w14:paraId="42BF1AEB" w14:textId="744DB7C9" w:rsidR="0080138C" w:rsidRPr="00005453" w:rsidRDefault="0080138C" w:rsidP="0080138C">
            <w:pPr>
              <w:jc w:val="right"/>
              <w:rPr>
                <w:color w:val="000000"/>
                <w:sz w:val="10"/>
                <w:szCs w:val="10"/>
                <w:lang w:eastAsia="tr-TR"/>
              </w:rPr>
            </w:pPr>
            <w:r w:rsidRPr="00005453">
              <w:rPr>
                <w:color w:val="000000"/>
                <w:sz w:val="10"/>
                <w:szCs w:val="10"/>
              </w:rPr>
              <w:t>1,682,734</w:t>
            </w:r>
          </w:p>
        </w:tc>
        <w:tc>
          <w:tcPr>
            <w:tcW w:w="635" w:type="dxa"/>
            <w:tcBorders>
              <w:top w:val="nil"/>
              <w:left w:val="nil"/>
              <w:bottom w:val="nil"/>
              <w:right w:val="nil"/>
            </w:tcBorders>
            <w:shd w:val="clear" w:color="auto" w:fill="auto"/>
            <w:vAlign w:val="center"/>
            <w:hideMark/>
          </w:tcPr>
          <w:p w14:paraId="38787101" w14:textId="17EFABAF" w:rsidR="0080138C" w:rsidRPr="00005453" w:rsidRDefault="0080138C" w:rsidP="0080138C">
            <w:pPr>
              <w:jc w:val="right"/>
              <w:rPr>
                <w:color w:val="000000"/>
                <w:sz w:val="10"/>
                <w:szCs w:val="10"/>
                <w:lang w:eastAsia="tr-TR"/>
              </w:rPr>
            </w:pPr>
            <w:r w:rsidRPr="00005453">
              <w:rPr>
                <w:color w:val="000000"/>
                <w:sz w:val="10"/>
                <w:szCs w:val="10"/>
              </w:rPr>
              <w:t>1,425,207</w:t>
            </w:r>
          </w:p>
        </w:tc>
        <w:tc>
          <w:tcPr>
            <w:tcW w:w="947" w:type="dxa"/>
            <w:tcBorders>
              <w:top w:val="nil"/>
              <w:left w:val="nil"/>
              <w:bottom w:val="nil"/>
              <w:right w:val="nil"/>
            </w:tcBorders>
            <w:shd w:val="clear" w:color="auto" w:fill="auto"/>
            <w:vAlign w:val="center"/>
            <w:hideMark/>
          </w:tcPr>
          <w:p w14:paraId="7F93FFB6" w14:textId="135F62C8" w:rsidR="0080138C" w:rsidRPr="00005453" w:rsidRDefault="0080138C" w:rsidP="0080138C">
            <w:pPr>
              <w:jc w:val="right"/>
              <w:rPr>
                <w:color w:val="000000"/>
                <w:sz w:val="10"/>
                <w:szCs w:val="10"/>
                <w:lang w:eastAsia="tr-TR"/>
              </w:rPr>
            </w:pPr>
            <w:r w:rsidRPr="00005453">
              <w:rPr>
                <w:color w:val="000000"/>
                <w:sz w:val="10"/>
                <w:szCs w:val="10"/>
              </w:rPr>
              <w:t>1,373,968</w:t>
            </w:r>
          </w:p>
        </w:tc>
        <w:tc>
          <w:tcPr>
            <w:tcW w:w="676" w:type="dxa"/>
            <w:tcBorders>
              <w:top w:val="nil"/>
              <w:left w:val="nil"/>
              <w:bottom w:val="nil"/>
              <w:right w:val="nil"/>
            </w:tcBorders>
            <w:shd w:val="clear" w:color="auto" w:fill="auto"/>
            <w:vAlign w:val="center"/>
            <w:hideMark/>
          </w:tcPr>
          <w:p w14:paraId="6BC5ECD7" w14:textId="10945E4A" w:rsidR="0080138C" w:rsidRPr="00005453" w:rsidRDefault="0080138C" w:rsidP="0080138C">
            <w:pPr>
              <w:jc w:val="right"/>
              <w:rPr>
                <w:color w:val="000000"/>
                <w:sz w:val="10"/>
                <w:szCs w:val="10"/>
                <w:lang w:eastAsia="tr-TR"/>
              </w:rPr>
            </w:pPr>
            <w:r w:rsidRPr="00005453">
              <w:rPr>
                <w:color w:val="000000"/>
                <w:sz w:val="10"/>
                <w:szCs w:val="10"/>
              </w:rPr>
              <w:t>5,987</w:t>
            </w:r>
          </w:p>
        </w:tc>
        <w:tc>
          <w:tcPr>
            <w:tcW w:w="676" w:type="dxa"/>
            <w:tcBorders>
              <w:top w:val="nil"/>
              <w:left w:val="nil"/>
              <w:bottom w:val="nil"/>
              <w:right w:val="nil"/>
            </w:tcBorders>
            <w:shd w:val="clear" w:color="auto" w:fill="auto"/>
            <w:vAlign w:val="center"/>
            <w:hideMark/>
          </w:tcPr>
          <w:p w14:paraId="231BDA89" w14:textId="2E22829E" w:rsidR="0080138C" w:rsidRPr="00005453" w:rsidRDefault="0080138C" w:rsidP="0080138C">
            <w:pPr>
              <w:jc w:val="right"/>
              <w:rPr>
                <w:color w:val="000000"/>
                <w:sz w:val="10"/>
                <w:szCs w:val="10"/>
                <w:lang w:eastAsia="tr-TR"/>
              </w:rPr>
            </w:pPr>
            <w:r w:rsidRPr="00005453">
              <w:rPr>
                <w:color w:val="000000"/>
                <w:sz w:val="10"/>
                <w:szCs w:val="10"/>
              </w:rPr>
              <w:t>469,394</w:t>
            </w:r>
          </w:p>
        </w:tc>
        <w:tc>
          <w:tcPr>
            <w:tcW w:w="562" w:type="dxa"/>
            <w:tcBorders>
              <w:top w:val="nil"/>
              <w:left w:val="nil"/>
              <w:bottom w:val="nil"/>
              <w:right w:val="nil"/>
            </w:tcBorders>
            <w:shd w:val="clear" w:color="auto" w:fill="auto"/>
            <w:vAlign w:val="center"/>
            <w:hideMark/>
          </w:tcPr>
          <w:p w14:paraId="7E9B78EE" w14:textId="10D0DCDE" w:rsidR="0080138C" w:rsidRPr="00005453" w:rsidRDefault="0080138C" w:rsidP="0080138C">
            <w:pPr>
              <w:jc w:val="right"/>
              <w:rPr>
                <w:color w:val="000000"/>
                <w:sz w:val="10"/>
                <w:szCs w:val="10"/>
                <w:lang w:eastAsia="tr-TR"/>
              </w:rPr>
            </w:pPr>
            <w:r w:rsidRPr="00005453">
              <w:rPr>
                <w:color w:val="000000"/>
                <w:sz w:val="10"/>
                <w:szCs w:val="10"/>
              </w:rPr>
              <w:t>-</w:t>
            </w:r>
          </w:p>
        </w:tc>
        <w:tc>
          <w:tcPr>
            <w:tcW w:w="800" w:type="dxa"/>
            <w:tcBorders>
              <w:top w:val="nil"/>
              <w:left w:val="nil"/>
              <w:bottom w:val="nil"/>
              <w:right w:val="nil"/>
            </w:tcBorders>
            <w:shd w:val="clear" w:color="auto" w:fill="auto"/>
            <w:vAlign w:val="center"/>
            <w:hideMark/>
          </w:tcPr>
          <w:p w14:paraId="2D7B4763" w14:textId="576DB7C3" w:rsidR="0080138C" w:rsidRPr="00005453" w:rsidRDefault="0080138C" w:rsidP="0080138C">
            <w:pPr>
              <w:jc w:val="right"/>
              <w:rPr>
                <w:color w:val="000000"/>
                <w:sz w:val="10"/>
                <w:szCs w:val="10"/>
                <w:lang w:eastAsia="tr-TR"/>
              </w:rPr>
            </w:pPr>
            <w:r w:rsidRPr="00005453">
              <w:rPr>
                <w:color w:val="000000"/>
                <w:sz w:val="10"/>
                <w:szCs w:val="10"/>
              </w:rPr>
              <w:t>-</w:t>
            </w:r>
          </w:p>
        </w:tc>
        <w:tc>
          <w:tcPr>
            <w:tcW w:w="703" w:type="dxa"/>
            <w:tcBorders>
              <w:top w:val="nil"/>
              <w:left w:val="nil"/>
              <w:bottom w:val="nil"/>
              <w:right w:val="nil"/>
            </w:tcBorders>
            <w:shd w:val="clear" w:color="auto" w:fill="auto"/>
            <w:vAlign w:val="center"/>
            <w:hideMark/>
          </w:tcPr>
          <w:p w14:paraId="6D6E5D6E" w14:textId="686C0616" w:rsidR="0080138C" w:rsidRPr="00005453" w:rsidRDefault="0080138C" w:rsidP="0080138C">
            <w:pPr>
              <w:jc w:val="right"/>
              <w:rPr>
                <w:color w:val="000000"/>
                <w:sz w:val="10"/>
                <w:szCs w:val="10"/>
                <w:lang w:eastAsia="tr-TR"/>
              </w:rPr>
            </w:pPr>
            <w:r w:rsidRPr="00005453">
              <w:rPr>
                <w:color w:val="000000"/>
                <w:sz w:val="10"/>
                <w:szCs w:val="10"/>
              </w:rPr>
              <w:t>-</w:t>
            </w:r>
          </w:p>
        </w:tc>
        <w:tc>
          <w:tcPr>
            <w:tcW w:w="697" w:type="dxa"/>
            <w:tcBorders>
              <w:top w:val="nil"/>
              <w:left w:val="nil"/>
              <w:bottom w:val="nil"/>
              <w:right w:val="nil"/>
            </w:tcBorders>
            <w:shd w:val="clear" w:color="auto" w:fill="auto"/>
            <w:vAlign w:val="center"/>
            <w:hideMark/>
          </w:tcPr>
          <w:p w14:paraId="3E033534" w14:textId="0E0E9550" w:rsidR="0080138C" w:rsidRPr="00005453" w:rsidRDefault="0080138C" w:rsidP="0080138C">
            <w:pPr>
              <w:jc w:val="right"/>
              <w:rPr>
                <w:color w:val="000000"/>
                <w:sz w:val="10"/>
                <w:szCs w:val="10"/>
                <w:lang w:eastAsia="tr-TR"/>
              </w:rPr>
            </w:pPr>
            <w:r w:rsidRPr="00005453">
              <w:rPr>
                <w:color w:val="000000"/>
                <w:sz w:val="10"/>
                <w:szCs w:val="10"/>
              </w:rPr>
              <w:t>-</w:t>
            </w:r>
          </w:p>
        </w:tc>
        <w:tc>
          <w:tcPr>
            <w:tcW w:w="629" w:type="dxa"/>
            <w:tcBorders>
              <w:top w:val="nil"/>
              <w:left w:val="nil"/>
              <w:bottom w:val="nil"/>
              <w:right w:val="nil"/>
            </w:tcBorders>
            <w:shd w:val="clear" w:color="auto" w:fill="auto"/>
            <w:vAlign w:val="center"/>
            <w:hideMark/>
          </w:tcPr>
          <w:p w14:paraId="1C1CE9A1" w14:textId="1431FDE1" w:rsidR="0080138C" w:rsidRPr="00005453" w:rsidRDefault="0080138C" w:rsidP="0080138C">
            <w:pPr>
              <w:jc w:val="right"/>
              <w:rPr>
                <w:color w:val="000000"/>
                <w:sz w:val="10"/>
                <w:szCs w:val="10"/>
                <w:lang w:eastAsia="tr-TR"/>
              </w:rPr>
            </w:pPr>
            <w:r w:rsidRPr="00005453">
              <w:rPr>
                <w:color w:val="000000"/>
                <w:sz w:val="10"/>
                <w:szCs w:val="10"/>
              </w:rPr>
              <w:t>1,175,603</w:t>
            </w:r>
          </w:p>
        </w:tc>
        <w:tc>
          <w:tcPr>
            <w:tcW w:w="667" w:type="dxa"/>
            <w:tcBorders>
              <w:top w:val="nil"/>
              <w:left w:val="nil"/>
              <w:bottom w:val="nil"/>
              <w:right w:val="nil"/>
            </w:tcBorders>
            <w:shd w:val="clear" w:color="auto" w:fill="auto"/>
            <w:vAlign w:val="center"/>
            <w:hideMark/>
          </w:tcPr>
          <w:p w14:paraId="1C3B81E2" w14:textId="65D3C887" w:rsidR="0080138C" w:rsidRPr="00005453" w:rsidRDefault="0080138C" w:rsidP="0080138C">
            <w:pPr>
              <w:jc w:val="right"/>
              <w:rPr>
                <w:color w:val="000000"/>
                <w:sz w:val="10"/>
                <w:szCs w:val="10"/>
                <w:lang w:eastAsia="tr-TR"/>
              </w:rPr>
            </w:pPr>
            <w:r w:rsidRPr="00005453">
              <w:rPr>
                <w:color w:val="000000"/>
                <w:sz w:val="10"/>
                <w:szCs w:val="10"/>
              </w:rPr>
              <w:t>1,447</w:t>
            </w:r>
          </w:p>
        </w:tc>
        <w:tc>
          <w:tcPr>
            <w:tcW w:w="667" w:type="dxa"/>
            <w:tcBorders>
              <w:top w:val="nil"/>
              <w:left w:val="nil"/>
              <w:bottom w:val="nil"/>
              <w:right w:val="nil"/>
            </w:tcBorders>
            <w:shd w:val="clear" w:color="auto" w:fill="auto"/>
            <w:vAlign w:val="center"/>
            <w:hideMark/>
          </w:tcPr>
          <w:p w14:paraId="31F27E04" w14:textId="696ACA1C" w:rsidR="0080138C" w:rsidRPr="00005453" w:rsidRDefault="0080138C" w:rsidP="0080138C">
            <w:pPr>
              <w:jc w:val="right"/>
              <w:rPr>
                <w:color w:val="000000"/>
                <w:sz w:val="10"/>
                <w:szCs w:val="10"/>
                <w:lang w:eastAsia="tr-TR"/>
              </w:rPr>
            </w:pPr>
            <w:r w:rsidRPr="00005453">
              <w:rPr>
                <w:color w:val="000000"/>
                <w:sz w:val="10"/>
                <w:szCs w:val="10"/>
              </w:rPr>
              <w:t>5,295,750</w:t>
            </w:r>
          </w:p>
        </w:tc>
        <w:tc>
          <w:tcPr>
            <w:tcW w:w="640" w:type="dxa"/>
            <w:tcBorders>
              <w:top w:val="nil"/>
              <w:left w:val="nil"/>
              <w:bottom w:val="nil"/>
              <w:right w:val="nil"/>
            </w:tcBorders>
            <w:shd w:val="clear" w:color="auto" w:fill="auto"/>
            <w:vAlign w:val="center"/>
            <w:hideMark/>
          </w:tcPr>
          <w:p w14:paraId="3ED91ACC" w14:textId="4E3FC9E0" w:rsidR="0080138C" w:rsidRPr="00005453" w:rsidRDefault="0080138C" w:rsidP="0080138C">
            <w:pPr>
              <w:jc w:val="right"/>
              <w:rPr>
                <w:color w:val="000000"/>
                <w:sz w:val="10"/>
                <w:szCs w:val="10"/>
                <w:lang w:eastAsia="tr-TR"/>
              </w:rPr>
            </w:pPr>
            <w:r w:rsidRPr="00005453">
              <w:rPr>
                <w:color w:val="000000"/>
                <w:sz w:val="10"/>
                <w:szCs w:val="10"/>
              </w:rPr>
              <w:t>838,590</w:t>
            </w:r>
          </w:p>
        </w:tc>
        <w:tc>
          <w:tcPr>
            <w:tcW w:w="690" w:type="dxa"/>
            <w:tcBorders>
              <w:top w:val="nil"/>
              <w:left w:val="nil"/>
              <w:bottom w:val="nil"/>
              <w:right w:val="nil"/>
            </w:tcBorders>
            <w:shd w:val="clear" w:color="auto" w:fill="auto"/>
            <w:vAlign w:val="center"/>
            <w:hideMark/>
          </w:tcPr>
          <w:p w14:paraId="29E5D88E" w14:textId="5F81264E" w:rsidR="0080138C" w:rsidRPr="00005453" w:rsidRDefault="0080138C" w:rsidP="0080138C">
            <w:pPr>
              <w:jc w:val="right"/>
              <w:rPr>
                <w:color w:val="000000"/>
                <w:sz w:val="10"/>
                <w:szCs w:val="10"/>
                <w:lang w:eastAsia="tr-TR"/>
              </w:rPr>
            </w:pPr>
            <w:r w:rsidRPr="00005453">
              <w:rPr>
                <w:color w:val="000000"/>
                <w:sz w:val="10"/>
                <w:szCs w:val="10"/>
              </w:rPr>
              <w:t>6,134,340</w:t>
            </w:r>
          </w:p>
        </w:tc>
      </w:tr>
      <w:tr w:rsidR="0080138C" w:rsidRPr="00005453" w14:paraId="6C8A4814" w14:textId="77777777" w:rsidTr="0080138C">
        <w:trPr>
          <w:divId w:val="224265873"/>
          <w:trHeight w:val="199"/>
        </w:trPr>
        <w:tc>
          <w:tcPr>
            <w:tcW w:w="733" w:type="dxa"/>
            <w:tcBorders>
              <w:top w:val="nil"/>
              <w:left w:val="nil"/>
              <w:bottom w:val="single" w:sz="8" w:space="0" w:color="auto"/>
              <w:right w:val="nil"/>
            </w:tcBorders>
            <w:shd w:val="clear" w:color="auto" w:fill="auto"/>
            <w:noWrap/>
            <w:hideMark/>
          </w:tcPr>
          <w:p w14:paraId="43AB6F8A" w14:textId="77777777" w:rsidR="0080138C" w:rsidRPr="00005453" w:rsidRDefault="0080138C" w:rsidP="0080138C">
            <w:pPr>
              <w:rPr>
                <w:b/>
                <w:bCs/>
                <w:color w:val="000000"/>
                <w:sz w:val="10"/>
                <w:szCs w:val="10"/>
                <w:lang w:eastAsia="tr-TR"/>
              </w:rPr>
            </w:pPr>
            <w:r w:rsidRPr="00005453">
              <w:rPr>
                <w:b/>
                <w:bCs/>
                <w:color w:val="000000"/>
                <w:sz w:val="10"/>
                <w:szCs w:val="10"/>
                <w:lang w:eastAsia="tr-TR"/>
              </w:rPr>
              <w:t>Diğer</w:t>
            </w:r>
          </w:p>
        </w:tc>
        <w:tc>
          <w:tcPr>
            <w:tcW w:w="776" w:type="dxa"/>
            <w:tcBorders>
              <w:top w:val="nil"/>
              <w:left w:val="nil"/>
              <w:bottom w:val="single" w:sz="8" w:space="0" w:color="auto"/>
              <w:right w:val="nil"/>
            </w:tcBorders>
            <w:shd w:val="clear" w:color="auto" w:fill="auto"/>
            <w:vAlign w:val="center"/>
            <w:hideMark/>
          </w:tcPr>
          <w:p w14:paraId="22E2DAD3" w14:textId="468CDACD"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76" w:type="dxa"/>
            <w:tcBorders>
              <w:top w:val="nil"/>
              <w:left w:val="nil"/>
              <w:bottom w:val="single" w:sz="8" w:space="0" w:color="auto"/>
              <w:right w:val="nil"/>
            </w:tcBorders>
            <w:shd w:val="clear" w:color="auto" w:fill="auto"/>
            <w:vAlign w:val="center"/>
            <w:hideMark/>
          </w:tcPr>
          <w:p w14:paraId="73F19462" w14:textId="7C18E097" w:rsidR="0080138C" w:rsidRPr="00005453" w:rsidRDefault="0080138C" w:rsidP="0080138C">
            <w:pPr>
              <w:jc w:val="right"/>
              <w:rPr>
                <w:color w:val="000000"/>
                <w:sz w:val="10"/>
                <w:szCs w:val="10"/>
                <w:lang w:eastAsia="tr-TR"/>
              </w:rPr>
            </w:pPr>
            <w:r w:rsidRPr="00005453">
              <w:rPr>
                <w:b/>
                <w:color w:val="000000"/>
                <w:sz w:val="10"/>
                <w:szCs w:val="10"/>
              </w:rPr>
              <w:t>-</w:t>
            </w:r>
          </w:p>
        </w:tc>
        <w:tc>
          <w:tcPr>
            <w:tcW w:w="727" w:type="dxa"/>
            <w:tcBorders>
              <w:top w:val="nil"/>
              <w:left w:val="nil"/>
              <w:bottom w:val="single" w:sz="8" w:space="0" w:color="auto"/>
              <w:right w:val="nil"/>
            </w:tcBorders>
            <w:shd w:val="clear" w:color="auto" w:fill="auto"/>
            <w:vAlign w:val="center"/>
            <w:hideMark/>
          </w:tcPr>
          <w:p w14:paraId="15D67B99" w14:textId="2BAC46C5" w:rsidR="0080138C" w:rsidRPr="00005453" w:rsidRDefault="0080138C" w:rsidP="0080138C">
            <w:pPr>
              <w:jc w:val="right"/>
              <w:rPr>
                <w:color w:val="000000"/>
                <w:sz w:val="10"/>
                <w:szCs w:val="10"/>
                <w:lang w:eastAsia="tr-TR"/>
              </w:rPr>
            </w:pPr>
            <w:r w:rsidRPr="00005453">
              <w:rPr>
                <w:b/>
                <w:color w:val="000000"/>
                <w:sz w:val="10"/>
                <w:szCs w:val="10"/>
              </w:rPr>
              <w:t>-</w:t>
            </w:r>
          </w:p>
        </w:tc>
        <w:tc>
          <w:tcPr>
            <w:tcW w:w="764" w:type="dxa"/>
            <w:tcBorders>
              <w:top w:val="nil"/>
              <w:left w:val="nil"/>
              <w:bottom w:val="single" w:sz="8" w:space="0" w:color="auto"/>
              <w:right w:val="nil"/>
            </w:tcBorders>
            <w:shd w:val="clear" w:color="auto" w:fill="auto"/>
            <w:vAlign w:val="center"/>
            <w:hideMark/>
          </w:tcPr>
          <w:p w14:paraId="60506A22" w14:textId="7521DC41" w:rsidR="0080138C" w:rsidRPr="00005453" w:rsidRDefault="0080138C" w:rsidP="0080138C">
            <w:pPr>
              <w:jc w:val="right"/>
              <w:rPr>
                <w:color w:val="000000"/>
                <w:sz w:val="10"/>
                <w:szCs w:val="10"/>
                <w:lang w:eastAsia="tr-TR"/>
              </w:rPr>
            </w:pPr>
            <w:r w:rsidRPr="00005453">
              <w:rPr>
                <w:b/>
                <w:color w:val="000000"/>
                <w:sz w:val="10"/>
                <w:szCs w:val="10"/>
              </w:rPr>
              <w:t>-</w:t>
            </w:r>
          </w:p>
        </w:tc>
        <w:tc>
          <w:tcPr>
            <w:tcW w:w="733" w:type="dxa"/>
            <w:tcBorders>
              <w:top w:val="nil"/>
              <w:left w:val="nil"/>
              <w:bottom w:val="single" w:sz="8" w:space="0" w:color="auto"/>
              <w:right w:val="nil"/>
            </w:tcBorders>
            <w:shd w:val="clear" w:color="auto" w:fill="auto"/>
            <w:vAlign w:val="center"/>
            <w:hideMark/>
          </w:tcPr>
          <w:p w14:paraId="0804741F" w14:textId="6DFA232F" w:rsidR="0080138C" w:rsidRPr="00005453" w:rsidRDefault="0080138C" w:rsidP="0080138C">
            <w:pPr>
              <w:jc w:val="right"/>
              <w:rPr>
                <w:color w:val="000000"/>
                <w:sz w:val="10"/>
                <w:szCs w:val="10"/>
                <w:lang w:eastAsia="tr-TR"/>
              </w:rPr>
            </w:pPr>
            <w:r w:rsidRPr="00005453">
              <w:rPr>
                <w:b/>
                <w:color w:val="000000"/>
                <w:sz w:val="10"/>
                <w:szCs w:val="10"/>
              </w:rPr>
              <w:t>-</w:t>
            </w:r>
          </w:p>
        </w:tc>
        <w:tc>
          <w:tcPr>
            <w:tcW w:w="703" w:type="dxa"/>
            <w:tcBorders>
              <w:top w:val="nil"/>
              <w:left w:val="nil"/>
              <w:bottom w:val="single" w:sz="8" w:space="0" w:color="auto"/>
              <w:right w:val="nil"/>
            </w:tcBorders>
            <w:shd w:val="clear" w:color="auto" w:fill="auto"/>
            <w:vAlign w:val="center"/>
            <w:hideMark/>
          </w:tcPr>
          <w:p w14:paraId="2DE76D9A" w14:textId="0BB42156" w:rsidR="0080138C" w:rsidRPr="00005453" w:rsidRDefault="0080138C" w:rsidP="0080138C">
            <w:pPr>
              <w:jc w:val="right"/>
              <w:rPr>
                <w:color w:val="000000"/>
                <w:sz w:val="10"/>
                <w:szCs w:val="10"/>
                <w:lang w:eastAsia="tr-TR"/>
              </w:rPr>
            </w:pPr>
            <w:r w:rsidRPr="00005453">
              <w:rPr>
                <w:b/>
                <w:color w:val="000000"/>
                <w:sz w:val="10"/>
                <w:szCs w:val="10"/>
              </w:rPr>
              <w:t>-</w:t>
            </w:r>
          </w:p>
        </w:tc>
        <w:tc>
          <w:tcPr>
            <w:tcW w:w="635" w:type="dxa"/>
            <w:tcBorders>
              <w:top w:val="nil"/>
              <w:left w:val="nil"/>
              <w:bottom w:val="single" w:sz="8" w:space="0" w:color="auto"/>
              <w:right w:val="nil"/>
            </w:tcBorders>
            <w:shd w:val="clear" w:color="auto" w:fill="auto"/>
            <w:vAlign w:val="center"/>
            <w:hideMark/>
          </w:tcPr>
          <w:p w14:paraId="22648A75" w14:textId="0BE766FE" w:rsidR="0080138C" w:rsidRPr="00005453" w:rsidRDefault="0080138C" w:rsidP="0080138C">
            <w:pPr>
              <w:jc w:val="right"/>
              <w:rPr>
                <w:b/>
                <w:bCs/>
                <w:color w:val="000000"/>
                <w:sz w:val="10"/>
                <w:szCs w:val="10"/>
                <w:lang w:eastAsia="tr-TR"/>
              </w:rPr>
            </w:pPr>
            <w:r w:rsidRPr="00005453">
              <w:rPr>
                <w:b/>
                <w:color w:val="000000"/>
                <w:sz w:val="10"/>
                <w:szCs w:val="10"/>
              </w:rPr>
              <w:t>6,595,429</w:t>
            </w:r>
          </w:p>
        </w:tc>
        <w:tc>
          <w:tcPr>
            <w:tcW w:w="635" w:type="dxa"/>
            <w:tcBorders>
              <w:top w:val="nil"/>
              <w:left w:val="nil"/>
              <w:bottom w:val="single" w:sz="8" w:space="0" w:color="auto"/>
              <w:right w:val="nil"/>
            </w:tcBorders>
            <w:shd w:val="clear" w:color="auto" w:fill="auto"/>
            <w:vAlign w:val="center"/>
            <w:hideMark/>
          </w:tcPr>
          <w:p w14:paraId="0620785C" w14:textId="4FD9D54A" w:rsidR="0080138C" w:rsidRPr="00005453" w:rsidRDefault="0080138C" w:rsidP="0080138C">
            <w:pPr>
              <w:jc w:val="right"/>
              <w:rPr>
                <w:b/>
                <w:bCs/>
                <w:color w:val="000000"/>
                <w:sz w:val="10"/>
                <w:szCs w:val="10"/>
                <w:lang w:eastAsia="tr-TR"/>
              </w:rPr>
            </w:pPr>
            <w:r w:rsidRPr="00005453">
              <w:rPr>
                <w:b/>
                <w:color w:val="000000"/>
                <w:sz w:val="10"/>
                <w:szCs w:val="10"/>
              </w:rPr>
              <w:t>17,556,077</w:t>
            </w:r>
          </w:p>
        </w:tc>
        <w:tc>
          <w:tcPr>
            <w:tcW w:w="947" w:type="dxa"/>
            <w:tcBorders>
              <w:top w:val="nil"/>
              <w:left w:val="nil"/>
              <w:bottom w:val="single" w:sz="8" w:space="0" w:color="auto"/>
              <w:right w:val="nil"/>
            </w:tcBorders>
            <w:shd w:val="clear" w:color="auto" w:fill="auto"/>
            <w:vAlign w:val="center"/>
            <w:hideMark/>
          </w:tcPr>
          <w:p w14:paraId="26B60A56" w14:textId="722DFC12" w:rsidR="0080138C" w:rsidRPr="00005453" w:rsidRDefault="0080138C" w:rsidP="0080138C">
            <w:pPr>
              <w:jc w:val="right"/>
              <w:rPr>
                <w:b/>
                <w:bCs/>
                <w:color w:val="000000"/>
                <w:sz w:val="10"/>
                <w:szCs w:val="10"/>
                <w:lang w:eastAsia="tr-TR"/>
              </w:rPr>
            </w:pPr>
            <w:r w:rsidRPr="00005453">
              <w:rPr>
                <w:b/>
                <w:color w:val="000000"/>
                <w:sz w:val="10"/>
                <w:szCs w:val="10"/>
              </w:rPr>
              <w:t>14,862,203</w:t>
            </w:r>
          </w:p>
        </w:tc>
        <w:tc>
          <w:tcPr>
            <w:tcW w:w="676" w:type="dxa"/>
            <w:tcBorders>
              <w:top w:val="nil"/>
              <w:left w:val="nil"/>
              <w:bottom w:val="single" w:sz="8" w:space="0" w:color="auto"/>
              <w:right w:val="nil"/>
            </w:tcBorders>
            <w:shd w:val="clear" w:color="auto" w:fill="auto"/>
            <w:vAlign w:val="center"/>
            <w:hideMark/>
          </w:tcPr>
          <w:p w14:paraId="30B73F76" w14:textId="60D497C1" w:rsidR="0080138C" w:rsidRPr="00005453" w:rsidRDefault="0080138C" w:rsidP="0080138C">
            <w:pPr>
              <w:jc w:val="right"/>
              <w:rPr>
                <w:b/>
                <w:bCs/>
                <w:color w:val="000000"/>
                <w:sz w:val="10"/>
                <w:szCs w:val="10"/>
                <w:lang w:eastAsia="tr-TR"/>
              </w:rPr>
            </w:pPr>
            <w:r w:rsidRPr="00005453">
              <w:rPr>
                <w:b/>
                <w:color w:val="000000"/>
                <w:sz w:val="10"/>
                <w:szCs w:val="10"/>
              </w:rPr>
              <w:t>18,617</w:t>
            </w:r>
          </w:p>
        </w:tc>
        <w:tc>
          <w:tcPr>
            <w:tcW w:w="676" w:type="dxa"/>
            <w:tcBorders>
              <w:top w:val="nil"/>
              <w:left w:val="nil"/>
              <w:bottom w:val="single" w:sz="8" w:space="0" w:color="auto"/>
              <w:right w:val="nil"/>
            </w:tcBorders>
            <w:shd w:val="clear" w:color="auto" w:fill="auto"/>
            <w:vAlign w:val="center"/>
            <w:hideMark/>
          </w:tcPr>
          <w:p w14:paraId="010A70E1" w14:textId="4FD66440" w:rsidR="0080138C" w:rsidRPr="00005453" w:rsidRDefault="0080138C" w:rsidP="0080138C">
            <w:pPr>
              <w:jc w:val="right"/>
              <w:rPr>
                <w:b/>
                <w:bCs/>
                <w:color w:val="000000"/>
                <w:sz w:val="10"/>
                <w:szCs w:val="10"/>
                <w:lang w:eastAsia="tr-TR"/>
              </w:rPr>
            </w:pPr>
            <w:r w:rsidRPr="00005453">
              <w:rPr>
                <w:b/>
                <w:color w:val="000000"/>
                <w:sz w:val="10"/>
                <w:szCs w:val="10"/>
              </w:rPr>
              <w:t>4,819,072</w:t>
            </w:r>
          </w:p>
        </w:tc>
        <w:tc>
          <w:tcPr>
            <w:tcW w:w="562" w:type="dxa"/>
            <w:tcBorders>
              <w:top w:val="nil"/>
              <w:left w:val="nil"/>
              <w:bottom w:val="single" w:sz="8" w:space="0" w:color="auto"/>
              <w:right w:val="nil"/>
            </w:tcBorders>
            <w:shd w:val="clear" w:color="auto" w:fill="auto"/>
            <w:vAlign w:val="center"/>
            <w:hideMark/>
          </w:tcPr>
          <w:p w14:paraId="08992782" w14:textId="5D984D53"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800" w:type="dxa"/>
            <w:tcBorders>
              <w:top w:val="nil"/>
              <w:left w:val="nil"/>
              <w:bottom w:val="single" w:sz="8" w:space="0" w:color="auto"/>
              <w:right w:val="nil"/>
            </w:tcBorders>
            <w:shd w:val="clear" w:color="auto" w:fill="auto"/>
            <w:vAlign w:val="center"/>
            <w:hideMark/>
          </w:tcPr>
          <w:p w14:paraId="768D4971" w14:textId="14B71B2C"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single" w:sz="8" w:space="0" w:color="auto"/>
              <w:right w:val="nil"/>
            </w:tcBorders>
            <w:shd w:val="clear" w:color="auto" w:fill="auto"/>
            <w:vAlign w:val="center"/>
            <w:hideMark/>
          </w:tcPr>
          <w:p w14:paraId="254767A1" w14:textId="67EFDBC7"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97" w:type="dxa"/>
            <w:tcBorders>
              <w:top w:val="nil"/>
              <w:left w:val="nil"/>
              <w:bottom w:val="single" w:sz="8" w:space="0" w:color="auto"/>
              <w:right w:val="nil"/>
            </w:tcBorders>
            <w:shd w:val="clear" w:color="auto" w:fill="auto"/>
            <w:vAlign w:val="center"/>
            <w:hideMark/>
          </w:tcPr>
          <w:p w14:paraId="3F5F5930" w14:textId="64951397"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29" w:type="dxa"/>
            <w:tcBorders>
              <w:top w:val="nil"/>
              <w:left w:val="nil"/>
              <w:bottom w:val="single" w:sz="8" w:space="0" w:color="auto"/>
              <w:right w:val="nil"/>
            </w:tcBorders>
            <w:shd w:val="clear" w:color="auto" w:fill="auto"/>
            <w:vAlign w:val="center"/>
            <w:hideMark/>
          </w:tcPr>
          <w:p w14:paraId="47ED6E23" w14:textId="72F71BC7" w:rsidR="0080138C" w:rsidRPr="00005453" w:rsidRDefault="0080138C" w:rsidP="0080138C">
            <w:pPr>
              <w:jc w:val="right"/>
              <w:rPr>
                <w:b/>
                <w:bCs/>
                <w:color w:val="000000"/>
                <w:sz w:val="10"/>
                <w:szCs w:val="10"/>
                <w:lang w:eastAsia="tr-TR"/>
              </w:rPr>
            </w:pPr>
            <w:r w:rsidRPr="00005453">
              <w:rPr>
                <w:b/>
                <w:color w:val="000000"/>
                <w:sz w:val="10"/>
                <w:szCs w:val="10"/>
              </w:rPr>
              <w:t>51,901</w:t>
            </w:r>
          </w:p>
        </w:tc>
        <w:tc>
          <w:tcPr>
            <w:tcW w:w="667" w:type="dxa"/>
            <w:tcBorders>
              <w:top w:val="nil"/>
              <w:left w:val="nil"/>
              <w:bottom w:val="single" w:sz="8" w:space="0" w:color="auto"/>
              <w:right w:val="nil"/>
            </w:tcBorders>
            <w:shd w:val="clear" w:color="auto" w:fill="auto"/>
            <w:vAlign w:val="center"/>
            <w:hideMark/>
          </w:tcPr>
          <w:p w14:paraId="7AA71D89" w14:textId="2B85A5A1" w:rsidR="0080138C" w:rsidRPr="00005453" w:rsidRDefault="0080138C" w:rsidP="0080138C">
            <w:pPr>
              <w:jc w:val="right"/>
              <w:rPr>
                <w:b/>
                <w:bCs/>
                <w:color w:val="000000"/>
                <w:sz w:val="10"/>
                <w:szCs w:val="10"/>
                <w:lang w:eastAsia="tr-TR"/>
              </w:rPr>
            </w:pPr>
            <w:r w:rsidRPr="00005453">
              <w:rPr>
                <w:b/>
                <w:color w:val="000000"/>
                <w:sz w:val="10"/>
                <w:szCs w:val="10"/>
              </w:rPr>
              <w:t>214,103</w:t>
            </w:r>
          </w:p>
        </w:tc>
        <w:tc>
          <w:tcPr>
            <w:tcW w:w="667" w:type="dxa"/>
            <w:tcBorders>
              <w:top w:val="nil"/>
              <w:left w:val="nil"/>
              <w:bottom w:val="single" w:sz="8" w:space="0" w:color="auto"/>
              <w:right w:val="nil"/>
            </w:tcBorders>
            <w:shd w:val="clear" w:color="auto" w:fill="auto"/>
            <w:vAlign w:val="center"/>
            <w:hideMark/>
          </w:tcPr>
          <w:p w14:paraId="78251564" w14:textId="63084DDB" w:rsidR="0080138C" w:rsidRPr="00005453" w:rsidRDefault="0080138C" w:rsidP="0080138C">
            <w:pPr>
              <w:jc w:val="right"/>
              <w:rPr>
                <w:b/>
                <w:bCs/>
                <w:color w:val="000000"/>
                <w:sz w:val="10"/>
                <w:szCs w:val="10"/>
                <w:lang w:eastAsia="tr-TR"/>
              </w:rPr>
            </w:pPr>
            <w:r w:rsidRPr="00005453">
              <w:rPr>
                <w:b/>
                <w:color w:val="000000"/>
                <w:sz w:val="10"/>
                <w:szCs w:val="10"/>
              </w:rPr>
              <w:t>41,448,938</w:t>
            </w:r>
          </w:p>
        </w:tc>
        <w:tc>
          <w:tcPr>
            <w:tcW w:w="640" w:type="dxa"/>
            <w:tcBorders>
              <w:top w:val="nil"/>
              <w:left w:val="nil"/>
              <w:bottom w:val="single" w:sz="8" w:space="0" w:color="auto"/>
              <w:right w:val="nil"/>
            </w:tcBorders>
            <w:shd w:val="clear" w:color="auto" w:fill="auto"/>
            <w:vAlign w:val="center"/>
            <w:hideMark/>
          </w:tcPr>
          <w:p w14:paraId="41B28AA6" w14:textId="1810C79E" w:rsidR="0080138C" w:rsidRPr="00005453" w:rsidRDefault="0080138C" w:rsidP="0080138C">
            <w:pPr>
              <w:jc w:val="right"/>
              <w:rPr>
                <w:b/>
                <w:bCs/>
                <w:color w:val="000000"/>
                <w:sz w:val="10"/>
                <w:szCs w:val="10"/>
                <w:lang w:eastAsia="tr-TR"/>
              </w:rPr>
            </w:pPr>
            <w:r w:rsidRPr="00005453">
              <w:rPr>
                <w:b/>
                <w:color w:val="000000"/>
                <w:sz w:val="10"/>
                <w:szCs w:val="10"/>
              </w:rPr>
              <w:t>2,668,464</w:t>
            </w:r>
          </w:p>
        </w:tc>
        <w:tc>
          <w:tcPr>
            <w:tcW w:w="690" w:type="dxa"/>
            <w:tcBorders>
              <w:top w:val="nil"/>
              <w:left w:val="nil"/>
              <w:bottom w:val="single" w:sz="8" w:space="0" w:color="auto"/>
              <w:right w:val="nil"/>
            </w:tcBorders>
            <w:shd w:val="clear" w:color="auto" w:fill="auto"/>
            <w:vAlign w:val="center"/>
            <w:hideMark/>
          </w:tcPr>
          <w:p w14:paraId="797DDCBD" w14:textId="1F325CBF" w:rsidR="0080138C" w:rsidRPr="00005453" w:rsidRDefault="0080138C" w:rsidP="0080138C">
            <w:pPr>
              <w:jc w:val="right"/>
              <w:rPr>
                <w:b/>
                <w:bCs/>
                <w:color w:val="000000"/>
                <w:sz w:val="10"/>
                <w:szCs w:val="10"/>
                <w:lang w:eastAsia="tr-TR"/>
              </w:rPr>
            </w:pPr>
            <w:r w:rsidRPr="00005453">
              <w:rPr>
                <w:b/>
                <w:color w:val="000000"/>
                <w:sz w:val="10"/>
                <w:szCs w:val="10"/>
              </w:rPr>
              <w:t>44,117,402</w:t>
            </w:r>
          </w:p>
        </w:tc>
      </w:tr>
      <w:tr w:rsidR="0080138C" w:rsidRPr="00005453" w14:paraId="70B44F9C" w14:textId="77777777" w:rsidTr="0080138C">
        <w:trPr>
          <w:divId w:val="224265873"/>
          <w:trHeight w:val="76"/>
        </w:trPr>
        <w:tc>
          <w:tcPr>
            <w:tcW w:w="733" w:type="dxa"/>
            <w:tcBorders>
              <w:top w:val="nil"/>
              <w:left w:val="nil"/>
              <w:bottom w:val="double" w:sz="6" w:space="0" w:color="auto"/>
              <w:right w:val="nil"/>
            </w:tcBorders>
            <w:shd w:val="clear" w:color="auto" w:fill="auto"/>
            <w:hideMark/>
          </w:tcPr>
          <w:p w14:paraId="0FFC0634" w14:textId="77777777" w:rsidR="0080138C" w:rsidRPr="00005453" w:rsidRDefault="0080138C" w:rsidP="0080138C">
            <w:pPr>
              <w:rPr>
                <w:b/>
                <w:bCs/>
                <w:color w:val="000000"/>
                <w:sz w:val="10"/>
                <w:szCs w:val="10"/>
                <w:lang w:eastAsia="tr-TR"/>
              </w:rPr>
            </w:pPr>
            <w:r w:rsidRPr="00005453">
              <w:rPr>
                <w:b/>
                <w:bCs/>
                <w:color w:val="000000"/>
                <w:sz w:val="10"/>
                <w:szCs w:val="10"/>
                <w:lang w:eastAsia="tr-TR"/>
              </w:rPr>
              <w:t>Toplam</w:t>
            </w:r>
          </w:p>
        </w:tc>
        <w:tc>
          <w:tcPr>
            <w:tcW w:w="776" w:type="dxa"/>
            <w:tcBorders>
              <w:top w:val="nil"/>
              <w:left w:val="nil"/>
              <w:bottom w:val="double" w:sz="6" w:space="0" w:color="auto"/>
              <w:right w:val="nil"/>
            </w:tcBorders>
            <w:shd w:val="clear" w:color="auto" w:fill="auto"/>
            <w:vAlign w:val="center"/>
            <w:hideMark/>
          </w:tcPr>
          <w:p w14:paraId="5286B1C3" w14:textId="6F2E6F49" w:rsidR="0080138C" w:rsidRPr="00005453" w:rsidRDefault="0080138C" w:rsidP="0080138C">
            <w:pPr>
              <w:jc w:val="right"/>
              <w:rPr>
                <w:b/>
                <w:bCs/>
                <w:color w:val="000000"/>
                <w:sz w:val="10"/>
                <w:szCs w:val="10"/>
                <w:lang w:eastAsia="tr-TR"/>
              </w:rPr>
            </w:pPr>
            <w:r w:rsidRPr="00005453">
              <w:rPr>
                <w:b/>
                <w:color w:val="000000"/>
                <w:sz w:val="10"/>
                <w:szCs w:val="10"/>
              </w:rPr>
              <w:t>191,853,312</w:t>
            </w:r>
          </w:p>
        </w:tc>
        <w:tc>
          <w:tcPr>
            <w:tcW w:w="776" w:type="dxa"/>
            <w:tcBorders>
              <w:top w:val="nil"/>
              <w:left w:val="nil"/>
              <w:bottom w:val="double" w:sz="6" w:space="0" w:color="auto"/>
              <w:right w:val="nil"/>
            </w:tcBorders>
            <w:shd w:val="clear" w:color="auto" w:fill="auto"/>
            <w:vAlign w:val="center"/>
            <w:hideMark/>
          </w:tcPr>
          <w:p w14:paraId="145E5A83" w14:textId="46A6A156"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27" w:type="dxa"/>
            <w:tcBorders>
              <w:top w:val="nil"/>
              <w:left w:val="nil"/>
              <w:bottom w:val="double" w:sz="6" w:space="0" w:color="auto"/>
              <w:right w:val="nil"/>
            </w:tcBorders>
            <w:shd w:val="clear" w:color="auto" w:fill="auto"/>
            <w:vAlign w:val="center"/>
            <w:hideMark/>
          </w:tcPr>
          <w:p w14:paraId="02C310CF" w14:textId="01883CEF"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64" w:type="dxa"/>
            <w:tcBorders>
              <w:top w:val="nil"/>
              <w:left w:val="nil"/>
              <w:bottom w:val="double" w:sz="6" w:space="0" w:color="auto"/>
              <w:right w:val="nil"/>
            </w:tcBorders>
            <w:shd w:val="clear" w:color="auto" w:fill="auto"/>
            <w:vAlign w:val="center"/>
            <w:hideMark/>
          </w:tcPr>
          <w:p w14:paraId="1068980A" w14:textId="6C01008A" w:rsidR="0080138C" w:rsidRPr="00005453" w:rsidRDefault="0080138C" w:rsidP="0080138C">
            <w:pPr>
              <w:jc w:val="right"/>
              <w:rPr>
                <w:b/>
                <w:bCs/>
                <w:color w:val="000000"/>
                <w:sz w:val="10"/>
                <w:szCs w:val="10"/>
                <w:lang w:eastAsia="tr-TR"/>
              </w:rPr>
            </w:pPr>
            <w:r w:rsidRPr="00005453">
              <w:rPr>
                <w:b/>
                <w:color w:val="000000"/>
                <w:sz w:val="10"/>
                <w:szCs w:val="10"/>
              </w:rPr>
              <w:t>231,344</w:t>
            </w:r>
          </w:p>
        </w:tc>
        <w:tc>
          <w:tcPr>
            <w:tcW w:w="733" w:type="dxa"/>
            <w:tcBorders>
              <w:top w:val="nil"/>
              <w:left w:val="nil"/>
              <w:bottom w:val="double" w:sz="6" w:space="0" w:color="auto"/>
              <w:right w:val="nil"/>
            </w:tcBorders>
            <w:shd w:val="clear" w:color="auto" w:fill="auto"/>
            <w:vAlign w:val="center"/>
            <w:hideMark/>
          </w:tcPr>
          <w:p w14:paraId="179D6C03" w14:textId="62964462"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double" w:sz="6" w:space="0" w:color="auto"/>
              <w:right w:val="nil"/>
            </w:tcBorders>
            <w:shd w:val="clear" w:color="auto" w:fill="auto"/>
            <w:vAlign w:val="center"/>
            <w:hideMark/>
          </w:tcPr>
          <w:p w14:paraId="0D45784C" w14:textId="42E16DE2" w:rsidR="0080138C" w:rsidRPr="00005453" w:rsidRDefault="0080138C" w:rsidP="0080138C">
            <w:pPr>
              <w:jc w:val="right"/>
              <w:rPr>
                <w:b/>
                <w:bCs/>
                <w:color w:val="000000"/>
                <w:sz w:val="10"/>
                <w:szCs w:val="10"/>
                <w:lang w:eastAsia="tr-TR"/>
              </w:rPr>
            </w:pPr>
            <w:r w:rsidRPr="00005453">
              <w:rPr>
                <w:b/>
                <w:color w:val="000000"/>
                <w:sz w:val="10"/>
                <w:szCs w:val="10"/>
              </w:rPr>
              <w:t>21,062,659</w:t>
            </w:r>
          </w:p>
        </w:tc>
        <w:tc>
          <w:tcPr>
            <w:tcW w:w="635" w:type="dxa"/>
            <w:tcBorders>
              <w:top w:val="nil"/>
              <w:left w:val="nil"/>
              <w:bottom w:val="double" w:sz="6" w:space="0" w:color="auto"/>
              <w:right w:val="nil"/>
            </w:tcBorders>
            <w:shd w:val="clear" w:color="auto" w:fill="auto"/>
            <w:vAlign w:val="center"/>
            <w:hideMark/>
          </w:tcPr>
          <w:p w14:paraId="3D24C0D8" w14:textId="2CF928AA" w:rsidR="0080138C" w:rsidRPr="00005453" w:rsidRDefault="0080138C" w:rsidP="0080138C">
            <w:pPr>
              <w:jc w:val="right"/>
              <w:rPr>
                <w:b/>
                <w:bCs/>
                <w:color w:val="000000"/>
                <w:sz w:val="10"/>
                <w:szCs w:val="10"/>
                <w:lang w:eastAsia="tr-TR"/>
              </w:rPr>
            </w:pPr>
            <w:r w:rsidRPr="00005453">
              <w:rPr>
                <w:b/>
                <w:color w:val="000000"/>
                <w:sz w:val="10"/>
                <w:szCs w:val="10"/>
              </w:rPr>
              <w:t>84,469,167</w:t>
            </w:r>
          </w:p>
        </w:tc>
        <w:tc>
          <w:tcPr>
            <w:tcW w:w="635" w:type="dxa"/>
            <w:tcBorders>
              <w:top w:val="nil"/>
              <w:left w:val="nil"/>
              <w:bottom w:val="double" w:sz="6" w:space="0" w:color="auto"/>
              <w:right w:val="nil"/>
            </w:tcBorders>
            <w:shd w:val="clear" w:color="auto" w:fill="auto"/>
            <w:vAlign w:val="center"/>
            <w:hideMark/>
          </w:tcPr>
          <w:p w14:paraId="4606F204" w14:textId="41903981" w:rsidR="0080138C" w:rsidRPr="00005453" w:rsidRDefault="0080138C" w:rsidP="0080138C">
            <w:pPr>
              <w:jc w:val="right"/>
              <w:rPr>
                <w:b/>
                <w:bCs/>
                <w:color w:val="000000"/>
                <w:sz w:val="10"/>
                <w:szCs w:val="10"/>
                <w:lang w:eastAsia="tr-TR"/>
              </w:rPr>
            </w:pPr>
            <w:r w:rsidRPr="00005453">
              <w:rPr>
                <w:b/>
                <w:color w:val="000000"/>
                <w:sz w:val="10"/>
                <w:szCs w:val="10"/>
              </w:rPr>
              <w:t>51,891,336</w:t>
            </w:r>
          </w:p>
        </w:tc>
        <w:tc>
          <w:tcPr>
            <w:tcW w:w="947" w:type="dxa"/>
            <w:tcBorders>
              <w:top w:val="nil"/>
              <w:left w:val="nil"/>
              <w:bottom w:val="double" w:sz="6" w:space="0" w:color="auto"/>
              <w:right w:val="nil"/>
            </w:tcBorders>
            <w:shd w:val="clear" w:color="auto" w:fill="auto"/>
            <w:vAlign w:val="center"/>
            <w:hideMark/>
          </w:tcPr>
          <w:p w14:paraId="137F4B3D" w14:textId="39ECABD2" w:rsidR="0080138C" w:rsidRPr="00005453" w:rsidRDefault="0080138C" w:rsidP="0080138C">
            <w:pPr>
              <w:jc w:val="right"/>
              <w:rPr>
                <w:b/>
                <w:bCs/>
                <w:color w:val="000000"/>
                <w:sz w:val="10"/>
                <w:szCs w:val="10"/>
                <w:lang w:eastAsia="tr-TR"/>
              </w:rPr>
            </w:pPr>
            <w:r w:rsidRPr="00005453">
              <w:rPr>
                <w:b/>
                <w:color w:val="000000"/>
                <w:sz w:val="10"/>
                <w:szCs w:val="10"/>
              </w:rPr>
              <w:t>55,317,159</w:t>
            </w:r>
          </w:p>
        </w:tc>
        <w:tc>
          <w:tcPr>
            <w:tcW w:w="676" w:type="dxa"/>
            <w:tcBorders>
              <w:top w:val="nil"/>
              <w:left w:val="nil"/>
              <w:bottom w:val="double" w:sz="6" w:space="0" w:color="auto"/>
              <w:right w:val="nil"/>
            </w:tcBorders>
            <w:shd w:val="clear" w:color="auto" w:fill="auto"/>
            <w:vAlign w:val="center"/>
            <w:hideMark/>
          </w:tcPr>
          <w:p w14:paraId="15761717" w14:textId="559A30FE" w:rsidR="0080138C" w:rsidRPr="00005453" w:rsidRDefault="0080138C" w:rsidP="0080138C">
            <w:pPr>
              <w:jc w:val="right"/>
              <w:rPr>
                <w:b/>
                <w:bCs/>
                <w:color w:val="000000"/>
                <w:sz w:val="10"/>
                <w:szCs w:val="10"/>
                <w:lang w:eastAsia="tr-TR"/>
              </w:rPr>
            </w:pPr>
            <w:r w:rsidRPr="00005453">
              <w:rPr>
                <w:b/>
                <w:color w:val="000000"/>
                <w:sz w:val="10"/>
                <w:szCs w:val="10"/>
              </w:rPr>
              <w:t>102,417</w:t>
            </w:r>
          </w:p>
        </w:tc>
        <w:tc>
          <w:tcPr>
            <w:tcW w:w="676" w:type="dxa"/>
            <w:tcBorders>
              <w:top w:val="nil"/>
              <w:left w:val="nil"/>
              <w:bottom w:val="double" w:sz="6" w:space="0" w:color="auto"/>
              <w:right w:val="nil"/>
            </w:tcBorders>
            <w:shd w:val="clear" w:color="auto" w:fill="auto"/>
            <w:vAlign w:val="center"/>
            <w:hideMark/>
          </w:tcPr>
          <w:p w14:paraId="6E607C1C" w14:textId="65E5E68D" w:rsidR="0080138C" w:rsidRPr="00005453" w:rsidRDefault="0080138C" w:rsidP="0080138C">
            <w:pPr>
              <w:jc w:val="right"/>
              <w:rPr>
                <w:b/>
                <w:bCs/>
                <w:color w:val="000000"/>
                <w:sz w:val="10"/>
                <w:szCs w:val="10"/>
                <w:lang w:eastAsia="tr-TR"/>
              </w:rPr>
            </w:pPr>
            <w:r w:rsidRPr="00005453">
              <w:rPr>
                <w:b/>
                <w:color w:val="000000"/>
                <w:sz w:val="10"/>
                <w:szCs w:val="10"/>
              </w:rPr>
              <w:t>25,598,233</w:t>
            </w:r>
          </w:p>
        </w:tc>
        <w:tc>
          <w:tcPr>
            <w:tcW w:w="562" w:type="dxa"/>
            <w:tcBorders>
              <w:top w:val="nil"/>
              <w:left w:val="nil"/>
              <w:bottom w:val="double" w:sz="6" w:space="0" w:color="auto"/>
              <w:right w:val="nil"/>
            </w:tcBorders>
            <w:shd w:val="clear" w:color="auto" w:fill="auto"/>
            <w:vAlign w:val="center"/>
            <w:hideMark/>
          </w:tcPr>
          <w:p w14:paraId="06862534" w14:textId="39CA6036"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800" w:type="dxa"/>
            <w:tcBorders>
              <w:top w:val="nil"/>
              <w:left w:val="nil"/>
              <w:bottom w:val="double" w:sz="6" w:space="0" w:color="auto"/>
              <w:right w:val="nil"/>
            </w:tcBorders>
            <w:shd w:val="clear" w:color="auto" w:fill="auto"/>
            <w:vAlign w:val="center"/>
            <w:hideMark/>
          </w:tcPr>
          <w:p w14:paraId="634DE613" w14:textId="23D9B92E"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703" w:type="dxa"/>
            <w:tcBorders>
              <w:top w:val="nil"/>
              <w:left w:val="nil"/>
              <w:bottom w:val="double" w:sz="6" w:space="0" w:color="auto"/>
              <w:right w:val="nil"/>
            </w:tcBorders>
            <w:shd w:val="clear" w:color="auto" w:fill="auto"/>
            <w:vAlign w:val="center"/>
            <w:hideMark/>
          </w:tcPr>
          <w:p w14:paraId="3E804ADB" w14:textId="72A1F113"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97" w:type="dxa"/>
            <w:tcBorders>
              <w:top w:val="nil"/>
              <w:left w:val="nil"/>
              <w:bottom w:val="double" w:sz="6" w:space="0" w:color="auto"/>
              <w:right w:val="nil"/>
            </w:tcBorders>
            <w:shd w:val="clear" w:color="auto" w:fill="auto"/>
            <w:vAlign w:val="center"/>
            <w:hideMark/>
          </w:tcPr>
          <w:p w14:paraId="5AC4993C" w14:textId="49AA5E29" w:rsidR="0080138C" w:rsidRPr="00005453" w:rsidRDefault="0080138C" w:rsidP="0080138C">
            <w:pPr>
              <w:jc w:val="right"/>
              <w:rPr>
                <w:b/>
                <w:bCs/>
                <w:color w:val="000000"/>
                <w:sz w:val="10"/>
                <w:szCs w:val="10"/>
                <w:lang w:eastAsia="tr-TR"/>
              </w:rPr>
            </w:pPr>
            <w:r w:rsidRPr="00005453">
              <w:rPr>
                <w:b/>
                <w:color w:val="000000"/>
                <w:sz w:val="10"/>
                <w:szCs w:val="10"/>
              </w:rPr>
              <w:t>-</w:t>
            </w:r>
          </w:p>
        </w:tc>
        <w:tc>
          <w:tcPr>
            <w:tcW w:w="629" w:type="dxa"/>
            <w:tcBorders>
              <w:top w:val="nil"/>
              <w:left w:val="nil"/>
              <w:bottom w:val="double" w:sz="6" w:space="0" w:color="auto"/>
              <w:right w:val="nil"/>
            </w:tcBorders>
            <w:shd w:val="clear" w:color="auto" w:fill="auto"/>
            <w:vAlign w:val="center"/>
            <w:hideMark/>
          </w:tcPr>
          <w:p w14:paraId="43377F4B" w14:textId="12F0C72A" w:rsidR="0080138C" w:rsidRPr="00005453" w:rsidRDefault="0080138C" w:rsidP="0080138C">
            <w:pPr>
              <w:jc w:val="right"/>
              <w:rPr>
                <w:b/>
                <w:bCs/>
                <w:color w:val="000000"/>
                <w:sz w:val="10"/>
                <w:szCs w:val="10"/>
                <w:lang w:eastAsia="tr-TR"/>
              </w:rPr>
            </w:pPr>
            <w:r w:rsidRPr="00005453">
              <w:rPr>
                <w:b/>
                <w:color w:val="000000"/>
                <w:sz w:val="10"/>
                <w:szCs w:val="10"/>
              </w:rPr>
              <w:t>3,415,343</w:t>
            </w:r>
          </w:p>
        </w:tc>
        <w:tc>
          <w:tcPr>
            <w:tcW w:w="667" w:type="dxa"/>
            <w:tcBorders>
              <w:top w:val="nil"/>
              <w:left w:val="nil"/>
              <w:bottom w:val="double" w:sz="6" w:space="0" w:color="auto"/>
              <w:right w:val="nil"/>
            </w:tcBorders>
            <w:shd w:val="clear" w:color="auto" w:fill="auto"/>
            <w:vAlign w:val="center"/>
            <w:hideMark/>
          </w:tcPr>
          <w:p w14:paraId="431B3AAF" w14:textId="5E66FB35" w:rsidR="0080138C" w:rsidRPr="00005453" w:rsidRDefault="0080138C" w:rsidP="0080138C">
            <w:pPr>
              <w:jc w:val="right"/>
              <w:rPr>
                <w:b/>
                <w:bCs/>
                <w:color w:val="000000"/>
                <w:sz w:val="10"/>
                <w:szCs w:val="10"/>
                <w:lang w:eastAsia="tr-TR"/>
              </w:rPr>
            </w:pPr>
            <w:r w:rsidRPr="00005453">
              <w:rPr>
                <w:b/>
                <w:color w:val="000000"/>
                <w:sz w:val="10"/>
                <w:szCs w:val="10"/>
              </w:rPr>
              <w:t>19,110,684</w:t>
            </w:r>
          </w:p>
        </w:tc>
        <w:tc>
          <w:tcPr>
            <w:tcW w:w="667" w:type="dxa"/>
            <w:tcBorders>
              <w:top w:val="nil"/>
              <w:left w:val="nil"/>
              <w:bottom w:val="double" w:sz="6" w:space="0" w:color="auto"/>
              <w:right w:val="nil"/>
            </w:tcBorders>
            <w:shd w:val="clear" w:color="auto" w:fill="auto"/>
            <w:vAlign w:val="center"/>
            <w:hideMark/>
          </w:tcPr>
          <w:p w14:paraId="06A72EA2" w14:textId="7609586F" w:rsidR="0080138C" w:rsidRPr="00005453" w:rsidRDefault="0080138C" w:rsidP="0080138C">
            <w:pPr>
              <w:jc w:val="right"/>
              <w:rPr>
                <w:b/>
                <w:bCs/>
                <w:color w:val="000000"/>
                <w:sz w:val="10"/>
                <w:szCs w:val="10"/>
                <w:lang w:eastAsia="tr-TR"/>
              </w:rPr>
            </w:pPr>
            <w:r w:rsidRPr="00005453">
              <w:rPr>
                <w:b/>
                <w:color w:val="000000"/>
                <w:sz w:val="10"/>
                <w:szCs w:val="10"/>
              </w:rPr>
              <w:t>269,242,109</w:t>
            </w:r>
          </w:p>
        </w:tc>
        <w:tc>
          <w:tcPr>
            <w:tcW w:w="640" w:type="dxa"/>
            <w:tcBorders>
              <w:top w:val="nil"/>
              <w:left w:val="nil"/>
              <w:bottom w:val="double" w:sz="6" w:space="0" w:color="auto"/>
              <w:right w:val="nil"/>
            </w:tcBorders>
            <w:shd w:val="clear" w:color="auto" w:fill="auto"/>
            <w:vAlign w:val="center"/>
            <w:hideMark/>
          </w:tcPr>
          <w:p w14:paraId="56B4B546" w14:textId="16F6F684" w:rsidR="0080138C" w:rsidRPr="00005453" w:rsidRDefault="0080138C" w:rsidP="0080138C">
            <w:pPr>
              <w:jc w:val="right"/>
              <w:rPr>
                <w:b/>
                <w:bCs/>
                <w:color w:val="000000"/>
                <w:sz w:val="10"/>
                <w:szCs w:val="10"/>
                <w:lang w:eastAsia="tr-TR"/>
              </w:rPr>
            </w:pPr>
            <w:r w:rsidRPr="00005453">
              <w:rPr>
                <w:b/>
                <w:color w:val="000000"/>
                <w:sz w:val="10"/>
                <w:szCs w:val="10"/>
              </w:rPr>
              <w:t>183,809,545</w:t>
            </w:r>
          </w:p>
        </w:tc>
        <w:tc>
          <w:tcPr>
            <w:tcW w:w="690" w:type="dxa"/>
            <w:tcBorders>
              <w:top w:val="nil"/>
              <w:left w:val="nil"/>
              <w:bottom w:val="double" w:sz="6" w:space="0" w:color="auto"/>
              <w:right w:val="nil"/>
            </w:tcBorders>
            <w:shd w:val="clear" w:color="auto" w:fill="auto"/>
            <w:vAlign w:val="center"/>
            <w:hideMark/>
          </w:tcPr>
          <w:p w14:paraId="6D9B0FA6" w14:textId="2F632F1B" w:rsidR="0080138C" w:rsidRPr="00005453" w:rsidRDefault="0080138C" w:rsidP="0080138C">
            <w:pPr>
              <w:jc w:val="right"/>
              <w:rPr>
                <w:b/>
                <w:bCs/>
                <w:color w:val="000000"/>
                <w:sz w:val="10"/>
                <w:szCs w:val="10"/>
                <w:lang w:eastAsia="tr-TR"/>
              </w:rPr>
            </w:pPr>
            <w:r w:rsidRPr="00005453">
              <w:rPr>
                <w:b/>
                <w:color w:val="000000"/>
                <w:sz w:val="10"/>
                <w:szCs w:val="10"/>
              </w:rPr>
              <w:t>453,051,654</w:t>
            </w:r>
          </w:p>
        </w:tc>
      </w:tr>
      <w:bookmarkEnd w:id="31"/>
    </w:tbl>
    <w:p w14:paraId="616C200D" w14:textId="4D47FEBF" w:rsidR="0054031F" w:rsidRPr="00005453" w:rsidRDefault="0054031F" w:rsidP="0054031F">
      <w:pPr>
        <w:rPr>
          <w:sz w:val="10"/>
          <w:szCs w:val="10"/>
          <w:lang w:eastAsia="zh-CN"/>
        </w:rPr>
      </w:pPr>
    </w:p>
    <w:p w14:paraId="25BE07F3" w14:textId="63CD9D62" w:rsidR="001D65A5" w:rsidRPr="00005453" w:rsidRDefault="001D65A5" w:rsidP="00054FCD">
      <w:pPr>
        <w:ind w:left="-357" w:firstLine="357"/>
        <w:rPr>
          <w:sz w:val="14"/>
          <w:szCs w:val="14"/>
          <w:lang w:eastAsia="zh-CN"/>
        </w:rPr>
      </w:pPr>
      <w:r w:rsidRPr="00005453">
        <w:rPr>
          <w:sz w:val="14"/>
          <w:szCs w:val="14"/>
          <w:lang w:eastAsia="zh-CN"/>
        </w:rPr>
        <w:t>(*) Kredi riski azaltımı öncesi, krediye dönüşüm oranı sonrası risk tutarları verilmiştir</w:t>
      </w:r>
      <w:r w:rsidR="00054FCD" w:rsidRPr="00005453">
        <w:rPr>
          <w:sz w:val="14"/>
          <w:szCs w:val="14"/>
          <w:lang w:eastAsia="zh-CN"/>
        </w:rPr>
        <w:t>.</w:t>
      </w:r>
    </w:p>
    <w:p w14:paraId="0C168BF6" w14:textId="77777777" w:rsidR="0054031F" w:rsidRPr="00005453" w:rsidRDefault="0054031F" w:rsidP="0054031F">
      <w:pPr>
        <w:rPr>
          <w:sz w:val="14"/>
          <w:szCs w:val="14"/>
          <w:lang w:eastAsia="zh-CN"/>
        </w:rPr>
      </w:pPr>
    </w:p>
    <w:p w14:paraId="6D004AD2" w14:textId="3942693F" w:rsidR="00E708A6" w:rsidRPr="00005453" w:rsidRDefault="00E708A6" w:rsidP="00E708A6">
      <w:pPr>
        <w:rPr>
          <w:sz w:val="14"/>
          <w:szCs w:val="14"/>
          <w:lang w:eastAsia="zh-CN"/>
        </w:rPr>
      </w:pPr>
      <w:r w:rsidRPr="00005453">
        <w:rPr>
          <w:sz w:val="14"/>
          <w:szCs w:val="14"/>
          <w:lang w:eastAsia="zh-CN"/>
        </w:rPr>
        <w:t xml:space="preserve">                                                                                                                                                           </w:t>
      </w:r>
    </w:p>
    <w:p w14:paraId="0C3AE50C" w14:textId="097DA5F8" w:rsidR="0054031F" w:rsidRPr="00005453" w:rsidRDefault="0054031F" w:rsidP="0054031F">
      <w:pPr>
        <w:rPr>
          <w:sz w:val="14"/>
          <w:szCs w:val="14"/>
          <w:lang w:eastAsia="zh-CN"/>
        </w:rPr>
      </w:pPr>
    </w:p>
    <w:p w14:paraId="09AD6FFB" w14:textId="1EDD4803" w:rsidR="0054031F" w:rsidRPr="00005453" w:rsidRDefault="00E708A6" w:rsidP="0054031F">
      <w:pPr>
        <w:tabs>
          <w:tab w:val="left" w:pos="3535"/>
        </w:tabs>
        <w:rPr>
          <w:rFonts w:eastAsia="Arial Unicode MS"/>
          <w:lang w:eastAsia="x-none"/>
        </w:rPr>
        <w:sectPr w:rsidR="0054031F" w:rsidRPr="00005453" w:rsidSect="00D84F4B">
          <w:footerReference w:type="default" r:id="rId41"/>
          <w:pgSz w:w="16838" w:h="11906" w:orient="landscape"/>
          <w:pgMar w:top="1418" w:right="1417" w:bottom="991" w:left="1438" w:header="708" w:footer="708" w:gutter="0"/>
          <w:cols w:space="708"/>
          <w:docGrid w:linePitch="360"/>
        </w:sectPr>
      </w:pPr>
      <w:r w:rsidRPr="00005453">
        <w:rPr>
          <w:rFonts w:eastAsia="Arial Unicode MS"/>
          <w:lang w:eastAsia="x-none"/>
        </w:rPr>
        <w:t xml:space="preserve">                             </w:t>
      </w:r>
    </w:p>
    <w:p w14:paraId="5DADB8F0" w14:textId="1C771D8A" w:rsidR="0054031F" w:rsidRPr="00005453" w:rsidRDefault="0054031F" w:rsidP="0054031F">
      <w:pPr>
        <w:spacing w:line="240" w:lineRule="exact"/>
        <w:ind w:hanging="567"/>
        <w:jc w:val="both"/>
        <w:rPr>
          <w:b/>
          <w:sz w:val="18"/>
          <w:szCs w:val="18"/>
          <w:lang w:eastAsia="tr-TR"/>
        </w:rPr>
      </w:pPr>
      <w:bookmarkStart w:id="32" w:name="_Hlk125290141"/>
      <w:bookmarkStart w:id="33" w:name="_Hlk156988204"/>
      <w:r w:rsidRPr="00005453">
        <w:rPr>
          <w:b/>
          <w:sz w:val="18"/>
          <w:szCs w:val="18"/>
          <w:lang w:eastAsia="tr-TR"/>
        </w:rPr>
        <w:lastRenderedPageBreak/>
        <w:t xml:space="preserve">2.3. </w:t>
      </w:r>
      <w:r w:rsidRPr="00005453">
        <w:rPr>
          <w:b/>
          <w:sz w:val="18"/>
          <w:szCs w:val="18"/>
          <w:lang w:eastAsia="tr-TR"/>
        </w:rPr>
        <w:tab/>
        <w:t xml:space="preserve">Vade Unsuru Taşıyan Risklerin Kalan Vadelerine Göre Dağılımı </w:t>
      </w:r>
    </w:p>
    <w:p w14:paraId="6C9CB756" w14:textId="77777777" w:rsidR="0054031F" w:rsidRPr="00005453" w:rsidRDefault="0054031F" w:rsidP="0054031F">
      <w:pPr>
        <w:autoSpaceDE w:val="0"/>
        <w:autoSpaceDN w:val="0"/>
        <w:adjustRightInd w:val="0"/>
        <w:rPr>
          <w:rFonts w:eastAsia="Arial Unicode MS"/>
          <w:b/>
          <w:sz w:val="16"/>
          <w:szCs w:val="16"/>
        </w:rPr>
      </w:pPr>
    </w:p>
    <w:tbl>
      <w:tblPr>
        <w:tblW w:w="9498" w:type="dxa"/>
        <w:tblCellMar>
          <w:left w:w="70" w:type="dxa"/>
          <w:right w:w="70" w:type="dxa"/>
        </w:tblCellMar>
        <w:tblLook w:val="04A0" w:firstRow="1" w:lastRow="0" w:firstColumn="1" w:lastColumn="0" w:noHBand="0" w:noVBand="1"/>
      </w:tblPr>
      <w:tblGrid>
        <w:gridCol w:w="3704"/>
        <w:gridCol w:w="1157"/>
        <w:gridCol w:w="1055"/>
        <w:gridCol w:w="1055"/>
        <w:gridCol w:w="1494"/>
        <w:gridCol w:w="1033"/>
      </w:tblGrid>
      <w:tr w:rsidR="00473009" w:rsidRPr="00005453" w14:paraId="750E51CD" w14:textId="77777777" w:rsidTr="00DB082B">
        <w:trPr>
          <w:trHeight w:val="256"/>
        </w:trPr>
        <w:tc>
          <w:tcPr>
            <w:tcW w:w="3704" w:type="dxa"/>
            <w:tcBorders>
              <w:top w:val="single" w:sz="8" w:space="0" w:color="auto"/>
              <w:left w:val="nil"/>
              <w:bottom w:val="nil"/>
              <w:right w:val="nil"/>
            </w:tcBorders>
            <w:shd w:val="clear" w:color="auto" w:fill="auto"/>
            <w:noWrap/>
            <w:vAlign w:val="center"/>
            <w:hideMark/>
          </w:tcPr>
          <w:p w14:paraId="41E9709A" w14:textId="77777777" w:rsidR="00473009" w:rsidRPr="00005453" w:rsidRDefault="00473009" w:rsidP="00473009">
            <w:pPr>
              <w:rPr>
                <w:b/>
                <w:bCs/>
                <w:color w:val="000000"/>
                <w:sz w:val="16"/>
                <w:szCs w:val="16"/>
                <w:lang w:eastAsia="tr-TR"/>
              </w:rPr>
            </w:pPr>
            <w:r w:rsidRPr="00005453">
              <w:rPr>
                <w:b/>
                <w:bCs/>
                <w:color w:val="000000"/>
                <w:sz w:val="16"/>
                <w:szCs w:val="16"/>
                <w:lang w:eastAsia="tr-TR"/>
              </w:rPr>
              <w:t> </w:t>
            </w:r>
          </w:p>
        </w:tc>
        <w:tc>
          <w:tcPr>
            <w:tcW w:w="5794" w:type="dxa"/>
            <w:gridSpan w:val="5"/>
            <w:tcBorders>
              <w:top w:val="single" w:sz="8" w:space="0" w:color="auto"/>
              <w:left w:val="nil"/>
              <w:bottom w:val="single" w:sz="8" w:space="0" w:color="auto"/>
              <w:right w:val="nil"/>
            </w:tcBorders>
            <w:shd w:val="clear" w:color="auto" w:fill="auto"/>
            <w:noWrap/>
            <w:vAlign w:val="center"/>
            <w:hideMark/>
          </w:tcPr>
          <w:p w14:paraId="3391A25B" w14:textId="77777777" w:rsidR="00473009" w:rsidRPr="00005453" w:rsidRDefault="00473009" w:rsidP="00473009">
            <w:pPr>
              <w:jc w:val="center"/>
              <w:rPr>
                <w:b/>
                <w:bCs/>
                <w:color w:val="000000"/>
                <w:sz w:val="16"/>
                <w:szCs w:val="16"/>
                <w:lang w:eastAsia="tr-TR"/>
              </w:rPr>
            </w:pPr>
            <w:r w:rsidRPr="00005453">
              <w:rPr>
                <w:b/>
                <w:bCs/>
                <w:color w:val="000000"/>
                <w:sz w:val="16"/>
                <w:szCs w:val="16"/>
                <w:lang w:eastAsia="tr-TR"/>
              </w:rPr>
              <w:t>Vadeye Kalan Süre</w:t>
            </w:r>
          </w:p>
        </w:tc>
      </w:tr>
      <w:tr w:rsidR="006632FC" w:rsidRPr="00005453" w14:paraId="4A90DF51" w14:textId="77777777" w:rsidTr="00DB082B">
        <w:trPr>
          <w:trHeight w:val="280"/>
        </w:trPr>
        <w:tc>
          <w:tcPr>
            <w:tcW w:w="3704" w:type="dxa"/>
            <w:tcBorders>
              <w:top w:val="nil"/>
              <w:left w:val="nil"/>
              <w:bottom w:val="single" w:sz="8" w:space="0" w:color="auto"/>
              <w:right w:val="nil"/>
            </w:tcBorders>
            <w:shd w:val="clear" w:color="auto" w:fill="auto"/>
            <w:noWrap/>
            <w:vAlign w:val="center"/>
            <w:hideMark/>
          </w:tcPr>
          <w:p w14:paraId="41651005" w14:textId="77777777" w:rsidR="00473009" w:rsidRPr="00005453" w:rsidRDefault="00473009" w:rsidP="00473009">
            <w:pPr>
              <w:rPr>
                <w:b/>
                <w:bCs/>
                <w:color w:val="000000"/>
                <w:sz w:val="16"/>
                <w:szCs w:val="16"/>
                <w:lang w:eastAsia="tr-TR"/>
              </w:rPr>
            </w:pPr>
            <w:r w:rsidRPr="00005453">
              <w:rPr>
                <w:b/>
                <w:bCs/>
                <w:color w:val="000000"/>
                <w:sz w:val="16"/>
                <w:szCs w:val="16"/>
                <w:lang w:eastAsia="tr-TR"/>
              </w:rPr>
              <w:t>Risk Sınıfları (*) – Cari Dönem</w:t>
            </w:r>
          </w:p>
        </w:tc>
        <w:tc>
          <w:tcPr>
            <w:tcW w:w="1157" w:type="dxa"/>
            <w:tcBorders>
              <w:top w:val="nil"/>
              <w:left w:val="nil"/>
              <w:bottom w:val="single" w:sz="8" w:space="0" w:color="auto"/>
              <w:right w:val="nil"/>
            </w:tcBorders>
            <w:shd w:val="clear" w:color="auto" w:fill="auto"/>
            <w:noWrap/>
            <w:vAlign w:val="center"/>
            <w:hideMark/>
          </w:tcPr>
          <w:p w14:paraId="5D24750B" w14:textId="77777777" w:rsidR="00473009" w:rsidRPr="00005453" w:rsidRDefault="00473009" w:rsidP="0066742E">
            <w:pPr>
              <w:jc w:val="right"/>
              <w:rPr>
                <w:b/>
                <w:bCs/>
                <w:color w:val="000000"/>
                <w:sz w:val="16"/>
                <w:szCs w:val="16"/>
                <w:lang w:eastAsia="tr-TR"/>
              </w:rPr>
            </w:pPr>
            <w:r w:rsidRPr="00005453">
              <w:rPr>
                <w:b/>
                <w:bCs/>
                <w:color w:val="000000"/>
                <w:sz w:val="16"/>
                <w:szCs w:val="16"/>
                <w:lang w:eastAsia="tr-TR"/>
              </w:rPr>
              <w:t>1 ay</w:t>
            </w:r>
          </w:p>
        </w:tc>
        <w:tc>
          <w:tcPr>
            <w:tcW w:w="1055" w:type="dxa"/>
            <w:tcBorders>
              <w:top w:val="nil"/>
              <w:left w:val="nil"/>
              <w:bottom w:val="single" w:sz="8" w:space="0" w:color="auto"/>
              <w:right w:val="nil"/>
            </w:tcBorders>
            <w:shd w:val="clear" w:color="auto" w:fill="auto"/>
            <w:noWrap/>
            <w:vAlign w:val="center"/>
            <w:hideMark/>
          </w:tcPr>
          <w:p w14:paraId="5AAB100B" w14:textId="77777777" w:rsidR="00473009" w:rsidRPr="00005453" w:rsidRDefault="00473009" w:rsidP="0066742E">
            <w:pPr>
              <w:jc w:val="right"/>
              <w:rPr>
                <w:b/>
                <w:bCs/>
                <w:color w:val="000000"/>
                <w:sz w:val="16"/>
                <w:szCs w:val="16"/>
                <w:lang w:eastAsia="tr-TR"/>
              </w:rPr>
            </w:pPr>
            <w:r w:rsidRPr="00005453">
              <w:rPr>
                <w:b/>
                <w:bCs/>
                <w:color w:val="000000"/>
                <w:sz w:val="16"/>
                <w:szCs w:val="16"/>
                <w:lang w:eastAsia="tr-TR"/>
              </w:rPr>
              <w:t>1–3 ay</w:t>
            </w:r>
          </w:p>
        </w:tc>
        <w:tc>
          <w:tcPr>
            <w:tcW w:w="1055" w:type="dxa"/>
            <w:tcBorders>
              <w:top w:val="nil"/>
              <w:left w:val="nil"/>
              <w:bottom w:val="single" w:sz="8" w:space="0" w:color="auto"/>
              <w:right w:val="nil"/>
            </w:tcBorders>
            <w:shd w:val="clear" w:color="auto" w:fill="auto"/>
            <w:noWrap/>
            <w:vAlign w:val="center"/>
            <w:hideMark/>
          </w:tcPr>
          <w:p w14:paraId="6F936929" w14:textId="77777777" w:rsidR="00473009" w:rsidRPr="00005453" w:rsidRDefault="00473009" w:rsidP="0066742E">
            <w:pPr>
              <w:jc w:val="right"/>
              <w:rPr>
                <w:b/>
                <w:bCs/>
                <w:color w:val="000000"/>
                <w:sz w:val="16"/>
                <w:szCs w:val="16"/>
                <w:lang w:eastAsia="tr-TR"/>
              </w:rPr>
            </w:pPr>
            <w:r w:rsidRPr="00005453">
              <w:rPr>
                <w:b/>
                <w:bCs/>
                <w:color w:val="000000"/>
                <w:sz w:val="16"/>
                <w:szCs w:val="16"/>
                <w:lang w:eastAsia="tr-TR"/>
              </w:rPr>
              <w:t>3–6 ay</w:t>
            </w:r>
          </w:p>
        </w:tc>
        <w:tc>
          <w:tcPr>
            <w:tcW w:w="1494" w:type="dxa"/>
            <w:tcBorders>
              <w:top w:val="nil"/>
              <w:left w:val="nil"/>
              <w:bottom w:val="single" w:sz="8" w:space="0" w:color="auto"/>
              <w:right w:val="nil"/>
            </w:tcBorders>
            <w:shd w:val="clear" w:color="auto" w:fill="auto"/>
            <w:noWrap/>
            <w:vAlign w:val="center"/>
            <w:hideMark/>
          </w:tcPr>
          <w:p w14:paraId="05362AB5" w14:textId="77777777" w:rsidR="00473009" w:rsidRPr="00005453" w:rsidRDefault="00473009" w:rsidP="0066742E">
            <w:pPr>
              <w:jc w:val="right"/>
              <w:rPr>
                <w:b/>
                <w:bCs/>
                <w:color w:val="000000"/>
                <w:sz w:val="16"/>
                <w:szCs w:val="16"/>
                <w:lang w:eastAsia="tr-TR"/>
              </w:rPr>
            </w:pPr>
            <w:r w:rsidRPr="00005453">
              <w:rPr>
                <w:b/>
                <w:bCs/>
                <w:color w:val="000000"/>
                <w:sz w:val="16"/>
                <w:szCs w:val="16"/>
                <w:lang w:eastAsia="tr-TR"/>
              </w:rPr>
              <w:t>6–12 ay</w:t>
            </w:r>
          </w:p>
        </w:tc>
        <w:tc>
          <w:tcPr>
            <w:tcW w:w="1033" w:type="dxa"/>
            <w:tcBorders>
              <w:top w:val="nil"/>
              <w:left w:val="nil"/>
              <w:bottom w:val="single" w:sz="8" w:space="0" w:color="auto"/>
              <w:right w:val="nil"/>
            </w:tcBorders>
            <w:shd w:val="clear" w:color="auto" w:fill="auto"/>
            <w:noWrap/>
            <w:vAlign w:val="center"/>
            <w:hideMark/>
          </w:tcPr>
          <w:p w14:paraId="0A1108F2" w14:textId="77777777" w:rsidR="00473009" w:rsidRPr="00005453" w:rsidRDefault="00473009" w:rsidP="0066742E">
            <w:pPr>
              <w:jc w:val="right"/>
              <w:rPr>
                <w:b/>
                <w:bCs/>
                <w:color w:val="000000"/>
                <w:sz w:val="16"/>
                <w:szCs w:val="16"/>
                <w:lang w:eastAsia="tr-TR"/>
              </w:rPr>
            </w:pPr>
            <w:r w:rsidRPr="00005453">
              <w:rPr>
                <w:b/>
                <w:bCs/>
                <w:color w:val="000000"/>
                <w:sz w:val="16"/>
                <w:szCs w:val="16"/>
                <w:lang w:eastAsia="tr-TR"/>
              </w:rPr>
              <w:t>1 yıl üzeri</w:t>
            </w:r>
          </w:p>
        </w:tc>
      </w:tr>
      <w:tr w:rsidR="00AF5795" w:rsidRPr="00005453" w14:paraId="17B2AFB0" w14:textId="77777777" w:rsidTr="00DB082B">
        <w:trPr>
          <w:trHeight w:val="244"/>
        </w:trPr>
        <w:tc>
          <w:tcPr>
            <w:tcW w:w="3704" w:type="dxa"/>
            <w:tcBorders>
              <w:top w:val="nil"/>
              <w:left w:val="nil"/>
              <w:bottom w:val="nil"/>
              <w:right w:val="nil"/>
            </w:tcBorders>
            <w:shd w:val="clear" w:color="auto" w:fill="auto"/>
            <w:noWrap/>
            <w:vAlign w:val="center"/>
            <w:hideMark/>
          </w:tcPr>
          <w:p w14:paraId="32D3F121" w14:textId="700B47BB" w:rsidR="00AF5795" w:rsidRPr="00005453" w:rsidRDefault="00AF5795" w:rsidP="00AF5795">
            <w:pPr>
              <w:rPr>
                <w:color w:val="000000"/>
                <w:sz w:val="16"/>
                <w:szCs w:val="16"/>
                <w:lang w:eastAsia="tr-TR"/>
              </w:rPr>
            </w:pPr>
            <w:r w:rsidRPr="00005453">
              <w:rPr>
                <w:color w:val="000000"/>
                <w:sz w:val="16"/>
                <w:szCs w:val="16"/>
                <w:lang w:eastAsia="tr-TR"/>
              </w:rPr>
              <w:t>Merkezi yönetimlerden veya merkez bankalarından şarta bağlı olan ve olmayan alacaklar</w:t>
            </w:r>
          </w:p>
        </w:tc>
        <w:tc>
          <w:tcPr>
            <w:tcW w:w="1157" w:type="dxa"/>
            <w:tcBorders>
              <w:top w:val="nil"/>
              <w:left w:val="nil"/>
              <w:bottom w:val="nil"/>
              <w:right w:val="nil"/>
            </w:tcBorders>
            <w:shd w:val="clear" w:color="auto" w:fill="auto"/>
            <w:noWrap/>
            <w:vAlign w:val="center"/>
            <w:hideMark/>
          </w:tcPr>
          <w:p w14:paraId="07D65C81" w14:textId="11C6C1F7" w:rsidR="00AF5795" w:rsidRPr="00005453" w:rsidRDefault="00AF5795" w:rsidP="00AF5795">
            <w:pPr>
              <w:jc w:val="right"/>
              <w:rPr>
                <w:color w:val="000000"/>
                <w:sz w:val="16"/>
                <w:szCs w:val="16"/>
              </w:rPr>
            </w:pPr>
            <w:r w:rsidRPr="00005453">
              <w:rPr>
                <w:color w:val="000000"/>
                <w:sz w:val="16"/>
                <w:szCs w:val="16"/>
              </w:rPr>
              <w:t>33,824,565</w:t>
            </w:r>
          </w:p>
        </w:tc>
        <w:tc>
          <w:tcPr>
            <w:tcW w:w="1055" w:type="dxa"/>
            <w:tcBorders>
              <w:top w:val="nil"/>
              <w:left w:val="nil"/>
              <w:bottom w:val="nil"/>
              <w:right w:val="nil"/>
            </w:tcBorders>
            <w:shd w:val="clear" w:color="auto" w:fill="auto"/>
            <w:noWrap/>
            <w:vAlign w:val="center"/>
            <w:hideMark/>
          </w:tcPr>
          <w:p w14:paraId="45A7685A" w14:textId="0EF27A41"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425B13F8" w14:textId="10177C82" w:rsidR="00AF5795" w:rsidRPr="00005453" w:rsidRDefault="00AF5795" w:rsidP="00AF5795">
            <w:pPr>
              <w:jc w:val="right"/>
              <w:rPr>
                <w:color w:val="000000"/>
                <w:sz w:val="16"/>
                <w:szCs w:val="16"/>
              </w:rPr>
            </w:pPr>
            <w:r w:rsidRPr="00005453">
              <w:rPr>
                <w:color w:val="000000"/>
                <w:sz w:val="16"/>
                <w:szCs w:val="16"/>
              </w:rPr>
              <w:t>1,930,837</w:t>
            </w:r>
          </w:p>
        </w:tc>
        <w:tc>
          <w:tcPr>
            <w:tcW w:w="1494" w:type="dxa"/>
            <w:tcBorders>
              <w:top w:val="nil"/>
              <w:left w:val="nil"/>
              <w:bottom w:val="nil"/>
              <w:right w:val="nil"/>
            </w:tcBorders>
            <w:shd w:val="clear" w:color="auto" w:fill="auto"/>
            <w:noWrap/>
            <w:vAlign w:val="center"/>
            <w:hideMark/>
          </w:tcPr>
          <w:p w14:paraId="3B19F1AD" w14:textId="3D51F2E7" w:rsidR="00AF5795" w:rsidRPr="00005453" w:rsidRDefault="00AF5795" w:rsidP="00AF5795">
            <w:pPr>
              <w:jc w:val="right"/>
              <w:rPr>
                <w:color w:val="000000"/>
                <w:sz w:val="16"/>
                <w:szCs w:val="16"/>
              </w:rPr>
            </w:pPr>
            <w:r w:rsidRPr="00005453">
              <w:rPr>
                <w:color w:val="000000"/>
                <w:sz w:val="16"/>
                <w:szCs w:val="16"/>
              </w:rPr>
              <w:t>4,789,491</w:t>
            </w:r>
          </w:p>
        </w:tc>
        <w:tc>
          <w:tcPr>
            <w:tcW w:w="1033" w:type="dxa"/>
            <w:tcBorders>
              <w:top w:val="nil"/>
              <w:left w:val="nil"/>
              <w:bottom w:val="nil"/>
              <w:right w:val="nil"/>
            </w:tcBorders>
            <w:shd w:val="clear" w:color="auto" w:fill="auto"/>
            <w:noWrap/>
            <w:vAlign w:val="center"/>
            <w:hideMark/>
          </w:tcPr>
          <w:p w14:paraId="6D5958DB" w14:textId="39E52338" w:rsidR="00AF5795" w:rsidRPr="00005453" w:rsidRDefault="00AF5795" w:rsidP="00AF5795">
            <w:pPr>
              <w:jc w:val="right"/>
              <w:rPr>
                <w:color w:val="000000"/>
                <w:sz w:val="16"/>
                <w:szCs w:val="16"/>
              </w:rPr>
            </w:pPr>
            <w:r w:rsidRPr="00005453">
              <w:rPr>
                <w:color w:val="000000"/>
                <w:sz w:val="16"/>
                <w:szCs w:val="16"/>
              </w:rPr>
              <w:t>224,328,355</w:t>
            </w:r>
          </w:p>
        </w:tc>
      </w:tr>
      <w:tr w:rsidR="00AF5795" w:rsidRPr="00005453" w14:paraId="06239652" w14:textId="77777777" w:rsidTr="00DB082B">
        <w:trPr>
          <w:trHeight w:val="244"/>
        </w:trPr>
        <w:tc>
          <w:tcPr>
            <w:tcW w:w="3704" w:type="dxa"/>
            <w:tcBorders>
              <w:top w:val="nil"/>
              <w:left w:val="nil"/>
              <w:bottom w:val="nil"/>
              <w:right w:val="nil"/>
            </w:tcBorders>
            <w:shd w:val="clear" w:color="auto" w:fill="auto"/>
            <w:noWrap/>
            <w:vAlign w:val="center"/>
            <w:hideMark/>
          </w:tcPr>
          <w:p w14:paraId="3D0ABC98" w14:textId="77777777" w:rsidR="00AF5795" w:rsidRPr="00005453" w:rsidRDefault="00AF5795" w:rsidP="00AF5795">
            <w:pPr>
              <w:rPr>
                <w:color w:val="000000"/>
                <w:sz w:val="16"/>
                <w:szCs w:val="16"/>
                <w:lang w:eastAsia="tr-TR"/>
              </w:rPr>
            </w:pPr>
            <w:r w:rsidRPr="00005453">
              <w:rPr>
                <w:color w:val="000000"/>
                <w:sz w:val="16"/>
                <w:szCs w:val="16"/>
                <w:lang w:eastAsia="tr-TR"/>
              </w:rPr>
              <w:t>Bölgesel yönetimlerden veya yerel yönetimlerden şarta bağlı olan ve olmayan alacaklar</w:t>
            </w:r>
          </w:p>
        </w:tc>
        <w:tc>
          <w:tcPr>
            <w:tcW w:w="1157" w:type="dxa"/>
            <w:tcBorders>
              <w:top w:val="nil"/>
              <w:left w:val="nil"/>
              <w:bottom w:val="nil"/>
              <w:right w:val="nil"/>
            </w:tcBorders>
            <w:shd w:val="clear" w:color="auto" w:fill="auto"/>
            <w:noWrap/>
            <w:vAlign w:val="center"/>
            <w:hideMark/>
          </w:tcPr>
          <w:p w14:paraId="5FF1DBE6" w14:textId="540FB125"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5C8DE7BC" w14:textId="5158BF1A"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4B0007B0" w14:textId="538E014A"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5B33D675" w14:textId="346B1934"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6EB73971" w14:textId="5FE5AB20"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55C0B211" w14:textId="77777777" w:rsidTr="00DB082B">
        <w:trPr>
          <w:trHeight w:val="244"/>
        </w:trPr>
        <w:tc>
          <w:tcPr>
            <w:tcW w:w="3704" w:type="dxa"/>
            <w:tcBorders>
              <w:top w:val="nil"/>
              <w:left w:val="nil"/>
              <w:bottom w:val="nil"/>
              <w:right w:val="nil"/>
            </w:tcBorders>
            <w:shd w:val="clear" w:color="auto" w:fill="auto"/>
            <w:noWrap/>
            <w:vAlign w:val="center"/>
            <w:hideMark/>
          </w:tcPr>
          <w:p w14:paraId="1E4A7B6B" w14:textId="77777777" w:rsidR="00AF5795" w:rsidRPr="00005453" w:rsidRDefault="00AF5795" w:rsidP="00AF5795">
            <w:pPr>
              <w:rPr>
                <w:color w:val="000000"/>
                <w:sz w:val="16"/>
                <w:szCs w:val="16"/>
                <w:lang w:eastAsia="tr-TR"/>
              </w:rPr>
            </w:pPr>
            <w:r w:rsidRPr="00005453">
              <w:rPr>
                <w:color w:val="000000"/>
                <w:sz w:val="16"/>
                <w:szCs w:val="16"/>
                <w:lang w:eastAsia="tr-TR"/>
              </w:rPr>
              <w:t>İdari birimlerden ve ticari olmayan girişimlerden şarta bağlı olan ve olmayan alacaklar</w:t>
            </w:r>
          </w:p>
        </w:tc>
        <w:tc>
          <w:tcPr>
            <w:tcW w:w="1157" w:type="dxa"/>
            <w:tcBorders>
              <w:top w:val="nil"/>
              <w:left w:val="nil"/>
              <w:bottom w:val="nil"/>
              <w:right w:val="nil"/>
            </w:tcBorders>
            <w:shd w:val="clear" w:color="auto" w:fill="auto"/>
            <w:noWrap/>
            <w:vAlign w:val="center"/>
            <w:hideMark/>
          </w:tcPr>
          <w:p w14:paraId="2A6D711E" w14:textId="008C0467"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43995D0C" w14:textId="6C0B8D34"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6D936455" w14:textId="16AFF128"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4A7CFBF3" w14:textId="3DFE42C0"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37DA88D9" w14:textId="45862691"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2038CBAA" w14:textId="77777777" w:rsidTr="00DB082B">
        <w:trPr>
          <w:trHeight w:val="244"/>
        </w:trPr>
        <w:tc>
          <w:tcPr>
            <w:tcW w:w="3704" w:type="dxa"/>
            <w:tcBorders>
              <w:top w:val="nil"/>
              <w:left w:val="nil"/>
              <w:bottom w:val="nil"/>
              <w:right w:val="nil"/>
            </w:tcBorders>
            <w:shd w:val="clear" w:color="auto" w:fill="auto"/>
            <w:noWrap/>
            <w:vAlign w:val="center"/>
            <w:hideMark/>
          </w:tcPr>
          <w:p w14:paraId="5C7C09B8" w14:textId="77777777" w:rsidR="00AF5795" w:rsidRPr="00005453" w:rsidRDefault="00AF5795" w:rsidP="00AF5795">
            <w:pPr>
              <w:rPr>
                <w:color w:val="000000"/>
                <w:sz w:val="16"/>
                <w:szCs w:val="16"/>
                <w:lang w:eastAsia="tr-TR"/>
              </w:rPr>
            </w:pPr>
            <w:r w:rsidRPr="00005453">
              <w:rPr>
                <w:color w:val="000000"/>
                <w:sz w:val="16"/>
                <w:szCs w:val="16"/>
                <w:lang w:eastAsia="tr-TR"/>
              </w:rPr>
              <w:t xml:space="preserve">Çok taraflı kalkınma bankalarından şarta bağlı </w:t>
            </w:r>
            <w:proofErr w:type="gramStart"/>
            <w:r w:rsidRPr="00005453">
              <w:rPr>
                <w:color w:val="000000"/>
                <w:sz w:val="16"/>
                <w:szCs w:val="16"/>
                <w:lang w:eastAsia="tr-TR"/>
              </w:rPr>
              <w:t>olan  ve</w:t>
            </w:r>
            <w:proofErr w:type="gramEnd"/>
            <w:r w:rsidRPr="00005453">
              <w:rPr>
                <w:color w:val="000000"/>
                <w:sz w:val="16"/>
                <w:szCs w:val="16"/>
                <w:lang w:eastAsia="tr-TR"/>
              </w:rPr>
              <w:t xml:space="preserve"> olmayan alacaklar</w:t>
            </w:r>
          </w:p>
        </w:tc>
        <w:tc>
          <w:tcPr>
            <w:tcW w:w="1157" w:type="dxa"/>
            <w:tcBorders>
              <w:top w:val="nil"/>
              <w:left w:val="nil"/>
              <w:bottom w:val="nil"/>
              <w:right w:val="nil"/>
            </w:tcBorders>
            <w:shd w:val="clear" w:color="auto" w:fill="auto"/>
            <w:noWrap/>
            <w:vAlign w:val="center"/>
            <w:hideMark/>
          </w:tcPr>
          <w:p w14:paraId="1D8DC5FE" w14:textId="11B702E3"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62F15532" w14:textId="714F5040"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5F5E5AA5" w14:textId="7EFF4252"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41C852F8" w14:textId="1A15B333"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3D23C491" w14:textId="08436667"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3B0BBB01" w14:textId="77777777" w:rsidTr="00DB082B">
        <w:trPr>
          <w:trHeight w:val="244"/>
        </w:trPr>
        <w:tc>
          <w:tcPr>
            <w:tcW w:w="3704" w:type="dxa"/>
            <w:tcBorders>
              <w:top w:val="nil"/>
              <w:left w:val="nil"/>
              <w:bottom w:val="nil"/>
              <w:right w:val="nil"/>
            </w:tcBorders>
            <w:shd w:val="clear" w:color="auto" w:fill="auto"/>
            <w:noWrap/>
            <w:vAlign w:val="center"/>
            <w:hideMark/>
          </w:tcPr>
          <w:p w14:paraId="3DE9FC32" w14:textId="77777777" w:rsidR="00AF5795" w:rsidRPr="00005453" w:rsidRDefault="00AF5795" w:rsidP="00AF5795">
            <w:pPr>
              <w:rPr>
                <w:color w:val="000000"/>
                <w:sz w:val="16"/>
                <w:szCs w:val="16"/>
                <w:lang w:eastAsia="tr-TR"/>
              </w:rPr>
            </w:pPr>
            <w:r w:rsidRPr="00005453">
              <w:rPr>
                <w:color w:val="000000"/>
                <w:sz w:val="16"/>
                <w:szCs w:val="16"/>
                <w:lang w:eastAsia="tr-TR"/>
              </w:rPr>
              <w:t xml:space="preserve">Uluslararası teşkilatlardan şarta bağlı olan </w:t>
            </w:r>
            <w:proofErr w:type="gramStart"/>
            <w:r w:rsidRPr="00005453">
              <w:rPr>
                <w:color w:val="000000"/>
                <w:sz w:val="16"/>
                <w:szCs w:val="16"/>
                <w:lang w:eastAsia="tr-TR"/>
              </w:rPr>
              <w:t>ve  olmayan</w:t>
            </w:r>
            <w:proofErr w:type="gramEnd"/>
            <w:r w:rsidRPr="00005453">
              <w:rPr>
                <w:color w:val="000000"/>
                <w:sz w:val="16"/>
                <w:szCs w:val="16"/>
                <w:lang w:eastAsia="tr-TR"/>
              </w:rPr>
              <w:t xml:space="preserve"> alacaklar</w:t>
            </w:r>
          </w:p>
        </w:tc>
        <w:tc>
          <w:tcPr>
            <w:tcW w:w="1157" w:type="dxa"/>
            <w:tcBorders>
              <w:top w:val="nil"/>
              <w:left w:val="nil"/>
              <w:bottom w:val="nil"/>
              <w:right w:val="nil"/>
            </w:tcBorders>
            <w:shd w:val="clear" w:color="auto" w:fill="auto"/>
            <w:noWrap/>
            <w:vAlign w:val="center"/>
            <w:hideMark/>
          </w:tcPr>
          <w:p w14:paraId="547CCFEC" w14:textId="7C366124"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53416EB2" w14:textId="38A30401"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104073F7" w14:textId="276A06F9"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13AD8148" w14:textId="209C1465"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024563A1" w14:textId="5C6B19EE"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3EA16853" w14:textId="77777777" w:rsidTr="00DB082B">
        <w:trPr>
          <w:trHeight w:val="244"/>
        </w:trPr>
        <w:tc>
          <w:tcPr>
            <w:tcW w:w="3704" w:type="dxa"/>
            <w:tcBorders>
              <w:top w:val="nil"/>
              <w:left w:val="nil"/>
              <w:bottom w:val="nil"/>
              <w:right w:val="nil"/>
            </w:tcBorders>
            <w:shd w:val="clear" w:color="auto" w:fill="auto"/>
            <w:noWrap/>
            <w:vAlign w:val="center"/>
            <w:hideMark/>
          </w:tcPr>
          <w:p w14:paraId="4C11F2F3" w14:textId="77777777" w:rsidR="00AF5795" w:rsidRPr="00005453" w:rsidRDefault="00AF5795" w:rsidP="00AF5795">
            <w:pPr>
              <w:rPr>
                <w:color w:val="000000"/>
                <w:sz w:val="16"/>
                <w:szCs w:val="16"/>
                <w:lang w:eastAsia="tr-TR"/>
              </w:rPr>
            </w:pPr>
            <w:r w:rsidRPr="00005453">
              <w:rPr>
                <w:color w:val="000000"/>
                <w:sz w:val="16"/>
                <w:szCs w:val="16"/>
                <w:lang w:eastAsia="tr-TR"/>
              </w:rPr>
              <w:t>Bankalar ve aracı kurumlardan şarta bağlı olan ve olmayan alacaklar</w:t>
            </w:r>
          </w:p>
        </w:tc>
        <w:tc>
          <w:tcPr>
            <w:tcW w:w="1157" w:type="dxa"/>
            <w:tcBorders>
              <w:top w:val="nil"/>
              <w:left w:val="nil"/>
              <w:bottom w:val="nil"/>
              <w:right w:val="nil"/>
            </w:tcBorders>
            <w:shd w:val="clear" w:color="auto" w:fill="auto"/>
            <w:noWrap/>
            <w:vAlign w:val="center"/>
            <w:hideMark/>
          </w:tcPr>
          <w:p w14:paraId="67A24019" w14:textId="7BC72382" w:rsidR="00AF5795" w:rsidRPr="00005453" w:rsidRDefault="00AF5795" w:rsidP="00AF5795">
            <w:pPr>
              <w:jc w:val="right"/>
              <w:rPr>
                <w:color w:val="000000"/>
                <w:sz w:val="16"/>
                <w:szCs w:val="16"/>
              </w:rPr>
            </w:pPr>
            <w:r w:rsidRPr="00005453">
              <w:rPr>
                <w:color w:val="000000"/>
                <w:sz w:val="16"/>
                <w:szCs w:val="16"/>
              </w:rPr>
              <w:t>27,702,911</w:t>
            </w:r>
          </w:p>
        </w:tc>
        <w:tc>
          <w:tcPr>
            <w:tcW w:w="1055" w:type="dxa"/>
            <w:tcBorders>
              <w:top w:val="nil"/>
              <w:left w:val="nil"/>
              <w:bottom w:val="nil"/>
              <w:right w:val="nil"/>
            </w:tcBorders>
            <w:shd w:val="clear" w:color="auto" w:fill="auto"/>
            <w:noWrap/>
            <w:vAlign w:val="center"/>
            <w:hideMark/>
          </w:tcPr>
          <w:p w14:paraId="5681E788" w14:textId="167AB906" w:rsidR="00AF5795" w:rsidRPr="00005453" w:rsidRDefault="00AF5795" w:rsidP="00AF5795">
            <w:pPr>
              <w:jc w:val="right"/>
              <w:rPr>
                <w:color w:val="000000"/>
                <w:sz w:val="16"/>
                <w:szCs w:val="16"/>
              </w:rPr>
            </w:pPr>
            <w:r w:rsidRPr="00005453">
              <w:rPr>
                <w:color w:val="000000"/>
                <w:sz w:val="16"/>
                <w:szCs w:val="16"/>
              </w:rPr>
              <w:t>1,162,294</w:t>
            </w:r>
          </w:p>
        </w:tc>
        <w:tc>
          <w:tcPr>
            <w:tcW w:w="1055" w:type="dxa"/>
            <w:tcBorders>
              <w:top w:val="nil"/>
              <w:left w:val="nil"/>
              <w:bottom w:val="nil"/>
              <w:right w:val="nil"/>
            </w:tcBorders>
            <w:shd w:val="clear" w:color="auto" w:fill="auto"/>
            <w:noWrap/>
            <w:vAlign w:val="center"/>
            <w:hideMark/>
          </w:tcPr>
          <w:p w14:paraId="509C2E30" w14:textId="3B80776B" w:rsidR="00AF5795" w:rsidRPr="00005453" w:rsidRDefault="00AF5795" w:rsidP="00AF5795">
            <w:pPr>
              <w:jc w:val="right"/>
              <w:rPr>
                <w:color w:val="000000"/>
                <w:sz w:val="16"/>
                <w:szCs w:val="16"/>
              </w:rPr>
            </w:pPr>
            <w:r w:rsidRPr="00005453">
              <w:rPr>
                <w:color w:val="000000"/>
                <w:sz w:val="16"/>
                <w:szCs w:val="16"/>
              </w:rPr>
              <w:t>279,865</w:t>
            </w:r>
          </w:p>
        </w:tc>
        <w:tc>
          <w:tcPr>
            <w:tcW w:w="1494" w:type="dxa"/>
            <w:tcBorders>
              <w:top w:val="nil"/>
              <w:left w:val="nil"/>
              <w:bottom w:val="nil"/>
              <w:right w:val="nil"/>
            </w:tcBorders>
            <w:shd w:val="clear" w:color="auto" w:fill="auto"/>
            <w:noWrap/>
            <w:vAlign w:val="center"/>
            <w:hideMark/>
          </w:tcPr>
          <w:p w14:paraId="12A4C2DA" w14:textId="1854D07F" w:rsidR="00AF5795" w:rsidRPr="00005453" w:rsidRDefault="00AF5795" w:rsidP="00AF5795">
            <w:pPr>
              <w:jc w:val="right"/>
              <w:rPr>
                <w:color w:val="000000"/>
                <w:sz w:val="16"/>
                <w:szCs w:val="16"/>
              </w:rPr>
            </w:pPr>
            <w:r w:rsidRPr="00005453">
              <w:rPr>
                <w:color w:val="000000"/>
                <w:sz w:val="16"/>
                <w:szCs w:val="16"/>
              </w:rPr>
              <w:t>43,330</w:t>
            </w:r>
          </w:p>
        </w:tc>
        <w:tc>
          <w:tcPr>
            <w:tcW w:w="1033" w:type="dxa"/>
            <w:tcBorders>
              <w:top w:val="nil"/>
              <w:left w:val="nil"/>
              <w:bottom w:val="nil"/>
              <w:right w:val="nil"/>
            </w:tcBorders>
            <w:shd w:val="clear" w:color="auto" w:fill="auto"/>
            <w:noWrap/>
            <w:vAlign w:val="center"/>
            <w:hideMark/>
          </w:tcPr>
          <w:p w14:paraId="55D3EFBF" w14:textId="162F79B5" w:rsidR="00AF5795" w:rsidRPr="00005453" w:rsidRDefault="00AF5795" w:rsidP="00AF5795">
            <w:pPr>
              <w:jc w:val="right"/>
              <w:rPr>
                <w:color w:val="000000"/>
                <w:sz w:val="16"/>
                <w:szCs w:val="16"/>
              </w:rPr>
            </w:pPr>
            <w:r w:rsidRPr="00005453">
              <w:rPr>
                <w:color w:val="000000"/>
                <w:sz w:val="16"/>
                <w:szCs w:val="16"/>
              </w:rPr>
              <w:t>903,935</w:t>
            </w:r>
          </w:p>
        </w:tc>
      </w:tr>
      <w:tr w:rsidR="00AF5795" w:rsidRPr="00005453" w14:paraId="7B3755FA" w14:textId="77777777" w:rsidTr="00DB082B">
        <w:trPr>
          <w:trHeight w:val="244"/>
        </w:trPr>
        <w:tc>
          <w:tcPr>
            <w:tcW w:w="3704" w:type="dxa"/>
            <w:tcBorders>
              <w:top w:val="nil"/>
              <w:left w:val="nil"/>
              <w:bottom w:val="nil"/>
              <w:right w:val="nil"/>
            </w:tcBorders>
            <w:shd w:val="clear" w:color="auto" w:fill="auto"/>
            <w:noWrap/>
            <w:vAlign w:val="center"/>
            <w:hideMark/>
          </w:tcPr>
          <w:p w14:paraId="512C0E3F" w14:textId="77777777" w:rsidR="00AF5795" w:rsidRPr="00005453" w:rsidRDefault="00AF5795" w:rsidP="00AF5795">
            <w:pPr>
              <w:rPr>
                <w:color w:val="000000"/>
                <w:sz w:val="16"/>
                <w:szCs w:val="16"/>
                <w:lang w:eastAsia="tr-TR"/>
              </w:rPr>
            </w:pPr>
            <w:r w:rsidRPr="00005453">
              <w:rPr>
                <w:color w:val="000000"/>
                <w:sz w:val="16"/>
                <w:szCs w:val="16"/>
                <w:lang w:eastAsia="tr-TR"/>
              </w:rPr>
              <w:t>Şarta bağlı olan ve olmayan kurumsal alacaklar</w:t>
            </w:r>
          </w:p>
        </w:tc>
        <w:tc>
          <w:tcPr>
            <w:tcW w:w="1157" w:type="dxa"/>
            <w:tcBorders>
              <w:top w:val="nil"/>
              <w:left w:val="nil"/>
              <w:bottom w:val="nil"/>
              <w:right w:val="nil"/>
            </w:tcBorders>
            <w:shd w:val="clear" w:color="auto" w:fill="auto"/>
            <w:noWrap/>
            <w:vAlign w:val="center"/>
            <w:hideMark/>
          </w:tcPr>
          <w:p w14:paraId="222B556A" w14:textId="20DC0CB6" w:rsidR="00AF5795" w:rsidRPr="00005453" w:rsidRDefault="00AF5795" w:rsidP="00AF5795">
            <w:pPr>
              <w:jc w:val="right"/>
              <w:rPr>
                <w:color w:val="000000"/>
                <w:sz w:val="16"/>
                <w:szCs w:val="16"/>
              </w:rPr>
            </w:pPr>
            <w:r w:rsidRPr="00005453">
              <w:rPr>
                <w:color w:val="000000"/>
                <w:sz w:val="16"/>
                <w:szCs w:val="16"/>
              </w:rPr>
              <w:t>14,968,273</w:t>
            </w:r>
          </w:p>
        </w:tc>
        <w:tc>
          <w:tcPr>
            <w:tcW w:w="1055" w:type="dxa"/>
            <w:tcBorders>
              <w:top w:val="nil"/>
              <w:left w:val="nil"/>
              <w:bottom w:val="nil"/>
              <w:right w:val="nil"/>
            </w:tcBorders>
            <w:shd w:val="clear" w:color="auto" w:fill="auto"/>
            <w:noWrap/>
            <w:vAlign w:val="center"/>
            <w:hideMark/>
          </w:tcPr>
          <w:p w14:paraId="737884C4" w14:textId="1F2EE3A6" w:rsidR="00AF5795" w:rsidRPr="00005453" w:rsidRDefault="00AF5795" w:rsidP="00AF5795">
            <w:pPr>
              <w:jc w:val="right"/>
              <w:rPr>
                <w:color w:val="000000"/>
                <w:sz w:val="16"/>
                <w:szCs w:val="16"/>
              </w:rPr>
            </w:pPr>
            <w:r w:rsidRPr="00005453">
              <w:rPr>
                <w:color w:val="000000"/>
                <w:sz w:val="16"/>
                <w:szCs w:val="16"/>
              </w:rPr>
              <w:t>27,134,428</w:t>
            </w:r>
          </w:p>
        </w:tc>
        <w:tc>
          <w:tcPr>
            <w:tcW w:w="1055" w:type="dxa"/>
            <w:tcBorders>
              <w:top w:val="nil"/>
              <w:left w:val="nil"/>
              <w:bottom w:val="nil"/>
              <w:right w:val="nil"/>
            </w:tcBorders>
            <w:shd w:val="clear" w:color="auto" w:fill="auto"/>
            <w:noWrap/>
            <w:vAlign w:val="center"/>
            <w:hideMark/>
          </w:tcPr>
          <w:p w14:paraId="718A5B6C" w14:textId="04FB8A73" w:rsidR="00AF5795" w:rsidRPr="00005453" w:rsidRDefault="00AF5795" w:rsidP="00AF5795">
            <w:pPr>
              <w:jc w:val="right"/>
              <w:rPr>
                <w:color w:val="000000"/>
                <w:sz w:val="16"/>
                <w:szCs w:val="16"/>
              </w:rPr>
            </w:pPr>
            <w:r w:rsidRPr="00005453">
              <w:rPr>
                <w:color w:val="000000"/>
                <w:sz w:val="16"/>
                <w:szCs w:val="16"/>
              </w:rPr>
              <w:t>22,449,570</w:t>
            </w:r>
          </w:p>
        </w:tc>
        <w:tc>
          <w:tcPr>
            <w:tcW w:w="1494" w:type="dxa"/>
            <w:tcBorders>
              <w:top w:val="nil"/>
              <w:left w:val="nil"/>
              <w:bottom w:val="nil"/>
              <w:right w:val="nil"/>
            </w:tcBorders>
            <w:shd w:val="clear" w:color="auto" w:fill="auto"/>
            <w:noWrap/>
            <w:vAlign w:val="center"/>
            <w:hideMark/>
          </w:tcPr>
          <w:p w14:paraId="63E220C3" w14:textId="79EBC6A1" w:rsidR="00AF5795" w:rsidRPr="00005453" w:rsidRDefault="00AF5795" w:rsidP="00AF5795">
            <w:pPr>
              <w:jc w:val="right"/>
              <w:rPr>
                <w:color w:val="000000"/>
                <w:sz w:val="16"/>
                <w:szCs w:val="16"/>
              </w:rPr>
            </w:pPr>
            <w:r w:rsidRPr="00005453">
              <w:rPr>
                <w:color w:val="000000"/>
                <w:sz w:val="16"/>
                <w:szCs w:val="16"/>
              </w:rPr>
              <w:t>31,254,418</w:t>
            </w:r>
          </w:p>
        </w:tc>
        <w:tc>
          <w:tcPr>
            <w:tcW w:w="1033" w:type="dxa"/>
            <w:tcBorders>
              <w:top w:val="nil"/>
              <w:left w:val="nil"/>
              <w:bottom w:val="nil"/>
              <w:right w:val="nil"/>
            </w:tcBorders>
            <w:shd w:val="clear" w:color="auto" w:fill="auto"/>
            <w:noWrap/>
            <w:vAlign w:val="center"/>
            <w:hideMark/>
          </w:tcPr>
          <w:p w14:paraId="750FD3A5" w14:textId="7D4949B8" w:rsidR="00AF5795" w:rsidRPr="00005453" w:rsidRDefault="00AF5795" w:rsidP="00AF5795">
            <w:pPr>
              <w:jc w:val="right"/>
              <w:rPr>
                <w:color w:val="000000"/>
                <w:sz w:val="16"/>
                <w:szCs w:val="16"/>
              </w:rPr>
            </w:pPr>
            <w:r w:rsidRPr="00005453">
              <w:rPr>
                <w:color w:val="000000"/>
                <w:sz w:val="16"/>
                <w:szCs w:val="16"/>
              </w:rPr>
              <w:t>75,042,449</w:t>
            </w:r>
          </w:p>
        </w:tc>
      </w:tr>
      <w:tr w:rsidR="00AF5795" w:rsidRPr="00005453" w14:paraId="20FE4E99" w14:textId="77777777" w:rsidTr="00DB082B">
        <w:trPr>
          <w:trHeight w:val="244"/>
        </w:trPr>
        <w:tc>
          <w:tcPr>
            <w:tcW w:w="3704" w:type="dxa"/>
            <w:tcBorders>
              <w:top w:val="nil"/>
              <w:left w:val="nil"/>
              <w:bottom w:val="nil"/>
              <w:right w:val="nil"/>
            </w:tcBorders>
            <w:shd w:val="clear" w:color="auto" w:fill="auto"/>
            <w:noWrap/>
            <w:vAlign w:val="center"/>
            <w:hideMark/>
          </w:tcPr>
          <w:p w14:paraId="14EA4D89" w14:textId="77777777" w:rsidR="00AF5795" w:rsidRPr="00005453" w:rsidRDefault="00AF5795" w:rsidP="00AF5795">
            <w:pPr>
              <w:rPr>
                <w:color w:val="000000"/>
                <w:sz w:val="16"/>
                <w:szCs w:val="16"/>
                <w:lang w:eastAsia="tr-TR"/>
              </w:rPr>
            </w:pPr>
            <w:r w:rsidRPr="00005453">
              <w:rPr>
                <w:color w:val="000000"/>
                <w:sz w:val="16"/>
                <w:szCs w:val="16"/>
                <w:lang w:eastAsia="tr-TR"/>
              </w:rPr>
              <w:t>Şarta bağlı olan ve olmayan perakende alacaklar</w:t>
            </w:r>
          </w:p>
        </w:tc>
        <w:tc>
          <w:tcPr>
            <w:tcW w:w="1157" w:type="dxa"/>
            <w:tcBorders>
              <w:top w:val="nil"/>
              <w:left w:val="nil"/>
              <w:bottom w:val="nil"/>
              <w:right w:val="nil"/>
            </w:tcBorders>
            <w:shd w:val="clear" w:color="auto" w:fill="auto"/>
            <w:noWrap/>
            <w:vAlign w:val="center"/>
            <w:hideMark/>
          </w:tcPr>
          <w:p w14:paraId="7BAD4207" w14:textId="6FF62B8E" w:rsidR="00AF5795" w:rsidRPr="00005453" w:rsidRDefault="00AF5795" w:rsidP="00AF5795">
            <w:pPr>
              <w:jc w:val="right"/>
              <w:rPr>
                <w:color w:val="000000"/>
                <w:sz w:val="16"/>
                <w:szCs w:val="16"/>
              </w:rPr>
            </w:pPr>
            <w:r w:rsidRPr="00005453">
              <w:rPr>
                <w:color w:val="000000"/>
                <w:sz w:val="16"/>
                <w:szCs w:val="16"/>
              </w:rPr>
              <w:t>11,983,642</w:t>
            </w:r>
          </w:p>
        </w:tc>
        <w:tc>
          <w:tcPr>
            <w:tcW w:w="1055" w:type="dxa"/>
            <w:tcBorders>
              <w:top w:val="nil"/>
              <w:left w:val="nil"/>
              <w:bottom w:val="nil"/>
              <w:right w:val="nil"/>
            </w:tcBorders>
            <w:shd w:val="clear" w:color="auto" w:fill="auto"/>
            <w:noWrap/>
            <w:vAlign w:val="center"/>
            <w:hideMark/>
          </w:tcPr>
          <w:p w14:paraId="40CB0EC3" w14:textId="32586F72" w:rsidR="00AF5795" w:rsidRPr="00005453" w:rsidRDefault="00AF5795" w:rsidP="00AF5795">
            <w:pPr>
              <w:jc w:val="right"/>
              <w:rPr>
                <w:color w:val="000000"/>
                <w:sz w:val="16"/>
                <w:szCs w:val="16"/>
              </w:rPr>
            </w:pPr>
            <w:r w:rsidRPr="00005453">
              <w:rPr>
                <w:color w:val="000000"/>
                <w:sz w:val="16"/>
                <w:szCs w:val="16"/>
              </w:rPr>
              <w:t>20,470,7</w:t>
            </w:r>
            <w:r w:rsidR="00BC0ED3" w:rsidRPr="00005453">
              <w:rPr>
                <w:color w:val="000000"/>
                <w:sz w:val="16"/>
                <w:szCs w:val="16"/>
              </w:rPr>
              <w:t>20</w:t>
            </w:r>
          </w:p>
        </w:tc>
        <w:tc>
          <w:tcPr>
            <w:tcW w:w="1055" w:type="dxa"/>
            <w:tcBorders>
              <w:top w:val="nil"/>
              <w:left w:val="nil"/>
              <w:bottom w:val="nil"/>
              <w:right w:val="nil"/>
            </w:tcBorders>
            <w:shd w:val="clear" w:color="auto" w:fill="auto"/>
            <w:noWrap/>
            <w:vAlign w:val="center"/>
            <w:hideMark/>
          </w:tcPr>
          <w:p w14:paraId="4902315F" w14:textId="5A76EDA1" w:rsidR="00AF5795" w:rsidRPr="00005453" w:rsidRDefault="00AF5795" w:rsidP="00AF5795">
            <w:pPr>
              <w:jc w:val="right"/>
              <w:rPr>
                <w:color w:val="000000"/>
                <w:sz w:val="16"/>
                <w:szCs w:val="16"/>
              </w:rPr>
            </w:pPr>
            <w:r w:rsidRPr="00005453">
              <w:rPr>
                <w:color w:val="000000"/>
                <w:sz w:val="16"/>
                <w:szCs w:val="16"/>
              </w:rPr>
              <w:t>9,807,600</w:t>
            </w:r>
          </w:p>
        </w:tc>
        <w:tc>
          <w:tcPr>
            <w:tcW w:w="1494" w:type="dxa"/>
            <w:tcBorders>
              <w:top w:val="nil"/>
              <w:left w:val="nil"/>
              <w:bottom w:val="nil"/>
              <w:right w:val="nil"/>
            </w:tcBorders>
            <w:shd w:val="clear" w:color="auto" w:fill="auto"/>
            <w:noWrap/>
            <w:vAlign w:val="center"/>
            <w:hideMark/>
          </w:tcPr>
          <w:p w14:paraId="742CDDE1" w14:textId="1C50AB71" w:rsidR="00AF5795" w:rsidRPr="00005453" w:rsidRDefault="00AF5795" w:rsidP="00AF5795">
            <w:pPr>
              <w:jc w:val="right"/>
              <w:rPr>
                <w:color w:val="000000"/>
                <w:sz w:val="16"/>
                <w:szCs w:val="16"/>
              </w:rPr>
            </w:pPr>
            <w:r w:rsidRPr="00005453">
              <w:rPr>
                <w:color w:val="000000"/>
                <w:sz w:val="16"/>
                <w:szCs w:val="16"/>
              </w:rPr>
              <w:t>14,018,096</w:t>
            </w:r>
          </w:p>
        </w:tc>
        <w:tc>
          <w:tcPr>
            <w:tcW w:w="1033" w:type="dxa"/>
            <w:tcBorders>
              <w:top w:val="nil"/>
              <w:left w:val="nil"/>
              <w:bottom w:val="nil"/>
              <w:right w:val="nil"/>
            </w:tcBorders>
            <w:shd w:val="clear" w:color="auto" w:fill="auto"/>
            <w:noWrap/>
            <w:vAlign w:val="center"/>
            <w:hideMark/>
          </w:tcPr>
          <w:p w14:paraId="7848EECE" w14:textId="38CB521F" w:rsidR="00AF5795" w:rsidRPr="00005453" w:rsidRDefault="00AF5795" w:rsidP="00AF5795">
            <w:pPr>
              <w:jc w:val="right"/>
              <w:rPr>
                <w:color w:val="000000"/>
                <w:sz w:val="16"/>
                <w:szCs w:val="16"/>
              </w:rPr>
            </w:pPr>
            <w:r w:rsidRPr="00005453">
              <w:rPr>
                <w:color w:val="000000"/>
                <w:sz w:val="16"/>
                <w:szCs w:val="16"/>
              </w:rPr>
              <w:t>24,574,702</w:t>
            </w:r>
          </w:p>
        </w:tc>
      </w:tr>
      <w:tr w:rsidR="00AF5795" w:rsidRPr="00005453" w14:paraId="6DDBE5FE" w14:textId="77777777" w:rsidTr="00DB082B">
        <w:trPr>
          <w:trHeight w:val="244"/>
        </w:trPr>
        <w:tc>
          <w:tcPr>
            <w:tcW w:w="3704" w:type="dxa"/>
            <w:tcBorders>
              <w:top w:val="nil"/>
              <w:left w:val="nil"/>
              <w:bottom w:val="nil"/>
              <w:right w:val="nil"/>
            </w:tcBorders>
            <w:shd w:val="clear" w:color="auto" w:fill="auto"/>
            <w:noWrap/>
            <w:vAlign w:val="center"/>
            <w:hideMark/>
          </w:tcPr>
          <w:p w14:paraId="5719FD80" w14:textId="77777777" w:rsidR="00AF5795" w:rsidRPr="00005453" w:rsidRDefault="00AF5795" w:rsidP="00AF5795">
            <w:pPr>
              <w:rPr>
                <w:color w:val="000000"/>
                <w:sz w:val="16"/>
                <w:szCs w:val="16"/>
                <w:lang w:eastAsia="tr-TR"/>
              </w:rPr>
            </w:pPr>
            <w:r w:rsidRPr="00005453">
              <w:rPr>
                <w:color w:val="000000"/>
                <w:sz w:val="16"/>
                <w:szCs w:val="16"/>
                <w:lang w:eastAsia="tr-TR"/>
              </w:rPr>
              <w:t>Şarta bağlı olan ve olmayan gayrimenkul ipoteğiyle teminatlandırılmış alacaklar</w:t>
            </w:r>
          </w:p>
        </w:tc>
        <w:tc>
          <w:tcPr>
            <w:tcW w:w="1157" w:type="dxa"/>
            <w:tcBorders>
              <w:top w:val="nil"/>
              <w:left w:val="nil"/>
              <w:bottom w:val="nil"/>
              <w:right w:val="nil"/>
            </w:tcBorders>
            <w:shd w:val="clear" w:color="auto" w:fill="auto"/>
            <w:noWrap/>
            <w:vAlign w:val="center"/>
            <w:hideMark/>
          </w:tcPr>
          <w:p w14:paraId="1B1F0100" w14:textId="6A481E0E" w:rsidR="00AF5795" w:rsidRPr="00005453" w:rsidRDefault="00AF5795" w:rsidP="00AF5795">
            <w:pPr>
              <w:jc w:val="right"/>
              <w:rPr>
                <w:color w:val="000000"/>
                <w:sz w:val="16"/>
                <w:szCs w:val="16"/>
              </w:rPr>
            </w:pPr>
            <w:r w:rsidRPr="00005453">
              <w:rPr>
                <w:color w:val="000000"/>
                <w:sz w:val="16"/>
                <w:szCs w:val="16"/>
              </w:rPr>
              <w:t>9,394,840</w:t>
            </w:r>
          </w:p>
        </w:tc>
        <w:tc>
          <w:tcPr>
            <w:tcW w:w="1055" w:type="dxa"/>
            <w:tcBorders>
              <w:top w:val="nil"/>
              <w:left w:val="nil"/>
              <w:bottom w:val="nil"/>
              <w:right w:val="nil"/>
            </w:tcBorders>
            <w:shd w:val="clear" w:color="auto" w:fill="auto"/>
            <w:noWrap/>
            <w:vAlign w:val="center"/>
            <w:hideMark/>
          </w:tcPr>
          <w:p w14:paraId="0F762D40" w14:textId="3DC525F0" w:rsidR="00AF5795" w:rsidRPr="00005453" w:rsidRDefault="00AF5795" w:rsidP="00AF5795">
            <w:pPr>
              <w:jc w:val="right"/>
              <w:rPr>
                <w:color w:val="000000"/>
                <w:sz w:val="16"/>
                <w:szCs w:val="16"/>
              </w:rPr>
            </w:pPr>
            <w:r w:rsidRPr="00005453">
              <w:rPr>
                <w:color w:val="000000"/>
                <w:sz w:val="16"/>
                <w:szCs w:val="16"/>
              </w:rPr>
              <w:t>16,453,092</w:t>
            </w:r>
          </w:p>
        </w:tc>
        <w:tc>
          <w:tcPr>
            <w:tcW w:w="1055" w:type="dxa"/>
            <w:tcBorders>
              <w:top w:val="nil"/>
              <w:left w:val="nil"/>
              <w:bottom w:val="nil"/>
              <w:right w:val="nil"/>
            </w:tcBorders>
            <w:shd w:val="clear" w:color="auto" w:fill="auto"/>
            <w:noWrap/>
            <w:vAlign w:val="center"/>
            <w:hideMark/>
          </w:tcPr>
          <w:p w14:paraId="43B2B855" w14:textId="6160DE6C" w:rsidR="00AF5795" w:rsidRPr="00005453" w:rsidRDefault="00AF5795" w:rsidP="00AF5795">
            <w:pPr>
              <w:jc w:val="right"/>
              <w:rPr>
                <w:color w:val="000000"/>
                <w:sz w:val="16"/>
                <w:szCs w:val="16"/>
              </w:rPr>
            </w:pPr>
            <w:r w:rsidRPr="00005453">
              <w:rPr>
                <w:color w:val="000000"/>
                <w:sz w:val="16"/>
                <w:szCs w:val="16"/>
              </w:rPr>
              <w:t>13,535,644</w:t>
            </w:r>
          </w:p>
        </w:tc>
        <w:tc>
          <w:tcPr>
            <w:tcW w:w="1494" w:type="dxa"/>
            <w:tcBorders>
              <w:top w:val="nil"/>
              <w:left w:val="nil"/>
              <w:bottom w:val="nil"/>
              <w:right w:val="nil"/>
            </w:tcBorders>
            <w:shd w:val="clear" w:color="auto" w:fill="auto"/>
            <w:noWrap/>
            <w:vAlign w:val="center"/>
            <w:hideMark/>
          </w:tcPr>
          <w:p w14:paraId="3A5664AE" w14:textId="5FBAF401" w:rsidR="00AF5795" w:rsidRPr="00005453" w:rsidRDefault="00AF5795" w:rsidP="00AF5795">
            <w:pPr>
              <w:jc w:val="right"/>
              <w:rPr>
                <w:color w:val="000000"/>
                <w:sz w:val="16"/>
                <w:szCs w:val="16"/>
              </w:rPr>
            </w:pPr>
            <w:r w:rsidRPr="00005453">
              <w:rPr>
                <w:color w:val="000000"/>
                <w:sz w:val="16"/>
                <w:szCs w:val="16"/>
              </w:rPr>
              <w:t>19,676,587</w:t>
            </w:r>
          </w:p>
        </w:tc>
        <w:tc>
          <w:tcPr>
            <w:tcW w:w="1033" w:type="dxa"/>
            <w:tcBorders>
              <w:top w:val="nil"/>
              <w:left w:val="nil"/>
              <w:bottom w:val="nil"/>
              <w:right w:val="nil"/>
            </w:tcBorders>
            <w:shd w:val="clear" w:color="auto" w:fill="auto"/>
            <w:noWrap/>
            <w:vAlign w:val="center"/>
            <w:hideMark/>
          </w:tcPr>
          <w:p w14:paraId="1F612BD9" w14:textId="18F4ADFB" w:rsidR="00AF5795" w:rsidRPr="00005453" w:rsidRDefault="00AF5795" w:rsidP="00AF5795">
            <w:pPr>
              <w:jc w:val="right"/>
              <w:rPr>
                <w:color w:val="000000"/>
                <w:sz w:val="16"/>
                <w:szCs w:val="16"/>
              </w:rPr>
            </w:pPr>
            <w:r w:rsidRPr="00005453">
              <w:rPr>
                <w:color w:val="000000"/>
                <w:sz w:val="16"/>
                <w:szCs w:val="16"/>
              </w:rPr>
              <w:t>42,736,446</w:t>
            </w:r>
          </w:p>
        </w:tc>
      </w:tr>
      <w:tr w:rsidR="00D134F6" w:rsidRPr="00005453" w14:paraId="4A281F10" w14:textId="77777777" w:rsidTr="00DB082B">
        <w:trPr>
          <w:trHeight w:val="244"/>
        </w:trPr>
        <w:tc>
          <w:tcPr>
            <w:tcW w:w="3704" w:type="dxa"/>
            <w:tcBorders>
              <w:top w:val="nil"/>
              <w:left w:val="nil"/>
              <w:bottom w:val="nil"/>
              <w:right w:val="nil"/>
            </w:tcBorders>
            <w:shd w:val="clear" w:color="auto" w:fill="auto"/>
            <w:noWrap/>
            <w:vAlign w:val="center"/>
            <w:hideMark/>
          </w:tcPr>
          <w:p w14:paraId="28132A06" w14:textId="77777777" w:rsidR="00D134F6" w:rsidRPr="00005453" w:rsidRDefault="00D134F6" w:rsidP="00D134F6">
            <w:pPr>
              <w:rPr>
                <w:color w:val="000000"/>
                <w:sz w:val="16"/>
                <w:szCs w:val="16"/>
                <w:lang w:eastAsia="tr-TR"/>
              </w:rPr>
            </w:pPr>
            <w:r w:rsidRPr="00005453">
              <w:rPr>
                <w:color w:val="000000"/>
                <w:sz w:val="16"/>
                <w:szCs w:val="16"/>
                <w:lang w:eastAsia="tr-TR"/>
              </w:rPr>
              <w:t>Tahsili gecikmiş alacaklar</w:t>
            </w:r>
          </w:p>
        </w:tc>
        <w:tc>
          <w:tcPr>
            <w:tcW w:w="1157" w:type="dxa"/>
            <w:tcBorders>
              <w:top w:val="nil"/>
              <w:left w:val="nil"/>
              <w:bottom w:val="nil"/>
              <w:right w:val="nil"/>
            </w:tcBorders>
            <w:shd w:val="clear" w:color="auto" w:fill="auto"/>
            <w:noWrap/>
            <w:vAlign w:val="center"/>
            <w:hideMark/>
          </w:tcPr>
          <w:p w14:paraId="023FFFA0" w14:textId="7756FB9C" w:rsidR="00D134F6" w:rsidRPr="00005453" w:rsidRDefault="00D134F6" w:rsidP="00D134F6">
            <w:pPr>
              <w:jc w:val="right"/>
              <w:rPr>
                <w:color w:val="000000"/>
                <w:sz w:val="16"/>
                <w:szCs w:val="16"/>
              </w:rPr>
            </w:pPr>
            <w:r w:rsidRPr="00005453">
              <w:rPr>
                <w:color w:val="000000"/>
                <w:sz w:val="16"/>
                <w:szCs w:val="16"/>
                <w:lang w:eastAsia="en-GB"/>
              </w:rPr>
              <w:t>299,677</w:t>
            </w:r>
          </w:p>
        </w:tc>
        <w:tc>
          <w:tcPr>
            <w:tcW w:w="1055" w:type="dxa"/>
            <w:tcBorders>
              <w:top w:val="nil"/>
              <w:left w:val="nil"/>
              <w:bottom w:val="nil"/>
              <w:right w:val="nil"/>
            </w:tcBorders>
            <w:shd w:val="clear" w:color="auto" w:fill="auto"/>
            <w:noWrap/>
            <w:vAlign w:val="center"/>
            <w:hideMark/>
          </w:tcPr>
          <w:p w14:paraId="6C3E4FA0" w14:textId="09D29DA5" w:rsidR="00D134F6" w:rsidRPr="00005453" w:rsidRDefault="00D134F6" w:rsidP="00D134F6">
            <w:pPr>
              <w:jc w:val="right"/>
              <w:rPr>
                <w:color w:val="000000"/>
                <w:sz w:val="16"/>
                <w:szCs w:val="16"/>
              </w:rPr>
            </w:pPr>
            <w:r w:rsidRPr="00005453">
              <w:rPr>
                <w:color w:val="000000"/>
                <w:sz w:val="16"/>
                <w:szCs w:val="16"/>
                <w:lang w:eastAsia="en-GB"/>
              </w:rPr>
              <w:t>72,631</w:t>
            </w:r>
          </w:p>
        </w:tc>
        <w:tc>
          <w:tcPr>
            <w:tcW w:w="1055" w:type="dxa"/>
            <w:tcBorders>
              <w:top w:val="nil"/>
              <w:left w:val="nil"/>
              <w:bottom w:val="nil"/>
              <w:right w:val="nil"/>
            </w:tcBorders>
            <w:shd w:val="clear" w:color="auto" w:fill="auto"/>
            <w:noWrap/>
            <w:vAlign w:val="center"/>
            <w:hideMark/>
          </w:tcPr>
          <w:p w14:paraId="2D81974D" w14:textId="5DD350E9" w:rsidR="00D134F6" w:rsidRPr="00005453" w:rsidRDefault="00D134F6" w:rsidP="00D134F6">
            <w:pPr>
              <w:jc w:val="right"/>
              <w:rPr>
                <w:color w:val="000000"/>
                <w:sz w:val="16"/>
                <w:szCs w:val="16"/>
              </w:rPr>
            </w:pPr>
            <w:r w:rsidRPr="00005453">
              <w:rPr>
                <w:color w:val="000000"/>
                <w:sz w:val="16"/>
                <w:szCs w:val="16"/>
                <w:lang w:eastAsia="en-GB"/>
              </w:rPr>
              <w:t>27,503</w:t>
            </w:r>
          </w:p>
        </w:tc>
        <w:tc>
          <w:tcPr>
            <w:tcW w:w="1494" w:type="dxa"/>
            <w:tcBorders>
              <w:top w:val="nil"/>
              <w:left w:val="nil"/>
              <w:bottom w:val="nil"/>
              <w:right w:val="nil"/>
            </w:tcBorders>
            <w:shd w:val="clear" w:color="auto" w:fill="auto"/>
            <w:noWrap/>
            <w:vAlign w:val="center"/>
            <w:hideMark/>
          </w:tcPr>
          <w:p w14:paraId="5F963E36" w14:textId="734B7F85" w:rsidR="00D134F6" w:rsidRPr="00005453" w:rsidRDefault="00D134F6" w:rsidP="00D134F6">
            <w:pPr>
              <w:jc w:val="right"/>
              <w:rPr>
                <w:color w:val="000000"/>
                <w:sz w:val="16"/>
                <w:szCs w:val="16"/>
              </w:rPr>
            </w:pPr>
            <w:r w:rsidRPr="00005453">
              <w:rPr>
                <w:color w:val="000000"/>
                <w:sz w:val="16"/>
                <w:szCs w:val="16"/>
                <w:lang w:eastAsia="en-GB"/>
              </w:rPr>
              <w:t>48,468</w:t>
            </w:r>
          </w:p>
        </w:tc>
        <w:tc>
          <w:tcPr>
            <w:tcW w:w="1033" w:type="dxa"/>
            <w:tcBorders>
              <w:top w:val="nil"/>
              <w:left w:val="nil"/>
              <w:bottom w:val="nil"/>
              <w:right w:val="nil"/>
            </w:tcBorders>
            <w:shd w:val="clear" w:color="auto" w:fill="auto"/>
            <w:noWrap/>
            <w:vAlign w:val="center"/>
            <w:hideMark/>
          </w:tcPr>
          <w:p w14:paraId="21DD8445" w14:textId="5E15E5D2" w:rsidR="00D134F6" w:rsidRPr="00005453" w:rsidRDefault="00D134F6" w:rsidP="00D134F6">
            <w:pPr>
              <w:jc w:val="right"/>
              <w:rPr>
                <w:color w:val="000000"/>
                <w:sz w:val="16"/>
                <w:szCs w:val="16"/>
              </w:rPr>
            </w:pPr>
            <w:r w:rsidRPr="00005453">
              <w:rPr>
                <w:color w:val="000000"/>
                <w:sz w:val="16"/>
                <w:szCs w:val="16"/>
                <w:lang w:eastAsia="en-GB"/>
              </w:rPr>
              <w:t>69,797</w:t>
            </w:r>
          </w:p>
        </w:tc>
      </w:tr>
      <w:tr w:rsidR="00AF5795" w:rsidRPr="00005453" w14:paraId="775AAD41" w14:textId="77777777" w:rsidTr="00DB082B">
        <w:trPr>
          <w:trHeight w:val="244"/>
        </w:trPr>
        <w:tc>
          <w:tcPr>
            <w:tcW w:w="3704" w:type="dxa"/>
            <w:tcBorders>
              <w:top w:val="nil"/>
              <w:left w:val="nil"/>
              <w:bottom w:val="nil"/>
              <w:right w:val="nil"/>
            </w:tcBorders>
            <w:shd w:val="clear" w:color="auto" w:fill="auto"/>
            <w:noWrap/>
            <w:vAlign w:val="center"/>
            <w:hideMark/>
          </w:tcPr>
          <w:p w14:paraId="003C740B" w14:textId="77777777" w:rsidR="00AF5795" w:rsidRPr="00005453" w:rsidRDefault="00AF5795" w:rsidP="00AF5795">
            <w:pPr>
              <w:rPr>
                <w:color w:val="000000"/>
                <w:sz w:val="16"/>
                <w:szCs w:val="16"/>
                <w:lang w:eastAsia="tr-TR"/>
              </w:rPr>
            </w:pPr>
            <w:r w:rsidRPr="00005453">
              <w:rPr>
                <w:color w:val="000000"/>
                <w:sz w:val="16"/>
                <w:szCs w:val="16"/>
                <w:lang w:eastAsia="tr-TR"/>
              </w:rPr>
              <w:t>Kurulca riski yüksek olarak belirlenen alacaklar</w:t>
            </w:r>
          </w:p>
        </w:tc>
        <w:tc>
          <w:tcPr>
            <w:tcW w:w="1157" w:type="dxa"/>
            <w:tcBorders>
              <w:top w:val="nil"/>
              <w:left w:val="nil"/>
              <w:bottom w:val="nil"/>
              <w:right w:val="nil"/>
            </w:tcBorders>
            <w:shd w:val="clear" w:color="auto" w:fill="auto"/>
            <w:noWrap/>
            <w:vAlign w:val="center"/>
            <w:hideMark/>
          </w:tcPr>
          <w:p w14:paraId="2A3C8B8F" w14:textId="7FCB07E9" w:rsidR="00AF5795" w:rsidRPr="00005453" w:rsidRDefault="00AF5795" w:rsidP="00AF5795">
            <w:pPr>
              <w:jc w:val="right"/>
              <w:rPr>
                <w:color w:val="000000"/>
                <w:sz w:val="16"/>
                <w:szCs w:val="16"/>
              </w:rPr>
            </w:pPr>
            <w:r w:rsidRPr="00005453">
              <w:rPr>
                <w:color w:val="000000"/>
                <w:sz w:val="16"/>
                <w:szCs w:val="16"/>
              </w:rPr>
              <w:t>373,020</w:t>
            </w:r>
          </w:p>
        </w:tc>
        <w:tc>
          <w:tcPr>
            <w:tcW w:w="1055" w:type="dxa"/>
            <w:tcBorders>
              <w:top w:val="nil"/>
              <w:left w:val="nil"/>
              <w:bottom w:val="nil"/>
              <w:right w:val="nil"/>
            </w:tcBorders>
            <w:shd w:val="clear" w:color="auto" w:fill="auto"/>
            <w:noWrap/>
            <w:vAlign w:val="center"/>
            <w:hideMark/>
          </w:tcPr>
          <w:p w14:paraId="6FC2C451" w14:textId="0D26C919" w:rsidR="00AF5795" w:rsidRPr="00005453" w:rsidRDefault="00AF5795" w:rsidP="00AF5795">
            <w:pPr>
              <w:jc w:val="right"/>
              <w:rPr>
                <w:color w:val="000000"/>
                <w:sz w:val="16"/>
                <w:szCs w:val="16"/>
              </w:rPr>
            </w:pPr>
            <w:r w:rsidRPr="00005453">
              <w:rPr>
                <w:color w:val="000000"/>
                <w:sz w:val="16"/>
                <w:szCs w:val="16"/>
              </w:rPr>
              <w:t>334,823</w:t>
            </w:r>
          </w:p>
        </w:tc>
        <w:tc>
          <w:tcPr>
            <w:tcW w:w="1055" w:type="dxa"/>
            <w:tcBorders>
              <w:top w:val="nil"/>
              <w:left w:val="nil"/>
              <w:bottom w:val="nil"/>
              <w:right w:val="nil"/>
            </w:tcBorders>
            <w:shd w:val="clear" w:color="auto" w:fill="auto"/>
            <w:noWrap/>
            <w:vAlign w:val="center"/>
            <w:hideMark/>
          </w:tcPr>
          <w:p w14:paraId="1DF237B6" w14:textId="4EAC9170" w:rsidR="00AF5795" w:rsidRPr="00005453" w:rsidRDefault="00AF5795" w:rsidP="00AF5795">
            <w:pPr>
              <w:jc w:val="right"/>
              <w:rPr>
                <w:color w:val="000000"/>
                <w:sz w:val="16"/>
                <w:szCs w:val="16"/>
              </w:rPr>
            </w:pPr>
            <w:r w:rsidRPr="00005453">
              <w:rPr>
                <w:color w:val="000000"/>
                <w:sz w:val="16"/>
                <w:szCs w:val="16"/>
              </w:rPr>
              <w:t>192,635</w:t>
            </w:r>
          </w:p>
        </w:tc>
        <w:tc>
          <w:tcPr>
            <w:tcW w:w="1494" w:type="dxa"/>
            <w:tcBorders>
              <w:top w:val="nil"/>
              <w:left w:val="nil"/>
              <w:bottom w:val="nil"/>
              <w:right w:val="nil"/>
            </w:tcBorders>
            <w:shd w:val="clear" w:color="auto" w:fill="auto"/>
            <w:noWrap/>
            <w:vAlign w:val="center"/>
            <w:hideMark/>
          </w:tcPr>
          <w:p w14:paraId="70500453" w14:textId="388F87CA" w:rsidR="00AF5795" w:rsidRPr="00005453" w:rsidRDefault="00AF5795" w:rsidP="00AF5795">
            <w:pPr>
              <w:jc w:val="right"/>
              <w:rPr>
                <w:color w:val="000000"/>
                <w:sz w:val="16"/>
                <w:szCs w:val="16"/>
              </w:rPr>
            </w:pPr>
            <w:r w:rsidRPr="00005453">
              <w:rPr>
                <w:color w:val="000000"/>
                <w:sz w:val="16"/>
                <w:szCs w:val="16"/>
              </w:rPr>
              <w:t>269,808</w:t>
            </w:r>
          </w:p>
        </w:tc>
        <w:tc>
          <w:tcPr>
            <w:tcW w:w="1033" w:type="dxa"/>
            <w:tcBorders>
              <w:top w:val="nil"/>
              <w:left w:val="nil"/>
              <w:bottom w:val="nil"/>
              <w:right w:val="nil"/>
            </w:tcBorders>
            <w:shd w:val="clear" w:color="auto" w:fill="auto"/>
            <w:noWrap/>
            <w:vAlign w:val="center"/>
            <w:hideMark/>
          </w:tcPr>
          <w:p w14:paraId="48C2E1BB" w14:textId="795F36BF" w:rsidR="00AF5795" w:rsidRPr="00005453" w:rsidRDefault="00AF5795" w:rsidP="00AF5795">
            <w:pPr>
              <w:jc w:val="right"/>
              <w:rPr>
                <w:color w:val="000000"/>
                <w:sz w:val="16"/>
                <w:szCs w:val="16"/>
              </w:rPr>
            </w:pPr>
            <w:r w:rsidRPr="00005453">
              <w:rPr>
                <w:color w:val="000000"/>
                <w:sz w:val="16"/>
                <w:szCs w:val="16"/>
              </w:rPr>
              <w:t>423,401</w:t>
            </w:r>
          </w:p>
        </w:tc>
      </w:tr>
      <w:tr w:rsidR="00AF5795" w:rsidRPr="00005453" w14:paraId="4CA61BEA" w14:textId="77777777" w:rsidTr="00DB082B">
        <w:trPr>
          <w:trHeight w:val="244"/>
        </w:trPr>
        <w:tc>
          <w:tcPr>
            <w:tcW w:w="3704" w:type="dxa"/>
            <w:tcBorders>
              <w:top w:val="nil"/>
              <w:left w:val="nil"/>
              <w:bottom w:val="nil"/>
              <w:right w:val="nil"/>
            </w:tcBorders>
            <w:shd w:val="clear" w:color="auto" w:fill="auto"/>
            <w:noWrap/>
            <w:vAlign w:val="center"/>
            <w:hideMark/>
          </w:tcPr>
          <w:p w14:paraId="6CB58D26" w14:textId="18A2AB4A" w:rsidR="00AF5795" w:rsidRPr="00005453" w:rsidRDefault="00AF5795" w:rsidP="00AF5795">
            <w:pPr>
              <w:rPr>
                <w:color w:val="000000"/>
                <w:sz w:val="16"/>
                <w:szCs w:val="16"/>
                <w:lang w:eastAsia="tr-TR"/>
              </w:rPr>
            </w:pPr>
            <w:r w:rsidRPr="00005453">
              <w:rPr>
                <w:color w:val="000000"/>
                <w:sz w:val="16"/>
                <w:szCs w:val="16"/>
                <w:lang w:eastAsia="tr-TR"/>
              </w:rPr>
              <w:t xml:space="preserve">Teminatlı menkul kıymetler </w:t>
            </w:r>
          </w:p>
        </w:tc>
        <w:tc>
          <w:tcPr>
            <w:tcW w:w="1157" w:type="dxa"/>
            <w:tcBorders>
              <w:top w:val="nil"/>
              <w:left w:val="nil"/>
              <w:bottom w:val="nil"/>
              <w:right w:val="nil"/>
            </w:tcBorders>
            <w:shd w:val="clear" w:color="auto" w:fill="auto"/>
            <w:noWrap/>
            <w:vAlign w:val="center"/>
            <w:hideMark/>
          </w:tcPr>
          <w:p w14:paraId="0BF4D26F" w14:textId="057BF2A0"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4A39A7E4" w14:textId="48CC0D59"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20EABF2E" w14:textId="576F0FB1"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68B50A05" w14:textId="2505A7D7"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044E5882" w14:textId="7E2E0B7C"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5EB1A13E" w14:textId="77777777" w:rsidTr="00DB082B">
        <w:trPr>
          <w:trHeight w:val="244"/>
        </w:trPr>
        <w:tc>
          <w:tcPr>
            <w:tcW w:w="3704" w:type="dxa"/>
            <w:tcBorders>
              <w:top w:val="nil"/>
              <w:left w:val="nil"/>
              <w:bottom w:val="nil"/>
              <w:right w:val="nil"/>
            </w:tcBorders>
            <w:shd w:val="clear" w:color="auto" w:fill="auto"/>
            <w:noWrap/>
            <w:vAlign w:val="center"/>
            <w:hideMark/>
          </w:tcPr>
          <w:p w14:paraId="1B89ABB0" w14:textId="77777777" w:rsidR="00AF5795" w:rsidRPr="00005453" w:rsidRDefault="00AF5795" w:rsidP="00AF5795">
            <w:pPr>
              <w:rPr>
                <w:color w:val="000000"/>
                <w:sz w:val="16"/>
                <w:szCs w:val="16"/>
                <w:lang w:eastAsia="tr-TR"/>
              </w:rPr>
            </w:pPr>
            <w:r w:rsidRPr="00005453">
              <w:rPr>
                <w:color w:val="000000"/>
                <w:sz w:val="16"/>
                <w:szCs w:val="16"/>
                <w:lang w:eastAsia="tr-TR"/>
              </w:rPr>
              <w:t>Menkul kıymetleştirme pozisyonları</w:t>
            </w:r>
          </w:p>
        </w:tc>
        <w:tc>
          <w:tcPr>
            <w:tcW w:w="1157" w:type="dxa"/>
            <w:tcBorders>
              <w:top w:val="nil"/>
              <w:left w:val="nil"/>
              <w:bottom w:val="nil"/>
              <w:right w:val="nil"/>
            </w:tcBorders>
            <w:shd w:val="clear" w:color="auto" w:fill="auto"/>
            <w:noWrap/>
            <w:vAlign w:val="center"/>
            <w:hideMark/>
          </w:tcPr>
          <w:p w14:paraId="0B8C43F3" w14:textId="69C27AB4"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1F177FEB" w14:textId="08D65540"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63932E84" w14:textId="5B6C578A"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206C571F" w14:textId="206A3CF7"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7756F994" w14:textId="0395F356"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65648A84" w14:textId="77777777" w:rsidTr="00DB082B">
        <w:trPr>
          <w:trHeight w:val="244"/>
        </w:trPr>
        <w:tc>
          <w:tcPr>
            <w:tcW w:w="3704" w:type="dxa"/>
            <w:tcBorders>
              <w:top w:val="nil"/>
              <w:left w:val="nil"/>
              <w:bottom w:val="nil"/>
              <w:right w:val="nil"/>
            </w:tcBorders>
            <w:shd w:val="clear" w:color="auto" w:fill="auto"/>
            <w:noWrap/>
            <w:vAlign w:val="center"/>
            <w:hideMark/>
          </w:tcPr>
          <w:p w14:paraId="5F83B8BD" w14:textId="77777777" w:rsidR="00AF5795" w:rsidRPr="00005453" w:rsidRDefault="00AF5795" w:rsidP="00AF5795">
            <w:pPr>
              <w:rPr>
                <w:color w:val="000000"/>
                <w:sz w:val="16"/>
                <w:szCs w:val="16"/>
                <w:lang w:eastAsia="tr-TR"/>
              </w:rPr>
            </w:pPr>
            <w:r w:rsidRPr="00005453">
              <w:rPr>
                <w:color w:val="000000"/>
                <w:sz w:val="16"/>
                <w:szCs w:val="16"/>
                <w:lang w:eastAsia="tr-TR"/>
              </w:rPr>
              <w:t xml:space="preserve">Bankalar ve aracı kurumlardan olan </w:t>
            </w:r>
            <w:proofErr w:type="gramStart"/>
            <w:r w:rsidRPr="00005453">
              <w:rPr>
                <w:color w:val="000000"/>
                <w:sz w:val="16"/>
                <w:szCs w:val="16"/>
                <w:lang w:eastAsia="tr-TR"/>
              </w:rPr>
              <w:t>kısa  vadeli</w:t>
            </w:r>
            <w:proofErr w:type="gramEnd"/>
            <w:r w:rsidRPr="00005453">
              <w:rPr>
                <w:color w:val="000000"/>
                <w:sz w:val="16"/>
                <w:szCs w:val="16"/>
                <w:lang w:eastAsia="tr-TR"/>
              </w:rPr>
              <w:t xml:space="preserve"> alacaklar ile kısa vadeli kurumsal alacaklar</w:t>
            </w:r>
          </w:p>
        </w:tc>
        <w:tc>
          <w:tcPr>
            <w:tcW w:w="1157" w:type="dxa"/>
            <w:tcBorders>
              <w:top w:val="nil"/>
              <w:left w:val="nil"/>
              <w:bottom w:val="nil"/>
              <w:right w:val="nil"/>
            </w:tcBorders>
            <w:shd w:val="clear" w:color="auto" w:fill="auto"/>
            <w:noWrap/>
            <w:vAlign w:val="center"/>
            <w:hideMark/>
          </w:tcPr>
          <w:p w14:paraId="5B53161B" w14:textId="0F092DFB"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1D83F5C8" w14:textId="1B72AD4D"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6A78C9AD" w14:textId="599F9EB4"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36DDF1C0" w14:textId="78CFEA00"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7B902EE9" w14:textId="4D109F2C"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0129CB48" w14:textId="77777777" w:rsidTr="00DB082B">
        <w:trPr>
          <w:trHeight w:val="244"/>
        </w:trPr>
        <w:tc>
          <w:tcPr>
            <w:tcW w:w="3704" w:type="dxa"/>
            <w:tcBorders>
              <w:top w:val="nil"/>
              <w:left w:val="nil"/>
              <w:bottom w:val="nil"/>
              <w:right w:val="nil"/>
            </w:tcBorders>
            <w:shd w:val="clear" w:color="auto" w:fill="auto"/>
            <w:noWrap/>
            <w:vAlign w:val="center"/>
            <w:hideMark/>
          </w:tcPr>
          <w:p w14:paraId="5D22DD1E" w14:textId="77777777" w:rsidR="00AF5795" w:rsidRPr="00005453" w:rsidRDefault="00AF5795" w:rsidP="00AF5795">
            <w:pPr>
              <w:rPr>
                <w:color w:val="000000"/>
                <w:sz w:val="16"/>
                <w:szCs w:val="16"/>
                <w:lang w:eastAsia="tr-TR"/>
              </w:rPr>
            </w:pPr>
            <w:r w:rsidRPr="00005453">
              <w:rPr>
                <w:color w:val="000000"/>
                <w:sz w:val="16"/>
                <w:szCs w:val="16"/>
                <w:lang w:eastAsia="tr-TR"/>
              </w:rPr>
              <w:t>Kolektif yatırım kuruluşu niteliğindeki yatırımlar</w:t>
            </w:r>
          </w:p>
        </w:tc>
        <w:tc>
          <w:tcPr>
            <w:tcW w:w="1157" w:type="dxa"/>
            <w:tcBorders>
              <w:top w:val="nil"/>
              <w:left w:val="nil"/>
              <w:bottom w:val="nil"/>
              <w:right w:val="nil"/>
            </w:tcBorders>
            <w:shd w:val="clear" w:color="auto" w:fill="auto"/>
            <w:noWrap/>
            <w:vAlign w:val="center"/>
            <w:hideMark/>
          </w:tcPr>
          <w:p w14:paraId="1D89A8B5" w14:textId="3DF0A320"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4519F54E" w14:textId="7494C6B0"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0FE48B1A" w14:textId="664D92E6"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4DB92F26" w14:textId="0AE9767E"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5452A250" w14:textId="1B72A2EF" w:rsidR="00AF5795" w:rsidRPr="00005453" w:rsidRDefault="00AF5795" w:rsidP="00AF5795">
            <w:pPr>
              <w:jc w:val="right"/>
              <w:rPr>
                <w:color w:val="000000"/>
                <w:sz w:val="16"/>
                <w:szCs w:val="16"/>
              </w:rPr>
            </w:pPr>
            <w:r w:rsidRPr="00005453">
              <w:rPr>
                <w:color w:val="000000"/>
                <w:sz w:val="16"/>
                <w:szCs w:val="16"/>
              </w:rPr>
              <w:t>-</w:t>
            </w:r>
          </w:p>
        </w:tc>
      </w:tr>
      <w:tr w:rsidR="00AF5795" w:rsidRPr="00005453" w14:paraId="6E2175BE" w14:textId="77777777" w:rsidTr="00DB082B">
        <w:trPr>
          <w:trHeight w:val="244"/>
        </w:trPr>
        <w:tc>
          <w:tcPr>
            <w:tcW w:w="3704" w:type="dxa"/>
            <w:tcBorders>
              <w:top w:val="nil"/>
              <w:left w:val="nil"/>
              <w:bottom w:val="nil"/>
              <w:right w:val="nil"/>
            </w:tcBorders>
            <w:shd w:val="clear" w:color="auto" w:fill="auto"/>
            <w:noWrap/>
            <w:vAlign w:val="center"/>
            <w:hideMark/>
          </w:tcPr>
          <w:p w14:paraId="3B683211" w14:textId="77777777" w:rsidR="00AF5795" w:rsidRPr="00005453" w:rsidRDefault="00AF5795" w:rsidP="00AF5795">
            <w:pPr>
              <w:rPr>
                <w:color w:val="000000"/>
                <w:sz w:val="16"/>
                <w:szCs w:val="16"/>
                <w:lang w:eastAsia="tr-TR"/>
              </w:rPr>
            </w:pPr>
            <w:r w:rsidRPr="00005453">
              <w:rPr>
                <w:color w:val="000000"/>
                <w:sz w:val="16"/>
                <w:szCs w:val="16"/>
                <w:lang w:eastAsia="tr-TR"/>
              </w:rPr>
              <w:t>Hisse Senedi Yatırımarı</w:t>
            </w:r>
          </w:p>
        </w:tc>
        <w:tc>
          <w:tcPr>
            <w:tcW w:w="1157" w:type="dxa"/>
            <w:tcBorders>
              <w:top w:val="nil"/>
              <w:left w:val="nil"/>
              <w:bottom w:val="nil"/>
              <w:right w:val="nil"/>
            </w:tcBorders>
            <w:shd w:val="clear" w:color="auto" w:fill="auto"/>
            <w:noWrap/>
            <w:vAlign w:val="center"/>
            <w:hideMark/>
          </w:tcPr>
          <w:p w14:paraId="275596C3" w14:textId="40666E0B"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19857AF4" w14:textId="58A83C02" w:rsidR="00AF5795" w:rsidRPr="00005453" w:rsidRDefault="00AF5795" w:rsidP="00AF5795">
            <w:pPr>
              <w:jc w:val="right"/>
              <w:rPr>
                <w:color w:val="000000"/>
                <w:sz w:val="16"/>
                <w:szCs w:val="16"/>
              </w:rPr>
            </w:pPr>
            <w:r w:rsidRPr="00005453">
              <w:rPr>
                <w:color w:val="000000"/>
                <w:sz w:val="16"/>
                <w:szCs w:val="16"/>
              </w:rPr>
              <w:t>-</w:t>
            </w:r>
          </w:p>
        </w:tc>
        <w:tc>
          <w:tcPr>
            <w:tcW w:w="1055" w:type="dxa"/>
            <w:tcBorders>
              <w:top w:val="nil"/>
              <w:left w:val="nil"/>
              <w:bottom w:val="nil"/>
              <w:right w:val="nil"/>
            </w:tcBorders>
            <w:shd w:val="clear" w:color="auto" w:fill="auto"/>
            <w:noWrap/>
            <w:vAlign w:val="center"/>
            <w:hideMark/>
          </w:tcPr>
          <w:p w14:paraId="30CA9A63" w14:textId="76F915F5" w:rsidR="00AF5795" w:rsidRPr="00005453" w:rsidRDefault="00AF5795" w:rsidP="00AF5795">
            <w:pPr>
              <w:jc w:val="right"/>
              <w:rPr>
                <w:color w:val="000000"/>
                <w:sz w:val="16"/>
                <w:szCs w:val="16"/>
              </w:rPr>
            </w:pPr>
            <w:r w:rsidRPr="00005453">
              <w:rPr>
                <w:color w:val="000000"/>
                <w:sz w:val="16"/>
                <w:szCs w:val="16"/>
              </w:rPr>
              <w:t>-</w:t>
            </w:r>
          </w:p>
        </w:tc>
        <w:tc>
          <w:tcPr>
            <w:tcW w:w="1494" w:type="dxa"/>
            <w:tcBorders>
              <w:top w:val="nil"/>
              <w:left w:val="nil"/>
              <w:bottom w:val="nil"/>
              <w:right w:val="nil"/>
            </w:tcBorders>
            <w:shd w:val="clear" w:color="auto" w:fill="auto"/>
            <w:noWrap/>
            <w:vAlign w:val="center"/>
            <w:hideMark/>
          </w:tcPr>
          <w:p w14:paraId="6791A732" w14:textId="5475310A" w:rsidR="00AF5795" w:rsidRPr="00005453" w:rsidRDefault="00AF5795" w:rsidP="00AF5795">
            <w:pPr>
              <w:jc w:val="right"/>
              <w:rPr>
                <w:color w:val="000000"/>
                <w:sz w:val="16"/>
                <w:szCs w:val="16"/>
              </w:rPr>
            </w:pPr>
            <w:r w:rsidRPr="00005453">
              <w:rPr>
                <w:color w:val="000000"/>
                <w:sz w:val="16"/>
                <w:szCs w:val="16"/>
              </w:rPr>
              <w:t>-</w:t>
            </w:r>
          </w:p>
        </w:tc>
        <w:tc>
          <w:tcPr>
            <w:tcW w:w="1033" w:type="dxa"/>
            <w:tcBorders>
              <w:top w:val="nil"/>
              <w:left w:val="nil"/>
              <w:bottom w:val="nil"/>
              <w:right w:val="nil"/>
            </w:tcBorders>
            <w:shd w:val="clear" w:color="auto" w:fill="auto"/>
            <w:noWrap/>
            <w:vAlign w:val="center"/>
            <w:hideMark/>
          </w:tcPr>
          <w:p w14:paraId="59C82432" w14:textId="76C9C9F6" w:rsidR="00AF5795" w:rsidRPr="00005453" w:rsidRDefault="00AF5795" w:rsidP="00AF5795">
            <w:pPr>
              <w:jc w:val="right"/>
              <w:rPr>
                <w:color w:val="000000"/>
                <w:sz w:val="16"/>
                <w:szCs w:val="16"/>
              </w:rPr>
            </w:pPr>
            <w:r w:rsidRPr="00005453">
              <w:rPr>
                <w:color w:val="000000"/>
                <w:sz w:val="16"/>
                <w:szCs w:val="16"/>
              </w:rPr>
              <w:t>4,486,142</w:t>
            </w:r>
          </w:p>
        </w:tc>
      </w:tr>
      <w:tr w:rsidR="00AF5795" w:rsidRPr="00005453" w14:paraId="7A78287D" w14:textId="77777777" w:rsidTr="00DB082B">
        <w:trPr>
          <w:trHeight w:val="256"/>
        </w:trPr>
        <w:tc>
          <w:tcPr>
            <w:tcW w:w="3704" w:type="dxa"/>
            <w:tcBorders>
              <w:top w:val="nil"/>
              <w:left w:val="nil"/>
              <w:bottom w:val="nil"/>
              <w:right w:val="nil"/>
            </w:tcBorders>
            <w:shd w:val="clear" w:color="auto" w:fill="auto"/>
            <w:noWrap/>
            <w:vAlign w:val="center"/>
            <w:hideMark/>
          </w:tcPr>
          <w:p w14:paraId="14AEE33A" w14:textId="77777777" w:rsidR="00AF5795" w:rsidRPr="00005453" w:rsidRDefault="00AF5795" w:rsidP="00AF5795">
            <w:pPr>
              <w:rPr>
                <w:color w:val="000000"/>
                <w:sz w:val="16"/>
                <w:szCs w:val="16"/>
                <w:lang w:eastAsia="tr-TR"/>
              </w:rPr>
            </w:pPr>
            <w:r w:rsidRPr="00005453">
              <w:rPr>
                <w:color w:val="000000"/>
                <w:sz w:val="16"/>
                <w:szCs w:val="16"/>
                <w:lang w:eastAsia="tr-TR"/>
              </w:rPr>
              <w:t>Diğer alacaklar</w:t>
            </w:r>
          </w:p>
        </w:tc>
        <w:tc>
          <w:tcPr>
            <w:tcW w:w="1157" w:type="dxa"/>
            <w:tcBorders>
              <w:top w:val="nil"/>
              <w:left w:val="nil"/>
              <w:bottom w:val="nil"/>
              <w:right w:val="nil"/>
            </w:tcBorders>
            <w:shd w:val="clear" w:color="auto" w:fill="auto"/>
            <w:noWrap/>
            <w:vAlign w:val="center"/>
            <w:hideMark/>
          </w:tcPr>
          <w:p w14:paraId="144FDC73" w14:textId="1407D913" w:rsidR="00AF5795" w:rsidRPr="00005453" w:rsidRDefault="00AF5795" w:rsidP="00AF5795">
            <w:pPr>
              <w:jc w:val="right"/>
              <w:rPr>
                <w:color w:val="000000"/>
                <w:sz w:val="16"/>
                <w:szCs w:val="16"/>
              </w:rPr>
            </w:pPr>
            <w:r w:rsidRPr="00005453">
              <w:rPr>
                <w:color w:val="000000"/>
                <w:sz w:val="16"/>
                <w:szCs w:val="16"/>
              </w:rPr>
              <w:t>20,133,050</w:t>
            </w:r>
          </w:p>
        </w:tc>
        <w:tc>
          <w:tcPr>
            <w:tcW w:w="1055" w:type="dxa"/>
            <w:tcBorders>
              <w:top w:val="nil"/>
              <w:left w:val="nil"/>
              <w:bottom w:val="nil"/>
              <w:right w:val="nil"/>
            </w:tcBorders>
            <w:shd w:val="clear" w:color="auto" w:fill="auto"/>
            <w:noWrap/>
            <w:vAlign w:val="center"/>
            <w:hideMark/>
          </w:tcPr>
          <w:p w14:paraId="56C8D9FA" w14:textId="29F342E8" w:rsidR="00AF5795" w:rsidRPr="00005453" w:rsidRDefault="00AF5795" w:rsidP="00AF5795">
            <w:pPr>
              <w:jc w:val="right"/>
              <w:rPr>
                <w:color w:val="000000"/>
                <w:sz w:val="16"/>
                <w:szCs w:val="16"/>
              </w:rPr>
            </w:pPr>
            <w:r w:rsidRPr="00005453">
              <w:rPr>
                <w:color w:val="000000"/>
                <w:sz w:val="16"/>
                <w:szCs w:val="16"/>
              </w:rPr>
              <w:t>1,957</w:t>
            </w:r>
          </w:p>
        </w:tc>
        <w:tc>
          <w:tcPr>
            <w:tcW w:w="1055" w:type="dxa"/>
            <w:tcBorders>
              <w:top w:val="nil"/>
              <w:left w:val="nil"/>
              <w:bottom w:val="nil"/>
              <w:right w:val="nil"/>
            </w:tcBorders>
            <w:shd w:val="clear" w:color="auto" w:fill="auto"/>
            <w:noWrap/>
            <w:vAlign w:val="center"/>
            <w:hideMark/>
          </w:tcPr>
          <w:p w14:paraId="725F407B" w14:textId="4D7A4942" w:rsidR="00AF5795" w:rsidRPr="00005453" w:rsidRDefault="00AF5795" w:rsidP="00AF5795">
            <w:pPr>
              <w:jc w:val="right"/>
              <w:rPr>
                <w:color w:val="000000"/>
                <w:sz w:val="16"/>
                <w:szCs w:val="16"/>
              </w:rPr>
            </w:pPr>
            <w:r w:rsidRPr="00005453">
              <w:rPr>
                <w:color w:val="000000"/>
                <w:sz w:val="16"/>
                <w:szCs w:val="16"/>
              </w:rPr>
              <w:t>2,607</w:t>
            </w:r>
          </w:p>
        </w:tc>
        <w:tc>
          <w:tcPr>
            <w:tcW w:w="1494" w:type="dxa"/>
            <w:tcBorders>
              <w:top w:val="nil"/>
              <w:left w:val="nil"/>
              <w:bottom w:val="nil"/>
              <w:right w:val="nil"/>
            </w:tcBorders>
            <w:shd w:val="clear" w:color="auto" w:fill="auto"/>
            <w:noWrap/>
            <w:vAlign w:val="center"/>
            <w:hideMark/>
          </w:tcPr>
          <w:p w14:paraId="4B39A7C4" w14:textId="68E900A0" w:rsidR="00AF5795" w:rsidRPr="00005453" w:rsidRDefault="00AF5795" w:rsidP="00AF5795">
            <w:pPr>
              <w:jc w:val="right"/>
              <w:rPr>
                <w:color w:val="000000"/>
                <w:sz w:val="16"/>
                <w:szCs w:val="16"/>
              </w:rPr>
            </w:pPr>
            <w:r w:rsidRPr="00005453">
              <w:rPr>
                <w:color w:val="000000"/>
                <w:sz w:val="16"/>
                <w:szCs w:val="16"/>
              </w:rPr>
              <w:t>4,013</w:t>
            </w:r>
          </w:p>
        </w:tc>
        <w:tc>
          <w:tcPr>
            <w:tcW w:w="1033" w:type="dxa"/>
            <w:tcBorders>
              <w:top w:val="nil"/>
              <w:left w:val="nil"/>
              <w:bottom w:val="nil"/>
              <w:right w:val="nil"/>
            </w:tcBorders>
            <w:shd w:val="clear" w:color="auto" w:fill="auto"/>
            <w:noWrap/>
            <w:vAlign w:val="center"/>
            <w:hideMark/>
          </w:tcPr>
          <w:p w14:paraId="7DE5F86B" w14:textId="5827FF1A" w:rsidR="00AF5795" w:rsidRPr="00005453" w:rsidRDefault="00AF5795" w:rsidP="00AF5795">
            <w:pPr>
              <w:jc w:val="right"/>
              <w:rPr>
                <w:color w:val="000000"/>
                <w:sz w:val="16"/>
                <w:szCs w:val="16"/>
              </w:rPr>
            </w:pPr>
            <w:r w:rsidRPr="00005453">
              <w:rPr>
                <w:color w:val="000000"/>
                <w:sz w:val="16"/>
                <w:szCs w:val="16"/>
              </w:rPr>
              <w:t>4,694,887</w:t>
            </w:r>
          </w:p>
        </w:tc>
      </w:tr>
      <w:tr w:rsidR="00D134F6" w:rsidRPr="00005453" w14:paraId="58C03AEF" w14:textId="77777777" w:rsidTr="00DB082B">
        <w:trPr>
          <w:trHeight w:val="154"/>
        </w:trPr>
        <w:tc>
          <w:tcPr>
            <w:tcW w:w="3704" w:type="dxa"/>
            <w:tcBorders>
              <w:top w:val="single" w:sz="8" w:space="0" w:color="auto"/>
              <w:left w:val="nil"/>
              <w:bottom w:val="double" w:sz="6" w:space="0" w:color="auto"/>
              <w:right w:val="nil"/>
            </w:tcBorders>
            <w:shd w:val="clear" w:color="auto" w:fill="auto"/>
            <w:noWrap/>
            <w:vAlign w:val="center"/>
            <w:hideMark/>
          </w:tcPr>
          <w:p w14:paraId="6EB63AEB" w14:textId="77777777" w:rsidR="00D134F6" w:rsidRPr="00005453" w:rsidRDefault="00D134F6" w:rsidP="00D134F6">
            <w:pPr>
              <w:rPr>
                <w:b/>
                <w:bCs/>
                <w:color w:val="000000"/>
                <w:sz w:val="16"/>
                <w:szCs w:val="16"/>
                <w:lang w:eastAsia="tr-TR"/>
              </w:rPr>
            </w:pPr>
            <w:r w:rsidRPr="00005453">
              <w:rPr>
                <w:b/>
                <w:bCs/>
                <w:color w:val="000000"/>
                <w:sz w:val="16"/>
                <w:szCs w:val="16"/>
                <w:lang w:eastAsia="tr-TR"/>
              </w:rPr>
              <w:t xml:space="preserve">Toplam </w:t>
            </w:r>
          </w:p>
        </w:tc>
        <w:tc>
          <w:tcPr>
            <w:tcW w:w="1157" w:type="dxa"/>
            <w:tcBorders>
              <w:top w:val="single" w:sz="8" w:space="0" w:color="auto"/>
              <w:left w:val="nil"/>
              <w:bottom w:val="double" w:sz="6" w:space="0" w:color="auto"/>
              <w:right w:val="nil"/>
            </w:tcBorders>
            <w:shd w:val="clear" w:color="auto" w:fill="auto"/>
            <w:noWrap/>
            <w:vAlign w:val="center"/>
            <w:hideMark/>
          </w:tcPr>
          <w:p w14:paraId="5FFF3EC8" w14:textId="4C4A484C" w:rsidR="00D134F6" w:rsidRPr="00005453" w:rsidRDefault="00D134F6" w:rsidP="00D134F6">
            <w:pPr>
              <w:jc w:val="right"/>
              <w:rPr>
                <w:b/>
                <w:bCs/>
                <w:color w:val="000000"/>
                <w:sz w:val="16"/>
                <w:szCs w:val="16"/>
              </w:rPr>
            </w:pPr>
            <w:r w:rsidRPr="00005453">
              <w:rPr>
                <w:b/>
                <w:color w:val="000000"/>
                <w:sz w:val="16"/>
                <w:szCs w:val="16"/>
                <w:lang w:eastAsia="en-GB"/>
              </w:rPr>
              <w:t>118,679,97</w:t>
            </w:r>
            <w:r w:rsidR="00447948" w:rsidRPr="00005453">
              <w:rPr>
                <w:b/>
                <w:color w:val="000000"/>
                <w:sz w:val="16"/>
                <w:szCs w:val="16"/>
                <w:lang w:eastAsia="en-GB"/>
              </w:rPr>
              <w:t>8</w:t>
            </w:r>
          </w:p>
        </w:tc>
        <w:tc>
          <w:tcPr>
            <w:tcW w:w="1055" w:type="dxa"/>
            <w:tcBorders>
              <w:top w:val="single" w:sz="8" w:space="0" w:color="auto"/>
              <w:left w:val="nil"/>
              <w:bottom w:val="double" w:sz="6" w:space="0" w:color="auto"/>
              <w:right w:val="nil"/>
            </w:tcBorders>
            <w:shd w:val="clear" w:color="auto" w:fill="auto"/>
            <w:noWrap/>
            <w:vAlign w:val="center"/>
            <w:hideMark/>
          </w:tcPr>
          <w:p w14:paraId="5E1870C5" w14:textId="195B282A" w:rsidR="00D134F6" w:rsidRPr="00005453" w:rsidRDefault="00D134F6" w:rsidP="00D134F6">
            <w:pPr>
              <w:jc w:val="right"/>
              <w:rPr>
                <w:b/>
                <w:bCs/>
                <w:color w:val="000000"/>
                <w:sz w:val="16"/>
                <w:szCs w:val="16"/>
              </w:rPr>
            </w:pPr>
            <w:r w:rsidRPr="00005453">
              <w:rPr>
                <w:b/>
                <w:color w:val="000000"/>
                <w:sz w:val="16"/>
                <w:szCs w:val="16"/>
                <w:lang w:eastAsia="en-GB"/>
              </w:rPr>
              <w:t>65,629,94</w:t>
            </w:r>
            <w:r w:rsidR="00667FB0" w:rsidRPr="00005453">
              <w:rPr>
                <w:b/>
                <w:color w:val="000000"/>
                <w:sz w:val="16"/>
                <w:szCs w:val="16"/>
                <w:lang w:eastAsia="en-GB"/>
              </w:rPr>
              <w:t>4</w:t>
            </w:r>
          </w:p>
        </w:tc>
        <w:tc>
          <w:tcPr>
            <w:tcW w:w="1055" w:type="dxa"/>
            <w:tcBorders>
              <w:top w:val="single" w:sz="8" w:space="0" w:color="auto"/>
              <w:left w:val="nil"/>
              <w:bottom w:val="double" w:sz="6" w:space="0" w:color="auto"/>
              <w:right w:val="nil"/>
            </w:tcBorders>
            <w:shd w:val="clear" w:color="auto" w:fill="auto"/>
            <w:noWrap/>
            <w:vAlign w:val="center"/>
            <w:hideMark/>
          </w:tcPr>
          <w:p w14:paraId="6AAB27E8" w14:textId="5B85B479" w:rsidR="00D134F6" w:rsidRPr="00005453" w:rsidRDefault="00D134F6" w:rsidP="00D134F6">
            <w:pPr>
              <w:jc w:val="right"/>
              <w:rPr>
                <w:b/>
                <w:bCs/>
                <w:color w:val="000000"/>
                <w:sz w:val="16"/>
                <w:szCs w:val="16"/>
              </w:rPr>
            </w:pPr>
            <w:r w:rsidRPr="00005453">
              <w:rPr>
                <w:b/>
                <w:color w:val="000000"/>
                <w:sz w:val="16"/>
                <w:szCs w:val="16"/>
                <w:lang w:eastAsia="en-GB"/>
              </w:rPr>
              <w:t>48,226,261</w:t>
            </w:r>
          </w:p>
        </w:tc>
        <w:tc>
          <w:tcPr>
            <w:tcW w:w="1494" w:type="dxa"/>
            <w:tcBorders>
              <w:top w:val="single" w:sz="8" w:space="0" w:color="auto"/>
              <w:left w:val="nil"/>
              <w:bottom w:val="double" w:sz="6" w:space="0" w:color="auto"/>
              <w:right w:val="nil"/>
            </w:tcBorders>
            <w:shd w:val="clear" w:color="auto" w:fill="auto"/>
            <w:noWrap/>
            <w:vAlign w:val="center"/>
            <w:hideMark/>
          </w:tcPr>
          <w:p w14:paraId="4326D02A" w14:textId="6F4D2718" w:rsidR="00D134F6" w:rsidRPr="00005453" w:rsidRDefault="00D134F6" w:rsidP="00D134F6">
            <w:pPr>
              <w:jc w:val="right"/>
              <w:rPr>
                <w:b/>
                <w:bCs/>
                <w:color w:val="000000"/>
                <w:sz w:val="16"/>
                <w:szCs w:val="16"/>
              </w:rPr>
            </w:pPr>
            <w:r w:rsidRPr="00005453">
              <w:rPr>
                <w:b/>
                <w:color w:val="000000"/>
                <w:sz w:val="16"/>
                <w:szCs w:val="16"/>
                <w:lang w:eastAsia="en-GB"/>
              </w:rPr>
              <w:t>70,104,211</w:t>
            </w:r>
          </w:p>
        </w:tc>
        <w:tc>
          <w:tcPr>
            <w:tcW w:w="1033" w:type="dxa"/>
            <w:tcBorders>
              <w:top w:val="single" w:sz="8" w:space="0" w:color="auto"/>
              <w:left w:val="nil"/>
              <w:bottom w:val="double" w:sz="6" w:space="0" w:color="auto"/>
              <w:right w:val="nil"/>
            </w:tcBorders>
            <w:shd w:val="clear" w:color="auto" w:fill="auto"/>
            <w:noWrap/>
            <w:vAlign w:val="center"/>
            <w:hideMark/>
          </w:tcPr>
          <w:p w14:paraId="430CAFC7" w14:textId="57403C69" w:rsidR="00D134F6" w:rsidRPr="00005453" w:rsidRDefault="00D134F6" w:rsidP="00D134F6">
            <w:pPr>
              <w:jc w:val="right"/>
              <w:rPr>
                <w:b/>
                <w:bCs/>
                <w:color w:val="000000"/>
                <w:sz w:val="16"/>
                <w:szCs w:val="16"/>
              </w:rPr>
            </w:pPr>
            <w:r w:rsidRPr="00005453">
              <w:rPr>
                <w:b/>
                <w:color w:val="000000"/>
                <w:sz w:val="16"/>
                <w:szCs w:val="16"/>
                <w:lang w:eastAsia="en-GB"/>
              </w:rPr>
              <w:t>377,260,114</w:t>
            </w:r>
          </w:p>
        </w:tc>
      </w:tr>
      <w:bookmarkEnd w:id="32"/>
    </w:tbl>
    <w:p w14:paraId="2803510B" w14:textId="2E6E01CE" w:rsidR="00912CF9" w:rsidRPr="00005453" w:rsidRDefault="00912CF9" w:rsidP="008A31AA">
      <w:pPr>
        <w:autoSpaceDE w:val="0"/>
        <w:autoSpaceDN w:val="0"/>
        <w:adjustRightInd w:val="0"/>
        <w:rPr>
          <w:sz w:val="10"/>
          <w:szCs w:val="10"/>
          <w:lang w:val="en-GB" w:eastAsia="en-GB"/>
        </w:rPr>
      </w:pPr>
    </w:p>
    <w:bookmarkEnd w:id="33"/>
    <w:p w14:paraId="03407922" w14:textId="620EE783" w:rsidR="008A31AA" w:rsidRPr="00005453" w:rsidRDefault="008A31AA" w:rsidP="00F20AF5">
      <w:pPr>
        <w:autoSpaceDE w:val="0"/>
        <w:autoSpaceDN w:val="0"/>
        <w:adjustRightInd w:val="0"/>
        <w:jc w:val="both"/>
        <w:rPr>
          <w:sz w:val="14"/>
          <w:szCs w:val="14"/>
          <w:lang w:eastAsia="zh-CN"/>
        </w:rPr>
      </w:pPr>
      <w:r w:rsidRPr="00005453">
        <w:rPr>
          <w:sz w:val="14"/>
          <w:szCs w:val="14"/>
          <w:lang w:eastAsia="zh-CN"/>
        </w:rPr>
        <w:t>(*)   Kredi riski azaltımı öncesi, krediye dönüşüm oranı sonrası risk tutarları verilmiştir. Bankaların Sermaye Yeterliliğinin Ölçülmesine ve Değerlendirilmesine ilişkin Yönetmelikte yer alan risk sınıfları dikkate alınmıştır.</w:t>
      </w:r>
    </w:p>
    <w:p w14:paraId="2A24B8CB" w14:textId="5EB5F317" w:rsidR="0054031F" w:rsidRPr="00005453" w:rsidRDefault="0054031F" w:rsidP="008A31AA">
      <w:pPr>
        <w:autoSpaceDE w:val="0"/>
        <w:autoSpaceDN w:val="0"/>
        <w:adjustRightInd w:val="0"/>
        <w:rPr>
          <w:rFonts w:eastAsia="Arial Unicode MS"/>
          <w:color w:val="000000"/>
        </w:rPr>
      </w:pPr>
    </w:p>
    <w:p w14:paraId="053B9718" w14:textId="5A20301C" w:rsidR="00915906" w:rsidRPr="00005453" w:rsidRDefault="00915906" w:rsidP="008A31AA">
      <w:pPr>
        <w:autoSpaceDE w:val="0"/>
        <w:autoSpaceDN w:val="0"/>
        <w:adjustRightInd w:val="0"/>
        <w:rPr>
          <w:rFonts w:eastAsia="Arial Unicode MS"/>
          <w:color w:val="000000"/>
        </w:rPr>
      </w:pPr>
    </w:p>
    <w:p w14:paraId="1FE28B73" w14:textId="510C761F" w:rsidR="00915906" w:rsidRPr="00005453" w:rsidRDefault="00915906" w:rsidP="008A31AA">
      <w:pPr>
        <w:autoSpaceDE w:val="0"/>
        <w:autoSpaceDN w:val="0"/>
        <w:adjustRightInd w:val="0"/>
        <w:rPr>
          <w:rFonts w:eastAsia="Arial Unicode MS"/>
          <w:color w:val="000000"/>
        </w:rPr>
      </w:pPr>
    </w:p>
    <w:p w14:paraId="661C57B4" w14:textId="685D896D" w:rsidR="00915906" w:rsidRPr="00005453" w:rsidRDefault="00915906" w:rsidP="008A31AA">
      <w:pPr>
        <w:autoSpaceDE w:val="0"/>
        <w:autoSpaceDN w:val="0"/>
        <w:adjustRightInd w:val="0"/>
        <w:rPr>
          <w:rFonts w:eastAsia="Arial Unicode MS"/>
          <w:color w:val="000000"/>
        </w:rPr>
      </w:pPr>
    </w:p>
    <w:p w14:paraId="676E1028" w14:textId="046ECE83" w:rsidR="00915906" w:rsidRPr="00005453" w:rsidRDefault="00915906" w:rsidP="008A31AA">
      <w:pPr>
        <w:autoSpaceDE w:val="0"/>
        <w:autoSpaceDN w:val="0"/>
        <w:adjustRightInd w:val="0"/>
        <w:rPr>
          <w:rFonts w:eastAsia="Arial Unicode MS"/>
          <w:color w:val="000000"/>
        </w:rPr>
      </w:pPr>
    </w:p>
    <w:p w14:paraId="29F5345C" w14:textId="3EE66CD0" w:rsidR="00915906" w:rsidRPr="00005453" w:rsidRDefault="00915906" w:rsidP="008A31AA">
      <w:pPr>
        <w:autoSpaceDE w:val="0"/>
        <w:autoSpaceDN w:val="0"/>
        <w:adjustRightInd w:val="0"/>
        <w:rPr>
          <w:rFonts w:eastAsia="Arial Unicode MS"/>
          <w:color w:val="000000"/>
        </w:rPr>
      </w:pPr>
    </w:p>
    <w:p w14:paraId="28E934AA" w14:textId="15963414" w:rsidR="00915906" w:rsidRPr="00005453" w:rsidRDefault="00915906" w:rsidP="008A31AA">
      <w:pPr>
        <w:autoSpaceDE w:val="0"/>
        <w:autoSpaceDN w:val="0"/>
        <w:adjustRightInd w:val="0"/>
        <w:rPr>
          <w:rFonts w:eastAsia="Arial Unicode MS"/>
          <w:color w:val="000000"/>
        </w:rPr>
      </w:pPr>
    </w:p>
    <w:p w14:paraId="3E58A055" w14:textId="690BB824" w:rsidR="00915906" w:rsidRPr="00005453" w:rsidRDefault="00915906" w:rsidP="008A31AA">
      <w:pPr>
        <w:autoSpaceDE w:val="0"/>
        <w:autoSpaceDN w:val="0"/>
        <w:adjustRightInd w:val="0"/>
        <w:rPr>
          <w:rFonts w:eastAsia="Arial Unicode MS"/>
          <w:color w:val="000000"/>
        </w:rPr>
      </w:pPr>
    </w:p>
    <w:p w14:paraId="01A42010" w14:textId="106EB745" w:rsidR="00915906" w:rsidRPr="00005453" w:rsidRDefault="00915906" w:rsidP="008A31AA">
      <w:pPr>
        <w:autoSpaceDE w:val="0"/>
        <w:autoSpaceDN w:val="0"/>
        <w:adjustRightInd w:val="0"/>
        <w:rPr>
          <w:rFonts w:eastAsia="Arial Unicode MS"/>
          <w:color w:val="000000"/>
        </w:rPr>
      </w:pPr>
    </w:p>
    <w:p w14:paraId="0279810D" w14:textId="0A588A6F" w:rsidR="00915906" w:rsidRPr="00005453" w:rsidRDefault="00915906" w:rsidP="008A31AA">
      <w:pPr>
        <w:autoSpaceDE w:val="0"/>
        <w:autoSpaceDN w:val="0"/>
        <w:adjustRightInd w:val="0"/>
        <w:rPr>
          <w:rFonts w:eastAsia="Arial Unicode MS"/>
          <w:color w:val="000000"/>
        </w:rPr>
      </w:pPr>
    </w:p>
    <w:p w14:paraId="01C370BA" w14:textId="41C8385C" w:rsidR="00915906" w:rsidRPr="00005453" w:rsidRDefault="00915906" w:rsidP="008A31AA">
      <w:pPr>
        <w:autoSpaceDE w:val="0"/>
        <w:autoSpaceDN w:val="0"/>
        <w:adjustRightInd w:val="0"/>
        <w:rPr>
          <w:rFonts w:eastAsia="Arial Unicode MS"/>
          <w:color w:val="000000"/>
        </w:rPr>
      </w:pPr>
    </w:p>
    <w:p w14:paraId="3926FB7B" w14:textId="278A659E" w:rsidR="00915906" w:rsidRPr="00005453" w:rsidRDefault="00915906" w:rsidP="008A31AA">
      <w:pPr>
        <w:autoSpaceDE w:val="0"/>
        <w:autoSpaceDN w:val="0"/>
        <w:adjustRightInd w:val="0"/>
        <w:rPr>
          <w:rFonts w:eastAsia="Arial Unicode MS"/>
          <w:color w:val="000000"/>
        </w:rPr>
      </w:pPr>
    </w:p>
    <w:p w14:paraId="03692044" w14:textId="73077737" w:rsidR="00915906" w:rsidRPr="00005453" w:rsidRDefault="00915906" w:rsidP="008A31AA">
      <w:pPr>
        <w:autoSpaceDE w:val="0"/>
        <w:autoSpaceDN w:val="0"/>
        <w:adjustRightInd w:val="0"/>
        <w:rPr>
          <w:rFonts w:eastAsia="Arial Unicode MS"/>
          <w:color w:val="000000"/>
        </w:rPr>
      </w:pPr>
    </w:p>
    <w:p w14:paraId="007560C3" w14:textId="320DBBFB" w:rsidR="00915906" w:rsidRPr="00005453" w:rsidRDefault="00915906" w:rsidP="008A31AA">
      <w:pPr>
        <w:autoSpaceDE w:val="0"/>
        <w:autoSpaceDN w:val="0"/>
        <w:adjustRightInd w:val="0"/>
        <w:rPr>
          <w:rFonts w:eastAsia="Arial Unicode MS"/>
          <w:color w:val="000000"/>
        </w:rPr>
      </w:pPr>
    </w:p>
    <w:p w14:paraId="53F16D4A" w14:textId="6FFAA4CE" w:rsidR="00915906" w:rsidRPr="00005453" w:rsidRDefault="00915906" w:rsidP="008A31AA">
      <w:pPr>
        <w:autoSpaceDE w:val="0"/>
        <w:autoSpaceDN w:val="0"/>
        <w:adjustRightInd w:val="0"/>
        <w:rPr>
          <w:rFonts w:eastAsia="Arial Unicode MS"/>
          <w:color w:val="000000"/>
        </w:rPr>
      </w:pPr>
    </w:p>
    <w:p w14:paraId="7D917129" w14:textId="4FAF3BB0" w:rsidR="00915906" w:rsidRPr="00005453" w:rsidRDefault="00915906" w:rsidP="008A31AA">
      <w:pPr>
        <w:autoSpaceDE w:val="0"/>
        <w:autoSpaceDN w:val="0"/>
        <w:adjustRightInd w:val="0"/>
        <w:rPr>
          <w:rFonts w:eastAsia="Arial Unicode MS"/>
          <w:color w:val="000000"/>
        </w:rPr>
      </w:pPr>
    </w:p>
    <w:p w14:paraId="1091AA47" w14:textId="3F3E2961" w:rsidR="00915906" w:rsidRPr="00005453" w:rsidRDefault="00915906" w:rsidP="008A31AA">
      <w:pPr>
        <w:autoSpaceDE w:val="0"/>
        <w:autoSpaceDN w:val="0"/>
        <w:adjustRightInd w:val="0"/>
        <w:rPr>
          <w:rFonts w:eastAsia="Arial Unicode MS"/>
          <w:color w:val="000000"/>
        </w:rPr>
      </w:pPr>
    </w:p>
    <w:p w14:paraId="4EC641EF" w14:textId="26DC438B" w:rsidR="00915906" w:rsidRPr="00005453" w:rsidRDefault="00915906" w:rsidP="008A31AA">
      <w:pPr>
        <w:autoSpaceDE w:val="0"/>
        <w:autoSpaceDN w:val="0"/>
        <w:adjustRightInd w:val="0"/>
        <w:rPr>
          <w:rFonts w:eastAsia="Arial Unicode MS"/>
          <w:color w:val="000000"/>
        </w:rPr>
      </w:pPr>
    </w:p>
    <w:p w14:paraId="6B17FD8A" w14:textId="1266935E" w:rsidR="00915906" w:rsidRPr="00005453" w:rsidRDefault="00915906" w:rsidP="008A31AA">
      <w:pPr>
        <w:autoSpaceDE w:val="0"/>
        <w:autoSpaceDN w:val="0"/>
        <w:adjustRightInd w:val="0"/>
        <w:rPr>
          <w:rFonts w:eastAsia="Arial Unicode MS"/>
          <w:color w:val="000000"/>
        </w:rPr>
      </w:pPr>
    </w:p>
    <w:p w14:paraId="043036EC" w14:textId="48B7B0EF" w:rsidR="00915906" w:rsidRPr="00005453" w:rsidRDefault="00915906" w:rsidP="008A31AA">
      <w:pPr>
        <w:autoSpaceDE w:val="0"/>
        <w:autoSpaceDN w:val="0"/>
        <w:adjustRightInd w:val="0"/>
        <w:rPr>
          <w:rFonts w:eastAsia="Arial Unicode MS"/>
          <w:color w:val="000000"/>
        </w:rPr>
      </w:pPr>
    </w:p>
    <w:p w14:paraId="4A0B9950" w14:textId="3A057FC2" w:rsidR="00915906" w:rsidRPr="00005453" w:rsidRDefault="00915906" w:rsidP="008A31AA">
      <w:pPr>
        <w:autoSpaceDE w:val="0"/>
        <w:autoSpaceDN w:val="0"/>
        <w:adjustRightInd w:val="0"/>
        <w:rPr>
          <w:rFonts w:eastAsia="Arial Unicode MS"/>
          <w:color w:val="000000"/>
        </w:rPr>
      </w:pPr>
    </w:p>
    <w:p w14:paraId="00030C53" w14:textId="0FFC6D46" w:rsidR="00915906" w:rsidRPr="00005453" w:rsidRDefault="00915906" w:rsidP="008A31AA">
      <w:pPr>
        <w:autoSpaceDE w:val="0"/>
        <w:autoSpaceDN w:val="0"/>
        <w:adjustRightInd w:val="0"/>
        <w:rPr>
          <w:rFonts w:eastAsia="Arial Unicode MS"/>
          <w:color w:val="000000"/>
        </w:rPr>
      </w:pPr>
    </w:p>
    <w:p w14:paraId="61F8D4D8" w14:textId="220A55E6" w:rsidR="00915906" w:rsidRPr="00005453" w:rsidRDefault="00915906" w:rsidP="008A31AA">
      <w:pPr>
        <w:autoSpaceDE w:val="0"/>
        <w:autoSpaceDN w:val="0"/>
        <w:adjustRightInd w:val="0"/>
        <w:rPr>
          <w:rFonts w:eastAsia="Arial Unicode MS"/>
          <w:color w:val="000000"/>
        </w:rPr>
      </w:pPr>
    </w:p>
    <w:p w14:paraId="018E183F" w14:textId="4344EB80" w:rsidR="00915906" w:rsidRPr="00005453" w:rsidRDefault="00915906" w:rsidP="008A31AA">
      <w:pPr>
        <w:autoSpaceDE w:val="0"/>
        <w:autoSpaceDN w:val="0"/>
        <w:adjustRightInd w:val="0"/>
        <w:rPr>
          <w:rFonts w:eastAsia="Arial Unicode MS"/>
          <w:color w:val="000000"/>
        </w:rPr>
      </w:pPr>
    </w:p>
    <w:p w14:paraId="460B5356" w14:textId="3B88D446" w:rsidR="00915906" w:rsidRPr="00005453" w:rsidRDefault="00915906" w:rsidP="008A31AA">
      <w:pPr>
        <w:autoSpaceDE w:val="0"/>
        <w:autoSpaceDN w:val="0"/>
        <w:adjustRightInd w:val="0"/>
        <w:rPr>
          <w:rFonts w:eastAsia="Arial Unicode MS"/>
          <w:color w:val="000000"/>
        </w:rPr>
      </w:pPr>
    </w:p>
    <w:p w14:paraId="0B444698" w14:textId="77777777" w:rsidR="00915906" w:rsidRPr="00005453" w:rsidRDefault="00915906" w:rsidP="008A31AA">
      <w:pPr>
        <w:autoSpaceDE w:val="0"/>
        <w:autoSpaceDN w:val="0"/>
        <w:adjustRightInd w:val="0"/>
        <w:rPr>
          <w:rFonts w:eastAsia="Arial Unicode MS"/>
          <w:color w:val="000000"/>
        </w:rPr>
      </w:pPr>
    </w:p>
    <w:p w14:paraId="4EBE2132" w14:textId="57C73BC0" w:rsidR="00A42306" w:rsidRPr="00005453" w:rsidRDefault="00A42306" w:rsidP="008A31AA">
      <w:pPr>
        <w:autoSpaceDE w:val="0"/>
        <w:autoSpaceDN w:val="0"/>
        <w:adjustRightInd w:val="0"/>
        <w:rPr>
          <w:sz w:val="10"/>
          <w:szCs w:val="10"/>
          <w:lang w:eastAsia="en-GB"/>
        </w:rPr>
      </w:pPr>
    </w:p>
    <w:tbl>
      <w:tblPr>
        <w:tblpPr w:leftFromText="141" w:rightFromText="141" w:vertAnchor="page" w:horzAnchor="margin" w:tblpY="1790"/>
        <w:tblW w:w="9639" w:type="dxa"/>
        <w:tblCellMar>
          <w:left w:w="70" w:type="dxa"/>
          <w:right w:w="70" w:type="dxa"/>
        </w:tblCellMar>
        <w:tblLook w:val="04A0" w:firstRow="1" w:lastRow="0" w:firstColumn="1" w:lastColumn="0" w:noHBand="0" w:noVBand="1"/>
      </w:tblPr>
      <w:tblGrid>
        <w:gridCol w:w="4496"/>
        <w:gridCol w:w="1272"/>
        <w:gridCol w:w="860"/>
        <w:gridCol w:w="950"/>
        <w:gridCol w:w="950"/>
        <w:gridCol w:w="1111"/>
      </w:tblGrid>
      <w:tr w:rsidR="00A42306" w:rsidRPr="00005453" w14:paraId="4A97155E" w14:textId="77777777" w:rsidTr="0066742E">
        <w:trPr>
          <w:divId w:val="994995646"/>
          <w:trHeight w:val="264"/>
        </w:trPr>
        <w:tc>
          <w:tcPr>
            <w:tcW w:w="4496" w:type="dxa"/>
            <w:tcBorders>
              <w:top w:val="single" w:sz="8" w:space="0" w:color="auto"/>
              <w:left w:val="nil"/>
              <w:bottom w:val="nil"/>
              <w:right w:val="nil"/>
            </w:tcBorders>
            <w:shd w:val="clear" w:color="auto" w:fill="auto"/>
            <w:noWrap/>
            <w:vAlign w:val="center"/>
            <w:hideMark/>
          </w:tcPr>
          <w:p w14:paraId="35A1114E" w14:textId="37157F37" w:rsidR="00A42306" w:rsidRPr="00005453" w:rsidRDefault="00A42306" w:rsidP="00F05496">
            <w:pPr>
              <w:rPr>
                <w:b/>
                <w:bCs/>
                <w:color w:val="000000"/>
                <w:sz w:val="16"/>
                <w:szCs w:val="16"/>
                <w:lang w:eastAsia="tr-TR"/>
              </w:rPr>
            </w:pPr>
            <w:r w:rsidRPr="00005453">
              <w:rPr>
                <w:b/>
                <w:bCs/>
                <w:color w:val="000000"/>
                <w:sz w:val="16"/>
                <w:szCs w:val="16"/>
                <w:lang w:eastAsia="tr-TR"/>
              </w:rPr>
              <w:lastRenderedPageBreak/>
              <w:t> </w:t>
            </w:r>
          </w:p>
        </w:tc>
        <w:tc>
          <w:tcPr>
            <w:tcW w:w="5143" w:type="dxa"/>
            <w:gridSpan w:val="5"/>
            <w:tcBorders>
              <w:top w:val="single" w:sz="8" w:space="0" w:color="auto"/>
              <w:left w:val="nil"/>
              <w:bottom w:val="single" w:sz="8" w:space="0" w:color="auto"/>
              <w:right w:val="nil"/>
            </w:tcBorders>
            <w:shd w:val="clear" w:color="auto" w:fill="auto"/>
            <w:noWrap/>
            <w:vAlign w:val="center"/>
            <w:hideMark/>
          </w:tcPr>
          <w:p w14:paraId="7F21B12D" w14:textId="77777777" w:rsidR="00A42306" w:rsidRPr="00005453" w:rsidRDefault="00A42306" w:rsidP="00F05496">
            <w:pPr>
              <w:jc w:val="center"/>
              <w:rPr>
                <w:b/>
                <w:bCs/>
                <w:color w:val="000000"/>
                <w:sz w:val="16"/>
                <w:szCs w:val="16"/>
                <w:lang w:eastAsia="tr-TR"/>
              </w:rPr>
            </w:pPr>
            <w:r w:rsidRPr="00005453">
              <w:rPr>
                <w:b/>
                <w:bCs/>
                <w:color w:val="000000"/>
                <w:sz w:val="16"/>
                <w:szCs w:val="16"/>
                <w:lang w:eastAsia="tr-TR"/>
              </w:rPr>
              <w:t>Vadeye Kalan Süre</w:t>
            </w:r>
          </w:p>
        </w:tc>
      </w:tr>
      <w:tr w:rsidR="00A42306" w:rsidRPr="00005453" w14:paraId="4F93A035" w14:textId="77777777" w:rsidTr="0066742E">
        <w:trPr>
          <w:divId w:val="994995646"/>
          <w:trHeight w:val="289"/>
        </w:trPr>
        <w:tc>
          <w:tcPr>
            <w:tcW w:w="4496" w:type="dxa"/>
            <w:tcBorders>
              <w:top w:val="nil"/>
              <w:left w:val="nil"/>
              <w:bottom w:val="single" w:sz="8" w:space="0" w:color="auto"/>
              <w:right w:val="nil"/>
            </w:tcBorders>
            <w:shd w:val="clear" w:color="auto" w:fill="auto"/>
            <w:noWrap/>
            <w:vAlign w:val="center"/>
            <w:hideMark/>
          </w:tcPr>
          <w:p w14:paraId="211B811B" w14:textId="77777777" w:rsidR="00A42306" w:rsidRPr="00005453" w:rsidRDefault="00A42306" w:rsidP="00F05496">
            <w:pPr>
              <w:rPr>
                <w:b/>
                <w:bCs/>
                <w:color w:val="000000"/>
                <w:sz w:val="16"/>
                <w:szCs w:val="16"/>
                <w:lang w:eastAsia="tr-TR"/>
              </w:rPr>
            </w:pPr>
            <w:r w:rsidRPr="00005453">
              <w:rPr>
                <w:b/>
                <w:bCs/>
                <w:color w:val="000000"/>
                <w:sz w:val="16"/>
                <w:szCs w:val="16"/>
                <w:lang w:eastAsia="tr-TR"/>
              </w:rPr>
              <w:t>Risk Sınıfları (*) – Önceki Dönem</w:t>
            </w:r>
          </w:p>
        </w:tc>
        <w:tc>
          <w:tcPr>
            <w:tcW w:w="1272" w:type="dxa"/>
            <w:tcBorders>
              <w:top w:val="nil"/>
              <w:left w:val="nil"/>
              <w:bottom w:val="single" w:sz="8" w:space="0" w:color="auto"/>
              <w:right w:val="nil"/>
            </w:tcBorders>
            <w:shd w:val="clear" w:color="auto" w:fill="auto"/>
            <w:noWrap/>
            <w:vAlign w:val="bottom"/>
            <w:hideMark/>
          </w:tcPr>
          <w:p w14:paraId="3734A700" w14:textId="5650C032" w:rsidR="00A42306" w:rsidRPr="00005453" w:rsidRDefault="00A42306" w:rsidP="00F05496">
            <w:pPr>
              <w:jc w:val="right"/>
              <w:rPr>
                <w:b/>
                <w:bCs/>
                <w:color w:val="000000"/>
                <w:sz w:val="16"/>
                <w:szCs w:val="16"/>
                <w:lang w:eastAsia="tr-TR"/>
              </w:rPr>
            </w:pPr>
            <w:r w:rsidRPr="00005453">
              <w:rPr>
                <w:b/>
                <w:bCs/>
                <w:color w:val="000000"/>
                <w:sz w:val="16"/>
                <w:szCs w:val="16"/>
                <w:lang w:eastAsia="tr-TR"/>
              </w:rPr>
              <w:t>1 ay</w:t>
            </w:r>
          </w:p>
        </w:tc>
        <w:tc>
          <w:tcPr>
            <w:tcW w:w="860" w:type="dxa"/>
            <w:tcBorders>
              <w:top w:val="nil"/>
              <w:left w:val="nil"/>
              <w:bottom w:val="single" w:sz="8" w:space="0" w:color="auto"/>
              <w:right w:val="nil"/>
            </w:tcBorders>
            <w:shd w:val="clear" w:color="auto" w:fill="auto"/>
            <w:noWrap/>
            <w:vAlign w:val="bottom"/>
            <w:hideMark/>
          </w:tcPr>
          <w:p w14:paraId="79F77BB2" w14:textId="77777777" w:rsidR="00A42306" w:rsidRPr="00005453" w:rsidRDefault="00A42306" w:rsidP="00F05496">
            <w:pPr>
              <w:jc w:val="right"/>
              <w:rPr>
                <w:b/>
                <w:bCs/>
                <w:color w:val="000000"/>
                <w:sz w:val="16"/>
                <w:szCs w:val="16"/>
                <w:lang w:eastAsia="tr-TR"/>
              </w:rPr>
            </w:pPr>
            <w:r w:rsidRPr="00005453">
              <w:rPr>
                <w:b/>
                <w:bCs/>
                <w:color w:val="000000"/>
                <w:sz w:val="16"/>
                <w:szCs w:val="16"/>
                <w:lang w:eastAsia="tr-TR"/>
              </w:rPr>
              <w:t>1–3 ay</w:t>
            </w:r>
          </w:p>
        </w:tc>
        <w:tc>
          <w:tcPr>
            <w:tcW w:w="950" w:type="dxa"/>
            <w:tcBorders>
              <w:top w:val="nil"/>
              <w:left w:val="nil"/>
              <w:bottom w:val="single" w:sz="8" w:space="0" w:color="auto"/>
              <w:right w:val="nil"/>
            </w:tcBorders>
            <w:shd w:val="clear" w:color="auto" w:fill="auto"/>
            <w:noWrap/>
            <w:vAlign w:val="bottom"/>
            <w:hideMark/>
          </w:tcPr>
          <w:p w14:paraId="26514D8F" w14:textId="77777777" w:rsidR="00A42306" w:rsidRPr="00005453" w:rsidRDefault="00A42306" w:rsidP="00F05496">
            <w:pPr>
              <w:jc w:val="right"/>
              <w:rPr>
                <w:b/>
                <w:bCs/>
                <w:color w:val="000000"/>
                <w:sz w:val="16"/>
                <w:szCs w:val="16"/>
                <w:lang w:eastAsia="tr-TR"/>
              </w:rPr>
            </w:pPr>
            <w:r w:rsidRPr="00005453">
              <w:rPr>
                <w:b/>
                <w:bCs/>
                <w:color w:val="000000"/>
                <w:sz w:val="16"/>
                <w:szCs w:val="16"/>
                <w:lang w:eastAsia="tr-TR"/>
              </w:rPr>
              <w:t>3–6 ay</w:t>
            </w:r>
          </w:p>
        </w:tc>
        <w:tc>
          <w:tcPr>
            <w:tcW w:w="950" w:type="dxa"/>
            <w:tcBorders>
              <w:top w:val="nil"/>
              <w:left w:val="nil"/>
              <w:bottom w:val="single" w:sz="8" w:space="0" w:color="auto"/>
              <w:right w:val="nil"/>
            </w:tcBorders>
            <w:shd w:val="clear" w:color="auto" w:fill="auto"/>
            <w:noWrap/>
            <w:vAlign w:val="bottom"/>
            <w:hideMark/>
          </w:tcPr>
          <w:p w14:paraId="18191E06" w14:textId="77777777" w:rsidR="00A42306" w:rsidRPr="00005453" w:rsidRDefault="00A42306" w:rsidP="00F05496">
            <w:pPr>
              <w:jc w:val="right"/>
              <w:rPr>
                <w:b/>
                <w:bCs/>
                <w:color w:val="000000"/>
                <w:sz w:val="16"/>
                <w:szCs w:val="16"/>
                <w:lang w:eastAsia="tr-TR"/>
              </w:rPr>
            </w:pPr>
            <w:r w:rsidRPr="00005453">
              <w:rPr>
                <w:b/>
                <w:bCs/>
                <w:color w:val="000000"/>
                <w:sz w:val="16"/>
                <w:szCs w:val="16"/>
                <w:lang w:eastAsia="tr-TR"/>
              </w:rPr>
              <w:t>6–12 ay</w:t>
            </w:r>
          </w:p>
        </w:tc>
        <w:tc>
          <w:tcPr>
            <w:tcW w:w="1111" w:type="dxa"/>
            <w:tcBorders>
              <w:top w:val="nil"/>
              <w:left w:val="nil"/>
              <w:bottom w:val="single" w:sz="8" w:space="0" w:color="auto"/>
              <w:right w:val="nil"/>
            </w:tcBorders>
            <w:shd w:val="clear" w:color="auto" w:fill="auto"/>
            <w:noWrap/>
            <w:vAlign w:val="bottom"/>
            <w:hideMark/>
          </w:tcPr>
          <w:p w14:paraId="16A19311" w14:textId="77777777" w:rsidR="00A42306" w:rsidRPr="00005453" w:rsidRDefault="00A42306" w:rsidP="00F05496">
            <w:pPr>
              <w:jc w:val="right"/>
              <w:rPr>
                <w:b/>
                <w:bCs/>
                <w:color w:val="000000"/>
                <w:sz w:val="16"/>
                <w:szCs w:val="16"/>
                <w:lang w:eastAsia="tr-TR"/>
              </w:rPr>
            </w:pPr>
            <w:r w:rsidRPr="00005453">
              <w:rPr>
                <w:b/>
                <w:bCs/>
                <w:color w:val="000000"/>
                <w:sz w:val="16"/>
                <w:szCs w:val="16"/>
                <w:lang w:eastAsia="tr-TR"/>
              </w:rPr>
              <w:t>1 yıl üzeri</w:t>
            </w:r>
          </w:p>
        </w:tc>
      </w:tr>
      <w:tr w:rsidR="0080138C" w:rsidRPr="00005453" w14:paraId="53572216"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6D75F176" w14:textId="3195AF11" w:rsidR="0080138C" w:rsidRPr="00005453" w:rsidRDefault="0080138C" w:rsidP="0080138C">
            <w:pPr>
              <w:rPr>
                <w:color w:val="000000"/>
                <w:sz w:val="16"/>
                <w:szCs w:val="16"/>
                <w:lang w:eastAsia="tr-TR"/>
              </w:rPr>
            </w:pPr>
            <w:r w:rsidRPr="00005453">
              <w:rPr>
                <w:color w:val="000000"/>
                <w:sz w:val="16"/>
                <w:szCs w:val="16"/>
                <w:lang w:eastAsia="tr-TR"/>
              </w:rPr>
              <w:t xml:space="preserve">Merkezi yönetimlerden veya merkez bankalarından şarta bağlı olan ve olmayan alacaklar  </w:t>
            </w:r>
          </w:p>
        </w:tc>
        <w:tc>
          <w:tcPr>
            <w:tcW w:w="1272" w:type="dxa"/>
            <w:tcBorders>
              <w:top w:val="nil"/>
              <w:left w:val="nil"/>
              <w:bottom w:val="nil"/>
              <w:right w:val="nil"/>
            </w:tcBorders>
            <w:shd w:val="clear" w:color="auto" w:fill="auto"/>
            <w:noWrap/>
            <w:vAlign w:val="center"/>
            <w:hideMark/>
          </w:tcPr>
          <w:p w14:paraId="60BD1E65" w14:textId="2F1D64DA" w:rsidR="0080138C" w:rsidRPr="00005453" w:rsidRDefault="0080138C" w:rsidP="0080138C">
            <w:pPr>
              <w:jc w:val="right"/>
              <w:rPr>
                <w:color w:val="000000"/>
                <w:sz w:val="16"/>
                <w:szCs w:val="16"/>
                <w:lang w:eastAsia="tr-TR"/>
              </w:rPr>
            </w:pPr>
            <w:r w:rsidRPr="00005453">
              <w:rPr>
                <w:color w:val="000000"/>
                <w:sz w:val="16"/>
                <w:szCs w:val="16"/>
              </w:rPr>
              <w:t>15,127,187</w:t>
            </w:r>
          </w:p>
        </w:tc>
        <w:tc>
          <w:tcPr>
            <w:tcW w:w="860" w:type="dxa"/>
            <w:tcBorders>
              <w:top w:val="nil"/>
              <w:left w:val="nil"/>
              <w:bottom w:val="nil"/>
              <w:right w:val="nil"/>
            </w:tcBorders>
            <w:shd w:val="clear" w:color="auto" w:fill="auto"/>
            <w:noWrap/>
            <w:vAlign w:val="center"/>
            <w:hideMark/>
          </w:tcPr>
          <w:p w14:paraId="52440380" w14:textId="0859EA29" w:rsidR="0080138C" w:rsidRPr="00005453" w:rsidRDefault="0080138C" w:rsidP="0080138C">
            <w:pPr>
              <w:jc w:val="right"/>
              <w:rPr>
                <w:color w:val="000000"/>
                <w:sz w:val="16"/>
                <w:szCs w:val="16"/>
                <w:lang w:eastAsia="tr-TR"/>
              </w:rPr>
            </w:pPr>
            <w:r w:rsidRPr="00005453">
              <w:rPr>
                <w:color w:val="000000"/>
                <w:sz w:val="16"/>
                <w:szCs w:val="16"/>
              </w:rPr>
              <w:t>7,543,703</w:t>
            </w:r>
          </w:p>
        </w:tc>
        <w:tc>
          <w:tcPr>
            <w:tcW w:w="950" w:type="dxa"/>
            <w:tcBorders>
              <w:top w:val="nil"/>
              <w:left w:val="nil"/>
              <w:bottom w:val="nil"/>
              <w:right w:val="nil"/>
            </w:tcBorders>
            <w:shd w:val="clear" w:color="auto" w:fill="auto"/>
            <w:noWrap/>
            <w:vAlign w:val="center"/>
            <w:hideMark/>
          </w:tcPr>
          <w:p w14:paraId="1647142D" w14:textId="4618C0C2" w:rsidR="0080138C" w:rsidRPr="00005453" w:rsidRDefault="0080138C" w:rsidP="0080138C">
            <w:pPr>
              <w:jc w:val="right"/>
              <w:rPr>
                <w:color w:val="000000"/>
                <w:sz w:val="16"/>
                <w:szCs w:val="16"/>
                <w:lang w:eastAsia="tr-TR"/>
              </w:rPr>
            </w:pPr>
            <w:r w:rsidRPr="00005453">
              <w:rPr>
                <w:color w:val="000000"/>
                <w:sz w:val="16"/>
                <w:szCs w:val="16"/>
              </w:rPr>
              <w:t>490,345</w:t>
            </w:r>
          </w:p>
        </w:tc>
        <w:tc>
          <w:tcPr>
            <w:tcW w:w="950" w:type="dxa"/>
            <w:tcBorders>
              <w:top w:val="nil"/>
              <w:left w:val="nil"/>
              <w:bottom w:val="nil"/>
              <w:right w:val="nil"/>
            </w:tcBorders>
            <w:shd w:val="clear" w:color="auto" w:fill="auto"/>
            <w:noWrap/>
            <w:vAlign w:val="center"/>
            <w:hideMark/>
          </w:tcPr>
          <w:p w14:paraId="3FDDD18C" w14:textId="40E3B899" w:rsidR="0080138C" w:rsidRPr="00005453" w:rsidRDefault="0080138C" w:rsidP="0080138C">
            <w:pPr>
              <w:jc w:val="right"/>
              <w:rPr>
                <w:color w:val="000000"/>
                <w:sz w:val="16"/>
                <w:szCs w:val="16"/>
                <w:lang w:eastAsia="tr-TR"/>
              </w:rPr>
            </w:pPr>
            <w:r w:rsidRPr="00005453">
              <w:rPr>
                <w:color w:val="000000"/>
                <w:sz w:val="16"/>
                <w:szCs w:val="16"/>
              </w:rPr>
              <w:t>2,018,580</w:t>
            </w:r>
          </w:p>
        </w:tc>
        <w:tc>
          <w:tcPr>
            <w:tcW w:w="1111" w:type="dxa"/>
            <w:tcBorders>
              <w:top w:val="nil"/>
              <w:left w:val="nil"/>
              <w:bottom w:val="nil"/>
              <w:right w:val="nil"/>
            </w:tcBorders>
            <w:shd w:val="clear" w:color="auto" w:fill="auto"/>
            <w:noWrap/>
            <w:vAlign w:val="center"/>
            <w:hideMark/>
          </w:tcPr>
          <w:p w14:paraId="3BBCC179" w14:textId="218BB56D" w:rsidR="0080138C" w:rsidRPr="00005453" w:rsidRDefault="0080138C" w:rsidP="0080138C">
            <w:pPr>
              <w:jc w:val="right"/>
              <w:rPr>
                <w:color w:val="000000"/>
                <w:sz w:val="16"/>
                <w:szCs w:val="16"/>
                <w:lang w:eastAsia="tr-TR"/>
              </w:rPr>
            </w:pPr>
            <w:r w:rsidRPr="00005453">
              <w:rPr>
                <w:color w:val="000000"/>
                <w:sz w:val="16"/>
                <w:szCs w:val="16"/>
              </w:rPr>
              <w:t>166,673,497</w:t>
            </w:r>
          </w:p>
        </w:tc>
      </w:tr>
      <w:tr w:rsidR="0080138C" w:rsidRPr="00005453" w14:paraId="7E53EC9A"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50C38BBE" w14:textId="77777777" w:rsidR="0080138C" w:rsidRPr="00005453" w:rsidRDefault="0080138C" w:rsidP="0080138C">
            <w:pPr>
              <w:rPr>
                <w:color w:val="000000"/>
                <w:sz w:val="16"/>
                <w:szCs w:val="16"/>
                <w:lang w:eastAsia="tr-TR"/>
              </w:rPr>
            </w:pPr>
            <w:r w:rsidRPr="00005453">
              <w:rPr>
                <w:color w:val="000000"/>
                <w:sz w:val="16"/>
                <w:szCs w:val="16"/>
                <w:lang w:eastAsia="tr-TR"/>
              </w:rPr>
              <w:t>Bölgesel yönetimlerden veya yerel yönetimlerden şarta bağlı olan ve olmayan alacaklar</w:t>
            </w:r>
          </w:p>
        </w:tc>
        <w:tc>
          <w:tcPr>
            <w:tcW w:w="1272" w:type="dxa"/>
            <w:tcBorders>
              <w:top w:val="nil"/>
              <w:left w:val="nil"/>
              <w:bottom w:val="nil"/>
              <w:right w:val="nil"/>
            </w:tcBorders>
            <w:shd w:val="clear" w:color="auto" w:fill="auto"/>
            <w:noWrap/>
            <w:vAlign w:val="center"/>
            <w:hideMark/>
          </w:tcPr>
          <w:p w14:paraId="78D4EB7C" w14:textId="4A0A8F29"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1B5AF0BB" w14:textId="6269C1EA"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0AD1F301" w14:textId="7288C277"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33642244" w14:textId="26FA1B94"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23834752" w14:textId="0DF6B857"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1B592CD6"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74A8CBA6" w14:textId="77777777" w:rsidR="0080138C" w:rsidRPr="00005453" w:rsidRDefault="0080138C" w:rsidP="0080138C">
            <w:pPr>
              <w:rPr>
                <w:color w:val="000000"/>
                <w:sz w:val="16"/>
                <w:szCs w:val="16"/>
                <w:lang w:eastAsia="tr-TR"/>
              </w:rPr>
            </w:pPr>
            <w:r w:rsidRPr="00005453">
              <w:rPr>
                <w:color w:val="000000"/>
                <w:sz w:val="16"/>
                <w:szCs w:val="16"/>
                <w:lang w:eastAsia="tr-TR"/>
              </w:rPr>
              <w:t>İdari birimlerden ve ticari olmayan girişimlerden şarta bağlı olan ve olmayan alacaklar</w:t>
            </w:r>
          </w:p>
        </w:tc>
        <w:tc>
          <w:tcPr>
            <w:tcW w:w="1272" w:type="dxa"/>
            <w:tcBorders>
              <w:top w:val="nil"/>
              <w:left w:val="nil"/>
              <w:bottom w:val="nil"/>
              <w:right w:val="nil"/>
            </w:tcBorders>
            <w:shd w:val="clear" w:color="auto" w:fill="auto"/>
            <w:noWrap/>
            <w:vAlign w:val="center"/>
            <w:hideMark/>
          </w:tcPr>
          <w:p w14:paraId="0A999B51" w14:textId="2984BE1F"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41E81737" w14:textId="63BF73E2"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7FCF79EF" w14:textId="64EFA2A7"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5585C7AD" w14:textId="258E7D97"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084A0973" w14:textId="2BD1A68A"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21D1A65A"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4719E017" w14:textId="77777777" w:rsidR="0080138C" w:rsidRPr="00005453" w:rsidRDefault="0080138C" w:rsidP="0080138C">
            <w:pPr>
              <w:rPr>
                <w:color w:val="000000"/>
                <w:sz w:val="16"/>
                <w:szCs w:val="16"/>
                <w:lang w:eastAsia="tr-TR"/>
              </w:rPr>
            </w:pPr>
            <w:r w:rsidRPr="00005453">
              <w:rPr>
                <w:color w:val="000000"/>
                <w:sz w:val="16"/>
                <w:szCs w:val="16"/>
                <w:lang w:eastAsia="tr-TR"/>
              </w:rPr>
              <w:t xml:space="preserve">Çok taraflı kalkınma bankalarından şarta bağlı </w:t>
            </w:r>
            <w:proofErr w:type="gramStart"/>
            <w:r w:rsidRPr="00005453">
              <w:rPr>
                <w:color w:val="000000"/>
                <w:sz w:val="16"/>
                <w:szCs w:val="16"/>
                <w:lang w:eastAsia="tr-TR"/>
              </w:rPr>
              <w:t>olan  ve</w:t>
            </w:r>
            <w:proofErr w:type="gramEnd"/>
            <w:r w:rsidRPr="00005453">
              <w:rPr>
                <w:color w:val="000000"/>
                <w:sz w:val="16"/>
                <w:szCs w:val="16"/>
                <w:lang w:eastAsia="tr-TR"/>
              </w:rPr>
              <w:t xml:space="preserve"> olmayan alacaklar</w:t>
            </w:r>
          </w:p>
        </w:tc>
        <w:tc>
          <w:tcPr>
            <w:tcW w:w="1272" w:type="dxa"/>
            <w:tcBorders>
              <w:top w:val="nil"/>
              <w:left w:val="nil"/>
              <w:bottom w:val="nil"/>
              <w:right w:val="nil"/>
            </w:tcBorders>
            <w:shd w:val="clear" w:color="auto" w:fill="auto"/>
            <w:noWrap/>
            <w:vAlign w:val="center"/>
            <w:hideMark/>
          </w:tcPr>
          <w:p w14:paraId="46B69DBC" w14:textId="7569131B"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66CE04CB" w14:textId="66A4B663"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089AD53D" w14:textId="0C32C605"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36F33172" w14:textId="3899A619" w:rsidR="0080138C" w:rsidRPr="00005453" w:rsidRDefault="0080138C" w:rsidP="0080138C">
            <w:pPr>
              <w:jc w:val="right"/>
              <w:rPr>
                <w:color w:val="000000"/>
                <w:sz w:val="16"/>
                <w:szCs w:val="16"/>
                <w:lang w:eastAsia="tr-TR"/>
              </w:rPr>
            </w:pPr>
            <w:r w:rsidRPr="00005453">
              <w:rPr>
                <w:color w:val="000000"/>
                <w:sz w:val="16"/>
                <w:szCs w:val="16"/>
              </w:rPr>
              <w:t>231,344</w:t>
            </w:r>
          </w:p>
        </w:tc>
        <w:tc>
          <w:tcPr>
            <w:tcW w:w="1111" w:type="dxa"/>
            <w:tcBorders>
              <w:top w:val="nil"/>
              <w:left w:val="nil"/>
              <w:bottom w:val="nil"/>
              <w:right w:val="nil"/>
            </w:tcBorders>
            <w:shd w:val="clear" w:color="auto" w:fill="auto"/>
            <w:noWrap/>
            <w:vAlign w:val="center"/>
            <w:hideMark/>
          </w:tcPr>
          <w:p w14:paraId="2ABCA34E" w14:textId="21DBD331"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60381826"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02E79B52" w14:textId="77777777" w:rsidR="0080138C" w:rsidRPr="00005453" w:rsidRDefault="0080138C" w:rsidP="0080138C">
            <w:pPr>
              <w:rPr>
                <w:color w:val="000000"/>
                <w:sz w:val="16"/>
                <w:szCs w:val="16"/>
                <w:lang w:eastAsia="tr-TR"/>
              </w:rPr>
            </w:pPr>
            <w:r w:rsidRPr="00005453">
              <w:rPr>
                <w:color w:val="000000"/>
                <w:sz w:val="16"/>
                <w:szCs w:val="16"/>
                <w:lang w:eastAsia="tr-TR"/>
              </w:rPr>
              <w:t xml:space="preserve">Uluslararası teşkilatlardan şarta bağlı olan </w:t>
            </w:r>
            <w:proofErr w:type="gramStart"/>
            <w:r w:rsidRPr="00005453">
              <w:rPr>
                <w:color w:val="000000"/>
                <w:sz w:val="16"/>
                <w:szCs w:val="16"/>
                <w:lang w:eastAsia="tr-TR"/>
              </w:rPr>
              <w:t>ve  olmayan</w:t>
            </w:r>
            <w:proofErr w:type="gramEnd"/>
            <w:r w:rsidRPr="00005453">
              <w:rPr>
                <w:color w:val="000000"/>
                <w:sz w:val="16"/>
                <w:szCs w:val="16"/>
                <w:lang w:eastAsia="tr-TR"/>
              </w:rPr>
              <w:t xml:space="preserve"> alacaklar</w:t>
            </w:r>
          </w:p>
        </w:tc>
        <w:tc>
          <w:tcPr>
            <w:tcW w:w="1272" w:type="dxa"/>
            <w:tcBorders>
              <w:top w:val="nil"/>
              <w:left w:val="nil"/>
              <w:bottom w:val="nil"/>
              <w:right w:val="nil"/>
            </w:tcBorders>
            <w:shd w:val="clear" w:color="auto" w:fill="auto"/>
            <w:noWrap/>
            <w:vAlign w:val="center"/>
            <w:hideMark/>
          </w:tcPr>
          <w:p w14:paraId="0A3E5D5A" w14:textId="3B46BE19"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159000E5" w14:textId="6F2B034C"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507F0854" w14:textId="586B92AC"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346F637C" w14:textId="78EA6647"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3048497D" w14:textId="0C7E7386"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38F2EA8D"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63035E8B" w14:textId="77777777" w:rsidR="0080138C" w:rsidRPr="00005453" w:rsidRDefault="0080138C" w:rsidP="0080138C">
            <w:pPr>
              <w:rPr>
                <w:color w:val="000000"/>
                <w:sz w:val="16"/>
                <w:szCs w:val="16"/>
                <w:lang w:eastAsia="tr-TR"/>
              </w:rPr>
            </w:pPr>
            <w:r w:rsidRPr="00005453">
              <w:rPr>
                <w:color w:val="000000"/>
                <w:sz w:val="16"/>
                <w:szCs w:val="16"/>
                <w:lang w:eastAsia="tr-TR"/>
              </w:rPr>
              <w:t>Bankalar ve aracı kurumlardan şarta bağlı olan ve olmayan alacaklar</w:t>
            </w:r>
          </w:p>
        </w:tc>
        <w:tc>
          <w:tcPr>
            <w:tcW w:w="1272" w:type="dxa"/>
            <w:tcBorders>
              <w:top w:val="nil"/>
              <w:left w:val="nil"/>
              <w:bottom w:val="nil"/>
              <w:right w:val="nil"/>
            </w:tcBorders>
            <w:shd w:val="clear" w:color="auto" w:fill="auto"/>
            <w:noWrap/>
            <w:vAlign w:val="center"/>
            <w:hideMark/>
          </w:tcPr>
          <w:p w14:paraId="134ED430" w14:textId="495C7467" w:rsidR="0080138C" w:rsidRPr="00005453" w:rsidRDefault="0080138C" w:rsidP="0080138C">
            <w:pPr>
              <w:jc w:val="right"/>
              <w:rPr>
                <w:color w:val="000000"/>
                <w:sz w:val="16"/>
                <w:szCs w:val="16"/>
                <w:lang w:eastAsia="tr-TR"/>
              </w:rPr>
            </w:pPr>
            <w:r w:rsidRPr="00005453">
              <w:rPr>
                <w:color w:val="000000"/>
                <w:sz w:val="16"/>
                <w:szCs w:val="16"/>
              </w:rPr>
              <w:t>13,837,793</w:t>
            </w:r>
          </w:p>
        </w:tc>
        <w:tc>
          <w:tcPr>
            <w:tcW w:w="860" w:type="dxa"/>
            <w:tcBorders>
              <w:top w:val="nil"/>
              <w:left w:val="nil"/>
              <w:bottom w:val="nil"/>
              <w:right w:val="nil"/>
            </w:tcBorders>
            <w:shd w:val="clear" w:color="auto" w:fill="auto"/>
            <w:noWrap/>
            <w:vAlign w:val="center"/>
            <w:hideMark/>
          </w:tcPr>
          <w:p w14:paraId="522EF92C" w14:textId="10039C6B" w:rsidR="0080138C" w:rsidRPr="00005453" w:rsidRDefault="0080138C" w:rsidP="0080138C">
            <w:pPr>
              <w:jc w:val="right"/>
              <w:rPr>
                <w:color w:val="000000"/>
                <w:sz w:val="16"/>
                <w:szCs w:val="16"/>
                <w:lang w:eastAsia="tr-TR"/>
              </w:rPr>
            </w:pPr>
            <w:r w:rsidRPr="00005453">
              <w:rPr>
                <w:color w:val="000000"/>
                <w:sz w:val="16"/>
                <w:szCs w:val="16"/>
              </w:rPr>
              <w:t>4,406,430</w:t>
            </w:r>
          </w:p>
        </w:tc>
        <w:tc>
          <w:tcPr>
            <w:tcW w:w="950" w:type="dxa"/>
            <w:tcBorders>
              <w:top w:val="nil"/>
              <w:left w:val="nil"/>
              <w:bottom w:val="nil"/>
              <w:right w:val="nil"/>
            </w:tcBorders>
            <w:shd w:val="clear" w:color="auto" w:fill="auto"/>
            <w:noWrap/>
            <w:vAlign w:val="center"/>
            <w:hideMark/>
          </w:tcPr>
          <w:p w14:paraId="6F19EE9D" w14:textId="588DFA59" w:rsidR="0080138C" w:rsidRPr="00005453" w:rsidRDefault="0080138C" w:rsidP="0080138C">
            <w:pPr>
              <w:jc w:val="right"/>
              <w:rPr>
                <w:color w:val="000000"/>
                <w:sz w:val="16"/>
                <w:szCs w:val="16"/>
                <w:lang w:eastAsia="tr-TR"/>
              </w:rPr>
            </w:pPr>
            <w:r w:rsidRPr="00005453">
              <w:rPr>
                <w:color w:val="000000"/>
                <w:sz w:val="16"/>
                <w:szCs w:val="16"/>
              </w:rPr>
              <w:t>366,066</w:t>
            </w:r>
          </w:p>
        </w:tc>
        <w:tc>
          <w:tcPr>
            <w:tcW w:w="950" w:type="dxa"/>
            <w:tcBorders>
              <w:top w:val="nil"/>
              <w:left w:val="nil"/>
              <w:bottom w:val="nil"/>
              <w:right w:val="nil"/>
            </w:tcBorders>
            <w:shd w:val="clear" w:color="auto" w:fill="auto"/>
            <w:noWrap/>
            <w:vAlign w:val="center"/>
            <w:hideMark/>
          </w:tcPr>
          <w:p w14:paraId="50E3F0E0" w14:textId="39207CDC" w:rsidR="0080138C" w:rsidRPr="00005453" w:rsidRDefault="0080138C" w:rsidP="0080138C">
            <w:pPr>
              <w:jc w:val="right"/>
              <w:rPr>
                <w:color w:val="000000"/>
                <w:sz w:val="16"/>
                <w:szCs w:val="16"/>
                <w:lang w:eastAsia="tr-TR"/>
              </w:rPr>
            </w:pPr>
            <w:r w:rsidRPr="00005453">
              <w:rPr>
                <w:color w:val="000000"/>
                <w:sz w:val="16"/>
                <w:szCs w:val="16"/>
              </w:rPr>
              <w:t>2,285,297</w:t>
            </w:r>
          </w:p>
        </w:tc>
        <w:tc>
          <w:tcPr>
            <w:tcW w:w="1111" w:type="dxa"/>
            <w:tcBorders>
              <w:top w:val="nil"/>
              <w:left w:val="nil"/>
              <w:bottom w:val="nil"/>
              <w:right w:val="nil"/>
            </w:tcBorders>
            <w:shd w:val="clear" w:color="auto" w:fill="auto"/>
            <w:noWrap/>
            <w:vAlign w:val="center"/>
            <w:hideMark/>
          </w:tcPr>
          <w:p w14:paraId="539C9452" w14:textId="2083A34B" w:rsidR="0080138C" w:rsidRPr="00005453" w:rsidRDefault="0080138C" w:rsidP="0080138C">
            <w:pPr>
              <w:jc w:val="right"/>
              <w:rPr>
                <w:color w:val="000000"/>
                <w:sz w:val="16"/>
                <w:szCs w:val="16"/>
                <w:lang w:eastAsia="tr-TR"/>
              </w:rPr>
            </w:pPr>
            <w:r w:rsidRPr="00005453">
              <w:rPr>
                <w:color w:val="000000"/>
                <w:sz w:val="16"/>
                <w:szCs w:val="16"/>
              </w:rPr>
              <w:t>167,073</w:t>
            </w:r>
          </w:p>
        </w:tc>
      </w:tr>
      <w:tr w:rsidR="0080138C" w:rsidRPr="00005453" w14:paraId="043B349E"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5A1CF81D" w14:textId="77777777" w:rsidR="0080138C" w:rsidRPr="00005453" w:rsidRDefault="0080138C" w:rsidP="0080138C">
            <w:pPr>
              <w:rPr>
                <w:color w:val="000000"/>
                <w:sz w:val="16"/>
                <w:szCs w:val="16"/>
                <w:lang w:eastAsia="tr-TR"/>
              </w:rPr>
            </w:pPr>
            <w:r w:rsidRPr="00005453">
              <w:rPr>
                <w:color w:val="000000"/>
                <w:sz w:val="16"/>
                <w:szCs w:val="16"/>
                <w:lang w:eastAsia="tr-TR"/>
              </w:rPr>
              <w:t>Şarta bağlı olan ve olmayan kurumsal alacaklar</w:t>
            </w:r>
          </w:p>
        </w:tc>
        <w:tc>
          <w:tcPr>
            <w:tcW w:w="1272" w:type="dxa"/>
            <w:tcBorders>
              <w:top w:val="nil"/>
              <w:left w:val="nil"/>
              <w:bottom w:val="nil"/>
              <w:right w:val="nil"/>
            </w:tcBorders>
            <w:shd w:val="clear" w:color="auto" w:fill="auto"/>
            <w:noWrap/>
            <w:vAlign w:val="center"/>
            <w:hideMark/>
          </w:tcPr>
          <w:p w14:paraId="24676906" w14:textId="54B6AFAC" w:rsidR="0080138C" w:rsidRPr="00005453" w:rsidRDefault="0080138C" w:rsidP="0080138C">
            <w:pPr>
              <w:jc w:val="right"/>
              <w:rPr>
                <w:color w:val="000000"/>
                <w:sz w:val="16"/>
                <w:szCs w:val="16"/>
                <w:lang w:eastAsia="tr-TR"/>
              </w:rPr>
            </w:pPr>
            <w:r w:rsidRPr="00005453">
              <w:rPr>
                <w:color w:val="000000"/>
                <w:sz w:val="16"/>
                <w:szCs w:val="16"/>
              </w:rPr>
              <w:t>9,234,169</w:t>
            </w:r>
          </w:p>
        </w:tc>
        <w:tc>
          <w:tcPr>
            <w:tcW w:w="860" w:type="dxa"/>
            <w:tcBorders>
              <w:top w:val="nil"/>
              <w:left w:val="nil"/>
              <w:bottom w:val="nil"/>
              <w:right w:val="nil"/>
            </w:tcBorders>
            <w:shd w:val="clear" w:color="auto" w:fill="auto"/>
            <w:noWrap/>
            <w:vAlign w:val="center"/>
            <w:hideMark/>
          </w:tcPr>
          <w:p w14:paraId="2E34C1A7" w14:textId="269253B0" w:rsidR="0080138C" w:rsidRPr="00005453" w:rsidRDefault="0080138C" w:rsidP="0080138C">
            <w:pPr>
              <w:jc w:val="right"/>
              <w:rPr>
                <w:color w:val="000000"/>
                <w:sz w:val="16"/>
                <w:szCs w:val="16"/>
                <w:lang w:eastAsia="tr-TR"/>
              </w:rPr>
            </w:pPr>
            <w:r w:rsidRPr="00005453">
              <w:rPr>
                <w:color w:val="000000"/>
                <w:sz w:val="16"/>
                <w:szCs w:val="16"/>
              </w:rPr>
              <w:t>8,026,292</w:t>
            </w:r>
          </w:p>
        </w:tc>
        <w:tc>
          <w:tcPr>
            <w:tcW w:w="950" w:type="dxa"/>
            <w:tcBorders>
              <w:top w:val="nil"/>
              <w:left w:val="nil"/>
              <w:bottom w:val="nil"/>
              <w:right w:val="nil"/>
            </w:tcBorders>
            <w:shd w:val="clear" w:color="auto" w:fill="auto"/>
            <w:noWrap/>
            <w:vAlign w:val="center"/>
            <w:hideMark/>
          </w:tcPr>
          <w:p w14:paraId="38F5FF88" w14:textId="082182EF" w:rsidR="0080138C" w:rsidRPr="00005453" w:rsidRDefault="0080138C" w:rsidP="0080138C">
            <w:pPr>
              <w:jc w:val="right"/>
              <w:rPr>
                <w:color w:val="000000"/>
                <w:sz w:val="16"/>
                <w:szCs w:val="16"/>
                <w:lang w:eastAsia="tr-TR"/>
              </w:rPr>
            </w:pPr>
            <w:r w:rsidRPr="00005453">
              <w:rPr>
                <w:color w:val="000000"/>
                <w:sz w:val="16"/>
                <w:szCs w:val="16"/>
              </w:rPr>
              <w:t>12,210,939</w:t>
            </w:r>
          </w:p>
        </w:tc>
        <w:tc>
          <w:tcPr>
            <w:tcW w:w="950" w:type="dxa"/>
            <w:tcBorders>
              <w:top w:val="nil"/>
              <w:left w:val="nil"/>
              <w:bottom w:val="nil"/>
              <w:right w:val="nil"/>
            </w:tcBorders>
            <w:shd w:val="clear" w:color="auto" w:fill="auto"/>
            <w:noWrap/>
            <w:vAlign w:val="center"/>
            <w:hideMark/>
          </w:tcPr>
          <w:p w14:paraId="5058D268" w14:textId="4D57191C" w:rsidR="0080138C" w:rsidRPr="00005453" w:rsidRDefault="0080138C" w:rsidP="0080138C">
            <w:pPr>
              <w:jc w:val="right"/>
              <w:rPr>
                <w:color w:val="000000"/>
                <w:sz w:val="16"/>
                <w:szCs w:val="16"/>
                <w:lang w:eastAsia="tr-TR"/>
              </w:rPr>
            </w:pPr>
            <w:r w:rsidRPr="00005453">
              <w:rPr>
                <w:color w:val="000000"/>
                <w:sz w:val="16"/>
                <w:szCs w:val="16"/>
              </w:rPr>
              <w:t>18,605,550</w:t>
            </w:r>
          </w:p>
        </w:tc>
        <w:tc>
          <w:tcPr>
            <w:tcW w:w="1111" w:type="dxa"/>
            <w:tcBorders>
              <w:top w:val="nil"/>
              <w:left w:val="nil"/>
              <w:bottom w:val="nil"/>
              <w:right w:val="nil"/>
            </w:tcBorders>
            <w:shd w:val="clear" w:color="auto" w:fill="auto"/>
            <w:noWrap/>
            <w:vAlign w:val="center"/>
            <w:hideMark/>
          </w:tcPr>
          <w:p w14:paraId="7A8CBCFD" w14:textId="2548C87D" w:rsidR="0080138C" w:rsidRPr="00005453" w:rsidRDefault="0080138C" w:rsidP="0080138C">
            <w:pPr>
              <w:jc w:val="right"/>
              <w:rPr>
                <w:color w:val="000000"/>
                <w:sz w:val="16"/>
                <w:szCs w:val="16"/>
                <w:lang w:eastAsia="tr-TR"/>
              </w:rPr>
            </w:pPr>
            <w:r w:rsidRPr="00005453">
              <w:rPr>
                <w:color w:val="000000"/>
                <w:sz w:val="16"/>
                <w:szCs w:val="16"/>
              </w:rPr>
              <w:t>36,392,217</w:t>
            </w:r>
          </w:p>
        </w:tc>
      </w:tr>
      <w:tr w:rsidR="0080138C" w:rsidRPr="00005453" w14:paraId="571E5D16"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6E5E4ADE" w14:textId="77777777" w:rsidR="0080138C" w:rsidRPr="00005453" w:rsidRDefault="0080138C" w:rsidP="0080138C">
            <w:pPr>
              <w:rPr>
                <w:color w:val="000000"/>
                <w:sz w:val="16"/>
                <w:szCs w:val="16"/>
                <w:lang w:eastAsia="tr-TR"/>
              </w:rPr>
            </w:pPr>
            <w:r w:rsidRPr="00005453">
              <w:rPr>
                <w:color w:val="000000"/>
                <w:sz w:val="16"/>
                <w:szCs w:val="16"/>
                <w:lang w:eastAsia="tr-TR"/>
              </w:rPr>
              <w:t>Şarta bağlı olan ve olmayan perakende alacaklar</w:t>
            </w:r>
          </w:p>
        </w:tc>
        <w:tc>
          <w:tcPr>
            <w:tcW w:w="1272" w:type="dxa"/>
            <w:tcBorders>
              <w:top w:val="nil"/>
              <w:left w:val="nil"/>
              <w:bottom w:val="nil"/>
              <w:right w:val="nil"/>
            </w:tcBorders>
            <w:shd w:val="clear" w:color="auto" w:fill="auto"/>
            <w:noWrap/>
            <w:vAlign w:val="center"/>
            <w:hideMark/>
          </w:tcPr>
          <w:p w14:paraId="326B0CB4" w14:textId="5D07EE1D" w:rsidR="0080138C" w:rsidRPr="00005453" w:rsidRDefault="0080138C" w:rsidP="0080138C">
            <w:pPr>
              <w:jc w:val="right"/>
              <w:rPr>
                <w:color w:val="000000"/>
                <w:sz w:val="16"/>
                <w:szCs w:val="16"/>
                <w:lang w:eastAsia="tr-TR"/>
              </w:rPr>
            </w:pPr>
            <w:r w:rsidRPr="00005453">
              <w:rPr>
                <w:color w:val="000000"/>
                <w:sz w:val="16"/>
                <w:szCs w:val="16"/>
              </w:rPr>
              <w:t>13,723,858</w:t>
            </w:r>
          </w:p>
        </w:tc>
        <w:tc>
          <w:tcPr>
            <w:tcW w:w="860" w:type="dxa"/>
            <w:tcBorders>
              <w:top w:val="nil"/>
              <w:left w:val="nil"/>
              <w:bottom w:val="nil"/>
              <w:right w:val="nil"/>
            </w:tcBorders>
            <w:shd w:val="clear" w:color="auto" w:fill="auto"/>
            <w:noWrap/>
            <w:vAlign w:val="center"/>
            <w:hideMark/>
          </w:tcPr>
          <w:p w14:paraId="4FD31827" w14:textId="780C21A5" w:rsidR="0080138C" w:rsidRPr="00005453" w:rsidRDefault="0080138C" w:rsidP="0080138C">
            <w:pPr>
              <w:jc w:val="right"/>
              <w:rPr>
                <w:color w:val="000000"/>
                <w:sz w:val="16"/>
                <w:szCs w:val="16"/>
                <w:lang w:eastAsia="tr-TR"/>
              </w:rPr>
            </w:pPr>
            <w:r w:rsidRPr="00005453">
              <w:rPr>
                <w:color w:val="000000"/>
                <w:sz w:val="16"/>
                <w:szCs w:val="16"/>
              </w:rPr>
              <w:t>6,820,319</w:t>
            </w:r>
          </w:p>
        </w:tc>
        <w:tc>
          <w:tcPr>
            <w:tcW w:w="950" w:type="dxa"/>
            <w:tcBorders>
              <w:top w:val="nil"/>
              <w:left w:val="nil"/>
              <w:bottom w:val="nil"/>
              <w:right w:val="nil"/>
            </w:tcBorders>
            <w:shd w:val="clear" w:color="auto" w:fill="auto"/>
            <w:noWrap/>
            <w:vAlign w:val="center"/>
            <w:hideMark/>
          </w:tcPr>
          <w:p w14:paraId="705263EF" w14:textId="643AAFB9" w:rsidR="0080138C" w:rsidRPr="00005453" w:rsidRDefault="0080138C" w:rsidP="0080138C">
            <w:pPr>
              <w:jc w:val="right"/>
              <w:rPr>
                <w:color w:val="000000"/>
                <w:sz w:val="16"/>
                <w:szCs w:val="16"/>
                <w:lang w:eastAsia="tr-TR"/>
              </w:rPr>
            </w:pPr>
            <w:r w:rsidRPr="00005453">
              <w:rPr>
                <w:color w:val="000000"/>
                <w:sz w:val="16"/>
                <w:szCs w:val="16"/>
              </w:rPr>
              <w:t>6,712,164</w:t>
            </w:r>
          </w:p>
        </w:tc>
        <w:tc>
          <w:tcPr>
            <w:tcW w:w="950" w:type="dxa"/>
            <w:tcBorders>
              <w:top w:val="nil"/>
              <w:left w:val="nil"/>
              <w:bottom w:val="nil"/>
              <w:right w:val="nil"/>
            </w:tcBorders>
            <w:shd w:val="clear" w:color="auto" w:fill="auto"/>
            <w:noWrap/>
            <w:vAlign w:val="center"/>
            <w:hideMark/>
          </w:tcPr>
          <w:p w14:paraId="23D0CAE0" w14:textId="19091C50" w:rsidR="0080138C" w:rsidRPr="00005453" w:rsidRDefault="0080138C" w:rsidP="0080138C">
            <w:pPr>
              <w:jc w:val="right"/>
              <w:rPr>
                <w:color w:val="000000"/>
                <w:sz w:val="16"/>
                <w:szCs w:val="16"/>
                <w:lang w:eastAsia="tr-TR"/>
              </w:rPr>
            </w:pPr>
            <w:r w:rsidRPr="00005453">
              <w:rPr>
                <w:color w:val="000000"/>
                <w:sz w:val="16"/>
                <w:szCs w:val="16"/>
              </w:rPr>
              <w:t>10,024,315</w:t>
            </w:r>
          </w:p>
        </w:tc>
        <w:tc>
          <w:tcPr>
            <w:tcW w:w="1111" w:type="dxa"/>
            <w:tcBorders>
              <w:top w:val="nil"/>
              <w:left w:val="nil"/>
              <w:bottom w:val="nil"/>
              <w:right w:val="nil"/>
            </w:tcBorders>
            <w:shd w:val="clear" w:color="auto" w:fill="auto"/>
            <w:noWrap/>
            <w:vAlign w:val="center"/>
            <w:hideMark/>
          </w:tcPr>
          <w:p w14:paraId="1C03C161" w14:textId="650EF4A7" w:rsidR="0080138C" w:rsidRPr="00005453" w:rsidRDefault="0080138C" w:rsidP="0080138C">
            <w:pPr>
              <w:jc w:val="right"/>
              <w:rPr>
                <w:color w:val="000000"/>
                <w:sz w:val="16"/>
                <w:szCs w:val="16"/>
                <w:lang w:eastAsia="tr-TR"/>
              </w:rPr>
            </w:pPr>
            <w:r w:rsidRPr="00005453">
              <w:rPr>
                <w:color w:val="000000"/>
                <w:sz w:val="16"/>
                <w:szCs w:val="16"/>
              </w:rPr>
              <w:t>14,610,680</w:t>
            </w:r>
          </w:p>
        </w:tc>
      </w:tr>
      <w:tr w:rsidR="0080138C" w:rsidRPr="00005453" w14:paraId="395E681C"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42E5ED55" w14:textId="77777777" w:rsidR="0080138C" w:rsidRPr="00005453" w:rsidRDefault="0080138C" w:rsidP="0080138C">
            <w:pPr>
              <w:rPr>
                <w:color w:val="000000"/>
                <w:sz w:val="16"/>
                <w:szCs w:val="16"/>
                <w:lang w:eastAsia="tr-TR"/>
              </w:rPr>
            </w:pPr>
            <w:r w:rsidRPr="00005453">
              <w:rPr>
                <w:color w:val="000000"/>
                <w:sz w:val="16"/>
                <w:szCs w:val="16"/>
                <w:lang w:eastAsia="tr-TR"/>
              </w:rPr>
              <w:t>Şarta bağlı olan ve olmayan gayrimenkul ipoteğiyle teminatlandırılmış alacaklar</w:t>
            </w:r>
          </w:p>
        </w:tc>
        <w:tc>
          <w:tcPr>
            <w:tcW w:w="1272" w:type="dxa"/>
            <w:tcBorders>
              <w:top w:val="nil"/>
              <w:left w:val="nil"/>
              <w:bottom w:val="nil"/>
              <w:right w:val="nil"/>
            </w:tcBorders>
            <w:shd w:val="clear" w:color="auto" w:fill="auto"/>
            <w:noWrap/>
            <w:vAlign w:val="center"/>
            <w:hideMark/>
          </w:tcPr>
          <w:p w14:paraId="09CEB5A4" w14:textId="0A626E98" w:rsidR="0080138C" w:rsidRPr="00005453" w:rsidRDefault="0080138C" w:rsidP="0080138C">
            <w:pPr>
              <w:jc w:val="right"/>
              <w:rPr>
                <w:color w:val="000000"/>
                <w:sz w:val="16"/>
                <w:szCs w:val="16"/>
                <w:lang w:eastAsia="tr-TR"/>
              </w:rPr>
            </w:pPr>
            <w:r w:rsidRPr="00005453">
              <w:rPr>
                <w:color w:val="000000"/>
                <w:sz w:val="16"/>
                <w:szCs w:val="16"/>
              </w:rPr>
              <w:t>7,762,892</w:t>
            </w:r>
          </w:p>
        </w:tc>
        <w:tc>
          <w:tcPr>
            <w:tcW w:w="860" w:type="dxa"/>
            <w:tcBorders>
              <w:top w:val="nil"/>
              <w:left w:val="nil"/>
              <w:bottom w:val="nil"/>
              <w:right w:val="nil"/>
            </w:tcBorders>
            <w:shd w:val="clear" w:color="auto" w:fill="auto"/>
            <w:noWrap/>
            <w:vAlign w:val="center"/>
            <w:hideMark/>
          </w:tcPr>
          <w:p w14:paraId="5A1B0D4C" w14:textId="20CD4104" w:rsidR="0080138C" w:rsidRPr="00005453" w:rsidRDefault="0080138C" w:rsidP="0080138C">
            <w:pPr>
              <w:jc w:val="right"/>
              <w:rPr>
                <w:color w:val="000000"/>
                <w:sz w:val="16"/>
                <w:szCs w:val="16"/>
                <w:lang w:eastAsia="tr-TR"/>
              </w:rPr>
            </w:pPr>
            <w:r w:rsidRPr="00005453">
              <w:rPr>
                <w:color w:val="000000"/>
                <w:sz w:val="16"/>
                <w:szCs w:val="16"/>
              </w:rPr>
              <w:t>5,591,727</w:t>
            </w:r>
          </w:p>
        </w:tc>
        <w:tc>
          <w:tcPr>
            <w:tcW w:w="950" w:type="dxa"/>
            <w:tcBorders>
              <w:top w:val="nil"/>
              <w:left w:val="nil"/>
              <w:bottom w:val="nil"/>
              <w:right w:val="nil"/>
            </w:tcBorders>
            <w:shd w:val="clear" w:color="auto" w:fill="auto"/>
            <w:noWrap/>
            <w:vAlign w:val="center"/>
            <w:hideMark/>
          </w:tcPr>
          <w:p w14:paraId="5ADA09B4" w14:textId="36C4A3D5" w:rsidR="0080138C" w:rsidRPr="00005453" w:rsidRDefault="0080138C" w:rsidP="0080138C">
            <w:pPr>
              <w:jc w:val="right"/>
              <w:rPr>
                <w:color w:val="000000"/>
                <w:sz w:val="16"/>
                <w:szCs w:val="16"/>
                <w:lang w:eastAsia="tr-TR"/>
              </w:rPr>
            </w:pPr>
            <w:r w:rsidRPr="00005453">
              <w:rPr>
                <w:color w:val="000000"/>
                <w:sz w:val="16"/>
                <w:szCs w:val="16"/>
              </w:rPr>
              <w:t>6,436,724</w:t>
            </w:r>
          </w:p>
        </w:tc>
        <w:tc>
          <w:tcPr>
            <w:tcW w:w="950" w:type="dxa"/>
            <w:tcBorders>
              <w:top w:val="nil"/>
              <w:left w:val="nil"/>
              <w:bottom w:val="nil"/>
              <w:right w:val="nil"/>
            </w:tcBorders>
            <w:shd w:val="clear" w:color="auto" w:fill="auto"/>
            <w:noWrap/>
            <w:vAlign w:val="center"/>
            <w:hideMark/>
          </w:tcPr>
          <w:p w14:paraId="79B32A36" w14:textId="69B93D5C" w:rsidR="0080138C" w:rsidRPr="00005453" w:rsidRDefault="0080138C" w:rsidP="0080138C">
            <w:pPr>
              <w:jc w:val="right"/>
              <w:rPr>
                <w:color w:val="000000"/>
                <w:sz w:val="16"/>
                <w:szCs w:val="16"/>
                <w:lang w:eastAsia="tr-TR"/>
              </w:rPr>
            </w:pPr>
            <w:r w:rsidRPr="00005453">
              <w:rPr>
                <w:color w:val="000000"/>
                <w:sz w:val="16"/>
                <w:szCs w:val="16"/>
              </w:rPr>
              <w:t>12,773,199</w:t>
            </w:r>
          </w:p>
        </w:tc>
        <w:tc>
          <w:tcPr>
            <w:tcW w:w="1111" w:type="dxa"/>
            <w:tcBorders>
              <w:top w:val="nil"/>
              <w:left w:val="nil"/>
              <w:bottom w:val="nil"/>
              <w:right w:val="nil"/>
            </w:tcBorders>
            <w:shd w:val="clear" w:color="auto" w:fill="auto"/>
            <w:noWrap/>
            <w:vAlign w:val="center"/>
            <w:hideMark/>
          </w:tcPr>
          <w:p w14:paraId="69674211" w14:textId="30222FFF" w:rsidR="0080138C" w:rsidRPr="00005453" w:rsidRDefault="0080138C" w:rsidP="0080138C">
            <w:pPr>
              <w:jc w:val="right"/>
              <w:rPr>
                <w:color w:val="000000"/>
                <w:sz w:val="16"/>
                <w:szCs w:val="16"/>
                <w:lang w:eastAsia="tr-TR"/>
              </w:rPr>
            </w:pPr>
            <w:r w:rsidRPr="00005453">
              <w:rPr>
                <w:color w:val="000000"/>
                <w:sz w:val="16"/>
                <w:szCs w:val="16"/>
              </w:rPr>
              <w:t>22,752,617</w:t>
            </w:r>
          </w:p>
        </w:tc>
      </w:tr>
      <w:tr w:rsidR="0080138C" w:rsidRPr="00005453" w14:paraId="058D14CD"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75CCBD28" w14:textId="77777777" w:rsidR="0080138C" w:rsidRPr="00005453" w:rsidRDefault="0080138C" w:rsidP="0080138C">
            <w:pPr>
              <w:rPr>
                <w:color w:val="000000"/>
                <w:sz w:val="16"/>
                <w:szCs w:val="16"/>
                <w:lang w:eastAsia="tr-TR"/>
              </w:rPr>
            </w:pPr>
            <w:r w:rsidRPr="00005453">
              <w:rPr>
                <w:color w:val="000000"/>
                <w:sz w:val="16"/>
                <w:szCs w:val="16"/>
                <w:lang w:eastAsia="tr-TR"/>
              </w:rPr>
              <w:t>Tahsili gecikmiş alacaklar</w:t>
            </w:r>
          </w:p>
        </w:tc>
        <w:tc>
          <w:tcPr>
            <w:tcW w:w="1272" w:type="dxa"/>
            <w:tcBorders>
              <w:top w:val="nil"/>
              <w:left w:val="nil"/>
              <w:bottom w:val="nil"/>
              <w:right w:val="nil"/>
            </w:tcBorders>
            <w:shd w:val="clear" w:color="auto" w:fill="auto"/>
            <w:noWrap/>
            <w:vAlign w:val="center"/>
            <w:hideMark/>
          </w:tcPr>
          <w:p w14:paraId="4A819035" w14:textId="25B9147C"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678611A6" w14:textId="4C5073AA"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1D6009B0" w14:textId="46A6C36A"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08606C7F" w14:textId="4F2FCE49"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762F0984" w14:textId="2342E7A4"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34E54000"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1063BC17" w14:textId="77777777" w:rsidR="0080138C" w:rsidRPr="00005453" w:rsidRDefault="0080138C" w:rsidP="0080138C">
            <w:pPr>
              <w:rPr>
                <w:color w:val="000000"/>
                <w:sz w:val="16"/>
                <w:szCs w:val="16"/>
                <w:lang w:eastAsia="tr-TR"/>
              </w:rPr>
            </w:pPr>
            <w:r w:rsidRPr="00005453">
              <w:rPr>
                <w:color w:val="000000"/>
                <w:sz w:val="16"/>
                <w:szCs w:val="16"/>
                <w:lang w:eastAsia="tr-TR"/>
              </w:rPr>
              <w:t>Kurulca riski yüksek olarak belirlenen alacaklar</w:t>
            </w:r>
          </w:p>
        </w:tc>
        <w:tc>
          <w:tcPr>
            <w:tcW w:w="1272" w:type="dxa"/>
            <w:tcBorders>
              <w:top w:val="nil"/>
              <w:left w:val="nil"/>
              <w:bottom w:val="nil"/>
              <w:right w:val="nil"/>
            </w:tcBorders>
            <w:shd w:val="clear" w:color="auto" w:fill="auto"/>
            <w:noWrap/>
            <w:vAlign w:val="center"/>
            <w:hideMark/>
          </w:tcPr>
          <w:p w14:paraId="5D3379FF" w14:textId="6F91B999" w:rsidR="0080138C" w:rsidRPr="00005453" w:rsidRDefault="0080138C" w:rsidP="0080138C">
            <w:pPr>
              <w:jc w:val="right"/>
              <w:rPr>
                <w:color w:val="000000"/>
                <w:sz w:val="16"/>
                <w:szCs w:val="16"/>
                <w:lang w:eastAsia="tr-TR"/>
              </w:rPr>
            </w:pPr>
            <w:r w:rsidRPr="00005453">
              <w:rPr>
                <w:color w:val="000000"/>
                <w:sz w:val="16"/>
                <w:szCs w:val="16"/>
              </w:rPr>
              <w:t>3,244,354</w:t>
            </w:r>
          </w:p>
        </w:tc>
        <w:tc>
          <w:tcPr>
            <w:tcW w:w="860" w:type="dxa"/>
            <w:tcBorders>
              <w:top w:val="nil"/>
              <w:left w:val="nil"/>
              <w:bottom w:val="nil"/>
              <w:right w:val="nil"/>
            </w:tcBorders>
            <w:shd w:val="clear" w:color="auto" w:fill="auto"/>
            <w:noWrap/>
            <w:vAlign w:val="center"/>
            <w:hideMark/>
          </w:tcPr>
          <w:p w14:paraId="1ADC1BF5" w14:textId="7F1DF087" w:rsidR="0080138C" w:rsidRPr="00005453" w:rsidRDefault="0080138C" w:rsidP="0080138C">
            <w:pPr>
              <w:jc w:val="right"/>
              <w:rPr>
                <w:color w:val="000000"/>
                <w:sz w:val="16"/>
                <w:szCs w:val="16"/>
                <w:lang w:eastAsia="tr-TR"/>
              </w:rPr>
            </w:pPr>
            <w:r w:rsidRPr="00005453">
              <w:rPr>
                <w:color w:val="000000"/>
                <w:sz w:val="16"/>
                <w:szCs w:val="16"/>
              </w:rPr>
              <w:t>4,076,192</w:t>
            </w:r>
          </w:p>
        </w:tc>
        <w:tc>
          <w:tcPr>
            <w:tcW w:w="950" w:type="dxa"/>
            <w:tcBorders>
              <w:top w:val="nil"/>
              <w:left w:val="nil"/>
              <w:bottom w:val="nil"/>
              <w:right w:val="nil"/>
            </w:tcBorders>
            <w:shd w:val="clear" w:color="auto" w:fill="auto"/>
            <w:noWrap/>
            <w:vAlign w:val="center"/>
            <w:hideMark/>
          </w:tcPr>
          <w:p w14:paraId="09294433" w14:textId="5AF2E05B" w:rsidR="0080138C" w:rsidRPr="00005453" w:rsidRDefault="0080138C" w:rsidP="0080138C">
            <w:pPr>
              <w:jc w:val="right"/>
              <w:rPr>
                <w:color w:val="000000"/>
                <w:sz w:val="16"/>
                <w:szCs w:val="16"/>
                <w:lang w:eastAsia="tr-TR"/>
              </w:rPr>
            </w:pPr>
            <w:r w:rsidRPr="00005453">
              <w:rPr>
                <w:color w:val="000000"/>
                <w:sz w:val="16"/>
                <w:szCs w:val="16"/>
              </w:rPr>
              <w:t>3,767,178</w:t>
            </w:r>
          </w:p>
        </w:tc>
        <w:tc>
          <w:tcPr>
            <w:tcW w:w="950" w:type="dxa"/>
            <w:tcBorders>
              <w:top w:val="nil"/>
              <w:left w:val="nil"/>
              <w:bottom w:val="nil"/>
              <w:right w:val="nil"/>
            </w:tcBorders>
            <w:shd w:val="clear" w:color="auto" w:fill="auto"/>
            <w:noWrap/>
            <w:vAlign w:val="center"/>
            <w:hideMark/>
          </w:tcPr>
          <w:p w14:paraId="0F2A02DD" w14:textId="3EF11F8F" w:rsidR="0080138C" w:rsidRPr="00005453" w:rsidRDefault="0080138C" w:rsidP="0080138C">
            <w:pPr>
              <w:jc w:val="right"/>
              <w:rPr>
                <w:color w:val="000000"/>
                <w:sz w:val="16"/>
                <w:szCs w:val="16"/>
                <w:lang w:eastAsia="tr-TR"/>
              </w:rPr>
            </w:pPr>
            <w:r w:rsidRPr="00005453">
              <w:rPr>
                <w:color w:val="000000"/>
                <w:sz w:val="16"/>
                <w:szCs w:val="16"/>
              </w:rPr>
              <w:t>8,555,794</w:t>
            </w:r>
          </w:p>
        </w:tc>
        <w:tc>
          <w:tcPr>
            <w:tcW w:w="1111" w:type="dxa"/>
            <w:tcBorders>
              <w:top w:val="nil"/>
              <w:left w:val="nil"/>
              <w:bottom w:val="nil"/>
              <w:right w:val="nil"/>
            </w:tcBorders>
            <w:shd w:val="clear" w:color="auto" w:fill="auto"/>
            <w:noWrap/>
            <w:vAlign w:val="center"/>
            <w:hideMark/>
          </w:tcPr>
          <w:p w14:paraId="59BCA3D0" w14:textId="19F6403E" w:rsidR="0080138C" w:rsidRPr="00005453" w:rsidRDefault="0080138C" w:rsidP="0080138C">
            <w:pPr>
              <w:jc w:val="right"/>
              <w:rPr>
                <w:color w:val="000000"/>
                <w:sz w:val="16"/>
                <w:szCs w:val="16"/>
                <w:lang w:eastAsia="tr-TR"/>
              </w:rPr>
            </w:pPr>
            <w:r w:rsidRPr="00005453">
              <w:rPr>
                <w:color w:val="000000"/>
                <w:sz w:val="16"/>
                <w:szCs w:val="16"/>
              </w:rPr>
              <w:t>5,954,715</w:t>
            </w:r>
          </w:p>
        </w:tc>
      </w:tr>
      <w:tr w:rsidR="0080138C" w:rsidRPr="00005453" w14:paraId="33D2573D"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59D506E2" w14:textId="27E1DAD3" w:rsidR="0080138C" w:rsidRPr="00005453" w:rsidRDefault="0080138C" w:rsidP="0080138C">
            <w:pPr>
              <w:rPr>
                <w:color w:val="000000"/>
                <w:sz w:val="16"/>
                <w:szCs w:val="16"/>
                <w:lang w:eastAsia="tr-TR"/>
              </w:rPr>
            </w:pPr>
            <w:r w:rsidRPr="00005453">
              <w:rPr>
                <w:color w:val="000000"/>
                <w:sz w:val="16"/>
                <w:szCs w:val="16"/>
                <w:lang w:eastAsia="tr-TR"/>
              </w:rPr>
              <w:t xml:space="preserve">Teminatlı menkul kıymetler </w:t>
            </w:r>
          </w:p>
        </w:tc>
        <w:tc>
          <w:tcPr>
            <w:tcW w:w="1272" w:type="dxa"/>
            <w:tcBorders>
              <w:top w:val="nil"/>
              <w:left w:val="nil"/>
              <w:bottom w:val="nil"/>
              <w:right w:val="nil"/>
            </w:tcBorders>
            <w:shd w:val="clear" w:color="auto" w:fill="auto"/>
            <w:noWrap/>
            <w:vAlign w:val="center"/>
            <w:hideMark/>
          </w:tcPr>
          <w:p w14:paraId="5C75DF7F" w14:textId="286CD41C"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310BEB59" w14:textId="36CF995D"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31507180" w14:textId="5E291A25"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761F0FDE" w14:textId="5B215576"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20B0A5B8" w14:textId="12EE8453"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2FC93EAC"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27699F5F" w14:textId="77777777" w:rsidR="0080138C" w:rsidRPr="00005453" w:rsidRDefault="0080138C" w:rsidP="0080138C">
            <w:pPr>
              <w:rPr>
                <w:color w:val="000000"/>
                <w:sz w:val="16"/>
                <w:szCs w:val="16"/>
                <w:lang w:eastAsia="tr-TR"/>
              </w:rPr>
            </w:pPr>
            <w:r w:rsidRPr="00005453">
              <w:rPr>
                <w:color w:val="000000"/>
                <w:sz w:val="16"/>
                <w:szCs w:val="16"/>
                <w:lang w:eastAsia="tr-TR"/>
              </w:rPr>
              <w:t>Menkul kıymetleştirme pozisyonları</w:t>
            </w:r>
          </w:p>
        </w:tc>
        <w:tc>
          <w:tcPr>
            <w:tcW w:w="1272" w:type="dxa"/>
            <w:tcBorders>
              <w:top w:val="nil"/>
              <w:left w:val="nil"/>
              <w:bottom w:val="nil"/>
              <w:right w:val="nil"/>
            </w:tcBorders>
            <w:shd w:val="clear" w:color="auto" w:fill="auto"/>
            <w:noWrap/>
            <w:vAlign w:val="center"/>
            <w:hideMark/>
          </w:tcPr>
          <w:p w14:paraId="1A13BBAF" w14:textId="1EE79086"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0213D696" w14:textId="0149547A"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4E1BD9D6" w14:textId="6062457D"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1D80BA11" w14:textId="5C02E8B2"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6E6EE80D" w14:textId="52ECF127"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6E488C06"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56762161" w14:textId="77777777" w:rsidR="0080138C" w:rsidRPr="00005453" w:rsidRDefault="0080138C" w:rsidP="0080138C">
            <w:pPr>
              <w:rPr>
                <w:color w:val="000000"/>
                <w:sz w:val="16"/>
                <w:szCs w:val="16"/>
                <w:lang w:eastAsia="tr-TR"/>
              </w:rPr>
            </w:pPr>
            <w:r w:rsidRPr="00005453">
              <w:rPr>
                <w:color w:val="000000"/>
                <w:sz w:val="16"/>
                <w:szCs w:val="16"/>
                <w:lang w:eastAsia="tr-TR"/>
              </w:rPr>
              <w:t xml:space="preserve">Bankalar ve aracı kurumlardan olan </w:t>
            </w:r>
            <w:proofErr w:type="gramStart"/>
            <w:r w:rsidRPr="00005453">
              <w:rPr>
                <w:color w:val="000000"/>
                <w:sz w:val="16"/>
                <w:szCs w:val="16"/>
                <w:lang w:eastAsia="tr-TR"/>
              </w:rPr>
              <w:t>kısa  vadeli</w:t>
            </w:r>
            <w:proofErr w:type="gramEnd"/>
            <w:r w:rsidRPr="00005453">
              <w:rPr>
                <w:color w:val="000000"/>
                <w:sz w:val="16"/>
                <w:szCs w:val="16"/>
                <w:lang w:eastAsia="tr-TR"/>
              </w:rPr>
              <w:t xml:space="preserve"> alacaklar ile kısa vadeli kurumsal alacaklar</w:t>
            </w:r>
          </w:p>
        </w:tc>
        <w:tc>
          <w:tcPr>
            <w:tcW w:w="1272" w:type="dxa"/>
            <w:tcBorders>
              <w:top w:val="nil"/>
              <w:left w:val="nil"/>
              <w:bottom w:val="nil"/>
              <w:right w:val="nil"/>
            </w:tcBorders>
            <w:shd w:val="clear" w:color="auto" w:fill="auto"/>
            <w:noWrap/>
            <w:vAlign w:val="center"/>
            <w:hideMark/>
          </w:tcPr>
          <w:p w14:paraId="0CEB585D" w14:textId="13535DB5"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3BA99E42" w14:textId="7EF07E99"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752925D6" w14:textId="07F3F280"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469D771B" w14:textId="15C21A1E"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21EF2419" w14:textId="48FF6A49"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2C68C1CD"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7030C42D" w14:textId="77777777" w:rsidR="0080138C" w:rsidRPr="00005453" w:rsidRDefault="0080138C" w:rsidP="0080138C">
            <w:pPr>
              <w:rPr>
                <w:color w:val="000000"/>
                <w:sz w:val="16"/>
                <w:szCs w:val="16"/>
                <w:lang w:eastAsia="tr-TR"/>
              </w:rPr>
            </w:pPr>
            <w:r w:rsidRPr="00005453">
              <w:rPr>
                <w:color w:val="000000"/>
                <w:sz w:val="16"/>
                <w:szCs w:val="16"/>
                <w:lang w:eastAsia="tr-TR"/>
              </w:rPr>
              <w:t>Kolektif yatırım kuruluşu niteliğindeki yatırımlar</w:t>
            </w:r>
          </w:p>
        </w:tc>
        <w:tc>
          <w:tcPr>
            <w:tcW w:w="1272" w:type="dxa"/>
            <w:tcBorders>
              <w:top w:val="nil"/>
              <w:left w:val="nil"/>
              <w:bottom w:val="nil"/>
              <w:right w:val="nil"/>
            </w:tcBorders>
            <w:shd w:val="clear" w:color="auto" w:fill="auto"/>
            <w:noWrap/>
            <w:vAlign w:val="center"/>
            <w:hideMark/>
          </w:tcPr>
          <w:p w14:paraId="19E2F83F" w14:textId="71ACC0EB"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335A5324" w14:textId="2F13CA10"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2B346625" w14:textId="7A81C32D"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143F59A8" w14:textId="56615651"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5D5F4F0E" w14:textId="00981D68" w:rsidR="0080138C" w:rsidRPr="00005453" w:rsidRDefault="0080138C" w:rsidP="0080138C">
            <w:pPr>
              <w:jc w:val="right"/>
              <w:rPr>
                <w:color w:val="000000"/>
                <w:sz w:val="16"/>
                <w:szCs w:val="16"/>
                <w:lang w:eastAsia="tr-TR"/>
              </w:rPr>
            </w:pPr>
            <w:r w:rsidRPr="00005453">
              <w:rPr>
                <w:color w:val="000000"/>
                <w:sz w:val="16"/>
                <w:szCs w:val="16"/>
              </w:rPr>
              <w:t>-</w:t>
            </w:r>
          </w:p>
        </w:tc>
      </w:tr>
      <w:tr w:rsidR="0080138C" w:rsidRPr="00005453" w14:paraId="48013451" w14:textId="77777777" w:rsidTr="0080138C">
        <w:trPr>
          <w:divId w:val="994995646"/>
          <w:trHeight w:val="251"/>
        </w:trPr>
        <w:tc>
          <w:tcPr>
            <w:tcW w:w="4496" w:type="dxa"/>
            <w:tcBorders>
              <w:top w:val="nil"/>
              <w:left w:val="nil"/>
              <w:bottom w:val="nil"/>
              <w:right w:val="nil"/>
            </w:tcBorders>
            <w:shd w:val="clear" w:color="auto" w:fill="auto"/>
            <w:noWrap/>
            <w:vAlign w:val="center"/>
            <w:hideMark/>
          </w:tcPr>
          <w:p w14:paraId="49DF96A9" w14:textId="77777777" w:rsidR="0080138C" w:rsidRPr="00005453" w:rsidRDefault="0080138C" w:rsidP="0080138C">
            <w:pPr>
              <w:rPr>
                <w:color w:val="000000"/>
                <w:sz w:val="16"/>
                <w:szCs w:val="16"/>
                <w:lang w:eastAsia="tr-TR"/>
              </w:rPr>
            </w:pPr>
            <w:r w:rsidRPr="00005453">
              <w:rPr>
                <w:color w:val="000000"/>
                <w:sz w:val="16"/>
                <w:szCs w:val="16"/>
                <w:lang w:eastAsia="tr-TR"/>
              </w:rPr>
              <w:t>Hisse Senedi Yatırımarı</w:t>
            </w:r>
          </w:p>
        </w:tc>
        <w:tc>
          <w:tcPr>
            <w:tcW w:w="1272" w:type="dxa"/>
            <w:tcBorders>
              <w:top w:val="nil"/>
              <w:left w:val="nil"/>
              <w:bottom w:val="nil"/>
              <w:right w:val="nil"/>
            </w:tcBorders>
            <w:shd w:val="clear" w:color="auto" w:fill="auto"/>
            <w:noWrap/>
            <w:vAlign w:val="center"/>
            <w:hideMark/>
          </w:tcPr>
          <w:p w14:paraId="21A3AC49" w14:textId="0EEE40F2" w:rsidR="0080138C" w:rsidRPr="00005453" w:rsidRDefault="0080138C" w:rsidP="0080138C">
            <w:pPr>
              <w:jc w:val="right"/>
              <w:rPr>
                <w:color w:val="000000"/>
                <w:sz w:val="16"/>
                <w:szCs w:val="16"/>
                <w:lang w:eastAsia="tr-TR"/>
              </w:rPr>
            </w:pPr>
            <w:r w:rsidRPr="00005453">
              <w:rPr>
                <w:color w:val="000000"/>
                <w:sz w:val="16"/>
                <w:szCs w:val="16"/>
              </w:rPr>
              <w:t>-</w:t>
            </w:r>
          </w:p>
        </w:tc>
        <w:tc>
          <w:tcPr>
            <w:tcW w:w="860" w:type="dxa"/>
            <w:tcBorders>
              <w:top w:val="nil"/>
              <w:left w:val="nil"/>
              <w:bottom w:val="nil"/>
              <w:right w:val="nil"/>
            </w:tcBorders>
            <w:shd w:val="clear" w:color="auto" w:fill="auto"/>
            <w:noWrap/>
            <w:vAlign w:val="center"/>
            <w:hideMark/>
          </w:tcPr>
          <w:p w14:paraId="1F152CA9" w14:textId="20F39114"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0A5F1575" w14:textId="253C6611" w:rsidR="0080138C" w:rsidRPr="00005453" w:rsidRDefault="0080138C" w:rsidP="0080138C">
            <w:pPr>
              <w:jc w:val="right"/>
              <w:rPr>
                <w:color w:val="000000"/>
                <w:sz w:val="16"/>
                <w:szCs w:val="16"/>
                <w:lang w:eastAsia="tr-TR"/>
              </w:rPr>
            </w:pPr>
            <w:r w:rsidRPr="00005453">
              <w:rPr>
                <w:color w:val="000000"/>
                <w:sz w:val="16"/>
                <w:szCs w:val="16"/>
              </w:rPr>
              <w:t>-</w:t>
            </w:r>
          </w:p>
        </w:tc>
        <w:tc>
          <w:tcPr>
            <w:tcW w:w="950" w:type="dxa"/>
            <w:tcBorders>
              <w:top w:val="nil"/>
              <w:left w:val="nil"/>
              <w:bottom w:val="nil"/>
              <w:right w:val="nil"/>
            </w:tcBorders>
            <w:shd w:val="clear" w:color="auto" w:fill="auto"/>
            <w:noWrap/>
            <w:vAlign w:val="center"/>
            <w:hideMark/>
          </w:tcPr>
          <w:p w14:paraId="7CC6D69B" w14:textId="24810647" w:rsidR="0080138C" w:rsidRPr="00005453" w:rsidRDefault="0080138C" w:rsidP="0080138C">
            <w:pPr>
              <w:jc w:val="right"/>
              <w:rPr>
                <w:color w:val="000000"/>
                <w:sz w:val="16"/>
                <w:szCs w:val="16"/>
                <w:lang w:eastAsia="tr-TR"/>
              </w:rPr>
            </w:pPr>
            <w:r w:rsidRPr="00005453">
              <w:rPr>
                <w:color w:val="000000"/>
                <w:sz w:val="16"/>
                <w:szCs w:val="16"/>
              </w:rPr>
              <w:t>-</w:t>
            </w:r>
          </w:p>
        </w:tc>
        <w:tc>
          <w:tcPr>
            <w:tcW w:w="1111" w:type="dxa"/>
            <w:tcBorders>
              <w:top w:val="nil"/>
              <w:left w:val="nil"/>
              <w:bottom w:val="nil"/>
              <w:right w:val="nil"/>
            </w:tcBorders>
            <w:shd w:val="clear" w:color="auto" w:fill="auto"/>
            <w:noWrap/>
            <w:vAlign w:val="center"/>
            <w:hideMark/>
          </w:tcPr>
          <w:p w14:paraId="732405D8" w14:textId="4F768B62" w:rsidR="0080138C" w:rsidRPr="00005453" w:rsidRDefault="0080138C" w:rsidP="0080138C">
            <w:pPr>
              <w:jc w:val="right"/>
              <w:rPr>
                <w:color w:val="000000"/>
                <w:sz w:val="16"/>
                <w:szCs w:val="16"/>
                <w:lang w:eastAsia="tr-TR"/>
              </w:rPr>
            </w:pPr>
            <w:r w:rsidRPr="00005453">
              <w:rPr>
                <w:color w:val="000000"/>
                <w:sz w:val="16"/>
                <w:szCs w:val="16"/>
              </w:rPr>
              <w:t>3,415,343</w:t>
            </w:r>
          </w:p>
        </w:tc>
      </w:tr>
      <w:tr w:rsidR="0080138C" w:rsidRPr="00005453" w14:paraId="2AA2ABC6" w14:textId="77777777" w:rsidTr="0080138C">
        <w:trPr>
          <w:divId w:val="994995646"/>
          <w:trHeight w:val="264"/>
        </w:trPr>
        <w:tc>
          <w:tcPr>
            <w:tcW w:w="4496" w:type="dxa"/>
            <w:tcBorders>
              <w:top w:val="nil"/>
              <w:left w:val="nil"/>
              <w:bottom w:val="single" w:sz="8" w:space="0" w:color="auto"/>
              <w:right w:val="nil"/>
            </w:tcBorders>
            <w:shd w:val="clear" w:color="auto" w:fill="auto"/>
            <w:noWrap/>
            <w:vAlign w:val="center"/>
            <w:hideMark/>
          </w:tcPr>
          <w:p w14:paraId="7140E336" w14:textId="77777777" w:rsidR="0080138C" w:rsidRPr="00005453" w:rsidRDefault="0080138C" w:rsidP="0080138C">
            <w:pPr>
              <w:rPr>
                <w:color w:val="000000"/>
                <w:sz w:val="16"/>
                <w:szCs w:val="16"/>
                <w:lang w:eastAsia="tr-TR"/>
              </w:rPr>
            </w:pPr>
            <w:r w:rsidRPr="00005453">
              <w:rPr>
                <w:color w:val="000000"/>
                <w:sz w:val="16"/>
                <w:szCs w:val="16"/>
                <w:lang w:eastAsia="tr-TR"/>
              </w:rPr>
              <w:t>Diğer alacaklar</w:t>
            </w:r>
          </w:p>
        </w:tc>
        <w:tc>
          <w:tcPr>
            <w:tcW w:w="1272" w:type="dxa"/>
            <w:tcBorders>
              <w:top w:val="nil"/>
              <w:left w:val="nil"/>
              <w:bottom w:val="single" w:sz="8" w:space="0" w:color="auto"/>
              <w:right w:val="nil"/>
            </w:tcBorders>
            <w:shd w:val="clear" w:color="auto" w:fill="auto"/>
            <w:noWrap/>
            <w:vAlign w:val="center"/>
            <w:hideMark/>
          </w:tcPr>
          <w:p w14:paraId="61597C03" w14:textId="28858475" w:rsidR="0080138C" w:rsidRPr="00005453" w:rsidRDefault="0080138C" w:rsidP="0080138C">
            <w:pPr>
              <w:jc w:val="right"/>
              <w:rPr>
                <w:color w:val="000000"/>
                <w:sz w:val="16"/>
                <w:szCs w:val="16"/>
                <w:lang w:eastAsia="tr-TR"/>
              </w:rPr>
            </w:pPr>
            <w:r w:rsidRPr="00005453">
              <w:rPr>
                <w:color w:val="000000"/>
                <w:sz w:val="16"/>
                <w:szCs w:val="16"/>
              </w:rPr>
              <w:t>16,183,787</w:t>
            </w:r>
          </w:p>
        </w:tc>
        <w:tc>
          <w:tcPr>
            <w:tcW w:w="860" w:type="dxa"/>
            <w:tcBorders>
              <w:top w:val="nil"/>
              <w:left w:val="nil"/>
              <w:bottom w:val="single" w:sz="8" w:space="0" w:color="auto"/>
              <w:right w:val="nil"/>
            </w:tcBorders>
            <w:shd w:val="clear" w:color="auto" w:fill="auto"/>
            <w:noWrap/>
            <w:vAlign w:val="center"/>
            <w:hideMark/>
          </w:tcPr>
          <w:p w14:paraId="40F7606C" w14:textId="53C5047F" w:rsidR="0080138C" w:rsidRPr="00005453" w:rsidRDefault="0080138C" w:rsidP="0080138C">
            <w:pPr>
              <w:jc w:val="right"/>
              <w:rPr>
                <w:color w:val="000000"/>
                <w:sz w:val="16"/>
                <w:szCs w:val="16"/>
                <w:lang w:eastAsia="tr-TR"/>
              </w:rPr>
            </w:pPr>
            <w:r w:rsidRPr="00005453">
              <w:rPr>
                <w:color w:val="000000"/>
                <w:sz w:val="16"/>
                <w:szCs w:val="16"/>
              </w:rPr>
              <w:t>358</w:t>
            </w:r>
          </w:p>
        </w:tc>
        <w:tc>
          <w:tcPr>
            <w:tcW w:w="950" w:type="dxa"/>
            <w:tcBorders>
              <w:top w:val="nil"/>
              <w:left w:val="nil"/>
              <w:bottom w:val="single" w:sz="8" w:space="0" w:color="auto"/>
              <w:right w:val="nil"/>
            </w:tcBorders>
            <w:shd w:val="clear" w:color="auto" w:fill="auto"/>
            <w:noWrap/>
            <w:vAlign w:val="center"/>
            <w:hideMark/>
          </w:tcPr>
          <w:p w14:paraId="6D3AE733" w14:textId="6A496187" w:rsidR="0080138C" w:rsidRPr="00005453" w:rsidRDefault="0080138C" w:rsidP="0080138C">
            <w:pPr>
              <w:jc w:val="right"/>
              <w:rPr>
                <w:color w:val="000000"/>
                <w:sz w:val="16"/>
                <w:szCs w:val="16"/>
                <w:lang w:eastAsia="tr-TR"/>
              </w:rPr>
            </w:pPr>
            <w:r w:rsidRPr="00005453">
              <w:rPr>
                <w:color w:val="000000"/>
                <w:sz w:val="16"/>
                <w:szCs w:val="16"/>
              </w:rPr>
              <w:t>286</w:t>
            </w:r>
          </w:p>
        </w:tc>
        <w:tc>
          <w:tcPr>
            <w:tcW w:w="950" w:type="dxa"/>
            <w:tcBorders>
              <w:top w:val="nil"/>
              <w:left w:val="nil"/>
              <w:bottom w:val="single" w:sz="8" w:space="0" w:color="auto"/>
              <w:right w:val="nil"/>
            </w:tcBorders>
            <w:shd w:val="clear" w:color="auto" w:fill="auto"/>
            <w:noWrap/>
            <w:vAlign w:val="center"/>
            <w:hideMark/>
          </w:tcPr>
          <w:p w14:paraId="07C472D0" w14:textId="62F70823" w:rsidR="0080138C" w:rsidRPr="00005453" w:rsidRDefault="0080138C" w:rsidP="0080138C">
            <w:pPr>
              <w:jc w:val="right"/>
              <w:rPr>
                <w:color w:val="000000"/>
                <w:sz w:val="16"/>
                <w:szCs w:val="16"/>
                <w:lang w:eastAsia="tr-TR"/>
              </w:rPr>
            </w:pPr>
            <w:r w:rsidRPr="00005453">
              <w:rPr>
                <w:color w:val="000000"/>
                <w:sz w:val="16"/>
                <w:szCs w:val="16"/>
              </w:rPr>
              <w:t>1,368</w:t>
            </w:r>
          </w:p>
        </w:tc>
        <w:tc>
          <w:tcPr>
            <w:tcW w:w="1111" w:type="dxa"/>
            <w:tcBorders>
              <w:top w:val="nil"/>
              <w:left w:val="nil"/>
              <w:bottom w:val="single" w:sz="8" w:space="0" w:color="auto"/>
              <w:right w:val="nil"/>
            </w:tcBorders>
            <w:shd w:val="clear" w:color="auto" w:fill="auto"/>
            <w:noWrap/>
            <w:vAlign w:val="center"/>
            <w:hideMark/>
          </w:tcPr>
          <w:p w14:paraId="16753C9A" w14:textId="2EABE78B" w:rsidR="0080138C" w:rsidRPr="00005453" w:rsidRDefault="0080138C" w:rsidP="0080138C">
            <w:pPr>
              <w:jc w:val="right"/>
              <w:rPr>
                <w:color w:val="000000"/>
                <w:sz w:val="16"/>
                <w:szCs w:val="16"/>
                <w:lang w:eastAsia="tr-TR"/>
              </w:rPr>
            </w:pPr>
            <w:r w:rsidRPr="00005453">
              <w:rPr>
                <w:color w:val="000000"/>
                <w:sz w:val="16"/>
                <w:szCs w:val="16"/>
              </w:rPr>
              <w:t>2,924,885</w:t>
            </w:r>
          </w:p>
        </w:tc>
      </w:tr>
      <w:tr w:rsidR="0080138C" w:rsidRPr="00005453" w14:paraId="433DDB5E" w14:textId="77777777" w:rsidTr="0080138C">
        <w:trPr>
          <w:divId w:val="994995646"/>
          <w:trHeight w:val="336"/>
        </w:trPr>
        <w:tc>
          <w:tcPr>
            <w:tcW w:w="4496" w:type="dxa"/>
            <w:tcBorders>
              <w:top w:val="single" w:sz="8" w:space="0" w:color="auto"/>
              <w:left w:val="nil"/>
              <w:bottom w:val="double" w:sz="6" w:space="0" w:color="auto"/>
              <w:right w:val="nil"/>
            </w:tcBorders>
            <w:shd w:val="clear" w:color="auto" w:fill="auto"/>
            <w:noWrap/>
            <w:vAlign w:val="center"/>
            <w:hideMark/>
          </w:tcPr>
          <w:p w14:paraId="3DA49DE0" w14:textId="77777777" w:rsidR="0080138C" w:rsidRPr="00005453" w:rsidRDefault="0080138C" w:rsidP="0080138C">
            <w:pPr>
              <w:rPr>
                <w:b/>
                <w:bCs/>
                <w:color w:val="000000"/>
                <w:sz w:val="16"/>
                <w:szCs w:val="16"/>
                <w:lang w:eastAsia="tr-TR"/>
              </w:rPr>
            </w:pPr>
            <w:r w:rsidRPr="00005453">
              <w:rPr>
                <w:b/>
                <w:bCs/>
                <w:color w:val="000000"/>
                <w:sz w:val="16"/>
                <w:szCs w:val="16"/>
                <w:lang w:eastAsia="tr-TR"/>
              </w:rPr>
              <w:t xml:space="preserve">Toplam </w:t>
            </w:r>
          </w:p>
        </w:tc>
        <w:tc>
          <w:tcPr>
            <w:tcW w:w="1272" w:type="dxa"/>
            <w:tcBorders>
              <w:top w:val="single" w:sz="8" w:space="0" w:color="auto"/>
              <w:left w:val="nil"/>
              <w:bottom w:val="double" w:sz="6" w:space="0" w:color="auto"/>
              <w:right w:val="nil"/>
            </w:tcBorders>
            <w:shd w:val="clear" w:color="auto" w:fill="auto"/>
            <w:noWrap/>
            <w:vAlign w:val="center"/>
            <w:hideMark/>
          </w:tcPr>
          <w:p w14:paraId="6F497722" w14:textId="597D1A27" w:rsidR="0080138C" w:rsidRPr="00005453" w:rsidRDefault="0080138C" w:rsidP="0080138C">
            <w:pPr>
              <w:jc w:val="right"/>
              <w:rPr>
                <w:b/>
                <w:bCs/>
                <w:color w:val="000000"/>
                <w:sz w:val="16"/>
                <w:szCs w:val="16"/>
                <w:lang w:eastAsia="tr-TR"/>
              </w:rPr>
            </w:pPr>
            <w:r w:rsidRPr="00005453">
              <w:rPr>
                <w:b/>
                <w:bCs/>
                <w:color w:val="000000"/>
                <w:sz w:val="16"/>
                <w:szCs w:val="16"/>
              </w:rPr>
              <w:t>79,114,040</w:t>
            </w:r>
          </w:p>
        </w:tc>
        <w:tc>
          <w:tcPr>
            <w:tcW w:w="860" w:type="dxa"/>
            <w:tcBorders>
              <w:top w:val="single" w:sz="8" w:space="0" w:color="auto"/>
              <w:left w:val="nil"/>
              <w:bottom w:val="double" w:sz="6" w:space="0" w:color="auto"/>
              <w:right w:val="nil"/>
            </w:tcBorders>
            <w:shd w:val="clear" w:color="auto" w:fill="auto"/>
            <w:noWrap/>
            <w:vAlign w:val="center"/>
            <w:hideMark/>
          </w:tcPr>
          <w:p w14:paraId="706C4E9B" w14:textId="3D028EA6" w:rsidR="0080138C" w:rsidRPr="00005453" w:rsidRDefault="0080138C" w:rsidP="0080138C">
            <w:pPr>
              <w:jc w:val="right"/>
              <w:rPr>
                <w:b/>
                <w:bCs/>
                <w:color w:val="000000"/>
                <w:sz w:val="16"/>
                <w:szCs w:val="16"/>
                <w:lang w:eastAsia="tr-TR"/>
              </w:rPr>
            </w:pPr>
            <w:r w:rsidRPr="00005453">
              <w:rPr>
                <w:b/>
                <w:bCs/>
                <w:color w:val="000000"/>
                <w:sz w:val="16"/>
                <w:szCs w:val="16"/>
              </w:rPr>
              <w:t>36,465,021</w:t>
            </w:r>
          </w:p>
        </w:tc>
        <w:tc>
          <w:tcPr>
            <w:tcW w:w="950" w:type="dxa"/>
            <w:tcBorders>
              <w:top w:val="single" w:sz="8" w:space="0" w:color="auto"/>
              <w:left w:val="nil"/>
              <w:bottom w:val="double" w:sz="6" w:space="0" w:color="auto"/>
              <w:right w:val="nil"/>
            </w:tcBorders>
            <w:shd w:val="clear" w:color="auto" w:fill="auto"/>
            <w:noWrap/>
            <w:vAlign w:val="center"/>
            <w:hideMark/>
          </w:tcPr>
          <w:p w14:paraId="061088DF" w14:textId="4C7F9585" w:rsidR="0080138C" w:rsidRPr="00005453" w:rsidRDefault="0080138C" w:rsidP="0080138C">
            <w:pPr>
              <w:jc w:val="right"/>
              <w:rPr>
                <w:b/>
                <w:bCs/>
                <w:color w:val="000000"/>
                <w:sz w:val="16"/>
                <w:szCs w:val="16"/>
                <w:lang w:eastAsia="tr-TR"/>
              </w:rPr>
            </w:pPr>
            <w:r w:rsidRPr="00005453">
              <w:rPr>
                <w:b/>
                <w:bCs/>
                <w:color w:val="000000"/>
                <w:sz w:val="16"/>
                <w:szCs w:val="16"/>
              </w:rPr>
              <w:t>29,983,702</w:t>
            </w:r>
          </w:p>
        </w:tc>
        <w:tc>
          <w:tcPr>
            <w:tcW w:w="950" w:type="dxa"/>
            <w:tcBorders>
              <w:top w:val="single" w:sz="8" w:space="0" w:color="auto"/>
              <w:left w:val="nil"/>
              <w:bottom w:val="double" w:sz="6" w:space="0" w:color="auto"/>
              <w:right w:val="nil"/>
            </w:tcBorders>
            <w:shd w:val="clear" w:color="auto" w:fill="auto"/>
            <w:noWrap/>
            <w:vAlign w:val="center"/>
            <w:hideMark/>
          </w:tcPr>
          <w:p w14:paraId="435F9087" w14:textId="3FAD5725" w:rsidR="0080138C" w:rsidRPr="00005453" w:rsidRDefault="0080138C" w:rsidP="0080138C">
            <w:pPr>
              <w:jc w:val="right"/>
              <w:rPr>
                <w:b/>
                <w:bCs/>
                <w:color w:val="000000"/>
                <w:sz w:val="16"/>
                <w:szCs w:val="16"/>
                <w:lang w:eastAsia="tr-TR"/>
              </w:rPr>
            </w:pPr>
            <w:r w:rsidRPr="00005453">
              <w:rPr>
                <w:b/>
                <w:bCs/>
                <w:color w:val="000000"/>
                <w:sz w:val="16"/>
                <w:szCs w:val="16"/>
              </w:rPr>
              <w:t>54,495,447</w:t>
            </w:r>
          </w:p>
        </w:tc>
        <w:tc>
          <w:tcPr>
            <w:tcW w:w="1111" w:type="dxa"/>
            <w:tcBorders>
              <w:top w:val="single" w:sz="8" w:space="0" w:color="auto"/>
              <w:left w:val="nil"/>
              <w:bottom w:val="double" w:sz="6" w:space="0" w:color="auto"/>
              <w:right w:val="nil"/>
            </w:tcBorders>
            <w:shd w:val="clear" w:color="auto" w:fill="auto"/>
            <w:noWrap/>
            <w:vAlign w:val="center"/>
            <w:hideMark/>
          </w:tcPr>
          <w:p w14:paraId="443869C1" w14:textId="0ACB5658" w:rsidR="0080138C" w:rsidRPr="00005453" w:rsidRDefault="0080138C" w:rsidP="0080138C">
            <w:pPr>
              <w:jc w:val="right"/>
              <w:rPr>
                <w:b/>
                <w:bCs/>
                <w:color w:val="000000"/>
                <w:sz w:val="16"/>
                <w:szCs w:val="16"/>
                <w:lang w:eastAsia="tr-TR"/>
              </w:rPr>
            </w:pPr>
            <w:r w:rsidRPr="00005453">
              <w:rPr>
                <w:b/>
                <w:bCs/>
                <w:color w:val="000000"/>
                <w:sz w:val="16"/>
                <w:szCs w:val="16"/>
              </w:rPr>
              <w:t>252,891,027</w:t>
            </w:r>
          </w:p>
        </w:tc>
      </w:tr>
    </w:tbl>
    <w:p w14:paraId="7CF876CE" w14:textId="77777777" w:rsidR="00144265" w:rsidRPr="00005453" w:rsidRDefault="00144265" w:rsidP="00F20AF5">
      <w:pPr>
        <w:autoSpaceDE w:val="0"/>
        <w:autoSpaceDN w:val="0"/>
        <w:adjustRightInd w:val="0"/>
        <w:jc w:val="both"/>
        <w:rPr>
          <w:sz w:val="10"/>
          <w:szCs w:val="10"/>
          <w:lang w:eastAsia="zh-CN"/>
        </w:rPr>
      </w:pPr>
    </w:p>
    <w:p w14:paraId="756E56D3" w14:textId="307B159A" w:rsidR="008A31AA" w:rsidRPr="00005453" w:rsidRDefault="008A31AA" w:rsidP="00F20AF5">
      <w:pPr>
        <w:autoSpaceDE w:val="0"/>
        <w:autoSpaceDN w:val="0"/>
        <w:adjustRightInd w:val="0"/>
        <w:jc w:val="both"/>
        <w:rPr>
          <w:sz w:val="14"/>
          <w:szCs w:val="14"/>
          <w:lang w:eastAsia="zh-CN"/>
        </w:rPr>
      </w:pPr>
      <w:r w:rsidRPr="00005453">
        <w:rPr>
          <w:sz w:val="14"/>
          <w:szCs w:val="14"/>
          <w:lang w:eastAsia="zh-CN"/>
        </w:rPr>
        <w:t>(*)   Kredi riski azaltımı öncesi, krediye dönüşüm oranı sonrası risk tutarları verilmiştir. Bankaların Sermaye Yeterliliğinin Ölçülmesine ve Değerlendirilmesine ilişkin Yönetmelikte yer alan risk sınıfları dikkate alınmıştır.</w:t>
      </w:r>
    </w:p>
    <w:p w14:paraId="568E2628" w14:textId="77777777" w:rsidR="0054031F" w:rsidRPr="00005453" w:rsidRDefault="0054031F" w:rsidP="0054031F">
      <w:pPr>
        <w:pStyle w:val="BodyText"/>
        <w:jc w:val="left"/>
        <w:rPr>
          <w:rFonts w:eastAsia="Arial Unicode MS"/>
          <w:color w:val="000000"/>
        </w:rPr>
      </w:pPr>
    </w:p>
    <w:p w14:paraId="265AAEEA" w14:textId="77777777" w:rsidR="0054031F" w:rsidRPr="00005453" w:rsidRDefault="0054031F" w:rsidP="0054031F">
      <w:pPr>
        <w:pStyle w:val="BodyText"/>
        <w:jc w:val="left"/>
        <w:rPr>
          <w:rFonts w:eastAsia="Arial Unicode MS"/>
          <w:color w:val="000000"/>
        </w:rPr>
      </w:pPr>
    </w:p>
    <w:p w14:paraId="7FF50D70" w14:textId="77777777" w:rsidR="0054031F" w:rsidRPr="00005453" w:rsidRDefault="0054031F" w:rsidP="0054031F">
      <w:pPr>
        <w:pStyle w:val="BodyText"/>
        <w:jc w:val="left"/>
        <w:rPr>
          <w:rFonts w:eastAsia="Arial Unicode MS"/>
          <w:color w:val="000000"/>
        </w:rPr>
      </w:pPr>
    </w:p>
    <w:p w14:paraId="771177FF" w14:textId="77777777" w:rsidR="0054031F" w:rsidRPr="00005453" w:rsidRDefault="0054031F" w:rsidP="0054031F">
      <w:pPr>
        <w:pStyle w:val="BodyText"/>
        <w:jc w:val="left"/>
        <w:rPr>
          <w:rFonts w:eastAsia="Arial Unicode MS"/>
          <w:color w:val="000000"/>
        </w:rPr>
      </w:pPr>
    </w:p>
    <w:p w14:paraId="74356AA5" w14:textId="77777777" w:rsidR="0054031F" w:rsidRPr="00005453" w:rsidRDefault="0054031F" w:rsidP="0054031F">
      <w:pPr>
        <w:pStyle w:val="BodyText"/>
        <w:jc w:val="left"/>
        <w:rPr>
          <w:rFonts w:eastAsia="Arial Unicode MS"/>
          <w:color w:val="000000"/>
        </w:rPr>
      </w:pPr>
    </w:p>
    <w:p w14:paraId="40492345" w14:textId="77777777" w:rsidR="0054031F" w:rsidRPr="00005453" w:rsidRDefault="0054031F" w:rsidP="0054031F">
      <w:pPr>
        <w:pStyle w:val="BodyText"/>
        <w:jc w:val="left"/>
        <w:rPr>
          <w:rFonts w:eastAsia="Arial Unicode MS"/>
          <w:color w:val="000000"/>
        </w:rPr>
      </w:pPr>
    </w:p>
    <w:p w14:paraId="50DAD420" w14:textId="77777777" w:rsidR="0054031F" w:rsidRPr="00005453" w:rsidRDefault="0054031F" w:rsidP="0054031F">
      <w:pPr>
        <w:pStyle w:val="BodyText"/>
        <w:jc w:val="left"/>
        <w:rPr>
          <w:rFonts w:eastAsia="Arial Unicode MS"/>
          <w:color w:val="000000"/>
        </w:rPr>
      </w:pPr>
    </w:p>
    <w:p w14:paraId="7608A318" w14:textId="77777777" w:rsidR="0054031F" w:rsidRPr="00005453" w:rsidRDefault="0054031F" w:rsidP="0054031F">
      <w:pPr>
        <w:pStyle w:val="BodyText"/>
        <w:jc w:val="left"/>
        <w:rPr>
          <w:rFonts w:eastAsia="Arial Unicode MS"/>
          <w:color w:val="000000"/>
        </w:rPr>
      </w:pPr>
    </w:p>
    <w:p w14:paraId="4465B6E5" w14:textId="77777777" w:rsidR="0054031F" w:rsidRPr="00005453" w:rsidRDefault="0054031F" w:rsidP="0054031F">
      <w:pPr>
        <w:pStyle w:val="BodyText"/>
        <w:jc w:val="left"/>
        <w:rPr>
          <w:rFonts w:eastAsia="Arial Unicode MS"/>
          <w:color w:val="000000"/>
        </w:rPr>
      </w:pPr>
    </w:p>
    <w:p w14:paraId="0D264DAE" w14:textId="77777777" w:rsidR="0054031F" w:rsidRPr="00005453" w:rsidRDefault="0054031F" w:rsidP="0054031F">
      <w:pPr>
        <w:pStyle w:val="BodyText"/>
        <w:jc w:val="left"/>
        <w:rPr>
          <w:rFonts w:eastAsia="Arial Unicode MS"/>
          <w:color w:val="000000"/>
        </w:rPr>
      </w:pPr>
    </w:p>
    <w:p w14:paraId="117EC190" w14:textId="77777777" w:rsidR="0054031F" w:rsidRPr="00005453" w:rsidRDefault="0054031F" w:rsidP="0054031F">
      <w:pPr>
        <w:pStyle w:val="BodyText"/>
        <w:jc w:val="left"/>
        <w:rPr>
          <w:rFonts w:eastAsia="Arial Unicode MS"/>
          <w:color w:val="000000"/>
        </w:rPr>
      </w:pPr>
    </w:p>
    <w:p w14:paraId="46D47160" w14:textId="77777777" w:rsidR="0054031F" w:rsidRPr="00005453" w:rsidRDefault="0054031F" w:rsidP="0054031F">
      <w:pPr>
        <w:pStyle w:val="BodyText"/>
        <w:jc w:val="left"/>
        <w:rPr>
          <w:rFonts w:eastAsia="Arial Unicode MS"/>
          <w:color w:val="000000"/>
        </w:rPr>
      </w:pPr>
    </w:p>
    <w:p w14:paraId="43EC4F1B" w14:textId="77777777" w:rsidR="0054031F" w:rsidRPr="00005453" w:rsidRDefault="0054031F" w:rsidP="0054031F">
      <w:pPr>
        <w:pStyle w:val="BodyText"/>
        <w:jc w:val="left"/>
        <w:rPr>
          <w:rFonts w:eastAsia="Arial Unicode MS"/>
          <w:color w:val="000000"/>
        </w:rPr>
      </w:pPr>
    </w:p>
    <w:p w14:paraId="5BA3A59C" w14:textId="77777777" w:rsidR="0054031F" w:rsidRPr="00005453" w:rsidRDefault="0054031F" w:rsidP="0054031F">
      <w:pPr>
        <w:pStyle w:val="BodyText"/>
        <w:jc w:val="left"/>
        <w:rPr>
          <w:rFonts w:eastAsia="Arial Unicode MS"/>
          <w:color w:val="000000"/>
        </w:rPr>
      </w:pPr>
    </w:p>
    <w:p w14:paraId="3015339B" w14:textId="77777777" w:rsidR="0054031F" w:rsidRPr="00005453" w:rsidRDefault="0054031F" w:rsidP="0054031F">
      <w:pPr>
        <w:pStyle w:val="BodyText"/>
        <w:jc w:val="left"/>
        <w:rPr>
          <w:rFonts w:eastAsia="Arial Unicode MS"/>
          <w:color w:val="000000"/>
        </w:rPr>
      </w:pPr>
    </w:p>
    <w:p w14:paraId="3869844C" w14:textId="1F874A70" w:rsidR="0054031F" w:rsidRPr="00005453" w:rsidRDefault="0054031F" w:rsidP="0054031F">
      <w:pPr>
        <w:pStyle w:val="BodyText"/>
        <w:jc w:val="left"/>
        <w:rPr>
          <w:rFonts w:eastAsia="Arial Unicode MS"/>
          <w:color w:val="000000"/>
        </w:rPr>
      </w:pPr>
    </w:p>
    <w:p w14:paraId="243F650F" w14:textId="6A8AD7B0" w:rsidR="00AB088D" w:rsidRPr="00005453" w:rsidRDefault="00AB088D" w:rsidP="0054031F">
      <w:pPr>
        <w:pStyle w:val="BodyText"/>
        <w:jc w:val="left"/>
        <w:rPr>
          <w:rFonts w:eastAsia="Arial Unicode MS"/>
          <w:color w:val="000000"/>
        </w:rPr>
      </w:pPr>
    </w:p>
    <w:p w14:paraId="6B816E1A" w14:textId="2C331516" w:rsidR="00AB088D" w:rsidRPr="00005453" w:rsidRDefault="00AB088D" w:rsidP="0054031F">
      <w:pPr>
        <w:pStyle w:val="BodyText"/>
        <w:jc w:val="left"/>
        <w:rPr>
          <w:rFonts w:eastAsia="Arial Unicode MS"/>
          <w:color w:val="000000"/>
        </w:rPr>
      </w:pPr>
    </w:p>
    <w:p w14:paraId="3EBCA5F0" w14:textId="132D7192" w:rsidR="00AB088D" w:rsidRPr="00005453" w:rsidRDefault="00AB088D" w:rsidP="0054031F">
      <w:pPr>
        <w:pStyle w:val="BodyText"/>
        <w:jc w:val="left"/>
        <w:rPr>
          <w:rFonts w:eastAsia="Arial Unicode MS"/>
          <w:color w:val="000000"/>
        </w:rPr>
      </w:pPr>
    </w:p>
    <w:p w14:paraId="516AAA21" w14:textId="3E683355" w:rsidR="00AB088D" w:rsidRPr="00005453" w:rsidRDefault="00AB088D" w:rsidP="0054031F">
      <w:pPr>
        <w:pStyle w:val="BodyText"/>
        <w:jc w:val="left"/>
        <w:rPr>
          <w:rFonts w:eastAsia="Arial Unicode MS"/>
          <w:color w:val="000000"/>
        </w:rPr>
      </w:pPr>
    </w:p>
    <w:p w14:paraId="3E861913" w14:textId="01A24556" w:rsidR="00AB088D" w:rsidRPr="00005453" w:rsidRDefault="00AB088D" w:rsidP="0054031F">
      <w:pPr>
        <w:pStyle w:val="BodyText"/>
        <w:jc w:val="left"/>
        <w:rPr>
          <w:rFonts w:eastAsia="Arial Unicode MS"/>
          <w:color w:val="000000"/>
        </w:rPr>
      </w:pPr>
    </w:p>
    <w:p w14:paraId="494A99EE" w14:textId="27BBC312" w:rsidR="00AB088D" w:rsidRPr="00005453" w:rsidRDefault="00AB088D" w:rsidP="0054031F">
      <w:pPr>
        <w:pStyle w:val="BodyText"/>
        <w:jc w:val="left"/>
        <w:rPr>
          <w:rFonts w:eastAsia="Arial Unicode MS"/>
          <w:color w:val="000000"/>
        </w:rPr>
      </w:pPr>
    </w:p>
    <w:p w14:paraId="6937409C" w14:textId="4FD3C6DC" w:rsidR="00502187" w:rsidRPr="00005453" w:rsidRDefault="00502187" w:rsidP="0054031F">
      <w:pPr>
        <w:pStyle w:val="BodyText"/>
        <w:jc w:val="left"/>
        <w:rPr>
          <w:rFonts w:eastAsia="Arial Unicode MS"/>
          <w:color w:val="000000"/>
        </w:rPr>
      </w:pPr>
    </w:p>
    <w:p w14:paraId="0A80D053" w14:textId="0AC4BC66" w:rsidR="009520BF" w:rsidRPr="00005453" w:rsidRDefault="009520BF" w:rsidP="0054031F">
      <w:pPr>
        <w:pStyle w:val="BodyText"/>
        <w:jc w:val="left"/>
        <w:rPr>
          <w:rFonts w:eastAsia="Arial Unicode MS"/>
          <w:color w:val="000000"/>
        </w:rPr>
      </w:pPr>
    </w:p>
    <w:p w14:paraId="387C4A08" w14:textId="1330D87F" w:rsidR="009520BF" w:rsidRPr="00005453" w:rsidRDefault="009520BF" w:rsidP="0054031F">
      <w:pPr>
        <w:pStyle w:val="BodyText"/>
        <w:jc w:val="left"/>
        <w:rPr>
          <w:rFonts w:eastAsia="Arial Unicode MS"/>
          <w:color w:val="000000"/>
        </w:rPr>
      </w:pPr>
    </w:p>
    <w:p w14:paraId="53EE2D78" w14:textId="73532A4F" w:rsidR="009520BF" w:rsidRPr="00005453" w:rsidRDefault="009520BF" w:rsidP="0054031F">
      <w:pPr>
        <w:pStyle w:val="BodyText"/>
        <w:jc w:val="left"/>
        <w:rPr>
          <w:rFonts w:eastAsia="Arial Unicode MS"/>
          <w:color w:val="000000"/>
        </w:rPr>
      </w:pPr>
    </w:p>
    <w:p w14:paraId="588B111C" w14:textId="77777777" w:rsidR="009520BF" w:rsidRPr="00005453" w:rsidRDefault="009520BF" w:rsidP="0054031F">
      <w:pPr>
        <w:pStyle w:val="BodyText"/>
        <w:jc w:val="left"/>
        <w:rPr>
          <w:rFonts w:eastAsia="Arial Unicode MS"/>
          <w:color w:val="000000"/>
        </w:rPr>
      </w:pPr>
    </w:p>
    <w:p w14:paraId="430519EC" w14:textId="7209A66C" w:rsidR="00F20AF5" w:rsidRPr="00005453" w:rsidRDefault="00F20AF5">
      <w:pPr>
        <w:rPr>
          <w:rFonts w:eastAsia="Arial Unicode MS"/>
          <w:color w:val="000000"/>
          <w:lang w:eastAsia="x-none"/>
        </w:rPr>
      </w:pPr>
      <w:r w:rsidRPr="00005453">
        <w:rPr>
          <w:rFonts w:eastAsia="Arial Unicode MS"/>
          <w:color w:val="000000"/>
        </w:rPr>
        <w:br w:type="page"/>
      </w:r>
    </w:p>
    <w:p w14:paraId="3B371FD9" w14:textId="77777777" w:rsidR="0054031F" w:rsidRPr="00005453" w:rsidRDefault="0054031F" w:rsidP="0054031F">
      <w:pPr>
        <w:autoSpaceDE w:val="0"/>
        <w:autoSpaceDN w:val="0"/>
        <w:adjustRightInd w:val="0"/>
        <w:ind w:hanging="567"/>
        <w:rPr>
          <w:b/>
          <w:bCs/>
          <w:lang w:eastAsia="zh-CN"/>
        </w:rPr>
      </w:pPr>
      <w:r w:rsidRPr="00005453">
        <w:rPr>
          <w:b/>
          <w:bCs/>
          <w:lang w:eastAsia="zh-CN"/>
        </w:rPr>
        <w:lastRenderedPageBreak/>
        <w:t xml:space="preserve">2.4.    </w:t>
      </w:r>
      <w:r w:rsidRPr="00005453">
        <w:rPr>
          <w:b/>
          <w:bCs/>
          <w:lang w:eastAsia="zh-CN"/>
        </w:rPr>
        <w:tab/>
        <w:t>Risk sınıflarına ilişkin bilgiler</w:t>
      </w:r>
    </w:p>
    <w:p w14:paraId="4CCD9BFA" w14:textId="77777777" w:rsidR="0054031F" w:rsidRPr="00005453" w:rsidRDefault="0054031F" w:rsidP="0054031F">
      <w:pPr>
        <w:autoSpaceDE w:val="0"/>
        <w:autoSpaceDN w:val="0"/>
        <w:adjustRightInd w:val="0"/>
        <w:rPr>
          <w:b/>
          <w:bCs/>
          <w:sz w:val="16"/>
          <w:szCs w:val="16"/>
          <w:lang w:eastAsia="zh-CN"/>
        </w:rPr>
      </w:pPr>
    </w:p>
    <w:p w14:paraId="06E59EFD" w14:textId="77777777" w:rsidR="0054031F" w:rsidRPr="00005453" w:rsidRDefault="0054031F" w:rsidP="0054031F">
      <w:pPr>
        <w:autoSpaceDE w:val="0"/>
        <w:autoSpaceDN w:val="0"/>
        <w:adjustRightInd w:val="0"/>
        <w:jc w:val="both"/>
        <w:rPr>
          <w:color w:val="000000"/>
        </w:rPr>
      </w:pPr>
      <w:r w:rsidRPr="00005453">
        <w:rPr>
          <w:color w:val="000000"/>
        </w:rPr>
        <w:t xml:space="preserve">Bankaların Sermaye Yeterliliğinin Ölçülmesine ve Değerlendirilmesine İlişkin Yönetmeliğin </w:t>
      </w:r>
      <w:proofErr w:type="gramStart"/>
      <w:r w:rsidRPr="00005453">
        <w:rPr>
          <w:color w:val="000000"/>
        </w:rPr>
        <w:t>7 nci</w:t>
      </w:r>
      <w:proofErr w:type="gramEnd"/>
      <w:r w:rsidRPr="00005453">
        <w:rPr>
          <w:color w:val="000000"/>
        </w:rPr>
        <w:t xml:space="preserve"> maddesi uyarınca, risk ağırlıklı tutarların hesaplanmasında risk ağırlıklarının belirlenmesi derecelendirme şirketleri tarafından verilen kredi derecelerine göre yapılmaktadır. </w:t>
      </w:r>
    </w:p>
    <w:p w14:paraId="3211093B" w14:textId="77777777" w:rsidR="0054031F" w:rsidRPr="00005453" w:rsidRDefault="0054031F" w:rsidP="0054031F">
      <w:pPr>
        <w:autoSpaceDE w:val="0"/>
        <w:autoSpaceDN w:val="0"/>
        <w:adjustRightInd w:val="0"/>
        <w:jc w:val="both"/>
        <w:rPr>
          <w:color w:val="000000"/>
          <w:sz w:val="10"/>
          <w:szCs w:val="10"/>
        </w:rPr>
      </w:pPr>
    </w:p>
    <w:p w14:paraId="529BF48C" w14:textId="3DF65D87" w:rsidR="0054031F" w:rsidRPr="00005453" w:rsidRDefault="0054031F" w:rsidP="0054031F">
      <w:pPr>
        <w:autoSpaceDE w:val="0"/>
        <w:autoSpaceDN w:val="0"/>
        <w:adjustRightInd w:val="0"/>
        <w:jc w:val="both"/>
        <w:rPr>
          <w:color w:val="000000"/>
        </w:rPr>
      </w:pPr>
      <w:r w:rsidRPr="00005453">
        <w:rPr>
          <w:color w:val="000000"/>
        </w:rPr>
        <w:t xml:space="preserve">Bankalar ve </w:t>
      </w:r>
      <w:r w:rsidR="00766064" w:rsidRPr="00005453">
        <w:rPr>
          <w:color w:val="000000"/>
        </w:rPr>
        <w:t>Aracı Kurumlardan</w:t>
      </w:r>
      <w:r w:rsidRPr="00005453">
        <w:rPr>
          <w:color w:val="000000"/>
        </w:rPr>
        <w:t xml:space="preserve"> Alacaklar varlık sınıfı için, karşı tarafı yurt</w:t>
      </w:r>
      <w:r w:rsidR="00455FD1" w:rsidRPr="00005453">
        <w:rPr>
          <w:color w:val="000000"/>
        </w:rPr>
        <w:t xml:space="preserve"> </w:t>
      </w:r>
      <w:r w:rsidRPr="00005453">
        <w:rPr>
          <w:color w:val="000000"/>
        </w:rPr>
        <w:t>dışında yerleşik kişi olan alacaklarla sınırlı olmak üzere uluslararası bir kredi derecelendirme kuruluşunun dereceleri kullanılmaktadır. Bankalardan</w:t>
      </w:r>
      <w:r w:rsidR="00766064" w:rsidRPr="00005453">
        <w:rPr>
          <w:color w:val="000000"/>
        </w:rPr>
        <w:t xml:space="preserve"> ve Aracı Kurumlardan</w:t>
      </w:r>
      <w:r w:rsidRPr="00005453">
        <w:rPr>
          <w:color w:val="000000"/>
        </w:rPr>
        <w:t xml:space="preserve"> alacaklar orjinal vadesine göre iki ayrı alacak sınıfında incelenir. Orjinal vadesi 3 ay veya daha kısa ise “Bankalar ve Aracı Kurumlardan Kısa Vadeli Alacaklar” (BKV), 3 aydan uzun ise “Bankalar ve Aracı Kurumlardan Alacaklar” (BA) sınıfına atanır. Yurt</w:t>
      </w:r>
      <w:r w:rsidR="00714298" w:rsidRPr="00005453">
        <w:rPr>
          <w:color w:val="000000"/>
        </w:rPr>
        <w:t xml:space="preserve"> </w:t>
      </w:r>
      <w:r w:rsidRPr="00005453">
        <w:rPr>
          <w:color w:val="000000"/>
        </w:rPr>
        <w:t>içinde yerleşik olan banka ve kuruluşlar ise derecesiz olarak değerlendirilmektedir.</w:t>
      </w:r>
    </w:p>
    <w:p w14:paraId="44019013" w14:textId="77777777" w:rsidR="0054031F" w:rsidRPr="00005453" w:rsidRDefault="0054031F" w:rsidP="0054031F">
      <w:pPr>
        <w:autoSpaceDE w:val="0"/>
        <w:autoSpaceDN w:val="0"/>
        <w:adjustRightInd w:val="0"/>
        <w:jc w:val="both"/>
        <w:rPr>
          <w:color w:val="000000"/>
          <w:sz w:val="10"/>
          <w:szCs w:val="10"/>
        </w:rPr>
      </w:pPr>
    </w:p>
    <w:p w14:paraId="0B01145A" w14:textId="69CA0A87" w:rsidR="0054031F" w:rsidRPr="00005453" w:rsidRDefault="0054031F" w:rsidP="0054031F">
      <w:pPr>
        <w:autoSpaceDE w:val="0"/>
        <w:autoSpaceDN w:val="0"/>
        <w:adjustRightInd w:val="0"/>
        <w:jc w:val="both"/>
        <w:rPr>
          <w:color w:val="000000"/>
        </w:rPr>
      </w:pPr>
      <w:r w:rsidRPr="00005453">
        <w:rPr>
          <w:color w:val="000000"/>
        </w:rPr>
        <w:t>Uluslararası kredi derecelendirme kuruluşunun vermiş olduğu dereceler risk ağırlıklı varlık sınıfını belirlemekte kullanılmaktadır. Kredi derecelendirme kuruluşunun dereceleri karşı tarafı yurt</w:t>
      </w:r>
      <w:r w:rsidR="00455FD1" w:rsidRPr="00005453">
        <w:rPr>
          <w:color w:val="000000"/>
        </w:rPr>
        <w:t xml:space="preserve"> </w:t>
      </w:r>
      <w:r w:rsidRPr="00005453">
        <w:rPr>
          <w:color w:val="000000"/>
        </w:rPr>
        <w:t>dışında yerleşik kişi olan alacaklarla sınırlı o</w:t>
      </w:r>
      <w:r w:rsidR="00766064" w:rsidRPr="00005453">
        <w:rPr>
          <w:color w:val="000000"/>
        </w:rPr>
        <w:t>lmak üzere; Bankalar ve Aracı Kurumlardan</w:t>
      </w:r>
      <w:r w:rsidRPr="00005453">
        <w:rPr>
          <w:color w:val="000000"/>
        </w:rPr>
        <w:t xml:space="preserve"> Alacaklar varlık sınıfı için kullanılmaktadır.</w:t>
      </w:r>
    </w:p>
    <w:p w14:paraId="4376864E" w14:textId="77777777" w:rsidR="0054031F" w:rsidRPr="00005453" w:rsidRDefault="0054031F" w:rsidP="0054031F">
      <w:pPr>
        <w:autoSpaceDE w:val="0"/>
        <w:autoSpaceDN w:val="0"/>
        <w:adjustRightInd w:val="0"/>
        <w:jc w:val="both"/>
        <w:rPr>
          <w:color w:val="000000"/>
          <w:sz w:val="10"/>
          <w:szCs w:val="10"/>
        </w:rPr>
      </w:pPr>
    </w:p>
    <w:p w14:paraId="350B2E5C" w14:textId="77777777" w:rsidR="0054031F" w:rsidRPr="00005453" w:rsidRDefault="0054031F" w:rsidP="0054031F">
      <w:pPr>
        <w:autoSpaceDE w:val="0"/>
        <w:autoSpaceDN w:val="0"/>
        <w:adjustRightInd w:val="0"/>
        <w:rPr>
          <w:color w:val="000000"/>
        </w:rPr>
      </w:pPr>
      <w:r w:rsidRPr="00005453">
        <w:rPr>
          <w:color w:val="000000"/>
        </w:rPr>
        <w:t>Kredi derecelendirme kuruluşunun derecelendirmelerine karşılık gelen “Kredi Kalite Kademeleri’ne aşağıdaki tabloda yer verilmiştir.</w:t>
      </w:r>
    </w:p>
    <w:p w14:paraId="545C7803" w14:textId="46081C17" w:rsidR="000A76C0" w:rsidRPr="00005453" w:rsidRDefault="000A76C0" w:rsidP="006D4398">
      <w:pPr>
        <w:spacing w:line="240" w:lineRule="exact"/>
        <w:ind w:right="-23"/>
        <w:jc w:val="both"/>
        <w:rPr>
          <w:lang w:val="de-DE" w:eastAsia="en-GB"/>
        </w:rPr>
      </w:pPr>
    </w:p>
    <w:tbl>
      <w:tblPr>
        <w:tblW w:w="9393" w:type="dxa"/>
        <w:tblCellMar>
          <w:left w:w="70" w:type="dxa"/>
          <w:right w:w="70" w:type="dxa"/>
        </w:tblCellMar>
        <w:tblLook w:val="04A0" w:firstRow="1" w:lastRow="0" w:firstColumn="1" w:lastColumn="0" w:noHBand="0" w:noVBand="1"/>
      </w:tblPr>
      <w:tblGrid>
        <w:gridCol w:w="1316"/>
        <w:gridCol w:w="1286"/>
        <w:gridCol w:w="1903"/>
        <w:gridCol w:w="1346"/>
        <w:gridCol w:w="1176"/>
        <w:gridCol w:w="1017"/>
        <w:gridCol w:w="1349"/>
      </w:tblGrid>
      <w:tr w:rsidR="000A76C0" w:rsidRPr="00005453" w14:paraId="09D457D1" w14:textId="77777777" w:rsidTr="000A76C0">
        <w:trPr>
          <w:divId w:val="800608488"/>
          <w:trHeight w:val="240"/>
        </w:trPr>
        <w:tc>
          <w:tcPr>
            <w:tcW w:w="1316" w:type="dxa"/>
            <w:vMerge w:val="restart"/>
            <w:tcBorders>
              <w:top w:val="single" w:sz="8" w:space="0" w:color="auto"/>
              <w:left w:val="single" w:sz="8" w:space="0" w:color="auto"/>
              <w:bottom w:val="single" w:sz="8" w:space="0" w:color="000000"/>
              <w:right w:val="nil"/>
            </w:tcBorders>
            <w:shd w:val="clear" w:color="auto" w:fill="auto"/>
            <w:vAlign w:val="center"/>
            <w:hideMark/>
          </w:tcPr>
          <w:p w14:paraId="72739E25" w14:textId="6448B534" w:rsidR="000A76C0" w:rsidRPr="00005453" w:rsidRDefault="000A76C0" w:rsidP="000A76C0">
            <w:pPr>
              <w:jc w:val="center"/>
              <w:rPr>
                <w:b/>
                <w:bCs/>
                <w:color w:val="000000"/>
                <w:sz w:val="18"/>
                <w:szCs w:val="18"/>
                <w:lang w:eastAsia="tr-TR"/>
              </w:rPr>
            </w:pPr>
            <w:r w:rsidRPr="00005453">
              <w:rPr>
                <w:b/>
                <w:bCs/>
                <w:color w:val="000000"/>
                <w:sz w:val="18"/>
                <w:szCs w:val="18"/>
                <w:lang w:eastAsia="tr-TR"/>
              </w:rPr>
              <w:t>Kredi Kalitesi Kademesi</w:t>
            </w:r>
          </w:p>
        </w:tc>
        <w:tc>
          <w:tcPr>
            <w:tcW w:w="1286" w:type="dxa"/>
            <w:vMerge w:val="restart"/>
            <w:tcBorders>
              <w:top w:val="single" w:sz="8" w:space="0" w:color="auto"/>
              <w:left w:val="nil"/>
              <w:bottom w:val="single" w:sz="8" w:space="0" w:color="000000"/>
              <w:right w:val="nil"/>
            </w:tcBorders>
            <w:shd w:val="clear" w:color="auto" w:fill="auto"/>
            <w:vAlign w:val="center"/>
            <w:hideMark/>
          </w:tcPr>
          <w:p w14:paraId="5886D3D2"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Kredi Derecesi</w:t>
            </w:r>
          </w:p>
        </w:tc>
        <w:tc>
          <w:tcPr>
            <w:tcW w:w="6791" w:type="dxa"/>
            <w:gridSpan w:val="5"/>
            <w:tcBorders>
              <w:top w:val="single" w:sz="8" w:space="0" w:color="auto"/>
              <w:left w:val="nil"/>
              <w:bottom w:val="nil"/>
              <w:right w:val="single" w:sz="8" w:space="0" w:color="000000"/>
            </w:tcBorders>
            <w:shd w:val="clear" w:color="auto" w:fill="auto"/>
            <w:vAlign w:val="center"/>
            <w:hideMark/>
          </w:tcPr>
          <w:p w14:paraId="47790C29"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Risk Sınıfları</w:t>
            </w:r>
          </w:p>
        </w:tc>
      </w:tr>
      <w:tr w:rsidR="000A76C0" w:rsidRPr="00005453" w14:paraId="5ECB5E94" w14:textId="77777777" w:rsidTr="000A76C0">
        <w:trPr>
          <w:divId w:val="800608488"/>
          <w:trHeight w:val="571"/>
        </w:trPr>
        <w:tc>
          <w:tcPr>
            <w:tcW w:w="1316" w:type="dxa"/>
            <w:vMerge/>
            <w:tcBorders>
              <w:top w:val="single" w:sz="8" w:space="0" w:color="auto"/>
              <w:left w:val="single" w:sz="8" w:space="0" w:color="auto"/>
              <w:bottom w:val="single" w:sz="8" w:space="0" w:color="000000"/>
              <w:right w:val="nil"/>
            </w:tcBorders>
            <w:vAlign w:val="center"/>
            <w:hideMark/>
          </w:tcPr>
          <w:p w14:paraId="32399503" w14:textId="77777777" w:rsidR="000A76C0" w:rsidRPr="00005453"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61674BF" w14:textId="77777777" w:rsidR="000A76C0" w:rsidRPr="00005453" w:rsidRDefault="000A76C0" w:rsidP="000A76C0">
            <w:pPr>
              <w:rPr>
                <w:b/>
                <w:bCs/>
                <w:color w:val="000000"/>
                <w:sz w:val="18"/>
                <w:szCs w:val="18"/>
                <w:lang w:eastAsia="tr-TR"/>
              </w:rPr>
            </w:pPr>
          </w:p>
        </w:tc>
        <w:tc>
          <w:tcPr>
            <w:tcW w:w="1903" w:type="dxa"/>
            <w:vMerge w:val="restart"/>
            <w:tcBorders>
              <w:top w:val="single" w:sz="8" w:space="0" w:color="auto"/>
              <w:left w:val="nil"/>
              <w:bottom w:val="single" w:sz="8" w:space="0" w:color="000000"/>
              <w:right w:val="nil"/>
            </w:tcBorders>
            <w:shd w:val="clear" w:color="auto" w:fill="auto"/>
            <w:vAlign w:val="center"/>
            <w:hideMark/>
          </w:tcPr>
          <w:p w14:paraId="0689A95E"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Merkezi Yönetimlerden veya Merkez Bankalarından Alacaklar</w:t>
            </w:r>
          </w:p>
        </w:tc>
        <w:tc>
          <w:tcPr>
            <w:tcW w:w="3539" w:type="dxa"/>
            <w:gridSpan w:val="3"/>
            <w:vMerge w:val="restart"/>
            <w:tcBorders>
              <w:top w:val="single" w:sz="8" w:space="0" w:color="auto"/>
              <w:left w:val="nil"/>
              <w:bottom w:val="single" w:sz="8" w:space="0" w:color="000000"/>
              <w:right w:val="nil"/>
            </w:tcBorders>
            <w:shd w:val="clear" w:color="auto" w:fill="auto"/>
            <w:vAlign w:val="center"/>
            <w:hideMark/>
          </w:tcPr>
          <w:p w14:paraId="6A3336CA"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Bankalardan ve Aracı Kurumlardan Alacaklar</w:t>
            </w:r>
          </w:p>
        </w:tc>
        <w:tc>
          <w:tcPr>
            <w:tcW w:w="1347" w:type="dxa"/>
            <w:vMerge w:val="restart"/>
            <w:tcBorders>
              <w:top w:val="single" w:sz="8" w:space="0" w:color="auto"/>
              <w:left w:val="nil"/>
              <w:bottom w:val="single" w:sz="8" w:space="0" w:color="000000"/>
              <w:right w:val="single" w:sz="8" w:space="0" w:color="auto"/>
            </w:tcBorders>
            <w:shd w:val="clear" w:color="auto" w:fill="auto"/>
            <w:vAlign w:val="center"/>
            <w:hideMark/>
          </w:tcPr>
          <w:p w14:paraId="49C9D3B3"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Kurumsal Alacaklar</w:t>
            </w:r>
          </w:p>
        </w:tc>
      </w:tr>
      <w:tr w:rsidR="000A76C0" w:rsidRPr="00005453" w14:paraId="5CBFEF03"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3AF84AD4" w14:textId="77777777" w:rsidR="000A76C0" w:rsidRPr="00005453"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25B728B" w14:textId="77777777" w:rsidR="000A76C0" w:rsidRPr="00005453"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69461BEE" w14:textId="77777777" w:rsidR="000A76C0" w:rsidRPr="00005453" w:rsidRDefault="000A76C0" w:rsidP="000A76C0">
            <w:pPr>
              <w:rPr>
                <w:b/>
                <w:bCs/>
                <w:color w:val="000000"/>
                <w:sz w:val="18"/>
                <w:szCs w:val="18"/>
                <w:lang w:eastAsia="tr-TR"/>
              </w:rPr>
            </w:pPr>
          </w:p>
        </w:tc>
        <w:tc>
          <w:tcPr>
            <w:tcW w:w="3539" w:type="dxa"/>
            <w:gridSpan w:val="3"/>
            <w:vMerge/>
            <w:tcBorders>
              <w:top w:val="single" w:sz="8" w:space="0" w:color="auto"/>
              <w:left w:val="nil"/>
              <w:bottom w:val="single" w:sz="8" w:space="0" w:color="000000"/>
              <w:right w:val="nil"/>
            </w:tcBorders>
            <w:vAlign w:val="center"/>
            <w:hideMark/>
          </w:tcPr>
          <w:p w14:paraId="41AA66B5" w14:textId="77777777" w:rsidR="000A76C0" w:rsidRPr="00005453"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330126" w14:textId="77777777" w:rsidR="000A76C0" w:rsidRPr="00005453" w:rsidRDefault="000A76C0" w:rsidP="000A76C0">
            <w:pPr>
              <w:rPr>
                <w:b/>
                <w:bCs/>
                <w:color w:val="000000"/>
                <w:sz w:val="18"/>
                <w:szCs w:val="18"/>
                <w:lang w:eastAsia="tr-TR"/>
              </w:rPr>
            </w:pPr>
          </w:p>
        </w:tc>
      </w:tr>
      <w:tr w:rsidR="000A76C0" w:rsidRPr="00005453" w14:paraId="5A2D9867" w14:textId="77777777" w:rsidTr="000A76C0">
        <w:trPr>
          <w:divId w:val="800608488"/>
          <w:trHeight w:val="549"/>
        </w:trPr>
        <w:tc>
          <w:tcPr>
            <w:tcW w:w="1316" w:type="dxa"/>
            <w:vMerge/>
            <w:tcBorders>
              <w:top w:val="single" w:sz="8" w:space="0" w:color="auto"/>
              <w:left w:val="single" w:sz="8" w:space="0" w:color="auto"/>
              <w:bottom w:val="single" w:sz="8" w:space="0" w:color="000000"/>
              <w:right w:val="nil"/>
            </w:tcBorders>
            <w:vAlign w:val="center"/>
            <w:hideMark/>
          </w:tcPr>
          <w:p w14:paraId="4A41289F" w14:textId="77777777" w:rsidR="000A76C0" w:rsidRPr="00005453"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0C03022" w14:textId="77777777" w:rsidR="000A76C0" w:rsidRPr="00005453"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803500F" w14:textId="77777777" w:rsidR="000A76C0" w:rsidRPr="00005453" w:rsidRDefault="000A76C0" w:rsidP="000A76C0">
            <w:pPr>
              <w:rPr>
                <w:b/>
                <w:bCs/>
                <w:color w:val="000000"/>
                <w:sz w:val="18"/>
                <w:szCs w:val="18"/>
                <w:lang w:eastAsia="tr-TR"/>
              </w:rPr>
            </w:pPr>
          </w:p>
        </w:tc>
        <w:tc>
          <w:tcPr>
            <w:tcW w:w="1346" w:type="dxa"/>
            <w:vMerge w:val="restart"/>
            <w:tcBorders>
              <w:top w:val="nil"/>
              <w:left w:val="nil"/>
              <w:bottom w:val="single" w:sz="8" w:space="0" w:color="000000"/>
              <w:right w:val="nil"/>
            </w:tcBorders>
            <w:shd w:val="clear" w:color="auto" w:fill="auto"/>
            <w:vAlign w:val="center"/>
            <w:hideMark/>
          </w:tcPr>
          <w:p w14:paraId="222322C6"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Orijinal Vadesi 3 Aydan Küçük Alacaklar</w:t>
            </w:r>
          </w:p>
        </w:tc>
        <w:tc>
          <w:tcPr>
            <w:tcW w:w="2193" w:type="dxa"/>
            <w:gridSpan w:val="2"/>
            <w:vMerge w:val="restart"/>
            <w:tcBorders>
              <w:top w:val="single" w:sz="8" w:space="0" w:color="auto"/>
              <w:left w:val="nil"/>
              <w:bottom w:val="single" w:sz="8" w:space="0" w:color="000000"/>
              <w:right w:val="nil"/>
            </w:tcBorders>
            <w:shd w:val="clear" w:color="auto" w:fill="auto"/>
            <w:vAlign w:val="center"/>
            <w:hideMark/>
          </w:tcPr>
          <w:p w14:paraId="38F9B8CF" w14:textId="77777777" w:rsidR="000A76C0" w:rsidRPr="00005453" w:rsidRDefault="000A76C0" w:rsidP="000A76C0">
            <w:pPr>
              <w:jc w:val="center"/>
              <w:rPr>
                <w:b/>
                <w:bCs/>
                <w:color w:val="000000"/>
                <w:sz w:val="18"/>
                <w:szCs w:val="18"/>
                <w:lang w:eastAsia="tr-TR"/>
              </w:rPr>
            </w:pPr>
            <w:r w:rsidRPr="00005453">
              <w:rPr>
                <w:b/>
                <w:bCs/>
                <w:color w:val="000000"/>
                <w:sz w:val="18"/>
                <w:szCs w:val="18"/>
                <w:lang w:eastAsia="tr-TR"/>
              </w:rPr>
              <w:t>Orijinal Vadesi 3 Aydan Büyük Alacaklar</w:t>
            </w:r>
          </w:p>
        </w:tc>
        <w:tc>
          <w:tcPr>
            <w:tcW w:w="1347" w:type="dxa"/>
            <w:vMerge/>
            <w:tcBorders>
              <w:top w:val="single" w:sz="8" w:space="0" w:color="auto"/>
              <w:left w:val="nil"/>
              <w:bottom w:val="single" w:sz="8" w:space="0" w:color="000000"/>
              <w:right w:val="single" w:sz="8" w:space="0" w:color="auto"/>
            </w:tcBorders>
            <w:vAlign w:val="center"/>
            <w:hideMark/>
          </w:tcPr>
          <w:p w14:paraId="5F339D7C" w14:textId="77777777" w:rsidR="000A76C0" w:rsidRPr="00005453" w:rsidRDefault="000A76C0" w:rsidP="000A76C0">
            <w:pPr>
              <w:rPr>
                <w:b/>
                <w:bCs/>
                <w:color w:val="000000"/>
                <w:sz w:val="18"/>
                <w:szCs w:val="18"/>
                <w:lang w:eastAsia="tr-TR"/>
              </w:rPr>
            </w:pPr>
          </w:p>
        </w:tc>
      </w:tr>
      <w:tr w:rsidR="000A76C0" w:rsidRPr="00005453" w14:paraId="54BD38A7"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223C9903" w14:textId="77777777" w:rsidR="000A76C0" w:rsidRPr="00005453"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09C6C9A8" w14:textId="77777777" w:rsidR="000A76C0" w:rsidRPr="00005453"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A32E309" w14:textId="77777777" w:rsidR="000A76C0" w:rsidRPr="00005453" w:rsidRDefault="000A76C0" w:rsidP="000A76C0">
            <w:pPr>
              <w:rPr>
                <w:b/>
                <w:bCs/>
                <w:color w:val="000000"/>
                <w:sz w:val="18"/>
                <w:szCs w:val="18"/>
                <w:lang w:eastAsia="tr-TR"/>
              </w:rPr>
            </w:pPr>
          </w:p>
        </w:tc>
        <w:tc>
          <w:tcPr>
            <w:tcW w:w="1346" w:type="dxa"/>
            <w:vMerge/>
            <w:tcBorders>
              <w:top w:val="nil"/>
              <w:left w:val="nil"/>
              <w:bottom w:val="single" w:sz="8" w:space="0" w:color="000000"/>
              <w:right w:val="nil"/>
            </w:tcBorders>
            <w:vAlign w:val="center"/>
            <w:hideMark/>
          </w:tcPr>
          <w:p w14:paraId="7D3CA22A" w14:textId="77777777" w:rsidR="000A76C0" w:rsidRPr="00005453" w:rsidRDefault="000A76C0" w:rsidP="000A76C0">
            <w:pPr>
              <w:rPr>
                <w:b/>
                <w:bCs/>
                <w:color w:val="000000"/>
                <w:sz w:val="18"/>
                <w:szCs w:val="18"/>
                <w:lang w:eastAsia="tr-TR"/>
              </w:rPr>
            </w:pPr>
          </w:p>
        </w:tc>
        <w:tc>
          <w:tcPr>
            <w:tcW w:w="2193" w:type="dxa"/>
            <w:gridSpan w:val="2"/>
            <w:vMerge/>
            <w:tcBorders>
              <w:top w:val="single" w:sz="8" w:space="0" w:color="auto"/>
              <w:left w:val="nil"/>
              <w:bottom w:val="single" w:sz="8" w:space="0" w:color="000000"/>
              <w:right w:val="nil"/>
            </w:tcBorders>
            <w:vAlign w:val="center"/>
            <w:hideMark/>
          </w:tcPr>
          <w:p w14:paraId="1A26138E" w14:textId="77777777" w:rsidR="000A76C0" w:rsidRPr="00005453"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C8F073" w14:textId="77777777" w:rsidR="000A76C0" w:rsidRPr="00005453" w:rsidRDefault="000A76C0" w:rsidP="000A76C0">
            <w:pPr>
              <w:rPr>
                <w:b/>
                <w:bCs/>
                <w:color w:val="000000"/>
                <w:sz w:val="18"/>
                <w:szCs w:val="18"/>
                <w:lang w:eastAsia="tr-TR"/>
              </w:rPr>
            </w:pPr>
          </w:p>
        </w:tc>
      </w:tr>
      <w:tr w:rsidR="000A76C0" w:rsidRPr="00005453" w14:paraId="75E79D7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A33467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C224CD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AAA</w:t>
            </w:r>
          </w:p>
        </w:tc>
        <w:tc>
          <w:tcPr>
            <w:tcW w:w="1903" w:type="dxa"/>
            <w:tcBorders>
              <w:top w:val="nil"/>
              <w:left w:val="nil"/>
              <w:bottom w:val="nil"/>
              <w:right w:val="nil"/>
            </w:tcBorders>
            <w:shd w:val="clear" w:color="auto" w:fill="auto"/>
            <w:vAlign w:val="center"/>
            <w:hideMark/>
          </w:tcPr>
          <w:p w14:paraId="6AEAD49B"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4DEB2BDA" w14:textId="77777777" w:rsidR="000A76C0" w:rsidRPr="00005453" w:rsidRDefault="000A76C0" w:rsidP="000A76C0">
            <w:pPr>
              <w:jc w:val="center"/>
              <w:rPr>
                <w:lang w:eastAsia="tr-TR"/>
              </w:rPr>
            </w:pPr>
          </w:p>
        </w:tc>
        <w:tc>
          <w:tcPr>
            <w:tcW w:w="2193" w:type="dxa"/>
            <w:gridSpan w:val="2"/>
            <w:tcBorders>
              <w:top w:val="single" w:sz="8" w:space="0" w:color="auto"/>
              <w:left w:val="nil"/>
              <w:bottom w:val="nil"/>
              <w:right w:val="nil"/>
            </w:tcBorders>
            <w:shd w:val="clear" w:color="auto" w:fill="auto"/>
            <w:vAlign w:val="center"/>
            <w:hideMark/>
          </w:tcPr>
          <w:p w14:paraId="51FE399D"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nil"/>
              <w:right w:val="single" w:sz="8" w:space="0" w:color="auto"/>
            </w:tcBorders>
            <w:shd w:val="clear" w:color="auto" w:fill="auto"/>
            <w:vAlign w:val="center"/>
            <w:hideMark/>
          </w:tcPr>
          <w:p w14:paraId="20F519B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08044DF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5190322C"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w:t>
            </w:r>
          </w:p>
        </w:tc>
        <w:tc>
          <w:tcPr>
            <w:tcW w:w="1286" w:type="dxa"/>
            <w:tcBorders>
              <w:top w:val="nil"/>
              <w:left w:val="nil"/>
              <w:bottom w:val="nil"/>
              <w:right w:val="nil"/>
            </w:tcBorders>
            <w:shd w:val="clear" w:color="auto" w:fill="auto"/>
            <w:vAlign w:val="center"/>
            <w:hideMark/>
          </w:tcPr>
          <w:p w14:paraId="23E1A35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2243326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%0</w:t>
            </w:r>
          </w:p>
        </w:tc>
        <w:tc>
          <w:tcPr>
            <w:tcW w:w="1346" w:type="dxa"/>
            <w:tcBorders>
              <w:top w:val="nil"/>
              <w:left w:val="nil"/>
              <w:bottom w:val="nil"/>
              <w:right w:val="nil"/>
            </w:tcBorders>
            <w:shd w:val="clear" w:color="auto" w:fill="auto"/>
            <w:vAlign w:val="center"/>
            <w:hideMark/>
          </w:tcPr>
          <w:p w14:paraId="06F1099D"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80A72FF"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w:t>
            </w:r>
          </w:p>
        </w:tc>
        <w:tc>
          <w:tcPr>
            <w:tcW w:w="1347" w:type="dxa"/>
            <w:tcBorders>
              <w:top w:val="nil"/>
              <w:left w:val="nil"/>
              <w:bottom w:val="nil"/>
              <w:right w:val="single" w:sz="8" w:space="0" w:color="auto"/>
            </w:tcBorders>
            <w:shd w:val="clear" w:color="auto" w:fill="auto"/>
            <w:vAlign w:val="center"/>
            <w:hideMark/>
          </w:tcPr>
          <w:p w14:paraId="73EA8BD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w:t>
            </w:r>
          </w:p>
        </w:tc>
      </w:tr>
      <w:tr w:rsidR="000A76C0" w:rsidRPr="00005453" w14:paraId="022F36A7"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2830BF7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712D5EC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749963AF"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B9232BA" w14:textId="77777777" w:rsidR="000A76C0" w:rsidRPr="00005453"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2B0D0AD" w14:textId="77777777" w:rsidR="000A76C0" w:rsidRPr="00005453"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04426527"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4A960878"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685061F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6ECAE42C"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AA-</w:t>
            </w:r>
          </w:p>
        </w:tc>
        <w:tc>
          <w:tcPr>
            <w:tcW w:w="1903" w:type="dxa"/>
            <w:tcBorders>
              <w:top w:val="nil"/>
              <w:left w:val="nil"/>
              <w:bottom w:val="single" w:sz="8" w:space="0" w:color="auto"/>
              <w:right w:val="nil"/>
            </w:tcBorders>
            <w:shd w:val="clear" w:color="auto" w:fill="auto"/>
            <w:vAlign w:val="center"/>
            <w:hideMark/>
          </w:tcPr>
          <w:p w14:paraId="78A0599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A9A5F4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4F45399F"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DC07004"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045A3C76"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8CFB437"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3418CE7"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14C75B8D"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F0FFDB3" w14:textId="77777777" w:rsidR="000A76C0" w:rsidRPr="00005453"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3848ED2" w14:textId="77777777" w:rsidR="000A76C0" w:rsidRPr="00005453"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F68037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1440FD8B"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4CE25F4"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w:t>
            </w:r>
          </w:p>
        </w:tc>
        <w:tc>
          <w:tcPr>
            <w:tcW w:w="1286" w:type="dxa"/>
            <w:tcBorders>
              <w:top w:val="nil"/>
              <w:left w:val="nil"/>
              <w:bottom w:val="nil"/>
              <w:right w:val="nil"/>
            </w:tcBorders>
            <w:shd w:val="clear" w:color="auto" w:fill="auto"/>
            <w:vAlign w:val="center"/>
            <w:hideMark/>
          </w:tcPr>
          <w:p w14:paraId="4392C62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70C79436"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w:t>
            </w:r>
          </w:p>
        </w:tc>
        <w:tc>
          <w:tcPr>
            <w:tcW w:w="1346" w:type="dxa"/>
            <w:tcBorders>
              <w:top w:val="nil"/>
              <w:left w:val="nil"/>
              <w:bottom w:val="nil"/>
              <w:right w:val="nil"/>
            </w:tcBorders>
            <w:shd w:val="clear" w:color="auto" w:fill="auto"/>
            <w:vAlign w:val="center"/>
            <w:hideMark/>
          </w:tcPr>
          <w:p w14:paraId="338DCC9C"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1EF5336"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355836F4"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w:t>
            </w:r>
          </w:p>
        </w:tc>
      </w:tr>
      <w:tr w:rsidR="000A76C0" w:rsidRPr="00005453" w14:paraId="367335B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4B7B3D"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6C3A06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A-</w:t>
            </w:r>
          </w:p>
        </w:tc>
        <w:tc>
          <w:tcPr>
            <w:tcW w:w="1903" w:type="dxa"/>
            <w:tcBorders>
              <w:top w:val="nil"/>
              <w:left w:val="nil"/>
              <w:bottom w:val="single" w:sz="8" w:space="0" w:color="auto"/>
              <w:right w:val="nil"/>
            </w:tcBorders>
            <w:shd w:val="clear" w:color="auto" w:fill="auto"/>
            <w:vAlign w:val="center"/>
            <w:hideMark/>
          </w:tcPr>
          <w:p w14:paraId="69EDC06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60FAE43E"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412FA8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372235B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7737380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CE0D34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816E35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011BC365"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1239DCF" w14:textId="77777777" w:rsidR="000A76C0" w:rsidRPr="00005453"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E69D6CE" w14:textId="77777777" w:rsidR="000A76C0" w:rsidRPr="00005453"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D62828C"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40C57FB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6E7364" w14:textId="77777777" w:rsidR="000A76C0" w:rsidRPr="00005453" w:rsidRDefault="000A76C0" w:rsidP="000A76C0">
            <w:pPr>
              <w:jc w:val="center"/>
              <w:rPr>
                <w:color w:val="000000"/>
                <w:sz w:val="18"/>
                <w:szCs w:val="18"/>
                <w:lang w:eastAsia="tr-TR"/>
              </w:rPr>
            </w:pPr>
            <w:r w:rsidRPr="00005453">
              <w:rPr>
                <w:color w:val="000000"/>
                <w:sz w:val="18"/>
                <w:szCs w:val="18"/>
                <w:lang w:eastAsia="tr-TR"/>
              </w:rPr>
              <w:t>3</w:t>
            </w:r>
          </w:p>
        </w:tc>
        <w:tc>
          <w:tcPr>
            <w:tcW w:w="1286" w:type="dxa"/>
            <w:tcBorders>
              <w:top w:val="nil"/>
              <w:left w:val="nil"/>
              <w:bottom w:val="nil"/>
              <w:right w:val="nil"/>
            </w:tcBorders>
            <w:shd w:val="clear" w:color="auto" w:fill="auto"/>
            <w:vAlign w:val="center"/>
            <w:hideMark/>
          </w:tcPr>
          <w:p w14:paraId="544D720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3A1B96C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w:t>
            </w:r>
          </w:p>
        </w:tc>
        <w:tc>
          <w:tcPr>
            <w:tcW w:w="1346" w:type="dxa"/>
            <w:tcBorders>
              <w:top w:val="nil"/>
              <w:left w:val="nil"/>
              <w:bottom w:val="nil"/>
              <w:right w:val="nil"/>
            </w:tcBorders>
            <w:shd w:val="clear" w:color="auto" w:fill="auto"/>
            <w:vAlign w:val="center"/>
            <w:hideMark/>
          </w:tcPr>
          <w:p w14:paraId="4F74719D"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413770A6"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06E95744"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r>
      <w:tr w:rsidR="000A76C0" w:rsidRPr="00005453" w14:paraId="7B603C5D"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73C0F87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D09433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BBB-</w:t>
            </w:r>
          </w:p>
        </w:tc>
        <w:tc>
          <w:tcPr>
            <w:tcW w:w="1903" w:type="dxa"/>
            <w:tcBorders>
              <w:top w:val="nil"/>
              <w:left w:val="nil"/>
              <w:bottom w:val="single" w:sz="8" w:space="0" w:color="auto"/>
              <w:right w:val="nil"/>
            </w:tcBorders>
            <w:shd w:val="clear" w:color="auto" w:fill="auto"/>
            <w:vAlign w:val="center"/>
            <w:hideMark/>
          </w:tcPr>
          <w:p w14:paraId="7764D8E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2E288D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77A84F1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0EEED4A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7C12325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F8C31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2361BE7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77D3FADF"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1A4C2697" w14:textId="77777777" w:rsidR="000A76C0" w:rsidRPr="00005453"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76711FC8" w14:textId="77777777" w:rsidR="000A76C0" w:rsidRPr="00005453"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CDD2CF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566F6B1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6121A87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4</w:t>
            </w:r>
          </w:p>
        </w:tc>
        <w:tc>
          <w:tcPr>
            <w:tcW w:w="1286" w:type="dxa"/>
            <w:tcBorders>
              <w:top w:val="nil"/>
              <w:left w:val="nil"/>
              <w:bottom w:val="nil"/>
              <w:right w:val="nil"/>
            </w:tcBorders>
            <w:shd w:val="clear" w:color="auto" w:fill="auto"/>
            <w:vAlign w:val="center"/>
            <w:hideMark/>
          </w:tcPr>
          <w:p w14:paraId="6347CE7E"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54C990A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53BEA76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5428699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2D66A908"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r>
      <w:tr w:rsidR="000A76C0" w:rsidRPr="00005453" w14:paraId="333B54EB"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0B6BA99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3C550E9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BB-</w:t>
            </w:r>
          </w:p>
        </w:tc>
        <w:tc>
          <w:tcPr>
            <w:tcW w:w="1903" w:type="dxa"/>
            <w:tcBorders>
              <w:top w:val="nil"/>
              <w:left w:val="nil"/>
              <w:bottom w:val="single" w:sz="8" w:space="0" w:color="auto"/>
              <w:right w:val="nil"/>
            </w:tcBorders>
            <w:shd w:val="clear" w:color="auto" w:fill="auto"/>
            <w:vAlign w:val="center"/>
            <w:hideMark/>
          </w:tcPr>
          <w:p w14:paraId="261CCA4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98924C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5D554427"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B248627"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4E5FB2F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0635918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01D30A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ADF4DA2"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3B1FBB8" w14:textId="77777777" w:rsidR="000A76C0" w:rsidRPr="00005453"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4E12A0B4" w14:textId="77777777" w:rsidR="000A76C0" w:rsidRPr="00005453"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3BABF19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28AD50F0"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860FB9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w:t>
            </w:r>
          </w:p>
        </w:tc>
        <w:tc>
          <w:tcPr>
            <w:tcW w:w="1286" w:type="dxa"/>
            <w:tcBorders>
              <w:top w:val="nil"/>
              <w:left w:val="nil"/>
              <w:bottom w:val="nil"/>
              <w:right w:val="nil"/>
            </w:tcBorders>
            <w:shd w:val="clear" w:color="auto" w:fill="auto"/>
            <w:vAlign w:val="center"/>
            <w:hideMark/>
          </w:tcPr>
          <w:p w14:paraId="4BA12F4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1A01CC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767BB6AE"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031C359D"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6C41858D"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%150</w:t>
            </w:r>
          </w:p>
        </w:tc>
      </w:tr>
      <w:tr w:rsidR="000A76C0" w:rsidRPr="00005453" w14:paraId="6692724A"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06C22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A53507F" w14:textId="77777777" w:rsidR="000A76C0" w:rsidRPr="00005453" w:rsidRDefault="000A76C0" w:rsidP="000A76C0">
            <w:pPr>
              <w:jc w:val="center"/>
              <w:rPr>
                <w:color w:val="000000"/>
                <w:sz w:val="18"/>
                <w:szCs w:val="18"/>
                <w:lang w:eastAsia="tr-TR"/>
              </w:rPr>
            </w:pPr>
            <w:r w:rsidRPr="00005453">
              <w:rPr>
                <w:color w:val="000000"/>
                <w:sz w:val="18"/>
                <w:szCs w:val="18"/>
                <w:lang w:eastAsia="tr-TR"/>
              </w:rPr>
              <w:t>B-</w:t>
            </w:r>
          </w:p>
        </w:tc>
        <w:tc>
          <w:tcPr>
            <w:tcW w:w="1903" w:type="dxa"/>
            <w:tcBorders>
              <w:top w:val="nil"/>
              <w:left w:val="nil"/>
              <w:bottom w:val="single" w:sz="8" w:space="0" w:color="auto"/>
              <w:right w:val="nil"/>
            </w:tcBorders>
            <w:shd w:val="clear" w:color="auto" w:fill="auto"/>
            <w:vAlign w:val="center"/>
            <w:hideMark/>
          </w:tcPr>
          <w:p w14:paraId="7943FB6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011053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8013A6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1229BF0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63044088"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B377FA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295D1F" w14:textId="77777777" w:rsidR="000A76C0" w:rsidRPr="00005453" w:rsidRDefault="000A76C0" w:rsidP="000A76C0">
            <w:pPr>
              <w:jc w:val="center"/>
              <w:rPr>
                <w:color w:val="000000"/>
                <w:sz w:val="18"/>
                <w:szCs w:val="18"/>
                <w:lang w:eastAsia="tr-TR"/>
              </w:rPr>
            </w:pPr>
            <w:r w:rsidRPr="00005453">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3CE6493A"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6993FD2D" w14:textId="77777777" w:rsidR="000A76C0" w:rsidRPr="00005453"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D648FA5" w14:textId="77777777" w:rsidR="000A76C0" w:rsidRPr="00005453"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45E7A726"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39BABDD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2C988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AE4DEFF" w14:textId="77777777" w:rsidR="000A76C0" w:rsidRPr="00005453" w:rsidRDefault="000A76C0" w:rsidP="000A76C0">
            <w:pPr>
              <w:jc w:val="center"/>
              <w:rPr>
                <w:color w:val="000000"/>
                <w:sz w:val="18"/>
                <w:szCs w:val="18"/>
                <w:lang w:eastAsia="tr-TR"/>
              </w:rPr>
            </w:pPr>
            <w:r w:rsidRPr="00005453">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094B8F97"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2D05B1D" w14:textId="77777777" w:rsidR="000A76C0" w:rsidRPr="00005453"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E443768" w14:textId="77777777" w:rsidR="000A76C0" w:rsidRPr="00005453"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1A0E82C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3D41BDBF"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C12B76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6</w:t>
            </w:r>
          </w:p>
        </w:tc>
        <w:tc>
          <w:tcPr>
            <w:tcW w:w="1286" w:type="dxa"/>
            <w:tcBorders>
              <w:top w:val="nil"/>
              <w:left w:val="nil"/>
              <w:bottom w:val="nil"/>
              <w:right w:val="nil"/>
            </w:tcBorders>
            <w:shd w:val="clear" w:color="auto" w:fill="auto"/>
            <w:vAlign w:val="center"/>
            <w:hideMark/>
          </w:tcPr>
          <w:p w14:paraId="0511D3E4" w14:textId="77777777" w:rsidR="000A76C0" w:rsidRPr="00005453" w:rsidRDefault="000A76C0" w:rsidP="000A76C0">
            <w:pPr>
              <w:jc w:val="center"/>
              <w:rPr>
                <w:color w:val="000000"/>
                <w:sz w:val="18"/>
                <w:szCs w:val="18"/>
                <w:lang w:eastAsia="tr-TR"/>
              </w:rPr>
            </w:pPr>
            <w:r w:rsidRPr="00005453">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17FA8887"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%150</w:t>
            </w:r>
          </w:p>
        </w:tc>
        <w:tc>
          <w:tcPr>
            <w:tcW w:w="1346" w:type="dxa"/>
            <w:tcBorders>
              <w:top w:val="nil"/>
              <w:left w:val="nil"/>
              <w:bottom w:val="nil"/>
              <w:right w:val="nil"/>
            </w:tcBorders>
            <w:shd w:val="clear" w:color="auto" w:fill="auto"/>
            <w:vAlign w:val="center"/>
            <w:hideMark/>
          </w:tcPr>
          <w:p w14:paraId="01546D73"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%150</w:t>
            </w:r>
          </w:p>
        </w:tc>
        <w:tc>
          <w:tcPr>
            <w:tcW w:w="2193" w:type="dxa"/>
            <w:gridSpan w:val="2"/>
            <w:tcBorders>
              <w:top w:val="nil"/>
              <w:left w:val="nil"/>
              <w:bottom w:val="nil"/>
              <w:right w:val="nil"/>
            </w:tcBorders>
            <w:shd w:val="clear" w:color="auto" w:fill="auto"/>
            <w:vAlign w:val="center"/>
            <w:hideMark/>
          </w:tcPr>
          <w:p w14:paraId="1EF7966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%150</w:t>
            </w:r>
          </w:p>
        </w:tc>
        <w:tc>
          <w:tcPr>
            <w:tcW w:w="1347" w:type="dxa"/>
            <w:tcBorders>
              <w:top w:val="nil"/>
              <w:left w:val="nil"/>
              <w:bottom w:val="nil"/>
              <w:right w:val="single" w:sz="8" w:space="0" w:color="auto"/>
            </w:tcBorders>
            <w:shd w:val="clear" w:color="auto" w:fill="auto"/>
            <w:vAlign w:val="center"/>
            <w:hideMark/>
          </w:tcPr>
          <w:p w14:paraId="1B523ED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%150</w:t>
            </w:r>
          </w:p>
        </w:tc>
      </w:tr>
      <w:tr w:rsidR="000A76C0" w:rsidRPr="00005453" w14:paraId="29CF9B4A"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E191F58"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4D431C2" w14:textId="77777777" w:rsidR="000A76C0" w:rsidRPr="00005453" w:rsidRDefault="000A76C0" w:rsidP="000A76C0">
            <w:pPr>
              <w:jc w:val="center"/>
              <w:rPr>
                <w:color w:val="000000"/>
                <w:sz w:val="18"/>
                <w:szCs w:val="18"/>
                <w:lang w:eastAsia="tr-TR"/>
              </w:rPr>
            </w:pPr>
            <w:r w:rsidRPr="00005453">
              <w:rPr>
                <w:color w:val="000000"/>
                <w:sz w:val="18"/>
                <w:szCs w:val="18"/>
                <w:lang w:eastAsia="tr-TR"/>
              </w:rPr>
              <w:t>CC</w:t>
            </w:r>
          </w:p>
        </w:tc>
        <w:tc>
          <w:tcPr>
            <w:tcW w:w="1903" w:type="dxa"/>
            <w:tcBorders>
              <w:top w:val="nil"/>
              <w:left w:val="nil"/>
              <w:bottom w:val="nil"/>
              <w:right w:val="nil"/>
            </w:tcBorders>
            <w:shd w:val="clear" w:color="auto" w:fill="auto"/>
            <w:vAlign w:val="center"/>
            <w:hideMark/>
          </w:tcPr>
          <w:p w14:paraId="1B85C18F"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755F5BDE" w14:textId="77777777" w:rsidR="000A76C0" w:rsidRPr="00005453"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6545A71" w14:textId="77777777" w:rsidR="000A76C0" w:rsidRPr="00005453"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4D1E989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2ADDE5C2"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852A98"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BFD25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C</w:t>
            </w:r>
          </w:p>
        </w:tc>
        <w:tc>
          <w:tcPr>
            <w:tcW w:w="1903" w:type="dxa"/>
            <w:tcBorders>
              <w:top w:val="nil"/>
              <w:left w:val="nil"/>
              <w:bottom w:val="nil"/>
              <w:right w:val="nil"/>
            </w:tcBorders>
            <w:shd w:val="clear" w:color="auto" w:fill="auto"/>
            <w:vAlign w:val="center"/>
            <w:hideMark/>
          </w:tcPr>
          <w:p w14:paraId="48F584F6" w14:textId="77777777" w:rsidR="000A76C0" w:rsidRPr="00005453"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0DFAA909" w14:textId="77777777" w:rsidR="000A76C0" w:rsidRPr="00005453"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43385AD" w14:textId="77777777" w:rsidR="000A76C0" w:rsidRPr="00005453"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279C1BA9"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10E7072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DC40245"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0397CCCA" w14:textId="77777777" w:rsidR="000A76C0" w:rsidRPr="00005453" w:rsidRDefault="000A76C0" w:rsidP="000A76C0">
            <w:pPr>
              <w:jc w:val="center"/>
              <w:rPr>
                <w:color w:val="000000"/>
                <w:sz w:val="18"/>
                <w:szCs w:val="18"/>
                <w:lang w:eastAsia="tr-TR"/>
              </w:rPr>
            </w:pPr>
            <w:r w:rsidRPr="00005453">
              <w:rPr>
                <w:color w:val="000000"/>
                <w:sz w:val="18"/>
                <w:szCs w:val="18"/>
                <w:lang w:eastAsia="tr-TR"/>
              </w:rPr>
              <w:t>D</w:t>
            </w:r>
          </w:p>
        </w:tc>
        <w:tc>
          <w:tcPr>
            <w:tcW w:w="1903" w:type="dxa"/>
            <w:tcBorders>
              <w:top w:val="nil"/>
              <w:left w:val="nil"/>
              <w:bottom w:val="single" w:sz="8" w:space="0" w:color="auto"/>
              <w:right w:val="nil"/>
            </w:tcBorders>
            <w:shd w:val="clear" w:color="auto" w:fill="auto"/>
            <w:vAlign w:val="center"/>
            <w:hideMark/>
          </w:tcPr>
          <w:p w14:paraId="71980BF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10EFCF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70C20B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574F1BB6" w14:textId="77777777" w:rsidR="000A76C0" w:rsidRPr="00005453" w:rsidRDefault="000A76C0" w:rsidP="000A76C0">
            <w:pPr>
              <w:jc w:val="center"/>
              <w:rPr>
                <w:color w:val="000000"/>
                <w:sz w:val="18"/>
                <w:szCs w:val="18"/>
                <w:lang w:eastAsia="tr-TR"/>
              </w:rPr>
            </w:pPr>
            <w:r w:rsidRPr="00005453">
              <w:rPr>
                <w:color w:val="000000"/>
                <w:sz w:val="18"/>
                <w:szCs w:val="18"/>
                <w:lang w:eastAsia="tr-TR"/>
              </w:rPr>
              <w:t> </w:t>
            </w:r>
          </w:p>
        </w:tc>
      </w:tr>
      <w:tr w:rsidR="000A76C0" w:rsidRPr="00005453" w14:paraId="6CE690AA" w14:textId="77777777" w:rsidTr="00144265">
        <w:trPr>
          <w:divId w:val="800608488"/>
          <w:trHeight w:val="305"/>
        </w:trPr>
        <w:tc>
          <w:tcPr>
            <w:tcW w:w="1316" w:type="dxa"/>
            <w:tcBorders>
              <w:top w:val="nil"/>
              <w:left w:val="single" w:sz="8" w:space="0" w:color="auto"/>
              <w:bottom w:val="single" w:sz="8" w:space="0" w:color="auto"/>
              <w:right w:val="nil"/>
            </w:tcBorders>
            <w:shd w:val="clear" w:color="auto" w:fill="auto"/>
            <w:vAlign w:val="center"/>
            <w:hideMark/>
          </w:tcPr>
          <w:p w14:paraId="0A0A74E8" w14:textId="77777777" w:rsidR="000A76C0" w:rsidRPr="00005453" w:rsidRDefault="000A76C0" w:rsidP="000A76C0">
            <w:pPr>
              <w:jc w:val="center"/>
              <w:rPr>
                <w:color w:val="000000"/>
                <w:sz w:val="18"/>
                <w:szCs w:val="18"/>
                <w:lang w:eastAsia="tr-TR"/>
              </w:rPr>
            </w:pPr>
            <w:r w:rsidRPr="00005453">
              <w:rPr>
                <w:color w:val="000000"/>
                <w:sz w:val="18"/>
                <w:szCs w:val="18"/>
                <w:lang w:eastAsia="tr-TR"/>
              </w:rPr>
              <w:t>Derecesiz</w:t>
            </w:r>
          </w:p>
        </w:tc>
        <w:tc>
          <w:tcPr>
            <w:tcW w:w="1286" w:type="dxa"/>
            <w:tcBorders>
              <w:top w:val="nil"/>
              <w:left w:val="nil"/>
              <w:bottom w:val="single" w:sz="8" w:space="0" w:color="auto"/>
              <w:right w:val="nil"/>
            </w:tcBorders>
            <w:shd w:val="clear" w:color="auto" w:fill="auto"/>
            <w:vAlign w:val="center"/>
            <w:hideMark/>
          </w:tcPr>
          <w:p w14:paraId="4E33A6EC" w14:textId="77777777" w:rsidR="000A76C0" w:rsidRPr="00005453" w:rsidRDefault="000A76C0" w:rsidP="000A76C0">
            <w:pPr>
              <w:jc w:val="center"/>
              <w:rPr>
                <w:color w:val="000000"/>
                <w:sz w:val="18"/>
                <w:szCs w:val="18"/>
                <w:lang w:eastAsia="tr-TR"/>
              </w:rPr>
            </w:pPr>
            <w:r w:rsidRPr="00005453">
              <w:rPr>
                <w:color w:val="000000"/>
                <w:sz w:val="18"/>
                <w:szCs w:val="18"/>
                <w:lang w:eastAsia="tr-TR"/>
              </w:rPr>
              <w:t>Derecesiz</w:t>
            </w:r>
          </w:p>
        </w:tc>
        <w:tc>
          <w:tcPr>
            <w:tcW w:w="1903" w:type="dxa"/>
            <w:tcBorders>
              <w:top w:val="nil"/>
              <w:left w:val="nil"/>
              <w:bottom w:val="single" w:sz="8" w:space="0" w:color="auto"/>
              <w:right w:val="nil"/>
            </w:tcBorders>
            <w:shd w:val="clear" w:color="auto" w:fill="auto"/>
            <w:vAlign w:val="center"/>
            <w:hideMark/>
          </w:tcPr>
          <w:p w14:paraId="2E977FE1"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c>
          <w:tcPr>
            <w:tcW w:w="1346" w:type="dxa"/>
            <w:tcBorders>
              <w:top w:val="nil"/>
              <w:left w:val="nil"/>
              <w:bottom w:val="single" w:sz="8" w:space="0" w:color="auto"/>
              <w:right w:val="nil"/>
            </w:tcBorders>
            <w:shd w:val="clear" w:color="auto" w:fill="auto"/>
            <w:vAlign w:val="center"/>
            <w:hideMark/>
          </w:tcPr>
          <w:p w14:paraId="0511B3E8" w14:textId="77777777" w:rsidR="000A76C0" w:rsidRPr="00005453" w:rsidRDefault="000A76C0" w:rsidP="000A76C0">
            <w:pPr>
              <w:jc w:val="center"/>
              <w:rPr>
                <w:color w:val="000000"/>
                <w:sz w:val="18"/>
                <w:szCs w:val="18"/>
                <w:lang w:eastAsia="tr-TR"/>
              </w:rPr>
            </w:pPr>
            <w:r w:rsidRPr="00005453">
              <w:rPr>
                <w:color w:val="000000"/>
                <w:sz w:val="18"/>
                <w:szCs w:val="18"/>
                <w:lang w:eastAsia="tr-TR"/>
              </w:rPr>
              <w:t>%20 (*)</w:t>
            </w:r>
          </w:p>
        </w:tc>
        <w:tc>
          <w:tcPr>
            <w:tcW w:w="2193" w:type="dxa"/>
            <w:gridSpan w:val="2"/>
            <w:tcBorders>
              <w:top w:val="nil"/>
              <w:left w:val="nil"/>
              <w:bottom w:val="single" w:sz="8" w:space="0" w:color="auto"/>
              <w:right w:val="nil"/>
            </w:tcBorders>
            <w:shd w:val="clear" w:color="auto" w:fill="auto"/>
            <w:vAlign w:val="center"/>
            <w:hideMark/>
          </w:tcPr>
          <w:p w14:paraId="132F849B" w14:textId="77777777" w:rsidR="000A76C0" w:rsidRPr="00005453" w:rsidRDefault="000A76C0" w:rsidP="000A76C0">
            <w:pPr>
              <w:jc w:val="center"/>
              <w:rPr>
                <w:color w:val="000000"/>
                <w:sz w:val="18"/>
                <w:szCs w:val="18"/>
                <w:lang w:eastAsia="tr-TR"/>
              </w:rPr>
            </w:pPr>
            <w:r w:rsidRPr="00005453">
              <w:rPr>
                <w:color w:val="000000"/>
                <w:sz w:val="18"/>
                <w:szCs w:val="18"/>
                <w:lang w:eastAsia="tr-TR"/>
              </w:rPr>
              <w:t>%50 (*)</w:t>
            </w:r>
          </w:p>
        </w:tc>
        <w:tc>
          <w:tcPr>
            <w:tcW w:w="1347" w:type="dxa"/>
            <w:tcBorders>
              <w:top w:val="nil"/>
              <w:left w:val="nil"/>
              <w:bottom w:val="single" w:sz="8" w:space="0" w:color="auto"/>
              <w:right w:val="single" w:sz="8" w:space="0" w:color="auto"/>
            </w:tcBorders>
            <w:shd w:val="clear" w:color="auto" w:fill="auto"/>
            <w:vAlign w:val="center"/>
            <w:hideMark/>
          </w:tcPr>
          <w:p w14:paraId="20FEE010" w14:textId="77777777" w:rsidR="000A76C0" w:rsidRPr="00005453" w:rsidRDefault="000A76C0" w:rsidP="000A76C0">
            <w:pPr>
              <w:jc w:val="center"/>
              <w:rPr>
                <w:color w:val="000000"/>
                <w:sz w:val="18"/>
                <w:szCs w:val="18"/>
                <w:lang w:eastAsia="tr-TR"/>
              </w:rPr>
            </w:pPr>
            <w:r w:rsidRPr="00005453">
              <w:rPr>
                <w:color w:val="000000"/>
                <w:sz w:val="18"/>
                <w:szCs w:val="18"/>
                <w:lang w:eastAsia="tr-TR"/>
              </w:rPr>
              <w:t>%100</w:t>
            </w:r>
          </w:p>
        </w:tc>
      </w:tr>
    </w:tbl>
    <w:p w14:paraId="0FF111D8" w14:textId="096CC8C4" w:rsidR="0054031F" w:rsidRPr="00005453" w:rsidRDefault="0054031F" w:rsidP="006D4398">
      <w:pPr>
        <w:spacing w:line="240" w:lineRule="exact"/>
        <w:ind w:right="-23"/>
        <w:jc w:val="both"/>
        <w:rPr>
          <w:rFonts w:eastAsia="Arial Unicode MS"/>
          <w:b/>
        </w:rPr>
      </w:pPr>
      <w:r w:rsidRPr="00005453">
        <w:rPr>
          <w:iCs/>
          <w:sz w:val="16"/>
          <w:szCs w:val="16"/>
        </w:rPr>
        <w:t>(*) Banka’nın kurulu olduğu ülkenin merkezi yönetimine uygulanandan daha düşük olmamak koşuluyla kullanılır.</w:t>
      </w:r>
    </w:p>
    <w:p w14:paraId="2E46349B" w14:textId="77777777" w:rsidR="0054031F" w:rsidRPr="00005453" w:rsidRDefault="0054031F" w:rsidP="0054031F">
      <w:pPr>
        <w:pStyle w:val="BodyText"/>
        <w:jc w:val="left"/>
        <w:rPr>
          <w:rFonts w:eastAsia="Arial Unicode MS"/>
          <w:color w:val="000000"/>
        </w:rPr>
        <w:sectPr w:rsidR="0054031F" w:rsidRPr="00005453" w:rsidSect="00D84F4B">
          <w:footerReference w:type="default" r:id="rId42"/>
          <w:pgSz w:w="11906" w:h="16838"/>
          <w:pgMar w:top="1438" w:right="1418" w:bottom="1417" w:left="991" w:header="708" w:footer="708" w:gutter="0"/>
          <w:cols w:space="708"/>
          <w:docGrid w:linePitch="360"/>
        </w:sectPr>
      </w:pPr>
    </w:p>
    <w:p w14:paraId="565CED6F" w14:textId="64F2AF5B" w:rsidR="0054031F" w:rsidRPr="00005453" w:rsidRDefault="0054031F" w:rsidP="0054031F">
      <w:pPr>
        <w:pStyle w:val="Heading8"/>
        <w:tabs>
          <w:tab w:val="clear" w:pos="-54"/>
        </w:tabs>
        <w:autoSpaceDE/>
        <w:autoSpaceDN/>
        <w:adjustRightInd/>
        <w:spacing w:line="233" w:lineRule="auto"/>
        <w:ind w:right="48" w:hanging="567"/>
      </w:pPr>
      <w:proofErr w:type="gramStart"/>
      <w:r w:rsidRPr="00005453">
        <w:lastRenderedPageBreak/>
        <w:t xml:space="preserve">2.5.  </w:t>
      </w:r>
      <w:r w:rsidRPr="00005453">
        <w:tab/>
      </w:r>
      <w:proofErr w:type="gramEnd"/>
      <w:r w:rsidRPr="00005453">
        <w:t xml:space="preserve"> Standart yaklaşım kullanılması durumunda kredi riski</w:t>
      </w:r>
    </w:p>
    <w:p w14:paraId="460D8DF8" w14:textId="77777777" w:rsidR="0054031F" w:rsidRPr="00005453" w:rsidRDefault="0054031F" w:rsidP="0054031F">
      <w:pPr>
        <w:rPr>
          <w:sz w:val="16"/>
          <w:szCs w:val="16"/>
        </w:rPr>
      </w:pPr>
    </w:p>
    <w:p w14:paraId="024339C1" w14:textId="4FE6F6A4" w:rsidR="000A76C0" w:rsidRPr="00005453" w:rsidRDefault="0054031F" w:rsidP="00A6645B">
      <w:pPr>
        <w:pStyle w:val="Heading8"/>
        <w:tabs>
          <w:tab w:val="clear" w:pos="-54"/>
        </w:tabs>
        <w:autoSpaceDE/>
        <w:autoSpaceDN/>
        <w:adjustRightInd/>
        <w:spacing w:line="233" w:lineRule="auto"/>
        <w:ind w:right="48" w:hanging="567"/>
        <w:rPr>
          <w:lang w:eastAsia="en-GB"/>
        </w:rPr>
      </w:pPr>
      <w:r w:rsidRPr="00005453">
        <w:t>2.5.1.</w:t>
      </w:r>
      <w:r w:rsidRPr="00005453">
        <w:tab/>
        <w:t>Maruz kalınan kredi riski ve kredi riski azaltım teknikleri</w:t>
      </w:r>
    </w:p>
    <w:p w14:paraId="1CAE42FE" w14:textId="7F5EBD45" w:rsidR="00F620B7" w:rsidRPr="00005453" w:rsidRDefault="00F620B7" w:rsidP="0054031F">
      <w:pPr>
        <w:pStyle w:val="BodyText"/>
        <w:tabs>
          <w:tab w:val="left" w:pos="1041"/>
        </w:tabs>
        <w:jc w:val="left"/>
        <w:rPr>
          <w:lang w:eastAsia="en-GB"/>
        </w:rPr>
      </w:pPr>
    </w:p>
    <w:tbl>
      <w:tblPr>
        <w:tblW w:w="13963" w:type="dxa"/>
        <w:tblCellMar>
          <w:left w:w="70" w:type="dxa"/>
          <w:right w:w="70" w:type="dxa"/>
        </w:tblCellMar>
        <w:tblLook w:val="04A0" w:firstRow="1" w:lastRow="0" w:firstColumn="1" w:lastColumn="0" w:noHBand="0" w:noVBand="1"/>
      </w:tblPr>
      <w:tblGrid>
        <w:gridCol w:w="369"/>
        <w:gridCol w:w="6205"/>
        <w:gridCol w:w="1086"/>
        <w:gridCol w:w="1159"/>
        <w:gridCol w:w="1324"/>
        <w:gridCol w:w="1324"/>
        <w:gridCol w:w="1231"/>
        <w:gridCol w:w="1265"/>
      </w:tblGrid>
      <w:tr w:rsidR="00F620B7" w:rsidRPr="00005453" w14:paraId="5692C95D" w14:textId="77777777" w:rsidTr="00E32424">
        <w:trPr>
          <w:divId w:val="629168592"/>
          <w:trHeight w:val="344"/>
        </w:trPr>
        <w:tc>
          <w:tcPr>
            <w:tcW w:w="369"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0408B39" w14:textId="6B259ABD" w:rsidR="00F620B7" w:rsidRPr="00005453" w:rsidRDefault="00F620B7" w:rsidP="00F620B7">
            <w:pPr>
              <w:rPr>
                <w:color w:val="000000"/>
                <w:sz w:val="18"/>
                <w:szCs w:val="18"/>
                <w:lang w:eastAsia="tr-TR"/>
              </w:rPr>
            </w:pPr>
            <w:r w:rsidRPr="00005453">
              <w:rPr>
                <w:color w:val="000000"/>
                <w:sz w:val="18"/>
                <w:szCs w:val="18"/>
                <w:lang w:eastAsia="tr-TR"/>
              </w:rPr>
              <w:t> </w:t>
            </w:r>
          </w:p>
        </w:tc>
        <w:tc>
          <w:tcPr>
            <w:tcW w:w="620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729DDB4" w14:textId="77777777" w:rsidR="00F620B7" w:rsidRPr="00005453" w:rsidRDefault="00F620B7" w:rsidP="00F620B7">
            <w:pPr>
              <w:rPr>
                <w:color w:val="000000"/>
                <w:sz w:val="18"/>
                <w:szCs w:val="18"/>
                <w:lang w:eastAsia="tr-TR"/>
              </w:rPr>
            </w:pPr>
            <w:r w:rsidRPr="00005453">
              <w:rPr>
                <w:color w:val="000000"/>
                <w:sz w:val="18"/>
                <w:szCs w:val="18"/>
                <w:lang w:eastAsia="tr-TR"/>
              </w:rPr>
              <w:t> </w:t>
            </w:r>
          </w:p>
        </w:tc>
        <w:tc>
          <w:tcPr>
            <w:tcW w:w="2245" w:type="dxa"/>
            <w:gridSpan w:val="2"/>
            <w:tcBorders>
              <w:top w:val="single" w:sz="8" w:space="0" w:color="auto"/>
              <w:left w:val="nil"/>
              <w:bottom w:val="nil"/>
              <w:right w:val="single" w:sz="8" w:space="0" w:color="000000"/>
            </w:tcBorders>
            <w:shd w:val="clear" w:color="auto" w:fill="auto"/>
            <w:vAlign w:val="center"/>
            <w:hideMark/>
          </w:tcPr>
          <w:p w14:paraId="5C2B0D9E" w14:textId="77777777" w:rsidR="00F620B7" w:rsidRPr="00005453" w:rsidRDefault="00F620B7" w:rsidP="00F620B7">
            <w:pPr>
              <w:jc w:val="right"/>
              <w:rPr>
                <w:color w:val="000000"/>
                <w:sz w:val="18"/>
                <w:szCs w:val="18"/>
                <w:lang w:eastAsia="tr-TR"/>
              </w:rPr>
            </w:pPr>
            <w:r w:rsidRPr="00005453">
              <w:rPr>
                <w:color w:val="000000"/>
                <w:sz w:val="18"/>
                <w:szCs w:val="18"/>
                <w:lang w:eastAsia="tr-TR"/>
              </w:rPr>
              <w:t>Kredi dönüşüm oranı ve kredi riski</w:t>
            </w:r>
          </w:p>
        </w:tc>
        <w:tc>
          <w:tcPr>
            <w:tcW w:w="2648" w:type="dxa"/>
            <w:gridSpan w:val="2"/>
            <w:tcBorders>
              <w:top w:val="single" w:sz="8" w:space="0" w:color="auto"/>
              <w:left w:val="nil"/>
              <w:bottom w:val="nil"/>
              <w:right w:val="single" w:sz="8" w:space="0" w:color="000000"/>
            </w:tcBorders>
            <w:shd w:val="clear" w:color="auto" w:fill="auto"/>
            <w:vAlign w:val="center"/>
            <w:hideMark/>
          </w:tcPr>
          <w:p w14:paraId="7AB64E52" w14:textId="77777777" w:rsidR="00F620B7" w:rsidRPr="00005453" w:rsidRDefault="00F620B7" w:rsidP="00F620B7">
            <w:pPr>
              <w:jc w:val="right"/>
              <w:rPr>
                <w:color w:val="000000"/>
                <w:sz w:val="18"/>
                <w:szCs w:val="18"/>
                <w:lang w:eastAsia="tr-TR"/>
              </w:rPr>
            </w:pPr>
            <w:r w:rsidRPr="00005453">
              <w:rPr>
                <w:color w:val="000000"/>
                <w:sz w:val="18"/>
                <w:szCs w:val="18"/>
                <w:lang w:eastAsia="tr-TR"/>
              </w:rPr>
              <w:t>Kredi dönüşüm oranı ve kredi riski</w:t>
            </w:r>
          </w:p>
        </w:tc>
        <w:tc>
          <w:tcPr>
            <w:tcW w:w="249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E79D85" w14:textId="77777777" w:rsidR="00F620B7" w:rsidRPr="00005453" w:rsidRDefault="00F620B7" w:rsidP="00F620B7">
            <w:pPr>
              <w:jc w:val="right"/>
              <w:rPr>
                <w:color w:val="000000"/>
                <w:sz w:val="18"/>
                <w:szCs w:val="18"/>
                <w:lang w:eastAsia="tr-TR"/>
              </w:rPr>
            </w:pPr>
            <w:r w:rsidRPr="00005453">
              <w:rPr>
                <w:color w:val="000000"/>
                <w:sz w:val="18"/>
                <w:szCs w:val="18"/>
                <w:lang w:eastAsia="tr-TR"/>
              </w:rPr>
              <w:t>Risk ağırlıklı tutar ve risk ağırlıklı tutar yoğunluğu</w:t>
            </w:r>
          </w:p>
        </w:tc>
      </w:tr>
      <w:tr w:rsidR="00F620B7" w:rsidRPr="00005453" w14:paraId="7373E516" w14:textId="77777777" w:rsidTr="00E32424">
        <w:trPr>
          <w:divId w:val="629168592"/>
          <w:trHeight w:val="344"/>
        </w:trPr>
        <w:tc>
          <w:tcPr>
            <w:tcW w:w="369" w:type="dxa"/>
            <w:vMerge/>
            <w:tcBorders>
              <w:top w:val="single" w:sz="8" w:space="0" w:color="auto"/>
              <w:left w:val="single" w:sz="8" w:space="0" w:color="auto"/>
              <w:bottom w:val="single" w:sz="8" w:space="0" w:color="000000"/>
              <w:right w:val="single" w:sz="8" w:space="0" w:color="auto"/>
            </w:tcBorders>
            <w:vAlign w:val="center"/>
            <w:hideMark/>
          </w:tcPr>
          <w:p w14:paraId="5843CAA7" w14:textId="77777777" w:rsidR="00F620B7" w:rsidRPr="00005453" w:rsidRDefault="00F620B7" w:rsidP="00F620B7">
            <w:pPr>
              <w:rPr>
                <w:color w:val="000000"/>
                <w:sz w:val="18"/>
                <w:szCs w:val="18"/>
                <w:lang w:eastAsia="tr-TR"/>
              </w:rPr>
            </w:pPr>
          </w:p>
        </w:tc>
        <w:tc>
          <w:tcPr>
            <w:tcW w:w="6205" w:type="dxa"/>
            <w:vMerge/>
            <w:tcBorders>
              <w:top w:val="single" w:sz="8" w:space="0" w:color="auto"/>
              <w:left w:val="single" w:sz="8" w:space="0" w:color="auto"/>
              <w:bottom w:val="single" w:sz="8" w:space="0" w:color="000000"/>
              <w:right w:val="single" w:sz="8" w:space="0" w:color="auto"/>
            </w:tcBorders>
            <w:vAlign w:val="center"/>
            <w:hideMark/>
          </w:tcPr>
          <w:p w14:paraId="3BC248A7" w14:textId="77777777" w:rsidR="00F620B7" w:rsidRPr="00005453" w:rsidRDefault="00F620B7" w:rsidP="00F620B7">
            <w:pPr>
              <w:rPr>
                <w:color w:val="000000"/>
                <w:sz w:val="18"/>
                <w:szCs w:val="18"/>
                <w:lang w:eastAsia="tr-TR"/>
              </w:rPr>
            </w:pPr>
          </w:p>
        </w:tc>
        <w:tc>
          <w:tcPr>
            <w:tcW w:w="2245" w:type="dxa"/>
            <w:gridSpan w:val="2"/>
            <w:tcBorders>
              <w:top w:val="nil"/>
              <w:left w:val="nil"/>
              <w:bottom w:val="single" w:sz="8" w:space="0" w:color="auto"/>
              <w:right w:val="single" w:sz="8" w:space="0" w:color="000000"/>
            </w:tcBorders>
            <w:shd w:val="clear" w:color="auto" w:fill="auto"/>
            <w:vAlign w:val="center"/>
            <w:hideMark/>
          </w:tcPr>
          <w:p w14:paraId="2769FC4C" w14:textId="77777777" w:rsidR="00F620B7" w:rsidRPr="00005453" w:rsidRDefault="00F620B7" w:rsidP="00F620B7">
            <w:pPr>
              <w:jc w:val="right"/>
              <w:rPr>
                <w:color w:val="000000"/>
                <w:sz w:val="18"/>
                <w:szCs w:val="18"/>
                <w:lang w:eastAsia="tr-TR"/>
              </w:rPr>
            </w:pPr>
            <w:proofErr w:type="gramStart"/>
            <w:r w:rsidRPr="00005453">
              <w:rPr>
                <w:color w:val="000000"/>
                <w:sz w:val="18"/>
                <w:szCs w:val="18"/>
                <w:lang w:eastAsia="tr-TR"/>
              </w:rPr>
              <w:t>azaltımından</w:t>
            </w:r>
            <w:proofErr w:type="gramEnd"/>
            <w:r w:rsidRPr="00005453">
              <w:rPr>
                <w:color w:val="000000"/>
                <w:sz w:val="18"/>
                <w:szCs w:val="18"/>
                <w:lang w:eastAsia="tr-TR"/>
              </w:rPr>
              <w:t xml:space="preserve"> önce alacak tutarı</w:t>
            </w:r>
          </w:p>
        </w:tc>
        <w:tc>
          <w:tcPr>
            <w:tcW w:w="2648" w:type="dxa"/>
            <w:gridSpan w:val="2"/>
            <w:tcBorders>
              <w:top w:val="nil"/>
              <w:left w:val="nil"/>
              <w:bottom w:val="single" w:sz="8" w:space="0" w:color="auto"/>
              <w:right w:val="single" w:sz="8" w:space="0" w:color="000000"/>
            </w:tcBorders>
            <w:shd w:val="clear" w:color="auto" w:fill="auto"/>
            <w:vAlign w:val="center"/>
            <w:hideMark/>
          </w:tcPr>
          <w:p w14:paraId="2800A9FB" w14:textId="77777777" w:rsidR="00F620B7" w:rsidRPr="00005453" w:rsidRDefault="00F620B7" w:rsidP="00F620B7">
            <w:pPr>
              <w:jc w:val="right"/>
              <w:rPr>
                <w:color w:val="000000"/>
                <w:sz w:val="18"/>
                <w:szCs w:val="18"/>
                <w:lang w:eastAsia="tr-TR"/>
              </w:rPr>
            </w:pPr>
            <w:proofErr w:type="gramStart"/>
            <w:r w:rsidRPr="00005453">
              <w:rPr>
                <w:color w:val="000000"/>
                <w:sz w:val="18"/>
                <w:szCs w:val="18"/>
                <w:lang w:eastAsia="tr-TR"/>
              </w:rPr>
              <w:t>azaltımından</w:t>
            </w:r>
            <w:proofErr w:type="gramEnd"/>
            <w:r w:rsidRPr="00005453">
              <w:rPr>
                <w:color w:val="000000"/>
                <w:sz w:val="18"/>
                <w:szCs w:val="18"/>
                <w:lang w:eastAsia="tr-TR"/>
              </w:rPr>
              <w:t xml:space="preserve"> sonraki alacak tutarı</w:t>
            </w:r>
          </w:p>
        </w:tc>
        <w:tc>
          <w:tcPr>
            <w:tcW w:w="2496" w:type="dxa"/>
            <w:gridSpan w:val="2"/>
            <w:vMerge/>
            <w:tcBorders>
              <w:top w:val="single" w:sz="8" w:space="0" w:color="auto"/>
              <w:left w:val="single" w:sz="8" w:space="0" w:color="auto"/>
              <w:bottom w:val="single" w:sz="8" w:space="0" w:color="000000"/>
              <w:right w:val="single" w:sz="8" w:space="0" w:color="000000"/>
            </w:tcBorders>
            <w:vAlign w:val="center"/>
            <w:hideMark/>
          </w:tcPr>
          <w:p w14:paraId="3C85C8C4" w14:textId="77777777" w:rsidR="00F620B7" w:rsidRPr="00005453" w:rsidRDefault="00F620B7" w:rsidP="00F620B7">
            <w:pPr>
              <w:rPr>
                <w:color w:val="000000"/>
                <w:sz w:val="18"/>
                <w:szCs w:val="18"/>
                <w:lang w:eastAsia="tr-TR"/>
              </w:rPr>
            </w:pPr>
          </w:p>
        </w:tc>
      </w:tr>
      <w:tr w:rsidR="00F620B7" w:rsidRPr="00005453" w14:paraId="5267E0B8" w14:textId="77777777" w:rsidTr="00E32424">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vAlign w:val="bottom"/>
            <w:hideMark/>
          </w:tcPr>
          <w:p w14:paraId="40286DAF" w14:textId="77777777" w:rsidR="00F620B7" w:rsidRPr="00005453" w:rsidRDefault="00F620B7" w:rsidP="00F620B7">
            <w:pPr>
              <w:rPr>
                <w:color w:val="000000"/>
                <w:sz w:val="18"/>
                <w:szCs w:val="18"/>
                <w:lang w:eastAsia="tr-TR"/>
              </w:rPr>
            </w:pPr>
            <w:r w:rsidRPr="00005453">
              <w:rPr>
                <w:color w:val="000000"/>
                <w:sz w:val="18"/>
                <w:szCs w:val="18"/>
                <w:lang w:eastAsia="tr-TR"/>
              </w:rPr>
              <w:t> </w:t>
            </w:r>
          </w:p>
        </w:tc>
        <w:tc>
          <w:tcPr>
            <w:tcW w:w="6205" w:type="dxa"/>
            <w:tcBorders>
              <w:top w:val="nil"/>
              <w:left w:val="nil"/>
              <w:bottom w:val="single" w:sz="8" w:space="0" w:color="auto"/>
              <w:right w:val="single" w:sz="8" w:space="0" w:color="auto"/>
            </w:tcBorders>
            <w:shd w:val="clear" w:color="auto" w:fill="auto"/>
            <w:noWrap/>
            <w:vAlign w:val="center"/>
            <w:hideMark/>
          </w:tcPr>
          <w:p w14:paraId="6A04B39B" w14:textId="77777777" w:rsidR="00F620B7" w:rsidRPr="00005453" w:rsidRDefault="00F620B7" w:rsidP="00F620B7">
            <w:pPr>
              <w:rPr>
                <w:b/>
                <w:bCs/>
                <w:color w:val="000000"/>
                <w:sz w:val="18"/>
                <w:szCs w:val="18"/>
                <w:lang w:eastAsia="tr-TR"/>
              </w:rPr>
            </w:pPr>
            <w:r w:rsidRPr="00005453">
              <w:rPr>
                <w:b/>
                <w:bCs/>
                <w:color w:val="000000"/>
                <w:sz w:val="18"/>
                <w:szCs w:val="18"/>
                <w:lang w:eastAsia="tr-TR"/>
              </w:rPr>
              <w:t>Risk Sınıfları</w:t>
            </w:r>
          </w:p>
        </w:tc>
        <w:tc>
          <w:tcPr>
            <w:tcW w:w="1086" w:type="dxa"/>
            <w:tcBorders>
              <w:top w:val="nil"/>
              <w:left w:val="nil"/>
              <w:bottom w:val="single" w:sz="8" w:space="0" w:color="auto"/>
              <w:right w:val="single" w:sz="8" w:space="0" w:color="auto"/>
            </w:tcBorders>
            <w:shd w:val="clear" w:color="auto" w:fill="auto"/>
            <w:noWrap/>
            <w:vAlign w:val="center"/>
            <w:hideMark/>
          </w:tcPr>
          <w:p w14:paraId="516B23C3" w14:textId="77777777" w:rsidR="00F620B7" w:rsidRPr="00005453" w:rsidRDefault="00F620B7" w:rsidP="00F620B7">
            <w:pPr>
              <w:jc w:val="right"/>
              <w:rPr>
                <w:color w:val="000000"/>
                <w:sz w:val="18"/>
                <w:szCs w:val="18"/>
                <w:lang w:eastAsia="tr-TR"/>
              </w:rPr>
            </w:pPr>
            <w:r w:rsidRPr="00005453">
              <w:rPr>
                <w:color w:val="000000"/>
                <w:sz w:val="18"/>
                <w:szCs w:val="18"/>
                <w:lang w:eastAsia="tr-TR"/>
              </w:rPr>
              <w:t>Bilanço içi tutar</w:t>
            </w:r>
          </w:p>
        </w:tc>
        <w:tc>
          <w:tcPr>
            <w:tcW w:w="1159" w:type="dxa"/>
            <w:tcBorders>
              <w:top w:val="nil"/>
              <w:left w:val="nil"/>
              <w:bottom w:val="single" w:sz="8" w:space="0" w:color="auto"/>
              <w:right w:val="single" w:sz="8" w:space="0" w:color="auto"/>
            </w:tcBorders>
            <w:shd w:val="clear" w:color="auto" w:fill="auto"/>
            <w:noWrap/>
            <w:vAlign w:val="center"/>
            <w:hideMark/>
          </w:tcPr>
          <w:p w14:paraId="1647E39B" w14:textId="77777777" w:rsidR="00F620B7" w:rsidRPr="00005453" w:rsidRDefault="00F620B7" w:rsidP="00F620B7">
            <w:pPr>
              <w:jc w:val="right"/>
              <w:rPr>
                <w:color w:val="000000"/>
                <w:sz w:val="18"/>
                <w:szCs w:val="18"/>
                <w:lang w:eastAsia="tr-TR"/>
              </w:rPr>
            </w:pPr>
            <w:r w:rsidRPr="00005453">
              <w:rPr>
                <w:color w:val="000000"/>
                <w:sz w:val="18"/>
                <w:szCs w:val="18"/>
                <w:lang w:eastAsia="tr-TR"/>
              </w:rPr>
              <w:t>Bilanço dışı tutar</w:t>
            </w:r>
          </w:p>
        </w:tc>
        <w:tc>
          <w:tcPr>
            <w:tcW w:w="1324" w:type="dxa"/>
            <w:tcBorders>
              <w:top w:val="nil"/>
              <w:left w:val="nil"/>
              <w:bottom w:val="single" w:sz="8" w:space="0" w:color="auto"/>
              <w:right w:val="single" w:sz="8" w:space="0" w:color="auto"/>
            </w:tcBorders>
            <w:shd w:val="clear" w:color="auto" w:fill="auto"/>
            <w:noWrap/>
            <w:vAlign w:val="center"/>
            <w:hideMark/>
          </w:tcPr>
          <w:p w14:paraId="5EF37D22" w14:textId="77777777" w:rsidR="00F620B7" w:rsidRPr="00005453" w:rsidRDefault="00F620B7" w:rsidP="00F620B7">
            <w:pPr>
              <w:jc w:val="right"/>
              <w:rPr>
                <w:color w:val="000000"/>
                <w:sz w:val="18"/>
                <w:szCs w:val="18"/>
                <w:lang w:eastAsia="tr-TR"/>
              </w:rPr>
            </w:pPr>
            <w:r w:rsidRPr="00005453">
              <w:rPr>
                <w:color w:val="000000"/>
                <w:sz w:val="18"/>
                <w:szCs w:val="18"/>
                <w:lang w:eastAsia="tr-TR"/>
              </w:rPr>
              <w:t>Bilanço içi tutar</w:t>
            </w:r>
          </w:p>
        </w:tc>
        <w:tc>
          <w:tcPr>
            <w:tcW w:w="1324" w:type="dxa"/>
            <w:tcBorders>
              <w:top w:val="nil"/>
              <w:left w:val="nil"/>
              <w:bottom w:val="single" w:sz="8" w:space="0" w:color="auto"/>
              <w:right w:val="single" w:sz="8" w:space="0" w:color="auto"/>
            </w:tcBorders>
            <w:shd w:val="clear" w:color="auto" w:fill="auto"/>
            <w:noWrap/>
            <w:vAlign w:val="center"/>
            <w:hideMark/>
          </w:tcPr>
          <w:p w14:paraId="3E147AA9" w14:textId="77777777" w:rsidR="00F620B7" w:rsidRPr="00005453" w:rsidRDefault="00F620B7" w:rsidP="00F620B7">
            <w:pPr>
              <w:jc w:val="right"/>
              <w:rPr>
                <w:color w:val="000000"/>
                <w:sz w:val="18"/>
                <w:szCs w:val="18"/>
                <w:lang w:eastAsia="tr-TR"/>
              </w:rPr>
            </w:pPr>
            <w:r w:rsidRPr="00005453">
              <w:rPr>
                <w:color w:val="000000"/>
                <w:sz w:val="18"/>
                <w:szCs w:val="18"/>
                <w:lang w:eastAsia="tr-TR"/>
              </w:rPr>
              <w:t>Bilanço dışı tutar</w:t>
            </w:r>
          </w:p>
        </w:tc>
        <w:tc>
          <w:tcPr>
            <w:tcW w:w="1231" w:type="dxa"/>
            <w:tcBorders>
              <w:top w:val="nil"/>
              <w:left w:val="nil"/>
              <w:bottom w:val="single" w:sz="8" w:space="0" w:color="auto"/>
              <w:right w:val="single" w:sz="8" w:space="0" w:color="auto"/>
            </w:tcBorders>
            <w:shd w:val="clear" w:color="auto" w:fill="auto"/>
            <w:noWrap/>
            <w:vAlign w:val="center"/>
            <w:hideMark/>
          </w:tcPr>
          <w:p w14:paraId="32B28228" w14:textId="77777777" w:rsidR="00F620B7" w:rsidRPr="00005453" w:rsidRDefault="00F620B7" w:rsidP="00F620B7">
            <w:pPr>
              <w:jc w:val="right"/>
              <w:rPr>
                <w:color w:val="000000"/>
                <w:sz w:val="18"/>
                <w:szCs w:val="18"/>
                <w:lang w:eastAsia="tr-TR"/>
              </w:rPr>
            </w:pPr>
            <w:r w:rsidRPr="00005453">
              <w:rPr>
                <w:color w:val="000000"/>
                <w:sz w:val="18"/>
                <w:szCs w:val="18"/>
                <w:lang w:eastAsia="tr-TR"/>
              </w:rPr>
              <w:t>Risk ağırlıklı tutar</w:t>
            </w:r>
          </w:p>
        </w:tc>
        <w:tc>
          <w:tcPr>
            <w:tcW w:w="1265" w:type="dxa"/>
            <w:tcBorders>
              <w:top w:val="nil"/>
              <w:left w:val="nil"/>
              <w:bottom w:val="single" w:sz="8" w:space="0" w:color="auto"/>
              <w:right w:val="single" w:sz="8" w:space="0" w:color="auto"/>
            </w:tcBorders>
            <w:shd w:val="clear" w:color="auto" w:fill="auto"/>
            <w:noWrap/>
            <w:vAlign w:val="center"/>
            <w:hideMark/>
          </w:tcPr>
          <w:p w14:paraId="05380D6E" w14:textId="77777777" w:rsidR="00F620B7" w:rsidRPr="00005453" w:rsidRDefault="00F620B7" w:rsidP="00F620B7">
            <w:pPr>
              <w:jc w:val="right"/>
              <w:rPr>
                <w:color w:val="000000"/>
                <w:sz w:val="18"/>
                <w:szCs w:val="18"/>
                <w:lang w:eastAsia="tr-TR"/>
              </w:rPr>
            </w:pPr>
            <w:r w:rsidRPr="00005453">
              <w:rPr>
                <w:color w:val="000000"/>
                <w:sz w:val="18"/>
                <w:szCs w:val="18"/>
                <w:lang w:eastAsia="tr-TR"/>
              </w:rPr>
              <w:t>Risk ağırlıklı tutar yoğunluğu</w:t>
            </w:r>
          </w:p>
        </w:tc>
      </w:tr>
      <w:tr w:rsidR="00AF5795" w:rsidRPr="00005453" w14:paraId="2ECDD19D"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7624CFAD" w14:textId="77777777" w:rsidR="00AF5795" w:rsidRPr="00005453" w:rsidRDefault="00AF5795" w:rsidP="00AF5795">
            <w:pPr>
              <w:rPr>
                <w:color w:val="000000"/>
                <w:sz w:val="18"/>
                <w:szCs w:val="18"/>
                <w:lang w:eastAsia="tr-TR"/>
              </w:rPr>
            </w:pPr>
            <w:r w:rsidRPr="00005453">
              <w:rPr>
                <w:color w:val="000000"/>
                <w:sz w:val="18"/>
                <w:szCs w:val="18"/>
                <w:lang w:eastAsia="tr-TR"/>
              </w:rPr>
              <w:t>1</w:t>
            </w:r>
          </w:p>
        </w:tc>
        <w:tc>
          <w:tcPr>
            <w:tcW w:w="6205" w:type="dxa"/>
            <w:tcBorders>
              <w:top w:val="nil"/>
              <w:left w:val="nil"/>
              <w:bottom w:val="single" w:sz="8" w:space="0" w:color="auto"/>
              <w:right w:val="single" w:sz="8" w:space="0" w:color="auto"/>
            </w:tcBorders>
            <w:shd w:val="clear" w:color="auto" w:fill="auto"/>
            <w:noWrap/>
            <w:hideMark/>
          </w:tcPr>
          <w:p w14:paraId="7D402212" w14:textId="77777777" w:rsidR="00AF5795" w:rsidRPr="00005453" w:rsidRDefault="00AF5795" w:rsidP="00AF5795">
            <w:pPr>
              <w:rPr>
                <w:color w:val="000000"/>
                <w:sz w:val="18"/>
                <w:szCs w:val="18"/>
                <w:lang w:eastAsia="tr-TR"/>
              </w:rPr>
            </w:pPr>
            <w:r w:rsidRPr="00005453">
              <w:rPr>
                <w:color w:val="000000"/>
                <w:sz w:val="18"/>
                <w:szCs w:val="18"/>
                <w:lang w:eastAsia="tr-TR"/>
              </w:rPr>
              <w:t>Merkezi yönetimlerden veya merkez bankalarından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2068010E" w14:textId="40EE0323" w:rsidR="00AF5795" w:rsidRPr="00005453" w:rsidRDefault="00AF5795" w:rsidP="00AF5795">
            <w:pPr>
              <w:jc w:val="right"/>
              <w:rPr>
                <w:color w:val="000000"/>
                <w:sz w:val="18"/>
                <w:szCs w:val="18"/>
              </w:rPr>
            </w:pPr>
            <w:r w:rsidRPr="00005453">
              <w:rPr>
                <w:color w:val="000000"/>
                <w:sz w:val="18"/>
                <w:szCs w:val="22"/>
              </w:rPr>
              <w:t>247,064,942</w:t>
            </w:r>
          </w:p>
        </w:tc>
        <w:tc>
          <w:tcPr>
            <w:tcW w:w="1159" w:type="dxa"/>
            <w:tcBorders>
              <w:top w:val="nil"/>
              <w:left w:val="nil"/>
              <w:bottom w:val="single" w:sz="8" w:space="0" w:color="auto"/>
              <w:right w:val="single" w:sz="8" w:space="0" w:color="auto"/>
            </w:tcBorders>
            <w:shd w:val="clear" w:color="auto" w:fill="auto"/>
            <w:noWrap/>
            <w:vAlign w:val="center"/>
            <w:hideMark/>
          </w:tcPr>
          <w:p w14:paraId="50FD3AF2" w14:textId="0D3A3058"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DCB2CFC" w14:textId="731AB0CD" w:rsidR="00AF5795" w:rsidRPr="00005453" w:rsidRDefault="00AF5795" w:rsidP="00AF5795">
            <w:pPr>
              <w:jc w:val="right"/>
              <w:rPr>
                <w:color w:val="000000"/>
                <w:sz w:val="18"/>
                <w:szCs w:val="18"/>
              </w:rPr>
            </w:pPr>
            <w:r w:rsidRPr="00005453">
              <w:rPr>
                <w:color w:val="000000"/>
                <w:sz w:val="18"/>
                <w:szCs w:val="22"/>
              </w:rPr>
              <w:t>254,745,301</w:t>
            </w:r>
          </w:p>
        </w:tc>
        <w:tc>
          <w:tcPr>
            <w:tcW w:w="1324" w:type="dxa"/>
            <w:tcBorders>
              <w:top w:val="nil"/>
              <w:left w:val="nil"/>
              <w:bottom w:val="single" w:sz="8" w:space="0" w:color="auto"/>
              <w:right w:val="single" w:sz="8" w:space="0" w:color="auto"/>
            </w:tcBorders>
            <w:shd w:val="clear" w:color="auto" w:fill="auto"/>
            <w:noWrap/>
            <w:vAlign w:val="center"/>
            <w:hideMark/>
          </w:tcPr>
          <w:p w14:paraId="16897593" w14:textId="56E45891"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32703A75" w14:textId="12227083"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167F5ADF" w14:textId="7D0F045E"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4D6E6F1E"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28EF3B25" w14:textId="77777777" w:rsidR="00AF5795" w:rsidRPr="00005453" w:rsidRDefault="00AF5795" w:rsidP="00AF5795">
            <w:pPr>
              <w:rPr>
                <w:color w:val="000000"/>
                <w:sz w:val="18"/>
                <w:szCs w:val="18"/>
                <w:lang w:eastAsia="tr-TR"/>
              </w:rPr>
            </w:pPr>
            <w:r w:rsidRPr="00005453">
              <w:rPr>
                <w:color w:val="000000"/>
                <w:sz w:val="18"/>
                <w:szCs w:val="18"/>
                <w:lang w:eastAsia="tr-TR"/>
              </w:rPr>
              <w:t>2</w:t>
            </w:r>
          </w:p>
        </w:tc>
        <w:tc>
          <w:tcPr>
            <w:tcW w:w="6205" w:type="dxa"/>
            <w:tcBorders>
              <w:top w:val="nil"/>
              <w:left w:val="nil"/>
              <w:bottom w:val="single" w:sz="8" w:space="0" w:color="auto"/>
              <w:right w:val="single" w:sz="8" w:space="0" w:color="auto"/>
            </w:tcBorders>
            <w:shd w:val="clear" w:color="auto" w:fill="auto"/>
            <w:noWrap/>
            <w:hideMark/>
          </w:tcPr>
          <w:p w14:paraId="7CBCBC60" w14:textId="77777777" w:rsidR="00AF5795" w:rsidRPr="00005453" w:rsidRDefault="00AF5795" w:rsidP="00AF5795">
            <w:pPr>
              <w:rPr>
                <w:color w:val="000000"/>
                <w:sz w:val="18"/>
                <w:szCs w:val="18"/>
                <w:lang w:eastAsia="tr-TR"/>
              </w:rPr>
            </w:pPr>
            <w:r w:rsidRPr="00005453">
              <w:rPr>
                <w:color w:val="000000"/>
                <w:sz w:val="18"/>
                <w:szCs w:val="18"/>
                <w:lang w:eastAsia="tr-TR"/>
              </w:rPr>
              <w:t>Bölgesel yönetimlerden veya yerel yönetimlerden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6F93A915" w14:textId="3D99FD82"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0ECA6E5D" w14:textId="109620F3"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06F89046" w14:textId="02B73C50"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08C38089" w14:textId="4C0A18CC"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4F26B699" w14:textId="7A530065"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1B37F994" w14:textId="748A3255"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326A6EC9"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20A9AF43" w14:textId="77777777" w:rsidR="00AF5795" w:rsidRPr="00005453" w:rsidRDefault="00AF5795" w:rsidP="00AF5795">
            <w:pPr>
              <w:rPr>
                <w:color w:val="000000"/>
                <w:sz w:val="18"/>
                <w:szCs w:val="18"/>
                <w:lang w:eastAsia="tr-TR"/>
              </w:rPr>
            </w:pPr>
            <w:r w:rsidRPr="00005453">
              <w:rPr>
                <w:color w:val="000000"/>
                <w:sz w:val="18"/>
                <w:szCs w:val="18"/>
                <w:lang w:eastAsia="tr-TR"/>
              </w:rPr>
              <w:t>3</w:t>
            </w:r>
          </w:p>
        </w:tc>
        <w:tc>
          <w:tcPr>
            <w:tcW w:w="6205" w:type="dxa"/>
            <w:tcBorders>
              <w:top w:val="nil"/>
              <w:left w:val="nil"/>
              <w:bottom w:val="single" w:sz="8" w:space="0" w:color="auto"/>
              <w:right w:val="single" w:sz="8" w:space="0" w:color="auto"/>
            </w:tcBorders>
            <w:shd w:val="clear" w:color="auto" w:fill="auto"/>
            <w:noWrap/>
            <w:hideMark/>
          </w:tcPr>
          <w:p w14:paraId="28B55D41" w14:textId="77777777" w:rsidR="00AF5795" w:rsidRPr="00005453" w:rsidRDefault="00AF5795" w:rsidP="00AF5795">
            <w:pPr>
              <w:rPr>
                <w:color w:val="000000"/>
                <w:sz w:val="18"/>
                <w:szCs w:val="18"/>
                <w:lang w:eastAsia="tr-TR"/>
              </w:rPr>
            </w:pPr>
            <w:r w:rsidRPr="00005453">
              <w:rPr>
                <w:color w:val="000000"/>
                <w:sz w:val="18"/>
                <w:szCs w:val="18"/>
                <w:lang w:eastAsia="tr-TR"/>
              </w:rPr>
              <w:t>İdari birimlerden ve ticari olmayan girişimlerden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50C75E21" w14:textId="1736EC98"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0B72F7D3" w14:textId="162E9494"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549A1957" w14:textId="611D293E"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36CB0795" w14:textId="1A5FFE2F"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25EEA4F7" w14:textId="760D1F64"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4F3B564C" w14:textId="1B7FA631"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65C19638"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3828F24E" w14:textId="77777777" w:rsidR="00AF5795" w:rsidRPr="00005453" w:rsidRDefault="00AF5795" w:rsidP="00AF5795">
            <w:pPr>
              <w:rPr>
                <w:color w:val="000000"/>
                <w:sz w:val="18"/>
                <w:szCs w:val="18"/>
                <w:lang w:eastAsia="tr-TR"/>
              </w:rPr>
            </w:pPr>
            <w:r w:rsidRPr="00005453">
              <w:rPr>
                <w:color w:val="000000"/>
                <w:sz w:val="18"/>
                <w:szCs w:val="18"/>
                <w:lang w:eastAsia="tr-TR"/>
              </w:rPr>
              <w:t>4</w:t>
            </w:r>
          </w:p>
        </w:tc>
        <w:tc>
          <w:tcPr>
            <w:tcW w:w="6205" w:type="dxa"/>
            <w:tcBorders>
              <w:top w:val="nil"/>
              <w:left w:val="nil"/>
              <w:bottom w:val="single" w:sz="8" w:space="0" w:color="auto"/>
              <w:right w:val="single" w:sz="8" w:space="0" w:color="auto"/>
            </w:tcBorders>
            <w:shd w:val="clear" w:color="auto" w:fill="auto"/>
            <w:noWrap/>
            <w:hideMark/>
          </w:tcPr>
          <w:p w14:paraId="15E479A6" w14:textId="77777777" w:rsidR="00AF5795" w:rsidRPr="00005453" w:rsidRDefault="00AF5795" w:rsidP="00AF5795">
            <w:pPr>
              <w:rPr>
                <w:color w:val="000000"/>
                <w:sz w:val="18"/>
                <w:szCs w:val="18"/>
                <w:lang w:eastAsia="tr-TR"/>
              </w:rPr>
            </w:pPr>
            <w:r w:rsidRPr="00005453">
              <w:rPr>
                <w:color w:val="000000"/>
                <w:sz w:val="18"/>
                <w:szCs w:val="18"/>
                <w:lang w:eastAsia="tr-TR"/>
              </w:rPr>
              <w:t>Çok taraflı kalkınma bankalarından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791B8A93" w14:textId="1C9D29E1"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30A02F3A" w14:textId="74056515"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0C40876F" w14:textId="41759C3C"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22986C1E" w14:textId="4B9C0BBE"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4C78769E" w14:textId="62D23384"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446B5C52" w14:textId="22745BB8"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5C225820"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4EACD9C7" w14:textId="77777777" w:rsidR="00AF5795" w:rsidRPr="00005453" w:rsidRDefault="00AF5795" w:rsidP="00AF5795">
            <w:pPr>
              <w:rPr>
                <w:color w:val="000000"/>
                <w:sz w:val="18"/>
                <w:szCs w:val="18"/>
                <w:lang w:eastAsia="tr-TR"/>
              </w:rPr>
            </w:pPr>
            <w:r w:rsidRPr="00005453">
              <w:rPr>
                <w:color w:val="000000"/>
                <w:sz w:val="18"/>
                <w:szCs w:val="18"/>
                <w:lang w:eastAsia="tr-TR"/>
              </w:rPr>
              <w:t>5</w:t>
            </w:r>
          </w:p>
        </w:tc>
        <w:tc>
          <w:tcPr>
            <w:tcW w:w="6205" w:type="dxa"/>
            <w:tcBorders>
              <w:top w:val="nil"/>
              <w:left w:val="nil"/>
              <w:bottom w:val="single" w:sz="8" w:space="0" w:color="auto"/>
              <w:right w:val="single" w:sz="8" w:space="0" w:color="auto"/>
            </w:tcBorders>
            <w:shd w:val="clear" w:color="auto" w:fill="auto"/>
            <w:noWrap/>
            <w:hideMark/>
          </w:tcPr>
          <w:p w14:paraId="582B95A9" w14:textId="77777777" w:rsidR="00AF5795" w:rsidRPr="00005453" w:rsidRDefault="00AF5795" w:rsidP="00AF5795">
            <w:pPr>
              <w:rPr>
                <w:color w:val="000000"/>
                <w:sz w:val="18"/>
                <w:szCs w:val="18"/>
                <w:lang w:eastAsia="tr-TR"/>
              </w:rPr>
            </w:pPr>
            <w:r w:rsidRPr="00005453">
              <w:rPr>
                <w:color w:val="000000"/>
                <w:sz w:val="18"/>
                <w:szCs w:val="18"/>
                <w:lang w:eastAsia="tr-TR"/>
              </w:rPr>
              <w:t>Uluslararası teşkilatlardan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1B196397" w14:textId="52041EC6"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380E609D" w14:textId="194966ED"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A9D28D3" w14:textId="47DCEB4B"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A33EC90" w14:textId="628CABE2"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550715D8" w14:textId="3F17FE3B"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0BDDEEE4" w14:textId="6DE59B3A"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6CDFDB35"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2C9B9F6A" w14:textId="77777777" w:rsidR="00AF5795" w:rsidRPr="00005453" w:rsidRDefault="00AF5795" w:rsidP="00AF5795">
            <w:pPr>
              <w:rPr>
                <w:color w:val="000000"/>
                <w:sz w:val="18"/>
                <w:szCs w:val="18"/>
                <w:lang w:eastAsia="tr-TR"/>
              </w:rPr>
            </w:pPr>
            <w:r w:rsidRPr="00005453">
              <w:rPr>
                <w:color w:val="000000"/>
                <w:sz w:val="18"/>
                <w:szCs w:val="18"/>
                <w:lang w:eastAsia="tr-TR"/>
              </w:rPr>
              <w:t>6</w:t>
            </w:r>
          </w:p>
        </w:tc>
        <w:tc>
          <w:tcPr>
            <w:tcW w:w="6205" w:type="dxa"/>
            <w:tcBorders>
              <w:top w:val="nil"/>
              <w:left w:val="nil"/>
              <w:bottom w:val="single" w:sz="8" w:space="0" w:color="auto"/>
              <w:right w:val="single" w:sz="8" w:space="0" w:color="auto"/>
            </w:tcBorders>
            <w:shd w:val="clear" w:color="auto" w:fill="auto"/>
            <w:noWrap/>
            <w:hideMark/>
          </w:tcPr>
          <w:p w14:paraId="693F6C8A" w14:textId="77777777" w:rsidR="00AF5795" w:rsidRPr="00005453" w:rsidRDefault="00AF5795" w:rsidP="00AF5795">
            <w:pPr>
              <w:rPr>
                <w:color w:val="000000"/>
                <w:sz w:val="18"/>
                <w:szCs w:val="18"/>
                <w:lang w:eastAsia="tr-TR"/>
              </w:rPr>
            </w:pPr>
            <w:r w:rsidRPr="00005453">
              <w:rPr>
                <w:color w:val="000000"/>
                <w:sz w:val="18"/>
                <w:szCs w:val="18"/>
                <w:lang w:eastAsia="tr-TR"/>
              </w:rPr>
              <w:t>Bankalardan ve aracı kurumlardan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4133CB77" w14:textId="19DAC74A" w:rsidR="00AF5795" w:rsidRPr="00005453" w:rsidRDefault="00AF5795" w:rsidP="00AF5795">
            <w:pPr>
              <w:jc w:val="right"/>
              <w:rPr>
                <w:color w:val="000000"/>
                <w:sz w:val="18"/>
                <w:szCs w:val="18"/>
              </w:rPr>
            </w:pPr>
            <w:r w:rsidRPr="00005453">
              <w:rPr>
                <w:color w:val="000000"/>
                <w:sz w:val="18"/>
                <w:szCs w:val="22"/>
              </w:rPr>
              <w:t>27,260,625</w:t>
            </w:r>
          </w:p>
        </w:tc>
        <w:tc>
          <w:tcPr>
            <w:tcW w:w="1159" w:type="dxa"/>
            <w:tcBorders>
              <w:top w:val="nil"/>
              <w:left w:val="nil"/>
              <w:bottom w:val="single" w:sz="8" w:space="0" w:color="auto"/>
              <w:right w:val="single" w:sz="8" w:space="0" w:color="auto"/>
            </w:tcBorders>
            <w:shd w:val="clear" w:color="auto" w:fill="auto"/>
            <w:noWrap/>
            <w:vAlign w:val="center"/>
            <w:hideMark/>
          </w:tcPr>
          <w:p w14:paraId="7B116C31" w14:textId="45DC570D" w:rsidR="00AF5795" w:rsidRPr="00005453" w:rsidRDefault="00AF5795" w:rsidP="00AF5795">
            <w:pPr>
              <w:jc w:val="right"/>
              <w:rPr>
                <w:color w:val="000000"/>
                <w:sz w:val="18"/>
                <w:szCs w:val="18"/>
              </w:rPr>
            </w:pPr>
            <w:r w:rsidRPr="00005453">
              <w:rPr>
                <w:color w:val="000000"/>
                <w:sz w:val="18"/>
                <w:szCs w:val="22"/>
              </w:rPr>
              <w:t>18,521,097</w:t>
            </w:r>
          </w:p>
        </w:tc>
        <w:tc>
          <w:tcPr>
            <w:tcW w:w="1324" w:type="dxa"/>
            <w:tcBorders>
              <w:top w:val="nil"/>
              <w:left w:val="nil"/>
              <w:bottom w:val="single" w:sz="8" w:space="0" w:color="auto"/>
              <w:right w:val="single" w:sz="8" w:space="0" w:color="auto"/>
            </w:tcBorders>
            <w:shd w:val="clear" w:color="auto" w:fill="auto"/>
            <w:noWrap/>
            <w:vAlign w:val="center"/>
            <w:hideMark/>
          </w:tcPr>
          <w:p w14:paraId="66709D71" w14:textId="0FE09E2E" w:rsidR="00AF5795" w:rsidRPr="00005453" w:rsidRDefault="00AF5795" w:rsidP="00AF5795">
            <w:pPr>
              <w:jc w:val="right"/>
              <w:rPr>
                <w:color w:val="000000"/>
                <w:sz w:val="18"/>
                <w:szCs w:val="18"/>
              </w:rPr>
            </w:pPr>
            <w:r w:rsidRPr="00005453">
              <w:rPr>
                <w:color w:val="000000"/>
                <w:sz w:val="18"/>
                <w:szCs w:val="22"/>
              </w:rPr>
              <w:t>27,260,625</w:t>
            </w:r>
          </w:p>
        </w:tc>
        <w:tc>
          <w:tcPr>
            <w:tcW w:w="1324" w:type="dxa"/>
            <w:tcBorders>
              <w:top w:val="nil"/>
              <w:left w:val="nil"/>
              <w:bottom w:val="single" w:sz="8" w:space="0" w:color="auto"/>
              <w:right w:val="single" w:sz="8" w:space="0" w:color="auto"/>
            </w:tcBorders>
            <w:shd w:val="clear" w:color="auto" w:fill="auto"/>
            <w:noWrap/>
            <w:vAlign w:val="center"/>
            <w:hideMark/>
          </w:tcPr>
          <w:p w14:paraId="0954EBD2" w14:textId="0773CCBC" w:rsidR="00AF5795" w:rsidRPr="00005453" w:rsidRDefault="00AF5795" w:rsidP="00AF5795">
            <w:pPr>
              <w:jc w:val="right"/>
              <w:rPr>
                <w:color w:val="000000"/>
                <w:sz w:val="18"/>
                <w:szCs w:val="18"/>
              </w:rPr>
            </w:pPr>
            <w:r w:rsidRPr="00005453">
              <w:rPr>
                <w:color w:val="000000"/>
                <w:sz w:val="18"/>
                <w:szCs w:val="22"/>
              </w:rPr>
              <w:t>874,658</w:t>
            </w:r>
          </w:p>
        </w:tc>
        <w:tc>
          <w:tcPr>
            <w:tcW w:w="1231" w:type="dxa"/>
            <w:tcBorders>
              <w:top w:val="nil"/>
              <w:left w:val="nil"/>
              <w:bottom w:val="single" w:sz="8" w:space="0" w:color="auto"/>
              <w:right w:val="single" w:sz="8" w:space="0" w:color="auto"/>
            </w:tcBorders>
            <w:shd w:val="clear" w:color="auto" w:fill="auto"/>
            <w:noWrap/>
            <w:vAlign w:val="center"/>
            <w:hideMark/>
          </w:tcPr>
          <w:p w14:paraId="19E77CC2" w14:textId="159EECDD" w:rsidR="00AF5795" w:rsidRPr="00005453" w:rsidRDefault="00AF5795" w:rsidP="00AF5795">
            <w:pPr>
              <w:jc w:val="right"/>
              <w:rPr>
                <w:color w:val="000000"/>
                <w:sz w:val="18"/>
                <w:szCs w:val="18"/>
              </w:rPr>
            </w:pPr>
            <w:r w:rsidRPr="00005453">
              <w:rPr>
                <w:color w:val="000000"/>
                <w:sz w:val="18"/>
                <w:szCs w:val="22"/>
              </w:rPr>
              <w:t>7,914,887</w:t>
            </w:r>
          </w:p>
        </w:tc>
        <w:tc>
          <w:tcPr>
            <w:tcW w:w="1265" w:type="dxa"/>
            <w:tcBorders>
              <w:top w:val="nil"/>
              <w:left w:val="nil"/>
              <w:bottom w:val="single" w:sz="8" w:space="0" w:color="auto"/>
              <w:right w:val="single" w:sz="8" w:space="0" w:color="auto"/>
            </w:tcBorders>
            <w:shd w:val="clear" w:color="auto" w:fill="auto"/>
            <w:noWrap/>
            <w:vAlign w:val="center"/>
            <w:hideMark/>
          </w:tcPr>
          <w:p w14:paraId="60A9CB0F" w14:textId="2B034191" w:rsidR="00AF5795" w:rsidRPr="00005453" w:rsidRDefault="00AF5795" w:rsidP="00AF5795">
            <w:pPr>
              <w:jc w:val="right"/>
              <w:rPr>
                <w:color w:val="000000"/>
                <w:sz w:val="18"/>
                <w:szCs w:val="18"/>
              </w:rPr>
            </w:pPr>
            <w:r w:rsidRPr="00005453">
              <w:rPr>
                <w:color w:val="000000"/>
                <w:sz w:val="18"/>
                <w:szCs w:val="22"/>
              </w:rPr>
              <w:t>28</w:t>
            </w:r>
          </w:p>
        </w:tc>
      </w:tr>
      <w:tr w:rsidR="00AF5795" w:rsidRPr="00005453" w14:paraId="7E10B445"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62E97B82" w14:textId="77777777" w:rsidR="00AF5795" w:rsidRPr="00005453" w:rsidRDefault="00AF5795" w:rsidP="00AF5795">
            <w:pPr>
              <w:rPr>
                <w:color w:val="000000"/>
                <w:sz w:val="18"/>
                <w:szCs w:val="18"/>
                <w:lang w:eastAsia="tr-TR"/>
              </w:rPr>
            </w:pPr>
            <w:r w:rsidRPr="00005453">
              <w:rPr>
                <w:color w:val="000000"/>
                <w:sz w:val="18"/>
                <w:szCs w:val="18"/>
                <w:lang w:eastAsia="tr-TR"/>
              </w:rPr>
              <w:t>7</w:t>
            </w:r>
          </w:p>
        </w:tc>
        <w:tc>
          <w:tcPr>
            <w:tcW w:w="6205" w:type="dxa"/>
            <w:tcBorders>
              <w:top w:val="nil"/>
              <w:left w:val="nil"/>
              <w:bottom w:val="single" w:sz="8" w:space="0" w:color="auto"/>
              <w:right w:val="single" w:sz="8" w:space="0" w:color="auto"/>
            </w:tcBorders>
            <w:shd w:val="clear" w:color="auto" w:fill="auto"/>
            <w:noWrap/>
            <w:hideMark/>
          </w:tcPr>
          <w:p w14:paraId="323422CA" w14:textId="77777777" w:rsidR="00AF5795" w:rsidRPr="00005453" w:rsidRDefault="00AF5795" w:rsidP="00AF5795">
            <w:pPr>
              <w:rPr>
                <w:color w:val="000000"/>
                <w:sz w:val="18"/>
                <w:szCs w:val="18"/>
                <w:lang w:eastAsia="tr-TR"/>
              </w:rPr>
            </w:pPr>
            <w:r w:rsidRPr="00005453">
              <w:rPr>
                <w:color w:val="000000"/>
                <w:sz w:val="18"/>
                <w:szCs w:val="18"/>
                <w:lang w:eastAsia="tr-TR"/>
              </w:rPr>
              <w:t>Kurumsal alacaklar</w:t>
            </w:r>
          </w:p>
        </w:tc>
        <w:tc>
          <w:tcPr>
            <w:tcW w:w="1086" w:type="dxa"/>
            <w:tcBorders>
              <w:top w:val="nil"/>
              <w:left w:val="nil"/>
              <w:bottom w:val="single" w:sz="8" w:space="0" w:color="auto"/>
              <w:right w:val="single" w:sz="8" w:space="0" w:color="auto"/>
            </w:tcBorders>
            <w:shd w:val="clear" w:color="auto" w:fill="auto"/>
            <w:noWrap/>
            <w:vAlign w:val="center"/>
            <w:hideMark/>
          </w:tcPr>
          <w:p w14:paraId="15275CD4" w14:textId="3F976BB7" w:rsidR="00AF5795" w:rsidRPr="00005453" w:rsidRDefault="00AF5795" w:rsidP="00AF5795">
            <w:pPr>
              <w:jc w:val="right"/>
              <w:rPr>
                <w:color w:val="000000"/>
                <w:sz w:val="18"/>
                <w:szCs w:val="18"/>
              </w:rPr>
            </w:pPr>
            <w:r w:rsidRPr="00005453">
              <w:rPr>
                <w:color w:val="000000"/>
                <w:sz w:val="18"/>
                <w:szCs w:val="22"/>
              </w:rPr>
              <w:t>144,280,535</w:t>
            </w:r>
          </w:p>
        </w:tc>
        <w:tc>
          <w:tcPr>
            <w:tcW w:w="1159" w:type="dxa"/>
            <w:tcBorders>
              <w:top w:val="nil"/>
              <w:left w:val="nil"/>
              <w:bottom w:val="single" w:sz="8" w:space="0" w:color="auto"/>
              <w:right w:val="single" w:sz="8" w:space="0" w:color="auto"/>
            </w:tcBorders>
            <w:shd w:val="clear" w:color="auto" w:fill="auto"/>
            <w:noWrap/>
            <w:vAlign w:val="center"/>
            <w:hideMark/>
          </w:tcPr>
          <w:p w14:paraId="2220E265" w14:textId="7D9C4801" w:rsidR="00AF5795" w:rsidRPr="00005453" w:rsidRDefault="00AF5795" w:rsidP="00AF5795">
            <w:pPr>
              <w:jc w:val="right"/>
              <w:rPr>
                <w:color w:val="000000"/>
                <w:sz w:val="18"/>
                <w:szCs w:val="18"/>
              </w:rPr>
            </w:pPr>
            <w:r w:rsidRPr="00005453">
              <w:rPr>
                <w:color w:val="000000"/>
                <w:sz w:val="18"/>
                <w:szCs w:val="22"/>
              </w:rPr>
              <w:t>63,518,335</w:t>
            </w:r>
          </w:p>
        </w:tc>
        <w:tc>
          <w:tcPr>
            <w:tcW w:w="1324" w:type="dxa"/>
            <w:tcBorders>
              <w:top w:val="nil"/>
              <w:left w:val="nil"/>
              <w:bottom w:val="single" w:sz="8" w:space="0" w:color="auto"/>
              <w:right w:val="single" w:sz="8" w:space="0" w:color="auto"/>
            </w:tcBorders>
            <w:shd w:val="clear" w:color="auto" w:fill="auto"/>
            <w:noWrap/>
            <w:vAlign w:val="center"/>
            <w:hideMark/>
          </w:tcPr>
          <w:p w14:paraId="629A0B11" w14:textId="1AA94B04" w:rsidR="00AF5795" w:rsidRPr="00005453" w:rsidRDefault="00AF5795" w:rsidP="00AF5795">
            <w:pPr>
              <w:jc w:val="right"/>
              <w:rPr>
                <w:color w:val="000000"/>
                <w:sz w:val="18"/>
                <w:szCs w:val="18"/>
              </w:rPr>
            </w:pPr>
            <w:r w:rsidRPr="00005453">
              <w:rPr>
                <w:color w:val="000000"/>
                <w:sz w:val="18"/>
                <w:szCs w:val="22"/>
              </w:rPr>
              <w:t>136,717,220</w:t>
            </w:r>
          </w:p>
        </w:tc>
        <w:tc>
          <w:tcPr>
            <w:tcW w:w="1324" w:type="dxa"/>
            <w:tcBorders>
              <w:top w:val="nil"/>
              <w:left w:val="nil"/>
              <w:bottom w:val="single" w:sz="8" w:space="0" w:color="auto"/>
              <w:right w:val="single" w:sz="8" w:space="0" w:color="auto"/>
            </w:tcBorders>
            <w:shd w:val="clear" w:color="auto" w:fill="auto"/>
            <w:noWrap/>
            <w:vAlign w:val="center"/>
            <w:hideMark/>
          </w:tcPr>
          <w:p w14:paraId="4AA764DD" w14:textId="49ABEEB8" w:rsidR="00AF5795" w:rsidRPr="00005453" w:rsidRDefault="00AF5795" w:rsidP="00AF5795">
            <w:pPr>
              <w:jc w:val="right"/>
              <w:rPr>
                <w:color w:val="000000"/>
                <w:sz w:val="18"/>
                <w:szCs w:val="18"/>
              </w:rPr>
            </w:pPr>
            <w:r w:rsidRPr="00005453">
              <w:rPr>
                <w:color w:val="000000"/>
                <w:sz w:val="18"/>
                <w:szCs w:val="22"/>
              </w:rPr>
              <w:t>25,784,206</w:t>
            </w:r>
          </w:p>
        </w:tc>
        <w:tc>
          <w:tcPr>
            <w:tcW w:w="1231" w:type="dxa"/>
            <w:tcBorders>
              <w:top w:val="nil"/>
              <w:left w:val="nil"/>
              <w:bottom w:val="single" w:sz="8" w:space="0" w:color="auto"/>
              <w:right w:val="single" w:sz="8" w:space="0" w:color="auto"/>
            </w:tcBorders>
            <w:shd w:val="clear" w:color="auto" w:fill="auto"/>
            <w:noWrap/>
            <w:vAlign w:val="center"/>
            <w:hideMark/>
          </w:tcPr>
          <w:p w14:paraId="12D55C63" w14:textId="4FBABA74" w:rsidR="00AF5795" w:rsidRPr="00005453" w:rsidRDefault="00AF5795" w:rsidP="00AF5795">
            <w:pPr>
              <w:jc w:val="right"/>
              <w:rPr>
                <w:color w:val="000000"/>
                <w:sz w:val="18"/>
                <w:szCs w:val="18"/>
              </w:rPr>
            </w:pPr>
            <w:r w:rsidRPr="00005453">
              <w:rPr>
                <w:color w:val="000000"/>
                <w:sz w:val="18"/>
                <w:szCs w:val="22"/>
              </w:rPr>
              <w:t>152,808,199</w:t>
            </w:r>
          </w:p>
        </w:tc>
        <w:tc>
          <w:tcPr>
            <w:tcW w:w="1265" w:type="dxa"/>
            <w:tcBorders>
              <w:top w:val="nil"/>
              <w:left w:val="nil"/>
              <w:bottom w:val="single" w:sz="8" w:space="0" w:color="auto"/>
              <w:right w:val="single" w:sz="8" w:space="0" w:color="auto"/>
            </w:tcBorders>
            <w:shd w:val="clear" w:color="auto" w:fill="auto"/>
            <w:noWrap/>
            <w:vAlign w:val="center"/>
            <w:hideMark/>
          </w:tcPr>
          <w:p w14:paraId="1E45FD3C" w14:textId="3058FFC4" w:rsidR="00AF5795" w:rsidRPr="00005453" w:rsidRDefault="00AF5795" w:rsidP="00AF5795">
            <w:pPr>
              <w:jc w:val="right"/>
              <w:rPr>
                <w:color w:val="000000"/>
                <w:sz w:val="18"/>
                <w:szCs w:val="18"/>
              </w:rPr>
            </w:pPr>
            <w:r w:rsidRPr="00005453">
              <w:rPr>
                <w:color w:val="000000"/>
                <w:sz w:val="18"/>
                <w:szCs w:val="22"/>
              </w:rPr>
              <w:t>94</w:t>
            </w:r>
          </w:p>
        </w:tc>
      </w:tr>
      <w:tr w:rsidR="00AF5795" w:rsidRPr="00005453" w14:paraId="69530EBE"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61E0B439" w14:textId="77777777" w:rsidR="00AF5795" w:rsidRPr="00005453" w:rsidRDefault="00AF5795" w:rsidP="00AF5795">
            <w:pPr>
              <w:rPr>
                <w:color w:val="000000"/>
                <w:sz w:val="18"/>
                <w:szCs w:val="18"/>
                <w:lang w:eastAsia="tr-TR"/>
              </w:rPr>
            </w:pPr>
            <w:r w:rsidRPr="00005453">
              <w:rPr>
                <w:color w:val="000000"/>
                <w:sz w:val="18"/>
                <w:szCs w:val="18"/>
                <w:lang w:eastAsia="tr-TR"/>
              </w:rPr>
              <w:t>8</w:t>
            </w:r>
          </w:p>
        </w:tc>
        <w:tc>
          <w:tcPr>
            <w:tcW w:w="6205" w:type="dxa"/>
            <w:tcBorders>
              <w:top w:val="nil"/>
              <w:left w:val="nil"/>
              <w:bottom w:val="single" w:sz="8" w:space="0" w:color="auto"/>
              <w:right w:val="single" w:sz="8" w:space="0" w:color="auto"/>
            </w:tcBorders>
            <w:shd w:val="clear" w:color="auto" w:fill="auto"/>
            <w:noWrap/>
            <w:hideMark/>
          </w:tcPr>
          <w:p w14:paraId="046EE3F9" w14:textId="77777777" w:rsidR="00AF5795" w:rsidRPr="00005453" w:rsidRDefault="00AF5795" w:rsidP="00AF5795">
            <w:pPr>
              <w:rPr>
                <w:color w:val="000000"/>
                <w:sz w:val="18"/>
                <w:szCs w:val="18"/>
                <w:lang w:eastAsia="tr-TR"/>
              </w:rPr>
            </w:pPr>
            <w:r w:rsidRPr="00005453">
              <w:rPr>
                <w:color w:val="000000"/>
                <w:sz w:val="18"/>
                <w:szCs w:val="18"/>
                <w:lang w:eastAsia="tr-TR"/>
              </w:rPr>
              <w:t>Perakende alacaklar</w:t>
            </w:r>
          </w:p>
        </w:tc>
        <w:tc>
          <w:tcPr>
            <w:tcW w:w="1086" w:type="dxa"/>
            <w:tcBorders>
              <w:top w:val="nil"/>
              <w:left w:val="nil"/>
              <w:bottom w:val="single" w:sz="8" w:space="0" w:color="auto"/>
              <w:right w:val="single" w:sz="8" w:space="0" w:color="auto"/>
            </w:tcBorders>
            <w:shd w:val="clear" w:color="auto" w:fill="auto"/>
            <w:noWrap/>
            <w:vAlign w:val="center"/>
            <w:hideMark/>
          </w:tcPr>
          <w:p w14:paraId="2D2C8533" w14:textId="2732785D" w:rsidR="00AF5795" w:rsidRPr="00005453" w:rsidRDefault="00AF5795" w:rsidP="00AF5795">
            <w:pPr>
              <w:jc w:val="right"/>
              <w:rPr>
                <w:color w:val="000000"/>
                <w:sz w:val="18"/>
                <w:szCs w:val="18"/>
              </w:rPr>
            </w:pPr>
            <w:r w:rsidRPr="00005453">
              <w:rPr>
                <w:color w:val="000000"/>
                <w:sz w:val="18"/>
                <w:szCs w:val="22"/>
              </w:rPr>
              <w:t>68,441,632</w:t>
            </w:r>
          </w:p>
        </w:tc>
        <w:tc>
          <w:tcPr>
            <w:tcW w:w="1159" w:type="dxa"/>
            <w:tcBorders>
              <w:top w:val="nil"/>
              <w:left w:val="nil"/>
              <w:bottom w:val="single" w:sz="8" w:space="0" w:color="auto"/>
              <w:right w:val="single" w:sz="8" w:space="0" w:color="auto"/>
            </w:tcBorders>
            <w:shd w:val="clear" w:color="auto" w:fill="auto"/>
            <w:noWrap/>
            <w:vAlign w:val="center"/>
            <w:hideMark/>
          </w:tcPr>
          <w:p w14:paraId="1FFEC2C8" w14:textId="7A30FF5E" w:rsidR="00AF5795" w:rsidRPr="00005453" w:rsidRDefault="00AF5795" w:rsidP="00AF5795">
            <w:pPr>
              <w:jc w:val="right"/>
              <w:rPr>
                <w:color w:val="000000"/>
                <w:sz w:val="18"/>
                <w:szCs w:val="18"/>
              </w:rPr>
            </w:pPr>
            <w:r w:rsidRPr="00005453">
              <w:rPr>
                <w:color w:val="000000"/>
                <w:sz w:val="18"/>
                <w:szCs w:val="22"/>
              </w:rPr>
              <w:t>93,763,345</w:t>
            </w:r>
          </w:p>
        </w:tc>
        <w:tc>
          <w:tcPr>
            <w:tcW w:w="1324" w:type="dxa"/>
            <w:tcBorders>
              <w:top w:val="nil"/>
              <w:left w:val="nil"/>
              <w:bottom w:val="single" w:sz="8" w:space="0" w:color="auto"/>
              <w:right w:val="single" w:sz="8" w:space="0" w:color="auto"/>
            </w:tcBorders>
            <w:shd w:val="clear" w:color="auto" w:fill="auto"/>
            <w:noWrap/>
            <w:vAlign w:val="center"/>
            <w:hideMark/>
          </w:tcPr>
          <w:p w14:paraId="0B83308D" w14:textId="58C7EE3B" w:rsidR="00AF5795" w:rsidRPr="00005453" w:rsidRDefault="00AF5795" w:rsidP="00AF5795">
            <w:pPr>
              <w:jc w:val="right"/>
              <w:rPr>
                <w:color w:val="000000"/>
                <w:sz w:val="18"/>
                <w:szCs w:val="18"/>
              </w:rPr>
            </w:pPr>
            <w:r w:rsidRPr="00005453">
              <w:rPr>
                <w:color w:val="000000"/>
                <w:sz w:val="18"/>
                <w:szCs w:val="22"/>
              </w:rPr>
              <w:t>68,395,273</w:t>
            </w:r>
          </w:p>
        </w:tc>
        <w:tc>
          <w:tcPr>
            <w:tcW w:w="1324" w:type="dxa"/>
            <w:tcBorders>
              <w:top w:val="nil"/>
              <w:left w:val="nil"/>
              <w:bottom w:val="single" w:sz="8" w:space="0" w:color="auto"/>
              <w:right w:val="single" w:sz="8" w:space="0" w:color="auto"/>
            </w:tcBorders>
            <w:shd w:val="clear" w:color="auto" w:fill="auto"/>
            <w:noWrap/>
            <w:vAlign w:val="center"/>
            <w:hideMark/>
          </w:tcPr>
          <w:p w14:paraId="42EA460C" w14:textId="0F1BF581" w:rsidR="00AF5795" w:rsidRPr="00005453" w:rsidRDefault="00AF5795" w:rsidP="00AF5795">
            <w:pPr>
              <w:jc w:val="right"/>
              <w:rPr>
                <w:color w:val="000000"/>
                <w:sz w:val="18"/>
                <w:szCs w:val="18"/>
              </w:rPr>
            </w:pPr>
            <w:r w:rsidRPr="00005453">
              <w:rPr>
                <w:color w:val="000000"/>
                <w:sz w:val="18"/>
                <w:szCs w:val="22"/>
              </w:rPr>
              <w:t>12,394,908</w:t>
            </w:r>
          </w:p>
        </w:tc>
        <w:tc>
          <w:tcPr>
            <w:tcW w:w="1231" w:type="dxa"/>
            <w:tcBorders>
              <w:top w:val="nil"/>
              <w:left w:val="nil"/>
              <w:bottom w:val="single" w:sz="8" w:space="0" w:color="auto"/>
              <w:right w:val="single" w:sz="8" w:space="0" w:color="auto"/>
            </w:tcBorders>
            <w:shd w:val="clear" w:color="auto" w:fill="auto"/>
            <w:noWrap/>
            <w:vAlign w:val="center"/>
            <w:hideMark/>
          </w:tcPr>
          <w:p w14:paraId="308E165F" w14:textId="0622595B" w:rsidR="00AF5795" w:rsidRPr="00005453" w:rsidRDefault="00AF5795" w:rsidP="00AF5795">
            <w:pPr>
              <w:jc w:val="right"/>
              <w:rPr>
                <w:color w:val="000000"/>
                <w:sz w:val="18"/>
                <w:szCs w:val="18"/>
              </w:rPr>
            </w:pPr>
            <w:r w:rsidRPr="00005453">
              <w:rPr>
                <w:color w:val="000000"/>
                <w:sz w:val="18"/>
                <w:szCs w:val="22"/>
              </w:rPr>
              <w:t>58,220,322</w:t>
            </w:r>
          </w:p>
        </w:tc>
        <w:tc>
          <w:tcPr>
            <w:tcW w:w="1265" w:type="dxa"/>
            <w:tcBorders>
              <w:top w:val="nil"/>
              <w:left w:val="nil"/>
              <w:bottom w:val="single" w:sz="8" w:space="0" w:color="auto"/>
              <w:right w:val="single" w:sz="8" w:space="0" w:color="auto"/>
            </w:tcBorders>
            <w:shd w:val="clear" w:color="auto" w:fill="auto"/>
            <w:noWrap/>
            <w:vAlign w:val="center"/>
            <w:hideMark/>
          </w:tcPr>
          <w:p w14:paraId="55FD1673" w14:textId="6E26AF54" w:rsidR="00AF5795" w:rsidRPr="00005453" w:rsidRDefault="00AF5795" w:rsidP="00AF5795">
            <w:pPr>
              <w:jc w:val="right"/>
              <w:rPr>
                <w:color w:val="000000"/>
                <w:sz w:val="18"/>
                <w:szCs w:val="18"/>
              </w:rPr>
            </w:pPr>
            <w:r w:rsidRPr="00005453">
              <w:rPr>
                <w:color w:val="000000"/>
                <w:sz w:val="18"/>
                <w:szCs w:val="22"/>
              </w:rPr>
              <w:t>72</w:t>
            </w:r>
          </w:p>
        </w:tc>
      </w:tr>
      <w:tr w:rsidR="00AF5795" w:rsidRPr="00005453" w14:paraId="02628805"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32698E7A" w14:textId="77777777" w:rsidR="00AF5795" w:rsidRPr="00005453" w:rsidRDefault="00AF5795" w:rsidP="00AF5795">
            <w:pPr>
              <w:rPr>
                <w:color w:val="000000"/>
                <w:sz w:val="18"/>
                <w:szCs w:val="18"/>
                <w:lang w:eastAsia="tr-TR"/>
              </w:rPr>
            </w:pPr>
            <w:r w:rsidRPr="00005453">
              <w:rPr>
                <w:color w:val="000000"/>
                <w:sz w:val="18"/>
                <w:szCs w:val="18"/>
                <w:lang w:eastAsia="tr-TR"/>
              </w:rPr>
              <w:t>9</w:t>
            </w:r>
          </w:p>
        </w:tc>
        <w:tc>
          <w:tcPr>
            <w:tcW w:w="6205" w:type="dxa"/>
            <w:tcBorders>
              <w:top w:val="nil"/>
              <w:left w:val="nil"/>
              <w:bottom w:val="single" w:sz="8" w:space="0" w:color="auto"/>
              <w:right w:val="single" w:sz="8" w:space="0" w:color="auto"/>
            </w:tcBorders>
            <w:shd w:val="clear" w:color="auto" w:fill="auto"/>
            <w:noWrap/>
            <w:hideMark/>
          </w:tcPr>
          <w:p w14:paraId="168BB70A" w14:textId="77777777" w:rsidR="00AF5795" w:rsidRPr="00005453" w:rsidRDefault="00AF5795" w:rsidP="00AF5795">
            <w:pPr>
              <w:rPr>
                <w:color w:val="000000"/>
                <w:sz w:val="18"/>
                <w:szCs w:val="18"/>
                <w:lang w:eastAsia="tr-TR"/>
              </w:rPr>
            </w:pPr>
            <w:r w:rsidRPr="00005453">
              <w:rPr>
                <w:color w:val="000000"/>
                <w:sz w:val="18"/>
                <w:szCs w:val="18"/>
                <w:lang w:eastAsia="tr-TR"/>
              </w:rPr>
              <w:t>İkamet amaçlı gayrimenkul ipoteği ile teminatlandırılan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08F9B083" w14:textId="5C500955" w:rsidR="00AF5795" w:rsidRPr="00005453" w:rsidRDefault="00AF5795" w:rsidP="00AF5795">
            <w:pPr>
              <w:jc w:val="right"/>
              <w:rPr>
                <w:color w:val="000000"/>
                <w:sz w:val="18"/>
                <w:szCs w:val="18"/>
              </w:rPr>
            </w:pPr>
            <w:r w:rsidRPr="00005453">
              <w:rPr>
                <w:color w:val="000000"/>
                <w:sz w:val="18"/>
                <w:szCs w:val="22"/>
              </w:rPr>
              <w:t>31,639,883</w:t>
            </w:r>
          </w:p>
        </w:tc>
        <w:tc>
          <w:tcPr>
            <w:tcW w:w="1159" w:type="dxa"/>
            <w:tcBorders>
              <w:top w:val="nil"/>
              <w:left w:val="nil"/>
              <w:bottom w:val="single" w:sz="8" w:space="0" w:color="auto"/>
              <w:right w:val="single" w:sz="8" w:space="0" w:color="auto"/>
            </w:tcBorders>
            <w:shd w:val="clear" w:color="auto" w:fill="auto"/>
            <w:noWrap/>
            <w:vAlign w:val="center"/>
            <w:hideMark/>
          </w:tcPr>
          <w:p w14:paraId="6DF535B4" w14:textId="07F1D67E" w:rsidR="00AF5795" w:rsidRPr="00005453" w:rsidRDefault="00AF5795" w:rsidP="00AF5795">
            <w:pPr>
              <w:jc w:val="right"/>
              <w:rPr>
                <w:color w:val="000000"/>
                <w:sz w:val="18"/>
                <w:szCs w:val="18"/>
              </w:rPr>
            </w:pPr>
            <w:r w:rsidRPr="00005453">
              <w:rPr>
                <w:color w:val="000000"/>
                <w:sz w:val="18"/>
                <w:szCs w:val="22"/>
              </w:rPr>
              <w:t>6,542,890</w:t>
            </w:r>
          </w:p>
        </w:tc>
        <w:tc>
          <w:tcPr>
            <w:tcW w:w="1324" w:type="dxa"/>
            <w:tcBorders>
              <w:top w:val="nil"/>
              <w:left w:val="nil"/>
              <w:bottom w:val="single" w:sz="8" w:space="0" w:color="auto"/>
              <w:right w:val="single" w:sz="8" w:space="0" w:color="auto"/>
            </w:tcBorders>
            <w:shd w:val="clear" w:color="auto" w:fill="auto"/>
            <w:noWrap/>
            <w:vAlign w:val="center"/>
            <w:hideMark/>
          </w:tcPr>
          <w:p w14:paraId="731A295B" w14:textId="1A301188" w:rsidR="00AF5795" w:rsidRPr="00005453" w:rsidRDefault="00AF5795" w:rsidP="00AF5795">
            <w:pPr>
              <w:jc w:val="right"/>
              <w:rPr>
                <w:color w:val="000000"/>
                <w:sz w:val="18"/>
                <w:szCs w:val="18"/>
              </w:rPr>
            </w:pPr>
            <w:r w:rsidRPr="00005453">
              <w:rPr>
                <w:color w:val="000000"/>
                <w:sz w:val="18"/>
                <w:szCs w:val="22"/>
              </w:rPr>
              <w:t>31,611,565</w:t>
            </w:r>
          </w:p>
        </w:tc>
        <w:tc>
          <w:tcPr>
            <w:tcW w:w="1324" w:type="dxa"/>
            <w:tcBorders>
              <w:top w:val="nil"/>
              <w:left w:val="nil"/>
              <w:bottom w:val="single" w:sz="8" w:space="0" w:color="auto"/>
              <w:right w:val="single" w:sz="8" w:space="0" w:color="auto"/>
            </w:tcBorders>
            <w:shd w:val="clear" w:color="auto" w:fill="auto"/>
            <w:noWrap/>
            <w:vAlign w:val="center"/>
            <w:hideMark/>
          </w:tcPr>
          <w:p w14:paraId="4DB188B6" w14:textId="1EBC7B81" w:rsidR="00AF5795" w:rsidRPr="00005453" w:rsidRDefault="00AF5795" w:rsidP="00AF5795">
            <w:pPr>
              <w:jc w:val="right"/>
              <w:rPr>
                <w:color w:val="000000"/>
                <w:sz w:val="18"/>
                <w:szCs w:val="18"/>
              </w:rPr>
            </w:pPr>
            <w:r w:rsidRPr="00005453">
              <w:rPr>
                <w:color w:val="000000"/>
                <w:sz w:val="18"/>
                <w:szCs w:val="22"/>
              </w:rPr>
              <w:t>3,026,661</w:t>
            </w:r>
          </w:p>
        </w:tc>
        <w:tc>
          <w:tcPr>
            <w:tcW w:w="1231" w:type="dxa"/>
            <w:tcBorders>
              <w:top w:val="nil"/>
              <w:left w:val="nil"/>
              <w:bottom w:val="single" w:sz="8" w:space="0" w:color="auto"/>
              <w:right w:val="single" w:sz="8" w:space="0" w:color="auto"/>
            </w:tcBorders>
            <w:shd w:val="clear" w:color="auto" w:fill="auto"/>
            <w:noWrap/>
            <w:vAlign w:val="center"/>
            <w:hideMark/>
          </w:tcPr>
          <w:p w14:paraId="2ED68350" w14:textId="45117245" w:rsidR="00AF5795" w:rsidRPr="00005453" w:rsidRDefault="00AF5795" w:rsidP="00AF5795">
            <w:pPr>
              <w:jc w:val="right"/>
              <w:rPr>
                <w:color w:val="000000"/>
                <w:sz w:val="18"/>
                <w:szCs w:val="18"/>
              </w:rPr>
            </w:pPr>
            <w:r w:rsidRPr="00005453">
              <w:rPr>
                <w:color w:val="000000"/>
                <w:sz w:val="18"/>
                <w:szCs w:val="22"/>
              </w:rPr>
              <w:t>11,800,937</w:t>
            </w:r>
          </w:p>
        </w:tc>
        <w:tc>
          <w:tcPr>
            <w:tcW w:w="1265" w:type="dxa"/>
            <w:tcBorders>
              <w:top w:val="nil"/>
              <w:left w:val="nil"/>
              <w:bottom w:val="single" w:sz="8" w:space="0" w:color="auto"/>
              <w:right w:val="single" w:sz="8" w:space="0" w:color="auto"/>
            </w:tcBorders>
            <w:shd w:val="clear" w:color="auto" w:fill="auto"/>
            <w:noWrap/>
            <w:vAlign w:val="center"/>
            <w:hideMark/>
          </w:tcPr>
          <w:p w14:paraId="76785BB1" w14:textId="0BA17E97" w:rsidR="00AF5795" w:rsidRPr="00005453" w:rsidRDefault="00AF5795" w:rsidP="00AF5795">
            <w:pPr>
              <w:jc w:val="right"/>
              <w:rPr>
                <w:color w:val="000000"/>
                <w:sz w:val="18"/>
                <w:szCs w:val="18"/>
              </w:rPr>
            </w:pPr>
            <w:r w:rsidRPr="00005453">
              <w:rPr>
                <w:color w:val="000000"/>
                <w:sz w:val="18"/>
                <w:szCs w:val="22"/>
              </w:rPr>
              <w:t>34</w:t>
            </w:r>
          </w:p>
        </w:tc>
      </w:tr>
      <w:tr w:rsidR="00AF5795" w:rsidRPr="00005453" w14:paraId="23047C4F"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1908DEE4" w14:textId="77777777" w:rsidR="00AF5795" w:rsidRPr="00005453" w:rsidRDefault="00AF5795" w:rsidP="00AF5795">
            <w:pPr>
              <w:rPr>
                <w:color w:val="000000"/>
                <w:sz w:val="18"/>
                <w:szCs w:val="18"/>
                <w:lang w:eastAsia="tr-TR"/>
              </w:rPr>
            </w:pPr>
            <w:r w:rsidRPr="00005453">
              <w:rPr>
                <w:color w:val="000000"/>
                <w:sz w:val="18"/>
                <w:szCs w:val="18"/>
                <w:lang w:eastAsia="tr-TR"/>
              </w:rPr>
              <w:t>10</w:t>
            </w:r>
          </w:p>
        </w:tc>
        <w:tc>
          <w:tcPr>
            <w:tcW w:w="6205" w:type="dxa"/>
            <w:tcBorders>
              <w:top w:val="nil"/>
              <w:left w:val="nil"/>
              <w:bottom w:val="single" w:sz="8" w:space="0" w:color="auto"/>
              <w:right w:val="single" w:sz="8" w:space="0" w:color="auto"/>
            </w:tcBorders>
            <w:shd w:val="clear" w:color="auto" w:fill="auto"/>
            <w:noWrap/>
            <w:hideMark/>
          </w:tcPr>
          <w:p w14:paraId="045B97B7" w14:textId="0B1F58D4" w:rsidR="00AF5795" w:rsidRPr="00005453" w:rsidRDefault="00AF5795" w:rsidP="00AF5795">
            <w:pPr>
              <w:rPr>
                <w:color w:val="000000"/>
                <w:sz w:val="18"/>
                <w:szCs w:val="18"/>
                <w:lang w:eastAsia="tr-TR"/>
              </w:rPr>
            </w:pPr>
            <w:r w:rsidRPr="00005453">
              <w:rPr>
                <w:color w:val="000000"/>
                <w:sz w:val="18"/>
                <w:szCs w:val="18"/>
                <w:lang w:eastAsia="tr-TR"/>
              </w:rPr>
              <w:t>Ticari amaçlı gayrimenkul ipoteği ile teminatlandırılan alacaklar</w:t>
            </w:r>
          </w:p>
        </w:tc>
        <w:tc>
          <w:tcPr>
            <w:tcW w:w="1086" w:type="dxa"/>
            <w:tcBorders>
              <w:top w:val="nil"/>
              <w:left w:val="nil"/>
              <w:bottom w:val="single" w:sz="8" w:space="0" w:color="auto"/>
              <w:right w:val="single" w:sz="8" w:space="0" w:color="auto"/>
            </w:tcBorders>
            <w:shd w:val="clear" w:color="auto" w:fill="auto"/>
            <w:noWrap/>
            <w:vAlign w:val="center"/>
            <w:hideMark/>
          </w:tcPr>
          <w:p w14:paraId="48D80B84" w14:textId="11FFAEA7" w:rsidR="00AF5795" w:rsidRPr="00005453" w:rsidRDefault="00AF5795" w:rsidP="00AF5795">
            <w:pPr>
              <w:jc w:val="right"/>
              <w:rPr>
                <w:color w:val="000000"/>
                <w:sz w:val="18"/>
                <w:szCs w:val="18"/>
              </w:rPr>
            </w:pPr>
            <w:r w:rsidRPr="00005453">
              <w:rPr>
                <w:color w:val="000000"/>
                <w:sz w:val="18"/>
                <w:szCs w:val="22"/>
              </w:rPr>
              <w:t>58,068,390</w:t>
            </w:r>
          </w:p>
        </w:tc>
        <w:tc>
          <w:tcPr>
            <w:tcW w:w="1159" w:type="dxa"/>
            <w:tcBorders>
              <w:top w:val="nil"/>
              <w:left w:val="nil"/>
              <w:bottom w:val="single" w:sz="8" w:space="0" w:color="auto"/>
              <w:right w:val="single" w:sz="8" w:space="0" w:color="auto"/>
            </w:tcBorders>
            <w:shd w:val="clear" w:color="auto" w:fill="auto"/>
            <w:noWrap/>
            <w:vAlign w:val="center"/>
            <w:hideMark/>
          </w:tcPr>
          <w:p w14:paraId="233E9E19" w14:textId="46DB0129" w:rsidR="00AF5795" w:rsidRPr="00005453" w:rsidRDefault="00AF5795" w:rsidP="00AF5795">
            <w:pPr>
              <w:jc w:val="right"/>
              <w:rPr>
                <w:color w:val="000000"/>
                <w:sz w:val="18"/>
                <w:szCs w:val="18"/>
              </w:rPr>
            </w:pPr>
            <w:r w:rsidRPr="00005453">
              <w:rPr>
                <w:color w:val="000000"/>
                <w:sz w:val="18"/>
                <w:szCs w:val="22"/>
              </w:rPr>
              <w:t>18,902,800</w:t>
            </w:r>
          </w:p>
        </w:tc>
        <w:tc>
          <w:tcPr>
            <w:tcW w:w="1324" w:type="dxa"/>
            <w:tcBorders>
              <w:top w:val="nil"/>
              <w:left w:val="nil"/>
              <w:bottom w:val="single" w:sz="8" w:space="0" w:color="auto"/>
              <w:right w:val="single" w:sz="8" w:space="0" w:color="auto"/>
            </w:tcBorders>
            <w:shd w:val="clear" w:color="auto" w:fill="auto"/>
            <w:noWrap/>
            <w:vAlign w:val="center"/>
            <w:hideMark/>
          </w:tcPr>
          <w:p w14:paraId="3443E213" w14:textId="516044E5" w:rsidR="00AF5795" w:rsidRPr="00005453" w:rsidRDefault="00AF5795" w:rsidP="00AF5795">
            <w:pPr>
              <w:jc w:val="right"/>
              <w:rPr>
                <w:color w:val="000000"/>
                <w:sz w:val="18"/>
                <w:szCs w:val="18"/>
              </w:rPr>
            </w:pPr>
            <w:r w:rsidRPr="00005453">
              <w:rPr>
                <w:color w:val="000000"/>
                <w:sz w:val="18"/>
                <w:szCs w:val="22"/>
              </w:rPr>
              <w:t>58,037,711</w:t>
            </w:r>
          </w:p>
        </w:tc>
        <w:tc>
          <w:tcPr>
            <w:tcW w:w="1324" w:type="dxa"/>
            <w:tcBorders>
              <w:top w:val="nil"/>
              <w:left w:val="nil"/>
              <w:bottom w:val="single" w:sz="8" w:space="0" w:color="auto"/>
              <w:right w:val="single" w:sz="8" w:space="0" w:color="auto"/>
            </w:tcBorders>
            <w:shd w:val="clear" w:color="auto" w:fill="auto"/>
            <w:noWrap/>
            <w:vAlign w:val="center"/>
            <w:hideMark/>
          </w:tcPr>
          <w:p w14:paraId="2B44C733" w14:textId="2D8FF0C3" w:rsidR="00AF5795" w:rsidRPr="00005453" w:rsidRDefault="00AF5795" w:rsidP="00AF5795">
            <w:pPr>
              <w:jc w:val="right"/>
              <w:rPr>
                <w:color w:val="000000"/>
                <w:sz w:val="18"/>
                <w:szCs w:val="18"/>
              </w:rPr>
            </w:pPr>
            <w:r w:rsidRPr="00005453">
              <w:rPr>
                <w:color w:val="000000"/>
                <w:sz w:val="18"/>
                <w:szCs w:val="22"/>
              </w:rPr>
              <w:t>9,061,675</w:t>
            </w:r>
          </w:p>
        </w:tc>
        <w:tc>
          <w:tcPr>
            <w:tcW w:w="1231" w:type="dxa"/>
            <w:tcBorders>
              <w:top w:val="nil"/>
              <w:left w:val="nil"/>
              <w:bottom w:val="single" w:sz="8" w:space="0" w:color="auto"/>
              <w:right w:val="single" w:sz="8" w:space="0" w:color="auto"/>
            </w:tcBorders>
            <w:shd w:val="clear" w:color="auto" w:fill="auto"/>
            <w:noWrap/>
            <w:vAlign w:val="center"/>
            <w:hideMark/>
          </w:tcPr>
          <w:p w14:paraId="089AB045" w14:textId="501B783B" w:rsidR="00AF5795" w:rsidRPr="00005453" w:rsidRDefault="00AF5795" w:rsidP="00AF5795">
            <w:pPr>
              <w:jc w:val="right"/>
              <w:rPr>
                <w:color w:val="000000"/>
                <w:sz w:val="18"/>
                <w:szCs w:val="18"/>
              </w:rPr>
            </w:pPr>
            <w:r w:rsidRPr="00005453">
              <w:rPr>
                <w:color w:val="000000"/>
                <w:sz w:val="18"/>
                <w:szCs w:val="22"/>
              </w:rPr>
              <w:t>44,692,821</w:t>
            </w:r>
          </w:p>
        </w:tc>
        <w:tc>
          <w:tcPr>
            <w:tcW w:w="1265" w:type="dxa"/>
            <w:tcBorders>
              <w:top w:val="nil"/>
              <w:left w:val="nil"/>
              <w:bottom w:val="single" w:sz="8" w:space="0" w:color="auto"/>
              <w:right w:val="single" w:sz="8" w:space="0" w:color="auto"/>
            </w:tcBorders>
            <w:shd w:val="clear" w:color="auto" w:fill="auto"/>
            <w:noWrap/>
            <w:vAlign w:val="center"/>
            <w:hideMark/>
          </w:tcPr>
          <w:p w14:paraId="3168F825" w14:textId="5FA71141" w:rsidR="00AF5795" w:rsidRPr="00005453" w:rsidRDefault="00AF5795" w:rsidP="00AF5795">
            <w:pPr>
              <w:jc w:val="right"/>
              <w:rPr>
                <w:color w:val="000000"/>
                <w:sz w:val="18"/>
                <w:szCs w:val="18"/>
              </w:rPr>
            </w:pPr>
            <w:r w:rsidRPr="00005453">
              <w:rPr>
                <w:color w:val="000000"/>
                <w:sz w:val="18"/>
                <w:szCs w:val="22"/>
              </w:rPr>
              <w:t>67</w:t>
            </w:r>
          </w:p>
        </w:tc>
      </w:tr>
      <w:tr w:rsidR="00AF5795" w:rsidRPr="00005453" w14:paraId="4EA7F8ED"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7E21A681" w14:textId="77777777" w:rsidR="00AF5795" w:rsidRPr="00005453" w:rsidRDefault="00AF5795" w:rsidP="00AF5795">
            <w:pPr>
              <w:rPr>
                <w:color w:val="000000"/>
                <w:sz w:val="18"/>
                <w:szCs w:val="18"/>
                <w:lang w:eastAsia="tr-TR"/>
              </w:rPr>
            </w:pPr>
            <w:r w:rsidRPr="00005453">
              <w:rPr>
                <w:color w:val="000000"/>
                <w:sz w:val="18"/>
                <w:szCs w:val="18"/>
                <w:lang w:eastAsia="tr-TR"/>
              </w:rPr>
              <w:t>11</w:t>
            </w:r>
          </w:p>
        </w:tc>
        <w:tc>
          <w:tcPr>
            <w:tcW w:w="6205" w:type="dxa"/>
            <w:tcBorders>
              <w:top w:val="nil"/>
              <w:left w:val="nil"/>
              <w:bottom w:val="single" w:sz="8" w:space="0" w:color="auto"/>
              <w:right w:val="single" w:sz="8" w:space="0" w:color="auto"/>
            </w:tcBorders>
            <w:shd w:val="clear" w:color="auto" w:fill="auto"/>
            <w:noWrap/>
            <w:hideMark/>
          </w:tcPr>
          <w:p w14:paraId="6BFDB1D3" w14:textId="77777777" w:rsidR="00AF5795" w:rsidRPr="00005453" w:rsidRDefault="00AF5795" w:rsidP="00AF5795">
            <w:pPr>
              <w:rPr>
                <w:color w:val="000000"/>
                <w:sz w:val="18"/>
                <w:szCs w:val="18"/>
                <w:lang w:eastAsia="tr-TR"/>
              </w:rPr>
            </w:pPr>
            <w:r w:rsidRPr="00005453">
              <w:rPr>
                <w:color w:val="000000"/>
                <w:sz w:val="18"/>
                <w:szCs w:val="18"/>
                <w:lang w:eastAsia="tr-TR"/>
              </w:rPr>
              <w:t>Tahsili gecikmiş alacaklar</w:t>
            </w:r>
          </w:p>
        </w:tc>
        <w:tc>
          <w:tcPr>
            <w:tcW w:w="1086" w:type="dxa"/>
            <w:tcBorders>
              <w:top w:val="nil"/>
              <w:left w:val="nil"/>
              <w:bottom w:val="single" w:sz="8" w:space="0" w:color="auto"/>
              <w:right w:val="single" w:sz="8" w:space="0" w:color="auto"/>
            </w:tcBorders>
            <w:shd w:val="clear" w:color="auto" w:fill="auto"/>
            <w:noWrap/>
            <w:vAlign w:val="center"/>
            <w:hideMark/>
          </w:tcPr>
          <w:p w14:paraId="7E9BDB5E" w14:textId="710E3E6D" w:rsidR="00AF5795" w:rsidRPr="00005453" w:rsidRDefault="00AF5795" w:rsidP="00AF5795">
            <w:pPr>
              <w:jc w:val="right"/>
              <w:rPr>
                <w:color w:val="000000"/>
                <w:sz w:val="18"/>
                <w:szCs w:val="18"/>
              </w:rPr>
            </w:pPr>
            <w:r w:rsidRPr="00005453">
              <w:rPr>
                <w:color w:val="000000"/>
                <w:sz w:val="18"/>
                <w:szCs w:val="22"/>
              </w:rPr>
              <w:t>518,076</w:t>
            </w:r>
          </w:p>
        </w:tc>
        <w:tc>
          <w:tcPr>
            <w:tcW w:w="1159" w:type="dxa"/>
            <w:tcBorders>
              <w:top w:val="nil"/>
              <w:left w:val="nil"/>
              <w:bottom w:val="single" w:sz="8" w:space="0" w:color="auto"/>
              <w:right w:val="single" w:sz="8" w:space="0" w:color="auto"/>
            </w:tcBorders>
            <w:shd w:val="clear" w:color="auto" w:fill="auto"/>
            <w:noWrap/>
            <w:vAlign w:val="center"/>
            <w:hideMark/>
          </w:tcPr>
          <w:p w14:paraId="3C3B9EC2" w14:textId="572CF2D3"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56464AD2" w14:textId="45921059" w:rsidR="00AF5795" w:rsidRPr="00005453" w:rsidRDefault="00AF5795" w:rsidP="00AF5795">
            <w:pPr>
              <w:jc w:val="right"/>
              <w:rPr>
                <w:color w:val="000000"/>
                <w:sz w:val="18"/>
                <w:szCs w:val="18"/>
              </w:rPr>
            </w:pPr>
            <w:r w:rsidRPr="00005453">
              <w:rPr>
                <w:color w:val="000000"/>
                <w:sz w:val="18"/>
                <w:szCs w:val="22"/>
              </w:rPr>
              <w:t>506,388</w:t>
            </w:r>
          </w:p>
        </w:tc>
        <w:tc>
          <w:tcPr>
            <w:tcW w:w="1324" w:type="dxa"/>
            <w:tcBorders>
              <w:top w:val="nil"/>
              <w:left w:val="nil"/>
              <w:bottom w:val="single" w:sz="8" w:space="0" w:color="auto"/>
              <w:right w:val="single" w:sz="8" w:space="0" w:color="auto"/>
            </w:tcBorders>
            <w:shd w:val="clear" w:color="auto" w:fill="auto"/>
            <w:noWrap/>
            <w:vAlign w:val="center"/>
            <w:hideMark/>
          </w:tcPr>
          <w:p w14:paraId="61B14C07" w14:textId="3B2CF58E"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69BE9E67" w14:textId="78D8C9CD" w:rsidR="00AF5795" w:rsidRPr="00005453" w:rsidRDefault="00AF5795" w:rsidP="00AF5795">
            <w:pPr>
              <w:jc w:val="right"/>
              <w:rPr>
                <w:color w:val="000000"/>
                <w:sz w:val="18"/>
                <w:szCs w:val="18"/>
              </w:rPr>
            </w:pPr>
            <w:r w:rsidRPr="00005453">
              <w:rPr>
                <w:color w:val="000000"/>
                <w:sz w:val="18"/>
                <w:szCs w:val="22"/>
              </w:rPr>
              <w:t>254,415</w:t>
            </w:r>
          </w:p>
        </w:tc>
        <w:tc>
          <w:tcPr>
            <w:tcW w:w="1265" w:type="dxa"/>
            <w:tcBorders>
              <w:top w:val="nil"/>
              <w:left w:val="nil"/>
              <w:bottom w:val="single" w:sz="8" w:space="0" w:color="auto"/>
              <w:right w:val="single" w:sz="8" w:space="0" w:color="auto"/>
            </w:tcBorders>
            <w:shd w:val="clear" w:color="auto" w:fill="auto"/>
            <w:noWrap/>
            <w:vAlign w:val="center"/>
            <w:hideMark/>
          </w:tcPr>
          <w:p w14:paraId="50CFCAE8" w14:textId="5D66626B" w:rsidR="00AF5795" w:rsidRPr="00005453" w:rsidRDefault="00AF5795" w:rsidP="00AF5795">
            <w:pPr>
              <w:jc w:val="right"/>
              <w:rPr>
                <w:color w:val="000000"/>
                <w:sz w:val="18"/>
                <w:szCs w:val="18"/>
              </w:rPr>
            </w:pPr>
            <w:r w:rsidRPr="00005453">
              <w:rPr>
                <w:color w:val="000000"/>
                <w:sz w:val="18"/>
                <w:szCs w:val="22"/>
              </w:rPr>
              <w:t>50</w:t>
            </w:r>
          </w:p>
        </w:tc>
      </w:tr>
      <w:tr w:rsidR="00AF5795" w:rsidRPr="00005453" w14:paraId="6D54058F"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1D05835A" w14:textId="77777777" w:rsidR="00AF5795" w:rsidRPr="00005453" w:rsidRDefault="00AF5795" w:rsidP="00AF5795">
            <w:pPr>
              <w:rPr>
                <w:color w:val="000000"/>
                <w:sz w:val="18"/>
                <w:szCs w:val="18"/>
                <w:lang w:eastAsia="tr-TR"/>
              </w:rPr>
            </w:pPr>
            <w:r w:rsidRPr="00005453">
              <w:rPr>
                <w:color w:val="000000"/>
                <w:sz w:val="18"/>
                <w:szCs w:val="18"/>
                <w:lang w:eastAsia="tr-TR"/>
              </w:rPr>
              <w:t>12</w:t>
            </w:r>
          </w:p>
        </w:tc>
        <w:tc>
          <w:tcPr>
            <w:tcW w:w="6205" w:type="dxa"/>
            <w:tcBorders>
              <w:top w:val="nil"/>
              <w:left w:val="nil"/>
              <w:bottom w:val="single" w:sz="8" w:space="0" w:color="auto"/>
              <w:right w:val="single" w:sz="8" w:space="0" w:color="auto"/>
            </w:tcBorders>
            <w:shd w:val="clear" w:color="auto" w:fill="auto"/>
            <w:noWrap/>
            <w:hideMark/>
          </w:tcPr>
          <w:p w14:paraId="778CD2B5" w14:textId="33C512AC" w:rsidR="00AF5795" w:rsidRPr="00005453" w:rsidRDefault="00AF5795" w:rsidP="00AF5795">
            <w:pPr>
              <w:tabs>
                <w:tab w:val="right" w:pos="6065"/>
              </w:tabs>
              <w:rPr>
                <w:color w:val="000000"/>
                <w:sz w:val="18"/>
                <w:szCs w:val="18"/>
                <w:lang w:eastAsia="tr-TR"/>
              </w:rPr>
            </w:pPr>
            <w:r w:rsidRPr="00005453">
              <w:rPr>
                <w:color w:val="000000"/>
                <w:sz w:val="18"/>
                <w:szCs w:val="18"/>
                <w:lang w:eastAsia="tr-TR"/>
              </w:rPr>
              <w:t>Kurulca riski yüksek belirlenmiş alacaklar</w:t>
            </w:r>
            <w:r w:rsidRPr="00005453">
              <w:rPr>
                <w:color w:val="000000"/>
                <w:sz w:val="18"/>
                <w:szCs w:val="18"/>
                <w:lang w:eastAsia="tr-TR"/>
              </w:rPr>
              <w:tab/>
            </w:r>
          </w:p>
        </w:tc>
        <w:tc>
          <w:tcPr>
            <w:tcW w:w="1086" w:type="dxa"/>
            <w:tcBorders>
              <w:top w:val="nil"/>
              <w:left w:val="nil"/>
              <w:bottom w:val="single" w:sz="8" w:space="0" w:color="auto"/>
              <w:right w:val="single" w:sz="8" w:space="0" w:color="auto"/>
            </w:tcBorders>
            <w:shd w:val="clear" w:color="auto" w:fill="auto"/>
            <w:noWrap/>
            <w:vAlign w:val="center"/>
            <w:hideMark/>
          </w:tcPr>
          <w:p w14:paraId="707C60BD" w14:textId="4CF409FB" w:rsidR="00AF5795" w:rsidRPr="00005453" w:rsidRDefault="00AF5795" w:rsidP="00AF5795">
            <w:pPr>
              <w:jc w:val="right"/>
              <w:rPr>
                <w:color w:val="000000"/>
                <w:sz w:val="18"/>
                <w:szCs w:val="18"/>
              </w:rPr>
            </w:pPr>
            <w:r w:rsidRPr="00005453">
              <w:rPr>
                <w:color w:val="000000"/>
                <w:sz w:val="18"/>
                <w:szCs w:val="22"/>
              </w:rPr>
              <w:t>1,593,687</w:t>
            </w:r>
          </w:p>
        </w:tc>
        <w:tc>
          <w:tcPr>
            <w:tcW w:w="1159" w:type="dxa"/>
            <w:tcBorders>
              <w:top w:val="nil"/>
              <w:left w:val="nil"/>
              <w:bottom w:val="single" w:sz="8" w:space="0" w:color="auto"/>
              <w:right w:val="single" w:sz="8" w:space="0" w:color="auto"/>
            </w:tcBorders>
            <w:shd w:val="clear" w:color="auto" w:fill="auto"/>
            <w:noWrap/>
            <w:vAlign w:val="center"/>
            <w:hideMark/>
          </w:tcPr>
          <w:p w14:paraId="6E981D95" w14:textId="4721E5CB"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5CB3BEC2" w14:textId="1E79E4AE" w:rsidR="00AF5795" w:rsidRPr="00005453" w:rsidRDefault="00AF5795" w:rsidP="00AF5795">
            <w:pPr>
              <w:jc w:val="right"/>
              <w:rPr>
                <w:color w:val="000000"/>
                <w:sz w:val="18"/>
                <w:szCs w:val="18"/>
              </w:rPr>
            </w:pPr>
            <w:r w:rsidRPr="00005453">
              <w:rPr>
                <w:color w:val="000000"/>
                <w:sz w:val="18"/>
                <w:szCs w:val="22"/>
              </w:rPr>
              <w:t>1,593,687</w:t>
            </w:r>
          </w:p>
        </w:tc>
        <w:tc>
          <w:tcPr>
            <w:tcW w:w="1324" w:type="dxa"/>
            <w:tcBorders>
              <w:top w:val="nil"/>
              <w:left w:val="nil"/>
              <w:bottom w:val="single" w:sz="8" w:space="0" w:color="auto"/>
              <w:right w:val="single" w:sz="8" w:space="0" w:color="auto"/>
            </w:tcBorders>
            <w:shd w:val="clear" w:color="auto" w:fill="auto"/>
            <w:noWrap/>
            <w:vAlign w:val="center"/>
            <w:hideMark/>
          </w:tcPr>
          <w:p w14:paraId="76AA0C63" w14:textId="40BA62D5"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74AA3217" w14:textId="2C41A241" w:rsidR="00AF5795" w:rsidRPr="00005453" w:rsidRDefault="00AF5795" w:rsidP="00AF5795">
            <w:pPr>
              <w:jc w:val="right"/>
              <w:rPr>
                <w:color w:val="000000"/>
                <w:sz w:val="18"/>
                <w:szCs w:val="18"/>
              </w:rPr>
            </w:pPr>
            <w:r w:rsidRPr="00005453">
              <w:rPr>
                <w:color w:val="000000"/>
                <w:sz w:val="18"/>
                <w:szCs w:val="22"/>
              </w:rPr>
              <w:t>7,968,428</w:t>
            </w:r>
          </w:p>
        </w:tc>
        <w:tc>
          <w:tcPr>
            <w:tcW w:w="1265" w:type="dxa"/>
            <w:tcBorders>
              <w:top w:val="nil"/>
              <w:left w:val="nil"/>
              <w:bottom w:val="single" w:sz="8" w:space="0" w:color="auto"/>
              <w:right w:val="single" w:sz="8" w:space="0" w:color="auto"/>
            </w:tcBorders>
            <w:shd w:val="clear" w:color="auto" w:fill="auto"/>
            <w:noWrap/>
            <w:vAlign w:val="center"/>
            <w:hideMark/>
          </w:tcPr>
          <w:p w14:paraId="40508D93" w14:textId="5F57FB61" w:rsidR="00AF5795" w:rsidRPr="00005453" w:rsidRDefault="00AF5795" w:rsidP="00AF5795">
            <w:pPr>
              <w:jc w:val="right"/>
              <w:rPr>
                <w:color w:val="000000"/>
                <w:sz w:val="18"/>
                <w:szCs w:val="18"/>
              </w:rPr>
            </w:pPr>
            <w:r w:rsidRPr="00005453">
              <w:rPr>
                <w:color w:val="000000"/>
                <w:sz w:val="18"/>
                <w:szCs w:val="22"/>
              </w:rPr>
              <w:t>500</w:t>
            </w:r>
          </w:p>
        </w:tc>
      </w:tr>
      <w:tr w:rsidR="00AF5795" w:rsidRPr="00005453" w14:paraId="0A14DBA9"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4B6631E4" w14:textId="77777777" w:rsidR="00AF5795" w:rsidRPr="00005453" w:rsidRDefault="00AF5795" w:rsidP="00AF5795">
            <w:pPr>
              <w:rPr>
                <w:color w:val="000000"/>
                <w:sz w:val="18"/>
                <w:szCs w:val="18"/>
                <w:lang w:eastAsia="tr-TR"/>
              </w:rPr>
            </w:pPr>
            <w:r w:rsidRPr="00005453">
              <w:rPr>
                <w:color w:val="000000"/>
                <w:sz w:val="18"/>
                <w:szCs w:val="18"/>
                <w:lang w:eastAsia="tr-TR"/>
              </w:rPr>
              <w:t>13</w:t>
            </w:r>
          </w:p>
        </w:tc>
        <w:tc>
          <w:tcPr>
            <w:tcW w:w="6205" w:type="dxa"/>
            <w:tcBorders>
              <w:top w:val="nil"/>
              <w:left w:val="nil"/>
              <w:bottom w:val="single" w:sz="8" w:space="0" w:color="auto"/>
              <w:right w:val="single" w:sz="8" w:space="0" w:color="auto"/>
            </w:tcBorders>
            <w:shd w:val="clear" w:color="auto" w:fill="auto"/>
            <w:noWrap/>
            <w:hideMark/>
          </w:tcPr>
          <w:p w14:paraId="2A94C3E2" w14:textId="47FD29C7" w:rsidR="00AF5795" w:rsidRPr="00005453" w:rsidRDefault="00AF5795" w:rsidP="00AF5795">
            <w:pPr>
              <w:rPr>
                <w:color w:val="000000"/>
                <w:sz w:val="18"/>
                <w:szCs w:val="18"/>
                <w:lang w:eastAsia="tr-TR"/>
              </w:rPr>
            </w:pPr>
            <w:r w:rsidRPr="00005453">
              <w:rPr>
                <w:color w:val="000000"/>
                <w:sz w:val="18"/>
                <w:szCs w:val="18"/>
                <w:lang w:eastAsia="tr-TR"/>
              </w:rPr>
              <w:t xml:space="preserve">Teminatlı menkul kıymetler </w:t>
            </w:r>
          </w:p>
        </w:tc>
        <w:tc>
          <w:tcPr>
            <w:tcW w:w="1086" w:type="dxa"/>
            <w:tcBorders>
              <w:top w:val="nil"/>
              <w:left w:val="nil"/>
              <w:bottom w:val="single" w:sz="8" w:space="0" w:color="auto"/>
              <w:right w:val="single" w:sz="8" w:space="0" w:color="auto"/>
            </w:tcBorders>
            <w:shd w:val="clear" w:color="auto" w:fill="auto"/>
            <w:noWrap/>
            <w:vAlign w:val="center"/>
            <w:hideMark/>
          </w:tcPr>
          <w:p w14:paraId="282B7697" w14:textId="1CD53B62"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26714F41" w14:textId="1E272778"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63FA46A1" w14:textId="3210A6B1"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3747C69" w14:textId="44D02649"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76D58D86" w14:textId="06036C72"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79A35586" w14:textId="345BBC07"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6A69EB6E"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5D3B9E1C" w14:textId="77777777" w:rsidR="00AF5795" w:rsidRPr="00005453" w:rsidRDefault="00AF5795" w:rsidP="00AF5795">
            <w:pPr>
              <w:rPr>
                <w:color w:val="000000"/>
                <w:sz w:val="18"/>
                <w:szCs w:val="18"/>
                <w:lang w:eastAsia="tr-TR"/>
              </w:rPr>
            </w:pPr>
            <w:r w:rsidRPr="00005453">
              <w:rPr>
                <w:color w:val="000000"/>
                <w:sz w:val="18"/>
                <w:szCs w:val="18"/>
                <w:lang w:eastAsia="tr-TR"/>
              </w:rPr>
              <w:t>14</w:t>
            </w:r>
          </w:p>
        </w:tc>
        <w:tc>
          <w:tcPr>
            <w:tcW w:w="6205" w:type="dxa"/>
            <w:tcBorders>
              <w:top w:val="nil"/>
              <w:left w:val="nil"/>
              <w:bottom w:val="single" w:sz="8" w:space="0" w:color="auto"/>
              <w:right w:val="single" w:sz="8" w:space="0" w:color="auto"/>
            </w:tcBorders>
            <w:shd w:val="clear" w:color="auto" w:fill="auto"/>
            <w:noWrap/>
            <w:hideMark/>
          </w:tcPr>
          <w:p w14:paraId="532D8F75" w14:textId="77777777" w:rsidR="00AF5795" w:rsidRPr="00005453" w:rsidRDefault="00AF5795" w:rsidP="00AF5795">
            <w:pPr>
              <w:rPr>
                <w:color w:val="000000"/>
                <w:sz w:val="18"/>
                <w:szCs w:val="18"/>
                <w:lang w:eastAsia="tr-TR"/>
              </w:rPr>
            </w:pPr>
            <w:r w:rsidRPr="00005453">
              <w:rPr>
                <w:color w:val="000000"/>
                <w:sz w:val="18"/>
                <w:szCs w:val="18"/>
                <w:lang w:eastAsia="tr-TR"/>
              </w:rPr>
              <w:t>Bankalardan ve aracı kurumlardan olan kısa vadeli alacaklar ile kısa vadeli kurumsal alacaklar</w:t>
            </w:r>
          </w:p>
        </w:tc>
        <w:tc>
          <w:tcPr>
            <w:tcW w:w="1086" w:type="dxa"/>
            <w:tcBorders>
              <w:top w:val="nil"/>
              <w:left w:val="nil"/>
              <w:bottom w:val="single" w:sz="8" w:space="0" w:color="auto"/>
              <w:right w:val="single" w:sz="8" w:space="0" w:color="auto"/>
            </w:tcBorders>
            <w:shd w:val="clear" w:color="auto" w:fill="auto"/>
            <w:noWrap/>
            <w:vAlign w:val="center"/>
            <w:hideMark/>
          </w:tcPr>
          <w:p w14:paraId="15E55BF1" w14:textId="1891D19D"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1B04D743" w14:textId="3A226D94"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23C2ED59" w14:textId="0D28C352"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0818382B" w14:textId="117D7437"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242F6C04" w14:textId="766CDB1A"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4A4F973D" w14:textId="2CADC13F"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7FF086C7"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7C79C6DB" w14:textId="77777777" w:rsidR="00AF5795" w:rsidRPr="00005453" w:rsidRDefault="00AF5795" w:rsidP="00AF5795">
            <w:pPr>
              <w:rPr>
                <w:color w:val="000000"/>
                <w:sz w:val="18"/>
                <w:szCs w:val="18"/>
                <w:lang w:eastAsia="tr-TR"/>
              </w:rPr>
            </w:pPr>
            <w:r w:rsidRPr="00005453">
              <w:rPr>
                <w:color w:val="000000"/>
                <w:sz w:val="18"/>
                <w:szCs w:val="18"/>
                <w:lang w:eastAsia="tr-TR"/>
              </w:rPr>
              <w:t>15</w:t>
            </w:r>
          </w:p>
        </w:tc>
        <w:tc>
          <w:tcPr>
            <w:tcW w:w="6205" w:type="dxa"/>
            <w:tcBorders>
              <w:top w:val="nil"/>
              <w:left w:val="nil"/>
              <w:bottom w:val="single" w:sz="8" w:space="0" w:color="auto"/>
              <w:right w:val="single" w:sz="8" w:space="0" w:color="auto"/>
            </w:tcBorders>
            <w:shd w:val="clear" w:color="auto" w:fill="auto"/>
            <w:noWrap/>
            <w:hideMark/>
          </w:tcPr>
          <w:p w14:paraId="66CEAEFA" w14:textId="77777777" w:rsidR="00AF5795" w:rsidRPr="00005453" w:rsidRDefault="00AF5795" w:rsidP="00AF5795">
            <w:pPr>
              <w:rPr>
                <w:color w:val="000000"/>
                <w:sz w:val="18"/>
                <w:szCs w:val="18"/>
                <w:lang w:eastAsia="tr-TR"/>
              </w:rPr>
            </w:pPr>
            <w:r w:rsidRPr="00005453">
              <w:rPr>
                <w:color w:val="000000"/>
                <w:sz w:val="18"/>
                <w:szCs w:val="18"/>
                <w:lang w:eastAsia="tr-TR"/>
              </w:rPr>
              <w:t>Kolektif yatırım kuruluşu niteliğindeki yatırımlar</w:t>
            </w:r>
          </w:p>
        </w:tc>
        <w:tc>
          <w:tcPr>
            <w:tcW w:w="1086" w:type="dxa"/>
            <w:tcBorders>
              <w:top w:val="nil"/>
              <w:left w:val="nil"/>
              <w:bottom w:val="single" w:sz="8" w:space="0" w:color="auto"/>
              <w:right w:val="single" w:sz="8" w:space="0" w:color="auto"/>
            </w:tcBorders>
            <w:shd w:val="clear" w:color="auto" w:fill="auto"/>
            <w:noWrap/>
            <w:vAlign w:val="center"/>
            <w:hideMark/>
          </w:tcPr>
          <w:p w14:paraId="221B8A8F" w14:textId="1C6EF903" w:rsidR="00AF5795" w:rsidRPr="00005453" w:rsidRDefault="00AF5795" w:rsidP="00AF5795">
            <w:pPr>
              <w:jc w:val="right"/>
              <w:rPr>
                <w:color w:val="000000"/>
                <w:sz w:val="18"/>
                <w:szCs w:val="18"/>
              </w:rPr>
            </w:pPr>
            <w:r w:rsidRPr="00005453">
              <w:rPr>
                <w:color w:val="000000"/>
                <w:sz w:val="18"/>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159F4C58" w14:textId="6C41674D"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B408EE2" w14:textId="35101CDD"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6B62F73" w14:textId="3C79F8BE"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6646FCDB" w14:textId="29CB6262" w:rsidR="00AF5795" w:rsidRPr="00005453" w:rsidRDefault="00AF5795" w:rsidP="00AF5795">
            <w:pPr>
              <w:jc w:val="right"/>
              <w:rPr>
                <w:color w:val="000000"/>
                <w:sz w:val="18"/>
                <w:szCs w:val="18"/>
              </w:rPr>
            </w:pPr>
            <w:r w:rsidRPr="00005453">
              <w:rPr>
                <w:color w:val="000000"/>
                <w:sz w:val="18"/>
                <w:szCs w:val="22"/>
              </w:rPr>
              <w:t>-</w:t>
            </w:r>
          </w:p>
        </w:tc>
        <w:tc>
          <w:tcPr>
            <w:tcW w:w="1265" w:type="dxa"/>
            <w:tcBorders>
              <w:top w:val="nil"/>
              <w:left w:val="nil"/>
              <w:bottom w:val="single" w:sz="8" w:space="0" w:color="auto"/>
              <w:right w:val="single" w:sz="8" w:space="0" w:color="auto"/>
            </w:tcBorders>
            <w:shd w:val="clear" w:color="auto" w:fill="auto"/>
            <w:noWrap/>
            <w:vAlign w:val="center"/>
            <w:hideMark/>
          </w:tcPr>
          <w:p w14:paraId="4C5F5299" w14:textId="1E5F302B" w:rsidR="00AF5795" w:rsidRPr="00005453" w:rsidRDefault="00AF5795" w:rsidP="00AF5795">
            <w:pPr>
              <w:jc w:val="right"/>
              <w:rPr>
                <w:color w:val="000000"/>
                <w:sz w:val="18"/>
                <w:szCs w:val="18"/>
              </w:rPr>
            </w:pPr>
            <w:r w:rsidRPr="00005453">
              <w:rPr>
                <w:color w:val="000000"/>
                <w:sz w:val="18"/>
                <w:szCs w:val="22"/>
              </w:rPr>
              <w:t>-</w:t>
            </w:r>
          </w:p>
        </w:tc>
      </w:tr>
      <w:tr w:rsidR="00AF5795" w:rsidRPr="00005453" w14:paraId="75ABCAB7"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496F8045" w14:textId="77777777" w:rsidR="00AF5795" w:rsidRPr="00005453" w:rsidRDefault="00AF5795" w:rsidP="00AF5795">
            <w:pPr>
              <w:rPr>
                <w:color w:val="000000"/>
                <w:sz w:val="18"/>
                <w:szCs w:val="18"/>
                <w:lang w:eastAsia="tr-TR"/>
              </w:rPr>
            </w:pPr>
            <w:r w:rsidRPr="00005453">
              <w:rPr>
                <w:color w:val="000000"/>
                <w:sz w:val="18"/>
                <w:szCs w:val="18"/>
                <w:lang w:eastAsia="tr-TR"/>
              </w:rPr>
              <w:t>16</w:t>
            </w:r>
          </w:p>
        </w:tc>
        <w:tc>
          <w:tcPr>
            <w:tcW w:w="6205" w:type="dxa"/>
            <w:tcBorders>
              <w:top w:val="nil"/>
              <w:left w:val="nil"/>
              <w:bottom w:val="single" w:sz="8" w:space="0" w:color="auto"/>
              <w:right w:val="single" w:sz="8" w:space="0" w:color="auto"/>
            </w:tcBorders>
            <w:shd w:val="clear" w:color="auto" w:fill="auto"/>
            <w:noWrap/>
            <w:hideMark/>
          </w:tcPr>
          <w:p w14:paraId="5598BA32" w14:textId="77777777" w:rsidR="00AF5795" w:rsidRPr="00005453" w:rsidRDefault="00AF5795" w:rsidP="00AF5795">
            <w:pPr>
              <w:rPr>
                <w:color w:val="000000"/>
                <w:sz w:val="18"/>
                <w:szCs w:val="18"/>
                <w:lang w:eastAsia="tr-TR"/>
              </w:rPr>
            </w:pPr>
            <w:r w:rsidRPr="00005453">
              <w:rPr>
                <w:color w:val="000000"/>
                <w:sz w:val="18"/>
                <w:szCs w:val="18"/>
                <w:lang w:eastAsia="tr-TR"/>
              </w:rPr>
              <w:t>Diğer alacaklar</w:t>
            </w:r>
          </w:p>
        </w:tc>
        <w:tc>
          <w:tcPr>
            <w:tcW w:w="1086" w:type="dxa"/>
            <w:tcBorders>
              <w:top w:val="nil"/>
              <w:left w:val="nil"/>
              <w:bottom w:val="single" w:sz="8" w:space="0" w:color="auto"/>
              <w:right w:val="single" w:sz="8" w:space="0" w:color="auto"/>
            </w:tcBorders>
            <w:shd w:val="clear" w:color="auto" w:fill="auto"/>
            <w:noWrap/>
            <w:vAlign w:val="center"/>
            <w:hideMark/>
          </w:tcPr>
          <w:p w14:paraId="5F2BF5EA" w14:textId="395EDE5B" w:rsidR="00AF5795" w:rsidRPr="00005453" w:rsidRDefault="00AF5795" w:rsidP="00AF5795">
            <w:pPr>
              <w:jc w:val="right"/>
              <w:rPr>
                <w:color w:val="000000"/>
                <w:sz w:val="18"/>
                <w:szCs w:val="18"/>
              </w:rPr>
            </w:pPr>
            <w:r w:rsidRPr="00005453">
              <w:rPr>
                <w:color w:val="000000"/>
                <w:sz w:val="18"/>
                <w:szCs w:val="22"/>
              </w:rPr>
              <w:t>24,836,514</w:t>
            </w:r>
          </w:p>
        </w:tc>
        <w:tc>
          <w:tcPr>
            <w:tcW w:w="1159" w:type="dxa"/>
            <w:tcBorders>
              <w:top w:val="nil"/>
              <w:left w:val="nil"/>
              <w:bottom w:val="single" w:sz="8" w:space="0" w:color="auto"/>
              <w:right w:val="single" w:sz="8" w:space="0" w:color="auto"/>
            </w:tcBorders>
            <w:shd w:val="clear" w:color="auto" w:fill="auto"/>
            <w:noWrap/>
            <w:vAlign w:val="center"/>
            <w:hideMark/>
          </w:tcPr>
          <w:p w14:paraId="34860579" w14:textId="18E0AB82"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148CC947" w14:textId="37888D1E" w:rsidR="00AF5795" w:rsidRPr="00005453" w:rsidRDefault="00AF5795" w:rsidP="00AF5795">
            <w:pPr>
              <w:jc w:val="right"/>
              <w:rPr>
                <w:color w:val="000000"/>
                <w:sz w:val="18"/>
                <w:szCs w:val="18"/>
              </w:rPr>
            </w:pPr>
            <w:r w:rsidRPr="00005453">
              <w:rPr>
                <w:color w:val="000000"/>
                <w:sz w:val="18"/>
                <w:szCs w:val="22"/>
              </w:rPr>
              <w:t>24,836,514</w:t>
            </w:r>
          </w:p>
        </w:tc>
        <w:tc>
          <w:tcPr>
            <w:tcW w:w="1324" w:type="dxa"/>
            <w:tcBorders>
              <w:top w:val="nil"/>
              <w:left w:val="nil"/>
              <w:bottom w:val="single" w:sz="8" w:space="0" w:color="auto"/>
              <w:right w:val="single" w:sz="8" w:space="0" w:color="auto"/>
            </w:tcBorders>
            <w:shd w:val="clear" w:color="auto" w:fill="auto"/>
            <w:noWrap/>
            <w:vAlign w:val="center"/>
            <w:hideMark/>
          </w:tcPr>
          <w:p w14:paraId="781265DB" w14:textId="1E0171ED"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74DA842F" w14:textId="1224852C" w:rsidR="00AF5795" w:rsidRPr="00005453" w:rsidRDefault="00AF5795" w:rsidP="00AF5795">
            <w:pPr>
              <w:jc w:val="right"/>
              <w:rPr>
                <w:color w:val="000000"/>
                <w:sz w:val="18"/>
                <w:szCs w:val="18"/>
              </w:rPr>
            </w:pPr>
            <w:r w:rsidRPr="00005453">
              <w:rPr>
                <w:color w:val="000000"/>
                <w:sz w:val="18"/>
                <w:szCs w:val="22"/>
              </w:rPr>
              <w:t>8,342,34</w:t>
            </w:r>
            <w:r w:rsidR="00C27C87" w:rsidRPr="00005453">
              <w:rPr>
                <w:color w:val="000000"/>
                <w:sz w:val="18"/>
                <w:szCs w:val="22"/>
              </w:rPr>
              <w:t>4</w:t>
            </w:r>
          </w:p>
        </w:tc>
        <w:tc>
          <w:tcPr>
            <w:tcW w:w="1265" w:type="dxa"/>
            <w:tcBorders>
              <w:top w:val="nil"/>
              <w:left w:val="nil"/>
              <w:bottom w:val="single" w:sz="8" w:space="0" w:color="auto"/>
              <w:right w:val="single" w:sz="8" w:space="0" w:color="auto"/>
            </w:tcBorders>
            <w:shd w:val="clear" w:color="auto" w:fill="auto"/>
            <w:noWrap/>
            <w:vAlign w:val="center"/>
            <w:hideMark/>
          </w:tcPr>
          <w:p w14:paraId="7E0DE233" w14:textId="5247D08E" w:rsidR="00AF5795" w:rsidRPr="00005453" w:rsidRDefault="00AF5795" w:rsidP="00AF5795">
            <w:pPr>
              <w:jc w:val="right"/>
              <w:rPr>
                <w:color w:val="000000"/>
                <w:sz w:val="18"/>
                <w:szCs w:val="18"/>
              </w:rPr>
            </w:pPr>
            <w:r w:rsidRPr="00005453">
              <w:rPr>
                <w:color w:val="000000"/>
                <w:sz w:val="18"/>
                <w:szCs w:val="22"/>
              </w:rPr>
              <w:t>34</w:t>
            </w:r>
          </w:p>
        </w:tc>
      </w:tr>
      <w:tr w:rsidR="00AF5795" w:rsidRPr="00005453" w14:paraId="4A4EDCD8"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5A8CC8FD" w14:textId="77777777" w:rsidR="00AF5795" w:rsidRPr="00005453" w:rsidRDefault="00AF5795" w:rsidP="00AF5795">
            <w:pPr>
              <w:rPr>
                <w:color w:val="000000"/>
                <w:sz w:val="18"/>
                <w:szCs w:val="18"/>
                <w:lang w:eastAsia="tr-TR"/>
              </w:rPr>
            </w:pPr>
            <w:r w:rsidRPr="00005453">
              <w:rPr>
                <w:color w:val="000000"/>
                <w:sz w:val="18"/>
                <w:szCs w:val="18"/>
                <w:lang w:eastAsia="tr-TR"/>
              </w:rPr>
              <w:t>17</w:t>
            </w:r>
          </w:p>
        </w:tc>
        <w:tc>
          <w:tcPr>
            <w:tcW w:w="6205" w:type="dxa"/>
            <w:tcBorders>
              <w:top w:val="nil"/>
              <w:left w:val="nil"/>
              <w:bottom w:val="single" w:sz="8" w:space="0" w:color="auto"/>
              <w:right w:val="single" w:sz="8" w:space="0" w:color="auto"/>
            </w:tcBorders>
            <w:shd w:val="clear" w:color="auto" w:fill="auto"/>
            <w:noWrap/>
            <w:hideMark/>
          </w:tcPr>
          <w:p w14:paraId="66076B26" w14:textId="77777777" w:rsidR="00AF5795" w:rsidRPr="00005453" w:rsidRDefault="00AF5795" w:rsidP="00AF5795">
            <w:pPr>
              <w:rPr>
                <w:color w:val="000000"/>
                <w:sz w:val="18"/>
                <w:szCs w:val="18"/>
                <w:lang w:eastAsia="tr-TR"/>
              </w:rPr>
            </w:pPr>
            <w:r w:rsidRPr="00005453">
              <w:rPr>
                <w:color w:val="000000"/>
                <w:sz w:val="18"/>
                <w:szCs w:val="18"/>
                <w:lang w:eastAsia="tr-TR"/>
              </w:rPr>
              <w:t>Hisse senedi yatırımları</w:t>
            </w:r>
          </w:p>
        </w:tc>
        <w:tc>
          <w:tcPr>
            <w:tcW w:w="1086" w:type="dxa"/>
            <w:tcBorders>
              <w:top w:val="nil"/>
              <w:left w:val="nil"/>
              <w:bottom w:val="single" w:sz="8" w:space="0" w:color="auto"/>
              <w:right w:val="single" w:sz="8" w:space="0" w:color="auto"/>
            </w:tcBorders>
            <w:shd w:val="clear" w:color="auto" w:fill="auto"/>
            <w:noWrap/>
            <w:vAlign w:val="center"/>
            <w:hideMark/>
          </w:tcPr>
          <w:p w14:paraId="45A67775" w14:textId="55A93C49" w:rsidR="00AF5795" w:rsidRPr="00005453" w:rsidRDefault="00AF5795" w:rsidP="00AF5795">
            <w:pPr>
              <w:jc w:val="right"/>
              <w:rPr>
                <w:color w:val="000000"/>
                <w:sz w:val="18"/>
                <w:szCs w:val="18"/>
              </w:rPr>
            </w:pPr>
            <w:r w:rsidRPr="00005453">
              <w:rPr>
                <w:color w:val="000000"/>
                <w:sz w:val="18"/>
                <w:szCs w:val="22"/>
              </w:rPr>
              <w:t>4,486,142</w:t>
            </w:r>
          </w:p>
        </w:tc>
        <w:tc>
          <w:tcPr>
            <w:tcW w:w="1159" w:type="dxa"/>
            <w:tcBorders>
              <w:top w:val="nil"/>
              <w:left w:val="nil"/>
              <w:bottom w:val="single" w:sz="8" w:space="0" w:color="auto"/>
              <w:right w:val="single" w:sz="8" w:space="0" w:color="auto"/>
            </w:tcBorders>
            <w:shd w:val="clear" w:color="auto" w:fill="auto"/>
            <w:noWrap/>
            <w:vAlign w:val="center"/>
            <w:hideMark/>
          </w:tcPr>
          <w:p w14:paraId="1E419780" w14:textId="75A16E28" w:rsidR="00AF5795" w:rsidRPr="00005453" w:rsidRDefault="00AF5795" w:rsidP="00AF5795">
            <w:pPr>
              <w:jc w:val="right"/>
              <w:rPr>
                <w:color w:val="000000"/>
                <w:sz w:val="18"/>
                <w:szCs w:val="18"/>
              </w:rPr>
            </w:pPr>
            <w:r w:rsidRPr="00005453">
              <w:rPr>
                <w:color w:val="000000"/>
                <w:sz w:val="18"/>
                <w:szCs w:val="22"/>
              </w:rPr>
              <w:t>-</w:t>
            </w:r>
          </w:p>
        </w:tc>
        <w:tc>
          <w:tcPr>
            <w:tcW w:w="1324" w:type="dxa"/>
            <w:tcBorders>
              <w:top w:val="nil"/>
              <w:left w:val="nil"/>
              <w:bottom w:val="single" w:sz="8" w:space="0" w:color="auto"/>
              <w:right w:val="single" w:sz="8" w:space="0" w:color="auto"/>
            </w:tcBorders>
            <w:shd w:val="clear" w:color="auto" w:fill="auto"/>
            <w:noWrap/>
            <w:vAlign w:val="center"/>
            <w:hideMark/>
          </w:tcPr>
          <w:p w14:paraId="555DD4BA" w14:textId="5AD60ECA" w:rsidR="00AF5795" w:rsidRPr="00005453" w:rsidRDefault="00AF5795" w:rsidP="00AF5795">
            <w:pPr>
              <w:jc w:val="right"/>
              <w:rPr>
                <w:color w:val="000000"/>
                <w:sz w:val="18"/>
                <w:szCs w:val="18"/>
              </w:rPr>
            </w:pPr>
            <w:r w:rsidRPr="00005453">
              <w:rPr>
                <w:color w:val="000000"/>
                <w:sz w:val="18"/>
                <w:szCs w:val="22"/>
              </w:rPr>
              <w:t>4,486,142</w:t>
            </w:r>
          </w:p>
        </w:tc>
        <w:tc>
          <w:tcPr>
            <w:tcW w:w="1324" w:type="dxa"/>
            <w:tcBorders>
              <w:top w:val="nil"/>
              <w:left w:val="nil"/>
              <w:bottom w:val="single" w:sz="8" w:space="0" w:color="auto"/>
              <w:right w:val="single" w:sz="8" w:space="0" w:color="auto"/>
            </w:tcBorders>
            <w:shd w:val="clear" w:color="auto" w:fill="auto"/>
            <w:noWrap/>
            <w:vAlign w:val="center"/>
            <w:hideMark/>
          </w:tcPr>
          <w:p w14:paraId="0BB6CB80" w14:textId="2EB1E702" w:rsidR="00AF5795" w:rsidRPr="00005453" w:rsidRDefault="00AF5795" w:rsidP="00AF5795">
            <w:pPr>
              <w:jc w:val="right"/>
              <w:rPr>
                <w:color w:val="000000"/>
                <w:sz w:val="18"/>
                <w:szCs w:val="18"/>
              </w:rPr>
            </w:pPr>
            <w:r w:rsidRPr="00005453">
              <w:rPr>
                <w:color w:val="000000"/>
                <w:sz w:val="18"/>
                <w:szCs w:val="22"/>
              </w:rPr>
              <w:t>-</w:t>
            </w:r>
          </w:p>
        </w:tc>
        <w:tc>
          <w:tcPr>
            <w:tcW w:w="1231" w:type="dxa"/>
            <w:tcBorders>
              <w:top w:val="nil"/>
              <w:left w:val="nil"/>
              <w:bottom w:val="single" w:sz="8" w:space="0" w:color="auto"/>
              <w:right w:val="single" w:sz="8" w:space="0" w:color="auto"/>
            </w:tcBorders>
            <w:shd w:val="clear" w:color="auto" w:fill="auto"/>
            <w:noWrap/>
            <w:vAlign w:val="center"/>
            <w:hideMark/>
          </w:tcPr>
          <w:p w14:paraId="7EA99E80" w14:textId="395A00CB" w:rsidR="00AF5795" w:rsidRPr="00005453" w:rsidRDefault="00AF5795" w:rsidP="00AF5795">
            <w:pPr>
              <w:jc w:val="right"/>
              <w:rPr>
                <w:color w:val="000000"/>
                <w:sz w:val="18"/>
                <w:szCs w:val="18"/>
              </w:rPr>
            </w:pPr>
            <w:r w:rsidRPr="00005453">
              <w:rPr>
                <w:color w:val="000000"/>
                <w:sz w:val="18"/>
                <w:szCs w:val="22"/>
              </w:rPr>
              <w:t>4,486,142</w:t>
            </w:r>
          </w:p>
        </w:tc>
        <w:tc>
          <w:tcPr>
            <w:tcW w:w="1265" w:type="dxa"/>
            <w:tcBorders>
              <w:top w:val="nil"/>
              <w:left w:val="nil"/>
              <w:bottom w:val="single" w:sz="8" w:space="0" w:color="auto"/>
              <w:right w:val="single" w:sz="8" w:space="0" w:color="auto"/>
            </w:tcBorders>
            <w:shd w:val="clear" w:color="auto" w:fill="auto"/>
            <w:noWrap/>
            <w:vAlign w:val="center"/>
            <w:hideMark/>
          </w:tcPr>
          <w:p w14:paraId="4C328CC2" w14:textId="5E592D75" w:rsidR="00AF5795" w:rsidRPr="00005453" w:rsidRDefault="00AF5795" w:rsidP="00AF5795">
            <w:pPr>
              <w:jc w:val="right"/>
              <w:rPr>
                <w:color w:val="000000"/>
                <w:sz w:val="18"/>
                <w:szCs w:val="18"/>
              </w:rPr>
            </w:pPr>
            <w:r w:rsidRPr="00005453">
              <w:rPr>
                <w:color w:val="000000"/>
                <w:sz w:val="18"/>
                <w:szCs w:val="22"/>
              </w:rPr>
              <w:t>100</w:t>
            </w:r>
          </w:p>
        </w:tc>
      </w:tr>
      <w:tr w:rsidR="00AF5795" w:rsidRPr="00005453" w14:paraId="0002167E" w14:textId="77777777" w:rsidTr="00AF5795">
        <w:trPr>
          <w:divId w:val="629168592"/>
          <w:trHeight w:val="225"/>
        </w:trPr>
        <w:tc>
          <w:tcPr>
            <w:tcW w:w="369" w:type="dxa"/>
            <w:tcBorders>
              <w:top w:val="nil"/>
              <w:left w:val="single" w:sz="8" w:space="0" w:color="auto"/>
              <w:bottom w:val="single" w:sz="8" w:space="0" w:color="auto"/>
              <w:right w:val="single" w:sz="8" w:space="0" w:color="auto"/>
            </w:tcBorders>
            <w:shd w:val="clear" w:color="auto" w:fill="auto"/>
            <w:noWrap/>
            <w:hideMark/>
          </w:tcPr>
          <w:p w14:paraId="4E7B39A9" w14:textId="77777777" w:rsidR="00AF5795" w:rsidRPr="00005453" w:rsidRDefault="00AF5795" w:rsidP="00AF5795">
            <w:pPr>
              <w:rPr>
                <w:color w:val="000000"/>
                <w:sz w:val="18"/>
                <w:szCs w:val="18"/>
                <w:lang w:eastAsia="tr-TR"/>
              </w:rPr>
            </w:pPr>
            <w:r w:rsidRPr="00005453">
              <w:rPr>
                <w:color w:val="000000"/>
                <w:sz w:val="18"/>
                <w:szCs w:val="18"/>
                <w:lang w:eastAsia="tr-TR"/>
              </w:rPr>
              <w:t>18</w:t>
            </w:r>
          </w:p>
        </w:tc>
        <w:tc>
          <w:tcPr>
            <w:tcW w:w="6205" w:type="dxa"/>
            <w:tcBorders>
              <w:top w:val="nil"/>
              <w:left w:val="nil"/>
              <w:bottom w:val="single" w:sz="8" w:space="0" w:color="auto"/>
              <w:right w:val="single" w:sz="8" w:space="0" w:color="auto"/>
            </w:tcBorders>
            <w:shd w:val="clear" w:color="auto" w:fill="auto"/>
            <w:noWrap/>
            <w:hideMark/>
          </w:tcPr>
          <w:p w14:paraId="685FF783" w14:textId="77777777" w:rsidR="00AF5795" w:rsidRPr="00005453" w:rsidRDefault="00AF5795" w:rsidP="00AF5795">
            <w:pPr>
              <w:rPr>
                <w:b/>
                <w:bCs/>
                <w:color w:val="000000"/>
                <w:sz w:val="18"/>
                <w:szCs w:val="18"/>
                <w:lang w:eastAsia="tr-TR"/>
              </w:rPr>
            </w:pPr>
            <w:r w:rsidRPr="00005453">
              <w:rPr>
                <w:b/>
                <w:bCs/>
                <w:color w:val="000000"/>
                <w:sz w:val="18"/>
                <w:szCs w:val="18"/>
                <w:lang w:eastAsia="tr-TR"/>
              </w:rPr>
              <w:t>Toplam</w:t>
            </w:r>
          </w:p>
        </w:tc>
        <w:tc>
          <w:tcPr>
            <w:tcW w:w="1086" w:type="dxa"/>
            <w:tcBorders>
              <w:top w:val="nil"/>
              <w:left w:val="nil"/>
              <w:bottom w:val="single" w:sz="8" w:space="0" w:color="auto"/>
              <w:right w:val="single" w:sz="8" w:space="0" w:color="auto"/>
            </w:tcBorders>
            <w:shd w:val="clear" w:color="auto" w:fill="auto"/>
            <w:noWrap/>
            <w:vAlign w:val="center"/>
            <w:hideMark/>
          </w:tcPr>
          <w:p w14:paraId="44A744BD" w14:textId="77EF4DFA" w:rsidR="00AF5795" w:rsidRPr="00005453" w:rsidRDefault="00AF5795" w:rsidP="00AF5795">
            <w:pPr>
              <w:jc w:val="right"/>
              <w:rPr>
                <w:b/>
                <w:bCs/>
                <w:color w:val="000000"/>
                <w:sz w:val="18"/>
                <w:szCs w:val="18"/>
                <w:lang w:eastAsia="tr-TR"/>
              </w:rPr>
            </w:pPr>
            <w:r w:rsidRPr="00005453">
              <w:rPr>
                <w:b/>
                <w:color w:val="000000"/>
                <w:sz w:val="18"/>
                <w:szCs w:val="22"/>
              </w:rPr>
              <w:t>608,190,426</w:t>
            </w:r>
          </w:p>
        </w:tc>
        <w:tc>
          <w:tcPr>
            <w:tcW w:w="1159" w:type="dxa"/>
            <w:tcBorders>
              <w:top w:val="nil"/>
              <w:left w:val="nil"/>
              <w:bottom w:val="single" w:sz="8" w:space="0" w:color="auto"/>
              <w:right w:val="single" w:sz="8" w:space="0" w:color="auto"/>
            </w:tcBorders>
            <w:shd w:val="clear" w:color="auto" w:fill="auto"/>
            <w:noWrap/>
            <w:vAlign w:val="center"/>
            <w:hideMark/>
          </w:tcPr>
          <w:p w14:paraId="6004F2EE" w14:textId="44EE9ABC" w:rsidR="00AF5795" w:rsidRPr="00005453" w:rsidRDefault="00AF5795" w:rsidP="00AF5795">
            <w:pPr>
              <w:jc w:val="right"/>
              <w:rPr>
                <w:b/>
                <w:bCs/>
                <w:color w:val="000000"/>
                <w:sz w:val="18"/>
                <w:szCs w:val="18"/>
                <w:lang w:eastAsia="tr-TR"/>
              </w:rPr>
            </w:pPr>
            <w:r w:rsidRPr="00005453">
              <w:rPr>
                <w:b/>
                <w:color w:val="000000"/>
                <w:sz w:val="18"/>
                <w:szCs w:val="22"/>
              </w:rPr>
              <w:t>201,248,467</w:t>
            </w:r>
          </w:p>
        </w:tc>
        <w:tc>
          <w:tcPr>
            <w:tcW w:w="1324" w:type="dxa"/>
            <w:tcBorders>
              <w:top w:val="nil"/>
              <w:left w:val="nil"/>
              <w:bottom w:val="single" w:sz="8" w:space="0" w:color="auto"/>
              <w:right w:val="single" w:sz="8" w:space="0" w:color="auto"/>
            </w:tcBorders>
            <w:shd w:val="clear" w:color="auto" w:fill="auto"/>
            <w:noWrap/>
            <w:vAlign w:val="center"/>
            <w:hideMark/>
          </w:tcPr>
          <w:p w14:paraId="38E8805C" w14:textId="3E1F7A4A" w:rsidR="00AF5795" w:rsidRPr="00005453" w:rsidRDefault="00AF5795" w:rsidP="00AF5795">
            <w:pPr>
              <w:jc w:val="right"/>
              <w:rPr>
                <w:b/>
                <w:bCs/>
                <w:color w:val="000000"/>
                <w:sz w:val="18"/>
                <w:szCs w:val="18"/>
                <w:lang w:eastAsia="tr-TR"/>
              </w:rPr>
            </w:pPr>
            <w:r w:rsidRPr="00005453">
              <w:rPr>
                <w:b/>
                <w:color w:val="000000"/>
                <w:sz w:val="18"/>
                <w:szCs w:val="22"/>
              </w:rPr>
              <w:t>608,190,426</w:t>
            </w:r>
          </w:p>
        </w:tc>
        <w:tc>
          <w:tcPr>
            <w:tcW w:w="1324" w:type="dxa"/>
            <w:tcBorders>
              <w:top w:val="nil"/>
              <w:left w:val="nil"/>
              <w:bottom w:val="single" w:sz="8" w:space="0" w:color="auto"/>
              <w:right w:val="single" w:sz="8" w:space="0" w:color="auto"/>
            </w:tcBorders>
            <w:shd w:val="clear" w:color="auto" w:fill="auto"/>
            <w:noWrap/>
            <w:vAlign w:val="center"/>
            <w:hideMark/>
          </w:tcPr>
          <w:p w14:paraId="4A91127A" w14:textId="0BDE9264" w:rsidR="00AF5795" w:rsidRPr="00005453" w:rsidRDefault="00AF5795" w:rsidP="00AF5795">
            <w:pPr>
              <w:jc w:val="right"/>
              <w:rPr>
                <w:b/>
                <w:bCs/>
                <w:color w:val="000000"/>
                <w:sz w:val="18"/>
                <w:szCs w:val="18"/>
                <w:lang w:eastAsia="tr-TR"/>
              </w:rPr>
            </w:pPr>
            <w:r w:rsidRPr="00005453">
              <w:rPr>
                <w:b/>
                <w:color w:val="000000"/>
                <w:sz w:val="18"/>
                <w:szCs w:val="22"/>
              </w:rPr>
              <w:t>51,142,108</w:t>
            </w:r>
          </w:p>
        </w:tc>
        <w:tc>
          <w:tcPr>
            <w:tcW w:w="1231" w:type="dxa"/>
            <w:tcBorders>
              <w:top w:val="nil"/>
              <w:left w:val="nil"/>
              <w:bottom w:val="single" w:sz="8" w:space="0" w:color="auto"/>
              <w:right w:val="single" w:sz="8" w:space="0" w:color="auto"/>
            </w:tcBorders>
            <w:shd w:val="clear" w:color="auto" w:fill="auto"/>
            <w:noWrap/>
            <w:vAlign w:val="center"/>
            <w:hideMark/>
          </w:tcPr>
          <w:p w14:paraId="3A7EAFFB" w14:textId="6E081EC6" w:rsidR="00AF5795" w:rsidRPr="00005453" w:rsidRDefault="00AF5795" w:rsidP="00AF5795">
            <w:pPr>
              <w:jc w:val="right"/>
              <w:rPr>
                <w:b/>
                <w:bCs/>
                <w:color w:val="000000"/>
                <w:sz w:val="18"/>
                <w:szCs w:val="18"/>
                <w:lang w:eastAsia="tr-TR"/>
              </w:rPr>
            </w:pPr>
            <w:r w:rsidRPr="00005453">
              <w:rPr>
                <w:b/>
                <w:color w:val="000000"/>
                <w:sz w:val="18"/>
                <w:szCs w:val="22"/>
              </w:rPr>
              <w:t>296,488,49</w:t>
            </w:r>
            <w:r w:rsidR="00C27C87" w:rsidRPr="00005453">
              <w:rPr>
                <w:b/>
                <w:color w:val="000000"/>
                <w:sz w:val="18"/>
                <w:szCs w:val="22"/>
              </w:rPr>
              <w:t>5</w:t>
            </w:r>
          </w:p>
        </w:tc>
        <w:tc>
          <w:tcPr>
            <w:tcW w:w="1265" w:type="dxa"/>
            <w:tcBorders>
              <w:top w:val="nil"/>
              <w:left w:val="nil"/>
              <w:bottom w:val="single" w:sz="8" w:space="0" w:color="auto"/>
              <w:right w:val="single" w:sz="8" w:space="0" w:color="auto"/>
            </w:tcBorders>
            <w:shd w:val="clear" w:color="auto" w:fill="auto"/>
            <w:noWrap/>
            <w:vAlign w:val="center"/>
            <w:hideMark/>
          </w:tcPr>
          <w:p w14:paraId="29320BF9" w14:textId="6CEE8492" w:rsidR="00AF5795" w:rsidRPr="00005453" w:rsidRDefault="00AF5795" w:rsidP="00AF5795">
            <w:pPr>
              <w:jc w:val="right"/>
              <w:rPr>
                <w:b/>
                <w:bCs/>
                <w:color w:val="000000"/>
                <w:sz w:val="18"/>
                <w:szCs w:val="18"/>
                <w:lang w:eastAsia="tr-TR"/>
              </w:rPr>
            </w:pPr>
          </w:p>
        </w:tc>
      </w:tr>
    </w:tbl>
    <w:p w14:paraId="2F372DD5" w14:textId="30D879D2" w:rsidR="0054031F" w:rsidRPr="00005453" w:rsidRDefault="0054031F" w:rsidP="0054031F">
      <w:pPr>
        <w:pStyle w:val="BodyText"/>
        <w:tabs>
          <w:tab w:val="left" w:pos="1041"/>
        </w:tabs>
        <w:jc w:val="left"/>
        <w:rPr>
          <w:rFonts w:eastAsia="Arial Unicode MS"/>
        </w:rPr>
      </w:pPr>
      <w:r w:rsidRPr="00005453">
        <w:rPr>
          <w:rFonts w:eastAsia="Arial Unicode MS"/>
        </w:rPr>
        <w:tab/>
      </w:r>
    </w:p>
    <w:p w14:paraId="72E6221D" w14:textId="77777777" w:rsidR="0054031F" w:rsidRPr="00005453" w:rsidRDefault="0054031F" w:rsidP="0054031F">
      <w:pPr>
        <w:pStyle w:val="BodyText"/>
        <w:jc w:val="left"/>
        <w:rPr>
          <w:rFonts w:eastAsia="Arial Unicode MS"/>
        </w:rPr>
      </w:pPr>
    </w:p>
    <w:p w14:paraId="01B7954B" w14:textId="77777777" w:rsidR="0054031F" w:rsidRPr="00005453" w:rsidRDefault="0054031F" w:rsidP="0054031F">
      <w:pPr>
        <w:pStyle w:val="BodyText"/>
        <w:jc w:val="left"/>
        <w:rPr>
          <w:rFonts w:eastAsia="Arial Unicode MS"/>
        </w:rPr>
      </w:pPr>
    </w:p>
    <w:p w14:paraId="7AE7214E" w14:textId="6A90C798" w:rsidR="0054031F" w:rsidRPr="00005453" w:rsidRDefault="0054031F" w:rsidP="0054031F">
      <w:pPr>
        <w:pStyle w:val="BodyText"/>
        <w:jc w:val="left"/>
        <w:rPr>
          <w:rFonts w:eastAsia="Arial Unicode MS"/>
        </w:rPr>
      </w:pPr>
    </w:p>
    <w:p w14:paraId="4F460023" w14:textId="77777777" w:rsidR="00A6645B" w:rsidRPr="00005453" w:rsidRDefault="00A6645B" w:rsidP="0054031F">
      <w:pPr>
        <w:pStyle w:val="BodyText"/>
        <w:jc w:val="left"/>
        <w:rPr>
          <w:rFonts w:eastAsia="Arial Unicode MS"/>
        </w:rPr>
      </w:pPr>
    </w:p>
    <w:p w14:paraId="5C942C76" w14:textId="77777777" w:rsidR="0054031F" w:rsidRPr="00005453" w:rsidRDefault="0054031F" w:rsidP="0054031F">
      <w:pPr>
        <w:rPr>
          <w:rFonts w:eastAsia="Arial Unicode MS"/>
          <w:lang w:eastAsia="x-none"/>
        </w:rPr>
      </w:pPr>
    </w:p>
    <w:p w14:paraId="27F50089" w14:textId="77777777" w:rsidR="00144265" w:rsidRPr="00005453" w:rsidRDefault="00144265" w:rsidP="00A6645B">
      <w:pPr>
        <w:pStyle w:val="Heading8"/>
        <w:tabs>
          <w:tab w:val="clear" w:pos="-54"/>
        </w:tabs>
        <w:autoSpaceDE/>
        <w:autoSpaceDN/>
        <w:adjustRightInd/>
        <w:spacing w:line="233" w:lineRule="auto"/>
        <w:ind w:right="48" w:hanging="567"/>
        <w:sectPr w:rsidR="00144265" w:rsidRPr="00005453" w:rsidSect="00D84F4B">
          <w:footerReference w:type="default" r:id="rId43"/>
          <w:pgSz w:w="16838" w:h="11906" w:orient="landscape"/>
          <w:pgMar w:top="1418" w:right="1417" w:bottom="991" w:left="1438" w:header="708" w:footer="708" w:gutter="0"/>
          <w:cols w:space="708"/>
          <w:docGrid w:linePitch="360"/>
        </w:sectPr>
      </w:pPr>
    </w:p>
    <w:p w14:paraId="6A2198CE" w14:textId="4B802A76" w:rsidR="0054031F" w:rsidRPr="00005453" w:rsidRDefault="0054031F" w:rsidP="00A6645B">
      <w:pPr>
        <w:pStyle w:val="Heading8"/>
        <w:tabs>
          <w:tab w:val="clear" w:pos="-54"/>
        </w:tabs>
        <w:autoSpaceDE/>
        <w:autoSpaceDN/>
        <w:adjustRightInd/>
        <w:spacing w:line="233" w:lineRule="auto"/>
        <w:ind w:right="48" w:hanging="567"/>
        <w:rPr>
          <w:sz w:val="16"/>
          <w:szCs w:val="16"/>
        </w:rPr>
      </w:pPr>
      <w:r w:rsidRPr="00005453">
        <w:lastRenderedPageBreak/>
        <w:t>2.5.2.</w:t>
      </w:r>
      <w:r w:rsidRPr="00005453">
        <w:tab/>
        <w:t>Risk sınıflarına ve risk ağırlıklarına göre alacaklar</w:t>
      </w:r>
    </w:p>
    <w:p w14:paraId="3F07DE6D" w14:textId="14EF067C" w:rsidR="00596E0E" w:rsidRPr="00005453" w:rsidRDefault="00596E0E" w:rsidP="0054031F">
      <w:pPr>
        <w:rPr>
          <w:lang w:eastAsia="en-GB"/>
        </w:rPr>
      </w:pPr>
    </w:p>
    <w:tbl>
      <w:tblPr>
        <w:tblW w:w="14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
        <w:gridCol w:w="4769"/>
        <w:gridCol w:w="1040"/>
        <w:gridCol w:w="550"/>
        <w:gridCol w:w="1015"/>
        <w:gridCol w:w="536"/>
        <w:gridCol w:w="1015"/>
        <w:gridCol w:w="1015"/>
        <w:gridCol w:w="1040"/>
        <w:gridCol w:w="628"/>
        <w:gridCol w:w="709"/>
        <w:gridCol w:w="1010"/>
        <w:gridCol w:w="1113"/>
      </w:tblGrid>
      <w:tr w:rsidR="0004081E" w:rsidRPr="00005453" w14:paraId="46A2B14F" w14:textId="77777777" w:rsidTr="00EA41B7">
        <w:trPr>
          <w:trHeight w:val="1018"/>
        </w:trPr>
        <w:tc>
          <w:tcPr>
            <w:tcW w:w="5098" w:type="dxa"/>
            <w:gridSpan w:val="2"/>
            <w:shd w:val="clear" w:color="auto" w:fill="auto"/>
            <w:noWrap/>
            <w:vAlign w:val="center"/>
            <w:hideMark/>
          </w:tcPr>
          <w:p w14:paraId="5E6BD74B" w14:textId="2FE2CEDF" w:rsidR="0004081E" w:rsidRPr="00005453" w:rsidRDefault="0004081E" w:rsidP="004A64A7">
            <w:pPr>
              <w:rPr>
                <w:b/>
                <w:bCs/>
                <w:color w:val="000000"/>
                <w:sz w:val="18"/>
                <w:szCs w:val="18"/>
                <w:lang w:eastAsia="tr-TR"/>
              </w:rPr>
            </w:pPr>
            <w:r w:rsidRPr="00005453">
              <w:rPr>
                <w:b/>
                <w:bCs/>
                <w:color w:val="000000"/>
                <w:sz w:val="18"/>
                <w:szCs w:val="18"/>
                <w:lang w:eastAsia="tr-TR"/>
              </w:rPr>
              <w:t xml:space="preserve">Risk Sınıfları / Risk </w:t>
            </w:r>
            <w:proofErr w:type="gramStart"/>
            <w:r w:rsidRPr="00005453">
              <w:rPr>
                <w:b/>
                <w:bCs/>
                <w:color w:val="000000"/>
                <w:sz w:val="18"/>
                <w:szCs w:val="18"/>
                <w:lang w:eastAsia="tr-TR"/>
              </w:rPr>
              <w:t>Ağırlığı(</w:t>
            </w:r>
            <w:proofErr w:type="gramEnd"/>
            <w:r w:rsidRPr="00005453">
              <w:rPr>
                <w:b/>
                <w:bCs/>
                <w:color w:val="000000"/>
                <w:sz w:val="18"/>
                <w:szCs w:val="18"/>
                <w:lang w:eastAsia="tr-TR"/>
              </w:rPr>
              <w:t>*) (Cari Dönem)</w:t>
            </w:r>
          </w:p>
        </w:tc>
        <w:tc>
          <w:tcPr>
            <w:tcW w:w="438" w:type="dxa"/>
            <w:shd w:val="clear" w:color="auto" w:fill="auto"/>
            <w:noWrap/>
            <w:vAlign w:val="center"/>
            <w:hideMark/>
          </w:tcPr>
          <w:p w14:paraId="6A2F4437" w14:textId="6EAB9A4A" w:rsidR="0004081E" w:rsidRPr="00005453" w:rsidRDefault="0004081E" w:rsidP="004A64A7">
            <w:pPr>
              <w:jc w:val="right"/>
              <w:rPr>
                <w:b/>
                <w:bCs/>
                <w:color w:val="000000"/>
                <w:sz w:val="18"/>
                <w:szCs w:val="18"/>
                <w:lang w:eastAsia="tr-TR"/>
              </w:rPr>
            </w:pPr>
            <w:r w:rsidRPr="00005453">
              <w:rPr>
                <w:b/>
                <w:bCs/>
                <w:color w:val="000000"/>
                <w:sz w:val="18"/>
                <w:szCs w:val="18"/>
                <w:lang w:eastAsia="tr-TR"/>
              </w:rPr>
              <w:t>%0</w:t>
            </w:r>
          </w:p>
        </w:tc>
        <w:tc>
          <w:tcPr>
            <w:tcW w:w="550" w:type="dxa"/>
            <w:shd w:val="clear" w:color="auto" w:fill="auto"/>
            <w:noWrap/>
            <w:vAlign w:val="center"/>
            <w:hideMark/>
          </w:tcPr>
          <w:p w14:paraId="3258E85E" w14:textId="484AEE43" w:rsidR="0004081E" w:rsidRPr="00005453" w:rsidRDefault="0004081E" w:rsidP="004A64A7">
            <w:pPr>
              <w:jc w:val="right"/>
              <w:rPr>
                <w:b/>
                <w:bCs/>
                <w:color w:val="000000"/>
                <w:sz w:val="18"/>
                <w:szCs w:val="18"/>
                <w:lang w:eastAsia="tr-TR"/>
              </w:rPr>
            </w:pPr>
            <w:r w:rsidRPr="00005453">
              <w:rPr>
                <w:b/>
                <w:bCs/>
                <w:color w:val="000000"/>
                <w:sz w:val="18"/>
                <w:szCs w:val="18"/>
                <w:lang w:eastAsia="tr-TR"/>
              </w:rPr>
              <w:t>%10</w:t>
            </w:r>
          </w:p>
        </w:tc>
        <w:tc>
          <w:tcPr>
            <w:tcW w:w="1015" w:type="dxa"/>
            <w:shd w:val="clear" w:color="auto" w:fill="auto"/>
            <w:noWrap/>
            <w:vAlign w:val="center"/>
            <w:hideMark/>
          </w:tcPr>
          <w:p w14:paraId="17D737B1" w14:textId="7DA35109" w:rsidR="0004081E" w:rsidRPr="00005453" w:rsidRDefault="0004081E" w:rsidP="004A64A7">
            <w:pPr>
              <w:jc w:val="right"/>
              <w:rPr>
                <w:b/>
                <w:bCs/>
                <w:color w:val="000000"/>
                <w:sz w:val="18"/>
                <w:szCs w:val="18"/>
                <w:lang w:eastAsia="tr-TR"/>
              </w:rPr>
            </w:pPr>
            <w:r w:rsidRPr="00005453">
              <w:rPr>
                <w:b/>
                <w:bCs/>
                <w:color w:val="000000"/>
                <w:sz w:val="18"/>
                <w:szCs w:val="18"/>
                <w:lang w:eastAsia="tr-TR"/>
              </w:rPr>
              <w:t>%20</w:t>
            </w:r>
          </w:p>
        </w:tc>
        <w:tc>
          <w:tcPr>
            <w:tcW w:w="536" w:type="dxa"/>
            <w:shd w:val="clear" w:color="auto" w:fill="auto"/>
            <w:noWrap/>
            <w:vAlign w:val="center"/>
            <w:hideMark/>
          </w:tcPr>
          <w:p w14:paraId="3680371A" w14:textId="7D68B828" w:rsidR="0004081E" w:rsidRPr="00005453" w:rsidRDefault="0004081E" w:rsidP="004A64A7">
            <w:pPr>
              <w:jc w:val="right"/>
              <w:rPr>
                <w:b/>
                <w:bCs/>
                <w:color w:val="000000"/>
                <w:sz w:val="18"/>
                <w:szCs w:val="18"/>
                <w:lang w:eastAsia="tr-TR"/>
              </w:rPr>
            </w:pPr>
            <w:r w:rsidRPr="00005453">
              <w:rPr>
                <w:b/>
                <w:bCs/>
                <w:color w:val="000000"/>
                <w:sz w:val="18"/>
                <w:szCs w:val="18"/>
                <w:lang w:eastAsia="tr-TR"/>
              </w:rPr>
              <w:t>%25</w:t>
            </w:r>
          </w:p>
        </w:tc>
        <w:tc>
          <w:tcPr>
            <w:tcW w:w="1015" w:type="dxa"/>
            <w:shd w:val="clear" w:color="auto" w:fill="auto"/>
            <w:noWrap/>
            <w:vAlign w:val="center"/>
            <w:hideMark/>
          </w:tcPr>
          <w:p w14:paraId="6FCEA3F4" w14:textId="356DDA55" w:rsidR="0004081E" w:rsidRPr="00005453" w:rsidRDefault="0004081E" w:rsidP="004A64A7">
            <w:pPr>
              <w:jc w:val="right"/>
              <w:rPr>
                <w:b/>
                <w:bCs/>
                <w:color w:val="000000"/>
                <w:sz w:val="18"/>
                <w:szCs w:val="18"/>
                <w:lang w:eastAsia="tr-TR"/>
              </w:rPr>
            </w:pPr>
            <w:r w:rsidRPr="00005453">
              <w:rPr>
                <w:b/>
                <w:bCs/>
                <w:color w:val="000000"/>
                <w:sz w:val="18"/>
                <w:szCs w:val="18"/>
                <w:lang w:eastAsia="tr-TR"/>
              </w:rPr>
              <w:t>%50</w:t>
            </w:r>
          </w:p>
        </w:tc>
        <w:tc>
          <w:tcPr>
            <w:tcW w:w="1015" w:type="dxa"/>
            <w:shd w:val="clear" w:color="auto" w:fill="auto"/>
            <w:noWrap/>
            <w:vAlign w:val="center"/>
            <w:hideMark/>
          </w:tcPr>
          <w:p w14:paraId="6574BABB" w14:textId="525DB5D6" w:rsidR="0004081E" w:rsidRPr="00005453" w:rsidRDefault="0004081E" w:rsidP="004A64A7">
            <w:pPr>
              <w:jc w:val="right"/>
              <w:rPr>
                <w:b/>
                <w:bCs/>
                <w:color w:val="000000"/>
                <w:sz w:val="18"/>
                <w:szCs w:val="18"/>
                <w:lang w:eastAsia="tr-TR"/>
              </w:rPr>
            </w:pPr>
            <w:r w:rsidRPr="00005453">
              <w:rPr>
                <w:b/>
                <w:bCs/>
                <w:color w:val="000000"/>
                <w:sz w:val="18"/>
                <w:szCs w:val="18"/>
                <w:lang w:eastAsia="tr-TR"/>
              </w:rPr>
              <w:t>%75</w:t>
            </w:r>
          </w:p>
        </w:tc>
        <w:tc>
          <w:tcPr>
            <w:tcW w:w="1040" w:type="dxa"/>
            <w:shd w:val="clear" w:color="auto" w:fill="auto"/>
            <w:noWrap/>
            <w:vAlign w:val="center"/>
            <w:hideMark/>
          </w:tcPr>
          <w:p w14:paraId="4A2C71C6" w14:textId="7015AD1A" w:rsidR="0004081E" w:rsidRPr="00005453" w:rsidRDefault="0004081E" w:rsidP="004A64A7">
            <w:pPr>
              <w:jc w:val="right"/>
              <w:rPr>
                <w:b/>
                <w:bCs/>
                <w:color w:val="000000"/>
                <w:sz w:val="18"/>
                <w:szCs w:val="18"/>
                <w:lang w:eastAsia="tr-TR"/>
              </w:rPr>
            </w:pPr>
            <w:r w:rsidRPr="00005453">
              <w:rPr>
                <w:b/>
                <w:bCs/>
                <w:color w:val="000000"/>
                <w:sz w:val="18"/>
                <w:szCs w:val="18"/>
                <w:lang w:eastAsia="tr-TR"/>
              </w:rPr>
              <w:t>%100</w:t>
            </w:r>
          </w:p>
        </w:tc>
        <w:tc>
          <w:tcPr>
            <w:tcW w:w="628" w:type="dxa"/>
            <w:shd w:val="clear" w:color="auto" w:fill="auto"/>
            <w:noWrap/>
            <w:vAlign w:val="center"/>
            <w:hideMark/>
          </w:tcPr>
          <w:p w14:paraId="26158A9A" w14:textId="0A9EC0E6" w:rsidR="0004081E" w:rsidRPr="00005453" w:rsidRDefault="0004081E" w:rsidP="004A64A7">
            <w:pPr>
              <w:jc w:val="right"/>
              <w:rPr>
                <w:b/>
                <w:bCs/>
                <w:color w:val="000000"/>
                <w:sz w:val="18"/>
                <w:szCs w:val="18"/>
                <w:lang w:eastAsia="tr-TR"/>
              </w:rPr>
            </w:pPr>
            <w:r w:rsidRPr="00005453">
              <w:rPr>
                <w:b/>
                <w:bCs/>
                <w:color w:val="000000"/>
                <w:sz w:val="18"/>
                <w:szCs w:val="18"/>
                <w:lang w:eastAsia="tr-TR"/>
              </w:rPr>
              <w:t>%150</w:t>
            </w:r>
          </w:p>
        </w:tc>
        <w:tc>
          <w:tcPr>
            <w:tcW w:w="709" w:type="dxa"/>
            <w:shd w:val="clear" w:color="auto" w:fill="auto"/>
            <w:noWrap/>
            <w:vAlign w:val="center"/>
            <w:hideMark/>
          </w:tcPr>
          <w:p w14:paraId="23730F56" w14:textId="075AF42D" w:rsidR="0004081E" w:rsidRPr="00005453" w:rsidRDefault="0004081E" w:rsidP="004A64A7">
            <w:pPr>
              <w:jc w:val="right"/>
              <w:rPr>
                <w:b/>
                <w:bCs/>
                <w:color w:val="000000"/>
                <w:sz w:val="18"/>
                <w:szCs w:val="18"/>
                <w:lang w:eastAsia="tr-TR"/>
              </w:rPr>
            </w:pPr>
            <w:r w:rsidRPr="00005453">
              <w:rPr>
                <w:b/>
                <w:bCs/>
                <w:color w:val="000000"/>
                <w:sz w:val="18"/>
                <w:szCs w:val="18"/>
                <w:lang w:eastAsia="tr-TR"/>
              </w:rPr>
              <w:t>%200</w:t>
            </w:r>
          </w:p>
        </w:tc>
        <w:tc>
          <w:tcPr>
            <w:tcW w:w="1010" w:type="dxa"/>
            <w:shd w:val="clear" w:color="auto" w:fill="auto"/>
            <w:vAlign w:val="center"/>
            <w:hideMark/>
          </w:tcPr>
          <w:p w14:paraId="10202478" w14:textId="77777777" w:rsidR="0004081E" w:rsidRPr="00005453" w:rsidRDefault="0004081E" w:rsidP="004A64A7">
            <w:pPr>
              <w:jc w:val="right"/>
              <w:rPr>
                <w:b/>
                <w:bCs/>
                <w:color w:val="000000"/>
                <w:sz w:val="18"/>
                <w:szCs w:val="18"/>
                <w:lang w:eastAsia="tr-TR"/>
              </w:rPr>
            </w:pPr>
            <w:r w:rsidRPr="00005453">
              <w:rPr>
                <w:b/>
                <w:bCs/>
                <w:color w:val="000000"/>
                <w:sz w:val="18"/>
                <w:szCs w:val="18"/>
                <w:lang w:eastAsia="tr-TR"/>
              </w:rPr>
              <w:t>Diğerleri%</w:t>
            </w:r>
          </w:p>
        </w:tc>
        <w:tc>
          <w:tcPr>
            <w:tcW w:w="1113" w:type="dxa"/>
            <w:shd w:val="clear" w:color="auto" w:fill="auto"/>
            <w:vAlign w:val="center"/>
            <w:hideMark/>
          </w:tcPr>
          <w:p w14:paraId="664DDDD1" w14:textId="77777777" w:rsidR="0004081E" w:rsidRPr="00005453" w:rsidRDefault="0004081E" w:rsidP="004A64A7">
            <w:pPr>
              <w:jc w:val="right"/>
              <w:rPr>
                <w:b/>
                <w:bCs/>
                <w:color w:val="000000"/>
                <w:sz w:val="18"/>
                <w:szCs w:val="18"/>
                <w:lang w:eastAsia="tr-TR"/>
              </w:rPr>
            </w:pPr>
            <w:r w:rsidRPr="00005453">
              <w:rPr>
                <w:b/>
                <w:bCs/>
                <w:color w:val="000000"/>
                <w:sz w:val="18"/>
                <w:szCs w:val="18"/>
                <w:lang w:eastAsia="tr-TR"/>
              </w:rPr>
              <w:t>Toplam risk tutarı (KDO ve KRA</w:t>
            </w:r>
          </w:p>
          <w:p w14:paraId="3C23DB59" w14:textId="54437F7B" w:rsidR="0004081E" w:rsidRPr="00005453" w:rsidRDefault="0004081E" w:rsidP="004A64A7">
            <w:pPr>
              <w:jc w:val="right"/>
              <w:rPr>
                <w:b/>
                <w:bCs/>
                <w:color w:val="000000"/>
                <w:sz w:val="18"/>
                <w:szCs w:val="18"/>
                <w:lang w:eastAsia="tr-TR"/>
              </w:rPr>
            </w:pPr>
            <w:proofErr w:type="gramStart"/>
            <w:r w:rsidRPr="00005453">
              <w:rPr>
                <w:b/>
                <w:bCs/>
                <w:color w:val="000000"/>
                <w:sz w:val="18"/>
                <w:szCs w:val="18"/>
                <w:lang w:eastAsia="tr-TR"/>
              </w:rPr>
              <w:t>sonrası</w:t>
            </w:r>
            <w:proofErr w:type="gramEnd"/>
            <w:r w:rsidRPr="00005453">
              <w:rPr>
                <w:b/>
                <w:bCs/>
                <w:color w:val="000000"/>
                <w:sz w:val="18"/>
                <w:szCs w:val="18"/>
                <w:lang w:eastAsia="tr-TR"/>
              </w:rPr>
              <w:t>)</w:t>
            </w:r>
          </w:p>
        </w:tc>
      </w:tr>
      <w:tr w:rsidR="00AF5795" w:rsidRPr="00005453" w14:paraId="5EF00710" w14:textId="77777777" w:rsidTr="00EA41B7">
        <w:trPr>
          <w:trHeight w:val="248"/>
        </w:trPr>
        <w:tc>
          <w:tcPr>
            <w:tcW w:w="329" w:type="dxa"/>
            <w:shd w:val="clear" w:color="auto" w:fill="auto"/>
            <w:noWrap/>
            <w:vAlign w:val="center"/>
            <w:hideMark/>
          </w:tcPr>
          <w:p w14:paraId="60C685B1" w14:textId="77777777" w:rsidR="00AF5795" w:rsidRPr="00005453" w:rsidRDefault="00AF5795" w:rsidP="00AF5795">
            <w:pPr>
              <w:jc w:val="right"/>
              <w:rPr>
                <w:color w:val="000000"/>
                <w:sz w:val="18"/>
                <w:szCs w:val="18"/>
                <w:lang w:eastAsia="tr-TR"/>
              </w:rPr>
            </w:pPr>
            <w:r w:rsidRPr="00005453">
              <w:rPr>
                <w:color w:val="000000"/>
                <w:sz w:val="18"/>
                <w:szCs w:val="18"/>
                <w:lang w:eastAsia="tr-TR"/>
              </w:rPr>
              <w:t>1</w:t>
            </w:r>
          </w:p>
        </w:tc>
        <w:tc>
          <w:tcPr>
            <w:tcW w:w="4769" w:type="dxa"/>
            <w:shd w:val="clear" w:color="auto" w:fill="auto"/>
            <w:noWrap/>
            <w:vAlign w:val="center"/>
            <w:hideMark/>
          </w:tcPr>
          <w:p w14:paraId="3B03BD6E" w14:textId="77777777" w:rsidR="00AF5795" w:rsidRPr="00005453" w:rsidRDefault="00AF5795" w:rsidP="00AF5795">
            <w:pPr>
              <w:rPr>
                <w:color w:val="000000"/>
                <w:sz w:val="18"/>
                <w:szCs w:val="18"/>
                <w:lang w:eastAsia="tr-TR"/>
              </w:rPr>
            </w:pPr>
            <w:r w:rsidRPr="00005453">
              <w:rPr>
                <w:color w:val="000000"/>
                <w:sz w:val="18"/>
                <w:szCs w:val="18"/>
                <w:lang w:eastAsia="tr-TR"/>
              </w:rPr>
              <w:t>Merkezi yönetimlerden veya merkez bankalarından alacaklar</w:t>
            </w:r>
          </w:p>
        </w:tc>
        <w:tc>
          <w:tcPr>
            <w:tcW w:w="438" w:type="dxa"/>
            <w:shd w:val="clear" w:color="auto" w:fill="auto"/>
            <w:noWrap/>
            <w:vAlign w:val="center"/>
            <w:hideMark/>
          </w:tcPr>
          <w:p w14:paraId="1986EE8B" w14:textId="69E9B87E" w:rsidR="00AF5795" w:rsidRPr="00005453" w:rsidRDefault="00AF5795" w:rsidP="00AF5795">
            <w:pPr>
              <w:jc w:val="right"/>
              <w:rPr>
                <w:color w:val="000000"/>
                <w:sz w:val="18"/>
                <w:szCs w:val="18"/>
                <w:lang w:eastAsia="tr-TR"/>
              </w:rPr>
            </w:pPr>
            <w:r w:rsidRPr="00005453">
              <w:rPr>
                <w:color w:val="000000"/>
                <w:sz w:val="18"/>
                <w:szCs w:val="22"/>
              </w:rPr>
              <w:t>254,745,301</w:t>
            </w:r>
          </w:p>
        </w:tc>
        <w:tc>
          <w:tcPr>
            <w:tcW w:w="550" w:type="dxa"/>
            <w:shd w:val="clear" w:color="auto" w:fill="auto"/>
            <w:noWrap/>
            <w:vAlign w:val="center"/>
            <w:hideMark/>
          </w:tcPr>
          <w:p w14:paraId="687A0C35" w14:textId="2EE2795B"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2D33328F" w14:textId="29C733F9"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2027619B" w14:textId="57DB1674"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21D83FFE" w14:textId="1A7C3275"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001BAE19" w14:textId="3C1822F6"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40F298C0" w14:textId="38DCCCA3"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35DAC2E9" w14:textId="5B2A6C9F"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24743F9C" w14:textId="6340C9D7"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1AB90AC8" w14:textId="6652FCD3"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47DF5C98" w14:textId="33C3E204" w:rsidR="00AF5795" w:rsidRPr="00005453" w:rsidRDefault="00AF5795" w:rsidP="00AF5795">
            <w:pPr>
              <w:jc w:val="right"/>
              <w:rPr>
                <w:color w:val="000000"/>
                <w:sz w:val="18"/>
                <w:szCs w:val="18"/>
                <w:lang w:eastAsia="tr-TR"/>
              </w:rPr>
            </w:pPr>
            <w:r w:rsidRPr="00005453">
              <w:rPr>
                <w:color w:val="000000"/>
                <w:sz w:val="18"/>
                <w:szCs w:val="22"/>
              </w:rPr>
              <w:t>254,745,301</w:t>
            </w:r>
          </w:p>
        </w:tc>
      </w:tr>
      <w:tr w:rsidR="00AF5795" w:rsidRPr="00005453" w14:paraId="55C58C8B" w14:textId="77777777" w:rsidTr="00EA41B7">
        <w:trPr>
          <w:trHeight w:val="248"/>
        </w:trPr>
        <w:tc>
          <w:tcPr>
            <w:tcW w:w="329" w:type="dxa"/>
            <w:shd w:val="clear" w:color="auto" w:fill="auto"/>
            <w:noWrap/>
            <w:vAlign w:val="center"/>
            <w:hideMark/>
          </w:tcPr>
          <w:p w14:paraId="394BD478" w14:textId="77777777" w:rsidR="00AF5795" w:rsidRPr="00005453" w:rsidRDefault="00AF5795" w:rsidP="00AF5795">
            <w:pPr>
              <w:jc w:val="right"/>
              <w:rPr>
                <w:color w:val="000000"/>
                <w:sz w:val="18"/>
                <w:szCs w:val="18"/>
                <w:lang w:eastAsia="tr-TR"/>
              </w:rPr>
            </w:pPr>
            <w:r w:rsidRPr="00005453">
              <w:rPr>
                <w:color w:val="000000"/>
                <w:sz w:val="18"/>
                <w:szCs w:val="18"/>
                <w:lang w:eastAsia="tr-TR"/>
              </w:rPr>
              <w:t>2</w:t>
            </w:r>
          </w:p>
        </w:tc>
        <w:tc>
          <w:tcPr>
            <w:tcW w:w="4769" w:type="dxa"/>
            <w:shd w:val="clear" w:color="auto" w:fill="auto"/>
            <w:noWrap/>
            <w:vAlign w:val="center"/>
            <w:hideMark/>
          </w:tcPr>
          <w:p w14:paraId="2D22C966" w14:textId="77777777" w:rsidR="00AF5795" w:rsidRPr="00005453" w:rsidRDefault="00AF5795" w:rsidP="00AF5795">
            <w:pPr>
              <w:rPr>
                <w:color w:val="000000"/>
                <w:sz w:val="18"/>
                <w:szCs w:val="18"/>
                <w:lang w:eastAsia="tr-TR"/>
              </w:rPr>
            </w:pPr>
            <w:r w:rsidRPr="00005453">
              <w:rPr>
                <w:color w:val="000000"/>
                <w:sz w:val="18"/>
                <w:szCs w:val="18"/>
                <w:lang w:eastAsia="tr-TR"/>
              </w:rPr>
              <w:t>Bölgesel yönetimlerden veya yerel yönetimlerden alacaklar</w:t>
            </w:r>
          </w:p>
        </w:tc>
        <w:tc>
          <w:tcPr>
            <w:tcW w:w="438" w:type="dxa"/>
            <w:shd w:val="clear" w:color="auto" w:fill="auto"/>
            <w:noWrap/>
            <w:vAlign w:val="center"/>
            <w:hideMark/>
          </w:tcPr>
          <w:p w14:paraId="2A9524AC" w14:textId="4BB0EA94"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36ACB36D" w14:textId="494F5F77"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A6C2761" w14:textId="0CC06CEC"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422F725B" w14:textId="446367FB"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3142D6CA" w14:textId="668024BB"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6C36D307" w14:textId="7F2A981C"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0E4AB6F8" w14:textId="30A3744C"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635A12A5" w14:textId="70905D03"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118A39E2" w14:textId="47007BB7"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7EDB42D4" w14:textId="51AD23B4"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3C9FB3E7" w14:textId="72B24A96"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0020D916" w14:textId="77777777" w:rsidTr="00EA41B7">
        <w:trPr>
          <w:trHeight w:val="248"/>
        </w:trPr>
        <w:tc>
          <w:tcPr>
            <w:tcW w:w="329" w:type="dxa"/>
            <w:shd w:val="clear" w:color="auto" w:fill="auto"/>
            <w:noWrap/>
            <w:vAlign w:val="center"/>
            <w:hideMark/>
          </w:tcPr>
          <w:p w14:paraId="16AD925B" w14:textId="77777777" w:rsidR="00AF5795" w:rsidRPr="00005453" w:rsidRDefault="00AF5795" w:rsidP="00AF5795">
            <w:pPr>
              <w:jc w:val="right"/>
              <w:rPr>
                <w:color w:val="000000"/>
                <w:sz w:val="18"/>
                <w:szCs w:val="18"/>
                <w:lang w:eastAsia="tr-TR"/>
              </w:rPr>
            </w:pPr>
            <w:r w:rsidRPr="00005453">
              <w:rPr>
                <w:color w:val="000000"/>
                <w:sz w:val="18"/>
                <w:szCs w:val="18"/>
                <w:lang w:eastAsia="tr-TR"/>
              </w:rPr>
              <w:t>3</w:t>
            </w:r>
          </w:p>
        </w:tc>
        <w:tc>
          <w:tcPr>
            <w:tcW w:w="4769" w:type="dxa"/>
            <w:shd w:val="clear" w:color="auto" w:fill="auto"/>
            <w:noWrap/>
            <w:vAlign w:val="center"/>
            <w:hideMark/>
          </w:tcPr>
          <w:p w14:paraId="1BD46914" w14:textId="77777777" w:rsidR="00AF5795" w:rsidRPr="00005453" w:rsidRDefault="00AF5795" w:rsidP="00AF5795">
            <w:pPr>
              <w:rPr>
                <w:color w:val="000000"/>
                <w:sz w:val="18"/>
                <w:szCs w:val="18"/>
                <w:lang w:eastAsia="tr-TR"/>
              </w:rPr>
            </w:pPr>
            <w:r w:rsidRPr="00005453">
              <w:rPr>
                <w:color w:val="000000"/>
                <w:sz w:val="18"/>
                <w:szCs w:val="18"/>
                <w:lang w:eastAsia="tr-TR"/>
              </w:rPr>
              <w:t>İdari birimlerden ve ticari olmayan girişimlerden alacaklar</w:t>
            </w:r>
          </w:p>
        </w:tc>
        <w:tc>
          <w:tcPr>
            <w:tcW w:w="438" w:type="dxa"/>
            <w:shd w:val="clear" w:color="auto" w:fill="auto"/>
            <w:noWrap/>
            <w:vAlign w:val="center"/>
            <w:hideMark/>
          </w:tcPr>
          <w:p w14:paraId="3ECFEAB3" w14:textId="1D410762"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496BA4FA" w14:textId="3944578C"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1A4DD64" w14:textId="50FACA1F"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6CCE259C" w14:textId="79A42762"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3B85BB2C" w14:textId="5BD942E5"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46A573C" w14:textId="3EAA8104"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4EA160E1" w14:textId="41A204FF"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200E678A" w14:textId="326BAB89"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63A6DDC4" w14:textId="1327F5B6"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139690BB" w14:textId="3B9D7960"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123B1853" w14:textId="57108999"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35B4F488" w14:textId="77777777" w:rsidTr="00EA41B7">
        <w:trPr>
          <w:trHeight w:val="248"/>
        </w:trPr>
        <w:tc>
          <w:tcPr>
            <w:tcW w:w="329" w:type="dxa"/>
            <w:shd w:val="clear" w:color="auto" w:fill="auto"/>
            <w:noWrap/>
            <w:vAlign w:val="center"/>
            <w:hideMark/>
          </w:tcPr>
          <w:p w14:paraId="0734C590" w14:textId="77777777" w:rsidR="00AF5795" w:rsidRPr="00005453" w:rsidRDefault="00AF5795" w:rsidP="00AF5795">
            <w:pPr>
              <w:jc w:val="right"/>
              <w:rPr>
                <w:color w:val="000000"/>
                <w:sz w:val="18"/>
                <w:szCs w:val="18"/>
                <w:lang w:eastAsia="tr-TR"/>
              </w:rPr>
            </w:pPr>
            <w:r w:rsidRPr="00005453">
              <w:rPr>
                <w:color w:val="000000"/>
                <w:sz w:val="18"/>
                <w:szCs w:val="18"/>
                <w:lang w:eastAsia="tr-TR"/>
              </w:rPr>
              <w:t>4</w:t>
            </w:r>
          </w:p>
        </w:tc>
        <w:tc>
          <w:tcPr>
            <w:tcW w:w="4769" w:type="dxa"/>
            <w:shd w:val="clear" w:color="auto" w:fill="auto"/>
            <w:noWrap/>
            <w:vAlign w:val="center"/>
            <w:hideMark/>
          </w:tcPr>
          <w:p w14:paraId="0E8BCB02" w14:textId="77777777" w:rsidR="00AF5795" w:rsidRPr="00005453" w:rsidRDefault="00AF5795" w:rsidP="00AF5795">
            <w:pPr>
              <w:rPr>
                <w:color w:val="000000"/>
                <w:sz w:val="18"/>
                <w:szCs w:val="18"/>
                <w:lang w:eastAsia="tr-TR"/>
              </w:rPr>
            </w:pPr>
            <w:r w:rsidRPr="00005453">
              <w:rPr>
                <w:color w:val="000000"/>
                <w:sz w:val="18"/>
                <w:szCs w:val="18"/>
                <w:lang w:eastAsia="tr-TR"/>
              </w:rPr>
              <w:t>Çok taraflı kalkınma bankalarından alacaklar</w:t>
            </w:r>
          </w:p>
        </w:tc>
        <w:tc>
          <w:tcPr>
            <w:tcW w:w="438" w:type="dxa"/>
            <w:shd w:val="clear" w:color="auto" w:fill="auto"/>
            <w:noWrap/>
            <w:vAlign w:val="center"/>
            <w:hideMark/>
          </w:tcPr>
          <w:p w14:paraId="23F7B53B" w14:textId="12CBEE9C"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70F054C9" w14:textId="3807824D"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EF19BFE" w14:textId="1745D57F"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25FA2FF9" w14:textId="6E53D8BC"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0A0F2EFD" w14:textId="40DBB76C"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038A56FD" w14:textId="71CBA4D6"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6D37C86D" w14:textId="35D20053"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1010F75C" w14:textId="7C7430F9"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75EE3E57" w14:textId="42644BAA"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4FDA791B" w14:textId="466F0C8F"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0B64D10F" w14:textId="4C04193C"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6EC1D6CE" w14:textId="77777777" w:rsidTr="00EA41B7">
        <w:trPr>
          <w:trHeight w:val="248"/>
        </w:trPr>
        <w:tc>
          <w:tcPr>
            <w:tcW w:w="329" w:type="dxa"/>
            <w:shd w:val="clear" w:color="auto" w:fill="auto"/>
            <w:noWrap/>
            <w:vAlign w:val="center"/>
            <w:hideMark/>
          </w:tcPr>
          <w:p w14:paraId="7A15D534" w14:textId="77777777" w:rsidR="00AF5795" w:rsidRPr="00005453" w:rsidRDefault="00AF5795" w:rsidP="00AF5795">
            <w:pPr>
              <w:jc w:val="right"/>
              <w:rPr>
                <w:color w:val="000000"/>
                <w:sz w:val="18"/>
                <w:szCs w:val="18"/>
                <w:lang w:eastAsia="tr-TR"/>
              </w:rPr>
            </w:pPr>
            <w:r w:rsidRPr="00005453">
              <w:rPr>
                <w:color w:val="000000"/>
                <w:sz w:val="18"/>
                <w:szCs w:val="18"/>
                <w:lang w:eastAsia="tr-TR"/>
              </w:rPr>
              <w:t>5</w:t>
            </w:r>
          </w:p>
        </w:tc>
        <w:tc>
          <w:tcPr>
            <w:tcW w:w="4769" w:type="dxa"/>
            <w:shd w:val="clear" w:color="auto" w:fill="auto"/>
            <w:noWrap/>
            <w:vAlign w:val="center"/>
            <w:hideMark/>
          </w:tcPr>
          <w:p w14:paraId="32A116E4" w14:textId="77777777" w:rsidR="00AF5795" w:rsidRPr="00005453" w:rsidRDefault="00AF5795" w:rsidP="00AF5795">
            <w:pPr>
              <w:rPr>
                <w:color w:val="000000"/>
                <w:sz w:val="18"/>
                <w:szCs w:val="18"/>
                <w:lang w:eastAsia="tr-TR"/>
              </w:rPr>
            </w:pPr>
            <w:r w:rsidRPr="00005453">
              <w:rPr>
                <w:color w:val="000000"/>
                <w:sz w:val="18"/>
                <w:szCs w:val="18"/>
                <w:lang w:eastAsia="tr-TR"/>
              </w:rPr>
              <w:t>Uluslararası teşkilatlardan alacaklar</w:t>
            </w:r>
          </w:p>
        </w:tc>
        <w:tc>
          <w:tcPr>
            <w:tcW w:w="438" w:type="dxa"/>
            <w:shd w:val="clear" w:color="auto" w:fill="auto"/>
            <w:noWrap/>
            <w:vAlign w:val="center"/>
            <w:hideMark/>
          </w:tcPr>
          <w:p w14:paraId="68F7EAFD" w14:textId="0AE7AF32"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09FED4AA" w14:textId="1D0502F4"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0312EB0" w14:textId="45BC9377"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49D8E0DE" w14:textId="2C21270E"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203770B4" w14:textId="5D158488"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09EB6AE2" w14:textId="5B4E7E05"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27700A23" w14:textId="1BF764BD"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1041B6BC" w14:textId="4587470B"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440C11DA" w14:textId="051DCEBB"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1E15C3F2" w14:textId="3A4812EC"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440AD608" w14:textId="09D93444"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1CC83DDD" w14:textId="77777777" w:rsidTr="00EA41B7">
        <w:trPr>
          <w:trHeight w:val="248"/>
        </w:trPr>
        <w:tc>
          <w:tcPr>
            <w:tcW w:w="329" w:type="dxa"/>
            <w:shd w:val="clear" w:color="auto" w:fill="auto"/>
            <w:noWrap/>
            <w:vAlign w:val="center"/>
            <w:hideMark/>
          </w:tcPr>
          <w:p w14:paraId="1D5A9E3D" w14:textId="77777777" w:rsidR="00AF5795" w:rsidRPr="00005453" w:rsidRDefault="00AF5795" w:rsidP="00AF5795">
            <w:pPr>
              <w:jc w:val="right"/>
              <w:rPr>
                <w:color w:val="000000"/>
                <w:sz w:val="18"/>
                <w:szCs w:val="18"/>
                <w:lang w:eastAsia="tr-TR"/>
              </w:rPr>
            </w:pPr>
            <w:r w:rsidRPr="00005453">
              <w:rPr>
                <w:color w:val="000000"/>
                <w:sz w:val="18"/>
                <w:szCs w:val="18"/>
                <w:lang w:eastAsia="tr-TR"/>
              </w:rPr>
              <w:t>6</w:t>
            </w:r>
          </w:p>
        </w:tc>
        <w:tc>
          <w:tcPr>
            <w:tcW w:w="4769" w:type="dxa"/>
            <w:shd w:val="clear" w:color="auto" w:fill="auto"/>
            <w:noWrap/>
            <w:vAlign w:val="center"/>
            <w:hideMark/>
          </w:tcPr>
          <w:p w14:paraId="38755850" w14:textId="77777777" w:rsidR="00AF5795" w:rsidRPr="00005453" w:rsidRDefault="00AF5795" w:rsidP="00AF5795">
            <w:pPr>
              <w:rPr>
                <w:color w:val="000000"/>
                <w:sz w:val="18"/>
                <w:szCs w:val="18"/>
                <w:lang w:eastAsia="tr-TR"/>
              </w:rPr>
            </w:pPr>
            <w:r w:rsidRPr="00005453">
              <w:rPr>
                <w:color w:val="000000"/>
                <w:sz w:val="18"/>
                <w:szCs w:val="18"/>
                <w:lang w:eastAsia="tr-TR"/>
              </w:rPr>
              <w:t>Bankalardan ve aracı kurumlardan alacaklar</w:t>
            </w:r>
          </w:p>
        </w:tc>
        <w:tc>
          <w:tcPr>
            <w:tcW w:w="438" w:type="dxa"/>
            <w:shd w:val="clear" w:color="auto" w:fill="auto"/>
            <w:noWrap/>
            <w:vAlign w:val="center"/>
            <w:hideMark/>
          </w:tcPr>
          <w:p w14:paraId="08C9B9DA" w14:textId="3DF33E4F" w:rsidR="00AF5795" w:rsidRPr="00005453" w:rsidRDefault="00AF5795" w:rsidP="00AF5795">
            <w:pPr>
              <w:jc w:val="right"/>
              <w:rPr>
                <w:color w:val="000000"/>
                <w:sz w:val="18"/>
                <w:szCs w:val="18"/>
                <w:lang w:eastAsia="tr-TR"/>
              </w:rPr>
            </w:pPr>
            <w:r w:rsidRPr="00005453">
              <w:rPr>
                <w:color w:val="000000"/>
                <w:sz w:val="18"/>
                <w:szCs w:val="22"/>
              </w:rPr>
              <w:t>498,076</w:t>
            </w:r>
          </w:p>
        </w:tc>
        <w:tc>
          <w:tcPr>
            <w:tcW w:w="550" w:type="dxa"/>
            <w:shd w:val="clear" w:color="auto" w:fill="auto"/>
            <w:noWrap/>
            <w:vAlign w:val="center"/>
            <w:hideMark/>
          </w:tcPr>
          <w:p w14:paraId="3DEB89EE" w14:textId="1A008687"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0174FF9" w14:textId="248280CC" w:rsidR="00AF5795" w:rsidRPr="00005453" w:rsidRDefault="00AF5795" w:rsidP="00AF5795">
            <w:pPr>
              <w:jc w:val="right"/>
              <w:rPr>
                <w:color w:val="000000"/>
                <w:sz w:val="18"/>
                <w:szCs w:val="18"/>
                <w:lang w:eastAsia="tr-TR"/>
              </w:rPr>
            </w:pPr>
            <w:r w:rsidRPr="00005453">
              <w:rPr>
                <w:color w:val="000000"/>
                <w:sz w:val="18"/>
                <w:szCs w:val="22"/>
              </w:rPr>
              <w:t>23,650,583</w:t>
            </w:r>
          </w:p>
        </w:tc>
        <w:tc>
          <w:tcPr>
            <w:tcW w:w="536" w:type="dxa"/>
            <w:shd w:val="clear" w:color="auto" w:fill="auto"/>
            <w:noWrap/>
            <w:vAlign w:val="center"/>
            <w:hideMark/>
          </w:tcPr>
          <w:p w14:paraId="6963B522" w14:textId="69B0D5EB"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3128C39A" w14:textId="17C0D2E3" w:rsidR="00AF5795" w:rsidRPr="00005453" w:rsidRDefault="00AF5795" w:rsidP="00AF5795">
            <w:pPr>
              <w:jc w:val="right"/>
              <w:rPr>
                <w:color w:val="000000"/>
                <w:sz w:val="18"/>
                <w:szCs w:val="18"/>
                <w:lang w:eastAsia="tr-TR"/>
              </w:rPr>
            </w:pPr>
            <w:r w:rsidRPr="00005453">
              <w:rPr>
                <w:color w:val="000000"/>
                <w:sz w:val="18"/>
                <w:szCs w:val="22"/>
              </w:rPr>
              <w:t>1,603,707</w:t>
            </w:r>
          </w:p>
        </w:tc>
        <w:tc>
          <w:tcPr>
            <w:tcW w:w="1015" w:type="dxa"/>
            <w:shd w:val="clear" w:color="auto" w:fill="auto"/>
            <w:noWrap/>
            <w:vAlign w:val="center"/>
            <w:hideMark/>
          </w:tcPr>
          <w:p w14:paraId="03E4B427" w14:textId="1C96ABA3"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77E00166" w14:textId="3D768068" w:rsidR="00AF5795" w:rsidRPr="00005453" w:rsidRDefault="00AF5795" w:rsidP="00AF5795">
            <w:pPr>
              <w:jc w:val="right"/>
              <w:rPr>
                <w:color w:val="000000"/>
                <w:sz w:val="18"/>
                <w:szCs w:val="18"/>
                <w:lang w:eastAsia="tr-TR"/>
              </w:rPr>
            </w:pPr>
            <w:r w:rsidRPr="00005453">
              <w:rPr>
                <w:color w:val="000000"/>
                <w:sz w:val="18"/>
                <w:szCs w:val="22"/>
              </w:rPr>
              <w:t>2,382,917</w:t>
            </w:r>
          </w:p>
        </w:tc>
        <w:tc>
          <w:tcPr>
            <w:tcW w:w="628" w:type="dxa"/>
            <w:shd w:val="clear" w:color="auto" w:fill="auto"/>
            <w:noWrap/>
            <w:vAlign w:val="center"/>
            <w:hideMark/>
          </w:tcPr>
          <w:p w14:paraId="67A29FF6" w14:textId="689D998A"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64DF8E96" w14:textId="17EAEDCD"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6F6DF1BF" w14:textId="7809B2A7"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67E023BF" w14:textId="53497876" w:rsidR="00AF5795" w:rsidRPr="00005453" w:rsidRDefault="00AF5795" w:rsidP="00AF5795">
            <w:pPr>
              <w:jc w:val="right"/>
              <w:rPr>
                <w:color w:val="000000"/>
                <w:sz w:val="18"/>
                <w:szCs w:val="18"/>
                <w:lang w:eastAsia="tr-TR"/>
              </w:rPr>
            </w:pPr>
            <w:r w:rsidRPr="00005453">
              <w:rPr>
                <w:color w:val="000000"/>
                <w:sz w:val="18"/>
                <w:szCs w:val="22"/>
              </w:rPr>
              <w:t>28,135,283</w:t>
            </w:r>
          </w:p>
        </w:tc>
      </w:tr>
      <w:tr w:rsidR="00AF5795" w:rsidRPr="00005453" w14:paraId="40904600" w14:textId="77777777" w:rsidTr="00EA41B7">
        <w:trPr>
          <w:trHeight w:val="248"/>
        </w:trPr>
        <w:tc>
          <w:tcPr>
            <w:tcW w:w="329" w:type="dxa"/>
            <w:shd w:val="clear" w:color="auto" w:fill="auto"/>
            <w:noWrap/>
            <w:vAlign w:val="center"/>
            <w:hideMark/>
          </w:tcPr>
          <w:p w14:paraId="48FA1B34" w14:textId="77777777" w:rsidR="00AF5795" w:rsidRPr="00005453" w:rsidRDefault="00AF5795" w:rsidP="00AF5795">
            <w:pPr>
              <w:jc w:val="right"/>
              <w:rPr>
                <w:color w:val="000000"/>
                <w:sz w:val="18"/>
                <w:szCs w:val="18"/>
                <w:lang w:eastAsia="tr-TR"/>
              </w:rPr>
            </w:pPr>
            <w:r w:rsidRPr="00005453">
              <w:rPr>
                <w:color w:val="000000"/>
                <w:sz w:val="18"/>
                <w:szCs w:val="18"/>
                <w:lang w:eastAsia="tr-TR"/>
              </w:rPr>
              <w:t>7</w:t>
            </w:r>
          </w:p>
        </w:tc>
        <w:tc>
          <w:tcPr>
            <w:tcW w:w="4769" w:type="dxa"/>
            <w:shd w:val="clear" w:color="auto" w:fill="auto"/>
            <w:noWrap/>
            <w:vAlign w:val="center"/>
            <w:hideMark/>
          </w:tcPr>
          <w:p w14:paraId="3DF28484" w14:textId="77777777" w:rsidR="00AF5795" w:rsidRPr="00005453" w:rsidRDefault="00AF5795" w:rsidP="00AF5795">
            <w:pPr>
              <w:rPr>
                <w:color w:val="000000"/>
                <w:sz w:val="18"/>
                <w:szCs w:val="18"/>
                <w:lang w:eastAsia="tr-TR"/>
              </w:rPr>
            </w:pPr>
            <w:r w:rsidRPr="00005453">
              <w:rPr>
                <w:color w:val="000000"/>
                <w:sz w:val="18"/>
                <w:szCs w:val="18"/>
                <w:lang w:eastAsia="tr-TR"/>
              </w:rPr>
              <w:t>Kurumsal alacaklar</w:t>
            </w:r>
          </w:p>
        </w:tc>
        <w:tc>
          <w:tcPr>
            <w:tcW w:w="438" w:type="dxa"/>
            <w:shd w:val="clear" w:color="auto" w:fill="auto"/>
            <w:noWrap/>
            <w:vAlign w:val="center"/>
            <w:hideMark/>
          </w:tcPr>
          <w:p w14:paraId="1BD281A4" w14:textId="2B850596" w:rsidR="00AF5795" w:rsidRPr="00005453" w:rsidRDefault="00AF5795" w:rsidP="00AF5795">
            <w:pPr>
              <w:jc w:val="right"/>
              <w:rPr>
                <w:color w:val="000000"/>
                <w:sz w:val="18"/>
                <w:szCs w:val="18"/>
                <w:lang w:eastAsia="tr-TR"/>
              </w:rPr>
            </w:pPr>
            <w:r w:rsidRPr="00005453">
              <w:rPr>
                <w:color w:val="000000"/>
                <w:sz w:val="18"/>
                <w:szCs w:val="22"/>
              </w:rPr>
              <w:t>7,042,740</w:t>
            </w:r>
          </w:p>
        </w:tc>
        <w:tc>
          <w:tcPr>
            <w:tcW w:w="550" w:type="dxa"/>
            <w:shd w:val="clear" w:color="auto" w:fill="auto"/>
            <w:noWrap/>
            <w:vAlign w:val="center"/>
            <w:hideMark/>
          </w:tcPr>
          <w:p w14:paraId="75C42134" w14:textId="4E137BDF"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003AC3AD" w14:textId="5022C1DB" w:rsidR="00AF5795" w:rsidRPr="00005453" w:rsidRDefault="00AF5795" w:rsidP="00AF5795">
            <w:pPr>
              <w:jc w:val="right"/>
              <w:rPr>
                <w:color w:val="000000"/>
                <w:sz w:val="18"/>
                <w:szCs w:val="18"/>
                <w:lang w:eastAsia="tr-TR"/>
              </w:rPr>
            </w:pPr>
            <w:r w:rsidRPr="00005453">
              <w:rPr>
                <w:color w:val="000000"/>
                <w:sz w:val="18"/>
                <w:szCs w:val="22"/>
              </w:rPr>
              <w:t>3,313,108</w:t>
            </w:r>
          </w:p>
        </w:tc>
        <w:tc>
          <w:tcPr>
            <w:tcW w:w="536" w:type="dxa"/>
            <w:shd w:val="clear" w:color="auto" w:fill="auto"/>
            <w:noWrap/>
            <w:vAlign w:val="center"/>
            <w:hideMark/>
          </w:tcPr>
          <w:p w14:paraId="69717A05" w14:textId="5357B42F"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162F82C" w14:textId="63D38A38"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0CD7767F" w14:textId="1D1E1B11"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40E996B1" w14:textId="7202E727" w:rsidR="00AF5795" w:rsidRPr="00005453" w:rsidRDefault="00AF5795" w:rsidP="00AF5795">
            <w:pPr>
              <w:jc w:val="right"/>
              <w:rPr>
                <w:color w:val="000000"/>
                <w:sz w:val="18"/>
                <w:szCs w:val="18"/>
                <w:lang w:eastAsia="tr-TR"/>
              </w:rPr>
            </w:pPr>
            <w:r w:rsidRPr="00005453">
              <w:rPr>
                <w:color w:val="000000"/>
                <w:sz w:val="18"/>
                <w:szCs w:val="22"/>
              </w:rPr>
              <w:t>152,145,577</w:t>
            </w:r>
          </w:p>
        </w:tc>
        <w:tc>
          <w:tcPr>
            <w:tcW w:w="628" w:type="dxa"/>
            <w:shd w:val="clear" w:color="auto" w:fill="auto"/>
            <w:noWrap/>
            <w:vAlign w:val="center"/>
            <w:hideMark/>
          </w:tcPr>
          <w:p w14:paraId="5C46D2C0" w14:textId="3B9CEA4D"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240FF069" w14:textId="4DA73A22"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1286ABC3" w14:textId="4DE5E602"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5378137B" w14:textId="614FEB2C" w:rsidR="00AF5795" w:rsidRPr="00005453" w:rsidRDefault="00AF5795" w:rsidP="00AF5795">
            <w:pPr>
              <w:jc w:val="right"/>
              <w:rPr>
                <w:color w:val="000000"/>
                <w:sz w:val="18"/>
                <w:szCs w:val="18"/>
                <w:lang w:eastAsia="tr-TR"/>
              </w:rPr>
            </w:pPr>
            <w:r w:rsidRPr="00005453">
              <w:rPr>
                <w:color w:val="000000"/>
                <w:sz w:val="18"/>
                <w:szCs w:val="22"/>
              </w:rPr>
              <w:t>162,501,425</w:t>
            </w:r>
          </w:p>
        </w:tc>
      </w:tr>
      <w:tr w:rsidR="00AF5795" w:rsidRPr="00005453" w14:paraId="18CB7843" w14:textId="77777777" w:rsidTr="00EA41B7">
        <w:trPr>
          <w:trHeight w:val="248"/>
        </w:trPr>
        <w:tc>
          <w:tcPr>
            <w:tcW w:w="329" w:type="dxa"/>
            <w:shd w:val="clear" w:color="auto" w:fill="auto"/>
            <w:noWrap/>
            <w:vAlign w:val="center"/>
            <w:hideMark/>
          </w:tcPr>
          <w:p w14:paraId="79DA528D" w14:textId="77777777" w:rsidR="00AF5795" w:rsidRPr="00005453" w:rsidRDefault="00AF5795" w:rsidP="00AF5795">
            <w:pPr>
              <w:jc w:val="right"/>
              <w:rPr>
                <w:color w:val="000000"/>
                <w:sz w:val="18"/>
                <w:szCs w:val="18"/>
                <w:lang w:eastAsia="tr-TR"/>
              </w:rPr>
            </w:pPr>
            <w:r w:rsidRPr="00005453">
              <w:rPr>
                <w:color w:val="000000"/>
                <w:sz w:val="18"/>
                <w:szCs w:val="18"/>
                <w:lang w:eastAsia="tr-TR"/>
              </w:rPr>
              <w:t>8</w:t>
            </w:r>
          </w:p>
        </w:tc>
        <w:tc>
          <w:tcPr>
            <w:tcW w:w="4769" w:type="dxa"/>
            <w:shd w:val="clear" w:color="auto" w:fill="auto"/>
            <w:noWrap/>
            <w:vAlign w:val="center"/>
            <w:hideMark/>
          </w:tcPr>
          <w:p w14:paraId="479DE249" w14:textId="77777777" w:rsidR="00AF5795" w:rsidRPr="00005453" w:rsidRDefault="00AF5795" w:rsidP="00AF5795">
            <w:pPr>
              <w:rPr>
                <w:color w:val="000000"/>
                <w:sz w:val="18"/>
                <w:szCs w:val="18"/>
                <w:lang w:eastAsia="tr-TR"/>
              </w:rPr>
            </w:pPr>
            <w:r w:rsidRPr="00005453">
              <w:rPr>
                <w:color w:val="000000"/>
                <w:sz w:val="18"/>
                <w:szCs w:val="18"/>
                <w:lang w:eastAsia="tr-TR"/>
              </w:rPr>
              <w:t>Perakende alacaklar</w:t>
            </w:r>
          </w:p>
        </w:tc>
        <w:tc>
          <w:tcPr>
            <w:tcW w:w="438" w:type="dxa"/>
            <w:shd w:val="clear" w:color="auto" w:fill="auto"/>
            <w:noWrap/>
            <w:vAlign w:val="center"/>
            <w:hideMark/>
          </w:tcPr>
          <w:p w14:paraId="0EFED620" w14:textId="153A928C" w:rsidR="00AF5795" w:rsidRPr="00005453" w:rsidRDefault="00AF5795" w:rsidP="00AF5795">
            <w:pPr>
              <w:jc w:val="right"/>
              <w:rPr>
                <w:color w:val="000000"/>
                <w:sz w:val="18"/>
                <w:szCs w:val="18"/>
                <w:lang w:eastAsia="tr-TR"/>
              </w:rPr>
            </w:pPr>
            <w:r w:rsidRPr="00005453">
              <w:rPr>
                <w:color w:val="000000"/>
                <w:sz w:val="18"/>
                <w:szCs w:val="22"/>
              </w:rPr>
              <w:t>2,609,200</w:t>
            </w:r>
          </w:p>
        </w:tc>
        <w:tc>
          <w:tcPr>
            <w:tcW w:w="550" w:type="dxa"/>
            <w:shd w:val="clear" w:color="auto" w:fill="auto"/>
            <w:noWrap/>
            <w:vAlign w:val="center"/>
            <w:hideMark/>
          </w:tcPr>
          <w:p w14:paraId="616947AA" w14:textId="4CB70F80"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EEF2DE2" w14:textId="4A83D83A" w:rsidR="00AF5795" w:rsidRPr="00005453" w:rsidRDefault="00AF5795" w:rsidP="00AF5795">
            <w:pPr>
              <w:jc w:val="right"/>
              <w:rPr>
                <w:color w:val="000000"/>
                <w:sz w:val="18"/>
                <w:szCs w:val="18"/>
                <w:lang w:eastAsia="tr-TR"/>
              </w:rPr>
            </w:pPr>
            <w:r w:rsidRPr="00005453">
              <w:rPr>
                <w:color w:val="000000"/>
                <w:sz w:val="18"/>
                <w:szCs w:val="22"/>
              </w:rPr>
              <w:t>755,298</w:t>
            </w:r>
          </w:p>
        </w:tc>
        <w:tc>
          <w:tcPr>
            <w:tcW w:w="536" w:type="dxa"/>
            <w:shd w:val="clear" w:color="auto" w:fill="auto"/>
            <w:noWrap/>
            <w:vAlign w:val="center"/>
            <w:hideMark/>
          </w:tcPr>
          <w:p w14:paraId="58C00ADF" w14:textId="25D186EE"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A6DE9B2" w14:textId="062E9A49"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5AB45F4" w14:textId="1B9ABC74" w:rsidR="00AF5795" w:rsidRPr="00005453" w:rsidRDefault="00AF5795" w:rsidP="00AF5795">
            <w:pPr>
              <w:jc w:val="right"/>
              <w:rPr>
                <w:color w:val="000000"/>
                <w:sz w:val="18"/>
                <w:szCs w:val="18"/>
                <w:lang w:eastAsia="tr-TR"/>
              </w:rPr>
            </w:pPr>
            <w:r w:rsidRPr="00005453">
              <w:rPr>
                <w:color w:val="000000"/>
                <w:sz w:val="18"/>
                <w:szCs w:val="22"/>
              </w:rPr>
              <w:t>77,425,683</w:t>
            </w:r>
          </w:p>
        </w:tc>
        <w:tc>
          <w:tcPr>
            <w:tcW w:w="1040" w:type="dxa"/>
            <w:shd w:val="clear" w:color="auto" w:fill="auto"/>
            <w:noWrap/>
            <w:vAlign w:val="center"/>
            <w:hideMark/>
          </w:tcPr>
          <w:p w14:paraId="56A777E2" w14:textId="18D30393"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71AEF58F" w14:textId="238E67ED"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600F74B2" w14:textId="0F30F373"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4BFCB358" w14:textId="450F643B"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38791947" w14:textId="5EDA0110" w:rsidR="00AF5795" w:rsidRPr="00005453" w:rsidRDefault="00AF5795" w:rsidP="00AF5795">
            <w:pPr>
              <w:jc w:val="right"/>
              <w:rPr>
                <w:color w:val="000000"/>
                <w:sz w:val="18"/>
                <w:szCs w:val="18"/>
                <w:lang w:eastAsia="tr-TR"/>
              </w:rPr>
            </w:pPr>
            <w:r w:rsidRPr="00005453">
              <w:rPr>
                <w:color w:val="000000"/>
                <w:sz w:val="18"/>
                <w:szCs w:val="22"/>
              </w:rPr>
              <w:t>80,790,181</w:t>
            </w:r>
          </w:p>
        </w:tc>
      </w:tr>
      <w:tr w:rsidR="00AF5795" w:rsidRPr="00005453" w14:paraId="5D4F07E5" w14:textId="77777777" w:rsidTr="00EA41B7">
        <w:trPr>
          <w:trHeight w:val="248"/>
        </w:trPr>
        <w:tc>
          <w:tcPr>
            <w:tcW w:w="329" w:type="dxa"/>
            <w:shd w:val="clear" w:color="auto" w:fill="auto"/>
            <w:noWrap/>
            <w:vAlign w:val="center"/>
            <w:hideMark/>
          </w:tcPr>
          <w:p w14:paraId="50D1500C" w14:textId="77777777" w:rsidR="00AF5795" w:rsidRPr="00005453" w:rsidRDefault="00AF5795" w:rsidP="00AF5795">
            <w:pPr>
              <w:jc w:val="right"/>
              <w:rPr>
                <w:color w:val="000000"/>
                <w:sz w:val="18"/>
                <w:szCs w:val="18"/>
                <w:lang w:eastAsia="tr-TR"/>
              </w:rPr>
            </w:pPr>
            <w:r w:rsidRPr="00005453">
              <w:rPr>
                <w:color w:val="000000"/>
                <w:sz w:val="18"/>
                <w:szCs w:val="18"/>
                <w:lang w:eastAsia="tr-TR"/>
              </w:rPr>
              <w:t>9</w:t>
            </w:r>
          </w:p>
        </w:tc>
        <w:tc>
          <w:tcPr>
            <w:tcW w:w="4769" w:type="dxa"/>
            <w:shd w:val="clear" w:color="auto" w:fill="auto"/>
            <w:noWrap/>
            <w:vAlign w:val="center"/>
            <w:hideMark/>
          </w:tcPr>
          <w:p w14:paraId="08F8AE8F" w14:textId="77777777" w:rsidR="00AF5795" w:rsidRPr="00005453" w:rsidRDefault="00AF5795" w:rsidP="00AF5795">
            <w:pPr>
              <w:rPr>
                <w:color w:val="000000"/>
                <w:sz w:val="18"/>
                <w:szCs w:val="18"/>
                <w:lang w:eastAsia="tr-TR"/>
              </w:rPr>
            </w:pPr>
            <w:r w:rsidRPr="00005453">
              <w:rPr>
                <w:color w:val="000000"/>
                <w:sz w:val="18"/>
                <w:szCs w:val="18"/>
                <w:lang w:eastAsia="tr-TR"/>
              </w:rPr>
              <w:t>İkamet amaçlı gayrimenkul ipoteği ile teminatlandırılan alacaklar</w:t>
            </w:r>
          </w:p>
        </w:tc>
        <w:tc>
          <w:tcPr>
            <w:tcW w:w="438" w:type="dxa"/>
            <w:shd w:val="clear" w:color="auto" w:fill="auto"/>
            <w:noWrap/>
            <w:vAlign w:val="center"/>
            <w:hideMark/>
          </w:tcPr>
          <w:p w14:paraId="474D6164" w14:textId="5F27F65F" w:rsidR="00AF5795" w:rsidRPr="00005453" w:rsidRDefault="00AF5795" w:rsidP="00AF5795">
            <w:pPr>
              <w:jc w:val="right"/>
              <w:rPr>
                <w:color w:val="000000"/>
                <w:sz w:val="18"/>
                <w:szCs w:val="18"/>
                <w:lang w:eastAsia="tr-TR"/>
              </w:rPr>
            </w:pPr>
            <w:r w:rsidRPr="00005453">
              <w:rPr>
                <w:color w:val="000000"/>
                <w:sz w:val="18"/>
                <w:szCs w:val="22"/>
              </w:rPr>
              <w:t>743,392</w:t>
            </w:r>
          </w:p>
        </w:tc>
        <w:tc>
          <w:tcPr>
            <w:tcW w:w="550" w:type="dxa"/>
            <w:shd w:val="clear" w:color="auto" w:fill="auto"/>
            <w:noWrap/>
            <w:vAlign w:val="center"/>
            <w:hideMark/>
          </w:tcPr>
          <w:p w14:paraId="7E9E1111" w14:textId="3C725881"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101ADEB" w14:textId="429179E9" w:rsidR="00AF5795" w:rsidRPr="00005453" w:rsidRDefault="00AF5795" w:rsidP="00AF5795">
            <w:pPr>
              <w:jc w:val="right"/>
              <w:rPr>
                <w:color w:val="000000"/>
                <w:sz w:val="18"/>
                <w:szCs w:val="18"/>
                <w:lang w:eastAsia="tr-TR"/>
              </w:rPr>
            </w:pPr>
            <w:r w:rsidRPr="00005453">
              <w:rPr>
                <w:color w:val="000000"/>
                <w:sz w:val="18"/>
                <w:szCs w:val="22"/>
              </w:rPr>
              <w:t>415,032</w:t>
            </w:r>
          </w:p>
        </w:tc>
        <w:tc>
          <w:tcPr>
            <w:tcW w:w="536" w:type="dxa"/>
            <w:shd w:val="clear" w:color="auto" w:fill="auto"/>
            <w:noWrap/>
            <w:vAlign w:val="center"/>
            <w:hideMark/>
          </w:tcPr>
          <w:p w14:paraId="0879C3DA" w14:textId="05B1099E"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25B2D81" w14:textId="3FFF9769"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3EED8741" w14:textId="4C9953B4"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396A96D7" w14:textId="25A539D0"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492981DC" w14:textId="132858C9"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5867A0E6" w14:textId="4EDB8EB1"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1A947871" w14:textId="42F5AA7A" w:rsidR="00AF5795" w:rsidRPr="00005453" w:rsidRDefault="00AF5795" w:rsidP="00AF5795">
            <w:pPr>
              <w:jc w:val="right"/>
              <w:rPr>
                <w:color w:val="000000"/>
                <w:sz w:val="18"/>
                <w:szCs w:val="18"/>
                <w:lang w:eastAsia="tr-TR"/>
              </w:rPr>
            </w:pPr>
            <w:r w:rsidRPr="00005453">
              <w:rPr>
                <w:color w:val="000000"/>
                <w:sz w:val="18"/>
                <w:szCs w:val="22"/>
              </w:rPr>
              <w:t>33,479,802</w:t>
            </w:r>
          </w:p>
        </w:tc>
        <w:tc>
          <w:tcPr>
            <w:tcW w:w="1113" w:type="dxa"/>
            <w:shd w:val="clear" w:color="auto" w:fill="auto"/>
            <w:noWrap/>
            <w:vAlign w:val="center"/>
            <w:hideMark/>
          </w:tcPr>
          <w:p w14:paraId="4CDD3535" w14:textId="5C06883D" w:rsidR="00AF5795" w:rsidRPr="00005453" w:rsidRDefault="00AF5795" w:rsidP="00AF5795">
            <w:pPr>
              <w:jc w:val="right"/>
              <w:rPr>
                <w:color w:val="000000"/>
                <w:sz w:val="18"/>
                <w:szCs w:val="18"/>
                <w:lang w:eastAsia="tr-TR"/>
              </w:rPr>
            </w:pPr>
            <w:r w:rsidRPr="00005453">
              <w:rPr>
                <w:color w:val="000000"/>
                <w:sz w:val="18"/>
                <w:szCs w:val="22"/>
              </w:rPr>
              <w:t>34,638,226</w:t>
            </w:r>
          </w:p>
        </w:tc>
      </w:tr>
      <w:tr w:rsidR="00AF5795" w:rsidRPr="00005453" w14:paraId="7DFA7A65" w14:textId="77777777" w:rsidTr="00EA41B7">
        <w:trPr>
          <w:trHeight w:val="248"/>
        </w:trPr>
        <w:tc>
          <w:tcPr>
            <w:tcW w:w="329" w:type="dxa"/>
            <w:shd w:val="clear" w:color="auto" w:fill="auto"/>
            <w:noWrap/>
            <w:vAlign w:val="center"/>
            <w:hideMark/>
          </w:tcPr>
          <w:p w14:paraId="3BEECDA2" w14:textId="77777777" w:rsidR="00AF5795" w:rsidRPr="00005453" w:rsidRDefault="00AF5795" w:rsidP="00AF5795">
            <w:pPr>
              <w:jc w:val="right"/>
              <w:rPr>
                <w:color w:val="000000"/>
                <w:sz w:val="18"/>
                <w:szCs w:val="18"/>
                <w:lang w:eastAsia="tr-TR"/>
              </w:rPr>
            </w:pPr>
            <w:r w:rsidRPr="00005453">
              <w:rPr>
                <w:color w:val="000000"/>
                <w:sz w:val="18"/>
                <w:szCs w:val="18"/>
                <w:lang w:eastAsia="tr-TR"/>
              </w:rPr>
              <w:t>10</w:t>
            </w:r>
          </w:p>
        </w:tc>
        <w:tc>
          <w:tcPr>
            <w:tcW w:w="4769" w:type="dxa"/>
            <w:shd w:val="clear" w:color="auto" w:fill="auto"/>
            <w:noWrap/>
            <w:vAlign w:val="center"/>
            <w:hideMark/>
          </w:tcPr>
          <w:p w14:paraId="535399D7" w14:textId="77777777" w:rsidR="00AF5795" w:rsidRPr="00005453" w:rsidRDefault="00AF5795" w:rsidP="00AF5795">
            <w:pPr>
              <w:rPr>
                <w:color w:val="000000"/>
                <w:sz w:val="18"/>
                <w:szCs w:val="18"/>
                <w:lang w:eastAsia="tr-TR"/>
              </w:rPr>
            </w:pPr>
            <w:r w:rsidRPr="00005453">
              <w:rPr>
                <w:color w:val="000000"/>
                <w:sz w:val="18"/>
                <w:szCs w:val="18"/>
                <w:lang w:eastAsia="tr-TR"/>
              </w:rPr>
              <w:t>Ticari amaçlı gayrimenkul ipoteği ile teminatlandırılan alacaklar</w:t>
            </w:r>
          </w:p>
        </w:tc>
        <w:tc>
          <w:tcPr>
            <w:tcW w:w="438" w:type="dxa"/>
            <w:shd w:val="clear" w:color="auto" w:fill="auto"/>
            <w:noWrap/>
            <w:vAlign w:val="center"/>
            <w:hideMark/>
          </w:tcPr>
          <w:p w14:paraId="4941ACB7" w14:textId="41975C0D" w:rsidR="00AF5795" w:rsidRPr="00005453" w:rsidRDefault="00AF5795" w:rsidP="00AF5795">
            <w:pPr>
              <w:jc w:val="right"/>
              <w:rPr>
                <w:color w:val="000000"/>
                <w:sz w:val="18"/>
                <w:szCs w:val="18"/>
                <w:lang w:eastAsia="tr-TR"/>
              </w:rPr>
            </w:pPr>
            <w:r w:rsidRPr="00005453">
              <w:rPr>
                <w:color w:val="000000"/>
                <w:sz w:val="18"/>
                <w:szCs w:val="22"/>
              </w:rPr>
              <w:t>1,480,773</w:t>
            </w:r>
          </w:p>
        </w:tc>
        <w:tc>
          <w:tcPr>
            <w:tcW w:w="550" w:type="dxa"/>
            <w:shd w:val="clear" w:color="auto" w:fill="auto"/>
            <w:noWrap/>
            <w:vAlign w:val="center"/>
            <w:hideMark/>
          </w:tcPr>
          <w:p w14:paraId="778BB9A0" w14:textId="04710ABF"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65D2476" w14:textId="01A7FDA9" w:rsidR="00AF5795" w:rsidRPr="00005453" w:rsidRDefault="00AF5795" w:rsidP="00AF5795">
            <w:pPr>
              <w:jc w:val="right"/>
              <w:rPr>
                <w:color w:val="000000"/>
                <w:sz w:val="18"/>
                <w:szCs w:val="18"/>
                <w:lang w:eastAsia="tr-TR"/>
              </w:rPr>
            </w:pPr>
            <w:r w:rsidRPr="00005453">
              <w:rPr>
                <w:color w:val="000000"/>
                <w:sz w:val="18"/>
                <w:szCs w:val="22"/>
              </w:rPr>
              <w:t>1,115,427</w:t>
            </w:r>
          </w:p>
        </w:tc>
        <w:tc>
          <w:tcPr>
            <w:tcW w:w="536" w:type="dxa"/>
            <w:shd w:val="clear" w:color="auto" w:fill="auto"/>
            <w:noWrap/>
            <w:vAlign w:val="center"/>
            <w:hideMark/>
          </w:tcPr>
          <w:p w14:paraId="7E4CAE16" w14:textId="32D60C95"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EBF7F6C" w14:textId="12E7E3F9" w:rsidR="00AF5795" w:rsidRPr="00005453" w:rsidRDefault="00AF5795" w:rsidP="00AF5795">
            <w:pPr>
              <w:jc w:val="right"/>
              <w:rPr>
                <w:color w:val="000000"/>
                <w:sz w:val="18"/>
                <w:szCs w:val="18"/>
                <w:lang w:eastAsia="tr-TR"/>
              </w:rPr>
            </w:pPr>
            <w:r w:rsidRPr="00005453">
              <w:rPr>
                <w:color w:val="000000"/>
                <w:sz w:val="18"/>
                <w:szCs w:val="22"/>
              </w:rPr>
              <w:t>40,066,902</w:t>
            </w:r>
          </w:p>
        </w:tc>
        <w:tc>
          <w:tcPr>
            <w:tcW w:w="1015" w:type="dxa"/>
            <w:shd w:val="clear" w:color="auto" w:fill="auto"/>
            <w:noWrap/>
            <w:vAlign w:val="center"/>
            <w:hideMark/>
          </w:tcPr>
          <w:p w14:paraId="73882EC5" w14:textId="52FCB766"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4A7721EB" w14:textId="64EED7E3" w:rsidR="00AF5795" w:rsidRPr="00005453" w:rsidRDefault="00AF5795" w:rsidP="00AF5795">
            <w:pPr>
              <w:jc w:val="right"/>
              <w:rPr>
                <w:color w:val="000000"/>
                <w:sz w:val="18"/>
                <w:szCs w:val="18"/>
                <w:lang w:eastAsia="tr-TR"/>
              </w:rPr>
            </w:pPr>
            <w:r w:rsidRPr="00005453">
              <w:rPr>
                <w:color w:val="000000"/>
                <w:sz w:val="18"/>
                <w:szCs w:val="22"/>
              </w:rPr>
              <w:t>24,436,284</w:t>
            </w:r>
          </w:p>
        </w:tc>
        <w:tc>
          <w:tcPr>
            <w:tcW w:w="628" w:type="dxa"/>
            <w:shd w:val="clear" w:color="auto" w:fill="auto"/>
            <w:noWrap/>
            <w:vAlign w:val="center"/>
            <w:hideMark/>
          </w:tcPr>
          <w:p w14:paraId="575D1301" w14:textId="72F51636"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28AEF704" w14:textId="31E5FFDC"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5B470C46" w14:textId="03B5CE21"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4FAEBFA2" w14:textId="61EECC04" w:rsidR="00AF5795" w:rsidRPr="00005453" w:rsidRDefault="00AF5795" w:rsidP="00AF5795">
            <w:pPr>
              <w:jc w:val="right"/>
              <w:rPr>
                <w:color w:val="000000"/>
                <w:sz w:val="18"/>
                <w:szCs w:val="18"/>
                <w:lang w:eastAsia="tr-TR"/>
              </w:rPr>
            </w:pPr>
            <w:r w:rsidRPr="00005453">
              <w:rPr>
                <w:color w:val="000000"/>
                <w:sz w:val="18"/>
                <w:szCs w:val="22"/>
              </w:rPr>
              <w:t>67,099,386</w:t>
            </w:r>
          </w:p>
        </w:tc>
      </w:tr>
      <w:tr w:rsidR="00AF5795" w:rsidRPr="00005453" w14:paraId="5F538AF6" w14:textId="77777777" w:rsidTr="00EA41B7">
        <w:trPr>
          <w:trHeight w:val="248"/>
        </w:trPr>
        <w:tc>
          <w:tcPr>
            <w:tcW w:w="329" w:type="dxa"/>
            <w:shd w:val="clear" w:color="auto" w:fill="auto"/>
            <w:noWrap/>
            <w:vAlign w:val="center"/>
            <w:hideMark/>
          </w:tcPr>
          <w:p w14:paraId="0D367F03" w14:textId="77777777" w:rsidR="00AF5795" w:rsidRPr="00005453" w:rsidRDefault="00AF5795" w:rsidP="00AF5795">
            <w:pPr>
              <w:jc w:val="right"/>
              <w:rPr>
                <w:color w:val="000000"/>
                <w:sz w:val="18"/>
                <w:szCs w:val="18"/>
                <w:lang w:eastAsia="tr-TR"/>
              </w:rPr>
            </w:pPr>
            <w:r w:rsidRPr="00005453">
              <w:rPr>
                <w:color w:val="000000"/>
                <w:sz w:val="18"/>
                <w:szCs w:val="18"/>
                <w:lang w:eastAsia="tr-TR"/>
              </w:rPr>
              <w:t>11</w:t>
            </w:r>
          </w:p>
        </w:tc>
        <w:tc>
          <w:tcPr>
            <w:tcW w:w="4769" w:type="dxa"/>
            <w:shd w:val="clear" w:color="auto" w:fill="auto"/>
            <w:noWrap/>
            <w:vAlign w:val="center"/>
            <w:hideMark/>
          </w:tcPr>
          <w:p w14:paraId="7EB3558D" w14:textId="77777777" w:rsidR="00AF5795" w:rsidRPr="00005453" w:rsidRDefault="00AF5795" w:rsidP="00AF5795">
            <w:pPr>
              <w:rPr>
                <w:color w:val="000000"/>
                <w:sz w:val="18"/>
                <w:szCs w:val="18"/>
                <w:lang w:eastAsia="tr-TR"/>
              </w:rPr>
            </w:pPr>
            <w:r w:rsidRPr="00005453">
              <w:rPr>
                <w:color w:val="000000"/>
                <w:sz w:val="18"/>
                <w:szCs w:val="18"/>
                <w:lang w:eastAsia="tr-TR"/>
              </w:rPr>
              <w:t>Tahsili gecikmiş alacaklar</w:t>
            </w:r>
          </w:p>
        </w:tc>
        <w:tc>
          <w:tcPr>
            <w:tcW w:w="438" w:type="dxa"/>
            <w:shd w:val="clear" w:color="auto" w:fill="auto"/>
            <w:noWrap/>
            <w:vAlign w:val="center"/>
            <w:hideMark/>
          </w:tcPr>
          <w:p w14:paraId="40E5FCA8" w14:textId="5537EA1F" w:rsidR="00AF5795" w:rsidRPr="00005453" w:rsidRDefault="00AF5795" w:rsidP="00AF5795">
            <w:pPr>
              <w:jc w:val="right"/>
              <w:rPr>
                <w:color w:val="000000"/>
                <w:sz w:val="18"/>
                <w:szCs w:val="18"/>
                <w:lang w:eastAsia="tr-TR"/>
              </w:rPr>
            </w:pPr>
            <w:r w:rsidRPr="00005453">
              <w:rPr>
                <w:color w:val="000000"/>
                <w:sz w:val="18"/>
                <w:szCs w:val="22"/>
              </w:rPr>
              <w:t>4,664</w:t>
            </w:r>
          </w:p>
        </w:tc>
        <w:tc>
          <w:tcPr>
            <w:tcW w:w="550" w:type="dxa"/>
            <w:shd w:val="clear" w:color="auto" w:fill="auto"/>
            <w:noWrap/>
            <w:vAlign w:val="center"/>
            <w:hideMark/>
          </w:tcPr>
          <w:p w14:paraId="521A8B60" w14:textId="51364560"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F61D39D" w14:textId="4D06C839" w:rsidR="00AF5795" w:rsidRPr="00005453" w:rsidRDefault="00AF5795" w:rsidP="00AF5795">
            <w:pPr>
              <w:jc w:val="right"/>
              <w:rPr>
                <w:color w:val="000000"/>
                <w:sz w:val="18"/>
                <w:szCs w:val="18"/>
                <w:lang w:eastAsia="tr-TR"/>
              </w:rPr>
            </w:pPr>
            <w:r w:rsidRPr="00005453">
              <w:rPr>
                <w:color w:val="000000"/>
                <w:sz w:val="18"/>
                <w:szCs w:val="22"/>
              </w:rPr>
              <w:t>577</w:t>
            </w:r>
          </w:p>
        </w:tc>
        <w:tc>
          <w:tcPr>
            <w:tcW w:w="536" w:type="dxa"/>
            <w:shd w:val="clear" w:color="auto" w:fill="auto"/>
            <w:noWrap/>
            <w:vAlign w:val="center"/>
            <w:hideMark/>
          </w:tcPr>
          <w:p w14:paraId="470023E6" w14:textId="53B15D69"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6B6DFDAD" w14:textId="3C2DCBC6" w:rsidR="00AF5795" w:rsidRPr="00005453" w:rsidRDefault="00AF5795" w:rsidP="00AF5795">
            <w:pPr>
              <w:jc w:val="right"/>
              <w:rPr>
                <w:color w:val="000000"/>
                <w:sz w:val="18"/>
                <w:szCs w:val="18"/>
                <w:lang w:eastAsia="tr-TR"/>
              </w:rPr>
            </w:pPr>
            <w:r w:rsidRPr="00005453">
              <w:rPr>
                <w:color w:val="000000"/>
                <w:sz w:val="18"/>
                <w:szCs w:val="22"/>
              </w:rPr>
              <w:t>493,694</w:t>
            </w:r>
          </w:p>
        </w:tc>
        <w:tc>
          <w:tcPr>
            <w:tcW w:w="1015" w:type="dxa"/>
            <w:shd w:val="clear" w:color="auto" w:fill="auto"/>
            <w:noWrap/>
            <w:vAlign w:val="center"/>
            <w:hideMark/>
          </w:tcPr>
          <w:p w14:paraId="75A9CEDB" w14:textId="4BACDC91"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0E718EE3" w14:textId="48008047" w:rsidR="00AF5795" w:rsidRPr="00005453" w:rsidRDefault="00AF5795" w:rsidP="00AF5795">
            <w:pPr>
              <w:jc w:val="right"/>
              <w:rPr>
                <w:color w:val="000000"/>
                <w:sz w:val="18"/>
                <w:szCs w:val="18"/>
                <w:lang w:eastAsia="tr-TR"/>
              </w:rPr>
            </w:pPr>
            <w:r w:rsidRPr="00005453">
              <w:rPr>
                <w:color w:val="000000"/>
                <w:sz w:val="18"/>
                <w:szCs w:val="22"/>
              </w:rPr>
              <w:t>7,453</w:t>
            </w:r>
          </w:p>
        </w:tc>
        <w:tc>
          <w:tcPr>
            <w:tcW w:w="628" w:type="dxa"/>
            <w:shd w:val="clear" w:color="auto" w:fill="auto"/>
            <w:noWrap/>
            <w:vAlign w:val="center"/>
            <w:hideMark/>
          </w:tcPr>
          <w:p w14:paraId="35836086" w14:textId="55BE45EB"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0C1AC827" w14:textId="681518DE"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7A7D40FA" w14:textId="0AF798E8"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3232BB98" w14:textId="5876A2B7" w:rsidR="00AF5795" w:rsidRPr="00005453" w:rsidRDefault="00AF5795" w:rsidP="00AF5795">
            <w:pPr>
              <w:jc w:val="right"/>
              <w:rPr>
                <w:color w:val="000000"/>
                <w:sz w:val="18"/>
                <w:szCs w:val="18"/>
                <w:lang w:eastAsia="tr-TR"/>
              </w:rPr>
            </w:pPr>
            <w:r w:rsidRPr="00005453">
              <w:rPr>
                <w:color w:val="000000"/>
                <w:sz w:val="18"/>
                <w:szCs w:val="22"/>
              </w:rPr>
              <w:t>506,388</w:t>
            </w:r>
          </w:p>
        </w:tc>
      </w:tr>
      <w:tr w:rsidR="00AF5795" w:rsidRPr="00005453" w14:paraId="51BF8B84" w14:textId="77777777" w:rsidTr="00EA41B7">
        <w:trPr>
          <w:trHeight w:val="248"/>
        </w:trPr>
        <w:tc>
          <w:tcPr>
            <w:tcW w:w="329" w:type="dxa"/>
            <w:shd w:val="clear" w:color="auto" w:fill="auto"/>
            <w:noWrap/>
            <w:vAlign w:val="center"/>
            <w:hideMark/>
          </w:tcPr>
          <w:p w14:paraId="2306E9EB" w14:textId="77777777" w:rsidR="00AF5795" w:rsidRPr="00005453" w:rsidRDefault="00AF5795" w:rsidP="00AF5795">
            <w:pPr>
              <w:jc w:val="right"/>
              <w:rPr>
                <w:color w:val="000000"/>
                <w:sz w:val="18"/>
                <w:szCs w:val="18"/>
                <w:lang w:eastAsia="tr-TR"/>
              </w:rPr>
            </w:pPr>
            <w:r w:rsidRPr="00005453">
              <w:rPr>
                <w:color w:val="000000"/>
                <w:sz w:val="18"/>
                <w:szCs w:val="18"/>
                <w:lang w:eastAsia="tr-TR"/>
              </w:rPr>
              <w:t>12</w:t>
            </w:r>
          </w:p>
        </w:tc>
        <w:tc>
          <w:tcPr>
            <w:tcW w:w="4769" w:type="dxa"/>
            <w:shd w:val="clear" w:color="auto" w:fill="auto"/>
            <w:noWrap/>
            <w:vAlign w:val="center"/>
            <w:hideMark/>
          </w:tcPr>
          <w:p w14:paraId="5B489B16" w14:textId="77777777" w:rsidR="00AF5795" w:rsidRPr="00005453" w:rsidRDefault="00AF5795" w:rsidP="00AF5795">
            <w:pPr>
              <w:rPr>
                <w:color w:val="000000"/>
                <w:sz w:val="18"/>
                <w:szCs w:val="18"/>
                <w:lang w:eastAsia="tr-TR"/>
              </w:rPr>
            </w:pPr>
            <w:r w:rsidRPr="00005453">
              <w:rPr>
                <w:color w:val="000000"/>
                <w:sz w:val="18"/>
                <w:szCs w:val="18"/>
                <w:lang w:eastAsia="tr-TR"/>
              </w:rPr>
              <w:t>Kurulca riski yüksek belirlenmiş alacaklar</w:t>
            </w:r>
          </w:p>
        </w:tc>
        <w:tc>
          <w:tcPr>
            <w:tcW w:w="438" w:type="dxa"/>
            <w:shd w:val="clear" w:color="auto" w:fill="auto"/>
            <w:noWrap/>
            <w:vAlign w:val="center"/>
            <w:hideMark/>
          </w:tcPr>
          <w:p w14:paraId="0B72761C" w14:textId="5BF4BA6D"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4129BEDA" w14:textId="70E76ED2"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798B9140" w14:textId="276D303F"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7A503F34" w14:textId="2103D348"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7395B0F0" w14:textId="1CC95818"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0B1DB8D" w14:textId="436D02CD"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52408D82" w14:textId="5B6CE1F0"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1181938A" w14:textId="485786F3" w:rsidR="00AF5795" w:rsidRPr="00005453" w:rsidRDefault="00AF5795" w:rsidP="00AF5795">
            <w:pPr>
              <w:jc w:val="right"/>
              <w:rPr>
                <w:color w:val="000000"/>
                <w:sz w:val="18"/>
                <w:szCs w:val="18"/>
                <w:lang w:eastAsia="tr-TR"/>
              </w:rPr>
            </w:pPr>
            <w:r w:rsidRPr="00005453">
              <w:rPr>
                <w:color w:val="000000"/>
                <w:sz w:val="18"/>
                <w:szCs w:val="22"/>
              </w:rPr>
              <w:t>2</w:t>
            </w:r>
          </w:p>
        </w:tc>
        <w:tc>
          <w:tcPr>
            <w:tcW w:w="709" w:type="dxa"/>
            <w:shd w:val="clear" w:color="auto" w:fill="auto"/>
            <w:noWrap/>
            <w:vAlign w:val="center"/>
            <w:hideMark/>
          </w:tcPr>
          <w:p w14:paraId="3305CA68" w14:textId="32F420B5"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0032D73E" w14:textId="02120EBE" w:rsidR="00AF5795" w:rsidRPr="00005453" w:rsidRDefault="00AF5795" w:rsidP="00AF5795">
            <w:pPr>
              <w:jc w:val="right"/>
              <w:rPr>
                <w:color w:val="000000"/>
                <w:sz w:val="18"/>
                <w:szCs w:val="18"/>
                <w:lang w:eastAsia="tr-TR"/>
              </w:rPr>
            </w:pPr>
            <w:r w:rsidRPr="00005453">
              <w:rPr>
                <w:color w:val="000000"/>
                <w:sz w:val="18"/>
                <w:szCs w:val="22"/>
              </w:rPr>
              <w:t>1,593,685</w:t>
            </w:r>
          </w:p>
        </w:tc>
        <w:tc>
          <w:tcPr>
            <w:tcW w:w="1113" w:type="dxa"/>
            <w:shd w:val="clear" w:color="auto" w:fill="auto"/>
            <w:noWrap/>
            <w:vAlign w:val="center"/>
            <w:hideMark/>
          </w:tcPr>
          <w:p w14:paraId="397828BC" w14:textId="7DB26811" w:rsidR="00AF5795" w:rsidRPr="00005453" w:rsidRDefault="00AF5795" w:rsidP="00AF5795">
            <w:pPr>
              <w:jc w:val="right"/>
              <w:rPr>
                <w:color w:val="000000"/>
                <w:sz w:val="18"/>
                <w:szCs w:val="18"/>
                <w:lang w:eastAsia="tr-TR"/>
              </w:rPr>
            </w:pPr>
            <w:r w:rsidRPr="00005453">
              <w:rPr>
                <w:color w:val="000000"/>
                <w:sz w:val="18"/>
                <w:szCs w:val="22"/>
              </w:rPr>
              <w:t>1,593,687</w:t>
            </w:r>
          </w:p>
        </w:tc>
      </w:tr>
      <w:tr w:rsidR="00AF5795" w:rsidRPr="00005453" w14:paraId="0E79B516" w14:textId="77777777" w:rsidTr="00EA41B7">
        <w:trPr>
          <w:trHeight w:val="248"/>
        </w:trPr>
        <w:tc>
          <w:tcPr>
            <w:tcW w:w="329" w:type="dxa"/>
            <w:shd w:val="clear" w:color="auto" w:fill="auto"/>
            <w:noWrap/>
            <w:vAlign w:val="center"/>
            <w:hideMark/>
          </w:tcPr>
          <w:p w14:paraId="3C58194D" w14:textId="77777777" w:rsidR="00AF5795" w:rsidRPr="00005453" w:rsidRDefault="00AF5795" w:rsidP="00AF5795">
            <w:pPr>
              <w:jc w:val="right"/>
              <w:rPr>
                <w:color w:val="000000"/>
                <w:sz w:val="18"/>
                <w:szCs w:val="18"/>
                <w:lang w:eastAsia="tr-TR"/>
              </w:rPr>
            </w:pPr>
            <w:r w:rsidRPr="00005453">
              <w:rPr>
                <w:color w:val="000000"/>
                <w:sz w:val="18"/>
                <w:szCs w:val="18"/>
                <w:lang w:eastAsia="tr-TR"/>
              </w:rPr>
              <w:t>13</w:t>
            </w:r>
          </w:p>
        </w:tc>
        <w:tc>
          <w:tcPr>
            <w:tcW w:w="4769" w:type="dxa"/>
            <w:shd w:val="clear" w:color="auto" w:fill="auto"/>
            <w:noWrap/>
            <w:vAlign w:val="center"/>
            <w:hideMark/>
          </w:tcPr>
          <w:p w14:paraId="1ACF6A5A" w14:textId="53A4813B" w:rsidR="00AF5795" w:rsidRPr="00005453" w:rsidRDefault="00AF5795" w:rsidP="00AF5795">
            <w:pPr>
              <w:rPr>
                <w:color w:val="000000"/>
                <w:sz w:val="18"/>
                <w:szCs w:val="18"/>
                <w:lang w:eastAsia="tr-TR"/>
              </w:rPr>
            </w:pPr>
            <w:r w:rsidRPr="00005453">
              <w:rPr>
                <w:color w:val="000000"/>
                <w:sz w:val="18"/>
                <w:szCs w:val="18"/>
                <w:lang w:eastAsia="tr-TR"/>
              </w:rPr>
              <w:t xml:space="preserve">Teminatlı menkul kıymetler </w:t>
            </w:r>
          </w:p>
        </w:tc>
        <w:tc>
          <w:tcPr>
            <w:tcW w:w="438" w:type="dxa"/>
            <w:shd w:val="clear" w:color="auto" w:fill="auto"/>
            <w:noWrap/>
            <w:vAlign w:val="center"/>
            <w:hideMark/>
          </w:tcPr>
          <w:p w14:paraId="222FCE32" w14:textId="3BCC80EC"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1F06234A" w14:textId="12852CB5"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4984A087" w14:textId="11248508"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000F424C" w14:textId="2876C1C3"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646F1C9F" w14:textId="28A51A15"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5A9F6C1" w14:textId="028DA66D"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346BF5F3" w14:textId="3335BFE3"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2CC728B8" w14:textId="537D0830"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6F71F295" w14:textId="429E33BA"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017432DF" w14:textId="2C1B03BB"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61D0487C" w14:textId="574AF577"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7495EBEC" w14:textId="77777777" w:rsidTr="00EA41B7">
        <w:trPr>
          <w:trHeight w:val="248"/>
        </w:trPr>
        <w:tc>
          <w:tcPr>
            <w:tcW w:w="329" w:type="dxa"/>
            <w:shd w:val="clear" w:color="auto" w:fill="auto"/>
            <w:noWrap/>
            <w:vAlign w:val="center"/>
            <w:hideMark/>
          </w:tcPr>
          <w:p w14:paraId="6E24CB7B" w14:textId="77777777" w:rsidR="00AF5795" w:rsidRPr="00005453" w:rsidRDefault="00AF5795" w:rsidP="00AF5795">
            <w:pPr>
              <w:jc w:val="right"/>
              <w:rPr>
                <w:color w:val="000000"/>
                <w:sz w:val="18"/>
                <w:szCs w:val="18"/>
                <w:lang w:eastAsia="tr-TR"/>
              </w:rPr>
            </w:pPr>
            <w:r w:rsidRPr="00005453">
              <w:rPr>
                <w:color w:val="000000"/>
                <w:sz w:val="18"/>
                <w:szCs w:val="18"/>
                <w:lang w:eastAsia="tr-TR"/>
              </w:rPr>
              <w:t>14</w:t>
            </w:r>
          </w:p>
        </w:tc>
        <w:tc>
          <w:tcPr>
            <w:tcW w:w="4769" w:type="dxa"/>
            <w:shd w:val="clear" w:color="auto" w:fill="auto"/>
            <w:noWrap/>
            <w:vAlign w:val="center"/>
            <w:hideMark/>
          </w:tcPr>
          <w:p w14:paraId="149F1A42" w14:textId="77777777" w:rsidR="00AF5795" w:rsidRPr="00005453" w:rsidRDefault="00AF5795" w:rsidP="00AF5795">
            <w:pPr>
              <w:rPr>
                <w:color w:val="000000"/>
                <w:sz w:val="18"/>
                <w:szCs w:val="18"/>
                <w:lang w:eastAsia="tr-TR"/>
              </w:rPr>
            </w:pPr>
            <w:r w:rsidRPr="00005453">
              <w:rPr>
                <w:color w:val="000000"/>
                <w:sz w:val="18"/>
                <w:szCs w:val="18"/>
                <w:lang w:eastAsia="tr-TR"/>
              </w:rPr>
              <w:t>Bankalardan ve aracı kurumlardan olan kısa vadeli alacaklar ile kısa vadeli kurumsal alacaklar</w:t>
            </w:r>
          </w:p>
        </w:tc>
        <w:tc>
          <w:tcPr>
            <w:tcW w:w="438" w:type="dxa"/>
            <w:shd w:val="clear" w:color="auto" w:fill="auto"/>
            <w:noWrap/>
            <w:vAlign w:val="center"/>
            <w:hideMark/>
          </w:tcPr>
          <w:p w14:paraId="36BF1119" w14:textId="31A214EA"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5AFFAB9F" w14:textId="254B8D06"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D67CDCD" w14:textId="389E6D07"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324EFF8D" w14:textId="3D28A446"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BAE820B" w14:textId="4B674884"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10BF8DDB" w14:textId="780EDABA"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1FB1C455" w14:textId="6BC6DE84"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01C5A615" w14:textId="6723015D"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168125C2" w14:textId="7F6FF3F9"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73924ACF" w14:textId="777D15FF"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4E4CD50B" w14:textId="6ABBCDD9"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4CB18BA0" w14:textId="77777777" w:rsidTr="00EA41B7">
        <w:trPr>
          <w:trHeight w:val="248"/>
        </w:trPr>
        <w:tc>
          <w:tcPr>
            <w:tcW w:w="329" w:type="dxa"/>
            <w:shd w:val="clear" w:color="auto" w:fill="auto"/>
            <w:noWrap/>
            <w:vAlign w:val="center"/>
            <w:hideMark/>
          </w:tcPr>
          <w:p w14:paraId="3688B046" w14:textId="77777777" w:rsidR="00AF5795" w:rsidRPr="00005453" w:rsidRDefault="00AF5795" w:rsidP="00AF5795">
            <w:pPr>
              <w:jc w:val="right"/>
              <w:rPr>
                <w:color w:val="000000"/>
                <w:sz w:val="18"/>
                <w:szCs w:val="18"/>
                <w:lang w:eastAsia="tr-TR"/>
              </w:rPr>
            </w:pPr>
            <w:r w:rsidRPr="00005453">
              <w:rPr>
                <w:color w:val="000000"/>
                <w:sz w:val="18"/>
                <w:szCs w:val="18"/>
                <w:lang w:eastAsia="tr-TR"/>
              </w:rPr>
              <w:t>15</w:t>
            </w:r>
          </w:p>
        </w:tc>
        <w:tc>
          <w:tcPr>
            <w:tcW w:w="4769" w:type="dxa"/>
            <w:shd w:val="clear" w:color="auto" w:fill="auto"/>
            <w:noWrap/>
            <w:vAlign w:val="center"/>
            <w:hideMark/>
          </w:tcPr>
          <w:p w14:paraId="34DF4ADE" w14:textId="77777777" w:rsidR="00AF5795" w:rsidRPr="00005453" w:rsidRDefault="00AF5795" w:rsidP="00AF5795">
            <w:pPr>
              <w:rPr>
                <w:color w:val="000000"/>
                <w:sz w:val="18"/>
                <w:szCs w:val="18"/>
                <w:lang w:eastAsia="tr-TR"/>
              </w:rPr>
            </w:pPr>
            <w:r w:rsidRPr="00005453">
              <w:rPr>
                <w:color w:val="000000"/>
                <w:sz w:val="18"/>
                <w:szCs w:val="18"/>
                <w:lang w:eastAsia="tr-TR"/>
              </w:rPr>
              <w:t>Kolektif yatırım kuruluşu niteliğindeki yatırımlar</w:t>
            </w:r>
          </w:p>
        </w:tc>
        <w:tc>
          <w:tcPr>
            <w:tcW w:w="438" w:type="dxa"/>
            <w:shd w:val="clear" w:color="auto" w:fill="auto"/>
            <w:noWrap/>
            <w:vAlign w:val="center"/>
            <w:hideMark/>
          </w:tcPr>
          <w:p w14:paraId="7547ED87" w14:textId="21C6A098"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63704DCD" w14:textId="4426513E"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666591C1" w14:textId="74E21FA8"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6195829C" w14:textId="75E50F72"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3FC09149" w14:textId="493311B2"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9926599" w14:textId="3255A9EA"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605094BE" w14:textId="723B4ACB" w:rsidR="00AF5795" w:rsidRPr="00005453" w:rsidRDefault="00AF5795" w:rsidP="00AF5795">
            <w:pPr>
              <w:jc w:val="right"/>
              <w:rPr>
                <w:color w:val="000000"/>
                <w:sz w:val="18"/>
                <w:szCs w:val="18"/>
                <w:lang w:eastAsia="tr-TR"/>
              </w:rPr>
            </w:pPr>
            <w:r w:rsidRPr="00005453">
              <w:rPr>
                <w:color w:val="000000"/>
                <w:sz w:val="18"/>
                <w:szCs w:val="22"/>
              </w:rPr>
              <w:t>-</w:t>
            </w:r>
          </w:p>
        </w:tc>
        <w:tc>
          <w:tcPr>
            <w:tcW w:w="628" w:type="dxa"/>
            <w:shd w:val="clear" w:color="auto" w:fill="auto"/>
            <w:noWrap/>
            <w:vAlign w:val="center"/>
            <w:hideMark/>
          </w:tcPr>
          <w:p w14:paraId="0E672806" w14:textId="186430E3"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26773058" w14:textId="5CA309B9"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4586625B" w14:textId="5352C758"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4F781459" w14:textId="5416CCE7" w:rsidR="00AF5795" w:rsidRPr="00005453" w:rsidRDefault="00AF5795" w:rsidP="00AF5795">
            <w:pPr>
              <w:jc w:val="right"/>
              <w:rPr>
                <w:color w:val="000000"/>
                <w:sz w:val="18"/>
                <w:szCs w:val="18"/>
                <w:lang w:eastAsia="tr-TR"/>
              </w:rPr>
            </w:pPr>
            <w:r w:rsidRPr="00005453">
              <w:rPr>
                <w:color w:val="000000"/>
                <w:sz w:val="18"/>
                <w:szCs w:val="22"/>
              </w:rPr>
              <w:t>-</w:t>
            </w:r>
          </w:p>
        </w:tc>
      </w:tr>
      <w:tr w:rsidR="00AF5795" w:rsidRPr="00005453" w14:paraId="67E4CAF7" w14:textId="77777777" w:rsidTr="00EA41B7">
        <w:trPr>
          <w:trHeight w:val="248"/>
        </w:trPr>
        <w:tc>
          <w:tcPr>
            <w:tcW w:w="329" w:type="dxa"/>
            <w:shd w:val="clear" w:color="auto" w:fill="auto"/>
            <w:noWrap/>
            <w:vAlign w:val="center"/>
            <w:hideMark/>
          </w:tcPr>
          <w:p w14:paraId="5246452D" w14:textId="77777777" w:rsidR="00AF5795" w:rsidRPr="00005453" w:rsidRDefault="00AF5795" w:rsidP="00AF5795">
            <w:pPr>
              <w:jc w:val="right"/>
              <w:rPr>
                <w:color w:val="000000"/>
                <w:sz w:val="18"/>
                <w:szCs w:val="18"/>
                <w:lang w:eastAsia="tr-TR"/>
              </w:rPr>
            </w:pPr>
            <w:r w:rsidRPr="00005453">
              <w:rPr>
                <w:color w:val="000000"/>
                <w:sz w:val="18"/>
                <w:szCs w:val="18"/>
                <w:lang w:eastAsia="tr-TR"/>
              </w:rPr>
              <w:t>16</w:t>
            </w:r>
          </w:p>
        </w:tc>
        <w:tc>
          <w:tcPr>
            <w:tcW w:w="4769" w:type="dxa"/>
            <w:shd w:val="clear" w:color="auto" w:fill="auto"/>
            <w:noWrap/>
            <w:vAlign w:val="center"/>
            <w:hideMark/>
          </w:tcPr>
          <w:p w14:paraId="6CD8B732" w14:textId="77777777" w:rsidR="00AF5795" w:rsidRPr="00005453" w:rsidRDefault="00AF5795" w:rsidP="00AF5795">
            <w:pPr>
              <w:rPr>
                <w:color w:val="000000"/>
                <w:sz w:val="18"/>
                <w:szCs w:val="18"/>
                <w:lang w:eastAsia="tr-TR"/>
              </w:rPr>
            </w:pPr>
            <w:r w:rsidRPr="00005453">
              <w:rPr>
                <w:color w:val="000000"/>
                <w:sz w:val="18"/>
                <w:szCs w:val="18"/>
                <w:lang w:eastAsia="tr-TR"/>
              </w:rPr>
              <w:t>Hisse senedi yatırımları</w:t>
            </w:r>
          </w:p>
        </w:tc>
        <w:tc>
          <w:tcPr>
            <w:tcW w:w="438" w:type="dxa"/>
            <w:shd w:val="clear" w:color="auto" w:fill="auto"/>
            <w:noWrap/>
            <w:vAlign w:val="center"/>
            <w:hideMark/>
          </w:tcPr>
          <w:p w14:paraId="50F8EFED" w14:textId="17CD718B" w:rsidR="00AF5795" w:rsidRPr="00005453" w:rsidRDefault="00AF5795" w:rsidP="00AF5795">
            <w:pPr>
              <w:jc w:val="right"/>
              <w:rPr>
                <w:color w:val="000000"/>
                <w:sz w:val="18"/>
                <w:szCs w:val="18"/>
                <w:lang w:eastAsia="tr-TR"/>
              </w:rPr>
            </w:pPr>
            <w:r w:rsidRPr="00005453">
              <w:rPr>
                <w:color w:val="000000"/>
                <w:sz w:val="18"/>
                <w:szCs w:val="22"/>
              </w:rPr>
              <w:t>-</w:t>
            </w:r>
          </w:p>
        </w:tc>
        <w:tc>
          <w:tcPr>
            <w:tcW w:w="550" w:type="dxa"/>
            <w:shd w:val="clear" w:color="auto" w:fill="auto"/>
            <w:noWrap/>
            <w:vAlign w:val="center"/>
            <w:hideMark/>
          </w:tcPr>
          <w:p w14:paraId="79192D30" w14:textId="2046B68A"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5E77F53" w14:textId="432DF715" w:rsidR="00AF5795" w:rsidRPr="00005453" w:rsidRDefault="00AF5795" w:rsidP="00AF5795">
            <w:pPr>
              <w:jc w:val="right"/>
              <w:rPr>
                <w:color w:val="000000"/>
                <w:sz w:val="18"/>
                <w:szCs w:val="18"/>
                <w:lang w:eastAsia="tr-TR"/>
              </w:rPr>
            </w:pPr>
            <w:r w:rsidRPr="00005453">
              <w:rPr>
                <w:color w:val="000000"/>
                <w:sz w:val="18"/>
                <w:szCs w:val="22"/>
              </w:rPr>
              <w:t>-</w:t>
            </w:r>
          </w:p>
        </w:tc>
        <w:tc>
          <w:tcPr>
            <w:tcW w:w="536" w:type="dxa"/>
            <w:shd w:val="clear" w:color="auto" w:fill="auto"/>
            <w:noWrap/>
            <w:vAlign w:val="center"/>
            <w:hideMark/>
          </w:tcPr>
          <w:p w14:paraId="2D0C7AC8" w14:textId="465FE918"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52CF0626" w14:textId="493AD089"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6B2BC22F" w14:textId="0328D937"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08C571E0" w14:textId="14C4EAD7" w:rsidR="00AF5795" w:rsidRPr="00005453" w:rsidRDefault="00AF5795" w:rsidP="00AF5795">
            <w:pPr>
              <w:jc w:val="right"/>
              <w:rPr>
                <w:color w:val="000000"/>
                <w:sz w:val="18"/>
                <w:szCs w:val="18"/>
                <w:lang w:eastAsia="tr-TR"/>
              </w:rPr>
            </w:pPr>
            <w:r w:rsidRPr="00005453">
              <w:rPr>
                <w:color w:val="000000"/>
                <w:sz w:val="18"/>
                <w:szCs w:val="22"/>
              </w:rPr>
              <w:t>4,486,142</w:t>
            </w:r>
          </w:p>
        </w:tc>
        <w:tc>
          <w:tcPr>
            <w:tcW w:w="628" w:type="dxa"/>
            <w:shd w:val="clear" w:color="auto" w:fill="auto"/>
            <w:noWrap/>
            <w:vAlign w:val="center"/>
            <w:hideMark/>
          </w:tcPr>
          <w:p w14:paraId="19AE47F6" w14:textId="6CDF05D7"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4E0B7AF0" w14:textId="095ABECC"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29782979" w14:textId="003998AD"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01DBCA19" w14:textId="4C2F9266" w:rsidR="00AF5795" w:rsidRPr="00005453" w:rsidRDefault="00AF5795" w:rsidP="00AF5795">
            <w:pPr>
              <w:jc w:val="right"/>
              <w:rPr>
                <w:color w:val="000000"/>
                <w:sz w:val="18"/>
                <w:szCs w:val="18"/>
                <w:lang w:eastAsia="tr-TR"/>
              </w:rPr>
            </w:pPr>
            <w:r w:rsidRPr="00005453">
              <w:rPr>
                <w:color w:val="000000"/>
                <w:sz w:val="18"/>
                <w:szCs w:val="22"/>
              </w:rPr>
              <w:t>4,486,142</w:t>
            </w:r>
          </w:p>
        </w:tc>
      </w:tr>
      <w:tr w:rsidR="00AF5795" w:rsidRPr="00005453" w14:paraId="4849B5A5" w14:textId="77777777" w:rsidTr="00EA41B7">
        <w:trPr>
          <w:trHeight w:val="248"/>
        </w:trPr>
        <w:tc>
          <w:tcPr>
            <w:tcW w:w="329" w:type="dxa"/>
            <w:shd w:val="clear" w:color="auto" w:fill="auto"/>
            <w:noWrap/>
            <w:vAlign w:val="center"/>
            <w:hideMark/>
          </w:tcPr>
          <w:p w14:paraId="4F4B542D" w14:textId="77777777" w:rsidR="00AF5795" w:rsidRPr="00005453" w:rsidRDefault="00AF5795" w:rsidP="00AF5795">
            <w:pPr>
              <w:jc w:val="right"/>
              <w:rPr>
                <w:color w:val="000000"/>
                <w:sz w:val="18"/>
                <w:szCs w:val="18"/>
                <w:lang w:eastAsia="tr-TR"/>
              </w:rPr>
            </w:pPr>
            <w:r w:rsidRPr="00005453">
              <w:rPr>
                <w:color w:val="000000"/>
                <w:sz w:val="18"/>
                <w:szCs w:val="18"/>
                <w:lang w:eastAsia="tr-TR"/>
              </w:rPr>
              <w:t>17</w:t>
            </w:r>
          </w:p>
        </w:tc>
        <w:tc>
          <w:tcPr>
            <w:tcW w:w="4769" w:type="dxa"/>
            <w:shd w:val="clear" w:color="auto" w:fill="auto"/>
            <w:noWrap/>
            <w:vAlign w:val="center"/>
            <w:hideMark/>
          </w:tcPr>
          <w:p w14:paraId="17E92927" w14:textId="77777777" w:rsidR="00AF5795" w:rsidRPr="00005453" w:rsidRDefault="00AF5795" w:rsidP="00AF5795">
            <w:pPr>
              <w:rPr>
                <w:color w:val="000000"/>
                <w:sz w:val="18"/>
                <w:szCs w:val="18"/>
                <w:lang w:eastAsia="tr-TR"/>
              </w:rPr>
            </w:pPr>
            <w:r w:rsidRPr="00005453">
              <w:rPr>
                <w:color w:val="000000"/>
                <w:sz w:val="18"/>
                <w:szCs w:val="18"/>
                <w:lang w:eastAsia="tr-TR"/>
              </w:rPr>
              <w:t>Diğer Alacaklar</w:t>
            </w:r>
          </w:p>
        </w:tc>
        <w:tc>
          <w:tcPr>
            <w:tcW w:w="438" w:type="dxa"/>
            <w:shd w:val="clear" w:color="auto" w:fill="auto"/>
            <w:noWrap/>
            <w:vAlign w:val="center"/>
            <w:hideMark/>
          </w:tcPr>
          <w:p w14:paraId="66DC78BC" w14:textId="7E49ADDD" w:rsidR="00AF5795" w:rsidRPr="00005453" w:rsidRDefault="00AF5795" w:rsidP="00AF5795">
            <w:pPr>
              <w:jc w:val="right"/>
              <w:rPr>
                <w:color w:val="000000"/>
                <w:sz w:val="18"/>
                <w:szCs w:val="18"/>
                <w:lang w:eastAsia="tr-TR"/>
              </w:rPr>
            </w:pPr>
            <w:r w:rsidRPr="00005453">
              <w:rPr>
                <w:color w:val="000000"/>
                <w:sz w:val="18"/>
                <w:szCs w:val="22"/>
              </w:rPr>
              <w:t>16,494,029</w:t>
            </w:r>
          </w:p>
        </w:tc>
        <w:tc>
          <w:tcPr>
            <w:tcW w:w="550" w:type="dxa"/>
            <w:shd w:val="clear" w:color="auto" w:fill="auto"/>
            <w:noWrap/>
            <w:vAlign w:val="center"/>
            <w:hideMark/>
          </w:tcPr>
          <w:p w14:paraId="3310ADA6" w14:textId="6FBBACA0"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21E27B9E" w14:textId="0DE6A9B3" w:rsidR="00AF5795" w:rsidRPr="00005453" w:rsidRDefault="00AF5795" w:rsidP="00AF5795">
            <w:pPr>
              <w:jc w:val="right"/>
              <w:rPr>
                <w:color w:val="000000"/>
                <w:sz w:val="18"/>
                <w:szCs w:val="18"/>
                <w:lang w:eastAsia="tr-TR"/>
              </w:rPr>
            </w:pPr>
            <w:r w:rsidRPr="00005453">
              <w:rPr>
                <w:color w:val="000000"/>
                <w:sz w:val="18"/>
                <w:szCs w:val="22"/>
              </w:rPr>
              <w:t>174</w:t>
            </w:r>
          </w:p>
        </w:tc>
        <w:tc>
          <w:tcPr>
            <w:tcW w:w="536" w:type="dxa"/>
            <w:shd w:val="clear" w:color="auto" w:fill="auto"/>
            <w:noWrap/>
            <w:vAlign w:val="center"/>
            <w:hideMark/>
          </w:tcPr>
          <w:p w14:paraId="08AD2CBA" w14:textId="25B7BD93"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76998441" w14:textId="69C66BC6" w:rsidR="00AF5795" w:rsidRPr="00005453" w:rsidRDefault="00AF5795" w:rsidP="00AF5795">
            <w:pPr>
              <w:jc w:val="right"/>
              <w:rPr>
                <w:color w:val="000000"/>
                <w:sz w:val="18"/>
                <w:szCs w:val="18"/>
                <w:lang w:eastAsia="tr-TR"/>
              </w:rPr>
            </w:pPr>
            <w:r w:rsidRPr="00005453">
              <w:rPr>
                <w:color w:val="000000"/>
                <w:sz w:val="18"/>
                <w:szCs w:val="22"/>
              </w:rPr>
              <w:t>-</w:t>
            </w:r>
          </w:p>
        </w:tc>
        <w:tc>
          <w:tcPr>
            <w:tcW w:w="1015" w:type="dxa"/>
            <w:shd w:val="clear" w:color="auto" w:fill="auto"/>
            <w:noWrap/>
            <w:vAlign w:val="center"/>
            <w:hideMark/>
          </w:tcPr>
          <w:p w14:paraId="7A73A3A7" w14:textId="29AD7986" w:rsidR="00AF5795" w:rsidRPr="00005453" w:rsidRDefault="00AF5795" w:rsidP="00AF5795">
            <w:pPr>
              <w:jc w:val="right"/>
              <w:rPr>
                <w:color w:val="000000"/>
                <w:sz w:val="18"/>
                <w:szCs w:val="18"/>
                <w:lang w:eastAsia="tr-TR"/>
              </w:rPr>
            </w:pPr>
            <w:r w:rsidRPr="00005453">
              <w:rPr>
                <w:color w:val="000000"/>
                <w:sz w:val="18"/>
                <w:szCs w:val="22"/>
              </w:rPr>
              <w:t>-</w:t>
            </w:r>
          </w:p>
        </w:tc>
        <w:tc>
          <w:tcPr>
            <w:tcW w:w="1040" w:type="dxa"/>
            <w:shd w:val="clear" w:color="auto" w:fill="auto"/>
            <w:noWrap/>
            <w:vAlign w:val="center"/>
            <w:hideMark/>
          </w:tcPr>
          <w:p w14:paraId="415A2931" w14:textId="67C6E718" w:rsidR="00AF5795" w:rsidRPr="00005453" w:rsidRDefault="00AF5795" w:rsidP="00AF5795">
            <w:pPr>
              <w:jc w:val="right"/>
              <w:rPr>
                <w:color w:val="000000"/>
                <w:sz w:val="18"/>
                <w:szCs w:val="18"/>
                <w:lang w:eastAsia="tr-TR"/>
              </w:rPr>
            </w:pPr>
            <w:r w:rsidRPr="00005453">
              <w:rPr>
                <w:color w:val="000000"/>
                <w:sz w:val="18"/>
                <w:szCs w:val="22"/>
              </w:rPr>
              <w:t>8,342,311</w:t>
            </w:r>
          </w:p>
        </w:tc>
        <w:tc>
          <w:tcPr>
            <w:tcW w:w="628" w:type="dxa"/>
            <w:shd w:val="clear" w:color="auto" w:fill="auto"/>
            <w:noWrap/>
            <w:vAlign w:val="center"/>
            <w:hideMark/>
          </w:tcPr>
          <w:p w14:paraId="3AEB0974" w14:textId="1338C983" w:rsidR="00AF5795" w:rsidRPr="00005453" w:rsidRDefault="00AF5795" w:rsidP="00AF5795">
            <w:pPr>
              <w:jc w:val="right"/>
              <w:rPr>
                <w:color w:val="000000"/>
                <w:sz w:val="18"/>
                <w:szCs w:val="18"/>
                <w:lang w:eastAsia="tr-TR"/>
              </w:rPr>
            </w:pPr>
            <w:r w:rsidRPr="00005453">
              <w:rPr>
                <w:color w:val="000000"/>
                <w:sz w:val="18"/>
                <w:szCs w:val="22"/>
              </w:rPr>
              <w:t>-</w:t>
            </w:r>
          </w:p>
        </w:tc>
        <w:tc>
          <w:tcPr>
            <w:tcW w:w="709" w:type="dxa"/>
            <w:shd w:val="clear" w:color="auto" w:fill="auto"/>
            <w:noWrap/>
            <w:vAlign w:val="center"/>
            <w:hideMark/>
          </w:tcPr>
          <w:p w14:paraId="65D67A02" w14:textId="40A8AA58" w:rsidR="00AF5795" w:rsidRPr="00005453" w:rsidRDefault="00AF5795" w:rsidP="00AF5795">
            <w:pPr>
              <w:jc w:val="right"/>
              <w:rPr>
                <w:color w:val="000000"/>
                <w:sz w:val="18"/>
                <w:szCs w:val="18"/>
                <w:lang w:eastAsia="tr-TR"/>
              </w:rPr>
            </w:pPr>
            <w:r w:rsidRPr="00005453">
              <w:rPr>
                <w:color w:val="000000"/>
                <w:sz w:val="18"/>
                <w:szCs w:val="22"/>
              </w:rPr>
              <w:t>-</w:t>
            </w:r>
          </w:p>
        </w:tc>
        <w:tc>
          <w:tcPr>
            <w:tcW w:w="1010" w:type="dxa"/>
            <w:shd w:val="clear" w:color="auto" w:fill="auto"/>
            <w:noWrap/>
            <w:vAlign w:val="center"/>
            <w:hideMark/>
          </w:tcPr>
          <w:p w14:paraId="70139AE1" w14:textId="6FF520BB" w:rsidR="00AF5795" w:rsidRPr="00005453" w:rsidRDefault="00AF5795" w:rsidP="00AF5795">
            <w:pPr>
              <w:jc w:val="right"/>
              <w:rPr>
                <w:color w:val="000000"/>
                <w:sz w:val="18"/>
                <w:szCs w:val="18"/>
                <w:lang w:eastAsia="tr-TR"/>
              </w:rPr>
            </w:pPr>
            <w:r w:rsidRPr="00005453">
              <w:rPr>
                <w:color w:val="000000"/>
                <w:sz w:val="18"/>
                <w:szCs w:val="22"/>
              </w:rPr>
              <w:t>-</w:t>
            </w:r>
          </w:p>
        </w:tc>
        <w:tc>
          <w:tcPr>
            <w:tcW w:w="1113" w:type="dxa"/>
            <w:shd w:val="clear" w:color="auto" w:fill="auto"/>
            <w:noWrap/>
            <w:vAlign w:val="center"/>
            <w:hideMark/>
          </w:tcPr>
          <w:p w14:paraId="3B29A91E" w14:textId="50049DAF" w:rsidR="00AF5795" w:rsidRPr="00005453" w:rsidRDefault="00AF5795" w:rsidP="00AF5795">
            <w:pPr>
              <w:jc w:val="right"/>
              <w:rPr>
                <w:color w:val="000000"/>
                <w:sz w:val="18"/>
                <w:szCs w:val="18"/>
                <w:lang w:eastAsia="tr-TR"/>
              </w:rPr>
            </w:pPr>
            <w:r w:rsidRPr="00005453">
              <w:rPr>
                <w:color w:val="000000"/>
                <w:sz w:val="18"/>
                <w:szCs w:val="22"/>
              </w:rPr>
              <w:t>24,836,514</w:t>
            </w:r>
          </w:p>
        </w:tc>
      </w:tr>
      <w:tr w:rsidR="00AF5795" w:rsidRPr="00005453" w14:paraId="2F349D7A" w14:textId="77777777" w:rsidTr="00EA41B7">
        <w:trPr>
          <w:trHeight w:val="248"/>
        </w:trPr>
        <w:tc>
          <w:tcPr>
            <w:tcW w:w="329" w:type="dxa"/>
            <w:shd w:val="clear" w:color="auto" w:fill="auto"/>
            <w:noWrap/>
            <w:vAlign w:val="center"/>
            <w:hideMark/>
          </w:tcPr>
          <w:p w14:paraId="4ECA5B4C" w14:textId="77777777" w:rsidR="00AF5795" w:rsidRPr="00005453" w:rsidRDefault="00AF5795" w:rsidP="00AF5795">
            <w:pPr>
              <w:jc w:val="right"/>
              <w:rPr>
                <w:b/>
                <w:bCs/>
                <w:color w:val="000000"/>
                <w:sz w:val="18"/>
                <w:szCs w:val="18"/>
                <w:lang w:eastAsia="tr-TR"/>
              </w:rPr>
            </w:pPr>
            <w:r w:rsidRPr="00005453">
              <w:rPr>
                <w:b/>
                <w:bCs/>
                <w:color w:val="000000"/>
                <w:sz w:val="18"/>
                <w:szCs w:val="18"/>
                <w:lang w:eastAsia="tr-TR"/>
              </w:rPr>
              <w:t>18</w:t>
            </w:r>
          </w:p>
        </w:tc>
        <w:tc>
          <w:tcPr>
            <w:tcW w:w="4769" w:type="dxa"/>
            <w:shd w:val="clear" w:color="auto" w:fill="auto"/>
            <w:noWrap/>
            <w:vAlign w:val="center"/>
            <w:hideMark/>
          </w:tcPr>
          <w:p w14:paraId="441D6314" w14:textId="77777777" w:rsidR="00AF5795" w:rsidRPr="00005453" w:rsidRDefault="00AF5795" w:rsidP="00AF5795">
            <w:pPr>
              <w:rPr>
                <w:b/>
                <w:bCs/>
                <w:color w:val="000000"/>
                <w:sz w:val="18"/>
                <w:szCs w:val="18"/>
                <w:lang w:eastAsia="tr-TR"/>
              </w:rPr>
            </w:pPr>
            <w:r w:rsidRPr="00005453">
              <w:rPr>
                <w:b/>
                <w:bCs/>
                <w:color w:val="000000"/>
                <w:sz w:val="18"/>
                <w:szCs w:val="18"/>
                <w:lang w:eastAsia="tr-TR"/>
              </w:rPr>
              <w:t>Toplam</w:t>
            </w:r>
          </w:p>
        </w:tc>
        <w:tc>
          <w:tcPr>
            <w:tcW w:w="438" w:type="dxa"/>
            <w:shd w:val="clear" w:color="auto" w:fill="auto"/>
            <w:noWrap/>
            <w:vAlign w:val="center"/>
            <w:hideMark/>
          </w:tcPr>
          <w:p w14:paraId="366EC265" w14:textId="26AE1D65" w:rsidR="00AF5795" w:rsidRPr="00005453" w:rsidRDefault="00AF5795" w:rsidP="00AF5795">
            <w:pPr>
              <w:jc w:val="right"/>
              <w:rPr>
                <w:b/>
                <w:color w:val="000000"/>
                <w:sz w:val="18"/>
                <w:szCs w:val="18"/>
                <w:lang w:eastAsia="tr-TR"/>
              </w:rPr>
            </w:pPr>
            <w:r w:rsidRPr="00005453">
              <w:rPr>
                <w:b/>
                <w:bCs/>
                <w:color w:val="000000"/>
                <w:sz w:val="18"/>
                <w:szCs w:val="22"/>
              </w:rPr>
              <w:t>283,618,175</w:t>
            </w:r>
          </w:p>
        </w:tc>
        <w:tc>
          <w:tcPr>
            <w:tcW w:w="550" w:type="dxa"/>
            <w:shd w:val="clear" w:color="auto" w:fill="auto"/>
            <w:noWrap/>
            <w:vAlign w:val="center"/>
            <w:hideMark/>
          </w:tcPr>
          <w:p w14:paraId="52246525" w14:textId="2398E037" w:rsidR="00AF5795" w:rsidRPr="00005453" w:rsidRDefault="00AF5795" w:rsidP="00AF5795">
            <w:pPr>
              <w:jc w:val="right"/>
              <w:rPr>
                <w:b/>
                <w:color w:val="000000"/>
                <w:sz w:val="18"/>
                <w:szCs w:val="18"/>
                <w:lang w:eastAsia="tr-TR"/>
              </w:rPr>
            </w:pPr>
            <w:r w:rsidRPr="00005453">
              <w:rPr>
                <w:b/>
                <w:bCs/>
                <w:color w:val="000000"/>
                <w:sz w:val="18"/>
                <w:szCs w:val="22"/>
              </w:rPr>
              <w:t>-</w:t>
            </w:r>
          </w:p>
        </w:tc>
        <w:tc>
          <w:tcPr>
            <w:tcW w:w="1015" w:type="dxa"/>
            <w:shd w:val="clear" w:color="auto" w:fill="auto"/>
            <w:noWrap/>
            <w:vAlign w:val="center"/>
            <w:hideMark/>
          </w:tcPr>
          <w:p w14:paraId="59492F15" w14:textId="034E747A" w:rsidR="00AF5795" w:rsidRPr="00005453" w:rsidRDefault="00AF5795" w:rsidP="00AF5795">
            <w:pPr>
              <w:jc w:val="right"/>
              <w:rPr>
                <w:b/>
                <w:color w:val="000000"/>
                <w:sz w:val="18"/>
                <w:szCs w:val="18"/>
                <w:lang w:eastAsia="tr-TR"/>
              </w:rPr>
            </w:pPr>
            <w:r w:rsidRPr="00005453">
              <w:rPr>
                <w:b/>
                <w:bCs/>
                <w:color w:val="000000"/>
                <w:sz w:val="18"/>
                <w:szCs w:val="22"/>
              </w:rPr>
              <w:t>29,250,199</w:t>
            </w:r>
          </w:p>
        </w:tc>
        <w:tc>
          <w:tcPr>
            <w:tcW w:w="536" w:type="dxa"/>
            <w:shd w:val="clear" w:color="auto" w:fill="auto"/>
            <w:noWrap/>
            <w:vAlign w:val="center"/>
            <w:hideMark/>
          </w:tcPr>
          <w:p w14:paraId="67A00F05" w14:textId="1D33DA93" w:rsidR="00AF5795" w:rsidRPr="00005453" w:rsidRDefault="00AF5795" w:rsidP="00AF5795">
            <w:pPr>
              <w:jc w:val="right"/>
              <w:rPr>
                <w:b/>
                <w:color w:val="000000"/>
                <w:sz w:val="18"/>
                <w:szCs w:val="18"/>
                <w:lang w:eastAsia="tr-TR"/>
              </w:rPr>
            </w:pPr>
            <w:r w:rsidRPr="00005453">
              <w:rPr>
                <w:b/>
                <w:bCs/>
                <w:color w:val="000000"/>
                <w:sz w:val="18"/>
                <w:szCs w:val="22"/>
              </w:rPr>
              <w:t>-</w:t>
            </w:r>
          </w:p>
        </w:tc>
        <w:tc>
          <w:tcPr>
            <w:tcW w:w="1015" w:type="dxa"/>
            <w:shd w:val="clear" w:color="auto" w:fill="auto"/>
            <w:noWrap/>
            <w:vAlign w:val="center"/>
            <w:hideMark/>
          </w:tcPr>
          <w:p w14:paraId="026D1D38" w14:textId="7A32C3DB" w:rsidR="00AF5795" w:rsidRPr="00005453" w:rsidRDefault="00AF5795" w:rsidP="00AF5795">
            <w:pPr>
              <w:jc w:val="right"/>
              <w:rPr>
                <w:b/>
                <w:color w:val="000000"/>
                <w:sz w:val="18"/>
                <w:szCs w:val="18"/>
                <w:lang w:eastAsia="tr-TR"/>
              </w:rPr>
            </w:pPr>
            <w:r w:rsidRPr="00005453">
              <w:rPr>
                <w:b/>
                <w:bCs/>
                <w:color w:val="000000"/>
                <w:sz w:val="18"/>
                <w:szCs w:val="22"/>
              </w:rPr>
              <w:t>42,164,303</w:t>
            </w:r>
          </w:p>
        </w:tc>
        <w:tc>
          <w:tcPr>
            <w:tcW w:w="1015" w:type="dxa"/>
            <w:shd w:val="clear" w:color="auto" w:fill="auto"/>
            <w:noWrap/>
            <w:vAlign w:val="center"/>
            <w:hideMark/>
          </w:tcPr>
          <w:p w14:paraId="2F069E20" w14:textId="2EEC6681" w:rsidR="00AF5795" w:rsidRPr="00005453" w:rsidRDefault="00AF5795" w:rsidP="00AF5795">
            <w:pPr>
              <w:jc w:val="right"/>
              <w:rPr>
                <w:b/>
                <w:color w:val="000000"/>
                <w:sz w:val="18"/>
                <w:szCs w:val="18"/>
                <w:lang w:eastAsia="tr-TR"/>
              </w:rPr>
            </w:pPr>
            <w:r w:rsidRPr="00005453">
              <w:rPr>
                <w:b/>
                <w:bCs/>
                <w:color w:val="000000"/>
                <w:sz w:val="18"/>
                <w:szCs w:val="22"/>
              </w:rPr>
              <w:t>77,425,683</w:t>
            </w:r>
          </w:p>
        </w:tc>
        <w:tc>
          <w:tcPr>
            <w:tcW w:w="1040" w:type="dxa"/>
            <w:shd w:val="clear" w:color="auto" w:fill="auto"/>
            <w:noWrap/>
            <w:vAlign w:val="center"/>
            <w:hideMark/>
          </w:tcPr>
          <w:p w14:paraId="2BECEE9F" w14:textId="33F00A13" w:rsidR="00AF5795" w:rsidRPr="00005453" w:rsidRDefault="00AF5795" w:rsidP="00AF5795">
            <w:pPr>
              <w:jc w:val="right"/>
              <w:rPr>
                <w:b/>
                <w:color w:val="000000"/>
                <w:sz w:val="18"/>
                <w:szCs w:val="18"/>
                <w:lang w:eastAsia="tr-TR"/>
              </w:rPr>
            </w:pPr>
            <w:r w:rsidRPr="00005453">
              <w:rPr>
                <w:b/>
                <w:bCs/>
                <w:color w:val="000000"/>
                <w:sz w:val="18"/>
                <w:szCs w:val="22"/>
              </w:rPr>
              <w:t>191,800,684</w:t>
            </w:r>
          </w:p>
        </w:tc>
        <w:tc>
          <w:tcPr>
            <w:tcW w:w="628" w:type="dxa"/>
            <w:shd w:val="clear" w:color="auto" w:fill="auto"/>
            <w:noWrap/>
            <w:vAlign w:val="center"/>
            <w:hideMark/>
          </w:tcPr>
          <w:p w14:paraId="3B8B0EB2" w14:textId="37DDFD4F" w:rsidR="00AF5795" w:rsidRPr="00005453" w:rsidRDefault="00AF5795" w:rsidP="00AF5795">
            <w:pPr>
              <w:jc w:val="right"/>
              <w:rPr>
                <w:b/>
                <w:color w:val="000000"/>
                <w:sz w:val="18"/>
                <w:szCs w:val="18"/>
                <w:lang w:eastAsia="tr-TR"/>
              </w:rPr>
            </w:pPr>
            <w:r w:rsidRPr="00005453">
              <w:rPr>
                <w:b/>
                <w:bCs/>
                <w:color w:val="000000"/>
                <w:sz w:val="18"/>
                <w:szCs w:val="22"/>
              </w:rPr>
              <w:t>2</w:t>
            </w:r>
          </w:p>
        </w:tc>
        <w:tc>
          <w:tcPr>
            <w:tcW w:w="709" w:type="dxa"/>
            <w:shd w:val="clear" w:color="auto" w:fill="auto"/>
            <w:noWrap/>
            <w:vAlign w:val="center"/>
            <w:hideMark/>
          </w:tcPr>
          <w:p w14:paraId="60BFA0B3" w14:textId="2208EC67" w:rsidR="00AF5795" w:rsidRPr="00005453" w:rsidRDefault="00AF5795" w:rsidP="00AF5795">
            <w:pPr>
              <w:jc w:val="right"/>
              <w:rPr>
                <w:b/>
                <w:color w:val="000000"/>
                <w:sz w:val="18"/>
                <w:szCs w:val="18"/>
                <w:lang w:eastAsia="tr-TR"/>
              </w:rPr>
            </w:pPr>
            <w:r w:rsidRPr="00005453">
              <w:rPr>
                <w:b/>
                <w:bCs/>
                <w:color w:val="000000"/>
                <w:sz w:val="18"/>
                <w:szCs w:val="22"/>
              </w:rPr>
              <w:t>-</w:t>
            </w:r>
          </w:p>
        </w:tc>
        <w:tc>
          <w:tcPr>
            <w:tcW w:w="1010" w:type="dxa"/>
            <w:shd w:val="clear" w:color="auto" w:fill="auto"/>
            <w:noWrap/>
            <w:vAlign w:val="center"/>
            <w:hideMark/>
          </w:tcPr>
          <w:p w14:paraId="3284CB4B" w14:textId="04B9687B" w:rsidR="00AF5795" w:rsidRPr="00005453" w:rsidRDefault="00AF5795" w:rsidP="00AF5795">
            <w:pPr>
              <w:jc w:val="right"/>
              <w:rPr>
                <w:b/>
                <w:color w:val="000000"/>
                <w:sz w:val="18"/>
                <w:szCs w:val="18"/>
                <w:lang w:eastAsia="tr-TR"/>
              </w:rPr>
            </w:pPr>
            <w:r w:rsidRPr="00005453">
              <w:rPr>
                <w:b/>
                <w:bCs/>
                <w:color w:val="000000"/>
                <w:sz w:val="18"/>
                <w:szCs w:val="22"/>
              </w:rPr>
              <w:t>35,073,487</w:t>
            </w:r>
          </w:p>
        </w:tc>
        <w:tc>
          <w:tcPr>
            <w:tcW w:w="1113" w:type="dxa"/>
            <w:shd w:val="clear" w:color="auto" w:fill="auto"/>
            <w:noWrap/>
            <w:vAlign w:val="center"/>
            <w:hideMark/>
          </w:tcPr>
          <w:p w14:paraId="2B77D50A" w14:textId="41DD6EAE" w:rsidR="00AF5795" w:rsidRPr="00005453" w:rsidRDefault="00AF5795" w:rsidP="00AF5795">
            <w:pPr>
              <w:jc w:val="right"/>
              <w:rPr>
                <w:b/>
                <w:color w:val="000000"/>
                <w:sz w:val="18"/>
                <w:szCs w:val="18"/>
                <w:lang w:eastAsia="tr-TR"/>
              </w:rPr>
            </w:pPr>
            <w:r w:rsidRPr="00005453">
              <w:rPr>
                <w:b/>
                <w:bCs/>
                <w:color w:val="000000"/>
                <w:sz w:val="18"/>
                <w:szCs w:val="22"/>
              </w:rPr>
              <w:t>659,332,533</w:t>
            </w:r>
          </w:p>
        </w:tc>
      </w:tr>
    </w:tbl>
    <w:p w14:paraId="382E00DD" w14:textId="52334BC8" w:rsidR="002E267E" w:rsidRPr="00005453" w:rsidRDefault="002E267E" w:rsidP="0054031F">
      <w:pPr>
        <w:rPr>
          <w:lang w:val="en-GB" w:eastAsia="en-GB"/>
        </w:rPr>
      </w:pPr>
    </w:p>
    <w:p w14:paraId="76C1F51E" w14:textId="7C48966A" w:rsidR="0054031F" w:rsidRPr="00005453" w:rsidRDefault="002E267E" w:rsidP="0054031F">
      <w:pPr>
        <w:rPr>
          <w:rFonts w:eastAsia="Arial Unicode MS"/>
          <w:lang w:eastAsia="x-none"/>
        </w:rPr>
      </w:pPr>
      <w:r w:rsidRPr="00005453">
        <w:rPr>
          <w:rFonts w:eastAsia="Arial Unicode MS"/>
          <w:lang w:eastAsia="x-none"/>
        </w:rPr>
        <w:t>* %35 Risk Ağırlığı Diğerleri kısmında sınıflandırılmıştır.</w:t>
      </w:r>
    </w:p>
    <w:p w14:paraId="37FE88C5" w14:textId="1DC7EC55" w:rsidR="0054031F" w:rsidRPr="00005453" w:rsidRDefault="0054031F" w:rsidP="0054031F">
      <w:pPr>
        <w:rPr>
          <w:rFonts w:eastAsia="Arial Unicode MS"/>
          <w:sz w:val="14"/>
          <w:lang w:eastAsia="x-none"/>
        </w:rPr>
      </w:pPr>
    </w:p>
    <w:p w14:paraId="19C23CEB" w14:textId="4BA7B426" w:rsidR="00D6058B" w:rsidRPr="00005453" w:rsidRDefault="00D6058B" w:rsidP="0054031F">
      <w:pPr>
        <w:rPr>
          <w:rFonts w:eastAsia="Arial Unicode MS"/>
          <w:sz w:val="14"/>
          <w:lang w:eastAsia="x-none"/>
        </w:rPr>
      </w:pPr>
    </w:p>
    <w:p w14:paraId="7BB6F928" w14:textId="35816E31" w:rsidR="00D6058B" w:rsidRPr="00005453" w:rsidRDefault="00D6058B" w:rsidP="0054031F">
      <w:pPr>
        <w:rPr>
          <w:rFonts w:eastAsia="Arial Unicode MS"/>
          <w:sz w:val="14"/>
          <w:lang w:eastAsia="x-none"/>
        </w:rPr>
      </w:pPr>
    </w:p>
    <w:p w14:paraId="416D0E9D" w14:textId="0FD67B73" w:rsidR="00D6058B" w:rsidRPr="00005453" w:rsidRDefault="00D6058B" w:rsidP="0054031F">
      <w:pPr>
        <w:rPr>
          <w:rFonts w:eastAsia="Arial Unicode MS"/>
          <w:sz w:val="14"/>
          <w:lang w:eastAsia="x-none"/>
        </w:rPr>
      </w:pPr>
    </w:p>
    <w:p w14:paraId="324A9929" w14:textId="72E27E14" w:rsidR="00D6058B" w:rsidRPr="00005453" w:rsidRDefault="00D6058B" w:rsidP="0054031F">
      <w:pPr>
        <w:rPr>
          <w:rFonts w:eastAsia="Arial Unicode MS"/>
          <w:sz w:val="14"/>
          <w:lang w:eastAsia="x-none"/>
        </w:rPr>
      </w:pPr>
    </w:p>
    <w:p w14:paraId="760BAA57" w14:textId="3892CD28" w:rsidR="00D6058B" w:rsidRPr="00005453" w:rsidRDefault="00D6058B" w:rsidP="0054031F">
      <w:pPr>
        <w:rPr>
          <w:rFonts w:eastAsia="Arial Unicode MS"/>
          <w:sz w:val="14"/>
          <w:lang w:eastAsia="x-none"/>
        </w:rPr>
      </w:pPr>
    </w:p>
    <w:p w14:paraId="3E751346" w14:textId="2C712EE9" w:rsidR="00D6058B" w:rsidRPr="00005453" w:rsidRDefault="00D6058B" w:rsidP="0054031F">
      <w:pPr>
        <w:rPr>
          <w:rFonts w:eastAsia="Arial Unicode MS"/>
          <w:sz w:val="14"/>
          <w:lang w:eastAsia="x-none"/>
        </w:rPr>
      </w:pPr>
    </w:p>
    <w:tbl>
      <w:tblPr>
        <w:tblW w:w="14497" w:type="dxa"/>
        <w:tblCellMar>
          <w:left w:w="70" w:type="dxa"/>
          <w:right w:w="70" w:type="dxa"/>
        </w:tblCellMar>
        <w:tblLook w:val="04A0" w:firstRow="1" w:lastRow="0" w:firstColumn="1" w:lastColumn="0" w:noHBand="0" w:noVBand="1"/>
      </w:tblPr>
      <w:tblGrid>
        <w:gridCol w:w="320"/>
        <w:gridCol w:w="4621"/>
        <w:gridCol w:w="1040"/>
        <w:gridCol w:w="530"/>
        <w:gridCol w:w="950"/>
        <w:gridCol w:w="500"/>
        <w:gridCol w:w="950"/>
        <w:gridCol w:w="950"/>
        <w:gridCol w:w="950"/>
        <w:gridCol w:w="860"/>
        <w:gridCol w:w="950"/>
        <w:gridCol w:w="1061"/>
        <w:gridCol w:w="1040"/>
      </w:tblGrid>
      <w:tr w:rsidR="00F05496" w:rsidRPr="00005453" w14:paraId="00DC7B68" w14:textId="77777777" w:rsidTr="00614CD2">
        <w:trPr>
          <w:trHeight w:val="768"/>
        </w:trPr>
        <w:tc>
          <w:tcPr>
            <w:tcW w:w="4941"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E9E5C3C" w14:textId="0CA756EF" w:rsidR="00F05496" w:rsidRPr="00005453" w:rsidRDefault="00F05496" w:rsidP="00F05496">
            <w:pPr>
              <w:rPr>
                <w:b/>
                <w:bCs/>
                <w:color w:val="000000"/>
                <w:sz w:val="18"/>
                <w:szCs w:val="18"/>
                <w:lang w:eastAsia="tr-TR"/>
              </w:rPr>
            </w:pPr>
            <w:r w:rsidRPr="00005453">
              <w:rPr>
                <w:b/>
                <w:bCs/>
                <w:color w:val="000000"/>
                <w:sz w:val="18"/>
                <w:szCs w:val="18"/>
                <w:lang w:eastAsia="tr-TR"/>
              </w:rPr>
              <w:lastRenderedPageBreak/>
              <w:t xml:space="preserve">Risk Sınıfları / Risk </w:t>
            </w:r>
            <w:proofErr w:type="gramStart"/>
            <w:r w:rsidRPr="00005453">
              <w:rPr>
                <w:b/>
                <w:bCs/>
                <w:color w:val="000000"/>
                <w:sz w:val="18"/>
                <w:szCs w:val="18"/>
                <w:lang w:eastAsia="tr-TR"/>
              </w:rPr>
              <w:t>Ağırlığı(</w:t>
            </w:r>
            <w:proofErr w:type="gramEnd"/>
            <w:r w:rsidRPr="00005453">
              <w:rPr>
                <w:b/>
                <w:bCs/>
                <w:color w:val="000000"/>
                <w:sz w:val="18"/>
                <w:szCs w:val="18"/>
                <w:lang w:eastAsia="tr-TR"/>
              </w:rPr>
              <w:t>*) (Önceki Dönem)</w:t>
            </w:r>
          </w:p>
        </w:tc>
        <w:tc>
          <w:tcPr>
            <w:tcW w:w="10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455EE9" w14:textId="4CCA6AC9"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0</w:t>
            </w:r>
          </w:p>
        </w:tc>
        <w:tc>
          <w:tcPr>
            <w:tcW w:w="5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C56E6E4" w14:textId="0C6F917E"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10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E46EED" w14:textId="2F2D348A"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20</w:t>
            </w:r>
          </w:p>
        </w:tc>
        <w:tc>
          <w:tcPr>
            <w:tcW w:w="5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280597B" w14:textId="74455A96"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25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0F5A64A" w14:textId="23B11F22"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50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AF94039" w14:textId="5D0431E4"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75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7218E4B" w14:textId="04FAF02B"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100</w:t>
            </w:r>
          </w:p>
        </w:tc>
        <w:tc>
          <w:tcPr>
            <w:tcW w:w="72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D5CA6F2" w14:textId="29DC4A29"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150</w:t>
            </w:r>
          </w:p>
        </w:tc>
        <w:tc>
          <w:tcPr>
            <w:tcW w:w="8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67D4146" w14:textId="0315C4A4" w:rsidR="00F05496" w:rsidRPr="00005453" w:rsidRDefault="00123877" w:rsidP="00F05496">
            <w:pPr>
              <w:jc w:val="right"/>
              <w:rPr>
                <w:b/>
                <w:bCs/>
                <w:color w:val="000000"/>
                <w:sz w:val="18"/>
                <w:szCs w:val="18"/>
                <w:lang w:eastAsia="tr-TR"/>
              </w:rPr>
            </w:pPr>
            <w:r w:rsidRPr="00005453">
              <w:rPr>
                <w:b/>
                <w:bCs/>
                <w:color w:val="000000"/>
                <w:sz w:val="18"/>
                <w:szCs w:val="18"/>
                <w:lang w:eastAsia="tr-TR"/>
              </w:rPr>
              <w:t>%</w:t>
            </w:r>
            <w:r w:rsidR="00F05496" w:rsidRPr="00005453">
              <w:rPr>
                <w:b/>
                <w:bCs/>
                <w:color w:val="000000"/>
                <w:sz w:val="18"/>
                <w:szCs w:val="18"/>
                <w:lang w:eastAsia="tr-TR"/>
              </w:rPr>
              <w:t>200</w:t>
            </w:r>
          </w:p>
        </w:tc>
        <w:tc>
          <w:tcPr>
            <w:tcW w:w="10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3DC61E" w14:textId="77777777" w:rsidR="00F05496" w:rsidRPr="00005453" w:rsidRDefault="00F05496" w:rsidP="00F05496">
            <w:pPr>
              <w:jc w:val="right"/>
              <w:rPr>
                <w:b/>
                <w:bCs/>
                <w:color w:val="000000"/>
                <w:sz w:val="18"/>
                <w:szCs w:val="18"/>
                <w:lang w:eastAsia="tr-TR"/>
              </w:rPr>
            </w:pPr>
            <w:r w:rsidRPr="00005453">
              <w:rPr>
                <w:b/>
                <w:bCs/>
                <w:color w:val="000000"/>
                <w:sz w:val="18"/>
                <w:szCs w:val="18"/>
                <w:lang w:eastAsia="tr-TR"/>
              </w:rPr>
              <w:t>Diğerleri%</w:t>
            </w:r>
          </w:p>
        </w:tc>
        <w:tc>
          <w:tcPr>
            <w:tcW w:w="1040" w:type="dxa"/>
            <w:tcBorders>
              <w:top w:val="single" w:sz="8" w:space="0" w:color="auto"/>
              <w:left w:val="nil"/>
              <w:bottom w:val="nil"/>
              <w:right w:val="single" w:sz="8" w:space="0" w:color="auto"/>
            </w:tcBorders>
            <w:shd w:val="clear" w:color="auto" w:fill="auto"/>
            <w:vAlign w:val="center"/>
            <w:hideMark/>
          </w:tcPr>
          <w:p w14:paraId="72E61C66" w14:textId="77777777" w:rsidR="00F05496" w:rsidRPr="00005453" w:rsidRDefault="00F05496" w:rsidP="00F05496">
            <w:pPr>
              <w:jc w:val="right"/>
              <w:rPr>
                <w:b/>
                <w:bCs/>
                <w:color w:val="000000"/>
                <w:sz w:val="18"/>
                <w:szCs w:val="18"/>
                <w:lang w:eastAsia="tr-TR"/>
              </w:rPr>
            </w:pPr>
            <w:r w:rsidRPr="00005453">
              <w:rPr>
                <w:b/>
                <w:bCs/>
                <w:color w:val="000000"/>
                <w:sz w:val="18"/>
                <w:szCs w:val="18"/>
                <w:lang w:eastAsia="tr-TR"/>
              </w:rPr>
              <w:t>Toplam risk tutarı (KDO ve KRA</w:t>
            </w:r>
          </w:p>
        </w:tc>
      </w:tr>
      <w:tr w:rsidR="00F05496" w:rsidRPr="00005453" w14:paraId="309FB1FD" w14:textId="77777777" w:rsidTr="00614CD2">
        <w:trPr>
          <w:trHeight w:val="252"/>
        </w:trPr>
        <w:tc>
          <w:tcPr>
            <w:tcW w:w="4941" w:type="dxa"/>
            <w:gridSpan w:val="2"/>
            <w:vMerge/>
            <w:tcBorders>
              <w:top w:val="single" w:sz="8" w:space="0" w:color="auto"/>
              <w:left w:val="single" w:sz="8" w:space="0" w:color="auto"/>
              <w:bottom w:val="single" w:sz="8" w:space="0" w:color="000000"/>
              <w:right w:val="single" w:sz="8" w:space="0" w:color="000000"/>
            </w:tcBorders>
            <w:vAlign w:val="center"/>
            <w:hideMark/>
          </w:tcPr>
          <w:p w14:paraId="2576EC1F" w14:textId="77777777" w:rsidR="00F05496" w:rsidRPr="00005453" w:rsidRDefault="00F05496" w:rsidP="00F05496">
            <w:pPr>
              <w:rPr>
                <w:b/>
                <w:bCs/>
                <w:color w:val="000000"/>
                <w:sz w:val="18"/>
                <w:szCs w:val="18"/>
                <w:lang w:eastAsia="tr-TR"/>
              </w:rPr>
            </w:pPr>
          </w:p>
        </w:tc>
        <w:tc>
          <w:tcPr>
            <w:tcW w:w="1040" w:type="dxa"/>
            <w:vMerge/>
            <w:tcBorders>
              <w:top w:val="single" w:sz="8" w:space="0" w:color="auto"/>
              <w:left w:val="single" w:sz="8" w:space="0" w:color="auto"/>
              <w:bottom w:val="single" w:sz="8" w:space="0" w:color="000000"/>
              <w:right w:val="single" w:sz="8" w:space="0" w:color="auto"/>
            </w:tcBorders>
            <w:vAlign w:val="center"/>
            <w:hideMark/>
          </w:tcPr>
          <w:p w14:paraId="5E4D2299" w14:textId="77777777" w:rsidR="00F05496" w:rsidRPr="00005453" w:rsidRDefault="00F05496" w:rsidP="00F05496">
            <w:pPr>
              <w:rPr>
                <w:b/>
                <w:bCs/>
                <w:color w:val="000000"/>
                <w:sz w:val="18"/>
                <w:szCs w:val="18"/>
                <w:lang w:eastAsia="tr-TR"/>
              </w:rPr>
            </w:pPr>
          </w:p>
        </w:tc>
        <w:tc>
          <w:tcPr>
            <w:tcW w:w="530" w:type="dxa"/>
            <w:vMerge/>
            <w:tcBorders>
              <w:top w:val="single" w:sz="8" w:space="0" w:color="auto"/>
              <w:left w:val="single" w:sz="8" w:space="0" w:color="auto"/>
              <w:bottom w:val="single" w:sz="8" w:space="0" w:color="000000"/>
              <w:right w:val="single" w:sz="8" w:space="0" w:color="auto"/>
            </w:tcBorders>
            <w:vAlign w:val="center"/>
            <w:hideMark/>
          </w:tcPr>
          <w:p w14:paraId="50353BE8" w14:textId="77777777" w:rsidR="00F05496" w:rsidRPr="00005453"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2548203B" w14:textId="77777777" w:rsidR="00F05496" w:rsidRPr="00005453" w:rsidRDefault="00F05496" w:rsidP="00F05496">
            <w:pPr>
              <w:rPr>
                <w:b/>
                <w:bCs/>
                <w:color w:val="000000"/>
                <w:sz w:val="18"/>
                <w:szCs w:val="18"/>
                <w:lang w:eastAsia="tr-TR"/>
              </w:rPr>
            </w:pPr>
          </w:p>
        </w:tc>
        <w:tc>
          <w:tcPr>
            <w:tcW w:w="500" w:type="dxa"/>
            <w:vMerge/>
            <w:tcBorders>
              <w:top w:val="single" w:sz="8" w:space="0" w:color="auto"/>
              <w:left w:val="single" w:sz="8" w:space="0" w:color="auto"/>
              <w:bottom w:val="single" w:sz="8" w:space="0" w:color="000000"/>
              <w:right w:val="single" w:sz="8" w:space="0" w:color="auto"/>
            </w:tcBorders>
            <w:vAlign w:val="center"/>
            <w:hideMark/>
          </w:tcPr>
          <w:p w14:paraId="5B092EF4" w14:textId="77777777" w:rsidR="00F05496" w:rsidRPr="00005453"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0A5B3756" w14:textId="77777777" w:rsidR="00F05496" w:rsidRPr="00005453"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686698E9" w14:textId="77777777" w:rsidR="00F05496" w:rsidRPr="00005453"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4305051A" w14:textId="77777777" w:rsidR="00F05496" w:rsidRPr="00005453" w:rsidRDefault="00F05496" w:rsidP="00F05496">
            <w:pPr>
              <w:rPr>
                <w:b/>
                <w:bCs/>
                <w:color w:val="000000"/>
                <w:sz w:val="18"/>
                <w:szCs w:val="18"/>
                <w:lang w:eastAsia="tr-TR"/>
              </w:rPr>
            </w:pPr>
          </w:p>
        </w:tc>
        <w:tc>
          <w:tcPr>
            <w:tcW w:w="725" w:type="dxa"/>
            <w:vMerge/>
            <w:tcBorders>
              <w:top w:val="single" w:sz="8" w:space="0" w:color="auto"/>
              <w:left w:val="single" w:sz="8" w:space="0" w:color="auto"/>
              <w:bottom w:val="single" w:sz="8" w:space="0" w:color="000000"/>
              <w:right w:val="single" w:sz="8" w:space="0" w:color="auto"/>
            </w:tcBorders>
            <w:vAlign w:val="center"/>
            <w:hideMark/>
          </w:tcPr>
          <w:p w14:paraId="32A183D9" w14:textId="77777777" w:rsidR="00F05496" w:rsidRPr="00005453" w:rsidRDefault="00F05496" w:rsidP="00F05496">
            <w:pPr>
              <w:rPr>
                <w:b/>
                <w:bCs/>
                <w:color w:val="000000"/>
                <w:sz w:val="18"/>
                <w:szCs w:val="18"/>
                <w:lang w:eastAsia="tr-TR"/>
              </w:rPr>
            </w:pPr>
          </w:p>
        </w:tc>
        <w:tc>
          <w:tcPr>
            <w:tcW w:w="860" w:type="dxa"/>
            <w:vMerge/>
            <w:tcBorders>
              <w:top w:val="single" w:sz="8" w:space="0" w:color="auto"/>
              <w:left w:val="single" w:sz="8" w:space="0" w:color="auto"/>
              <w:bottom w:val="single" w:sz="8" w:space="0" w:color="000000"/>
              <w:right w:val="single" w:sz="8" w:space="0" w:color="auto"/>
            </w:tcBorders>
            <w:vAlign w:val="center"/>
            <w:hideMark/>
          </w:tcPr>
          <w:p w14:paraId="794BE7A8" w14:textId="77777777" w:rsidR="00F05496" w:rsidRPr="00005453" w:rsidRDefault="00F05496" w:rsidP="00F05496">
            <w:pPr>
              <w:rPr>
                <w:b/>
                <w:bCs/>
                <w:color w:val="000000"/>
                <w:sz w:val="18"/>
                <w:szCs w:val="18"/>
                <w:lang w:eastAsia="tr-TR"/>
              </w:rPr>
            </w:pPr>
          </w:p>
        </w:tc>
        <w:tc>
          <w:tcPr>
            <w:tcW w:w="1061" w:type="dxa"/>
            <w:vMerge/>
            <w:tcBorders>
              <w:top w:val="single" w:sz="8" w:space="0" w:color="auto"/>
              <w:left w:val="single" w:sz="8" w:space="0" w:color="auto"/>
              <w:bottom w:val="single" w:sz="8" w:space="0" w:color="000000"/>
              <w:right w:val="single" w:sz="8" w:space="0" w:color="auto"/>
            </w:tcBorders>
            <w:vAlign w:val="center"/>
            <w:hideMark/>
          </w:tcPr>
          <w:p w14:paraId="70031156" w14:textId="77777777" w:rsidR="00F05496" w:rsidRPr="00005453" w:rsidRDefault="00F05496" w:rsidP="00F05496">
            <w:pPr>
              <w:rPr>
                <w:b/>
                <w:bCs/>
                <w:color w:val="000000"/>
                <w:sz w:val="18"/>
                <w:szCs w:val="18"/>
                <w:lang w:eastAsia="tr-TR"/>
              </w:rPr>
            </w:pPr>
          </w:p>
        </w:tc>
        <w:tc>
          <w:tcPr>
            <w:tcW w:w="1040" w:type="dxa"/>
            <w:tcBorders>
              <w:top w:val="nil"/>
              <w:left w:val="nil"/>
              <w:bottom w:val="single" w:sz="8" w:space="0" w:color="auto"/>
              <w:right w:val="single" w:sz="8" w:space="0" w:color="auto"/>
            </w:tcBorders>
            <w:shd w:val="clear" w:color="auto" w:fill="auto"/>
            <w:vAlign w:val="center"/>
            <w:hideMark/>
          </w:tcPr>
          <w:p w14:paraId="40BD1371" w14:textId="77777777" w:rsidR="00F05496" w:rsidRPr="00005453" w:rsidRDefault="00F05496" w:rsidP="00F05496">
            <w:pPr>
              <w:jc w:val="right"/>
              <w:rPr>
                <w:b/>
                <w:bCs/>
                <w:color w:val="000000"/>
                <w:sz w:val="18"/>
                <w:szCs w:val="18"/>
                <w:lang w:eastAsia="tr-TR"/>
              </w:rPr>
            </w:pPr>
            <w:proofErr w:type="gramStart"/>
            <w:r w:rsidRPr="00005453">
              <w:rPr>
                <w:b/>
                <w:bCs/>
                <w:color w:val="000000"/>
                <w:sz w:val="18"/>
                <w:szCs w:val="18"/>
                <w:lang w:eastAsia="tr-TR"/>
              </w:rPr>
              <w:t>sonrası</w:t>
            </w:r>
            <w:proofErr w:type="gramEnd"/>
            <w:r w:rsidRPr="00005453">
              <w:rPr>
                <w:b/>
                <w:bCs/>
                <w:color w:val="000000"/>
                <w:sz w:val="18"/>
                <w:szCs w:val="18"/>
                <w:lang w:eastAsia="tr-TR"/>
              </w:rPr>
              <w:t>)</w:t>
            </w:r>
          </w:p>
        </w:tc>
      </w:tr>
      <w:tr w:rsidR="00F059BA" w:rsidRPr="00005453" w14:paraId="734FB7C6"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97C0BE0" w14:textId="77777777" w:rsidR="00F059BA" w:rsidRPr="00005453" w:rsidRDefault="00F059BA" w:rsidP="00F059BA">
            <w:pPr>
              <w:jc w:val="right"/>
              <w:rPr>
                <w:color w:val="000000"/>
                <w:sz w:val="18"/>
                <w:szCs w:val="18"/>
                <w:lang w:eastAsia="tr-TR"/>
              </w:rPr>
            </w:pPr>
            <w:r w:rsidRPr="00005453">
              <w:rPr>
                <w:color w:val="000000"/>
                <w:sz w:val="18"/>
                <w:szCs w:val="18"/>
                <w:lang w:eastAsia="tr-TR"/>
              </w:rPr>
              <w:t>1</w:t>
            </w:r>
          </w:p>
        </w:tc>
        <w:tc>
          <w:tcPr>
            <w:tcW w:w="4621" w:type="dxa"/>
            <w:tcBorders>
              <w:top w:val="nil"/>
              <w:left w:val="nil"/>
              <w:bottom w:val="single" w:sz="8" w:space="0" w:color="auto"/>
              <w:right w:val="single" w:sz="8" w:space="0" w:color="auto"/>
            </w:tcBorders>
            <w:shd w:val="clear" w:color="auto" w:fill="auto"/>
            <w:noWrap/>
            <w:vAlign w:val="center"/>
            <w:hideMark/>
          </w:tcPr>
          <w:p w14:paraId="26E08FD4" w14:textId="77777777" w:rsidR="00F059BA" w:rsidRPr="00005453" w:rsidRDefault="00F059BA" w:rsidP="00F059BA">
            <w:pPr>
              <w:rPr>
                <w:color w:val="000000"/>
                <w:sz w:val="18"/>
                <w:szCs w:val="18"/>
                <w:lang w:eastAsia="tr-TR"/>
              </w:rPr>
            </w:pPr>
            <w:r w:rsidRPr="00005453">
              <w:rPr>
                <w:color w:val="000000"/>
                <w:sz w:val="18"/>
                <w:szCs w:val="18"/>
                <w:lang w:eastAsia="tr-TR"/>
              </w:rPr>
              <w:t>Merkezi yönetimlerden veya merkez bankalarından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0FFA90CF" w14:textId="0C507863" w:rsidR="00F059BA" w:rsidRPr="00005453" w:rsidRDefault="00F059BA" w:rsidP="00F059BA">
            <w:pPr>
              <w:jc w:val="right"/>
              <w:rPr>
                <w:color w:val="000000"/>
                <w:sz w:val="18"/>
                <w:szCs w:val="18"/>
                <w:lang w:eastAsia="tr-TR"/>
              </w:rPr>
            </w:pPr>
            <w:r w:rsidRPr="00005453">
              <w:rPr>
                <w:color w:val="000000"/>
                <w:sz w:val="18"/>
                <w:szCs w:val="18"/>
              </w:rPr>
              <w:t>195,586,912</w:t>
            </w:r>
          </w:p>
        </w:tc>
        <w:tc>
          <w:tcPr>
            <w:tcW w:w="530" w:type="dxa"/>
            <w:tcBorders>
              <w:top w:val="nil"/>
              <w:left w:val="nil"/>
              <w:bottom w:val="single" w:sz="8" w:space="0" w:color="auto"/>
              <w:right w:val="single" w:sz="8" w:space="0" w:color="auto"/>
            </w:tcBorders>
            <w:shd w:val="clear" w:color="auto" w:fill="auto"/>
            <w:noWrap/>
            <w:vAlign w:val="center"/>
            <w:hideMark/>
          </w:tcPr>
          <w:p w14:paraId="1A92120B" w14:textId="0627126C"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0CAF65A" w14:textId="23FA67A8"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3559CA0A" w14:textId="58674C84"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0A8B879" w14:textId="0DEF5A28"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3B9E7CD" w14:textId="3262656F"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DFE8840" w14:textId="03DA0FF2"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68BDE4ED" w14:textId="5FA2685D"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58044498" w14:textId="748AB37D"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36C855A8" w14:textId="0814BE58"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3E8AF116" w14:textId="1ED6FA3B" w:rsidR="00F059BA" w:rsidRPr="00005453" w:rsidRDefault="00F059BA" w:rsidP="00F059BA">
            <w:pPr>
              <w:jc w:val="right"/>
              <w:rPr>
                <w:color w:val="000000"/>
                <w:sz w:val="18"/>
                <w:szCs w:val="18"/>
                <w:lang w:eastAsia="tr-TR"/>
              </w:rPr>
            </w:pPr>
            <w:r w:rsidRPr="00005453">
              <w:rPr>
                <w:color w:val="000000"/>
                <w:sz w:val="18"/>
                <w:szCs w:val="18"/>
              </w:rPr>
              <w:t>195,586,912</w:t>
            </w:r>
          </w:p>
        </w:tc>
      </w:tr>
      <w:tr w:rsidR="00F059BA" w:rsidRPr="00005453" w14:paraId="1194D153"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544A1E84" w14:textId="77777777" w:rsidR="00F059BA" w:rsidRPr="00005453" w:rsidRDefault="00F059BA" w:rsidP="00F059BA">
            <w:pPr>
              <w:jc w:val="right"/>
              <w:rPr>
                <w:color w:val="000000"/>
                <w:sz w:val="18"/>
                <w:szCs w:val="18"/>
                <w:lang w:eastAsia="tr-TR"/>
              </w:rPr>
            </w:pPr>
            <w:r w:rsidRPr="00005453">
              <w:rPr>
                <w:color w:val="000000"/>
                <w:sz w:val="18"/>
                <w:szCs w:val="18"/>
                <w:lang w:eastAsia="tr-TR"/>
              </w:rPr>
              <w:t>2</w:t>
            </w:r>
          </w:p>
        </w:tc>
        <w:tc>
          <w:tcPr>
            <w:tcW w:w="4621" w:type="dxa"/>
            <w:tcBorders>
              <w:top w:val="nil"/>
              <w:left w:val="nil"/>
              <w:bottom w:val="single" w:sz="8" w:space="0" w:color="auto"/>
              <w:right w:val="single" w:sz="8" w:space="0" w:color="auto"/>
            </w:tcBorders>
            <w:shd w:val="clear" w:color="auto" w:fill="auto"/>
            <w:noWrap/>
            <w:vAlign w:val="center"/>
            <w:hideMark/>
          </w:tcPr>
          <w:p w14:paraId="3A8183E6" w14:textId="77777777" w:rsidR="00F059BA" w:rsidRPr="00005453" w:rsidRDefault="00F059BA" w:rsidP="00F059BA">
            <w:pPr>
              <w:rPr>
                <w:color w:val="000000"/>
                <w:sz w:val="18"/>
                <w:szCs w:val="18"/>
                <w:lang w:eastAsia="tr-TR"/>
              </w:rPr>
            </w:pPr>
            <w:r w:rsidRPr="00005453">
              <w:rPr>
                <w:color w:val="000000"/>
                <w:sz w:val="18"/>
                <w:szCs w:val="18"/>
                <w:lang w:eastAsia="tr-TR"/>
              </w:rPr>
              <w:t>Bölgesel yönetimlerden veya yerel yönetimlerden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15ADCF25" w14:textId="384A6F1E"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47F087F2" w14:textId="1A95A8E5"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19C3005" w14:textId="7A7D083E"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0FEB193E" w14:textId="29B2356D"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93428E1" w14:textId="34B856AA"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11112E8" w14:textId="1EE176DA"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70F3FF3" w14:textId="4A993A6C"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5F1515E2" w14:textId="73632808"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46F55951" w14:textId="3E03C334"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4D704693" w14:textId="316464F4"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6750608C" w14:textId="7381ADEB" w:rsidR="00F059BA" w:rsidRPr="00005453" w:rsidRDefault="00F059BA" w:rsidP="00F059BA">
            <w:pPr>
              <w:jc w:val="right"/>
              <w:rPr>
                <w:color w:val="000000"/>
                <w:sz w:val="18"/>
                <w:szCs w:val="18"/>
                <w:lang w:eastAsia="tr-TR"/>
              </w:rPr>
            </w:pPr>
            <w:r w:rsidRPr="00005453">
              <w:rPr>
                <w:color w:val="000000"/>
                <w:sz w:val="18"/>
                <w:szCs w:val="18"/>
              </w:rPr>
              <w:t>-</w:t>
            </w:r>
          </w:p>
        </w:tc>
      </w:tr>
      <w:tr w:rsidR="00F059BA" w:rsidRPr="00005453" w14:paraId="6B6A83F6"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152F174D" w14:textId="77777777" w:rsidR="00F059BA" w:rsidRPr="00005453" w:rsidRDefault="00F059BA" w:rsidP="00F059BA">
            <w:pPr>
              <w:jc w:val="right"/>
              <w:rPr>
                <w:color w:val="000000"/>
                <w:sz w:val="18"/>
                <w:szCs w:val="18"/>
                <w:lang w:eastAsia="tr-TR"/>
              </w:rPr>
            </w:pPr>
            <w:r w:rsidRPr="00005453">
              <w:rPr>
                <w:color w:val="000000"/>
                <w:sz w:val="18"/>
                <w:szCs w:val="18"/>
                <w:lang w:eastAsia="tr-TR"/>
              </w:rPr>
              <w:t>3</w:t>
            </w:r>
          </w:p>
        </w:tc>
        <w:tc>
          <w:tcPr>
            <w:tcW w:w="4621" w:type="dxa"/>
            <w:tcBorders>
              <w:top w:val="nil"/>
              <w:left w:val="nil"/>
              <w:bottom w:val="single" w:sz="8" w:space="0" w:color="auto"/>
              <w:right w:val="single" w:sz="8" w:space="0" w:color="auto"/>
            </w:tcBorders>
            <w:shd w:val="clear" w:color="auto" w:fill="auto"/>
            <w:noWrap/>
            <w:vAlign w:val="center"/>
            <w:hideMark/>
          </w:tcPr>
          <w:p w14:paraId="4A9D96A6" w14:textId="77777777" w:rsidR="00F059BA" w:rsidRPr="00005453" w:rsidRDefault="00F059BA" w:rsidP="00F059BA">
            <w:pPr>
              <w:rPr>
                <w:color w:val="000000"/>
                <w:sz w:val="18"/>
                <w:szCs w:val="18"/>
                <w:lang w:eastAsia="tr-TR"/>
              </w:rPr>
            </w:pPr>
            <w:r w:rsidRPr="00005453">
              <w:rPr>
                <w:color w:val="000000"/>
                <w:sz w:val="18"/>
                <w:szCs w:val="18"/>
                <w:lang w:eastAsia="tr-TR"/>
              </w:rPr>
              <w:t>İdari birimlerden ve ticari olmayan girişimlerden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1AA9488E" w14:textId="50FA02F0"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6B5138CA" w14:textId="224F80B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5FC88FB" w14:textId="5F08AF0F"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641FD8BA" w14:textId="6B30CB75"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4CA45B7" w14:textId="49FA2EC1"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EE157C5" w14:textId="1DE087A5"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5F0F5B0" w14:textId="49C07D23"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780E2199" w14:textId="788D8A64"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512BE16B" w14:textId="690326FF"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1B73A302" w14:textId="38FBEA77"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3E415519" w14:textId="335EAB4D" w:rsidR="00F059BA" w:rsidRPr="00005453" w:rsidRDefault="00F059BA" w:rsidP="00F059BA">
            <w:pPr>
              <w:jc w:val="right"/>
              <w:rPr>
                <w:color w:val="000000"/>
                <w:sz w:val="18"/>
                <w:szCs w:val="18"/>
                <w:lang w:eastAsia="tr-TR"/>
              </w:rPr>
            </w:pPr>
            <w:r w:rsidRPr="00005453">
              <w:rPr>
                <w:color w:val="000000"/>
                <w:sz w:val="18"/>
                <w:szCs w:val="18"/>
              </w:rPr>
              <w:t>-</w:t>
            </w:r>
          </w:p>
        </w:tc>
      </w:tr>
      <w:tr w:rsidR="00F059BA" w:rsidRPr="00005453" w14:paraId="2BDD545A"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0555313" w14:textId="77777777" w:rsidR="00F059BA" w:rsidRPr="00005453" w:rsidRDefault="00F059BA" w:rsidP="00F059BA">
            <w:pPr>
              <w:jc w:val="right"/>
              <w:rPr>
                <w:color w:val="000000"/>
                <w:sz w:val="18"/>
                <w:szCs w:val="18"/>
                <w:lang w:eastAsia="tr-TR"/>
              </w:rPr>
            </w:pPr>
            <w:r w:rsidRPr="00005453">
              <w:rPr>
                <w:color w:val="000000"/>
                <w:sz w:val="18"/>
                <w:szCs w:val="18"/>
                <w:lang w:eastAsia="tr-TR"/>
              </w:rPr>
              <w:t>4</w:t>
            </w:r>
          </w:p>
        </w:tc>
        <w:tc>
          <w:tcPr>
            <w:tcW w:w="4621" w:type="dxa"/>
            <w:tcBorders>
              <w:top w:val="nil"/>
              <w:left w:val="nil"/>
              <w:bottom w:val="single" w:sz="8" w:space="0" w:color="auto"/>
              <w:right w:val="single" w:sz="8" w:space="0" w:color="auto"/>
            </w:tcBorders>
            <w:shd w:val="clear" w:color="auto" w:fill="auto"/>
            <w:noWrap/>
            <w:vAlign w:val="center"/>
            <w:hideMark/>
          </w:tcPr>
          <w:p w14:paraId="1460F086" w14:textId="77777777" w:rsidR="00F059BA" w:rsidRPr="00005453" w:rsidRDefault="00F059BA" w:rsidP="00F059BA">
            <w:pPr>
              <w:rPr>
                <w:color w:val="000000"/>
                <w:sz w:val="18"/>
                <w:szCs w:val="18"/>
                <w:lang w:eastAsia="tr-TR"/>
              </w:rPr>
            </w:pPr>
            <w:r w:rsidRPr="00005453">
              <w:rPr>
                <w:color w:val="000000"/>
                <w:sz w:val="18"/>
                <w:szCs w:val="18"/>
                <w:lang w:eastAsia="tr-TR"/>
              </w:rPr>
              <w:t>Çok taraflı kalkınma bankalarından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65F7F874" w14:textId="51DE7B2B" w:rsidR="00F059BA" w:rsidRPr="00005453" w:rsidRDefault="00F059BA" w:rsidP="00F059BA">
            <w:pPr>
              <w:jc w:val="right"/>
              <w:rPr>
                <w:color w:val="000000"/>
                <w:sz w:val="18"/>
                <w:szCs w:val="18"/>
                <w:lang w:eastAsia="tr-TR"/>
              </w:rPr>
            </w:pPr>
            <w:r w:rsidRPr="00005453">
              <w:rPr>
                <w:color w:val="000000"/>
                <w:sz w:val="18"/>
                <w:szCs w:val="18"/>
              </w:rPr>
              <w:t>231,344</w:t>
            </w:r>
          </w:p>
        </w:tc>
        <w:tc>
          <w:tcPr>
            <w:tcW w:w="530" w:type="dxa"/>
            <w:tcBorders>
              <w:top w:val="nil"/>
              <w:left w:val="nil"/>
              <w:bottom w:val="single" w:sz="8" w:space="0" w:color="auto"/>
              <w:right w:val="single" w:sz="8" w:space="0" w:color="auto"/>
            </w:tcBorders>
            <w:shd w:val="clear" w:color="auto" w:fill="auto"/>
            <w:noWrap/>
            <w:vAlign w:val="center"/>
            <w:hideMark/>
          </w:tcPr>
          <w:p w14:paraId="750367AF" w14:textId="5F28046D"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1EAD93D8" w14:textId="1D3EA157"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040D9545" w14:textId="06C054FC"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18243CB4" w14:textId="1B88FAE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139878D" w14:textId="710D271C"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71214F9" w14:textId="20A23ECE"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6BBB6BBF" w14:textId="0B503264"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10216FAE" w14:textId="1EA9D9BB"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6DC63243" w14:textId="7512A5A2"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67831C30" w14:textId="67693BB9" w:rsidR="00F059BA" w:rsidRPr="00005453" w:rsidRDefault="00F059BA" w:rsidP="00F059BA">
            <w:pPr>
              <w:jc w:val="right"/>
              <w:rPr>
                <w:color w:val="000000"/>
                <w:sz w:val="18"/>
                <w:szCs w:val="18"/>
                <w:lang w:eastAsia="tr-TR"/>
              </w:rPr>
            </w:pPr>
            <w:r w:rsidRPr="00005453">
              <w:rPr>
                <w:color w:val="000000"/>
                <w:sz w:val="18"/>
                <w:szCs w:val="18"/>
              </w:rPr>
              <w:t>231,344</w:t>
            </w:r>
          </w:p>
        </w:tc>
      </w:tr>
      <w:tr w:rsidR="00F059BA" w:rsidRPr="00005453" w14:paraId="6B74E5CE"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4F9BE49" w14:textId="77777777" w:rsidR="00F059BA" w:rsidRPr="00005453" w:rsidRDefault="00F059BA" w:rsidP="00F059BA">
            <w:pPr>
              <w:jc w:val="right"/>
              <w:rPr>
                <w:color w:val="000000"/>
                <w:sz w:val="18"/>
                <w:szCs w:val="18"/>
                <w:lang w:eastAsia="tr-TR"/>
              </w:rPr>
            </w:pPr>
            <w:r w:rsidRPr="00005453">
              <w:rPr>
                <w:color w:val="000000"/>
                <w:sz w:val="18"/>
                <w:szCs w:val="18"/>
                <w:lang w:eastAsia="tr-TR"/>
              </w:rPr>
              <w:t>5</w:t>
            </w:r>
          </w:p>
        </w:tc>
        <w:tc>
          <w:tcPr>
            <w:tcW w:w="4621" w:type="dxa"/>
            <w:tcBorders>
              <w:top w:val="nil"/>
              <w:left w:val="nil"/>
              <w:bottom w:val="single" w:sz="8" w:space="0" w:color="auto"/>
              <w:right w:val="single" w:sz="8" w:space="0" w:color="auto"/>
            </w:tcBorders>
            <w:shd w:val="clear" w:color="auto" w:fill="auto"/>
            <w:noWrap/>
            <w:vAlign w:val="center"/>
            <w:hideMark/>
          </w:tcPr>
          <w:p w14:paraId="5C05DC32" w14:textId="77777777" w:rsidR="00F059BA" w:rsidRPr="00005453" w:rsidRDefault="00F059BA" w:rsidP="00F059BA">
            <w:pPr>
              <w:rPr>
                <w:color w:val="000000"/>
                <w:sz w:val="18"/>
                <w:szCs w:val="18"/>
                <w:lang w:eastAsia="tr-TR"/>
              </w:rPr>
            </w:pPr>
            <w:r w:rsidRPr="00005453">
              <w:rPr>
                <w:color w:val="000000"/>
                <w:sz w:val="18"/>
                <w:szCs w:val="18"/>
                <w:lang w:eastAsia="tr-TR"/>
              </w:rPr>
              <w:t>Uluslararası teşkilatlardan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67DD56A8" w14:textId="4B251C6C"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31526BD6" w14:textId="69C02A82"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1FFAD6F" w14:textId="0C2B9DD0"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08AD5A1D" w14:textId="0051ED36"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D66B564" w14:textId="6205F061"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849B9A2" w14:textId="18E3A92F"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F6362E0" w14:textId="70DE402B"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52D52236" w14:textId="1950B87F"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558E4EC1" w14:textId="48C291D0"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4F70137C" w14:textId="6B60C2CF"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19A85FEE" w14:textId="7A1E6EC4" w:rsidR="00F059BA" w:rsidRPr="00005453" w:rsidRDefault="00F059BA" w:rsidP="00F059BA">
            <w:pPr>
              <w:jc w:val="right"/>
              <w:rPr>
                <w:color w:val="000000"/>
                <w:sz w:val="18"/>
                <w:szCs w:val="18"/>
                <w:lang w:eastAsia="tr-TR"/>
              </w:rPr>
            </w:pPr>
            <w:r w:rsidRPr="00005453">
              <w:rPr>
                <w:color w:val="000000"/>
                <w:sz w:val="18"/>
                <w:szCs w:val="18"/>
              </w:rPr>
              <w:t>-</w:t>
            </w:r>
          </w:p>
        </w:tc>
      </w:tr>
      <w:tr w:rsidR="00F059BA" w:rsidRPr="00005453" w14:paraId="33556E43"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EA10073" w14:textId="77777777" w:rsidR="00F059BA" w:rsidRPr="00005453" w:rsidRDefault="00F059BA" w:rsidP="00F059BA">
            <w:pPr>
              <w:jc w:val="right"/>
              <w:rPr>
                <w:color w:val="000000"/>
                <w:sz w:val="18"/>
                <w:szCs w:val="18"/>
                <w:lang w:eastAsia="tr-TR"/>
              </w:rPr>
            </w:pPr>
            <w:r w:rsidRPr="00005453">
              <w:rPr>
                <w:color w:val="000000"/>
                <w:sz w:val="18"/>
                <w:szCs w:val="18"/>
                <w:lang w:eastAsia="tr-TR"/>
              </w:rPr>
              <w:t>6</w:t>
            </w:r>
          </w:p>
        </w:tc>
        <w:tc>
          <w:tcPr>
            <w:tcW w:w="4621" w:type="dxa"/>
            <w:tcBorders>
              <w:top w:val="nil"/>
              <w:left w:val="nil"/>
              <w:bottom w:val="single" w:sz="8" w:space="0" w:color="auto"/>
              <w:right w:val="single" w:sz="8" w:space="0" w:color="auto"/>
            </w:tcBorders>
            <w:shd w:val="clear" w:color="auto" w:fill="auto"/>
            <w:noWrap/>
            <w:vAlign w:val="center"/>
            <w:hideMark/>
          </w:tcPr>
          <w:p w14:paraId="019B3C49" w14:textId="77777777" w:rsidR="00F059BA" w:rsidRPr="00005453" w:rsidRDefault="00F059BA" w:rsidP="00F059BA">
            <w:pPr>
              <w:rPr>
                <w:color w:val="000000"/>
                <w:sz w:val="18"/>
                <w:szCs w:val="18"/>
                <w:lang w:eastAsia="tr-TR"/>
              </w:rPr>
            </w:pPr>
            <w:r w:rsidRPr="00005453">
              <w:rPr>
                <w:color w:val="000000"/>
                <w:sz w:val="18"/>
                <w:szCs w:val="18"/>
                <w:lang w:eastAsia="tr-TR"/>
              </w:rPr>
              <w:t>Bankalardan ve aracı kurumlardan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3B645D6A" w14:textId="7C8C40DF" w:rsidR="00F059BA" w:rsidRPr="00005453" w:rsidRDefault="00F059BA" w:rsidP="00F059BA">
            <w:pPr>
              <w:jc w:val="right"/>
              <w:rPr>
                <w:color w:val="000000"/>
                <w:sz w:val="18"/>
                <w:szCs w:val="18"/>
                <w:lang w:eastAsia="tr-TR"/>
              </w:rPr>
            </w:pPr>
            <w:r w:rsidRPr="00005453">
              <w:rPr>
                <w:color w:val="000000"/>
                <w:sz w:val="18"/>
                <w:szCs w:val="18"/>
              </w:rPr>
              <w:t>3,356,504</w:t>
            </w:r>
          </w:p>
        </w:tc>
        <w:tc>
          <w:tcPr>
            <w:tcW w:w="530" w:type="dxa"/>
            <w:tcBorders>
              <w:top w:val="nil"/>
              <w:left w:val="nil"/>
              <w:bottom w:val="single" w:sz="8" w:space="0" w:color="auto"/>
              <w:right w:val="single" w:sz="8" w:space="0" w:color="auto"/>
            </w:tcBorders>
            <w:shd w:val="clear" w:color="auto" w:fill="auto"/>
            <w:noWrap/>
            <w:vAlign w:val="center"/>
            <w:hideMark/>
          </w:tcPr>
          <w:p w14:paraId="14607B63" w14:textId="2BA1ABF7"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46A35AB" w14:textId="744EED6E" w:rsidR="00F059BA" w:rsidRPr="00005453" w:rsidRDefault="00F059BA" w:rsidP="00F059BA">
            <w:pPr>
              <w:jc w:val="right"/>
              <w:rPr>
                <w:color w:val="000000"/>
                <w:sz w:val="18"/>
                <w:szCs w:val="18"/>
                <w:lang w:eastAsia="tr-TR"/>
              </w:rPr>
            </w:pPr>
            <w:r w:rsidRPr="00005453">
              <w:rPr>
                <w:color w:val="000000"/>
                <w:sz w:val="18"/>
                <w:szCs w:val="18"/>
              </w:rPr>
              <w:t>11,713,363</w:t>
            </w:r>
          </w:p>
        </w:tc>
        <w:tc>
          <w:tcPr>
            <w:tcW w:w="500" w:type="dxa"/>
            <w:tcBorders>
              <w:top w:val="nil"/>
              <w:left w:val="nil"/>
              <w:bottom w:val="single" w:sz="8" w:space="0" w:color="auto"/>
              <w:right w:val="single" w:sz="8" w:space="0" w:color="auto"/>
            </w:tcBorders>
            <w:shd w:val="clear" w:color="auto" w:fill="auto"/>
            <w:noWrap/>
            <w:vAlign w:val="center"/>
            <w:hideMark/>
          </w:tcPr>
          <w:p w14:paraId="0999BD83" w14:textId="12F798D6"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A07FCA4" w14:textId="3FAF1798" w:rsidR="00F059BA" w:rsidRPr="00005453" w:rsidRDefault="00F059BA" w:rsidP="00F059BA">
            <w:pPr>
              <w:jc w:val="right"/>
              <w:rPr>
                <w:color w:val="000000"/>
                <w:sz w:val="18"/>
                <w:szCs w:val="18"/>
                <w:lang w:eastAsia="tr-TR"/>
              </w:rPr>
            </w:pPr>
            <w:r w:rsidRPr="00005453">
              <w:rPr>
                <w:color w:val="000000"/>
                <w:sz w:val="18"/>
                <w:szCs w:val="18"/>
              </w:rPr>
              <w:t>3,015,834</w:t>
            </w:r>
          </w:p>
        </w:tc>
        <w:tc>
          <w:tcPr>
            <w:tcW w:w="950" w:type="dxa"/>
            <w:tcBorders>
              <w:top w:val="nil"/>
              <w:left w:val="nil"/>
              <w:bottom w:val="single" w:sz="8" w:space="0" w:color="auto"/>
              <w:right w:val="single" w:sz="8" w:space="0" w:color="auto"/>
            </w:tcBorders>
            <w:shd w:val="clear" w:color="auto" w:fill="auto"/>
            <w:noWrap/>
            <w:vAlign w:val="center"/>
            <w:hideMark/>
          </w:tcPr>
          <w:p w14:paraId="4F74064E" w14:textId="3B28F17E"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122B94D" w14:textId="2CC54F5C" w:rsidR="00F059BA" w:rsidRPr="00005453" w:rsidRDefault="00F059BA" w:rsidP="00F059BA">
            <w:pPr>
              <w:jc w:val="right"/>
              <w:rPr>
                <w:color w:val="000000"/>
                <w:sz w:val="18"/>
                <w:szCs w:val="18"/>
                <w:lang w:eastAsia="tr-TR"/>
              </w:rPr>
            </w:pPr>
            <w:r w:rsidRPr="00005453">
              <w:rPr>
                <w:color w:val="000000"/>
                <w:sz w:val="18"/>
                <w:szCs w:val="18"/>
              </w:rPr>
              <w:t>1,237,497</w:t>
            </w:r>
          </w:p>
        </w:tc>
        <w:tc>
          <w:tcPr>
            <w:tcW w:w="725" w:type="dxa"/>
            <w:tcBorders>
              <w:top w:val="nil"/>
              <w:left w:val="nil"/>
              <w:bottom w:val="single" w:sz="8" w:space="0" w:color="auto"/>
              <w:right w:val="single" w:sz="8" w:space="0" w:color="auto"/>
            </w:tcBorders>
            <w:shd w:val="clear" w:color="auto" w:fill="auto"/>
            <w:noWrap/>
            <w:vAlign w:val="center"/>
            <w:hideMark/>
          </w:tcPr>
          <w:p w14:paraId="1C2B8615" w14:textId="28823512"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4CC39591" w14:textId="263AB34E"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064DAF86" w14:textId="34FD80EB"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6D5364F8" w14:textId="7C477914" w:rsidR="00F059BA" w:rsidRPr="00005453" w:rsidRDefault="00F059BA" w:rsidP="00F059BA">
            <w:pPr>
              <w:jc w:val="right"/>
              <w:rPr>
                <w:color w:val="000000"/>
                <w:sz w:val="18"/>
                <w:szCs w:val="18"/>
                <w:lang w:eastAsia="tr-TR"/>
              </w:rPr>
            </w:pPr>
            <w:r w:rsidRPr="00005453">
              <w:rPr>
                <w:color w:val="000000"/>
                <w:sz w:val="18"/>
                <w:szCs w:val="18"/>
              </w:rPr>
              <w:t>19,323,198</w:t>
            </w:r>
          </w:p>
        </w:tc>
      </w:tr>
      <w:tr w:rsidR="00F059BA" w:rsidRPr="00005453" w14:paraId="7A767D34"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F73D708" w14:textId="77777777" w:rsidR="00F059BA" w:rsidRPr="00005453" w:rsidRDefault="00F059BA" w:rsidP="00F059BA">
            <w:pPr>
              <w:jc w:val="right"/>
              <w:rPr>
                <w:color w:val="000000"/>
                <w:sz w:val="18"/>
                <w:szCs w:val="18"/>
                <w:lang w:eastAsia="tr-TR"/>
              </w:rPr>
            </w:pPr>
            <w:r w:rsidRPr="00005453">
              <w:rPr>
                <w:color w:val="000000"/>
                <w:sz w:val="18"/>
                <w:szCs w:val="18"/>
                <w:lang w:eastAsia="tr-TR"/>
              </w:rPr>
              <w:t>7</w:t>
            </w:r>
          </w:p>
        </w:tc>
        <w:tc>
          <w:tcPr>
            <w:tcW w:w="4621" w:type="dxa"/>
            <w:tcBorders>
              <w:top w:val="nil"/>
              <w:left w:val="nil"/>
              <w:bottom w:val="single" w:sz="8" w:space="0" w:color="auto"/>
              <w:right w:val="single" w:sz="8" w:space="0" w:color="auto"/>
            </w:tcBorders>
            <w:shd w:val="clear" w:color="auto" w:fill="auto"/>
            <w:noWrap/>
            <w:vAlign w:val="center"/>
            <w:hideMark/>
          </w:tcPr>
          <w:p w14:paraId="4A0D2DD0" w14:textId="77777777" w:rsidR="00F059BA" w:rsidRPr="00005453" w:rsidRDefault="00F059BA" w:rsidP="00F059BA">
            <w:pPr>
              <w:rPr>
                <w:color w:val="000000"/>
                <w:sz w:val="18"/>
                <w:szCs w:val="18"/>
                <w:lang w:eastAsia="tr-TR"/>
              </w:rPr>
            </w:pPr>
            <w:r w:rsidRPr="00005453">
              <w:rPr>
                <w:color w:val="000000"/>
                <w:sz w:val="18"/>
                <w:szCs w:val="18"/>
                <w:lang w:eastAsia="tr-TR"/>
              </w:rPr>
              <w:t>Kurumsal alacaklar</w:t>
            </w:r>
          </w:p>
        </w:tc>
        <w:tc>
          <w:tcPr>
            <w:tcW w:w="1040" w:type="dxa"/>
            <w:tcBorders>
              <w:top w:val="nil"/>
              <w:left w:val="nil"/>
              <w:bottom w:val="single" w:sz="8" w:space="0" w:color="auto"/>
              <w:right w:val="single" w:sz="8" w:space="0" w:color="auto"/>
            </w:tcBorders>
            <w:shd w:val="clear" w:color="auto" w:fill="auto"/>
            <w:noWrap/>
            <w:vAlign w:val="center"/>
            <w:hideMark/>
          </w:tcPr>
          <w:p w14:paraId="76A37195" w14:textId="5CFCFFEE" w:rsidR="00F059BA" w:rsidRPr="00005453" w:rsidRDefault="00F059BA" w:rsidP="00F059BA">
            <w:pPr>
              <w:jc w:val="right"/>
              <w:rPr>
                <w:color w:val="000000"/>
                <w:sz w:val="18"/>
                <w:szCs w:val="18"/>
                <w:lang w:eastAsia="tr-TR"/>
              </w:rPr>
            </w:pPr>
            <w:r w:rsidRPr="00005453">
              <w:rPr>
                <w:color w:val="000000"/>
                <w:sz w:val="18"/>
                <w:szCs w:val="18"/>
              </w:rPr>
              <w:t>14,259,705</w:t>
            </w:r>
          </w:p>
        </w:tc>
        <w:tc>
          <w:tcPr>
            <w:tcW w:w="530" w:type="dxa"/>
            <w:tcBorders>
              <w:top w:val="nil"/>
              <w:left w:val="nil"/>
              <w:bottom w:val="single" w:sz="8" w:space="0" w:color="auto"/>
              <w:right w:val="single" w:sz="8" w:space="0" w:color="auto"/>
            </w:tcBorders>
            <w:shd w:val="clear" w:color="auto" w:fill="auto"/>
            <w:noWrap/>
            <w:vAlign w:val="center"/>
            <w:hideMark/>
          </w:tcPr>
          <w:p w14:paraId="774945FB" w14:textId="70F33D7A"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10E9AE7" w14:textId="3E8A605D" w:rsidR="00F059BA" w:rsidRPr="00005453" w:rsidRDefault="00F059BA" w:rsidP="00F059BA">
            <w:pPr>
              <w:jc w:val="right"/>
              <w:rPr>
                <w:color w:val="000000"/>
                <w:sz w:val="18"/>
                <w:szCs w:val="18"/>
                <w:lang w:eastAsia="tr-TR"/>
              </w:rPr>
            </w:pPr>
            <w:r w:rsidRPr="00005453">
              <w:rPr>
                <w:color w:val="000000"/>
                <w:sz w:val="18"/>
                <w:szCs w:val="18"/>
              </w:rPr>
              <w:t>3,530,939</w:t>
            </w:r>
          </w:p>
        </w:tc>
        <w:tc>
          <w:tcPr>
            <w:tcW w:w="500" w:type="dxa"/>
            <w:tcBorders>
              <w:top w:val="nil"/>
              <w:left w:val="nil"/>
              <w:bottom w:val="single" w:sz="8" w:space="0" w:color="auto"/>
              <w:right w:val="single" w:sz="8" w:space="0" w:color="auto"/>
            </w:tcBorders>
            <w:shd w:val="clear" w:color="auto" w:fill="auto"/>
            <w:noWrap/>
            <w:vAlign w:val="center"/>
            <w:hideMark/>
          </w:tcPr>
          <w:p w14:paraId="38597F56" w14:textId="5D9FB11E"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C76E3E7" w14:textId="525AA3DD"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811F0B4" w14:textId="7A4D389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34C16C9" w14:textId="7F7FE000" w:rsidR="00F059BA" w:rsidRPr="00005453" w:rsidRDefault="00F059BA" w:rsidP="00F059BA">
            <w:pPr>
              <w:jc w:val="right"/>
              <w:rPr>
                <w:color w:val="000000"/>
                <w:sz w:val="18"/>
                <w:szCs w:val="18"/>
                <w:lang w:eastAsia="tr-TR"/>
              </w:rPr>
            </w:pPr>
            <w:r w:rsidRPr="00005453">
              <w:rPr>
                <w:color w:val="000000"/>
                <w:sz w:val="18"/>
                <w:szCs w:val="18"/>
              </w:rPr>
              <w:t>60,415,562</w:t>
            </w:r>
          </w:p>
        </w:tc>
        <w:tc>
          <w:tcPr>
            <w:tcW w:w="725" w:type="dxa"/>
            <w:tcBorders>
              <w:top w:val="nil"/>
              <w:left w:val="nil"/>
              <w:bottom w:val="single" w:sz="8" w:space="0" w:color="auto"/>
              <w:right w:val="single" w:sz="8" w:space="0" w:color="auto"/>
            </w:tcBorders>
            <w:shd w:val="clear" w:color="auto" w:fill="auto"/>
            <w:noWrap/>
            <w:vAlign w:val="center"/>
            <w:hideMark/>
          </w:tcPr>
          <w:p w14:paraId="5912FE5A" w14:textId="67C14B38"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48B49AA9" w14:textId="7D6FA0D8"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539E28AC" w14:textId="3E7A8830"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758B422C" w14:textId="7DC76DE1" w:rsidR="00F059BA" w:rsidRPr="00005453" w:rsidRDefault="00F059BA" w:rsidP="00F059BA">
            <w:pPr>
              <w:jc w:val="right"/>
              <w:rPr>
                <w:color w:val="000000"/>
                <w:sz w:val="18"/>
                <w:szCs w:val="18"/>
                <w:lang w:eastAsia="tr-TR"/>
              </w:rPr>
            </w:pPr>
            <w:r w:rsidRPr="00005453">
              <w:rPr>
                <w:color w:val="000000"/>
                <w:sz w:val="18"/>
                <w:szCs w:val="18"/>
              </w:rPr>
              <w:t>78,206,206</w:t>
            </w:r>
          </w:p>
        </w:tc>
      </w:tr>
      <w:tr w:rsidR="00F059BA" w:rsidRPr="00005453" w14:paraId="33C3EAA0"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EAE3166" w14:textId="77777777" w:rsidR="00F059BA" w:rsidRPr="00005453" w:rsidRDefault="00F059BA" w:rsidP="00F059BA">
            <w:pPr>
              <w:jc w:val="right"/>
              <w:rPr>
                <w:color w:val="000000"/>
                <w:sz w:val="18"/>
                <w:szCs w:val="18"/>
                <w:lang w:eastAsia="tr-TR"/>
              </w:rPr>
            </w:pPr>
            <w:r w:rsidRPr="00005453">
              <w:rPr>
                <w:color w:val="000000"/>
                <w:sz w:val="18"/>
                <w:szCs w:val="18"/>
                <w:lang w:eastAsia="tr-TR"/>
              </w:rPr>
              <w:t>8</w:t>
            </w:r>
          </w:p>
        </w:tc>
        <w:tc>
          <w:tcPr>
            <w:tcW w:w="4621" w:type="dxa"/>
            <w:tcBorders>
              <w:top w:val="nil"/>
              <w:left w:val="nil"/>
              <w:bottom w:val="single" w:sz="8" w:space="0" w:color="auto"/>
              <w:right w:val="single" w:sz="8" w:space="0" w:color="auto"/>
            </w:tcBorders>
            <w:shd w:val="clear" w:color="auto" w:fill="auto"/>
            <w:noWrap/>
            <w:vAlign w:val="center"/>
            <w:hideMark/>
          </w:tcPr>
          <w:p w14:paraId="6BA9D31E" w14:textId="77777777" w:rsidR="00F059BA" w:rsidRPr="00005453" w:rsidRDefault="00F059BA" w:rsidP="00F059BA">
            <w:pPr>
              <w:rPr>
                <w:color w:val="000000"/>
                <w:sz w:val="18"/>
                <w:szCs w:val="18"/>
                <w:lang w:eastAsia="tr-TR"/>
              </w:rPr>
            </w:pPr>
            <w:r w:rsidRPr="00005453">
              <w:rPr>
                <w:color w:val="000000"/>
                <w:sz w:val="18"/>
                <w:szCs w:val="18"/>
                <w:lang w:eastAsia="tr-TR"/>
              </w:rPr>
              <w:t>Perakende alacaklar</w:t>
            </w:r>
          </w:p>
        </w:tc>
        <w:tc>
          <w:tcPr>
            <w:tcW w:w="1040" w:type="dxa"/>
            <w:tcBorders>
              <w:top w:val="nil"/>
              <w:left w:val="nil"/>
              <w:bottom w:val="single" w:sz="8" w:space="0" w:color="auto"/>
              <w:right w:val="single" w:sz="8" w:space="0" w:color="auto"/>
            </w:tcBorders>
            <w:shd w:val="clear" w:color="auto" w:fill="auto"/>
            <w:noWrap/>
            <w:vAlign w:val="center"/>
            <w:hideMark/>
          </w:tcPr>
          <w:p w14:paraId="6D152786" w14:textId="66CF45C6" w:rsidR="00F059BA" w:rsidRPr="00005453" w:rsidRDefault="00F059BA" w:rsidP="00F059BA">
            <w:pPr>
              <w:jc w:val="right"/>
              <w:rPr>
                <w:color w:val="000000"/>
                <w:sz w:val="18"/>
                <w:szCs w:val="18"/>
                <w:lang w:eastAsia="tr-TR"/>
              </w:rPr>
            </w:pPr>
            <w:r w:rsidRPr="00005453">
              <w:rPr>
                <w:color w:val="000000"/>
                <w:sz w:val="18"/>
                <w:szCs w:val="18"/>
              </w:rPr>
              <w:t>10,577,218</w:t>
            </w:r>
          </w:p>
        </w:tc>
        <w:tc>
          <w:tcPr>
            <w:tcW w:w="530" w:type="dxa"/>
            <w:tcBorders>
              <w:top w:val="nil"/>
              <w:left w:val="nil"/>
              <w:bottom w:val="single" w:sz="8" w:space="0" w:color="auto"/>
              <w:right w:val="single" w:sz="8" w:space="0" w:color="auto"/>
            </w:tcBorders>
            <w:shd w:val="clear" w:color="auto" w:fill="auto"/>
            <w:noWrap/>
            <w:vAlign w:val="center"/>
            <w:hideMark/>
          </w:tcPr>
          <w:p w14:paraId="5F9A22CF" w14:textId="38B4B2A5"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7364507" w14:textId="07362522" w:rsidR="00F059BA" w:rsidRPr="00005453" w:rsidRDefault="00F059BA" w:rsidP="00F059BA">
            <w:pPr>
              <w:jc w:val="right"/>
              <w:rPr>
                <w:color w:val="000000"/>
                <w:sz w:val="18"/>
                <w:szCs w:val="18"/>
                <w:lang w:eastAsia="tr-TR"/>
              </w:rPr>
            </w:pPr>
            <w:r w:rsidRPr="00005453">
              <w:rPr>
                <w:color w:val="000000"/>
                <w:sz w:val="18"/>
                <w:szCs w:val="18"/>
              </w:rPr>
              <w:t>651,302</w:t>
            </w:r>
          </w:p>
        </w:tc>
        <w:tc>
          <w:tcPr>
            <w:tcW w:w="500" w:type="dxa"/>
            <w:tcBorders>
              <w:top w:val="nil"/>
              <w:left w:val="nil"/>
              <w:bottom w:val="single" w:sz="8" w:space="0" w:color="auto"/>
              <w:right w:val="single" w:sz="8" w:space="0" w:color="auto"/>
            </w:tcBorders>
            <w:shd w:val="clear" w:color="auto" w:fill="auto"/>
            <w:noWrap/>
            <w:vAlign w:val="center"/>
            <w:hideMark/>
          </w:tcPr>
          <w:p w14:paraId="3802F19D" w14:textId="433B3DE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3FBE63B" w14:textId="52C1A0E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1BC493D" w14:textId="69459DCB" w:rsidR="00F059BA" w:rsidRPr="00005453" w:rsidRDefault="00F059BA" w:rsidP="00F059BA">
            <w:pPr>
              <w:jc w:val="right"/>
              <w:rPr>
                <w:color w:val="000000"/>
                <w:sz w:val="18"/>
                <w:szCs w:val="18"/>
                <w:lang w:eastAsia="tr-TR"/>
              </w:rPr>
            </w:pPr>
            <w:r w:rsidRPr="00005453">
              <w:rPr>
                <w:color w:val="000000"/>
                <w:sz w:val="18"/>
                <w:szCs w:val="18"/>
              </w:rPr>
              <w:t>40,258,554</w:t>
            </w:r>
          </w:p>
        </w:tc>
        <w:tc>
          <w:tcPr>
            <w:tcW w:w="950" w:type="dxa"/>
            <w:tcBorders>
              <w:top w:val="nil"/>
              <w:left w:val="nil"/>
              <w:bottom w:val="single" w:sz="8" w:space="0" w:color="auto"/>
              <w:right w:val="single" w:sz="8" w:space="0" w:color="auto"/>
            </w:tcBorders>
            <w:shd w:val="clear" w:color="auto" w:fill="auto"/>
            <w:noWrap/>
            <w:vAlign w:val="center"/>
            <w:hideMark/>
          </w:tcPr>
          <w:p w14:paraId="3F5280E7" w14:textId="2EC36E95" w:rsidR="00F059BA" w:rsidRPr="00005453" w:rsidRDefault="00F059BA" w:rsidP="00F059BA">
            <w:pPr>
              <w:jc w:val="right"/>
              <w:rPr>
                <w:color w:val="000000"/>
                <w:sz w:val="18"/>
                <w:szCs w:val="18"/>
                <w:lang w:eastAsia="tr-TR"/>
              </w:rPr>
            </w:pPr>
            <w:r w:rsidRPr="00005453">
              <w:rPr>
                <w:color w:val="000000"/>
                <w:sz w:val="18"/>
                <w:szCs w:val="18"/>
              </w:rPr>
              <w:t>158,901</w:t>
            </w:r>
          </w:p>
        </w:tc>
        <w:tc>
          <w:tcPr>
            <w:tcW w:w="725" w:type="dxa"/>
            <w:tcBorders>
              <w:top w:val="nil"/>
              <w:left w:val="nil"/>
              <w:bottom w:val="single" w:sz="8" w:space="0" w:color="auto"/>
              <w:right w:val="single" w:sz="8" w:space="0" w:color="auto"/>
            </w:tcBorders>
            <w:shd w:val="clear" w:color="auto" w:fill="auto"/>
            <w:noWrap/>
            <w:vAlign w:val="center"/>
            <w:hideMark/>
          </w:tcPr>
          <w:p w14:paraId="5B27EC4B" w14:textId="1A760AF2"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25A0D2F0" w14:textId="3D8E9DF6"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25C904ED" w14:textId="234EBB1D"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2BCEB35E" w14:textId="1E6D0BB9" w:rsidR="00F059BA" w:rsidRPr="00005453" w:rsidRDefault="00F059BA" w:rsidP="00F059BA">
            <w:pPr>
              <w:jc w:val="right"/>
              <w:rPr>
                <w:color w:val="000000"/>
                <w:sz w:val="18"/>
                <w:szCs w:val="18"/>
                <w:lang w:eastAsia="tr-TR"/>
              </w:rPr>
            </w:pPr>
            <w:r w:rsidRPr="00005453">
              <w:rPr>
                <w:color w:val="000000"/>
                <w:sz w:val="18"/>
                <w:szCs w:val="18"/>
              </w:rPr>
              <w:t>51,645,975</w:t>
            </w:r>
          </w:p>
        </w:tc>
      </w:tr>
      <w:tr w:rsidR="00F059BA" w:rsidRPr="00005453" w14:paraId="65552D52"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E0CCEEB" w14:textId="77777777" w:rsidR="00F059BA" w:rsidRPr="00005453" w:rsidRDefault="00F059BA" w:rsidP="00F059BA">
            <w:pPr>
              <w:jc w:val="right"/>
              <w:rPr>
                <w:color w:val="000000"/>
                <w:sz w:val="18"/>
                <w:szCs w:val="18"/>
                <w:lang w:eastAsia="tr-TR"/>
              </w:rPr>
            </w:pPr>
            <w:r w:rsidRPr="00005453">
              <w:rPr>
                <w:color w:val="000000"/>
                <w:sz w:val="18"/>
                <w:szCs w:val="18"/>
                <w:lang w:eastAsia="tr-TR"/>
              </w:rPr>
              <w:t>9</w:t>
            </w:r>
          </w:p>
        </w:tc>
        <w:tc>
          <w:tcPr>
            <w:tcW w:w="4621" w:type="dxa"/>
            <w:tcBorders>
              <w:top w:val="nil"/>
              <w:left w:val="nil"/>
              <w:bottom w:val="single" w:sz="8" w:space="0" w:color="auto"/>
              <w:right w:val="single" w:sz="8" w:space="0" w:color="auto"/>
            </w:tcBorders>
            <w:shd w:val="clear" w:color="auto" w:fill="auto"/>
            <w:noWrap/>
            <w:vAlign w:val="center"/>
            <w:hideMark/>
          </w:tcPr>
          <w:p w14:paraId="4C6B028F" w14:textId="77777777" w:rsidR="00F059BA" w:rsidRPr="00005453" w:rsidRDefault="00F059BA" w:rsidP="00F059BA">
            <w:pPr>
              <w:rPr>
                <w:color w:val="000000"/>
                <w:sz w:val="18"/>
                <w:szCs w:val="18"/>
                <w:lang w:eastAsia="tr-TR"/>
              </w:rPr>
            </w:pPr>
            <w:r w:rsidRPr="00005453">
              <w:rPr>
                <w:color w:val="000000"/>
                <w:sz w:val="18"/>
                <w:szCs w:val="18"/>
                <w:lang w:eastAsia="tr-TR"/>
              </w:rPr>
              <w:t>İkamet amaçlı gayrimenkul ipoteği ile teminatlandırılan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404E0516" w14:textId="586776EC" w:rsidR="00F059BA" w:rsidRPr="00005453" w:rsidRDefault="00F059BA" w:rsidP="00F059BA">
            <w:pPr>
              <w:jc w:val="right"/>
              <w:rPr>
                <w:color w:val="000000"/>
                <w:sz w:val="18"/>
                <w:szCs w:val="18"/>
                <w:lang w:eastAsia="tr-TR"/>
              </w:rPr>
            </w:pPr>
            <w:r w:rsidRPr="00005453">
              <w:rPr>
                <w:color w:val="000000"/>
                <w:sz w:val="18"/>
                <w:szCs w:val="18"/>
              </w:rPr>
              <w:t>2,255,434</w:t>
            </w:r>
          </w:p>
        </w:tc>
        <w:tc>
          <w:tcPr>
            <w:tcW w:w="530" w:type="dxa"/>
            <w:tcBorders>
              <w:top w:val="nil"/>
              <w:left w:val="nil"/>
              <w:bottom w:val="single" w:sz="8" w:space="0" w:color="auto"/>
              <w:right w:val="single" w:sz="8" w:space="0" w:color="auto"/>
            </w:tcBorders>
            <w:shd w:val="clear" w:color="auto" w:fill="auto"/>
            <w:noWrap/>
            <w:vAlign w:val="center"/>
            <w:hideMark/>
          </w:tcPr>
          <w:p w14:paraId="0C25EE5E" w14:textId="144A16DA"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63649AB" w14:textId="795B57DF" w:rsidR="00F059BA" w:rsidRPr="00005453" w:rsidRDefault="00F059BA" w:rsidP="00F059BA">
            <w:pPr>
              <w:jc w:val="right"/>
              <w:rPr>
                <w:color w:val="000000"/>
                <w:sz w:val="18"/>
                <w:szCs w:val="18"/>
                <w:lang w:eastAsia="tr-TR"/>
              </w:rPr>
            </w:pPr>
            <w:r w:rsidRPr="00005453">
              <w:rPr>
                <w:color w:val="000000"/>
                <w:sz w:val="18"/>
                <w:szCs w:val="18"/>
              </w:rPr>
              <w:t>364,493</w:t>
            </w:r>
          </w:p>
        </w:tc>
        <w:tc>
          <w:tcPr>
            <w:tcW w:w="500" w:type="dxa"/>
            <w:tcBorders>
              <w:top w:val="nil"/>
              <w:left w:val="nil"/>
              <w:bottom w:val="single" w:sz="8" w:space="0" w:color="auto"/>
              <w:right w:val="single" w:sz="8" w:space="0" w:color="auto"/>
            </w:tcBorders>
            <w:shd w:val="clear" w:color="auto" w:fill="auto"/>
            <w:noWrap/>
            <w:vAlign w:val="center"/>
            <w:hideMark/>
          </w:tcPr>
          <w:p w14:paraId="0BB4DD78" w14:textId="40470C6F"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4A10ED9" w14:textId="00B4D313"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1C374E6" w14:textId="34121DBA"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2685BC4" w14:textId="360B274A"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58956197" w14:textId="64EF0222"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75CDD391" w14:textId="4031B602"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743A4939" w14:textId="4E203488" w:rsidR="00F059BA" w:rsidRPr="00005453" w:rsidRDefault="00F059BA" w:rsidP="00F059BA">
            <w:pPr>
              <w:jc w:val="right"/>
              <w:rPr>
                <w:color w:val="000000"/>
                <w:sz w:val="18"/>
                <w:szCs w:val="18"/>
                <w:lang w:eastAsia="tr-TR"/>
              </w:rPr>
            </w:pPr>
            <w:r w:rsidRPr="00005453">
              <w:rPr>
                <w:color w:val="000000"/>
                <w:sz w:val="18"/>
                <w:szCs w:val="18"/>
              </w:rPr>
              <w:t>17,836,923</w:t>
            </w:r>
          </w:p>
        </w:tc>
        <w:tc>
          <w:tcPr>
            <w:tcW w:w="1040" w:type="dxa"/>
            <w:tcBorders>
              <w:top w:val="nil"/>
              <w:left w:val="nil"/>
              <w:bottom w:val="single" w:sz="8" w:space="0" w:color="auto"/>
              <w:right w:val="single" w:sz="8" w:space="0" w:color="auto"/>
            </w:tcBorders>
            <w:shd w:val="clear" w:color="auto" w:fill="auto"/>
            <w:noWrap/>
            <w:vAlign w:val="center"/>
            <w:hideMark/>
          </w:tcPr>
          <w:p w14:paraId="7B18111B" w14:textId="448C1C06" w:rsidR="00F059BA" w:rsidRPr="00005453" w:rsidRDefault="00F059BA" w:rsidP="00F059BA">
            <w:pPr>
              <w:jc w:val="right"/>
              <w:rPr>
                <w:color w:val="000000"/>
                <w:sz w:val="18"/>
                <w:szCs w:val="18"/>
                <w:lang w:eastAsia="tr-TR"/>
              </w:rPr>
            </w:pPr>
            <w:r w:rsidRPr="00005453">
              <w:rPr>
                <w:color w:val="000000"/>
                <w:sz w:val="18"/>
                <w:szCs w:val="18"/>
              </w:rPr>
              <w:t>20,456,850</w:t>
            </w:r>
          </w:p>
        </w:tc>
      </w:tr>
      <w:tr w:rsidR="00F059BA" w:rsidRPr="00005453" w14:paraId="52C762DE"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0FB88E04" w14:textId="77777777" w:rsidR="00F059BA" w:rsidRPr="00005453" w:rsidRDefault="00F059BA" w:rsidP="00F059BA">
            <w:pPr>
              <w:jc w:val="right"/>
              <w:rPr>
                <w:color w:val="000000"/>
                <w:sz w:val="18"/>
                <w:szCs w:val="18"/>
                <w:lang w:eastAsia="tr-TR"/>
              </w:rPr>
            </w:pPr>
            <w:r w:rsidRPr="00005453">
              <w:rPr>
                <w:color w:val="000000"/>
                <w:sz w:val="18"/>
                <w:szCs w:val="18"/>
                <w:lang w:eastAsia="tr-TR"/>
              </w:rPr>
              <w:t>10</w:t>
            </w:r>
          </w:p>
        </w:tc>
        <w:tc>
          <w:tcPr>
            <w:tcW w:w="4621" w:type="dxa"/>
            <w:tcBorders>
              <w:top w:val="nil"/>
              <w:left w:val="nil"/>
              <w:bottom w:val="single" w:sz="8" w:space="0" w:color="auto"/>
              <w:right w:val="single" w:sz="8" w:space="0" w:color="auto"/>
            </w:tcBorders>
            <w:shd w:val="clear" w:color="auto" w:fill="auto"/>
            <w:noWrap/>
            <w:vAlign w:val="center"/>
            <w:hideMark/>
          </w:tcPr>
          <w:p w14:paraId="362CE028" w14:textId="77777777" w:rsidR="00F059BA" w:rsidRPr="00005453" w:rsidRDefault="00F059BA" w:rsidP="00F059BA">
            <w:pPr>
              <w:rPr>
                <w:color w:val="000000"/>
                <w:sz w:val="18"/>
                <w:szCs w:val="18"/>
                <w:lang w:eastAsia="tr-TR"/>
              </w:rPr>
            </w:pPr>
            <w:r w:rsidRPr="00005453">
              <w:rPr>
                <w:color w:val="000000"/>
                <w:sz w:val="18"/>
                <w:szCs w:val="18"/>
                <w:lang w:eastAsia="tr-TR"/>
              </w:rPr>
              <w:t>Ticari amaçlı gayrimenkul ipoteği ile teminatlandırılan alacaklar</w:t>
            </w:r>
          </w:p>
        </w:tc>
        <w:tc>
          <w:tcPr>
            <w:tcW w:w="1040" w:type="dxa"/>
            <w:tcBorders>
              <w:top w:val="nil"/>
              <w:left w:val="nil"/>
              <w:bottom w:val="single" w:sz="8" w:space="0" w:color="auto"/>
              <w:right w:val="single" w:sz="8" w:space="0" w:color="auto"/>
            </w:tcBorders>
            <w:shd w:val="clear" w:color="auto" w:fill="auto"/>
            <w:noWrap/>
            <w:vAlign w:val="center"/>
            <w:hideMark/>
          </w:tcPr>
          <w:p w14:paraId="72A03AEA" w14:textId="4E1BEB1E" w:rsidR="00F059BA" w:rsidRPr="00005453" w:rsidRDefault="00F059BA" w:rsidP="00F059BA">
            <w:pPr>
              <w:jc w:val="right"/>
              <w:rPr>
                <w:color w:val="000000"/>
                <w:sz w:val="18"/>
                <w:szCs w:val="18"/>
                <w:lang w:eastAsia="tr-TR"/>
              </w:rPr>
            </w:pPr>
            <w:r w:rsidRPr="00005453">
              <w:rPr>
                <w:color w:val="000000"/>
                <w:sz w:val="18"/>
                <w:szCs w:val="18"/>
              </w:rPr>
              <w:t>4,440,938</w:t>
            </w:r>
          </w:p>
        </w:tc>
        <w:tc>
          <w:tcPr>
            <w:tcW w:w="530" w:type="dxa"/>
            <w:tcBorders>
              <w:top w:val="nil"/>
              <w:left w:val="nil"/>
              <w:bottom w:val="single" w:sz="8" w:space="0" w:color="auto"/>
              <w:right w:val="single" w:sz="8" w:space="0" w:color="auto"/>
            </w:tcBorders>
            <w:shd w:val="clear" w:color="auto" w:fill="auto"/>
            <w:noWrap/>
            <w:vAlign w:val="center"/>
            <w:hideMark/>
          </w:tcPr>
          <w:p w14:paraId="080121CA" w14:textId="2017CF0B"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E7A02BF" w14:textId="4C6E971C" w:rsidR="00F059BA" w:rsidRPr="00005453" w:rsidRDefault="00F059BA" w:rsidP="00F059BA">
            <w:pPr>
              <w:jc w:val="right"/>
              <w:rPr>
                <w:color w:val="000000"/>
                <w:sz w:val="18"/>
                <w:szCs w:val="18"/>
                <w:lang w:eastAsia="tr-TR"/>
              </w:rPr>
            </w:pPr>
            <w:r w:rsidRPr="00005453">
              <w:rPr>
                <w:color w:val="000000"/>
                <w:sz w:val="18"/>
                <w:szCs w:val="18"/>
              </w:rPr>
              <w:t>1,602,236</w:t>
            </w:r>
          </w:p>
        </w:tc>
        <w:tc>
          <w:tcPr>
            <w:tcW w:w="500" w:type="dxa"/>
            <w:tcBorders>
              <w:top w:val="nil"/>
              <w:left w:val="nil"/>
              <w:bottom w:val="single" w:sz="8" w:space="0" w:color="auto"/>
              <w:right w:val="single" w:sz="8" w:space="0" w:color="auto"/>
            </w:tcBorders>
            <w:shd w:val="clear" w:color="auto" w:fill="auto"/>
            <w:noWrap/>
            <w:vAlign w:val="center"/>
            <w:hideMark/>
          </w:tcPr>
          <w:p w14:paraId="19C8345A" w14:textId="49A7FD44"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08D27CE" w14:textId="4CABE95A" w:rsidR="00F059BA" w:rsidRPr="00005453" w:rsidRDefault="00F059BA" w:rsidP="00F059BA">
            <w:pPr>
              <w:jc w:val="right"/>
              <w:rPr>
                <w:color w:val="000000"/>
                <w:sz w:val="18"/>
                <w:szCs w:val="18"/>
                <w:lang w:eastAsia="tr-TR"/>
              </w:rPr>
            </w:pPr>
            <w:r w:rsidRPr="00005453">
              <w:rPr>
                <w:color w:val="000000"/>
                <w:sz w:val="18"/>
                <w:szCs w:val="18"/>
              </w:rPr>
              <w:t>19,108,771</w:t>
            </w:r>
          </w:p>
        </w:tc>
        <w:tc>
          <w:tcPr>
            <w:tcW w:w="950" w:type="dxa"/>
            <w:tcBorders>
              <w:top w:val="nil"/>
              <w:left w:val="nil"/>
              <w:bottom w:val="single" w:sz="8" w:space="0" w:color="auto"/>
              <w:right w:val="single" w:sz="8" w:space="0" w:color="auto"/>
            </w:tcBorders>
            <w:shd w:val="clear" w:color="auto" w:fill="auto"/>
            <w:noWrap/>
            <w:vAlign w:val="center"/>
            <w:hideMark/>
          </w:tcPr>
          <w:p w14:paraId="323CCBC6" w14:textId="7A23FEC1"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1623EC6" w14:textId="51F122E1" w:rsidR="00F059BA" w:rsidRPr="00005453" w:rsidRDefault="00F059BA" w:rsidP="00F059BA">
            <w:pPr>
              <w:jc w:val="right"/>
              <w:rPr>
                <w:color w:val="000000"/>
                <w:sz w:val="18"/>
                <w:szCs w:val="18"/>
                <w:lang w:eastAsia="tr-TR"/>
              </w:rPr>
            </w:pPr>
            <w:r w:rsidRPr="00005453">
              <w:rPr>
                <w:color w:val="000000"/>
                <w:sz w:val="18"/>
                <w:szCs w:val="18"/>
              </w:rPr>
              <w:t>9,573,037</w:t>
            </w:r>
          </w:p>
        </w:tc>
        <w:tc>
          <w:tcPr>
            <w:tcW w:w="725" w:type="dxa"/>
            <w:tcBorders>
              <w:top w:val="nil"/>
              <w:left w:val="nil"/>
              <w:bottom w:val="single" w:sz="8" w:space="0" w:color="auto"/>
              <w:right w:val="single" w:sz="8" w:space="0" w:color="auto"/>
            </w:tcBorders>
            <w:shd w:val="clear" w:color="auto" w:fill="auto"/>
            <w:noWrap/>
            <w:vAlign w:val="center"/>
            <w:hideMark/>
          </w:tcPr>
          <w:p w14:paraId="110F1596" w14:textId="2AD3F9D1"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0ABBE54D" w14:textId="212385DE"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65586B39" w14:textId="6AD35F4D"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0C166904" w14:textId="49FBFC04" w:rsidR="00F059BA" w:rsidRPr="00005453" w:rsidRDefault="00F059BA" w:rsidP="00F059BA">
            <w:pPr>
              <w:jc w:val="right"/>
              <w:rPr>
                <w:color w:val="000000"/>
                <w:sz w:val="18"/>
                <w:szCs w:val="18"/>
                <w:lang w:eastAsia="tr-TR"/>
              </w:rPr>
            </w:pPr>
            <w:r w:rsidRPr="00005453">
              <w:rPr>
                <w:color w:val="000000"/>
                <w:sz w:val="18"/>
                <w:szCs w:val="18"/>
              </w:rPr>
              <w:t>34,724,982</w:t>
            </w:r>
          </w:p>
        </w:tc>
      </w:tr>
      <w:tr w:rsidR="00F059BA" w:rsidRPr="00005453" w14:paraId="138A10C7"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628C321" w14:textId="77777777" w:rsidR="00F059BA" w:rsidRPr="00005453" w:rsidRDefault="00F059BA" w:rsidP="00F059BA">
            <w:pPr>
              <w:jc w:val="right"/>
              <w:rPr>
                <w:color w:val="000000"/>
                <w:sz w:val="18"/>
                <w:szCs w:val="18"/>
                <w:lang w:eastAsia="tr-TR"/>
              </w:rPr>
            </w:pPr>
            <w:r w:rsidRPr="00005453">
              <w:rPr>
                <w:color w:val="000000"/>
                <w:sz w:val="18"/>
                <w:szCs w:val="18"/>
                <w:lang w:eastAsia="tr-TR"/>
              </w:rPr>
              <w:t>11</w:t>
            </w:r>
          </w:p>
        </w:tc>
        <w:tc>
          <w:tcPr>
            <w:tcW w:w="4621" w:type="dxa"/>
            <w:tcBorders>
              <w:top w:val="nil"/>
              <w:left w:val="nil"/>
              <w:bottom w:val="single" w:sz="8" w:space="0" w:color="auto"/>
              <w:right w:val="single" w:sz="8" w:space="0" w:color="auto"/>
            </w:tcBorders>
            <w:shd w:val="clear" w:color="auto" w:fill="auto"/>
            <w:noWrap/>
            <w:vAlign w:val="center"/>
            <w:hideMark/>
          </w:tcPr>
          <w:p w14:paraId="24D292B8" w14:textId="77777777" w:rsidR="00F059BA" w:rsidRPr="00005453" w:rsidRDefault="00F059BA" w:rsidP="00F059BA">
            <w:pPr>
              <w:rPr>
                <w:color w:val="000000"/>
                <w:sz w:val="18"/>
                <w:szCs w:val="18"/>
                <w:lang w:eastAsia="tr-TR"/>
              </w:rPr>
            </w:pPr>
            <w:r w:rsidRPr="00005453">
              <w:rPr>
                <w:color w:val="000000"/>
                <w:sz w:val="18"/>
                <w:szCs w:val="18"/>
                <w:lang w:eastAsia="tr-TR"/>
              </w:rPr>
              <w:t>Tahsili gecikmiş alacaklar</w:t>
            </w:r>
          </w:p>
        </w:tc>
        <w:tc>
          <w:tcPr>
            <w:tcW w:w="1040" w:type="dxa"/>
            <w:tcBorders>
              <w:top w:val="nil"/>
              <w:left w:val="nil"/>
              <w:bottom w:val="single" w:sz="8" w:space="0" w:color="auto"/>
              <w:right w:val="single" w:sz="8" w:space="0" w:color="auto"/>
            </w:tcBorders>
            <w:shd w:val="clear" w:color="auto" w:fill="auto"/>
            <w:noWrap/>
            <w:vAlign w:val="center"/>
            <w:hideMark/>
          </w:tcPr>
          <w:p w14:paraId="3D536C7E" w14:textId="630006C8" w:rsidR="00F059BA" w:rsidRPr="00005453" w:rsidRDefault="00F059BA" w:rsidP="00F059BA">
            <w:pPr>
              <w:jc w:val="right"/>
              <w:rPr>
                <w:color w:val="000000"/>
                <w:sz w:val="18"/>
                <w:szCs w:val="18"/>
                <w:lang w:eastAsia="tr-TR"/>
              </w:rPr>
            </w:pPr>
            <w:r w:rsidRPr="00005453">
              <w:rPr>
                <w:color w:val="000000"/>
                <w:sz w:val="18"/>
                <w:szCs w:val="18"/>
              </w:rPr>
              <w:t>2,249</w:t>
            </w:r>
          </w:p>
        </w:tc>
        <w:tc>
          <w:tcPr>
            <w:tcW w:w="530" w:type="dxa"/>
            <w:tcBorders>
              <w:top w:val="nil"/>
              <w:left w:val="nil"/>
              <w:bottom w:val="single" w:sz="8" w:space="0" w:color="auto"/>
              <w:right w:val="single" w:sz="8" w:space="0" w:color="auto"/>
            </w:tcBorders>
            <w:shd w:val="clear" w:color="auto" w:fill="auto"/>
            <w:noWrap/>
            <w:vAlign w:val="center"/>
            <w:hideMark/>
          </w:tcPr>
          <w:p w14:paraId="4475FAD6" w14:textId="131124FD"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D24AE24" w14:textId="13C4BAD4" w:rsidR="00F059BA" w:rsidRPr="00005453" w:rsidRDefault="00F059BA" w:rsidP="00F059BA">
            <w:pPr>
              <w:jc w:val="right"/>
              <w:rPr>
                <w:color w:val="000000"/>
                <w:sz w:val="18"/>
                <w:szCs w:val="18"/>
                <w:lang w:eastAsia="tr-TR"/>
              </w:rPr>
            </w:pPr>
            <w:r w:rsidRPr="00005453">
              <w:rPr>
                <w:color w:val="000000"/>
                <w:sz w:val="18"/>
                <w:szCs w:val="18"/>
              </w:rPr>
              <w:t>214</w:t>
            </w:r>
          </w:p>
        </w:tc>
        <w:tc>
          <w:tcPr>
            <w:tcW w:w="500" w:type="dxa"/>
            <w:tcBorders>
              <w:top w:val="nil"/>
              <w:left w:val="nil"/>
              <w:bottom w:val="single" w:sz="8" w:space="0" w:color="auto"/>
              <w:right w:val="single" w:sz="8" w:space="0" w:color="auto"/>
            </w:tcBorders>
            <w:shd w:val="clear" w:color="auto" w:fill="auto"/>
            <w:noWrap/>
            <w:vAlign w:val="center"/>
            <w:hideMark/>
          </w:tcPr>
          <w:p w14:paraId="0339A972" w14:textId="7D402457"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6263262" w14:textId="20BF08D5" w:rsidR="00F059BA" w:rsidRPr="00005453" w:rsidRDefault="00F059BA" w:rsidP="00F059BA">
            <w:pPr>
              <w:jc w:val="right"/>
              <w:rPr>
                <w:color w:val="000000"/>
                <w:sz w:val="18"/>
                <w:szCs w:val="18"/>
                <w:lang w:eastAsia="tr-TR"/>
              </w:rPr>
            </w:pPr>
            <w:r w:rsidRPr="00005453">
              <w:rPr>
                <w:color w:val="000000"/>
                <w:sz w:val="18"/>
                <w:szCs w:val="18"/>
              </w:rPr>
              <w:t>95,544</w:t>
            </w:r>
          </w:p>
        </w:tc>
        <w:tc>
          <w:tcPr>
            <w:tcW w:w="950" w:type="dxa"/>
            <w:tcBorders>
              <w:top w:val="nil"/>
              <w:left w:val="nil"/>
              <w:bottom w:val="single" w:sz="8" w:space="0" w:color="auto"/>
              <w:right w:val="single" w:sz="8" w:space="0" w:color="auto"/>
            </w:tcBorders>
            <w:shd w:val="clear" w:color="auto" w:fill="auto"/>
            <w:noWrap/>
            <w:vAlign w:val="center"/>
            <w:hideMark/>
          </w:tcPr>
          <w:p w14:paraId="1267CDBF" w14:textId="5BC28428"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34CD155" w14:textId="5054D5E3" w:rsidR="00F059BA" w:rsidRPr="00005453" w:rsidRDefault="00F059BA" w:rsidP="00F059BA">
            <w:pPr>
              <w:jc w:val="right"/>
              <w:rPr>
                <w:color w:val="000000"/>
                <w:sz w:val="18"/>
                <w:szCs w:val="18"/>
                <w:lang w:eastAsia="tr-TR"/>
              </w:rPr>
            </w:pPr>
            <w:r w:rsidRPr="00005453">
              <w:rPr>
                <w:color w:val="000000"/>
                <w:sz w:val="18"/>
                <w:szCs w:val="18"/>
              </w:rPr>
              <w:t>1,526</w:t>
            </w:r>
          </w:p>
        </w:tc>
        <w:tc>
          <w:tcPr>
            <w:tcW w:w="725" w:type="dxa"/>
            <w:tcBorders>
              <w:top w:val="nil"/>
              <w:left w:val="nil"/>
              <w:bottom w:val="single" w:sz="8" w:space="0" w:color="auto"/>
              <w:right w:val="single" w:sz="8" w:space="0" w:color="auto"/>
            </w:tcBorders>
            <w:shd w:val="clear" w:color="auto" w:fill="auto"/>
            <w:noWrap/>
            <w:vAlign w:val="center"/>
            <w:hideMark/>
          </w:tcPr>
          <w:p w14:paraId="25078585" w14:textId="619E39C2"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2C99F86A" w14:textId="0E1AAE95"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29DBBDB8" w14:textId="30A83B35"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6E0A130F" w14:textId="40F4391E" w:rsidR="00F059BA" w:rsidRPr="00005453" w:rsidRDefault="00F059BA" w:rsidP="00F059BA">
            <w:pPr>
              <w:jc w:val="right"/>
              <w:rPr>
                <w:color w:val="000000"/>
                <w:sz w:val="18"/>
                <w:szCs w:val="18"/>
                <w:lang w:eastAsia="tr-TR"/>
              </w:rPr>
            </w:pPr>
            <w:r w:rsidRPr="00005453">
              <w:rPr>
                <w:color w:val="000000"/>
                <w:sz w:val="18"/>
                <w:szCs w:val="18"/>
              </w:rPr>
              <w:t>99,533</w:t>
            </w:r>
          </w:p>
        </w:tc>
      </w:tr>
      <w:tr w:rsidR="00F059BA" w:rsidRPr="00005453" w14:paraId="2337D143"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32B24C2E" w14:textId="77777777" w:rsidR="00F059BA" w:rsidRPr="00005453" w:rsidRDefault="00F059BA" w:rsidP="00F059BA">
            <w:pPr>
              <w:jc w:val="right"/>
              <w:rPr>
                <w:color w:val="000000"/>
                <w:sz w:val="18"/>
                <w:szCs w:val="18"/>
                <w:lang w:eastAsia="tr-TR"/>
              </w:rPr>
            </w:pPr>
            <w:r w:rsidRPr="00005453">
              <w:rPr>
                <w:color w:val="000000"/>
                <w:sz w:val="18"/>
                <w:szCs w:val="18"/>
                <w:lang w:eastAsia="tr-TR"/>
              </w:rPr>
              <w:t>12</w:t>
            </w:r>
          </w:p>
        </w:tc>
        <w:tc>
          <w:tcPr>
            <w:tcW w:w="4621" w:type="dxa"/>
            <w:tcBorders>
              <w:top w:val="nil"/>
              <w:left w:val="nil"/>
              <w:bottom w:val="single" w:sz="8" w:space="0" w:color="auto"/>
              <w:right w:val="single" w:sz="8" w:space="0" w:color="auto"/>
            </w:tcBorders>
            <w:shd w:val="clear" w:color="auto" w:fill="auto"/>
            <w:noWrap/>
            <w:vAlign w:val="center"/>
            <w:hideMark/>
          </w:tcPr>
          <w:p w14:paraId="7D2148CA" w14:textId="77777777" w:rsidR="00F059BA" w:rsidRPr="00005453" w:rsidRDefault="00F059BA" w:rsidP="00F059BA">
            <w:pPr>
              <w:rPr>
                <w:color w:val="000000"/>
                <w:sz w:val="18"/>
                <w:szCs w:val="18"/>
                <w:lang w:eastAsia="tr-TR"/>
              </w:rPr>
            </w:pPr>
            <w:r w:rsidRPr="00005453">
              <w:rPr>
                <w:color w:val="000000"/>
                <w:sz w:val="18"/>
                <w:szCs w:val="18"/>
                <w:lang w:eastAsia="tr-TR"/>
              </w:rPr>
              <w:t>Kurulca riski yüksek belirlenmiş alacaklar</w:t>
            </w:r>
          </w:p>
        </w:tc>
        <w:tc>
          <w:tcPr>
            <w:tcW w:w="1040" w:type="dxa"/>
            <w:tcBorders>
              <w:top w:val="nil"/>
              <w:left w:val="nil"/>
              <w:bottom w:val="single" w:sz="8" w:space="0" w:color="auto"/>
              <w:right w:val="single" w:sz="8" w:space="0" w:color="auto"/>
            </w:tcBorders>
            <w:shd w:val="clear" w:color="auto" w:fill="auto"/>
            <w:noWrap/>
            <w:vAlign w:val="center"/>
            <w:hideMark/>
          </w:tcPr>
          <w:p w14:paraId="00F2638D" w14:textId="74401E12"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6DE1B691" w14:textId="5ACE8123"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0725C82D" w14:textId="3F3D0B6F"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4F7D09CA" w14:textId="23EC747F"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0AED6101" w14:textId="413DF771"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FAF15F0" w14:textId="014A7296"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0AE98955" w14:textId="201A9160"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3C463FFF" w14:textId="3647E226" w:rsidR="00F059BA" w:rsidRPr="00005453" w:rsidRDefault="00F059BA" w:rsidP="00F059BA">
            <w:pPr>
              <w:jc w:val="right"/>
              <w:rPr>
                <w:color w:val="000000"/>
                <w:sz w:val="18"/>
                <w:szCs w:val="18"/>
                <w:lang w:eastAsia="tr-TR"/>
              </w:rPr>
            </w:pPr>
            <w:r w:rsidRPr="00005453">
              <w:rPr>
                <w:color w:val="000000"/>
                <w:sz w:val="18"/>
                <w:szCs w:val="18"/>
              </w:rPr>
              <w:t>3,842,472</w:t>
            </w:r>
          </w:p>
        </w:tc>
        <w:tc>
          <w:tcPr>
            <w:tcW w:w="860" w:type="dxa"/>
            <w:tcBorders>
              <w:top w:val="nil"/>
              <w:left w:val="nil"/>
              <w:bottom w:val="single" w:sz="8" w:space="0" w:color="auto"/>
              <w:right w:val="single" w:sz="8" w:space="0" w:color="auto"/>
            </w:tcBorders>
            <w:shd w:val="clear" w:color="auto" w:fill="auto"/>
            <w:noWrap/>
            <w:vAlign w:val="center"/>
            <w:hideMark/>
          </w:tcPr>
          <w:p w14:paraId="6E11E35D" w14:textId="7EBB9BB6" w:rsidR="00F059BA" w:rsidRPr="00005453" w:rsidRDefault="00F059BA" w:rsidP="00F059BA">
            <w:pPr>
              <w:jc w:val="right"/>
              <w:rPr>
                <w:color w:val="000000"/>
                <w:sz w:val="18"/>
                <w:szCs w:val="18"/>
                <w:lang w:eastAsia="tr-TR"/>
              </w:rPr>
            </w:pPr>
            <w:r w:rsidRPr="00005453">
              <w:rPr>
                <w:color w:val="000000"/>
                <w:sz w:val="18"/>
                <w:szCs w:val="18"/>
              </w:rPr>
              <w:t>20,862,831</w:t>
            </w:r>
          </w:p>
        </w:tc>
        <w:tc>
          <w:tcPr>
            <w:tcW w:w="1061" w:type="dxa"/>
            <w:tcBorders>
              <w:top w:val="nil"/>
              <w:left w:val="nil"/>
              <w:bottom w:val="single" w:sz="8" w:space="0" w:color="auto"/>
              <w:right w:val="single" w:sz="8" w:space="0" w:color="auto"/>
            </w:tcBorders>
            <w:shd w:val="clear" w:color="auto" w:fill="auto"/>
            <w:noWrap/>
            <w:vAlign w:val="center"/>
            <w:hideMark/>
          </w:tcPr>
          <w:p w14:paraId="3F4C5CCC" w14:textId="7E519DC8" w:rsidR="00F059BA" w:rsidRPr="00005453" w:rsidRDefault="00F059BA" w:rsidP="00F059BA">
            <w:pPr>
              <w:jc w:val="right"/>
              <w:rPr>
                <w:color w:val="000000"/>
                <w:sz w:val="18"/>
                <w:szCs w:val="18"/>
                <w:lang w:eastAsia="tr-TR"/>
              </w:rPr>
            </w:pPr>
            <w:r w:rsidRPr="00005453">
              <w:rPr>
                <w:color w:val="000000"/>
                <w:sz w:val="18"/>
                <w:szCs w:val="18"/>
              </w:rPr>
              <w:t>892,930</w:t>
            </w:r>
          </w:p>
        </w:tc>
        <w:tc>
          <w:tcPr>
            <w:tcW w:w="1040" w:type="dxa"/>
            <w:tcBorders>
              <w:top w:val="nil"/>
              <w:left w:val="nil"/>
              <w:bottom w:val="single" w:sz="8" w:space="0" w:color="auto"/>
              <w:right w:val="single" w:sz="8" w:space="0" w:color="auto"/>
            </w:tcBorders>
            <w:shd w:val="clear" w:color="auto" w:fill="auto"/>
            <w:noWrap/>
            <w:vAlign w:val="center"/>
            <w:hideMark/>
          </w:tcPr>
          <w:p w14:paraId="6F90DB3E" w14:textId="1C1F0DD9" w:rsidR="00F059BA" w:rsidRPr="00005453" w:rsidRDefault="00F059BA" w:rsidP="00F059BA">
            <w:pPr>
              <w:jc w:val="right"/>
              <w:rPr>
                <w:color w:val="000000"/>
                <w:sz w:val="18"/>
                <w:szCs w:val="18"/>
                <w:lang w:eastAsia="tr-TR"/>
              </w:rPr>
            </w:pPr>
            <w:r w:rsidRPr="00005453">
              <w:rPr>
                <w:color w:val="000000"/>
                <w:sz w:val="18"/>
                <w:szCs w:val="18"/>
              </w:rPr>
              <w:t>25,598,233</w:t>
            </w:r>
          </w:p>
        </w:tc>
      </w:tr>
      <w:tr w:rsidR="00F059BA" w:rsidRPr="00005453" w14:paraId="7A4AF58F"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F63B502" w14:textId="77777777" w:rsidR="00F059BA" w:rsidRPr="00005453" w:rsidRDefault="00F059BA" w:rsidP="00F059BA">
            <w:pPr>
              <w:jc w:val="right"/>
              <w:rPr>
                <w:color w:val="000000"/>
                <w:sz w:val="18"/>
                <w:szCs w:val="18"/>
                <w:lang w:eastAsia="tr-TR"/>
              </w:rPr>
            </w:pPr>
            <w:r w:rsidRPr="00005453">
              <w:rPr>
                <w:color w:val="000000"/>
                <w:sz w:val="18"/>
                <w:szCs w:val="18"/>
                <w:lang w:eastAsia="tr-TR"/>
              </w:rPr>
              <w:t>13</w:t>
            </w:r>
          </w:p>
        </w:tc>
        <w:tc>
          <w:tcPr>
            <w:tcW w:w="4621" w:type="dxa"/>
            <w:tcBorders>
              <w:top w:val="nil"/>
              <w:left w:val="nil"/>
              <w:bottom w:val="single" w:sz="8" w:space="0" w:color="auto"/>
              <w:right w:val="single" w:sz="8" w:space="0" w:color="auto"/>
            </w:tcBorders>
            <w:shd w:val="clear" w:color="auto" w:fill="auto"/>
            <w:noWrap/>
            <w:vAlign w:val="center"/>
            <w:hideMark/>
          </w:tcPr>
          <w:p w14:paraId="1F23D403" w14:textId="09515D58" w:rsidR="00F059BA" w:rsidRPr="00005453" w:rsidRDefault="00F059BA" w:rsidP="00F059BA">
            <w:pPr>
              <w:rPr>
                <w:color w:val="000000"/>
                <w:sz w:val="18"/>
                <w:szCs w:val="18"/>
                <w:lang w:eastAsia="tr-TR"/>
              </w:rPr>
            </w:pPr>
            <w:r w:rsidRPr="00005453">
              <w:rPr>
                <w:color w:val="000000"/>
                <w:sz w:val="18"/>
                <w:szCs w:val="18"/>
                <w:lang w:eastAsia="tr-TR"/>
              </w:rPr>
              <w:t xml:space="preserve">Teminatlı menkul kıymetler </w:t>
            </w:r>
          </w:p>
        </w:tc>
        <w:tc>
          <w:tcPr>
            <w:tcW w:w="1040" w:type="dxa"/>
            <w:tcBorders>
              <w:top w:val="nil"/>
              <w:left w:val="nil"/>
              <w:bottom w:val="single" w:sz="8" w:space="0" w:color="auto"/>
              <w:right w:val="single" w:sz="8" w:space="0" w:color="auto"/>
            </w:tcBorders>
            <w:shd w:val="clear" w:color="auto" w:fill="auto"/>
            <w:noWrap/>
            <w:vAlign w:val="center"/>
            <w:hideMark/>
          </w:tcPr>
          <w:p w14:paraId="3C89391A" w14:textId="6E6311F9"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77607541" w14:textId="69B57CFC"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A7F4483" w14:textId="7288AF61"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0F741FD9" w14:textId="00BD024B"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4F67B88" w14:textId="6E0DBA01"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EEDF6FC" w14:textId="1FA5B28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A28EEA5" w14:textId="32BD9A5D"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0F582CA0" w14:textId="2ED7AEAA"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44B4B331" w14:textId="2354712C"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634B3A10" w14:textId="79866E69"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57FF5ACB" w14:textId="3546B2A6" w:rsidR="00F059BA" w:rsidRPr="00005453" w:rsidRDefault="00F059BA" w:rsidP="00F059BA">
            <w:pPr>
              <w:jc w:val="right"/>
              <w:rPr>
                <w:color w:val="000000"/>
                <w:sz w:val="18"/>
                <w:szCs w:val="18"/>
                <w:lang w:eastAsia="tr-TR"/>
              </w:rPr>
            </w:pPr>
            <w:r w:rsidRPr="00005453">
              <w:rPr>
                <w:color w:val="000000"/>
                <w:sz w:val="18"/>
                <w:szCs w:val="18"/>
              </w:rPr>
              <w:t>-</w:t>
            </w:r>
          </w:p>
        </w:tc>
      </w:tr>
      <w:tr w:rsidR="00F059BA" w:rsidRPr="00005453" w14:paraId="7F120B48"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8BB6AA8" w14:textId="77777777" w:rsidR="00F059BA" w:rsidRPr="00005453" w:rsidRDefault="00F059BA" w:rsidP="00F059BA">
            <w:pPr>
              <w:jc w:val="right"/>
              <w:rPr>
                <w:color w:val="000000"/>
                <w:sz w:val="18"/>
                <w:szCs w:val="18"/>
                <w:lang w:eastAsia="tr-TR"/>
              </w:rPr>
            </w:pPr>
            <w:r w:rsidRPr="00005453">
              <w:rPr>
                <w:color w:val="000000"/>
                <w:sz w:val="18"/>
                <w:szCs w:val="18"/>
                <w:lang w:eastAsia="tr-TR"/>
              </w:rPr>
              <w:t>14</w:t>
            </w:r>
          </w:p>
        </w:tc>
        <w:tc>
          <w:tcPr>
            <w:tcW w:w="4621" w:type="dxa"/>
            <w:tcBorders>
              <w:top w:val="nil"/>
              <w:left w:val="nil"/>
              <w:bottom w:val="single" w:sz="8" w:space="0" w:color="auto"/>
              <w:right w:val="single" w:sz="8" w:space="0" w:color="auto"/>
            </w:tcBorders>
            <w:shd w:val="clear" w:color="auto" w:fill="auto"/>
            <w:noWrap/>
            <w:vAlign w:val="center"/>
            <w:hideMark/>
          </w:tcPr>
          <w:p w14:paraId="38F784AD" w14:textId="77777777" w:rsidR="00F059BA" w:rsidRPr="00005453" w:rsidRDefault="00F059BA" w:rsidP="00F059BA">
            <w:pPr>
              <w:rPr>
                <w:color w:val="000000"/>
                <w:sz w:val="18"/>
                <w:szCs w:val="18"/>
                <w:lang w:eastAsia="tr-TR"/>
              </w:rPr>
            </w:pPr>
            <w:r w:rsidRPr="00005453">
              <w:rPr>
                <w:color w:val="000000"/>
                <w:sz w:val="18"/>
                <w:szCs w:val="18"/>
                <w:lang w:eastAsia="tr-TR"/>
              </w:rPr>
              <w:t>Bankalardan ve aracı kurumlardan olan kısa vadeli alacaklar ile kısa vadeli kurumsal alacaklar</w:t>
            </w:r>
          </w:p>
        </w:tc>
        <w:tc>
          <w:tcPr>
            <w:tcW w:w="1040" w:type="dxa"/>
            <w:tcBorders>
              <w:top w:val="nil"/>
              <w:left w:val="nil"/>
              <w:bottom w:val="single" w:sz="8" w:space="0" w:color="auto"/>
              <w:right w:val="single" w:sz="8" w:space="0" w:color="auto"/>
            </w:tcBorders>
            <w:shd w:val="clear" w:color="auto" w:fill="auto"/>
            <w:noWrap/>
            <w:vAlign w:val="center"/>
            <w:hideMark/>
          </w:tcPr>
          <w:p w14:paraId="0AA9ABEE" w14:textId="7440518F"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2A357D17" w14:textId="6285D12F"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610C9499" w14:textId="42B6EA31"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3AADA918" w14:textId="7E4325C6"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33CCCB2" w14:textId="710D242C"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E858D60" w14:textId="2031A6F2"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48D6502" w14:textId="2BDE483D"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5F68BBFE" w14:textId="09861A17"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5000D6F0" w14:textId="78A3943B"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4B42A2F5" w14:textId="367A9E42"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56726ED0" w14:textId="19162983" w:rsidR="00F059BA" w:rsidRPr="00005453" w:rsidRDefault="00F059BA" w:rsidP="00F059BA">
            <w:pPr>
              <w:jc w:val="right"/>
              <w:rPr>
                <w:color w:val="000000"/>
                <w:sz w:val="18"/>
                <w:szCs w:val="18"/>
                <w:lang w:eastAsia="tr-TR"/>
              </w:rPr>
            </w:pPr>
            <w:r w:rsidRPr="00005453">
              <w:rPr>
                <w:color w:val="000000"/>
                <w:sz w:val="18"/>
                <w:szCs w:val="18"/>
              </w:rPr>
              <w:t>-</w:t>
            </w:r>
          </w:p>
        </w:tc>
      </w:tr>
      <w:tr w:rsidR="00F059BA" w:rsidRPr="00005453" w14:paraId="2A7878C7"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247D4AC" w14:textId="77777777" w:rsidR="00F059BA" w:rsidRPr="00005453" w:rsidRDefault="00F059BA" w:rsidP="00F059BA">
            <w:pPr>
              <w:jc w:val="right"/>
              <w:rPr>
                <w:color w:val="000000"/>
                <w:sz w:val="18"/>
                <w:szCs w:val="18"/>
                <w:lang w:eastAsia="tr-TR"/>
              </w:rPr>
            </w:pPr>
            <w:r w:rsidRPr="00005453">
              <w:rPr>
                <w:color w:val="000000"/>
                <w:sz w:val="18"/>
                <w:szCs w:val="18"/>
                <w:lang w:eastAsia="tr-TR"/>
              </w:rPr>
              <w:t>15</w:t>
            </w:r>
          </w:p>
        </w:tc>
        <w:tc>
          <w:tcPr>
            <w:tcW w:w="4621" w:type="dxa"/>
            <w:tcBorders>
              <w:top w:val="nil"/>
              <w:left w:val="nil"/>
              <w:bottom w:val="single" w:sz="8" w:space="0" w:color="auto"/>
              <w:right w:val="single" w:sz="8" w:space="0" w:color="auto"/>
            </w:tcBorders>
            <w:shd w:val="clear" w:color="auto" w:fill="auto"/>
            <w:noWrap/>
            <w:vAlign w:val="center"/>
            <w:hideMark/>
          </w:tcPr>
          <w:p w14:paraId="48B6ACB7" w14:textId="77777777" w:rsidR="00F059BA" w:rsidRPr="00005453" w:rsidRDefault="00F059BA" w:rsidP="00F059BA">
            <w:pPr>
              <w:rPr>
                <w:color w:val="000000"/>
                <w:sz w:val="18"/>
                <w:szCs w:val="18"/>
                <w:lang w:eastAsia="tr-TR"/>
              </w:rPr>
            </w:pPr>
            <w:r w:rsidRPr="00005453">
              <w:rPr>
                <w:color w:val="000000"/>
                <w:sz w:val="18"/>
                <w:szCs w:val="18"/>
                <w:lang w:eastAsia="tr-TR"/>
              </w:rPr>
              <w:t>Kolektif yatırım kuruluşu niteliğindeki yatırımlar</w:t>
            </w:r>
          </w:p>
        </w:tc>
        <w:tc>
          <w:tcPr>
            <w:tcW w:w="1040" w:type="dxa"/>
            <w:tcBorders>
              <w:top w:val="nil"/>
              <w:left w:val="nil"/>
              <w:bottom w:val="single" w:sz="8" w:space="0" w:color="auto"/>
              <w:right w:val="single" w:sz="8" w:space="0" w:color="auto"/>
            </w:tcBorders>
            <w:shd w:val="clear" w:color="auto" w:fill="auto"/>
            <w:noWrap/>
            <w:vAlign w:val="center"/>
            <w:hideMark/>
          </w:tcPr>
          <w:p w14:paraId="230CC76B" w14:textId="024350C6"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3C4B0CAB" w14:textId="6B7E68A9"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631C9D3" w14:textId="6B820618"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5F1864FD" w14:textId="7630AA72"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5E726BC" w14:textId="4407CEA0"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FC5D88E" w14:textId="7A8EA9A9"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411ACC1" w14:textId="4E0FBAEB" w:rsidR="00F059BA" w:rsidRPr="00005453" w:rsidRDefault="00F059BA" w:rsidP="00F059BA">
            <w:pPr>
              <w:jc w:val="right"/>
              <w:rPr>
                <w:color w:val="000000"/>
                <w:sz w:val="18"/>
                <w:szCs w:val="18"/>
                <w:lang w:eastAsia="tr-TR"/>
              </w:rPr>
            </w:pPr>
            <w:r w:rsidRPr="00005453">
              <w:rPr>
                <w:color w:val="000000"/>
                <w:sz w:val="18"/>
                <w:szCs w:val="18"/>
              </w:rPr>
              <w:t>-</w:t>
            </w:r>
          </w:p>
        </w:tc>
        <w:tc>
          <w:tcPr>
            <w:tcW w:w="725" w:type="dxa"/>
            <w:tcBorders>
              <w:top w:val="nil"/>
              <w:left w:val="nil"/>
              <w:bottom w:val="single" w:sz="8" w:space="0" w:color="auto"/>
              <w:right w:val="single" w:sz="8" w:space="0" w:color="auto"/>
            </w:tcBorders>
            <w:shd w:val="clear" w:color="auto" w:fill="auto"/>
            <w:noWrap/>
            <w:vAlign w:val="center"/>
            <w:hideMark/>
          </w:tcPr>
          <w:p w14:paraId="651D5AE7" w14:textId="4C82B365"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32353440" w14:textId="4D29045B"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3E22370B" w14:textId="3998E8A8"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41A678E3" w14:textId="3A224774" w:rsidR="00F059BA" w:rsidRPr="00005453" w:rsidRDefault="00F059BA" w:rsidP="00F059BA">
            <w:pPr>
              <w:jc w:val="right"/>
              <w:rPr>
                <w:color w:val="000000"/>
                <w:sz w:val="18"/>
                <w:szCs w:val="18"/>
                <w:lang w:eastAsia="tr-TR"/>
              </w:rPr>
            </w:pPr>
            <w:r w:rsidRPr="00005453">
              <w:rPr>
                <w:color w:val="000000"/>
                <w:sz w:val="18"/>
                <w:szCs w:val="18"/>
              </w:rPr>
              <w:t>-</w:t>
            </w:r>
          </w:p>
        </w:tc>
      </w:tr>
      <w:tr w:rsidR="00F059BA" w:rsidRPr="00005453" w14:paraId="220AC25A"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ABE3BBD" w14:textId="77777777" w:rsidR="00F059BA" w:rsidRPr="00005453" w:rsidRDefault="00F059BA" w:rsidP="00F059BA">
            <w:pPr>
              <w:jc w:val="right"/>
              <w:rPr>
                <w:color w:val="000000"/>
                <w:sz w:val="18"/>
                <w:szCs w:val="18"/>
                <w:lang w:eastAsia="tr-TR"/>
              </w:rPr>
            </w:pPr>
            <w:r w:rsidRPr="00005453">
              <w:rPr>
                <w:color w:val="000000"/>
                <w:sz w:val="18"/>
                <w:szCs w:val="18"/>
                <w:lang w:eastAsia="tr-TR"/>
              </w:rPr>
              <w:t>16</w:t>
            </w:r>
          </w:p>
        </w:tc>
        <w:tc>
          <w:tcPr>
            <w:tcW w:w="4621" w:type="dxa"/>
            <w:tcBorders>
              <w:top w:val="nil"/>
              <w:left w:val="nil"/>
              <w:bottom w:val="single" w:sz="8" w:space="0" w:color="auto"/>
              <w:right w:val="single" w:sz="8" w:space="0" w:color="auto"/>
            </w:tcBorders>
            <w:shd w:val="clear" w:color="auto" w:fill="auto"/>
            <w:noWrap/>
            <w:vAlign w:val="center"/>
            <w:hideMark/>
          </w:tcPr>
          <w:p w14:paraId="1F06AC83" w14:textId="77777777" w:rsidR="00F059BA" w:rsidRPr="00005453" w:rsidRDefault="00F059BA" w:rsidP="00F059BA">
            <w:pPr>
              <w:rPr>
                <w:color w:val="000000"/>
                <w:sz w:val="18"/>
                <w:szCs w:val="18"/>
                <w:lang w:eastAsia="tr-TR"/>
              </w:rPr>
            </w:pPr>
            <w:r w:rsidRPr="00005453">
              <w:rPr>
                <w:color w:val="000000"/>
                <w:sz w:val="18"/>
                <w:szCs w:val="18"/>
                <w:lang w:eastAsia="tr-TR"/>
              </w:rPr>
              <w:t>Hisse senedi yatırımları</w:t>
            </w:r>
          </w:p>
        </w:tc>
        <w:tc>
          <w:tcPr>
            <w:tcW w:w="1040" w:type="dxa"/>
            <w:tcBorders>
              <w:top w:val="nil"/>
              <w:left w:val="nil"/>
              <w:bottom w:val="single" w:sz="8" w:space="0" w:color="auto"/>
              <w:right w:val="single" w:sz="8" w:space="0" w:color="auto"/>
            </w:tcBorders>
            <w:shd w:val="clear" w:color="auto" w:fill="auto"/>
            <w:noWrap/>
            <w:vAlign w:val="center"/>
            <w:hideMark/>
          </w:tcPr>
          <w:p w14:paraId="5E14D1D0" w14:textId="501BFF7C" w:rsidR="00F059BA" w:rsidRPr="00005453" w:rsidRDefault="00F059BA" w:rsidP="00F059BA">
            <w:pPr>
              <w:jc w:val="right"/>
              <w:rPr>
                <w:color w:val="000000"/>
                <w:sz w:val="18"/>
                <w:szCs w:val="18"/>
                <w:lang w:eastAsia="tr-TR"/>
              </w:rPr>
            </w:pPr>
            <w:r w:rsidRPr="00005453">
              <w:rPr>
                <w:color w:val="000000"/>
                <w:sz w:val="18"/>
                <w:szCs w:val="18"/>
              </w:rPr>
              <w:t>-</w:t>
            </w:r>
          </w:p>
        </w:tc>
        <w:tc>
          <w:tcPr>
            <w:tcW w:w="530" w:type="dxa"/>
            <w:tcBorders>
              <w:top w:val="nil"/>
              <w:left w:val="nil"/>
              <w:bottom w:val="single" w:sz="8" w:space="0" w:color="auto"/>
              <w:right w:val="single" w:sz="8" w:space="0" w:color="auto"/>
            </w:tcBorders>
            <w:shd w:val="clear" w:color="auto" w:fill="auto"/>
            <w:noWrap/>
            <w:vAlign w:val="center"/>
            <w:hideMark/>
          </w:tcPr>
          <w:p w14:paraId="5FC2098E" w14:textId="5D2529C9"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1F56321" w14:textId="75C0F9E1" w:rsidR="00F059BA" w:rsidRPr="00005453" w:rsidRDefault="00F059BA" w:rsidP="00F059BA">
            <w:pPr>
              <w:jc w:val="right"/>
              <w:rPr>
                <w:color w:val="000000"/>
                <w:sz w:val="18"/>
                <w:szCs w:val="18"/>
                <w:lang w:eastAsia="tr-TR"/>
              </w:rPr>
            </w:pPr>
            <w:r w:rsidRPr="00005453">
              <w:rPr>
                <w:color w:val="000000"/>
                <w:sz w:val="18"/>
                <w:szCs w:val="18"/>
              </w:rPr>
              <w:t>-</w:t>
            </w:r>
          </w:p>
        </w:tc>
        <w:tc>
          <w:tcPr>
            <w:tcW w:w="500" w:type="dxa"/>
            <w:tcBorders>
              <w:top w:val="nil"/>
              <w:left w:val="nil"/>
              <w:bottom w:val="single" w:sz="8" w:space="0" w:color="auto"/>
              <w:right w:val="single" w:sz="8" w:space="0" w:color="auto"/>
            </w:tcBorders>
            <w:shd w:val="clear" w:color="auto" w:fill="auto"/>
            <w:noWrap/>
            <w:vAlign w:val="center"/>
            <w:hideMark/>
          </w:tcPr>
          <w:p w14:paraId="2DE8BAF6" w14:textId="073F223B"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4593E44" w14:textId="1C10DDB8"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7EB69ACE" w14:textId="4E169CBB"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3E5DC473" w14:textId="54879750" w:rsidR="00F059BA" w:rsidRPr="00005453" w:rsidRDefault="00F059BA" w:rsidP="00F059BA">
            <w:pPr>
              <w:jc w:val="right"/>
              <w:rPr>
                <w:color w:val="000000"/>
                <w:sz w:val="18"/>
                <w:szCs w:val="18"/>
                <w:lang w:eastAsia="tr-TR"/>
              </w:rPr>
            </w:pPr>
            <w:r w:rsidRPr="00005453">
              <w:rPr>
                <w:color w:val="000000"/>
                <w:sz w:val="18"/>
                <w:szCs w:val="18"/>
              </w:rPr>
              <w:t>3,415,343</w:t>
            </w:r>
          </w:p>
        </w:tc>
        <w:tc>
          <w:tcPr>
            <w:tcW w:w="725" w:type="dxa"/>
            <w:tcBorders>
              <w:top w:val="nil"/>
              <w:left w:val="nil"/>
              <w:bottom w:val="single" w:sz="8" w:space="0" w:color="auto"/>
              <w:right w:val="single" w:sz="8" w:space="0" w:color="auto"/>
            </w:tcBorders>
            <w:shd w:val="clear" w:color="auto" w:fill="auto"/>
            <w:noWrap/>
            <w:vAlign w:val="center"/>
            <w:hideMark/>
          </w:tcPr>
          <w:p w14:paraId="2E46541C" w14:textId="70C4A8AF"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5B1571F7" w14:textId="43882C7F"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60C1E89F" w14:textId="5A1FE5C4"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0A05F814" w14:textId="14BE840C" w:rsidR="00F059BA" w:rsidRPr="00005453" w:rsidRDefault="00F059BA" w:rsidP="00F059BA">
            <w:pPr>
              <w:jc w:val="right"/>
              <w:rPr>
                <w:color w:val="000000"/>
                <w:sz w:val="18"/>
                <w:szCs w:val="18"/>
                <w:lang w:eastAsia="tr-TR"/>
              </w:rPr>
            </w:pPr>
            <w:r w:rsidRPr="00005453">
              <w:rPr>
                <w:color w:val="000000"/>
                <w:sz w:val="18"/>
                <w:szCs w:val="18"/>
              </w:rPr>
              <w:t>3,415,343</w:t>
            </w:r>
          </w:p>
        </w:tc>
      </w:tr>
      <w:tr w:rsidR="00F059BA" w:rsidRPr="00005453" w14:paraId="4DDE0F8F"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11CEBB2F" w14:textId="77777777" w:rsidR="00F059BA" w:rsidRPr="00005453" w:rsidRDefault="00F059BA" w:rsidP="00F059BA">
            <w:pPr>
              <w:jc w:val="right"/>
              <w:rPr>
                <w:color w:val="000000"/>
                <w:sz w:val="18"/>
                <w:szCs w:val="18"/>
                <w:lang w:eastAsia="tr-TR"/>
              </w:rPr>
            </w:pPr>
            <w:r w:rsidRPr="00005453">
              <w:rPr>
                <w:color w:val="000000"/>
                <w:sz w:val="18"/>
                <w:szCs w:val="18"/>
                <w:lang w:eastAsia="tr-TR"/>
              </w:rPr>
              <w:t>17</w:t>
            </w:r>
          </w:p>
        </w:tc>
        <w:tc>
          <w:tcPr>
            <w:tcW w:w="4621" w:type="dxa"/>
            <w:tcBorders>
              <w:top w:val="nil"/>
              <w:left w:val="nil"/>
              <w:bottom w:val="single" w:sz="8" w:space="0" w:color="auto"/>
              <w:right w:val="single" w:sz="8" w:space="0" w:color="auto"/>
            </w:tcBorders>
            <w:shd w:val="clear" w:color="auto" w:fill="auto"/>
            <w:noWrap/>
            <w:vAlign w:val="center"/>
            <w:hideMark/>
          </w:tcPr>
          <w:p w14:paraId="42EFAE4D" w14:textId="77777777" w:rsidR="00F059BA" w:rsidRPr="00005453" w:rsidRDefault="00F059BA" w:rsidP="00F059BA">
            <w:pPr>
              <w:rPr>
                <w:color w:val="000000"/>
                <w:sz w:val="18"/>
                <w:szCs w:val="18"/>
                <w:lang w:eastAsia="tr-TR"/>
              </w:rPr>
            </w:pPr>
            <w:r w:rsidRPr="00005453">
              <w:rPr>
                <w:color w:val="000000"/>
                <w:sz w:val="18"/>
                <w:szCs w:val="18"/>
                <w:lang w:eastAsia="tr-TR"/>
              </w:rPr>
              <w:t>Diğer Alacaklar</w:t>
            </w:r>
          </w:p>
        </w:tc>
        <w:tc>
          <w:tcPr>
            <w:tcW w:w="1040" w:type="dxa"/>
            <w:tcBorders>
              <w:top w:val="nil"/>
              <w:left w:val="nil"/>
              <w:bottom w:val="single" w:sz="8" w:space="0" w:color="auto"/>
              <w:right w:val="single" w:sz="8" w:space="0" w:color="auto"/>
            </w:tcBorders>
            <w:shd w:val="clear" w:color="auto" w:fill="auto"/>
            <w:noWrap/>
            <w:vAlign w:val="center"/>
            <w:hideMark/>
          </w:tcPr>
          <w:p w14:paraId="7FFE8A99" w14:textId="6BDC6CCA" w:rsidR="00F059BA" w:rsidRPr="00005453" w:rsidRDefault="00F059BA" w:rsidP="00F059BA">
            <w:pPr>
              <w:jc w:val="right"/>
              <w:rPr>
                <w:color w:val="000000"/>
                <w:sz w:val="18"/>
                <w:szCs w:val="18"/>
                <w:lang w:eastAsia="tr-TR"/>
              </w:rPr>
            </w:pPr>
            <w:r w:rsidRPr="00005453">
              <w:rPr>
                <w:color w:val="000000"/>
                <w:sz w:val="18"/>
                <w:szCs w:val="18"/>
              </w:rPr>
              <w:t>12,626,068</w:t>
            </w:r>
          </w:p>
        </w:tc>
        <w:tc>
          <w:tcPr>
            <w:tcW w:w="530" w:type="dxa"/>
            <w:tcBorders>
              <w:top w:val="nil"/>
              <w:left w:val="nil"/>
              <w:bottom w:val="single" w:sz="8" w:space="0" w:color="auto"/>
              <w:right w:val="single" w:sz="8" w:space="0" w:color="auto"/>
            </w:tcBorders>
            <w:shd w:val="clear" w:color="auto" w:fill="auto"/>
            <w:noWrap/>
            <w:vAlign w:val="center"/>
            <w:hideMark/>
          </w:tcPr>
          <w:p w14:paraId="63180C7C" w14:textId="02467693"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2CA3E975" w14:textId="643F9C2C" w:rsidR="00F059BA" w:rsidRPr="00005453" w:rsidRDefault="00F059BA" w:rsidP="00F059BA">
            <w:pPr>
              <w:jc w:val="right"/>
              <w:rPr>
                <w:color w:val="000000"/>
                <w:sz w:val="18"/>
                <w:szCs w:val="18"/>
                <w:lang w:eastAsia="tr-TR"/>
              </w:rPr>
            </w:pPr>
            <w:r w:rsidRPr="00005453">
              <w:rPr>
                <w:color w:val="000000"/>
                <w:sz w:val="18"/>
                <w:szCs w:val="18"/>
              </w:rPr>
              <w:t>140,532</w:t>
            </w:r>
          </w:p>
        </w:tc>
        <w:tc>
          <w:tcPr>
            <w:tcW w:w="500" w:type="dxa"/>
            <w:tcBorders>
              <w:top w:val="nil"/>
              <w:left w:val="nil"/>
              <w:bottom w:val="single" w:sz="8" w:space="0" w:color="auto"/>
              <w:right w:val="single" w:sz="8" w:space="0" w:color="auto"/>
            </w:tcBorders>
            <w:shd w:val="clear" w:color="auto" w:fill="auto"/>
            <w:noWrap/>
            <w:vAlign w:val="center"/>
            <w:hideMark/>
          </w:tcPr>
          <w:p w14:paraId="27400360" w14:textId="77573BB8"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DCE337E" w14:textId="689AFCB9"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A9A5CC3" w14:textId="1CDE4137" w:rsidR="00F059BA" w:rsidRPr="00005453" w:rsidRDefault="00F059BA" w:rsidP="00F059BA">
            <w:pPr>
              <w:jc w:val="right"/>
              <w:rPr>
                <w:color w:val="000000"/>
                <w:sz w:val="18"/>
                <w:szCs w:val="18"/>
                <w:lang w:eastAsia="tr-TR"/>
              </w:rPr>
            </w:pPr>
            <w:r w:rsidRPr="00005453">
              <w:rPr>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1EE58593" w14:textId="1578A610" w:rsidR="00F059BA" w:rsidRPr="00005453" w:rsidRDefault="00F059BA" w:rsidP="00F059BA">
            <w:pPr>
              <w:jc w:val="right"/>
              <w:rPr>
                <w:color w:val="000000"/>
                <w:sz w:val="18"/>
                <w:szCs w:val="18"/>
                <w:lang w:eastAsia="tr-TR"/>
              </w:rPr>
            </w:pPr>
            <w:r w:rsidRPr="00005453">
              <w:rPr>
                <w:color w:val="000000"/>
                <w:sz w:val="18"/>
                <w:szCs w:val="18"/>
              </w:rPr>
              <w:t>6,344,084</w:t>
            </w:r>
          </w:p>
        </w:tc>
        <w:tc>
          <w:tcPr>
            <w:tcW w:w="725" w:type="dxa"/>
            <w:tcBorders>
              <w:top w:val="nil"/>
              <w:left w:val="nil"/>
              <w:bottom w:val="single" w:sz="8" w:space="0" w:color="auto"/>
              <w:right w:val="single" w:sz="8" w:space="0" w:color="auto"/>
            </w:tcBorders>
            <w:shd w:val="clear" w:color="auto" w:fill="auto"/>
            <w:noWrap/>
            <w:vAlign w:val="center"/>
            <w:hideMark/>
          </w:tcPr>
          <w:p w14:paraId="66421EFC" w14:textId="50876770" w:rsidR="00F059BA" w:rsidRPr="00005453" w:rsidRDefault="00F059BA" w:rsidP="00F059BA">
            <w:pPr>
              <w:jc w:val="right"/>
              <w:rPr>
                <w:color w:val="000000"/>
                <w:sz w:val="18"/>
                <w:szCs w:val="18"/>
                <w:lang w:eastAsia="tr-TR"/>
              </w:rPr>
            </w:pPr>
            <w:r w:rsidRPr="00005453">
              <w:rPr>
                <w:color w:val="000000"/>
                <w:sz w:val="18"/>
                <w:szCs w:val="18"/>
              </w:rPr>
              <w:t>-</w:t>
            </w:r>
          </w:p>
        </w:tc>
        <w:tc>
          <w:tcPr>
            <w:tcW w:w="860" w:type="dxa"/>
            <w:tcBorders>
              <w:top w:val="nil"/>
              <w:left w:val="nil"/>
              <w:bottom w:val="single" w:sz="8" w:space="0" w:color="auto"/>
              <w:right w:val="single" w:sz="8" w:space="0" w:color="auto"/>
            </w:tcBorders>
            <w:shd w:val="clear" w:color="auto" w:fill="auto"/>
            <w:noWrap/>
            <w:vAlign w:val="center"/>
            <w:hideMark/>
          </w:tcPr>
          <w:p w14:paraId="11AB876F" w14:textId="7598134B" w:rsidR="00F059BA" w:rsidRPr="00005453" w:rsidRDefault="00F059BA" w:rsidP="00F059BA">
            <w:pPr>
              <w:jc w:val="right"/>
              <w:rPr>
                <w:color w:val="000000"/>
                <w:sz w:val="18"/>
                <w:szCs w:val="18"/>
                <w:lang w:eastAsia="tr-TR"/>
              </w:rPr>
            </w:pPr>
            <w:r w:rsidRPr="00005453">
              <w:rPr>
                <w:color w:val="000000"/>
                <w:sz w:val="18"/>
                <w:szCs w:val="18"/>
              </w:rPr>
              <w:t>-</w:t>
            </w:r>
          </w:p>
        </w:tc>
        <w:tc>
          <w:tcPr>
            <w:tcW w:w="1061" w:type="dxa"/>
            <w:tcBorders>
              <w:top w:val="nil"/>
              <w:left w:val="nil"/>
              <w:bottom w:val="single" w:sz="8" w:space="0" w:color="auto"/>
              <w:right w:val="single" w:sz="8" w:space="0" w:color="auto"/>
            </w:tcBorders>
            <w:shd w:val="clear" w:color="auto" w:fill="auto"/>
            <w:noWrap/>
            <w:vAlign w:val="center"/>
            <w:hideMark/>
          </w:tcPr>
          <w:p w14:paraId="7C7777A6" w14:textId="66291BC1" w:rsidR="00F059BA" w:rsidRPr="00005453" w:rsidRDefault="00F059BA" w:rsidP="00F059BA">
            <w:pPr>
              <w:jc w:val="right"/>
              <w:rPr>
                <w:color w:val="000000"/>
                <w:sz w:val="18"/>
                <w:szCs w:val="18"/>
                <w:lang w:eastAsia="tr-TR"/>
              </w:rPr>
            </w:pPr>
            <w:r w:rsidRPr="00005453">
              <w:rPr>
                <w:color w:val="000000"/>
                <w:sz w:val="18"/>
                <w:szCs w:val="18"/>
              </w:rPr>
              <w:t>-</w:t>
            </w:r>
          </w:p>
        </w:tc>
        <w:tc>
          <w:tcPr>
            <w:tcW w:w="1040" w:type="dxa"/>
            <w:tcBorders>
              <w:top w:val="nil"/>
              <w:left w:val="nil"/>
              <w:bottom w:val="single" w:sz="8" w:space="0" w:color="auto"/>
              <w:right w:val="single" w:sz="8" w:space="0" w:color="auto"/>
            </w:tcBorders>
            <w:shd w:val="clear" w:color="auto" w:fill="auto"/>
            <w:noWrap/>
            <w:vAlign w:val="center"/>
            <w:hideMark/>
          </w:tcPr>
          <w:p w14:paraId="0E3622B4" w14:textId="521AB086" w:rsidR="00F059BA" w:rsidRPr="00005453" w:rsidRDefault="00F059BA" w:rsidP="00F059BA">
            <w:pPr>
              <w:jc w:val="right"/>
              <w:rPr>
                <w:color w:val="000000"/>
                <w:sz w:val="18"/>
                <w:szCs w:val="18"/>
                <w:lang w:eastAsia="tr-TR"/>
              </w:rPr>
            </w:pPr>
            <w:r w:rsidRPr="00005453">
              <w:rPr>
                <w:color w:val="000000"/>
                <w:sz w:val="18"/>
                <w:szCs w:val="18"/>
              </w:rPr>
              <w:t>19,110,684</w:t>
            </w:r>
          </w:p>
        </w:tc>
      </w:tr>
      <w:tr w:rsidR="00F059BA" w:rsidRPr="00005453" w14:paraId="5D97B9E1" w14:textId="77777777" w:rsidTr="00F059BA">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5B07B551" w14:textId="77777777" w:rsidR="00F059BA" w:rsidRPr="00005453" w:rsidRDefault="00F059BA" w:rsidP="00F059BA">
            <w:pPr>
              <w:jc w:val="right"/>
              <w:rPr>
                <w:b/>
                <w:bCs/>
                <w:color w:val="000000"/>
                <w:sz w:val="18"/>
                <w:szCs w:val="18"/>
                <w:lang w:eastAsia="tr-TR"/>
              </w:rPr>
            </w:pPr>
            <w:r w:rsidRPr="00005453">
              <w:rPr>
                <w:b/>
                <w:bCs/>
                <w:color w:val="000000"/>
                <w:sz w:val="18"/>
                <w:szCs w:val="18"/>
                <w:lang w:eastAsia="tr-TR"/>
              </w:rPr>
              <w:t>18</w:t>
            </w:r>
          </w:p>
        </w:tc>
        <w:tc>
          <w:tcPr>
            <w:tcW w:w="4621" w:type="dxa"/>
            <w:tcBorders>
              <w:top w:val="nil"/>
              <w:left w:val="nil"/>
              <w:bottom w:val="single" w:sz="8" w:space="0" w:color="auto"/>
              <w:right w:val="single" w:sz="8" w:space="0" w:color="auto"/>
            </w:tcBorders>
            <w:shd w:val="clear" w:color="auto" w:fill="auto"/>
            <w:noWrap/>
            <w:vAlign w:val="center"/>
            <w:hideMark/>
          </w:tcPr>
          <w:p w14:paraId="51C3D27F" w14:textId="77777777" w:rsidR="00F059BA" w:rsidRPr="00005453" w:rsidRDefault="00F059BA" w:rsidP="00F059BA">
            <w:pPr>
              <w:rPr>
                <w:b/>
                <w:bCs/>
                <w:color w:val="000000"/>
                <w:sz w:val="18"/>
                <w:szCs w:val="18"/>
                <w:lang w:eastAsia="tr-TR"/>
              </w:rPr>
            </w:pPr>
            <w:r w:rsidRPr="00005453">
              <w:rPr>
                <w:b/>
                <w:bCs/>
                <w:color w:val="000000"/>
                <w:sz w:val="18"/>
                <w:szCs w:val="18"/>
                <w:lang w:eastAsia="tr-TR"/>
              </w:rPr>
              <w:t>Toplam</w:t>
            </w:r>
          </w:p>
        </w:tc>
        <w:tc>
          <w:tcPr>
            <w:tcW w:w="1040" w:type="dxa"/>
            <w:tcBorders>
              <w:top w:val="nil"/>
              <w:left w:val="nil"/>
              <w:bottom w:val="single" w:sz="8" w:space="0" w:color="auto"/>
              <w:right w:val="single" w:sz="8" w:space="0" w:color="auto"/>
            </w:tcBorders>
            <w:shd w:val="clear" w:color="auto" w:fill="auto"/>
            <w:noWrap/>
            <w:vAlign w:val="center"/>
            <w:hideMark/>
          </w:tcPr>
          <w:p w14:paraId="606F2575" w14:textId="64F2F6B8" w:rsidR="00F059BA" w:rsidRPr="00005453" w:rsidRDefault="00F059BA" w:rsidP="00F059BA">
            <w:pPr>
              <w:jc w:val="right"/>
              <w:rPr>
                <w:b/>
                <w:bCs/>
                <w:color w:val="000000"/>
                <w:sz w:val="18"/>
                <w:szCs w:val="18"/>
                <w:lang w:eastAsia="tr-TR"/>
              </w:rPr>
            </w:pPr>
            <w:r w:rsidRPr="00005453">
              <w:rPr>
                <w:b/>
                <w:bCs/>
                <w:color w:val="000000"/>
                <w:sz w:val="18"/>
                <w:szCs w:val="18"/>
              </w:rPr>
              <w:t>243,336,372</w:t>
            </w:r>
          </w:p>
        </w:tc>
        <w:tc>
          <w:tcPr>
            <w:tcW w:w="530" w:type="dxa"/>
            <w:tcBorders>
              <w:top w:val="nil"/>
              <w:left w:val="nil"/>
              <w:bottom w:val="single" w:sz="8" w:space="0" w:color="auto"/>
              <w:right w:val="single" w:sz="8" w:space="0" w:color="auto"/>
            </w:tcBorders>
            <w:shd w:val="clear" w:color="auto" w:fill="auto"/>
            <w:noWrap/>
            <w:vAlign w:val="center"/>
            <w:hideMark/>
          </w:tcPr>
          <w:p w14:paraId="22FCD2BF" w14:textId="57EFDC37" w:rsidR="00F059BA" w:rsidRPr="00005453" w:rsidRDefault="00F059BA" w:rsidP="00F059BA">
            <w:pPr>
              <w:jc w:val="right"/>
              <w:rPr>
                <w:b/>
                <w:bCs/>
                <w:color w:val="000000"/>
                <w:sz w:val="18"/>
                <w:szCs w:val="18"/>
                <w:lang w:eastAsia="tr-TR"/>
              </w:rPr>
            </w:pPr>
            <w:r w:rsidRPr="00005453">
              <w:rPr>
                <w:b/>
                <w:bCs/>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582DA9AD" w14:textId="27E00EFC" w:rsidR="00F059BA" w:rsidRPr="00005453" w:rsidRDefault="00F059BA" w:rsidP="00F059BA">
            <w:pPr>
              <w:jc w:val="right"/>
              <w:rPr>
                <w:b/>
                <w:bCs/>
                <w:color w:val="000000"/>
                <w:sz w:val="18"/>
                <w:szCs w:val="18"/>
                <w:lang w:eastAsia="tr-TR"/>
              </w:rPr>
            </w:pPr>
            <w:r w:rsidRPr="00005453">
              <w:rPr>
                <w:b/>
                <w:bCs/>
                <w:color w:val="000000"/>
                <w:sz w:val="18"/>
                <w:szCs w:val="18"/>
              </w:rPr>
              <w:t>18,003,079</w:t>
            </w:r>
          </w:p>
        </w:tc>
        <w:tc>
          <w:tcPr>
            <w:tcW w:w="500" w:type="dxa"/>
            <w:tcBorders>
              <w:top w:val="nil"/>
              <w:left w:val="nil"/>
              <w:bottom w:val="single" w:sz="8" w:space="0" w:color="auto"/>
              <w:right w:val="single" w:sz="8" w:space="0" w:color="auto"/>
            </w:tcBorders>
            <w:shd w:val="clear" w:color="auto" w:fill="auto"/>
            <w:noWrap/>
            <w:vAlign w:val="center"/>
            <w:hideMark/>
          </w:tcPr>
          <w:p w14:paraId="6AD325D7" w14:textId="59ABADB1" w:rsidR="00F059BA" w:rsidRPr="00005453" w:rsidRDefault="00F059BA" w:rsidP="00F059BA">
            <w:pPr>
              <w:jc w:val="right"/>
              <w:rPr>
                <w:color w:val="000000"/>
                <w:sz w:val="18"/>
                <w:szCs w:val="18"/>
                <w:lang w:eastAsia="tr-TR"/>
              </w:rPr>
            </w:pPr>
            <w:r w:rsidRPr="00005453">
              <w:rPr>
                <w:b/>
                <w:bCs/>
                <w:color w:val="000000"/>
                <w:sz w:val="18"/>
                <w:szCs w:val="18"/>
              </w:rPr>
              <w:t>-</w:t>
            </w:r>
          </w:p>
        </w:tc>
        <w:tc>
          <w:tcPr>
            <w:tcW w:w="950" w:type="dxa"/>
            <w:tcBorders>
              <w:top w:val="nil"/>
              <w:left w:val="nil"/>
              <w:bottom w:val="single" w:sz="8" w:space="0" w:color="auto"/>
              <w:right w:val="single" w:sz="8" w:space="0" w:color="auto"/>
            </w:tcBorders>
            <w:shd w:val="clear" w:color="auto" w:fill="auto"/>
            <w:noWrap/>
            <w:vAlign w:val="center"/>
            <w:hideMark/>
          </w:tcPr>
          <w:p w14:paraId="415F9AB2" w14:textId="2A333878" w:rsidR="00F059BA" w:rsidRPr="00005453" w:rsidRDefault="00F059BA" w:rsidP="00F059BA">
            <w:pPr>
              <w:jc w:val="right"/>
              <w:rPr>
                <w:b/>
                <w:bCs/>
                <w:color w:val="000000"/>
                <w:sz w:val="18"/>
                <w:szCs w:val="18"/>
                <w:lang w:eastAsia="tr-TR"/>
              </w:rPr>
            </w:pPr>
            <w:r w:rsidRPr="00005453">
              <w:rPr>
                <w:b/>
                <w:bCs/>
                <w:color w:val="000000"/>
                <w:sz w:val="18"/>
                <w:szCs w:val="18"/>
              </w:rPr>
              <w:t>22,220,149</w:t>
            </w:r>
          </w:p>
        </w:tc>
        <w:tc>
          <w:tcPr>
            <w:tcW w:w="950" w:type="dxa"/>
            <w:tcBorders>
              <w:top w:val="nil"/>
              <w:left w:val="nil"/>
              <w:bottom w:val="single" w:sz="8" w:space="0" w:color="auto"/>
              <w:right w:val="single" w:sz="8" w:space="0" w:color="auto"/>
            </w:tcBorders>
            <w:shd w:val="clear" w:color="auto" w:fill="auto"/>
            <w:noWrap/>
            <w:vAlign w:val="center"/>
            <w:hideMark/>
          </w:tcPr>
          <w:p w14:paraId="0BBE8698" w14:textId="0A0A0CEB" w:rsidR="00F059BA" w:rsidRPr="00005453" w:rsidRDefault="00F059BA" w:rsidP="00F059BA">
            <w:pPr>
              <w:jc w:val="right"/>
              <w:rPr>
                <w:b/>
                <w:bCs/>
                <w:color w:val="000000"/>
                <w:sz w:val="18"/>
                <w:szCs w:val="18"/>
                <w:lang w:eastAsia="tr-TR"/>
              </w:rPr>
            </w:pPr>
            <w:r w:rsidRPr="00005453">
              <w:rPr>
                <w:b/>
                <w:bCs/>
                <w:color w:val="000000"/>
                <w:sz w:val="18"/>
                <w:szCs w:val="18"/>
              </w:rPr>
              <w:t>40,258,554</w:t>
            </w:r>
          </w:p>
        </w:tc>
        <w:tc>
          <w:tcPr>
            <w:tcW w:w="950" w:type="dxa"/>
            <w:tcBorders>
              <w:top w:val="nil"/>
              <w:left w:val="nil"/>
              <w:bottom w:val="single" w:sz="8" w:space="0" w:color="auto"/>
              <w:right w:val="single" w:sz="8" w:space="0" w:color="auto"/>
            </w:tcBorders>
            <w:shd w:val="clear" w:color="auto" w:fill="auto"/>
            <w:noWrap/>
            <w:vAlign w:val="center"/>
            <w:hideMark/>
          </w:tcPr>
          <w:p w14:paraId="273E2639" w14:textId="3E9E4520" w:rsidR="00F059BA" w:rsidRPr="00005453" w:rsidRDefault="00F059BA" w:rsidP="00F059BA">
            <w:pPr>
              <w:jc w:val="right"/>
              <w:rPr>
                <w:b/>
                <w:bCs/>
                <w:color w:val="000000"/>
                <w:sz w:val="18"/>
                <w:szCs w:val="18"/>
                <w:lang w:eastAsia="tr-TR"/>
              </w:rPr>
            </w:pPr>
            <w:r w:rsidRPr="00005453">
              <w:rPr>
                <w:b/>
                <w:bCs/>
                <w:color w:val="000000"/>
                <w:sz w:val="18"/>
                <w:szCs w:val="18"/>
              </w:rPr>
              <w:t>81,145,950</w:t>
            </w:r>
          </w:p>
        </w:tc>
        <w:tc>
          <w:tcPr>
            <w:tcW w:w="725" w:type="dxa"/>
            <w:tcBorders>
              <w:top w:val="nil"/>
              <w:left w:val="nil"/>
              <w:bottom w:val="single" w:sz="8" w:space="0" w:color="auto"/>
              <w:right w:val="single" w:sz="8" w:space="0" w:color="auto"/>
            </w:tcBorders>
            <w:shd w:val="clear" w:color="auto" w:fill="auto"/>
            <w:noWrap/>
            <w:vAlign w:val="center"/>
            <w:hideMark/>
          </w:tcPr>
          <w:p w14:paraId="164D2A9B" w14:textId="58CEA77A" w:rsidR="00F059BA" w:rsidRPr="00005453" w:rsidRDefault="00F059BA" w:rsidP="00F059BA">
            <w:pPr>
              <w:jc w:val="right"/>
              <w:rPr>
                <w:b/>
                <w:bCs/>
                <w:color w:val="000000"/>
                <w:sz w:val="18"/>
                <w:szCs w:val="18"/>
                <w:lang w:eastAsia="tr-TR"/>
              </w:rPr>
            </w:pPr>
            <w:r w:rsidRPr="00005453">
              <w:rPr>
                <w:b/>
                <w:bCs/>
                <w:color w:val="000000"/>
                <w:sz w:val="18"/>
                <w:szCs w:val="18"/>
              </w:rPr>
              <w:t>3,842,472</w:t>
            </w:r>
          </w:p>
        </w:tc>
        <w:tc>
          <w:tcPr>
            <w:tcW w:w="860" w:type="dxa"/>
            <w:tcBorders>
              <w:top w:val="nil"/>
              <w:left w:val="nil"/>
              <w:bottom w:val="single" w:sz="8" w:space="0" w:color="auto"/>
              <w:right w:val="single" w:sz="8" w:space="0" w:color="auto"/>
            </w:tcBorders>
            <w:shd w:val="clear" w:color="auto" w:fill="auto"/>
            <w:noWrap/>
            <w:vAlign w:val="center"/>
            <w:hideMark/>
          </w:tcPr>
          <w:p w14:paraId="2968443E" w14:textId="0AFBDEC5" w:rsidR="00F059BA" w:rsidRPr="00005453" w:rsidRDefault="00F059BA" w:rsidP="00F059BA">
            <w:pPr>
              <w:jc w:val="right"/>
              <w:rPr>
                <w:b/>
                <w:bCs/>
                <w:color w:val="000000"/>
                <w:sz w:val="18"/>
                <w:szCs w:val="18"/>
                <w:lang w:eastAsia="tr-TR"/>
              </w:rPr>
            </w:pPr>
            <w:r w:rsidRPr="00005453">
              <w:rPr>
                <w:b/>
                <w:bCs/>
                <w:color w:val="000000"/>
                <w:sz w:val="18"/>
                <w:szCs w:val="18"/>
              </w:rPr>
              <w:t>20,862,831</w:t>
            </w:r>
          </w:p>
        </w:tc>
        <w:tc>
          <w:tcPr>
            <w:tcW w:w="1061" w:type="dxa"/>
            <w:tcBorders>
              <w:top w:val="nil"/>
              <w:left w:val="nil"/>
              <w:bottom w:val="single" w:sz="8" w:space="0" w:color="auto"/>
              <w:right w:val="single" w:sz="8" w:space="0" w:color="auto"/>
            </w:tcBorders>
            <w:shd w:val="clear" w:color="auto" w:fill="auto"/>
            <w:noWrap/>
            <w:vAlign w:val="center"/>
            <w:hideMark/>
          </w:tcPr>
          <w:p w14:paraId="200EC063" w14:textId="7B9DF12C" w:rsidR="00F059BA" w:rsidRPr="00005453" w:rsidRDefault="00F059BA" w:rsidP="00F059BA">
            <w:pPr>
              <w:jc w:val="right"/>
              <w:rPr>
                <w:b/>
                <w:bCs/>
                <w:color w:val="000000"/>
                <w:sz w:val="18"/>
                <w:szCs w:val="18"/>
                <w:lang w:eastAsia="tr-TR"/>
              </w:rPr>
            </w:pPr>
            <w:r w:rsidRPr="00005453">
              <w:rPr>
                <w:b/>
                <w:bCs/>
                <w:color w:val="000000"/>
                <w:sz w:val="18"/>
                <w:szCs w:val="18"/>
              </w:rPr>
              <w:t>18,729,853</w:t>
            </w:r>
          </w:p>
        </w:tc>
        <w:tc>
          <w:tcPr>
            <w:tcW w:w="1040" w:type="dxa"/>
            <w:tcBorders>
              <w:top w:val="nil"/>
              <w:left w:val="nil"/>
              <w:bottom w:val="single" w:sz="8" w:space="0" w:color="auto"/>
              <w:right w:val="single" w:sz="8" w:space="0" w:color="auto"/>
            </w:tcBorders>
            <w:shd w:val="clear" w:color="auto" w:fill="auto"/>
            <w:noWrap/>
            <w:vAlign w:val="center"/>
            <w:hideMark/>
          </w:tcPr>
          <w:p w14:paraId="70F762D7" w14:textId="753A1B5E" w:rsidR="00F059BA" w:rsidRPr="00005453" w:rsidRDefault="00F059BA" w:rsidP="00F059BA">
            <w:pPr>
              <w:jc w:val="right"/>
              <w:rPr>
                <w:b/>
                <w:bCs/>
                <w:color w:val="000000"/>
                <w:sz w:val="18"/>
                <w:szCs w:val="18"/>
                <w:lang w:eastAsia="tr-TR"/>
              </w:rPr>
            </w:pPr>
            <w:r w:rsidRPr="00005453">
              <w:rPr>
                <w:b/>
                <w:bCs/>
                <w:color w:val="000000"/>
                <w:sz w:val="18"/>
                <w:szCs w:val="18"/>
              </w:rPr>
              <w:t>448,399,260</w:t>
            </w:r>
          </w:p>
        </w:tc>
      </w:tr>
    </w:tbl>
    <w:p w14:paraId="75A38C9D" w14:textId="77777777" w:rsidR="0088185C" w:rsidRPr="00005453" w:rsidRDefault="0088185C" w:rsidP="0088185C">
      <w:pPr>
        <w:rPr>
          <w:rFonts w:eastAsia="Arial Unicode MS"/>
          <w:lang w:eastAsia="x-none"/>
        </w:rPr>
      </w:pPr>
    </w:p>
    <w:p w14:paraId="25D802DC" w14:textId="6AF289F6" w:rsidR="0088185C" w:rsidRPr="00005453" w:rsidRDefault="0088185C" w:rsidP="0088185C">
      <w:pPr>
        <w:rPr>
          <w:rFonts w:eastAsia="Arial Unicode MS"/>
          <w:lang w:eastAsia="x-none"/>
        </w:rPr>
      </w:pPr>
      <w:r w:rsidRPr="00005453">
        <w:rPr>
          <w:rFonts w:eastAsia="Arial Unicode MS"/>
          <w:lang w:eastAsia="x-none"/>
        </w:rPr>
        <w:t>* %35 Risk Ağırlığı Diğerleri kısmında sınıflandırılmıştır.</w:t>
      </w:r>
    </w:p>
    <w:p w14:paraId="09E583ED" w14:textId="1E3D428C" w:rsidR="00D6058B" w:rsidRPr="00005453" w:rsidRDefault="00D6058B" w:rsidP="0054031F">
      <w:pPr>
        <w:rPr>
          <w:rFonts w:eastAsia="Arial Unicode MS"/>
          <w:sz w:val="14"/>
          <w:lang w:eastAsia="x-none"/>
        </w:rPr>
        <w:sectPr w:rsidR="00D6058B" w:rsidRPr="00005453" w:rsidSect="00D84F4B">
          <w:pgSz w:w="16838" w:h="11906" w:orient="landscape"/>
          <w:pgMar w:top="1418" w:right="1417" w:bottom="991" w:left="1438" w:header="708" w:footer="708" w:gutter="0"/>
          <w:cols w:space="708"/>
          <w:docGrid w:linePitch="360"/>
        </w:sectPr>
      </w:pPr>
    </w:p>
    <w:p w14:paraId="4502D0AC" w14:textId="793282B0" w:rsidR="0054031F" w:rsidRPr="00005453" w:rsidRDefault="0054031F" w:rsidP="0054031F">
      <w:pPr>
        <w:spacing w:line="240" w:lineRule="exact"/>
        <w:ind w:right="851" w:hanging="567"/>
        <w:jc w:val="both"/>
        <w:rPr>
          <w:i/>
          <w:lang w:eastAsia="tr-TR"/>
        </w:rPr>
      </w:pPr>
      <w:bookmarkStart w:id="34" w:name="_Hlk125290367"/>
      <w:r w:rsidRPr="00005453">
        <w:rPr>
          <w:b/>
          <w:lang w:eastAsia="tr-TR"/>
        </w:rPr>
        <w:lastRenderedPageBreak/>
        <w:t xml:space="preserve">2.6.   </w:t>
      </w:r>
      <w:r w:rsidRPr="00005453">
        <w:rPr>
          <w:b/>
          <w:lang w:eastAsia="tr-TR"/>
        </w:rPr>
        <w:tab/>
        <w:t>Risk Ağırlığına Göre Risk Tutarları</w:t>
      </w:r>
    </w:p>
    <w:p w14:paraId="633CF667" w14:textId="494E085A" w:rsidR="008E6767" w:rsidRPr="00005453" w:rsidRDefault="008E6767" w:rsidP="0054031F">
      <w:pPr>
        <w:autoSpaceDE w:val="0"/>
        <w:autoSpaceDN w:val="0"/>
        <w:adjustRightInd w:val="0"/>
        <w:rPr>
          <w:lang w:val="en-GB" w:eastAsia="en-GB"/>
        </w:rPr>
      </w:pPr>
    </w:p>
    <w:tbl>
      <w:tblPr>
        <w:tblW w:w="10538" w:type="dxa"/>
        <w:tblInd w:w="-615" w:type="dxa"/>
        <w:tblLayout w:type="fixed"/>
        <w:tblCellMar>
          <w:left w:w="70" w:type="dxa"/>
          <w:right w:w="70" w:type="dxa"/>
        </w:tblCellMar>
        <w:tblLook w:val="04A0" w:firstRow="1" w:lastRow="0" w:firstColumn="1" w:lastColumn="0" w:noHBand="0" w:noVBand="1"/>
      </w:tblPr>
      <w:tblGrid>
        <w:gridCol w:w="1214"/>
        <w:gridCol w:w="873"/>
        <w:gridCol w:w="436"/>
        <w:gridCol w:w="825"/>
        <w:gridCol w:w="436"/>
        <w:gridCol w:w="872"/>
        <w:gridCol w:w="843"/>
        <w:gridCol w:w="860"/>
        <w:gridCol w:w="861"/>
        <w:gridCol w:w="717"/>
        <w:gridCol w:w="582"/>
        <w:gridCol w:w="852"/>
        <w:gridCol w:w="1167"/>
      </w:tblGrid>
      <w:tr w:rsidR="00FA377B" w:rsidRPr="00005453" w14:paraId="075ED77F" w14:textId="77777777" w:rsidTr="00FA377B">
        <w:trPr>
          <w:trHeight w:val="273"/>
        </w:trPr>
        <w:tc>
          <w:tcPr>
            <w:tcW w:w="1214" w:type="dxa"/>
            <w:tcBorders>
              <w:top w:val="single" w:sz="8" w:space="0" w:color="auto"/>
              <w:left w:val="nil"/>
              <w:bottom w:val="nil"/>
              <w:right w:val="nil"/>
            </w:tcBorders>
            <w:shd w:val="clear" w:color="auto" w:fill="auto"/>
            <w:vAlign w:val="center"/>
            <w:hideMark/>
          </w:tcPr>
          <w:p w14:paraId="0EB7D5BF" w14:textId="77777777" w:rsidR="00DE4A7F" w:rsidRPr="00005453" w:rsidRDefault="00DE4A7F" w:rsidP="00F52DF0">
            <w:pPr>
              <w:rPr>
                <w:b/>
                <w:bCs/>
                <w:color w:val="000000"/>
                <w:sz w:val="14"/>
                <w:szCs w:val="14"/>
                <w:lang w:eastAsia="tr-TR"/>
              </w:rPr>
            </w:pPr>
            <w:bookmarkStart w:id="35" w:name="OLE_LINK221"/>
            <w:r w:rsidRPr="00005453">
              <w:rPr>
                <w:b/>
                <w:bCs/>
                <w:color w:val="000000"/>
                <w:sz w:val="14"/>
                <w:szCs w:val="14"/>
                <w:lang w:eastAsia="tr-TR"/>
              </w:rPr>
              <w:t>Cari Dönem</w:t>
            </w:r>
          </w:p>
        </w:tc>
        <w:tc>
          <w:tcPr>
            <w:tcW w:w="873" w:type="dxa"/>
            <w:vMerge w:val="restart"/>
            <w:tcBorders>
              <w:top w:val="single" w:sz="8" w:space="0" w:color="auto"/>
              <w:left w:val="nil"/>
              <w:bottom w:val="single" w:sz="8" w:space="0" w:color="000000"/>
              <w:right w:val="nil"/>
            </w:tcBorders>
            <w:shd w:val="clear" w:color="auto" w:fill="auto"/>
            <w:vAlign w:val="center"/>
            <w:hideMark/>
          </w:tcPr>
          <w:p w14:paraId="3D8FABB2"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0%</w:t>
            </w:r>
          </w:p>
        </w:tc>
        <w:tc>
          <w:tcPr>
            <w:tcW w:w="436" w:type="dxa"/>
            <w:vMerge w:val="restart"/>
            <w:tcBorders>
              <w:top w:val="single" w:sz="8" w:space="0" w:color="auto"/>
              <w:left w:val="nil"/>
              <w:bottom w:val="single" w:sz="8" w:space="0" w:color="000000"/>
              <w:right w:val="nil"/>
            </w:tcBorders>
            <w:shd w:val="clear" w:color="auto" w:fill="auto"/>
            <w:vAlign w:val="center"/>
            <w:hideMark/>
          </w:tcPr>
          <w:p w14:paraId="4BBAA50E"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10%</w:t>
            </w:r>
          </w:p>
        </w:tc>
        <w:tc>
          <w:tcPr>
            <w:tcW w:w="825" w:type="dxa"/>
            <w:vMerge w:val="restart"/>
            <w:tcBorders>
              <w:top w:val="single" w:sz="8" w:space="0" w:color="auto"/>
              <w:left w:val="nil"/>
              <w:bottom w:val="single" w:sz="8" w:space="0" w:color="000000"/>
              <w:right w:val="nil"/>
            </w:tcBorders>
            <w:shd w:val="clear" w:color="auto" w:fill="auto"/>
            <w:vAlign w:val="center"/>
            <w:hideMark/>
          </w:tcPr>
          <w:p w14:paraId="525AD84F"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20%</w:t>
            </w:r>
          </w:p>
        </w:tc>
        <w:tc>
          <w:tcPr>
            <w:tcW w:w="436" w:type="dxa"/>
            <w:vMerge w:val="restart"/>
            <w:tcBorders>
              <w:top w:val="single" w:sz="8" w:space="0" w:color="auto"/>
              <w:left w:val="nil"/>
              <w:bottom w:val="single" w:sz="8" w:space="0" w:color="000000"/>
              <w:right w:val="nil"/>
            </w:tcBorders>
            <w:shd w:val="clear" w:color="auto" w:fill="auto"/>
            <w:vAlign w:val="center"/>
            <w:hideMark/>
          </w:tcPr>
          <w:p w14:paraId="022940D2"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25%</w:t>
            </w:r>
          </w:p>
        </w:tc>
        <w:tc>
          <w:tcPr>
            <w:tcW w:w="872" w:type="dxa"/>
            <w:vMerge w:val="restart"/>
            <w:tcBorders>
              <w:top w:val="single" w:sz="8" w:space="0" w:color="auto"/>
              <w:left w:val="nil"/>
              <w:bottom w:val="single" w:sz="8" w:space="0" w:color="000000"/>
              <w:right w:val="nil"/>
            </w:tcBorders>
            <w:shd w:val="clear" w:color="auto" w:fill="auto"/>
            <w:vAlign w:val="center"/>
            <w:hideMark/>
          </w:tcPr>
          <w:p w14:paraId="03A85DE8"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35%</w:t>
            </w:r>
          </w:p>
        </w:tc>
        <w:tc>
          <w:tcPr>
            <w:tcW w:w="843" w:type="dxa"/>
            <w:vMerge w:val="restart"/>
            <w:tcBorders>
              <w:top w:val="single" w:sz="8" w:space="0" w:color="auto"/>
              <w:left w:val="nil"/>
              <w:bottom w:val="single" w:sz="8" w:space="0" w:color="000000"/>
              <w:right w:val="nil"/>
            </w:tcBorders>
            <w:shd w:val="clear" w:color="auto" w:fill="auto"/>
            <w:vAlign w:val="center"/>
            <w:hideMark/>
          </w:tcPr>
          <w:p w14:paraId="6D2747CD"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50%</w:t>
            </w:r>
          </w:p>
        </w:tc>
        <w:tc>
          <w:tcPr>
            <w:tcW w:w="860" w:type="dxa"/>
            <w:vMerge w:val="restart"/>
            <w:tcBorders>
              <w:top w:val="single" w:sz="8" w:space="0" w:color="auto"/>
              <w:left w:val="nil"/>
              <w:bottom w:val="single" w:sz="8" w:space="0" w:color="000000"/>
              <w:right w:val="nil"/>
            </w:tcBorders>
            <w:shd w:val="clear" w:color="auto" w:fill="auto"/>
            <w:vAlign w:val="center"/>
            <w:hideMark/>
          </w:tcPr>
          <w:p w14:paraId="16FA6EFD"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75%</w:t>
            </w:r>
          </w:p>
        </w:tc>
        <w:tc>
          <w:tcPr>
            <w:tcW w:w="861" w:type="dxa"/>
            <w:vMerge w:val="restart"/>
            <w:tcBorders>
              <w:top w:val="single" w:sz="8" w:space="0" w:color="auto"/>
              <w:left w:val="nil"/>
              <w:bottom w:val="single" w:sz="8" w:space="0" w:color="000000"/>
              <w:right w:val="nil"/>
            </w:tcBorders>
            <w:shd w:val="clear" w:color="auto" w:fill="auto"/>
            <w:vAlign w:val="center"/>
            <w:hideMark/>
          </w:tcPr>
          <w:p w14:paraId="20809D47"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100%</w:t>
            </w:r>
          </w:p>
        </w:tc>
        <w:tc>
          <w:tcPr>
            <w:tcW w:w="717" w:type="dxa"/>
            <w:vMerge w:val="restart"/>
            <w:tcBorders>
              <w:top w:val="single" w:sz="8" w:space="0" w:color="auto"/>
              <w:left w:val="nil"/>
              <w:bottom w:val="single" w:sz="8" w:space="0" w:color="000000"/>
              <w:right w:val="nil"/>
            </w:tcBorders>
            <w:shd w:val="clear" w:color="auto" w:fill="auto"/>
            <w:vAlign w:val="center"/>
            <w:hideMark/>
          </w:tcPr>
          <w:p w14:paraId="011E7D92"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150%</w:t>
            </w:r>
          </w:p>
        </w:tc>
        <w:tc>
          <w:tcPr>
            <w:tcW w:w="582" w:type="dxa"/>
            <w:vMerge w:val="restart"/>
            <w:tcBorders>
              <w:top w:val="single" w:sz="8" w:space="0" w:color="auto"/>
              <w:left w:val="nil"/>
              <w:bottom w:val="single" w:sz="8" w:space="0" w:color="000000"/>
              <w:right w:val="nil"/>
            </w:tcBorders>
            <w:shd w:val="clear" w:color="auto" w:fill="auto"/>
            <w:vAlign w:val="center"/>
            <w:hideMark/>
          </w:tcPr>
          <w:p w14:paraId="09C3F62D"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250%</w:t>
            </w:r>
          </w:p>
        </w:tc>
        <w:tc>
          <w:tcPr>
            <w:tcW w:w="852" w:type="dxa"/>
            <w:vMerge w:val="restart"/>
            <w:tcBorders>
              <w:top w:val="single" w:sz="8" w:space="0" w:color="auto"/>
              <w:left w:val="nil"/>
              <w:bottom w:val="single" w:sz="8" w:space="0" w:color="000000"/>
              <w:right w:val="nil"/>
            </w:tcBorders>
            <w:shd w:val="clear" w:color="auto" w:fill="auto"/>
            <w:vAlign w:val="center"/>
            <w:hideMark/>
          </w:tcPr>
          <w:p w14:paraId="3DC7CF4D"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Diğer Risk Sınıfları</w:t>
            </w:r>
          </w:p>
        </w:tc>
        <w:tc>
          <w:tcPr>
            <w:tcW w:w="1167" w:type="dxa"/>
            <w:vMerge w:val="restart"/>
            <w:tcBorders>
              <w:top w:val="single" w:sz="8" w:space="0" w:color="auto"/>
              <w:left w:val="nil"/>
              <w:bottom w:val="single" w:sz="8" w:space="0" w:color="000000"/>
              <w:right w:val="nil"/>
            </w:tcBorders>
            <w:shd w:val="clear" w:color="auto" w:fill="auto"/>
            <w:vAlign w:val="center"/>
            <w:hideMark/>
          </w:tcPr>
          <w:p w14:paraId="35688FBB" w14:textId="77777777" w:rsidR="00DE4A7F" w:rsidRPr="00005453" w:rsidRDefault="00DE4A7F" w:rsidP="00F52DF0">
            <w:pPr>
              <w:jc w:val="right"/>
              <w:rPr>
                <w:b/>
                <w:bCs/>
                <w:color w:val="000000"/>
                <w:sz w:val="14"/>
                <w:szCs w:val="14"/>
                <w:lang w:eastAsia="tr-TR"/>
              </w:rPr>
            </w:pPr>
            <w:r w:rsidRPr="00005453">
              <w:rPr>
                <w:b/>
                <w:bCs/>
                <w:color w:val="000000"/>
                <w:sz w:val="14"/>
                <w:szCs w:val="14"/>
                <w:lang w:eastAsia="tr-TR"/>
              </w:rPr>
              <w:t>Özkaynaklardan İndirilenler</w:t>
            </w:r>
          </w:p>
        </w:tc>
      </w:tr>
      <w:tr w:rsidR="00FA377B" w:rsidRPr="00005453" w14:paraId="3FCA90C9" w14:textId="77777777" w:rsidTr="00FA377B">
        <w:trPr>
          <w:trHeight w:val="40"/>
        </w:trPr>
        <w:tc>
          <w:tcPr>
            <w:tcW w:w="1214" w:type="dxa"/>
            <w:tcBorders>
              <w:top w:val="nil"/>
              <w:left w:val="nil"/>
              <w:bottom w:val="single" w:sz="8" w:space="0" w:color="auto"/>
              <w:right w:val="nil"/>
            </w:tcBorders>
            <w:shd w:val="clear" w:color="auto" w:fill="auto"/>
            <w:vAlign w:val="center"/>
            <w:hideMark/>
          </w:tcPr>
          <w:p w14:paraId="5C7DDF74" w14:textId="77777777" w:rsidR="00DE4A7F" w:rsidRPr="00005453" w:rsidRDefault="00DE4A7F" w:rsidP="00F52DF0">
            <w:pPr>
              <w:rPr>
                <w:b/>
                <w:bCs/>
                <w:color w:val="000000"/>
                <w:sz w:val="14"/>
                <w:szCs w:val="14"/>
                <w:lang w:eastAsia="tr-TR"/>
              </w:rPr>
            </w:pPr>
            <w:r w:rsidRPr="00005453">
              <w:rPr>
                <w:b/>
                <w:bCs/>
                <w:color w:val="000000"/>
                <w:sz w:val="14"/>
                <w:szCs w:val="14"/>
                <w:lang w:eastAsia="tr-TR"/>
              </w:rPr>
              <w:t>Risk Ağırlığı</w:t>
            </w:r>
          </w:p>
        </w:tc>
        <w:tc>
          <w:tcPr>
            <w:tcW w:w="873" w:type="dxa"/>
            <w:vMerge/>
            <w:tcBorders>
              <w:top w:val="single" w:sz="8" w:space="0" w:color="auto"/>
              <w:left w:val="nil"/>
              <w:bottom w:val="single" w:sz="8" w:space="0" w:color="000000"/>
              <w:right w:val="nil"/>
            </w:tcBorders>
            <w:vAlign w:val="center"/>
            <w:hideMark/>
          </w:tcPr>
          <w:p w14:paraId="63F24772" w14:textId="77777777" w:rsidR="00DE4A7F" w:rsidRPr="00005453" w:rsidRDefault="00DE4A7F" w:rsidP="00F52DF0">
            <w:pPr>
              <w:rPr>
                <w:b/>
                <w:bCs/>
                <w:color w:val="000000"/>
                <w:sz w:val="14"/>
                <w:szCs w:val="14"/>
                <w:lang w:eastAsia="tr-TR"/>
              </w:rPr>
            </w:pPr>
          </w:p>
        </w:tc>
        <w:tc>
          <w:tcPr>
            <w:tcW w:w="436" w:type="dxa"/>
            <w:vMerge/>
            <w:tcBorders>
              <w:top w:val="single" w:sz="8" w:space="0" w:color="auto"/>
              <w:left w:val="nil"/>
              <w:bottom w:val="single" w:sz="8" w:space="0" w:color="000000"/>
              <w:right w:val="nil"/>
            </w:tcBorders>
            <w:vAlign w:val="center"/>
            <w:hideMark/>
          </w:tcPr>
          <w:p w14:paraId="60ABC63D" w14:textId="77777777" w:rsidR="00DE4A7F" w:rsidRPr="00005453" w:rsidRDefault="00DE4A7F" w:rsidP="00F52DF0">
            <w:pPr>
              <w:rPr>
                <w:b/>
                <w:bCs/>
                <w:color w:val="000000"/>
                <w:sz w:val="14"/>
                <w:szCs w:val="14"/>
                <w:lang w:eastAsia="tr-TR"/>
              </w:rPr>
            </w:pPr>
          </w:p>
        </w:tc>
        <w:tc>
          <w:tcPr>
            <w:tcW w:w="825" w:type="dxa"/>
            <w:vMerge/>
            <w:tcBorders>
              <w:top w:val="single" w:sz="8" w:space="0" w:color="auto"/>
              <w:left w:val="nil"/>
              <w:bottom w:val="single" w:sz="8" w:space="0" w:color="000000"/>
              <w:right w:val="nil"/>
            </w:tcBorders>
            <w:vAlign w:val="center"/>
            <w:hideMark/>
          </w:tcPr>
          <w:p w14:paraId="38E10C98" w14:textId="77777777" w:rsidR="00DE4A7F" w:rsidRPr="00005453" w:rsidRDefault="00DE4A7F" w:rsidP="00F52DF0">
            <w:pPr>
              <w:rPr>
                <w:b/>
                <w:bCs/>
                <w:color w:val="000000"/>
                <w:sz w:val="14"/>
                <w:szCs w:val="14"/>
                <w:lang w:eastAsia="tr-TR"/>
              </w:rPr>
            </w:pPr>
          </w:p>
        </w:tc>
        <w:tc>
          <w:tcPr>
            <w:tcW w:w="436" w:type="dxa"/>
            <w:vMerge/>
            <w:tcBorders>
              <w:top w:val="single" w:sz="8" w:space="0" w:color="auto"/>
              <w:left w:val="nil"/>
              <w:bottom w:val="single" w:sz="8" w:space="0" w:color="000000"/>
              <w:right w:val="nil"/>
            </w:tcBorders>
            <w:vAlign w:val="center"/>
            <w:hideMark/>
          </w:tcPr>
          <w:p w14:paraId="2CACF56B" w14:textId="77777777" w:rsidR="00DE4A7F" w:rsidRPr="00005453" w:rsidRDefault="00DE4A7F" w:rsidP="00F52DF0">
            <w:pPr>
              <w:rPr>
                <w:b/>
                <w:bCs/>
                <w:color w:val="000000"/>
                <w:sz w:val="14"/>
                <w:szCs w:val="14"/>
                <w:lang w:eastAsia="tr-TR"/>
              </w:rPr>
            </w:pPr>
          </w:p>
        </w:tc>
        <w:tc>
          <w:tcPr>
            <w:tcW w:w="872" w:type="dxa"/>
            <w:vMerge/>
            <w:tcBorders>
              <w:top w:val="single" w:sz="8" w:space="0" w:color="auto"/>
              <w:left w:val="nil"/>
              <w:bottom w:val="single" w:sz="8" w:space="0" w:color="000000"/>
              <w:right w:val="nil"/>
            </w:tcBorders>
            <w:vAlign w:val="center"/>
            <w:hideMark/>
          </w:tcPr>
          <w:p w14:paraId="024FC751" w14:textId="77777777" w:rsidR="00DE4A7F" w:rsidRPr="00005453" w:rsidRDefault="00DE4A7F" w:rsidP="00F52DF0">
            <w:pPr>
              <w:rPr>
                <w:b/>
                <w:bCs/>
                <w:color w:val="000000"/>
                <w:sz w:val="14"/>
                <w:szCs w:val="14"/>
                <w:lang w:eastAsia="tr-TR"/>
              </w:rPr>
            </w:pPr>
          </w:p>
        </w:tc>
        <w:tc>
          <w:tcPr>
            <w:tcW w:w="843" w:type="dxa"/>
            <w:vMerge/>
            <w:tcBorders>
              <w:top w:val="single" w:sz="8" w:space="0" w:color="auto"/>
              <w:left w:val="nil"/>
              <w:bottom w:val="single" w:sz="8" w:space="0" w:color="000000"/>
              <w:right w:val="nil"/>
            </w:tcBorders>
            <w:vAlign w:val="center"/>
            <w:hideMark/>
          </w:tcPr>
          <w:p w14:paraId="499E1FCE" w14:textId="77777777" w:rsidR="00DE4A7F" w:rsidRPr="00005453" w:rsidRDefault="00DE4A7F" w:rsidP="00F52DF0">
            <w:pPr>
              <w:rPr>
                <w:b/>
                <w:bCs/>
                <w:color w:val="000000"/>
                <w:sz w:val="14"/>
                <w:szCs w:val="14"/>
                <w:lang w:eastAsia="tr-TR"/>
              </w:rPr>
            </w:pPr>
          </w:p>
        </w:tc>
        <w:tc>
          <w:tcPr>
            <w:tcW w:w="860" w:type="dxa"/>
            <w:vMerge/>
            <w:tcBorders>
              <w:top w:val="single" w:sz="8" w:space="0" w:color="auto"/>
              <w:left w:val="nil"/>
              <w:bottom w:val="single" w:sz="8" w:space="0" w:color="000000"/>
              <w:right w:val="nil"/>
            </w:tcBorders>
            <w:vAlign w:val="center"/>
            <w:hideMark/>
          </w:tcPr>
          <w:p w14:paraId="5236F036" w14:textId="77777777" w:rsidR="00DE4A7F" w:rsidRPr="00005453" w:rsidRDefault="00DE4A7F" w:rsidP="00F52DF0">
            <w:pPr>
              <w:rPr>
                <w:b/>
                <w:bCs/>
                <w:color w:val="000000"/>
                <w:sz w:val="14"/>
                <w:szCs w:val="14"/>
                <w:lang w:eastAsia="tr-TR"/>
              </w:rPr>
            </w:pPr>
          </w:p>
        </w:tc>
        <w:tc>
          <w:tcPr>
            <w:tcW w:w="861" w:type="dxa"/>
            <w:vMerge/>
            <w:tcBorders>
              <w:top w:val="single" w:sz="8" w:space="0" w:color="auto"/>
              <w:left w:val="nil"/>
              <w:bottom w:val="single" w:sz="8" w:space="0" w:color="000000"/>
              <w:right w:val="nil"/>
            </w:tcBorders>
            <w:vAlign w:val="center"/>
            <w:hideMark/>
          </w:tcPr>
          <w:p w14:paraId="20AA3850" w14:textId="77777777" w:rsidR="00DE4A7F" w:rsidRPr="00005453" w:rsidRDefault="00DE4A7F" w:rsidP="00F52DF0">
            <w:pPr>
              <w:rPr>
                <w:b/>
                <w:bCs/>
                <w:color w:val="000000"/>
                <w:sz w:val="14"/>
                <w:szCs w:val="14"/>
                <w:lang w:eastAsia="tr-TR"/>
              </w:rPr>
            </w:pPr>
          </w:p>
        </w:tc>
        <w:tc>
          <w:tcPr>
            <w:tcW w:w="717" w:type="dxa"/>
            <w:vMerge/>
            <w:tcBorders>
              <w:top w:val="single" w:sz="8" w:space="0" w:color="auto"/>
              <w:left w:val="nil"/>
              <w:bottom w:val="single" w:sz="8" w:space="0" w:color="000000"/>
              <w:right w:val="nil"/>
            </w:tcBorders>
            <w:vAlign w:val="center"/>
            <w:hideMark/>
          </w:tcPr>
          <w:p w14:paraId="3D3F0FBB" w14:textId="77777777" w:rsidR="00DE4A7F" w:rsidRPr="00005453" w:rsidRDefault="00DE4A7F" w:rsidP="00F52DF0">
            <w:pPr>
              <w:rPr>
                <w:b/>
                <w:bCs/>
                <w:color w:val="000000"/>
                <w:sz w:val="14"/>
                <w:szCs w:val="14"/>
                <w:lang w:eastAsia="tr-TR"/>
              </w:rPr>
            </w:pPr>
          </w:p>
        </w:tc>
        <w:tc>
          <w:tcPr>
            <w:tcW w:w="582" w:type="dxa"/>
            <w:vMerge/>
            <w:tcBorders>
              <w:top w:val="single" w:sz="8" w:space="0" w:color="auto"/>
              <w:left w:val="nil"/>
              <w:bottom w:val="single" w:sz="8" w:space="0" w:color="000000"/>
              <w:right w:val="nil"/>
            </w:tcBorders>
            <w:vAlign w:val="center"/>
            <w:hideMark/>
          </w:tcPr>
          <w:p w14:paraId="374B5B64" w14:textId="77777777" w:rsidR="00DE4A7F" w:rsidRPr="00005453" w:rsidRDefault="00DE4A7F" w:rsidP="00F52DF0">
            <w:pPr>
              <w:rPr>
                <w:b/>
                <w:bCs/>
                <w:color w:val="000000"/>
                <w:sz w:val="14"/>
                <w:szCs w:val="14"/>
                <w:lang w:eastAsia="tr-TR"/>
              </w:rPr>
            </w:pPr>
          </w:p>
        </w:tc>
        <w:tc>
          <w:tcPr>
            <w:tcW w:w="852" w:type="dxa"/>
            <w:vMerge/>
            <w:tcBorders>
              <w:top w:val="single" w:sz="8" w:space="0" w:color="auto"/>
              <w:left w:val="nil"/>
              <w:bottom w:val="single" w:sz="8" w:space="0" w:color="000000"/>
              <w:right w:val="nil"/>
            </w:tcBorders>
            <w:vAlign w:val="center"/>
            <w:hideMark/>
          </w:tcPr>
          <w:p w14:paraId="60FDD8BA" w14:textId="77777777" w:rsidR="00DE4A7F" w:rsidRPr="00005453" w:rsidRDefault="00DE4A7F" w:rsidP="00F52DF0">
            <w:pPr>
              <w:rPr>
                <w:b/>
                <w:bCs/>
                <w:color w:val="000000"/>
                <w:sz w:val="14"/>
                <w:szCs w:val="14"/>
                <w:lang w:eastAsia="tr-TR"/>
              </w:rPr>
            </w:pPr>
          </w:p>
        </w:tc>
        <w:tc>
          <w:tcPr>
            <w:tcW w:w="1167" w:type="dxa"/>
            <w:vMerge/>
            <w:tcBorders>
              <w:top w:val="single" w:sz="8" w:space="0" w:color="auto"/>
              <w:left w:val="nil"/>
              <w:bottom w:val="single" w:sz="8" w:space="0" w:color="000000"/>
              <w:right w:val="nil"/>
            </w:tcBorders>
            <w:vAlign w:val="center"/>
            <w:hideMark/>
          </w:tcPr>
          <w:p w14:paraId="057049C4" w14:textId="77777777" w:rsidR="00DE4A7F" w:rsidRPr="00005453" w:rsidRDefault="00DE4A7F" w:rsidP="00F52DF0">
            <w:pPr>
              <w:rPr>
                <w:b/>
                <w:bCs/>
                <w:color w:val="000000"/>
                <w:sz w:val="14"/>
                <w:szCs w:val="14"/>
                <w:lang w:eastAsia="tr-TR"/>
              </w:rPr>
            </w:pPr>
          </w:p>
        </w:tc>
      </w:tr>
      <w:tr w:rsidR="00FA377B" w:rsidRPr="00005453" w14:paraId="344B9994" w14:textId="77777777" w:rsidTr="00FA377B">
        <w:trPr>
          <w:trHeight w:val="379"/>
        </w:trPr>
        <w:tc>
          <w:tcPr>
            <w:tcW w:w="1214" w:type="dxa"/>
            <w:vMerge w:val="restart"/>
            <w:tcBorders>
              <w:top w:val="nil"/>
              <w:left w:val="nil"/>
              <w:bottom w:val="nil"/>
              <w:right w:val="nil"/>
            </w:tcBorders>
            <w:shd w:val="clear" w:color="auto" w:fill="auto"/>
            <w:vAlign w:val="center"/>
            <w:hideMark/>
          </w:tcPr>
          <w:p w14:paraId="59214BC8" w14:textId="77777777" w:rsidR="007309F6" w:rsidRPr="00005453" w:rsidRDefault="007309F6" w:rsidP="007309F6">
            <w:pPr>
              <w:rPr>
                <w:color w:val="000000"/>
                <w:sz w:val="14"/>
                <w:szCs w:val="14"/>
                <w:lang w:eastAsia="tr-TR"/>
              </w:rPr>
            </w:pPr>
            <w:r w:rsidRPr="00005453">
              <w:rPr>
                <w:color w:val="000000"/>
                <w:sz w:val="14"/>
                <w:szCs w:val="14"/>
                <w:lang w:eastAsia="tr-TR"/>
              </w:rPr>
              <w:t>Kredi Riski Azaltımı Öncesi</w:t>
            </w:r>
          </w:p>
        </w:tc>
        <w:tc>
          <w:tcPr>
            <w:tcW w:w="873" w:type="dxa"/>
            <w:vMerge w:val="restart"/>
            <w:tcBorders>
              <w:top w:val="nil"/>
              <w:left w:val="nil"/>
              <w:bottom w:val="nil"/>
              <w:right w:val="nil"/>
            </w:tcBorders>
            <w:shd w:val="clear" w:color="auto" w:fill="auto"/>
            <w:vAlign w:val="center"/>
            <w:hideMark/>
          </w:tcPr>
          <w:p w14:paraId="6D650C8C" w14:textId="056C99EB" w:rsidR="007309F6" w:rsidRPr="00005453" w:rsidRDefault="007309F6" w:rsidP="00DB402B">
            <w:pPr>
              <w:jc w:val="right"/>
              <w:rPr>
                <w:color w:val="000000"/>
                <w:sz w:val="14"/>
                <w:szCs w:val="14"/>
                <w:lang w:eastAsia="tr-TR"/>
              </w:rPr>
            </w:pPr>
            <w:r w:rsidRPr="00005453">
              <w:rPr>
                <w:sz w:val="14"/>
                <w:szCs w:val="18"/>
              </w:rPr>
              <w:t>264,057,047</w:t>
            </w:r>
          </w:p>
        </w:tc>
        <w:tc>
          <w:tcPr>
            <w:tcW w:w="436" w:type="dxa"/>
            <w:vMerge w:val="restart"/>
            <w:tcBorders>
              <w:top w:val="nil"/>
              <w:left w:val="nil"/>
              <w:bottom w:val="nil"/>
              <w:right w:val="nil"/>
            </w:tcBorders>
            <w:shd w:val="clear" w:color="auto" w:fill="auto"/>
            <w:vAlign w:val="center"/>
            <w:hideMark/>
          </w:tcPr>
          <w:p w14:paraId="589F4F58" w14:textId="3F78790A" w:rsidR="007309F6" w:rsidRPr="00005453" w:rsidRDefault="007309F6" w:rsidP="00DB402B">
            <w:pPr>
              <w:jc w:val="right"/>
              <w:rPr>
                <w:color w:val="000000"/>
                <w:sz w:val="14"/>
                <w:szCs w:val="14"/>
                <w:lang w:eastAsia="tr-TR"/>
              </w:rPr>
            </w:pPr>
            <w:r w:rsidRPr="00005453">
              <w:rPr>
                <w:sz w:val="14"/>
                <w:szCs w:val="18"/>
              </w:rPr>
              <w:t>-</w:t>
            </w:r>
          </w:p>
        </w:tc>
        <w:tc>
          <w:tcPr>
            <w:tcW w:w="825" w:type="dxa"/>
            <w:vMerge w:val="restart"/>
            <w:tcBorders>
              <w:top w:val="nil"/>
              <w:left w:val="nil"/>
              <w:bottom w:val="nil"/>
              <w:right w:val="nil"/>
            </w:tcBorders>
            <w:shd w:val="clear" w:color="auto" w:fill="auto"/>
            <w:vAlign w:val="center"/>
            <w:hideMark/>
          </w:tcPr>
          <w:p w14:paraId="72B3BFCD" w14:textId="32BE4A15" w:rsidR="007309F6" w:rsidRPr="00005453" w:rsidRDefault="007309F6" w:rsidP="00DB402B">
            <w:pPr>
              <w:jc w:val="right"/>
              <w:rPr>
                <w:color w:val="000000"/>
                <w:sz w:val="14"/>
                <w:szCs w:val="14"/>
                <w:lang w:eastAsia="tr-TR"/>
              </w:rPr>
            </w:pPr>
            <w:r w:rsidRPr="00005453">
              <w:rPr>
                <w:sz w:val="14"/>
                <w:szCs w:val="18"/>
              </w:rPr>
              <w:t>23,650,756</w:t>
            </w:r>
          </w:p>
        </w:tc>
        <w:tc>
          <w:tcPr>
            <w:tcW w:w="436" w:type="dxa"/>
            <w:vMerge w:val="restart"/>
            <w:tcBorders>
              <w:top w:val="nil"/>
              <w:left w:val="nil"/>
              <w:bottom w:val="nil"/>
              <w:right w:val="nil"/>
            </w:tcBorders>
            <w:shd w:val="clear" w:color="auto" w:fill="auto"/>
            <w:vAlign w:val="center"/>
            <w:hideMark/>
          </w:tcPr>
          <w:p w14:paraId="74D21DB2" w14:textId="070F8D9C" w:rsidR="007309F6" w:rsidRPr="00005453" w:rsidRDefault="007309F6" w:rsidP="00DB402B">
            <w:pPr>
              <w:jc w:val="right"/>
              <w:rPr>
                <w:color w:val="000000"/>
                <w:sz w:val="14"/>
                <w:szCs w:val="14"/>
                <w:lang w:eastAsia="tr-TR"/>
              </w:rPr>
            </w:pPr>
            <w:r w:rsidRPr="00005453">
              <w:rPr>
                <w:sz w:val="14"/>
                <w:szCs w:val="18"/>
              </w:rPr>
              <w:t>-</w:t>
            </w:r>
          </w:p>
        </w:tc>
        <w:tc>
          <w:tcPr>
            <w:tcW w:w="872" w:type="dxa"/>
            <w:vMerge w:val="restart"/>
            <w:tcBorders>
              <w:top w:val="nil"/>
              <w:left w:val="nil"/>
              <w:bottom w:val="nil"/>
              <w:right w:val="nil"/>
            </w:tcBorders>
            <w:shd w:val="clear" w:color="auto" w:fill="auto"/>
            <w:vAlign w:val="center"/>
            <w:hideMark/>
          </w:tcPr>
          <w:p w14:paraId="3BCA2A2E" w14:textId="5B392BDD" w:rsidR="007309F6" w:rsidRPr="00005453" w:rsidRDefault="007309F6" w:rsidP="00DB402B">
            <w:pPr>
              <w:jc w:val="right"/>
              <w:rPr>
                <w:color w:val="000000"/>
                <w:sz w:val="14"/>
                <w:szCs w:val="14"/>
                <w:lang w:eastAsia="tr-TR"/>
              </w:rPr>
            </w:pPr>
            <w:r w:rsidRPr="00005453">
              <w:rPr>
                <w:sz w:val="14"/>
                <w:szCs w:val="18"/>
              </w:rPr>
              <w:t>34,666,544</w:t>
            </w:r>
          </w:p>
        </w:tc>
        <w:tc>
          <w:tcPr>
            <w:tcW w:w="843" w:type="dxa"/>
            <w:vMerge w:val="restart"/>
            <w:tcBorders>
              <w:top w:val="nil"/>
              <w:left w:val="nil"/>
              <w:bottom w:val="nil"/>
              <w:right w:val="nil"/>
            </w:tcBorders>
            <w:shd w:val="clear" w:color="auto" w:fill="auto"/>
            <w:vAlign w:val="center"/>
            <w:hideMark/>
          </w:tcPr>
          <w:p w14:paraId="55C0EB92" w14:textId="3AA050FC" w:rsidR="007309F6" w:rsidRPr="00005453" w:rsidRDefault="007309F6" w:rsidP="00DB402B">
            <w:pPr>
              <w:jc w:val="right"/>
              <w:rPr>
                <w:color w:val="000000"/>
                <w:sz w:val="14"/>
                <w:szCs w:val="14"/>
                <w:lang w:eastAsia="tr-TR"/>
              </w:rPr>
            </w:pPr>
            <w:r w:rsidRPr="00005453">
              <w:rPr>
                <w:sz w:val="14"/>
                <w:szCs w:val="18"/>
              </w:rPr>
              <w:t>43,716,521</w:t>
            </w:r>
          </w:p>
        </w:tc>
        <w:tc>
          <w:tcPr>
            <w:tcW w:w="860" w:type="dxa"/>
            <w:vMerge w:val="restart"/>
            <w:tcBorders>
              <w:top w:val="nil"/>
              <w:left w:val="nil"/>
              <w:bottom w:val="nil"/>
              <w:right w:val="nil"/>
            </w:tcBorders>
            <w:shd w:val="clear" w:color="auto" w:fill="auto"/>
            <w:vAlign w:val="center"/>
            <w:hideMark/>
          </w:tcPr>
          <w:p w14:paraId="651A171B" w14:textId="0EE46CDF" w:rsidR="007309F6" w:rsidRPr="00005453" w:rsidRDefault="007309F6" w:rsidP="00DB402B">
            <w:pPr>
              <w:jc w:val="right"/>
              <w:rPr>
                <w:color w:val="000000"/>
                <w:sz w:val="14"/>
                <w:szCs w:val="14"/>
                <w:lang w:eastAsia="tr-TR"/>
              </w:rPr>
            </w:pPr>
            <w:r w:rsidRPr="00005453">
              <w:rPr>
                <w:sz w:val="14"/>
                <w:szCs w:val="18"/>
              </w:rPr>
              <w:t>80,836,540</w:t>
            </w:r>
          </w:p>
        </w:tc>
        <w:tc>
          <w:tcPr>
            <w:tcW w:w="861" w:type="dxa"/>
            <w:vMerge w:val="restart"/>
            <w:tcBorders>
              <w:top w:val="nil"/>
              <w:left w:val="nil"/>
              <w:bottom w:val="nil"/>
              <w:right w:val="nil"/>
            </w:tcBorders>
            <w:shd w:val="clear" w:color="auto" w:fill="auto"/>
            <w:vAlign w:val="center"/>
            <w:hideMark/>
          </w:tcPr>
          <w:p w14:paraId="34F54332" w14:textId="3AD6D130" w:rsidR="007309F6" w:rsidRPr="00005453" w:rsidRDefault="007309F6" w:rsidP="00DB402B">
            <w:pPr>
              <w:jc w:val="right"/>
              <w:rPr>
                <w:color w:val="000000"/>
                <w:sz w:val="14"/>
                <w:szCs w:val="14"/>
                <w:lang w:eastAsia="tr-TR"/>
              </w:rPr>
            </w:pPr>
            <w:r w:rsidRPr="00005453">
              <w:rPr>
                <w:sz w:val="14"/>
                <w:szCs w:val="18"/>
              </w:rPr>
              <w:t>210,811,438</w:t>
            </w:r>
          </w:p>
        </w:tc>
        <w:tc>
          <w:tcPr>
            <w:tcW w:w="717" w:type="dxa"/>
            <w:vMerge w:val="restart"/>
            <w:tcBorders>
              <w:top w:val="nil"/>
              <w:left w:val="nil"/>
              <w:bottom w:val="nil"/>
              <w:right w:val="nil"/>
            </w:tcBorders>
            <w:shd w:val="clear" w:color="auto" w:fill="auto"/>
            <w:vAlign w:val="center"/>
            <w:hideMark/>
          </w:tcPr>
          <w:p w14:paraId="401FAD94" w14:textId="25268B66" w:rsidR="007309F6" w:rsidRPr="00005453" w:rsidRDefault="007309F6" w:rsidP="00DB402B">
            <w:pPr>
              <w:jc w:val="right"/>
              <w:rPr>
                <w:color w:val="000000"/>
                <w:sz w:val="14"/>
                <w:szCs w:val="14"/>
                <w:lang w:eastAsia="tr-TR"/>
              </w:rPr>
            </w:pPr>
            <w:r w:rsidRPr="00005453">
              <w:rPr>
                <w:sz w:val="14"/>
                <w:szCs w:val="18"/>
              </w:rPr>
              <w:t>2</w:t>
            </w:r>
          </w:p>
        </w:tc>
        <w:tc>
          <w:tcPr>
            <w:tcW w:w="582" w:type="dxa"/>
            <w:vMerge w:val="restart"/>
            <w:tcBorders>
              <w:top w:val="nil"/>
              <w:left w:val="nil"/>
              <w:bottom w:val="nil"/>
              <w:right w:val="nil"/>
            </w:tcBorders>
            <w:shd w:val="clear" w:color="auto" w:fill="auto"/>
            <w:vAlign w:val="center"/>
            <w:hideMark/>
          </w:tcPr>
          <w:p w14:paraId="1A52ED7F" w14:textId="416C9883" w:rsidR="007309F6" w:rsidRPr="00005453" w:rsidRDefault="007309F6" w:rsidP="00DB402B">
            <w:pPr>
              <w:jc w:val="right"/>
              <w:rPr>
                <w:color w:val="000000"/>
                <w:sz w:val="14"/>
                <w:szCs w:val="14"/>
                <w:lang w:eastAsia="tr-TR"/>
              </w:rPr>
            </w:pPr>
            <w:r w:rsidRPr="00005453">
              <w:rPr>
                <w:sz w:val="14"/>
                <w:szCs w:val="18"/>
              </w:rPr>
              <w:t>-</w:t>
            </w:r>
          </w:p>
        </w:tc>
        <w:tc>
          <w:tcPr>
            <w:tcW w:w="852" w:type="dxa"/>
            <w:vMerge w:val="restart"/>
            <w:tcBorders>
              <w:top w:val="nil"/>
              <w:left w:val="nil"/>
              <w:bottom w:val="nil"/>
              <w:right w:val="nil"/>
            </w:tcBorders>
            <w:shd w:val="clear" w:color="auto" w:fill="auto"/>
            <w:vAlign w:val="center"/>
            <w:hideMark/>
          </w:tcPr>
          <w:p w14:paraId="7A6DD5BC" w14:textId="3CA32150" w:rsidR="007309F6" w:rsidRPr="00005453" w:rsidRDefault="007309F6" w:rsidP="00DB402B">
            <w:pPr>
              <w:jc w:val="right"/>
              <w:rPr>
                <w:color w:val="000000"/>
                <w:sz w:val="14"/>
                <w:szCs w:val="14"/>
                <w:lang w:eastAsia="tr-TR"/>
              </w:rPr>
            </w:pPr>
            <w:r w:rsidRPr="00005453">
              <w:rPr>
                <w:sz w:val="14"/>
                <w:szCs w:val="18"/>
              </w:rPr>
              <w:t>1,593,685</w:t>
            </w:r>
          </w:p>
        </w:tc>
        <w:tc>
          <w:tcPr>
            <w:tcW w:w="1167" w:type="dxa"/>
            <w:vMerge w:val="restart"/>
            <w:tcBorders>
              <w:top w:val="nil"/>
              <w:left w:val="nil"/>
              <w:bottom w:val="nil"/>
              <w:right w:val="nil"/>
            </w:tcBorders>
            <w:shd w:val="clear" w:color="auto" w:fill="auto"/>
            <w:vAlign w:val="center"/>
            <w:hideMark/>
          </w:tcPr>
          <w:p w14:paraId="62AD7AC4" w14:textId="2A33FB17" w:rsidR="007309F6" w:rsidRPr="00005453" w:rsidRDefault="007309F6" w:rsidP="00DB402B">
            <w:pPr>
              <w:jc w:val="right"/>
              <w:rPr>
                <w:color w:val="000000"/>
                <w:sz w:val="14"/>
                <w:szCs w:val="14"/>
                <w:lang w:eastAsia="tr-TR"/>
              </w:rPr>
            </w:pPr>
            <w:r w:rsidRPr="00005453">
              <w:rPr>
                <w:sz w:val="14"/>
                <w:szCs w:val="18"/>
              </w:rPr>
              <w:t>-</w:t>
            </w:r>
          </w:p>
        </w:tc>
      </w:tr>
      <w:tr w:rsidR="00FA377B" w:rsidRPr="00005453" w14:paraId="78289FEF" w14:textId="77777777" w:rsidTr="00FA377B">
        <w:trPr>
          <w:trHeight w:val="230"/>
        </w:trPr>
        <w:tc>
          <w:tcPr>
            <w:tcW w:w="1214" w:type="dxa"/>
            <w:vMerge/>
            <w:tcBorders>
              <w:top w:val="nil"/>
              <w:left w:val="nil"/>
              <w:right w:val="nil"/>
            </w:tcBorders>
            <w:vAlign w:val="center"/>
            <w:hideMark/>
          </w:tcPr>
          <w:p w14:paraId="534F9D94" w14:textId="77777777" w:rsidR="00DE4A7F" w:rsidRPr="00005453" w:rsidRDefault="00DE4A7F" w:rsidP="00F52DF0">
            <w:pPr>
              <w:rPr>
                <w:color w:val="000000"/>
                <w:sz w:val="14"/>
                <w:szCs w:val="14"/>
                <w:lang w:eastAsia="tr-TR"/>
              </w:rPr>
            </w:pPr>
          </w:p>
        </w:tc>
        <w:tc>
          <w:tcPr>
            <w:tcW w:w="873" w:type="dxa"/>
            <w:vMerge/>
            <w:tcBorders>
              <w:top w:val="nil"/>
              <w:left w:val="nil"/>
              <w:right w:val="nil"/>
            </w:tcBorders>
            <w:vAlign w:val="center"/>
            <w:hideMark/>
          </w:tcPr>
          <w:p w14:paraId="305D164D" w14:textId="77777777" w:rsidR="00DE4A7F" w:rsidRPr="00005453" w:rsidRDefault="00DE4A7F" w:rsidP="00DB402B">
            <w:pPr>
              <w:jc w:val="right"/>
              <w:rPr>
                <w:color w:val="000000"/>
                <w:sz w:val="14"/>
                <w:szCs w:val="14"/>
                <w:lang w:eastAsia="tr-TR"/>
              </w:rPr>
            </w:pPr>
          </w:p>
        </w:tc>
        <w:tc>
          <w:tcPr>
            <w:tcW w:w="436" w:type="dxa"/>
            <w:vMerge/>
            <w:tcBorders>
              <w:top w:val="nil"/>
              <w:left w:val="nil"/>
              <w:right w:val="nil"/>
            </w:tcBorders>
            <w:vAlign w:val="center"/>
            <w:hideMark/>
          </w:tcPr>
          <w:p w14:paraId="7E2D5226" w14:textId="77777777" w:rsidR="00DE4A7F" w:rsidRPr="00005453" w:rsidRDefault="00DE4A7F" w:rsidP="00DB402B">
            <w:pPr>
              <w:jc w:val="right"/>
              <w:rPr>
                <w:color w:val="000000"/>
                <w:sz w:val="14"/>
                <w:szCs w:val="14"/>
                <w:lang w:eastAsia="tr-TR"/>
              </w:rPr>
            </w:pPr>
          </w:p>
        </w:tc>
        <w:tc>
          <w:tcPr>
            <w:tcW w:w="825" w:type="dxa"/>
            <w:vMerge/>
            <w:tcBorders>
              <w:top w:val="nil"/>
              <w:left w:val="nil"/>
              <w:right w:val="nil"/>
            </w:tcBorders>
            <w:vAlign w:val="center"/>
            <w:hideMark/>
          </w:tcPr>
          <w:p w14:paraId="2BB57544" w14:textId="77777777" w:rsidR="00DE4A7F" w:rsidRPr="00005453" w:rsidRDefault="00DE4A7F" w:rsidP="00DB402B">
            <w:pPr>
              <w:jc w:val="right"/>
              <w:rPr>
                <w:color w:val="000000"/>
                <w:sz w:val="14"/>
                <w:szCs w:val="14"/>
                <w:lang w:eastAsia="tr-TR"/>
              </w:rPr>
            </w:pPr>
          </w:p>
        </w:tc>
        <w:tc>
          <w:tcPr>
            <w:tcW w:w="436" w:type="dxa"/>
            <w:vMerge/>
            <w:tcBorders>
              <w:top w:val="nil"/>
              <w:left w:val="nil"/>
              <w:right w:val="nil"/>
            </w:tcBorders>
            <w:vAlign w:val="center"/>
            <w:hideMark/>
          </w:tcPr>
          <w:p w14:paraId="6B60761C" w14:textId="77777777" w:rsidR="00DE4A7F" w:rsidRPr="00005453" w:rsidRDefault="00DE4A7F" w:rsidP="00DB402B">
            <w:pPr>
              <w:jc w:val="right"/>
              <w:rPr>
                <w:color w:val="000000"/>
                <w:sz w:val="14"/>
                <w:szCs w:val="14"/>
                <w:lang w:eastAsia="tr-TR"/>
              </w:rPr>
            </w:pPr>
          </w:p>
        </w:tc>
        <w:tc>
          <w:tcPr>
            <w:tcW w:w="872" w:type="dxa"/>
            <w:vMerge/>
            <w:tcBorders>
              <w:top w:val="nil"/>
              <w:left w:val="nil"/>
              <w:right w:val="nil"/>
            </w:tcBorders>
            <w:vAlign w:val="center"/>
            <w:hideMark/>
          </w:tcPr>
          <w:p w14:paraId="6EA00A27" w14:textId="77777777" w:rsidR="00DE4A7F" w:rsidRPr="00005453" w:rsidRDefault="00DE4A7F" w:rsidP="00DB402B">
            <w:pPr>
              <w:jc w:val="right"/>
              <w:rPr>
                <w:color w:val="000000"/>
                <w:sz w:val="14"/>
                <w:szCs w:val="14"/>
                <w:lang w:eastAsia="tr-TR"/>
              </w:rPr>
            </w:pPr>
          </w:p>
        </w:tc>
        <w:tc>
          <w:tcPr>
            <w:tcW w:w="843" w:type="dxa"/>
            <w:vMerge/>
            <w:tcBorders>
              <w:top w:val="nil"/>
              <w:left w:val="nil"/>
              <w:right w:val="nil"/>
            </w:tcBorders>
            <w:vAlign w:val="center"/>
            <w:hideMark/>
          </w:tcPr>
          <w:p w14:paraId="0CB26F49" w14:textId="77777777" w:rsidR="00DE4A7F" w:rsidRPr="00005453" w:rsidRDefault="00DE4A7F" w:rsidP="00DB402B">
            <w:pPr>
              <w:jc w:val="right"/>
              <w:rPr>
                <w:color w:val="000000"/>
                <w:sz w:val="14"/>
                <w:szCs w:val="14"/>
                <w:lang w:eastAsia="tr-TR"/>
              </w:rPr>
            </w:pPr>
          </w:p>
        </w:tc>
        <w:tc>
          <w:tcPr>
            <w:tcW w:w="860" w:type="dxa"/>
            <w:vMerge/>
            <w:tcBorders>
              <w:top w:val="nil"/>
              <w:left w:val="nil"/>
              <w:right w:val="nil"/>
            </w:tcBorders>
            <w:vAlign w:val="center"/>
            <w:hideMark/>
          </w:tcPr>
          <w:p w14:paraId="3463F366" w14:textId="77777777" w:rsidR="00DE4A7F" w:rsidRPr="00005453" w:rsidRDefault="00DE4A7F" w:rsidP="00DB402B">
            <w:pPr>
              <w:jc w:val="right"/>
              <w:rPr>
                <w:color w:val="000000"/>
                <w:sz w:val="14"/>
                <w:szCs w:val="14"/>
                <w:lang w:eastAsia="tr-TR"/>
              </w:rPr>
            </w:pPr>
          </w:p>
        </w:tc>
        <w:tc>
          <w:tcPr>
            <w:tcW w:w="861" w:type="dxa"/>
            <w:vMerge/>
            <w:tcBorders>
              <w:top w:val="nil"/>
              <w:left w:val="nil"/>
              <w:right w:val="nil"/>
            </w:tcBorders>
            <w:vAlign w:val="center"/>
            <w:hideMark/>
          </w:tcPr>
          <w:p w14:paraId="797D6C83" w14:textId="77777777" w:rsidR="00DE4A7F" w:rsidRPr="00005453" w:rsidRDefault="00DE4A7F" w:rsidP="00DB402B">
            <w:pPr>
              <w:jc w:val="right"/>
              <w:rPr>
                <w:color w:val="000000"/>
                <w:sz w:val="14"/>
                <w:szCs w:val="14"/>
                <w:lang w:eastAsia="tr-TR"/>
              </w:rPr>
            </w:pPr>
          </w:p>
        </w:tc>
        <w:tc>
          <w:tcPr>
            <w:tcW w:w="717" w:type="dxa"/>
            <w:vMerge/>
            <w:tcBorders>
              <w:top w:val="nil"/>
              <w:left w:val="nil"/>
              <w:right w:val="nil"/>
            </w:tcBorders>
            <w:vAlign w:val="center"/>
            <w:hideMark/>
          </w:tcPr>
          <w:p w14:paraId="5BB8E356" w14:textId="77777777" w:rsidR="00DE4A7F" w:rsidRPr="00005453" w:rsidRDefault="00DE4A7F" w:rsidP="00DB402B">
            <w:pPr>
              <w:jc w:val="right"/>
              <w:rPr>
                <w:color w:val="000000"/>
                <w:sz w:val="14"/>
                <w:szCs w:val="14"/>
                <w:lang w:eastAsia="tr-TR"/>
              </w:rPr>
            </w:pPr>
          </w:p>
        </w:tc>
        <w:tc>
          <w:tcPr>
            <w:tcW w:w="582" w:type="dxa"/>
            <w:vMerge/>
            <w:tcBorders>
              <w:top w:val="nil"/>
              <w:left w:val="nil"/>
              <w:right w:val="nil"/>
            </w:tcBorders>
            <w:vAlign w:val="center"/>
            <w:hideMark/>
          </w:tcPr>
          <w:p w14:paraId="5EF63CEC" w14:textId="77777777" w:rsidR="00DE4A7F" w:rsidRPr="00005453" w:rsidRDefault="00DE4A7F" w:rsidP="00DB402B">
            <w:pPr>
              <w:jc w:val="right"/>
              <w:rPr>
                <w:color w:val="000000"/>
                <w:sz w:val="14"/>
                <w:szCs w:val="14"/>
                <w:lang w:eastAsia="tr-TR"/>
              </w:rPr>
            </w:pPr>
          </w:p>
        </w:tc>
        <w:tc>
          <w:tcPr>
            <w:tcW w:w="852" w:type="dxa"/>
            <w:vMerge/>
            <w:tcBorders>
              <w:top w:val="nil"/>
              <w:left w:val="nil"/>
              <w:right w:val="nil"/>
            </w:tcBorders>
            <w:vAlign w:val="center"/>
            <w:hideMark/>
          </w:tcPr>
          <w:p w14:paraId="278C0C0B" w14:textId="77777777" w:rsidR="00DE4A7F" w:rsidRPr="00005453" w:rsidRDefault="00DE4A7F" w:rsidP="00DB402B">
            <w:pPr>
              <w:jc w:val="right"/>
              <w:rPr>
                <w:color w:val="000000"/>
                <w:sz w:val="14"/>
                <w:szCs w:val="14"/>
                <w:lang w:eastAsia="tr-TR"/>
              </w:rPr>
            </w:pPr>
          </w:p>
        </w:tc>
        <w:tc>
          <w:tcPr>
            <w:tcW w:w="1167" w:type="dxa"/>
            <w:vMerge/>
            <w:tcBorders>
              <w:top w:val="nil"/>
              <w:left w:val="nil"/>
              <w:right w:val="nil"/>
            </w:tcBorders>
            <w:vAlign w:val="center"/>
            <w:hideMark/>
          </w:tcPr>
          <w:p w14:paraId="42B6C176" w14:textId="77777777" w:rsidR="00DE4A7F" w:rsidRPr="00005453" w:rsidRDefault="00DE4A7F" w:rsidP="00DB402B">
            <w:pPr>
              <w:jc w:val="right"/>
              <w:rPr>
                <w:color w:val="000000"/>
                <w:sz w:val="14"/>
                <w:szCs w:val="14"/>
                <w:lang w:eastAsia="tr-TR"/>
              </w:rPr>
            </w:pPr>
          </w:p>
        </w:tc>
      </w:tr>
      <w:tr w:rsidR="00FA377B" w:rsidRPr="00005453" w14:paraId="170545BF" w14:textId="77777777" w:rsidTr="00FA377B">
        <w:trPr>
          <w:trHeight w:val="230"/>
        </w:trPr>
        <w:tc>
          <w:tcPr>
            <w:tcW w:w="1214" w:type="dxa"/>
            <w:vMerge w:val="restart"/>
            <w:tcBorders>
              <w:top w:val="nil"/>
              <w:left w:val="nil"/>
              <w:bottom w:val="double" w:sz="4" w:space="0" w:color="auto"/>
              <w:right w:val="nil"/>
            </w:tcBorders>
            <w:shd w:val="clear" w:color="auto" w:fill="auto"/>
            <w:vAlign w:val="center"/>
            <w:hideMark/>
          </w:tcPr>
          <w:p w14:paraId="498C8C62" w14:textId="77777777" w:rsidR="007309F6" w:rsidRPr="00005453" w:rsidRDefault="007309F6" w:rsidP="007309F6">
            <w:pPr>
              <w:rPr>
                <w:color w:val="000000"/>
                <w:sz w:val="14"/>
                <w:szCs w:val="14"/>
                <w:lang w:eastAsia="tr-TR"/>
              </w:rPr>
            </w:pPr>
            <w:r w:rsidRPr="00005453">
              <w:rPr>
                <w:color w:val="000000"/>
                <w:sz w:val="14"/>
                <w:szCs w:val="14"/>
                <w:lang w:eastAsia="tr-TR"/>
              </w:rPr>
              <w:t>Kredi Riski Azaltımı Sonrası</w:t>
            </w:r>
          </w:p>
        </w:tc>
        <w:tc>
          <w:tcPr>
            <w:tcW w:w="873" w:type="dxa"/>
            <w:vMerge w:val="restart"/>
            <w:tcBorders>
              <w:top w:val="nil"/>
              <w:left w:val="nil"/>
              <w:bottom w:val="double" w:sz="4" w:space="0" w:color="auto"/>
              <w:right w:val="nil"/>
            </w:tcBorders>
            <w:shd w:val="clear" w:color="auto" w:fill="auto"/>
            <w:vAlign w:val="center"/>
            <w:hideMark/>
          </w:tcPr>
          <w:p w14:paraId="2FF26F7B" w14:textId="01107A48" w:rsidR="007309F6" w:rsidRPr="00005453" w:rsidRDefault="007309F6" w:rsidP="00DB402B">
            <w:pPr>
              <w:jc w:val="right"/>
              <w:rPr>
                <w:color w:val="000000"/>
                <w:sz w:val="14"/>
                <w:szCs w:val="14"/>
                <w:lang w:eastAsia="tr-TR"/>
              </w:rPr>
            </w:pPr>
            <w:r w:rsidRPr="00005453">
              <w:rPr>
                <w:sz w:val="14"/>
                <w:szCs w:val="18"/>
              </w:rPr>
              <w:t>283,618,175</w:t>
            </w:r>
          </w:p>
        </w:tc>
        <w:tc>
          <w:tcPr>
            <w:tcW w:w="436" w:type="dxa"/>
            <w:vMerge w:val="restart"/>
            <w:tcBorders>
              <w:top w:val="nil"/>
              <w:left w:val="nil"/>
              <w:bottom w:val="double" w:sz="4" w:space="0" w:color="auto"/>
              <w:right w:val="nil"/>
            </w:tcBorders>
            <w:shd w:val="clear" w:color="auto" w:fill="auto"/>
            <w:vAlign w:val="center"/>
            <w:hideMark/>
          </w:tcPr>
          <w:p w14:paraId="02ABA066" w14:textId="1F715E61" w:rsidR="007309F6" w:rsidRPr="00005453" w:rsidRDefault="007309F6" w:rsidP="00DB402B">
            <w:pPr>
              <w:jc w:val="right"/>
              <w:rPr>
                <w:color w:val="000000"/>
                <w:sz w:val="14"/>
                <w:szCs w:val="14"/>
                <w:lang w:eastAsia="tr-TR"/>
              </w:rPr>
            </w:pPr>
            <w:r w:rsidRPr="00005453">
              <w:rPr>
                <w:sz w:val="14"/>
                <w:szCs w:val="18"/>
              </w:rPr>
              <w:t>-</w:t>
            </w:r>
          </w:p>
        </w:tc>
        <w:tc>
          <w:tcPr>
            <w:tcW w:w="825" w:type="dxa"/>
            <w:vMerge w:val="restart"/>
            <w:tcBorders>
              <w:top w:val="nil"/>
              <w:left w:val="nil"/>
              <w:bottom w:val="double" w:sz="4" w:space="0" w:color="auto"/>
              <w:right w:val="nil"/>
            </w:tcBorders>
            <w:shd w:val="clear" w:color="auto" w:fill="auto"/>
            <w:vAlign w:val="center"/>
            <w:hideMark/>
          </w:tcPr>
          <w:p w14:paraId="0D350CF3" w14:textId="62ADC163" w:rsidR="007309F6" w:rsidRPr="00005453" w:rsidRDefault="007309F6" w:rsidP="00DB402B">
            <w:pPr>
              <w:jc w:val="right"/>
              <w:rPr>
                <w:color w:val="000000"/>
                <w:sz w:val="14"/>
                <w:szCs w:val="14"/>
                <w:lang w:eastAsia="tr-TR"/>
              </w:rPr>
            </w:pPr>
            <w:r w:rsidRPr="00005453">
              <w:rPr>
                <w:sz w:val="14"/>
                <w:szCs w:val="18"/>
              </w:rPr>
              <w:t>29,250,199</w:t>
            </w:r>
          </w:p>
        </w:tc>
        <w:tc>
          <w:tcPr>
            <w:tcW w:w="436" w:type="dxa"/>
            <w:vMerge w:val="restart"/>
            <w:tcBorders>
              <w:top w:val="nil"/>
              <w:left w:val="nil"/>
              <w:bottom w:val="double" w:sz="4" w:space="0" w:color="auto"/>
              <w:right w:val="nil"/>
            </w:tcBorders>
            <w:shd w:val="clear" w:color="auto" w:fill="auto"/>
            <w:vAlign w:val="center"/>
            <w:hideMark/>
          </w:tcPr>
          <w:p w14:paraId="473E79FB" w14:textId="096C33E3" w:rsidR="007309F6" w:rsidRPr="00005453" w:rsidRDefault="007309F6" w:rsidP="00DB402B">
            <w:pPr>
              <w:jc w:val="right"/>
              <w:rPr>
                <w:color w:val="000000"/>
                <w:sz w:val="14"/>
                <w:szCs w:val="14"/>
                <w:lang w:eastAsia="tr-TR"/>
              </w:rPr>
            </w:pPr>
            <w:r w:rsidRPr="00005453">
              <w:rPr>
                <w:sz w:val="14"/>
                <w:szCs w:val="18"/>
              </w:rPr>
              <w:t>-</w:t>
            </w:r>
          </w:p>
        </w:tc>
        <w:tc>
          <w:tcPr>
            <w:tcW w:w="872" w:type="dxa"/>
            <w:vMerge w:val="restart"/>
            <w:tcBorders>
              <w:top w:val="nil"/>
              <w:left w:val="nil"/>
              <w:bottom w:val="double" w:sz="4" w:space="0" w:color="auto"/>
              <w:right w:val="nil"/>
            </w:tcBorders>
            <w:shd w:val="clear" w:color="auto" w:fill="auto"/>
            <w:vAlign w:val="center"/>
            <w:hideMark/>
          </w:tcPr>
          <w:p w14:paraId="42DA6964" w14:textId="78A4C807" w:rsidR="007309F6" w:rsidRPr="00005453" w:rsidRDefault="007309F6" w:rsidP="00DB402B">
            <w:pPr>
              <w:jc w:val="right"/>
              <w:rPr>
                <w:color w:val="000000"/>
                <w:sz w:val="14"/>
                <w:szCs w:val="14"/>
                <w:lang w:eastAsia="tr-TR"/>
              </w:rPr>
            </w:pPr>
            <w:r w:rsidRPr="00005453">
              <w:rPr>
                <w:sz w:val="14"/>
                <w:szCs w:val="18"/>
              </w:rPr>
              <w:t>33,479,802</w:t>
            </w:r>
          </w:p>
        </w:tc>
        <w:tc>
          <w:tcPr>
            <w:tcW w:w="843" w:type="dxa"/>
            <w:vMerge w:val="restart"/>
            <w:tcBorders>
              <w:top w:val="nil"/>
              <w:left w:val="nil"/>
              <w:bottom w:val="double" w:sz="4" w:space="0" w:color="auto"/>
              <w:right w:val="nil"/>
            </w:tcBorders>
            <w:shd w:val="clear" w:color="auto" w:fill="auto"/>
            <w:vAlign w:val="center"/>
            <w:hideMark/>
          </w:tcPr>
          <w:p w14:paraId="5009FC5E" w14:textId="1B601461" w:rsidR="007309F6" w:rsidRPr="00005453" w:rsidRDefault="007309F6" w:rsidP="00DB402B">
            <w:pPr>
              <w:jc w:val="right"/>
              <w:rPr>
                <w:color w:val="000000"/>
                <w:sz w:val="14"/>
                <w:szCs w:val="14"/>
                <w:lang w:eastAsia="tr-TR"/>
              </w:rPr>
            </w:pPr>
            <w:r w:rsidRPr="00005453">
              <w:rPr>
                <w:sz w:val="14"/>
                <w:szCs w:val="18"/>
              </w:rPr>
              <w:t>42,164,303</w:t>
            </w:r>
          </w:p>
        </w:tc>
        <w:tc>
          <w:tcPr>
            <w:tcW w:w="860" w:type="dxa"/>
            <w:vMerge w:val="restart"/>
            <w:tcBorders>
              <w:top w:val="nil"/>
              <w:left w:val="nil"/>
              <w:bottom w:val="double" w:sz="4" w:space="0" w:color="auto"/>
              <w:right w:val="nil"/>
            </w:tcBorders>
            <w:shd w:val="clear" w:color="auto" w:fill="auto"/>
            <w:vAlign w:val="center"/>
            <w:hideMark/>
          </w:tcPr>
          <w:p w14:paraId="2A23703A" w14:textId="598A4E3E" w:rsidR="007309F6" w:rsidRPr="00005453" w:rsidRDefault="007309F6" w:rsidP="00DB402B">
            <w:pPr>
              <w:jc w:val="right"/>
              <w:rPr>
                <w:color w:val="000000"/>
                <w:sz w:val="14"/>
                <w:szCs w:val="14"/>
                <w:lang w:eastAsia="tr-TR"/>
              </w:rPr>
            </w:pPr>
            <w:r w:rsidRPr="00005453">
              <w:rPr>
                <w:sz w:val="14"/>
                <w:szCs w:val="18"/>
              </w:rPr>
              <w:t>77,425,683</w:t>
            </w:r>
          </w:p>
        </w:tc>
        <w:tc>
          <w:tcPr>
            <w:tcW w:w="861" w:type="dxa"/>
            <w:vMerge w:val="restart"/>
            <w:tcBorders>
              <w:top w:val="nil"/>
              <w:left w:val="nil"/>
              <w:bottom w:val="double" w:sz="4" w:space="0" w:color="auto"/>
              <w:right w:val="nil"/>
            </w:tcBorders>
            <w:shd w:val="clear" w:color="auto" w:fill="auto"/>
            <w:vAlign w:val="center"/>
            <w:hideMark/>
          </w:tcPr>
          <w:p w14:paraId="2C951EE3" w14:textId="5B20401D" w:rsidR="007309F6" w:rsidRPr="00005453" w:rsidRDefault="007309F6" w:rsidP="00DB402B">
            <w:pPr>
              <w:jc w:val="right"/>
              <w:rPr>
                <w:color w:val="000000"/>
                <w:sz w:val="14"/>
                <w:szCs w:val="14"/>
                <w:lang w:eastAsia="tr-TR"/>
              </w:rPr>
            </w:pPr>
            <w:r w:rsidRPr="00005453">
              <w:rPr>
                <w:sz w:val="14"/>
                <w:szCs w:val="18"/>
              </w:rPr>
              <w:t>191,800,684</w:t>
            </w:r>
          </w:p>
        </w:tc>
        <w:tc>
          <w:tcPr>
            <w:tcW w:w="717" w:type="dxa"/>
            <w:vMerge w:val="restart"/>
            <w:tcBorders>
              <w:top w:val="nil"/>
              <w:left w:val="nil"/>
              <w:bottom w:val="double" w:sz="4" w:space="0" w:color="auto"/>
              <w:right w:val="nil"/>
            </w:tcBorders>
            <w:shd w:val="clear" w:color="auto" w:fill="auto"/>
            <w:vAlign w:val="center"/>
            <w:hideMark/>
          </w:tcPr>
          <w:p w14:paraId="6FCEBEAF" w14:textId="1B4FA7EB" w:rsidR="007309F6" w:rsidRPr="00005453" w:rsidRDefault="007309F6" w:rsidP="00DB402B">
            <w:pPr>
              <w:jc w:val="right"/>
              <w:rPr>
                <w:color w:val="000000"/>
                <w:sz w:val="14"/>
                <w:szCs w:val="14"/>
                <w:lang w:eastAsia="tr-TR"/>
              </w:rPr>
            </w:pPr>
            <w:r w:rsidRPr="00005453">
              <w:rPr>
                <w:sz w:val="14"/>
                <w:szCs w:val="18"/>
              </w:rPr>
              <w:t>2</w:t>
            </w:r>
          </w:p>
        </w:tc>
        <w:tc>
          <w:tcPr>
            <w:tcW w:w="582" w:type="dxa"/>
            <w:vMerge w:val="restart"/>
            <w:tcBorders>
              <w:top w:val="nil"/>
              <w:left w:val="nil"/>
              <w:bottom w:val="double" w:sz="4" w:space="0" w:color="auto"/>
              <w:right w:val="nil"/>
            </w:tcBorders>
            <w:shd w:val="clear" w:color="auto" w:fill="auto"/>
            <w:vAlign w:val="center"/>
            <w:hideMark/>
          </w:tcPr>
          <w:p w14:paraId="69761FB4" w14:textId="3B764B52" w:rsidR="007309F6" w:rsidRPr="00005453" w:rsidRDefault="007309F6" w:rsidP="00DB402B">
            <w:pPr>
              <w:jc w:val="right"/>
              <w:rPr>
                <w:color w:val="000000"/>
                <w:sz w:val="14"/>
                <w:szCs w:val="14"/>
                <w:lang w:eastAsia="tr-TR"/>
              </w:rPr>
            </w:pPr>
            <w:r w:rsidRPr="00005453">
              <w:rPr>
                <w:sz w:val="14"/>
                <w:szCs w:val="18"/>
              </w:rPr>
              <w:t>-</w:t>
            </w:r>
          </w:p>
        </w:tc>
        <w:tc>
          <w:tcPr>
            <w:tcW w:w="852" w:type="dxa"/>
            <w:vMerge w:val="restart"/>
            <w:tcBorders>
              <w:top w:val="nil"/>
              <w:left w:val="nil"/>
              <w:bottom w:val="double" w:sz="4" w:space="0" w:color="auto"/>
              <w:right w:val="nil"/>
            </w:tcBorders>
            <w:shd w:val="clear" w:color="auto" w:fill="auto"/>
            <w:vAlign w:val="center"/>
            <w:hideMark/>
          </w:tcPr>
          <w:p w14:paraId="73AB3E63" w14:textId="05E064CA" w:rsidR="007309F6" w:rsidRPr="00005453" w:rsidRDefault="007309F6" w:rsidP="00DB402B">
            <w:pPr>
              <w:jc w:val="right"/>
              <w:rPr>
                <w:color w:val="000000"/>
                <w:sz w:val="14"/>
                <w:szCs w:val="14"/>
                <w:lang w:eastAsia="tr-TR"/>
              </w:rPr>
            </w:pPr>
            <w:r w:rsidRPr="00005453">
              <w:rPr>
                <w:sz w:val="14"/>
                <w:szCs w:val="18"/>
              </w:rPr>
              <w:t>1,593,685</w:t>
            </w:r>
          </w:p>
        </w:tc>
        <w:tc>
          <w:tcPr>
            <w:tcW w:w="1167" w:type="dxa"/>
            <w:vMerge w:val="restart"/>
            <w:tcBorders>
              <w:top w:val="nil"/>
              <w:left w:val="nil"/>
              <w:bottom w:val="double" w:sz="4" w:space="0" w:color="auto"/>
              <w:right w:val="nil"/>
            </w:tcBorders>
            <w:shd w:val="clear" w:color="auto" w:fill="auto"/>
            <w:vAlign w:val="center"/>
            <w:hideMark/>
          </w:tcPr>
          <w:p w14:paraId="0B8561CA" w14:textId="224D4B83" w:rsidR="007309F6" w:rsidRPr="00005453" w:rsidRDefault="007309F6" w:rsidP="00DB402B">
            <w:pPr>
              <w:jc w:val="right"/>
              <w:rPr>
                <w:color w:val="000000"/>
                <w:sz w:val="14"/>
                <w:szCs w:val="14"/>
                <w:lang w:eastAsia="tr-TR"/>
              </w:rPr>
            </w:pPr>
            <w:r w:rsidRPr="00005453">
              <w:rPr>
                <w:sz w:val="14"/>
                <w:szCs w:val="18"/>
              </w:rPr>
              <w:t>-</w:t>
            </w:r>
          </w:p>
        </w:tc>
      </w:tr>
      <w:tr w:rsidR="00FA377B" w:rsidRPr="00005453" w14:paraId="39D14DE9" w14:textId="77777777" w:rsidTr="00FA377B">
        <w:trPr>
          <w:trHeight w:val="379"/>
        </w:trPr>
        <w:tc>
          <w:tcPr>
            <w:tcW w:w="1214" w:type="dxa"/>
            <w:vMerge/>
            <w:tcBorders>
              <w:top w:val="nil"/>
              <w:left w:val="nil"/>
              <w:bottom w:val="double" w:sz="4" w:space="0" w:color="auto"/>
              <w:right w:val="nil"/>
            </w:tcBorders>
            <w:vAlign w:val="center"/>
            <w:hideMark/>
          </w:tcPr>
          <w:p w14:paraId="40516F2D" w14:textId="77777777" w:rsidR="00DE4A7F" w:rsidRPr="00005453" w:rsidRDefault="00DE4A7F" w:rsidP="00F52DF0">
            <w:pPr>
              <w:rPr>
                <w:color w:val="000000"/>
                <w:sz w:val="14"/>
                <w:szCs w:val="14"/>
                <w:lang w:eastAsia="tr-TR"/>
              </w:rPr>
            </w:pPr>
          </w:p>
        </w:tc>
        <w:tc>
          <w:tcPr>
            <w:tcW w:w="873" w:type="dxa"/>
            <w:vMerge/>
            <w:tcBorders>
              <w:top w:val="nil"/>
              <w:left w:val="nil"/>
              <w:bottom w:val="double" w:sz="4" w:space="0" w:color="auto"/>
              <w:right w:val="nil"/>
            </w:tcBorders>
            <w:vAlign w:val="center"/>
            <w:hideMark/>
          </w:tcPr>
          <w:p w14:paraId="0F22F36F" w14:textId="77777777" w:rsidR="00DE4A7F" w:rsidRPr="00005453" w:rsidRDefault="00DE4A7F" w:rsidP="00F52DF0">
            <w:pPr>
              <w:rPr>
                <w:color w:val="000000"/>
                <w:sz w:val="14"/>
                <w:szCs w:val="14"/>
                <w:lang w:eastAsia="tr-TR"/>
              </w:rPr>
            </w:pPr>
          </w:p>
        </w:tc>
        <w:tc>
          <w:tcPr>
            <w:tcW w:w="436" w:type="dxa"/>
            <w:vMerge/>
            <w:tcBorders>
              <w:top w:val="nil"/>
              <w:left w:val="nil"/>
              <w:bottom w:val="double" w:sz="4" w:space="0" w:color="auto"/>
              <w:right w:val="nil"/>
            </w:tcBorders>
            <w:vAlign w:val="center"/>
            <w:hideMark/>
          </w:tcPr>
          <w:p w14:paraId="4AE193E2" w14:textId="77777777" w:rsidR="00DE4A7F" w:rsidRPr="00005453" w:rsidRDefault="00DE4A7F" w:rsidP="00F52DF0">
            <w:pPr>
              <w:rPr>
                <w:color w:val="000000"/>
                <w:sz w:val="14"/>
                <w:szCs w:val="14"/>
                <w:lang w:eastAsia="tr-TR"/>
              </w:rPr>
            </w:pPr>
          </w:p>
        </w:tc>
        <w:tc>
          <w:tcPr>
            <w:tcW w:w="825" w:type="dxa"/>
            <w:vMerge/>
            <w:tcBorders>
              <w:top w:val="nil"/>
              <w:left w:val="nil"/>
              <w:bottom w:val="double" w:sz="4" w:space="0" w:color="auto"/>
              <w:right w:val="nil"/>
            </w:tcBorders>
            <w:vAlign w:val="center"/>
            <w:hideMark/>
          </w:tcPr>
          <w:p w14:paraId="4AF32589" w14:textId="77777777" w:rsidR="00DE4A7F" w:rsidRPr="00005453" w:rsidRDefault="00DE4A7F" w:rsidP="00F52DF0">
            <w:pPr>
              <w:rPr>
                <w:color w:val="000000"/>
                <w:sz w:val="14"/>
                <w:szCs w:val="14"/>
                <w:lang w:eastAsia="tr-TR"/>
              </w:rPr>
            </w:pPr>
          </w:p>
        </w:tc>
        <w:tc>
          <w:tcPr>
            <w:tcW w:w="436" w:type="dxa"/>
            <w:vMerge/>
            <w:tcBorders>
              <w:top w:val="nil"/>
              <w:left w:val="nil"/>
              <w:bottom w:val="double" w:sz="4" w:space="0" w:color="auto"/>
              <w:right w:val="nil"/>
            </w:tcBorders>
            <w:vAlign w:val="center"/>
            <w:hideMark/>
          </w:tcPr>
          <w:p w14:paraId="6CF3C9D7" w14:textId="77777777" w:rsidR="00DE4A7F" w:rsidRPr="00005453" w:rsidRDefault="00DE4A7F" w:rsidP="00F52DF0">
            <w:pPr>
              <w:rPr>
                <w:color w:val="000000"/>
                <w:sz w:val="14"/>
                <w:szCs w:val="14"/>
                <w:lang w:eastAsia="tr-TR"/>
              </w:rPr>
            </w:pPr>
          </w:p>
        </w:tc>
        <w:tc>
          <w:tcPr>
            <w:tcW w:w="872" w:type="dxa"/>
            <w:vMerge/>
            <w:tcBorders>
              <w:top w:val="nil"/>
              <w:left w:val="nil"/>
              <w:bottom w:val="double" w:sz="4" w:space="0" w:color="auto"/>
              <w:right w:val="nil"/>
            </w:tcBorders>
            <w:vAlign w:val="center"/>
            <w:hideMark/>
          </w:tcPr>
          <w:p w14:paraId="5F932B79" w14:textId="77777777" w:rsidR="00DE4A7F" w:rsidRPr="00005453" w:rsidRDefault="00DE4A7F" w:rsidP="00F52DF0">
            <w:pPr>
              <w:rPr>
                <w:color w:val="000000"/>
                <w:sz w:val="14"/>
                <w:szCs w:val="14"/>
                <w:lang w:eastAsia="tr-TR"/>
              </w:rPr>
            </w:pPr>
          </w:p>
        </w:tc>
        <w:tc>
          <w:tcPr>
            <w:tcW w:w="843" w:type="dxa"/>
            <w:vMerge/>
            <w:tcBorders>
              <w:top w:val="nil"/>
              <w:left w:val="nil"/>
              <w:bottom w:val="double" w:sz="4" w:space="0" w:color="auto"/>
              <w:right w:val="nil"/>
            </w:tcBorders>
            <w:vAlign w:val="center"/>
            <w:hideMark/>
          </w:tcPr>
          <w:p w14:paraId="2BF7B03A" w14:textId="77777777" w:rsidR="00DE4A7F" w:rsidRPr="00005453" w:rsidRDefault="00DE4A7F" w:rsidP="00F52DF0">
            <w:pPr>
              <w:rPr>
                <w:color w:val="000000"/>
                <w:sz w:val="14"/>
                <w:szCs w:val="14"/>
                <w:lang w:eastAsia="tr-TR"/>
              </w:rPr>
            </w:pPr>
          </w:p>
        </w:tc>
        <w:tc>
          <w:tcPr>
            <w:tcW w:w="860" w:type="dxa"/>
            <w:vMerge/>
            <w:tcBorders>
              <w:top w:val="nil"/>
              <w:left w:val="nil"/>
              <w:bottom w:val="double" w:sz="4" w:space="0" w:color="auto"/>
              <w:right w:val="nil"/>
            </w:tcBorders>
            <w:vAlign w:val="center"/>
            <w:hideMark/>
          </w:tcPr>
          <w:p w14:paraId="583070CB" w14:textId="77777777" w:rsidR="00DE4A7F" w:rsidRPr="00005453" w:rsidRDefault="00DE4A7F" w:rsidP="00F52DF0">
            <w:pPr>
              <w:rPr>
                <w:color w:val="000000"/>
                <w:sz w:val="14"/>
                <w:szCs w:val="14"/>
                <w:lang w:eastAsia="tr-TR"/>
              </w:rPr>
            </w:pPr>
          </w:p>
        </w:tc>
        <w:tc>
          <w:tcPr>
            <w:tcW w:w="861" w:type="dxa"/>
            <w:vMerge/>
            <w:tcBorders>
              <w:top w:val="nil"/>
              <w:left w:val="nil"/>
              <w:bottom w:val="double" w:sz="4" w:space="0" w:color="auto"/>
              <w:right w:val="nil"/>
            </w:tcBorders>
            <w:vAlign w:val="center"/>
            <w:hideMark/>
          </w:tcPr>
          <w:p w14:paraId="5563FFC6" w14:textId="77777777" w:rsidR="00DE4A7F" w:rsidRPr="00005453" w:rsidRDefault="00DE4A7F" w:rsidP="00F52DF0">
            <w:pPr>
              <w:rPr>
                <w:color w:val="000000"/>
                <w:sz w:val="14"/>
                <w:szCs w:val="14"/>
                <w:lang w:eastAsia="tr-TR"/>
              </w:rPr>
            </w:pPr>
          </w:p>
        </w:tc>
        <w:tc>
          <w:tcPr>
            <w:tcW w:w="717" w:type="dxa"/>
            <w:vMerge/>
            <w:tcBorders>
              <w:top w:val="nil"/>
              <w:left w:val="nil"/>
              <w:bottom w:val="double" w:sz="4" w:space="0" w:color="auto"/>
              <w:right w:val="nil"/>
            </w:tcBorders>
            <w:vAlign w:val="center"/>
            <w:hideMark/>
          </w:tcPr>
          <w:p w14:paraId="78583B93" w14:textId="77777777" w:rsidR="00DE4A7F" w:rsidRPr="00005453" w:rsidRDefault="00DE4A7F" w:rsidP="00F52DF0">
            <w:pPr>
              <w:rPr>
                <w:color w:val="000000"/>
                <w:sz w:val="14"/>
                <w:szCs w:val="14"/>
                <w:lang w:eastAsia="tr-TR"/>
              </w:rPr>
            </w:pPr>
          </w:p>
        </w:tc>
        <w:tc>
          <w:tcPr>
            <w:tcW w:w="582" w:type="dxa"/>
            <w:vMerge/>
            <w:tcBorders>
              <w:top w:val="nil"/>
              <w:left w:val="nil"/>
              <w:bottom w:val="double" w:sz="4" w:space="0" w:color="auto"/>
              <w:right w:val="nil"/>
            </w:tcBorders>
            <w:vAlign w:val="center"/>
            <w:hideMark/>
          </w:tcPr>
          <w:p w14:paraId="6BF25EC6" w14:textId="77777777" w:rsidR="00DE4A7F" w:rsidRPr="00005453" w:rsidRDefault="00DE4A7F" w:rsidP="00F52DF0">
            <w:pPr>
              <w:rPr>
                <w:color w:val="000000"/>
                <w:sz w:val="14"/>
                <w:szCs w:val="14"/>
                <w:lang w:eastAsia="tr-TR"/>
              </w:rPr>
            </w:pPr>
          </w:p>
        </w:tc>
        <w:tc>
          <w:tcPr>
            <w:tcW w:w="852" w:type="dxa"/>
            <w:vMerge/>
            <w:tcBorders>
              <w:top w:val="nil"/>
              <w:left w:val="nil"/>
              <w:bottom w:val="double" w:sz="4" w:space="0" w:color="auto"/>
              <w:right w:val="nil"/>
            </w:tcBorders>
            <w:vAlign w:val="center"/>
            <w:hideMark/>
          </w:tcPr>
          <w:p w14:paraId="4C2AD32E" w14:textId="77777777" w:rsidR="00DE4A7F" w:rsidRPr="00005453" w:rsidRDefault="00DE4A7F" w:rsidP="00F52DF0">
            <w:pPr>
              <w:rPr>
                <w:color w:val="000000"/>
                <w:sz w:val="14"/>
                <w:szCs w:val="14"/>
                <w:lang w:eastAsia="tr-TR"/>
              </w:rPr>
            </w:pPr>
          </w:p>
        </w:tc>
        <w:tc>
          <w:tcPr>
            <w:tcW w:w="1167" w:type="dxa"/>
            <w:vMerge/>
            <w:tcBorders>
              <w:top w:val="nil"/>
              <w:left w:val="nil"/>
              <w:bottom w:val="double" w:sz="4" w:space="0" w:color="auto"/>
              <w:right w:val="nil"/>
            </w:tcBorders>
            <w:vAlign w:val="center"/>
            <w:hideMark/>
          </w:tcPr>
          <w:p w14:paraId="21F4724A" w14:textId="77777777" w:rsidR="00DE4A7F" w:rsidRPr="00005453" w:rsidRDefault="00DE4A7F" w:rsidP="00F52DF0">
            <w:pPr>
              <w:rPr>
                <w:color w:val="000000"/>
                <w:sz w:val="14"/>
                <w:szCs w:val="14"/>
                <w:lang w:eastAsia="tr-TR"/>
              </w:rPr>
            </w:pPr>
          </w:p>
        </w:tc>
      </w:tr>
      <w:bookmarkEnd w:id="35"/>
    </w:tbl>
    <w:p w14:paraId="19BB03B2" w14:textId="172AA5A3" w:rsidR="00A10531" w:rsidRPr="00005453" w:rsidRDefault="00A10531" w:rsidP="0054031F">
      <w:pPr>
        <w:autoSpaceDE w:val="0"/>
        <w:autoSpaceDN w:val="0"/>
        <w:adjustRightInd w:val="0"/>
        <w:rPr>
          <w:lang w:val="en-GB" w:eastAsia="en-GB"/>
        </w:rPr>
      </w:pPr>
    </w:p>
    <w:bookmarkEnd w:id="34"/>
    <w:p w14:paraId="01148BE3" w14:textId="390D0853" w:rsidR="008E6767" w:rsidRPr="00005453" w:rsidRDefault="008E6767" w:rsidP="0054031F">
      <w:pPr>
        <w:autoSpaceDE w:val="0"/>
        <w:autoSpaceDN w:val="0"/>
        <w:adjustRightInd w:val="0"/>
        <w:rPr>
          <w:lang w:val="en-GB" w:eastAsia="en-GB"/>
        </w:rPr>
      </w:pPr>
    </w:p>
    <w:tbl>
      <w:tblPr>
        <w:tblW w:w="10538" w:type="dxa"/>
        <w:tblInd w:w="-615" w:type="dxa"/>
        <w:tblLayout w:type="fixed"/>
        <w:tblCellMar>
          <w:left w:w="70" w:type="dxa"/>
          <w:right w:w="70" w:type="dxa"/>
        </w:tblCellMar>
        <w:tblLook w:val="04A0" w:firstRow="1" w:lastRow="0" w:firstColumn="1" w:lastColumn="0" w:noHBand="0" w:noVBand="1"/>
      </w:tblPr>
      <w:tblGrid>
        <w:gridCol w:w="1182"/>
        <w:gridCol w:w="851"/>
        <w:gridCol w:w="425"/>
        <w:gridCol w:w="851"/>
        <w:gridCol w:w="425"/>
        <w:gridCol w:w="850"/>
        <w:gridCol w:w="851"/>
        <w:gridCol w:w="850"/>
        <w:gridCol w:w="851"/>
        <w:gridCol w:w="709"/>
        <w:gridCol w:w="567"/>
        <w:gridCol w:w="833"/>
        <w:gridCol w:w="1293"/>
      </w:tblGrid>
      <w:tr w:rsidR="00F94F8F" w:rsidRPr="00005453" w14:paraId="170AD275" w14:textId="77777777" w:rsidTr="00FA377B">
        <w:trPr>
          <w:trHeight w:val="294"/>
        </w:trPr>
        <w:tc>
          <w:tcPr>
            <w:tcW w:w="1182" w:type="dxa"/>
            <w:tcBorders>
              <w:top w:val="single" w:sz="8" w:space="0" w:color="auto"/>
              <w:left w:val="nil"/>
              <w:bottom w:val="nil"/>
              <w:right w:val="nil"/>
            </w:tcBorders>
            <w:shd w:val="clear" w:color="auto" w:fill="auto"/>
            <w:vAlign w:val="center"/>
            <w:hideMark/>
          </w:tcPr>
          <w:p w14:paraId="2E5756B3" w14:textId="13641208" w:rsidR="008E6767" w:rsidRPr="00005453" w:rsidRDefault="008E6767">
            <w:pPr>
              <w:rPr>
                <w:b/>
                <w:bCs/>
                <w:color w:val="000000"/>
                <w:sz w:val="14"/>
                <w:szCs w:val="14"/>
                <w:lang w:eastAsia="tr-TR"/>
              </w:rPr>
            </w:pPr>
            <w:bookmarkStart w:id="36" w:name="_Hlk156987981"/>
            <w:r w:rsidRPr="00005453">
              <w:rPr>
                <w:b/>
                <w:bCs/>
                <w:color w:val="000000"/>
                <w:sz w:val="14"/>
                <w:szCs w:val="14"/>
                <w:lang w:eastAsia="tr-TR"/>
              </w:rPr>
              <w:t>Önceki Dönem</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67A5CDB8"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0%</w:t>
            </w:r>
          </w:p>
        </w:tc>
        <w:tc>
          <w:tcPr>
            <w:tcW w:w="425" w:type="dxa"/>
            <w:vMerge w:val="restart"/>
            <w:tcBorders>
              <w:top w:val="single" w:sz="8" w:space="0" w:color="auto"/>
              <w:left w:val="nil"/>
              <w:bottom w:val="single" w:sz="8" w:space="0" w:color="000000"/>
              <w:right w:val="nil"/>
            </w:tcBorders>
            <w:shd w:val="clear" w:color="auto" w:fill="auto"/>
            <w:vAlign w:val="center"/>
            <w:hideMark/>
          </w:tcPr>
          <w:p w14:paraId="5ED1EAA0"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10%</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3622F3B6"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20%</w:t>
            </w:r>
          </w:p>
        </w:tc>
        <w:tc>
          <w:tcPr>
            <w:tcW w:w="425" w:type="dxa"/>
            <w:vMerge w:val="restart"/>
            <w:tcBorders>
              <w:top w:val="single" w:sz="8" w:space="0" w:color="auto"/>
              <w:left w:val="nil"/>
              <w:bottom w:val="single" w:sz="8" w:space="0" w:color="000000"/>
              <w:right w:val="nil"/>
            </w:tcBorders>
            <w:shd w:val="clear" w:color="auto" w:fill="auto"/>
            <w:vAlign w:val="center"/>
            <w:hideMark/>
          </w:tcPr>
          <w:p w14:paraId="75EC630F"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25%</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08A11D68"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35%</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27F1C213"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50%</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00AF1B96"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75%</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58C2044F"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100%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262C3B18"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150%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09E3D858" w14:textId="399625ED" w:rsidR="008E6767" w:rsidRPr="00005453" w:rsidRDefault="008E6767" w:rsidP="000E5F12">
            <w:pPr>
              <w:jc w:val="right"/>
              <w:rPr>
                <w:b/>
                <w:bCs/>
                <w:color w:val="000000"/>
                <w:sz w:val="14"/>
                <w:szCs w:val="14"/>
                <w:lang w:eastAsia="tr-TR"/>
              </w:rPr>
            </w:pPr>
            <w:r w:rsidRPr="00005453">
              <w:rPr>
                <w:b/>
                <w:bCs/>
                <w:color w:val="000000"/>
                <w:sz w:val="14"/>
                <w:szCs w:val="14"/>
                <w:lang w:eastAsia="tr-TR"/>
              </w:rPr>
              <w:t>2</w:t>
            </w:r>
            <w:r w:rsidR="00402C6E" w:rsidRPr="00005453">
              <w:rPr>
                <w:b/>
                <w:bCs/>
                <w:color w:val="000000"/>
                <w:sz w:val="14"/>
                <w:szCs w:val="14"/>
                <w:lang w:eastAsia="tr-TR"/>
              </w:rPr>
              <w:t>50</w:t>
            </w:r>
            <w:r w:rsidRPr="00005453">
              <w:rPr>
                <w:b/>
                <w:bCs/>
                <w:color w:val="000000"/>
                <w:sz w:val="14"/>
                <w:szCs w:val="14"/>
                <w:lang w:eastAsia="tr-TR"/>
              </w:rPr>
              <w:t>%</w:t>
            </w:r>
          </w:p>
        </w:tc>
        <w:tc>
          <w:tcPr>
            <w:tcW w:w="833" w:type="dxa"/>
            <w:vMerge w:val="restart"/>
            <w:tcBorders>
              <w:top w:val="single" w:sz="8" w:space="0" w:color="auto"/>
              <w:left w:val="nil"/>
              <w:bottom w:val="single" w:sz="8" w:space="0" w:color="000000"/>
              <w:right w:val="nil"/>
            </w:tcBorders>
            <w:shd w:val="clear" w:color="auto" w:fill="auto"/>
            <w:vAlign w:val="center"/>
            <w:hideMark/>
          </w:tcPr>
          <w:p w14:paraId="04EF6C88" w14:textId="77777777" w:rsidR="008E6767" w:rsidRPr="00005453" w:rsidRDefault="008E6767" w:rsidP="000E5F12">
            <w:pPr>
              <w:jc w:val="right"/>
              <w:rPr>
                <w:b/>
                <w:bCs/>
                <w:color w:val="000000"/>
                <w:sz w:val="14"/>
                <w:szCs w:val="14"/>
                <w:lang w:eastAsia="tr-TR"/>
              </w:rPr>
            </w:pPr>
            <w:r w:rsidRPr="00005453">
              <w:rPr>
                <w:b/>
                <w:bCs/>
                <w:color w:val="000000"/>
                <w:sz w:val="14"/>
                <w:szCs w:val="14"/>
                <w:lang w:eastAsia="tr-TR"/>
              </w:rPr>
              <w:t>Diğer Risk Sınıfları</w:t>
            </w:r>
          </w:p>
        </w:tc>
        <w:tc>
          <w:tcPr>
            <w:tcW w:w="1293" w:type="dxa"/>
            <w:vMerge w:val="restart"/>
            <w:tcBorders>
              <w:top w:val="single" w:sz="8" w:space="0" w:color="auto"/>
              <w:left w:val="nil"/>
              <w:bottom w:val="single" w:sz="8" w:space="0" w:color="000000"/>
              <w:right w:val="nil"/>
            </w:tcBorders>
            <w:shd w:val="clear" w:color="auto" w:fill="auto"/>
            <w:vAlign w:val="center"/>
            <w:hideMark/>
          </w:tcPr>
          <w:p w14:paraId="70235899" w14:textId="77777777" w:rsidR="008E6767" w:rsidRPr="00005453" w:rsidRDefault="008E6767" w:rsidP="00F94F8F">
            <w:pPr>
              <w:jc w:val="right"/>
              <w:rPr>
                <w:b/>
                <w:bCs/>
                <w:color w:val="000000"/>
                <w:sz w:val="14"/>
                <w:szCs w:val="14"/>
                <w:lang w:eastAsia="tr-TR"/>
              </w:rPr>
            </w:pPr>
            <w:r w:rsidRPr="00005453">
              <w:rPr>
                <w:b/>
                <w:bCs/>
                <w:color w:val="000000"/>
                <w:sz w:val="14"/>
                <w:szCs w:val="14"/>
                <w:lang w:eastAsia="tr-TR"/>
              </w:rPr>
              <w:t>Özkaynaklardan İndirilenler</w:t>
            </w:r>
          </w:p>
        </w:tc>
      </w:tr>
      <w:tr w:rsidR="00F94F8F" w:rsidRPr="00005453" w14:paraId="0BCE88CF" w14:textId="77777777" w:rsidTr="00FA377B">
        <w:trPr>
          <w:trHeight w:val="34"/>
        </w:trPr>
        <w:tc>
          <w:tcPr>
            <w:tcW w:w="1182" w:type="dxa"/>
            <w:tcBorders>
              <w:top w:val="nil"/>
              <w:left w:val="nil"/>
              <w:bottom w:val="single" w:sz="8" w:space="0" w:color="auto"/>
              <w:right w:val="nil"/>
            </w:tcBorders>
            <w:shd w:val="clear" w:color="auto" w:fill="auto"/>
            <w:vAlign w:val="center"/>
            <w:hideMark/>
          </w:tcPr>
          <w:p w14:paraId="15388323" w14:textId="77777777" w:rsidR="008E6767" w:rsidRPr="00005453" w:rsidRDefault="008E6767" w:rsidP="008E6767">
            <w:pPr>
              <w:rPr>
                <w:b/>
                <w:bCs/>
                <w:color w:val="000000"/>
                <w:sz w:val="14"/>
                <w:szCs w:val="14"/>
                <w:lang w:eastAsia="tr-TR"/>
              </w:rPr>
            </w:pPr>
            <w:r w:rsidRPr="00005453">
              <w:rPr>
                <w:b/>
                <w:bCs/>
                <w:color w:val="000000"/>
                <w:sz w:val="14"/>
                <w:szCs w:val="14"/>
                <w:lang w:eastAsia="tr-TR"/>
              </w:rPr>
              <w:t>Risk Ağırlığı</w:t>
            </w:r>
          </w:p>
        </w:tc>
        <w:tc>
          <w:tcPr>
            <w:tcW w:w="851" w:type="dxa"/>
            <w:vMerge/>
            <w:tcBorders>
              <w:top w:val="single" w:sz="8" w:space="0" w:color="auto"/>
              <w:left w:val="nil"/>
              <w:bottom w:val="single" w:sz="8" w:space="0" w:color="000000"/>
              <w:right w:val="nil"/>
            </w:tcBorders>
            <w:vAlign w:val="center"/>
            <w:hideMark/>
          </w:tcPr>
          <w:p w14:paraId="340B84C5" w14:textId="77777777" w:rsidR="008E6767" w:rsidRPr="00005453" w:rsidRDefault="008E6767" w:rsidP="008E6767">
            <w:pPr>
              <w:rPr>
                <w:b/>
                <w:bCs/>
                <w:color w:val="000000"/>
                <w:sz w:val="14"/>
                <w:szCs w:val="14"/>
                <w:lang w:eastAsia="tr-TR"/>
              </w:rPr>
            </w:pPr>
          </w:p>
        </w:tc>
        <w:tc>
          <w:tcPr>
            <w:tcW w:w="425" w:type="dxa"/>
            <w:vMerge/>
            <w:tcBorders>
              <w:top w:val="single" w:sz="8" w:space="0" w:color="auto"/>
              <w:left w:val="nil"/>
              <w:bottom w:val="single" w:sz="8" w:space="0" w:color="000000"/>
              <w:right w:val="nil"/>
            </w:tcBorders>
            <w:vAlign w:val="center"/>
            <w:hideMark/>
          </w:tcPr>
          <w:p w14:paraId="38F1561B" w14:textId="77777777" w:rsidR="008E6767" w:rsidRPr="00005453" w:rsidRDefault="008E6767" w:rsidP="008E6767">
            <w:pPr>
              <w:rPr>
                <w:b/>
                <w:bCs/>
                <w:color w:val="000000"/>
                <w:sz w:val="14"/>
                <w:szCs w:val="14"/>
                <w:lang w:eastAsia="tr-TR"/>
              </w:rPr>
            </w:pPr>
          </w:p>
        </w:tc>
        <w:tc>
          <w:tcPr>
            <w:tcW w:w="851" w:type="dxa"/>
            <w:vMerge/>
            <w:tcBorders>
              <w:top w:val="single" w:sz="8" w:space="0" w:color="auto"/>
              <w:left w:val="nil"/>
              <w:bottom w:val="single" w:sz="8" w:space="0" w:color="000000"/>
              <w:right w:val="nil"/>
            </w:tcBorders>
            <w:vAlign w:val="center"/>
            <w:hideMark/>
          </w:tcPr>
          <w:p w14:paraId="1D8109CD" w14:textId="77777777" w:rsidR="008E6767" w:rsidRPr="00005453" w:rsidRDefault="008E6767" w:rsidP="008E6767">
            <w:pPr>
              <w:rPr>
                <w:b/>
                <w:bCs/>
                <w:color w:val="000000"/>
                <w:sz w:val="14"/>
                <w:szCs w:val="14"/>
                <w:lang w:eastAsia="tr-TR"/>
              </w:rPr>
            </w:pPr>
          </w:p>
        </w:tc>
        <w:tc>
          <w:tcPr>
            <w:tcW w:w="425" w:type="dxa"/>
            <w:vMerge/>
            <w:tcBorders>
              <w:top w:val="single" w:sz="8" w:space="0" w:color="auto"/>
              <w:left w:val="nil"/>
              <w:bottom w:val="single" w:sz="8" w:space="0" w:color="000000"/>
              <w:right w:val="nil"/>
            </w:tcBorders>
            <w:vAlign w:val="center"/>
            <w:hideMark/>
          </w:tcPr>
          <w:p w14:paraId="7A61B597" w14:textId="77777777" w:rsidR="008E6767" w:rsidRPr="00005453" w:rsidRDefault="008E6767" w:rsidP="008E6767">
            <w:pPr>
              <w:rPr>
                <w:b/>
                <w:bCs/>
                <w:color w:val="000000"/>
                <w:sz w:val="14"/>
                <w:szCs w:val="14"/>
                <w:lang w:eastAsia="tr-TR"/>
              </w:rPr>
            </w:pPr>
          </w:p>
        </w:tc>
        <w:tc>
          <w:tcPr>
            <w:tcW w:w="850" w:type="dxa"/>
            <w:vMerge/>
            <w:tcBorders>
              <w:top w:val="single" w:sz="8" w:space="0" w:color="auto"/>
              <w:left w:val="nil"/>
              <w:bottom w:val="single" w:sz="8" w:space="0" w:color="000000"/>
              <w:right w:val="nil"/>
            </w:tcBorders>
            <w:vAlign w:val="center"/>
            <w:hideMark/>
          </w:tcPr>
          <w:p w14:paraId="118063EF" w14:textId="77777777" w:rsidR="008E6767" w:rsidRPr="00005453" w:rsidRDefault="008E6767" w:rsidP="008E6767">
            <w:pPr>
              <w:rPr>
                <w:b/>
                <w:bCs/>
                <w:color w:val="000000"/>
                <w:sz w:val="14"/>
                <w:szCs w:val="14"/>
                <w:lang w:eastAsia="tr-TR"/>
              </w:rPr>
            </w:pPr>
          </w:p>
        </w:tc>
        <w:tc>
          <w:tcPr>
            <w:tcW w:w="851" w:type="dxa"/>
            <w:vMerge/>
            <w:tcBorders>
              <w:top w:val="single" w:sz="8" w:space="0" w:color="auto"/>
              <w:left w:val="nil"/>
              <w:bottom w:val="single" w:sz="8" w:space="0" w:color="000000"/>
              <w:right w:val="nil"/>
            </w:tcBorders>
            <w:vAlign w:val="center"/>
            <w:hideMark/>
          </w:tcPr>
          <w:p w14:paraId="058687E4" w14:textId="77777777" w:rsidR="008E6767" w:rsidRPr="00005453" w:rsidRDefault="008E6767" w:rsidP="008E6767">
            <w:pPr>
              <w:rPr>
                <w:b/>
                <w:bCs/>
                <w:color w:val="000000"/>
                <w:sz w:val="14"/>
                <w:szCs w:val="14"/>
                <w:lang w:eastAsia="tr-TR"/>
              </w:rPr>
            </w:pPr>
          </w:p>
        </w:tc>
        <w:tc>
          <w:tcPr>
            <w:tcW w:w="850" w:type="dxa"/>
            <w:vMerge/>
            <w:tcBorders>
              <w:top w:val="single" w:sz="8" w:space="0" w:color="auto"/>
              <w:left w:val="nil"/>
              <w:bottom w:val="single" w:sz="8" w:space="0" w:color="000000"/>
              <w:right w:val="nil"/>
            </w:tcBorders>
            <w:vAlign w:val="center"/>
            <w:hideMark/>
          </w:tcPr>
          <w:p w14:paraId="1517F4EC" w14:textId="77777777" w:rsidR="008E6767" w:rsidRPr="00005453" w:rsidRDefault="008E6767" w:rsidP="008E6767">
            <w:pPr>
              <w:rPr>
                <w:b/>
                <w:bCs/>
                <w:color w:val="000000"/>
                <w:sz w:val="14"/>
                <w:szCs w:val="14"/>
                <w:lang w:eastAsia="tr-TR"/>
              </w:rPr>
            </w:pPr>
          </w:p>
        </w:tc>
        <w:tc>
          <w:tcPr>
            <w:tcW w:w="851" w:type="dxa"/>
            <w:vMerge/>
            <w:tcBorders>
              <w:top w:val="single" w:sz="8" w:space="0" w:color="auto"/>
              <w:left w:val="nil"/>
              <w:bottom w:val="single" w:sz="8" w:space="0" w:color="000000"/>
              <w:right w:val="nil"/>
            </w:tcBorders>
            <w:vAlign w:val="center"/>
            <w:hideMark/>
          </w:tcPr>
          <w:p w14:paraId="531BB2F6" w14:textId="77777777" w:rsidR="008E6767" w:rsidRPr="00005453" w:rsidRDefault="008E6767" w:rsidP="008E6767">
            <w:pPr>
              <w:rPr>
                <w:b/>
                <w:bCs/>
                <w:color w:val="000000"/>
                <w:sz w:val="14"/>
                <w:szCs w:val="14"/>
                <w:lang w:eastAsia="tr-TR"/>
              </w:rPr>
            </w:pPr>
          </w:p>
        </w:tc>
        <w:tc>
          <w:tcPr>
            <w:tcW w:w="709" w:type="dxa"/>
            <w:vMerge/>
            <w:tcBorders>
              <w:top w:val="single" w:sz="8" w:space="0" w:color="auto"/>
              <w:left w:val="nil"/>
              <w:bottom w:val="single" w:sz="8" w:space="0" w:color="000000"/>
              <w:right w:val="nil"/>
            </w:tcBorders>
            <w:vAlign w:val="center"/>
            <w:hideMark/>
          </w:tcPr>
          <w:p w14:paraId="68AD6E2B" w14:textId="77777777" w:rsidR="008E6767" w:rsidRPr="00005453" w:rsidRDefault="008E6767" w:rsidP="008E6767">
            <w:pPr>
              <w:rPr>
                <w:b/>
                <w:bCs/>
                <w:color w:val="000000"/>
                <w:sz w:val="14"/>
                <w:szCs w:val="14"/>
                <w:lang w:eastAsia="tr-TR"/>
              </w:rPr>
            </w:pPr>
          </w:p>
        </w:tc>
        <w:tc>
          <w:tcPr>
            <w:tcW w:w="567" w:type="dxa"/>
            <w:vMerge/>
            <w:tcBorders>
              <w:top w:val="single" w:sz="8" w:space="0" w:color="auto"/>
              <w:left w:val="nil"/>
              <w:bottom w:val="single" w:sz="8" w:space="0" w:color="000000"/>
              <w:right w:val="nil"/>
            </w:tcBorders>
            <w:vAlign w:val="center"/>
            <w:hideMark/>
          </w:tcPr>
          <w:p w14:paraId="6068498D" w14:textId="77777777" w:rsidR="008E6767" w:rsidRPr="00005453" w:rsidRDefault="008E6767" w:rsidP="008E6767">
            <w:pPr>
              <w:rPr>
                <w:b/>
                <w:bCs/>
                <w:color w:val="000000"/>
                <w:sz w:val="14"/>
                <w:szCs w:val="14"/>
                <w:lang w:eastAsia="tr-TR"/>
              </w:rPr>
            </w:pPr>
          </w:p>
        </w:tc>
        <w:tc>
          <w:tcPr>
            <w:tcW w:w="833" w:type="dxa"/>
            <w:vMerge/>
            <w:tcBorders>
              <w:top w:val="single" w:sz="8" w:space="0" w:color="auto"/>
              <w:left w:val="nil"/>
              <w:bottom w:val="single" w:sz="8" w:space="0" w:color="000000"/>
              <w:right w:val="nil"/>
            </w:tcBorders>
            <w:vAlign w:val="center"/>
            <w:hideMark/>
          </w:tcPr>
          <w:p w14:paraId="1BDA8F93" w14:textId="77777777" w:rsidR="008E6767" w:rsidRPr="00005453" w:rsidRDefault="008E6767" w:rsidP="008E6767">
            <w:pPr>
              <w:rPr>
                <w:b/>
                <w:bCs/>
                <w:color w:val="000000"/>
                <w:sz w:val="14"/>
                <w:szCs w:val="14"/>
                <w:lang w:eastAsia="tr-TR"/>
              </w:rPr>
            </w:pPr>
          </w:p>
        </w:tc>
        <w:tc>
          <w:tcPr>
            <w:tcW w:w="1293" w:type="dxa"/>
            <w:vMerge/>
            <w:tcBorders>
              <w:top w:val="single" w:sz="8" w:space="0" w:color="auto"/>
              <w:left w:val="nil"/>
              <w:bottom w:val="single" w:sz="8" w:space="0" w:color="000000"/>
              <w:right w:val="nil"/>
            </w:tcBorders>
            <w:vAlign w:val="center"/>
            <w:hideMark/>
          </w:tcPr>
          <w:p w14:paraId="2AC2BCB7" w14:textId="77777777" w:rsidR="008E6767" w:rsidRPr="00005453" w:rsidRDefault="008E6767" w:rsidP="008E6767">
            <w:pPr>
              <w:rPr>
                <w:b/>
                <w:bCs/>
                <w:color w:val="000000"/>
                <w:sz w:val="14"/>
                <w:szCs w:val="14"/>
                <w:lang w:eastAsia="tr-TR"/>
              </w:rPr>
            </w:pPr>
          </w:p>
        </w:tc>
      </w:tr>
      <w:tr w:rsidR="00F059BA" w:rsidRPr="00005453" w14:paraId="1CAE0195" w14:textId="77777777" w:rsidTr="00FA377B">
        <w:trPr>
          <w:trHeight w:val="294"/>
        </w:trPr>
        <w:tc>
          <w:tcPr>
            <w:tcW w:w="1182" w:type="dxa"/>
            <w:vMerge w:val="restart"/>
            <w:tcBorders>
              <w:top w:val="nil"/>
              <w:left w:val="nil"/>
              <w:bottom w:val="nil"/>
              <w:right w:val="nil"/>
            </w:tcBorders>
            <w:shd w:val="clear" w:color="auto" w:fill="auto"/>
            <w:vAlign w:val="center"/>
            <w:hideMark/>
          </w:tcPr>
          <w:p w14:paraId="0D6315E4" w14:textId="77777777" w:rsidR="00F059BA" w:rsidRPr="00005453" w:rsidRDefault="00F059BA" w:rsidP="00F059BA">
            <w:pPr>
              <w:rPr>
                <w:color w:val="000000"/>
                <w:sz w:val="14"/>
                <w:szCs w:val="14"/>
                <w:lang w:eastAsia="tr-TR"/>
              </w:rPr>
            </w:pPr>
            <w:r w:rsidRPr="00005453">
              <w:rPr>
                <w:color w:val="000000"/>
                <w:sz w:val="14"/>
                <w:szCs w:val="14"/>
                <w:lang w:eastAsia="tr-TR"/>
              </w:rPr>
              <w:t>Kredi Riski Azaltımı Öncesi</w:t>
            </w:r>
          </w:p>
        </w:tc>
        <w:tc>
          <w:tcPr>
            <w:tcW w:w="851" w:type="dxa"/>
            <w:vMerge w:val="restart"/>
            <w:tcBorders>
              <w:top w:val="nil"/>
              <w:left w:val="nil"/>
              <w:bottom w:val="nil"/>
              <w:right w:val="nil"/>
            </w:tcBorders>
            <w:shd w:val="clear" w:color="auto" w:fill="auto"/>
            <w:vAlign w:val="center"/>
            <w:hideMark/>
          </w:tcPr>
          <w:p w14:paraId="2D4B7125" w14:textId="4B14DB86" w:rsidR="00F059BA" w:rsidRPr="00005453" w:rsidRDefault="00F059BA" w:rsidP="00F059BA">
            <w:pPr>
              <w:jc w:val="right"/>
              <w:rPr>
                <w:color w:val="000000"/>
                <w:sz w:val="14"/>
                <w:szCs w:val="14"/>
                <w:lang w:eastAsia="tr-TR"/>
              </w:rPr>
            </w:pPr>
            <w:r w:rsidRPr="00005453">
              <w:rPr>
                <w:color w:val="000000"/>
                <w:sz w:val="14"/>
                <w:szCs w:val="14"/>
                <w:lang w:eastAsia="tr-TR"/>
              </w:rPr>
              <w:t>205,336,156</w:t>
            </w:r>
          </w:p>
        </w:tc>
        <w:tc>
          <w:tcPr>
            <w:tcW w:w="425" w:type="dxa"/>
            <w:vMerge w:val="restart"/>
            <w:tcBorders>
              <w:top w:val="nil"/>
              <w:left w:val="nil"/>
              <w:bottom w:val="nil"/>
              <w:right w:val="nil"/>
            </w:tcBorders>
            <w:shd w:val="clear" w:color="auto" w:fill="auto"/>
            <w:vAlign w:val="center"/>
            <w:hideMark/>
          </w:tcPr>
          <w:p w14:paraId="42405D73" w14:textId="1785A879" w:rsidR="00F059BA" w:rsidRPr="00005453" w:rsidRDefault="00F059BA" w:rsidP="00F059BA">
            <w:pPr>
              <w:jc w:val="right"/>
              <w:rPr>
                <w:color w:val="000000"/>
                <w:sz w:val="14"/>
                <w:szCs w:val="14"/>
                <w:lang w:eastAsia="tr-TR"/>
              </w:rPr>
            </w:pPr>
            <w:r w:rsidRPr="00005453">
              <w:rPr>
                <w:color w:val="000000"/>
                <w:sz w:val="14"/>
                <w:szCs w:val="14"/>
                <w:lang w:eastAsia="tr-TR"/>
              </w:rPr>
              <w:t>-</w:t>
            </w:r>
          </w:p>
        </w:tc>
        <w:tc>
          <w:tcPr>
            <w:tcW w:w="851" w:type="dxa"/>
            <w:vMerge w:val="restart"/>
            <w:tcBorders>
              <w:top w:val="nil"/>
              <w:left w:val="nil"/>
              <w:bottom w:val="nil"/>
              <w:right w:val="nil"/>
            </w:tcBorders>
            <w:shd w:val="clear" w:color="auto" w:fill="auto"/>
            <w:vAlign w:val="center"/>
            <w:hideMark/>
          </w:tcPr>
          <w:p w14:paraId="3A4DE9C8" w14:textId="092397C1" w:rsidR="00F059BA" w:rsidRPr="00005453" w:rsidRDefault="00F059BA" w:rsidP="00F059BA">
            <w:pPr>
              <w:jc w:val="right"/>
              <w:rPr>
                <w:color w:val="000000"/>
                <w:sz w:val="14"/>
                <w:szCs w:val="14"/>
                <w:lang w:eastAsia="tr-TR"/>
              </w:rPr>
            </w:pPr>
            <w:r w:rsidRPr="00005453">
              <w:rPr>
                <w:color w:val="000000"/>
                <w:sz w:val="14"/>
                <w:szCs w:val="14"/>
                <w:lang w:eastAsia="tr-TR"/>
              </w:rPr>
              <w:t>11,853,895</w:t>
            </w:r>
          </w:p>
        </w:tc>
        <w:tc>
          <w:tcPr>
            <w:tcW w:w="425" w:type="dxa"/>
            <w:vMerge w:val="restart"/>
            <w:tcBorders>
              <w:top w:val="nil"/>
              <w:left w:val="nil"/>
              <w:bottom w:val="nil"/>
              <w:right w:val="nil"/>
            </w:tcBorders>
            <w:shd w:val="clear" w:color="auto" w:fill="auto"/>
            <w:vAlign w:val="center"/>
            <w:hideMark/>
          </w:tcPr>
          <w:p w14:paraId="5A0E71CD" w14:textId="439940E8" w:rsidR="00F059BA" w:rsidRPr="00005453" w:rsidRDefault="00F059BA" w:rsidP="00F059BA">
            <w:pPr>
              <w:jc w:val="right"/>
              <w:rPr>
                <w:color w:val="000000"/>
                <w:sz w:val="14"/>
                <w:szCs w:val="14"/>
                <w:lang w:eastAsia="tr-TR"/>
              </w:rPr>
            </w:pPr>
            <w:r w:rsidRPr="00005453">
              <w:rPr>
                <w:color w:val="000000"/>
                <w:sz w:val="14"/>
                <w:szCs w:val="14"/>
                <w:lang w:eastAsia="tr-TR"/>
              </w:rPr>
              <w:t>-</w:t>
            </w:r>
          </w:p>
        </w:tc>
        <w:tc>
          <w:tcPr>
            <w:tcW w:w="850" w:type="dxa"/>
            <w:vMerge w:val="restart"/>
            <w:tcBorders>
              <w:top w:val="nil"/>
              <w:left w:val="nil"/>
              <w:bottom w:val="nil"/>
              <w:right w:val="nil"/>
            </w:tcBorders>
            <w:shd w:val="clear" w:color="auto" w:fill="auto"/>
            <w:vAlign w:val="center"/>
            <w:hideMark/>
          </w:tcPr>
          <w:p w14:paraId="77309EA2" w14:textId="04485E3B" w:rsidR="00F059BA" w:rsidRPr="00005453" w:rsidRDefault="00F059BA" w:rsidP="00F059BA">
            <w:pPr>
              <w:jc w:val="right"/>
              <w:rPr>
                <w:color w:val="000000"/>
                <w:sz w:val="14"/>
                <w:szCs w:val="14"/>
                <w:lang w:eastAsia="tr-TR"/>
              </w:rPr>
            </w:pPr>
            <w:r w:rsidRPr="00005453">
              <w:rPr>
                <w:color w:val="000000"/>
                <w:sz w:val="14"/>
                <w:szCs w:val="14"/>
                <w:lang w:eastAsia="tr-TR"/>
              </w:rPr>
              <w:t>20,506,638</w:t>
            </w:r>
          </w:p>
        </w:tc>
        <w:tc>
          <w:tcPr>
            <w:tcW w:w="851" w:type="dxa"/>
            <w:vMerge w:val="restart"/>
            <w:tcBorders>
              <w:top w:val="nil"/>
              <w:left w:val="nil"/>
              <w:bottom w:val="nil"/>
              <w:right w:val="nil"/>
            </w:tcBorders>
            <w:shd w:val="clear" w:color="auto" w:fill="auto"/>
            <w:vAlign w:val="center"/>
            <w:hideMark/>
          </w:tcPr>
          <w:p w14:paraId="1F42B2E7" w14:textId="1112A82E" w:rsidR="00F059BA" w:rsidRPr="00005453" w:rsidRDefault="00F059BA" w:rsidP="00F059BA">
            <w:pPr>
              <w:jc w:val="right"/>
              <w:rPr>
                <w:color w:val="000000"/>
                <w:sz w:val="14"/>
                <w:szCs w:val="14"/>
                <w:lang w:eastAsia="tr-TR"/>
              </w:rPr>
            </w:pPr>
            <w:r w:rsidRPr="00005453">
              <w:rPr>
                <w:color w:val="000000"/>
                <w:sz w:val="14"/>
                <w:szCs w:val="14"/>
                <w:lang w:eastAsia="tr-TR"/>
              </w:rPr>
              <w:t>25,976,948</w:t>
            </w:r>
          </w:p>
        </w:tc>
        <w:tc>
          <w:tcPr>
            <w:tcW w:w="850" w:type="dxa"/>
            <w:vMerge w:val="restart"/>
            <w:tcBorders>
              <w:top w:val="nil"/>
              <w:left w:val="nil"/>
              <w:bottom w:val="nil"/>
              <w:right w:val="nil"/>
            </w:tcBorders>
            <w:shd w:val="clear" w:color="auto" w:fill="auto"/>
            <w:vAlign w:val="center"/>
            <w:hideMark/>
          </w:tcPr>
          <w:p w14:paraId="5CD5F9BE" w14:textId="629ABEA3" w:rsidR="00F059BA" w:rsidRPr="00005453" w:rsidRDefault="00F059BA" w:rsidP="00F059BA">
            <w:pPr>
              <w:jc w:val="right"/>
              <w:rPr>
                <w:color w:val="000000"/>
                <w:sz w:val="14"/>
                <w:szCs w:val="14"/>
                <w:lang w:eastAsia="tr-TR"/>
              </w:rPr>
            </w:pPr>
            <w:r w:rsidRPr="00005453">
              <w:rPr>
                <w:color w:val="000000"/>
                <w:sz w:val="14"/>
                <w:szCs w:val="14"/>
                <w:lang w:eastAsia="tr-TR"/>
              </w:rPr>
              <w:t>51,703,120</w:t>
            </w:r>
          </w:p>
        </w:tc>
        <w:tc>
          <w:tcPr>
            <w:tcW w:w="851" w:type="dxa"/>
            <w:vMerge w:val="restart"/>
            <w:tcBorders>
              <w:top w:val="nil"/>
              <w:left w:val="nil"/>
              <w:bottom w:val="nil"/>
              <w:right w:val="nil"/>
            </w:tcBorders>
            <w:shd w:val="clear" w:color="auto" w:fill="auto"/>
            <w:vAlign w:val="center"/>
            <w:hideMark/>
          </w:tcPr>
          <w:p w14:paraId="17DAE636" w14:textId="6FE835B7" w:rsidR="00F059BA" w:rsidRPr="00005453" w:rsidRDefault="00F059BA" w:rsidP="00F059BA">
            <w:pPr>
              <w:jc w:val="right"/>
              <w:rPr>
                <w:color w:val="000000"/>
                <w:sz w:val="14"/>
                <w:szCs w:val="14"/>
                <w:lang w:eastAsia="tr-TR"/>
              </w:rPr>
            </w:pPr>
            <w:r w:rsidRPr="00005453">
              <w:rPr>
                <w:color w:val="000000"/>
                <w:sz w:val="14"/>
                <w:szCs w:val="14"/>
                <w:lang w:eastAsia="tr-TR"/>
              </w:rPr>
              <w:t>107,424,269</w:t>
            </w:r>
          </w:p>
        </w:tc>
        <w:tc>
          <w:tcPr>
            <w:tcW w:w="709" w:type="dxa"/>
            <w:vMerge w:val="restart"/>
            <w:tcBorders>
              <w:top w:val="nil"/>
              <w:left w:val="nil"/>
              <w:bottom w:val="nil"/>
              <w:right w:val="nil"/>
            </w:tcBorders>
            <w:shd w:val="clear" w:color="auto" w:fill="auto"/>
            <w:vAlign w:val="center"/>
            <w:hideMark/>
          </w:tcPr>
          <w:p w14:paraId="43BE6695" w14:textId="4EDB3522" w:rsidR="00F059BA" w:rsidRPr="00005453" w:rsidRDefault="00F059BA" w:rsidP="00F059BA">
            <w:pPr>
              <w:jc w:val="right"/>
              <w:rPr>
                <w:color w:val="000000"/>
                <w:sz w:val="14"/>
                <w:szCs w:val="14"/>
                <w:lang w:eastAsia="tr-TR"/>
              </w:rPr>
            </w:pPr>
            <w:r w:rsidRPr="00005453">
              <w:rPr>
                <w:color w:val="000000"/>
                <w:sz w:val="14"/>
                <w:szCs w:val="14"/>
                <w:lang w:eastAsia="tr-TR"/>
              </w:rPr>
              <w:t>3,842,472</w:t>
            </w:r>
          </w:p>
        </w:tc>
        <w:tc>
          <w:tcPr>
            <w:tcW w:w="567" w:type="dxa"/>
            <w:vMerge w:val="restart"/>
            <w:tcBorders>
              <w:top w:val="nil"/>
              <w:left w:val="nil"/>
              <w:bottom w:val="nil"/>
              <w:right w:val="nil"/>
            </w:tcBorders>
            <w:shd w:val="clear" w:color="auto" w:fill="auto"/>
            <w:vAlign w:val="center"/>
            <w:hideMark/>
          </w:tcPr>
          <w:p w14:paraId="7A72281C" w14:textId="6689078C" w:rsidR="00F059BA" w:rsidRPr="00005453" w:rsidRDefault="00F059BA" w:rsidP="00F059BA">
            <w:pPr>
              <w:jc w:val="right"/>
              <w:rPr>
                <w:color w:val="000000"/>
                <w:sz w:val="14"/>
                <w:szCs w:val="14"/>
                <w:lang w:eastAsia="tr-TR"/>
              </w:rPr>
            </w:pPr>
            <w:r w:rsidRPr="00005453">
              <w:rPr>
                <w:color w:val="000000"/>
                <w:sz w:val="14"/>
                <w:szCs w:val="14"/>
                <w:lang w:eastAsia="tr-TR"/>
              </w:rPr>
              <w:t>-</w:t>
            </w:r>
          </w:p>
        </w:tc>
        <w:tc>
          <w:tcPr>
            <w:tcW w:w="833" w:type="dxa"/>
            <w:vMerge w:val="restart"/>
            <w:tcBorders>
              <w:top w:val="nil"/>
              <w:left w:val="nil"/>
              <w:bottom w:val="nil"/>
              <w:right w:val="nil"/>
            </w:tcBorders>
            <w:shd w:val="clear" w:color="auto" w:fill="auto"/>
            <w:vAlign w:val="center"/>
            <w:hideMark/>
          </w:tcPr>
          <w:p w14:paraId="0879AD0A" w14:textId="63FB218C" w:rsidR="00F059BA" w:rsidRPr="00005453" w:rsidRDefault="00F059BA" w:rsidP="00F059BA">
            <w:pPr>
              <w:jc w:val="right"/>
              <w:rPr>
                <w:color w:val="000000"/>
                <w:sz w:val="14"/>
                <w:szCs w:val="14"/>
                <w:lang w:eastAsia="tr-TR"/>
              </w:rPr>
            </w:pPr>
            <w:r w:rsidRPr="00005453">
              <w:rPr>
                <w:color w:val="000000"/>
                <w:sz w:val="14"/>
                <w:szCs w:val="14"/>
                <w:lang w:eastAsia="tr-TR"/>
              </w:rPr>
              <w:t>21,755,761</w:t>
            </w:r>
          </w:p>
        </w:tc>
        <w:tc>
          <w:tcPr>
            <w:tcW w:w="1293" w:type="dxa"/>
            <w:vMerge w:val="restart"/>
            <w:tcBorders>
              <w:top w:val="nil"/>
              <w:left w:val="nil"/>
              <w:bottom w:val="nil"/>
              <w:right w:val="nil"/>
            </w:tcBorders>
            <w:shd w:val="clear" w:color="auto" w:fill="auto"/>
            <w:vAlign w:val="center"/>
            <w:hideMark/>
          </w:tcPr>
          <w:p w14:paraId="3EF01DA4" w14:textId="042B5DEB" w:rsidR="00F059BA" w:rsidRPr="00005453" w:rsidRDefault="00F059BA" w:rsidP="00F059BA">
            <w:pPr>
              <w:jc w:val="right"/>
              <w:rPr>
                <w:color w:val="000000"/>
                <w:sz w:val="14"/>
                <w:szCs w:val="14"/>
                <w:lang w:eastAsia="tr-TR"/>
              </w:rPr>
            </w:pPr>
            <w:r w:rsidRPr="00005453">
              <w:rPr>
                <w:color w:val="000000"/>
                <w:sz w:val="14"/>
                <w:szCs w:val="14"/>
                <w:lang w:eastAsia="tr-TR"/>
              </w:rPr>
              <w:t>3,017,151</w:t>
            </w:r>
          </w:p>
        </w:tc>
      </w:tr>
      <w:tr w:rsidR="00F059BA" w:rsidRPr="00005453" w14:paraId="65EE352B" w14:textId="77777777" w:rsidTr="00FA377B">
        <w:trPr>
          <w:trHeight w:val="230"/>
        </w:trPr>
        <w:tc>
          <w:tcPr>
            <w:tcW w:w="1182" w:type="dxa"/>
            <w:vMerge/>
            <w:tcBorders>
              <w:top w:val="nil"/>
              <w:left w:val="nil"/>
              <w:right w:val="nil"/>
            </w:tcBorders>
            <w:vAlign w:val="center"/>
            <w:hideMark/>
          </w:tcPr>
          <w:p w14:paraId="5A7F8546" w14:textId="77777777" w:rsidR="00F059BA" w:rsidRPr="00005453" w:rsidRDefault="00F059BA" w:rsidP="00F059BA">
            <w:pPr>
              <w:rPr>
                <w:color w:val="000000"/>
                <w:sz w:val="14"/>
                <w:szCs w:val="14"/>
                <w:lang w:eastAsia="tr-TR"/>
              </w:rPr>
            </w:pPr>
          </w:p>
        </w:tc>
        <w:tc>
          <w:tcPr>
            <w:tcW w:w="851" w:type="dxa"/>
            <w:vMerge/>
            <w:tcBorders>
              <w:top w:val="nil"/>
              <w:left w:val="nil"/>
              <w:right w:val="nil"/>
            </w:tcBorders>
            <w:vAlign w:val="center"/>
            <w:hideMark/>
          </w:tcPr>
          <w:p w14:paraId="6928A798" w14:textId="77777777" w:rsidR="00F059BA" w:rsidRPr="00005453" w:rsidRDefault="00F059BA" w:rsidP="00F059BA">
            <w:pPr>
              <w:jc w:val="right"/>
              <w:rPr>
                <w:color w:val="000000"/>
                <w:sz w:val="14"/>
                <w:szCs w:val="14"/>
                <w:lang w:eastAsia="tr-TR"/>
              </w:rPr>
            </w:pPr>
          </w:p>
        </w:tc>
        <w:tc>
          <w:tcPr>
            <w:tcW w:w="425" w:type="dxa"/>
            <w:vMerge/>
            <w:tcBorders>
              <w:top w:val="nil"/>
              <w:left w:val="nil"/>
              <w:right w:val="nil"/>
            </w:tcBorders>
            <w:vAlign w:val="center"/>
            <w:hideMark/>
          </w:tcPr>
          <w:p w14:paraId="57B251E7" w14:textId="77777777" w:rsidR="00F059BA" w:rsidRPr="00005453" w:rsidRDefault="00F059BA" w:rsidP="00F059BA">
            <w:pPr>
              <w:jc w:val="right"/>
              <w:rPr>
                <w:color w:val="000000"/>
                <w:sz w:val="14"/>
                <w:szCs w:val="14"/>
                <w:lang w:eastAsia="tr-TR"/>
              </w:rPr>
            </w:pPr>
          </w:p>
        </w:tc>
        <w:tc>
          <w:tcPr>
            <w:tcW w:w="851" w:type="dxa"/>
            <w:vMerge/>
            <w:tcBorders>
              <w:top w:val="nil"/>
              <w:left w:val="nil"/>
              <w:right w:val="nil"/>
            </w:tcBorders>
            <w:vAlign w:val="center"/>
            <w:hideMark/>
          </w:tcPr>
          <w:p w14:paraId="6EFCE308" w14:textId="77777777" w:rsidR="00F059BA" w:rsidRPr="00005453" w:rsidRDefault="00F059BA" w:rsidP="00F059BA">
            <w:pPr>
              <w:jc w:val="right"/>
              <w:rPr>
                <w:color w:val="000000"/>
                <w:sz w:val="14"/>
                <w:szCs w:val="14"/>
                <w:lang w:eastAsia="tr-TR"/>
              </w:rPr>
            </w:pPr>
          </w:p>
        </w:tc>
        <w:tc>
          <w:tcPr>
            <w:tcW w:w="425" w:type="dxa"/>
            <w:vMerge/>
            <w:tcBorders>
              <w:top w:val="nil"/>
              <w:left w:val="nil"/>
              <w:right w:val="nil"/>
            </w:tcBorders>
            <w:vAlign w:val="center"/>
            <w:hideMark/>
          </w:tcPr>
          <w:p w14:paraId="769E9B1F" w14:textId="77777777" w:rsidR="00F059BA" w:rsidRPr="00005453" w:rsidRDefault="00F059BA" w:rsidP="00F059BA">
            <w:pPr>
              <w:jc w:val="right"/>
              <w:rPr>
                <w:color w:val="000000"/>
                <w:sz w:val="14"/>
                <w:szCs w:val="14"/>
                <w:lang w:eastAsia="tr-TR"/>
              </w:rPr>
            </w:pPr>
          </w:p>
        </w:tc>
        <w:tc>
          <w:tcPr>
            <w:tcW w:w="850" w:type="dxa"/>
            <w:vMerge/>
            <w:tcBorders>
              <w:top w:val="nil"/>
              <w:left w:val="nil"/>
              <w:right w:val="nil"/>
            </w:tcBorders>
            <w:vAlign w:val="center"/>
            <w:hideMark/>
          </w:tcPr>
          <w:p w14:paraId="3DB1DFC9" w14:textId="77777777" w:rsidR="00F059BA" w:rsidRPr="00005453" w:rsidRDefault="00F059BA" w:rsidP="00F059BA">
            <w:pPr>
              <w:jc w:val="right"/>
              <w:rPr>
                <w:color w:val="000000"/>
                <w:sz w:val="14"/>
                <w:szCs w:val="14"/>
                <w:lang w:eastAsia="tr-TR"/>
              </w:rPr>
            </w:pPr>
          </w:p>
        </w:tc>
        <w:tc>
          <w:tcPr>
            <w:tcW w:w="851" w:type="dxa"/>
            <w:vMerge/>
            <w:tcBorders>
              <w:top w:val="nil"/>
              <w:left w:val="nil"/>
              <w:right w:val="nil"/>
            </w:tcBorders>
            <w:vAlign w:val="center"/>
            <w:hideMark/>
          </w:tcPr>
          <w:p w14:paraId="6BE2EEAB" w14:textId="77777777" w:rsidR="00F059BA" w:rsidRPr="00005453" w:rsidRDefault="00F059BA" w:rsidP="00F059BA">
            <w:pPr>
              <w:jc w:val="right"/>
              <w:rPr>
                <w:color w:val="000000"/>
                <w:sz w:val="14"/>
                <w:szCs w:val="14"/>
                <w:lang w:eastAsia="tr-TR"/>
              </w:rPr>
            </w:pPr>
          </w:p>
        </w:tc>
        <w:tc>
          <w:tcPr>
            <w:tcW w:w="850" w:type="dxa"/>
            <w:vMerge/>
            <w:tcBorders>
              <w:top w:val="nil"/>
              <w:left w:val="nil"/>
              <w:right w:val="nil"/>
            </w:tcBorders>
            <w:vAlign w:val="center"/>
            <w:hideMark/>
          </w:tcPr>
          <w:p w14:paraId="7BEB0F5A" w14:textId="77777777" w:rsidR="00F059BA" w:rsidRPr="00005453" w:rsidRDefault="00F059BA" w:rsidP="00F059BA">
            <w:pPr>
              <w:jc w:val="right"/>
              <w:rPr>
                <w:color w:val="000000"/>
                <w:sz w:val="14"/>
                <w:szCs w:val="14"/>
                <w:lang w:eastAsia="tr-TR"/>
              </w:rPr>
            </w:pPr>
          </w:p>
        </w:tc>
        <w:tc>
          <w:tcPr>
            <w:tcW w:w="851" w:type="dxa"/>
            <w:vMerge/>
            <w:tcBorders>
              <w:top w:val="nil"/>
              <w:left w:val="nil"/>
              <w:right w:val="nil"/>
            </w:tcBorders>
            <w:vAlign w:val="center"/>
            <w:hideMark/>
          </w:tcPr>
          <w:p w14:paraId="03B8EC01" w14:textId="77777777" w:rsidR="00F059BA" w:rsidRPr="00005453" w:rsidRDefault="00F059BA" w:rsidP="00F059BA">
            <w:pPr>
              <w:jc w:val="right"/>
              <w:rPr>
                <w:color w:val="000000"/>
                <w:sz w:val="14"/>
                <w:szCs w:val="14"/>
                <w:lang w:eastAsia="tr-TR"/>
              </w:rPr>
            </w:pPr>
          </w:p>
        </w:tc>
        <w:tc>
          <w:tcPr>
            <w:tcW w:w="709" w:type="dxa"/>
            <w:vMerge/>
            <w:tcBorders>
              <w:top w:val="nil"/>
              <w:left w:val="nil"/>
              <w:right w:val="nil"/>
            </w:tcBorders>
            <w:vAlign w:val="center"/>
            <w:hideMark/>
          </w:tcPr>
          <w:p w14:paraId="6842A306" w14:textId="77777777" w:rsidR="00F059BA" w:rsidRPr="00005453" w:rsidRDefault="00F059BA" w:rsidP="00F059BA">
            <w:pPr>
              <w:jc w:val="right"/>
              <w:rPr>
                <w:color w:val="000000"/>
                <w:sz w:val="14"/>
                <w:szCs w:val="14"/>
                <w:lang w:eastAsia="tr-TR"/>
              </w:rPr>
            </w:pPr>
          </w:p>
        </w:tc>
        <w:tc>
          <w:tcPr>
            <w:tcW w:w="567" w:type="dxa"/>
            <w:vMerge/>
            <w:tcBorders>
              <w:top w:val="nil"/>
              <w:left w:val="nil"/>
              <w:right w:val="nil"/>
            </w:tcBorders>
            <w:vAlign w:val="center"/>
            <w:hideMark/>
          </w:tcPr>
          <w:p w14:paraId="5F751404" w14:textId="77777777" w:rsidR="00F059BA" w:rsidRPr="00005453" w:rsidRDefault="00F059BA" w:rsidP="00F059BA">
            <w:pPr>
              <w:jc w:val="right"/>
              <w:rPr>
                <w:color w:val="000000"/>
                <w:sz w:val="14"/>
                <w:szCs w:val="14"/>
                <w:lang w:eastAsia="tr-TR"/>
              </w:rPr>
            </w:pPr>
          </w:p>
        </w:tc>
        <w:tc>
          <w:tcPr>
            <w:tcW w:w="833" w:type="dxa"/>
            <w:vMerge/>
            <w:tcBorders>
              <w:top w:val="nil"/>
              <w:left w:val="nil"/>
              <w:right w:val="nil"/>
            </w:tcBorders>
            <w:vAlign w:val="center"/>
            <w:hideMark/>
          </w:tcPr>
          <w:p w14:paraId="298DBA71" w14:textId="77777777" w:rsidR="00F059BA" w:rsidRPr="00005453" w:rsidRDefault="00F059BA" w:rsidP="00F059BA">
            <w:pPr>
              <w:jc w:val="right"/>
              <w:rPr>
                <w:color w:val="000000"/>
                <w:sz w:val="14"/>
                <w:szCs w:val="14"/>
                <w:lang w:eastAsia="tr-TR"/>
              </w:rPr>
            </w:pPr>
          </w:p>
        </w:tc>
        <w:tc>
          <w:tcPr>
            <w:tcW w:w="1293" w:type="dxa"/>
            <w:vMerge/>
            <w:tcBorders>
              <w:top w:val="nil"/>
              <w:left w:val="nil"/>
              <w:right w:val="nil"/>
            </w:tcBorders>
            <w:vAlign w:val="center"/>
            <w:hideMark/>
          </w:tcPr>
          <w:p w14:paraId="3D36447D" w14:textId="77777777" w:rsidR="00F059BA" w:rsidRPr="00005453" w:rsidRDefault="00F059BA" w:rsidP="00F059BA">
            <w:pPr>
              <w:jc w:val="right"/>
              <w:rPr>
                <w:color w:val="000000"/>
                <w:sz w:val="14"/>
                <w:szCs w:val="14"/>
                <w:lang w:eastAsia="tr-TR"/>
              </w:rPr>
            </w:pPr>
          </w:p>
        </w:tc>
      </w:tr>
      <w:tr w:rsidR="00F059BA" w:rsidRPr="00005453" w14:paraId="6EC63B05" w14:textId="77777777" w:rsidTr="00FA377B">
        <w:trPr>
          <w:trHeight w:val="294"/>
        </w:trPr>
        <w:tc>
          <w:tcPr>
            <w:tcW w:w="1182" w:type="dxa"/>
            <w:vMerge w:val="restart"/>
            <w:tcBorders>
              <w:top w:val="nil"/>
              <w:left w:val="nil"/>
              <w:bottom w:val="double" w:sz="4" w:space="0" w:color="auto"/>
              <w:right w:val="nil"/>
            </w:tcBorders>
            <w:shd w:val="clear" w:color="auto" w:fill="auto"/>
            <w:vAlign w:val="center"/>
            <w:hideMark/>
          </w:tcPr>
          <w:p w14:paraId="7E7A9094" w14:textId="77777777" w:rsidR="00F059BA" w:rsidRPr="00005453" w:rsidRDefault="00F059BA" w:rsidP="00F059BA">
            <w:pPr>
              <w:rPr>
                <w:color w:val="000000"/>
                <w:sz w:val="14"/>
                <w:szCs w:val="14"/>
                <w:lang w:eastAsia="tr-TR"/>
              </w:rPr>
            </w:pPr>
            <w:r w:rsidRPr="00005453">
              <w:rPr>
                <w:color w:val="000000"/>
                <w:sz w:val="14"/>
                <w:szCs w:val="14"/>
                <w:lang w:eastAsia="tr-TR"/>
              </w:rPr>
              <w:t>Kredi Riski Azaltımı Sonrası</w:t>
            </w:r>
          </w:p>
        </w:tc>
        <w:tc>
          <w:tcPr>
            <w:tcW w:w="851" w:type="dxa"/>
            <w:vMerge w:val="restart"/>
            <w:tcBorders>
              <w:top w:val="nil"/>
              <w:left w:val="nil"/>
              <w:bottom w:val="double" w:sz="4" w:space="0" w:color="auto"/>
              <w:right w:val="nil"/>
            </w:tcBorders>
            <w:shd w:val="clear" w:color="auto" w:fill="auto"/>
            <w:vAlign w:val="center"/>
            <w:hideMark/>
          </w:tcPr>
          <w:p w14:paraId="3F09756D" w14:textId="42741B1F" w:rsidR="00F059BA" w:rsidRPr="00005453" w:rsidRDefault="00F059BA" w:rsidP="00F059BA">
            <w:pPr>
              <w:jc w:val="right"/>
              <w:rPr>
                <w:color w:val="000000"/>
                <w:sz w:val="14"/>
                <w:szCs w:val="14"/>
                <w:lang w:eastAsia="tr-TR"/>
              </w:rPr>
            </w:pPr>
            <w:r w:rsidRPr="00005453">
              <w:rPr>
                <w:color w:val="000000"/>
                <w:sz w:val="14"/>
                <w:szCs w:val="14"/>
                <w:lang w:eastAsia="tr-TR"/>
              </w:rPr>
              <w:t>243,336,372</w:t>
            </w:r>
          </w:p>
        </w:tc>
        <w:tc>
          <w:tcPr>
            <w:tcW w:w="425" w:type="dxa"/>
            <w:vMerge w:val="restart"/>
            <w:tcBorders>
              <w:top w:val="nil"/>
              <w:left w:val="nil"/>
              <w:bottom w:val="double" w:sz="4" w:space="0" w:color="auto"/>
              <w:right w:val="nil"/>
            </w:tcBorders>
            <w:shd w:val="clear" w:color="auto" w:fill="auto"/>
            <w:vAlign w:val="center"/>
            <w:hideMark/>
          </w:tcPr>
          <w:p w14:paraId="68EAB395" w14:textId="10FF8868" w:rsidR="00F059BA" w:rsidRPr="00005453" w:rsidRDefault="00F059BA" w:rsidP="00F059BA">
            <w:pPr>
              <w:jc w:val="right"/>
              <w:rPr>
                <w:color w:val="000000"/>
                <w:sz w:val="14"/>
                <w:szCs w:val="14"/>
                <w:lang w:eastAsia="tr-TR"/>
              </w:rPr>
            </w:pPr>
            <w:r w:rsidRPr="00005453">
              <w:rPr>
                <w:color w:val="000000"/>
                <w:sz w:val="14"/>
                <w:szCs w:val="14"/>
                <w:lang w:eastAsia="tr-TR"/>
              </w:rPr>
              <w:t>-</w:t>
            </w:r>
          </w:p>
        </w:tc>
        <w:tc>
          <w:tcPr>
            <w:tcW w:w="851" w:type="dxa"/>
            <w:vMerge w:val="restart"/>
            <w:tcBorders>
              <w:top w:val="nil"/>
              <w:left w:val="nil"/>
              <w:bottom w:val="double" w:sz="4" w:space="0" w:color="auto"/>
              <w:right w:val="nil"/>
            </w:tcBorders>
            <w:shd w:val="clear" w:color="auto" w:fill="auto"/>
            <w:vAlign w:val="center"/>
            <w:hideMark/>
          </w:tcPr>
          <w:p w14:paraId="0EF844EE" w14:textId="2302D732" w:rsidR="00F059BA" w:rsidRPr="00005453" w:rsidRDefault="00F059BA" w:rsidP="00F059BA">
            <w:pPr>
              <w:jc w:val="right"/>
              <w:rPr>
                <w:color w:val="000000"/>
                <w:sz w:val="14"/>
                <w:szCs w:val="14"/>
                <w:lang w:eastAsia="tr-TR"/>
              </w:rPr>
            </w:pPr>
            <w:r w:rsidRPr="00005453">
              <w:rPr>
                <w:color w:val="000000"/>
                <w:sz w:val="14"/>
                <w:szCs w:val="14"/>
                <w:lang w:eastAsia="tr-TR"/>
              </w:rPr>
              <w:t>18,003,079</w:t>
            </w:r>
          </w:p>
        </w:tc>
        <w:tc>
          <w:tcPr>
            <w:tcW w:w="425" w:type="dxa"/>
            <w:vMerge w:val="restart"/>
            <w:tcBorders>
              <w:top w:val="nil"/>
              <w:left w:val="nil"/>
              <w:bottom w:val="double" w:sz="4" w:space="0" w:color="auto"/>
              <w:right w:val="nil"/>
            </w:tcBorders>
            <w:shd w:val="clear" w:color="auto" w:fill="auto"/>
            <w:vAlign w:val="center"/>
            <w:hideMark/>
          </w:tcPr>
          <w:p w14:paraId="65792438" w14:textId="74DB8604" w:rsidR="00F059BA" w:rsidRPr="00005453" w:rsidRDefault="00F059BA" w:rsidP="00F059BA">
            <w:pPr>
              <w:jc w:val="right"/>
              <w:rPr>
                <w:color w:val="000000"/>
                <w:sz w:val="14"/>
                <w:szCs w:val="14"/>
                <w:lang w:eastAsia="tr-TR"/>
              </w:rPr>
            </w:pPr>
            <w:r w:rsidRPr="00005453">
              <w:rPr>
                <w:color w:val="000000"/>
                <w:sz w:val="14"/>
                <w:szCs w:val="14"/>
                <w:lang w:eastAsia="tr-TR"/>
              </w:rPr>
              <w:t>-</w:t>
            </w:r>
          </w:p>
        </w:tc>
        <w:tc>
          <w:tcPr>
            <w:tcW w:w="850" w:type="dxa"/>
            <w:vMerge w:val="restart"/>
            <w:tcBorders>
              <w:top w:val="nil"/>
              <w:left w:val="nil"/>
              <w:bottom w:val="double" w:sz="4" w:space="0" w:color="auto"/>
              <w:right w:val="nil"/>
            </w:tcBorders>
            <w:shd w:val="clear" w:color="auto" w:fill="auto"/>
            <w:vAlign w:val="center"/>
            <w:hideMark/>
          </w:tcPr>
          <w:p w14:paraId="736F564D" w14:textId="3EE057BF" w:rsidR="00F059BA" w:rsidRPr="00005453" w:rsidRDefault="00F059BA" w:rsidP="00F059BA">
            <w:pPr>
              <w:jc w:val="right"/>
              <w:rPr>
                <w:color w:val="000000"/>
                <w:sz w:val="14"/>
                <w:szCs w:val="14"/>
                <w:lang w:eastAsia="tr-TR"/>
              </w:rPr>
            </w:pPr>
            <w:r w:rsidRPr="00005453">
              <w:rPr>
                <w:color w:val="000000"/>
                <w:sz w:val="14"/>
                <w:szCs w:val="14"/>
                <w:lang w:eastAsia="tr-TR"/>
              </w:rPr>
              <w:t>17,836,923</w:t>
            </w:r>
          </w:p>
        </w:tc>
        <w:tc>
          <w:tcPr>
            <w:tcW w:w="851" w:type="dxa"/>
            <w:vMerge w:val="restart"/>
            <w:tcBorders>
              <w:top w:val="nil"/>
              <w:left w:val="nil"/>
              <w:bottom w:val="double" w:sz="4" w:space="0" w:color="auto"/>
              <w:right w:val="nil"/>
            </w:tcBorders>
            <w:shd w:val="clear" w:color="auto" w:fill="auto"/>
            <w:vAlign w:val="center"/>
            <w:hideMark/>
          </w:tcPr>
          <w:p w14:paraId="114EBFA3" w14:textId="072B75E1" w:rsidR="00F059BA" w:rsidRPr="00005453" w:rsidRDefault="00F059BA" w:rsidP="00F059BA">
            <w:pPr>
              <w:jc w:val="right"/>
              <w:rPr>
                <w:color w:val="000000"/>
                <w:sz w:val="14"/>
                <w:szCs w:val="14"/>
                <w:lang w:eastAsia="tr-TR"/>
              </w:rPr>
            </w:pPr>
            <w:r w:rsidRPr="00005453">
              <w:rPr>
                <w:color w:val="000000"/>
                <w:sz w:val="14"/>
                <w:szCs w:val="14"/>
                <w:lang w:eastAsia="tr-TR"/>
              </w:rPr>
              <w:t>22,220,149</w:t>
            </w:r>
          </w:p>
        </w:tc>
        <w:tc>
          <w:tcPr>
            <w:tcW w:w="850" w:type="dxa"/>
            <w:vMerge w:val="restart"/>
            <w:tcBorders>
              <w:top w:val="nil"/>
              <w:left w:val="nil"/>
              <w:bottom w:val="double" w:sz="4" w:space="0" w:color="auto"/>
              <w:right w:val="nil"/>
            </w:tcBorders>
            <w:shd w:val="clear" w:color="auto" w:fill="auto"/>
            <w:vAlign w:val="center"/>
            <w:hideMark/>
          </w:tcPr>
          <w:p w14:paraId="151A86D7" w14:textId="5DC74902" w:rsidR="00F059BA" w:rsidRPr="00005453" w:rsidRDefault="00F059BA" w:rsidP="00F059BA">
            <w:pPr>
              <w:jc w:val="right"/>
              <w:rPr>
                <w:color w:val="000000"/>
                <w:sz w:val="14"/>
                <w:szCs w:val="14"/>
                <w:lang w:eastAsia="tr-TR"/>
              </w:rPr>
            </w:pPr>
            <w:r w:rsidRPr="00005453">
              <w:rPr>
                <w:color w:val="000000"/>
                <w:sz w:val="14"/>
                <w:szCs w:val="14"/>
                <w:lang w:eastAsia="tr-TR"/>
              </w:rPr>
              <w:t>40,258,554</w:t>
            </w:r>
          </w:p>
        </w:tc>
        <w:tc>
          <w:tcPr>
            <w:tcW w:w="851" w:type="dxa"/>
            <w:vMerge w:val="restart"/>
            <w:tcBorders>
              <w:top w:val="nil"/>
              <w:left w:val="nil"/>
              <w:bottom w:val="double" w:sz="4" w:space="0" w:color="auto"/>
              <w:right w:val="nil"/>
            </w:tcBorders>
            <w:shd w:val="clear" w:color="auto" w:fill="auto"/>
            <w:vAlign w:val="center"/>
            <w:hideMark/>
          </w:tcPr>
          <w:p w14:paraId="35B3A98B" w14:textId="1E0FB2A6" w:rsidR="00F059BA" w:rsidRPr="00005453" w:rsidRDefault="00F059BA" w:rsidP="00F059BA">
            <w:pPr>
              <w:jc w:val="right"/>
              <w:rPr>
                <w:color w:val="000000"/>
                <w:sz w:val="14"/>
                <w:szCs w:val="14"/>
                <w:lang w:eastAsia="tr-TR"/>
              </w:rPr>
            </w:pPr>
            <w:r w:rsidRPr="00005453">
              <w:rPr>
                <w:color w:val="000000"/>
                <w:sz w:val="14"/>
                <w:szCs w:val="14"/>
                <w:lang w:eastAsia="tr-TR"/>
              </w:rPr>
              <w:t>81,145,950</w:t>
            </w:r>
          </w:p>
        </w:tc>
        <w:tc>
          <w:tcPr>
            <w:tcW w:w="709" w:type="dxa"/>
            <w:vMerge w:val="restart"/>
            <w:tcBorders>
              <w:top w:val="nil"/>
              <w:left w:val="nil"/>
              <w:bottom w:val="double" w:sz="4" w:space="0" w:color="auto"/>
              <w:right w:val="nil"/>
            </w:tcBorders>
            <w:shd w:val="clear" w:color="auto" w:fill="auto"/>
            <w:vAlign w:val="center"/>
            <w:hideMark/>
          </w:tcPr>
          <w:p w14:paraId="487BFF41" w14:textId="0D14B42A" w:rsidR="00F059BA" w:rsidRPr="00005453" w:rsidRDefault="00F059BA" w:rsidP="00F059BA">
            <w:pPr>
              <w:jc w:val="right"/>
              <w:rPr>
                <w:color w:val="000000"/>
                <w:sz w:val="14"/>
                <w:szCs w:val="14"/>
                <w:lang w:eastAsia="tr-TR"/>
              </w:rPr>
            </w:pPr>
            <w:r w:rsidRPr="00005453">
              <w:rPr>
                <w:color w:val="000000"/>
                <w:sz w:val="14"/>
                <w:szCs w:val="14"/>
                <w:lang w:eastAsia="tr-TR"/>
              </w:rPr>
              <w:t>3,842,472</w:t>
            </w:r>
          </w:p>
        </w:tc>
        <w:tc>
          <w:tcPr>
            <w:tcW w:w="567" w:type="dxa"/>
            <w:vMerge w:val="restart"/>
            <w:tcBorders>
              <w:top w:val="nil"/>
              <w:left w:val="nil"/>
              <w:bottom w:val="double" w:sz="4" w:space="0" w:color="auto"/>
              <w:right w:val="nil"/>
            </w:tcBorders>
            <w:shd w:val="clear" w:color="auto" w:fill="auto"/>
            <w:vAlign w:val="center"/>
            <w:hideMark/>
          </w:tcPr>
          <w:p w14:paraId="57FC3E92" w14:textId="1D7B3160" w:rsidR="00F059BA" w:rsidRPr="00005453" w:rsidRDefault="00F059BA" w:rsidP="00F059BA">
            <w:pPr>
              <w:jc w:val="right"/>
              <w:rPr>
                <w:color w:val="000000"/>
                <w:sz w:val="14"/>
                <w:szCs w:val="14"/>
                <w:lang w:eastAsia="tr-TR"/>
              </w:rPr>
            </w:pPr>
            <w:r w:rsidRPr="00005453">
              <w:rPr>
                <w:color w:val="000000"/>
                <w:sz w:val="14"/>
                <w:szCs w:val="14"/>
                <w:lang w:eastAsia="tr-TR"/>
              </w:rPr>
              <w:t>-</w:t>
            </w:r>
          </w:p>
        </w:tc>
        <w:tc>
          <w:tcPr>
            <w:tcW w:w="833" w:type="dxa"/>
            <w:vMerge w:val="restart"/>
            <w:tcBorders>
              <w:top w:val="nil"/>
              <w:left w:val="nil"/>
              <w:bottom w:val="double" w:sz="4" w:space="0" w:color="auto"/>
              <w:right w:val="nil"/>
            </w:tcBorders>
            <w:shd w:val="clear" w:color="auto" w:fill="auto"/>
            <w:vAlign w:val="center"/>
            <w:hideMark/>
          </w:tcPr>
          <w:p w14:paraId="02F95EB4" w14:textId="240CE37C" w:rsidR="00F059BA" w:rsidRPr="00005453" w:rsidRDefault="00F059BA" w:rsidP="00F059BA">
            <w:pPr>
              <w:jc w:val="right"/>
              <w:rPr>
                <w:color w:val="000000"/>
                <w:sz w:val="14"/>
                <w:szCs w:val="14"/>
                <w:lang w:eastAsia="tr-TR"/>
              </w:rPr>
            </w:pPr>
            <w:r w:rsidRPr="00005453">
              <w:rPr>
                <w:color w:val="000000"/>
                <w:sz w:val="14"/>
                <w:szCs w:val="14"/>
                <w:lang w:eastAsia="tr-TR"/>
              </w:rPr>
              <w:t>21,755,761</w:t>
            </w:r>
          </w:p>
        </w:tc>
        <w:tc>
          <w:tcPr>
            <w:tcW w:w="1293" w:type="dxa"/>
            <w:vMerge w:val="restart"/>
            <w:tcBorders>
              <w:top w:val="nil"/>
              <w:left w:val="nil"/>
              <w:bottom w:val="double" w:sz="4" w:space="0" w:color="auto"/>
              <w:right w:val="nil"/>
            </w:tcBorders>
            <w:shd w:val="clear" w:color="auto" w:fill="auto"/>
            <w:vAlign w:val="center"/>
            <w:hideMark/>
          </w:tcPr>
          <w:p w14:paraId="33B2D5F1" w14:textId="4DBD117B" w:rsidR="00F059BA" w:rsidRPr="00005453" w:rsidRDefault="00F059BA" w:rsidP="00F059BA">
            <w:pPr>
              <w:jc w:val="right"/>
              <w:rPr>
                <w:color w:val="000000"/>
                <w:sz w:val="14"/>
                <w:szCs w:val="14"/>
                <w:lang w:eastAsia="tr-TR"/>
              </w:rPr>
            </w:pPr>
            <w:r w:rsidRPr="00005453">
              <w:rPr>
                <w:color w:val="000000"/>
                <w:sz w:val="14"/>
                <w:szCs w:val="14"/>
                <w:lang w:eastAsia="tr-TR"/>
              </w:rPr>
              <w:t>3,017,151</w:t>
            </w:r>
          </w:p>
        </w:tc>
      </w:tr>
      <w:tr w:rsidR="00F94F8F" w:rsidRPr="00005453" w14:paraId="4B26324A" w14:textId="77777777" w:rsidTr="00FA377B">
        <w:trPr>
          <w:trHeight w:val="294"/>
        </w:trPr>
        <w:tc>
          <w:tcPr>
            <w:tcW w:w="1182" w:type="dxa"/>
            <w:vMerge/>
            <w:tcBorders>
              <w:top w:val="nil"/>
              <w:left w:val="nil"/>
              <w:bottom w:val="double" w:sz="4" w:space="0" w:color="auto"/>
              <w:right w:val="nil"/>
            </w:tcBorders>
            <w:vAlign w:val="center"/>
            <w:hideMark/>
          </w:tcPr>
          <w:p w14:paraId="45D30FB3" w14:textId="77777777" w:rsidR="00B23E16" w:rsidRPr="00005453" w:rsidRDefault="00B23E16" w:rsidP="00B23E16">
            <w:pPr>
              <w:rPr>
                <w:color w:val="000000"/>
                <w:sz w:val="14"/>
                <w:szCs w:val="14"/>
                <w:lang w:eastAsia="tr-TR"/>
              </w:rPr>
            </w:pPr>
          </w:p>
        </w:tc>
        <w:tc>
          <w:tcPr>
            <w:tcW w:w="851" w:type="dxa"/>
            <w:vMerge/>
            <w:tcBorders>
              <w:top w:val="nil"/>
              <w:left w:val="nil"/>
              <w:bottom w:val="double" w:sz="4" w:space="0" w:color="auto"/>
              <w:right w:val="nil"/>
            </w:tcBorders>
            <w:vAlign w:val="center"/>
            <w:hideMark/>
          </w:tcPr>
          <w:p w14:paraId="4D0E1A9F" w14:textId="77777777" w:rsidR="00B23E16" w:rsidRPr="00005453" w:rsidRDefault="00B23E16" w:rsidP="00B23E16">
            <w:pPr>
              <w:rPr>
                <w:color w:val="000000"/>
                <w:sz w:val="14"/>
                <w:szCs w:val="14"/>
                <w:lang w:eastAsia="tr-TR"/>
              </w:rPr>
            </w:pPr>
          </w:p>
        </w:tc>
        <w:tc>
          <w:tcPr>
            <w:tcW w:w="425" w:type="dxa"/>
            <w:vMerge/>
            <w:tcBorders>
              <w:top w:val="nil"/>
              <w:left w:val="nil"/>
              <w:bottom w:val="double" w:sz="4" w:space="0" w:color="auto"/>
              <w:right w:val="nil"/>
            </w:tcBorders>
            <w:vAlign w:val="center"/>
            <w:hideMark/>
          </w:tcPr>
          <w:p w14:paraId="31202260" w14:textId="77777777" w:rsidR="00B23E16" w:rsidRPr="00005453" w:rsidRDefault="00B23E16" w:rsidP="00B23E16">
            <w:pPr>
              <w:rPr>
                <w:color w:val="000000"/>
                <w:sz w:val="14"/>
                <w:szCs w:val="14"/>
                <w:lang w:eastAsia="tr-TR"/>
              </w:rPr>
            </w:pPr>
          </w:p>
        </w:tc>
        <w:tc>
          <w:tcPr>
            <w:tcW w:w="851" w:type="dxa"/>
            <w:vMerge/>
            <w:tcBorders>
              <w:top w:val="nil"/>
              <w:left w:val="nil"/>
              <w:bottom w:val="double" w:sz="4" w:space="0" w:color="auto"/>
              <w:right w:val="nil"/>
            </w:tcBorders>
            <w:vAlign w:val="center"/>
            <w:hideMark/>
          </w:tcPr>
          <w:p w14:paraId="38D383D5" w14:textId="77777777" w:rsidR="00B23E16" w:rsidRPr="00005453" w:rsidRDefault="00B23E16" w:rsidP="00B23E16">
            <w:pPr>
              <w:rPr>
                <w:color w:val="000000"/>
                <w:sz w:val="14"/>
                <w:szCs w:val="14"/>
                <w:lang w:eastAsia="tr-TR"/>
              </w:rPr>
            </w:pPr>
          </w:p>
        </w:tc>
        <w:tc>
          <w:tcPr>
            <w:tcW w:w="425" w:type="dxa"/>
            <w:vMerge/>
            <w:tcBorders>
              <w:top w:val="nil"/>
              <w:left w:val="nil"/>
              <w:bottom w:val="double" w:sz="4" w:space="0" w:color="auto"/>
              <w:right w:val="nil"/>
            </w:tcBorders>
            <w:vAlign w:val="center"/>
            <w:hideMark/>
          </w:tcPr>
          <w:p w14:paraId="25755CBF" w14:textId="77777777" w:rsidR="00B23E16" w:rsidRPr="00005453" w:rsidRDefault="00B23E16" w:rsidP="00B23E16">
            <w:pPr>
              <w:rPr>
                <w:color w:val="000000"/>
                <w:sz w:val="14"/>
                <w:szCs w:val="14"/>
                <w:lang w:eastAsia="tr-TR"/>
              </w:rPr>
            </w:pPr>
          </w:p>
        </w:tc>
        <w:tc>
          <w:tcPr>
            <w:tcW w:w="850" w:type="dxa"/>
            <w:vMerge/>
            <w:tcBorders>
              <w:top w:val="nil"/>
              <w:left w:val="nil"/>
              <w:bottom w:val="double" w:sz="4" w:space="0" w:color="auto"/>
              <w:right w:val="nil"/>
            </w:tcBorders>
            <w:vAlign w:val="center"/>
            <w:hideMark/>
          </w:tcPr>
          <w:p w14:paraId="2273C11D" w14:textId="77777777" w:rsidR="00B23E16" w:rsidRPr="00005453" w:rsidRDefault="00B23E16" w:rsidP="00B23E16">
            <w:pPr>
              <w:rPr>
                <w:color w:val="000000"/>
                <w:sz w:val="14"/>
                <w:szCs w:val="14"/>
                <w:lang w:eastAsia="tr-TR"/>
              </w:rPr>
            </w:pPr>
          </w:p>
        </w:tc>
        <w:tc>
          <w:tcPr>
            <w:tcW w:w="851" w:type="dxa"/>
            <w:vMerge/>
            <w:tcBorders>
              <w:top w:val="nil"/>
              <w:left w:val="nil"/>
              <w:bottom w:val="double" w:sz="4" w:space="0" w:color="auto"/>
              <w:right w:val="nil"/>
            </w:tcBorders>
            <w:vAlign w:val="center"/>
            <w:hideMark/>
          </w:tcPr>
          <w:p w14:paraId="4DC43214" w14:textId="77777777" w:rsidR="00B23E16" w:rsidRPr="00005453" w:rsidRDefault="00B23E16" w:rsidP="00B23E16">
            <w:pPr>
              <w:rPr>
                <w:color w:val="000000"/>
                <w:sz w:val="14"/>
                <w:szCs w:val="14"/>
                <w:lang w:eastAsia="tr-TR"/>
              </w:rPr>
            </w:pPr>
          </w:p>
        </w:tc>
        <w:tc>
          <w:tcPr>
            <w:tcW w:w="850" w:type="dxa"/>
            <w:vMerge/>
            <w:tcBorders>
              <w:top w:val="nil"/>
              <w:left w:val="nil"/>
              <w:bottom w:val="double" w:sz="4" w:space="0" w:color="auto"/>
              <w:right w:val="nil"/>
            </w:tcBorders>
            <w:vAlign w:val="center"/>
            <w:hideMark/>
          </w:tcPr>
          <w:p w14:paraId="7AC1FA1C" w14:textId="77777777" w:rsidR="00B23E16" w:rsidRPr="00005453" w:rsidRDefault="00B23E16" w:rsidP="00B23E16">
            <w:pPr>
              <w:rPr>
                <w:color w:val="000000"/>
                <w:sz w:val="14"/>
                <w:szCs w:val="14"/>
                <w:lang w:eastAsia="tr-TR"/>
              </w:rPr>
            </w:pPr>
          </w:p>
        </w:tc>
        <w:tc>
          <w:tcPr>
            <w:tcW w:w="851" w:type="dxa"/>
            <w:vMerge/>
            <w:tcBorders>
              <w:top w:val="nil"/>
              <w:left w:val="nil"/>
              <w:bottom w:val="double" w:sz="4" w:space="0" w:color="auto"/>
              <w:right w:val="nil"/>
            </w:tcBorders>
            <w:vAlign w:val="center"/>
            <w:hideMark/>
          </w:tcPr>
          <w:p w14:paraId="7EA503FF" w14:textId="77777777" w:rsidR="00B23E16" w:rsidRPr="00005453" w:rsidRDefault="00B23E16" w:rsidP="00B23E16">
            <w:pPr>
              <w:rPr>
                <w:color w:val="000000"/>
                <w:sz w:val="14"/>
                <w:szCs w:val="14"/>
                <w:lang w:eastAsia="tr-TR"/>
              </w:rPr>
            </w:pPr>
          </w:p>
        </w:tc>
        <w:tc>
          <w:tcPr>
            <w:tcW w:w="709" w:type="dxa"/>
            <w:vMerge/>
            <w:tcBorders>
              <w:top w:val="nil"/>
              <w:left w:val="nil"/>
              <w:bottom w:val="double" w:sz="4" w:space="0" w:color="auto"/>
              <w:right w:val="nil"/>
            </w:tcBorders>
            <w:vAlign w:val="center"/>
            <w:hideMark/>
          </w:tcPr>
          <w:p w14:paraId="1B974959" w14:textId="77777777" w:rsidR="00B23E16" w:rsidRPr="00005453" w:rsidRDefault="00B23E16" w:rsidP="00B23E16">
            <w:pPr>
              <w:rPr>
                <w:color w:val="000000"/>
                <w:sz w:val="14"/>
                <w:szCs w:val="14"/>
                <w:lang w:eastAsia="tr-TR"/>
              </w:rPr>
            </w:pPr>
          </w:p>
        </w:tc>
        <w:tc>
          <w:tcPr>
            <w:tcW w:w="567" w:type="dxa"/>
            <w:vMerge/>
            <w:tcBorders>
              <w:top w:val="nil"/>
              <w:left w:val="nil"/>
              <w:bottom w:val="double" w:sz="4" w:space="0" w:color="auto"/>
              <w:right w:val="nil"/>
            </w:tcBorders>
            <w:vAlign w:val="center"/>
            <w:hideMark/>
          </w:tcPr>
          <w:p w14:paraId="15E58A9D" w14:textId="77777777" w:rsidR="00B23E16" w:rsidRPr="00005453" w:rsidRDefault="00B23E16" w:rsidP="00B23E16">
            <w:pPr>
              <w:rPr>
                <w:color w:val="000000"/>
                <w:sz w:val="14"/>
                <w:szCs w:val="14"/>
                <w:lang w:eastAsia="tr-TR"/>
              </w:rPr>
            </w:pPr>
          </w:p>
        </w:tc>
        <w:tc>
          <w:tcPr>
            <w:tcW w:w="833" w:type="dxa"/>
            <w:vMerge/>
            <w:tcBorders>
              <w:top w:val="nil"/>
              <w:left w:val="nil"/>
              <w:bottom w:val="double" w:sz="4" w:space="0" w:color="auto"/>
              <w:right w:val="nil"/>
            </w:tcBorders>
            <w:vAlign w:val="center"/>
            <w:hideMark/>
          </w:tcPr>
          <w:p w14:paraId="2203741E" w14:textId="77777777" w:rsidR="00B23E16" w:rsidRPr="00005453" w:rsidRDefault="00B23E16" w:rsidP="00B23E16">
            <w:pPr>
              <w:rPr>
                <w:color w:val="000000"/>
                <w:sz w:val="14"/>
                <w:szCs w:val="14"/>
                <w:lang w:eastAsia="tr-TR"/>
              </w:rPr>
            </w:pPr>
          </w:p>
        </w:tc>
        <w:tc>
          <w:tcPr>
            <w:tcW w:w="1293" w:type="dxa"/>
            <w:vMerge/>
            <w:tcBorders>
              <w:top w:val="nil"/>
              <w:left w:val="nil"/>
              <w:bottom w:val="double" w:sz="4" w:space="0" w:color="auto"/>
              <w:right w:val="nil"/>
            </w:tcBorders>
            <w:vAlign w:val="center"/>
            <w:hideMark/>
          </w:tcPr>
          <w:p w14:paraId="798A5685" w14:textId="77777777" w:rsidR="00B23E16" w:rsidRPr="00005453" w:rsidRDefault="00B23E16" w:rsidP="00B23E16">
            <w:pPr>
              <w:rPr>
                <w:color w:val="000000"/>
                <w:sz w:val="14"/>
                <w:szCs w:val="14"/>
                <w:lang w:eastAsia="tr-TR"/>
              </w:rPr>
            </w:pPr>
          </w:p>
        </w:tc>
      </w:tr>
      <w:bookmarkEnd w:id="36"/>
    </w:tbl>
    <w:p w14:paraId="23096B76" w14:textId="0674CD33" w:rsidR="008E6767" w:rsidRPr="00005453" w:rsidRDefault="008E6767" w:rsidP="0054031F">
      <w:pPr>
        <w:autoSpaceDE w:val="0"/>
        <w:autoSpaceDN w:val="0"/>
        <w:adjustRightInd w:val="0"/>
        <w:rPr>
          <w:rFonts w:eastAsia="Arial Unicode MS"/>
          <w:b/>
        </w:rPr>
      </w:pPr>
    </w:p>
    <w:p w14:paraId="624F0232" w14:textId="77777777" w:rsidR="0054031F" w:rsidRPr="00005453" w:rsidRDefault="0054031F" w:rsidP="0054031F">
      <w:pPr>
        <w:spacing w:line="240" w:lineRule="exact"/>
        <w:ind w:hanging="567"/>
        <w:jc w:val="both"/>
        <w:rPr>
          <w:b/>
          <w:sz w:val="18"/>
          <w:szCs w:val="18"/>
          <w:lang w:eastAsia="tr-TR"/>
        </w:rPr>
      </w:pPr>
      <w:bookmarkStart w:id="37" w:name="OLE_LINK222"/>
      <w:r w:rsidRPr="00005453">
        <w:rPr>
          <w:b/>
          <w:sz w:val="18"/>
          <w:szCs w:val="18"/>
          <w:lang w:eastAsia="tr-TR"/>
        </w:rPr>
        <w:t xml:space="preserve">2.7.   </w:t>
      </w:r>
      <w:r w:rsidRPr="00005453">
        <w:rPr>
          <w:b/>
          <w:sz w:val="18"/>
          <w:szCs w:val="18"/>
          <w:lang w:eastAsia="tr-TR"/>
        </w:rPr>
        <w:tab/>
      </w:r>
      <w:r w:rsidRPr="00005453">
        <w:rPr>
          <w:b/>
          <w:lang w:eastAsia="tr-TR"/>
        </w:rPr>
        <w:t>Önemli Sektörlere veya Karşı Taraf Türüne Göre Muhtelif Bilgiler</w:t>
      </w:r>
    </w:p>
    <w:bookmarkEnd w:id="37"/>
    <w:p w14:paraId="0C1429FC" w14:textId="77777777" w:rsidR="0054031F" w:rsidRPr="00005453" w:rsidRDefault="0054031F" w:rsidP="0054031F">
      <w:pPr>
        <w:autoSpaceDE w:val="0"/>
        <w:autoSpaceDN w:val="0"/>
        <w:adjustRightInd w:val="0"/>
        <w:jc w:val="both"/>
        <w:rPr>
          <w:iCs/>
          <w:sz w:val="16"/>
          <w:szCs w:val="16"/>
          <w:lang w:eastAsia="zh-CN"/>
        </w:rPr>
      </w:pPr>
    </w:p>
    <w:p w14:paraId="7C9B58A6" w14:textId="6E0C0EC0" w:rsidR="0054031F" w:rsidRPr="00005453" w:rsidRDefault="0054031F" w:rsidP="0054031F">
      <w:pPr>
        <w:autoSpaceDE w:val="0"/>
        <w:autoSpaceDN w:val="0"/>
        <w:adjustRightInd w:val="0"/>
        <w:jc w:val="both"/>
        <w:rPr>
          <w:color w:val="000000"/>
        </w:rPr>
      </w:pPr>
      <w:r w:rsidRPr="00005453">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 “</w:t>
      </w:r>
      <w:r w:rsidR="005547AB" w:rsidRPr="00005453">
        <w:rPr>
          <w:color w:val="000000"/>
        </w:rPr>
        <w:t>Beklenen kredi zararı karşılıkları</w:t>
      </w:r>
      <w:r w:rsidRPr="00005453">
        <w:rPr>
          <w:color w:val="000000"/>
        </w:rPr>
        <w:t>” hesaplaması yapılmaktadır.</w:t>
      </w:r>
    </w:p>
    <w:p w14:paraId="6EA4C9AB" w14:textId="77777777" w:rsidR="0054031F" w:rsidRPr="00005453" w:rsidRDefault="0054031F" w:rsidP="0054031F">
      <w:pPr>
        <w:autoSpaceDE w:val="0"/>
        <w:autoSpaceDN w:val="0"/>
        <w:adjustRightInd w:val="0"/>
        <w:jc w:val="both"/>
        <w:rPr>
          <w:color w:val="000000"/>
        </w:rPr>
      </w:pPr>
      <w:r w:rsidRPr="00005453">
        <w:rPr>
          <w:color w:val="000000"/>
        </w:rPr>
        <w:t> </w:t>
      </w:r>
    </w:p>
    <w:p w14:paraId="42D99E94" w14:textId="77777777" w:rsidR="0054031F" w:rsidRPr="00005453" w:rsidRDefault="0054031F" w:rsidP="0054031F">
      <w:pPr>
        <w:autoSpaceDE w:val="0"/>
        <w:autoSpaceDN w:val="0"/>
        <w:adjustRightInd w:val="0"/>
        <w:jc w:val="both"/>
        <w:rPr>
          <w:color w:val="000000"/>
        </w:rPr>
      </w:pPr>
      <w:r w:rsidRPr="00005453">
        <w:rPr>
          <w:color w:val="000000"/>
        </w:rPr>
        <w:t>Tahsili Gecikmiş Krediler; raporlama dönemi sonu itibarıyla vadesi 90 güne kadar gecikmiş ancak değer düşüklüğüne uğramamış kredilerdir. Bu krediler için TFRS 9 kapsamında karşılık hesaplaması yapılmaktadır.</w:t>
      </w:r>
    </w:p>
    <w:p w14:paraId="49256445" w14:textId="62C6FA14" w:rsidR="004F1E85" w:rsidRPr="00005453" w:rsidRDefault="004F1E85" w:rsidP="000A76C0">
      <w:pPr>
        <w:spacing w:line="240" w:lineRule="exact"/>
        <w:jc w:val="both"/>
        <w:rPr>
          <w:lang w:val="en-GB" w:eastAsia="en-GB"/>
        </w:rPr>
      </w:pPr>
    </w:p>
    <w:tbl>
      <w:tblPr>
        <w:tblW w:w="9817" w:type="dxa"/>
        <w:tblCellMar>
          <w:left w:w="70" w:type="dxa"/>
          <w:right w:w="70" w:type="dxa"/>
        </w:tblCellMar>
        <w:tblLook w:val="04A0" w:firstRow="1" w:lastRow="0" w:firstColumn="1" w:lastColumn="0" w:noHBand="0" w:noVBand="1"/>
      </w:tblPr>
      <w:tblGrid>
        <w:gridCol w:w="2794"/>
        <w:gridCol w:w="2876"/>
        <w:gridCol w:w="1529"/>
        <w:gridCol w:w="598"/>
        <w:gridCol w:w="2020"/>
      </w:tblGrid>
      <w:tr w:rsidR="004F1E85" w:rsidRPr="00005453" w14:paraId="63DDF019" w14:textId="77777777" w:rsidTr="004F1E85">
        <w:trPr>
          <w:divId w:val="4867389"/>
          <w:trHeight w:val="356"/>
        </w:trPr>
        <w:tc>
          <w:tcPr>
            <w:tcW w:w="2794" w:type="dxa"/>
            <w:tcBorders>
              <w:top w:val="single" w:sz="8" w:space="0" w:color="auto"/>
              <w:left w:val="nil"/>
              <w:bottom w:val="single" w:sz="8" w:space="0" w:color="auto"/>
              <w:right w:val="nil"/>
            </w:tcBorders>
            <w:shd w:val="clear" w:color="auto" w:fill="auto"/>
            <w:vAlign w:val="center"/>
            <w:hideMark/>
          </w:tcPr>
          <w:p w14:paraId="4BFF4F03" w14:textId="747860C5" w:rsidR="004F1E85" w:rsidRPr="00005453" w:rsidRDefault="004F1E85" w:rsidP="004F1E85">
            <w:pPr>
              <w:rPr>
                <w:b/>
                <w:bCs/>
                <w:color w:val="000000"/>
                <w:sz w:val="18"/>
                <w:szCs w:val="18"/>
                <w:lang w:eastAsia="tr-TR"/>
              </w:rPr>
            </w:pPr>
            <w:r w:rsidRPr="00005453">
              <w:rPr>
                <w:b/>
                <w:bCs/>
                <w:color w:val="000000"/>
                <w:sz w:val="18"/>
                <w:szCs w:val="18"/>
                <w:lang w:eastAsia="tr-TR"/>
              </w:rPr>
              <w:t> </w:t>
            </w:r>
          </w:p>
        </w:tc>
        <w:tc>
          <w:tcPr>
            <w:tcW w:w="4405" w:type="dxa"/>
            <w:gridSpan w:val="2"/>
            <w:tcBorders>
              <w:top w:val="single" w:sz="8" w:space="0" w:color="auto"/>
              <w:left w:val="nil"/>
              <w:bottom w:val="single" w:sz="8" w:space="0" w:color="auto"/>
              <w:right w:val="nil"/>
            </w:tcBorders>
            <w:shd w:val="clear" w:color="auto" w:fill="auto"/>
            <w:vAlign w:val="center"/>
            <w:hideMark/>
          </w:tcPr>
          <w:p w14:paraId="1C86FC43"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Krediler</w:t>
            </w:r>
          </w:p>
        </w:tc>
        <w:tc>
          <w:tcPr>
            <w:tcW w:w="2618" w:type="dxa"/>
            <w:gridSpan w:val="2"/>
            <w:tcBorders>
              <w:top w:val="single" w:sz="8" w:space="0" w:color="auto"/>
              <w:left w:val="nil"/>
              <w:bottom w:val="single" w:sz="8" w:space="0" w:color="auto"/>
              <w:right w:val="nil"/>
            </w:tcBorders>
            <w:shd w:val="clear" w:color="auto" w:fill="auto"/>
            <w:vAlign w:val="center"/>
            <w:hideMark/>
          </w:tcPr>
          <w:p w14:paraId="01884579" w14:textId="0B253836" w:rsidR="004F1E85" w:rsidRPr="00005453" w:rsidRDefault="004F1E85" w:rsidP="004F1E85">
            <w:pPr>
              <w:jc w:val="right"/>
              <w:rPr>
                <w:b/>
                <w:bCs/>
                <w:color w:val="000000"/>
                <w:sz w:val="18"/>
                <w:szCs w:val="18"/>
                <w:lang w:eastAsia="tr-TR"/>
              </w:rPr>
            </w:pPr>
            <w:r w:rsidRPr="00005453">
              <w:rPr>
                <w:b/>
                <w:bCs/>
                <w:color w:val="000000"/>
                <w:sz w:val="18"/>
                <w:szCs w:val="18"/>
                <w:lang w:eastAsia="tr-TR"/>
              </w:rPr>
              <w:t>Karşılıklar</w:t>
            </w:r>
          </w:p>
        </w:tc>
      </w:tr>
      <w:tr w:rsidR="004F1E85" w:rsidRPr="00005453" w14:paraId="1CB5E831" w14:textId="77777777" w:rsidTr="004F1E85">
        <w:trPr>
          <w:divId w:val="4867389"/>
          <w:trHeight w:val="233"/>
        </w:trPr>
        <w:tc>
          <w:tcPr>
            <w:tcW w:w="2794" w:type="dxa"/>
            <w:tcBorders>
              <w:top w:val="nil"/>
              <w:left w:val="nil"/>
              <w:bottom w:val="single" w:sz="8" w:space="0" w:color="auto"/>
              <w:right w:val="nil"/>
            </w:tcBorders>
            <w:shd w:val="clear" w:color="auto" w:fill="auto"/>
            <w:vAlign w:val="center"/>
            <w:hideMark/>
          </w:tcPr>
          <w:p w14:paraId="5450D150" w14:textId="77777777" w:rsidR="004F1E85" w:rsidRPr="00005453" w:rsidRDefault="004F1E85" w:rsidP="004F1E85">
            <w:pPr>
              <w:rPr>
                <w:b/>
                <w:bCs/>
                <w:color w:val="000000"/>
                <w:sz w:val="18"/>
                <w:szCs w:val="18"/>
                <w:lang w:eastAsia="tr-TR"/>
              </w:rPr>
            </w:pPr>
            <w:r w:rsidRPr="00005453">
              <w:rPr>
                <w:b/>
                <w:bCs/>
                <w:color w:val="000000"/>
                <w:sz w:val="18"/>
                <w:szCs w:val="18"/>
                <w:lang w:eastAsia="tr-TR"/>
              </w:rPr>
              <w:t> </w:t>
            </w:r>
          </w:p>
        </w:tc>
        <w:tc>
          <w:tcPr>
            <w:tcW w:w="4405" w:type="dxa"/>
            <w:gridSpan w:val="2"/>
            <w:tcBorders>
              <w:top w:val="single" w:sz="8" w:space="0" w:color="auto"/>
              <w:left w:val="nil"/>
              <w:bottom w:val="single" w:sz="8" w:space="0" w:color="auto"/>
              <w:right w:val="nil"/>
            </w:tcBorders>
            <w:shd w:val="clear" w:color="auto" w:fill="auto"/>
            <w:vAlign w:val="center"/>
            <w:hideMark/>
          </w:tcPr>
          <w:p w14:paraId="3B7AD463" w14:textId="77777777" w:rsidR="004F1E85" w:rsidRPr="00005453" w:rsidRDefault="004F1E85" w:rsidP="004F1E85">
            <w:pPr>
              <w:jc w:val="right"/>
              <w:rPr>
                <w:b/>
                <w:bCs/>
                <w:color w:val="000000"/>
                <w:sz w:val="18"/>
                <w:szCs w:val="18"/>
                <w:lang w:eastAsia="tr-TR"/>
              </w:rPr>
            </w:pPr>
            <w:r w:rsidRPr="00005453">
              <w:rPr>
                <w:b/>
                <w:bCs/>
                <w:color w:val="000000"/>
                <w:sz w:val="18"/>
                <w:szCs w:val="18"/>
                <w:lang w:val="en-US" w:eastAsia="tr-TR"/>
              </w:rPr>
              <w:t>Değer Kaybına Uğramış</w:t>
            </w:r>
            <w:r w:rsidRPr="00005453">
              <w:rPr>
                <w:b/>
                <w:bCs/>
                <w:color w:val="000000"/>
                <w:sz w:val="18"/>
                <w:szCs w:val="18"/>
                <w:lang w:eastAsia="tr-TR"/>
              </w:rPr>
              <w:t xml:space="preserve"> </w:t>
            </w:r>
          </w:p>
        </w:tc>
        <w:tc>
          <w:tcPr>
            <w:tcW w:w="2618" w:type="dxa"/>
            <w:gridSpan w:val="2"/>
            <w:tcBorders>
              <w:top w:val="nil"/>
              <w:left w:val="nil"/>
              <w:bottom w:val="single" w:sz="8" w:space="0" w:color="auto"/>
              <w:right w:val="nil"/>
            </w:tcBorders>
            <w:shd w:val="clear" w:color="auto" w:fill="auto"/>
            <w:vAlign w:val="center"/>
            <w:hideMark/>
          </w:tcPr>
          <w:p w14:paraId="7232AA23"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 </w:t>
            </w:r>
          </w:p>
        </w:tc>
      </w:tr>
      <w:tr w:rsidR="004F1E85" w:rsidRPr="00005453" w14:paraId="180FFACF" w14:textId="77777777" w:rsidTr="00DE4633">
        <w:trPr>
          <w:divId w:val="4867389"/>
          <w:trHeight w:val="706"/>
        </w:trPr>
        <w:tc>
          <w:tcPr>
            <w:tcW w:w="2794" w:type="dxa"/>
            <w:tcBorders>
              <w:top w:val="nil"/>
              <w:left w:val="nil"/>
              <w:bottom w:val="single" w:sz="8" w:space="0" w:color="auto"/>
              <w:right w:val="nil"/>
            </w:tcBorders>
            <w:shd w:val="clear" w:color="auto" w:fill="auto"/>
            <w:vAlign w:val="center"/>
            <w:hideMark/>
          </w:tcPr>
          <w:p w14:paraId="099973CD" w14:textId="3568AECB" w:rsidR="004F1E85" w:rsidRPr="00005453" w:rsidRDefault="004F1E85" w:rsidP="004F1E85">
            <w:pPr>
              <w:rPr>
                <w:b/>
                <w:bCs/>
                <w:color w:val="000000"/>
                <w:sz w:val="18"/>
                <w:szCs w:val="18"/>
                <w:lang w:eastAsia="tr-TR"/>
              </w:rPr>
            </w:pPr>
            <w:r w:rsidRPr="00005453">
              <w:rPr>
                <w:b/>
                <w:bCs/>
                <w:color w:val="000000"/>
                <w:sz w:val="18"/>
                <w:szCs w:val="18"/>
                <w:lang w:eastAsia="tr-TR"/>
              </w:rPr>
              <w:t>Cari Dönem</w:t>
            </w:r>
            <w:r w:rsidR="00DA7DE9" w:rsidRPr="00005453">
              <w:rPr>
                <w:b/>
                <w:bCs/>
                <w:color w:val="000000"/>
                <w:sz w:val="18"/>
                <w:szCs w:val="18"/>
                <w:lang w:eastAsia="tr-TR"/>
              </w:rPr>
              <w:t xml:space="preserve"> (**)</w:t>
            </w:r>
          </w:p>
        </w:tc>
        <w:tc>
          <w:tcPr>
            <w:tcW w:w="2876" w:type="dxa"/>
            <w:tcBorders>
              <w:top w:val="nil"/>
              <w:left w:val="nil"/>
              <w:bottom w:val="nil"/>
              <w:right w:val="nil"/>
            </w:tcBorders>
            <w:shd w:val="clear" w:color="auto" w:fill="auto"/>
            <w:vAlign w:val="center"/>
            <w:hideMark/>
          </w:tcPr>
          <w:p w14:paraId="5EFC2456"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Kredi Riskinde Önemli Artış (İkinci Aşama)</w:t>
            </w:r>
          </w:p>
        </w:tc>
        <w:tc>
          <w:tcPr>
            <w:tcW w:w="2127" w:type="dxa"/>
            <w:gridSpan w:val="2"/>
            <w:tcBorders>
              <w:top w:val="nil"/>
              <w:left w:val="nil"/>
              <w:bottom w:val="nil"/>
              <w:right w:val="nil"/>
            </w:tcBorders>
            <w:shd w:val="clear" w:color="auto" w:fill="auto"/>
            <w:vAlign w:val="center"/>
            <w:hideMark/>
          </w:tcPr>
          <w:p w14:paraId="0A0ADF2C"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Temerrüt (Üçüncü Aşama)</w:t>
            </w:r>
          </w:p>
        </w:tc>
        <w:tc>
          <w:tcPr>
            <w:tcW w:w="2020" w:type="dxa"/>
            <w:tcBorders>
              <w:top w:val="nil"/>
              <w:left w:val="nil"/>
              <w:bottom w:val="nil"/>
              <w:right w:val="nil"/>
            </w:tcBorders>
            <w:shd w:val="clear" w:color="auto" w:fill="auto"/>
            <w:vAlign w:val="center"/>
            <w:hideMark/>
          </w:tcPr>
          <w:p w14:paraId="5E204BFC"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Beklenen Kredi Zararı Karşılıkları (*)</w:t>
            </w:r>
          </w:p>
        </w:tc>
      </w:tr>
      <w:tr w:rsidR="001917A9" w:rsidRPr="00005453" w14:paraId="0A5BCCAD" w14:textId="77777777" w:rsidTr="001917A9">
        <w:trPr>
          <w:divId w:val="4867389"/>
          <w:trHeight w:val="145"/>
        </w:trPr>
        <w:tc>
          <w:tcPr>
            <w:tcW w:w="2794" w:type="dxa"/>
            <w:tcBorders>
              <w:top w:val="nil"/>
              <w:left w:val="nil"/>
              <w:bottom w:val="nil"/>
              <w:right w:val="nil"/>
            </w:tcBorders>
            <w:shd w:val="clear" w:color="auto" w:fill="auto"/>
            <w:vAlign w:val="center"/>
            <w:hideMark/>
          </w:tcPr>
          <w:p w14:paraId="38159F22" w14:textId="77777777" w:rsidR="001917A9" w:rsidRPr="00005453" w:rsidRDefault="001917A9" w:rsidP="001917A9">
            <w:pPr>
              <w:rPr>
                <w:b/>
                <w:bCs/>
                <w:color w:val="000000"/>
                <w:sz w:val="18"/>
                <w:szCs w:val="18"/>
                <w:lang w:eastAsia="tr-TR"/>
              </w:rPr>
            </w:pPr>
            <w:r w:rsidRPr="00005453">
              <w:rPr>
                <w:b/>
                <w:bCs/>
                <w:color w:val="000000"/>
                <w:sz w:val="18"/>
                <w:szCs w:val="18"/>
                <w:lang w:eastAsia="tr-TR"/>
              </w:rPr>
              <w:t>Tarım</w:t>
            </w:r>
          </w:p>
        </w:tc>
        <w:tc>
          <w:tcPr>
            <w:tcW w:w="2876" w:type="dxa"/>
            <w:tcBorders>
              <w:top w:val="single" w:sz="8" w:space="0" w:color="auto"/>
              <w:left w:val="nil"/>
              <w:bottom w:val="nil"/>
              <w:right w:val="nil"/>
            </w:tcBorders>
            <w:shd w:val="clear" w:color="auto" w:fill="auto"/>
            <w:vAlign w:val="center"/>
            <w:hideMark/>
          </w:tcPr>
          <w:p w14:paraId="30869D37" w14:textId="469EA4CD" w:rsidR="001917A9" w:rsidRPr="00005453" w:rsidRDefault="001917A9" w:rsidP="001917A9">
            <w:pPr>
              <w:jc w:val="right"/>
              <w:rPr>
                <w:b/>
                <w:bCs/>
                <w:color w:val="000000"/>
                <w:sz w:val="18"/>
                <w:szCs w:val="18"/>
                <w:lang w:eastAsia="tr-TR"/>
              </w:rPr>
            </w:pPr>
            <w:r w:rsidRPr="00005453">
              <w:rPr>
                <w:b/>
                <w:bCs/>
                <w:color w:val="000000"/>
                <w:sz w:val="18"/>
                <w:szCs w:val="18"/>
              </w:rPr>
              <w:t>473,223</w:t>
            </w:r>
          </w:p>
        </w:tc>
        <w:tc>
          <w:tcPr>
            <w:tcW w:w="2127" w:type="dxa"/>
            <w:gridSpan w:val="2"/>
            <w:tcBorders>
              <w:top w:val="single" w:sz="8" w:space="0" w:color="auto"/>
              <w:left w:val="nil"/>
              <w:bottom w:val="nil"/>
              <w:right w:val="nil"/>
            </w:tcBorders>
            <w:shd w:val="clear" w:color="auto" w:fill="auto"/>
            <w:vAlign w:val="center"/>
            <w:hideMark/>
          </w:tcPr>
          <w:p w14:paraId="374A13DC" w14:textId="6171E341" w:rsidR="001917A9" w:rsidRPr="00005453" w:rsidRDefault="001917A9" w:rsidP="001917A9">
            <w:pPr>
              <w:jc w:val="right"/>
              <w:rPr>
                <w:b/>
                <w:bCs/>
                <w:color w:val="000000"/>
                <w:sz w:val="18"/>
                <w:szCs w:val="18"/>
                <w:lang w:eastAsia="tr-TR"/>
              </w:rPr>
            </w:pPr>
            <w:r w:rsidRPr="00005453">
              <w:rPr>
                <w:b/>
                <w:bCs/>
                <w:color w:val="000000"/>
                <w:sz w:val="18"/>
                <w:szCs w:val="18"/>
              </w:rPr>
              <w:t>74,574</w:t>
            </w:r>
          </w:p>
        </w:tc>
        <w:tc>
          <w:tcPr>
            <w:tcW w:w="2020" w:type="dxa"/>
            <w:tcBorders>
              <w:top w:val="single" w:sz="8" w:space="0" w:color="auto"/>
              <w:left w:val="nil"/>
              <w:bottom w:val="nil"/>
              <w:right w:val="nil"/>
            </w:tcBorders>
            <w:shd w:val="clear" w:color="auto" w:fill="auto"/>
            <w:vAlign w:val="center"/>
            <w:hideMark/>
          </w:tcPr>
          <w:p w14:paraId="2FE8A056" w14:textId="457F331C" w:rsidR="001917A9" w:rsidRPr="00005453" w:rsidRDefault="001917A9" w:rsidP="001917A9">
            <w:pPr>
              <w:jc w:val="right"/>
              <w:rPr>
                <w:b/>
                <w:bCs/>
                <w:color w:val="000000"/>
                <w:sz w:val="18"/>
                <w:szCs w:val="18"/>
                <w:lang w:eastAsia="tr-TR"/>
              </w:rPr>
            </w:pPr>
            <w:r w:rsidRPr="00005453">
              <w:rPr>
                <w:b/>
                <w:bCs/>
                <w:color w:val="000000"/>
                <w:sz w:val="18"/>
                <w:szCs w:val="18"/>
              </w:rPr>
              <w:t>105,630</w:t>
            </w:r>
          </w:p>
        </w:tc>
      </w:tr>
      <w:tr w:rsidR="001917A9" w:rsidRPr="00005453" w14:paraId="711AA4B7" w14:textId="77777777" w:rsidTr="001917A9">
        <w:trPr>
          <w:divId w:val="4867389"/>
          <w:trHeight w:val="118"/>
        </w:trPr>
        <w:tc>
          <w:tcPr>
            <w:tcW w:w="2794" w:type="dxa"/>
            <w:tcBorders>
              <w:top w:val="nil"/>
              <w:left w:val="nil"/>
              <w:bottom w:val="nil"/>
              <w:right w:val="nil"/>
            </w:tcBorders>
            <w:shd w:val="clear" w:color="auto" w:fill="auto"/>
            <w:vAlign w:val="center"/>
            <w:hideMark/>
          </w:tcPr>
          <w:p w14:paraId="7EC7BC9F" w14:textId="77777777" w:rsidR="001917A9" w:rsidRPr="00005453" w:rsidRDefault="001917A9" w:rsidP="001917A9">
            <w:pPr>
              <w:rPr>
                <w:color w:val="000000"/>
                <w:sz w:val="18"/>
                <w:szCs w:val="18"/>
                <w:lang w:eastAsia="tr-TR"/>
              </w:rPr>
            </w:pPr>
            <w:r w:rsidRPr="00005453">
              <w:rPr>
                <w:color w:val="000000"/>
                <w:sz w:val="18"/>
                <w:szCs w:val="18"/>
                <w:lang w:eastAsia="tr-TR"/>
              </w:rPr>
              <w:t>Çiftçilik ve Hayvancılık</w:t>
            </w:r>
          </w:p>
        </w:tc>
        <w:tc>
          <w:tcPr>
            <w:tcW w:w="2876" w:type="dxa"/>
            <w:tcBorders>
              <w:top w:val="nil"/>
              <w:left w:val="nil"/>
              <w:bottom w:val="nil"/>
              <w:right w:val="nil"/>
            </w:tcBorders>
            <w:shd w:val="clear" w:color="auto" w:fill="auto"/>
            <w:vAlign w:val="center"/>
            <w:hideMark/>
          </w:tcPr>
          <w:p w14:paraId="4F9C0D4E" w14:textId="7BF4A9A2" w:rsidR="001917A9" w:rsidRPr="00005453" w:rsidRDefault="001917A9" w:rsidP="001917A9">
            <w:pPr>
              <w:jc w:val="right"/>
              <w:rPr>
                <w:color w:val="000000"/>
                <w:sz w:val="18"/>
                <w:szCs w:val="18"/>
                <w:lang w:eastAsia="tr-TR"/>
              </w:rPr>
            </w:pPr>
            <w:r w:rsidRPr="00005453">
              <w:rPr>
                <w:color w:val="000000"/>
                <w:sz w:val="18"/>
                <w:szCs w:val="18"/>
              </w:rPr>
              <w:t>409,994</w:t>
            </w:r>
          </w:p>
        </w:tc>
        <w:tc>
          <w:tcPr>
            <w:tcW w:w="2127" w:type="dxa"/>
            <w:gridSpan w:val="2"/>
            <w:tcBorders>
              <w:top w:val="nil"/>
              <w:left w:val="nil"/>
              <w:bottom w:val="nil"/>
              <w:right w:val="nil"/>
            </w:tcBorders>
            <w:shd w:val="clear" w:color="auto" w:fill="auto"/>
            <w:vAlign w:val="center"/>
            <w:hideMark/>
          </w:tcPr>
          <w:p w14:paraId="30B758C1" w14:textId="09DF13F9" w:rsidR="001917A9" w:rsidRPr="00005453" w:rsidRDefault="001917A9" w:rsidP="001917A9">
            <w:pPr>
              <w:jc w:val="right"/>
              <w:rPr>
                <w:color w:val="000000"/>
                <w:sz w:val="18"/>
                <w:szCs w:val="18"/>
                <w:lang w:eastAsia="tr-TR"/>
              </w:rPr>
            </w:pPr>
            <w:r w:rsidRPr="00005453">
              <w:rPr>
                <w:color w:val="000000"/>
                <w:sz w:val="18"/>
                <w:szCs w:val="18"/>
              </w:rPr>
              <w:t>18,119</w:t>
            </w:r>
          </w:p>
        </w:tc>
        <w:tc>
          <w:tcPr>
            <w:tcW w:w="2020" w:type="dxa"/>
            <w:tcBorders>
              <w:top w:val="nil"/>
              <w:left w:val="nil"/>
              <w:bottom w:val="nil"/>
              <w:right w:val="nil"/>
            </w:tcBorders>
            <w:shd w:val="clear" w:color="auto" w:fill="auto"/>
            <w:vAlign w:val="center"/>
            <w:hideMark/>
          </w:tcPr>
          <w:p w14:paraId="04D4C1C7" w14:textId="0825970D" w:rsidR="001917A9" w:rsidRPr="00005453" w:rsidRDefault="001917A9" w:rsidP="001917A9">
            <w:pPr>
              <w:jc w:val="right"/>
              <w:rPr>
                <w:color w:val="000000"/>
                <w:sz w:val="18"/>
                <w:szCs w:val="18"/>
                <w:lang w:eastAsia="tr-TR"/>
              </w:rPr>
            </w:pPr>
            <w:r w:rsidRPr="00005453">
              <w:rPr>
                <w:color w:val="000000"/>
                <w:sz w:val="18"/>
                <w:szCs w:val="18"/>
              </w:rPr>
              <w:t>46,170</w:t>
            </w:r>
          </w:p>
        </w:tc>
      </w:tr>
      <w:tr w:rsidR="001917A9" w:rsidRPr="00005453" w14:paraId="23D61CF4" w14:textId="77777777" w:rsidTr="001917A9">
        <w:trPr>
          <w:divId w:val="4867389"/>
          <w:trHeight w:val="145"/>
        </w:trPr>
        <w:tc>
          <w:tcPr>
            <w:tcW w:w="2794" w:type="dxa"/>
            <w:tcBorders>
              <w:top w:val="nil"/>
              <w:left w:val="nil"/>
              <w:bottom w:val="nil"/>
              <w:right w:val="nil"/>
            </w:tcBorders>
            <w:shd w:val="clear" w:color="auto" w:fill="auto"/>
            <w:vAlign w:val="center"/>
            <w:hideMark/>
          </w:tcPr>
          <w:p w14:paraId="262DEDE1" w14:textId="77777777" w:rsidR="001917A9" w:rsidRPr="00005453" w:rsidRDefault="001917A9" w:rsidP="001917A9">
            <w:pPr>
              <w:rPr>
                <w:color w:val="000000"/>
                <w:sz w:val="18"/>
                <w:szCs w:val="18"/>
                <w:lang w:eastAsia="tr-TR"/>
              </w:rPr>
            </w:pPr>
            <w:r w:rsidRPr="00005453">
              <w:rPr>
                <w:color w:val="000000"/>
                <w:sz w:val="18"/>
                <w:szCs w:val="18"/>
                <w:lang w:eastAsia="tr-TR"/>
              </w:rPr>
              <w:t>Ormancılık</w:t>
            </w:r>
          </w:p>
        </w:tc>
        <w:tc>
          <w:tcPr>
            <w:tcW w:w="2876" w:type="dxa"/>
            <w:tcBorders>
              <w:top w:val="nil"/>
              <w:left w:val="nil"/>
              <w:bottom w:val="nil"/>
              <w:right w:val="nil"/>
            </w:tcBorders>
            <w:shd w:val="clear" w:color="auto" w:fill="auto"/>
            <w:vAlign w:val="center"/>
            <w:hideMark/>
          </w:tcPr>
          <w:p w14:paraId="4B0B8BB5" w14:textId="69FB1F5B" w:rsidR="001917A9" w:rsidRPr="00005453" w:rsidRDefault="001917A9" w:rsidP="001917A9">
            <w:pPr>
              <w:jc w:val="right"/>
              <w:rPr>
                <w:color w:val="000000"/>
                <w:sz w:val="18"/>
                <w:szCs w:val="18"/>
                <w:lang w:eastAsia="tr-TR"/>
              </w:rPr>
            </w:pPr>
            <w:r w:rsidRPr="00005453">
              <w:rPr>
                <w:color w:val="000000"/>
                <w:sz w:val="18"/>
                <w:szCs w:val="18"/>
              </w:rPr>
              <w:t>57,804</w:t>
            </w:r>
          </w:p>
        </w:tc>
        <w:tc>
          <w:tcPr>
            <w:tcW w:w="2127" w:type="dxa"/>
            <w:gridSpan w:val="2"/>
            <w:tcBorders>
              <w:top w:val="nil"/>
              <w:left w:val="nil"/>
              <w:bottom w:val="nil"/>
              <w:right w:val="nil"/>
            </w:tcBorders>
            <w:shd w:val="clear" w:color="auto" w:fill="auto"/>
            <w:vAlign w:val="center"/>
            <w:hideMark/>
          </w:tcPr>
          <w:p w14:paraId="14FB76B9" w14:textId="1FC3268A" w:rsidR="001917A9" w:rsidRPr="00005453" w:rsidRDefault="001917A9" w:rsidP="001917A9">
            <w:pPr>
              <w:jc w:val="right"/>
              <w:rPr>
                <w:color w:val="000000"/>
                <w:sz w:val="18"/>
                <w:szCs w:val="18"/>
                <w:lang w:eastAsia="tr-TR"/>
              </w:rPr>
            </w:pPr>
            <w:r w:rsidRPr="00005453">
              <w:rPr>
                <w:color w:val="000000"/>
                <w:sz w:val="18"/>
                <w:szCs w:val="18"/>
              </w:rPr>
              <w:t>56,083</w:t>
            </w:r>
          </w:p>
        </w:tc>
        <w:tc>
          <w:tcPr>
            <w:tcW w:w="2020" w:type="dxa"/>
            <w:tcBorders>
              <w:top w:val="nil"/>
              <w:left w:val="nil"/>
              <w:bottom w:val="nil"/>
              <w:right w:val="nil"/>
            </w:tcBorders>
            <w:shd w:val="clear" w:color="auto" w:fill="auto"/>
            <w:vAlign w:val="center"/>
            <w:hideMark/>
          </w:tcPr>
          <w:p w14:paraId="0E065421" w14:textId="49727404" w:rsidR="001917A9" w:rsidRPr="00005453" w:rsidRDefault="001917A9" w:rsidP="001917A9">
            <w:pPr>
              <w:jc w:val="right"/>
              <w:rPr>
                <w:color w:val="000000"/>
                <w:sz w:val="18"/>
                <w:szCs w:val="18"/>
                <w:lang w:eastAsia="tr-TR"/>
              </w:rPr>
            </w:pPr>
            <w:r w:rsidRPr="00005453">
              <w:rPr>
                <w:color w:val="000000"/>
                <w:sz w:val="18"/>
                <w:szCs w:val="18"/>
              </w:rPr>
              <w:t>59,043</w:t>
            </w:r>
          </w:p>
        </w:tc>
      </w:tr>
      <w:tr w:rsidR="001917A9" w:rsidRPr="00005453" w14:paraId="7C4016CB" w14:textId="77777777" w:rsidTr="001917A9">
        <w:trPr>
          <w:divId w:val="4867389"/>
          <w:trHeight w:val="145"/>
        </w:trPr>
        <w:tc>
          <w:tcPr>
            <w:tcW w:w="2794" w:type="dxa"/>
            <w:tcBorders>
              <w:top w:val="nil"/>
              <w:left w:val="nil"/>
              <w:bottom w:val="nil"/>
              <w:right w:val="nil"/>
            </w:tcBorders>
            <w:shd w:val="clear" w:color="auto" w:fill="auto"/>
            <w:vAlign w:val="center"/>
            <w:hideMark/>
          </w:tcPr>
          <w:p w14:paraId="6821817F" w14:textId="77777777" w:rsidR="001917A9" w:rsidRPr="00005453" w:rsidRDefault="001917A9" w:rsidP="001917A9">
            <w:pPr>
              <w:rPr>
                <w:color w:val="000000"/>
                <w:sz w:val="18"/>
                <w:szCs w:val="18"/>
                <w:lang w:eastAsia="tr-TR"/>
              </w:rPr>
            </w:pPr>
            <w:r w:rsidRPr="00005453">
              <w:rPr>
                <w:color w:val="000000"/>
                <w:sz w:val="18"/>
                <w:szCs w:val="18"/>
                <w:lang w:eastAsia="tr-TR"/>
              </w:rPr>
              <w:t>Balıkçılık</w:t>
            </w:r>
          </w:p>
        </w:tc>
        <w:tc>
          <w:tcPr>
            <w:tcW w:w="2876" w:type="dxa"/>
            <w:tcBorders>
              <w:top w:val="nil"/>
              <w:left w:val="nil"/>
              <w:bottom w:val="nil"/>
              <w:right w:val="nil"/>
            </w:tcBorders>
            <w:shd w:val="clear" w:color="auto" w:fill="auto"/>
            <w:vAlign w:val="center"/>
            <w:hideMark/>
          </w:tcPr>
          <w:p w14:paraId="6871E291" w14:textId="223804D2" w:rsidR="001917A9" w:rsidRPr="00005453" w:rsidRDefault="001917A9" w:rsidP="001917A9">
            <w:pPr>
              <w:jc w:val="right"/>
              <w:rPr>
                <w:color w:val="000000"/>
                <w:sz w:val="18"/>
                <w:szCs w:val="18"/>
                <w:lang w:eastAsia="tr-TR"/>
              </w:rPr>
            </w:pPr>
            <w:r w:rsidRPr="00005453">
              <w:rPr>
                <w:color w:val="000000"/>
                <w:sz w:val="18"/>
                <w:szCs w:val="18"/>
              </w:rPr>
              <w:t>5,425</w:t>
            </w:r>
          </w:p>
        </w:tc>
        <w:tc>
          <w:tcPr>
            <w:tcW w:w="2127" w:type="dxa"/>
            <w:gridSpan w:val="2"/>
            <w:tcBorders>
              <w:top w:val="nil"/>
              <w:left w:val="nil"/>
              <w:bottom w:val="nil"/>
              <w:right w:val="nil"/>
            </w:tcBorders>
            <w:shd w:val="clear" w:color="auto" w:fill="auto"/>
            <w:vAlign w:val="center"/>
            <w:hideMark/>
          </w:tcPr>
          <w:p w14:paraId="740DB10F" w14:textId="3F6F9DE4" w:rsidR="001917A9" w:rsidRPr="00005453" w:rsidRDefault="001917A9" w:rsidP="001917A9">
            <w:pPr>
              <w:jc w:val="right"/>
              <w:rPr>
                <w:color w:val="000000"/>
                <w:sz w:val="18"/>
                <w:szCs w:val="18"/>
                <w:lang w:eastAsia="tr-TR"/>
              </w:rPr>
            </w:pPr>
            <w:r w:rsidRPr="00005453">
              <w:rPr>
                <w:color w:val="000000"/>
                <w:sz w:val="18"/>
                <w:szCs w:val="18"/>
              </w:rPr>
              <w:t>372</w:t>
            </w:r>
          </w:p>
        </w:tc>
        <w:tc>
          <w:tcPr>
            <w:tcW w:w="2020" w:type="dxa"/>
            <w:tcBorders>
              <w:top w:val="nil"/>
              <w:left w:val="nil"/>
              <w:bottom w:val="nil"/>
              <w:right w:val="nil"/>
            </w:tcBorders>
            <w:shd w:val="clear" w:color="auto" w:fill="auto"/>
            <w:vAlign w:val="center"/>
            <w:hideMark/>
          </w:tcPr>
          <w:p w14:paraId="4C4E8B3A" w14:textId="4CCBBCE6" w:rsidR="001917A9" w:rsidRPr="00005453" w:rsidRDefault="001917A9" w:rsidP="001917A9">
            <w:pPr>
              <w:jc w:val="right"/>
              <w:rPr>
                <w:color w:val="000000"/>
                <w:sz w:val="18"/>
                <w:szCs w:val="18"/>
                <w:lang w:eastAsia="tr-TR"/>
              </w:rPr>
            </w:pPr>
            <w:r w:rsidRPr="00005453">
              <w:rPr>
                <w:color w:val="000000"/>
                <w:sz w:val="18"/>
                <w:szCs w:val="18"/>
              </w:rPr>
              <w:t>417</w:t>
            </w:r>
          </w:p>
        </w:tc>
      </w:tr>
      <w:tr w:rsidR="001917A9" w:rsidRPr="00005453" w14:paraId="7C97D206" w14:textId="77777777" w:rsidTr="001917A9">
        <w:trPr>
          <w:divId w:val="4867389"/>
          <w:trHeight w:val="145"/>
        </w:trPr>
        <w:tc>
          <w:tcPr>
            <w:tcW w:w="2794" w:type="dxa"/>
            <w:tcBorders>
              <w:top w:val="nil"/>
              <w:left w:val="nil"/>
              <w:bottom w:val="nil"/>
              <w:right w:val="nil"/>
            </w:tcBorders>
            <w:shd w:val="clear" w:color="auto" w:fill="auto"/>
            <w:vAlign w:val="center"/>
            <w:hideMark/>
          </w:tcPr>
          <w:p w14:paraId="41B76B13" w14:textId="77777777" w:rsidR="001917A9" w:rsidRPr="00005453" w:rsidRDefault="001917A9" w:rsidP="001917A9">
            <w:pPr>
              <w:rPr>
                <w:b/>
                <w:bCs/>
                <w:color w:val="000000"/>
                <w:sz w:val="18"/>
                <w:szCs w:val="18"/>
                <w:lang w:eastAsia="tr-TR"/>
              </w:rPr>
            </w:pPr>
            <w:r w:rsidRPr="00005453">
              <w:rPr>
                <w:b/>
                <w:bCs/>
                <w:color w:val="000000"/>
                <w:sz w:val="18"/>
                <w:szCs w:val="18"/>
                <w:lang w:eastAsia="tr-TR"/>
              </w:rPr>
              <w:t>Sanayi</w:t>
            </w:r>
          </w:p>
        </w:tc>
        <w:tc>
          <w:tcPr>
            <w:tcW w:w="2876" w:type="dxa"/>
            <w:tcBorders>
              <w:top w:val="nil"/>
              <w:left w:val="nil"/>
              <w:bottom w:val="nil"/>
              <w:right w:val="nil"/>
            </w:tcBorders>
            <w:shd w:val="clear" w:color="auto" w:fill="auto"/>
            <w:vAlign w:val="center"/>
            <w:hideMark/>
          </w:tcPr>
          <w:p w14:paraId="34937F29" w14:textId="7B3D3B8D" w:rsidR="001917A9" w:rsidRPr="00005453" w:rsidRDefault="001917A9" w:rsidP="001917A9">
            <w:pPr>
              <w:jc w:val="right"/>
              <w:rPr>
                <w:b/>
                <w:bCs/>
                <w:color w:val="000000"/>
                <w:sz w:val="18"/>
                <w:szCs w:val="18"/>
                <w:lang w:eastAsia="tr-TR"/>
              </w:rPr>
            </w:pPr>
            <w:r w:rsidRPr="00005453">
              <w:rPr>
                <w:b/>
                <w:bCs/>
                <w:color w:val="000000"/>
                <w:sz w:val="18"/>
                <w:szCs w:val="18"/>
              </w:rPr>
              <w:t>8,596,018</w:t>
            </w:r>
          </w:p>
        </w:tc>
        <w:tc>
          <w:tcPr>
            <w:tcW w:w="2127" w:type="dxa"/>
            <w:gridSpan w:val="2"/>
            <w:tcBorders>
              <w:top w:val="nil"/>
              <w:left w:val="nil"/>
              <w:bottom w:val="nil"/>
              <w:right w:val="nil"/>
            </w:tcBorders>
            <w:shd w:val="clear" w:color="auto" w:fill="auto"/>
            <w:vAlign w:val="center"/>
            <w:hideMark/>
          </w:tcPr>
          <w:p w14:paraId="198217C5" w14:textId="0114997E" w:rsidR="001917A9" w:rsidRPr="00005453" w:rsidRDefault="001917A9" w:rsidP="001917A9">
            <w:pPr>
              <w:jc w:val="right"/>
              <w:rPr>
                <w:b/>
                <w:bCs/>
                <w:color w:val="000000"/>
                <w:sz w:val="18"/>
                <w:szCs w:val="18"/>
                <w:lang w:eastAsia="tr-TR"/>
              </w:rPr>
            </w:pPr>
            <w:r w:rsidRPr="00005453">
              <w:rPr>
                <w:b/>
                <w:bCs/>
                <w:color w:val="000000"/>
                <w:sz w:val="18"/>
                <w:szCs w:val="18"/>
              </w:rPr>
              <w:t>2,398,054</w:t>
            </w:r>
          </w:p>
        </w:tc>
        <w:tc>
          <w:tcPr>
            <w:tcW w:w="2020" w:type="dxa"/>
            <w:tcBorders>
              <w:top w:val="nil"/>
              <w:left w:val="nil"/>
              <w:bottom w:val="nil"/>
              <w:right w:val="nil"/>
            </w:tcBorders>
            <w:shd w:val="clear" w:color="auto" w:fill="auto"/>
            <w:vAlign w:val="center"/>
            <w:hideMark/>
          </w:tcPr>
          <w:p w14:paraId="2ED6AC2C" w14:textId="581CC9F6" w:rsidR="001917A9" w:rsidRPr="00005453" w:rsidRDefault="001917A9" w:rsidP="001917A9">
            <w:pPr>
              <w:jc w:val="right"/>
              <w:rPr>
                <w:b/>
                <w:bCs/>
                <w:color w:val="000000"/>
                <w:sz w:val="18"/>
                <w:szCs w:val="18"/>
                <w:lang w:eastAsia="tr-TR"/>
              </w:rPr>
            </w:pPr>
            <w:r w:rsidRPr="00005453">
              <w:rPr>
                <w:b/>
                <w:bCs/>
                <w:color w:val="000000"/>
                <w:sz w:val="18"/>
                <w:szCs w:val="18"/>
              </w:rPr>
              <w:t>3,967,964</w:t>
            </w:r>
          </w:p>
        </w:tc>
      </w:tr>
      <w:tr w:rsidR="001917A9" w:rsidRPr="00005453" w14:paraId="182D6F43" w14:textId="77777777" w:rsidTr="001917A9">
        <w:trPr>
          <w:divId w:val="4867389"/>
          <w:trHeight w:val="143"/>
        </w:trPr>
        <w:tc>
          <w:tcPr>
            <w:tcW w:w="2794" w:type="dxa"/>
            <w:tcBorders>
              <w:top w:val="nil"/>
              <w:left w:val="nil"/>
              <w:bottom w:val="nil"/>
              <w:right w:val="nil"/>
            </w:tcBorders>
            <w:shd w:val="clear" w:color="auto" w:fill="auto"/>
            <w:noWrap/>
            <w:vAlign w:val="center"/>
            <w:hideMark/>
          </w:tcPr>
          <w:p w14:paraId="6761194D" w14:textId="77777777" w:rsidR="001917A9" w:rsidRPr="00005453" w:rsidRDefault="001917A9" w:rsidP="001917A9">
            <w:pPr>
              <w:rPr>
                <w:color w:val="000000"/>
                <w:sz w:val="18"/>
                <w:szCs w:val="18"/>
                <w:lang w:eastAsia="tr-TR"/>
              </w:rPr>
            </w:pPr>
            <w:r w:rsidRPr="00005453">
              <w:rPr>
                <w:color w:val="000000"/>
                <w:sz w:val="18"/>
                <w:szCs w:val="18"/>
                <w:lang w:eastAsia="tr-TR"/>
              </w:rPr>
              <w:t>Madencilik ve Taşocakçılığı</w:t>
            </w:r>
          </w:p>
        </w:tc>
        <w:tc>
          <w:tcPr>
            <w:tcW w:w="2876" w:type="dxa"/>
            <w:tcBorders>
              <w:top w:val="nil"/>
              <w:left w:val="nil"/>
              <w:bottom w:val="nil"/>
              <w:right w:val="nil"/>
            </w:tcBorders>
            <w:shd w:val="clear" w:color="auto" w:fill="auto"/>
            <w:vAlign w:val="center"/>
            <w:hideMark/>
          </w:tcPr>
          <w:p w14:paraId="1314992F" w14:textId="43B31A5F" w:rsidR="001917A9" w:rsidRPr="00005453" w:rsidRDefault="001917A9" w:rsidP="001917A9">
            <w:pPr>
              <w:jc w:val="right"/>
              <w:rPr>
                <w:color w:val="000000"/>
                <w:sz w:val="18"/>
                <w:szCs w:val="18"/>
                <w:lang w:eastAsia="tr-TR"/>
              </w:rPr>
            </w:pPr>
            <w:r w:rsidRPr="00005453">
              <w:rPr>
                <w:color w:val="000000"/>
                <w:sz w:val="18"/>
                <w:szCs w:val="18"/>
              </w:rPr>
              <w:t>2,128,913</w:t>
            </w:r>
          </w:p>
        </w:tc>
        <w:tc>
          <w:tcPr>
            <w:tcW w:w="2127" w:type="dxa"/>
            <w:gridSpan w:val="2"/>
            <w:tcBorders>
              <w:top w:val="nil"/>
              <w:left w:val="nil"/>
              <w:bottom w:val="nil"/>
              <w:right w:val="nil"/>
            </w:tcBorders>
            <w:shd w:val="clear" w:color="auto" w:fill="auto"/>
            <w:vAlign w:val="center"/>
            <w:hideMark/>
          </w:tcPr>
          <w:p w14:paraId="18455D5E" w14:textId="428DA4C7" w:rsidR="001917A9" w:rsidRPr="00005453" w:rsidRDefault="001917A9" w:rsidP="001917A9">
            <w:pPr>
              <w:jc w:val="right"/>
              <w:rPr>
                <w:color w:val="000000"/>
                <w:sz w:val="18"/>
                <w:szCs w:val="18"/>
                <w:lang w:eastAsia="tr-TR"/>
              </w:rPr>
            </w:pPr>
            <w:r w:rsidRPr="00005453">
              <w:rPr>
                <w:color w:val="000000"/>
                <w:sz w:val="18"/>
                <w:szCs w:val="18"/>
              </w:rPr>
              <w:t>460,970</w:t>
            </w:r>
          </w:p>
        </w:tc>
        <w:tc>
          <w:tcPr>
            <w:tcW w:w="2020" w:type="dxa"/>
            <w:tcBorders>
              <w:top w:val="nil"/>
              <w:left w:val="nil"/>
              <w:bottom w:val="nil"/>
              <w:right w:val="nil"/>
            </w:tcBorders>
            <w:shd w:val="clear" w:color="auto" w:fill="auto"/>
            <w:vAlign w:val="center"/>
            <w:hideMark/>
          </w:tcPr>
          <w:p w14:paraId="381BA8F4" w14:textId="0091D0F0" w:rsidR="001917A9" w:rsidRPr="00005453" w:rsidRDefault="001917A9" w:rsidP="001917A9">
            <w:pPr>
              <w:jc w:val="right"/>
              <w:rPr>
                <w:color w:val="000000"/>
                <w:sz w:val="18"/>
                <w:szCs w:val="18"/>
                <w:lang w:eastAsia="tr-TR"/>
              </w:rPr>
            </w:pPr>
            <w:r w:rsidRPr="00005453">
              <w:rPr>
                <w:color w:val="000000"/>
                <w:sz w:val="18"/>
                <w:szCs w:val="18"/>
              </w:rPr>
              <w:t>1,263,860</w:t>
            </w:r>
          </w:p>
        </w:tc>
      </w:tr>
      <w:tr w:rsidR="001917A9" w:rsidRPr="00005453" w14:paraId="00EE07E7" w14:textId="77777777" w:rsidTr="001917A9">
        <w:trPr>
          <w:divId w:val="4867389"/>
          <w:trHeight w:val="233"/>
        </w:trPr>
        <w:tc>
          <w:tcPr>
            <w:tcW w:w="2794" w:type="dxa"/>
            <w:tcBorders>
              <w:top w:val="nil"/>
              <w:left w:val="nil"/>
              <w:bottom w:val="nil"/>
              <w:right w:val="nil"/>
            </w:tcBorders>
            <w:shd w:val="clear" w:color="auto" w:fill="auto"/>
            <w:vAlign w:val="center"/>
            <w:hideMark/>
          </w:tcPr>
          <w:p w14:paraId="22120FEB" w14:textId="77777777" w:rsidR="001917A9" w:rsidRPr="00005453" w:rsidRDefault="001917A9" w:rsidP="001917A9">
            <w:pPr>
              <w:rPr>
                <w:color w:val="000000"/>
                <w:sz w:val="18"/>
                <w:szCs w:val="18"/>
                <w:lang w:eastAsia="tr-TR"/>
              </w:rPr>
            </w:pPr>
            <w:r w:rsidRPr="00005453">
              <w:rPr>
                <w:color w:val="000000"/>
                <w:sz w:val="18"/>
                <w:szCs w:val="18"/>
                <w:lang w:eastAsia="tr-TR"/>
              </w:rPr>
              <w:t>İmalat Sanayi</w:t>
            </w:r>
          </w:p>
        </w:tc>
        <w:tc>
          <w:tcPr>
            <w:tcW w:w="2876" w:type="dxa"/>
            <w:tcBorders>
              <w:top w:val="nil"/>
              <w:left w:val="nil"/>
              <w:bottom w:val="nil"/>
              <w:right w:val="nil"/>
            </w:tcBorders>
            <w:shd w:val="clear" w:color="auto" w:fill="auto"/>
            <w:vAlign w:val="center"/>
            <w:hideMark/>
          </w:tcPr>
          <w:p w14:paraId="29F97527" w14:textId="7EF6D399" w:rsidR="001917A9" w:rsidRPr="00005453" w:rsidRDefault="001917A9" w:rsidP="001917A9">
            <w:pPr>
              <w:jc w:val="right"/>
              <w:rPr>
                <w:color w:val="000000"/>
                <w:sz w:val="18"/>
                <w:szCs w:val="18"/>
                <w:lang w:eastAsia="tr-TR"/>
              </w:rPr>
            </w:pPr>
            <w:r w:rsidRPr="00005453">
              <w:rPr>
                <w:color w:val="000000"/>
                <w:sz w:val="18"/>
                <w:szCs w:val="18"/>
              </w:rPr>
              <w:t>5,764,315</w:t>
            </w:r>
          </w:p>
        </w:tc>
        <w:tc>
          <w:tcPr>
            <w:tcW w:w="2127" w:type="dxa"/>
            <w:gridSpan w:val="2"/>
            <w:tcBorders>
              <w:top w:val="nil"/>
              <w:left w:val="nil"/>
              <w:bottom w:val="nil"/>
              <w:right w:val="nil"/>
            </w:tcBorders>
            <w:shd w:val="clear" w:color="auto" w:fill="auto"/>
            <w:vAlign w:val="center"/>
            <w:hideMark/>
          </w:tcPr>
          <w:p w14:paraId="62101748" w14:textId="23B0AC7E" w:rsidR="001917A9" w:rsidRPr="00005453" w:rsidRDefault="001917A9" w:rsidP="001917A9">
            <w:pPr>
              <w:jc w:val="right"/>
              <w:rPr>
                <w:color w:val="000000"/>
                <w:sz w:val="18"/>
                <w:szCs w:val="18"/>
                <w:lang w:eastAsia="tr-TR"/>
              </w:rPr>
            </w:pPr>
            <w:r w:rsidRPr="00005453">
              <w:rPr>
                <w:color w:val="000000"/>
                <w:sz w:val="18"/>
                <w:szCs w:val="18"/>
              </w:rPr>
              <w:t>1,917,974</w:t>
            </w:r>
          </w:p>
        </w:tc>
        <w:tc>
          <w:tcPr>
            <w:tcW w:w="2020" w:type="dxa"/>
            <w:tcBorders>
              <w:top w:val="nil"/>
              <w:left w:val="nil"/>
              <w:bottom w:val="nil"/>
              <w:right w:val="nil"/>
            </w:tcBorders>
            <w:shd w:val="clear" w:color="auto" w:fill="auto"/>
            <w:vAlign w:val="center"/>
            <w:hideMark/>
          </w:tcPr>
          <w:p w14:paraId="1E5A1540" w14:textId="7012A264" w:rsidR="001917A9" w:rsidRPr="00005453" w:rsidRDefault="001917A9" w:rsidP="001917A9">
            <w:pPr>
              <w:jc w:val="right"/>
              <w:rPr>
                <w:color w:val="000000"/>
                <w:sz w:val="18"/>
                <w:szCs w:val="18"/>
                <w:lang w:eastAsia="tr-TR"/>
              </w:rPr>
            </w:pPr>
            <w:r w:rsidRPr="00005453">
              <w:rPr>
                <w:color w:val="000000"/>
                <w:sz w:val="18"/>
                <w:szCs w:val="18"/>
              </w:rPr>
              <w:t>2,474,862</w:t>
            </w:r>
          </w:p>
        </w:tc>
      </w:tr>
      <w:tr w:rsidR="001917A9" w:rsidRPr="00005453" w14:paraId="236F564C" w14:textId="77777777" w:rsidTr="001917A9">
        <w:trPr>
          <w:divId w:val="4867389"/>
          <w:trHeight w:val="233"/>
        </w:trPr>
        <w:tc>
          <w:tcPr>
            <w:tcW w:w="2794" w:type="dxa"/>
            <w:tcBorders>
              <w:top w:val="nil"/>
              <w:left w:val="nil"/>
              <w:bottom w:val="nil"/>
              <w:right w:val="nil"/>
            </w:tcBorders>
            <w:shd w:val="clear" w:color="auto" w:fill="auto"/>
            <w:vAlign w:val="center"/>
            <w:hideMark/>
          </w:tcPr>
          <w:p w14:paraId="46B1DF9E" w14:textId="77777777" w:rsidR="001917A9" w:rsidRPr="00005453" w:rsidRDefault="001917A9" w:rsidP="001917A9">
            <w:pPr>
              <w:rPr>
                <w:color w:val="000000"/>
                <w:sz w:val="18"/>
                <w:szCs w:val="18"/>
                <w:lang w:eastAsia="tr-TR"/>
              </w:rPr>
            </w:pPr>
            <w:r w:rsidRPr="00005453">
              <w:rPr>
                <w:color w:val="000000"/>
                <w:sz w:val="18"/>
                <w:szCs w:val="18"/>
                <w:lang w:eastAsia="tr-TR"/>
              </w:rPr>
              <w:t>Elektrik, Gaz, Su</w:t>
            </w:r>
          </w:p>
        </w:tc>
        <w:tc>
          <w:tcPr>
            <w:tcW w:w="2876" w:type="dxa"/>
            <w:tcBorders>
              <w:top w:val="nil"/>
              <w:left w:val="nil"/>
              <w:bottom w:val="nil"/>
              <w:right w:val="nil"/>
            </w:tcBorders>
            <w:shd w:val="clear" w:color="auto" w:fill="auto"/>
            <w:vAlign w:val="center"/>
            <w:hideMark/>
          </w:tcPr>
          <w:p w14:paraId="30DC7ACE" w14:textId="3898E078" w:rsidR="001917A9" w:rsidRPr="00005453" w:rsidRDefault="001917A9" w:rsidP="001917A9">
            <w:pPr>
              <w:jc w:val="right"/>
              <w:rPr>
                <w:color w:val="000000"/>
                <w:sz w:val="18"/>
                <w:szCs w:val="18"/>
                <w:lang w:eastAsia="tr-TR"/>
              </w:rPr>
            </w:pPr>
            <w:r w:rsidRPr="00005453">
              <w:rPr>
                <w:color w:val="000000"/>
                <w:sz w:val="18"/>
                <w:szCs w:val="18"/>
              </w:rPr>
              <w:t>702,790</w:t>
            </w:r>
          </w:p>
        </w:tc>
        <w:tc>
          <w:tcPr>
            <w:tcW w:w="2127" w:type="dxa"/>
            <w:gridSpan w:val="2"/>
            <w:tcBorders>
              <w:top w:val="nil"/>
              <w:left w:val="nil"/>
              <w:bottom w:val="nil"/>
              <w:right w:val="nil"/>
            </w:tcBorders>
            <w:shd w:val="clear" w:color="auto" w:fill="auto"/>
            <w:vAlign w:val="center"/>
            <w:hideMark/>
          </w:tcPr>
          <w:p w14:paraId="155FFDF1" w14:textId="75066420" w:rsidR="001917A9" w:rsidRPr="00005453" w:rsidRDefault="001917A9" w:rsidP="001917A9">
            <w:pPr>
              <w:jc w:val="right"/>
              <w:rPr>
                <w:color w:val="000000"/>
                <w:sz w:val="18"/>
                <w:szCs w:val="18"/>
                <w:lang w:eastAsia="tr-TR"/>
              </w:rPr>
            </w:pPr>
            <w:r w:rsidRPr="00005453">
              <w:rPr>
                <w:color w:val="000000"/>
                <w:sz w:val="18"/>
                <w:szCs w:val="18"/>
              </w:rPr>
              <w:t>19,110</w:t>
            </w:r>
          </w:p>
        </w:tc>
        <w:tc>
          <w:tcPr>
            <w:tcW w:w="2020" w:type="dxa"/>
            <w:tcBorders>
              <w:top w:val="nil"/>
              <w:left w:val="nil"/>
              <w:bottom w:val="nil"/>
              <w:right w:val="nil"/>
            </w:tcBorders>
            <w:shd w:val="clear" w:color="auto" w:fill="auto"/>
            <w:vAlign w:val="center"/>
            <w:hideMark/>
          </w:tcPr>
          <w:p w14:paraId="1E9DB682" w14:textId="4811570B" w:rsidR="001917A9" w:rsidRPr="00005453" w:rsidRDefault="001917A9" w:rsidP="001917A9">
            <w:pPr>
              <w:jc w:val="right"/>
              <w:rPr>
                <w:color w:val="000000"/>
                <w:sz w:val="18"/>
                <w:szCs w:val="18"/>
                <w:lang w:eastAsia="tr-TR"/>
              </w:rPr>
            </w:pPr>
            <w:r w:rsidRPr="00005453">
              <w:rPr>
                <w:color w:val="000000"/>
                <w:sz w:val="18"/>
                <w:szCs w:val="18"/>
              </w:rPr>
              <w:t>229,242</w:t>
            </w:r>
          </w:p>
        </w:tc>
      </w:tr>
      <w:tr w:rsidR="001917A9" w:rsidRPr="00005453" w14:paraId="72ECD7DA" w14:textId="77777777" w:rsidTr="001917A9">
        <w:trPr>
          <w:divId w:val="4867389"/>
          <w:trHeight w:val="145"/>
        </w:trPr>
        <w:tc>
          <w:tcPr>
            <w:tcW w:w="2794" w:type="dxa"/>
            <w:tcBorders>
              <w:top w:val="nil"/>
              <w:left w:val="nil"/>
              <w:bottom w:val="nil"/>
              <w:right w:val="nil"/>
            </w:tcBorders>
            <w:shd w:val="clear" w:color="auto" w:fill="auto"/>
            <w:vAlign w:val="center"/>
            <w:hideMark/>
          </w:tcPr>
          <w:p w14:paraId="014E5683" w14:textId="77777777" w:rsidR="001917A9" w:rsidRPr="00005453" w:rsidRDefault="001917A9" w:rsidP="001917A9">
            <w:pPr>
              <w:rPr>
                <w:b/>
                <w:bCs/>
                <w:color w:val="000000"/>
                <w:sz w:val="18"/>
                <w:szCs w:val="18"/>
                <w:lang w:eastAsia="tr-TR"/>
              </w:rPr>
            </w:pPr>
            <w:r w:rsidRPr="00005453">
              <w:rPr>
                <w:b/>
                <w:bCs/>
                <w:color w:val="000000"/>
                <w:sz w:val="18"/>
                <w:szCs w:val="18"/>
                <w:lang w:eastAsia="tr-TR"/>
              </w:rPr>
              <w:t>İnşaat</w:t>
            </w:r>
          </w:p>
        </w:tc>
        <w:tc>
          <w:tcPr>
            <w:tcW w:w="2876" w:type="dxa"/>
            <w:tcBorders>
              <w:top w:val="nil"/>
              <w:left w:val="nil"/>
              <w:bottom w:val="nil"/>
              <w:right w:val="nil"/>
            </w:tcBorders>
            <w:shd w:val="clear" w:color="auto" w:fill="auto"/>
            <w:vAlign w:val="center"/>
            <w:hideMark/>
          </w:tcPr>
          <w:p w14:paraId="35599C35" w14:textId="64485CB6" w:rsidR="001917A9" w:rsidRPr="00005453" w:rsidRDefault="001917A9" w:rsidP="001917A9">
            <w:pPr>
              <w:jc w:val="right"/>
              <w:rPr>
                <w:b/>
                <w:bCs/>
                <w:color w:val="000000"/>
                <w:sz w:val="18"/>
                <w:szCs w:val="18"/>
                <w:lang w:eastAsia="tr-TR"/>
              </w:rPr>
            </w:pPr>
            <w:r w:rsidRPr="00005453">
              <w:rPr>
                <w:b/>
                <w:bCs/>
                <w:color w:val="000000"/>
                <w:sz w:val="18"/>
                <w:szCs w:val="18"/>
              </w:rPr>
              <w:t>3,319,971</w:t>
            </w:r>
          </w:p>
        </w:tc>
        <w:tc>
          <w:tcPr>
            <w:tcW w:w="2127" w:type="dxa"/>
            <w:gridSpan w:val="2"/>
            <w:tcBorders>
              <w:top w:val="nil"/>
              <w:left w:val="nil"/>
              <w:bottom w:val="nil"/>
              <w:right w:val="nil"/>
            </w:tcBorders>
            <w:shd w:val="clear" w:color="auto" w:fill="auto"/>
            <w:vAlign w:val="center"/>
            <w:hideMark/>
          </w:tcPr>
          <w:p w14:paraId="49CA7512" w14:textId="3CCFC882" w:rsidR="001917A9" w:rsidRPr="00005453" w:rsidRDefault="001917A9" w:rsidP="001917A9">
            <w:pPr>
              <w:jc w:val="right"/>
              <w:rPr>
                <w:b/>
                <w:bCs/>
                <w:color w:val="000000"/>
                <w:sz w:val="18"/>
                <w:szCs w:val="18"/>
                <w:lang w:eastAsia="tr-TR"/>
              </w:rPr>
            </w:pPr>
            <w:r w:rsidRPr="00005453">
              <w:rPr>
                <w:b/>
                <w:bCs/>
                <w:color w:val="000000"/>
                <w:sz w:val="18"/>
                <w:szCs w:val="18"/>
              </w:rPr>
              <w:t>1,184,343</w:t>
            </w:r>
          </w:p>
        </w:tc>
        <w:tc>
          <w:tcPr>
            <w:tcW w:w="2020" w:type="dxa"/>
            <w:tcBorders>
              <w:top w:val="nil"/>
              <w:left w:val="nil"/>
              <w:bottom w:val="nil"/>
              <w:right w:val="nil"/>
            </w:tcBorders>
            <w:shd w:val="clear" w:color="auto" w:fill="auto"/>
            <w:vAlign w:val="center"/>
            <w:hideMark/>
          </w:tcPr>
          <w:p w14:paraId="76FA1461" w14:textId="20CAE041" w:rsidR="001917A9" w:rsidRPr="00005453" w:rsidRDefault="001917A9" w:rsidP="001917A9">
            <w:pPr>
              <w:jc w:val="right"/>
              <w:rPr>
                <w:b/>
                <w:bCs/>
                <w:color w:val="000000"/>
                <w:sz w:val="18"/>
                <w:szCs w:val="18"/>
                <w:lang w:eastAsia="tr-TR"/>
              </w:rPr>
            </w:pPr>
            <w:r w:rsidRPr="00005453">
              <w:rPr>
                <w:b/>
                <w:bCs/>
                <w:color w:val="000000"/>
                <w:sz w:val="18"/>
                <w:szCs w:val="18"/>
              </w:rPr>
              <w:t>1,494,325</w:t>
            </w:r>
          </w:p>
        </w:tc>
      </w:tr>
      <w:tr w:rsidR="001917A9" w:rsidRPr="00005453" w14:paraId="60C9EDD9" w14:textId="77777777" w:rsidTr="001917A9">
        <w:trPr>
          <w:divId w:val="4867389"/>
          <w:trHeight w:val="145"/>
        </w:trPr>
        <w:tc>
          <w:tcPr>
            <w:tcW w:w="2794" w:type="dxa"/>
            <w:tcBorders>
              <w:top w:val="nil"/>
              <w:left w:val="nil"/>
              <w:bottom w:val="nil"/>
              <w:right w:val="nil"/>
            </w:tcBorders>
            <w:shd w:val="clear" w:color="auto" w:fill="auto"/>
            <w:vAlign w:val="center"/>
            <w:hideMark/>
          </w:tcPr>
          <w:p w14:paraId="0321C7E6" w14:textId="77777777" w:rsidR="001917A9" w:rsidRPr="00005453" w:rsidRDefault="001917A9" w:rsidP="001917A9">
            <w:pPr>
              <w:rPr>
                <w:b/>
                <w:bCs/>
                <w:color w:val="000000"/>
                <w:sz w:val="18"/>
                <w:szCs w:val="18"/>
                <w:lang w:eastAsia="tr-TR"/>
              </w:rPr>
            </w:pPr>
            <w:r w:rsidRPr="00005453">
              <w:rPr>
                <w:b/>
                <w:bCs/>
                <w:color w:val="000000"/>
                <w:sz w:val="18"/>
                <w:szCs w:val="18"/>
                <w:lang w:eastAsia="tr-TR"/>
              </w:rPr>
              <w:t>Hizmetler</w:t>
            </w:r>
          </w:p>
        </w:tc>
        <w:tc>
          <w:tcPr>
            <w:tcW w:w="2876" w:type="dxa"/>
            <w:tcBorders>
              <w:top w:val="nil"/>
              <w:left w:val="nil"/>
              <w:bottom w:val="nil"/>
              <w:right w:val="nil"/>
            </w:tcBorders>
            <w:shd w:val="clear" w:color="auto" w:fill="auto"/>
            <w:vAlign w:val="center"/>
            <w:hideMark/>
          </w:tcPr>
          <w:p w14:paraId="41FE8637" w14:textId="70956F45" w:rsidR="001917A9" w:rsidRPr="00005453" w:rsidRDefault="001917A9" w:rsidP="001917A9">
            <w:pPr>
              <w:jc w:val="right"/>
              <w:rPr>
                <w:b/>
                <w:bCs/>
                <w:color w:val="000000"/>
                <w:sz w:val="18"/>
                <w:szCs w:val="18"/>
                <w:lang w:eastAsia="tr-TR"/>
              </w:rPr>
            </w:pPr>
            <w:r w:rsidRPr="00005453">
              <w:rPr>
                <w:b/>
                <w:bCs/>
                <w:color w:val="000000"/>
                <w:sz w:val="18"/>
                <w:szCs w:val="18"/>
              </w:rPr>
              <w:t>7,978,899</w:t>
            </w:r>
          </w:p>
        </w:tc>
        <w:tc>
          <w:tcPr>
            <w:tcW w:w="2127" w:type="dxa"/>
            <w:gridSpan w:val="2"/>
            <w:tcBorders>
              <w:top w:val="nil"/>
              <w:left w:val="nil"/>
              <w:bottom w:val="nil"/>
              <w:right w:val="nil"/>
            </w:tcBorders>
            <w:shd w:val="clear" w:color="auto" w:fill="auto"/>
            <w:vAlign w:val="center"/>
            <w:hideMark/>
          </w:tcPr>
          <w:p w14:paraId="5C6FC6A5" w14:textId="727B0E1E" w:rsidR="001917A9" w:rsidRPr="00005453" w:rsidRDefault="001917A9" w:rsidP="001917A9">
            <w:pPr>
              <w:jc w:val="right"/>
              <w:rPr>
                <w:b/>
                <w:bCs/>
                <w:color w:val="000000"/>
                <w:sz w:val="18"/>
                <w:szCs w:val="18"/>
                <w:lang w:eastAsia="tr-TR"/>
              </w:rPr>
            </w:pPr>
            <w:r w:rsidRPr="00005453">
              <w:rPr>
                <w:b/>
                <w:bCs/>
                <w:color w:val="000000"/>
                <w:sz w:val="18"/>
                <w:szCs w:val="18"/>
              </w:rPr>
              <w:t>2,456,784</w:t>
            </w:r>
          </w:p>
        </w:tc>
        <w:tc>
          <w:tcPr>
            <w:tcW w:w="2020" w:type="dxa"/>
            <w:tcBorders>
              <w:top w:val="nil"/>
              <w:left w:val="nil"/>
              <w:bottom w:val="nil"/>
              <w:right w:val="nil"/>
            </w:tcBorders>
            <w:shd w:val="clear" w:color="auto" w:fill="auto"/>
            <w:vAlign w:val="center"/>
            <w:hideMark/>
          </w:tcPr>
          <w:p w14:paraId="4724908B" w14:textId="377075D0" w:rsidR="001917A9" w:rsidRPr="00005453" w:rsidRDefault="001917A9" w:rsidP="001917A9">
            <w:pPr>
              <w:jc w:val="right"/>
              <w:rPr>
                <w:b/>
                <w:bCs/>
                <w:color w:val="000000"/>
                <w:sz w:val="18"/>
                <w:szCs w:val="18"/>
                <w:lang w:eastAsia="tr-TR"/>
              </w:rPr>
            </w:pPr>
            <w:r w:rsidRPr="00005453">
              <w:rPr>
                <w:b/>
                <w:bCs/>
                <w:color w:val="000000"/>
                <w:sz w:val="18"/>
                <w:szCs w:val="18"/>
              </w:rPr>
              <w:t>3,053,605</w:t>
            </w:r>
          </w:p>
        </w:tc>
      </w:tr>
      <w:tr w:rsidR="001917A9" w:rsidRPr="00005453" w14:paraId="4BB61334" w14:textId="77777777" w:rsidTr="001917A9">
        <w:trPr>
          <w:divId w:val="4867389"/>
          <w:trHeight w:val="56"/>
        </w:trPr>
        <w:tc>
          <w:tcPr>
            <w:tcW w:w="2794" w:type="dxa"/>
            <w:tcBorders>
              <w:top w:val="nil"/>
              <w:left w:val="nil"/>
              <w:bottom w:val="nil"/>
              <w:right w:val="nil"/>
            </w:tcBorders>
            <w:shd w:val="clear" w:color="auto" w:fill="auto"/>
            <w:vAlign w:val="center"/>
            <w:hideMark/>
          </w:tcPr>
          <w:p w14:paraId="3DB6975E" w14:textId="77777777" w:rsidR="001917A9" w:rsidRPr="00005453" w:rsidRDefault="001917A9" w:rsidP="001917A9">
            <w:pPr>
              <w:rPr>
                <w:color w:val="000000"/>
                <w:sz w:val="18"/>
                <w:szCs w:val="18"/>
                <w:lang w:eastAsia="tr-TR"/>
              </w:rPr>
            </w:pPr>
            <w:r w:rsidRPr="00005453">
              <w:rPr>
                <w:color w:val="000000"/>
                <w:sz w:val="18"/>
                <w:szCs w:val="18"/>
                <w:lang w:eastAsia="tr-TR"/>
              </w:rPr>
              <w:t>Toptan ve Perakende Ticaret</w:t>
            </w:r>
          </w:p>
        </w:tc>
        <w:tc>
          <w:tcPr>
            <w:tcW w:w="2876" w:type="dxa"/>
            <w:tcBorders>
              <w:top w:val="nil"/>
              <w:left w:val="nil"/>
              <w:bottom w:val="nil"/>
              <w:right w:val="nil"/>
            </w:tcBorders>
            <w:shd w:val="clear" w:color="auto" w:fill="auto"/>
            <w:vAlign w:val="center"/>
            <w:hideMark/>
          </w:tcPr>
          <w:p w14:paraId="20D9BC74" w14:textId="57911C9D" w:rsidR="001917A9" w:rsidRPr="00005453" w:rsidRDefault="001917A9" w:rsidP="001917A9">
            <w:pPr>
              <w:jc w:val="right"/>
              <w:rPr>
                <w:color w:val="000000"/>
                <w:sz w:val="18"/>
                <w:szCs w:val="18"/>
                <w:lang w:eastAsia="tr-TR"/>
              </w:rPr>
            </w:pPr>
            <w:r w:rsidRPr="00005453">
              <w:rPr>
                <w:color w:val="000000"/>
                <w:sz w:val="18"/>
                <w:szCs w:val="18"/>
              </w:rPr>
              <w:t>4,737,623</w:t>
            </w:r>
          </w:p>
        </w:tc>
        <w:tc>
          <w:tcPr>
            <w:tcW w:w="2127" w:type="dxa"/>
            <w:gridSpan w:val="2"/>
            <w:tcBorders>
              <w:top w:val="nil"/>
              <w:left w:val="nil"/>
              <w:bottom w:val="nil"/>
              <w:right w:val="nil"/>
            </w:tcBorders>
            <w:shd w:val="clear" w:color="auto" w:fill="auto"/>
            <w:vAlign w:val="center"/>
            <w:hideMark/>
          </w:tcPr>
          <w:p w14:paraId="5C1F76AB" w14:textId="2320CBFB" w:rsidR="001917A9" w:rsidRPr="00005453" w:rsidRDefault="001917A9" w:rsidP="001917A9">
            <w:pPr>
              <w:jc w:val="right"/>
              <w:rPr>
                <w:color w:val="000000"/>
                <w:sz w:val="18"/>
                <w:szCs w:val="18"/>
                <w:lang w:eastAsia="tr-TR"/>
              </w:rPr>
            </w:pPr>
            <w:r w:rsidRPr="00005453">
              <w:rPr>
                <w:color w:val="000000"/>
                <w:sz w:val="18"/>
                <w:szCs w:val="18"/>
              </w:rPr>
              <w:t>1,179,772</w:t>
            </w:r>
          </w:p>
        </w:tc>
        <w:tc>
          <w:tcPr>
            <w:tcW w:w="2020" w:type="dxa"/>
            <w:tcBorders>
              <w:top w:val="nil"/>
              <w:left w:val="nil"/>
              <w:bottom w:val="nil"/>
              <w:right w:val="nil"/>
            </w:tcBorders>
            <w:shd w:val="clear" w:color="auto" w:fill="auto"/>
            <w:vAlign w:val="center"/>
            <w:hideMark/>
          </w:tcPr>
          <w:p w14:paraId="3E1877BB" w14:textId="38246771" w:rsidR="001917A9" w:rsidRPr="00005453" w:rsidRDefault="001917A9" w:rsidP="001917A9">
            <w:pPr>
              <w:jc w:val="right"/>
              <w:rPr>
                <w:color w:val="000000"/>
                <w:sz w:val="18"/>
                <w:szCs w:val="18"/>
                <w:lang w:eastAsia="tr-TR"/>
              </w:rPr>
            </w:pPr>
            <w:r w:rsidRPr="00005453">
              <w:rPr>
                <w:color w:val="000000"/>
                <w:sz w:val="18"/>
                <w:szCs w:val="18"/>
              </w:rPr>
              <w:t>1,459,869</w:t>
            </w:r>
          </w:p>
        </w:tc>
      </w:tr>
      <w:tr w:rsidR="001917A9" w:rsidRPr="00005453" w14:paraId="18D7C0C3" w14:textId="77777777" w:rsidTr="001917A9">
        <w:trPr>
          <w:divId w:val="4867389"/>
          <w:trHeight w:val="120"/>
        </w:trPr>
        <w:tc>
          <w:tcPr>
            <w:tcW w:w="2794" w:type="dxa"/>
            <w:tcBorders>
              <w:top w:val="nil"/>
              <w:left w:val="nil"/>
              <w:bottom w:val="nil"/>
              <w:right w:val="nil"/>
            </w:tcBorders>
            <w:shd w:val="clear" w:color="auto" w:fill="auto"/>
            <w:vAlign w:val="center"/>
            <w:hideMark/>
          </w:tcPr>
          <w:p w14:paraId="230B9CAA" w14:textId="77777777" w:rsidR="001917A9" w:rsidRPr="00005453" w:rsidRDefault="001917A9" w:rsidP="001917A9">
            <w:pPr>
              <w:rPr>
                <w:color w:val="000000"/>
                <w:sz w:val="18"/>
                <w:szCs w:val="18"/>
                <w:lang w:eastAsia="tr-TR"/>
              </w:rPr>
            </w:pPr>
            <w:r w:rsidRPr="00005453">
              <w:rPr>
                <w:color w:val="000000"/>
                <w:sz w:val="18"/>
                <w:szCs w:val="18"/>
                <w:lang w:eastAsia="tr-TR"/>
              </w:rPr>
              <w:t>Otel ve Lokanta Hizmetleri</w:t>
            </w:r>
          </w:p>
        </w:tc>
        <w:tc>
          <w:tcPr>
            <w:tcW w:w="2876" w:type="dxa"/>
            <w:tcBorders>
              <w:top w:val="nil"/>
              <w:left w:val="nil"/>
              <w:bottom w:val="nil"/>
              <w:right w:val="nil"/>
            </w:tcBorders>
            <w:shd w:val="clear" w:color="auto" w:fill="auto"/>
            <w:vAlign w:val="center"/>
            <w:hideMark/>
          </w:tcPr>
          <w:p w14:paraId="0F85F962" w14:textId="2C005E25" w:rsidR="001917A9" w:rsidRPr="00005453" w:rsidRDefault="001917A9" w:rsidP="001917A9">
            <w:pPr>
              <w:jc w:val="right"/>
              <w:rPr>
                <w:color w:val="000000"/>
                <w:sz w:val="18"/>
                <w:szCs w:val="18"/>
                <w:lang w:eastAsia="tr-TR"/>
              </w:rPr>
            </w:pPr>
            <w:r w:rsidRPr="00005453">
              <w:rPr>
                <w:color w:val="000000"/>
                <w:sz w:val="18"/>
                <w:szCs w:val="18"/>
              </w:rPr>
              <w:t>282,058</w:t>
            </w:r>
          </w:p>
        </w:tc>
        <w:tc>
          <w:tcPr>
            <w:tcW w:w="2127" w:type="dxa"/>
            <w:gridSpan w:val="2"/>
            <w:tcBorders>
              <w:top w:val="nil"/>
              <w:left w:val="nil"/>
              <w:bottom w:val="nil"/>
              <w:right w:val="nil"/>
            </w:tcBorders>
            <w:shd w:val="clear" w:color="auto" w:fill="auto"/>
            <w:vAlign w:val="center"/>
            <w:hideMark/>
          </w:tcPr>
          <w:p w14:paraId="21BCCCFD" w14:textId="1A60D549" w:rsidR="001917A9" w:rsidRPr="00005453" w:rsidRDefault="001917A9" w:rsidP="001917A9">
            <w:pPr>
              <w:jc w:val="right"/>
              <w:rPr>
                <w:color w:val="000000"/>
                <w:sz w:val="18"/>
                <w:szCs w:val="18"/>
                <w:lang w:eastAsia="tr-TR"/>
              </w:rPr>
            </w:pPr>
            <w:r w:rsidRPr="00005453">
              <w:rPr>
                <w:color w:val="000000"/>
                <w:sz w:val="18"/>
                <w:szCs w:val="18"/>
              </w:rPr>
              <w:t>155,666</w:t>
            </w:r>
          </w:p>
        </w:tc>
        <w:tc>
          <w:tcPr>
            <w:tcW w:w="2020" w:type="dxa"/>
            <w:tcBorders>
              <w:top w:val="nil"/>
              <w:left w:val="nil"/>
              <w:bottom w:val="nil"/>
              <w:right w:val="nil"/>
            </w:tcBorders>
            <w:shd w:val="clear" w:color="auto" w:fill="auto"/>
            <w:vAlign w:val="center"/>
            <w:hideMark/>
          </w:tcPr>
          <w:p w14:paraId="6310DC13" w14:textId="1662985C" w:rsidR="001917A9" w:rsidRPr="00005453" w:rsidRDefault="001917A9" w:rsidP="001917A9">
            <w:pPr>
              <w:jc w:val="right"/>
              <w:rPr>
                <w:color w:val="000000"/>
                <w:sz w:val="18"/>
                <w:szCs w:val="18"/>
                <w:lang w:eastAsia="tr-TR"/>
              </w:rPr>
            </w:pPr>
            <w:r w:rsidRPr="00005453">
              <w:rPr>
                <w:color w:val="000000"/>
                <w:sz w:val="18"/>
                <w:szCs w:val="18"/>
              </w:rPr>
              <w:t>177,301</w:t>
            </w:r>
          </w:p>
        </w:tc>
      </w:tr>
      <w:tr w:rsidR="001917A9" w:rsidRPr="00005453" w14:paraId="3E0C1A6D" w14:textId="77777777" w:rsidTr="001917A9">
        <w:trPr>
          <w:divId w:val="4867389"/>
          <w:trHeight w:val="56"/>
        </w:trPr>
        <w:tc>
          <w:tcPr>
            <w:tcW w:w="2794" w:type="dxa"/>
            <w:tcBorders>
              <w:top w:val="nil"/>
              <w:left w:val="nil"/>
              <w:bottom w:val="nil"/>
              <w:right w:val="nil"/>
            </w:tcBorders>
            <w:shd w:val="clear" w:color="auto" w:fill="auto"/>
            <w:vAlign w:val="center"/>
            <w:hideMark/>
          </w:tcPr>
          <w:p w14:paraId="280AB5FC" w14:textId="77777777" w:rsidR="001917A9" w:rsidRPr="00005453" w:rsidRDefault="001917A9" w:rsidP="001917A9">
            <w:pPr>
              <w:rPr>
                <w:color w:val="000000"/>
                <w:sz w:val="18"/>
                <w:szCs w:val="18"/>
                <w:lang w:eastAsia="tr-TR"/>
              </w:rPr>
            </w:pPr>
            <w:r w:rsidRPr="00005453">
              <w:rPr>
                <w:color w:val="000000"/>
                <w:sz w:val="18"/>
                <w:szCs w:val="18"/>
                <w:lang w:eastAsia="tr-TR"/>
              </w:rPr>
              <w:t>Ulaştırma ve Haberleşme</w:t>
            </w:r>
          </w:p>
        </w:tc>
        <w:tc>
          <w:tcPr>
            <w:tcW w:w="2876" w:type="dxa"/>
            <w:tcBorders>
              <w:top w:val="nil"/>
              <w:left w:val="nil"/>
              <w:bottom w:val="nil"/>
              <w:right w:val="nil"/>
            </w:tcBorders>
            <w:shd w:val="clear" w:color="auto" w:fill="auto"/>
            <w:vAlign w:val="center"/>
            <w:hideMark/>
          </w:tcPr>
          <w:p w14:paraId="3DF4406A" w14:textId="288FA4F4" w:rsidR="001917A9" w:rsidRPr="00005453" w:rsidRDefault="001917A9" w:rsidP="001917A9">
            <w:pPr>
              <w:jc w:val="right"/>
              <w:rPr>
                <w:color w:val="000000"/>
                <w:sz w:val="18"/>
                <w:szCs w:val="18"/>
                <w:lang w:eastAsia="tr-TR"/>
              </w:rPr>
            </w:pPr>
            <w:r w:rsidRPr="00005453">
              <w:rPr>
                <w:color w:val="000000"/>
                <w:sz w:val="18"/>
                <w:szCs w:val="18"/>
              </w:rPr>
              <w:t>1,111,755</w:t>
            </w:r>
          </w:p>
        </w:tc>
        <w:tc>
          <w:tcPr>
            <w:tcW w:w="2127" w:type="dxa"/>
            <w:gridSpan w:val="2"/>
            <w:tcBorders>
              <w:top w:val="nil"/>
              <w:left w:val="nil"/>
              <w:bottom w:val="nil"/>
              <w:right w:val="nil"/>
            </w:tcBorders>
            <w:shd w:val="clear" w:color="auto" w:fill="auto"/>
            <w:vAlign w:val="center"/>
            <w:hideMark/>
          </w:tcPr>
          <w:p w14:paraId="5E58015E" w14:textId="0D918113" w:rsidR="001917A9" w:rsidRPr="00005453" w:rsidRDefault="001917A9" w:rsidP="001917A9">
            <w:pPr>
              <w:jc w:val="right"/>
              <w:rPr>
                <w:color w:val="000000"/>
                <w:sz w:val="18"/>
                <w:szCs w:val="18"/>
                <w:lang w:eastAsia="tr-TR"/>
              </w:rPr>
            </w:pPr>
            <w:r w:rsidRPr="00005453">
              <w:rPr>
                <w:color w:val="000000"/>
                <w:sz w:val="18"/>
                <w:szCs w:val="18"/>
              </w:rPr>
              <w:t>548,557</w:t>
            </w:r>
          </w:p>
        </w:tc>
        <w:tc>
          <w:tcPr>
            <w:tcW w:w="2020" w:type="dxa"/>
            <w:tcBorders>
              <w:top w:val="nil"/>
              <w:left w:val="nil"/>
              <w:bottom w:val="nil"/>
              <w:right w:val="nil"/>
            </w:tcBorders>
            <w:shd w:val="clear" w:color="auto" w:fill="auto"/>
            <w:vAlign w:val="center"/>
            <w:hideMark/>
          </w:tcPr>
          <w:p w14:paraId="71394B56" w14:textId="0FA00FF3" w:rsidR="001917A9" w:rsidRPr="00005453" w:rsidRDefault="001917A9" w:rsidP="001917A9">
            <w:pPr>
              <w:jc w:val="right"/>
              <w:rPr>
                <w:color w:val="000000"/>
                <w:sz w:val="18"/>
                <w:szCs w:val="18"/>
                <w:lang w:eastAsia="tr-TR"/>
              </w:rPr>
            </w:pPr>
            <w:r w:rsidRPr="00005453">
              <w:rPr>
                <w:color w:val="000000"/>
                <w:sz w:val="18"/>
                <w:szCs w:val="18"/>
              </w:rPr>
              <w:t>487,447</w:t>
            </w:r>
          </w:p>
        </w:tc>
      </w:tr>
      <w:tr w:rsidR="001917A9" w:rsidRPr="00005453" w14:paraId="2D2E6D56" w14:textId="77777777" w:rsidTr="001917A9">
        <w:trPr>
          <w:divId w:val="4867389"/>
          <w:trHeight w:val="233"/>
        </w:trPr>
        <w:tc>
          <w:tcPr>
            <w:tcW w:w="2794" w:type="dxa"/>
            <w:tcBorders>
              <w:top w:val="nil"/>
              <w:left w:val="nil"/>
              <w:bottom w:val="nil"/>
              <w:right w:val="nil"/>
            </w:tcBorders>
            <w:shd w:val="clear" w:color="auto" w:fill="auto"/>
            <w:vAlign w:val="center"/>
            <w:hideMark/>
          </w:tcPr>
          <w:p w14:paraId="715EAEEC" w14:textId="77777777" w:rsidR="001917A9" w:rsidRPr="00005453" w:rsidRDefault="001917A9" w:rsidP="001917A9">
            <w:pPr>
              <w:rPr>
                <w:color w:val="000000"/>
                <w:sz w:val="18"/>
                <w:szCs w:val="18"/>
                <w:lang w:eastAsia="tr-TR"/>
              </w:rPr>
            </w:pPr>
            <w:r w:rsidRPr="00005453">
              <w:rPr>
                <w:color w:val="000000"/>
                <w:sz w:val="18"/>
                <w:szCs w:val="18"/>
                <w:lang w:eastAsia="tr-TR"/>
              </w:rPr>
              <w:t>Mali Kuruluşlar</w:t>
            </w:r>
          </w:p>
        </w:tc>
        <w:tc>
          <w:tcPr>
            <w:tcW w:w="2876" w:type="dxa"/>
            <w:tcBorders>
              <w:top w:val="nil"/>
              <w:left w:val="nil"/>
              <w:bottom w:val="nil"/>
              <w:right w:val="nil"/>
            </w:tcBorders>
            <w:shd w:val="clear" w:color="auto" w:fill="auto"/>
            <w:vAlign w:val="center"/>
            <w:hideMark/>
          </w:tcPr>
          <w:p w14:paraId="58698014" w14:textId="68D43959" w:rsidR="001917A9" w:rsidRPr="00005453" w:rsidRDefault="001917A9" w:rsidP="001917A9">
            <w:pPr>
              <w:jc w:val="right"/>
              <w:rPr>
                <w:color w:val="000000"/>
                <w:sz w:val="18"/>
                <w:szCs w:val="18"/>
                <w:lang w:eastAsia="tr-TR"/>
              </w:rPr>
            </w:pPr>
            <w:r w:rsidRPr="00005453">
              <w:rPr>
                <w:color w:val="000000"/>
                <w:sz w:val="18"/>
                <w:szCs w:val="18"/>
              </w:rPr>
              <w:t>1,599</w:t>
            </w:r>
          </w:p>
        </w:tc>
        <w:tc>
          <w:tcPr>
            <w:tcW w:w="2127" w:type="dxa"/>
            <w:gridSpan w:val="2"/>
            <w:tcBorders>
              <w:top w:val="nil"/>
              <w:left w:val="nil"/>
              <w:bottom w:val="nil"/>
              <w:right w:val="nil"/>
            </w:tcBorders>
            <w:shd w:val="clear" w:color="auto" w:fill="auto"/>
            <w:vAlign w:val="center"/>
            <w:hideMark/>
          </w:tcPr>
          <w:p w14:paraId="62637247" w14:textId="60435768" w:rsidR="001917A9" w:rsidRPr="00005453" w:rsidRDefault="001917A9" w:rsidP="001917A9">
            <w:pPr>
              <w:jc w:val="right"/>
              <w:rPr>
                <w:color w:val="000000"/>
                <w:sz w:val="18"/>
                <w:szCs w:val="18"/>
                <w:lang w:eastAsia="tr-TR"/>
              </w:rPr>
            </w:pPr>
            <w:r w:rsidRPr="00005453">
              <w:rPr>
                <w:color w:val="000000"/>
                <w:sz w:val="18"/>
                <w:szCs w:val="18"/>
              </w:rPr>
              <w:t>193,113</w:t>
            </w:r>
          </w:p>
        </w:tc>
        <w:tc>
          <w:tcPr>
            <w:tcW w:w="2020" w:type="dxa"/>
            <w:tcBorders>
              <w:top w:val="nil"/>
              <w:left w:val="nil"/>
              <w:bottom w:val="nil"/>
              <w:right w:val="nil"/>
            </w:tcBorders>
            <w:shd w:val="clear" w:color="auto" w:fill="auto"/>
            <w:vAlign w:val="center"/>
            <w:hideMark/>
          </w:tcPr>
          <w:p w14:paraId="1C240708" w14:textId="62CAFEE5" w:rsidR="001917A9" w:rsidRPr="00005453" w:rsidRDefault="001917A9" w:rsidP="001917A9">
            <w:pPr>
              <w:jc w:val="right"/>
              <w:rPr>
                <w:color w:val="000000"/>
                <w:sz w:val="18"/>
                <w:szCs w:val="18"/>
                <w:lang w:eastAsia="tr-TR"/>
              </w:rPr>
            </w:pPr>
            <w:r w:rsidRPr="00005453">
              <w:rPr>
                <w:color w:val="000000"/>
                <w:sz w:val="18"/>
                <w:szCs w:val="18"/>
              </w:rPr>
              <w:t>31</w:t>
            </w:r>
          </w:p>
        </w:tc>
      </w:tr>
      <w:tr w:rsidR="001917A9" w:rsidRPr="00005453" w14:paraId="79A8C7C8" w14:textId="77777777" w:rsidTr="001917A9">
        <w:trPr>
          <w:divId w:val="4867389"/>
          <w:trHeight w:val="56"/>
        </w:trPr>
        <w:tc>
          <w:tcPr>
            <w:tcW w:w="2794" w:type="dxa"/>
            <w:tcBorders>
              <w:top w:val="nil"/>
              <w:left w:val="nil"/>
              <w:bottom w:val="nil"/>
              <w:right w:val="nil"/>
            </w:tcBorders>
            <w:shd w:val="clear" w:color="auto" w:fill="auto"/>
            <w:vAlign w:val="center"/>
            <w:hideMark/>
          </w:tcPr>
          <w:p w14:paraId="69255541" w14:textId="77777777" w:rsidR="001917A9" w:rsidRPr="00005453" w:rsidRDefault="001917A9" w:rsidP="001917A9">
            <w:pPr>
              <w:rPr>
                <w:color w:val="000000"/>
                <w:sz w:val="18"/>
                <w:szCs w:val="18"/>
                <w:lang w:eastAsia="tr-TR"/>
              </w:rPr>
            </w:pPr>
            <w:r w:rsidRPr="00005453">
              <w:rPr>
                <w:color w:val="000000"/>
                <w:sz w:val="18"/>
                <w:szCs w:val="18"/>
                <w:lang w:eastAsia="tr-TR"/>
              </w:rPr>
              <w:t>Gayrimenkul ve Kira. Hizm.</w:t>
            </w:r>
          </w:p>
        </w:tc>
        <w:tc>
          <w:tcPr>
            <w:tcW w:w="2876" w:type="dxa"/>
            <w:tcBorders>
              <w:top w:val="nil"/>
              <w:left w:val="nil"/>
              <w:bottom w:val="nil"/>
              <w:right w:val="nil"/>
            </w:tcBorders>
            <w:shd w:val="clear" w:color="auto" w:fill="auto"/>
            <w:vAlign w:val="center"/>
            <w:hideMark/>
          </w:tcPr>
          <w:p w14:paraId="584496B9" w14:textId="71A45616" w:rsidR="001917A9" w:rsidRPr="00005453" w:rsidRDefault="001917A9" w:rsidP="001917A9">
            <w:pPr>
              <w:jc w:val="right"/>
              <w:rPr>
                <w:color w:val="000000"/>
                <w:sz w:val="18"/>
                <w:szCs w:val="18"/>
                <w:lang w:eastAsia="tr-TR"/>
              </w:rPr>
            </w:pPr>
            <w:r w:rsidRPr="00005453">
              <w:rPr>
                <w:color w:val="000000"/>
                <w:sz w:val="18"/>
                <w:szCs w:val="18"/>
              </w:rPr>
              <w:t>1,078,804</w:t>
            </w:r>
          </w:p>
        </w:tc>
        <w:tc>
          <w:tcPr>
            <w:tcW w:w="2127" w:type="dxa"/>
            <w:gridSpan w:val="2"/>
            <w:tcBorders>
              <w:top w:val="nil"/>
              <w:left w:val="nil"/>
              <w:bottom w:val="nil"/>
              <w:right w:val="nil"/>
            </w:tcBorders>
            <w:shd w:val="clear" w:color="auto" w:fill="auto"/>
            <w:vAlign w:val="center"/>
            <w:hideMark/>
          </w:tcPr>
          <w:p w14:paraId="5A571790" w14:textId="105ACE1B" w:rsidR="001917A9" w:rsidRPr="00005453" w:rsidRDefault="001917A9" w:rsidP="001917A9">
            <w:pPr>
              <w:jc w:val="right"/>
              <w:rPr>
                <w:color w:val="000000"/>
                <w:sz w:val="18"/>
                <w:szCs w:val="18"/>
                <w:lang w:eastAsia="tr-TR"/>
              </w:rPr>
            </w:pPr>
            <w:r w:rsidRPr="00005453">
              <w:rPr>
                <w:color w:val="000000"/>
                <w:sz w:val="18"/>
                <w:szCs w:val="18"/>
              </w:rPr>
              <w:t>292,369</w:t>
            </w:r>
          </w:p>
        </w:tc>
        <w:tc>
          <w:tcPr>
            <w:tcW w:w="2020" w:type="dxa"/>
            <w:tcBorders>
              <w:top w:val="nil"/>
              <w:left w:val="nil"/>
              <w:bottom w:val="nil"/>
              <w:right w:val="nil"/>
            </w:tcBorders>
            <w:shd w:val="clear" w:color="auto" w:fill="auto"/>
            <w:vAlign w:val="center"/>
            <w:hideMark/>
          </w:tcPr>
          <w:p w14:paraId="5A2FDFC7" w14:textId="034A1C45" w:rsidR="001917A9" w:rsidRPr="00005453" w:rsidRDefault="001917A9" w:rsidP="001917A9">
            <w:pPr>
              <w:jc w:val="right"/>
              <w:rPr>
                <w:color w:val="000000"/>
                <w:sz w:val="18"/>
                <w:szCs w:val="18"/>
                <w:lang w:eastAsia="tr-TR"/>
              </w:rPr>
            </w:pPr>
            <w:r w:rsidRPr="00005453">
              <w:rPr>
                <w:color w:val="000000"/>
                <w:sz w:val="18"/>
                <w:szCs w:val="18"/>
              </w:rPr>
              <w:t>708,716</w:t>
            </w:r>
          </w:p>
        </w:tc>
      </w:tr>
      <w:tr w:rsidR="001917A9" w:rsidRPr="00005453" w14:paraId="18FD1BA6" w14:textId="77777777" w:rsidTr="001917A9">
        <w:trPr>
          <w:divId w:val="4867389"/>
          <w:trHeight w:val="117"/>
        </w:trPr>
        <w:tc>
          <w:tcPr>
            <w:tcW w:w="2794" w:type="dxa"/>
            <w:tcBorders>
              <w:top w:val="nil"/>
              <w:left w:val="nil"/>
              <w:bottom w:val="nil"/>
              <w:right w:val="nil"/>
            </w:tcBorders>
            <w:shd w:val="clear" w:color="auto" w:fill="auto"/>
            <w:vAlign w:val="center"/>
            <w:hideMark/>
          </w:tcPr>
          <w:p w14:paraId="5B053279" w14:textId="77777777" w:rsidR="001917A9" w:rsidRPr="00005453" w:rsidRDefault="001917A9" w:rsidP="001917A9">
            <w:pPr>
              <w:rPr>
                <w:color w:val="000000"/>
                <w:sz w:val="18"/>
                <w:szCs w:val="18"/>
                <w:lang w:eastAsia="tr-TR"/>
              </w:rPr>
            </w:pPr>
            <w:r w:rsidRPr="00005453">
              <w:rPr>
                <w:color w:val="000000"/>
                <w:sz w:val="18"/>
                <w:szCs w:val="18"/>
                <w:lang w:eastAsia="tr-TR"/>
              </w:rPr>
              <w:t>Serbest Meslek Hizmetleri</w:t>
            </w:r>
          </w:p>
        </w:tc>
        <w:tc>
          <w:tcPr>
            <w:tcW w:w="2876" w:type="dxa"/>
            <w:tcBorders>
              <w:top w:val="nil"/>
              <w:left w:val="nil"/>
              <w:bottom w:val="nil"/>
              <w:right w:val="nil"/>
            </w:tcBorders>
            <w:shd w:val="clear" w:color="auto" w:fill="auto"/>
            <w:vAlign w:val="center"/>
            <w:hideMark/>
          </w:tcPr>
          <w:p w14:paraId="716E3EAB" w14:textId="0BDB7B11" w:rsidR="001917A9" w:rsidRPr="00005453" w:rsidRDefault="001917A9" w:rsidP="001917A9">
            <w:pPr>
              <w:jc w:val="right"/>
              <w:rPr>
                <w:color w:val="000000"/>
                <w:sz w:val="18"/>
                <w:szCs w:val="18"/>
                <w:lang w:eastAsia="tr-TR"/>
              </w:rPr>
            </w:pPr>
            <w:r w:rsidRPr="00005453">
              <w:rPr>
                <w:color w:val="000000"/>
                <w:sz w:val="18"/>
                <w:szCs w:val="18"/>
              </w:rPr>
              <w:t>817</w:t>
            </w:r>
          </w:p>
        </w:tc>
        <w:tc>
          <w:tcPr>
            <w:tcW w:w="2127" w:type="dxa"/>
            <w:gridSpan w:val="2"/>
            <w:tcBorders>
              <w:top w:val="nil"/>
              <w:left w:val="nil"/>
              <w:bottom w:val="nil"/>
              <w:right w:val="nil"/>
            </w:tcBorders>
            <w:shd w:val="clear" w:color="auto" w:fill="auto"/>
            <w:vAlign w:val="center"/>
            <w:hideMark/>
          </w:tcPr>
          <w:p w14:paraId="2D6729D9" w14:textId="4EE1E8B9" w:rsidR="001917A9" w:rsidRPr="00005453" w:rsidRDefault="001917A9" w:rsidP="001917A9">
            <w:pPr>
              <w:jc w:val="right"/>
              <w:rPr>
                <w:color w:val="000000"/>
                <w:sz w:val="18"/>
                <w:szCs w:val="18"/>
                <w:lang w:eastAsia="tr-TR"/>
              </w:rPr>
            </w:pPr>
            <w:r w:rsidRPr="00005453">
              <w:rPr>
                <w:color w:val="000000"/>
                <w:sz w:val="18"/>
                <w:szCs w:val="18"/>
              </w:rPr>
              <w:t>-</w:t>
            </w:r>
          </w:p>
        </w:tc>
        <w:tc>
          <w:tcPr>
            <w:tcW w:w="2020" w:type="dxa"/>
            <w:tcBorders>
              <w:top w:val="nil"/>
              <w:left w:val="nil"/>
              <w:bottom w:val="nil"/>
              <w:right w:val="nil"/>
            </w:tcBorders>
            <w:shd w:val="clear" w:color="auto" w:fill="auto"/>
            <w:vAlign w:val="center"/>
            <w:hideMark/>
          </w:tcPr>
          <w:p w14:paraId="69BD29E5" w14:textId="4DBB333D" w:rsidR="001917A9" w:rsidRPr="00005453" w:rsidRDefault="001917A9" w:rsidP="001917A9">
            <w:pPr>
              <w:jc w:val="right"/>
              <w:rPr>
                <w:color w:val="000000"/>
                <w:sz w:val="18"/>
                <w:szCs w:val="18"/>
                <w:lang w:eastAsia="tr-TR"/>
              </w:rPr>
            </w:pPr>
            <w:r w:rsidRPr="00005453">
              <w:rPr>
                <w:color w:val="000000"/>
                <w:sz w:val="18"/>
                <w:szCs w:val="18"/>
              </w:rPr>
              <w:t>3,802</w:t>
            </w:r>
          </w:p>
        </w:tc>
      </w:tr>
      <w:tr w:rsidR="001917A9" w:rsidRPr="00005453" w14:paraId="1AC42EE9" w14:textId="77777777" w:rsidTr="001917A9">
        <w:trPr>
          <w:divId w:val="4867389"/>
          <w:trHeight w:val="56"/>
        </w:trPr>
        <w:tc>
          <w:tcPr>
            <w:tcW w:w="2794" w:type="dxa"/>
            <w:tcBorders>
              <w:top w:val="nil"/>
              <w:left w:val="nil"/>
              <w:bottom w:val="nil"/>
              <w:right w:val="nil"/>
            </w:tcBorders>
            <w:shd w:val="clear" w:color="auto" w:fill="auto"/>
            <w:vAlign w:val="center"/>
            <w:hideMark/>
          </w:tcPr>
          <w:p w14:paraId="411A6088" w14:textId="77777777" w:rsidR="001917A9" w:rsidRPr="00005453" w:rsidRDefault="001917A9" w:rsidP="001917A9">
            <w:pPr>
              <w:rPr>
                <w:color w:val="000000"/>
                <w:sz w:val="18"/>
                <w:szCs w:val="18"/>
                <w:lang w:eastAsia="tr-TR"/>
              </w:rPr>
            </w:pPr>
            <w:r w:rsidRPr="00005453">
              <w:rPr>
                <w:color w:val="000000"/>
                <w:sz w:val="18"/>
                <w:szCs w:val="18"/>
                <w:lang w:eastAsia="tr-TR"/>
              </w:rPr>
              <w:t>Eğitim Hizmetleri</w:t>
            </w:r>
          </w:p>
        </w:tc>
        <w:tc>
          <w:tcPr>
            <w:tcW w:w="2876" w:type="dxa"/>
            <w:tcBorders>
              <w:top w:val="nil"/>
              <w:left w:val="nil"/>
              <w:bottom w:val="nil"/>
              <w:right w:val="nil"/>
            </w:tcBorders>
            <w:shd w:val="clear" w:color="auto" w:fill="auto"/>
            <w:vAlign w:val="center"/>
            <w:hideMark/>
          </w:tcPr>
          <w:p w14:paraId="2BF62836" w14:textId="0034D91B" w:rsidR="001917A9" w:rsidRPr="00005453" w:rsidRDefault="001917A9" w:rsidP="001917A9">
            <w:pPr>
              <w:jc w:val="right"/>
              <w:rPr>
                <w:color w:val="000000"/>
                <w:sz w:val="18"/>
                <w:szCs w:val="18"/>
                <w:lang w:eastAsia="tr-TR"/>
              </w:rPr>
            </w:pPr>
            <w:r w:rsidRPr="00005453">
              <w:rPr>
                <w:color w:val="000000"/>
                <w:sz w:val="18"/>
                <w:szCs w:val="18"/>
              </w:rPr>
              <w:t>161,407</w:t>
            </w:r>
          </w:p>
        </w:tc>
        <w:tc>
          <w:tcPr>
            <w:tcW w:w="2127" w:type="dxa"/>
            <w:gridSpan w:val="2"/>
            <w:tcBorders>
              <w:top w:val="nil"/>
              <w:left w:val="nil"/>
              <w:bottom w:val="nil"/>
              <w:right w:val="nil"/>
            </w:tcBorders>
            <w:shd w:val="clear" w:color="auto" w:fill="auto"/>
            <w:vAlign w:val="center"/>
            <w:hideMark/>
          </w:tcPr>
          <w:p w14:paraId="1D715B30" w14:textId="0174039C" w:rsidR="001917A9" w:rsidRPr="00005453" w:rsidRDefault="001917A9" w:rsidP="001917A9">
            <w:pPr>
              <w:jc w:val="right"/>
              <w:rPr>
                <w:color w:val="000000"/>
                <w:sz w:val="18"/>
                <w:szCs w:val="18"/>
                <w:lang w:eastAsia="tr-TR"/>
              </w:rPr>
            </w:pPr>
            <w:r w:rsidRPr="00005453">
              <w:rPr>
                <w:color w:val="000000"/>
                <w:sz w:val="18"/>
                <w:szCs w:val="18"/>
              </w:rPr>
              <w:t>1,233</w:t>
            </w:r>
          </w:p>
        </w:tc>
        <w:tc>
          <w:tcPr>
            <w:tcW w:w="2020" w:type="dxa"/>
            <w:tcBorders>
              <w:top w:val="nil"/>
              <w:left w:val="nil"/>
              <w:bottom w:val="nil"/>
              <w:right w:val="nil"/>
            </w:tcBorders>
            <w:shd w:val="clear" w:color="auto" w:fill="auto"/>
            <w:vAlign w:val="center"/>
            <w:hideMark/>
          </w:tcPr>
          <w:p w14:paraId="20C4036D" w14:textId="5AAECA46" w:rsidR="001917A9" w:rsidRPr="00005453" w:rsidRDefault="001917A9" w:rsidP="001917A9">
            <w:pPr>
              <w:jc w:val="right"/>
              <w:rPr>
                <w:color w:val="000000"/>
                <w:sz w:val="18"/>
                <w:szCs w:val="18"/>
                <w:lang w:eastAsia="tr-TR"/>
              </w:rPr>
            </w:pPr>
            <w:r w:rsidRPr="00005453">
              <w:rPr>
                <w:color w:val="000000"/>
                <w:sz w:val="18"/>
                <w:szCs w:val="18"/>
              </w:rPr>
              <w:t>108,444</w:t>
            </w:r>
          </w:p>
        </w:tc>
      </w:tr>
      <w:tr w:rsidR="001917A9" w:rsidRPr="00005453" w14:paraId="39C3C41C" w14:textId="77777777" w:rsidTr="001917A9">
        <w:trPr>
          <w:divId w:val="4867389"/>
          <w:trHeight w:val="124"/>
        </w:trPr>
        <w:tc>
          <w:tcPr>
            <w:tcW w:w="2794" w:type="dxa"/>
            <w:tcBorders>
              <w:top w:val="nil"/>
              <w:left w:val="nil"/>
              <w:bottom w:val="nil"/>
              <w:right w:val="nil"/>
            </w:tcBorders>
            <w:shd w:val="clear" w:color="auto" w:fill="auto"/>
            <w:vAlign w:val="center"/>
            <w:hideMark/>
          </w:tcPr>
          <w:p w14:paraId="734870F7" w14:textId="77777777" w:rsidR="001917A9" w:rsidRPr="00005453" w:rsidRDefault="001917A9" w:rsidP="001917A9">
            <w:pPr>
              <w:rPr>
                <w:color w:val="000000"/>
                <w:sz w:val="18"/>
                <w:szCs w:val="18"/>
                <w:lang w:eastAsia="tr-TR"/>
              </w:rPr>
            </w:pPr>
            <w:r w:rsidRPr="00005453">
              <w:rPr>
                <w:color w:val="000000"/>
                <w:sz w:val="18"/>
                <w:szCs w:val="18"/>
                <w:lang w:eastAsia="tr-TR"/>
              </w:rPr>
              <w:t>Sağlık ve Sosyal Hizmetler</w:t>
            </w:r>
          </w:p>
        </w:tc>
        <w:tc>
          <w:tcPr>
            <w:tcW w:w="2876" w:type="dxa"/>
            <w:tcBorders>
              <w:top w:val="nil"/>
              <w:left w:val="nil"/>
              <w:bottom w:val="nil"/>
              <w:right w:val="nil"/>
            </w:tcBorders>
            <w:shd w:val="clear" w:color="auto" w:fill="auto"/>
            <w:vAlign w:val="center"/>
            <w:hideMark/>
          </w:tcPr>
          <w:p w14:paraId="3D22A925" w14:textId="61C2B0BB" w:rsidR="001917A9" w:rsidRPr="00005453" w:rsidRDefault="001917A9" w:rsidP="001917A9">
            <w:pPr>
              <w:jc w:val="right"/>
              <w:rPr>
                <w:color w:val="000000"/>
                <w:sz w:val="18"/>
                <w:szCs w:val="18"/>
                <w:lang w:eastAsia="tr-TR"/>
              </w:rPr>
            </w:pPr>
            <w:r w:rsidRPr="00005453">
              <w:rPr>
                <w:color w:val="000000"/>
                <w:sz w:val="18"/>
                <w:szCs w:val="18"/>
              </w:rPr>
              <w:t>604,836</w:t>
            </w:r>
          </w:p>
        </w:tc>
        <w:tc>
          <w:tcPr>
            <w:tcW w:w="2127" w:type="dxa"/>
            <w:gridSpan w:val="2"/>
            <w:tcBorders>
              <w:top w:val="nil"/>
              <w:left w:val="nil"/>
              <w:bottom w:val="nil"/>
              <w:right w:val="nil"/>
            </w:tcBorders>
            <w:shd w:val="clear" w:color="auto" w:fill="auto"/>
            <w:vAlign w:val="center"/>
            <w:hideMark/>
          </w:tcPr>
          <w:p w14:paraId="75BFBC31" w14:textId="5B6A8840" w:rsidR="001917A9" w:rsidRPr="00005453" w:rsidRDefault="001917A9" w:rsidP="001917A9">
            <w:pPr>
              <w:jc w:val="right"/>
              <w:rPr>
                <w:color w:val="000000"/>
                <w:sz w:val="18"/>
                <w:szCs w:val="18"/>
                <w:lang w:eastAsia="tr-TR"/>
              </w:rPr>
            </w:pPr>
            <w:r w:rsidRPr="00005453">
              <w:rPr>
                <w:color w:val="000000"/>
                <w:sz w:val="18"/>
                <w:szCs w:val="18"/>
              </w:rPr>
              <w:t>86,074</w:t>
            </w:r>
          </w:p>
        </w:tc>
        <w:tc>
          <w:tcPr>
            <w:tcW w:w="2020" w:type="dxa"/>
            <w:tcBorders>
              <w:top w:val="nil"/>
              <w:left w:val="nil"/>
              <w:bottom w:val="nil"/>
              <w:right w:val="nil"/>
            </w:tcBorders>
            <w:shd w:val="clear" w:color="auto" w:fill="auto"/>
            <w:vAlign w:val="center"/>
            <w:hideMark/>
          </w:tcPr>
          <w:p w14:paraId="57A39624" w14:textId="2EC1B9BB" w:rsidR="001917A9" w:rsidRPr="00005453" w:rsidRDefault="001917A9" w:rsidP="001917A9">
            <w:pPr>
              <w:jc w:val="right"/>
              <w:rPr>
                <w:color w:val="000000"/>
                <w:sz w:val="18"/>
                <w:szCs w:val="18"/>
                <w:lang w:eastAsia="tr-TR"/>
              </w:rPr>
            </w:pPr>
            <w:r w:rsidRPr="00005453">
              <w:rPr>
                <w:color w:val="000000"/>
                <w:sz w:val="18"/>
                <w:szCs w:val="18"/>
              </w:rPr>
              <w:t>107,995</w:t>
            </w:r>
          </w:p>
        </w:tc>
      </w:tr>
      <w:tr w:rsidR="001917A9" w:rsidRPr="00005453" w14:paraId="4F618595" w14:textId="77777777" w:rsidTr="001917A9">
        <w:trPr>
          <w:divId w:val="4867389"/>
          <w:trHeight w:val="152"/>
        </w:trPr>
        <w:tc>
          <w:tcPr>
            <w:tcW w:w="2794" w:type="dxa"/>
            <w:tcBorders>
              <w:top w:val="nil"/>
              <w:left w:val="nil"/>
              <w:bottom w:val="single" w:sz="8" w:space="0" w:color="auto"/>
              <w:right w:val="nil"/>
            </w:tcBorders>
            <w:shd w:val="clear" w:color="auto" w:fill="auto"/>
            <w:vAlign w:val="center"/>
            <w:hideMark/>
          </w:tcPr>
          <w:p w14:paraId="264748A1" w14:textId="77777777" w:rsidR="001917A9" w:rsidRPr="00005453" w:rsidRDefault="001917A9" w:rsidP="001917A9">
            <w:pPr>
              <w:rPr>
                <w:b/>
                <w:bCs/>
                <w:color w:val="000000"/>
                <w:sz w:val="18"/>
                <w:szCs w:val="18"/>
                <w:lang w:eastAsia="tr-TR"/>
              </w:rPr>
            </w:pPr>
            <w:r w:rsidRPr="00005453">
              <w:rPr>
                <w:b/>
                <w:bCs/>
                <w:color w:val="000000"/>
                <w:sz w:val="18"/>
                <w:szCs w:val="18"/>
                <w:lang w:eastAsia="tr-TR"/>
              </w:rPr>
              <w:t>Diğer</w:t>
            </w:r>
          </w:p>
        </w:tc>
        <w:tc>
          <w:tcPr>
            <w:tcW w:w="2876" w:type="dxa"/>
            <w:tcBorders>
              <w:top w:val="nil"/>
              <w:left w:val="nil"/>
              <w:bottom w:val="single" w:sz="8" w:space="0" w:color="auto"/>
              <w:right w:val="nil"/>
            </w:tcBorders>
            <w:shd w:val="clear" w:color="auto" w:fill="auto"/>
            <w:vAlign w:val="center"/>
            <w:hideMark/>
          </w:tcPr>
          <w:p w14:paraId="17BA15E4" w14:textId="4CC1421E" w:rsidR="001917A9" w:rsidRPr="00005453" w:rsidRDefault="001917A9" w:rsidP="001917A9">
            <w:pPr>
              <w:jc w:val="right"/>
              <w:rPr>
                <w:b/>
                <w:bCs/>
                <w:color w:val="000000"/>
                <w:sz w:val="18"/>
                <w:szCs w:val="18"/>
                <w:lang w:eastAsia="tr-TR"/>
              </w:rPr>
            </w:pPr>
            <w:r w:rsidRPr="00005453">
              <w:rPr>
                <w:b/>
                <w:bCs/>
                <w:color w:val="000000"/>
                <w:sz w:val="18"/>
                <w:szCs w:val="18"/>
              </w:rPr>
              <w:t>6,436,256</w:t>
            </w:r>
          </w:p>
        </w:tc>
        <w:tc>
          <w:tcPr>
            <w:tcW w:w="2127" w:type="dxa"/>
            <w:gridSpan w:val="2"/>
            <w:tcBorders>
              <w:top w:val="nil"/>
              <w:left w:val="nil"/>
              <w:bottom w:val="single" w:sz="8" w:space="0" w:color="auto"/>
              <w:right w:val="nil"/>
            </w:tcBorders>
            <w:shd w:val="clear" w:color="auto" w:fill="auto"/>
            <w:vAlign w:val="center"/>
            <w:hideMark/>
          </w:tcPr>
          <w:p w14:paraId="58E697A8" w14:textId="356412A8" w:rsidR="001917A9" w:rsidRPr="00005453" w:rsidRDefault="001917A9" w:rsidP="001917A9">
            <w:pPr>
              <w:jc w:val="right"/>
              <w:rPr>
                <w:b/>
                <w:bCs/>
                <w:color w:val="000000"/>
                <w:sz w:val="18"/>
                <w:szCs w:val="18"/>
                <w:lang w:eastAsia="tr-TR"/>
              </w:rPr>
            </w:pPr>
            <w:r w:rsidRPr="00005453">
              <w:rPr>
                <w:b/>
                <w:bCs/>
                <w:color w:val="000000"/>
                <w:sz w:val="18"/>
                <w:szCs w:val="18"/>
              </w:rPr>
              <w:t>926,915</w:t>
            </w:r>
          </w:p>
        </w:tc>
        <w:tc>
          <w:tcPr>
            <w:tcW w:w="2020" w:type="dxa"/>
            <w:tcBorders>
              <w:top w:val="nil"/>
              <w:left w:val="nil"/>
              <w:bottom w:val="single" w:sz="8" w:space="0" w:color="auto"/>
              <w:right w:val="nil"/>
            </w:tcBorders>
            <w:shd w:val="clear" w:color="auto" w:fill="auto"/>
            <w:vAlign w:val="center"/>
            <w:hideMark/>
          </w:tcPr>
          <w:p w14:paraId="2154DAFB" w14:textId="57BE8CAF" w:rsidR="001917A9" w:rsidRPr="00005453" w:rsidRDefault="001917A9" w:rsidP="001917A9">
            <w:pPr>
              <w:jc w:val="right"/>
              <w:rPr>
                <w:b/>
                <w:bCs/>
                <w:color w:val="000000"/>
                <w:sz w:val="18"/>
                <w:szCs w:val="18"/>
                <w:lang w:eastAsia="tr-TR"/>
              </w:rPr>
            </w:pPr>
            <w:r w:rsidRPr="00005453">
              <w:rPr>
                <w:b/>
                <w:bCs/>
                <w:color w:val="000000"/>
                <w:sz w:val="18"/>
                <w:szCs w:val="18"/>
              </w:rPr>
              <w:t>1,600,734</w:t>
            </w:r>
          </w:p>
        </w:tc>
      </w:tr>
      <w:tr w:rsidR="001917A9" w:rsidRPr="00005453" w14:paraId="360838D0" w14:textId="77777777" w:rsidTr="001917A9">
        <w:trPr>
          <w:divId w:val="4867389"/>
          <w:trHeight w:val="152"/>
        </w:trPr>
        <w:tc>
          <w:tcPr>
            <w:tcW w:w="2794" w:type="dxa"/>
            <w:tcBorders>
              <w:top w:val="nil"/>
              <w:left w:val="nil"/>
              <w:bottom w:val="double" w:sz="6" w:space="0" w:color="auto"/>
              <w:right w:val="nil"/>
            </w:tcBorders>
            <w:shd w:val="clear" w:color="auto" w:fill="auto"/>
            <w:vAlign w:val="center"/>
            <w:hideMark/>
          </w:tcPr>
          <w:p w14:paraId="6B4E7A05" w14:textId="77777777" w:rsidR="001917A9" w:rsidRPr="00005453" w:rsidRDefault="001917A9" w:rsidP="001917A9">
            <w:pPr>
              <w:rPr>
                <w:b/>
                <w:bCs/>
                <w:color w:val="000000"/>
                <w:sz w:val="18"/>
                <w:szCs w:val="18"/>
                <w:lang w:eastAsia="tr-TR"/>
              </w:rPr>
            </w:pPr>
            <w:r w:rsidRPr="00005453">
              <w:rPr>
                <w:b/>
                <w:bCs/>
                <w:color w:val="000000"/>
                <w:sz w:val="18"/>
                <w:szCs w:val="18"/>
                <w:lang w:eastAsia="tr-TR"/>
              </w:rPr>
              <w:t>Toplam</w:t>
            </w:r>
          </w:p>
        </w:tc>
        <w:tc>
          <w:tcPr>
            <w:tcW w:w="2876" w:type="dxa"/>
            <w:tcBorders>
              <w:top w:val="nil"/>
              <w:left w:val="nil"/>
              <w:bottom w:val="double" w:sz="6" w:space="0" w:color="auto"/>
              <w:right w:val="nil"/>
            </w:tcBorders>
            <w:shd w:val="clear" w:color="auto" w:fill="auto"/>
            <w:vAlign w:val="center"/>
            <w:hideMark/>
          </w:tcPr>
          <w:p w14:paraId="3CAC0A4D" w14:textId="4B0747F5" w:rsidR="001917A9" w:rsidRPr="00005453" w:rsidRDefault="001917A9" w:rsidP="001917A9">
            <w:pPr>
              <w:jc w:val="right"/>
              <w:rPr>
                <w:b/>
                <w:bCs/>
                <w:color w:val="000000"/>
                <w:sz w:val="18"/>
                <w:szCs w:val="18"/>
                <w:lang w:eastAsia="tr-TR"/>
              </w:rPr>
            </w:pPr>
            <w:r w:rsidRPr="00005453">
              <w:rPr>
                <w:b/>
                <w:bCs/>
                <w:color w:val="000000"/>
                <w:sz w:val="18"/>
                <w:szCs w:val="18"/>
              </w:rPr>
              <w:t>26,804,367</w:t>
            </w:r>
          </w:p>
        </w:tc>
        <w:tc>
          <w:tcPr>
            <w:tcW w:w="2127" w:type="dxa"/>
            <w:gridSpan w:val="2"/>
            <w:tcBorders>
              <w:top w:val="nil"/>
              <w:left w:val="nil"/>
              <w:bottom w:val="double" w:sz="6" w:space="0" w:color="auto"/>
              <w:right w:val="nil"/>
            </w:tcBorders>
            <w:shd w:val="clear" w:color="auto" w:fill="auto"/>
            <w:vAlign w:val="center"/>
            <w:hideMark/>
          </w:tcPr>
          <w:p w14:paraId="2F1408CF" w14:textId="1693D775" w:rsidR="001917A9" w:rsidRPr="00005453" w:rsidRDefault="001917A9" w:rsidP="001917A9">
            <w:pPr>
              <w:jc w:val="right"/>
              <w:rPr>
                <w:b/>
                <w:bCs/>
                <w:color w:val="000000"/>
                <w:sz w:val="18"/>
                <w:szCs w:val="18"/>
                <w:lang w:eastAsia="tr-TR"/>
              </w:rPr>
            </w:pPr>
            <w:r w:rsidRPr="00005453">
              <w:rPr>
                <w:b/>
                <w:bCs/>
                <w:color w:val="000000"/>
                <w:sz w:val="18"/>
                <w:szCs w:val="18"/>
              </w:rPr>
              <w:t>7,040,670</w:t>
            </w:r>
          </w:p>
        </w:tc>
        <w:tc>
          <w:tcPr>
            <w:tcW w:w="2020" w:type="dxa"/>
            <w:tcBorders>
              <w:top w:val="nil"/>
              <w:left w:val="nil"/>
              <w:bottom w:val="double" w:sz="6" w:space="0" w:color="auto"/>
              <w:right w:val="nil"/>
            </w:tcBorders>
            <w:shd w:val="clear" w:color="auto" w:fill="auto"/>
            <w:vAlign w:val="center"/>
            <w:hideMark/>
          </w:tcPr>
          <w:p w14:paraId="2EA2C910" w14:textId="3BD2A071" w:rsidR="001917A9" w:rsidRPr="00005453" w:rsidRDefault="001917A9" w:rsidP="001917A9">
            <w:pPr>
              <w:jc w:val="right"/>
              <w:rPr>
                <w:b/>
                <w:bCs/>
                <w:color w:val="000000"/>
                <w:sz w:val="18"/>
                <w:szCs w:val="18"/>
                <w:lang w:eastAsia="tr-TR"/>
              </w:rPr>
            </w:pPr>
            <w:r w:rsidRPr="00005453">
              <w:rPr>
                <w:b/>
                <w:bCs/>
                <w:color w:val="000000"/>
                <w:sz w:val="18"/>
                <w:szCs w:val="18"/>
              </w:rPr>
              <w:t>10,222,258</w:t>
            </w:r>
          </w:p>
        </w:tc>
      </w:tr>
    </w:tbl>
    <w:p w14:paraId="08D51753" w14:textId="77777777" w:rsidR="00BA6667" w:rsidRPr="00005453" w:rsidRDefault="00BA6667" w:rsidP="004F1E85">
      <w:pPr>
        <w:pStyle w:val="BodyText"/>
        <w:jc w:val="left"/>
        <w:rPr>
          <w:sz w:val="6"/>
          <w:szCs w:val="6"/>
        </w:rPr>
      </w:pPr>
    </w:p>
    <w:p w14:paraId="1C726007" w14:textId="524DAC3A" w:rsidR="004F1E85" w:rsidRPr="00005453" w:rsidRDefault="004F1E85" w:rsidP="004F1E85">
      <w:pPr>
        <w:pStyle w:val="BodyText"/>
        <w:jc w:val="left"/>
        <w:rPr>
          <w:sz w:val="14"/>
          <w:szCs w:val="14"/>
          <w:lang w:eastAsia="tr-TR"/>
        </w:rPr>
      </w:pPr>
      <w:r w:rsidRPr="00005453">
        <w:rPr>
          <w:sz w:val="14"/>
          <w:szCs w:val="14"/>
        </w:rPr>
        <w:t xml:space="preserve">(*) </w:t>
      </w:r>
      <w:r w:rsidRPr="00005453">
        <w:rPr>
          <w:sz w:val="14"/>
          <w:szCs w:val="14"/>
          <w:lang w:eastAsia="tr-TR"/>
        </w:rPr>
        <w:t>Beklenen kredi zarar karşılıkları ikinci ve üçüncü aşama karşılıkları içermektedir.</w:t>
      </w:r>
    </w:p>
    <w:p w14:paraId="57FBAAA3" w14:textId="18DB76F7" w:rsidR="005375ED" w:rsidRPr="00005453" w:rsidRDefault="00DA7DE9" w:rsidP="004F1E85">
      <w:pPr>
        <w:spacing w:line="240" w:lineRule="exact"/>
        <w:jc w:val="both"/>
        <w:rPr>
          <w:sz w:val="14"/>
          <w:szCs w:val="14"/>
          <w:lang w:eastAsia="tr-TR"/>
        </w:rPr>
      </w:pPr>
      <w:r w:rsidRPr="00005453">
        <w:rPr>
          <w:sz w:val="14"/>
          <w:szCs w:val="14"/>
          <w:lang w:eastAsia="tr-TR"/>
        </w:rPr>
        <w:t>(**) Finansal kiralama alacakları dahil edilmemiştir.</w:t>
      </w:r>
    </w:p>
    <w:p w14:paraId="366F9F66" w14:textId="6A96E73E" w:rsidR="00E86D97" w:rsidRPr="00005453" w:rsidRDefault="00E86D97" w:rsidP="004F1E85">
      <w:pPr>
        <w:spacing w:line="240" w:lineRule="exact"/>
        <w:jc w:val="both"/>
        <w:rPr>
          <w:sz w:val="14"/>
          <w:szCs w:val="14"/>
          <w:lang w:eastAsia="tr-TR"/>
        </w:rPr>
      </w:pPr>
    </w:p>
    <w:p w14:paraId="3A321F06" w14:textId="4677A650" w:rsidR="00BA6667" w:rsidRPr="00005453" w:rsidRDefault="00BA6667" w:rsidP="004F1E85">
      <w:pPr>
        <w:spacing w:line="240" w:lineRule="exact"/>
        <w:jc w:val="both"/>
        <w:rPr>
          <w:sz w:val="14"/>
          <w:szCs w:val="14"/>
          <w:lang w:eastAsia="tr-TR"/>
        </w:rPr>
      </w:pPr>
    </w:p>
    <w:p w14:paraId="773413AA" w14:textId="37CFD38A" w:rsidR="00BA6667" w:rsidRPr="00005453" w:rsidRDefault="00BA6667" w:rsidP="004F1E85">
      <w:pPr>
        <w:spacing w:line="240" w:lineRule="exact"/>
        <w:jc w:val="both"/>
        <w:rPr>
          <w:sz w:val="14"/>
          <w:szCs w:val="14"/>
          <w:lang w:eastAsia="tr-TR"/>
        </w:rPr>
      </w:pPr>
    </w:p>
    <w:tbl>
      <w:tblPr>
        <w:tblW w:w="9781" w:type="dxa"/>
        <w:tblCellMar>
          <w:left w:w="70" w:type="dxa"/>
          <w:right w:w="70" w:type="dxa"/>
        </w:tblCellMar>
        <w:tblLook w:val="04A0" w:firstRow="1" w:lastRow="0" w:firstColumn="1" w:lastColumn="0" w:noHBand="0" w:noVBand="1"/>
      </w:tblPr>
      <w:tblGrid>
        <w:gridCol w:w="3544"/>
        <w:gridCol w:w="2126"/>
        <w:gridCol w:w="2182"/>
        <w:gridCol w:w="1929"/>
      </w:tblGrid>
      <w:tr w:rsidR="004F1E85" w:rsidRPr="00005453" w14:paraId="3A96BFC9" w14:textId="77777777" w:rsidTr="00614CD2">
        <w:trPr>
          <w:divId w:val="1486899767"/>
          <w:trHeight w:val="334"/>
        </w:trPr>
        <w:tc>
          <w:tcPr>
            <w:tcW w:w="3544" w:type="dxa"/>
            <w:tcBorders>
              <w:top w:val="single" w:sz="8" w:space="0" w:color="auto"/>
              <w:left w:val="nil"/>
              <w:bottom w:val="single" w:sz="8" w:space="0" w:color="auto"/>
              <w:right w:val="nil"/>
            </w:tcBorders>
            <w:shd w:val="clear" w:color="auto" w:fill="auto"/>
            <w:vAlign w:val="center"/>
            <w:hideMark/>
          </w:tcPr>
          <w:p w14:paraId="3F3A0577" w14:textId="15803F9D" w:rsidR="004F1E85" w:rsidRPr="00005453" w:rsidRDefault="004F1E85" w:rsidP="004F1E85">
            <w:pPr>
              <w:rPr>
                <w:b/>
                <w:bCs/>
                <w:color w:val="000000"/>
                <w:sz w:val="18"/>
                <w:szCs w:val="18"/>
                <w:lang w:eastAsia="tr-TR"/>
              </w:rPr>
            </w:pPr>
            <w:r w:rsidRPr="00005453">
              <w:rPr>
                <w:b/>
                <w:bCs/>
                <w:color w:val="000000"/>
                <w:sz w:val="18"/>
                <w:szCs w:val="18"/>
                <w:lang w:eastAsia="tr-TR"/>
              </w:rPr>
              <w:lastRenderedPageBreak/>
              <w:t> </w:t>
            </w:r>
          </w:p>
        </w:tc>
        <w:tc>
          <w:tcPr>
            <w:tcW w:w="4308" w:type="dxa"/>
            <w:gridSpan w:val="2"/>
            <w:tcBorders>
              <w:top w:val="single" w:sz="8" w:space="0" w:color="auto"/>
              <w:left w:val="nil"/>
              <w:bottom w:val="single" w:sz="8" w:space="0" w:color="auto"/>
              <w:right w:val="nil"/>
            </w:tcBorders>
            <w:shd w:val="clear" w:color="auto" w:fill="auto"/>
            <w:vAlign w:val="center"/>
            <w:hideMark/>
          </w:tcPr>
          <w:p w14:paraId="2FF07B6D" w14:textId="77777777" w:rsidR="004F1E85" w:rsidRPr="00005453" w:rsidRDefault="004F1E85" w:rsidP="004F1E85">
            <w:pPr>
              <w:jc w:val="center"/>
              <w:rPr>
                <w:b/>
                <w:bCs/>
                <w:color w:val="000000"/>
                <w:sz w:val="18"/>
                <w:szCs w:val="18"/>
                <w:lang w:eastAsia="tr-TR"/>
              </w:rPr>
            </w:pPr>
            <w:r w:rsidRPr="00005453">
              <w:rPr>
                <w:b/>
                <w:bCs/>
                <w:color w:val="000000"/>
                <w:sz w:val="18"/>
                <w:szCs w:val="18"/>
                <w:lang w:eastAsia="tr-TR"/>
              </w:rPr>
              <w:t>Krediler</w:t>
            </w:r>
          </w:p>
        </w:tc>
        <w:tc>
          <w:tcPr>
            <w:tcW w:w="1929" w:type="dxa"/>
            <w:tcBorders>
              <w:top w:val="single" w:sz="8" w:space="0" w:color="auto"/>
              <w:left w:val="nil"/>
              <w:bottom w:val="single" w:sz="8" w:space="0" w:color="auto"/>
              <w:right w:val="nil"/>
            </w:tcBorders>
            <w:shd w:val="clear" w:color="auto" w:fill="auto"/>
            <w:vAlign w:val="center"/>
            <w:hideMark/>
          </w:tcPr>
          <w:p w14:paraId="37BBCC3B" w14:textId="0A3AC1B0" w:rsidR="004F1E85" w:rsidRPr="00005453" w:rsidRDefault="004F1E85" w:rsidP="000F3BDB">
            <w:pPr>
              <w:jc w:val="right"/>
              <w:rPr>
                <w:b/>
                <w:bCs/>
                <w:color w:val="000000"/>
                <w:sz w:val="18"/>
                <w:szCs w:val="18"/>
                <w:lang w:eastAsia="tr-TR"/>
              </w:rPr>
            </w:pPr>
            <w:r w:rsidRPr="00005453">
              <w:rPr>
                <w:b/>
                <w:bCs/>
                <w:color w:val="000000"/>
                <w:sz w:val="18"/>
                <w:szCs w:val="18"/>
                <w:lang w:eastAsia="tr-TR"/>
              </w:rPr>
              <w:t>Karşılıklar</w:t>
            </w:r>
          </w:p>
        </w:tc>
      </w:tr>
      <w:tr w:rsidR="004F1E85" w:rsidRPr="00005453" w14:paraId="54B1A06D" w14:textId="77777777" w:rsidTr="00614CD2">
        <w:trPr>
          <w:divId w:val="1486899767"/>
          <w:trHeight w:val="218"/>
        </w:trPr>
        <w:tc>
          <w:tcPr>
            <w:tcW w:w="3544" w:type="dxa"/>
            <w:tcBorders>
              <w:top w:val="nil"/>
              <w:left w:val="nil"/>
              <w:bottom w:val="single" w:sz="8" w:space="0" w:color="auto"/>
              <w:right w:val="nil"/>
            </w:tcBorders>
            <w:shd w:val="clear" w:color="auto" w:fill="auto"/>
            <w:vAlign w:val="center"/>
            <w:hideMark/>
          </w:tcPr>
          <w:p w14:paraId="44485F61" w14:textId="77777777" w:rsidR="004F1E85" w:rsidRPr="00005453" w:rsidRDefault="004F1E85" w:rsidP="004F1E85">
            <w:pPr>
              <w:rPr>
                <w:b/>
                <w:bCs/>
                <w:color w:val="000000"/>
                <w:sz w:val="18"/>
                <w:szCs w:val="18"/>
                <w:lang w:eastAsia="tr-TR"/>
              </w:rPr>
            </w:pPr>
            <w:r w:rsidRPr="00005453">
              <w:rPr>
                <w:b/>
                <w:bCs/>
                <w:color w:val="000000"/>
                <w:sz w:val="18"/>
                <w:szCs w:val="18"/>
                <w:lang w:eastAsia="tr-TR"/>
              </w:rPr>
              <w:t> </w:t>
            </w:r>
          </w:p>
        </w:tc>
        <w:tc>
          <w:tcPr>
            <w:tcW w:w="4308" w:type="dxa"/>
            <w:gridSpan w:val="2"/>
            <w:tcBorders>
              <w:top w:val="single" w:sz="8" w:space="0" w:color="auto"/>
              <w:left w:val="nil"/>
              <w:bottom w:val="single" w:sz="8" w:space="0" w:color="auto"/>
              <w:right w:val="nil"/>
            </w:tcBorders>
            <w:shd w:val="clear" w:color="auto" w:fill="auto"/>
            <w:vAlign w:val="center"/>
            <w:hideMark/>
          </w:tcPr>
          <w:p w14:paraId="277FF284" w14:textId="77777777" w:rsidR="004F1E85" w:rsidRPr="00005453" w:rsidRDefault="004F1E85" w:rsidP="004F1E85">
            <w:pPr>
              <w:jc w:val="center"/>
              <w:rPr>
                <w:b/>
                <w:bCs/>
                <w:color w:val="000000"/>
                <w:sz w:val="18"/>
                <w:szCs w:val="18"/>
                <w:lang w:eastAsia="tr-TR"/>
              </w:rPr>
            </w:pPr>
            <w:r w:rsidRPr="00005453">
              <w:rPr>
                <w:b/>
                <w:bCs/>
                <w:color w:val="000000"/>
                <w:sz w:val="18"/>
                <w:szCs w:val="18"/>
                <w:lang w:eastAsia="tr-TR"/>
              </w:rPr>
              <w:t xml:space="preserve">Değer Kaybına Uğramış </w:t>
            </w:r>
          </w:p>
        </w:tc>
        <w:tc>
          <w:tcPr>
            <w:tcW w:w="1929" w:type="dxa"/>
            <w:tcBorders>
              <w:top w:val="nil"/>
              <w:left w:val="nil"/>
              <w:bottom w:val="single" w:sz="8" w:space="0" w:color="auto"/>
              <w:right w:val="nil"/>
            </w:tcBorders>
            <w:shd w:val="clear" w:color="auto" w:fill="auto"/>
            <w:vAlign w:val="center"/>
            <w:hideMark/>
          </w:tcPr>
          <w:p w14:paraId="72878977" w14:textId="77777777" w:rsidR="004F1E85" w:rsidRPr="00005453" w:rsidRDefault="004F1E85" w:rsidP="004F1E85">
            <w:pPr>
              <w:rPr>
                <w:b/>
                <w:bCs/>
                <w:color w:val="000000"/>
                <w:sz w:val="18"/>
                <w:szCs w:val="18"/>
                <w:lang w:eastAsia="tr-TR"/>
              </w:rPr>
            </w:pPr>
            <w:r w:rsidRPr="00005453">
              <w:rPr>
                <w:b/>
                <w:bCs/>
                <w:color w:val="000000"/>
                <w:sz w:val="18"/>
                <w:szCs w:val="18"/>
                <w:lang w:eastAsia="tr-TR"/>
              </w:rPr>
              <w:t> </w:t>
            </w:r>
          </w:p>
        </w:tc>
      </w:tr>
      <w:tr w:rsidR="004F1E85" w:rsidRPr="00005453" w14:paraId="003931A8" w14:textId="77777777" w:rsidTr="00614CD2">
        <w:trPr>
          <w:divId w:val="1486899767"/>
          <w:trHeight w:val="662"/>
        </w:trPr>
        <w:tc>
          <w:tcPr>
            <w:tcW w:w="3544" w:type="dxa"/>
            <w:tcBorders>
              <w:top w:val="nil"/>
              <w:left w:val="nil"/>
              <w:bottom w:val="single" w:sz="8" w:space="0" w:color="auto"/>
              <w:right w:val="nil"/>
            </w:tcBorders>
            <w:shd w:val="clear" w:color="auto" w:fill="auto"/>
            <w:vAlign w:val="center"/>
            <w:hideMark/>
          </w:tcPr>
          <w:p w14:paraId="3D645BBA" w14:textId="7F94816B" w:rsidR="004F1E85" w:rsidRPr="00005453" w:rsidRDefault="004F1E85" w:rsidP="004F1E85">
            <w:pPr>
              <w:rPr>
                <w:b/>
                <w:bCs/>
                <w:color w:val="000000"/>
                <w:sz w:val="18"/>
                <w:szCs w:val="18"/>
                <w:lang w:eastAsia="tr-TR"/>
              </w:rPr>
            </w:pPr>
            <w:r w:rsidRPr="00005453">
              <w:rPr>
                <w:b/>
                <w:bCs/>
                <w:color w:val="000000"/>
                <w:sz w:val="18"/>
                <w:szCs w:val="18"/>
                <w:lang w:eastAsia="tr-TR"/>
              </w:rPr>
              <w:t>Önceki Dönem</w:t>
            </w:r>
            <w:r w:rsidR="00DA7DE9" w:rsidRPr="00005453">
              <w:rPr>
                <w:b/>
                <w:bCs/>
                <w:color w:val="000000"/>
                <w:sz w:val="18"/>
                <w:szCs w:val="18"/>
                <w:lang w:eastAsia="tr-TR"/>
              </w:rPr>
              <w:t xml:space="preserve"> (**)</w:t>
            </w:r>
          </w:p>
        </w:tc>
        <w:tc>
          <w:tcPr>
            <w:tcW w:w="2126" w:type="dxa"/>
            <w:tcBorders>
              <w:top w:val="nil"/>
              <w:left w:val="nil"/>
              <w:bottom w:val="nil"/>
              <w:right w:val="nil"/>
            </w:tcBorders>
            <w:shd w:val="clear" w:color="auto" w:fill="auto"/>
            <w:vAlign w:val="center"/>
            <w:hideMark/>
          </w:tcPr>
          <w:p w14:paraId="4E1FB826"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Kredi Riskinde Önemli Artış (İkinci Aşama)</w:t>
            </w:r>
          </w:p>
        </w:tc>
        <w:tc>
          <w:tcPr>
            <w:tcW w:w="2182" w:type="dxa"/>
            <w:tcBorders>
              <w:top w:val="nil"/>
              <w:left w:val="nil"/>
              <w:bottom w:val="nil"/>
              <w:right w:val="nil"/>
            </w:tcBorders>
            <w:shd w:val="clear" w:color="auto" w:fill="auto"/>
            <w:vAlign w:val="center"/>
            <w:hideMark/>
          </w:tcPr>
          <w:p w14:paraId="31E871E2"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Temerrüt (Üçüncü Aşama)</w:t>
            </w:r>
          </w:p>
        </w:tc>
        <w:tc>
          <w:tcPr>
            <w:tcW w:w="1929" w:type="dxa"/>
            <w:tcBorders>
              <w:top w:val="nil"/>
              <w:left w:val="nil"/>
              <w:bottom w:val="nil"/>
              <w:right w:val="nil"/>
            </w:tcBorders>
            <w:shd w:val="clear" w:color="auto" w:fill="auto"/>
            <w:vAlign w:val="center"/>
            <w:hideMark/>
          </w:tcPr>
          <w:p w14:paraId="3D65AA0B"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Beklenen Kredi Zararı Karşılıkları (*)</w:t>
            </w:r>
          </w:p>
        </w:tc>
      </w:tr>
      <w:tr w:rsidR="00F14B37" w:rsidRPr="00005453" w14:paraId="52B20756" w14:textId="77777777" w:rsidTr="00F14B37">
        <w:trPr>
          <w:divId w:val="1486899767"/>
          <w:trHeight w:val="136"/>
        </w:trPr>
        <w:tc>
          <w:tcPr>
            <w:tcW w:w="3544" w:type="dxa"/>
            <w:tcBorders>
              <w:top w:val="nil"/>
              <w:left w:val="nil"/>
              <w:bottom w:val="nil"/>
              <w:right w:val="nil"/>
            </w:tcBorders>
            <w:shd w:val="clear" w:color="auto" w:fill="auto"/>
            <w:vAlign w:val="center"/>
            <w:hideMark/>
          </w:tcPr>
          <w:p w14:paraId="2D329C5A" w14:textId="77777777" w:rsidR="00F14B37" w:rsidRPr="00005453" w:rsidRDefault="00F14B37" w:rsidP="00F14B37">
            <w:pPr>
              <w:rPr>
                <w:b/>
                <w:bCs/>
                <w:color w:val="000000"/>
                <w:sz w:val="18"/>
                <w:szCs w:val="18"/>
                <w:lang w:eastAsia="tr-TR"/>
              </w:rPr>
            </w:pPr>
            <w:r w:rsidRPr="00005453">
              <w:rPr>
                <w:b/>
                <w:bCs/>
                <w:color w:val="000000"/>
                <w:sz w:val="18"/>
                <w:szCs w:val="18"/>
                <w:lang w:eastAsia="tr-TR"/>
              </w:rPr>
              <w:t>Tarım</w:t>
            </w:r>
          </w:p>
        </w:tc>
        <w:tc>
          <w:tcPr>
            <w:tcW w:w="2126" w:type="dxa"/>
            <w:tcBorders>
              <w:top w:val="single" w:sz="8" w:space="0" w:color="auto"/>
              <w:left w:val="nil"/>
              <w:bottom w:val="nil"/>
              <w:right w:val="nil"/>
            </w:tcBorders>
            <w:shd w:val="clear" w:color="auto" w:fill="auto"/>
            <w:vAlign w:val="center"/>
            <w:hideMark/>
          </w:tcPr>
          <w:p w14:paraId="09A4E385" w14:textId="7E5AB8DF" w:rsidR="00F14B37" w:rsidRPr="00005453" w:rsidRDefault="00F14B37" w:rsidP="00F14B37">
            <w:pPr>
              <w:jc w:val="right"/>
              <w:rPr>
                <w:b/>
                <w:bCs/>
                <w:color w:val="000000"/>
                <w:sz w:val="18"/>
                <w:szCs w:val="18"/>
                <w:lang w:eastAsia="tr-TR"/>
              </w:rPr>
            </w:pPr>
            <w:r w:rsidRPr="00005453">
              <w:rPr>
                <w:b/>
                <w:bCs/>
                <w:color w:val="000000"/>
                <w:sz w:val="18"/>
                <w:szCs w:val="18"/>
              </w:rPr>
              <w:t>216,175</w:t>
            </w:r>
          </w:p>
        </w:tc>
        <w:tc>
          <w:tcPr>
            <w:tcW w:w="2182" w:type="dxa"/>
            <w:tcBorders>
              <w:top w:val="single" w:sz="8" w:space="0" w:color="auto"/>
              <w:left w:val="nil"/>
              <w:bottom w:val="nil"/>
              <w:right w:val="nil"/>
            </w:tcBorders>
            <w:shd w:val="clear" w:color="auto" w:fill="auto"/>
            <w:vAlign w:val="center"/>
            <w:hideMark/>
          </w:tcPr>
          <w:p w14:paraId="15B9175F" w14:textId="550910C2" w:rsidR="00F14B37" w:rsidRPr="00005453" w:rsidRDefault="00F14B37" w:rsidP="00F14B37">
            <w:pPr>
              <w:jc w:val="right"/>
              <w:rPr>
                <w:b/>
                <w:bCs/>
                <w:color w:val="000000"/>
                <w:sz w:val="18"/>
                <w:szCs w:val="18"/>
                <w:lang w:eastAsia="tr-TR"/>
              </w:rPr>
            </w:pPr>
            <w:r w:rsidRPr="00005453">
              <w:rPr>
                <w:b/>
                <w:bCs/>
                <w:color w:val="000000"/>
                <w:sz w:val="18"/>
                <w:szCs w:val="18"/>
              </w:rPr>
              <w:t>21,676</w:t>
            </w:r>
          </w:p>
        </w:tc>
        <w:tc>
          <w:tcPr>
            <w:tcW w:w="1929" w:type="dxa"/>
            <w:tcBorders>
              <w:top w:val="single" w:sz="8" w:space="0" w:color="auto"/>
              <w:left w:val="nil"/>
              <w:bottom w:val="nil"/>
              <w:right w:val="nil"/>
            </w:tcBorders>
            <w:shd w:val="clear" w:color="auto" w:fill="auto"/>
            <w:vAlign w:val="center"/>
            <w:hideMark/>
          </w:tcPr>
          <w:p w14:paraId="78C257DF" w14:textId="1AE117B7" w:rsidR="00F14B37" w:rsidRPr="00005453" w:rsidRDefault="00F14B37" w:rsidP="00F14B37">
            <w:pPr>
              <w:jc w:val="right"/>
              <w:rPr>
                <w:b/>
                <w:bCs/>
                <w:color w:val="000000"/>
                <w:sz w:val="18"/>
                <w:szCs w:val="18"/>
                <w:lang w:eastAsia="tr-TR"/>
              </w:rPr>
            </w:pPr>
            <w:r w:rsidRPr="00005453">
              <w:rPr>
                <w:b/>
                <w:bCs/>
                <w:color w:val="000000"/>
                <w:sz w:val="18"/>
                <w:szCs w:val="18"/>
              </w:rPr>
              <w:t>65,399</w:t>
            </w:r>
          </w:p>
        </w:tc>
      </w:tr>
      <w:tr w:rsidR="00F14B37" w:rsidRPr="00005453" w14:paraId="245DB442" w14:textId="77777777" w:rsidTr="00F14B37">
        <w:trPr>
          <w:divId w:val="1486899767"/>
          <w:trHeight w:val="218"/>
        </w:trPr>
        <w:tc>
          <w:tcPr>
            <w:tcW w:w="3544" w:type="dxa"/>
            <w:tcBorders>
              <w:top w:val="nil"/>
              <w:left w:val="nil"/>
              <w:bottom w:val="nil"/>
              <w:right w:val="nil"/>
            </w:tcBorders>
            <w:shd w:val="clear" w:color="auto" w:fill="auto"/>
            <w:vAlign w:val="center"/>
            <w:hideMark/>
          </w:tcPr>
          <w:p w14:paraId="12D05BDE" w14:textId="77777777" w:rsidR="00F14B37" w:rsidRPr="00005453" w:rsidRDefault="00F14B37" w:rsidP="00F14B37">
            <w:pPr>
              <w:rPr>
                <w:color w:val="000000"/>
                <w:sz w:val="18"/>
                <w:szCs w:val="18"/>
                <w:lang w:eastAsia="tr-TR"/>
              </w:rPr>
            </w:pPr>
            <w:r w:rsidRPr="00005453">
              <w:rPr>
                <w:color w:val="000000"/>
                <w:sz w:val="18"/>
                <w:szCs w:val="18"/>
                <w:lang w:eastAsia="tr-TR"/>
              </w:rPr>
              <w:t>Çiftçilik ve Hayvancılık</w:t>
            </w:r>
          </w:p>
        </w:tc>
        <w:tc>
          <w:tcPr>
            <w:tcW w:w="2126" w:type="dxa"/>
            <w:tcBorders>
              <w:top w:val="nil"/>
              <w:left w:val="nil"/>
              <w:bottom w:val="nil"/>
              <w:right w:val="nil"/>
            </w:tcBorders>
            <w:shd w:val="clear" w:color="auto" w:fill="auto"/>
            <w:vAlign w:val="center"/>
            <w:hideMark/>
          </w:tcPr>
          <w:p w14:paraId="5E60FD28" w14:textId="629B7211" w:rsidR="00F14B37" w:rsidRPr="00005453" w:rsidRDefault="00F14B37" w:rsidP="00F14B37">
            <w:pPr>
              <w:jc w:val="right"/>
              <w:rPr>
                <w:color w:val="000000"/>
                <w:sz w:val="18"/>
                <w:szCs w:val="18"/>
                <w:lang w:eastAsia="tr-TR"/>
              </w:rPr>
            </w:pPr>
            <w:r w:rsidRPr="00005453">
              <w:rPr>
                <w:color w:val="000000"/>
                <w:sz w:val="18"/>
                <w:szCs w:val="18"/>
              </w:rPr>
              <w:t>179,782</w:t>
            </w:r>
          </w:p>
        </w:tc>
        <w:tc>
          <w:tcPr>
            <w:tcW w:w="2182" w:type="dxa"/>
            <w:tcBorders>
              <w:top w:val="nil"/>
              <w:left w:val="nil"/>
              <w:bottom w:val="nil"/>
              <w:right w:val="nil"/>
            </w:tcBorders>
            <w:shd w:val="clear" w:color="auto" w:fill="auto"/>
            <w:vAlign w:val="center"/>
            <w:hideMark/>
          </w:tcPr>
          <w:p w14:paraId="49DCD97F" w14:textId="777B6A0D" w:rsidR="00F14B37" w:rsidRPr="00005453" w:rsidRDefault="00F14B37" w:rsidP="00F14B37">
            <w:pPr>
              <w:jc w:val="right"/>
              <w:rPr>
                <w:color w:val="000000"/>
                <w:sz w:val="18"/>
                <w:szCs w:val="18"/>
                <w:lang w:eastAsia="tr-TR"/>
              </w:rPr>
            </w:pPr>
            <w:r w:rsidRPr="00005453">
              <w:rPr>
                <w:color w:val="000000"/>
                <w:sz w:val="18"/>
                <w:szCs w:val="18"/>
              </w:rPr>
              <w:t>10,757</w:t>
            </w:r>
          </w:p>
        </w:tc>
        <w:tc>
          <w:tcPr>
            <w:tcW w:w="1929" w:type="dxa"/>
            <w:tcBorders>
              <w:top w:val="nil"/>
              <w:left w:val="nil"/>
              <w:bottom w:val="nil"/>
              <w:right w:val="nil"/>
            </w:tcBorders>
            <w:shd w:val="clear" w:color="auto" w:fill="auto"/>
            <w:vAlign w:val="center"/>
            <w:hideMark/>
          </w:tcPr>
          <w:p w14:paraId="3890C18B" w14:textId="2998D20F" w:rsidR="00F14B37" w:rsidRPr="00005453" w:rsidRDefault="00F14B37" w:rsidP="00F14B37">
            <w:pPr>
              <w:jc w:val="right"/>
              <w:rPr>
                <w:color w:val="000000"/>
                <w:sz w:val="18"/>
                <w:szCs w:val="18"/>
                <w:lang w:eastAsia="tr-TR"/>
              </w:rPr>
            </w:pPr>
            <w:r w:rsidRPr="00005453">
              <w:rPr>
                <w:color w:val="000000"/>
                <w:sz w:val="18"/>
                <w:szCs w:val="18"/>
              </w:rPr>
              <w:t>44,144</w:t>
            </w:r>
          </w:p>
        </w:tc>
      </w:tr>
      <w:tr w:rsidR="00F14B37" w:rsidRPr="00005453" w14:paraId="58EFDC83" w14:textId="77777777" w:rsidTr="00F14B37">
        <w:trPr>
          <w:divId w:val="1486899767"/>
          <w:trHeight w:val="136"/>
        </w:trPr>
        <w:tc>
          <w:tcPr>
            <w:tcW w:w="3544" w:type="dxa"/>
            <w:tcBorders>
              <w:top w:val="nil"/>
              <w:left w:val="nil"/>
              <w:bottom w:val="nil"/>
              <w:right w:val="nil"/>
            </w:tcBorders>
            <w:shd w:val="clear" w:color="auto" w:fill="auto"/>
            <w:vAlign w:val="center"/>
            <w:hideMark/>
          </w:tcPr>
          <w:p w14:paraId="39D91BBF" w14:textId="77777777" w:rsidR="00F14B37" w:rsidRPr="00005453" w:rsidRDefault="00F14B37" w:rsidP="00F14B37">
            <w:pPr>
              <w:rPr>
                <w:color w:val="000000"/>
                <w:sz w:val="18"/>
                <w:szCs w:val="18"/>
                <w:lang w:eastAsia="tr-TR"/>
              </w:rPr>
            </w:pPr>
            <w:r w:rsidRPr="00005453">
              <w:rPr>
                <w:color w:val="000000"/>
                <w:sz w:val="18"/>
                <w:szCs w:val="18"/>
                <w:lang w:eastAsia="tr-TR"/>
              </w:rPr>
              <w:t>Ormancılık</w:t>
            </w:r>
          </w:p>
        </w:tc>
        <w:tc>
          <w:tcPr>
            <w:tcW w:w="2126" w:type="dxa"/>
            <w:tcBorders>
              <w:top w:val="nil"/>
              <w:left w:val="nil"/>
              <w:bottom w:val="nil"/>
              <w:right w:val="nil"/>
            </w:tcBorders>
            <w:shd w:val="clear" w:color="auto" w:fill="auto"/>
            <w:vAlign w:val="center"/>
            <w:hideMark/>
          </w:tcPr>
          <w:p w14:paraId="590A4B12" w14:textId="556B1569" w:rsidR="00F14B37" w:rsidRPr="00005453" w:rsidRDefault="00F14B37" w:rsidP="00F14B37">
            <w:pPr>
              <w:jc w:val="right"/>
              <w:rPr>
                <w:color w:val="000000"/>
                <w:sz w:val="18"/>
                <w:szCs w:val="18"/>
                <w:lang w:eastAsia="tr-TR"/>
              </w:rPr>
            </w:pPr>
            <w:r w:rsidRPr="00005453">
              <w:rPr>
                <w:color w:val="000000"/>
                <w:sz w:val="18"/>
                <w:szCs w:val="18"/>
              </w:rPr>
              <w:t>36,145</w:t>
            </w:r>
          </w:p>
        </w:tc>
        <w:tc>
          <w:tcPr>
            <w:tcW w:w="2182" w:type="dxa"/>
            <w:tcBorders>
              <w:top w:val="nil"/>
              <w:left w:val="nil"/>
              <w:bottom w:val="nil"/>
              <w:right w:val="nil"/>
            </w:tcBorders>
            <w:shd w:val="clear" w:color="auto" w:fill="auto"/>
            <w:vAlign w:val="center"/>
            <w:hideMark/>
          </w:tcPr>
          <w:p w14:paraId="7AEEE5D3" w14:textId="7E1909C6" w:rsidR="00F14B37" w:rsidRPr="00005453" w:rsidRDefault="00F14B37" w:rsidP="00F14B37">
            <w:pPr>
              <w:jc w:val="right"/>
              <w:rPr>
                <w:color w:val="000000"/>
                <w:sz w:val="18"/>
                <w:szCs w:val="18"/>
                <w:lang w:eastAsia="tr-TR"/>
              </w:rPr>
            </w:pPr>
            <w:r w:rsidRPr="00005453">
              <w:rPr>
                <w:color w:val="000000"/>
                <w:sz w:val="18"/>
                <w:szCs w:val="18"/>
              </w:rPr>
              <w:t>10,576</w:t>
            </w:r>
          </w:p>
        </w:tc>
        <w:tc>
          <w:tcPr>
            <w:tcW w:w="1929" w:type="dxa"/>
            <w:tcBorders>
              <w:top w:val="nil"/>
              <w:left w:val="nil"/>
              <w:bottom w:val="nil"/>
              <w:right w:val="nil"/>
            </w:tcBorders>
            <w:shd w:val="clear" w:color="auto" w:fill="auto"/>
            <w:vAlign w:val="center"/>
            <w:hideMark/>
          </w:tcPr>
          <w:p w14:paraId="39F3CC42" w14:textId="043F0D7A" w:rsidR="00F14B37" w:rsidRPr="00005453" w:rsidRDefault="00F14B37" w:rsidP="00F14B37">
            <w:pPr>
              <w:jc w:val="right"/>
              <w:rPr>
                <w:color w:val="000000"/>
                <w:sz w:val="18"/>
                <w:szCs w:val="18"/>
                <w:lang w:eastAsia="tr-TR"/>
              </w:rPr>
            </w:pPr>
            <w:r w:rsidRPr="00005453">
              <w:rPr>
                <w:color w:val="000000"/>
                <w:sz w:val="18"/>
                <w:szCs w:val="18"/>
              </w:rPr>
              <w:t>20,954</w:t>
            </w:r>
          </w:p>
        </w:tc>
      </w:tr>
      <w:tr w:rsidR="00F14B37" w:rsidRPr="00005453" w14:paraId="22CD8020" w14:textId="77777777" w:rsidTr="00F14B37">
        <w:trPr>
          <w:divId w:val="1486899767"/>
          <w:trHeight w:val="136"/>
        </w:trPr>
        <w:tc>
          <w:tcPr>
            <w:tcW w:w="3544" w:type="dxa"/>
            <w:tcBorders>
              <w:top w:val="nil"/>
              <w:left w:val="nil"/>
              <w:bottom w:val="nil"/>
              <w:right w:val="nil"/>
            </w:tcBorders>
            <w:shd w:val="clear" w:color="auto" w:fill="auto"/>
            <w:vAlign w:val="center"/>
            <w:hideMark/>
          </w:tcPr>
          <w:p w14:paraId="04EB73F2" w14:textId="77777777" w:rsidR="00F14B37" w:rsidRPr="00005453" w:rsidRDefault="00F14B37" w:rsidP="00F14B37">
            <w:pPr>
              <w:rPr>
                <w:color w:val="000000"/>
                <w:sz w:val="18"/>
                <w:szCs w:val="18"/>
                <w:lang w:eastAsia="tr-TR"/>
              </w:rPr>
            </w:pPr>
            <w:r w:rsidRPr="00005453">
              <w:rPr>
                <w:color w:val="000000"/>
                <w:sz w:val="18"/>
                <w:szCs w:val="18"/>
                <w:lang w:eastAsia="tr-TR"/>
              </w:rPr>
              <w:t>Balıkçılık</w:t>
            </w:r>
          </w:p>
        </w:tc>
        <w:tc>
          <w:tcPr>
            <w:tcW w:w="2126" w:type="dxa"/>
            <w:tcBorders>
              <w:top w:val="nil"/>
              <w:left w:val="nil"/>
              <w:bottom w:val="nil"/>
              <w:right w:val="nil"/>
            </w:tcBorders>
            <w:shd w:val="clear" w:color="auto" w:fill="auto"/>
            <w:vAlign w:val="center"/>
            <w:hideMark/>
          </w:tcPr>
          <w:p w14:paraId="57CBC309" w14:textId="257AD441" w:rsidR="00F14B37" w:rsidRPr="00005453" w:rsidRDefault="00F14B37" w:rsidP="00F14B37">
            <w:pPr>
              <w:jc w:val="right"/>
              <w:rPr>
                <w:color w:val="000000"/>
                <w:sz w:val="18"/>
                <w:szCs w:val="18"/>
                <w:lang w:eastAsia="tr-TR"/>
              </w:rPr>
            </w:pPr>
            <w:r w:rsidRPr="00005453">
              <w:rPr>
                <w:color w:val="000000"/>
                <w:sz w:val="18"/>
                <w:szCs w:val="18"/>
              </w:rPr>
              <w:t>248</w:t>
            </w:r>
          </w:p>
        </w:tc>
        <w:tc>
          <w:tcPr>
            <w:tcW w:w="2182" w:type="dxa"/>
            <w:tcBorders>
              <w:top w:val="nil"/>
              <w:left w:val="nil"/>
              <w:bottom w:val="nil"/>
              <w:right w:val="nil"/>
            </w:tcBorders>
            <w:shd w:val="clear" w:color="auto" w:fill="auto"/>
            <w:vAlign w:val="center"/>
            <w:hideMark/>
          </w:tcPr>
          <w:p w14:paraId="3F060BFB" w14:textId="135B8935" w:rsidR="00F14B37" w:rsidRPr="00005453" w:rsidRDefault="00F14B37" w:rsidP="00F14B37">
            <w:pPr>
              <w:jc w:val="right"/>
              <w:rPr>
                <w:color w:val="000000"/>
                <w:sz w:val="18"/>
                <w:szCs w:val="18"/>
                <w:lang w:eastAsia="tr-TR"/>
              </w:rPr>
            </w:pPr>
            <w:r w:rsidRPr="00005453">
              <w:rPr>
                <w:color w:val="000000"/>
                <w:sz w:val="18"/>
                <w:szCs w:val="18"/>
              </w:rPr>
              <w:t>343</w:t>
            </w:r>
          </w:p>
        </w:tc>
        <w:tc>
          <w:tcPr>
            <w:tcW w:w="1929" w:type="dxa"/>
            <w:tcBorders>
              <w:top w:val="nil"/>
              <w:left w:val="nil"/>
              <w:bottom w:val="nil"/>
              <w:right w:val="nil"/>
            </w:tcBorders>
            <w:shd w:val="clear" w:color="auto" w:fill="auto"/>
            <w:vAlign w:val="center"/>
            <w:hideMark/>
          </w:tcPr>
          <w:p w14:paraId="6606829C" w14:textId="031D58EA" w:rsidR="00F14B37" w:rsidRPr="00005453" w:rsidRDefault="00F14B37" w:rsidP="00F14B37">
            <w:pPr>
              <w:jc w:val="right"/>
              <w:rPr>
                <w:color w:val="000000"/>
                <w:sz w:val="18"/>
                <w:szCs w:val="18"/>
                <w:lang w:eastAsia="tr-TR"/>
              </w:rPr>
            </w:pPr>
            <w:r w:rsidRPr="00005453">
              <w:rPr>
                <w:color w:val="000000"/>
                <w:sz w:val="18"/>
                <w:szCs w:val="18"/>
              </w:rPr>
              <w:t>301</w:t>
            </w:r>
          </w:p>
        </w:tc>
      </w:tr>
      <w:tr w:rsidR="00F14B37" w:rsidRPr="00005453" w14:paraId="411588C8" w14:textId="77777777" w:rsidTr="00F14B37">
        <w:trPr>
          <w:divId w:val="1486899767"/>
          <w:trHeight w:val="136"/>
        </w:trPr>
        <w:tc>
          <w:tcPr>
            <w:tcW w:w="3544" w:type="dxa"/>
            <w:tcBorders>
              <w:top w:val="nil"/>
              <w:left w:val="nil"/>
              <w:bottom w:val="nil"/>
              <w:right w:val="nil"/>
            </w:tcBorders>
            <w:shd w:val="clear" w:color="auto" w:fill="auto"/>
            <w:vAlign w:val="center"/>
            <w:hideMark/>
          </w:tcPr>
          <w:p w14:paraId="40B92337" w14:textId="77777777" w:rsidR="00F14B37" w:rsidRPr="00005453" w:rsidRDefault="00F14B37" w:rsidP="00F14B37">
            <w:pPr>
              <w:rPr>
                <w:b/>
                <w:bCs/>
                <w:color w:val="000000"/>
                <w:sz w:val="18"/>
                <w:szCs w:val="18"/>
                <w:lang w:eastAsia="tr-TR"/>
              </w:rPr>
            </w:pPr>
            <w:r w:rsidRPr="00005453">
              <w:rPr>
                <w:b/>
                <w:bCs/>
                <w:color w:val="000000"/>
                <w:sz w:val="18"/>
                <w:szCs w:val="18"/>
                <w:lang w:eastAsia="tr-TR"/>
              </w:rPr>
              <w:t>Sanayi</w:t>
            </w:r>
          </w:p>
        </w:tc>
        <w:tc>
          <w:tcPr>
            <w:tcW w:w="2126" w:type="dxa"/>
            <w:tcBorders>
              <w:top w:val="nil"/>
              <w:left w:val="nil"/>
              <w:bottom w:val="nil"/>
              <w:right w:val="nil"/>
            </w:tcBorders>
            <w:shd w:val="clear" w:color="auto" w:fill="auto"/>
            <w:vAlign w:val="center"/>
            <w:hideMark/>
          </w:tcPr>
          <w:p w14:paraId="1988DBC9" w14:textId="5887DC38" w:rsidR="00F14B37" w:rsidRPr="00005453" w:rsidRDefault="00F14B37" w:rsidP="00F14B37">
            <w:pPr>
              <w:jc w:val="right"/>
              <w:rPr>
                <w:b/>
                <w:bCs/>
                <w:color w:val="000000"/>
                <w:sz w:val="18"/>
                <w:szCs w:val="18"/>
                <w:lang w:eastAsia="tr-TR"/>
              </w:rPr>
            </w:pPr>
            <w:r w:rsidRPr="00005453">
              <w:rPr>
                <w:b/>
                <w:bCs/>
                <w:color w:val="000000"/>
                <w:sz w:val="18"/>
                <w:szCs w:val="18"/>
              </w:rPr>
              <w:t>6,448,012</w:t>
            </w:r>
          </w:p>
        </w:tc>
        <w:tc>
          <w:tcPr>
            <w:tcW w:w="2182" w:type="dxa"/>
            <w:tcBorders>
              <w:top w:val="nil"/>
              <w:left w:val="nil"/>
              <w:bottom w:val="nil"/>
              <w:right w:val="nil"/>
            </w:tcBorders>
            <w:shd w:val="clear" w:color="auto" w:fill="auto"/>
            <w:vAlign w:val="center"/>
            <w:hideMark/>
          </w:tcPr>
          <w:p w14:paraId="32646997" w14:textId="0C7EC59B" w:rsidR="00F14B37" w:rsidRPr="00005453" w:rsidRDefault="00F14B37" w:rsidP="00F14B37">
            <w:pPr>
              <w:jc w:val="right"/>
              <w:rPr>
                <w:b/>
                <w:bCs/>
                <w:color w:val="000000"/>
                <w:sz w:val="18"/>
                <w:szCs w:val="18"/>
                <w:lang w:eastAsia="tr-TR"/>
              </w:rPr>
            </w:pPr>
            <w:r w:rsidRPr="00005453">
              <w:rPr>
                <w:b/>
                <w:bCs/>
                <w:color w:val="000000"/>
                <w:sz w:val="18"/>
                <w:szCs w:val="18"/>
              </w:rPr>
              <w:t>592,051</w:t>
            </w:r>
          </w:p>
        </w:tc>
        <w:tc>
          <w:tcPr>
            <w:tcW w:w="1929" w:type="dxa"/>
            <w:tcBorders>
              <w:top w:val="nil"/>
              <w:left w:val="nil"/>
              <w:bottom w:val="nil"/>
              <w:right w:val="nil"/>
            </w:tcBorders>
            <w:shd w:val="clear" w:color="auto" w:fill="auto"/>
            <w:vAlign w:val="center"/>
            <w:hideMark/>
          </w:tcPr>
          <w:p w14:paraId="513388D7" w14:textId="2C8E0BA5" w:rsidR="00F14B37" w:rsidRPr="00005453" w:rsidRDefault="00F14B37" w:rsidP="00F14B37">
            <w:pPr>
              <w:jc w:val="right"/>
              <w:rPr>
                <w:b/>
                <w:bCs/>
                <w:color w:val="000000"/>
                <w:sz w:val="18"/>
                <w:szCs w:val="18"/>
                <w:lang w:eastAsia="tr-TR"/>
              </w:rPr>
            </w:pPr>
            <w:r w:rsidRPr="00005453">
              <w:rPr>
                <w:b/>
                <w:bCs/>
                <w:color w:val="000000"/>
                <w:sz w:val="18"/>
                <w:szCs w:val="18"/>
              </w:rPr>
              <w:t>2,922,703</w:t>
            </w:r>
          </w:p>
        </w:tc>
      </w:tr>
      <w:tr w:rsidR="00F14B37" w:rsidRPr="00005453" w14:paraId="25A5BB69" w14:textId="77777777" w:rsidTr="00F14B37">
        <w:trPr>
          <w:divId w:val="1486899767"/>
          <w:trHeight w:val="136"/>
        </w:trPr>
        <w:tc>
          <w:tcPr>
            <w:tcW w:w="3544" w:type="dxa"/>
            <w:tcBorders>
              <w:top w:val="nil"/>
              <w:left w:val="nil"/>
              <w:bottom w:val="nil"/>
              <w:right w:val="nil"/>
            </w:tcBorders>
            <w:shd w:val="clear" w:color="auto" w:fill="auto"/>
            <w:noWrap/>
            <w:vAlign w:val="center"/>
            <w:hideMark/>
          </w:tcPr>
          <w:p w14:paraId="722D30FA" w14:textId="77777777" w:rsidR="00F14B37" w:rsidRPr="00005453" w:rsidRDefault="00F14B37" w:rsidP="00F14B37">
            <w:pPr>
              <w:rPr>
                <w:color w:val="000000"/>
                <w:sz w:val="18"/>
                <w:szCs w:val="18"/>
                <w:lang w:eastAsia="tr-TR"/>
              </w:rPr>
            </w:pPr>
            <w:r w:rsidRPr="00005453">
              <w:rPr>
                <w:color w:val="000000"/>
                <w:sz w:val="18"/>
                <w:szCs w:val="18"/>
                <w:lang w:eastAsia="tr-TR"/>
              </w:rPr>
              <w:t>Madencilik ve Taşocakçılığı</w:t>
            </w:r>
          </w:p>
        </w:tc>
        <w:tc>
          <w:tcPr>
            <w:tcW w:w="2126" w:type="dxa"/>
            <w:tcBorders>
              <w:top w:val="nil"/>
              <w:left w:val="nil"/>
              <w:bottom w:val="nil"/>
              <w:right w:val="nil"/>
            </w:tcBorders>
            <w:shd w:val="clear" w:color="auto" w:fill="auto"/>
            <w:vAlign w:val="center"/>
            <w:hideMark/>
          </w:tcPr>
          <w:p w14:paraId="4ABCDC3C" w14:textId="16C7FCAE" w:rsidR="00F14B37" w:rsidRPr="00005453" w:rsidRDefault="00F14B37" w:rsidP="00F14B37">
            <w:pPr>
              <w:jc w:val="right"/>
              <w:rPr>
                <w:color w:val="000000"/>
                <w:sz w:val="18"/>
                <w:szCs w:val="18"/>
                <w:lang w:eastAsia="tr-TR"/>
              </w:rPr>
            </w:pPr>
            <w:r w:rsidRPr="00005453">
              <w:rPr>
                <w:color w:val="000000"/>
                <w:sz w:val="18"/>
                <w:szCs w:val="18"/>
              </w:rPr>
              <w:t>1,171,460</w:t>
            </w:r>
          </w:p>
        </w:tc>
        <w:tc>
          <w:tcPr>
            <w:tcW w:w="2182" w:type="dxa"/>
            <w:tcBorders>
              <w:top w:val="nil"/>
              <w:left w:val="nil"/>
              <w:bottom w:val="nil"/>
              <w:right w:val="nil"/>
            </w:tcBorders>
            <w:shd w:val="clear" w:color="auto" w:fill="auto"/>
            <w:vAlign w:val="center"/>
            <w:hideMark/>
          </w:tcPr>
          <w:p w14:paraId="4A59B58D" w14:textId="48979A3E" w:rsidR="00F14B37" w:rsidRPr="00005453" w:rsidRDefault="00F14B37" w:rsidP="00F14B37">
            <w:pPr>
              <w:jc w:val="right"/>
              <w:rPr>
                <w:color w:val="000000"/>
                <w:sz w:val="18"/>
                <w:szCs w:val="18"/>
                <w:lang w:eastAsia="tr-TR"/>
              </w:rPr>
            </w:pPr>
            <w:r w:rsidRPr="00005453">
              <w:rPr>
                <w:color w:val="000000"/>
                <w:sz w:val="18"/>
                <w:szCs w:val="18"/>
              </w:rPr>
              <w:t>25,762</w:t>
            </w:r>
          </w:p>
        </w:tc>
        <w:tc>
          <w:tcPr>
            <w:tcW w:w="1929" w:type="dxa"/>
            <w:tcBorders>
              <w:top w:val="nil"/>
              <w:left w:val="nil"/>
              <w:bottom w:val="nil"/>
              <w:right w:val="nil"/>
            </w:tcBorders>
            <w:shd w:val="clear" w:color="auto" w:fill="auto"/>
            <w:vAlign w:val="center"/>
            <w:hideMark/>
          </w:tcPr>
          <w:p w14:paraId="6E96AE33" w14:textId="0ECA2D5B" w:rsidR="00F14B37" w:rsidRPr="00005453" w:rsidRDefault="00F14B37" w:rsidP="00F14B37">
            <w:pPr>
              <w:jc w:val="right"/>
              <w:rPr>
                <w:color w:val="000000"/>
                <w:sz w:val="18"/>
                <w:szCs w:val="18"/>
                <w:lang w:eastAsia="tr-TR"/>
              </w:rPr>
            </w:pPr>
            <w:r w:rsidRPr="00005453">
              <w:rPr>
                <w:color w:val="000000"/>
                <w:sz w:val="18"/>
                <w:szCs w:val="18"/>
              </w:rPr>
              <w:t>676,226</w:t>
            </w:r>
          </w:p>
        </w:tc>
      </w:tr>
      <w:tr w:rsidR="00F14B37" w:rsidRPr="00005453" w14:paraId="7A4A6099" w14:textId="77777777" w:rsidTr="00F14B37">
        <w:trPr>
          <w:divId w:val="1486899767"/>
          <w:trHeight w:val="218"/>
        </w:trPr>
        <w:tc>
          <w:tcPr>
            <w:tcW w:w="3544" w:type="dxa"/>
            <w:tcBorders>
              <w:top w:val="nil"/>
              <w:left w:val="nil"/>
              <w:bottom w:val="nil"/>
              <w:right w:val="nil"/>
            </w:tcBorders>
            <w:shd w:val="clear" w:color="auto" w:fill="auto"/>
            <w:vAlign w:val="center"/>
            <w:hideMark/>
          </w:tcPr>
          <w:p w14:paraId="62137FBD" w14:textId="77777777" w:rsidR="00F14B37" w:rsidRPr="00005453" w:rsidRDefault="00F14B37" w:rsidP="00F14B37">
            <w:pPr>
              <w:rPr>
                <w:color w:val="000000"/>
                <w:sz w:val="18"/>
                <w:szCs w:val="18"/>
                <w:lang w:eastAsia="tr-TR"/>
              </w:rPr>
            </w:pPr>
            <w:r w:rsidRPr="00005453">
              <w:rPr>
                <w:color w:val="000000"/>
                <w:sz w:val="18"/>
                <w:szCs w:val="18"/>
                <w:lang w:eastAsia="tr-TR"/>
              </w:rPr>
              <w:t>İmalat Sanayi</w:t>
            </w:r>
          </w:p>
        </w:tc>
        <w:tc>
          <w:tcPr>
            <w:tcW w:w="2126" w:type="dxa"/>
            <w:tcBorders>
              <w:top w:val="nil"/>
              <w:left w:val="nil"/>
              <w:bottom w:val="nil"/>
              <w:right w:val="nil"/>
            </w:tcBorders>
            <w:shd w:val="clear" w:color="auto" w:fill="auto"/>
            <w:vAlign w:val="center"/>
            <w:hideMark/>
          </w:tcPr>
          <w:p w14:paraId="21185246" w14:textId="4F27EF8B" w:rsidR="00F14B37" w:rsidRPr="00005453" w:rsidRDefault="00F14B37" w:rsidP="00F14B37">
            <w:pPr>
              <w:jc w:val="right"/>
              <w:rPr>
                <w:color w:val="000000"/>
                <w:sz w:val="18"/>
                <w:szCs w:val="18"/>
                <w:lang w:eastAsia="tr-TR"/>
              </w:rPr>
            </w:pPr>
            <w:r w:rsidRPr="00005453">
              <w:rPr>
                <w:color w:val="000000"/>
                <w:sz w:val="18"/>
                <w:szCs w:val="18"/>
              </w:rPr>
              <w:t>3,551,887</w:t>
            </w:r>
          </w:p>
        </w:tc>
        <w:tc>
          <w:tcPr>
            <w:tcW w:w="2182" w:type="dxa"/>
            <w:tcBorders>
              <w:top w:val="nil"/>
              <w:left w:val="nil"/>
              <w:bottom w:val="nil"/>
              <w:right w:val="nil"/>
            </w:tcBorders>
            <w:shd w:val="clear" w:color="auto" w:fill="auto"/>
            <w:vAlign w:val="center"/>
            <w:hideMark/>
          </w:tcPr>
          <w:p w14:paraId="3D190E63" w14:textId="6C3EEC26" w:rsidR="00F14B37" w:rsidRPr="00005453" w:rsidRDefault="00F14B37" w:rsidP="00F14B37">
            <w:pPr>
              <w:jc w:val="right"/>
              <w:rPr>
                <w:color w:val="000000"/>
                <w:sz w:val="18"/>
                <w:szCs w:val="18"/>
                <w:lang w:eastAsia="tr-TR"/>
              </w:rPr>
            </w:pPr>
            <w:r w:rsidRPr="00005453">
              <w:rPr>
                <w:color w:val="000000"/>
                <w:sz w:val="18"/>
                <w:szCs w:val="18"/>
              </w:rPr>
              <w:t>559,729</w:t>
            </w:r>
          </w:p>
        </w:tc>
        <w:tc>
          <w:tcPr>
            <w:tcW w:w="1929" w:type="dxa"/>
            <w:tcBorders>
              <w:top w:val="nil"/>
              <w:left w:val="nil"/>
              <w:bottom w:val="nil"/>
              <w:right w:val="nil"/>
            </w:tcBorders>
            <w:shd w:val="clear" w:color="auto" w:fill="auto"/>
            <w:vAlign w:val="center"/>
            <w:hideMark/>
          </w:tcPr>
          <w:p w14:paraId="0549C655" w14:textId="3AB96D90" w:rsidR="00F14B37" w:rsidRPr="00005453" w:rsidRDefault="00F14B37" w:rsidP="00F14B37">
            <w:pPr>
              <w:jc w:val="right"/>
              <w:rPr>
                <w:color w:val="000000"/>
                <w:sz w:val="18"/>
                <w:szCs w:val="18"/>
                <w:lang w:eastAsia="tr-TR"/>
              </w:rPr>
            </w:pPr>
            <w:r w:rsidRPr="00005453">
              <w:rPr>
                <w:color w:val="000000"/>
                <w:sz w:val="18"/>
                <w:szCs w:val="18"/>
              </w:rPr>
              <w:t>1,704,716</w:t>
            </w:r>
          </w:p>
        </w:tc>
      </w:tr>
      <w:tr w:rsidR="00F14B37" w:rsidRPr="00005453" w14:paraId="6A55FA71" w14:textId="77777777" w:rsidTr="00F14B37">
        <w:trPr>
          <w:divId w:val="1486899767"/>
          <w:trHeight w:val="218"/>
        </w:trPr>
        <w:tc>
          <w:tcPr>
            <w:tcW w:w="3544" w:type="dxa"/>
            <w:tcBorders>
              <w:top w:val="nil"/>
              <w:left w:val="nil"/>
              <w:bottom w:val="nil"/>
              <w:right w:val="nil"/>
            </w:tcBorders>
            <w:shd w:val="clear" w:color="auto" w:fill="auto"/>
            <w:vAlign w:val="center"/>
            <w:hideMark/>
          </w:tcPr>
          <w:p w14:paraId="1268D6DB" w14:textId="77777777" w:rsidR="00F14B37" w:rsidRPr="00005453" w:rsidRDefault="00F14B37" w:rsidP="00F14B37">
            <w:pPr>
              <w:rPr>
                <w:color w:val="000000"/>
                <w:sz w:val="18"/>
                <w:szCs w:val="18"/>
                <w:lang w:eastAsia="tr-TR"/>
              </w:rPr>
            </w:pPr>
            <w:r w:rsidRPr="00005453">
              <w:rPr>
                <w:color w:val="000000"/>
                <w:sz w:val="18"/>
                <w:szCs w:val="18"/>
                <w:lang w:eastAsia="tr-TR"/>
              </w:rPr>
              <w:t>Elektrik, Gaz, Su</w:t>
            </w:r>
          </w:p>
        </w:tc>
        <w:tc>
          <w:tcPr>
            <w:tcW w:w="2126" w:type="dxa"/>
            <w:tcBorders>
              <w:top w:val="nil"/>
              <w:left w:val="nil"/>
              <w:bottom w:val="nil"/>
              <w:right w:val="nil"/>
            </w:tcBorders>
            <w:shd w:val="clear" w:color="auto" w:fill="auto"/>
            <w:vAlign w:val="center"/>
            <w:hideMark/>
          </w:tcPr>
          <w:p w14:paraId="5B073A0B" w14:textId="67069431" w:rsidR="00F14B37" w:rsidRPr="00005453" w:rsidRDefault="00F14B37" w:rsidP="00F14B37">
            <w:pPr>
              <w:jc w:val="right"/>
              <w:rPr>
                <w:color w:val="000000"/>
                <w:sz w:val="18"/>
                <w:szCs w:val="18"/>
                <w:lang w:eastAsia="tr-TR"/>
              </w:rPr>
            </w:pPr>
            <w:r w:rsidRPr="00005453">
              <w:rPr>
                <w:color w:val="000000"/>
                <w:sz w:val="18"/>
                <w:szCs w:val="18"/>
              </w:rPr>
              <w:t>1,724,665</w:t>
            </w:r>
          </w:p>
        </w:tc>
        <w:tc>
          <w:tcPr>
            <w:tcW w:w="2182" w:type="dxa"/>
            <w:tcBorders>
              <w:top w:val="nil"/>
              <w:left w:val="nil"/>
              <w:bottom w:val="nil"/>
              <w:right w:val="nil"/>
            </w:tcBorders>
            <w:shd w:val="clear" w:color="auto" w:fill="auto"/>
            <w:vAlign w:val="center"/>
            <w:hideMark/>
          </w:tcPr>
          <w:p w14:paraId="3F4A9176" w14:textId="1ECA4840" w:rsidR="00F14B37" w:rsidRPr="00005453" w:rsidRDefault="00F14B37" w:rsidP="00F14B37">
            <w:pPr>
              <w:jc w:val="right"/>
              <w:rPr>
                <w:color w:val="000000"/>
                <w:sz w:val="18"/>
                <w:szCs w:val="18"/>
                <w:lang w:eastAsia="tr-TR"/>
              </w:rPr>
            </w:pPr>
            <w:r w:rsidRPr="00005453">
              <w:rPr>
                <w:color w:val="000000"/>
                <w:sz w:val="18"/>
                <w:szCs w:val="18"/>
              </w:rPr>
              <w:t>6,560</w:t>
            </w:r>
          </w:p>
        </w:tc>
        <w:tc>
          <w:tcPr>
            <w:tcW w:w="1929" w:type="dxa"/>
            <w:tcBorders>
              <w:top w:val="nil"/>
              <w:left w:val="nil"/>
              <w:bottom w:val="nil"/>
              <w:right w:val="nil"/>
            </w:tcBorders>
            <w:shd w:val="clear" w:color="auto" w:fill="auto"/>
            <w:vAlign w:val="center"/>
            <w:hideMark/>
          </w:tcPr>
          <w:p w14:paraId="2ABB3110" w14:textId="7D99EDD8" w:rsidR="00F14B37" w:rsidRPr="00005453" w:rsidRDefault="00F14B37" w:rsidP="00F14B37">
            <w:pPr>
              <w:jc w:val="right"/>
              <w:rPr>
                <w:color w:val="000000"/>
                <w:sz w:val="18"/>
                <w:szCs w:val="18"/>
                <w:lang w:eastAsia="tr-TR"/>
              </w:rPr>
            </w:pPr>
            <w:r w:rsidRPr="00005453">
              <w:rPr>
                <w:color w:val="000000"/>
                <w:sz w:val="18"/>
                <w:szCs w:val="18"/>
              </w:rPr>
              <w:t>541,761</w:t>
            </w:r>
          </w:p>
        </w:tc>
      </w:tr>
      <w:tr w:rsidR="00F14B37" w:rsidRPr="00005453" w14:paraId="244DA121" w14:textId="77777777" w:rsidTr="00F14B37">
        <w:trPr>
          <w:divId w:val="1486899767"/>
          <w:trHeight w:val="136"/>
        </w:trPr>
        <w:tc>
          <w:tcPr>
            <w:tcW w:w="3544" w:type="dxa"/>
            <w:tcBorders>
              <w:top w:val="nil"/>
              <w:left w:val="nil"/>
              <w:bottom w:val="nil"/>
              <w:right w:val="nil"/>
            </w:tcBorders>
            <w:shd w:val="clear" w:color="auto" w:fill="auto"/>
            <w:vAlign w:val="center"/>
            <w:hideMark/>
          </w:tcPr>
          <w:p w14:paraId="7F75B3C3" w14:textId="77777777" w:rsidR="00F14B37" w:rsidRPr="00005453" w:rsidRDefault="00F14B37" w:rsidP="00F14B37">
            <w:pPr>
              <w:rPr>
                <w:b/>
                <w:bCs/>
                <w:color w:val="000000"/>
                <w:sz w:val="18"/>
                <w:szCs w:val="18"/>
                <w:lang w:eastAsia="tr-TR"/>
              </w:rPr>
            </w:pPr>
            <w:r w:rsidRPr="00005453">
              <w:rPr>
                <w:b/>
                <w:bCs/>
                <w:color w:val="000000"/>
                <w:sz w:val="18"/>
                <w:szCs w:val="18"/>
                <w:lang w:eastAsia="tr-TR"/>
              </w:rPr>
              <w:t>İnşaat</w:t>
            </w:r>
          </w:p>
        </w:tc>
        <w:tc>
          <w:tcPr>
            <w:tcW w:w="2126" w:type="dxa"/>
            <w:tcBorders>
              <w:top w:val="nil"/>
              <w:left w:val="nil"/>
              <w:bottom w:val="nil"/>
              <w:right w:val="nil"/>
            </w:tcBorders>
            <w:shd w:val="clear" w:color="auto" w:fill="auto"/>
            <w:vAlign w:val="center"/>
            <w:hideMark/>
          </w:tcPr>
          <w:p w14:paraId="617E4390" w14:textId="4BFC6CB6" w:rsidR="00F14B37" w:rsidRPr="00005453" w:rsidRDefault="00F14B37" w:rsidP="00F14B37">
            <w:pPr>
              <w:jc w:val="right"/>
              <w:rPr>
                <w:b/>
                <w:bCs/>
                <w:color w:val="000000"/>
                <w:sz w:val="18"/>
                <w:szCs w:val="18"/>
                <w:lang w:eastAsia="tr-TR"/>
              </w:rPr>
            </w:pPr>
            <w:r w:rsidRPr="00005453">
              <w:rPr>
                <w:b/>
                <w:bCs/>
                <w:color w:val="000000"/>
                <w:sz w:val="18"/>
                <w:szCs w:val="18"/>
              </w:rPr>
              <w:t>2,818,855</w:t>
            </w:r>
          </w:p>
        </w:tc>
        <w:tc>
          <w:tcPr>
            <w:tcW w:w="2182" w:type="dxa"/>
            <w:tcBorders>
              <w:top w:val="nil"/>
              <w:left w:val="nil"/>
              <w:bottom w:val="nil"/>
              <w:right w:val="nil"/>
            </w:tcBorders>
            <w:shd w:val="clear" w:color="auto" w:fill="auto"/>
            <w:vAlign w:val="center"/>
            <w:hideMark/>
          </w:tcPr>
          <w:p w14:paraId="43F2D1BD" w14:textId="0590C016" w:rsidR="00F14B37" w:rsidRPr="00005453" w:rsidRDefault="00F14B37" w:rsidP="00F14B37">
            <w:pPr>
              <w:jc w:val="right"/>
              <w:rPr>
                <w:b/>
                <w:bCs/>
                <w:color w:val="000000"/>
                <w:sz w:val="18"/>
                <w:szCs w:val="18"/>
                <w:lang w:eastAsia="tr-TR"/>
              </w:rPr>
            </w:pPr>
            <w:r w:rsidRPr="00005453">
              <w:rPr>
                <w:b/>
                <w:bCs/>
                <w:color w:val="000000"/>
                <w:sz w:val="18"/>
                <w:szCs w:val="18"/>
              </w:rPr>
              <w:t>1,123,118</w:t>
            </w:r>
          </w:p>
        </w:tc>
        <w:tc>
          <w:tcPr>
            <w:tcW w:w="1929" w:type="dxa"/>
            <w:tcBorders>
              <w:top w:val="nil"/>
              <w:left w:val="nil"/>
              <w:bottom w:val="nil"/>
              <w:right w:val="nil"/>
            </w:tcBorders>
            <w:shd w:val="clear" w:color="auto" w:fill="auto"/>
            <w:vAlign w:val="center"/>
            <w:hideMark/>
          </w:tcPr>
          <w:p w14:paraId="5565251D" w14:textId="4C041234" w:rsidR="00F14B37" w:rsidRPr="00005453" w:rsidRDefault="00F14B37" w:rsidP="00F14B37">
            <w:pPr>
              <w:jc w:val="right"/>
              <w:rPr>
                <w:b/>
                <w:bCs/>
                <w:color w:val="000000"/>
                <w:sz w:val="18"/>
                <w:szCs w:val="18"/>
                <w:lang w:eastAsia="tr-TR"/>
              </w:rPr>
            </w:pPr>
            <w:r w:rsidRPr="00005453">
              <w:rPr>
                <w:b/>
                <w:bCs/>
                <w:color w:val="000000"/>
                <w:sz w:val="18"/>
                <w:szCs w:val="18"/>
              </w:rPr>
              <w:t>2,207,555</w:t>
            </w:r>
          </w:p>
        </w:tc>
      </w:tr>
      <w:tr w:rsidR="00F14B37" w:rsidRPr="00005453" w14:paraId="6C7AE94C" w14:textId="77777777" w:rsidTr="00F14B37">
        <w:trPr>
          <w:divId w:val="1486899767"/>
          <w:trHeight w:val="136"/>
        </w:trPr>
        <w:tc>
          <w:tcPr>
            <w:tcW w:w="3544" w:type="dxa"/>
            <w:tcBorders>
              <w:top w:val="nil"/>
              <w:left w:val="nil"/>
              <w:bottom w:val="nil"/>
              <w:right w:val="nil"/>
            </w:tcBorders>
            <w:shd w:val="clear" w:color="auto" w:fill="auto"/>
            <w:vAlign w:val="center"/>
            <w:hideMark/>
          </w:tcPr>
          <w:p w14:paraId="512B2F6D" w14:textId="77777777" w:rsidR="00F14B37" w:rsidRPr="00005453" w:rsidRDefault="00F14B37" w:rsidP="00F14B37">
            <w:pPr>
              <w:rPr>
                <w:b/>
                <w:bCs/>
                <w:color w:val="000000"/>
                <w:sz w:val="18"/>
                <w:szCs w:val="18"/>
                <w:lang w:eastAsia="tr-TR"/>
              </w:rPr>
            </w:pPr>
            <w:r w:rsidRPr="00005453">
              <w:rPr>
                <w:b/>
                <w:bCs/>
                <w:color w:val="000000"/>
                <w:sz w:val="18"/>
                <w:szCs w:val="18"/>
                <w:lang w:eastAsia="tr-TR"/>
              </w:rPr>
              <w:t>Hizmetler</w:t>
            </w:r>
          </w:p>
        </w:tc>
        <w:tc>
          <w:tcPr>
            <w:tcW w:w="2126" w:type="dxa"/>
            <w:tcBorders>
              <w:top w:val="nil"/>
              <w:left w:val="nil"/>
              <w:bottom w:val="nil"/>
              <w:right w:val="nil"/>
            </w:tcBorders>
            <w:shd w:val="clear" w:color="auto" w:fill="auto"/>
            <w:vAlign w:val="center"/>
            <w:hideMark/>
          </w:tcPr>
          <w:p w14:paraId="00C74A88" w14:textId="23EF05E8" w:rsidR="00F14B37" w:rsidRPr="00005453" w:rsidRDefault="00F14B37" w:rsidP="00F14B37">
            <w:pPr>
              <w:jc w:val="right"/>
              <w:rPr>
                <w:b/>
                <w:bCs/>
                <w:color w:val="000000"/>
                <w:sz w:val="18"/>
                <w:szCs w:val="18"/>
                <w:lang w:eastAsia="tr-TR"/>
              </w:rPr>
            </w:pPr>
            <w:r w:rsidRPr="00005453">
              <w:rPr>
                <w:b/>
                <w:bCs/>
                <w:color w:val="000000"/>
                <w:sz w:val="18"/>
                <w:szCs w:val="18"/>
              </w:rPr>
              <w:t>6,952,008</w:t>
            </w:r>
          </w:p>
        </w:tc>
        <w:tc>
          <w:tcPr>
            <w:tcW w:w="2182" w:type="dxa"/>
            <w:tcBorders>
              <w:top w:val="nil"/>
              <w:left w:val="nil"/>
              <w:bottom w:val="nil"/>
              <w:right w:val="nil"/>
            </w:tcBorders>
            <w:shd w:val="clear" w:color="auto" w:fill="auto"/>
            <w:vAlign w:val="center"/>
            <w:hideMark/>
          </w:tcPr>
          <w:p w14:paraId="78830664" w14:textId="6F7C6B80" w:rsidR="00F14B37" w:rsidRPr="00005453" w:rsidRDefault="00F14B37" w:rsidP="00F14B37">
            <w:pPr>
              <w:jc w:val="right"/>
              <w:rPr>
                <w:b/>
                <w:bCs/>
                <w:color w:val="000000"/>
                <w:sz w:val="18"/>
                <w:szCs w:val="18"/>
                <w:lang w:eastAsia="tr-TR"/>
              </w:rPr>
            </w:pPr>
            <w:r w:rsidRPr="00005453">
              <w:rPr>
                <w:b/>
                <w:bCs/>
                <w:color w:val="000000"/>
                <w:sz w:val="18"/>
                <w:szCs w:val="18"/>
              </w:rPr>
              <w:t>1,645,613</w:t>
            </w:r>
          </w:p>
        </w:tc>
        <w:tc>
          <w:tcPr>
            <w:tcW w:w="1929" w:type="dxa"/>
            <w:tcBorders>
              <w:top w:val="nil"/>
              <w:left w:val="nil"/>
              <w:bottom w:val="nil"/>
              <w:right w:val="nil"/>
            </w:tcBorders>
            <w:shd w:val="clear" w:color="auto" w:fill="auto"/>
            <w:vAlign w:val="center"/>
            <w:hideMark/>
          </w:tcPr>
          <w:p w14:paraId="55991301" w14:textId="7233C88D" w:rsidR="00F14B37" w:rsidRPr="00005453" w:rsidRDefault="00F14B37" w:rsidP="00F14B37">
            <w:pPr>
              <w:jc w:val="right"/>
              <w:rPr>
                <w:b/>
                <w:bCs/>
                <w:color w:val="000000"/>
                <w:sz w:val="18"/>
                <w:szCs w:val="18"/>
                <w:lang w:eastAsia="tr-TR"/>
              </w:rPr>
            </w:pPr>
            <w:r w:rsidRPr="00005453">
              <w:rPr>
                <w:b/>
                <w:bCs/>
                <w:color w:val="000000"/>
                <w:sz w:val="18"/>
                <w:szCs w:val="18"/>
              </w:rPr>
              <w:t>3,285,072</w:t>
            </w:r>
          </w:p>
        </w:tc>
      </w:tr>
      <w:tr w:rsidR="00F14B37" w:rsidRPr="00005453" w14:paraId="580E21EE" w14:textId="77777777" w:rsidTr="00F14B37">
        <w:trPr>
          <w:divId w:val="1486899767"/>
          <w:trHeight w:val="60"/>
        </w:trPr>
        <w:tc>
          <w:tcPr>
            <w:tcW w:w="3544" w:type="dxa"/>
            <w:tcBorders>
              <w:top w:val="nil"/>
              <w:left w:val="nil"/>
              <w:bottom w:val="nil"/>
              <w:right w:val="nil"/>
            </w:tcBorders>
            <w:shd w:val="clear" w:color="auto" w:fill="auto"/>
            <w:vAlign w:val="center"/>
            <w:hideMark/>
          </w:tcPr>
          <w:p w14:paraId="425503F1" w14:textId="77777777" w:rsidR="00F14B37" w:rsidRPr="00005453" w:rsidRDefault="00F14B37" w:rsidP="00F14B37">
            <w:pPr>
              <w:rPr>
                <w:color w:val="000000"/>
                <w:sz w:val="18"/>
                <w:szCs w:val="18"/>
                <w:lang w:eastAsia="tr-TR"/>
              </w:rPr>
            </w:pPr>
            <w:r w:rsidRPr="00005453">
              <w:rPr>
                <w:color w:val="000000"/>
                <w:sz w:val="18"/>
                <w:szCs w:val="18"/>
                <w:lang w:eastAsia="tr-TR"/>
              </w:rPr>
              <w:t>Toptan ve Perakende Ticaret</w:t>
            </w:r>
          </w:p>
        </w:tc>
        <w:tc>
          <w:tcPr>
            <w:tcW w:w="2126" w:type="dxa"/>
            <w:tcBorders>
              <w:top w:val="nil"/>
              <w:left w:val="nil"/>
              <w:bottom w:val="nil"/>
              <w:right w:val="nil"/>
            </w:tcBorders>
            <w:shd w:val="clear" w:color="auto" w:fill="auto"/>
            <w:vAlign w:val="center"/>
            <w:hideMark/>
          </w:tcPr>
          <w:p w14:paraId="52850DCA" w14:textId="220FEB12" w:rsidR="00F14B37" w:rsidRPr="00005453" w:rsidRDefault="00F14B37" w:rsidP="00F14B37">
            <w:pPr>
              <w:jc w:val="right"/>
              <w:rPr>
                <w:color w:val="000000"/>
                <w:sz w:val="18"/>
                <w:szCs w:val="18"/>
                <w:lang w:eastAsia="tr-TR"/>
              </w:rPr>
            </w:pPr>
            <w:r w:rsidRPr="00005453">
              <w:rPr>
                <w:color w:val="000000"/>
                <w:sz w:val="18"/>
                <w:szCs w:val="18"/>
              </w:rPr>
              <w:t>3,991,949</w:t>
            </w:r>
          </w:p>
        </w:tc>
        <w:tc>
          <w:tcPr>
            <w:tcW w:w="2182" w:type="dxa"/>
            <w:tcBorders>
              <w:top w:val="nil"/>
              <w:left w:val="nil"/>
              <w:bottom w:val="nil"/>
              <w:right w:val="nil"/>
            </w:tcBorders>
            <w:shd w:val="clear" w:color="auto" w:fill="auto"/>
            <w:vAlign w:val="center"/>
            <w:hideMark/>
          </w:tcPr>
          <w:p w14:paraId="556EE509" w14:textId="1170E675" w:rsidR="00F14B37" w:rsidRPr="00005453" w:rsidRDefault="00F14B37" w:rsidP="00F14B37">
            <w:pPr>
              <w:jc w:val="right"/>
              <w:rPr>
                <w:color w:val="000000"/>
                <w:sz w:val="18"/>
                <w:szCs w:val="18"/>
                <w:lang w:eastAsia="tr-TR"/>
              </w:rPr>
            </w:pPr>
            <w:r w:rsidRPr="00005453">
              <w:rPr>
                <w:color w:val="000000"/>
                <w:sz w:val="18"/>
                <w:szCs w:val="18"/>
              </w:rPr>
              <w:t>991,125</w:t>
            </w:r>
          </w:p>
        </w:tc>
        <w:tc>
          <w:tcPr>
            <w:tcW w:w="1929" w:type="dxa"/>
            <w:tcBorders>
              <w:top w:val="nil"/>
              <w:left w:val="nil"/>
              <w:bottom w:val="nil"/>
              <w:right w:val="nil"/>
            </w:tcBorders>
            <w:shd w:val="clear" w:color="auto" w:fill="auto"/>
            <w:vAlign w:val="center"/>
            <w:hideMark/>
          </w:tcPr>
          <w:p w14:paraId="1A555E44" w14:textId="19BB38D4" w:rsidR="00F14B37" w:rsidRPr="00005453" w:rsidRDefault="00F14B37" w:rsidP="00F14B37">
            <w:pPr>
              <w:jc w:val="right"/>
              <w:rPr>
                <w:color w:val="000000"/>
                <w:sz w:val="18"/>
                <w:szCs w:val="18"/>
                <w:lang w:eastAsia="tr-TR"/>
              </w:rPr>
            </w:pPr>
            <w:r w:rsidRPr="00005453">
              <w:rPr>
                <w:color w:val="000000"/>
                <w:sz w:val="18"/>
                <w:szCs w:val="18"/>
              </w:rPr>
              <w:t>1,682,255</w:t>
            </w:r>
          </w:p>
        </w:tc>
      </w:tr>
      <w:tr w:rsidR="00F14B37" w:rsidRPr="00005453" w14:paraId="71BA02EE" w14:textId="77777777" w:rsidTr="00F14B37">
        <w:trPr>
          <w:divId w:val="1486899767"/>
          <w:trHeight w:val="133"/>
        </w:trPr>
        <w:tc>
          <w:tcPr>
            <w:tcW w:w="3544" w:type="dxa"/>
            <w:tcBorders>
              <w:top w:val="nil"/>
              <w:left w:val="nil"/>
              <w:bottom w:val="nil"/>
              <w:right w:val="nil"/>
            </w:tcBorders>
            <w:shd w:val="clear" w:color="auto" w:fill="auto"/>
            <w:vAlign w:val="center"/>
            <w:hideMark/>
          </w:tcPr>
          <w:p w14:paraId="31388F63" w14:textId="77777777" w:rsidR="00F14B37" w:rsidRPr="00005453" w:rsidRDefault="00F14B37" w:rsidP="00F14B37">
            <w:pPr>
              <w:rPr>
                <w:color w:val="000000"/>
                <w:sz w:val="18"/>
                <w:szCs w:val="18"/>
                <w:lang w:eastAsia="tr-TR"/>
              </w:rPr>
            </w:pPr>
            <w:r w:rsidRPr="00005453">
              <w:rPr>
                <w:color w:val="000000"/>
                <w:sz w:val="18"/>
                <w:szCs w:val="18"/>
                <w:lang w:eastAsia="tr-TR"/>
              </w:rPr>
              <w:t>Otel ve Lokanta Hizmetleri</w:t>
            </w:r>
          </w:p>
        </w:tc>
        <w:tc>
          <w:tcPr>
            <w:tcW w:w="2126" w:type="dxa"/>
            <w:tcBorders>
              <w:top w:val="nil"/>
              <w:left w:val="nil"/>
              <w:bottom w:val="nil"/>
              <w:right w:val="nil"/>
            </w:tcBorders>
            <w:shd w:val="clear" w:color="auto" w:fill="auto"/>
            <w:vAlign w:val="center"/>
            <w:hideMark/>
          </w:tcPr>
          <w:p w14:paraId="61E1A054" w14:textId="4B84BFE1" w:rsidR="00F14B37" w:rsidRPr="00005453" w:rsidRDefault="00F14B37" w:rsidP="00F14B37">
            <w:pPr>
              <w:jc w:val="right"/>
              <w:rPr>
                <w:color w:val="000000"/>
                <w:sz w:val="18"/>
                <w:szCs w:val="18"/>
                <w:lang w:eastAsia="tr-TR"/>
              </w:rPr>
            </w:pPr>
            <w:r w:rsidRPr="00005453">
              <w:rPr>
                <w:color w:val="000000"/>
                <w:sz w:val="18"/>
                <w:szCs w:val="18"/>
              </w:rPr>
              <w:t>158,771</w:t>
            </w:r>
          </w:p>
        </w:tc>
        <w:tc>
          <w:tcPr>
            <w:tcW w:w="2182" w:type="dxa"/>
            <w:tcBorders>
              <w:top w:val="nil"/>
              <w:left w:val="nil"/>
              <w:bottom w:val="nil"/>
              <w:right w:val="nil"/>
            </w:tcBorders>
            <w:shd w:val="clear" w:color="auto" w:fill="auto"/>
            <w:vAlign w:val="center"/>
            <w:hideMark/>
          </w:tcPr>
          <w:p w14:paraId="27D0AEC7" w14:textId="3462E5D3" w:rsidR="00F14B37" w:rsidRPr="00005453" w:rsidRDefault="00F14B37" w:rsidP="00F14B37">
            <w:pPr>
              <w:jc w:val="right"/>
              <w:rPr>
                <w:color w:val="000000"/>
                <w:sz w:val="18"/>
                <w:szCs w:val="18"/>
                <w:lang w:eastAsia="tr-TR"/>
              </w:rPr>
            </w:pPr>
            <w:r w:rsidRPr="00005453">
              <w:rPr>
                <w:color w:val="000000"/>
                <w:sz w:val="18"/>
                <w:szCs w:val="18"/>
              </w:rPr>
              <w:t>385,910</w:t>
            </w:r>
          </w:p>
        </w:tc>
        <w:tc>
          <w:tcPr>
            <w:tcW w:w="1929" w:type="dxa"/>
            <w:tcBorders>
              <w:top w:val="nil"/>
              <w:left w:val="nil"/>
              <w:bottom w:val="nil"/>
              <w:right w:val="nil"/>
            </w:tcBorders>
            <w:shd w:val="clear" w:color="auto" w:fill="auto"/>
            <w:vAlign w:val="center"/>
            <w:hideMark/>
          </w:tcPr>
          <w:p w14:paraId="0BCDD03A" w14:textId="104A60ED" w:rsidR="00F14B37" w:rsidRPr="00005453" w:rsidRDefault="00F14B37" w:rsidP="00F14B37">
            <w:pPr>
              <w:jc w:val="right"/>
              <w:rPr>
                <w:color w:val="000000"/>
                <w:sz w:val="18"/>
                <w:szCs w:val="18"/>
                <w:lang w:eastAsia="tr-TR"/>
              </w:rPr>
            </w:pPr>
            <w:r w:rsidRPr="00005453">
              <w:rPr>
                <w:color w:val="000000"/>
                <w:sz w:val="18"/>
                <w:szCs w:val="18"/>
              </w:rPr>
              <w:t>410,262</w:t>
            </w:r>
          </w:p>
        </w:tc>
      </w:tr>
      <w:tr w:rsidR="00F14B37" w:rsidRPr="00005453" w14:paraId="4C8CF921" w14:textId="77777777" w:rsidTr="00F14B37">
        <w:trPr>
          <w:divId w:val="1486899767"/>
          <w:trHeight w:val="66"/>
        </w:trPr>
        <w:tc>
          <w:tcPr>
            <w:tcW w:w="3544" w:type="dxa"/>
            <w:tcBorders>
              <w:top w:val="nil"/>
              <w:left w:val="nil"/>
              <w:bottom w:val="nil"/>
              <w:right w:val="nil"/>
            </w:tcBorders>
            <w:shd w:val="clear" w:color="auto" w:fill="auto"/>
            <w:vAlign w:val="center"/>
            <w:hideMark/>
          </w:tcPr>
          <w:p w14:paraId="080F57B4" w14:textId="77777777" w:rsidR="00F14B37" w:rsidRPr="00005453" w:rsidRDefault="00F14B37" w:rsidP="00F14B37">
            <w:pPr>
              <w:rPr>
                <w:color w:val="000000"/>
                <w:sz w:val="18"/>
                <w:szCs w:val="18"/>
                <w:lang w:eastAsia="tr-TR"/>
              </w:rPr>
            </w:pPr>
            <w:r w:rsidRPr="00005453">
              <w:rPr>
                <w:color w:val="000000"/>
                <w:sz w:val="18"/>
                <w:szCs w:val="18"/>
                <w:lang w:eastAsia="tr-TR"/>
              </w:rPr>
              <w:t>Ulaştırma ve Haberleşme</w:t>
            </w:r>
          </w:p>
        </w:tc>
        <w:tc>
          <w:tcPr>
            <w:tcW w:w="2126" w:type="dxa"/>
            <w:tcBorders>
              <w:top w:val="nil"/>
              <w:left w:val="nil"/>
              <w:bottom w:val="nil"/>
              <w:right w:val="nil"/>
            </w:tcBorders>
            <w:shd w:val="clear" w:color="auto" w:fill="auto"/>
            <w:vAlign w:val="center"/>
            <w:hideMark/>
          </w:tcPr>
          <w:p w14:paraId="4FA455F4" w14:textId="7A99EB98" w:rsidR="00F14B37" w:rsidRPr="00005453" w:rsidRDefault="00F14B37" w:rsidP="00F14B37">
            <w:pPr>
              <w:jc w:val="right"/>
              <w:rPr>
                <w:color w:val="000000"/>
                <w:sz w:val="18"/>
                <w:szCs w:val="18"/>
                <w:lang w:eastAsia="tr-TR"/>
              </w:rPr>
            </w:pPr>
            <w:r w:rsidRPr="00005453">
              <w:rPr>
                <w:color w:val="000000"/>
                <w:sz w:val="18"/>
                <w:szCs w:val="18"/>
              </w:rPr>
              <w:t>1,323,493</w:t>
            </w:r>
          </w:p>
        </w:tc>
        <w:tc>
          <w:tcPr>
            <w:tcW w:w="2182" w:type="dxa"/>
            <w:tcBorders>
              <w:top w:val="nil"/>
              <w:left w:val="nil"/>
              <w:bottom w:val="nil"/>
              <w:right w:val="nil"/>
            </w:tcBorders>
            <w:shd w:val="clear" w:color="auto" w:fill="auto"/>
            <w:vAlign w:val="center"/>
            <w:hideMark/>
          </w:tcPr>
          <w:p w14:paraId="6E824901" w14:textId="7D589915" w:rsidR="00F14B37" w:rsidRPr="00005453" w:rsidRDefault="00F14B37" w:rsidP="00F14B37">
            <w:pPr>
              <w:jc w:val="right"/>
              <w:rPr>
                <w:color w:val="000000"/>
                <w:sz w:val="18"/>
                <w:szCs w:val="18"/>
                <w:lang w:eastAsia="tr-TR"/>
              </w:rPr>
            </w:pPr>
            <w:r w:rsidRPr="00005453">
              <w:rPr>
                <w:color w:val="000000"/>
                <w:sz w:val="18"/>
                <w:szCs w:val="18"/>
              </w:rPr>
              <w:t>91,870</w:t>
            </w:r>
          </w:p>
        </w:tc>
        <w:tc>
          <w:tcPr>
            <w:tcW w:w="1929" w:type="dxa"/>
            <w:tcBorders>
              <w:top w:val="nil"/>
              <w:left w:val="nil"/>
              <w:bottom w:val="nil"/>
              <w:right w:val="nil"/>
            </w:tcBorders>
            <w:shd w:val="clear" w:color="auto" w:fill="auto"/>
            <w:vAlign w:val="center"/>
            <w:hideMark/>
          </w:tcPr>
          <w:p w14:paraId="1737A3A0" w14:textId="51943D89" w:rsidR="00F14B37" w:rsidRPr="00005453" w:rsidRDefault="00F14B37" w:rsidP="00F14B37">
            <w:pPr>
              <w:jc w:val="right"/>
              <w:rPr>
                <w:color w:val="000000"/>
                <w:sz w:val="18"/>
                <w:szCs w:val="18"/>
                <w:lang w:eastAsia="tr-TR"/>
              </w:rPr>
            </w:pPr>
            <w:r w:rsidRPr="00005453">
              <w:rPr>
                <w:color w:val="000000"/>
                <w:sz w:val="18"/>
                <w:szCs w:val="18"/>
              </w:rPr>
              <w:t>396,221</w:t>
            </w:r>
          </w:p>
        </w:tc>
      </w:tr>
      <w:tr w:rsidR="00F14B37" w:rsidRPr="00005453" w14:paraId="2BCC4BF1" w14:textId="77777777" w:rsidTr="00F14B37">
        <w:trPr>
          <w:divId w:val="1486899767"/>
          <w:trHeight w:val="140"/>
        </w:trPr>
        <w:tc>
          <w:tcPr>
            <w:tcW w:w="3544" w:type="dxa"/>
            <w:tcBorders>
              <w:top w:val="nil"/>
              <w:left w:val="nil"/>
              <w:bottom w:val="nil"/>
              <w:right w:val="nil"/>
            </w:tcBorders>
            <w:shd w:val="clear" w:color="auto" w:fill="auto"/>
            <w:vAlign w:val="center"/>
            <w:hideMark/>
          </w:tcPr>
          <w:p w14:paraId="573E562E" w14:textId="77777777" w:rsidR="00F14B37" w:rsidRPr="00005453" w:rsidRDefault="00F14B37" w:rsidP="00F14B37">
            <w:pPr>
              <w:rPr>
                <w:color w:val="000000"/>
                <w:sz w:val="18"/>
                <w:szCs w:val="18"/>
                <w:lang w:eastAsia="tr-TR"/>
              </w:rPr>
            </w:pPr>
            <w:r w:rsidRPr="00005453">
              <w:rPr>
                <w:color w:val="000000"/>
                <w:sz w:val="18"/>
                <w:szCs w:val="18"/>
                <w:lang w:eastAsia="tr-TR"/>
              </w:rPr>
              <w:t>Mali Kuruluşlar</w:t>
            </w:r>
          </w:p>
        </w:tc>
        <w:tc>
          <w:tcPr>
            <w:tcW w:w="2126" w:type="dxa"/>
            <w:tcBorders>
              <w:top w:val="nil"/>
              <w:left w:val="nil"/>
              <w:bottom w:val="nil"/>
              <w:right w:val="nil"/>
            </w:tcBorders>
            <w:shd w:val="clear" w:color="auto" w:fill="auto"/>
            <w:vAlign w:val="center"/>
            <w:hideMark/>
          </w:tcPr>
          <w:p w14:paraId="0D7D11D5" w14:textId="6F504F3A" w:rsidR="00F14B37" w:rsidRPr="00005453" w:rsidRDefault="00F14B37" w:rsidP="00F14B37">
            <w:pPr>
              <w:jc w:val="right"/>
              <w:rPr>
                <w:color w:val="000000"/>
                <w:sz w:val="18"/>
                <w:szCs w:val="18"/>
                <w:lang w:eastAsia="tr-TR"/>
              </w:rPr>
            </w:pPr>
            <w:r w:rsidRPr="00005453">
              <w:rPr>
                <w:color w:val="000000"/>
                <w:sz w:val="18"/>
                <w:szCs w:val="18"/>
              </w:rPr>
              <w:t>2,097</w:t>
            </w:r>
          </w:p>
        </w:tc>
        <w:tc>
          <w:tcPr>
            <w:tcW w:w="2182" w:type="dxa"/>
            <w:tcBorders>
              <w:top w:val="nil"/>
              <w:left w:val="nil"/>
              <w:bottom w:val="nil"/>
              <w:right w:val="nil"/>
            </w:tcBorders>
            <w:shd w:val="clear" w:color="auto" w:fill="auto"/>
            <w:vAlign w:val="center"/>
            <w:hideMark/>
          </w:tcPr>
          <w:p w14:paraId="1221DA2B" w14:textId="46C8BAD7" w:rsidR="00F14B37" w:rsidRPr="00005453" w:rsidRDefault="00F14B37" w:rsidP="00F14B37">
            <w:pPr>
              <w:jc w:val="right"/>
              <w:rPr>
                <w:color w:val="000000"/>
                <w:sz w:val="18"/>
                <w:szCs w:val="18"/>
                <w:lang w:eastAsia="tr-TR"/>
              </w:rPr>
            </w:pPr>
            <w:r w:rsidRPr="00005453">
              <w:rPr>
                <w:color w:val="000000"/>
                <w:sz w:val="18"/>
                <w:szCs w:val="18"/>
              </w:rPr>
              <w:t>14,052</w:t>
            </w:r>
          </w:p>
        </w:tc>
        <w:tc>
          <w:tcPr>
            <w:tcW w:w="1929" w:type="dxa"/>
            <w:tcBorders>
              <w:top w:val="nil"/>
              <w:left w:val="nil"/>
              <w:bottom w:val="nil"/>
              <w:right w:val="nil"/>
            </w:tcBorders>
            <w:shd w:val="clear" w:color="auto" w:fill="auto"/>
            <w:vAlign w:val="center"/>
            <w:hideMark/>
          </w:tcPr>
          <w:p w14:paraId="37BB6988" w14:textId="37ABB972" w:rsidR="00F14B37" w:rsidRPr="00005453" w:rsidRDefault="00F14B37" w:rsidP="00F14B37">
            <w:pPr>
              <w:jc w:val="right"/>
              <w:rPr>
                <w:color w:val="000000"/>
                <w:sz w:val="18"/>
                <w:szCs w:val="18"/>
                <w:lang w:eastAsia="tr-TR"/>
              </w:rPr>
            </w:pPr>
            <w:r w:rsidRPr="00005453">
              <w:rPr>
                <w:color w:val="000000"/>
                <w:sz w:val="18"/>
                <w:szCs w:val="18"/>
              </w:rPr>
              <w:t>14,057</w:t>
            </w:r>
          </w:p>
        </w:tc>
      </w:tr>
      <w:tr w:rsidR="00F14B37" w:rsidRPr="00005453" w14:paraId="45D07FAF" w14:textId="77777777" w:rsidTr="00F14B37">
        <w:trPr>
          <w:divId w:val="1486899767"/>
          <w:trHeight w:val="85"/>
        </w:trPr>
        <w:tc>
          <w:tcPr>
            <w:tcW w:w="3544" w:type="dxa"/>
            <w:tcBorders>
              <w:top w:val="nil"/>
              <w:left w:val="nil"/>
              <w:bottom w:val="nil"/>
              <w:right w:val="nil"/>
            </w:tcBorders>
            <w:shd w:val="clear" w:color="auto" w:fill="auto"/>
            <w:vAlign w:val="center"/>
            <w:hideMark/>
          </w:tcPr>
          <w:p w14:paraId="578A259B" w14:textId="77777777" w:rsidR="00F14B37" w:rsidRPr="00005453" w:rsidRDefault="00F14B37" w:rsidP="00F14B37">
            <w:pPr>
              <w:rPr>
                <w:color w:val="000000"/>
                <w:sz w:val="18"/>
                <w:szCs w:val="18"/>
                <w:lang w:eastAsia="tr-TR"/>
              </w:rPr>
            </w:pPr>
            <w:r w:rsidRPr="00005453">
              <w:rPr>
                <w:color w:val="000000"/>
                <w:sz w:val="18"/>
                <w:szCs w:val="18"/>
                <w:lang w:eastAsia="tr-TR"/>
              </w:rPr>
              <w:t>Gayrimenkul ve Kira. Hizm.</w:t>
            </w:r>
          </w:p>
        </w:tc>
        <w:tc>
          <w:tcPr>
            <w:tcW w:w="2126" w:type="dxa"/>
            <w:tcBorders>
              <w:top w:val="nil"/>
              <w:left w:val="nil"/>
              <w:bottom w:val="nil"/>
              <w:right w:val="nil"/>
            </w:tcBorders>
            <w:shd w:val="clear" w:color="auto" w:fill="auto"/>
            <w:vAlign w:val="center"/>
            <w:hideMark/>
          </w:tcPr>
          <w:p w14:paraId="69D188F7" w14:textId="6B5DDD55" w:rsidR="00F14B37" w:rsidRPr="00005453" w:rsidRDefault="00F14B37" w:rsidP="00F14B37">
            <w:pPr>
              <w:jc w:val="right"/>
              <w:rPr>
                <w:color w:val="000000"/>
                <w:sz w:val="18"/>
                <w:szCs w:val="18"/>
                <w:lang w:eastAsia="tr-TR"/>
              </w:rPr>
            </w:pPr>
            <w:r w:rsidRPr="00005453">
              <w:rPr>
                <w:color w:val="000000"/>
                <w:sz w:val="18"/>
                <w:szCs w:val="18"/>
              </w:rPr>
              <w:t>670,032</w:t>
            </w:r>
          </w:p>
        </w:tc>
        <w:tc>
          <w:tcPr>
            <w:tcW w:w="2182" w:type="dxa"/>
            <w:tcBorders>
              <w:top w:val="nil"/>
              <w:left w:val="nil"/>
              <w:bottom w:val="nil"/>
              <w:right w:val="nil"/>
            </w:tcBorders>
            <w:shd w:val="clear" w:color="auto" w:fill="auto"/>
            <w:vAlign w:val="center"/>
            <w:hideMark/>
          </w:tcPr>
          <w:p w14:paraId="26806DE2" w14:textId="41982246" w:rsidR="00F14B37" w:rsidRPr="00005453" w:rsidRDefault="00F14B37" w:rsidP="00F14B37">
            <w:pPr>
              <w:jc w:val="right"/>
              <w:rPr>
                <w:color w:val="000000"/>
                <w:sz w:val="18"/>
                <w:szCs w:val="18"/>
                <w:lang w:eastAsia="tr-TR"/>
              </w:rPr>
            </w:pPr>
            <w:r w:rsidRPr="00005453">
              <w:rPr>
                <w:color w:val="000000"/>
                <w:sz w:val="18"/>
                <w:szCs w:val="18"/>
              </w:rPr>
              <w:t>69,910</w:t>
            </w:r>
          </w:p>
        </w:tc>
        <w:tc>
          <w:tcPr>
            <w:tcW w:w="1929" w:type="dxa"/>
            <w:tcBorders>
              <w:top w:val="nil"/>
              <w:left w:val="nil"/>
              <w:bottom w:val="nil"/>
              <w:right w:val="nil"/>
            </w:tcBorders>
            <w:shd w:val="clear" w:color="auto" w:fill="auto"/>
            <w:vAlign w:val="center"/>
            <w:hideMark/>
          </w:tcPr>
          <w:p w14:paraId="28043E23" w14:textId="16AFB0C5" w:rsidR="00F14B37" w:rsidRPr="00005453" w:rsidRDefault="00F14B37" w:rsidP="00F14B37">
            <w:pPr>
              <w:jc w:val="right"/>
              <w:rPr>
                <w:color w:val="000000"/>
                <w:sz w:val="18"/>
                <w:szCs w:val="18"/>
                <w:lang w:eastAsia="tr-TR"/>
              </w:rPr>
            </w:pPr>
            <w:r w:rsidRPr="00005453">
              <w:rPr>
                <w:color w:val="000000"/>
                <w:sz w:val="18"/>
                <w:szCs w:val="18"/>
              </w:rPr>
              <w:t>442,230</w:t>
            </w:r>
          </w:p>
        </w:tc>
      </w:tr>
      <w:tr w:rsidR="00F14B37" w:rsidRPr="00005453" w14:paraId="01DF5904" w14:textId="77777777" w:rsidTr="00F14B37">
        <w:trPr>
          <w:divId w:val="1486899767"/>
          <w:trHeight w:val="160"/>
        </w:trPr>
        <w:tc>
          <w:tcPr>
            <w:tcW w:w="3544" w:type="dxa"/>
            <w:tcBorders>
              <w:top w:val="nil"/>
              <w:left w:val="nil"/>
              <w:bottom w:val="nil"/>
              <w:right w:val="nil"/>
            </w:tcBorders>
            <w:shd w:val="clear" w:color="auto" w:fill="auto"/>
            <w:vAlign w:val="center"/>
            <w:hideMark/>
          </w:tcPr>
          <w:p w14:paraId="6ABF348A" w14:textId="77777777" w:rsidR="00F14B37" w:rsidRPr="00005453" w:rsidRDefault="00F14B37" w:rsidP="00F14B37">
            <w:pPr>
              <w:rPr>
                <w:color w:val="000000"/>
                <w:sz w:val="18"/>
                <w:szCs w:val="18"/>
                <w:lang w:eastAsia="tr-TR"/>
              </w:rPr>
            </w:pPr>
            <w:r w:rsidRPr="00005453">
              <w:rPr>
                <w:color w:val="000000"/>
                <w:sz w:val="18"/>
                <w:szCs w:val="18"/>
                <w:lang w:eastAsia="tr-TR"/>
              </w:rPr>
              <w:t>Serbest Meslek Hizmetleri</w:t>
            </w:r>
          </w:p>
        </w:tc>
        <w:tc>
          <w:tcPr>
            <w:tcW w:w="2126" w:type="dxa"/>
            <w:tcBorders>
              <w:top w:val="nil"/>
              <w:left w:val="nil"/>
              <w:bottom w:val="nil"/>
              <w:right w:val="nil"/>
            </w:tcBorders>
            <w:shd w:val="clear" w:color="auto" w:fill="auto"/>
            <w:vAlign w:val="center"/>
            <w:hideMark/>
          </w:tcPr>
          <w:p w14:paraId="444F756A" w14:textId="15431F93" w:rsidR="00F14B37" w:rsidRPr="00005453" w:rsidRDefault="00F14B37" w:rsidP="00F14B37">
            <w:pPr>
              <w:jc w:val="right"/>
              <w:rPr>
                <w:color w:val="000000"/>
                <w:sz w:val="18"/>
                <w:szCs w:val="18"/>
                <w:lang w:eastAsia="tr-TR"/>
              </w:rPr>
            </w:pPr>
            <w:r w:rsidRPr="00005453">
              <w:rPr>
                <w:color w:val="000000"/>
                <w:sz w:val="18"/>
                <w:szCs w:val="18"/>
              </w:rPr>
              <w:t>-</w:t>
            </w:r>
          </w:p>
        </w:tc>
        <w:tc>
          <w:tcPr>
            <w:tcW w:w="2182" w:type="dxa"/>
            <w:tcBorders>
              <w:top w:val="nil"/>
              <w:left w:val="nil"/>
              <w:bottom w:val="nil"/>
              <w:right w:val="nil"/>
            </w:tcBorders>
            <w:shd w:val="clear" w:color="auto" w:fill="auto"/>
            <w:vAlign w:val="center"/>
            <w:hideMark/>
          </w:tcPr>
          <w:p w14:paraId="375830D6" w14:textId="7DF5FE4E" w:rsidR="00F14B37" w:rsidRPr="00005453" w:rsidRDefault="00F14B37" w:rsidP="00F14B37">
            <w:pPr>
              <w:jc w:val="right"/>
              <w:rPr>
                <w:color w:val="000000"/>
                <w:sz w:val="18"/>
                <w:szCs w:val="18"/>
                <w:lang w:eastAsia="tr-TR"/>
              </w:rPr>
            </w:pPr>
            <w:r w:rsidRPr="00005453">
              <w:rPr>
                <w:color w:val="000000"/>
                <w:sz w:val="18"/>
                <w:szCs w:val="18"/>
              </w:rPr>
              <w:t>-</w:t>
            </w:r>
          </w:p>
        </w:tc>
        <w:tc>
          <w:tcPr>
            <w:tcW w:w="1929" w:type="dxa"/>
            <w:tcBorders>
              <w:top w:val="nil"/>
              <w:left w:val="nil"/>
              <w:bottom w:val="nil"/>
              <w:right w:val="nil"/>
            </w:tcBorders>
            <w:shd w:val="clear" w:color="auto" w:fill="auto"/>
            <w:vAlign w:val="center"/>
            <w:hideMark/>
          </w:tcPr>
          <w:p w14:paraId="4D56469A" w14:textId="2126266B" w:rsidR="00F14B37" w:rsidRPr="00005453" w:rsidRDefault="00F14B37" w:rsidP="00F14B37">
            <w:pPr>
              <w:jc w:val="right"/>
              <w:rPr>
                <w:color w:val="000000"/>
                <w:sz w:val="18"/>
                <w:szCs w:val="18"/>
                <w:lang w:eastAsia="tr-TR"/>
              </w:rPr>
            </w:pPr>
            <w:r w:rsidRPr="00005453">
              <w:rPr>
                <w:color w:val="000000"/>
                <w:sz w:val="18"/>
                <w:szCs w:val="18"/>
              </w:rPr>
              <w:t>3,181</w:t>
            </w:r>
          </w:p>
        </w:tc>
      </w:tr>
      <w:tr w:rsidR="00F14B37" w:rsidRPr="00005453" w14:paraId="42194506" w14:textId="77777777" w:rsidTr="00F14B37">
        <w:trPr>
          <w:divId w:val="1486899767"/>
          <w:trHeight w:val="218"/>
        </w:trPr>
        <w:tc>
          <w:tcPr>
            <w:tcW w:w="3544" w:type="dxa"/>
            <w:tcBorders>
              <w:top w:val="nil"/>
              <w:left w:val="nil"/>
              <w:bottom w:val="nil"/>
              <w:right w:val="nil"/>
            </w:tcBorders>
            <w:shd w:val="clear" w:color="auto" w:fill="auto"/>
            <w:vAlign w:val="center"/>
            <w:hideMark/>
          </w:tcPr>
          <w:p w14:paraId="7066A479" w14:textId="77777777" w:rsidR="00F14B37" w:rsidRPr="00005453" w:rsidRDefault="00F14B37" w:rsidP="00F14B37">
            <w:pPr>
              <w:rPr>
                <w:color w:val="000000"/>
                <w:sz w:val="18"/>
                <w:szCs w:val="18"/>
                <w:lang w:eastAsia="tr-TR"/>
              </w:rPr>
            </w:pPr>
            <w:r w:rsidRPr="00005453">
              <w:rPr>
                <w:color w:val="000000"/>
                <w:sz w:val="18"/>
                <w:szCs w:val="18"/>
                <w:lang w:eastAsia="tr-TR"/>
              </w:rPr>
              <w:t>Eğitim Hizmetleri</w:t>
            </w:r>
          </w:p>
        </w:tc>
        <w:tc>
          <w:tcPr>
            <w:tcW w:w="2126" w:type="dxa"/>
            <w:tcBorders>
              <w:top w:val="nil"/>
              <w:left w:val="nil"/>
              <w:bottom w:val="nil"/>
              <w:right w:val="nil"/>
            </w:tcBorders>
            <w:shd w:val="clear" w:color="auto" w:fill="auto"/>
            <w:vAlign w:val="center"/>
            <w:hideMark/>
          </w:tcPr>
          <w:p w14:paraId="2CC0B4BD" w14:textId="44F298CE" w:rsidR="00F14B37" w:rsidRPr="00005453" w:rsidRDefault="00F14B37" w:rsidP="00F14B37">
            <w:pPr>
              <w:jc w:val="right"/>
              <w:rPr>
                <w:color w:val="000000"/>
                <w:sz w:val="18"/>
                <w:szCs w:val="18"/>
                <w:lang w:eastAsia="tr-TR"/>
              </w:rPr>
            </w:pPr>
            <w:r w:rsidRPr="00005453">
              <w:rPr>
                <w:color w:val="000000"/>
                <w:sz w:val="18"/>
                <w:szCs w:val="18"/>
              </w:rPr>
              <w:t>125,811</w:t>
            </w:r>
          </w:p>
        </w:tc>
        <w:tc>
          <w:tcPr>
            <w:tcW w:w="2182" w:type="dxa"/>
            <w:tcBorders>
              <w:top w:val="nil"/>
              <w:left w:val="nil"/>
              <w:bottom w:val="nil"/>
              <w:right w:val="nil"/>
            </w:tcBorders>
            <w:shd w:val="clear" w:color="auto" w:fill="auto"/>
            <w:vAlign w:val="center"/>
            <w:hideMark/>
          </w:tcPr>
          <w:p w14:paraId="77E28E19" w14:textId="1A52224F" w:rsidR="00F14B37" w:rsidRPr="00005453" w:rsidRDefault="00F14B37" w:rsidP="00F14B37">
            <w:pPr>
              <w:jc w:val="right"/>
              <w:rPr>
                <w:color w:val="000000"/>
                <w:sz w:val="18"/>
                <w:szCs w:val="18"/>
                <w:lang w:eastAsia="tr-TR"/>
              </w:rPr>
            </w:pPr>
            <w:r w:rsidRPr="00005453">
              <w:rPr>
                <w:color w:val="000000"/>
                <w:sz w:val="18"/>
                <w:szCs w:val="18"/>
              </w:rPr>
              <w:t>9,718</w:t>
            </w:r>
          </w:p>
        </w:tc>
        <w:tc>
          <w:tcPr>
            <w:tcW w:w="1929" w:type="dxa"/>
            <w:tcBorders>
              <w:top w:val="nil"/>
              <w:left w:val="nil"/>
              <w:bottom w:val="nil"/>
              <w:right w:val="nil"/>
            </w:tcBorders>
            <w:shd w:val="clear" w:color="auto" w:fill="auto"/>
            <w:vAlign w:val="center"/>
            <w:hideMark/>
          </w:tcPr>
          <w:p w14:paraId="4972544F" w14:textId="458027F5" w:rsidR="00F14B37" w:rsidRPr="00005453" w:rsidRDefault="00F14B37" w:rsidP="00F14B37">
            <w:pPr>
              <w:jc w:val="right"/>
              <w:rPr>
                <w:color w:val="000000"/>
                <w:sz w:val="18"/>
                <w:szCs w:val="18"/>
                <w:lang w:eastAsia="tr-TR"/>
              </w:rPr>
            </w:pPr>
            <w:r w:rsidRPr="00005453">
              <w:rPr>
                <w:color w:val="000000"/>
                <w:sz w:val="18"/>
                <w:szCs w:val="18"/>
              </w:rPr>
              <w:t>119,019</w:t>
            </w:r>
          </w:p>
        </w:tc>
      </w:tr>
      <w:tr w:rsidR="00F14B37" w:rsidRPr="00005453" w14:paraId="08F47BCC" w14:textId="77777777" w:rsidTr="00F14B37">
        <w:trPr>
          <w:divId w:val="1486899767"/>
          <w:trHeight w:val="151"/>
        </w:trPr>
        <w:tc>
          <w:tcPr>
            <w:tcW w:w="3544" w:type="dxa"/>
            <w:tcBorders>
              <w:top w:val="nil"/>
              <w:left w:val="nil"/>
              <w:bottom w:val="nil"/>
              <w:right w:val="nil"/>
            </w:tcBorders>
            <w:shd w:val="clear" w:color="auto" w:fill="auto"/>
            <w:vAlign w:val="center"/>
            <w:hideMark/>
          </w:tcPr>
          <w:p w14:paraId="5E79C75A" w14:textId="77777777" w:rsidR="00F14B37" w:rsidRPr="00005453" w:rsidRDefault="00F14B37" w:rsidP="00F14B37">
            <w:pPr>
              <w:rPr>
                <w:color w:val="000000"/>
                <w:sz w:val="18"/>
                <w:szCs w:val="18"/>
                <w:lang w:eastAsia="tr-TR"/>
              </w:rPr>
            </w:pPr>
            <w:r w:rsidRPr="00005453">
              <w:rPr>
                <w:color w:val="000000"/>
                <w:sz w:val="18"/>
                <w:szCs w:val="18"/>
                <w:lang w:eastAsia="tr-TR"/>
              </w:rPr>
              <w:t>Sağlık ve Sosyal Hizmetler</w:t>
            </w:r>
          </w:p>
        </w:tc>
        <w:tc>
          <w:tcPr>
            <w:tcW w:w="2126" w:type="dxa"/>
            <w:tcBorders>
              <w:top w:val="nil"/>
              <w:left w:val="nil"/>
              <w:bottom w:val="nil"/>
              <w:right w:val="nil"/>
            </w:tcBorders>
            <w:shd w:val="clear" w:color="auto" w:fill="auto"/>
            <w:vAlign w:val="center"/>
            <w:hideMark/>
          </w:tcPr>
          <w:p w14:paraId="00E1AF2D" w14:textId="1D1DD47B" w:rsidR="00F14B37" w:rsidRPr="00005453" w:rsidRDefault="00F14B37" w:rsidP="00F14B37">
            <w:pPr>
              <w:jc w:val="right"/>
              <w:rPr>
                <w:color w:val="000000"/>
                <w:sz w:val="18"/>
                <w:szCs w:val="18"/>
                <w:lang w:eastAsia="tr-TR"/>
              </w:rPr>
            </w:pPr>
            <w:r w:rsidRPr="00005453">
              <w:rPr>
                <w:color w:val="000000"/>
                <w:sz w:val="18"/>
                <w:szCs w:val="18"/>
              </w:rPr>
              <w:t>679,855</w:t>
            </w:r>
          </w:p>
        </w:tc>
        <w:tc>
          <w:tcPr>
            <w:tcW w:w="2182" w:type="dxa"/>
            <w:tcBorders>
              <w:top w:val="nil"/>
              <w:left w:val="nil"/>
              <w:bottom w:val="nil"/>
              <w:right w:val="nil"/>
            </w:tcBorders>
            <w:shd w:val="clear" w:color="auto" w:fill="auto"/>
            <w:vAlign w:val="center"/>
            <w:hideMark/>
          </w:tcPr>
          <w:p w14:paraId="6D09FEE7" w14:textId="2676F55D" w:rsidR="00F14B37" w:rsidRPr="00005453" w:rsidRDefault="00F14B37" w:rsidP="00F14B37">
            <w:pPr>
              <w:jc w:val="right"/>
              <w:rPr>
                <w:color w:val="000000"/>
                <w:sz w:val="18"/>
                <w:szCs w:val="18"/>
                <w:lang w:eastAsia="tr-TR"/>
              </w:rPr>
            </w:pPr>
            <w:r w:rsidRPr="00005453">
              <w:rPr>
                <w:color w:val="000000"/>
                <w:sz w:val="18"/>
                <w:szCs w:val="18"/>
              </w:rPr>
              <w:t>83,028</w:t>
            </w:r>
          </w:p>
        </w:tc>
        <w:tc>
          <w:tcPr>
            <w:tcW w:w="1929" w:type="dxa"/>
            <w:tcBorders>
              <w:top w:val="nil"/>
              <w:left w:val="nil"/>
              <w:bottom w:val="nil"/>
              <w:right w:val="nil"/>
            </w:tcBorders>
            <w:shd w:val="clear" w:color="auto" w:fill="auto"/>
            <w:vAlign w:val="center"/>
            <w:hideMark/>
          </w:tcPr>
          <w:p w14:paraId="3384CE8B" w14:textId="3DB85C69" w:rsidR="00F14B37" w:rsidRPr="00005453" w:rsidRDefault="00F14B37" w:rsidP="00F14B37">
            <w:pPr>
              <w:jc w:val="right"/>
              <w:rPr>
                <w:color w:val="000000"/>
                <w:sz w:val="18"/>
                <w:szCs w:val="18"/>
                <w:lang w:eastAsia="tr-TR"/>
              </w:rPr>
            </w:pPr>
            <w:r w:rsidRPr="00005453">
              <w:rPr>
                <w:color w:val="000000"/>
                <w:sz w:val="18"/>
                <w:szCs w:val="18"/>
              </w:rPr>
              <w:t>217,847</w:t>
            </w:r>
          </w:p>
        </w:tc>
      </w:tr>
      <w:tr w:rsidR="00F14B37" w:rsidRPr="00005453" w14:paraId="43D3D54A" w14:textId="77777777" w:rsidTr="00F14B37">
        <w:trPr>
          <w:divId w:val="1486899767"/>
          <w:trHeight w:val="143"/>
        </w:trPr>
        <w:tc>
          <w:tcPr>
            <w:tcW w:w="3544" w:type="dxa"/>
            <w:tcBorders>
              <w:top w:val="nil"/>
              <w:left w:val="nil"/>
              <w:bottom w:val="single" w:sz="8" w:space="0" w:color="auto"/>
              <w:right w:val="nil"/>
            </w:tcBorders>
            <w:shd w:val="clear" w:color="auto" w:fill="auto"/>
            <w:vAlign w:val="center"/>
            <w:hideMark/>
          </w:tcPr>
          <w:p w14:paraId="263DF7A9" w14:textId="77777777" w:rsidR="00F14B37" w:rsidRPr="00005453" w:rsidRDefault="00F14B37" w:rsidP="00F14B37">
            <w:pPr>
              <w:rPr>
                <w:b/>
                <w:bCs/>
                <w:color w:val="000000"/>
                <w:sz w:val="18"/>
                <w:szCs w:val="18"/>
                <w:lang w:eastAsia="tr-TR"/>
              </w:rPr>
            </w:pPr>
            <w:r w:rsidRPr="00005453">
              <w:rPr>
                <w:b/>
                <w:bCs/>
                <w:color w:val="000000"/>
                <w:sz w:val="18"/>
                <w:szCs w:val="18"/>
                <w:lang w:eastAsia="tr-TR"/>
              </w:rPr>
              <w:t>Diğer</w:t>
            </w:r>
          </w:p>
        </w:tc>
        <w:tc>
          <w:tcPr>
            <w:tcW w:w="2126" w:type="dxa"/>
            <w:tcBorders>
              <w:top w:val="nil"/>
              <w:left w:val="nil"/>
              <w:bottom w:val="single" w:sz="8" w:space="0" w:color="auto"/>
              <w:right w:val="nil"/>
            </w:tcBorders>
            <w:shd w:val="clear" w:color="auto" w:fill="auto"/>
            <w:vAlign w:val="center"/>
            <w:hideMark/>
          </w:tcPr>
          <w:p w14:paraId="3252CADD" w14:textId="167F07F6" w:rsidR="00F14B37" w:rsidRPr="00005453" w:rsidRDefault="00F14B37" w:rsidP="00F14B37">
            <w:pPr>
              <w:jc w:val="right"/>
              <w:rPr>
                <w:b/>
                <w:bCs/>
                <w:color w:val="000000"/>
                <w:sz w:val="18"/>
                <w:szCs w:val="18"/>
                <w:lang w:eastAsia="tr-TR"/>
              </w:rPr>
            </w:pPr>
            <w:r w:rsidRPr="00005453">
              <w:rPr>
                <w:b/>
                <w:bCs/>
                <w:color w:val="000000"/>
                <w:sz w:val="18"/>
                <w:szCs w:val="18"/>
              </w:rPr>
              <w:t>2,999,88</w:t>
            </w:r>
            <w:r w:rsidR="009E3559">
              <w:rPr>
                <w:b/>
                <w:bCs/>
                <w:color w:val="000000"/>
                <w:sz w:val="18"/>
                <w:szCs w:val="18"/>
              </w:rPr>
              <w:t>4</w:t>
            </w:r>
          </w:p>
        </w:tc>
        <w:tc>
          <w:tcPr>
            <w:tcW w:w="2182" w:type="dxa"/>
            <w:tcBorders>
              <w:top w:val="nil"/>
              <w:left w:val="nil"/>
              <w:bottom w:val="single" w:sz="8" w:space="0" w:color="auto"/>
              <w:right w:val="nil"/>
            </w:tcBorders>
            <w:shd w:val="clear" w:color="auto" w:fill="auto"/>
            <w:vAlign w:val="center"/>
            <w:hideMark/>
          </w:tcPr>
          <w:p w14:paraId="2D3D4A2A" w14:textId="088482B5" w:rsidR="00F14B37" w:rsidRPr="00005453" w:rsidRDefault="00F14B37" w:rsidP="00F14B37">
            <w:pPr>
              <w:jc w:val="right"/>
              <w:rPr>
                <w:b/>
                <w:bCs/>
                <w:color w:val="000000"/>
                <w:sz w:val="18"/>
                <w:szCs w:val="18"/>
                <w:lang w:eastAsia="tr-TR"/>
              </w:rPr>
            </w:pPr>
            <w:r w:rsidRPr="00005453">
              <w:rPr>
                <w:b/>
                <w:bCs/>
                <w:color w:val="000000"/>
                <w:sz w:val="18"/>
                <w:szCs w:val="18"/>
              </w:rPr>
              <w:t>220,883</w:t>
            </w:r>
          </w:p>
        </w:tc>
        <w:tc>
          <w:tcPr>
            <w:tcW w:w="1929" w:type="dxa"/>
            <w:tcBorders>
              <w:top w:val="nil"/>
              <w:left w:val="nil"/>
              <w:bottom w:val="single" w:sz="8" w:space="0" w:color="auto"/>
              <w:right w:val="nil"/>
            </w:tcBorders>
            <w:shd w:val="clear" w:color="auto" w:fill="auto"/>
            <w:vAlign w:val="center"/>
            <w:hideMark/>
          </w:tcPr>
          <w:p w14:paraId="23530AD8" w14:textId="61F7D838" w:rsidR="00F14B37" w:rsidRPr="00005453" w:rsidRDefault="00F14B37" w:rsidP="00F14B37">
            <w:pPr>
              <w:jc w:val="right"/>
              <w:rPr>
                <w:b/>
                <w:bCs/>
                <w:color w:val="000000"/>
                <w:sz w:val="18"/>
                <w:szCs w:val="18"/>
                <w:lang w:eastAsia="tr-TR"/>
              </w:rPr>
            </w:pPr>
            <w:r w:rsidRPr="00005453">
              <w:rPr>
                <w:b/>
                <w:bCs/>
                <w:color w:val="000000"/>
                <w:sz w:val="18"/>
                <w:szCs w:val="18"/>
              </w:rPr>
              <w:t>934,524</w:t>
            </w:r>
          </w:p>
        </w:tc>
      </w:tr>
      <w:tr w:rsidR="00F14B37" w:rsidRPr="00005453" w14:paraId="3ABD9169" w14:textId="77777777" w:rsidTr="00F14B37">
        <w:trPr>
          <w:divId w:val="1486899767"/>
          <w:trHeight w:val="143"/>
        </w:trPr>
        <w:tc>
          <w:tcPr>
            <w:tcW w:w="3544" w:type="dxa"/>
            <w:tcBorders>
              <w:top w:val="single" w:sz="8" w:space="0" w:color="auto"/>
              <w:left w:val="nil"/>
              <w:bottom w:val="double" w:sz="4" w:space="0" w:color="auto"/>
              <w:right w:val="nil"/>
            </w:tcBorders>
            <w:shd w:val="clear" w:color="auto" w:fill="auto"/>
            <w:vAlign w:val="center"/>
            <w:hideMark/>
          </w:tcPr>
          <w:p w14:paraId="30AA430A" w14:textId="77777777" w:rsidR="00F14B37" w:rsidRPr="00005453" w:rsidRDefault="00F14B37" w:rsidP="00F14B37">
            <w:pPr>
              <w:rPr>
                <w:b/>
                <w:bCs/>
                <w:color w:val="000000"/>
                <w:sz w:val="18"/>
                <w:szCs w:val="18"/>
                <w:lang w:eastAsia="tr-TR"/>
              </w:rPr>
            </w:pPr>
            <w:r w:rsidRPr="00005453">
              <w:rPr>
                <w:b/>
                <w:bCs/>
                <w:color w:val="000000"/>
                <w:sz w:val="18"/>
                <w:szCs w:val="18"/>
                <w:lang w:eastAsia="tr-TR"/>
              </w:rPr>
              <w:t>Toplam</w:t>
            </w:r>
          </w:p>
        </w:tc>
        <w:tc>
          <w:tcPr>
            <w:tcW w:w="2126" w:type="dxa"/>
            <w:tcBorders>
              <w:top w:val="single" w:sz="8" w:space="0" w:color="auto"/>
              <w:left w:val="nil"/>
              <w:bottom w:val="double" w:sz="4" w:space="0" w:color="auto"/>
              <w:right w:val="nil"/>
            </w:tcBorders>
            <w:shd w:val="clear" w:color="auto" w:fill="auto"/>
            <w:vAlign w:val="center"/>
            <w:hideMark/>
          </w:tcPr>
          <w:p w14:paraId="0EDA913B" w14:textId="0486E759" w:rsidR="00F14B37" w:rsidRPr="00005453" w:rsidRDefault="00F14B37" w:rsidP="00F14B37">
            <w:pPr>
              <w:jc w:val="right"/>
              <w:rPr>
                <w:b/>
                <w:bCs/>
                <w:color w:val="000000"/>
                <w:sz w:val="18"/>
                <w:szCs w:val="18"/>
                <w:lang w:eastAsia="tr-TR"/>
              </w:rPr>
            </w:pPr>
            <w:r w:rsidRPr="00005453">
              <w:rPr>
                <w:b/>
                <w:bCs/>
                <w:color w:val="000000"/>
                <w:sz w:val="18"/>
                <w:szCs w:val="18"/>
              </w:rPr>
              <w:t>19,434,93</w:t>
            </w:r>
            <w:r w:rsidR="009E3559">
              <w:rPr>
                <w:b/>
                <w:bCs/>
                <w:color w:val="000000"/>
                <w:sz w:val="18"/>
                <w:szCs w:val="18"/>
              </w:rPr>
              <w:t>4</w:t>
            </w:r>
          </w:p>
        </w:tc>
        <w:tc>
          <w:tcPr>
            <w:tcW w:w="2182" w:type="dxa"/>
            <w:tcBorders>
              <w:top w:val="single" w:sz="8" w:space="0" w:color="auto"/>
              <w:left w:val="nil"/>
              <w:bottom w:val="double" w:sz="4" w:space="0" w:color="auto"/>
              <w:right w:val="nil"/>
            </w:tcBorders>
            <w:shd w:val="clear" w:color="auto" w:fill="auto"/>
            <w:vAlign w:val="center"/>
            <w:hideMark/>
          </w:tcPr>
          <w:p w14:paraId="7202398E" w14:textId="79B8B77E" w:rsidR="00F14B37" w:rsidRPr="00005453" w:rsidRDefault="00F14B37" w:rsidP="00F14B37">
            <w:pPr>
              <w:jc w:val="right"/>
              <w:rPr>
                <w:b/>
                <w:bCs/>
                <w:color w:val="000000"/>
                <w:sz w:val="18"/>
                <w:szCs w:val="18"/>
                <w:lang w:eastAsia="tr-TR"/>
              </w:rPr>
            </w:pPr>
            <w:r w:rsidRPr="00005453">
              <w:rPr>
                <w:b/>
                <w:bCs/>
                <w:color w:val="000000"/>
                <w:sz w:val="18"/>
                <w:szCs w:val="18"/>
              </w:rPr>
              <w:t>3,603,341</w:t>
            </w:r>
          </w:p>
        </w:tc>
        <w:tc>
          <w:tcPr>
            <w:tcW w:w="1929" w:type="dxa"/>
            <w:tcBorders>
              <w:top w:val="single" w:sz="8" w:space="0" w:color="auto"/>
              <w:left w:val="nil"/>
              <w:bottom w:val="double" w:sz="4" w:space="0" w:color="auto"/>
              <w:right w:val="nil"/>
            </w:tcBorders>
            <w:shd w:val="clear" w:color="auto" w:fill="auto"/>
            <w:vAlign w:val="center"/>
            <w:hideMark/>
          </w:tcPr>
          <w:p w14:paraId="5A66F478" w14:textId="29BD46AD" w:rsidR="00F14B37" w:rsidRPr="00005453" w:rsidRDefault="00F14B37" w:rsidP="00F14B37">
            <w:pPr>
              <w:jc w:val="right"/>
              <w:rPr>
                <w:b/>
                <w:bCs/>
                <w:color w:val="000000"/>
                <w:sz w:val="18"/>
                <w:szCs w:val="18"/>
                <w:lang w:eastAsia="tr-TR"/>
              </w:rPr>
            </w:pPr>
            <w:r w:rsidRPr="00005453">
              <w:rPr>
                <w:b/>
                <w:bCs/>
                <w:color w:val="000000"/>
                <w:sz w:val="18"/>
                <w:szCs w:val="18"/>
              </w:rPr>
              <w:t>9,415,253</w:t>
            </w:r>
          </w:p>
        </w:tc>
      </w:tr>
    </w:tbl>
    <w:p w14:paraId="0C5D72A0" w14:textId="77777777" w:rsidR="00BA6667" w:rsidRPr="00005453" w:rsidRDefault="00BA6667" w:rsidP="00B236DB">
      <w:pPr>
        <w:pStyle w:val="BodyText"/>
        <w:jc w:val="left"/>
        <w:rPr>
          <w:sz w:val="6"/>
          <w:szCs w:val="6"/>
        </w:rPr>
      </w:pPr>
    </w:p>
    <w:p w14:paraId="799E1EE1" w14:textId="3687A1F8" w:rsidR="000A76C0" w:rsidRPr="00005453" w:rsidRDefault="0054031F" w:rsidP="00B236DB">
      <w:pPr>
        <w:pStyle w:val="BodyText"/>
        <w:jc w:val="left"/>
        <w:rPr>
          <w:sz w:val="14"/>
          <w:szCs w:val="14"/>
          <w:lang w:eastAsia="tr-TR"/>
        </w:rPr>
      </w:pPr>
      <w:r w:rsidRPr="00005453">
        <w:rPr>
          <w:sz w:val="14"/>
          <w:szCs w:val="14"/>
        </w:rPr>
        <w:t xml:space="preserve">(*) </w:t>
      </w:r>
      <w:r w:rsidR="00B236DB" w:rsidRPr="00005453">
        <w:rPr>
          <w:sz w:val="14"/>
          <w:szCs w:val="14"/>
          <w:lang w:eastAsia="tr-TR"/>
        </w:rPr>
        <w:t>Beklenen kredi zarar karşılıkları ikinci ve üçüncü aşama karşılıkları içermektedir.</w:t>
      </w:r>
    </w:p>
    <w:p w14:paraId="7F35F1E9" w14:textId="77777777" w:rsidR="00DA7DE9" w:rsidRPr="00005453" w:rsidRDefault="00DA7DE9" w:rsidP="00DA7DE9">
      <w:pPr>
        <w:pStyle w:val="BodyText"/>
        <w:jc w:val="left"/>
        <w:rPr>
          <w:sz w:val="14"/>
          <w:szCs w:val="14"/>
          <w:lang w:eastAsia="tr-TR"/>
        </w:rPr>
      </w:pPr>
      <w:r w:rsidRPr="00005453">
        <w:rPr>
          <w:sz w:val="14"/>
          <w:szCs w:val="14"/>
          <w:lang w:eastAsia="tr-TR"/>
        </w:rPr>
        <w:t>(**) Finansal kiralama alacakları dahil edilmemiştir.</w:t>
      </w:r>
    </w:p>
    <w:p w14:paraId="74446B1B" w14:textId="38FB0BF5" w:rsidR="0054031F" w:rsidRPr="00005453" w:rsidRDefault="0054031F" w:rsidP="00B236DB">
      <w:pPr>
        <w:pStyle w:val="BodyText"/>
        <w:jc w:val="left"/>
        <w:rPr>
          <w:rFonts w:eastAsia="Arial Unicode MS"/>
          <w:color w:val="000000"/>
        </w:rPr>
      </w:pPr>
    </w:p>
    <w:p w14:paraId="182B35F2" w14:textId="77777777" w:rsidR="0054031F" w:rsidRPr="00005453" w:rsidRDefault="0054031F" w:rsidP="0054031F">
      <w:pPr>
        <w:spacing w:line="240" w:lineRule="exact"/>
        <w:ind w:hanging="567"/>
        <w:jc w:val="both"/>
        <w:rPr>
          <w:b/>
          <w:sz w:val="18"/>
          <w:szCs w:val="18"/>
          <w:lang w:eastAsia="tr-TR"/>
        </w:rPr>
      </w:pPr>
      <w:proofErr w:type="gramStart"/>
      <w:r w:rsidRPr="00005453">
        <w:rPr>
          <w:b/>
          <w:lang w:eastAsia="tr-TR"/>
        </w:rPr>
        <w:t xml:space="preserve">2.8.  </w:t>
      </w:r>
      <w:r w:rsidRPr="00005453">
        <w:rPr>
          <w:b/>
          <w:lang w:eastAsia="tr-TR"/>
        </w:rPr>
        <w:tab/>
      </w:r>
      <w:proofErr w:type="gramEnd"/>
      <w:r w:rsidRPr="00005453">
        <w:rPr>
          <w:b/>
          <w:lang w:eastAsia="tr-TR"/>
        </w:rPr>
        <w:t>Değer Ayarlamaları ve Kredi Karşılıkları Değişimine İlişkin Bilgiler</w:t>
      </w:r>
    </w:p>
    <w:p w14:paraId="13014D3A" w14:textId="2B9973C5" w:rsidR="004F1E85" w:rsidRPr="00005453" w:rsidRDefault="004F1E85" w:rsidP="0054031F">
      <w:pPr>
        <w:autoSpaceDE w:val="0"/>
        <w:autoSpaceDN w:val="0"/>
        <w:adjustRightInd w:val="0"/>
        <w:rPr>
          <w:lang w:eastAsia="en-GB"/>
        </w:rPr>
      </w:pPr>
    </w:p>
    <w:tbl>
      <w:tblPr>
        <w:tblW w:w="10206" w:type="dxa"/>
        <w:tblCellMar>
          <w:left w:w="70" w:type="dxa"/>
          <w:right w:w="70" w:type="dxa"/>
        </w:tblCellMar>
        <w:tblLook w:val="04A0" w:firstRow="1" w:lastRow="0" w:firstColumn="1" w:lastColumn="0" w:noHBand="0" w:noVBand="1"/>
      </w:tblPr>
      <w:tblGrid>
        <w:gridCol w:w="2268"/>
        <w:gridCol w:w="1535"/>
        <w:gridCol w:w="1825"/>
        <w:gridCol w:w="1527"/>
        <w:gridCol w:w="2018"/>
        <w:gridCol w:w="1033"/>
      </w:tblGrid>
      <w:tr w:rsidR="00C47801" w:rsidRPr="00005453" w14:paraId="716F9EE4" w14:textId="77777777" w:rsidTr="00BD1BED">
        <w:trPr>
          <w:divId w:val="1882014325"/>
          <w:trHeight w:val="285"/>
        </w:trPr>
        <w:tc>
          <w:tcPr>
            <w:tcW w:w="2268" w:type="dxa"/>
            <w:tcBorders>
              <w:top w:val="single" w:sz="8" w:space="0" w:color="auto"/>
              <w:left w:val="nil"/>
              <w:bottom w:val="single" w:sz="4" w:space="0" w:color="auto"/>
              <w:right w:val="nil"/>
            </w:tcBorders>
            <w:shd w:val="clear" w:color="auto" w:fill="auto"/>
            <w:vAlign w:val="center"/>
            <w:hideMark/>
          </w:tcPr>
          <w:p w14:paraId="1AB220D5" w14:textId="5BE8F4B9" w:rsidR="00C47801" w:rsidRPr="00005453" w:rsidRDefault="00C47801" w:rsidP="00C47801">
            <w:pPr>
              <w:rPr>
                <w:b/>
                <w:bCs/>
                <w:color w:val="000000"/>
                <w:sz w:val="16"/>
                <w:szCs w:val="16"/>
                <w:lang w:eastAsia="tr-TR"/>
              </w:rPr>
            </w:pPr>
            <w:r w:rsidRPr="00005453">
              <w:rPr>
                <w:b/>
                <w:bCs/>
                <w:color w:val="000000"/>
                <w:sz w:val="16"/>
                <w:szCs w:val="16"/>
                <w:lang w:eastAsia="tr-TR"/>
              </w:rPr>
              <w:t xml:space="preserve">Cari </w:t>
            </w:r>
            <w:proofErr w:type="gramStart"/>
            <w:r w:rsidRPr="00005453">
              <w:rPr>
                <w:b/>
                <w:bCs/>
                <w:color w:val="000000"/>
                <w:sz w:val="16"/>
                <w:szCs w:val="16"/>
                <w:lang w:eastAsia="tr-TR"/>
              </w:rPr>
              <w:t>Dönem(</w:t>
            </w:r>
            <w:proofErr w:type="gramEnd"/>
            <w:r w:rsidRPr="00005453">
              <w:rPr>
                <w:b/>
                <w:bCs/>
                <w:color w:val="000000"/>
                <w:sz w:val="16"/>
                <w:szCs w:val="16"/>
                <w:lang w:eastAsia="tr-TR"/>
              </w:rPr>
              <w:t>*****)</w:t>
            </w:r>
          </w:p>
        </w:tc>
        <w:tc>
          <w:tcPr>
            <w:tcW w:w="1535" w:type="dxa"/>
            <w:tcBorders>
              <w:top w:val="single" w:sz="8" w:space="0" w:color="auto"/>
              <w:left w:val="nil"/>
              <w:bottom w:val="single" w:sz="4" w:space="0" w:color="auto"/>
              <w:right w:val="nil"/>
            </w:tcBorders>
            <w:shd w:val="clear" w:color="auto" w:fill="auto"/>
            <w:noWrap/>
            <w:vAlign w:val="center"/>
            <w:hideMark/>
          </w:tcPr>
          <w:p w14:paraId="3EA251F6" w14:textId="1D75A604" w:rsidR="00C47801" w:rsidRPr="00005453" w:rsidRDefault="00C47801" w:rsidP="00C47801">
            <w:pPr>
              <w:jc w:val="right"/>
              <w:rPr>
                <w:b/>
                <w:bCs/>
                <w:color w:val="000000"/>
                <w:sz w:val="16"/>
                <w:szCs w:val="16"/>
                <w:lang w:eastAsia="tr-TR"/>
              </w:rPr>
            </w:pPr>
            <w:r w:rsidRPr="00005453">
              <w:rPr>
                <w:b/>
                <w:bCs/>
                <w:color w:val="000000"/>
                <w:sz w:val="16"/>
                <w:szCs w:val="16"/>
                <w:lang w:eastAsia="tr-TR"/>
              </w:rPr>
              <w:t>Açılış Bakiyesi</w:t>
            </w:r>
          </w:p>
        </w:tc>
        <w:tc>
          <w:tcPr>
            <w:tcW w:w="1825" w:type="dxa"/>
            <w:tcBorders>
              <w:top w:val="single" w:sz="8" w:space="0" w:color="auto"/>
              <w:left w:val="nil"/>
              <w:bottom w:val="single" w:sz="4" w:space="0" w:color="auto"/>
              <w:right w:val="nil"/>
            </w:tcBorders>
            <w:shd w:val="clear" w:color="auto" w:fill="auto"/>
            <w:noWrap/>
            <w:vAlign w:val="center"/>
            <w:hideMark/>
          </w:tcPr>
          <w:p w14:paraId="742F2840" w14:textId="3724A735" w:rsidR="00C47801" w:rsidRPr="00005453" w:rsidRDefault="00C47801" w:rsidP="00C47801">
            <w:pPr>
              <w:jc w:val="right"/>
              <w:rPr>
                <w:b/>
                <w:bCs/>
                <w:color w:val="000000"/>
                <w:sz w:val="16"/>
                <w:szCs w:val="16"/>
                <w:lang w:eastAsia="tr-TR"/>
              </w:rPr>
            </w:pPr>
            <w:r w:rsidRPr="00005453">
              <w:rPr>
                <w:b/>
                <w:bCs/>
                <w:color w:val="000000"/>
                <w:sz w:val="16"/>
                <w:szCs w:val="16"/>
                <w:lang w:eastAsia="tr-TR"/>
              </w:rPr>
              <w:t xml:space="preserve">Dönem içinde </w:t>
            </w:r>
            <w:proofErr w:type="gramStart"/>
            <w:r w:rsidRPr="00005453">
              <w:rPr>
                <w:b/>
                <w:bCs/>
                <w:color w:val="000000"/>
                <w:sz w:val="16"/>
                <w:szCs w:val="16"/>
                <w:lang w:eastAsia="tr-TR"/>
              </w:rPr>
              <w:t xml:space="preserve">ayrılan </w:t>
            </w:r>
            <w:r w:rsidR="00982F1F" w:rsidRPr="00005453">
              <w:rPr>
                <w:b/>
                <w:bCs/>
                <w:color w:val="000000"/>
                <w:sz w:val="16"/>
                <w:szCs w:val="16"/>
                <w:lang w:eastAsia="tr-TR"/>
              </w:rPr>
              <w:t xml:space="preserve"> karşılık</w:t>
            </w:r>
            <w:proofErr w:type="gramEnd"/>
            <w:r w:rsidR="00982F1F" w:rsidRPr="00005453">
              <w:rPr>
                <w:b/>
                <w:bCs/>
                <w:color w:val="000000"/>
                <w:sz w:val="16"/>
                <w:szCs w:val="16"/>
                <w:lang w:eastAsia="tr-TR"/>
              </w:rPr>
              <w:t xml:space="preserve"> tutarları</w:t>
            </w:r>
          </w:p>
        </w:tc>
        <w:tc>
          <w:tcPr>
            <w:tcW w:w="1527" w:type="dxa"/>
            <w:tcBorders>
              <w:top w:val="single" w:sz="8" w:space="0" w:color="auto"/>
              <w:left w:val="nil"/>
              <w:bottom w:val="single" w:sz="4" w:space="0" w:color="auto"/>
              <w:right w:val="nil"/>
            </w:tcBorders>
            <w:shd w:val="clear" w:color="auto" w:fill="auto"/>
            <w:noWrap/>
            <w:vAlign w:val="center"/>
            <w:hideMark/>
          </w:tcPr>
          <w:p w14:paraId="50280FF1" w14:textId="79B9EA7B" w:rsidR="00C47801" w:rsidRPr="00005453" w:rsidRDefault="00C47801" w:rsidP="00C47801">
            <w:pPr>
              <w:jc w:val="right"/>
              <w:rPr>
                <w:b/>
                <w:bCs/>
                <w:color w:val="000000"/>
                <w:sz w:val="16"/>
                <w:szCs w:val="16"/>
                <w:lang w:eastAsia="tr-TR"/>
              </w:rPr>
            </w:pPr>
            <w:r w:rsidRPr="00005453">
              <w:rPr>
                <w:b/>
                <w:bCs/>
                <w:color w:val="000000"/>
                <w:sz w:val="16"/>
                <w:szCs w:val="16"/>
                <w:lang w:eastAsia="tr-TR"/>
              </w:rPr>
              <w:t>Karşılık İptalleri (***)</w:t>
            </w:r>
          </w:p>
        </w:tc>
        <w:tc>
          <w:tcPr>
            <w:tcW w:w="2018" w:type="dxa"/>
            <w:tcBorders>
              <w:top w:val="single" w:sz="8" w:space="0" w:color="auto"/>
              <w:left w:val="nil"/>
              <w:bottom w:val="single" w:sz="4" w:space="0" w:color="auto"/>
              <w:right w:val="nil"/>
            </w:tcBorders>
            <w:shd w:val="clear" w:color="auto" w:fill="auto"/>
            <w:noWrap/>
            <w:vAlign w:val="center"/>
            <w:hideMark/>
          </w:tcPr>
          <w:p w14:paraId="2BF87196" w14:textId="7C28CEDA" w:rsidR="00C47801" w:rsidRPr="00005453" w:rsidRDefault="00C47801" w:rsidP="00C47801">
            <w:pPr>
              <w:jc w:val="right"/>
              <w:rPr>
                <w:b/>
                <w:bCs/>
                <w:color w:val="000000"/>
                <w:sz w:val="16"/>
                <w:szCs w:val="16"/>
                <w:lang w:eastAsia="tr-TR"/>
              </w:rPr>
            </w:pPr>
            <w:r w:rsidRPr="00005453">
              <w:rPr>
                <w:b/>
                <w:bCs/>
                <w:snapToGrid w:val="0"/>
                <w:color w:val="000000"/>
                <w:sz w:val="16"/>
                <w:szCs w:val="16"/>
                <w:lang w:eastAsia="tr-TR"/>
              </w:rPr>
              <w:t>Diğer</w:t>
            </w:r>
            <w:r w:rsidR="00764F3C" w:rsidRPr="00005453">
              <w:rPr>
                <w:b/>
                <w:bCs/>
                <w:snapToGrid w:val="0"/>
                <w:color w:val="000000"/>
                <w:sz w:val="16"/>
                <w:szCs w:val="16"/>
                <w:lang w:eastAsia="tr-TR"/>
              </w:rPr>
              <w:t xml:space="preserve"> </w:t>
            </w:r>
            <w:r w:rsidRPr="00005453">
              <w:rPr>
                <w:b/>
                <w:bCs/>
                <w:snapToGrid w:val="0"/>
                <w:color w:val="000000"/>
                <w:sz w:val="16"/>
                <w:szCs w:val="16"/>
                <w:lang w:eastAsia="tr-TR"/>
              </w:rPr>
              <w:t>Ayarlamalar (****)</w:t>
            </w:r>
          </w:p>
        </w:tc>
        <w:tc>
          <w:tcPr>
            <w:tcW w:w="1033" w:type="dxa"/>
            <w:tcBorders>
              <w:top w:val="single" w:sz="8" w:space="0" w:color="auto"/>
              <w:left w:val="nil"/>
              <w:bottom w:val="single" w:sz="4" w:space="0" w:color="auto"/>
              <w:right w:val="nil"/>
            </w:tcBorders>
            <w:shd w:val="clear" w:color="auto" w:fill="auto"/>
            <w:noWrap/>
            <w:vAlign w:val="center"/>
            <w:hideMark/>
          </w:tcPr>
          <w:p w14:paraId="752A4395" w14:textId="48A291C2" w:rsidR="00C47801" w:rsidRPr="00005453" w:rsidRDefault="00C47801" w:rsidP="00C47801">
            <w:pPr>
              <w:jc w:val="right"/>
              <w:rPr>
                <w:b/>
                <w:bCs/>
                <w:color w:val="000000"/>
                <w:sz w:val="16"/>
                <w:szCs w:val="16"/>
                <w:lang w:eastAsia="tr-TR"/>
              </w:rPr>
            </w:pPr>
            <w:r w:rsidRPr="00005453">
              <w:rPr>
                <w:b/>
                <w:bCs/>
                <w:color w:val="000000"/>
                <w:sz w:val="16"/>
                <w:szCs w:val="16"/>
                <w:lang w:eastAsia="tr-TR"/>
              </w:rPr>
              <w:t>Kapanış Bakiyesi</w:t>
            </w:r>
          </w:p>
        </w:tc>
      </w:tr>
      <w:tr w:rsidR="00F07E85" w:rsidRPr="00005453" w14:paraId="12949FBC" w14:textId="77777777" w:rsidTr="00F07E85">
        <w:trPr>
          <w:divId w:val="1882014325"/>
          <w:trHeight w:val="190"/>
        </w:trPr>
        <w:tc>
          <w:tcPr>
            <w:tcW w:w="2268" w:type="dxa"/>
            <w:tcBorders>
              <w:top w:val="single" w:sz="4" w:space="0" w:color="auto"/>
              <w:left w:val="nil"/>
              <w:right w:val="nil"/>
            </w:tcBorders>
            <w:shd w:val="clear" w:color="auto" w:fill="auto"/>
            <w:noWrap/>
            <w:vAlign w:val="center"/>
            <w:hideMark/>
          </w:tcPr>
          <w:p w14:paraId="5349A785" w14:textId="77777777" w:rsidR="00F07E85" w:rsidRPr="00005453" w:rsidRDefault="00F07E85" w:rsidP="00F07E85">
            <w:pPr>
              <w:rPr>
                <w:color w:val="000000"/>
                <w:sz w:val="16"/>
                <w:szCs w:val="16"/>
                <w:lang w:eastAsia="tr-TR"/>
              </w:rPr>
            </w:pPr>
            <w:r w:rsidRPr="00005453">
              <w:rPr>
                <w:color w:val="000000"/>
                <w:sz w:val="16"/>
                <w:szCs w:val="16"/>
                <w:lang w:eastAsia="zh-CN"/>
              </w:rPr>
              <w:t>3. Aşama Karşılıklar (*)</w:t>
            </w:r>
          </w:p>
        </w:tc>
        <w:tc>
          <w:tcPr>
            <w:tcW w:w="1535" w:type="dxa"/>
            <w:tcBorders>
              <w:top w:val="single" w:sz="4" w:space="0" w:color="auto"/>
              <w:left w:val="nil"/>
              <w:right w:val="nil"/>
            </w:tcBorders>
            <w:shd w:val="clear" w:color="auto" w:fill="auto"/>
            <w:noWrap/>
            <w:vAlign w:val="center"/>
            <w:hideMark/>
          </w:tcPr>
          <w:p w14:paraId="4BAC710F" w14:textId="1B1FD645" w:rsidR="00F07E85" w:rsidRPr="00005453" w:rsidRDefault="00F07E85" w:rsidP="00F07E85">
            <w:pPr>
              <w:jc w:val="right"/>
              <w:rPr>
                <w:sz w:val="16"/>
                <w:szCs w:val="16"/>
              </w:rPr>
            </w:pPr>
            <w:r w:rsidRPr="00005453">
              <w:rPr>
                <w:sz w:val="16"/>
                <w:szCs w:val="18"/>
              </w:rPr>
              <w:t>3,443,425</w:t>
            </w:r>
          </w:p>
        </w:tc>
        <w:tc>
          <w:tcPr>
            <w:tcW w:w="1825" w:type="dxa"/>
            <w:tcBorders>
              <w:top w:val="single" w:sz="4" w:space="0" w:color="auto"/>
              <w:left w:val="nil"/>
              <w:right w:val="nil"/>
            </w:tcBorders>
            <w:shd w:val="clear" w:color="auto" w:fill="auto"/>
            <w:noWrap/>
            <w:vAlign w:val="center"/>
            <w:hideMark/>
          </w:tcPr>
          <w:p w14:paraId="317A1AD3" w14:textId="5449F60E" w:rsidR="00F07E85" w:rsidRPr="00005453" w:rsidRDefault="00F07E85" w:rsidP="00F07E85">
            <w:pPr>
              <w:jc w:val="right"/>
              <w:rPr>
                <w:sz w:val="16"/>
                <w:szCs w:val="16"/>
              </w:rPr>
            </w:pPr>
            <w:r w:rsidRPr="00005453">
              <w:rPr>
                <w:sz w:val="16"/>
                <w:szCs w:val="18"/>
              </w:rPr>
              <w:t>5,272,319</w:t>
            </w:r>
          </w:p>
        </w:tc>
        <w:tc>
          <w:tcPr>
            <w:tcW w:w="1527" w:type="dxa"/>
            <w:tcBorders>
              <w:top w:val="single" w:sz="4" w:space="0" w:color="auto"/>
              <w:left w:val="nil"/>
              <w:right w:val="nil"/>
            </w:tcBorders>
            <w:shd w:val="clear" w:color="auto" w:fill="auto"/>
            <w:noWrap/>
            <w:vAlign w:val="center"/>
            <w:hideMark/>
          </w:tcPr>
          <w:p w14:paraId="3463EA58" w14:textId="354F3AB2" w:rsidR="00F07E85" w:rsidRPr="00005453" w:rsidRDefault="00F34BEC" w:rsidP="00F07E85">
            <w:pPr>
              <w:jc w:val="right"/>
              <w:rPr>
                <w:sz w:val="16"/>
                <w:szCs w:val="16"/>
              </w:rPr>
            </w:pPr>
            <w:r>
              <w:rPr>
                <w:sz w:val="16"/>
                <w:szCs w:val="18"/>
              </w:rPr>
              <w:t>(</w:t>
            </w:r>
            <w:r w:rsidR="00F07E85" w:rsidRPr="00005453">
              <w:rPr>
                <w:sz w:val="16"/>
                <w:szCs w:val="18"/>
              </w:rPr>
              <w:t>2,736,006</w:t>
            </w:r>
            <w:r>
              <w:rPr>
                <w:sz w:val="16"/>
                <w:szCs w:val="18"/>
              </w:rPr>
              <w:t>)</w:t>
            </w:r>
          </w:p>
        </w:tc>
        <w:tc>
          <w:tcPr>
            <w:tcW w:w="2018" w:type="dxa"/>
            <w:tcBorders>
              <w:top w:val="single" w:sz="4" w:space="0" w:color="auto"/>
              <w:left w:val="nil"/>
              <w:right w:val="nil"/>
            </w:tcBorders>
            <w:shd w:val="clear" w:color="auto" w:fill="auto"/>
            <w:noWrap/>
            <w:vAlign w:val="center"/>
            <w:hideMark/>
          </w:tcPr>
          <w:p w14:paraId="7821F5B3" w14:textId="4486C08C" w:rsidR="00F07E85" w:rsidRPr="00005453" w:rsidRDefault="00F07E85" w:rsidP="00F07E85">
            <w:pPr>
              <w:jc w:val="right"/>
              <w:rPr>
                <w:sz w:val="16"/>
                <w:szCs w:val="16"/>
              </w:rPr>
            </w:pPr>
            <w:r w:rsidRPr="00005453">
              <w:rPr>
                <w:sz w:val="16"/>
                <w:szCs w:val="18"/>
              </w:rPr>
              <w:t>1,392,133</w:t>
            </w:r>
          </w:p>
        </w:tc>
        <w:tc>
          <w:tcPr>
            <w:tcW w:w="1033" w:type="dxa"/>
            <w:tcBorders>
              <w:top w:val="single" w:sz="4" w:space="0" w:color="auto"/>
              <w:left w:val="nil"/>
              <w:right w:val="nil"/>
            </w:tcBorders>
            <w:shd w:val="clear" w:color="auto" w:fill="auto"/>
            <w:noWrap/>
            <w:vAlign w:val="center"/>
            <w:hideMark/>
          </w:tcPr>
          <w:p w14:paraId="49DBDC06" w14:textId="02FE0528" w:rsidR="00F07E85" w:rsidRPr="00005453" w:rsidRDefault="00F07E85" w:rsidP="00F07E85">
            <w:pPr>
              <w:jc w:val="right"/>
              <w:rPr>
                <w:sz w:val="16"/>
                <w:szCs w:val="16"/>
              </w:rPr>
            </w:pPr>
            <w:r w:rsidRPr="00005453">
              <w:rPr>
                <w:sz w:val="16"/>
                <w:szCs w:val="18"/>
              </w:rPr>
              <w:t>4,587,605</w:t>
            </w:r>
          </w:p>
        </w:tc>
      </w:tr>
      <w:tr w:rsidR="00F07E85" w:rsidRPr="00005453" w14:paraId="7AAD0D6C" w14:textId="77777777" w:rsidTr="00F07E85">
        <w:trPr>
          <w:divId w:val="1882014325"/>
          <w:trHeight w:val="190"/>
        </w:trPr>
        <w:tc>
          <w:tcPr>
            <w:tcW w:w="2268" w:type="dxa"/>
            <w:tcBorders>
              <w:top w:val="nil"/>
              <w:left w:val="nil"/>
              <w:bottom w:val="double" w:sz="4" w:space="0" w:color="auto"/>
              <w:right w:val="nil"/>
            </w:tcBorders>
            <w:shd w:val="clear" w:color="auto" w:fill="auto"/>
            <w:noWrap/>
            <w:vAlign w:val="center"/>
            <w:hideMark/>
          </w:tcPr>
          <w:p w14:paraId="6AC0A2B2" w14:textId="77777777" w:rsidR="00F07E85" w:rsidRPr="00005453" w:rsidRDefault="00F07E85" w:rsidP="00F07E85">
            <w:pPr>
              <w:rPr>
                <w:color w:val="000000"/>
                <w:sz w:val="16"/>
                <w:szCs w:val="16"/>
                <w:lang w:eastAsia="tr-TR"/>
              </w:rPr>
            </w:pPr>
            <w:r w:rsidRPr="00005453">
              <w:rPr>
                <w:color w:val="000000"/>
                <w:sz w:val="16"/>
                <w:szCs w:val="16"/>
                <w:lang w:eastAsia="tr-TR"/>
              </w:rPr>
              <w:t>1. ve 2. Aşama Karşılıklar (**)</w:t>
            </w:r>
          </w:p>
        </w:tc>
        <w:tc>
          <w:tcPr>
            <w:tcW w:w="1535" w:type="dxa"/>
            <w:tcBorders>
              <w:top w:val="nil"/>
              <w:left w:val="nil"/>
              <w:bottom w:val="double" w:sz="4" w:space="0" w:color="auto"/>
              <w:right w:val="nil"/>
            </w:tcBorders>
            <w:shd w:val="clear" w:color="auto" w:fill="auto"/>
            <w:noWrap/>
            <w:vAlign w:val="center"/>
            <w:hideMark/>
          </w:tcPr>
          <w:p w14:paraId="7B2E77BA" w14:textId="533919FC" w:rsidR="00F07E85" w:rsidRPr="00005453" w:rsidRDefault="00F07E85" w:rsidP="00F07E85">
            <w:pPr>
              <w:jc w:val="right"/>
              <w:rPr>
                <w:sz w:val="16"/>
                <w:szCs w:val="16"/>
              </w:rPr>
            </w:pPr>
            <w:r w:rsidRPr="00005453">
              <w:rPr>
                <w:sz w:val="16"/>
                <w:szCs w:val="18"/>
              </w:rPr>
              <w:t>14,438,259</w:t>
            </w:r>
          </w:p>
        </w:tc>
        <w:tc>
          <w:tcPr>
            <w:tcW w:w="1825" w:type="dxa"/>
            <w:tcBorders>
              <w:top w:val="nil"/>
              <w:left w:val="nil"/>
              <w:bottom w:val="double" w:sz="4" w:space="0" w:color="auto"/>
              <w:right w:val="nil"/>
            </w:tcBorders>
            <w:shd w:val="clear" w:color="auto" w:fill="auto"/>
            <w:noWrap/>
            <w:vAlign w:val="center"/>
            <w:hideMark/>
          </w:tcPr>
          <w:p w14:paraId="40B41E72" w14:textId="299A0929" w:rsidR="00F07E85" w:rsidRPr="00005453" w:rsidRDefault="00F07E85" w:rsidP="00F07E85">
            <w:pPr>
              <w:jc w:val="right"/>
              <w:rPr>
                <w:sz w:val="16"/>
                <w:szCs w:val="16"/>
              </w:rPr>
            </w:pPr>
            <w:r w:rsidRPr="00005453">
              <w:rPr>
                <w:sz w:val="16"/>
                <w:szCs w:val="18"/>
              </w:rPr>
              <w:t>290,485</w:t>
            </w:r>
          </w:p>
        </w:tc>
        <w:tc>
          <w:tcPr>
            <w:tcW w:w="1527" w:type="dxa"/>
            <w:tcBorders>
              <w:top w:val="nil"/>
              <w:left w:val="nil"/>
              <w:bottom w:val="double" w:sz="4" w:space="0" w:color="auto"/>
              <w:right w:val="nil"/>
            </w:tcBorders>
            <w:shd w:val="clear" w:color="auto" w:fill="auto"/>
            <w:noWrap/>
            <w:vAlign w:val="center"/>
            <w:hideMark/>
          </w:tcPr>
          <w:p w14:paraId="5900C943" w14:textId="243C3879" w:rsidR="00F07E85" w:rsidRPr="00005453" w:rsidRDefault="00F34BEC" w:rsidP="00F07E85">
            <w:pPr>
              <w:jc w:val="right"/>
              <w:rPr>
                <w:sz w:val="16"/>
                <w:szCs w:val="16"/>
              </w:rPr>
            </w:pPr>
            <w:r>
              <w:rPr>
                <w:sz w:val="16"/>
                <w:szCs w:val="18"/>
              </w:rPr>
              <w:t>(</w:t>
            </w:r>
            <w:r w:rsidR="00F07E85" w:rsidRPr="00005453">
              <w:rPr>
                <w:sz w:val="16"/>
                <w:szCs w:val="18"/>
              </w:rPr>
              <w:t>7,789,734</w:t>
            </w:r>
            <w:r>
              <w:rPr>
                <w:sz w:val="16"/>
                <w:szCs w:val="18"/>
              </w:rPr>
              <w:t>)</w:t>
            </w:r>
          </w:p>
        </w:tc>
        <w:tc>
          <w:tcPr>
            <w:tcW w:w="2018" w:type="dxa"/>
            <w:tcBorders>
              <w:top w:val="nil"/>
              <w:left w:val="nil"/>
              <w:bottom w:val="double" w:sz="4" w:space="0" w:color="auto"/>
              <w:right w:val="nil"/>
            </w:tcBorders>
            <w:shd w:val="clear" w:color="auto" w:fill="auto"/>
            <w:noWrap/>
            <w:vAlign w:val="center"/>
            <w:hideMark/>
          </w:tcPr>
          <w:p w14:paraId="0E3604FB" w14:textId="5A019C5F" w:rsidR="00F07E85" w:rsidRPr="00005453" w:rsidRDefault="00F07E85" w:rsidP="00F07E85">
            <w:pPr>
              <w:jc w:val="right"/>
              <w:rPr>
                <w:sz w:val="16"/>
                <w:szCs w:val="16"/>
              </w:rPr>
            </w:pPr>
            <w:r w:rsidRPr="00005453">
              <w:rPr>
                <w:sz w:val="16"/>
                <w:szCs w:val="18"/>
              </w:rPr>
              <w:t>-</w:t>
            </w:r>
          </w:p>
        </w:tc>
        <w:tc>
          <w:tcPr>
            <w:tcW w:w="1033" w:type="dxa"/>
            <w:tcBorders>
              <w:top w:val="nil"/>
              <w:left w:val="nil"/>
              <w:bottom w:val="double" w:sz="4" w:space="0" w:color="auto"/>
              <w:right w:val="nil"/>
            </w:tcBorders>
            <w:shd w:val="clear" w:color="auto" w:fill="auto"/>
            <w:noWrap/>
            <w:vAlign w:val="center"/>
            <w:hideMark/>
          </w:tcPr>
          <w:p w14:paraId="4969CB67" w14:textId="3B53C975" w:rsidR="00F07E85" w:rsidRPr="00005453" w:rsidRDefault="00F07E85" w:rsidP="00F07E85">
            <w:pPr>
              <w:jc w:val="right"/>
              <w:rPr>
                <w:sz w:val="16"/>
                <w:szCs w:val="16"/>
              </w:rPr>
            </w:pPr>
            <w:r w:rsidRPr="00005453">
              <w:rPr>
                <w:sz w:val="16"/>
                <w:szCs w:val="18"/>
              </w:rPr>
              <w:t>6,939,010</w:t>
            </w:r>
          </w:p>
        </w:tc>
      </w:tr>
    </w:tbl>
    <w:p w14:paraId="18A81961" w14:textId="282ED4CA" w:rsidR="004F1E85" w:rsidRPr="00005453" w:rsidRDefault="004F1E85" w:rsidP="0054031F">
      <w:pPr>
        <w:autoSpaceDE w:val="0"/>
        <w:autoSpaceDN w:val="0"/>
        <w:adjustRightInd w:val="0"/>
        <w:rPr>
          <w:lang w:val="en-GB" w:eastAsia="en-GB"/>
        </w:rPr>
      </w:pPr>
    </w:p>
    <w:tbl>
      <w:tblPr>
        <w:tblW w:w="10206" w:type="dxa"/>
        <w:tblCellMar>
          <w:left w:w="70" w:type="dxa"/>
          <w:right w:w="70" w:type="dxa"/>
        </w:tblCellMar>
        <w:tblLook w:val="04A0" w:firstRow="1" w:lastRow="0" w:firstColumn="1" w:lastColumn="0" w:noHBand="0" w:noVBand="1"/>
      </w:tblPr>
      <w:tblGrid>
        <w:gridCol w:w="2410"/>
        <w:gridCol w:w="1418"/>
        <w:gridCol w:w="1701"/>
        <w:gridCol w:w="1559"/>
        <w:gridCol w:w="1999"/>
        <w:gridCol w:w="1119"/>
      </w:tblGrid>
      <w:tr w:rsidR="004F1E85" w:rsidRPr="00005453" w14:paraId="04F106BB" w14:textId="77777777" w:rsidTr="00BD1BED">
        <w:trPr>
          <w:divId w:val="1116755726"/>
          <w:trHeight w:val="275"/>
        </w:trPr>
        <w:tc>
          <w:tcPr>
            <w:tcW w:w="2410" w:type="dxa"/>
            <w:tcBorders>
              <w:top w:val="single" w:sz="8" w:space="0" w:color="auto"/>
              <w:left w:val="nil"/>
              <w:bottom w:val="single" w:sz="4" w:space="0" w:color="auto"/>
              <w:right w:val="nil"/>
            </w:tcBorders>
            <w:shd w:val="clear" w:color="auto" w:fill="auto"/>
            <w:vAlign w:val="center"/>
            <w:hideMark/>
          </w:tcPr>
          <w:p w14:paraId="6104575C" w14:textId="360FD696" w:rsidR="004F1E85" w:rsidRPr="00005453" w:rsidRDefault="004F1E85" w:rsidP="004F1E85">
            <w:pPr>
              <w:rPr>
                <w:b/>
                <w:bCs/>
                <w:color w:val="000000"/>
                <w:sz w:val="16"/>
                <w:szCs w:val="16"/>
                <w:lang w:eastAsia="tr-TR"/>
              </w:rPr>
            </w:pPr>
            <w:r w:rsidRPr="00005453">
              <w:rPr>
                <w:b/>
                <w:bCs/>
                <w:color w:val="000000"/>
                <w:sz w:val="16"/>
                <w:szCs w:val="16"/>
                <w:lang w:eastAsia="tr-TR"/>
              </w:rPr>
              <w:t>Önceki Dönem</w:t>
            </w:r>
          </w:p>
        </w:tc>
        <w:tc>
          <w:tcPr>
            <w:tcW w:w="1418" w:type="dxa"/>
            <w:tcBorders>
              <w:top w:val="single" w:sz="8" w:space="0" w:color="auto"/>
              <w:left w:val="nil"/>
              <w:bottom w:val="single" w:sz="4" w:space="0" w:color="auto"/>
              <w:right w:val="nil"/>
            </w:tcBorders>
            <w:shd w:val="clear" w:color="auto" w:fill="auto"/>
            <w:noWrap/>
            <w:vAlign w:val="center"/>
            <w:hideMark/>
          </w:tcPr>
          <w:p w14:paraId="7E9844B4" w14:textId="456EB1EF" w:rsidR="004F1E85" w:rsidRPr="00005453" w:rsidRDefault="004F1E85" w:rsidP="004F1E85">
            <w:pPr>
              <w:jc w:val="right"/>
              <w:rPr>
                <w:b/>
                <w:bCs/>
                <w:color w:val="000000"/>
                <w:sz w:val="16"/>
                <w:szCs w:val="16"/>
                <w:lang w:eastAsia="tr-TR"/>
              </w:rPr>
            </w:pPr>
            <w:r w:rsidRPr="00005453">
              <w:rPr>
                <w:b/>
                <w:bCs/>
                <w:color w:val="000000"/>
                <w:sz w:val="16"/>
                <w:szCs w:val="16"/>
                <w:lang w:eastAsia="tr-TR"/>
              </w:rPr>
              <w:t>Açılış Bakiyesi</w:t>
            </w:r>
          </w:p>
        </w:tc>
        <w:tc>
          <w:tcPr>
            <w:tcW w:w="1701" w:type="dxa"/>
            <w:tcBorders>
              <w:top w:val="single" w:sz="8" w:space="0" w:color="auto"/>
              <w:left w:val="nil"/>
              <w:bottom w:val="single" w:sz="4" w:space="0" w:color="auto"/>
              <w:right w:val="nil"/>
            </w:tcBorders>
            <w:shd w:val="clear" w:color="auto" w:fill="auto"/>
            <w:noWrap/>
            <w:vAlign w:val="center"/>
            <w:hideMark/>
          </w:tcPr>
          <w:p w14:paraId="329096E4" w14:textId="0EF4444D" w:rsidR="004F1E85" w:rsidRPr="00005453" w:rsidRDefault="004F1E85" w:rsidP="004F1E85">
            <w:pPr>
              <w:jc w:val="right"/>
              <w:rPr>
                <w:b/>
                <w:bCs/>
                <w:color w:val="000000"/>
                <w:sz w:val="16"/>
                <w:szCs w:val="16"/>
                <w:lang w:eastAsia="tr-TR"/>
              </w:rPr>
            </w:pPr>
            <w:r w:rsidRPr="00005453">
              <w:rPr>
                <w:b/>
                <w:bCs/>
                <w:color w:val="000000"/>
                <w:sz w:val="16"/>
                <w:szCs w:val="16"/>
                <w:lang w:eastAsia="tr-TR"/>
              </w:rPr>
              <w:t xml:space="preserve">Dönem içinde ayrılan </w:t>
            </w:r>
            <w:r w:rsidR="00982F1F" w:rsidRPr="00005453">
              <w:rPr>
                <w:b/>
                <w:bCs/>
                <w:color w:val="000000"/>
                <w:sz w:val="16"/>
                <w:szCs w:val="16"/>
                <w:lang w:eastAsia="tr-TR"/>
              </w:rPr>
              <w:t>karşılık tutarları</w:t>
            </w:r>
          </w:p>
        </w:tc>
        <w:tc>
          <w:tcPr>
            <w:tcW w:w="1559" w:type="dxa"/>
            <w:tcBorders>
              <w:top w:val="single" w:sz="8" w:space="0" w:color="auto"/>
              <w:left w:val="nil"/>
              <w:bottom w:val="single" w:sz="4" w:space="0" w:color="auto"/>
              <w:right w:val="nil"/>
            </w:tcBorders>
            <w:shd w:val="clear" w:color="auto" w:fill="auto"/>
            <w:noWrap/>
            <w:vAlign w:val="center"/>
            <w:hideMark/>
          </w:tcPr>
          <w:p w14:paraId="6FF97913" w14:textId="185E8520" w:rsidR="004F1E85" w:rsidRPr="00005453" w:rsidRDefault="00635AA3" w:rsidP="004F1E85">
            <w:pPr>
              <w:jc w:val="right"/>
              <w:rPr>
                <w:b/>
                <w:bCs/>
                <w:color w:val="000000"/>
                <w:sz w:val="16"/>
                <w:szCs w:val="16"/>
                <w:lang w:eastAsia="tr-TR"/>
              </w:rPr>
            </w:pPr>
            <w:r w:rsidRPr="00005453">
              <w:rPr>
                <w:b/>
                <w:bCs/>
                <w:color w:val="000000"/>
                <w:sz w:val="16"/>
                <w:szCs w:val="16"/>
                <w:lang w:eastAsia="tr-TR"/>
              </w:rPr>
              <w:t>Karşılık İptalleri (***)</w:t>
            </w:r>
          </w:p>
        </w:tc>
        <w:tc>
          <w:tcPr>
            <w:tcW w:w="1999" w:type="dxa"/>
            <w:tcBorders>
              <w:top w:val="single" w:sz="8" w:space="0" w:color="auto"/>
              <w:left w:val="nil"/>
              <w:bottom w:val="single" w:sz="4" w:space="0" w:color="auto"/>
              <w:right w:val="nil"/>
            </w:tcBorders>
            <w:shd w:val="clear" w:color="auto" w:fill="auto"/>
            <w:noWrap/>
            <w:vAlign w:val="center"/>
            <w:hideMark/>
          </w:tcPr>
          <w:p w14:paraId="50A6BC59" w14:textId="5C71E9FD" w:rsidR="004F1E85" w:rsidRPr="00005453" w:rsidRDefault="004F1E85" w:rsidP="004F1E85">
            <w:pPr>
              <w:jc w:val="right"/>
              <w:rPr>
                <w:b/>
                <w:bCs/>
                <w:color w:val="000000"/>
                <w:sz w:val="16"/>
                <w:szCs w:val="16"/>
                <w:lang w:eastAsia="tr-TR"/>
              </w:rPr>
            </w:pPr>
            <w:r w:rsidRPr="00005453">
              <w:rPr>
                <w:b/>
                <w:bCs/>
                <w:snapToGrid w:val="0"/>
                <w:color w:val="000000"/>
                <w:sz w:val="16"/>
                <w:szCs w:val="16"/>
                <w:lang w:eastAsia="tr-TR"/>
              </w:rPr>
              <w:t>Diğer</w:t>
            </w:r>
            <w:r w:rsidR="00764F3C" w:rsidRPr="00005453">
              <w:rPr>
                <w:b/>
                <w:bCs/>
                <w:snapToGrid w:val="0"/>
                <w:color w:val="000000"/>
                <w:sz w:val="16"/>
                <w:szCs w:val="16"/>
                <w:lang w:eastAsia="tr-TR"/>
              </w:rPr>
              <w:t xml:space="preserve"> </w:t>
            </w:r>
            <w:r w:rsidRPr="00005453">
              <w:rPr>
                <w:b/>
                <w:bCs/>
                <w:snapToGrid w:val="0"/>
                <w:color w:val="000000"/>
                <w:sz w:val="16"/>
                <w:szCs w:val="16"/>
                <w:lang w:eastAsia="tr-TR"/>
              </w:rPr>
              <w:t>Ayarlamalar</w:t>
            </w:r>
            <w:r w:rsidR="00C47801" w:rsidRPr="00005453">
              <w:rPr>
                <w:b/>
                <w:bCs/>
                <w:snapToGrid w:val="0"/>
                <w:color w:val="000000"/>
                <w:sz w:val="16"/>
                <w:szCs w:val="16"/>
                <w:lang w:eastAsia="tr-TR"/>
              </w:rPr>
              <w:t xml:space="preserve"> </w:t>
            </w:r>
            <w:r w:rsidRPr="00005453">
              <w:rPr>
                <w:b/>
                <w:bCs/>
                <w:snapToGrid w:val="0"/>
                <w:color w:val="000000"/>
                <w:sz w:val="16"/>
                <w:szCs w:val="16"/>
                <w:lang w:eastAsia="tr-TR"/>
              </w:rPr>
              <w:t>(****)</w:t>
            </w:r>
          </w:p>
        </w:tc>
        <w:tc>
          <w:tcPr>
            <w:tcW w:w="1119" w:type="dxa"/>
            <w:tcBorders>
              <w:top w:val="single" w:sz="8" w:space="0" w:color="auto"/>
              <w:left w:val="nil"/>
              <w:bottom w:val="single" w:sz="4" w:space="0" w:color="auto"/>
              <w:right w:val="nil"/>
            </w:tcBorders>
            <w:shd w:val="clear" w:color="auto" w:fill="auto"/>
            <w:noWrap/>
            <w:vAlign w:val="center"/>
            <w:hideMark/>
          </w:tcPr>
          <w:p w14:paraId="27947248" w14:textId="77777777" w:rsidR="004F1E85" w:rsidRPr="00005453" w:rsidRDefault="004F1E85" w:rsidP="004F1E85">
            <w:pPr>
              <w:jc w:val="right"/>
              <w:rPr>
                <w:b/>
                <w:bCs/>
                <w:color w:val="000000"/>
                <w:sz w:val="16"/>
                <w:szCs w:val="16"/>
                <w:lang w:eastAsia="tr-TR"/>
              </w:rPr>
            </w:pPr>
            <w:r w:rsidRPr="00005453">
              <w:rPr>
                <w:b/>
                <w:bCs/>
                <w:color w:val="000000"/>
                <w:sz w:val="16"/>
                <w:szCs w:val="16"/>
                <w:lang w:eastAsia="tr-TR"/>
              </w:rPr>
              <w:t>Kapanış Bakiyesi</w:t>
            </w:r>
          </w:p>
        </w:tc>
      </w:tr>
      <w:tr w:rsidR="00F14B37" w:rsidRPr="00005453" w14:paraId="4B3F6400" w14:textId="77777777" w:rsidTr="00F14B37">
        <w:trPr>
          <w:divId w:val="1116755726"/>
          <w:trHeight w:val="183"/>
        </w:trPr>
        <w:tc>
          <w:tcPr>
            <w:tcW w:w="2410" w:type="dxa"/>
            <w:tcBorders>
              <w:top w:val="single" w:sz="4" w:space="0" w:color="auto"/>
              <w:left w:val="nil"/>
              <w:right w:val="nil"/>
            </w:tcBorders>
            <w:shd w:val="clear" w:color="auto" w:fill="auto"/>
            <w:noWrap/>
            <w:vAlign w:val="center"/>
            <w:hideMark/>
          </w:tcPr>
          <w:p w14:paraId="778047CF" w14:textId="77777777" w:rsidR="00F14B37" w:rsidRPr="00005453" w:rsidRDefault="00F14B37" w:rsidP="00F14B37">
            <w:pPr>
              <w:rPr>
                <w:color w:val="000000"/>
                <w:sz w:val="16"/>
                <w:szCs w:val="16"/>
                <w:lang w:eastAsia="tr-TR"/>
              </w:rPr>
            </w:pPr>
            <w:r w:rsidRPr="00005453">
              <w:rPr>
                <w:color w:val="000000"/>
                <w:sz w:val="16"/>
                <w:szCs w:val="16"/>
                <w:lang w:eastAsia="tr-TR"/>
              </w:rPr>
              <w:t>3. Aşama Karşılıklar (*)</w:t>
            </w:r>
          </w:p>
        </w:tc>
        <w:tc>
          <w:tcPr>
            <w:tcW w:w="1418" w:type="dxa"/>
            <w:tcBorders>
              <w:top w:val="single" w:sz="4" w:space="0" w:color="auto"/>
              <w:left w:val="nil"/>
              <w:right w:val="nil"/>
            </w:tcBorders>
            <w:shd w:val="clear" w:color="auto" w:fill="auto"/>
            <w:noWrap/>
            <w:vAlign w:val="center"/>
            <w:hideMark/>
          </w:tcPr>
          <w:p w14:paraId="0F4FC6D0" w14:textId="7B96B5BE" w:rsidR="00F14B37" w:rsidRPr="00005453" w:rsidRDefault="00F14B37" w:rsidP="00F14B37">
            <w:pPr>
              <w:jc w:val="right"/>
              <w:rPr>
                <w:color w:val="0D0D0D"/>
                <w:sz w:val="16"/>
                <w:szCs w:val="16"/>
                <w:lang w:eastAsia="tr-TR"/>
              </w:rPr>
            </w:pPr>
            <w:r w:rsidRPr="00005453">
              <w:rPr>
                <w:sz w:val="16"/>
                <w:szCs w:val="16"/>
              </w:rPr>
              <w:t>3,088,511</w:t>
            </w:r>
          </w:p>
        </w:tc>
        <w:tc>
          <w:tcPr>
            <w:tcW w:w="1701" w:type="dxa"/>
            <w:tcBorders>
              <w:top w:val="single" w:sz="4" w:space="0" w:color="auto"/>
              <w:left w:val="nil"/>
              <w:right w:val="nil"/>
            </w:tcBorders>
            <w:shd w:val="clear" w:color="auto" w:fill="auto"/>
            <w:noWrap/>
            <w:vAlign w:val="center"/>
            <w:hideMark/>
          </w:tcPr>
          <w:p w14:paraId="028AE1B9" w14:textId="792E5385" w:rsidR="00F14B37" w:rsidRPr="00005453" w:rsidRDefault="00F14B37" w:rsidP="00F14B37">
            <w:pPr>
              <w:jc w:val="right"/>
              <w:rPr>
                <w:color w:val="0D0D0D"/>
                <w:sz w:val="16"/>
                <w:szCs w:val="16"/>
                <w:lang w:eastAsia="tr-TR"/>
              </w:rPr>
            </w:pPr>
            <w:r w:rsidRPr="00005453">
              <w:rPr>
                <w:sz w:val="16"/>
                <w:szCs w:val="16"/>
              </w:rPr>
              <w:t>1,886,187</w:t>
            </w:r>
          </w:p>
        </w:tc>
        <w:tc>
          <w:tcPr>
            <w:tcW w:w="1559" w:type="dxa"/>
            <w:tcBorders>
              <w:top w:val="single" w:sz="4" w:space="0" w:color="auto"/>
              <w:left w:val="nil"/>
              <w:right w:val="nil"/>
            </w:tcBorders>
            <w:shd w:val="clear" w:color="auto" w:fill="auto"/>
            <w:noWrap/>
            <w:vAlign w:val="center"/>
            <w:hideMark/>
          </w:tcPr>
          <w:p w14:paraId="2502269D" w14:textId="1F9E3AA7" w:rsidR="00F14B37" w:rsidRPr="00005453" w:rsidRDefault="00F14B37" w:rsidP="00F14B37">
            <w:pPr>
              <w:jc w:val="right"/>
              <w:rPr>
                <w:color w:val="0D0D0D"/>
                <w:sz w:val="16"/>
                <w:szCs w:val="16"/>
                <w:lang w:eastAsia="tr-TR"/>
              </w:rPr>
            </w:pPr>
            <w:r w:rsidRPr="00005453">
              <w:rPr>
                <w:sz w:val="16"/>
                <w:szCs w:val="16"/>
              </w:rPr>
              <w:t>(984,028)</w:t>
            </w:r>
          </w:p>
        </w:tc>
        <w:tc>
          <w:tcPr>
            <w:tcW w:w="1999" w:type="dxa"/>
            <w:tcBorders>
              <w:top w:val="single" w:sz="4" w:space="0" w:color="auto"/>
              <w:left w:val="nil"/>
              <w:right w:val="nil"/>
            </w:tcBorders>
            <w:shd w:val="clear" w:color="auto" w:fill="auto"/>
            <w:noWrap/>
            <w:vAlign w:val="center"/>
            <w:hideMark/>
          </w:tcPr>
          <w:p w14:paraId="5E90158D" w14:textId="7F9AF4A2" w:rsidR="00F14B37" w:rsidRPr="00005453" w:rsidRDefault="00F14B37" w:rsidP="00F14B37">
            <w:pPr>
              <w:jc w:val="right"/>
              <w:rPr>
                <w:color w:val="0D0D0D"/>
                <w:sz w:val="16"/>
                <w:szCs w:val="16"/>
                <w:lang w:eastAsia="tr-TR"/>
              </w:rPr>
            </w:pPr>
            <w:r w:rsidRPr="00005453">
              <w:rPr>
                <w:sz w:val="16"/>
                <w:szCs w:val="16"/>
              </w:rPr>
              <w:t>(547,245)</w:t>
            </w:r>
          </w:p>
        </w:tc>
        <w:tc>
          <w:tcPr>
            <w:tcW w:w="1119" w:type="dxa"/>
            <w:tcBorders>
              <w:top w:val="single" w:sz="4" w:space="0" w:color="auto"/>
              <w:left w:val="nil"/>
              <w:right w:val="nil"/>
            </w:tcBorders>
            <w:shd w:val="clear" w:color="auto" w:fill="auto"/>
            <w:noWrap/>
            <w:vAlign w:val="center"/>
            <w:hideMark/>
          </w:tcPr>
          <w:p w14:paraId="58979BC3" w14:textId="2029D9CE" w:rsidR="00F14B37" w:rsidRPr="00005453" w:rsidRDefault="00F14B37" w:rsidP="00F14B37">
            <w:pPr>
              <w:jc w:val="right"/>
              <w:rPr>
                <w:color w:val="0D0D0D"/>
                <w:sz w:val="16"/>
                <w:szCs w:val="16"/>
                <w:lang w:eastAsia="tr-TR"/>
              </w:rPr>
            </w:pPr>
            <w:r w:rsidRPr="00005453">
              <w:rPr>
                <w:sz w:val="16"/>
                <w:szCs w:val="16"/>
              </w:rPr>
              <w:t>3,443,425</w:t>
            </w:r>
          </w:p>
        </w:tc>
      </w:tr>
      <w:tr w:rsidR="00F14B37" w:rsidRPr="00005453" w14:paraId="612DD34B" w14:textId="77777777" w:rsidTr="00F14B37">
        <w:trPr>
          <w:divId w:val="1116755726"/>
          <w:trHeight w:val="183"/>
        </w:trPr>
        <w:tc>
          <w:tcPr>
            <w:tcW w:w="2410" w:type="dxa"/>
            <w:tcBorders>
              <w:top w:val="nil"/>
              <w:left w:val="nil"/>
              <w:bottom w:val="double" w:sz="4" w:space="0" w:color="auto"/>
              <w:right w:val="nil"/>
            </w:tcBorders>
            <w:shd w:val="clear" w:color="auto" w:fill="auto"/>
            <w:noWrap/>
            <w:vAlign w:val="center"/>
            <w:hideMark/>
          </w:tcPr>
          <w:p w14:paraId="59EC3DDF" w14:textId="77777777" w:rsidR="00F14B37" w:rsidRPr="00005453" w:rsidRDefault="00F14B37" w:rsidP="00F14B37">
            <w:pPr>
              <w:rPr>
                <w:color w:val="000000"/>
                <w:sz w:val="16"/>
                <w:szCs w:val="16"/>
                <w:lang w:eastAsia="tr-TR"/>
              </w:rPr>
            </w:pPr>
            <w:r w:rsidRPr="00005453">
              <w:rPr>
                <w:color w:val="000000"/>
                <w:sz w:val="16"/>
                <w:szCs w:val="16"/>
                <w:lang w:eastAsia="tr-TR"/>
              </w:rPr>
              <w:t>1. ve 2. Aşama Karşılıklar (**)</w:t>
            </w:r>
          </w:p>
        </w:tc>
        <w:tc>
          <w:tcPr>
            <w:tcW w:w="1418" w:type="dxa"/>
            <w:tcBorders>
              <w:top w:val="nil"/>
              <w:left w:val="nil"/>
              <w:bottom w:val="double" w:sz="4" w:space="0" w:color="auto"/>
              <w:right w:val="nil"/>
            </w:tcBorders>
            <w:shd w:val="clear" w:color="auto" w:fill="auto"/>
            <w:noWrap/>
            <w:vAlign w:val="center"/>
            <w:hideMark/>
          </w:tcPr>
          <w:p w14:paraId="570E871A" w14:textId="02804D82" w:rsidR="00F14B37" w:rsidRPr="00005453" w:rsidRDefault="00F14B37" w:rsidP="00F14B37">
            <w:pPr>
              <w:jc w:val="right"/>
              <w:rPr>
                <w:color w:val="0D0D0D"/>
                <w:sz w:val="16"/>
                <w:szCs w:val="16"/>
                <w:lang w:eastAsia="tr-TR"/>
              </w:rPr>
            </w:pPr>
            <w:r w:rsidRPr="00005453">
              <w:rPr>
                <w:sz w:val="16"/>
                <w:szCs w:val="16"/>
              </w:rPr>
              <w:t>10,686,487</w:t>
            </w:r>
          </w:p>
        </w:tc>
        <w:tc>
          <w:tcPr>
            <w:tcW w:w="1701" w:type="dxa"/>
            <w:tcBorders>
              <w:top w:val="nil"/>
              <w:left w:val="nil"/>
              <w:bottom w:val="double" w:sz="4" w:space="0" w:color="auto"/>
              <w:right w:val="nil"/>
            </w:tcBorders>
            <w:shd w:val="clear" w:color="auto" w:fill="auto"/>
            <w:noWrap/>
            <w:vAlign w:val="center"/>
            <w:hideMark/>
          </w:tcPr>
          <w:p w14:paraId="6361CA48" w14:textId="60B1F102" w:rsidR="00F14B37" w:rsidRPr="00005453" w:rsidRDefault="00F14B37" w:rsidP="00F14B37">
            <w:pPr>
              <w:jc w:val="right"/>
              <w:rPr>
                <w:color w:val="0D0D0D"/>
                <w:sz w:val="16"/>
                <w:szCs w:val="16"/>
                <w:lang w:eastAsia="tr-TR"/>
              </w:rPr>
            </w:pPr>
            <w:r w:rsidRPr="00005453">
              <w:rPr>
                <w:sz w:val="16"/>
                <w:szCs w:val="16"/>
              </w:rPr>
              <w:t>4,950,242</w:t>
            </w:r>
          </w:p>
        </w:tc>
        <w:tc>
          <w:tcPr>
            <w:tcW w:w="1559" w:type="dxa"/>
            <w:tcBorders>
              <w:top w:val="nil"/>
              <w:left w:val="nil"/>
              <w:bottom w:val="double" w:sz="4" w:space="0" w:color="auto"/>
              <w:right w:val="nil"/>
            </w:tcBorders>
            <w:shd w:val="clear" w:color="auto" w:fill="auto"/>
            <w:noWrap/>
            <w:vAlign w:val="center"/>
            <w:hideMark/>
          </w:tcPr>
          <w:p w14:paraId="399A2431" w14:textId="7C4EC1F3" w:rsidR="00F14B37" w:rsidRPr="00005453" w:rsidRDefault="00F14B37" w:rsidP="00F14B37">
            <w:pPr>
              <w:jc w:val="right"/>
              <w:rPr>
                <w:color w:val="0D0D0D"/>
                <w:sz w:val="16"/>
                <w:szCs w:val="16"/>
                <w:lang w:eastAsia="tr-TR"/>
              </w:rPr>
            </w:pPr>
            <w:r w:rsidRPr="00005453">
              <w:rPr>
                <w:sz w:val="16"/>
                <w:szCs w:val="16"/>
              </w:rPr>
              <w:t>(1,198,470)</w:t>
            </w:r>
          </w:p>
        </w:tc>
        <w:tc>
          <w:tcPr>
            <w:tcW w:w="1999" w:type="dxa"/>
            <w:tcBorders>
              <w:top w:val="nil"/>
              <w:left w:val="nil"/>
              <w:bottom w:val="double" w:sz="4" w:space="0" w:color="auto"/>
              <w:right w:val="nil"/>
            </w:tcBorders>
            <w:shd w:val="clear" w:color="auto" w:fill="auto"/>
            <w:noWrap/>
            <w:vAlign w:val="center"/>
            <w:hideMark/>
          </w:tcPr>
          <w:p w14:paraId="696B4530" w14:textId="0DCE1AB2" w:rsidR="00F14B37" w:rsidRPr="00005453" w:rsidRDefault="00F14B37" w:rsidP="00F14B37">
            <w:pPr>
              <w:jc w:val="right"/>
              <w:rPr>
                <w:color w:val="0D0D0D"/>
                <w:sz w:val="16"/>
                <w:szCs w:val="16"/>
                <w:lang w:eastAsia="tr-TR"/>
              </w:rPr>
            </w:pPr>
            <w:r w:rsidRPr="00005453">
              <w:rPr>
                <w:sz w:val="16"/>
                <w:szCs w:val="16"/>
              </w:rPr>
              <w:t>-</w:t>
            </w:r>
          </w:p>
        </w:tc>
        <w:tc>
          <w:tcPr>
            <w:tcW w:w="1119" w:type="dxa"/>
            <w:tcBorders>
              <w:top w:val="nil"/>
              <w:left w:val="nil"/>
              <w:bottom w:val="double" w:sz="4" w:space="0" w:color="auto"/>
              <w:right w:val="nil"/>
            </w:tcBorders>
            <w:shd w:val="clear" w:color="auto" w:fill="auto"/>
            <w:noWrap/>
            <w:vAlign w:val="center"/>
            <w:hideMark/>
          </w:tcPr>
          <w:p w14:paraId="534A3706" w14:textId="35C44AD7" w:rsidR="00F14B37" w:rsidRPr="00005453" w:rsidRDefault="00F14B37" w:rsidP="00F14B37">
            <w:pPr>
              <w:jc w:val="right"/>
              <w:rPr>
                <w:color w:val="0D0D0D"/>
                <w:sz w:val="16"/>
                <w:szCs w:val="16"/>
                <w:lang w:eastAsia="tr-TR"/>
              </w:rPr>
            </w:pPr>
            <w:r w:rsidRPr="00005453">
              <w:rPr>
                <w:sz w:val="16"/>
                <w:szCs w:val="16"/>
              </w:rPr>
              <w:t>14,438,259</w:t>
            </w:r>
          </w:p>
        </w:tc>
      </w:tr>
    </w:tbl>
    <w:p w14:paraId="27AB1ABE" w14:textId="4F19B483" w:rsidR="000A76C0" w:rsidRPr="00005453" w:rsidRDefault="000A76C0" w:rsidP="0054031F">
      <w:pPr>
        <w:autoSpaceDE w:val="0"/>
        <w:autoSpaceDN w:val="0"/>
        <w:adjustRightInd w:val="0"/>
        <w:rPr>
          <w:sz w:val="6"/>
          <w:szCs w:val="6"/>
          <w:lang w:val="en-GB" w:eastAsia="en-GB"/>
        </w:rPr>
      </w:pPr>
    </w:p>
    <w:p w14:paraId="790D5B2E" w14:textId="0AD62F0D" w:rsidR="003417AA" w:rsidRPr="00005453" w:rsidRDefault="003417AA" w:rsidP="003417AA">
      <w:pPr>
        <w:autoSpaceDE w:val="0"/>
        <w:autoSpaceDN w:val="0"/>
        <w:adjustRightInd w:val="0"/>
        <w:rPr>
          <w:sz w:val="14"/>
          <w:szCs w:val="14"/>
          <w:lang w:eastAsia="zh-CN"/>
        </w:rPr>
      </w:pPr>
      <w:r w:rsidRPr="00005453">
        <w:rPr>
          <w:sz w:val="14"/>
          <w:szCs w:val="14"/>
          <w:lang w:eastAsia="zh-CN"/>
        </w:rPr>
        <w:t xml:space="preserve">(*) </w:t>
      </w:r>
      <w:r w:rsidRPr="00005453">
        <w:rPr>
          <w:sz w:val="14"/>
          <w:szCs w:val="14"/>
          <w:lang w:eastAsia="zh-CN"/>
        </w:rPr>
        <w:tab/>
        <w:t>3. Aşama Beklenen Zarar Karşılığını ifade etmektedir.</w:t>
      </w:r>
    </w:p>
    <w:p w14:paraId="106FF856" w14:textId="77777777" w:rsidR="003417AA" w:rsidRPr="00005453" w:rsidRDefault="003417AA" w:rsidP="003417AA">
      <w:pPr>
        <w:autoSpaceDE w:val="0"/>
        <w:autoSpaceDN w:val="0"/>
        <w:adjustRightInd w:val="0"/>
        <w:rPr>
          <w:sz w:val="14"/>
          <w:szCs w:val="14"/>
          <w:lang w:eastAsia="zh-CN"/>
        </w:rPr>
      </w:pPr>
      <w:r w:rsidRPr="00005453">
        <w:rPr>
          <w:sz w:val="14"/>
          <w:szCs w:val="14"/>
          <w:lang w:eastAsia="zh-CN"/>
        </w:rPr>
        <w:t xml:space="preserve">(**) </w:t>
      </w:r>
      <w:r w:rsidRPr="00005453">
        <w:rPr>
          <w:sz w:val="14"/>
          <w:szCs w:val="14"/>
          <w:lang w:eastAsia="zh-CN"/>
        </w:rPr>
        <w:tab/>
        <w:t>1. Aşama ve 2. Aşama Beklenen Zarar Karşılığını ifade etmektedir.</w:t>
      </w:r>
    </w:p>
    <w:p w14:paraId="3296C233" w14:textId="77777777" w:rsidR="003417AA" w:rsidRPr="00005453" w:rsidRDefault="003417AA" w:rsidP="003417AA">
      <w:pPr>
        <w:autoSpaceDE w:val="0"/>
        <w:autoSpaceDN w:val="0"/>
        <w:adjustRightInd w:val="0"/>
        <w:rPr>
          <w:sz w:val="14"/>
          <w:szCs w:val="14"/>
          <w:lang w:eastAsia="zh-CN"/>
        </w:rPr>
      </w:pPr>
      <w:r w:rsidRPr="00005453">
        <w:rPr>
          <w:sz w:val="14"/>
          <w:szCs w:val="14"/>
          <w:lang w:eastAsia="zh-CN"/>
        </w:rPr>
        <w:t>(***)</w:t>
      </w:r>
      <w:r w:rsidRPr="00005453">
        <w:rPr>
          <w:sz w:val="14"/>
          <w:szCs w:val="14"/>
          <w:lang w:eastAsia="zh-CN"/>
        </w:rPr>
        <w:tab/>
        <w:t>Karşılık iptalleri ve kur farkını içermektedir.</w:t>
      </w:r>
    </w:p>
    <w:p w14:paraId="5CA4F8E4" w14:textId="77777777" w:rsidR="003417AA" w:rsidRPr="00005453" w:rsidRDefault="003417AA" w:rsidP="003417AA">
      <w:pPr>
        <w:autoSpaceDE w:val="0"/>
        <w:autoSpaceDN w:val="0"/>
        <w:adjustRightInd w:val="0"/>
        <w:rPr>
          <w:sz w:val="14"/>
          <w:szCs w:val="14"/>
          <w:lang w:eastAsia="zh-CN"/>
        </w:rPr>
      </w:pPr>
      <w:r w:rsidRPr="00005453">
        <w:rPr>
          <w:sz w:val="14"/>
          <w:szCs w:val="14"/>
          <w:lang w:eastAsia="zh-CN"/>
        </w:rPr>
        <w:t>(****)</w:t>
      </w:r>
      <w:r w:rsidRPr="00005453">
        <w:rPr>
          <w:sz w:val="14"/>
          <w:szCs w:val="14"/>
          <w:lang w:eastAsia="zh-CN"/>
        </w:rPr>
        <w:tab/>
        <w:t>Aktiften silinen kredileri ifade etmektedir.</w:t>
      </w:r>
    </w:p>
    <w:p w14:paraId="3FED1EEA" w14:textId="77777777" w:rsidR="003417AA" w:rsidRPr="00005453" w:rsidRDefault="003417AA" w:rsidP="003417AA">
      <w:pPr>
        <w:autoSpaceDE w:val="0"/>
        <w:autoSpaceDN w:val="0"/>
        <w:adjustRightInd w:val="0"/>
        <w:rPr>
          <w:sz w:val="14"/>
          <w:szCs w:val="14"/>
          <w:lang w:eastAsia="zh-CN"/>
        </w:rPr>
      </w:pPr>
      <w:r w:rsidRPr="00005453">
        <w:rPr>
          <w:sz w:val="14"/>
          <w:szCs w:val="14"/>
          <w:lang w:eastAsia="zh-CN"/>
        </w:rPr>
        <w:t>(*****)</w:t>
      </w:r>
      <w:r w:rsidRPr="00005453">
        <w:rPr>
          <w:sz w:val="14"/>
          <w:szCs w:val="14"/>
          <w:lang w:eastAsia="zh-CN"/>
        </w:rPr>
        <w:tab/>
        <w:t>Gayrinakdi krediler için ayrılan karşılıkları içermemektedir.</w:t>
      </w:r>
    </w:p>
    <w:p w14:paraId="6A293C90" w14:textId="06E65354" w:rsidR="0054031F" w:rsidRPr="00005453" w:rsidRDefault="0054031F" w:rsidP="0054031F">
      <w:pPr>
        <w:autoSpaceDE w:val="0"/>
        <w:autoSpaceDN w:val="0"/>
        <w:adjustRightInd w:val="0"/>
        <w:rPr>
          <w:sz w:val="18"/>
          <w:szCs w:val="18"/>
          <w:lang w:eastAsia="zh-CN"/>
        </w:rPr>
      </w:pPr>
    </w:p>
    <w:p w14:paraId="04AACDDE" w14:textId="7BE6905B" w:rsidR="00B236DB" w:rsidRPr="00005453" w:rsidRDefault="00B236DB" w:rsidP="0054031F">
      <w:pPr>
        <w:autoSpaceDE w:val="0"/>
        <w:autoSpaceDN w:val="0"/>
        <w:adjustRightInd w:val="0"/>
        <w:rPr>
          <w:sz w:val="18"/>
          <w:szCs w:val="18"/>
          <w:lang w:eastAsia="zh-CN"/>
        </w:rPr>
      </w:pPr>
    </w:p>
    <w:p w14:paraId="573CEF24" w14:textId="77777777" w:rsidR="003417AA" w:rsidRPr="00005453" w:rsidRDefault="003417AA" w:rsidP="0054031F">
      <w:pPr>
        <w:autoSpaceDE w:val="0"/>
        <w:autoSpaceDN w:val="0"/>
        <w:adjustRightInd w:val="0"/>
        <w:rPr>
          <w:sz w:val="18"/>
          <w:szCs w:val="18"/>
          <w:lang w:eastAsia="zh-CN"/>
        </w:rPr>
      </w:pPr>
    </w:p>
    <w:p w14:paraId="58AA2561" w14:textId="06C7D9EB" w:rsidR="00B236DB" w:rsidRPr="00005453" w:rsidRDefault="00B236DB" w:rsidP="0054031F">
      <w:pPr>
        <w:autoSpaceDE w:val="0"/>
        <w:autoSpaceDN w:val="0"/>
        <w:adjustRightInd w:val="0"/>
        <w:rPr>
          <w:sz w:val="16"/>
          <w:szCs w:val="16"/>
          <w:lang w:eastAsia="zh-CN"/>
        </w:rPr>
      </w:pPr>
    </w:p>
    <w:p w14:paraId="3BFFB6DB" w14:textId="3A247BF8" w:rsidR="003417AA" w:rsidRPr="00005453" w:rsidRDefault="003417AA" w:rsidP="0054031F">
      <w:pPr>
        <w:autoSpaceDE w:val="0"/>
        <w:autoSpaceDN w:val="0"/>
        <w:adjustRightInd w:val="0"/>
        <w:rPr>
          <w:sz w:val="16"/>
          <w:szCs w:val="16"/>
          <w:lang w:eastAsia="zh-CN"/>
        </w:rPr>
      </w:pPr>
    </w:p>
    <w:p w14:paraId="24B4A7C5" w14:textId="4194FFC4" w:rsidR="003E7163" w:rsidRPr="00005453" w:rsidRDefault="003E7163" w:rsidP="0054031F">
      <w:pPr>
        <w:autoSpaceDE w:val="0"/>
        <w:autoSpaceDN w:val="0"/>
        <w:adjustRightInd w:val="0"/>
        <w:rPr>
          <w:sz w:val="16"/>
          <w:szCs w:val="16"/>
          <w:lang w:eastAsia="zh-CN"/>
        </w:rPr>
      </w:pPr>
    </w:p>
    <w:p w14:paraId="0C24DBD2" w14:textId="0EE9D25A" w:rsidR="003E7163" w:rsidRPr="00005453" w:rsidRDefault="003E7163" w:rsidP="0054031F">
      <w:pPr>
        <w:autoSpaceDE w:val="0"/>
        <w:autoSpaceDN w:val="0"/>
        <w:adjustRightInd w:val="0"/>
        <w:rPr>
          <w:sz w:val="16"/>
          <w:szCs w:val="16"/>
          <w:lang w:eastAsia="zh-CN"/>
        </w:rPr>
      </w:pPr>
    </w:p>
    <w:p w14:paraId="3B37863C" w14:textId="5C2586D5" w:rsidR="00A6645B" w:rsidRPr="00005453" w:rsidRDefault="00A6645B" w:rsidP="0054031F">
      <w:pPr>
        <w:autoSpaceDE w:val="0"/>
        <w:autoSpaceDN w:val="0"/>
        <w:adjustRightInd w:val="0"/>
        <w:rPr>
          <w:sz w:val="16"/>
          <w:szCs w:val="16"/>
          <w:lang w:eastAsia="zh-CN"/>
        </w:rPr>
      </w:pPr>
    </w:p>
    <w:p w14:paraId="26B28DD2" w14:textId="77777777" w:rsidR="00A6645B" w:rsidRPr="00005453" w:rsidRDefault="00A6645B" w:rsidP="0054031F">
      <w:pPr>
        <w:autoSpaceDE w:val="0"/>
        <w:autoSpaceDN w:val="0"/>
        <w:adjustRightInd w:val="0"/>
        <w:rPr>
          <w:sz w:val="16"/>
          <w:szCs w:val="16"/>
          <w:lang w:eastAsia="zh-CN"/>
        </w:rPr>
      </w:pPr>
    </w:p>
    <w:p w14:paraId="2D9B32D7" w14:textId="77777777" w:rsidR="003E7163" w:rsidRPr="00005453" w:rsidRDefault="003E7163" w:rsidP="0054031F">
      <w:pPr>
        <w:autoSpaceDE w:val="0"/>
        <w:autoSpaceDN w:val="0"/>
        <w:adjustRightInd w:val="0"/>
        <w:rPr>
          <w:sz w:val="16"/>
          <w:szCs w:val="16"/>
          <w:lang w:eastAsia="zh-CN"/>
        </w:rPr>
      </w:pPr>
    </w:p>
    <w:p w14:paraId="409FA024" w14:textId="7A074684" w:rsidR="00474DA6" w:rsidRPr="00005453" w:rsidRDefault="00474DA6" w:rsidP="0054031F">
      <w:pPr>
        <w:autoSpaceDE w:val="0"/>
        <w:autoSpaceDN w:val="0"/>
        <w:adjustRightInd w:val="0"/>
        <w:rPr>
          <w:sz w:val="16"/>
          <w:szCs w:val="16"/>
          <w:lang w:eastAsia="zh-CN"/>
        </w:rPr>
      </w:pPr>
    </w:p>
    <w:p w14:paraId="1A9471DA" w14:textId="77777777" w:rsidR="000F3BDB" w:rsidRPr="00005453" w:rsidRDefault="000F3BDB" w:rsidP="0054031F">
      <w:pPr>
        <w:spacing w:line="240" w:lineRule="exact"/>
        <w:ind w:hanging="567"/>
        <w:jc w:val="both"/>
        <w:rPr>
          <w:b/>
          <w:lang w:eastAsia="tr-TR"/>
        </w:rPr>
        <w:sectPr w:rsidR="000F3BDB" w:rsidRPr="00005453" w:rsidSect="00557BAB">
          <w:headerReference w:type="default" r:id="rId44"/>
          <w:footerReference w:type="default" r:id="rId45"/>
          <w:pgSz w:w="11906" w:h="16838"/>
          <w:pgMar w:top="737" w:right="992" w:bottom="992" w:left="1440" w:header="709" w:footer="709" w:gutter="0"/>
          <w:cols w:space="708"/>
          <w:docGrid w:linePitch="360"/>
        </w:sectPr>
      </w:pPr>
    </w:p>
    <w:p w14:paraId="655303E6" w14:textId="77777777" w:rsidR="0054031F" w:rsidRPr="00005453" w:rsidRDefault="0054031F" w:rsidP="0054031F">
      <w:pPr>
        <w:spacing w:line="240" w:lineRule="exact"/>
        <w:ind w:hanging="567"/>
        <w:jc w:val="both"/>
        <w:rPr>
          <w:b/>
          <w:lang w:eastAsia="tr-TR"/>
        </w:rPr>
      </w:pPr>
      <w:r w:rsidRPr="00005453">
        <w:rPr>
          <w:b/>
          <w:lang w:eastAsia="tr-TR"/>
        </w:rPr>
        <w:lastRenderedPageBreak/>
        <w:t>2.9.</w:t>
      </w:r>
      <w:r w:rsidRPr="00005453">
        <w:rPr>
          <w:b/>
          <w:lang w:eastAsia="tr-TR"/>
        </w:rPr>
        <w:tab/>
        <w:t>Döngüsel sermaye tamponu hesaplamasına dahil riskler</w:t>
      </w:r>
    </w:p>
    <w:p w14:paraId="3CC97EF3" w14:textId="77777777" w:rsidR="0054031F" w:rsidRPr="00005453" w:rsidRDefault="0054031F" w:rsidP="0054031F">
      <w:pPr>
        <w:autoSpaceDE w:val="0"/>
        <w:autoSpaceDN w:val="0"/>
        <w:adjustRightInd w:val="0"/>
        <w:rPr>
          <w:sz w:val="16"/>
          <w:szCs w:val="16"/>
          <w:lang w:eastAsia="zh-CN"/>
        </w:rPr>
      </w:pPr>
    </w:p>
    <w:p w14:paraId="292E5E96" w14:textId="71E21F43" w:rsidR="00FF1786" w:rsidRPr="00005453" w:rsidRDefault="00766064" w:rsidP="0054031F">
      <w:pPr>
        <w:autoSpaceDE w:val="0"/>
        <w:autoSpaceDN w:val="0"/>
        <w:adjustRightInd w:val="0"/>
        <w:rPr>
          <w:b/>
          <w:lang w:eastAsia="en-GB"/>
        </w:rPr>
      </w:pPr>
      <w:r w:rsidRPr="00005453">
        <w:rPr>
          <w:rFonts w:eastAsia="Arial Unicode MS"/>
          <w:b/>
        </w:rPr>
        <w:t>Cari Dönem</w:t>
      </w:r>
    </w:p>
    <w:tbl>
      <w:tblPr>
        <w:tblW w:w="9375" w:type="dxa"/>
        <w:tblCellMar>
          <w:left w:w="70" w:type="dxa"/>
          <w:right w:w="70" w:type="dxa"/>
        </w:tblCellMar>
        <w:tblLook w:val="04A0" w:firstRow="1" w:lastRow="0" w:firstColumn="1" w:lastColumn="0" w:noHBand="0" w:noVBand="1"/>
      </w:tblPr>
      <w:tblGrid>
        <w:gridCol w:w="3291"/>
        <w:gridCol w:w="2380"/>
        <w:gridCol w:w="2005"/>
        <w:gridCol w:w="1699"/>
      </w:tblGrid>
      <w:tr w:rsidR="001F2C16" w:rsidRPr="00005453" w14:paraId="080A08A1" w14:textId="77777777" w:rsidTr="000F3BDB">
        <w:trPr>
          <w:trHeight w:val="960"/>
        </w:trPr>
        <w:tc>
          <w:tcPr>
            <w:tcW w:w="32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406681" w14:textId="77777777" w:rsidR="001F2C16" w:rsidRPr="00005453" w:rsidRDefault="001F2C16" w:rsidP="00011E0E">
            <w:pPr>
              <w:rPr>
                <w:b/>
                <w:bCs/>
                <w:color w:val="000000"/>
                <w:sz w:val="18"/>
                <w:szCs w:val="18"/>
                <w:lang w:eastAsia="tr-TR"/>
              </w:rPr>
            </w:pPr>
            <w:r w:rsidRPr="00005453">
              <w:rPr>
                <w:b/>
                <w:bCs/>
                <w:color w:val="000000"/>
                <w:sz w:val="18"/>
                <w:szCs w:val="18"/>
                <w:lang w:eastAsia="tr-TR"/>
              </w:rPr>
              <w:t>Ülke Adı</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24A92A0C" w14:textId="77777777" w:rsidR="001F2C16" w:rsidRPr="00005453" w:rsidRDefault="001F2C16" w:rsidP="00011E0E">
            <w:pPr>
              <w:jc w:val="right"/>
              <w:rPr>
                <w:b/>
                <w:bCs/>
                <w:color w:val="000000"/>
                <w:sz w:val="18"/>
                <w:szCs w:val="18"/>
                <w:lang w:eastAsia="tr-TR"/>
              </w:rPr>
            </w:pPr>
            <w:r w:rsidRPr="00005453">
              <w:rPr>
                <w:b/>
                <w:bCs/>
                <w:color w:val="000000"/>
                <w:sz w:val="18"/>
                <w:szCs w:val="18"/>
                <w:lang w:eastAsia="tr-TR"/>
              </w:rPr>
              <w:t xml:space="preserve"> Bankacılık Hesaplarındaki Özel Sektör Kredileri İçin Hesaplanan RAV </w:t>
            </w:r>
          </w:p>
        </w:tc>
        <w:tc>
          <w:tcPr>
            <w:tcW w:w="2005" w:type="dxa"/>
            <w:tcBorders>
              <w:top w:val="single" w:sz="8" w:space="0" w:color="auto"/>
              <w:left w:val="nil"/>
              <w:bottom w:val="single" w:sz="8" w:space="0" w:color="auto"/>
              <w:right w:val="single" w:sz="8" w:space="0" w:color="auto"/>
            </w:tcBorders>
            <w:shd w:val="clear" w:color="auto" w:fill="auto"/>
            <w:vAlign w:val="center"/>
            <w:hideMark/>
          </w:tcPr>
          <w:p w14:paraId="08BED745" w14:textId="77777777" w:rsidR="001F2C16" w:rsidRPr="00005453" w:rsidRDefault="001F2C16" w:rsidP="00011E0E">
            <w:pPr>
              <w:jc w:val="right"/>
              <w:rPr>
                <w:b/>
                <w:bCs/>
                <w:color w:val="000000"/>
                <w:sz w:val="18"/>
                <w:szCs w:val="18"/>
                <w:lang w:eastAsia="tr-TR"/>
              </w:rPr>
            </w:pPr>
            <w:r w:rsidRPr="00005453">
              <w:rPr>
                <w:b/>
                <w:bCs/>
                <w:color w:val="000000"/>
                <w:sz w:val="18"/>
                <w:szCs w:val="18"/>
                <w:lang w:eastAsia="tr-TR"/>
              </w:rPr>
              <w:t xml:space="preserve"> Alım Satım Hesapları Kapsamında Hesaplanan RAV </w:t>
            </w:r>
          </w:p>
        </w:tc>
        <w:tc>
          <w:tcPr>
            <w:tcW w:w="1699" w:type="dxa"/>
            <w:tcBorders>
              <w:top w:val="single" w:sz="8" w:space="0" w:color="auto"/>
              <w:left w:val="nil"/>
              <w:bottom w:val="single" w:sz="8" w:space="0" w:color="auto"/>
              <w:right w:val="single" w:sz="8" w:space="0" w:color="auto"/>
            </w:tcBorders>
            <w:shd w:val="clear" w:color="auto" w:fill="auto"/>
            <w:vAlign w:val="center"/>
            <w:hideMark/>
          </w:tcPr>
          <w:p w14:paraId="1C551B6E" w14:textId="77777777" w:rsidR="001F2C16" w:rsidRPr="00005453" w:rsidRDefault="001F2C16" w:rsidP="00011E0E">
            <w:pPr>
              <w:jc w:val="right"/>
              <w:rPr>
                <w:b/>
                <w:bCs/>
                <w:color w:val="000000"/>
                <w:sz w:val="18"/>
                <w:szCs w:val="18"/>
                <w:lang w:eastAsia="tr-TR"/>
              </w:rPr>
            </w:pPr>
            <w:r w:rsidRPr="00005453">
              <w:rPr>
                <w:b/>
                <w:bCs/>
                <w:color w:val="000000"/>
                <w:sz w:val="18"/>
                <w:szCs w:val="18"/>
                <w:lang w:eastAsia="tr-TR"/>
              </w:rPr>
              <w:t xml:space="preserve"> Toplam </w:t>
            </w:r>
          </w:p>
        </w:tc>
      </w:tr>
      <w:tr w:rsidR="00881ED5" w:rsidRPr="00005453" w14:paraId="7BEA4DF7"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3F9CEC6" w14:textId="0A0AD8C6" w:rsidR="00881ED5" w:rsidRPr="00005453" w:rsidRDefault="00881ED5" w:rsidP="00881ED5">
            <w:pPr>
              <w:rPr>
                <w:color w:val="000000"/>
                <w:sz w:val="18"/>
                <w:szCs w:val="18"/>
                <w:lang w:eastAsia="tr-TR"/>
              </w:rPr>
            </w:pPr>
            <w:r w:rsidRPr="00005453">
              <w:rPr>
                <w:color w:val="000000"/>
                <w:sz w:val="18"/>
                <w:szCs w:val="22"/>
              </w:rPr>
              <w:t>Türkiye</w:t>
            </w:r>
          </w:p>
        </w:tc>
        <w:tc>
          <w:tcPr>
            <w:tcW w:w="2380" w:type="dxa"/>
            <w:tcBorders>
              <w:top w:val="nil"/>
              <w:left w:val="nil"/>
              <w:bottom w:val="single" w:sz="8" w:space="0" w:color="auto"/>
              <w:right w:val="single" w:sz="8" w:space="0" w:color="auto"/>
            </w:tcBorders>
            <w:shd w:val="clear" w:color="auto" w:fill="auto"/>
            <w:noWrap/>
            <w:vAlign w:val="center"/>
            <w:hideMark/>
          </w:tcPr>
          <w:p w14:paraId="217E43F2" w14:textId="36C7FC29" w:rsidR="00881ED5" w:rsidRPr="00005453" w:rsidRDefault="00881ED5" w:rsidP="00881ED5">
            <w:pPr>
              <w:jc w:val="right"/>
              <w:rPr>
                <w:color w:val="000000"/>
                <w:sz w:val="18"/>
                <w:szCs w:val="18"/>
                <w:lang w:eastAsia="tr-TR"/>
              </w:rPr>
            </w:pPr>
            <w:r w:rsidRPr="00005453">
              <w:rPr>
                <w:color w:val="000000"/>
                <w:sz w:val="18"/>
                <w:szCs w:val="22"/>
              </w:rPr>
              <w:t>273,380,069</w:t>
            </w:r>
          </w:p>
        </w:tc>
        <w:tc>
          <w:tcPr>
            <w:tcW w:w="2005" w:type="dxa"/>
            <w:tcBorders>
              <w:top w:val="nil"/>
              <w:left w:val="nil"/>
              <w:bottom w:val="single" w:sz="8" w:space="0" w:color="auto"/>
              <w:right w:val="single" w:sz="8" w:space="0" w:color="auto"/>
            </w:tcBorders>
            <w:shd w:val="clear" w:color="auto" w:fill="auto"/>
            <w:noWrap/>
            <w:vAlign w:val="center"/>
            <w:hideMark/>
          </w:tcPr>
          <w:p w14:paraId="04014F5E" w14:textId="6DD44B7A"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414E8252" w14:textId="03A3EF3B" w:rsidR="00881ED5" w:rsidRPr="00005453" w:rsidRDefault="00881ED5" w:rsidP="00881ED5">
            <w:pPr>
              <w:jc w:val="right"/>
              <w:rPr>
                <w:color w:val="000000"/>
                <w:sz w:val="18"/>
                <w:szCs w:val="18"/>
                <w:lang w:eastAsia="tr-TR"/>
              </w:rPr>
            </w:pPr>
            <w:r w:rsidRPr="00005453">
              <w:rPr>
                <w:color w:val="000000"/>
                <w:sz w:val="18"/>
                <w:szCs w:val="22"/>
              </w:rPr>
              <w:t>273,380,069</w:t>
            </w:r>
          </w:p>
        </w:tc>
      </w:tr>
      <w:tr w:rsidR="00881ED5" w:rsidRPr="00005453" w14:paraId="6CAFA041"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D1DF40F" w14:textId="4F712422" w:rsidR="00881ED5" w:rsidRPr="00005453" w:rsidRDefault="00881ED5" w:rsidP="00881ED5">
            <w:pPr>
              <w:rPr>
                <w:color w:val="000000"/>
                <w:sz w:val="18"/>
                <w:szCs w:val="18"/>
                <w:lang w:eastAsia="tr-TR"/>
              </w:rPr>
            </w:pPr>
            <w:r w:rsidRPr="00005453">
              <w:rPr>
                <w:color w:val="000000"/>
                <w:sz w:val="18"/>
                <w:szCs w:val="22"/>
              </w:rPr>
              <w:t>Marshall Adl.</w:t>
            </w:r>
          </w:p>
        </w:tc>
        <w:tc>
          <w:tcPr>
            <w:tcW w:w="2380" w:type="dxa"/>
            <w:tcBorders>
              <w:top w:val="nil"/>
              <w:left w:val="nil"/>
              <w:bottom w:val="single" w:sz="8" w:space="0" w:color="auto"/>
              <w:right w:val="single" w:sz="8" w:space="0" w:color="auto"/>
            </w:tcBorders>
            <w:shd w:val="clear" w:color="auto" w:fill="auto"/>
            <w:noWrap/>
            <w:vAlign w:val="center"/>
            <w:hideMark/>
          </w:tcPr>
          <w:p w14:paraId="7128A097" w14:textId="57863261" w:rsidR="00881ED5" w:rsidRPr="00005453" w:rsidRDefault="00881ED5" w:rsidP="00881ED5">
            <w:pPr>
              <w:jc w:val="right"/>
              <w:rPr>
                <w:color w:val="000000"/>
                <w:sz w:val="18"/>
                <w:szCs w:val="18"/>
                <w:lang w:eastAsia="tr-TR"/>
              </w:rPr>
            </w:pPr>
            <w:r w:rsidRPr="00005453">
              <w:rPr>
                <w:color w:val="000000"/>
                <w:sz w:val="18"/>
                <w:szCs w:val="22"/>
              </w:rPr>
              <w:t>1,934,000</w:t>
            </w:r>
          </w:p>
        </w:tc>
        <w:tc>
          <w:tcPr>
            <w:tcW w:w="2005" w:type="dxa"/>
            <w:tcBorders>
              <w:top w:val="nil"/>
              <w:left w:val="nil"/>
              <w:bottom w:val="single" w:sz="8" w:space="0" w:color="auto"/>
              <w:right w:val="single" w:sz="8" w:space="0" w:color="auto"/>
            </w:tcBorders>
            <w:shd w:val="clear" w:color="auto" w:fill="auto"/>
            <w:noWrap/>
            <w:vAlign w:val="center"/>
            <w:hideMark/>
          </w:tcPr>
          <w:p w14:paraId="3EA5A316" w14:textId="1D0D74AD"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736E61EC" w14:textId="7D889C28" w:rsidR="00881ED5" w:rsidRPr="00005453" w:rsidRDefault="00881ED5" w:rsidP="00881ED5">
            <w:pPr>
              <w:jc w:val="right"/>
              <w:rPr>
                <w:color w:val="000000"/>
                <w:sz w:val="18"/>
                <w:szCs w:val="18"/>
                <w:lang w:eastAsia="tr-TR"/>
              </w:rPr>
            </w:pPr>
            <w:r w:rsidRPr="00005453">
              <w:rPr>
                <w:color w:val="000000"/>
                <w:sz w:val="18"/>
                <w:szCs w:val="22"/>
              </w:rPr>
              <w:t>1,934,000</w:t>
            </w:r>
          </w:p>
        </w:tc>
      </w:tr>
      <w:tr w:rsidR="00881ED5" w:rsidRPr="00005453" w14:paraId="4B1D891C"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FBAD1D4" w14:textId="60249DFE" w:rsidR="00881ED5" w:rsidRPr="00005453" w:rsidRDefault="00881ED5" w:rsidP="00881ED5">
            <w:pPr>
              <w:rPr>
                <w:color w:val="000000"/>
                <w:sz w:val="18"/>
                <w:szCs w:val="18"/>
                <w:lang w:eastAsia="tr-TR"/>
              </w:rPr>
            </w:pPr>
            <w:r w:rsidRPr="00005453">
              <w:rPr>
                <w:color w:val="000000"/>
                <w:sz w:val="18"/>
                <w:szCs w:val="22"/>
              </w:rPr>
              <w:t>Liberya</w:t>
            </w:r>
          </w:p>
        </w:tc>
        <w:tc>
          <w:tcPr>
            <w:tcW w:w="2380" w:type="dxa"/>
            <w:tcBorders>
              <w:top w:val="nil"/>
              <w:left w:val="nil"/>
              <w:bottom w:val="single" w:sz="8" w:space="0" w:color="auto"/>
              <w:right w:val="single" w:sz="8" w:space="0" w:color="auto"/>
            </w:tcBorders>
            <w:shd w:val="clear" w:color="auto" w:fill="auto"/>
            <w:noWrap/>
            <w:vAlign w:val="center"/>
            <w:hideMark/>
          </w:tcPr>
          <w:p w14:paraId="6D10ABD9" w14:textId="13A48F4A" w:rsidR="00881ED5" w:rsidRPr="00005453" w:rsidRDefault="00881ED5" w:rsidP="00881ED5">
            <w:pPr>
              <w:jc w:val="right"/>
              <w:rPr>
                <w:color w:val="000000"/>
                <w:sz w:val="18"/>
                <w:szCs w:val="18"/>
                <w:lang w:eastAsia="tr-TR"/>
              </w:rPr>
            </w:pPr>
            <w:r w:rsidRPr="00005453">
              <w:rPr>
                <w:color w:val="000000"/>
                <w:sz w:val="18"/>
                <w:szCs w:val="22"/>
              </w:rPr>
              <w:t>581,847</w:t>
            </w:r>
          </w:p>
        </w:tc>
        <w:tc>
          <w:tcPr>
            <w:tcW w:w="2005" w:type="dxa"/>
            <w:tcBorders>
              <w:top w:val="nil"/>
              <w:left w:val="nil"/>
              <w:bottom w:val="single" w:sz="8" w:space="0" w:color="auto"/>
              <w:right w:val="single" w:sz="8" w:space="0" w:color="auto"/>
            </w:tcBorders>
            <w:shd w:val="clear" w:color="auto" w:fill="auto"/>
            <w:noWrap/>
            <w:vAlign w:val="center"/>
            <w:hideMark/>
          </w:tcPr>
          <w:p w14:paraId="339D8B29" w14:textId="1645BB4D"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3DF069F4" w14:textId="0CB71C30" w:rsidR="00881ED5" w:rsidRPr="00005453" w:rsidRDefault="00881ED5" w:rsidP="00881ED5">
            <w:pPr>
              <w:jc w:val="right"/>
              <w:rPr>
                <w:color w:val="000000"/>
                <w:sz w:val="18"/>
                <w:szCs w:val="18"/>
                <w:lang w:eastAsia="tr-TR"/>
              </w:rPr>
            </w:pPr>
            <w:r w:rsidRPr="00005453">
              <w:rPr>
                <w:color w:val="000000"/>
                <w:sz w:val="18"/>
                <w:szCs w:val="22"/>
              </w:rPr>
              <w:t>581,847</w:t>
            </w:r>
          </w:p>
        </w:tc>
      </w:tr>
      <w:tr w:rsidR="00881ED5" w:rsidRPr="00005453" w14:paraId="53C0C6B3"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4721DE59" w14:textId="37B45A81" w:rsidR="00881ED5" w:rsidRPr="00005453" w:rsidRDefault="00881ED5" w:rsidP="00881ED5">
            <w:pPr>
              <w:rPr>
                <w:color w:val="000000"/>
                <w:sz w:val="18"/>
                <w:szCs w:val="18"/>
                <w:lang w:eastAsia="tr-TR"/>
              </w:rPr>
            </w:pPr>
            <w:r w:rsidRPr="00005453">
              <w:rPr>
                <w:color w:val="000000"/>
                <w:sz w:val="18"/>
                <w:szCs w:val="22"/>
              </w:rPr>
              <w:t>Malta</w:t>
            </w:r>
          </w:p>
        </w:tc>
        <w:tc>
          <w:tcPr>
            <w:tcW w:w="2380" w:type="dxa"/>
            <w:tcBorders>
              <w:top w:val="nil"/>
              <w:left w:val="nil"/>
              <w:bottom w:val="single" w:sz="8" w:space="0" w:color="auto"/>
              <w:right w:val="single" w:sz="8" w:space="0" w:color="auto"/>
            </w:tcBorders>
            <w:shd w:val="clear" w:color="auto" w:fill="auto"/>
            <w:noWrap/>
            <w:vAlign w:val="center"/>
            <w:hideMark/>
          </w:tcPr>
          <w:p w14:paraId="795BDABD" w14:textId="76F198D0" w:rsidR="00881ED5" w:rsidRPr="00005453" w:rsidRDefault="00881ED5" w:rsidP="00881ED5">
            <w:pPr>
              <w:jc w:val="right"/>
              <w:rPr>
                <w:color w:val="000000"/>
                <w:sz w:val="18"/>
                <w:szCs w:val="18"/>
                <w:lang w:eastAsia="tr-TR"/>
              </w:rPr>
            </w:pPr>
            <w:r w:rsidRPr="00005453">
              <w:rPr>
                <w:color w:val="000000"/>
                <w:sz w:val="18"/>
                <w:szCs w:val="22"/>
              </w:rPr>
              <w:t>205,329</w:t>
            </w:r>
          </w:p>
        </w:tc>
        <w:tc>
          <w:tcPr>
            <w:tcW w:w="2005" w:type="dxa"/>
            <w:tcBorders>
              <w:top w:val="nil"/>
              <w:left w:val="nil"/>
              <w:bottom w:val="single" w:sz="8" w:space="0" w:color="auto"/>
              <w:right w:val="single" w:sz="8" w:space="0" w:color="auto"/>
            </w:tcBorders>
            <w:shd w:val="clear" w:color="auto" w:fill="auto"/>
            <w:noWrap/>
            <w:vAlign w:val="center"/>
            <w:hideMark/>
          </w:tcPr>
          <w:p w14:paraId="53E37FC4" w14:textId="2EA608CD"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59A96CD3" w14:textId="1ABB24D2" w:rsidR="00881ED5" w:rsidRPr="00005453" w:rsidRDefault="00881ED5" w:rsidP="00881ED5">
            <w:pPr>
              <w:jc w:val="right"/>
              <w:rPr>
                <w:color w:val="000000"/>
                <w:sz w:val="18"/>
                <w:szCs w:val="18"/>
                <w:lang w:eastAsia="tr-TR"/>
              </w:rPr>
            </w:pPr>
            <w:r w:rsidRPr="00005453">
              <w:rPr>
                <w:color w:val="000000"/>
                <w:sz w:val="18"/>
                <w:szCs w:val="22"/>
              </w:rPr>
              <w:t>205,329</w:t>
            </w:r>
          </w:p>
        </w:tc>
      </w:tr>
      <w:tr w:rsidR="00881ED5" w:rsidRPr="00005453" w14:paraId="500517EB"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5939805" w14:textId="432408CF" w:rsidR="00881ED5" w:rsidRPr="00005453" w:rsidRDefault="00881ED5" w:rsidP="00881ED5">
            <w:pPr>
              <w:rPr>
                <w:color w:val="000000"/>
                <w:sz w:val="18"/>
                <w:szCs w:val="18"/>
                <w:lang w:eastAsia="tr-TR"/>
              </w:rPr>
            </w:pPr>
            <w:r w:rsidRPr="00005453">
              <w:rPr>
                <w:color w:val="000000"/>
                <w:sz w:val="18"/>
                <w:szCs w:val="22"/>
              </w:rPr>
              <w:t>Arnavutluk</w:t>
            </w:r>
          </w:p>
        </w:tc>
        <w:tc>
          <w:tcPr>
            <w:tcW w:w="2380" w:type="dxa"/>
            <w:tcBorders>
              <w:top w:val="nil"/>
              <w:left w:val="nil"/>
              <w:bottom w:val="single" w:sz="8" w:space="0" w:color="auto"/>
              <w:right w:val="single" w:sz="8" w:space="0" w:color="auto"/>
            </w:tcBorders>
            <w:shd w:val="clear" w:color="auto" w:fill="auto"/>
            <w:noWrap/>
            <w:vAlign w:val="center"/>
            <w:hideMark/>
          </w:tcPr>
          <w:p w14:paraId="2A3BCD3C" w14:textId="0ADEB698" w:rsidR="00881ED5" w:rsidRPr="00005453" w:rsidRDefault="00881ED5" w:rsidP="00881ED5">
            <w:pPr>
              <w:jc w:val="right"/>
              <w:rPr>
                <w:color w:val="000000"/>
                <w:sz w:val="18"/>
                <w:szCs w:val="18"/>
                <w:lang w:eastAsia="tr-TR"/>
              </w:rPr>
            </w:pPr>
            <w:r w:rsidRPr="00005453">
              <w:rPr>
                <w:color w:val="000000"/>
                <w:sz w:val="18"/>
                <w:szCs w:val="22"/>
              </w:rPr>
              <w:t>102,146</w:t>
            </w:r>
          </w:p>
        </w:tc>
        <w:tc>
          <w:tcPr>
            <w:tcW w:w="2005" w:type="dxa"/>
            <w:tcBorders>
              <w:top w:val="nil"/>
              <w:left w:val="nil"/>
              <w:bottom w:val="single" w:sz="8" w:space="0" w:color="auto"/>
              <w:right w:val="single" w:sz="8" w:space="0" w:color="auto"/>
            </w:tcBorders>
            <w:shd w:val="clear" w:color="auto" w:fill="auto"/>
            <w:noWrap/>
            <w:vAlign w:val="center"/>
            <w:hideMark/>
          </w:tcPr>
          <w:p w14:paraId="533D5355" w14:textId="7BC9062B"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72B2CA3A" w14:textId="65BF7092" w:rsidR="00881ED5" w:rsidRPr="00005453" w:rsidRDefault="00881ED5" w:rsidP="00881ED5">
            <w:pPr>
              <w:jc w:val="right"/>
              <w:rPr>
                <w:color w:val="000000"/>
                <w:sz w:val="18"/>
                <w:szCs w:val="18"/>
                <w:lang w:eastAsia="tr-TR"/>
              </w:rPr>
            </w:pPr>
            <w:r w:rsidRPr="00005453">
              <w:rPr>
                <w:color w:val="000000"/>
                <w:sz w:val="18"/>
                <w:szCs w:val="22"/>
              </w:rPr>
              <w:t>102,146</w:t>
            </w:r>
          </w:p>
        </w:tc>
      </w:tr>
      <w:tr w:rsidR="00881ED5" w:rsidRPr="00005453" w14:paraId="1B2F4061"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E736E28" w14:textId="448A307B" w:rsidR="00881ED5" w:rsidRPr="00005453" w:rsidRDefault="00881ED5" w:rsidP="00881ED5">
            <w:pPr>
              <w:rPr>
                <w:color w:val="000000"/>
                <w:sz w:val="18"/>
                <w:szCs w:val="18"/>
                <w:lang w:eastAsia="tr-TR"/>
              </w:rPr>
            </w:pPr>
            <w:r w:rsidRPr="00005453">
              <w:rPr>
                <w:color w:val="000000"/>
                <w:sz w:val="18"/>
                <w:szCs w:val="22"/>
              </w:rPr>
              <w:t>Sen Kitt ve Nevis</w:t>
            </w:r>
          </w:p>
        </w:tc>
        <w:tc>
          <w:tcPr>
            <w:tcW w:w="2380" w:type="dxa"/>
            <w:tcBorders>
              <w:top w:val="nil"/>
              <w:left w:val="nil"/>
              <w:bottom w:val="single" w:sz="8" w:space="0" w:color="auto"/>
              <w:right w:val="single" w:sz="8" w:space="0" w:color="auto"/>
            </w:tcBorders>
            <w:shd w:val="clear" w:color="auto" w:fill="auto"/>
            <w:noWrap/>
            <w:vAlign w:val="center"/>
            <w:hideMark/>
          </w:tcPr>
          <w:p w14:paraId="5D55E1ED" w14:textId="6A6688E1" w:rsidR="00881ED5" w:rsidRPr="00005453" w:rsidRDefault="00881ED5" w:rsidP="00881ED5">
            <w:pPr>
              <w:jc w:val="right"/>
              <w:rPr>
                <w:color w:val="000000"/>
                <w:sz w:val="18"/>
                <w:szCs w:val="18"/>
                <w:lang w:eastAsia="tr-TR"/>
              </w:rPr>
            </w:pPr>
            <w:r w:rsidRPr="00005453">
              <w:rPr>
                <w:color w:val="000000"/>
                <w:sz w:val="18"/>
                <w:szCs w:val="22"/>
              </w:rPr>
              <w:t>87,817</w:t>
            </w:r>
          </w:p>
        </w:tc>
        <w:tc>
          <w:tcPr>
            <w:tcW w:w="2005" w:type="dxa"/>
            <w:tcBorders>
              <w:top w:val="nil"/>
              <w:left w:val="nil"/>
              <w:bottom w:val="single" w:sz="8" w:space="0" w:color="auto"/>
              <w:right w:val="single" w:sz="8" w:space="0" w:color="auto"/>
            </w:tcBorders>
            <w:shd w:val="clear" w:color="auto" w:fill="auto"/>
            <w:noWrap/>
            <w:vAlign w:val="center"/>
            <w:hideMark/>
          </w:tcPr>
          <w:p w14:paraId="42C9226E" w14:textId="1B42A002"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393AADED" w14:textId="54543B87" w:rsidR="00881ED5" w:rsidRPr="00005453" w:rsidRDefault="00881ED5" w:rsidP="00881ED5">
            <w:pPr>
              <w:jc w:val="right"/>
              <w:rPr>
                <w:color w:val="000000"/>
                <w:sz w:val="18"/>
                <w:szCs w:val="18"/>
                <w:lang w:eastAsia="tr-TR"/>
              </w:rPr>
            </w:pPr>
            <w:r w:rsidRPr="00005453">
              <w:rPr>
                <w:color w:val="000000"/>
                <w:sz w:val="18"/>
                <w:szCs w:val="22"/>
              </w:rPr>
              <w:t>87,817</w:t>
            </w:r>
          </w:p>
        </w:tc>
      </w:tr>
      <w:tr w:rsidR="00881ED5" w:rsidRPr="00005453" w14:paraId="0C28492B"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7EC59690" w14:textId="3EA80F2A" w:rsidR="00881ED5" w:rsidRPr="00005453" w:rsidRDefault="00881ED5" w:rsidP="00881ED5">
            <w:pPr>
              <w:rPr>
                <w:color w:val="000000"/>
                <w:sz w:val="18"/>
                <w:szCs w:val="18"/>
                <w:lang w:eastAsia="tr-TR"/>
              </w:rPr>
            </w:pPr>
            <w:r w:rsidRPr="00005453">
              <w:rPr>
                <w:color w:val="000000"/>
                <w:sz w:val="18"/>
                <w:szCs w:val="22"/>
              </w:rPr>
              <w:t>Almanya</w:t>
            </w:r>
          </w:p>
        </w:tc>
        <w:tc>
          <w:tcPr>
            <w:tcW w:w="2380" w:type="dxa"/>
            <w:tcBorders>
              <w:top w:val="nil"/>
              <w:left w:val="nil"/>
              <w:bottom w:val="single" w:sz="8" w:space="0" w:color="auto"/>
              <w:right w:val="single" w:sz="8" w:space="0" w:color="auto"/>
            </w:tcBorders>
            <w:shd w:val="clear" w:color="auto" w:fill="auto"/>
            <w:noWrap/>
            <w:vAlign w:val="center"/>
            <w:hideMark/>
          </w:tcPr>
          <w:p w14:paraId="7D2DFD88" w14:textId="4A99FE3D" w:rsidR="00881ED5" w:rsidRPr="00005453" w:rsidRDefault="00881ED5" w:rsidP="00881ED5">
            <w:pPr>
              <w:jc w:val="right"/>
              <w:rPr>
                <w:color w:val="000000"/>
                <w:sz w:val="18"/>
                <w:szCs w:val="18"/>
                <w:lang w:eastAsia="tr-TR"/>
              </w:rPr>
            </w:pPr>
            <w:r w:rsidRPr="00005453">
              <w:rPr>
                <w:color w:val="000000"/>
                <w:sz w:val="18"/>
                <w:szCs w:val="22"/>
              </w:rPr>
              <w:t>31,607</w:t>
            </w:r>
          </w:p>
        </w:tc>
        <w:tc>
          <w:tcPr>
            <w:tcW w:w="2005" w:type="dxa"/>
            <w:tcBorders>
              <w:top w:val="nil"/>
              <w:left w:val="nil"/>
              <w:bottom w:val="single" w:sz="8" w:space="0" w:color="auto"/>
              <w:right w:val="single" w:sz="8" w:space="0" w:color="auto"/>
            </w:tcBorders>
            <w:shd w:val="clear" w:color="auto" w:fill="auto"/>
            <w:noWrap/>
            <w:vAlign w:val="center"/>
            <w:hideMark/>
          </w:tcPr>
          <w:p w14:paraId="686447E9" w14:textId="7A970C65"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6A279912" w14:textId="57754521" w:rsidR="00881ED5" w:rsidRPr="00005453" w:rsidRDefault="00881ED5" w:rsidP="00881ED5">
            <w:pPr>
              <w:jc w:val="right"/>
              <w:rPr>
                <w:color w:val="000000"/>
                <w:sz w:val="18"/>
                <w:szCs w:val="18"/>
                <w:lang w:eastAsia="tr-TR"/>
              </w:rPr>
            </w:pPr>
            <w:r w:rsidRPr="00005453">
              <w:rPr>
                <w:color w:val="000000"/>
                <w:sz w:val="18"/>
                <w:szCs w:val="22"/>
              </w:rPr>
              <w:t>31,607</w:t>
            </w:r>
          </w:p>
        </w:tc>
      </w:tr>
      <w:tr w:rsidR="00881ED5" w:rsidRPr="00005453" w14:paraId="15CA1B3D" w14:textId="77777777" w:rsidTr="00881ED5">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08BB33E" w14:textId="3E44CBDC" w:rsidR="00881ED5" w:rsidRPr="00005453" w:rsidRDefault="00881ED5" w:rsidP="00881ED5">
            <w:pPr>
              <w:rPr>
                <w:color w:val="000000"/>
                <w:sz w:val="18"/>
                <w:szCs w:val="18"/>
                <w:lang w:eastAsia="tr-TR"/>
              </w:rPr>
            </w:pPr>
            <w:r w:rsidRPr="00005453">
              <w:rPr>
                <w:color w:val="000000"/>
                <w:sz w:val="18"/>
                <w:szCs w:val="22"/>
              </w:rPr>
              <w:t>İtalya</w:t>
            </w:r>
          </w:p>
        </w:tc>
        <w:tc>
          <w:tcPr>
            <w:tcW w:w="2380" w:type="dxa"/>
            <w:tcBorders>
              <w:top w:val="nil"/>
              <w:left w:val="nil"/>
              <w:bottom w:val="single" w:sz="8" w:space="0" w:color="auto"/>
              <w:right w:val="single" w:sz="8" w:space="0" w:color="auto"/>
            </w:tcBorders>
            <w:shd w:val="clear" w:color="auto" w:fill="auto"/>
            <w:noWrap/>
            <w:vAlign w:val="center"/>
            <w:hideMark/>
          </w:tcPr>
          <w:p w14:paraId="0A6802FB" w14:textId="522ABBC2" w:rsidR="00881ED5" w:rsidRPr="00005453" w:rsidRDefault="00881ED5" w:rsidP="00881ED5">
            <w:pPr>
              <w:jc w:val="right"/>
              <w:rPr>
                <w:color w:val="000000"/>
                <w:sz w:val="18"/>
                <w:szCs w:val="18"/>
                <w:lang w:eastAsia="tr-TR"/>
              </w:rPr>
            </w:pPr>
            <w:r w:rsidRPr="00005453">
              <w:rPr>
                <w:color w:val="000000"/>
                <w:sz w:val="18"/>
                <w:szCs w:val="22"/>
              </w:rPr>
              <w:t>28,996</w:t>
            </w:r>
          </w:p>
        </w:tc>
        <w:tc>
          <w:tcPr>
            <w:tcW w:w="2005" w:type="dxa"/>
            <w:tcBorders>
              <w:top w:val="nil"/>
              <w:left w:val="nil"/>
              <w:bottom w:val="single" w:sz="8" w:space="0" w:color="auto"/>
              <w:right w:val="single" w:sz="8" w:space="0" w:color="auto"/>
            </w:tcBorders>
            <w:shd w:val="clear" w:color="auto" w:fill="auto"/>
            <w:noWrap/>
            <w:vAlign w:val="center"/>
            <w:hideMark/>
          </w:tcPr>
          <w:p w14:paraId="5347062A" w14:textId="4ABA78C6"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66C45A53" w14:textId="285DC01C" w:rsidR="00881ED5" w:rsidRPr="00005453" w:rsidRDefault="00881ED5" w:rsidP="00881ED5">
            <w:pPr>
              <w:jc w:val="right"/>
              <w:rPr>
                <w:color w:val="000000"/>
                <w:sz w:val="18"/>
                <w:szCs w:val="18"/>
                <w:lang w:eastAsia="tr-TR"/>
              </w:rPr>
            </w:pPr>
            <w:r w:rsidRPr="00005453">
              <w:rPr>
                <w:color w:val="000000"/>
                <w:sz w:val="18"/>
                <w:szCs w:val="22"/>
              </w:rPr>
              <w:t>28,996</w:t>
            </w:r>
          </w:p>
        </w:tc>
      </w:tr>
      <w:tr w:rsidR="00881ED5" w:rsidRPr="00005453" w14:paraId="71A4CB0A" w14:textId="77777777" w:rsidTr="00881ED5">
        <w:trPr>
          <w:trHeight w:val="157"/>
        </w:trPr>
        <w:tc>
          <w:tcPr>
            <w:tcW w:w="3291" w:type="dxa"/>
            <w:tcBorders>
              <w:top w:val="nil"/>
              <w:left w:val="single" w:sz="8" w:space="0" w:color="auto"/>
              <w:bottom w:val="single" w:sz="8" w:space="0" w:color="auto"/>
              <w:right w:val="single" w:sz="8" w:space="0" w:color="auto"/>
            </w:tcBorders>
            <w:shd w:val="clear" w:color="auto" w:fill="auto"/>
            <w:noWrap/>
            <w:vAlign w:val="center"/>
          </w:tcPr>
          <w:p w14:paraId="6BE7F031" w14:textId="68393738" w:rsidR="00881ED5" w:rsidRPr="00005453" w:rsidRDefault="00881ED5" w:rsidP="00881ED5">
            <w:pPr>
              <w:rPr>
                <w:color w:val="000000"/>
                <w:sz w:val="18"/>
                <w:szCs w:val="18"/>
                <w:lang w:eastAsia="tr-TR"/>
              </w:rPr>
            </w:pPr>
            <w:r w:rsidRPr="00005453">
              <w:rPr>
                <w:color w:val="000000"/>
                <w:sz w:val="18"/>
                <w:szCs w:val="22"/>
              </w:rPr>
              <w:t>İngiltere</w:t>
            </w:r>
          </w:p>
        </w:tc>
        <w:tc>
          <w:tcPr>
            <w:tcW w:w="2380" w:type="dxa"/>
            <w:tcBorders>
              <w:top w:val="nil"/>
              <w:left w:val="nil"/>
              <w:bottom w:val="single" w:sz="8" w:space="0" w:color="auto"/>
              <w:right w:val="single" w:sz="8" w:space="0" w:color="auto"/>
            </w:tcBorders>
            <w:shd w:val="clear" w:color="auto" w:fill="auto"/>
            <w:noWrap/>
            <w:vAlign w:val="center"/>
          </w:tcPr>
          <w:p w14:paraId="3BF66C6E" w14:textId="1FB5E886" w:rsidR="00881ED5" w:rsidRPr="00005453" w:rsidRDefault="00881ED5" w:rsidP="00881ED5">
            <w:pPr>
              <w:jc w:val="right"/>
              <w:rPr>
                <w:color w:val="000000"/>
                <w:sz w:val="18"/>
                <w:szCs w:val="18"/>
                <w:lang w:eastAsia="tr-TR"/>
              </w:rPr>
            </w:pPr>
            <w:r w:rsidRPr="00005453">
              <w:rPr>
                <w:color w:val="000000"/>
                <w:sz w:val="18"/>
                <w:szCs w:val="22"/>
              </w:rPr>
              <w:t>27,211</w:t>
            </w:r>
          </w:p>
        </w:tc>
        <w:tc>
          <w:tcPr>
            <w:tcW w:w="2005" w:type="dxa"/>
            <w:tcBorders>
              <w:top w:val="nil"/>
              <w:left w:val="nil"/>
              <w:bottom w:val="single" w:sz="8" w:space="0" w:color="auto"/>
              <w:right w:val="single" w:sz="8" w:space="0" w:color="auto"/>
            </w:tcBorders>
            <w:shd w:val="clear" w:color="auto" w:fill="auto"/>
            <w:noWrap/>
            <w:vAlign w:val="center"/>
          </w:tcPr>
          <w:p w14:paraId="77AA8FB3" w14:textId="2044C37F"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tcPr>
          <w:p w14:paraId="6557BAC4" w14:textId="43305965" w:rsidR="00881ED5" w:rsidRPr="00005453" w:rsidRDefault="00881ED5" w:rsidP="00881ED5">
            <w:pPr>
              <w:jc w:val="right"/>
              <w:rPr>
                <w:color w:val="000000"/>
                <w:sz w:val="18"/>
                <w:szCs w:val="18"/>
                <w:lang w:eastAsia="tr-TR"/>
              </w:rPr>
            </w:pPr>
            <w:r w:rsidRPr="00005453">
              <w:rPr>
                <w:color w:val="000000"/>
                <w:sz w:val="18"/>
                <w:szCs w:val="22"/>
              </w:rPr>
              <w:t>27,211</w:t>
            </w:r>
          </w:p>
        </w:tc>
      </w:tr>
      <w:tr w:rsidR="00881ED5" w:rsidRPr="00005453" w14:paraId="313A6FD3" w14:textId="77777777" w:rsidTr="00881ED5">
        <w:trPr>
          <w:trHeight w:val="157"/>
        </w:trPr>
        <w:tc>
          <w:tcPr>
            <w:tcW w:w="3291" w:type="dxa"/>
            <w:tcBorders>
              <w:top w:val="nil"/>
              <w:left w:val="single" w:sz="8" w:space="0" w:color="auto"/>
              <w:bottom w:val="single" w:sz="8" w:space="0" w:color="auto"/>
              <w:right w:val="single" w:sz="8" w:space="0" w:color="auto"/>
            </w:tcBorders>
            <w:shd w:val="clear" w:color="auto" w:fill="auto"/>
            <w:noWrap/>
            <w:vAlign w:val="center"/>
          </w:tcPr>
          <w:p w14:paraId="354891F4" w14:textId="3954DA65" w:rsidR="00881ED5" w:rsidRPr="00005453" w:rsidRDefault="00881ED5" w:rsidP="00881ED5">
            <w:pPr>
              <w:rPr>
                <w:color w:val="000000"/>
                <w:sz w:val="18"/>
                <w:szCs w:val="18"/>
                <w:lang w:eastAsia="tr-TR"/>
              </w:rPr>
            </w:pPr>
            <w:r w:rsidRPr="00005453">
              <w:rPr>
                <w:color w:val="000000"/>
                <w:sz w:val="18"/>
                <w:szCs w:val="22"/>
              </w:rPr>
              <w:t>Katar</w:t>
            </w:r>
          </w:p>
        </w:tc>
        <w:tc>
          <w:tcPr>
            <w:tcW w:w="2380" w:type="dxa"/>
            <w:tcBorders>
              <w:top w:val="nil"/>
              <w:left w:val="nil"/>
              <w:bottom w:val="single" w:sz="8" w:space="0" w:color="auto"/>
              <w:right w:val="single" w:sz="8" w:space="0" w:color="auto"/>
            </w:tcBorders>
            <w:shd w:val="clear" w:color="auto" w:fill="auto"/>
            <w:noWrap/>
            <w:vAlign w:val="center"/>
          </w:tcPr>
          <w:p w14:paraId="3C14025A" w14:textId="76D44F43" w:rsidR="00881ED5" w:rsidRPr="00005453" w:rsidRDefault="00881ED5" w:rsidP="00881ED5">
            <w:pPr>
              <w:jc w:val="right"/>
              <w:rPr>
                <w:color w:val="000000"/>
                <w:sz w:val="18"/>
                <w:szCs w:val="18"/>
                <w:lang w:eastAsia="tr-TR"/>
              </w:rPr>
            </w:pPr>
            <w:r w:rsidRPr="00005453">
              <w:rPr>
                <w:color w:val="000000"/>
                <w:sz w:val="18"/>
                <w:szCs w:val="22"/>
              </w:rPr>
              <w:t>21,007</w:t>
            </w:r>
          </w:p>
        </w:tc>
        <w:tc>
          <w:tcPr>
            <w:tcW w:w="2005" w:type="dxa"/>
            <w:tcBorders>
              <w:top w:val="nil"/>
              <w:left w:val="nil"/>
              <w:bottom w:val="single" w:sz="8" w:space="0" w:color="auto"/>
              <w:right w:val="single" w:sz="8" w:space="0" w:color="auto"/>
            </w:tcBorders>
            <w:shd w:val="clear" w:color="auto" w:fill="auto"/>
            <w:noWrap/>
            <w:vAlign w:val="center"/>
          </w:tcPr>
          <w:p w14:paraId="66AAFFD3" w14:textId="5A23CDB1"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tcPr>
          <w:p w14:paraId="49252648" w14:textId="7765B3A3" w:rsidR="00881ED5" w:rsidRPr="00005453" w:rsidRDefault="00881ED5" w:rsidP="00881ED5">
            <w:pPr>
              <w:jc w:val="right"/>
              <w:rPr>
                <w:color w:val="000000"/>
                <w:sz w:val="18"/>
                <w:szCs w:val="18"/>
                <w:lang w:eastAsia="tr-TR"/>
              </w:rPr>
            </w:pPr>
            <w:r w:rsidRPr="00005453">
              <w:rPr>
                <w:color w:val="000000"/>
                <w:sz w:val="18"/>
                <w:szCs w:val="22"/>
              </w:rPr>
              <w:t>21,007</w:t>
            </w:r>
          </w:p>
        </w:tc>
      </w:tr>
      <w:tr w:rsidR="00881ED5" w:rsidRPr="00005453" w14:paraId="119FC324" w14:textId="77777777" w:rsidTr="00881ED5">
        <w:trPr>
          <w:trHeight w:val="157"/>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583BB05" w14:textId="6A5BE80B" w:rsidR="00881ED5" w:rsidRPr="00005453" w:rsidRDefault="00881ED5" w:rsidP="00881ED5">
            <w:pPr>
              <w:rPr>
                <w:color w:val="000000"/>
                <w:sz w:val="18"/>
                <w:szCs w:val="18"/>
                <w:lang w:eastAsia="tr-TR"/>
              </w:rPr>
            </w:pPr>
            <w:r w:rsidRPr="00005453">
              <w:rPr>
                <w:color w:val="000000"/>
                <w:sz w:val="18"/>
                <w:szCs w:val="22"/>
              </w:rPr>
              <w:t>Diğer</w:t>
            </w:r>
          </w:p>
        </w:tc>
        <w:tc>
          <w:tcPr>
            <w:tcW w:w="2380" w:type="dxa"/>
            <w:tcBorders>
              <w:top w:val="nil"/>
              <w:left w:val="nil"/>
              <w:bottom w:val="single" w:sz="8" w:space="0" w:color="auto"/>
              <w:right w:val="single" w:sz="8" w:space="0" w:color="auto"/>
            </w:tcBorders>
            <w:shd w:val="clear" w:color="auto" w:fill="auto"/>
            <w:noWrap/>
            <w:vAlign w:val="center"/>
            <w:hideMark/>
          </w:tcPr>
          <w:p w14:paraId="29AA69B6" w14:textId="64407CEF" w:rsidR="00881ED5" w:rsidRPr="00005453" w:rsidRDefault="00881ED5" w:rsidP="00881ED5">
            <w:pPr>
              <w:jc w:val="right"/>
              <w:rPr>
                <w:color w:val="000000"/>
                <w:sz w:val="18"/>
                <w:szCs w:val="18"/>
                <w:lang w:eastAsia="tr-TR"/>
              </w:rPr>
            </w:pPr>
            <w:r w:rsidRPr="00005453">
              <w:rPr>
                <w:color w:val="000000"/>
                <w:sz w:val="18"/>
                <w:szCs w:val="22"/>
              </w:rPr>
              <w:t>143,154</w:t>
            </w:r>
          </w:p>
        </w:tc>
        <w:tc>
          <w:tcPr>
            <w:tcW w:w="2005" w:type="dxa"/>
            <w:tcBorders>
              <w:top w:val="nil"/>
              <w:left w:val="nil"/>
              <w:bottom w:val="single" w:sz="8" w:space="0" w:color="auto"/>
              <w:right w:val="single" w:sz="8" w:space="0" w:color="auto"/>
            </w:tcBorders>
            <w:shd w:val="clear" w:color="auto" w:fill="auto"/>
            <w:noWrap/>
            <w:vAlign w:val="center"/>
            <w:hideMark/>
          </w:tcPr>
          <w:p w14:paraId="09A63C1E" w14:textId="0C937A0B" w:rsidR="00881ED5" w:rsidRPr="00005453" w:rsidRDefault="00881ED5" w:rsidP="00881ED5">
            <w:pPr>
              <w:jc w:val="right"/>
              <w:rPr>
                <w:color w:val="000000"/>
                <w:sz w:val="18"/>
                <w:szCs w:val="18"/>
                <w:lang w:eastAsia="tr-TR"/>
              </w:rPr>
            </w:pPr>
            <w:r w:rsidRPr="00005453">
              <w:rPr>
                <w:color w:val="000000"/>
                <w:sz w:val="18"/>
                <w:szCs w:val="22"/>
              </w:rPr>
              <w:t>-</w:t>
            </w:r>
          </w:p>
        </w:tc>
        <w:tc>
          <w:tcPr>
            <w:tcW w:w="1699" w:type="dxa"/>
            <w:tcBorders>
              <w:top w:val="nil"/>
              <w:left w:val="nil"/>
              <w:bottom w:val="single" w:sz="8" w:space="0" w:color="auto"/>
              <w:right w:val="single" w:sz="8" w:space="0" w:color="auto"/>
            </w:tcBorders>
            <w:shd w:val="clear" w:color="auto" w:fill="auto"/>
            <w:noWrap/>
            <w:vAlign w:val="center"/>
            <w:hideMark/>
          </w:tcPr>
          <w:p w14:paraId="495D0BF0" w14:textId="5895E50C" w:rsidR="00881ED5" w:rsidRPr="00005453" w:rsidRDefault="00881ED5" w:rsidP="00881ED5">
            <w:pPr>
              <w:jc w:val="right"/>
              <w:rPr>
                <w:color w:val="000000"/>
                <w:sz w:val="18"/>
                <w:szCs w:val="18"/>
                <w:lang w:eastAsia="tr-TR"/>
              </w:rPr>
            </w:pPr>
            <w:r w:rsidRPr="00005453">
              <w:rPr>
                <w:color w:val="000000"/>
                <w:sz w:val="18"/>
                <w:szCs w:val="22"/>
              </w:rPr>
              <w:t>143,154</w:t>
            </w:r>
          </w:p>
        </w:tc>
      </w:tr>
    </w:tbl>
    <w:p w14:paraId="2A3E9E01" w14:textId="77777777" w:rsidR="001F2C16" w:rsidRPr="00005453" w:rsidRDefault="001F2C16" w:rsidP="0054031F">
      <w:pPr>
        <w:autoSpaceDE w:val="0"/>
        <w:autoSpaceDN w:val="0"/>
        <w:adjustRightInd w:val="0"/>
        <w:rPr>
          <w:rFonts w:eastAsia="Arial Unicode MS"/>
          <w:b/>
          <w:sz w:val="16"/>
          <w:szCs w:val="16"/>
        </w:rPr>
      </w:pPr>
    </w:p>
    <w:p w14:paraId="39801388" w14:textId="3576CFAE" w:rsidR="00766064" w:rsidRPr="00005453" w:rsidRDefault="00766064" w:rsidP="0054031F">
      <w:pPr>
        <w:autoSpaceDE w:val="0"/>
        <w:autoSpaceDN w:val="0"/>
        <w:adjustRightInd w:val="0"/>
        <w:rPr>
          <w:rFonts w:eastAsia="Arial Unicode MS"/>
          <w:b/>
          <w:sz w:val="16"/>
          <w:szCs w:val="16"/>
        </w:rPr>
      </w:pPr>
    </w:p>
    <w:p w14:paraId="6DD4DEC1" w14:textId="3CAAFFA9" w:rsidR="00A42306" w:rsidRPr="00005453" w:rsidRDefault="00766064" w:rsidP="0054031F">
      <w:pPr>
        <w:autoSpaceDE w:val="0"/>
        <w:autoSpaceDN w:val="0"/>
        <w:adjustRightInd w:val="0"/>
        <w:rPr>
          <w:rFonts w:eastAsia="Arial Unicode MS"/>
          <w:b/>
        </w:rPr>
      </w:pPr>
      <w:r w:rsidRPr="00005453">
        <w:rPr>
          <w:rFonts w:eastAsia="Arial Unicode MS"/>
          <w:b/>
        </w:rPr>
        <w:t>Önceki Dönem</w:t>
      </w:r>
    </w:p>
    <w:tbl>
      <w:tblPr>
        <w:tblW w:w="9367" w:type="dxa"/>
        <w:tblCellMar>
          <w:left w:w="70" w:type="dxa"/>
          <w:right w:w="70" w:type="dxa"/>
        </w:tblCellMar>
        <w:tblLook w:val="04A0" w:firstRow="1" w:lastRow="0" w:firstColumn="1" w:lastColumn="0" w:noHBand="0" w:noVBand="1"/>
      </w:tblPr>
      <w:tblGrid>
        <w:gridCol w:w="3276"/>
        <w:gridCol w:w="2383"/>
        <w:gridCol w:w="2007"/>
        <w:gridCol w:w="1701"/>
      </w:tblGrid>
      <w:tr w:rsidR="001F2C16" w:rsidRPr="00005453" w14:paraId="597D4F11" w14:textId="77777777" w:rsidTr="00011E0E">
        <w:trPr>
          <w:trHeight w:val="1145"/>
        </w:trPr>
        <w:tc>
          <w:tcPr>
            <w:tcW w:w="3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41512" w14:textId="77777777" w:rsidR="001F2C16" w:rsidRPr="00005453" w:rsidRDefault="001F2C16" w:rsidP="00011E0E">
            <w:pPr>
              <w:rPr>
                <w:b/>
                <w:bCs/>
                <w:color w:val="000000"/>
                <w:sz w:val="18"/>
                <w:szCs w:val="18"/>
                <w:lang w:eastAsia="tr-TR"/>
              </w:rPr>
            </w:pPr>
            <w:r w:rsidRPr="00005453">
              <w:rPr>
                <w:b/>
                <w:bCs/>
                <w:color w:val="000000"/>
                <w:sz w:val="18"/>
                <w:szCs w:val="18"/>
                <w:lang w:eastAsia="tr-TR"/>
              </w:rPr>
              <w:t>Ülke Adı</w:t>
            </w:r>
          </w:p>
        </w:tc>
        <w:tc>
          <w:tcPr>
            <w:tcW w:w="2383" w:type="dxa"/>
            <w:tcBorders>
              <w:top w:val="single" w:sz="8" w:space="0" w:color="auto"/>
              <w:left w:val="nil"/>
              <w:bottom w:val="single" w:sz="8" w:space="0" w:color="auto"/>
              <w:right w:val="single" w:sz="8" w:space="0" w:color="auto"/>
            </w:tcBorders>
            <w:shd w:val="clear" w:color="auto" w:fill="auto"/>
            <w:vAlign w:val="center"/>
            <w:hideMark/>
          </w:tcPr>
          <w:p w14:paraId="0F594249" w14:textId="77777777" w:rsidR="001F2C16" w:rsidRPr="00005453" w:rsidRDefault="001F2C16" w:rsidP="00011E0E">
            <w:pPr>
              <w:jc w:val="right"/>
              <w:rPr>
                <w:b/>
                <w:bCs/>
                <w:color w:val="000000"/>
                <w:sz w:val="18"/>
                <w:szCs w:val="18"/>
                <w:lang w:eastAsia="tr-TR"/>
              </w:rPr>
            </w:pPr>
            <w:r w:rsidRPr="00005453">
              <w:rPr>
                <w:b/>
                <w:bCs/>
                <w:color w:val="000000"/>
                <w:sz w:val="18"/>
                <w:szCs w:val="18"/>
                <w:lang w:eastAsia="tr-TR"/>
              </w:rPr>
              <w:t xml:space="preserve"> Bankacılık Hesaplarındaki Özel Sektör Kredileri İçin Hesaplanan RAV </w:t>
            </w:r>
          </w:p>
        </w:tc>
        <w:tc>
          <w:tcPr>
            <w:tcW w:w="2007" w:type="dxa"/>
            <w:tcBorders>
              <w:top w:val="single" w:sz="8" w:space="0" w:color="auto"/>
              <w:left w:val="nil"/>
              <w:bottom w:val="single" w:sz="8" w:space="0" w:color="auto"/>
              <w:right w:val="single" w:sz="8" w:space="0" w:color="auto"/>
            </w:tcBorders>
            <w:shd w:val="clear" w:color="auto" w:fill="auto"/>
            <w:vAlign w:val="center"/>
            <w:hideMark/>
          </w:tcPr>
          <w:p w14:paraId="6E50AFD3" w14:textId="77777777" w:rsidR="001F2C16" w:rsidRPr="00005453" w:rsidRDefault="001F2C16" w:rsidP="00011E0E">
            <w:pPr>
              <w:jc w:val="right"/>
              <w:rPr>
                <w:b/>
                <w:bCs/>
                <w:color w:val="000000"/>
                <w:sz w:val="18"/>
                <w:szCs w:val="18"/>
                <w:lang w:eastAsia="tr-TR"/>
              </w:rPr>
            </w:pPr>
            <w:r w:rsidRPr="00005453">
              <w:rPr>
                <w:b/>
                <w:bCs/>
                <w:color w:val="000000"/>
                <w:sz w:val="18"/>
                <w:szCs w:val="18"/>
                <w:lang w:eastAsia="tr-TR"/>
              </w:rPr>
              <w:t xml:space="preserve"> Alım Satım Hesapları Kapsamında Hesaplanan RAV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8763288" w14:textId="77777777" w:rsidR="001F2C16" w:rsidRPr="00005453" w:rsidRDefault="001F2C16" w:rsidP="00011E0E">
            <w:pPr>
              <w:jc w:val="right"/>
              <w:rPr>
                <w:b/>
                <w:bCs/>
                <w:color w:val="000000"/>
                <w:sz w:val="18"/>
                <w:szCs w:val="18"/>
                <w:lang w:eastAsia="tr-TR"/>
              </w:rPr>
            </w:pPr>
            <w:r w:rsidRPr="00005453">
              <w:rPr>
                <w:b/>
                <w:bCs/>
                <w:color w:val="000000"/>
                <w:sz w:val="18"/>
                <w:szCs w:val="18"/>
                <w:lang w:eastAsia="tr-TR"/>
              </w:rPr>
              <w:t xml:space="preserve"> Toplam </w:t>
            </w:r>
          </w:p>
        </w:tc>
      </w:tr>
      <w:tr w:rsidR="00F14B37" w:rsidRPr="00005453" w14:paraId="66619805"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374F19D7" w14:textId="4F0E0BFB" w:rsidR="00F14B37" w:rsidRPr="00005453" w:rsidRDefault="00F14B37" w:rsidP="00F14B37">
            <w:pPr>
              <w:rPr>
                <w:color w:val="000000"/>
                <w:sz w:val="18"/>
                <w:szCs w:val="18"/>
                <w:lang w:eastAsia="tr-TR"/>
              </w:rPr>
            </w:pPr>
            <w:r w:rsidRPr="00005453">
              <w:rPr>
                <w:color w:val="000000"/>
                <w:sz w:val="18"/>
                <w:szCs w:val="18"/>
              </w:rPr>
              <w:t>Türkiye</w:t>
            </w:r>
          </w:p>
        </w:tc>
        <w:tc>
          <w:tcPr>
            <w:tcW w:w="2383" w:type="dxa"/>
            <w:tcBorders>
              <w:top w:val="nil"/>
              <w:left w:val="nil"/>
              <w:bottom w:val="single" w:sz="8" w:space="0" w:color="auto"/>
              <w:right w:val="single" w:sz="8" w:space="0" w:color="auto"/>
            </w:tcBorders>
            <w:shd w:val="clear" w:color="auto" w:fill="auto"/>
            <w:noWrap/>
            <w:vAlign w:val="center"/>
            <w:hideMark/>
          </w:tcPr>
          <w:p w14:paraId="709F1EB3" w14:textId="376074D4" w:rsidR="00F14B37" w:rsidRPr="00005453" w:rsidRDefault="00F14B37" w:rsidP="00F14B37">
            <w:pPr>
              <w:jc w:val="right"/>
              <w:rPr>
                <w:color w:val="000000"/>
                <w:sz w:val="18"/>
                <w:szCs w:val="18"/>
                <w:lang w:eastAsia="tr-TR"/>
              </w:rPr>
            </w:pPr>
            <w:r w:rsidRPr="00005453">
              <w:rPr>
                <w:color w:val="000000"/>
                <w:sz w:val="18"/>
                <w:szCs w:val="18"/>
              </w:rPr>
              <w:t>168,010,825</w:t>
            </w:r>
          </w:p>
        </w:tc>
        <w:tc>
          <w:tcPr>
            <w:tcW w:w="2007" w:type="dxa"/>
            <w:tcBorders>
              <w:top w:val="nil"/>
              <w:left w:val="nil"/>
              <w:bottom w:val="single" w:sz="8" w:space="0" w:color="auto"/>
              <w:right w:val="single" w:sz="8" w:space="0" w:color="auto"/>
            </w:tcBorders>
            <w:shd w:val="clear" w:color="auto" w:fill="auto"/>
            <w:noWrap/>
            <w:vAlign w:val="center"/>
            <w:hideMark/>
          </w:tcPr>
          <w:p w14:paraId="2369B1D0" w14:textId="14E080CA"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8D74AE9" w14:textId="04DD0319" w:rsidR="00F14B37" w:rsidRPr="00005453" w:rsidRDefault="00F14B37" w:rsidP="00F14B37">
            <w:pPr>
              <w:jc w:val="right"/>
              <w:rPr>
                <w:color w:val="000000"/>
                <w:sz w:val="18"/>
                <w:szCs w:val="18"/>
                <w:lang w:eastAsia="tr-TR"/>
              </w:rPr>
            </w:pPr>
            <w:r w:rsidRPr="00005453">
              <w:rPr>
                <w:color w:val="000000"/>
                <w:sz w:val="18"/>
                <w:szCs w:val="18"/>
              </w:rPr>
              <w:t>168,010,825</w:t>
            </w:r>
          </w:p>
        </w:tc>
      </w:tr>
      <w:tr w:rsidR="00F14B37" w:rsidRPr="00005453" w14:paraId="6B35B4DB"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4911EDAE" w14:textId="309FC03F" w:rsidR="00F14B37" w:rsidRPr="00005453" w:rsidRDefault="00F14B37" w:rsidP="00F14B37">
            <w:pPr>
              <w:rPr>
                <w:color w:val="000000"/>
                <w:sz w:val="18"/>
                <w:szCs w:val="18"/>
                <w:lang w:eastAsia="tr-TR"/>
              </w:rPr>
            </w:pPr>
            <w:r w:rsidRPr="00005453">
              <w:rPr>
                <w:color w:val="000000"/>
                <w:sz w:val="18"/>
                <w:szCs w:val="18"/>
              </w:rPr>
              <w:t>Marshall Adaları</w:t>
            </w:r>
          </w:p>
        </w:tc>
        <w:tc>
          <w:tcPr>
            <w:tcW w:w="2383" w:type="dxa"/>
            <w:tcBorders>
              <w:top w:val="nil"/>
              <w:left w:val="nil"/>
              <w:bottom w:val="single" w:sz="8" w:space="0" w:color="auto"/>
              <w:right w:val="single" w:sz="8" w:space="0" w:color="auto"/>
            </w:tcBorders>
            <w:shd w:val="clear" w:color="auto" w:fill="auto"/>
            <w:noWrap/>
            <w:vAlign w:val="center"/>
            <w:hideMark/>
          </w:tcPr>
          <w:p w14:paraId="4FD7FB56" w14:textId="1B3EBF31" w:rsidR="00F14B37" w:rsidRPr="00005453" w:rsidRDefault="00F14B37" w:rsidP="00F14B37">
            <w:pPr>
              <w:jc w:val="right"/>
              <w:rPr>
                <w:color w:val="000000"/>
                <w:sz w:val="18"/>
                <w:szCs w:val="18"/>
                <w:lang w:eastAsia="tr-TR"/>
              </w:rPr>
            </w:pPr>
            <w:r w:rsidRPr="00005453">
              <w:rPr>
                <w:color w:val="000000"/>
                <w:sz w:val="18"/>
                <w:szCs w:val="18"/>
              </w:rPr>
              <w:t>819,259</w:t>
            </w:r>
          </w:p>
        </w:tc>
        <w:tc>
          <w:tcPr>
            <w:tcW w:w="2007" w:type="dxa"/>
            <w:tcBorders>
              <w:top w:val="nil"/>
              <w:left w:val="nil"/>
              <w:bottom w:val="single" w:sz="8" w:space="0" w:color="auto"/>
              <w:right w:val="single" w:sz="8" w:space="0" w:color="auto"/>
            </w:tcBorders>
            <w:shd w:val="clear" w:color="auto" w:fill="auto"/>
            <w:noWrap/>
            <w:vAlign w:val="center"/>
            <w:hideMark/>
          </w:tcPr>
          <w:p w14:paraId="2BD1E4E4" w14:textId="03B98992"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E46BFB8" w14:textId="27B54C77" w:rsidR="00F14B37" w:rsidRPr="00005453" w:rsidRDefault="00F14B37" w:rsidP="00F14B37">
            <w:pPr>
              <w:jc w:val="right"/>
              <w:rPr>
                <w:color w:val="000000"/>
                <w:sz w:val="18"/>
                <w:szCs w:val="18"/>
                <w:lang w:eastAsia="tr-TR"/>
              </w:rPr>
            </w:pPr>
            <w:r w:rsidRPr="00005453">
              <w:rPr>
                <w:color w:val="000000"/>
                <w:sz w:val="18"/>
                <w:szCs w:val="18"/>
              </w:rPr>
              <w:t>819,259</w:t>
            </w:r>
          </w:p>
        </w:tc>
      </w:tr>
      <w:tr w:rsidR="00F14B37" w:rsidRPr="00005453" w14:paraId="7BA22D82"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6682C8C" w14:textId="3A8E0D4A" w:rsidR="00F14B37" w:rsidRPr="00005453" w:rsidRDefault="00F14B37" w:rsidP="00F14B37">
            <w:pPr>
              <w:rPr>
                <w:color w:val="000000"/>
                <w:sz w:val="18"/>
                <w:szCs w:val="18"/>
                <w:lang w:eastAsia="tr-TR"/>
              </w:rPr>
            </w:pPr>
            <w:r w:rsidRPr="00005453">
              <w:rPr>
                <w:color w:val="000000"/>
                <w:sz w:val="18"/>
                <w:szCs w:val="18"/>
              </w:rPr>
              <w:t>Liberya</w:t>
            </w:r>
          </w:p>
        </w:tc>
        <w:tc>
          <w:tcPr>
            <w:tcW w:w="2383" w:type="dxa"/>
            <w:tcBorders>
              <w:top w:val="nil"/>
              <w:left w:val="nil"/>
              <w:bottom w:val="single" w:sz="8" w:space="0" w:color="auto"/>
              <w:right w:val="single" w:sz="8" w:space="0" w:color="auto"/>
            </w:tcBorders>
            <w:shd w:val="clear" w:color="auto" w:fill="auto"/>
            <w:noWrap/>
            <w:vAlign w:val="center"/>
            <w:hideMark/>
          </w:tcPr>
          <w:p w14:paraId="6581BB6B" w14:textId="393CF5E8" w:rsidR="00F14B37" w:rsidRPr="00005453" w:rsidRDefault="00F14B37" w:rsidP="00F14B37">
            <w:pPr>
              <w:jc w:val="right"/>
              <w:rPr>
                <w:color w:val="000000"/>
                <w:sz w:val="18"/>
                <w:szCs w:val="18"/>
                <w:lang w:eastAsia="tr-TR"/>
              </w:rPr>
            </w:pPr>
            <w:r w:rsidRPr="00005453">
              <w:rPr>
                <w:color w:val="000000"/>
                <w:sz w:val="18"/>
                <w:szCs w:val="18"/>
              </w:rPr>
              <w:t>301,961</w:t>
            </w:r>
          </w:p>
        </w:tc>
        <w:tc>
          <w:tcPr>
            <w:tcW w:w="2007" w:type="dxa"/>
            <w:tcBorders>
              <w:top w:val="nil"/>
              <w:left w:val="nil"/>
              <w:bottom w:val="single" w:sz="8" w:space="0" w:color="auto"/>
              <w:right w:val="single" w:sz="8" w:space="0" w:color="auto"/>
            </w:tcBorders>
            <w:shd w:val="clear" w:color="auto" w:fill="auto"/>
            <w:noWrap/>
            <w:vAlign w:val="center"/>
            <w:hideMark/>
          </w:tcPr>
          <w:p w14:paraId="3CFFD96E" w14:textId="7FDF64C0"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3E451778" w14:textId="660D997D" w:rsidR="00F14B37" w:rsidRPr="00005453" w:rsidRDefault="00F14B37" w:rsidP="00F14B37">
            <w:pPr>
              <w:jc w:val="right"/>
              <w:rPr>
                <w:color w:val="000000"/>
                <w:sz w:val="18"/>
                <w:szCs w:val="18"/>
                <w:lang w:eastAsia="tr-TR"/>
              </w:rPr>
            </w:pPr>
            <w:r w:rsidRPr="00005453">
              <w:rPr>
                <w:color w:val="000000"/>
                <w:sz w:val="18"/>
                <w:szCs w:val="18"/>
              </w:rPr>
              <w:t>301,961</w:t>
            </w:r>
          </w:p>
        </w:tc>
      </w:tr>
      <w:tr w:rsidR="00F14B37" w:rsidRPr="00005453" w14:paraId="043E6E9F"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7B8C90B" w14:textId="55F1CE7F" w:rsidR="00F14B37" w:rsidRPr="00005453" w:rsidRDefault="00F14B37" w:rsidP="00F14B37">
            <w:pPr>
              <w:rPr>
                <w:color w:val="000000"/>
                <w:sz w:val="18"/>
                <w:szCs w:val="18"/>
                <w:lang w:eastAsia="tr-TR"/>
              </w:rPr>
            </w:pPr>
            <w:r w:rsidRPr="00005453">
              <w:rPr>
                <w:color w:val="000000"/>
                <w:sz w:val="18"/>
                <w:szCs w:val="18"/>
              </w:rPr>
              <w:t>Malta</w:t>
            </w:r>
          </w:p>
        </w:tc>
        <w:tc>
          <w:tcPr>
            <w:tcW w:w="2383" w:type="dxa"/>
            <w:tcBorders>
              <w:top w:val="nil"/>
              <w:left w:val="nil"/>
              <w:bottom w:val="single" w:sz="8" w:space="0" w:color="auto"/>
              <w:right w:val="single" w:sz="8" w:space="0" w:color="auto"/>
            </w:tcBorders>
            <w:shd w:val="clear" w:color="auto" w:fill="auto"/>
            <w:noWrap/>
            <w:vAlign w:val="center"/>
            <w:hideMark/>
          </w:tcPr>
          <w:p w14:paraId="2705655E" w14:textId="7B09FFFB" w:rsidR="00F14B37" w:rsidRPr="00005453" w:rsidRDefault="00F14B37" w:rsidP="00F14B37">
            <w:pPr>
              <w:jc w:val="right"/>
              <w:rPr>
                <w:color w:val="000000"/>
                <w:sz w:val="18"/>
                <w:szCs w:val="18"/>
                <w:lang w:eastAsia="tr-TR"/>
              </w:rPr>
            </w:pPr>
            <w:r w:rsidRPr="00005453">
              <w:rPr>
                <w:color w:val="000000"/>
                <w:sz w:val="18"/>
                <w:szCs w:val="18"/>
              </w:rPr>
              <w:t>98,022</w:t>
            </w:r>
          </w:p>
        </w:tc>
        <w:tc>
          <w:tcPr>
            <w:tcW w:w="2007" w:type="dxa"/>
            <w:tcBorders>
              <w:top w:val="nil"/>
              <w:left w:val="nil"/>
              <w:bottom w:val="single" w:sz="8" w:space="0" w:color="auto"/>
              <w:right w:val="single" w:sz="8" w:space="0" w:color="auto"/>
            </w:tcBorders>
            <w:shd w:val="clear" w:color="auto" w:fill="auto"/>
            <w:noWrap/>
            <w:vAlign w:val="center"/>
            <w:hideMark/>
          </w:tcPr>
          <w:p w14:paraId="150E8DBC" w14:textId="38291B3A"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6A601CD1" w14:textId="303D4116" w:rsidR="00F14B37" w:rsidRPr="00005453" w:rsidRDefault="00F14B37" w:rsidP="00F14B37">
            <w:pPr>
              <w:jc w:val="right"/>
              <w:rPr>
                <w:color w:val="000000"/>
                <w:sz w:val="18"/>
                <w:szCs w:val="18"/>
                <w:lang w:eastAsia="tr-TR"/>
              </w:rPr>
            </w:pPr>
            <w:r w:rsidRPr="00005453">
              <w:rPr>
                <w:color w:val="000000"/>
                <w:sz w:val="18"/>
                <w:szCs w:val="18"/>
              </w:rPr>
              <w:t>98,022</w:t>
            </w:r>
          </w:p>
        </w:tc>
      </w:tr>
      <w:tr w:rsidR="00F14B37" w:rsidRPr="00005453" w14:paraId="4094DBEC"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A26846E" w14:textId="1D9A8CE3" w:rsidR="00F14B37" w:rsidRPr="00005453" w:rsidRDefault="00F14B37" w:rsidP="00F14B37">
            <w:pPr>
              <w:rPr>
                <w:color w:val="000000"/>
                <w:sz w:val="18"/>
                <w:szCs w:val="18"/>
                <w:lang w:eastAsia="tr-TR"/>
              </w:rPr>
            </w:pPr>
            <w:r w:rsidRPr="00005453">
              <w:rPr>
                <w:color w:val="000000"/>
                <w:sz w:val="18"/>
                <w:szCs w:val="18"/>
              </w:rPr>
              <w:t>Arnavutluk</w:t>
            </w:r>
          </w:p>
        </w:tc>
        <w:tc>
          <w:tcPr>
            <w:tcW w:w="2383" w:type="dxa"/>
            <w:tcBorders>
              <w:top w:val="nil"/>
              <w:left w:val="nil"/>
              <w:bottom w:val="single" w:sz="8" w:space="0" w:color="auto"/>
              <w:right w:val="single" w:sz="8" w:space="0" w:color="auto"/>
            </w:tcBorders>
            <w:shd w:val="clear" w:color="auto" w:fill="auto"/>
            <w:noWrap/>
            <w:vAlign w:val="center"/>
            <w:hideMark/>
          </w:tcPr>
          <w:p w14:paraId="62B3526A" w14:textId="6A307E7E" w:rsidR="00F14B37" w:rsidRPr="00005453" w:rsidRDefault="00F14B37" w:rsidP="00F14B37">
            <w:pPr>
              <w:jc w:val="right"/>
              <w:rPr>
                <w:color w:val="000000"/>
                <w:sz w:val="18"/>
                <w:szCs w:val="18"/>
                <w:lang w:eastAsia="tr-TR"/>
              </w:rPr>
            </w:pPr>
            <w:r w:rsidRPr="00005453">
              <w:rPr>
                <w:color w:val="000000"/>
                <w:sz w:val="18"/>
                <w:szCs w:val="18"/>
              </w:rPr>
              <w:t>81,766</w:t>
            </w:r>
          </w:p>
        </w:tc>
        <w:tc>
          <w:tcPr>
            <w:tcW w:w="2007" w:type="dxa"/>
            <w:tcBorders>
              <w:top w:val="nil"/>
              <w:left w:val="nil"/>
              <w:bottom w:val="single" w:sz="8" w:space="0" w:color="auto"/>
              <w:right w:val="single" w:sz="8" w:space="0" w:color="auto"/>
            </w:tcBorders>
            <w:shd w:val="clear" w:color="auto" w:fill="auto"/>
            <w:noWrap/>
            <w:vAlign w:val="center"/>
            <w:hideMark/>
          </w:tcPr>
          <w:p w14:paraId="146DA046" w14:textId="1C06551E"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4CAA6942" w14:textId="10D309BC" w:rsidR="00F14B37" w:rsidRPr="00005453" w:rsidRDefault="00F14B37" w:rsidP="00F14B37">
            <w:pPr>
              <w:jc w:val="right"/>
              <w:rPr>
                <w:color w:val="000000"/>
                <w:sz w:val="18"/>
                <w:szCs w:val="18"/>
                <w:lang w:eastAsia="tr-TR"/>
              </w:rPr>
            </w:pPr>
            <w:r w:rsidRPr="00005453">
              <w:rPr>
                <w:color w:val="000000"/>
                <w:sz w:val="18"/>
                <w:szCs w:val="18"/>
              </w:rPr>
              <w:t>81,766</w:t>
            </w:r>
          </w:p>
        </w:tc>
      </w:tr>
      <w:tr w:rsidR="00F14B37" w:rsidRPr="00005453" w14:paraId="3411612D"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9C5C97F" w14:textId="4CEF917B" w:rsidR="00F14B37" w:rsidRPr="00005453" w:rsidRDefault="00F14B37" w:rsidP="00F14B37">
            <w:pPr>
              <w:rPr>
                <w:color w:val="000000"/>
                <w:sz w:val="18"/>
                <w:szCs w:val="18"/>
                <w:lang w:eastAsia="tr-TR"/>
              </w:rPr>
            </w:pPr>
            <w:r w:rsidRPr="00005453">
              <w:rPr>
                <w:color w:val="000000"/>
                <w:sz w:val="18"/>
                <w:szCs w:val="18"/>
              </w:rPr>
              <w:t>İtalya</w:t>
            </w:r>
          </w:p>
        </w:tc>
        <w:tc>
          <w:tcPr>
            <w:tcW w:w="2383" w:type="dxa"/>
            <w:tcBorders>
              <w:top w:val="nil"/>
              <w:left w:val="nil"/>
              <w:bottom w:val="single" w:sz="8" w:space="0" w:color="auto"/>
              <w:right w:val="single" w:sz="8" w:space="0" w:color="auto"/>
            </w:tcBorders>
            <w:shd w:val="clear" w:color="auto" w:fill="auto"/>
            <w:noWrap/>
            <w:vAlign w:val="center"/>
            <w:hideMark/>
          </w:tcPr>
          <w:p w14:paraId="23CFE208" w14:textId="4620DE55" w:rsidR="00F14B37" w:rsidRPr="00005453" w:rsidRDefault="00F14B37" w:rsidP="00F14B37">
            <w:pPr>
              <w:jc w:val="right"/>
              <w:rPr>
                <w:color w:val="000000"/>
                <w:sz w:val="18"/>
                <w:szCs w:val="18"/>
                <w:lang w:eastAsia="tr-TR"/>
              </w:rPr>
            </w:pPr>
            <w:r w:rsidRPr="00005453">
              <w:rPr>
                <w:color w:val="000000"/>
                <w:sz w:val="18"/>
                <w:szCs w:val="18"/>
              </w:rPr>
              <w:t>50,121</w:t>
            </w:r>
          </w:p>
        </w:tc>
        <w:tc>
          <w:tcPr>
            <w:tcW w:w="2007" w:type="dxa"/>
            <w:tcBorders>
              <w:top w:val="nil"/>
              <w:left w:val="nil"/>
              <w:bottom w:val="single" w:sz="8" w:space="0" w:color="auto"/>
              <w:right w:val="single" w:sz="8" w:space="0" w:color="auto"/>
            </w:tcBorders>
            <w:shd w:val="clear" w:color="auto" w:fill="auto"/>
            <w:noWrap/>
            <w:vAlign w:val="center"/>
            <w:hideMark/>
          </w:tcPr>
          <w:p w14:paraId="791F1F06" w14:textId="39FC1998"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39F62C61" w14:textId="5190393D" w:rsidR="00F14B37" w:rsidRPr="00005453" w:rsidRDefault="00F14B37" w:rsidP="00F14B37">
            <w:pPr>
              <w:jc w:val="right"/>
              <w:rPr>
                <w:color w:val="000000"/>
                <w:sz w:val="18"/>
                <w:szCs w:val="18"/>
                <w:lang w:eastAsia="tr-TR"/>
              </w:rPr>
            </w:pPr>
            <w:r w:rsidRPr="00005453">
              <w:rPr>
                <w:color w:val="000000"/>
                <w:sz w:val="18"/>
                <w:szCs w:val="18"/>
              </w:rPr>
              <w:t>50,121</w:t>
            </w:r>
          </w:p>
        </w:tc>
      </w:tr>
      <w:tr w:rsidR="00F14B37" w:rsidRPr="00005453" w14:paraId="720AFBE6"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9C9D052" w14:textId="3E172F2E" w:rsidR="00F14B37" w:rsidRPr="00005453" w:rsidRDefault="00F14B37" w:rsidP="00F14B37">
            <w:pPr>
              <w:rPr>
                <w:color w:val="000000"/>
                <w:sz w:val="18"/>
                <w:szCs w:val="18"/>
                <w:lang w:eastAsia="tr-TR"/>
              </w:rPr>
            </w:pPr>
            <w:r w:rsidRPr="00005453">
              <w:rPr>
                <w:color w:val="000000"/>
                <w:sz w:val="18"/>
                <w:szCs w:val="18"/>
              </w:rPr>
              <w:t>Almanya</w:t>
            </w:r>
          </w:p>
        </w:tc>
        <w:tc>
          <w:tcPr>
            <w:tcW w:w="2383" w:type="dxa"/>
            <w:tcBorders>
              <w:top w:val="nil"/>
              <w:left w:val="nil"/>
              <w:bottom w:val="single" w:sz="8" w:space="0" w:color="auto"/>
              <w:right w:val="single" w:sz="8" w:space="0" w:color="auto"/>
            </w:tcBorders>
            <w:shd w:val="clear" w:color="auto" w:fill="auto"/>
            <w:noWrap/>
            <w:vAlign w:val="center"/>
            <w:hideMark/>
          </w:tcPr>
          <w:p w14:paraId="6E498C83" w14:textId="43154165" w:rsidR="00F14B37" w:rsidRPr="00005453" w:rsidRDefault="00F14B37" w:rsidP="00F14B37">
            <w:pPr>
              <w:jc w:val="right"/>
              <w:rPr>
                <w:color w:val="000000"/>
                <w:sz w:val="18"/>
                <w:szCs w:val="18"/>
                <w:lang w:eastAsia="tr-TR"/>
              </w:rPr>
            </w:pPr>
            <w:r w:rsidRPr="00005453">
              <w:rPr>
                <w:color w:val="000000"/>
                <w:sz w:val="18"/>
                <w:szCs w:val="18"/>
              </w:rPr>
              <w:t>26,795</w:t>
            </w:r>
          </w:p>
        </w:tc>
        <w:tc>
          <w:tcPr>
            <w:tcW w:w="2007" w:type="dxa"/>
            <w:tcBorders>
              <w:top w:val="nil"/>
              <w:left w:val="nil"/>
              <w:bottom w:val="single" w:sz="8" w:space="0" w:color="auto"/>
              <w:right w:val="single" w:sz="8" w:space="0" w:color="auto"/>
            </w:tcBorders>
            <w:shd w:val="clear" w:color="auto" w:fill="auto"/>
            <w:noWrap/>
            <w:vAlign w:val="center"/>
            <w:hideMark/>
          </w:tcPr>
          <w:p w14:paraId="16A07CAC" w14:textId="176EB0D1"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5DB885C" w14:textId="658CB73D" w:rsidR="00F14B37" w:rsidRPr="00005453" w:rsidRDefault="00F14B37" w:rsidP="00F14B37">
            <w:pPr>
              <w:jc w:val="right"/>
              <w:rPr>
                <w:color w:val="000000"/>
                <w:sz w:val="18"/>
                <w:szCs w:val="18"/>
                <w:lang w:eastAsia="tr-TR"/>
              </w:rPr>
            </w:pPr>
            <w:r w:rsidRPr="00005453">
              <w:rPr>
                <w:color w:val="000000"/>
                <w:sz w:val="18"/>
                <w:szCs w:val="18"/>
              </w:rPr>
              <w:t>26,795</w:t>
            </w:r>
          </w:p>
        </w:tc>
      </w:tr>
      <w:tr w:rsidR="00F14B37" w:rsidRPr="00005453" w14:paraId="41CD527D"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A6E9586" w14:textId="4ECB1A2D" w:rsidR="00F14B37" w:rsidRPr="00005453" w:rsidRDefault="00F14B37" w:rsidP="00F14B37">
            <w:pPr>
              <w:rPr>
                <w:color w:val="000000"/>
                <w:sz w:val="18"/>
                <w:szCs w:val="18"/>
                <w:lang w:eastAsia="tr-TR"/>
              </w:rPr>
            </w:pPr>
            <w:r w:rsidRPr="00005453">
              <w:rPr>
                <w:color w:val="000000"/>
                <w:sz w:val="18"/>
                <w:szCs w:val="18"/>
              </w:rPr>
              <w:t>İngiltere</w:t>
            </w:r>
          </w:p>
        </w:tc>
        <w:tc>
          <w:tcPr>
            <w:tcW w:w="2383" w:type="dxa"/>
            <w:tcBorders>
              <w:top w:val="nil"/>
              <w:left w:val="nil"/>
              <w:bottom w:val="single" w:sz="8" w:space="0" w:color="auto"/>
              <w:right w:val="single" w:sz="8" w:space="0" w:color="auto"/>
            </w:tcBorders>
            <w:shd w:val="clear" w:color="auto" w:fill="auto"/>
            <w:noWrap/>
            <w:vAlign w:val="center"/>
            <w:hideMark/>
          </w:tcPr>
          <w:p w14:paraId="6F6B0FF7" w14:textId="5E37DC74" w:rsidR="00F14B37" w:rsidRPr="00005453" w:rsidRDefault="00F14B37" w:rsidP="00F14B37">
            <w:pPr>
              <w:jc w:val="right"/>
              <w:rPr>
                <w:color w:val="000000"/>
                <w:sz w:val="18"/>
                <w:szCs w:val="18"/>
                <w:lang w:eastAsia="tr-TR"/>
              </w:rPr>
            </w:pPr>
            <w:r w:rsidRPr="00005453">
              <w:rPr>
                <w:color w:val="000000"/>
                <w:sz w:val="18"/>
                <w:szCs w:val="18"/>
              </w:rPr>
              <w:t>20,923</w:t>
            </w:r>
          </w:p>
        </w:tc>
        <w:tc>
          <w:tcPr>
            <w:tcW w:w="2007" w:type="dxa"/>
            <w:tcBorders>
              <w:top w:val="nil"/>
              <w:left w:val="nil"/>
              <w:bottom w:val="single" w:sz="8" w:space="0" w:color="auto"/>
              <w:right w:val="single" w:sz="8" w:space="0" w:color="auto"/>
            </w:tcBorders>
            <w:shd w:val="clear" w:color="auto" w:fill="auto"/>
            <w:noWrap/>
            <w:vAlign w:val="center"/>
            <w:hideMark/>
          </w:tcPr>
          <w:p w14:paraId="79507236" w14:textId="0C81F82D"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1E3A68A5" w14:textId="653C9F9D" w:rsidR="00F14B37" w:rsidRPr="00005453" w:rsidRDefault="00F14B37" w:rsidP="00F14B37">
            <w:pPr>
              <w:jc w:val="right"/>
              <w:rPr>
                <w:color w:val="000000"/>
                <w:sz w:val="18"/>
                <w:szCs w:val="18"/>
                <w:lang w:eastAsia="tr-TR"/>
              </w:rPr>
            </w:pPr>
            <w:r w:rsidRPr="00005453">
              <w:rPr>
                <w:color w:val="000000"/>
                <w:sz w:val="18"/>
                <w:szCs w:val="18"/>
              </w:rPr>
              <w:t>20,923</w:t>
            </w:r>
          </w:p>
        </w:tc>
      </w:tr>
      <w:tr w:rsidR="00F14B37" w:rsidRPr="00005453" w14:paraId="1E8ECEA8"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7CE2695C" w14:textId="0A678D4A" w:rsidR="00F14B37" w:rsidRPr="00005453" w:rsidRDefault="00F14B37" w:rsidP="00F14B37">
            <w:pPr>
              <w:rPr>
                <w:color w:val="000000"/>
                <w:sz w:val="18"/>
                <w:szCs w:val="18"/>
                <w:lang w:eastAsia="tr-TR"/>
              </w:rPr>
            </w:pPr>
            <w:r w:rsidRPr="00005453">
              <w:rPr>
                <w:color w:val="000000"/>
                <w:sz w:val="18"/>
                <w:szCs w:val="18"/>
              </w:rPr>
              <w:t>Suudi Arabistan</w:t>
            </w:r>
          </w:p>
        </w:tc>
        <w:tc>
          <w:tcPr>
            <w:tcW w:w="2383" w:type="dxa"/>
            <w:tcBorders>
              <w:top w:val="nil"/>
              <w:left w:val="nil"/>
              <w:bottom w:val="single" w:sz="8" w:space="0" w:color="auto"/>
              <w:right w:val="single" w:sz="8" w:space="0" w:color="auto"/>
            </w:tcBorders>
            <w:shd w:val="clear" w:color="auto" w:fill="auto"/>
            <w:noWrap/>
            <w:vAlign w:val="center"/>
            <w:hideMark/>
          </w:tcPr>
          <w:p w14:paraId="14F0FA77" w14:textId="3CDD7755" w:rsidR="00F14B37" w:rsidRPr="00005453" w:rsidRDefault="00F14B37" w:rsidP="00F14B37">
            <w:pPr>
              <w:jc w:val="right"/>
              <w:rPr>
                <w:color w:val="000000"/>
                <w:sz w:val="18"/>
                <w:szCs w:val="18"/>
                <w:lang w:eastAsia="tr-TR"/>
              </w:rPr>
            </w:pPr>
            <w:r w:rsidRPr="00005453">
              <w:rPr>
                <w:color w:val="000000"/>
                <w:sz w:val="18"/>
                <w:szCs w:val="18"/>
              </w:rPr>
              <w:t>14,885</w:t>
            </w:r>
          </w:p>
        </w:tc>
        <w:tc>
          <w:tcPr>
            <w:tcW w:w="2007" w:type="dxa"/>
            <w:tcBorders>
              <w:top w:val="nil"/>
              <w:left w:val="nil"/>
              <w:bottom w:val="single" w:sz="8" w:space="0" w:color="auto"/>
              <w:right w:val="single" w:sz="8" w:space="0" w:color="auto"/>
            </w:tcBorders>
            <w:shd w:val="clear" w:color="auto" w:fill="auto"/>
            <w:noWrap/>
            <w:vAlign w:val="center"/>
            <w:hideMark/>
          </w:tcPr>
          <w:p w14:paraId="7BC56D6F" w14:textId="711A9D4D"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60044318" w14:textId="1CED286B" w:rsidR="00F14B37" w:rsidRPr="00005453" w:rsidRDefault="00F14B37" w:rsidP="00F14B37">
            <w:pPr>
              <w:jc w:val="right"/>
              <w:rPr>
                <w:color w:val="000000"/>
                <w:sz w:val="18"/>
                <w:szCs w:val="18"/>
                <w:lang w:eastAsia="tr-TR"/>
              </w:rPr>
            </w:pPr>
            <w:r w:rsidRPr="00005453">
              <w:rPr>
                <w:color w:val="000000"/>
                <w:sz w:val="18"/>
                <w:szCs w:val="18"/>
              </w:rPr>
              <w:t>14,885</w:t>
            </w:r>
          </w:p>
        </w:tc>
      </w:tr>
      <w:tr w:rsidR="00F14B37" w:rsidRPr="00005453" w14:paraId="0CED5808"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79ABBD3" w14:textId="46230BF4" w:rsidR="00F14B37" w:rsidRPr="00005453" w:rsidRDefault="00F14B37" w:rsidP="00F14B37">
            <w:pPr>
              <w:rPr>
                <w:color w:val="000000"/>
                <w:sz w:val="18"/>
                <w:szCs w:val="18"/>
                <w:lang w:eastAsia="tr-TR"/>
              </w:rPr>
            </w:pPr>
            <w:r w:rsidRPr="00005453">
              <w:rPr>
                <w:color w:val="000000"/>
                <w:sz w:val="18"/>
                <w:szCs w:val="18"/>
              </w:rPr>
              <w:t>Katar</w:t>
            </w:r>
          </w:p>
        </w:tc>
        <w:tc>
          <w:tcPr>
            <w:tcW w:w="2383" w:type="dxa"/>
            <w:tcBorders>
              <w:top w:val="nil"/>
              <w:left w:val="nil"/>
              <w:bottom w:val="single" w:sz="8" w:space="0" w:color="auto"/>
              <w:right w:val="single" w:sz="8" w:space="0" w:color="auto"/>
            </w:tcBorders>
            <w:shd w:val="clear" w:color="auto" w:fill="auto"/>
            <w:noWrap/>
            <w:vAlign w:val="center"/>
            <w:hideMark/>
          </w:tcPr>
          <w:p w14:paraId="362481B8" w14:textId="5E626E2A" w:rsidR="00F14B37" w:rsidRPr="00005453" w:rsidRDefault="00F14B37" w:rsidP="00F14B37">
            <w:pPr>
              <w:jc w:val="right"/>
              <w:rPr>
                <w:color w:val="000000"/>
                <w:sz w:val="18"/>
                <w:szCs w:val="18"/>
                <w:lang w:eastAsia="tr-TR"/>
              </w:rPr>
            </w:pPr>
            <w:r w:rsidRPr="00005453">
              <w:rPr>
                <w:color w:val="000000"/>
                <w:sz w:val="18"/>
                <w:szCs w:val="18"/>
              </w:rPr>
              <w:t>14,663</w:t>
            </w:r>
          </w:p>
        </w:tc>
        <w:tc>
          <w:tcPr>
            <w:tcW w:w="2007" w:type="dxa"/>
            <w:tcBorders>
              <w:top w:val="nil"/>
              <w:left w:val="nil"/>
              <w:bottom w:val="single" w:sz="8" w:space="0" w:color="auto"/>
              <w:right w:val="single" w:sz="8" w:space="0" w:color="auto"/>
            </w:tcBorders>
            <w:shd w:val="clear" w:color="auto" w:fill="auto"/>
            <w:noWrap/>
            <w:vAlign w:val="center"/>
            <w:hideMark/>
          </w:tcPr>
          <w:p w14:paraId="3191312F" w14:textId="23D89F09"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2A189A8A" w14:textId="3D2C99E4" w:rsidR="00F14B37" w:rsidRPr="00005453" w:rsidRDefault="00F14B37" w:rsidP="00F14B37">
            <w:pPr>
              <w:jc w:val="right"/>
              <w:rPr>
                <w:color w:val="000000"/>
                <w:sz w:val="18"/>
                <w:szCs w:val="18"/>
                <w:lang w:eastAsia="tr-TR"/>
              </w:rPr>
            </w:pPr>
            <w:r w:rsidRPr="00005453">
              <w:rPr>
                <w:color w:val="000000"/>
                <w:sz w:val="18"/>
                <w:szCs w:val="18"/>
              </w:rPr>
              <w:t>14,663</w:t>
            </w:r>
          </w:p>
        </w:tc>
      </w:tr>
      <w:tr w:rsidR="00F14B37" w:rsidRPr="00005453" w14:paraId="3E12580F" w14:textId="77777777" w:rsidTr="00F14B37">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856F1B8" w14:textId="59A1C454" w:rsidR="00F14B37" w:rsidRPr="00005453" w:rsidRDefault="00F14B37" w:rsidP="00F14B37">
            <w:pPr>
              <w:rPr>
                <w:color w:val="000000"/>
                <w:sz w:val="18"/>
                <w:szCs w:val="18"/>
                <w:lang w:eastAsia="tr-TR"/>
              </w:rPr>
            </w:pPr>
            <w:r w:rsidRPr="00005453">
              <w:rPr>
                <w:color w:val="000000"/>
                <w:sz w:val="18"/>
                <w:szCs w:val="18"/>
              </w:rPr>
              <w:t>Diğer</w:t>
            </w:r>
          </w:p>
        </w:tc>
        <w:tc>
          <w:tcPr>
            <w:tcW w:w="2383" w:type="dxa"/>
            <w:tcBorders>
              <w:top w:val="nil"/>
              <w:left w:val="nil"/>
              <w:bottom w:val="single" w:sz="8" w:space="0" w:color="auto"/>
              <w:right w:val="single" w:sz="8" w:space="0" w:color="auto"/>
            </w:tcBorders>
            <w:shd w:val="clear" w:color="auto" w:fill="auto"/>
            <w:noWrap/>
            <w:vAlign w:val="center"/>
            <w:hideMark/>
          </w:tcPr>
          <w:p w14:paraId="0A83C5E9" w14:textId="109874A2" w:rsidR="00F14B37" w:rsidRPr="00005453" w:rsidRDefault="00F14B37" w:rsidP="00F14B37">
            <w:pPr>
              <w:jc w:val="right"/>
              <w:rPr>
                <w:color w:val="000000"/>
                <w:sz w:val="18"/>
                <w:szCs w:val="18"/>
                <w:lang w:eastAsia="tr-TR"/>
              </w:rPr>
            </w:pPr>
            <w:r w:rsidRPr="00005453">
              <w:rPr>
                <w:color w:val="000000"/>
                <w:sz w:val="18"/>
                <w:szCs w:val="18"/>
              </w:rPr>
              <w:t>107,191</w:t>
            </w:r>
          </w:p>
        </w:tc>
        <w:tc>
          <w:tcPr>
            <w:tcW w:w="2007" w:type="dxa"/>
            <w:tcBorders>
              <w:top w:val="nil"/>
              <w:left w:val="nil"/>
              <w:bottom w:val="single" w:sz="8" w:space="0" w:color="auto"/>
              <w:right w:val="single" w:sz="8" w:space="0" w:color="auto"/>
            </w:tcBorders>
            <w:shd w:val="clear" w:color="auto" w:fill="auto"/>
            <w:noWrap/>
            <w:vAlign w:val="center"/>
            <w:hideMark/>
          </w:tcPr>
          <w:p w14:paraId="7C4C399B" w14:textId="251193B4" w:rsidR="00F14B37" w:rsidRPr="00005453" w:rsidRDefault="00F14B37" w:rsidP="00F14B37">
            <w:pPr>
              <w:jc w:val="right"/>
              <w:rPr>
                <w:color w:val="000000"/>
                <w:sz w:val="18"/>
                <w:szCs w:val="18"/>
                <w:lang w:eastAsia="tr-TR"/>
              </w:rPr>
            </w:pPr>
            <w:r w:rsidRPr="00005453">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134AF7D5" w14:textId="19C42588" w:rsidR="00F14B37" w:rsidRPr="00005453" w:rsidRDefault="00F14B37" w:rsidP="00F14B37">
            <w:pPr>
              <w:jc w:val="right"/>
              <w:rPr>
                <w:color w:val="000000"/>
                <w:sz w:val="18"/>
                <w:szCs w:val="18"/>
                <w:lang w:eastAsia="tr-TR"/>
              </w:rPr>
            </w:pPr>
            <w:r w:rsidRPr="00005453">
              <w:rPr>
                <w:color w:val="000000"/>
                <w:sz w:val="18"/>
                <w:szCs w:val="18"/>
              </w:rPr>
              <w:t>107,191</w:t>
            </w:r>
          </w:p>
        </w:tc>
      </w:tr>
    </w:tbl>
    <w:p w14:paraId="2423B30A" w14:textId="77777777" w:rsidR="00766064" w:rsidRPr="00005453" w:rsidRDefault="00766064" w:rsidP="0054031F">
      <w:pPr>
        <w:autoSpaceDE w:val="0"/>
        <w:autoSpaceDN w:val="0"/>
        <w:adjustRightInd w:val="0"/>
        <w:rPr>
          <w:rFonts w:eastAsia="Arial Unicode MS"/>
          <w:b/>
          <w:sz w:val="16"/>
          <w:szCs w:val="16"/>
        </w:rPr>
      </w:pPr>
    </w:p>
    <w:p w14:paraId="3F752D29" w14:textId="77777777" w:rsidR="0054031F" w:rsidRPr="00005453" w:rsidRDefault="0054031F" w:rsidP="0054031F">
      <w:pPr>
        <w:autoSpaceDE w:val="0"/>
        <w:autoSpaceDN w:val="0"/>
        <w:adjustRightInd w:val="0"/>
        <w:ind w:hanging="567"/>
        <w:rPr>
          <w:rFonts w:eastAsia="Arial Unicode MS"/>
          <w:b/>
        </w:rPr>
      </w:pPr>
      <w:bookmarkStart w:id="38" w:name="_Hlk93325635"/>
      <w:r w:rsidRPr="00005453">
        <w:rPr>
          <w:rFonts w:eastAsia="Arial Unicode MS"/>
          <w:b/>
        </w:rPr>
        <w:t>2.10.</w:t>
      </w:r>
      <w:r w:rsidRPr="00005453">
        <w:rPr>
          <w:rFonts w:eastAsia="Arial Unicode MS"/>
          <w:b/>
        </w:rPr>
        <w:tab/>
        <w:t xml:space="preserve">Banka’nın risk derecelendirme sistemine göre nakdi ve gayrinakdi kredilerine ilişkin bilgiler </w:t>
      </w:r>
    </w:p>
    <w:p w14:paraId="0D525304" w14:textId="77777777" w:rsidR="0054031F" w:rsidRPr="00005453" w:rsidRDefault="0054031F" w:rsidP="0054031F">
      <w:pPr>
        <w:autoSpaceDE w:val="0"/>
        <w:autoSpaceDN w:val="0"/>
        <w:adjustRightInd w:val="0"/>
        <w:rPr>
          <w:rFonts w:eastAsia="Arial Unicode MS"/>
          <w:b/>
          <w:sz w:val="16"/>
          <w:szCs w:val="16"/>
        </w:rPr>
      </w:pPr>
    </w:p>
    <w:p w14:paraId="2A47811E" w14:textId="1DCEF92F" w:rsidR="0054031F" w:rsidRPr="00005453" w:rsidRDefault="0054031F" w:rsidP="0054031F">
      <w:pPr>
        <w:jc w:val="both"/>
        <w:rPr>
          <w:color w:val="0D0D0D"/>
          <w:spacing w:val="-4"/>
        </w:rPr>
      </w:pPr>
      <w:r w:rsidRPr="00005453">
        <w:rPr>
          <w:color w:val="0D0D0D"/>
          <w:spacing w:val="-4"/>
        </w:rPr>
        <w:t>Risk Yönetimi Başkanlığı istatistiki yöntemlere dayalı olarak tüzel ve bireysel portföyleri için derecelendirme modelleri geliştirmektedir. 31 Aralık 20</w:t>
      </w:r>
      <w:r w:rsidR="003C3CEF" w:rsidRPr="00005453">
        <w:rPr>
          <w:color w:val="0D0D0D"/>
          <w:spacing w:val="-4"/>
        </w:rPr>
        <w:t>2</w:t>
      </w:r>
      <w:r w:rsidR="00F14B37" w:rsidRPr="00005453">
        <w:rPr>
          <w:color w:val="0D0D0D"/>
          <w:spacing w:val="-4"/>
        </w:rPr>
        <w:t>4</w:t>
      </w:r>
      <w:r w:rsidRPr="00005453">
        <w:rPr>
          <w:color w:val="0D0D0D"/>
          <w:spacing w:val="-4"/>
        </w:rPr>
        <w:t xml:space="preserve"> tarihi itibari ile canlı kredilerin sınıfları aşağıdaki tabloda yer almaktadır:</w:t>
      </w:r>
    </w:p>
    <w:p w14:paraId="4432BA80" w14:textId="66655C8C" w:rsidR="00A42306" w:rsidRPr="00005453" w:rsidRDefault="00A42306" w:rsidP="00B30841">
      <w:pPr>
        <w:jc w:val="both"/>
        <w:rPr>
          <w:lang w:eastAsia="en-GB"/>
        </w:rPr>
      </w:pPr>
    </w:p>
    <w:tbl>
      <w:tblPr>
        <w:tblW w:w="9420" w:type="dxa"/>
        <w:tblCellMar>
          <w:left w:w="70" w:type="dxa"/>
          <w:right w:w="70" w:type="dxa"/>
        </w:tblCellMar>
        <w:tblLook w:val="04A0" w:firstRow="1" w:lastRow="0" w:firstColumn="1" w:lastColumn="0" w:noHBand="0" w:noVBand="1"/>
      </w:tblPr>
      <w:tblGrid>
        <w:gridCol w:w="3653"/>
        <w:gridCol w:w="1848"/>
        <w:gridCol w:w="2071"/>
        <w:gridCol w:w="1848"/>
      </w:tblGrid>
      <w:tr w:rsidR="00A42306" w:rsidRPr="00005453" w14:paraId="64D9216E" w14:textId="77777777" w:rsidTr="00A42306">
        <w:trPr>
          <w:divId w:val="604387284"/>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69A53104" w14:textId="0EBA617B" w:rsidR="00A42306" w:rsidRPr="00005453" w:rsidRDefault="00A42306" w:rsidP="00061828">
            <w:pPr>
              <w:rPr>
                <w:color w:val="0D0D0D"/>
                <w:sz w:val="18"/>
                <w:szCs w:val="18"/>
                <w:lang w:eastAsia="tr-TR"/>
              </w:rPr>
            </w:pPr>
            <w:r w:rsidRPr="00005453">
              <w:rPr>
                <w:color w:val="0D0D0D"/>
                <w:sz w:val="18"/>
                <w:szCs w:val="18"/>
                <w:lang w:eastAsia="tr-TR"/>
              </w:rPr>
              <w:t> </w:t>
            </w:r>
            <w:r w:rsidR="00061828" w:rsidRPr="00005453">
              <w:rPr>
                <w:b/>
                <w:bCs/>
                <w:color w:val="000000"/>
                <w:sz w:val="18"/>
                <w:szCs w:val="18"/>
                <w:lang w:eastAsia="tr-TR"/>
              </w:rPr>
              <w:t>Cari Dönem</w:t>
            </w:r>
          </w:p>
        </w:tc>
        <w:tc>
          <w:tcPr>
            <w:tcW w:w="1848" w:type="dxa"/>
            <w:tcBorders>
              <w:top w:val="single" w:sz="8" w:space="0" w:color="auto"/>
              <w:left w:val="nil"/>
              <w:bottom w:val="single" w:sz="8" w:space="0" w:color="auto"/>
              <w:right w:val="nil"/>
            </w:tcBorders>
            <w:shd w:val="clear" w:color="auto" w:fill="auto"/>
            <w:noWrap/>
            <w:vAlign w:val="center"/>
            <w:hideMark/>
          </w:tcPr>
          <w:p w14:paraId="01565E31" w14:textId="77777777" w:rsidR="00A42306" w:rsidRPr="00005453" w:rsidRDefault="00A42306" w:rsidP="00A42306">
            <w:pPr>
              <w:jc w:val="right"/>
              <w:rPr>
                <w:b/>
                <w:bCs/>
                <w:color w:val="000000"/>
                <w:sz w:val="18"/>
                <w:szCs w:val="18"/>
                <w:lang w:eastAsia="tr-TR"/>
              </w:rPr>
            </w:pPr>
            <w:r w:rsidRPr="00005453">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69683B51" w14:textId="77777777" w:rsidR="00A42306" w:rsidRPr="00005453" w:rsidRDefault="00A42306" w:rsidP="00A42306">
            <w:pPr>
              <w:jc w:val="right"/>
              <w:rPr>
                <w:b/>
                <w:bCs/>
                <w:color w:val="000000"/>
                <w:sz w:val="18"/>
                <w:szCs w:val="18"/>
                <w:lang w:eastAsia="tr-TR"/>
              </w:rPr>
            </w:pPr>
            <w:r w:rsidRPr="00005453">
              <w:rPr>
                <w:b/>
                <w:bCs/>
                <w:color w:val="000000"/>
                <w:sz w:val="18"/>
                <w:szCs w:val="18"/>
                <w:lang w:eastAsia="tr-TR"/>
              </w:rPr>
              <w:t>Gayrinakdi Krediler</w:t>
            </w:r>
          </w:p>
        </w:tc>
        <w:tc>
          <w:tcPr>
            <w:tcW w:w="1848" w:type="dxa"/>
            <w:tcBorders>
              <w:top w:val="single" w:sz="8" w:space="0" w:color="auto"/>
              <w:left w:val="nil"/>
              <w:bottom w:val="single" w:sz="8" w:space="0" w:color="auto"/>
              <w:right w:val="nil"/>
            </w:tcBorders>
            <w:shd w:val="clear" w:color="auto" w:fill="auto"/>
            <w:noWrap/>
            <w:vAlign w:val="center"/>
            <w:hideMark/>
          </w:tcPr>
          <w:p w14:paraId="5EB87122" w14:textId="77777777" w:rsidR="00A42306" w:rsidRPr="00005453" w:rsidRDefault="00A42306" w:rsidP="00A42306">
            <w:pPr>
              <w:jc w:val="right"/>
              <w:rPr>
                <w:b/>
                <w:bCs/>
                <w:color w:val="000000"/>
                <w:sz w:val="18"/>
                <w:szCs w:val="18"/>
                <w:lang w:eastAsia="tr-TR"/>
              </w:rPr>
            </w:pPr>
            <w:r w:rsidRPr="00005453">
              <w:rPr>
                <w:b/>
                <w:bCs/>
                <w:color w:val="000000"/>
                <w:sz w:val="18"/>
                <w:szCs w:val="18"/>
                <w:lang w:eastAsia="tr-TR"/>
              </w:rPr>
              <w:t>Toplam</w:t>
            </w:r>
          </w:p>
        </w:tc>
      </w:tr>
      <w:tr w:rsidR="00C93A73" w:rsidRPr="00005453" w14:paraId="15135544" w14:textId="77777777" w:rsidTr="001A3DC2">
        <w:trPr>
          <w:divId w:val="604387284"/>
          <w:trHeight w:val="243"/>
        </w:trPr>
        <w:tc>
          <w:tcPr>
            <w:tcW w:w="3653" w:type="dxa"/>
            <w:tcBorders>
              <w:top w:val="nil"/>
              <w:left w:val="nil"/>
              <w:bottom w:val="nil"/>
              <w:right w:val="nil"/>
            </w:tcBorders>
            <w:shd w:val="clear" w:color="auto" w:fill="auto"/>
            <w:noWrap/>
            <w:vAlign w:val="center"/>
            <w:hideMark/>
          </w:tcPr>
          <w:p w14:paraId="78E4715E" w14:textId="77777777" w:rsidR="00C93A73" w:rsidRPr="00005453" w:rsidRDefault="00C93A73" w:rsidP="00C93A73">
            <w:pPr>
              <w:rPr>
                <w:color w:val="0D0D0D"/>
                <w:sz w:val="18"/>
                <w:szCs w:val="18"/>
                <w:lang w:eastAsia="tr-TR"/>
              </w:rPr>
            </w:pPr>
            <w:r w:rsidRPr="00005453">
              <w:rPr>
                <w:color w:val="0D0D0D"/>
                <w:sz w:val="18"/>
                <w:szCs w:val="18"/>
                <w:lang w:eastAsia="tr-TR"/>
              </w:rPr>
              <w:t>Yüksek kalite</w:t>
            </w:r>
          </w:p>
        </w:tc>
        <w:tc>
          <w:tcPr>
            <w:tcW w:w="1848" w:type="dxa"/>
            <w:tcBorders>
              <w:top w:val="nil"/>
              <w:left w:val="nil"/>
              <w:bottom w:val="nil"/>
              <w:right w:val="nil"/>
            </w:tcBorders>
            <w:shd w:val="clear" w:color="auto" w:fill="auto"/>
            <w:noWrap/>
            <w:vAlign w:val="center"/>
            <w:hideMark/>
          </w:tcPr>
          <w:p w14:paraId="6EDE1F61" w14:textId="5578B3DF" w:rsidR="00C93A73" w:rsidRPr="00005453" w:rsidRDefault="00C93A73" w:rsidP="00C93A73">
            <w:pPr>
              <w:jc w:val="right"/>
              <w:rPr>
                <w:color w:val="000000"/>
                <w:sz w:val="18"/>
                <w:szCs w:val="18"/>
                <w:lang w:eastAsia="tr-TR"/>
              </w:rPr>
            </w:pPr>
            <w:proofErr w:type="gramStart"/>
            <w:r w:rsidRPr="00005453">
              <w:rPr>
                <w:color w:val="000000"/>
                <w:sz w:val="18"/>
              </w:rPr>
              <w:t>%55.71</w:t>
            </w:r>
            <w:proofErr w:type="gramEnd"/>
          </w:p>
        </w:tc>
        <w:tc>
          <w:tcPr>
            <w:tcW w:w="2071" w:type="dxa"/>
            <w:tcBorders>
              <w:top w:val="nil"/>
              <w:left w:val="nil"/>
              <w:bottom w:val="nil"/>
              <w:right w:val="nil"/>
            </w:tcBorders>
            <w:shd w:val="clear" w:color="auto" w:fill="auto"/>
            <w:noWrap/>
            <w:vAlign w:val="center"/>
            <w:hideMark/>
          </w:tcPr>
          <w:p w14:paraId="5A66AC5F" w14:textId="21A5F1D7" w:rsidR="00C93A73" w:rsidRPr="00005453" w:rsidRDefault="00C93A73" w:rsidP="00C93A73">
            <w:pPr>
              <w:jc w:val="right"/>
              <w:rPr>
                <w:color w:val="000000"/>
                <w:sz w:val="18"/>
                <w:szCs w:val="18"/>
                <w:lang w:eastAsia="tr-TR"/>
              </w:rPr>
            </w:pPr>
            <w:proofErr w:type="gramStart"/>
            <w:r w:rsidRPr="00005453">
              <w:rPr>
                <w:color w:val="000000"/>
                <w:sz w:val="18"/>
              </w:rPr>
              <w:t>%76.49</w:t>
            </w:r>
            <w:proofErr w:type="gramEnd"/>
          </w:p>
        </w:tc>
        <w:tc>
          <w:tcPr>
            <w:tcW w:w="1848" w:type="dxa"/>
            <w:tcBorders>
              <w:top w:val="nil"/>
              <w:left w:val="nil"/>
              <w:bottom w:val="nil"/>
              <w:right w:val="nil"/>
            </w:tcBorders>
            <w:shd w:val="clear" w:color="auto" w:fill="auto"/>
            <w:noWrap/>
            <w:vAlign w:val="center"/>
            <w:hideMark/>
          </w:tcPr>
          <w:p w14:paraId="2FEF9426" w14:textId="1CD923B7" w:rsidR="00C93A73" w:rsidRPr="00005453" w:rsidRDefault="00C93A73" w:rsidP="00C93A73">
            <w:pPr>
              <w:jc w:val="right"/>
              <w:rPr>
                <w:color w:val="000000"/>
                <w:sz w:val="18"/>
                <w:szCs w:val="18"/>
                <w:lang w:eastAsia="tr-TR"/>
              </w:rPr>
            </w:pPr>
            <w:proofErr w:type="gramStart"/>
            <w:r w:rsidRPr="00005453">
              <w:rPr>
                <w:color w:val="000000"/>
                <w:sz w:val="18"/>
              </w:rPr>
              <w:t>%59.79</w:t>
            </w:r>
            <w:proofErr w:type="gramEnd"/>
          </w:p>
        </w:tc>
      </w:tr>
      <w:tr w:rsidR="00C93A73" w:rsidRPr="00005453" w14:paraId="4BD576BE" w14:textId="77777777" w:rsidTr="001A3DC2">
        <w:trPr>
          <w:divId w:val="604387284"/>
          <w:trHeight w:val="243"/>
        </w:trPr>
        <w:tc>
          <w:tcPr>
            <w:tcW w:w="3653" w:type="dxa"/>
            <w:tcBorders>
              <w:top w:val="nil"/>
              <w:left w:val="nil"/>
              <w:bottom w:val="nil"/>
              <w:right w:val="nil"/>
            </w:tcBorders>
            <w:shd w:val="clear" w:color="auto" w:fill="auto"/>
            <w:noWrap/>
            <w:vAlign w:val="center"/>
            <w:hideMark/>
          </w:tcPr>
          <w:p w14:paraId="21BAD4EA" w14:textId="77777777" w:rsidR="00C93A73" w:rsidRPr="00005453" w:rsidRDefault="00C93A73" w:rsidP="00C93A73">
            <w:pPr>
              <w:rPr>
                <w:color w:val="0D0D0D"/>
                <w:sz w:val="18"/>
                <w:szCs w:val="18"/>
                <w:lang w:eastAsia="tr-TR"/>
              </w:rPr>
            </w:pPr>
            <w:r w:rsidRPr="00005453">
              <w:rPr>
                <w:color w:val="0D0D0D"/>
                <w:sz w:val="18"/>
                <w:szCs w:val="18"/>
                <w:lang w:eastAsia="tr-TR"/>
              </w:rPr>
              <w:t>Orta kalite</w:t>
            </w:r>
          </w:p>
        </w:tc>
        <w:tc>
          <w:tcPr>
            <w:tcW w:w="1848" w:type="dxa"/>
            <w:tcBorders>
              <w:top w:val="nil"/>
              <w:left w:val="nil"/>
              <w:bottom w:val="nil"/>
              <w:right w:val="nil"/>
            </w:tcBorders>
            <w:shd w:val="clear" w:color="auto" w:fill="auto"/>
            <w:noWrap/>
            <w:vAlign w:val="center"/>
            <w:hideMark/>
          </w:tcPr>
          <w:p w14:paraId="1786EC3A" w14:textId="62FDD8C1" w:rsidR="00C93A73" w:rsidRPr="00005453" w:rsidRDefault="00C93A73" w:rsidP="00C93A73">
            <w:pPr>
              <w:jc w:val="right"/>
              <w:rPr>
                <w:color w:val="000000"/>
                <w:sz w:val="18"/>
                <w:szCs w:val="18"/>
                <w:lang w:eastAsia="tr-TR"/>
              </w:rPr>
            </w:pPr>
            <w:proofErr w:type="gramStart"/>
            <w:r w:rsidRPr="00005453">
              <w:rPr>
                <w:color w:val="000000"/>
                <w:sz w:val="18"/>
              </w:rPr>
              <w:t>%32.21</w:t>
            </w:r>
            <w:proofErr w:type="gramEnd"/>
          </w:p>
        </w:tc>
        <w:tc>
          <w:tcPr>
            <w:tcW w:w="2071" w:type="dxa"/>
            <w:tcBorders>
              <w:top w:val="nil"/>
              <w:left w:val="nil"/>
              <w:bottom w:val="nil"/>
              <w:right w:val="nil"/>
            </w:tcBorders>
            <w:shd w:val="clear" w:color="auto" w:fill="auto"/>
            <w:noWrap/>
            <w:vAlign w:val="center"/>
            <w:hideMark/>
          </w:tcPr>
          <w:p w14:paraId="2E213108" w14:textId="7AFD1649" w:rsidR="00C93A73" w:rsidRPr="00005453" w:rsidRDefault="00C93A73" w:rsidP="00C93A73">
            <w:pPr>
              <w:jc w:val="right"/>
              <w:rPr>
                <w:color w:val="000000"/>
                <w:sz w:val="18"/>
                <w:szCs w:val="18"/>
                <w:lang w:eastAsia="tr-TR"/>
              </w:rPr>
            </w:pPr>
            <w:r w:rsidRPr="00005453">
              <w:rPr>
                <w:color w:val="000000"/>
                <w:sz w:val="18"/>
              </w:rPr>
              <w:t>%18.53</w:t>
            </w:r>
          </w:p>
        </w:tc>
        <w:tc>
          <w:tcPr>
            <w:tcW w:w="1848" w:type="dxa"/>
            <w:tcBorders>
              <w:top w:val="nil"/>
              <w:left w:val="nil"/>
              <w:bottom w:val="nil"/>
              <w:right w:val="nil"/>
            </w:tcBorders>
            <w:shd w:val="clear" w:color="auto" w:fill="auto"/>
            <w:noWrap/>
            <w:vAlign w:val="center"/>
            <w:hideMark/>
          </w:tcPr>
          <w:p w14:paraId="4A62D014" w14:textId="6D1A165F" w:rsidR="00C93A73" w:rsidRPr="00005453" w:rsidRDefault="00C93A73" w:rsidP="00C93A73">
            <w:pPr>
              <w:jc w:val="right"/>
              <w:rPr>
                <w:color w:val="000000"/>
                <w:sz w:val="18"/>
                <w:szCs w:val="18"/>
                <w:lang w:eastAsia="tr-TR"/>
              </w:rPr>
            </w:pPr>
            <w:proofErr w:type="gramStart"/>
            <w:r w:rsidRPr="00005453">
              <w:rPr>
                <w:color w:val="000000"/>
                <w:sz w:val="18"/>
              </w:rPr>
              <w:t>%29.53</w:t>
            </w:r>
            <w:proofErr w:type="gramEnd"/>
          </w:p>
        </w:tc>
      </w:tr>
      <w:tr w:rsidR="00C93A73" w:rsidRPr="00005453" w14:paraId="0F2BA7FA" w14:textId="77777777" w:rsidTr="001A3DC2">
        <w:trPr>
          <w:divId w:val="604387284"/>
          <w:trHeight w:val="243"/>
        </w:trPr>
        <w:tc>
          <w:tcPr>
            <w:tcW w:w="3653" w:type="dxa"/>
            <w:tcBorders>
              <w:top w:val="nil"/>
              <w:left w:val="nil"/>
              <w:right w:val="nil"/>
            </w:tcBorders>
            <w:shd w:val="clear" w:color="auto" w:fill="auto"/>
            <w:noWrap/>
            <w:vAlign w:val="center"/>
            <w:hideMark/>
          </w:tcPr>
          <w:p w14:paraId="57392AF1" w14:textId="77777777" w:rsidR="00C93A73" w:rsidRPr="00005453" w:rsidRDefault="00C93A73" w:rsidP="00C93A73">
            <w:pPr>
              <w:rPr>
                <w:color w:val="0D0D0D"/>
                <w:sz w:val="18"/>
                <w:szCs w:val="18"/>
                <w:lang w:eastAsia="tr-TR"/>
              </w:rPr>
            </w:pPr>
            <w:r w:rsidRPr="00005453">
              <w:rPr>
                <w:color w:val="0D0D0D"/>
                <w:sz w:val="18"/>
                <w:szCs w:val="18"/>
                <w:lang w:eastAsia="tr-TR"/>
              </w:rPr>
              <w:t>Zayıf</w:t>
            </w:r>
          </w:p>
        </w:tc>
        <w:tc>
          <w:tcPr>
            <w:tcW w:w="1848" w:type="dxa"/>
            <w:tcBorders>
              <w:top w:val="nil"/>
              <w:left w:val="nil"/>
              <w:right w:val="nil"/>
            </w:tcBorders>
            <w:shd w:val="clear" w:color="auto" w:fill="auto"/>
            <w:noWrap/>
            <w:vAlign w:val="center"/>
            <w:hideMark/>
          </w:tcPr>
          <w:p w14:paraId="47314A2C" w14:textId="541E8493" w:rsidR="00C93A73" w:rsidRPr="00005453" w:rsidRDefault="00C93A73" w:rsidP="00C93A73">
            <w:pPr>
              <w:jc w:val="right"/>
              <w:rPr>
                <w:color w:val="000000"/>
                <w:sz w:val="18"/>
                <w:szCs w:val="18"/>
                <w:lang w:eastAsia="tr-TR"/>
              </w:rPr>
            </w:pPr>
            <w:r w:rsidRPr="00005453">
              <w:rPr>
                <w:color w:val="000000"/>
                <w:sz w:val="18"/>
              </w:rPr>
              <w:t>%9.02</w:t>
            </w:r>
          </w:p>
        </w:tc>
        <w:tc>
          <w:tcPr>
            <w:tcW w:w="2071" w:type="dxa"/>
            <w:tcBorders>
              <w:top w:val="nil"/>
              <w:left w:val="nil"/>
              <w:right w:val="nil"/>
            </w:tcBorders>
            <w:shd w:val="clear" w:color="auto" w:fill="auto"/>
            <w:noWrap/>
            <w:vAlign w:val="center"/>
            <w:hideMark/>
          </w:tcPr>
          <w:p w14:paraId="48F76608" w14:textId="3497116D" w:rsidR="00C93A73" w:rsidRPr="00005453" w:rsidRDefault="00C93A73" w:rsidP="00C93A73">
            <w:pPr>
              <w:jc w:val="right"/>
              <w:rPr>
                <w:color w:val="000000"/>
                <w:sz w:val="18"/>
                <w:szCs w:val="18"/>
                <w:lang w:eastAsia="tr-TR"/>
              </w:rPr>
            </w:pPr>
            <w:r w:rsidRPr="00005453">
              <w:rPr>
                <w:color w:val="000000"/>
                <w:sz w:val="18"/>
              </w:rPr>
              <w:t>%4.36</w:t>
            </w:r>
          </w:p>
        </w:tc>
        <w:tc>
          <w:tcPr>
            <w:tcW w:w="1848" w:type="dxa"/>
            <w:tcBorders>
              <w:top w:val="nil"/>
              <w:left w:val="nil"/>
              <w:right w:val="nil"/>
            </w:tcBorders>
            <w:shd w:val="clear" w:color="auto" w:fill="auto"/>
            <w:noWrap/>
            <w:vAlign w:val="center"/>
            <w:hideMark/>
          </w:tcPr>
          <w:p w14:paraId="561217E6" w14:textId="60E5DB47" w:rsidR="00C93A73" w:rsidRPr="00005453" w:rsidRDefault="00C93A73" w:rsidP="00C93A73">
            <w:pPr>
              <w:jc w:val="right"/>
              <w:rPr>
                <w:color w:val="000000"/>
                <w:sz w:val="18"/>
                <w:szCs w:val="18"/>
                <w:lang w:eastAsia="tr-TR"/>
              </w:rPr>
            </w:pPr>
            <w:r w:rsidRPr="00005453">
              <w:rPr>
                <w:color w:val="000000"/>
                <w:sz w:val="18"/>
              </w:rPr>
              <w:t>%8.10</w:t>
            </w:r>
          </w:p>
        </w:tc>
      </w:tr>
      <w:tr w:rsidR="00C93A73" w:rsidRPr="00005453" w14:paraId="1D794F08" w14:textId="77777777" w:rsidTr="001A3DC2">
        <w:trPr>
          <w:divId w:val="604387284"/>
          <w:trHeight w:val="243"/>
        </w:trPr>
        <w:tc>
          <w:tcPr>
            <w:tcW w:w="3653" w:type="dxa"/>
            <w:tcBorders>
              <w:top w:val="nil"/>
              <w:left w:val="nil"/>
              <w:bottom w:val="double" w:sz="4" w:space="0" w:color="auto"/>
              <w:right w:val="nil"/>
            </w:tcBorders>
            <w:shd w:val="clear" w:color="auto" w:fill="auto"/>
            <w:noWrap/>
            <w:vAlign w:val="center"/>
            <w:hideMark/>
          </w:tcPr>
          <w:p w14:paraId="18D7D7FF" w14:textId="25EAF1FC" w:rsidR="00C93A73" w:rsidRPr="00005453" w:rsidRDefault="00C93A73" w:rsidP="00C93A73">
            <w:pPr>
              <w:rPr>
                <w:color w:val="0D0D0D"/>
                <w:sz w:val="18"/>
                <w:szCs w:val="18"/>
                <w:lang w:eastAsia="tr-TR"/>
              </w:rPr>
            </w:pPr>
            <w:r w:rsidRPr="00005453">
              <w:rPr>
                <w:color w:val="0D0D0D"/>
                <w:sz w:val="18"/>
                <w:szCs w:val="18"/>
                <w:lang w:eastAsia="tr-TR"/>
              </w:rPr>
              <w:t>Çok zayıf</w:t>
            </w:r>
          </w:p>
        </w:tc>
        <w:tc>
          <w:tcPr>
            <w:tcW w:w="1848" w:type="dxa"/>
            <w:tcBorders>
              <w:top w:val="nil"/>
              <w:left w:val="nil"/>
              <w:bottom w:val="double" w:sz="4" w:space="0" w:color="auto"/>
              <w:right w:val="nil"/>
            </w:tcBorders>
            <w:shd w:val="clear" w:color="auto" w:fill="auto"/>
            <w:noWrap/>
            <w:vAlign w:val="center"/>
            <w:hideMark/>
          </w:tcPr>
          <w:p w14:paraId="2B8611A1" w14:textId="4C145843" w:rsidR="00C93A73" w:rsidRPr="00005453" w:rsidRDefault="00C93A73" w:rsidP="00C93A73">
            <w:pPr>
              <w:jc w:val="right"/>
              <w:rPr>
                <w:color w:val="000000"/>
                <w:sz w:val="18"/>
                <w:szCs w:val="18"/>
                <w:lang w:eastAsia="tr-TR"/>
              </w:rPr>
            </w:pPr>
            <w:r w:rsidRPr="00005453">
              <w:rPr>
                <w:color w:val="000000"/>
                <w:sz w:val="18"/>
              </w:rPr>
              <w:t>%3.06</w:t>
            </w:r>
          </w:p>
        </w:tc>
        <w:tc>
          <w:tcPr>
            <w:tcW w:w="2071" w:type="dxa"/>
            <w:tcBorders>
              <w:top w:val="nil"/>
              <w:left w:val="nil"/>
              <w:bottom w:val="double" w:sz="4" w:space="0" w:color="auto"/>
              <w:right w:val="nil"/>
            </w:tcBorders>
            <w:shd w:val="clear" w:color="auto" w:fill="auto"/>
            <w:noWrap/>
            <w:vAlign w:val="center"/>
            <w:hideMark/>
          </w:tcPr>
          <w:p w14:paraId="515F059C" w14:textId="42C8AFE4" w:rsidR="00C93A73" w:rsidRPr="00005453" w:rsidRDefault="00C93A73" w:rsidP="00C93A73">
            <w:pPr>
              <w:jc w:val="right"/>
              <w:rPr>
                <w:color w:val="000000"/>
                <w:sz w:val="18"/>
                <w:szCs w:val="18"/>
                <w:lang w:eastAsia="tr-TR"/>
              </w:rPr>
            </w:pPr>
            <w:proofErr w:type="gramStart"/>
            <w:r w:rsidRPr="00005453">
              <w:rPr>
                <w:color w:val="000000"/>
                <w:sz w:val="18"/>
              </w:rPr>
              <w:t>%0.62</w:t>
            </w:r>
            <w:proofErr w:type="gramEnd"/>
          </w:p>
        </w:tc>
        <w:tc>
          <w:tcPr>
            <w:tcW w:w="1848" w:type="dxa"/>
            <w:tcBorders>
              <w:top w:val="nil"/>
              <w:left w:val="nil"/>
              <w:bottom w:val="double" w:sz="4" w:space="0" w:color="auto"/>
              <w:right w:val="nil"/>
            </w:tcBorders>
            <w:shd w:val="clear" w:color="auto" w:fill="auto"/>
            <w:noWrap/>
            <w:vAlign w:val="center"/>
            <w:hideMark/>
          </w:tcPr>
          <w:p w14:paraId="45670D62" w14:textId="1683FF4D" w:rsidR="00C93A73" w:rsidRPr="00005453" w:rsidRDefault="00C93A73" w:rsidP="00C93A73">
            <w:pPr>
              <w:jc w:val="right"/>
              <w:rPr>
                <w:color w:val="000000"/>
                <w:sz w:val="18"/>
                <w:szCs w:val="18"/>
                <w:lang w:eastAsia="tr-TR"/>
              </w:rPr>
            </w:pPr>
            <w:r w:rsidRPr="00005453">
              <w:rPr>
                <w:color w:val="000000"/>
                <w:sz w:val="18"/>
              </w:rPr>
              <w:t>%2.58</w:t>
            </w:r>
          </w:p>
        </w:tc>
      </w:tr>
      <w:bookmarkEnd w:id="38"/>
    </w:tbl>
    <w:p w14:paraId="49C8669C" w14:textId="19DDA08F" w:rsidR="0054031F" w:rsidRPr="00005453" w:rsidRDefault="0054031F" w:rsidP="00B30841">
      <w:pPr>
        <w:jc w:val="both"/>
      </w:pPr>
    </w:p>
    <w:tbl>
      <w:tblPr>
        <w:tblW w:w="9420" w:type="dxa"/>
        <w:tblCellMar>
          <w:left w:w="70" w:type="dxa"/>
          <w:right w:w="70" w:type="dxa"/>
        </w:tblCellMar>
        <w:tblLook w:val="04A0" w:firstRow="1" w:lastRow="0" w:firstColumn="1" w:lastColumn="0" w:noHBand="0" w:noVBand="1"/>
      </w:tblPr>
      <w:tblGrid>
        <w:gridCol w:w="3653"/>
        <w:gridCol w:w="1848"/>
        <w:gridCol w:w="2071"/>
        <w:gridCol w:w="1848"/>
      </w:tblGrid>
      <w:tr w:rsidR="00061828" w:rsidRPr="00005453" w14:paraId="1CA1A6A8" w14:textId="77777777" w:rsidTr="00645F51">
        <w:trPr>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38386C0F" w14:textId="4A2DBE39" w:rsidR="00061828" w:rsidRPr="00005453" w:rsidRDefault="00061828" w:rsidP="00645F51">
            <w:pPr>
              <w:rPr>
                <w:color w:val="0D0D0D"/>
                <w:sz w:val="18"/>
                <w:szCs w:val="18"/>
                <w:lang w:eastAsia="tr-TR"/>
              </w:rPr>
            </w:pPr>
            <w:r w:rsidRPr="00005453">
              <w:rPr>
                <w:color w:val="0D0D0D"/>
                <w:sz w:val="18"/>
                <w:szCs w:val="18"/>
                <w:lang w:eastAsia="tr-TR"/>
              </w:rPr>
              <w:t> </w:t>
            </w:r>
            <w:r w:rsidRPr="00005453">
              <w:rPr>
                <w:b/>
                <w:bCs/>
                <w:color w:val="000000"/>
                <w:sz w:val="18"/>
                <w:szCs w:val="18"/>
                <w:lang w:eastAsia="tr-TR"/>
              </w:rPr>
              <w:t>Önceki Dönem</w:t>
            </w:r>
          </w:p>
        </w:tc>
        <w:tc>
          <w:tcPr>
            <w:tcW w:w="1848" w:type="dxa"/>
            <w:tcBorders>
              <w:top w:val="single" w:sz="8" w:space="0" w:color="auto"/>
              <w:left w:val="nil"/>
              <w:bottom w:val="single" w:sz="8" w:space="0" w:color="auto"/>
              <w:right w:val="nil"/>
            </w:tcBorders>
            <w:shd w:val="clear" w:color="auto" w:fill="auto"/>
            <w:noWrap/>
            <w:vAlign w:val="center"/>
            <w:hideMark/>
          </w:tcPr>
          <w:p w14:paraId="67965583" w14:textId="77777777" w:rsidR="00061828" w:rsidRPr="00005453" w:rsidRDefault="00061828" w:rsidP="00645F51">
            <w:pPr>
              <w:jc w:val="right"/>
              <w:rPr>
                <w:b/>
                <w:bCs/>
                <w:color w:val="000000"/>
                <w:sz w:val="18"/>
                <w:szCs w:val="18"/>
                <w:lang w:eastAsia="tr-TR"/>
              </w:rPr>
            </w:pPr>
            <w:r w:rsidRPr="00005453">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0D5B692C" w14:textId="77777777" w:rsidR="00061828" w:rsidRPr="00005453" w:rsidRDefault="00061828" w:rsidP="00645F51">
            <w:pPr>
              <w:jc w:val="right"/>
              <w:rPr>
                <w:b/>
                <w:bCs/>
                <w:color w:val="000000"/>
                <w:sz w:val="18"/>
                <w:szCs w:val="18"/>
                <w:lang w:eastAsia="tr-TR"/>
              </w:rPr>
            </w:pPr>
            <w:r w:rsidRPr="00005453">
              <w:rPr>
                <w:b/>
                <w:bCs/>
                <w:color w:val="000000"/>
                <w:sz w:val="18"/>
                <w:szCs w:val="18"/>
                <w:lang w:eastAsia="tr-TR"/>
              </w:rPr>
              <w:t>Gayrinakdi Krediler</w:t>
            </w:r>
          </w:p>
        </w:tc>
        <w:tc>
          <w:tcPr>
            <w:tcW w:w="1848" w:type="dxa"/>
            <w:tcBorders>
              <w:top w:val="single" w:sz="8" w:space="0" w:color="auto"/>
              <w:left w:val="nil"/>
              <w:bottom w:val="single" w:sz="8" w:space="0" w:color="auto"/>
              <w:right w:val="nil"/>
            </w:tcBorders>
            <w:shd w:val="clear" w:color="auto" w:fill="auto"/>
            <w:noWrap/>
            <w:vAlign w:val="center"/>
            <w:hideMark/>
          </w:tcPr>
          <w:p w14:paraId="06DE63A7" w14:textId="77777777" w:rsidR="00061828" w:rsidRPr="00005453" w:rsidRDefault="00061828" w:rsidP="00645F51">
            <w:pPr>
              <w:jc w:val="right"/>
              <w:rPr>
                <w:b/>
                <w:bCs/>
                <w:color w:val="000000"/>
                <w:sz w:val="18"/>
                <w:szCs w:val="18"/>
                <w:lang w:eastAsia="tr-TR"/>
              </w:rPr>
            </w:pPr>
            <w:r w:rsidRPr="00005453">
              <w:rPr>
                <w:b/>
                <w:bCs/>
                <w:color w:val="000000"/>
                <w:sz w:val="18"/>
                <w:szCs w:val="18"/>
                <w:lang w:eastAsia="tr-TR"/>
              </w:rPr>
              <w:t>Toplam</w:t>
            </w:r>
          </w:p>
        </w:tc>
      </w:tr>
      <w:tr w:rsidR="00F14B37" w:rsidRPr="00005453" w14:paraId="53155592" w14:textId="77777777" w:rsidTr="00F14B37">
        <w:trPr>
          <w:trHeight w:val="243"/>
        </w:trPr>
        <w:tc>
          <w:tcPr>
            <w:tcW w:w="3653" w:type="dxa"/>
            <w:tcBorders>
              <w:top w:val="nil"/>
              <w:left w:val="nil"/>
              <w:bottom w:val="nil"/>
              <w:right w:val="nil"/>
            </w:tcBorders>
            <w:shd w:val="clear" w:color="auto" w:fill="auto"/>
            <w:noWrap/>
            <w:vAlign w:val="center"/>
            <w:hideMark/>
          </w:tcPr>
          <w:p w14:paraId="00833C39" w14:textId="77777777" w:rsidR="00F14B37" w:rsidRPr="00005453" w:rsidRDefault="00F14B37" w:rsidP="00F14B37">
            <w:pPr>
              <w:rPr>
                <w:color w:val="0D0D0D"/>
                <w:sz w:val="18"/>
                <w:szCs w:val="18"/>
                <w:lang w:eastAsia="tr-TR"/>
              </w:rPr>
            </w:pPr>
            <w:r w:rsidRPr="00005453">
              <w:rPr>
                <w:color w:val="0D0D0D"/>
                <w:sz w:val="18"/>
                <w:szCs w:val="18"/>
                <w:lang w:eastAsia="tr-TR"/>
              </w:rPr>
              <w:t>Yüksek kalite</w:t>
            </w:r>
          </w:p>
        </w:tc>
        <w:tc>
          <w:tcPr>
            <w:tcW w:w="1848" w:type="dxa"/>
            <w:tcBorders>
              <w:top w:val="nil"/>
              <w:left w:val="nil"/>
              <w:bottom w:val="nil"/>
              <w:right w:val="nil"/>
            </w:tcBorders>
            <w:shd w:val="clear" w:color="auto" w:fill="auto"/>
            <w:noWrap/>
            <w:vAlign w:val="center"/>
            <w:hideMark/>
          </w:tcPr>
          <w:p w14:paraId="45AA0B3B" w14:textId="79E85F1E" w:rsidR="00F14B37" w:rsidRPr="00005453" w:rsidRDefault="008F3117"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50.18</w:t>
            </w:r>
            <w:proofErr w:type="gramEnd"/>
          </w:p>
        </w:tc>
        <w:tc>
          <w:tcPr>
            <w:tcW w:w="2071" w:type="dxa"/>
            <w:tcBorders>
              <w:top w:val="nil"/>
              <w:left w:val="nil"/>
              <w:bottom w:val="nil"/>
              <w:right w:val="nil"/>
            </w:tcBorders>
            <w:shd w:val="clear" w:color="auto" w:fill="auto"/>
            <w:noWrap/>
            <w:vAlign w:val="center"/>
            <w:hideMark/>
          </w:tcPr>
          <w:p w14:paraId="277DBCF0" w14:textId="6F937B19" w:rsidR="00F14B37" w:rsidRPr="00005453" w:rsidRDefault="008F3117"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69.37</w:t>
            </w:r>
            <w:proofErr w:type="gramEnd"/>
          </w:p>
        </w:tc>
        <w:tc>
          <w:tcPr>
            <w:tcW w:w="1848" w:type="dxa"/>
            <w:tcBorders>
              <w:top w:val="nil"/>
              <w:left w:val="nil"/>
              <w:bottom w:val="nil"/>
              <w:right w:val="nil"/>
            </w:tcBorders>
            <w:shd w:val="clear" w:color="auto" w:fill="auto"/>
            <w:noWrap/>
            <w:vAlign w:val="center"/>
            <w:hideMark/>
          </w:tcPr>
          <w:p w14:paraId="1DC614B6" w14:textId="3E0B5CF3" w:rsidR="00F14B37" w:rsidRPr="00005453" w:rsidRDefault="00C93A73"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53.17</w:t>
            </w:r>
            <w:proofErr w:type="gramEnd"/>
          </w:p>
        </w:tc>
      </w:tr>
      <w:tr w:rsidR="00F14B37" w:rsidRPr="00005453" w14:paraId="44ABA6AD" w14:textId="77777777" w:rsidTr="00F14B37">
        <w:trPr>
          <w:trHeight w:val="243"/>
        </w:trPr>
        <w:tc>
          <w:tcPr>
            <w:tcW w:w="3653" w:type="dxa"/>
            <w:tcBorders>
              <w:top w:val="nil"/>
              <w:left w:val="nil"/>
              <w:bottom w:val="nil"/>
              <w:right w:val="nil"/>
            </w:tcBorders>
            <w:shd w:val="clear" w:color="auto" w:fill="auto"/>
            <w:noWrap/>
            <w:vAlign w:val="center"/>
            <w:hideMark/>
          </w:tcPr>
          <w:p w14:paraId="74809881" w14:textId="77777777" w:rsidR="00F14B37" w:rsidRPr="00005453" w:rsidRDefault="00F14B37" w:rsidP="00F14B37">
            <w:pPr>
              <w:rPr>
                <w:color w:val="0D0D0D"/>
                <w:sz w:val="18"/>
                <w:szCs w:val="18"/>
                <w:lang w:eastAsia="tr-TR"/>
              </w:rPr>
            </w:pPr>
            <w:r w:rsidRPr="00005453">
              <w:rPr>
                <w:color w:val="0D0D0D"/>
                <w:sz w:val="18"/>
                <w:szCs w:val="18"/>
                <w:lang w:eastAsia="tr-TR"/>
              </w:rPr>
              <w:t>Orta kalite</w:t>
            </w:r>
          </w:p>
        </w:tc>
        <w:tc>
          <w:tcPr>
            <w:tcW w:w="1848" w:type="dxa"/>
            <w:tcBorders>
              <w:top w:val="nil"/>
              <w:left w:val="nil"/>
              <w:bottom w:val="nil"/>
              <w:right w:val="nil"/>
            </w:tcBorders>
            <w:shd w:val="clear" w:color="auto" w:fill="auto"/>
            <w:noWrap/>
            <w:vAlign w:val="center"/>
            <w:hideMark/>
          </w:tcPr>
          <w:p w14:paraId="04677E3C" w14:textId="4C086A71" w:rsidR="00F14B37" w:rsidRPr="00005453" w:rsidRDefault="008F3117"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34.23</w:t>
            </w:r>
            <w:proofErr w:type="gramEnd"/>
          </w:p>
        </w:tc>
        <w:tc>
          <w:tcPr>
            <w:tcW w:w="2071" w:type="dxa"/>
            <w:tcBorders>
              <w:top w:val="nil"/>
              <w:left w:val="nil"/>
              <w:bottom w:val="nil"/>
              <w:right w:val="nil"/>
            </w:tcBorders>
            <w:shd w:val="clear" w:color="auto" w:fill="auto"/>
            <w:noWrap/>
            <w:vAlign w:val="center"/>
            <w:hideMark/>
          </w:tcPr>
          <w:p w14:paraId="11627088" w14:textId="29A30F6C" w:rsidR="00F14B37" w:rsidRPr="00005453" w:rsidRDefault="008F3117" w:rsidP="00F14B37">
            <w:pPr>
              <w:jc w:val="right"/>
              <w:rPr>
                <w:color w:val="000000"/>
                <w:sz w:val="18"/>
                <w:szCs w:val="18"/>
                <w:lang w:eastAsia="tr-TR"/>
              </w:rPr>
            </w:pPr>
            <w:r w:rsidRPr="00005453">
              <w:rPr>
                <w:color w:val="000000"/>
                <w:sz w:val="18"/>
                <w:szCs w:val="18"/>
              </w:rPr>
              <w:t>%</w:t>
            </w:r>
            <w:r w:rsidR="00F14B37" w:rsidRPr="00005453">
              <w:rPr>
                <w:color w:val="000000"/>
                <w:sz w:val="18"/>
                <w:szCs w:val="18"/>
              </w:rPr>
              <w:t>23.32</w:t>
            </w:r>
          </w:p>
        </w:tc>
        <w:tc>
          <w:tcPr>
            <w:tcW w:w="1848" w:type="dxa"/>
            <w:tcBorders>
              <w:top w:val="nil"/>
              <w:left w:val="nil"/>
              <w:bottom w:val="nil"/>
              <w:right w:val="nil"/>
            </w:tcBorders>
            <w:shd w:val="clear" w:color="auto" w:fill="auto"/>
            <w:noWrap/>
            <w:vAlign w:val="center"/>
            <w:hideMark/>
          </w:tcPr>
          <w:p w14:paraId="0883D5BF" w14:textId="6AE0683A" w:rsidR="00F14B37" w:rsidRPr="00005453" w:rsidRDefault="00C93A73"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32.53</w:t>
            </w:r>
            <w:proofErr w:type="gramEnd"/>
          </w:p>
        </w:tc>
      </w:tr>
      <w:tr w:rsidR="00F14B37" w:rsidRPr="00005453" w14:paraId="1F4FC512" w14:textId="77777777" w:rsidTr="00F14B37">
        <w:trPr>
          <w:trHeight w:val="243"/>
        </w:trPr>
        <w:tc>
          <w:tcPr>
            <w:tcW w:w="3653" w:type="dxa"/>
            <w:tcBorders>
              <w:top w:val="nil"/>
              <w:left w:val="nil"/>
              <w:right w:val="nil"/>
            </w:tcBorders>
            <w:shd w:val="clear" w:color="auto" w:fill="auto"/>
            <w:noWrap/>
            <w:vAlign w:val="center"/>
            <w:hideMark/>
          </w:tcPr>
          <w:p w14:paraId="08260DB9" w14:textId="77777777" w:rsidR="00F14B37" w:rsidRPr="00005453" w:rsidRDefault="00F14B37" w:rsidP="00F14B37">
            <w:pPr>
              <w:rPr>
                <w:color w:val="0D0D0D"/>
                <w:sz w:val="18"/>
                <w:szCs w:val="18"/>
                <w:lang w:eastAsia="tr-TR"/>
              </w:rPr>
            </w:pPr>
            <w:r w:rsidRPr="00005453">
              <w:rPr>
                <w:color w:val="0D0D0D"/>
                <w:sz w:val="18"/>
                <w:szCs w:val="18"/>
                <w:lang w:eastAsia="tr-TR"/>
              </w:rPr>
              <w:t>Zayıf</w:t>
            </w:r>
          </w:p>
        </w:tc>
        <w:tc>
          <w:tcPr>
            <w:tcW w:w="1848" w:type="dxa"/>
            <w:tcBorders>
              <w:top w:val="nil"/>
              <w:left w:val="nil"/>
              <w:right w:val="nil"/>
            </w:tcBorders>
            <w:shd w:val="clear" w:color="auto" w:fill="auto"/>
            <w:noWrap/>
            <w:vAlign w:val="center"/>
            <w:hideMark/>
          </w:tcPr>
          <w:p w14:paraId="36E921A3" w14:textId="2108072F" w:rsidR="00F14B37" w:rsidRPr="00005453" w:rsidRDefault="008F3117"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13.84</w:t>
            </w:r>
            <w:proofErr w:type="gramEnd"/>
          </w:p>
        </w:tc>
        <w:tc>
          <w:tcPr>
            <w:tcW w:w="2071" w:type="dxa"/>
            <w:tcBorders>
              <w:top w:val="nil"/>
              <w:left w:val="nil"/>
              <w:right w:val="nil"/>
            </w:tcBorders>
            <w:shd w:val="clear" w:color="auto" w:fill="auto"/>
            <w:noWrap/>
            <w:vAlign w:val="center"/>
            <w:hideMark/>
          </w:tcPr>
          <w:p w14:paraId="28BC433B" w14:textId="38B24237" w:rsidR="00F14B37" w:rsidRPr="00005453" w:rsidRDefault="008F3117" w:rsidP="00F14B37">
            <w:pPr>
              <w:jc w:val="right"/>
              <w:rPr>
                <w:color w:val="000000"/>
                <w:sz w:val="18"/>
                <w:szCs w:val="18"/>
                <w:lang w:eastAsia="tr-TR"/>
              </w:rPr>
            </w:pPr>
            <w:r w:rsidRPr="00005453">
              <w:rPr>
                <w:color w:val="000000"/>
                <w:sz w:val="18"/>
                <w:szCs w:val="18"/>
              </w:rPr>
              <w:t>%</w:t>
            </w:r>
            <w:r w:rsidR="00F14B37" w:rsidRPr="00005453">
              <w:rPr>
                <w:color w:val="000000"/>
                <w:sz w:val="18"/>
                <w:szCs w:val="18"/>
              </w:rPr>
              <w:t>6.31</w:t>
            </w:r>
          </w:p>
        </w:tc>
        <w:tc>
          <w:tcPr>
            <w:tcW w:w="1848" w:type="dxa"/>
            <w:tcBorders>
              <w:top w:val="nil"/>
              <w:left w:val="nil"/>
              <w:right w:val="nil"/>
            </w:tcBorders>
            <w:shd w:val="clear" w:color="auto" w:fill="auto"/>
            <w:noWrap/>
            <w:vAlign w:val="center"/>
            <w:hideMark/>
          </w:tcPr>
          <w:p w14:paraId="596C002E" w14:textId="26356E97" w:rsidR="00F14B37" w:rsidRPr="00005453" w:rsidRDefault="00C93A73"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12.67</w:t>
            </w:r>
            <w:proofErr w:type="gramEnd"/>
          </w:p>
        </w:tc>
      </w:tr>
      <w:tr w:rsidR="00F14B37" w:rsidRPr="00005453" w14:paraId="55B5A666" w14:textId="77777777" w:rsidTr="00F14B37">
        <w:trPr>
          <w:trHeight w:val="243"/>
        </w:trPr>
        <w:tc>
          <w:tcPr>
            <w:tcW w:w="3653" w:type="dxa"/>
            <w:tcBorders>
              <w:top w:val="nil"/>
              <w:left w:val="nil"/>
              <w:bottom w:val="double" w:sz="4" w:space="0" w:color="auto"/>
              <w:right w:val="nil"/>
            </w:tcBorders>
            <w:shd w:val="clear" w:color="auto" w:fill="auto"/>
            <w:noWrap/>
            <w:vAlign w:val="center"/>
            <w:hideMark/>
          </w:tcPr>
          <w:p w14:paraId="52480DA4" w14:textId="77777777" w:rsidR="00F14B37" w:rsidRPr="00005453" w:rsidRDefault="00F14B37" w:rsidP="00F14B37">
            <w:pPr>
              <w:rPr>
                <w:color w:val="0D0D0D"/>
                <w:sz w:val="18"/>
                <w:szCs w:val="18"/>
                <w:lang w:eastAsia="tr-TR"/>
              </w:rPr>
            </w:pPr>
            <w:r w:rsidRPr="00005453">
              <w:rPr>
                <w:color w:val="0D0D0D"/>
                <w:sz w:val="18"/>
                <w:szCs w:val="18"/>
                <w:lang w:eastAsia="tr-TR"/>
              </w:rPr>
              <w:t>Çok zayıf</w:t>
            </w:r>
          </w:p>
        </w:tc>
        <w:tc>
          <w:tcPr>
            <w:tcW w:w="1848" w:type="dxa"/>
            <w:tcBorders>
              <w:top w:val="nil"/>
              <w:left w:val="nil"/>
              <w:bottom w:val="double" w:sz="4" w:space="0" w:color="auto"/>
              <w:right w:val="nil"/>
            </w:tcBorders>
            <w:shd w:val="clear" w:color="auto" w:fill="auto"/>
            <w:noWrap/>
            <w:vAlign w:val="center"/>
            <w:hideMark/>
          </w:tcPr>
          <w:p w14:paraId="31403F12" w14:textId="63C53ED3" w:rsidR="00F14B37" w:rsidRPr="00005453" w:rsidRDefault="008F3117"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1.75</w:t>
            </w:r>
            <w:proofErr w:type="gramEnd"/>
          </w:p>
        </w:tc>
        <w:tc>
          <w:tcPr>
            <w:tcW w:w="2071" w:type="dxa"/>
            <w:tcBorders>
              <w:top w:val="nil"/>
              <w:left w:val="nil"/>
              <w:bottom w:val="double" w:sz="4" w:space="0" w:color="auto"/>
              <w:right w:val="nil"/>
            </w:tcBorders>
            <w:shd w:val="clear" w:color="auto" w:fill="auto"/>
            <w:noWrap/>
            <w:vAlign w:val="center"/>
            <w:hideMark/>
          </w:tcPr>
          <w:p w14:paraId="08C05E00" w14:textId="773B4AD2" w:rsidR="00F14B37" w:rsidRPr="00005453" w:rsidRDefault="008F3117" w:rsidP="00F14B37">
            <w:pPr>
              <w:jc w:val="right"/>
              <w:rPr>
                <w:color w:val="000000"/>
                <w:sz w:val="18"/>
                <w:szCs w:val="18"/>
                <w:lang w:eastAsia="tr-TR"/>
              </w:rPr>
            </w:pPr>
            <w:r w:rsidRPr="00005453">
              <w:rPr>
                <w:color w:val="000000"/>
                <w:sz w:val="18"/>
                <w:szCs w:val="18"/>
              </w:rPr>
              <w:t>%</w:t>
            </w:r>
            <w:r w:rsidR="00F14B37" w:rsidRPr="00005453">
              <w:rPr>
                <w:color w:val="000000"/>
                <w:sz w:val="18"/>
                <w:szCs w:val="18"/>
              </w:rPr>
              <w:t>1.00</w:t>
            </w:r>
          </w:p>
        </w:tc>
        <w:tc>
          <w:tcPr>
            <w:tcW w:w="1848" w:type="dxa"/>
            <w:tcBorders>
              <w:top w:val="nil"/>
              <w:left w:val="nil"/>
              <w:bottom w:val="double" w:sz="4" w:space="0" w:color="auto"/>
              <w:right w:val="nil"/>
            </w:tcBorders>
            <w:shd w:val="clear" w:color="auto" w:fill="auto"/>
            <w:noWrap/>
            <w:vAlign w:val="center"/>
            <w:hideMark/>
          </w:tcPr>
          <w:p w14:paraId="56E2CBEA" w14:textId="26585805" w:rsidR="00F14B37" w:rsidRPr="00005453" w:rsidRDefault="00C93A73" w:rsidP="00F14B37">
            <w:pPr>
              <w:jc w:val="right"/>
              <w:rPr>
                <w:color w:val="000000"/>
                <w:sz w:val="18"/>
                <w:szCs w:val="18"/>
                <w:lang w:eastAsia="tr-TR"/>
              </w:rPr>
            </w:pPr>
            <w:proofErr w:type="gramStart"/>
            <w:r w:rsidRPr="00005453">
              <w:rPr>
                <w:color w:val="000000"/>
                <w:sz w:val="18"/>
                <w:szCs w:val="18"/>
              </w:rPr>
              <w:t>%</w:t>
            </w:r>
            <w:r w:rsidR="00F14B37" w:rsidRPr="00005453">
              <w:rPr>
                <w:color w:val="000000"/>
                <w:sz w:val="18"/>
                <w:szCs w:val="18"/>
              </w:rPr>
              <w:t>1.63</w:t>
            </w:r>
            <w:proofErr w:type="gramEnd"/>
          </w:p>
        </w:tc>
      </w:tr>
    </w:tbl>
    <w:p w14:paraId="0B313193" w14:textId="5C44D299" w:rsidR="00B34528" w:rsidRPr="00005453" w:rsidRDefault="00B34528" w:rsidP="00B30841">
      <w:pPr>
        <w:jc w:val="both"/>
      </w:pPr>
    </w:p>
    <w:p w14:paraId="5750243A" w14:textId="5EF77074" w:rsidR="00B34528" w:rsidRPr="00005453" w:rsidRDefault="00B34528" w:rsidP="00B30841">
      <w:pPr>
        <w:jc w:val="both"/>
      </w:pPr>
    </w:p>
    <w:p w14:paraId="55A1F366" w14:textId="77777777" w:rsidR="00A9473B" w:rsidRPr="00005453" w:rsidRDefault="00A9473B" w:rsidP="00B30841">
      <w:pPr>
        <w:jc w:val="both"/>
      </w:pPr>
    </w:p>
    <w:p w14:paraId="569956A8" w14:textId="2171226D" w:rsidR="00B34528" w:rsidRPr="00005453" w:rsidRDefault="00B34528" w:rsidP="00B30841">
      <w:pPr>
        <w:jc w:val="both"/>
      </w:pPr>
    </w:p>
    <w:p w14:paraId="449D20C1" w14:textId="0980F267" w:rsidR="00F20AF5" w:rsidRPr="00005453" w:rsidRDefault="00F20AF5">
      <w:pPr>
        <w:rPr>
          <w:rFonts w:eastAsia="Arial Unicode MS"/>
          <w:b/>
          <w:lang w:eastAsia="x-none"/>
        </w:rPr>
      </w:pPr>
    </w:p>
    <w:p w14:paraId="045272EF" w14:textId="4C1B0BB6" w:rsidR="00E73302" w:rsidRPr="00005453" w:rsidRDefault="0054031F" w:rsidP="0003633B">
      <w:pPr>
        <w:pStyle w:val="BodyText"/>
        <w:ind w:hanging="567"/>
        <w:jc w:val="left"/>
        <w:rPr>
          <w:rFonts w:eastAsia="Arial Unicode MS"/>
          <w:b/>
        </w:rPr>
      </w:pPr>
      <w:r w:rsidRPr="00005453">
        <w:rPr>
          <w:rFonts w:eastAsia="Arial Unicode MS"/>
          <w:b/>
        </w:rPr>
        <w:lastRenderedPageBreak/>
        <w:t>3</w:t>
      </w:r>
      <w:r w:rsidR="00E253C8" w:rsidRPr="00005453">
        <w:rPr>
          <w:rFonts w:eastAsia="Arial Unicode MS"/>
          <w:b/>
        </w:rPr>
        <w:t>.</w:t>
      </w:r>
      <w:r w:rsidR="00E253C8" w:rsidRPr="00005453">
        <w:rPr>
          <w:rFonts w:eastAsia="Arial Unicode MS"/>
          <w:b/>
        </w:rPr>
        <w:tab/>
        <w:t>Kur riskine ilişkin açıklamalar</w:t>
      </w:r>
    </w:p>
    <w:p w14:paraId="6A0FFC9C" w14:textId="77777777" w:rsidR="00E73302" w:rsidRPr="00005453" w:rsidRDefault="00E73302" w:rsidP="00803B6E">
      <w:pPr>
        <w:pStyle w:val="BodyText3"/>
        <w:jc w:val="both"/>
        <w:rPr>
          <w:i w:val="0"/>
          <w:iCs w:val="0"/>
          <w:sz w:val="16"/>
          <w:szCs w:val="16"/>
        </w:rPr>
      </w:pPr>
    </w:p>
    <w:p w14:paraId="72AF9EE9" w14:textId="77777777" w:rsidR="00996205" w:rsidRPr="00005453" w:rsidRDefault="00996205" w:rsidP="00996205">
      <w:pPr>
        <w:pStyle w:val="BodyText3"/>
        <w:jc w:val="both"/>
        <w:rPr>
          <w:i w:val="0"/>
          <w:iCs w:val="0"/>
          <w:sz w:val="20"/>
        </w:rPr>
      </w:pPr>
      <w:r w:rsidRPr="00005453">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005453">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670484E" w14:textId="77777777" w:rsidR="00996205" w:rsidRPr="00005453" w:rsidRDefault="00996205" w:rsidP="00996205">
      <w:pPr>
        <w:pStyle w:val="BodyText3"/>
        <w:jc w:val="both"/>
        <w:rPr>
          <w:i w:val="0"/>
          <w:iCs w:val="0"/>
          <w:sz w:val="6"/>
          <w:szCs w:val="16"/>
        </w:rPr>
      </w:pPr>
    </w:p>
    <w:p w14:paraId="2C92B553" w14:textId="77777777" w:rsidR="00996205" w:rsidRPr="00005453" w:rsidRDefault="00996205" w:rsidP="00996205">
      <w:pPr>
        <w:pStyle w:val="BodyText3"/>
        <w:jc w:val="both"/>
        <w:rPr>
          <w:i w:val="0"/>
          <w:iCs w:val="0"/>
          <w:spacing w:val="-6"/>
          <w:sz w:val="20"/>
        </w:rPr>
      </w:pPr>
      <w:r w:rsidRPr="00005453">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1342F497" w14:textId="77777777" w:rsidR="00996205" w:rsidRPr="00005453" w:rsidRDefault="00996205" w:rsidP="00996205">
      <w:pPr>
        <w:autoSpaceDE w:val="0"/>
        <w:autoSpaceDN w:val="0"/>
        <w:adjustRightInd w:val="0"/>
        <w:rPr>
          <w:rFonts w:eastAsia="Arial Unicode MS"/>
          <w:b/>
          <w:sz w:val="6"/>
          <w:szCs w:val="16"/>
        </w:rPr>
      </w:pPr>
    </w:p>
    <w:p w14:paraId="0AAE0A9E" w14:textId="61EFC164" w:rsidR="00996205" w:rsidRPr="00005453" w:rsidRDefault="00996205" w:rsidP="00996205">
      <w:pPr>
        <w:autoSpaceDE w:val="0"/>
        <w:autoSpaceDN w:val="0"/>
        <w:adjustRightInd w:val="0"/>
        <w:jc w:val="both"/>
        <w:rPr>
          <w:rFonts w:eastAsia="Arial Unicode MS"/>
        </w:rPr>
      </w:pPr>
      <w:r w:rsidRPr="00005453">
        <w:rPr>
          <w:rFonts w:eastAsia="Arial Unicode MS"/>
        </w:rPr>
        <w:t xml:space="preserve">Banka, </w:t>
      </w:r>
      <w:r w:rsidRPr="00005453">
        <w:rPr>
          <w:bCs/>
          <w:iCs/>
          <w:spacing w:val="4"/>
        </w:rPr>
        <w:t xml:space="preserve">31 Aralık </w:t>
      </w:r>
      <w:proofErr w:type="gramStart"/>
      <w:r w:rsidRPr="00005453">
        <w:rPr>
          <w:bCs/>
          <w:iCs/>
          <w:spacing w:val="4"/>
        </w:rPr>
        <w:t>202</w:t>
      </w:r>
      <w:r w:rsidR="00F14B37" w:rsidRPr="00005453">
        <w:rPr>
          <w:bCs/>
          <w:iCs/>
          <w:spacing w:val="4"/>
        </w:rPr>
        <w:t>4</w:t>
      </w:r>
      <w:r w:rsidRPr="00005453">
        <w:t xml:space="preserve"> </w:t>
      </w:r>
      <w:r w:rsidRPr="00005453">
        <w:rPr>
          <w:rFonts w:eastAsia="Arial Unicode MS"/>
        </w:rPr>
        <w:t xml:space="preserve"> tarihi</w:t>
      </w:r>
      <w:proofErr w:type="gramEnd"/>
      <w:r w:rsidRPr="00005453">
        <w:rPr>
          <w:rFonts w:eastAsia="Arial Unicode MS"/>
        </w:rPr>
        <w:t xml:space="preserve"> itibarıyla </w:t>
      </w:r>
      <w:r w:rsidR="001917A9" w:rsidRPr="00005453">
        <w:rPr>
          <w:rFonts w:eastAsia="Arial Unicode MS"/>
        </w:rPr>
        <w:t>9</w:t>
      </w:r>
      <w:r w:rsidRPr="00005453">
        <w:rPr>
          <w:rFonts w:eastAsia="Arial Unicode MS"/>
          <w:color w:val="000000"/>
        </w:rPr>
        <w:t>,</w:t>
      </w:r>
      <w:r w:rsidR="001917A9" w:rsidRPr="00005453">
        <w:rPr>
          <w:rFonts w:eastAsia="Arial Unicode MS"/>
          <w:color w:val="000000"/>
        </w:rPr>
        <w:t>121</w:t>
      </w:r>
      <w:r w:rsidRPr="00005453">
        <w:rPr>
          <w:rFonts w:eastAsia="Arial Unicode MS"/>
          <w:color w:val="000000"/>
        </w:rPr>
        <w:t>,</w:t>
      </w:r>
      <w:r w:rsidR="001917A9" w:rsidRPr="00005453">
        <w:rPr>
          <w:rFonts w:eastAsia="Arial Unicode MS"/>
          <w:color w:val="000000"/>
        </w:rPr>
        <w:t>278</w:t>
      </w:r>
      <w:r w:rsidRPr="00005453">
        <w:rPr>
          <w:rFonts w:eastAsia="Arial Unicode MS"/>
          <w:color w:val="000000"/>
        </w:rPr>
        <w:t xml:space="preserve"> TL bilanço </w:t>
      </w:r>
      <w:r w:rsidR="001917A9" w:rsidRPr="00005453">
        <w:rPr>
          <w:rFonts w:eastAsia="Arial Unicode MS"/>
          <w:color w:val="000000"/>
        </w:rPr>
        <w:t>kapalı</w:t>
      </w:r>
      <w:r w:rsidRPr="00005453">
        <w:rPr>
          <w:rFonts w:eastAsia="Arial Unicode MS"/>
        </w:rPr>
        <w:t xml:space="preserve"> pozisyonundan (31 Aralık 202</w:t>
      </w:r>
      <w:r w:rsidR="00F14B37" w:rsidRPr="00005453">
        <w:rPr>
          <w:rFonts w:eastAsia="Arial Unicode MS"/>
        </w:rPr>
        <w:t>3</w:t>
      </w:r>
      <w:r w:rsidRPr="00005453">
        <w:rPr>
          <w:rFonts w:eastAsia="Arial Unicode MS"/>
        </w:rPr>
        <w:t xml:space="preserve"> – </w:t>
      </w:r>
      <w:r w:rsidR="00F14B37" w:rsidRPr="00005453">
        <w:rPr>
          <w:rFonts w:eastAsia="Arial Unicode MS"/>
        </w:rPr>
        <w:t>21</w:t>
      </w:r>
      <w:r w:rsidR="005F5AF6" w:rsidRPr="00005453">
        <w:rPr>
          <w:rFonts w:eastAsia="Arial Unicode MS"/>
          <w:color w:val="000000"/>
        </w:rPr>
        <w:t>,</w:t>
      </w:r>
      <w:r w:rsidR="00F14B37" w:rsidRPr="00005453">
        <w:rPr>
          <w:rFonts w:eastAsia="Arial Unicode MS"/>
          <w:color w:val="000000"/>
        </w:rPr>
        <w:t>084</w:t>
      </w:r>
      <w:r w:rsidR="005F5AF6" w:rsidRPr="00005453">
        <w:rPr>
          <w:rFonts w:eastAsia="Arial Unicode MS"/>
          <w:color w:val="000000"/>
        </w:rPr>
        <w:t>,</w:t>
      </w:r>
      <w:r w:rsidR="00F14B37" w:rsidRPr="00005453">
        <w:rPr>
          <w:rFonts w:eastAsia="Arial Unicode MS"/>
          <w:color w:val="000000"/>
        </w:rPr>
        <w:t>887</w:t>
      </w:r>
      <w:r w:rsidR="005F5AF6" w:rsidRPr="00005453">
        <w:rPr>
          <w:rFonts w:eastAsia="Arial Unicode MS"/>
          <w:color w:val="000000"/>
        </w:rPr>
        <w:t xml:space="preserve"> </w:t>
      </w:r>
      <w:r w:rsidRPr="00005453">
        <w:rPr>
          <w:rFonts w:eastAsia="Arial Unicode MS"/>
          <w:color w:val="000000"/>
          <w:spacing w:val="-2"/>
        </w:rPr>
        <w:t>TL</w:t>
      </w:r>
      <w:r w:rsidRPr="00005453">
        <w:rPr>
          <w:rFonts w:eastAsia="Arial Unicode MS"/>
        </w:rPr>
        <w:t xml:space="preserve"> </w:t>
      </w:r>
      <w:r w:rsidR="00F14B37" w:rsidRPr="00005453">
        <w:rPr>
          <w:rFonts w:eastAsia="Arial Unicode MS"/>
        </w:rPr>
        <w:t>açık</w:t>
      </w:r>
      <w:r w:rsidRPr="00005453">
        <w:rPr>
          <w:rFonts w:eastAsia="Arial Unicode MS"/>
        </w:rPr>
        <w:t xml:space="preserve">) ve </w:t>
      </w:r>
      <w:r w:rsidR="000E592C" w:rsidRPr="00005453">
        <w:rPr>
          <w:rFonts w:eastAsia="Arial Unicode MS"/>
        </w:rPr>
        <w:t>1</w:t>
      </w:r>
      <w:r w:rsidR="001917A9" w:rsidRPr="00005453">
        <w:rPr>
          <w:rFonts w:eastAsia="Arial Unicode MS"/>
        </w:rPr>
        <w:t>7</w:t>
      </w:r>
      <w:r w:rsidRPr="00005453">
        <w:rPr>
          <w:rFonts w:eastAsia="Arial Unicode MS"/>
        </w:rPr>
        <w:t>,</w:t>
      </w:r>
      <w:r w:rsidR="001917A9" w:rsidRPr="00005453">
        <w:rPr>
          <w:rFonts w:eastAsia="Arial Unicode MS"/>
        </w:rPr>
        <w:t>439</w:t>
      </w:r>
      <w:r w:rsidR="000E592C" w:rsidRPr="00005453">
        <w:rPr>
          <w:rFonts w:eastAsia="Arial Unicode MS"/>
        </w:rPr>
        <w:t>,</w:t>
      </w:r>
      <w:r w:rsidR="001917A9" w:rsidRPr="00005453">
        <w:rPr>
          <w:rFonts w:eastAsia="Arial Unicode MS"/>
        </w:rPr>
        <w:t>59</w:t>
      </w:r>
      <w:r w:rsidR="00B54ECB" w:rsidRPr="00005453">
        <w:rPr>
          <w:rFonts w:eastAsia="Arial Unicode MS"/>
        </w:rPr>
        <w:t>5</w:t>
      </w:r>
      <w:r w:rsidRPr="00005453">
        <w:rPr>
          <w:rFonts w:eastAsia="Arial Unicode MS"/>
        </w:rPr>
        <w:t xml:space="preserve"> TL bilanço dışı </w:t>
      </w:r>
      <w:r w:rsidR="001917A9" w:rsidRPr="00005453">
        <w:rPr>
          <w:rFonts w:eastAsia="Arial Unicode MS"/>
        </w:rPr>
        <w:t>açık</w:t>
      </w:r>
      <w:r w:rsidRPr="00005453">
        <w:rPr>
          <w:rFonts w:eastAsia="Arial Unicode MS"/>
        </w:rPr>
        <w:t xml:space="preserve"> pozisyondan (31 Aralık 202</w:t>
      </w:r>
      <w:r w:rsidR="00F14B37" w:rsidRPr="00005453">
        <w:rPr>
          <w:rFonts w:eastAsia="Arial Unicode MS"/>
        </w:rPr>
        <w:t>3</w:t>
      </w:r>
      <w:r w:rsidRPr="00005453">
        <w:rPr>
          <w:rFonts w:eastAsia="Arial Unicode MS"/>
        </w:rPr>
        <w:t xml:space="preserve"> – </w:t>
      </w:r>
      <w:r w:rsidR="00F14B37" w:rsidRPr="00005453">
        <w:rPr>
          <w:rFonts w:eastAsia="Arial Unicode MS"/>
        </w:rPr>
        <w:t>19</w:t>
      </w:r>
      <w:r w:rsidR="005F5AF6" w:rsidRPr="00005453">
        <w:rPr>
          <w:rFonts w:eastAsia="Arial Unicode MS"/>
        </w:rPr>
        <w:t>,</w:t>
      </w:r>
      <w:r w:rsidR="00F14B37" w:rsidRPr="00005453">
        <w:rPr>
          <w:rFonts w:eastAsia="Arial Unicode MS"/>
        </w:rPr>
        <w:t>81</w:t>
      </w:r>
      <w:r w:rsidR="005F5AF6" w:rsidRPr="00005453">
        <w:rPr>
          <w:rFonts w:eastAsia="Arial Unicode MS"/>
        </w:rPr>
        <w:t>7,</w:t>
      </w:r>
      <w:r w:rsidR="00F14B37" w:rsidRPr="00005453">
        <w:rPr>
          <w:rFonts w:eastAsia="Arial Unicode MS"/>
        </w:rPr>
        <w:t>333</w:t>
      </w:r>
      <w:r w:rsidR="005F5AF6" w:rsidRPr="00005453">
        <w:rPr>
          <w:rFonts w:eastAsia="Arial Unicode MS"/>
        </w:rPr>
        <w:t xml:space="preserve"> </w:t>
      </w:r>
      <w:r w:rsidR="00B23E16" w:rsidRPr="00005453">
        <w:rPr>
          <w:rFonts w:eastAsia="Arial Unicode MS"/>
        </w:rPr>
        <w:t xml:space="preserve">TL </w:t>
      </w:r>
      <w:r w:rsidR="00F14B37" w:rsidRPr="00005453">
        <w:rPr>
          <w:rFonts w:eastAsia="Arial Unicode MS"/>
        </w:rPr>
        <w:t>kapalı</w:t>
      </w:r>
      <w:r w:rsidRPr="00005453">
        <w:rPr>
          <w:rFonts w:eastAsia="Arial Unicode MS"/>
        </w:rPr>
        <w:t xml:space="preserve">) oluşmak üzere </w:t>
      </w:r>
      <w:r w:rsidR="001917A9" w:rsidRPr="00005453">
        <w:rPr>
          <w:rFonts w:eastAsia="Arial Unicode MS"/>
        </w:rPr>
        <w:t>8</w:t>
      </w:r>
      <w:r w:rsidR="005F5AF6" w:rsidRPr="00005453">
        <w:rPr>
          <w:rFonts w:eastAsia="Arial Unicode MS"/>
        </w:rPr>
        <w:t>,</w:t>
      </w:r>
      <w:r w:rsidR="001917A9" w:rsidRPr="00005453">
        <w:rPr>
          <w:rFonts w:eastAsia="Arial Unicode MS"/>
        </w:rPr>
        <w:t>318</w:t>
      </w:r>
      <w:r w:rsidRPr="00005453">
        <w:rPr>
          <w:rFonts w:eastAsia="Arial Unicode MS"/>
        </w:rPr>
        <w:t>,</w:t>
      </w:r>
      <w:r w:rsidR="001917A9" w:rsidRPr="00005453">
        <w:rPr>
          <w:rFonts w:eastAsia="Arial Unicode MS"/>
        </w:rPr>
        <w:t>31</w:t>
      </w:r>
      <w:r w:rsidR="00B54ECB" w:rsidRPr="00005453">
        <w:rPr>
          <w:rFonts w:eastAsia="Arial Unicode MS"/>
        </w:rPr>
        <w:t>7</w:t>
      </w:r>
      <w:r w:rsidRPr="00005453">
        <w:rPr>
          <w:rFonts w:eastAsia="Arial Unicode MS"/>
        </w:rPr>
        <w:t xml:space="preserve"> TL </w:t>
      </w:r>
      <w:r w:rsidR="005F5AF6" w:rsidRPr="00005453">
        <w:rPr>
          <w:rFonts w:eastAsia="Arial Unicode MS"/>
        </w:rPr>
        <w:t>açık</w:t>
      </w:r>
      <w:r w:rsidRPr="00005453">
        <w:rPr>
          <w:rFonts w:eastAsia="Arial Unicode MS"/>
        </w:rPr>
        <w:t xml:space="preserve"> (31 Aralık 202</w:t>
      </w:r>
      <w:r w:rsidR="00F14B37" w:rsidRPr="00005453">
        <w:rPr>
          <w:rFonts w:eastAsia="Arial Unicode MS"/>
        </w:rPr>
        <w:t>3</w:t>
      </w:r>
      <w:r w:rsidRPr="00005453">
        <w:rPr>
          <w:rFonts w:eastAsia="Arial Unicode MS"/>
        </w:rPr>
        <w:t xml:space="preserve"> – </w:t>
      </w:r>
      <w:r w:rsidR="00F14B37" w:rsidRPr="00005453">
        <w:rPr>
          <w:rFonts w:eastAsia="Arial Unicode MS"/>
        </w:rPr>
        <w:t>1,267</w:t>
      </w:r>
      <w:r w:rsidR="00B23E16" w:rsidRPr="00005453">
        <w:rPr>
          <w:rFonts w:eastAsia="Arial Unicode MS"/>
        </w:rPr>
        <w:t>,</w:t>
      </w:r>
      <w:r w:rsidR="00F14B37" w:rsidRPr="00005453">
        <w:rPr>
          <w:rFonts w:eastAsia="Arial Unicode MS"/>
        </w:rPr>
        <w:t>554</w:t>
      </w:r>
      <w:r w:rsidR="00B23E16" w:rsidRPr="00005453">
        <w:rPr>
          <w:rFonts w:eastAsia="Arial Unicode MS"/>
        </w:rPr>
        <w:t xml:space="preserve"> </w:t>
      </w:r>
      <w:r w:rsidRPr="00005453">
        <w:rPr>
          <w:rFonts w:eastAsia="Arial Unicode MS"/>
          <w:color w:val="000000"/>
          <w:spacing w:val="-2"/>
        </w:rPr>
        <w:t xml:space="preserve"> TL</w:t>
      </w:r>
      <w:r w:rsidRPr="00005453">
        <w:rPr>
          <w:rFonts w:eastAsia="Arial Unicode MS"/>
        </w:rPr>
        <w:t xml:space="preserve"> açık) pozisyon taşımaktadır. </w:t>
      </w:r>
    </w:p>
    <w:p w14:paraId="51DA06FF" w14:textId="77777777" w:rsidR="00996205" w:rsidRPr="00005453" w:rsidRDefault="00996205" w:rsidP="00996205">
      <w:pPr>
        <w:autoSpaceDE w:val="0"/>
        <w:autoSpaceDN w:val="0"/>
        <w:adjustRightInd w:val="0"/>
        <w:rPr>
          <w:rFonts w:eastAsia="Arial Unicode MS"/>
          <w:sz w:val="8"/>
          <w:szCs w:val="16"/>
        </w:rPr>
      </w:pPr>
    </w:p>
    <w:p w14:paraId="344B35EF" w14:textId="4F214BCB" w:rsidR="00996205" w:rsidRPr="00005453" w:rsidRDefault="00996205" w:rsidP="00996205">
      <w:pPr>
        <w:autoSpaceDE w:val="0"/>
        <w:autoSpaceDN w:val="0"/>
        <w:adjustRightInd w:val="0"/>
        <w:jc w:val="both"/>
        <w:rPr>
          <w:rFonts w:eastAsia="Arial Unicode MS"/>
        </w:rPr>
      </w:pPr>
      <w:r w:rsidRPr="00005453">
        <w:rPr>
          <w:rFonts w:eastAsia="Arial Unicode MS"/>
        </w:rPr>
        <w:t>Banka’nın finansal tablo tarihi ile bu tarihten geriye doğru son beş iş günü kamuya duyurulan belli başlı cari döviz alış kurları (tam TL)</w:t>
      </w:r>
    </w:p>
    <w:p w14:paraId="167D56B0" w14:textId="475B6FD2" w:rsidR="00FA4AFA" w:rsidRPr="00005453" w:rsidRDefault="00FA4AFA" w:rsidP="00465820">
      <w:pPr>
        <w:autoSpaceDE w:val="0"/>
        <w:autoSpaceDN w:val="0"/>
        <w:adjustRightInd w:val="0"/>
        <w:rPr>
          <w:lang w:eastAsia="en-GB"/>
        </w:rPr>
      </w:pPr>
    </w:p>
    <w:tbl>
      <w:tblPr>
        <w:tblW w:w="9541" w:type="dxa"/>
        <w:tblCellMar>
          <w:left w:w="70" w:type="dxa"/>
          <w:right w:w="70" w:type="dxa"/>
        </w:tblCellMar>
        <w:tblLook w:val="04A0" w:firstRow="1" w:lastRow="0" w:firstColumn="1" w:lastColumn="0" w:noHBand="0" w:noVBand="1"/>
      </w:tblPr>
      <w:tblGrid>
        <w:gridCol w:w="1941"/>
        <w:gridCol w:w="1675"/>
        <w:gridCol w:w="991"/>
        <w:gridCol w:w="991"/>
        <w:gridCol w:w="992"/>
        <w:gridCol w:w="961"/>
        <w:gridCol w:w="1990"/>
      </w:tblGrid>
      <w:tr w:rsidR="0089168B" w:rsidRPr="00005453" w14:paraId="139188F5" w14:textId="77777777" w:rsidTr="0089168B">
        <w:trPr>
          <w:divId w:val="875236604"/>
          <w:trHeight w:val="275"/>
        </w:trPr>
        <w:tc>
          <w:tcPr>
            <w:tcW w:w="1941" w:type="dxa"/>
            <w:tcBorders>
              <w:top w:val="single" w:sz="8" w:space="0" w:color="auto"/>
              <w:left w:val="nil"/>
              <w:bottom w:val="single" w:sz="8" w:space="0" w:color="auto"/>
              <w:right w:val="nil"/>
            </w:tcBorders>
            <w:shd w:val="clear" w:color="auto" w:fill="auto"/>
            <w:vAlign w:val="center"/>
            <w:hideMark/>
          </w:tcPr>
          <w:p w14:paraId="1B1DE3E5" w14:textId="0B6400BF" w:rsidR="0089168B" w:rsidRPr="00005453" w:rsidRDefault="0089168B" w:rsidP="0089168B">
            <w:pPr>
              <w:rPr>
                <w:b/>
                <w:bCs/>
                <w:color w:val="000000"/>
                <w:sz w:val="18"/>
                <w:szCs w:val="18"/>
                <w:lang w:eastAsia="tr-TR"/>
              </w:rPr>
            </w:pPr>
            <w:r w:rsidRPr="00005453">
              <w:rPr>
                <w:b/>
                <w:bCs/>
                <w:snapToGrid w:val="0"/>
                <w:color w:val="000000"/>
                <w:sz w:val="18"/>
                <w:szCs w:val="18"/>
                <w:lang w:eastAsia="tr-TR"/>
              </w:rPr>
              <w:t> </w:t>
            </w:r>
          </w:p>
        </w:tc>
        <w:tc>
          <w:tcPr>
            <w:tcW w:w="1675" w:type="dxa"/>
            <w:tcBorders>
              <w:top w:val="single" w:sz="8" w:space="0" w:color="auto"/>
              <w:left w:val="nil"/>
              <w:bottom w:val="single" w:sz="8" w:space="0" w:color="auto"/>
              <w:right w:val="nil"/>
            </w:tcBorders>
            <w:shd w:val="clear" w:color="auto" w:fill="auto"/>
            <w:vAlign w:val="center"/>
            <w:hideMark/>
          </w:tcPr>
          <w:p w14:paraId="64BC9943" w14:textId="7C9C986A" w:rsidR="0089168B" w:rsidRPr="00005453" w:rsidRDefault="0089168B" w:rsidP="0089168B">
            <w:pPr>
              <w:jc w:val="right"/>
              <w:rPr>
                <w:b/>
                <w:bCs/>
                <w:color w:val="000000"/>
                <w:sz w:val="18"/>
                <w:szCs w:val="18"/>
                <w:lang w:eastAsia="tr-TR"/>
              </w:rPr>
            </w:pPr>
            <w:r w:rsidRPr="00005453">
              <w:rPr>
                <w:b/>
                <w:bCs/>
                <w:sz w:val="18"/>
                <w:szCs w:val="18"/>
              </w:rPr>
              <w:t>24/12/2024</w:t>
            </w:r>
          </w:p>
        </w:tc>
        <w:tc>
          <w:tcPr>
            <w:tcW w:w="991" w:type="dxa"/>
            <w:tcBorders>
              <w:top w:val="single" w:sz="8" w:space="0" w:color="auto"/>
              <w:left w:val="nil"/>
              <w:bottom w:val="single" w:sz="8" w:space="0" w:color="auto"/>
              <w:right w:val="nil"/>
            </w:tcBorders>
            <w:shd w:val="clear" w:color="auto" w:fill="auto"/>
            <w:vAlign w:val="center"/>
            <w:hideMark/>
          </w:tcPr>
          <w:p w14:paraId="32508DB6" w14:textId="5191ECAA" w:rsidR="0089168B" w:rsidRPr="00005453" w:rsidRDefault="0089168B" w:rsidP="0089168B">
            <w:pPr>
              <w:jc w:val="right"/>
              <w:rPr>
                <w:b/>
                <w:bCs/>
                <w:color w:val="000000"/>
                <w:sz w:val="18"/>
                <w:szCs w:val="18"/>
                <w:lang w:eastAsia="tr-TR"/>
              </w:rPr>
            </w:pPr>
            <w:r w:rsidRPr="00005453">
              <w:rPr>
                <w:b/>
                <w:bCs/>
                <w:sz w:val="18"/>
                <w:szCs w:val="18"/>
              </w:rPr>
              <w:t>25/12/2024</w:t>
            </w:r>
          </w:p>
        </w:tc>
        <w:tc>
          <w:tcPr>
            <w:tcW w:w="991" w:type="dxa"/>
            <w:tcBorders>
              <w:top w:val="single" w:sz="8" w:space="0" w:color="auto"/>
              <w:left w:val="nil"/>
              <w:bottom w:val="single" w:sz="8" w:space="0" w:color="auto"/>
              <w:right w:val="nil"/>
            </w:tcBorders>
            <w:shd w:val="clear" w:color="auto" w:fill="auto"/>
            <w:vAlign w:val="center"/>
            <w:hideMark/>
          </w:tcPr>
          <w:p w14:paraId="575947F2" w14:textId="0549BA13" w:rsidR="0089168B" w:rsidRPr="00005453" w:rsidRDefault="0089168B" w:rsidP="0089168B">
            <w:pPr>
              <w:jc w:val="right"/>
              <w:rPr>
                <w:b/>
                <w:bCs/>
                <w:color w:val="000000"/>
                <w:sz w:val="18"/>
                <w:szCs w:val="18"/>
                <w:lang w:eastAsia="tr-TR"/>
              </w:rPr>
            </w:pPr>
            <w:r w:rsidRPr="00005453">
              <w:rPr>
                <w:b/>
                <w:bCs/>
                <w:sz w:val="18"/>
                <w:szCs w:val="18"/>
              </w:rPr>
              <w:t>26/12/2024</w:t>
            </w:r>
          </w:p>
        </w:tc>
        <w:tc>
          <w:tcPr>
            <w:tcW w:w="992" w:type="dxa"/>
            <w:tcBorders>
              <w:top w:val="single" w:sz="8" w:space="0" w:color="auto"/>
              <w:left w:val="nil"/>
              <w:bottom w:val="single" w:sz="8" w:space="0" w:color="auto"/>
              <w:right w:val="nil"/>
            </w:tcBorders>
            <w:shd w:val="clear" w:color="auto" w:fill="auto"/>
            <w:vAlign w:val="center"/>
            <w:hideMark/>
          </w:tcPr>
          <w:p w14:paraId="1729FE09" w14:textId="192BA782" w:rsidR="0089168B" w:rsidRPr="00005453" w:rsidRDefault="0089168B" w:rsidP="0089168B">
            <w:pPr>
              <w:jc w:val="right"/>
              <w:rPr>
                <w:b/>
                <w:bCs/>
                <w:color w:val="000000"/>
                <w:sz w:val="18"/>
                <w:szCs w:val="18"/>
                <w:lang w:eastAsia="tr-TR"/>
              </w:rPr>
            </w:pPr>
            <w:r w:rsidRPr="00005453">
              <w:rPr>
                <w:b/>
                <w:bCs/>
                <w:sz w:val="18"/>
                <w:szCs w:val="18"/>
              </w:rPr>
              <w:t>27/12/2024</w:t>
            </w:r>
          </w:p>
        </w:tc>
        <w:tc>
          <w:tcPr>
            <w:tcW w:w="961" w:type="dxa"/>
            <w:tcBorders>
              <w:top w:val="single" w:sz="8" w:space="0" w:color="auto"/>
              <w:left w:val="nil"/>
              <w:bottom w:val="single" w:sz="8" w:space="0" w:color="auto"/>
              <w:right w:val="nil"/>
            </w:tcBorders>
            <w:shd w:val="clear" w:color="auto" w:fill="auto"/>
            <w:vAlign w:val="center"/>
            <w:hideMark/>
          </w:tcPr>
          <w:p w14:paraId="4103610F" w14:textId="55EF8106" w:rsidR="0089168B" w:rsidRPr="00005453" w:rsidRDefault="0089168B" w:rsidP="0089168B">
            <w:pPr>
              <w:jc w:val="right"/>
              <w:rPr>
                <w:b/>
                <w:bCs/>
                <w:color w:val="000000"/>
                <w:sz w:val="18"/>
                <w:szCs w:val="18"/>
                <w:lang w:eastAsia="tr-TR"/>
              </w:rPr>
            </w:pPr>
            <w:r w:rsidRPr="00005453">
              <w:rPr>
                <w:b/>
                <w:bCs/>
                <w:sz w:val="18"/>
                <w:szCs w:val="18"/>
              </w:rPr>
              <w:t>30/12/2024</w:t>
            </w:r>
          </w:p>
        </w:tc>
        <w:tc>
          <w:tcPr>
            <w:tcW w:w="1990" w:type="dxa"/>
            <w:tcBorders>
              <w:top w:val="single" w:sz="8" w:space="0" w:color="auto"/>
              <w:left w:val="nil"/>
              <w:bottom w:val="single" w:sz="8" w:space="0" w:color="auto"/>
              <w:right w:val="nil"/>
            </w:tcBorders>
            <w:shd w:val="clear" w:color="auto" w:fill="auto"/>
            <w:vAlign w:val="center"/>
            <w:hideMark/>
          </w:tcPr>
          <w:p w14:paraId="39AF425C" w14:textId="77777777" w:rsidR="0089168B" w:rsidRPr="00005453" w:rsidRDefault="0089168B" w:rsidP="0089168B">
            <w:pPr>
              <w:jc w:val="right"/>
              <w:rPr>
                <w:b/>
                <w:bCs/>
                <w:color w:val="000000"/>
                <w:sz w:val="18"/>
                <w:szCs w:val="18"/>
                <w:lang w:eastAsia="tr-TR"/>
              </w:rPr>
            </w:pPr>
            <w:r w:rsidRPr="00005453">
              <w:rPr>
                <w:b/>
                <w:bCs/>
                <w:color w:val="000000"/>
                <w:sz w:val="18"/>
                <w:szCs w:val="18"/>
                <w:lang w:eastAsia="tr-TR"/>
              </w:rPr>
              <w:t>Bilanço değerleme kuru</w:t>
            </w:r>
          </w:p>
        </w:tc>
      </w:tr>
      <w:tr w:rsidR="00FA4AFA" w:rsidRPr="00005453" w14:paraId="1842F05A" w14:textId="77777777" w:rsidTr="0089168B">
        <w:trPr>
          <w:divId w:val="875236604"/>
          <w:trHeight w:val="40"/>
        </w:trPr>
        <w:tc>
          <w:tcPr>
            <w:tcW w:w="1941" w:type="dxa"/>
            <w:tcBorders>
              <w:top w:val="nil"/>
              <w:left w:val="nil"/>
              <w:bottom w:val="nil"/>
              <w:right w:val="nil"/>
            </w:tcBorders>
            <w:shd w:val="clear" w:color="auto" w:fill="auto"/>
            <w:vAlign w:val="center"/>
            <w:hideMark/>
          </w:tcPr>
          <w:p w14:paraId="513FE80F" w14:textId="77777777" w:rsidR="00FA4AFA" w:rsidRPr="00005453" w:rsidRDefault="00FA4AFA" w:rsidP="00FA4AFA">
            <w:pPr>
              <w:jc w:val="right"/>
              <w:rPr>
                <w:b/>
                <w:bCs/>
                <w:color w:val="000000"/>
                <w:sz w:val="6"/>
                <w:szCs w:val="6"/>
                <w:lang w:eastAsia="tr-TR"/>
              </w:rPr>
            </w:pPr>
          </w:p>
        </w:tc>
        <w:tc>
          <w:tcPr>
            <w:tcW w:w="1675" w:type="dxa"/>
            <w:tcBorders>
              <w:top w:val="nil"/>
              <w:left w:val="nil"/>
              <w:bottom w:val="nil"/>
              <w:right w:val="nil"/>
            </w:tcBorders>
            <w:shd w:val="clear" w:color="auto" w:fill="auto"/>
            <w:vAlign w:val="center"/>
            <w:hideMark/>
          </w:tcPr>
          <w:p w14:paraId="1BB6651D" w14:textId="77777777" w:rsidR="00FA4AFA" w:rsidRPr="00005453" w:rsidRDefault="00FA4AFA" w:rsidP="00FA4AFA">
            <w:pPr>
              <w:rPr>
                <w:sz w:val="6"/>
                <w:szCs w:val="6"/>
                <w:lang w:eastAsia="tr-TR"/>
              </w:rPr>
            </w:pPr>
          </w:p>
        </w:tc>
        <w:tc>
          <w:tcPr>
            <w:tcW w:w="991" w:type="dxa"/>
            <w:tcBorders>
              <w:top w:val="nil"/>
              <w:left w:val="nil"/>
              <w:bottom w:val="nil"/>
              <w:right w:val="nil"/>
            </w:tcBorders>
            <w:shd w:val="clear" w:color="auto" w:fill="auto"/>
            <w:vAlign w:val="center"/>
            <w:hideMark/>
          </w:tcPr>
          <w:p w14:paraId="3F51BEF6" w14:textId="77777777" w:rsidR="00FA4AFA" w:rsidRPr="00005453" w:rsidRDefault="00FA4AFA" w:rsidP="00FA4AFA">
            <w:pPr>
              <w:jc w:val="center"/>
              <w:rPr>
                <w:sz w:val="6"/>
                <w:szCs w:val="6"/>
                <w:lang w:eastAsia="tr-TR"/>
              </w:rPr>
            </w:pPr>
          </w:p>
        </w:tc>
        <w:tc>
          <w:tcPr>
            <w:tcW w:w="991" w:type="dxa"/>
            <w:tcBorders>
              <w:top w:val="nil"/>
              <w:left w:val="nil"/>
              <w:bottom w:val="nil"/>
              <w:right w:val="nil"/>
            </w:tcBorders>
            <w:shd w:val="clear" w:color="auto" w:fill="auto"/>
            <w:vAlign w:val="center"/>
            <w:hideMark/>
          </w:tcPr>
          <w:p w14:paraId="3E17AA66" w14:textId="77777777" w:rsidR="00FA4AFA" w:rsidRPr="00005453" w:rsidRDefault="00FA4AFA" w:rsidP="00FA4AFA">
            <w:pPr>
              <w:jc w:val="center"/>
              <w:rPr>
                <w:sz w:val="6"/>
                <w:szCs w:val="6"/>
                <w:lang w:eastAsia="tr-TR"/>
              </w:rPr>
            </w:pPr>
          </w:p>
        </w:tc>
        <w:tc>
          <w:tcPr>
            <w:tcW w:w="992" w:type="dxa"/>
            <w:tcBorders>
              <w:top w:val="nil"/>
              <w:left w:val="nil"/>
              <w:bottom w:val="nil"/>
              <w:right w:val="nil"/>
            </w:tcBorders>
            <w:shd w:val="clear" w:color="auto" w:fill="auto"/>
            <w:vAlign w:val="center"/>
            <w:hideMark/>
          </w:tcPr>
          <w:p w14:paraId="2CF0EC63" w14:textId="77777777" w:rsidR="00FA4AFA" w:rsidRPr="00005453" w:rsidRDefault="00FA4AFA" w:rsidP="00FA4AFA">
            <w:pPr>
              <w:jc w:val="center"/>
              <w:rPr>
                <w:sz w:val="6"/>
                <w:szCs w:val="6"/>
                <w:lang w:eastAsia="tr-TR"/>
              </w:rPr>
            </w:pPr>
          </w:p>
        </w:tc>
        <w:tc>
          <w:tcPr>
            <w:tcW w:w="961" w:type="dxa"/>
            <w:tcBorders>
              <w:top w:val="nil"/>
              <w:left w:val="nil"/>
              <w:bottom w:val="nil"/>
              <w:right w:val="nil"/>
            </w:tcBorders>
            <w:shd w:val="clear" w:color="auto" w:fill="auto"/>
            <w:vAlign w:val="center"/>
            <w:hideMark/>
          </w:tcPr>
          <w:p w14:paraId="31A969EF" w14:textId="77777777" w:rsidR="00FA4AFA" w:rsidRPr="00005453" w:rsidRDefault="00FA4AFA" w:rsidP="00FA4AFA">
            <w:pPr>
              <w:jc w:val="center"/>
              <w:rPr>
                <w:sz w:val="6"/>
                <w:szCs w:val="6"/>
                <w:lang w:eastAsia="tr-TR"/>
              </w:rPr>
            </w:pPr>
          </w:p>
        </w:tc>
        <w:tc>
          <w:tcPr>
            <w:tcW w:w="1990" w:type="dxa"/>
            <w:tcBorders>
              <w:top w:val="nil"/>
              <w:left w:val="nil"/>
              <w:bottom w:val="nil"/>
              <w:right w:val="nil"/>
            </w:tcBorders>
            <w:shd w:val="clear" w:color="auto" w:fill="auto"/>
            <w:vAlign w:val="center"/>
            <w:hideMark/>
          </w:tcPr>
          <w:p w14:paraId="4B51B2BE" w14:textId="77777777" w:rsidR="00FA4AFA" w:rsidRPr="00005453" w:rsidRDefault="00FA4AFA" w:rsidP="00FA4AFA">
            <w:pPr>
              <w:jc w:val="center"/>
              <w:rPr>
                <w:sz w:val="6"/>
                <w:szCs w:val="6"/>
                <w:lang w:eastAsia="tr-TR"/>
              </w:rPr>
            </w:pPr>
          </w:p>
        </w:tc>
      </w:tr>
      <w:tr w:rsidR="0089168B" w:rsidRPr="00005453" w14:paraId="7CC15B2C" w14:textId="77777777" w:rsidTr="0089168B">
        <w:trPr>
          <w:divId w:val="875236604"/>
          <w:trHeight w:val="214"/>
        </w:trPr>
        <w:tc>
          <w:tcPr>
            <w:tcW w:w="1941" w:type="dxa"/>
            <w:tcBorders>
              <w:top w:val="nil"/>
              <w:left w:val="nil"/>
              <w:bottom w:val="nil"/>
              <w:right w:val="nil"/>
            </w:tcBorders>
            <w:shd w:val="clear" w:color="auto" w:fill="auto"/>
            <w:vAlign w:val="center"/>
            <w:hideMark/>
          </w:tcPr>
          <w:p w14:paraId="5B0B718E" w14:textId="77777777" w:rsidR="0089168B" w:rsidRPr="00005453" w:rsidRDefault="0089168B" w:rsidP="0089168B">
            <w:pPr>
              <w:rPr>
                <w:b/>
                <w:bCs/>
                <w:color w:val="000000"/>
                <w:sz w:val="18"/>
                <w:szCs w:val="18"/>
                <w:lang w:eastAsia="tr-TR"/>
              </w:rPr>
            </w:pPr>
            <w:r w:rsidRPr="00005453">
              <w:rPr>
                <w:b/>
                <w:bCs/>
                <w:snapToGrid w:val="0"/>
                <w:color w:val="000000"/>
                <w:sz w:val="18"/>
                <w:szCs w:val="18"/>
                <w:lang w:eastAsia="tr-TR"/>
              </w:rPr>
              <w:t>ABD Doları</w:t>
            </w:r>
          </w:p>
        </w:tc>
        <w:tc>
          <w:tcPr>
            <w:tcW w:w="1675" w:type="dxa"/>
            <w:tcBorders>
              <w:top w:val="nil"/>
              <w:left w:val="nil"/>
              <w:bottom w:val="nil"/>
              <w:right w:val="nil"/>
            </w:tcBorders>
            <w:shd w:val="clear" w:color="auto" w:fill="auto"/>
            <w:vAlign w:val="center"/>
            <w:hideMark/>
          </w:tcPr>
          <w:p w14:paraId="61102BA7" w14:textId="175F9E91" w:rsidR="0089168B" w:rsidRPr="00005453" w:rsidRDefault="0089168B" w:rsidP="0089168B">
            <w:pPr>
              <w:jc w:val="right"/>
              <w:rPr>
                <w:color w:val="000000"/>
                <w:sz w:val="18"/>
                <w:szCs w:val="18"/>
                <w:lang w:eastAsia="tr-TR"/>
              </w:rPr>
            </w:pPr>
            <w:r w:rsidRPr="00005453">
              <w:rPr>
                <w:color w:val="000000"/>
                <w:sz w:val="18"/>
                <w:szCs w:val="18"/>
              </w:rPr>
              <w:t>35.16422</w:t>
            </w:r>
          </w:p>
        </w:tc>
        <w:tc>
          <w:tcPr>
            <w:tcW w:w="991" w:type="dxa"/>
            <w:tcBorders>
              <w:top w:val="nil"/>
              <w:left w:val="nil"/>
              <w:bottom w:val="nil"/>
              <w:right w:val="nil"/>
            </w:tcBorders>
            <w:shd w:val="clear" w:color="auto" w:fill="auto"/>
            <w:vAlign w:val="center"/>
            <w:hideMark/>
          </w:tcPr>
          <w:p w14:paraId="4467820E" w14:textId="66796FA6" w:rsidR="0089168B" w:rsidRPr="00005453" w:rsidRDefault="0089168B" w:rsidP="0089168B">
            <w:pPr>
              <w:jc w:val="right"/>
              <w:rPr>
                <w:color w:val="000000"/>
                <w:sz w:val="18"/>
                <w:szCs w:val="18"/>
                <w:lang w:eastAsia="tr-TR"/>
              </w:rPr>
            </w:pPr>
            <w:r w:rsidRPr="00005453">
              <w:rPr>
                <w:color w:val="000000"/>
                <w:sz w:val="18"/>
                <w:szCs w:val="18"/>
              </w:rPr>
              <w:t>35.15816</w:t>
            </w:r>
          </w:p>
        </w:tc>
        <w:tc>
          <w:tcPr>
            <w:tcW w:w="991" w:type="dxa"/>
            <w:tcBorders>
              <w:top w:val="nil"/>
              <w:left w:val="nil"/>
              <w:bottom w:val="nil"/>
              <w:right w:val="nil"/>
            </w:tcBorders>
            <w:shd w:val="clear" w:color="auto" w:fill="auto"/>
            <w:vAlign w:val="center"/>
            <w:hideMark/>
          </w:tcPr>
          <w:p w14:paraId="51F52B80" w14:textId="01827587" w:rsidR="0089168B" w:rsidRPr="00005453" w:rsidRDefault="0089168B" w:rsidP="0089168B">
            <w:pPr>
              <w:jc w:val="right"/>
              <w:rPr>
                <w:color w:val="000000"/>
                <w:sz w:val="18"/>
                <w:szCs w:val="18"/>
                <w:lang w:eastAsia="tr-TR"/>
              </w:rPr>
            </w:pPr>
            <w:r w:rsidRPr="00005453">
              <w:rPr>
                <w:color w:val="000000"/>
                <w:sz w:val="18"/>
                <w:szCs w:val="18"/>
              </w:rPr>
              <w:t>35.1925</w:t>
            </w:r>
          </w:p>
        </w:tc>
        <w:tc>
          <w:tcPr>
            <w:tcW w:w="992" w:type="dxa"/>
            <w:tcBorders>
              <w:top w:val="nil"/>
              <w:left w:val="nil"/>
              <w:bottom w:val="nil"/>
              <w:right w:val="nil"/>
            </w:tcBorders>
            <w:shd w:val="clear" w:color="auto" w:fill="auto"/>
            <w:vAlign w:val="center"/>
            <w:hideMark/>
          </w:tcPr>
          <w:p w14:paraId="4592B43A" w14:textId="23C1586C" w:rsidR="0089168B" w:rsidRPr="00005453" w:rsidRDefault="0089168B" w:rsidP="0089168B">
            <w:pPr>
              <w:jc w:val="right"/>
              <w:rPr>
                <w:color w:val="000000"/>
                <w:sz w:val="18"/>
                <w:szCs w:val="18"/>
                <w:lang w:eastAsia="tr-TR"/>
              </w:rPr>
            </w:pPr>
            <w:r w:rsidRPr="00005453">
              <w:rPr>
                <w:color w:val="000000"/>
                <w:sz w:val="18"/>
                <w:szCs w:val="18"/>
              </w:rPr>
              <w:t>35.10954</w:t>
            </w:r>
          </w:p>
        </w:tc>
        <w:tc>
          <w:tcPr>
            <w:tcW w:w="961" w:type="dxa"/>
            <w:tcBorders>
              <w:top w:val="nil"/>
              <w:left w:val="nil"/>
              <w:bottom w:val="nil"/>
              <w:right w:val="nil"/>
            </w:tcBorders>
            <w:shd w:val="clear" w:color="auto" w:fill="auto"/>
            <w:vAlign w:val="center"/>
            <w:hideMark/>
          </w:tcPr>
          <w:p w14:paraId="2818F009" w14:textId="3B9136D3" w:rsidR="0089168B" w:rsidRPr="00005453" w:rsidRDefault="0089168B" w:rsidP="0089168B">
            <w:pPr>
              <w:jc w:val="right"/>
              <w:rPr>
                <w:color w:val="000000"/>
                <w:sz w:val="18"/>
                <w:szCs w:val="18"/>
                <w:lang w:eastAsia="tr-TR"/>
              </w:rPr>
            </w:pPr>
            <w:r w:rsidRPr="00005453">
              <w:rPr>
                <w:color w:val="000000"/>
                <w:sz w:val="18"/>
                <w:szCs w:val="18"/>
              </w:rPr>
              <w:t>35.24444</w:t>
            </w:r>
          </w:p>
        </w:tc>
        <w:tc>
          <w:tcPr>
            <w:tcW w:w="1990" w:type="dxa"/>
            <w:tcBorders>
              <w:top w:val="nil"/>
              <w:left w:val="nil"/>
              <w:bottom w:val="nil"/>
              <w:right w:val="nil"/>
            </w:tcBorders>
            <w:shd w:val="clear" w:color="auto" w:fill="auto"/>
            <w:vAlign w:val="center"/>
            <w:hideMark/>
          </w:tcPr>
          <w:p w14:paraId="5FBD5060" w14:textId="7F75ED4B" w:rsidR="0089168B" w:rsidRPr="00005453" w:rsidRDefault="0089168B" w:rsidP="0089168B">
            <w:pPr>
              <w:jc w:val="right"/>
              <w:rPr>
                <w:color w:val="000000"/>
                <w:sz w:val="18"/>
                <w:szCs w:val="18"/>
                <w:lang w:eastAsia="tr-TR"/>
              </w:rPr>
            </w:pPr>
            <w:r w:rsidRPr="00005453">
              <w:rPr>
                <w:color w:val="000000"/>
                <w:sz w:val="18"/>
                <w:szCs w:val="18"/>
              </w:rPr>
              <w:t>35.27113</w:t>
            </w:r>
          </w:p>
        </w:tc>
      </w:tr>
      <w:tr w:rsidR="0089168B" w:rsidRPr="00005453" w14:paraId="37551963" w14:textId="77777777" w:rsidTr="0089168B">
        <w:trPr>
          <w:divId w:val="875236604"/>
          <w:trHeight w:val="214"/>
        </w:trPr>
        <w:tc>
          <w:tcPr>
            <w:tcW w:w="1941" w:type="dxa"/>
            <w:tcBorders>
              <w:top w:val="nil"/>
              <w:left w:val="nil"/>
              <w:bottom w:val="nil"/>
              <w:right w:val="nil"/>
            </w:tcBorders>
            <w:shd w:val="clear" w:color="auto" w:fill="auto"/>
            <w:vAlign w:val="center"/>
            <w:hideMark/>
          </w:tcPr>
          <w:p w14:paraId="20D3A132" w14:textId="77777777" w:rsidR="0089168B" w:rsidRPr="00005453" w:rsidRDefault="0089168B" w:rsidP="0089168B">
            <w:pPr>
              <w:rPr>
                <w:b/>
                <w:bCs/>
                <w:color w:val="000000"/>
                <w:sz w:val="18"/>
                <w:szCs w:val="18"/>
                <w:lang w:eastAsia="tr-TR"/>
              </w:rPr>
            </w:pPr>
            <w:r w:rsidRPr="00005453">
              <w:rPr>
                <w:b/>
                <w:bCs/>
                <w:snapToGrid w:val="0"/>
                <w:color w:val="000000"/>
                <w:sz w:val="18"/>
                <w:szCs w:val="18"/>
                <w:lang w:eastAsia="tr-TR"/>
              </w:rPr>
              <w:t>Avro</w:t>
            </w:r>
          </w:p>
        </w:tc>
        <w:tc>
          <w:tcPr>
            <w:tcW w:w="1675" w:type="dxa"/>
            <w:tcBorders>
              <w:top w:val="nil"/>
              <w:left w:val="nil"/>
              <w:bottom w:val="nil"/>
              <w:right w:val="nil"/>
            </w:tcBorders>
            <w:shd w:val="clear" w:color="auto" w:fill="auto"/>
            <w:vAlign w:val="center"/>
            <w:hideMark/>
          </w:tcPr>
          <w:p w14:paraId="71DBB887" w14:textId="57CD9362" w:rsidR="0089168B" w:rsidRPr="00005453" w:rsidRDefault="0089168B" w:rsidP="0089168B">
            <w:pPr>
              <w:jc w:val="right"/>
              <w:rPr>
                <w:color w:val="000000"/>
                <w:sz w:val="18"/>
                <w:szCs w:val="18"/>
                <w:lang w:eastAsia="tr-TR"/>
              </w:rPr>
            </w:pPr>
            <w:r w:rsidRPr="00005453">
              <w:rPr>
                <w:color w:val="000000"/>
                <w:sz w:val="18"/>
                <w:szCs w:val="18"/>
              </w:rPr>
              <w:t>36.55872</w:t>
            </w:r>
          </w:p>
        </w:tc>
        <w:tc>
          <w:tcPr>
            <w:tcW w:w="991" w:type="dxa"/>
            <w:tcBorders>
              <w:top w:val="nil"/>
              <w:left w:val="nil"/>
              <w:bottom w:val="nil"/>
              <w:right w:val="nil"/>
            </w:tcBorders>
            <w:shd w:val="clear" w:color="auto" w:fill="auto"/>
            <w:vAlign w:val="center"/>
            <w:hideMark/>
          </w:tcPr>
          <w:p w14:paraId="15430A2F" w14:textId="70D66904" w:rsidR="0089168B" w:rsidRPr="00005453" w:rsidRDefault="0089168B" w:rsidP="0089168B">
            <w:pPr>
              <w:jc w:val="right"/>
              <w:rPr>
                <w:color w:val="000000"/>
                <w:sz w:val="18"/>
                <w:szCs w:val="18"/>
                <w:lang w:eastAsia="tr-TR"/>
              </w:rPr>
            </w:pPr>
            <w:r w:rsidRPr="00005453">
              <w:rPr>
                <w:color w:val="000000"/>
                <w:sz w:val="18"/>
                <w:szCs w:val="18"/>
              </w:rPr>
              <w:t>36.57875</w:t>
            </w:r>
          </w:p>
        </w:tc>
        <w:tc>
          <w:tcPr>
            <w:tcW w:w="991" w:type="dxa"/>
            <w:tcBorders>
              <w:top w:val="nil"/>
              <w:left w:val="nil"/>
              <w:bottom w:val="nil"/>
              <w:right w:val="nil"/>
            </w:tcBorders>
            <w:shd w:val="clear" w:color="auto" w:fill="auto"/>
            <w:vAlign w:val="center"/>
            <w:hideMark/>
          </w:tcPr>
          <w:p w14:paraId="47EA595B" w14:textId="2EB8640F" w:rsidR="0089168B" w:rsidRPr="00005453" w:rsidRDefault="0089168B" w:rsidP="0089168B">
            <w:pPr>
              <w:jc w:val="right"/>
              <w:rPr>
                <w:color w:val="000000"/>
                <w:sz w:val="18"/>
                <w:szCs w:val="18"/>
                <w:lang w:eastAsia="tr-TR"/>
              </w:rPr>
            </w:pPr>
            <w:r w:rsidRPr="00005453">
              <w:rPr>
                <w:color w:val="000000"/>
                <w:sz w:val="18"/>
                <w:szCs w:val="18"/>
              </w:rPr>
              <w:t>36.59531</w:t>
            </w:r>
          </w:p>
        </w:tc>
        <w:tc>
          <w:tcPr>
            <w:tcW w:w="992" w:type="dxa"/>
            <w:tcBorders>
              <w:top w:val="nil"/>
              <w:left w:val="nil"/>
              <w:bottom w:val="nil"/>
              <w:right w:val="nil"/>
            </w:tcBorders>
            <w:shd w:val="clear" w:color="auto" w:fill="auto"/>
            <w:vAlign w:val="center"/>
            <w:hideMark/>
          </w:tcPr>
          <w:p w14:paraId="0472DF50" w14:textId="16BFA5C5" w:rsidR="0089168B" w:rsidRPr="00005453" w:rsidRDefault="0089168B" w:rsidP="0089168B">
            <w:pPr>
              <w:jc w:val="right"/>
              <w:rPr>
                <w:color w:val="000000"/>
                <w:sz w:val="18"/>
                <w:szCs w:val="18"/>
                <w:lang w:eastAsia="tr-TR"/>
              </w:rPr>
            </w:pPr>
            <w:r w:rsidRPr="00005453">
              <w:rPr>
                <w:color w:val="000000"/>
                <w:sz w:val="18"/>
                <w:szCs w:val="18"/>
              </w:rPr>
              <w:t>36.58938</w:t>
            </w:r>
          </w:p>
        </w:tc>
        <w:tc>
          <w:tcPr>
            <w:tcW w:w="961" w:type="dxa"/>
            <w:tcBorders>
              <w:top w:val="nil"/>
              <w:left w:val="nil"/>
              <w:bottom w:val="nil"/>
              <w:right w:val="nil"/>
            </w:tcBorders>
            <w:shd w:val="clear" w:color="auto" w:fill="auto"/>
            <w:vAlign w:val="center"/>
            <w:hideMark/>
          </w:tcPr>
          <w:p w14:paraId="45EDBF14" w14:textId="328C3503" w:rsidR="0089168B" w:rsidRPr="00005453" w:rsidRDefault="0089168B" w:rsidP="0089168B">
            <w:pPr>
              <w:jc w:val="right"/>
              <w:rPr>
                <w:color w:val="000000"/>
                <w:sz w:val="18"/>
                <w:szCs w:val="18"/>
                <w:lang w:eastAsia="tr-TR"/>
              </w:rPr>
            </w:pPr>
            <w:r w:rsidRPr="00005453">
              <w:rPr>
                <w:color w:val="000000"/>
                <w:sz w:val="18"/>
                <w:szCs w:val="18"/>
              </w:rPr>
              <w:t>36.76091</w:t>
            </w:r>
          </w:p>
        </w:tc>
        <w:tc>
          <w:tcPr>
            <w:tcW w:w="1990" w:type="dxa"/>
            <w:tcBorders>
              <w:top w:val="nil"/>
              <w:left w:val="nil"/>
              <w:bottom w:val="nil"/>
              <w:right w:val="nil"/>
            </w:tcBorders>
            <w:shd w:val="clear" w:color="auto" w:fill="auto"/>
            <w:vAlign w:val="center"/>
            <w:hideMark/>
          </w:tcPr>
          <w:p w14:paraId="4CC832E3" w14:textId="7FA7A3C3" w:rsidR="0089168B" w:rsidRPr="00005453" w:rsidRDefault="0089168B" w:rsidP="0089168B">
            <w:pPr>
              <w:jc w:val="right"/>
              <w:rPr>
                <w:color w:val="000000"/>
                <w:sz w:val="18"/>
                <w:szCs w:val="18"/>
                <w:lang w:eastAsia="tr-TR"/>
              </w:rPr>
            </w:pPr>
            <w:r w:rsidRPr="00005453">
              <w:rPr>
                <w:color w:val="000000"/>
                <w:sz w:val="18"/>
                <w:szCs w:val="18"/>
              </w:rPr>
              <w:t>36.69538</w:t>
            </w:r>
          </w:p>
        </w:tc>
      </w:tr>
      <w:tr w:rsidR="0089168B" w:rsidRPr="00005453" w14:paraId="5DF12B09" w14:textId="77777777" w:rsidTr="0089168B">
        <w:trPr>
          <w:divId w:val="875236604"/>
          <w:trHeight w:val="214"/>
        </w:trPr>
        <w:tc>
          <w:tcPr>
            <w:tcW w:w="1941" w:type="dxa"/>
            <w:tcBorders>
              <w:top w:val="nil"/>
              <w:left w:val="nil"/>
              <w:bottom w:val="nil"/>
              <w:right w:val="nil"/>
            </w:tcBorders>
            <w:shd w:val="clear" w:color="auto" w:fill="auto"/>
            <w:vAlign w:val="center"/>
            <w:hideMark/>
          </w:tcPr>
          <w:p w14:paraId="56BBCC85" w14:textId="77777777" w:rsidR="0089168B" w:rsidRPr="00005453" w:rsidRDefault="0089168B" w:rsidP="0089168B">
            <w:pPr>
              <w:rPr>
                <w:b/>
                <w:bCs/>
                <w:color w:val="000000"/>
                <w:sz w:val="18"/>
                <w:szCs w:val="18"/>
                <w:lang w:eastAsia="tr-TR"/>
              </w:rPr>
            </w:pPr>
            <w:r w:rsidRPr="00005453">
              <w:rPr>
                <w:b/>
                <w:bCs/>
                <w:snapToGrid w:val="0"/>
                <w:color w:val="000000"/>
                <w:sz w:val="18"/>
                <w:szCs w:val="18"/>
                <w:lang w:eastAsia="tr-TR"/>
              </w:rPr>
              <w:t>İngiliz Sterlini</w:t>
            </w:r>
          </w:p>
        </w:tc>
        <w:tc>
          <w:tcPr>
            <w:tcW w:w="1675" w:type="dxa"/>
            <w:tcBorders>
              <w:top w:val="nil"/>
              <w:left w:val="nil"/>
              <w:bottom w:val="nil"/>
              <w:right w:val="nil"/>
            </w:tcBorders>
            <w:shd w:val="clear" w:color="auto" w:fill="auto"/>
            <w:vAlign w:val="center"/>
            <w:hideMark/>
          </w:tcPr>
          <w:p w14:paraId="7DA1F72F" w14:textId="2735ED1E" w:rsidR="0089168B" w:rsidRPr="00005453" w:rsidRDefault="0089168B" w:rsidP="0089168B">
            <w:pPr>
              <w:jc w:val="right"/>
              <w:rPr>
                <w:color w:val="000000"/>
                <w:sz w:val="18"/>
                <w:szCs w:val="18"/>
                <w:lang w:eastAsia="tr-TR"/>
              </w:rPr>
            </w:pPr>
            <w:r w:rsidRPr="00005453">
              <w:rPr>
                <w:color w:val="000000"/>
                <w:sz w:val="18"/>
                <w:szCs w:val="18"/>
              </w:rPr>
              <w:t>44.10212</w:t>
            </w:r>
          </w:p>
        </w:tc>
        <w:tc>
          <w:tcPr>
            <w:tcW w:w="991" w:type="dxa"/>
            <w:tcBorders>
              <w:top w:val="nil"/>
              <w:left w:val="nil"/>
              <w:bottom w:val="nil"/>
              <w:right w:val="nil"/>
            </w:tcBorders>
            <w:shd w:val="clear" w:color="auto" w:fill="auto"/>
            <w:vAlign w:val="center"/>
            <w:hideMark/>
          </w:tcPr>
          <w:p w14:paraId="4994C35B" w14:textId="6BF95DD1" w:rsidR="0089168B" w:rsidRPr="00005453" w:rsidRDefault="0089168B" w:rsidP="0089168B">
            <w:pPr>
              <w:jc w:val="right"/>
              <w:rPr>
                <w:color w:val="000000"/>
                <w:sz w:val="18"/>
                <w:szCs w:val="18"/>
                <w:lang w:eastAsia="tr-TR"/>
              </w:rPr>
            </w:pPr>
            <w:r w:rsidRPr="00005453">
              <w:rPr>
                <w:color w:val="000000"/>
                <w:sz w:val="18"/>
                <w:szCs w:val="18"/>
              </w:rPr>
              <w:t>44.11332</w:t>
            </w:r>
          </w:p>
        </w:tc>
        <w:tc>
          <w:tcPr>
            <w:tcW w:w="991" w:type="dxa"/>
            <w:tcBorders>
              <w:top w:val="nil"/>
              <w:left w:val="nil"/>
              <w:bottom w:val="nil"/>
              <w:right w:val="nil"/>
            </w:tcBorders>
            <w:shd w:val="clear" w:color="auto" w:fill="auto"/>
            <w:vAlign w:val="center"/>
            <w:hideMark/>
          </w:tcPr>
          <w:p w14:paraId="6B174882" w14:textId="5174569D" w:rsidR="0089168B" w:rsidRPr="00005453" w:rsidRDefault="0089168B" w:rsidP="0089168B">
            <w:pPr>
              <w:jc w:val="right"/>
              <w:rPr>
                <w:color w:val="000000"/>
                <w:sz w:val="18"/>
                <w:szCs w:val="18"/>
                <w:lang w:eastAsia="tr-TR"/>
              </w:rPr>
            </w:pPr>
            <w:r w:rsidRPr="00005453">
              <w:rPr>
                <w:color w:val="000000"/>
                <w:sz w:val="18"/>
                <w:szCs w:val="18"/>
              </w:rPr>
              <w:t>44.09091</w:t>
            </w:r>
          </w:p>
        </w:tc>
        <w:tc>
          <w:tcPr>
            <w:tcW w:w="992" w:type="dxa"/>
            <w:tcBorders>
              <w:top w:val="nil"/>
              <w:left w:val="nil"/>
              <w:bottom w:val="nil"/>
              <w:right w:val="nil"/>
            </w:tcBorders>
            <w:shd w:val="clear" w:color="auto" w:fill="auto"/>
            <w:vAlign w:val="center"/>
            <w:hideMark/>
          </w:tcPr>
          <w:p w14:paraId="774583E2" w14:textId="61BC8F0D" w:rsidR="0089168B" w:rsidRPr="00005453" w:rsidRDefault="0089168B" w:rsidP="0089168B">
            <w:pPr>
              <w:jc w:val="right"/>
              <w:rPr>
                <w:color w:val="000000"/>
                <w:sz w:val="18"/>
                <w:szCs w:val="18"/>
                <w:lang w:eastAsia="tr-TR"/>
              </w:rPr>
            </w:pPr>
            <w:r w:rsidRPr="00005453">
              <w:rPr>
                <w:color w:val="000000"/>
                <w:sz w:val="18"/>
                <w:szCs w:val="18"/>
              </w:rPr>
              <w:t>44.01202</w:t>
            </w:r>
          </w:p>
        </w:tc>
        <w:tc>
          <w:tcPr>
            <w:tcW w:w="961" w:type="dxa"/>
            <w:tcBorders>
              <w:top w:val="nil"/>
              <w:left w:val="nil"/>
              <w:bottom w:val="nil"/>
              <w:right w:val="nil"/>
            </w:tcBorders>
            <w:shd w:val="clear" w:color="auto" w:fill="auto"/>
            <w:vAlign w:val="center"/>
            <w:hideMark/>
          </w:tcPr>
          <w:p w14:paraId="40E15B3B" w14:textId="47B42E9A" w:rsidR="0089168B" w:rsidRPr="00005453" w:rsidRDefault="0089168B" w:rsidP="0089168B">
            <w:pPr>
              <w:jc w:val="right"/>
              <w:rPr>
                <w:color w:val="000000"/>
                <w:sz w:val="18"/>
                <w:szCs w:val="18"/>
                <w:lang w:eastAsia="tr-TR"/>
              </w:rPr>
            </w:pPr>
            <w:r w:rsidRPr="00005453">
              <w:rPr>
                <w:color w:val="000000"/>
                <w:sz w:val="18"/>
                <w:szCs w:val="18"/>
              </w:rPr>
              <w:t>44.34389</w:t>
            </w:r>
          </w:p>
        </w:tc>
        <w:tc>
          <w:tcPr>
            <w:tcW w:w="1990" w:type="dxa"/>
            <w:tcBorders>
              <w:top w:val="nil"/>
              <w:left w:val="nil"/>
              <w:bottom w:val="nil"/>
              <w:right w:val="nil"/>
            </w:tcBorders>
            <w:shd w:val="clear" w:color="auto" w:fill="auto"/>
            <w:vAlign w:val="center"/>
            <w:hideMark/>
          </w:tcPr>
          <w:p w14:paraId="2075B017" w14:textId="562DA60F" w:rsidR="0089168B" w:rsidRPr="00005453" w:rsidRDefault="0089168B" w:rsidP="0089168B">
            <w:pPr>
              <w:jc w:val="right"/>
              <w:rPr>
                <w:color w:val="000000"/>
                <w:sz w:val="18"/>
                <w:szCs w:val="18"/>
                <w:lang w:eastAsia="tr-TR"/>
              </w:rPr>
            </w:pPr>
            <w:r w:rsidRPr="00005453">
              <w:rPr>
                <w:color w:val="000000"/>
                <w:sz w:val="18"/>
                <w:szCs w:val="18"/>
              </w:rPr>
              <w:t>44.2348</w:t>
            </w:r>
          </w:p>
        </w:tc>
      </w:tr>
      <w:tr w:rsidR="0089168B" w:rsidRPr="00005453" w14:paraId="44751789" w14:textId="77777777" w:rsidTr="0089168B">
        <w:trPr>
          <w:divId w:val="875236604"/>
          <w:trHeight w:val="214"/>
        </w:trPr>
        <w:tc>
          <w:tcPr>
            <w:tcW w:w="1941" w:type="dxa"/>
            <w:tcBorders>
              <w:top w:val="nil"/>
              <w:left w:val="nil"/>
              <w:right w:val="nil"/>
            </w:tcBorders>
            <w:shd w:val="clear" w:color="auto" w:fill="auto"/>
            <w:vAlign w:val="center"/>
            <w:hideMark/>
          </w:tcPr>
          <w:p w14:paraId="080CD975" w14:textId="77777777" w:rsidR="0089168B" w:rsidRPr="00005453" w:rsidRDefault="0089168B" w:rsidP="0089168B">
            <w:pPr>
              <w:rPr>
                <w:b/>
                <w:bCs/>
                <w:color w:val="000000"/>
                <w:sz w:val="18"/>
                <w:szCs w:val="18"/>
                <w:lang w:eastAsia="tr-TR"/>
              </w:rPr>
            </w:pPr>
            <w:r w:rsidRPr="00005453">
              <w:rPr>
                <w:b/>
                <w:bCs/>
                <w:snapToGrid w:val="0"/>
                <w:color w:val="000000"/>
                <w:sz w:val="18"/>
                <w:szCs w:val="18"/>
                <w:lang w:eastAsia="tr-TR"/>
              </w:rPr>
              <w:t>İsviçre Frangı</w:t>
            </w:r>
          </w:p>
        </w:tc>
        <w:tc>
          <w:tcPr>
            <w:tcW w:w="1675" w:type="dxa"/>
            <w:tcBorders>
              <w:top w:val="nil"/>
              <w:left w:val="nil"/>
              <w:right w:val="nil"/>
            </w:tcBorders>
            <w:shd w:val="clear" w:color="auto" w:fill="auto"/>
            <w:vAlign w:val="center"/>
            <w:hideMark/>
          </w:tcPr>
          <w:p w14:paraId="6FFF012B" w14:textId="714162C6" w:rsidR="0089168B" w:rsidRPr="00005453" w:rsidRDefault="0089168B" w:rsidP="0089168B">
            <w:pPr>
              <w:jc w:val="right"/>
              <w:rPr>
                <w:color w:val="000000"/>
                <w:sz w:val="18"/>
                <w:szCs w:val="18"/>
                <w:lang w:eastAsia="tr-TR"/>
              </w:rPr>
            </w:pPr>
            <w:r w:rsidRPr="00005453">
              <w:rPr>
                <w:color w:val="000000"/>
                <w:sz w:val="18"/>
                <w:szCs w:val="18"/>
              </w:rPr>
              <w:t>39.07334</w:t>
            </w:r>
          </w:p>
        </w:tc>
        <w:tc>
          <w:tcPr>
            <w:tcW w:w="991" w:type="dxa"/>
            <w:tcBorders>
              <w:top w:val="nil"/>
              <w:left w:val="nil"/>
              <w:right w:val="nil"/>
            </w:tcBorders>
            <w:shd w:val="clear" w:color="auto" w:fill="auto"/>
            <w:vAlign w:val="center"/>
            <w:hideMark/>
          </w:tcPr>
          <w:p w14:paraId="24DCBA25" w14:textId="1E405E4F" w:rsidR="0089168B" w:rsidRPr="00005453" w:rsidRDefault="0089168B" w:rsidP="0089168B">
            <w:pPr>
              <w:jc w:val="right"/>
              <w:rPr>
                <w:color w:val="000000"/>
                <w:sz w:val="18"/>
                <w:szCs w:val="18"/>
                <w:lang w:eastAsia="tr-TR"/>
              </w:rPr>
            </w:pPr>
            <w:r w:rsidRPr="00005453">
              <w:rPr>
                <w:color w:val="000000"/>
                <w:sz w:val="18"/>
                <w:szCs w:val="18"/>
              </w:rPr>
              <w:t>39.06251</w:t>
            </w:r>
          </w:p>
        </w:tc>
        <w:tc>
          <w:tcPr>
            <w:tcW w:w="991" w:type="dxa"/>
            <w:tcBorders>
              <w:top w:val="nil"/>
              <w:left w:val="nil"/>
              <w:right w:val="nil"/>
            </w:tcBorders>
            <w:shd w:val="clear" w:color="auto" w:fill="auto"/>
            <w:vAlign w:val="center"/>
            <w:hideMark/>
          </w:tcPr>
          <w:p w14:paraId="42DDEA18" w14:textId="014C6A4C" w:rsidR="0089168B" w:rsidRPr="00005453" w:rsidRDefault="0089168B" w:rsidP="0089168B">
            <w:pPr>
              <w:jc w:val="right"/>
              <w:rPr>
                <w:color w:val="000000"/>
                <w:sz w:val="18"/>
                <w:szCs w:val="18"/>
                <w:lang w:eastAsia="tr-TR"/>
              </w:rPr>
            </w:pPr>
            <w:r w:rsidRPr="00005453">
              <w:rPr>
                <w:color w:val="000000"/>
                <w:sz w:val="18"/>
                <w:szCs w:val="18"/>
              </w:rPr>
              <w:t>39.09842</w:t>
            </w:r>
          </w:p>
        </w:tc>
        <w:tc>
          <w:tcPr>
            <w:tcW w:w="992" w:type="dxa"/>
            <w:tcBorders>
              <w:top w:val="nil"/>
              <w:left w:val="nil"/>
              <w:right w:val="nil"/>
            </w:tcBorders>
            <w:shd w:val="clear" w:color="auto" w:fill="auto"/>
            <w:vAlign w:val="center"/>
            <w:hideMark/>
          </w:tcPr>
          <w:p w14:paraId="566A6D97" w14:textId="0B25768C" w:rsidR="0089168B" w:rsidRPr="00005453" w:rsidRDefault="0089168B" w:rsidP="0089168B">
            <w:pPr>
              <w:jc w:val="right"/>
              <w:rPr>
                <w:color w:val="000000"/>
                <w:sz w:val="18"/>
                <w:szCs w:val="18"/>
                <w:lang w:eastAsia="tr-TR"/>
              </w:rPr>
            </w:pPr>
            <w:r w:rsidRPr="00005453">
              <w:rPr>
                <w:color w:val="000000"/>
                <w:sz w:val="18"/>
                <w:szCs w:val="18"/>
              </w:rPr>
              <w:t>38.99287</w:t>
            </w:r>
          </w:p>
        </w:tc>
        <w:tc>
          <w:tcPr>
            <w:tcW w:w="961" w:type="dxa"/>
            <w:tcBorders>
              <w:top w:val="nil"/>
              <w:left w:val="nil"/>
              <w:right w:val="nil"/>
            </w:tcBorders>
            <w:shd w:val="clear" w:color="auto" w:fill="auto"/>
            <w:vAlign w:val="center"/>
            <w:hideMark/>
          </w:tcPr>
          <w:p w14:paraId="4BFB0FA6" w14:textId="6BA2AF07" w:rsidR="0089168B" w:rsidRPr="00005453" w:rsidRDefault="0089168B" w:rsidP="0089168B">
            <w:pPr>
              <w:jc w:val="right"/>
              <w:rPr>
                <w:color w:val="000000"/>
                <w:sz w:val="18"/>
                <w:szCs w:val="18"/>
                <w:lang w:eastAsia="tr-TR"/>
              </w:rPr>
            </w:pPr>
            <w:r w:rsidRPr="00005453">
              <w:rPr>
                <w:color w:val="000000"/>
                <w:sz w:val="18"/>
                <w:szCs w:val="18"/>
              </w:rPr>
              <w:t>39.04783</w:t>
            </w:r>
          </w:p>
        </w:tc>
        <w:tc>
          <w:tcPr>
            <w:tcW w:w="1990" w:type="dxa"/>
            <w:tcBorders>
              <w:top w:val="nil"/>
              <w:left w:val="nil"/>
              <w:right w:val="nil"/>
            </w:tcBorders>
            <w:shd w:val="clear" w:color="auto" w:fill="auto"/>
            <w:vAlign w:val="center"/>
            <w:hideMark/>
          </w:tcPr>
          <w:p w14:paraId="79942C51" w14:textId="6605642A" w:rsidR="0089168B" w:rsidRPr="00005453" w:rsidRDefault="0089168B" w:rsidP="0089168B">
            <w:pPr>
              <w:jc w:val="right"/>
              <w:rPr>
                <w:color w:val="000000"/>
                <w:sz w:val="18"/>
                <w:szCs w:val="18"/>
                <w:lang w:eastAsia="tr-TR"/>
              </w:rPr>
            </w:pPr>
            <w:r w:rsidRPr="00005453">
              <w:rPr>
                <w:color w:val="000000"/>
                <w:sz w:val="18"/>
                <w:szCs w:val="18"/>
              </w:rPr>
              <w:t>38.9975</w:t>
            </w:r>
          </w:p>
        </w:tc>
      </w:tr>
      <w:tr w:rsidR="0089168B" w:rsidRPr="00005453" w14:paraId="503B3B6F" w14:textId="77777777" w:rsidTr="0089168B">
        <w:trPr>
          <w:divId w:val="875236604"/>
          <w:trHeight w:val="214"/>
        </w:trPr>
        <w:tc>
          <w:tcPr>
            <w:tcW w:w="1941" w:type="dxa"/>
            <w:tcBorders>
              <w:top w:val="nil"/>
              <w:left w:val="nil"/>
              <w:bottom w:val="single" w:sz="4" w:space="0" w:color="auto"/>
              <w:right w:val="nil"/>
            </w:tcBorders>
            <w:shd w:val="clear" w:color="auto" w:fill="auto"/>
            <w:vAlign w:val="center"/>
            <w:hideMark/>
          </w:tcPr>
          <w:p w14:paraId="5B14C333" w14:textId="77777777" w:rsidR="0089168B" w:rsidRPr="00005453" w:rsidRDefault="0089168B" w:rsidP="0089168B">
            <w:pPr>
              <w:rPr>
                <w:b/>
                <w:bCs/>
                <w:color w:val="000000"/>
                <w:sz w:val="18"/>
                <w:szCs w:val="18"/>
                <w:lang w:eastAsia="tr-TR"/>
              </w:rPr>
            </w:pPr>
            <w:r w:rsidRPr="00005453">
              <w:rPr>
                <w:b/>
                <w:bCs/>
                <w:snapToGrid w:val="0"/>
                <w:color w:val="000000"/>
                <w:sz w:val="18"/>
                <w:szCs w:val="18"/>
                <w:lang w:eastAsia="tr-TR"/>
              </w:rPr>
              <w:t>Japon Yeni</w:t>
            </w:r>
          </w:p>
        </w:tc>
        <w:tc>
          <w:tcPr>
            <w:tcW w:w="1675" w:type="dxa"/>
            <w:tcBorders>
              <w:top w:val="nil"/>
              <w:left w:val="nil"/>
              <w:bottom w:val="single" w:sz="4" w:space="0" w:color="auto"/>
              <w:right w:val="nil"/>
            </w:tcBorders>
            <w:shd w:val="clear" w:color="auto" w:fill="auto"/>
            <w:vAlign w:val="center"/>
            <w:hideMark/>
          </w:tcPr>
          <w:p w14:paraId="469172F7" w14:textId="33143E7B" w:rsidR="0089168B" w:rsidRPr="00005453" w:rsidRDefault="0089168B" w:rsidP="0089168B">
            <w:pPr>
              <w:jc w:val="right"/>
              <w:rPr>
                <w:color w:val="000000"/>
                <w:sz w:val="18"/>
                <w:szCs w:val="18"/>
                <w:lang w:eastAsia="tr-TR"/>
              </w:rPr>
            </w:pPr>
            <w:r w:rsidRPr="00005453">
              <w:rPr>
                <w:color w:val="000000"/>
                <w:sz w:val="18"/>
                <w:szCs w:val="18"/>
              </w:rPr>
              <w:t>0.22385</w:t>
            </w:r>
          </w:p>
        </w:tc>
        <w:tc>
          <w:tcPr>
            <w:tcW w:w="991" w:type="dxa"/>
            <w:tcBorders>
              <w:top w:val="nil"/>
              <w:left w:val="nil"/>
              <w:bottom w:val="single" w:sz="4" w:space="0" w:color="auto"/>
              <w:right w:val="nil"/>
            </w:tcBorders>
            <w:shd w:val="clear" w:color="auto" w:fill="auto"/>
            <w:vAlign w:val="center"/>
            <w:hideMark/>
          </w:tcPr>
          <w:p w14:paraId="54F435BC" w14:textId="677CEBFF" w:rsidR="0089168B" w:rsidRPr="00005453" w:rsidRDefault="0089168B" w:rsidP="0089168B">
            <w:pPr>
              <w:jc w:val="right"/>
              <w:rPr>
                <w:color w:val="000000"/>
                <w:sz w:val="18"/>
                <w:szCs w:val="18"/>
                <w:lang w:eastAsia="tr-TR"/>
              </w:rPr>
            </w:pPr>
            <w:r w:rsidRPr="00005453">
              <w:rPr>
                <w:color w:val="000000"/>
                <w:sz w:val="18"/>
                <w:szCs w:val="18"/>
              </w:rPr>
              <w:t>0.22365</w:t>
            </w:r>
          </w:p>
        </w:tc>
        <w:tc>
          <w:tcPr>
            <w:tcW w:w="991" w:type="dxa"/>
            <w:tcBorders>
              <w:top w:val="nil"/>
              <w:left w:val="nil"/>
              <w:bottom w:val="single" w:sz="4" w:space="0" w:color="auto"/>
              <w:right w:val="nil"/>
            </w:tcBorders>
            <w:shd w:val="clear" w:color="auto" w:fill="auto"/>
            <w:vAlign w:val="center"/>
            <w:hideMark/>
          </w:tcPr>
          <w:p w14:paraId="37BE5C7E" w14:textId="664B0BAE" w:rsidR="0089168B" w:rsidRPr="00005453" w:rsidRDefault="0089168B" w:rsidP="0089168B">
            <w:pPr>
              <w:jc w:val="right"/>
              <w:rPr>
                <w:color w:val="000000"/>
                <w:sz w:val="18"/>
                <w:szCs w:val="18"/>
                <w:lang w:eastAsia="tr-TR"/>
              </w:rPr>
            </w:pPr>
            <w:r w:rsidRPr="00005453">
              <w:rPr>
                <w:color w:val="000000"/>
                <w:sz w:val="18"/>
                <w:szCs w:val="18"/>
              </w:rPr>
              <w:t>0.22342</w:t>
            </w:r>
          </w:p>
        </w:tc>
        <w:tc>
          <w:tcPr>
            <w:tcW w:w="992" w:type="dxa"/>
            <w:tcBorders>
              <w:top w:val="nil"/>
              <w:left w:val="nil"/>
              <w:bottom w:val="single" w:sz="4" w:space="0" w:color="auto"/>
              <w:right w:val="nil"/>
            </w:tcBorders>
            <w:shd w:val="clear" w:color="auto" w:fill="auto"/>
            <w:vAlign w:val="center"/>
            <w:hideMark/>
          </w:tcPr>
          <w:p w14:paraId="1CEF1688" w14:textId="30ACEF62" w:rsidR="0089168B" w:rsidRPr="00005453" w:rsidRDefault="0089168B" w:rsidP="0089168B">
            <w:pPr>
              <w:jc w:val="right"/>
              <w:rPr>
                <w:color w:val="000000"/>
                <w:sz w:val="18"/>
                <w:szCs w:val="18"/>
                <w:lang w:eastAsia="tr-TR"/>
              </w:rPr>
            </w:pPr>
            <w:r w:rsidRPr="00005453">
              <w:rPr>
                <w:color w:val="000000"/>
                <w:sz w:val="18"/>
                <w:szCs w:val="18"/>
              </w:rPr>
              <w:t>0.22253</w:t>
            </w:r>
          </w:p>
        </w:tc>
        <w:tc>
          <w:tcPr>
            <w:tcW w:w="961" w:type="dxa"/>
            <w:tcBorders>
              <w:top w:val="nil"/>
              <w:left w:val="nil"/>
              <w:bottom w:val="single" w:sz="4" w:space="0" w:color="auto"/>
              <w:right w:val="nil"/>
            </w:tcBorders>
            <w:shd w:val="clear" w:color="auto" w:fill="auto"/>
            <w:vAlign w:val="center"/>
            <w:hideMark/>
          </w:tcPr>
          <w:p w14:paraId="1B402132" w14:textId="3B84BCB4" w:rsidR="0089168B" w:rsidRPr="00005453" w:rsidRDefault="0089168B" w:rsidP="0089168B">
            <w:pPr>
              <w:jc w:val="right"/>
              <w:rPr>
                <w:color w:val="000000"/>
                <w:sz w:val="18"/>
                <w:szCs w:val="18"/>
                <w:lang w:eastAsia="tr-TR"/>
              </w:rPr>
            </w:pPr>
            <w:r w:rsidRPr="00005453">
              <w:rPr>
                <w:color w:val="000000"/>
                <w:sz w:val="18"/>
                <w:szCs w:val="18"/>
              </w:rPr>
              <w:t>0.22337</w:t>
            </w:r>
          </w:p>
        </w:tc>
        <w:tc>
          <w:tcPr>
            <w:tcW w:w="1990" w:type="dxa"/>
            <w:tcBorders>
              <w:top w:val="nil"/>
              <w:left w:val="nil"/>
              <w:bottom w:val="single" w:sz="4" w:space="0" w:color="auto"/>
              <w:right w:val="nil"/>
            </w:tcBorders>
            <w:shd w:val="clear" w:color="auto" w:fill="auto"/>
            <w:vAlign w:val="center"/>
            <w:hideMark/>
          </w:tcPr>
          <w:p w14:paraId="06464113" w14:textId="7AC0582C" w:rsidR="0089168B" w:rsidRPr="00005453" w:rsidRDefault="0089168B" w:rsidP="0089168B">
            <w:pPr>
              <w:jc w:val="right"/>
              <w:rPr>
                <w:color w:val="000000"/>
                <w:sz w:val="18"/>
                <w:szCs w:val="18"/>
                <w:lang w:eastAsia="tr-TR"/>
              </w:rPr>
            </w:pPr>
            <w:r w:rsidRPr="00005453">
              <w:rPr>
                <w:color w:val="000000"/>
                <w:sz w:val="18"/>
                <w:szCs w:val="18"/>
              </w:rPr>
              <w:t>0.22519</w:t>
            </w:r>
          </w:p>
        </w:tc>
      </w:tr>
    </w:tbl>
    <w:p w14:paraId="77F2A4BC" w14:textId="09276507" w:rsidR="00D53F1E" w:rsidRPr="00005453" w:rsidRDefault="00D53F1E" w:rsidP="00465820">
      <w:pPr>
        <w:autoSpaceDE w:val="0"/>
        <w:autoSpaceDN w:val="0"/>
        <w:adjustRightInd w:val="0"/>
        <w:rPr>
          <w:rFonts w:eastAsia="Arial Unicode MS"/>
          <w:sz w:val="16"/>
          <w:szCs w:val="16"/>
        </w:rPr>
      </w:pPr>
    </w:p>
    <w:p w14:paraId="32A6C958" w14:textId="46BE0A5B" w:rsidR="006B4EDA" w:rsidRPr="00005453" w:rsidRDefault="00E253C8" w:rsidP="00955A15">
      <w:pPr>
        <w:pStyle w:val="BodyText"/>
        <w:rPr>
          <w:rFonts w:eastAsia="Arial Unicode MS"/>
        </w:rPr>
      </w:pPr>
      <w:r w:rsidRPr="00005453">
        <w:rPr>
          <w:rFonts w:eastAsia="Arial Unicode MS"/>
        </w:rPr>
        <w:t>Banka’nın belli başlı cari döviz alış kurlarının finansal tablo tarihinden geriye doğru son otuz günlük basit aritmetik ortalama değerleri (tam TL):</w:t>
      </w:r>
    </w:p>
    <w:p w14:paraId="7589B94E" w14:textId="7DF05CDC" w:rsidR="00FA4AFA" w:rsidRPr="00005453" w:rsidRDefault="00FA4AFA" w:rsidP="000A251A">
      <w:pPr>
        <w:pStyle w:val="BodyText"/>
        <w:rPr>
          <w:lang w:eastAsia="en-GB"/>
        </w:rPr>
      </w:pPr>
    </w:p>
    <w:tbl>
      <w:tblPr>
        <w:tblW w:w="9524" w:type="dxa"/>
        <w:tblCellMar>
          <w:left w:w="70" w:type="dxa"/>
          <w:right w:w="70" w:type="dxa"/>
        </w:tblCellMar>
        <w:tblLook w:val="04A0" w:firstRow="1" w:lastRow="0" w:firstColumn="1" w:lastColumn="0" w:noHBand="0" w:noVBand="1"/>
      </w:tblPr>
      <w:tblGrid>
        <w:gridCol w:w="5843"/>
        <w:gridCol w:w="3681"/>
      </w:tblGrid>
      <w:tr w:rsidR="00FA4AFA" w:rsidRPr="00005453" w14:paraId="4FEDC27C" w14:textId="77777777" w:rsidTr="000F3BDB">
        <w:trPr>
          <w:divId w:val="353305312"/>
          <w:trHeight w:val="344"/>
        </w:trPr>
        <w:tc>
          <w:tcPr>
            <w:tcW w:w="5843" w:type="dxa"/>
            <w:tcBorders>
              <w:top w:val="single" w:sz="8" w:space="0" w:color="auto"/>
              <w:left w:val="nil"/>
              <w:bottom w:val="single" w:sz="8" w:space="0" w:color="auto"/>
              <w:right w:val="nil"/>
            </w:tcBorders>
            <w:shd w:val="clear" w:color="auto" w:fill="auto"/>
            <w:vAlign w:val="center"/>
            <w:hideMark/>
          </w:tcPr>
          <w:p w14:paraId="6653B02D" w14:textId="4374DE87" w:rsidR="00FA4AFA" w:rsidRPr="00005453" w:rsidRDefault="00FA4AFA" w:rsidP="00FA4AFA">
            <w:pPr>
              <w:rPr>
                <w:b/>
                <w:bCs/>
                <w:color w:val="000000"/>
                <w:sz w:val="18"/>
                <w:szCs w:val="18"/>
                <w:lang w:eastAsia="tr-TR"/>
              </w:rPr>
            </w:pPr>
            <w:r w:rsidRPr="00005453">
              <w:rPr>
                <w:b/>
                <w:bCs/>
                <w:snapToGrid w:val="0"/>
                <w:color w:val="000000"/>
                <w:sz w:val="18"/>
                <w:szCs w:val="18"/>
                <w:lang w:eastAsia="tr-TR"/>
              </w:rPr>
              <w:t> </w:t>
            </w:r>
          </w:p>
        </w:tc>
        <w:tc>
          <w:tcPr>
            <w:tcW w:w="3681" w:type="dxa"/>
            <w:tcBorders>
              <w:top w:val="single" w:sz="8" w:space="0" w:color="auto"/>
              <w:left w:val="nil"/>
              <w:bottom w:val="single" w:sz="8" w:space="0" w:color="auto"/>
              <w:right w:val="nil"/>
            </w:tcBorders>
            <w:shd w:val="clear" w:color="auto" w:fill="auto"/>
            <w:vAlign w:val="center"/>
            <w:hideMark/>
          </w:tcPr>
          <w:p w14:paraId="339AAD0E" w14:textId="3A14D76C" w:rsidR="00FA4AFA" w:rsidRPr="00005453" w:rsidRDefault="005547AB" w:rsidP="00FA4AFA">
            <w:pPr>
              <w:jc w:val="right"/>
              <w:rPr>
                <w:b/>
                <w:bCs/>
                <w:color w:val="000000"/>
                <w:sz w:val="18"/>
                <w:szCs w:val="18"/>
                <w:lang w:eastAsia="tr-TR"/>
              </w:rPr>
            </w:pPr>
            <w:r w:rsidRPr="00005453">
              <w:rPr>
                <w:b/>
                <w:bCs/>
                <w:snapToGrid w:val="0"/>
                <w:color w:val="000000"/>
                <w:sz w:val="18"/>
                <w:szCs w:val="18"/>
                <w:lang w:eastAsia="tr-TR"/>
              </w:rPr>
              <w:t xml:space="preserve">Aylık Ortalama </w:t>
            </w:r>
            <w:r w:rsidR="000F3BDB" w:rsidRPr="00005453">
              <w:rPr>
                <w:b/>
                <w:bCs/>
                <w:snapToGrid w:val="0"/>
                <w:color w:val="000000"/>
                <w:sz w:val="18"/>
                <w:szCs w:val="18"/>
                <w:lang w:eastAsia="tr-TR"/>
              </w:rPr>
              <w:t>Döviz Alış Kuru</w:t>
            </w:r>
          </w:p>
        </w:tc>
      </w:tr>
      <w:tr w:rsidR="00FA4AFA" w:rsidRPr="00005453" w14:paraId="6CF33F34" w14:textId="77777777" w:rsidTr="000F3BDB">
        <w:trPr>
          <w:divId w:val="353305312"/>
          <w:trHeight w:val="155"/>
        </w:trPr>
        <w:tc>
          <w:tcPr>
            <w:tcW w:w="5843" w:type="dxa"/>
            <w:tcBorders>
              <w:top w:val="single" w:sz="8" w:space="0" w:color="auto"/>
              <w:left w:val="nil"/>
              <w:bottom w:val="nil"/>
              <w:right w:val="nil"/>
            </w:tcBorders>
            <w:shd w:val="clear" w:color="auto" w:fill="auto"/>
            <w:vAlign w:val="center"/>
            <w:hideMark/>
          </w:tcPr>
          <w:p w14:paraId="777D058F" w14:textId="77777777" w:rsidR="00FA4AFA" w:rsidRPr="00005453" w:rsidRDefault="00FA4AFA" w:rsidP="00FA4AFA">
            <w:pPr>
              <w:jc w:val="right"/>
              <w:rPr>
                <w:b/>
                <w:bCs/>
                <w:color w:val="000000"/>
                <w:sz w:val="6"/>
                <w:szCs w:val="6"/>
                <w:lang w:eastAsia="tr-TR"/>
              </w:rPr>
            </w:pPr>
          </w:p>
        </w:tc>
        <w:tc>
          <w:tcPr>
            <w:tcW w:w="3681" w:type="dxa"/>
            <w:tcBorders>
              <w:top w:val="single" w:sz="8" w:space="0" w:color="auto"/>
              <w:left w:val="nil"/>
              <w:bottom w:val="nil"/>
              <w:right w:val="nil"/>
            </w:tcBorders>
            <w:shd w:val="clear" w:color="auto" w:fill="auto"/>
            <w:vAlign w:val="center"/>
            <w:hideMark/>
          </w:tcPr>
          <w:p w14:paraId="124B4719" w14:textId="77777777" w:rsidR="00FA4AFA" w:rsidRPr="00005453" w:rsidRDefault="00FA4AFA" w:rsidP="00FA4AFA">
            <w:pPr>
              <w:rPr>
                <w:sz w:val="6"/>
                <w:szCs w:val="6"/>
                <w:lang w:eastAsia="tr-TR"/>
              </w:rPr>
            </w:pPr>
          </w:p>
        </w:tc>
      </w:tr>
      <w:tr w:rsidR="0089168B" w:rsidRPr="00005453" w14:paraId="38710BDB" w14:textId="77777777" w:rsidTr="0089168B">
        <w:trPr>
          <w:divId w:val="353305312"/>
          <w:trHeight w:val="155"/>
        </w:trPr>
        <w:tc>
          <w:tcPr>
            <w:tcW w:w="5843" w:type="dxa"/>
            <w:tcBorders>
              <w:top w:val="nil"/>
              <w:left w:val="nil"/>
              <w:bottom w:val="nil"/>
              <w:right w:val="nil"/>
            </w:tcBorders>
            <w:shd w:val="clear" w:color="auto" w:fill="auto"/>
            <w:vAlign w:val="center"/>
            <w:hideMark/>
          </w:tcPr>
          <w:p w14:paraId="4ACCA5C7" w14:textId="77777777" w:rsidR="0089168B" w:rsidRPr="00005453" w:rsidRDefault="0089168B" w:rsidP="0089168B">
            <w:pPr>
              <w:rPr>
                <w:color w:val="000000"/>
                <w:sz w:val="18"/>
                <w:szCs w:val="18"/>
                <w:lang w:eastAsia="tr-TR"/>
              </w:rPr>
            </w:pPr>
            <w:r w:rsidRPr="00005453">
              <w:rPr>
                <w:snapToGrid w:val="0"/>
                <w:color w:val="000000"/>
                <w:sz w:val="18"/>
                <w:szCs w:val="18"/>
                <w:lang w:eastAsia="tr-TR"/>
              </w:rPr>
              <w:t>ABD Doları</w:t>
            </w:r>
          </w:p>
        </w:tc>
        <w:tc>
          <w:tcPr>
            <w:tcW w:w="3681" w:type="dxa"/>
            <w:tcBorders>
              <w:top w:val="nil"/>
              <w:left w:val="nil"/>
              <w:bottom w:val="nil"/>
              <w:right w:val="nil"/>
            </w:tcBorders>
            <w:shd w:val="clear" w:color="auto" w:fill="auto"/>
            <w:vAlign w:val="center"/>
            <w:hideMark/>
          </w:tcPr>
          <w:p w14:paraId="28008EBF" w14:textId="67BDC021" w:rsidR="0089168B" w:rsidRPr="00005453" w:rsidRDefault="0089168B" w:rsidP="0089168B">
            <w:pPr>
              <w:jc w:val="right"/>
              <w:rPr>
                <w:color w:val="000000"/>
                <w:sz w:val="18"/>
                <w:szCs w:val="18"/>
                <w:lang w:eastAsia="tr-TR"/>
              </w:rPr>
            </w:pPr>
            <w:r w:rsidRPr="00005453">
              <w:rPr>
                <w:sz w:val="18"/>
                <w:szCs w:val="18"/>
              </w:rPr>
              <w:t>34.92111</w:t>
            </w:r>
          </w:p>
        </w:tc>
      </w:tr>
      <w:tr w:rsidR="0089168B" w:rsidRPr="00005453" w14:paraId="74ABBE9B" w14:textId="77777777" w:rsidTr="0089168B">
        <w:trPr>
          <w:divId w:val="353305312"/>
          <w:trHeight w:val="155"/>
        </w:trPr>
        <w:tc>
          <w:tcPr>
            <w:tcW w:w="5843" w:type="dxa"/>
            <w:tcBorders>
              <w:top w:val="nil"/>
              <w:left w:val="nil"/>
              <w:bottom w:val="nil"/>
              <w:right w:val="nil"/>
            </w:tcBorders>
            <w:shd w:val="clear" w:color="auto" w:fill="auto"/>
            <w:vAlign w:val="center"/>
            <w:hideMark/>
          </w:tcPr>
          <w:p w14:paraId="63E09B8F" w14:textId="77777777" w:rsidR="0089168B" w:rsidRPr="00005453" w:rsidRDefault="0089168B" w:rsidP="0089168B">
            <w:pPr>
              <w:rPr>
                <w:color w:val="000000"/>
                <w:sz w:val="18"/>
                <w:szCs w:val="18"/>
                <w:lang w:eastAsia="tr-TR"/>
              </w:rPr>
            </w:pPr>
            <w:r w:rsidRPr="00005453">
              <w:rPr>
                <w:snapToGrid w:val="0"/>
                <w:color w:val="000000"/>
                <w:sz w:val="18"/>
                <w:szCs w:val="18"/>
                <w:lang w:eastAsia="tr-TR"/>
              </w:rPr>
              <w:t>Avro</w:t>
            </w:r>
          </w:p>
        </w:tc>
        <w:tc>
          <w:tcPr>
            <w:tcW w:w="3681" w:type="dxa"/>
            <w:tcBorders>
              <w:top w:val="nil"/>
              <w:left w:val="nil"/>
              <w:bottom w:val="nil"/>
              <w:right w:val="nil"/>
            </w:tcBorders>
            <w:shd w:val="clear" w:color="auto" w:fill="auto"/>
            <w:vAlign w:val="center"/>
            <w:hideMark/>
          </w:tcPr>
          <w:p w14:paraId="3ABCB655" w14:textId="63B42551" w:rsidR="0089168B" w:rsidRPr="00005453" w:rsidRDefault="0089168B" w:rsidP="0089168B">
            <w:pPr>
              <w:jc w:val="right"/>
              <w:rPr>
                <w:color w:val="000000"/>
                <w:sz w:val="18"/>
                <w:szCs w:val="18"/>
                <w:lang w:eastAsia="tr-TR"/>
              </w:rPr>
            </w:pPr>
            <w:r w:rsidRPr="00005453">
              <w:rPr>
                <w:sz w:val="18"/>
                <w:szCs w:val="18"/>
              </w:rPr>
              <w:t>36.58147</w:t>
            </w:r>
          </w:p>
        </w:tc>
      </w:tr>
      <w:tr w:rsidR="0089168B" w:rsidRPr="00005453" w14:paraId="09BE9DC7" w14:textId="77777777" w:rsidTr="0089168B">
        <w:trPr>
          <w:divId w:val="353305312"/>
          <w:trHeight w:val="155"/>
        </w:trPr>
        <w:tc>
          <w:tcPr>
            <w:tcW w:w="5843" w:type="dxa"/>
            <w:tcBorders>
              <w:top w:val="nil"/>
              <w:left w:val="nil"/>
              <w:bottom w:val="nil"/>
              <w:right w:val="nil"/>
            </w:tcBorders>
            <w:shd w:val="clear" w:color="auto" w:fill="auto"/>
            <w:vAlign w:val="center"/>
            <w:hideMark/>
          </w:tcPr>
          <w:p w14:paraId="7BBC3771" w14:textId="77777777" w:rsidR="0089168B" w:rsidRPr="00005453" w:rsidRDefault="0089168B" w:rsidP="0089168B">
            <w:pPr>
              <w:rPr>
                <w:color w:val="000000"/>
                <w:sz w:val="18"/>
                <w:szCs w:val="18"/>
                <w:lang w:eastAsia="tr-TR"/>
              </w:rPr>
            </w:pPr>
            <w:r w:rsidRPr="00005453">
              <w:rPr>
                <w:snapToGrid w:val="0"/>
                <w:color w:val="000000"/>
                <w:sz w:val="18"/>
                <w:szCs w:val="18"/>
                <w:lang w:eastAsia="tr-TR"/>
              </w:rPr>
              <w:t>İngiliz Sterlini</w:t>
            </w:r>
          </w:p>
        </w:tc>
        <w:tc>
          <w:tcPr>
            <w:tcW w:w="3681" w:type="dxa"/>
            <w:tcBorders>
              <w:top w:val="nil"/>
              <w:left w:val="nil"/>
              <w:bottom w:val="nil"/>
              <w:right w:val="nil"/>
            </w:tcBorders>
            <w:shd w:val="clear" w:color="auto" w:fill="auto"/>
            <w:vAlign w:val="center"/>
            <w:hideMark/>
          </w:tcPr>
          <w:p w14:paraId="7EA7E30E" w14:textId="1026C294" w:rsidR="0089168B" w:rsidRPr="00005453" w:rsidRDefault="0089168B" w:rsidP="0089168B">
            <w:pPr>
              <w:jc w:val="right"/>
              <w:rPr>
                <w:color w:val="000000"/>
                <w:sz w:val="18"/>
                <w:szCs w:val="18"/>
                <w:lang w:eastAsia="tr-TR"/>
              </w:rPr>
            </w:pPr>
            <w:r w:rsidRPr="00005453">
              <w:rPr>
                <w:sz w:val="18"/>
                <w:szCs w:val="18"/>
              </w:rPr>
              <w:t>44.13756</w:t>
            </w:r>
          </w:p>
        </w:tc>
      </w:tr>
      <w:tr w:rsidR="0089168B" w:rsidRPr="00005453" w14:paraId="0C8CAB96" w14:textId="77777777" w:rsidTr="0089168B">
        <w:trPr>
          <w:divId w:val="353305312"/>
          <w:trHeight w:val="155"/>
        </w:trPr>
        <w:tc>
          <w:tcPr>
            <w:tcW w:w="5843" w:type="dxa"/>
            <w:tcBorders>
              <w:top w:val="nil"/>
              <w:left w:val="nil"/>
              <w:right w:val="nil"/>
            </w:tcBorders>
            <w:shd w:val="clear" w:color="auto" w:fill="auto"/>
            <w:vAlign w:val="center"/>
            <w:hideMark/>
          </w:tcPr>
          <w:p w14:paraId="70B7A159" w14:textId="77777777" w:rsidR="0089168B" w:rsidRPr="00005453" w:rsidRDefault="0089168B" w:rsidP="0089168B">
            <w:pPr>
              <w:rPr>
                <w:color w:val="000000"/>
                <w:sz w:val="18"/>
                <w:szCs w:val="18"/>
                <w:lang w:eastAsia="tr-TR"/>
              </w:rPr>
            </w:pPr>
            <w:r w:rsidRPr="00005453">
              <w:rPr>
                <w:snapToGrid w:val="0"/>
                <w:color w:val="000000"/>
                <w:sz w:val="18"/>
                <w:szCs w:val="18"/>
                <w:lang w:eastAsia="tr-TR"/>
              </w:rPr>
              <w:t>İsviçre Frangı</w:t>
            </w:r>
          </w:p>
        </w:tc>
        <w:tc>
          <w:tcPr>
            <w:tcW w:w="3681" w:type="dxa"/>
            <w:tcBorders>
              <w:top w:val="nil"/>
              <w:left w:val="nil"/>
              <w:right w:val="nil"/>
            </w:tcBorders>
            <w:shd w:val="clear" w:color="auto" w:fill="auto"/>
            <w:vAlign w:val="center"/>
            <w:hideMark/>
          </w:tcPr>
          <w:p w14:paraId="4FB5CD2A" w14:textId="2F8AD748" w:rsidR="0089168B" w:rsidRPr="00005453" w:rsidRDefault="0089168B" w:rsidP="0089168B">
            <w:pPr>
              <w:jc w:val="right"/>
              <w:rPr>
                <w:color w:val="000000"/>
                <w:sz w:val="18"/>
                <w:szCs w:val="18"/>
                <w:lang w:eastAsia="tr-TR"/>
              </w:rPr>
            </w:pPr>
            <w:r w:rsidRPr="00005453">
              <w:rPr>
                <w:sz w:val="18"/>
                <w:szCs w:val="18"/>
              </w:rPr>
              <w:t>39.17885</w:t>
            </w:r>
          </w:p>
        </w:tc>
      </w:tr>
      <w:tr w:rsidR="0089168B" w:rsidRPr="00005453" w14:paraId="3CB33E96" w14:textId="77777777" w:rsidTr="0089168B">
        <w:trPr>
          <w:divId w:val="353305312"/>
          <w:trHeight w:val="155"/>
        </w:trPr>
        <w:tc>
          <w:tcPr>
            <w:tcW w:w="5843" w:type="dxa"/>
            <w:tcBorders>
              <w:top w:val="nil"/>
              <w:left w:val="nil"/>
              <w:bottom w:val="single" w:sz="4" w:space="0" w:color="auto"/>
              <w:right w:val="nil"/>
            </w:tcBorders>
            <w:shd w:val="clear" w:color="auto" w:fill="auto"/>
            <w:vAlign w:val="center"/>
            <w:hideMark/>
          </w:tcPr>
          <w:p w14:paraId="0B9F5F7B" w14:textId="77777777" w:rsidR="0089168B" w:rsidRPr="00005453" w:rsidRDefault="0089168B" w:rsidP="0089168B">
            <w:pPr>
              <w:rPr>
                <w:color w:val="000000"/>
                <w:sz w:val="18"/>
                <w:szCs w:val="18"/>
                <w:lang w:eastAsia="tr-TR"/>
              </w:rPr>
            </w:pPr>
            <w:r w:rsidRPr="00005453">
              <w:rPr>
                <w:snapToGrid w:val="0"/>
                <w:color w:val="000000"/>
                <w:sz w:val="18"/>
                <w:szCs w:val="18"/>
                <w:lang w:eastAsia="tr-TR"/>
              </w:rPr>
              <w:t>Japon Yeni</w:t>
            </w:r>
          </w:p>
        </w:tc>
        <w:tc>
          <w:tcPr>
            <w:tcW w:w="3681" w:type="dxa"/>
            <w:tcBorders>
              <w:top w:val="nil"/>
              <w:left w:val="nil"/>
              <w:bottom w:val="single" w:sz="4" w:space="0" w:color="auto"/>
              <w:right w:val="nil"/>
            </w:tcBorders>
            <w:shd w:val="clear" w:color="auto" w:fill="auto"/>
            <w:vAlign w:val="center"/>
            <w:hideMark/>
          </w:tcPr>
          <w:p w14:paraId="7C1E97D2" w14:textId="2F88B30A" w:rsidR="0089168B" w:rsidRPr="00005453" w:rsidRDefault="0089168B" w:rsidP="0089168B">
            <w:pPr>
              <w:jc w:val="right"/>
              <w:rPr>
                <w:color w:val="000000"/>
                <w:sz w:val="18"/>
                <w:szCs w:val="18"/>
                <w:lang w:eastAsia="tr-TR"/>
              </w:rPr>
            </w:pPr>
            <w:r w:rsidRPr="00005453">
              <w:rPr>
                <w:sz w:val="18"/>
                <w:szCs w:val="18"/>
              </w:rPr>
              <w:t>0.22689</w:t>
            </w:r>
          </w:p>
        </w:tc>
      </w:tr>
    </w:tbl>
    <w:p w14:paraId="7F84171E" w14:textId="44F173B2" w:rsidR="007E14E3" w:rsidRPr="00005453" w:rsidRDefault="007E14E3" w:rsidP="000A251A">
      <w:pPr>
        <w:pStyle w:val="BodyText"/>
        <w:rPr>
          <w:lang w:val="en-GB" w:eastAsia="en-GB"/>
        </w:rPr>
      </w:pPr>
    </w:p>
    <w:p w14:paraId="4A188CB5" w14:textId="24C59F87" w:rsidR="003417AA" w:rsidRPr="00005453" w:rsidRDefault="00E253C8" w:rsidP="007E14E3">
      <w:pPr>
        <w:pStyle w:val="BodyText"/>
        <w:rPr>
          <w:rFonts w:eastAsia="Arial Unicode MS"/>
        </w:rPr>
      </w:pPr>
      <w:r w:rsidRPr="00005453">
        <w:rPr>
          <w:rFonts w:eastAsia="Arial Unicode MS"/>
          <w:b/>
        </w:rPr>
        <w:br w:type="page"/>
      </w:r>
      <w:r w:rsidRPr="00005453">
        <w:rPr>
          <w:rFonts w:eastAsia="Arial Unicode MS"/>
          <w:b/>
        </w:rPr>
        <w:lastRenderedPageBreak/>
        <w:t xml:space="preserve">Banka’nın kur riskine ilişkin </w:t>
      </w:r>
      <w:r w:rsidR="00032F11" w:rsidRPr="00005453">
        <w:rPr>
          <w:rFonts w:eastAsia="Arial Unicode MS"/>
          <w:b/>
        </w:rPr>
        <w:t>bilgiler</w:t>
      </w:r>
    </w:p>
    <w:p w14:paraId="5783011F" w14:textId="1EBBC6C8" w:rsidR="00FA4AFA" w:rsidRPr="00005453" w:rsidRDefault="00FA4AFA" w:rsidP="00FA4AFA">
      <w:pPr>
        <w:pStyle w:val="BodyText"/>
        <w:rPr>
          <w:rFonts w:eastAsia="Arial Unicode MS"/>
        </w:rPr>
      </w:pPr>
    </w:p>
    <w:tbl>
      <w:tblPr>
        <w:tblW w:w="9301" w:type="dxa"/>
        <w:tblCellMar>
          <w:left w:w="70" w:type="dxa"/>
          <w:right w:w="70" w:type="dxa"/>
        </w:tblCellMar>
        <w:tblLook w:val="04A0" w:firstRow="1" w:lastRow="0" w:firstColumn="1" w:lastColumn="0" w:noHBand="0" w:noVBand="1"/>
      </w:tblPr>
      <w:tblGrid>
        <w:gridCol w:w="3853"/>
        <w:gridCol w:w="1267"/>
        <w:gridCol w:w="1259"/>
        <w:gridCol w:w="1364"/>
        <w:gridCol w:w="1558"/>
      </w:tblGrid>
      <w:tr w:rsidR="00FA4AFA" w:rsidRPr="00005453" w14:paraId="0D81F40B" w14:textId="77777777" w:rsidTr="00C827F7">
        <w:trPr>
          <w:divId w:val="1787577962"/>
          <w:trHeight w:val="184"/>
        </w:trPr>
        <w:tc>
          <w:tcPr>
            <w:tcW w:w="3853" w:type="dxa"/>
            <w:tcBorders>
              <w:top w:val="double" w:sz="6" w:space="0" w:color="auto"/>
              <w:left w:val="nil"/>
              <w:bottom w:val="single" w:sz="8" w:space="0" w:color="auto"/>
              <w:right w:val="nil"/>
            </w:tcBorders>
            <w:shd w:val="clear" w:color="auto" w:fill="auto"/>
            <w:vAlign w:val="center"/>
            <w:hideMark/>
          </w:tcPr>
          <w:p w14:paraId="6A938ECF" w14:textId="6AA1AD52" w:rsidR="00FA4AFA" w:rsidRPr="00005453" w:rsidRDefault="00FA4AFA" w:rsidP="00FA4AFA">
            <w:pPr>
              <w:rPr>
                <w:b/>
                <w:bCs/>
                <w:sz w:val="14"/>
                <w:szCs w:val="14"/>
                <w:lang w:eastAsia="tr-TR"/>
              </w:rPr>
            </w:pPr>
            <w:r w:rsidRPr="00005453">
              <w:rPr>
                <w:b/>
                <w:bCs/>
                <w:sz w:val="14"/>
                <w:szCs w:val="14"/>
                <w:lang w:eastAsia="tr-TR"/>
              </w:rPr>
              <w:t>Cari Dönem</w:t>
            </w:r>
          </w:p>
        </w:tc>
        <w:tc>
          <w:tcPr>
            <w:tcW w:w="1267" w:type="dxa"/>
            <w:tcBorders>
              <w:top w:val="double" w:sz="6" w:space="0" w:color="auto"/>
              <w:left w:val="nil"/>
              <w:bottom w:val="single" w:sz="8" w:space="0" w:color="auto"/>
              <w:right w:val="nil"/>
            </w:tcBorders>
            <w:shd w:val="clear" w:color="auto" w:fill="auto"/>
            <w:vAlign w:val="bottom"/>
            <w:hideMark/>
          </w:tcPr>
          <w:p w14:paraId="39DA99D4" w14:textId="77777777" w:rsidR="00FA4AFA" w:rsidRPr="00005453" w:rsidRDefault="00FA4AFA" w:rsidP="00FA4AFA">
            <w:pPr>
              <w:jc w:val="right"/>
              <w:rPr>
                <w:b/>
                <w:bCs/>
                <w:sz w:val="14"/>
                <w:szCs w:val="14"/>
                <w:lang w:eastAsia="tr-TR"/>
              </w:rPr>
            </w:pPr>
            <w:r w:rsidRPr="00005453">
              <w:rPr>
                <w:b/>
                <w:bCs/>
                <w:sz w:val="14"/>
                <w:szCs w:val="14"/>
                <w:lang w:eastAsia="tr-TR"/>
              </w:rPr>
              <w:t>Avro</w:t>
            </w:r>
          </w:p>
        </w:tc>
        <w:tc>
          <w:tcPr>
            <w:tcW w:w="1259" w:type="dxa"/>
            <w:tcBorders>
              <w:top w:val="double" w:sz="6" w:space="0" w:color="auto"/>
              <w:left w:val="nil"/>
              <w:bottom w:val="single" w:sz="8" w:space="0" w:color="auto"/>
              <w:right w:val="nil"/>
            </w:tcBorders>
            <w:shd w:val="clear" w:color="auto" w:fill="auto"/>
            <w:vAlign w:val="bottom"/>
            <w:hideMark/>
          </w:tcPr>
          <w:p w14:paraId="124C32CF" w14:textId="77777777" w:rsidR="00FA4AFA" w:rsidRPr="00005453" w:rsidRDefault="00FA4AFA" w:rsidP="00FA4AFA">
            <w:pPr>
              <w:jc w:val="right"/>
              <w:rPr>
                <w:b/>
                <w:bCs/>
                <w:sz w:val="14"/>
                <w:szCs w:val="14"/>
                <w:lang w:eastAsia="tr-TR"/>
              </w:rPr>
            </w:pPr>
            <w:r w:rsidRPr="00005453">
              <w:rPr>
                <w:b/>
                <w:bCs/>
                <w:sz w:val="14"/>
                <w:szCs w:val="14"/>
                <w:lang w:eastAsia="tr-TR"/>
              </w:rPr>
              <w:t>ABD Doları</w:t>
            </w:r>
          </w:p>
        </w:tc>
        <w:tc>
          <w:tcPr>
            <w:tcW w:w="1364" w:type="dxa"/>
            <w:tcBorders>
              <w:top w:val="double" w:sz="6" w:space="0" w:color="auto"/>
              <w:left w:val="nil"/>
              <w:bottom w:val="single" w:sz="8" w:space="0" w:color="auto"/>
              <w:right w:val="nil"/>
            </w:tcBorders>
            <w:shd w:val="clear" w:color="auto" w:fill="auto"/>
            <w:vAlign w:val="bottom"/>
            <w:hideMark/>
          </w:tcPr>
          <w:p w14:paraId="1045EC0B" w14:textId="77777777" w:rsidR="00FA4AFA" w:rsidRPr="00005453" w:rsidRDefault="00FA4AFA" w:rsidP="00FA4AFA">
            <w:pPr>
              <w:jc w:val="right"/>
              <w:rPr>
                <w:b/>
                <w:bCs/>
                <w:sz w:val="14"/>
                <w:szCs w:val="14"/>
                <w:lang w:eastAsia="tr-TR"/>
              </w:rPr>
            </w:pPr>
            <w:r w:rsidRPr="00005453">
              <w:rPr>
                <w:b/>
                <w:bCs/>
                <w:sz w:val="14"/>
                <w:szCs w:val="14"/>
                <w:lang w:eastAsia="tr-TR"/>
              </w:rPr>
              <w:t>Diğer YP (****)</w:t>
            </w:r>
          </w:p>
        </w:tc>
        <w:tc>
          <w:tcPr>
            <w:tcW w:w="1558" w:type="dxa"/>
            <w:tcBorders>
              <w:top w:val="double" w:sz="6" w:space="0" w:color="auto"/>
              <w:left w:val="nil"/>
              <w:bottom w:val="single" w:sz="8" w:space="0" w:color="auto"/>
              <w:right w:val="nil"/>
            </w:tcBorders>
            <w:shd w:val="clear" w:color="auto" w:fill="auto"/>
            <w:vAlign w:val="bottom"/>
            <w:hideMark/>
          </w:tcPr>
          <w:p w14:paraId="657D285A" w14:textId="77777777" w:rsidR="00FA4AFA" w:rsidRPr="00005453" w:rsidRDefault="00FA4AFA" w:rsidP="00FA4AFA">
            <w:pPr>
              <w:jc w:val="right"/>
              <w:rPr>
                <w:b/>
                <w:bCs/>
                <w:sz w:val="14"/>
                <w:szCs w:val="14"/>
                <w:lang w:eastAsia="tr-TR"/>
              </w:rPr>
            </w:pPr>
            <w:r w:rsidRPr="00005453">
              <w:rPr>
                <w:b/>
                <w:bCs/>
                <w:sz w:val="14"/>
                <w:szCs w:val="14"/>
                <w:lang w:eastAsia="tr-TR"/>
              </w:rPr>
              <w:t>Toplam</w:t>
            </w:r>
          </w:p>
        </w:tc>
      </w:tr>
      <w:tr w:rsidR="00FA4AFA" w:rsidRPr="00005453" w14:paraId="47C17FF4" w14:textId="77777777" w:rsidTr="00C827F7">
        <w:trPr>
          <w:divId w:val="1787577962"/>
          <w:trHeight w:val="203"/>
        </w:trPr>
        <w:tc>
          <w:tcPr>
            <w:tcW w:w="3853" w:type="dxa"/>
            <w:tcBorders>
              <w:top w:val="nil"/>
              <w:left w:val="nil"/>
              <w:bottom w:val="nil"/>
              <w:right w:val="nil"/>
            </w:tcBorders>
            <w:shd w:val="clear" w:color="auto" w:fill="auto"/>
            <w:vAlign w:val="center"/>
            <w:hideMark/>
          </w:tcPr>
          <w:p w14:paraId="4D7BFA53" w14:textId="77777777" w:rsidR="00FA4AFA" w:rsidRPr="00005453" w:rsidRDefault="00FA4AFA" w:rsidP="00FC079A">
            <w:pPr>
              <w:rPr>
                <w:b/>
                <w:bCs/>
                <w:sz w:val="14"/>
                <w:szCs w:val="14"/>
                <w:lang w:eastAsia="tr-TR"/>
              </w:rPr>
            </w:pPr>
            <w:r w:rsidRPr="00005453">
              <w:rPr>
                <w:b/>
                <w:bCs/>
                <w:sz w:val="14"/>
                <w:szCs w:val="14"/>
                <w:lang w:eastAsia="tr-TR"/>
              </w:rPr>
              <w:t>Varlıklar</w:t>
            </w:r>
          </w:p>
        </w:tc>
        <w:tc>
          <w:tcPr>
            <w:tcW w:w="1267" w:type="dxa"/>
            <w:tcBorders>
              <w:top w:val="nil"/>
              <w:left w:val="nil"/>
              <w:bottom w:val="nil"/>
              <w:right w:val="nil"/>
            </w:tcBorders>
            <w:shd w:val="clear" w:color="auto" w:fill="auto"/>
            <w:vAlign w:val="bottom"/>
            <w:hideMark/>
          </w:tcPr>
          <w:p w14:paraId="283F2210" w14:textId="77777777" w:rsidR="00FA4AFA" w:rsidRPr="00005453" w:rsidRDefault="00FA4AFA" w:rsidP="00FA4AFA">
            <w:pPr>
              <w:ind w:firstLineChars="100" w:firstLine="140"/>
              <w:jc w:val="right"/>
              <w:rPr>
                <w:sz w:val="14"/>
                <w:szCs w:val="14"/>
                <w:lang w:eastAsia="tr-TR"/>
              </w:rPr>
            </w:pPr>
          </w:p>
        </w:tc>
        <w:tc>
          <w:tcPr>
            <w:tcW w:w="1259" w:type="dxa"/>
            <w:tcBorders>
              <w:top w:val="nil"/>
              <w:left w:val="nil"/>
              <w:bottom w:val="nil"/>
              <w:right w:val="nil"/>
            </w:tcBorders>
            <w:shd w:val="clear" w:color="auto" w:fill="auto"/>
            <w:vAlign w:val="bottom"/>
            <w:hideMark/>
          </w:tcPr>
          <w:p w14:paraId="190A8679" w14:textId="77777777" w:rsidR="00FA4AFA" w:rsidRPr="00005453" w:rsidRDefault="00FA4AFA" w:rsidP="00FA4AFA">
            <w:pPr>
              <w:jc w:val="right"/>
              <w:rPr>
                <w:sz w:val="14"/>
                <w:szCs w:val="14"/>
                <w:lang w:eastAsia="tr-TR"/>
              </w:rPr>
            </w:pPr>
          </w:p>
        </w:tc>
        <w:tc>
          <w:tcPr>
            <w:tcW w:w="1364" w:type="dxa"/>
            <w:tcBorders>
              <w:top w:val="nil"/>
              <w:left w:val="nil"/>
              <w:bottom w:val="nil"/>
              <w:right w:val="nil"/>
            </w:tcBorders>
            <w:shd w:val="clear" w:color="auto" w:fill="auto"/>
            <w:vAlign w:val="bottom"/>
            <w:hideMark/>
          </w:tcPr>
          <w:p w14:paraId="43D58E73" w14:textId="77777777" w:rsidR="00FA4AFA" w:rsidRPr="00005453" w:rsidRDefault="00FA4AFA" w:rsidP="00FA4AFA">
            <w:pPr>
              <w:jc w:val="right"/>
              <w:rPr>
                <w:sz w:val="14"/>
                <w:szCs w:val="14"/>
                <w:lang w:eastAsia="tr-TR"/>
              </w:rPr>
            </w:pPr>
          </w:p>
        </w:tc>
        <w:tc>
          <w:tcPr>
            <w:tcW w:w="1558" w:type="dxa"/>
            <w:tcBorders>
              <w:top w:val="nil"/>
              <w:left w:val="nil"/>
              <w:bottom w:val="nil"/>
              <w:right w:val="nil"/>
            </w:tcBorders>
            <w:shd w:val="clear" w:color="auto" w:fill="auto"/>
            <w:vAlign w:val="bottom"/>
            <w:hideMark/>
          </w:tcPr>
          <w:p w14:paraId="72C697FB" w14:textId="77777777" w:rsidR="00FA4AFA" w:rsidRPr="00005453" w:rsidRDefault="00FA4AFA" w:rsidP="00FA4AFA">
            <w:pPr>
              <w:jc w:val="right"/>
              <w:rPr>
                <w:sz w:val="14"/>
                <w:szCs w:val="14"/>
                <w:lang w:eastAsia="tr-TR"/>
              </w:rPr>
            </w:pPr>
          </w:p>
        </w:tc>
      </w:tr>
      <w:tr w:rsidR="003D6DB9" w:rsidRPr="00005453" w14:paraId="5E270983" w14:textId="77777777" w:rsidTr="003D6DB9">
        <w:trPr>
          <w:divId w:val="1787577962"/>
          <w:trHeight w:val="388"/>
        </w:trPr>
        <w:tc>
          <w:tcPr>
            <w:tcW w:w="3853" w:type="dxa"/>
            <w:tcBorders>
              <w:top w:val="nil"/>
              <w:left w:val="nil"/>
              <w:bottom w:val="nil"/>
              <w:right w:val="nil"/>
            </w:tcBorders>
            <w:shd w:val="clear" w:color="auto" w:fill="auto"/>
            <w:hideMark/>
          </w:tcPr>
          <w:p w14:paraId="65569293" w14:textId="77777777" w:rsidR="003D6DB9" w:rsidRPr="00005453" w:rsidRDefault="003D6DB9" w:rsidP="003D6DB9">
            <w:pPr>
              <w:rPr>
                <w:sz w:val="14"/>
                <w:szCs w:val="14"/>
                <w:lang w:eastAsia="tr-TR"/>
              </w:rPr>
            </w:pPr>
            <w:r w:rsidRPr="00005453">
              <w:rPr>
                <w:sz w:val="14"/>
                <w:szCs w:val="14"/>
                <w:lang w:eastAsia="tr-TR"/>
              </w:rPr>
              <w:t>Nakit değerler (kasa, efektif deposu, yoldaki paralar, satın alınan çekler) ve T.C. Merkez Bnk. (****)</w:t>
            </w:r>
          </w:p>
        </w:tc>
        <w:tc>
          <w:tcPr>
            <w:tcW w:w="1267" w:type="dxa"/>
            <w:tcBorders>
              <w:top w:val="nil"/>
              <w:left w:val="nil"/>
              <w:bottom w:val="nil"/>
              <w:right w:val="nil"/>
            </w:tcBorders>
            <w:shd w:val="clear" w:color="auto" w:fill="auto"/>
            <w:vAlign w:val="center"/>
            <w:hideMark/>
          </w:tcPr>
          <w:p w14:paraId="4541F090" w14:textId="6E606C45" w:rsidR="003D6DB9" w:rsidRPr="00005453" w:rsidRDefault="003D6DB9" w:rsidP="003D6DB9">
            <w:pPr>
              <w:jc w:val="right"/>
              <w:rPr>
                <w:sz w:val="14"/>
                <w:szCs w:val="14"/>
              </w:rPr>
            </w:pPr>
            <w:r w:rsidRPr="00005453">
              <w:rPr>
                <w:sz w:val="14"/>
                <w:szCs w:val="18"/>
              </w:rPr>
              <w:t>22,241,898</w:t>
            </w:r>
          </w:p>
        </w:tc>
        <w:tc>
          <w:tcPr>
            <w:tcW w:w="1259" w:type="dxa"/>
            <w:tcBorders>
              <w:top w:val="nil"/>
              <w:left w:val="nil"/>
              <w:bottom w:val="nil"/>
              <w:right w:val="nil"/>
            </w:tcBorders>
            <w:shd w:val="clear" w:color="auto" w:fill="auto"/>
            <w:vAlign w:val="center"/>
            <w:hideMark/>
          </w:tcPr>
          <w:p w14:paraId="0DB69204" w14:textId="563A57D5" w:rsidR="003D6DB9" w:rsidRPr="00005453" w:rsidRDefault="003D6DB9" w:rsidP="003D6DB9">
            <w:pPr>
              <w:jc w:val="right"/>
              <w:rPr>
                <w:sz w:val="14"/>
                <w:szCs w:val="14"/>
              </w:rPr>
            </w:pPr>
            <w:r w:rsidRPr="00005453">
              <w:rPr>
                <w:sz w:val="14"/>
                <w:szCs w:val="18"/>
              </w:rPr>
              <w:t>56,265,849</w:t>
            </w:r>
          </w:p>
        </w:tc>
        <w:tc>
          <w:tcPr>
            <w:tcW w:w="1364" w:type="dxa"/>
            <w:tcBorders>
              <w:top w:val="nil"/>
              <w:left w:val="nil"/>
              <w:bottom w:val="nil"/>
              <w:right w:val="nil"/>
            </w:tcBorders>
            <w:shd w:val="clear" w:color="auto" w:fill="auto"/>
            <w:vAlign w:val="center"/>
            <w:hideMark/>
          </w:tcPr>
          <w:p w14:paraId="300C64CB" w14:textId="4DA60144" w:rsidR="003D6DB9" w:rsidRPr="00005453" w:rsidRDefault="003D6DB9" w:rsidP="003D6DB9">
            <w:pPr>
              <w:jc w:val="right"/>
              <w:rPr>
                <w:sz w:val="14"/>
                <w:szCs w:val="14"/>
              </w:rPr>
            </w:pPr>
            <w:r w:rsidRPr="00005453">
              <w:rPr>
                <w:sz w:val="14"/>
                <w:szCs w:val="18"/>
              </w:rPr>
              <w:t>84,938,284</w:t>
            </w:r>
          </w:p>
        </w:tc>
        <w:tc>
          <w:tcPr>
            <w:tcW w:w="1558" w:type="dxa"/>
            <w:tcBorders>
              <w:top w:val="nil"/>
              <w:left w:val="nil"/>
              <w:bottom w:val="nil"/>
              <w:right w:val="nil"/>
            </w:tcBorders>
            <w:shd w:val="clear" w:color="auto" w:fill="auto"/>
            <w:vAlign w:val="center"/>
            <w:hideMark/>
          </w:tcPr>
          <w:p w14:paraId="66838235" w14:textId="24FB9B0E" w:rsidR="003D6DB9" w:rsidRPr="00005453" w:rsidRDefault="003D6DB9" w:rsidP="003D6DB9">
            <w:pPr>
              <w:jc w:val="right"/>
              <w:rPr>
                <w:sz w:val="14"/>
                <w:szCs w:val="14"/>
              </w:rPr>
            </w:pPr>
            <w:r w:rsidRPr="00005453">
              <w:rPr>
                <w:sz w:val="14"/>
                <w:szCs w:val="18"/>
              </w:rPr>
              <w:t>163,446,031</w:t>
            </w:r>
          </w:p>
        </w:tc>
      </w:tr>
      <w:tr w:rsidR="003D6DB9" w:rsidRPr="00005453" w14:paraId="350650B4" w14:textId="77777777" w:rsidTr="003D6DB9">
        <w:trPr>
          <w:divId w:val="1787577962"/>
          <w:trHeight w:val="203"/>
        </w:trPr>
        <w:tc>
          <w:tcPr>
            <w:tcW w:w="3853" w:type="dxa"/>
            <w:tcBorders>
              <w:top w:val="nil"/>
              <w:left w:val="nil"/>
              <w:bottom w:val="nil"/>
              <w:right w:val="nil"/>
            </w:tcBorders>
            <w:shd w:val="clear" w:color="auto" w:fill="auto"/>
            <w:hideMark/>
          </w:tcPr>
          <w:p w14:paraId="1AA4D3C3" w14:textId="77777777" w:rsidR="003D6DB9" w:rsidRPr="00005453" w:rsidRDefault="003D6DB9" w:rsidP="003D6DB9">
            <w:pPr>
              <w:rPr>
                <w:sz w:val="14"/>
                <w:szCs w:val="14"/>
                <w:lang w:eastAsia="tr-TR"/>
              </w:rPr>
            </w:pPr>
            <w:r w:rsidRPr="00005453">
              <w:rPr>
                <w:sz w:val="14"/>
                <w:szCs w:val="14"/>
                <w:lang w:eastAsia="tr-TR"/>
              </w:rPr>
              <w:t>Bankalar (******)</w:t>
            </w:r>
          </w:p>
        </w:tc>
        <w:tc>
          <w:tcPr>
            <w:tcW w:w="1267" w:type="dxa"/>
            <w:tcBorders>
              <w:top w:val="nil"/>
              <w:left w:val="nil"/>
              <w:bottom w:val="nil"/>
              <w:right w:val="nil"/>
            </w:tcBorders>
            <w:shd w:val="clear" w:color="auto" w:fill="auto"/>
            <w:vAlign w:val="center"/>
            <w:hideMark/>
          </w:tcPr>
          <w:p w14:paraId="405CAC44" w14:textId="15584BDD" w:rsidR="003D6DB9" w:rsidRPr="00005453" w:rsidRDefault="003D6DB9" w:rsidP="003D6DB9">
            <w:pPr>
              <w:jc w:val="right"/>
              <w:rPr>
                <w:sz w:val="14"/>
                <w:szCs w:val="14"/>
              </w:rPr>
            </w:pPr>
            <w:r w:rsidRPr="00005453">
              <w:rPr>
                <w:sz w:val="14"/>
                <w:szCs w:val="18"/>
              </w:rPr>
              <w:t>1,737,153</w:t>
            </w:r>
          </w:p>
        </w:tc>
        <w:tc>
          <w:tcPr>
            <w:tcW w:w="1259" w:type="dxa"/>
            <w:tcBorders>
              <w:top w:val="nil"/>
              <w:left w:val="nil"/>
              <w:bottom w:val="nil"/>
              <w:right w:val="nil"/>
            </w:tcBorders>
            <w:shd w:val="clear" w:color="auto" w:fill="auto"/>
            <w:vAlign w:val="center"/>
            <w:hideMark/>
          </w:tcPr>
          <w:p w14:paraId="3E499108" w14:textId="2D89E5E5" w:rsidR="003D6DB9" w:rsidRPr="00005453" w:rsidRDefault="003D6DB9" w:rsidP="003D6DB9">
            <w:pPr>
              <w:jc w:val="right"/>
              <w:rPr>
                <w:sz w:val="14"/>
                <w:szCs w:val="14"/>
              </w:rPr>
            </w:pPr>
            <w:r w:rsidRPr="00005453">
              <w:rPr>
                <w:sz w:val="14"/>
                <w:szCs w:val="18"/>
              </w:rPr>
              <w:t>12,650,764</w:t>
            </w:r>
          </w:p>
        </w:tc>
        <w:tc>
          <w:tcPr>
            <w:tcW w:w="1364" w:type="dxa"/>
            <w:tcBorders>
              <w:top w:val="nil"/>
              <w:left w:val="nil"/>
              <w:bottom w:val="nil"/>
              <w:right w:val="nil"/>
            </w:tcBorders>
            <w:shd w:val="clear" w:color="auto" w:fill="auto"/>
            <w:vAlign w:val="center"/>
            <w:hideMark/>
          </w:tcPr>
          <w:p w14:paraId="274DC210" w14:textId="62B8154E" w:rsidR="003D6DB9" w:rsidRPr="00005453" w:rsidRDefault="003D6DB9" w:rsidP="003D6DB9">
            <w:pPr>
              <w:jc w:val="right"/>
              <w:rPr>
                <w:sz w:val="14"/>
                <w:szCs w:val="14"/>
              </w:rPr>
            </w:pPr>
            <w:r w:rsidRPr="00005453">
              <w:rPr>
                <w:sz w:val="14"/>
                <w:szCs w:val="18"/>
              </w:rPr>
              <w:t>12,626,167</w:t>
            </w:r>
          </w:p>
        </w:tc>
        <w:tc>
          <w:tcPr>
            <w:tcW w:w="1558" w:type="dxa"/>
            <w:tcBorders>
              <w:top w:val="nil"/>
              <w:left w:val="nil"/>
              <w:bottom w:val="nil"/>
              <w:right w:val="nil"/>
            </w:tcBorders>
            <w:shd w:val="clear" w:color="auto" w:fill="auto"/>
            <w:vAlign w:val="center"/>
            <w:hideMark/>
          </w:tcPr>
          <w:p w14:paraId="6D1AB7B3" w14:textId="2F5D4E2C" w:rsidR="003D6DB9" w:rsidRPr="00005453" w:rsidRDefault="003D6DB9" w:rsidP="003D6DB9">
            <w:pPr>
              <w:jc w:val="right"/>
              <w:rPr>
                <w:sz w:val="14"/>
                <w:szCs w:val="14"/>
              </w:rPr>
            </w:pPr>
            <w:r w:rsidRPr="00005453">
              <w:rPr>
                <w:sz w:val="14"/>
                <w:szCs w:val="18"/>
              </w:rPr>
              <w:t>27,014,084</w:t>
            </w:r>
          </w:p>
        </w:tc>
      </w:tr>
      <w:tr w:rsidR="003D6DB9" w:rsidRPr="00005453" w14:paraId="7F54611A" w14:textId="77777777" w:rsidTr="003D6DB9">
        <w:trPr>
          <w:divId w:val="1787577962"/>
          <w:trHeight w:val="203"/>
        </w:trPr>
        <w:tc>
          <w:tcPr>
            <w:tcW w:w="3853" w:type="dxa"/>
            <w:tcBorders>
              <w:top w:val="nil"/>
              <w:left w:val="nil"/>
              <w:bottom w:val="nil"/>
              <w:right w:val="nil"/>
            </w:tcBorders>
            <w:shd w:val="clear" w:color="auto" w:fill="auto"/>
            <w:hideMark/>
          </w:tcPr>
          <w:p w14:paraId="4E52DAD6" w14:textId="77777777" w:rsidR="003D6DB9" w:rsidRPr="00005453" w:rsidRDefault="003D6DB9" w:rsidP="003D6DB9">
            <w:pPr>
              <w:rPr>
                <w:sz w:val="14"/>
                <w:szCs w:val="14"/>
                <w:lang w:eastAsia="tr-TR"/>
              </w:rPr>
            </w:pPr>
            <w:r w:rsidRPr="00005453">
              <w:rPr>
                <w:sz w:val="14"/>
                <w:szCs w:val="14"/>
                <w:lang w:eastAsia="tr-TR"/>
              </w:rPr>
              <w:t>Gerçeğe uygun değer farkı kar veya zarara yansıtılan finansal varlıklar</w:t>
            </w:r>
          </w:p>
        </w:tc>
        <w:tc>
          <w:tcPr>
            <w:tcW w:w="1267" w:type="dxa"/>
            <w:tcBorders>
              <w:top w:val="nil"/>
              <w:left w:val="nil"/>
              <w:bottom w:val="nil"/>
              <w:right w:val="nil"/>
            </w:tcBorders>
            <w:shd w:val="clear" w:color="auto" w:fill="auto"/>
            <w:vAlign w:val="center"/>
            <w:hideMark/>
          </w:tcPr>
          <w:p w14:paraId="5BA22E97" w14:textId="1725CEFC" w:rsidR="003D6DB9" w:rsidRPr="00005453" w:rsidRDefault="003D6DB9" w:rsidP="003D6DB9">
            <w:pPr>
              <w:jc w:val="right"/>
              <w:rPr>
                <w:sz w:val="14"/>
                <w:szCs w:val="14"/>
              </w:rPr>
            </w:pPr>
            <w:r w:rsidRPr="00005453">
              <w:rPr>
                <w:sz w:val="14"/>
                <w:szCs w:val="18"/>
              </w:rPr>
              <w:t>77,547</w:t>
            </w:r>
          </w:p>
        </w:tc>
        <w:tc>
          <w:tcPr>
            <w:tcW w:w="1259" w:type="dxa"/>
            <w:tcBorders>
              <w:top w:val="nil"/>
              <w:left w:val="nil"/>
              <w:bottom w:val="nil"/>
              <w:right w:val="nil"/>
            </w:tcBorders>
            <w:shd w:val="clear" w:color="auto" w:fill="auto"/>
            <w:vAlign w:val="center"/>
            <w:hideMark/>
          </w:tcPr>
          <w:p w14:paraId="77E23171" w14:textId="43A35BE7" w:rsidR="003D6DB9" w:rsidRPr="00005453" w:rsidRDefault="003D6DB9" w:rsidP="003D6DB9">
            <w:pPr>
              <w:jc w:val="right"/>
              <w:rPr>
                <w:sz w:val="14"/>
                <w:szCs w:val="14"/>
              </w:rPr>
            </w:pPr>
            <w:r w:rsidRPr="00005453">
              <w:rPr>
                <w:sz w:val="14"/>
                <w:szCs w:val="18"/>
              </w:rPr>
              <w:t>14,689,318</w:t>
            </w:r>
          </w:p>
        </w:tc>
        <w:tc>
          <w:tcPr>
            <w:tcW w:w="1364" w:type="dxa"/>
            <w:tcBorders>
              <w:top w:val="nil"/>
              <w:left w:val="nil"/>
              <w:bottom w:val="nil"/>
              <w:right w:val="nil"/>
            </w:tcBorders>
            <w:shd w:val="clear" w:color="auto" w:fill="auto"/>
            <w:vAlign w:val="center"/>
            <w:hideMark/>
          </w:tcPr>
          <w:p w14:paraId="3B8FAD0B" w14:textId="1F222D91" w:rsidR="003D6DB9" w:rsidRPr="00005453" w:rsidRDefault="003D6DB9" w:rsidP="003D6DB9">
            <w:pPr>
              <w:jc w:val="right"/>
              <w:rPr>
                <w:sz w:val="14"/>
                <w:szCs w:val="14"/>
              </w:rPr>
            </w:pPr>
            <w:r w:rsidRPr="00005453">
              <w:rPr>
                <w:sz w:val="14"/>
                <w:szCs w:val="18"/>
              </w:rPr>
              <w:t>2,502,583</w:t>
            </w:r>
          </w:p>
        </w:tc>
        <w:tc>
          <w:tcPr>
            <w:tcW w:w="1558" w:type="dxa"/>
            <w:tcBorders>
              <w:top w:val="nil"/>
              <w:left w:val="nil"/>
              <w:bottom w:val="nil"/>
              <w:right w:val="nil"/>
            </w:tcBorders>
            <w:shd w:val="clear" w:color="auto" w:fill="auto"/>
            <w:vAlign w:val="center"/>
            <w:hideMark/>
          </w:tcPr>
          <w:p w14:paraId="11EE558B" w14:textId="575DC225" w:rsidR="003D6DB9" w:rsidRPr="00005453" w:rsidRDefault="003D6DB9" w:rsidP="003D6DB9">
            <w:pPr>
              <w:jc w:val="right"/>
              <w:rPr>
                <w:sz w:val="14"/>
                <w:szCs w:val="14"/>
              </w:rPr>
            </w:pPr>
            <w:r w:rsidRPr="00005453">
              <w:rPr>
                <w:sz w:val="14"/>
                <w:szCs w:val="18"/>
              </w:rPr>
              <w:t>17,269,448</w:t>
            </w:r>
          </w:p>
        </w:tc>
      </w:tr>
      <w:tr w:rsidR="003D6DB9" w:rsidRPr="00005453" w14:paraId="30D69FB7" w14:textId="77777777" w:rsidTr="003D6DB9">
        <w:trPr>
          <w:divId w:val="1787577962"/>
          <w:trHeight w:val="203"/>
        </w:trPr>
        <w:tc>
          <w:tcPr>
            <w:tcW w:w="3853" w:type="dxa"/>
            <w:tcBorders>
              <w:top w:val="nil"/>
              <w:left w:val="nil"/>
              <w:bottom w:val="nil"/>
              <w:right w:val="nil"/>
            </w:tcBorders>
            <w:shd w:val="clear" w:color="auto" w:fill="auto"/>
            <w:hideMark/>
          </w:tcPr>
          <w:p w14:paraId="631E17B5" w14:textId="77777777" w:rsidR="003D6DB9" w:rsidRPr="00005453" w:rsidRDefault="003D6DB9" w:rsidP="003D6DB9">
            <w:pPr>
              <w:rPr>
                <w:sz w:val="14"/>
                <w:szCs w:val="14"/>
                <w:lang w:eastAsia="tr-TR"/>
              </w:rPr>
            </w:pPr>
            <w:r w:rsidRPr="00005453">
              <w:rPr>
                <w:sz w:val="14"/>
                <w:szCs w:val="14"/>
                <w:lang w:eastAsia="tr-TR"/>
              </w:rPr>
              <w:t>Para piyasalarından alacaklar</w:t>
            </w:r>
          </w:p>
        </w:tc>
        <w:tc>
          <w:tcPr>
            <w:tcW w:w="1267" w:type="dxa"/>
            <w:tcBorders>
              <w:top w:val="nil"/>
              <w:left w:val="nil"/>
              <w:bottom w:val="nil"/>
              <w:right w:val="nil"/>
            </w:tcBorders>
            <w:shd w:val="clear" w:color="auto" w:fill="auto"/>
            <w:vAlign w:val="center"/>
            <w:hideMark/>
          </w:tcPr>
          <w:p w14:paraId="14805EF0" w14:textId="39EF2697"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1BC6CB0C" w14:textId="1DB80BD8" w:rsidR="003D6DB9" w:rsidRPr="00005453" w:rsidRDefault="003D6DB9" w:rsidP="003D6DB9">
            <w:pPr>
              <w:jc w:val="right"/>
              <w:rPr>
                <w:sz w:val="14"/>
                <w:szCs w:val="14"/>
              </w:rPr>
            </w:pPr>
            <w:r w:rsidRPr="00005453">
              <w:rPr>
                <w:sz w:val="14"/>
                <w:szCs w:val="18"/>
              </w:rPr>
              <w:t>-</w:t>
            </w:r>
          </w:p>
        </w:tc>
        <w:tc>
          <w:tcPr>
            <w:tcW w:w="1364" w:type="dxa"/>
            <w:tcBorders>
              <w:top w:val="nil"/>
              <w:left w:val="nil"/>
              <w:bottom w:val="nil"/>
              <w:right w:val="nil"/>
            </w:tcBorders>
            <w:shd w:val="clear" w:color="auto" w:fill="auto"/>
            <w:vAlign w:val="center"/>
            <w:hideMark/>
          </w:tcPr>
          <w:p w14:paraId="34684521" w14:textId="1684DC47"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1F30DE8E" w14:textId="53AE2EED" w:rsidR="003D6DB9" w:rsidRPr="00005453" w:rsidRDefault="003D6DB9" w:rsidP="003D6DB9">
            <w:pPr>
              <w:jc w:val="right"/>
              <w:rPr>
                <w:sz w:val="14"/>
                <w:szCs w:val="14"/>
              </w:rPr>
            </w:pPr>
            <w:r w:rsidRPr="00005453">
              <w:rPr>
                <w:sz w:val="14"/>
                <w:szCs w:val="18"/>
              </w:rPr>
              <w:t>-</w:t>
            </w:r>
          </w:p>
        </w:tc>
      </w:tr>
      <w:tr w:rsidR="003D6DB9" w:rsidRPr="00005453" w14:paraId="19804008" w14:textId="77777777" w:rsidTr="003D6DB9">
        <w:trPr>
          <w:divId w:val="1787577962"/>
          <w:trHeight w:val="203"/>
        </w:trPr>
        <w:tc>
          <w:tcPr>
            <w:tcW w:w="3853" w:type="dxa"/>
            <w:tcBorders>
              <w:top w:val="nil"/>
              <w:left w:val="nil"/>
              <w:bottom w:val="nil"/>
              <w:right w:val="nil"/>
            </w:tcBorders>
            <w:shd w:val="clear" w:color="auto" w:fill="auto"/>
            <w:hideMark/>
          </w:tcPr>
          <w:p w14:paraId="34B9F6D0" w14:textId="77777777" w:rsidR="003D6DB9" w:rsidRPr="00005453" w:rsidRDefault="003D6DB9" w:rsidP="003D6DB9">
            <w:pPr>
              <w:rPr>
                <w:sz w:val="14"/>
                <w:szCs w:val="14"/>
                <w:lang w:eastAsia="tr-TR"/>
              </w:rPr>
            </w:pPr>
            <w:r w:rsidRPr="00005453">
              <w:rPr>
                <w:sz w:val="14"/>
                <w:szCs w:val="14"/>
                <w:lang w:eastAsia="tr-TR"/>
              </w:rPr>
              <w:t>Gerçeğe uygun değer farkı diğer kapsamlı gelire yansıtılan finansal varlıklar</w:t>
            </w:r>
          </w:p>
        </w:tc>
        <w:tc>
          <w:tcPr>
            <w:tcW w:w="1267" w:type="dxa"/>
            <w:tcBorders>
              <w:top w:val="nil"/>
              <w:left w:val="nil"/>
              <w:bottom w:val="nil"/>
              <w:right w:val="nil"/>
            </w:tcBorders>
            <w:shd w:val="clear" w:color="auto" w:fill="auto"/>
            <w:vAlign w:val="center"/>
            <w:hideMark/>
          </w:tcPr>
          <w:p w14:paraId="5D3E6067" w14:textId="476B454F" w:rsidR="003D6DB9" w:rsidRPr="00005453" w:rsidRDefault="003D6DB9" w:rsidP="003D6DB9">
            <w:pPr>
              <w:jc w:val="right"/>
              <w:rPr>
                <w:sz w:val="14"/>
                <w:szCs w:val="14"/>
              </w:rPr>
            </w:pPr>
            <w:r w:rsidRPr="00005453">
              <w:rPr>
                <w:sz w:val="14"/>
                <w:szCs w:val="18"/>
              </w:rPr>
              <w:t>8,713</w:t>
            </w:r>
          </w:p>
        </w:tc>
        <w:tc>
          <w:tcPr>
            <w:tcW w:w="1259" w:type="dxa"/>
            <w:tcBorders>
              <w:top w:val="nil"/>
              <w:left w:val="nil"/>
              <w:bottom w:val="nil"/>
              <w:right w:val="nil"/>
            </w:tcBorders>
            <w:shd w:val="clear" w:color="auto" w:fill="auto"/>
            <w:vAlign w:val="center"/>
            <w:hideMark/>
          </w:tcPr>
          <w:p w14:paraId="3D053D43" w14:textId="600CDE27" w:rsidR="003D6DB9" w:rsidRPr="00005453" w:rsidRDefault="003D6DB9" w:rsidP="003D6DB9">
            <w:pPr>
              <w:jc w:val="right"/>
              <w:rPr>
                <w:sz w:val="14"/>
                <w:szCs w:val="14"/>
              </w:rPr>
            </w:pPr>
            <w:r w:rsidRPr="00005453">
              <w:rPr>
                <w:sz w:val="14"/>
                <w:szCs w:val="18"/>
              </w:rPr>
              <w:t>22,902,934</w:t>
            </w:r>
          </w:p>
        </w:tc>
        <w:tc>
          <w:tcPr>
            <w:tcW w:w="1364" w:type="dxa"/>
            <w:tcBorders>
              <w:top w:val="nil"/>
              <w:left w:val="nil"/>
              <w:bottom w:val="nil"/>
              <w:right w:val="nil"/>
            </w:tcBorders>
            <w:shd w:val="clear" w:color="auto" w:fill="auto"/>
            <w:vAlign w:val="center"/>
            <w:hideMark/>
          </w:tcPr>
          <w:p w14:paraId="0D0C181F" w14:textId="4651F339"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24061C81" w14:textId="212ABACB" w:rsidR="003D6DB9" w:rsidRPr="00005453" w:rsidRDefault="003D6DB9" w:rsidP="003D6DB9">
            <w:pPr>
              <w:jc w:val="right"/>
              <w:rPr>
                <w:sz w:val="14"/>
                <w:szCs w:val="14"/>
              </w:rPr>
            </w:pPr>
            <w:r w:rsidRPr="00005453">
              <w:rPr>
                <w:sz w:val="14"/>
                <w:szCs w:val="18"/>
              </w:rPr>
              <w:t>22,911,647</w:t>
            </w:r>
          </w:p>
        </w:tc>
      </w:tr>
      <w:tr w:rsidR="003D6DB9" w:rsidRPr="00005453" w14:paraId="59B6ECFC" w14:textId="77777777" w:rsidTr="003D6DB9">
        <w:trPr>
          <w:divId w:val="1787577962"/>
          <w:trHeight w:val="203"/>
        </w:trPr>
        <w:tc>
          <w:tcPr>
            <w:tcW w:w="3853" w:type="dxa"/>
            <w:tcBorders>
              <w:top w:val="nil"/>
              <w:left w:val="nil"/>
              <w:bottom w:val="nil"/>
              <w:right w:val="nil"/>
            </w:tcBorders>
            <w:shd w:val="clear" w:color="auto" w:fill="auto"/>
            <w:hideMark/>
          </w:tcPr>
          <w:p w14:paraId="68252B1A" w14:textId="77777777" w:rsidR="003D6DB9" w:rsidRPr="00005453" w:rsidRDefault="003D6DB9" w:rsidP="003D6DB9">
            <w:pPr>
              <w:rPr>
                <w:sz w:val="14"/>
                <w:szCs w:val="14"/>
                <w:lang w:eastAsia="tr-TR"/>
              </w:rPr>
            </w:pPr>
            <w:r w:rsidRPr="00005453">
              <w:rPr>
                <w:sz w:val="14"/>
                <w:szCs w:val="14"/>
                <w:lang w:eastAsia="tr-TR"/>
              </w:rPr>
              <w:t>Krediler ve kiralama işlemlerinden alacaklar (*)</w:t>
            </w:r>
          </w:p>
        </w:tc>
        <w:tc>
          <w:tcPr>
            <w:tcW w:w="1267" w:type="dxa"/>
            <w:tcBorders>
              <w:top w:val="nil"/>
              <w:left w:val="nil"/>
              <w:bottom w:val="nil"/>
              <w:right w:val="nil"/>
            </w:tcBorders>
            <w:shd w:val="clear" w:color="auto" w:fill="auto"/>
            <w:vAlign w:val="center"/>
            <w:hideMark/>
          </w:tcPr>
          <w:p w14:paraId="74F3671F" w14:textId="4008FD69" w:rsidR="003D6DB9" w:rsidRPr="00005453" w:rsidRDefault="003D6DB9" w:rsidP="003D6DB9">
            <w:pPr>
              <w:jc w:val="right"/>
              <w:rPr>
                <w:sz w:val="14"/>
                <w:szCs w:val="14"/>
              </w:rPr>
            </w:pPr>
            <w:r w:rsidRPr="00005453">
              <w:rPr>
                <w:sz w:val="14"/>
                <w:szCs w:val="18"/>
              </w:rPr>
              <w:t>73,167,897</w:t>
            </w:r>
          </w:p>
        </w:tc>
        <w:tc>
          <w:tcPr>
            <w:tcW w:w="1259" w:type="dxa"/>
            <w:tcBorders>
              <w:top w:val="nil"/>
              <w:left w:val="nil"/>
              <w:bottom w:val="nil"/>
              <w:right w:val="nil"/>
            </w:tcBorders>
            <w:shd w:val="clear" w:color="auto" w:fill="auto"/>
            <w:vAlign w:val="center"/>
            <w:hideMark/>
          </w:tcPr>
          <w:p w14:paraId="38C818EF" w14:textId="5C7C7E65" w:rsidR="003D6DB9" w:rsidRPr="00005453" w:rsidRDefault="003D6DB9" w:rsidP="003D6DB9">
            <w:pPr>
              <w:jc w:val="right"/>
              <w:rPr>
                <w:sz w:val="14"/>
                <w:szCs w:val="14"/>
              </w:rPr>
            </w:pPr>
            <w:r w:rsidRPr="00005453">
              <w:rPr>
                <w:sz w:val="14"/>
                <w:szCs w:val="18"/>
              </w:rPr>
              <w:t>115,725,563</w:t>
            </w:r>
          </w:p>
        </w:tc>
        <w:tc>
          <w:tcPr>
            <w:tcW w:w="1364" w:type="dxa"/>
            <w:tcBorders>
              <w:top w:val="nil"/>
              <w:left w:val="nil"/>
              <w:bottom w:val="nil"/>
              <w:right w:val="nil"/>
            </w:tcBorders>
            <w:shd w:val="clear" w:color="auto" w:fill="auto"/>
            <w:vAlign w:val="center"/>
            <w:hideMark/>
          </w:tcPr>
          <w:p w14:paraId="6F714849" w14:textId="25A95F5F" w:rsidR="003D6DB9" w:rsidRPr="00005453" w:rsidRDefault="003D6DB9" w:rsidP="003D6DB9">
            <w:pPr>
              <w:jc w:val="right"/>
              <w:rPr>
                <w:sz w:val="14"/>
                <w:szCs w:val="14"/>
              </w:rPr>
            </w:pPr>
            <w:r w:rsidRPr="00005453">
              <w:rPr>
                <w:sz w:val="14"/>
                <w:szCs w:val="18"/>
              </w:rPr>
              <w:t>34,578</w:t>
            </w:r>
          </w:p>
        </w:tc>
        <w:tc>
          <w:tcPr>
            <w:tcW w:w="1558" w:type="dxa"/>
            <w:tcBorders>
              <w:top w:val="nil"/>
              <w:left w:val="nil"/>
              <w:bottom w:val="nil"/>
              <w:right w:val="nil"/>
            </w:tcBorders>
            <w:shd w:val="clear" w:color="auto" w:fill="auto"/>
            <w:vAlign w:val="center"/>
            <w:hideMark/>
          </w:tcPr>
          <w:p w14:paraId="67EF12F3" w14:textId="75097DBF" w:rsidR="003D6DB9" w:rsidRPr="00005453" w:rsidRDefault="003D6DB9" w:rsidP="003D6DB9">
            <w:pPr>
              <w:jc w:val="right"/>
              <w:rPr>
                <w:sz w:val="14"/>
                <w:szCs w:val="14"/>
              </w:rPr>
            </w:pPr>
            <w:r w:rsidRPr="00005453">
              <w:rPr>
                <w:sz w:val="14"/>
                <w:szCs w:val="18"/>
              </w:rPr>
              <w:t>188,928,038</w:t>
            </w:r>
          </w:p>
        </w:tc>
      </w:tr>
      <w:tr w:rsidR="003D6DB9" w:rsidRPr="00005453" w14:paraId="0920D447" w14:textId="77777777" w:rsidTr="003D6DB9">
        <w:trPr>
          <w:divId w:val="1787577962"/>
          <w:trHeight w:val="203"/>
        </w:trPr>
        <w:tc>
          <w:tcPr>
            <w:tcW w:w="3853" w:type="dxa"/>
            <w:tcBorders>
              <w:top w:val="nil"/>
              <w:left w:val="nil"/>
              <w:bottom w:val="nil"/>
              <w:right w:val="nil"/>
            </w:tcBorders>
            <w:shd w:val="clear" w:color="auto" w:fill="auto"/>
            <w:hideMark/>
          </w:tcPr>
          <w:p w14:paraId="59AE7149" w14:textId="77777777" w:rsidR="003D6DB9" w:rsidRPr="00005453" w:rsidRDefault="003D6DB9" w:rsidP="003D6DB9">
            <w:pPr>
              <w:rPr>
                <w:sz w:val="14"/>
                <w:szCs w:val="14"/>
                <w:lang w:eastAsia="tr-TR"/>
              </w:rPr>
            </w:pPr>
            <w:r w:rsidRPr="00005453">
              <w:rPr>
                <w:sz w:val="14"/>
                <w:szCs w:val="14"/>
                <w:lang w:eastAsia="tr-TR"/>
              </w:rPr>
              <w:t>İştirak, bağlı ortaklık ve birlikte kontrol edilen ortaklıklar (iş ortaklıkları) (**)</w:t>
            </w:r>
          </w:p>
        </w:tc>
        <w:tc>
          <w:tcPr>
            <w:tcW w:w="1267" w:type="dxa"/>
            <w:tcBorders>
              <w:top w:val="nil"/>
              <w:left w:val="nil"/>
              <w:bottom w:val="nil"/>
              <w:right w:val="nil"/>
            </w:tcBorders>
            <w:shd w:val="clear" w:color="auto" w:fill="auto"/>
            <w:vAlign w:val="center"/>
            <w:hideMark/>
          </w:tcPr>
          <w:p w14:paraId="143CF362" w14:textId="4F0E60CF" w:rsidR="003D6DB9" w:rsidRPr="00005453" w:rsidRDefault="003D6DB9" w:rsidP="003D6DB9">
            <w:pPr>
              <w:jc w:val="right"/>
              <w:rPr>
                <w:sz w:val="14"/>
                <w:szCs w:val="14"/>
              </w:rPr>
            </w:pPr>
            <w:r w:rsidRPr="00005453">
              <w:rPr>
                <w:sz w:val="14"/>
                <w:szCs w:val="18"/>
              </w:rPr>
              <w:t>1,592,030</w:t>
            </w:r>
          </w:p>
        </w:tc>
        <w:tc>
          <w:tcPr>
            <w:tcW w:w="1259" w:type="dxa"/>
            <w:tcBorders>
              <w:top w:val="nil"/>
              <w:left w:val="nil"/>
              <w:bottom w:val="nil"/>
              <w:right w:val="nil"/>
            </w:tcBorders>
            <w:shd w:val="clear" w:color="auto" w:fill="auto"/>
            <w:vAlign w:val="center"/>
            <w:hideMark/>
          </w:tcPr>
          <w:p w14:paraId="0151C5BB" w14:textId="4E21BEB5" w:rsidR="003D6DB9" w:rsidRPr="00005453" w:rsidRDefault="003D6DB9" w:rsidP="003D6DB9">
            <w:pPr>
              <w:jc w:val="right"/>
              <w:rPr>
                <w:sz w:val="14"/>
                <w:szCs w:val="14"/>
              </w:rPr>
            </w:pPr>
            <w:r w:rsidRPr="00005453">
              <w:rPr>
                <w:sz w:val="14"/>
                <w:szCs w:val="18"/>
              </w:rPr>
              <w:t>-</w:t>
            </w:r>
          </w:p>
        </w:tc>
        <w:tc>
          <w:tcPr>
            <w:tcW w:w="1364" w:type="dxa"/>
            <w:tcBorders>
              <w:top w:val="nil"/>
              <w:left w:val="nil"/>
              <w:bottom w:val="nil"/>
              <w:right w:val="nil"/>
            </w:tcBorders>
            <w:shd w:val="clear" w:color="auto" w:fill="auto"/>
            <w:vAlign w:val="center"/>
            <w:hideMark/>
          </w:tcPr>
          <w:p w14:paraId="391B4338" w14:textId="6BADF887"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65EE7C3B" w14:textId="63FA1EEA" w:rsidR="003D6DB9" w:rsidRPr="00005453" w:rsidRDefault="003D6DB9" w:rsidP="003D6DB9">
            <w:pPr>
              <w:jc w:val="right"/>
              <w:rPr>
                <w:sz w:val="14"/>
                <w:szCs w:val="14"/>
              </w:rPr>
            </w:pPr>
            <w:r w:rsidRPr="00005453">
              <w:rPr>
                <w:sz w:val="14"/>
                <w:szCs w:val="18"/>
              </w:rPr>
              <w:t>1,592,030</w:t>
            </w:r>
          </w:p>
        </w:tc>
      </w:tr>
      <w:tr w:rsidR="003D6DB9" w:rsidRPr="00005453" w14:paraId="4F553D64" w14:textId="77777777" w:rsidTr="003D6DB9">
        <w:trPr>
          <w:divId w:val="1787577962"/>
          <w:trHeight w:val="203"/>
        </w:trPr>
        <w:tc>
          <w:tcPr>
            <w:tcW w:w="3853" w:type="dxa"/>
            <w:tcBorders>
              <w:top w:val="nil"/>
              <w:left w:val="nil"/>
              <w:bottom w:val="nil"/>
              <w:right w:val="nil"/>
            </w:tcBorders>
            <w:shd w:val="clear" w:color="auto" w:fill="auto"/>
            <w:hideMark/>
          </w:tcPr>
          <w:p w14:paraId="4B7C7066" w14:textId="7148AD2E" w:rsidR="003D6DB9" w:rsidRPr="00005453" w:rsidRDefault="003D6DB9" w:rsidP="003D6DB9">
            <w:pPr>
              <w:rPr>
                <w:sz w:val="14"/>
                <w:szCs w:val="14"/>
                <w:lang w:eastAsia="tr-TR"/>
              </w:rPr>
            </w:pPr>
            <w:r w:rsidRPr="00005453">
              <w:rPr>
                <w:sz w:val="14"/>
                <w:szCs w:val="14"/>
                <w:lang w:eastAsia="tr-TR"/>
              </w:rPr>
              <w:t>İtfa edilmiş maliyeti ile ölçülen finansal varlıklar</w:t>
            </w:r>
            <w:r w:rsidR="00E90CB1" w:rsidRPr="00005453">
              <w:rPr>
                <w:sz w:val="14"/>
                <w:szCs w:val="14"/>
                <w:lang w:eastAsia="tr-TR"/>
              </w:rPr>
              <w:t xml:space="preserve"> (*******)</w:t>
            </w:r>
          </w:p>
        </w:tc>
        <w:tc>
          <w:tcPr>
            <w:tcW w:w="1267" w:type="dxa"/>
            <w:tcBorders>
              <w:top w:val="nil"/>
              <w:left w:val="nil"/>
              <w:bottom w:val="nil"/>
              <w:right w:val="nil"/>
            </w:tcBorders>
            <w:shd w:val="clear" w:color="auto" w:fill="auto"/>
            <w:vAlign w:val="center"/>
            <w:hideMark/>
          </w:tcPr>
          <w:p w14:paraId="7FF0D344" w14:textId="244E6A2F"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54E5CC37" w14:textId="5DFE743E" w:rsidR="003D6DB9" w:rsidRPr="00005453" w:rsidRDefault="003D6DB9" w:rsidP="003D6DB9">
            <w:pPr>
              <w:jc w:val="right"/>
              <w:rPr>
                <w:sz w:val="14"/>
                <w:szCs w:val="14"/>
              </w:rPr>
            </w:pPr>
            <w:r w:rsidRPr="00005453">
              <w:rPr>
                <w:sz w:val="14"/>
                <w:szCs w:val="18"/>
              </w:rPr>
              <w:t>25,519,129</w:t>
            </w:r>
          </w:p>
        </w:tc>
        <w:tc>
          <w:tcPr>
            <w:tcW w:w="1364" w:type="dxa"/>
            <w:tcBorders>
              <w:top w:val="nil"/>
              <w:left w:val="nil"/>
              <w:bottom w:val="nil"/>
              <w:right w:val="nil"/>
            </w:tcBorders>
            <w:shd w:val="clear" w:color="auto" w:fill="auto"/>
            <w:vAlign w:val="center"/>
            <w:hideMark/>
          </w:tcPr>
          <w:p w14:paraId="0ED84535" w14:textId="72F8C647"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19E3B2F6" w14:textId="1D2984A5" w:rsidR="003D6DB9" w:rsidRPr="00005453" w:rsidRDefault="003D6DB9" w:rsidP="003D6DB9">
            <w:pPr>
              <w:jc w:val="right"/>
              <w:rPr>
                <w:sz w:val="14"/>
                <w:szCs w:val="14"/>
              </w:rPr>
            </w:pPr>
            <w:r w:rsidRPr="00005453">
              <w:rPr>
                <w:sz w:val="14"/>
                <w:szCs w:val="18"/>
              </w:rPr>
              <w:t>25,519,129</w:t>
            </w:r>
          </w:p>
        </w:tc>
      </w:tr>
      <w:tr w:rsidR="003D6DB9" w:rsidRPr="00005453" w14:paraId="35EECC97" w14:textId="77777777" w:rsidTr="003D6DB9">
        <w:trPr>
          <w:divId w:val="1787577962"/>
          <w:trHeight w:val="203"/>
        </w:trPr>
        <w:tc>
          <w:tcPr>
            <w:tcW w:w="3853" w:type="dxa"/>
            <w:tcBorders>
              <w:top w:val="nil"/>
              <w:left w:val="nil"/>
              <w:bottom w:val="nil"/>
              <w:right w:val="nil"/>
            </w:tcBorders>
            <w:shd w:val="clear" w:color="auto" w:fill="auto"/>
            <w:hideMark/>
          </w:tcPr>
          <w:p w14:paraId="1420FDBF" w14:textId="77777777" w:rsidR="003D6DB9" w:rsidRPr="00005453" w:rsidRDefault="003D6DB9" w:rsidP="003D6DB9">
            <w:pPr>
              <w:rPr>
                <w:sz w:val="14"/>
                <w:szCs w:val="14"/>
                <w:lang w:eastAsia="tr-TR"/>
              </w:rPr>
            </w:pPr>
            <w:r w:rsidRPr="00005453">
              <w:rPr>
                <w:sz w:val="14"/>
                <w:szCs w:val="14"/>
                <w:lang w:eastAsia="tr-TR"/>
              </w:rPr>
              <w:t>Riskten korunma amaçlı türev finansal varlıklar</w:t>
            </w:r>
          </w:p>
        </w:tc>
        <w:tc>
          <w:tcPr>
            <w:tcW w:w="1267" w:type="dxa"/>
            <w:tcBorders>
              <w:top w:val="nil"/>
              <w:left w:val="nil"/>
              <w:bottom w:val="nil"/>
              <w:right w:val="nil"/>
            </w:tcBorders>
            <w:shd w:val="clear" w:color="auto" w:fill="auto"/>
            <w:vAlign w:val="center"/>
            <w:hideMark/>
          </w:tcPr>
          <w:p w14:paraId="50B348C0" w14:textId="12CCBF8C"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08FAC8B7" w14:textId="65A9627C" w:rsidR="003D6DB9" w:rsidRPr="00005453" w:rsidRDefault="003D6DB9" w:rsidP="003D6DB9">
            <w:pPr>
              <w:jc w:val="right"/>
              <w:rPr>
                <w:sz w:val="14"/>
                <w:szCs w:val="14"/>
              </w:rPr>
            </w:pPr>
            <w:r w:rsidRPr="00005453">
              <w:rPr>
                <w:sz w:val="14"/>
                <w:szCs w:val="18"/>
              </w:rPr>
              <w:t>-</w:t>
            </w:r>
          </w:p>
        </w:tc>
        <w:tc>
          <w:tcPr>
            <w:tcW w:w="1364" w:type="dxa"/>
            <w:tcBorders>
              <w:top w:val="nil"/>
              <w:left w:val="nil"/>
              <w:bottom w:val="nil"/>
              <w:right w:val="nil"/>
            </w:tcBorders>
            <w:shd w:val="clear" w:color="auto" w:fill="auto"/>
            <w:vAlign w:val="center"/>
            <w:hideMark/>
          </w:tcPr>
          <w:p w14:paraId="17F2DB97" w14:textId="225BE38E"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5ADEF1CB" w14:textId="3145ABE3" w:rsidR="003D6DB9" w:rsidRPr="00005453" w:rsidRDefault="003D6DB9" w:rsidP="003D6DB9">
            <w:pPr>
              <w:jc w:val="right"/>
              <w:rPr>
                <w:sz w:val="14"/>
                <w:szCs w:val="14"/>
              </w:rPr>
            </w:pPr>
            <w:r w:rsidRPr="00005453">
              <w:rPr>
                <w:sz w:val="14"/>
                <w:szCs w:val="18"/>
              </w:rPr>
              <w:t>-</w:t>
            </w:r>
          </w:p>
        </w:tc>
      </w:tr>
      <w:tr w:rsidR="003D6DB9" w:rsidRPr="00005453" w14:paraId="74B16C89" w14:textId="77777777" w:rsidTr="003D6DB9">
        <w:trPr>
          <w:divId w:val="1787577962"/>
          <w:trHeight w:val="203"/>
        </w:trPr>
        <w:tc>
          <w:tcPr>
            <w:tcW w:w="3853" w:type="dxa"/>
            <w:tcBorders>
              <w:top w:val="nil"/>
              <w:left w:val="nil"/>
              <w:bottom w:val="nil"/>
              <w:right w:val="nil"/>
            </w:tcBorders>
            <w:shd w:val="clear" w:color="auto" w:fill="auto"/>
            <w:hideMark/>
          </w:tcPr>
          <w:p w14:paraId="252BA083" w14:textId="77777777" w:rsidR="003D6DB9" w:rsidRPr="00005453" w:rsidRDefault="003D6DB9" w:rsidP="003D6DB9">
            <w:pPr>
              <w:rPr>
                <w:sz w:val="14"/>
                <w:szCs w:val="14"/>
                <w:lang w:eastAsia="tr-TR"/>
              </w:rPr>
            </w:pPr>
            <w:r w:rsidRPr="00005453">
              <w:rPr>
                <w:sz w:val="14"/>
                <w:szCs w:val="14"/>
                <w:lang w:eastAsia="tr-TR"/>
              </w:rPr>
              <w:t>Maddi Duran Varlıklar</w:t>
            </w:r>
          </w:p>
        </w:tc>
        <w:tc>
          <w:tcPr>
            <w:tcW w:w="1267" w:type="dxa"/>
            <w:tcBorders>
              <w:top w:val="nil"/>
              <w:left w:val="nil"/>
              <w:bottom w:val="nil"/>
              <w:right w:val="nil"/>
            </w:tcBorders>
            <w:shd w:val="clear" w:color="auto" w:fill="auto"/>
            <w:vAlign w:val="center"/>
            <w:hideMark/>
          </w:tcPr>
          <w:p w14:paraId="15B98B66" w14:textId="244D47C7"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0A257850" w14:textId="522FF331" w:rsidR="003D6DB9" w:rsidRPr="00005453" w:rsidRDefault="003D6DB9" w:rsidP="003D6DB9">
            <w:pPr>
              <w:jc w:val="right"/>
              <w:rPr>
                <w:sz w:val="14"/>
                <w:szCs w:val="14"/>
              </w:rPr>
            </w:pPr>
            <w:r w:rsidRPr="00005453">
              <w:rPr>
                <w:sz w:val="14"/>
                <w:szCs w:val="18"/>
              </w:rPr>
              <w:t>4,852</w:t>
            </w:r>
          </w:p>
        </w:tc>
        <w:tc>
          <w:tcPr>
            <w:tcW w:w="1364" w:type="dxa"/>
            <w:tcBorders>
              <w:top w:val="nil"/>
              <w:left w:val="nil"/>
              <w:bottom w:val="nil"/>
              <w:right w:val="nil"/>
            </w:tcBorders>
            <w:shd w:val="clear" w:color="auto" w:fill="auto"/>
            <w:vAlign w:val="center"/>
            <w:hideMark/>
          </w:tcPr>
          <w:p w14:paraId="5A8547A3" w14:textId="2DBF46E1"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461A295B" w14:textId="3D02E9E2" w:rsidR="003D6DB9" w:rsidRPr="00005453" w:rsidRDefault="003D6DB9" w:rsidP="003D6DB9">
            <w:pPr>
              <w:jc w:val="right"/>
              <w:rPr>
                <w:sz w:val="14"/>
                <w:szCs w:val="14"/>
              </w:rPr>
            </w:pPr>
            <w:r w:rsidRPr="00005453">
              <w:rPr>
                <w:sz w:val="14"/>
                <w:szCs w:val="18"/>
              </w:rPr>
              <w:t>4,852</w:t>
            </w:r>
          </w:p>
        </w:tc>
      </w:tr>
      <w:tr w:rsidR="003D6DB9" w:rsidRPr="00005453" w14:paraId="1AB3ED83" w14:textId="77777777" w:rsidTr="003D6DB9">
        <w:trPr>
          <w:divId w:val="1787577962"/>
          <w:trHeight w:val="203"/>
        </w:trPr>
        <w:tc>
          <w:tcPr>
            <w:tcW w:w="3853" w:type="dxa"/>
            <w:tcBorders>
              <w:top w:val="nil"/>
              <w:left w:val="nil"/>
              <w:bottom w:val="nil"/>
              <w:right w:val="nil"/>
            </w:tcBorders>
            <w:shd w:val="clear" w:color="auto" w:fill="auto"/>
            <w:hideMark/>
          </w:tcPr>
          <w:p w14:paraId="559DB3DC" w14:textId="77777777" w:rsidR="003D6DB9" w:rsidRPr="00005453" w:rsidRDefault="003D6DB9" w:rsidP="003D6DB9">
            <w:pPr>
              <w:rPr>
                <w:sz w:val="14"/>
                <w:szCs w:val="14"/>
                <w:lang w:eastAsia="tr-TR"/>
              </w:rPr>
            </w:pPr>
            <w:r w:rsidRPr="00005453">
              <w:rPr>
                <w:sz w:val="14"/>
                <w:szCs w:val="14"/>
                <w:lang w:eastAsia="tr-TR"/>
              </w:rPr>
              <w:t>Maddi Olmayan Duran Varlıklar</w:t>
            </w:r>
          </w:p>
        </w:tc>
        <w:tc>
          <w:tcPr>
            <w:tcW w:w="1267" w:type="dxa"/>
            <w:tcBorders>
              <w:top w:val="nil"/>
              <w:left w:val="nil"/>
              <w:bottom w:val="nil"/>
              <w:right w:val="nil"/>
            </w:tcBorders>
            <w:shd w:val="clear" w:color="auto" w:fill="auto"/>
            <w:vAlign w:val="center"/>
            <w:hideMark/>
          </w:tcPr>
          <w:p w14:paraId="1E09F4F0" w14:textId="4D344BA6"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7F0651E2" w14:textId="3DB18A8E" w:rsidR="003D6DB9" w:rsidRPr="00005453" w:rsidRDefault="003D6DB9" w:rsidP="003D6DB9">
            <w:pPr>
              <w:jc w:val="right"/>
              <w:rPr>
                <w:sz w:val="14"/>
                <w:szCs w:val="14"/>
              </w:rPr>
            </w:pPr>
            <w:r w:rsidRPr="00005453">
              <w:rPr>
                <w:sz w:val="14"/>
                <w:szCs w:val="18"/>
              </w:rPr>
              <w:t>247</w:t>
            </w:r>
          </w:p>
        </w:tc>
        <w:tc>
          <w:tcPr>
            <w:tcW w:w="1364" w:type="dxa"/>
            <w:tcBorders>
              <w:top w:val="nil"/>
              <w:left w:val="nil"/>
              <w:bottom w:val="nil"/>
              <w:right w:val="nil"/>
            </w:tcBorders>
            <w:shd w:val="clear" w:color="auto" w:fill="auto"/>
            <w:vAlign w:val="center"/>
            <w:hideMark/>
          </w:tcPr>
          <w:p w14:paraId="30803BDF" w14:textId="025CCB01"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42859BB9" w14:textId="28AE62F2" w:rsidR="003D6DB9" w:rsidRPr="00005453" w:rsidRDefault="003D6DB9" w:rsidP="003D6DB9">
            <w:pPr>
              <w:jc w:val="right"/>
              <w:rPr>
                <w:sz w:val="14"/>
                <w:szCs w:val="14"/>
              </w:rPr>
            </w:pPr>
            <w:r w:rsidRPr="00005453">
              <w:rPr>
                <w:sz w:val="14"/>
                <w:szCs w:val="18"/>
              </w:rPr>
              <w:t>247</w:t>
            </w:r>
          </w:p>
        </w:tc>
      </w:tr>
      <w:tr w:rsidR="003D6DB9" w:rsidRPr="00005453" w14:paraId="7EB0B30C" w14:textId="77777777" w:rsidTr="003D6DB9">
        <w:trPr>
          <w:divId w:val="1787577962"/>
          <w:trHeight w:val="203"/>
        </w:trPr>
        <w:tc>
          <w:tcPr>
            <w:tcW w:w="3853" w:type="dxa"/>
            <w:tcBorders>
              <w:top w:val="nil"/>
              <w:left w:val="nil"/>
              <w:bottom w:val="nil"/>
              <w:right w:val="nil"/>
            </w:tcBorders>
            <w:shd w:val="clear" w:color="auto" w:fill="auto"/>
            <w:hideMark/>
          </w:tcPr>
          <w:p w14:paraId="03AB8440" w14:textId="77777777" w:rsidR="003D6DB9" w:rsidRPr="00005453" w:rsidRDefault="003D6DB9" w:rsidP="003D6DB9">
            <w:pPr>
              <w:rPr>
                <w:sz w:val="14"/>
                <w:szCs w:val="14"/>
                <w:lang w:eastAsia="tr-TR"/>
              </w:rPr>
            </w:pPr>
            <w:r w:rsidRPr="00005453">
              <w:rPr>
                <w:sz w:val="14"/>
                <w:szCs w:val="14"/>
                <w:lang w:eastAsia="tr-TR"/>
              </w:rPr>
              <w:t xml:space="preserve">Diğer Varlıklar </w:t>
            </w:r>
          </w:p>
        </w:tc>
        <w:tc>
          <w:tcPr>
            <w:tcW w:w="1267" w:type="dxa"/>
            <w:tcBorders>
              <w:top w:val="nil"/>
              <w:left w:val="nil"/>
              <w:bottom w:val="nil"/>
              <w:right w:val="nil"/>
            </w:tcBorders>
            <w:shd w:val="clear" w:color="auto" w:fill="auto"/>
            <w:vAlign w:val="center"/>
            <w:hideMark/>
          </w:tcPr>
          <w:p w14:paraId="65FD2D91" w14:textId="1104D646" w:rsidR="003D6DB9" w:rsidRPr="00005453" w:rsidRDefault="003D6DB9" w:rsidP="003D6DB9">
            <w:pPr>
              <w:jc w:val="right"/>
              <w:rPr>
                <w:sz w:val="14"/>
                <w:szCs w:val="14"/>
              </w:rPr>
            </w:pPr>
            <w:r w:rsidRPr="00005453">
              <w:rPr>
                <w:sz w:val="14"/>
                <w:szCs w:val="18"/>
              </w:rPr>
              <w:t>44,768</w:t>
            </w:r>
          </w:p>
        </w:tc>
        <w:tc>
          <w:tcPr>
            <w:tcW w:w="1259" w:type="dxa"/>
            <w:tcBorders>
              <w:top w:val="nil"/>
              <w:left w:val="nil"/>
              <w:bottom w:val="nil"/>
              <w:right w:val="nil"/>
            </w:tcBorders>
            <w:shd w:val="clear" w:color="auto" w:fill="auto"/>
            <w:vAlign w:val="center"/>
            <w:hideMark/>
          </w:tcPr>
          <w:p w14:paraId="3CC9F4DC" w14:textId="7F492C23" w:rsidR="003D6DB9" w:rsidRPr="00005453" w:rsidRDefault="003D6DB9" w:rsidP="003D6DB9">
            <w:pPr>
              <w:jc w:val="right"/>
              <w:rPr>
                <w:sz w:val="14"/>
                <w:szCs w:val="14"/>
              </w:rPr>
            </w:pPr>
            <w:r w:rsidRPr="00005453">
              <w:rPr>
                <w:sz w:val="14"/>
                <w:szCs w:val="18"/>
              </w:rPr>
              <w:t>87,258</w:t>
            </w:r>
          </w:p>
        </w:tc>
        <w:tc>
          <w:tcPr>
            <w:tcW w:w="1364" w:type="dxa"/>
            <w:tcBorders>
              <w:top w:val="nil"/>
              <w:left w:val="nil"/>
              <w:bottom w:val="nil"/>
              <w:right w:val="nil"/>
            </w:tcBorders>
            <w:shd w:val="clear" w:color="auto" w:fill="auto"/>
            <w:vAlign w:val="center"/>
            <w:hideMark/>
          </w:tcPr>
          <w:p w14:paraId="2AC365F4" w14:textId="6D7043A0" w:rsidR="003D6DB9" w:rsidRPr="00005453" w:rsidRDefault="003D6DB9" w:rsidP="003D6DB9">
            <w:pPr>
              <w:jc w:val="right"/>
              <w:rPr>
                <w:sz w:val="14"/>
                <w:szCs w:val="14"/>
              </w:rPr>
            </w:pPr>
            <w:r w:rsidRPr="00005453">
              <w:rPr>
                <w:sz w:val="14"/>
                <w:szCs w:val="18"/>
              </w:rPr>
              <w:t>8,949</w:t>
            </w:r>
          </w:p>
        </w:tc>
        <w:tc>
          <w:tcPr>
            <w:tcW w:w="1558" w:type="dxa"/>
            <w:tcBorders>
              <w:top w:val="nil"/>
              <w:left w:val="nil"/>
              <w:bottom w:val="nil"/>
              <w:right w:val="nil"/>
            </w:tcBorders>
            <w:shd w:val="clear" w:color="auto" w:fill="auto"/>
            <w:vAlign w:val="center"/>
            <w:hideMark/>
          </w:tcPr>
          <w:p w14:paraId="252B06CD" w14:textId="3BADE9D3" w:rsidR="003D6DB9" w:rsidRPr="00005453" w:rsidRDefault="003D6DB9" w:rsidP="003D6DB9">
            <w:pPr>
              <w:jc w:val="right"/>
              <w:rPr>
                <w:sz w:val="14"/>
                <w:szCs w:val="14"/>
              </w:rPr>
            </w:pPr>
            <w:r w:rsidRPr="00005453">
              <w:rPr>
                <w:sz w:val="14"/>
                <w:szCs w:val="18"/>
              </w:rPr>
              <w:t>140,975</w:t>
            </w:r>
          </w:p>
        </w:tc>
      </w:tr>
      <w:tr w:rsidR="003D6DB9" w:rsidRPr="00005453" w14:paraId="3E2ECC17" w14:textId="77777777" w:rsidTr="003D6DB9">
        <w:trPr>
          <w:divId w:val="1787577962"/>
          <w:trHeight w:val="184"/>
        </w:trPr>
        <w:tc>
          <w:tcPr>
            <w:tcW w:w="3853" w:type="dxa"/>
            <w:tcBorders>
              <w:top w:val="single" w:sz="4" w:space="0" w:color="auto"/>
              <w:left w:val="nil"/>
              <w:bottom w:val="single" w:sz="4" w:space="0" w:color="auto"/>
              <w:right w:val="nil"/>
            </w:tcBorders>
            <w:shd w:val="clear" w:color="auto" w:fill="auto"/>
            <w:vAlign w:val="center"/>
            <w:hideMark/>
          </w:tcPr>
          <w:p w14:paraId="5BD1C5A0" w14:textId="77777777" w:rsidR="003D6DB9" w:rsidRPr="00005453" w:rsidRDefault="003D6DB9" w:rsidP="003D6DB9">
            <w:pPr>
              <w:rPr>
                <w:b/>
                <w:bCs/>
                <w:sz w:val="14"/>
                <w:szCs w:val="14"/>
                <w:lang w:eastAsia="tr-TR"/>
              </w:rPr>
            </w:pPr>
            <w:r w:rsidRPr="00005453">
              <w:rPr>
                <w:b/>
                <w:bCs/>
                <w:sz w:val="14"/>
                <w:szCs w:val="14"/>
                <w:lang w:eastAsia="tr-TR"/>
              </w:rPr>
              <w:t>Toplam Varlıklar</w:t>
            </w:r>
          </w:p>
        </w:tc>
        <w:tc>
          <w:tcPr>
            <w:tcW w:w="1267" w:type="dxa"/>
            <w:tcBorders>
              <w:top w:val="single" w:sz="4" w:space="0" w:color="auto"/>
              <w:left w:val="nil"/>
              <w:bottom w:val="single" w:sz="4" w:space="0" w:color="auto"/>
              <w:right w:val="nil"/>
            </w:tcBorders>
            <w:shd w:val="clear" w:color="auto" w:fill="auto"/>
            <w:vAlign w:val="center"/>
            <w:hideMark/>
          </w:tcPr>
          <w:p w14:paraId="1997651E" w14:textId="55607DC9" w:rsidR="003D6DB9" w:rsidRPr="00005453" w:rsidRDefault="003D6DB9" w:rsidP="003D6DB9">
            <w:pPr>
              <w:jc w:val="right"/>
              <w:rPr>
                <w:b/>
                <w:bCs/>
                <w:sz w:val="14"/>
                <w:szCs w:val="14"/>
              </w:rPr>
            </w:pPr>
            <w:r w:rsidRPr="00005453">
              <w:rPr>
                <w:b/>
                <w:bCs/>
                <w:sz w:val="14"/>
                <w:szCs w:val="18"/>
              </w:rPr>
              <w:t>98,870,006</w:t>
            </w:r>
          </w:p>
        </w:tc>
        <w:tc>
          <w:tcPr>
            <w:tcW w:w="1259" w:type="dxa"/>
            <w:tcBorders>
              <w:top w:val="single" w:sz="4" w:space="0" w:color="auto"/>
              <w:left w:val="nil"/>
              <w:bottom w:val="single" w:sz="4" w:space="0" w:color="auto"/>
              <w:right w:val="nil"/>
            </w:tcBorders>
            <w:shd w:val="clear" w:color="auto" w:fill="auto"/>
            <w:vAlign w:val="center"/>
            <w:hideMark/>
          </w:tcPr>
          <w:p w14:paraId="600EE924" w14:textId="63DE587F" w:rsidR="003D6DB9" w:rsidRPr="00005453" w:rsidRDefault="003D6DB9" w:rsidP="003D6DB9">
            <w:pPr>
              <w:jc w:val="right"/>
              <w:rPr>
                <w:b/>
                <w:bCs/>
                <w:sz w:val="14"/>
                <w:szCs w:val="14"/>
              </w:rPr>
            </w:pPr>
            <w:r w:rsidRPr="00005453">
              <w:rPr>
                <w:b/>
                <w:bCs/>
                <w:sz w:val="14"/>
                <w:szCs w:val="18"/>
              </w:rPr>
              <w:t>247,845,914</w:t>
            </w:r>
          </w:p>
        </w:tc>
        <w:tc>
          <w:tcPr>
            <w:tcW w:w="1364" w:type="dxa"/>
            <w:tcBorders>
              <w:top w:val="single" w:sz="4" w:space="0" w:color="auto"/>
              <w:left w:val="nil"/>
              <w:bottom w:val="single" w:sz="4" w:space="0" w:color="auto"/>
              <w:right w:val="nil"/>
            </w:tcBorders>
            <w:shd w:val="clear" w:color="auto" w:fill="auto"/>
            <w:vAlign w:val="center"/>
            <w:hideMark/>
          </w:tcPr>
          <w:p w14:paraId="37130197" w14:textId="6B560ADE" w:rsidR="003D6DB9" w:rsidRPr="00005453" w:rsidRDefault="003D6DB9" w:rsidP="003D6DB9">
            <w:pPr>
              <w:jc w:val="right"/>
              <w:rPr>
                <w:b/>
                <w:bCs/>
                <w:sz w:val="14"/>
                <w:szCs w:val="14"/>
              </w:rPr>
            </w:pPr>
            <w:r w:rsidRPr="00005453">
              <w:rPr>
                <w:b/>
                <w:bCs/>
                <w:sz w:val="14"/>
                <w:szCs w:val="18"/>
              </w:rPr>
              <w:t>100,110,561</w:t>
            </w:r>
          </w:p>
        </w:tc>
        <w:tc>
          <w:tcPr>
            <w:tcW w:w="1558" w:type="dxa"/>
            <w:tcBorders>
              <w:top w:val="single" w:sz="4" w:space="0" w:color="auto"/>
              <w:left w:val="nil"/>
              <w:bottom w:val="single" w:sz="4" w:space="0" w:color="auto"/>
              <w:right w:val="nil"/>
            </w:tcBorders>
            <w:shd w:val="clear" w:color="auto" w:fill="auto"/>
            <w:vAlign w:val="center"/>
            <w:hideMark/>
          </w:tcPr>
          <w:p w14:paraId="6F30CCD4" w14:textId="1840EAC2" w:rsidR="003D6DB9" w:rsidRPr="00005453" w:rsidRDefault="003D6DB9" w:rsidP="003D6DB9">
            <w:pPr>
              <w:jc w:val="right"/>
              <w:rPr>
                <w:b/>
                <w:bCs/>
                <w:sz w:val="14"/>
                <w:szCs w:val="14"/>
              </w:rPr>
            </w:pPr>
            <w:r w:rsidRPr="00005453">
              <w:rPr>
                <w:b/>
                <w:bCs/>
                <w:sz w:val="14"/>
                <w:szCs w:val="18"/>
              </w:rPr>
              <w:t>446,826,481</w:t>
            </w:r>
          </w:p>
        </w:tc>
      </w:tr>
      <w:tr w:rsidR="00FA4AFA" w:rsidRPr="00005453" w14:paraId="194D881B" w14:textId="77777777" w:rsidTr="00C827F7">
        <w:trPr>
          <w:divId w:val="1787577962"/>
          <w:trHeight w:val="54"/>
        </w:trPr>
        <w:tc>
          <w:tcPr>
            <w:tcW w:w="3853" w:type="dxa"/>
            <w:tcBorders>
              <w:top w:val="nil"/>
              <w:left w:val="nil"/>
              <w:bottom w:val="nil"/>
              <w:right w:val="nil"/>
            </w:tcBorders>
            <w:shd w:val="clear" w:color="auto" w:fill="auto"/>
            <w:vAlign w:val="center"/>
            <w:hideMark/>
          </w:tcPr>
          <w:p w14:paraId="24585790" w14:textId="77777777" w:rsidR="00FA4AFA" w:rsidRPr="00005453" w:rsidRDefault="00FA4AFA" w:rsidP="00FA4AFA">
            <w:pPr>
              <w:rPr>
                <w:b/>
                <w:bCs/>
                <w:sz w:val="6"/>
                <w:szCs w:val="6"/>
                <w:lang w:eastAsia="tr-TR"/>
              </w:rPr>
            </w:pPr>
          </w:p>
        </w:tc>
        <w:tc>
          <w:tcPr>
            <w:tcW w:w="1267" w:type="dxa"/>
            <w:tcBorders>
              <w:top w:val="nil"/>
              <w:left w:val="nil"/>
              <w:bottom w:val="nil"/>
              <w:right w:val="nil"/>
            </w:tcBorders>
            <w:shd w:val="clear" w:color="auto" w:fill="auto"/>
            <w:vAlign w:val="bottom"/>
            <w:hideMark/>
          </w:tcPr>
          <w:p w14:paraId="6C23F48B" w14:textId="77777777" w:rsidR="00FA4AFA" w:rsidRPr="00005453" w:rsidRDefault="00FA4AFA" w:rsidP="00FA4AFA">
            <w:pPr>
              <w:jc w:val="right"/>
              <w:rPr>
                <w:sz w:val="6"/>
                <w:szCs w:val="6"/>
                <w:lang w:eastAsia="tr-TR"/>
              </w:rPr>
            </w:pPr>
          </w:p>
        </w:tc>
        <w:tc>
          <w:tcPr>
            <w:tcW w:w="1259" w:type="dxa"/>
            <w:tcBorders>
              <w:top w:val="nil"/>
              <w:left w:val="nil"/>
              <w:bottom w:val="nil"/>
              <w:right w:val="nil"/>
            </w:tcBorders>
            <w:shd w:val="clear" w:color="auto" w:fill="auto"/>
            <w:vAlign w:val="bottom"/>
            <w:hideMark/>
          </w:tcPr>
          <w:p w14:paraId="3A697268" w14:textId="77777777" w:rsidR="00FA4AFA" w:rsidRPr="00005453" w:rsidRDefault="00FA4AFA" w:rsidP="00FA4AFA">
            <w:pPr>
              <w:jc w:val="right"/>
              <w:rPr>
                <w:sz w:val="6"/>
                <w:szCs w:val="6"/>
                <w:lang w:eastAsia="tr-TR"/>
              </w:rPr>
            </w:pPr>
          </w:p>
        </w:tc>
        <w:tc>
          <w:tcPr>
            <w:tcW w:w="1364" w:type="dxa"/>
            <w:tcBorders>
              <w:top w:val="nil"/>
              <w:left w:val="nil"/>
              <w:bottom w:val="nil"/>
              <w:right w:val="nil"/>
            </w:tcBorders>
            <w:shd w:val="clear" w:color="auto" w:fill="auto"/>
            <w:vAlign w:val="bottom"/>
            <w:hideMark/>
          </w:tcPr>
          <w:p w14:paraId="7A56C7A2" w14:textId="77777777" w:rsidR="00FA4AFA" w:rsidRPr="00005453" w:rsidRDefault="00FA4AFA" w:rsidP="00FA4AFA">
            <w:pPr>
              <w:jc w:val="right"/>
              <w:rPr>
                <w:sz w:val="6"/>
                <w:szCs w:val="6"/>
                <w:lang w:eastAsia="tr-TR"/>
              </w:rPr>
            </w:pPr>
          </w:p>
        </w:tc>
        <w:tc>
          <w:tcPr>
            <w:tcW w:w="1558" w:type="dxa"/>
            <w:tcBorders>
              <w:top w:val="nil"/>
              <w:left w:val="nil"/>
              <w:bottom w:val="nil"/>
              <w:right w:val="nil"/>
            </w:tcBorders>
            <w:shd w:val="clear" w:color="auto" w:fill="auto"/>
            <w:vAlign w:val="bottom"/>
            <w:hideMark/>
          </w:tcPr>
          <w:p w14:paraId="6E359978" w14:textId="77777777" w:rsidR="00FA4AFA" w:rsidRPr="00005453" w:rsidRDefault="00FA4AFA" w:rsidP="00FA4AFA">
            <w:pPr>
              <w:jc w:val="right"/>
              <w:rPr>
                <w:sz w:val="6"/>
                <w:szCs w:val="6"/>
                <w:lang w:eastAsia="tr-TR"/>
              </w:rPr>
            </w:pPr>
          </w:p>
        </w:tc>
      </w:tr>
      <w:tr w:rsidR="00FA4AFA" w:rsidRPr="00005453" w14:paraId="77071D27" w14:textId="77777777" w:rsidTr="00C827F7">
        <w:trPr>
          <w:divId w:val="1787577962"/>
          <w:trHeight w:val="203"/>
        </w:trPr>
        <w:tc>
          <w:tcPr>
            <w:tcW w:w="3853" w:type="dxa"/>
            <w:tcBorders>
              <w:top w:val="nil"/>
              <w:left w:val="nil"/>
              <w:bottom w:val="nil"/>
              <w:right w:val="nil"/>
            </w:tcBorders>
            <w:shd w:val="clear" w:color="auto" w:fill="auto"/>
            <w:hideMark/>
          </w:tcPr>
          <w:p w14:paraId="4E6B42DB" w14:textId="77777777" w:rsidR="00FA4AFA" w:rsidRPr="00005453" w:rsidRDefault="00FA4AFA" w:rsidP="008C5BE4">
            <w:pPr>
              <w:rPr>
                <w:b/>
                <w:bCs/>
                <w:sz w:val="14"/>
                <w:szCs w:val="14"/>
                <w:lang w:eastAsia="tr-TR"/>
              </w:rPr>
            </w:pPr>
            <w:r w:rsidRPr="00005453">
              <w:rPr>
                <w:b/>
                <w:bCs/>
                <w:sz w:val="14"/>
                <w:szCs w:val="14"/>
                <w:lang w:eastAsia="tr-TR"/>
              </w:rPr>
              <w:t>Yükümlülükler</w:t>
            </w:r>
          </w:p>
        </w:tc>
        <w:tc>
          <w:tcPr>
            <w:tcW w:w="1267" w:type="dxa"/>
            <w:tcBorders>
              <w:top w:val="nil"/>
              <w:left w:val="nil"/>
              <w:bottom w:val="nil"/>
              <w:right w:val="nil"/>
            </w:tcBorders>
            <w:shd w:val="clear" w:color="auto" w:fill="auto"/>
            <w:vAlign w:val="bottom"/>
            <w:hideMark/>
          </w:tcPr>
          <w:p w14:paraId="03F0BD9A" w14:textId="77777777" w:rsidR="00FA4AFA" w:rsidRPr="00005453" w:rsidRDefault="00FA4AFA" w:rsidP="00FA4AFA">
            <w:pPr>
              <w:jc w:val="right"/>
              <w:rPr>
                <w:sz w:val="14"/>
                <w:szCs w:val="14"/>
                <w:lang w:eastAsia="tr-TR"/>
              </w:rPr>
            </w:pPr>
          </w:p>
        </w:tc>
        <w:tc>
          <w:tcPr>
            <w:tcW w:w="1259" w:type="dxa"/>
            <w:tcBorders>
              <w:top w:val="nil"/>
              <w:left w:val="nil"/>
              <w:bottom w:val="nil"/>
              <w:right w:val="nil"/>
            </w:tcBorders>
            <w:shd w:val="clear" w:color="auto" w:fill="auto"/>
            <w:vAlign w:val="bottom"/>
            <w:hideMark/>
          </w:tcPr>
          <w:p w14:paraId="45A681F4" w14:textId="77777777" w:rsidR="00FA4AFA" w:rsidRPr="00005453" w:rsidRDefault="00FA4AFA" w:rsidP="00FA4AFA">
            <w:pPr>
              <w:jc w:val="right"/>
              <w:rPr>
                <w:sz w:val="14"/>
                <w:szCs w:val="14"/>
                <w:lang w:eastAsia="tr-TR"/>
              </w:rPr>
            </w:pPr>
          </w:p>
        </w:tc>
        <w:tc>
          <w:tcPr>
            <w:tcW w:w="1364" w:type="dxa"/>
            <w:tcBorders>
              <w:top w:val="nil"/>
              <w:left w:val="nil"/>
              <w:bottom w:val="nil"/>
              <w:right w:val="nil"/>
            </w:tcBorders>
            <w:shd w:val="clear" w:color="auto" w:fill="auto"/>
            <w:vAlign w:val="bottom"/>
            <w:hideMark/>
          </w:tcPr>
          <w:p w14:paraId="1FD452A5" w14:textId="77777777" w:rsidR="00FA4AFA" w:rsidRPr="00005453" w:rsidRDefault="00FA4AFA" w:rsidP="00FA4AFA">
            <w:pPr>
              <w:jc w:val="right"/>
              <w:rPr>
                <w:sz w:val="14"/>
                <w:szCs w:val="14"/>
                <w:lang w:eastAsia="tr-TR"/>
              </w:rPr>
            </w:pPr>
          </w:p>
        </w:tc>
        <w:tc>
          <w:tcPr>
            <w:tcW w:w="1558" w:type="dxa"/>
            <w:tcBorders>
              <w:top w:val="nil"/>
              <w:left w:val="nil"/>
              <w:bottom w:val="nil"/>
              <w:right w:val="nil"/>
            </w:tcBorders>
            <w:shd w:val="clear" w:color="auto" w:fill="auto"/>
            <w:vAlign w:val="bottom"/>
            <w:hideMark/>
          </w:tcPr>
          <w:p w14:paraId="2F735816" w14:textId="77777777" w:rsidR="00FA4AFA" w:rsidRPr="00005453" w:rsidRDefault="00FA4AFA" w:rsidP="00FA4AFA">
            <w:pPr>
              <w:jc w:val="right"/>
              <w:rPr>
                <w:sz w:val="14"/>
                <w:szCs w:val="14"/>
                <w:lang w:eastAsia="tr-TR"/>
              </w:rPr>
            </w:pPr>
          </w:p>
        </w:tc>
      </w:tr>
      <w:tr w:rsidR="003D6DB9" w:rsidRPr="00005453" w14:paraId="0251182E" w14:textId="77777777" w:rsidTr="003D6DB9">
        <w:trPr>
          <w:divId w:val="1787577962"/>
          <w:trHeight w:val="203"/>
        </w:trPr>
        <w:tc>
          <w:tcPr>
            <w:tcW w:w="3853" w:type="dxa"/>
            <w:tcBorders>
              <w:top w:val="nil"/>
              <w:left w:val="nil"/>
              <w:bottom w:val="nil"/>
              <w:right w:val="nil"/>
            </w:tcBorders>
            <w:shd w:val="clear" w:color="auto" w:fill="auto"/>
            <w:hideMark/>
          </w:tcPr>
          <w:p w14:paraId="66F66736" w14:textId="77777777" w:rsidR="003D6DB9" w:rsidRPr="00005453" w:rsidRDefault="003D6DB9" w:rsidP="003D6DB9">
            <w:pPr>
              <w:rPr>
                <w:sz w:val="14"/>
                <w:szCs w:val="14"/>
                <w:lang w:eastAsia="tr-TR"/>
              </w:rPr>
            </w:pPr>
            <w:r w:rsidRPr="00005453">
              <w:rPr>
                <w:sz w:val="14"/>
                <w:szCs w:val="14"/>
                <w:lang w:eastAsia="tr-TR"/>
              </w:rPr>
              <w:t>Özel cari hesap ve katılma hesapları aracılığı ile bankalardan toplanan fonlar</w:t>
            </w:r>
          </w:p>
        </w:tc>
        <w:tc>
          <w:tcPr>
            <w:tcW w:w="1267" w:type="dxa"/>
            <w:tcBorders>
              <w:top w:val="nil"/>
              <w:left w:val="nil"/>
              <w:bottom w:val="nil"/>
              <w:right w:val="nil"/>
            </w:tcBorders>
            <w:shd w:val="clear" w:color="auto" w:fill="auto"/>
            <w:vAlign w:val="center"/>
            <w:hideMark/>
          </w:tcPr>
          <w:p w14:paraId="15E2812D" w14:textId="4B58C199" w:rsidR="003D6DB9" w:rsidRPr="00005453" w:rsidRDefault="003D6DB9" w:rsidP="003D6DB9">
            <w:pPr>
              <w:jc w:val="right"/>
              <w:rPr>
                <w:sz w:val="14"/>
                <w:szCs w:val="14"/>
              </w:rPr>
            </w:pPr>
            <w:r w:rsidRPr="00005453">
              <w:rPr>
                <w:sz w:val="14"/>
                <w:szCs w:val="18"/>
              </w:rPr>
              <w:t>23,818</w:t>
            </w:r>
          </w:p>
        </w:tc>
        <w:tc>
          <w:tcPr>
            <w:tcW w:w="1259" w:type="dxa"/>
            <w:tcBorders>
              <w:top w:val="nil"/>
              <w:left w:val="nil"/>
              <w:bottom w:val="nil"/>
              <w:right w:val="nil"/>
            </w:tcBorders>
            <w:shd w:val="clear" w:color="auto" w:fill="auto"/>
            <w:vAlign w:val="center"/>
            <w:hideMark/>
          </w:tcPr>
          <w:p w14:paraId="2D8246CF" w14:textId="76820181" w:rsidR="003D6DB9" w:rsidRPr="00005453" w:rsidRDefault="003D6DB9" w:rsidP="003D6DB9">
            <w:pPr>
              <w:jc w:val="right"/>
              <w:rPr>
                <w:sz w:val="14"/>
                <w:szCs w:val="14"/>
              </w:rPr>
            </w:pPr>
            <w:r w:rsidRPr="00005453">
              <w:rPr>
                <w:sz w:val="14"/>
                <w:szCs w:val="18"/>
              </w:rPr>
              <w:t>247,770</w:t>
            </w:r>
          </w:p>
        </w:tc>
        <w:tc>
          <w:tcPr>
            <w:tcW w:w="1364" w:type="dxa"/>
            <w:tcBorders>
              <w:top w:val="nil"/>
              <w:left w:val="nil"/>
              <w:bottom w:val="nil"/>
              <w:right w:val="nil"/>
            </w:tcBorders>
            <w:shd w:val="clear" w:color="auto" w:fill="auto"/>
            <w:vAlign w:val="center"/>
            <w:hideMark/>
          </w:tcPr>
          <w:p w14:paraId="79E33429" w14:textId="07841034" w:rsidR="003D6DB9" w:rsidRPr="00005453" w:rsidRDefault="003D6DB9" w:rsidP="003D6DB9">
            <w:pPr>
              <w:jc w:val="right"/>
              <w:rPr>
                <w:sz w:val="14"/>
                <w:szCs w:val="14"/>
              </w:rPr>
            </w:pPr>
            <w:r w:rsidRPr="00005453">
              <w:rPr>
                <w:sz w:val="14"/>
                <w:szCs w:val="18"/>
              </w:rPr>
              <w:t>1,471,833</w:t>
            </w:r>
          </w:p>
        </w:tc>
        <w:tc>
          <w:tcPr>
            <w:tcW w:w="1558" w:type="dxa"/>
            <w:tcBorders>
              <w:top w:val="nil"/>
              <w:left w:val="nil"/>
              <w:bottom w:val="nil"/>
              <w:right w:val="nil"/>
            </w:tcBorders>
            <w:shd w:val="clear" w:color="auto" w:fill="auto"/>
            <w:vAlign w:val="center"/>
            <w:hideMark/>
          </w:tcPr>
          <w:p w14:paraId="1C54F53E" w14:textId="53063AB7" w:rsidR="003D6DB9" w:rsidRPr="00005453" w:rsidRDefault="003D6DB9" w:rsidP="003D6DB9">
            <w:pPr>
              <w:jc w:val="right"/>
              <w:rPr>
                <w:sz w:val="14"/>
                <w:szCs w:val="14"/>
              </w:rPr>
            </w:pPr>
            <w:r w:rsidRPr="00005453">
              <w:rPr>
                <w:sz w:val="14"/>
                <w:szCs w:val="18"/>
              </w:rPr>
              <w:t>1,743,421</w:t>
            </w:r>
          </w:p>
        </w:tc>
      </w:tr>
      <w:tr w:rsidR="003D6DB9" w:rsidRPr="00005453" w14:paraId="1DF2BB49" w14:textId="77777777" w:rsidTr="003D6DB9">
        <w:trPr>
          <w:divId w:val="1787577962"/>
          <w:trHeight w:val="203"/>
        </w:trPr>
        <w:tc>
          <w:tcPr>
            <w:tcW w:w="3853" w:type="dxa"/>
            <w:tcBorders>
              <w:top w:val="nil"/>
              <w:left w:val="nil"/>
              <w:bottom w:val="nil"/>
              <w:right w:val="nil"/>
            </w:tcBorders>
            <w:shd w:val="clear" w:color="auto" w:fill="auto"/>
            <w:hideMark/>
          </w:tcPr>
          <w:p w14:paraId="7C194937" w14:textId="77777777" w:rsidR="003D6DB9" w:rsidRPr="00005453" w:rsidRDefault="003D6DB9" w:rsidP="003D6DB9">
            <w:pPr>
              <w:rPr>
                <w:sz w:val="14"/>
                <w:szCs w:val="14"/>
                <w:lang w:eastAsia="tr-TR"/>
              </w:rPr>
            </w:pPr>
            <w:r w:rsidRPr="00005453">
              <w:rPr>
                <w:sz w:val="14"/>
                <w:szCs w:val="14"/>
                <w:lang w:eastAsia="tr-TR"/>
              </w:rPr>
              <w:t xml:space="preserve">Özel cari hesap ve katılma hesapları YP </w:t>
            </w:r>
          </w:p>
        </w:tc>
        <w:tc>
          <w:tcPr>
            <w:tcW w:w="1267" w:type="dxa"/>
            <w:tcBorders>
              <w:top w:val="nil"/>
              <w:left w:val="nil"/>
              <w:bottom w:val="nil"/>
              <w:right w:val="nil"/>
            </w:tcBorders>
            <w:shd w:val="clear" w:color="auto" w:fill="auto"/>
            <w:vAlign w:val="center"/>
            <w:hideMark/>
          </w:tcPr>
          <w:p w14:paraId="711ABF23" w14:textId="0435780C" w:rsidR="003D6DB9" w:rsidRPr="00005453" w:rsidRDefault="003D6DB9" w:rsidP="003D6DB9">
            <w:pPr>
              <w:jc w:val="right"/>
              <w:rPr>
                <w:sz w:val="14"/>
                <w:szCs w:val="14"/>
              </w:rPr>
            </w:pPr>
            <w:r w:rsidRPr="00005453">
              <w:rPr>
                <w:sz w:val="14"/>
                <w:szCs w:val="18"/>
              </w:rPr>
              <w:t>44,859,816</w:t>
            </w:r>
          </w:p>
        </w:tc>
        <w:tc>
          <w:tcPr>
            <w:tcW w:w="1259" w:type="dxa"/>
            <w:tcBorders>
              <w:top w:val="nil"/>
              <w:left w:val="nil"/>
              <w:bottom w:val="nil"/>
              <w:right w:val="nil"/>
            </w:tcBorders>
            <w:shd w:val="clear" w:color="auto" w:fill="auto"/>
            <w:vAlign w:val="center"/>
            <w:hideMark/>
          </w:tcPr>
          <w:p w14:paraId="2A2391BC" w14:textId="671A7030" w:rsidR="003D6DB9" w:rsidRPr="00005453" w:rsidRDefault="003D6DB9" w:rsidP="003D6DB9">
            <w:pPr>
              <w:jc w:val="right"/>
              <w:rPr>
                <w:sz w:val="14"/>
                <w:szCs w:val="14"/>
              </w:rPr>
            </w:pPr>
            <w:r w:rsidRPr="00005453">
              <w:rPr>
                <w:sz w:val="14"/>
                <w:szCs w:val="18"/>
              </w:rPr>
              <w:t>116,205,680</w:t>
            </w:r>
          </w:p>
        </w:tc>
        <w:tc>
          <w:tcPr>
            <w:tcW w:w="1364" w:type="dxa"/>
            <w:tcBorders>
              <w:top w:val="nil"/>
              <w:left w:val="nil"/>
              <w:bottom w:val="nil"/>
              <w:right w:val="nil"/>
            </w:tcBorders>
            <w:shd w:val="clear" w:color="auto" w:fill="auto"/>
            <w:vAlign w:val="center"/>
            <w:hideMark/>
          </w:tcPr>
          <w:p w14:paraId="319AA20E" w14:textId="74705915" w:rsidR="003D6DB9" w:rsidRPr="00005453" w:rsidRDefault="003D6DB9" w:rsidP="003D6DB9">
            <w:pPr>
              <w:jc w:val="right"/>
              <w:rPr>
                <w:sz w:val="14"/>
                <w:szCs w:val="14"/>
              </w:rPr>
            </w:pPr>
            <w:r w:rsidRPr="00005453">
              <w:rPr>
                <w:sz w:val="14"/>
                <w:szCs w:val="18"/>
              </w:rPr>
              <w:t>138,562,476</w:t>
            </w:r>
          </w:p>
        </w:tc>
        <w:tc>
          <w:tcPr>
            <w:tcW w:w="1558" w:type="dxa"/>
            <w:tcBorders>
              <w:top w:val="nil"/>
              <w:left w:val="nil"/>
              <w:bottom w:val="nil"/>
              <w:right w:val="nil"/>
            </w:tcBorders>
            <w:shd w:val="clear" w:color="auto" w:fill="auto"/>
            <w:vAlign w:val="center"/>
            <w:hideMark/>
          </w:tcPr>
          <w:p w14:paraId="1447B4E0" w14:textId="17CCADA6" w:rsidR="003D6DB9" w:rsidRPr="00005453" w:rsidRDefault="003D6DB9" w:rsidP="003D6DB9">
            <w:pPr>
              <w:jc w:val="right"/>
              <w:rPr>
                <w:sz w:val="14"/>
                <w:szCs w:val="14"/>
              </w:rPr>
            </w:pPr>
            <w:r w:rsidRPr="00005453">
              <w:rPr>
                <w:sz w:val="14"/>
                <w:szCs w:val="18"/>
              </w:rPr>
              <w:t>299,627,972</w:t>
            </w:r>
          </w:p>
        </w:tc>
      </w:tr>
      <w:tr w:rsidR="003D6DB9" w:rsidRPr="00005453" w14:paraId="78E94B87" w14:textId="77777777" w:rsidTr="003D6DB9">
        <w:trPr>
          <w:divId w:val="1787577962"/>
          <w:trHeight w:val="203"/>
        </w:trPr>
        <w:tc>
          <w:tcPr>
            <w:tcW w:w="3853" w:type="dxa"/>
            <w:tcBorders>
              <w:top w:val="nil"/>
              <w:left w:val="nil"/>
              <w:bottom w:val="nil"/>
              <w:right w:val="nil"/>
            </w:tcBorders>
            <w:shd w:val="clear" w:color="auto" w:fill="auto"/>
            <w:hideMark/>
          </w:tcPr>
          <w:p w14:paraId="0407A50F" w14:textId="77777777" w:rsidR="003D6DB9" w:rsidRPr="00005453" w:rsidRDefault="003D6DB9" w:rsidP="003D6DB9">
            <w:pPr>
              <w:rPr>
                <w:sz w:val="14"/>
                <w:szCs w:val="14"/>
                <w:lang w:eastAsia="tr-TR"/>
              </w:rPr>
            </w:pPr>
            <w:r w:rsidRPr="00005453">
              <w:rPr>
                <w:sz w:val="14"/>
                <w:szCs w:val="14"/>
                <w:lang w:eastAsia="tr-TR"/>
              </w:rPr>
              <w:t>Para piyasalarına borçlar</w:t>
            </w:r>
          </w:p>
        </w:tc>
        <w:tc>
          <w:tcPr>
            <w:tcW w:w="1267" w:type="dxa"/>
            <w:tcBorders>
              <w:top w:val="nil"/>
              <w:left w:val="nil"/>
              <w:bottom w:val="nil"/>
              <w:right w:val="nil"/>
            </w:tcBorders>
            <w:shd w:val="clear" w:color="auto" w:fill="auto"/>
            <w:vAlign w:val="center"/>
            <w:hideMark/>
          </w:tcPr>
          <w:p w14:paraId="3453D324" w14:textId="6D0F83CC"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0ED7E9BE" w14:textId="3F8141A5" w:rsidR="003D6DB9" w:rsidRPr="00005453" w:rsidRDefault="003D6DB9" w:rsidP="003D6DB9">
            <w:pPr>
              <w:jc w:val="right"/>
              <w:rPr>
                <w:sz w:val="14"/>
                <w:szCs w:val="14"/>
              </w:rPr>
            </w:pPr>
            <w:r w:rsidRPr="00005453">
              <w:rPr>
                <w:sz w:val="14"/>
                <w:szCs w:val="18"/>
              </w:rPr>
              <w:t>-</w:t>
            </w:r>
          </w:p>
        </w:tc>
        <w:tc>
          <w:tcPr>
            <w:tcW w:w="1364" w:type="dxa"/>
            <w:tcBorders>
              <w:top w:val="nil"/>
              <w:left w:val="nil"/>
              <w:bottom w:val="nil"/>
              <w:right w:val="nil"/>
            </w:tcBorders>
            <w:shd w:val="clear" w:color="auto" w:fill="auto"/>
            <w:vAlign w:val="center"/>
            <w:hideMark/>
          </w:tcPr>
          <w:p w14:paraId="0C2ED373" w14:textId="54D1522E"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7B72A9CE" w14:textId="30AA2C48" w:rsidR="003D6DB9" w:rsidRPr="00005453" w:rsidRDefault="003D6DB9" w:rsidP="003D6DB9">
            <w:pPr>
              <w:jc w:val="right"/>
              <w:rPr>
                <w:sz w:val="14"/>
                <w:szCs w:val="14"/>
              </w:rPr>
            </w:pPr>
            <w:r w:rsidRPr="00005453">
              <w:rPr>
                <w:sz w:val="14"/>
                <w:szCs w:val="18"/>
              </w:rPr>
              <w:t>-</w:t>
            </w:r>
          </w:p>
        </w:tc>
      </w:tr>
      <w:tr w:rsidR="003D6DB9" w:rsidRPr="00005453" w14:paraId="3636F6F2" w14:textId="77777777" w:rsidTr="003D6DB9">
        <w:trPr>
          <w:divId w:val="1787577962"/>
          <w:trHeight w:val="203"/>
        </w:trPr>
        <w:tc>
          <w:tcPr>
            <w:tcW w:w="3853" w:type="dxa"/>
            <w:tcBorders>
              <w:top w:val="nil"/>
              <w:left w:val="nil"/>
              <w:bottom w:val="nil"/>
              <w:right w:val="nil"/>
            </w:tcBorders>
            <w:shd w:val="clear" w:color="auto" w:fill="auto"/>
            <w:hideMark/>
          </w:tcPr>
          <w:p w14:paraId="29037873" w14:textId="77777777" w:rsidR="003D6DB9" w:rsidRPr="00005453" w:rsidRDefault="003D6DB9" w:rsidP="003D6DB9">
            <w:pPr>
              <w:rPr>
                <w:sz w:val="14"/>
                <w:szCs w:val="14"/>
                <w:lang w:eastAsia="tr-TR"/>
              </w:rPr>
            </w:pPr>
            <w:r w:rsidRPr="00005453">
              <w:rPr>
                <w:sz w:val="14"/>
                <w:szCs w:val="14"/>
                <w:lang w:eastAsia="tr-TR"/>
              </w:rPr>
              <w:t>Diğer mali kuruluşlardan sağlanan fonlar</w:t>
            </w:r>
          </w:p>
        </w:tc>
        <w:tc>
          <w:tcPr>
            <w:tcW w:w="1267" w:type="dxa"/>
            <w:tcBorders>
              <w:top w:val="nil"/>
              <w:left w:val="nil"/>
              <w:bottom w:val="nil"/>
              <w:right w:val="nil"/>
            </w:tcBorders>
            <w:shd w:val="clear" w:color="auto" w:fill="auto"/>
            <w:vAlign w:val="center"/>
            <w:hideMark/>
          </w:tcPr>
          <w:p w14:paraId="053097BE" w14:textId="20395524" w:rsidR="003D6DB9" w:rsidRPr="00005453" w:rsidRDefault="003D6DB9" w:rsidP="003D6DB9">
            <w:pPr>
              <w:jc w:val="right"/>
              <w:rPr>
                <w:sz w:val="14"/>
                <w:szCs w:val="14"/>
              </w:rPr>
            </w:pPr>
            <w:r w:rsidRPr="00005453">
              <w:rPr>
                <w:sz w:val="14"/>
                <w:szCs w:val="18"/>
              </w:rPr>
              <w:t>14,205,205</w:t>
            </w:r>
          </w:p>
        </w:tc>
        <w:tc>
          <w:tcPr>
            <w:tcW w:w="1259" w:type="dxa"/>
            <w:tcBorders>
              <w:top w:val="nil"/>
              <w:left w:val="nil"/>
              <w:bottom w:val="nil"/>
              <w:right w:val="nil"/>
            </w:tcBorders>
            <w:shd w:val="clear" w:color="auto" w:fill="auto"/>
            <w:vAlign w:val="center"/>
            <w:hideMark/>
          </w:tcPr>
          <w:p w14:paraId="3439FDD6" w14:textId="2CE9C42C" w:rsidR="003D6DB9" w:rsidRPr="00005453" w:rsidRDefault="003D6DB9" w:rsidP="003D6DB9">
            <w:pPr>
              <w:jc w:val="right"/>
              <w:rPr>
                <w:sz w:val="14"/>
                <w:szCs w:val="14"/>
              </w:rPr>
            </w:pPr>
            <w:r w:rsidRPr="00005453">
              <w:rPr>
                <w:sz w:val="14"/>
                <w:szCs w:val="18"/>
              </w:rPr>
              <w:t>108,735,043</w:t>
            </w:r>
          </w:p>
        </w:tc>
        <w:tc>
          <w:tcPr>
            <w:tcW w:w="1364" w:type="dxa"/>
            <w:tcBorders>
              <w:top w:val="nil"/>
              <w:left w:val="nil"/>
              <w:bottom w:val="nil"/>
              <w:right w:val="nil"/>
            </w:tcBorders>
            <w:shd w:val="clear" w:color="auto" w:fill="auto"/>
            <w:vAlign w:val="center"/>
            <w:hideMark/>
          </w:tcPr>
          <w:p w14:paraId="2FCBBBDB" w14:textId="67027B30" w:rsidR="003D6DB9" w:rsidRPr="00005453" w:rsidRDefault="003D6DB9" w:rsidP="003D6DB9">
            <w:pPr>
              <w:jc w:val="right"/>
              <w:rPr>
                <w:sz w:val="14"/>
                <w:szCs w:val="14"/>
              </w:rPr>
            </w:pPr>
            <w:r w:rsidRPr="00005453">
              <w:rPr>
                <w:sz w:val="14"/>
                <w:szCs w:val="18"/>
              </w:rPr>
              <w:t>9,019,686</w:t>
            </w:r>
          </w:p>
        </w:tc>
        <w:tc>
          <w:tcPr>
            <w:tcW w:w="1558" w:type="dxa"/>
            <w:tcBorders>
              <w:top w:val="nil"/>
              <w:left w:val="nil"/>
              <w:bottom w:val="nil"/>
              <w:right w:val="nil"/>
            </w:tcBorders>
            <w:shd w:val="clear" w:color="auto" w:fill="auto"/>
            <w:vAlign w:val="center"/>
            <w:hideMark/>
          </w:tcPr>
          <w:p w14:paraId="35F2947B" w14:textId="687AA82A" w:rsidR="003D6DB9" w:rsidRPr="00005453" w:rsidRDefault="003D6DB9" w:rsidP="003D6DB9">
            <w:pPr>
              <w:jc w:val="right"/>
              <w:rPr>
                <w:sz w:val="14"/>
                <w:szCs w:val="14"/>
              </w:rPr>
            </w:pPr>
            <w:r w:rsidRPr="00005453">
              <w:rPr>
                <w:sz w:val="14"/>
                <w:szCs w:val="18"/>
              </w:rPr>
              <w:t>131,959,934</w:t>
            </w:r>
          </w:p>
        </w:tc>
      </w:tr>
      <w:tr w:rsidR="003D6DB9" w:rsidRPr="00005453" w14:paraId="7538AEF0" w14:textId="77777777" w:rsidTr="003D6DB9">
        <w:trPr>
          <w:divId w:val="1787577962"/>
          <w:trHeight w:val="203"/>
        </w:trPr>
        <w:tc>
          <w:tcPr>
            <w:tcW w:w="3853" w:type="dxa"/>
            <w:tcBorders>
              <w:top w:val="nil"/>
              <w:left w:val="nil"/>
              <w:bottom w:val="nil"/>
              <w:right w:val="nil"/>
            </w:tcBorders>
            <w:shd w:val="clear" w:color="auto" w:fill="auto"/>
            <w:hideMark/>
          </w:tcPr>
          <w:p w14:paraId="75AC6798" w14:textId="77777777" w:rsidR="003D6DB9" w:rsidRPr="00005453" w:rsidRDefault="003D6DB9" w:rsidP="003D6DB9">
            <w:pPr>
              <w:rPr>
                <w:sz w:val="14"/>
                <w:szCs w:val="14"/>
                <w:lang w:eastAsia="tr-TR"/>
              </w:rPr>
            </w:pPr>
            <w:r w:rsidRPr="00005453">
              <w:rPr>
                <w:sz w:val="14"/>
                <w:szCs w:val="14"/>
                <w:lang w:eastAsia="tr-TR"/>
              </w:rPr>
              <w:t>İhraç edilen menkul değerler</w:t>
            </w:r>
          </w:p>
        </w:tc>
        <w:tc>
          <w:tcPr>
            <w:tcW w:w="1267" w:type="dxa"/>
            <w:tcBorders>
              <w:top w:val="nil"/>
              <w:left w:val="nil"/>
              <w:bottom w:val="nil"/>
              <w:right w:val="nil"/>
            </w:tcBorders>
            <w:shd w:val="clear" w:color="auto" w:fill="auto"/>
            <w:vAlign w:val="center"/>
            <w:hideMark/>
          </w:tcPr>
          <w:p w14:paraId="720F2F92" w14:textId="3C8D280F"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4BA0EFE5" w14:textId="434DCC18" w:rsidR="003D6DB9" w:rsidRPr="00005453" w:rsidRDefault="003D6DB9" w:rsidP="003D6DB9">
            <w:pPr>
              <w:jc w:val="right"/>
              <w:rPr>
                <w:sz w:val="14"/>
                <w:szCs w:val="14"/>
              </w:rPr>
            </w:pPr>
            <w:r w:rsidRPr="00005453">
              <w:rPr>
                <w:sz w:val="14"/>
                <w:szCs w:val="18"/>
              </w:rPr>
              <w:t>-</w:t>
            </w:r>
          </w:p>
        </w:tc>
        <w:tc>
          <w:tcPr>
            <w:tcW w:w="1364" w:type="dxa"/>
            <w:tcBorders>
              <w:top w:val="nil"/>
              <w:left w:val="nil"/>
              <w:bottom w:val="nil"/>
              <w:right w:val="nil"/>
            </w:tcBorders>
            <w:shd w:val="clear" w:color="auto" w:fill="auto"/>
            <w:vAlign w:val="center"/>
            <w:hideMark/>
          </w:tcPr>
          <w:p w14:paraId="782007C5" w14:textId="5CB8D59F"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7FD6F9C3" w14:textId="1673BC65" w:rsidR="003D6DB9" w:rsidRPr="00005453" w:rsidRDefault="003D6DB9" w:rsidP="003D6DB9">
            <w:pPr>
              <w:jc w:val="right"/>
              <w:rPr>
                <w:sz w:val="14"/>
                <w:szCs w:val="14"/>
              </w:rPr>
            </w:pPr>
            <w:r w:rsidRPr="00005453">
              <w:rPr>
                <w:sz w:val="14"/>
                <w:szCs w:val="18"/>
              </w:rPr>
              <w:t>-</w:t>
            </w:r>
          </w:p>
        </w:tc>
      </w:tr>
      <w:tr w:rsidR="003D6DB9" w:rsidRPr="00005453" w14:paraId="4C0BC71A" w14:textId="77777777" w:rsidTr="003D6DB9">
        <w:trPr>
          <w:divId w:val="1787577962"/>
          <w:trHeight w:val="203"/>
        </w:trPr>
        <w:tc>
          <w:tcPr>
            <w:tcW w:w="3853" w:type="dxa"/>
            <w:tcBorders>
              <w:top w:val="nil"/>
              <w:left w:val="nil"/>
              <w:bottom w:val="nil"/>
              <w:right w:val="nil"/>
            </w:tcBorders>
            <w:shd w:val="clear" w:color="auto" w:fill="auto"/>
            <w:hideMark/>
          </w:tcPr>
          <w:p w14:paraId="1A9C2C32" w14:textId="77777777" w:rsidR="003D6DB9" w:rsidRPr="00005453" w:rsidRDefault="003D6DB9" w:rsidP="003D6DB9">
            <w:pPr>
              <w:rPr>
                <w:sz w:val="14"/>
                <w:szCs w:val="14"/>
                <w:lang w:eastAsia="tr-TR"/>
              </w:rPr>
            </w:pPr>
            <w:r w:rsidRPr="00005453">
              <w:rPr>
                <w:sz w:val="14"/>
                <w:szCs w:val="14"/>
                <w:lang w:eastAsia="tr-TR"/>
              </w:rPr>
              <w:t>Muhtelif borçlar</w:t>
            </w:r>
          </w:p>
        </w:tc>
        <w:tc>
          <w:tcPr>
            <w:tcW w:w="1267" w:type="dxa"/>
            <w:tcBorders>
              <w:top w:val="nil"/>
              <w:left w:val="nil"/>
              <w:bottom w:val="nil"/>
              <w:right w:val="nil"/>
            </w:tcBorders>
            <w:shd w:val="clear" w:color="auto" w:fill="auto"/>
            <w:vAlign w:val="center"/>
            <w:hideMark/>
          </w:tcPr>
          <w:p w14:paraId="74582924" w14:textId="7041F364" w:rsidR="003D6DB9" w:rsidRPr="00005453" w:rsidRDefault="003D6DB9" w:rsidP="003D6DB9">
            <w:pPr>
              <w:jc w:val="right"/>
              <w:rPr>
                <w:sz w:val="14"/>
                <w:szCs w:val="14"/>
              </w:rPr>
            </w:pPr>
            <w:r w:rsidRPr="00005453">
              <w:rPr>
                <w:sz w:val="14"/>
                <w:szCs w:val="18"/>
              </w:rPr>
              <w:t>523,866</w:t>
            </w:r>
          </w:p>
        </w:tc>
        <w:tc>
          <w:tcPr>
            <w:tcW w:w="1259" w:type="dxa"/>
            <w:tcBorders>
              <w:top w:val="nil"/>
              <w:left w:val="nil"/>
              <w:bottom w:val="nil"/>
              <w:right w:val="nil"/>
            </w:tcBorders>
            <w:shd w:val="clear" w:color="auto" w:fill="auto"/>
            <w:vAlign w:val="center"/>
            <w:hideMark/>
          </w:tcPr>
          <w:p w14:paraId="752F4602" w14:textId="3836BFF4" w:rsidR="003D6DB9" w:rsidRPr="00005453" w:rsidRDefault="003D6DB9" w:rsidP="003D6DB9">
            <w:pPr>
              <w:jc w:val="right"/>
              <w:rPr>
                <w:sz w:val="14"/>
                <w:szCs w:val="14"/>
              </w:rPr>
            </w:pPr>
            <w:r w:rsidRPr="00005453">
              <w:rPr>
                <w:sz w:val="14"/>
                <w:szCs w:val="18"/>
              </w:rPr>
              <w:t>1,234,964</w:t>
            </w:r>
          </w:p>
        </w:tc>
        <w:tc>
          <w:tcPr>
            <w:tcW w:w="1364" w:type="dxa"/>
            <w:tcBorders>
              <w:top w:val="nil"/>
              <w:left w:val="nil"/>
              <w:bottom w:val="nil"/>
              <w:right w:val="nil"/>
            </w:tcBorders>
            <w:shd w:val="clear" w:color="auto" w:fill="auto"/>
            <w:vAlign w:val="center"/>
            <w:hideMark/>
          </w:tcPr>
          <w:p w14:paraId="319DA55A" w14:textId="5FFBE2CB" w:rsidR="003D6DB9" w:rsidRPr="00005453" w:rsidRDefault="003D6DB9" w:rsidP="003D6DB9">
            <w:pPr>
              <w:jc w:val="right"/>
              <w:rPr>
                <w:sz w:val="14"/>
                <w:szCs w:val="14"/>
              </w:rPr>
            </w:pPr>
            <w:r w:rsidRPr="00005453">
              <w:rPr>
                <w:sz w:val="14"/>
                <w:szCs w:val="18"/>
              </w:rPr>
              <w:t>15,697</w:t>
            </w:r>
          </w:p>
        </w:tc>
        <w:tc>
          <w:tcPr>
            <w:tcW w:w="1558" w:type="dxa"/>
            <w:tcBorders>
              <w:top w:val="nil"/>
              <w:left w:val="nil"/>
              <w:bottom w:val="nil"/>
              <w:right w:val="nil"/>
            </w:tcBorders>
            <w:shd w:val="clear" w:color="auto" w:fill="auto"/>
            <w:vAlign w:val="center"/>
            <w:hideMark/>
          </w:tcPr>
          <w:p w14:paraId="07DD3375" w14:textId="5B7D7833" w:rsidR="003D6DB9" w:rsidRPr="00005453" w:rsidRDefault="003D6DB9" w:rsidP="003D6DB9">
            <w:pPr>
              <w:jc w:val="right"/>
              <w:rPr>
                <w:sz w:val="14"/>
                <w:szCs w:val="14"/>
              </w:rPr>
            </w:pPr>
            <w:r w:rsidRPr="00005453">
              <w:rPr>
                <w:sz w:val="14"/>
                <w:szCs w:val="18"/>
              </w:rPr>
              <w:t>1,774,527</w:t>
            </w:r>
          </w:p>
        </w:tc>
      </w:tr>
      <w:tr w:rsidR="003D6DB9" w:rsidRPr="00005453" w14:paraId="69414B40" w14:textId="77777777" w:rsidTr="003D6DB9">
        <w:trPr>
          <w:divId w:val="1787577962"/>
          <w:trHeight w:val="203"/>
        </w:trPr>
        <w:tc>
          <w:tcPr>
            <w:tcW w:w="3853" w:type="dxa"/>
            <w:tcBorders>
              <w:top w:val="nil"/>
              <w:left w:val="nil"/>
              <w:bottom w:val="nil"/>
              <w:right w:val="nil"/>
            </w:tcBorders>
            <w:shd w:val="clear" w:color="auto" w:fill="auto"/>
            <w:hideMark/>
          </w:tcPr>
          <w:p w14:paraId="7AE201BD" w14:textId="77777777" w:rsidR="003D6DB9" w:rsidRPr="00005453" w:rsidRDefault="003D6DB9" w:rsidP="003D6DB9">
            <w:pPr>
              <w:rPr>
                <w:sz w:val="14"/>
                <w:szCs w:val="14"/>
                <w:lang w:eastAsia="tr-TR"/>
              </w:rPr>
            </w:pPr>
            <w:r w:rsidRPr="00005453">
              <w:rPr>
                <w:sz w:val="14"/>
                <w:szCs w:val="14"/>
                <w:lang w:eastAsia="tr-TR"/>
              </w:rPr>
              <w:t>Riskten korunma amaçlı türev finansal borçlar</w:t>
            </w:r>
          </w:p>
        </w:tc>
        <w:tc>
          <w:tcPr>
            <w:tcW w:w="1267" w:type="dxa"/>
            <w:tcBorders>
              <w:top w:val="nil"/>
              <w:left w:val="nil"/>
              <w:bottom w:val="nil"/>
              <w:right w:val="nil"/>
            </w:tcBorders>
            <w:shd w:val="clear" w:color="auto" w:fill="auto"/>
            <w:vAlign w:val="center"/>
            <w:hideMark/>
          </w:tcPr>
          <w:p w14:paraId="4B69B2EF" w14:textId="7D476FB4" w:rsidR="003D6DB9" w:rsidRPr="00005453" w:rsidRDefault="003D6DB9" w:rsidP="003D6DB9">
            <w:pPr>
              <w:jc w:val="right"/>
              <w:rPr>
                <w:sz w:val="14"/>
                <w:szCs w:val="14"/>
              </w:rPr>
            </w:pPr>
            <w:r w:rsidRPr="00005453">
              <w:rPr>
                <w:sz w:val="14"/>
                <w:szCs w:val="18"/>
              </w:rPr>
              <w:t>-</w:t>
            </w:r>
          </w:p>
        </w:tc>
        <w:tc>
          <w:tcPr>
            <w:tcW w:w="1259" w:type="dxa"/>
            <w:tcBorders>
              <w:top w:val="nil"/>
              <w:left w:val="nil"/>
              <w:bottom w:val="nil"/>
              <w:right w:val="nil"/>
            </w:tcBorders>
            <w:shd w:val="clear" w:color="auto" w:fill="auto"/>
            <w:vAlign w:val="center"/>
            <w:hideMark/>
          </w:tcPr>
          <w:p w14:paraId="31025DA8" w14:textId="507A8E0E" w:rsidR="003D6DB9" w:rsidRPr="00005453" w:rsidRDefault="003D6DB9" w:rsidP="003D6DB9">
            <w:pPr>
              <w:jc w:val="right"/>
              <w:rPr>
                <w:sz w:val="14"/>
                <w:szCs w:val="14"/>
              </w:rPr>
            </w:pPr>
            <w:r w:rsidRPr="00005453">
              <w:rPr>
                <w:sz w:val="14"/>
                <w:szCs w:val="18"/>
              </w:rPr>
              <w:t>-</w:t>
            </w:r>
          </w:p>
        </w:tc>
        <w:tc>
          <w:tcPr>
            <w:tcW w:w="1364" w:type="dxa"/>
            <w:tcBorders>
              <w:top w:val="nil"/>
              <w:left w:val="nil"/>
              <w:bottom w:val="nil"/>
              <w:right w:val="nil"/>
            </w:tcBorders>
            <w:shd w:val="clear" w:color="auto" w:fill="auto"/>
            <w:vAlign w:val="center"/>
            <w:hideMark/>
          </w:tcPr>
          <w:p w14:paraId="42CFBFE9" w14:textId="44A81D1F" w:rsidR="003D6DB9" w:rsidRPr="00005453" w:rsidRDefault="003D6DB9" w:rsidP="003D6DB9">
            <w:pPr>
              <w:jc w:val="right"/>
              <w:rPr>
                <w:sz w:val="14"/>
                <w:szCs w:val="14"/>
              </w:rPr>
            </w:pPr>
            <w:r w:rsidRPr="00005453">
              <w:rPr>
                <w:sz w:val="14"/>
                <w:szCs w:val="18"/>
              </w:rPr>
              <w:t>-</w:t>
            </w:r>
          </w:p>
        </w:tc>
        <w:tc>
          <w:tcPr>
            <w:tcW w:w="1558" w:type="dxa"/>
            <w:tcBorders>
              <w:top w:val="nil"/>
              <w:left w:val="nil"/>
              <w:bottom w:val="nil"/>
              <w:right w:val="nil"/>
            </w:tcBorders>
            <w:shd w:val="clear" w:color="auto" w:fill="auto"/>
            <w:vAlign w:val="center"/>
            <w:hideMark/>
          </w:tcPr>
          <w:p w14:paraId="37022B3B" w14:textId="3445A13E" w:rsidR="003D6DB9" w:rsidRPr="00005453" w:rsidRDefault="003D6DB9" w:rsidP="003D6DB9">
            <w:pPr>
              <w:jc w:val="right"/>
              <w:rPr>
                <w:sz w:val="14"/>
                <w:szCs w:val="14"/>
              </w:rPr>
            </w:pPr>
            <w:r w:rsidRPr="00005453">
              <w:rPr>
                <w:sz w:val="14"/>
                <w:szCs w:val="18"/>
              </w:rPr>
              <w:t>-</w:t>
            </w:r>
          </w:p>
        </w:tc>
      </w:tr>
      <w:tr w:rsidR="003D6DB9" w:rsidRPr="00005453" w14:paraId="4A5C74BC" w14:textId="77777777" w:rsidTr="003D6DB9">
        <w:trPr>
          <w:divId w:val="1787577962"/>
          <w:trHeight w:val="203"/>
        </w:trPr>
        <w:tc>
          <w:tcPr>
            <w:tcW w:w="3853" w:type="dxa"/>
            <w:tcBorders>
              <w:top w:val="nil"/>
              <w:left w:val="nil"/>
              <w:bottom w:val="nil"/>
              <w:right w:val="nil"/>
            </w:tcBorders>
            <w:shd w:val="clear" w:color="auto" w:fill="auto"/>
            <w:hideMark/>
          </w:tcPr>
          <w:p w14:paraId="08F0C7C5" w14:textId="77777777" w:rsidR="003D6DB9" w:rsidRPr="00005453" w:rsidRDefault="003D6DB9" w:rsidP="003D6DB9">
            <w:pPr>
              <w:rPr>
                <w:sz w:val="14"/>
                <w:szCs w:val="14"/>
                <w:lang w:eastAsia="tr-TR"/>
              </w:rPr>
            </w:pPr>
            <w:r w:rsidRPr="00005453">
              <w:rPr>
                <w:sz w:val="14"/>
                <w:szCs w:val="14"/>
                <w:lang w:eastAsia="tr-TR"/>
              </w:rPr>
              <w:t>Diğer yükümlülükler (*****)</w:t>
            </w:r>
          </w:p>
        </w:tc>
        <w:tc>
          <w:tcPr>
            <w:tcW w:w="1267" w:type="dxa"/>
            <w:tcBorders>
              <w:top w:val="nil"/>
              <w:left w:val="nil"/>
              <w:bottom w:val="nil"/>
              <w:right w:val="nil"/>
            </w:tcBorders>
            <w:shd w:val="clear" w:color="auto" w:fill="auto"/>
            <w:vAlign w:val="center"/>
            <w:hideMark/>
          </w:tcPr>
          <w:p w14:paraId="182C8B2A" w14:textId="4E061E73" w:rsidR="003D6DB9" w:rsidRPr="00005453" w:rsidRDefault="003D6DB9" w:rsidP="003D6DB9">
            <w:pPr>
              <w:jc w:val="right"/>
              <w:rPr>
                <w:sz w:val="14"/>
                <w:szCs w:val="14"/>
              </w:rPr>
            </w:pPr>
            <w:r w:rsidRPr="00005453">
              <w:rPr>
                <w:sz w:val="14"/>
                <w:szCs w:val="18"/>
              </w:rPr>
              <w:t>981,241</w:t>
            </w:r>
          </w:p>
        </w:tc>
        <w:tc>
          <w:tcPr>
            <w:tcW w:w="1259" w:type="dxa"/>
            <w:tcBorders>
              <w:top w:val="nil"/>
              <w:left w:val="nil"/>
              <w:bottom w:val="nil"/>
              <w:right w:val="nil"/>
            </w:tcBorders>
            <w:shd w:val="clear" w:color="auto" w:fill="auto"/>
            <w:vAlign w:val="center"/>
            <w:hideMark/>
          </w:tcPr>
          <w:p w14:paraId="7FE37F61" w14:textId="140FBA7D" w:rsidR="003D6DB9" w:rsidRPr="00005453" w:rsidRDefault="003D6DB9" w:rsidP="003D6DB9">
            <w:pPr>
              <w:jc w:val="right"/>
              <w:rPr>
                <w:sz w:val="14"/>
                <w:szCs w:val="14"/>
              </w:rPr>
            </w:pPr>
            <w:r w:rsidRPr="00005453">
              <w:rPr>
                <w:sz w:val="14"/>
                <w:szCs w:val="18"/>
              </w:rPr>
              <w:t>1,516,607</w:t>
            </w:r>
          </w:p>
        </w:tc>
        <w:tc>
          <w:tcPr>
            <w:tcW w:w="1364" w:type="dxa"/>
            <w:tcBorders>
              <w:top w:val="nil"/>
              <w:left w:val="nil"/>
              <w:bottom w:val="nil"/>
              <w:right w:val="nil"/>
            </w:tcBorders>
            <w:shd w:val="clear" w:color="auto" w:fill="auto"/>
            <w:vAlign w:val="center"/>
            <w:hideMark/>
          </w:tcPr>
          <w:p w14:paraId="559AA41F" w14:textId="44538238" w:rsidR="003D6DB9" w:rsidRPr="00005453" w:rsidRDefault="003D6DB9" w:rsidP="003D6DB9">
            <w:pPr>
              <w:jc w:val="right"/>
              <w:rPr>
                <w:sz w:val="14"/>
                <w:szCs w:val="14"/>
              </w:rPr>
            </w:pPr>
            <w:r w:rsidRPr="00005453">
              <w:rPr>
                <w:sz w:val="14"/>
                <w:szCs w:val="18"/>
              </w:rPr>
              <w:t>101,501</w:t>
            </w:r>
          </w:p>
        </w:tc>
        <w:tc>
          <w:tcPr>
            <w:tcW w:w="1558" w:type="dxa"/>
            <w:tcBorders>
              <w:top w:val="nil"/>
              <w:left w:val="nil"/>
              <w:bottom w:val="nil"/>
              <w:right w:val="nil"/>
            </w:tcBorders>
            <w:shd w:val="clear" w:color="auto" w:fill="auto"/>
            <w:vAlign w:val="center"/>
            <w:hideMark/>
          </w:tcPr>
          <w:p w14:paraId="28972B14" w14:textId="6619D742" w:rsidR="003D6DB9" w:rsidRPr="00005453" w:rsidRDefault="003D6DB9" w:rsidP="003D6DB9">
            <w:pPr>
              <w:jc w:val="right"/>
              <w:rPr>
                <w:sz w:val="14"/>
                <w:szCs w:val="14"/>
              </w:rPr>
            </w:pPr>
            <w:r w:rsidRPr="00005453">
              <w:rPr>
                <w:sz w:val="14"/>
                <w:szCs w:val="18"/>
              </w:rPr>
              <w:t>2,599,349</w:t>
            </w:r>
          </w:p>
        </w:tc>
      </w:tr>
      <w:tr w:rsidR="003D6DB9" w:rsidRPr="00005453" w14:paraId="57D1EC01" w14:textId="77777777" w:rsidTr="003D6DB9">
        <w:trPr>
          <w:divId w:val="1787577962"/>
          <w:trHeight w:val="184"/>
        </w:trPr>
        <w:tc>
          <w:tcPr>
            <w:tcW w:w="3853" w:type="dxa"/>
            <w:tcBorders>
              <w:top w:val="single" w:sz="4" w:space="0" w:color="auto"/>
              <w:left w:val="nil"/>
              <w:bottom w:val="single" w:sz="4" w:space="0" w:color="auto"/>
              <w:right w:val="nil"/>
            </w:tcBorders>
            <w:shd w:val="clear" w:color="auto" w:fill="auto"/>
            <w:hideMark/>
          </w:tcPr>
          <w:p w14:paraId="57F71B4D" w14:textId="77777777" w:rsidR="003D6DB9" w:rsidRPr="00005453" w:rsidRDefault="003D6DB9" w:rsidP="003D6DB9">
            <w:pPr>
              <w:rPr>
                <w:b/>
                <w:bCs/>
                <w:sz w:val="14"/>
                <w:szCs w:val="14"/>
                <w:lang w:eastAsia="tr-TR"/>
              </w:rPr>
            </w:pPr>
            <w:r w:rsidRPr="00005453">
              <w:rPr>
                <w:b/>
                <w:bCs/>
                <w:sz w:val="14"/>
                <w:szCs w:val="14"/>
                <w:lang w:eastAsia="tr-TR"/>
              </w:rPr>
              <w:t>Toplam Yükümlülükler</w:t>
            </w:r>
          </w:p>
        </w:tc>
        <w:tc>
          <w:tcPr>
            <w:tcW w:w="1267" w:type="dxa"/>
            <w:tcBorders>
              <w:top w:val="single" w:sz="4" w:space="0" w:color="auto"/>
              <w:left w:val="nil"/>
              <w:bottom w:val="single" w:sz="4" w:space="0" w:color="auto"/>
              <w:right w:val="nil"/>
            </w:tcBorders>
            <w:shd w:val="clear" w:color="auto" w:fill="auto"/>
            <w:vAlign w:val="center"/>
            <w:hideMark/>
          </w:tcPr>
          <w:p w14:paraId="3DDF2BFE" w14:textId="1108F6E1" w:rsidR="003D6DB9" w:rsidRPr="00005453" w:rsidRDefault="003D6DB9" w:rsidP="003D6DB9">
            <w:pPr>
              <w:jc w:val="right"/>
              <w:rPr>
                <w:b/>
                <w:bCs/>
                <w:sz w:val="14"/>
                <w:szCs w:val="14"/>
              </w:rPr>
            </w:pPr>
            <w:r w:rsidRPr="00005453">
              <w:rPr>
                <w:b/>
                <w:bCs/>
                <w:sz w:val="14"/>
                <w:szCs w:val="18"/>
              </w:rPr>
              <w:t>60,593,946</w:t>
            </w:r>
          </w:p>
        </w:tc>
        <w:tc>
          <w:tcPr>
            <w:tcW w:w="1259" w:type="dxa"/>
            <w:tcBorders>
              <w:top w:val="single" w:sz="4" w:space="0" w:color="auto"/>
              <w:left w:val="nil"/>
              <w:bottom w:val="single" w:sz="4" w:space="0" w:color="auto"/>
              <w:right w:val="nil"/>
            </w:tcBorders>
            <w:shd w:val="clear" w:color="auto" w:fill="auto"/>
            <w:vAlign w:val="center"/>
            <w:hideMark/>
          </w:tcPr>
          <w:p w14:paraId="35A79301" w14:textId="64D1A7CA" w:rsidR="003D6DB9" w:rsidRPr="00005453" w:rsidRDefault="003D6DB9" w:rsidP="003D6DB9">
            <w:pPr>
              <w:jc w:val="right"/>
              <w:rPr>
                <w:b/>
                <w:bCs/>
                <w:sz w:val="14"/>
                <w:szCs w:val="14"/>
              </w:rPr>
            </w:pPr>
            <w:r w:rsidRPr="00005453">
              <w:rPr>
                <w:b/>
                <w:bCs/>
                <w:sz w:val="14"/>
                <w:szCs w:val="18"/>
              </w:rPr>
              <w:t>227,940,064</w:t>
            </w:r>
          </w:p>
        </w:tc>
        <w:tc>
          <w:tcPr>
            <w:tcW w:w="1364" w:type="dxa"/>
            <w:tcBorders>
              <w:top w:val="single" w:sz="4" w:space="0" w:color="auto"/>
              <w:left w:val="nil"/>
              <w:bottom w:val="single" w:sz="4" w:space="0" w:color="auto"/>
              <w:right w:val="nil"/>
            </w:tcBorders>
            <w:shd w:val="clear" w:color="auto" w:fill="auto"/>
            <w:vAlign w:val="center"/>
            <w:hideMark/>
          </w:tcPr>
          <w:p w14:paraId="78BF5E22" w14:textId="6F59C3AA" w:rsidR="003D6DB9" w:rsidRPr="00005453" w:rsidRDefault="003D6DB9" w:rsidP="003D6DB9">
            <w:pPr>
              <w:jc w:val="right"/>
              <w:rPr>
                <w:b/>
                <w:bCs/>
                <w:sz w:val="14"/>
                <w:szCs w:val="14"/>
              </w:rPr>
            </w:pPr>
            <w:r w:rsidRPr="00005453">
              <w:rPr>
                <w:b/>
                <w:bCs/>
                <w:sz w:val="14"/>
                <w:szCs w:val="18"/>
              </w:rPr>
              <w:t>149,171,193</w:t>
            </w:r>
          </w:p>
        </w:tc>
        <w:tc>
          <w:tcPr>
            <w:tcW w:w="1558" w:type="dxa"/>
            <w:tcBorders>
              <w:top w:val="single" w:sz="4" w:space="0" w:color="auto"/>
              <w:left w:val="nil"/>
              <w:bottom w:val="single" w:sz="4" w:space="0" w:color="auto"/>
              <w:right w:val="nil"/>
            </w:tcBorders>
            <w:shd w:val="clear" w:color="auto" w:fill="auto"/>
            <w:vAlign w:val="center"/>
            <w:hideMark/>
          </w:tcPr>
          <w:p w14:paraId="608B3736" w14:textId="5914F2D8" w:rsidR="003D6DB9" w:rsidRPr="00005453" w:rsidRDefault="003D6DB9" w:rsidP="003D6DB9">
            <w:pPr>
              <w:jc w:val="right"/>
              <w:rPr>
                <w:b/>
                <w:bCs/>
                <w:sz w:val="14"/>
                <w:szCs w:val="14"/>
              </w:rPr>
            </w:pPr>
            <w:r w:rsidRPr="00005453">
              <w:rPr>
                <w:b/>
                <w:bCs/>
                <w:sz w:val="14"/>
                <w:szCs w:val="18"/>
              </w:rPr>
              <w:t>437,705,203</w:t>
            </w:r>
          </w:p>
        </w:tc>
      </w:tr>
      <w:tr w:rsidR="00FA4AFA" w:rsidRPr="00005453" w14:paraId="01BEAEC0" w14:textId="77777777" w:rsidTr="00C827F7">
        <w:trPr>
          <w:divId w:val="1787577962"/>
          <w:trHeight w:val="44"/>
        </w:trPr>
        <w:tc>
          <w:tcPr>
            <w:tcW w:w="3853" w:type="dxa"/>
            <w:tcBorders>
              <w:top w:val="nil"/>
              <w:left w:val="nil"/>
              <w:bottom w:val="nil"/>
              <w:right w:val="nil"/>
            </w:tcBorders>
            <w:shd w:val="clear" w:color="auto" w:fill="auto"/>
            <w:vAlign w:val="center"/>
            <w:hideMark/>
          </w:tcPr>
          <w:p w14:paraId="2B57D6F4" w14:textId="77777777" w:rsidR="00FA4AFA" w:rsidRPr="00005453" w:rsidRDefault="00FA4AFA" w:rsidP="00FA4AFA">
            <w:pPr>
              <w:rPr>
                <w:b/>
                <w:bCs/>
                <w:sz w:val="10"/>
                <w:szCs w:val="10"/>
                <w:lang w:eastAsia="tr-TR"/>
              </w:rPr>
            </w:pPr>
          </w:p>
        </w:tc>
        <w:tc>
          <w:tcPr>
            <w:tcW w:w="1267" w:type="dxa"/>
            <w:tcBorders>
              <w:top w:val="nil"/>
              <w:left w:val="nil"/>
              <w:bottom w:val="nil"/>
              <w:right w:val="nil"/>
            </w:tcBorders>
            <w:shd w:val="clear" w:color="auto" w:fill="auto"/>
            <w:vAlign w:val="bottom"/>
            <w:hideMark/>
          </w:tcPr>
          <w:p w14:paraId="63DE1A64" w14:textId="77777777" w:rsidR="00FA4AFA" w:rsidRPr="00005453" w:rsidRDefault="00FA4AFA" w:rsidP="00FA4AFA">
            <w:pPr>
              <w:jc w:val="right"/>
              <w:rPr>
                <w:sz w:val="10"/>
                <w:szCs w:val="10"/>
                <w:lang w:eastAsia="tr-TR"/>
              </w:rPr>
            </w:pPr>
          </w:p>
        </w:tc>
        <w:tc>
          <w:tcPr>
            <w:tcW w:w="1259" w:type="dxa"/>
            <w:tcBorders>
              <w:top w:val="nil"/>
              <w:left w:val="nil"/>
              <w:bottom w:val="nil"/>
              <w:right w:val="nil"/>
            </w:tcBorders>
            <w:shd w:val="clear" w:color="auto" w:fill="auto"/>
            <w:vAlign w:val="bottom"/>
            <w:hideMark/>
          </w:tcPr>
          <w:p w14:paraId="5AA760AB" w14:textId="77777777" w:rsidR="00FA4AFA" w:rsidRPr="00005453" w:rsidRDefault="00FA4AFA" w:rsidP="00FA4AFA">
            <w:pPr>
              <w:jc w:val="right"/>
              <w:rPr>
                <w:sz w:val="10"/>
                <w:szCs w:val="10"/>
                <w:lang w:eastAsia="tr-TR"/>
              </w:rPr>
            </w:pPr>
          </w:p>
        </w:tc>
        <w:tc>
          <w:tcPr>
            <w:tcW w:w="1364" w:type="dxa"/>
            <w:tcBorders>
              <w:top w:val="nil"/>
              <w:left w:val="nil"/>
              <w:bottom w:val="nil"/>
              <w:right w:val="nil"/>
            </w:tcBorders>
            <w:shd w:val="clear" w:color="auto" w:fill="auto"/>
            <w:vAlign w:val="bottom"/>
            <w:hideMark/>
          </w:tcPr>
          <w:p w14:paraId="62346100" w14:textId="77777777" w:rsidR="00FA4AFA" w:rsidRPr="00005453" w:rsidRDefault="00FA4AFA" w:rsidP="00FA4AFA">
            <w:pPr>
              <w:jc w:val="right"/>
              <w:rPr>
                <w:sz w:val="10"/>
                <w:szCs w:val="10"/>
                <w:lang w:eastAsia="tr-TR"/>
              </w:rPr>
            </w:pPr>
          </w:p>
        </w:tc>
        <w:tc>
          <w:tcPr>
            <w:tcW w:w="1558" w:type="dxa"/>
            <w:tcBorders>
              <w:top w:val="nil"/>
              <w:left w:val="nil"/>
              <w:bottom w:val="nil"/>
              <w:right w:val="nil"/>
            </w:tcBorders>
            <w:shd w:val="clear" w:color="auto" w:fill="auto"/>
            <w:vAlign w:val="bottom"/>
            <w:hideMark/>
          </w:tcPr>
          <w:p w14:paraId="0E7A37E3" w14:textId="77777777" w:rsidR="00FA4AFA" w:rsidRPr="00005453" w:rsidRDefault="00FA4AFA" w:rsidP="00FA4AFA">
            <w:pPr>
              <w:jc w:val="right"/>
              <w:rPr>
                <w:sz w:val="10"/>
                <w:szCs w:val="10"/>
                <w:lang w:eastAsia="tr-TR"/>
              </w:rPr>
            </w:pPr>
          </w:p>
        </w:tc>
      </w:tr>
      <w:tr w:rsidR="003D6DB9" w:rsidRPr="00005453" w14:paraId="11662A88" w14:textId="77777777" w:rsidTr="003D6DB9">
        <w:trPr>
          <w:divId w:val="1787577962"/>
          <w:trHeight w:val="203"/>
        </w:trPr>
        <w:tc>
          <w:tcPr>
            <w:tcW w:w="3853" w:type="dxa"/>
            <w:tcBorders>
              <w:top w:val="nil"/>
              <w:left w:val="nil"/>
              <w:bottom w:val="nil"/>
              <w:right w:val="nil"/>
            </w:tcBorders>
            <w:shd w:val="clear" w:color="auto" w:fill="auto"/>
            <w:hideMark/>
          </w:tcPr>
          <w:p w14:paraId="0B42A078" w14:textId="77777777" w:rsidR="003D6DB9" w:rsidRPr="00005453" w:rsidRDefault="003D6DB9" w:rsidP="003D6DB9">
            <w:pPr>
              <w:rPr>
                <w:sz w:val="14"/>
                <w:szCs w:val="14"/>
                <w:lang w:eastAsia="tr-TR"/>
              </w:rPr>
            </w:pPr>
            <w:r w:rsidRPr="00005453">
              <w:rPr>
                <w:sz w:val="14"/>
                <w:szCs w:val="14"/>
                <w:lang w:eastAsia="tr-TR"/>
              </w:rPr>
              <w:t>Net bilanço pozisyonu</w:t>
            </w:r>
          </w:p>
        </w:tc>
        <w:tc>
          <w:tcPr>
            <w:tcW w:w="1267" w:type="dxa"/>
            <w:tcBorders>
              <w:top w:val="nil"/>
              <w:left w:val="nil"/>
              <w:bottom w:val="nil"/>
              <w:right w:val="nil"/>
            </w:tcBorders>
            <w:shd w:val="clear" w:color="auto" w:fill="auto"/>
            <w:vAlign w:val="center"/>
            <w:hideMark/>
          </w:tcPr>
          <w:p w14:paraId="1612CF39" w14:textId="60571927" w:rsidR="003D6DB9" w:rsidRPr="00005453" w:rsidRDefault="003D6DB9" w:rsidP="003D6DB9">
            <w:pPr>
              <w:jc w:val="right"/>
              <w:rPr>
                <w:sz w:val="14"/>
                <w:szCs w:val="14"/>
                <w:lang w:eastAsia="tr-TR"/>
              </w:rPr>
            </w:pPr>
            <w:r w:rsidRPr="00005453">
              <w:rPr>
                <w:sz w:val="14"/>
                <w:szCs w:val="18"/>
              </w:rPr>
              <w:t>38,276,060</w:t>
            </w:r>
          </w:p>
        </w:tc>
        <w:tc>
          <w:tcPr>
            <w:tcW w:w="1259" w:type="dxa"/>
            <w:tcBorders>
              <w:top w:val="nil"/>
              <w:left w:val="nil"/>
              <w:bottom w:val="nil"/>
              <w:right w:val="nil"/>
            </w:tcBorders>
            <w:shd w:val="clear" w:color="auto" w:fill="auto"/>
            <w:vAlign w:val="center"/>
            <w:hideMark/>
          </w:tcPr>
          <w:p w14:paraId="6AA48DF2" w14:textId="4FB3EE0E" w:rsidR="003D6DB9" w:rsidRPr="00005453" w:rsidRDefault="003D6DB9" w:rsidP="003D6DB9">
            <w:pPr>
              <w:jc w:val="right"/>
              <w:rPr>
                <w:sz w:val="14"/>
                <w:szCs w:val="14"/>
                <w:lang w:eastAsia="tr-TR"/>
              </w:rPr>
            </w:pPr>
            <w:r w:rsidRPr="00005453">
              <w:rPr>
                <w:sz w:val="14"/>
                <w:szCs w:val="18"/>
              </w:rPr>
              <w:t>19,905,850</w:t>
            </w:r>
          </w:p>
        </w:tc>
        <w:tc>
          <w:tcPr>
            <w:tcW w:w="1364" w:type="dxa"/>
            <w:tcBorders>
              <w:top w:val="nil"/>
              <w:left w:val="nil"/>
              <w:bottom w:val="nil"/>
              <w:right w:val="nil"/>
            </w:tcBorders>
            <w:shd w:val="clear" w:color="auto" w:fill="auto"/>
            <w:vAlign w:val="center"/>
            <w:hideMark/>
          </w:tcPr>
          <w:p w14:paraId="45E65C1C" w14:textId="44C06361" w:rsidR="003D6DB9" w:rsidRPr="00005453" w:rsidRDefault="003D6DB9" w:rsidP="003D6DB9">
            <w:pPr>
              <w:jc w:val="right"/>
              <w:rPr>
                <w:sz w:val="14"/>
                <w:szCs w:val="14"/>
                <w:lang w:eastAsia="tr-TR"/>
              </w:rPr>
            </w:pPr>
            <w:r w:rsidRPr="00005453">
              <w:rPr>
                <w:sz w:val="14"/>
                <w:szCs w:val="18"/>
              </w:rPr>
              <w:t>(49,060,632)</w:t>
            </w:r>
          </w:p>
        </w:tc>
        <w:tc>
          <w:tcPr>
            <w:tcW w:w="1558" w:type="dxa"/>
            <w:tcBorders>
              <w:top w:val="nil"/>
              <w:left w:val="nil"/>
              <w:bottom w:val="nil"/>
              <w:right w:val="nil"/>
            </w:tcBorders>
            <w:shd w:val="clear" w:color="auto" w:fill="auto"/>
            <w:vAlign w:val="center"/>
            <w:hideMark/>
          </w:tcPr>
          <w:p w14:paraId="31688294" w14:textId="67D64C0B" w:rsidR="003D6DB9" w:rsidRPr="00005453" w:rsidRDefault="003D6DB9" w:rsidP="003D6DB9">
            <w:pPr>
              <w:jc w:val="right"/>
              <w:rPr>
                <w:sz w:val="14"/>
                <w:szCs w:val="14"/>
                <w:lang w:eastAsia="tr-TR"/>
              </w:rPr>
            </w:pPr>
            <w:r w:rsidRPr="00005453">
              <w:rPr>
                <w:sz w:val="14"/>
                <w:szCs w:val="18"/>
              </w:rPr>
              <w:t>9,121,278</w:t>
            </w:r>
          </w:p>
        </w:tc>
      </w:tr>
      <w:tr w:rsidR="003D6DB9" w:rsidRPr="00005453" w14:paraId="78B010AD" w14:textId="77777777" w:rsidTr="003D6DB9">
        <w:trPr>
          <w:divId w:val="1787577962"/>
          <w:trHeight w:val="203"/>
        </w:trPr>
        <w:tc>
          <w:tcPr>
            <w:tcW w:w="3853" w:type="dxa"/>
            <w:tcBorders>
              <w:top w:val="nil"/>
              <w:left w:val="nil"/>
              <w:bottom w:val="nil"/>
              <w:right w:val="nil"/>
            </w:tcBorders>
            <w:shd w:val="clear" w:color="auto" w:fill="auto"/>
            <w:hideMark/>
          </w:tcPr>
          <w:p w14:paraId="177A50D1" w14:textId="77777777" w:rsidR="003D6DB9" w:rsidRPr="00005453" w:rsidRDefault="003D6DB9" w:rsidP="003D6DB9">
            <w:pPr>
              <w:rPr>
                <w:sz w:val="14"/>
                <w:szCs w:val="14"/>
                <w:lang w:eastAsia="tr-TR"/>
              </w:rPr>
            </w:pPr>
            <w:r w:rsidRPr="00005453">
              <w:rPr>
                <w:sz w:val="14"/>
                <w:szCs w:val="14"/>
                <w:lang w:eastAsia="tr-TR"/>
              </w:rPr>
              <w:t>Net nazım hesap pozisyonu</w:t>
            </w:r>
          </w:p>
        </w:tc>
        <w:tc>
          <w:tcPr>
            <w:tcW w:w="1267" w:type="dxa"/>
            <w:tcBorders>
              <w:top w:val="nil"/>
              <w:left w:val="nil"/>
              <w:bottom w:val="nil"/>
              <w:right w:val="nil"/>
            </w:tcBorders>
            <w:shd w:val="clear" w:color="auto" w:fill="auto"/>
            <w:vAlign w:val="center"/>
            <w:hideMark/>
          </w:tcPr>
          <w:p w14:paraId="4A7B1840" w14:textId="2330413A" w:rsidR="003D6DB9" w:rsidRPr="00005453" w:rsidRDefault="003D6DB9" w:rsidP="003D6DB9">
            <w:pPr>
              <w:jc w:val="right"/>
              <w:rPr>
                <w:sz w:val="14"/>
                <w:szCs w:val="14"/>
                <w:lang w:eastAsia="tr-TR"/>
              </w:rPr>
            </w:pPr>
            <w:r w:rsidRPr="00005453">
              <w:rPr>
                <w:sz w:val="14"/>
                <w:szCs w:val="18"/>
              </w:rPr>
              <w:t>(43,380,945)</w:t>
            </w:r>
          </w:p>
        </w:tc>
        <w:tc>
          <w:tcPr>
            <w:tcW w:w="1259" w:type="dxa"/>
            <w:tcBorders>
              <w:top w:val="nil"/>
              <w:left w:val="nil"/>
              <w:bottom w:val="nil"/>
              <w:right w:val="nil"/>
            </w:tcBorders>
            <w:shd w:val="clear" w:color="auto" w:fill="auto"/>
            <w:vAlign w:val="center"/>
            <w:hideMark/>
          </w:tcPr>
          <w:p w14:paraId="6F5E1D2C" w14:textId="34A62982" w:rsidR="003D6DB9" w:rsidRPr="00005453" w:rsidRDefault="003D6DB9" w:rsidP="003D6DB9">
            <w:pPr>
              <w:jc w:val="right"/>
              <w:rPr>
                <w:sz w:val="14"/>
                <w:szCs w:val="14"/>
                <w:lang w:eastAsia="tr-TR"/>
              </w:rPr>
            </w:pPr>
            <w:r w:rsidRPr="00005453">
              <w:rPr>
                <w:sz w:val="14"/>
                <w:szCs w:val="18"/>
              </w:rPr>
              <w:t>(23,204,38</w:t>
            </w:r>
            <w:r w:rsidR="005100FA" w:rsidRPr="00005453">
              <w:rPr>
                <w:sz w:val="14"/>
                <w:szCs w:val="18"/>
              </w:rPr>
              <w:t>8</w:t>
            </w:r>
            <w:r w:rsidRPr="00005453">
              <w:rPr>
                <w:sz w:val="14"/>
                <w:szCs w:val="18"/>
              </w:rPr>
              <w:t>)</w:t>
            </w:r>
          </w:p>
        </w:tc>
        <w:tc>
          <w:tcPr>
            <w:tcW w:w="1364" w:type="dxa"/>
            <w:tcBorders>
              <w:top w:val="nil"/>
              <w:left w:val="nil"/>
              <w:bottom w:val="nil"/>
              <w:right w:val="nil"/>
            </w:tcBorders>
            <w:shd w:val="clear" w:color="auto" w:fill="auto"/>
            <w:vAlign w:val="center"/>
            <w:hideMark/>
          </w:tcPr>
          <w:p w14:paraId="08921D98" w14:textId="02FF4BF7" w:rsidR="003D6DB9" w:rsidRPr="00005453" w:rsidRDefault="003D6DB9" w:rsidP="003D6DB9">
            <w:pPr>
              <w:jc w:val="right"/>
              <w:rPr>
                <w:sz w:val="14"/>
                <w:szCs w:val="14"/>
                <w:lang w:eastAsia="tr-TR"/>
              </w:rPr>
            </w:pPr>
            <w:r w:rsidRPr="00005453">
              <w:rPr>
                <w:sz w:val="14"/>
                <w:szCs w:val="18"/>
              </w:rPr>
              <w:t>49,145,738</w:t>
            </w:r>
          </w:p>
        </w:tc>
        <w:tc>
          <w:tcPr>
            <w:tcW w:w="1558" w:type="dxa"/>
            <w:tcBorders>
              <w:top w:val="nil"/>
              <w:left w:val="nil"/>
              <w:bottom w:val="nil"/>
              <w:right w:val="nil"/>
            </w:tcBorders>
            <w:shd w:val="clear" w:color="auto" w:fill="auto"/>
            <w:vAlign w:val="center"/>
            <w:hideMark/>
          </w:tcPr>
          <w:p w14:paraId="68860664" w14:textId="4B741342" w:rsidR="003D6DB9" w:rsidRPr="00005453" w:rsidRDefault="003D6DB9" w:rsidP="003D6DB9">
            <w:pPr>
              <w:jc w:val="right"/>
              <w:rPr>
                <w:sz w:val="14"/>
                <w:szCs w:val="14"/>
                <w:lang w:eastAsia="tr-TR"/>
              </w:rPr>
            </w:pPr>
            <w:r w:rsidRPr="00005453">
              <w:rPr>
                <w:sz w:val="14"/>
                <w:szCs w:val="18"/>
              </w:rPr>
              <w:t>(17,439,59</w:t>
            </w:r>
            <w:r w:rsidR="005100FA" w:rsidRPr="00005453">
              <w:rPr>
                <w:sz w:val="14"/>
                <w:szCs w:val="18"/>
              </w:rPr>
              <w:t>5</w:t>
            </w:r>
            <w:r w:rsidRPr="00005453">
              <w:rPr>
                <w:sz w:val="14"/>
                <w:szCs w:val="18"/>
              </w:rPr>
              <w:t>)</w:t>
            </w:r>
          </w:p>
        </w:tc>
      </w:tr>
      <w:tr w:rsidR="003D6DB9" w:rsidRPr="00005453" w14:paraId="37E7919C" w14:textId="77777777" w:rsidTr="003D6DB9">
        <w:trPr>
          <w:divId w:val="1787577962"/>
          <w:trHeight w:val="203"/>
        </w:trPr>
        <w:tc>
          <w:tcPr>
            <w:tcW w:w="3853" w:type="dxa"/>
            <w:tcBorders>
              <w:top w:val="nil"/>
              <w:left w:val="nil"/>
              <w:bottom w:val="nil"/>
              <w:right w:val="nil"/>
            </w:tcBorders>
            <w:shd w:val="clear" w:color="auto" w:fill="auto"/>
            <w:hideMark/>
          </w:tcPr>
          <w:p w14:paraId="157CC1B3" w14:textId="709C004F" w:rsidR="003D6DB9" w:rsidRPr="00005453" w:rsidRDefault="003D6DB9" w:rsidP="003D6DB9">
            <w:pPr>
              <w:rPr>
                <w:sz w:val="14"/>
                <w:szCs w:val="14"/>
                <w:lang w:eastAsia="tr-TR"/>
              </w:rPr>
            </w:pPr>
            <w:r w:rsidRPr="00005453">
              <w:rPr>
                <w:sz w:val="14"/>
                <w:szCs w:val="14"/>
                <w:lang w:eastAsia="tr-TR"/>
              </w:rPr>
              <w:t>Türev finansal araçlardan alacaklar</w:t>
            </w:r>
          </w:p>
        </w:tc>
        <w:tc>
          <w:tcPr>
            <w:tcW w:w="1267" w:type="dxa"/>
            <w:tcBorders>
              <w:top w:val="nil"/>
              <w:left w:val="nil"/>
              <w:bottom w:val="nil"/>
              <w:right w:val="nil"/>
            </w:tcBorders>
            <w:shd w:val="clear" w:color="auto" w:fill="auto"/>
            <w:vAlign w:val="center"/>
            <w:hideMark/>
          </w:tcPr>
          <w:p w14:paraId="6E1FA573" w14:textId="19C44439" w:rsidR="003D6DB9" w:rsidRPr="00005453" w:rsidRDefault="003D6DB9" w:rsidP="003D6DB9">
            <w:pPr>
              <w:jc w:val="right"/>
              <w:rPr>
                <w:sz w:val="14"/>
                <w:szCs w:val="14"/>
                <w:lang w:eastAsia="tr-TR"/>
              </w:rPr>
            </w:pPr>
            <w:r w:rsidRPr="00005453">
              <w:rPr>
                <w:sz w:val="14"/>
                <w:szCs w:val="18"/>
              </w:rPr>
              <w:t>4,531,990</w:t>
            </w:r>
          </w:p>
        </w:tc>
        <w:tc>
          <w:tcPr>
            <w:tcW w:w="1259" w:type="dxa"/>
            <w:tcBorders>
              <w:top w:val="nil"/>
              <w:left w:val="nil"/>
              <w:bottom w:val="nil"/>
              <w:right w:val="nil"/>
            </w:tcBorders>
            <w:shd w:val="clear" w:color="auto" w:fill="auto"/>
            <w:vAlign w:val="center"/>
            <w:hideMark/>
          </w:tcPr>
          <w:p w14:paraId="4F1B1A2C" w14:textId="5A3BE5F6" w:rsidR="003D6DB9" w:rsidRPr="00005453" w:rsidRDefault="003D6DB9" w:rsidP="003D6DB9">
            <w:pPr>
              <w:jc w:val="right"/>
              <w:rPr>
                <w:sz w:val="14"/>
                <w:szCs w:val="14"/>
                <w:lang w:eastAsia="tr-TR"/>
              </w:rPr>
            </w:pPr>
            <w:r w:rsidRPr="00005453">
              <w:rPr>
                <w:sz w:val="14"/>
                <w:szCs w:val="18"/>
              </w:rPr>
              <w:t>40,080,29</w:t>
            </w:r>
            <w:r w:rsidR="005100FA" w:rsidRPr="00005453">
              <w:rPr>
                <w:sz w:val="14"/>
                <w:szCs w:val="18"/>
              </w:rPr>
              <w:t>2</w:t>
            </w:r>
          </w:p>
        </w:tc>
        <w:tc>
          <w:tcPr>
            <w:tcW w:w="1364" w:type="dxa"/>
            <w:tcBorders>
              <w:top w:val="nil"/>
              <w:left w:val="nil"/>
              <w:bottom w:val="nil"/>
              <w:right w:val="nil"/>
            </w:tcBorders>
            <w:shd w:val="clear" w:color="auto" w:fill="auto"/>
            <w:vAlign w:val="center"/>
            <w:hideMark/>
          </w:tcPr>
          <w:p w14:paraId="5DC7EB51" w14:textId="52D39BF5" w:rsidR="003D6DB9" w:rsidRPr="00005453" w:rsidRDefault="003D6DB9" w:rsidP="003D6DB9">
            <w:pPr>
              <w:jc w:val="right"/>
              <w:rPr>
                <w:sz w:val="14"/>
                <w:szCs w:val="14"/>
                <w:lang w:eastAsia="tr-TR"/>
              </w:rPr>
            </w:pPr>
            <w:r w:rsidRPr="00005453">
              <w:rPr>
                <w:sz w:val="14"/>
                <w:szCs w:val="18"/>
              </w:rPr>
              <w:t>77,625,201</w:t>
            </w:r>
          </w:p>
        </w:tc>
        <w:tc>
          <w:tcPr>
            <w:tcW w:w="1558" w:type="dxa"/>
            <w:tcBorders>
              <w:top w:val="nil"/>
              <w:left w:val="nil"/>
              <w:bottom w:val="nil"/>
              <w:right w:val="nil"/>
            </w:tcBorders>
            <w:shd w:val="clear" w:color="auto" w:fill="auto"/>
            <w:vAlign w:val="center"/>
            <w:hideMark/>
          </w:tcPr>
          <w:p w14:paraId="599B5A64" w14:textId="3D19BF0A" w:rsidR="003D6DB9" w:rsidRPr="00005453" w:rsidRDefault="003D6DB9" w:rsidP="003D6DB9">
            <w:pPr>
              <w:jc w:val="right"/>
              <w:rPr>
                <w:sz w:val="14"/>
                <w:szCs w:val="14"/>
                <w:lang w:eastAsia="tr-TR"/>
              </w:rPr>
            </w:pPr>
            <w:r w:rsidRPr="00005453">
              <w:rPr>
                <w:sz w:val="14"/>
                <w:szCs w:val="18"/>
              </w:rPr>
              <w:t>122,237,484</w:t>
            </w:r>
          </w:p>
        </w:tc>
      </w:tr>
      <w:tr w:rsidR="003D6DB9" w:rsidRPr="00005453" w14:paraId="569FD7E8" w14:textId="77777777" w:rsidTr="003D6DB9">
        <w:trPr>
          <w:divId w:val="1787577962"/>
          <w:trHeight w:val="203"/>
        </w:trPr>
        <w:tc>
          <w:tcPr>
            <w:tcW w:w="3853" w:type="dxa"/>
            <w:tcBorders>
              <w:top w:val="nil"/>
              <w:left w:val="nil"/>
              <w:bottom w:val="nil"/>
              <w:right w:val="nil"/>
            </w:tcBorders>
            <w:shd w:val="clear" w:color="auto" w:fill="auto"/>
            <w:hideMark/>
          </w:tcPr>
          <w:p w14:paraId="49C9DAFF" w14:textId="77777777" w:rsidR="003D6DB9" w:rsidRPr="00005453" w:rsidRDefault="003D6DB9" w:rsidP="003D6DB9">
            <w:pPr>
              <w:rPr>
                <w:sz w:val="14"/>
                <w:szCs w:val="14"/>
                <w:lang w:eastAsia="tr-TR"/>
              </w:rPr>
            </w:pPr>
            <w:r w:rsidRPr="00005453">
              <w:rPr>
                <w:sz w:val="14"/>
                <w:szCs w:val="14"/>
                <w:lang w:eastAsia="tr-TR"/>
              </w:rPr>
              <w:t>Türev finansal araçlardan borçlar</w:t>
            </w:r>
          </w:p>
        </w:tc>
        <w:tc>
          <w:tcPr>
            <w:tcW w:w="1267" w:type="dxa"/>
            <w:tcBorders>
              <w:top w:val="nil"/>
              <w:left w:val="nil"/>
              <w:bottom w:val="nil"/>
              <w:right w:val="nil"/>
            </w:tcBorders>
            <w:shd w:val="clear" w:color="auto" w:fill="auto"/>
            <w:vAlign w:val="center"/>
            <w:hideMark/>
          </w:tcPr>
          <w:p w14:paraId="5FE353DC" w14:textId="0C07882B" w:rsidR="003D6DB9" w:rsidRPr="00005453" w:rsidRDefault="003D6DB9" w:rsidP="003D6DB9">
            <w:pPr>
              <w:jc w:val="right"/>
              <w:rPr>
                <w:sz w:val="14"/>
                <w:szCs w:val="14"/>
                <w:lang w:eastAsia="tr-TR"/>
              </w:rPr>
            </w:pPr>
            <w:r w:rsidRPr="00005453">
              <w:rPr>
                <w:sz w:val="14"/>
                <w:szCs w:val="18"/>
              </w:rPr>
              <w:t>47,912,935</w:t>
            </w:r>
          </w:p>
        </w:tc>
        <w:tc>
          <w:tcPr>
            <w:tcW w:w="1259" w:type="dxa"/>
            <w:tcBorders>
              <w:top w:val="nil"/>
              <w:left w:val="nil"/>
              <w:bottom w:val="nil"/>
              <w:right w:val="nil"/>
            </w:tcBorders>
            <w:shd w:val="clear" w:color="auto" w:fill="auto"/>
            <w:vAlign w:val="center"/>
            <w:hideMark/>
          </w:tcPr>
          <w:p w14:paraId="2F14F5FD" w14:textId="4247C495" w:rsidR="003D6DB9" w:rsidRPr="00005453" w:rsidRDefault="003D6DB9" w:rsidP="003D6DB9">
            <w:pPr>
              <w:jc w:val="right"/>
              <w:rPr>
                <w:sz w:val="14"/>
                <w:szCs w:val="14"/>
                <w:lang w:eastAsia="tr-TR"/>
              </w:rPr>
            </w:pPr>
            <w:r w:rsidRPr="00005453">
              <w:rPr>
                <w:sz w:val="14"/>
                <w:szCs w:val="18"/>
              </w:rPr>
              <w:t>63,284,680</w:t>
            </w:r>
          </w:p>
        </w:tc>
        <w:tc>
          <w:tcPr>
            <w:tcW w:w="1364" w:type="dxa"/>
            <w:tcBorders>
              <w:top w:val="nil"/>
              <w:left w:val="nil"/>
              <w:bottom w:val="nil"/>
              <w:right w:val="nil"/>
            </w:tcBorders>
            <w:shd w:val="clear" w:color="auto" w:fill="auto"/>
            <w:vAlign w:val="center"/>
            <w:hideMark/>
          </w:tcPr>
          <w:p w14:paraId="522DC74C" w14:textId="6FEE0D32" w:rsidR="003D6DB9" w:rsidRPr="00005453" w:rsidRDefault="003D6DB9" w:rsidP="003D6DB9">
            <w:pPr>
              <w:jc w:val="right"/>
              <w:rPr>
                <w:sz w:val="14"/>
                <w:szCs w:val="14"/>
                <w:lang w:eastAsia="tr-TR"/>
              </w:rPr>
            </w:pPr>
            <w:r w:rsidRPr="00005453">
              <w:rPr>
                <w:sz w:val="14"/>
                <w:szCs w:val="18"/>
              </w:rPr>
              <w:t>28,479,463</w:t>
            </w:r>
          </w:p>
        </w:tc>
        <w:tc>
          <w:tcPr>
            <w:tcW w:w="1558" w:type="dxa"/>
            <w:tcBorders>
              <w:top w:val="nil"/>
              <w:left w:val="nil"/>
              <w:bottom w:val="nil"/>
              <w:right w:val="nil"/>
            </w:tcBorders>
            <w:shd w:val="clear" w:color="auto" w:fill="auto"/>
            <w:vAlign w:val="center"/>
            <w:hideMark/>
          </w:tcPr>
          <w:p w14:paraId="41438706" w14:textId="5088657B" w:rsidR="003D6DB9" w:rsidRPr="00005453" w:rsidRDefault="003D6DB9" w:rsidP="003D6DB9">
            <w:pPr>
              <w:jc w:val="right"/>
              <w:rPr>
                <w:sz w:val="14"/>
                <w:szCs w:val="14"/>
                <w:lang w:eastAsia="tr-TR"/>
              </w:rPr>
            </w:pPr>
            <w:r w:rsidRPr="00005453">
              <w:rPr>
                <w:sz w:val="14"/>
                <w:szCs w:val="18"/>
              </w:rPr>
              <w:t>139,677,078</w:t>
            </w:r>
          </w:p>
        </w:tc>
      </w:tr>
      <w:tr w:rsidR="003D6DB9" w:rsidRPr="00005453" w14:paraId="1DEC0674" w14:textId="77777777" w:rsidTr="003D6DB9">
        <w:trPr>
          <w:divId w:val="1787577962"/>
          <w:trHeight w:val="203"/>
        </w:trPr>
        <w:tc>
          <w:tcPr>
            <w:tcW w:w="3853" w:type="dxa"/>
            <w:tcBorders>
              <w:top w:val="nil"/>
              <w:left w:val="nil"/>
              <w:bottom w:val="nil"/>
              <w:right w:val="nil"/>
            </w:tcBorders>
            <w:shd w:val="clear" w:color="auto" w:fill="auto"/>
            <w:hideMark/>
          </w:tcPr>
          <w:p w14:paraId="4D2ABA3E" w14:textId="77777777" w:rsidR="003D6DB9" w:rsidRPr="00005453" w:rsidRDefault="003D6DB9" w:rsidP="003D6DB9">
            <w:pPr>
              <w:rPr>
                <w:sz w:val="14"/>
                <w:szCs w:val="14"/>
                <w:lang w:eastAsia="tr-TR"/>
              </w:rPr>
            </w:pPr>
            <w:r w:rsidRPr="00005453">
              <w:rPr>
                <w:sz w:val="14"/>
                <w:szCs w:val="14"/>
                <w:lang w:eastAsia="tr-TR"/>
              </w:rPr>
              <w:t>Gayrinakdi krediler (***)</w:t>
            </w:r>
          </w:p>
        </w:tc>
        <w:tc>
          <w:tcPr>
            <w:tcW w:w="1267" w:type="dxa"/>
            <w:tcBorders>
              <w:top w:val="nil"/>
              <w:left w:val="nil"/>
              <w:bottom w:val="nil"/>
              <w:right w:val="nil"/>
            </w:tcBorders>
            <w:shd w:val="clear" w:color="auto" w:fill="auto"/>
            <w:vAlign w:val="center"/>
            <w:hideMark/>
          </w:tcPr>
          <w:p w14:paraId="7B37C9FE" w14:textId="64AAE645" w:rsidR="003D6DB9" w:rsidRPr="00005453" w:rsidRDefault="003D6DB9" w:rsidP="003D6DB9">
            <w:pPr>
              <w:jc w:val="right"/>
              <w:rPr>
                <w:sz w:val="14"/>
                <w:szCs w:val="14"/>
                <w:lang w:eastAsia="tr-TR"/>
              </w:rPr>
            </w:pPr>
            <w:r w:rsidRPr="00005453">
              <w:rPr>
                <w:sz w:val="14"/>
                <w:szCs w:val="18"/>
              </w:rPr>
              <w:t>9,914,129</w:t>
            </w:r>
          </w:p>
        </w:tc>
        <w:tc>
          <w:tcPr>
            <w:tcW w:w="1259" w:type="dxa"/>
            <w:tcBorders>
              <w:top w:val="nil"/>
              <w:left w:val="nil"/>
              <w:bottom w:val="nil"/>
              <w:right w:val="nil"/>
            </w:tcBorders>
            <w:shd w:val="clear" w:color="auto" w:fill="auto"/>
            <w:vAlign w:val="center"/>
            <w:hideMark/>
          </w:tcPr>
          <w:p w14:paraId="264CFD93" w14:textId="3678DC45" w:rsidR="003D6DB9" w:rsidRPr="00005453" w:rsidRDefault="003D6DB9" w:rsidP="003D6DB9">
            <w:pPr>
              <w:jc w:val="right"/>
              <w:rPr>
                <w:sz w:val="14"/>
                <w:szCs w:val="14"/>
                <w:lang w:eastAsia="tr-TR"/>
              </w:rPr>
            </w:pPr>
            <w:r w:rsidRPr="00005453">
              <w:rPr>
                <w:sz w:val="14"/>
                <w:szCs w:val="18"/>
              </w:rPr>
              <w:t>20,082,670</w:t>
            </w:r>
          </w:p>
        </w:tc>
        <w:tc>
          <w:tcPr>
            <w:tcW w:w="1364" w:type="dxa"/>
            <w:tcBorders>
              <w:top w:val="nil"/>
              <w:left w:val="nil"/>
              <w:bottom w:val="nil"/>
              <w:right w:val="nil"/>
            </w:tcBorders>
            <w:shd w:val="clear" w:color="auto" w:fill="auto"/>
            <w:vAlign w:val="center"/>
            <w:hideMark/>
          </w:tcPr>
          <w:p w14:paraId="72A8C43F" w14:textId="0526F7D0" w:rsidR="003D6DB9" w:rsidRPr="00005453" w:rsidRDefault="003D6DB9" w:rsidP="003D6DB9">
            <w:pPr>
              <w:jc w:val="right"/>
              <w:rPr>
                <w:sz w:val="14"/>
                <w:szCs w:val="14"/>
                <w:lang w:eastAsia="tr-TR"/>
              </w:rPr>
            </w:pPr>
            <w:r w:rsidRPr="00005453">
              <w:rPr>
                <w:sz w:val="14"/>
                <w:szCs w:val="18"/>
              </w:rPr>
              <w:t>5,657,163</w:t>
            </w:r>
          </w:p>
        </w:tc>
        <w:tc>
          <w:tcPr>
            <w:tcW w:w="1558" w:type="dxa"/>
            <w:tcBorders>
              <w:top w:val="nil"/>
              <w:left w:val="nil"/>
              <w:bottom w:val="nil"/>
              <w:right w:val="nil"/>
            </w:tcBorders>
            <w:shd w:val="clear" w:color="auto" w:fill="auto"/>
            <w:vAlign w:val="center"/>
            <w:hideMark/>
          </w:tcPr>
          <w:p w14:paraId="4F7D888A" w14:textId="16DD19DE" w:rsidR="003D6DB9" w:rsidRPr="00005453" w:rsidRDefault="003D6DB9" w:rsidP="003D6DB9">
            <w:pPr>
              <w:jc w:val="right"/>
              <w:rPr>
                <w:sz w:val="14"/>
                <w:szCs w:val="14"/>
                <w:lang w:eastAsia="tr-TR"/>
              </w:rPr>
            </w:pPr>
            <w:r w:rsidRPr="00005453">
              <w:rPr>
                <w:sz w:val="14"/>
                <w:szCs w:val="18"/>
              </w:rPr>
              <w:t>35,653,962</w:t>
            </w:r>
          </w:p>
        </w:tc>
      </w:tr>
      <w:tr w:rsidR="000E592C" w:rsidRPr="00005453" w14:paraId="5DF6F255" w14:textId="77777777" w:rsidTr="00C827F7">
        <w:trPr>
          <w:divId w:val="1787577962"/>
          <w:trHeight w:val="54"/>
        </w:trPr>
        <w:tc>
          <w:tcPr>
            <w:tcW w:w="3853" w:type="dxa"/>
            <w:tcBorders>
              <w:top w:val="nil"/>
              <w:left w:val="nil"/>
              <w:bottom w:val="nil"/>
              <w:right w:val="nil"/>
            </w:tcBorders>
            <w:shd w:val="clear" w:color="auto" w:fill="auto"/>
            <w:hideMark/>
          </w:tcPr>
          <w:p w14:paraId="02C04E56" w14:textId="77777777" w:rsidR="000E592C" w:rsidRPr="00005453" w:rsidRDefault="000E592C" w:rsidP="00311843">
            <w:pPr>
              <w:rPr>
                <w:sz w:val="10"/>
                <w:szCs w:val="10"/>
                <w:lang w:eastAsia="tr-TR"/>
              </w:rPr>
            </w:pPr>
          </w:p>
        </w:tc>
        <w:tc>
          <w:tcPr>
            <w:tcW w:w="1267" w:type="dxa"/>
            <w:tcBorders>
              <w:top w:val="nil"/>
              <w:left w:val="nil"/>
              <w:bottom w:val="nil"/>
              <w:right w:val="nil"/>
            </w:tcBorders>
            <w:shd w:val="clear" w:color="auto" w:fill="auto"/>
          </w:tcPr>
          <w:p w14:paraId="2689E394" w14:textId="4836552A" w:rsidR="000E592C" w:rsidRPr="00005453" w:rsidRDefault="000E592C" w:rsidP="008C5BE4">
            <w:pPr>
              <w:jc w:val="right"/>
              <w:rPr>
                <w:sz w:val="10"/>
                <w:szCs w:val="10"/>
                <w:lang w:eastAsia="tr-TR"/>
              </w:rPr>
            </w:pPr>
          </w:p>
        </w:tc>
        <w:tc>
          <w:tcPr>
            <w:tcW w:w="1259" w:type="dxa"/>
            <w:tcBorders>
              <w:top w:val="nil"/>
              <w:left w:val="nil"/>
              <w:bottom w:val="nil"/>
              <w:right w:val="nil"/>
            </w:tcBorders>
            <w:shd w:val="clear" w:color="auto" w:fill="auto"/>
          </w:tcPr>
          <w:p w14:paraId="12EC704C" w14:textId="2C5807F7" w:rsidR="000E592C" w:rsidRPr="00005453" w:rsidRDefault="000E592C" w:rsidP="008C5BE4">
            <w:pPr>
              <w:jc w:val="right"/>
              <w:rPr>
                <w:sz w:val="10"/>
                <w:szCs w:val="10"/>
                <w:lang w:eastAsia="tr-TR"/>
              </w:rPr>
            </w:pPr>
          </w:p>
        </w:tc>
        <w:tc>
          <w:tcPr>
            <w:tcW w:w="1364" w:type="dxa"/>
            <w:tcBorders>
              <w:top w:val="nil"/>
              <w:left w:val="nil"/>
              <w:bottom w:val="nil"/>
              <w:right w:val="nil"/>
            </w:tcBorders>
            <w:shd w:val="clear" w:color="auto" w:fill="auto"/>
          </w:tcPr>
          <w:p w14:paraId="139CE1B0" w14:textId="43519899" w:rsidR="000E592C" w:rsidRPr="00005453" w:rsidRDefault="000E592C" w:rsidP="008C5BE4">
            <w:pPr>
              <w:jc w:val="right"/>
              <w:rPr>
                <w:sz w:val="10"/>
                <w:szCs w:val="10"/>
                <w:lang w:eastAsia="tr-TR"/>
              </w:rPr>
            </w:pPr>
          </w:p>
        </w:tc>
        <w:tc>
          <w:tcPr>
            <w:tcW w:w="1558" w:type="dxa"/>
            <w:tcBorders>
              <w:top w:val="nil"/>
              <w:left w:val="nil"/>
              <w:bottom w:val="nil"/>
              <w:right w:val="nil"/>
            </w:tcBorders>
            <w:shd w:val="clear" w:color="auto" w:fill="auto"/>
          </w:tcPr>
          <w:p w14:paraId="048ADAC2" w14:textId="1282E9D7" w:rsidR="000E592C" w:rsidRPr="00005453" w:rsidRDefault="000E592C" w:rsidP="008C5BE4">
            <w:pPr>
              <w:jc w:val="right"/>
              <w:rPr>
                <w:sz w:val="10"/>
                <w:szCs w:val="10"/>
                <w:lang w:eastAsia="tr-TR"/>
              </w:rPr>
            </w:pPr>
          </w:p>
        </w:tc>
      </w:tr>
      <w:tr w:rsidR="00FA4AFA" w:rsidRPr="00005453" w14:paraId="3517337E" w14:textId="77777777" w:rsidTr="00C827F7">
        <w:trPr>
          <w:divId w:val="1787577962"/>
          <w:trHeight w:val="184"/>
        </w:trPr>
        <w:tc>
          <w:tcPr>
            <w:tcW w:w="3853" w:type="dxa"/>
            <w:tcBorders>
              <w:top w:val="nil"/>
              <w:left w:val="nil"/>
              <w:bottom w:val="nil"/>
              <w:right w:val="nil"/>
            </w:tcBorders>
            <w:shd w:val="clear" w:color="auto" w:fill="auto"/>
            <w:hideMark/>
          </w:tcPr>
          <w:p w14:paraId="65BB8703" w14:textId="77777777" w:rsidR="00FA4AFA" w:rsidRPr="00005453" w:rsidRDefault="00FA4AFA" w:rsidP="00311843">
            <w:pPr>
              <w:rPr>
                <w:b/>
                <w:bCs/>
                <w:sz w:val="14"/>
                <w:szCs w:val="14"/>
                <w:lang w:eastAsia="tr-TR"/>
              </w:rPr>
            </w:pPr>
            <w:r w:rsidRPr="00005453">
              <w:rPr>
                <w:b/>
                <w:bCs/>
                <w:sz w:val="14"/>
                <w:szCs w:val="14"/>
                <w:lang w:eastAsia="tr-TR"/>
              </w:rPr>
              <w:t>Önceki Dönem</w:t>
            </w:r>
          </w:p>
        </w:tc>
        <w:tc>
          <w:tcPr>
            <w:tcW w:w="1267" w:type="dxa"/>
            <w:tcBorders>
              <w:top w:val="nil"/>
              <w:left w:val="nil"/>
              <w:bottom w:val="nil"/>
              <w:right w:val="nil"/>
            </w:tcBorders>
            <w:shd w:val="clear" w:color="auto" w:fill="auto"/>
            <w:hideMark/>
          </w:tcPr>
          <w:p w14:paraId="663759A6" w14:textId="77777777" w:rsidR="00FA4AFA" w:rsidRPr="00005453" w:rsidRDefault="00FA4AFA" w:rsidP="008C5BE4">
            <w:pPr>
              <w:jc w:val="right"/>
              <w:rPr>
                <w:b/>
                <w:bCs/>
                <w:sz w:val="14"/>
                <w:szCs w:val="14"/>
                <w:lang w:eastAsia="tr-TR"/>
              </w:rPr>
            </w:pPr>
          </w:p>
        </w:tc>
        <w:tc>
          <w:tcPr>
            <w:tcW w:w="1259" w:type="dxa"/>
            <w:tcBorders>
              <w:top w:val="nil"/>
              <w:left w:val="nil"/>
              <w:bottom w:val="nil"/>
              <w:right w:val="nil"/>
            </w:tcBorders>
            <w:shd w:val="clear" w:color="auto" w:fill="auto"/>
            <w:hideMark/>
          </w:tcPr>
          <w:p w14:paraId="74773428" w14:textId="77777777" w:rsidR="00FA4AFA" w:rsidRPr="00005453" w:rsidRDefault="00FA4AFA" w:rsidP="008C5BE4">
            <w:pPr>
              <w:jc w:val="right"/>
              <w:rPr>
                <w:sz w:val="14"/>
                <w:szCs w:val="14"/>
                <w:lang w:eastAsia="tr-TR"/>
              </w:rPr>
            </w:pPr>
          </w:p>
        </w:tc>
        <w:tc>
          <w:tcPr>
            <w:tcW w:w="1364" w:type="dxa"/>
            <w:tcBorders>
              <w:top w:val="nil"/>
              <w:left w:val="nil"/>
              <w:bottom w:val="nil"/>
              <w:right w:val="nil"/>
            </w:tcBorders>
            <w:shd w:val="clear" w:color="auto" w:fill="auto"/>
            <w:hideMark/>
          </w:tcPr>
          <w:p w14:paraId="1C18D03B" w14:textId="77777777" w:rsidR="00FA4AFA" w:rsidRPr="00005453" w:rsidRDefault="00FA4AFA" w:rsidP="008C5BE4">
            <w:pPr>
              <w:jc w:val="right"/>
              <w:rPr>
                <w:sz w:val="14"/>
                <w:szCs w:val="14"/>
                <w:lang w:eastAsia="tr-TR"/>
              </w:rPr>
            </w:pPr>
          </w:p>
        </w:tc>
        <w:tc>
          <w:tcPr>
            <w:tcW w:w="1558" w:type="dxa"/>
            <w:tcBorders>
              <w:top w:val="nil"/>
              <w:left w:val="nil"/>
              <w:bottom w:val="nil"/>
              <w:right w:val="nil"/>
            </w:tcBorders>
            <w:shd w:val="clear" w:color="auto" w:fill="auto"/>
            <w:hideMark/>
          </w:tcPr>
          <w:p w14:paraId="7EF917E9" w14:textId="77777777" w:rsidR="00FA4AFA" w:rsidRPr="00005453" w:rsidRDefault="00FA4AFA" w:rsidP="008C5BE4">
            <w:pPr>
              <w:jc w:val="right"/>
              <w:rPr>
                <w:sz w:val="14"/>
                <w:szCs w:val="14"/>
                <w:lang w:eastAsia="tr-TR"/>
              </w:rPr>
            </w:pPr>
          </w:p>
        </w:tc>
      </w:tr>
      <w:tr w:rsidR="00F14B37" w:rsidRPr="00005453" w14:paraId="3F86D5E8" w14:textId="77777777" w:rsidTr="00C827F7">
        <w:trPr>
          <w:divId w:val="1787577962"/>
          <w:trHeight w:val="203"/>
        </w:trPr>
        <w:tc>
          <w:tcPr>
            <w:tcW w:w="3853" w:type="dxa"/>
            <w:tcBorders>
              <w:top w:val="nil"/>
              <w:left w:val="nil"/>
              <w:bottom w:val="nil"/>
              <w:right w:val="nil"/>
            </w:tcBorders>
            <w:shd w:val="clear" w:color="auto" w:fill="auto"/>
            <w:hideMark/>
          </w:tcPr>
          <w:p w14:paraId="561F2756" w14:textId="77777777" w:rsidR="00F14B37" w:rsidRPr="00005453" w:rsidRDefault="00F14B37" w:rsidP="00F14B37">
            <w:pPr>
              <w:rPr>
                <w:sz w:val="14"/>
                <w:szCs w:val="14"/>
                <w:lang w:eastAsia="tr-TR"/>
              </w:rPr>
            </w:pPr>
            <w:r w:rsidRPr="00005453">
              <w:rPr>
                <w:sz w:val="14"/>
                <w:szCs w:val="14"/>
                <w:lang w:eastAsia="tr-TR"/>
              </w:rPr>
              <w:t xml:space="preserve">Toplam varlıklar </w:t>
            </w:r>
          </w:p>
        </w:tc>
        <w:tc>
          <w:tcPr>
            <w:tcW w:w="1267" w:type="dxa"/>
            <w:tcBorders>
              <w:top w:val="nil"/>
              <w:left w:val="nil"/>
              <w:bottom w:val="nil"/>
              <w:right w:val="nil"/>
            </w:tcBorders>
            <w:shd w:val="clear" w:color="auto" w:fill="auto"/>
            <w:vAlign w:val="center"/>
            <w:hideMark/>
          </w:tcPr>
          <w:p w14:paraId="043501C9" w14:textId="403DBBA4" w:rsidR="00F14B37" w:rsidRPr="00005453" w:rsidRDefault="00F14B37" w:rsidP="00F14B37">
            <w:pPr>
              <w:jc w:val="right"/>
              <w:rPr>
                <w:sz w:val="14"/>
                <w:szCs w:val="14"/>
                <w:lang w:eastAsia="tr-TR"/>
              </w:rPr>
            </w:pPr>
            <w:r w:rsidRPr="00005453">
              <w:rPr>
                <w:bCs/>
                <w:sz w:val="14"/>
                <w:szCs w:val="14"/>
              </w:rPr>
              <w:t>83,270,665</w:t>
            </w:r>
          </w:p>
        </w:tc>
        <w:tc>
          <w:tcPr>
            <w:tcW w:w="1259" w:type="dxa"/>
            <w:tcBorders>
              <w:top w:val="nil"/>
              <w:left w:val="nil"/>
              <w:bottom w:val="nil"/>
              <w:right w:val="nil"/>
            </w:tcBorders>
            <w:shd w:val="clear" w:color="auto" w:fill="auto"/>
            <w:vAlign w:val="center"/>
            <w:hideMark/>
          </w:tcPr>
          <w:p w14:paraId="009232F2" w14:textId="0B9BA6E1" w:rsidR="00F14B37" w:rsidRPr="00005453" w:rsidRDefault="00F14B37" w:rsidP="00F14B37">
            <w:pPr>
              <w:jc w:val="right"/>
              <w:rPr>
                <w:sz w:val="14"/>
                <w:szCs w:val="14"/>
                <w:lang w:eastAsia="tr-TR"/>
              </w:rPr>
            </w:pPr>
            <w:r w:rsidRPr="00005453">
              <w:rPr>
                <w:bCs/>
                <w:sz w:val="14"/>
                <w:szCs w:val="14"/>
              </w:rPr>
              <w:t>173,940,921</w:t>
            </w:r>
          </w:p>
        </w:tc>
        <w:tc>
          <w:tcPr>
            <w:tcW w:w="1364" w:type="dxa"/>
            <w:tcBorders>
              <w:top w:val="nil"/>
              <w:left w:val="nil"/>
              <w:bottom w:val="nil"/>
              <w:right w:val="nil"/>
            </w:tcBorders>
            <w:shd w:val="clear" w:color="auto" w:fill="auto"/>
            <w:vAlign w:val="center"/>
            <w:hideMark/>
          </w:tcPr>
          <w:p w14:paraId="03B926DD" w14:textId="3EB14F00" w:rsidR="00F14B37" w:rsidRPr="00005453" w:rsidRDefault="00F14B37" w:rsidP="00F14B37">
            <w:pPr>
              <w:jc w:val="right"/>
              <w:rPr>
                <w:sz w:val="14"/>
                <w:szCs w:val="14"/>
                <w:lang w:eastAsia="tr-TR"/>
              </w:rPr>
            </w:pPr>
            <w:r w:rsidRPr="00005453">
              <w:rPr>
                <w:bCs/>
                <w:sz w:val="14"/>
                <w:szCs w:val="14"/>
              </w:rPr>
              <w:t>68,203,590</w:t>
            </w:r>
          </w:p>
        </w:tc>
        <w:tc>
          <w:tcPr>
            <w:tcW w:w="1558" w:type="dxa"/>
            <w:tcBorders>
              <w:top w:val="nil"/>
              <w:left w:val="nil"/>
              <w:bottom w:val="nil"/>
              <w:right w:val="nil"/>
            </w:tcBorders>
            <w:shd w:val="clear" w:color="auto" w:fill="auto"/>
            <w:vAlign w:val="center"/>
            <w:hideMark/>
          </w:tcPr>
          <w:p w14:paraId="7114A18F" w14:textId="66368131" w:rsidR="00F14B37" w:rsidRPr="00005453" w:rsidRDefault="00F14B37" w:rsidP="00F14B37">
            <w:pPr>
              <w:jc w:val="right"/>
              <w:rPr>
                <w:sz w:val="14"/>
                <w:szCs w:val="14"/>
                <w:lang w:eastAsia="tr-TR"/>
              </w:rPr>
            </w:pPr>
            <w:r w:rsidRPr="00005453">
              <w:rPr>
                <w:bCs/>
                <w:sz w:val="14"/>
                <w:szCs w:val="14"/>
              </w:rPr>
              <w:t>325,415,176</w:t>
            </w:r>
          </w:p>
        </w:tc>
      </w:tr>
      <w:tr w:rsidR="00F14B37" w:rsidRPr="00005453" w14:paraId="6FC68C29" w14:textId="77777777" w:rsidTr="00C827F7">
        <w:trPr>
          <w:divId w:val="1787577962"/>
          <w:trHeight w:val="203"/>
        </w:trPr>
        <w:tc>
          <w:tcPr>
            <w:tcW w:w="3853" w:type="dxa"/>
            <w:tcBorders>
              <w:top w:val="nil"/>
              <w:left w:val="nil"/>
              <w:bottom w:val="nil"/>
              <w:right w:val="nil"/>
            </w:tcBorders>
            <w:shd w:val="clear" w:color="auto" w:fill="auto"/>
            <w:hideMark/>
          </w:tcPr>
          <w:p w14:paraId="32C8EF89" w14:textId="77777777" w:rsidR="00F14B37" w:rsidRPr="00005453" w:rsidRDefault="00F14B37" w:rsidP="00F14B37">
            <w:pPr>
              <w:rPr>
                <w:sz w:val="14"/>
                <w:szCs w:val="14"/>
                <w:lang w:eastAsia="tr-TR"/>
              </w:rPr>
            </w:pPr>
            <w:r w:rsidRPr="00005453">
              <w:rPr>
                <w:sz w:val="14"/>
                <w:szCs w:val="14"/>
                <w:lang w:eastAsia="tr-TR"/>
              </w:rPr>
              <w:t xml:space="preserve">Toplam yükümlülükler </w:t>
            </w:r>
          </w:p>
        </w:tc>
        <w:tc>
          <w:tcPr>
            <w:tcW w:w="1267" w:type="dxa"/>
            <w:tcBorders>
              <w:top w:val="nil"/>
              <w:left w:val="nil"/>
              <w:bottom w:val="nil"/>
              <w:right w:val="nil"/>
            </w:tcBorders>
            <w:shd w:val="clear" w:color="auto" w:fill="auto"/>
            <w:vAlign w:val="center"/>
            <w:hideMark/>
          </w:tcPr>
          <w:p w14:paraId="619A34D5" w14:textId="322A88D0" w:rsidR="00F14B37" w:rsidRPr="00005453" w:rsidRDefault="00F14B37" w:rsidP="00F14B37">
            <w:pPr>
              <w:jc w:val="right"/>
              <w:rPr>
                <w:sz w:val="14"/>
                <w:szCs w:val="14"/>
                <w:lang w:eastAsia="tr-TR"/>
              </w:rPr>
            </w:pPr>
            <w:r w:rsidRPr="00005453">
              <w:rPr>
                <w:bCs/>
                <w:sz w:val="14"/>
                <w:szCs w:val="14"/>
              </w:rPr>
              <w:t>53,405,606</w:t>
            </w:r>
          </w:p>
        </w:tc>
        <w:tc>
          <w:tcPr>
            <w:tcW w:w="1259" w:type="dxa"/>
            <w:tcBorders>
              <w:top w:val="nil"/>
              <w:left w:val="nil"/>
              <w:bottom w:val="nil"/>
              <w:right w:val="nil"/>
            </w:tcBorders>
            <w:shd w:val="clear" w:color="auto" w:fill="auto"/>
            <w:vAlign w:val="center"/>
            <w:hideMark/>
          </w:tcPr>
          <w:p w14:paraId="73E9B5F4" w14:textId="452ED3E2" w:rsidR="00F14B37" w:rsidRPr="00005453" w:rsidRDefault="00F14B37" w:rsidP="00F14B37">
            <w:pPr>
              <w:jc w:val="right"/>
              <w:rPr>
                <w:sz w:val="14"/>
                <w:szCs w:val="14"/>
                <w:lang w:eastAsia="tr-TR"/>
              </w:rPr>
            </w:pPr>
            <w:r w:rsidRPr="00005453">
              <w:rPr>
                <w:bCs/>
                <w:sz w:val="14"/>
                <w:szCs w:val="14"/>
              </w:rPr>
              <w:t>197,331,345</w:t>
            </w:r>
          </w:p>
        </w:tc>
        <w:tc>
          <w:tcPr>
            <w:tcW w:w="1364" w:type="dxa"/>
            <w:tcBorders>
              <w:top w:val="nil"/>
              <w:left w:val="nil"/>
              <w:bottom w:val="nil"/>
              <w:right w:val="nil"/>
            </w:tcBorders>
            <w:shd w:val="clear" w:color="auto" w:fill="auto"/>
            <w:vAlign w:val="center"/>
            <w:hideMark/>
          </w:tcPr>
          <w:p w14:paraId="67F64507" w14:textId="39E6E058" w:rsidR="00F14B37" w:rsidRPr="00005453" w:rsidRDefault="00F14B37" w:rsidP="00F14B37">
            <w:pPr>
              <w:jc w:val="right"/>
              <w:rPr>
                <w:sz w:val="14"/>
                <w:szCs w:val="14"/>
                <w:lang w:eastAsia="tr-TR"/>
              </w:rPr>
            </w:pPr>
            <w:r w:rsidRPr="00005453">
              <w:rPr>
                <w:bCs/>
                <w:sz w:val="14"/>
                <w:szCs w:val="14"/>
              </w:rPr>
              <w:t>95,763,112</w:t>
            </w:r>
          </w:p>
        </w:tc>
        <w:tc>
          <w:tcPr>
            <w:tcW w:w="1558" w:type="dxa"/>
            <w:tcBorders>
              <w:top w:val="nil"/>
              <w:left w:val="nil"/>
              <w:bottom w:val="nil"/>
              <w:right w:val="nil"/>
            </w:tcBorders>
            <w:shd w:val="clear" w:color="auto" w:fill="auto"/>
            <w:vAlign w:val="center"/>
            <w:hideMark/>
          </w:tcPr>
          <w:p w14:paraId="6DC31341" w14:textId="5BEA6CDE" w:rsidR="00F14B37" w:rsidRPr="00005453" w:rsidRDefault="00F14B37" w:rsidP="00F14B37">
            <w:pPr>
              <w:jc w:val="right"/>
              <w:rPr>
                <w:sz w:val="14"/>
                <w:szCs w:val="14"/>
                <w:lang w:eastAsia="tr-TR"/>
              </w:rPr>
            </w:pPr>
            <w:r w:rsidRPr="00005453">
              <w:rPr>
                <w:bCs/>
                <w:sz w:val="14"/>
                <w:szCs w:val="14"/>
              </w:rPr>
              <w:t>346,500,063</w:t>
            </w:r>
          </w:p>
        </w:tc>
      </w:tr>
      <w:tr w:rsidR="00F14B37" w:rsidRPr="00005453" w14:paraId="127D3AE5" w14:textId="77777777" w:rsidTr="00C827F7">
        <w:trPr>
          <w:divId w:val="1787577962"/>
          <w:trHeight w:val="203"/>
        </w:trPr>
        <w:tc>
          <w:tcPr>
            <w:tcW w:w="3853" w:type="dxa"/>
            <w:tcBorders>
              <w:top w:val="nil"/>
              <w:left w:val="nil"/>
              <w:bottom w:val="nil"/>
              <w:right w:val="nil"/>
            </w:tcBorders>
            <w:shd w:val="clear" w:color="auto" w:fill="auto"/>
            <w:hideMark/>
          </w:tcPr>
          <w:p w14:paraId="2EFC024C" w14:textId="77777777" w:rsidR="00F14B37" w:rsidRPr="00005453" w:rsidRDefault="00F14B37" w:rsidP="00F14B37">
            <w:pPr>
              <w:rPr>
                <w:sz w:val="14"/>
                <w:szCs w:val="14"/>
                <w:lang w:eastAsia="tr-TR"/>
              </w:rPr>
            </w:pPr>
            <w:r w:rsidRPr="00005453">
              <w:rPr>
                <w:sz w:val="14"/>
                <w:szCs w:val="14"/>
                <w:lang w:eastAsia="tr-TR"/>
              </w:rPr>
              <w:t>Net bilanço pozisyonu</w:t>
            </w:r>
          </w:p>
        </w:tc>
        <w:tc>
          <w:tcPr>
            <w:tcW w:w="1267" w:type="dxa"/>
            <w:tcBorders>
              <w:top w:val="nil"/>
              <w:left w:val="nil"/>
              <w:bottom w:val="nil"/>
              <w:right w:val="nil"/>
            </w:tcBorders>
            <w:shd w:val="clear" w:color="auto" w:fill="auto"/>
            <w:vAlign w:val="center"/>
            <w:hideMark/>
          </w:tcPr>
          <w:p w14:paraId="14F0EBC3" w14:textId="27275C2A" w:rsidR="00F14B37" w:rsidRPr="00005453" w:rsidRDefault="00F14B37" w:rsidP="00F14B37">
            <w:pPr>
              <w:jc w:val="right"/>
              <w:rPr>
                <w:sz w:val="14"/>
                <w:szCs w:val="14"/>
                <w:lang w:eastAsia="tr-TR"/>
              </w:rPr>
            </w:pPr>
            <w:r w:rsidRPr="00005453">
              <w:rPr>
                <w:sz w:val="14"/>
                <w:szCs w:val="14"/>
                <w:lang w:eastAsia="tr-TR"/>
              </w:rPr>
              <w:t>29,865,059</w:t>
            </w:r>
          </w:p>
        </w:tc>
        <w:tc>
          <w:tcPr>
            <w:tcW w:w="1259" w:type="dxa"/>
            <w:tcBorders>
              <w:top w:val="nil"/>
              <w:left w:val="nil"/>
              <w:bottom w:val="nil"/>
              <w:right w:val="nil"/>
            </w:tcBorders>
            <w:shd w:val="clear" w:color="auto" w:fill="auto"/>
            <w:vAlign w:val="center"/>
            <w:hideMark/>
          </w:tcPr>
          <w:p w14:paraId="79915C9F" w14:textId="393F3ECA" w:rsidR="00F14B37" w:rsidRPr="00005453" w:rsidRDefault="00F14B37" w:rsidP="00F14B37">
            <w:pPr>
              <w:jc w:val="right"/>
              <w:rPr>
                <w:sz w:val="14"/>
                <w:szCs w:val="14"/>
                <w:lang w:eastAsia="tr-TR"/>
              </w:rPr>
            </w:pPr>
            <w:r w:rsidRPr="00005453">
              <w:rPr>
                <w:sz w:val="14"/>
                <w:szCs w:val="14"/>
                <w:lang w:eastAsia="tr-TR"/>
              </w:rPr>
              <w:t>(23,390,424)</w:t>
            </w:r>
          </w:p>
        </w:tc>
        <w:tc>
          <w:tcPr>
            <w:tcW w:w="1364" w:type="dxa"/>
            <w:tcBorders>
              <w:top w:val="nil"/>
              <w:left w:val="nil"/>
              <w:bottom w:val="nil"/>
              <w:right w:val="nil"/>
            </w:tcBorders>
            <w:shd w:val="clear" w:color="auto" w:fill="auto"/>
            <w:vAlign w:val="center"/>
            <w:hideMark/>
          </w:tcPr>
          <w:p w14:paraId="589B3639" w14:textId="44E71777" w:rsidR="00F14B37" w:rsidRPr="00005453" w:rsidRDefault="00F14B37" w:rsidP="00F14B37">
            <w:pPr>
              <w:jc w:val="right"/>
              <w:rPr>
                <w:sz w:val="14"/>
                <w:szCs w:val="14"/>
                <w:lang w:eastAsia="tr-TR"/>
              </w:rPr>
            </w:pPr>
            <w:r w:rsidRPr="00005453">
              <w:rPr>
                <w:sz w:val="14"/>
                <w:szCs w:val="14"/>
                <w:lang w:eastAsia="tr-TR"/>
              </w:rPr>
              <w:t>(27,559,522)</w:t>
            </w:r>
          </w:p>
        </w:tc>
        <w:tc>
          <w:tcPr>
            <w:tcW w:w="1558" w:type="dxa"/>
            <w:tcBorders>
              <w:top w:val="nil"/>
              <w:left w:val="nil"/>
              <w:bottom w:val="nil"/>
              <w:right w:val="nil"/>
            </w:tcBorders>
            <w:shd w:val="clear" w:color="auto" w:fill="auto"/>
            <w:vAlign w:val="center"/>
            <w:hideMark/>
          </w:tcPr>
          <w:p w14:paraId="557C094A" w14:textId="63B78DE5" w:rsidR="00F14B37" w:rsidRPr="00005453" w:rsidRDefault="00F14B37" w:rsidP="00F14B37">
            <w:pPr>
              <w:jc w:val="right"/>
              <w:rPr>
                <w:sz w:val="14"/>
                <w:szCs w:val="14"/>
                <w:lang w:eastAsia="tr-TR"/>
              </w:rPr>
            </w:pPr>
            <w:r w:rsidRPr="00005453">
              <w:rPr>
                <w:sz w:val="14"/>
                <w:szCs w:val="14"/>
                <w:lang w:eastAsia="tr-TR"/>
              </w:rPr>
              <w:t>(21,084,887)</w:t>
            </w:r>
          </w:p>
        </w:tc>
      </w:tr>
      <w:tr w:rsidR="00F14B37" w:rsidRPr="00005453" w14:paraId="376861F8" w14:textId="77777777" w:rsidTr="00C827F7">
        <w:trPr>
          <w:divId w:val="1787577962"/>
          <w:trHeight w:val="203"/>
        </w:trPr>
        <w:tc>
          <w:tcPr>
            <w:tcW w:w="3853" w:type="dxa"/>
            <w:tcBorders>
              <w:top w:val="nil"/>
              <w:left w:val="nil"/>
              <w:bottom w:val="nil"/>
              <w:right w:val="nil"/>
            </w:tcBorders>
            <w:shd w:val="clear" w:color="auto" w:fill="auto"/>
            <w:hideMark/>
          </w:tcPr>
          <w:p w14:paraId="694922F4" w14:textId="4497314B" w:rsidR="00F14B37" w:rsidRPr="00005453" w:rsidRDefault="00F14B37" w:rsidP="00F14B37">
            <w:pPr>
              <w:rPr>
                <w:sz w:val="14"/>
                <w:szCs w:val="14"/>
                <w:lang w:eastAsia="tr-TR"/>
              </w:rPr>
            </w:pPr>
            <w:r w:rsidRPr="00005453">
              <w:rPr>
                <w:sz w:val="14"/>
                <w:szCs w:val="14"/>
                <w:lang w:eastAsia="tr-TR"/>
              </w:rPr>
              <w:t>Net nazım hesap pozisyonu</w:t>
            </w:r>
          </w:p>
        </w:tc>
        <w:tc>
          <w:tcPr>
            <w:tcW w:w="1267" w:type="dxa"/>
            <w:tcBorders>
              <w:top w:val="nil"/>
              <w:left w:val="nil"/>
              <w:bottom w:val="nil"/>
              <w:right w:val="nil"/>
            </w:tcBorders>
            <w:shd w:val="clear" w:color="auto" w:fill="auto"/>
            <w:vAlign w:val="center"/>
            <w:hideMark/>
          </w:tcPr>
          <w:p w14:paraId="35CEDA96" w14:textId="015E23D1" w:rsidR="00F14B37" w:rsidRPr="00005453" w:rsidRDefault="00F14B37" w:rsidP="00F14B37">
            <w:pPr>
              <w:jc w:val="right"/>
              <w:rPr>
                <w:sz w:val="14"/>
                <w:szCs w:val="14"/>
                <w:lang w:eastAsia="tr-TR"/>
              </w:rPr>
            </w:pPr>
            <w:r w:rsidRPr="00005453">
              <w:rPr>
                <w:sz w:val="14"/>
                <w:szCs w:val="14"/>
                <w:lang w:eastAsia="tr-TR"/>
              </w:rPr>
              <w:t>(33,147,473)</w:t>
            </w:r>
          </w:p>
        </w:tc>
        <w:tc>
          <w:tcPr>
            <w:tcW w:w="1259" w:type="dxa"/>
            <w:tcBorders>
              <w:top w:val="nil"/>
              <w:left w:val="nil"/>
              <w:bottom w:val="nil"/>
              <w:right w:val="nil"/>
            </w:tcBorders>
            <w:shd w:val="clear" w:color="auto" w:fill="auto"/>
            <w:vAlign w:val="center"/>
            <w:hideMark/>
          </w:tcPr>
          <w:p w14:paraId="5BA46E34" w14:textId="3384427D" w:rsidR="00F14B37" w:rsidRPr="00005453" w:rsidRDefault="00F14B37" w:rsidP="00F14B37">
            <w:pPr>
              <w:jc w:val="right"/>
              <w:rPr>
                <w:sz w:val="14"/>
                <w:szCs w:val="14"/>
                <w:lang w:eastAsia="tr-TR"/>
              </w:rPr>
            </w:pPr>
            <w:r w:rsidRPr="00005453">
              <w:rPr>
                <w:sz w:val="14"/>
                <w:szCs w:val="14"/>
                <w:lang w:eastAsia="tr-TR"/>
              </w:rPr>
              <w:t>25,234,458</w:t>
            </w:r>
          </w:p>
        </w:tc>
        <w:tc>
          <w:tcPr>
            <w:tcW w:w="1364" w:type="dxa"/>
            <w:tcBorders>
              <w:top w:val="nil"/>
              <w:left w:val="nil"/>
              <w:bottom w:val="nil"/>
              <w:right w:val="nil"/>
            </w:tcBorders>
            <w:shd w:val="clear" w:color="auto" w:fill="auto"/>
            <w:vAlign w:val="center"/>
            <w:hideMark/>
          </w:tcPr>
          <w:p w14:paraId="4E24A631" w14:textId="78414E62" w:rsidR="00F14B37" w:rsidRPr="00005453" w:rsidRDefault="00F14B37" w:rsidP="00F14B37">
            <w:pPr>
              <w:jc w:val="right"/>
              <w:rPr>
                <w:sz w:val="14"/>
                <w:szCs w:val="14"/>
                <w:lang w:eastAsia="tr-TR"/>
              </w:rPr>
            </w:pPr>
            <w:r w:rsidRPr="00005453">
              <w:rPr>
                <w:sz w:val="14"/>
                <w:szCs w:val="14"/>
                <w:lang w:eastAsia="tr-TR"/>
              </w:rPr>
              <w:t>27,730,348</w:t>
            </w:r>
          </w:p>
        </w:tc>
        <w:tc>
          <w:tcPr>
            <w:tcW w:w="1558" w:type="dxa"/>
            <w:tcBorders>
              <w:top w:val="nil"/>
              <w:left w:val="nil"/>
              <w:bottom w:val="nil"/>
              <w:right w:val="nil"/>
            </w:tcBorders>
            <w:shd w:val="clear" w:color="auto" w:fill="auto"/>
            <w:vAlign w:val="center"/>
            <w:hideMark/>
          </w:tcPr>
          <w:p w14:paraId="6F0895D1" w14:textId="64BCF9D2" w:rsidR="00F14B37" w:rsidRPr="00005453" w:rsidRDefault="00F14B37" w:rsidP="00F14B37">
            <w:pPr>
              <w:jc w:val="right"/>
              <w:rPr>
                <w:sz w:val="14"/>
                <w:szCs w:val="14"/>
                <w:lang w:eastAsia="tr-TR"/>
              </w:rPr>
            </w:pPr>
            <w:r w:rsidRPr="00005453">
              <w:rPr>
                <w:sz w:val="14"/>
                <w:szCs w:val="14"/>
                <w:lang w:eastAsia="tr-TR"/>
              </w:rPr>
              <w:t>19,817,333</w:t>
            </w:r>
          </w:p>
        </w:tc>
      </w:tr>
      <w:tr w:rsidR="00F14B37" w:rsidRPr="00005453" w14:paraId="05F2B8EA" w14:textId="77777777" w:rsidTr="00C827F7">
        <w:trPr>
          <w:divId w:val="1787577962"/>
          <w:trHeight w:val="203"/>
        </w:trPr>
        <w:tc>
          <w:tcPr>
            <w:tcW w:w="3853" w:type="dxa"/>
            <w:tcBorders>
              <w:top w:val="nil"/>
              <w:left w:val="nil"/>
              <w:bottom w:val="nil"/>
              <w:right w:val="nil"/>
            </w:tcBorders>
            <w:shd w:val="clear" w:color="auto" w:fill="auto"/>
            <w:hideMark/>
          </w:tcPr>
          <w:p w14:paraId="3A83486D" w14:textId="629BF796" w:rsidR="00F14B37" w:rsidRPr="00005453" w:rsidRDefault="00F14B37" w:rsidP="00F14B37">
            <w:pPr>
              <w:rPr>
                <w:sz w:val="14"/>
                <w:szCs w:val="14"/>
                <w:lang w:eastAsia="tr-TR"/>
              </w:rPr>
            </w:pPr>
            <w:r w:rsidRPr="00005453">
              <w:rPr>
                <w:sz w:val="14"/>
                <w:szCs w:val="14"/>
                <w:lang w:eastAsia="tr-TR"/>
              </w:rPr>
              <w:t>Türev finansal araçlardan alacaklar</w:t>
            </w:r>
          </w:p>
        </w:tc>
        <w:tc>
          <w:tcPr>
            <w:tcW w:w="1267" w:type="dxa"/>
            <w:tcBorders>
              <w:top w:val="nil"/>
              <w:left w:val="nil"/>
              <w:bottom w:val="nil"/>
              <w:right w:val="nil"/>
            </w:tcBorders>
            <w:shd w:val="clear" w:color="auto" w:fill="auto"/>
            <w:vAlign w:val="center"/>
            <w:hideMark/>
          </w:tcPr>
          <w:p w14:paraId="597E5590" w14:textId="75B95E8C" w:rsidR="00F14B37" w:rsidRPr="00005453" w:rsidRDefault="00F14B37" w:rsidP="00F14B37">
            <w:pPr>
              <w:jc w:val="right"/>
              <w:rPr>
                <w:sz w:val="14"/>
                <w:szCs w:val="14"/>
                <w:lang w:eastAsia="tr-TR"/>
              </w:rPr>
            </w:pPr>
            <w:r w:rsidRPr="00005453">
              <w:rPr>
                <w:sz w:val="14"/>
                <w:szCs w:val="14"/>
                <w:lang w:eastAsia="tr-TR"/>
              </w:rPr>
              <w:t>3,239,837</w:t>
            </w:r>
          </w:p>
        </w:tc>
        <w:tc>
          <w:tcPr>
            <w:tcW w:w="1259" w:type="dxa"/>
            <w:tcBorders>
              <w:top w:val="nil"/>
              <w:left w:val="nil"/>
              <w:bottom w:val="nil"/>
              <w:right w:val="nil"/>
            </w:tcBorders>
            <w:shd w:val="clear" w:color="auto" w:fill="auto"/>
            <w:vAlign w:val="center"/>
            <w:hideMark/>
          </w:tcPr>
          <w:p w14:paraId="5EA55897" w14:textId="6CC272BF" w:rsidR="00F14B37" w:rsidRPr="00005453" w:rsidRDefault="00F14B37" w:rsidP="00F14B37">
            <w:pPr>
              <w:jc w:val="right"/>
              <w:rPr>
                <w:sz w:val="14"/>
                <w:szCs w:val="14"/>
                <w:lang w:eastAsia="tr-TR"/>
              </w:rPr>
            </w:pPr>
            <w:r w:rsidRPr="00005453">
              <w:rPr>
                <w:sz w:val="14"/>
                <w:szCs w:val="14"/>
                <w:lang w:eastAsia="tr-TR"/>
              </w:rPr>
              <w:t>35,652,884</w:t>
            </w:r>
          </w:p>
        </w:tc>
        <w:tc>
          <w:tcPr>
            <w:tcW w:w="1364" w:type="dxa"/>
            <w:tcBorders>
              <w:top w:val="nil"/>
              <w:left w:val="nil"/>
              <w:bottom w:val="nil"/>
              <w:right w:val="nil"/>
            </w:tcBorders>
            <w:shd w:val="clear" w:color="auto" w:fill="auto"/>
            <w:vAlign w:val="center"/>
            <w:hideMark/>
          </w:tcPr>
          <w:p w14:paraId="08448C8C" w14:textId="25C62DA5" w:rsidR="00F14B37" w:rsidRPr="00005453" w:rsidRDefault="00F14B37" w:rsidP="00F14B37">
            <w:pPr>
              <w:jc w:val="right"/>
              <w:rPr>
                <w:sz w:val="14"/>
                <w:szCs w:val="14"/>
                <w:lang w:eastAsia="tr-TR"/>
              </w:rPr>
            </w:pPr>
            <w:r w:rsidRPr="00005453">
              <w:rPr>
                <w:sz w:val="14"/>
                <w:szCs w:val="14"/>
                <w:lang w:eastAsia="tr-TR"/>
              </w:rPr>
              <w:t>33,511,823</w:t>
            </w:r>
          </w:p>
        </w:tc>
        <w:tc>
          <w:tcPr>
            <w:tcW w:w="1558" w:type="dxa"/>
            <w:tcBorders>
              <w:top w:val="nil"/>
              <w:left w:val="nil"/>
              <w:bottom w:val="nil"/>
              <w:right w:val="nil"/>
            </w:tcBorders>
            <w:shd w:val="clear" w:color="auto" w:fill="auto"/>
            <w:vAlign w:val="center"/>
            <w:hideMark/>
          </w:tcPr>
          <w:p w14:paraId="48D09BB8" w14:textId="12C6B0C0" w:rsidR="00F14B37" w:rsidRPr="00005453" w:rsidRDefault="00F14B37" w:rsidP="00F14B37">
            <w:pPr>
              <w:jc w:val="right"/>
              <w:rPr>
                <w:sz w:val="14"/>
                <w:szCs w:val="14"/>
                <w:lang w:eastAsia="tr-TR"/>
              </w:rPr>
            </w:pPr>
            <w:r w:rsidRPr="00005453">
              <w:rPr>
                <w:sz w:val="14"/>
                <w:szCs w:val="14"/>
                <w:lang w:eastAsia="tr-TR"/>
              </w:rPr>
              <w:t>72,404,544</w:t>
            </w:r>
          </w:p>
        </w:tc>
      </w:tr>
      <w:tr w:rsidR="00F14B37" w:rsidRPr="00005453" w14:paraId="24F0DDA0" w14:textId="77777777" w:rsidTr="00C827F7">
        <w:trPr>
          <w:divId w:val="1787577962"/>
          <w:trHeight w:val="203"/>
        </w:trPr>
        <w:tc>
          <w:tcPr>
            <w:tcW w:w="3853" w:type="dxa"/>
            <w:tcBorders>
              <w:top w:val="nil"/>
              <w:left w:val="nil"/>
              <w:right w:val="nil"/>
            </w:tcBorders>
            <w:shd w:val="clear" w:color="auto" w:fill="auto"/>
            <w:hideMark/>
          </w:tcPr>
          <w:p w14:paraId="4BAC9F08" w14:textId="77777777" w:rsidR="00F14B37" w:rsidRPr="00005453" w:rsidRDefault="00F14B37" w:rsidP="00F14B37">
            <w:pPr>
              <w:rPr>
                <w:sz w:val="14"/>
                <w:szCs w:val="14"/>
                <w:lang w:eastAsia="tr-TR"/>
              </w:rPr>
            </w:pPr>
            <w:r w:rsidRPr="00005453">
              <w:rPr>
                <w:sz w:val="14"/>
                <w:szCs w:val="14"/>
                <w:lang w:eastAsia="tr-TR"/>
              </w:rPr>
              <w:t>Türev finansal araçlardan borçlar</w:t>
            </w:r>
          </w:p>
        </w:tc>
        <w:tc>
          <w:tcPr>
            <w:tcW w:w="1267" w:type="dxa"/>
            <w:tcBorders>
              <w:top w:val="nil"/>
              <w:left w:val="nil"/>
              <w:right w:val="nil"/>
            </w:tcBorders>
            <w:shd w:val="clear" w:color="auto" w:fill="auto"/>
            <w:vAlign w:val="center"/>
            <w:hideMark/>
          </w:tcPr>
          <w:p w14:paraId="385DCE53" w14:textId="605458FF" w:rsidR="00F14B37" w:rsidRPr="00005453" w:rsidRDefault="00F14B37" w:rsidP="00F14B37">
            <w:pPr>
              <w:jc w:val="right"/>
              <w:rPr>
                <w:sz w:val="14"/>
                <w:szCs w:val="14"/>
                <w:lang w:eastAsia="tr-TR"/>
              </w:rPr>
            </w:pPr>
            <w:r w:rsidRPr="00005453">
              <w:rPr>
                <w:sz w:val="14"/>
                <w:szCs w:val="14"/>
                <w:lang w:eastAsia="tr-TR"/>
              </w:rPr>
              <w:t>36,387,310</w:t>
            </w:r>
          </w:p>
        </w:tc>
        <w:tc>
          <w:tcPr>
            <w:tcW w:w="1259" w:type="dxa"/>
            <w:tcBorders>
              <w:top w:val="nil"/>
              <w:left w:val="nil"/>
              <w:right w:val="nil"/>
            </w:tcBorders>
            <w:shd w:val="clear" w:color="auto" w:fill="auto"/>
            <w:vAlign w:val="center"/>
            <w:hideMark/>
          </w:tcPr>
          <w:p w14:paraId="01C10685" w14:textId="248150DA" w:rsidR="00F14B37" w:rsidRPr="00005453" w:rsidRDefault="00F14B37" w:rsidP="00F14B37">
            <w:pPr>
              <w:jc w:val="right"/>
              <w:rPr>
                <w:sz w:val="14"/>
                <w:szCs w:val="14"/>
                <w:lang w:eastAsia="tr-TR"/>
              </w:rPr>
            </w:pPr>
            <w:r w:rsidRPr="00005453">
              <w:rPr>
                <w:sz w:val="14"/>
                <w:szCs w:val="14"/>
                <w:lang w:eastAsia="tr-TR"/>
              </w:rPr>
              <w:t>10,418,426</w:t>
            </w:r>
          </w:p>
        </w:tc>
        <w:tc>
          <w:tcPr>
            <w:tcW w:w="1364" w:type="dxa"/>
            <w:tcBorders>
              <w:top w:val="nil"/>
              <w:left w:val="nil"/>
              <w:right w:val="nil"/>
            </w:tcBorders>
            <w:shd w:val="clear" w:color="auto" w:fill="auto"/>
            <w:vAlign w:val="center"/>
            <w:hideMark/>
          </w:tcPr>
          <w:p w14:paraId="6523D0EA" w14:textId="0924C30A" w:rsidR="00F14B37" w:rsidRPr="00005453" w:rsidRDefault="00F14B37" w:rsidP="00F14B37">
            <w:pPr>
              <w:jc w:val="right"/>
              <w:rPr>
                <w:sz w:val="14"/>
                <w:szCs w:val="14"/>
                <w:lang w:eastAsia="tr-TR"/>
              </w:rPr>
            </w:pPr>
            <w:r w:rsidRPr="00005453">
              <w:rPr>
                <w:sz w:val="14"/>
                <w:szCs w:val="14"/>
                <w:lang w:eastAsia="tr-TR"/>
              </w:rPr>
              <w:t>5,781,475</w:t>
            </w:r>
          </w:p>
        </w:tc>
        <w:tc>
          <w:tcPr>
            <w:tcW w:w="1558" w:type="dxa"/>
            <w:tcBorders>
              <w:top w:val="nil"/>
              <w:left w:val="nil"/>
              <w:right w:val="nil"/>
            </w:tcBorders>
            <w:shd w:val="clear" w:color="auto" w:fill="auto"/>
            <w:vAlign w:val="center"/>
            <w:hideMark/>
          </w:tcPr>
          <w:p w14:paraId="2A128E7B" w14:textId="582FB665" w:rsidR="00F14B37" w:rsidRPr="00005453" w:rsidRDefault="00F14B37" w:rsidP="00F14B37">
            <w:pPr>
              <w:jc w:val="right"/>
              <w:rPr>
                <w:sz w:val="14"/>
                <w:szCs w:val="14"/>
                <w:lang w:eastAsia="tr-TR"/>
              </w:rPr>
            </w:pPr>
            <w:r w:rsidRPr="00005453">
              <w:rPr>
                <w:sz w:val="14"/>
                <w:szCs w:val="14"/>
                <w:lang w:eastAsia="tr-TR"/>
              </w:rPr>
              <w:t>52,587,211</w:t>
            </w:r>
          </w:p>
        </w:tc>
      </w:tr>
      <w:tr w:rsidR="00F14B37" w:rsidRPr="00005453" w14:paraId="1ACAA17B" w14:textId="77777777" w:rsidTr="00C827F7">
        <w:trPr>
          <w:divId w:val="1787577962"/>
          <w:trHeight w:val="203"/>
        </w:trPr>
        <w:tc>
          <w:tcPr>
            <w:tcW w:w="3853" w:type="dxa"/>
            <w:tcBorders>
              <w:top w:val="nil"/>
              <w:left w:val="nil"/>
              <w:bottom w:val="single" w:sz="4" w:space="0" w:color="auto"/>
              <w:right w:val="nil"/>
            </w:tcBorders>
            <w:shd w:val="clear" w:color="auto" w:fill="auto"/>
            <w:hideMark/>
          </w:tcPr>
          <w:p w14:paraId="47730DE7" w14:textId="77777777" w:rsidR="00F14B37" w:rsidRPr="00005453" w:rsidRDefault="00F14B37" w:rsidP="00F14B37">
            <w:pPr>
              <w:rPr>
                <w:sz w:val="14"/>
                <w:szCs w:val="14"/>
                <w:lang w:eastAsia="tr-TR"/>
              </w:rPr>
            </w:pPr>
            <w:r w:rsidRPr="00005453">
              <w:rPr>
                <w:sz w:val="14"/>
                <w:szCs w:val="14"/>
                <w:lang w:eastAsia="tr-TR"/>
              </w:rPr>
              <w:t>Gayrinakdi krediler (***)</w:t>
            </w:r>
          </w:p>
        </w:tc>
        <w:tc>
          <w:tcPr>
            <w:tcW w:w="1267" w:type="dxa"/>
            <w:tcBorders>
              <w:top w:val="nil"/>
              <w:left w:val="nil"/>
              <w:bottom w:val="single" w:sz="4" w:space="0" w:color="auto"/>
              <w:right w:val="nil"/>
            </w:tcBorders>
            <w:shd w:val="clear" w:color="auto" w:fill="auto"/>
            <w:vAlign w:val="center"/>
            <w:hideMark/>
          </w:tcPr>
          <w:p w14:paraId="23E93B66" w14:textId="60C63431" w:rsidR="00F14B37" w:rsidRPr="00005453" w:rsidRDefault="00F14B37" w:rsidP="00F14B37">
            <w:pPr>
              <w:jc w:val="right"/>
              <w:rPr>
                <w:sz w:val="14"/>
                <w:szCs w:val="14"/>
                <w:lang w:eastAsia="tr-TR"/>
              </w:rPr>
            </w:pPr>
            <w:r w:rsidRPr="00005453">
              <w:rPr>
                <w:sz w:val="14"/>
                <w:szCs w:val="14"/>
                <w:lang w:eastAsia="tr-TR"/>
              </w:rPr>
              <w:t>7,016,775</w:t>
            </w:r>
          </w:p>
        </w:tc>
        <w:tc>
          <w:tcPr>
            <w:tcW w:w="1259" w:type="dxa"/>
            <w:tcBorders>
              <w:top w:val="nil"/>
              <w:left w:val="nil"/>
              <w:bottom w:val="single" w:sz="4" w:space="0" w:color="auto"/>
              <w:right w:val="nil"/>
            </w:tcBorders>
            <w:shd w:val="clear" w:color="auto" w:fill="auto"/>
            <w:vAlign w:val="center"/>
            <w:hideMark/>
          </w:tcPr>
          <w:p w14:paraId="459881C9" w14:textId="0EF76CE8" w:rsidR="00F14B37" w:rsidRPr="00005453" w:rsidRDefault="00F14B37" w:rsidP="00F14B37">
            <w:pPr>
              <w:jc w:val="right"/>
              <w:rPr>
                <w:sz w:val="14"/>
                <w:szCs w:val="14"/>
                <w:lang w:eastAsia="tr-TR"/>
              </w:rPr>
            </w:pPr>
            <w:r w:rsidRPr="00005453">
              <w:rPr>
                <w:sz w:val="14"/>
                <w:szCs w:val="14"/>
                <w:lang w:eastAsia="tr-TR"/>
              </w:rPr>
              <w:t>15,086,815</w:t>
            </w:r>
          </w:p>
        </w:tc>
        <w:tc>
          <w:tcPr>
            <w:tcW w:w="1364" w:type="dxa"/>
            <w:tcBorders>
              <w:top w:val="nil"/>
              <w:left w:val="nil"/>
              <w:bottom w:val="single" w:sz="4" w:space="0" w:color="auto"/>
              <w:right w:val="nil"/>
            </w:tcBorders>
            <w:shd w:val="clear" w:color="auto" w:fill="auto"/>
            <w:vAlign w:val="center"/>
            <w:hideMark/>
          </w:tcPr>
          <w:p w14:paraId="06B7CBAC" w14:textId="05B02F8D" w:rsidR="00F14B37" w:rsidRPr="00005453" w:rsidRDefault="00F14B37" w:rsidP="00F14B37">
            <w:pPr>
              <w:jc w:val="right"/>
              <w:rPr>
                <w:sz w:val="14"/>
                <w:szCs w:val="14"/>
                <w:lang w:eastAsia="tr-TR"/>
              </w:rPr>
            </w:pPr>
            <w:r w:rsidRPr="00005453">
              <w:rPr>
                <w:sz w:val="14"/>
                <w:szCs w:val="14"/>
                <w:lang w:eastAsia="tr-TR"/>
              </w:rPr>
              <w:t>1,613,476</w:t>
            </w:r>
          </w:p>
        </w:tc>
        <w:tc>
          <w:tcPr>
            <w:tcW w:w="1558" w:type="dxa"/>
            <w:tcBorders>
              <w:top w:val="nil"/>
              <w:left w:val="nil"/>
              <w:bottom w:val="single" w:sz="4" w:space="0" w:color="auto"/>
              <w:right w:val="nil"/>
            </w:tcBorders>
            <w:shd w:val="clear" w:color="auto" w:fill="auto"/>
            <w:vAlign w:val="center"/>
            <w:hideMark/>
          </w:tcPr>
          <w:p w14:paraId="540D3C2E" w14:textId="14E0A780" w:rsidR="00F14B37" w:rsidRPr="00005453" w:rsidRDefault="00F14B37" w:rsidP="00F14B37">
            <w:pPr>
              <w:jc w:val="right"/>
              <w:rPr>
                <w:sz w:val="14"/>
                <w:szCs w:val="14"/>
                <w:lang w:eastAsia="tr-TR"/>
              </w:rPr>
            </w:pPr>
            <w:r w:rsidRPr="00005453">
              <w:rPr>
                <w:sz w:val="14"/>
                <w:szCs w:val="14"/>
                <w:lang w:eastAsia="tr-TR"/>
              </w:rPr>
              <w:t>23,717,066</w:t>
            </w:r>
          </w:p>
        </w:tc>
      </w:tr>
    </w:tbl>
    <w:p w14:paraId="28E9287A" w14:textId="24FA4CF9" w:rsidR="00312194" w:rsidRPr="00005453" w:rsidRDefault="00312194" w:rsidP="000F3BDB">
      <w:pPr>
        <w:pStyle w:val="BodyTextIndent"/>
        <w:autoSpaceDE/>
        <w:autoSpaceDN/>
        <w:adjustRightInd/>
        <w:ind w:left="0" w:firstLine="0"/>
        <w:rPr>
          <w:color w:val="FF0000"/>
          <w:sz w:val="10"/>
          <w:szCs w:val="10"/>
        </w:rPr>
      </w:pPr>
    </w:p>
    <w:p w14:paraId="5B56E8B8" w14:textId="3B4E69BF" w:rsidR="005557A4" w:rsidRPr="00005453" w:rsidRDefault="008D24B1" w:rsidP="00B17CD4">
      <w:pPr>
        <w:pStyle w:val="BodyTextIndent"/>
        <w:autoSpaceDE/>
        <w:autoSpaceDN/>
        <w:adjustRightInd/>
        <w:jc w:val="left"/>
        <w:rPr>
          <w:sz w:val="14"/>
          <w:szCs w:val="14"/>
        </w:rPr>
      </w:pPr>
      <w:r w:rsidRPr="00005453">
        <w:rPr>
          <w:sz w:val="14"/>
          <w:szCs w:val="14"/>
        </w:rPr>
        <w:t>(*)</w:t>
      </w:r>
      <w:r w:rsidRPr="00005453">
        <w:rPr>
          <w:sz w:val="14"/>
          <w:szCs w:val="14"/>
        </w:rPr>
        <w:tab/>
        <w:t xml:space="preserve">Bilançoda TL olarak takip edilen </w:t>
      </w:r>
      <w:r w:rsidR="003D6DB9" w:rsidRPr="00005453">
        <w:rPr>
          <w:sz w:val="14"/>
          <w:szCs w:val="14"/>
        </w:rPr>
        <w:t>939</w:t>
      </w:r>
      <w:r w:rsidR="002948FC" w:rsidRPr="00005453">
        <w:rPr>
          <w:sz w:val="14"/>
          <w:szCs w:val="14"/>
        </w:rPr>
        <w:t>,</w:t>
      </w:r>
      <w:r w:rsidR="003D6DB9" w:rsidRPr="00005453">
        <w:rPr>
          <w:sz w:val="14"/>
          <w:szCs w:val="14"/>
        </w:rPr>
        <w:t>403</w:t>
      </w:r>
      <w:r w:rsidRPr="00005453">
        <w:rPr>
          <w:sz w:val="14"/>
          <w:szCs w:val="14"/>
        </w:rPr>
        <w:t xml:space="preserve"> TL (31 Aralık </w:t>
      </w:r>
      <w:proofErr w:type="gramStart"/>
      <w:r w:rsidRPr="00005453">
        <w:rPr>
          <w:sz w:val="14"/>
          <w:szCs w:val="14"/>
        </w:rPr>
        <w:t>20</w:t>
      </w:r>
      <w:r w:rsidR="00340C11" w:rsidRPr="00005453">
        <w:rPr>
          <w:sz w:val="14"/>
          <w:szCs w:val="14"/>
        </w:rPr>
        <w:t>2</w:t>
      </w:r>
      <w:r w:rsidR="00F14B37" w:rsidRPr="00005453">
        <w:rPr>
          <w:sz w:val="14"/>
          <w:szCs w:val="14"/>
        </w:rPr>
        <w:t>3</w:t>
      </w:r>
      <w:r w:rsidRPr="00005453">
        <w:rPr>
          <w:sz w:val="14"/>
          <w:szCs w:val="14"/>
        </w:rPr>
        <w:t xml:space="preserve"> -</w:t>
      </w:r>
      <w:proofErr w:type="gramEnd"/>
      <w:r w:rsidRPr="00005453">
        <w:rPr>
          <w:sz w:val="14"/>
          <w:szCs w:val="14"/>
        </w:rPr>
        <w:t xml:space="preserve"> </w:t>
      </w:r>
      <w:r w:rsidR="00BB0F2A" w:rsidRPr="00005453">
        <w:rPr>
          <w:sz w:val="14"/>
          <w:szCs w:val="14"/>
        </w:rPr>
        <w:t>1,</w:t>
      </w:r>
      <w:r w:rsidR="00F14B37" w:rsidRPr="00005453">
        <w:rPr>
          <w:sz w:val="14"/>
          <w:szCs w:val="14"/>
        </w:rPr>
        <w:t>467</w:t>
      </w:r>
      <w:r w:rsidR="00BB0F2A" w:rsidRPr="00005453">
        <w:rPr>
          <w:sz w:val="14"/>
          <w:szCs w:val="14"/>
        </w:rPr>
        <w:t>,</w:t>
      </w:r>
      <w:r w:rsidR="00F14B37" w:rsidRPr="00005453">
        <w:rPr>
          <w:sz w:val="14"/>
          <w:szCs w:val="14"/>
        </w:rPr>
        <w:t>641</w:t>
      </w:r>
      <w:r w:rsidR="00BB0F2A" w:rsidRPr="00005453">
        <w:rPr>
          <w:sz w:val="14"/>
          <w:szCs w:val="14"/>
        </w:rPr>
        <w:t xml:space="preserve"> </w:t>
      </w:r>
      <w:r w:rsidR="00ED28A3" w:rsidRPr="00005453">
        <w:rPr>
          <w:sz w:val="14"/>
          <w:szCs w:val="14"/>
        </w:rPr>
        <w:t>TL</w:t>
      </w:r>
      <w:r w:rsidRPr="00005453">
        <w:rPr>
          <w:sz w:val="14"/>
          <w:szCs w:val="14"/>
        </w:rPr>
        <w:t>) tutarı</w:t>
      </w:r>
      <w:r w:rsidR="005557A4" w:rsidRPr="00005453">
        <w:rPr>
          <w:sz w:val="14"/>
          <w:szCs w:val="14"/>
        </w:rPr>
        <w:t xml:space="preserve">ndaki dövize endeksli kredileri ve </w:t>
      </w:r>
      <w:r w:rsidR="003D6DB9" w:rsidRPr="00005453">
        <w:rPr>
          <w:sz w:val="14"/>
          <w:szCs w:val="14"/>
        </w:rPr>
        <w:t>3</w:t>
      </w:r>
      <w:r w:rsidR="002948FC" w:rsidRPr="00005453">
        <w:rPr>
          <w:sz w:val="14"/>
          <w:szCs w:val="14"/>
        </w:rPr>
        <w:t>,</w:t>
      </w:r>
      <w:r w:rsidR="003D6DB9" w:rsidRPr="00005453">
        <w:rPr>
          <w:sz w:val="14"/>
          <w:szCs w:val="14"/>
        </w:rPr>
        <w:t>712</w:t>
      </w:r>
      <w:r w:rsidR="002948FC" w:rsidRPr="00005453">
        <w:rPr>
          <w:sz w:val="14"/>
          <w:szCs w:val="14"/>
        </w:rPr>
        <w:t>,</w:t>
      </w:r>
      <w:r w:rsidR="003D6DB9" w:rsidRPr="00005453">
        <w:rPr>
          <w:sz w:val="14"/>
          <w:szCs w:val="14"/>
        </w:rPr>
        <w:t>055</w:t>
      </w:r>
      <w:r w:rsidR="005557A4" w:rsidRPr="00005453">
        <w:rPr>
          <w:sz w:val="14"/>
          <w:szCs w:val="14"/>
        </w:rPr>
        <w:t xml:space="preserve"> TL</w:t>
      </w:r>
      <w:r w:rsidR="00AE7E65" w:rsidRPr="00005453">
        <w:rPr>
          <w:sz w:val="14"/>
          <w:szCs w:val="14"/>
        </w:rPr>
        <w:t xml:space="preserve"> </w:t>
      </w:r>
      <w:r w:rsidR="005557A4" w:rsidRPr="00005453">
        <w:rPr>
          <w:sz w:val="14"/>
          <w:szCs w:val="14"/>
        </w:rPr>
        <w:t xml:space="preserve">tutarındaki beklenen zarar karşılıklarını içermektedir. </w:t>
      </w:r>
    </w:p>
    <w:p w14:paraId="2D46213C" w14:textId="2AA8BD53" w:rsidR="008D24B1" w:rsidRPr="00005453" w:rsidRDefault="00FC40D9" w:rsidP="00B17CD4">
      <w:pPr>
        <w:pStyle w:val="BodyTextIndent"/>
        <w:autoSpaceDE/>
        <w:autoSpaceDN/>
        <w:adjustRightInd/>
        <w:jc w:val="left"/>
        <w:rPr>
          <w:sz w:val="14"/>
          <w:szCs w:val="14"/>
        </w:rPr>
      </w:pPr>
      <w:r w:rsidRPr="00005453">
        <w:rPr>
          <w:sz w:val="14"/>
          <w:szCs w:val="14"/>
        </w:rPr>
        <w:t>(*</w:t>
      </w:r>
      <w:r w:rsidR="008D24B1" w:rsidRPr="00005453">
        <w:rPr>
          <w:sz w:val="14"/>
          <w:szCs w:val="14"/>
        </w:rPr>
        <w:t>*)</w:t>
      </w:r>
      <w:r w:rsidR="008D24B1" w:rsidRPr="00005453">
        <w:rPr>
          <w:sz w:val="14"/>
          <w:szCs w:val="14"/>
        </w:rPr>
        <w:tab/>
        <w:t>Bil</w:t>
      </w:r>
      <w:r w:rsidR="009D00DB" w:rsidRPr="00005453">
        <w:rPr>
          <w:sz w:val="14"/>
          <w:szCs w:val="14"/>
        </w:rPr>
        <w:t xml:space="preserve">ançoda </w:t>
      </w:r>
      <w:r w:rsidR="00405BF2" w:rsidRPr="00005453">
        <w:rPr>
          <w:sz w:val="14"/>
          <w:szCs w:val="14"/>
        </w:rPr>
        <w:t>4</w:t>
      </w:r>
      <w:r w:rsidR="000211F1" w:rsidRPr="00005453">
        <w:rPr>
          <w:sz w:val="14"/>
          <w:szCs w:val="14"/>
        </w:rPr>
        <w:t>,</w:t>
      </w:r>
      <w:r w:rsidR="00405BF2" w:rsidRPr="00005453">
        <w:rPr>
          <w:sz w:val="14"/>
          <w:szCs w:val="14"/>
        </w:rPr>
        <w:t>12</w:t>
      </w:r>
      <w:r w:rsidR="00B43C03" w:rsidRPr="00005453">
        <w:rPr>
          <w:sz w:val="14"/>
          <w:szCs w:val="14"/>
        </w:rPr>
        <w:t>2</w:t>
      </w:r>
      <w:r w:rsidR="00C41B54" w:rsidRPr="00005453">
        <w:rPr>
          <w:sz w:val="14"/>
          <w:szCs w:val="14"/>
        </w:rPr>
        <w:t>,</w:t>
      </w:r>
      <w:r w:rsidR="00405BF2" w:rsidRPr="00005453">
        <w:rPr>
          <w:sz w:val="14"/>
          <w:szCs w:val="14"/>
        </w:rPr>
        <w:t>212</w:t>
      </w:r>
      <w:r w:rsidR="008D24B1" w:rsidRPr="00005453">
        <w:rPr>
          <w:sz w:val="14"/>
          <w:szCs w:val="14"/>
        </w:rPr>
        <w:t xml:space="preserve"> TL tutarındaki bağlı ortaklıkların </w:t>
      </w:r>
      <w:r w:rsidR="002948FC" w:rsidRPr="00005453">
        <w:rPr>
          <w:sz w:val="14"/>
          <w:szCs w:val="14"/>
        </w:rPr>
        <w:t>1,592,030</w:t>
      </w:r>
      <w:r w:rsidR="008D24B1" w:rsidRPr="00005453">
        <w:rPr>
          <w:sz w:val="14"/>
          <w:szCs w:val="14"/>
        </w:rPr>
        <w:t xml:space="preserve"> TL’si (31 Aralık </w:t>
      </w:r>
      <w:proofErr w:type="gramStart"/>
      <w:r w:rsidR="008D24B1" w:rsidRPr="00005453">
        <w:rPr>
          <w:sz w:val="14"/>
          <w:szCs w:val="14"/>
        </w:rPr>
        <w:t>20</w:t>
      </w:r>
      <w:r w:rsidR="00340C11" w:rsidRPr="00005453">
        <w:rPr>
          <w:sz w:val="14"/>
          <w:szCs w:val="14"/>
        </w:rPr>
        <w:t>2</w:t>
      </w:r>
      <w:r w:rsidR="00F14B37" w:rsidRPr="00005453">
        <w:rPr>
          <w:sz w:val="14"/>
          <w:szCs w:val="14"/>
        </w:rPr>
        <w:t>3</w:t>
      </w:r>
      <w:r w:rsidR="008D24B1" w:rsidRPr="00005453">
        <w:rPr>
          <w:sz w:val="14"/>
          <w:szCs w:val="14"/>
        </w:rPr>
        <w:t xml:space="preserve"> -</w:t>
      </w:r>
      <w:proofErr w:type="gramEnd"/>
      <w:r w:rsidR="008D24B1" w:rsidRPr="00005453">
        <w:rPr>
          <w:sz w:val="14"/>
          <w:szCs w:val="14"/>
        </w:rPr>
        <w:t xml:space="preserve"> </w:t>
      </w:r>
      <w:r w:rsidR="00BB0F2A" w:rsidRPr="00005453">
        <w:rPr>
          <w:sz w:val="14"/>
          <w:szCs w:val="14"/>
        </w:rPr>
        <w:t xml:space="preserve">1,592,030 </w:t>
      </w:r>
      <w:r w:rsidR="008D24B1" w:rsidRPr="00005453">
        <w:rPr>
          <w:sz w:val="14"/>
          <w:szCs w:val="14"/>
        </w:rPr>
        <w:t>TL) yurt dışı yabancı para iştiraki ve bağlı ortaklığı içermektedir</w:t>
      </w:r>
      <w:r w:rsidR="00340C11" w:rsidRPr="00005453">
        <w:rPr>
          <w:sz w:val="14"/>
          <w:szCs w:val="14"/>
        </w:rPr>
        <w:t>.</w:t>
      </w:r>
    </w:p>
    <w:p w14:paraId="7675B563" w14:textId="52D61137" w:rsidR="008D24B1" w:rsidRPr="00005453" w:rsidRDefault="008D24B1" w:rsidP="003D02FF">
      <w:pPr>
        <w:pStyle w:val="BodyTextIndent"/>
        <w:tabs>
          <w:tab w:val="left" w:pos="426"/>
        </w:tabs>
        <w:autoSpaceDE/>
        <w:autoSpaceDN/>
        <w:adjustRightInd/>
        <w:ind w:left="0" w:firstLine="0"/>
        <w:jc w:val="left"/>
        <w:rPr>
          <w:sz w:val="14"/>
          <w:szCs w:val="14"/>
        </w:rPr>
      </w:pPr>
      <w:r w:rsidRPr="00005453">
        <w:rPr>
          <w:sz w:val="14"/>
          <w:szCs w:val="14"/>
        </w:rPr>
        <w:t>(***)</w:t>
      </w:r>
      <w:r w:rsidR="003D02FF" w:rsidRPr="00005453">
        <w:rPr>
          <w:sz w:val="14"/>
          <w:szCs w:val="14"/>
        </w:rPr>
        <w:t xml:space="preserve">       </w:t>
      </w:r>
      <w:r w:rsidRPr="00005453">
        <w:rPr>
          <w:sz w:val="14"/>
          <w:szCs w:val="14"/>
        </w:rPr>
        <w:t>Net bilanço dışı pozisyona etkisi bulunmamaktadır.</w:t>
      </w:r>
    </w:p>
    <w:p w14:paraId="420C1DF0" w14:textId="1F335ECF" w:rsidR="00405BF2" w:rsidRPr="00005453" w:rsidRDefault="008D24B1" w:rsidP="00E90CB1">
      <w:pPr>
        <w:pStyle w:val="BodyTextIndent"/>
        <w:autoSpaceDE/>
        <w:autoSpaceDN/>
        <w:adjustRightInd/>
        <w:jc w:val="left"/>
        <w:rPr>
          <w:sz w:val="14"/>
          <w:szCs w:val="14"/>
        </w:rPr>
      </w:pPr>
      <w:r w:rsidRPr="00005453">
        <w:rPr>
          <w:sz w:val="14"/>
          <w:szCs w:val="14"/>
        </w:rPr>
        <w:t>(****)</w:t>
      </w:r>
      <w:r w:rsidRPr="00005453">
        <w:rPr>
          <w:sz w:val="14"/>
          <w:szCs w:val="14"/>
        </w:rPr>
        <w:tab/>
        <w:t>Kıymetli madenler de “Diğer YP” sütununda gösterilmektedir.</w:t>
      </w:r>
    </w:p>
    <w:p w14:paraId="0A3F5B87" w14:textId="1913DCC4" w:rsidR="008D24B1" w:rsidRPr="00005453" w:rsidRDefault="008D24B1" w:rsidP="00B17CD4">
      <w:pPr>
        <w:pStyle w:val="BodyTextIndent"/>
        <w:autoSpaceDE/>
        <w:autoSpaceDN/>
        <w:adjustRightInd/>
        <w:jc w:val="left"/>
        <w:rPr>
          <w:color w:val="000000"/>
          <w:sz w:val="14"/>
          <w:szCs w:val="14"/>
        </w:rPr>
      </w:pPr>
      <w:r w:rsidRPr="00005453">
        <w:rPr>
          <w:sz w:val="14"/>
          <w:szCs w:val="14"/>
        </w:rPr>
        <w:t>(*****)</w:t>
      </w:r>
      <w:r w:rsidRPr="00005453">
        <w:rPr>
          <w:sz w:val="14"/>
          <w:szCs w:val="14"/>
        </w:rPr>
        <w:tab/>
        <w:t xml:space="preserve">Diğer yükümlülükler rakamı içerisindeki </w:t>
      </w:r>
      <w:r w:rsidR="00500D68" w:rsidRPr="00005453">
        <w:rPr>
          <w:sz w:val="14"/>
          <w:szCs w:val="14"/>
        </w:rPr>
        <w:t>1</w:t>
      </w:r>
      <w:r w:rsidR="00FC1E5F" w:rsidRPr="00005453">
        <w:rPr>
          <w:sz w:val="14"/>
          <w:szCs w:val="14"/>
        </w:rPr>
        <w:t>,</w:t>
      </w:r>
      <w:r w:rsidR="003D6DB9" w:rsidRPr="00005453">
        <w:rPr>
          <w:sz w:val="14"/>
          <w:szCs w:val="14"/>
        </w:rPr>
        <w:t>453,023</w:t>
      </w:r>
      <w:r w:rsidRPr="00005453">
        <w:rPr>
          <w:sz w:val="14"/>
          <w:szCs w:val="14"/>
        </w:rPr>
        <w:t xml:space="preserve"> TL tutarındaki gerçeğe uygun değer farkı kar/zarara yansıtılan menkul değerler değer düşüş karşılığı kur riskine dahil edilmemiştir. Ayrıca </w:t>
      </w:r>
      <w:r w:rsidR="003D6DB9" w:rsidRPr="00005453">
        <w:rPr>
          <w:sz w:val="14"/>
          <w:szCs w:val="14"/>
        </w:rPr>
        <w:t>12</w:t>
      </w:r>
      <w:r w:rsidR="00502187" w:rsidRPr="00005453">
        <w:rPr>
          <w:color w:val="000000"/>
          <w:sz w:val="14"/>
          <w:szCs w:val="14"/>
        </w:rPr>
        <w:t>,</w:t>
      </w:r>
      <w:r w:rsidR="003D6DB9" w:rsidRPr="00005453">
        <w:rPr>
          <w:color w:val="000000"/>
          <w:sz w:val="14"/>
          <w:szCs w:val="14"/>
        </w:rPr>
        <w:t>69</w:t>
      </w:r>
      <w:r w:rsidR="00500D68" w:rsidRPr="00005453">
        <w:rPr>
          <w:color w:val="000000"/>
          <w:sz w:val="14"/>
          <w:szCs w:val="14"/>
        </w:rPr>
        <w:t>3</w:t>
      </w:r>
      <w:r w:rsidRPr="00005453">
        <w:rPr>
          <w:color w:val="000000"/>
          <w:sz w:val="14"/>
          <w:szCs w:val="14"/>
        </w:rPr>
        <w:t xml:space="preserve"> TL tutarında dövize endeksli kredilere ilişkin karşılığı içermektedir.</w:t>
      </w:r>
    </w:p>
    <w:p w14:paraId="0F3C15CB" w14:textId="0C28A770" w:rsidR="00ED4F9A" w:rsidRPr="00005453" w:rsidRDefault="00BB530C" w:rsidP="00025CF2">
      <w:pPr>
        <w:pStyle w:val="BodyTextIndent"/>
        <w:autoSpaceDE/>
        <w:autoSpaceDN/>
        <w:adjustRightInd/>
        <w:ind w:left="0" w:firstLine="0"/>
        <w:jc w:val="left"/>
        <w:rPr>
          <w:sz w:val="14"/>
          <w:szCs w:val="14"/>
        </w:rPr>
      </w:pPr>
      <w:r w:rsidRPr="00005453">
        <w:rPr>
          <w:sz w:val="14"/>
          <w:szCs w:val="14"/>
        </w:rPr>
        <w:t>(******)</w:t>
      </w:r>
      <w:r w:rsidR="00B17CD4" w:rsidRPr="00005453">
        <w:rPr>
          <w:sz w:val="14"/>
          <w:szCs w:val="14"/>
        </w:rPr>
        <w:t xml:space="preserve"> </w:t>
      </w:r>
      <w:r w:rsidR="00025CF2" w:rsidRPr="00005453">
        <w:rPr>
          <w:sz w:val="14"/>
          <w:szCs w:val="14"/>
        </w:rPr>
        <w:t xml:space="preserve">Bilançoda </w:t>
      </w:r>
      <w:r w:rsidR="003D6DB9" w:rsidRPr="00005453">
        <w:rPr>
          <w:sz w:val="14"/>
          <w:szCs w:val="14"/>
        </w:rPr>
        <w:t>4</w:t>
      </w:r>
      <w:r w:rsidR="00025CF2" w:rsidRPr="00005453">
        <w:rPr>
          <w:sz w:val="14"/>
          <w:szCs w:val="14"/>
        </w:rPr>
        <w:t>,</w:t>
      </w:r>
      <w:r w:rsidR="00500D68" w:rsidRPr="00005453">
        <w:rPr>
          <w:sz w:val="14"/>
          <w:szCs w:val="14"/>
        </w:rPr>
        <w:t>0</w:t>
      </w:r>
      <w:r w:rsidR="003D6DB9" w:rsidRPr="00005453">
        <w:rPr>
          <w:sz w:val="14"/>
          <w:szCs w:val="14"/>
        </w:rPr>
        <w:t>9</w:t>
      </w:r>
      <w:r w:rsidR="00500D68" w:rsidRPr="00005453">
        <w:rPr>
          <w:sz w:val="14"/>
          <w:szCs w:val="14"/>
        </w:rPr>
        <w:t>3</w:t>
      </w:r>
      <w:r w:rsidR="00025CF2" w:rsidRPr="00005453">
        <w:rPr>
          <w:sz w:val="14"/>
          <w:szCs w:val="14"/>
        </w:rPr>
        <w:t xml:space="preserve"> TL tutarındaki beklenen zarar karşılıkları, Nakit değerler ve Merkez Bankası ve Bankalar hesaplarından ilgili satırlarından düşülmüştür.</w:t>
      </w:r>
    </w:p>
    <w:p w14:paraId="0EAC328E" w14:textId="0ED87FC9" w:rsidR="00E90CB1" w:rsidRPr="00005453" w:rsidRDefault="00E90CB1" w:rsidP="00025CF2">
      <w:pPr>
        <w:pStyle w:val="BodyTextIndent"/>
        <w:autoSpaceDE/>
        <w:autoSpaceDN/>
        <w:adjustRightInd/>
        <w:ind w:left="0" w:firstLine="0"/>
        <w:jc w:val="left"/>
        <w:rPr>
          <w:sz w:val="14"/>
          <w:szCs w:val="14"/>
        </w:rPr>
      </w:pPr>
      <w:r w:rsidRPr="00005453">
        <w:rPr>
          <w:sz w:val="14"/>
          <w:szCs w:val="14"/>
        </w:rPr>
        <w:t>(*******) İlgili tutara Karşılıklar dahil edilmiştir.</w:t>
      </w:r>
    </w:p>
    <w:p w14:paraId="34466932" w14:textId="46CD96D4" w:rsidR="00A86989" w:rsidRPr="00005453" w:rsidRDefault="00A86989" w:rsidP="00AF7B9B">
      <w:pPr>
        <w:pStyle w:val="BodyTextIndent"/>
        <w:autoSpaceDE/>
        <w:autoSpaceDN/>
        <w:adjustRightInd/>
        <w:rPr>
          <w:sz w:val="16"/>
          <w:szCs w:val="16"/>
        </w:rPr>
      </w:pPr>
    </w:p>
    <w:p w14:paraId="5820167C" w14:textId="346E5657" w:rsidR="00A86989" w:rsidRPr="00005453" w:rsidRDefault="00A86989" w:rsidP="00AF7B9B">
      <w:pPr>
        <w:pStyle w:val="BodyTextIndent"/>
        <w:autoSpaceDE/>
        <w:autoSpaceDN/>
        <w:adjustRightInd/>
        <w:rPr>
          <w:sz w:val="16"/>
          <w:szCs w:val="16"/>
        </w:rPr>
      </w:pPr>
    </w:p>
    <w:p w14:paraId="07F313A9" w14:textId="68F1E26B" w:rsidR="00A86989" w:rsidRPr="00005453" w:rsidRDefault="00A86989" w:rsidP="00AF7B9B">
      <w:pPr>
        <w:pStyle w:val="BodyTextIndent"/>
        <w:autoSpaceDE/>
        <w:autoSpaceDN/>
        <w:adjustRightInd/>
        <w:rPr>
          <w:sz w:val="16"/>
          <w:szCs w:val="16"/>
        </w:rPr>
      </w:pPr>
    </w:p>
    <w:p w14:paraId="2287FFB6" w14:textId="0C2CE7B0" w:rsidR="00A86989" w:rsidRPr="00005453" w:rsidRDefault="00A86989" w:rsidP="00AF7B9B">
      <w:pPr>
        <w:pStyle w:val="BodyTextIndent"/>
        <w:autoSpaceDE/>
        <w:autoSpaceDN/>
        <w:adjustRightInd/>
        <w:rPr>
          <w:sz w:val="16"/>
          <w:szCs w:val="16"/>
        </w:rPr>
      </w:pPr>
    </w:p>
    <w:p w14:paraId="16C5DCCD" w14:textId="3DFA2499" w:rsidR="00A86989" w:rsidRPr="00005453" w:rsidRDefault="00A86989" w:rsidP="00AF7B9B">
      <w:pPr>
        <w:pStyle w:val="BodyTextIndent"/>
        <w:autoSpaceDE/>
        <w:autoSpaceDN/>
        <w:adjustRightInd/>
        <w:rPr>
          <w:sz w:val="16"/>
          <w:szCs w:val="16"/>
        </w:rPr>
      </w:pPr>
    </w:p>
    <w:p w14:paraId="405ACF6F" w14:textId="482A4128" w:rsidR="00A86989" w:rsidRPr="00005453" w:rsidRDefault="00A86989" w:rsidP="00AF7B9B">
      <w:pPr>
        <w:pStyle w:val="BodyTextIndent"/>
        <w:autoSpaceDE/>
        <w:autoSpaceDN/>
        <w:adjustRightInd/>
        <w:rPr>
          <w:sz w:val="16"/>
          <w:szCs w:val="16"/>
        </w:rPr>
      </w:pPr>
    </w:p>
    <w:p w14:paraId="18127167" w14:textId="6539A27A" w:rsidR="00A86989" w:rsidRPr="00005453" w:rsidRDefault="00A86989" w:rsidP="00AF7B9B">
      <w:pPr>
        <w:pStyle w:val="BodyTextIndent"/>
        <w:autoSpaceDE/>
        <w:autoSpaceDN/>
        <w:adjustRightInd/>
        <w:rPr>
          <w:sz w:val="16"/>
          <w:szCs w:val="16"/>
        </w:rPr>
      </w:pPr>
    </w:p>
    <w:p w14:paraId="6F1B0140" w14:textId="2E8D19D4" w:rsidR="00A86989" w:rsidRPr="00005453" w:rsidRDefault="00A86989" w:rsidP="00AF7B9B">
      <w:pPr>
        <w:pStyle w:val="BodyTextIndent"/>
        <w:autoSpaceDE/>
        <w:autoSpaceDN/>
        <w:adjustRightInd/>
        <w:rPr>
          <w:sz w:val="16"/>
          <w:szCs w:val="16"/>
        </w:rPr>
      </w:pPr>
    </w:p>
    <w:p w14:paraId="3CC1A702" w14:textId="77777777" w:rsidR="000F3BDB" w:rsidRPr="00005453" w:rsidRDefault="000F3BDB" w:rsidP="003417AA">
      <w:pPr>
        <w:pStyle w:val="ListParagraph"/>
        <w:autoSpaceDE w:val="0"/>
        <w:autoSpaceDN w:val="0"/>
        <w:adjustRightInd w:val="0"/>
        <w:ind w:left="0"/>
        <w:jc w:val="both"/>
        <w:rPr>
          <w:spacing w:val="-6"/>
        </w:rPr>
        <w:sectPr w:rsidR="000F3BDB" w:rsidRPr="00005453" w:rsidSect="00557BAB">
          <w:pgSz w:w="11906" w:h="16838"/>
          <w:pgMar w:top="737" w:right="992" w:bottom="992" w:left="1440" w:header="709" w:footer="709" w:gutter="0"/>
          <w:cols w:space="708"/>
          <w:docGrid w:linePitch="360"/>
        </w:sectPr>
      </w:pPr>
    </w:p>
    <w:p w14:paraId="543DB713" w14:textId="77777777" w:rsidR="003417AA" w:rsidRPr="00005453" w:rsidRDefault="003417AA" w:rsidP="003417AA">
      <w:pPr>
        <w:pStyle w:val="ListParagraph"/>
        <w:autoSpaceDE w:val="0"/>
        <w:autoSpaceDN w:val="0"/>
        <w:adjustRightInd w:val="0"/>
        <w:ind w:left="0"/>
        <w:jc w:val="both"/>
        <w:rPr>
          <w:spacing w:val="-6"/>
        </w:rPr>
      </w:pPr>
      <w:r w:rsidRPr="00005453">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EA52E44" w14:textId="77777777" w:rsidR="003417AA" w:rsidRPr="00005453" w:rsidRDefault="003417AA" w:rsidP="003417AA">
      <w:pPr>
        <w:pStyle w:val="ListParagraph"/>
        <w:autoSpaceDE w:val="0"/>
        <w:autoSpaceDN w:val="0"/>
        <w:adjustRightInd w:val="0"/>
        <w:ind w:left="0"/>
        <w:rPr>
          <w:sz w:val="10"/>
          <w:szCs w:val="10"/>
        </w:rPr>
      </w:pPr>
    </w:p>
    <w:p w14:paraId="792AA87B" w14:textId="25272167" w:rsidR="00F12529" w:rsidRPr="00005453" w:rsidRDefault="00F12529" w:rsidP="00F12529">
      <w:pPr>
        <w:pStyle w:val="ListParagraph"/>
        <w:numPr>
          <w:ilvl w:val="0"/>
          <w:numId w:val="6"/>
        </w:numPr>
        <w:tabs>
          <w:tab w:val="clear" w:pos="360"/>
          <w:tab w:val="num" w:pos="709"/>
        </w:tabs>
        <w:autoSpaceDE w:val="0"/>
        <w:autoSpaceDN w:val="0"/>
        <w:adjustRightInd w:val="0"/>
      </w:pPr>
      <w:bookmarkStart w:id="39" w:name="OLE_LINK215"/>
      <w:r w:rsidRPr="00005453">
        <w:t xml:space="preserve">Alım satım amaçlı türev finansal varlıklar: </w:t>
      </w:r>
      <w:r w:rsidR="00405BF2" w:rsidRPr="00005453">
        <w:t>798</w:t>
      </w:r>
      <w:r w:rsidR="00500D68" w:rsidRPr="00005453">
        <w:t>,</w:t>
      </w:r>
      <w:r w:rsidR="00405BF2" w:rsidRPr="00005453">
        <w:t>15</w:t>
      </w:r>
      <w:r w:rsidR="00500D68" w:rsidRPr="00005453">
        <w:t>2</w:t>
      </w:r>
      <w:r w:rsidRPr="00005453">
        <w:t xml:space="preserve"> TL (31 Aralık 202</w:t>
      </w:r>
      <w:r w:rsidR="005B4E54" w:rsidRPr="00005453">
        <w:t>3</w:t>
      </w:r>
      <w:r w:rsidRPr="00005453">
        <w:t xml:space="preserve"> – </w:t>
      </w:r>
      <w:proofErr w:type="gramStart"/>
      <w:r w:rsidR="005B4E54" w:rsidRPr="00005453">
        <w:t>463</w:t>
      </w:r>
      <w:r w:rsidR="00D12550" w:rsidRPr="00005453">
        <w:t>,</w:t>
      </w:r>
      <w:r w:rsidR="005B4E54" w:rsidRPr="00005453">
        <w:t>472</w:t>
      </w:r>
      <w:r w:rsidR="00D12550" w:rsidRPr="00005453">
        <w:t xml:space="preserve"> </w:t>
      </w:r>
      <w:r w:rsidR="00ED28A3" w:rsidRPr="00005453">
        <w:t xml:space="preserve"> </w:t>
      </w:r>
      <w:r w:rsidRPr="00005453">
        <w:rPr>
          <w:color w:val="000000"/>
        </w:rPr>
        <w:t>TL</w:t>
      </w:r>
      <w:proofErr w:type="gramEnd"/>
      <w:r w:rsidRPr="00005453">
        <w:t>)</w:t>
      </w:r>
    </w:p>
    <w:p w14:paraId="748E62CD" w14:textId="2087F28F" w:rsidR="00F12529" w:rsidRPr="00005453" w:rsidRDefault="00F12529" w:rsidP="00F12529">
      <w:pPr>
        <w:pStyle w:val="ListParagraph"/>
        <w:numPr>
          <w:ilvl w:val="0"/>
          <w:numId w:val="6"/>
        </w:numPr>
        <w:tabs>
          <w:tab w:val="clear" w:pos="360"/>
          <w:tab w:val="left" w:pos="709"/>
        </w:tabs>
        <w:autoSpaceDE w:val="0"/>
        <w:autoSpaceDN w:val="0"/>
        <w:adjustRightInd w:val="0"/>
        <w:ind w:left="357" w:hanging="357"/>
      </w:pPr>
      <w:r w:rsidRPr="00005453">
        <w:t xml:space="preserve">Peşin ödenen giderler: </w:t>
      </w:r>
      <w:r w:rsidR="00405BF2" w:rsidRPr="00005453">
        <w:t>3</w:t>
      </w:r>
      <w:r w:rsidR="00500D68" w:rsidRPr="00005453">
        <w:t>,</w:t>
      </w:r>
      <w:r w:rsidR="00405BF2" w:rsidRPr="00005453">
        <w:t>38</w:t>
      </w:r>
      <w:r w:rsidR="00500D68" w:rsidRPr="00005453">
        <w:t>3</w:t>
      </w:r>
      <w:r w:rsidRPr="00005453">
        <w:t xml:space="preserve"> TL (31 Aralık 202</w:t>
      </w:r>
      <w:r w:rsidR="005B4E54" w:rsidRPr="00005453">
        <w:t>3</w:t>
      </w:r>
      <w:r w:rsidRPr="00005453">
        <w:t xml:space="preserve"> – </w:t>
      </w:r>
      <w:r w:rsidR="005B4E54" w:rsidRPr="00005453">
        <w:t>2</w:t>
      </w:r>
      <w:r w:rsidR="00D12550" w:rsidRPr="00005453">
        <w:t>,8</w:t>
      </w:r>
      <w:r w:rsidR="005B4E54" w:rsidRPr="00005453">
        <w:t>9</w:t>
      </w:r>
      <w:r w:rsidR="00D12550" w:rsidRPr="00005453">
        <w:t>3</w:t>
      </w:r>
      <w:r w:rsidR="00887F86" w:rsidRPr="00005453">
        <w:t xml:space="preserve"> </w:t>
      </w:r>
      <w:r w:rsidRPr="00005453">
        <w:t>TL)</w:t>
      </w:r>
    </w:p>
    <w:p w14:paraId="157156E0" w14:textId="3C150682" w:rsidR="00F12529" w:rsidRPr="00005453" w:rsidRDefault="00F12529" w:rsidP="00F12529">
      <w:pPr>
        <w:pStyle w:val="ListParagraph"/>
        <w:numPr>
          <w:ilvl w:val="0"/>
          <w:numId w:val="6"/>
        </w:numPr>
        <w:tabs>
          <w:tab w:val="clear" w:pos="360"/>
          <w:tab w:val="num" w:pos="709"/>
        </w:tabs>
        <w:autoSpaceDE w:val="0"/>
        <w:autoSpaceDN w:val="0"/>
        <w:adjustRightInd w:val="0"/>
      </w:pPr>
      <w:r w:rsidRPr="00005453">
        <w:t xml:space="preserve">Alım satım amaçlı türev finansal borçlar: </w:t>
      </w:r>
      <w:r w:rsidR="00405BF2" w:rsidRPr="00005453">
        <w:t>1,453</w:t>
      </w:r>
      <w:r w:rsidR="00EE0FEA" w:rsidRPr="00005453">
        <w:t>,</w:t>
      </w:r>
      <w:r w:rsidR="00405BF2" w:rsidRPr="00005453">
        <w:t>023</w:t>
      </w:r>
      <w:r w:rsidRPr="00005453">
        <w:t xml:space="preserve"> TL (31 Aralık 202</w:t>
      </w:r>
      <w:r w:rsidR="005B4E54" w:rsidRPr="00005453">
        <w:t>3</w:t>
      </w:r>
      <w:r w:rsidRPr="00005453">
        <w:t xml:space="preserve"> – </w:t>
      </w:r>
      <w:r w:rsidR="005B4E54" w:rsidRPr="00005453">
        <w:t>87</w:t>
      </w:r>
      <w:r w:rsidR="001D3D07" w:rsidRPr="00005453">
        <w:t>7,</w:t>
      </w:r>
      <w:r w:rsidR="005B4E54" w:rsidRPr="00005453">
        <w:t>957</w:t>
      </w:r>
      <w:r w:rsidR="001D3D07" w:rsidRPr="00005453">
        <w:t xml:space="preserve"> </w:t>
      </w:r>
      <w:r w:rsidRPr="00005453">
        <w:rPr>
          <w:color w:val="000000"/>
        </w:rPr>
        <w:t>TL</w:t>
      </w:r>
      <w:r w:rsidRPr="00005453">
        <w:t>)</w:t>
      </w:r>
    </w:p>
    <w:p w14:paraId="381E815A" w14:textId="2F260D99" w:rsidR="00F12529" w:rsidRPr="00005453" w:rsidRDefault="00F12529" w:rsidP="00F12529">
      <w:pPr>
        <w:pStyle w:val="ListParagraph"/>
        <w:numPr>
          <w:ilvl w:val="0"/>
          <w:numId w:val="6"/>
        </w:numPr>
        <w:tabs>
          <w:tab w:val="clear" w:pos="360"/>
          <w:tab w:val="num" w:pos="709"/>
        </w:tabs>
        <w:autoSpaceDE w:val="0"/>
        <w:autoSpaceDN w:val="0"/>
        <w:adjustRightInd w:val="0"/>
        <w:jc w:val="both"/>
      </w:pPr>
      <w:r w:rsidRPr="00005453">
        <w:t xml:space="preserve">Yabancı para menkul değerleme farkları: </w:t>
      </w:r>
      <w:r w:rsidR="00500D68" w:rsidRPr="00005453">
        <w:t>(</w:t>
      </w:r>
      <w:r w:rsidR="00405BF2" w:rsidRPr="00005453">
        <w:t>301</w:t>
      </w:r>
      <w:r w:rsidR="00500D68" w:rsidRPr="00005453">
        <w:t>,</w:t>
      </w:r>
      <w:r w:rsidR="00405BF2" w:rsidRPr="00005453">
        <w:t>804</w:t>
      </w:r>
      <w:r w:rsidR="00D96543" w:rsidRPr="00005453">
        <w:t>)</w:t>
      </w:r>
      <w:r w:rsidRPr="00005453">
        <w:t xml:space="preserve"> TL </w:t>
      </w:r>
      <w:proofErr w:type="gramStart"/>
      <w:r w:rsidRPr="00005453">
        <w:t>( 31</w:t>
      </w:r>
      <w:proofErr w:type="gramEnd"/>
      <w:r w:rsidRPr="00005453">
        <w:t xml:space="preserve"> Aralık 202</w:t>
      </w:r>
      <w:r w:rsidR="005B4E54" w:rsidRPr="00005453">
        <w:t>3</w:t>
      </w:r>
      <w:r w:rsidRPr="00005453">
        <w:t xml:space="preserve"> </w:t>
      </w:r>
      <w:r w:rsidR="00C94D84" w:rsidRPr="00005453">
        <w:t>–</w:t>
      </w:r>
      <w:r w:rsidRPr="00005453">
        <w:t xml:space="preserve"> </w:t>
      </w:r>
      <w:r w:rsidR="005B4E54" w:rsidRPr="00005453">
        <w:t>(240</w:t>
      </w:r>
      <w:r w:rsidR="001D3D07" w:rsidRPr="00005453">
        <w:t>,</w:t>
      </w:r>
      <w:r w:rsidR="005B4E54" w:rsidRPr="00005453">
        <w:t>265</w:t>
      </w:r>
      <w:r w:rsidR="001D3D07" w:rsidRPr="00005453">
        <w:t xml:space="preserve"> TL</w:t>
      </w:r>
      <w:r w:rsidRPr="00005453">
        <w:t>)</w:t>
      </w:r>
    </w:p>
    <w:p w14:paraId="05553975" w14:textId="4E16E351" w:rsidR="00F12529" w:rsidRPr="00005453" w:rsidRDefault="00F12529" w:rsidP="00F12529">
      <w:pPr>
        <w:pStyle w:val="ListParagraph"/>
        <w:numPr>
          <w:ilvl w:val="0"/>
          <w:numId w:val="6"/>
        </w:numPr>
        <w:tabs>
          <w:tab w:val="clear" w:pos="360"/>
          <w:tab w:val="num" w:pos="709"/>
        </w:tabs>
        <w:autoSpaceDE w:val="0"/>
        <w:autoSpaceDN w:val="0"/>
        <w:adjustRightInd w:val="0"/>
        <w:jc w:val="both"/>
      </w:pPr>
      <w:r w:rsidRPr="00005453">
        <w:t>Riskten korunma amaçlı türev finansal borçlar: Bulunmamaktadır (31 Aralık 202</w:t>
      </w:r>
      <w:r w:rsidR="005B4E54" w:rsidRPr="00005453">
        <w:t>3</w:t>
      </w:r>
      <w:r w:rsidRPr="00005453">
        <w:t xml:space="preserve"> – Bulunmamaktadır)</w:t>
      </w:r>
    </w:p>
    <w:bookmarkEnd w:id="39"/>
    <w:p w14:paraId="3189F63A" w14:textId="77777777" w:rsidR="00F12529" w:rsidRPr="00005453" w:rsidRDefault="00F12529" w:rsidP="00F12529">
      <w:pPr>
        <w:pStyle w:val="ListParagraph"/>
        <w:tabs>
          <w:tab w:val="num" w:pos="709"/>
        </w:tabs>
        <w:autoSpaceDE w:val="0"/>
        <w:autoSpaceDN w:val="0"/>
        <w:adjustRightInd w:val="0"/>
        <w:ind w:left="0"/>
        <w:jc w:val="both"/>
        <w:rPr>
          <w:spacing w:val="-6"/>
        </w:rPr>
      </w:pPr>
    </w:p>
    <w:p w14:paraId="14B7D5CE" w14:textId="77777777" w:rsidR="00F12529" w:rsidRPr="00005453" w:rsidRDefault="00F12529" w:rsidP="00F12529">
      <w:pPr>
        <w:pStyle w:val="ListParagraph"/>
        <w:tabs>
          <w:tab w:val="num" w:pos="709"/>
        </w:tabs>
        <w:autoSpaceDE w:val="0"/>
        <w:autoSpaceDN w:val="0"/>
        <w:adjustRightInd w:val="0"/>
        <w:ind w:left="0"/>
        <w:jc w:val="both"/>
        <w:rPr>
          <w:spacing w:val="-6"/>
        </w:rPr>
      </w:pPr>
      <w:r w:rsidRPr="00005453">
        <w:rPr>
          <w:spacing w:val="-6"/>
        </w:rPr>
        <w:t>Türev finansal araçlardan alacaklar/borçlar aşağıda belirtilen tutarlarda yabancı para valörlü döviz alım satım ve vadeli kıymetli maden alım satım işlemlerini de içermektedir.</w:t>
      </w:r>
    </w:p>
    <w:p w14:paraId="6B92054B" w14:textId="77777777" w:rsidR="00F12529" w:rsidRPr="00005453" w:rsidRDefault="00F12529" w:rsidP="00F12529">
      <w:pPr>
        <w:pStyle w:val="ListParagraph"/>
        <w:tabs>
          <w:tab w:val="num" w:pos="709"/>
        </w:tabs>
        <w:autoSpaceDE w:val="0"/>
        <w:autoSpaceDN w:val="0"/>
        <w:adjustRightInd w:val="0"/>
        <w:ind w:left="0"/>
        <w:jc w:val="both"/>
        <w:rPr>
          <w:spacing w:val="-6"/>
          <w:sz w:val="10"/>
          <w:szCs w:val="10"/>
        </w:rPr>
      </w:pPr>
    </w:p>
    <w:p w14:paraId="06C1EC99" w14:textId="2669EFAE" w:rsidR="00F12529" w:rsidRPr="00005453" w:rsidRDefault="00F12529" w:rsidP="00F12529">
      <w:pPr>
        <w:pStyle w:val="ListParagraph"/>
        <w:numPr>
          <w:ilvl w:val="0"/>
          <w:numId w:val="6"/>
        </w:numPr>
        <w:tabs>
          <w:tab w:val="clear" w:pos="360"/>
          <w:tab w:val="num" w:pos="709"/>
        </w:tabs>
        <w:autoSpaceDE w:val="0"/>
        <w:autoSpaceDN w:val="0"/>
        <w:adjustRightInd w:val="0"/>
        <w:jc w:val="both"/>
      </w:pPr>
      <w:r w:rsidRPr="00005453">
        <w:t xml:space="preserve">Valörlü döviz alım </w:t>
      </w:r>
      <w:proofErr w:type="gramStart"/>
      <w:r w:rsidRPr="00005453">
        <w:t>işlemleri</w:t>
      </w:r>
      <w:r w:rsidR="000A4CD4" w:rsidRPr="00005453">
        <w:t xml:space="preserve"> </w:t>
      </w:r>
      <w:r w:rsidRPr="00005453">
        <w:t>:</w:t>
      </w:r>
      <w:proofErr w:type="gramEnd"/>
      <w:r w:rsidRPr="00005453">
        <w:t xml:space="preserve"> </w:t>
      </w:r>
      <w:r w:rsidR="00405BF2" w:rsidRPr="00005453">
        <w:t>7</w:t>
      </w:r>
      <w:r w:rsidR="00EE0FEA" w:rsidRPr="00005453">
        <w:t>,</w:t>
      </w:r>
      <w:r w:rsidR="00405BF2" w:rsidRPr="00005453">
        <w:t>019</w:t>
      </w:r>
      <w:r w:rsidR="00EE0FEA" w:rsidRPr="00005453">
        <w:t>,</w:t>
      </w:r>
      <w:r w:rsidR="00405BF2" w:rsidRPr="00005453">
        <w:t>428</w:t>
      </w:r>
      <w:r w:rsidR="00EE0FEA" w:rsidRPr="00005453">
        <w:t xml:space="preserve"> </w:t>
      </w:r>
      <w:r w:rsidRPr="00005453">
        <w:t>TL (31 Aralık 202</w:t>
      </w:r>
      <w:r w:rsidR="005B4E54" w:rsidRPr="00005453">
        <w:t>3</w:t>
      </w:r>
      <w:r w:rsidRPr="00005453">
        <w:t xml:space="preserve"> – </w:t>
      </w:r>
      <w:r w:rsidR="001D3D07" w:rsidRPr="00005453">
        <w:t>3,</w:t>
      </w:r>
      <w:r w:rsidR="005B4E54" w:rsidRPr="00005453">
        <w:t>285</w:t>
      </w:r>
      <w:r w:rsidR="001D3D07" w:rsidRPr="00005453">
        <w:t>,</w:t>
      </w:r>
      <w:r w:rsidR="005B4E54" w:rsidRPr="00005453">
        <w:t>216</w:t>
      </w:r>
      <w:r w:rsidR="001D3D07" w:rsidRPr="00005453">
        <w:t xml:space="preserve"> </w:t>
      </w:r>
      <w:r w:rsidRPr="00005453">
        <w:t>TL)</w:t>
      </w:r>
    </w:p>
    <w:p w14:paraId="589E6C91" w14:textId="687F670E" w:rsidR="00F12529" w:rsidRPr="00005453" w:rsidRDefault="00F12529" w:rsidP="00F12529">
      <w:pPr>
        <w:pStyle w:val="ListParagraph"/>
        <w:numPr>
          <w:ilvl w:val="0"/>
          <w:numId w:val="6"/>
        </w:numPr>
        <w:tabs>
          <w:tab w:val="clear" w:pos="360"/>
          <w:tab w:val="num" w:pos="709"/>
        </w:tabs>
        <w:autoSpaceDE w:val="0"/>
        <w:autoSpaceDN w:val="0"/>
        <w:adjustRightInd w:val="0"/>
        <w:jc w:val="both"/>
      </w:pPr>
      <w:r w:rsidRPr="00005453">
        <w:t xml:space="preserve">Valörlü döviz satım </w:t>
      </w:r>
      <w:proofErr w:type="gramStart"/>
      <w:r w:rsidRPr="00005453">
        <w:t>işlemleri</w:t>
      </w:r>
      <w:r w:rsidR="000A4CD4" w:rsidRPr="00005453">
        <w:t xml:space="preserve"> </w:t>
      </w:r>
      <w:r w:rsidRPr="00005453">
        <w:t>:</w:t>
      </w:r>
      <w:proofErr w:type="gramEnd"/>
      <w:r w:rsidRPr="00005453">
        <w:t xml:space="preserve"> </w:t>
      </w:r>
      <w:r w:rsidR="00405BF2" w:rsidRPr="00005453">
        <w:t>6</w:t>
      </w:r>
      <w:r w:rsidR="00EE0FEA" w:rsidRPr="00005453">
        <w:t>,</w:t>
      </w:r>
      <w:r w:rsidR="00405BF2" w:rsidRPr="00005453">
        <w:t>688</w:t>
      </w:r>
      <w:r w:rsidR="00EE0FEA" w:rsidRPr="00005453">
        <w:t>,</w:t>
      </w:r>
      <w:r w:rsidR="00405BF2" w:rsidRPr="00005453">
        <w:t>067</w:t>
      </w:r>
      <w:r w:rsidR="00EE0FEA" w:rsidRPr="00005453">
        <w:t xml:space="preserve"> </w:t>
      </w:r>
      <w:r w:rsidRPr="00005453">
        <w:t>TL (31 Aralık 202</w:t>
      </w:r>
      <w:r w:rsidR="005B4E54" w:rsidRPr="00005453">
        <w:t>3</w:t>
      </w:r>
      <w:r w:rsidRPr="00005453">
        <w:t xml:space="preserve"> </w:t>
      </w:r>
      <w:r w:rsidR="003D02FF" w:rsidRPr="00005453">
        <w:t>–</w:t>
      </w:r>
      <w:r w:rsidRPr="00005453">
        <w:t xml:space="preserve"> </w:t>
      </w:r>
      <w:r w:rsidR="005B4E54" w:rsidRPr="00005453">
        <w:t>4</w:t>
      </w:r>
      <w:r w:rsidR="001D3D07" w:rsidRPr="00005453">
        <w:t>,</w:t>
      </w:r>
      <w:r w:rsidR="005B4E54" w:rsidRPr="00005453">
        <w:t>29</w:t>
      </w:r>
      <w:r w:rsidR="001D3D07" w:rsidRPr="00005453">
        <w:t>7,</w:t>
      </w:r>
      <w:r w:rsidR="005B4E54" w:rsidRPr="00005453">
        <w:t>763</w:t>
      </w:r>
      <w:r w:rsidR="001D3D07" w:rsidRPr="00005453">
        <w:t xml:space="preserve"> </w:t>
      </w:r>
      <w:r w:rsidRPr="00005453">
        <w:t>TL)</w:t>
      </w:r>
    </w:p>
    <w:p w14:paraId="50B7DF5A" w14:textId="05B3644F" w:rsidR="00F12529" w:rsidRPr="00005453" w:rsidRDefault="00F12529" w:rsidP="00F12529">
      <w:pPr>
        <w:pStyle w:val="ListParagraph"/>
        <w:numPr>
          <w:ilvl w:val="0"/>
          <w:numId w:val="6"/>
        </w:numPr>
        <w:tabs>
          <w:tab w:val="clear" w:pos="360"/>
          <w:tab w:val="num" w:pos="709"/>
        </w:tabs>
        <w:autoSpaceDE w:val="0"/>
        <w:autoSpaceDN w:val="0"/>
        <w:adjustRightInd w:val="0"/>
        <w:jc w:val="both"/>
      </w:pPr>
      <w:r w:rsidRPr="00005453">
        <w:t xml:space="preserve">Kıymetli maden alım </w:t>
      </w:r>
      <w:proofErr w:type="gramStart"/>
      <w:r w:rsidRPr="00005453">
        <w:t>işlemleri :</w:t>
      </w:r>
      <w:proofErr w:type="gramEnd"/>
      <w:r w:rsidRPr="00005453">
        <w:t xml:space="preserve"> </w:t>
      </w:r>
      <w:r w:rsidR="00405BF2" w:rsidRPr="00005453">
        <w:t>72</w:t>
      </w:r>
      <w:r w:rsidR="00EE0FEA" w:rsidRPr="00005453">
        <w:t>,</w:t>
      </w:r>
      <w:r w:rsidR="00405BF2" w:rsidRPr="00005453">
        <w:t>552</w:t>
      </w:r>
      <w:r w:rsidR="00EE0FEA" w:rsidRPr="00005453">
        <w:t>,</w:t>
      </w:r>
      <w:r w:rsidR="00405BF2" w:rsidRPr="00005453">
        <w:t>36</w:t>
      </w:r>
      <w:r w:rsidR="005100FA" w:rsidRPr="00005453">
        <w:t>4</w:t>
      </w:r>
      <w:r w:rsidR="00EE0FEA" w:rsidRPr="00005453">
        <w:t xml:space="preserve"> </w:t>
      </w:r>
      <w:r w:rsidRPr="00005453">
        <w:t>TL (31 Aralık 202</w:t>
      </w:r>
      <w:r w:rsidR="005B4E54" w:rsidRPr="00005453">
        <w:t>3</w:t>
      </w:r>
      <w:r w:rsidRPr="00005453">
        <w:t xml:space="preserve"> </w:t>
      </w:r>
      <w:r w:rsidR="003D02FF" w:rsidRPr="00005453">
        <w:t>–</w:t>
      </w:r>
      <w:r w:rsidRPr="00005453">
        <w:t xml:space="preserve"> </w:t>
      </w:r>
      <w:r w:rsidR="005B4E54" w:rsidRPr="00005453">
        <w:t>29</w:t>
      </w:r>
      <w:r w:rsidR="001D3D07" w:rsidRPr="00005453">
        <w:t>,</w:t>
      </w:r>
      <w:r w:rsidR="005B4E54" w:rsidRPr="00005453">
        <w:t>870</w:t>
      </w:r>
      <w:r w:rsidR="001D3D07" w:rsidRPr="00005453">
        <w:t>,</w:t>
      </w:r>
      <w:r w:rsidR="005B4E54" w:rsidRPr="00005453">
        <w:t>800</w:t>
      </w:r>
      <w:r w:rsidR="001D3D07" w:rsidRPr="00005453">
        <w:t xml:space="preserve"> </w:t>
      </w:r>
      <w:r w:rsidRPr="00005453">
        <w:t>TL)</w:t>
      </w:r>
    </w:p>
    <w:p w14:paraId="39005005" w14:textId="0B13D357" w:rsidR="00F12529" w:rsidRPr="00005453" w:rsidRDefault="00F12529" w:rsidP="00F12529">
      <w:pPr>
        <w:pStyle w:val="ListParagraph"/>
        <w:numPr>
          <w:ilvl w:val="0"/>
          <w:numId w:val="6"/>
        </w:numPr>
        <w:tabs>
          <w:tab w:val="clear" w:pos="360"/>
          <w:tab w:val="num" w:pos="709"/>
        </w:tabs>
        <w:autoSpaceDE w:val="0"/>
        <w:autoSpaceDN w:val="0"/>
        <w:adjustRightInd w:val="0"/>
        <w:jc w:val="both"/>
      </w:pPr>
      <w:r w:rsidRPr="00005453">
        <w:t xml:space="preserve">Kıymetli maden satım </w:t>
      </w:r>
      <w:proofErr w:type="gramStart"/>
      <w:r w:rsidRPr="00005453">
        <w:t>işlemleri :</w:t>
      </w:r>
      <w:proofErr w:type="gramEnd"/>
      <w:r w:rsidRPr="00005453">
        <w:t xml:space="preserve"> </w:t>
      </w:r>
      <w:r w:rsidR="00405BF2" w:rsidRPr="00005453">
        <w:t>26</w:t>
      </w:r>
      <w:r w:rsidR="00EE0FEA" w:rsidRPr="00005453">
        <w:t>,</w:t>
      </w:r>
      <w:r w:rsidR="00405BF2" w:rsidRPr="00005453">
        <w:t>609</w:t>
      </w:r>
      <w:r w:rsidR="00EE0FEA" w:rsidRPr="00005453">
        <w:t>,</w:t>
      </w:r>
      <w:r w:rsidR="00405BF2" w:rsidRPr="00005453">
        <w:t>412</w:t>
      </w:r>
      <w:r w:rsidR="00EE0FEA" w:rsidRPr="00005453">
        <w:t xml:space="preserve"> </w:t>
      </w:r>
      <w:r w:rsidRPr="00005453">
        <w:t>TL (31 Aralık 202</w:t>
      </w:r>
      <w:r w:rsidR="005B4E54" w:rsidRPr="00005453">
        <w:t>3</w:t>
      </w:r>
      <w:r w:rsidRPr="00005453">
        <w:t xml:space="preserve"> – </w:t>
      </w:r>
      <w:r w:rsidR="005B4E54" w:rsidRPr="00005453">
        <w:t>4</w:t>
      </w:r>
      <w:r w:rsidR="001D3D07" w:rsidRPr="00005453">
        <w:t>,</w:t>
      </w:r>
      <w:r w:rsidR="005B4E54" w:rsidRPr="00005453">
        <w:t>593</w:t>
      </w:r>
      <w:r w:rsidR="001D3D07" w:rsidRPr="00005453">
        <w:t>,</w:t>
      </w:r>
      <w:r w:rsidR="005B4E54" w:rsidRPr="00005453">
        <w:t>906</w:t>
      </w:r>
      <w:r w:rsidR="00887F86" w:rsidRPr="00005453">
        <w:t xml:space="preserve"> </w:t>
      </w:r>
      <w:r w:rsidRPr="00005453">
        <w:t>TL)</w:t>
      </w:r>
    </w:p>
    <w:p w14:paraId="1B612629" w14:textId="77777777" w:rsidR="00A86989" w:rsidRPr="00005453" w:rsidRDefault="00A86989" w:rsidP="000C282D">
      <w:pPr>
        <w:tabs>
          <w:tab w:val="left" w:pos="709"/>
        </w:tabs>
        <w:autoSpaceDE w:val="0"/>
        <w:autoSpaceDN w:val="0"/>
        <w:adjustRightInd w:val="0"/>
      </w:pPr>
    </w:p>
    <w:p w14:paraId="56B8D6FD" w14:textId="6A15CAE9" w:rsidR="000C282D" w:rsidRPr="00005453" w:rsidRDefault="000C282D" w:rsidP="000C282D">
      <w:pPr>
        <w:rPr>
          <w:rFonts w:eastAsia="Arial Unicode MS"/>
          <w:b/>
        </w:rPr>
      </w:pPr>
      <w:r w:rsidRPr="00005453">
        <w:rPr>
          <w:rFonts w:eastAsia="Arial Unicode MS"/>
          <w:b/>
        </w:rPr>
        <w:t>Kur riskine duyarlılık</w:t>
      </w:r>
    </w:p>
    <w:p w14:paraId="0C1C9CF4" w14:textId="427EDDED" w:rsidR="000C282D" w:rsidRPr="00005453" w:rsidRDefault="000C282D" w:rsidP="000C282D">
      <w:pPr>
        <w:rPr>
          <w:rFonts w:eastAsia="Arial Unicode MS"/>
          <w:b/>
          <w:sz w:val="16"/>
          <w:szCs w:val="16"/>
        </w:rPr>
      </w:pPr>
    </w:p>
    <w:p w14:paraId="40BDE57A" w14:textId="77777777" w:rsidR="000C282D" w:rsidRPr="00005453" w:rsidRDefault="000C282D" w:rsidP="000C282D">
      <w:pPr>
        <w:rPr>
          <w:rFonts w:eastAsia="Arial Unicode MS"/>
          <w:b/>
          <w:sz w:val="2"/>
        </w:rPr>
      </w:pPr>
    </w:p>
    <w:p w14:paraId="501952EF" w14:textId="77777777" w:rsidR="000C282D" w:rsidRPr="00005453" w:rsidRDefault="000C282D" w:rsidP="000C282D">
      <w:pPr>
        <w:rPr>
          <w:rFonts w:eastAsia="Arial Unicode MS"/>
        </w:rPr>
      </w:pPr>
      <w:r w:rsidRPr="00005453">
        <w:rPr>
          <w:rFonts w:eastAsia="Arial Unicode MS"/>
        </w:rPr>
        <w:t>Banka büyük ölçüde Avro, ABD Doları ve Altın cinsinden kur riskine maruz kalmaktadır.</w:t>
      </w:r>
    </w:p>
    <w:p w14:paraId="7351A5C3" w14:textId="2565DF06" w:rsidR="00A86989" w:rsidRPr="00005453" w:rsidRDefault="00A86989" w:rsidP="000C282D">
      <w:pPr>
        <w:autoSpaceDE w:val="0"/>
        <w:autoSpaceDN w:val="0"/>
        <w:adjustRightInd w:val="0"/>
        <w:jc w:val="both"/>
        <w:rPr>
          <w:rFonts w:eastAsia="Arial Unicode MS"/>
          <w:b/>
          <w:sz w:val="16"/>
          <w:szCs w:val="16"/>
        </w:rPr>
      </w:pPr>
    </w:p>
    <w:p w14:paraId="79DFDF64" w14:textId="77777777" w:rsidR="000C282D" w:rsidRPr="00005453" w:rsidRDefault="000C282D" w:rsidP="000C282D">
      <w:pPr>
        <w:jc w:val="both"/>
        <w:rPr>
          <w:rFonts w:eastAsia="Arial Unicode MS"/>
        </w:rPr>
      </w:pPr>
      <w:r w:rsidRPr="00005453">
        <w:rPr>
          <w:rFonts w:eastAsia="Arial Unicode MS"/>
        </w:rPr>
        <w:t xml:space="preserve">Aşağıdaki tablo, Banka’nın ABD Doları, Avro ve Altın kurlarındaki %10’luk artışa olan duyarlılığını göstermektedir. </w:t>
      </w:r>
    </w:p>
    <w:p w14:paraId="247425BD" w14:textId="580A7A15" w:rsidR="00F12529" w:rsidRPr="00005453" w:rsidRDefault="00F12529" w:rsidP="000C282D">
      <w:pPr>
        <w:autoSpaceDE w:val="0"/>
        <w:autoSpaceDN w:val="0"/>
        <w:adjustRightInd w:val="0"/>
        <w:rPr>
          <w:lang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2131"/>
        <w:gridCol w:w="1212"/>
        <w:gridCol w:w="2044"/>
        <w:gridCol w:w="1275"/>
        <w:gridCol w:w="1418"/>
      </w:tblGrid>
      <w:tr w:rsidR="00F12529" w:rsidRPr="00005453" w14:paraId="32C80D15" w14:textId="77777777" w:rsidTr="000E5F12">
        <w:trPr>
          <w:divId w:val="1477212852"/>
          <w:trHeight w:val="370"/>
        </w:trPr>
        <w:tc>
          <w:tcPr>
            <w:tcW w:w="1271" w:type="dxa"/>
            <w:shd w:val="clear" w:color="auto" w:fill="auto"/>
            <w:vAlign w:val="center"/>
            <w:hideMark/>
          </w:tcPr>
          <w:p w14:paraId="6DF41EE3" w14:textId="00750602" w:rsidR="00F12529" w:rsidRPr="00005453" w:rsidRDefault="00F12529" w:rsidP="00F12529">
            <w:pPr>
              <w:rPr>
                <w:color w:val="000000"/>
                <w:lang w:eastAsia="tr-TR"/>
              </w:rPr>
            </w:pPr>
            <w:r w:rsidRPr="00005453">
              <w:rPr>
                <w:color w:val="000000"/>
                <w:lang w:eastAsia="tr-TR"/>
              </w:rPr>
              <w:t> </w:t>
            </w:r>
          </w:p>
        </w:tc>
        <w:tc>
          <w:tcPr>
            <w:tcW w:w="2131" w:type="dxa"/>
            <w:shd w:val="clear" w:color="auto" w:fill="auto"/>
            <w:vAlign w:val="center"/>
            <w:hideMark/>
          </w:tcPr>
          <w:p w14:paraId="4951D0E4" w14:textId="7FEA24DC" w:rsidR="00F12529" w:rsidRPr="00005453" w:rsidRDefault="00F12529" w:rsidP="00F12529">
            <w:pPr>
              <w:jc w:val="right"/>
              <w:rPr>
                <w:b/>
                <w:bCs/>
                <w:color w:val="000000"/>
                <w:lang w:eastAsia="tr-TR"/>
              </w:rPr>
            </w:pPr>
            <w:r w:rsidRPr="00005453">
              <w:rPr>
                <w:b/>
                <w:bCs/>
                <w:color w:val="000000"/>
                <w:lang w:eastAsia="tr-TR"/>
              </w:rPr>
              <w:t xml:space="preserve">Döviz kurundaki % </w:t>
            </w:r>
            <w:r w:rsidR="00C51E1C" w:rsidRPr="00005453">
              <w:rPr>
                <w:b/>
                <w:bCs/>
                <w:color w:val="000000"/>
                <w:lang w:eastAsia="tr-TR"/>
              </w:rPr>
              <w:t>değişim</w:t>
            </w:r>
          </w:p>
        </w:tc>
        <w:tc>
          <w:tcPr>
            <w:tcW w:w="3256" w:type="dxa"/>
            <w:gridSpan w:val="2"/>
            <w:shd w:val="clear" w:color="auto" w:fill="auto"/>
            <w:vAlign w:val="center"/>
            <w:hideMark/>
          </w:tcPr>
          <w:p w14:paraId="62C7A05B" w14:textId="77777777" w:rsidR="00F12529" w:rsidRPr="00005453" w:rsidRDefault="00F12529" w:rsidP="00F12529">
            <w:pPr>
              <w:jc w:val="right"/>
              <w:rPr>
                <w:b/>
                <w:bCs/>
                <w:color w:val="000000"/>
                <w:lang w:eastAsia="tr-TR"/>
              </w:rPr>
            </w:pPr>
            <w:r w:rsidRPr="00005453">
              <w:rPr>
                <w:b/>
                <w:bCs/>
                <w:color w:val="000000"/>
                <w:lang w:eastAsia="tr-TR"/>
              </w:rPr>
              <w:t xml:space="preserve">              Kar / Zarar üzerindeki etki</w:t>
            </w:r>
          </w:p>
        </w:tc>
        <w:tc>
          <w:tcPr>
            <w:tcW w:w="2693" w:type="dxa"/>
            <w:gridSpan w:val="2"/>
            <w:shd w:val="clear" w:color="auto" w:fill="auto"/>
            <w:vAlign w:val="center"/>
            <w:hideMark/>
          </w:tcPr>
          <w:p w14:paraId="1F5FA19F" w14:textId="77777777" w:rsidR="00F12529" w:rsidRPr="00005453" w:rsidRDefault="00F12529" w:rsidP="00F12529">
            <w:pPr>
              <w:jc w:val="center"/>
              <w:rPr>
                <w:b/>
                <w:bCs/>
                <w:color w:val="000000"/>
                <w:lang w:eastAsia="tr-TR"/>
              </w:rPr>
            </w:pPr>
            <w:r w:rsidRPr="00005453">
              <w:rPr>
                <w:b/>
                <w:bCs/>
                <w:color w:val="000000"/>
                <w:lang w:eastAsia="tr-TR"/>
              </w:rPr>
              <w:t xml:space="preserve">    Özkaynak üzerindeki etki</w:t>
            </w:r>
          </w:p>
        </w:tc>
      </w:tr>
      <w:tr w:rsidR="00F12529" w:rsidRPr="00005453" w14:paraId="28AA581A" w14:textId="77777777" w:rsidTr="000E5F12">
        <w:trPr>
          <w:divId w:val="1477212852"/>
          <w:trHeight w:val="187"/>
        </w:trPr>
        <w:tc>
          <w:tcPr>
            <w:tcW w:w="1271" w:type="dxa"/>
            <w:shd w:val="clear" w:color="auto" w:fill="auto"/>
            <w:vAlign w:val="center"/>
            <w:hideMark/>
          </w:tcPr>
          <w:p w14:paraId="3FAA9A92" w14:textId="77777777" w:rsidR="00F12529" w:rsidRPr="00005453" w:rsidRDefault="00F12529" w:rsidP="00F12529">
            <w:pPr>
              <w:rPr>
                <w:b/>
                <w:bCs/>
                <w:color w:val="000000"/>
                <w:lang w:eastAsia="tr-TR"/>
              </w:rPr>
            </w:pPr>
            <w:r w:rsidRPr="00005453">
              <w:rPr>
                <w:b/>
                <w:bCs/>
                <w:color w:val="000000"/>
                <w:lang w:eastAsia="tr-TR"/>
              </w:rPr>
              <w:t> </w:t>
            </w:r>
          </w:p>
        </w:tc>
        <w:tc>
          <w:tcPr>
            <w:tcW w:w="2131" w:type="dxa"/>
            <w:shd w:val="clear" w:color="auto" w:fill="auto"/>
            <w:vAlign w:val="center"/>
            <w:hideMark/>
          </w:tcPr>
          <w:p w14:paraId="0EF8B8DF" w14:textId="77777777" w:rsidR="00F12529" w:rsidRPr="00005453" w:rsidRDefault="00F12529" w:rsidP="00F12529">
            <w:pPr>
              <w:jc w:val="right"/>
              <w:rPr>
                <w:b/>
                <w:bCs/>
                <w:color w:val="000000"/>
                <w:lang w:eastAsia="tr-TR"/>
              </w:rPr>
            </w:pPr>
            <w:r w:rsidRPr="00005453">
              <w:rPr>
                <w:b/>
                <w:bCs/>
                <w:color w:val="808080" w:themeColor="background1" w:themeShade="80"/>
                <w:lang w:eastAsia="tr-TR"/>
              </w:rPr>
              <w:t> </w:t>
            </w:r>
          </w:p>
        </w:tc>
        <w:tc>
          <w:tcPr>
            <w:tcW w:w="1212" w:type="dxa"/>
            <w:shd w:val="clear" w:color="auto" w:fill="auto"/>
            <w:vAlign w:val="center"/>
            <w:hideMark/>
          </w:tcPr>
          <w:p w14:paraId="76D8F0B7" w14:textId="67D705F2" w:rsidR="00F12529" w:rsidRPr="00005453" w:rsidRDefault="00F12529" w:rsidP="00F12529">
            <w:pPr>
              <w:jc w:val="right"/>
              <w:rPr>
                <w:b/>
                <w:bCs/>
                <w:color w:val="000000"/>
                <w:lang w:eastAsia="tr-TR"/>
              </w:rPr>
            </w:pPr>
            <w:r w:rsidRPr="00005453">
              <w:rPr>
                <w:b/>
                <w:bCs/>
                <w:color w:val="000000"/>
                <w:lang w:eastAsia="tr-TR"/>
              </w:rPr>
              <w:t xml:space="preserve">Cari </w:t>
            </w:r>
            <w:r w:rsidR="005547AB" w:rsidRPr="00005453">
              <w:rPr>
                <w:b/>
                <w:bCs/>
                <w:color w:val="000000"/>
                <w:lang w:eastAsia="tr-TR"/>
              </w:rPr>
              <w:t>D</w:t>
            </w:r>
            <w:r w:rsidRPr="00005453">
              <w:rPr>
                <w:b/>
                <w:bCs/>
                <w:color w:val="000000"/>
                <w:lang w:eastAsia="tr-TR"/>
              </w:rPr>
              <w:t>önem</w:t>
            </w:r>
          </w:p>
        </w:tc>
        <w:tc>
          <w:tcPr>
            <w:tcW w:w="2044" w:type="dxa"/>
            <w:shd w:val="clear" w:color="auto" w:fill="auto"/>
            <w:vAlign w:val="center"/>
            <w:hideMark/>
          </w:tcPr>
          <w:p w14:paraId="7B979509" w14:textId="4BE6A4D7" w:rsidR="00F12529" w:rsidRPr="00005453" w:rsidRDefault="00F12529" w:rsidP="00F12529">
            <w:pPr>
              <w:jc w:val="right"/>
              <w:rPr>
                <w:b/>
                <w:bCs/>
                <w:color w:val="000000"/>
                <w:lang w:eastAsia="tr-TR"/>
              </w:rPr>
            </w:pPr>
            <w:r w:rsidRPr="00005453">
              <w:rPr>
                <w:b/>
                <w:bCs/>
                <w:color w:val="000000"/>
                <w:lang w:eastAsia="tr-TR"/>
              </w:rPr>
              <w:t xml:space="preserve">Önceki </w:t>
            </w:r>
            <w:r w:rsidR="005547AB" w:rsidRPr="00005453">
              <w:rPr>
                <w:b/>
                <w:bCs/>
                <w:color w:val="000000"/>
                <w:lang w:eastAsia="tr-TR"/>
              </w:rPr>
              <w:t>D</w:t>
            </w:r>
            <w:r w:rsidRPr="00005453">
              <w:rPr>
                <w:b/>
                <w:bCs/>
                <w:color w:val="000000"/>
                <w:lang w:eastAsia="tr-TR"/>
              </w:rPr>
              <w:t>önem</w:t>
            </w:r>
          </w:p>
        </w:tc>
        <w:tc>
          <w:tcPr>
            <w:tcW w:w="1275" w:type="dxa"/>
            <w:shd w:val="clear" w:color="auto" w:fill="auto"/>
            <w:vAlign w:val="center"/>
            <w:hideMark/>
          </w:tcPr>
          <w:p w14:paraId="013D8484" w14:textId="663866F9" w:rsidR="00F12529" w:rsidRPr="00005453" w:rsidRDefault="00F12529" w:rsidP="00F12529">
            <w:pPr>
              <w:jc w:val="right"/>
              <w:rPr>
                <w:b/>
                <w:bCs/>
                <w:color w:val="000000"/>
                <w:lang w:eastAsia="tr-TR"/>
              </w:rPr>
            </w:pPr>
            <w:r w:rsidRPr="00005453">
              <w:rPr>
                <w:b/>
                <w:bCs/>
                <w:color w:val="000000"/>
                <w:lang w:eastAsia="tr-TR"/>
              </w:rPr>
              <w:t xml:space="preserve">Cari </w:t>
            </w:r>
            <w:r w:rsidR="005547AB" w:rsidRPr="00005453">
              <w:rPr>
                <w:b/>
                <w:bCs/>
                <w:color w:val="000000"/>
                <w:lang w:eastAsia="tr-TR"/>
              </w:rPr>
              <w:t>D</w:t>
            </w:r>
            <w:r w:rsidRPr="00005453">
              <w:rPr>
                <w:b/>
                <w:bCs/>
                <w:color w:val="000000"/>
                <w:lang w:eastAsia="tr-TR"/>
              </w:rPr>
              <w:t>önem</w:t>
            </w:r>
          </w:p>
        </w:tc>
        <w:tc>
          <w:tcPr>
            <w:tcW w:w="1418" w:type="dxa"/>
            <w:shd w:val="clear" w:color="auto" w:fill="auto"/>
            <w:vAlign w:val="center"/>
            <w:hideMark/>
          </w:tcPr>
          <w:p w14:paraId="30117460" w14:textId="6FEC98B7" w:rsidR="00F12529" w:rsidRPr="00005453" w:rsidRDefault="00F12529" w:rsidP="00F12529">
            <w:pPr>
              <w:jc w:val="right"/>
              <w:rPr>
                <w:b/>
                <w:bCs/>
                <w:color w:val="000000"/>
                <w:lang w:eastAsia="tr-TR"/>
              </w:rPr>
            </w:pPr>
            <w:r w:rsidRPr="00005453">
              <w:rPr>
                <w:b/>
                <w:bCs/>
                <w:color w:val="000000"/>
                <w:lang w:eastAsia="tr-TR"/>
              </w:rPr>
              <w:t xml:space="preserve">Önceki </w:t>
            </w:r>
            <w:r w:rsidR="005547AB" w:rsidRPr="00005453">
              <w:rPr>
                <w:b/>
                <w:bCs/>
                <w:color w:val="000000"/>
                <w:lang w:eastAsia="tr-TR"/>
              </w:rPr>
              <w:t>D</w:t>
            </w:r>
            <w:r w:rsidRPr="00005453">
              <w:rPr>
                <w:b/>
                <w:bCs/>
                <w:color w:val="000000"/>
                <w:lang w:eastAsia="tr-TR"/>
              </w:rPr>
              <w:t>önem</w:t>
            </w:r>
          </w:p>
        </w:tc>
      </w:tr>
      <w:tr w:rsidR="005B4E54" w:rsidRPr="00005453" w14:paraId="44CF4712" w14:textId="77777777" w:rsidTr="005B4E54">
        <w:trPr>
          <w:divId w:val="1477212852"/>
          <w:trHeight w:val="181"/>
        </w:trPr>
        <w:tc>
          <w:tcPr>
            <w:tcW w:w="1271" w:type="dxa"/>
            <w:shd w:val="clear" w:color="auto" w:fill="auto"/>
            <w:vAlign w:val="center"/>
            <w:hideMark/>
          </w:tcPr>
          <w:p w14:paraId="2A029887" w14:textId="77777777" w:rsidR="005B4E54" w:rsidRPr="00005453" w:rsidRDefault="005B4E54" w:rsidP="005B4E54">
            <w:pPr>
              <w:rPr>
                <w:color w:val="000000"/>
                <w:lang w:eastAsia="tr-TR"/>
              </w:rPr>
            </w:pPr>
            <w:r w:rsidRPr="00005453">
              <w:rPr>
                <w:color w:val="000000"/>
                <w:lang w:eastAsia="tr-TR"/>
              </w:rPr>
              <w:t>ABD Doları</w:t>
            </w:r>
          </w:p>
        </w:tc>
        <w:tc>
          <w:tcPr>
            <w:tcW w:w="2131" w:type="dxa"/>
            <w:shd w:val="clear" w:color="auto" w:fill="auto"/>
            <w:vAlign w:val="center"/>
            <w:hideMark/>
          </w:tcPr>
          <w:p w14:paraId="40A24248" w14:textId="693596A8" w:rsidR="005B4E54" w:rsidRPr="00005453" w:rsidRDefault="005B4E54" w:rsidP="005B4E54">
            <w:pPr>
              <w:jc w:val="right"/>
              <w:rPr>
                <w:color w:val="000000"/>
                <w:lang w:eastAsia="tr-TR"/>
              </w:rPr>
            </w:pPr>
            <w:r w:rsidRPr="00005453">
              <w:rPr>
                <w:color w:val="000000"/>
                <w:lang w:eastAsia="tr-TR"/>
              </w:rPr>
              <w:t>%10</w:t>
            </w:r>
          </w:p>
        </w:tc>
        <w:tc>
          <w:tcPr>
            <w:tcW w:w="1212" w:type="dxa"/>
            <w:shd w:val="clear" w:color="auto" w:fill="auto"/>
            <w:vAlign w:val="center"/>
            <w:hideMark/>
          </w:tcPr>
          <w:p w14:paraId="2BD58E13" w14:textId="707B1E1C" w:rsidR="005B4E54" w:rsidRPr="00005453" w:rsidRDefault="00405BF2" w:rsidP="005B4E54">
            <w:pPr>
              <w:jc w:val="right"/>
              <w:rPr>
                <w:color w:val="000000"/>
                <w:lang w:eastAsia="tr-TR"/>
              </w:rPr>
            </w:pPr>
            <w:r w:rsidRPr="00005453">
              <w:rPr>
                <w:color w:val="000000"/>
                <w:lang w:eastAsia="tr-TR"/>
              </w:rPr>
              <w:t>(329</w:t>
            </w:r>
            <w:r w:rsidR="005B4E54" w:rsidRPr="00005453">
              <w:rPr>
                <w:color w:val="000000"/>
                <w:lang w:eastAsia="tr-TR"/>
              </w:rPr>
              <w:t>,</w:t>
            </w:r>
            <w:r w:rsidRPr="00005453">
              <w:rPr>
                <w:color w:val="000000"/>
                <w:lang w:eastAsia="tr-TR"/>
              </w:rPr>
              <w:t>854)</w:t>
            </w:r>
          </w:p>
        </w:tc>
        <w:tc>
          <w:tcPr>
            <w:tcW w:w="2044" w:type="dxa"/>
            <w:shd w:val="clear" w:color="auto" w:fill="auto"/>
            <w:vAlign w:val="center"/>
            <w:hideMark/>
          </w:tcPr>
          <w:p w14:paraId="3AB83CD4" w14:textId="3BEA50F3" w:rsidR="005B4E54" w:rsidRPr="00005453" w:rsidRDefault="005B4E54" w:rsidP="005B4E54">
            <w:pPr>
              <w:jc w:val="right"/>
              <w:rPr>
                <w:color w:val="000000"/>
                <w:lang w:eastAsia="tr-TR"/>
              </w:rPr>
            </w:pPr>
            <w:r w:rsidRPr="00005453">
              <w:rPr>
                <w:color w:val="000000"/>
                <w:lang w:eastAsia="tr-TR"/>
              </w:rPr>
              <w:t>184,403</w:t>
            </w:r>
          </w:p>
        </w:tc>
        <w:tc>
          <w:tcPr>
            <w:tcW w:w="1275" w:type="dxa"/>
            <w:shd w:val="clear" w:color="auto" w:fill="auto"/>
            <w:vAlign w:val="bottom"/>
            <w:hideMark/>
          </w:tcPr>
          <w:p w14:paraId="49026742" w14:textId="0E7B28CA" w:rsidR="005B4E54" w:rsidRPr="00005453" w:rsidRDefault="005B4E54" w:rsidP="005B4E54">
            <w:pPr>
              <w:jc w:val="right"/>
              <w:rPr>
                <w:color w:val="000000"/>
                <w:lang w:eastAsia="tr-TR"/>
              </w:rPr>
            </w:pPr>
            <w:r w:rsidRPr="00005453">
              <w:rPr>
                <w:color w:val="000000"/>
                <w:lang w:eastAsia="tr-TR"/>
              </w:rPr>
              <w:t xml:space="preserve"> </w:t>
            </w:r>
            <w:r w:rsidR="00405BF2" w:rsidRPr="00005453">
              <w:rPr>
                <w:color w:val="000000"/>
                <w:lang w:eastAsia="tr-TR"/>
              </w:rPr>
              <w:t>(516</w:t>
            </w:r>
            <w:r w:rsidRPr="00005453">
              <w:rPr>
                <w:color w:val="000000"/>
                <w:lang w:eastAsia="tr-TR"/>
              </w:rPr>
              <w:t>,</w:t>
            </w:r>
            <w:r w:rsidR="00405BF2" w:rsidRPr="00005453">
              <w:rPr>
                <w:color w:val="000000"/>
                <w:lang w:eastAsia="tr-TR"/>
              </w:rPr>
              <w:t>433)</w:t>
            </w:r>
            <w:r w:rsidRPr="00005453">
              <w:rPr>
                <w:color w:val="000000"/>
                <w:lang w:eastAsia="tr-TR"/>
              </w:rPr>
              <w:t xml:space="preserve">    </w:t>
            </w:r>
          </w:p>
        </w:tc>
        <w:tc>
          <w:tcPr>
            <w:tcW w:w="1418" w:type="dxa"/>
            <w:shd w:val="clear" w:color="auto" w:fill="auto"/>
            <w:vAlign w:val="center"/>
            <w:hideMark/>
          </w:tcPr>
          <w:p w14:paraId="7C402B6F" w14:textId="346E9E54" w:rsidR="005B4E54" w:rsidRPr="00005453" w:rsidRDefault="005B4E54" w:rsidP="005B4E54">
            <w:pPr>
              <w:jc w:val="right"/>
              <w:rPr>
                <w:color w:val="000000"/>
                <w:lang w:eastAsia="tr-TR"/>
              </w:rPr>
            </w:pPr>
            <w:r w:rsidRPr="00005453">
              <w:rPr>
                <w:color w:val="000000"/>
                <w:lang w:eastAsia="tr-TR"/>
              </w:rPr>
              <w:t>431,111</w:t>
            </w:r>
          </w:p>
        </w:tc>
      </w:tr>
      <w:tr w:rsidR="005B4E54" w:rsidRPr="00005453" w14:paraId="0445F2F3" w14:textId="77777777" w:rsidTr="005B4E54">
        <w:trPr>
          <w:divId w:val="1477212852"/>
          <w:trHeight w:val="107"/>
        </w:trPr>
        <w:tc>
          <w:tcPr>
            <w:tcW w:w="1271" w:type="dxa"/>
            <w:shd w:val="clear" w:color="auto" w:fill="auto"/>
            <w:vAlign w:val="center"/>
            <w:hideMark/>
          </w:tcPr>
          <w:p w14:paraId="5EE66038" w14:textId="77777777" w:rsidR="005B4E54" w:rsidRPr="00005453" w:rsidRDefault="005B4E54" w:rsidP="005B4E54">
            <w:pPr>
              <w:rPr>
                <w:color w:val="000000"/>
                <w:lang w:eastAsia="tr-TR"/>
              </w:rPr>
            </w:pPr>
            <w:r w:rsidRPr="00005453">
              <w:rPr>
                <w:color w:val="000000"/>
                <w:lang w:eastAsia="tr-TR"/>
              </w:rPr>
              <w:t>Avro</w:t>
            </w:r>
          </w:p>
        </w:tc>
        <w:tc>
          <w:tcPr>
            <w:tcW w:w="2131" w:type="dxa"/>
            <w:shd w:val="clear" w:color="auto" w:fill="auto"/>
            <w:vAlign w:val="center"/>
            <w:hideMark/>
          </w:tcPr>
          <w:p w14:paraId="470626A6" w14:textId="47E19BB9" w:rsidR="005B4E54" w:rsidRPr="00005453" w:rsidRDefault="005B4E54" w:rsidP="005B4E54">
            <w:pPr>
              <w:jc w:val="right"/>
              <w:rPr>
                <w:color w:val="000000"/>
                <w:lang w:eastAsia="tr-TR"/>
              </w:rPr>
            </w:pPr>
            <w:r w:rsidRPr="00005453">
              <w:rPr>
                <w:color w:val="000000"/>
                <w:lang w:eastAsia="tr-TR"/>
              </w:rPr>
              <w:t>%10</w:t>
            </w:r>
          </w:p>
        </w:tc>
        <w:tc>
          <w:tcPr>
            <w:tcW w:w="1212" w:type="dxa"/>
            <w:shd w:val="clear" w:color="auto" w:fill="auto"/>
            <w:vAlign w:val="center"/>
            <w:hideMark/>
          </w:tcPr>
          <w:p w14:paraId="52059422" w14:textId="06F8290C" w:rsidR="005B4E54" w:rsidRPr="00005453" w:rsidRDefault="005B4E54" w:rsidP="005B4E54">
            <w:pPr>
              <w:jc w:val="right"/>
              <w:rPr>
                <w:color w:val="000000"/>
                <w:lang w:eastAsia="tr-TR"/>
              </w:rPr>
            </w:pPr>
            <w:r w:rsidRPr="00005453">
              <w:rPr>
                <w:color w:val="000000"/>
                <w:lang w:eastAsia="tr-TR"/>
              </w:rPr>
              <w:t>(</w:t>
            </w:r>
            <w:r w:rsidR="00405BF2" w:rsidRPr="00005453">
              <w:rPr>
                <w:color w:val="000000"/>
                <w:lang w:eastAsia="tr-TR"/>
              </w:rPr>
              <w:t>510</w:t>
            </w:r>
            <w:r w:rsidRPr="00005453">
              <w:rPr>
                <w:color w:val="000000"/>
                <w:lang w:eastAsia="tr-TR"/>
              </w:rPr>
              <w:t>,</w:t>
            </w:r>
            <w:r w:rsidR="00405BF2" w:rsidRPr="00005453">
              <w:rPr>
                <w:color w:val="000000"/>
                <w:lang w:eastAsia="tr-TR"/>
              </w:rPr>
              <w:t>489</w:t>
            </w:r>
            <w:r w:rsidRPr="00005453">
              <w:rPr>
                <w:color w:val="000000"/>
                <w:lang w:eastAsia="tr-TR"/>
              </w:rPr>
              <w:t>)</w:t>
            </w:r>
          </w:p>
        </w:tc>
        <w:tc>
          <w:tcPr>
            <w:tcW w:w="2044" w:type="dxa"/>
            <w:shd w:val="clear" w:color="auto" w:fill="auto"/>
            <w:vAlign w:val="center"/>
            <w:hideMark/>
          </w:tcPr>
          <w:p w14:paraId="3B10B06C" w14:textId="273053D2" w:rsidR="005B4E54" w:rsidRPr="00005453" w:rsidRDefault="005B4E54" w:rsidP="005B4E54">
            <w:pPr>
              <w:jc w:val="right"/>
              <w:rPr>
                <w:color w:val="000000"/>
                <w:lang w:eastAsia="tr-TR"/>
              </w:rPr>
            </w:pPr>
            <w:r w:rsidRPr="00005453">
              <w:rPr>
                <w:color w:val="000000"/>
                <w:lang w:eastAsia="tr-TR"/>
              </w:rPr>
              <w:t>(328,241)</w:t>
            </w:r>
          </w:p>
        </w:tc>
        <w:tc>
          <w:tcPr>
            <w:tcW w:w="1275" w:type="dxa"/>
            <w:shd w:val="clear" w:color="auto" w:fill="auto"/>
            <w:vAlign w:val="bottom"/>
            <w:hideMark/>
          </w:tcPr>
          <w:p w14:paraId="0A4CF16F" w14:textId="06662723" w:rsidR="005B4E54" w:rsidRPr="00005453" w:rsidRDefault="005B4E54" w:rsidP="005B4E54">
            <w:pPr>
              <w:jc w:val="right"/>
              <w:rPr>
                <w:color w:val="000000"/>
                <w:lang w:eastAsia="tr-TR"/>
              </w:rPr>
            </w:pPr>
            <w:r w:rsidRPr="00005453">
              <w:rPr>
                <w:color w:val="000000"/>
                <w:lang w:eastAsia="tr-TR"/>
              </w:rPr>
              <w:t>(31</w:t>
            </w:r>
            <w:r w:rsidR="00405BF2" w:rsidRPr="00005453">
              <w:rPr>
                <w:color w:val="000000"/>
                <w:lang w:eastAsia="tr-TR"/>
              </w:rPr>
              <w:t>8</w:t>
            </w:r>
            <w:r w:rsidRPr="00005453">
              <w:rPr>
                <w:color w:val="000000"/>
                <w:lang w:eastAsia="tr-TR"/>
              </w:rPr>
              <w:t>,</w:t>
            </w:r>
            <w:r w:rsidR="00405BF2" w:rsidRPr="00005453">
              <w:rPr>
                <w:color w:val="000000"/>
                <w:lang w:eastAsia="tr-TR"/>
              </w:rPr>
              <w:t>163</w:t>
            </w:r>
            <w:r w:rsidRPr="00005453">
              <w:rPr>
                <w:color w:val="000000"/>
                <w:lang w:eastAsia="tr-TR"/>
              </w:rPr>
              <w:t xml:space="preserve">)    </w:t>
            </w:r>
          </w:p>
        </w:tc>
        <w:tc>
          <w:tcPr>
            <w:tcW w:w="1418" w:type="dxa"/>
            <w:shd w:val="clear" w:color="auto" w:fill="auto"/>
            <w:vAlign w:val="center"/>
            <w:hideMark/>
          </w:tcPr>
          <w:p w14:paraId="44D6ECC4" w14:textId="12BCCE31" w:rsidR="005B4E54" w:rsidRPr="00005453" w:rsidRDefault="005B4E54" w:rsidP="005B4E54">
            <w:pPr>
              <w:jc w:val="right"/>
              <w:rPr>
                <w:color w:val="000000"/>
                <w:lang w:eastAsia="tr-TR"/>
              </w:rPr>
            </w:pPr>
            <w:r w:rsidRPr="00005453">
              <w:rPr>
                <w:color w:val="000000"/>
                <w:lang w:eastAsia="tr-TR"/>
              </w:rPr>
              <w:t>(316,871)</w:t>
            </w:r>
          </w:p>
        </w:tc>
      </w:tr>
      <w:tr w:rsidR="005B4E54" w:rsidRPr="00005453" w14:paraId="5D14C276" w14:textId="77777777" w:rsidTr="005B4E54">
        <w:trPr>
          <w:divId w:val="1477212852"/>
          <w:trHeight w:val="107"/>
        </w:trPr>
        <w:tc>
          <w:tcPr>
            <w:tcW w:w="1271" w:type="dxa"/>
            <w:shd w:val="clear" w:color="auto" w:fill="auto"/>
            <w:vAlign w:val="center"/>
            <w:hideMark/>
          </w:tcPr>
          <w:p w14:paraId="0A85FC4B" w14:textId="77777777" w:rsidR="005B4E54" w:rsidRPr="00005453" w:rsidRDefault="005B4E54" w:rsidP="005B4E54">
            <w:pPr>
              <w:rPr>
                <w:color w:val="000000"/>
                <w:lang w:eastAsia="tr-TR"/>
              </w:rPr>
            </w:pPr>
            <w:r w:rsidRPr="00005453">
              <w:rPr>
                <w:color w:val="000000"/>
                <w:lang w:eastAsia="tr-TR"/>
              </w:rPr>
              <w:t>Altın</w:t>
            </w:r>
          </w:p>
        </w:tc>
        <w:tc>
          <w:tcPr>
            <w:tcW w:w="2131" w:type="dxa"/>
            <w:shd w:val="clear" w:color="auto" w:fill="auto"/>
            <w:vAlign w:val="center"/>
            <w:hideMark/>
          </w:tcPr>
          <w:p w14:paraId="512C7C92" w14:textId="351FE93D" w:rsidR="005B4E54" w:rsidRPr="00005453" w:rsidRDefault="005B4E54" w:rsidP="005B4E54">
            <w:pPr>
              <w:jc w:val="right"/>
              <w:rPr>
                <w:color w:val="000000"/>
                <w:lang w:eastAsia="tr-TR"/>
              </w:rPr>
            </w:pPr>
            <w:r w:rsidRPr="00005453">
              <w:rPr>
                <w:color w:val="000000"/>
                <w:lang w:eastAsia="tr-TR"/>
              </w:rPr>
              <w:t>%10</w:t>
            </w:r>
          </w:p>
        </w:tc>
        <w:tc>
          <w:tcPr>
            <w:tcW w:w="1212" w:type="dxa"/>
            <w:shd w:val="clear" w:color="auto" w:fill="auto"/>
            <w:vAlign w:val="center"/>
            <w:hideMark/>
          </w:tcPr>
          <w:p w14:paraId="32B3D723" w14:textId="6263F2FD" w:rsidR="005B4E54" w:rsidRPr="00005453" w:rsidRDefault="00405BF2" w:rsidP="005B4E54">
            <w:pPr>
              <w:jc w:val="right"/>
              <w:rPr>
                <w:color w:val="000000"/>
                <w:lang w:eastAsia="tr-TR"/>
              </w:rPr>
            </w:pPr>
            <w:r w:rsidRPr="00005453">
              <w:rPr>
                <w:color w:val="000000"/>
                <w:lang w:eastAsia="tr-TR"/>
              </w:rPr>
              <w:t>972</w:t>
            </w:r>
            <w:r w:rsidR="005B4E54" w:rsidRPr="00005453">
              <w:rPr>
                <w:color w:val="000000"/>
                <w:lang w:eastAsia="tr-TR"/>
              </w:rPr>
              <w:t>,</w:t>
            </w:r>
            <w:r w:rsidRPr="00005453">
              <w:rPr>
                <w:color w:val="000000"/>
                <w:lang w:eastAsia="tr-TR"/>
              </w:rPr>
              <w:t>59</w:t>
            </w:r>
            <w:r w:rsidR="005B4E54" w:rsidRPr="00005453">
              <w:rPr>
                <w:color w:val="000000"/>
                <w:lang w:eastAsia="tr-TR"/>
              </w:rPr>
              <w:t>3</w:t>
            </w:r>
          </w:p>
        </w:tc>
        <w:tc>
          <w:tcPr>
            <w:tcW w:w="2044" w:type="dxa"/>
            <w:shd w:val="clear" w:color="auto" w:fill="auto"/>
            <w:vAlign w:val="center"/>
            <w:hideMark/>
          </w:tcPr>
          <w:p w14:paraId="38513B59" w14:textId="682916DD" w:rsidR="005B4E54" w:rsidRPr="00005453" w:rsidRDefault="005B4E54" w:rsidP="005B4E54">
            <w:pPr>
              <w:jc w:val="right"/>
              <w:rPr>
                <w:color w:val="000000"/>
                <w:lang w:eastAsia="tr-TR"/>
              </w:rPr>
            </w:pPr>
            <w:r w:rsidRPr="00005453">
              <w:rPr>
                <w:color w:val="000000"/>
                <w:lang w:eastAsia="tr-TR"/>
              </w:rPr>
              <w:t>456,113</w:t>
            </w:r>
          </w:p>
        </w:tc>
        <w:tc>
          <w:tcPr>
            <w:tcW w:w="1275" w:type="dxa"/>
            <w:shd w:val="clear" w:color="auto" w:fill="auto"/>
            <w:vAlign w:val="bottom"/>
            <w:hideMark/>
          </w:tcPr>
          <w:p w14:paraId="1F5E92CF" w14:textId="0B912E36" w:rsidR="005B4E54" w:rsidRPr="00005453" w:rsidRDefault="005B4E54" w:rsidP="005B4E54">
            <w:pPr>
              <w:jc w:val="right"/>
              <w:rPr>
                <w:color w:val="000000"/>
                <w:lang w:eastAsia="tr-TR"/>
              </w:rPr>
            </w:pPr>
            <w:r w:rsidRPr="00005453">
              <w:rPr>
                <w:color w:val="000000"/>
                <w:lang w:eastAsia="tr-TR"/>
              </w:rPr>
              <w:t xml:space="preserve"> </w:t>
            </w:r>
            <w:r w:rsidR="00405BF2" w:rsidRPr="00005453">
              <w:rPr>
                <w:color w:val="000000"/>
                <w:lang w:eastAsia="tr-TR"/>
              </w:rPr>
              <w:t>972</w:t>
            </w:r>
            <w:r w:rsidRPr="00005453">
              <w:rPr>
                <w:color w:val="000000"/>
                <w:lang w:eastAsia="tr-TR"/>
              </w:rPr>
              <w:t>,</w:t>
            </w:r>
            <w:r w:rsidR="00405BF2" w:rsidRPr="00005453">
              <w:rPr>
                <w:color w:val="000000"/>
                <w:lang w:eastAsia="tr-TR"/>
              </w:rPr>
              <w:t>59</w:t>
            </w:r>
            <w:r w:rsidRPr="00005453">
              <w:rPr>
                <w:color w:val="000000"/>
                <w:lang w:eastAsia="tr-TR"/>
              </w:rPr>
              <w:t xml:space="preserve">3    </w:t>
            </w:r>
          </w:p>
        </w:tc>
        <w:tc>
          <w:tcPr>
            <w:tcW w:w="1418" w:type="dxa"/>
            <w:shd w:val="clear" w:color="auto" w:fill="auto"/>
            <w:vAlign w:val="center"/>
            <w:hideMark/>
          </w:tcPr>
          <w:p w14:paraId="0A32E200" w14:textId="3743F33E" w:rsidR="005B4E54" w:rsidRPr="00005453" w:rsidRDefault="005B4E54" w:rsidP="005B4E54">
            <w:pPr>
              <w:jc w:val="right"/>
              <w:rPr>
                <w:color w:val="000000"/>
                <w:lang w:eastAsia="tr-TR"/>
              </w:rPr>
            </w:pPr>
            <w:r w:rsidRPr="00005453">
              <w:rPr>
                <w:color w:val="000000"/>
                <w:lang w:eastAsia="tr-TR"/>
              </w:rPr>
              <w:t>456,113</w:t>
            </w:r>
          </w:p>
        </w:tc>
      </w:tr>
    </w:tbl>
    <w:p w14:paraId="6DFCF860" w14:textId="7D94FF13" w:rsidR="00A86989" w:rsidRPr="00005453" w:rsidRDefault="00A86989" w:rsidP="000C282D">
      <w:pPr>
        <w:autoSpaceDE w:val="0"/>
        <w:autoSpaceDN w:val="0"/>
        <w:adjustRightInd w:val="0"/>
        <w:rPr>
          <w:rFonts w:eastAsia="Arial Unicode MS"/>
        </w:rPr>
      </w:pPr>
    </w:p>
    <w:p w14:paraId="0FA764B9" w14:textId="77777777" w:rsidR="00A86989" w:rsidRPr="00005453" w:rsidRDefault="00A86989" w:rsidP="000C282D">
      <w:pPr>
        <w:autoSpaceDE w:val="0"/>
        <w:autoSpaceDN w:val="0"/>
        <w:adjustRightInd w:val="0"/>
        <w:rPr>
          <w:rFonts w:eastAsia="Arial Unicode MS"/>
        </w:rPr>
      </w:pPr>
    </w:p>
    <w:p w14:paraId="61D9BF83" w14:textId="197D78EE" w:rsidR="007E14E3" w:rsidRPr="00005453" w:rsidRDefault="007E14E3" w:rsidP="000C282D">
      <w:pPr>
        <w:autoSpaceDE w:val="0"/>
        <w:autoSpaceDN w:val="0"/>
        <w:adjustRightInd w:val="0"/>
        <w:rPr>
          <w:lang w:val="en-GB" w:eastAsia="en-GB"/>
        </w:rPr>
      </w:pPr>
    </w:p>
    <w:p w14:paraId="1D5E1EE7" w14:textId="6A4CA5B1" w:rsidR="000C282D" w:rsidRPr="00005453" w:rsidRDefault="000C282D" w:rsidP="000C282D">
      <w:pPr>
        <w:autoSpaceDE w:val="0"/>
        <w:autoSpaceDN w:val="0"/>
        <w:adjustRightInd w:val="0"/>
        <w:rPr>
          <w:rFonts w:eastAsia="Arial Unicode MS"/>
          <w:b/>
          <w:sz w:val="10"/>
          <w:szCs w:val="10"/>
        </w:rPr>
      </w:pPr>
    </w:p>
    <w:p w14:paraId="1AFA46A1" w14:textId="6507EA35" w:rsidR="000C282D" w:rsidRPr="00005453" w:rsidRDefault="000C282D" w:rsidP="001E0527">
      <w:pPr>
        <w:pStyle w:val="ListParagraph"/>
        <w:tabs>
          <w:tab w:val="left" w:pos="709"/>
        </w:tabs>
        <w:autoSpaceDE w:val="0"/>
        <w:autoSpaceDN w:val="0"/>
        <w:adjustRightInd w:val="0"/>
        <w:ind w:left="357"/>
      </w:pPr>
    </w:p>
    <w:p w14:paraId="7BB0DBC7" w14:textId="1B849D38" w:rsidR="00A86989" w:rsidRPr="00005453" w:rsidRDefault="00A86989" w:rsidP="001E0527">
      <w:pPr>
        <w:pStyle w:val="ListParagraph"/>
        <w:tabs>
          <w:tab w:val="left" w:pos="709"/>
        </w:tabs>
        <w:autoSpaceDE w:val="0"/>
        <w:autoSpaceDN w:val="0"/>
        <w:adjustRightInd w:val="0"/>
        <w:ind w:left="357"/>
      </w:pPr>
    </w:p>
    <w:p w14:paraId="49901AE6" w14:textId="3E0D4FB5" w:rsidR="00A86989" w:rsidRPr="00005453" w:rsidRDefault="00A86989" w:rsidP="001E0527">
      <w:pPr>
        <w:pStyle w:val="ListParagraph"/>
        <w:tabs>
          <w:tab w:val="left" w:pos="709"/>
        </w:tabs>
        <w:autoSpaceDE w:val="0"/>
        <w:autoSpaceDN w:val="0"/>
        <w:adjustRightInd w:val="0"/>
        <w:ind w:left="357"/>
      </w:pPr>
    </w:p>
    <w:p w14:paraId="1FB7AE78" w14:textId="7CCF24A0" w:rsidR="00A86989" w:rsidRPr="00005453" w:rsidRDefault="00A86989" w:rsidP="001E0527">
      <w:pPr>
        <w:pStyle w:val="ListParagraph"/>
        <w:tabs>
          <w:tab w:val="left" w:pos="709"/>
        </w:tabs>
        <w:autoSpaceDE w:val="0"/>
        <w:autoSpaceDN w:val="0"/>
        <w:adjustRightInd w:val="0"/>
        <w:ind w:left="357"/>
      </w:pPr>
    </w:p>
    <w:p w14:paraId="31BD1BD1" w14:textId="2AE8FE3A" w:rsidR="00A86989" w:rsidRPr="00005453" w:rsidRDefault="00A86989" w:rsidP="001E0527">
      <w:pPr>
        <w:pStyle w:val="ListParagraph"/>
        <w:tabs>
          <w:tab w:val="left" w:pos="709"/>
        </w:tabs>
        <w:autoSpaceDE w:val="0"/>
        <w:autoSpaceDN w:val="0"/>
        <w:adjustRightInd w:val="0"/>
        <w:ind w:left="357"/>
      </w:pPr>
    </w:p>
    <w:p w14:paraId="476DBC14" w14:textId="5FA51995" w:rsidR="00A86989" w:rsidRPr="00005453" w:rsidRDefault="00A86989" w:rsidP="001E0527">
      <w:pPr>
        <w:pStyle w:val="ListParagraph"/>
        <w:tabs>
          <w:tab w:val="left" w:pos="709"/>
        </w:tabs>
        <w:autoSpaceDE w:val="0"/>
        <w:autoSpaceDN w:val="0"/>
        <w:adjustRightInd w:val="0"/>
        <w:ind w:left="357"/>
      </w:pPr>
    </w:p>
    <w:p w14:paraId="5BD3449D" w14:textId="5C9C50B4" w:rsidR="00A86989" w:rsidRPr="00005453" w:rsidRDefault="00A86989" w:rsidP="001E0527">
      <w:pPr>
        <w:pStyle w:val="ListParagraph"/>
        <w:tabs>
          <w:tab w:val="left" w:pos="709"/>
        </w:tabs>
        <w:autoSpaceDE w:val="0"/>
        <w:autoSpaceDN w:val="0"/>
        <w:adjustRightInd w:val="0"/>
        <w:ind w:left="357"/>
      </w:pPr>
    </w:p>
    <w:p w14:paraId="73D0EC98" w14:textId="4C88E01C" w:rsidR="00A86989" w:rsidRPr="00005453" w:rsidRDefault="00A86989" w:rsidP="001E0527">
      <w:pPr>
        <w:pStyle w:val="ListParagraph"/>
        <w:tabs>
          <w:tab w:val="left" w:pos="709"/>
        </w:tabs>
        <w:autoSpaceDE w:val="0"/>
        <w:autoSpaceDN w:val="0"/>
        <w:adjustRightInd w:val="0"/>
        <w:ind w:left="357"/>
      </w:pPr>
    </w:p>
    <w:p w14:paraId="3A0A5FF3" w14:textId="619D4FA2" w:rsidR="00A86989" w:rsidRPr="00005453" w:rsidRDefault="00A86989" w:rsidP="001E0527">
      <w:pPr>
        <w:pStyle w:val="ListParagraph"/>
        <w:tabs>
          <w:tab w:val="left" w:pos="709"/>
        </w:tabs>
        <w:autoSpaceDE w:val="0"/>
        <w:autoSpaceDN w:val="0"/>
        <w:adjustRightInd w:val="0"/>
        <w:ind w:left="357"/>
      </w:pPr>
    </w:p>
    <w:p w14:paraId="6B04D855" w14:textId="7DF50B28" w:rsidR="002546D4" w:rsidRPr="00005453" w:rsidRDefault="002546D4" w:rsidP="001E0527">
      <w:pPr>
        <w:pStyle w:val="ListParagraph"/>
        <w:tabs>
          <w:tab w:val="left" w:pos="709"/>
        </w:tabs>
        <w:autoSpaceDE w:val="0"/>
        <w:autoSpaceDN w:val="0"/>
        <w:adjustRightInd w:val="0"/>
        <w:ind w:left="357"/>
      </w:pPr>
    </w:p>
    <w:p w14:paraId="3CB9E635" w14:textId="6378132F" w:rsidR="002546D4" w:rsidRPr="00005453" w:rsidRDefault="002546D4" w:rsidP="001E0527">
      <w:pPr>
        <w:pStyle w:val="ListParagraph"/>
        <w:tabs>
          <w:tab w:val="left" w:pos="709"/>
        </w:tabs>
        <w:autoSpaceDE w:val="0"/>
        <w:autoSpaceDN w:val="0"/>
        <w:adjustRightInd w:val="0"/>
        <w:ind w:left="357"/>
      </w:pPr>
    </w:p>
    <w:p w14:paraId="1084E624" w14:textId="48D59F2D" w:rsidR="002546D4" w:rsidRPr="00005453" w:rsidRDefault="002546D4" w:rsidP="001E0527">
      <w:pPr>
        <w:pStyle w:val="ListParagraph"/>
        <w:tabs>
          <w:tab w:val="left" w:pos="709"/>
        </w:tabs>
        <w:autoSpaceDE w:val="0"/>
        <w:autoSpaceDN w:val="0"/>
        <w:adjustRightInd w:val="0"/>
        <w:ind w:left="357"/>
      </w:pPr>
    </w:p>
    <w:p w14:paraId="464855DE" w14:textId="475315A3" w:rsidR="002546D4" w:rsidRPr="00005453" w:rsidRDefault="002546D4" w:rsidP="001E0527">
      <w:pPr>
        <w:pStyle w:val="ListParagraph"/>
        <w:tabs>
          <w:tab w:val="left" w:pos="709"/>
        </w:tabs>
        <w:autoSpaceDE w:val="0"/>
        <w:autoSpaceDN w:val="0"/>
        <w:adjustRightInd w:val="0"/>
        <w:ind w:left="357"/>
      </w:pPr>
    </w:p>
    <w:p w14:paraId="5971E415" w14:textId="6EC624DC" w:rsidR="002546D4" w:rsidRPr="00005453" w:rsidRDefault="002546D4" w:rsidP="001E0527">
      <w:pPr>
        <w:pStyle w:val="ListParagraph"/>
        <w:tabs>
          <w:tab w:val="left" w:pos="709"/>
        </w:tabs>
        <w:autoSpaceDE w:val="0"/>
        <w:autoSpaceDN w:val="0"/>
        <w:adjustRightInd w:val="0"/>
        <w:ind w:left="357"/>
      </w:pPr>
    </w:p>
    <w:p w14:paraId="4280EE87" w14:textId="0AB81276" w:rsidR="002546D4" w:rsidRPr="00005453" w:rsidRDefault="002546D4" w:rsidP="001E0527">
      <w:pPr>
        <w:pStyle w:val="ListParagraph"/>
        <w:tabs>
          <w:tab w:val="left" w:pos="709"/>
        </w:tabs>
        <w:autoSpaceDE w:val="0"/>
        <w:autoSpaceDN w:val="0"/>
        <w:adjustRightInd w:val="0"/>
        <w:ind w:left="357"/>
      </w:pPr>
    </w:p>
    <w:p w14:paraId="52A8E586" w14:textId="685B8497" w:rsidR="002546D4" w:rsidRPr="00005453" w:rsidRDefault="002546D4" w:rsidP="001E0527">
      <w:pPr>
        <w:pStyle w:val="ListParagraph"/>
        <w:tabs>
          <w:tab w:val="left" w:pos="709"/>
        </w:tabs>
        <w:autoSpaceDE w:val="0"/>
        <w:autoSpaceDN w:val="0"/>
        <w:adjustRightInd w:val="0"/>
        <w:ind w:left="357"/>
      </w:pPr>
    </w:p>
    <w:p w14:paraId="19FA7D29" w14:textId="77777777" w:rsidR="001133EA" w:rsidRPr="00005453" w:rsidRDefault="001133EA" w:rsidP="001E0527">
      <w:pPr>
        <w:pStyle w:val="ListParagraph"/>
        <w:tabs>
          <w:tab w:val="left" w:pos="709"/>
        </w:tabs>
        <w:autoSpaceDE w:val="0"/>
        <w:autoSpaceDN w:val="0"/>
        <w:adjustRightInd w:val="0"/>
        <w:ind w:left="357"/>
      </w:pPr>
    </w:p>
    <w:p w14:paraId="6DF99001" w14:textId="07E28070" w:rsidR="00A86989" w:rsidRPr="00005453" w:rsidRDefault="00A86989" w:rsidP="001E0527">
      <w:pPr>
        <w:pStyle w:val="ListParagraph"/>
        <w:tabs>
          <w:tab w:val="left" w:pos="709"/>
        </w:tabs>
        <w:autoSpaceDE w:val="0"/>
        <w:autoSpaceDN w:val="0"/>
        <w:adjustRightInd w:val="0"/>
        <w:ind w:left="357"/>
      </w:pPr>
    </w:p>
    <w:p w14:paraId="176609A7" w14:textId="542A28C0" w:rsidR="00A86989" w:rsidRPr="00005453" w:rsidRDefault="00A86989" w:rsidP="001E0527">
      <w:pPr>
        <w:pStyle w:val="ListParagraph"/>
        <w:tabs>
          <w:tab w:val="left" w:pos="709"/>
        </w:tabs>
        <w:autoSpaceDE w:val="0"/>
        <w:autoSpaceDN w:val="0"/>
        <w:adjustRightInd w:val="0"/>
        <w:ind w:left="357"/>
      </w:pPr>
    </w:p>
    <w:p w14:paraId="706A323A" w14:textId="10E713CA" w:rsidR="00A86989" w:rsidRPr="00005453" w:rsidRDefault="00A86989" w:rsidP="001E0527">
      <w:pPr>
        <w:pStyle w:val="ListParagraph"/>
        <w:tabs>
          <w:tab w:val="left" w:pos="709"/>
        </w:tabs>
        <w:autoSpaceDE w:val="0"/>
        <w:autoSpaceDN w:val="0"/>
        <w:adjustRightInd w:val="0"/>
        <w:ind w:left="357"/>
      </w:pPr>
    </w:p>
    <w:p w14:paraId="0BEEF01F" w14:textId="7FC873F2" w:rsidR="00A86989" w:rsidRPr="00005453" w:rsidRDefault="00A86989" w:rsidP="001E0527">
      <w:pPr>
        <w:pStyle w:val="ListParagraph"/>
        <w:tabs>
          <w:tab w:val="left" w:pos="709"/>
        </w:tabs>
        <w:autoSpaceDE w:val="0"/>
        <w:autoSpaceDN w:val="0"/>
        <w:adjustRightInd w:val="0"/>
        <w:ind w:left="357"/>
      </w:pPr>
    </w:p>
    <w:p w14:paraId="481504BF" w14:textId="290D6EB7" w:rsidR="00A86989" w:rsidRPr="00005453" w:rsidRDefault="00A86989" w:rsidP="001E0527">
      <w:pPr>
        <w:pStyle w:val="ListParagraph"/>
        <w:tabs>
          <w:tab w:val="left" w:pos="709"/>
        </w:tabs>
        <w:autoSpaceDE w:val="0"/>
        <w:autoSpaceDN w:val="0"/>
        <w:adjustRightInd w:val="0"/>
        <w:ind w:left="357"/>
      </w:pPr>
    </w:p>
    <w:p w14:paraId="7813F0BB" w14:textId="22BFD4A0" w:rsidR="00A86989" w:rsidRPr="00005453" w:rsidRDefault="00A86989" w:rsidP="00766064">
      <w:pPr>
        <w:tabs>
          <w:tab w:val="left" w:pos="709"/>
        </w:tabs>
        <w:autoSpaceDE w:val="0"/>
        <w:autoSpaceDN w:val="0"/>
        <w:adjustRightInd w:val="0"/>
      </w:pPr>
    </w:p>
    <w:p w14:paraId="51E08A9F" w14:textId="77777777" w:rsidR="00F20AF5" w:rsidRPr="00005453" w:rsidRDefault="00F20AF5">
      <w:pPr>
        <w:rPr>
          <w:rFonts w:eastAsia="Arial Unicode MS"/>
          <w:b/>
        </w:rPr>
      </w:pPr>
      <w:r w:rsidRPr="00005453">
        <w:rPr>
          <w:rFonts w:eastAsia="Arial Unicode MS"/>
          <w:b/>
        </w:rPr>
        <w:br w:type="page"/>
      </w:r>
    </w:p>
    <w:p w14:paraId="1D722BCD" w14:textId="55239A3A" w:rsidR="00ED339C" w:rsidRPr="00005453" w:rsidRDefault="0054031F" w:rsidP="0003633B">
      <w:pPr>
        <w:tabs>
          <w:tab w:val="left" w:pos="709"/>
        </w:tabs>
        <w:ind w:hanging="567"/>
        <w:rPr>
          <w:b/>
        </w:rPr>
      </w:pPr>
      <w:r w:rsidRPr="00005453">
        <w:rPr>
          <w:rFonts w:eastAsia="Arial Unicode MS"/>
          <w:b/>
        </w:rPr>
        <w:lastRenderedPageBreak/>
        <w:t>4</w:t>
      </w:r>
      <w:r w:rsidR="00ED339C" w:rsidRPr="00005453">
        <w:rPr>
          <w:b/>
        </w:rPr>
        <w:t>.</w:t>
      </w:r>
      <w:r w:rsidR="00ED339C" w:rsidRPr="00005453">
        <w:rPr>
          <w:b/>
        </w:rPr>
        <w:tab/>
      </w:r>
      <w:r w:rsidR="00243A0C" w:rsidRPr="00005453">
        <w:rPr>
          <w:b/>
        </w:rPr>
        <w:t>H</w:t>
      </w:r>
      <w:r w:rsidR="00ED339C" w:rsidRPr="00005453">
        <w:rPr>
          <w:b/>
        </w:rPr>
        <w:t>isse senedi pozisyon riski</w:t>
      </w:r>
      <w:r w:rsidR="00243A0C" w:rsidRPr="00005453">
        <w:rPr>
          <w:b/>
        </w:rPr>
        <w:t>ne ilişkin açıklamalar</w:t>
      </w:r>
    </w:p>
    <w:p w14:paraId="400715AA" w14:textId="77777777" w:rsidR="00ED339C" w:rsidRPr="00005453" w:rsidRDefault="00ED339C" w:rsidP="00ED339C">
      <w:pPr>
        <w:rPr>
          <w:b/>
          <w:sz w:val="16"/>
          <w:szCs w:val="16"/>
        </w:rPr>
      </w:pPr>
    </w:p>
    <w:p w14:paraId="6AD6EB74" w14:textId="7D28E03C" w:rsidR="00ED339C" w:rsidRPr="00005453" w:rsidRDefault="0054031F" w:rsidP="0003633B">
      <w:pPr>
        <w:ind w:hanging="567"/>
        <w:jc w:val="both"/>
        <w:rPr>
          <w:rFonts w:eastAsia="Arial Unicode MS"/>
        </w:rPr>
      </w:pPr>
      <w:proofErr w:type="gramStart"/>
      <w:r w:rsidRPr="00005453">
        <w:rPr>
          <w:rFonts w:eastAsia="Arial Unicode MS"/>
          <w:b/>
        </w:rPr>
        <w:t>4</w:t>
      </w:r>
      <w:r w:rsidR="0010698B" w:rsidRPr="00005453">
        <w:rPr>
          <w:rFonts w:eastAsia="Arial Unicode MS"/>
          <w:b/>
        </w:rPr>
        <w:t xml:space="preserve">.1 </w:t>
      </w:r>
      <w:r w:rsidR="00ED339C" w:rsidRPr="00005453">
        <w:rPr>
          <w:rFonts w:eastAsia="Arial Unicode MS"/>
          <w:b/>
        </w:rPr>
        <w:t xml:space="preserve"> </w:t>
      </w:r>
      <w:r w:rsidR="0003633B" w:rsidRPr="00005453">
        <w:rPr>
          <w:rFonts w:eastAsia="Arial Unicode MS"/>
          <w:b/>
        </w:rPr>
        <w:tab/>
      </w:r>
      <w:proofErr w:type="gramEnd"/>
      <w:r w:rsidR="00ED339C" w:rsidRPr="00005453">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5213B308" w14:textId="77777777" w:rsidR="00D73CB8" w:rsidRPr="00005453" w:rsidRDefault="00D73CB8" w:rsidP="00ED339C">
      <w:pPr>
        <w:jc w:val="both"/>
        <w:rPr>
          <w:rFonts w:eastAsia="Arial Unicode MS"/>
          <w:sz w:val="16"/>
          <w:szCs w:val="16"/>
        </w:rPr>
      </w:pPr>
    </w:p>
    <w:p w14:paraId="58C81757" w14:textId="77777777" w:rsidR="00ED339C" w:rsidRPr="00005453" w:rsidRDefault="00D73CB8" w:rsidP="00ED339C">
      <w:pPr>
        <w:jc w:val="both"/>
        <w:rPr>
          <w:bCs/>
          <w:lang w:eastAsia="tr-TR"/>
        </w:rPr>
      </w:pPr>
      <w:r w:rsidRPr="00005453">
        <w:rPr>
          <w:bCs/>
          <w:lang w:eastAsia="tr-TR"/>
        </w:rPr>
        <w:t>Banka’nın borsada işlem görmeyen hisse senetleri gerçeğe uygun değeri ile muhasebeleştirilmekle birlikte, gerçeğe uygun değerinin güvenilir bir şekilde ölçülemediği durumda da maliy</w:t>
      </w:r>
      <w:r w:rsidR="00A72F02" w:rsidRPr="00005453">
        <w:rPr>
          <w:bCs/>
          <w:lang w:eastAsia="tr-TR"/>
        </w:rPr>
        <w:t>et değeri ile kaydedilmektedir.</w:t>
      </w:r>
    </w:p>
    <w:p w14:paraId="0F3451DB" w14:textId="77777777" w:rsidR="00D73CB8" w:rsidRPr="00005453" w:rsidRDefault="00D73CB8" w:rsidP="00ED339C">
      <w:pPr>
        <w:jc w:val="both"/>
        <w:rPr>
          <w:rFonts w:eastAsia="Arial Unicode MS"/>
          <w:b/>
        </w:rPr>
      </w:pPr>
    </w:p>
    <w:p w14:paraId="6534EB97" w14:textId="5AC2F816" w:rsidR="00ED339C" w:rsidRPr="00005453" w:rsidRDefault="0054031F" w:rsidP="0003633B">
      <w:pPr>
        <w:ind w:hanging="567"/>
        <w:jc w:val="both"/>
        <w:rPr>
          <w:rFonts w:eastAsia="Arial Unicode MS"/>
          <w:b/>
        </w:rPr>
      </w:pPr>
      <w:proofErr w:type="gramStart"/>
      <w:r w:rsidRPr="00005453">
        <w:rPr>
          <w:rFonts w:eastAsia="Arial Unicode MS"/>
          <w:b/>
        </w:rPr>
        <w:t>4</w:t>
      </w:r>
      <w:r w:rsidR="0010698B" w:rsidRPr="00005453">
        <w:rPr>
          <w:rFonts w:eastAsia="Arial Unicode MS"/>
          <w:b/>
        </w:rPr>
        <w:t>.2</w:t>
      </w:r>
      <w:r w:rsidR="00ED339C" w:rsidRPr="00005453">
        <w:rPr>
          <w:rFonts w:eastAsia="Arial Unicode MS"/>
          <w:b/>
        </w:rPr>
        <w:t xml:space="preserve"> </w:t>
      </w:r>
      <w:r w:rsidR="0010698B" w:rsidRPr="00005453">
        <w:rPr>
          <w:rFonts w:eastAsia="Arial Unicode MS"/>
          <w:b/>
        </w:rPr>
        <w:t xml:space="preserve"> </w:t>
      </w:r>
      <w:r w:rsidR="0003633B" w:rsidRPr="00005453">
        <w:rPr>
          <w:rFonts w:eastAsia="Arial Unicode MS"/>
          <w:b/>
        </w:rPr>
        <w:tab/>
      </w:r>
      <w:proofErr w:type="gramEnd"/>
      <w:r w:rsidR="00ED339C" w:rsidRPr="00005453">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18DB1FCE" w14:textId="2C7D9F15" w:rsidR="00F12529" w:rsidRPr="00005453" w:rsidRDefault="00F12529" w:rsidP="00FE5057">
      <w:pPr>
        <w:jc w:val="both"/>
        <w:rPr>
          <w:lang w:eastAsia="en-GB"/>
        </w:rPr>
      </w:pPr>
    </w:p>
    <w:tbl>
      <w:tblPr>
        <w:tblW w:w="10003" w:type="dxa"/>
        <w:tblCellMar>
          <w:left w:w="70" w:type="dxa"/>
          <w:right w:w="70" w:type="dxa"/>
        </w:tblCellMar>
        <w:tblLook w:val="04A0" w:firstRow="1" w:lastRow="0" w:firstColumn="1" w:lastColumn="0" w:noHBand="0" w:noVBand="1"/>
      </w:tblPr>
      <w:tblGrid>
        <w:gridCol w:w="6237"/>
        <w:gridCol w:w="1393"/>
        <w:gridCol w:w="1369"/>
        <w:gridCol w:w="1004"/>
      </w:tblGrid>
      <w:tr w:rsidR="00F12529" w:rsidRPr="00005453" w14:paraId="25802C38" w14:textId="77777777" w:rsidTr="007D0F7A">
        <w:trPr>
          <w:divId w:val="1002775733"/>
          <w:trHeight w:val="245"/>
        </w:trPr>
        <w:tc>
          <w:tcPr>
            <w:tcW w:w="6237" w:type="dxa"/>
            <w:tcBorders>
              <w:top w:val="single" w:sz="8" w:space="0" w:color="auto"/>
              <w:left w:val="nil"/>
              <w:bottom w:val="single" w:sz="8" w:space="0" w:color="000000"/>
              <w:right w:val="nil"/>
            </w:tcBorders>
            <w:vAlign w:val="center"/>
            <w:hideMark/>
          </w:tcPr>
          <w:p w14:paraId="4A3CFA60" w14:textId="5A18B9DA" w:rsidR="00F12529" w:rsidRPr="00005453" w:rsidRDefault="007D0F7A" w:rsidP="00F12529">
            <w:pPr>
              <w:rPr>
                <w:b/>
                <w:bCs/>
                <w:color w:val="000000"/>
                <w:sz w:val="18"/>
                <w:szCs w:val="18"/>
                <w:lang w:eastAsia="tr-TR"/>
              </w:rPr>
            </w:pPr>
            <w:r w:rsidRPr="00005453">
              <w:rPr>
                <w:b/>
                <w:bCs/>
                <w:color w:val="000000"/>
                <w:sz w:val="18"/>
                <w:szCs w:val="18"/>
                <w:lang w:eastAsia="tr-TR"/>
              </w:rPr>
              <w:t>Cari Dönem</w:t>
            </w:r>
          </w:p>
        </w:tc>
        <w:tc>
          <w:tcPr>
            <w:tcW w:w="1393" w:type="dxa"/>
            <w:tcBorders>
              <w:top w:val="single" w:sz="8" w:space="0" w:color="auto"/>
              <w:left w:val="nil"/>
              <w:bottom w:val="single" w:sz="8" w:space="0" w:color="auto"/>
              <w:right w:val="nil"/>
            </w:tcBorders>
            <w:shd w:val="clear" w:color="auto" w:fill="auto"/>
            <w:vAlign w:val="center"/>
            <w:hideMark/>
          </w:tcPr>
          <w:p w14:paraId="205E201A" w14:textId="77777777" w:rsidR="00F12529" w:rsidRPr="00005453" w:rsidRDefault="00F12529" w:rsidP="00F12529">
            <w:pPr>
              <w:jc w:val="center"/>
              <w:rPr>
                <w:b/>
                <w:bCs/>
                <w:color w:val="000000"/>
                <w:sz w:val="18"/>
                <w:szCs w:val="18"/>
                <w:lang w:eastAsia="tr-TR"/>
              </w:rPr>
            </w:pPr>
            <w:r w:rsidRPr="00005453">
              <w:rPr>
                <w:b/>
                <w:bCs/>
                <w:color w:val="000000"/>
                <w:sz w:val="18"/>
                <w:szCs w:val="18"/>
                <w:lang w:eastAsia="zh-CN"/>
              </w:rPr>
              <w:t> </w:t>
            </w:r>
          </w:p>
        </w:tc>
        <w:tc>
          <w:tcPr>
            <w:tcW w:w="1369" w:type="dxa"/>
            <w:tcBorders>
              <w:top w:val="single" w:sz="8" w:space="0" w:color="auto"/>
              <w:left w:val="nil"/>
              <w:bottom w:val="single" w:sz="8" w:space="0" w:color="auto"/>
              <w:right w:val="nil"/>
            </w:tcBorders>
            <w:shd w:val="clear" w:color="auto" w:fill="auto"/>
            <w:vAlign w:val="center"/>
            <w:hideMark/>
          </w:tcPr>
          <w:p w14:paraId="56023626" w14:textId="77777777" w:rsidR="00F12529" w:rsidRPr="00005453" w:rsidRDefault="00F12529" w:rsidP="00F12529">
            <w:pPr>
              <w:jc w:val="center"/>
              <w:rPr>
                <w:b/>
                <w:bCs/>
                <w:color w:val="000000"/>
                <w:sz w:val="18"/>
                <w:szCs w:val="18"/>
                <w:lang w:eastAsia="tr-TR"/>
              </w:rPr>
            </w:pPr>
            <w:r w:rsidRPr="00005453">
              <w:rPr>
                <w:b/>
                <w:bCs/>
                <w:color w:val="000000"/>
                <w:sz w:val="18"/>
                <w:szCs w:val="18"/>
                <w:lang w:eastAsia="zh-CN"/>
              </w:rPr>
              <w:t>Karşılaştırma</w:t>
            </w:r>
          </w:p>
        </w:tc>
        <w:tc>
          <w:tcPr>
            <w:tcW w:w="1004" w:type="dxa"/>
            <w:tcBorders>
              <w:top w:val="single" w:sz="8" w:space="0" w:color="auto"/>
              <w:left w:val="nil"/>
              <w:bottom w:val="single" w:sz="8" w:space="0" w:color="auto"/>
              <w:right w:val="nil"/>
            </w:tcBorders>
            <w:shd w:val="clear" w:color="auto" w:fill="auto"/>
            <w:vAlign w:val="center"/>
            <w:hideMark/>
          </w:tcPr>
          <w:p w14:paraId="2DE42C31" w14:textId="77777777" w:rsidR="00F12529" w:rsidRPr="00005453" w:rsidRDefault="00F12529" w:rsidP="00F12529">
            <w:pPr>
              <w:jc w:val="center"/>
              <w:rPr>
                <w:b/>
                <w:bCs/>
                <w:color w:val="000000"/>
                <w:sz w:val="18"/>
                <w:szCs w:val="18"/>
                <w:lang w:eastAsia="tr-TR"/>
              </w:rPr>
            </w:pPr>
            <w:r w:rsidRPr="00005453">
              <w:rPr>
                <w:b/>
                <w:bCs/>
                <w:color w:val="000000"/>
                <w:sz w:val="18"/>
                <w:szCs w:val="18"/>
                <w:lang w:eastAsia="zh-CN"/>
              </w:rPr>
              <w:t> </w:t>
            </w:r>
          </w:p>
        </w:tc>
      </w:tr>
      <w:tr w:rsidR="00F12529" w:rsidRPr="00005453" w14:paraId="006E8E7C" w14:textId="77777777" w:rsidTr="00F20AF5">
        <w:trPr>
          <w:divId w:val="1002775733"/>
          <w:trHeight w:val="245"/>
        </w:trPr>
        <w:tc>
          <w:tcPr>
            <w:tcW w:w="6237" w:type="dxa"/>
            <w:tcBorders>
              <w:top w:val="nil"/>
              <w:left w:val="nil"/>
              <w:bottom w:val="nil"/>
              <w:right w:val="nil"/>
            </w:tcBorders>
            <w:shd w:val="clear" w:color="auto" w:fill="auto"/>
            <w:noWrap/>
            <w:vAlign w:val="center"/>
            <w:hideMark/>
          </w:tcPr>
          <w:p w14:paraId="412D20B5" w14:textId="77777777" w:rsidR="00F12529" w:rsidRPr="00005453" w:rsidRDefault="00F12529" w:rsidP="00F12529">
            <w:pPr>
              <w:rPr>
                <w:b/>
                <w:bCs/>
                <w:color w:val="000000"/>
                <w:sz w:val="18"/>
                <w:szCs w:val="18"/>
                <w:lang w:eastAsia="zh-CN"/>
              </w:rPr>
            </w:pPr>
            <w:r w:rsidRPr="00005453">
              <w:rPr>
                <w:b/>
                <w:bCs/>
                <w:color w:val="000000"/>
                <w:sz w:val="18"/>
                <w:szCs w:val="18"/>
                <w:lang w:eastAsia="zh-CN"/>
              </w:rPr>
              <w:t xml:space="preserve">Hisse Senedi Yatırımları </w:t>
            </w:r>
          </w:p>
        </w:tc>
        <w:tc>
          <w:tcPr>
            <w:tcW w:w="1393" w:type="dxa"/>
            <w:tcBorders>
              <w:top w:val="nil"/>
              <w:left w:val="nil"/>
              <w:bottom w:val="nil"/>
              <w:right w:val="nil"/>
            </w:tcBorders>
            <w:shd w:val="clear" w:color="auto" w:fill="auto"/>
            <w:noWrap/>
            <w:vAlign w:val="center"/>
            <w:hideMark/>
          </w:tcPr>
          <w:p w14:paraId="7B4C9AB7" w14:textId="77777777" w:rsidR="00F12529" w:rsidRPr="00005453" w:rsidRDefault="00F12529" w:rsidP="00F12529">
            <w:pPr>
              <w:jc w:val="right"/>
              <w:rPr>
                <w:b/>
                <w:bCs/>
                <w:color w:val="000000"/>
                <w:sz w:val="18"/>
                <w:szCs w:val="18"/>
                <w:lang w:eastAsia="tr-TR"/>
              </w:rPr>
            </w:pPr>
            <w:r w:rsidRPr="00005453">
              <w:rPr>
                <w:b/>
                <w:bCs/>
                <w:color w:val="000000"/>
                <w:sz w:val="18"/>
                <w:szCs w:val="18"/>
                <w:lang w:eastAsia="zh-CN"/>
              </w:rPr>
              <w:t>Bilanço Değeri</w:t>
            </w:r>
          </w:p>
        </w:tc>
        <w:tc>
          <w:tcPr>
            <w:tcW w:w="1369" w:type="dxa"/>
            <w:tcBorders>
              <w:top w:val="nil"/>
              <w:left w:val="nil"/>
              <w:bottom w:val="nil"/>
              <w:right w:val="nil"/>
            </w:tcBorders>
            <w:shd w:val="clear" w:color="auto" w:fill="auto"/>
            <w:noWrap/>
            <w:vAlign w:val="center"/>
            <w:hideMark/>
          </w:tcPr>
          <w:p w14:paraId="44D84BF3" w14:textId="77777777" w:rsidR="00F12529" w:rsidRPr="00005453" w:rsidRDefault="00F12529" w:rsidP="00F12529">
            <w:pPr>
              <w:jc w:val="right"/>
              <w:rPr>
                <w:b/>
                <w:bCs/>
                <w:color w:val="000000"/>
                <w:sz w:val="18"/>
                <w:szCs w:val="18"/>
                <w:lang w:eastAsia="tr-TR"/>
              </w:rPr>
            </w:pPr>
            <w:r w:rsidRPr="00005453">
              <w:rPr>
                <w:b/>
                <w:bCs/>
                <w:color w:val="000000"/>
                <w:sz w:val="18"/>
                <w:szCs w:val="18"/>
                <w:lang w:eastAsia="zh-CN"/>
              </w:rPr>
              <w:t>Gerçeğe Uygun Değer</w:t>
            </w:r>
          </w:p>
        </w:tc>
        <w:tc>
          <w:tcPr>
            <w:tcW w:w="1004" w:type="dxa"/>
            <w:tcBorders>
              <w:top w:val="nil"/>
              <w:left w:val="nil"/>
              <w:bottom w:val="nil"/>
              <w:right w:val="nil"/>
            </w:tcBorders>
            <w:shd w:val="clear" w:color="auto" w:fill="auto"/>
            <w:noWrap/>
            <w:vAlign w:val="center"/>
            <w:hideMark/>
          </w:tcPr>
          <w:p w14:paraId="38E691A7" w14:textId="77777777" w:rsidR="00F12529" w:rsidRPr="00005453" w:rsidRDefault="00F12529" w:rsidP="00F12529">
            <w:pPr>
              <w:jc w:val="right"/>
              <w:rPr>
                <w:b/>
                <w:bCs/>
                <w:color w:val="000000"/>
                <w:sz w:val="18"/>
                <w:szCs w:val="18"/>
                <w:lang w:eastAsia="tr-TR"/>
              </w:rPr>
            </w:pPr>
            <w:r w:rsidRPr="00005453">
              <w:rPr>
                <w:b/>
                <w:bCs/>
                <w:color w:val="000000"/>
                <w:sz w:val="18"/>
                <w:szCs w:val="18"/>
                <w:lang w:eastAsia="zh-CN"/>
              </w:rPr>
              <w:t>Piyasa Değeri</w:t>
            </w:r>
          </w:p>
        </w:tc>
      </w:tr>
      <w:tr w:rsidR="00F12529" w:rsidRPr="00005453" w14:paraId="7066695B" w14:textId="77777777" w:rsidTr="000E5F12">
        <w:trPr>
          <w:divId w:val="1002775733"/>
          <w:trHeight w:val="34"/>
        </w:trPr>
        <w:tc>
          <w:tcPr>
            <w:tcW w:w="6237" w:type="dxa"/>
            <w:tcBorders>
              <w:top w:val="single" w:sz="8" w:space="0" w:color="auto"/>
              <w:left w:val="nil"/>
              <w:bottom w:val="nil"/>
              <w:right w:val="nil"/>
            </w:tcBorders>
            <w:shd w:val="clear" w:color="auto" w:fill="auto"/>
            <w:noWrap/>
            <w:vAlign w:val="center"/>
            <w:hideMark/>
          </w:tcPr>
          <w:p w14:paraId="2C5CE438" w14:textId="77777777" w:rsidR="00F12529" w:rsidRPr="00005453" w:rsidRDefault="00F12529" w:rsidP="00F12529">
            <w:pPr>
              <w:rPr>
                <w:b/>
                <w:bCs/>
                <w:color w:val="000000"/>
                <w:sz w:val="6"/>
                <w:szCs w:val="6"/>
                <w:lang w:eastAsia="tr-TR"/>
              </w:rPr>
            </w:pPr>
            <w:r w:rsidRPr="00005453">
              <w:rPr>
                <w:b/>
                <w:bCs/>
                <w:color w:val="000000"/>
                <w:sz w:val="6"/>
                <w:szCs w:val="6"/>
                <w:lang w:eastAsia="zh-CN"/>
              </w:rPr>
              <w:t> </w:t>
            </w:r>
          </w:p>
        </w:tc>
        <w:tc>
          <w:tcPr>
            <w:tcW w:w="1393" w:type="dxa"/>
            <w:tcBorders>
              <w:top w:val="single" w:sz="8" w:space="0" w:color="auto"/>
              <w:left w:val="nil"/>
              <w:bottom w:val="nil"/>
              <w:right w:val="nil"/>
            </w:tcBorders>
            <w:shd w:val="clear" w:color="auto" w:fill="auto"/>
            <w:noWrap/>
            <w:vAlign w:val="center"/>
            <w:hideMark/>
          </w:tcPr>
          <w:p w14:paraId="02AC0287" w14:textId="77777777" w:rsidR="00F12529" w:rsidRPr="00005453" w:rsidRDefault="00F12529" w:rsidP="00F12529">
            <w:pPr>
              <w:jc w:val="right"/>
              <w:rPr>
                <w:b/>
                <w:bCs/>
                <w:color w:val="000000"/>
                <w:sz w:val="6"/>
                <w:szCs w:val="6"/>
                <w:lang w:eastAsia="tr-TR"/>
              </w:rPr>
            </w:pPr>
            <w:r w:rsidRPr="00005453">
              <w:rPr>
                <w:b/>
                <w:bCs/>
                <w:color w:val="000000"/>
                <w:sz w:val="6"/>
                <w:szCs w:val="6"/>
                <w:lang w:eastAsia="tr-TR"/>
              </w:rPr>
              <w:t> </w:t>
            </w:r>
          </w:p>
        </w:tc>
        <w:tc>
          <w:tcPr>
            <w:tcW w:w="1369" w:type="dxa"/>
            <w:tcBorders>
              <w:top w:val="single" w:sz="8" w:space="0" w:color="auto"/>
              <w:left w:val="nil"/>
              <w:bottom w:val="nil"/>
              <w:right w:val="nil"/>
            </w:tcBorders>
            <w:shd w:val="clear" w:color="auto" w:fill="auto"/>
            <w:noWrap/>
            <w:vAlign w:val="center"/>
            <w:hideMark/>
          </w:tcPr>
          <w:p w14:paraId="1BE9AD47" w14:textId="77777777" w:rsidR="00F12529" w:rsidRPr="00005453" w:rsidRDefault="00F12529" w:rsidP="00F12529">
            <w:pPr>
              <w:jc w:val="right"/>
              <w:rPr>
                <w:b/>
                <w:bCs/>
                <w:color w:val="000000"/>
                <w:sz w:val="6"/>
                <w:szCs w:val="6"/>
                <w:lang w:eastAsia="tr-TR"/>
              </w:rPr>
            </w:pPr>
            <w:r w:rsidRPr="00005453">
              <w:rPr>
                <w:b/>
                <w:bCs/>
                <w:color w:val="000000"/>
                <w:sz w:val="6"/>
                <w:szCs w:val="6"/>
                <w:lang w:eastAsia="tr-TR"/>
              </w:rPr>
              <w:t> </w:t>
            </w:r>
          </w:p>
        </w:tc>
        <w:tc>
          <w:tcPr>
            <w:tcW w:w="1004" w:type="dxa"/>
            <w:tcBorders>
              <w:top w:val="single" w:sz="8" w:space="0" w:color="auto"/>
              <w:left w:val="nil"/>
              <w:bottom w:val="nil"/>
              <w:right w:val="nil"/>
            </w:tcBorders>
            <w:shd w:val="clear" w:color="auto" w:fill="auto"/>
            <w:noWrap/>
            <w:vAlign w:val="center"/>
            <w:hideMark/>
          </w:tcPr>
          <w:p w14:paraId="6EA94FC7" w14:textId="77777777" w:rsidR="00F12529" w:rsidRPr="00005453" w:rsidRDefault="00F12529" w:rsidP="00F12529">
            <w:pPr>
              <w:jc w:val="right"/>
              <w:rPr>
                <w:b/>
                <w:bCs/>
                <w:color w:val="000000"/>
                <w:sz w:val="6"/>
                <w:szCs w:val="6"/>
                <w:lang w:eastAsia="tr-TR"/>
              </w:rPr>
            </w:pPr>
            <w:r w:rsidRPr="00005453">
              <w:rPr>
                <w:b/>
                <w:bCs/>
                <w:color w:val="000000"/>
                <w:sz w:val="6"/>
                <w:szCs w:val="6"/>
                <w:lang w:eastAsia="tr-TR"/>
              </w:rPr>
              <w:t> </w:t>
            </w:r>
          </w:p>
        </w:tc>
      </w:tr>
      <w:tr w:rsidR="00E44A3F" w:rsidRPr="00005453" w14:paraId="063E681A" w14:textId="77777777" w:rsidTr="00E44A3F">
        <w:trPr>
          <w:divId w:val="1002775733"/>
          <w:trHeight w:val="233"/>
        </w:trPr>
        <w:tc>
          <w:tcPr>
            <w:tcW w:w="6237" w:type="dxa"/>
            <w:tcBorders>
              <w:top w:val="nil"/>
              <w:left w:val="nil"/>
              <w:bottom w:val="nil"/>
              <w:right w:val="nil"/>
            </w:tcBorders>
            <w:shd w:val="clear" w:color="auto" w:fill="auto"/>
            <w:noWrap/>
            <w:vAlign w:val="center"/>
            <w:hideMark/>
          </w:tcPr>
          <w:p w14:paraId="23E4CB69" w14:textId="77777777" w:rsidR="00E44A3F" w:rsidRPr="00005453" w:rsidRDefault="00E44A3F" w:rsidP="00E44A3F">
            <w:pPr>
              <w:rPr>
                <w:b/>
                <w:bCs/>
                <w:color w:val="000000"/>
                <w:sz w:val="18"/>
                <w:szCs w:val="18"/>
                <w:lang w:eastAsia="tr-TR"/>
              </w:rPr>
            </w:pPr>
            <w:r w:rsidRPr="00005453">
              <w:rPr>
                <w:b/>
                <w:bCs/>
                <w:color w:val="000000"/>
                <w:sz w:val="18"/>
                <w:szCs w:val="18"/>
                <w:lang w:eastAsia="zh-CN"/>
              </w:rPr>
              <w:t>Gerçeğe uygun değer farkı diğer kapsamlı gelire yansıtılan finansal varlıklar</w:t>
            </w:r>
          </w:p>
        </w:tc>
        <w:tc>
          <w:tcPr>
            <w:tcW w:w="1393" w:type="dxa"/>
            <w:tcBorders>
              <w:top w:val="nil"/>
              <w:left w:val="nil"/>
              <w:bottom w:val="nil"/>
              <w:right w:val="nil"/>
            </w:tcBorders>
            <w:shd w:val="clear" w:color="auto" w:fill="auto"/>
            <w:noWrap/>
            <w:vAlign w:val="center"/>
            <w:hideMark/>
          </w:tcPr>
          <w:p w14:paraId="1B5C3EA8" w14:textId="5FB9B428" w:rsidR="00E44A3F" w:rsidRPr="00005453" w:rsidRDefault="00E44A3F" w:rsidP="00E44A3F">
            <w:pPr>
              <w:jc w:val="right"/>
              <w:rPr>
                <w:b/>
                <w:bCs/>
                <w:color w:val="000000"/>
                <w:sz w:val="18"/>
                <w:szCs w:val="18"/>
              </w:rPr>
            </w:pPr>
            <w:r w:rsidRPr="00005453">
              <w:rPr>
                <w:b/>
                <w:bCs/>
                <w:color w:val="000000"/>
                <w:sz w:val="18"/>
                <w:szCs w:val="18"/>
              </w:rPr>
              <w:t>488,440</w:t>
            </w:r>
          </w:p>
        </w:tc>
        <w:tc>
          <w:tcPr>
            <w:tcW w:w="1369" w:type="dxa"/>
            <w:tcBorders>
              <w:top w:val="nil"/>
              <w:left w:val="nil"/>
              <w:bottom w:val="nil"/>
              <w:right w:val="nil"/>
            </w:tcBorders>
            <w:shd w:val="clear" w:color="auto" w:fill="auto"/>
            <w:noWrap/>
            <w:vAlign w:val="center"/>
            <w:hideMark/>
          </w:tcPr>
          <w:p w14:paraId="3CDC7FC2" w14:textId="4BD578C3" w:rsidR="00E44A3F" w:rsidRPr="00005453" w:rsidRDefault="00E44A3F" w:rsidP="00E44A3F">
            <w:pPr>
              <w:jc w:val="right"/>
              <w:rPr>
                <w:b/>
                <w:bCs/>
                <w:color w:val="000000"/>
                <w:sz w:val="18"/>
                <w:szCs w:val="18"/>
              </w:rPr>
            </w:pPr>
            <w:r w:rsidRPr="00005453">
              <w:rPr>
                <w:b/>
                <w:bCs/>
                <w:color w:val="000000"/>
                <w:sz w:val="18"/>
                <w:szCs w:val="18"/>
              </w:rPr>
              <w:t>-</w:t>
            </w:r>
          </w:p>
        </w:tc>
        <w:tc>
          <w:tcPr>
            <w:tcW w:w="1004" w:type="dxa"/>
            <w:tcBorders>
              <w:top w:val="nil"/>
              <w:left w:val="nil"/>
              <w:bottom w:val="nil"/>
              <w:right w:val="nil"/>
            </w:tcBorders>
            <w:shd w:val="clear" w:color="auto" w:fill="auto"/>
            <w:noWrap/>
            <w:vAlign w:val="center"/>
            <w:hideMark/>
          </w:tcPr>
          <w:p w14:paraId="721E0F50" w14:textId="6334F38E" w:rsidR="00E44A3F" w:rsidRPr="00005453" w:rsidRDefault="00E44A3F" w:rsidP="00E44A3F">
            <w:pPr>
              <w:jc w:val="right"/>
              <w:rPr>
                <w:b/>
                <w:bCs/>
                <w:color w:val="000000"/>
                <w:sz w:val="18"/>
                <w:szCs w:val="18"/>
              </w:rPr>
            </w:pPr>
            <w:r w:rsidRPr="00005453">
              <w:rPr>
                <w:b/>
                <w:bCs/>
                <w:color w:val="000000"/>
                <w:sz w:val="18"/>
                <w:szCs w:val="18"/>
              </w:rPr>
              <w:t>488,440</w:t>
            </w:r>
          </w:p>
        </w:tc>
      </w:tr>
      <w:tr w:rsidR="00E44A3F" w:rsidRPr="00005453" w14:paraId="4B8DE5C4" w14:textId="77777777" w:rsidTr="00E44A3F">
        <w:trPr>
          <w:divId w:val="1002775733"/>
          <w:trHeight w:val="233"/>
        </w:trPr>
        <w:tc>
          <w:tcPr>
            <w:tcW w:w="6237" w:type="dxa"/>
            <w:tcBorders>
              <w:top w:val="nil"/>
              <w:left w:val="nil"/>
              <w:bottom w:val="nil"/>
              <w:right w:val="nil"/>
            </w:tcBorders>
            <w:shd w:val="clear" w:color="auto" w:fill="auto"/>
            <w:noWrap/>
            <w:vAlign w:val="center"/>
            <w:hideMark/>
          </w:tcPr>
          <w:p w14:paraId="232C60A0" w14:textId="77777777" w:rsidR="00E44A3F" w:rsidRPr="00005453" w:rsidRDefault="00E44A3F" w:rsidP="00E44A3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78838FEC" w14:textId="5359CD20" w:rsidR="00E44A3F" w:rsidRPr="00005453" w:rsidRDefault="00E44A3F" w:rsidP="00E44A3F">
            <w:pPr>
              <w:jc w:val="right"/>
              <w:rPr>
                <w:bCs/>
                <w:color w:val="000000"/>
                <w:sz w:val="18"/>
                <w:szCs w:val="18"/>
              </w:rPr>
            </w:pPr>
            <w:r w:rsidRPr="00005453">
              <w:rPr>
                <w:color w:val="000000"/>
                <w:sz w:val="18"/>
                <w:szCs w:val="18"/>
              </w:rPr>
              <w:t>-</w:t>
            </w:r>
          </w:p>
        </w:tc>
        <w:tc>
          <w:tcPr>
            <w:tcW w:w="1369" w:type="dxa"/>
            <w:tcBorders>
              <w:top w:val="nil"/>
              <w:left w:val="nil"/>
              <w:bottom w:val="nil"/>
              <w:right w:val="nil"/>
            </w:tcBorders>
            <w:shd w:val="clear" w:color="auto" w:fill="auto"/>
            <w:noWrap/>
            <w:vAlign w:val="center"/>
            <w:hideMark/>
          </w:tcPr>
          <w:p w14:paraId="6A353A9B" w14:textId="437E2EB9" w:rsidR="00E44A3F" w:rsidRPr="00005453" w:rsidRDefault="00E44A3F" w:rsidP="00E44A3F">
            <w:pPr>
              <w:jc w:val="right"/>
              <w:rPr>
                <w:bCs/>
                <w:color w:val="000000"/>
                <w:sz w:val="18"/>
                <w:szCs w:val="18"/>
              </w:rPr>
            </w:pPr>
            <w:r w:rsidRPr="00005453">
              <w:rPr>
                <w:color w:val="000000"/>
                <w:sz w:val="18"/>
                <w:szCs w:val="18"/>
              </w:rPr>
              <w:t>-</w:t>
            </w:r>
          </w:p>
        </w:tc>
        <w:tc>
          <w:tcPr>
            <w:tcW w:w="1004" w:type="dxa"/>
            <w:tcBorders>
              <w:top w:val="nil"/>
              <w:left w:val="nil"/>
              <w:bottom w:val="nil"/>
              <w:right w:val="nil"/>
            </w:tcBorders>
            <w:shd w:val="clear" w:color="auto" w:fill="auto"/>
            <w:noWrap/>
            <w:vAlign w:val="center"/>
            <w:hideMark/>
          </w:tcPr>
          <w:p w14:paraId="17163F7A" w14:textId="77BCF67C" w:rsidR="00E44A3F" w:rsidRPr="00005453" w:rsidRDefault="00E44A3F" w:rsidP="00E44A3F">
            <w:pPr>
              <w:jc w:val="right"/>
              <w:rPr>
                <w:bCs/>
                <w:color w:val="000000"/>
                <w:sz w:val="18"/>
                <w:szCs w:val="18"/>
              </w:rPr>
            </w:pPr>
            <w:r w:rsidRPr="00005453">
              <w:rPr>
                <w:color w:val="000000"/>
                <w:sz w:val="18"/>
                <w:szCs w:val="18"/>
              </w:rPr>
              <w:t>-</w:t>
            </w:r>
          </w:p>
        </w:tc>
      </w:tr>
      <w:tr w:rsidR="00E44A3F" w:rsidRPr="00005453" w14:paraId="071F562B" w14:textId="77777777" w:rsidTr="00E44A3F">
        <w:trPr>
          <w:divId w:val="1002775733"/>
          <w:trHeight w:val="233"/>
        </w:trPr>
        <w:tc>
          <w:tcPr>
            <w:tcW w:w="6237" w:type="dxa"/>
            <w:tcBorders>
              <w:top w:val="nil"/>
              <w:left w:val="nil"/>
              <w:bottom w:val="nil"/>
              <w:right w:val="nil"/>
            </w:tcBorders>
            <w:shd w:val="clear" w:color="auto" w:fill="auto"/>
            <w:noWrap/>
            <w:vAlign w:val="center"/>
            <w:hideMark/>
          </w:tcPr>
          <w:p w14:paraId="1DB45DC2" w14:textId="77777777" w:rsidR="00E44A3F" w:rsidRPr="00005453" w:rsidRDefault="00E44A3F" w:rsidP="00E44A3F">
            <w:pPr>
              <w:rPr>
                <w:b/>
                <w:bCs/>
                <w:color w:val="000000"/>
                <w:sz w:val="18"/>
                <w:szCs w:val="18"/>
                <w:lang w:eastAsia="tr-TR"/>
              </w:rPr>
            </w:pPr>
            <w:r w:rsidRPr="00005453">
              <w:rPr>
                <w:b/>
                <w:bCs/>
                <w:color w:val="000000"/>
                <w:sz w:val="18"/>
                <w:szCs w:val="18"/>
                <w:lang w:eastAsia="zh-CN"/>
              </w:rPr>
              <w:t>İştirakler</w:t>
            </w:r>
          </w:p>
        </w:tc>
        <w:tc>
          <w:tcPr>
            <w:tcW w:w="1393" w:type="dxa"/>
            <w:tcBorders>
              <w:top w:val="nil"/>
              <w:left w:val="nil"/>
              <w:bottom w:val="nil"/>
              <w:right w:val="nil"/>
            </w:tcBorders>
            <w:shd w:val="clear" w:color="auto" w:fill="auto"/>
            <w:noWrap/>
            <w:vAlign w:val="center"/>
            <w:hideMark/>
          </w:tcPr>
          <w:p w14:paraId="2B7D8EE1" w14:textId="322D6CA7" w:rsidR="00E44A3F" w:rsidRPr="00005453" w:rsidRDefault="00E44A3F" w:rsidP="00E44A3F">
            <w:pPr>
              <w:jc w:val="right"/>
              <w:rPr>
                <w:b/>
                <w:bCs/>
                <w:color w:val="000000"/>
                <w:sz w:val="18"/>
                <w:szCs w:val="18"/>
              </w:rPr>
            </w:pPr>
            <w:r w:rsidRPr="00005453">
              <w:rPr>
                <w:color w:val="000000"/>
                <w:sz w:val="18"/>
                <w:szCs w:val="18"/>
              </w:rPr>
              <w:t>-</w:t>
            </w:r>
          </w:p>
        </w:tc>
        <w:tc>
          <w:tcPr>
            <w:tcW w:w="1369" w:type="dxa"/>
            <w:tcBorders>
              <w:top w:val="nil"/>
              <w:left w:val="nil"/>
              <w:bottom w:val="nil"/>
              <w:right w:val="nil"/>
            </w:tcBorders>
            <w:shd w:val="clear" w:color="auto" w:fill="auto"/>
            <w:noWrap/>
            <w:vAlign w:val="center"/>
            <w:hideMark/>
          </w:tcPr>
          <w:p w14:paraId="0ADF1872" w14:textId="1A0F92D3" w:rsidR="00E44A3F" w:rsidRPr="00005453" w:rsidRDefault="00E44A3F" w:rsidP="00E44A3F">
            <w:pPr>
              <w:jc w:val="right"/>
              <w:rPr>
                <w:b/>
                <w:bCs/>
                <w:color w:val="000000"/>
                <w:sz w:val="18"/>
                <w:szCs w:val="18"/>
              </w:rPr>
            </w:pPr>
            <w:r w:rsidRPr="00005453">
              <w:rPr>
                <w:color w:val="000000"/>
                <w:sz w:val="18"/>
                <w:szCs w:val="18"/>
              </w:rPr>
              <w:t>-</w:t>
            </w:r>
          </w:p>
        </w:tc>
        <w:tc>
          <w:tcPr>
            <w:tcW w:w="1004" w:type="dxa"/>
            <w:tcBorders>
              <w:top w:val="nil"/>
              <w:left w:val="nil"/>
              <w:bottom w:val="nil"/>
              <w:right w:val="nil"/>
            </w:tcBorders>
            <w:shd w:val="clear" w:color="auto" w:fill="auto"/>
            <w:noWrap/>
            <w:vAlign w:val="center"/>
            <w:hideMark/>
          </w:tcPr>
          <w:p w14:paraId="2BB98490" w14:textId="710213AB" w:rsidR="00E44A3F" w:rsidRPr="00005453" w:rsidRDefault="00E44A3F" w:rsidP="00E44A3F">
            <w:pPr>
              <w:jc w:val="right"/>
              <w:rPr>
                <w:b/>
                <w:bCs/>
                <w:color w:val="000000"/>
                <w:sz w:val="18"/>
                <w:szCs w:val="18"/>
              </w:rPr>
            </w:pPr>
            <w:r w:rsidRPr="00005453">
              <w:rPr>
                <w:color w:val="000000"/>
                <w:sz w:val="18"/>
                <w:szCs w:val="18"/>
              </w:rPr>
              <w:t>-</w:t>
            </w:r>
          </w:p>
        </w:tc>
      </w:tr>
      <w:tr w:rsidR="00E44A3F" w:rsidRPr="00005453" w14:paraId="5F16A614" w14:textId="77777777" w:rsidTr="00E44A3F">
        <w:trPr>
          <w:divId w:val="1002775733"/>
          <w:trHeight w:val="233"/>
        </w:trPr>
        <w:tc>
          <w:tcPr>
            <w:tcW w:w="6237" w:type="dxa"/>
            <w:tcBorders>
              <w:top w:val="nil"/>
              <w:left w:val="nil"/>
              <w:bottom w:val="nil"/>
              <w:right w:val="nil"/>
            </w:tcBorders>
            <w:shd w:val="clear" w:color="auto" w:fill="auto"/>
            <w:noWrap/>
            <w:vAlign w:val="center"/>
            <w:hideMark/>
          </w:tcPr>
          <w:p w14:paraId="58395888" w14:textId="77777777" w:rsidR="00E44A3F" w:rsidRPr="00005453" w:rsidRDefault="00E44A3F" w:rsidP="00E44A3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2B0639FE" w14:textId="1F9E1A1C" w:rsidR="00E44A3F" w:rsidRPr="00005453" w:rsidRDefault="00E44A3F" w:rsidP="00E44A3F">
            <w:pPr>
              <w:jc w:val="right"/>
              <w:rPr>
                <w:bCs/>
                <w:color w:val="000000"/>
                <w:sz w:val="18"/>
                <w:szCs w:val="18"/>
              </w:rPr>
            </w:pPr>
            <w:r w:rsidRPr="00005453">
              <w:rPr>
                <w:color w:val="000000"/>
                <w:sz w:val="18"/>
                <w:szCs w:val="18"/>
              </w:rPr>
              <w:t>-</w:t>
            </w:r>
          </w:p>
        </w:tc>
        <w:tc>
          <w:tcPr>
            <w:tcW w:w="1369" w:type="dxa"/>
            <w:tcBorders>
              <w:top w:val="nil"/>
              <w:left w:val="nil"/>
              <w:bottom w:val="nil"/>
              <w:right w:val="nil"/>
            </w:tcBorders>
            <w:shd w:val="clear" w:color="auto" w:fill="auto"/>
            <w:noWrap/>
            <w:vAlign w:val="center"/>
            <w:hideMark/>
          </w:tcPr>
          <w:p w14:paraId="28EB7DEC" w14:textId="6975151B" w:rsidR="00E44A3F" w:rsidRPr="00005453" w:rsidRDefault="00E44A3F" w:rsidP="00E44A3F">
            <w:pPr>
              <w:jc w:val="right"/>
              <w:rPr>
                <w:bCs/>
                <w:color w:val="000000"/>
                <w:sz w:val="18"/>
                <w:szCs w:val="18"/>
              </w:rPr>
            </w:pPr>
            <w:r w:rsidRPr="00005453">
              <w:rPr>
                <w:color w:val="000000"/>
                <w:sz w:val="18"/>
                <w:szCs w:val="18"/>
              </w:rPr>
              <w:t>-</w:t>
            </w:r>
          </w:p>
        </w:tc>
        <w:tc>
          <w:tcPr>
            <w:tcW w:w="1004" w:type="dxa"/>
            <w:tcBorders>
              <w:top w:val="nil"/>
              <w:left w:val="nil"/>
              <w:bottom w:val="nil"/>
              <w:right w:val="nil"/>
            </w:tcBorders>
            <w:shd w:val="clear" w:color="auto" w:fill="auto"/>
            <w:noWrap/>
            <w:vAlign w:val="center"/>
            <w:hideMark/>
          </w:tcPr>
          <w:p w14:paraId="6D4A867F" w14:textId="5E0DF970" w:rsidR="00E44A3F" w:rsidRPr="00005453" w:rsidRDefault="00E44A3F" w:rsidP="00E44A3F">
            <w:pPr>
              <w:jc w:val="right"/>
              <w:rPr>
                <w:bCs/>
                <w:color w:val="000000"/>
                <w:sz w:val="18"/>
                <w:szCs w:val="18"/>
              </w:rPr>
            </w:pPr>
            <w:r w:rsidRPr="00005453">
              <w:rPr>
                <w:color w:val="000000"/>
                <w:sz w:val="18"/>
                <w:szCs w:val="18"/>
              </w:rPr>
              <w:t>-</w:t>
            </w:r>
          </w:p>
        </w:tc>
      </w:tr>
      <w:tr w:rsidR="00E44A3F" w:rsidRPr="00005453" w14:paraId="4B71BBDF" w14:textId="77777777" w:rsidTr="00E44A3F">
        <w:trPr>
          <w:divId w:val="1002775733"/>
          <w:trHeight w:val="233"/>
        </w:trPr>
        <w:tc>
          <w:tcPr>
            <w:tcW w:w="6237" w:type="dxa"/>
            <w:tcBorders>
              <w:top w:val="nil"/>
              <w:left w:val="nil"/>
              <w:bottom w:val="nil"/>
              <w:right w:val="nil"/>
            </w:tcBorders>
            <w:shd w:val="clear" w:color="auto" w:fill="auto"/>
            <w:noWrap/>
            <w:vAlign w:val="center"/>
            <w:hideMark/>
          </w:tcPr>
          <w:p w14:paraId="02EE357F" w14:textId="77777777" w:rsidR="00E44A3F" w:rsidRPr="00005453" w:rsidRDefault="00E44A3F" w:rsidP="00E44A3F">
            <w:pPr>
              <w:rPr>
                <w:b/>
                <w:bCs/>
                <w:color w:val="000000"/>
                <w:sz w:val="18"/>
                <w:szCs w:val="18"/>
                <w:lang w:eastAsia="tr-TR"/>
              </w:rPr>
            </w:pPr>
            <w:r w:rsidRPr="00005453">
              <w:rPr>
                <w:b/>
                <w:bCs/>
                <w:color w:val="000000"/>
                <w:sz w:val="18"/>
                <w:szCs w:val="18"/>
                <w:lang w:eastAsia="zh-CN"/>
              </w:rPr>
              <w:t>Bağlı ortaklıklar</w:t>
            </w:r>
          </w:p>
        </w:tc>
        <w:tc>
          <w:tcPr>
            <w:tcW w:w="1393" w:type="dxa"/>
            <w:tcBorders>
              <w:top w:val="nil"/>
              <w:left w:val="nil"/>
              <w:bottom w:val="nil"/>
              <w:right w:val="nil"/>
            </w:tcBorders>
            <w:shd w:val="clear" w:color="auto" w:fill="auto"/>
            <w:noWrap/>
            <w:vAlign w:val="center"/>
            <w:hideMark/>
          </w:tcPr>
          <w:p w14:paraId="0786EFA7" w14:textId="4B9BE944" w:rsidR="00E44A3F" w:rsidRPr="00005453" w:rsidRDefault="00E44A3F" w:rsidP="00E44A3F">
            <w:pPr>
              <w:jc w:val="right"/>
              <w:rPr>
                <w:b/>
                <w:bCs/>
                <w:color w:val="000000"/>
                <w:sz w:val="18"/>
                <w:szCs w:val="18"/>
              </w:rPr>
            </w:pPr>
            <w:r w:rsidRPr="00005453">
              <w:rPr>
                <w:b/>
                <w:bCs/>
                <w:color w:val="000000"/>
                <w:sz w:val="18"/>
                <w:szCs w:val="18"/>
              </w:rPr>
              <w:t>4,122,212</w:t>
            </w:r>
          </w:p>
        </w:tc>
        <w:tc>
          <w:tcPr>
            <w:tcW w:w="1369" w:type="dxa"/>
            <w:tcBorders>
              <w:top w:val="nil"/>
              <w:left w:val="nil"/>
              <w:bottom w:val="nil"/>
              <w:right w:val="nil"/>
            </w:tcBorders>
            <w:shd w:val="clear" w:color="auto" w:fill="auto"/>
            <w:noWrap/>
            <w:vAlign w:val="center"/>
            <w:hideMark/>
          </w:tcPr>
          <w:p w14:paraId="5EA49B15" w14:textId="2F0366CE" w:rsidR="00E44A3F" w:rsidRPr="00005453" w:rsidRDefault="00E44A3F" w:rsidP="00E44A3F">
            <w:pPr>
              <w:jc w:val="right"/>
              <w:rPr>
                <w:b/>
                <w:bCs/>
                <w:color w:val="000000"/>
                <w:sz w:val="18"/>
                <w:szCs w:val="18"/>
              </w:rPr>
            </w:pPr>
            <w:r w:rsidRPr="00005453">
              <w:rPr>
                <w:b/>
                <w:bCs/>
                <w:color w:val="000000"/>
                <w:sz w:val="18"/>
                <w:szCs w:val="18"/>
              </w:rPr>
              <w:t>2,603,700</w:t>
            </w:r>
          </w:p>
        </w:tc>
        <w:tc>
          <w:tcPr>
            <w:tcW w:w="1004" w:type="dxa"/>
            <w:tcBorders>
              <w:top w:val="nil"/>
              <w:left w:val="nil"/>
              <w:bottom w:val="nil"/>
              <w:right w:val="nil"/>
            </w:tcBorders>
            <w:shd w:val="clear" w:color="auto" w:fill="auto"/>
            <w:noWrap/>
            <w:vAlign w:val="center"/>
            <w:hideMark/>
          </w:tcPr>
          <w:p w14:paraId="6BDE550D" w14:textId="7BCABE1B" w:rsidR="00E44A3F" w:rsidRPr="00005453" w:rsidRDefault="00E44A3F" w:rsidP="00E44A3F">
            <w:pPr>
              <w:jc w:val="right"/>
              <w:rPr>
                <w:b/>
                <w:bCs/>
                <w:color w:val="000000"/>
                <w:sz w:val="18"/>
                <w:szCs w:val="18"/>
              </w:rPr>
            </w:pPr>
            <w:r w:rsidRPr="00005453">
              <w:rPr>
                <w:b/>
                <w:bCs/>
                <w:color w:val="000000"/>
                <w:sz w:val="18"/>
                <w:szCs w:val="18"/>
              </w:rPr>
              <w:t>2,603,700</w:t>
            </w:r>
          </w:p>
        </w:tc>
      </w:tr>
      <w:tr w:rsidR="00E44A3F" w:rsidRPr="00005453" w14:paraId="4A7CFD2F" w14:textId="77777777" w:rsidTr="00E44A3F">
        <w:trPr>
          <w:divId w:val="1002775733"/>
          <w:trHeight w:val="233"/>
        </w:trPr>
        <w:tc>
          <w:tcPr>
            <w:tcW w:w="6237" w:type="dxa"/>
            <w:tcBorders>
              <w:top w:val="nil"/>
              <w:left w:val="nil"/>
              <w:bottom w:val="nil"/>
              <w:right w:val="nil"/>
            </w:tcBorders>
            <w:shd w:val="clear" w:color="auto" w:fill="auto"/>
            <w:noWrap/>
            <w:vAlign w:val="center"/>
            <w:hideMark/>
          </w:tcPr>
          <w:p w14:paraId="6541466E" w14:textId="77777777" w:rsidR="00E44A3F" w:rsidRPr="00005453" w:rsidRDefault="00E44A3F" w:rsidP="00E44A3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1437E3CC" w14:textId="182BA97B" w:rsidR="00E44A3F" w:rsidRPr="00005453" w:rsidRDefault="00E44A3F" w:rsidP="00E44A3F">
            <w:pPr>
              <w:jc w:val="right"/>
              <w:rPr>
                <w:bCs/>
                <w:color w:val="000000"/>
                <w:sz w:val="18"/>
                <w:szCs w:val="18"/>
              </w:rPr>
            </w:pPr>
            <w:r w:rsidRPr="00005453">
              <w:rPr>
                <w:color w:val="000000"/>
                <w:sz w:val="18"/>
                <w:szCs w:val="18"/>
              </w:rPr>
              <w:t>52,706</w:t>
            </w:r>
          </w:p>
        </w:tc>
        <w:tc>
          <w:tcPr>
            <w:tcW w:w="1369" w:type="dxa"/>
            <w:tcBorders>
              <w:top w:val="nil"/>
              <w:left w:val="nil"/>
              <w:bottom w:val="nil"/>
              <w:right w:val="nil"/>
            </w:tcBorders>
            <w:shd w:val="clear" w:color="auto" w:fill="auto"/>
            <w:noWrap/>
            <w:vAlign w:val="center"/>
            <w:hideMark/>
          </w:tcPr>
          <w:p w14:paraId="3F2AC9EC" w14:textId="6332CDC7" w:rsidR="00E44A3F" w:rsidRPr="00005453" w:rsidRDefault="00E44A3F" w:rsidP="00E44A3F">
            <w:pPr>
              <w:jc w:val="right"/>
              <w:rPr>
                <w:bCs/>
                <w:color w:val="000000"/>
                <w:sz w:val="18"/>
                <w:szCs w:val="18"/>
              </w:rPr>
            </w:pPr>
            <w:r w:rsidRPr="00005453">
              <w:rPr>
                <w:color w:val="000000"/>
                <w:sz w:val="18"/>
                <w:szCs w:val="18"/>
              </w:rPr>
              <w:t>2,603,700</w:t>
            </w:r>
          </w:p>
        </w:tc>
        <w:tc>
          <w:tcPr>
            <w:tcW w:w="1004" w:type="dxa"/>
            <w:tcBorders>
              <w:top w:val="nil"/>
              <w:left w:val="nil"/>
              <w:bottom w:val="nil"/>
              <w:right w:val="nil"/>
            </w:tcBorders>
            <w:shd w:val="clear" w:color="auto" w:fill="auto"/>
            <w:noWrap/>
            <w:vAlign w:val="center"/>
            <w:hideMark/>
          </w:tcPr>
          <w:p w14:paraId="67914124" w14:textId="2983D66D" w:rsidR="00E44A3F" w:rsidRPr="00005453" w:rsidRDefault="00E44A3F" w:rsidP="00E44A3F">
            <w:pPr>
              <w:jc w:val="right"/>
              <w:rPr>
                <w:bCs/>
                <w:color w:val="000000"/>
                <w:sz w:val="18"/>
                <w:szCs w:val="18"/>
              </w:rPr>
            </w:pPr>
            <w:r w:rsidRPr="00005453">
              <w:rPr>
                <w:sz w:val="18"/>
                <w:szCs w:val="18"/>
              </w:rPr>
              <w:t>2,603,700</w:t>
            </w:r>
          </w:p>
        </w:tc>
      </w:tr>
      <w:tr w:rsidR="00E44A3F" w:rsidRPr="00005453" w14:paraId="3A8A2C06" w14:textId="77777777" w:rsidTr="00E44A3F">
        <w:trPr>
          <w:divId w:val="1002775733"/>
          <w:trHeight w:val="233"/>
        </w:trPr>
        <w:tc>
          <w:tcPr>
            <w:tcW w:w="6237" w:type="dxa"/>
            <w:tcBorders>
              <w:top w:val="nil"/>
              <w:left w:val="nil"/>
              <w:right w:val="nil"/>
            </w:tcBorders>
            <w:shd w:val="clear" w:color="auto" w:fill="auto"/>
            <w:noWrap/>
            <w:vAlign w:val="center"/>
            <w:hideMark/>
          </w:tcPr>
          <w:p w14:paraId="3809DEA0" w14:textId="77777777" w:rsidR="00E44A3F" w:rsidRPr="00005453" w:rsidRDefault="00E44A3F" w:rsidP="00E44A3F">
            <w:pPr>
              <w:rPr>
                <w:b/>
                <w:bCs/>
                <w:color w:val="000000"/>
                <w:sz w:val="18"/>
                <w:szCs w:val="18"/>
                <w:lang w:eastAsia="tr-TR"/>
              </w:rPr>
            </w:pPr>
            <w:r w:rsidRPr="00005453">
              <w:rPr>
                <w:b/>
                <w:bCs/>
                <w:color w:val="000000"/>
                <w:sz w:val="18"/>
                <w:szCs w:val="18"/>
                <w:lang w:eastAsia="zh-CN"/>
              </w:rPr>
              <w:t>Diğer</w:t>
            </w:r>
          </w:p>
        </w:tc>
        <w:tc>
          <w:tcPr>
            <w:tcW w:w="1393" w:type="dxa"/>
            <w:tcBorders>
              <w:top w:val="nil"/>
              <w:left w:val="nil"/>
              <w:right w:val="nil"/>
            </w:tcBorders>
            <w:shd w:val="clear" w:color="auto" w:fill="auto"/>
            <w:noWrap/>
            <w:vAlign w:val="center"/>
            <w:hideMark/>
          </w:tcPr>
          <w:p w14:paraId="6DAE5ED6" w14:textId="5ED42EA5" w:rsidR="00E44A3F" w:rsidRPr="00005453" w:rsidRDefault="00E44A3F" w:rsidP="00E44A3F">
            <w:pPr>
              <w:jc w:val="right"/>
              <w:rPr>
                <w:b/>
                <w:bCs/>
                <w:color w:val="000000"/>
                <w:sz w:val="18"/>
                <w:szCs w:val="18"/>
              </w:rPr>
            </w:pPr>
            <w:r w:rsidRPr="00005453">
              <w:rPr>
                <w:b/>
                <w:bCs/>
                <w:sz w:val="18"/>
                <w:szCs w:val="18"/>
              </w:rPr>
              <w:t>20,000</w:t>
            </w:r>
          </w:p>
        </w:tc>
        <w:tc>
          <w:tcPr>
            <w:tcW w:w="1369" w:type="dxa"/>
            <w:tcBorders>
              <w:top w:val="nil"/>
              <w:left w:val="nil"/>
              <w:right w:val="nil"/>
            </w:tcBorders>
            <w:shd w:val="clear" w:color="auto" w:fill="auto"/>
            <w:noWrap/>
            <w:vAlign w:val="center"/>
            <w:hideMark/>
          </w:tcPr>
          <w:p w14:paraId="55793938" w14:textId="7BF44400" w:rsidR="00E44A3F" w:rsidRPr="00005453" w:rsidRDefault="00E44A3F" w:rsidP="00E44A3F">
            <w:pPr>
              <w:jc w:val="right"/>
              <w:rPr>
                <w:b/>
                <w:bCs/>
                <w:color w:val="000000"/>
                <w:sz w:val="18"/>
                <w:szCs w:val="18"/>
              </w:rPr>
            </w:pPr>
            <w:r w:rsidRPr="00005453">
              <w:rPr>
                <w:b/>
                <w:bCs/>
                <w:sz w:val="18"/>
                <w:szCs w:val="18"/>
              </w:rPr>
              <w:t>-</w:t>
            </w:r>
          </w:p>
        </w:tc>
        <w:tc>
          <w:tcPr>
            <w:tcW w:w="1004" w:type="dxa"/>
            <w:tcBorders>
              <w:top w:val="nil"/>
              <w:left w:val="nil"/>
              <w:right w:val="nil"/>
            </w:tcBorders>
            <w:shd w:val="clear" w:color="auto" w:fill="auto"/>
            <w:noWrap/>
            <w:vAlign w:val="center"/>
            <w:hideMark/>
          </w:tcPr>
          <w:p w14:paraId="2694EE64" w14:textId="41CDE06F" w:rsidR="00E44A3F" w:rsidRPr="00005453" w:rsidRDefault="00E44A3F" w:rsidP="00E44A3F">
            <w:pPr>
              <w:jc w:val="right"/>
              <w:rPr>
                <w:b/>
                <w:bCs/>
                <w:color w:val="000000"/>
                <w:sz w:val="18"/>
                <w:szCs w:val="18"/>
              </w:rPr>
            </w:pPr>
            <w:r w:rsidRPr="00005453">
              <w:rPr>
                <w:b/>
                <w:bCs/>
                <w:sz w:val="18"/>
                <w:szCs w:val="18"/>
              </w:rPr>
              <w:t>-</w:t>
            </w:r>
          </w:p>
        </w:tc>
      </w:tr>
      <w:tr w:rsidR="00E44A3F" w:rsidRPr="00005453" w14:paraId="7C2FEDF2" w14:textId="77777777" w:rsidTr="00E44A3F">
        <w:trPr>
          <w:divId w:val="1002775733"/>
          <w:trHeight w:val="233"/>
        </w:trPr>
        <w:tc>
          <w:tcPr>
            <w:tcW w:w="6237" w:type="dxa"/>
            <w:tcBorders>
              <w:top w:val="nil"/>
              <w:left w:val="nil"/>
              <w:bottom w:val="single" w:sz="8" w:space="0" w:color="auto"/>
              <w:right w:val="nil"/>
            </w:tcBorders>
            <w:shd w:val="clear" w:color="auto" w:fill="auto"/>
            <w:noWrap/>
            <w:vAlign w:val="center"/>
            <w:hideMark/>
          </w:tcPr>
          <w:p w14:paraId="61C7B6C6" w14:textId="77777777" w:rsidR="00E44A3F" w:rsidRPr="00005453" w:rsidRDefault="00E44A3F" w:rsidP="00E44A3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single" w:sz="8" w:space="0" w:color="auto"/>
              <w:right w:val="nil"/>
            </w:tcBorders>
            <w:shd w:val="clear" w:color="auto" w:fill="auto"/>
            <w:noWrap/>
            <w:vAlign w:val="center"/>
            <w:hideMark/>
          </w:tcPr>
          <w:p w14:paraId="45BBA68B" w14:textId="1D86B0D2" w:rsidR="00E44A3F" w:rsidRPr="00005453" w:rsidRDefault="00E44A3F" w:rsidP="00E44A3F">
            <w:pPr>
              <w:jc w:val="right"/>
              <w:rPr>
                <w:b/>
                <w:bCs/>
                <w:color w:val="000000"/>
                <w:sz w:val="18"/>
                <w:szCs w:val="18"/>
              </w:rPr>
            </w:pPr>
            <w:r w:rsidRPr="00005453">
              <w:rPr>
                <w:sz w:val="18"/>
                <w:szCs w:val="18"/>
              </w:rPr>
              <w:t>-</w:t>
            </w:r>
          </w:p>
        </w:tc>
        <w:tc>
          <w:tcPr>
            <w:tcW w:w="1369" w:type="dxa"/>
            <w:tcBorders>
              <w:top w:val="nil"/>
              <w:left w:val="nil"/>
              <w:bottom w:val="single" w:sz="8" w:space="0" w:color="auto"/>
              <w:right w:val="nil"/>
            </w:tcBorders>
            <w:shd w:val="clear" w:color="auto" w:fill="auto"/>
            <w:noWrap/>
            <w:vAlign w:val="center"/>
            <w:hideMark/>
          </w:tcPr>
          <w:p w14:paraId="4AF0E974" w14:textId="7A643C0C" w:rsidR="00E44A3F" w:rsidRPr="00005453" w:rsidRDefault="00E44A3F" w:rsidP="00E44A3F">
            <w:pPr>
              <w:jc w:val="right"/>
              <w:rPr>
                <w:b/>
                <w:bCs/>
                <w:color w:val="000000"/>
                <w:sz w:val="18"/>
                <w:szCs w:val="18"/>
              </w:rPr>
            </w:pPr>
            <w:r w:rsidRPr="00005453">
              <w:rPr>
                <w:sz w:val="18"/>
                <w:szCs w:val="18"/>
              </w:rPr>
              <w:t>-</w:t>
            </w:r>
          </w:p>
        </w:tc>
        <w:tc>
          <w:tcPr>
            <w:tcW w:w="1004" w:type="dxa"/>
            <w:tcBorders>
              <w:top w:val="nil"/>
              <w:left w:val="nil"/>
              <w:bottom w:val="single" w:sz="8" w:space="0" w:color="auto"/>
              <w:right w:val="nil"/>
            </w:tcBorders>
            <w:shd w:val="clear" w:color="auto" w:fill="auto"/>
            <w:noWrap/>
            <w:vAlign w:val="center"/>
            <w:hideMark/>
          </w:tcPr>
          <w:p w14:paraId="1738E182" w14:textId="001FAEC0" w:rsidR="00E44A3F" w:rsidRPr="00005453" w:rsidRDefault="00E44A3F" w:rsidP="00E44A3F">
            <w:pPr>
              <w:jc w:val="right"/>
              <w:rPr>
                <w:b/>
                <w:bCs/>
                <w:color w:val="000000"/>
                <w:sz w:val="18"/>
                <w:szCs w:val="18"/>
              </w:rPr>
            </w:pPr>
            <w:r w:rsidRPr="00005453">
              <w:rPr>
                <w:sz w:val="18"/>
                <w:szCs w:val="18"/>
              </w:rPr>
              <w:t>-</w:t>
            </w:r>
          </w:p>
        </w:tc>
      </w:tr>
      <w:tr w:rsidR="00A90BC7" w:rsidRPr="00005453" w14:paraId="6B2531D6" w14:textId="77777777" w:rsidTr="007D0F7A">
        <w:trPr>
          <w:divId w:val="1002775733"/>
          <w:trHeight w:val="233"/>
        </w:trPr>
        <w:tc>
          <w:tcPr>
            <w:tcW w:w="6237" w:type="dxa"/>
            <w:tcBorders>
              <w:top w:val="single" w:sz="8" w:space="0" w:color="auto"/>
              <w:left w:val="nil"/>
              <w:bottom w:val="single" w:sz="8" w:space="0" w:color="auto"/>
              <w:right w:val="nil"/>
            </w:tcBorders>
            <w:shd w:val="clear" w:color="auto" w:fill="auto"/>
            <w:noWrap/>
            <w:vAlign w:val="center"/>
            <w:hideMark/>
          </w:tcPr>
          <w:p w14:paraId="4D9E72F0" w14:textId="77777777" w:rsidR="00A90BC7" w:rsidRPr="00005453" w:rsidRDefault="00A90BC7" w:rsidP="00A90BC7">
            <w:pPr>
              <w:jc w:val="right"/>
              <w:rPr>
                <w:color w:val="000000"/>
                <w:sz w:val="18"/>
                <w:szCs w:val="18"/>
                <w:lang w:eastAsia="tr-TR"/>
              </w:rPr>
            </w:pPr>
          </w:p>
          <w:p w14:paraId="55C8662F" w14:textId="55A24784" w:rsidR="007D0F7A" w:rsidRPr="00005453" w:rsidRDefault="007D0F7A" w:rsidP="00A90BC7">
            <w:pPr>
              <w:jc w:val="right"/>
              <w:rPr>
                <w:color w:val="000000"/>
                <w:sz w:val="18"/>
                <w:szCs w:val="18"/>
                <w:lang w:eastAsia="tr-TR"/>
              </w:rPr>
            </w:pPr>
          </w:p>
        </w:tc>
        <w:tc>
          <w:tcPr>
            <w:tcW w:w="1393" w:type="dxa"/>
            <w:tcBorders>
              <w:top w:val="single" w:sz="8" w:space="0" w:color="auto"/>
              <w:left w:val="nil"/>
              <w:bottom w:val="single" w:sz="8" w:space="0" w:color="auto"/>
              <w:right w:val="nil"/>
            </w:tcBorders>
            <w:shd w:val="clear" w:color="auto" w:fill="auto"/>
            <w:noWrap/>
            <w:vAlign w:val="center"/>
            <w:hideMark/>
          </w:tcPr>
          <w:p w14:paraId="0404E9ED" w14:textId="77777777" w:rsidR="00A90BC7" w:rsidRPr="00005453" w:rsidRDefault="00A90BC7" w:rsidP="00A90BC7">
            <w:pPr>
              <w:rPr>
                <w:lang w:eastAsia="tr-TR"/>
              </w:rPr>
            </w:pPr>
          </w:p>
        </w:tc>
        <w:tc>
          <w:tcPr>
            <w:tcW w:w="1369" w:type="dxa"/>
            <w:tcBorders>
              <w:top w:val="single" w:sz="8" w:space="0" w:color="auto"/>
              <w:left w:val="nil"/>
              <w:bottom w:val="single" w:sz="8" w:space="0" w:color="auto"/>
              <w:right w:val="nil"/>
            </w:tcBorders>
            <w:shd w:val="clear" w:color="auto" w:fill="auto"/>
            <w:noWrap/>
            <w:vAlign w:val="center"/>
            <w:hideMark/>
          </w:tcPr>
          <w:p w14:paraId="4B8EDC33" w14:textId="77777777" w:rsidR="00A90BC7" w:rsidRPr="00005453" w:rsidRDefault="00A90BC7" w:rsidP="00A90BC7">
            <w:pPr>
              <w:jc w:val="right"/>
              <w:rPr>
                <w:lang w:eastAsia="tr-TR"/>
              </w:rPr>
            </w:pPr>
          </w:p>
        </w:tc>
        <w:tc>
          <w:tcPr>
            <w:tcW w:w="1004" w:type="dxa"/>
            <w:tcBorders>
              <w:top w:val="single" w:sz="8" w:space="0" w:color="auto"/>
              <w:left w:val="nil"/>
              <w:bottom w:val="single" w:sz="8" w:space="0" w:color="auto"/>
              <w:right w:val="nil"/>
            </w:tcBorders>
            <w:shd w:val="clear" w:color="auto" w:fill="auto"/>
            <w:noWrap/>
            <w:vAlign w:val="center"/>
            <w:hideMark/>
          </w:tcPr>
          <w:p w14:paraId="42A265B9" w14:textId="77777777" w:rsidR="00A90BC7" w:rsidRPr="00005453" w:rsidRDefault="00A90BC7" w:rsidP="00A90BC7">
            <w:pPr>
              <w:jc w:val="right"/>
              <w:rPr>
                <w:lang w:eastAsia="tr-TR"/>
              </w:rPr>
            </w:pPr>
          </w:p>
        </w:tc>
      </w:tr>
      <w:tr w:rsidR="00A90BC7" w:rsidRPr="00005453" w14:paraId="0337920E" w14:textId="77777777" w:rsidTr="007D0F7A">
        <w:trPr>
          <w:divId w:val="1002775733"/>
          <w:trHeight w:val="245"/>
        </w:trPr>
        <w:tc>
          <w:tcPr>
            <w:tcW w:w="6237" w:type="dxa"/>
            <w:tcBorders>
              <w:top w:val="single" w:sz="8" w:space="0" w:color="auto"/>
              <w:left w:val="nil"/>
              <w:bottom w:val="single" w:sz="8" w:space="0" w:color="auto"/>
              <w:right w:val="nil"/>
            </w:tcBorders>
            <w:shd w:val="clear" w:color="auto" w:fill="auto"/>
            <w:vAlign w:val="center"/>
            <w:hideMark/>
          </w:tcPr>
          <w:p w14:paraId="0CF5D176" w14:textId="77777777" w:rsidR="00A90BC7" w:rsidRPr="00005453" w:rsidRDefault="00A90BC7" w:rsidP="00A90BC7">
            <w:pPr>
              <w:rPr>
                <w:b/>
                <w:bCs/>
                <w:color w:val="000000"/>
                <w:sz w:val="18"/>
                <w:szCs w:val="18"/>
                <w:lang w:eastAsia="tr-TR"/>
              </w:rPr>
            </w:pPr>
            <w:r w:rsidRPr="00005453">
              <w:rPr>
                <w:b/>
                <w:bCs/>
                <w:color w:val="000000"/>
                <w:sz w:val="18"/>
                <w:szCs w:val="18"/>
                <w:lang w:eastAsia="zh-CN"/>
              </w:rPr>
              <w:t>Önceki Dönem</w:t>
            </w:r>
          </w:p>
        </w:tc>
        <w:tc>
          <w:tcPr>
            <w:tcW w:w="1393" w:type="dxa"/>
            <w:tcBorders>
              <w:top w:val="single" w:sz="8" w:space="0" w:color="auto"/>
              <w:left w:val="nil"/>
              <w:bottom w:val="single" w:sz="8" w:space="0" w:color="auto"/>
              <w:right w:val="nil"/>
            </w:tcBorders>
            <w:shd w:val="clear" w:color="auto" w:fill="auto"/>
            <w:vAlign w:val="center"/>
            <w:hideMark/>
          </w:tcPr>
          <w:p w14:paraId="4D7152F0" w14:textId="77777777" w:rsidR="00A90BC7" w:rsidRPr="00005453" w:rsidRDefault="00A90BC7" w:rsidP="00A90BC7">
            <w:pPr>
              <w:jc w:val="center"/>
              <w:rPr>
                <w:b/>
                <w:bCs/>
                <w:color w:val="000000"/>
                <w:sz w:val="18"/>
                <w:szCs w:val="18"/>
                <w:lang w:eastAsia="tr-TR"/>
              </w:rPr>
            </w:pPr>
            <w:r w:rsidRPr="00005453">
              <w:rPr>
                <w:b/>
                <w:bCs/>
                <w:color w:val="000000"/>
                <w:sz w:val="18"/>
                <w:szCs w:val="18"/>
                <w:lang w:eastAsia="zh-CN"/>
              </w:rPr>
              <w:t> </w:t>
            </w:r>
          </w:p>
        </w:tc>
        <w:tc>
          <w:tcPr>
            <w:tcW w:w="1369" w:type="dxa"/>
            <w:tcBorders>
              <w:top w:val="single" w:sz="8" w:space="0" w:color="auto"/>
              <w:left w:val="nil"/>
              <w:bottom w:val="single" w:sz="8" w:space="0" w:color="auto"/>
              <w:right w:val="nil"/>
            </w:tcBorders>
            <w:shd w:val="clear" w:color="auto" w:fill="auto"/>
            <w:vAlign w:val="center"/>
            <w:hideMark/>
          </w:tcPr>
          <w:p w14:paraId="0F87AE70" w14:textId="77777777" w:rsidR="00A90BC7" w:rsidRPr="00005453" w:rsidRDefault="00A90BC7" w:rsidP="00A90BC7">
            <w:pPr>
              <w:jc w:val="center"/>
              <w:rPr>
                <w:b/>
                <w:bCs/>
                <w:color w:val="000000"/>
                <w:sz w:val="18"/>
                <w:szCs w:val="18"/>
                <w:lang w:eastAsia="tr-TR"/>
              </w:rPr>
            </w:pPr>
            <w:r w:rsidRPr="00005453">
              <w:rPr>
                <w:b/>
                <w:bCs/>
                <w:color w:val="000000"/>
                <w:sz w:val="18"/>
                <w:szCs w:val="18"/>
                <w:lang w:eastAsia="zh-CN"/>
              </w:rPr>
              <w:t>Karşılaştırma</w:t>
            </w:r>
          </w:p>
        </w:tc>
        <w:tc>
          <w:tcPr>
            <w:tcW w:w="1004" w:type="dxa"/>
            <w:tcBorders>
              <w:top w:val="single" w:sz="8" w:space="0" w:color="auto"/>
              <w:left w:val="nil"/>
              <w:bottom w:val="single" w:sz="8" w:space="0" w:color="auto"/>
              <w:right w:val="nil"/>
            </w:tcBorders>
            <w:shd w:val="clear" w:color="auto" w:fill="auto"/>
            <w:vAlign w:val="center"/>
            <w:hideMark/>
          </w:tcPr>
          <w:p w14:paraId="633BABB8" w14:textId="77777777" w:rsidR="00A90BC7" w:rsidRPr="00005453" w:rsidRDefault="00A90BC7" w:rsidP="00A90BC7">
            <w:pPr>
              <w:jc w:val="center"/>
              <w:rPr>
                <w:b/>
                <w:bCs/>
                <w:color w:val="000000"/>
                <w:sz w:val="18"/>
                <w:szCs w:val="18"/>
                <w:lang w:eastAsia="tr-TR"/>
              </w:rPr>
            </w:pPr>
            <w:r w:rsidRPr="00005453">
              <w:rPr>
                <w:b/>
                <w:bCs/>
                <w:color w:val="000000"/>
                <w:sz w:val="18"/>
                <w:szCs w:val="18"/>
                <w:lang w:eastAsia="zh-CN"/>
              </w:rPr>
              <w:t> </w:t>
            </w:r>
          </w:p>
        </w:tc>
      </w:tr>
      <w:tr w:rsidR="00A90BC7" w:rsidRPr="00005453" w14:paraId="3CEB8C35" w14:textId="77777777" w:rsidTr="00F20AF5">
        <w:trPr>
          <w:divId w:val="1002775733"/>
          <w:trHeight w:val="245"/>
        </w:trPr>
        <w:tc>
          <w:tcPr>
            <w:tcW w:w="6237" w:type="dxa"/>
            <w:tcBorders>
              <w:top w:val="nil"/>
              <w:left w:val="nil"/>
              <w:bottom w:val="nil"/>
              <w:right w:val="nil"/>
            </w:tcBorders>
            <w:shd w:val="clear" w:color="auto" w:fill="auto"/>
            <w:noWrap/>
            <w:vAlign w:val="center"/>
            <w:hideMark/>
          </w:tcPr>
          <w:p w14:paraId="05EADF42" w14:textId="77777777" w:rsidR="00A90BC7" w:rsidRPr="00005453" w:rsidRDefault="00A90BC7" w:rsidP="00A90BC7">
            <w:pPr>
              <w:rPr>
                <w:b/>
                <w:bCs/>
                <w:color w:val="000000"/>
                <w:sz w:val="18"/>
                <w:szCs w:val="18"/>
                <w:lang w:eastAsia="zh-CN"/>
              </w:rPr>
            </w:pPr>
            <w:r w:rsidRPr="00005453">
              <w:rPr>
                <w:b/>
                <w:bCs/>
                <w:color w:val="000000"/>
                <w:sz w:val="18"/>
                <w:szCs w:val="18"/>
                <w:lang w:eastAsia="zh-CN"/>
              </w:rPr>
              <w:t xml:space="preserve">Hisse Senedi Yatırımları </w:t>
            </w:r>
          </w:p>
        </w:tc>
        <w:tc>
          <w:tcPr>
            <w:tcW w:w="1393" w:type="dxa"/>
            <w:tcBorders>
              <w:top w:val="nil"/>
              <w:left w:val="nil"/>
              <w:bottom w:val="nil"/>
              <w:right w:val="nil"/>
            </w:tcBorders>
            <w:shd w:val="clear" w:color="auto" w:fill="auto"/>
            <w:noWrap/>
            <w:vAlign w:val="center"/>
            <w:hideMark/>
          </w:tcPr>
          <w:p w14:paraId="1E8394FD" w14:textId="77777777" w:rsidR="00A90BC7" w:rsidRPr="00005453" w:rsidRDefault="00A90BC7" w:rsidP="00A90BC7">
            <w:pPr>
              <w:jc w:val="right"/>
              <w:rPr>
                <w:b/>
                <w:bCs/>
                <w:color w:val="000000"/>
                <w:sz w:val="18"/>
                <w:szCs w:val="18"/>
                <w:lang w:eastAsia="tr-TR"/>
              </w:rPr>
            </w:pPr>
            <w:r w:rsidRPr="00005453">
              <w:rPr>
                <w:b/>
                <w:bCs/>
                <w:color w:val="000000"/>
                <w:sz w:val="18"/>
                <w:szCs w:val="18"/>
                <w:lang w:eastAsia="zh-CN"/>
              </w:rPr>
              <w:t>Bilanço Değeri</w:t>
            </w:r>
          </w:p>
        </w:tc>
        <w:tc>
          <w:tcPr>
            <w:tcW w:w="1369" w:type="dxa"/>
            <w:tcBorders>
              <w:top w:val="nil"/>
              <w:left w:val="nil"/>
              <w:bottom w:val="nil"/>
              <w:right w:val="nil"/>
            </w:tcBorders>
            <w:shd w:val="clear" w:color="auto" w:fill="auto"/>
            <w:noWrap/>
            <w:vAlign w:val="center"/>
            <w:hideMark/>
          </w:tcPr>
          <w:p w14:paraId="38F7663F" w14:textId="77777777" w:rsidR="00A90BC7" w:rsidRPr="00005453" w:rsidRDefault="00A90BC7" w:rsidP="00A90BC7">
            <w:pPr>
              <w:jc w:val="right"/>
              <w:rPr>
                <w:b/>
                <w:bCs/>
                <w:color w:val="000000"/>
                <w:sz w:val="18"/>
                <w:szCs w:val="18"/>
                <w:lang w:eastAsia="tr-TR"/>
              </w:rPr>
            </w:pPr>
            <w:r w:rsidRPr="00005453">
              <w:rPr>
                <w:b/>
                <w:bCs/>
                <w:color w:val="000000"/>
                <w:sz w:val="18"/>
                <w:szCs w:val="18"/>
                <w:lang w:eastAsia="zh-CN"/>
              </w:rPr>
              <w:t>Gerçeğe Uygun Değer</w:t>
            </w:r>
          </w:p>
        </w:tc>
        <w:tc>
          <w:tcPr>
            <w:tcW w:w="1004" w:type="dxa"/>
            <w:tcBorders>
              <w:top w:val="nil"/>
              <w:left w:val="nil"/>
              <w:bottom w:val="nil"/>
              <w:right w:val="nil"/>
            </w:tcBorders>
            <w:shd w:val="clear" w:color="auto" w:fill="auto"/>
            <w:noWrap/>
            <w:vAlign w:val="center"/>
            <w:hideMark/>
          </w:tcPr>
          <w:p w14:paraId="061A6043" w14:textId="77777777" w:rsidR="00A90BC7" w:rsidRPr="00005453" w:rsidRDefault="00A90BC7" w:rsidP="00A90BC7">
            <w:pPr>
              <w:jc w:val="right"/>
              <w:rPr>
                <w:b/>
                <w:bCs/>
                <w:color w:val="000000"/>
                <w:sz w:val="18"/>
                <w:szCs w:val="18"/>
                <w:lang w:eastAsia="tr-TR"/>
              </w:rPr>
            </w:pPr>
            <w:r w:rsidRPr="00005453">
              <w:rPr>
                <w:b/>
                <w:bCs/>
                <w:color w:val="000000"/>
                <w:sz w:val="18"/>
                <w:szCs w:val="18"/>
                <w:lang w:eastAsia="zh-CN"/>
              </w:rPr>
              <w:t>Piyasa Değeri</w:t>
            </w:r>
          </w:p>
        </w:tc>
      </w:tr>
      <w:tr w:rsidR="00A90BC7" w:rsidRPr="00005453" w14:paraId="2A91207B" w14:textId="77777777" w:rsidTr="000E5F12">
        <w:trPr>
          <w:divId w:val="1002775733"/>
          <w:trHeight w:val="34"/>
        </w:trPr>
        <w:tc>
          <w:tcPr>
            <w:tcW w:w="6237" w:type="dxa"/>
            <w:tcBorders>
              <w:top w:val="single" w:sz="8" w:space="0" w:color="auto"/>
              <w:left w:val="nil"/>
              <w:bottom w:val="nil"/>
              <w:right w:val="nil"/>
            </w:tcBorders>
            <w:shd w:val="clear" w:color="auto" w:fill="auto"/>
            <w:noWrap/>
            <w:vAlign w:val="center"/>
            <w:hideMark/>
          </w:tcPr>
          <w:p w14:paraId="336EAAFE" w14:textId="77777777" w:rsidR="00A90BC7" w:rsidRPr="00005453" w:rsidRDefault="00A90BC7" w:rsidP="00A90BC7">
            <w:pPr>
              <w:rPr>
                <w:b/>
                <w:bCs/>
                <w:color w:val="000000"/>
                <w:sz w:val="6"/>
                <w:szCs w:val="6"/>
                <w:lang w:eastAsia="tr-TR"/>
              </w:rPr>
            </w:pPr>
            <w:r w:rsidRPr="00005453">
              <w:rPr>
                <w:b/>
                <w:bCs/>
                <w:color w:val="000000"/>
                <w:sz w:val="6"/>
                <w:szCs w:val="6"/>
                <w:lang w:eastAsia="zh-CN"/>
              </w:rPr>
              <w:t> </w:t>
            </w:r>
          </w:p>
        </w:tc>
        <w:tc>
          <w:tcPr>
            <w:tcW w:w="1393" w:type="dxa"/>
            <w:tcBorders>
              <w:top w:val="single" w:sz="8" w:space="0" w:color="auto"/>
              <w:left w:val="nil"/>
              <w:bottom w:val="nil"/>
              <w:right w:val="nil"/>
            </w:tcBorders>
            <w:shd w:val="clear" w:color="auto" w:fill="auto"/>
            <w:noWrap/>
            <w:vAlign w:val="center"/>
            <w:hideMark/>
          </w:tcPr>
          <w:p w14:paraId="37A28EAB" w14:textId="77777777" w:rsidR="00A90BC7" w:rsidRPr="00005453" w:rsidRDefault="00A90BC7" w:rsidP="00A90BC7">
            <w:pPr>
              <w:jc w:val="right"/>
              <w:rPr>
                <w:b/>
                <w:bCs/>
                <w:color w:val="000000"/>
                <w:sz w:val="6"/>
                <w:szCs w:val="6"/>
                <w:lang w:eastAsia="tr-TR"/>
              </w:rPr>
            </w:pPr>
            <w:r w:rsidRPr="00005453">
              <w:rPr>
                <w:b/>
                <w:bCs/>
                <w:color w:val="000000"/>
                <w:sz w:val="6"/>
                <w:szCs w:val="6"/>
                <w:lang w:eastAsia="tr-TR"/>
              </w:rPr>
              <w:t> </w:t>
            </w:r>
          </w:p>
        </w:tc>
        <w:tc>
          <w:tcPr>
            <w:tcW w:w="1369" w:type="dxa"/>
            <w:tcBorders>
              <w:top w:val="single" w:sz="8" w:space="0" w:color="auto"/>
              <w:left w:val="nil"/>
              <w:bottom w:val="nil"/>
              <w:right w:val="nil"/>
            </w:tcBorders>
            <w:shd w:val="clear" w:color="auto" w:fill="auto"/>
            <w:noWrap/>
            <w:vAlign w:val="center"/>
            <w:hideMark/>
          </w:tcPr>
          <w:p w14:paraId="7247F908" w14:textId="77777777" w:rsidR="00A90BC7" w:rsidRPr="00005453" w:rsidRDefault="00A90BC7" w:rsidP="00A90BC7">
            <w:pPr>
              <w:jc w:val="right"/>
              <w:rPr>
                <w:b/>
                <w:bCs/>
                <w:color w:val="000000"/>
                <w:sz w:val="6"/>
                <w:szCs w:val="6"/>
                <w:lang w:eastAsia="tr-TR"/>
              </w:rPr>
            </w:pPr>
            <w:r w:rsidRPr="00005453">
              <w:rPr>
                <w:b/>
                <w:bCs/>
                <w:color w:val="000000"/>
                <w:sz w:val="6"/>
                <w:szCs w:val="6"/>
                <w:lang w:eastAsia="tr-TR"/>
              </w:rPr>
              <w:t> </w:t>
            </w:r>
          </w:p>
        </w:tc>
        <w:tc>
          <w:tcPr>
            <w:tcW w:w="1004" w:type="dxa"/>
            <w:tcBorders>
              <w:top w:val="single" w:sz="8" w:space="0" w:color="auto"/>
              <w:left w:val="nil"/>
              <w:bottom w:val="nil"/>
              <w:right w:val="nil"/>
            </w:tcBorders>
            <w:shd w:val="clear" w:color="auto" w:fill="auto"/>
            <w:noWrap/>
            <w:vAlign w:val="center"/>
            <w:hideMark/>
          </w:tcPr>
          <w:p w14:paraId="4E29899D" w14:textId="77777777" w:rsidR="00A90BC7" w:rsidRPr="00005453" w:rsidRDefault="00A90BC7" w:rsidP="00A90BC7">
            <w:pPr>
              <w:jc w:val="right"/>
              <w:rPr>
                <w:b/>
                <w:bCs/>
                <w:color w:val="000000"/>
                <w:sz w:val="6"/>
                <w:szCs w:val="6"/>
                <w:lang w:eastAsia="tr-TR"/>
              </w:rPr>
            </w:pPr>
            <w:r w:rsidRPr="00005453">
              <w:rPr>
                <w:b/>
                <w:bCs/>
                <w:color w:val="000000"/>
                <w:sz w:val="6"/>
                <w:szCs w:val="6"/>
                <w:lang w:eastAsia="tr-TR"/>
              </w:rPr>
              <w:t> </w:t>
            </w:r>
          </w:p>
        </w:tc>
      </w:tr>
      <w:tr w:rsidR="0068789F" w:rsidRPr="00005453" w14:paraId="1F09B41E" w14:textId="77777777" w:rsidTr="0068789F">
        <w:trPr>
          <w:divId w:val="1002775733"/>
          <w:trHeight w:val="233"/>
        </w:trPr>
        <w:tc>
          <w:tcPr>
            <w:tcW w:w="6237" w:type="dxa"/>
            <w:tcBorders>
              <w:top w:val="nil"/>
              <w:left w:val="nil"/>
              <w:bottom w:val="nil"/>
              <w:right w:val="nil"/>
            </w:tcBorders>
            <w:shd w:val="clear" w:color="auto" w:fill="auto"/>
            <w:noWrap/>
            <w:vAlign w:val="center"/>
            <w:hideMark/>
          </w:tcPr>
          <w:p w14:paraId="1C97DD5C" w14:textId="77777777" w:rsidR="0068789F" w:rsidRPr="00005453" w:rsidRDefault="0068789F" w:rsidP="0068789F">
            <w:pPr>
              <w:rPr>
                <w:b/>
                <w:bCs/>
                <w:color w:val="000000"/>
                <w:sz w:val="18"/>
                <w:szCs w:val="18"/>
                <w:lang w:eastAsia="tr-TR"/>
              </w:rPr>
            </w:pPr>
            <w:r w:rsidRPr="00005453">
              <w:rPr>
                <w:b/>
                <w:bCs/>
                <w:color w:val="000000"/>
                <w:sz w:val="18"/>
                <w:szCs w:val="18"/>
                <w:lang w:eastAsia="zh-CN"/>
              </w:rPr>
              <w:t>Gerçeğe uygun değer</w:t>
            </w:r>
            <w:r w:rsidRPr="00005453">
              <w:rPr>
                <w:b/>
                <w:bCs/>
                <w:color w:val="000000"/>
                <w:sz w:val="18"/>
                <w:szCs w:val="18"/>
                <w:lang w:eastAsia="tr-TR"/>
              </w:rPr>
              <w:t xml:space="preserve"> farkı diğer kapsamlı gelire yansıtılan finansal varlıklar</w:t>
            </w:r>
          </w:p>
        </w:tc>
        <w:tc>
          <w:tcPr>
            <w:tcW w:w="1393" w:type="dxa"/>
            <w:tcBorders>
              <w:top w:val="nil"/>
              <w:left w:val="nil"/>
              <w:bottom w:val="nil"/>
              <w:right w:val="nil"/>
            </w:tcBorders>
            <w:shd w:val="clear" w:color="auto" w:fill="auto"/>
            <w:noWrap/>
            <w:vAlign w:val="center"/>
            <w:hideMark/>
          </w:tcPr>
          <w:p w14:paraId="0913E1A0" w14:textId="27F49994" w:rsidR="0068789F" w:rsidRPr="00005453" w:rsidRDefault="0068789F" w:rsidP="0068789F">
            <w:pPr>
              <w:jc w:val="right"/>
              <w:rPr>
                <w:b/>
                <w:bCs/>
                <w:color w:val="000000"/>
                <w:sz w:val="18"/>
                <w:szCs w:val="18"/>
                <w:lang w:eastAsia="tr-TR"/>
              </w:rPr>
            </w:pPr>
            <w:r w:rsidRPr="00005453">
              <w:rPr>
                <w:b/>
                <w:bCs/>
                <w:color w:val="000000"/>
                <w:sz w:val="18"/>
                <w:szCs w:val="18"/>
              </w:rPr>
              <w:t>301,759</w:t>
            </w:r>
          </w:p>
        </w:tc>
        <w:tc>
          <w:tcPr>
            <w:tcW w:w="1369" w:type="dxa"/>
            <w:tcBorders>
              <w:top w:val="nil"/>
              <w:left w:val="nil"/>
              <w:bottom w:val="nil"/>
              <w:right w:val="nil"/>
            </w:tcBorders>
            <w:shd w:val="clear" w:color="auto" w:fill="auto"/>
            <w:noWrap/>
            <w:vAlign w:val="center"/>
            <w:hideMark/>
          </w:tcPr>
          <w:p w14:paraId="5AC36A60" w14:textId="4458FE72" w:rsidR="0068789F" w:rsidRPr="00005453" w:rsidRDefault="0068789F" w:rsidP="0068789F">
            <w:pPr>
              <w:jc w:val="right"/>
              <w:rPr>
                <w:b/>
                <w:bCs/>
                <w:color w:val="000000"/>
                <w:sz w:val="18"/>
                <w:szCs w:val="18"/>
                <w:lang w:eastAsia="tr-TR"/>
              </w:rPr>
            </w:pPr>
            <w:r w:rsidRPr="00005453">
              <w:rPr>
                <w:b/>
                <w:bCs/>
                <w:color w:val="000000"/>
                <w:sz w:val="18"/>
                <w:szCs w:val="18"/>
              </w:rPr>
              <w:t>-</w:t>
            </w:r>
          </w:p>
        </w:tc>
        <w:tc>
          <w:tcPr>
            <w:tcW w:w="1004" w:type="dxa"/>
            <w:tcBorders>
              <w:top w:val="nil"/>
              <w:left w:val="nil"/>
              <w:bottom w:val="nil"/>
              <w:right w:val="nil"/>
            </w:tcBorders>
            <w:shd w:val="clear" w:color="auto" w:fill="auto"/>
            <w:noWrap/>
            <w:vAlign w:val="center"/>
            <w:hideMark/>
          </w:tcPr>
          <w:p w14:paraId="15D4C802" w14:textId="47E6B87D" w:rsidR="0068789F" w:rsidRPr="00005453" w:rsidRDefault="0068789F" w:rsidP="0068789F">
            <w:pPr>
              <w:jc w:val="right"/>
              <w:rPr>
                <w:b/>
                <w:bCs/>
                <w:color w:val="000000"/>
                <w:sz w:val="18"/>
                <w:szCs w:val="18"/>
                <w:lang w:eastAsia="tr-TR"/>
              </w:rPr>
            </w:pPr>
            <w:r w:rsidRPr="00005453">
              <w:rPr>
                <w:b/>
                <w:bCs/>
                <w:color w:val="000000"/>
                <w:sz w:val="18"/>
                <w:szCs w:val="18"/>
              </w:rPr>
              <w:t>301,759</w:t>
            </w:r>
          </w:p>
        </w:tc>
      </w:tr>
      <w:tr w:rsidR="0068789F" w:rsidRPr="00005453" w14:paraId="2FAE6B45" w14:textId="77777777" w:rsidTr="0068789F">
        <w:trPr>
          <w:divId w:val="1002775733"/>
          <w:trHeight w:val="233"/>
        </w:trPr>
        <w:tc>
          <w:tcPr>
            <w:tcW w:w="6237" w:type="dxa"/>
            <w:tcBorders>
              <w:top w:val="nil"/>
              <w:left w:val="nil"/>
              <w:bottom w:val="nil"/>
              <w:right w:val="nil"/>
            </w:tcBorders>
            <w:shd w:val="clear" w:color="auto" w:fill="auto"/>
            <w:noWrap/>
            <w:vAlign w:val="center"/>
            <w:hideMark/>
          </w:tcPr>
          <w:p w14:paraId="524FB000" w14:textId="77777777" w:rsidR="0068789F" w:rsidRPr="00005453" w:rsidRDefault="0068789F" w:rsidP="0068789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561FC651" w14:textId="56E9E107" w:rsidR="0068789F" w:rsidRPr="00005453" w:rsidRDefault="0068789F" w:rsidP="0068789F">
            <w:pPr>
              <w:jc w:val="right"/>
              <w:rPr>
                <w:color w:val="000000"/>
                <w:sz w:val="18"/>
                <w:szCs w:val="18"/>
                <w:lang w:eastAsia="tr-TR"/>
              </w:rPr>
            </w:pPr>
            <w:r w:rsidRPr="00005453">
              <w:rPr>
                <w:bCs/>
                <w:color w:val="000000"/>
                <w:sz w:val="18"/>
                <w:szCs w:val="18"/>
              </w:rPr>
              <w:t>-</w:t>
            </w:r>
          </w:p>
        </w:tc>
        <w:tc>
          <w:tcPr>
            <w:tcW w:w="1369" w:type="dxa"/>
            <w:tcBorders>
              <w:top w:val="nil"/>
              <w:left w:val="nil"/>
              <w:bottom w:val="nil"/>
              <w:right w:val="nil"/>
            </w:tcBorders>
            <w:shd w:val="clear" w:color="auto" w:fill="auto"/>
            <w:noWrap/>
            <w:vAlign w:val="center"/>
            <w:hideMark/>
          </w:tcPr>
          <w:p w14:paraId="1C07F4DC" w14:textId="4775137D" w:rsidR="0068789F" w:rsidRPr="00005453" w:rsidRDefault="0068789F" w:rsidP="0068789F">
            <w:pPr>
              <w:jc w:val="right"/>
              <w:rPr>
                <w:color w:val="000000"/>
                <w:sz w:val="18"/>
                <w:szCs w:val="18"/>
                <w:lang w:eastAsia="tr-TR"/>
              </w:rPr>
            </w:pPr>
            <w:r w:rsidRPr="00005453">
              <w:rPr>
                <w:bCs/>
                <w:color w:val="000000"/>
                <w:sz w:val="18"/>
                <w:szCs w:val="18"/>
              </w:rPr>
              <w:t>-</w:t>
            </w:r>
          </w:p>
        </w:tc>
        <w:tc>
          <w:tcPr>
            <w:tcW w:w="1004" w:type="dxa"/>
            <w:tcBorders>
              <w:top w:val="nil"/>
              <w:left w:val="nil"/>
              <w:bottom w:val="nil"/>
              <w:right w:val="nil"/>
            </w:tcBorders>
            <w:shd w:val="clear" w:color="auto" w:fill="auto"/>
            <w:noWrap/>
            <w:vAlign w:val="center"/>
            <w:hideMark/>
          </w:tcPr>
          <w:p w14:paraId="784950D1" w14:textId="5CB49404" w:rsidR="0068789F" w:rsidRPr="00005453" w:rsidRDefault="0068789F" w:rsidP="0068789F">
            <w:pPr>
              <w:jc w:val="right"/>
              <w:rPr>
                <w:color w:val="000000"/>
                <w:sz w:val="18"/>
                <w:szCs w:val="18"/>
                <w:lang w:eastAsia="tr-TR"/>
              </w:rPr>
            </w:pPr>
            <w:r w:rsidRPr="00005453">
              <w:rPr>
                <w:bCs/>
                <w:color w:val="000000"/>
                <w:sz w:val="18"/>
                <w:szCs w:val="18"/>
              </w:rPr>
              <w:t>-</w:t>
            </w:r>
          </w:p>
        </w:tc>
      </w:tr>
      <w:tr w:rsidR="0068789F" w:rsidRPr="00005453" w14:paraId="2CAAA375" w14:textId="77777777" w:rsidTr="0068789F">
        <w:trPr>
          <w:divId w:val="1002775733"/>
          <w:trHeight w:val="233"/>
        </w:trPr>
        <w:tc>
          <w:tcPr>
            <w:tcW w:w="6237" w:type="dxa"/>
            <w:tcBorders>
              <w:top w:val="nil"/>
              <w:left w:val="nil"/>
              <w:bottom w:val="nil"/>
              <w:right w:val="nil"/>
            </w:tcBorders>
            <w:shd w:val="clear" w:color="auto" w:fill="auto"/>
            <w:noWrap/>
            <w:vAlign w:val="center"/>
            <w:hideMark/>
          </w:tcPr>
          <w:p w14:paraId="51560DF5" w14:textId="77777777" w:rsidR="0068789F" w:rsidRPr="00005453" w:rsidRDefault="0068789F" w:rsidP="0068789F">
            <w:pPr>
              <w:rPr>
                <w:b/>
                <w:bCs/>
                <w:color w:val="000000"/>
                <w:sz w:val="18"/>
                <w:szCs w:val="18"/>
                <w:lang w:eastAsia="tr-TR"/>
              </w:rPr>
            </w:pPr>
            <w:r w:rsidRPr="00005453">
              <w:rPr>
                <w:b/>
                <w:bCs/>
                <w:color w:val="000000"/>
                <w:sz w:val="18"/>
                <w:szCs w:val="18"/>
                <w:lang w:eastAsia="zh-CN"/>
              </w:rPr>
              <w:t>İştirakler</w:t>
            </w:r>
          </w:p>
        </w:tc>
        <w:tc>
          <w:tcPr>
            <w:tcW w:w="1393" w:type="dxa"/>
            <w:tcBorders>
              <w:top w:val="nil"/>
              <w:left w:val="nil"/>
              <w:bottom w:val="nil"/>
              <w:right w:val="nil"/>
            </w:tcBorders>
            <w:shd w:val="clear" w:color="auto" w:fill="auto"/>
            <w:noWrap/>
            <w:vAlign w:val="center"/>
            <w:hideMark/>
          </w:tcPr>
          <w:p w14:paraId="6D624C50" w14:textId="7677BA23" w:rsidR="0068789F" w:rsidRPr="00005453" w:rsidRDefault="0068789F" w:rsidP="0068789F">
            <w:pPr>
              <w:jc w:val="right"/>
              <w:rPr>
                <w:color w:val="000000"/>
                <w:sz w:val="18"/>
                <w:szCs w:val="18"/>
                <w:lang w:eastAsia="tr-TR"/>
              </w:rPr>
            </w:pPr>
            <w:r w:rsidRPr="00005453">
              <w:rPr>
                <w:b/>
                <w:bCs/>
                <w:color w:val="000000"/>
                <w:sz w:val="18"/>
                <w:szCs w:val="18"/>
              </w:rPr>
              <w:t>-</w:t>
            </w:r>
          </w:p>
        </w:tc>
        <w:tc>
          <w:tcPr>
            <w:tcW w:w="1369" w:type="dxa"/>
            <w:tcBorders>
              <w:top w:val="nil"/>
              <w:left w:val="nil"/>
              <w:bottom w:val="nil"/>
              <w:right w:val="nil"/>
            </w:tcBorders>
            <w:shd w:val="clear" w:color="auto" w:fill="auto"/>
            <w:noWrap/>
            <w:vAlign w:val="center"/>
            <w:hideMark/>
          </w:tcPr>
          <w:p w14:paraId="6F1690DF" w14:textId="53AB20E0" w:rsidR="0068789F" w:rsidRPr="00005453" w:rsidRDefault="0068789F" w:rsidP="0068789F">
            <w:pPr>
              <w:jc w:val="right"/>
              <w:rPr>
                <w:color w:val="000000"/>
                <w:sz w:val="18"/>
                <w:szCs w:val="18"/>
                <w:lang w:eastAsia="tr-TR"/>
              </w:rPr>
            </w:pPr>
            <w:r w:rsidRPr="00005453">
              <w:rPr>
                <w:b/>
                <w:bCs/>
                <w:color w:val="000000"/>
                <w:sz w:val="18"/>
                <w:szCs w:val="18"/>
              </w:rPr>
              <w:t>-</w:t>
            </w:r>
          </w:p>
        </w:tc>
        <w:tc>
          <w:tcPr>
            <w:tcW w:w="1004" w:type="dxa"/>
            <w:tcBorders>
              <w:top w:val="nil"/>
              <w:left w:val="nil"/>
              <w:bottom w:val="nil"/>
              <w:right w:val="nil"/>
            </w:tcBorders>
            <w:shd w:val="clear" w:color="auto" w:fill="auto"/>
            <w:noWrap/>
            <w:vAlign w:val="center"/>
            <w:hideMark/>
          </w:tcPr>
          <w:p w14:paraId="4FC0A5EF" w14:textId="4A5985EA" w:rsidR="0068789F" w:rsidRPr="00005453" w:rsidRDefault="0068789F" w:rsidP="0068789F">
            <w:pPr>
              <w:jc w:val="right"/>
              <w:rPr>
                <w:color w:val="000000"/>
                <w:sz w:val="18"/>
                <w:szCs w:val="18"/>
                <w:lang w:eastAsia="tr-TR"/>
              </w:rPr>
            </w:pPr>
            <w:r w:rsidRPr="00005453">
              <w:rPr>
                <w:b/>
                <w:bCs/>
                <w:color w:val="000000"/>
                <w:sz w:val="18"/>
                <w:szCs w:val="18"/>
              </w:rPr>
              <w:t>-</w:t>
            </w:r>
          </w:p>
        </w:tc>
      </w:tr>
      <w:tr w:rsidR="0068789F" w:rsidRPr="00005453" w14:paraId="62B617A8" w14:textId="77777777" w:rsidTr="0068789F">
        <w:trPr>
          <w:divId w:val="1002775733"/>
          <w:trHeight w:val="233"/>
        </w:trPr>
        <w:tc>
          <w:tcPr>
            <w:tcW w:w="6237" w:type="dxa"/>
            <w:tcBorders>
              <w:top w:val="nil"/>
              <w:left w:val="nil"/>
              <w:bottom w:val="nil"/>
              <w:right w:val="nil"/>
            </w:tcBorders>
            <w:shd w:val="clear" w:color="auto" w:fill="auto"/>
            <w:noWrap/>
            <w:vAlign w:val="center"/>
            <w:hideMark/>
          </w:tcPr>
          <w:p w14:paraId="294D8CFB" w14:textId="77777777" w:rsidR="0068789F" w:rsidRPr="00005453" w:rsidRDefault="0068789F" w:rsidP="0068789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1F264BFB" w14:textId="4BA91B8C" w:rsidR="0068789F" w:rsidRPr="00005453" w:rsidRDefault="0068789F" w:rsidP="0068789F">
            <w:pPr>
              <w:jc w:val="right"/>
              <w:rPr>
                <w:color w:val="000000"/>
                <w:sz w:val="18"/>
                <w:szCs w:val="18"/>
                <w:lang w:eastAsia="tr-TR"/>
              </w:rPr>
            </w:pPr>
            <w:r w:rsidRPr="00005453">
              <w:rPr>
                <w:bCs/>
                <w:color w:val="000000"/>
                <w:sz w:val="18"/>
                <w:szCs w:val="18"/>
              </w:rPr>
              <w:t>-</w:t>
            </w:r>
          </w:p>
        </w:tc>
        <w:tc>
          <w:tcPr>
            <w:tcW w:w="1369" w:type="dxa"/>
            <w:tcBorders>
              <w:top w:val="nil"/>
              <w:left w:val="nil"/>
              <w:bottom w:val="nil"/>
              <w:right w:val="nil"/>
            </w:tcBorders>
            <w:shd w:val="clear" w:color="auto" w:fill="auto"/>
            <w:noWrap/>
            <w:vAlign w:val="center"/>
            <w:hideMark/>
          </w:tcPr>
          <w:p w14:paraId="1B3DAB03" w14:textId="5FFE0E73" w:rsidR="0068789F" w:rsidRPr="00005453" w:rsidRDefault="0068789F" w:rsidP="0068789F">
            <w:pPr>
              <w:jc w:val="right"/>
              <w:rPr>
                <w:color w:val="000000"/>
                <w:sz w:val="18"/>
                <w:szCs w:val="18"/>
                <w:lang w:eastAsia="tr-TR"/>
              </w:rPr>
            </w:pPr>
            <w:r w:rsidRPr="00005453">
              <w:rPr>
                <w:bCs/>
                <w:color w:val="000000"/>
                <w:sz w:val="18"/>
                <w:szCs w:val="18"/>
              </w:rPr>
              <w:t>-</w:t>
            </w:r>
          </w:p>
        </w:tc>
        <w:tc>
          <w:tcPr>
            <w:tcW w:w="1004" w:type="dxa"/>
            <w:tcBorders>
              <w:top w:val="nil"/>
              <w:left w:val="nil"/>
              <w:bottom w:val="nil"/>
              <w:right w:val="nil"/>
            </w:tcBorders>
            <w:shd w:val="clear" w:color="auto" w:fill="auto"/>
            <w:noWrap/>
            <w:vAlign w:val="center"/>
            <w:hideMark/>
          </w:tcPr>
          <w:p w14:paraId="27D648DD" w14:textId="503DD8B2" w:rsidR="0068789F" w:rsidRPr="00005453" w:rsidRDefault="0068789F" w:rsidP="0068789F">
            <w:pPr>
              <w:jc w:val="right"/>
              <w:rPr>
                <w:color w:val="000000"/>
                <w:sz w:val="18"/>
                <w:szCs w:val="18"/>
                <w:lang w:eastAsia="tr-TR"/>
              </w:rPr>
            </w:pPr>
            <w:r w:rsidRPr="00005453">
              <w:rPr>
                <w:bCs/>
                <w:color w:val="000000"/>
                <w:sz w:val="18"/>
                <w:szCs w:val="18"/>
              </w:rPr>
              <w:t>-</w:t>
            </w:r>
          </w:p>
        </w:tc>
      </w:tr>
      <w:tr w:rsidR="0068789F" w:rsidRPr="00005453" w14:paraId="002BAA35" w14:textId="77777777" w:rsidTr="0068789F">
        <w:trPr>
          <w:divId w:val="1002775733"/>
          <w:trHeight w:val="233"/>
        </w:trPr>
        <w:tc>
          <w:tcPr>
            <w:tcW w:w="6237" w:type="dxa"/>
            <w:tcBorders>
              <w:top w:val="nil"/>
              <w:left w:val="nil"/>
              <w:bottom w:val="nil"/>
              <w:right w:val="nil"/>
            </w:tcBorders>
            <w:shd w:val="clear" w:color="auto" w:fill="auto"/>
            <w:noWrap/>
            <w:vAlign w:val="center"/>
            <w:hideMark/>
          </w:tcPr>
          <w:p w14:paraId="7EB66BE8" w14:textId="77777777" w:rsidR="0068789F" w:rsidRPr="00005453" w:rsidRDefault="0068789F" w:rsidP="0068789F">
            <w:pPr>
              <w:rPr>
                <w:b/>
                <w:bCs/>
                <w:color w:val="000000"/>
                <w:sz w:val="18"/>
                <w:szCs w:val="18"/>
                <w:lang w:eastAsia="tr-TR"/>
              </w:rPr>
            </w:pPr>
            <w:r w:rsidRPr="00005453">
              <w:rPr>
                <w:b/>
                <w:bCs/>
                <w:color w:val="000000"/>
                <w:sz w:val="18"/>
                <w:szCs w:val="18"/>
                <w:lang w:eastAsia="zh-CN"/>
              </w:rPr>
              <w:t>Bağlı ortaklıklar</w:t>
            </w:r>
          </w:p>
        </w:tc>
        <w:tc>
          <w:tcPr>
            <w:tcW w:w="1393" w:type="dxa"/>
            <w:tcBorders>
              <w:top w:val="nil"/>
              <w:left w:val="nil"/>
              <w:bottom w:val="nil"/>
              <w:right w:val="nil"/>
            </w:tcBorders>
            <w:shd w:val="clear" w:color="auto" w:fill="auto"/>
            <w:noWrap/>
            <w:vAlign w:val="center"/>
            <w:hideMark/>
          </w:tcPr>
          <w:p w14:paraId="3756A85B" w14:textId="38F3B32E" w:rsidR="0068789F" w:rsidRPr="00005453" w:rsidRDefault="0068789F" w:rsidP="0068789F">
            <w:pPr>
              <w:jc w:val="right"/>
              <w:rPr>
                <w:b/>
                <w:bCs/>
                <w:color w:val="000000"/>
                <w:sz w:val="18"/>
                <w:szCs w:val="18"/>
                <w:lang w:eastAsia="tr-TR"/>
              </w:rPr>
            </w:pPr>
            <w:r w:rsidRPr="00005453">
              <w:rPr>
                <w:b/>
                <w:bCs/>
                <w:color w:val="000000"/>
                <w:sz w:val="18"/>
                <w:szCs w:val="18"/>
              </w:rPr>
              <w:t>3,192,925</w:t>
            </w:r>
          </w:p>
        </w:tc>
        <w:tc>
          <w:tcPr>
            <w:tcW w:w="1369" w:type="dxa"/>
            <w:tcBorders>
              <w:top w:val="nil"/>
              <w:left w:val="nil"/>
              <w:bottom w:val="nil"/>
              <w:right w:val="nil"/>
            </w:tcBorders>
            <w:shd w:val="clear" w:color="auto" w:fill="auto"/>
            <w:noWrap/>
            <w:vAlign w:val="center"/>
            <w:hideMark/>
          </w:tcPr>
          <w:p w14:paraId="12857551" w14:textId="0D8514F8" w:rsidR="0068789F" w:rsidRPr="00005453" w:rsidRDefault="0068789F" w:rsidP="0068789F">
            <w:pPr>
              <w:jc w:val="right"/>
              <w:rPr>
                <w:b/>
                <w:bCs/>
                <w:color w:val="000000"/>
                <w:sz w:val="18"/>
                <w:szCs w:val="18"/>
                <w:lang w:eastAsia="tr-TR"/>
              </w:rPr>
            </w:pPr>
            <w:r w:rsidRPr="00005453">
              <w:rPr>
                <w:b/>
                <w:bCs/>
                <w:color w:val="000000"/>
                <w:sz w:val="18"/>
                <w:szCs w:val="18"/>
              </w:rPr>
              <w:t>1,980,000</w:t>
            </w:r>
          </w:p>
        </w:tc>
        <w:tc>
          <w:tcPr>
            <w:tcW w:w="1004" w:type="dxa"/>
            <w:tcBorders>
              <w:top w:val="nil"/>
              <w:left w:val="nil"/>
              <w:bottom w:val="nil"/>
              <w:right w:val="nil"/>
            </w:tcBorders>
            <w:shd w:val="clear" w:color="auto" w:fill="auto"/>
            <w:noWrap/>
            <w:vAlign w:val="center"/>
            <w:hideMark/>
          </w:tcPr>
          <w:p w14:paraId="24F25821" w14:textId="2D4BA455" w:rsidR="0068789F" w:rsidRPr="00005453" w:rsidRDefault="0068789F" w:rsidP="0068789F">
            <w:pPr>
              <w:jc w:val="right"/>
              <w:rPr>
                <w:b/>
                <w:bCs/>
                <w:color w:val="000000"/>
                <w:sz w:val="18"/>
                <w:szCs w:val="18"/>
                <w:lang w:eastAsia="tr-TR"/>
              </w:rPr>
            </w:pPr>
            <w:r w:rsidRPr="00005453">
              <w:rPr>
                <w:b/>
                <w:bCs/>
                <w:color w:val="000000"/>
                <w:sz w:val="18"/>
                <w:szCs w:val="18"/>
              </w:rPr>
              <w:t>1,980,000</w:t>
            </w:r>
          </w:p>
        </w:tc>
      </w:tr>
      <w:tr w:rsidR="0068789F" w:rsidRPr="00005453" w14:paraId="13F9F95A" w14:textId="77777777" w:rsidTr="0068789F">
        <w:trPr>
          <w:divId w:val="1002775733"/>
          <w:trHeight w:val="233"/>
        </w:trPr>
        <w:tc>
          <w:tcPr>
            <w:tcW w:w="6237" w:type="dxa"/>
            <w:tcBorders>
              <w:top w:val="nil"/>
              <w:left w:val="nil"/>
              <w:bottom w:val="nil"/>
              <w:right w:val="nil"/>
            </w:tcBorders>
            <w:shd w:val="clear" w:color="auto" w:fill="auto"/>
            <w:noWrap/>
            <w:vAlign w:val="center"/>
            <w:hideMark/>
          </w:tcPr>
          <w:p w14:paraId="262D59EB" w14:textId="77777777" w:rsidR="0068789F" w:rsidRPr="00005453" w:rsidRDefault="0068789F" w:rsidP="0068789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34DF5BB9" w14:textId="0183854D" w:rsidR="0068789F" w:rsidRPr="00005453" w:rsidRDefault="0068789F" w:rsidP="0068789F">
            <w:pPr>
              <w:jc w:val="right"/>
              <w:rPr>
                <w:color w:val="000000"/>
                <w:sz w:val="18"/>
                <w:szCs w:val="18"/>
                <w:lang w:eastAsia="tr-TR"/>
              </w:rPr>
            </w:pPr>
            <w:r w:rsidRPr="00005453">
              <w:rPr>
                <w:bCs/>
                <w:color w:val="000000"/>
                <w:sz w:val="18"/>
                <w:szCs w:val="18"/>
              </w:rPr>
              <w:t>53,418</w:t>
            </w:r>
          </w:p>
        </w:tc>
        <w:tc>
          <w:tcPr>
            <w:tcW w:w="1369" w:type="dxa"/>
            <w:tcBorders>
              <w:top w:val="nil"/>
              <w:left w:val="nil"/>
              <w:bottom w:val="nil"/>
              <w:right w:val="nil"/>
            </w:tcBorders>
            <w:shd w:val="clear" w:color="auto" w:fill="auto"/>
            <w:noWrap/>
            <w:vAlign w:val="center"/>
            <w:hideMark/>
          </w:tcPr>
          <w:p w14:paraId="77CE97C7" w14:textId="0DDF40F1" w:rsidR="0068789F" w:rsidRPr="00005453" w:rsidRDefault="0068789F" w:rsidP="0068789F">
            <w:pPr>
              <w:jc w:val="right"/>
              <w:rPr>
                <w:color w:val="000000"/>
                <w:sz w:val="18"/>
                <w:szCs w:val="18"/>
                <w:lang w:eastAsia="tr-TR"/>
              </w:rPr>
            </w:pPr>
            <w:r w:rsidRPr="00005453">
              <w:rPr>
                <w:bCs/>
                <w:color w:val="000000"/>
                <w:sz w:val="18"/>
                <w:szCs w:val="18"/>
              </w:rPr>
              <w:t>1,980,000</w:t>
            </w:r>
          </w:p>
        </w:tc>
        <w:tc>
          <w:tcPr>
            <w:tcW w:w="1004" w:type="dxa"/>
            <w:tcBorders>
              <w:top w:val="nil"/>
              <w:left w:val="nil"/>
              <w:bottom w:val="nil"/>
              <w:right w:val="nil"/>
            </w:tcBorders>
            <w:shd w:val="clear" w:color="auto" w:fill="auto"/>
            <w:noWrap/>
            <w:vAlign w:val="center"/>
            <w:hideMark/>
          </w:tcPr>
          <w:p w14:paraId="4BA1A9C0" w14:textId="3015A9C4" w:rsidR="0068789F" w:rsidRPr="00005453" w:rsidRDefault="0068789F" w:rsidP="0068789F">
            <w:pPr>
              <w:jc w:val="right"/>
              <w:rPr>
                <w:color w:val="000000"/>
                <w:sz w:val="18"/>
                <w:szCs w:val="18"/>
                <w:lang w:eastAsia="tr-TR"/>
              </w:rPr>
            </w:pPr>
            <w:r w:rsidRPr="00005453">
              <w:rPr>
                <w:bCs/>
                <w:color w:val="000000"/>
                <w:sz w:val="18"/>
                <w:szCs w:val="18"/>
              </w:rPr>
              <w:t>1,980,000</w:t>
            </w:r>
          </w:p>
        </w:tc>
      </w:tr>
      <w:tr w:rsidR="0068789F" w:rsidRPr="00005453" w14:paraId="6F2E4EDF" w14:textId="77777777" w:rsidTr="0068789F">
        <w:trPr>
          <w:divId w:val="1002775733"/>
          <w:trHeight w:val="233"/>
        </w:trPr>
        <w:tc>
          <w:tcPr>
            <w:tcW w:w="6237" w:type="dxa"/>
            <w:tcBorders>
              <w:top w:val="nil"/>
              <w:left w:val="nil"/>
              <w:right w:val="nil"/>
            </w:tcBorders>
            <w:shd w:val="clear" w:color="auto" w:fill="auto"/>
            <w:noWrap/>
            <w:vAlign w:val="center"/>
            <w:hideMark/>
          </w:tcPr>
          <w:p w14:paraId="77DFB9EC" w14:textId="77777777" w:rsidR="0068789F" w:rsidRPr="00005453" w:rsidRDefault="0068789F" w:rsidP="0068789F">
            <w:pPr>
              <w:rPr>
                <w:b/>
                <w:bCs/>
                <w:color w:val="000000"/>
                <w:sz w:val="18"/>
                <w:szCs w:val="18"/>
                <w:lang w:eastAsia="tr-TR"/>
              </w:rPr>
            </w:pPr>
            <w:r w:rsidRPr="00005453">
              <w:rPr>
                <w:b/>
                <w:bCs/>
                <w:color w:val="000000"/>
                <w:sz w:val="18"/>
                <w:szCs w:val="18"/>
                <w:lang w:eastAsia="zh-CN"/>
              </w:rPr>
              <w:t>Diğer</w:t>
            </w:r>
          </w:p>
        </w:tc>
        <w:tc>
          <w:tcPr>
            <w:tcW w:w="1393" w:type="dxa"/>
            <w:tcBorders>
              <w:top w:val="nil"/>
              <w:left w:val="nil"/>
              <w:right w:val="nil"/>
            </w:tcBorders>
            <w:shd w:val="clear" w:color="auto" w:fill="auto"/>
            <w:noWrap/>
            <w:vAlign w:val="center"/>
            <w:hideMark/>
          </w:tcPr>
          <w:p w14:paraId="5CEC96D5" w14:textId="112C59FE" w:rsidR="0068789F" w:rsidRPr="00005453" w:rsidRDefault="0068789F" w:rsidP="0068789F">
            <w:pPr>
              <w:jc w:val="right"/>
              <w:rPr>
                <w:b/>
                <w:bCs/>
                <w:color w:val="000000"/>
                <w:sz w:val="18"/>
                <w:szCs w:val="18"/>
                <w:lang w:eastAsia="tr-TR"/>
              </w:rPr>
            </w:pPr>
            <w:r w:rsidRPr="00005453">
              <w:rPr>
                <w:b/>
                <w:bCs/>
                <w:color w:val="000000"/>
                <w:sz w:val="18"/>
                <w:szCs w:val="18"/>
              </w:rPr>
              <w:t>20,000</w:t>
            </w:r>
          </w:p>
        </w:tc>
        <w:tc>
          <w:tcPr>
            <w:tcW w:w="1369" w:type="dxa"/>
            <w:tcBorders>
              <w:top w:val="nil"/>
              <w:left w:val="nil"/>
              <w:right w:val="nil"/>
            </w:tcBorders>
            <w:shd w:val="clear" w:color="auto" w:fill="auto"/>
            <w:noWrap/>
            <w:vAlign w:val="center"/>
            <w:hideMark/>
          </w:tcPr>
          <w:p w14:paraId="7B634C35" w14:textId="29074D69" w:rsidR="0068789F" w:rsidRPr="00005453" w:rsidRDefault="0068789F" w:rsidP="0068789F">
            <w:pPr>
              <w:jc w:val="right"/>
              <w:rPr>
                <w:b/>
                <w:bCs/>
                <w:color w:val="000000"/>
                <w:sz w:val="18"/>
                <w:szCs w:val="18"/>
                <w:lang w:eastAsia="tr-TR"/>
              </w:rPr>
            </w:pPr>
            <w:r w:rsidRPr="00005453">
              <w:rPr>
                <w:b/>
                <w:bCs/>
                <w:color w:val="000000"/>
                <w:sz w:val="18"/>
                <w:szCs w:val="18"/>
              </w:rPr>
              <w:t>-</w:t>
            </w:r>
          </w:p>
        </w:tc>
        <w:tc>
          <w:tcPr>
            <w:tcW w:w="1004" w:type="dxa"/>
            <w:tcBorders>
              <w:top w:val="nil"/>
              <w:left w:val="nil"/>
              <w:right w:val="nil"/>
            </w:tcBorders>
            <w:shd w:val="clear" w:color="auto" w:fill="auto"/>
            <w:noWrap/>
            <w:vAlign w:val="center"/>
            <w:hideMark/>
          </w:tcPr>
          <w:p w14:paraId="2B6F7D80" w14:textId="3EC5FC8C" w:rsidR="0068789F" w:rsidRPr="00005453" w:rsidRDefault="0068789F" w:rsidP="0068789F">
            <w:pPr>
              <w:jc w:val="right"/>
              <w:rPr>
                <w:b/>
                <w:bCs/>
                <w:color w:val="000000"/>
                <w:sz w:val="18"/>
                <w:szCs w:val="18"/>
                <w:lang w:eastAsia="tr-TR"/>
              </w:rPr>
            </w:pPr>
            <w:r w:rsidRPr="00005453">
              <w:rPr>
                <w:b/>
                <w:bCs/>
                <w:color w:val="000000"/>
                <w:sz w:val="18"/>
                <w:szCs w:val="18"/>
              </w:rPr>
              <w:t>-</w:t>
            </w:r>
          </w:p>
        </w:tc>
      </w:tr>
      <w:tr w:rsidR="0068789F" w:rsidRPr="00005453" w14:paraId="75912DFD" w14:textId="77777777" w:rsidTr="0068789F">
        <w:trPr>
          <w:divId w:val="1002775733"/>
          <w:trHeight w:val="233"/>
        </w:trPr>
        <w:tc>
          <w:tcPr>
            <w:tcW w:w="6237" w:type="dxa"/>
            <w:tcBorders>
              <w:top w:val="nil"/>
              <w:left w:val="nil"/>
              <w:bottom w:val="single" w:sz="8" w:space="0" w:color="auto"/>
              <w:right w:val="nil"/>
            </w:tcBorders>
            <w:shd w:val="clear" w:color="auto" w:fill="auto"/>
            <w:noWrap/>
            <w:vAlign w:val="center"/>
            <w:hideMark/>
          </w:tcPr>
          <w:p w14:paraId="5E94A3C4" w14:textId="77777777" w:rsidR="0068789F" w:rsidRPr="00005453" w:rsidRDefault="0068789F" w:rsidP="0068789F">
            <w:pPr>
              <w:rPr>
                <w:color w:val="000000"/>
                <w:sz w:val="18"/>
                <w:szCs w:val="18"/>
                <w:lang w:eastAsia="tr-TR"/>
              </w:rPr>
            </w:pPr>
            <w:r w:rsidRPr="00005453">
              <w:rPr>
                <w:color w:val="000000"/>
                <w:sz w:val="18"/>
                <w:szCs w:val="18"/>
                <w:lang w:eastAsia="zh-CN"/>
              </w:rPr>
              <w:t>Borsada işlem gören</w:t>
            </w:r>
          </w:p>
        </w:tc>
        <w:tc>
          <w:tcPr>
            <w:tcW w:w="1393" w:type="dxa"/>
            <w:tcBorders>
              <w:top w:val="nil"/>
              <w:left w:val="nil"/>
              <w:bottom w:val="single" w:sz="8" w:space="0" w:color="auto"/>
              <w:right w:val="nil"/>
            </w:tcBorders>
            <w:shd w:val="clear" w:color="auto" w:fill="auto"/>
            <w:noWrap/>
            <w:vAlign w:val="center"/>
            <w:hideMark/>
          </w:tcPr>
          <w:p w14:paraId="075B7FA2" w14:textId="05B8625D" w:rsidR="0068789F" w:rsidRPr="00005453" w:rsidRDefault="0068789F" w:rsidP="0068789F">
            <w:pPr>
              <w:jc w:val="right"/>
              <w:rPr>
                <w:color w:val="000000"/>
                <w:sz w:val="18"/>
                <w:szCs w:val="18"/>
                <w:lang w:eastAsia="tr-TR"/>
              </w:rPr>
            </w:pPr>
            <w:r w:rsidRPr="00005453">
              <w:rPr>
                <w:b/>
                <w:bCs/>
                <w:color w:val="000000"/>
                <w:sz w:val="18"/>
                <w:szCs w:val="18"/>
              </w:rPr>
              <w:t>-</w:t>
            </w:r>
          </w:p>
        </w:tc>
        <w:tc>
          <w:tcPr>
            <w:tcW w:w="1369" w:type="dxa"/>
            <w:tcBorders>
              <w:top w:val="nil"/>
              <w:left w:val="nil"/>
              <w:bottom w:val="single" w:sz="8" w:space="0" w:color="auto"/>
              <w:right w:val="nil"/>
            </w:tcBorders>
            <w:shd w:val="clear" w:color="auto" w:fill="auto"/>
            <w:noWrap/>
            <w:vAlign w:val="center"/>
            <w:hideMark/>
          </w:tcPr>
          <w:p w14:paraId="5C3C0CC4" w14:textId="26C6E5FA" w:rsidR="0068789F" w:rsidRPr="00005453" w:rsidRDefault="0068789F" w:rsidP="0068789F">
            <w:pPr>
              <w:jc w:val="right"/>
              <w:rPr>
                <w:color w:val="000000"/>
                <w:sz w:val="18"/>
                <w:szCs w:val="18"/>
                <w:lang w:eastAsia="tr-TR"/>
              </w:rPr>
            </w:pPr>
            <w:r w:rsidRPr="00005453">
              <w:rPr>
                <w:b/>
                <w:bCs/>
                <w:color w:val="000000"/>
                <w:sz w:val="18"/>
                <w:szCs w:val="18"/>
              </w:rPr>
              <w:t>-</w:t>
            </w:r>
          </w:p>
        </w:tc>
        <w:tc>
          <w:tcPr>
            <w:tcW w:w="1004" w:type="dxa"/>
            <w:tcBorders>
              <w:top w:val="nil"/>
              <w:left w:val="nil"/>
              <w:bottom w:val="single" w:sz="8" w:space="0" w:color="auto"/>
              <w:right w:val="nil"/>
            </w:tcBorders>
            <w:shd w:val="clear" w:color="auto" w:fill="auto"/>
            <w:noWrap/>
            <w:vAlign w:val="center"/>
            <w:hideMark/>
          </w:tcPr>
          <w:p w14:paraId="06C2ADC6" w14:textId="13F8F693" w:rsidR="0068789F" w:rsidRPr="00005453" w:rsidRDefault="0068789F" w:rsidP="0068789F">
            <w:pPr>
              <w:jc w:val="right"/>
              <w:rPr>
                <w:color w:val="000000"/>
                <w:sz w:val="18"/>
                <w:szCs w:val="18"/>
                <w:lang w:eastAsia="tr-TR"/>
              </w:rPr>
            </w:pPr>
            <w:r w:rsidRPr="00005453">
              <w:rPr>
                <w:b/>
                <w:bCs/>
                <w:color w:val="000000"/>
                <w:sz w:val="18"/>
                <w:szCs w:val="18"/>
              </w:rPr>
              <w:t>-</w:t>
            </w:r>
          </w:p>
        </w:tc>
      </w:tr>
      <w:tr w:rsidR="00984381" w:rsidRPr="00005453" w14:paraId="7DAA7C6D" w14:textId="77777777" w:rsidTr="007D0F7A">
        <w:trPr>
          <w:divId w:val="1002775733"/>
          <w:trHeight w:val="233"/>
        </w:trPr>
        <w:tc>
          <w:tcPr>
            <w:tcW w:w="6237" w:type="dxa"/>
            <w:tcBorders>
              <w:top w:val="single" w:sz="8" w:space="0" w:color="auto"/>
              <w:left w:val="nil"/>
              <w:bottom w:val="nil"/>
              <w:right w:val="nil"/>
            </w:tcBorders>
            <w:shd w:val="clear" w:color="auto" w:fill="auto"/>
            <w:noWrap/>
            <w:vAlign w:val="center"/>
          </w:tcPr>
          <w:p w14:paraId="33664D75" w14:textId="77777777" w:rsidR="00984381" w:rsidRPr="00005453" w:rsidRDefault="00984381" w:rsidP="00984381">
            <w:pPr>
              <w:rPr>
                <w:color w:val="000000"/>
                <w:sz w:val="18"/>
                <w:szCs w:val="18"/>
                <w:lang w:eastAsia="zh-CN"/>
              </w:rPr>
            </w:pPr>
          </w:p>
        </w:tc>
        <w:tc>
          <w:tcPr>
            <w:tcW w:w="1393" w:type="dxa"/>
            <w:tcBorders>
              <w:top w:val="single" w:sz="8" w:space="0" w:color="auto"/>
              <w:left w:val="nil"/>
              <w:bottom w:val="nil"/>
              <w:right w:val="nil"/>
            </w:tcBorders>
            <w:shd w:val="clear" w:color="auto" w:fill="auto"/>
            <w:noWrap/>
            <w:vAlign w:val="center"/>
          </w:tcPr>
          <w:p w14:paraId="76B646BC" w14:textId="77777777" w:rsidR="00984381" w:rsidRPr="00005453" w:rsidRDefault="00984381" w:rsidP="00984381">
            <w:pPr>
              <w:jc w:val="right"/>
              <w:rPr>
                <w:color w:val="000000"/>
                <w:sz w:val="18"/>
                <w:szCs w:val="18"/>
                <w:lang w:eastAsia="tr-TR"/>
              </w:rPr>
            </w:pPr>
          </w:p>
        </w:tc>
        <w:tc>
          <w:tcPr>
            <w:tcW w:w="1369" w:type="dxa"/>
            <w:tcBorders>
              <w:top w:val="single" w:sz="8" w:space="0" w:color="auto"/>
              <w:left w:val="nil"/>
              <w:bottom w:val="nil"/>
              <w:right w:val="nil"/>
            </w:tcBorders>
            <w:shd w:val="clear" w:color="auto" w:fill="auto"/>
            <w:noWrap/>
            <w:vAlign w:val="center"/>
          </w:tcPr>
          <w:p w14:paraId="49C49434" w14:textId="77777777" w:rsidR="00984381" w:rsidRPr="00005453" w:rsidRDefault="00984381" w:rsidP="00984381">
            <w:pPr>
              <w:jc w:val="right"/>
              <w:rPr>
                <w:color w:val="000000"/>
                <w:sz w:val="18"/>
                <w:szCs w:val="18"/>
                <w:lang w:eastAsia="tr-TR"/>
              </w:rPr>
            </w:pPr>
          </w:p>
        </w:tc>
        <w:tc>
          <w:tcPr>
            <w:tcW w:w="1004" w:type="dxa"/>
            <w:tcBorders>
              <w:top w:val="single" w:sz="8" w:space="0" w:color="auto"/>
              <w:left w:val="nil"/>
              <w:bottom w:val="nil"/>
              <w:right w:val="nil"/>
            </w:tcBorders>
            <w:shd w:val="clear" w:color="auto" w:fill="auto"/>
            <w:noWrap/>
            <w:vAlign w:val="center"/>
          </w:tcPr>
          <w:p w14:paraId="15767D1D" w14:textId="77777777" w:rsidR="00984381" w:rsidRPr="00005453" w:rsidRDefault="00984381" w:rsidP="00984381">
            <w:pPr>
              <w:jc w:val="right"/>
              <w:rPr>
                <w:color w:val="000000"/>
                <w:sz w:val="18"/>
                <w:szCs w:val="18"/>
                <w:lang w:eastAsia="tr-TR"/>
              </w:rPr>
            </w:pPr>
          </w:p>
        </w:tc>
      </w:tr>
    </w:tbl>
    <w:p w14:paraId="4F19354E" w14:textId="199B0AB1" w:rsidR="00ED339C" w:rsidRPr="00005453" w:rsidRDefault="00ED339C" w:rsidP="00ED339C">
      <w:pPr>
        <w:jc w:val="both"/>
        <w:rPr>
          <w:rFonts w:eastAsia="Arial Unicode MS"/>
          <w:b/>
          <w:sz w:val="16"/>
          <w:szCs w:val="16"/>
        </w:rPr>
      </w:pPr>
    </w:p>
    <w:p w14:paraId="151EC09D" w14:textId="32254489" w:rsidR="00ED339C" w:rsidRPr="00005453" w:rsidRDefault="0054031F" w:rsidP="00E86BAA">
      <w:pPr>
        <w:autoSpaceDE w:val="0"/>
        <w:autoSpaceDN w:val="0"/>
        <w:adjustRightInd w:val="0"/>
        <w:ind w:hanging="567"/>
        <w:jc w:val="both"/>
        <w:rPr>
          <w:rFonts w:eastAsia="Arial Unicode MS"/>
          <w:b/>
        </w:rPr>
      </w:pPr>
      <w:r w:rsidRPr="00005453">
        <w:rPr>
          <w:rFonts w:eastAsia="Arial Unicode MS"/>
          <w:b/>
        </w:rPr>
        <w:t>4</w:t>
      </w:r>
      <w:r w:rsidR="0010698B" w:rsidRPr="00005453">
        <w:rPr>
          <w:rFonts w:eastAsia="Arial Unicode MS"/>
          <w:b/>
        </w:rPr>
        <w:t>.3</w:t>
      </w:r>
      <w:r w:rsidR="00ED339C" w:rsidRPr="00005453">
        <w:rPr>
          <w:rFonts w:eastAsia="Arial Unicode MS"/>
          <w:b/>
        </w:rPr>
        <w:t xml:space="preserve"> </w:t>
      </w:r>
      <w:r w:rsidR="0003633B" w:rsidRPr="00005453">
        <w:rPr>
          <w:rFonts w:eastAsia="Arial Unicode MS"/>
          <w:b/>
        </w:rPr>
        <w:tab/>
      </w:r>
      <w:r w:rsidR="00ED339C" w:rsidRPr="00005453">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005453" w:rsidRDefault="00E86BAA" w:rsidP="0003633B">
      <w:pPr>
        <w:autoSpaceDE w:val="0"/>
        <w:autoSpaceDN w:val="0"/>
        <w:adjustRightInd w:val="0"/>
        <w:ind w:hanging="567"/>
        <w:jc w:val="both"/>
        <w:rPr>
          <w:rFonts w:eastAsia="Arial Unicode MS"/>
          <w:b/>
          <w:sz w:val="16"/>
          <w:szCs w:val="16"/>
        </w:rPr>
      </w:pPr>
    </w:p>
    <w:p w14:paraId="61CCF99F" w14:textId="77777777" w:rsidR="00BF79FD" w:rsidRPr="00005453" w:rsidRDefault="00796E0F" w:rsidP="00DC2638">
      <w:pPr>
        <w:tabs>
          <w:tab w:val="left" w:pos="709"/>
        </w:tabs>
        <w:autoSpaceDE w:val="0"/>
        <w:autoSpaceDN w:val="0"/>
        <w:adjustRightInd w:val="0"/>
        <w:rPr>
          <w:rFonts w:eastAsia="Arial Unicode MS"/>
        </w:rPr>
      </w:pPr>
      <w:r w:rsidRPr="00005453">
        <w:rPr>
          <w:rFonts w:eastAsia="Arial Unicode MS"/>
        </w:rPr>
        <w:t xml:space="preserve">Bulunmamaktadır. </w:t>
      </w:r>
    </w:p>
    <w:p w14:paraId="28E3BA6A" w14:textId="77777777" w:rsidR="00996205" w:rsidRPr="00005453" w:rsidRDefault="00C47A3E" w:rsidP="00996205">
      <w:pPr>
        <w:tabs>
          <w:tab w:val="left" w:pos="709"/>
        </w:tabs>
        <w:autoSpaceDE w:val="0"/>
        <w:autoSpaceDN w:val="0"/>
        <w:adjustRightInd w:val="0"/>
        <w:ind w:hanging="567"/>
        <w:rPr>
          <w:rFonts w:eastAsia="Arial Unicode MS"/>
          <w:b/>
        </w:rPr>
      </w:pPr>
      <w:r w:rsidRPr="00005453">
        <w:rPr>
          <w:rFonts w:eastAsia="Arial Unicode MS"/>
          <w:b/>
        </w:rPr>
        <w:br w:type="page"/>
      </w:r>
      <w:r w:rsidR="00996205" w:rsidRPr="00005453">
        <w:rPr>
          <w:rFonts w:eastAsia="Arial Unicode MS"/>
          <w:b/>
        </w:rPr>
        <w:lastRenderedPageBreak/>
        <w:t>5</w:t>
      </w:r>
      <w:r w:rsidR="00996205" w:rsidRPr="00005453">
        <w:rPr>
          <w:b/>
          <w:color w:val="000000"/>
        </w:rPr>
        <w:t xml:space="preserve">.     </w:t>
      </w:r>
      <w:r w:rsidR="00996205" w:rsidRPr="00005453">
        <w:rPr>
          <w:b/>
          <w:color w:val="000000"/>
        </w:rPr>
        <w:tab/>
        <w:t>Likidite riski yönetimine ve likidite karşılama oranına ilişkin açıklamalar</w:t>
      </w:r>
    </w:p>
    <w:p w14:paraId="43733A7E" w14:textId="77777777" w:rsidR="00996205" w:rsidRPr="00005453" w:rsidRDefault="00996205" w:rsidP="00996205">
      <w:pPr>
        <w:autoSpaceDE w:val="0"/>
        <w:autoSpaceDN w:val="0"/>
        <w:adjustRightInd w:val="0"/>
        <w:ind w:left="-540"/>
        <w:rPr>
          <w:rFonts w:eastAsia="Arial Unicode MS"/>
          <w:sz w:val="16"/>
          <w:szCs w:val="16"/>
        </w:rPr>
      </w:pPr>
    </w:p>
    <w:p w14:paraId="3697C047" w14:textId="77777777" w:rsidR="00996205" w:rsidRPr="00005453" w:rsidRDefault="00996205" w:rsidP="00996205">
      <w:pPr>
        <w:jc w:val="both"/>
        <w:rPr>
          <w:rFonts w:eastAsia="Arial Unicode MS"/>
          <w:spacing w:val="-6"/>
        </w:rPr>
      </w:pPr>
      <w:r w:rsidRPr="00005453">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76B828B9" w14:textId="77777777" w:rsidR="00996205" w:rsidRPr="00005453" w:rsidRDefault="00996205" w:rsidP="00996205">
      <w:pPr>
        <w:jc w:val="both"/>
        <w:rPr>
          <w:rFonts w:eastAsia="Arial Unicode MS"/>
        </w:rPr>
      </w:pPr>
      <w:r w:rsidRPr="00005453">
        <w:rPr>
          <w:rFonts w:eastAsia="Arial Unicode MS"/>
          <w:sz w:val="16"/>
          <w:szCs w:val="16"/>
        </w:rPr>
        <w:br/>
      </w:r>
      <w:r w:rsidRPr="00005453">
        <w:rPr>
          <w:rFonts w:eastAsia="Arial Unicode MS"/>
        </w:rPr>
        <w:t>Fonlama likiditesi riski: Herhangi bir beklenmedik kayba maruz kalmadan ve temerrüde düşmeden borçlarını ve yükümlülüklerini karşılayamama riskidir.</w:t>
      </w:r>
    </w:p>
    <w:p w14:paraId="11FF459C" w14:textId="77777777" w:rsidR="00996205" w:rsidRPr="00005453" w:rsidRDefault="00996205" w:rsidP="00996205">
      <w:pPr>
        <w:jc w:val="both"/>
        <w:rPr>
          <w:rFonts w:eastAsia="Arial Unicode MS"/>
          <w:spacing w:val="-6"/>
        </w:rPr>
      </w:pPr>
      <w:r w:rsidRPr="00005453">
        <w:rPr>
          <w:rFonts w:eastAsia="Arial Unicode MS"/>
          <w:sz w:val="16"/>
          <w:szCs w:val="16"/>
        </w:rPr>
        <w:br/>
      </w:r>
      <w:r w:rsidRPr="00005453">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091E23A7" w14:textId="77777777" w:rsidR="00996205" w:rsidRPr="00005453" w:rsidRDefault="00996205" w:rsidP="00996205">
      <w:pPr>
        <w:jc w:val="both"/>
        <w:rPr>
          <w:rFonts w:eastAsia="Arial Unicode MS"/>
          <w:spacing w:val="-6"/>
        </w:rPr>
      </w:pPr>
    </w:p>
    <w:p w14:paraId="644A7710" w14:textId="31A8C360" w:rsidR="00996205" w:rsidRPr="00005453" w:rsidRDefault="00996205" w:rsidP="00996205">
      <w:pPr>
        <w:jc w:val="both"/>
        <w:rPr>
          <w:rFonts w:eastAsia="Arial Unicode MS"/>
          <w:spacing w:val="-6"/>
        </w:rPr>
      </w:pPr>
      <w:bookmarkStart w:id="40" w:name="_Hlk40732946"/>
      <w:r w:rsidRPr="00005453">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w:t>
      </w:r>
      <w:r w:rsidR="00527651" w:rsidRPr="00005453">
        <w:rPr>
          <w:rFonts w:eastAsia="Arial Unicode MS"/>
          <w:spacing w:val="-6"/>
        </w:rPr>
        <w:t>’</w:t>
      </w:r>
      <w:r w:rsidRPr="00005453">
        <w:rPr>
          <w:rFonts w:eastAsia="Arial Unicode MS"/>
          <w:spacing w:val="-6"/>
        </w:rPr>
        <w:t>nın stres koşullarında yeterli likidite düzeyini sağlamasına ve sürdürmesine ilişkin usul ve esasları düzenlemek üzere Acil Durum Fonlama Planı (Likidite Beklenmedik Durum Planı) oluşturulmuştur.</w:t>
      </w:r>
    </w:p>
    <w:p w14:paraId="17C67FE6" w14:textId="77777777" w:rsidR="00996205" w:rsidRPr="00005453" w:rsidRDefault="00996205" w:rsidP="00996205">
      <w:pPr>
        <w:jc w:val="both"/>
        <w:rPr>
          <w:rFonts w:eastAsia="Arial Unicode MS"/>
          <w:spacing w:val="-6"/>
        </w:rPr>
      </w:pPr>
    </w:p>
    <w:bookmarkEnd w:id="40"/>
    <w:p w14:paraId="2F63070F" w14:textId="77777777" w:rsidR="00996205" w:rsidRPr="00005453" w:rsidRDefault="00996205" w:rsidP="00996205">
      <w:pPr>
        <w:ind w:hanging="567"/>
        <w:jc w:val="both"/>
        <w:rPr>
          <w:rFonts w:eastAsia="Arial Unicode MS"/>
          <w:b/>
          <w:color w:val="000000"/>
        </w:rPr>
      </w:pPr>
      <w:r w:rsidRPr="00005453">
        <w:rPr>
          <w:rFonts w:eastAsia="Arial Unicode MS"/>
          <w:b/>
          <w:color w:val="000000"/>
        </w:rPr>
        <w:t xml:space="preserve">5.1   </w:t>
      </w:r>
      <w:r w:rsidRPr="00005453">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05128605" w14:textId="77777777" w:rsidR="00996205" w:rsidRPr="00005453" w:rsidRDefault="00996205" w:rsidP="00996205">
      <w:pPr>
        <w:ind w:firstLine="720"/>
        <w:jc w:val="both"/>
        <w:rPr>
          <w:rFonts w:eastAsia="Arial Unicode MS"/>
          <w:sz w:val="16"/>
          <w:szCs w:val="16"/>
        </w:rPr>
      </w:pPr>
    </w:p>
    <w:p w14:paraId="32AC30CE" w14:textId="77777777" w:rsidR="00996205" w:rsidRPr="00005453" w:rsidRDefault="00996205" w:rsidP="00996205">
      <w:pPr>
        <w:jc w:val="both"/>
        <w:rPr>
          <w:rFonts w:eastAsia="Arial Unicode MS"/>
        </w:rPr>
      </w:pPr>
      <w:r w:rsidRPr="00005453">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12D91127" w14:textId="0702DC0D" w:rsidR="00996205" w:rsidRPr="00005453" w:rsidRDefault="00996205" w:rsidP="00996205">
      <w:pPr>
        <w:jc w:val="both"/>
        <w:rPr>
          <w:rFonts w:eastAsia="Arial Unicode MS"/>
        </w:rPr>
      </w:pPr>
      <w:r w:rsidRPr="00005453">
        <w:rPr>
          <w:rFonts w:eastAsia="Arial Unicode MS"/>
          <w:sz w:val="16"/>
          <w:szCs w:val="16"/>
        </w:rPr>
        <w:br/>
      </w:r>
      <w:r w:rsidRPr="00005453">
        <w:rPr>
          <w:rFonts w:eastAsia="Arial Unicode MS"/>
        </w:rPr>
        <w:t>Banka, sahip olduğu güçlü sermaye yapısı ve ana ortağı Kuwait Finance House’un desteği, cari ve katılma hesaplarının tabana yayılmış ve istikrarlı olması, çeşitlendirilmiş yurt</w:t>
      </w:r>
      <w:r w:rsidR="00455FD1" w:rsidRPr="00005453">
        <w:rPr>
          <w:rFonts w:eastAsia="Arial Unicode MS"/>
        </w:rPr>
        <w:t xml:space="preserve"> </w:t>
      </w:r>
      <w:r w:rsidRPr="00005453">
        <w:rPr>
          <w:rFonts w:eastAsia="Arial Unicode MS"/>
        </w:rPr>
        <w: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2C73AF21" w14:textId="77777777" w:rsidR="00996205" w:rsidRPr="00005453" w:rsidRDefault="00996205" w:rsidP="00996205">
      <w:pPr>
        <w:jc w:val="both"/>
        <w:rPr>
          <w:rFonts w:eastAsia="Arial Unicode MS"/>
          <w:sz w:val="16"/>
          <w:szCs w:val="16"/>
        </w:rPr>
      </w:pPr>
    </w:p>
    <w:p w14:paraId="6D125409" w14:textId="77777777" w:rsidR="00996205" w:rsidRPr="00005453" w:rsidRDefault="00996205" w:rsidP="00996205">
      <w:pPr>
        <w:jc w:val="both"/>
        <w:rPr>
          <w:rFonts w:eastAsia="Arial Unicode MS"/>
          <w:spacing w:val="-6"/>
        </w:rPr>
      </w:pPr>
      <w:r w:rsidRPr="00005453">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32ECF4F" w14:textId="77777777" w:rsidR="00996205" w:rsidRPr="00005453" w:rsidRDefault="00996205" w:rsidP="00996205">
      <w:pPr>
        <w:jc w:val="both"/>
        <w:rPr>
          <w:rFonts w:eastAsia="Arial Unicode MS"/>
          <w:sz w:val="16"/>
          <w:szCs w:val="16"/>
        </w:rPr>
      </w:pPr>
    </w:p>
    <w:p w14:paraId="65D3F538" w14:textId="77777777" w:rsidR="00996205" w:rsidRPr="00005453" w:rsidRDefault="00996205" w:rsidP="00996205">
      <w:pPr>
        <w:jc w:val="both"/>
        <w:rPr>
          <w:rFonts w:eastAsia="Arial Unicode MS"/>
        </w:rPr>
      </w:pPr>
      <w:r w:rsidRPr="00005453">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5201FF81" w14:textId="4C766F62" w:rsidR="0079371B" w:rsidRPr="00005453" w:rsidRDefault="00996205" w:rsidP="00996205">
      <w:pPr>
        <w:tabs>
          <w:tab w:val="left" w:pos="709"/>
        </w:tabs>
        <w:autoSpaceDE w:val="0"/>
        <w:autoSpaceDN w:val="0"/>
        <w:adjustRightInd w:val="0"/>
        <w:ind w:hanging="567"/>
        <w:jc w:val="both"/>
        <w:rPr>
          <w:rFonts w:eastAsia="Arial Unicode MS"/>
        </w:rPr>
      </w:pPr>
      <w:r w:rsidRPr="00005453">
        <w:rPr>
          <w:rFonts w:eastAsia="Arial Unicode MS"/>
        </w:rPr>
        <w:tab/>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r w:rsidR="0068789F" w:rsidRPr="00005453">
        <w:rPr>
          <w:rFonts w:eastAsia="Arial Unicode MS"/>
        </w:rPr>
        <w:t>.</w:t>
      </w:r>
    </w:p>
    <w:p w14:paraId="48B073A6" w14:textId="77777777" w:rsidR="00996205" w:rsidRPr="00005453" w:rsidRDefault="00996205" w:rsidP="00996205">
      <w:pPr>
        <w:tabs>
          <w:tab w:val="left" w:pos="709"/>
        </w:tabs>
        <w:autoSpaceDE w:val="0"/>
        <w:autoSpaceDN w:val="0"/>
        <w:adjustRightInd w:val="0"/>
        <w:ind w:hanging="567"/>
        <w:rPr>
          <w:rFonts w:eastAsia="Arial Unicode MS"/>
        </w:rPr>
      </w:pPr>
    </w:p>
    <w:p w14:paraId="0519C50F" w14:textId="66DED585" w:rsidR="00996205" w:rsidRPr="00005453" w:rsidRDefault="00996205" w:rsidP="00996205">
      <w:pPr>
        <w:ind w:hanging="567"/>
        <w:jc w:val="both"/>
        <w:rPr>
          <w:rFonts w:eastAsia="Arial Unicode MS"/>
          <w:b/>
          <w:spacing w:val="-6"/>
        </w:rPr>
      </w:pPr>
      <w:r w:rsidRPr="00005453">
        <w:rPr>
          <w:rFonts w:eastAsia="Arial Unicode MS"/>
          <w:b/>
          <w:spacing w:val="-6"/>
        </w:rPr>
        <w:t xml:space="preserve">   </w:t>
      </w:r>
      <w:r w:rsidRPr="00005453">
        <w:rPr>
          <w:rFonts w:eastAsia="Arial Unicode MS"/>
          <w:b/>
          <w:spacing w:val="-6"/>
        </w:rPr>
        <w:tab/>
        <w:t>Likidite yönetiminin ve fonlama stratejisinin merkezileşme derecesi ile banka ve Banka’nın ortaklıkları arasındaki işleyişi hakkında bilgiler</w:t>
      </w:r>
    </w:p>
    <w:p w14:paraId="48A9765D" w14:textId="77777777" w:rsidR="00996205" w:rsidRPr="00005453" w:rsidRDefault="00996205" w:rsidP="00996205">
      <w:pPr>
        <w:jc w:val="both"/>
        <w:rPr>
          <w:rFonts w:eastAsia="Arial Unicode MS"/>
          <w:sz w:val="16"/>
          <w:szCs w:val="16"/>
        </w:rPr>
      </w:pPr>
    </w:p>
    <w:p w14:paraId="282EA42E" w14:textId="3F9AB239" w:rsidR="00996205" w:rsidRPr="00005453" w:rsidRDefault="00996205" w:rsidP="00996205">
      <w:pPr>
        <w:jc w:val="both"/>
        <w:rPr>
          <w:rFonts w:eastAsia="Arial Unicode MS"/>
        </w:rPr>
      </w:pPr>
      <w:r w:rsidRPr="00005453">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2CB3FAFE" w14:textId="0FB0BB4B" w:rsidR="00F109E7" w:rsidRPr="00005453" w:rsidRDefault="00F109E7" w:rsidP="00996205">
      <w:pPr>
        <w:jc w:val="both"/>
        <w:rPr>
          <w:rFonts w:eastAsia="Arial Unicode MS"/>
        </w:rPr>
      </w:pPr>
    </w:p>
    <w:p w14:paraId="0A0DD7A2" w14:textId="50161BD8" w:rsidR="00F109E7" w:rsidRPr="00005453" w:rsidRDefault="00F109E7" w:rsidP="00996205">
      <w:pPr>
        <w:jc w:val="both"/>
        <w:rPr>
          <w:rFonts w:eastAsia="Arial Unicode MS"/>
        </w:rPr>
      </w:pPr>
    </w:p>
    <w:p w14:paraId="7B371DEF" w14:textId="77777777" w:rsidR="00F109E7" w:rsidRPr="00005453" w:rsidRDefault="00F109E7" w:rsidP="00996205">
      <w:pPr>
        <w:jc w:val="both"/>
        <w:rPr>
          <w:rFonts w:eastAsia="Arial Unicode MS"/>
        </w:rPr>
      </w:pPr>
    </w:p>
    <w:p w14:paraId="7D2950AE" w14:textId="77777777" w:rsidR="00996205" w:rsidRPr="00005453" w:rsidRDefault="00996205" w:rsidP="00996205">
      <w:pPr>
        <w:ind w:hanging="567"/>
        <w:jc w:val="both"/>
        <w:rPr>
          <w:rFonts w:eastAsia="Arial Unicode MS"/>
          <w:b/>
          <w:spacing w:val="-6"/>
        </w:rPr>
      </w:pPr>
      <w:r w:rsidRPr="00005453">
        <w:rPr>
          <w:rFonts w:eastAsia="Arial Unicode MS"/>
          <w:b/>
          <w:spacing w:val="-6"/>
        </w:rPr>
        <w:lastRenderedPageBreak/>
        <w:t xml:space="preserve">5.3     </w:t>
      </w:r>
      <w:r w:rsidRPr="00005453">
        <w:rPr>
          <w:rFonts w:eastAsia="Arial Unicode MS"/>
          <w:b/>
          <w:spacing w:val="-6"/>
        </w:rPr>
        <w:tab/>
        <w:t>Fon kaynaklarının ve sürelerinin çeşitliliğine ilişkin politikalar dahil olmak üzere Banka’nın fonlama stratejisine ilişkin bilgi</w:t>
      </w:r>
    </w:p>
    <w:p w14:paraId="350922F7" w14:textId="77777777" w:rsidR="00996205" w:rsidRPr="00005453" w:rsidRDefault="00996205" w:rsidP="00996205">
      <w:pPr>
        <w:jc w:val="both"/>
        <w:rPr>
          <w:rFonts w:eastAsia="Arial Unicode MS"/>
          <w:sz w:val="16"/>
          <w:szCs w:val="16"/>
        </w:rPr>
      </w:pPr>
    </w:p>
    <w:p w14:paraId="3A8F2C08" w14:textId="77777777" w:rsidR="00996205" w:rsidRPr="00005453" w:rsidRDefault="00996205" w:rsidP="00996205">
      <w:pPr>
        <w:jc w:val="both"/>
        <w:rPr>
          <w:rFonts w:eastAsia="Arial Unicode MS"/>
          <w:spacing w:val="-6"/>
        </w:rPr>
      </w:pPr>
      <w:r w:rsidRPr="00005453">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19901A1" w14:textId="77777777" w:rsidR="00996205" w:rsidRPr="00005453" w:rsidRDefault="00996205" w:rsidP="00996205">
      <w:pPr>
        <w:jc w:val="both"/>
        <w:rPr>
          <w:rFonts w:eastAsia="Arial Unicode MS"/>
        </w:rPr>
      </w:pPr>
    </w:p>
    <w:p w14:paraId="05E04559" w14:textId="77777777" w:rsidR="00996205" w:rsidRPr="00005453" w:rsidRDefault="00996205" w:rsidP="00996205">
      <w:pPr>
        <w:ind w:hanging="567"/>
        <w:jc w:val="both"/>
        <w:rPr>
          <w:rFonts w:eastAsia="Arial Unicode MS"/>
          <w:b/>
        </w:rPr>
      </w:pPr>
      <w:r w:rsidRPr="00005453">
        <w:rPr>
          <w:rFonts w:eastAsia="Arial Unicode MS"/>
          <w:b/>
        </w:rPr>
        <w:t xml:space="preserve">5.4     Banka’nın toplam yükümlülüklerinin asgari yüzde beşini oluşturan para birimleri bazında likidite </w:t>
      </w:r>
      <w:proofErr w:type="gramStart"/>
      <w:r w:rsidRPr="00005453">
        <w:rPr>
          <w:rFonts w:eastAsia="Arial Unicode MS"/>
          <w:b/>
        </w:rPr>
        <w:t>yönetimine  ilişkin</w:t>
      </w:r>
      <w:proofErr w:type="gramEnd"/>
      <w:r w:rsidRPr="00005453">
        <w:rPr>
          <w:rFonts w:eastAsia="Arial Unicode MS"/>
          <w:b/>
        </w:rPr>
        <w:t xml:space="preserve"> bilgi</w:t>
      </w:r>
    </w:p>
    <w:p w14:paraId="07D1223B" w14:textId="77777777" w:rsidR="00996205" w:rsidRPr="00005453" w:rsidRDefault="00996205" w:rsidP="00996205">
      <w:pPr>
        <w:jc w:val="both"/>
        <w:rPr>
          <w:rFonts w:eastAsia="Arial Unicode MS"/>
          <w:sz w:val="16"/>
          <w:szCs w:val="16"/>
        </w:rPr>
      </w:pPr>
    </w:p>
    <w:p w14:paraId="7D1ADC10" w14:textId="13C08DA1" w:rsidR="00996205" w:rsidRPr="00005453" w:rsidRDefault="00996205" w:rsidP="00996205">
      <w:pPr>
        <w:jc w:val="both"/>
        <w:rPr>
          <w:rFonts w:eastAsia="Arial Unicode MS"/>
        </w:rPr>
      </w:pPr>
      <w:r w:rsidRPr="00005453">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w:t>
      </w:r>
      <w:r w:rsidR="00455FD1" w:rsidRPr="00005453">
        <w:rPr>
          <w:rFonts w:eastAsia="Arial Unicode MS"/>
        </w:rPr>
        <w:t xml:space="preserve"> </w:t>
      </w:r>
      <w:r w:rsidRPr="00005453">
        <w:rPr>
          <w:rFonts w:eastAsia="Arial Unicode MS"/>
        </w:rPr>
        <w: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0A795F95" w14:textId="77777777" w:rsidR="00996205" w:rsidRPr="00005453" w:rsidRDefault="00996205" w:rsidP="00996205">
      <w:pPr>
        <w:jc w:val="both"/>
        <w:rPr>
          <w:rFonts w:eastAsia="Arial Unicode MS"/>
          <w:sz w:val="16"/>
          <w:szCs w:val="16"/>
        </w:rPr>
      </w:pPr>
    </w:p>
    <w:p w14:paraId="6D547DB7" w14:textId="77777777" w:rsidR="00996205" w:rsidRPr="00005453" w:rsidRDefault="00996205" w:rsidP="00996205">
      <w:pPr>
        <w:ind w:hanging="567"/>
        <w:jc w:val="both"/>
        <w:rPr>
          <w:rFonts w:eastAsia="Arial Unicode MS"/>
          <w:b/>
        </w:rPr>
      </w:pPr>
      <w:r w:rsidRPr="00005453">
        <w:rPr>
          <w:rFonts w:eastAsia="Arial Unicode MS"/>
          <w:b/>
        </w:rPr>
        <w:t>5.5      Kullanılan likidite riski azaltım tekniklerine ilişkin bilgi</w:t>
      </w:r>
    </w:p>
    <w:p w14:paraId="5D67C439" w14:textId="77777777" w:rsidR="00996205" w:rsidRPr="00005453" w:rsidRDefault="00996205" w:rsidP="00996205">
      <w:pPr>
        <w:jc w:val="both"/>
        <w:rPr>
          <w:rFonts w:eastAsia="Arial Unicode MS"/>
          <w:sz w:val="16"/>
          <w:szCs w:val="16"/>
        </w:rPr>
      </w:pPr>
    </w:p>
    <w:p w14:paraId="70DFAA87" w14:textId="5F18FED8" w:rsidR="00996205" w:rsidRPr="00005453" w:rsidRDefault="00996205" w:rsidP="00996205">
      <w:pPr>
        <w:jc w:val="both"/>
        <w:rPr>
          <w:rFonts w:eastAsia="Arial Unicode MS"/>
        </w:rPr>
      </w:pPr>
      <w:r w:rsidRPr="00005453">
        <w:rPr>
          <w:rFonts w:eastAsia="Arial Unicode MS"/>
        </w:rPr>
        <w:t>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w:t>
      </w:r>
    </w:p>
    <w:p w14:paraId="4F9DE57E" w14:textId="77777777" w:rsidR="00996205" w:rsidRPr="00005453" w:rsidRDefault="00996205" w:rsidP="00996205">
      <w:pPr>
        <w:jc w:val="both"/>
        <w:rPr>
          <w:rFonts w:eastAsia="Arial Unicode MS"/>
          <w:sz w:val="16"/>
          <w:szCs w:val="16"/>
        </w:rPr>
      </w:pPr>
    </w:p>
    <w:p w14:paraId="7779F4B4" w14:textId="77777777" w:rsidR="00996205" w:rsidRPr="00005453" w:rsidRDefault="00996205" w:rsidP="00996205">
      <w:pPr>
        <w:ind w:hanging="567"/>
        <w:jc w:val="both"/>
        <w:rPr>
          <w:rFonts w:eastAsia="Arial Unicode MS"/>
          <w:b/>
        </w:rPr>
      </w:pPr>
      <w:r w:rsidRPr="00005453">
        <w:rPr>
          <w:rFonts w:eastAsia="Arial Unicode MS"/>
          <w:b/>
        </w:rPr>
        <w:t>5.6      Stres testinin kullanımına ilişkin açıklama</w:t>
      </w:r>
    </w:p>
    <w:p w14:paraId="1CAD86BE" w14:textId="77777777" w:rsidR="00996205" w:rsidRPr="00005453" w:rsidRDefault="00996205" w:rsidP="00996205">
      <w:pPr>
        <w:jc w:val="both"/>
        <w:rPr>
          <w:rFonts w:eastAsia="Arial Unicode MS"/>
          <w:sz w:val="16"/>
          <w:szCs w:val="16"/>
        </w:rPr>
      </w:pPr>
    </w:p>
    <w:p w14:paraId="4816E97C" w14:textId="77777777" w:rsidR="00996205" w:rsidRPr="00005453" w:rsidRDefault="00996205" w:rsidP="00996205">
      <w:pPr>
        <w:jc w:val="both"/>
        <w:rPr>
          <w:rFonts w:eastAsia="Arial Unicode MS"/>
        </w:rPr>
      </w:pPr>
      <w:r w:rsidRPr="00005453">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208184F" w14:textId="77777777" w:rsidR="00996205" w:rsidRPr="00005453" w:rsidRDefault="00996205" w:rsidP="00996205">
      <w:pPr>
        <w:jc w:val="both"/>
        <w:rPr>
          <w:rFonts w:eastAsia="Arial Unicode MS"/>
          <w:sz w:val="16"/>
          <w:szCs w:val="16"/>
        </w:rPr>
      </w:pPr>
    </w:p>
    <w:p w14:paraId="7B995581" w14:textId="3BA375A6" w:rsidR="00996205" w:rsidRPr="00005453" w:rsidRDefault="00996205" w:rsidP="00996205">
      <w:pPr>
        <w:ind w:hanging="567"/>
        <w:jc w:val="both"/>
        <w:rPr>
          <w:rFonts w:eastAsia="Arial Unicode MS"/>
          <w:b/>
        </w:rPr>
      </w:pPr>
      <w:r w:rsidRPr="00005453">
        <w:rPr>
          <w:rFonts w:eastAsia="Arial Unicode MS"/>
          <w:b/>
        </w:rPr>
        <w:t xml:space="preserve">5.7      Acil </w:t>
      </w:r>
      <w:r w:rsidR="006B37DC" w:rsidRPr="00005453">
        <w:rPr>
          <w:rFonts w:eastAsia="Arial Unicode MS"/>
          <w:b/>
        </w:rPr>
        <w:t>d</w:t>
      </w:r>
      <w:r w:rsidRPr="00005453">
        <w:rPr>
          <w:rFonts w:eastAsia="Arial Unicode MS"/>
          <w:b/>
        </w:rPr>
        <w:t xml:space="preserve">urum </w:t>
      </w:r>
      <w:r w:rsidR="006B37DC" w:rsidRPr="00005453">
        <w:rPr>
          <w:rFonts w:eastAsia="Arial Unicode MS"/>
          <w:b/>
        </w:rPr>
        <w:t>f</w:t>
      </w:r>
      <w:r w:rsidRPr="00005453">
        <w:rPr>
          <w:rFonts w:eastAsia="Arial Unicode MS"/>
          <w:b/>
        </w:rPr>
        <w:t xml:space="preserve">onlama </w:t>
      </w:r>
      <w:r w:rsidR="006B37DC" w:rsidRPr="00005453">
        <w:rPr>
          <w:rFonts w:eastAsia="Arial Unicode MS"/>
          <w:b/>
        </w:rPr>
        <w:t>p</w:t>
      </w:r>
      <w:r w:rsidRPr="00005453">
        <w:rPr>
          <w:rFonts w:eastAsia="Arial Unicode MS"/>
          <w:b/>
        </w:rPr>
        <w:t>lanına ilişkin genel bilgi</w:t>
      </w:r>
    </w:p>
    <w:p w14:paraId="447228A7" w14:textId="77777777" w:rsidR="00996205" w:rsidRPr="00005453" w:rsidRDefault="00996205" w:rsidP="00996205">
      <w:pPr>
        <w:jc w:val="both"/>
        <w:rPr>
          <w:rFonts w:eastAsia="Arial Unicode MS"/>
          <w:sz w:val="16"/>
          <w:szCs w:val="16"/>
        </w:rPr>
      </w:pPr>
    </w:p>
    <w:p w14:paraId="6A8E72FF" w14:textId="77777777" w:rsidR="00996205" w:rsidRPr="00005453" w:rsidRDefault="00996205" w:rsidP="00996205">
      <w:pPr>
        <w:jc w:val="both"/>
        <w:rPr>
          <w:rFonts w:eastAsia="Arial Unicode MS"/>
        </w:rPr>
      </w:pPr>
      <w:r w:rsidRPr="00005453">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63999DE2" w:rsidR="0067330F" w:rsidRPr="00005453" w:rsidRDefault="0067330F" w:rsidP="00DC2638">
      <w:pPr>
        <w:pStyle w:val="BodyText"/>
        <w:rPr>
          <w:rFonts w:eastAsia="Arial Unicode MS"/>
          <w:b/>
        </w:rPr>
      </w:pPr>
    </w:p>
    <w:p w14:paraId="174AD819" w14:textId="2D50E743" w:rsidR="001133EA" w:rsidRPr="00005453" w:rsidRDefault="001133EA" w:rsidP="00DC2638">
      <w:pPr>
        <w:pStyle w:val="BodyText"/>
        <w:rPr>
          <w:rFonts w:eastAsia="Arial Unicode MS"/>
          <w:b/>
        </w:rPr>
      </w:pPr>
    </w:p>
    <w:p w14:paraId="13C4C750" w14:textId="7F1F16F5" w:rsidR="001133EA" w:rsidRPr="00005453" w:rsidRDefault="001133EA" w:rsidP="00DC2638">
      <w:pPr>
        <w:pStyle w:val="BodyText"/>
        <w:rPr>
          <w:rFonts w:eastAsia="Arial Unicode MS"/>
          <w:b/>
        </w:rPr>
      </w:pPr>
    </w:p>
    <w:p w14:paraId="66C0BF78" w14:textId="0B7E5236" w:rsidR="001133EA" w:rsidRPr="00005453" w:rsidRDefault="001133EA" w:rsidP="00DC2638">
      <w:pPr>
        <w:pStyle w:val="BodyText"/>
        <w:rPr>
          <w:rFonts w:eastAsia="Arial Unicode MS"/>
          <w:b/>
        </w:rPr>
      </w:pPr>
    </w:p>
    <w:p w14:paraId="08249F83" w14:textId="0008196B" w:rsidR="001133EA" w:rsidRPr="00005453" w:rsidRDefault="001133EA" w:rsidP="00DC2638">
      <w:pPr>
        <w:pStyle w:val="BodyText"/>
        <w:rPr>
          <w:rFonts w:eastAsia="Arial Unicode MS"/>
          <w:b/>
        </w:rPr>
      </w:pPr>
    </w:p>
    <w:p w14:paraId="51C3D385" w14:textId="60967141" w:rsidR="001133EA" w:rsidRPr="00005453" w:rsidRDefault="001133EA" w:rsidP="00DC2638">
      <w:pPr>
        <w:pStyle w:val="BodyText"/>
        <w:rPr>
          <w:rFonts w:eastAsia="Arial Unicode MS"/>
          <w:b/>
        </w:rPr>
      </w:pPr>
    </w:p>
    <w:p w14:paraId="0683AD39" w14:textId="049918AF" w:rsidR="001133EA" w:rsidRPr="00005453" w:rsidRDefault="001133EA" w:rsidP="00DC2638">
      <w:pPr>
        <w:pStyle w:val="BodyText"/>
        <w:rPr>
          <w:rFonts w:eastAsia="Arial Unicode MS"/>
          <w:b/>
        </w:rPr>
      </w:pPr>
    </w:p>
    <w:p w14:paraId="0054B52A" w14:textId="4CB6B997" w:rsidR="001133EA" w:rsidRPr="00005453" w:rsidRDefault="001133EA" w:rsidP="00DC2638">
      <w:pPr>
        <w:pStyle w:val="BodyText"/>
        <w:rPr>
          <w:rFonts w:eastAsia="Arial Unicode MS"/>
          <w:b/>
        </w:rPr>
      </w:pPr>
    </w:p>
    <w:p w14:paraId="18FAAB94" w14:textId="639506D5" w:rsidR="001133EA" w:rsidRPr="00005453" w:rsidRDefault="001133EA" w:rsidP="00DC2638">
      <w:pPr>
        <w:pStyle w:val="BodyText"/>
        <w:rPr>
          <w:rFonts w:eastAsia="Arial Unicode MS"/>
          <w:b/>
        </w:rPr>
      </w:pPr>
    </w:p>
    <w:p w14:paraId="673410D0" w14:textId="5375E9EE" w:rsidR="001133EA" w:rsidRPr="00005453" w:rsidRDefault="001133EA" w:rsidP="00DC2638">
      <w:pPr>
        <w:pStyle w:val="BodyText"/>
        <w:rPr>
          <w:rFonts w:eastAsia="Arial Unicode MS"/>
          <w:b/>
        </w:rPr>
      </w:pPr>
    </w:p>
    <w:p w14:paraId="6D9C3EA7" w14:textId="1E1C7BCA" w:rsidR="001133EA" w:rsidRPr="00005453" w:rsidRDefault="001133EA" w:rsidP="00DC2638">
      <w:pPr>
        <w:pStyle w:val="BodyText"/>
        <w:rPr>
          <w:rFonts w:eastAsia="Arial Unicode MS"/>
          <w:b/>
        </w:rPr>
      </w:pPr>
    </w:p>
    <w:p w14:paraId="45C5B63F" w14:textId="4CED5BC3" w:rsidR="001133EA" w:rsidRPr="00005453" w:rsidRDefault="001133EA" w:rsidP="00DC2638">
      <w:pPr>
        <w:pStyle w:val="BodyText"/>
        <w:rPr>
          <w:rFonts w:eastAsia="Arial Unicode MS"/>
          <w:b/>
        </w:rPr>
      </w:pPr>
    </w:p>
    <w:p w14:paraId="48E62F9E" w14:textId="41BD89D4" w:rsidR="001133EA" w:rsidRPr="00005453" w:rsidRDefault="001133EA" w:rsidP="00DC2638">
      <w:pPr>
        <w:pStyle w:val="BodyText"/>
        <w:rPr>
          <w:rFonts w:eastAsia="Arial Unicode MS"/>
          <w:b/>
        </w:rPr>
      </w:pPr>
    </w:p>
    <w:p w14:paraId="1F5D6428" w14:textId="5CD819B6" w:rsidR="001133EA" w:rsidRPr="00005453" w:rsidRDefault="001133EA" w:rsidP="00DC2638">
      <w:pPr>
        <w:pStyle w:val="BodyText"/>
        <w:rPr>
          <w:rFonts w:eastAsia="Arial Unicode MS"/>
          <w:b/>
        </w:rPr>
      </w:pPr>
    </w:p>
    <w:p w14:paraId="695F4A62" w14:textId="07B587B1" w:rsidR="001133EA" w:rsidRPr="00005453" w:rsidRDefault="001133EA" w:rsidP="00DC2638">
      <w:pPr>
        <w:pStyle w:val="BodyText"/>
        <w:rPr>
          <w:rFonts w:eastAsia="Arial Unicode MS"/>
          <w:b/>
        </w:rPr>
      </w:pPr>
    </w:p>
    <w:p w14:paraId="5A234EF7" w14:textId="17994661" w:rsidR="001133EA" w:rsidRPr="00005453" w:rsidRDefault="001133EA" w:rsidP="00DC2638">
      <w:pPr>
        <w:pStyle w:val="BodyText"/>
        <w:rPr>
          <w:rFonts w:eastAsia="Arial Unicode MS"/>
          <w:b/>
        </w:rPr>
      </w:pPr>
    </w:p>
    <w:p w14:paraId="6E2DB93F" w14:textId="6B28A710" w:rsidR="001133EA" w:rsidRPr="00005453" w:rsidRDefault="001133EA" w:rsidP="00DC2638">
      <w:pPr>
        <w:pStyle w:val="BodyText"/>
        <w:rPr>
          <w:rFonts w:eastAsia="Arial Unicode MS"/>
          <w:b/>
        </w:rPr>
      </w:pPr>
    </w:p>
    <w:p w14:paraId="119DF059" w14:textId="731A5095" w:rsidR="001133EA" w:rsidRPr="00005453" w:rsidRDefault="001133EA" w:rsidP="00DC2638">
      <w:pPr>
        <w:pStyle w:val="BodyText"/>
        <w:rPr>
          <w:rFonts w:eastAsia="Arial Unicode MS"/>
          <w:b/>
        </w:rPr>
      </w:pPr>
    </w:p>
    <w:p w14:paraId="5392648E" w14:textId="32288250" w:rsidR="001133EA" w:rsidRPr="00005453" w:rsidRDefault="001133EA" w:rsidP="00DC2638">
      <w:pPr>
        <w:pStyle w:val="BodyText"/>
        <w:rPr>
          <w:rFonts w:eastAsia="Arial Unicode MS"/>
          <w:b/>
        </w:rPr>
      </w:pPr>
    </w:p>
    <w:p w14:paraId="571C1206" w14:textId="77777777" w:rsidR="001133EA" w:rsidRPr="00005453" w:rsidRDefault="001133EA" w:rsidP="00DC2638">
      <w:pPr>
        <w:pStyle w:val="BodyText"/>
        <w:rPr>
          <w:rFonts w:eastAsia="Arial Unicode MS"/>
          <w:b/>
        </w:rPr>
      </w:pPr>
    </w:p>
    <w:p w14:paraId="38A701D5" w14:textId="246AF2F8" w:rsidR="00C26593" w:rsidRPr="00005453" w:rsidRDefault="001133EA" w:rsidP="001133EA">
      <w:pPr>
        <w:ind w:hanging="567"/>
        <w:jc w:val="both"/>
        <w:rPr>
          <w:rFonts w:eastAsia="Arial Unicode MS"/>
          <w:b/>
        </w:rPr>
      </w:pPr>
      <w:bookmarkStart w:id="41" w:name="OLE_LINK223"/>
      <w:bookmarkStart w:id="42" w:name="_Hlk157000190"/>
      <w:r w:rsidRPr="00005453">
        <w:rPr>
          <w:rFonts w:eastAsia="Arial Unicode MS"/>
          <w:b/>
        </w:rPr>
        <w:lastRenderedPageBreak/>
        <w:t>5.8      Finansal yükümlülüklerin sözleşmeye bağlanmış kalan vadelerine göre gösterimi</w:t>
      </w:r>
    </w:p>
    <w:bookmarkEnd w:id="41"/>
    <w:p w14:paraId="79FE1840" w14:textId="77777777" w:rsidR="00C26593" w:rsidRPr="00005453" w:rsidRDefault="00C26593" w:rsidP="00C26593">
      <w:pPr>
        <w:pStyle w:val="BodyText"/>
        <w:jc w:val="left"/>
        <w:rPr>
          <w:rFonts w:eastAsia="Arial Unicode MS"/>
          <w:sz w:val="16"/>
          <w:szCs w:val="16"/>
        </w:rPr>
      </w:pPr>
    </w:p>
    <w:p w14:paraId="23F54138" w14:textId="12B99297" w:rsidR="00C26593" w:rsidRPr="00005453" w:rsidRDefault="00C26593" w:rsidP="00C26593">
      <w:pPr>
        <w:pStyle w:val="BodyText"/>
        <w:rPr>
          <w:rFonts w:eastAsia="Arial Unicode MS"/>
          <w:lang w:eastAsia="en-US"/>
        </w:rPr>
      </w:pPr>
      <w:r w:rsidRPr="00005453">
        <w:rPr>
          <w:rFonts w:eastAsia="Arial Unicode MS"/>
          <w:lang w:eastAsia="en-US"/>
        </w:rPr>
        <w:t>Aşağıdaki tablo, Banka’nın yükümlülükleri iskonto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3EB641DF" w14:textId="5D3FD15C" w:rsidR="00AE053A" w:rsidRPr="00005453" w:rsidRDefault="00AE053A" w:rsidP="00AB532A">
      <w:pPr>
        <w:pStyle w:val="BodyText"/>
        <w:rPr>
          <w:lang w:eastAsia="en-GB"/>
        </w:rPr>
      </w:pPr>
    </w:p>
    <w:tbl>
      <w:tblPr>
        <w:tblW w:w="9781" w:type="dxa"/>
        <w:tblLayout w:type="fixed"/>
        <w:tblCellMar>
          <w:left w:w="70" w:type="dxa"/>
          <w:right w:w="70" w:type="dxa"/>
        </w:tblCellMar>
        <w:tblLook w:val="04A0" w:firstRow="1" w:lastRow="0" w:firstColumn="1" w:lastColumn="0" w:noHBand="0" w:noVBand="1"/>
      </w:tblPr>
      <w:tblGrid>
        <w:gridCol w:w="1560"/>
        <w:gridCol w:w="1701"/>
        <w:gridCol w:w="850"/>
        <w:gridCol w:w="851"/>
        <w:gridCol w:w="850"/>
        <w:gridCol w:w="992"/>
        <w:gridCol w:w="851"/>
        <w:gridCol w:w="992"/>
        <w:gridCol w:w="1134"/>
      </w:tblGrid>
      <w:tr w:rsidR="00517599" w:rsidRPr="00005453" w14:paraId="0AAA2BC3" w14:textId="77777777" w:rsidTr="00BD1BED">
        <w:trPr>
          <w:divId w:val="1338118142"/>
          <w:trHeight w:val="44"/>
        </w:trPr>
        <w:tc>
          <w:tcPr>
            <w:tcW w:w="1560" w:type="dxa"/>
            <w:tcBorders>
              <w:top w:val="single" w:sz="8" w:space="0" w:color="auto"/>
              <w:left w:val="nil"/>
              <w:bottom w:val="single" w:sz="8" w:space="0" w:color="000000"/>
              <w:right w:val="nil"/>
            </w:tcBorders>
            <w:shd w:val="clear" w:color="auto" w:fill="auto"/>
            <w:vAlign w:val="center"/>
            <w:hideMark/>
          </w:tcPr>
          <w:p w14:paraId="1500B695" w14:textId="4654CFD7" w:rsidR="00AE053A" w:rsidRPr="00005453" w:rsidRDefault="00AE053A" w:rsidP="00AE053A">
            <w:pPr>
              <w:jc w:val="right"/>
              <w:rPr>
                <w:b/>
                <w:bCs/>
                <w:color w:val="000000"/>
                <w:sz w:val="14"/>
                <w:szCs w:val="14"/>
                <w:lang w:eastAsia="tr-TR"/>
              </w:rPr>
            </w:pPr>
            <w:r w:rsidRPr="00005453">
              <w:rPr>
                <w:b/>
                <w:bCs/>
                <w:color w:val="000000"/>
                <w:sz w:val="14"/>
                <w:szCs w:val="14"/>
                <w:lang w:eastAsia="tr-TR"/>
              </w:rPr>
              <w:t> </w:t>
            </w:r>
          </w:p>
        </w:tc>
        <w:tc>
          <w:tcPr>
            <w:tcW w:w="1701" w:type="dxa"/>
            <w:tcBorders>
              <w:top w:val="single" w:sz="8" w:space="0" w:color="auto"/>
              <w:left w:val="nil"/>
              <w:bottom w:val="single" w:sz="8" w:space="0" w:color="000000"/>
              <w:right w:val="nil"/>
            </w:tcBorders>
            <w:shd w:val="clear" w:color="auto" w:fill="auto"/>
            <w:vAlign w:val="center"/>
            <w:hideMark/>
          </w:tcPr>
          <w:p w14:paraId="57693530"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1 aya kadar</w:t>
            </w:r>
          </w:p>
        </w:tc>
        <w:tc>
          <w:tcPr>
            <w:tcW w:w="850" w:type="dxa"/>
            <w:tcBorders>
              <w:top w:val="single" w:sz="8" w:space="0" w:color="auto"/>
              <w:left w:val="nil"/>
              <w:bottom w:val="single" w:sz="8" w:space="0" w:color="000000"/>
              <w:right w:val="nil"/>
            </w:tcBorders>
            <w:shd w:val="clear" w:color="auto" w:fill="auto"/>
            <w:vAlign w:val="center"/>
            <w:hideMark/>
          </w:tcPr>
          <w:p w14:paraId="7A2A6214"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1-3 ay</w:t>
            </w:r>
          </w:p>
        </w:tc>
        <w:tc>
          <w:tcPr>
            <w:tcW w:w="851" w:type="dxa"/>
            <w:tcBorders>
              <w:top w:val="single" w:sz="8" w:space="0" w:color="auto"/>
              <w:left w:val="nil"/>
              <w:bottom w:val="single" w:sz="8" w:space="0" w:color="000000"/>
              <w:right w:val="nil"/>
            </w:tcBorders>
            <w:shd w:val="clear" w:color="auto" w:fill="auto"/>
            <w:vAlign w:val="center"/>
            <w:hideMark/>
          </w:tcPr>
          <w:p w14:paraId="47018BD5"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3-12 ay</w:t>
            </w:r>
          </w:p>
        </w:tc>
        <w:tc>
          <w:tcPr>
            <w:tcW w:w="850" w:type="dxa"/>
            <w:tcBorders>
              <w:top w:val="single" w:sz="8" w:space="0" w:color="auto"/>
              <w:left w:val="nil"/>
              <w:bottom w:val="single" w:sz="8" w:space="0" w:color="000000"/>
              <w:right w:val="nil"/>
            </w:tcBorders>
            <w:shd w:val="clear" w:color="auto" w:fill="auto"/>
            <w:vAlign w:val="center"/>
            <w:hideMark/>
          </w:tcPr>
          <w:p w14:paraId="215E39E1"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1-5 Yıl</w:t>
            </w:r>
          </w:p>
        </w:tc>
        <w:tc>
          <w:tcPr>
            <w:tcW w:w="992" w:type="dxa"/>
            <w:tcBorders>
              <w:top w:val="single" w:sz="8" w:space="0" w:color="auto"/>
              <w:left w:val="nil"/>
              <w:bottom w:val="single" w:sz="8" w:space="0" w:color="000000"/>
              <w:right w:val="nil"/>
            </w:tcBorders>
            <w:shd w:val="clear" w:color="auto" w:fill="auto"/>
            <w:vAlign w:val="center"/>
            <w:hideMark/>
          </w:tcPr>
          <w:p w14:paraId="36DF3BDD"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5 yıldan fazla</w:t>
            </w:r>
          </w:p>
        </w:tc>
        <w:tc>
          <w:tcPr>
            <w:tcW w:w="851" w:type="dxa"/>
            <w:tcBorders>
              <w:top w:val="single" w:sz="8" w:space="0" w:color="auto"/>
              <w:left w:val="nil"/>
              <w:bottom w:val="single" w:sz="8" w:space="0" w:color="000000"/>
              <w:right w:val="nil"/>
            </w:tcBorders>
            <w:shd w:val="clear" w:color="auto" w:fill="auto"/>
            <w:vAlign w:val="center"/>
            <w:hideMark/>
          </w:tcPr>
          <w:p w14:paraId="2D085FEF"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Toplam</w:t>
            </w:r>
          </w:p>
        </w:tc>
        <w:tc>
          <w:tcPr>
            <w:tcW w:w="992" w:type="dxa"/>
            <w:tcBorders>
              <w:top w:val="single" w:sz="8" w:space="0" w:color="auto"/>
              <w:left w:val="nil"/>
              <w:bottom w:val="single" w:sz="8" w:space="0" w:color="000000"/>
              <w:right w:val="nil"/>
            </w:tcBorders>
            <w:shd w:val="clear" w:color="auto" w:fill="auto"/>
            <w:vAlign w:val="center"/>
            <w:hideMark/>
          </w:tcPr>
          <w:p w14:paraId="355514B7"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Düzeltmeler</w:t>
            </w:r>
          </w:p>
        </w:tc>
        <w:tc>
          <w:tcPr>
            <w:tcW w:w="1134" w:type="dxa"/>
            <w:tcBorders>
              <w:top w:val="single" w:sz="8" w:space="0" w:color="auto"/>
              <w:left w:val="nil"/>
              <w:bottom w:val="single" w:sz="8" w:space="0" w:color="000000"/>
              <w:right w:val="nil"/>
            </w:tcBorders>
            <w:shd w:val="clear" w:color="auto" w:fill="auto"/>
            <w:vAlign w:val="center"/>
            <w:hideMark/>
          </w:tcPr>
          <w:p w14:paraId="1C086F7F"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Bilanço değeri</w:t>
            </w:r>
          </w:p>
        </w:tc>
      </w:tr>
      <w:tr w:rsidR="00517599" w:rsidRPr="00005453" w14:paraId="3FD82BD7" w14:textId="77777777" w:rsidTr="00517599">
        <w:trPr>
          <w:divId w:val="1338118142"/>
          <w:trHeight w:val="44"/>
        </w:trPr>
        <w:tc>
          <w:tcPr>
            <w:tcW w:w="1560" w:type="dxa"/>
            <w:tcBorders>
              <w:top w:val="nil"/>
              <w:left w:val="nil"/>
              <w:bottom w:val="nil"/>
              <w:right w:val="nil"/>
            </w:tcBorders>
            <w:shd w:val="clear" w:color="auto" w:fill="auto"/>
            <w:vAlign w:val="center"/>
            <w:hideMark/>
          </w:tcPr>
          <w:p w14:paraId="69544632" w14:textId="77777777" w:rsidR="00AE053A" w:rsidRPr="00005453" w:rsidRDefault="00AE053A" w:rsidP="00AE053A">
            <w:pPr>
              <w:jc w:val="center"/>
              <w:rPr>
                <w:b/>
                <w:bCs/>
                <w:color w:val="000000"/>
                <w:sz w:val="6"/>
                <w:szCs w:val="6"/>
                <w:lang w:eastAsia="tr-TR"/>
              </w:rPr>
            </w:pPr>
          </w:p>
        </w:tc>
        <w:tc>
          <w:tcPr>
            <w:tcW w:w="1701" w:type="dxa"/>
            <w:tcBorders>
              <w:top w:val="nil"/>
              <w:left w:val="nil"/>
              <w:bottom w:val="nil"/>
              <w:right w:val="nil"/>
            </w:tcBorders>
            <w:shd w:val="clear" w:color="auto" w:fill="auto"/>
            <w:vAlign w:val="center"/>
            <w:hideMark/>
          </w:tcPr>
          <w:p w14:paraId="6115DB35"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vAlign w:val="center"/>
            <w:hideMark/>
          </w:tcPr>
          <w:p w14:paraId="1E876170" w14:textId="77777777" w:rsidR="00AE053A" w:rsidRPr="00005453" w:rsidRDefault="00AE053A" w:rsidP="00AE053A">
            <w:pPr>
              <w:jc w:val="right"/>
              <w:rPr>
                <w:sz w:val="6"/>
                <w:szCs w:val="6"/>
                <w:lang w:eastAsia="tr-TR"/>
              </w:rPr>
            </w:pPr>
          </w:p>
        </w:tc>
        <w:tc>
          <w:tcPr>
            <w:tcW w:w="851" w:type="dxa"/>
            <w:tcBorders>
              <w:top w:val="nil"/>
              <w:left w:val="nil"/>
              <w:bottom w:val="nil"/>
              <w:right w:val="nil"/>
            </w:tcBorders>
            <w:shd w:val="clear" w:color="auto" w:fill="auto"/>
            <w:vAlign w:val="center"/>
            <w:hideMark/>
          </w:tcPr>
          <w:p w14:paraId="4AB1CFB7"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vAlign w:val="center"/>
            <w:hideMark/>
          </w:tcPr>
          <w:p w14:paraId="227A8B01"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523371F0" w14:textId="77777777" w:rsidR="00AE053A" w:rsidRPr="00005453" w:rsidRDefault="00AE053A" w:rsidP="00AE053A">
            <w:pPr>
              <w:jc w:val="right"/>
              <w:rPr>
                <w:sz w:val="6"/>
                <w:szCs w:val="6"/>
                <w:lang w:eastAsia="tr-TR"/>
              </w:rPr>
            </w:pPr>
          </w:p>
        </w:tc>
        <w:tc>
          <w:tcPr>
            <w:tcW w:w="851" w:type="dxa"/>
            <w:tcBorders>
              <w:top w:val="nil"/>
              <w:left w:val="nil"/>
              <w:bottom w:val="nil"/>
              <w:right w:val="nil"/>
            </w:tcBorders>
            <w:shd w:val="clear" w:color="auto" w:fill="auto"/>
            <w:vAlign w:val="center"/>
            <w:hideMark/>
          </w:tcPr>
          <w:p w14:paraId="1AA6F675" w14:textId="77777777" w:rsidR="00AE053A" w:rsidRPr="00005453" w:rsidRDefault="00AE053A" w:rsidP="00AE053A">
            <w:pPr>
              <w:jc w:val="right"/>
              <w:rPr>
                <w:color w:val="000000"/>
                <w:sz w:val="6"/>
                <w:szCs w:val="6"/>
                <w:lang w:eastAsia="tr-TR"/>
              </w:rPr>
            </w:pPr>
            <w:r w:rsidRPr="00005453">
              <w:rPr>
                <w:color w:val="000000"/>
                <w:sz w:val="6"/>
                <w:szCs w:val="6"/>
                <w:lang w:eastAsia="tr-TR"/>
              </w:rPr>
              <w:t> </w:t>
            </w:r>
          </w:p>
        </w:tc>
        <w:tc>
          <w:tcPr>
            <w:tcW w:w="992" w:type="dxa"/>
            <w:tcBorders>
              <w:top w:val="nil"/>
              <w:left w:val="nil"/>
              <w:bottom w:val="nil"/>
              <w:right w:val="nil"/>
            </w:tcBorders>
            <w:shd w:val="clear" w:color="auto" w:fill="auto"/>
            <w:vAlign w:val="center"/>
            <w:hideMark/>
          </w:tcPr>
          <w:p w14:paraId="12499A0F" w14:textId="77777777" w:rsidR="00AE053A" w:rsidRPr="00005453" w:rsidRDefault="00AE053A" w:rsidP="00AE053A">
            <w:pPr>
              <w:jc w:val="right"/>
              <w:rPr>
                <w:color w:val="000000"/>
                <w:sz w:val="6"/>
                <w:szCs w:val="6"/>
                <w:lang w:eastAsia="tr-TR"/>
              </w:rPr>
            </w:pPr>
            <w:r w:rsidRPr="00005453">
              <w:rPr>
                <w:color w:val="000000"/>
                <w:sz w:val="6"/>
                <w:szCs w:val="6"/>
                <w:lang w:eastAsia="tr-TR"/>
              </w:rPr>
              <w:t> </w:t>
            </w:r>
          </w:p>
        </w:tc>
        <w:tc>
          <w:tcPr>
            <w:tcW w:w="1134" w:type="dxa"/>
            <w:tcBorders>
              <w:top w:val="nil"/>
              <w:left w:val="nil"/>
              <w:bottom w:val="nil"/>
              <w:right w:val="nil"/>
            </w:tcBorders>
            <w:shd w:val="clear" w:color="auto" w:fill="auto"/>
            <w:vAlign w:val="center"/>
            <w:hideMark/>
          </w:tcPr>
          <w:p w14:paraId="2CA7E3BA" w14:textId="77777777" w:rsidR="00AE053A" w:rsidRPr="00005453" w:rsidRDefault="00AE053A" w:rsidP="00AE053A">
            <w:pPr>
              <w:jc w:val="right"/>
              <w:rPr>
                <w:color w:val="000000"/>
                <w:sz w:val="6"/>
                <w:szCs w:val="6"/>
                <w:lang w:eastAsia="tr-TR"/>
              </w:rPr>
            </w:pPr>
            <w:r w:rsidRPr="00005453">
              <w:rPr>
                <w:color w:val="000000"/>
                <w:sz w:val="6"/>
                <w:szCs w:val="6"/>
                <w:lang w:eastAsia="tr-TR"/>
              </w:rPr>
              <w:t> </w:t>
            </w:r>
          </w:p>
        </w:tc>
      </w:tr>
      <w:tr w:rsidR="00517599" w:rsidRPr="00005453" w14:paraId="33763B8E" w14:textId="77777777" w:rsidTr="00517599">
        <w:trPr>
          <w:divId w:val="1338118142"/>
          <w:trHeight w:val="230"/>
        </w:trPr>
        <w:tc>
          <w:tcPr>
            <w:tcW w:w="1560" w:type="dxa"/>
            <w:tcBorders>
              <w:top w:val="nil"/>
              <w:left w:val="nil"/>
              <w:bottom w:val="nil"/>
              <w:right w:val="nil"/>
            </w:tcBorders>
            <w:shd w:val="clear" w:color="auto" w:fill="auto"/>
            <w:vAlign w:val="center"/>
            <w:hideMark/>
          </w:tcPr>
          <w:p w14:paraId="6316A5B4" w14:textId="56A0B2FC" w:rsidR="00AE053A" w:rsidRPr="00005453" w:rsidRDefault="00AE053A" w:rsidP="00AE053A">
            <w:pPr>
              <w:rPr>
                <w:b/>
                <w:bCs/>
                <w:color w:val="000000"/>
                <w:sz w:val="14"/>
                <w:szCs w:val="14"/>
                <w:lang w:eastAsia="tr-TR"/>
              </w:rPr>
            </w:pPr>
            <w:r w:rsidRPr="00005453">
              <w:rPr>
                <w:b/>
                <w:bCs/>
                <w:color w:val="000000"/>
                <w:sz w:val="14"/>
                <w:szCs w:val="14"/>
                <w:lang w:eastAsia="tr-TR"/>
              </w:rPr>
              <w:t>31 Aralık 202</w:t>
            </w:r>
            <w:r w:rsidR="0068789F" w:rsidRPr="00005453">
              <w:rPr>
                <w:b/>
                <w:bCs/>
                <w:color w:val="000000"/>
                <w:sz w:val="14"/>
                <w:szCs w:val="14"/>
                <w:lang w:eastAsia="tr-TR"/>
              </w:rPr>
              <w:t>4</w:t>
            </w:r>
          </w:p>
        </w:tc>
        <w:tc>
          <w:tcPr>
            <w:tcW w:w="1701" w:type="dxa"/>
            <w:tcBorders>
              <w:top w:val="nil"/>
              <w:left w:val="nil"/>
              <w:bottom w:val="nil"/>
              <w:right w:val="nil"/>
            </w:tcBorders>
            <w:shd w:val="clear" w:color="auto" w:fill="auto"/>
            <w:vAlign w:val="center"/>
            <w:hideMark/>
          </w:tcPr>
          <w:p w14:paraId="76DFD8FB" w14:textId="77777777" w:rsidR="00AE053A" w:rsidRPr="00005453" w:rsidRDefault="00AE053A" w:rsidP="00AE053A">
            <w:pPr>
              <w:jc w:val="right"/>
              <w:rPr>
                <w:b/>
                <w:bCs/>
                <w:color w:val="000000"/>
                <w:sz w:val="14"/>
                <w:szCs w:val="14"/>
                <w:lang w:eastAsia="tr-TR"/>
              </w:rPr>
            </w:pPr>
          </w:p>
        </w:tc>
        <w:tc>
          <w:tcPr>
            <w:tcW w:w="850" w:type="dxa"/>
            <w:tcBorders>
              <w:top w:val="nil"/>
              <w:left w:val="nil"/>
              <w:bottom w:val="nil"/>
              <w:right w:val="nil"/>
            </w:tcBorders>
            <w:shd w:val="clear" w:color="auto" w:fill="auto"/>
            <w:vAlign w:val="center"/>
            <w:hideMark/>
          </w:tcPr>
          <w:p w14:paraId="04941949" w14:textId="77777777" w:rsidR="00AE053A" w:rsidRPr="00005453" w:rsidRDefault="00AE053A" w:rsidP="00AE053A">
            <w:pPr>
              <w:jc w:val="right"/>
              <w:rPr>
                <w:sz w:val="14"/>
                <w:szCs w:val="14"/>
                <w:lang w:eastAsia="tr-TR"/>
              </w:rPr>
            </w:pPr>
          </w:p>
        </w:tc>
        <w:tc>
          <w:tcPr>
            <w:tcW w:w="851" w:type="dxa"/>
            <w:tcBorders>
              <w:top w:val="nil"/>
              <w:left w:val="nil"/>
              <w:bottom w:val="nil"/>
              <w:right w:val="nil"/>
            </w:tcBorders>
            <w:shd w:val="clear" w:color="auto" w:fill="auto"/>
            <w:vAlign w:val="center"/>
            <w:hideMark/>
          </w:tcPr>
          <w:p w14:paraId="409AC1FD" w14:textId="77777777" w:rsidR="00AE053A" w:rsidRPr="00005453" w:rsidRDefault="00AE053A" w:rsidP="00AE053A">
            <w:pPr>
              <w:jc w:val="right"/>
              <w:rPr>
                <w:sz w:val="14"/>
                <w:szCs w:val="14"/>
                <w:lang w:eastAsia="tr-TR"/>
              </w:rPr>
            </w:pPr>
          </w:p>
        </w:tc>
        <w:tc>
          <w:tcPr>
            <w:tcW w:w="850" w:type="dxa"/>
            <w:tcBorders>
              <w:top w:val="nil"/>
              <w:left w:val="nil"/>
              <w:bottom w:val="nil"/>
              <w:right w:val="nil"/>
            </w:tcBorders>
            <w:shd w:val="clear" w:color="auto" w:fill="auto"/>
            <w:vAlign w:val="center"/>
            <w:hideMark/>
          </w:tcPr>
          <w:p w14:paraId="0C10D0CB" w14:textId="77777777" w:rsidR="00AE053A" w:rsidRPr="00005453" w:rsidRDefault="00AE053A" w:rsidP="00AE053A">
            <w:pPr>
              <w:jc w:val="right"/>
              <w:rPr>
                <w:sz w:val="14"/>
                <w:szCs w:val="14"/>
                <w:lang w:eastAsia="tr-TR"/>
              </w:rPr>
            </w:pPr>
          </w:p>
        </w:tc>
        <w:tc>
          <w:tcPr>
            <w:tcW w:w="992" w:type="dxa"/>
            <w:tcBorders>
              <w:top w:val="nil"/>
              <w:left w:val="nil"/>
              <w:bottom w:val="nil"/>
              <w:right w:val="nil"/>
            </w:tcBorders>
            <w:shd w:val="clear" w:color="auto" w:fill="auto"/>
            <w:vAlign w:val="center"/>
            <w:hideMark/>
          </w:tcPr>
          <w:p w14:paraId="7C26B2F7" w14:textId="77777777" w:rsidR="00AE053A" w:rsidRPr="00005453" w:rsidRDefault="00AE053A" w:rsidP="00AE053A">
            <w:pPr>
              <w:jc w:val="right"/>
              <w:rPr>
                <w:sz w:val="14"/>
                <w:szCs w:val="14"/>
                <w:lang w:eastAsia="tr-TR"/>
              </w:rPr>
            </w:pPr>
          </w:p>
        </w:tc>
        <w:tc>
          <w:tcPr>
            <w:tcW w:w="851" w:type="dxa"/>
            <w:tcBorders>
              <w:top w:val="nil"/>
              <w:left w:val="nil"/>
              <w:bottom w:val="nil"/>
              <w:right w:val="nil"/>
            </w:tcBorders>
            <w:shd w:val="clear" w:color="auto" w:fill="auto"/>
            <w:vAlign w:val="center"/>
            <w:hideMark/>
          </w:tcPr>
          <w:p w14:paraId="73ACA8E9" w14:textId="77777777" w:rsidR="00AE053A" w:rsidRPr="00005453" w:rsidRDefault="00AE053A" w:rsidP="00AE053A">
            <w:pPr>
              <w:jc w:val="right"/>
              <w:rPr>
                <w:sz w:val="14"/>
                <w:szCs w:val="14"/>
                <w:lang w:eastAsia="tr-TR"/>
              </w:rPr>
            </w:pPr>
          </w:p>
        </w:tc>
        <w:tc>
          <w:tcPr>
            <w:tcW w:w="992" w:type="dxa"/>
            <w:tcBorders>
              <w:top w:val="nil"/>
              <w:left w:val="nil"/>
              <w:bottom w:val="nil"/>
              <w:right w:val="nil"/>
            </w:tcBorders>
            <w:shd w:val="clear" w:color="auto" w:fill="auto"/>
            <w:vAlign w:val="center"/>
            <w:hideMark/>
          </w:tcPr>
          <w:p w14:paraId="41D8E429" w14:textId="77777777" w:rsidR="00AE053A" w:rsidRPr="00005453" w:rsidRDefault="00AE053A" w:rsidP="00AE053A">
            <w:pPr>
              <w:jc w:val="right"/>
              <w:rPr>
                <w:sz w:val="14"/>
                <w:szCs w:val="14"/>
                <w:lang w:eastAsia="tr-TR"/>
              </w:rPr>
            </w:pPr>
          </w:p>
        </w:tc>
        <w:tc>
          <w:tcPr>
            <w:tcW w:w="1134" w:type="dxa"/>
            <w:tcBorders>
              <w:top w:val="nil"/>
              <w:left w:val="nil"/>
              <w:bottom w:val="nil"/>
              <w:right w:val="nil"/>
            </w:tcBorders>
            <w:shd w:val="clear" w:color="auto" w:fill="auto"/>
            <w:vAlign w:val="center"/>
            <w:hideMark/>
          </w:tcPr>
          <w:p w14:paraId="38B5D9ED" w14:textId="77777777" w:rsidR="00AE053A" w:rsidRPr="00005453" w:rsidRDefault="00AE053A" w:rsidP="00AE053A">
            <w:pPr>
              <w:jc w:val="right"/>
              <w:rPr>
                <w:sz w:val="14"/>
                <w:szCs w:val="14"/>
                <w:lang w:eastAsia="tr-TR"/>
              </w:rPr>
            </w:pPr>
          </w:p>
        </w:tc>
      </w:tr>
      <w:tr w:rsidR="00517599" w:rsidRPr="00005453" w14:paraId="098D293C" w14:textId="77777777" w:rsidTr="00517599">
        <w:trPr>
          <w:divId w:val="1338118142"/>
          <w:trHeight w:val="64"/>
        </w:trPr>
        <w:tc>
          <w:tcPr>
            <w:tcW w:w="1560" w:type="dxa"/>
            <w:tcBorders>
              <w:top w:val="nil"/>
              <w:left w:val="nil"/>
              <w:bottom w:val="nil"/>
              <w:right w:val="nil"/>
            </w:tcBorders>
            <w:shd w:val="clear" w:color="auto" w:fill="auto"/>
            <w:noWrap/>
            <w:vAlign w:val="bottom"/>
            <w:hideMark/>
          </w:tcPr>
          <w:p w14:paraId="59D783FC" w14:textId="77777777" w:rsidR="00AE053A" w:rsidRPr="00005453" w:rsidRDefault="00AE053A" w:rsidP="00AE053A">
            <w:pPr>
              <w:rPr>
                <w:sz w:val="6"/>
                <w:szCs w:val="6"/>
                <w:lang w:eastAsia="tr-TR"/>
              </w:rPr>
            </w:pPr>
          </w:p>
        </w:tc>
        <w:tc>
          <w:tcPr>
            <w:tcW w:w="1701" w:type="dxa"/>
            <w:tcBorders>
              <w:top w:val="nil"/>
              <w:left w:val="nil"/>
              <w:bottom w:val="nil"/>
              <w:right w:val="nil"/>
            </w:tcBorders>
            <w:shd w:val="clear" w:color="auto" w:fill="auto"/>
            <w:noWrap/>
            <w:vAlign w:val="bottom"/>
            <w:hideMark/>
          </w:tcPr>
          <w:p w14:paraId="3BEF4CBD"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noWrap/>
            <w:vAlign w:val="bottom"/>
            <w:hideMark/>
          </w:tcPr>
          <w:p w14:paraId="665FC19B" w14:textId="77777777" w:rsidR="00AE053A" w:rsidRPr="00005453" w:rsidRDefault="00AE053A" w:rsidP="00AE053A">
            <w:pPr>
              <w:jc w:val="right"/>
              <w:rPr>
                <w:sz w:val="6"/>
                <w:szCs w:val="6"/>
                <w:lang w:eastAsia="tr-TR"/>
              </w:rPr>
            </w:pPr>
          </w:p>
        </w:tc>
        <w:tc>
          <w:tcPr>
            <w:tcW w:w="851" w:type="dxa"/>
            <w:tcBorders>
              <w:top w:val="nil"/>
              <w:left w:val="nil"/>
              <w:bottom w:val="nil"/>
              <w:right w:val="nil"/>
            </w:tcBorders>
            <w:shd w:val="clear" w:color="auto" w:fill="auto"/>
            <w:noWrap/>
            <w:vAlign w:val="bottom"/>
            <w:hideMark/>
          </w:tcPr>
          <w:p w14:paraId="02933413"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noWrap/>
            <w:vAlign w:val="bottom"/>
            <w:hideMark/>
          </w:tcPr>
          <w:p w14:paraId="64416B6E"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noWrap/>
            <w:vAlign w:val="bottom"/>
            <w:hideMark/>
          </w:tcPr>
          <w:p w14:paraId="3CC35373" w14:textId="77777777" w:rsidR="00AE053A" w:rsidRPr="00005453" w:rsidRDefault="00AE053A" w:rsidP="00AE053A">
            <w:pPr>
              <w:jc w:val="right"/>
              <w:rPr>
                <w:sz w:val="6"/>
                <w:szCs w:val="6"/>
                <w:lang w:eastAsia="tr-TR"/>
              </w:rPr>
            </w:pPr>
          </w:p>
        </w:tc>
        <w:tc>
          <w:tcPr>
            <w:tcW w:w="851" w:type="dxa"/>
            <w:tcBorders>
              <w:top w:val="nil"/>
              <w:left w:val="nil"/>
              <w:bottom w:val="nil"/>
              <w:right w:val="nil"/>
            </w:tcBorders>
            <w:shd w:val="clear" w:color="auto" w:fill="auto"/>
            <w:noWrap/>
            <w:vAlign w:val="bottom"/>
            <w:hideMark/>
          </w:tcPr>
          <w:p w14:paraId="2C653041"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noWrap/>
            <w:vAlign w:val="bottom"/>
            <w:hideMark/>
          </w:tcPr>
          <w:p w14:paraId="40F90069" w14:textId="77777777" w:rsidR="00AE053A" w:rsidRPr="00005453" w:rsidRDefault="00AE053A" w:rsidP="00AE053A">
            <w:pPr>
              <w:jc w:val="right"/>
              <w:rPr>
                <w:sz w:val="6"/>
                <w:szCs w:val="6"/>
                <w:lang w:eastAsia="tr-TR"/>
              </w:rPr>
            </w:pPr>
          </w:p>
        </w:tc>
        <w:tc>
          <w:tcPr>
            <w:tcW w:w="1134" w:type="dxa"/>
            <w:tcBorders>
              <w:top w:val="nil"/>
              <w:left w:val="nil"/>
              <w:bottom w:val="nil"/>
              <w:right w:val="nil"/>
            </w:tcBorders>
            <w:shd w:val="clear" w:color="auto" w:fill="auto"/>
            <w:noWrap/>
            <w:vAlign w:val="bottom"/>
            <w:hideMark/>
          </w:tcPr>
          <w:p w14:paraId="2B918AF8" w14:textId="77777777" w:rsidR="00AE053A" w:rsidRPr="00005453" w:rsidRDefault="00AE053A" w:rsidP="00AE053A">
            <w:pPr>
              <w:jc w:val="right"/>
              <w:rPr>
                <w:sz w:val="6"/>
                <w:szCs w:val="6"/>
                <w:lang w:eastAsia="tr-TR"/>
              </w:rPr>
            </w:pPr>
          </w:p>
        </w:tc>
      </w:tr>
      <w:tr w:rsidR="00F66143" w:rsidRPr="00005453" w14:paraId="6B86B1DF" w14:textId="77777777" w:rsidTr="00F66143">
        <w:trPr>
          <w:divId w:val="1338118142"/>
          <w:trHeight w:val="172"/>
        </w:trPr>
        <w:tc>
          <w:tcPr>
            <w:tcW w:w="1560" w:type="dxa"/>
            <w:tcBorders>
              <w:top w:val="nil"/>
              <w:left w:val="nil"/>
              <w:bottom w:val="nil"/>
              <w:right w:val="nil"/>
            </w:tcBorders>
            <w:shd w:val="clear" w:color="auto" w:fill="auto"/>
            <w:noWrap/>
            <w:hideMark/>
          </w:tcPr>
          <w:p w14:paraId="07738DCF" w14:textId="77777777" w:rsidR="00F66143" w:rsidRPr="00005453" w:rsidRDefault="00F66143" w:rsidP="00F66143">
            <w:pPr>
              <w:rPr>
                <w:color w:val="000000"/>
                <w:sz w:val="14"/>
                <w:szCs w:val="14"/>
                <w:lang w:eastAsia="tr-TR"/>
              </w:rPr>
            </w:pPr>
            <w:r w:rsidRPr="00005453">
              <w:rPr>
                <w:color w:val="000000"/>
                <w:sz w:val="14"/>
                <w:szCs w:val="14"/>
                <w:lang w:eastAsia="tr-TR"/>
              </w:rPr>
              <w:t>Toplanan fonlar</w:t>
            </w:r>
          </w:p>
        </w:tc>
        <w:tc>
          <w:tcPr>
            <w:tcW w:w="1701" w:type="dxa"/>
            <w:tcBorders>
              <w:top w:val="nil"/>
              <w:left w:val="nil"/>
              <w:bottom w:val="nil"/>
              <w:right w:val="nil"/>
            </w:tcBorders>
            <w:shd w:val="clear" w:color="auto" w:fill="auto"/>
            <w:vAlign w:val="center"/>
            <w:hideMark/>
          </w:tcPr>
          <w:p w14:paraId="7713FBB6" w14:textId="509F1464" w:rsidR="00F66143" w:rsidRPr="00005453" w:rsidRDefault="00F66143" w:rsidP="00F66143">
            <w:pPr>
              <w:jc w:val="right"/>
              <w:rPr>
                <w:color w:val="000000"/>
                <w:sz w:val="14"/>
                <w:szCs w:val="14"/>
                <w:lang w:eastAsia="tr-TR"/>
              </w:rPr>
            </w:pPr>
            <w:r w:rsidRPr="00005453">
              <w:rPr>
                <w:sz w:val="14"/>
                <w:szCs w:val="18"/>
              </w:rPr>
              <w:t>502,161,338</w:t>
            </w:r>
          </w:p>
        </w:tc>
        <w:tc>
          <w:tcPr>
            <w:tcW w:w="850" w:type="dxa"/>
            <w:tcBorders>
              <w:top w:val="nil"/>
              <w:left w:val="nil"/>
              <w:bottom w:val="nil"/>
              <w:right w:val="nil"/>
            </w:tcBorders>
            <w:shd w:val="clear" w:color="auto" w:fill="auto"/>
            <w:vAlign w:val="center"/>
            <w:hideMark/>
          </w:tcPr>
          <w:p w14:paraId="54AC7A30" w14:textId="42ACBDA0" w:rsidR="00F66143" w:rsidRPr="00005453" w:rsidRDefault="00F66143" w:rsidP="00F66143">
            <w:pPr>
              <w:jc w:val="right"/>
              <w:rPr>
                <w:color w:val="000000"/>
                <w:sz w:val="14"/>
                <w:szCs w:val="14"/>
                <w:lang w:eastAsia="tr-TR"/>
              </w:rPr>
            </w:pPr>
            <w:r w:rsidRPr="00005453">
              <w:rPr>
                <w:sz w:val="14"/>
                <w:szCs w:val="18"/>
              </w:rPr>
              <w:t>53,772,139</w:t>
            </w:r>
          </w:p>
        </w:tc>
        <w:tc>
          <w:tcPr>
            <w:tcW w:w="851" w:type="dxa"/>
            <w:tcBorders>
              <w:top w:val="nil"/>
              <w:left w:val="nil"/>
              <w:bottom w:val="nil"/>
              <w:right w:val="nil"/>
            </w:tcBorders>
            <w:shd w:val="clear" w:color="auto" w:fill="auto"/>
            <w:vAlign w:val="center"/>
            <w:hideMark/>
          </w:tcPr>
          <w:p w14:paraId="77D8740D" w14:textId="54F3C28C" w:rsidR="00F66143" w:rsidRPr="00005453" w:rsidRDefault="00F66143" w:rsidP="00F66143">
            <w:pPr>
              <w:jc w:val="right"/>
              <w:rPr>
                <w:color w:val="000000"/>
                <w:sz w:val="14"/>
                <w:szCs w:val="14"/>
                <w:lang w:eastAsia="tr-TR"/>
              </w:rPr>
            </w:pPr>
            <w:r w:rsidRPr="00005453">
              <w:rPr>
                <w:sz w:val="14"/>
                <w:szCs w:val="18"/>
              </w:rPr>
              <w:t>26,560,263</w:t>
            </w:r>
          </w:p>
        </w:tc>
        <w:tc>
          <w:tcPr>
            <w:tcW w:w="850" w:type="dxa"/>
            <w:tcBorders>
              <w:top w:val="nil"/>
              <w:left w:val="nil"/>
              <w:bottom w:val="nil"/>
              <w:right w:val="nil"/>
            </w:tcBorders>
            <w:shd w:val="clear" w:color="auto" w:fill="auto"/>
            <w:vAlign w:val="center"/>
            <w:hideMark/>
          </w:tcPr>
          <w:p w14:paraId="45E91726" w14:textId="66FC52DD" w:rsidR="00F66143" w:rsidRPr="00005453" w:rsidRDefault="00F66143" w:rsidP="00F66143">
            <w:pPr>
              <w:jc w:val="right"/>
              <w:rPr>
                <w:color w:val="000000"/>
                <w:sz w:val="14"/>
                <w:szCs w:val="14"/>
                <w:lang w:eastAsia="tr-TR"/>
              </w:rPr>
            </w:pPr>
            <w:r w:rsidRPr="00005453">
              <w:rPr>
                <w:sz w:val="14"/>
                <w:szCs w:val="18"/>
              </w:rPr>
              <w:t>3,062,498</w:t>
            </w:r>
          </w:p>
        </w:tc>
        <w:tc>
          <w:tcPr>
            <w:tcW w:w="992" w:type="dxa"/>
            <w:tcBorders>
              <w:top w:val="nil"/>
              <w:left w:val="nil"/>
              <w:bottom w:val="nil"/>
              <w:right w:val="nil"/>
            </w:tcBorders>
            <w:shd w:val="clear" w:color="auto" w:fill="auto"/>
            <w:vAlign w:val="center"/>
            <w:hideMark/>
          </w:tcPr>
          <w:p w14:paraId="1A29F389" w14:textId="256B1B8D" w:rsidR="00F66143" w:rsidRPr="00005453" w:rsidRDefault="00F66143" w:rsidP="00F66143">
            <w:pPr>
              <w:jc w:val="right"/>
              <w:rPr>
                <w:color w:val="000000"/>
                <w:sz w:val="14"/>
                <w:szCs w:val="14"/>
                <w:lang w:eastAsia="tr-TR"/>
              </w:rPr>
            </w:pPr>
            <w:r w:rsidRPr="00005453">
              <w:rPr>
                <w:sz w:val="14"/>
                <w:szCs w:val="18"/>
              </w:rPr>
              <w:t>7,675</w:t>
            </w:r>
          </w:p>
        </w:tc>
        <w:tc>
          <w:tcPr>
            <w:tcW w:w="851" w:type="dxa"/>
            <w:tcBorders>
              <w:top w:val="nil"/>
              <w:left w:val="nil"/>
              <w:bottom w:val="nil"/>
              <w:right w:val="nil"/>
            </w:tcBorders>
            <w:shd w:val="clear" w:color="auto" w:fill="auto"/>
            <w:vAlign w:val="center"/>
            <w:hideMark/>
          </w:tcPr>
          <w:p w14:paraId="5670835E" w14:textId="1701C3E8" w:rsidR="00F66143" w:rsidRPr="00005453" w:rsidRDefault="00F66143" w:rsidP="00F66143">
            <w:pPr>
              <w:jc w:val="right"/>
              <w:rPr>
                <w:color w:val="000000"/>
                <w:sz w:val="14"/>
                <w:szCs w:val="14"/>
                <w:lang w:eastAsia="tr-TR"/>
              </w:rPr>
            </w:pPr>
            <w:r w:rsidRPr="00005453">
              <w:rPr>
                <w:sz w:val="14"/>
                <w:szCs w:val="18"/>
              </w:rPr>
              <w:t>585,563,913</w:t>
            </w:r>
          </w:p>
        </w:tc>
        <w:tc>
          <w:tcPr>
            <w:tcW w:w="992" w:type="dxa"/>
            <w:tcBorders>
              <w:top w:val="nil"/>
              <w:left w:val="nil"/>
              <w:bottom w:val="nil"/>
              <w:right w:val="nil"/>
            </w:tcBorders>
            <w:shd w:val="clear" w:color="auto" w:fill="auto"/>
            <w:vAlign w:val="center"/>
            <w:hideMark/>
          </w:tcPr>
          <w:p w14:paraId="356C9A9F" w14:textId="62B2EB67" w:rsidR="00F66143" w:rsidRPr="00005453" w:rsidRDefault="00F66143" w:rsidP="00F66143">
            <w:pPr>
              <w:jc w:val="right"/>
              <w:rPr>
                <w:color w:val="000000"/>
                <w:sz w:val="14"/>
                <w:szCs w:val="14"/>
                <w:lang w:eastAsia="tr-TR"/>
              </w:rPr>
            </w:pPr>
            <w:r w:rsidRPr="00005453">
              <w:rPr>
                <w:sz w:val="14"/>
                <w:szCs w:val="18"/>
              </w:rPr>
              <w:t>-</w:t>
            </w:r>
          </w:p>
        </w:tc>
        <w:tc>
          <w:tcPr>
            <w:tcW w:w="1134" w:type="dxa"/>
            <w:tcBorders>
              <w:top w:val="nil"/>
              <w:left w:val="nil"/>
              <w:bottom w:val="nil"/>
              <w:right w:val="nil"/>
            </w:tcBorders>
            <w:shd w:val="clear" w:color="auto" w:fill="auto"/>
            <w:vAlign w:val="center"/>
            <w:hideMark/>
          </w:tcPr>
          <w:p w14:paraId="227487B3" w14:textId="16710C82" w:rsidR="00F66143" w:rsidRPr="00C07B3E" w:rsidRDefault="00F66143" w:rsidP="00F66143">
            <w:pPr>
              <w:jc w:val="right"/>
              <w:rPr>
                <w:color w:val="000000"/>
                <w:sz w:val="14"/>
                <w:szCs w:val="14"/>
                <w:lang w:eastAsia="tr-TR"/>
              </w:rPr>
            </w:pPr>
            <w:r w:rsidRPr="00C07B3E">
              <w:rPr>
                <w:bCs/>
                <w:sz w:val="14"/>
                <w:szCs w:val="18"/>
              </w:rPr>
              <w:t>585,563,913</w:t>
            </w:r>
          </w:p>
        </w:tc>
      </w:tr>
      <w:tr w:rsidR="00F66143" w:rsidRPr="00005453" w14:paraId="25EA69FF" w14:textId="77777777" w:rsidTr="00F66143">
        <w:trPr>
          <w:divId w:val="1338118142"/>
          <w:trHeight w:val="89"/>
        </w:trPr>
        <w:tc>
          <w:tcPr>
            <w:tcW w:w="1560" w:type="dxa"/>
            <w:tcBorders>
              <w:top w:val="nil"/>
              <w:left w:val="nil"/>
              <w:bottom w:val="nil"/>
              <w:right w:val="nil"/>
            </w:tcBorders>
            <w:shd w:val="clear" w:color="auto" w:fill="auto"/>
            <w:noWrap/>
            <w:hideMark/>
          </w:tcPr>
          <w:p w14:paraId="29629BAB" w14:textId="77777777" w:rsidR="00F66143" w:rsidRPr="00005453" w:rsidRDefault="00F66143" w:rsidP="00F66143">
            <w:pPr>
              <w:rPr>
                <w:color w:val="000000"/>
                <w:sz w:val="14"/>
                <w:szCs w:val="14"/>
                <w:lang w:eastAsia="tr-TR"/>
              </w:rPr>
            </w:pPr>
            <w:r w:rsidRPr="00005453">
              <w:rPr>
                <w:color w:val="000000"/>
                <w:sz w:val="14"/>
                <w:szCs w:val="14"/>
                <w:lang w:eastAsia="tr-TR"/>
              </w:rPr>
              <w:t>Diğer mali kuruluşlardan</w:t>
            </w:r>
          </w:p>
        </w:tc>
        <w:tc>
          <w:tcPr>
            <w:tcW w:w="1701" w:type="dxa"/>
            <w:tcBorders>
              <w:top w:val="nil"/>
              <w:left w:val="nil"/>
              <w:bottom w:val="nil"/>
              <w:right w:val="nil"/>
            </w:tcBorders>
            <w:shd w:val="clear" w:color="auto" w:fill="auto"/>
            <w:vAlign w:val="center"/>
            <w:hideMark/>
          </w:tcPr>
          <w:p w14:paraId="46FAB913" w14:textId="464221F1" w:rsidR="00F66143" w:rsidRPr="00005453" w:rsidRDefault="00F66143" w:rsidP="00F66143">
            <w:pPr>
              <w:jc w:val="right"/>
              <w:rPr>
                <w:color w:val="000000"/>
                <w:sz w:val="14"/>
                <w:szCs w:val="14"/>
                <w:lang w:eastAsia="tr-TR"/>
              </w:rPr>
            </w:pPr>
            <w:r w:rsidRPr="00005453">
              <w:rPr>
                <w:sz w:val="14"/>
                <w:szCs w:val="18"/>
              </w:rPr>
              <w:t>80,068,483</w:t>
            </w:r>
          </w:p>
        </w:tc>
        <w:tc>
          <w:tcPr>
            <w:tcW w:w="850" w:type="dxa"/>
            <w:tcBorders>
              <w:top w:val="nil"/>
              <w:left w:val="nil"/>
              <w:bottom w:val="nil"/>
              <w:right w:val="nil"/>
            </w:tcBorders>
            <w:shd w:val="clear" w:color="auto" w:fill="auto"/>
            <w:vAlign w:val="center"/>
            <w:hideMark/>
          </w:tcPr>
          <w:p w14:paraId="1B9AF275" w14:textId="5A68828D" w:rsidR="00F66143" w:rsidRPr="00005453" w:rsidRDefault="00F66143" w:rsidP="00F66143">
            <w:pPr>
              <w:jc w:val="right"/>
              <w:rPr>
                <w:color w:val="000000"/>
                <w:sz w:val="14"/>
                <w:szCs w:val="14"/>
                <w:lang w:eastAsia="tr-TR"/>
              </w:rPr>
            </w:pPr>
            <w:r w:rsidRPr="00005453">
              <w:rPr>
                <w:sz w:val="14"/>
                <w:szCs w:val="18"/>
              </w:rPr>
              <w:t>15,313,083</w:t>
            </w:r>
          </w:p>
        </w:tc>
        <w:tc>
          <w:tcPr>
            <w:tcW w:w="851" w:type="dxa"/>
            <w:tcBorders>
              <w:top w:val="nil"/>
              <w:left w:val="nil"/>
              <w:bottom w:val="nil"/>
              <w:right w:val="nil"/>
            </w:tcBorders>
            <w:shd w:val="clear" w:color="auto" w:fill="auto"/>
            <w:vAlign w:val="center"/>
            <w:hideMark/>
          </w:tcPr>
          <w:p w14:paraId="22544334" w14:textId="27F5C758" w:rsidR="00F66143" w:rsidRPr="00005453" w:rsidRDefault="00F66143" w:rsidP="00F66143">
            <w:pPr>
              <w:jc w:val="right"/>
              <w:rPr>
                <w:color w:val="000000"/>
                <w:sz w:val="14"/>
                <w:szCs w:val="14"/>
                <w:lang w:eastAsia="tr-TR"/>
              </w:rPr>
            </w:pPr>
            <w:r w:rsidRPr="00005453">
              <w:rPr>
                <w:sz w:val="14"/>
                <w:szCs w:val="18"/>
              </w:rPr>
              <w:t>24,365,539</w:t>
            </w:r>
          </w:p>
        </w:tc>
        <w:tc>
          <w:tcPr>
            <w:tcW w:w="850" w:type="dxa"/>
            <w:tcBorders>
              <w:top w:val="nil"/>
              <w:left w:val="nil"/>
              <w:bottom w:val="nil"/>
              <w:right w:val="nil"/>
            </w:tcBorders>
            <w:shd w:val="clear" w:color="auto" w:fill="auto"/>
            <w:vAlign w:val="center"/>
            <w:hideMark/>
          </w:tcPr>
          <w:p w14:paraId="15A2ED6C" w14:textId="191891B5" w:rsidR="00F66143" w:rsidRPr="00005453" w:rsidRDefault="00F66143" w:rsidP="00F66143">
            <w:pPr>
              <w:jc w:val="right"/>
              <w:rPr>
                <w:color w:val="000000"/>
                <w:sz w:val="14"/>
                <w:szCs w:val="14"/>
                <w:lang w:eastAsia="tr-TR"/>
              </w:rPr>
            </w:pPr>
            <w:r w:rsidRPr="00005453">
              <w:rPr>
                <w:sz w:val="14"/>
                <w:szCs w:val="18"/>
              </w:rPr>
              <w:t>10,454,777</w:t>
            </w:r>
          </w:p>
        </w:tc>
        <w:tc>
          <w:tcPr>
            <w:tcW w:w="992" w:type="dxa"/>
            <w:tcBorders>
              <w:top w:val="nil"/>
              <w:left w:val="nil"/>
              <w:bottom w:val="nil"/>
              <w:right w:val="nil"/>
            </w:tcBorders>
            <w:shd w:val="clear" w:color="auto" w:fill="auto"/>
            <w:vAlign w:val="center"/>
            <w:hideMark/>
          </w:tcPr>
          <w:p w14:paraId="267AFF4F" w14:textId="6B49C5AB" w:rsidR="00F66143" w:rsidRPr="00005453" w:rsidRDefault="00F66143" w:rsidP="00F66143">
            <w:pPr>
              <w:jc w:val="right"/>
              <w:rPr>
                <w:color w:val="000000"/>
                <w:sz w:val="14"/>
                <w:szCs w:val="14"/>
                <w:lang w:eastAsia="tr-TR"/>
              </w:rPr>
            </w:pPr>
            <w:r w:rsidRPr="00005453">
              <w:rPr>
                <w:sz w:val="14"/>
                <w:szCs w:val="18"/>
              </w:rPr>
              <w:t>12,344,896</w:t>
            </w:r>
          </w:p>
        </w:tc>
        <w:tc>
          <w:tcPr>
            <w:tcW w:w="851" w:type="dxa"/>
            <w:tcBorders>
              <w:top w:val="nil"/>
              <w:left w:val="nil"/>
              <w:bottom w:val="nil"/>
              <w:right w:val="nil"/>
            </w:tcBorders>
            <w:shd w:val="clear" w:color="auto" w:fill="auto"/>
            <w:vAlign w:val="center"/>
            <w:hideMark/>
          </w:tcPr>
          <w:p w14:paraId="57A14095" w14:textId="5FAEAC62" w:rsidR="00F66143" w:rsidRPr="00005453" w:rsidRDefault="00F66143" w:rsidP="00F66143">
            <w:pPr>
              <w:jc w:val="right"/>
              <w:rPr>
                <w:color w:val="000000"/>
                <w:sz w:val="14"/>
                <w:szCs w:val="14"/>
                <w:lang w:eastAsia="tr-TR"/>
              </w:rPr>
            </w:pPr>
            <w:r w:rsidRPr="00005453">
              <w:rPr>
                <w:sz w:val="14"/>
                <w:szCs w:val="18"/>
              </w:rPr>
              <w:t>142,546,778</w:t>
            </w:r>
          </w:p>
        </w:tc>
        <w:tc>
          <w:tcPr>
            <w:tcW w:w="992" w:type="dxa"/>
            <w:tcBorders>
              <w:top w:val="nil"/>
              <w:left w:val="nil"/>
              <w:bottom w:val="nil"/>
              <w:right w:val="nil"/>
            </w:tcBorders>
            <w:shd w:val="clear" w:color="auto" w:fill="auto"/>
            <w:vAlign w:val="center"/>
            <w:hideMark/>
          </w:tcPr>
          <w:p w14:paraId="60376786" w14:textId="4B181ED7" w:rsidR="00F66143" w:rsidRPr="00005453" w:rsidRDefault="00F66143" w:rsidP="00F66143">
            <w:pPr>
              <w:jc w:val="right"/>
              <w:rPr>
                <w:color w:val="000000"/>
                <w:sz w:val="14"/>
                <w:szCs w:val="14"/>
                <w:lang w:eastAsia="tr-TR"/>
              </w:rPr>
            </w:pPr>
            <w:r w:rsidRPr="00005453">
              <w:rPr>
                <w:sz w:val="14"/>
                <w:szCs w:val="18"/>
              </w:rPr>
              <w:t>(6,439,507)</w:t>
            </w:r>
          </w:p>
        </w:tc>
        <w:tc>
          <w:tcPr>
            <w:tcW w:w="1134" w:type="dxa"/>
            <w:tcBorders>
              <w:top w:val="nil"/>
              <w:left w:val="nil"/>
              <w:bottom w:val="nil"/>
              <w:right w:val="nil"/>
            </w:tcBorders>
            <w:shd w:val="clear" w:color="auto" w:fill="auto"/>
            <w:vAlign w:val="center"/>
            <w:hideMark/>
          </w:tcPr>
          <w:p w14:paraId="488B5FE3" w14:textId="53427888" w:rsidR="00F66143" w:rsidRPr="00C07B3E" w:rsidRDefault="00F66143" w:rsidP="00F66143">
            <w:pPr>
              <w:jc w:val="right"/>
              <w:rPr>
                <w:color w:val="000000"/>
                <w:sz w:val="14"/>
                <w:szCs w:val="14"/>
                <w:lang w:eastAsia="tr-TR"/>
              </w:rPr>
            </w:pPr>
            <w:r w:rsidRPr="00C07B3E">
              <w:rPr>
                <w:bCs/>
                <w:sz w:val="14"/>
                <w:szCs w:val="18"/>
              </w:rPr>
              <w:t>136,107,271</w:t>
            </w:r>
          </w:p>
        </w:tc>
      </w:tr>
      <w:tr w:rsidR="00F66143" w:rsidRPr="00005453" w14:paraId="2FB9726A" w14:textId="77777777" w:rsidTr="00F66143">
        <w:trPr>
          <w:divId w:val="1338118142"/>
          <w:trHeight w:val="150"/>
        </w:trPr>
        <w:tc>
          <w:tcPr>
            <w:tcW w:w="1560" w:type="dxa"/>
            <w:tcBorders>
              <w:top w:val="nil"/>
              <w:left w:val="nil"/>
              <w:bottom w:val="nil"/>
              <w:right w:val="nil"/>
            </w:tcBorders>
            <w:shd w:val="clear" w:color="auto" w:fill="auto"/>
            <w:hideMark/>
          </w:tcPr>
          <w:p w14:paraId="2CF13002" w14:textId="77777777" w:rsidR="00F66143" w:rsidRPr="00005453" w:rsidRDefault="00F66143" w:rsidP="00F66143">
            <w:pPr>
              <w:rPr>
                <w:color w:val="000000"/>
                <w:sz w:val="14"/>
                <w:szCs w:val="14"/>
                <w:lang w:eastAsia="tr-TR"/>
              </w:rPr>
            </w:pPr>
            <w:r w:rsidRPr="00005453">
              <w:rPr>
                <w:color w:val="000000"/>
                <w:sz w:val="14"/>
                <w:szCs w:val="14"/>
                <w:lang w:eastAsia="tr-TR"/>
              </w:rPr>
              <w:t>Repo işlemlerinden sağlanan fonlar</w:t>
            </w:r>
          </w:p>
        </w:tc>
        <w:tc>
          <w:tcPr>
            <w:tcW w:w="1701" w:type="dxa"/>
            <w:tcBorders>
              <w:top w:val="nil"/>
              <w:left w:val="nil"/>
              <w:bottom w:val="nil"/>
              <w:right w:val="nil"/>
            </w:tcBorders>
            <w:shd w:val="clear" w:color="auto" w:fill="auto"/>
            <w:vAlign w:val="center"/>
            <w:hideMark/>
          </w:tcPr>
          <w:p w14:paraId="3BCB846F" w14:textId="650B319A" w:rsidR="00F66143" w:rsidRPr="00005453" w:rsidRDefault="00F66143" w:rsidP="00F66143">
            <w:pPr>
              <w:jc w:val="right"/>
              <w:rPr>
                <w:color w:val="000000"/>
                <w:sz w:val="14"/>
                <w:szCs w:val="14"/>
                <w:lang w:eastAsia="tr-TR"/>
              </w:rPr>
            </w:pPr>
            <w:r w:rsidRPr="00005453">
              <w:rPr>
                <w:sz w:val="14"/>
                <w:szCs w:val="18"/>
              </w:rPr>
              <w:t>1</w:t>
            </w:r>
            <w:r w:rsidR="00474F5B" w:rsidRPr="00005453">
              <w:rPr>
                <w:sz w:val="14"/>
                <w:szCs w:val="18"/>
              </w:rPr>
              <w:t>8</w:t>
            </w:r>
            <w:r w:rsidRPr="00005453">
              <w:rPr>
                <w:sz w:val="14"/>
                <w:szCs w:val="18"/>
              </w:rPr>
              <w:t>,</w:t>
            </w:r>
            <w:r w:rsidR="00474F5B" w:rsidRPr="00005453">
              <w:rPr>
                <w:sz w:val="14"/>
                <w:szCs w:val="18"/>
              </w:rPr>
              <w:t>05</w:t>
            </w:r>
            <w:r w:rsidRPr="00005453">
              <w:rPr>
                <w:sz w:val="14"/>
                <w:szCs w:val="18"/>
              </w:rPr>
              <w:t>9,</w:t>
            </w:r>
            <w:r w:rsidR="00474F5B" w:rsidRPr="00005453">
              <w:rPr>
                <w:sz w:val="14"/>
                <w:szCs w:val="18"/>
              </w:rPr>
              <w:t>471</w:t>
            </w:r>
          </w:p>
        </w:tc>
        <w:tc>
          <w:tcPr>
            <w:tcW w:w="850" w:type="dxa"/>
            <w:tcBorders>
              <w:top w:val="nil"/>
              <w:left w:val="nil"/>
              <w:bottom w:val="nil"/>
              <w:right w:val="nil"/>
            </w:tcBorders>
            <w:shd w:val="clear" w:color="auto" w:fill="auto"/>
            <w:vAlign w:val="center"/>
            <w:hideMark/>
          </w:tcPr>
          <w:p w14:paraId="09A469A6" w14:textId="61C6D4A4" w:rsidR="00F66143" w:rsidRPr="00005453" w:rsidRDefault="00F66143" w:rsidP="00F66143">
            <w:pPr>
              <w:jc w:val="right"/>
              <w:rPr>
                <w:color w:val="000000"/>
                <w:sz w:val="14"/>
                <w:szCs w:val="14"/>
                <w:lang w:eastAsia="tr-TR"/>
              </w:rPr>
            </w:pPr>
            <w:r w:rsidRPr="00005453">
              <w:rPr>
                <w:sz w:val="14"/>
                <w:szCs w:val="18"/>
              </w:rPr>
              <w:t>-</w:t>
            </w:r>
          </w:p>
        </w:tc>
        <w:tc>
          <w:tcPr>
            <w:tcW w:w="851" w:type="dxa"/>
            <w:tcBorders>
              <w:top w:val="nil"/>
              <w:left w:val="nil"/>
              <w:bottom w:val="nil"/>
              <w:right w:val="nil"/>
            </w:tcBorders>
            <w:shd w:val="clear" w:color="auto" w:fill="auto"/>
            <w:vAlign w:val="center"/>
            <w:hideMark/>
          </w:tcPr>
          <w:p w14:paraId="0375B82F" w14:textId="430AD5F4" w:rsidR="00F66143" w:rsidRPr="00005453" w:rsidRDefault="00F66143" w:rsidP="00F66143">
            <w:pPr>
              <w:jc w:val="right"/>
              <w:rPr>
                <w:color w:val="000000"/>
                <w:sz w:val="14"/>
                <w:szCs w:val="14"/>
                <w:lang w:eastAsia="tr-TR"/>
              </w:rPr>
            </w:pPr>
            <w:r w:rsidRPr="00005453">
              <w:rPr>
                <w:sz w:val="14"/>
                <w:szCs w:val="18"/>
              </w:rPr>
              <w:t>-</w:t>
            </w:r>
          </w:p>
        </w:tc>
        <w:tc>
          <w:tcPr>
            <w:tcW w:w="850" w:type="dxa"/>
            <w:tcBorders>
              <w:top w:val="nil"/>
              <w:left w:val="nil"/>
              <w:bottom w:val="nil"/>
              <w:right w:val="nil"/>
            </w:tcBorders>
            <w:shd w:val="clear" w:color="auto" w:fill="auto"/>
            <w:vAlign w:val="center"/>
            <w:hideMark/>
          </w:tcPr>
          <w:p w14:paraId="5627A35D" w14:textId="61BEA644" w:rsidR="00F66143" w:rsidRPr="00005453" w:rsidRDefault="00F66143" w:rsidP="00F66143">
            <w:pPr>
              <w:jc w:val="right"/>
              <w:rPr>
                <w:color w:val="000000"/>
                <w:sz w:val="14"/>
                <w:szCs w:val="14"/>
                <w:lang w:eastAsia="tr-TR"/>
              </w:rPr>
            </w:pPr>
            <w:r w:rsidRPr="00005453">
              <w:rPr>
                <w:sz w:val="14"/>
                <w:szCs w:val="18"/>
              </w:rPr>
              <w:t>-</w:t>
            </w:r>
          </w:p>
        </w:tc>
        <w:tc>
          <w:tcPr>
            <w:tcW w:w="992" w:type="dxa"/>
            <w:tcBorders>
              <w:top w:val="nil"/>
              <w:left w:val="nil"/>
              <w:bottom w:val="nil"/>
              <w:right w:val="nil"/>
            </w:tcBorders>
            <w:shd w:val="clear" w:color="auto" w:fill="auto"/>
            <w:vAlign w:val="center"/>
            <w:hideMark/>
          </w:tcPr>
          <w:p w14:paraId="49B2FAC8" w14:textId="38151457" w:rsidR="00F66143" w:rsidRPr="00005453" w:rsidRDefault="00F66143" w:rsidP="00F66143">
            <w:pPr>
              <w:jc w:val="right"/>
              <w:rPr>
                <w:color w:val="000000"/>
                <w:sz w:val="14"/>
                <w:szCs w:val="14"/>
                <w:lang w:eastAsia="tr-TR"/>
              </w:rPr>
            </w:pPr>
            <w:r w:rsidRPr="00005453">
              <w:rPr>
                <w:sz w:val="14"/>
                <w:szCs w:val="18"/>
              </w:rPr>
              <w:t>-</w:t>
            </w:r>
          </w:p>
        </w:tc>
        <w:tc>
          <w:tcPr>
            <w:tcW w:w="851" w:type="dxa"/>
            <w:tcBorders>
              <w:top w:val="nil"/>
              <w:left w:val="nil"/>
              <w:bottom w:val="nil"/>
              <w:right w:val="nil"/>
            </w:tcBorders>
            <w:shd w:val="clear" w:color="auto" w:fill="auto"/>
            <w:vAlign w:val="center"/>
            <w:hideMark/>
          </w:tcPr>
          <w:p w14:paraId="724B95E2" w14:textId="4CBCA415" w:rsidR="00F66143" w:rsidRPr="00005453" w:rsidRDefault="00F66143" w:rsidP="00F66143">
            <w:pPr>
              <w:jc w:val="right"/>
              <w:rPr>
                <w:color w:val="000000"/>
                <w:sz w:val="14"/>
                <w:szCs w:val="14"/>
                <w:lang w:eastAsia="tr-TR"/>
              </w:rPr>
            </w:pPr>
            <w:r w:rsidRPr="00005453">
              <w:rPr>
                <w:sz w:val="14"/>
                <w:szCs w:val="18"/>
              </w:rPr>
              <w:t>1</w:t>
            </w:r>
            <w:r w:rsidR="00F173FB" w:rsidRPr="00005453">
              <w:rPr>
                <w:sz w:val="14"/>
                <w:szCs w:val="18"/>
              </w:rPr>
              <w:t>8</w:t>
            </w:r>
            <w:r w:rsidRPr="00005453">
              <w:rPr>
                <w:sz w:val="14"/>
                <w:szCs w:val="18"/>
              </w:rPr>
              <w:t>,</w:t>
            </w:r>
            <w:r w:rsidR="00F173FB" w:rsidRPr="00005453">
              <w:rPr>
                <w:sz w:val="14"/>
                <w:szCs w:val="18"/>
              </w:rPr>
              <w:t>05</w:t>
            </w:r>
            <w:r w:rsidRPr="00005453">
              <w:rPr>
                <w:sz w:val="14"/>
                <w:szCs w:val="18"/>
              </w:rPr>
              <w:t>9,</w:t>
            </w:r>
            <w:r w:rsidR="00F173FB" w:rsidRPr="00005453">
              <w:rPr>
                <w:sz w:val="14"/>
                <w:szCs w:val="18"/>
              </w:rPr>
              <w:t>471</w:t>
            </w:r>
          </w:p>
        </w:tc>
        <w:tc>
          <w:tcPr>
            <w:tcW w:w="992" w:type="dxa"/>
            <w:tcBorders>
              <w:top w:val="nil"/>
              <w:left w:val="nil"/>
              <w:bottom w:val="nil"/>
              <w:right w:val="nil"/>
            </w:tcBorders>
            <w:shd w:val="clear" w:color="auto" w:fill="auto"/>
            <w:vAlign w:val="center"/>
            <w:hideMark/>
          </w:tcPr>
          <w:p w14:paraId="58C1E707" w14:textId="2FEA96BE" w:rsidR="00F66143" w:rsidRPr="00005453" w:rsidRDefault="00F173FB" w:rsidP="00F66143">
            <w:pPr>
              <w:jc w:val="right"/>
              <w:rPr>
                <w:color w:val="000000"/>
                <w:sz w:val="14"/>
                <w:szCs w:val="14"/>
                <w:lang w:eastAsia="tr-TR"/>
              </w:rPr>
            </w:pPr>
            <w:r w:rsidRPr="00005453">
              <w:rPr>
                <w:color w:val="000000"/>
                <w:sz w:val="14"/>
                <w:szCs w:val="14"/>
                <w:lang w:eastAsia="tr-TR"/>
              </w:rPr>
              <w:t>(340,213)</w:t>
            </w:r>
          </w:p>
        </w:tc>
        <w:tc>
          <w:tcPr>
            <w:tcW w:w="1134" w:type="dxa"/>
            <w:tcBorders>
              <w:top w:val="nil"/>
              <w:left w:val="nil"/>
              <w:bottom w:val="nil"/>
              <w:right w:val="nil"/>
            </w:tcBorders>
            <w:shd w:val="clear" w:color="auto" w:fill="auto"/>
            <w:vAlign w:val="center"/>
            <w:hideMark/>
          </w:tcPr>
          <w:p w14:paraId="21C8CEFD" w14:textId="4B1DF7AC" w:rsidR="00F66143" w:rsidRPr="00C07B3E" w:rsidRDefault="00F66143" w:rsidP="00F66143">
            <w:pPr>
              <w:jc w:val="right"/>
              <w:rPr>
                <w:color w:val="000000"/>
                <w:sz w:val="14"/>
                <w:szCs w:val="14"/>
                <w:lang w:eastAsia="tr-TR"/>
              </w:rPr>
            </w:pPr>
            <w:r w:rsidRPr="00C07B3E">
              <w:rPr>
                <w:bCs/>
                <w:sz w:val="14"/>
                <w:szCs w:val="18"/>
              </w:rPr>
              <w:t>1</w:t>
            </w:r>
            <w:r w:rsidR="00F173FB" w:rsidRPr="00C07B3E">
              <w:rPr>
                <w:bCs/>
                <w:sz w:val="14"/>
                <w:szCs w:val="18"/>
              </w:rPr>
              <w:t>7</w:t>
            </w:r>
            <w:r w:rsidRPr="00C07B3E">
              <w:rPr>
                <w:bCs/>
                <w:sz w:val="14"/>
                <w:szCs w:val="18"/>
              </w:rPr>
              <w:t>,</w:t>
            </w:r>
            <w:r w:rsidR="00F173FB" w:rsidRPr="00C07B3E">
              <w:rPr>
                <w:bCs/>
                <w:sz w:val="14"/>
                <w:szCs w:val="18"/>
              </w:rPr>
              <w:t>71</w:t>
            </w:r>
            <w:r w:rsidRPr="00C07B3E">
              <w:rPr>
                <w:bCs/>
                <w:sz w:val="14"/>
                <w:szCs w:val="18"/>
              </w:rPr>
              <w:t>9,</w:t>
            </w:r>
            <w:r w:rsidR="00F173FB" w:rsidRPr="00C07B3E">
              <w:rPr>
                <w:bCs/>
                <w:sz w:val="14"/>
                <w:szCs w:val="18"/>
              </w:rPr>
              <w:t>258</w:t>
            </w:r>
          </w:p>
        </w:tc>
      </w:tr>
      <w:tr w:rsidR="00F66143" w:rsidRPr="00005453" w14:paraId="4267125D" w14:textId="77777777" w:rsidTr="00F66143">
        <w:trPr>
          <w:divId w:val="1338118142"/>
          <w:trHeight w:val="240"/>
        </w:trPr>
        <w:tc>
          <w:tcPr>
            <w:tcW w:w="1560" w:type="dxa"/>
            <w:tcBorders>
              <w:top w:val="nil"/>
              <w:left w:val="nil"/>
              <w:bottom w:val="single" w:sz="8" w:space="0" w:color="auto"/>
              <w:right w:val="nil"/>
            </w:tcBorders>
            <w:shd w:val="clear" w:color="auto" w:fill="auto"/>
            <w:noWrap/>
            <w:hideMark/>
          </w:tcPr>
          <w:p w14:paraId="78671051" w14:textId="77777777" w:rsidR="00F66143" w:rsidRPr="00005453" w:rsidRDefault="00F66143" w:rsidP="00F66143">
            <w:pPr>
              <w:rPr>
                <w:color w:val="000000"/>
                <w:sz w:val="14"/>
                <w:szCs w:val="14"/>
                <w:lang w:eastAsia="tr-TR"/>
              </w:rPr>
            </w:pPr>
            <w:r w:rsidRPr="00005453">
              <w:rPr>
                <w:color w:val="000000"/>
                <w:sz w:val="14"/>
                <w:szCs w:val="14"/>
                <w:lang w:eastAsia="tr-TR"/>
              </w:rPr>
              <w:t>Kiralama işlemlerinden borçlar</w:t>
            </w:r>
          </w:p>
        </w:tc>
        <w:tc>
          <w:tcPr>
            <w:tcW w:w="1701" w:type="dxa"/>
            <w:tcBorders>
              <w:top w:val="nil"/>
              <w:left w:val="nil"/>
              <w:bottom w:val="single" w:sz="8" w:space="0" w:color="auto"/>
              <w:right w:val="nil"/>
            </w:tcBorders>
            <w:shd w:val="clear" w:color="auto" w:fill="auto"/>
            <w:vAlign w:val="center"/>
            <w:hideMark/>
          </w:tcPr>
          <w:p w14:paraId="24E9DC07" w14:textId="0E88DF44" w:rsidR="00F66143" w:rsidRPr="00005453" w:rsidRDefault="00F66143" w:rsidP="00F66143">
            <w:pPr>
              <w:jc w:val="right"/>
              <w:rPr>
                <w:color w:val="000000"/>
                <w:sz w:val="14"/>
                <w:szCs w:val="14"/>
                <w:lang w:eastAsia="tr-TR"/>
              </w:rPr>
            </w:pPr>
            <w:r w:rsidRPr="00005453">
              <w:rPr>
                <w:sz w:val="14"/>
                <w:szCs w:val="18"/>
              </w:rPr>
              <w:t>69,081</w:t>
            </w:r>
          </w:p>
        </w:tc>
        <w:tc>
          <w:tcPr>
            <w:tcW w:w="850" w:type="dxa"/>
            <w:tcBorders>
              <w:top w:val="nil"/>
              <w:left w:val="nil"/>
              <w:bottom w:val="single" w:sz="8" w:space="0" w:color="auto"/>
              <w:right w:val="nil"/>
            </w:tcBorders>
            <w:shd w:val="clear" w:color="auto" w:fill="auto"/>
            <w:vAlign w:val="center"/>
            <w:hideMark/>
          </w:tcPr>
          <w:p w14:paraId="3AAAC1E6" w14:textId="2F11A47D" w:rsidR="00F66143" w:rsidRPr="00005453" w:rsidRDefault="00F66143" w:rsidP="00F66143">
            <w:pPr>
              <w:jc w:val="right"/>
              <w:rPr>
                <w:color w:val="000000"/>
                <w:sz w:val="14"/>
                <w:szCs w:val="14"/>
                <w:lang w:eastAsia="tr-TR"/>
              </w:rPr>
            </w:pPr>
            <w:r w:rsidRPr="00005453">
              <w:rPr>
                <w:sz w:val="14"/>
                <w:szCs w:val="18"/>
              </w:rPr>
              <w:t>108,546</w:t>
            </w:r>
          </w:p>
        </w:tc>
        <w:tc>
          <w:tcPr>
            <w:tcW w:w="851" w:type="dxa"/>
            <w:tcBorders>
              <w:top w:val="nil"/>
              <w:left w:val="nil"/>
              <w:bottom w:val="single" w:sz="8" w:space="0" w:color="auto"/>
              <w:right w:val="nil"/>
            </w:tcBorders>
            <w:shd w:val="clear" w:color="auto" w:fill="auto"/>
            <w:vAlign w:val="center"/>
            <w:hideMark/>
          </w:tcPr>
          <w:p w14:paraId="43DD67BA" w14:textId="7A1D2AA1" w:rsidR="00F66143" w:rsidRPr="00005453" w:rsidRDefault="00F66143" w:rsidP="00F66143">
            <w:pPr>
              <w:jc w:val="right"/>
              <w:rPr>
                <w:color w:val="000000"/>
                <w:sz w:val="14"/>
                <w:szCs w:val="14"/>
                <w:lang w:eastAsia="tr-TR"/>
              </w:rPr>
            </w:pPr>
            <w:r w:rsidRPr="00005453">
              <w:rPr>
                <w:sz w:val="14"/>
                <w:szCs w:val="18"/>
              </w:rPr>
              <w:t>441,274</w:t>
            </w:r>
          </w:p>
        </w:tc>
        <w:tc>
          <w:tcPr>
            <w:tcW w:w="850" w:type="dxa"/>
            <w:tcBorders>
              <w:top w:val="nil"/>
              <w:left w:val="nil"/>
              <w:bottom w:val="single" w:sz="8" w:space="0" w:color="auto"/>
              <w:right w:val="nil"/>
            </w:tcBorders>
            <w:shd w:val="clear" w:color="auto" w:fill="auto"/>
            <w:vAlign w:val="center"/>
            <w:hideMark/>
          </w:tcPr>
          <w:p w14:paraId="1FE115E0" w14:textId="385A7CE9" w:rsidR="00F66143" w:rsidRPr="00005453" w:rsidRDefault="00F66143" w:rsidP="00F66143">
            <w:pPr>
              <w:jc w:val="right"/>
              <w:rPr>
                <w:color w:val="000000"/>
                <w:sz w:val="14"/>
                <w:szCs w:val="14"/>
                <w:lang w:eastAsia="tr-TR"/>
              </w:rPr>
            </w:pPr>
            <w:r w:rsidRPr="00005453">
              <w:rPr>
                <w:sz w:val="14"/>
                <w:szCs w:val="18"/>
              </w:rPr>
              <w:t>1,381,020</w:t>
            </w:r>
          </w:p>
        </w:tc>
        <w:tc>
          <w:tcPr>
            <w:tcW w:w="992" w:type="dxa"/>
            <w:tcBorders>
              <w:top w:val="nil"/>
              <w:left w:val="nil"/>
              <w:bottom w:val="single" w:sz="8" w:space="0" w:color="auto"/>
              <w:right w:val="nil"/>
            </w:tcBorders>
            <w:shd w:val="clear" w:color="auto" w:fill="auto"/>
            <w:vAlign w:val="center"/>
            <w:hideMark/>
          </w:tcPr>
          <w:p w14:paraId="1910FAE9" w14:textId="244589EB" w:rsidR="00F66143" w:rsidRPr="00005453" w:rsidRDefault="00F66143" w:rsidP="00F66143">
            <w:pPr>
              <w:jc w:val="right"/>
              <w:rPr>
                <w:color w:val="000000"/>
                <w:sz w:val="14"/>
                <w:szCs w:val="14"/>
                <w:lang w:eastAsia="tr-TR"/>
              </w:rPr>
            </w:pPr>
            <w:r w:rsidRPr="00005453">
              <w:rPr>
                <w:sz w:val="14"/>
                <w:szCs w:val="18"/>
              </w:rPr>
              <w:t>296,208</w:t>
            </w:r>
          </w:p>
        </w:tc>
        <w:tc>
          <w:tcPr>
            <w:tcW w:w="851" w:type="dxa"/>
            <w:tcBorders>
              <w:top w:val="nil"/>
              <w:left w:val="nil"/>
              <w:bottom w:val="single" w:sz="8" w:space="0" w:color="auto"/>
              <w:right w:val="nil"/>
            </w:tcBorders>
            <w:shd w:val="clear" w:color="auto" w:fill="auto"/>
            <w:vAlign w:val="center"/>
            <w:hideMark/>
          </w:tcPr>
          <w:p w14:paraId="3B766987" w14:textId="2217491A" w:rsidR="00F66143" w:rsidRPr="00005453" w:rsidRDefault="00F66143" w:rsidP="00F66143">
            <w:pPr>
              <w:jc w:val="right"/>
              <w:rPr>
                <w:color w:val="000000"/>
                <w:sz w:val="14"/>
                <w:szCs w:val="14"/>
                <w:lang w:eastAsia="tr-TR"/>
              </w:rPr>
            </w:pPr>
            <w:r w:rsidRPr="00005453">
              <w:rPr>
                <w:sz w:val="14"/>
                <w:szCs w:val="18"/>
              </w:rPr>
              <w:t>2,296,129</w:t>
            </w:r>
          </w:p>
        </w:tc>
        <w:tc>
          <w:tcPr>
            <w:tcW w:w="992" w:type="dxa"/>
            <w:tcBorders>
              <w:top w:val="nil"/>
              <w:left w:val="nil"/>
              <w:bottom w:val="single" w:sz="8" w:space="0" w:color="auto"/>
              <w:right w:val="nil"/>
            </w:tcBorders>
            <w:shd w:val="clear" w:color="auto" w:fill="auto"/>
            <w:vAlign w:val="center"/>
            <w:hideMark/>
          </w:tcPr>
          <w:p w14:paraId="48BB3250" w14:textId="725C29C2" w:rsidR="00F66143" w:rsidRPr="00005453" w:rsidRDefault="00F66143" w:rsidP="00F66143">
            <w:pPr>
              <w:jc w:val="right"/>
              <w:rPr>
                <w:color w:val="000000"/>
                <w:sz w:val="14"/>
                <w:szCs w:val="14"/>
                <w:lang w:eastAsia="tr-TR"/>
              </w:rPr>
            </w:pPr>
            <w:r w:rsidRPr="00005453">
              <w:rPr>
                <w:sz w:val="14"/>
                <w:szCs w:val="18"/>
              </w:rPr>
              <w:t>(830,106)</w:t>
            </w:r>
          </w:p>
        </w:tc>
        <w:tc>
          <w:tcPr>
            <w:tcW w:w="1134" w:type="dxa"/>
            <w:tcBorders>
              <w:top w:val="nil"/>
              <w:left w:val="nil"/>
              <w:bottom w:val="single" w:sz="8" w:space="0" w:color="auto"/>
              <w:right w:val="nil"/>
            </w:tcBorders>
            <w:shd w:val="clear" w:color="auto" w:fill="auto"/>
            <w:vAlign w:val="center"/>
            <w:hideMark/>
          </w:tcPr>
          <w:p w14:paraId="508611D6" w14:textId="20C8A1E6" w:rsidR="00F66143" w:rsidRPr="00C07B3E" w:rsidRDefault="00F66143" w:rsidP="00F66143">
            <w:pPr>
              <w:jc w:val="right"/>
              <w:rPr>
                <w:color w:val="000000"/>
                <w:sz w:val="14"/>
                <w:szCs w:val="14"/>
                <w:lang w:eastAsia="tr-TR"/>
              </w:rPr>
            </w:pPr>
            <w:r w:rsidRPr="00C07B3E">
              <w:rPr>
                <w:bCs/>
                <w:sz w:val="14"/>
                <w:szCs w:val="18"/>
              </w:rPr>
              <w:t>1,466,023</w:t>
            </w:r>
          </w:p>
        </w:tc>
      </w:tr>
      <w:tr w:rsidR="00F66143" w:rsidRPr="00005453" w14:paraId="54501A5F" w14:textId="77777777" w:rsidTr="00F66143">
        <w:trPr>
          <w:divId w:val="1338118142"/>
          <w:trHeight w:val="161"/>
        </w:trPr>
        <w:tc>
          <w:tcPr>
            <w:tcW w:w="1560" w:type="dxa"/>
            <w:tcBorders>
              <w:top w:val="nil"/>
              <w:left w:val="nil"/>
              <w:bottom w:val="double" w:sz="6" w:space="0" w:color="auto"/>
              <w:right w:val="nil"/>
            </w:tcBorders>
            <w:shd w:val="clear" w:color="auto" w:fill="auto"/>
            <w:hideMark/>
          </w:tcPr>
          <w:p w14:paraId="0738488A" w14:textId="77777777" w:rsidR="00F66143" w:rsidRPr="00005453" w:rsidRDefault="00F66143" w:rsidP="00F66143">
            <w:pPr>
              <w:rPr>
                <w:b/>
                <w:bCs/>
                <w:color w:val="000000"/>
                <w:sz w:val="14"/>
                <w:szCs w:val="14"/>
                <w:lang w:eastAsia="tr-TR"/>
              </w:rPr>
            </w:pPr>
            <w:r w:rsidRPr="00005453">
              <w:rPr>
                <w:b/>
                <w:bCs/>
                <w:color w:val="000000"/>
                <w:sz w:val="14"/>
                <w:szCs w:val="14"/>
                <w:lang w:eastAsia="tr-TR"/>
              </w:rPr>
              <w:t>Toplam</w:t>
            </w:r>
          </w:p>
        </w:tc>
        <w:tc>
          <w:tcPr>
            <w:tcW w:w="1701" w:type="dxa"/>
            <w:tcBorders>
              <w:top w:val="nil"/>
              <w:left w:val="nil"/>
              <w:bottom w:val="double" w:sz="6" w:space="0" w:color="auto"/>
              <w:right w:val="nil"/>
            </w:tcBorders>
            <w:shd w:val="clear" w:color="auto" w:fill="auto"/>
            <w:vAlign w:val="center"/>
            <w:hideMark/>
          </w:tcPr>
          <w:p w14:paraId="154385F1" w14:textId="1D43C785" w:rsidR="00F66143" w:rsidRPr="00005453" w:rsidRDefault="00F66143" w:rsidP="00F66143">
            <w:pPr>
              <w:jc w:val="right"/>
              <w:rPr>
                <w:b/>
                <w:bCs/>
                <w:color w:val="000000"/>
                <w:sz w:val="14"/>
                <w:szCs w:val="14"/>
                <w:lang w:eastAsia="tr-TR"/>
              </w:rPr>
            </w:pPr>
            <w:r w:rsidRPr="00005453">
              <w:rPr>
                <w:b/>
                <w:bCs/>
                <w:sz w:val="14"/>
                <w:szCs w:val="18"/>
              </w:rPr>
              <w:t>600,</w:t>
            </w:r>
            <w:r w:rsidR="00EC0C7A" w:rsidRPr="00005453">
              <w:rPr>
                <w:b/>
                <w:bCs/>
                <w:sz w:val="14"/>
                <w:szCs w:val="18"/>
              </w:rPr>
              <w:t>35</w:t>
            </w:r>
            <w:r w:rsidRPr="00005453">
              <w:rPr>
                <w:b/>
                <w:bCs/>
                <w:sz w:val="14"/>
                <w:szCs w:val="18"/>
              </w:rPr>
              <w:t>8,</w:t>
            </w:r>
            <w:r w:rsidR="00DA46A9" w:rsidRPr="00005453">
              <w:rPr>
                <w:b/>
                <w:bCs/>
                <w:sz w:val="14"/>
                <w:szCs w:val="18"/>
              </w:rPr>
              <w:t>373</w:t>
            </w:r>
          </w:p>
        </w:tc>
        <w:tc>
          <w:tcPr>
            <w:tcW w:w="850" w:type="dxa"/>
            <w:tcBorders>
              <w:top w:val="nil"/>
              <w:left w:val="nil"/>
              <w:bottom w:val="double" w:sz="6" w:space="0" w:color="auto"/>
              <w:right w:val="nil"/>
            </w:tcBorders>
            <w:shd w:val="clear" w:color="auto" w:fill="auto"/>
            <w:vAlign w:val="center"/>
            <w:hideMark/>
          </w:tcPr>
          <w:p w14:paraId="5A761DAE" w14:textId="71EAD3CF" w:rsidR="00F66143" w:rsidRPr="00005453" w:rsidRDefault="00F66143" w:rsidP="00F66143">
            <w:pPr>
              <w:jc w:val="right"/>
              <w:rPr>
                <w:b/>
                <w:bCs/>
                <w:color w:val="000000"/>
                <w:sz w:val="14"/>
                <w:szCs w:val="14"/>
                <w:lang w:eastAsia="tr-TR"/>
              </w:rPr>
            </w:pPr>
            <w:r w:rsidRPr="00005453">
              <w:rPr>
                <w:b/>
                <w:bCs/>
                <w:sz w:val="14"/>
                <w:szCs w:val="18"/>
              </w:rPr>
              <w:t>69,193,768</w:t>
            </w:r>
          </w:p>
        </w:tc>
        <w:tc>
          <w:tcPr>
            <w:tcW w:w="851" w:type="dxa"/>
            <w:tcBorders>
              <w:top w:val="nil"/>
              <w:left w:val="nil"/>
              <w:bottom w:val="double" w:sz="6" w:space="0" w:color="auto"/>
              <w:right w:val="nil"/>
            </w:tcBorders>
            <w:shd w:val="clear" w:color="auto" w:fill="auto"/>
            <w:vAlign w:val="center"/>
            <w:hideMark/>
          </w:tcPr>
          <w:p w14:paraId="005D7FB8" w14:textId="3BA063F7" w:rsidR="00F66143" w:rsidRPr="00005453" w:rsidRDefault="00F66143" w:rsidP="00F66143">
            <w:pPr>
              <w:jc w:val="right"/>
              <w:rPr>
                <w:b/>
                <w:bCs/>
                <w:color w:val="000000"/>
                <w:sz w:val="14"/>
                <w:szCs w:val="14"/>
                <w:lang w:eastAsia="tr-TR"/>
              </w:rPr>
            </w:pPr>
            <w:r w:rsidRPr="00005453">
              <w:rPr>
                <w:b/>
                <w:bCs/>
                <w:sz w:val="14"/>
                <w:szCs w:val="18"/>
              </w:rPr>
              <w:t>51,367,076</w:t>
            </w:r>
          </w:p>
        </w:tc>
        <w:tc>
          <w:tcPr>
            <w:tcW w:w="850" w:type="dxa"/>
            <w:tcBorders>
              <w:top w:val="nil"/>
              <w:left w:val="nil"/>
              <w:bottom w:val="double" w:sz="6" w:space="0" w:color="auto"/>
              <w:right w:val="nil"/>
            </w:tcBorders>
            <w:shd w:val="clear" w:color="auto" w:fill="auto"/>
            <w:vAlign w:val="center"/>
            <w:hideMark/>
          </w:tcPr>
          <w:p w14:paraId="1DF971B7" w14:textId="769A7EAB" w:rsidR="00F66143" w:rsidRPr="00005453" w:rsidRDefault="00F66143" w:rsidP="00F66143">
            <w:pPr>
              <w:jc w:val="right"/>
              <w:rPr>
                <w:b/>
                <w:bCs/>
                <w:color w:val="000000"/>
                <w:sz w:val="14"/>
                <w:szCs w:val="14"/>
                <w:lang w:eastAsia="tr-TR"/>
              </w:rPr>
            </w:pPr>
            <w:r w:rsidRPr="00005453">
              <w:rPr>
                <w:b/>
                <w:bCs/>
                <w:sz w:val="14"/>
                <w:szCs w:val="18"/>
              </w:rPr>
              <w:t>14,898,295</w:t>
            </w:r>
          </w:p>
        </w:tc>
        <w:tc>
          <w:tcPr>
            <w:tcW w:w="992" w:type="dxa"/>
            <w:tcBorders>
              <w:top w:val="nil"/>
              <w:left w:val="nil"/>
              <w:bottom w:val="double" w:sz="6" w:space="0" w:color="auto"/>
              <w:right w:val="nil"/>
            </w:tcBorders>
            <w:shd w:val="clear" w:color="auto" w:fill="auto"/>
            <w:vAlign w:val="center"/>
            <w:hideMark/>
          </w:tcPr>
          <w:p w14:paraId="058C31FB" w14:textId="653FA3CC" w:rsidR="00F66143" w:rsidRPr="00005453" w:rsidRDefault="00F66143" w:rsidP="00F66143">
            <w:pPr>
              <w:jc w:val="right"/>
              <w:rPr>
                <w:b/>
                <w:bCs/>
                <w:color w:val="000000"/>
                <w:sz w:val="14"/>
                <w:szCs w:val="14"/>
                <w:lang w:eastAsia="tr-TR"/>
              </w:rPr>
            </w:pPr>
            <w:r w:rsidRPr="00005453">
              <w:rPr>
                <w:b/>
                <w:bCs/>
                <w:sz w:val="14"/>
                <w:szCs w:val="18"/>
              </w:rPr>
              <w:t>12,648,779</w:t>
            </w:r>
          </w:p>
        </w:tc>
        <w:tc>
          <w:tcPr>
            <w:tcW w:w="851" w:type="dxa"/>
            <w:tcBorders>
              <w:top w:val="nil"/>
              <w:left w:val="nil"/>
              <w:bottom w:val="double" w:sz="6" w:space="0" w:color="auto"/>
              <w:right w:val="nil"/>
            </w:tcBorders>
            <w:shd w:val="clear" w:color="auto" w:fill="auto"/>
            <w:vAlign w:val="center"/>
            <w:hideMark/>
          </w:tcPr>
          <w:p w14:paraId="6E662A65" w14:textId="628CC310" w:rsidR="00F66143" w:rsidRPr="00005453" w:rsidRDefault="00F66143" w:rsidP="00F66143">
            <w:pPr>
              <w:jc w:val="right"/>
              <w:rPr>
                <w:b/>
                <w:bCs/>
                <w:color w:val="000000"/>
                <w:sz w:val="14"/>
                <w:szCs w:val="14"/>
                <w:lang w:eastAsia="tr-TR"/>
              </w:rPr>
            </w:pPr>
            <w:r w:rsidRPr="00005453">
              <w:rPr>
                <w:b/>
                <w:bCs/>
                <w:sz w:val="14"/>
                <w:szCs w:val="18"/>
              </w:rPr>
              <w:t>748,</w:t>
            </w:r>
            <w:r w:rsidR="00DA46A9" w:rsidRPr="00005453">
              <w:rPr>
                <w:b/>
                <w:bCs/>
                <w:sz w:val="14"/>
                <w:szCs w:val="18"/>
              </w:rPr>
              <w:t>46</w:t>
            </w:r>
            <w:r w:rsidRPr="00005453">
              <w:rPr>
                <w:b/>
                <w:bCs/>
                <w:sz w:val="14"/>
                <w:szCs w:val="18"/>
              </w:rPr>
              <w:t>6,</w:t>
            </w:r>
            <w:r w:rsidR="00DA46A9" w:rsidRPr="00005453">
              <w:rPr>
                <w:b/>
                <w:bCs/>
                <w:sz w:val="14"/>
                <w:szCs w:val="18"/>
              </w:rPr>
              <w:t>291</w:t>
            </w:r>
          </w:p>
        </w:tc>
        <w:tc>
          <w:tcPr>
            <w:tcW w:w="992" w:type="dxa"/>
            <w:tcBorders>
              <w:top w:val="nil"/>
              <w:left w:val="nil"/>
              <w:bottom w:val="double" w:sz="6" w:space="0" w:color="auto"/>
              <w:right w:val="nil"/>
            </w:tcBorders>
            <w:shd w:val="clear" w:color="auto" w:fill="auto"/>
            <w:vAlign w:val="center"/>
            <w:hideMark/>
          </w:tcPr>
          <w:p w14:paraId="60755814" w14:textId="33A77627" w:rsidR="00F66143" w:rsidRPr="00005453" w:rsidRDefault="00F66143" w:rsidP="00F66143">
            <w:pPr>
              <w:jc w:val="right"/>
              <w:rPr>
                <w:b/>
                <w:bCs/>
                <w:color w:val="000000"/>
                <w:sz w:val="14"/>
                <w:szCs w:val="14"/>
                <w:lang w:eastAsia="tr-TR"/>
              </w:rPr>
            </w:pPr>
            <w:r w:rsidRPr="00005453">
              <w:rPr>
                <w:b/>
                <w:bCs/>
                <w:sz w:val="14"/>
                <w:szCs w:val="18"/>
              </w:rPr>
              <w:t>(7,</w:t>
            </w:r>
            <w:r w:rsidR="00DA46A9" w:rsidRPr="00005453">
              <w:rPr>
                <w:b/>
                <w:bCs/>
                <w:sz w:val="14"/>
                <w:szCs w:val="18"/>
              </w:rPr>
              <w:t>60</w:t>
            </w:r>
            <w:r w:rsidRPr="00005453">
              <w:rPr>
                <w:b/>
                <w:bCs/>
                <w:sz w:val="14"/>
                <w:szCs w:val="18"/>
              </w:rPr>
              <w:t>9,</w:t>
            </w:r>
            <w:r w:rsidR="00DA46A9" w:rsidRPr="00005453">
              <w:rPr>
                <w:b/>
                <w:bCs/>
                <w:sz w:val="14"/>
                <w:szCs w:val="18"/>
              </w:rPr>
              <w:t>826</w:t>
            </w:r>
            <w:r w:rsidRPr="00005453">
              <w:rPr>
                <w:b/>
                <w:bCs/>
                <w:sz w:val="14"/>
                <w:szCs w:val="18"/>
              </w:rPr>
              <w:t>)</w:t>
            </w:r>
          </w:p>
        </w:tc>
        <w:tc>
          <w:tcPr>
            <w:tcW w:w="1134" w:type="dxa"/>
            <w:tcBorders>
              <w:top w:val="nil"/>
              <w:left w:val="nil"/>
              <w:bottom w:val="double" w:sz="6" w:space="0" w:color="auto"/>
              <w:right w:val="nil"/>
            </w:tcBorders>
            <w:shd w:val="clear" w:color="auto" w:fill="auto"/>
            <w:vAlign w:val="center"/>
            <w:hideMark/>
          </w:tcPr>
          <w:p w14:paraId="10C0ECFB" w14:textId="42135BB8" w:rsidR="00F66143" w:rsidRPr="00005453" w:rsidRDefault="00F66143" w:rsidP="00F66143">
            <w:pPr>
              <w:jc w:val="right"/>
              <w:rPr>
                <w:b/>
                <w:bCs/>
                <w:color w:val="000000"/>
                <w:sz w:val="14"/>
                <w:szCs w:val="14"/>
                <w:lang w:eastAsia="tr-TR"/>
              </w:rPr>
            </w:pPr>
            <w:r w:rsidRPr="00005453">
              <w:rPr>
                <w:b/>
                <w:bCs/>
                <w:sz w:val="14"/>
                <w:szCs w:val="18"/>
              </w:rPr>
              <w:t>740,856,465</w:t>
            </w:r>
          </w:p>
        </w:tc>
      </w:tr>
      <w:tr w:rsidR="00517599" w:rsidRPr="00005453" w14:paraId="46898747" w14:textId="77777777" w:rsidTr="00517599">
        <w:trPr>
          <w:divId w:val="1338118142"/>
          <w:trHeight w:val="25"/>
        </w:trPr>
        <w:tc>
          <w:tcPr>
            <w:tcW w:w="1560" w:type="dxa"/>
            <w:tcBorders>
              <w:top w:val="nil"/>
              <w:left w:val="nil"/>
              <w:bottom w:val="nil"/>
              <w:right w:val="nil"/>
            </w:tcBorders>
            <w:shd w:val="clear" w:color="auto" w:fill="auto"/>
            <w:hideMark/>
          </w:tcPr>
          <w:p w14:paraId="20108967" w14:textId="77777777" w:rsidR="00AE053A" w:rsidRPr="00005453" w:rsidRDefault="00AE053A" w:rsidP="00614CD2">
            <w:pPr>
              <w:rPr>
                <w:b/>
                <w:bCs/>
                <w:color w:val="000000"/>
                <w:sz w:val="6"/>
                <w:szCs w:val="6"/>
                <w:lang w:eastAsia="tr-TR"/>
              </w:rPr>
            </w:pPr>
          </w:p>
        </w:tc>
        <w:tc>
          <w:tcPr>
            <w:tcW w:w="1701" w:type="dxa"/>
            <w:tcBorders>
              <w:top w:val="nil"/>
              <w:left w:val="nil"/>
              <w:bottom w:val="nil"/>
              <w:right w:val="nil"/>
            </w:tcBorders>
            <w:shd w:val="clear" w:color="auto" w:fill="auto"/>
            <w:hideMark/>
          </w:tcPr>
          <w:p w14:paraId="3573F48F" w14:textId="77777777" w:rsidR="00AE053A" w:rsidRPr="00005453" w:rsidRDefault="00AE053A" w:rsidP="008C5BE4">
            <w:pPr>
              <w:jc w:val="right"/>
              <w:rPr>
                <w:sz w:val="6"/>
                <w:szCs w:val="6"/>
                <w:lang w:eastAsia="tr-TR"/>
              </w:rPr>
            </w:pPr>
          </w:p>
        </w:tc>
        <w:tc>
          <w:tcPr>
            <w:tcW w:w="850" w:type="dxa"/>
            <w:tcBorders>
              <w:top w:val="nil"/>
              <w:left w:val="nil"/>
              <w:bottom w:val="nil"/>
              <w:right w:val="nil"/>
            </w:tcBorders>
            <w:shd w:val="clear" w:color="auto" w:fill="auto"/>
            <w:hideMark/>
          </w:tcPr>
          <w:p w14:paraId="3C79D802" w14:textId="77777777" w:rsidR="00AE053A" w:rsidRPr="00005453" w:rsidRDefault="00AE053A" w:rsidP="008C5BE4">
            <w:pPr>
              <w:jc w:val="right"/>
              <w:rPr>
                <w:sz w:val="6"/>
                <w:szCs w:val="6"/>
                <w:lang w:eastAsia="tr-TR"/>
              </w:rPr>
            </w:pPr>
          </w:p>
        </w:tc>
        <w:tc>
          <w:tcPr>
            <w:tcW w:w="851" w:type="dxa"/>
            <w:tcBorders>
              <w:top w:val="nil"/>
              <w:left w:val="nil"/>
              <w:bottom w:val="nil"/>
              <w:right w:val="nil"/>
            </w:tcBorders>
            <w:shd w:val="clear" w:color="auto" w:fill="auto"/>
            <w:hideMark/>
          </w:tcPr>
          <w:p w14:paraId="29609833" w14:textId="77777777" w:rsidR="00AE053A" w:rsidRPr="00005453" w:rsidRDefault="00AE053A" w:rsidP="008C5BE4">
            <w:pPr>
              <w:jc w:val="right"/>
              <w:rPr>
                <w:sz w:val="6"/>
                <w:szCs w:val="6"/>
                <w:lang w:eastAsia="tr-TR"/>
              </w:rPr>
            </w:pPr>
          </w:p>
        </w:tc>
        <w:tc>
          <w:tcPr>
            <w:tcW w:w="850" w:type="dxa"/>
            <w:tcBorders>
              <w:top w:val="nil"/>
              <w:left w:val="nil"/>
              <w:bottom w:val="nil"/>
              <w:right w:val="nil"/>
            </w:tcBorders>
            <w:shd w:val="clear" w:color="auto" w:fill="auto"/>
            <w:hideMark/>
          </w:tcPr>
          <w:p w14:paraId="79BB9D56" w14:textId="77777777" w:rsidR="00AE053A" w:rsidRPr="00005453" w:rsidRDefault="00AE053A" w:rsidP="008C5BE4">
            <w:pPr>
              <w:jc w:val="right"/>
              <w:rPr>
                <w:sz w:val="6"/>
                <w:szCs w:val="6"/>
                <w:lang w:eastAsia="tr-TR"/>
              </w:rPr>
            </w:pPr>
          </w:p>
        </w:tc>
        <w:tc>
          <w:tcPr>
            <w:tcW w:w="992" w:type="dxa"/>
            <w:tcBorders>
              <w:top w:val="nil"/>
              <w:left w:val="nil"/>
              <w:bottom w:val="nil"/>
              <w:right w:val="nil"/>
            </w:tcBorders>
            <w:shd w:val="clear" w:color="auto" w:fill="auto"/>
            <w:hideMark/>
          </w:tcPr>
          <w:p w14:paraId="2D8FF104" w14:textId="77777777" w:rsidR="00AE053A" w:rsidRPr="00005453" w:rsidRDefault="00AE053A" w:rsidP="008C5BE4">
            <w:pPr>
              <w:jc w:val="right"/>
              <w:rPr>
                <w:sz w:val="6"/>
                <w:szCs w:val="6"/>
                <w:lang w:eastAsia="tr-TR"/>
              </w:rPr>
            </w:pPr>
          </w:p>
        </w:tc>
        <w:tc>
          <w:tcPr>
            <w:tcW w:w="851" w:type="dxa"/>
            <w:tcBorders>
              <w:top w:val="nil"/>
              <w:left w:val="nil"/>
              <w:bottom w:val="nil"/>
              <w:right w:val="nil"/>
            </w:tcBorders>
            <w:shd w:val="clear" w:color="auto" w:fill="auto"/>
            <w:hideMark/>
          </w:tcPr>
          <w:p w14:paraId="061DFB33" w14:textId="77777777" w:rsidR="00AE053A" w:rsidRPr="00005453" w:rsidRDefault="00AE053A" w:rsidP="008C5BE4">
            <w:pPr>
              <w:jc w:val="right"/>
              <w:rPr>
                <w:color w:val="000000"/>
                <w:sz w:val="6"/>
                <w:szCs w:val="6"/>
                <w:lang w:eastAsia="tr-TR"/>
              </w:rPr>
            </w:pPr>
            <w:r w:rsidRPr="00005453">
              <w:rPr>
                <w:color w:val="000000"/>
                <w:sz w:val="6"/>
                <w:szCs w:val="6"/>
                <w:lang w:eastAsia="tr-TR"/>
              </w:rPr>
              <w:t> </w:t>
            </w:r>
          </w:p>
        </w:tc>
        <w:tc>
          <w:tcPr>
            <w:tcW w:w="992" w:type="dxa"/>
            <w:tcBorders>
              <w:top w:val="nil"/>
              <w:left w:val="nil"/>
              <w:bottom w:val="nil"/>
              <w:right w:val="nil"/>
            </w:tcBorders>
            <w:shd w:val="clear" w:color="auto" w:fill="auto"/>
            <w:hideMark/>
          </w:tcPr>
          <w:p w14:paraId="473A97B6" w14:textId="77777777" w:rsidR="00AE053A" w:rsidRPr="00005453" w:rsidRDefault="00AE053A" w:rsidP="008C5BE4">
            <w:pPr>
              <w:jc w:val="right"/>
              <w:rPr>
                <w:color w:val="000000"/>
                <w:sz w:val="6"/>
                <w:szCs w:val="6"/>
                <w:lang w:eastAsia="tr-TR"/>
              </w:rPr>
            </w:pPr>
            <w:r w:rsidRPr="00005453">
              <w:rPr>
                <w:color w:val="000000"/>
                <w:sz w:val="6"/>
                <w:szCs w:val="6"/>
                <w:lang w:eastAsia="tr-TR"/>
              </w:rPr>
              <w:t> </w:t>
            </w:r>
          </w:p>
        </w:tc>
        <w:tc>
          <w:tcPr>
            <w:tcW w:w="1134" w:type="dxa"/>
            <w:tcBorders>
              <w:top w:val="nil"/>
              <w:left w:val="nil"/>
              <w:bottom w:val="nil"/>
              <w:right w:val="nil"/>
            </w:tcBorders>
            <w:shd w:val="clear" w:color="auto" w:fill="auto"/>
            <w:hideMark/>
          </w:tcPr>
          <w:p w14:paraId="2DDB0632" w14:textId="77777777" w:rsidR="00AE053A" w:rsidRPr="00005453" w:rsidRDefault="00AE053A" w:rsidP="008C5BE4">
            <w:pPr>
              <w:jc w:val="right"/>
              <w:rPr>
                <w:color w:val="000000"/>
                <w:sz w:val="6"/>
                <w:szCs w:val="6"/>
                <w:lang w:eastAsia="tr-TR"/>
              </w:rPr>
            </w:pPr>
            <w:r w:rsidRPr="00005453">
              <w:rPr>
                <w:color w:val="000000"/>
                <w:sz w:val="6"/>
                <w:szCs w:val="6"/>
                <w:lang w:eastAsia="tr-TR"/>
              </w:rPr>
              <w:t> </w:t>
            </w:r>
          </w:p>
        </w:tc>
      </w:tr>
      <w:tr w:rsidR="00517599" w:rsidRPr="00005453" w14:paraId="373F1D5A" w14:textId="77777777" w:rsidTr="00517599">
        <w:trPr>
          <w:divId w:val="1338118142"/>
          <w:trHeight w:val="230"/>
        </w:trPr>
        <w:tc>
          <w:tcPr>
            <w:tcW w:w="1560" w:type="dxa"/>
            <w:tcBorders>
              <w:top w:val="nil"/>
              <w:left w:val="nil"/>
              <w:bottom w:val="nil"/>
              <w:right w:val="nil"/>
            </w:tcBorders>
            <w:shd w:val="clear" w:color="auto" w:fill="auto"/>
            <w:hideMark/>
          </w:tcPr>
          <w:p w14:paraId="251783D7" w14:textId="0C8EA99C" w:rsidR="00AE053A" w:rsidRPr="00005453" w:rsidRDefault="00AE053A" w:rsidP="008C5BE4">
            <w:pPr>
              <w:rPr>
                <w:b/>
                <w:bCs/>
                <w:color w:val="000000"/>
                <w:sz w:val="14"/>
                <w:szCs w:val="14"/>
                <w:lang w:eastAsia="tr-TR"/>
              </w:rPr>
            </w:pPr>
            <w:r w:rsidRPr="00005453">
              <w:rPr>
                <w:b/>
                <w:bCs/>
                <w:color w:val="000000"/>
                <w:sz w:val="14"/>
                <w:szCs w:val="14"/>
                <w:lang w:eastAsia="tr-TR"/>
              </w:rPr>
              <w:t>31 Aralık 202</w:t>
            </w:r>
            <w:r w:rsidR="0068789F" w:rsidRPr="00005453">
              <w:rPr>
                <w:b/>
                <w:bCs/>
                <w:color w:val="000000"/>
                <w:sz w:val="14"/>
                <w:szCs w:val="14"/>
                <w:lang w:eastAsia="tr-TR"/>
              </w:rPr>
              <w:t>3</w:t>
            </w:r>
          </w:p>
        </w:tc>
        <w:tc>
          <w:tcPr>
            <w:tcW w:w="1701" w:type="dxa"/>
            <w:tcBorders>
              <w:top w:val="nil"/>
              <w:left w:val="nil"/>
              <w:bottom w:val="nil"/>
              <w:right w:val="nil"/>
            </w:tcBorders>
            <w:shd w:val="clear" w:color="auto" w:fill="auto"/>
            <w:hideMark/>
          </w:tcPr>
          <w:p w14:paraId="122988CE" w14:textId="77777777" w:rsidR="00AE053A" w:rsidRPr="00005453" w:rsidRDefault="00AE053A" w:rsidP="008C5BE4">
            <w:pPr>
              <w:jc w:val="right"/>
              <w:rPr>
                <w:b/>
                <w:bCs/>
                <w:color w:val="000000"/>
                <w:sz w:val="14"/>
                <w:szCs w:val="14"/>
                <w:lang w:eastAsia="tr-TR"/>
              </w:rPr>
            </w:pPr>
          </w:p>
        </w:tc>
        <w:tc>
          <w:tcPr>
            <w:tcW w:w="850" w:type="dxa"/>
            <w:tcBorders>
              <w:top w:val="nil"/>
              <w:left w:val="nil"/>
              <w:bottom w:val="nil"/>
              <w:right w:val="nil"/>
            </w:tcBorders>
            <w:shd w:val="clear" w:color="auto" w:fill="auto"/>
            <w:hideMark/>
          </w:tcPr>
          <w:p w14:paraId="5E71F511" w14:textId="77777777" w:rsidR="00AE053A" w:rsidRPr="00005453" w:rsidRDefault="00AE053A" w:rsidP="008C5BE4">
            <w:pPr>
              <w:jc w:val="right"/>
              <w:rPr>
                <w:sz w:val="14"/>
                <w:szCs w:val="14"/>
                <w:lang w:eastAsia="tr-TR"/>
              </w:rPr>
            </w:pPr>
          </w:p>
        </w:tc>
        <w:tc>
          <w:tcPr>
            <w:tcW w:w="851" w:type="dxa"/>
            <w:tcBorders>
              <w:top w:val="nil"/>
              <w:left w:val="nil"/>
              <w:bottom w:val="nil"/>
              <w:right w:val="nil"/>
            </w:tcBorders>
            <w:shd w:val="clear" w:color="auto" w:fill="auto"/>
            <w:hideMark/>
          </w:tcPr>
          <w:p w14:paraId="54D369C9" w14:textId="77777777" w:rsidR="00AE053A" w:rsidRPr="00005453" w:rsidRDefault="00AE053A" w:rsidP="008C5BE4">
            <w:pPr>
              <w:jc w:val="right"/>
              <w:rPr>
                <w:sz w:val="14"/>
                <w:szCs w:val="14"/>
                <w:lang w:eastAsia="tr-TR"/>
              </w:rPr>
            </w:pPr>
          </w:p>
        </w:tc>
        <w:tc>
          <w:tcPr>
            <w:tcW w:w="850" w:type="dxa"/>
            <w:tcBorders>
              <w:top w:val="nil"/>
              <w:left w:val="nil"/>
              <w:bottom w:val="nil"/>
              <w:right w:val="nil"/>
            </w:tcBorders>
            <w:shd w:val="clear" w:color="auto" w:fill="auto"/>
            <w:hideMark/>
          </w:tcPr>
          <w:p w14:paraId="4D8E3157" w14:textId="77777777" w:rsidR="00AE053A" w:rsidRPr="00005453" w:rsidRDefault="00AE053A" w:rsidP="008C5BE4">
            <w:pPr>
              <w:jc w:val="right"/>
              <w:rPr>
                <w:sz w:val="14"/>
                <w:szCs w:val="14"/>
                <w:lang w:eastAsia="tr-TR"/>
              </w:rPr>
            </w:pPr>
          </w:p>
        </w:tc>
        <w:tc>
          <w:tcPr>
            <w:tcW w:w="992" w:type="dxa"/>
            <w:tcBorders>
              <w:top w:val="nil"/>
              <w:left w:val="nil"/>
              <w:bottom w:val="nil"/>
              <w:right w:val="nil"/>
            </w:tcBorders>
            <w:shd w:val="clear" w:color="auto" w:fill="auto"/>
            <w:hideMark/>
          </w:tcPr>
          <w:p w14:paraId="6307B0F8" w14:textId="77777777" w:rsidR="00AE053A" w:rsidRPr="00005453" w:rsidRDefault="00AE053A" w:rsidP="008C5BE4">
            <w:pPr>
              <w:jc w:val="right"/>
              <w:rPr>
                <w:sz w:val="14"/>
                <w:szCs w:val="14"/>
                <w:lang w:eastAsia="tr-TR"/>
              </w:rPr>
            </w:pPr>
          </w:p>
        </w:tc>
        <w:tc>
          <w:tcPr>
            <w:tcW w:w="851" w:type="dxa"/>
            <w:tcBorders>
              <w:top w:val="nil"/>
              <w:left w:val="nil"/>
              <w:bottom w:val="nil"/>
              <w:right w:val="nil"/>
            </w:tcBorders>
            <w:shd w:val="clear" w:color="auto" w:fill="auto"/>
            <w:hideMark/>
          </w:tcPr>
          <w:p w14:paraId="391CF62E" w14:textId="77777777" w:rsidR="00AE053A" w:rsidRPr="00005453" w:rsidRDefault="00AE053A" w:rsidP="008C5BE4">
            <w:pPr>
              <w:jc w:val="right"/>
              <w:rPr>
                <w:sz w:val="14"/>
                <w:szCs w:val="14"/>
                <w:lang w:eastAsia="tr-TR"/>
              </w:rPr>
            </w:pPr>
          </w:p>
        </w:tc>
        <w:tc>
          <w:tcPr>
            <w:tcW w:w="992" w:type="dxa"/>
            <w:tcBorders>
              <w:top w:val="nil"/>
              <w:left w:val="nil"/>
              <w:bottom w:val="nil"/>
              <w:right w:val="nil"/>
            </w:tcBorders>
            <w:shd w:val="clear" w:color="auto" w:fill="auto"/>
            <w:hideMark/>
          </w:tcPr>
          <w:p w14:paraId="271D259E" w14:textId="77777777" w:rsidR="00AE053A" w:rsidRPr="00005453" w:rsidRDefault="00AE053A" w:rsidP="008C5BE4">
            <w:pPr>
              <w:jc w:val="right"/>
              <w:rPr>
                <w:sz w:val="14"/>
                <w:szCs w:val="14"/>
                <w:lang w:eastAsia="tr-TR"/>
              </w:rPr>
            </w:pPr>
          </w:p>
        </w:tc>
        <w:tc>
          <w:tcPr>
            <w:tcW w:w="1134" w:type="dxa"/>
            <w:tcBorders>
              <w:top w:val="nil"/>
              <w:left w:val="nil"/>
              <w:bottom w:val="nil"/>
              <w:right w:val="nil"/>
            </w:tcBorders>
            <w:shd w:val="clear" w:color="auto" w:fill="auto"/>
            <w:hideMark/>
          </w:tcPr>
          <w:p w14:paraId="2438EF40" w14:textId="77777777" w:rsidR="00AE053A" w:rsidRPr="00005453" w:rsidRDefault="00AE053A" w:rsidP="008C5BE4">
            <w:pPr>
              <w:jc w:val="right"/>
              <w:rPr>
                <w:sz w:val="14"/>
                <w:szCs w:val="14"/>
                <w:lang w:eastAsia="tr-TR"/>
              </w:rPr>
            </w:pPr>
          </w:p>
        </w:tc>
      </w:tr>
      <w:tr w:rsidR="00517599" w:rsidRPr="00005453" w14:paraId="36C63B80" w14:textId="77777777" w:rsidTr="00517599">
        <w:trPr>
          <w:divId w:val="1338118142"/>
          <w:trHeight w:val="60"/>
        </w:trPr>
        <w:tc>
          <w:tcPr>
            <w:tcW w:w="1560" w:type="dxa"/>
            <w:tcBorders>
              <w:top w:val="nil"/>
              <w:left w:val="nil"/>
              <w:bottom w:val="nil"/>
              <w:right w:val="nil"/>
            </w:tcBorders>
            <w:shd w:val="clear" w:color="auto" w:fill="auto"/>
            <w:noWrap/>
            <w:hideMark/>
          </w:tcPr>
          <w:p w14:paraId="0B55DAE4" w14:textId="77777777" w:rsidR="00AE053A" w:rsidRPr="00005453" w:rsidRDefault="00AE053A" w:rsidP="008C5BE4">
            <w:pPr>
              <w:rPr>
                <w:sz w:val="6"/>
                <w:szCs w:val="6"/>
                <w:lang w:eastAsia="tr-TR"/>
              </w:rPr>
            </w:pPr>
          </w:p>
        </w:tc>
        <w:tc>
          <w:tcPr>
            <w:tcW w:w="1701" w:type="dxa"/>
            <w:tcBorders>
              <w:top w:val="nil"/>
              <w:left w:val="nil"/>
              <w:bottom w:val="nil"/>
              <w:right w:val="nil"/>
            </w:tcBorders>
            <w:shd w:val="clear" w:color="auto" w:fill="auto"/>
            <w:noWrap/>
            <w:hideMark/>
          </w:tcPr>
          <w:p w14:paraId="77BB2475" w14:textId="77777777" w:rsidR="00AE053A" w:rsidRPr="00005453" w:rsidRDefault="00AE053A" w:rsidP="008C5BE4">
            <w:pPr>
              <w:jc w:val="right"/>
              <w:rPr>
                <w:sz w:val="6"/>
                <w:szCs w:val="6"/>
                <w:lang w:eastAsia="tr-TR"/>
              </w:rPr>
            </w:pPr>
          </w:p>
        </w:tc>
        <w:tc>
          <w:tcPr>
            <w:tcW w:w="850" w:type="dxa"/>
            <w:tcBorders>
              <w:top w:val="nil"/>
              <w:left w:val="nil"/>
              <w:bottom w:val="nil"/>
              <w:right w:val="nil"/>
            </w:tcBorders>
            <w:shd w:val="clear" w:color="auto" w:fill="auto"/>
            <w:noWrap/>
            <w:hideMark/>
          </w:tcPr>
          <w:p w14:paraId="61728F38" w14:textId="77777777" w:rsidR="00AE053A" w:rsidRPr="00005453" w:rsidRDefault="00AE053A" w:rsidP="008C5BE4">
            <w:pPr>
              <w:jc w:val="right"/>
              <w:rPr>
                <w:sz w:val="6"/>
                <w:szCs w:val="6"/>
                <w:lang w:eastAsia="tr-TR"/>
              </w:rPr>
            </w:pPr>
          </w:p>
        </w:tc>
        <w:tc>
          <w:tcPr>
            <w:tcW w:w="851" w:type="dxa"/>
            <w:tcBorders>
              <w:top w:val="nil"/>
              <w:left w:val="nil"/>
              <w:bottom w:val="nil"/>
              <w:right w:val="nil"/>
            </w:tcBorders>
            <w:shd w:val="clear" w:color="auto" w:fill="auto"/>
            <w:noWrap/>
            <w:hideMark/>
          </w:tcPr>
          <w:p w14:paraId="02ED34C9" w14:textId="77777777" w:rsidR="00AE053A" w:rsidRPr="00005453" w:rsidRDefault="00AE053A" w:rsidP="008C5BE4">
            <w:pPr>
              <w:jc w:val="right"/>
              <w:rPr>
                <w:sz w:val="6"/>
                <w:szCs w:val="6"/>
                <w:lang w:eastAsia="tr-TR"/>
              </w:rPr>
            </w:pPr>
          </w:p>
        </w:tc>
        <w:tc>
          <w:tcPr>
            <w:tcW w:w="850" w:type="dxa"/>
            <w:tcBorders>
              <w:top w:val="nil"/>
              <w:left w:val="nil"/>
              <w:bottom w:val="nil"/>
              <w:right w:val="nil"/>
            </w:tcBorders>
            <w:shd w:val="clear" w:color="auto" w:fill="auto"/>
            <w:noWrap/>
            <w:hideMark/>
          </w:tcPr>
          <w:p w14:paraId="610EA389" w14:textId="77777777" w:rsidR="00AE053A" w:rsidRPr="00005453" w:rsidRDefault="00AE053A" w:rsidP="008C5BE4">
            <w:pPr>
              <w:jc w:val="right"/>
              <w:rPr>
                <w:sz w:val="6"/>
                <w:szCs w:val="6"/>
                <w:lang w:eastAsia="tr-TR"/>
              </w:rPr>
            </w:pPr>
          </w:p>
        </w:tc>
        <w:tc>
          <w:tcPr>
            <w:tcW w:w="992" w:type="dxa"/>
            <w:tcBorders>
              <w:top w:val="nil"/>
              <w:left w:val="nil"/>
              <w:bottom w:val="nil"/>
              <w:right w:val="nil"/>
            </w:tcBorders>
            <w:shd w:val="clear" w:color="auto" w:fill="auto"/>
            <w:noWrap/>
            <w:hideMark/>
          </w:tcPr>
          <w:p w14:paraId="09A4B889" w14:textId="77777777" w:rsidR="00AE053A" w:rsidRPr="00005453" w:rsidRDefault="00AE053A" w:rsidP="008C5BE4">
            <w:pPr>
              <w:jc w:val="right"/>
              <w:rPr>
                <w:sz w:val="6"/>
                <w:szCs w:val="6"/>
                <w:lang w:eastAsia="tr-TR"/>
              </w:rPr>
            </w:pPr>
          </w:p>
        </w:tc>
        <w:tc>
          <w:tcPr>
            <w:tcW w:w="851" w:type="dxa"/>
            <w:tcBorders>
              <w:top w:val="nil"/>
              <w:left w:val="nil"/>
              <w:bottom w:val="nil"/>
              <w:right w:val="nil"/>
            </w:tcBorders>
            <w:shd w:val="clear" w:color="auto" w:fill="auto"/>
            <w:noWrap/>
            <w:hideMark/>
          </w:tcPr>
          <w:p w14:paraId="0F480A42" w14:textId="77777777" w:rsidR="00AE053A" w:rsidRPr="00005453" w:rsidRDefault="00AE053A" w:rsidP="008C5BE4">
            <w:pPr>
              <w:jc w:val="right"/>
              <w:rPr>
                <w:sz w:val="6"/>
                <w:szCs w:val="6"/>
                <w:lang w:eastAsia="tr-TR"/>
              </w:rPr>
            </w:pPr>
          </w:p>
        </w:tc>
        <w:tc>
          <w:tcPr>
            <w:tcW w:w="992" w:type="dxa"/>
            <w:tcBorders>
              <w:top w:val="nil"/>
              <w:left w:val="nil"/>
              <w:bottom w:val="nil"/>
              <w:right w:val="nil"/>
            </w:tcBorders>
            <w:shd w:val="clear" w:color="auto" w:fill="auto"/>
            <w:noWrap/>
            <w:hideMark/>
          </w:tcPr>
          <w:p w14:paraId="59BE3914" w14:textId="77777777" w:rsidR="00AE053A" w:rsidRPr="00005453" w:rsidRDefault="00AE053A" w:rsidP="008C5BE4">
            <w:pPr>
              <w:jc w:val="right"/>
              <w:rPr>
                <w:sz w:val="6"/>
                <w:szCs w:val="6"/>
                <w:lang w:eastAsia="tr-TR"/>
              </w:rPr>
            </w:pPr>
          </w:p>
        </w:tc>
        <w:tc>
          <w:tcPr>
            <w:tcW w:w="1134" w:type="dxa"/>
            <w:tcBorders>
              <w:top w:val="nil"/>
              <w:left w:val="nil"/>
              <w:bottom w:val="nil"/>
              <w:right w:val="nil"/>
            </w:tcBorders>
            <w:shd w:val="clear" w:color="auto" w:fill="auto"/>
            <w:noWrap/>
            <w:hideMark/>
          </w:tcPr>
          <w:p w14:paraId="71A08975" w14:textId="77777777" w:rsidR="00AE053A" w:rsidRPr="00005453" w:rsidRDefault="00AE053A" w:rsidP="008C5BE4">
            <w:pPr>
              <w:jc w:val="right"/>
              <w:rPr>
                <w:sz w:val="6"/>
                <w:szCs w:val="6"/>
                <w:lang w:eastAsia="tr-TR"/>
              </w:rPr>
            </w:pPr>
          </w:p>
        </w:tc>
      </w:tr>
      <w:tr w:rsidR="0068789F" w:rsidRPr="00005453" w14:paraId="64DC4051" w14:textId="77777777" w:rsidTr="0068789F">
        <w:trPr>
          <w:divId w:val="1338118142"/>
          <w:trHeight w:val="155"/>
        </w:trPr>
        <w:tc>
          <w:tcPr>
            <w:tcW w:w="1560" w:type="dxa"/>
            <w:tcBorders>
              <w:top w:val="nil"/>
              <w:left w:val="nil"/>
              <w:bottom w:val="nil"/>
              <w:right w:val="nil"/>
            </w:tcBorders>
            <w:shd w:val="clear" w:color="auto" w:fill="auto"/>
            <w:noWrap/>
            <w:hideMark/>
          </w:tcPr>
          <w:p w14:paraId="6DE569D9" w14:textId="77777777" w:rsidR="0068789F" w:rsidRPr="00005453" w:rsidRDefault="0068789F" w:rsidP="0068789F">
            <w:pPr>
              <w:rPr>
                <w:color w:val="000000"/>
                <w:sz w:val="14"/>
                <w:szCs w:val="14"/>
                <w:lang w:eastAsia="tr-TR"/>
              </w:rPr>
            </w:pPr>
            <w:r w:rsidRPr="00005453">
              <w:rPr>
                <w:color w:val="000000"/>
                <w:sz w:val="14"/>
                <w:szCs w:val="14"/>
                <w:lang w:eastAsia="tr-TR"/>
              </w:rPr>
              <w:t>Toplanan fonlar</w:t>
            </w:r>
          </w:p>
        </w:tc>
        <w:tc>
          <w:tcPr>
            <w:tcW w:w="1701" w:type="dxa"/>
            <w:tcBorders>
              <w:top w:val="nil"/>
              <w:left w:val="nil"/>
              <w:bottom w:val="nil"/>
              <w:right w:val="nil"/>
            </w:tcBorders>
            <w:shd w:val="clear" w:color="auto" w:fill="auto"/>
            <w:vAlign w:val="center"/>
            <w:hideMark/>
          </w:tcPr>
          <w:p w14:paraId="151AAD8F" w14:textId="350E01D6" w:rsidR="0068789F" w:rsidRPr="00005453" w:rsidRDefault="0068789F" w:rsidP="0068789F">
            <w:pPr>
              <w:jc w:val="right"/>
              <w:rPr>
                <w:color w:val="000000"/>
                <w:sz w:val="14"/>
                <w:szCs w:val="14"/>
                <w:lang w:eastAsia="tr-TR"/>
              </w:rPr>
            </w:pPr>
            <w:r w:rsidRPr="00005453">
              <w:rPr>
                <w:color w:val="000000"/>
                <w:sz w:val="14"/>
                <w:szCs w:val="14"/>
                <w:lang w:eastAsia="tr-TR"/>
              </w:rPr>
              <w:t>387,731,856</w:t>
            </w:r>
          </w:p>
        </w:tc>
        <w:tc>
          <w:tcPr>
            <w:tcW w:w="850" w:type="dxa"/>
            <w:tcBorders>
              <w:top w:val="nil"/>
              <w:left w:val="nil"/>
              <w:bottom w:val="nil"/>
              <w:right w:val="nil"/>
            </w:tcBorders>
            <w:shd w:val="clear" w:color="auto" w:fill="auto"/>
            <w:vAlign w:val="center"/>
            <w:hideMark/>
          </w:tcPr>
          <w:p w14:paraId="3B810703" w14:textId="5F6C17D4" w:rsidR="0068789F" w:rsidRPr="00005453" w:rsidRDefault="0068789F" w:rsidP="0068789F">
            <w:pPr>
              <w:jc w:val="right"/>
              <w:rPr>
                <w:color w:val="000000"/>
                <w:sz w:val="14"/>
                <w:szCs w:val="14"/>
                <w:lang w:eastAsia="tr-TR"/>
              </w:rPr>
            </w:pPr>
            <w:r w:rsidRPr="00005453">
              <w:rPr>
                <w:color w:val="000000"/>
                <w:sz w:val="14"/>
                <w:szCs w:val="14"/>
                <w:lang w:eastAsia="tr-TR"/>
              </w:rPr>
              <w:t>63,004,094</w:t>
            </w:r>
          </w:p>
        </w:tc>
        <w:tc>
          <w:tcPr>
            <w:tcW w:w="851" w:type="dxa"/>
            <w:tcBorders>
              <w:top w:val="nil"/>
              <w:left w:val="nil"/>
              <w:bottom w:val="nil"/>
              <w:right w:val="nil"/>
            </w:tcBorders>
            <w:shd w:val="clear" w:color="auto" w:fill="auto"/>
            <w:vAlign w:val="center"/>
            <w:hideMark/>
          </w:tcPr>
          <w:p w14:paraId="5FF6E38B" w14:textId="00E01C7C" w:rsidR="0068789F" w:rsidRPr="00005453" w:rsidRDefault="0068789F" w:rsidP="0068789F">
            <w:pPr>
              <w:jc w:val="right"/>
              <w:rPr>
                <w:color w:val="000000"/>
                <w:sz w:val="14"/>
                <w:szCs w:val="14"/>
                <w:lang w:eastAsia="tr-TR"/>
              </w:rPr>
            </w:pPr>
            <w:r w:rsidRPr="00005453">
              <w:rPr>
                <w:color w:val="000000"/>
                <w:sz w:val="14"/>
                <w:szCs w:val="14"/>
                <w:lang w:eastAsia="tr-TR"/>
              </w:rPr>
              <w:t>53,639,048</w:t>
            </w:r>
          </w:p>
        </w:tc>
        <w:tc>
          <w:tcPr>
            <w:tcW w:w="850" w:type="dxa"/>
            <w:tcBorders>
              <w:top w:val="nil"/>
              <w:left w:val="nil"/>
              <w:bottom w:val="nil"/>
              <w:right w:val="nil"/>
            </w:tcBorders>
            <w:shd w:val="clear" w:color="auto" w:fill="auto"/>
            <w:vAlign w:val="center"/>
            <w:hideMark/>
          </w:tcPr>
          <w:p w14:paraId="1D842317" w14:textId="24E0F28F" w:rsidR="0068789F" w:rsidRPr="00005453" w:rsidRDefault="0068789F" w:rsidP="0068789F">
            <w:pPr>
              <w:jc w:val="right"/>
              <w:rPr>
                <w:color w:val="000000"/>
                <w:sz w:val="14"/>
                <w:szCs w:val="14"/>
                <w:lang w:eastAsia="tr-TR"/>
              </w:rPr>
            </w:pPr>
            <w:r w:rsidRPr="00005453">
              <w:rPr>
                <w:color w:val="000000"/>
                <w:sz w:val="14"/>
                <w:szCs w:val="14"/>
                <w:lang w:eastAsia="tr-TR"/>
              </w:rPr>
              <w:t>3,129,705</w:t>
            </w:r>
          </w:p>
        </w:tc>
        <w:tc>
          <w:tcPr>
            <w:tcW w:w="992" w:type="dxa"/>
            <w:tcBorders>
              <w:top w:val="nil"/>
              <w:left w:val="nil"/>
              <w:bottom w:val="nil"/>
              <w:right w:val="nil"/>
            </w:tcBorders>
            <w:shd w:val="clear" w:color="auto" w:fill="auto"/>
            <w:vAlign w:val="center"/>
            <w:hideMark/>
          </w:tcPr>
          <w:p w14:paraId="7142E9CB" w14:textId="1FB213AD" w:rsidR="0068789F" w:rsidRPr="00005453" w:rsidRDefault="0068789F" w:rsidP="0068789F">
            <w:pPr>
              <w:jc w:val="right"/>
              <w:rPr>
                <w:color w:val="000000"/>
                <w:sz w:val="14"/>
                <w:szCs w:val="14"/>
                <w:lang w:eastAsia="tr-TR"/>
              </w:rPr>
            </w:pPr>
            <w:r w:rsidRPr="00005453">
              <w:rPr>
                <w:color w:val="000000"/>
                <w:sz w:val="14"/>
                <w:szCs w:val="14"/>
                <w:lang w:eastAsia="tr-TR"/>
              </w:rPr>
              <w:t>6,170</w:t>
            </w:r>
          </w:p>
        </w:tc>
        <w:tc>
          <w:tcPr>
            <w:tcW w:w="851" w:type="dxa"/>
            <w:tcBorders>
              <w:top w:val="nil"/>
              <w:left w:val="nil"/>
              <w:bottom w:val="nil"/>
              <w:right w:val="nil"/>
            </w:tcBorders>
            <w:shd w:val="clear" w:color="auto" w:fill="auto"/>
            <w:vAlign w:val="center"/>
            <w:hideMark/>
          </w:tcPr>
          <w:p w14:paraId="2F0FF2AE" w14:textId="400BFB09" w:rsidR="0068789F" w:rsidRPr="00005453" w:rsidRDefault="0068789F" w:rsidP="0068789F">
            <w:pPr>
              <w:jc w:val="right"/>
              <w:rPr>
                <w:color w:val="000000"/>
                <w:sz w:val="14"/>
                <w:szCs w:val="14"/>
                <w:lang w:eastAsia="tr-TR"/>
              </w:rPr>
            </w:pPr>
            <w:r w:rsidRPr="00005453">
              <w:rPr>
                <w:color w:val="000000"/>
                <w:sz w:val="14"/>
                <w:szCs w:val="14"/>
                <w:lang w:eastAsia="tr-TR"/>
              </w:rPr>
              <w:t>507,510,873</w:t>
            </w:r>
          </w:p>
        </w:tc>
        <w:tc>
          <w:tcPr>
            <w:tcW w:w="992" w:type="dxa"/>
            <w:tcBorders>
              <w:top w:val="nil"/>
              <w:left w:val="nil"/>
              <w:bottom w:val="nil"/>
              <w:right w:val="nil"/>
            </w:tcBorders>
            <w:shd w:val="clear" w:color="auto" w:fill="auto"/>
            <w:vAlign w:val="center"/>
            <w:hideMark/>
          </w:tcPr>
          <w:p w14:paraId="11DDC046" w14:textId="6F635649"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1134" w:type="dxa"/>
            <w:tcBorders>
              <w:top w:val="nil"/>
              <w:left w:val="nil"/>
              <w:bottom w:val="nil"/>
              <w:right w:val="nil"/>
            </w:tcBorders>
            <w:shd w:val="clear" w:color="auto" w:fill="auto"/>
            <w:vAlign w:val="center"/>
            <w:hideMark/>
          </w:tcPr>
          <w:p w14:paraId="032606B7" w14:textId="71E3CFD2" w:rsidR="0068789F" w:rsidRPr="00005453" w:rsidRDefault="0068789F" w:rsidP="0068789F">
            <w:pPr>
              <w:jc w:val="right"/>
              <w:rPr>
                <w:color w:val="000000"/>
                <w:sz w:val="14"/>
                <w:szCs w:val="14"/>
                <w:lang w:eastAsia="tr-TR"/>
              </w:rPr>
            </w:pPr>
            <w:r w:rsidRPr="00005453">
              <w:rPr>
                <w:color w:val="000000"/>
                <w:sz w:val="14"/>
                <w:szCs w:val="14"/>
                <w:lang w:eastAsia="tr-TR"/>
              </w:rPr>
              <w:t>507,510,873</w:t>
            </w:r>
          </w:p>
        </w:tc>
      </w:tr>
      <w:tr w:rsidR="0068789F" w:rsidRPr="00005453" w14:paraId="347C79FD" w14:textId="77777777" w:rsidTr="0068789F">
        <w:trPr>
          <w:divId w:val="1338118142"/>
          <w:trHeight w:val="80"/>
        </w:trPr>
        <w:tc>
          <w:tcPr>
            <w:tcW w:w="1560" w:type="dxa"/>
            <w:tcBorders>
              <w:top w:val="nil"/>
              <w:left w:val="nil"/>
              <w:bottom w:val="nil"/>
              <w:right w:val="nil"/>
            </w:tcBorders>
            <w:shd w:val="clear" w:color="auto" w:fill="auto"/>
            <w:noWrap/>
            <w:hideMark/>
          </w:tcPr>
          <w:p w14:paraId="709C5936" w14:textId="77777777" w:rsidR="0068789F" w:rsidRPr="00005453" w:rsidRDefault="0068789F" w:rsidP="0068789F">
            <w:pPr>
              <w:rPr>
                <w:color w:val="000000"/>
                <w:sz w:val="14"/>
                <w:szCs w:val="14"/>
                <w:lang w:eastAsia="tr-TR"/>
              </w:rPr>
            </w:pPr>
            <w:r w:rsidRPr="00005453">
              <w:rPr>
                <w:color w:val="000000"/>
                <w:sz w:val="14"/>
                <w:szCs w:val="14"/>
                <w:lang w:eastAsia="tr-TR"/>
              </w:rPr>
              <w:t>Diğer mali kuruluşlardan</w:t>
            </w:r>
          </w:p>
        </w:tc>
        <w:tc>
          <w:tcPr>
            <w:tcW w:w="1701" w:type="dxa"/>
            <w:tcBorders>
              <w:top w:val="nil"/>
              <w:left w:val="nil"/>
              <w:bottom w:val="nil"/>
              <w:right w:val="nil"/>
            </w:tcBorders>
            <w:shd w:val="clear" w:color="auto" w:fill="auto"/>
            <w:vAlign w:val="center"/>
            <w:hideMark/>
          </w:tcPr>
          <w:p w14:paraId="39177224" w14:textId="20ADF3C3" w:rsidR="0068789F" w:rsidRPr="00005453" w:rsidRDefault="0068789F" w:rsidP="0068789F">
            <w:pPr>
              <w:jc w:val="right"/>
              <w:rPr>
                <w:color w:val="000000"/>
                <w:sz w:val="14"/>
                <w:szCs w:val="14"/>
                <w:lang w:eastAsia="tr-TR"/>
              </w:rPr>
            </w:pPr>
            <w:r w:rsidRPr="00005453">
              <w:rPr>
                <w:color w:val="000000"/>
                <w:sz w:val="14"/>
                <w:szCs w:val="14"/>
                <w:lang w:eastAsia="tr-TR"/>
              </w:rPr>
              <w:t>48,726,432</w:t>
            </w:r>
          </w:p>
        </w:tc>
        <w:tc>
          <w:tcPr>
            <w:tcW w:w="850" w:type="dxa"/>
            <w:tcBorders>
              <w:top w:val="nil"/>
              <w:left w:val="nil"/>
              <w:bottom w:val="nil"/>
              <w:right w:val="nil"/>
            </w:tcBorders>
            <w:shd w:val="clear" w:color="auto" w:fill="auto"/>
            <w:vAlign w:val="center"/>
            <w:hideMark/>
          </w:tcPr>
          <w:p w14:paraId="53829CEE" w14:textId="162B0705" w:rsidR="0068789F" w:rsidRPr="00005453" w:rsidRDefault="0068789F" w:rsidP="0068789F">
            <w:pPr>
              <w:jc w:val="right"/>
              <w:rPr>
                <w:color w:val="000000"/>
                <w:sz w:val="14"/>
                <w:szCs w:val="14"/>
                <w:lang w:eastAsia="tr-TR"/>
              </w:rPr>
            </w:pPr>
            <w:r w:rsidRPr="00005453">
              <w:rPr>
                <w:color w:val="000000"/>
                <w:sz w:val="14"/>
                <w:szCs w:val="14"/>
                <w:lang w:eastAsia="tr-TR"/>
              </w:rPr>
              <w:t>7,118,924</w:t>
            </w:r>
          </w:p>
        </w:tc>
        <w:tc>
          <w:tcPr>
            <w:tcW w:w="851" w:type="dxa"/>
            <w:tcBorders>
              <w:top w:val="nil"/>
              <w:left w:val="nil"/>
              <w:bottom w:val="nil"/>
              <w:right w:val="nil"/>
            </w:tcBorders>
            <w:shd w:val="clear" w:color="auto" w:fill="auto"/>
            <w:vAlign w:val="center"/>
            <w:hideMark/>
          </w:tcPr>
          <w:p w14:paraId="54CB25BC" w14:textId="55C0953B" w:rsidR="0068789F" w:rsidRPr="00005453" w:rsidRDefault="0068789F" w:rsidP="0068789F">
            <w:pPr>
              <w:jc w:val="right"/>
              <w:rPr>
                <w:color w:val="000000"/>
                <w:sz w:val="14"/>
                <w:szCs w:val="14"/>
                <w:lang w:eastAsia="tr-TR"/>
              </w:rPr>
            </w:pPr>
            <w:r w:rsidRPr="00005453">
              <w:rPr>
                <w:color w:val="000000"/>
                <w:sz w:val="14"/>
                <w:szCs w:val="14"/>
                <w:lang w:eastAsia="tr-TR"/>
              </w:rPr>
              <w:t>23,509,301</w:t>
            </w:r>
          </w:p>
        </w:tc>
        <w:tc>
          <w:tcPr>
            <w:tcW w:w="850" w:type="dxa"/>
            <w:tcBorders>
              <w:top w:val="nil"/>
              <w:left w:val="nil"/>
              <w:bottom w:val="nil"/>
              <w:right w:val="nil"/>
            </w:tcBorders>
            <w:shd w:val="clear" w:color="auto" w:fill="auto"/>
            <w:vAlign w:val="center"/>
            <w:hideMark/>
          </w:tcPr>
          <w:p w14:paraId="10737DE2" w14:textId="5B4E8CBE" w:rsidR="0068789F" w:rsidRPr="00005453" w:rsidRDefault="0068789F" w:rsidP="0068789F">
            <w:pPr>
              <w:jc w:val="right"/>
              <w:rPr>
                <w:color w:val="000000"/>
                <w:sz w:val="14"/>
                <w:szCs w:val="14"/>
                <w:lang w:eastAsia="tr-TR"/>
              </w:rPr>
            </w:pPr>
            <w:r w:rsidRPr="00005453">
              <w:rPr>
                <w:color w:val="000000"/>
                <w:sz w:val="14"/>
                <w:szCs w:val="14"/>
                <w:lang w:eastAsia="tr-TR"/>
              </w:rPr>
              <w:t>7,230,117</w:t>
            </w:r>
          </w:p>
        </w:tc>
        <w:tc>
          <w:tcPr>
            <w:tcW w:w="992" w:type="dxa"/>
            <w:tcBorders>
              <w:top w:val="nil"/>
              <w:left w:val="nil"/>
              <w:bottom w:val="nil"/>
              <w:right w:val="nil"/>
            </w:tcBorders>
            <w:shd w:val="clear" w:color="auto" w:fill="auto"/>
            <w:vAlign w:val="center"/>
            <w:hideMark/>
          </w:tcPr>
          <w:p w14:paraId="39B0FFC0" w14:textId="3E367C84" w:rsidR="0068789F" w:rsidRPr="00005453" w:rsidRDefault="0068789F" w:rsidP="0068789F">
            <w:pPr>
              <w:jc w:val="right"/>
              <w:rPr>
                <w:color w:val="000000"/>
                <w:sz w:val="14"/>
                <w:szCs w:val="14"/>
                <w:lang w:eastAsia="tr-TR"/>
              </w:rPr>
            </w:pPr>
            <w:r w:rsidRPr="00005453">
              <w:rPr>
                <w:color w:val="000000"/>
                <w:sz w:val="14"/>
                <w:szCs w:val="14"/>
                <w:lang w:eastAsia="tr-TR"/>
              </w:rPr>
              <w:t>10,616,927</w:t>
            </w:r>
          </w:p>
        </w:tc>
        <w:tc>
          <w:tcPr>
            <w:tcW w:w="851" w:type="dxa"/>
            <w:tcBorders>
              <w:top w:val="nil"/>
              <w:left w:val="nil"/>
              <w:bottom w:val="nil"/>
              <w:right w:val="nil"/>
            </w:tcBorders>
            <w:shd w:val="clear" w:color="auto" w:fill="auto"/>
            <w:vAlign w:val="center"/>
            <w:hideMark/>
          </w:tcPr>
          <w:p w14:paraId="56502883" w14:textId="65198C96" w:rsidR="0068789F" w:rsidRPr="00005453" w:rsidRDefault="0068789F" w:rsidP="0068789F">
            <w:pPr>
              <w:jc w:val="right"/>
              <w:rPr>
                <w:color w:val="000000"/>
                <w:sz w:val="14"/>
                <w:szCs w:val="14"/>
                <w:lang w:eastAsia="tr-TR"/>
              </w:rPr>
            </w:pPr>
            <w:r w:rsidRPr="00005453">
              <w:rPr>
                <w:color w:val="000000"/>
                <w:sz w:val="14"/>
                <w:szCs w:val="14"/>
                <w:lang w:eastAsia="tr-TR"/>
              </w:rPr>
              <w:t>97,201,701</w:t>
            </w:r>
          </w:p>
        </w:tc>
        <w:tc>
          <w:tcPr>
            <w:tcW w:w="992" w:type="dxa"/>
            <w:tcBorders>
              <w:top w:val="nil"/>
              <w:left w:val="nil"/>
              <w:bottom w:val="nil"/>
              <w:right w:val="nil"/>
            </w:tcBorders>
            <w:shd w:val="clear" w:color="auto" w:fill="auto"/>
            <w:vAlign w:val="center"/>
            <w:hideMark/>
          </w:tcPr>
          <w:p w14:paraId="5C2F1988" w14:textId="6B8F07F9" w:rsidR="0068789F" w:rsidRPr="00005453" w:rsidRDefault="0068789F" w:rsidP="0068789F">
            <w:pPr>
              <w:jc w:val="right"/>
              <w:rPr>
                <w:color w:val="000000"/>
                <w:sz w:val="14"/>
                <w:szCs w:val="14"/>
                <w:lang w:eastAsia="tr-TR"/>
              </w:rPr>
            </w:pPr>
            <w:r w:rsidRPr="00005453">
              <w:rPr>
                <w:color w:val="000000"/>
                <w:sz w:val="14"/>
                <w:szCs w:val="14"/>
                <w:lang w:eastAsia="tr-TR"/>
              </w:rPr>
              <w:t>(6,206,790)</w:t>
            </w:r>
          </w:p>
        </w:tc>
        <w:tc>
          <w:tcPr>
            <w:tcW w:w="1134" w:type="dxa"/>
            <w:tcBorders>
              <w:top w:val="nil"/>
              <w:left w:val="nil"/>
              <w:bottom w:val="nil"/>
              <w:right w:val="nil"/>
            </w:tcBorders>
            <w:shd w:val="clear" w:color="auto" w:fill="auto"/>
            <w:vAlign w:val="center"/>
            <w:hideMark/>
          </w:tcPr>
          <w:p w14:paraId="15F35E7C" w14:textId="36CACAE7" w:rsidR="0068789F" w:rsidRPr="00005453" w:rsidRDefault="0068789F" w:rsidP="0068789F">
            <w:pPr>
              <w:jc w:val="right"/>
              <w:rPr>
                <w:color w:val="000000"/>
                <w:sz w:val="14"/>
                <w:szCs w:val="14"/>
                <w:lang w:eastAsia="tr-TR"/>
              </w:rPr>
            </w:pPr>
            <w:r w:rsidRPr="00005453">
              <w:rPr>
                <w:color w:val="000000"/>
                <w:sz w:val="14"/>
                <w:szCs w:val="14"/>
                <w:lang w:eastAsia="tr-TR"/>
              </w:rPr>
              <w:t>90,994,911</w:t>
            </w:r>
          </w:p>
        </w:tc>
      </w:tr>
      <w:tr w:rsidR="0068789F" w:rsidRPr="00005453" w14:paraId="57D603BC" w14:textId="77777777" w:rsidTr="0068789F">
        <w:trPr>
          <w:divId w:val="1338118142"/>
          <w:trHeight w:val="230"/>
        </w:trPr>
        <w:tc>
          <w:tcPr>
            <w:tcW w:w="1560" w:type="dxa"/>
            <w:tcBorders>
              <w:top w:val="nil"/>
              <w:left w:val="nil"/>
              <w:bottom w:val="nil"/>
              <w:right w:val="nil"/>
            </w:tcBorders>
            <w:shd w:val="clear" w:color="auto" w:fill="auto"/>
            <w:hideMark/>
          </w:tcPr>
          <w:p w14:paraId="2660A891" w14:textId="77777777" w:rsidR="0068789F" w:rsidRPr="00005453" w:rsidRDefault="0068789F" w:rsidP="0068789F">
            <w:pPr>
              <w:rPr>
                <w:color w:val="000000"/>
                <w:sz w:val="14"/>
                <w:szCs w:val="14"/>
                <w:lang w:eastAsia="tr-TR"/>
              </w:rPr>
            </w:pPr>
            <w:r w:rsidRPr="00005453">
              <w:rPr>
                <w:color w:val="000000"/>
                <w:sz w:val="14"/>
                <w:szCs w:val="14"/>
                <w:lang w:eastAsia="tr-TR"/>
              </w:rPr>
              <w:t>Repo işlemlerinden sağlanan fonlar</w:t>
            </w:r>
          </w:p>
        </w:tc>
        <w:tc>
          <w:tcPr>
            <w:tcW w:w="1701" w:type="dxa"/>
            <w:tcBorders>
              <w:top w:val="nil"/>
              <w:left w:val="nil"/>
              <w:bottom w:val="nil"/>
              <w:right w:val="nil"/>
            </w:tcBorders>
            <w:shd w:val="clear" w:color="auto" w:fill="auto"/>
            <w:vAlign w:val="center"/>
            <w:hideMark/>
          </w:tcPr>
          <w:p w14:paraId="652F8B5B" w14:textId="79DCD41A" w:rsidR="0068789F" w:rsidRPr="00005453" w:rsidRDefault="0068789F" w:rsidP="0068789F">
            <w:pPr>
              <w:jc w:val="right"/>
              <w:rPr>
                <w:color w:val="000000"/>
                <w:sz w:val="14"/>
                <w:szCs w:val="14"/>
                <w:lang w:eastAsia="tr-TR"/>
              </w:rPr>
            </w:pPr>
            <w:r w:rsidRPr="00005453">
              <w:rPr>
                <w:color w:val="000000"/>
                <w:sz w:val="14"/>
                <w:szCs w:val="14"/>
                <w:lang w:eastAsia="tr-TR"/>
              </w:rPr>
              <w:t>4,300,897</w:t>
            </w:r>
          </w:p>
        </w:tc>
        <w:tc>
          <w:tcPr>
            <w:tcW w:w="850" w:type="dxa"/>
            <w:tcBorders>
              <w:top w:val="nil"/>
              <w:left w:val="nil"/>
              <w:bottom w:val="nil"/>
              <w:right w:val="nil"/>
            </w:tcBorders>
            <w:shd w:val="clear" w:color="auto" w:fill="auto"/>
            <w:vAlign w:val="center"/>
            <w:hideMark/>
          </w:tcPr>
          <w:p w14:paraId="6C02033D" w14:textId="5405444C"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4432B8E" w14:textId="239E36F6"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FEAABBF" w14:textId="67264052"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92" w:type="dxa"/>
            <w:tcBorders>
              <w:top w:val="nil"/>
              <w:left w:val="nil"/>
              <w:bottom w:val="nil"/>
              <w:right w:val="nil"/>
            </w:tcBorders>
            <w:shd w:val="clear" w:color="auto" w:fill="auto"/>
            <w:vAlign w:val="center"/>
            <w:hideMark/>
          </w:tcPr>
          <w:p w14:paraId="28CB8AF7" w14:textId="29A3FEF2"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39EF1A3" w14:textId="09BAB5C4" w:rsidR="0068789F" w:rsidRPr="00005453" w:rsidRDefault="0068789F" w:rsidP="0068789F">
            <w:pPr>
              <w:jc w:val="right"/>
              <w:rPr>
                <w:color w:val="000000"/>
                <w:sz w:val="14"/>
                <w:szCs w:val="14"/>
                <w:lang w:eastAsia="tr-TR"/>
              </w:rPr>
            </w:pPr>
            <w:r w:rsidRPr="00005453">
              <w:rPr>
                <w:color w:val="000000"/>
                <w:sz w:val="14"/>
                <w:szCs w:val="14"/>
                <w:lang w:eastAsia="tr-TR"/>
              </w:rPr>
              <w:t>4,300,897</w:t>
            </w:r>
          </w:p>
        </w:tc>
        <w:tc>
          <w:tcPr>
            <w:tcW w:w="992" w:type="dxa"/>
            <w:tcBorders>
              <w:top w:val="nil"/>
              <w:left w:val="nil"/>
              <w:bottom w:val="nil"/>
              <w:right w:val="nil"/>
            </w:tcBorders>
            <w:shd w:val="clear" w:color="auto" w:fill="auto"/>
            <w:vAlign w:val="center"/>
            <w:hideMark/>
          </w:tcPr>
          <w:p w14:paraId="23A8ADC4" w14:textId="408512AA" w:rsidR="0068789F" w:rsidRPr="00005453" w:rsidRDefault="0068789F" w:rsidP="0068789F">
            <w:pPr>
              <w:jc w:val="right"/>
              <w:rPr>
                <w:color w:val="000000"/>
                <w:sz w:val="14"/>
                <w:szCs w:val="14"/>
                <w:lang w:eastAsia="tr-TR"/>
              </w:rPr>
            </w:pPr>
            <w:r w:rsidRPr="00005453">
              <w:rPr>
                <w:color w:val="000000"/>
                <w:sz w:val="14"/>
                <w:szCs w:val="14"/>
                <w:lang w:eastAsia="tr-TR"/>
              </w:rPr>
              <w:t>(113,910)</w:t>
            </w:r>
          </w:p>
        </w:tc>
        <w:tc>
          <w:tcPr>
            <w:tcW w:w="1134" w:type="dxa"/>
            <w:tcBorders>
              <w:top w:val="nil"/>
              <w:left w:val="nil"/>
              <w:bottom w:val="nil"/>
              <w:right w:val="nil"/>
            </w:tcBorders>
            <w:shd w:val="clear" w:color="auto" w:fill="auto"/>
            <w:vAlign w:val="center"/>
            <w:hideMark/>
          </w:tcPr>
          <w:p w14:paraId="191F10D9" w14:textId="7D636589" w:rsidR="0068789F" w:rsidRPr="00005453" w:rsidRDefault="0068789F" w:rsidP="0068789F">
            <w:pPr>
              <w:jc w:val="right"/>
              <w:rPr>
                <w:color w:val="000000"/>
                <w:sz w:val="14"/>
                <w:szCs w:val="14"/>
                <w:lang w:eastAsia="tr-TR"/>
              </w:rPr>
            </w:pPr>
            <w:r w:rsidRPr="00005453">
              <w:rPr>
                <w:color w:val="000000"/>
                <w:sz w:val="14"/>
                <w:szCs w:val="14"/>
                <w:lang w:eastAsia="tr-TR"/>
              </w:rPr>
              <w:t>4,186,987</w:t>
            </w:r>
          </w:p>
        </w:tc>
      </w:tr>
      <w:tr w:rsidR="0068789F" w:rsidRPr="00005453" w14:paraId="249C523C" w14:textId="77777777" w:rsidTr="0068789F">
        <w:trPr>
          <w:divId w:val="1338118142"/>
          <w:trHeight w:val="240"/>
        </w:trPr>
        <w:tc>
          <w:tcPr>
            <w:tcW w:w="1560" w:type="dxa"/>
            <w:tcBorders>
              <w:top w:val="nil"/>
              <w:left w:val="nil"/>
              <w:bottom w:val="single" w:sz="8" w:space="0" w:color="auto"/>
              <w:right w:val="nil"/>
            </w:tcBorders>
            <w:shd w:val="clear" w:color="auto" w:fill="auto"/>
            <w:noWrap/>
            <w:hideMark/>
          </w:tcPr>
          <w:p w14:paraId="485A3842" w14:textId="77777777" w:rsidR="0068789F" w:rsidRPr="00005453" w:rsidRDefault="0068789F" w:rsidP="0068789F">
            <w:pPr>
              <w:rPr>
                <w:color w:val="000000"/>
                <w:sz w:val="14"/>
                <w:szCs w:val="14"/>
                <w:lang w:eastAsia="tr-TR"/>
              </w:rPr>
            </w:pPr>
            <w:r w:rsidRPr="00005453">
              <w:rPr>
                <w:color w:val="000000"/>
                <w:sz w:val="14"/>
                <w:szCs w:val="14"/>
                <w:lang w:eastAsia="tr-TR"/>
              </w:rPr>
              <w:t>Kiralama işlemlerinden borçlar</w:t>
            </w:r>
          </w:p>
        </w:tc>
        <w:tc>
          <w:tcPr>
            <w:tcW w:w="1701" w:type="dxa"/>
            <w:tcBorders>
              <w:top w:val="nil"/>
              <w:left w:val="nil"/>
              <w:bottom w:val="single" w:sz="8" w:space="0" w:color="auto"/>
              <w:right w:val="nil"/>
            </w:tcBorders>
            <w:shd w:val="clear" w:color="auto" w:fill="auto"/>
            <w:vAlign w:val="center"/>
            <w:hideMark/>
          </w:tcPr>
          <w:p w14:paraId="482D2A92" w14:textId="1E7BAC00" w:rsidR="0068789F" w:rsidRPr="00005453" w:rsidRDefault="0068789F" w:rsidP="0068789F">
            <w:pPr>
              <w:jc w:val="right"/>
              <w:rPr>
                <w:color w:val="000000"/>
                <w:sz w:val="14"/>
                <w:szCs w:val="14"/>
                <w:lang w:eastAsia="tr-TR"/>
              </w:rPr>
            </w:pPr>
            <w:r w:rsidRPr="00005453">
              <w:rPr>
                <w:color w:val="000000"/>
                <w:sz w:val="14"/>
                <w:szCs w:val="14"/>
                <w:lang w:eastAsia="tr-TR"/>
              </w:rPr>
              <w:t>40,660</w:t>
            </w:r>
          </w:p>
        </w:tc>
        <w:tc>
          <w:tcPr>
            <w:tcW w:w="850" w:type="dxa"/>
            <w:tcBorders>
              <w:top w:val="nil"/>
              <w:left w:val="nil"/>
              <w:bottom w:val="single" w:sz="8" w:space="0" w:color="auto"/>
              <w:right w:val="nil"/>
            </w:tcBorders>
            <w:shd w:val="clear" w:color="auto" w:fill="auto"/>
            <w:vAlign w:val="center"/>
            <w:hideMark/>
          </w:tcPr>
          <w:p w14:paraId="07C700C7" w14:textId="62C8C877" w:rsidR="0068789F" w:rsidRPr="00005453" w:rsidRDefault="0068789F" w:rsidP="0068789F">
            <w:pPr>
              <w:jc w:val="right"/>
              <w:rPr>
                <w:color w:val="000000"/>
                <w:sz w:val="14"/>
                <w:szCs w:val="14"/>
                <w:lang w:eastAsia="tr-TR"/>
              </w:rPr>
            </w:pPr>
            <w:r w:rsidRPr="00005453">
              <w:rPr>
                <w:color w:val="000000"/>
                <w:sz w:val="14"/>
                <w:szCs w:val="14"/>
                <w:lang w:eastAsia="tr-TR"/>
              </w:rPr>
              <w:t>66,812</w:t>
            </w:r>
          </w:p>
        </w:tc>
        <w:tc>
          <w:tcPr>
            <w:tcW w:w="851" w:type="dxa"/>
            <w:tcBorders>
              <w:top w:val="nil"/>
              <w:left w:val="nil"/>
              <w:bottom w:val="single" w:sz="8" w:space="0" w:color="auto"/>
              <w:right w:val="nil"/>
            </w:tcBorders>
            <w:shd w:val="clear" w:color="auto" w:fill="auto"/>
            <w:vAlign w:val="center"/>
            <w:hideMark/>
          </w:tcPr>
          <w:p w14:paraId="78758EAF" w14:textId="07CC7015" w:rsidR="0068789F" w:rsidRPr="00005453" w:rsidRDefault="0068789F" w:rsidP="0068789F">
            <w:pPr>
              <w:jc w:val="right"/>
              <w:rPr>
                <w:color w:val="000000"/>
                <w:sz w:val="14"/>
                <w:szCs w:val="14"/>
                <w:lang w:eastAsia="tr-TR"/>
              </w:rPr>
            </w:pPr>
            <w:r w:rsidRPr="00005453">
              <w:rPr>
                <w:color w:val="000000"/>
                <w:sz w:val="14"/>
                <w:szCs w:val="14"/>
                <w:lang w:eastAsia="tr-TR"/>
              </w:rPr>
              <w:t>252,229</w:t>
            </w:r>
          </w:p>
        </w:tc>
        <w:tc>
          <w:tcPr>
            <w:tcW w:w="850" w:type="dxa"/>
            <w:tcBorders>
              <w:top w:val="nil"/>
              <w:left w:val="nil"/>
              <w:bottom w:val="single" w:sz="8" w:space="0" w:color="auto"/>
              <w:right w:val="nil"/>
            </w:tcBorders>
            <w:shd w:val="clear" w:color="auto" w:fill="auto"/>
            <w:vAlign w:val="center"/>
            <w:hideMark/>
          </w:tcPr>
          <w:p w14:paraId="50EFB8D9" w14:textId="6AA6A6AC" w:rsidR="0068789F" w:rsidRPr="00005453" w:rsidRDefault="0068789F" w:rsidP="0068789F">
            <w:pPr>
              <w:jc w:val="right"/>
              <w:rPr>
                <w:color w:val="000000"/>
                <w:sz w:val="14"/>
                <w:szCs w:val="14"/>
                <w:lang w:eastAsia="tr-TR"/>
              </w:rPr>
            </w:pPr>
            <w:r w:rsidRPr="00005453">
              <w:rPr>
                <w:color w:val="000000"/>
                <w:sz w:val="14"/>
                <w:szCs w:val="14"/>
                <w:lang w:eastAsia="tr-TR"/>
              </w:rPr>
              <w:t>802,172</w:t>
            </w:r>
          </w:p>
        </w:tc>
        <w:tc>
          <w:tcPr>
            <w:tcW w:w="992" w:type="dxa"/>
            <w:tcBorders>
              <w:top w:val="nil"/>
              <w:left w:val="nil"/>
              <w:bottom w:val="single" w:sz="8" w:space="0" w:color="auto"/>
              <w:right w:val="nil"/>
            </w:tcBorders>
            <w:shd w:val="clear" w:color="auto" w:fill="auto"/>
            <w:vAlign w:val="center"/>
            <w:hideMark/>
          </w:tcPr>
          <w:p w14:paraId="17933E9E" w14:textId="58695CB9" w:rsidR="0068789F" w:rsidRPr="00005453" w:rsidRDefault="0068789F" w:rsidP="0068789F">
            <w:pPr>
              <w:jc w:val="right"/>
              <w:rPr>
                <w:color w:val="000000"/>
                <w:sz w:val="14"/>
                <w:szCs w:val="14"/>
                <w:lang w:eastAsia="tr-TR"/>
              </w:rPr>
            </w:pPr>
            <w:r w:rsidRPr="00005453">
              <w:rPr>
                <w:color w:val="000000"/>
                <w:sz w:val="14"/>
                <w:szCs w:val="14"/>
                <w:lang w:eastAsia="tr-TR"/>
              </w:rPr>
              <w:t>235,766</w:t>
            </w:r>
          </w:p>
        </w:tc>
        <w:tc>
          <w:tcPr>
            <w:tcW w:w="851" w:type="dxa"/>
            <w:tcBorders>
              <w:top w:val="nil"/>
              <w:left w:val="nil"/>
              <w:bottom w:val="single" w:sz="8" w:space="0" w:color="auto"/>
              <w:right w:val="nil"/>
            </w:tcBorders>
            <w:shd w:val="clear" w:color="auto" w:fill="auto"/>
            <w:vAlign w:val="center"/>
            <w:hideMark/>
          </w:tcPr>
          <w:p w14:paraId="06D5E874" w14:textId="55AAE7E2" w:rsidR="0068789F" w:rsidRPr="00005453" w:rsidRDefault="0068789F" w:rsidP="0068789F">
            <w:pPr>
              <w:jc w:val="right"/>
              <w:rPr>
                <w:color w:val="000000"/>
                <w:sz w:val="14"/>
                <w:szCs w:val="14"/>
                <w:lang w:eastAsia="tr-TR"/>
              </w:rPr>
            </w:pPr>
            <w:r w:rsidRPr="00005453">
              <w:rPr>
                <w:color w:val="000000"/>
                <w:sz w:val="14"/>
                <w:szCs w:val="14"/>
                <w:lang w:eastAsia="tr-TR"/>
              </w:rPr>
              <w:t>1,397,639</w:t>
            </w:r>
          </w:p>
        </w:tc>
        <w:tc>
          <w:tcPr>
            <w:tcW w:w="992" w:type="dxa"/>
            <w:tcBorders>
              <w:top w:val="nil"/>
              <w:left w:val="nil"/>
              <w:bottom w:val="single" w:sz="8" w:space="0" w:color="auto"/>
              <w:right w:val="nil"/>
            </w:tcBorders>
            <w:shd w:val="clear" w:color="auto" w:fill="auto"/>
            <w:vAlign w:val="center"/>
            <w:hideMark/>
          </w:tcPr>
          <w:p w14:paraId="57434E54" w14:textId="36F8FC17" w:rsidR="0068789F" w:rsidRPr="00005453" w:rsidRDefault="0068789F" w:rsidP="0068789F">
            <w:pPr>
              <w:jc w:val="right"/>
              <w:rPr>
                <w:color w:val="000000"/>
                <w:sz w:val="14"/>
                <w:szCs w:val="14"/>
                <w:lang w:eastAsia="tr-TR"/>
              </w:rPr>
            </w:pPr>
            <w:r w:rsidRPr="00005453">
              <w:rPr>
                <w:color w:val="000000"/>
                <w:sz w:val="14"/>
                <w:szCs w:val="14"/>
                <w:lang w:eastAsia="tr-TR"/>
              </w:rPr>
              <w:t>(514,254)</w:t>
            </w:r>
          </w:p>
        </w:tc>
        <w:tc>
          <w:tcPr>
            <w:tcW w:w="1134" w:type="dxa"/>
            <w:tcBorders>
              <w:top w:val="nil"/>
              <w:left w:val="nil"/>
              <w:bottom w:val="single" w:sz="8" w:space="0" w:color="auto"/>
              <w:right w:val="nil"/>
            </w:tcBorders>
            <w:shd w:val="clear" w:color="auto" w:fill="auto"/>
            <w:vAlign w:val="center"/>
            <w:hideMark/>
          </w:tcPr>
          <w:p w14:paraId="4C20E274" w14:textId="57EF0912" w:rsidR="0068789F" w:rsidRPr="00005453" w:rsidRDefault="0068789F" w:rsidP="0068789F">
            <w:pPr>
              <w:jc w:val="right"/>
              <w:rPr>
                <w:color w:val="000000"/>
                <w:sz w:val="14"/>
                <w:szCs w:val="14"/>
                <w:lang w:eastAsia="tr-TR"/>
              </w:rPr>
            </w:pPr>
            <w:r w:rsidRPr="00005453">
              <w:rPr>
                <w:color w:val="000000"/>
                <w:sz w:val="14"/>
                <w:szCs w:val="14"/>
                <w:lang w:eastAsia="tr-TR"/>
              </w:rPr>
              <w:t>883,385</w:t>
            </w:r>
          </w:p>
        </w:tc>
      </w:tr>
      <w:tr w:rsidR="0068789F" w:rsidRPr="00005453" w14:paraId="18606D7B" w14:textId="77777777" w:rsidTr="0068789F">
        <w:trPr>
          <w:divId w:val="1338118142"/>
          <w:trHeight w:val="85"/>
        </w:trPr>
        <w:tc>
          <w:tcPr>
            <w:tcW w:w="1560" w:type="dxa"/>
            <w:tcBorders>
              <w:top w:val="nil"/>
              <w:left w:val="nil"/>
              <w:bottom w:val="double" w:sz="6" w:space="0" w:color="auto"/>
              <w:right w:val="nil"/>
            </w:tcBorders>
            <w:shd w:val="clear" w:color="auto" w:fill="auto"/>
            <w:hideMark/>
          </w:tcPr>
          <w:p w14:paraId="1C0B9653" w14:textId="77777777" w:rsidR="0068789F" w:rsidRPr="00005453" w:rsidRDefault="0068789F" w:rsidP="0068789F">
            <w:pPr>
              <w:rPr>
                <w:b/>
                <w:bCs/>
                <w:color w:val="000000"/>
                <w:sz w:val="14"/>
                <w:szCs w:val="14"/>
                <w:lang w:eastAsia="tr-TR"/>
              </w:rPr>
            </w:pPr>
            <w:r w:rsidRPr="00005453">
              <w:rPr>
                <w:b/>
                <w:bCs/>
                <w:color w:val="000000"/>
                <w:sz w:val="14"/>
                <w:szCs w:val="14"/>
                <w:lang w:eastAsia="tr-TR"/>
              </w:rPr>
              <w:t>Toplam</w:t>
            </w:r>
          </w:p>
        </w:tc>
        <w:tc>
          <w:tcPr>
            <w:tcW w:w="1701" w:type="dxa"/>
            <w:tcBorders>
              <w:top w:val="nil"/>
              <w:left w:val="nil"/>
              <w:bottom w:val="double" w:sz="6" w:space="0" w:color="auto"/>
              <w:right w:val="nil"/>
            </w:tcBorders>
            <w:shd w:val="clear" w:color="auto" w:fill="auto"/>
            <w:vAlign w:val="center"/>
            <w:hideMark/>
          </w:tcPr>
          <w:p w14:paraId="0392AF6B" w14:textId="7D490076" w:rsidR="0068789F" w:rsidRPr="00005453" w:rsidRDefault="0068789F" w:rsidP="0068789F">
            <w:pPr>
              <w:jc w:val="right"/>
              <w:rPr>
                <w:b/>
                <w:bCs/>
                <w:color w:val="000000"/>
                <w:sz w:val="14"/>
                <w:szCs w:val="14"/>
                <w:lang w:eastAsia="tr-TR"/>
              </w:rPr>
            </w:pPr>
            <w:r w:rsidRPr="00005453">
              <w:rPr>
                <w:b/>
                <w:bCs/>
                <w:color w:val="000000"/>
                <w:sz w:val="14"/>
                <w:szCs w:val="14"/>
                <w:lang w:eastAsia="tr-TR"/>
              </w:rPr>
              <w:t>440,799,845</w:t>
            </w:r>
          </w:p>
        </w:tc>
        <w:tc>
          <w:tcPr>
            <w:tcW w:w="850" w:type="dxa"/>
            <w:tcBorders>
              <w:top w:val="nil"/>
              <w:left w:val="nil"/>
              <w:bottom w:val="double" w:sz="6" w:space="0" w:color="auto"/>
              <w:right w:val="nil"/>
            </w:tcBorders>
            <w:shd w:val="clear" w:color="auto" w:fill="auto"/>
            <w:vAlign w:val="center"/>
            <w:hideMark/>
          </w:tcPr>
          <w:p w14:paraId="2D60575E" w14:textId="47CAA87D" w:rsidR="0068789F" w:rsidRPr="00005453" w:rsidRDefault="0068789F" w:rsidP="0068789F">
            <w:pPr>
              <w:jc w:val="right"/>
              <w:rPr>
                <w:b/>
                <w:bCs/>
                <w:color w:val="000000"/>
                <w:sz w:val="14"/>
                <w:szCs w:val="14"/>
                <w:lang w:eastAsia="tr-TR"/>
              </w:rPr>
            </w:pPr>
            <w:r w:rsidRPr="00005453">
              <w:rPr>
                <w:b/>
                <w:bCs/>
                <w:color w:val="000000"/>
                <w:sz w:val="14"/>
                <w:szCs w:val="14"/>
                <w:lang w:eastAsia="tr-TR"/>
              </w:rPr>
              <w:t>70,189,830</w:t>
            </w:r>
          </w:p>
        </w:tc>
        <w:tc>
          <w:tcPr>
            <w:tcW w:w="851" w:type="dxa"/>
            <w:tcBorders>
              <w:top w:val="nil"/>
              <w:left w:val="nil"/>
              <w:bottom w:val="double" w:sz="6" w:space="0" w:color="auto"/>
              <w:right w:val="nil"/>
            </w:tcBorders>
            <w:shd w:val="clear" w:color="auto" w:fill="auto"/>
            <w:vAlign w:val="center"/>
            <w:hideMark/>
          </w:tcPr>
          <w:p w14:paraId="64046D2A" w14:textId="79D371EB" w:rsidR="0068789F" w:rsidRPr="00005453" w:rsidRDefault="0068789F" w:rsidP="0068789F">
            <w:pPr>
              <w:jc w:val="right"/>
              <w:rPr>
                <w:b/>
                <w:bCs/>
                <w:color w:val="000000"/>
                <w:sz w:val="14"/>
                <w:szCs w:val="14"/>
                <w:lang w:eastAsia="tr-TR"/>
              </w:rPr>
            </w:pPr>
            <w:r w:rsidRPr="00005453">
              <w:rPr>
                <w:b/>
                <w:bCs/>
                <w:color w:val="000000"/>
                <w:sz w:val="14"/>
                <w:szCs w:val="14"/>
                <w:lang w:eastAsia="tr-TR"/>
              </w:rPr>
              <w:t>77,400,578</w:t>
            </w:r>
          </w:p>
        </w:tc>
        <w:tc>
          <w:tcPr>
            <w:tcW w:w="850" w:type="dxa"/>
            <w:tcBorders>
              <w:top w:val="nil"/>
              <w:left w:val="nil"/>
              <w:bottom w:val="double" w:sz="6" w:space="0" w:color="auto"/>
              <w:right w:val="nil"/>
            </w:tcBorders>
            <w:shd w:val="clear" w:color="auto" w:fill="auto"/>
            <w:vAlign w:val="center"/>
            <w:hideMark/>
          </w:tcPr>
          <w:p w14:paraId="18DCD10E" w14:textId="34304DED" w:rsidR="0068789F" w:rsidRPr="00005453" w:rsidRDefault="0068789F" w:rsidP="0068789F">
            <w:pPr>
              <w:jc w:val="right"/>
              <w:rPr>
                <w:b/>
                <w:bCs/>
                <w:color w:val="000000"/>
                <w:sz w:val="14"/>
                <w:szCs w:val="14"/>
                <w:lang w:eastAsia="tr-TR"/>
              </w:rPr>
            </w:pPr>
            <w:r w:rsidRPr="00005453">
              <w:rPr>
                <w:b/>
                <w:bCs/>
                <w:color w:val="000000"/>
                <w:sz w:val="14"/>
                <w:szCs w:val="14"/>
                <w:lang w:eastAsia="tr-TR"/>
              </w:rPr>
              <w:t>11,161,994</w:t>
            </w:r>
          </w:p>
        </w:tc>
        <w:tc>
          <w:tcPr>
            <w:tcW w:w="992" w:type="dxa"/>
            <w:tcBorders>
              <w:top w:val="nil"/>
              <w:left w:val="nil"/>
              <w:bottom w:val="double" w:sz="6" w:space="0" w:color="auto"/>
              <w:right w:val="nil"/>
            </w:tcBorders>
            <w:shd w:val="clear" w:color="auto" w:fill="auto"/>
            <w:vAlign w:val="center"/>
            <w:hideMark/>
          </w:tcPr>
          <w:p w14:paraId="6A4CD608" w14:textId="3E44F325" w:rsidR="0068789F" w:rsidRPr="00005453" w:rsidRDefault="0068789F" w:rsidP="0068789F">
            <w:pPr>
              <w:jc w:val="right"/>
              <w:rPr>
                <w:b/>
                <w:bCs/>
                <w:color w:val="000000"/>
                <w:sz w:val="14"/>
                <w:szCs w:val="14"/>
                <w:lang w:eastAsia="tr-TR"/>
              </w:rPr>
            </w:pPr>
            <w:r w:rsidRPr="00005453">
              <w:rPr>
                <w:b/>
                <w:bCs/>
                <w:color w:val="000000"/>
                <w:sz w:val="14"/>
                <w:szCs w:val="14"/>
                <w:lang w:eastAsia="tr-TR"/>
              </w:rPr>
              <w:t>10,858,863</w:t>
            </w:r>
          </w:p>
        </w:tc>
        <w:tc>
          <w:tcPr>
            <w:tcW w:w="851" w:type="dxa"/>
            <w:tcBorders>
              <w:top w:val="nil"/>
              <w:left w:val="nil"/>
              <w:bottom w:val="double" w:sz="6" w:space="0" w:color="auto"/>
              <w:right w:val="nil"/>
            </w:tcBorders>
            <w:shd w:val="clear" w:color="auto" w:fill="auto"/>
            <w:vAlign w:val="center"/>
            <w:hideMark/>
          </w:tcPr>
          <w:p w14:paraId="20BBE9D8" w14:textId="456AAB06" w:rsidR="0068789F" w:rsidRPr="00005453" w:rsidRDefault="0068789F" w:rsidP="0068789F">
            <w:pPr>
              <w:jc w:val="right"/>
              <w:rPr>
                <w:b/>
                <w:bCs/>
                <w:color w:val="000000"/>
                <w:sz w:val="14"/>
                <w:szCs w:val="14"/>
                <w:lang w:eastAsia="tr-TR"/>
              </w:rPr>
            </w:pPr>
            <w:r w:rsidRPr="00005453">
              <w:rPr>
                <w:b/>
                <w:bCs/>
                <w:color w:val="000000"/>
                <w:sz w:val="14"/>
                <w:szCs w:val="14"/>
                <w:lang w:eastAsia="tr-TR"/>
              </w:rPr>
              <w:t>610,411,110</w:t>
            </w:r>
          </w:p>
        </w:tc>
        <w:tc>
          <w:tcPr>
            <w:tcW w:w="992" w:type="dxa"/>
            <w:tcBorders>
              <w:top w:val="nil"/>
              <w:left w:val="nil"/>
              <w:bottom w:val="double" w:sz="6" w:space="0" w:color="auto"/>
              <w:right w:val="nil"/>
            </w:tcBorders>
            <w:shd w:val="clear" w:color="auto" w:fill="auto"/>
            <w:vAlign w:val="center"/>
            <w:hideMark/>
          </w:tcPr>
          <w:p w14:paraId="6406BD63" w14:textId="5196BCF3" w:rsidR="0068789F" w:rsidRPr="00005453" w:rsidRDefault="0068789F" w:rsidP="0068789F">
            <w:pPr>
              <w:jc w:val="right"/>
              <w:rPr>
                <w:b/>
                <w:bCs/>
                <w:color w:val="000000"/>
                <w:sz w:val="14"/>
                <w:szCs w:val="14"/>
                <w:lang w:eastAsia="tr-TR"/>
              </w:rPr>
            </w:pPr>
            <w:r w:rsidRPr="00005453">
              <w:rPr>
                <w:b/>
                <w:bCs/>
                <w:color w:val="000000"/>
                <w:sz w:val="14"/>
                <w:szCs w:val="14"/>
                <w:lang w:eastAsia="tr-TR"/>
              </w:rPr>
              <w:t>(6,834,954)</w:t>
            </w:r>
          </w:p>
        </w:tc>
        <w:tc>
          <w:tcPr>
            <w:tcW w:w="1134" w:type="dxa"/>
            <w:tcBorders>
              <w:top w:val="nil"/>
              <w:left w:val="nil"/>
              <w:bottom w:val="double" w:sz="6" w:space="0" w:color="auto"/>
              <w:right w:val="nil"/>
            </w:tcBorders>
            <w:shd w:val="clear" w:color="auto" w:fill="auto"/>
            <w:vAlign w:val="center"/>
            <w:hideMark/>
          </w:tcPr>
          <w:p w14:paraId="719C6876" w14:textId="6AB88399" w:rsidR="0068789F" w:rsidRPr="00005453" w:rsidRDefault="0068789F" w:rsidP="0068789F">
            <w:pPr>
              <w:jc w:val="right"/>
              <w:rPr>
                <w:b/>
                <w:bCs/>
                <w:color w:val="000000"/>
                <w:sz w:val="14"/>
                <w:szCs w:val="14"/>
                <w:lang w:eastAsia="tr-TR"/>
              </w:rPr>
            </w:pPr>
            <w:r w:rsidRPr="00005453">
              <w:rPr>
                <w:b/>
                <w:bCs/>
                <w:color w:val="000000"/>
                <w:sz w:val="14"/>
                <w:szCs w:val="14"/>
                <w:lang w:eastAsia="tr-TR"/>
              </w:rPr>
              <w:t>603,576,156</w:t>
            </w:r>
          </w:p>
        </w:tc>
      </w:tr>
    </w:tbl>
    <w:p w14:paraId="7420939C" w14:textId="3A976664" w:rsidR="006A1904" w:rsidRPr="00005453" w:rsidRDefault="006A1904" w:rsidP="00AB532A">
      <w:pPr>
        <w:pStyle w:val="BodyText"/>
        <w:rPr>
          <w:rFonts w:eastAsia="Arial Unicode MS"/>
          <w:lang w:eastAsia="en-US"/>
        </w:rPr>
      </w:pPr>
    </w:p>
    <w:p w14:paraId="0DA8C731" w14:textId="4E51C5D6" w:rsidR="00C26593" w:rsidRPr="00005453" w:rsidRDefault="00C26593" w:rsidP="00C26593">
      <w:pPr>
        <w:pStyle w:val="BodyText"/>
        <w:jc w:val="left"/>
        <w:rPr>
          <w:rFonts w:eastAsia="Arial Unicode MS"/>
          <w:b/>
        </w:rPr>
      </w:pPr>
      <w:bookmarkStart w:id="43" w:name="_Hlk156480962"/>
      <w:bookmarkEnd w:id="42"/>
      <w:r w:rsidRPr="00005453">
        <w:rPr>
          <w:rFonts w:eastAsia="Arial Unicode MS"/>
          <w:b/>
        </w:rPr>
        <w:t>Garanti ve kefaletlerin vade analizi</w:t>
      </w:r>
    </w:p>
    <w:bookmarkEnd w:id="43"/>
    <w:p w14:paraId="1B1AC37D" w14:textId="08979763" w:rsidR="00AE053A" w:rsidRPr="00005453" w:rsidRDefault="00AE053A" w:rsidP="007A3506">
      <w:pPr>
        <w:pStyle w:val="BodyText"/>
        <w:jc w:val="left"/>
        <w:rPr>
          <w:lang w:val="en-GB" w:eastAsia="en-GB"/>
        </w:rPr>
      </w:pPr>
    </w:p>
    <w:tbl>
      <w:tblPr>
        <w:tblW w:w="9763" w:type="dxa"/>
        <w:tblCellMar>
          <w:left w:w="70" w:type="dxa"/>
          <w:right w:w="70" w:type="dxa"/>
        </w:tblCellMar>
        <w:tblLook w:val="04A0" w:firstRow="1" w:lastRow="0" w:firstColumn="1" w:lastColumn="0" w:noHBand="0" w:noVBand="1"/>
      </w:tblPr>
      <w:tblGrid>
        <w:gridCol w:w="1911"/>
        <w:gridCol w:w="953"/>
        <w:gridCol w:w="964"/>
        <w:gridCol w:w="850"/>
        <w:gridCol w:w="992"/>
        <w:gridCol w:w="993"/>
        <w:gridCol w:w="992"/>
        <w:gridCol w:w="1134"/>
        <w:gridCol w:w="974"/>
      </w:tblGrid>
      <w:tr w:rsidR="00AE053A" w:rsidRPr="00005453" w14:paraId="7C24A93F" w14:textId="77777777" w:rsidTr="000E5F12">
        <w:trPr>
          <w:divId w:val="18045659"/>
          <w:trHeight w:val="271"/>
        </w:trPr>
        <w:tc>
          <w:tcPr>
            <w:tcW w:w="1911" w:type="dxa"/>
            <w:tcBorders>
              <w:top w:val="single" w:sz="8" w:space="0" w:color="auto"/>
              <w:left w:val="nil"/>
              <w:bottom w:val="single" w:sz="8" w:space="0" w:color="000000"/>
              <w:right w:val="nil"/>
            </w:tcBorders>
            <w:shd w:val="clear" w:color="auto" w:fill="auto"/>
            <w:vAlign w:val="center"/>
            <w:hideMark/>
          </w:tcPr>
          <w:p w14:paraId="33166B20" w14:textId="5114840D" w:rsidR="00AE053A" w:rsidRPr="00005453" w:rsidRDefault="00AE053A" w:rsidP="00AE053A">
            <w:pPr>
              <w:jc w:val="right"/>
              <w:rPr>
                <w:b/>
                <w:bCs/>
                <w:color w:val="000000"/>
                <w:sz w:val="14"/>
                <w:szCs w:val="14"/>
                <w:lang w:eastAsia="tr-TR"/>
              </w:rPr>
            </w:pPr>
            <w:r w:rsidRPr="00005453">
              <w:rPr>
                <w:b/>
                <w:bCs/>
                <w:color w:val="000000"/>
                <w:sz w:val="14"/>
                <w:szCs w:val="14"/>
                <w:lang w:eastAsia="tr-TR"/>
              </w:rPr>
              <w:t> </w:t>
            </w:r>
          </w:p>
        </w:tc>
        <w:tc>
          <w:tcPr>
            <w:tcW w:w="953" w:type="dxa"/>
            <w:tcBorders>
              <w:top w:val="single" w:sz="8" w:space="0" w:color="auto"/>
              <w:left w:val="nil"/>
              <w:bottom w:val="single" w:sz="8" w:space="0" w:color="000000"/>
              <w:right w:val="nil"/>
            </w:tcBorders>
            <w:shd w:val="clear" w:color="auto" w:fill="auto"/>
            <w:vAlign w:val="center"/>
            <w:hideMark/>
          </w:tcPr>
          <w:p w14:paraId="7E18849C"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Vadesiz</w:t>
            </w:r>
          </w:p>
        </w:tc>
        <w:tc>
          <w:tcPr>
            <w:tcW w:w="964" w:type="dxa"/>
            <w:tcBorders>
              <w:top w:val="single" w:sz="8" w:space="0" w:color="auto"/>
              <w:left w:val="nil"/>
              <w:bottom w:val="single" w:sz="8" w:space="0" w:color="000000"/>
              <w:right w:val="nil"/>
            </w:tcBorders>
            <w:shd w:val="clear" w:color="auto" w:fill="auto"/>
            <w:vAlign w:val="center"/>
            <w:hideMark/>
          </w:tcPr>
          <w:p w14:paraId="0DA45AA6"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1 aya kadar</w:t>
            </w:r>
          </w:p>
        </w:tc>
        <w:tc>
          <w:tcPr>
            <w:tcW w:w="850" w:type="dxa"/>
            <w:tcBorders>
              <w:top w:val="single" w:sz="8" w:space="0" w:color="auto"/>
              <w:left w:val="nil"/>
              <w:bottom w:val="single" w:sz="8" w:space="0" w:color="000000"/>
              <w:right w:val="nil"/>
            </w:tcBorders>
            <w:shd w:val="clear" w:color="auto" w:fill="auto"/>
            <w:vAlign w:val="center"/>
            <w:hideMark/>
          </w:tcPr>
          <w:p w14:paraId="75363D16"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1-3 ay</w:t>
            </w:r>
          </w:p>
        </w:tc>
        <w:tc>
          <w:tcPr>
            <w:tcW w:w="992" w:type="dxa"/>
            <w:tcBorders>
              <w:top w:val="single" w:sz="8" w:space="0" w:color="auto"/>
              <w:left w:val="nil"/>
              <w:bottom w:val="single" w:sz="8" w:space="0" w:color="000000"/>
              <w:right w:val="nil"/>
            </w:tcBorders>
            <w:shd w:val="clear" w:color="auto" w:fill="auto"/>
            <w:vAlign w:val="center"/>
            <w:hideMark/>
          </w:tcPr>
          <w:p w14:paraId="3CD26A55"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3-12 ay</w:t>
            </w:r>
          </w:p>
        </w:tc>
        <w:tc>
          <w:tcPr>
            <w:tcW w:w="993" w:type="dxa"/>
            <w:tcBorders>
              <w:top w:val="single" w:sz="8" w:space="0" w:color="auto"/>
              <w:left w:val="nil"/>
              <w:bottom w:val="single" w:sz="8" w:space="0" w:color="000000"/>
              <w:right w:val="nil"/>
            </w:tcBorders>
            <w:shd w:val="clear" w:color="auto" w:fill="auto"/>
            <w:vAlign w:val="center"/>
            <w:hideMark/>
          </w:tcPr>
          <w:p w14:paraId="6F4603BC"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1-5 yıl</w:t>
            </w:r>
          </w:p>
        </w:tc>
        <w:tc>
          <w:tcPr>
            <w:tcW w:w="992" w:type="dxa"/>
            <w:tcBorders>
              <w:top w:val="single" w:sz="8" w:space="0" w:color="auto"/>
              <w:left w:val="nil"/>
              <w:bottom w:val="single" w:sz="8" w:space="0" w:color="000000"/>
              <w:right w:val="nil"/>
            </w:tcBorders>
            <w:shd w:val="clear" w:color="auto" w:fill="auto"/>
            <w:vAlign w:val="center"/>
            <w:hideMark/>
          </w:tcPr>
          <w:p w14:paraId="6C0A40B9"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5 yıldan fazla</w:t>
            </w:r>
          </w:p>
        </w:tc>
        <w:tc>
          <w:tcPr>
            <w:tcW w:w="1134" w:type="dxa"/>
            <w:tcBorders>
              <w:top w:val="single" w:sz="8" w:space="0" w:color="auto"/>
              <w:left w:val="nil"/>
              <w:bottom w:val="single" w:sz="8" w:space="0" w:color="000000"/>
              <w:right w:val="nil"/>
            </w:tcBorders>
            <w:shd w:val="clear" w:color="auto" w:fill="auto"/>
            <w:vAlign w:val="center"/>
            <w:hideMark/>
          </w:tcPr>
          <w:p w14:paraId="6061FC1B"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Dağıtılamayan</w:t>
            </w:r>
          </w:p>
        </w:tc>
        <w:tc>
          <w:tcPr>
            <w:tcW w:w="974" w:type="dxa"/>
            <w:tcBorders>
              <w:top w:val="single" w:sz="8" w:space="0" w:color="auto"/>
              <w:left w:val="nil"/>
              <w:bottom w:val="single" w:sz="8" w:space="0" w:color="000000"/>
              <w:right w:val="nil"/>
            </w:tcBorders>
            <w:shd w:val="clear" w:color="auto" w:fill="auto"/>
            <w:vAlign w:val="center"/>
            <w:hideMark/>
          </w:tcPr>
          <w:p w14:paraId="2A117E3D" w14:textId="77777777" w:rsidR="00AE053A" w:rsidRPr="00005453" w:rsidRDefault="00AE053A" w:rsidP="00AE053A">
            <w:pPr>
              <w:jc w:val="right"/>
              <w:rPr>
                <w:b/>
                <w:bCs/>
                <w:color w:val="000000"/>
                <w:sz w:val="14"/>
                <w:szCs w:val="14"/>
                <w:lang w:eastAsia="tr-TR"/>
              </w:rPr>
            </w:pPr>
            <w:r w:rsidRPr="00005453">
              <w:rPr>
                <w:b/>
                <w:bCs/>
                <w:color w:val="000000"/>
                <w:sz w:val="14"/>
                <w:szCs w:val="14"/>
                <w:lang w:eastAsia="tr-TR"/>
              </w:rPr>
              <w:t>Toplam</w:t>
            </w:r>
          </w:p>
        </w:tc>
      </w:tr>
      <w:tr w:rsidR="00AE053A" w:rsidRPr="00005453" w14:paraId="4A8F6F96" w14:textId="77777777" w:rsidTr="00517599">
        <w:trPr>
          <w:divId w:val="18045659"/>
          <w:trHeight w:val="230"/>
        </w:trPr>
        <w:tc>
          <w:tcPr>
            <w:tcW w:w="1911" w:type="dxa"/>
            <w:tcBorders>
              <w:top w:val="single" w:sz="8" w:space="0" w:color="auto"/>
              <w:left w:val="nil"/>
              <w:bottom w:val="single" w:sz="8" w:space="0" w:color="000000"/>
              <w:right w:val="nil"/>
            </w:tcBorders>
            <w:shd w:val="clear" w:color="auto" w:fill="auto"/>
            <w:vAlign w:val="center"/>
            <w:hideMark/>
          </w:tcPr>
          <w:p w14:paraId="257DD3D8" w14:textId="77777777" w:rsidR="00AE053A" w:rsidRPr="00005453" w:rsidRDefault="00AE053A" w:rsidP="00AE053A">
            <w:pPr>
              <w:rPr>
                <w:b/>
                <w:bCs/>
                <w:color w:val="000000"/>
                <w:sz w:val="14"/>
                <w:szCs w:val="14"/>
                <w:lang w:eastAsia="tr-TR"/>
              </w:rPr>
            </w:pPr>
          </w:p>
        </w:tc>
        <w:tc>
          <w:tcPr>
            <w:tcW w:w="953" w:type="dxa"/>
            <w:tcBorders>
              <w:top w:val="single" w:sz="8" w:space="0" w:color="auto"/>
              <w:left w:val="nil"/>
              <w:bottom w:val="single" w:sz="8" w:space="0" w:color="000000"/>
              <w:right w:val="nil"/>
            </w:tcBorders>
            <w:shd w:val="clear" w:color="auto" w:fill="auto"/>
            <w:vAlign w:val="center"/>
            <w:hideMark/>
          </w:tcPr>
          <w:p w14:paraId="6734C5FB" w14:textId="77777777" w:rsidR="00AE053A" w:rsidRPr="00005453" w:rsidRDefault="00AE053A" w:rsidP="00AE053A">
            <w:pPr>
              <w:jc w:val="right"/>
              <w:rPr>
                <w:b/>
                <w:bCs/>
                <w:color w:val="000000"/>
                <w:sz w:val="14"/>
                <w:szCs w:val="14"/>
                <w:lang w:eastAsia="tr-TR"/>
              </w:rPr>
            </w:pPr>
          </w:p>
        </w:tc>
        <w:tc>
          <w:tcPr>
            <w:tcW w:w="964" w:type="dxa"/>
            <w:tcBorders>
              <w:top w:val="single" w:sz="8" w:space="0" w:color="auto"/>
              <w:left w:val="nil"/>
              <w:bottom w:val="single" w:sz="8" w:space="0" w:color="000000"/>
              <w:right w:val="nil"/>
            </w:tcBorders>
            <w:shd w:val="clear" w:color="auto" w:fill="auto"/>
            <w:vAlign w:val="center"/>
            <w:hideMark/>
          </w:tcPr>
          <w:p w14:paraId="6E9C1715" w14:textId="77777777" w:rsidR="00AE053A" w:rsidRPr="00005453" w:rsidRDefault="00AE053A" w:rsidP="00AE053A">
            <w:pPr>
              <w:jc w:val="right"/>
              <w:rPr>
                <w:b/>
                <w:bCs/>
                <w:color w:val="000000"/>
                <w:sz w:val="14"/>
                <w:szCs w:val="14"/>
                <w:lang w:eastAsia="tr-TR"/>
              </w:rPr>
            </w:pPr>
          </w:p>
        </w:tc>
        <w:tc>
          <w:tcPr>
            <w:tcW w:w="850" w:type="dxa"/>
            <w:tcBorders>
              <w:top w:val="single" w:sz="8" w:space="0" w:color="auto"/>
              <w:left w:val="nil"/>
              <w:bottom w:val="single" w:sz="8" w:space="0" w:color="000000"/>
              <w:right w:val="nil"/>
            </w:tcBorders>
            <w:shd w:val="clear" w:color="auto" w:fill="auto"/>
            <w:vAlign w:val="center"/>
            <w:hideMark/>
          </w:tcPr>
          <w:p w14:paraId="752E65DB" w14:textId="77777777" w:rsidR="00AE053A" w:rsidRPr="00005453" w:rsidRDefault="00AE053A" w:rsidP="00AE053A">
            <w:pPr>
              <w:jc w:val="right"/>
              <w:rPr>
                <w:b/>
                <w:bCs/>
                <w:color w:val="000000"/>
                <w:sz w:val="14"/>
                <w:szCs w:val="14"/>
                <w:lang w:eastAsia="tr-TR"/>
              </w:rPr>
            </w:pPr>
          </w:p>
        </w:tc>
        <w:tc>
          <w:tcPr>
            <w:tcW w:w="992" w:type="dxa"/>
            <w:tcBorders>
              <w:top w:val="single" w:sz="8" w:space="0" w:color="auto"/>
              <w:left w:val="nil"/>
              <w:bottom w:val="single" w:sz="8" w:space="0" w:color="000000"/>
              <w:right w:val="nil"/>
            </w:tcBorders>
            <w:shd w:val="clear" w:color="auto" w:fill="auto"/>
            <w:vAlign w:val="center"/>
            <w:hideMark/>
          </w:tcPr>
          <w:p w14:paraId="10066BB0" w14:textId="77777777" w:rsidR="00AE053A" w:rsidRPr="00005453" w:rsidRDefault="00AE053A" w:rsidP="00AE053A">
            <w:pPr>
              <w:jc w:val="right"/>
              <w:rPr>
                <w:b/>
                <w:bCs/>
                <w:color w:val="000000"/>
                <w:sz w:val="14"/>
                <w:szCs w:val="14"/>
                <w:lang w:eastAsia="tr-TR"/>
              </w:rPr>
            </w:pPr>
          </w:p>
        </w:tc>
        <w:tc>
          <w:tcPr>
            <w:tcW w:w="993" w:type="dxa"/>
            <w:tcBorders>
              <w:top w:val="single" w:sz="8" w:space="0" w:color="auto"/>
              <w:left w:val="nil"/>
              <w:bottom w:val="single" w:sz="8" w:space="0" w:color="000000"/>
              <w:right w:val="nil"/>
            </w:tcBorders>
            <w:shd w:val="clear" w:color="auto" w:fill="auto"/>
            <w:vAlign w:val="center"/>
            <w:hideMark/>
          </w:tcPr>
          <w:p w14:paraId="615DEC6B" w14:textId="77777777" w:rsidR="00AE053A" w:rsidRPr="00005453" w:rsidRDefault="00AE053A" w:rsidP="00AE053A">
            <w:pPr>
              <w:jc w:val="right"/>
              <w:rPr>
                <w:b/>
                <w:bCs/>
                <w:color w:val="000000"/>
                <w:sz w:val="14"/>
                <w:szCs w:val="14"/>
                <w:lang w:eastAsia="tr-TR"/>
              </w:rPr>
            </w:pPr>
          </w:p>
        </w:tc>
        <w:tc>
          <w:tcPr>
            <w:tcW w:w="992" w:type="dxa"/>
            <w:tcBorders>
              <w:top w:val="single" w:sz="8" w:space="0" w:color="auto"/>
              <w:left w:val="nil"/>
              <w:bottom w:val="single" w:sz="8" w:space="0" w:color="000000"/>
              <w:right w:val="nil"/>
            </w:tcBorders>
            <w:shd w:val="clear" w:color="auto" w:fill="auto"/>
            <w:vAlign w:val="center"/>
            <w:hideMark/>
          </w:tcPr>
          <w:p w14:paraId="6B43A886" w14:textId="77777777" w:rsidR="00AE053A" w:rsidRPr="00005453" w:rsidRDefault="00AE053A" w:rsidP="00AE053A">
            <w:pPr>
              <w:jc w:val="right"/>
              <w:rPr>
                <w:b/>
                <w:bCs/>
                <w:color w:val="000000"/>
                <w:sz w:val="14"/>
                <w:szCs w:val="14"/>
                <w:lang w:eastAsia="tr-TR"/>
              </w:rPr>
            </w:pPr>
          </w:p>
        </w:tc>
        <w:tc>
          <w:tcPr>
            <w:tcW w:w="1134" w:type="dxa"/>
            <w:tcBorders>
              <w:top w:val="single" w:sz="8" w:space="0" w:color="auto"/>
              <w:left w:val="nil"/>
              <w:bottom w:val="single" w:sz="8" w:space="0" w:color="000000"/>
              <w:right w:val="nil"/>
            </w:tcBorders>
            <w:shd w:val="clear" w:color="auto" w:fill="auto"/>
            <w:vAlign w:val="center"/>
            <w:hideMark/>
          </w:tcPr>
          <w:p w14:paraId="1DA50CDA" w14:textId="77777777" w:rsidR="00AE053A" w:rsidRPr="00005453" w:rsidRDefault="00AE053A" w:rsidP="00AE053A">
            <w:pPr>
              <w:jc w:val="right"/>
              <w:rPr>
                <w:b/>
                <w:bCs/>
                <w:color w:val="000000"/>
                <w:sz w:val="14"/>
                <w:szCs w:val="14"/>
                <w:lang w:eastAsia="tr-TR"/>
              </w:rPr>
            </w:pPr>
          </w:p>
        </w:tc>
        <w:tc>
          <w:tcPr>
            <w:tcW w:w="974" w:type="dxa"/>
            <w:tcBorders>
              <w:top w:val="single" w:sz="8" w:space="0" w:color="auto"/>
              <w:left w:val="nil"/>
              <w:bottom w:val="single" w:sz="8" w:space="0" w:color="000000"/>
              <w:right w:val="nil"/>
            </w:tcBorders>
            <w:shd w:val="clear" w:color="auto" w:fill="auto"/>
            <w:vAlign w:val="center"/>
            <w:hideMark/>
          </w:tcPr>
          <w:p w14:paraId="5FEAB786" w14:textId="77777777" w:rsidR="00AE053A" w:rsidRPr="00005453" w:rsidRDefault="00AE053A" w:rsidP="00AE053A">
            <w:pPr>
              <w:jc w:val="right"/>
              <w:rPr>
                <w:b/>
                <w:bCs/>
                <w:color w:val="000000"/>
                <w:sz w:val="14"/>
                <w:szCs w:val="14"/>
                <w:lang w:eastAsia="tr-TR"/>
              </w:rPr>
            </w:pPr>
          </w:p>
        </w:tc>
      </w:tr>
      <w:tr w:rsidR="00AE053A" w:rsidRPr="00005453" w14:paraId="48566517" w14:textId="77777777" w:rsidTr="000E5F12">
        <w:trPr>
          <w:divId w:val="18045659"/>
          <w:trHeight w:val="40"/>
        </w:trPr>
        <w:tc>
          <w:tcPr>
            <w:tcW w:w="1911" w:type="dxa"/>
            <w:tcBorders>
              <w:top w:val="nil"/>
              <w:left w:val="nil"/>
              <w:bottom w:val="nil"/>
              <w:right w:val="nil"/>
            </w:tcBorders>
            <w:shd w:val="clear" w:color="auto" w:fill="auto"/>
            <w:vAlign w:val="center"/>
            <w:hideMark/>
          </w:tcPr>
          <w:p w14:paraId="7BB8BA82" w14:textId="77777777" w:rsidR="00AE053A" w:rsidRPr="00005453" w:rsidRDefault="00AE053A" w:rsidP="00AE053A">
            <w:pPr>
              <w:jc w:val="center"/>
              <w:rPr>
                <w:b/>
                <w:bCs/>
                <w:color w:val="000000"/>
                <w:sz w:val="10"/>
                <w:szCs w:val="10"/>
                <w:lang w:eastAsia="tr-TR"/>
              </w:rPr>
            </w:pPr>
          </w:p>
        </w:tc>
        <w:tc>
          <w:tcPr>
            <w:tcW w:w="953" w:type="dxa"/>
            <w:tcBorders>
              <w:top w:val="nil"/>
              <w:left w:val="nil"/>
              <w:bottom w:val="nil"/>
              <w:right w:val="nil"/>
            </w:tcBorders>
            <w:shd w:val="clear" w:color="auto" w:fill="auto"/>
            <w:vAlign w:val="center"/>
            <w:hideMark/>
          </w:tcPr>
          <w:p w14:paraId="78D81871" w14:textId="77777777" w:rsidR="00AE053A" w:rsidRPr="00005453" w:rsidRDefault="00AE053A" w:rsidP="00AE053A">
            <w:pPr>
              <w:jc w:val="right"/>
              <w:rPr>
                <w:sz w:val="10"/>
                <w:szCs w:val="10"/>
                <w:lang w:eastAsia="tr-TR"/>
              </w:rPr>
            </w:pPr>
          </w:p>
        </w:tc>
        <w:tc>
          <w:tcPr>
            <w:tcW w:w="964" w:type="dxa"/>
            <w:tcBorders>
              <w:top w:val="nil"/>
              <w:left w:val="nil"/>
              <w:bottom w:val="nil"/>
              <w:right w:val="nil"/>
            </w:tcBorders>
            <w:shd w:val="clear" w:color="auto" w:fill="auto"/>
            <w:vAlign w:val="center"/>
            <w:hideMark/>
          </w:tcPr>
          <w:p w14:paraId="152E93C6" w14:textId="77777777" w:rsidR="00AE053A" w:rsidRPr="00005453" w:rsidRDefault="00AE053A" w:rsidP="00AE053A">
            <w:pPr>
              <w:jc w:val="right"/>
              <w:rPr>
                <w:sz w:val="10"/>
                <w:szCs w:val="10"/>
                <w:lang w:eastAsia="tr-TR"/>
              </w:rPr>
            </w:pPr>
          </w:p>
        </w:tc>
        <w:tc>
          <w:tcPr>
            <w:tcW w:w="850" w:type="dxa"/>
            <w:tcBorders>
              <w:top w:val="nil"/>
              <w:left w:val="nil"/>
              <w:bottom w:val="nil"/>
              <w:right w:val="nil"/>
            </w:tcBorders>
            <w:shd w:val="clear" w:color="auto" w:fill="auto"/>
            <w:vAlign w:val="center"/>
            <w:hideMark/>
          </w:tcPr>
          <w:p w14:paraId="36E7DBFC" w14:textId="77777777" w:rsidR="00AE053A" w:rsidRPr="00005453" w:rsidRDefault="00AE053A" w:rsidP="00AE053A">
            <w:pPr>
              <w:jc w:val="right"/>
              <w:rPr>
                <w:sz w:val="10"/>
                <w:szCs w:val="10"/>
                <w:lang w:eastAsia="tr-TR"/>
              </w:rPr>
            </w:pPr>
          </w:p>
        </w:tc>
        <w:tc>
          <w:tcPr>
            <w:tcW w:w="992" w:type="dxa"/>
            <w:tcBorders>
              <w:top w:val="nil"/>
              <w:left w:val="nil"/>
              <w:bottom w:val="nil"/>
              <w:right w:val="nil"/>
            </w:tcBorders>
            <w:shd w:val="clear" w:color="auto" w:fill="auto"/>
            <w:vAlign w:val="center"/>
            <w:hideMark/>
          </w:tcPr>
          <w:p w14:paraId="77EF3034" w14:textId="77777777" w:rsidR="00AE053A" w:rsidRPr="00005453" w:rsidRDefault="00AE053A" w:rsidP="00AE053A">
            <w:pPr>
              <w:jc w:val="right"/>
              <w:rPr>
                <w:sz w:val="10"/>
                <w:szCs w:val="10"/>
                <w:lang w:eastAsia="tr-TR"/>
              </w:rPr>
            </w:pPr>
          </w:p>
        </w:tc>
        <w:tc>
          <w:tcPr>
            <w:tcW w:w="993" w:type="dxa"/>
            <w:tcBorders>
              <w:top w:val="nil"/>
              <w:left w:val="nil"/>
              <w:bottom w:val="nil"/>
              <w:right w:val="nil"/>
            </w:tcBorders>
            <w:shd w:val="clear" w:color="auto" w:fill="auto"/>
            <w:vAlign w:val="center"/>
            <w:hideMark/>
          </w:tcPr>
          <w:p w14:paraId="2E193D0B" w14:textId="77777777" w:rsidR="00AE053A" w:rsidRPr="00005453" w:rsidRDefault="00AE053A" w:rsidP="00AE053A">
            <w:pPr>
              <w:jc w:val="right"/>
              <w:rPr>
                <w:sz w:val="10"/>
                <w:szCs w:val="10"/>
                <w:lang w:eastAsia="tr-TR"/>
              </w:rPr>
            </w:pPr>
          </w:p>
        </w:tc>
        <w:tc>
          <w:tcPr>
            <w:tcW w:w="992" w:type="dxa"/>
            <w:tcBorders>
              <w:top w:val="nil"/>
              <w:left w:val="nil"/>
              <w:bottom w:val="nil"/>
              <w:right w:val="nil"/>
            </w:tcBorders>
            <w:shd w:val="clear" w:color="auto" w:fill="auto"/>
            <w:vAlign w:val="center"/>
            <w:hideMark/>
          </w:tcPr>
          <w:p w14:paraId="1947961B" w14:textId="77777777" w:rsidR="00AE053A" w:rsidRPr="00005453" w:rsidRDefault="00AE053A" w:rsidP="00AE053A">
            <w:pPr>
              <w:jc w:val="right"/>
              <w:rPr>
                <w:color w:val="000000"/>
                <w:sz w:val="10"/>
                <w:szCs w:val="10"/>
                <w:lang w:eastAsia="tr-TR"/>
              </w:rPr>
            </w:pPr>
            <w:r w:rsidRPr="00005453">
              <w:rPr>
                <w:color w:val="000000"/>
                <w:sz w:val="10"/>
                <w:szCs w:val="10"/>
                <w:lang w:eastAsia="tr-TR"/>
              </w:rPr>
              <w:t> </w:t>
            </w:r>
          </w:p>
        </w:tc>
        <w:tc>
          <w:tcPr>
            <w:tcW w:w="1134" w:type="dxa"/>
            <w:tcBorders>
              <w:top w:val="nil"/>
              <w:left w:val="nil"/>
              <w:bottom w:val="nil"/>
              <w:right w:val="nil"/>
            </w:tcBorders>
            <w:shd w:val="clear" w:color="auto" w:fill="auto"/>
            <w:vAlign w:val="center"/>
            <w:hideMark/>
          </w:tcPr>
          <w:p w14:paraId="6A564BBE" w14:textId="77777777" w:rsidR="00AE053A" w:rsidRPr="00005453" w:rsidRDefault="00AE053A" w:rsidP="00AE053A">
            <w:pPr>
              <w:jc w:val="right"/>
              <w:rPr>
                <w:color w:val="000000"/>
                <w:sz w:val="10"/>
                <w:szCs w:val="10"/>
                <w:lang w:eastAsia="tr-TR"/>
              </w:rPr>
            </w:pPr>
            <w:r w:rsidRPr="00005453">
              <w:rPr>
                <w:color w:val="000000"/>
                <w:sz w:val="10"/>
                <w:szCs w:val="10"/>
                <w:lang w:eastAsia="tr-TR"/>
              </w:rPr>
              <w:t> </w:t>
            </w:r>
          </w:p>
        </w:tc>
        <w:tc>
          <w:tcPr>
            <w:tcW w:w="974" w:type="dxa"/>
            <w:tcBorders>
              <w:top w:val="nil"/>
              <w:left w:val="nil"/>
              <w:bottom w:val="nil"/>
              <w:right w:val="nil"/>
            </w:tcBorders>
            <w:shd w:val="clear" w:color="auto" w:fill="auto"/>
            <w:vAlign w:val="center"/>
            <w:hideMark/>
          </w:tcPr>
          <w:p w14:paraId="0BA4B23C" w14:textId="77777777" w:rsidR="00AE053A" w:rsidRPr="00005453" w:rsidRDefault="00AE053A" w:rsidP="00AE053A">
            <w:pPr>
              <w:jc w:val="right"/>
              <w:rPr>
                <w:color w:val="000000"/>
                <w:sz w:val="10"/>
                <w:szCs w:val="10"/>
                <w:lang w:eastAsia="tr-TR"/>
              </w:rPr>
            </w:pPr>
            <w:r w:rsidRPr="00005453">
              <w:rPr>
                <w:color w:val="000000"/>
                <w:sz w:val="10"/>
                <w:szCs w:val="10"/>
                <w:lang w:eastAsia="tr-TR"/>
              </w:rPr>
              <w:t> </w:t>
            </w:r>
          </w:p>
        </w:tc>
      </w:tr>
      <w:tr w:rsidR="00AE053A" w:rsidRPr="00005453" w14:paraId="52298FB8" w14:textId="77777777" w:rsidTr="000E5F12">
        <w:trPr>
          <w:divId w:val="18045659"/>
          <w:trHeight w:val="271"/>
        </w:trPr>
        <w:tc>
          <w:tcPr>
            <w:tcW w:w="1911" w:type="dxa"/>
            <w:tcBorders>
              <w:top w:val="nil"/>
              <w:left w:val="nil"/>
              <w:bottom w:val="nil"/>
              <w:right w:val="nil"/>
            </w:tcBorders>
            <w:shd w:val="clear" w:color="auto" w:fill="auto"/>
            <w:vAlign w:val="center"/>
            <w:hideMark/>
          </w:tcPr>
          <w:p w14:paraId="3570ED29" w14:textId="1854F3D3" w:rsidR="00AE053A" w:rsidRPr="00005453" w:rsidRDefault="00AE053A" w:rsidP="00AE053A">
            <w:pPr>
              <w:rPr>
                <w:b/>
                <w:bCs/>
                <w:color w:val="000000"/>
                <w:sz w:val="14"/>
                <w:szCs w:val="14"/>
                <w:lang w:eastAsia="tr-TR"/>
              </w:rPr>
            </w:pPr>
            <w:r w:rsidRPr="00005453">
              <w:rPr>
                <w:b/>
                <w:bCs/>
                <w:color w:val="000000"/>
                <w:sz w:val="14"/>
                <w:szCs w:val="14"/>
                <w:lang w:eastAsia="tr-TR"/>
              </w:rPr>
              <w:t>31 Aralık 202</w:t>
            </w:r>
            <w:r w:rsidR="0068789F" w:rsidRPr="00005453">
              <w:rPr>
                <w:b/>
                <w:bCs/>
                <w:color w:val="000000"/>
                <w:sz w:val="14"/>
                <w:szCs w:val="14"/>
                <w:lang w:eastAsia="tr-TR"/>
              </w:rPr>
              <w:t>4</w:t>
            </w:r>
          </w:p>
        </w:tc>
        <w:tc>
          <w:tcPr>
            <w:tcW w:w="953" w:type="dxa"/>
            <w:tcBorders>
              <w:top w:val="nil"/>
              <w:left w:val="nil"/>
              <w:bottom w:val="nil"/>
              <w:right w:val="nil"/>
            </w:tcBorders>
            <w:shd w:val="clear" w:color="auto" w:fill="auto"/>
            <w:vAlign w:val="center"/>
            <w:hideMark/>
          </w:tcPr>
          <w:p w14:paraId="48471483" w14:textId="77777777" w:rsidR="00AE053A" w:rsidRPr="00005453" w:rsidRDefault="00AE053A" w:rsidP="00AE053A">
            <w:pPr>
              <w:jc w:val="right"/>
              <w:rPr>
                <w:b/>
                <w:bCs/>
                <w:color w:val="000000"/>
                <w:sz w:val="14"/>
                <w:szCs w:val="14"/>
                <w:lang w:eastAsia="tr-TR"/>
              </w:rPr>
            </w:pPr>
          </w:p>
        </w:tc>
        <w:tc>
          <w:tcPr>
            <w:tcW w:w="964" w:type="dxa"/>
            <w:tcBorders>
              <w:top w:val="nil"/>
              <w:left w:val="nil"/>
              <w:bottom w:val="nil"/>
              <w:right w:val="nil"/>
            </w:tcBorders>
            <w:shd w:val="clear" w:color="auto" w:fill="auto"/>
            <w:vAlign w:val="center"/>
            <w:hideMark/>
          </w:tcPr>
          <w:p w14:paraId="69EABE87" w14:textId="77777777" w:rsidR="00AE053A" w:rsidRPr="00005453" w:rsidRDefault="00AE053A" w:rsidP="00AE053A">
            <w:pPr>
              <w:jc w:val="right"/>
              <w:rPr>
                <w:sz w:val="14"/>
                <w:szCs w:val="14"/>
                <w:lang w:eastAsia="tr-TR"/>
              </w:rPr>
            </w:pPr>
          </w:p>
        </w:tc>
        <w:tc>
          <w:tcPr>
            <w:tcW w:w="850" w:type="dxa"/>
            <w:tcBorders>
              <w:top w:val="nil"/>
              <w:left w:val="nil"/>
              <w:bottom w:val="nil"/>
              <w:right w:val="nil"/>
            </w:tcBorders>
            <w:shd w:val="clear" w:color="auto" w:fill="auto"/>
            <w:vAlign w:val="center"/>
            <w:hideMark/>
          </w:tcPr>
          <w:p w14:paraId="6D9C322F" w14:textId="77777777" w:rsidR="00AE053A" w:rsidRPr="00005453" w:rsidRDefault="00AE053A" w:rsidP="00AE053A">
            <w:pPr>
              <w:jc w:val="right"/>
              <w:rPr>
                <w:sz w:val="14"/>
                <w:szCs w:val="14"/>
                <w:lang w:eastAsia="tr-TR"/>
              </w:rPr>
            </w:pPr>
          </w:p>
        </w:tc>
        <w:tc>
          <w:tcPr>
            <w:tcW w:w="992" w:type="dxa"/>
            <w:tcBorders>
              <w:top w:val="nil"/>
              <w:left w:val="nil"/>
              <w:bottom w:val="nil"/>
              <w:right w:val="nil"/>
            </w:tcBorders>
            <w:shd w:val="clear" w:color="auto" w:fill="auto"/>
            <w:vAlign w:val="center"/>
            <w:hideMark/>
          </w:tcPr>
          <w:p w14:paraId="1C3E198E" w14:textId="77777777" w:rsidR="00AE053A" w:rsidRPr="00005453" w:rsidRDefault="00AE053A" w:rsidP="00AE053A">
            <w:pPr>
              <w:jc w:val="right"/>
              <w:rPr>
                <w:sz w:val="14"/>
                <w:szCs w:val="14"/>
                <w:lang w:eastAsia="tr-TR"/>
              </w:rPr>
            </w:pPr>
          </w:p>
        </w:tc>
        <w:tc>
          <w:tcPr>
            <w:tcW w:w="993" w:type="dxa"/>
            <w:tcBorders>
              <w:top w:val="nil"/>
              <w:left w:val="nil"/>
              <w:bottom w:val="nil"/>
              <w:right w:val="nil"/>
            </w:tcBorders>
            <w:shd w:val="clear" w:color="auto" w:fill="auto"/>
            <w:vAlign w:val="center"/>
            <w:hideMark/>
          </w:tcPr>
          <w:p w14:paraId="15672665" w14:textId="77777777" w:rsidR="00AE053A" w:rsidRPr="00005453" w:rsidRDefault="00AE053A" w:rsidP="00AE053A">
            <w:pPr>
              <w:jc w:val="right"/>
              <w:rPr>
                <w:sz w:val="14"/>
                <w:szCs w:val="14"/>
                <w:lang w:eastAsia="tr-TR"/>
              </w:rPr>
            </w:pPr>
          </w:p>
        </w:tc>
        <w:tc>
          <w:tcPr>
            <w:tcW w:w="992" w:type="dxa"/>
            <w:tcBorders>
              <w:top w:val="nil"/>
              <w:left w:val="nil"/>
              <w:bottom w:val="nil"/>
              <w:right w:val="nil"/>
            </w:tcBorders>
            <w:shd w:val="clear" w:color="auto" w:fill="auto"/>
            <w:vAlign w:val="center"/>
            <w:hideMark/>
          </w:tcPr>
          <w:p w14:paraId="3138A0F2" w14:textId="77777777" w:rsidR="00AE053A" w:rsidRPr="00005453" w:rsidRDefault="00AE053A" w:rsidP="00AE053A">
            <w:pPr>
              <w:jc w:val="right"/>
              <w:rPr>
                <w:sz w:val="14"/>
                <w:szCs w:val="14"/>
                <w:lang w:eastAsia="tr-TR"/>
              </w:rPr>
            </w:pPr>
          </w:p>
        </w:tc>
        <w:tc>
          <w:tcPr>
            <w:tcW w:w="1134" w:type="dxa"/>
            <w:tcBorders>
              <w:top w:val="nil"/>
              <w:left w:val="nil"/>
              <w:bottom w:val="nil"/>
              <w:right w:val="nil"/>
            </w:tcBorders>
            <w:shd w:val="clear" w:color="auto" w:fill="auto"/>
            <w:vAlign w:val="center"/>
            <w:hideMark/>
          </w:tcPr>
          <w:p w14:paraId="64833CDA" w14:textId="77777777" w:rsidR="00AE053A" w:rsidRPr="00005453" w:rsidRDefault="00AE053A" w:rsidP="00AE053A">
            <w:pPr>
              <w:jc w:val="right"/>
              <w:rPr>
                <w:sz w:val="14"/>
                <w:szCs w:val="14"/>
                <w:lang w:eastAsia="tr-TR"/>
              </w:rPr>
            </w:pPr>
          </w:p>
        </w:tc>
        <w:tc>
          <w:tcPr>
            <w:tcW w:w="974" w:type="dxa"/>
            <w:tcBorders>
              <w:top w:val="nil"/>
              <w:left w:val="nil"/>
              <w:bottom w:val="nil"/>
              <w:right w:val="nil"/>
            </w:tcBorders>
            <w:shd w:val="clear" w:color="auto" w:fill="auto"/>
            <w:vAlign w:val="center"/>
            <w:hideMark/>
          </w:tcPr>
          <w:p w14:paraId="19C26857" w14:textId="77777777" w:rsidR="00AE053A" w:rsidRPr="00005453" w:rsidRDefault="00AE053A" w:rsidP="00AE053A">
            <w:pPr>
              <w:jc w:val="right"/>
              <w:rPr>
                <w:sz w:val="14"/>
                <w:szCs w:val="14"/>
                <w:lang w:eastAsia="tr-TR"/>
              </w:rPr>
            </w:pPr>
          </w:p>
        </w:tc>
      </w:tr>
      <w:tr w:rsidR="00AE053A" w:rsidRPr="00005453" w14:paraId="3EF40E45" w14:textId="77777777" w:rsidTr="000E5F12">
        <w:trPr>
          <w:divId w:val="18045659"/>
          <w:trHeight w:val="60"/>
        </w:trPr>
        <w:tc>
          <w:tcPr>
            <w:tcW w:w="1911" w:type="dxa"/>
            <w:tcBorders>
              <w:top w:val="nil"/>
              <w:left w:val="nil"/>
              <w:bottom w:val="nil"/>
              <w:right w:val="nil"/>
            </w:tcBorders>
            <w:shd w:val="clear" w:color="auto" w:fill="auto"/>
            <w:vAlign w:val="center"/>
            <w:hideMark/>
          </w:tcPr>
          <w:p w14:paraId="1F7B75F0" w14:textId="77777777" w:rsidR="00AE053A" w:rsidRPr="00005453" w:rsidRDefault="00AE053A" w:rsidP="00AE053A">
            <w:pPr>
              <w:rPr>
                <w:sz w:val="6"/>
                <w:szCs w:val="6"/>
                <w:lang w:eastAsia="tr-TR"/>
              </w:rPr>
            </w:pPr>
          </w:p>
        </w:tc>
        <w:tc>
          <w:tcPr>
            <w:tcW w:w="953" w:type="dxa"/>
            <w:tcBorders>
              <w:top w:val="nil"/>
              <w:left w:val="nil"/>
              <w:bottom w:val="nil"/>
              <w:right w:val="nil"/>
            </w:tcBorders>
            <w:shd w:val="clear" w:color="auto" w:fill="auto"/>
            <w:vAlign w:val="center"/>
            <w:hideMark/>
          </w:tcPr>
          <w:p w14:paraId="5E6847D6" w14:textId="77777777" w:rsidR="00AE053A" w:rsidRPr="00005453" w:rsidRDefault="00AE053A" w:rsidP="00AE053A">
            <w:pPr>
              <w:jc w:val="right"/>
              <w:rPr>
                <w:sz w:val="6"/>
                <w:szCs w:val="6"/>
                <w:lang w:eastAsia="tr-TR"/>
              </w:rPr>
            </w:pPr>
          </w:p>
        </w:tc>
        <w:tc>
          <w:tcPr>
            <w:tcW w:w="964" w:type="dxa"/>
            <w:tcBorders>
              <w:top w:val="nil"/>
              <w:left w:val="nil"/>
              <w:bottom w:val="nil"/>
              <w:right w:val="nil"/>
            </w:tcBorders>
            <w:shd w:val="clear" w:color="auto" w:fill="auto"/>
            <w:vAlign w:val="center"/>
            <w:hideMark/>
          </w:tcPr>
          <w:p w14:paraId="6198B9CD"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vAlign w:val="center"/>
            <w:hideMark/>
          </w:tcPr>
          <w:p w14:paraId="3B1CDE3E"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5D86B229" w14:textId="77777777" w:rsidR="00AE053A" w:rsidRPr="00005453" w:rsidRDefault="00AE053A" w:rsidP="00AE053A">
            <w:pPr>
              <w:jc w:val="right"/>
              <w:rPr>
                <w:sz w:val="6"/>
                <w:szCs w:val="6"/>
                <w:lang w:eastAsia="tr-TR"/>
              </w:rPr>
            </w:pPr>
          </w:p>
        </w:tc>
        <w:tc>
          <w:tcPr>
            <w:tcW w:w="993" w:type="dxa"/>
            <w:tcBorders>
              <w:top w:val="nil"/>
              <w:left w:val="nil"/>
              <w:bottom w:val="nil"/>
              <w:right w:val="nil"/>
            </w:tcBorders>
            <w:shd w:val="clear" w:color="auto" w:fill="auto"/>
            <w:vAlign w:val="center"/>
            <w:hideMark/>
          </w:tcPr>
          <w:p w14:paraId="136DAD3B"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719B7E35" w14:textId="77777777" w:rsidR="00AE053A" w:rsidRPr="00005453" w:rsidRDefault="00AE053A" w:rsidP="00AE053A">
            <w:pPr>
              <w:jc w:val="right"/>
              <w:rPr>
                <w:sz w:val="6"/>
                <w:szCs w:val="6"/>
                <w:lang w:eastAsia="tr-TR"/>
              </w:rPr>
            </w:pPr>
          </w:p>
        </w:tc>
        <w:tc>
          <w:tcPr>
            <w:tcW w:w="1134" w:type="dxa"/>
            <w:tcBorders>
              <w:top w:val="nil"/>
              <w:left w:val="nil"/>
              <w:bottom w:val="nil"/>
              <w:right w:val="nil"/>
            </w:tcBorders>
            <w:shd w:val="clear" w:color="auto" w:fill="auto"/>
            <w:vAlign w:val="center"/>
            <w:hideMark/>
          </w:tcPr>
          <w:p w14:paraId="7545A5EC" w14:textId="77777777" w:rsidR="00AE053A" w:rsidRPr="00005453" w:rsidRDefault="00AE053A" w:rsidP="00AE053A">
            <w:pPr>
              <w:jc w:val="right"/>
              <w:rPr>
                <w:sz w:val="6"/>
                <w:szCs w:val="6"/>
                <w:lang w:eastAsia="tr-TR"/>
              </w:rPr>
            </w:pPr>
          </w:p>
        </w:tc>
        <w:tc>
          <w:tcPr>
            <w:tcW w:w="974" w:type="dxa"/>
            <w:tcBorders>
              <w:top w:val="nil"/>
              <w:left w:val="nil"/>
              <w:bottom w:val="nil"/>
              <w:right w:val="nil"/>
            </w:tcBorders>
            <w:shd w:val="clear" w:color="auto" w:fill="auto"/>
            <w:vAlign w:val="center"/>
            <w:hideMark/>
          </w:tcPr>
          <w:p w14:paraId="0BFB3384" w14:textId="77777777" w:rsidR="00AE053A" w:rsidRPr="00005453" w:rsidRDefault="00AE053A" w:rsidP="00AE053A">
            <w:pPr>
              <w:jc w:val="right"/>
              <w:rPr>
                <w:sz w:val="6"/>
                <w:szCs w:val="6"/>
                <w:lang w:eastAsia="tr-TR"/>
              </w:rPr>
            </w:pPr>
          </w:p>
        </w:tc>
      </w:tr>
      <w:tr w:rsidR="00F66143" w:rsidRPr="00005453" w14:paraId="0834031C" w14:textId="77777777" w:rsidTr="00F66143">
        <w:trPr>
          <w:divId w:val="18045659"/>
          <w:trHeight w:val="96"/>
        </w:trPr>
        <w:tc>
          <w:tcPr>
            <w:tcW w:w="1911" w:type="dxa"/>
            <w:tcBorders>
              <w:top w:val="nil"/>
              <w:left w:val="nil"/>
              <w:bottom w:val="nil"/>
              <w:right w:val="nil"/>
            </w:tcBorders>
            <w:shd w:val="clear" w:color="auto" w:fill="auto"/>
            <w:noWrap/>
            <w:vAlign w:val="center"/>
            <w:hideMark/>
          </w:tcPr>
          <w:p w14:paraId="33D43333" w14:textId="77777777" w:rsidR="00F66143" w:rsidRPr="00005453" w:rsidRDefault="00F66143" w:rsidP="00F66143">
            <w:pPr>
              <w:rPr>
                <w:color w:val="000000"/>
                <w:sz w:val="14"/>
                <w:szCs w:val="14"/>
                <w:lang w:eastAsia="tr-TR"/>
              </w:rPr>
            </w:pPr>
            <w:r w:rsidRPr="00005453">
              <w:rPr>
                <w:color w:val="000000"/>
                <w:sz w:val="14"/>
                <w:szCs w:val="14"/>
                <w:lang w:eastAsia="tr-TR"/>
              </w:rPr>
              <w:t>Teminat mektupları</w:t>
            </w:r>
          </w:p>
        </w:tc>
        <w:tc>
          <w:tcPr>
            <w:tcW w:w="953" w:type="dxa"/>
            <w:tcBorders>
              <w:top w:val="nil"/>
              <w:left w:val="nil"/>
              <w:bottom w:val="nil"/>
              <w:right w:val="nil"/>
            </w:tcBorders>
            <w:shd w:val="clear" w:color="auto" w:fill="auto"/>
            <w:vAlign w:val="center"/>
            <w:hideMark/>
          </w:tcPr>
          <w:p w14:paraId="6EBD05F7" w14:textId="23C026EF" w:rsidR="00F66143" w:rsidRPr="00005453" w:rsidRDefault="00F66143" w:rsidP="00F66143">
            <w:pPr>
              <w:jc w:val="right"/>
              <w:rPr>
                <w:color w:val="000000"/>
                <w:sz w:val="14"/>
                <w:szCs w:val="14"/>
                <w:lang w:eastAsia="tr-TR"/>
              </w:rPr>
            </w:pPr>
            <w:r w:rsidRPr="00005453">
              <w:rPr>
                <w:sz w:val="14"/>
                <w:szCs w:val="18"/>
              </w:rPr>
              <w:t>35,780,853</w:t>
            </w:r>
          </w:p>
        </w:tc>
        <w:tc>
          <w:tcPr>
            <w:tcW w:w="964" w:type="dxa"/>
            <w:tcBorders>
              <w:top w:val="nil"/>
              <w:left w:val="nil"/>
              <w:bottom w:val="nil"/>
              <w:right w:val="nil"/>
            </w:tcBorders>
            <w:shd w:val="clear" w:color="auto" w:fill="auto"/>
            <w:vAlign w:val="center"/>
            <w:hideMark/>
          </w:tcPr>
          <w:p w14:paraId="649AB7C9" w14:textId="0E9D78F0" w:rsidR="00F66143" w:rsidRPr="00005453" w:rsidRDefault="00F66143" w:rsidP="00F66143">
            <w:pPr>
              <w:jc w:val="right"/>
              <w:rPr>
                <w:color w:val="000000"/>
                <w:sz w:val="14"/>
                <w:szCs w:val="14"/>
                <w:lang w:eastAsia="tr-TR"/>
              </w:rPr>
            </w:pPr>
            <w:r w:rsidRPr="00005453">
              <w:rPr>
                <w:sz w:val="14"/>
                <w:szCs w:val="18"/>
              </w:rPr>
              <w:t>1,336,765</w:t>
            </w:r>
          </w:p>
        </w:tc>
        <w:tc>
          <w:tcPr>
            <w:tcW w:w="850" w:type="dxa"/>
            <w:tcBorders>
              <w:top w:val="nil"/>
              <w:left w:val="nil"/>
              <w:bottom w:val="nil"/>
              <w:right w:val="nil"/>
            </w:tcBorders>
            <w:shd w:val="clear" w:color="auto" w:fill="auto"/>
            <w:vAlign w:val="center"/>
            <w:hideMark/>
          </w:tcPr>
          <w:p w14:paraId="1E8978F5" w14:textId="1F8AF634" w:rsidR="00F66143" w:rsidRPr="00005453" w:rsidRDefault="00F66143" w:rsidP="00F66143">
            <w:pPr>
              <w:jc w:val="right"/>
              <w:rPr>
                <w:color w:val="000000"/>
                <w:sz w:val="14"/>
                <w:szCs w:val="14"/>
                <w:lang w:eastAsia="tr-TR"/>
              </w:rPr>
            </w:pPr>
            <w:r w:rsidRPr="00005453">
              <w:rPr>
                <w:sz w:val="14"/>
                <w:szCs w:val="18"/>
              </w:rPr>
              <w:t>5,108,085</w:t>
            </w:r>
          </w:p>
        </w:tc>
        <w:tc>
          <w:tcPr>
            <w:tcW w:w="992" w:type="dxa"/>
            <w:tcBorders>
              <w:top w:val="nil"/>
              <w:left w:val="nil"/>
              <w:bottom w:val="nil"/>
              <w:right w:val="nil"/>
            </w:tcBorders>
            <w:shd w:val="clear" w:color="auto" w:fill="auto"/>
            <w:vAlign w:val="center"/>
            <w:hideMark/>
          </w:tcPr>
          <w:p w14:paraId="1AF207CD" w14:textId="6466B7E2" w:rsidR="00F66143" w:rsidRPr="00005453" w:rsidRDefault="00F66143" w:rsidP="00F66143">
            <w:pPr>
              <w:jc w:val="right"/>
              <w:rPr>
                <w:color w:val="000000"/>
                <w:sz w:val="14"/>
                <w:szCs w:val="14"/>
                <w:lang w:eastAsia="tr-TR"/>
              </w:rPr>
            </w:pPr>
            <w:r w:rsidRPr="00005453">
              <w:rPr>
                <w:sz w:val="14"/>
                <w:szCs w:val="18"/>
              </w:rPr>
              <w:t>28,257,276</w:t>
            </w:r>
          </w:p>
        </w:tc>
        <w:tc>
          <w:tcPr>
            <w:tcW w:w="993" w:type="dxa"/>
            <w:tcBorders>
              <w:top w:val="nil"/>
              <w:left w:val="nil"/>
              <w:bottom w:val="nil"/>
              <w:right w:val="nil"/>
            </w:tcBorders>
            <w:shd w:val="clear" w:color="auto" w:fill="auto"/>
            <w:vAlign w:val="center"/>
            <w:hideMark/>
          </w:tcPr>
          <w:p w14:paraId="5222112C" w14:textId="2197A53C" w:rsidR="00F66143" w:rsidRPr="00005453" w:rsidRDefault="00F66143" w:rsidP="00F66143">
            <w:pPr>
              <w:jc w:val="right"/>
              <w:rPr>
                <w:color w:val="000000"/>
                <w:sz w:val="14"/>
                <w:szCs w:val="14"/>
                <w:lang w:eastAsia="tr-TR"/>
              </w:rPr>
            </w:pPr>
            <w:r w:rsidRPr="00005453">
              <w:rPr>
                <w:sz w:val="14"/>
                <w:szCs w:val="18"/>
              </w:rPr>
              <w:t>14,613,349</w:t>
            </w:r>
          </w:p>
        </w:tc>
        <w:tc>
          <w:tcPr>
            <w:tcW w:w="992" w:type="dxa"/>
            <w:tcBorders>
              <w:top w:val="nil"/>
              <w:left w:val="nil"/>
              <w:bottom w:val="nil"/>
              <w:right w:val="nil"/>
            </w:tcBorders>
            <w:shd w:val="clear" w:color="auto" w:fill="auto"/>
            <w:vAlign w:val="center"/>
            <w:hideMark/>
          </w:tcPr>
          <w:p w14:paraId="7FF9ACAE" w14:textId="1EC073D2" w:rsidR="00F66143" w:rsidRPr="00005453" w:rsidRDefault="00F66143" w:rsidP="00F66143">
            <w:pPr>
              <w:jc w:val="right"/>
              <w:rPr>
                <w:color w:val="000000"/>
                <w:sz w:val="14"/>
                <w:szCs w:val="14"/>
                <w:lang w:eastAsia="tr-TR"/>
              </w:rPr>
            </w:pPr>
            <w:r w:rsidRPr="00005453">
              <w:rPr>
                <w:sz w:val="14"/>
                <w:szCs w:val="18"/>
              </w:rPr>
              <w:t>551,685</w:t>
            </w:r>
          </w:p>
        </w:tc>
        <w:tc>
          <w:tcPr>
            <w:tcW w:w="1134" w:type="dxa"/>
            <w:tcBorders>
              <w:top w:val="nil"/>
              <w:left w:val="nil"/>
              <w:bottom w:val="nil"/>
              <w:right w:val="nil"/>
            </w:tcBorders>
            <w:shd w:val="clear" w:color="auto" w:fill="auto"/>
            <w:vAlign w:val="center"/>
            <w:hideMark/>
          </w:tcPr>
          <w:p w14:paraId="28629E67" w14:textId="698557F7" w:rsidR="00F66143" w:rsidRPr="00005453" w:rsidRDefault="00F66143" w:rsidP="00F66143">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6A638D63" w14:textId="5DA74543" w:rsidR="00F66143" w:rsidRPr="00005453" w:rsidRDefault="00F66143" w:rsidP="00F66143">
            <w:pPr>
              <w:jc w:val="right"/>
              <w:rPr>
                <w:color w:val="000000"/>
                <w:sz w:val="14"/>
                <w:szCs w:val="14"/>
                <w:lang w:eastAsia="tr-TR"/>
              </w:rPr>
            </w:pPr>
            <w:r w:rsidRPr="00005453">
              <w:rPr>
                <w:sz w:val="14"/>
                <w:szCs w:val="18"/>
              </w:rPr>
              <w:t>85,648,013</w:t>
            </w:r>
          </w:p>
        </w:tc>
      </w:tr>
      <w:tr w:rsidR="00F66143" w:rsidRPr="00005453" w14:paraId="3F12D2C8" w14:textId="77777777" w:rsidTr="00F66143">
        <w:trPr>
          <w:divId w:val="18045659"/>
          <w:trHeight w:val="60"/>
        </w:trPr>
        <w:tc>
          <w:tcPr>
            <w:tcW w:w="1911" w:type="dxa"/>
            <w:tcBorders>
              <w:top w:val="nil"/>
              <w:left w:val="nil"/>
              <w:bottom w:val="nil"/>
              <w:right w:val="nil"/>
            </w:tcBorders>
            <w:shd w:val="clear" w:color="auto" w:fill="auto"/>
            <w:noWrap/>
            <w:vAlign w:val="center"/>
            <w:hideMark/>
          </w:tcPr>
          <w:p w14:paraId="4E67EB1D" w14:textId="77777777" w:rsidR="00F66143" w:rsidRPr="00005453" w:rsidRDefault="00F66143" w:rsidP="00F66143">
            <w:pPr>
              <w:rPr>
                <w:color w:val="000000"/>
                <w:sz w:val="14"/>
                <w:szCs w:val="14"/>
                <w:lang w:eastAsia="tr-TR"/>
              </w:rPr>
            </w:pPr>
            <w:r w:rsidRPr="00005453">
              <w:rPr>
                <w:color w:val="000000"/>
                <w:sz w:val="14"/>
                <w:szCs w:val="14"/>
                <w:lang w:eastAsia="tr-TR"/>
              </w:rPr>
              <w:t>Banka aval ve kabulleri</w:t>
            </w:r>
          </w:p>
        </w:tc>
        <w:tc>
          <w:tcPr>
            <w:tcW w:w="953" w:type="dxa"/>
            <w:tcBorders>
              <w:top w:val="nil"/>
              <w:left w:val="nil"/>
              <w:bottom w:val="nil"/>
              <w:right w:val="nil"/>
            </w:tcBorders>
            <w:shd w:val="clear" w:color="auto" w:fill="auto"/>
            <w:vAlign w:val="center"/>
            <w:hideMark/>
          </w:tcPr>
          <w:p w14:paraId="03B39C3E" w14:textId="5B3D6377" w:rsidR="00F66143" w:rsidRPr="00005453" w:rsidRDefault="00F66143" w:rsidP="00F66143">
            <w:pPr>
              <w:jc w:val="right"/>
              <w:rPr>
                <w:color w:val="000000"/>
                <w:sz w:val="14"/>
                <w:szCs w:val="14"/>
                <w:lang w:eastAsia="tr-TR"/>
              </w:rPr>
            </w:pPr>
            <w:r w:rsidRPr="00005453">
              <w:rPr>
                <w:sz w:val="14"/>
                <w:szCs w:val="18"/>
              </w:rPr>
              <w:t>82,456</w:t>
            </w:r>
          </w:p>
        </w:tc>
        <w:tc>
          <w:tcPr>
            <w:tcW w:w="964" w:type="dxa"/>
            <w:tcBorders>
              <w:top w:val="nil"/>
              <w:left w:val="nil"/>
              <w:bottom w:val="nil"/>
              <w:right w:val="nil"/>
            </w:tcBorders>
            <w:shd w:val="clear" w:color="auto" w:fill="auto"/>
            <w:vAlign w:val="center"/>
            <w:hideMark/>
          </w:tcPr>
          <w:p w14:paraId="1C7DAECC" w14:textId="454869CF" w:rsidR="00F66143" w:rsidRPr="00005453" w:rsidRDefault="00F66143" w:rsidP="00F66143">
            <w:pPr>
              <w:jc w:val="right"/>
              <w:rPr>
                <w:color w:val="000000"/>
                <w:sz w:val="14"/>
                <w:szCs w:val="14"/>
                <w:lang w:eastAsia="tr-TR"/>
              </w:rPr>
            </w:pPr>
            <w:r w:rsidRPr="00005453">
              <w:rPr>
                <w:sz w:val="14"/>
                <w:szCs w:val="18"/>
              </w:rPr>
              <w:t>133,279</w:t>
            </w:r>
          </w:p>
        </w:tc>
        <w:tc>
          <w:tcPr>
            <w:tcW w:w="850" w:type="dxa"/>
            <w:tcBorders>
              <w:top w:val="nil"/>
              <w:left w:val="nil"/>
              <w:bottom w:val="nil"/>
              <w:right w:val="nil"/>
            </w:tcBorders>
            <w:shd w:val="clear" w:color="auto" w:fill="auto"/>
            <w:vAlign w:val="center"/>
            <w:hideMark/>
          </w:tcPr>
          <w:p w14:paraId="1CA78B66" w14:textId="7A4CF82E" w:rsidR="00F66143" w:rsidRPr="00005453" w:rsidRDefault="00F66143" w:rsidP="00F66143">
            <w:pPr>
              <w:jc w:val="right"/>
              <w:rPr>
                <w:color w:val="000000"/>
                <w:sz w:val="14"/>
                <w:szCs w:val="14"/>
                <w:lang w:eastAsia="tr-TR"/>
              </w:rPr>
            </w:pPr>
            <w:r w:rsidRPr="00005453">
              <w:rPr>
                <w:sz w:val="14"/>
                <w:szCs w:val="18"/>
              </w:rPr>
              <w:t>115,451</w:t>
            </w:r>
          </w:p>
        </w:tc>
        <w:tc>
          <w:tcPr>
            <w:tcW w:w="992" w:type="dxa"/>
            <w:tcBorders>
              <w:top w:val="nil"/>
              <w:left w:val="nil"/>
              <w:bottom w:val="nil"/>
              <w:right w:val="nil"/>
            </w:tcBorders>
            <w:shd w:val="clear" w:color="auto" w:fill="auto"/>
            <w:vAlign w:val="center"/>
            <w:hideMark/>
          </w:tcPr>
          <w:p w14:paraId="629B7FE0" w14:textId="4513826A" w:rsidR="00F66143" w:rsidRPr="00005453" w:rsidRDefault="00F66143" w:rsidP="00F66143">
            <w:pPr>
              <w:jc w:val="right"/>
              <w:rPr>
                <w:color w:val="000000"/>
                <w:sz w:val="14"/>
                <w:szCs w:val="14"/>
                <w:lang w:eastAsia="tr-TR"/>
              </w:rPr>
            </w:pPr>
            <w:r w:rsidRPr="00005453">
              <w:rPr>
                <w:sz w:val="14"/>
                <w:szCs w:val="18"/>
              </w:rPr>
              <w:t>396,353</w:t>
            </w:r>
          </w:p>
        </w:tc>
        <w:tc>
          <w:tcPr>
            <w:tcW w:w="993" w:type="dxa"/>
            <w:tcBorders>
              <w:top w:val="nil"/>
              <w:left w:val="nil"/>
              <w:bottom w:val="nil"/>
              <w:right w:val="nil"/>
            </w:tcBorders>
            <w:shd w:val="clear" w:color="auto" w:fill="auto"/>
            <w:vAlign w:val="center"/>
            <w:hideMark/>
          </w:tcPr>
          <w:p w14:paraId="02859A95" w14:textId="46764DCB" w:rsidR="00F66143" w:rsidRPr="00005453" w:rsidRDefault="00F66143" w:rsidP="00F66143">
            <w:pPr>
              <w:jc w:val="right"/>
              <w:rPr>
                <w:color w:val="000000"/>
                <w:sz w:val="14"/>
                <w:szCs w:val="14"/>
                <w:lang w:eastAsia="tr-TR"/>
              </w:rPr>
            </w:pPr>
            <w:r w:rsidRPr="00005453">
              <w:rPr>
                <w:color w:val="000000"/>
                <w:sz w:val="14"/>
                <w:szCs w:val="14"/>
              </w:rPr>
              <w:t>-</w:t>
            </w:r>
          </w:p>
        </w:tc>
        <w:tc>
          <w:tcPr>
            <w:tcW w:w="992" w:type="dxa"/>
            <w:tcBorders>
              <w:top w:val="nil"/>
              <w:left w:val="nil"/>
              <w:bottom w:val="nil"/>
              <w:right w:val="nil"/>
            </w:tcBorders>
            <w:shd w:val="clear" w:color="auto" w:fill="auto"/>
            <w:vAlign w:val="center"/>
            <w:hideMark/>
          </w:tcPr>
          <w:p w14:paraId="5A87F050" w14:textId="70BAAE92" w:rsidR="00F66143" w:rsidRPr="00005453" w:rsidRDefault="00F66143" w:rsidP="00F66143">
            <w:pPr>
              <w:jc w:val="right"/>
              <w:rPr>
                <w:color w:val="000000"/>
                <w:sz w:val="14"/>
                <w:szCs w:val="14"/>
                <w:lang w:eastAsia="tr-TR"/>
              </w:rPr>
            </w:pPr>
            <w:r w:rsidRPr="00005453">
              <w:rPr>
                <w:color w:val="000000"/>
                <w:sz w:val="14"/>
                <w:szCs w:val="14"/>
              </w:rPr>
              <w:t>-</w:t>
            </w:r>
          </w:p>
        </w:tc>
        <w:tc>
          <w:tcPr>
            <w:tcW w:w="1134" w:type="dxa"/>
            <w:tcBorders>
              <w:top w:val="nil"/>
              <w:left w:val="nil"/>
              <w:bottom w:val="nil"/>
              <w:right w:val="nil"/>
            </w:tcBorders>
            <w:shd w:val="clear" w:color="auto" w:fill="auto"/>
            <w:vAlign w:val="center"/>
            <w:hideMark/>
          </w:tcPr>
          <w:p w14:paraId="2C1B1105" w14:textId="3B8C927F" w:rsidR="00F66143" w:rsidRPr="00005453" w:rsidRDefault="00F66143" w:rsidP="00F66143">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2568C323" w14:textId="5679576E" w:rsidR="00F66143" w:rsidRPr="00005453" w:rsidRDefault="00F66143" w:rsidP="00F66143">
            <w:pPr>
              <w:jc w:val="right"/>
              <w:rPr>
                <w:color w:val="000000"/>
                <w:sz w:val="14"/>
                <w:szCs w:val="14"/>
                <w:lang w:eastAsia="tr-TR"/>
              </w:rPr>
            </w:pPr>
            <w:r w:rsidRPr="00005453">
              <w:rPr>
                <w:sz w:val="14"/>
                <w:szCs w:val="18"/>
              </w:rPr>
              <w:t>727,539</w:t>
            </w:r>
          </w:p>
        </w:tc>
      </w:tr>
      <w:tr w:rsidR="00F66143" w:rsidRPr="00005453" w14:paraId="296223ED" w14:textId="77777777" w:rsidTr="00F66143">
        <w:trPr>
          <w:divId w:val="18045659"/>
          <w:trHeight w:val="60"/>
        </w:trPr>
        <w:tc>
          <w:tcPr>
            <w:tcW w:w="1911" w:type="dxa"/>
            <w:tcBorders>
              <w:top w:val="nil"/>
              <w:left w:val="nil"/>
              <w:bottom w:val="nil"/>
              <w:right w:val="nil"/>
            </w:tcBorders>
            <w:shd w:val="clear" w:color="auto" w:fill="auto"/>
            <w:noWrap/>
            <w:vAlign w:val="center"/>
            <w:hideMark/>
          </w:tcPr>
          <w:p w14:paraId="502D1DEB" w14:textId="77777777" w:rsidR="00F66143" w:rsidRPr="00005453" w:rsidRDefault="00F66143" w:rsidP="00F66143">
            <w:pPr>
              <w:rPr>
                <w:color w:val="000000"/>
                <w:sz w:val="14"/>
                <w:szCs w:val="14"/>
                <w:lang w:eastAsia="tr-TR"/>
              </w:rPr>
            </w:pPr>
            <w:r w:rsidRPr="00005453">
              <w:rPr>
                <w:color w:val="000000"/>
                <w:sz w:val="14"/>
                <w:szCs w:val="14"/>
                <w:lang w:eastAsia="tr-TR"/>
              </w:rPr>
              <w:t>Akreditifler</w:t>
            </w:r>
          </w:p>
        </w:tc>
        <w:tc>
          <w:tcPr>
            <w:tcW w:w="953" w:type="dxa"/>
            <w:tcBorders>
              <w:top w:val="nil"/>
              <w:left w:val="nil"/>
              <w:bottom w:val="nil"/>
              <w:right w:val="nil"/>
            </w:tcBorders>
            <w:shd w:val="clear" w:color="auto" w:fill="auto"/>
            <w:vAlign w:val="center"/>
            <w:hideMark/>
          </w:tcPr>
          <w:p w14:paraId="6DE1A359" w14:textId="3755A794" w:rsidR="00F66143" w:rsidRPr="00005453" w:rsidRDefault="00F66143" w:rsidP="00F66143">
            <w:pPr>
              <w:jc w:val="right"/>
              <w:rPr>
                <w:color w:val="000000"/>
                <w:sz w:val="14"/>
                <w:szCs w:val="14"/>
                <w:lang w:eastAsia="tr-TR"/>
              </w:rPr>
            </w:pPr>
            <w:r w:rsidRPr="00005453">
              <w:rPr>
                <w:sz w:val="14"/>
                <w:szCs w:val="18"/>
              </w:rPr>
              <w:t>6,019,021</w:t>
            </w:r>
          </w:p>
        </w:tc>
        <w:tc>
          <w:tcPr>
            <w:tcW w:w="964" w:type="dxa"/>
            <w:tcBorders>
              <w:top w:val="nil"/>
              <w:left w:val="nil"/>
              <w:bottom w:val="nil"/>
              <w:right w:val="nil"/>
            </w:tcBorders>
            <w:shd w:val="clear" w:color="auto" w:fill="auto"/>
            <w:vAlign w:val="center"/>
            <w:hideMark/>
          </w:tcPr>
          <w:p w14:paraId="04448B84" w14:textId="20D91ABA" w:rsidR="00F66143" w:rsidRPr="00005453" w:rsidRDefault="00F66143" w:rsidP="00F66143">
            <w:pPr>
              <w:jc w:val="right"/>
              <w:rPr>
                <w:color w:val="000000"/>
                <w:sz w:val="14"/>
                <w:szCs w:val="14"/>
                <w:lang w:eastAsia="tr-TR"/>
              </w:rPr>
            </w:pPr>
            <w:r w:rsidRPr="00005453">
              <w:rPr>
                <w:sz w:val="14"/>
                <w:szCs w:val="18"/>
              </w:rPr>
              <w:t>1,702,757</w:t>
            </w:r>
          </w:p>
        </w:tc>
        <w:tc>
          <w:tcPr>
            <w:tcW w:w="850" w:type="dxa"/>
            <w:tcBorders>
              <w:top w:val="nil"/>
              <w:left w:val="nil"/>
              <w:bottom w:val="nil"/>
              <w:right w:val="nil"/>
            </w:tcBorders>
            <w:shd w:val="clear" w:color="auto" w:fill="auto"/>
            <w:vAlign w:val="center"/>
            <w:hideMark/>
          </w:tcPr>
          <w:p w14:paraId="54A8F5EF" w14:textId="30997F28" w:rsidR="00F66143" w:rsidRPr="00005453" w:rsidRDefault="00F66143" w:rsidP="00F66143">
            <w:pPr>
              <w:jc w:val="right"/>
              <w:rPr>
                <w:color w:val="000000"/>
                <w:sz w:val="14"/>
                <w:szCs w:val="14"/>
                <w:lang w:eastAsia="tr-TR"/>
              </w:rPr>
            </w:pPr>
            <w:r w:rsidRPr="00005453">
              <w:rPr>
                <w:sz w:val="14"/>
                <w:szCs w:val="18"/>
              </w:rPr>
              <w:t>2,935,119</w:t>
            </w:r>
          </w:p>
        </w:tc>
        <w:tc>
          <w:tcPr>
            <w:tcW w:w="992" w:type="dxa"/>
            <w:tcBorders>
              <w:top w:val="nil"/>
              <w:left w:val="nil"/>
              <w:bottom w:val="nil"/>
              <w:right w:val="nil"/>
            </w:tcBorders>
            <w:shd w:val="clear" w:color="auto" w:fill="auto"/>
            <w:vAlign w:val="center"/>
            <w:hideMark/>
          </w:tcPr>
          <w:p w14:paraId="70EFA764" w14:textId="758E083F" w:rsidR="00F66143" w:rsidRPr="00005453" w:rsidRDefault="00F66143" w:rsidP="00F66143">
            <w:pPr>
              <w:jc w:val="right"/>
              <w:rPr>
                <w:color w:val="000000"/>
                <w:sz w:val="14"/>
                <w:szCs w:val="14"/>
                <w:lang w:eastAsia="tr-TR"/>
              </w:rPr>
            </w:pPr>
            <w:r w:rsidRPr="00005453">
              <w:rPr>
                <w:sz w:val="14"/>
                <w:szCs w:val="18"/>
              </w:rPr>
              <w:t>2,767,865</w:t>
            </w:r>
          </w:p>
        </w:tc>
        <w:tc>
          <w:tcPr>
            <w:tcW w:w="993" w:type="dxa"/>
            <w:tcBorders>
              <w:top w:val="nil"/>
              <w:left w:val="nil"/>
              <w:bottom w:val="nil"/>
              <w:right w:val="nil"/>
            </w:tcBorders>
            <w:shd w:val="clear" w:color="auto" w:fill="auto"/>
            <w:vAlign w:val="center"/>
            <w:hideMark/>
          </w:tcPr>
          <w:p w14:paraId="34F591CD" w14:textId="660808EF" w:rsidR="00F66143" w:rsidRPr="00005453" w:rsidRDefault="00F66143" w:rsidP="00F66143">
            <w:pPr>
              <w:jc w:val="right"/>
              <w:rPr>
                <w:color w:val="000000"/>
                <w:sz w:val="14"/>
                <w:szCs w:val="14"/>
                <w:lang w:eastAsia="tr-TR"/>
              </w:rPr>
            </w:pPr>
            <w:r w:rsidRPr="00005453">
              <w:rPr>
                <w:sz w:val="14"/>
                <w:szCs w:val="18"/>
              </w:rPr>
              <w:t>157,024</w:t>
            </w:r>
          </w:p>
        </w:tc>
        <w:tc>
          <w:tcPr>
            <w:tcW w:w="992" w:type="dxa"/>
            <w:tcBorders>
              <w:top w:val="nil"/>
              <w:left w:val="nil"/>
              <w:bottom w:val="nil"/>
              <w:right w:val="nil"/>
            </w:tcBorders>
            <w:shd w:val="clear" w:color="auto" w:fill="auto"/>
            <w:vAlign w:val="center"/>
            <w:hideMark/>
          </w:tcPr>
          <w:p w14:paraId="4BE743A8" w14:textId="746A03D0" w:rsidR="00F66143" w:rsidRPr="00005453" w:rsidRDefault="00F66143" w:rsidP="00F66143">
            <w:pPr>
              <w:jc w:val="right"/>
              <w:rPr>
                <w:color w:val="000000"/>
                <w:sz w:val="14"/>
                <w:szCs w:val="14"/>
                <w:lang w:eastAsia="tr-TR"/>
              </w:rPr>
            </w:pPr>
            <w:r w:rsidRPr="00005453">
              <w:rPr>
                <w:color w:val="000000"/>
                <w:sz w:val="14"/>
                <w:szCs w:val="14"/>
              </w:rPr>
              <w:t>-</w:t>
            </w:r>
          </w:p>
        </w:tc>
        <w:tc>
          <w:tcPr>
            <w:tcW w:w="1134" w:type="dxa"/>
            <w:tcBorders>
              <w:top w:val="nil"/>
              <w:left w:val="nil"/>
              <w:bottom w:val="nil"/>
              <w:right w:val="nil"/>
            </w:tcBorders>
            <w:shd w:val="clear" w:color="auto" w:fill="auto"/>
            <w:vAlign w:val="center"/>
            <w:hideMark/>
          </w:tcPr>
          <w:p w14:paraId="021B6A3D" w14:textId="6B980C9B" w:rsidR="00F66143" w:rsidRPr="00005453" w:rsidRDefault="00F66143" w:rsidP="00F66143">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70C75058" w14:textId="36BB5F9F" w:rsidR="00F66143" w:rsidRPr="00005453" w:rsidRDefault="00F66143" w:rsidP="00F66143">
            <w:pPr>
              <w:jc w:val="right"/>
              <w:rPr>
                <w:color w:val="000000"/>
                <w:sz w:val="14"/>
                <w:szCs w:val="14"/>
                <w:lang w:eastAsia="tr-TR"/>
              </w:rPr>
            </w:pPr>
            <w:r w:rsidRPr="00005453">
              <w:rPr>
                <w:sz w:val="14"/>
                <w:szCs w:val="18"/>
              </w:rPr>
              <w:t>13,581,786</w:t>
            </w:r>
          </w:p>
        </w:tc>
      </w:tr>
      <w:tr w:rsidR="00F66143" w:rsidRPr="00005453" w14:paraId="10CD5013" w14:textId="77777777" w:rsidTr="00F66143">
        <w:trPr>
          <w:divId w:val="18045659"/>
          <w:trHeight w:val="60"/>
        </w:trPr>
        <w:tc>
          <w:tcPr>
            <w:tcW w:w="1911" w:type="dxa"/>
            <w:tcBorders>
              <w:top w:val="nil"/>
              <w:left w:val="nil"/>
              <w:bottom w:val="nil"/>
              <w:right w:val="nil"/>
            </w:tcBorders>
            <w:shd w:val="clear" w:color="auto" w:fill="auto"/>
            <w:noWrap/>
            <w:vAlign w:val="center"/>
            <w:hideMark/>
          </w:tcPr>
          <w:p w14:paraId="3509117E" w14:textId="77777777" w:rsidR="00F66143" w:rsidRPr="00005453" w:rsidRDefault="00F66143" w:rsidP="00F66143">
            <w:pPr>
              <w:rPr>
                <w:color w:val="000000"/>
                <w:sz w:val="14"/>
                <w:szCs w:val="14"/>
                <w:lang w:eastAsia="tr-TR"/>
              </w:rPr>
            </w:pPr>
            <w:r w:rsidRPr="00005453">
              <w:rPr>
                <w:color w:val="000000"/>
                <w:sz w:val="14"/>
                <w:szCs w:val="14"/>
                <w:lang w:eastAsia="tr-TR"/>
              </w:rPr>
              <w:t>Diğer garantiler</w:t>
            </w:r>
          </w:p>
        </w:tc>
        <w:tc>
          <w:tcPr>
            <w:tcW w:w="953" w:type="dxa"/>
            <w:tcBorders>
              <w:top w:val="nil"/>
              <w:left w:val="nil"/>
              <w:bottom w:val="nil"/>
              <w:right w:val="nil"/>
            </w:tcBorders>
            <w:shd w:val="clear" w:color="auto" w:fill="auto"/>
            <w:vAlign w:val="center"/>
            <w:hideMark/>
          </w:tcPr>
          <w:p w14:paraId="37F0D2CF" w14:textId="19064E61" w:rsidR="00F66143" w:rsidRPr="00005453" w:rsidRDefault="00F66143" w:rsidP="00F66143">
            <w:pPr>
              <w:jc w:val="right"/>
              <w:rPr>
                <w:color w:val="000000"/>
                <w:sz w:val="14"/>
                <w:szCs w:val="14"/>
                <w:lang w:eastAsia="tr-TR"/>
              </w:rPr>
            </w:pPr>
            <w:r w:rsidRPr="00005453">
              <w:rPr>
                <w:sz w:val="14"/>
                <w:szCs w:val="18"/>
              </w:rPr>
              <w:t>681,110</w:t>
            </w:r>
          </w:p>
        </w:tc>
        <w:tc>
          <w:tcPr>
            <w:tcW w:w="964" w:type="dxa"/>
            <w:tcBorders>
              <w:top w:val="nil"/>
              <w:left w:val="nil"/>
              <w:bottom w:val="nil"/>
              <w:right w:val="nil"/>
            </w:tcBorders>
            <w:shd w:val="clear" w:color="auto" w:fill="auto"/>
            <w:vAlign w:val="center"/>
            <w:hideMark/>
          </w:tcPr>
          <w:p w14:paraId="2CD42658" w14:textId="05F30A44" w:rsidR="00F66143" w:rsidRPr="00005453" w:rsidRDefault="00F66143" w:rsidP="00F66143">
            <w:pPr>
              <w:jc w:val="right"/>
              <w:rPr>
                <w:color w:val="000000"/>
                <w:sz w:val="14"/>
                <w:szCs w:val="14"/>
                <w:lang w:eastAsia="tr-TR"/>
              </w:rPr>
            </w:pPr>
            <w:r w:rsidRPr="00005453">
              <w:rPr>
                <w:sz w:val="14"/>
                <w:szCs w:val="18"/>
              </w:rPr>
              <w:t>2,784,982</w:t>
            </w:r>
          </w:p>
        </w:tc>
        <w:tc>
          <w:tcPr>
            <w:tcW w:w="850" w:type="dxa"/>
            <w:tcBorders>
              <w:top w:val="nil"/>
              <w:left w:val="nil"/>
              <w:bottom w:val="nil"/>
              <w:right w:val="nil"/>
            </w:tcBorders>
            <w:shd w:val="clear" w:color="auto" w:fill="auto"/>
            <w:vAlign w:val="center"/>
            <w:hideMark/>
          </w:tcPr>
          <w:p w14:paraId="61CFBAF5" w14:textId="4D54AE69" w:rsidR="00F66143" w:rsidRPr="00005453" w:rsidRDefault="00F66143" w:rsidP="00F66143">
            <w:pPr>
              <w:jc w:val="right"/>
              <w:rPr>
                <w:color w:val="000000"/>
                <w:sz w:val="14"/>
                <w:szCs w:val="14"/>
                <w:lang w:eastAsia="tr-TR"/>
              </w:rPr>
            </w:pPr>
            <w:r w:rsidRPr="00005453">
              <w:rPr>
                <w:sz w:val="14"/>
                <w:szCs w:val="18"/>
              </w:rPr>
              <w:t>1,454,032</w:t>
            </w:r>
          </w:p>
        </w:tc>
        <w:tc>
          <w:tcPr>
            <w:tcW w:w="992" w:type="dxa"/>
            <w:tcBorders>
              <w:top w:val="nil"/>
              <w:left w:val="nil"/>
              <w:bottom w:val="nil"/>
              <w:right w:val="nil"/>
            </w:tcBorders>
            <w:shd w:val="clear" w:color="auto" w:fill="auto"/>
            <w:vAlign w:val="center"/>
            <w:hideMark/>
          </w:tcPr>
          <w:p w14:paraId="794443A9" w14:textId="4137EDA0" w:rsidR="00F66143" w:rsidRPr="00005453" w:rsidRDefault="00F66143" w:rsidP="00F66143">
            <w:pPr>
              <w:jc w:val="right"/>
              <w:rPr>
                <w:color w:val="000000"/>
                <w:sz w:val="14"/>
                <w:szCs w:val="14"/>
                <w:lang w:eastAsia="tr-TR"/>
              </w:rPr>
            </w:pPr>
            <w:r w:rsidRPr="00005453">
              <w:rPr>
                <w:sz w:val="14"/>
                <w:szCs w:val="18"/>
              </w:rPr>
              <w:t>286,576</w:t>
            </w:r>
          </w:p>
        </w:tc>
        <w:tc>
          <w:tcPr>
            <w:tcW w:w="993" w:type="dxa"/>
            <w:tcBorders>
              <w:top w:val="nil"/>
              <w:left w:val="nil"/>
              <w:bottom w:val="nil"/>
              <w:right w:val="nil"/>
            </w:tcBorders>
            <w:shd w:val="clear" w:color="auto" w:fill="auto"/>
            <w:vAlign w:val="center"/>
            <w:hideMark/>
          </w:tcPr>
          <w:p w14:paraId="4AE4917F" w14:textId="3DF511DD" w:rsidR="00F66143" w:rsidRPr="00005453" w:rsidRDefault="00F66143" w:rsidP="00F66143">
            <w:pPr>
              <w:jc w:val="right"/>
              <w:rPr>
                <w:color w:val="000000"/>
                <w:sz w:val="14"/>
                <w:szCs w:val="14"/>
                <w:lang w:eastAsia="tr-TR"/>
              </w:rPr>
            </w:pPr>
            <w:r w:rsidRPr="00005453">
              <w:rPr>
                <w:sz w:val="14"/>
                <w:szCs w:val="18"/>
              </w:rPr>
              <w:t>4,168</w:t>
            </w:r>
          </w:p>
        </w:tc>
        <w:tc>
          <w:tcPr>
            <w:tcW w:w="992" w:type="dxa"/>
            <w:tcBorders>
              <w:top w:val="nil"/>
              <w:left w:val="nil"/>
              <w:bottom w:val="nil"/>
              <w:right w:val="nil"/>
            </w:tcBorders>
            <w:shd w:val="clear" w:color="auto" w:fill="auto"/>
            <w:vAlign w:val="center"/>
            <w:hideMark/>
          </w:tcPr>
          <w:p w14:paraId="3DAE8C94" w14:textId="0F443189" w:rsidR="00F66143" w:rsidRPr="00005453" w:rsidRDefault="00F66143" w:rsidP="00F66143">
            <w:pPr>
              <w:jc w:val="right"/>
              <w:rPr>
                <w:color w:val="000000"/>
                <w:sz w:val="14"/>
                <w:szCs w:val="14"/>
                <w:lang w:eastAsia="tr-TR"/>
              </w:rPr>
            </w:pPr>
            <w:r w:rsidRPr="00005453">
              <w:rPr>
                <w:sz w:val="14"/>
                <w:szCs w:val="18"/>
              </w:rPr>
              <w:t>222</w:t>
            </w:r>
          </w:p>
        </w:tc>
        <w:tc>
          <w:tcPr>
            <w:tcW w:w="1134" w:type="dxa"/>
            <w:tcBorders>
              <w:top w:val="nil"/>
              <w:left w:val="nil"/>
              <w:bottom w:val="nil"/>
              <w:right w:val="nil"/>
            </w:tcBorders>
            <w:shd w:val="clear" w:color="auto" w:fill="auto"/>
            <w:vAlign w:val="center"/>
            <w:hideMark/>
          </w:tcPr>
          <w:p w14:paraId="6C53E2A1" w14:textId="43289191" w:rsidR="00F66143" w:rsidRPr="00005453" w:rsidRDefault="00F66143" w:rsidP="00F66143">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692A24A9" w14:textId="7FF09B2B" w:rsidR="00F66143" w:rsidRPr="00005453" w:rsidRDefault="00F66143" w:rsidP="00F66143">
            <w:pPr>
              <w:jc w:val="right"/>
              <w:rPr>
                <w:color w:val="000000"/>
                <w:sz w:val="14"/>
                <w:szCs w:val="14"/>
                <w:lang w:eastAsia="tr-TR"/>
              </w:rPr>
            </w:pPr>
            <w:r w:rsidRPr="00005453">
              <w:rPr>
                <w:sz w:val="14"/>
                <w:szCs w:val="18"/>
              </w:rPr>
              <w:t>5,211,090</w:t>
            </w:r>
          </w:p>
        </w:tc>
      </w:tr>
      <w:tr w:rsidR="00D62187" w:rsidRPr="00005453" w14:paraId="63A2AB97" w14:textId="77777777" w:rsidTr="000E5F12">
        <w:trPr>
          <w:divId w:val="18045659"/>
          <w:trHeight w:val="60"/>
        </w:trPr>
        <w:tc>
          <w:tcPr>
            <w:tcW w:w="1911" w:type="dxa"/>
            <w:tcBorders>
              <w:top w:val="nil"/>
              <w:left w:val="nil"/>
              <w:bottom w:val="nil"/>
              <w:right w:val="nil"/>
            </w:tcBorders>
            <w:shd w:val="clear" w:color="auto" w:fill="auto"/>
            <w:noWrap/>
            <w:vAlign w:val="center"/>
            <w:hideMark/>
          </w:tcPr>
          <w:p w14:paraId="2F8592DD" w14:textId="77777777" w:rsidR="00D62187" w:rsidRPr="00005453" w:rsidRDefault="00D62187" w:rsidP="00D62187">
            <w:pPr>
              <w:rPr>
                <w:color w:val="000000"/>
                <w:sz w:val="14"/>
                <w:szCs w:val="14"/>
                <w:lang w:eastAsia="tr-TR"/>
              </w:rPr>
            </w:pPr>
            <w:r w:rsidRPr="00005453">
              <w:rPr>
                <w:color w:val="000000"/>
                <w:sz w:val="14"/>
                <w:szCs w:val="14"/>
                <w:lang w:eastAsia="tr-TR"/>
              </w:rPr>
              <w:t xml:space="preserve">Garanti verilen </w:t>
            </w:r>
          </w:p>
        </w:tc>
        <w:tc>
          <w:tcPr>
            <w:tcW w:w="953" w:type="dxa"/>
            <w:tcBorders>
              <w:top w:val="nil"/>
              <w:left w:val="nil"/>
              <w:bottom w:val="nil"/>
              <w:right w:val="nil"/>
            </w:tcBorders>
            <w:shd w:val="clear" w:color="auto" w:fill="auto"/>
            <w:vAlign w:val="center"/>
            <w:hideMark/>
          </w:tcPr>
          <w:p w14:paraId="325FF756" w14:textId="5179116F" w:rsidR="00D62187" w:rsidRPr="00005453" w:rsidRDefault="00D62187" w:rsidP="00D62187">
            <w:pPr>
              <w:jc w:val="right"/>
              <w:rPr>
                <w:color w:val="000000"/>
                <w:sz w:val="14"/>
                <w:szCs w:val="14"/>
                <w:lang w:eastAsia="tr-TR"/>
              </w:rPr>
            </w:pPr>
            <w:r w:rsidRPr="00005453">
              <w:rPr>
                <w:color w:val="000000"/>
                <w:sz w:val="14"/>
                <w:szCs w:val="14"/>
              </w:rPr>
              <w:t>-</w:t>
            </w:r>
          </w:p>
        </w:tc>
        <w:tc>
          <w:tcPr>
            <w:tcW w:w="964" w:type="dxa"/>
            <w:tcBorders>
              <w:top w:val="nil"/>
              <w:left w:val="nil"/>
              <w:bottom w:val="nil"/>
              <w:right w:val="nil"/>
            </w:tcBorders>
            <w:shd w:val="clear" w:color="auto" w:fill="auto"/>
            <w:vAlign w:val="center"/>
            <w:hideMark/>
          </w:tcPr>
          <w:p w14:paraId="26A069EC" w14:textId="5DC6C230" w:rsidR="00D62187" w:rsidRPr="00005453" w:rsidRDefault="00D62187" w:rsidP="00D62187">
            <w:pPr>
              <w:jc w:val="right"/>
              <w:rPr>
                <w:color w:val="000000"/>
                <w:sz w:val="14"/>
                <w:szCs w:val="14"/>
                <w:lang w:eastAsia="tr-TR"/>
              </w:rPr>
            </w:pPr>
            <w:r w:rsidRPr="00005453">
              <w:rPr>
                <w:color w:val="000000"/>
                <w:sz w:val="14"/>
                <w:szCs w:val="14"/>
              </w:rPr>
              <w:t>-</w:t>
            </w:r>
          </w:p>
        </w:tc>
        <w:tc>
          <w:tcPr>
            <w:tcW w:w="850" w:type="dxa"/>
            <w:tcBorders>
              <w:top w:val="nil"/>
              <w:left w:val="nil"/>
              <w:bottom w:val="nil"/>
              <w:right w:val="nil"/>
            </w:tcBorders>
            <w:shd w:val="clear" w:color="auto" w:fill="auto"/>
            <w:vAlign w:val="center"/>
            <w:hideMark/>
          </w:tcPr>
          <w:p w14:paraId="730C47BE" w14:textId="0874B905" w:rsidR="00D62187" w:rsidRPr="00005453" w:rsidRDefault="00D62187" w:rsidP="00D62187">
            <w:pPr>
              <w:jc w:val="right"/>
              <w:rPr>
                <w:color w:val="000000"/>
                <w:sz w:val="14"/>
                <w:szCs w:val="14"/>
                <w:lang w:eastAsia="tr-TR"/>
              </w:rPr>
            </w:pPr>
            <w:r w:rsidRPr="00005453">
              <w:rPr>
                <w:color w:val="000000"/>
                <w:sz w:val="14"/>
                <w:szCs w:val="14"/>
              </w:rPr>
              <w:t>-</w:t>
            </w:r>
          </w:p>
        </w:tc>
        <w:tc>
          <w:tcPr>
            <w:tcW w:w="992" w:type="dxa"/>
            <w:tcBorders>
              <w:top w:val="nil"/>
              <w:left w:val="nil"/>
              <w:bottom w:val="nil"/>
              <w:right w:val="nil"/>
            </w:tcBorders>
            <w:shd w:val="clear" w:color="auto" w:fill="auto"/>
            <w:vAlign w:val="center"/>
            <w:hideMark/>
          </w:tcPr>
          <w:p w14:paraId="39292907" w14:textId="4438E313" w:rsidR="00D62187" w:rsidRPr="00005453" w:rsidRDefault="00D62187" w:rsidP="00D62187">
            <w:pPr>
              <w:jc w:val="right"/>
              <w:rPr>
                <w:color w:val="000000"/>
                <w:sz w:val="14"/>
                <w:szCs w:val="14"/>
                <w:lang w:eastAsia="tr-TR"/>
              </w:rPr>
            </w:pPr>
            <w:r w:rsidRPr="00005453">
              <w:rPr>
                <w:color w:val="000000"/>
                <w:sz w:val="14"/>
                <w:szCs w:val="14"/>
              </w:rPr>
              <w:t>-</w:t>
            </w:r>
          </w:p>
        </w:tc>
        <w:tc>
          <w:tcPr>
            <w:tcW w:w="993" w:type="dxa"/>
            <w:tcBorders>
              <w:top w:val="nil"/>
              <w:left w:val="nil"/>
              <w:bottom w:val="nil"/>
              <w:right w:val="nil"/>
            </w:tcBorders>
            <w:shd w:val="clear" w:color="auto" w:fill="auto"/>
            <w:vAlign w:val="center"/>
            <w:hideMark/>
          </w:tcPr>
          <w:p w14:paraId="7B17C5AF" w14:textId="3208B578" w:rsidR="00D62187" w:rsidRPr="00005453" w:rsidRDefault="00D62187" w:rsidP="00D62187">
            <w:pPr>
              <w:jc w:val="right"/>
              <w:rPr>
                <w:color w:val="000000"/>
                <w:sz w:val="14"/>
                <w:szCs w:val="14"/>
                <w:lang w:eastAsia="tr-TR"/>
              </w:rPr>
            </w:pPr>
            <w:r w:rsidRPr="00005453">
              <w:rPr>
                <w:color w:val="000000"/>
                <w:sz w:val="14"/>
                <w:szCs w:val="14"/>
              </w:rPr>
              <w:t>-</w:t>
            </w:r>
          </w:p>
        </w:tc>
        <w:tc>
          <w:tcPr>
            <w:tcW w:w="992" w:type="dxa"/>
            <w:tcBorders>
              <w:top w:val="nil"/>
              <w:left w:val="nil"/>
              <w:bottom w:val="nil"/>
              <w:right w:val="nil"/>
            </w:tcBorders>
            <w:shd w:val="clear" w:color="auto" w:fill="auto"/>
            <w:vAlign w:val="center"/>
            <w:hideMark/>
          </w:tcPr>
          <w:p w14:paraId="5A07CA1A" w14:textId="4AB38E81" w:rsidR="00D62187" w:rsidRPr="00005453" w:rsidRDefault="00D62187" w:rsidP="00D62187">
            <w:pPr>
              <w:jc w:val="right"/>
              <w:rPr>
                <w:color w:val="000000"/>
                <w:sz w:val="14"/>
                <w:szCs w:val="14"/>
                <w:lang w:eastAsia="tr-TR"/>
              </w:rPr>
            </w:pPr>
            <w:r w:rsidRPr="00005453">
              <w:rPr>
                <w:color w:val="000000"/>
                <w:sz w:val="14"/>
                <w:szCs w:val="14"/>
              </w:rPr>
              <w:t>-</w:t>
            </w:r>
          </w:p>
        </w:tc>
        <w:tc>
          <w:tcPr>
            <w:tcW w:w="1134" w:type="dxa"/>
            <w:tcBorders>
              <w:top w:val="nil"/>
              <w:left w:val="nil"/>
              <w:bottom w:val="nil"/>
              <w:right w:val="nil"/>
            </w:tcBorders>
            <w:shd w:val="clear" w:color="auto" w:fill="auto"/>
            <w:vAlign w:val="center"/>
            <w:hideMark/>
          </w:tcPr>
          <w:p w14:paraId="77E12747" w14:textId="77777777" w:rsidR="00D62187" w:rsidRPr="00005453" w:rsidRDefault="00D62187" w:rsidP="00D62187">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13ACB4D9" w14:textId="1A5340A3" w:rsidR="00D62187" w:rsidRPr="00005453" w:rsidRDefault="00D62187" w:rsidP="00D62187">
            <w:pPr>
              <w:jc w:val="right"/>
              <w:rPr>
                <w:color w:val="000000"/>
                <w:sz w:val="14"/>
                <w:szCs w:val="14"/>
                <w:lang w:eastAsia="tr-TR"/>
              </w:rPr>
            </w:pPr>
            <w:r w:rsidRPr="00005453">
              <w:rPr>
                <w:color w:val="000000"/>
                <w:sz w:val="14"/>
                <w:szCs w:val="14"/>
                <w:lang w:eastAsia="tr-TR"/>
              </w:rPr>
              <w:t>-</w:t>
            </w:r>
          </w:p>
        </w:tc>
      </w:tr>
      <w:tr w:rsidR="00F66143" w:rsidRPr="00005453" w14:paraId="6B2F9ED1" w14:textId="77777777" w:rsidTr="00F66143">
        <w:trPr>
          <w:divId w:val="18045659"/>
          <w:trHeight w:val="115"/>
        </w:trPr>
        <w:tc>
          <w:tcPr>
            <w:tcW w:w="1911" w:type="dxa"/>
            <w:tcBorders>
              <w:top w:val="single" w:sz="8" w:space="0" w:color="auto"/>
              <w:left w:val="nil"/>
              <w:bottom w:val="double" w:sz="6" w:space="0" w:color="auto"/>
              <w:right w:val="nil"/>
            </w:tcBorders>
            <w:shd w:val="clear" w:color="auto" w:fill="auto"/>
            <w:vAlign w:val="center"/>
            <w:hideMark/>
          </w:tcPr>
          <w:p w14:paraId="729DB9FC" w14:textId="77777777" w:rsidR="00F66143" w:rsidRPr="00005453" w:rsidRDefault="00F66143" w:rsidP="00F66143">
            <w:pPr>
              <w:rPr>
                <w:b/>
                <w:bCs/>
                <w:color w:val="000000"/>
                <w:sz w:val="14"/>
                <w:szCs w:val="14"/>
                <w:lang w:eastAsia="tr-TR"/>
              </w:rPr>
            </w:pPr>
            <w:r w:rsidRPr="00005453">
              <w:rPr>
                <w:b/>
                <w:bCs/>
                <w:color w:val="000000"/>
                <w:sz w:val="14"/>
                <w:szCs w:val="14"/>
                <w:lang w:eastAsia="tr-TR"/>
              </w:rPr>
              <w:t>Toplam</w:t>
            </w:r>
          </w:p>
        </w:tc>
        <w:tc>
          <w:tcPr>
            <w:tcW w:w="953" w:type="dxa"/>
            <w:tcBorders>
              <w:top w:val="single" w:sz="8" w:space="0" w:color="auto"/>
              <w:left w:val="nil"/>
              <w:bottom w:val="double" w:sz="6" w:space="0" w:color="auto"/>
              <w:right w:val="nil"/>
            </w:tcBorders>
            <w:shd w:val="clear" w:color="auto" w:fill="auto"/>
            <w:vAlign w:val="center"/>
            <w:hideMark/>
          </w:tcPr>
          <w:p w14:paraId="27F4FB99" w14:textId="03F7C5C2" w:rsidR="00F66143" w:rsidRPr="00005453" w:rsidRDefault="00F66143" w:rsidP="00F66143">
            <w:pPr>
              <w:jc w:val="right"/>
              <w:rPr>
                <w:b/>
                <w:sz w:val="14"/>
                <w:szCs w:val="14"/>
                <w:lang w:eastAsia="tr-TR"/>
              </w:rPr>
            </w:pPr>
            <w:r w:rsidRPr="00005453">
              <w:rPr>
                <w:b/>
                <w:sz w:val="14"/>
                <w:szCs w:val="18"/>
              </w:rPr>
              <w:t>42,563,440</w:t>
            </w:r>
          </w:p>
        </w:tc>
        <w:tc>
          <w:tcPr>
            <w:tcW w:w="964" w:type="dxa"/>
            <w:tcBorders>
              <w:top w:val="single" w:sz="8" w:space="0" w:color="auto"/>
              <w:left w:val="nil"/>
              <w:bottom w:val="double" w:sz="6" w:space="0" w:color="auto"/>
              <w:right w:val="nil"/>
            </w:tcBorders>
            <w:shd w:val="clear" w:color="auto" w:fill="auto"/>
            <w:vAlign w:val="center"/>
            <w:hideMark/>
          </w:tcPr>
          <w:p w14:paraId="7C64EA94" w14:textId="2EC240E7" w:rsidR="00F66143" w:rsidRPr="00005453" w:rsidRDefault="00F66143" w:rsidP="00F66143">
            <w:pPr>
              <w:jc w:val="right"/>
              <w:rPr>
                <w:b/>
                <w:sz w:val="14"/>
                <w:szCs w:val="14"/>
                <w:lang w:eastAsia="tr-TR"/>
              </w:rPr>
            </w:pPr>
            <w:r w:rsidRPr="00005453">
              <w:rPr>
                <w:b/>
                <w:sz w:val="14"/>
                <w:szCs w:val="18"/>
              </w:rPr>
              <w:t>5,957,783</w:t>
            </w:r>
          </w:p>
        </w:tc>
        <w:tc>
          <w:tcPr>
            <w:tcW w:w="850" w:type="dxa"/>
            <w:tcBorders>
              <w:top w:val="single" w:sz="8" w:space="0" w:color="auto"/>
              <w:left w:val="nil"/>
              <w:bottom w:val="double" w:sz="6" w:space="0" w:color="auto"/>
              <w:right w:val="nil"/>
            </w:tcBorders>
            <w:shd w:val="clear" w:color="auto" w:fill="auto"/>
            <w:vAlign w:val="center"/>
            <w:hideMark/>
          </w:tcPr>
          <w:p w14:paraId="46883357" w14:textId="672C9B44" w:rsidR="00F66143" w:rsidRPr="00005453" w:rsidRDefault="00F66143" w:rsidP="00F66143">
            <w:pPr>
              <w:jc w:val="right"/>
              <w:rPr>
                <w:b/>
                <w:sz w:val="14"/>
                <w:szCs w:val="14"/>
                <w:lang w:eastAsia="tr-TR"/>
              </w:rPr>
            </w:pPr>
            <w:r w:rsidRPr="00005453">
              <w:rPr>
                <w:b/>
                <w:sz w:val="14"/>
                <w:szCs w:val="18"/>
              </w:rPr>
              <w:t>9,612,687</w:t>
            </w:r>
          </w:p>
        </w:tc>
        <w:tc>
          <w:tcPr>
            <w:tcW w:w="992" w:type="dxa"/>
            <w:tcBorders>
              <w:top w:val="single" w:sz="8" w:space="0" w:color="auto"/>
              <w:left w:val="nil"/>
              <w:bottom w:val="double" w:sz="6" w:space="0" w:color="auto"/>
              <w:right w:val="nil"/>
            </w:tcBorders>
            <w:shd w:val="clear" w:color="auto" w:fill="auto"/>
            <w:vAlign w:val="center"/>
            <w:hideMark/>
          </w:tcPr>
          <w:p w14:paraId="722668F1" w14:textId="77D7C878" w:rsidR="00F66143" w:rsidRPr="00005453" w:rsidRDefault="00F66143" w:rsidP="00F66143">
            <w:pPr>
              <w:jc w:val="right"/>
              <w:rPr>
                <w:b/>
                <w:sz w:val="14"/>
                <w:szCs w:val="14"/>
                <w:lang w:eastAsia="tr-TR"/>
              </w:rPr>
            </w:pPr>
            <w:r w:rsidRPr="00005453">
              <w:rPr>
                <w:b/>
                <w:sz w:val="14"/>
                <w:szCs w:val="18"/>
              </w:rPr>
              <w:t>31,708,070</w:t>
            </w:r>
          </w:p>
        </w:tc>
        <w:tc>
          <w:tcPr>
            <w:tcW w:w="993" w:type="dxa"/>
            <w:tcBorders>
              <w:top w:val="single" w:sz="8" w:space="0" w:color="auto"/>
              <w:left w:val="nil"/>
              <w:bottom w:val="double" w:sz="6" w:space="0" w:color="auto"/>
              <w:right w:val="nil"/>
            </w:tcBorders>
            <w:shd w:val="clear" w:color="auto" w:fill="auto"/>
            <w:vAlign w:val="center"/>
            <w:hideMark/>
          </w:tcPr>
          <w:p w14:paraId="4694EBAC" w14:textId="2D1062E0" w:rsidR="00F66143" w:rsidRPr="00005453" w:rsidRDefault="00F66143" w:rsidP="00F66143">
            <w:pPr>
              <w:jc w:val="right"/>
              <w:rPr>
                <w:b/>
                <w:sz w:val="14"/>
                <w:szCs w:val="14"/>
                <w:lang w:eastAsia="tr-TR"/>
              </w:rPr>
            </w:pPr>
            <w:r w:rsidRPr="00005453">
              <w:rPr>
                <w:b/>
                <w:sz w:val="14"/>
                <w:szCs w:val="18"/>
              </w:rPr>
              <w:t>14,774,541</w:t>
            </w:r>
          </w:p>
        </w:tc>
        <w:tc>
          <w:tcPr>
            <w:tcW w:w="992" w:type="dxa"/>
            <w:tcBorders>
              <w:top w:val="single" w:sz="8" w:space="0" w:color="auto"/>
              <w:left w:val="nil"/>
              <w:bottom w:val="double" w:sz="6" w:space="0" w:color="auto"/>
              <w:right w:val="nil"/>
            </w:tcBorders>
            <w:shd w:val="clear" w:color="auto" w:fill="auto"/>
            <w:vAlign w:val="center"/>
            <w:hideMark/>
          </w:tcPr>
          <w:p w14:paraId="5A2204B8" w14:textId="7610CBE7" w:rsidR="00F66143" w:rsidRPr="00005453" w:rsidRDefault="00F66143" w:rsidP="00F66143">
            <w:pPr>
              <w:jc w:val="right"/>
              <w:rPr>
                <w:b/>
                <w:sz w:val="14"/>
                <w:szCs w:val="14"/>
                <w:lang w:eastAsia="tr-TR"/>
              </w:rPr>
            </w:pPr>
            <w:r w:rsidRPr="00005453">
              <w:rPr>
                <w:b/>
                <w:sz w:val="14"/>
                <w:szCs w:val="18"/>
              </w:rPr>
              <w:t>551,907</w:t>
            </w:r>
          </w:p>
        </w:tc>
        <w:tc>
          <w:tcPr>
            <w:tcW w:w="1134" w:type="dxa"/>
            <w:tcBorders>
              <w:top w:val="single" w:sz="8" w:space="0" w:color="auto"/>
              <w:left w:val="nil"/>
              <w:bottom w:val="double" w:sz="6" w:space="0" w:color="auto"/>
              <w:right w:val="nil"/>
            </w:tcBorders>
            <w:shd w:val="clear" w:color="auto" w:fill="auto"/>
            <w:vAlign w:val="center"/>
            <w:hideMark/>
          </w:tcPr>
          <w:p w14:paraId="661BDB83" w14:textId="550BFF8E" w:rsidR="00F66143" w:rsidRPr="00005453" w:rsidRDefault="00A7269C" w:rsidP="00F66143">
            <w:pPr>
              <w:jc w:val="right"/>
              <w:rPr>
                <w:b/>
                <w:sz w:val="14"/>
                <w:szCs w:val="14"/>
                <w:lang w:eastAsia="tr-TR"/>
              </w:rPr>
            </w:pPr>
            <w:r>
              <w:rPr>
                <w:b/>
                <w:sz w:val="14"/>
                <w:szCs w:val="14"/>
                <w:lang w:eastAsia="tr-TR"/>
              </w:rPr>
              <w:t>-</w:t>
            </w:r>
          </w:p>
        </w:tc>
        <w:tc>
          <w:tcPr>
            <w:tcW w:w="974" w:type="dxa"/>
            <w:tcBorders>
              <w:top w:val="single" w:sz="8" w:space="0" w:color="auto"/>
              <w:left w:val="nil"/>
              <w:bottom w:val="double" w:sz="6" w:space="0" w:color="auto"/>
              <w:right w:val="nil"/>
            </w:tcBorders>
            <w:shd w:val="clear" w:color="auto" w:fill="auto"/>
            <w:vAlign w:val="center"/>
            <w:hideMark/>
          </w:tcPr>
          <w:p w14:paraId="55C1142B" w14:textId="567C23B7" w:rsidR="00F66143" w:rsidRPr="00005453" w:rsidRDefault="00F66143" w:rsidP="00F66143">
            <w:pPr>
              <w:jc w:val="right"/>
              <w:rPr>
                <w:b/>
                <w:sz w:val="14"/>
                <w:szCs w:val="14"/>
                <w:lang w:eastAsia="tr-TR"/>
              </w:rPr>
            </w:pPr>
            <w:r w:rsidRPr="00005453">
              <w:rPr>
                <w:b/>
                <w:sz w:val="14"/>
                <w:szCs w:val="18"/>
              </w:rPr>
              <w:t>105,168,428</w:t>
            </w:r>
          </w:p>
        </w:tc>
      </w:tr>
      <w:tr w:rsidR="00AE053A" w:rsidRPr="00005453" w14:paraId="614471A3" w14:textId="77777777" w:rsidTr="000E5F12">
        <w:trPr>
          <w:divId w:val="18045659"/>
          <w:trHeight w:val="18"/>
        </w:trPr>
        <w:tc>
          <w:tcPr>
            <w:tcW w:w="1911" w:type="dxa"/>
            <w:tcBorders>
              <w:top w:val="nil"/>
              <w:left w:val="nil"/>
              <w:bottom w:val="nil"/>
              <w:right w:val="nil"/>
            </w:tcBorders>
            <w:shd w:val="clear" w:color="auto" w:fill="auto"/>
            <w:vAlign w:val="center"/>
            <w:hideMark/>
          </w:tcPr>
          <w:p w14:paraId="1CECB908" w14:textId="77777777" w:rsidR="00AE053A" w:rsidRPr="00005453" w:rsidRDefault="00AE053A" w:rsidP="00AE053A">
            <w:pPr>
              <w:jc w:val="right"/>
              <w:rPr>
                <w:b/>
                <w:bCs/>
                <w:color w:val="000000"/>
                <w:sz w:val="6"/>
                <w:szCs w:val="6"/>
                <w:lang w:eastAsia="tr-TR"/>
              </w:rPr>
            </w:pPr>
          </w:p>
        </w:tc>
        <w:tc>
          <w:tcPr>
            <w:tcW w:w="953" w:type="dxa"/>
            <w:tcBorders>
              <w:top w:val="nil"/>
              <w:left w:val="nil"/>
              <w:bottom w:val="nil"/>
              <w:right w:val="nil"/>
            </w:tcBorders>
            <w:shd w:val="clear" w:color="auto" w:fill="auto"/>
            <w:vAlign w:val="center"/>
            <w:hideMark/>
          </w:tcPr>
          <w:p w14:paraId="40831A2F" w14:textId="77777777" w:rsidR="00AE053A" w:rsidRPr="00005453" w:rsidRDefault="00AE053A" w:rsidP="00AE053A">
            <w:pPr>
              <w:jc w:val="right"/>
              <w:rPr>
                <w:sz w:val="6"/>
                <w:szCs w:val="6"/>
                <w:lang w:eastAsia="tr-TR"/>
              </w:rPr>
            </w:pPr>
          </w:p>
        </w:tc>
        <w:tc>
          <w:tcPr>
            <w:tcW w:w="964" w:type="dxa"/>
            <w:tcBorders>
              <w:top w:val="nil"/>
              <w:left w:val="nil"/>
              <w:bottom w:val="nil"/>
              <w:right w:val="nil"/>
            </w:tcBorders>
            <w:shd w:val="clear" w:color="auto" w:fill="auto"/>
            <w:vAlign w:val="center"/>
            <w:hideMark/>
          </w:tcPr>
          <w:p w14:paraId="00905259"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vAlign w:val="center"/>
            <w:hideMark/>
          </w:tcPr>
          <w:p w14:paraId="3BB3C892"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7B225145" w14:textId="77777777" w:rsidR="00AE053A" w:rsidRPr="00005453" w:rsidRDefault="00AE053A" w:rsidP="00AE053A">
            <w:pPr>
              <w:jc w:val="right"/>
              <w:rPr>
                <w:sz w:val="6"/>
                <w:szCs w:val="6"/>
                <w:lang w:eastAsia="tr-TR"/>
              </w:rPr>
            </w:pPr>
          </w:p>
        </w:tc>
        <w:tc>
          <w:tcPr>
            <w:tcW w:w="993" w:type="dxa"/>
            <w:tcBorders>
              <w:top w:val="nil"/>
              <w:left w:val="nil"/>
              <w:bottom w:val="nil"/>
              <w:right w:val="nil"/>
            </w:tcBorders>
            <w:shd w:val="clear" w:color="auto" w:fill="auto"/>
            <w:vAlign w:val="center"/>
            <w:hideMark/>
          </w:tcPr>
          <w:p w14:paraId="6E94AD43"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58C7E471" w14:textId="77777777" w:rsidR="00AE053A" w:rsidRPr="00005453" w:rsidRDefault="00AE053A" w:rsidP="00AE053A">
            <w:pPr>
              <w:jc w:val="right"/>
              <w:rPr>
                <w:color w:val="000000"/>
                <w:sz w:val="6"/>
                <w:szCs w:val="6"/>
                <w:lang w:eastAsia="tr-TR"/>
              </w:rPr>
            </w:pPr>
            <w:r w:rsidRPr="00005453">
              <w:rPr>
                <w:color w:val="000000"/>
                <w:sz w:val="6"/>
                <w:szCs w:val="6"/>
                <w:lang w:eastAsia="tr-TR"/>
              </w:rPr>
              <w:t> </w:t>
            </w:r>
          </w:p>
        </w:tc>
        <w:tc>
          <w:tcPr>
            <w:tcW w:w="1134" w:type="dxa"/>
            <w:tcBorders>
              <w:top w:val="nil"/>
              <w:left w:val="nil"/>
              <w:bottom w:val="nil"/>
              <w:right w:val="nil"/>
            </w:tcBorders>
            <w:shd w:val="clear" w:color="auto" w:fill="auto"/>
            <w:vAlign w:val="center"/>
            <w:hideMark/>
          </w:tcPr>
          <w:p w14:paraId="07939BB2" w14:textId="77777777" w:rsidR="00AE053A" w:rsidRPr="00005453" w:rsidRDefault="00AE053A" w:rsidP="00AE053A">
            <w:pPr>
              <w:jc w:val="right"/>
              <w:rPr>
                <w:color w:val="000000"/>
                <w:sz w:val="6"/>
                <w:szCs w:val="6"/>
                <w:lang w:eastAsia="tr-TR"/>
              </w:rPr>
            </w:pPr>
            <w:r w:rsidRPr="00005453">
              <w:rPr>
                <w:color w:val="000000"/>
                <w:sz w:val="6"/>
                <w:szCs w:val="6"/>
                <w:lang w:eastAsia="tr-TR"/>
              </w:rPr>
              <w:t> </w:t>
            </w:r>
          </w:p>
        </w:tc>
        <w:tc>
          <w:tcPr>
            <w:tcW w:w="974" w:type="dxa"/>
            <w:tcBorders>
              <w:top w:val="nil"/>
              <w:left w:val="nil"/>
              <w:bottom w:val="nil"/>
              <w:right w:val="nil"/>
            </w:tcBorders>
            <w:shd w:val="clear" w:color="auto" w:fill="auto"/>
            <w:vAlign w:val="center"/>
            <w:hideMark/>
          </w:tcPr>
          <w:p w14:paraId="44C8AA92" w14:textId="77777777" w:rsidR="00AE053A" w:rsidRPr="00005453" w:rsidRDefault="00AE053A" w:rsidP="00AE053A">
            <w:pPr>
              <w:jc w:val="right"/>
              <w:rPr>
                <w:color w:val="000000"/>
                <w:sz w:val="6"/>
                <w:szCs w:val="6"/>
                <w:lang w:eastAsia="tr-TR"/>
              </w:rPr>
            </w:pPr>
            <w:r w:rsidRPr="00005453">
              <w:rPr>
                <w:color w:val="000000"/>
                <w:sz w:val="6"/>
                <w:szCs w:val="6"/>
                <w:lang w:eastAsia="tr-TR"/>
              </w:rPr>
              <w:t> </w:t>
            </w:r>
          </w:p>
        </w:tc>
      </w:tr>
      <w:tr w:rsidR="00AE053A" w:rsidRPr="00005453" w14:paraId="48C8CF12" w14:textId="77777777" w:rsidTr="000E5F12">
        <w:trPr>
          <w:divId w:val="18045659"/>
          <w:trHeight w:val="271"/>
        </w:trPr>
        <w:tc>
          <w:tcPr>
            <w:tcW w:w="1911" w:type="dxa"/>
            <w:tcBorders>
              <w:top w:val="nil"/>
              <w:left w:val="nil"/>
              <w:bottom w:val="nil"/>
              <w:right w:val="nil"/>
            </w:tcBorders>
            <w:shd w:val="clear" w:color="auto" w:fill="auto"/>
            <w:vAlign w:val="center"/>
            <w:hideMark/>
          </w:tcPr>
          <w:p w14:paraId="19C868D0" w14:textId="2E2390A5" w:rsidR="00AE053A" w:rsidRPr="00005453" w:rsidRDefault="00AE053A" w:rsidP="00AE053A">
            <w:pPr>
              <w:rPr>
                <w:b/>
                <w:bCs/>
                <w:color w:val="000000"/>
                <w:sz w:val="14"/>
                <w:szCs w:val="14"/>
                <w:lang w:eastAsia="tr-TR"/>
              </w:rPr>
            </w:pPr>
            <w:r w:rsidRPr="00005453">
              <w:rPr>
                <w:b/>
                <w:bCs/>
                <w:color w:val="000000"/>
                <w:sz w:val="14"/>
                <w:szCs w:val="14"/>
                <w:lang w:eastAsia="tr-TR"/>
              </w:rPr>
              <w:t>31 Aralık 202</w:t>
            </w:r>
            <w:r w:rsidR="0068789F" w:rsidRPr="00005453">
              <w:rPr>
                <w:b/>
                <w:bCs/>
                <w:color w:val="000000"/>
                <w:sz w:val="14"/>
                <w:szCs w:val="14"/>
                <w:lang w:eastAsia="tr-TR"/>
              </w:rPr>
              <w:t>3</w:t>
            </w:r>
          </w:p>
        </w:tc>
        <w:tc>
          <w:tcPr>
            <w:tcW w:w="953" w:type="dxa"/>
            <w:tcBorders>
              <w:top w:val="nil"/>
              <w:left w:val="nil"/>
              <w:bottom w:val="nil"/>
              <w:right w:val="nil"/>
            </w:tcBorders>
            <w:shd w:val="clear" w:color="auto" w:fill="auto"/>
            <w:vAlign w:val="center"/>
            <w:hideMark/>
          </w:tcPr>
          <w:p w14:paraId="3869AAEF" w14:textId="77777777" w:rsidR="00AE053A" w:rsidRPr="00005453" w:rsidRDefault="00AE053A" w:rsidP="00AE053A">
            <w:pPr>
              <w:jc w:val="right"/>
              <w:rPr>
                <w:b/>
                <w:bCs/>
                <w:color w:val="000000"/>
                <w:sz w:val="14"/>
                <w:szCs w:val="14"/>
                <w:lang w:eastAsia="tr-TR"/>
              </w:rPr>
            </w:pPr>
          </w:p>
        </w:tc>
        <w:tc>
          <w:tcPr>
            <w:tcW w:w="964" w:type="dxa"/>
            <w:tcBorders>
              <w:top w:val="nil"/>
              <w:left w:val="nil"/>
              <w:bottom w:val="nil"/>
              <w:right w:val="nil"/>
            </w:tcBorders>
            <w:shd w:val="clear" w:color="auto" w:fill="auto"/>
            <w:vAlign w:val="center"/>
            <w:hideMark/>
          </w:tcPr>
          <w:p w14:paraId="48CF7594" w14:textId="77777777" w:rsidR="00AE053A" w:rsidRPr="00005453" w:rsidRDefault="00AE053A" w:rsidP="00AE053A">
            <w:pPr>
              <w:jc w:val="right"/>
              <w:rPr>
                <w:sz w:val="14"/>
                <w:szCs w:val="14"/>
                <w:lang w:eastAsia="tr-TR"/>
              </w:rPr>
            </w:pPr>
          </w:p>
        </w:tc>
        <w:tc>
          <w:tcPr>
            <w:tcW w:w="850" w:type="dxa"/>
            <w:tcBorders>
              <w:top w:val="nil"/>
              <w:left w:val="nil"/>
              <w:bottom w:val="nil"/>
              <w:right w:val="nil"/>
            </w:tcBorders>
            <w:shd w:val="clear" w:color="auto" w:fill="auto"/>
            <w:vAlign w:val="center"/>
            <w:hideMark/>
          </w:tcPr>
          <w:p w14:paraId="59DE980A" w14:textId="77777777" w:rsidR="00AE053A" w:rsidRPr="00005453" w:rsidRDefault="00AE053A" w:rsidP="00AE053A">
            <w:pPr>
              <w:jc w:val="right"/>
              <w:rPr>
                <w:sz w:val="14"/>
                <w:szCs w:val="14"/>
                <w:lang w:eastAsia="tr-TR"/>
              </w:rPr>
            </w:pPr>
          </w:p>
        </w:tc>
        <w:tc>
          <w:tcPr>
            <w:tcW w:w="992" w:type="dxa"/>
            <w:tcBorders>
              <w:top w:val="nil"/>
              <w:left w:val="nil"/>
              <w:bottom w:val="nil"/>
              <w:right w:val="nil"/>
            </w:tcBorders>
            <w:shd w:val="clear" w:color="auto" w:fill="auto"/>
            <w:vAlign w:val="center"/>
            <w:hideMark/>
          </w:tcPr>
          <w:p w14:paraId="4B7B9957" w14:textId="77777777" w:rsidR="00AE053A" w:rsidRPr="00005453" w:rsidRDefault="00AE053A" w:rsidP="00AE053A">
            <w:pPr>
              <w:jc w:val="right"/>
              <w:rPr>
                <w:sz w:val="14"/>
                <w:szCs w:val="14"/>
                <w:lang w:eastAsia="tr-TR"/>
              </w:rPr>
            </w:pPr>
          </w:p>
        </w:tc>
        <w:tc>
          <w:tcPr>
            <w:tcW w:w="993" w:type="dxa"/>
            <w:tcBorders>
              <w:top w:val="nil"/>
              <w:left w:val="nil"/>
              <w:bottom w:val="nil"/>
              <w:right w:val="nil"/>
            </w:tcBorders>
            <w:shd w:val="clear" w:color="auto" w:fill="auto"/>
            <w:vAlign w:val="center"/>
            <w:hideMark/>
          </w:tcPr>
          <w:p w14:paraId="5FB6730C" w14:textId="77777777" w:rsidR="00AE053A" w:rsidRPr="00005453" w:rsidRDefault="00AE053A" w:rsidP="00AE053A">
            <w:pPr>
              <w:jc w:val="right"/>
              <w:rPr>
                <w:sz w:val="14"/>
                <w:szCs w:val="14"/>
                <w:lang w:eastAsia="tr-TR"/>
              </w:rPr>
            </w:pPr>
          </w:p>
        </w:tc>
        <w:tc>
          <w:tcPr>
            <w:tcW w:w="992" w:type="dxa"/>
            <w:tcBorders>
              <w:top w:val="nil"/>
              <w:left w:val="nil"/>
              <w:bottom w:val="nil"/>
              <w:right w:val="nil"/>
            </w:tcBorders>
            <w:shd w:val="clear" w:color="auto" w:fill="auto"/>
            <w:vAlign w:val="center"/>
            <w:hideMark/>
          </w:tcPr>
          <w:p w14:paraId="75688865" w14:textId="77777777" w:rsidR="00AE053A" w:rsidRPr="00005453" w:rsidRDefault="00AE053A" w:rsidP="00AE053A">
            <w:pPr>
              <w:jc w:val="right"/>
              <w:rPr>
                <w:sz w:val="14"/>
                <w:szCs w:val="14"/>
                <w:lang w:eastAsia="tr-TR"/>
              </w:rPr>
            </w:pPr>
          </w:p>
        </w:tc>
        <w:tc>
          <w:tcPr>
            <w:tcW w:w="1134" w:type="dxa"/>
            <w:tcBorders>
              <w:top w:val="nil"/>
              <w:left w:val="nil"/>
              <w:bottom w:val="nil"/>
              <w:right w:val="nil"/>
            </w:tcBorders>
            <w:shd w:val="clear" w:color="auto" w:fill="auto"/>
            <w:vAlign w:val="center"/>
            <w:hideMark/>
          </w:tcPr>
          <w:p w14:paraId="46458041" w14:textId="77777777" w:rsidR="00AE053A" w:rsidRPr="00005453" w:rsidRDefault="00AE053A" w:rsidP="00AE053A">
            <w:pPr>
              <w:jc w:val="right"/>
              <w:rPr>
                <w:sz w:val="14"/>
                <w:szCs w:val="14"/>
                <w:lang w:eastAsia="tr-TR"/>
              </w:rPr>
            </w:pPr>
          </w:p>
        </w:tc>
        <w:tc>
          <w:tcPr>
            <w:tcW w:w="974" w:type="dxa"/>
            <w:tcBorders>
              <w:top w:val="nil"/>
              <w:left w:val="nil"/>
              <w:bottom w:val="nil"/>
              <w:right w:val="nil"/>
            </w:tcBorders>
            <w:shd w:val="clear" w:color="auto" w:fill="auto"/>
            <w:vAlign w:val="center"/>
            <w:hideMark/>
          </w:tcPr>
          <w:p w14:paraId="7356174D" w14:textId="77777777" w:rsidR="00AE053A" w:rsidRPr="00005453" w:rsidRDefault="00AE053A" w:rsidP="00AE053A">
            <w:pPr>
              <w:jc w:val="right"/>
              <w:rPr>
                <w:sz w:val="14"/>
                <w:szCs w:val="14"/>
                <w:lang w:eastAsia="tr-TR"/>
              </w:rPr>
            </w:pPr>
          </w:p>
        </w:tc>
      </w:tr>
      <w:tr w:rsidR="00AE053A" w:rsidRPr="00005453" w14:paraId="7A1F707B" w14:textId="77777777" w:rsidTr="000E5F12">
        <w:trPr>
          <w:divId w:val="18045659"/>
          <w:trHeight w:val="54"/>
        </w:trPr>
        <w:tc>
          <w:tcPr>
            <w:tcW w:w="1911" w:type="dxa"/>
            <w:tcBorders>
              <w:top w:val="nil"/>
              <w:left w:val="nil"/>
              <w:bottom w:val="nil"/>
              <w:right w:val="nil"/>
            </w:tcBorders>
            <w:shd w:val="clear" w:color="auto" w:fill="auto"/>
            <w:vAlign w:val="center"/>
            <w:hideMark/>
          </w:tcPr>
          <w:p w14:paraId="5ABCC72B" w14:textId="77777777" w:rsidR="00AE053A" w:rsidRPr="00005453" w:rsidRDefault="00AE053A" w:rsidP="00AE053A">
            <w:pPr>
              <w:rPr>
                <w:sz w:val="6"/>
                <w:szCs w:val="6"/>
                <w:lang w:eastAsia="tr-TR"/>
              </w:rPr>
            </w:pPr>
          </w:p>
        </w:tc>
        <w:tc>
          <w:tcPr>
            <w:tcW w:w="953" w:type="dxa"/>
            <w:tcBorders>
              <w:top w:val="nil"/>
              <w:left w:val="nil"/>
              <w:bottom w:val="nil"/>
              <w:right w:val="nil"/>
            </w:tcBorders>
            <w:shd w:val="clear" w:color="auto" w:fill="auto"/>
            <w:vAlign w:val="center"/>
            <w:hideMark/>
          </w:tcPr>
          <w:p w14:paraId="1731B077" w14:textId="77777777" w:rsidR="00AE053A" w:rsidRPr="00005453" w:rsidRDefault="00AE053A" w:rsidP="00AE053A">
            <w:pPr>
              <w:jc w:val="right"/>
              <w:rPr>
                <w:sz w:val="6"/>
                <w:szCs w:val="6"/>
                <w:lang w:eastAsia="tr-TR"/>
              </w:rPr>
            </w:pPr>
          </w:p>
        </w:tc>
        <w:tc>
          <w:tcPr>
            <w:tcW w:w="964" w:type="dxa"/>
            <w:tcBorders>
              <w:top w:val="nil"/>
              <w:left w:val="nil"/>
              <w:bottom w:val="nil"/>
              <w:right w:val="nil"/>
            </w:tcBorders>
            <w:shd w:val="clear" w:color="auto" w:fill="auto"/>
            <w:vAlign w:val="center"/>
            <w:hideMark/>
          </w:tcPr>
          <w:p w14:paraId="684B71A9" w14:textId="77777777" w:rsidR="00AE053A" w:rsidRPr="00005453" w:rsidRDefault="00AE053A" w:rsidP="00AE053A">
            <w:pPr>
              <w:jc w:val="right"/>
              <w:rPr>
                <w:sz w:val="6"/>
                <w:szCs w:val="6"/>
                <w:lang w:eastAsia="tr-TR"/>
              </w:rPr>
            </w:pPr>
          </w:p>
        </w:tc>
        <w:tc>
          <w:tcPr>
            <w:tcW w:w="850" w:type="dxa"/>
            <w:tcBorders>
              <w:top w:val="nil"/>
              <w:left w:val="nil"/>
              <w:bottom w:val="nil"/>
              <w:right w:val="nil"/>
            </w:tcBorders>
            <w:shd w:val="clear" w:color="auto" w:fill="auto"/>
            <w:vAlign w:val="center"/>
            <w:hideMark/>
          </w:tcPr>
          <w:p w14:paraId="31545595"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0B641245" w14:textId="77777777" w:rsidR="00AE053A" w:rsidRPr="00005453" w:rsidRDefault="00AE053A" w:rsidP="00AE053A">
            <w:pPr>
              <w:jc w:val="right"/>
              <w:rPr>
                <w:sz w:val="6"/>
                <w:szCs w:val="6"/>
                <w:lang w:eastAsia="tr-TR"/>
              </w:rPr>
            </w:pPr>
          </w:p>
        </w:tc>
        <w:tc>
          <w:tcPr>
            <w:tcW w:w="993" w:type="dxa"/>
            <w:tcBorders>
              <w:top w:val="nil"/>
              <w:left w:val="nil"/>
              <w:bottom w:val="nil"/>
              <w:right w:val="nil"/>
            </w:tcBorders>
            <w:shd w:val="clear" w:color="auto" w:fill="auto"/>
            <w:vAlign w:val="center"/>
            <w:hideMark/>
          </w:tcPr>
          <w:p w14:paraId="191D8C14" w14:textId="77777777" w:rsidR="00AE053A" w:rsidRPr="00005453" w:rsidRDefault="00AE053A" w:rsidP="00AE053A">
            <w:pPr>
              <w:jc w:val="right"/>
              <w:rPr>
                <w:sz w:val="6"/>
                <w:szCs w:val="6"/>
                <w:lang w:eastAsia="tr-TR"/>
              </w:rPr>
            </w:pPr>
          </w:p>
        </w:tc>
        <w:tc>
          <w:tcPr>
            <w:tcW w:w="992" w:type="dxa"/>
            <w:tcBorders>
              <w:top w:val="nil"/>
              <w:left w:val="nil"/>
              <w:bottom w:val="nil"/>
              <w:right w:val="nil"/>
            </w:tcBorders>
            <w:shd w:val="clear" w:color="auto" w:fill="auto"/>
            <w:vAlign w:val="center"/>
            <w:hideMark/>
          </w:tcPr>
          <w:p w14:paraId="1D9398C9" w14:textId="77777777" w:rsidR="00AE053A" w:rsidRPr="00005453" w:rsidRDefault="00AE053A" w:rsidP="00AE053A">
            <w:pPr>
              <w:jc w:val="right"/>
              <w:rPr>
                <w:sz w:val="6"/>
                <w:szCs w:val="6"/>
                <w:lang w:eastAsia="tr-TR"/>
              </w:rPr>
            </w:pPr>
          </w:p>
        </w:tc>
        <w:tc>
          <w:tcPr>
            <w:tcW w:w="1134" w:type="dxa"/>
            <w:tcBorders>
              <w:top w:val="nil"/>
              <w:left w:val="nil"/>
              <w:bottom w:val="nil"/>
              <w:right w:val="nil"/>
            </w:tcBorders>
            <w:shd w:val="clear" w:color="auto" w:fill="auto"/>
            <w:vAlign w:val="center"/>
            <w:hideMark/>
          </w:tcPr>
          <w:p w14:paraId="42590F5E" w14:textId="77777777" w:rsidR="00AE053A" w:rsidRPr="00005453" w:rsidRDefault="00AE053A" w:rsidP="00AE053A">
            <w:pPr>
              <w:jc w:val="right"/>
              <w:rPr>
                <w:sz w:val="6"/>
                <w:szCs w:val="6"/>
                <w:lang w:eastAsia="tr-TR"/>
              </w:rPr>
            </w:pPr>
          </w:p>
        </w:tc>
        <w:tc>
          <w:tcPr>
            <w:tcW w:w="974" w:type="dxa"/>
            <w:tcBorders>
              <w:top w:val="nil"/>
              <w:left w:val="nil"/>
              <w:bottom w:val="nil"/>
              <w:right w:val="nil"/>
            </w:tcBorders>
            <w:shd w:val="clear" w:color="auto" w:fill="auto"/>
            <w:vAlign w:val="center"/>
            <w:hideMark/>
          </w:tcPr>
          <w:p w14:paraId="6DAF5366" w14:textId="77777777" w:rsidR="00AE053A" w:rsidRPr="00005453" w:rsidRDefault="00AE053A" w:rsidP="00AE053A">
            <w:pPr>
              <w:jc w:val="right"/>
              <w:rPr>
                <w:sz w:val="6"/>
                <w:szCs w:val="6"/>
                <w:lang w:eastAsia="tr-TR"/>
              </w:rPr>
            </w:pPr>
          </w:p>
        </w:tc>
      </w:tr>
      <w:tr w:rsidR="0068789F" w:rsidRPr="00005453" w14:paraId="7941D5E0" w14:textId="77777777" w:rsidTr="0068789F">
        <w:trPr>
          <w:divId w:val="18045659"/>
          <w:trHeight w:val="198"/>
        </w:trPr>
        <w:tc>
          <w:tcPr>
            <w:tcW w:w="1911" w:type="dxa"/>
            <w:tcBorders>
              <w:top w:val="nil"/>
              <w:left w:val="nil"/>
              <w:bottom w:val="nil"/>
              <w:right w:val="nil"/>
            </w:tcBorders>
            <w:shd w:val="clear" w:color="auto" w:fill="auto"/>
            <w:noWrap/>
            <w:vAlign w:val="center"/>
            <w:hideMark/>
          </w:tcPr>
          <w:p w14:paraId="232B056A" w14:textId="77777777" w:rsidR="0068789F" w:rsidRPr="00005453" w:rsidRDefault="0068789F" w:rsidP="0068789F">
            <w:pPr>
              <w:rPr>
                <w:color w:val="000000"/>
                <w:sz w:val="14"/>
                <w:szCs w:val="14"/>
                <w:lang w:eastAsia="tr-TR"/>
              </w:rPr>
            </w:pPr>
            <w:r w:rsidRPr="00005453">
              <w:rPr>
                <w:color w:val="000000"/>
                <w:sz w:val="14"/>
                <w:szCs w:val="14"/>
                <w:lang w:eastAsia="tr-TR"/>
              </w:rPr>
              <w:t>Teminat mektupları</w:t>
            </w:r>
          </w:p>
        </w:tc>
        <w:tc>
          <w:tcPr>
            <w:tcW w:w="953" w:type="dxa"/>
            <w:tcBorders>
              <w:top w:val="nil"/>
              <w:left w:val="nil"/>
              <w:bottom w:val="nil"/>
              <w:right w:val="nil"/>
            </w:tcBorders>
            <w:shd w:val="clear" w:color="auto" w:fill="auto"/>
            <w:vAlign w:val="center"/>
            <w:hideMark/>
          </w:tcPr>
          <w:p w14:paraId="447B682F" w14:textId="33AFC9C8" w:rsidR="0068789F" w:rsidRPr="00005453" w:rsidRDefault="0068789F" w:rsidP="0068789F">
            <w:pPr>
              <w:jc w:val="right"/>
              <w:rPr>
                <w:color w:val="000000"/>
                <w:sz w:val="14"/>
                <w:szCs w:val="14"/>
                <w:lang w:eastAsia="tr-TR"/>
              </w:rPr>
            </w:pPr>
            <w:r w:rsidRPr="00005453">
              <w:rPr>
                <w:color w:val="000000"/>
                <w:sz w:val="14"/>
                <w:szCs w:val="14"/>
                <w:lang w:eastAsia="tr-TR"/>
              </w:rPr>
              <w:t>21,241,162</w:t>
            </w:r>
          </w:p>
        </w:tc>
        <w:tc>
          <w:tcPr>
            <w:tcW w:w="964" w:type="dxa"/>
            <w:tcBorders>
              <w:top w:val="nil"/>
              <w:left w:val="nil"/>
              <w:bottom w:val="nil"/>
              <w:right w:val="nil"/>
            </w:tcBorders>
            <w:shd w:val="clear" w:color="auto" w:fill="auto"/>
            <w:vAlign w:val="center"/>
            <w:hideMark/>
          </w:tcPr>
          <w:p w14:paraId="4D58A126" w14:textId="26780981" w:rsidR="0068789F" w:rsidRPr="00005453" w:rsidRDefault="0068789F" w:rsidP="0068789F">
            <w:pPr>
              <w:jc w:val="right"/>
              <w:rPr>
                <w:color w:val="000000"/>
                <w:sz w:val="14"/>
                <w:szCs w:val="14"/>
                <w:lang w:eastAsia="tr-TR"/>
              </w:rPr>
            </w:pPr>
            <w:r w:rsidRPr="00005453">
              <w:rPr>
                <w:color w:val="000000"/>
                <w:sz w:val="14"/>
                <w:szCs w:val="14"/>
                <w:lang w:eastAsia="tr-TR"/>
              </w:rPr>
              <w:t>1,154,690</w:t>
            </w:r>
          </w:p>
        </w:tc>
        <w:tc>
          <w:tcPr>
            <w:tcW w:w="850" w:type="dxa"/>
            <w:tcBorders>
              <w:top w:val="nil"/>
              <w:left w:val="nil"/>
              <w:bottom w:val="nil"/>
              <w:right w:val="nil"/>
            </w:tcBorders>
            <w:shd w:val="clear" w:color="auto" w:fill="auto"/>
            <w:vAlign w:val="center"/>
            <w:hideMark/>
          </w:tcPr>
          <w:p w14:paraId="5C2B12FB" w14:textId="41D94861" w:rsidR="0068789F" w:rsidRPr="00005453" w:rsidRDefault="0068789F" w:rsidP="0068789F">
            <w:pPr>
              <w:jc w:val="right"/>
              <w:rPr>
                <w:color w:val="000000"/>
                <w:sz w:val="14"/>
                <w:szCs w:val="14"/>
                <w:lang w:eastAsia="tr-TR"/>
              </w:rPr>
            </w:pPr>
            <w:r w:rsidRPr="00005453">
              <w:rPr>
                <w:color w:val="000000"/>
                <w:sz w:val="14"/>
                <w:szCs w:val="14"/>
                <w:lang w:eastAsia="tr-TR"/>
              </w:rPr>
              <w:t>3,974,554</w:t>
            </w:r>
          </w:p>
        </w:tc>
        <w:tc>
          <w:tcPr>
            <w:tcW w:w="992" w:type="dxa"/>
            <w:tcBorders>
              <w:top w:val="nil"/>
              <w:left w:val="nil"/>
              <w:bottom w:val="nil"/>
              <w:right w:val="nil"/>
            </w:tcBorders>
            <w:shd w:val="clear" w:color="auto" w:fill="auto"/>
            <w:vAlign w:val="center"/>
            <w:hideMark/>
          </w:tcPr>
          <w:p w14:paraId="7B8421C3" w14:textId="5B1188F4" w:rsidR="0068789F" w:rsidRPr="00005453" w:rsidRDefault="0068789F" w:rsidP="0068789F">
            <w:pPr>
              <w:jc w:val="right"/>
              <w:rPr>
                <w:color w:val="000000"/>
                <w:sz w:val="14"/>
                <w:szCs w:val="14"/>
                <w:lang w:eastAsia="tr-TR"/>
              </w:rPr>
            </w:pPr>
            <w:r w:rsidRPr="00005453">
              <w:rPr>
                <w:color w:val="000000"/>
                <w:sz w:val="14"/>
                <w:szCs w:val="14"/>
                <w:lang w:eastAsia="tr-TR"/>
              </w:rPr>
              <w:t>14,748,850</w:t>
            </w:r>
          </w:p>
        </w:tc>
        <w:tc>
          <w:tcPr>
            <w:tcW w:w="993" w:type="dxa"/>
            <w:tcBorders>
              <w:top w:val="nil"/>
              <w:left w:val="nil"/>
              <w:bottom w:val="nil"/>
              <w:right w:val="nil"/>
            </w:tcBorders>
            <w:shd w:val="clear" w:color="auto" w:fill="auto"/>
            <w:vAlign w:val="center"/>
            <w:hideMark/>
          </w:tcPr>
          <w:p w14:paraId="17103C57" w14:textId="3D0E7DF1" w:rsidR="0068789F" w:rsidRPr="00005453" w:rsidRDefault="0068789F" w:rsidP="0068789F">
            <w:pPr>
              <w:jc w:val="right"/>
              <w:rPr>
                <w:color w:val="000000"/>
                <w:sz w:val="14"/>
                <w:szCs w:val="14"/>
                <w:lang w:eastAsia="tr-TR"/>
              </w:rPr>
            </w:pPr>
            <w:r w:rsidRPr="00005453">
              <w:rPr>
                <w:color w:val="000000"/>
                <w:sz w:val="14"/>
                <w:szCs w:val="14"/>
                <w:lang w:eastAsia="tr-TR"/>
              </w:rPr>
              <w:t>8,001,014</w:t>
            </w:r>
          </w:p>
        </w:tc>
        <w:tc>
          <w:tcPr>
            <w:tcW w:w="992" w:type="dxa"/>
            <w:tcBorders>
              <w:top w:val="nil"/>
              <w:left w:val="nil"/>
              <w:bottom w:val="nil"/>
              <w:right w:val="nil"/>
            </w:tcBorders>
            <w:shd w:val="clear" w:color="auto" w:fill="auto"/>
            <w:vAlign w:val="center"/>
            <w:hideMark/>
          </w:tcPr>
          <w:p w14:paraId="64E78AE1" w14:textId="245B8378" w:rsidR="0068789F" w:rsidRPr="00005453" w:rsidRDefault="0068789F" w:rsidP="0068789F">
            <w:pPr>
              <w:jc w:val="right"/>
              <w:rPr>
                <w:color w:val="000000"/>
                <w:sz w:val="14"/>
                <w:szCs w:val="14"/>
                <w:lang w:eastAsia="tr-TR"/>
              </w:rPr>
            </w:pPr>
            <w:r w:rsidRPr="00005453">
              <w:rPr>
                <w:color w:val="000000"/>
                <w:sz w:val="14"/>
                <w:szCs w:val="14"/>
                <w:lang w:eastAsia="tr-TR"/>
              </w:rPr>
              <w:t>385,795</w:t>
            </w:r>
          </w:p>
        </w:tc>
        <w:tc>
          <w:tcPr>
            <w:tcW w:w="1134" w:type="dxa"/>
            <w:tcBorders>
              <w:top w:val="nil"/>
              <w:left w:val="nil"/>
              <w:bottom w:val="nil"/>
              <w:right w:val="nil"/>
            </w:tcBorders>
            <w:shd w:val="clear" w:color="auto" w:fill="auto"/>
            <w:vAlign w:val="center"/>
            <w:hideMark/>
          </w:tcPr>
          <w:p w14:paraId="21C7B933" w14:textId="60773BE4"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06189CBE" w14:textId="44013F1D" w:rsidR="0068789F" w:rsidRPr="00005453" w:rsidRDefault="0068789F" w:rsidP="0068789F">
            <w:pPr>
              <w:jc w:val="right"/>
              <w:rPr>
                <w:color w:val="000000"/>
                <w:sz w:val="14"/>
                <w:szCs w:val="14"/>
                <w:lang w:eastAsia="tr-TR"/>
              </w:rPr>
            </w:pPr>
            <w:r w:rsidRPr="00005453">
              <w:rPr>
                <w:color w:val="000000"/>
                <w:sz w:val="14"/>
                <w:szCs w:val="14"/>
                <w:lang w:eastAsia="tr-TR"/>
              </w:rPr>
              <w:t>49,506,065</w:t>
            </w:r>
          </w:p>
        </w:tc>
      </w:tr>
      <w:tr w:rsidR="0068789F" w:rsidRPr="00005453" w14:paraId="332ED636" w14:textId="77777777" w:rsidTr="0068789F">
        <w:trPr>
          <w:divId w:val="18045659"/>
          <w:trHeight w:val="80"/>
        </w:trPr>
        <w:tc>
          <w:tcPr>
            <w:tcW w:w="1911" w:type="dxa"/>
            <w:tcBorders>
              <w:top w:val="nil"/>
              <w:left w:val="nil"/>
              <w:bottom w:val="nil"/>
              <w:right w:val="nil"/>
            </w:tcBorders>
            <w:shd w:val="clear" w:color="auto" w:fill="auto"/>
            <w:noWrap/>
            <w:vAlign w:val="center"/>
            <w:hideMark/>
          </w:tcPr>
          <w:p w14:paraId="6DB6DCB2" w14:textId="77777777" w:rsidR="0068789F" w:rsidRPr="00005453" w:rsidRDefault="0068789F" w:rsidP="0068789F">
            <w:pPr>
              <w:rPr>
                <w:color w:val="000000"/>
                <w:sz w:val="14"/>
                <w:szCs w:val="14"/>
                <w:lang w:eastAsia="tr-TR"/>
              </w:rPr>
            </w:pPr>
            <w:r w:rsidRPr="00005453">
              <w:rPr>
                <w:color w:val="000000"/>
                <w:sz w:val="14"/>
                <w:szCs w:val="14"/>
                <w:lang w:eastAsia="tr-TR"/>
              </w:rPr>
              <w:t>Banka aval ve kabulleri</w:t>
            </w:r>
          </w:p>
        </w:tc>
        <w:tc>
          <w:tcPr>
            <w:tcW w:w="953" w:type="dxa"/>
            <w:tcBorders>
              <w:top w:val="nil"/>
              <w:left w:val="nil"/>
              <w:bottom w:val="nil"/>
              <w:right w:val="nil"/>
            </w:tcBorders>
            <w:shd w:val="clear" w:color="auto" w:fill="auto"/>
            <w:vAlign w:val="center"/>
            <w:hideMark/>
          </w:tcPr>
          <w:p w14:paraId="1B3D8F47" w14:textId="4FB6D060" w:rsidR="0068789F" w:rsidRPr="00005453" w:rsidRDefault="0068789F" w:rsidP="0068789F">
            <w:pPr>
              <w:jc w:val="right"/>
              <w:rPr>
                <w:color w:val="000000"/>
                <w:sz w:val="14"/>
                <w:szCs w:val="14"/>
                <w:lang w:eastAsia="tr-TR"/>
              </w:rPr>
            </w:pPr>
            <w:r w:rsidRPr="00005453">
              <w:rPr>
                <w:color w:val="000000"/>
                <w:sz w:val="14"/>
                <w:szCs w:val="14"/>
                <w:lang w:eastAsia="tr-TR"/>
              </w:rPr>
              <w:t>39,386</w:t>
            </w:r>
          </w:p>
        </w:tc>
        <w:tc>
          <w:tcPr>
            <w:tcW w:w="964" w:type="dxa"/>
            <w:tcBorders>
              <w:top w:val="nil"/>
              <w:left w:val="nil"/>
              <w:bottom w:val="nil"/>
              <w:right w:val="nil"/>
            </w:tcBorders>
            <w:shd w:val="clear" w:color="auto" w:fill="auto"/>
            <w:vAlign w:val="center"/>
            <w:hideMark/>
          </w:tcPr>
          <w:p w14:paraId="23AE5EF3" w14:textId="3B4DEE54" w:rsidR="0068789F" w:rsidRPr="00005453" w:rsidRDefault="0068789F" w:rsidP="0068789F">
            <w:pPr>
              <w:jc w:val="right"/>
              <w:rPr>
                <w:color w:val="000000"/>
                <w:sz w:val="14"/>
                <w:szCs w:val="14"/>
                <w:lang w:eastAsia="tr-TR"/>
              </w:rPr>
            </w:pPr>
            <w:r w:rsidRPr="00005453">
              <w:rPr>
                <w:color w:val="000000"/>
                <w:sz w:val="14"/>
                <w:szCs w:val="14"/>
                <w:lang w:eastAsia="tr-TR"/>
              </w:rPr>
              <w:t>73,470</w:t>
            </w:r>
          </w:p>
        </w:tc>
        <w:tc>
          <w:tcPr>
            <w:tcW w:w="850" w:type="dxa"/>
            <w:tcBorders>
              <w:top w:val="nil"/>
              <w:left w:val="nil"/>
              <w:bottom w:val="nil"/>
              <w:right w:val="nil"/>
            </w:tcBorders>
            <w:shd w:val="clear" w:color="auto" w:fill="auto"/>
            <w:vAlign w:val="center"/>
            <w:hideMark/>
          </w:tcPr>
          <w:p w14:paraId="737D670B" w14:textId="6368538A" w:rsidR="0068789F" w:rsidRPr="00005453" w:rsidRDefault="0068789F" w:rsidP="0068789F">
            <w:pPr>
              <w:jc w:val="right"/>
              <w:rPr>
                <w:color w:val="000000"/>
                <w:sz w:val="14"/>
                <w:szCs w:val="14"/>
                <w:lang w:eastAsia="tr-TR"/>
              </w:rPr>
            </w:pPr>
            <w:r w:rsidRPr="00005453">
              <w:rPr>
                <w:color w:val="000000"/>
                <w:sz w:val="14"/>
                <w:szCs w:val="14"/>
                <w:lang w:eastAsia="tr-TR"/>
              </w:rPr>
              <w:t>40,982</w:t>
            </w:r>
          </w:p>
        </w:tc>
        <w:tc>
          <w:tcPr>
            <w:tcW w:w="992" w:type="dxa"/>
            <w:tcBorders>
              <w:top w:val="nil"/>
              <w:left w:val="nil"/>
              <w:bottom w:val="nil"/>
              <w:right w:val="nil"/>
            </w:tcBorders>
            <w:shd w:val="clear" w:color="auto" w:fill="auto"/>
            <w:vAlign w:val="center"/>
            <w:hideMark/>
          </w:tcPr>
          <w:p w14:paraId="2CE6F7E0" w14:textId="75151904" w:rsidR="0068789F" w:rsidRPr="00005453" w:rsidRDefault="0068789F" w:rsidP="0068789F">
            <w:pPr>
              <w:jc w:val="right"/>
              <w:rPr>
                <w:color w:val="000000"/>
                <w:sz w:val="14"/>
                <w:szCs w:val="14"/>
                <w:lang w:eastAsia="tr-TR"/>
              </w:rPr>
            </w:pPr>
            <w:r w:rsidRPr="00005453">
              <w:rPr>
                <w:color w:val="000000"/>
                <w:sz w:val="14"/>
                <w:szCs w:val="14"/>
                <w:lang w:eastAsia="tr-TR"/>
              </w:rPr>
              <w:t>29,358</w:t>
            </w:r>
          </w:p>
        </w:tc>
        <w:tc>
          <w:tcPr>
            <w:tcW w:w="993" w:type="dxa"/>
            <w:tcBorders>
              <w:top w:val="nil"/>
              <w:left w:val="nil"/>
              <w:bottom w:val="nil"/>
              <w:right w:val="nil"/>
            </w:tcBorders>
            <w:shd w:val="clear" w:color="auto" w:fill="auto"/>
            <w:vAlign w:val="center"/>
            <w:hideMark/>
          </w:tcPr>
          <w:p w14:paraId="33C00EFD" w14:textId="1954117E"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92" w:type="dxa"/>
            <w:tcBorders>
              <w:top w:val="nil"/>
              <w:left w:val="nil"/>
              <w:bottom w:val="nil"/>
              <w:right w:val="nil"/>
            </w:tcBorders>
            <w:shd w:val="clear" w:color="auto" w:fill="auto"/>
            <w:vAlign w:val="center"/>
            <w:hideMark/>
          </w:tcPr>
          <w:p w14:paraId="6A0BC5BE" w14:textId="4855C1C2"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1134" w:type="dxa"/>
            <w:tcBorders>
              <w:top w:val="nil"/>
              <w:left w:val="nil"/>
              <w:bottom w:val="nil"/>
              <w:right w:val="nil"/>
            </w:tcBorders>
            <w:shd w:val="clear" w:color="auto" w:fill="auto"/>
            <w:vAlign w:val="center"/>
            <w:hideMark/>
          </w:tcPr>
          <w:p w14:paraId="60ADEEF3" w14:textId="4C4CD8AD"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0BB4D3D2" w14:textId="0452246B" w:rsidR="0068789F" w:rsidRPr="00005453" w:rsidRDefault="0068789F" w:rsidP="0068789F">
            <w:pPr>
              <w:jc w:val="right"/>
              <w:rPr>
                <w:color w:val="000000"/>
                <w:sz w:val="14"/>
                <w:szCs w:val="14"/>
                <w:lang w:eastAsia="tr-TR"/>
              </w:rPr>
            </w:pPr>
            <w:r w:rsidRPr="00005453">
              <w:rPr>
                <w:color w:val="000000"/>
                <w:sz w:val="14"/>
                <w:szCs w:val="14"/>
                <w:lang w:eastAsia="tr-TR"/>
              </w:rPr>
              <w:t>183,196</w:t>
            </w:r>
          </w:p>
        </w:tc>
      </w:tr>
      <w:tr w:rsidR="0068789F" w:rsidRPr="00005453" w14:paraId="0EAB47D2" w14:textId="77777777" w:rsidTr="0068789F">
        <w:trPr>
          <w:divId w:val="18045659"/>
          <w:trHeight w:val="80"/>
        </w:trPr>
        <w:tc>
          <w:tcPr>
            <w:tcW w:w="1911" w:type="dxa"/>
            <w:tcBorders>
              <w:top w:val="nil"/>
              <w:left w:val="nil"/>
              <w:bottom w:val="nil"/>
              <w:right w:val="nil"/>
            </w:tcBorders>
            <w:shd w:val="clear" w:color="auto" w:fill="auto"/>
            <w:noWrap/>
            <w:vAlign w:val="center"/>
            <w:hideMark/>
          </w:tcPr>
          <w:p w14:paraId="26DCB4EE" w14:textId="77777777" w:rsidR="0068789F" w:rsidRPr="00005453" w:rsidRDefault="0068789F" w:rsidP="0068789F">
            <w:pPr>
              <w:rPr>
                <w:color w:val="000000"/>
                <w:sz w:val="14"/>
                <w:szCs w:val="14"/>
                <w:lang w:eastAsia="tr-TR"/>
              </w:rPr>
            </w:pPr>
            <w:r w:rsidRPr="00005453">
              <w:rPr>
                <w:color w:val="000000"/>
                <w:sz w:val="14"/>
                <w:szCs w:val="14"/>
                <w:lang w:eastAsia="tr-TR"/>
              </w:rPr>
              <w:t>Akreditifler</w:t>
            </w:r>
          </w:p>
        </w:tc>
        <w:tc>
          <w:tcPr>
            <w:tcW w:w="953" w:type="dxa"/>
            <w:tcBorders>
              <w:top w:val="nil"/>
              <w:left w:val="nil"/>
              <w:bottom w:val="nil"/>
              <w:right w:val="nil"/>
            </w:tcBorders>
            <w:shd w:val="clear" w:color="auto" w:fill="auto"/>
            <w:vAlign w:val="center"/>
            <w:hideMark/>
          </w:tcPr>
          <w:p w14:paraId="7C15C3BB" w14:textId="1B59F0F7" w:rsidR="0068789F" w:rsidRPr="00005453" w:rsidRDefault="0068789F" w:rsidP="0068789F">
            <w:pPr>
              <w:jc w:val="right"/>
              <w:rPr>
                <w:color w:val="000000"/>
                <w:sz w:val="14"/>
                <w:szCs w:val="14"/>
                <w:lang w:eastAsia="tr-TR"/>
              </w:rPr>
            </w:pPr>
            <w:r w:rsidRPr="00005453">
              <w:rPr>
                <w:color w:val="000000"/>
                <w:sz w:val="14"/>
                <w:szCs w:val="14"/>
                <w:lang w:eastAsia="tr-TR"/>
              </w:rPr>
              <w:t>4,332,973</w:t>
            </w:r>
          </w:p>
        </w:tc>
        <w:tc>
          <w:tcPr>
            <w:tcW w:w="964" w:type="dxa"/>
            <w:tcBorders>
              <w:top w:val="nil"/>
              <w:left w:val="nil"/>
              <w:bottom w:val="nil"/>
              <w:right w:val="nil"/>
            </w:tcBorders>
            <w:shd w:val="clear" w:color="auto" w:fill="auto"/>
            <w:vAlign w:val="center"/>
            <w:hideMark/>
          </w:tcPr>
          <w:p w14:paraId="6A02E2C1" w14:textId="51405E34" w:rsidR="0068789F" w:rsidRPr="00005453" w:rsidRDefault="0068789F" w:rsidP="0068789F">
            <w:pPr>
              <w:jc w:val="right"/>
              <w:rPr>
                <w:color w:val="000000"/>
                <w:sz w:val="14"/>
                <w:szCs w:val="14"/>
                <w:lang w:eastAsia="tr-TR"/>
              </w:rPr>
            </w:pPr>
            <w:r w:rsidRPr="00005453">
              <w:rPr>
                <w:color w:val="000000"/>
                <w:sz w:val="14"/>
                <w:szCs w:val="14"/>
                <w:lang w:eastAsia="tr-TR"/>
              </w:rPr>
              <w:t>833,645</w:t>
            </w:r>
          </w:p>
        </w:tc>
        <w:tc>
          <w:tcPr>
            <w:tcW w:w="850" w:type="dxa"/>
            <w:tcBorders>
              <w:top w:val="nil"/>
              <w:left w:val="nil"/>
              <w:bottom w:val="nil"/>
              <w:right w:val="nil"/>
            </w:tcBorders>
            <w:shd w:val="clear" w:color="auto" w:fill="auto"/>
            <w:vAlign w:val="center"/>
            <w:hideMark/>
          </w:tcPr>
          <w:p w14:paraId="0BC1EFD7" w14:textId="76F2C274" w:rsidR="0068789F" w:rsidRPr="00005453" w:rsidRDefault="0068789F" w:rsidP="0068789F">
            <w:pPr>
              <w:jc w:val="right"/>
              <w:rPr>
                <w:color w:val="000000"/>
                <w:sz w:val="14"/>
                <w:szCs w:val="14"/>
                <w:lang w:eastAsia="tr-TR"/>
              </w:rPr>
            </w:pPr>
            <w:r w:rsidRPr="00005453">
              <w:rPr>
                <w:color w:val="000000"/>
                <w:sz w:val="14"/>
                <w:szCs w:val="14"/>
                <w:lang w:eastAsia="tr-TR"/>
              </w:rPr>
              <w:t>1,661,196</w:t>
            </w:r>
          </w:p>
        </w:tc>
        <w:tc>
          <w:tcPr>
            <w:tcW w:w="992" w:type="dxa"/>
            <w:tcBorders>
              <w:top w:val="nil"/>
              <w:left w:val="nil"/>
              <w:bottom w:val="nil"/>
              <w:right w:val="nil"/>
            </w:tcBorders>
            <w:shd w:val="clear" w:color="auto" w:fill="auto"/>
            <w:vAlign w:val="center"/>
            <w:hideMark/>
          </w:tcPr>
          <w:p w14:paraId="2A1AC9E6" w14:textId="52225D8C" w:rsidR="0068789F" w:rsidRPr="00005453" w:rsidRDefault="0068789F" w:rsidP="0068789F">
            <w:pPr>
              <w:jc w:val="right"/>
              <w:rPr>
                <w:color w:val="000000"/>
                <w:sz w:val="14"/>
                <w:szCs w:val="14"/>
                <w:lang w:eastAsia="tr-TR"/>
              </w:rPr>
            </w:pPr>
            <w:r w:rsidRPr="00005453">
              <w:rPr>
                <w:color w:val="000000"/>
                <w:sz w:val="14"/>
                <w:szCs w:val="14"/>
                <w:lang w:eastAsia="tr-TR"/>
              </w:rPr>
              <w:t>2,037,804</w:t>
            </w:r>
          </w:p>
        </w:tc>
        <w:tc>
          <w:tcPr>
            <w:tcW w:w="993" w:type="dxa"/>
            <w:tcBorders>
              <w:top w:val="nil"/>
              <w:left w:val="nil"/>
              <w:bottom w:val="nil"/>
              <w:right w:val="nil"/>
            </w:tcBorders>
            <w:shd w:val="clear" w:color="auto" w:fill="auto"/>
            <w:vAlign w:val="center"/>
            <w:hideMark/>
          </w:tcPr>
          <w:p w14:paraId="60C03845" w14:textId="3BB5C061" w:rsidR="0068789F" w:rsidRPr="00005453" w:rsidRDefault="0068789F" w:rsidP="0068789F">
            <w:pPr>
              <w:jc w:val="right"/>
              <w:rPr>
                <w:color w:val="000000"/>
                <w:sz w:val="14"/>
                <w:szCs w:val="14"/>
                <w:lang w:eastAsia="tr-TR"/>
              </w:rPr>
            </w:pPr>
            <w:r w:rsidRPr="00005453">
              <w:rPr>
                <w:color w:val="000000"/>
                <w:sz w:val="14"/>
                <w:szCs w:val="14"/>
                <w:lang w:eastAsia="tr-TR"/>
              </w:rPr>
              <w:t>20,709</w:t>
            </w:r>
          </w:p>
        </w:tc>
        <w:tc>
          <w:tcPr>
            <w:tcW w:w="992" w:type="dxa"/>
            <w:tcBorders>
              <w:top w:val="nil"/>
              <w:left w:val="nil"/>
              <w:bottom w:val="nil"/>
              <w:right w:val="nil"/>
            </w:tcBorders>
            <w:shd w:val="clear" w:color="auto" w:fill="auto"/>
            <w:vAlign w:val="center"/>
            <w:hideMark/>
          </w:tcPr>
          <w:p w14:paraId="493BA65A" w14:textId="54B86CFB"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1134" w:type="dxa"/>
            <w:tcBorders>
              <w:top w:val="nil"/>
              <w:left w:val="nil"/>
              <w:bottom w:val="nil"/>
              <w:right w:val="nil"/>
            </w:tcBorders>
            <w:shd w:val="clear" w:color="auto" w:fill="auto"/>
            <w:vAlign w:val="center"/>
            <w:hideMark/>
          </w:tcPr>
          <w:p w14:paraId="1069AB22" w14:textId="3B9B5315"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40D6E210" w14:textId="373CED2C" w:rsidR="0068789F" w:rsidRPr="00005453" w:rsidRDefault="0068789F" w:rsidP="0068789F">
            <w:pPr>
              <w:jc w:val="right"/>
              <w:rPr>
                <w:color w:val="000000"/>
                <w:sz w:val="14"/>
                <w:szCs w:val="14"/>
                <w:lang w:eastAsia="tr-TR"/>
              </w:rPr>
            </w:pPr>
            <w:r w:rsidRPr="00005453">
              <w:rPr>
                <w:color w:val="000000"/>
                <w:sz w:val="14"/>
                <w:szCs w:val="14"/>
                <w:lang w:eastAsia="tr-TR"/>
              </w:rPr>
              <w:t>8,886,327</w:t>
            </w:r>
          </w:p>
        </w:tc>
      </w:tr>
      <w:tr w:rsidR="0068789F" w:rsidRPr="00005453" w14:paraId="2799562F" w14:textId="77777777" w:rsidTr="0068789F">
        <w:trPr>
          <w:divId w:val="18045659"/>
          <w:trHeight w:val="120"/>
        </w:trPr>
        <w:tc>
          <w:tcPr>
            <w:tcW w:w="1911" w:type="dxa"/>
            <w:tcBorders>
              <w:top w:val="nil"/>
              <w:left w:val="nil"/>
              <w:bottom w:val="nil"/>
              <w:right w:val="nil"/>
            </w:tcBorders>
            <w:shd w:val="clear" w:color="auto" w:fill="auto"/>
            <w:noWrap/>
            <w:vAlign w:val="center"/>
            <w:hideMark/>
          </w:tcPr>
          <w:p w14:paraId="5BEF0C1E" w14:textId="77777777" w:rsidR="0068789F" w:rsidRPr="00005453" w:rsidRDefault="0068789F" w:rsidP="0068789F">
            <w:pPr>
              <w:rPr>
                <w:color w:val="000000"/>
                <w:sz w:val="14"/>
                <w:szCs w:val="14"/>
                <w:lang w:eastAsia="tr-TR"/>
              </w:rPr>
            </w:pPr>
            <w:r w:rsidRPr="00005453">
              <w:rPr>
                <w:color w:val="000000"/>
                <w:sz w:val="14"/>
                <w:szCs w:val="14"/>
                <w:lang w:eastAsia="tr-TR"/>
              </w:rPr>
              <w:t>Diğer garantiler</w:t>
            </w:r>
          </w:p>
        </w:tc>
        <w:tc>
          <w:tcPr>
            <w:tcW w:w="953" w:type="dxa"/>
            <w:tcBorders>
              <w:top w:val="nil"/>
              <w:left w:val="nil"/>
              <w:bottom w:val="nil"/>
              <w:right w:val="nil"/>
            </w:tcBorders>
            <w:shd w:val="clear" w:color="auto" w:fill="auto"/>
            <w:vAlign w:val="center"/>
            <w:hideMark/>
          </w:tcPr>
          <w:p w14:paraId="7CB0CA04" w14:textId="7CACE20B" w:rsidR="0068789F" w:rsidRPr="00005453" w:rsidRDefault="0068789F" w:rsidP="0068789F">
            <w:pPr>
              <w:jc w:val="right"/>
              <w:rPr>
                <w:color w:val="000000"/>
                <w:sz w:val="14"/>
                <w:szCs w:val="14"/>
                <w:lang w:eastAsia="tr-TR"/>
              </w:rPr>
            </w:pPr>
            <w:r w:rsidRPr="00005453">
              <w:rPr>
                <w:color w:val="000000"/>
                <w:sz w:val="14"/>
                <w:szCs w:val="14"/>
                <w:lang w:eastAsia="tr-TR"/>
              </w:rPr>
              <w:t>268,773</w:t>
            </w:r>
          </w:p>
        </w:tc>
        <w:tc>
          <w:tcPr>
            <w:tcW w:w="964" w:type="dxa"/>
            <w:tcBorders>
              <w:top w:val="nil"/>
              <w:left w:val="nil"/>
              <w:bottom w:val="nil"/>
              <w:right w:val="nil"/>
            </w:tcBorders>
            <w:shd w:val="clear" w:color="auto" w:fill="auto"/>
            <w:vAlign w:val="center"/>
            <w:hideMark/>
          </w:tcPr>
          <w:p w14:paraId="2542E39B" w14:textId="3E7D2EE7" w:rsidR="0068789F" w:rsidRPr="00005453" w:rsidRDefault="0068789F" w:rsidP="0068789F">
            <w:pPr>
              <w:jc w:val="right"/>
              <w:rPr>
                <w:color w:val="000000"/>
                <w:sz w:val="14"/>
                <w:szCs w:val="14"/>
                <w:lang w:eastAsia="tr-TR"/>
              </w:rPr>
            </w:pPr>
            <w:r w:rsidRPr="00005453">
              <w:rPr>
                <w:color w:val="000000"/>
                <w:sz w:val="14"/>
                <w:szCs w:val="14"/>
                <w:lang w:eastAsia="tr-TR"/>
              </w:rPr>
              <w:t>695,364</w:t>
            </w:r>
          </w:p>
        </w:tc>
        <w:tc>
          <w:tcPr>
            <w:tcW w:w="850" w:type="dxa"/>
            <w:tcBorders>
              <w:top w:val="nil"/>
              <w:left w:val="nil"/>
              <w:bottom w:val="nil"/>
              <w:right w:val="nil"/>
            </w:tcBorders>
            <w:shd w:val="clear" w:color="auto" w:fill="auto"/>
            <w:vAlign w:val="center"/>
            <w:hideMark/>
          </w:tcPr>
          <w:p w14:paraId="1222775F" w14:textId="5179FDDE" w:rsidR="0068789F" w:rsidRPr="00005453" w:rsidRDefault="0068789F" w:rsidP="0068789F">
            <w:pPr>
              <w:jc w:val="right"/>
              <w:rPr>
                <w:color w:val="000000"/>
                <w:sz w:val="14"/>
                <w:szCs w:val="14"/>
                <w:lang w:eastAsia="tr-TR"/>
              </w:rPr>
            </w:pPr>
            <w:r w:rsidRPr="00005453">
              <w:rPr>
                <w:color w:val="000000"/>
                <w:sz w:val="14"/>
                <w:szCs w:val="14"/>
                <w:lang w:eastAsia="tr-TR"/>
              </w:rPr>
              <w:t>1,180,269</w:t>
            </w:r>
          </w:p>
        </w:tc>
        <w:tc>
          <w:tcPr>
            <w:tcW w:w="992" w:type="dxa"/>
            <w:tcBorders>
              <w:top w:val="nil"/>
              <w:left w:val="nil"/>
              <w:bottom w:val="nil"/>
              <w:right w:val="nil"/>
            </w:tcBorders>
            <w:shd w:val="clear" w:color="auto" w:fill="auto"/>
            <w:vAlign w:val="center"/>
            <w:hideMark/>
          </w:tcPr>
          <w:p w14:paraId="4F4A249E" w14:textId="1FD96D17" w:rsidR="0068789F" w:rsidRPr="00005453" w:rsidRDefault="0068789F" w:rsidP="0068789F">
            <w:pPr>
              <w:jc w:val="right"/>
              <w:rPr>
                <w:color w:val="000000"/>
                <w:sz w:val="14"/>
                <w:szCs w:val="14"/>
                <w:lang w:eastAsia="tr-TR"/>
              </w:rPr>
            </w:pPr>
            <w:r w:rsidRPr="00005453">
              <w:rPr>
                <w:color w:val="000000"/>
                <w:sz w:val="14"/>
                <w:szCs w:val="14"/>
                <w:lang w:eastAsia="tr-TR"/>
              </w:rPr>
              <w:t>860,784</w:t>
            </w:r>
          </w:p>
        </w:tc>
        <w:tc>
          <w:tcPr>
            <w:tcW w:w="993" w:type="dxa"/>
            <w:tcBorders>
              <w:top w:val="nil"/>
              <w:left w:val="nil"/>
              <w:bottom w:val="nil"/>
              <w:right w:val="nil"/>
            </w:tcBorders>
            <w:shd w:val="clear" w:color="auto" w:fill="auto"/>
            <w:vAlign w:val="center"/>
            <w:hideMark/>
          </w:tcPr>
          <w:p w14:paraId="6A6BA893" w14:textId="34A5AA47" w:rsidR="0068789F" w:rsidRPr="00005453" w:rsidRDefault="0068789F" w:rsidP="0068789F">
            <w:pPr>
              <w:jc w:val="right"/>
              <w:rPr>
                <w:color w:val="000000"/>
                <w:sz w:val="14"/>
                <w:szCs w:val="14"/>
                <w:lang w:eastAsia="tr-TR"/>
              </w:rPr>
            </w:pPr>
            <w:r w:rsidRPr="00005453">
              <w:rPr>
                <w:color w:val="000000"/>
                <w:sz w:val="14"/>
                <w:szCs w:val="14"/>
                <w:lang w:eastAsia="tr-TR"/>
              </w:rPr>
              <w:t>5,887</w:t>
            </w:r>
          </w:p>
        </w:tc>
        <w:tc>
          <w:tcPr>
            <w:tcW w:w="992" w:type="dxa"/>
            <w:tcBorders>
              <w:top w:val="nil"/>
              <w:left w:val="nil"/>
              <w:bottom w:val="nil"/>
              <w:right w:val="nil"/>
            </w:tcBorders>
            <w:shd w:val="clear" w:color="auto" w:fill="auto"/>
            <w:vAlign w:val="center"/>
            <w:hideMark/>
          </w:tcPr>
          <w:p w14:paraId="3F2EEDD0" w14:textId="68D8C6A5" w:rsidR="0068789F" w:rsidRPr="00005453" w:rsidRDefault="0068789F" w:rsidP="0068789F">
            <w:pPr>
              <w:jc w:val="right"/>
              <w:rPr>
                <w:color w:val="000000"/>
                <w:sz w:val="14"/>
                <w:szCs w:val="14"/>
                <w:lang w:eastAsia="tr-TR"/>
              </w:rPr>
            </w:pPr>
            <w:r w:rsidRPr="00005453">
              <w:rPr>
                <w:color w:val="000000"/>
                <w:sz w:val="14"/>
                <w:szCs w:val="14"/>
                <w:lang w:eastAsia="tr-TR"/>
              </w:rPr>
              <w:t>234</w:t>
            </w:r>
          </w:p>
        </w:tc>
        <w:tc>
          <w:tcPr>
            <w:tcW w:w="1134" w:type="dxa"/>
            <w:tcBorders>
              <w:top w:val="nil"/>
              <w:left w:val="nil"/>
              <w:bottom w:val="nil"/>
              <w:right w:val="nil"/>
            </w:tcBorders>
            <w:shd w:val="clear" w:color="auto" w:fill="auto"/>
            <w:vAlign w:val="center"/>
            <w:hideMark/>
          </w:tcPr>
          <w:p w14:paraId="0666194F" w14:textId="23521854"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15E5AFE3" w14:textId="766D5C06" w:rsidR="0068789F" w:rsidRPr="00005453" w:rsidRDefault="0068789F" w:rsidP="0068789F">
            <w:pPr>
              <w:jc w:val="right"/>
              <w:rPr>
                <w:color w:val="000000"/>
                <w:sz w:val="14"/>
                <w:szCs w:val="14"/>
                <w:lang w:eastAsia="tr-TR"/>
              </w:rPr>
            </w:pPr>
            <w:r w:rsidRPr="00005453">
              <w:rPr>
                <w:color w:val="000000"/>
                <w:sz w:val="14"/>
                <w:szCs w:val="14"/>
                <w:lang w:eastAsia="tr-TR"/>
              </w:rPr>
              <w:t>3,011,311</w:t>
            </w:r>
          </w:p>
        </w:tc>
      </w:tr>
      <w:tr w:rsidR="0068789F" w:rsidRPr="00005453" w14:paraId="5AD6D17A" w14:textId="77777777" w:rsidTr="0068789F">
        <w:trPr>
          <w:divId w:val="18045659"/>
          <w:trHeight w:val="80"/>
        </w:trPr>
        <w:tc>
          <w:tcPr>
            <w:tcW w:w="1911" w:type="dxa"/>
            <w:tcBorders>
              <w:top w:val="nil"/>
              <w:left w:val="nil"/>
              <w:bottom w:val="nil"/>
              <w:right w:val="nil"/>
            </w:tcBorders>
            <w:shd w:val="clear" w:color="auto" w:fill="auto"/>
            <w:noWrap/>
            <w:vAlign w:val="center"/>
            <w:hideMark/>
          </w:tcPr>
          <w:p w14:paraId="408BFDD3" w14:textId="77777777" w:rsidR="0068789F" w:rsidRPr="00005453" w:rsidRDefault="0068789F" w:rsidP="0068789F">
            <w:pPr>
              <w:rPr>
                <w:color w:val="000000"/>
                <w:sz w:val="14"/>
                <w:szCs w:val="14"/>
                <w:lang w:eastAsia="tr-TR"/>
              </w:rPr>
            </w:pPr>
            <w:r w:rsidRPr="00005453">
              <w:rPr>
                <w:color w:val="000000"/>
                <w:sz w:val="14"/>
                <w:szCs w:val="14"/>
                <w:lang w:eastAsia="tr-TR"/>
              </w:rPr>
              <w:t xml:space="preserve">Garanti verilen </w:t>
            </w:r>
          </w:p>
        </w:tc>
        <w:tc>
          <w:tcPr>
            <w:tcW w:w="953" w:type="dxa"/>
            <w:tcBorders>
              <w:top w:val="nil"/>
              <w:left w:val="nil"/>
              <w:bottom w:val="nil"/>
              <w:right w:val="nil"/>
            </w:tcBorders>
            <w:shd w:val="clear" w:color="auto" w:fill="auto"/>
            <w:vAlign w:val="center"/>
            <w:hideMark/>
          </w:tcPr>
          <w:p w14:paraId="55955CB2" w14:textId="5BFE4C62" w:rsidR="0068789F" w:rsidRPr="00005453" w:rsidRDefault="0068789F" w:rsidP="0068789F">
            <w:pPr>
              <w:jc w:val="right"/>
              <w:rPr>
                <w:color w:val="000000"/>
                <w:sz w:val="14"/>
                <w:szCs w:val="14"/>
                <w:lang w:eastAsia="tr-TR"/>
              </w:rPr>
            </w:pPr>
            <w:r w:rsidRPr="00005453">
              <w:rPr>
                <w:color w:val="000000"/>
                <w:sz w:val="14"/>
                <w:szCs w:val="14"/>
              </w:rPr>
              <w:t>-</w:t>
            </w:r>
          </w:p>
        </w:tc>
        <w:tc>
          <w:tcPr>
            <w:tcW w:w="964" w:type="dxa"/>
            <w:tcBorders>
              <w:top w:val="nil"/>
              <w:left w:val="nil"/>
              <w:bottom w:val="nil"/>
              <w:right w:val="nil"/>
            </w:tcBorders>
            <w:shd w:val="clear" w:color="auto" w:fill="auto"/>
            <w:vAlign w:val="center"/>
            <w:hideMark/>
          </w:tcPr>
          <w:p w14:paraId="5E11F8B8" w14:textId="37654FC9" w:rsidR="0068789F" w:rsidRPr="00005453" w:rsidRDefault="0068789F" w:rsidP="0068789F">
            <w:pPr>
              <w:jc w:val="right"/>
              <w:rPr>
                <w:color w:val="000000"/>
                <w:sz w:val="14"/>
                <w:szCs w:val="14"/>
                <w:lang w:eastAsia="tr-TR"/>
              </w:rPr>
            </w:pPr>
            <w:r w:rsidRPr="00005453">
              <w:rPr>
                <w:color w:val="000000"/>
                <w:sz w:val="14"/>
                <w:szCs w:val="14"/>
              </w:rPr>
              <w:t>-</w:t>
            </w:r>
          </w:p>
        </w:tc>
        <w:tc>
          <w:tcPr>
            <w:tcW w:w="850" w:type="dxa"/>
            <w:tcBorders>
              <w:top w:val="nil"/>
              <w:left w:val="nil"/>
              <w:bottom w:val="nil"/>
              <w:right w:val="nil"/>
            </w:tcBorders>
            <w:shd w:val="clear" w:color="auto" w:fill="auto"/>
            <w:vAlign w:val="center"/>
            <w:hideMark/>
          </w:tcPr>
          <w:p w14:paraId="727FA5CC" w14:textId="11E2F1DA" w:rsidR="0068789F" w:rsidRPr="00005453" w:rsidRDefault="0068789F" w:rsidP="0068789F">
            <w:pPr>
              <w:jc w:val="right"/>
              <w:rPr>
                <w:color w:val="000000"/>
                <w:sz w:val="14"/>
                <w:szCs w:val="14"/>
                <w:lang w:eastAsia="tr-TR"/>
              </w:rPr>
            </w:pPr>
            <w:r w:rsidRPr="00005453">
              <w:rPr>
                <w:color w:val="000000"/>
                <w:sz w:val="14"/>
                <w:szCs w:val="14"/>
              </w:rPr>
              <w:t>-</w:t>
            </w:r>
          </w:p>
        </w:tc>
        <w:tc>
          <w:tcPr>
            <w:tcW w:w="992" w:type="dxa"/>
            <w:tcBorders>
              <w:top w:val="nil"/>
              <w:left w:val="nil"/>
              <w:bottom w:val="nil"/>
              <w:right w:val="nil"/>
            </w:tcBorders>
            <w:shd w:val="clear" w:color="auto" w:fill="auto"/>
            <w:vAlign w:val="center"/>
            <w:hideMark/>
          </w:tcPr>
          <w:p w14:paraId="26088616" w14:textId="1E2A8638" w:rsidR="0068789F" w:rsidRPr="00005453" w:rsidRDefault="0068789F" w:rsidP="0068789F">
            <w:pPr>
              <w:jc w:val="right"/>
              <w:rPr>
                <w:color w:val="000000"/>
                <w:sz w:val="14"/>
                <w:szCs w:val="14"/>
                <w:lang w:eastAsia="tr-TR"/>
              </w:rPr>
            </w:pPr>
            <w:r w:rsidRPr="00005453">
              <w:rPr>
                <w:color w:val="000000"/>
                <w:sz w:val="14"/>
                <w:szCs w:val="14"/>
              </w:rPr>
              <w:t>-</w:t>
            </w:r>
          </w:p>
        </w:tc>
        <w:tc>
          <w:tcPr>
            <w:tcW w:w="993" w:type="dxa"/>
            <w:tcBorders>
              <w:top w:val="nil"/>
              <w:left w:val="nil"/>
              <w:bottom w:val="nil"/>
              <w:right w:val="nil"/>
            </w:tcBorders>
            <w:shd w:val="clear" w:color="auto" w:fill="auto"/>
            <w:vAlign w:val="center"/>
            <w:hideMark/>
          </w:tcPr>
          <w:p w14:paraId="300CC0F3" w14:textId="21154086" w:rsidR="0068789F" w:rsidRPr="00005453" w:rsidRDefault="0068789F" w:rsidP="0068789F">
            <w:pPr>
              <w:jc w:val="right"/>
              <w:rPr>
                <w:color w:val="000000"/>
                <w:sz w:val="14"/>
                <w:szCs w:val="14"/>
                <w:lang w:eastAsia="tr-TR"/>
              </w:rPr>
            </w:pPr>
            <w:r w:rsidRPr="00005453">
              <w:rPr>
                <w:color w:val="000000"/>
                <w:sz w:val="14"/>
                <w:szCs w:val="14"/>
              </w:rPr>
              <w:t>-</w:t>
            </w:r>
          </w:p>
        </w:tc>
        <w:tc>
          <w:tcPr>
            <w:tcW w:w="992" w:type="dxa"/>
            <w:tcBorders>
              <w:top w:val="nil"/>
              <w:left w:val="nil"/>
              <w:bottom w:val="nil"/>
              <w:right w:val="nil"/>
            </w:tcBorders>
            <w:shd w:val="clear" w:color="auto" w:fill="auto"/>
            <w:vAlign w:val="center"/>
            <w:hideMark/>
          </w:tcPr>
          <w:p w14:paraId="745304A3" w14:textId="4118AFFC" w:rsidR="0068789F" w:rsidRPr="00005453" w:rsidRDefault="0068789F" w:rsidP="0068789F">
            <w:pPr>
              <w:jc w:val="right"/>
              <w:rPr>
                <w:color w:val="000000"/>
                <w:sz w:val="14"/>
                <w:szCs w:val="14"/>
                <w:lang w:eastAsia="tr-TR"/>
              </w:rPr>
            </w:pPr>
            <w:r w:rsidRPr="00005453">
              <w:rPr>
                <w:color w:val="000000"/>
                <w:sz w:val="14"/>
                <w:szCs w:val="14"/>
              </w:rPr>
              <w:t>-</w:t>
            </w:r>
          </w:p>
        </w:tc>
        <w:tc>
          <w:tcPr>
            <w:tcW w:w="1134" w:type="dxa"/>
            <w:tcBorders>
              <w:top w:val="nil"/>
              <w:left w:val="nil"/>
              <w:bottom w:val="nil"/>
              <w:right w:val="nil"/>
            </w:tcBorders>
            <w:shd w:val="clear" w:color="auto" w:fill="auto"/>
            <w:vAlign w:val="center"/>
            <w:hideMark/>
          </w:tcPr>
          <w:p w14:paraId="2FE5E3AB" w14:textId="63F71371" w:rsidR="0068789F" w:rsidRPr="00005453" w:rsidRDefault="0068789F" w:rsidP="0068789F">
            <w:pPr>
              <w:jc w:val="right"/>
              <w:rPr>
                <w:color w:val="000000"/>
                <w:sz w:val="14"/>
                <w:szCs w:val="14"/>
                <w:lang w:eastAsia="tr-TR"/>
              </w:rPr>
            </w:pPr>
            <w:r w:rsidRPr="00005453">
              <w:rPr>
                <w:color w:val="000000"/>
                <w:sz w:val="14"/>
                <w:szCs w:val="14"/>
                <w:lang w:eastAsia="tr-TR"/>
              </w:rPr>
              <w:t>-</w:t>
            </w:r>
          </w:p>
        </w:tc>
        <w:tc>
          <w:tcPr>
            <w:tcW w:w="974" w:type="dxa"/>
            <w:tcBorders>
              <w:top w:val="nil"/>
              <w:left w:val="nil"/>
              <w:bottom w:val="nil"/>
              <w:right w:val="nil"/>
            </w:tcBorders>
            <w:shd w:val="clear" w:color="auto" w:fill="auto"/>
            <w:vAlign w:val="center"/>
            <w:hideMark/>
          </w:tcPr>
          <w:p w14:paraId="215BD3BE" w14:textId="743409CF" w:rsidR="0068789F" w:rsidRPr="00005453" w:rsidRDefault="0068789F" w:rsidP="0068789F">
            <w:pPr>
              <w:jc w:val="right"/>
              <w:rPr>
                <w:color w:val="000000"/>
                <w:sz w:val="14"/>
                <w:szCs w:val="14"/>
                <w:lang w:eastAsia="tr-TR"/>
              </w:rPr>
            </w:pPr>
            <w:r w:rsidRPr="00005453">
              <w:rPr>
                <w:color w:val="000000"/>
                <w:sz w:val="14"/>
                <w:szCs w:val="14"/>
                <w:lang w:eastAsia="tr-TR"/>
              </w:rPr>
              <w:t>-</w:t>
            </w:r>
          </w:p>
        </w:tc>
      </w:tr>
      <w:tr w:rsidR="0068789F" w:rsidRPr="00005453" w14:paraId="42FBCDD7" w14:textId="77777777" w:rsidTr="0068789F">
        <w:trPr>
          <w:divId w:val="18045659"/>
          <w:trHeight w:val="108"/>
        </w:trPr>
        <w:tc>
          <w:tcPr>
            <w:tcW w:w="1911" w:type="dxa"/>
            <w:tcBorders>
              <w:top w:val="single" w:sz="8" w:space="0" w:color="auto"/>
              <w:left w:val="nil"/>
              <w:bottom w:val="double" w:sz="6" w:space="0" w:color="auto"/>
              <w:right w:val="nil"/>
            </w:tcBorders>
            <w:shd w:val="clear" w:color="auto" w:fill="auto"/>
            <w:vAlign w:val="center"/>
            <w:hideMark/>
          </w:tcPr>
          <w:p w14:paraId="7E2F0AA9" w14:textId="77777777" w:rsidR="0068789F" w:rsidRPr="00005453" w:rsidRDefault="0068789F" w:rsidP="0068789F">
            <w:pPr>
              <w:rPr>
                <w:b/>
                <w:bCs/>
                <w:color w:val="000000"/>
                <w:sz w:val="14"/>
                <w:szCs w:val="14"/>
                <w:lang w:eastAsia="tr-TR"/>
              </w:rPr>
            </w:pPr>
            <w:r w:rsidRPr="00005453">
              <w:rPr>
                <w:b/>
                <w:bCs/>
                <w:color w:val="000000"/>
                <w:sz w:val="14"/>
                <w:szCs w:val="14"/>
                <w:lang w:eastAsia="tr-TR"/>
              </w:rPr>
              <w:t>Toplam</w:t>
            </w:r>
          </w:p>
        </w:tc>
        <w:tc>
          <w:tcPr>
            <w:tcW w:w="953" w:type="dxa"/>
            <w:tcBorders>
              <w:top w:val="single" w:sz="8" w:space="0" w:color="auto"/>
              <w:left w:val="nil"/>
              <w:bottom w:val="double" w:sz="6" w:space="0" w:color="auto"/>
              <w:right w:val="nil"/>
            </w:tcBorders>
            <w:shd w:val="clear" w:color="auto" w:fill="auto"/>
            <w:vAlign w:val="center"/>
            <w:hideMark/>
          </w:tcPr>
          <w:p w14:paraId="6DB8F153" w14:textId="5D19940C" w:rsidR="0068789F" w:rsidRPr="00005453" w:rsidRDefault="0068789F" w:rsidP="0068789F">
            <w:pPr>
              <w:jc w:val="right"/>
              <w:rPr>
                <w:b/>
                <w:bCs/>
                <w:color w:val="000000"/>
                <w:sz w:val="14"/>
                <w:szCs w:val="14"/>
                <w:lang w:eastAsia="tr-TR"/>
              </w:rPr>
            </w:pPr>
            <w:r w:rsidRPr="00005453">
              <w:rPr>
                <w:b/>
                <w:color w:val="000000"/>
                <w:sz w:val="14"/>
                <w:szCs w:val="14"/>
                <w:lang w:eastAsia="tr-TR"/>
              </w:rPr>
              <w:t>25,882,294</w:t>
            </w:r>
          </w:p>
        </w:tc>
        <w:tc>
          <w:tcPr>
            <w:tcW w:w="964" w:type="dxa"/>
            <w:tcBorders>
              <w:top w:val="single" w:sz="8" w:space="0" w:color="auto"/>
              <w:left w:val="nil"/>
              <w:bottom w:val="double" w:sz="6" w:space="0" w:color="auto"/>
              <w:right w:val="nil"/>
            </w:tcBorders>
            <w:shd w:val="clear" w:color="auto" w:fill="auto"/>
            <w:vAlign w:val="center"/>
            <w:hideMark/>
          </w:tcPr>
          <w:p w14:paraId="6B0EE7C6" w14:textId="07D924DC" w:rsidR="0068789F" w:rsidRPr="00005453" w:rsidRDefault="0068789F" w:rsidP="0068789F">
            <w:pPr>
              <w:jc w:val="right"/>
              <w:rPr>
                <w:b/>
                <w:bCs/>
                <w:color w:val="000000"/>
                <w:sz w:val="14"/>
                <w:szCs w:val="14"/>
                <w:lang w:eastAsia="tr-TR"/>
              </w:rPr>
            </w:pPr>
            <w:r w:rsidRPr="00005453">
              <w:rPr>
                <w:b/>
                <w:color w:val="000000"/>
                <w:sz w:val="14"/>
                <w:szCs w:val="14"/>
                <w:lang w:eastAsia="tr-TR"/>
              </w:rPr>
              <w:t>2,757,169</w:t>
            </w:r>
          </w:p>
        </w:tc>
        <w:tc>
          <w:tcPr>
            <w:tcW w:w="850" w:type="dxa"/>
            <w:tcBorders>
              <w:top w:val="single" w:sz="8" w:space="0" w:color="auto"/>
              <w:left w:val="nil"/>
              <w:bottom w:val="double" w:sz="6" w:space="0" w:color="auto"/>
              <w:right w:val="nil"/>
            </w:tcBorders>
            <w:shd w:val="clear" w:color="auto" w:fill="auto"/>
            <w:vAlign w:val="center"/>
            <w:hideMark/>
          </w:tcPr>
          <w:p w14:paraId="35DE830D" w14:textId="191D8719" w:rsidR="0068789F" w:rsidRPr="00005453" w:rsidRDefault="0068789F" w:rsidP="0068789F">
            <w:pPr>
              <w:jc w:val="right"/>
              <w:rPr>
                <w:b/>
                <w:bCs/>
                <w:color w:val="000000"/>
                <w:sz w:val="14"/>
                <w:szCs w:val="14"/>
                <w:lang w:eastAsia="tr-TR"/>
              </w:rPr>
            </w:pPr>
            <w:r w:rsidRPr="00005453">
              <w:rPr>
                <w:b/>
                <w:color w:val="000000"/>
                <w:sz w:val="14"/>
                <w:szCs w:val="14"/>
                <w:lang w:eastAsia="tr-TR"/>
              </w:rPr>
              <w:t>6,857,001</w:t>
            </w:r>
          </w:p>
        </w:tc>
        <w:tc>
          <w:tcPr>
            <w:tcW w:w="992" w:type="dxa"/>
            <w:tcBorders>
              <w:top w:val="single" w:sz="8" w:space="0" w:color="auto"/>
              <w:left w:val="nil"/>
              <w:bottom w:val="double" w:sz="6" w:space="0" w:color="auto"/>
              <w:right w:val="nil"/>
            </w:tcBorders>
            <w:shd w:val="clear" w:color="auto" w:fill="auto"/>
            <w:vAlign w:val="center"/>
            <w:hideMark/>
          </w:tcPr>
          <w:p w14:paraId="345667C2" w14:textId="1FF87C14" w:rsidR="0068789F" w:rsidRPr="00005453" w:rsidRDefault="0068789F" w:rsidP="0068789F">
            <w:pPr>
              <w:jc w:val="right"/>
              <w:rPr>
                <w:b/>
                <w:bCs/>
                <w:color w:val="000000"/>
                <w:sz w:val="14"/>
                <w:szCs w:val="14"/>
                <w:lang w:eastAsia="tr-TR"/>
              </w:rPr>
            </w:pPr>
            <w:r w:rsidRPr="00005453">
              <w:rPr>
                <w:b/>
                <w:color w:val="000000"/>
                <w:sz w:val="14"/>
                <w:szCs w:val="14"/>
                <w:lang w:eastAsia="tr-TR"/>
              </w:rPr>
              <w:t>17,676,796</w:t>
            </w:r>
          </w:p>
        </w:tc>
        <w:tc>
          <w:tcPr>
            <w:tcW w:w="993" w:type="dxa"/>
            <w:tcBorders>
              <w:top w:val="single" w:sz="8" w:space="0" w:color="auto"/>
              <w:left w:val="nil"/>
              <w:bottom w:val="double" w:sz="6" w:space="0" w:color="auto"/>
              <w:right w:val="nil"/>
            </w:tcBorders>
            <w:shd w:val="clear" w:color="auto" w:fill="auto"/>
            <w:vAlign w:val="center"/>
            <w:hideMark/>
          </w:tcPr>
          <w:p w14:paraId="71D755BD" w14:textId="5932CB0F" w:rsidR="0068789F" w:rsidRPr="00005453" w:rsidRDefault="0068789F" w:rsidP="0068789F">
            <w:pPr>
              <w:jc w:val="right"/>
              <w:rPr>
                <w:b/>
                <w:bCs/>
                <w:color w:val="000000"/>
                <w:sz w:val="14"/>
                <w:szCs w:val="14"/>
                <w:lang w:eastAsia="tr-TR"/>
              </w:rPr>
            </w:pPr>
            <w:r w:rsidRPr="00005453">
              <w:rPr>
                <w:b/>
                <w:color w:val="000000"/>
                <w:sz w:val="14"/>
                <w:szCs w:val="14"/>
                <w:lang w:eastAsia="tr-TR"/>
              </w:rPr>
              <w:t>8,027,610</w:t>
            </w:r>
          </w:p>
        </w:tc>
        <w:tc>
          <w:tcPr>
            <w:tcW w:w="992" w:type="dxa"/>
            <w:tcBorders>
              <w:top w:val="single" w:sz="8" w:space="0" w:color="auto"/>
              <w:left w:val="nil"/>
              <w:bottom w:val="double" w:sz="6" w:space="0" w:color="auto"/>
              <w:right w:val="nil"/>
            </w:tcBorders>
            <w:shd w:val="clear" w:color="auto" w:fill="auto"/>
            <w:vAlign w:val="center"/>
            <w:hideMark/>
          </w:tcPr>
          <w:p w14:paraId="6D0132D0" w14:textId="2F3A9051" w:rsidR="0068789F" w:rsidRPr="00005453" w:rsidRDefault="0068789F" w:rsidP="0068789F">
            <w:pPr>
              <w:jc w:val="right"/>
              <w:rPr>
                <w:b/>
                <w:bCs/>
                <w:color w:val="000000"/>
                <w:sz w:val="14"/>
                <w:szCs w:val="14"/>
                <w:lang w:eastAsia="tr-TR"/>
              </w:rPr>
            </w:pPr>
            <w:r w:rsidRPr="00005453">
              <w:rPr>
                <w:b/>
                <w:color w:val="000000"/>
                <w:sz w:val="14"/>
                <w:szCs w:val="14"/>
                <w:lang w:eastAsia="tr-TR"/>
              </w:rPr>
              <w:t>386,029</w:t>
            </w:r>
          </w:p>
        </w:tc>
        <w:tc>
          <w:tcPr>
            <w:tcW w:w="1134" w:type="dxa"/>
            <w:tcBorders>
              <w:top w:val="single" w:sz="8" w:space="0" w:color="auto"/>
              <w:left w:val="nil"/>
              <w:bottom w:val="double" w:sz="6" w:space="0" w:color="auto"/>
              <w:right w:val="nil"/>
            </w:tcBorders>
            <w:shd w:val="clear" w:color="auto" w:fill="auto"/>
            <w:vAlign w:val="center"/>
            <w:hideMark/>
          </w:tcPr>
          <w:p w14:paraId="620738D7" w14:textId="698E20AD" w:rsidR="0068789F" w:rsidRPr="00005453" w:rsidRDefault="0068789F" w:rsidP="0068789F">
            <w:pPr>
              <w:jc w:val="right"/>
              <w:rPr>
                <w:b/>
                <w:bCs/>
                <w:color w:val="000000"/>
                <w:sz w:val="14"/>
                <w:szCs w:val="14"/>
                <w:lang w:eastAsia="tr-TR"/>
              </w:rPr>
            </w:pPr>
            <w:r w:rsidRPr="00005453">
              <w:rPr>
                <w:b/>
                <w:color w:val="000000"/>
                <w:sz w:val="14"/>
                <w:szCs w:val="14"/>
                <w:lang w:eastAsia="tr-TR"/>
              </w:rPr>
              <w:t>-</w:t>
            </w:r>
          </w:p>
        </w:tc>
        <w:tc>
          <w:tcPr>
            <w:tcW w:w="974" w:type="dxa"/>
            <w:tcBorders>
              <w:top w:val="single" w:sz="8" w:space="0" w:color="auto"/>
              <w:left w:val="nil"/>
              <w:bottom w:val="double" w:sz="6" w:space="0" w:color="auto"/>
              <w:right w:val="nil"/>
            </w:tcBorders>
            <w:shd w:val="clear" w:color="auto" w:fill="auto"/>
            <w:vAlign w:val="center"/>
            <w:hideMark/>
          </w:tcPr>
          <w:p w14:paraId="4A1C83DF" w14:textId="6A1CE57C" w:rsidR="0068789F" w:rsidRPr="00005453" w:rsidRDefault="0068789F" w:rsidP="0068789F">
            <w:pPr>
              <w:jc w:val="right"/>
              <w:rPr>
                <w:b/>
                <w:bCs/>
                <w:color w:val="000000"/>
                <w:sz w:val="14"/>
                <w:szCs w:val="14"/>
                <w:lang w:eastAsia="tr-TR"/>
              </w:rPr>
            </w:pPr>
            <w:r w:rsidRPr="00005453">
              <w:rPr>
                <w:b/>
                <w:color w:val="000000"/>
                <w:sz w:val="14"/>
                <w:szCs w:val="14"/>
                <w:lang w:eastAsia="tr-TR"/>
              </w:rPr>
              <w:t>61,586,899</w:t>
            </w:r>
          </w:p>
        </w:tc>
      </w:tr>
    </w:tbl>
    <w:p w14:paraId="3A81C6CA" w14:textId="4EB1730D" w:rsidR="0080080D" w:rsidRPr="00005453" w:rsidRDefault="0080080D" w:rsidP="007A3506">
      <w:pPr>
        <w:pStyle w:val="BodyText"/>
        <w:jc w:val="left"/>
        <w:rPr>
          <w:lang w:val="en-GB" w:eastAsia="en-GB"/>
        </w:rPr>
      </w:pPr>
    </w:p>
    <w:p w14:paraId="3EA72F44" w14:textId="77777777" w:rsidR="007D0F7A" w:rsidRPr="00005453" w:rsidRDefault="007D0F7A" w:rsidP="00100A1B">
      <w:pPr>
        <w:pStyle w:val="BodyText"/>
        <w:jc w:val="left"/>
        <w:rPr>
          <w:rFonts w:eastAsia="Arial Unicode MS"/>
          <w:b/>
        </w:rPr>
        <w:sectPr w:rsidR="007D0F7A" w:rsidRPr="00005453" w:rsidSect="00557BAB">
          <w:pgSz w:w="11906" w:h="16838"/>
          <w:pgMar w:top="737" w:right="992" w:bottom="992" w:left="1440" w:header="709" w:footer="709" w:gutter="0"/>
          <w:cols w:space="708"/>
          <w:docGrid w:linePitch="360"/>
        </w:sectPr>
      </w:pPr>
    </w:p>
    <w:p w14:paraId="116BE857" w14:textId="5B601021" w:rsidR="00B17CD4" w:rsidRPr="00005453" w:rsidRDefault="00C26593" w:rsidP="00100A1B">
      <w:pPr>
        <w:pStyle w:val="BodyText"/>
        <w:jc w:val="left"/>
        <w:rPr>
          <w:rFonts w:eastAsia="Arial Unicode MS"/>
          <w:b/>
        </w:rPr>
      </w:pPr>
      <w:r w:rsidRPr="00005453">
        <w:rPr>
          <w:rFonts w:eastAsia="Arial Unicode MS"/>
          <w:b/>
        </w:rPr>
        <w:lastRenderedPageBreak/>
        <w:t>Banka’nın türev enstrümanlarının kontrata dayalı vade analizi</w:t>
      </w:r>
    </w:p>
    <w:p w14:paraId="16AE01FA" w14:textId="35D82675" w:rsidR="00AE053A" w:rsidRPr="00005453" w:rsidRDefault="00AE053A" w:rsidP="00100A1B">
      <w:pPr>
        <w:pStyle w:val="BodyText"/>
        <w:jc w:val="left"/>
        <w:rPr>
          <w:lang w:eastAsia="en-GB"/>
        </w:rPr>
      </w:pPr>
    </w:p>
    <w:tbl>
      <w:tblPr>
        <w:tblW w:w="9356" w:type="dxa"/>
        <w:tblCellMar>
          <w:left w:w="70" w:type="dxa"/>
          <w:right w:w="70" w:type="dxa"/>
        </w:tblCellMar>
        <w:tblLook w:val="04A0" w:firstRow="1" w:lastRow="0" w:firstColumn="1" w:lastColumn="0" w:noHBand="0" w:noVBand="1"/>
      </w:tblPr>
      <w:tblGrid>
        <w:gridCol w:w="2835"/>
        <w:gridCol w:w="284"/>
        <w:gridCol w:w="1108"/>
        <w:gridCol w:w="963"/>
        <w:gridCol w:w="993"/>
        <w:gridCol w:w="850"/>
        <w:gridCol w:w="1189"/>
        <w:gridCol w:w="1134"/>
      </w:tblGrid>
      <w:tr w:rsidR="00EE27E6" w:rsidRPr="00005453" w14:paraId="79D25268" w14:textId="77777777" w:rsidTr="00A7269C">
        <w:trPr>
          <w:divId w:val="961306936"/>
          <w:trHeight w:val="255"/>
        </w:trPr>
        <w:tc>
          <w:tcPr>
            <w:tcW w:w="2835" w:type="dxa"/>
            <w:tcBorders>
              <w:top w:val="single" w:sz="4" w:space="0" w:color="auto"/>
              <w:left w:val="nil"/>
              <w:bottom w:val="single" w:sz="8" w:space="0" w:color="000000"/>
              <w:right w:val="nil"/>
            </w:tcBorders>
            <w:shd w:val="clear" w:color="auto" w:fill="auto"/>
            <w:vAlign w:val="center"/>
            <w:hideMark/>
          </w:tcPr>
          <w:p w14:paraId="2009F061" w14:textId="437CD676" w:rsidR="00741C7D" w:rsidRPr="00005453" w:rsidRDefault="00FC3363" w:rsidP="00AE053A">
            <w:pPr>
              <w:rPr>
                <w:b/>
                <w:bCs/>
                <w:color w:val="000000"/>
                <w:sz w:val="17"/>
                <w:szCs w:val="17"/>
                <w:lang w:eastAsia="tr-TR"/>
              </w:rPr>
            </w:pPr>
            <w:r w:rsidRPr="00005453">
              <w:rPr>
                <w:b/>
                <w:bCs/>
                <w:color w:val="000000"/>
                <w:sz w:val="17"/>
                <w:szCs w:val="17"/>
                <w:lang w:eastAsia="tr-TR"/>
              </w:rPr>
              <w:t>31 Aralık 202</w:t>
            </w:r>
            <w:r w:rsidR="00EF41C7" w:rsidRPr="00005453">
              <w:rPr>
                <w:b/>
                <w:bCs/>
                <w:color w:val="000000"/>
                <w:sz w:val="17"/>
                <w:szCs w:val="17"/>
                <w:lang w:eastAsia="tr-TR"/>
              </w:rPr>
              <w:t>4</w:t>
            </w:r>
          </w:p>
        </w:tc>
        <w:tc>
          <w:tcPr>
            <w:tcW w:w="1392" w:type="dxa"/>
            <w:gridSpan w:val="2"/>
            <w:tcBorders>
              <w:top w:val="single" w:sz="4" w:space="0" w:color="auto"/>
              <w:left w:val="nil"/>
              <w:bottom w:val="single" w:sz="8" w:space="0" w:color="auto"/>
              <w:right w:val="nil"/>
            </w:tcBorders>
            <w:shd w:val="clear" w:color="000000" w:fill="FFFFFF"/>
            <w:noWrap/>
            <w:vAlign w:val="center"/>
            <w:hideMark/>
          </w:tcPr>
          <w:p w14:paraId="38576AEB" w14:textId="77777777" w:rsidR="00741C7D" w:rsidRPr="00005453" w:rsidRDefault="00741C7D" w:rsidP="00AE053A">
            <w:pPr>
              <w:jc w:val="right"/>
              <w:rPr>
                <w:b/>
                <w:bCs/>
                <w:color w:val="000000"/>
                <w:sz w:val="18"/>
                <w:szCs w:val="18"/>
                <w:lang w:eastAsia="tr-TR"/>
              </w:rPr>
            </w:pPr>
            <w:r w:rsidRPr="00005453">
              <w:rPr>
                <w:b/>
                <w:bCs/>
                <w:color w:val="000000"/>
                <w:sz w:val="18"/>
                <w:szCs w:val="18"/>
                <w:lang w:eastAsia="tr-TR"/>
              </w:rPr>
              <w:t>1 aya kadar</w:t>
            </w:r>
          </w:p>
        </w:tc>
        <w:tc>
          <w:tcPr>
            <w:tcW w:w="963" w:type="dxa"/>
            <w:tcBorders>
              <w:top w:val="single" w:sz="4" w:space="0" w:color="auto"/>
              <w:left w:val="nil"/>
              <w:bottom w:val="single" w:sz="8" w:space="0" w:color="auto"/>
              <w:right w:val="nil"/>
            </w:tcBorders>
            <w:shd w:val="clear" w:color="000000" w:fill="FFFFFF"/>
            <w:noWrap/>
            <w:vAlign w:val="center"/>
            <w:hideMark/>
          </w:tcPr>
          <w:p w14:paraId="0CAD7D42" w14:textId="77777777" w:rsidR="00741C7D" w:rsidRPr="00005453" w:rsidRDefault="00741C7D" w:rsidP="00AE053A">
            <w:pPr>
              <w:jc w:val="right"/>
              <w:rPr>
                <w:b/>
                <w:bCs/>
                <w:color w:val="000000"/>
                <w:sz w:val="18"/>
                <w:szCs w:val="18"/>
                <w:lang w:eastAsia="tr-TR"/>
              </w:rPr>
            </w:pPr>
            <w:r w:rsidRPr="00005453">
              <w:rPr>
                <w:b/>
                <w:bCs/>
                <w:color w:val="000000"/>
                <w:sz w:val="18"/>
                <w:szCs w:val="18"/>
                <w:lang w:eastAsia="tr-TR"/>
              </w:rPr>
              <w:t>1-3 ay</w:t>
            </w:r>
          </w:p>
        </w:tc>
        <w:tc>
          <w:tcPr>
            <w:tcW w:w="993" w:type="dxa"/>
            <w:tcBorders>
              <w:top w:val="single" w:sz="4" w:space="0" w:color="auto"/>
              <w:left w:val="nil"/>
              <w:bottom w:val="single" w:sz="8" w:space="0" w:color="auto"/>
              <w:right w:val="nil"/>
            </w:tcBorders>
            <w:shd w:val="clear" w:color="000000" w:fill="FFFFFF"/>
            <w:noWrap/>
            <w:vAlign w:val="center"/>
            <w:hideMark/>
          </w:tcPr>
          <w:p w14:paraId="76AB162E" w14:textId="77777777" w:rsidR="00741C7D" w:rsidRPr="00005453" w:rsidRDefault="00741C7D" w:rsidP="00AE053A">
            <w:pPr>
              <w:jc w:val="right"/>
              <w:rPr>
                <w:b/>
                <w:bCs/>
                <w:color w:val="000000"/>
                <w:sz w:val="18"/>
                <w:szCs w:val="18"/>
                <w:lang w:eastAsia="tr-TR"/>
              </w:rPr>
            </w:pPr>
            <w:r w:rsidRPr="00005453">
              <w:rPr>
                <w:b/>
                <w:bCs/>
                <w:color w:val="000000"/>
                <w:sz w:val="18"/>
                <w:szCs w:val="18"/>
                <w:lang w:eastAsia="tr-TR"/>
              </w:rPr>
              <w:t>3-12 ay</w:t>
            </w:r>
          </w:p>
        </w:tc>
        <w:tc>
          <w:tcPr>
            <w:tcW w:w="850" w:type="dxa"/>
            <w:tcBorders>
              <w:top w:val="single" w:sz="4" w:space="0" w:color="auto"/>
              <w:left w:val="nil"/>
              <w:bottom w:val="single" w:sz="8" w:space="0" w:color="auto"/>
              <w:right w:val="nil"/>
            </w:tcBorders>
            <w:shd w:val="clear" w:color="000000" w:fill="FFFFFF"/>
            <w:noWrap/>
            <w:vAlign w:val="center"/>
            <w:hideMark/>
          </w:tcPr>
          <w:p w14:paraId="1C7ECE4F" w14:textId="77777777" w:rsidR="00741C7D" w:rsidRPr="00005453" w:rsidRDefault="00741C7D" w:rsidP="00AE053A">
            <w:pPr>
              <w:jc w:val="right"/>
              <w:rPr>
                <w:b/>
                <w:bCs/>
                <w:color w:val="000000"/>
                <w:sz w:val="18"/>
                <w:szCs w:val="18"/>
                <w:lang w:eastAsia="tr-TR"/>
              </w:rPr>
            </w:pPr>
            <w:r w:rsidRPr="00005453">
              <w:rPr>
                <w:b/>
                <w:bCs/>
                <w:color w:val="000000"/>
                <w:sz w:val="18"/>
                <w:szCs w:val="18"/>
                <w:lang w:eastAsia="tr-TR"/>
              </w:rPr>
              <w:t>1-5 yıl</w:t>
            </w:r>
          </w:p>
        </w:tc>
        <w:tc>
          <w:tcPr>
            <w:tcW w:w="1189" w:type="dxa"/>
            <w:tcBorders>
              <w:top w:val="single" w:sz="4" w:space="0" w:color="auto"/>
              <w:left w:val="nil"/>
              <w:bottom w:val="single" w:sz="8" w:space="0" w:color="auto"/>
              <w:right w:val="nil"/>
            </w:tcBorders>
            <w:shd w:val="clear" w:color="000000" w:fill="FFFFFF"/>
            <w:vAlign w:val="center"/>
            <w:hideMark/>
          </w:tcPr>
          <w:p w14:paraId="47BD803E" w14:textId="3184E8C3" w:rsidR="00741C7D" w:rsidRPr="00005453" w:rsidRDefault="00EE27E6" w:rsidP="00AE053A">
            <w:pPr>
              <w:jc w:val="right"/>
              <w:rPr>
                <w:b/>
                <w:bCs/>
                <w:color w:val="000000"/>
                <w:sz w:val="18"/>
                <w:szCs w:val="18"/>
                <w:lang w:eastAsia="tr-TR"/>
              </w:rPr>
            </w:pPr>
            <w:r w:rsidRPr="00005453">
              <w:rPr>
                <w:b/>
                <w:bCs/>
                <w:color w:val="000000"/>
                <w:sz w:val="18"/>
                <w:szCs w:val="18"/>
                <w:lang w:eastAsia="tr-TR"/>
              </w:rPr>
              <w:t xml:space="preserve">5 yıl </w:t>
            </w:r>
            <w:r w:rsidR="00741C7D" w:rsidRPr="00005453">
              <w:rPr>
                <w:b/>
                <w:bCs/>
                <w:color w:val="000000"/>
                <w:sz w:val="18"/>
                <w:szCs w:val="18"/>
                <w:lang w:eastAsia="tr-TR"/>
              </w:rPr>
              <w:t>ve üzeri</w:t>
            </w:r>
          </w:p>
        </w:tc>
        <w:tc>
          <w:tcPr>
            <w:tcW w:w="1134" w:type="dxa"/>
            <w:tcBorders>
              <w:top w:val="single" w:sz="4" w:space="0" w:color="auto"/>
              <w:left w:val="nil"/>
              <w:bottom w:val="single" w:sz="8" w:space="0" w:color="000000"/>
              <w:right w:val="nil"/>
            </w:tcBorders>
            <w:shd w:val="clear" w:color="000000" w:fill="FFFFFF"/>
            <w:vAlign w:val="center"/>
            <w:hideMark/>
          </w:tcPr>
          <w:p w14:paraId="4BEDB8AB" w14:textId="6D4D86EF" w:rsidR="00741C7D" w:rsidRPr="00005453" w:rsidRDefault="00EE27E6" w:rsidP="00AE053A">
            <w:pPr>
              <w:jc w:val="right"/>
              <w:rPr>
                <w:b/>
                <w:bCs/>
                <w:color w:val="000000"/>
                <w:sz w:val="18"/>
                <w:szCs w:val="18"/>
                <w:lang w:eastAsia="tr-TR"/>
              </w:rPr>
            </w:pPr>
            <w:r w:rsidRPr="00005453">
              <w:rPr>
                <w:b/>
                <w:bCs/>
                <w:color w:val="000000"/>
                <w:sz w:val="18"/>
                <w:szCs w:val="18"/>
                <w:lang w:eastAsia="tr-TR"/>
              </w:rPr>
              <w:t>Toplam</w:t>
            </w:r>
          </w:p>
        </w:tc>
      </w:tr>
      <w:tr w:rsidR="00AE053A" w:rsidRPr="00005453" w14:paraId="5B2E22DE" w14:textId="77777777" w:rsidTr="00A7269C">
        <w:trPr>
          <w:divId w:val="961306936"/>
          <w:trHeight w:val="243"/>
        </w:trPr>
        <w:tc>
          <w:tcPr>
            <w:tcW w:w="2835" w:type="dxa"/>
            <w:tcBorders>
              <w:top w:val="nil"/>
              <w:left w:val="nil"/>
              <w:bottom w:val="nil"/>
              <w:right w:val="nil"/>
            </w:tcBorders>
            <w:shd w:val="clear" w:color="auto" w:fill="auto"/>
            <w:vAlign w:val="center"/>
            <w:hideMark/>
          </w:tcPr>
          <w:p w14:paraId="14B05B44" w14:textId="77777777" w:rsidR="00AE053A" w:rsidRPr="00005453" w:rsidRDefault="00AE053A" w:rsidP="00AE053A">
            <w:pPr>
              <w:jc w:val="right"/>
              <w:rPr>
                <w:b/>
                <w:bCs/>
                <w:color w:val="000000"/>
                <w:sz w:val="18"/>
                <w:szCs w:val="18"/>
                <w:lang w:eastAsia="tr-TR"/>
              </w:rPr>
            </w:pPr>
          </w:p>
        </w:tc>
        <w:tc>
          <w:tcPr>
            <w:tcW w:w="1392" w:type="dxa"/>
            <w:gridSpan w:val="2"/>
            <w:tcBorders>
              <w:top w:val="nil"/>
              <w:left w:val="nil"/>
              <w:bottom w:val="nil"/>
              <w:right w:val="nil"/>
            </w:tcBorders>
            <w:shd w:val="clear" w:color="auto" w:fill="auto"/>
            <w:vAlign w:val="center"/>
            <w:hideMark/>
          </w:tcPr>
          <w:p w14:paraId="4CAA005E" w14:textId="77777777" w:rsidR="00AE053A" w:rsidRPr="00005453" w:rsidRDefault="00AE053A" w:rsidP="00AE053A">
            <w:pPr>
              <w:jc w:val="right"/>
              <w:rPr>
                <w:lang w:eastAsia="tr-TR"/>
              </w:rPr>
            </w:pPr>
          </w:p>
        </w:tc>
        <w:tc>
          <w:tcPr>
            <w:tcW w:w="963" w:type="dxa"/>
            <w:tcBorders>
              <w:top w:val="nil"/>
              <w:left w:val="nil"/>
              <w:bottom w:val="nil"/>
              <w:right w:val="nil"/>
            </w:tcBorders>
            <w:shd w:val="clear" w:color="auto" w:fill="auto"/>
            <w:vAlign w:val="center"/>
            <w:hideMark/>
          </w:tcPr>
          <w:p w14:paraId="30DCE69F" w14:textId="77777777" w:rsidR="00AE053A" w:rsidRPr="00005453" w:rsidRDefault="00AE053A" w:rsidP="00AE053A">
            <w:pPr>
              <w:jc w:val="right"/>
              <w:rPr>
                <w:lang w:eastAsia="tr-TR"/>
              </w:rPr>
            </w:pPr>
          </w:p>
        </w:tc>
        <w:tc>
          <w:tcPr>
            <w:tcW w:w="993" w:type="dxa"/>
            <w:tcBorders>
              <w:top w:val="nil"/>
              <w:left w:val="nil"/>
              <w:bottom w:val="nil"/>
              <w:right w:val="nil"/>
            </w:tcBorders>
            <w:shd w:val="clear" w:color="auto" w:fill="auto"/>
            <w:vAlign w:val="center"/>
            <w:hideMark/>
          </w:tcPr>
          <w:p w14:paraId="25883EC0" w14:textId="77777777" w:rsidR="00AE053A" w:rsidRPr="00005453" w:rsidRDefault="00AE053A" w:rsidP="00AE053A">
            <w:pPr>
              <w:jc w:val="right"/>
              <w:rPr>
                <w:lang w:eastAsia="tr-TR"/>
              </w:rPr>
            </w:pPr>
          </w:p>
        </w:tc>
        <w:tc>
          <w:tcPr>
            <w:tcW w:w="850" w:type="dxa"/>
            <w:tcBorders>
              <w:top w:val="nil"/>
              <w:left w:val="nil"/>
              <w:bottom w:val="nil"/>
              <w:right w:val="nil"/>
            </w:tcBorders>
            <w:shd w:val="clear" w:color="auto" w:fill="auto"/>
            <w:vAlign w:val="center"/>
            <w:hideMark/>
          </w:tcPr>
          <w:p w14:paraId="76DC0F2F" w14:textId="77777777" w:rsidR="00AE053A" w:rsidRPr="00005453" w:rsidRDefault="00AE053A" w:rsidP="00AE053A">
            <w:pPr>
              <w:jc w:val="right"/>
              <w:rPr>
                <w:lang w:eastAsia="tr-TR"/>
              </w:rPr>
            </w:pPr>
          </w:p>
        </w:tc>
        <w:tc>
          <w:tcPr>
            <w:tcW w:w="1189" w:type="dxa"/>
            <w:tcBorders>
              <w:top w:val="nil"/>
              <w:left w:val="nil"/>
              <w:bottom w:val="nil"/>
              <w:right w:val="nil"/>
            </w:tcBorders>
            <w:shd w:val="clear" w:color="auto" w:fill="auto"/>
            <w:vAlign w:val="center"/>
            <w:hideMark/>
          </w:tcPr>
          <w:p w14:paraId="733F6A31" w14:textId="77777777" w:rsidR="00AE053A" w:rsidRPr="00005453" w:rsidRDefault="00AE053A" w:rsidP="00AE053A">
            <w:pPr>
              <w:jc w:val="right"/>
              <w:rPr>
                <w:lang w:eastAsia="tr-TR"/>
              </w:rPr>
            </w:pPr>
          </w:p>
        </w:tc>
        <w:tc>
          <w:tcPr>
            <w:tcW w:w="1134" w:type="dxa"/>
            <w:tcBorders>
              <w:top w:val="nil"/>
              <w:left w:val="nil"/>
              <w:bottom w:val="nil"/>
              <w:right w:val="nil"/>
            </w:tcBorders>
            <w:shd w:val="clear" w:color="auto" w:fill="auto"/>
            <w:vAlign w:val="center"/>
            <w:hideMark/>
          </w:tcPr>
          <w:p w14:paraId="62D9DE33" w14:textId="77777777" w:rsidR="00AE053A" w:rsidRPr="00005453" w:rsidRDefault="00AE053A" w:rsidP="00AE053A">
            <w:pPr>
              <w:jc w:val="right"/>
              <w:rPr>
                <w:color w:val="000000"/>
                <w:sz w:val="17"/>
                <w:szCs w:val="17"/>
                <w:lang w:eastAsia="tr-TR"/>
              </w:rPr>
            </w:pPr>
            <w:r w:rsidRPr="00005453">
              <w:rPr>
                <w:color w:val="000000"/>
                <w:sz w:val="17"/>
                <w:szCs w:val="17"/>
                <w:lang w:eastAsia="tr-TR"/>
              </w:rPr>
              <w:t> </w:t>
            </w:r>
          </w:p>
        </w:tc>
      </w:tr>
      <w:tr w:rsidR="00AE053A" w:rsidRPr="00005453" w14:paraId="542AFF96"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13FC7E69" w14:textId="77777777" w:rsidR="00AE053A" w:rsidRPr="00005453" w:rsidRDefault="00AE053A" w:rsidP="00AE053A">
            <w:pPr>
              <w:rPr>
                <w:b/>
                <w:bCs/>
                <w:color w:val="000000"/>
                <w:sz w:val="18"/>
                <w:szCs w:val="18"/>
                <w:lang w:eastAsia="tr-TR"/>
              </w:rPr>
            </w:pPr>
            <w:r w:rsidRPr="00005453">
              <w:rPr>
                <w:b/>
                <w:bCs/>
                <w:color w:val="000000"/>
                <w:sz w:val="18"/>
                <w:szCs w:val="18"/>
                <w:lang w:eastAsia="tr-TR"/>
              </w:rPr>
              <w:t>Alım satım amaçlı türev finansal</w:t>
            </w:r>
          </w:p>
        </w:tc>
        <w:tc>
          <w:tcPr>
            <w:tcW w:w="1392" w:type="dxa"/>
            <w:gridSpan w:val="2"/>
            <w:tcBorders>
              <w:top w:val="nil"/>
              <w:left w:val="nil"/>
              <w:bottom w:val="nil"/>
              <w:right w:val="nil"/>
            </w:tcBorders>
            <w:shd w:val="clear" w:color="auto" w:fill="auto"/>
            <w:vAlign w:val="center"/>
            <w:hideMark/>
          </w:tcPr>
          <w:p w14:paraId="588A3ADD" w14:textId="77777777" w:rsidR="00AE053A" w:rsidRPr="00005453" w:rsidRDefault="00AE053A" w:rsidP="00AE053A">
            <w:pPr>
              <w:jc w:val="right"/>
              <w:rPr>
                <w:b/>
                <w:bCs/>
                <w:color w:val="000000"/>
                <w:sz w:val="18"/>
                <w:szCs w:val="18"/>
                <w:lang w:eastAsia="tr-TR"/>
              </w:rPr>
            </w:pPr>
          </w:p>
        </w:tc>
        <w:tc>
          <w:tcPr>
            <w:tcW w:w="963" w:type="dxa"/>
            <w:tcBorders>
              <w:top w:val="nil"/>
              <w:left w:val="nil"/>
              <w:bottom w:val="nil"/>
              <w:right w:val="nil"/>
            </w:tcBorders>
            <w:shd w:val="clear" w:color="auto" w:fill="auto"/>
            <w:vAlign w:val="center"/>
            <w:hideMark/>
          </w:tcPr>
          <w:p w14:paraId="4A011D61" w14:textId="77777777" w:rsidR="00AE053A" w:rsidRPr="00005453" w:rsidRDefault="00AE053A" w:rsidP="00AE053A">
            <w:pPr>
              <w:jc w:val="right"/>
              <w:rPr>
                <w:lang w:eastAsia="tr-TR"/>
              </w:rPr>
            </w:pPr>
          </w:p>
        </w:tc>
        <w:tc>
          <w:tcPr>
            <w:tcW w:w="993" w:type="dxa"/>
            <w:tcBorders>
              <w:top w:val="nil"/>
              <w:left w:val="nil"/>
              <w:bottom w:val="nil"/>
              <w:right w:val="nil"/>
            </w:tcBorders>
            <w:shd w:val="clear" w:color="auto" w:fill="auto"/>
            <w:vAlign w:val="center"/>
            <w:hideMark/>
          </w:tcPr>
          <w:p w14:paraId="27D0FE10" w14:textId="77777777" w:rsidR="00AE053A" w:rsidRPr="00005453" w:rsidRDefault="00AE053A" w:rsidP="00AE053A">
            <w:pPr>
              <w:jc w:val="right"/>
              <w:rPr>
                <w:lang w:eastAsia="tr-TR"/>
              </w:rPr>
            </w:pPr>
          </w:p>
        </w:tc>
        <w:tc>
          <w:tcPr>
            <w:tcW w:w="850" w:type="dxa"/>
            <w:tcBorders>
              <w:top w:val="nil"/>
              <w:left w:val="nil"/>
              <w:bottom w:val="nil"/>
              <w:right w:val="nil"/>
            </w:tcBorders>
            <w:shd w:val="clear" w:color="auto" w:fill="auto"/>
            <w:vAlign w:val="center"/>
            <w:hideMark/>
          </w:tcPr>
          <w:p w14:paraId="17AF6DE7" w14:textId="77777777" w:rsidR="00AE053A" w:rsidRPr="00005453" w:rsidRDefault="00AE053A" w:rsidP="00AE053A">
            <w:pPr>
              <w:jc w:val="right"/>
              <w:rPr>
                <w:lang w:eastAsia="tr-TR"/>
              </w:rPr>
            </w:pPr>
          </w:p>
        </w:tc>
        <w:tc>
          <w:tcPr>
            <w:tcW w:w="1189" w:type="dxa"/>
            <w:tcBorders>
              <w:top w:val="nil"/>
              <w:left w:val="nil"/>
              <w:bottom w:val="nil"/>
              <w:right w:val="nil"/>
            </w:tcBorders>
            <w:shd w:val="clear" w:color="auto" w:fill="auto"/>
            <w:vAlign w:val="center"/>
            <w:hideMark/>
          </w:tcPr>
          <w:p w14:paraId="4017F256" w14:textId="77777777" w:rsidR="00AE053A" w:rsidRPr="00005453" w:rsidRDefault="00AE053A" w:rsidP="00AE053A">
            <w:pPr>
              <w:jc w:val="right"/>
              <w:rPr>
                <w:lang w:eastAsia="tr-TR"/>
              </w:rPr>
            </w:pPr>
          </w:p>
        </w:tc>
        <w:tc>
          <w:tcPr>
            <w:tcW w:w="1134" w:type="dxa"/>
            <w:tcBorders>
              <w:top w:val="nil"/>
              <w:left w:val="nil"/>
              <w:bottom w:val="nil"/>
              <w:right w:val="nil"/>
            </w:tcBorders>
            <w:shd w:val="clear" w:color="auto" w:fill="auto"/>
            <w:vAlign w:val="center"/>
            <w:hideMark/>
          </w:tcPr>
          <w:p w14:paraId="71B8A8A7" w14:textId="77777777" w:rsidR="00AE053A" w:rsidRPr="00005453" w:rsidRDefault="00AE053A" w:rsidP="00AE053A">
            <w:pPr>
              <w:jc w:val="right"/>
              <w:rPr>
                <w:lang w:eastAsia="tr-TR"/>
              </w:rPr>
            </w:pPr>
          </w:p>
        </w:tc>
      </w:tr>
      <w:tr w:rsidR="00AE053A" w:rsidRPr="00005453" w14:paraId="3F409495"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109BED25" w14:textId="78BCF319" w:rsidR="00AE053A" w:rsidRPr="00005453" w:rsidRDefault="00AE053A" w:rsidP="00AE053A">
            <w:pPr>
              <w:rPr>
                <w:b/>
                <w:bCs/>
                <w:color w:val="000000"/>
                <w:sz w:val="18"/>
                <w:szCs w:val="18"/>
                <w:lang w:eastAsia="tr-TR"/>
              </w:rPr>
            </w:pPr>
            <w:r w:rsidRPr="00005453">
              <w:rPr>
                <w:b/>
                <w:bCs/>
                <w:color w:val="000000"/>
                <w:sz w:val="18"/>
                <w:szCs w:val="18"/>
                <w:lang w:eastAsia="tr-TR"/>
              </w:rPr>
              <w:t>Varlıklar</w:t>
            </w:r>
          </w:p>
        </w:tc>
        <w:tc>
          <w:tcPr>
            <w:tcW w:w="1392" w:type="dxa"/>
            <w:gridSpan w:val="2"/>
            <w:tcBorders>
              <w:top w:val="nil"/>
              <w:left w:val="nil"/>
              <w:bottom w:val="nil"/>
              <w:right w:val="nil"/>
            </w:tcBorders>
            <w:shd w:val="clear" w:color="auto" w:fill="auto"/>
            <w:vAlign w:val="center"/>
            <w:hideMark/>
          </w:tcPr>
          <w:p w14:paraId="48E55B24" w14:textId="77777777" w:rsidR="00AE053A" w:rsidRPr="00005453" w:rsidRDefault="00AE053A" w:rsidP="00AE053A">
            <w:pPr>
              <w:jc w:val="right"/>
              <w:rPr>
                <w:b/>
                <w:bCs/>
                <w:color w:val="000000"/>
                <w:sz w:val="18"/>
                <w:szCs w:val="18"/>
                <w:lang w:eastAsia="tr-TR"/>
              </w:rPr>
            </w:pPr>
          </w:p>
        </w:tc>
        <w:tc>
          <w:tcPr>
            <w:tcW w:w="963" w:type="dxa"/>
            <w:tcBorders>
              <w:top w:val="nil"/>
              <w:left w:val="nil"/>
              <w:bottom w:val="nil"/>
              <w:right w:val="nil"/>
            </w:tcBorders>
            <w:shd w:val="clear" w:color="auto" w:fill="auto"/>
            <w:vAlign w:val="center"/>
            <w:hideMark/>
          </w:tcPr>
          <w:p w14:paraId="21E63E7C" w14:textId="77777777" w:rsidR="00AE053A" w:rsidRPr="00005453" w:rsidRDefault="00AE053A" w:rsidP="00AE053A">
            <w:pPr>
              <w:jc w:val="right"/>
              <w:rPr>
                <w:lang w:eastAsia="tr-TR"/>
              </w:rPr>
            </w:pPr>
          </w:p>
        </w:tc>
        <w:tc>
          <w:tcPr>
            <w:tcW w:w="993" w:type="dxa"/>
            <w:tcBorders>
              <w:top w:val="nil"/>
              <w:left w:val="nil"/>
              <w:bottom w:val="nil"/>
              <w:right w:val="nil"/>
            </w:tcBorders>
            <w:shd w:val="clear" w:color="auto" w:fill="auto"/>
            <w:vAlign w:val="center"/>
            <w:hideMark/>
          </w:tcPr>
          <w:p w14:paraId="18F7DCB0" w14:textId="77777777" w:rsidR="00AE053A" w:rsidRPr="00005453" w:rsidRDefault="00AE053A" w:rsidP="00AE053A">
            <w:pPr>
              <w:jc w:val="right"/>
              <w:rPr>
                <w:lang w:eastAsia="tr-TR"/>
              </w:rPr>
            </w:pPr>
          </w:p>
        </w:tc>
        <w:tc>
          <w:tcPr>
            <w:tcW w:w="850" w:type="dxa"/>
            <w:tcBorders>
              <w:top w:val="nil"/>
              <w:left w:val="nil"/>
              <w:bottom w:val="nil"/>
              <w:right w:val="nil"/>
            </w:tcBorders>
            <w:shd w:val="clear" w:color="auto" w:fill="auto"/>
            <w:vAlign w:val="center"/>
            <w:hideMark/>
          </w:tcPr>
          <w:p w14:paraId="77DA03E8" w14:textId="77777777" w:rsidR="00AE053A" w:rsidRPr="00005453" w:rsidRDefault="00AE053A" w:rsidP="00AE053A">
            <w:pPr>
              <w:jc w:val="right"/>
              <w:rPr>
                <w:lang w:eastAsia="tr-TR"/>
              </w:rPr>
            </w:pPr>
          </w:p>
        </w:tc>
        <w:tc>
          <w:tcPr>
            <w:tcW w:w="1189" w:type="dxa"/>
            <w:tcBorders>
              <w:top w:val="nil"/>
              <w:left w:val="nil"/>
              <w:bottom w:val="nil"/>
              <w:right w:val="nil"/>
            </w:tcBorders>
            <w:shd w:val="clear" w:color="auto" w:fill="auto"/>
            <w:vAlign w:val="center"/>
            <w:hideMark/>
          </w:tcPr>
          <w:p w14:paraId="01D4CF6D" w14:textId="77777777" w:rsidR="00AE053A" w:rsidRPr="00005453" w:rsidRDefault="00AE053A" w:rsidP="00AE053A">
            <w:pPr>
              <w:jc w:val="right"/>
              <w:rPr>
                <w:lang w:eastAsia="tr-TR"/>
              </w:rPr>
            </w:pPr>
          </w:p>
        </w:tc>
        <w:tc>
          <w:tcPr>
            <w:tcW w:w="1134" w:type="dxa"/>
            <w:tcBorders>
              <w:top w:val="nil"/>
              <w:left w:val="nil"/>
              <w:bottom w:val="nil"/>
              <w:right w:val="nil"/>
            </w:tcBorders>
            <w:shd w:val="clear" w:color="auto" w:fill="auto"/>
            <w:vAlign w:val="center"/>
            <w:hideMark/>
          </w:tcPr>
          <w:p w14:paraId="5C262AB0" w14:textId="77777777" w:rsidR="00AE053A" w:rsidRPr="00005453" w:rsidRDefault="00AE053A" w:rsidP="00AE053A">
            <w:pPr>
              <w:jc w:val="right"/>
              <w:rPr>
                <w:lang w:eastAsia="tr-TR"/>
              </w:rPr>
            </w:pPr>
          </w:p>
        </w:tc>
      </w:tr>
      <w:tr w:rsidR="00AE053A" w:rsidRPr="00005453" w14:paraId="506591BC"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2B90DF2A" w14:textId="77777777" w:rsidR="00AE053A" w:rsidRPr="00005453" w:rsidRDefault="00AE053A" w:rsidP="00AE053A">
            <w:pPr>
              <w:rPr>
                <w:color w:val="000000"/>
                <w:sz w:val="18"/>
                <w:szCs w:val="18"/>
                <w:lang w:eastAsia="tr-TR"/>
              </w:rPr>
            </w:pPr>
            <w:r w:rsidRPr="00005453">
              <w:rPr>
                <w:color w:val="000000"/>
                <w:sz w:val="18"/>
                <w:szCs w:val="18"/>
                <w:lang w:eastAsia="tr-TR"/>
              </w:rPr>
              <w:t>Döviz kuru türevleri:</w:t>
            </w:r>
          </w:p>
        </w:tc>
        <w:tc>
          <w:tcPr>
            <w:tcW w:w="1392" w:type="dxa"/>
            <w:gridSpan w:val="2"/>
            <w:tcBorders>
              <w:top w:val="nil"/>
              <w:left w:val="nil"/>
              <w:bottom w:val="nil"/>
              <w:right w:val="nil"/>
            </w:tcBorders>
            <w:shd w:val="clear" w:color="auto" w:fill="auto"/>
            <w:vAlign w:val="center"/>
            <w:hideMark/>
          </w:tcPr>
          <w:p w14:paraId="6FCE0939" w14:textId="77777777" w:rsidR="00AE053A" w:rsidRPr="00005453" w:rsidRDefault="00AE053A" w:rsidP="00AE053A">
            <w:pPr>
              <w:jc w:val="right"/>
              <w:rPr>
                <w:color w:val="000000"/>
                <w:sz w:val="18"/>
                <w:szCs w:val="18"/>
                <w:lang w:eastAsia="tr-TR"/>
              </w:rPr>
            </w:pPr>
          </w:p>
        </w:tc>
        <w:tc>
          <w:tcPr>
            <w:tcW w:w="963" w:type="dxa"/>
            <w:tcBorders>
              <w:top w:val="nil"/>
              <w:left w:val="nil"/>
              <w:bottom w:val="nil"/>
              <w:right w:val="nil"/>
            </w:tcBorders>
            <w:shd w:val="clear" w:color="auto" w:fill="auto"/>
            <w:vAlign w:val="center"/>
            <w:hideMark/>
          </w:tcPr>
          <w:p w14:paraId="4E44CE09" w14:textId="77777777" w:rsidR="00AE053A" w:rsidRPr="00005453" w:rsidRDefault="00AE053A" w:rsidP="00AE053A">
            <w:pPr>
              <w:jc w:val="right"/>
              <w:rPr>
                <w:lang w:eastAsia="tr-TR"/>
              </w:rPr>
            </w:pPr>
          </w:p>
        </w:tc>
        <w:tc>
          <w:tcPr>
            <w:tcW w:w="993" w:type="dxa"/>
            <w:tcBorders>
              <w:top w:val="nil"/>
              <w:left w:val="nil"/>
              <w:bottom w:val="nil"/>
              <w:right w:val="nil"/>
            </w:tcBorders>
            <w:shd w:val="clear" w:color="auto" w:fill="auto"/>
            <w:vAlign w:val="center"/>
            <w:hideMark/>
          </w:tcPr>
          <w:p w14:paraId="40A112B3" w14:textId="77777777" w:rsidR="00AE053A" w:rsidRPr="00005453" w:rsidRDefault="00AE053A" w:rsidP="00AE053A">
            <w:pPr>
              <w:jc w:val="right"/>
              <w:rPr>
                <w:lang w:eastAsia="tr-TR"/>
              </w:rPr>
            </w:pPr>
          </w:p>
        </w:tc>
        <w:tc>
          <w:tcPr>
            <w:tcW w:w="850" w:type="dxa"/>
            <w:tcBorders>
              <w:top w:val="nil"/>
              <w:left w:val="nil"/>
              <w:bottom w:val="nil"/>
              <w:right w:val="nil"/>
            </w:tcBorders>
            <w:shd w:val="clear" w:color="auto" w:fill="auto"/>
            <w:vAlign w:val="center"/>
            <w:hideMark/>
          </w:tcPr>
          <w:p w14:paraId="7E573849" w14:textId="77777777" w:rsidR="00AE053A" w:rsidRPr="00005453" w:rsidRDefault="00AE053A" w:rsidP="00AE053A">
            <w:pPr>
              <w:jc w:val="right"/>
              <w:rPr>
                <w:lang w:eastAsia="tr-TR"/>
              </w:rPr>
            </w:pPr>
          </w:p>
        </w:tc>
        <w:tc>
          <w:tcPr>
            <w:tcW w:w="1189" w:type="dxa"/>
            <w:tcBorders>
              <w:top w:val="nil"/>
              <w:left w:val="nil"/>
              <w:bottom w:val="nil"/>
              <w:right w:val="nil"/>
            </w:tcBorders>
            <w:shd w:val="clear" w:color="auto" w:fill="auto"/>
            <w:vAlign w:val="center"/>
            <w:hideMark/>
          </w:tcPr>
          <w:p w14:paraId="731751DC" w14:textId="77777777" w:rsidR="00AE053A" w:rsidRPr="00005453" w:rsidRDefault="00AE053A" w:rsidP="00AE053A">
            <w:pPr>
              <w:jc w:val="right"/>
              <w:rPr>
                <w:lang w:eastAsia="tr-TR"/>
              </w:rPr>
            </w:pPr>
          </w:p>
        </w:tc>
        <w:tc>
          <w:tcPr>
            <w:tcW w:w="1134" w:type="dxa"/>
            <w:tcBorders>
              <w:top w:val="nil"/>
              <w:left w:val="nil"/>
              <w:bottom w:val="nil"/>
              <w:right w:val="nil"/>
            </w:tcBorders>
            <w:shd w:val="clear" w:color="auto" w:fill="auto"/>
            <w:vAlign w:val="center"/>
            <w:hideMark/>
          </w:tcPr>
          <w:p w14:paraId="60AC632D" w14:textId="77777777" w:rsidR="00AE053A" w:rsidRPr="00005453" w:rsidRDefault="00AE053A" w:rsidP="00AE053A">
            <w:pPr>
              <w:jc w:val="right"/>
              <w:rPr>
                <w:lang w:eastAsia="tr-TR"/>
              </w:rPr>
            </w:pPr>
          </w:p>
        </w:tc>
      </w:tr>
      <w:tr w:rsidR="00F66143" w:rsidRPr="00005453" w14:paraId="74539C54"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6394B1B6" w14:textId="77777777" w:rsidR="00F66143" w:rsidRPr="00005453" w:rsidRDefault="00F66143" w:rsidP="00F66143">
            <w:pPr>
              <w:rPr>
                <w:color w:val="000000"/>
                <w:sz w:val="18"/>
                <w:szCs w:val="18"/>
                <w:lang w:eastAsia="tr-TR"/>
              </w:rPr>
            </w:pPr>
            <w:r w:rsidRPr="00005453">
              <w:rPr>
                <w:color w:val="000000"/>
                <w:sz w:val="18"/>
                <w:szCs w:val="18"/>
                <w:lang w:eastAsia="tr-TR"/>
              </w:rPr>
              <w:t xml:space="preserve">  Giriş</w:t>
            </w:r>
          </w:p>
        </w:tc>
        <w:tc>
          <w:tcPr>
            <w:tcW w:w="1392" w:type="dxa"/>
            <w:gridSpan w:val="2"/>
            <w:tcBorders>
              <w:top w:val="nil"/>
              <w:left w:val="nil"/>
              <w:bottom w:val="nil"/>
              <w:right w:val="nil"/>
            </w:tcBorders>
            <w:shd w:val="clear" w:color="auto" w:fill="auto"/>
            <w:vAlign w:val="center"/>
            <w:hideMark/>
          </w:tcPr>
          <w:p w14:paraId="5A7279D8" w14:textId="4A7A3C49" w:rsidR="00F66143" w:rsidRPr="00005453" w:rsidRDefault="00F66143" w:rsidP="00F66143">
            <w:pPr>
              <w:jc w:val="right"/>
              <w:rPr>
                <w:sz w:val="16"/>
                <w:szCs w:val="17"/>
                <w:lang w:eastAsia="tr-TR"/>
              </w:rPr>
            </w:pPr>
            <w:r w:rsidRPr="00005453">
              <w:rPr>
                <w:sz w:val="16"/>
                <w:szCs w:val="18"/>
              </w:rPr>
              <w:t>100,566,246</w:t>
            </w:r>
          </w:p>
        </w:tc>
        <w:tc>
          <w:tcPr>
            <w:tcW w:w="963" w:type="dxa"/>
            <w:tcBorders>
              <w:top w:val="nil"/>
              <w:left w:val="nil"/>
              <w:bottom w:val="nil"/>
              <w:right w:val="nil"/>
            </w:tcBorders>
            <w:shd w:val="clear" w:color="auto" w:fill="auto"/>
            <w:vAlign w:val="center"/>
            <w:hideMark/>
          </w:tcPr>
          <w:p w14:paraId="74B92E6E" w14:textId="4E679589" w:rsidR="00F66143" w:rsidRPr="00005453" w:rsidRDefault="00F66143" w:rsidP="00F66143">
            <w:pPr>
              <w:jc w:val="right"/>
              <w:rPr>
                <w:sz w:val="16"/>
                <w:szCs w:val="17"/>
                <w:lang w:eastAsia="tr-TR"/>
              </w:rPr>
            </w:pPr>
            <w:r w:rsidRPr="00005453">
              <w:rPr>
                <w:sz w:val="16"/>
                <w:szCs w:val="18"/>
              </w:rPr>
              <w:t>51,976,727</w:t>
            </w:r>
          </w:p>
        </w:tc>
        <w:tc>
          <w:tcPr>
            <w:tcW w:w="993" w:type="dxa"/>
            <w:tcBorders>
              <w:top w:val="nil"/>
              <w:left w:val="nil"/>
              <w:bottom w:val="nil"/>
              <w:right w:val="nil"/>
            </w:tcBorders>
            <w:shd w:val="clear" w:color="auto" w:fill="auto"/>
            <w:vAlign w:val="center"/>
            <w:hideMark/>
          </w:tcPr>
          <w:p w14:paraId="7F371F6D" w14:textId="76E07A83" w:rsidR="00F66143" w:rsidRPr="00005453" w:rsidRDefault="00F66143" w:rsidP="00F66143">
            <w:pPr>
              <w:jc w:val="right"/>
              <w:rPr>
                <w:sz w:val="16"/>
                <w:szCs w:val="17"/>
                <w:lang w:eastAsia="tr-TR"/>
              </w:rPr>
            </w:pPr>
            <w:r w:rsidRPr="00005453">
              <w:rPr>
                <w:sz w:val="16"/>
                <w:szCs w:val="18"/>
              </w:rPr>
              <w:t>7,504,287</w:t>
            </w:r>
          </w:p>
        </w:tc>
        <w:tc>
          <w:tcPr>
            <w:tcW w:w="850" w:type="dxa"/>
            <w:tcBorders>
              <w:top w:val="nil"/>
              <w:left w:val="nil"/>
              <w:bottom w:val="nil"/>
              <w:right w:val="nil"/>
            </w:tcBorders>
            <w:shd w:val="clear" w:color="auto" w:fill="auto"/>
            <w:vAlign w:val="center"/>
            <w:hideMark/>
          </w:tcPr>
          <w:p w14:paraId="00BDA757" w14:textId="1CC8FA50" w:rsidR="00F66143" w:rsidRPr="00005453" w:rsidRDefault="00F66143" w:rsidP="00F66143">
            <w:pPr>
              <w:jc w:val="right"/>
              <w:rPr>
                <w:sz w:val="16"/>
                <w:szCs w:val="17"/>
                <w:lang w:eastAsia="tr-TR"/>
              </w:rPr>
            </w:pPr>
            <w:r w:rsidRPr="00005453">
              <w:rPr>
                <w:sz w:val="16"/>
                <w:szCs w:val="18"/>
              </w:rPr>
              <w:t>2,998,715</w:t>
            </w:r>
          </w:p>
        </w:tc>
        <w:tc>
          <w:tcPr>
            <w:tcW w:w="1189" w:type="dxa"/>
            <w:tcBorders>
              <w:top w:val="nil"/>
              <w:left w:val="nil"/>
              <w:bottom w:val="nil"/>
              <w:right w:val="nil"/>
            </w:tcBorders>
            <w:shd w:val="clear" w:color="auto" w:fill="auto"/>
            <w:vAlign w:val="center"/>
            <w:hideMark/>
          </w:tcPr>
          <w:p w14:paraId="06C96922" w14:textId="68C472FD" w:rsidR="00F66143" w:rsidRPr="00005453" w:rsidRDefault="00F66143" w:rsidP="00F66143">
            <w:pPr>
              <w:jc w:val="right"/>
              <w:rPr>
                <w:sz w:val="16"/>
                <w:szCs w:val="17"/>
                <w:lang w:eastAsia="tr-TR"/>
              </w:rPr>
            </w:pPr>
            <w:r w:rsidRPr="00005453">
              <w:rPr>
                <w:sz w:val="16"/>
                <w:szCs w:val="17"/>
              </w:rPr>
              <w:t>-</w:t>
            </w:r>
          </w:p>
        </w:tc>
        <w:tc>
          <w:tcPr>
            <w:tcW w:w="1134" w:type="dxa"/>
            <w:tcBorders>
              <w:top w:val="nil"/>
              <w:left w:val="nil"/>
              <w:bottom w:val="nil"/>
              <w:right w:val="nil"/>
            </w:tcBorders>
            <w:shd w:val="clear" w:color="auto" w:fill="auto"/>
            <w:vAlign w:val="center"/>
            <w:hideMark/>
          </w:tcPr>
          <w:p w14:paraId="77D2FD7D" w14:textId="2101927E" w:rsidR="00F66143" w:rsidRPr="00005453" w:rsidRDefault="00F66143" w:rsidP="00F66143">
            <w:pPr>
              <w:jc w:val="right"/>
              <w:rPr>
                <w:sz w:val="16"/>
                <w:szCs w:val="17"/>
                <w:lang w:eastAsia="tr-TR"/>
              </w:rPr>
            </w:pPr>
            <w:r w:rsidRPr="00005453">
              <w:rPr>
                <w:sz w:val="16"/>
                <w:szCs w:val="18"/>
              </w:rPr>
              <w:t>163,045,975</w:t>
            </w:r>
          </w:p>
        </w:tc>
      </w:tr>
      <w:tr w:rsidR="00F66143" w:rsidRPr="00005453" w14:paraId="11FE2653"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46A14B1C" w14:textId="77777777" w:rsidR="00F66143" w:rsidRPr="00005453" w:rsidRDefault="00F66143" w:rsidP="00F66143">
            <w:pPr>
              <w:rPr>
                <w:color w:val="000000"/>
                <w:sz w:val="18"/>
                <w:szCs w:val="18"/>
                <w:lang w:eastAsia="tr-TR"/>
              </w:rPr>
            </w:pPr>
            <w:r w:rsidRPr="00005453">
              <w:rPr>
                <w:color w:val="000000"/>
                <w:sz w:val="18"/>
                <w:szCs w:val="18"/>
                <w:lang w:eastAsia="tr-TR"/>
              </w:rPr>
              <w:t xml:space="preserve">  Çıkış</w:t>
            </w:r>
          </w:p>
        </w:tc>
        <w:tc>
          <w:tcPr>
            <w:tcW w:w="1392" w:type="dxa"/>
            <w:gridSpan w:val="2"/>
            <w:tcBorders>
              <w:top w:val="nil"/>
              <w:left w:val="nil"/>
              <w:bottom w:val="nil"/>
              <w:right w:val="nil"/>
            </w:tcBorders>
            <w:shd w:val="clear" w:color="auto" w:fill="auto"/>
            <w:vAlign w:val="center"/>
            <w:hideMark/>
          </w:tcPr>
          <w:p w14:paraId="34CB501B" w14:textId="545DABFC" w:rsidR="00F66143" w:rsidRPr="00005453" w:rsidRDefault="00F66143" w:rsidP="00F66143">
            <w:pPr>
              <w:jc w:val="right"/>
              <w:rPr>
                <w:sz w:val="16"/>
                <w:szCs w:val="17"/>
                <w:lang w:eastAsia="tr-TR"/>
              </w:rPr>
            </w:pPr>
            <w:r w:rsidRPr="00005453">
              <w:rPr>
                <w:sz w:val="16"/>
                <w:szCs w:val="18"/>
              </w:rPr>
              <w:t>101,102,213</w:t>
            </w:r>
          </w:p>
        </w:tc>
        <w:tc>
          <w:tcPr>
            <w:tcW w:w="963" w:type="dxa"/>
            <w:tcBorders>
              <w:top w:val="nil"/>
              <w:left w:val="nil"/>
              <w:bottom w:val="nil"/>
              <w:right w:val="nil"/>
            </w:tcBorders>
            <w:shd w:val="clear" w:color="auto" w:fill="auto"/>
            <w:vAlign w:val="center"/>
            <w:hideMark/>
          </w:tcPr>
          <w:p w14:paraId="76CCFAF7" w14:textId="289BD5F0" w:rsidR="00F66143" w:rsidRPr="00005453" w:rsidRDefault="00F66143" w:rsidP="00F66143">
            <w:pPr>
              <w:jc w:val="right"/>
              <w:rPr>
                <w:sz w:val="16"/>
                <w:szCs w:val="17"/>
                <w:lang w:eastAsia="tr-TR"/>
              </w:rPr>
            </w:pPr>
            <w:r w:rsidRPr="00005453">
              <w:rPr>
                <w:sz w:val="16"/>
                <w:szCs w:val="18"/>
              </w:rPr>
              <w:t>53,731,941</w:t>
            </w:r>
          </w:p>
        </w:tc>
        <w:tc>
          <w:tcPr>
            <w:tcW w:w="993" w:type="dxa"/>
            <w:tcBorders>
              <w:top w:val="nil"/>
              <w:left w:val="nil"/>
              <w:bottom w:val="nil"/>
              <w:right w:val="nil"/>
            </w:tcBorders>
            <w:shd w:val="clear" w:color="auto" w:fill="auto"/>
            <w:vAlign w:val="center"/>
            <w:hideMark/>
          </w:tcPr>
          <w:p w14:paraId="30C4C9CC" w14:textId="7D6B2788" w:rsidR="00F66143" w:rsidRPr="00005453" w:rsidRDefault="00F66143" w:rsidP="00F66143">
            <w:pPr>
              <w:jc w:val="right"/>
              <w:rPr>
                <w:sz w:val="16"/>
                <w:szCs w:val="17"/>
                <w:lang w:eastAsia="tr-TR"/>
              </w:rPr>
            </w:pPr>
            <w:r w:rsidRPr="00005453">
              <w:rPr>
                <w:sz w:val="16"/>
                <w:szCs w:val="18"/>
              </w:rPr>
              <w:t>8,005,850</w:t>
            </w:r>
          </w:p>
        </w:tc>
        <w:tc>
          <w:tcPr>
            <w:tcW w:w="850" w:type="dxa"/>
            <w:tcBorders>
              <w:top w:val="nil"/>
              <w:left w:val="nil"/>
              <w:bottom w:val="nil"/>
              <w:right w:val="nil"/>
            </w:tcBorders>
            <w:shd w:val="clear" w:color="auto" w:fill="auto"/>
            <w:vAlign w:val="center"/>
            <w:hideMark/>
          </w:tcPr>
          <w:p w14:paraId="087E5887" w14:textId="12D89A53" w:rsidR="00F66143" w:rsidRPr="00005453" w:rsidRDefault="00F66143" w:rsidP="00F66143">
            <w:pPr>
              <w:jc w:val="right"/>
              <w:rPr>
                <w:sz w:val="16"/>
                <w:szCs w:val="17"/>
                <w:lang w:eastAsia="tr-TR"/>
              </w:rPr>
            </w:pPr>
            <w:r w:rsidRPr="00005453">
              <w:rPr>
                <w:sz w:val="16"/>
                <w:szCs w:val="18"/>
              </w:rPr>
              <w:t>4,852,145</w:t>
            </w:r>
          </w:p>
        </w:tc>
        <w:tc>
          <w:tcPr>
            <w:tcW w:w="1189" w:type="dxa"/>
            <w:tcBorders>
              <w:top w:val="nil"/>
              <w:left w:val="nil"/>
              <w:bottom w:val="nil"/>
              <w:right w:val="nil"/>
            </w:tcBorders>
            <w:shd w:val="clear" w:color="auto" w:fill="auto"/>
            <w:vAlign w:val="center"/>
            <w:hideMark/>
          </w:tcPr>
          <w:p w14:paraId="7216D61B" w14:textId="5EE5658F" w:rsidR="00F66143" w:rsidRPr="00005453" w:rsidRDefault="00F66143" w:rsidP="00F66143">
            <w:pPr>
              <w:jc w:val="right"/>
              <w:rPr>
                <w:sz w:val="16"/>
                <w:szCs w:val="17"/>
                <w:lang w:eastAsia="tr-TR"/>
              </w:rPr>
            </w:pPr>
            <w:r w:rsidRPr="00005453">
              <w:rPr>
                <w:sz w:val="16"/>
                <w:szCs w:val="17"/>
              </w:rPr>
              <w:t>-</w:t>
            </w:r>
          </w:p>
        </w:tc>
        <w:tc>
          <w:tcPr>
            <w:tcW w:w="1134" w:type="dxa"/>
            <w:tcBorders>
              <w:top w:val="nil"/>
              <w:left w:val="nil"/>
              <w:bottom w:val="nil"/>
              <w:right w:val="nil"/>
            </w:tcBorders>
            <w:shd w:val="clear" w:color="auto" w:fill="auto"/>
            <w:vAlign w:val="center"/>
            <w:hideMark/>
          </w:tcPr>
          <w:p w14:paraId="7120CA4F" w14:textId="4A699117" w:rsidR="00F66143" w:rsidRPr="00005453" w:rsidRDefault="00F66143" w:rsidP="00F66143">
            <w:pPr>
              <w:jc w:val="right"/>
              <w:rPr>
                <w:sz w:val="16"/>
                <w:szCs w:val="17"/>
                <w:lang w:eastAsia="tr-TR"/>
              </w:rPr>
            </w:pPr>
            <w:r w:rsidRPr="00005453">
              <w:rPr>
                <w:sz w:val="16"/>
                <w:szCs w:val="18"/>
              </w:rPr>
              <w:t>167,692,149</w:t>
            </w:r>
          </w:p>
        </w:tc>
      </w:tr>
      <w:tr w:rsidR="00AE053A" w:rsidRPr="00005453" w14:paraId="31554481"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5E10E7BC" w14:textId="77777777" w:rsidR="00AE053A" w:rsidRPr="00005453" w:rsidRDefault="00AE053A" w:rsidP="00AE053A">
            <w:pPr>
              <w:rPr>
                <w:b/>
                <w:bCs/>
                <w:color w:val="000000"/>
                <w:sz w:val="18"/>
                <w:szCs w:val="18"/>
                <w:lang w:eastAsia="tr-TR"/>
              </w:rPr>
            </w:pPr>
            <w:r w:rsidRPr="00005453">
              <w:rPr>
                <w:b/>
                <w:bCs/>
                <w:color w:val="000000"/>
                <w:sz w:val="18"/>
                <w:szCs w:val="18"/>
                <w:lang w:eastAsia="tr-TR"/>
              </w:rPr>
              <w:t>Riskten korunma amaçlı varlıklar</w:t>
            </w:r>
          </w:p>
        </w:tc>
        <w:tc>
          <w:tcPr>
            <w:tcW w:w="1392" w:type="dxa"/>
            <w:gridSpan w:val="2"/>
            <w:tcBorders>
              <w:top w:val="nil"/>
              <w:left w:val="nil"/>
              <w:bottom w:val="nil"/>
              <w:right w:val="nil"/>
            </w:tcBorders>
            <w:shd w:val="clear" w:color="auto" w:fill="auto"/>
            <w:vAlign w:val="center"/>
            <w:hideMark/>
          </w:tcPr>
          <w:p w14:paraId="4997103B" w14:textId="77777777" w:rsidR="00AE053A" w:rsidRPr="00005453" w:rsidRDefault="00AE053A" w:rsidP="00CB690C">
            <w:pPr>
              <w:jc w:val="right"/>
              <w:rPr>
                <w:b/>
                <w:bCs/>
                <w:sz w:val="17"/>
                <w:szCs w:val="17"/>
                <w:lang w:eastAsia="tr-TR"/>
              </w:rPr>
            </w:pPr>
          </w:p>
        </w:tc>
        <w:tc>
          <w:tcPr>
            <w:tcW w:w="963" w:type="dxa"/>
            <w:tcBorders>
              <w:top w:val="nil"/>
              <w:left w:val="nil"/>
              <w:bottom w:val="nil"/>
              <w:right w:val="nil"/>
            </w:tcBorders>
            <w:shd w:val="clear" w:color="auto" w:fill="auto"/>
            <w:vAlign w:val="center"/>
            <w:hideMark/>
          </w:tcPr>
          <w:p w14:paraId="435687B7" w14:textId="77777777" w:rsidR="00AE053A" w:rsidRPr="00005453" w:rsidRDefault="00AE053A" w:rsidP="00CB690C">
            <w:pPr>
              <w:jc w:val="right"/>
              <w:rPr>
                <w:sz w:val="17"/>
                <w:szCs w:val="17"/>
                <w:lang w:eastAsia="tr-TR"/>
              </w:rPr>
            </w:pPr>
          </w:p>
        </w:tc>
        <w:tc>
          <w:tcPr>
            <w:tcW w:w="993" w:type="dxa"/>
            <w:tcBorders>
              <w:top w:val="nil"/>
              <w:left w:val="nil"/>
              <w:bottom w:val="nil"/>
              <w:right w:val="nil"/>
            </w:tcBorders>
            <w:shd w:val="clear" w:color="auto" w:fill="auto"/>
            <w:vAlign w:val="center"/>
            <w:hideMark/>
          </w:tcPr>
          <w:p w14:paraId="69A160FA" w14:textId="77777777" w:rsidR="00AE053A" w:rsidRPr="00005453" w:rsidRDefault="00AE053A" w:rsidP="00CB690C">
            <w:pPr>
              <w:jc w:val="right"/>
              <w:rPr>
                <w:sz w:val="17"/>
                <w:szCs w:val="17"/>
                <w:lang w:eastAsia="tr-TR"/>
              </w:rPr>
            </w:pPr>
          </w:p>
        </w:tc>
        <w:tc>
          <w:tcPr>
            <w:tcW w:w="850" w:type="dxa"/>
            <w:tcBorders>
              <w:top w:val="nil"/>
              <w:left w:val="nil"/>
              <w:bottom w:val="nil"/>
              <w:right w:val="nil"/>
            </w:tcBorders>
            <w:shd w:val="clear" w:color="auto" w:fill="auto"/>
            <w:vAlign w:val="center"/>
            <w:hideMark/>
          </w:tcPr>
          <w:p w14:paraId="6F124D6E" w14:textId="77777777" w:rsidR="00AE053A" w:rsidRPr="00005453" w:rsidRDefault="00AE053A" w:rsidP="00CB690C">
            <w:pPr>
              <w:jc w:val="right"/>
              <w:rPr>
                <w:sz w:val="17"/>
                <w:szCs w:val="17"/>
                <w:lang w:eastAsia="tr-TR"/>
              </w:rPr>
            </w:pPr>
          </w:p>
        </w:tc>
        <w:tc>
          <w:tcPr>
            <w:tcW w:w="1189" w:type="dxa"/>
            <w:tcBorders>
              <w:top w:val="nil"/>
              <w:left w:val="nil"/>
              <w:bottom w:val="nil"/>
              <w:right w:val="nil"/>
            </w:tcBorders>
            <w:shd w:val="clear" w:color="auto" w:fill="auto"/>
            <w:vAlign w:val="center"/>
            <w:hideMark/>
          </w:tcPr>
          <w:p w14:paraId="2C316368" w14:textId="77777777" w:rsidR="00AE053A" w:rsidRPr="00005453" w:rsidRDefault="00AE053A" w:rsidP="00CB690C">
            <w:pPr>
              <w:jc w:val="right"/>
              <w:rPr>
                <w:sz w:val="17"/>
                <w:szCs w:val="17"/>
                <w:lang w:eastAsia="tr-TR"/>
              </w:rPr>
            </w:pPr>
          </w:p>
        </w:tc>
        <w:tc>
          <w:tcPr>
            <w:tcW w:w="1134" w:type="dxa"/>
            <w:tcBorders>
              <w:top w:val="nil"/>
              <w:left w:val="nil"/>
              <w:bottom w:val="nil"/>
              <w:right w:val="nil"/>
            </w:tcBorders>
            <w:shd w:val="clear" w:color="auto" w:fill="auto"/>
            <w:vAlign w:val="center"/>
            <w:hideMark/>
          </w:tcPr>
          <w:p w14:paraId="7DBF5CBA" w14:textId="77777777" w:rsidR="00AE053A" w:rsidRPr="00005453" w:rsidRDefault="00AE053A" w:rsidP="00CB690C">
            <w:pPr>
              <w:jc w:val="right"/>
              <w:rPr>
                <w:sz w:val="17"/>
                <w:szCs w:val="17"/>
                <w:lang w:eastAsia="tr-TR"/>
              </w:rPr>
            </w:pPr>
          </w:p>
        </w:tc>
      </w:tr>
      <w:tr w:rsidR="00AE053A" w:rsidRPr="00005453" w14:paraId="1960C368"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2F31E94C" w14:textId="77777777" w:rsidR="00AE053A" w:rsidRPr="00005453" w:rsidRDefault="00AE053A" w:rsidP="00AE053A">
            <w:pPr>
              <w:rPr>
                <w:color w:val="000000"/>
                <w:sz w:val="18"/>
                <w:szCs w:val="18"/>
                <w:lang w:eastAsia="tr-TR"/>
              </w:rPr>
            </w:pPr>
            <w:r w:rsidRPr="00005453">
              <w:rPr>
                <w:color w:val="000000"/>
                <w:sz w:val="18"/>
                <w:szCs w:val="18"/>
                <w:lang w:eastAsia="tr-TR"/>
              </w:rPr>
              <w:t>Döviz kuru türevleri:</w:t>
            </w:r>
          </w:p>
        </w:tc>
        <w:tc>
          <w:tcPr>
            <w:tcW w:w="1392" w:type="dxa"/>
            <w:gridSpan w:val="2"/>
            <w:tcBorders>
              <w:top w:val="nil"/>
              <w:left w:val="nil"/>
              <w:bottom w:val="nil"/>
              <w:right w:val="nil"/>
            </w:tcBorders>
            <w:shd w:val="clear" w:color="auto" w:fill="auto"/>
            <w:vAlign w:val="center"/>
            <w:hideMark/>
          </w:tcPr>
          <w:p w14:paraId="28CFD9AF" w14:textId="77777777" w:rsidR="00AE053A" w:rsidRPr="00005453" w:rsidRDefault="00AE053A" w:rsidP="00CB690C">
            <w:pPr>
              <w:jc w:val="right"/>
              <w:rPr>
                <w:sz w:val="17"/>
                <w:szCs w:val="17"/>
                <w:lang w:eastAsia="tr-TR"/>
              </w:rPr>
            </w:pPr>
          </w:p>
        </w:tc>
        <w:tc>
          <w:tcPr>
            <w:tcW w:w="963" w:type="dxa"/>
            <w:tcBorders>
              <w:top w:val="nil"/>
              <w:left w:val="nil"/>
              <w:bottom w:val="nil"/>
              <w:right w:val="nil"/>
            </w:tcBorders>
            <w:shd w:val="clear" w:color="auto" w:fill="auto"/>
            <w:vAlign w:val="center"/>
            <w:hideMark/>
          </w:tcPr>
          <w:p w14:paraId="48DED695" w14:textId="77777777" w:rsidR="00AE053A" w:rsidRPr="00005453" w:rsidRDefault="00AE053A" w:rsidP="00CB690C">
            <w:pPr>
              <w:jc w:val="right"/>
              <w:rPr>
                <w:sz w:val="17"/>
                <w:szCs w:val="17"/>
                <w:lang w:eastAsia="tr-TR"/>
              </w:rPr>
            </w:pPr>
          </w:p>
        </w:tc>
        <w:tc>
          <w:tcPr>
            <w:tcW w:w="993" w:type="dxa"/>
            <w:tcBorders>
              <w:top w:val="nil"/>
              <w:left w:val="nil"/>
              <w:bottom w:val="nil"/>
              <w:right w:val="nil"/>
            </w:tcBorders>
            <w:shd w:val="clear" w:color="auto" w:fill="auto"/>
            <w:vAlign w:val="center"/>
            <w:hideMark/>
          </w:tcPr>
          <w:p w14:paraId="27DADAF6" w14:textId="77777777" w:rsidR="00AE053A" w:rsidRPr="00005453" w:rsidRDefault="00AE053A" w:rsidP="00CB690C">
            <w:pPr>
              <w:jc w:val="right"/>
              <w:rPr>
                <w:sz w:val="17"/>
                <w:szCs w:val="17"/>
                <w:lang w:eastAsia="tr-TR"/>
              </w:rPr>
            </w:pPr>
          </w:p>
        </w:tc>
        <w:tc>
          <w:tcPr>
            <w:tcW w:w="850" w:type="dxa"/>
            <w:tcBorders>
              <w:top w:val="nil"/>
              <w:left w:val="nil"/>
              <w:bottom w:val="nil"/>
              <w:right w:val="nil"/>
            </w:tcBorders>
            <w:shd w:val="clear" w:color="auto" w:fill="auto"/>
            <w:vAlign w:val="center"/>
            <w:hideMark/>
          </w:tcPr>
          <w:p w14:paraId="120ED820" w14:textId="77777777" w:rsidR="00AE053A" w:rsidRPr="00005453" w:rsidRDefault="00AE053A" w:rsidP="00CB690C">
            <w:pPr>
              <w:jc w:val="right"/>
              <w:rPr>
                <w:sz w:val="17"/>
                <w:szCs w:val="17"/>
                <w:lang w:eastAsia="tr-TR"/>
              </w:rPr>
            </w:pPr>
          </w:p>
        </w:tc>
        <w:tc>
          <w:tcPr>
            <w:tcW w:w="1189" w:type="dxa"/>
            <w:tcBorders>
              <w:top w:val="nil"/>
              <w:left w:val="nil"/>
              <w:bottom w:val="nil"/>
              <w:right w:val="nil"/>
            </w:tcBorders>
            <w:shd w:val="clear" w:color="auto" w:fill="auto"/>
            <w:vAlign w:val="center"/>
            <w:hideMark/>
          </w:tcPr>
          <w:p w14:paraId="5E860569" w14:textId="77777777" w:rsidR="00AE053A" w:rsidRPr="00005453" w:rsidRDefault="00AE053A" w:rsidP="00CB690C">
            <w:pPr>
              <w:jc w:val="right"/>
              <w:rPr>
                <w:sz w:val="17"/>
                <w:szCs w:val="17"/>
                <w:lang w:eastAsia="tr-TR"/>
              </w:rPr>
            </w:pPr>
          </w:p>
        </w:tc>
        <w:tc>
          <w:tcPr>
            <w:tcW w:w="1134" w:type="dxa"/>
            <w:tcBorders>
              <w:top w:val="nil"/>
              <w:left w:val="nil"/>
              <w:bottom w:val="nil"/>
              <w:right w:val="nil"/>
            </w:tcBorders>
            <w:shd w:val="clear" w:color="auto" w:fill="auto"/>
            <w:vAlign w:val="center"/>
            <w:hideMark/>
          </w:tcPr>
          <w:p w14:paraId="568A796A" w14:textId="77777777" w:rsidR="00AE053A" w:rsidRPr="00005453" w:rsidRDefault="00AE053A" w:rsidP="00CB690C">
            <w:pPr>
              <w:jc w:val="right"/>
              <w:rPr>
                <w:sz w:val="17"/>
                <w:szCs w:val="17"/>
                <w:lang w:eastAsia="tr-TR"/>
              </w:rPr>
            </w:pPr>
          </w:p>
        </w:tc>
      </w:tr>
      <w:tr w:rsidR="00AE053A" w:rsidRPr="00005453" w14:paraId="57E2BAAC" w14:textId="77777777" w:rsidTr="00A7269C">
        <w:trPr>
          <w:divId w:val="961306936"/>
          <w:trHeight w:val="243"/>
        </w:trPr>
        <w:tc>
          <w:tcPr>
            <w:tcW w:w="2835" w:type="dxa"/>
            <w:tcBorders>
              <w:top w:val="nil"/>
              <w:left w:val="nil"/>
              <w:bottom w:val="nil"/>
              <w:right w:val="nil"/>
            </w:tcBorders>
            <w:shd w:val="clear" w:color="000000" w:fill="FFFFFF"/>
            <w:noWrap/>
            <w:vAlign w:val="center"/>
            <w:hideMark/>
          </w:tcPr>
          <w:p w14:paraId="303535D6" w14:textId="77777777" w:rsidR="00AE053A" w:rsidRPr="00005453" w:rsidRDefault="00AE053A" w:rsidP="00AE053A">
            <w:pPr>
              <w:rPr>
                <w:color w:val="000000"/>
                <w:sz w:val="18"/>
                <w:szCs w:val="18"/>
                <w:lang w:eastAsia="tr-TR"/>
              </w:rPr>
            </w:pPr>
            <w:r w:rsidRPr="00005453">
              <w:rPr>
                <w:color w:val="000000"/>
                <w:sz w:val="18"/>
                <w:szCs w:val="18"/>
                <w:lang w:eastAsia="tr-TR"/>
              </w:rPr>
              <w:t xml:space="preserve">  Giriş</w:t>
            </w:r>
          </w:p>
        </w:tc>
        <w:tc>
          <w:tcPr>
            <w:tcW w:w="1392" w:type="dxa"/>
            <w:gridSpan w:val="2"/>
            <w:tcBorders>
              <w:top w:val="nil"/>
              <w:left w:val="nil"/>
              <w:bottom w:val="nil"/>
              <w:right w:val="nil"/>
            </w:tcBorders>
            <w:shd w:val="clear" w:color="auto" w:fill="auto"/>
            <w:vAlign w:val="center"/>
            <w:hideMark/>
          </w:tcPr>
          <w:p w14:paraId="045F3068" w14:textId="77777777" w:rsidR="00AE053A" w:rsidRPr="00005453" w:rsidRDefault="00AE053A" w:rsidP="00CB690C">
            <w:pPr>
              <w:jc w:val="right"/>
              <w:rPr>
                <w:sz w:val="17"/>
                <w:szCs w:val="17"/>
                <w:lang w:eastAsia="tr-TR"/>
              </w:rPr>
            </w:pPr>
            <w:r w:rsidRPr="00005453">
              <w:rPr>
                <w:sz w:val="17"/>
                <w:szCs w:val="17"/>
                <w:lang w:eastAsia="tr-TR"/>
              </w:rPr>
              <w:t>-</w:t>
            </w:r>
          </w:p>
        </w:tc>
        <w:tc>
          <w:tcPr>
            <w:tcW w:w="963" w:type="dxa"/>
            <w:tcBorders>
              <w:top w:val="nil"/>
              <w:left w:val="nil"/>
              <w:bottom w:val="nil"/>
              <w:right w:val="nil"/>
            </w:tcBorders>
            <w:shd w:val="clear" w:color="auto" w:fill="auto"/>
            <w:vAlign w:val="center"/>
            <w:hideMark/>
          </w:tcPr>
          <w:p w14:paraId="52D0BB34" w14:textId="77777777" w:rsidR="00AE053A" w:rsidRPr="00005453" w:rsidRDefault="00AE053A" w:rsidP="00CB690C">
            <w:pPr>
              <w:jc w:val="right"/>
              <w:rPr>
                <w:sz w:val="17"/>
                <w:szCs w:val="17"/>
                <w:lang w:eastAsia="tr-TR"/>
              </w:rPr>
            </w:pPr>
            <w:r w:rsidRPr="00005453">
              <w:rPr>
                <w:sz w:val="17"/>
                <w:szCs w:val="17"/>
                <w:lang w:eastAsia="tr-TR"/>
              </w:rPr>
              <w:t>-</w:t>
            </w:r>
          </w:p>
        </w:tc>
        <w:tc>
          <w:tcPr>
            <w:tcW w:w="993" w:type="dxa"/>
            <w:tcBorders>
              <w:top w:val="nil"/>
              <w:left w:val="nil"/>
              <w:bottom w:val="nil"/>
              <w:right w:val="nil"/>
            </w:tcBorders>
            <w:shd w:val="clear" w:color="auto" w:fill="auto"/>
            <w:vAlign w:val="center"/>
            <w:hideMark/>
          </w:tcPr>
          <w:p w14:paraId="2CAAA74A" w14:textId="77777777" w:rsidR="00AE053A" w:rsidRPr="00005453" w:rsidRDefault="00AE053A" w:rsidP="00CB690C">
            <w:pPr>
              <w:jc w:val="right"/>
              <w:rPr>
                <w:sz w:val="17"/>
                <w:szCs w:val="17"/>
                <w:lang w:eastAsia="tr-TR"/>
              </w:rPr>
            </w:pPr>
            <w:r w:rsidRPr="00005453">
              <w:rPr>
                <w:sz w:val="17"/>
                <w:szCs w:val="17"/>
                <w:lang w:eastAsia="tr-TR"/>
              </w:rPr>
              <w:t>-</w:t>
            </w:r>
          </w:p>
        </w:tc>
        <w:tc>
          <w:tcPr>
            <w:tcW w:w="850" w:type="dxa"/>
            <w:tcBorders>
              <w:top w:val="nil"/>
              <w:left w:val="nil"/>
              <w:bottom w:val="nil"/>
              <w:right w:val="nil"/>
            </w:tcBorders>
            <w:shd w:val="clear" w:color="auto" w:fill="auto"/>
            <w:vAlign w:val="center"/>
            <w:hideMark/>
          </w:tcPr>
          <w:p w14:paraId="29E07CDA" w14:textId="77777777" w:rsidR="00AE053A" w:rsidRPr="00005453" w:rsidRDefault="00AE053A" w:rsidP="00CB690C">
            <w:pPr>
              <w:jc w:val="right"/>
              <w:rPr>
                <w:sz w:val="17"/>
                <w:szCs w:val="17"/>
                <w:lang w:eastAsia="tr-TR"/>
              </w:rPr>
            </w:pPr>
            <w:r w:rsidRPr="00005453">
              <w:rPr>
                <w:sz w:val="17"/>
                <w:szCs w:val="17"/>
                <w:lang w:eastAsia="tr-TR"/>
              </w:rPr>
              <w:t>-</w:t>
            </w:r>
          </w:p>
        </w:tc>
        <w:tc>
          <w:tcPr>
            <w:tcW w:w="1189" w:type="dxa"/>
            <w:tcBorders>
              <w:top w:val="nil"/>
              <w:left w:val="nil"/>
              <w:bottom w:val="nil"/>
              <w:right w:val="nil"/>
            </w:tcBorders>
            <w:shd w:val="clear" w:color="auto" w:fill="auto"/>
            <w:vAlign w:val="center"/>
            <w:hideMark/>
          </w:tcPr>
          <w:p w14:paraId="24228F2A" w14:textId="77777777" w:rsidR="00AE053A" w:rsidRPr="00005453" w:rsidRDefault="00AE053A" w:rsidP="00CB690C">
            <w:pPr>
              <w:jc w:val="right"/>
              <w:rPr>
                <w:sz w:val="17"/>
                <w:szCs w:val="17"/>
                <w:lang w:eastAsia="tr-TR"/>
              </w:rPr>
            </w:pPr>
            <w:r w:rsidRPr="00005453">
              <w:rPr>
                <w:sz w:val="17"/>
                <w:szCs w:val="17"/>
                <w:lang w:eastAsia="tr-TR"/>
              </w:rPr>
              <w:t>-</w:t>
            </w:r>
          </w:p>
        </w:tc>
        <w:tc>
          <w:tcPr>
            <w:tcW w:w="1134" w:type="dxa"/>
            <w:tcBorders>
              <w:top w:val="nil"/>
              <w:left w:val="nil"/>
              <w:bottom w:val="nil"/>
              <w:right w:val="nil"/>
            </w:tcBorders>
            <w:shd w:val="clear" w:color="auto" w:fill="auto"/>
            <w:vAlign w:val="center"/>
            <w:hideMark/>
          </w:tcPr>
          <w:p w14:paraId="5CDAFB2C" w14:textId="77777777" w:rsidR="00AE053A" w:rsidRPr="00005453" w:rsidRDefault="00AE053A" w:rsidP="00CB690C">
            <w:pPr>
              <w:jc w:val="right"/>
              <w:rPr>
                <w:sz w:val="17"/>
                <w:szCs w:val="17"/>
                <w:lang w:eastAsia="tr-TR"/>
              </w:rPr>
            </w:pPr>
            <w:r w:rsidRPr="00005453">
              <w:rPr>
                <w:sz w:val="17"/>
                <w:szCs w:val="17"/>
                <w:lang w:eastAsia="tr-TR"/>
              </w:rPr>
              <w:t>-</w:t>
            </w:r>
          </w:p>
        </w:tc>
      </w:tr>
      <w:tr w:rsidR="00AE053A" w:rsidRPr="00005453" w14:paraId="36D0A173" w14:textId="77777777" w:rsidTr="00A7269C">
        <w:trPr>
          <w:divId w:val="961306936"/>
          <w:trHeight w:val="255"/>
        </w:trPr>
        <w:tc>
          <w:tcPr>
            <w:tcW w:w="2835" w:type="dxa"/>
            <w:tcBorders>
              <w:top w:val="nil"/>
              <w:left w:val="nil"/>
              <w:bottom w:val="nil"/>
              <w:right w:val="nil"/>
            </w:tcBorders>
            <w:shd w:val="clear" w:color="000000" w:fill="FFFFFF"/>
            <w:noWrap/>
            <w:vAlign w:val="center"/>
            <w:hideMark/>
          </w:tcPr>
          <w:p w14:paraId="302043B5" w14:textId="77777777" w:rsidR="00AE053A" w:rsidRPr="00005453" w:rsidRDefault="00AE053A" w:rsidP="00AE053A">
            <w:pPr>
              <w:rPr>
                <w:color w:val="000000"/>
                <w:sz w:val="18"/>
                <w:szCs w:val="18"/>
                <w:lang w:eastAsia="tr-TR"/>
              </w:rPr>
            </w:pPr>
            <w:r w:rsidRPr="00005453">
              <w:rPr>
                <w:color w:val="000000"/>
                <w:sz w:val="18"/>
                <w:szCs w:val="18"/>
                <w:lang w:eastAsia="tr-TR"/>
              </w:rPr>
              <w:t xml:space="preserve">  Çıkış</w:t>
            </w:r>
          </w:p>
        </w:tc>
        <w:tc>
          <w:tcPr>
            <w:tcW w:w="1392" w:type="dxa"/>
            <w:gridSpan w:val="2"/>
            <w:tcBorders>
              <w:top w:val="nil"/>
              <w:left w:val="nil"/>
              <w:bottom w:val="nil"/>
              <w:right w:val="nil"/>
            </w:tcBorders>
            <w:shd w:val="clear" w:color="auto" w:fill="auto"/>
            <w:vAlign w:val="center"/>
            <w:hideMark/>
          </w:tcPr>
          <w:p w14:paraId="60D24DD2" w14:textId="77777777" w:rsidR="00AE053A" w:rsidRPr="00005453" w:rsidRDefault="00AE053A" w:rsidP="00CB690C">
            <w:pPr>
              <w:jc w:val="right"/>
              <w:rPr>
                <w:sz w:val="17"/>
                <w:szCs w:val="17"/>
                <w:lang w:eastAsia="tr-TR"/>
              </w:rPr>
            </w:pPr>
            <w:r w:rsidRPr="00005453">
              <w:rPr>
                <w:sz w:val="17"/>
                <w:szCs w:val="17"/>
                <w:lang w:eastAsia="tr-TR"/>
              </w:rPr>
              <w:t>-</w:t>
            </w:r>
          </w:p>
        </w:tc>
        <w:tc>
          <w:tcPr>
            <w:tcW w:w="963" w:type="dxa"/>
            <w:tcBorders>
              <w:top w:val="nil"/>
              <w:left w:val="nil"/>
              <w:bottom w:val="nil"/>
              <w:right w:val="nil"/>
            </w:tcBorders>
            <w:shd w:val="clear" w:color="auto" w:fill="auto"/>
            <w:vAlign w:val="center"/>
            <w:hideMark/>
          </w:tcPr>
          <w:p w14:paraId="7F004DAC" w14:textId="77777777" w:rsidR="00AE053A" w:rsidRPr="00005453" w:rsidRDefault="00AE053A" w:rsidP="00CB690C">
            <w:pPr>
              <w:jc w:val="right"/>
              <w:rPr>
                <w:sz w:val="17"/>
                <w:szCs w:val="17"/>
                <w:lang w:eastAsia="tr-TR"/>
              </w:rPr>
            </w:pPr>
            <w:r w:rsidRPr="00005453">
              <w:rPr>
                <w:sz w:val="17"/>
                <w:szCs w:val="17"/>
                <w:lang w:eastAsia="tr-TR"/>
              </w:rPr>
              <w:t>-</w:t>
            </w:r>
          </w:p>
        </w:tc>
        <w:tc>
          <w:tcPr>
            <w:tcW w:w="993" w:type="dxa"/>
            <w:tcBorders>
              <w:top w:val="nil"/>
              <w:left w:val="nil"/>
              <w:bottom w:val="nil"/>
              <w:right w:val="nil"/>
            </w:tcBorders>
            <w:shd w:val="clear" w:color="auto" w:fill="auto"/>
            <w:vAlign w:val="center"/>
            <w:hideMark/>
          </w:tcPr>
          <w:p w14:paraId="49B0BE43" w14:textId="77777777" w:rsidR="00AE053A" w:rsidRPr="00005453" w:rsidRDefault="00AE053A" w:rsidP="00CB690C">
            <w:pPr>
              <w:jc w:val="right"/>
              <w:rPr>
                <w:sz w:val="17"/>
                <w:szCs w:val="17"/>
                <w:lang w:eastAsia="tr-TR"/>
              </w:rPr>
            </w:pPr>
            <w:r w:rsidRPr="00005453">
              <w:rPr>
                <w:sz w:val="17"/>
                <w:szCs w:val="17"/>
                <w:lang w:eastAsia="tr-TR"/>
              </w:rPr>
              <w:t>-</w:t>
            </w:r>
          </w:p>
        </w:tc>
        <w:tc>
          <w:tcPr>
            <w:tcW w:w="850" w:type="dxa"/>
            <w:tcBorders>
              <w:top w:val="nil"/>
              <w:left w:val="nil"/>
              <w:bottom w:val="nil"/>
              <w:right w:val="nil"/>
            </w:tcBorders>
            <w:shd w:val="clear" w:color="auto" w:fill="auto"/>
            <w:vAlign w:val="center"/>
            <w:hideMark/>
          </w:tcPr>
          <w:p w14:paraId="1C7FF712" w14:textId="77777777" w:rsidR="00AE053A" w:rsidRPr="00005453" w:rsidRDefault="00AE053A" w:rsidP="00CB690C">
            <w:pPr>
              <w:jc w:val="right"/>
              <w:rPr>
                <w:sz w:val="17"/>
                <w:szCs w:val="17"/>
                <w:lang w:eastAsia="tr-TR"/>
              </w:rPr>
            </w:pPr>
            <w:r w:rsidRPr="00005453">
              <w:rPr>
                <w:sz w:val="17"/>
                <w:szCs w:val="17"/>
                <w:lang w:eastAsia="tr-TR"/>
              </w:rPr>
              <w:t>-</w:t>
            </w:r>
          </w:p>
        </w:tc>
        <w:tc>
          <w:tcPr>
            <w:tcW w:w="1189" w:type="dxa"/>
            <w:tcBorders>
              <w:top w:val="nil"/>
              <w:left w:val="nil"/>
              <w:bottom w:val="nil"/>
              <w:right w:val="nil"/>
            </w:tcBorders>
            <w:shd w:val="clear" w:color="auto" w:fill="auto"/>
            <w:vAlign w:val="center"/>
            <w:hideMark/>
          </w:tcPr>
          <w:p w14:paraId="74362223" w14:textId="77777777" w:rsidR="00AE053A" w:rsidRPr="00005453" w:rsidRDefault="00AE053A" w:rsidP="00CB690C">
            <w:pPr>
              <w:jc w:val="right"/>
              <w:rPr>
                <w:sz w:val="17"/>
                <w:szCs w:val="17"/>
                <w:lang w:eastAsia="tr-TR"/>
              </w:rPr>
            </w:pPr>
            <w:r w:rsidRPr="00005453">
              <w:rPr>
                <w:sz w:val="17"/>
                <w:szCs w:val="17"/>
                <w:lang w:eastAsia="tr-TR"/>
              </w:rPr>
              <w:t>-</w:t>
            </w:r>
          </w:p>
        </w:tc>
        <w:tc>
          <w:tcPr>
            <w:tcW w:w="1134" w:type="dxa"/>
            <w:tcBorders>
              <w:top w:val="nil"/>
              <w:left w:val="nil"/>
              <w:bottom w:val="nil"/>
              <w:right w:val="nil"/>
            </w:tcBorders>
            <w:shd w:val="clear" w:color="auto" w:fill="auto"/>
            <w:vAlign w:val="center"/>
            <w:hideMark/>
          </w:tcPr>
          <w:p w14:paraId="5BC8862F" w14:textId="77777777" w:rsidR="00AE053A" w:rsidRPr="00005453" w:rsidRDefault="00AE053A" w:rsidP="00CB690C">
            <w:pPr>
              <w:jc w:val="right"/>
              <w:rPr>
                <w:sz w:val="17"/>
                <w:szCs w:val="17"/>
                <w:lang w:eastAsia="tr-TR"/>
              </w:rPr>
            </w:pPr>
            <w:r w:rsidRPr="00005453">
              <w:rPr>
                <w:sz w:val="17"/>
                <w:szCs w:val="17"/>
                <w:lang w:eastAsia="tr-TR"/>
              </w:rPr>
              <w:t>-</w:t>
            </w:r>
          </w:p>
        </w:tc>
      </w:tr>
      <w:tr w:rsidR="00F66143" w:rsidRPr="00005453" w14:paraId="0B530147" w14:textId="77777777" w:rsidTr="00A7269C">
        <w:trPr>
          <w:divId w:val="961306936"/>
          <w:trHeight w:val="255"/>
        </w:trPr>
        <w:tc>
          <w:tcPr>
            <w:tcW w:w="2835" w:type="dxa"/>
            <w:tcBorders>
              <w:top w:val="single" w:sz="8" w:space="0" w:color="auto"/>
              <w:left w:val="nil"/>
              <w:bottom w:val="double" w:sz="6" w:space="0" w:color="auto"/>
              <w:right w:val="nil"/>
            </w:tcBorders>
            <w:shd w:val="clear" w:color="auto" w:fill="auto"/>
            <w:noWrap/>
            <w:vAlign w:val="center"/>
            <w:hideMark/>
          </w:tcPr>
          <w:p w14:paraId="7CCE9396" w14:textId="77777777" w:rsidR="00F66143" w:rsidRPr="00005453" w:rsidRDefault="00F66143" w:rsidP="00F66143">
            <w:pPr>
              <w:rPr>
                <w:b/>
                <w:bCs/>
                <w:color w:val="000000"/>
                <w:sz w:val="17"/>
                <w:szCs w:val="17"/>
                <w:lang w:eastAsia="tr-TR"/>
              </w:rPr>
            </w:pPr>
            <w:r w:rsidRPr="00005453">
              <w:rPr>
                <w:b/>
                <w:bCs/>
                <w:color w:val="000000"/>
                <w:sz w:val="17"/>
                <w:szCs w:val="17"/>
                <w:lang w:eastAsia="tr-TR"/>
              </w:rPr>
              <w:t>Toplam Nakit Girişi</w:t>
            </w:r>
          </w:p>
        </w:tc>
        <w:tc>
          <w:tcPr>
            <w:tcW w:w="1392" w:type="dxa"/>
            <w:gridSpan w:val="2"/>
            <w:tcBorders>
              <w:top w:val="single" w:sz="8" w:space="0" w:color="auto"/>
              <w:left w:val="nil"/>
              <w:bottom w:val="double" w:sz="6" w:space="0" w:color="auto"/>
              <w:right w:val="nil"/>
            </w:tcBorders>
            <w:shd w:val="clear" w:color="auto" w:fill="auto"/>
            <w:vAlign w:val="center"/>
            <w:hideMark/>
          </w:tcPr>
          <w:p w14:paraId="1C00E764" w14:textId="3ABD90A2" w:rsidR="00F66143" w:rsidRPr="00005453" w:rsidRDefault="00F66143" w:rsidP="00F66143">
            <w:pPr>
              <w:jc w:val="right"/>
              <w:rPr>
                <w:b/>
                <w:bCs/>
                <w:sz w:val="16"/>
                <w:szCs w:val="17"/>
              </w:rPr>
            </w:pPr>
            <w:r w:rsidRPr="00005453">
              <w:rPr>
                <w:b/>
                <w:sz w:val="16"/>
                <w:szCs w:val="18"/>
              </w:rPr>
              <w:t>100,566,246</w:t>
            </w:r>
          </w:p>
        </w:tc>
        <w:tc>
          <w:tcPr>
            <w:tcW w:w="963" w:type="dxa"/>
            <w:tcBorders>
              <w:top w:val="single" w:sz="8" w:space="0" w:color="auto"/>
              <w:left w:val="nil"/>
              <w:bottom w:val="double" w:sz="6" w:space="0" w:color="auto"/>
              <w:right w:val="nil"/>
            </w:tcBorders>
            <w:shd w:val="clear" w:color="auto" w:fill="auto"/>
            <w:vAlign w:val="center"/>
            <w:hideMark/>
          </w:tcPr>
          <w:p w14:paraId="69B9B194" w14:textId="156271BE" w:rsidR="00F66143" w:rsidRPr="00005453" w:rsidRDefault="00F66143" w:rsidP="00F66143">
            <w:pPr>
              <w:jc w:val="right"/>
              <w:rPr>
                <w:b/>
                <w:bCs/>
                <w:sz w:val="16"/>
                <w:szCs w:val="17"/>
              </w:rPr>
            </w:pPr>
            <w:r w:rsidRPr="00005453">
              <w:rPr>
                <w:b/>
                <w:sz w:val="16"/>
                <w:szCs w:val="18"/>
              </w:rPr>
              <w:t>51,976,727</w:t>
            </w:r>
          </w:p>
        </w:tc>
        <w:tc>
          <w:tcPr>
            <w:tcW w:w="993" w:type="dxa"/>
            <w:tcBorders>
              <w:top w:val="single" w:sz="8" w:space="0" w:color="auto"/>
              <w:left w:val="nil"/>
              <w:bottom w:val="double" w:sz="6" w:space="0" w:color="auto"/>
              <w:right w:val="nil"/>
            </w:tcBorders>
            <w:shd w:val="clear" w:color="auto" w:fill="auto"/>
            <w:vAlign w:val="center"/>
            <w:hideMark/>
          </w:tcPr>
          <w:p w14:paraId="13DE7B32" w14:textId="7CB24629" w:rsidR="00F66143" w:rsidRPr="00005453" w:rsidRDefault="00F66143" w:rsidP="00F66143">
            <w:pPr>
              <w:jc w:val="right"/>
              <w:rPr>
                <w:b/>
                <w:bCs/>
                <w:sz w:val="16"/>
                <w:szCs w:val="17"/>
              </w:rPr>
            </w:pPr>
            <w:r w:rsidRPr="00005453">
              <w:rPr>
                <w:b/>
                <w:sz w:val="16"/>
                <w:szCs w:val="18"/>
              </w:rPr>
              <w:t>7,504,287</w:t>
            </w:r>
          </w:p>
        </w:tc>
        <w:tc>
          <w:tcPr>
            <w:tcW w:w="850" w:type="dxa"/>
            <w:tcBorders>
              <w:top w:val="single" w:sz="8" w:space="0" w:color="auto"/>
              <w:left w:val="nil"/>
              <w:bottom w:val="double" w:sz="6" w:space="0" w:color="auto"/>
              <w:right w:val="nil"/>
            </w:tcBorders>
            <w:shd w:val="clear" w:color="auto" w:fill="auto"/>
            <w:vAlign w:val="center"/>
            <w:hideMark/>
          </w:tcPr>
          <w:p w14:paraId="5928ED60" w14:textId="5E3A7F50" w:rsidR="00F66143" w:rsidRPr="00005453" w:rsidRDefault="00F66143" w:rsidP="00F66143">
            <w:pPr>
              <w:jc w:val="right"/>
              <w:rPr>
                <w:b/>
                <w:bCs/>
                <w:sz w:val="16"/>
                <w:szCs w:val="17"/>
              </w:rPr>
            </w:pPr>
            <w:r w:rsidRPr="00005453">
              <w:rPr>
                <w:b/>
                <w:sz w:val="16"/>
                <w:szCs w:val="18"/>
              </w:rPr>
              <w:t>2,998,715</w:t>
            </w:r>
          </w:p>
        </w:tc>
        <w:tc>
          <w:tcPr>
            <w:tcW w:w="1189" w:type="dxa"/>
            <w:tcBorders>
              <w:top w:val="single" w:sz="8" w:space="0" w:color="auto"/>
              <w:left w:val="nil"/>
              <w:bottom w:val="double" w:sz="6" w:space="0" w:color="auto"/>
              <w:right w:val="nil"/>
            </w:tcBorders>
            <w:shd w:val="clear" w:color="auto" w:fill="auto"/>
            <w:vAlign w:val="center"/>
            <w:hideMark/>
          </w:tcPr>
          <w:p w14:paraId="12276F45" w14:textId="090A5E06" w:rsidR="00F66143" w:rsidRPr="00005453" w:rsidRDefault="00F66143" w:rsidP="00F66143">
            <w:pPr>
              <w:jc w:val="right"/>
              <w:rPr>
                <w:b/>
                <w:bCs/>
                <w:sz w:val="16"/>
                <w:szCs w:val="17"/>
              </w:rPr>
            </w:pPr>
            <w:r w:rsidRPr="00005453">
              <w:rPr>
                <w:b/>
                <w:bCs/>
                <w:sz w:val="16"/>
                <w:szCs w:val="17"/>
              </w:rPr>
              <w:t>-</w:t>
            </w:r>
          </w:p>
        </w:tc>
        <w:tc>
          <w:tcPr>
            <w:tcW w:w="1134" w:type="dxa"/>
            <w:tcBorders>
              <w:top w:val="single" w:sz="8" w:space="0" w:color="auto"/>
              <w:left w:val="nil"/>
              <w:bottom w:val="double" w:sz="6" w:space="0" w:color="auto"/>
              <w:right w:val="nil"/>
            </w:tcBorders>
            <w:shd w:val="clear" w:color="auto" w:fill="auto"/>
            <w:vAlign w:val="center"/>
            <w:hideMark/>
          </w:tcPr>
          <w:p w14:paraId="0DE4530E" w14:textId="14782D3E" w:rsidR="00F66143" w:rsidRPr="00005453" w:rsidRDefault="00F66143" w:rsidP="00F66143">
            <w:pPr>
              <w:jc w:val="right"/>
              <w:rPr>
                <w:b/>
                <w:bCs/>
                <w:sz w:val="16"/>
                <w:szCs w:val="17"/>
              </w:rPr>
            </w:pPr>
            <w:r w:rsidRPr="00005453">
              <w:rPr>
                <w:b/>
                <w:sz w:val="16"/>
                <w:szCs w:val="18"/>
              </w:rPr>
              <w:t>163,045,975</w:t>
            </w:r>
          </w:p>
        </w:tc>
      </w:tr>
      <w:tr w:rsidR="00F66143" w:rsidRPr="00005453" w14:paraId="122FB711" w14:textId="77777777" w:rsidTr="00A7269C">
        <w:trPr>
          <w:divId w:val="961306936"/>
          <w:trHeight w:val="269"/>
        </w:trPr>
        <w:tc>
          <w:tcPr>
            <w:tcW w:w="2835" w:type="dxa"/>
            <w:tcBorders>
              <w:top w:val="single" w:sz="8" w:space="0" w:color="auto"/>
              <w:left w:val="nil"/>
              <w:bottom w:val="double" w:sz="6" w:space="0" w:color="auto"/>
              <w:right w:val="nil"/>
            </w:tcBorders>
            <w:shd w:val="clear" w:color="auto" w:fill="auto"/>
            <w:noWrap/>
            <w:vAlign w:val="center"/>
            <w:hideMark/>
          </w:tcPr>
          <w:p w14:paraId="0A64B552" w14:textId="77777777" w:rsidR="00F66143" w:rsidRPr="00005453" w:rsidRDefault="00F66143" w:rsidP="00F66143">
            <w:pPr>
              <w:rPr>
                <w:b/>
                <w:bCs/>
                <w:color w:val="000000"/>
                <w:sz w:val="17"/>
                <w:szCs w:val="17"/>
                <w:lang w:eastAsia="tr-TR"/>
              </w:rPr>
            </w:pPr>
            <w:r w:rsidRPr="00005453">
              <w:rPr>
                <w:b/>
                <w:bCs/>
                <w:color w:val="000000"/>
                <w:sz w:val="17"/>
                <w:szCs w:val="17"/>
                <w:lang w:eastAsia="tr-TR"/>
              </w:rPr>
              <w:t>Toplam Nakit Çıkışı</w:t>
            </w:r>
          </w:p>
        </w:tc>
        <w:tc>
          <w:tcPr>
            <w:tcW w:w="1392" w:type="dxa"/>
            <w:gridSpan w:val="2"/>
            <w:tcBorders>
              <w:top w:val="single" w:sz="8" w:space="0" w:color="auto"/>
              <w:left w:val="nil"/>
              <w:bottom w:val="double" w:sz="6" w:space="0" w:color="auto"/>
              <w:right w:val="nil"/>
            </w:tcBorders>
            <w:shd w:val="clear" w:color="auto" w:fill="auto"/>
            <w:vAlign w:val="center"/>
            <w:hideMark/>
          </w:tcPr>
          <w:p w14:paraId="548CCAED" w14:textId="616C5772" w:rsidR="00F66143" w:rsidRPr="00005453" w:rsidRDefault="00F66143" w:rsidP="00F66143">
            <w:pPr>
              <w:jc w:val="right"/>
              <w:rPr>
                <w:b/>
                <w:bCs/>
                <w:sz w:val="16"/>
                <w:szCs w:val="17"/>
              </w:rPr>
            </w:pPr>
            <w:r w:rsidRPr="00005453">
              <w:rPr>
                <w:b/>
                <w:sz w:val="16"/>
                <w:szCs w:val="18"/>
              </w:rPr>
              <w:t>101,102,213</w:t>
            </w:r>
          </w:p>
        </w:tc>
        <w:tc>
          <w:tcPr>
            <w:tcW w:w="963" w:type="dxa"/>
            <w:tcBorders>
              <w:top w:val="single" w:sz="8" w:space="0" w:color="auto"/>
              <w:left w:val="nil"/>
              <w:bottom w:val="double" w:sz="6" w:space="0" w:color="auto"/>
              <w:right w:val="nil"/>
            </w:tcBorders>
            <w:shd w:val="clear" w:color="auto" w:fill="auto"/>
            <w:vAlign w:val="center"/>
            <w:hideMark/>
          </w:tcPr>
          <w:p w14:paraId="3851D285" w14:textId="1463ABE6" w:rsidR="00F66143" w:rsidRPr="00005453" w:rsidRDefault="00F66143" w:rsidP="00F66143">
            <w:pPr>
              <w:jc w:val="right"/>
              <w:rPr>
                <w:b/>
                <w:bCs/>
                <w:sz w:val="16"/>
                <w:szCs w:val="17"/>
              </w:rPr>
            </w:pPr>
            <w:r w:rsidRPr="00005453">
              <w:rPr>
                <w:b/>
                <w:sz w:val="16"/>
                <w:szCs w:val="18"/>
              </w:rPr>
              <w:t>53,731,941</w:t>
            </w:r>
          </w:p>
        </w:tc>
        <w:tc>
          <w:tcPr>
            <w:tcW w:w="993" w:type="dxa"/>
            <w:tcBorders>
              <w:top w:val="single" w:sz="8" w:space="0" w:color="auto"/>
              <w:left w:val="nil"/>
              <w:bottom w:val="double" w:sz="6" w:space="0" w:color="auto"/>
              <w:right w:val="nil"/>
            </w:tcBorders>
            <w:shd w:val="clear" w:color="auto" w:fill="auto"/>
            <w:vAlign w:val="center"/>
            <w:hideMark/>
          </w:tcPr>
          <w:p w14:paraId="36060BCA" w14:textId="4EC65738" w:rsidR="00F66143" w:rsidRPr="00005453" w:rsidRDefault="00F66143" w:rsidP="00F66143">
            <w:pPr>
              <w:jc w:val="right"/>
              <w:rPr>
                <w:b/>
                <w:bCs/>
                <w:sz w:val="16"/>
                <w:szCs w:val="17"/>
              </w:rPr>
            </w:pPr>
            <w:r w:rsidRPr="00005453">
              <w:rPr>
                <w:b/>
                <w:sz w:val="16"/>
                <w:szCs w:val="18"/>
              </w:rPr>
              <w:t>8,005,850</w:t>
            </w:r>
          </w:p>
        </w:tc>
        <w:tc>
          <w:tcPr>
            <w:tcW w:w="850" w:type="dxa"/>
            <w:tcBorders>
              <w:top w:val="single" w:sz="8" w:space="0" w:color="auto"/>
              <w:left w:val="nil"/>
              <w:bottom w:val="double" w:sz="6" w:space="0" w:color="auto"/>
              <w:right w:val="nil"/>
            </w:tcBorders>
            <w:shd w:val="clear" w:color="auto" w:fill="auto"/>
            <w:vAlign w:val="center"/>
            <w:hideMark/>
          </w:tcPr>
          <w:p w14:paraId="20FF0533" w14:textId="2A0CCFD2" w:rsidR="00F66143" w:rsidRPr="00005453" w:rsidRDefault="00F66143" w:rsidP="00F66143">
            <w:pPr>
              <w:jc w:val="right"/>
              <w:rPr>
                <w:b/>
                <w:bCs/>
                <w:sz w:val="16"/>
                <w:szCs w:val="17"/>
              </w:rPr>
            </w:pPr>
            <w:r w:rsidRPr="00005453">
              <w:rPr>
                <w:b/>
                <w:sz w:val="16"/>
                <w:szCs w:val="18"/>
              </w:rPr>
              <w:t>4,852,145</w:t>
            </w:r>
          </w:p>
        </w:tc>
        <w:tc>
          <w:tcPr>
            <w:tcW w:w="1189" w:type="dxa"/>
            <w:tcBorders>
              <w:top w:val="single" w:sz="8" w:space="0" w:color="auto"/>
              <w:left w:val="nil"/>
              <w:bottom w:val="double" w:sz="6" w:space="0" w:color="auto"/>
              <w:right w:val="nil"/>
            </w:tcBorders>
            <w:shd w:val="clear" w:color="auto" w:fill="auto"/>
            <w:vAlign w:val="center"/>
            <w:hideMark/>
          </w:tcPr>
          <w:p w14:paraId="72772D92" w14:textId="561A046B" w:rsidR="00F66143" w:rsidRPr="00005453" w:rsidRDefault="00F66143" w:rsidP="00F66143">
            <w:pPr>
              <w:jc w:val="right"/>
              <w:rPr>
                <w:b/>
                <w:bCs/>
                <w:sz w:val="16"/>
                <w:szCs w:val="17"/>
              </w:rPr>
            </w:pPr>
            <w:r w:rsidRPr="00005453">
              <w:rPr>
                <w:b/>
                <w:bCs/>
                <w:sz w:val="16"/>
                <w:szCs w:val="17"/>
              </w:rPr>
              <w:t>-</w:t>
            </w:r>
          </w:p>
        </w:tc>
        <w:tc>
          <w:tcPr>
            <w:tcW w:w="1134" w:type="dxa"/>
            <w:tcBorders>
              <w:top w:val="single" w:sz="8" w:space="0" w:color="auto"/>
              <w:left w:val="nil"/>
              <w:bottom w:val="double" w:sz="6" w:space="0" w:color="auto"/>
              <w:right w:val="nil"/>
            </w:tcBorders>
            <w:shd w:val="clear" w:color="auto" w:fill="auto"/>
            <w:vAlign w:val="center"/>
            <w:hideMark/>
          </w:tcPr>
          <w:p w14:paraId="611C3525" w14:textId="72F21171" w:rsidR="00F66143" w:rsidRPr="00005453" w:rsidRDefault="00F66143" w:rsidP="00F66143">
            <w:pPr>
              <w:jc w:val="right"/>
              <w:rPr>
                <w:b/>
                <w:bCs/>
                <w:sz w:val="16"/>
                <w:szCs w:val="17"/>
              </w:rPr>
            </w:pPr>
            <w:r w:rsidRPr="00005453">
              <w:rPr>
                <w:b/>
                <w:sz w:val="16"/>
                <w:szCs w:val="18"/>
              </w:rPr>
              <w:t>167,692,149</w:t>
            </w:r>
          </w:p>
        </w:tc>
      </w:tr>
      <w:tr w:rsidR="00AE053A" w:rsidRPr="00005453" w14:paraId="6AA02A6B" w14:textId="77777777" w:rsidTr="00A7269C">
        <w:trPr>
          <w:divId w:val="961306936"/>
          <w:trHeight w:val="255"/>
        </w:trPr>
        <w:tc>
          <w:tcPr>
            <w:tcW w:w="3119" w:type="dxa"/>
            <w:gridSpan w:val="2"/>
            <w:tcBorders>
              <w:top w:val="nil"/>
              <w:left w:val="nil"/>
              <w:bottom w:val="single" w:sz="8" w:space="0" w:color="auto"/>
              <w:right w:val="nil"/>
            </w:tcBorders>
            <w:shd w:val="clear" w:color="auto" w:fill="auto"/>
            <w:vAlign w:val="center"/>
            <w:hideMark/>
          </w:tcPr>
          <w:p w14:paraId="4B8ECCDC" w14:textId="77777777" w:rsidR="00AE053A" w:rsidRPr="00005453" w:rsidRDefault="00AE053A" w:rsidP="00AE053A">
            <w:pPr>
              <w:jc w:val="right"/>
              <w:rPr>
                <w:b/>
                <w:bCs/>
                <w:color w:val="000000"/>
                <w:sz w:val="17"/>
                <w:szCs w:val="17"/>
                <w:lang w:eastAsia="tr-TR"/>
              </w:rPr>
            </w:pPr>
          </w:p>
        </w:tc>
        <w:tc>
          <w:tcPr>
            <w:tcW w:w="1108" w:type="dxa"/>
            <w:tcBorders>
              <w:top w:val="nil"/>
              <w:left w:val="nil"/>
              <w:bottom w:val="single" w:sz="8" w:space="0" w:color="auto"/>
              <w:right w:val="nil"/>
            </w:tcBorders>
            <w:shd w:val="clear" w:color="auto" w:fill="auto"/>
            <w:vAlign w:val="center"/>
            <w:hideMark/>
          </w:tcPr>
          <w:p w14:paraId="4055EAEA" w14:textId="77777777" w:rsidR="00AE053A" w:rsidRPr="00005453" w:rsidRDefault="00AE053A" w:rsidP="00AE053A">
            <w:pPr>
              <w:rPr>
                <w:lang w:eastAsia="tr-TR"/>
              </w:rPr>
            </w:pPr>
          </w:p>
        </w:tc>
        <w:tc>
          <w:tcPr>
            <w:tcW w:w="963" w:type="dxa"/>
            <w:tcBorders>
              <w:top w:val="nil"/>
              <w:left w:val="nil"/>
              <w:bottom w:val="single" w:sz="8" w:space="0" w:color="auto"/>
              <w:right w:val="nil"/>
            </w:tcBorders>
            <w:shd w:val="clear" w:color="auto" w:fill="auto"/>
            <w:vAlign w:val="center"/>
            <w:hideMark/>
          </w:tcPr>
          <w:p w14:paraId="3B21E86D" w14:textId="77777777" w:rsidR="00AE053A" w:rsidRPr="00005453" w:rsidRDefault="00AE053A" w:rsidP="00AE053A">
            <w:pPr>
              <w:jc w:val="right"/>
              <w:rPr>
                <w:lang w:eastAsia="tr-TR"/>
              </w:rPr>
            </w:pPr>
          </w:p>
        </w:tc>
        <w:tc>
          <w:tcPr>
            <w:tcW w:w="993" w:type="dxa"/>
            <w:tcBorders>
              <w:top w:val="nil"/>
              <w:left w:val="nil"/>
              <w:bottom w:val="single" w:sz="8" w:space="0" w:color="auto"/>
              <w:right w:val="nil"/>
            </w:tcBorders>
            <w:shd w:val="clear" w:color="auto" w:fill="auto"/>
            <w:vAlign w:val="center"/>
            <w:hideMark/>
          </w:tcPr>
          <w:p w14:paraId="1EDE7A23" w14:textId="77777777" w:rsidR="00AE053A" w:rsidRPr="00005453" w:rsidRDefault="00AE053A" w:rsidP="00AE053A">
            <w:pPr>
              <w:jc w:val="right"/>
              <w:rPr>
                <w:lang w:eastAsia="tr-TR"/>
              </w:rPr>
            </w:pPr>
          </w:p>
        </w:tc>
        <w:tc>
          <w:tcPr>
            <w:tcW w:w="850" w:type="dxa"/>
            <w:tcBorders>
              <w:top w:val="nil"/>
              <w:left w:val="nil"/>
              <w:bottom w:val="single" w:sz="8" w:space="0" w:color="auto"/>
              <w:right w:val="nil"/>
            </w:tcBorders>
            <w:shd w:val="clear" w:color="auto" w:fill="auto"/>
            <w:vAlign w:val="center"/>
            <w:hideMark/>
          </w:tcPr>
          <w:p w14:paraId="580050B4" w14:textId="77777777" w:rsidR="00AE053A" w:rsidRPr="00005453" w:rsidRDefault="00AE053A" w:rsidP="00AE053A">
            <w:pPr>
              <w:jc w:val="right"/>
              <w:rPr>
                <w:lang w:eastAsia="tr-TR"/>
              </w:rPr>
            </w:pPr>
          </w:p>
        </w:tc>
        <w:tc>
          <w:tcPr>
            <w:tcW w:w="1189" w:type="dxa"/>
            <w:tcBorders>
              <w:top w:val="nil"/>
              <w:left w:val="nil"/>
              <w:bottom w:val="single" w:sz="8" w:space="0" w:color="auto"/>
              <w:right w:val="nil"/>
            </w:tcBorders>
            <w:shd w:val="clear" w:color="auto" w:fill="auto"/>
            <w:vAlign w:val="center"/>
            <w:hideMark/>
          </w:tcPr>
          <w:p w14:paraId="1F24E7E1" w14:textId="77777777" w:rsidR="00AE053A" w:rsidRPr="00005453" w:rsidRDefault="00AE053A" w:rsidP="00AE053A">
            <w:pPr>
              <w:jc w:val="right"/>
              <w:rPr>
                <w:lang w:eastAsia="tr-TR"/>
              </w:rPr>
            </w:pPr>
          </w:p>
        </w:tc>
        <w:tc>
          <w:tcPr>
            <w:tcW w:w="1134" w:type="dxa"/>
            <w:tcBorders>
              <w:top w:val="nil"/>
              <w:left w:val="nil"/>
              <w:bottom w:val="single" w:sz="8" w:space="0" w:color="auto"/>
              <w:right w:val="nil"/>
            </w:tcBorders>
            <w:shd w:val="clear" w:color="auto" w:fill="auto"/>
            <w:vAlign w:val="center"/>
            <w:hideMark/>
          </w:tcPr>
          <w:p w14:paraId="65E05816" w14:textId="77777777" w:rsidR="00AE053A" w:rsidRPr="00005453" w:rsidRDefault="00AE053A" w:rsidP="00AE053A">
            <w:pPr>
              <w:rPr>
                <w:color w:val="000000"/>
                <w:sz w:val="17"/>
                <w:szCs w:val="17"/>
                <w:lang w:eastAsia="tr-TR"/>
              </w:rPr>
            </w:pPr>
            <w:r w:rsidRPr="00005453">
              <w:rPr>
                <w:color w:val="000000"/>
                <w:sz w:val="17"/>
                <w:szCs w:val="17"/>
                <w:lang w:eastAsia="tr-TR"/>
              </w:rPr>
              <w:t> </w:t>
            </w:r>
          </w:p>
        </w:tc>
      </w:tr>
      <w:tr w:rsidR="00EE27E6" w:rsidRPr="00005453" w14:paraId="3525C42A" w14:textId="77777777" w:rsidTr="00A7269C">
        <w:trPr>
          <w:divId w:val="961306936"/>
          <w:trHeight w:val="243"/>
        </w:trPr>
        <w:tc>
          <w:tcPr>
            <w:tcW w:w="3119" w:type="dxa"/>
            <w:gridSpan w:val="2"/>
            <w:tcBorders>
              <w:top w:val="single" w:sz="4" w:space="0" w:color="auto"/>
              <w:left w:val="nil"/>
              <w:bottom w:val="single" w:sz="8" w:space="0" w:color="auto"/>
              <w:right w:val="nil"/>
            </w:tcBorders>
            <w:shd w:val="clear" w:color="auto" w:fill="auto"/>
            <w:vAlign w:val="center"/>
            <w:hideMark/>
          </w:tcPr>
          <w:p w14:paraId="6D288D8C" w14:textId="4BB9BEB9" w:rsidR="00EE27E6" w:rsidRPr="00005453" w:rsidRDefault="00EE27E6" w:rsidP="007D0F7A">
            <w:pPr>
              <w:rPr>
                <w:b/>
                <w:bCs/>
                <w:color w:val="000000"/>
                <w:sz w:val="17"/>
                <w:szCs w:val="17"/>
                <w:lang w:eastAsia="tr-TR"/>
              </w:rPr>
            </w:pPr>
            <w:r w:rsidRPr="00005453">
              <w:rPr>
                <w:b/>
                <w:bCs/>
                <w:color w:val="000000"/>
                <w:sz w:val="17"/>
                <w:szCs w:val="17"/>
                <w:lang w:eastAsia="tr-TR"/>
              </w:rPr>
              <w:t>31 Aralık 202</w:t>
            </w:r>
            <w:r w:rsidR="00EF41C7" w:rsidRPr="00005453">
              <w:rPr>
                <w:b/>
                <w:bCs/>
                <w:color w:val="000000"/>
                <w:sz w:val="17"/>
                <w:szCs w:val="17"/>
                <w:lang w:eastAsia="tr-TR"/>
              </w:rPr>
              <w:t>3</w:t>
            </w:r>
          </w:p>
        </w:tc>
        <w:tc>
          <w:tcPr>
            <w:tcW w:w="1108" w:type="dxa"/>
            <w:tcBorders>
              <w:top w:val="single" w:sz="4" w:space="0" w:color="auto"/>
              <w:left w:val="nil"/>
              <w:bottom w:val="single" w:sz="8" w:space="0" w:color="auto"/>
              <w:right w:val="nil"/>
            </w:tcBorders>
            <w:shd w:val="clear" w:color="auto" w:fill="auto"/>
            <w:vAlign w:val="center"/>
            <w:hideMark/>
          </w:tcPr>
          <w:p w14:paraId="47CB1F3B" w14:textId="1873944D" w:rsidR="00EE27E6" w:rsidRPr="00005453" w:rsidRDefault="00EE27E6" w:rsidP="007D0F7A">
            <w:pPr>
              <w:rPr>
                <w:lang w:eastAsia="tr-TR"/>
              </w:rPr>
            </w:pPr>
            <w:r w:rsidRPr="00005453">
              <w:rPr>
                <w:b/>
                <w:bCs/>
                <w:color w:val="000000"/>
                <w:sz w:val="18"/>
                <w:szCs w:val="18"/>
                <w:lang w:eastAsia="tr-TR"/>
              </w:rPr>
              <w:t>1 aya kadar</w:t>
            </w:r>
          </w:p>
        </w:tc>
        <w:tc>
          <w:tcPr>
            <w:tcW w:w="963" w:type="dxa"/>
            <w:tcBorders>
              <w:top w:val="single" w:sz="4" w:space="0" w:color="auto"/>
              <w:left w:val="nil"/>
              <w:bottom w:val="single" w:sz="8" w:space="0" w:color="auto"/>
              <w:right w:val="nil"/>
            </w:tcBorders>
            <w:shd w:val="clear" w:color="auto" w:fill="auto"/>
            <w:vAlign w:val="center"/>
            <w:hideMark/>
          </w:tcPr>
          <w:p w14:paraId="5679FF83" w14:textId="515214EE" w:rsidR="00EE27E6" w:rsidRPr="00005453" w:rsidRDefault="00EE27E6" w:rsidP="007D0F7A">
            <w:pPr>
              <w:jc w:val="right"/>
              <w:rPr>
                <w:lang w:eastAsia="tr-TR"/>
              </w:rPr>
            </w:pPr>
            <w:r w:rsidRPr="00005453">
              <w:rPr>
                <w:b/>
                <w:bCs/>
                <w:color w:val="000000"/>
                <w:sz w:val="18"/>
                <w:szCs w:val="18"/>
                <w:lang w:eastAsia="tr-TR"/>
              </w:rPr>
              <w:t>1-3 ay</w:t>
            </w:r>
          </w:p>
        </w:tc>
        <w:tc>
          <w:tcPr>
            <w:tcW w:w="993" w:type="dxa"/>
            <w:tcBorders>
              <w:top w:val="single" w:sz="4" w:space="0" w:color="auto"/>
              <w:left w:val="nil"/>
              <w:bottom w:val="single" w:sz="8" w:space="0" w:color="auto"/>
              <w:right w:val="nil"/>
            </w:tcBorders>
            <w:shd w:val="clear" w:color="auto" w:fill="auto"/>
            <w:vAlign w:val="center"/>
            <w:hideMark/>
          </w:tcPr>
          <w:p w14:paraId="214C1FB4" w14:textId="54F9DB68" w:rsidR="00EE27E6" w:rsidRPr="00005453" w:rsidRDefault="00EE27E6" w:rsidP="007D0F7A">
            <w:pPr>
              <w:jc w:val="right"/>
              <w:rPr>
                <w:lang w:eastAsia="tr-TR"/>
              </w:rPr>
            </w:pPr>
            <w:r w:rsidRPr="00005453">
              <w:rPr>
                <w:b/>
                <w:bCs/>
                <w:color w:val="000000"/>
                <w:sz w:val="18"/>
                <w:szCs w:val="18"/>
                <w:lang w:eastAsia="tr-TR"/>
              </w:rPr>
              <w:t>3-12 ay</w:t>
            </w:r>
          </w:p>
        </w:tc>
        <w:tc>
          <w:tcPr>
            <w:tcW w:w="850" w:type="dxa"/>
            <w:tcBorders>
              <w:top w:val="single" w:sz="4" w:space="0" w:color="auto"/>
              <w:left w:val="nil"/>
              <w:bottom w:val="single" w:sz="8" w:space="0" w:color="auto"/>
              <w:right w:val="nil"/>
            </w:tcBorders>
            <w:shd w:val="clear" w:color="auto" w:fill="auto"/>
            <w:vAlign w:val="center"/>
            <w:hideMark/>
          </w:tcPr>
          <w:p w14:paraId="00691170" w14:textId="106302AB" w:rsidR="00EE27E6" w:rsidRPr="00005453" w:rsidRDefault="00EE27E6" w:rsidP="007D0F7A">
            <w:pPr>
              <w:jc w:val="right"/>
              <w:rPr>
                <w:lang w:eastAsia="tr-TR"/>
              </w:rPr>
            </w:pPr>
            <w:r w:rsidRPr="00005453">
              <w:rPr>
                <w:b/>
                <w:bCs/>
                <w:color w:val="000000"/>
                <w:sz w:val="18"/>
                <w:szCs w:val="18"/>
                <w:lang w:eastAsia="tr-TR"/>
              </w:rPr>
              <w:t>1-5 yıl</w:t>
            </w:r>
          </w:p>
        </w:tc>
        <w:tc>
          <w:tcPr>
            <w:tcW w:w="1189" w:type="dxa"/>
            <w:tcBorders>
              <w:top w:val="single" w:sz="4" w:space="0" w:color="auto"/>
              <w:left w:val="nil"/>
              <w:bottom w:val="single" w:sz="8" w:space="0" w:color="auto"/>
              <w:right w:val="nil"/>
            </w:tcBorders>
            <w:shd w:val="clear" w:color="auto" w:fill="auto"/>
            <w:vAlign w:val="center"/>
            <w:hideMark/>
          </w:tcPr>
          <w:p w14:paraId="59CEAF62" w14:textId="59E56E51" w:rsidR="00EE27E6" w:rsidRPr="00005453" w:rsidRDefault="00EE27E6" w:rsidP="007D0F7A">
            <w:pPr>
              <w:jc w:val="right"/>
              <w:rPr>
                <w:lang w:eastAsia="tr-TR"/>
              </w:rPr>
            </w:pPr>
            <w:r w:rsidRPr="00005453">
              <w:rPr>
                <w:b/>
                <w:bCs/>
                <w:color w:val="000000"/>
                <w:sz w:val="18"/>
                <w:szCs w:val="18"/>
                <w:lang w:eastAsia="tr-TR"/>
              </w:rPr>
              <w:t>5 yıl ve üzeri</w:t>
            </w:r>
          </w:p>
        </w:tc>
        <w:tc>
          <w:tcPr>
            <w:tcW w:w="1134" w:type="dxa"/>
            <w:tcBorders>
              <w:top w:val="single" w:sz="4" w:space="0" w:color="auto"/>
              <w:left w:val="nil"/>
              <w:bottom w:val="single" w:sz="8" w:space="0" w:color="auto"/>
              <w:right w:val="nil"/>
            </w:tcBorders>
            <w:shd w:val="clear" w:color="auto" w:fill="auto"/>
            <w:vAlign w:val="center"/>
            <w:hideMark/>
          </w:tcPr>
          <w:p w14:paraId="692B1732" w14:textId="2F11D9BC" w:rsidR="00EE27E6" w:rsidRPr="00005453" w:rsidRDefault="00EE27E6" w:rsidP="007D0F7A">
            <w:pPr>
              <w:jc w:val="right"/>
              <w:rPr>
                <w:lang w:eastAsia="tr-TR"/>
              </w:rPr>
            </w:pPr>
            <w:r w:rsidRPr="00005453">
              <w:rPr>
                <w:b/>
                <w:bCs/>
                <w:color w:val="000000"/>
                <w:sz w:val="18"/>
                <w:szCs w:val="18"/>
                <w:lang w:eastAsia="tr-TR"/>
              </w:rPr>
              <w:t>Toplam</w:t>
            </w:r>
          </w:p>
        </w:tc>
      </w:tr>
      <w:tr w:rsidR="007D0F7A" w:rsidRPr="00005453" w14:paraId="4F417F7F" w14:textId="77777777" w:rsidTr="00A7269C">
        <w:trPr>
          <w:divId w:val="961306936"/>
          <w:trHeight w:val="243"/>
        </w:trPr>
        <w:tc>
          <w:tcPr>
            <w:tcW w:w="3119" w:type="dxa"/>
            <w:gridSpan w:val="2"/>
            <w:tcBorders>
              <w:top w:val="single" w:sz="8" w:space="0" w:color="auto"/>
              <w:left w:val="nil"/>
              <w:bottom w:val="nil"/>
              <w:right w:val="nil"/>
            </w:tcBorders>
            <w:shd w:val="clear" w:color="000000" w:fill="FFFFFF"/>
            <w:noWrap/>
            <w:vAlign w:val="center"/>
            <w:hideMark/>
          </w:tcPr>
          <w:p w14:paraId="63EB5F8C" w14:textId="77777777" w:rsidR="007D0F7A" w:rsidRPr="00005453" w:rsidRDefault="007D0F7A" w:rsidP="007D0F7A">
            <w:pPr>
              <w:rPr>
                <w:b/>
                <w:bCs/>
                <w:color w:val="000000"/>
                <w:sz w:val="18"/>
                <w:szCs w:val="18"/>
                <w:lang w:eastAsia="tr-TR"/>
              </w:rPr>
            </w:pPr>
          </w:p>
          <w:p w14:paraId="04E3416C" w14:textId="02AC7F9B" w:rsidR="007D0F7A" w:rsidRPr="00005453" w:rsidRDefault="007D0F7A" w:rsidP="007D0F7A">
            <w:pPr>
              <w:rPr>
                <w:b/>
                <w:bCs/>
                <w:color w:val="000000"/>
                <w:sz w:val="18"/>
                <w:szCs w:val="18"/>
                <w:lang w:eastAsia="tr-TR"/>
              </w:rPr>
            </w:pPr>
            <w:r w:rsidRPr="00005453">
              <w:rPr>
                <w:b/>
                <w:bCs/>
                <w:color w:val="000000"/>
                <w:sz w:val="18"/>
                <w:szCs w:val="18"/>
                <w:lang w:eastAsia="tr-TR"/>
              </w:rPr>
              <w:t>Alım satım amaçlı türev finansal</w:t>
            </w:r>
          </w:p>
        </w:tc>
        <w:tc>
          <w:tcPr>
            <w:tcW w:w="1108" w:type="dxa"/>
            <w:tcBorders>
              <w:top w:val="single" w:sz="8" w:space="0" w:color="auto"/>
              <w:left w:val="nil"/>
              <w:bottom w:val="nil"/>
              <w:right w:val="nil"/>
            </w:tcBorders>
            <w:shd w:val="clear" w:color="auto" w:fill="auto"/>
            <w:vAlign w:val="center"/>
            <w:hideMark/>
          </w:tcPr>
          <w:p w14:paraId="1D518EA0" w14:textId="77777777" w:rsidR="007D0F7A" w:rsidRPr="00005453" w:rsidRDefault="007D0F7A" w:rsidP="007D0F7A">
            <w:pPr>
              <w:rPr>
                <w:b/>
                <w:bCs/>
                <w:color w:val="000000"/>
                <w:sz w:val="18"/>
                <w:szCs w:val="18"/>
                <w:lang w:eastAsia="tr-TR"/>
              </w:rPr>
            </w:pPr>
          </w:p>
        </w:tc>
        <w:tc>
          <w:tcPr>
            <w:tcW w:w="963" w:type="dxa"/>
            <w:tcBorders>
              <w:top w:val="single" w:sz="8" w:space="0" w:color="auto"/>
              <w:left w:val="nil"/>
              <w:bottom w:val="nil"/>
              <w:right w:val="nil"/>
            </w:tcBorders>
            <w:shd w:val="clear" w:color="auto" w:fill="auto"/>
            <w:vAlign w:val="center"/>
            <w:hideMark/>
          </w:tcPr>
          <w:p w14:paraId="5CD9410D" w14:textId="77777777" w:rsidR="007D0F7A" w:rsidRPr="00005453" w:rsidRDefault="007D0F7A" w:rsidP="007D0F7A">
            <w:pPr>
              <w:jc w:val="right"/>
              <w:rPr>
                <w:lang w:eastAsia="tr-TR"/>
              </w:rPr>
            </w:pPr>
          </w:p>
        </w:tc>
        <w:tc>
          <w:tcPr>
            <w:tcW w:w="993" w:type="dxa"/>
            <w:tcBorders>
              <w:top w:val="single" w:sz="8" w:space="0" w:color="auto"/>
              <w:left w:val="nil"/>
              <w:bottom w:val="nil"/>
              <w:right w:val="nil"/>
            </w:tcBorders>
            <w:shd w:val="clear" w:color="auto" w:fill="auto"/>
            <w:vAlign w:val="center"/>
            <w:hideMark/>
          </w:tcPr>
          <w:p w14:paraId="15A18104" w14:textId="77777777" w:rsidR="007D0F7A" w:rsidRPr="00005453" w:rsidRDefault="007D0F7A" w:rsidP="007D0F7A">
            <w:pPr>
              <w:jc w:val="right"/>
              <w:rPr>
                <w:lang w:eastAsia="tr-TR"/>
              </w:rPr>
            </w:pPr>
          </w:p>
        </w:tc>
        <w:tc>
          <w:tcPr>
            <w:tcW w:w="850" w:type="dxa"/>
            <w:tcBorders>
              <w:top w:val="single" w:sz="8" w:space="0" w:color="auto"/>
              <w:left w:val="nil"/>
              <w:bottom w:val="nil"/>
              <w:right w:val="nil"/>
            </w:tcBorders>
            <w:shd w:val="clear" w:color="auto" w:fill="auto"/>
            <w:vAlign w:val="center"/>
            <w:hideMark/>
          </w:tcPr>
          <w:p w14:paraId="6FDF4281" w14:textId="77777777" w:rsidR="007D0F7A" w:rsidRPr="00005453" w:rsidRDefault="007D0F7A" w:rsidP="007D0F7A">
            <w:pPr>
              <w:jc w:val="right"/>
              <w:rPr>
                <w:lang w:eastAsia="tr-TR"/>
              </w:rPr>
            </w:pPr>
          </w:p>
        </w:tc>
        <w:tc>
          <w:tcPr>
            <w:tcW w:w="1189" w:type="dxa"/>
            <w:tcBorders>
              <w:top w:val="single" w:sz="8" w:space="0" w:color="auto"/>
              <w:left w:val="nil"/>
              <w:bottom w:val="nil"/>
              <w:right w:val="nil"/>
            </w:tcBorders>
            <w:shd w:val="clear" w:color="auto" w:fill="auto"/>
            <w:vAlign w:val="center"/>
            <w:hideMark/>
          </w:tcPr>
          <w:p w14:paraId="630736B6" w14:textId="77777777" w:rsidR="007D0F7A" w:rsidRPr="00005453" w:rsidRDefault="007D0F7A" w:rsidP="007D0F7A">
            <w:pPr>
              <w:jc w:val="right"/>
              <w:rPr>
                <w:lang w:eastAsia="tr-TR"/>
              </w:rPr>
            </w:pPr>
          </w:p>
        </w:tc>
        <w:tc>
          <w:tcPr>
            <w:tcW w:w="1134" w:type="dxa"/>
            <w:tcBorders>
              <w:top w:val="single" w:sz="8" w:space="0" w:color="auto"/>
              <w:left w:val="nil"/>
              <w:bottom w:val="nil"/>
              <w:right w:val="nil"/>
            </w:tcBorders>
            <w:shd w:val="clear" w:color="auto" w:fill="auto"/>
            <w:vAlign w:val="center"/>
            <w:hideMark/>
          </w:tcPr>
          <w:p w14:paraId="26CADB08" w14:textId="022E57A9" w:rsidR="007D0F7A" w:rsidRPr="00005453" w:rsidRDefault="007D0F7A" w:rsidP="007D0F7A">
            <w:pPr>
              <w:jc w:val="right"/>
              <w:rPr>
                <w:lang w:eastAsia="tr-TR"/>
              </w:rPr>
            </w:pPr>
            <w:r w:rsidRPr="00005453">
              <w:rPr>
                <w:color w:val="000000"/>
                <w:sz w:val="17"/>
                <w:szCs w:val="17"/>
                <w:lang w:eastAsia="tr-TR"/>
              </w:rPr>
              <w:t> </w:t>
            </w:r>
          </w:p>
        </w:tc>
      </w:tr>
      <w:tr w:rsidR="007D0F7A" w:rsidRPr="00005453" w14:paraId="074F75C5"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1EC510D1" w14:textId="1F17FCEC" w:rsidR="007D0F7A" w:rsidRPr="00005453" w:rsidRDefault="007D0F7A" w:rsidP="007D0F7A">
            <w:pPr>
              <w:rPr>
                <w:b/>
                <w:bCs/>
                <w:color w:val="000000"/>
                <w:sz w:val="18"/>
                <w:szCs w:val="18"/>
                <w:lang w:eastAsia="tr-TR"/>
              </w:rPr>
            </w:pPr>
            <w:r w:rsidRPr="00005453">
              <w:rPr>
                <w:b/>
                <w:bCs/>
                <w:color w:val="000000"/>
                <w:sz w:val="18"/>
                <w:szCs w:val="18"/>
                <w:lang w:eastAsia="tr-TR"/>
              </w:rPr>
              <w:t>Varlıklar</w:t>
            </w:r>
          </w:p>
        </w:tc>
        <w:tc>
          <w:tcPr>
            <w:tcW w:w="1108" w:type="dxa"/>
            <w:tcBorders>
              <w:top w:val="nil"/>
              <w:left w:val="nil"/>
              <w:bottom w:val="nil"/>
              <w:right w:val="nil"/>
            </w:tcBorders>
            <w:shd w:val="clear" w:color="auto" w:fill="auto"/>
            <w:vAlign w:val="center"/>
            <w:hideMark/>
          </w:tcPr>
          <w:p w14:paraId="0922E810" w14:textId="77777777" w:rsidR="007D0F7A" w:rsidRPr="00005453" w:rsidRDefault="007D0F7A" w:rsidP="007D0F7A">
            <w:pPr>
              <w:rPr>
                <w:b/>
                <w:bCs/>
                <w:color w:val="000000"/>
                <w:sz w:val="18"/>
                <w:szCs w:val="18"/>
                <w:lang w:eastAsia="tr-TR"/>
              </w:rPr>
            </w:pPr>
          </w:p>
        </w:tc>
        <w:tc>
          <w:tcPr>
            <w:tcW w:w="963" w:type="dxa"/>
            <w:tcBorders>
              <w:top w:val="nil"/>
              <w:left w:val="nil"/>
              <w:bottom w:val="nil"/>
              <w:right w:val="nil"/>
            </w:tcBorders>
            <w:shd w:val="clear" w:color="auto" w:fill="auto"/>
            <w:vAlign w:val="center"/>
            <w:hideMark/>
          </w:tcPr>
          <w:p w14:paraId="1B2D61E4" w14:textId="77777777" w:rsidR="007D0F7A" w:rsidRPr="00005453" w:rsidRDefault="007D0F7A" w:rsidP="007D0F7A">
            <w:pPr>
              <w:jc w:val="right"/>
              <w:rPr>
                <w:lang w:eastAsia="tr-TR"/>
              </w:rPr>
            </w:pPr>
          </w:p>
        </w:tc>
        <w:tc>
          <w:tcPr>
            <w:tcW w:w="993" w:type="dxa"/>
            <w:tcBorders>
              <w:top w:val="nil"/>
              <w:left w:val="nil"/>
              <w:bottom w:val="nil"/>
              <w:right w:val="nil"/>
            </w:tcBorders>
            <w:shd w:val="clear" w:color="auto" w:fill="auto"/>
            <w:vAlign w:val="center"/>
            <w:hideMark/>
          </w:tcPr>
          <w:p w14:paraId="37112485" w14:textId="77777777" w:rsidR="007D0F7A" w:rsidRPr="00005453" w:rsidRDefault="007D0F7A" w:rsidP="007D0F7A">
            <w:pPr>
              <w:jc w:val="right"/>
              <w:rPr>
                <w:lang w:eastAsia="tr-TR"/>
              </w:rPr>
            </w:pPr>
          </w:p>
        </w:tc>
        <w:tc>
          <w:tcPr>
            <w:tcW w:w="850" w:type="dxa"/>
            <w:tcBorders>
              <w:top w:val="nil"/>
              <w:left w:val="nil"/>
              <w:bottom w:val="nil"/>
              <w:right w:val="nil"/>
            </w:tcBorders>
            <w:shd w:val="clear" w:color="auto" w:fill="auto"/>
            <w:vAlign w:val="center"/>
            <w:hideMark/>
          </w:tcPr>
          <w:p w14:paraId="27B2E11A" w14:textId="77777777" w:rsidR="007D0F7A" w:rsidRPr="00005453" w:rsidRDefault="007D0F7A" w:rsidP="007D0F7A">
            <w:pPr>
              <w:jc w:val="right"/>
              <w:rPr>
                <w:lang w:eastAsia="tr-TR"/>
              </w:rPr>
            </w:pPr>
          </w:p>
        </w:tc>
        <w:tc>
          <w:tcPr>
            <w:tcW w:w="1189" w:type="dxa"/>
            <w:tcBorders>
              <w:top w:val="nil"/>
              <w:left w:val="nil"/>
              <w:bottom w:val="nil"/>
              <w:right w:val="nil"/>
            </w:tcBorders>
            <w:shd w:val="clear" w:color="auto" w:fill="auto"/>
            <w:vAlign w:val="center"/>
            <w:hideMark/>
          </w:tcPr>
          <w:p w14:paraId="147273AC" w14:textId="77777777" w:rsidR="007D0F7A" w:rsidRPr="00005453" w:rsidRDefault="007D0F7A" w:rsidP="007D0F7A">
            <w:pPr>
              <w:jc w:val="right"/>
              <w:rPr>
                <w:lang w:eastAsia="tr-TR"/>
              </w:rPr>
            </w:pPr>
          </w:p>
        </w:tc>
        <w:tc>
          <w:tcPr>
            <w:tcW w:w="1134" w:type="dxa"/>
            <w:tcBorders>
              <w:top w:val="nil"/>
              <w:left w:val="nil"/>
              <w:bottom w:val="nil"/>
              <w:right w:val="nil"/>
            </w:tcBorders>
            <w:shd w:val="clear" w:color="auto" w:fill="auto"/>
            <w:vAlign w:val="center"/>
            <w:hideMark/>
          </w:tcPr>
          <w:p w14:paraId="05CC3D11" w14:textId="77777777" w:rsidR="007D0F7A" w:rsidRPr="00005453" w:rsidRDefault="007D0F7A" w:rsidP="007D0F7A">
            <w:pPr>
              <w:jc w:val="right"/>
              <w:rPr>
                <w:lang w:eastAsia="tr-TR"/>
              </w:rPr>
            </w:pPr>
          </w:p>
        </w:tc>
      </w:tr>
      <w:tr w:rsidR="007D0F7A" w:rsidRPr="00005453" w14:paraId="507C4B63"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0E65A9B6" w14:textId="77777777" w:rsidR="007D0F7A" w:rsidRPr="00005453" w:rsidRDefault="007D0F7A" w:rsidP="007D0F7A">
            <w:pPr>
              <w:rPr>
                <w:color w:val="000000"/>
                <w:sz w:val="18"/>
                <w:szCs w:val="18"/>
                <w:lang w:eastAsia="tr-TR"/>
              </w:rPr>
            </w:pPr>
            <w:r w:rsidRPr="00005453">
              <w:rPr>
                <w:color w:val="000000"/>
                <w:sz w:val="18"/>
                <w:szCs w:val="18"/>
                <w:lang w:eastAsia="tr-TR"/>
              </w:rPr>
              <w:t>Döviz kuru türevleri:</w:t>
            </w:r>
          </w:p>
        </w:tc>
        <w:tc>
          <w:tcPr>
            <w:tcW w:w="1108" w:type="dxa"/>
            <w:tcBorders>
              <w:top w:val="nil"/>
              <w:left w:val="nil"/>
              <w:bottom w:val="nil"/>
              <w:right w:val="nil"/>
            </w:tcBorders>
            <w:shd w:val="clear" w:color="auto" w:fill="auto"/>
            <w:vAlign w:val="center"/>
            <w:hideMark/>
          </w:tcPr>
          <w:p w14:paraId="6D2C65DC" w14:textId="77777777" w:rsidR="007D0F7A" w:rsidRPr="00005453" w:rsidRDefault="007D0F7A" w:rsidP="007D0F7A">
            <w:pPr>
              <w:rPr>
                <w:color w:val="000000"/>
                <w:sz w:val="18"/>
                <w:szCs w:val="18"/>
                <w:lang w:eastAsia="tr-TR"/>
              </w:rPr>
            </w:pPr>
          </w:p>
        </w:tc>
        <w:tc>
          <w:tcPr>
            <w:tcW w:w="963" w:type="dxa"/>
            <w:tcBorders>
              <w:top w:val="nil"/>
              <w:left w:val="nil"/>
              <w:bottom w:val="nil"/>
              <w:right w:val="nil"/>
            </w:tcBorders>
            <w:shd w:val="clear" w:color="auto" w:fill="auto"/>
            <w:vAlign w:val="center"/>
            <w:hideMark/>
          </w:tcPr>
          <w:p w14:paraId="5B4C9258" w14:textId="77777777" w:rsidR="007D0F7A" w:rsidRPr="00005453" w:rsidRDefault="007D0F7A" w:rsidP="007D0F7A">
            <w:pPr>
              <w:jc w:val="right"/>
              <w:rPr>
                <w:lang w:eastAsia="tr-TR"/>
              </w:rPr>
            </w:pPr>
          </w:p>
        </w:tc>
        <w:tc>
          <w:tcPr>
            <w:tcW w:w="993" w:type="dxa"/>
            <w:tcBorders>
              <w:top w:val="nil"/>
              <w:left w:val="nil"/>
              <w:bottom w:val="nil"/>
              <w:right w:val="nil"/>
            </w:tcBorders>
            <w:shd w:val="clear" w:color="auto" w:fill="auto"/>
            <w:vAlign w:val="center"/>
            <w:hideMark/>
          </w:tcPr>
          <w:p w14:paraId="239729B0" w14:textId="77777777" w:rsidR="007D0F7A" w:rsidRPr="00005453" w:rsidRDefault="007D0F7A" w:rsidP="007D0F7A">
            <w:pPr>
              <w:jc w:val="right"/>
              <w:rPr>
                <w:lang w:eastAsia="tr-TR"/>
              </w:rPr>
            </w:pPr>
          </w:p>
        </w:tc>
        <w:tc>
          <w:tcPr>
            <w:tcW w:w="850" w:type="dxa"/>
            <w:tcBorders>
              <w:top w:val="nil"/>
              <w:left w:val="nil"/>
              <w:bottom w:val="nil"/>
              <w:right w:val="nil"/>
            </w:tcBorders>
            <w:shd w:val="clear" w:color="auto" w:fill="auto"/>
            <w:vAlign w:val="center"/>
            <w:hideMark/>
          </w:tcPr>
          <w:p w14:paraId="7927181B" w14:textId="77777777" w:rsidR="007D0F7A" w:rsidRPr="00005453" w:rsidRDefault="007D0F7A" w:rsidP="007D0F7A">
            <w:pPr>
              <w:jc w:val="right"/>
              <w:rPr>
                <w:lang w:eastAsia="tr-TR"/>
              </w:rPr>
            </w:pPr>
          </w:p>
        </w:tc>
        <w:tc>
          <w:tcPr>
            <w:tcW w:w="1189" w:type="dxa"/>
            <w:tcBorders>
              <w:top w:val="nil"/>
              <w:left w:val="nil"/>
              <w:bottom w:val="nil"/>
              <w:right w:val="nil"/>
            </w:tcBorders>
            <w:shd w:val="clear" w:color="auto" w:fill="auto"/>
            <w:vAlign w:val="center"/>
            <w:hideMark/>
          </w:tcPr>
          <w:p w14:paraId="6BD4B579" w14:textId="77777777" w:rsidR="007D0F7A" w:rsidRPr="00005453" w:rsidRDefault="007D0F7A" w:rsidP="007D0F7A">
            <w:pPr>
              <w:jc w:val="right"/>
              <w:rPr>
                <w:lang w:eastAsia="tr-TR"/>
              </w:rPr>
            </w:pPr>
          </w:p>
        </w:tc>
        <w:tc>
          <w:tcPr>
            <w:tcW w:w="1134" w:type="dxa"/>
            <w:tcBorders>
              <w:top w:val="nil"/>
              <w:left w:val="nil"/>
              <w:bottom w:val="nil"/>
              <w:right w:val="nil"/>
            </w:tcBorders>
            <w:shd w:val="clear" w:color="auto" w:fill="auto"/>
            <w:vAlign w:val="center"/>
            <w:hideMark/>
          </w:tcPr>
          <w:p w14:paraId="5A42D1ED" w14:textId="77777777" w:rsidR="007D0F7A" w:rsidRPr="00005453" w:rsidRDefault="007D0F7A" w:rsidP="007D0F7A">
            <w:pPr>
              <w:jc w:val="right"/>
              <w:rPr>
                <w:lang w:eastAsia="tr-TR"/>
              </w:rPr>
            </w:pPr>
          </w:p>
        </w:tc>
      </w:tr>
      <w:tr w:rsidR="007854AB" w:rsidRPr="00005453" w14:paraId="284F76E3"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4B64EA15"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Giriş</w:t>
            </w:r>
          </w:p>
        </w:tc>
        <w:tc>
          <w:tcPr>
            <w:tcW w:w="1108" w:type="dxa"/>
            <w:tcBorders>
              <w:top w:val="nil"/>
              <w:left w:val="nil"/>
              <w:bottom w:val="nil"/>
              <w:right w:val="nil"/>
            </w:tcBorders>
            <w:shd w:val="clear" w:color="auto" w:fill="auto"/>
            <w:vAlign w:val="center"/>
            <w:hideMark/>
          </w:tcPr>
          <w:p w14:paraId="79750EA7" w14:textId="0E3F2FEA" w:rsidR="007854AB" w:rsidRPr="00005453" w:rsidRDefault="007854AB" w:rsidP="007854AB">
            <w:pPr>
              <w:jc w:val="right"/>
              <w:rPr>
                <w:color w:val="000000"/>
                <w:sz w:val="17"/>
                <w:szCs w:val="17"/>
                <w:lang w:eastAsia="tr-TR"/>
              </w:rPr>
            </w:pPr>
            <w:r w:rsidRPr="00005453">
              <w:rPr>
                <w:sz w:val="17"/>
                <w:szCs w:val="17"/>
                <w:lang w:eastAsia="tr-TR"/>
              </w:rPr>
              <w:t>38,689,886</w:t>
            </w:r>
          </w:p>
        </w:tc>
        <w:tc>
          <w:tcPr>
            <w:tcW w:w="963" w:type="dxa"/>
            <w:tcBorders>
              <w:top w:val="nil"/>
              <w:left w:val="nil"/>
              <w:bottom w:val="nil"/>
              <w:right w:val="nil"/>
            </w:tcBorders>
            <w:shd w:val="clear" w:color="auto" w:fill="auto"/>
            <w:vAlign w:val="center"/>
            <w:hideMark/>
          </w:tcPr>
          <w:p w14:paraId="1AC01382" w14:textId="7AE8CA4F" w:rsidR="007854AB" w:rsidRPr="00005453" w:rsidRDefault="007854AB" w:rsidP="007854AB">
            <w:pPr>
              <w:jc w:val="right"/>
              <w:rPr>
                <w:color w:val="000000"/>
                <w:sz w:val="17"/>
                <w:szCs w:val="17"/>
                <w:lang w:eastAsia="tr-TR"/>
              </w:rPr>
            </w:pPr>
            <w:r w:rsidRPr="00005453">
              <w:rPr>
                <w:sz w:val="17"/>
                <w:szCs w:val="17"/>
                <w:lang w:eastAsia="tr-TR"/>
              </w:rPr>
              <w:t>30,628,094</w:t>
            </w:r>
          </w:p>
        </w:tc>
        <w:tc>
          <w:tcPr>
            <w:tcW w:w="993" w:type="dxa"/>
            <w:tcBorders>
              <w:top w:val="nil"/>
              <w:left w:val="nil"/>
              <w:bottom w:val="nil"/>
              <w:right w:val="nil"/>
            </w:tcBorders>
            <w:shd w:val="clear" w:color="auto" w:fill="auto"/>
            <w:vAlign w:val="center"/>
            <w:hideMark/>
          </w:tcPr>
          <w:p w14:paraId="55B91900" w14:textId="344405E0" w:rsidR="007854AB" w:rsidRPr="00005453" w:rsidRDefault="007854AB" w:rsidP="007854AB">
            <w:pPr>
              <w:jc w:val="right"/>
              <w:rPr>
                <w:color w:val="000000"/>
                <w:sz w:val="17"/>
                <w:szCs w:val="17"/>
                <w:lang w:eastAsia="tr-TR"/>
              </w:rPr>
            </w:pPr>
            <w:r w:rsidRPr="00005453">
              <w:rPr>
                <w:sz w:val="17"/>
                <w:szCs w:val="17"/>
                <w:lang w:eastAsia="tr-TR"/>
              </w:rPr>
              <w:t>5,711,313</w:t>
            </w:r>
          </w:p>
        </w:tc>
        <w:tc>
          <w:tcPr>
            <w:tcW w:w="850" w:type="dxa"/>
            <w:tcBorders>
              <w:top w:val="nil"/>
              <w:left w:val="nil"/>
              <w:bottom w:val="nil"/>
              <w:right w:val="nil"/>
            </w:tcBorders>
            <w:shd w:val="clear" w:color="auto" w:fill="auto"/>
            <w:vAlign w:val="center"/>
            <w:hideMark/>
          </w:tcPr>
          <w:p w14:paraId="3900E65F" w14:textId="575DA4A6" w:rsidR="007854AB" w:rsidRPr="00005453" w:rsidRDefault="007854AB" w:rsidP="007854AB">
            <w:pPr>
              <w:jc w:val="right"/>
              <w:rPr>
                <w:color w:val="000000"/>
                <w:sz w:val="17"/>
                <w:szCs w:val="17"/>
                <w:lang w:eastAsia="tr-TR"/>
              </w:rPr>
            </w:pPr>
            <w:r w:rsidRPr="00005453">
              <w:rPr>
                <w:sz w:val="17"/>
                <w:szCs w:val="17"/>
                <w:lang w:eastAsia="tr-TR"/>
              </w:rPr>
              <w:t>12,119</w:t>
            </w:r>
          </w:p>
        </w:tc>
        <w:tc>
          <w:tcPr>
            <w:tcW w:w="1189" w:type="dxa"/>
            <w:tcBorders>
              <w:top w:val="nil"/>
              <w:left w:val="nil"/>
              <w:bottom w:val="nil"/>
              <w:right w:val="nil"/>
            </w:tcBorders>
            <w:shd w:val="clear" w:color="auto" w:fill="auto"/>
            <w:vAlign w:val="center"/>
            <w:hideMark/>
          </w:tcPr>
          <w:p w14:paraId="7292AE63" w14:textId="28391066" w:rsidR="007854AB" w:rsidRPr="00005453" w:rsidRDefault="007854AB" w:rsidP="007854AB">
            <w:pPr>
              <w:jc w:val="right"/>
              <w:rPr>
                <w:color w:val="000000"/>
                <w:sz w:val="17"/>
                <w:szCs w:val="17"/>
                <w:lang w:eastAsia="tr-TR"/>
              </w:rPr>
            </w:pPr>
            <w:r w:rsidRPr="00005453">
              <w:rPr>
                <w:sz w:val="17"/>
                <w:szCs w:val="17"/>
                <w:lang w:eastAsia="tr-TR"/>
              </w:rPr>
              <w:t>-</w:t>
            </w:r>
          </w:p>
        </w:tc>
        <w:tc>
          <w:tcPr>
            <w:tcW w:w="1134" w:type="dxa"/>
            <w:tcBorders>
              <w:top w:val="nil"/>
              <w:left w:val="nil"/>
              <w:bottom w:val="nil"/>
              <w:right w:val="nil"/>
            </w:tcBorders>
            <w:shd w:val="clear" w:color="auto" w:fill="auto"/>
            <w:vAlign w:val="center"/>
            <w:hideMark/>
          </w:tcPr>
          <w:p w14:paraId="0039110B" w14:textId="45873E95" w:rsidR="007854AB" w:rsidRPr="00005453" w:rsidRDefault="007854AB" w:rsidP="007854AB">
            <w:pPr>
              <w:jc w:val="right"/>
              <w:rPr>
                <w:color w:val="000000"/>
                <w:sz w:val="17"/>
                <w:szCs w:val="17"/>
                <w:lang w:eastAsia="tr-TR"/>
              </w:rPr>
            </w:pPr>
            <w:r w:rsidRPr="00005453">
              <w:rPr>
                <w:sz w:val="17"/>
                <w:szCs w:val="17"/>
                <w:lang w:eastAsia="tr-TR"/>
              </w:rPr>
              <w:t>75,041,412</w:t>
            </w:r>
          </w:p>
        </w:tc>
      </w:tr>
      <w:tr w:rsidR="007854AB" w:rsidRPr="00005453" w14:paraId="4CAAD63B"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0B90BC89"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Çıkış</w:t>
            </w:r>
          </w:p>
        </w:tc>
        <w:tc>
          <w:tcPr>
            <w:tcW w:w="1108" w:type="dxa"/>
            <w:tcBorders>
              <w:top w:val="nil"/>
              <w:left w:val="nil"/>
              <w:bottom w:val="nil"/>
              <w:right w:val="nil"/>
            </w:tcBorders>
            <w:shd w:val="clear" w:color="auto" w:fill="auto"/>
            <w:vAlign w:val="center"/>
            <w:hideMark/>
          </w:tcPr>
          <w:p w14:paraId="4A9D7C01" w14:textId="5FEAF64B" w:rsidR="007854AB" w:rsidRPr="00005453" w:rsidRDefault="007854AB" w:rsidP="007854AB">
            <w:pPr>
              <w:jc w:val="right"/>
              <w:rPr>
                <w:color w:val="000000"/>
                <w:sz w:val="17"/>
                <w:szCs w:val="17"/>
                <w:lang w:eastAsia="tr-TR"/>
              </w:rPr>
            </w:pPr>
            <w:r w:rsidRPr="00005453">
              <w:rPr>
                <w:sz w:val="17"/>
                <w:szCs w:val="17"/>
                <w:lang w:eastAsia="tr-TR"/>
              </w:rPr>
              <w:t>38,811,063</w:t>
            </w:r>
          </w:p>
        </w:tc>
        <w:tc>
          <w:tcPr>
            <w:tcW w:w="963" w:type="dxa"/>
            <w:tcBorders>
              <w:top w:val="nil"/>
              <w:left w:val="nil"/>
              <w:bottom w:val="nil"/>
              <w:right w:val="nil"/>
            </w:tcBorders>
            <w:shd w:val="clear" w:color="auto" w:fill="auto"/>
            <w:vAlign w:val="center"/>
            <w:hideMark/>
          </w:tcPr>
          <w:p w14:paraId="16AB20F6" w14:textId="588A10B2" w:rsidR="007854AB" w:rsidRPr="00005453" w:rsidRDefault="007854AB" w:rsidP="007854AB">
            <w:pPr>
              <w:jc w:val="right"/>
              <w:rPr>
                <w:color w:val="000000"/>
                <w:sz w:val="17"/>
                <w:szCs w:val="17"/>
                <w:lang w:eastAsia="tr-TR"/>
              </w:rPr>
            </w:pPr>
            <w:r w:rsidRPr="00005453">
              <w:rPr>
                <w:sz w:val="17"/>
                <w:szCs w:val="17"/>
                <w:lang w:eastAsia="tr-TR"/>
              </w:rPr>
              <w:t>30,810,205</w:t>
            </w:r>
          </w:p>
        </w:tc>
        <w:tc>
          <w:tcPr>
            <w:tcW w:w="993" w:type="dxa"/>
            <w:tcBorders>
              <w:top w:val="nil"/>
              <w:left w:val="nil"/>
              <w:bottom w:val="nil"/>
              <w:right w:val="nil"/>
            </w:tcBorders>
            <w:shd w:val="clear" w:color="auto" w:fill="auto"/>
            <w:vAlign w:val="center"/>
            <w:hideMark/>
          </w:tcPr>
          <w:p w14:paraId="3E1C34BD" w14:textId="3ACF8AEE" w:rsidR="007854AB" w:rsidRPr="00005453" w:rsidRDefault="007854AB" w:rsidP="007854AB">
            <w:pPr>
              <w:jc w:val="right"/>
              <w:rPr>
                <w:color w:val="000000"/>
                <w:sz w:val="17"/>
                <w:szCs w:val="17"/>
                <w:lang w:eastAsia="tr-TR"/>
              </w:rPr>
            </w:pPr>
            <w:r w:rsidRPr="00005453">
              <w:rPr>
                <w:sz w:val="17"/>
                <w:szCs w:val="17"/>
                <w:lang w:eastAsia="tr-TR"/>
              </w:rPr>
              <w:t>4,705,608</w:t>
            </w:r>
          </w:p>
        </w:tc>
        <w:tc>
          <w:tcPr>
            <w:tcW w:w="850" w:type="dxa"/>
            <w:tcBorders>
              <w:top w:val="nil"/>
              <w:left w:val="nil"/>
              <w:bottom w:val="nil"/>
              <w:right w:val="nil"/>
            </w:tcBorders>
            <w:shd w:val="clear" w:color="auto" w:fill="auto"/>
            <w:vAlign w:val="center"/>
            <w:hideMark/>
          </w:tcPr>
          <w:p w14:paraId="5B20196A" w14:textId="0987BC45" w:rsidR="007854AB" w:rsidRPr="00005453" w:rsidRDefault="007854AB" w:rsidP="007854AB">
            <w:pPr>
              <w:jc w:val="right"/>
              <w:rPr>
                <w:color w:val="000000"/>
                <w:sz w:val="17"/>
                <w:szCs w:val="17"/>
                <w:lang w:eastAsia="tr-TR"/>
              </w:rPr>
            </w:pPr>
            <w:r w:rsidRPr="00005453">
              <w:rPr>
                <w:sz w:val="17"/>
                <w:szCs w:val="17"/>
                <w:lang w:eastAsia="tr-TR"/>
              </w:rPr>
              <w:t>12,378</w:t>
            </w:r>
          </w:p>
        </w:tc>
        <w:tc>
          <w:tcPr>
            <w:tcW w:w="1189" w:type="dxa"/>
            <w:tcBorders>
              <w:top w:val="nil"/>
              <w:left w:val="nil"/>
              <w:bottom w:val="nil"/>
              <w:right w:val="nil"/>
            </w:tcBorders>
            <w:shd w:val="clear" w:color="auto" w:fill="auto"/>
            <w:vAlign w:val="center"/>
            <w:hideMark/>
          </w:tcPr>
          <w:p w14:paraId="797BE0C7" w14:textId="55FB85E8" w:rsidR="007854AB" w:rsidRPr="00005453" w:rsidRDefault="007854AB" w:rsidP="007854AB">
            <w:pPr>
              <w:jc w:val="right"/>
              <w:rPr>
                <w:color w:val="000000"/>
                <w:sz w:val="17"/>
                <w:szCs w:val="17"/>
                <w:lang w:eastAsia="tr-TR"/>
              </w:rPr>
            </w:pPr>
            <w:r w:rsidRPr="00005453">
              <w:rPr>
                <w:sz w:val="17"/>
                <w:szCs w:val="17"/>
                <w:lang w:eastAsia="tr-TR"/>
              </w:rPr>
              <w:t>-</w:t>
            </w:r>
          </w:p>
        </w:tc>
        <w:tc>
          <w:tcPr>
            <w:tcW w:w="1134" w:type="dxa"/>
            <w:tcBorders>
              <w:top w:val="nil"/>
              <w:left w:val="nil"/>
              <w:bottom w:val="nil"/>
              <w:right w:val="nil"/>
            </w:tcBorders>
            <w:shd w:val="clear" w:color="auto" w:fill="auto"/>
            <w:vAlign w:val="center"/>
            <w:hideMark/>
          </w:tcPr>
          <w:p w14:paraId="206B3A5D" w14:textId="7AA3D3C2" w:rsidR="007854AB" w:rsidRPr="00005453" w:rsidRDefault="007854AB" w:rsidP="007854AB">
            <w:pPr>
              <w:jc w:val="right"/>
              <w:rPr>
                <w:color w:val="000000"/>
                <w:sz w:val="17"/>
                <w:szCs w:val="17"/>
                <w:lang w:eastAsia="tr-TR"/>
              </w:rPr>
            </w:pPr>
            <w:r w:rsidRPr="00005453">
              <w:rPr>
                <w:sz w:val="17"/>
                <w:szCs w:val="17"/>
                <w:lang w:eastAsia="tr-TR"/>
              </w:rPr>
              <w:t>74,339,254</w:t>
            </w:r>
          </w:p>
        </w:tc>
      </w:tr>
      <w:tr w:rsidR="00594E27" w:rsidRPr="00005453" w14:paraId="2F4D429B"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50E9641C" w14:textId="77777777" w:rsidR="00594E27" w:rsidRPr="00005453" w:rsidRDefault="00594E27" w:rsidP="00594E27">
            <w:pPr>
              <w:rPr>
                <w:b/>
                <w:bCs/>
                <w:color w:val="000000"/>
                <w:sz w:val="18"/>
                <w:szCs w:val="18"/>
                <w:lang w:eastAsia="tr-TR"/>
              </w:rPr>
            </w:pPr>
            <w:r w:rsidRPr="00005453">
              <w:rPr>
                <w:b/>
                <w:bCs/>
                <w:color w:val="000000"/>
                <w:sz w:val="18"/>
                <w:szCs w:val="18"/>
                <w:lang w:eastAsia="tr-TR"/>
              </w:rPr>
              <w:t>Riskten korunma amaçlı varlıklar</w:t>
            </w:r>
          </w:p>
        </w:tc>
        <w:tc>
          <w:tcPr>
            <w:tcW w:w="1108" w:type="dxa"/>
            <w:tcBorders>
              <w:top w:val="nil"/>
              <w:left w:val="nil"/>
              <w:bottom w:val="nil"/>
              <w:right w:val="nil"/>
            </w:tcBorders>
            <w:shd w:val="clear" w:color="auto" w:fill="auto"/>
            <w:vAlign w:val="center"/>
            <w:hideMark/>
          </w:tcPr>
          <w:p w14:paraId="24B25560" w14:textId="77777777" w:rsidR="00594E27" w:rsidRPr="00005453" w:rsidRDefault="00594E27" w:rsidP="00594E27">
            <w:pPr>
              <w:rPr>
                <w:b/>
                <w:bCs/>
                <w:color w:val="000000"/>
                <w:sz w:val="18"/>
                <w:szCs w:val="18"/>
                <w:lang w:eastAsia="tr-TR"/>
              </w:rPr>
            </w:pPr>
          </w:p>
        </w:tc>
        <w:tc>
          <w:tcPr>
            <w:tcW w:w="963" w:type="dxa"/>
            <w:tcBorders>
              <w:top w:val="nil"/>
              <w:left w:val="nil"/>
              <w:bottom w:val="nil"/>
              <w:right w:val="nil"/>
            </w:tcBorders>
            <w:shd w:val="clear" w:color="auto" w:fill="auto"/>
            <w:vAlign w:val="center"/>
            <w:hideMark/>
          </w:tcPr>
          <w:p w14:paraId="6881F720" w14:textId="77777777" w:rsidR="00594E27" w:rsidRPr="00005453" w:rsidRDefault="00594E27" w:rsidP="00594E27">
            <w:pPr>
              <w:rPr>
                <w:lang w:eastAsia="tr-TR"/>
              </w:rPr>
            </w:pPr>
          </w:p>
        </w:tc>
        <w:tc>
          <w:tcPr>
            <w:tcW w:w="993" w:type="dxa"/>
            <w:tcBorders>
              <w:top w:val="nil"/>
              <w:left w:val="nil"/>
              <w:bottom w:val="nil"/>
              <w:right w:val="nil"/>
            </w:tcBorders>
            <w:shd w:val="clear" w:color="auto" w:fill="auto"/>
            <w:vAlign w:val="center"/>
            <w:hideMark/>
          </w:tcPr>
          <w:p w14:paraId="5CF269C1" w14:textId="77777777" w:rsidR="00594E27" w:rsidRPr="00005453" w:rsidRDefault="00594E27" w:rsidP="00594E27">
            <w:pPr>
              <w:rPr>
                <w:lang w:eastAsia="tr-TR"/>
              </w:rPr>
            </w:pPr>
          </w:p>
        </w:tc>
        <w:tc>
          <w:tcPr>
            <w:tcW w:w="850" w:type="dxa"/>
            <w:tcBorders>
              <w:top w:val="nil"/>
              <w:left w:val="nil"/>
              <w:bottom w:val="nil"/>
              <w:right w:val="nil"/>
            </w:tcBorders>
            <w:shd w:val="clear" w:color="auto" w:fill="auto"/>
            <w:vAlign w:val="center"/>
            <w:hideMark/>
          </w:tcPr>
          <w:p w14:paraId="5ACFF6DD" w14:textId="77777777" w:rsidR="00594E27" w:rsidRPr="00005453" w:rsidRDefault="00594E27" w:rsidP="00594E27">
            <w:pPr>
              <w:rPr>
                <w:lang w:eastAsia="tr-TR"/>
              </w:rPr>
            </w:pPr>
          </w:p>
        </w:tc>
        <w:tc>
          <w:tcPr>
            <w:tcW w:w="1189" w:type="dxa"/>
            <w:tcBorders>
              <w:top w:val="nil"/>
              <w:left w:val="nil"/>
              <w:bottom w:val="nil"/>
              <w:right w:val="nil"/>
            </w:tcBorders>
            <w:shd w:val="clear" w:color="auto" w:fill="auto"/>
            <w:vAlign w:val="center"/>
            <w:hideMark/>
          </w:tcPr>
          <w:p w14:paraId="773E6FBF" w14:textId="77777777" w:rsidR="00594E27" w:rsidRPr="00005453" w:rsidRDefault="00594E27" w:rsidP="00594E27">
            <w:pPr>
              <w:rPr>
                <w:lang w:eastAsia="tr-TR"/>
              </w:rPr>
            </w:pPr>
          </w:p>
        </w:tc>
        <w:tc>
          <w:tcPr>
            <w:tcW w:w="1134" w:type="dxa"/>
            <w:tcBorders>
              <w:top w:val="nil"/>
              <w:left w:val="nil"/>
              <w:bottom w:val="nil"/>
              <w:right w:val="nil"/>
            </w:tcBorders>
            <w:shd w:val="clear" w:color="auto" w:fill="auto"/>
            <w:vAlign w:val="center"/>
            <w:hideMark/>
          </w:tcPr>
          <w:p w14:paraId="3151EF12" w14:textId="77777777" w:rsidR="00594E27" w:rsidRPr="00005453" w:rsidRDefault="00594E27" w:rsidP="00594E27">
            <w:pPr>
              <w:rPr>
                <w:lang w:eastAsia="tr-TR"/>
              </w:rPr>
            </w:pPr>
          </w:p>
        </w:tc>
      </w:tr>
      <w:tr w:rsidR="00594E27" w:rsidRPr="00005453" w14:paraId="55DA3644"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42010F92" w14:textId="77777777" w:rsidR="00594E27" w:rsidRPr="00005453" w:rsidRDefault="00594E27" w:rsidP="00594E27">
            <w:pPr>
              <w:rPr>
                <w:color w:val="000000"/>
                <w:sz w:val="18"/>
                <w:szCs w:val="18"/>
                <w:lang w:eastAsia="tr-TR"/>
              </w:rPr>
            </w:pPr>
            <w:r w:rsidRPr="00005453">
              <w:rPr>
                <w:color w:val="000000"/>
                <w:sz w:val="18"/>
                <w:szCs w:val="18"/>
                <w:lang w:eastAsia="tr-TR"/>
              </w:rPr>
              <w:t>Döviz kuru türevleri:</w:t>
            </w:r>
          </w:p>
        </w:tc>
        <w:tc>
          <w:tcPr>
            <w:tcW w:w="1108" w:type="dxa"/>
            <w:tcBorders>
              <w:top w:val="nil"/>
              <w:left w:val="nil"/>
              <w:bottom w:val="nil"/>
              <w:right w:val="nil"/>
            </w:tcBorders>
            <w:shd w:val="clear" w:color="auto" w:fill="auto"/>
            <w:vAlign w:val="center"/>
            <w:hideMark/>
          </w:tcPr>
          <w:p w14:paraId="3DBF3705" w14:textId="77777777" w:rsidR="00594E27" w:rsidRPr="00005453" w:rsidRDefault="00594E27" w:rsidP="00594E27">
            <w:pPr>
              <w:rPr>
                <w:color w:val="000000"/>
                <w:sz w:val="18"/>
                <w:szCs w:val="18"/>
                <w:lang w:eastAsia="tr-TR"/>
              </w:rPr>
            </w:pPr>
          </w:p>
        </w:tc>
        <w:tc>
          <w:tcPr>
            <w:tcW w:w="963" w:type="dxa"/>
            <w:tcBorders>
              <w:top w:val="nil"/>
              <w:left w:val="nil"/>
              <w:bottom w:val="nil"/>
              <w:right w:val="nil"/>
            </w:tcBorders>
            <w:shd w:val="clear" w:color="auto" w:fill="auto"/>
            <w:vAlign w:val="center"/>
            <w:hideMark/>
          </w:tcPr>
          <w:p w14:paraId="6BAE92A1" w14:textId="77777777" w:rsidR="00594E27" w:rsidRPr="00005453" w:rsidRDefault="00594E27" w:rsidP="00594E27">
            <w:pPr>
              <w:rPr>
                <w:lang w:eastAsia="tr-TR"/>
              </w:rPr>
            </w:pPr>
          </w:p>
        </w:tc>
        <w:tc>
          <w:tcPr>
            <w:tcW w:w="993" w:type="dxa"/>
            <w:tcBorders>
              <w:top w:val="nil"/>
              <w:left w:val="nil"/>
              <w:bottom w:val="nil"/>
              <w:right w:val="nil"/>
            </w:tcBorders>
            <w:shd w:val="clear" w:color="auto" w:fill="auto"/>
            <w:vAlign w:val="center"/>
            <w:hideMark/>
          </w:tcPr>
          <w:p w14:paraId="233C2632" w14:textId="77777777" w:rsidR="00594E27" w:rsidRPr="00005453" w:rsidRDefault="00594E27" w:rsidP="00594E27">
            <w:pPr>
              <w:rPr>
                <w:lang w:eastAsia="tr-TR"/>
              </w:rPr>
            </w:pPr>
          </w:p>
        </w:tc>
        <w:tc>
          <w:tcPr>
            <w:tcW w:w="850" w:type="dxa"/>
            <w:tcBorders>
              <w:top w:val="nil"/>
              <w:left w:val="nil"/>
              <w:bottom w:val="nil"/>
              <w:right w:val="nil"/>
            </w:tcBorders>
            <w:shd w:val="clear" w:color="auto" w:fill="auto"/>
            <w:vAlign w:val="center"/>
            <w:hideMark/>
          </w:tcPr>
          <w:p w14:paraId="559221CE" w14:textId="77777777" w:rsidR="00594E27" w:rsidRPr="00005453" w:rsidRDefault="00594E27" w:rsidP="00594E27">
            <w:pPr>
              <w:rPr>
                <w:lang w:eastAsia="tr-TR"/>
              </w:rPr>
            </w:pPr>
          </w:p>
        </w:tc>
        <w:tc>
          <w:tcPr>
            <w:tcW w:w="1189" w:type="dxa"/>
            <w:tcBorders>
              <w:top w:val="nil"/>
              <w:left w:val="nil"/>
              <w:bottom w:val="nil"/>
              <w:right w:val="nil"/>
            </w:tcBorders>
            <w:shd w:val="clear" w:color="auto" w:fill="auto"/>
            <w:vAlign w:val="center"/>
            <w:hideMark/>
          </w:tcPr>
          <w:p w14:paraId="6227CD47" w14:textId="77777777" w:rsidR="00594E27" w:rsidRPr="00005453" w:rsidRDefault="00594E27" w:rsidP="00594E27">
            <w:pPr>
              <w:rPr>
                <w:lang w:eastAsia="tr-TR"/>
              </w:rPr>
            </w:pPr>
          </w:p>
        </w:tc>
        <w:tc>
          <w:tcPr>
            <w:tcW w:w="1134" w:type="dxa"/>
            <w:tcBorders>
              <w:top w:val="nil"/>
              <w:left w:val="nil"/>
              <w:bottom w:val="nil"/>
              <w:right w:val="nil"/>
            </w:tcBorders>
            <w:shd w:val="clear" w:color="auto" w:fill="auto"/>
            <w:vAlign w:val="center"/>
            <w:hideMark/>
          </w:tcPr>
          <w:p w14:paraId="2BFAF6C9" w14:textId="77777777" w:rsidR="00594E27" w:rsidRPr="00005453" w:rsidRDefault="00594E27" w:rsidP="00594E27">
            <w:pPr>
              <w:rPr>
                <w:lang w:eastAsia="tr-TR"/>
              </w:rPr>
            </w:pPr>
          </w:p>
        </w:tc>
      </w:tr>
      <w:tr w:rsidR="00594E27" w:rsidRPr="00005453" w14:paraId="16468ABB" w14:textId="77777777" w:rsidTr="00A7269C">
        <w:trPr>
          <w:divId w:val="961306936"/>
          <w:trHeight w:val="243"/>
        </w:trPr>
        <w:tc>
          <w:tcPr>
            <w:tcW w:w="3119" w:type="dxa"/>
            <w:gridSpan w:val="2"/>
            <w:tcBorders>
              <w:top w:val="nil"/>
              <w:left w:val="nil"/>
              <w:bottom w:val="nil"/>
              <w:right w:val="nil"/>
            </w:tcBorders>
            <w:shd w:val="clear" w:color="000000" w:fill="FFFFFF"/>
            <w:noWrap/>
            <w:vAlign w:val="center"/>
            <w:hideMark/>
          </w:tcPr>
          <w:p w14:paraId="2F609FDA" w14:textId="77777777" w:rsidR="00594E27" w:rsidRPr="00005453" w:rsidRDefault="00594E27" w:rsidP="00594E27">
            <w:pPr>
              <w:rPr>
                <w:color w:val="000000"/>
                <w:sz w:val="18"/>
                <w:szCs w:val="18"/>
                <w:lang w:eastAsia="tr-TR"/>
              </w:rPr>
            </w:pPr>
            <w:r w:rsidRPr="00005453">
              <w:rPr>
                <w:color w:val="000000"/>
                <w:sz w:val="18"/>
                <w:szCs w:val="18"/>
                <w:lang w:eastAsia="tr-TR"/>
              </w:rPr>
              <w:t xml:space="preserve">  Giriş</w:t>
            </w:r>
          </w:p>
        </w:tc>
        <w:tc>
          <w:tcPr>
            <w:tcW w:w="1108" w:type="dxa"/>
            <w:tcBorders>
              <w:top w:val="nil"/>
              <w:left w:val="nil"/>
              <w:bottom w:val="nil"/>
              <w:right w:val="nil"/>
            </w:tcBorders>
            <w:shd w:val="clear" w:color="auto" w:fill="auto"/>
            <w:vAlign w:val="center"/>
            <w:hideMark/>
          </w:tcPr>
          <w:p w14:paraId="28E13D2C" w14:textId="3990B014" w:rsidR="00594E27" w:rsidRPr="00005453" w:rsidRDefault="00594E27" w:rsidP="00594E27">
            <w:pPr>
              <w:jc w:val="right"/>
              <w:rPr>
                <w:color w:val="000000"/>
                <w:sz w:val="17"/>
                <w:szCs w:val="17"/>
                <w:lang w:eastAsia="tr-TR"/>
              </w:rPr>
            </w:pPr>
            <w:r w:rsidRPr="00005453">
              <w:rPr>
                <w:sz w:val="17"/>
                <w:szCs w:val="17"/>
                <w:lang w:eastAsia="tr-TR"/>
              </w:rPr>
              <w:t>-</w:t>
            </w:r>
          </w:p>
        </w:tc>
        <w:tc>
          <w:tcPr>
            <w:tcW w:w="963" w:type="dxa"/>
            <w:tcBorders>
              <w:top w:val="nil"/>
              <w:left w:val="nil"/>
              <w:bottom w:val="nil"/>
              <w:right w:val="nil"/>
            </w:tcBorders>
            <w:shd w:val="clear" w:color="auto" w:fill="auto"/>
            <w:vAlign w:val="center"/>
            <w:hideMark/>
          </w:tcPr>
          <w:p w14:paraId="63F485B1" w14:textId="1B00CB9C" w:rsidR="00594E27" w:rsidRPr="00005453" w:rsidRDefault="00594E27" w:rsidP="00594E27">
            <w:pPr>
              <w:jc w:val="right"/>
              <w:rPr>
                <w:color w:val="000000"/>
                <w:sz w:val="17"/>
                <w:szCs w:val="17"/>
                <w:lang w:eastAsia="tr-TR"/>
              </w:rPr>
            </w:pPr>
            <w:r w:rsidRPr="00005453">
              <w:rPr>
                <w:sz w:val="17"/>
                <w:szCs w:val="17"/>
                <w:lang w:eastAsia="tr-TR"/>
              </w:rPr>
              <w:t>-</w:t>
            </w:r>
          </w:p>
        </w:tc>
        <w:tc>
          <w:tcPr>
            <w:tcW w:w="993" w:type="dxa"/>
            <w:tcBorders>
              <w:top w:val="nil"/>
              <w:left w:val="nil"/>
              <w:bottom w:val="nil"/>
              <w:right w:val="nil"/>
            </w:tcBorders>
            <w:shd w:val="clear" w:color="auto" w:fill="auto"/>
            <w:vAlign w:val="center"/>
            <w:hideMark/>
          </w:tcPr>
          <w:p w14:paraId="36B9C6CC" w14:textId="117EA0A7" w:rsidR="00594E27" w:rsidRPr="00005453" w:rsidRDefault="00594E27" w:rsidP="00594E27">
            <w:pPr>
              <w:jc w:val="right"/>
              <w:rPr>
                <w:color w:val="000000"/>
                <w:sz w:val="17"/>
                <w:szCs w:val="17"/>
                <w:lang w:eastAsia="tr-TR"/>
              </w:rPr>
            </w:pPr>
            <w:r w:rsidRPr="00005453">
              <w:rPr>
                <w:sz w:val="17"/>
                <w:szCs w:val="17"/>
                <w:lang w:eastAsia="tr-TR"/>
              </w:rPr>
              <w:t>-</w:t>
            </w:r>
          </w:p>
        </w:tc>
        <w:tc>
          <w:tcPr>
            <w:tcW w:w="850" w:type="dxa"/>
            <w:tcBorders>
              <w:top w:val="nil"/>
              <w:left w:val="nil"/>
              <w:bottom w:val="nil"/>
              <w:right w:val="nil"/>
            </w:tcBorders>
            <w:shd w:val="clear" w:color="auto" w:fill="auto"/>
            <w:vAlign w:val="center"/>
            <w:hideMark/>
          </w:tcPr>
          <w:p w14:paraId="100C3E61" w14:textId="28EBDAC1" w:rsidR="00594E27" w:rsidRPr="00005453" w:rsidRDefault="00594E27" w:rsidP="00594E27">
            <w:pPr>
              <w:jc w:val="right"/>
              <w:rPr>
                <w:color w:val="000000"/>
                <w:sz w:val="17"/>
                <w:szCs w:val="17"/>
                <w:lang w:eastAsia="tr-TR"/>
              </w:rPr>
            </w:pPr>
            <w:r w:rsidRPr="00005453">
              <w:rPr>
                <w:sz w:val="17"/>
                <w:szCs w:val="17"/>
                <w:lang w:eastAsia="tr-TR"/>
              </w:rPr>
              <w:t>-</w:t>
            </w:r>
          </w:p>
        </w:tc>
        <w:tc>
          <w:tcPr>
            <w:tcW w:w="1189" w:type="dxa"/>
            <w:tcBorders>
              <w:top w:val="nil"/>
              <w:left w:val="nil"/>
              <w:bottom w:val="nil"/>
              <w:right w:val="nil"/>
            </w:tcBorders>
            <w:shd w:val="clear" w:color="auto" w:fill="auto"/>
            <w:vAlign w:val="center"/>
            <w:hideMark/>
          </w:tcPr>
          <w:p w14:paraId="40C1C08B" w14:textId="11C23414" w:rsidR="00594E27" w:rsidRPr="00005453" w:rsidRDefault="00594E27" w:rsidP="00594E27">
            <w:pPr>
              <w:jc w:val="right"/>
              <w:rPr>
                <w:color w:val="000000"/>
                <w:sz w:val="17"/>
                <w:szCs w:val="17"/>
                <w:lang w:eastAsia="tr-TR"/>
              </w:rPr>
            </w:pPr>
            <w:r w:rsidRPr="00005453">
              <w:rPr>
                <w:sz w:val="17"/>
                <w:szCs w:val="17"/>
                <w:lang w:eastAsia="tr-TR"/>
              </w:rPr>
              <w:t>-</w:t>
            </w:r>
          </w:p>
        </w:tc>
        <w:tc>
          <w:tcPr>
            <w:tcW w:w="1134" w:type="dxa"/>
            <w:tcBorders>
              <w:top w:val="nil"/>
              <w:left w:val="nil"/>
              <w:bottom w:val="nil"/>
              <w:right w:val="nil"/>
            </w:tcBorders>
            <w:shd w:val="clear" w:color="auto" w:fill="auto"/>
            <w:vAlign w:val="center"/>
            <w:hideMark/>
          </w:tcPr>
          <w:p w14:paraId="64045BE7" w14:textId="61924F6B" w:rsidR="00594E27" w:rsidRPr="00005453" w:rsidRDefault="00594E27" w:rsidP="00594E27">
            <w:pPr>
              <w:jc w:val="right"/>
              <w:rPr>
                <w:color w:val="000000"/>
                <w:sz w:val="17"/>
                <w:szCs w:val="17"/>
                <w:lang w:eastAsia="tr-TR"/>
              </w:rPr>
            </w:pPr>
            <w:r w:rsidRPr="00005453">
              <w:rPr>
                <w:sz w:val="17"/>
                <w:szCs w:val="17"/>
                <w:lang w:eastAsia="tr-TR"/>
              </w:rPr>
              <w:t>-</w:t>
            </w:r>
          </w:p>
        </w:tc>
      </w:tr>
      <w:tr w:rsidR="00594E27" w:rsidRPr="00005453" w14:paraId="430D319C" w14:textId="77777777" w:rsidTr="00A7269C">
        <w:trPr>
          <w:divId w:val="961306936"/>
          <w:trHeight w:val="255"/>
        </w:trPr>
        <w:tc>
          <w:tcPr>
            <w:tcW w:w="3119" w:type="dxa"/>
            <w:gridSpan w:val="2"/>
            <w:tcBorders>
              <w:top w:val="nil"/>
              <w:left w:val="nil"/>
              <w:bottom w:val="nil"/>
              <w:right w:val="nil"/>
            </w:tcBorders>
            <w:shd w:val="clear" w:color="000000" w:fill="FFFFFF"/>
            <w:noWrap/>
            <w:vAlign w:val="center"/>
            <w:hideMark/>
          </w:tcPr>
          <w:p w14:paraId="2B44EB4C" w14:textId="77777777" w:rsidR="00594E27" w:rsidRPr="00005453" w:rsidRDefault="00594E27" w:rsidP="00594E27">
            <w:pPr>
              <w:rPr>
                <w:color w:val="000000"/>
                <w:sz w:val="18"/>
                <w:szCs w:val="18"/>
                <w:lang w:eastAsia="tr-TR"/>
              </w:rPr>
            </w:pPr>
            <w:r w:rsidRPr="00005453">
              <w:rPr>
                <w:color w:val="000000"/>
                <w:sz w:val="18"/>
                <w:szCs w:val="18"/>
                <w:lang w:eastAsia="tr-TR"/>
              </w:rPr>
              <w:t xml:space="preserve">  Çıkış</w:t>
            </w:r>
          </w:p>
        </w:tc>
        <w:tc>
          <w:tcPr>
            <w:tcW w:w="1108" w:type="dxa"/>
            <w:tcBorders>
              <w:top w:val="nil"/>
              <w:left w:val="nil"/>
              <w:bottom w:val="nil"/>
              <w:right w:val="nil"/>
            </w:tcBorders>
            <w:shd w:val="clear" w:color="auto" w:fill="auto"/>
            <w:vAlign w:val="center"/>
            <w:hideMark/>
          </w:tcPr>
          <w:p w14:paraId="0E038167" w14:textId="52B252C4" w:rsidR="00594E27" w:rsidRPr="00005453" w:rsidRDefault="00594E27" w:rsidP="00594E27">
            <w:pPr>
              <w:jc w:val="right"/>
              <w:rPr>
                <w:color w:val="000000"/>
                <w:sz w:val="17"/>
                <w:szCs w:val="17"/>
                <w:lang w:eastAsia="tr-TR"/>
              </w:rPr>
            </w:pPr>
            <w:r w:rsidRPr="00005453">
              <w:rPr>
                <w:sz w:val="17"/>
                <w:szCs w:val="17"/>
                <w:lang w:eastAsia="tr-TR"/>
              </w:rPr>
              <w:t>-</w:t>
            </w:r>
          </w:p>
        </w:tc>
        <w:tc>
          <w:tcPr>
            <w:tcW w:w="963" w:type="dxa"/>
            <w:tcBorders>
              <w:top w:val="nil"/>
              <w:left w:val="nil"/>
              <w:bottom w:val="nil"/>
              <w:right w:val="nil"/>
            </w:tcBorders>
            <w:shd w:val="clear" w:color="auto" w:fill="auto"/>
            <w:vAlign w:val="center"/>
            <w:hideMark/>
          </w:tcPr>
          <w:p w14:paraId="37880823" w14:textId="02BD73C6" w:rsidR="00594E27" w:rsidRPr="00005453" w:rsidRDefault="00594E27" w:rsidP="00594E27">
            <w:pPr>
              <w:jc w:val="right"/>
              <w:rPr>
                <w:color w:val="000000"/>
                <w:sz w:val="17"/>
                <w:szCs w:val="17"/>
                <w:lang w:eastAsia="tr-TR"/>
              </w:rPr>
            </w:pPr>
            <w:r w:rsidRPr="00005453">
              <w:rPr>
                <w:sz w:val="17"/>
                <w:szCs w:val="17"/>
                <w:lang w:eastAsia="tr-TR"/>
              </w:rPr>
              <w:t>-</w:t>
            </w:r>
          </w:p>
        </w:tc>
        <w:tc>
          <w:tcPr>
            <w:tcW w:w="993" w:type="dxa"/>
            <w:tcBorders>
              <w:top w:val="nil"/>
              <w:left w:val="nil"/>
              <w:bottom w:val="nil"/>
              <w:right w:val="nil"/>
            </w:tcBorders>
            <w:shd w:val="clear" w:color="auto" w:fill="auto"/>
            <w:vAlign w:val="center"/>
            <w:hideMark/>
          </w:tcPr>
          <w:p w14:paraId="78ACF7A2" w14:textId="13360CFF" w:rsidR="00594E27" w:rsidRPr="00005453" w:rsidRDefault="00594E27" w:rsidP="00594E27">
            <w:pPr>
              <w:jc w:val="right"/>
              <w:rPr>
                <w:color w:val="000000"/>
                <w:sz w:val="17"/>
                <w:szCs w:val="17"/>
                <w:lang w:eastAsia="tr-TR"/>
              </w:rPr>
            </w:pPr>
            <w:r w:rsidRPr="00005453">
              <w:rPr>
                <w:sz w:val="17"/>
                <w:szCs w:val="17"/>
                <w:lang w:eastAsia="tr-TR"/>
              </w:rPr>
              <w:t>-</w:t>
            </w:r>
          </w:p>
        </w:tc>
        <w:tc>
          <w:tcPr>
            <w:tcW w:w="850" w:type="dxa"/>
            <w:tcBorders>
              <w:top w:val="nil"/>
              <w:left w:val="nil"/>
              <w:bottom w:val="nil"/>
              <w:right w:val="nil"/>
            </w:tcBorders>
            <w:shd w:val="clear" w:color="auto" w:fill="auto"/>
            <w:vAlign w:val="center"/>
            <w:hideMark/>
          </w:tcPr>
          <w:p w14:paraId="1EA508A6" w14:textId="7C63AF06" w:rsidR="00594E27" w:rsidRPr="00005453" w:rsidRDefault="00594E27" w:rsidP="00594E27">
            <w:pPr>
              <w:jc w:val="right"/>
              <w:rPr>
                <w:color w:val="000000"/>
                <w:sz w:val="17"/>
                <w:szCs w:val="17"/>
                <w:lang w:eastAsia="tr-TR"/>
              </w:rPr>
            </w:pPr>
            <w:r w:rsidRPr="00005453">
              <w:rPr>
                <w:sz w:val="17"/>
                <w:szCs w:val="17"/>
                <w:lang w:eastAsia="tr-TR"/>
              </w:rPr>
              <w:t>-</w:t>
            </w:r>
          </w:p>
        </w:tc>
        <w:tc>
          <w:tcPr>
            <w:tcW w:w="1189" w:type="dxa"/>
            <w:tcBorders>
              <w:top w:val="nil"/>
              <w:left w:val="nil"/>
              <w:bottom w:val="nil"/>
              <w:right w:val="nil"/>
            </w:tcBorders>
            <w:shd w:val="clear" w:color="auto" w:fill="auto"/>
            <w:vAlign w:val="center"/>
            <w:hideMark/>
          </w:tcPr>
          <w:p w14:paraId="3C499974" w14:textId="4F178090" w:rsidR="00594E27" w:rsidRPr="00005453" w:rsidRDefault="00594E27" w:rsidP="00594E27">
            <w:pPr>
              <w:jc w:val="right"/>
              <w:rPr>
                <w:color w:val="000000"/>
                <w:sz w:val="17"/>
                <w:szCs w:val="17"/>
                <w:lang w:eastAsia="tr-TR"/>
              </w:rPr>
            </w:pPr>
            <w:r w:rsidRPr="00005453">
              <w:rPr>
                <w:sz w:val="17"/>
                <w:szCs w:val="17"/>
                <w:lang w:eastAsia="tr-TR"/>
              </w:rPr>
              <w:t>-</w:t>
            </w:r>
          </w:p>
        </w:tc>
        <w:tc>
          <w:tcPr>
            <w:tcW w:w="1134" w:type="dxa"/>
            <w:tcBorders>
              <w:top w:val="nil"/>
              <w:left w:val="nil"/>
              <w:bottom w:val="nil"/>
              <w:right w:val="nil"/>
            </w:tcBorders>
            <w:shd w:val="clear" w:color="auto" w:fill="auto"/>
            <w:vAlign w:val="center"/>
            <w:hideMark/>
          </w:tcPr>
          <w:p w14:paraId="6E90C61D" w14:textId="0685B837" w:rsidR="00594E27" w:rsidRPr="00005453" w:rsidRDefault="00594E27" w:rsidP="00594E27">
            <w:pPr>
              <w:jc w:val="right"/>
              <w:rPr>
                <w:color w:val="000000"/>
                <w:sz w:val="17"/>
                <w:szCs w:val="17"/>
                <w:lang w:eastAsia="tr-TR"/>
              </w:rPr>
            </w:pPr>
            <w:r w:rsidRPr="00005453">
              <w:rPr>
                <w:sz w:val="17"/>
                <w:szCs w:val="17"/>
                <w:lang w:eastAsia="tr-TR"/>
              </w:rPr>
              <w:t>-</w:t>
            </w:r>
          </w:p>
        </w:tc>
      </w:tr>
      <w:tr w:rsidR="007854AB" w:rsidRPr="00005453" w14:paraId="431BE3A1" w14:textId="77777777" w:rsidTr="00A7269C">
        <w:trPr>
          <w:divId w:val="961306936"/>
          <w:trHeight w:val="255"/>
        </w:trPr>
        <w:tc>
          <w:tcPr>
            <w:tcW w:w="3119" w:type="dxa"/>
            <w:gridSpan w:val="2"/>
            <w:tcBorders>
              <w:top w:val="single" w:sz="8" w:space="0" w:color="auto"/>
              <w:left w:val="nil"/>
              <w:bottom w:val="double" w:sz="6" w:space="0" w:color="auto"/>
              <w:right w:val="nil"/>
            </w:tcBorders>
            <w:shd w:val="clear" w:color="auto" w:fill="auto"/>
            <w:noWrap/>
            <w:vAlign w:val="center"/>
            <w:hideMark/>
          </w:tcPr>
          <w:p w14:paraId="6C34F6E0" w14:textId="77777777" w:rsidR="007854AB" w:rsidRPr="00005453" w:rsidRDefault="007854AB" w:rsidP="007854AB">
            <w:pPr>
              <w:rPr>
                <w:b/>
                <w:bCs/>
                <w:color w:val="000000"/>
                <w:sz w:val="17"/>
                <w:szCs w:val="17"/>
                <w:lang w:eastAsia="tr-TR"/>
              </w:rPr>
            </w:pPr>
            <w:r w:rsidRPr="00005453">
              <w:rPr>
                <w:b/>
                <w:bCs/>
                <w:color w:val="000000"/>
                <w:sz w:val="17"/>
                <w:szCs w:val="17"/>
                <w:lang w:eastAsia="tr-TR"/>
              </w:rPr>
              <w:t>Toplam Nakit Girişi</w:t>
            </w:r>
          </w:p>
        </w:tc>
        <w:tc>
          <w:tcPr>
            <w:tcW w:w="1108" w:type="dxa"/>
            <w:tcBorders>
              <w:top w:val="single" w:sz="8" w:space="0" w:color="auto"/>
              <w:left w:val="nil"/>
              <w:bottom w:val="double" w:sz="6" w:space="0" w:color="auto"/>
              <w:right w:val="nil"/>
            </w:tcBorders>
            <w:shd w:val="clear" w:color="auto" w:fill="auto"/>
            <w:vAlign w:val="center"/>
            <w:hideMark/>
          </w:tcPr>
          <w:p w14:paraId="46EFDAF9" w14:textId="023D27DF" w:rsidR="007854AB" w:rsidRPr="00005453" w:rsidRDefault="007854AB" w:rsidP="007854AB">
            <w:pPr>
              <w:jc w:val="right"/>
              <w:rPr>
                <w:b/>
                <w:bCs/>
                <w:color w:val="000000"/>
                <w:sz w:val="17"/>
                <w:szCs w:val="17"/>
                <w:lang w:eastAsia="tr-TR"/>
              </w:rPr>
            </w:pPr>
            <w:r w:rsidRPr="00005453">
              <w:rPr>
                <w:b/>
                <w:bCs/>
                <w:sz w:val="17"/>
                <w:szCs w:val="17"/>
              </w:rPr>
              <w:t>38,689,886</w:t>
            </w:r>
          </w:p>
        </w:tc>
        <w:tc>
          <w:tcPr>
            <w:tcW w:w="963" w:type="dxa"/>
            <w:tcBorders>
              <w:top w:val="single" w:sz="8" w:space="0" w:color="auto"/>
              <w:left w:val="nil"/>
              <w:bottom w:val="double" w:sz="6" w:space="0" w:color="auto"/>
              <w:right w:val="nil"/>
            </w:tcBorders>
            <w:shd w:val="clear" w:color="auto" w:fill="auto"/>
            <w:vAlign w:val="center"/>
            <w:hideMark/>
          </w:tcPr>
          <w:p w14:paraId="7AB05600" w14:textId="54459088" w:rsidR="007854AB" w:rsidRPr="00005453" w:rsidRDefault="007854AB" w:rsidP="007854AB">
            <w:pPr>
              <w:jc w:val="right"/>
              <w:rPr>
                <w:b/>
                <w:bCs/>
                <w:color w:val="000000"/>
                <w:sz w:val="17"/>
                <w:szCs w:val="17"/>
                <w:lang w:eastAsia="tr-TR"/>
              </w:rPr>
            </w:pPr>
            <w:r w:rsidRPr="00005453">
              <w:rPr>
                <w:b/>
                <w:bCs/>
                <w:sz w:val="17"/>
                <w:szCs w:val="17"/>
              </w:rPr>
              <w:t>30,628,094</w:t>
            </w:r>
          </w:p>
        </w:tc>
        <w:tc>
          <w:tcPr>
            <w:tcW w:w="993" w:type="dxa"/>
            <w:tcBorders>
              <w:top w:val="single" w:sz="8" w:space="0" w:color="auto"/>
              <w:left w:val="nil"/>
              <w:bottom w:val="double" w:sz="6" w:space="0" w:color="auto"/>
              <w:right w:val="nil"/>
            </w:tcBorders>
            <w:shd w:val="clear" w:color="auto" w:fill="auto"/>
            <w:vAlign w:val="center"/>
            <w:hideMark/>
          </w:tcPr>
          <w:p w14:paraId="59E02C25" w14:textId="5C936DA4" w:rsidR="007854AB" w:rsidRPr="00005453" w:rsidRDefault="007854AB" w:rsidP="007854AB">
            <w:pPr>
              <w:jc w:val="right"/>
              <w:rPr>
                <w:b/>
                <w:bCs/>
                <w:color w:val="000000"/>
                <w:sz w:val="17"/>
                <w:szCs w:val="17"/>
                <w:lang w:eastAsia="tr-TR"/>
              </w:rPr>
            </w:pPr>
            <w:r w:rsidRPr="00005453">
              <w:rPr>
                <w:b/>
                <w:bCs/>
                <w:sz w:val="17"/>
                <w:szCs w:val="17"/>
              </w:rPr>
              <w:t>5,711,313</w:t>
            </w:r>
          </w:p>
        </w:tc>
        <w:tc>
          <w:tcPr>
            <w:tcW w:w="850" w:type="dxa"/>
            <w:tcBorders>
              <w:top w:val="single" w:sz="8" w:space="0" w:color="auto"/>
              <w:left w:val="nil"/>
              <w:bottom w:val="double" w:sz="6" w:space="0" w:color="auto"/>
              <w:right w:val="nil"/>
            </w:tcBorders>
            <w:shd w:val="clear" w:color="auto" w:fill="auto"/>
            <w:vAlign w:val="center"/>
            <w:hideMark/>
          </w:tcPr>
          <w:p w14:paraId="080A61E2" w14:textId="62AC6B0E" w:rsidR="007854AB" w:rsidRPr="00005453" w:rsidRDefault="007854AB" w:rsidP="007854AB">
            <w:pPr>
              <w:jc w:val="right"/>
              <w:rPr>
                <w:b/>
                <w:bCs/>
                <w:color w:val="000000"/>
                <w:sz w:val="17"/>
                <w:szCs w:val="17"/>
                <w:lang w:eastAsia="tr-TR"/>
              </w:rPr>
            </w:pPr>
            <w:r w:rsidRPr="00005453">
              <w:rPr>
                <w:b/>
                <w:bCs/>
                <w:sz w:val="17"/>
                <w:szCs w:val="17"/>
              </w:rPr>
              <w:t>12,119</w:t>
            </w:r>
          </w:p>
        </w:tc>
        <w:tc>
          <w:tcPr>
            <w:tcW w:w="1189" w:type="dxa"/>
            <w:tcBorders>
              <w:top w:val="single" w:sz="8" w:space="0" w:color="auto"/>
              <w:left w:val="nil"/>
              <w:bottom w:val="double" w:sz="6" w:space="0" w:color="auto"/>
              <w:right w:val="nil"/>
            </w:tcBorders>
            <w:shd w:val="clear" w:color="auto" w:fill="auto"/>
            <w:vAlign w:val="center"/>
            <w:hideMark/>
          </w:tcPr>
          <w:p w14:paraId="1159D7CC" w14:textId="43C361EC" w:rsidR="007854AB" w:rsidRPr="00005453" w:rsidRDefault="007854AB" w:rsidP="007854AB">
            <w:pPr>
              <w:jc w:val="right"/>
              <w:rPr>
                <w:b/>
                <w:bCs/>
                <w:color w:val="000000"/>
                <w:sz w:val="17"/>
                <w:szCs w:val="17"/>
                <w:lang w:eastAsia="tr-TR"/>
              </w:rPr>
            </w:pPr>
            <w:r w:rsidRPr="00005453">
              <w:rPr>
                <w:b/>
                <w:bCs/>
                <w:sz w:val="17"/>
                <w:szCs w:val="17"/>
              </w:rPr>
              <w:t>-</w:t>
            </w:r>
          </w:p>
        </w:tc>
        <w:tc>
          <w:tcPr>
            <w:tcW w:w="1134" w:type="dxa"/>
            <w:tcBorders>
              <w:top w:val="single" w:sz="8" w:space="0" w:color="auto"/>
              <w:left w:val="nil"/>
              <w:bottom w:val="double" w:sz="6" w:space="0" w:color="auto"/>
              <w:right w:val="nil"/>
            </w:tcBorders>
            <w:shd w:val="clear" w:color="auto" w:fill="auto"/>
            <w:vAlign w:val="center"/>
            <w:hideMark/>
          </w:tcPr>
          <w:p w14:paraId="3EB86588" w14:textId="742010BB" w:rsidR="007854AB" w:rsidRPr="00005453" w:rsidRDefault="007854AB" w:rsidP="007854AB">
            <w:pPr>
              <w:jc w:val="right"/>
              <w:rPr>
                <w:b/>
                <w:bCs/>
                <w:color w:val="000000"/>
                <w:sz w:val="17"/>
                <w:szCs w:val="17"/>
                <w:lang w:eastAsia="tr-TR"/>
              </w:rPr>
            </w:pPr>
            <w:r w:rsidRPr="00005453">
              <w:rPr>
                <w:b/>
                <w:bCs/>
                <w:sz w:val="17"/>
                <w:szCs w:val="17"/>
              </w:rPr>
              <w:t>75,041,412</w:t>
            </w:r>
          </w:p>
        </w:tc>
      </w:tr>
      <w:tr w:rsidR="007854AB" w:rsidRPr="00005453" w14:paraId="031B454D" w14:textId="77777777" w:rsidTr="00A7269C">
        <w:trPr>
          <w:divId w:val="961306936"/>
          <w:trHeight w:val="269"/>
        </w:trPr>
        <w:tc>
          <w:tcPr>
            <w:tcW w:w="3119" w:type="dxa"/>
            <w:gridSpan w:val="2"/>
            <w:tcBorders>
              <w:top w:val="single" w:sz="8" w:space="0" w:color="auto"/>
              <w:left w:val="nil"/>
              <w:bottom w:val="double" w:sz="6" w:space="0" w:color="auto"/>
              <w:right w:val="nil"/>
            </w:tcBorders>
            <w:shd w:val="clear" w:color="auto" w:fill="auto"/>
            <w:noWrap/>
            <w:vAlign w:val="center"/>
            <w:hideMark/>
          </w:tcPr>
          <w:p w14:paraId="1FF86D6F" w14:textId="77777777" w:rsidR="007854AB" w:rsidRPr="00005453" w:rsidRDefault="007854AB" w:rsidP="007854AB">
            <w:pPr>
              <w:rPr>
                <w:b/>
                <w:bCs/>
                <w:color w:val="000000"/>
                <w:sz w:val="17"/>
                <w:szCs w:val="17"/>
                <w:lang w:eastAsia="tr-TR"/>
              </w:rPr>
            </w:pPr>
            <w:r w:rsidRPr="00005453">
              <w:rPr>
                <w:b/>
                <w:bCs/>
                <w:color w:val="000000"/>
                <w:sz w:val="17"/>
                <w:szCs w:val="17"/>
                <w:lang w:eastAsia="tr-TR"/>
              </w:rPr>
              <w:t>Toplam Nakit Çıkışı</w:t>
            </w:r>
          </w:p>
        </w:tc>
        <w:tc>
          <w:tcPr>
            <w:tcW w:w="1108" w:type="dxa"/>
            <w:tcBorders>
              <w:top w:val="single" w:sz="8" w:space="0" w:color="auto"/>
              <w:left w:val="nil"/>
              <w:bottom w:val="double" w:sz="6" w:space="0" w:color="auto"/>
              <w:right w:val="nil"/>
            </w:tcBorders>
            <w:shd w:val="clear" w:color="auto" w:fill="auto"/>
            <w:vAlign w:val="center"/>
            <w:hideMark/>
          </w:tcPr>
          <w:p w14:paraId="188AFBEA" w14:textId="54EBBBBA" w:rsidR="007854AB" w:rsidRPr="00005453" w:rsidRDefault="007854AB" w:rsidP="007854AB">
            <w:pPr>
              <w:jc w:val="right"/>
              <w:rPr>
                <w:b/>
                <w:bCs/>
                <w:color w:val="000000"/>
                <w:sz w:val="17"/>
                <w:szCs w:val="17"/>
                <w:lang w:eastAsia="tr-TR"/>
              </w:rPr>
            </w:pPr>
            <w:r w:rsidRPr="00005453">
              <w:rPr>
                <w:b/>
                <w:bCs/>
                <w:sz w:val="17"/>
                <w:szCs w:val="17"/>
              </w:rPr>
              <w:t>38,811,063</w:t>
            </w:r>
          </w:p>
        </w:tc>
        <w:tc>
          <w:tcPr>
            <w:tcW w:w="963" w:type="dxa"/>
            <w:tcBorders>
              <w:top w:val="single" w:sz="8" w:space="0" w:color="auto"/>
              <w:left w:val="nil"/>
              <w:bottom w:val="double" w:sz="6" w:space="0" w:color="auto"/>
              <w:right w:val="nil"/>
            </w:tcBorders>
            <w:shd w:val="clear" w:color="auto" w:fill="auto"/>
            <w:vAlign w:val="center"/>
            <w:hideMark/>
          </w:tcPr>
          <w:p w14:paraId="26EF0984" w14:textId="3E2C8535" w:rsidR="007854AB" w:rsidRPr="00005453" w:rsidRDefault="007854AB" w:rsidP="007854AB">
            <w:pPr>
              <w:jc w:val="right"/>
              <w:rPr>
                <w:b/>
                <w:bCs/>
                <w:color w:val="000000"/>
                <w:sz w:val="17"/>
                <w:szCs w:val="17"/>
                <w:lang w:eastAsia="tr-TR"/>
              </w:rPr>
            </w:pPr>
            <w:r w:rsidRPr="00005453">
              <w:rPr>
                <w:b/>
                <w:bCs/>
                <w:sz w:val="17"/>
                <w:szCs w:val="17"/>
              </w:rPr>
              <w:t>30,810,205</w:t>
            </w:r>
          </w:p>
        </w:tc>
        <w:tc>
          <w:tcPr>
            <w:tcW w:w="993" w:type="dxa"/>
            <w:tcBorders>
              <w:top w:val="single" w:sz="8" w:space="0" w:color="auto"/>
              <w:left w:val="nil"/>
              <w:bottom w:val="double" w:sz="6" w:space="0" w:color="auto"/>
              <w:right w:val="nil"/>
            </w:tcBorders>
            <w:shd w:val="clear" w:color="auto" w:fill="auto"/>
            <w:vAlign w:val="center"/>
            <w:hideMark/>
          </w:tcPr>
          <w:p w14:paraId="3B4CC7B3" w14:textId="70982564" w:rsidR="007854AB" w:rsidRPr="00005453" w:rsidRDefault="007854AB" w:rsidP="007854AB">
            <w:pPr>
              <w:jc w:val="right"/>
              <w:rPr>
                <w:b/>
                <w:bCs/>
                <w:color w:val="000000"/>
                <w:sz w:val="17"/>
                <w:szCs w:val="17"/>
                <w:lang w:eastAsia="tr-TR"/>
              </w:rPr>
            </w:pPr>
            <w:r w:rsidRPr="00005453">
              <w:rPr>
                <w:b/>
                <w:bCs/>
                <w:sz w:val="17"/>
                <w:szCs w:val="17"/>
              </w:rPr>
              <w:t>4,705,608</w:t>
            </w:r>
          </w:p>
        </w:tc>
        <w:tc>
          <w:tcPr>
            <w:tcW w:w="850" w:type="dxa"/>
            <w:tcBorders>
              <w:top w:val="single" w:sz="8" w:space="0" w:color="auto"/>
              <w:left w:val="nil"/>
              <w:bottom w:val="double" w:sz="6" w:space="0" w:color="auto"/>
              <w:right w:val="nil"/>
            </w:tcBorders>
            <w:shd w:val="clear" w:color="auto" w:fill="auto"/>
            <w:vAlign w:val="center"/>
            <w:hideMark/>
          </w:tcPr>
          <w:p w14:paraId="0B95E117" w14:textId="6E4F309F" w:rsidR="007854AB" w:rsidRPr="00005453" w:rsidRDefault="007854AB" w:rsidP="007854AB">
            <w:pPr>
              <w:jc w:val="right"/>
              <w:rPr>
                <w:b/>
                <w:bCs/>
                <w:color w:val="000000"/>
                <w:sz w:val="17"/>
                <w:szCs w:val="17"/>
                <w:lang w:eastAsia="tr-TR"/>
              </w:rPr>
            </w:pPr>
            <w:r w:rsidRPr="00005453">
              <w:rPr>
                <w:b/>
                <w:bCs/>
                <w:sz w:val="17"/>
                <w:szCs w:val="17"/>
              </w:rPr>
              <w:t>12,378</w:t>
            </w:r>
          </w:p>
        </w:tc>
        <w:tc>
          <w:tcPr>
            <w:tcW w:w="1189" w:type="dxa"/>
            <w:tcBorders>
              <w:top w:val="single" w:sz="8" w:space="0" w:color="auto"/>
              <w:left w:val="nil"/>
              <w:bottom w:val="double" w:sz="6" w:space="0" w:color="auto"/>
              <w:right w:val="nil"/>
            </w:tcBorders>
            <w:shd w:val="clear" w:color="auto" w:fill="auto"/>
            <w:vAlign w:val="center"/>
            <w:hideMark/>
          </w:tcPr>
          <w:p w14:paraId="0FE8F8A3" w14:textId="4E6AAFF7" w:rsidR="007854AB" w:rsidRPr="00005453" w:rsidRDefault="007854AB" w:rsidP="007854AB">
            <w:pPr>
              <w:jc w:val="right"/>
              <w:rPr>
                <w:b/>
                <w:bCs/>
                <w:color w:val="000000"/>
                <w:sz w:val="17"/>
                <w:szCs w:val="17"/>
                <w:lang w:eastAsia="tr-TR"/>
              </w:rPr>
            </w:pPr>
            <w:r w:rsidRPr="00005453">
              <w:rPr>
                <w:b/>
                <w:bCs/>
                <w:sz w:val="17"/>
                <w:szCs w:val="17"/>
              </w:rPr>
              <w:t>-</w:t>
            </w:r>
          </w:p>
        </w:tc>
        <w:tc>
          <w:tcPr>
            <w:tcW w:w="1134" w:type="dxa"/>
            <w:tcBorders>
              <w:top w:val="single" w:sz="8" w:space="0" w:color="auto"/>
              <w:left w:val="nil"/>
              <w:bottom w:val="double" w:sz="6" w:space="0" w:color="auto"/>
              <w:right w:val="nil"/>
            </w:tcBorders>
            <w:shd w:val="clear" w:color="auto" w:fill="auto"/>
            <w:vAlign w:val="center"/>
            <w:hideMark/>
          </w:tcPr>
          <w:p w14:paraId="7797516A" w14:textId="4C123F89" w:rsidR="007854AB" w:rsidRPr="00005453" w:rsidRDefault="007854AB" w:rsidP="007854AB">
            <w:pPr>
              <w:jc w:val="right"/>
              <w:rPr>
                <w:b/>
                <w:bCs/>
                <w:color w:val="000000"/>
                <w:sz w:val="17"/>
                <w:szCs w:val="17"/>
                <w:lang w:eastAsia="tr-TR"/>
              </w:rPr>
            </w:pPr>
            <w:r w:rsidRPr="00005453">
              <w:rPr>
                <w:b/>
                <w:bCs/>
                <w:sz w:val="17"/>
                <w:szCs w:val="17"/>
              </w:rPr>
              <w:t>74,339,254</w:t>
            </w:r>
          </w:p>
        </w:tc>
      </w:tr>
    </w:tbl>
    <w:p w14:paraId="72869399" w14:textId="25D9F6A7" w:rsidR="001133EA" w:rsidRPr="00005453" w:rsidRDefault="001133EA" w:rsidP="00100A1B">
      <w:pPr>
        <w:pStyle w:val="BodyText"/>
        <w:jc w:val="left"/>
      </w:pPr>
    </w:p>
    <w:p w14:paraId="3F45F863" w14:textId="77777777" w:rsidR="001133EA" w:rsidRPr="00005453" w:rsidRDefault="001133EA" w:rsidP="00100A1B">
      <w:pPr>
        <w:pStyle w:val="BodyText"/>
        <w:jc w:val="left"/>
        <w:rPr>
          <w:b/>
        </w:rPr>
      </w:pPr>
    </w:p>
    <w:p w14:paraId="6F418FBD" w14:textId="77777777" w:rsidR="001133EA" w:rsidRPr="00005453" w:rsidRDefault="001133EA" w:rsidP="00100A1B">
      <w:pPr>
        <w:pStyle w:val="BodyText"/>
        <w:jc w:val="left"/>
        <w:rPr>
          <w:b/>
        </w:rPr>
      </w:pPr>
    </w:p>
    <w:p w14:paraId="08E57506" w14:textId="77777777" w:rsidR="001133EA" w:rsidRPr="00005453" w:rsidRDefault="001133EA" w:rsidP="00100A1B">
      <w:pPr>
        <w:pStyle w:val="BodyText"/>
        <w:jc w:val="left"/>
        <w:rPr>
          <w:b/>
        </w:rPr>
      </w:pPr>
    </w:p>
    <w:p w14:paraId="245EB94C" w14:textId="77777777" w:rsidR="001133EA" w:rsidRPr="00005453" w:rsidRDefault="001133EA" w:rsidP="00100A1B">
      <w:pPr>
        <w:pStyle w:val="BodyText"/>
        <w:jc w:val="left"/>
        <w:rPr>
          <w:b/>
        </w:rPr>
      </w:pPr>
    </w:p>
    <w:p w14:paraId="0D50B596" w14:textId="77777777" w:rsidR="001133EA" w:rsidRPr="00005453" w:rsidRDefault="001133EA" w:rsidP="00100A1B">
      <w:pPr>
        <w:pStyle w:val="BodyText"/>
        <w:jc w:val="left"/>
        <w:rPr>
          <w:b/>
        </w:rPr>
      </w:pPr>
    </w:p>
    <w:p w14:paraId="44C0509A" w14:textId="77777777" w:rsidR="001133EA" w:rsidRPr="00005453" w:rsidRDefault="001133EA" w:rsidP="00100A1B">
      <w:pPr>
        <w:pStyle w:val="BodyText"/>
        <w:jc w:val="left"/>
        <w:rPr>
          <w:b/>
        </w:rPr>
      </w:pPr>
    </w:p>
    <w:p w14:paraId="72975823" w14:textId="77777777" w:rsidR="001133EA" w:rsidRPr="00005453" w:rsidRDefault="001133EA" w:rsidP="00100A1B">
      <w:pPr>
        <w:pStyle w:val="BodyText"/>
        <w:jc w:val="left"/>
        <w:rPr>
          <w:b/>
        </w:rPr>
      </w:pPr>
    </w:p>
    <w:p w14:paraId="0115FB0A" w14:textId="77777777" w:rsidR="001133EA" w:rsidRPr="00005453" w:rsidRDefault="001133EA" w:rsidP="00100A1B">
      <w:pPr>
        <w:pStyle w:val="BodyText"/>
        <w:jc w:val="left"/>
        <w:rPr>
          <w:b/>
        </w:rPr>
      </w:pPr>
    </w:p>
    <w:p w14:paraId="62B610DB" w14:textId="77777777" w:rsidR="001133EA" w:rsidRPr="00005453" w:rsidRDefault="001133EA" w:rsidP="00100A1B">
      <w:pPr>
        <w:pStyle w:val="BodyText"/>
        <w:jc w:val="left"/>
        <w:rPr>
          <w:b/>
        </w:rPr>
      </w:pPr>
    </w:p>
    <w:p w14:paraId="1D4AC48E" w14:textId="77777777" w:rsidR="001133EA" w:rsidRPr="00005453" w:rsidRDefault="001133EA" w:rsidP="00100A1B">
      <w:pPr>
        <w:pStyle w:val="BodyText"/>
        <w:jc w:val="left"/>
        <w:rPr>
          <w:b/>
        </w:rPr>
      </w:pPr>
    </w:p>
    <w:p w14:paraId="74109C71" w14:textId="77777777" w:rsidR="001133EA" w:rsidRPr="00005453" w:rsidRDefault="001133EA" w:rsidP="00100A1B">
      <w:pPr>
        <w:pStyle w:val="BodyText"/>
        <w:jc w:val="left"/>
        <w:rPr>
          <w:b/>
        </w:rPr>
      </w:pPr>
    </w:p>
    <w:p w14:paraId="2D312F2D" w14:textId="77777777" w:rsidR="001133EA" w:rsidRPr="00005453" w:rsidRDefault="001133EA" w:rsidP="00100A1B">
      <w:pPr>
        <w:pStyle w:val="BodyText"/>
        <w:jc w:val="left"/>
        <w:rPr>
          <w:b/>
        </w:rPr>
      </w:pPr>
    </w:p>
    <w:p w14:paraId="3119BB67" w14:textId="77777777" w:rsidR="001133EA" w:rsidRPr="00005453" w:rsidRDefault="001133EA" w:rsidP="00100A1B">
      <w:pPr>
        <w:pStyle w:val="BodyText"/>
        <w:jc w:val="left"/>
        <w:rPr>
          <w:b/>
        </w:rPr>
      </w:pPr>
    </w:p>
    <w:p w14:paraId="360649B7" w14:textId="77777777" w:rsidR="001133EA" w:rsidRPr="00005453" w:rsidRDefault="001133EA" w:rsidP="00100A1B">
      <w:pPr>
        <w:pStyle w:val="BodyText"/>
        <w:jc w:val="left"/>
        <w:rPr>
          <w:b/>
        </w:rPr>
      </w:pPr>
    </w:p>
    <w:p w14:paraId="74EAE8E3" w14:textId="77777777" w:rsidR="001133EA" w:rsidRPr="00005453" w:rsidRDefault="001133EA" w:rsidP="00100A1B">
      <w:pPr>
        <w:pStyle w:val="BodyText"/>
        <w:jc w:val="left"/>
        <w:rPr>
          <w:b/>
        </w:rPr>
      </w:pPr>
    </w:p>
    <w:p w14:paraId="44F8CB8F" w14:textId="77777777" w:rsidR="001133EA" w:rsidRPr="00005453" w:rsidRDefault="001133EA" w:rsidP="00100A1B">
      <w:pPr>
        <w:pStyle w:val="BodyText"/>
        <w:jc w:val="left"/>
        <w:rPr>
          <w:b/>
        </w:rPr>
      </w:pPr>
    </w:p>
    <w:p w14:paraId="571A4828" w14:textId="77777777" w:rsidR="001133EA" w:rsidRPr="00005453" w:rsidRDefault="001133EA" w:rsidP="00100A1B">
      <w:pPr>
        <w:pStyle w:val="BodyText"/>
        <w:jc w:val="left"/>
        <w:rPr>
          <w:b/>
        </w:rPr>
      </w:pPr>
    </w:p>
    <w:p w14:paraId="430FA8AE" w14:textId="77777777" w:rsidR="001133EA" w:rsidRPr="00005453" w:rsidRDefault="001133EA" w:rsidP="00100A1B">
      <w:pPr>
        <w:pStyle w:val="BodyText"/>
        <w:jc w:val="left"/>
        <w:rPr>
          <w:b/>
        </w:rPr>
      </w:pPr>
    </w:p>
    <w:p w14:paraId="4CC25042" w14:textId="77777777" w:rsidR="001133EA" w:rsidRPr="00005453" w:rsidRDefault="001133EA" w:rsidP="00100A1B">
      <w:pPr>
        <w:pStyle w:val="BodyText"/>
        <w:jc w:val="left"/>
        <w:rPr>
          <w:b/>
        </w:rPr>
      </w:pPr>
    </w:p>
    <w:p w14:paraId="3C2EDBD2" w14:textId="77777777" w:rsidR="001133EA" w:rsidRPr="00005453" w:rsidRDefault="001133EA" w:rsidP="00100A1B">
      <w:pPr>
        <w:pStyle w:val="BodyText"/>
        <w:jc w:val="left"/>
        <w:rPr>
          <w:b/>
        </w:rPr>
      </w:pPr>
    </w:p>
    <w:p w14:paraId="4DCA69E6" w14:textId="313C5BE2" w:rsidR="001133EA" w:rsidRPr="00005453" w:rsidRDefault="001133EA" w:rsidP="00100A1B">
      <w:pPr>
        <w:pStyle w:val="BodyText"/>
        <w:jc w:val="left"/>
        <w:rPr>
          <w:b/>
        </w:rPr>
      </w:pPr>
    </w:p>
    <w:p w14:paraId="739DB8C7" w14:textId="5C0030B7" w:rsidR="00455DC7" w:rsidRPr="00005453" w:rsidRDefault="00455DC7" w:rsidP="00100A1B">
      <w:pPr>
        <w:pStyle w:val="BodyText"/>
        <w:jc w:val="left"/>
        <w:rPr>
          <w:b/>
        </w:rPr>
      </w:pPr>
    </w:p>
    <w:p w14:paraId="0E59C05D" w14:textId="185201E0" w:rsidR="00611708" w:rsidRPr="00005453" w:rsidRDefault="00611708" w:rsidP="00100A1B">
      <w:pPr>
        <w:pStyle w:val="BodyText"/>
        <w:jc w:val="left"/>
        <w:rPr>
          <w:b/>
        </w:rPr>
      </w:pPr>
    </w:p>
    <w:p w14:paraId="1D1EA59A" w14:textId="77777777" w:rsidR="00CD423E" w:rsidRPr="00005453" w:rsidRDefault="00CD423E" w:rsidP="00100A1B">
      <w:pPr>
        <w:pStyle w:val="BodyText"/>
        <w:jc w:val="left"/>
        <w:rPr>
          <w:b/>
        </w:rPr>
      </w:pPr>
    </w:p>
    <w:p w14:paraId="07E2AA84" w14:textId="77777777" w:rsidR="00EE27E6" w:rsidRPr="00005453" w:rsidRDefault="00EE27E6" w:rsidP="00741C7D">
      <w:pPr>
        <w:ind w:hanging="567"/>
        <w:jc w:val="both"/>
        <w:rPr>
          <w:rFonts w:eastAsia="Arial Unicode MS"/>
          <w:b/>
        </w:rPr>
      </w:pPr>
    </w:p>
    <w:p w14:paraId="1567E5EE" w14:textId="77777777" w:rsidR="00EE27E6" w:rsidRPr="00005453" w:rsidRDefault="00EE27E6" w:rsidP="00741C7D">
      <w:pPr>
        <w:ind w:hanging="567"/>
        <w:jc w:val="both"/>
        <w:rPr>
          <w:rFonts w:eastAsia="Arial Unicode MS"/>
          <w:b/>
        </w:rPr>
      </w:pPr>
    </w:p>
    <w:p w14:paraId="5711C9BB" w14:textId="28DF3102" w:rsidR="00741C7D" w:rsidRPr="00005453" w:rsidRDefault="00741C7D" w:rsidP="00741C7D">
      <w:pPr>
        <w:ind w:hanging="567"/>
        <w:jc w:val="both"/>
        <w:rPr>
          <w:rFonts w:eastAsia="Arial Unicode MS"/>
          <w:b/>
        </w:rPr>
      </w:pPr>
      <w:r w:rsidRPr="00005453">
        <w:rPr>
          <w:rFonts w:eastAsia="Arial Unicode MS"/>
          <w:b/>
        </w:rPr>
        <w:lastRenderedPageBreak/>
        <w:t>5.9      Likidite karşılama oranı</w:t>
      </w:r>
    </w:p>
    <w:p w14:paraId="758E524D" w14:textId="0C409D29" w:rsidR="00D40BCC" w:rsidRPr="00005453" w:rsidRDefault="00D40BCC" w:rsidP="00C35E6D">
      <w:pPr>
        <w:autoSpaceDE w:val="0"/>
        <w:autoSpaceDN w:val="0"/>
        <w:adjustRightInd w:val="0"/>
        <w:rPr>
          <w:lang w:val="en-GB" w:eastAsia="en-GB"/>
        </w:rPr>
      </w:pPr>
    </w:p>
    <w:tbl>
      <w:tblPr>
        <w:tblW w:w="9641" w:type="dxa"/>
        <w:tblCellMar>
          <w:left w:w="70" w:type="dxa"/>
          <w:right w:w="70" w:type="dxa"/>
        </w:tblCellMar>
        <w:tblLook w:val="04A0" w:firstRow="1" w:lastRow="0" w:firstColumn="1" w:lastColumn="0" w:noHBand="0" w:noVBand="1"/>
      </w:tblPr>
      <w:tblGrid>
        <w:gridCol w:w="360"/>
        <w:gridCol w:w="4025"/>
        <w:gridCol w:w="1096"/>
        <w:gridCol w:w="1040"/>
        <w:gridCol w:w="1040"/>
        <w:gridCol w:w="1040"/>
        <w:gridCol w:w="1040"/>
      </w:tblGrid>
      <w:tr w:rsidR="00D40BCC" w:rsidRPr="00005453" w14:paraId="4C8BA5C9" w14:textId="77777777" w:rsidTr="00CB690C">
        <w:trPr>
          <w:divId w:val="1287857816"/>
          <w:trHeight w:val="253"/>
        </w:trPr>
        <w:tc>
          <w:tcPr>
            <w:tcW w:w="548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6F92C" w14:textId="7BBF50DE" w:rsidR="00D40BCC" w:rsidRPr="00005453" w:rsidRDefault="00D40BCC" w:rsidP="00D40BCC">
            <w:pPr>
              <w:jc w:val="center"/>
              <w:rPr>
                <w:b/>
                <w:bCs/>
                <w:color w:val="000000"/>
                <w:sz w:val="18"/>
                <w:szCs w:val="18"/>
                <w:lang w:eastAsia="tr-TR"/>
              </w:rPr>
            </w:pPr>
            <w:r w:rsidRPr="00005453">
              <w:rPr>
                <w:b/>
                <w:bCs/>
                <w:color w:val="000000"/>
                <w:sz w:val="18"/>
                <w:szCs w:val="18"/>
                <w:lang w:eastAsia="tr-TR"/>
              </w:rPr>
              <w:t>Cari Dönem</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171BD8A"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 xml:space="preserve">Dikkate Alınma Oranı Uygulanmamış Toplam </w:t>
            </w:r>
            <w:proofErr w:type="gramStart"/>
            <w:r w:rsidRPr="00005453">
              <w:rPr>
                <w:b/>
                <w:bCs/>
                <w:color w:val="000000"/>
                <w:sz w:val="18"/>
                <w:szCs w:val="18"/>
                <w:lang w:eastAsia="tr-TR"/>
              </w:rPr>
              <w:t>Değer(</w:t>
            </w:r>
            <w:proofErr w:type="gramEnd"/>
            <w:r w:rsidRPr="00005453">
              <w:rPr>
                <w:b/>
                <w:bCs/>
                <w:color w:val="000000"/>
                <w:sz w:val="18"/>
                <w:szCs w:val="18"/>
                <w:lang w:eastAsia="tr-TR"/>
              </w:rPr>
              <w:t>*)</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3812595"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 xml:space="preserve">Dikkate Alınma Oranı Uygulanmış Toplam </w:t>
            </w:r>
            <w:proofErr w:type="gramStart"/>
            <w:r w:rsidRPr="00005453">
              <w:rPr>
                <w:b/>
                <w:bCs/>
                <w:color w:val="000000"/>
                <w:sz w:val="18"/>
                <w:szCs w:val="18"/>
                <w:lang w:eastAsia="tr-TR"/>
              </w:rPr>
              <w:t>Değer(</w:t>
            </w:r>
            <w:proofErr w:type="gramEnd"/>
            <w:r w:rsidRPr="00005453">
              <w:rPr>
                <w:b/>
                <w:bCs/>
                <w:color w:val="000000"/>
                <w:sz w:val="18"/>
                <w:szCs w:val="18"/>
                <w:lang w:eastAsia="tr-TR"/>
              </w:rPr>
              <w:t>*)</w:t>
            </w:r>
          </w:p>
        </w:tc>
      </w:tr>
      <w:tr w:rsidR="00D40BCC" w:rsidRPr="00005453" w14:paraId="41736DBF" w14:textId="77777777" w:rsidTr="00CB690C">
        <w:trPr>
          <w:divId w:val="1287857816"/>
          <w:trHeight w:val="253"/>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2463F600" w14:textId="77777777" w:rsidR="00D40BCC" w:rsidRPr="00005453" w:rsidRDefault="00D40BCC" w:rsidP="00D40BCC">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29E119A5" w14:textId="77777777" w:rsidR="00D40BCC" w:rsidRPr="00005453" w:rsidRDefault="00D40BCC" w:rsidP="00D40BCC">
            <w:pPr>
              <w:rPr>
                <w:b/>
                <w:b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3BA198E5" w14:textId="77777777" w:rsidR="00D40BCC" w:rsidRPr="00005453" w:rsidRDefault="00D40BCC" w:rsidP="00D40BCC">
            <w:pPr>
              <w:rPr>
                <w:b/>
                <w:bCs/>
                <w:color w:val="000000"/>
                <w:sz w:val="18"/>
                <w:szCs w:val="18"/>
                <w:lang w:eastAsia="tr-TR"/>
              </w:rPr>
            </w:pPr>
          </w:p>
        </w:tc>
      </w:tr>
      <w:tr w:rsidR="00D40BCC" w:rsidRPr="00005453" w14:paraId="5538ADFF" w14:textId="77777777" w:rsidTr="00CB690C">
        <w:trPr>
          <w:divId w:val="1287857816"/>
          <w:trHeight w:val="253"/>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04460917" w14:textId="77777777" w:rsidR="00D40BCC" w:rsidRPr="00005453" w:rsidRDefault="00D40BCC" w:rsidP="00D40BCC">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0DD75C86" w14:textId="77777777" w:rsidR="00D40BCC" w:rsidRPr="00005453" w:rsidRDefault="00D40BCC" w:rsidP="00D40BCC">
            <w:pPr>
              <w:rPr>
                <w:b/>
                <w:b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1A0537C1" w14:textId="77777777" w:rsidR="00D40BCC" w:rsidRPr="00005453" w:rsidRDefault="00D40BCC" w:rsidP="00D40BCC">
            <w:pPr>
              <w:rPr>
                <w:b/>
                <w:bCs/>
                <w:color w:val="000000"/>
                <w:sz w:val="18"/>
                <w:szCs w:val="18"/>
                <w:lang w:eastAsia="tr-TR"/>
              </w:rPr>
            </w:pPr>
          </w:p>
        </w:tc>
      </w:tr>
      <w:tr w:rsidR="00D40BCC" w:rsidRPr="00005453" w14:paraId="26663913" w14:textId="77777777" w:rsidTr="00CB690C">
        <w:trPr>
          <w:divId w:val="1287857816"/>
          <w:trHeight w:val="241"/>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7A77E307" w14:textId="77777777" w:rsidR="00D40BCC" w:rsidRPr="00005453" w:rsidRDefault="00D40BCC" w:rsidP="00D40BCC">
            <w:pPr>
              <w:rPr>
                <w:b/>
                <w:bCs/>
                <w:i/>
                <w:i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8A1D"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85D12"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7298B"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1A790"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YP</w:t>
            </w:r>
          </w:p>
        </w:tc>
      </w:tr>
      <w:tr w:rsidR="00D40BCC" w:rsidRPr="00005453" w14:paraId="37C0A7DF" w14:textId="77777777" w:rsidTr="00CB690C">
        <w:trPr>
          <w:divId w:val="1287857816"/>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3AA847D3" w14:textId="77777777" w:rsidR="00D40BCC" w:rsidRPr="00005453" w:rsidRDefault="00D40BCC" w:rsidP="00D40BCC">
            <w:pPr>
              <w:rPr>
                <w:b/>
                <w:bCs/>
                <w:color w:val="000000"/>
                <w:sz w:val="18"/>
                <w:szCs w:val="18"/>
                <w:lang w:eastAsia="tr-TR"/>
              </w:rPr>
            </w:pPr>
            <w:r w:rsidRPr="00005453">
              <w:rPr>
                <w:b/>
                <w:bCs/>
                <w:color w:val="000000"/>
                <w:sz w:val="18"/>
                <w:szCs w:val="18"/>
                <w:lang w:eastAsia="tr-TR"/>
              </w:rPr>
              <w:t>YÜKSEK KALİTELİ LİKİT VARLIKLAR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4D82CC9" w14:textId="77777777" w:rsidR="00D40BCC" w:rsidRPr="00005453" w:rsidRDefault="00D40BCC" w:rsidP="00D40BCC">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43B11A1"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9203BEE"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A80F9F"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6C31D6"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r>
      <w:tr w:rsidR="00945262" w:rsidRPr="00005453" w14:paraId="2F4AC266"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4FAA3" w14:textId="77777777" w:rsidR="00945262" w:rsidRPr="00005453" w:rsidRDefault="00945262" w:rsidP="00945262">
            <w:pPr>
              <w:jc w:val="right"/>
              <w:rPr>
                <w:color w:val="000000"/>
                <w:sz w:val="18"/>
                <w:szCs w:val="18"/>
                <w:lang w:eastAsia="tr-TR"/>
              </w:rPr>
            </w:pPr>
            <w:r w:rsidRPr="00005453">
              <w:rPr>
                <w:color w:val="000000"/>
                <w:sz w:val="18"/>
                <w:szCs w:val="18"/>
                <w:lang w:eastAsia="tr-TR"/>
              </w:rPr>
              <w:t>1</w:t>
            </w:r>
          </w:p>
        </w:tc>
        <w:tc>
          <w:tcPr>
            <w:tcW w:w="4025" w:type="dxa"/>
            <w:tcBorders>
              <w:top w:val="single" w:sz="4" w:space="0" w:color="auto"/>
              <w:left w:val="single" w:sz="4" w:space="0" w:color="auto"/>
              <w:bottom w:val="single" w:sz="4" w:space="0" w:color="auto"/>
            </w:tcBorders>
            <w:shd w:val="clear" w:color="auto" w:fill="auto"/>
            <w:noWrap/>
            <w:vAlign w:val="bottom"/>
            <w:hideMark/>
          </w:tcPr>
          <w:p w14:paraId="75403D3E" w14:textId="77777777" w:rsidR="00945262" w:rsidRPr="00005453" w:rsidRDefault="00945262" w:rsidP="00945262">
            <w:pPr>
              <w:rPr>
                <w:color w:val="000000"/>
                <w:sz w:val="18"/>
                <w:szCs w:val="18"/>
                <w:lang w:eastAsia="tr-TR"/>
              </w:rPr>
            </w:pPr>
            <w:r w:rsidRPr="00005453">
              <w:rPr>
                <w:color w:val="000000"/>
                <w:sz w:val="18"/>
                <w:szCs w:val="18"/>
                <w:lang w:eastAsia="tr-TR"/>
              </w:rPr>
              <w:t>Yüksek kaliteli likit varlıklar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3C7A6172" w14:textId="77777777" w:rsidR="00945262" w:rsidRPr="00005453" w:rsidRDefault="00945262" w:rsidP="00945262">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917DF" w14:textId="360B8405" w:rsidR="00945262" w:rsidRPr="00005453" w:rsidRDefault="00945262" w:rsidP="00945262">
            <w:pPr>
              <w:jc w:val="right"/>
              <w:rPr>
                <w:color w:val="000000"/>
                <w:sz w:val="18"/>
                <w:szCs w:val="18"/>
                <w:lang w:eastAsia="tr-TR"/>
              </w:rPr>
            </w:pPr>
            <w:r w:rsidRPr="00005453">
              <w:rPr>
                <w:color w:val="000000"/>
                <w:sz w:val="18"/>
                <w:szCs w:val="18"/>
                <w:lang w:eastAsia="tr-TR"/>
              </w:rPr>
              <w:t>202,912,497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5AE77" w14:textId="60A4282F" w:rsidR="00945262" w:rsidRPr="00005453" w:rsidRDefault="00945262" w:rsidP="00945262">
            <w:pPr>
              <w:jc w:val="right"/>
              <w:rPr>
                <w:color w:val="000000"/>
                <w:sz w:val="18"/>
                <w:szCs w:val="18"/>
                <w:lang w:eastAsia="tr-TR"/>
              </w:rPr>
            </w:pPr>
            <w:r w:rsidRPr="00005453">
              <w:rPr>
                <w:color w:val="000000"/>
                <w:sz w:val="18"/>
                <w:szCs w:val="18"/>
                <w:lang w:eastAsia="tr-TR"/>
              </w:rPr>
              <w:t>128,792,058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2C6A7" w14:textId="504297F4" w:rsidR="00945262" w:rsidRPr="00005453" w:rsidRDefault="00945262" w:rsidP="00945262">
            <w:pPr>
              <w:jc w:val="right"/>
              <w:rPr>
                <w:color w:val="000000"/>
                <w:sz w:val="18"/>
                <w:szCs w:val="18"/>
                <w:lang w:eastAsia="tr-TR"/>
              </w:rPr>
            </w:pPr>
            <w:r w:rsidRPr="00005453">
              <w:rPr>
                <w:color w:val="000000"/>
                <w:sz w:val="18"/>
                <w:szCs w:val="18"/>
                <w:lang w:eastAsia="tr-TR"/>
              </w:rPr>
              <w:t>202,840,451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BA9B8" w14:textId="2AE276B7" w:rsidR="00945262" w:rsidRPr="00005453" w:rsidRDefault="00945262" w:rsidP="00945262">
            <w:pPr>
              <w:jc w:val="right"/>
              <w:rPr>
                <w:color w:val="000000"/>
                <w:sz w:val="18"/>
                <w:szCs w:val="18"/>
                <w:lang w:eastAsia="tr-TR"/>
              </w:rPr>
            </w:pPr>
            <w:r w:rsidRPr="00005453">
              <w:rPr>
                <w:color w:val="000000"/>
                <w:sz w:val="18"/>
                <w:szCs w:val="18"/>
                <w:lang w:eastAsia="tr-TR"/>
              </w:rPr>
              <w:t>128,720,011</w:t>
            </w:r>
          </w:p>
        </w:tc>
      </w:tr>
      <w:tr w:rsidR="00D40BCC" w:rsidRPr="00005453" w14:paraId="5FCA9572" w14:textId="77777777" w:rsidTr="00CB690C">
        <w:trPr>
          <w:divId w:val="1287857816"/>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621092A0" w14:textId="77777777" w:rsidR="00D40BCC" w:rsidRPr="00005453" w:rsidRDefault="00D40BCC" w:rsidP="00D40BCC">
            <w:pPr>
              <w:rPr>
                <w:b/>
                <w:bCs/>
                <w:color w:val="000000"/>
                <w:sz w:val="18"/>
                <w:szCs w:val="18"/>
                <w:lang w:eastAsia="tr-TR"/>
              </w:rPr>
            </w:pPr>
            <w:r w:rsidRPr="00005453">
              <w:rPr>
                <w:b/>
                <w:bCs/>
                <w:color w:val="000000"/>
                <w:sz w:val="18"/>
                <w:szCs w:val="18"/>
                <w:lang w:eastAsia="tr-TR"/>
              </w:rPr>
              <w:t>NAKİT ÇIKIŞLARI</w:t>
            </w:r>
          </w:p>
        </w:tc>
        <w:tc>
          <w:tcPr>
            <w:tcW w:w="1096" w:type="dxa"/>
            <w:tcBorders>
              <w:right w:val="single" w:sz="4" w:space="0" w:color="auto"/>
            </w:tcBorders>
            <w:shd w:val="clear" w:color="auto" w:fill="auto"/>
            <w:noWrap/>
            <w:vAlign w:val="bottom"/>
            <w:hideMark/>
          </w:tcPr>
          <w:p w14:paraId="30D60095" w14:textId="77777777" w:rsidR="00D40BCC" w:rsidRPr="00005453" w:rsidRDefault="00D40BCC" w:rsidP="00D40BCC">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E122A8"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FB484C"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11471A"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E192D3"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r>
      <w:tr w:rsidR="00945262" w:rsidRPr="00005453" w14:paraId="5C915806"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2CB9" w14:textId="77777777" w:rsidR="00945262" w:rsidRPr="00005453" w:rsidRDefault="00945262" w:rsidP="00945262">
            <w:pPr>
              <w:jc w:val="right"/>
              <w:rPr>
                <w:color w:val="000000"/>
                <w:sz w:val="18"/>
                <w:szCs w:val="18"/>
                <w:lang w:eastAsia="tr-TR"/>
              </w:rPr>
            </w:pPr>
            <w:r w:rsidRPr="00005453">
              <w:rPr>
                <w:color w:val="000000"/>
                <w:sz w:val="18"/>
                <w:szCs w:val="18"/>
                <w:lang w:eastAsia="tr-TR"/>
              </w:rPr>
              <w:t>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4AE24" w14:textId="77777777" w:rsidR="00945262" w:rsidRPr="00005453" w:rsidRDefault="00945262" w:rsidP="00945262">
            <w:pPr>
              <w:rPr>
                <w:color w:val="000000"/>
                <w:sz w:val="18"/>
                <w:szCs w:val="18"/>
                <w:lang w:eastAsia="tr-TR"/>
              </w:rPr>
            </w:pPr>
            <w:r w:rsidRPr="00005453">
              <w:rPr>
                <w:color w:val="000000"/>
                <w:sz w:val="18"/>
                <w:szCs w:val="18"/>
                <w:lang w:eastAsia="tr-TR"/>
              </w:rPr>
              <w:t>Gerçek kişi mevduat ve perakende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97B83" w14:textId="21A7240D" w:rsidR="00945262" w:rsidRPr="00005453" w:rsidRDefault="00945262" w:rsidP="00945262">
            <w:pPr>
              <w:jc w:val="right"/>
              <w:rPr>
                <w:color w:val="000000"/>
                <w:sz w:val="18"/>
                <w:szCs w:val="18"/>
                <w:lang w:eastAsia="tr-TR"/>
              </w:rPr>
            </w:pPr>
            <w:r w:rsidRPr="00005453">
              <w:rPr>
                <w:color w:val="000000"/>
                <w:sz w:val="18"/>
                <w:szCs w:val="22"/>
              </w:rPr>
              <w:t>203,344,021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421AA" w14:textId="4CA5C7FF" w:rsidR="00945262" w:rsidRPr="00005453" w:rsidRDefault="00945262" w:rsidP="00945262">
            <w:pPr>
              <w:jc w:val="right"/>
              <w:rPr>
                <w:color w:val="000000"/>
                <w:sz w:val="18"/>
                <w:szCs w:val="18"/>
                <w:lang w:eastAsia="tr-TR"/>
              </w:rPr>
            </w:pPr>
            <w:r w:rsidRPr="00005453">
              <w:rPr>
                <w:color w:val="000000"/>
                <w:sz w:val="18"/>
                <w:szCs w:val="22"/>
              </w:rPr>
              <w:t>22,844,938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C3EC3" w14:textId="1D81B916" w:rsidR="00945262" w:rsidRPr="00005453" w:rsidRDefault="00945262" w:rsidP="00945262">
            <w:pPr>
              <w:jc w:val="right"/>
              <w:rPr>
                <w:color w:val="000000"/>
                <w:sz w:val="18"/>
                <w:szCs w:val="18"/>
                <w:lang w:eastAsia="tr-TR"/>
              </w:rPr>
            </w:pPr>
            <w:r w:rsidRPr="00005453">
              <w:rPr>
                <w:color w:val="000000"/>
                <w:sz w:val="18"/>
                <w:szCs w:val="22"/>
              </w:rPr>
              <w:t>17,644,538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0AE08" w14:textId="4BACDDEC" w:rsidR="00945262" w:rsidRPr="00005453" w:rsidRDefault="00945262" w:rsidP="00945262">
            <w:pPr>
              <w:jc w:val="right"/>
              <w:rPr>
                <w:color w:val="000000"/>
                <w:sz w:val="18"/>
                <w:szCs w:val="18"/>
                <w:lang w:eastAsia="tr-TR"/>
              </w:rPr>
            </w:pPr>
            <w:r w:rsidRPr="00005453">
              <w:rPr>
                <w:color w:val="000000"/>
                <w:sz w:val="18"/>
                <w:szCs w:val="22"/>
              </w:rPr>
              <w:t>2,284,494</w:t>
            </w:r>
          </w:p>
        </w:tc>
      </w:tr>
      <w:tr w:rsidR="00945262" w:rsidRPr="00005453" w14:paraId="7C6C2E89"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AC668" w14:textId="77777777" w:rsidR="00945262" w:rsidRPr="00005453" w:rsidRDefault="00945262" w:rsidP="00945262">
            <w:pPr>
              <w:jc w:val="right"/>
              <w:rPr>
                <w:color w:val="000000"/>
                <w:sz w:val="18"/>
                <w:szCs w:val="18"/>
                <w:lang w:eastAsia="tr-TR"/>
              </w:rPr>
            </w:pPr>
            <w:r w:rsidRPr="00005453">
              <w:rPr>
                <w:color w:val="000000"/>
                <w:sz w:val="18"/>
                <w:szCs w:val="18"/>
                <w:lang w:eastAsia="tr-TR"/>
              </w:rPr>
              <w:t>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CA50A9"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524CF" w14:textId="12AA6272" w:rsidR="00945262" w:rsidRPr="00005453" w:rsidRDefault="00945262" w:rsidP="00945262">
            <w:pPr>
              <w:jc w:val="right"/>
              <w:rPr>
                <w:color w:val="000000"/>
                <w:sz w:val="18"/>
                <w:szCs w:val="18"/>
                <w:lang w:eastAsia="tr-TR"/>
              </w:rPr>
            </w:pPr>
            <w:r w:rsidRPr="00005453">
              <w:rPr>
                <w:color w:val="000000"/>
                <w:sz w:val="18"/>
                <w:szCs w:val="22"/>
              </w:rPr>
              <w:t>53,797,292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E2A2" w14:textId="71E869F4"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014A0" w14:textId="3112ADDF" w:rsidR="00945262" w:rsidRPr="00005453" w:rsidRDefault="00945262" w:rsidP="00945262">
            <w:pPr>
              <w:jc w:val="right"/>
              <w:rPr>
                <w:color w:val="000000"/>
                <w:sz w:val="18"/>
                <w:szCs w:val="18"/>
                <w:lang w:eastAsia="tr-TR"/>
              </w:rPr>
            </w:pPr>
            <w:r w:rsidRPr="00005453">
              <w:rPr>
                <w:color w:val="000000"/>
                <w:sz w:val="18"/>
                <w:szCs w:val="22"/>
              </w:rPr>
              <w:t>2,689,865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42BAB" w14:textId="3E00FFA9" w:rsidR="00945262" w:rsidRPr="00005453" w:rsidRDefault="00945262" w:rsidP="00945262">
            <w:pPr>
              <w:jc w:val="right"/>
              <w:rPr>
                <w:color w:val="000000"/>
                <w:sz w:val="18"/>
                <w:szCs w:val="18"/>
                <w:lang w:eastAsia="tr-TR"/>
              </w:rPr>
            </w:pPr>
            <w:r w:rsidRPr="00005453">
              <w:rPr>
                <w:color w:val="000000"/>
                <w:sz w:val="18"/>
                <w:szCs w:val="22"/>
              </w:rPr>
              <w:t>-</w:t>
            </w:r>
          </w:p>
        </w:tc>
      </w:tr>
      <w:tr w:rsidR="00945262" w:rsidRPr="00005453" w14:paraId="6EE61A63"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241DE" w14:textId="77777777" w:rsidR="00945262" w:rsidRPr="00005453" w:rsidRDefault="00945262" w:rsidP="00945262">
            <w:pPr>
              <w:jc w:val="right"/>
              <w:rPr>
                <w:color w:val="000000"/>
                <w:sz w:val="18"/>
                <w:szCs w:val="18"/>
                <w:lang w:eastAsia="tr-TR"/>
              </w:rPr>
            </w:pPr>
            <w:r w:rsidRPr="00005453">
              <w:rPr>
                <w:color w:val="000000"/>
                <w:sz w:val="18"/>
                <w:szCs w:val="18"/>
                <w:lang w:eastAsia="tr-TR"/>
              </w:rPr>
              <w:t>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E5C47A"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Düşük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F6C8F" w14:textId="4DB62A97" w:rsidR="00945262" w:rsidRPr="00005453" w:rsidRDefault="00945262" w:rsidP="00945262">
            <w:pPr>
              <w:jc w:val="right"/>
              <w:rPr>
                <w:color w:val="000000"/>
                <w:sz w:val="18"/>
                <w:szCs w:val="18"/>
                <w:lang w:eastAsia="tr-TR"/>
              </w:rPr>
            </w:pPr>
            <w:r w:rsidRPr="00005453">
              <w:rPr>
                <w:color w:val="000000"/>
                <w:sz w:val="18"/>
                <w:szCs w:val="22"/>
              </w:rPr>
              <w:t>149,546,729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4ADE6" w14:textId="137D3B56" w:rsidR="00945262" w:rsidRPr="00005453" w:rsidRDefault="00945262" w:rsidP="00945262">
            <w:pPr>
              <w:jc w:val="right"/>
              <w:rPr>
                <w:color w:val="000000"/>
                <w:sz w:val="18"/>
                <w:szCs w:val="18"/>
                <w:lang w:eastAsia="tr-TR"/>
              </w:rPr>
            </w:pPr>
            <w:r w:rsidRPr="00005453">
              <w:rPr>
                <w:color w:val="000000"/>
                <w:sz w:val="18"/>
                <w:szCs w:val="22"/>
              </w:rPr>
              <w:t>22,844,938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02572" w14:textId="09A2529A" w:rsidR="00945262" w:rsidRPr="00005453" w:rsidRDefault="00945262" w:rsidP="00945262">
            <w:pPr>
              <w:jc w:val="right"/>
              <w:rPr>
                <w:color w:val="000000"/>
                <w:sz w:val="18"/>
                <w:szCs w:val="18"/>
                <w:lang w:eastAsia="tr-TR"/>
              </w:rPr>
            </w:pPr>
            <w:r w:rsidRPr="00005453">
              <w:rPr>
                <w:color w:val="000000"/>
                <w:sz w:val="18"/>
                <w:szCs w:val="22"/>
              </w:rPr>
              <w:t>14,954,673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97EE5" w14:textId="5B8BAEF1" w:rsidR="00945262" w:rsidRPr="00005453" w:rsidRDefault="00945262" w:rsidP="00945262">
            <w:pPr>
              <w:jc w:val="right"/>
              <w:rPr>
                <w:color w:val="000000"/>
                <w:sz w:val="18"/>
                <w:szCs w:val="18"/>
                <w:lang w:eastAsia="tr-TR"/>
              </w:rPr>
            </w:pPr>
            <w:r w:rsidRPr="00005453">
              <w:rPr>
                <w:color w:val="000000"/>
                <w:sz w:val="18"/>
                <w:szCs w:val="22"/>
              </w:rPr>
              <w:t>2,284,494</w:t>
            </w:r>
          </w:p>
        </w:tc>
      </w:tr>
      <w:tr w:rsidR="00945262" w:rsidRPr="00005453" w14:paraId="580EEC15"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F4A45" w14:textId="77777777" w:rsidR="00945262" w:rsidRPr="00005453" w:rsidRDefault="00945262" w:rsidP="00945262">
            <w:pPr>
              <w:jc w:val="right"/>
              <w:rPr>
                <w:color w:val="000000"/>
                <w:sz w:val="18"/>
                <w:szCs w:val="18"/>
                <w:lang w:eastAsia="tr-TR"/>
              </w:rPr>
            </w:pPr>
            <w:r w:rsidRPr="00005453">
              <w:rPr>
                <w:color w:val="000000"/>
                <w:sz w:val="18"/>
                <w:szCs w:val="18"/>
                <w:lang w:eastAsia="tr-TR"/>
              </w:rPr>
              <w:t>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20E7BE" w14:textId="77777777" w:rsidR="00945262" w:rsidRPr="00005453" w:rsidRDefault="00945262" w:rsidP="00945262">
            <w:pPr>
              <w:rPr>
                <w:color w:val="000000"/>
                <w:sz w:val="18"/>
                <w:szCs w:val="18"/>
                <w:lang w:eastAsia="tr-TR"/>
              </w:rPr>
            </w:pPr>
            <w:r w:rsidRPr="00005453">
              <w:rPr>
                <w:color w:val="000000"/>
                <w:sz w:val="18"/>
                <w:szCs w:val="18"/>
                <w:lang w:eastAsia="tr-TR"/>
              </w:rPr>
              <w:t>Gerçek kişi mevduat ve perakende mevduat dışında kalan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76A72" w14:textId="11D0F117" w:rsidR="00945262" w:rsidRPr="00005453" w:rsidRDefault="00945262" w:rsidP="00945262">
            <w:pPr>
              <w:jc w:val="right"/>
              <w:rPr>
                <w:color w:val="000000"/>
                <w:sz w:val="18"/>
                <w:szCs w:val="18"/>
                <w:lang w:eastAsia="tr-TR"/>
              </w:rPr>
            </w:pPr>
            <w:r w:rsidRPr="00005453">
              <w:rPr>
                <w:color w:val="000000"/>
                <w:sz w:val="18"/>
                <w:szCs w:val="22"/>
              </w:rPr>
              <w:t>118,411,515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B6C28" w14:textId="659ECEBC" w:rsidR="00945262" w:rsidRPr="00005453" w:rsidRDefault="00945262" w:rsidP="00945262">
            <w:pPr>
              <w:jc w:val="right"/>
              <w:rPr>
                <w:color w:val="000000"/>
                <w:sz w:val="18"/>
                <w:szCs w:val="18"/>
                <w:lang w:eastAsia="tr-TR"/>
              </w:rPr>
            </w:pPr>
            <w:r w:rsidRPr="00005453">
              <w:rPr>
                <w:color w:val="000000"/>
                <w:sz w:val="18"/>
                <w:szCs w:val="22"/>
              </w:rPr>
              <w:t>63,898,446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12514" w14:textId="4E3207E1" w:rsidR="00945262" w:rsidRPr="00005453" w:rsidRDefault="00945262" w:rsidP="00945262">
            <w:pPr>
              <w:jc w:val="right"/>
              <w:rPr>
                <w:color w:val="000000"/>
                <w:sz w:val="18"/>
                <w:szCs w:val="18"/>
                <w:lang w:eastAsia="tr-TR"/>
              </w:rPr>
            </w:pPr>
            <w:r w:rsidRPr="00005453">
              <w:rPr>
                <w:color w:val="000000"/>
                <w:sz w:val="18"/>
                <w:szCs w:val="22"/>
              </w:rPr>
              <w:t>56,660,997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85557" w14:textId="742E129B" w:rsidR="00945262" w:rsidRPr="00005453" w:rsidRDefault="00945262" w:rsidP="00945262">
            <w:pPr>
              <w:jc w:val="right"/>
              <w:rPr>
                <w:color w:val="000000"/>
                <w:sz w:val="18"/>
                <w:szCs w:val="18"/>
                <w:lang w:eastAsia="tr-TR"/>
              </w:rPr>
            </w:pPr>
            <w:r w:rsidRPr="00005453">
              <w:rPr>
                <w:color w:val="000000"/>
                <w:sz w:val="18"/>
                <w:szCs w:val="22"/>
              </w:rPr>
              <w:t>29,575,647</w:t>
            </w:r>
          </w:p>
        </w:tc>
      </w:tr>
      <w:tr w:rsidR="00945262" w:rsidRPr="00005453" w14:paraId="3829CD14"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3B6AC" w14:textId="77777777" w:rsidR="00945262" w:rsidRPr="00005453" w:rsidRDefault="00945262" w:rsidP="00945262">
            <w:pPr>
              <w:jc w:val="right"/>
              <w:rPr>
                <w:color w:val="000000"/>
                <w:sz w:val="18"/>
                <w:szCs w:val="18"/>
                <w:lang w:eastAsia="tr-TR"/>
              </w:rPr>
            </w:pPr>
            <w:r w:rsidRPr="00005453">
              <w:rPr>
                <w:color w:val="000000"/>
                <w:sz w:val="18"/>
                <w:szCs w:val="18"/>
                <w:lang w:eastAsia="tr-TR"/>
              </w:rPr>
              <w:t>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3C48C"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Operasyonel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DD17" w14:textId="7DB8513C"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997F8" w14:textId="6E1D5280"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7CC0D" w14:textId="03C913E6"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BE917" w14:textId="15B0009D" w:rsidR="00945262" w:rsidRPr="00005453" w:rsidRDefault="00945262" w:rsidP="00945262">
            <w:pPr>
              <w:jc w:val="right"/>
              <w:rPr>
                <w:color w:val="000000"/>
                <w:sz w:val="18"/>
                <w:szCs w:val="18"/>
                <w:lang w:eastAsia="tr-TR"/>
              </w:rPr>
            </w:pPr>
            <w:r w:rsidRPr="00005453">
              <w:rPr>
                <w:color w:val="000000"/>
                <w:sz w:val="18"/>
                <w:szCs w:val="22"/>
              </w:rPr>
              <w:t>-</w:t>
            </w:r>
          </w:p>
        </w:tc>
      </w:tr>
      <w:tr w:rsidR="00945262" w:rsidRPr="00005453" w14:paraId="00EE0C01"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D5B2D" w14:textId="77777777" w:rsidR="00945262" w:rsidRPr="00005453" w:rsidRDefault="00945262" w:rsidP="00945262">
            <w:pPr>
              <w:jc w:val="right"/>
              <w:rPr>
                <w:color w:val="000000"/>
                <w:sz w:val="18"/>
                <w:szCs w:val="18"/>
                <w:lang w:eastAsia="tr-TR"/>
              </w:rPr>
            </w:pPr>
            <w:r w:rsidRPr="00005453">
              <w:rPr>
                <w:color w:val="000000"/>
                <w:sz w:val="18"/>
                <w:szCs w:val="18"/>
                <w:lang w:eastAsia="tr-TR"/>
              </w:rPr>
              <w:t>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8F8ED6"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Operasyonel olmayan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77824" w14:textId="514EABA8" w:rsidR="00945262" w:rsidRPr="00005453" w:rsidRDefault="00945262" w:rsidP="00945262">
            <w:pPr>
              <w:jc w:val="right"/>
              <w:rPr>
                <w:color w:val="000000"/>
                <w:sz w:val="18"/>
                <w:szCs w:val="18"/>
                <w:lang w:eastAsia="tr-TR"/>
              </w:rPr>
            </w:pPr>
            <w:r w:rsidRPr="00005453">
              <w:rPr>
                <w:color w:val="000000"/>
                <w:sz w:val="18"/>
                <w:szCs w:val="22"/>
              </w:rPr>
              <w:t>109,275,598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8D319" w14:textId="1B47C04F" w:rsidR="00945262" w:rsidRPr="00005453" w:rsidRDefault="00945262" w:rsidP="00945262">
            <w:pPr>
              <w:jc w:val="right"/>
              <w:rPr>
                <w:color w:val="000000"/>
                <w:sz w:val="18"/>
                <w:szCs w:val="18"/>
                <w:lang w:eastAsia="tr-TR"/>
              </w:rPr>
            </w:pPr>
            <w:r w:rsidRPr="00005453">
              <w:rPr>
                <w:color w:val="000000"/>
                <w:sz w:val="18"/>
                <w:szCs w:val="22"/>
              </w:rPr>
              <w:t>60,564,199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72DA3" w14:textId="3E3013C2" w:rsidR="00945262" w:rsidRPr="00005453" w:rsidRDefault="00945262" w:rsidP="00945262">
            <w:pPr>
              <w:jc w:val="right"/>
              <w:rPr>
                <w:color w:val="000000"/>
                <w:sz w:val="18"/>
                <w:szCs w:val="18"/>
                <w:lang w:eastAsia="tr-TR"/>
              </w:rPr>
            </w:pPr>
            <w:r w:rsidRPr="00005453">
              <w:rPr>
                <w:color w:val="000000"/>
                <w:sz w:val="18"/>
                <w:szCs w:val="22"/>
              </w:rPr>
              <w:t>47,525,080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EB1F7" w14:textId="304725ED" w:rsidR="00945262" w:rsidRPr="00005453" w:rsidRDefault="00945262" w:rsidP="00945262">
            <w:pPr>
              <w:jc w:val="right"/>
              <w:rPr>
                <w:color w:val="000000"/>
                <w:sz w:val="18"/>
                <w:szCs w:val="18"/>
                <w:lang w:eastAsia="tr-TR"/>
              </w:rPr>
            </w:pPr>
            <w:r w:rsidRPr="00005453">
              <w:rPr>
                <w:color w:val="000000"/>
                <w:sz w:val="18"/>
                <w:szCs w:val="22"/>
              </w:rPr>
              <w:t>26,241,400</w:t>
            </w:r>
          </w:p>
        </w:tc>
      </w:tr>
      <w:tr w:rsidR="00945262" w:rsidRPr="00005453" w14:paraId="6CC4B815"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F297A" w14:textId="77777777" w:rsidR="00945262" w:rsidRPr="00005453" w:rsidRDefault="00945262" w:rsidP="00945262">
            <w:pPr>
              <w:jc w:val="right"/>
              <w:rPr>
                <w:color w:val="000000"/>
                <w:sz w:val="18"/>
                <w:szCs w:val="18"/>
                <w:lang w:eastAsia="tr-TR"/>
              </w:rPr>
            </w:pPr>
            <w:r w:rsidRPr="00005453">
              <w:rPr>
                <w:color w:val="000000"/>
                <w:sz w:val="18"/>
                <w:szCs w:val="18"/>
                <w:lang w:eastAsia="tr-TR"/>
              </w:rPr>
              <w:t>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F7001E"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Diğer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C5931" w14:textId="339DD4C6" w:rsidR="00945262" w:rsidRPr="00005453" w:rsidRDefault="00945262" w:rsidP="00945262">
            <w:pPr>
              <w:jc w:val="right"/>
              <w:rPr>
                <w:color w:val="000000"/>
                <w:sz w:val="18"/>
                <w:szCs w:val="18"/>
                <w:lang w:eastAsia="tr-TR"/>
              </w:rPr>
            </w:pPr>
            <w:r w:rsidRPr="00005453">
              <w:rPr>
                <w:color w:val="000000"/>
                <w:sz w:val="18"/>
                <w:szCs w:val="22"/>
              </w:rPr>
              <w:t>9,135,917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65B8E" w14:textId="7F8B361A" w:rsidR="00945262" w:rsidRPr="00005453" w:rsidRDefault="00945262" w:rsidP="00945262">
            <w:pPr>
              <w:jc w:val="right"/>
              <w:rPr>
                <w:color w:val="000000"/>
                <w:sz w:val="18"/>
                <w:szCs w:val="18"/>
                <w:lang w:eastAsia="tr-TR"/>
              </w:rPr>
            </w:pPr>
            <w:r w:rsidRPr="00005453">
              <w:rPr>
                <w:color w:val="000000"/>
                <w:sz w:val="18"/>
                <w:szCs w:val="22"/>
              </w:rPr>
              <w:t>3,334,247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33D9D" w14:textId="246A2BF9" w:rsidR="00945262" w:rsidRPr="00005453" w:rsidRDefault="00945262" w:rsidP="00945262">
            <w:pPr>
              <w:jc w:val="right"/>
              <w:rPr>
                <w:color w:val="000000"/>
                <w:sz w:val="18"/>
                <w:szCs w:val="18"/>
                <w:lang w:eastAsia="tr-TR"/>
              </w:rPr>
            </w:pPr>
            <w:r w:rsidRPr="00005453">
              <w:rPr>
                <w:color w:val="000000"/>
                <w:sz w:val="18"/>
                <w:szCs w:val="22"/>
              </w:rPr>
              <w:t>9,135,917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F8096" w14:textId="77E850FC" w:rsidR="00945262" w:rsidRPr="00005453" w:rsidRDefault="00945262" w:rsidP="00945262">
            <w:pPr>
              <w:jc w:val="right"/>
              <w:rPr>
                <w:color w:val="000000"/>
                <w:sz w:val="18"/>
                <w:szCs w:val="18"/>
                <w:lang w:eastAsia="tr-TR"/>
              </w:rPr>
            </w:pPr>
            <w:r w:rsidRPr="00005453">
              <w:rPr>
                <w:color w:val="000000"/>
                <w:sz w:val="18"/>
                <w:szCs w:val="22"/>
              </w:rPr>
              <w:t>3,334,247</w:t>
            </w:r>
          </w:p>
        </w:tc>
      </w:tr>
      <w:tr w:rsidR="00D40BCC" w:rsidRPr="00005453" w14:paraId="09722E05" w14:textId="77777777" w:rsidTr="00BD1BED">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E34E" w14:textId="77777777" w:rsidR="00D40BCC" w:rsidRPr="00005453" w:rsidRDefault="00D40BCC" w:rsidP="00EE27E6">
            <w:pPr>
              <w:jc w:val="right"/>
              <w:rPr>
                <w:color w:val="000000"/>
                <w:sz w:val="18"/>
                <w:szCs w:val="18"/>
                <w:lang w:eastAsia="tr-TR"/>
              </w:rPr>
            </w:pPr>
            <w:r w:rsidRPr="00005453">
              <w:rPr>
                <w:color w:val="000000"/>
                <w:sz w:val="18"/>
                <w:szCs w:val="18"/>
                <w:lang w:eastAsia="tr-TR"/>
              </w:rPr>
              <w:t>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B13E8" w14:textId="77777777" w:rsidR="00D40BCC" w:rsidRPr="00005453" w:rsidRDefault="00D40BCC" w:rsidP="00D40BCC">
            <w:pPr>
              <w:rPr>
                <w:color w:val="000000"/>
                <w:sz w:val="18"/>
                <w:szCs w:val="18"/>
                <w:lang w:eastAsia="tr-TR"/>
              </w:rPr>
            </w:pPr>
            <w:r w:rsidRPr="00005453">
              <w:rPr>
                <w:color w:val="000000"/>
                <w:sz w:val="18"/>
                <w:szCs w:val="18"/>
                <w:lang w:eastAsia="tr-TR"/>
              </w:rPr>
              <w:t>Teminatlı borçlar</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E978CB0"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FD1ADE"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CBC2B" w14:textId="77777777" w:rsidR="00D40BCC" w:rsidRPr="00005453" w:rsidRDefault="00D40BCC" w:rsidP="00D40BCC">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BB1D7" w14:textId="77777777" w:rsidR="00D40BCC" w:rsidRPr="00005453" w:rsidRDefault="00D40BCC" w:rsidP="00D40BCC">
            <w:pPr>
              <w:jc w:val="right"/>
              <w:rPr>
                <w:color w:val="000000"/>
                <w:sz w:val="18"/>
                <w:szCs w:val="18"/>
                <w:lang w:eastAsia="tr-TR"/>
              </w:rPr>
            </w:pPr>
            <w:r w:rsidRPr="00005453">
              <w:rPr>
                <w:color w:val="000000"/>
                <w:sz w:val="18"/>
                <w:szCs w:val="18"/>
                <w:lang w:eastAsia="tr-TR"/>
              </w:rPr>
              <w:t>-</w:t>
            </w:r>
          </w:p>
        </w:tc>
      </w:tr>
      <w:tr w:rsidR="00945262" w:rsidRPr="00005453" w14:paraId="32F49E6B"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C3008" w14:textId="77777777" w:rsidR="00945262" w:rsidRPr="00005453" w:rsidRDefault="00945262" w:rsidP="00945262">
            <w:pPr>
              <w:jc w:val="right"/>
              <w:rPr>
                <w:color w:val="000000"/>
                <w:sz w:val="18"/>
                <w:szCs w:val="18"/>
                <w:lang w:eastAsia="tr-TR"/>
              </w:rPr>
            </w:pPr>
            <w:r w:rsidRPr="00005453">
              <w:rPr>
                <w:color w:val="000000"/>
                <w:sz w:val="18"/>
                <w:szCs w:val="18"/>
                <w:lang w:eastAsia="tr-TR"/>
              </w:rPr>
              <w:t>10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ABA847" w14:textId="77777777" w:rsidR="00945262" w:rsidRPr="00005453" w:rsidRDefault="00945262" w:rsidP="00945262">
            <w:pPr>
              <w:rPr>
                <w:color w:val="000000"/>
                <w:sz w:val="18"/>
                <w:szCs w:val="18"/>
                <w:lang w:eastAsia="tr-TR"/>
              </w:rPr>
            </w:pPr>
            <w:r w:rsidRPr="00005453">
              <w:rPr>
                <w:color w:val="000000"/>
                <w:sz w:val="18"/>
                <w:szCs w:val="18"/>
                <w:lang w:eastAsia="tr-TR"/>
              </w:rPr>
              <w:t>Diğer nakit çıkışları</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391EC" w14:textId="57B7E91E" w:rsidR="00945262" w:rsidRPr="00005453" w:rsidRDefault="00945262" w:rsidP="00945262">
            <w:pPr>
              <w:jc w:val="right"/>
              <w:rPr>
                <w:color w:val="000000"/>
                <w:sz w:val="18"/>
                <w:szCs w:val="18"/>
                <w:lang w:eastAsia="tr-TR"/>
              </w:rPr>
            </w:pPr>
            <w:r w:rsidRPr="00005453">
              <w:rPr>
                <w:color w:val="000000"/>
                <w:sz w:val="18"/>
                <w:szCs w:val="22"/>
              </w:rPr>
              <w:t>180,221,376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1D463" w14:textId="030A9527" w:rsidR="00945262" w:rsidRPr="00005453" w:rsidRDefault="00945262" w:rsidP="00945262">
            <w:pPr>
              <w:jc w:val="right"/>
              <w:rPr>
                <w:color w:val="000000"/>
                <w:sz w:val="18"/>
                <w:szCs w:val="18"/>
                <w:lang w:eastAsia="tr-TR"/>
              </w:rPr>
            </w:pPr>
            <w:r w:rsidRPr="00005453">
              <w:rPr>
                <w:color w:val="000000"/>
                <w:sz w:val="18"/>
                <w:szCs w:val="22"/>
              </w:rPr>
              <w:t>167,022,189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DC902" w14:textId="0F416E37" w:rsidR="00945262" w:rsidRPr="00005453" w:rsidRDefault="00945262" w:rsidP="00945262">
            <w:pPr>
              <w:jc w:val="right"/>
              <w:rPr>
                <w:color w:val="000000"/>
                <w:sz w:val="18"/>
                <w:szCs w:val="18"/>
                <w:lang w:eastAsia="tr-TR"/>
              </w:rPr>
            </w:pPr>
            <w:r w:rsidRPr="00005453">
              <w:rPr>
                <w:color w:val="000000"/>
                <w:sz w:val="18"/>
                <w:szCs w:val="22"/>
              </w:rPr>
              <w:t>180,221,376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5330F" w14:textId="687700C7" w:rsidR="00945262" w:rsidRPr="00005453" w:rsidRDefault="00945262" w:rsidP="00945262">
            <w:pPr>
              <w:jc w:val="right"/>
              <w:rPr>
                <w:color w:val="000000"/>
                <w:sz w:val="18"/>
                <w:szCs w:val="18"/>
                <w:lang w:eastAsia="tr-TR"/>
              </w:rPr>
            </w:pPr>
            <w:r w:rsidRPr="00005453">
              <w:rPr>
                <w:color w:val="000000"/>
                <w:sz w:val="18"/>
                <w:szCs w:val="22"/>
              </w:rPr>
              <w:t>167,022,189</w:t>
            </w:r>
          </w:p>
        </w:tc>
      </w:tr>
      <w:tr w:rsidR="00945262" w:rsidRPr="00005453" w14:paraId="2FF04666"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2BC9" w14:textId="77777777" w:rsidR="00945262" w:rsidRPr="00005453" w:rsidRDefault="00945262" w:rsidP="00945262">
            <w:pPr>
              <w:jc w:val="right"/>
              <w:rPr>
                <w:color w:val="000000"/>
                <w:sz w:val="18"/>
                <w:szCs w:val="18"/>
                <w:lang w:eastAsia="tr-TR"/>
              </w:rPr>
            </w:pPr>
            <w:r w:rsidRPr="00005453">
              <w:rPr>
                <w:color w:val="000000"/>
                <w:sz w:val="18"/>
                <w:szCs w:val="18"/>
                <w:lang w:eastAsia="tr-TR"/>
              </w:rPr>
              <w:t>11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2B1B6"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Türev yükümlülükler ve teminat tamamlama yükümlülükleri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857FA" w14:textId="3177CFC8" w:rsidR="00945262" w:rsidRPr="00005453" w:rsidRDefault="00945262" w:rsidP="00945262">
            <w:pPr>
              <w:jc w:val="right"/>
              <w:rPr>
                <w:color w:val="000000"/>
                <w:sz w:val="18"/>
                <w:szCs w:val="18"/>
                <w:lang w:eastAsia="tr-TR"/>
              </w:rPr>
            </w:pPr>
            <w:r w:rsidRPr="00005453">
              <w:rPr>
                <w:color w:val="000000"/>
                <w:sz w:val="18"/>
                <w:szCs w:val="22"/>
              </w:rPr>
              <w:t>97,774,752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3E8E4" w14:textId="0DF00B25" w:rsidR="00945262" w:rsidRPr="00005453" w:rsidRDefault="00945262" w:rsidP="00945262">
            <w:pPr>
              <w:jc w:val="right"/>
              <w:rPr>
                <w:color w:val="000000"/>
                <w:sz w:val="18"/>
                <w:szCs w:val="18"/>
                <w:lang w:eastAsia="tr-TR"/>
              </w:rPr>
            </w:pPr>
            <w:r w:rsidRPr="00005453">
              <w:rPr>
                <w:color w:val="000000"/>
                <w:sz w:val="18"/>
                <w:szCs w:val="22"/>
              </w:rPr>
              <w:t>88,161,348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28DA" w14:textId="03B63C65" w:rsidR="00945262" w:rsidRPr="00005453" w:rsidRDefault="00945262" w:rsidP="00945262">
            <w:pPr>
              <w:jc w:val="right"/>
              <w:rPr>
                <w:color w:val="000000"/>
                <w:sz w:val="18"/>
                <w:szCs w:val="18"/>
                <w:lang w:eastAsia="tr-TR"/>
              </w:rPr>
            </w:pPr>
            <w:r w:rsidRPr="00005453">
              <w:rPr>
                <w:color w:val="000000"/>
                <w:sz w:val="18"/>
                <w:szCs w:val="22"/>
              </w:rPr>
              <w:t>97,774,752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E0B9D" w14:textId="4BEDF8F8" w:rsidR="00945262" w:rsidRPr="00005453" w:rsidRDefault="00945262" w:rsidP="00945262">
            <w:pPr>
              <w:jc w:val="right"/>
              <w:rPr>
                <w:color w:val="000000"/>
                <w:sz w:val="18"/>
                <w:szCs w:val="18"/>
                <w:lang w:eastAsia="tr-TR"/>
              </w:rPr>
            </w:pPr>
            <w:r w:rsidRPr="00005453">
              <w:rPr>
                <w:color w:val="000000"/>
                <w:sz w:val="18"/>
                <w:szCs w:val="22"/>
              </w:rPr>
              <w:t>88,161,348</w:t>
            </w:r>
          </w:p>
        </w:tc>
      </w:tr>
      <w:tr w:rsidR="00945262" w:rsidRPr="00005453" w14:paraId="156C80EE"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99205" w14:textId="77777777" w:rsidR="00945262" w:rsidRPr="00005453" w:rsidRDefault="00945262" w:rsidP="00945262">
            <w:pPr>
              <w:jc w:val="right"/>
              <w:rPr>
                <w:color w:val="000000"/>
                <w:sz w:val="18"/>
                <w:szCs w:val="18"/>
                <w:lang w:eastAsia="tr-TR"/>
              </w:rPr>
            </w:pPr>
            <w:r w:rsidRPr="00005453">
              <w:rPr>
                <w:color w:val="000000"/>
                <w:sz w:val="18"/>
                <w:szCs w:val="18"/>
                <w:lang w:eastAsia="tr-TR"/>
              </w:rPr>
              <w:t>12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F390EC" w14:textId="77777777" w:rsidR="00945262" w:rsidRPr="00005453" w:rsidRDefault="00945262" w:rsidP="00945262">
            <w:pPr>
              <w:rPr>
                <w:color w:val="000000"/>
                <w:sz w:val="18"/>
                <w:szCs w:val="18"/>
                <w:lang w:eastAsia="tr-TR"/>
              </w:rPr>
            </w:pPr>
            <w:r w:rsidRPr="00005453">
              <w:rPr>
                <w:color w:val="000000"/>
                <w:sz w:val="18"/>
                <w:szCs w:val="18"/>
                <w:lang w:eastAsia="tr-TR"/>
              </w:rPr>
              <w:t xml:space="preserve">       Yapılandırılmış finansal araçlardan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B9609" w14:textId="3E9AFE83" w:rsidR="00945262" w:rsidRPr="00005453" w:rsidRDefault="00945262" w:rsidP="00945262">
            <w:pPr>
              <w:jc w:val="right"/>
              <w:rPr>
                <w:color w:val="000000"/>
                <w:sz w:val="18"/>
                <w:szCs w:val="18"/>
                <w:lang w:eastAsia="tr-TR"/>
              </w:rPr>
            </w:pPr>
            <w:r w:rsidRPr="00005453">
              <w:rPr>
                <w:color w:val="000000"/>
                <w:sz w:val="18"/>
                <w:szCs w:val="22"/>
              </w:rPr>
              <w:t>82,446,624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7AB1E" w14:textId="5FC8061B" w:rsidR="00945262" w:rsidRPr="00005453" w:rsidRDefault="00945262" w:rsidP="00945262">
            <w:pPr>
              <w:jc w:val="right"/>
              <w:rPr>
                <w:color w:val="000000"/>
                <w:sz w:val="18"/>
                <w:szCs w:val="18"/>
                <w:lang w:eastAsia="tr-TR"/>
              </w:rPr>
            </w:pPr>
            <w:r w:rsidRPr="00005453">
              <w:rPr>
                <w:color w:val="000000"/>
                <w:sz w:val="18"/>
                <w:szCs w:val="22"/>
              </w:rPr>
              <w:t>78,860,841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C5B31" w14:textId="4E11E9D8" w:rsidR="00945262" w:rsidRPr="00005453" w:rsidRDefault="00945262" w:rsidP="00945262">
            <w:pPr>
              <w:jc w:val="right"/>
              <w:rPr>
                <w:color w:val="000000"/>
                <w:sz w:val="18"/>
                <w:szCs w:val="18"/>
                <w:lang w:eastAsia="tr-TR"/>
              </w:rPr>
            </w:pPr>
            <w:r w:rsidRPr="00005453">
              <w:rPr>
                <w:color w:val="000000"/>
                <w:sz w:val="18"/>
                <w:szCs w:val="22"/>
              </w:rPr>
              <w:t>82,446,624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3309C" w14:textId="0F54F592" w:rsidR="00945262" w:rsidRPr="00005453" w:rsidRDefault="00945262" w:rsidP="00945262">
            <w:pPr>
              <w:jc w:val="right"/>
              <w:rPr>
                <w:color w:val="000000"/>
                <w:sz w:val="18"/>
                <w:szCs w:val="18"/>
                <w:lang w:eastAsia="tr-TR"/>
              </w:rPr>
            </w:pPr>
            <w:r w:rsidRPr="00005453">
              <w:rPr>
                <w:color w:val="000000"/>
                <w:sz w:val="18"/>
                <w:szCs w:val="22"/>
              </w:rPr>
              <w:t>78,860,841</w:t>
            </w:r>
          </w:p>
        </w:tc>
      </w:tr>
      <w:tr w:rsidR="00945262" w:rsidRPr="00005453" w14:paraId="5DA12E45"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ADD09" w14:textId="77777777" w:rsidR="00945262" w:rsidRPr="00005453" w:rsidRDefault="00945262" w:rsidP="00945262">
            <w:pPr>
              <w:jc w:val="right"/>
              <w:rPr>
                <w:color w:val="000000"/>
                <w:sz w:val="18"/>
                <w:szCs w:val="18"/>
                <w:lang w:eastAsia="tr-TR"/>
              </w:rPr>
            </w:pPr>
            <w:r w:rsidRPr="00005453">
              <w:rPr>
                <w:color w:val="000000"/>
                <w:sz w:val="18"/>
                <w:szCs w:val="18"/>
                <w:lang w:eastAsia="tr-TR"/>
              </w:rPr>
              <w:t>13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1EA13D" w14:textId="77777777" w:rsidR="00945262" w:rsidRPr="00005453" w:rsidRDefault="00945262" w:rsidP="00945262">
            <w:pPr>
              <w:rPr>
                <w:color w:val="000000"/>
                <w:sz w:val="18"/>
                <w:szCs w:val="18"/>
                <w:lang w:eastAsia="tr-TR"/>
              </w:rPr>
            </w:pPr>
            <w:r w:rsidRPr="00005453">
              <w:rPr>
                <w:color w:val="000000"/>
                <w:sz w:val="18"/>
                <w:szCs w:val="18"/>
                <w:lang w:eastAsia="tr-TR"/>
              </w:rPr>
              <w:t>Finansal piyasalara olan borçlar için verilen ödeme taahhütleri ile diğer bilanço dışı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C5FE0" w14:textId="259FA1BD"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6EF7D" w14:textId="18370C07"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E6373" w14:textId="188ED03A"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A3933" w14:textId="08AF56AB" w:rsidR="00945262" w:rsidRPr="00005453" w:rsidRDefault="00945262" w:rsidP="00945262">
            <w:pPr>
              <w:jc w:val="right"/>
              <w:rPr>
                <w:color w:val="000000"/>
                <w:sz w:val="18"/>
                <w:szCs w:val="18"/>
                <w:lang w:eastAsia="tr-TR"/>
              </w:rPr>
            </w:pPr>
            <w:r w:rsidRPr="00005453">
              <w:rPr>
                <w:color w:val="000000"/>
                <w:sz w:val="18"/>
                <w:szCs w:val="22"/>
              </w:rPr>
              <w:t>-</w:t>
            </w:r>
          </w:p>
        </w:tc>
      </w:tr>
      <w:tr w:rsidR="00945262" w:rsidRPr="00005453" w14:paraId="021FE164"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8F79E" w14:textId="77777777" w:rsidR="00945262" w:rsidRPr="00005453" w:rsidRDefault="00945262" w:rsidP="00945262">
            <w:pPr>
              <w:jc w:val="right"/>
              <w:rPr>
                <w:color w:val="000000"/>
                <w:sz w:val="18"/>
                <w:szCs w:val="18"/>
                <w:lang w:eastAsia="tr-TR"/>
              </w:rPr>
            </w:pPr>
            <w:r w:rsidRPr="00005453">
              <w:rPr>
                <w:color w:val="000000"/>
                <w:sz w:val="18"/>
                <w:szCs w:val="18"/>
                <w:lang w:eastAsia="tr-TR"/>
              </w:rPr>
              <w:t>14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C0271D" w14:textId="77777777" w:rsidR="00945262" w:rsidRPr="00005453" w:rsidRDefault="00945262" w:rsidP="00945262">
            <w:pPr>
              <w:rPr>
                <w:color w:val="000000"/>
                <w:sz w:val="18"/>
                <w:szCs w:val="18"/>
                <w:lang w:eastAsia="tr-TR"/>
              </w:rPr>
            </w:pPr>
            <w:r w:rsidRPr="00005453">
              <w:rPr>
                <w:color w:val="000000"/>
                <w:sz w:val="18"/>
                <w:szCs w:val="18"/>
                <w:lang w:eastAsia="tr-TR"/>
              </w:rPr>
              <w:t>Herhangi bir şarta bağlı olmaksızın cayılabilir bilanço dışı diğer yükümlülükler ile sözleşmeye dayalı diğer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95EA5" w14:textId="19700AE4"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0DB5A" w14:textId="17FF6FE8"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BC576" w14:textId="444E4941" w:rsidR="00945262" w:rsidRPr="00005453" w:rsidRDefault="00945262" w:rsidP="00945262">
            <w:pPr>
              <w:jc w:val="right"/>
              <w:rPr>
                <w:color w:val="000000"/>
                <w:sz w:val="18"/>
                <w:szCs w:val="18"/>
                <w:lang w:eastAsia="tr-TR"/>
              </w:rPr>
            </w:pPr>
            <w:r w:rsidRPr="00005453">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341CB" w14:textId="2E9B3C86" w:rsidR="00945262" w:rsidRPr="00005453" w:rsidRDefault="00945262" w:rsidP="00945262">
            <w:pPr>
              <w:jc w:val="right"/>
              <w:rPr>
                <w:color w:val="000000"/>
                <w:sz w:val="18"/>
                <w:szCs w:val="18"/>
                <w:lang w:eastAsia="tr-TR"/>
              </w:rPr>
            </w:pPr>
            <w:r w:rsidRPr="00005453">
              <w:rPr>
                <w:color w:val="000000"/>
                <w:sz w:val="18"/>
                <w:szCs w:val="22"/>
              </w:rPr>
              <w:t>-</w:t>
            </w:r>
          </w:p>
        </w:tc>
      </w:tr>
      <w:tr w:rsidR="00945262" w:rsidRPr="00005453" w14:paraId="70646517"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6683C" w14:textId="77777777" w:rsidR="00945262" w:rsidRPr="00005453" w:rsidRDefault="00945262" w:rsidP="00945262">
            <w:pPr>
              <w:jc w:val="right"/>
              <w:rPr>
                <w:color w:val="000000"/>
                <w:sz w:val="18"/>
                <w:szCs w:val="18"/>
                <w:lang w:eastAsia="tr-TR"/>
              </w:rPr>
            </w:pPr>
            <w:r w:rsidRPr="00005453">
              <w:rPr>
                <w:color w:val="000000"/>
                <w:sz w:val="18"/>
                <w:szCs w:val="18"/>
                <w:lang w:eastAsia="tr-TR"/>
              </w:rPr>
              <w:t>15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99467" w14:textId="77777777" w:rsidR="00945262" w:rsidRPr="00005453" w:rsidRDefault="00945262" w:rsidP="00945262">
            <w:pPr>
              <w:rPr>
                <w:color w:val="000000"/>
                <w:sz w:val="18"/>
                <w:szCs w:val="18"/>
                <w:lang w:eastAsia="tr-TR"/>
              </w:rPr>
            </w:pPr>
            <w:r w:rsidRPr="00005453">
              <w:rPr>
                <w:color w:val="000000"/>
                <w:sz w:val="18"/>
                <w:szCs w:val="18"/>
                <w:lang w:eastAsia="tr-TR"/>
              </w:rPr>
              <w:t>Diğer cayılamaz veya şartı bağlı olarak cayılabilir bilanço dışı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EC49" w14:textId="4FA7DCDA" w:rsidR="00945262" w:rsidRPr="00005453" w:rsidRDefault="00945262" w:rsidP="00945262">
            <w:pPr>
              <w:jc w:val="right"/>
              <w:rPr>
                <w:color w:val="000000"/>
                <w:sz w:val="18"/>
                <w:szCs w:val="18"/>
                <w:lang w:eastAsia="tr-TR"/>
              </w:rPr>
            </w:pPr>
            <w:r w:rsidRPr="00005453">
              <w:rPr>
                <w:color w:val="000000"/>
                <w:sz w:val="18"/>
                <w:szCs w:val="22"/>
              </w:rPr>
              <w:t>182,393,700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BA78C" w14:textId="589E772A" w:rsidR="00945262" w:rsidRPr="00005453" w:rsidRDefault="00945262" w:rsidP="00945262">
            <w:pPr>
              <w:jc w:val="right"/>
              <w:rPr>
                <w:color w:val="000000"/>
                <w:sz w:val="18"/>
                <w:szCs w:val="18"/>
                <w:lang w:eastAsia="tr-TR"/>
              </w:rPr>
            </w:pPr>
            <w:r w:rsidRPr="00005453">
              <w:rPr>
                <w:color w:val="000000"/>
                <w:sz w:val="18"/>
                <w:szCs w:val="22"/>
              </w:rPr>
              <w:t>34,514,007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7AFCE" w14:textId="25C359FF" w:rsidR="00945262" w:rsidRPr="00005453" w:rsidRDefault="00945262" w:rsidP="00945262">
            <w:pPr>
              <w:jc w:val="right"/>
              <w:rPr>
                <w:color w:val="000000"/>
                <w:sz w:val="18"/>
                <w:szCs w:val="18"/>
                <w:lang w:eastAsia="tr-TR"/>
              </w:rPr>
            </w:pPr>
            <w:r w:rsidRPr="00005453">
              <w:rPr>
                <w:color w:val="000000"/>
                <w:sz w:val="18"/>
                <w:szCs w:val="22"/>
              </w:rPr>
              <w:t>15,231,352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034BF" w14:textId="51DAC7C6" w:rsidR="00945262" w:rsidRPr="00005453" w:rsidRDefault="00945262" w:rsidP="00945262">
            <w:pPr>
              <w:jc w:val="right"/>
              <w:rPr>
                <w:color w:val="000000"/>
                <w:sz w:val="18"/>
                <w:szCs w:val="18"/>
                <w:lang w:eastAsia="tr-TR"/>
              </w:rPr>
            </w:pPr>
            <w:r w:rsidRPr="00005453">
              <w:rPr>
                <w:color w:val="000000"/>
                <w:sz w:val="18"/>
                <w:szCs w:val="22"/>
              </w:rPr>
              <w:t>2,360,354</w:t>
            </w:r>
          </w:p>
        </w:tc>
      </w:tr>
      <w:tr w:rsidR="00945262" w:rsidRPr="00005453" w14:paraId="03C4E913"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71E29" w14:textId="77777777" w:rsidR="00945262" w:rsidRPr="00005453" w:rsidRDefault="00945262" w:rsidP="00945262">
            <w:pPr>
              <w:jc w:val="right"/>
              <w:rPr>
                <w:color w:val="000000"/>
                <w:sz w:val="18"/>
                <w:szCs w:val="18"/>
                <w:lang w:eastAsia="tr-TR"/>
              </w:rPr>
            </w:pPr>
            <w:r w:rsidRPr="00005453">
              <w:rPr>
                <w:color w:val="000000"/>
                <w:sz w:val="18"/>
                <w:szCs w:val="18"/>
                <w:lang w:eastAsia="tr-TR"/>
              </w:rPr>
              <w:t>16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D0003" w14:textId="77777777" w:rsidR="00945262" w:rsidRPr="00005453" w:rsidRDefault="00945262" w:rsidP="00945262">
            <w:pPr>
              <w:rPr>
                <w:color w:val="000000"/>
                <w:sz w:val="18"/>
                <w:szCs w:val="18"/>
                <w:lang w:eastAsia="tr-TR"/>
              </w:rPr>
            </w:pPr>
            <w:r w:rsidRPr="00005453">
              <w:rPr>
                <w:color w:val="000000"/>
                <w:sz w:val="18"/>
                <w:szCs w:val="18"/>
                <w:lang w:eastAsia="tr-TR"/>
              </w:rPr>
              <w:t>TOPLAM NAKİT ÇIKIŞLARI</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A1622E5"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4580B0"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69D14" w14:textId="7BF1D5E1" w:rsidR="00945262" w:rsidRPr="00005453" w:rsidRDefault="00945262" w:rsidP="00945262">
            <w:pPr>
              <w:jc w:val="right"/>
              <w:rPr>
                <w:color w:val="000000"/>
                <w:sz w:val="18"/>
                <w:szCs w:val="18"/>
                <w:lang w:eastAsia="tr-TR"/>
              </w:rPr>
            </w:pPr>
            <w:r w:rsidRPr="00005453">
              <w:rPr>
                <w:bCs/>
                <w:color w:val="000000"/>
                <w:sz w:val="18"/>
                <w:szCs w:val="22"/>
              </w:rPr>
              <w:t>269,758,263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EA7F" w14:textId="2F411510" w:rsidR="00945262" w:rsidRPr="00005453" w:rsidRDefault="00945262" w:rsidP="00945262">
            <w:pPr>
              <w:jc w:val="right"/>
              <w:rPr>
                <w:color w:val="000000"/>
                <w:sz w:val="18"/>
                <w:szCs w:val="18"/>
                <w:lang w:eastAsia="tr-TR"/>
              </w:rPr>
            </w:pPr>
            <w:r w:rsidRPr="00005453">
              <w:rPr>
                <w:bCs/>
                <w:color w:val="000000"/>
                <w:sz w:val="18"/>
                <w:szCs w:val="22"/>
              </w:rPr>
              <w:t>201,242,684</w:t>
            </w:r>
          </w:p>
        </w:tc>
      </w:tr>
      <w:tr w:rsidR="00D40BCC" w:rsidRPr="00005453" w14:paraId="629AF5AF" w14:textId="77777777" w:rsidTr="00CB690C">
        <w:trPr>
          <w:divId w:val="1287857816"/>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342E36B3" w14:textId="77777777" w:rsidR="00D40BCC" w:rsidRPr="00005453" w:rsidRDefault="00D40BCC" w:rsidP="00D40BCC">
            <w:pPr>
              <w:rPr>
                <w:b/>
                <w:bCs/>
                <w:color w:val="000000"/>
                <w:sz w:val="18"/>
                <w:szCs w:val="18"/>
                <w:lang w:eastAsia="tr-TR"/>
              </w:rPr>
            </w:pPr>
            <w:r w:rsidRPr="00005453">
              <w:rPr>
                <w:b/>
                <w:bCs/>
                <w:color w:val="000000"/>
                <w:sz w:val="18"/>
                <w:szCs w:val="18"/>
                <w:lang w:eastAsia="tr-TR"/>
              </w:rPr>
              <w:t>NAKİT GİRİŞLERİ</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BF53EBA" w14:textId="77777777" w:rsidR="00D40BCC" w:rsidRPr="00005453" w:rsidRDefault="00D40BCC" w:rsidP="00D40BCC">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744D46"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C538E5"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246117"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AD7629" w14:textId="77777777" w:rsidR="00D40BCC" w:rsidRPr="00005453" w:rsidRDefault="00D40BCC" w:rsidP="00D40BCC">
            <w:pPr>
              <w:jc w:val="right"/>
              <w:rPr>
                <w:color w:val="000000"/>
                <w:sz w:val="18"/>
                <w:szCs w:val="18"/>
                <w:lang w:eastAsia="tr-TR"/>
              </w:rPr>
            </w:pPr>
            <w:r w:rsidRPr="00005453">
              <w:rPr>
                <w:color w:val="000000"/>
                <w:sz w:val="18"/>
                <w:szCs w:val="18"/>
                <w:lang w:eastAsia="tr-TR"/>
              </w:rPr>
              <w:t> </w:t>
            </w:r>
          </w:p>
        </w:tc>
      </w:tr>
      <w:tr w:rsidR="00D40BCC" w:rsidRPr="00005453" w14:paraId="6567EAF5" w14:textId="77777777" w:rsidTr="00CB690C">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01EE7" w14:textId="77777777" w:rsidR="00D40BCC" w:rsidRPr="00005453" w:rsidRDefault="00D40BCC" w:rsidP="00D40BCC">
            <w:pPr>
              <w:jc w:val="right"/>
              <w:rPr>
                <w:color w:val="000000"/>
                <w:sz w:val="18"/>
                <w:szCs w:val="18"/>
                <w:lang w:eastAsia="tr-TR"/>
              </w:rPr>
            </w:pPr>
            <w:r w:rsidRPr="00005453">
              <w:rPr>
                <w:color w:val="000000"/>
                <w:sz w:val="18"/>
                <w:szCs w:val="18"/>
                <w:lang w:eastAsia="tr-TR"/>
              </w:rPr>
              <w:t>17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3E6612" w14:textId="77777777" w:rsidR="00D40BCC" w:rsidRPr="00005453" w:rsidRDefault="00D40BCC" w:rsidP="00D40BCC">
            <w:pPr>
              <w:rPr>
                <w:color w:val="000000"/>
                <w:sz w:val="18"/>
                <w:szCs w:val="18"/>
                <w:lang w:eastAsia="tr-TR"/>
              </w:rPr>
            </w:pPr>
            <w:r w:rsidRPr="00005453">
              <w:rPr>
                <w:color w:val="000000"/>
                <w:sz w:val="18"/>
                <w:szCs w:val="18"/>
                <w:lang w:eastAsia="tr-TR"/>
              </w:rPr>
              <w:t>Teminatlı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BEF1" w14:textId="77777777" w:rsidR="00D40BCC" w:rsidRPr="00005453" w:rsidRDefault="00D40BCC" w:rsidP="00D40BCC">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00DCD" w14:textId="77777777" w:rsidR="00D40BCC" w:rsidRPr="00005453" w:rsidRDefault="00D40BCC" w:rsidP="00D40BCC">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E3AAE" w14:textId="77777777" w:rsidR="00D40BCC" w:rsidRPr="00005453" w:rsidRDefault="00D40BCC" w:rsidP="00D40BCC">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DEA72" w14:textId="77777777" w:rsidR="00D40BCC" w:rsidRPr="00005453" w:rsidRDefault="00D40BCC" w:rsidP="00D40BCC">
            <w:pPr>
              <w:jc w:val="right"/>
              <w:rPr>
                <w:color w:val="000000"/>
                <w:sz w:val="18"/>
                <w:szCs w:val="18"/>
                <w:lang w:eastAsia="tr-TR"/>
              </w:rPr>
            </w:pPr>
            <w:r w:rsidRPr="00005453">
              <w:rPr>
                <w:color w:val="000000"/>
                <w:sz w:val="18"/>
                <w:szCs w:val="18"/>
                <w:lang w:eastAsia="tr-TR"/>
              </w:rPr>
              <w:t>-</w:t>
            </w:r>
          </w:p>
        </w:tc>
      </w:tr>
      <w:tr w:rsidR="00945262" w:rsidRPr="00005453" w14:paraId="274B08F1"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DA726" w14:textId="77777777" w:rsidR="00945262" w:rsidRPr="00005453" w:rsidRDefault="00945262" w:rsidP="00945262">
            <w:pPr>
              <w:jc w:val="right"/>
              <w:rPr>
                <w:color w:val="000000"/>
                <w:sz w:val="18"/>
                <w:szCs w:val="18"/>
                <w:lang w:eastAsia="tr-TR"/>
              </w:rPr>
            </w:pPr>
            <w:r w:rsidRPr="00005453">
              <w:rPr>
                <w:color w:val="000000"/>
                <w:sz w:val="18"/>
                <w:szCs w:val="18"/>
                <w:lang w:eastAsia="tr-TR"/>
              </w:rPr>
              <w:t>18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23718" w14:textId="77777777" w:rsidR="00945262" w:rsidRPr="00005453" w:rsidRDefault="00945262" w:rsidP="00945262">
            <w:pPr>
              <w:rPr>
                <w:color w:val="000000"/>
                <w:sz w:val="18"/>
                <w:szCs w:val="18"/>
                <w:lang w:eastAsia="tr-TR"/>
              </w:rPr>
            </w:pPr>
            <w:r w:rsidRPr="00005453">
              <w:rPr>
                <w:color w:val="000000"/>
                <w:sz w:val="18"/>
                <w:szCs w:val="18"/>
                <w:lang w:eastAsia="tr-TR"/>
              </w:rPr>
              <w:t>Teminatsız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868D6" w14:textId="6E911B16" w:rsidR="00945262" w:rsidRPr="00005453" w:rsidRDefault="00945262" w:rsidP="00945262">
            <w:pPr>
              <w:jc w:val="right"/>
              <w:rPr>
                <w:color w:val="000000"/>
                <w:sz w:val="18"/>
                <w:szCs w:val="18"/>
                <w:lang w:eastAsia="tr-TR"/>
              </w:rPr>
            </w:pPr>
            <w:r w:rsidRPr="00005453">
              <w:rPr>
                <w:color w:val="000000"/>
                <w:sz w:val="18"/>
                <w:szCs w:val="22"/>
              </w:rPr>
              <w:t>96,959,007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AC0C4" w14:textId="6C7674EA" w:rsidR="00945262" w:rsidRPr="00005453" w:rsidRDefault="00945262" w:rsidP="00945262">
            <w:pPr>
              <w:jc w:val="right"/>
              <w:rPr>
                <w:color w:val="000000"/>
                <w:sz w:val="18"/>
                <w:szCs w:val="18"/>
                <w:lang w:eastAsia="tr-TR"/>
              </w:rPr>
            </w:pPr>
            <w:r w:rsidRPr="00005453">
              <w:rPr>
                <w:color w:val="000000"/>
                <w:sz w:val="18"/>
                <w:szCs w:val="22"/>
              </w:rPr>
              <w:t>63,556,483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2160A" w14:textId="41CE02F4" w:rsidR="00945262" w:rsidRPr="00005453" w:rsidRDefault="00945262" w:rsidP="00945262">
            <w:pPr>
              <w:jc w:val="right"/>
              <w:rPr>
                <w:color w:val="000000"/>
                <w:sz w:val="18"/>
                <w:szCs w:val="18"/>
                <w:lang w:eastAsia="tr-TR"/>
              </w:rPr>
            </w:pPr>
            <w:r w:rsidRPr="00005453">
              <w:rPr>
                <w:color w:val="000000"/>
                <w:sz w:val="18"/>
                <w:szCs w:val="22"/>
              </w:rPr>
              <w:t>73,529,016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45AC5" w14:textId="13BA60D5" w:rsidR="00945262" w:rsidRPr="00005453" w:rsidRDefault="00945262" w:rsidP="00945262">
            <w:pPr>
              <w:jc w:val="right"/>
              <w:rPr>
                <w:color w:val="000000"/>
                <w:sz w:val="18"/>
                <w:szCs w:val="18"/>
                <w:lang w:eastAsia="tr-TR"/>
              </w:rPr>
            </w:pPr>
            <w:r w:rsidRPr="00005453">
              <w:rPr>
                <w:color w:val="000000"/>
                <w:sz w:val="18"/>
                <w:szCs w:val="22"/>
              </w:rPr>
              <w:t>55,633,016</w:t>
            </w:r>
          </w:p>
        </w:tc>
      </w:tr>
      <w:tr w:rsidR="00945262" w:rsidRPr="00005453" w14:paraId="7AD8AED3"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2C312" w14:textId="77777777" w:rsidR="00945262" w:rsidRPr="00005453" w:rsidRDefault="00945262" w:rsidP="00945262">
            <w:pPr>
              <w:jc w:val="right"/>
              <w:rPr>
                <w:color w:val="000000"/>
                <w:sz w:val="18"/>
                <w:szCs w:val="18"/>
                <w:lang w:eastAsia="tr-TR"/>
              </w:rPr>
            </w:pPr>
            <w:r w:rsidRPr="00005453">
              <w:rPr>
                <w:color w:val="000000"/>
                <w:sz w:val="18"/>
                <w:szCs w:val="18"/>
                <w:lang w:eastAsia="tr-TR"/>
              </w:rPr>
              <w:t>19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241E2" w14:textId="77777777" w:rsidR="00945262" w:rsidRPr="00005453" w:rsidRDefault="00945262" w:rsidP="00945262">
            <w:pPr>
              <w:rPr>
                <w:color w:val="000000"/>
                <w:sz w:val="18"/>
                <w:szCs w:val="18"/>
                <w:lang w:eastAsia="tr-TR"/>
              </w:rPr>
            </w:pPr>
            <w:r w:rsidRPr="00005453">
              <w:rPr>
                <w:color w:val="000000"/>
                <w:sz w:val="18"/>
                <w:szCs w:val="18"/>
                <w:lang w:eastAsia="tr-TR"/>
              </w:rPr>
              <w:t>Diğer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66BB9" w14:textId="4EB6589F" w:rsidR="00945262" w:rsidRPr="00005453" w:rsidRDefault="00945262" w:rsidP="00945262">
            <w:pPr>
              <w:jc w:val="right"/>
              <w:rPr>
                <w:color w:val="000000"/>
                <w:sz w:val="18"/>
                <w:szCs w:val="18"/>
                <w:lang w:eastAsia="tr-TR"/>
              </w:rPr>
            </w:pPr>
            <w:r w:rsidRPr="00005453">
              <w:rPr>
                <w:color w:val="000000"/>
                <w:sz w:val="18"/>
                <w:szCs w:val="22"/>
              </w:rPr>
              <w:t>99,132,567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F4BFC" w14:textId="7BFA659E" w:rsidR="00945262" w:rsidRPr="00005453" w:rsidRDefault="00945262" w:rsidP="00945262">
            <w:pPr>
              <w:jc w:val="right"/>
              <w:rPr>
                <w:color w:val="000000"/>
                <w:sz w:val="18"/>
                <w:szCs w:val="18"/>
                <w:lang w:eastAsia="tr-TR"/>
              </w:rPr>
            </w:pPr>
            <w:r w:rsidRPr="00005453">
              <w:rPr>
                <w:color w:val="000000"/>
                <w:sz w:val="18"/>
                <w:szCs w:val="22"/>
              </w:rPr>
              <w:t>68,220,072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2C9BB" w14:textId="75247029" w:rsidR="00945262" w:rsidRPr="00005453" w:rsidRDefault="00945262" w:rsidP="00945262">
            <w:pPr>
              <w:jc w:val="right"/>
              <w:rPr>
                <w:color w:val="000000"/>
                <w:sz w:val="18"/>
                <w:szCs w:val="18"/>
                <w:lang w:eastAsia="tr-TR"/>
              </w:rPr>
            </w:pPr>
            <w:r w:rsidRPr="00005453">
              <w:rPr>
                <w:color w:val="000000"/>
                <w:sz w:val="18"/>
                <w:szCs w:val="22"/>
              </w:rPr>
              <w:t>99,132,567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1D3D8" w14:textId="35B87552" w:rsidR="00945262" w:rsidRPr="00005453" w:rsidRDefault="00945262" w:rsidP="00945262">
            <w:pPr>
              <w:jc w:val="right"/>
              <w:rPr>
                <w:color w:val="000000"/>
                <w:sz w:val="18"/>
                <w:szCs w:val="18"/>
                <w:lang w:eastAsia="tr-TR"/>
              </w:rPr>
            </w:pPr>
            <w:r w:rsidRPr="00005453">
              <w:rPr>
                <w:color w:val="000000"/>
                <w:sz w:val="18"/>
                <w:szCs w:val="22"/>
              </w:rPr>
              <w:t>68,220,072</w:t>
            </w:r>
          </w:p>
        </w:tc>
      </w:tr>
      <w:tr w:rsidR="00945262" w:rsidRPr="00005453" w14:paraId="3CEC198C"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7DF0B" w14:textId="77777777" w:rsidR="00945262" w:rsidRPr="00005453" w:rsidRDefault="00945262" w:rsidP="00945262">
            <w:pPr>
              <w:jc w:val="right"/>
              <w:rPr>
                <w:color w:val="000000"/>
                <w:sz w:val="18"/>
                <w:szCs w:val="18"/>
                <w:lang w:eastAsia="tr-TR"/>
              </w:rPr>
            </w:pPr>
            <w:r w:rsidRPr="00005453">
              <w:rPr>
                <w:color w:val="000000"/>
                <w:sz w:val="18"/>
                <w:szCs w:val="18"/>
                <w:lang w:eastAsia="tr-TR"/>
              </w:rPr>
              <w:t>20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F495B7" w14:textId="77777777" w:rsidR="00945262" w:rsidRPr="00005453" w:rsidRDefault="00945262" w:rsidP="00945262">
            <w:pPr>
              <w:rPr>
                <w:b/>
                <w:bCs/>
                <w:color w:val="000000"/>
                <w:sz w:val="18"/>
                <w:szCs w:val="18"/>
                <w:lang w:eastAsia="tr-TR"/>
              </w:rPr>
            </w:pPr>
            <w:r w:rsidRPr="00005453">
              <w:rPr>
                <w:b/>
                <w:bCs/>
                <w:color w:val="000000"/>
                <w:sz w:val="18"/>
                <w:szCs w:val="18"/>
                <w:lang w:eastAsia="tr-TR"/>
              </w:rPr>
              <w:t>TOPLAM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7CD4" w14:textId="52F8C554" w:rsidR="00945262" w:rsidRPr="00005453" w:rsidRDefault="00945262" w:rsidP="00945262">
            <w:pPr>
              <w:jc w:val="right"/>
              <w:rPr>
                <w:b/>
                <w:color w:val="000000"/>
                <w:sz w:val="18"/>
                <w:szCs w:val="18"/>
                <w:lang w:eastAsia="tr-TR"/>
              </w:rPr>
            </w:pPr>
            <w:r w:rsidRPr="00005453">
              <w:rPr>
                <w:b/>
                <w:bCs/>
                <w:color w:val="000000"/>
                <w:sz w:val="18"/>
                <w:szCs w:val="22"/>
              </w:rPr>
              <w:t>196,091,574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18158" w14:textId="0306C559" w:rsidR="00945262" w:rsidRPr="00005453" w:rsidRDefault="00945262" w:rsidP="00945262">
            <w:pPr>
              <w:jc w:val="right"/>
              <w:rPr>
                <w:b/>
                <w:color w:val="000000"/>
                <w:sz w:val="18"/>
                <w:szCs w:val="18"/>
                <w:lang w:eastAsia="tr-TR"/>
              </w:rPr>
            </w:pPr>
            <w:r w:rsidRPr="00005453">
              <w:rPr>
                <w:b/>
                <w:bCs/>
                <w:color w:val="000000"/>
                <w:sz w:val="18"/>
                <w:szCs w:val="22"/>
              </w:rPr>
              <w:t>131,776,555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BECE1" w14:textId="291DE6E1" w:rsidR="00945262" w:rsidRPr="00005453" w:rsidRDefault="00945262" w:rsidP="00945262">
            <w:pPr>
              <w:jc w:val="right"/>
              <w:rPr>
                <w:b/>
                <w:color w:val="000000"/>
                <w:sz w:val="18"/>
                <w:szCs w:val="18"/>
                <w:lang w:eastAsia="tr-TR"/>
              </w:rPr>
            </w:pPr>
            <w:r w:rsidRPr="00005453">
              <w:rPr>
                <w:b/>
                <w:bCs/>
                <w:color w:val="000000"/>
                <w:sz w:val="18"/>
                <w:szCs w:val="22"/>
              </w:rPr>
              <w:t>172,661,583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B3A65" w14:textId="5709C2E6" w:rsidR="00945262" w:rsidRPr="00005453" w:rsidRDefault="00945262" w:rsidP="00945262">
            <w:pPr>
              <w:jc w:val="right"/>
              <w:rPr>
                <w:b/>
                <w:color w:val="000000"/>
                <w:sz w:val="18"/>
                <w:szCs w:val="18"/>
                <w:lang w:eastAsia="tr-TR"/>
              </w:rPr>
            </w:pPr>
            <w:r w:rsidRPr="00005453">
              <w:rPr>
                <w:b/>
                <w:bCs/>
                <w:color w:val="000000"/>
                <w:sz w:val="18"/>
                <w:szCs w:val="22"/>
              </w:rPr>
              <w:t>123,853,088</w:t>
            </w:r>
          </w:p>
        </w:tc>
      </w:tr>
      <w:tr w:rsidR="00D40BCC" w:rsidRPr="00005453" w14:paraId="57CC8221" w14:textId="77777777" w:rsidTr="00CB690C">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89CD611" w14:textId="77777777" w:rsidR="00D40BCC" w:rsidRPr="00005453" w:rsidRDefault="00D40BCC" w:rsidP="00D40BCC">
            <w:pPr>
              <w:rPr>
                <w:color w:val="000000"/>
                <w:sz w:val="18"/>
                <w:szCs w:val="18"/>
                <w:lang w:eastAsia="tr-TR"/>
              </w:rPr>
            </w:pPr>
            <w:r w:rsidRPr="00005453">
              <w:rPr>
                <w:color w:val="000000"/>
                <w:sz w:val="18"/>
                <w:szCs w:val="18"/>
                <w:lang w:eastAsia="tr-TR"/>
              </w:rPr>
              <w:t> </w:t>
            </w:r>
          </w:p>
        </w:tc>
        <w:tc>
          <w:tcPr>
            <w:tcW w:w="4025"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43CD2B95" w14:textId="77777777" w:rsidR="00D40BCC" w:rsidRPr="00005453" w:rsidRDefault="00D40BCC" w:rsidP="00D40BCC">
            <w:pPr>
              <w:rPr>
                <w:color w:val="000000"/>
                <w:sz w:val="18"/>
                <w:szCs w:val="18"/>
                <w:lang w:eastAsia="tr-TR"/>
              </w:rPr>
            </w:pPr>
            <w:r w:rsidRPr="00005453">
              <w:rPr>
                <w:color w:val="000000"/>
                <w:sz w:val="18"/>
                <w:szCs w:val="18"/>
                <w:lang w:eastAsia="tr-TR"/>
              </w:rPr>
              <w:t> </w:t>
            </w:r>
          </w:p>
        </w:tc>
        <w:tc>
          <w:tcPr>
            <w:tcW w:w="1096"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310DD210" w14:textId="77777777" w:rsidR="00D40BCC" w:rsidRPr="00005453" w:rsidRDefault="00D40BCC" w:rsidP="00D40BCC">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408EF8"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B9B429"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14A50" w14:textId="77777777" w:rsidR="00D40BCC" w:rsidRPr="00005453" w:rsidRDefault="00D40BCC" w:rsidP="00D40BCC">
            <w:pPr>
              <w:jc w:val="center"/>
              <w:rPr>
                <w:b/>
                <w:bCs/>
                <w:color w:val="000000"/>
                <w:sz w:val="18"/>
                <w:szCs w:val="18"/>
                <w:lang w:eastAsia="tr-TR"/>
              </w:rPr>
            </w:pPr>
            <w:r w:rsidRPr="00005453">
              <w:rPr>
                <w:b/>
                <w:bCs/>
                <w:color w:val="000000"/>
                <w:sz w:val="18"/>
                <w:szCs w:val="18"/>
                <w:lang w:eastAsia="tr-TR"/>
              </w:rPr>
              <w:t>Üst Sınır Uygulanmış Değer</w:t>
            </w:r>
          </w:p>
        </w:tc>
      </w:tr>
      <w:tr w:rsidR="00945262" w:rsidRPr="00005453" w14:paraId="5AD42AC5"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90620" w14:textId="77777777" w:rsidR="00945262" w:rsidRPr="00005453" w:rsidRDefault="00945262" w:rsidP="00945262">
            <w:pPr>
              <w:jc w:val="right"/>
              <w:rPr>
                <w:color w:val="000000"/>
                <w:sz w:val="18"/>
                <w:szCs w:val="18"/>
                <w:lang w:eastAsia="tr-TR"/>
              </w:rPr>
            </w:pPr>
            <w:r w:rsidRPr="00005453">
              <w:rPr>
                <w:color w:val="000000"/>
                <w:sz w:val="18"/>
                <w:szCs w:val="18"/>
                <w:lang w:eastAsia="tr-TR"/>
              </w:rPr>
              <w:t>21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5CE72B" w14:textId="77777777" w:rsidR="00945262" w:rsidRPr="00005453" w:rsidRDefault="00945262" w:rsidP="00945262">
            <w:pPr>
              <w:rPr>
                <w:b/>
                <w:bCs/>
                <w:color w:val="000000"/>
                <w:sz w:val="18"/>
                <w:szCs w:val="18"/>
                <w:lang w:eastAsia="tr-TR"/>
              </w:rPr>
            </w:pPr>
            <w:r w:rsidRPr="00005453">
              <w:rPr>
                <w:b/>
                <w:bCs/>
                <w:color w:val="000000"/>
                <w:sz w:val="18"/>
                <w:szCs w:val="18"/>
                <w:lang w:eastAsia="tr-TR"/>
              </w:rPr>
              <w:t>TOPLAM YKLV STOKU</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D1D4BE4"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F539A0"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09A20" w14:textId="119CEF70" w:rsidR="00945262" w:rsidRPr="00005453" w:rsidRDefault="00945262" w:rsidP="00945262">
            <w:pPr>
              <w:jc w:val="right"/>
              <w:rPr>
                <w:b/>
                <w:color w:val="000000"/>
                <w:sz w:val="18"/>
                <w:szCs w:val="18"/>
                <w:lang w:eastAsia="tr-TR"/>
              </w:rPr>
            </w:pPr>
            <w:r w:rsidRPr="00005453">
              <w:rPr>
                <w:b/>
                <w:bCs/>
                <w:color w:val="000000"/>
                <w:sz w:val="18"/>
                <w:szCs w:val="22"/>
              </w:rPr>
              <w:t>202,840,451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57FCA" w14:textId="5A4E483A" w:rsidR="00945262" w:rsidRPr="00005453" w:rsidRDefault="00945262" w:rsidP="00945262">
            <w:pPr>
              <w:jc w:val="right"/>
              <w:rPr>
                <w:b/>
                <w:color w:val="000000"/>
                <w:sz w:val="18"/>
                <w:szCs w:val="18"/>
                <w:lang w:eastAsia="tr-TR"/>
              </w:rPr>
            </w:pPr>
            <w:r w:rsidRPr="00005453">
              <w:rPr>
                <w:b/>
                <w:bCs/>
                <w:color w:val="000000"/>
                <w:sz w:val="18"/>
                <w:szCs w:val="22"/>
              </w:rPr>
              <w:t>128,720,011</w:t>
            </w:r>
          </w:p>
        </w:tc>
      </w:tr>
      <w:tr w:rsidR="00945262" w:rsidRPr="00005453" w14:paraId="451EC626"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99EDC" w14:textId="77777777" w:rsidR="00945262" w:rsidRPr="00005453" w:rsidRDefault="00945262" w:rsidP="00945262">
            <w:pPr>
              <w:jc w:val="right"/>
              <w:rPr>
                <w:color w:val="000000"/>
                <w:sz w:val="18"/>
                <w:szCs w:val="18"/>
                <w:lang w:eastAsia="tr-TR"/>
              </w:rPr>
            </w:pPr>
            <w:r w:rsidRPr="00005453">
              <w:rPr>
                <w:color w:val="000000"/>
                <w:sz w:val="18"/>
                <w:szCs w:val="18"/>
                <w:lang w:eastAsia="tr-TR"/>
              </w:rPr>
              <w:t>22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D028DB" w14:textId="77777777" w:rsidR="00945262" w:rsidRPr="00005453" w:rsidRDefault="00945262" w:rsidP="00945262">
            <w:pPr>
              <w:rPr>
                <w:b/>
                <w:bCs/>
                <w:color w:val="000000"/>
                <w:sz w:val="18"/>
                <w:szCs w:val="18"/>
                <w:lang w:eastAsia="tr-TR"/>
              </w:rPr>
            </w:pPr>
            <w:r w:rsidRPr="00005453">
              <w:rPr>
                <w:b/>
                <w:bCs/>
                <w:color w:val="000000"/>
                <w:sz w:val="18"/>
                <w:szCs w:val="18"/>
                <w:lang w:eastAsia="tr-TR"/>
              </w:rPr>
              <w:t>TOPLAM NET NAKİT ÇIKIŞLARI</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8BBFF40"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F3BFBBD"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5520F" w14:textId="0F2BC5AC" w:rsidR="00945262" w:rsidRPr="00005453" w:rsidRDefault="00945262" w:rsidP="00945262">
            <w:pPr>
              <w:jc w:val="right"/>
              <w:rPr>
                <w:b/>
                <w:color w:val="000000"/>
                <w:sz w:val="18"/>
                <w:szCs w:val="18"/>
                <w:lang w:eastAsia="tr-TR"/>
              </w:rPr>
            </w:pPr>
            <w:r w:rsidRPr="00005453">
              <w:rPr>
                <w:b/>
                <w:bCs/>
                <w:color w:val="000000"/>
                <w:sz w:val="18"/>
                <w:szCs w:val="22"/>
              </w:rPr>
              <w:t>97,096,680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9DF77" w14:textId="6588532A" w:rsidR="00945262" w:rsidRPr="00005453" w:rsidRDefault="00945262" w:rsidP="00945262">
            <w:pPr>
              <w:jc w:val="right"/>
              <w:rPr>
                <w:b/>
                <w:color w:val="000000"/>
                <w:sz w:val="18"/>
                <w:szCs w:val="18"/>
                <w:lang w:eastAsia="tr-TR"/>
              </w:rPr>
            </w:pPr>
            <w:r w:rsidRPr="00005453">
              <w:rPr>
                <w:b/>
                <w:bCs/>
                <w:color w:val="000000"/>
                <w:sz w:val="18"/>
                <w:szCs w:val="22"/>
              </w:rPr>
              <w:t>77,389,596</w:t>
            </w:r>
          </w:p>
        </w:tc>
      </w:tr>
      <w:tr w:rsidR="00945262" w:rsidRPr="00005453" w14:paraId="7DD15E45" w14:textId="77777777" w:rsidTr="00945262">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48B8D" w14:textId="77777777" w:rsidR="00945262" w:rsidRPr="00005453" w:rsidRDefault="00945262" w:rsidP="00945262">
            <w:pPr>
              <w:jc w:val="right"/>
              <w:rPr>
                <w:color w:val="000000"/>
                <w:sz w:val="18"/>
                <w:szCs w:val="18"/>
                <w:lang w:eastAsia="tr-TR"/>
              </w:rPr>
            </w:pPr>
            <w:r w:rsidRPr="00005453">
              <w:rPr>
                <w:color w:val="000000"/>
                <w:sz w:val="18"/>
                <w:szCs w:val="18"/>
                <w:lang w:eastAsia="tr-TR"/>
              </w:rPr>
              <w:t>23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8A81B4" w14:textId="77777777" w:rsidR="00945262" w:rsidRPr="00005453" w:rsidRDefault="00945262" w:rsidP="00945262">
            <w:pPr>
              <w:rPr>
                <w:b/>
                <w:bCs/>
                <w:color w:val="000000"/>
                <w:sz w:val="18"/>
                <w:szCs w:val="18"/>
                <w:lang w:eastAsia="tr-TR"/>
              </w:rPr>
            </w:pPr>
            <w:r w:rsidRPr="00005453">
              <w:rPr>
                <w:b/>
                <w:bCs/>
                <w:color w:val="000000"/>
                <w:sz w:val="18"/>
                <w:szCs w:val="18"/>
                <w:lang w:eastAsia="tr-TR"/>
              </w:rPr>
              <w:t>LİKİDİTE KARŞILAMA ORANI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9EBC4B"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3AA6448" w14:textId="77777777" w:rsidR="00945262" w:rsidRPr="00005453" w:rsidRDefault="00945262" w:rsidP="00945262">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61298" w14:textId="13D3013F" w:rsidR="00945262" w:rsidRPr="00005453" w:rsidRDefault="00945262" w:rsidP="00945262">
            <w:pPr>
              <w:jc w:val="right"/>
              <w:rPr>
                <w:b/>
                <w:color w:val="000000"/>
                <w:sz w:val="18"/>
                <w:szCs w:val="18"/>
                <w:lang w:eastAsia="tr-TR"/>
              </w:rPr>
            </w:pPr>
            <w:r w:rsidRPr="00005453">
              <w:rPr>
                <w:b/>
                <w:bCs/>
                <w:color w:val="000000"/>
                <w:sz w:val="18"/>
                <w:szCs w:val="22"/>
              </w:rPr>
              <w:t>208.91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43567" w14:textId="555C2222" w:rsidR="00945262" w:rsidRPr="00005453" w:rsidRDefault="00945262" w:rsidP="00945262">
            <w:pPr>
              <w:jc w:val="right"/>
              <w:rPr>
                <w:b/>
                <w:color w:val="000000"/>
                <w:sz w:val="18"/>
                <w:szCs w:val="18"/>
                <w:lang w:eastAsia="tr-TR"/>
              </w:rPr>
            </w:pPr>
            <w:r w:rsidRPr="00005453">
              <w:rPr>
                <w:b/>
                <w:bCs/>
                <w:color w:val="000000"/>
                <w:sz w:val="18"/>
                <w:szCs w:val="22"/>
              </w:rPr>
              <w:t>166.33</w:t>
            </w:r>
          </w:p>
        </w:tc>
      </w:tr>
    </w:tbl>
    <w:p w14:paraId="0FE9A6BE" w14:textId="6EBAB863" w:rsidR="00712DD0" w:rsidRPr="00005453" w:rsidRDefault="00712DD0" w:rsidP="00C35E6D">
      <w:pPr>
        <w:autoSpaceDE w:val="0"/>
        <w:autoSpaceDN w:val="0"/>
        <w:adjustRightInd w:val="0"/>
        <w:rPr>
          <w:bCs/>
          <w:snapToGrid w:val="0"/>
          <w:sz w:val="16"/>
          <w:szCs w:val="16"/>
        </w:rPr>
      </w:pPr>
    </w:p>
    <w:p w14:paraId="3F97F26D" w14:textId="33BB8B31" w:rsidR="00455FD1" w:rsidRPr="00005453" w:rsidRDefault="0067330F" w:rsidP="00741C7D">
      <w:pPr>
        <w:autoSpaceDE w:val="0"/>
        <w:autoSpaceDN w:val="0"/>
        <w:adjustRightInd w:val="0"/>
        <w:rPr>
          <w:bCs/>
          <w:snapToGrid w:val="0"/>
          <w:sz w:val="16"/>
          <w:szCs w:val="16"/>
        </w:rPr>
      </w:pPr>
      <w:r w:rsidRPr="00005453">
        <w:rPr>
          <w:bCs/>
          <w:snapToGrid w:val="0"/>
          <w:sz w:val="16"/>
          <w:szCs w:val="16"/>
        </w:rPr>
        <w:t>(*)</w:t>
      </w:r>
      <w:r w:rsidR="00434B1F" w:rsidRPr="00005453">
        <w:rPr>
          <w:bCs/>
          <w:snapToGrid w:val="0"/>
          <w:sz w:val="16"/>
          <w:szCs w:val="16"/>
        </w:rPr>
        <w:t xml:space="preserve"> </w:t>
      </w:r>
      <w:r w:rsidR="00741C7D" w:rsidRPr="00005453">
        <w:rPr>
          <w:bCs/>
          <w:snapToGrid w:val="0"/>
          <w:sz w:val="16"/>
          <w:szCs w:val="16"/>
        </w:rPr>
        <w:t xml:space="preserve">Haftalık basit aritmetik ortalama alınmak suretiyle </w:t>
      </w:r>
      <w:r w:rsidR="00455FD1" w:rsidRPr="00005453">
        <w:rPr>
          <w:bCs/>
          <w:snapToGrid w:val="0"/>
          <w:sz w:val="16"/>
          <w:szCs w:val="16"/>
        </w:rPr>
        <w:t>hesaplanan değerlerin son üç ay için hesaplanan basit aritmetik ortalaması.</w:t>
      </w:r>
    </w:p>
    <w:p w14:paraId="6BB2C849" w14:textId="77777777" w:rsidR="00712DD0" w:rsidRPr="00005453" w:rsidRDefault="00712DD0" w:rsidP="00C35E6D">
      <w:pPr>
        <w:autoSpaceDE w:val="0"/>
        <w:autoSpaceDN w:val="0"/>
        <w:adjustRightInd w:val="0"/>
        <w:rPr>
          <w:sz w:val="16"/>
          <w:szCs w:val="16"/>
          <w:lang w:eastAsia="tr-TR"/>
        </w:rPr>
      </w:pPr>
    </w:p>
    <w:p w14:paraId="73E9A0FA" w14:textId="1D337559" w:rsidR="00741C7D" w:rsidRPr="00005453" w:rsidRDefault="005F73BC" w:rsidP="00741C7D">
      <w:pPr>
        <w:jc w:val="both"/>
      </w:pPr>
      <w:r w:rsidRPr="00005453">
        <w:t xml:space="preserve">1 </w:t>
      </w:r>
      <w:r w:rsidR="000D644C" w:rsidRPr="00005453">
        <w:t>Ekim</w:t>
      </w:r>
      <w:r w:rsidRPr="00005453">
        <w:t xml:space="preserve"> – 31 Aralık 202</w:t>
      </w:r>
      <w:r w:rsidR="007854AB" w:rsidRPr="00005453">
        <w:t>4</w:t>
      </w:r>
      <w:r w:rsidRPr="00005453">
        <w:t xml:space="preserve"> döneminde haftalık periyotlar ile hesaplanan</w:t>
      </w:r>
      <w:r w:rsidR="00741C7D" w:rsidRPr="00005453">
        <w:t xml:space="preserve"> en düşük, en yüksek ve ortalama Likidite Karşılama Oranları aşağıdaki tabloda yer almaktadır.</w:t>
      </w:r>
    </w:p>
    <w:p w14:paraId="43C62881" w14:textId="20507823" w:rsidR="00D40BCC" w:rsidRPr="00005453" w:rsidRDefault="00D40BCC" w:rsidP="0067330F">
      <w:pPr>
        <w:rPr>
          <w:lang w:eastAsia="en-GB"/>
        </w:rPr>
      </w:pPr>
    </w:p>
    <w:tbl>
      <w:tblPr>
        <w:tblW w:w="9500" w:type="dxa"/>
        <w:tblBorders>
          <w:top w:val="single" w:sz="8" w:space="0" w:color="000000"/>
          <w:left w:val="single" w:sz="8" w:space="0" w:color="000000"/>
          <w:bottom w:val="single" w:sz="8"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065"/>
        <w:gridCol w:w="1235"/>
        <w:gridCol w:w="1275"/>
        <w:gridCol w:w="1046"/>
        <w:gridCol w:w="1118"/>
        <w:gridCol w:w="1761"/>
      </w:tblGrid>
      <w:tr w:rsidR="00D40BCC" w:rsidRPr="00005453" w14:paraId="6C6775CD" w14:textId="77777777" w:rsidTr="00146E86">
        <w:trPr>
          <w:divId w:val="740492590"/>
          <w:trHeight w:val="251"/>
        </w:trPr>
        <w:tc>
          <w:tcPr>
            <w:tcW w:w="3065" w:type="dxa"/>
            <w:shd w:val="clear" w:color="auto" w:fill="auto"/>
            <w:vAlign w:val="center"/>
            <w:hideMark/>
          </w:tcPr>
          <w:p w14:paraId="3875933D" w14:textId="01520CEA" w:rsidR="00D40BCC" w:rsidRPr="00005453" w:rsidRDefault="00D40BCC" w:rsidP="00D40BCC">
            <w:pPr>
              <w:rPr>
                <w:color w:val="000000"/>
                <w:lang w:eastAsia="tr-TR"/>
              </w:rPr>
            </w:pPr>
            <w:r w:rsidRPr="00005453">
              <w:rPr>
                <w:color w:val="000000"/>
                <w:lang w:eastAsia="tr-TR"/>
              </w:rPr>
              <w:t> </w:t>
            </w:r>
          </w:p>
        </w:tc>
        <w:tc>
          <w:tcPr>
            <w:tcW w:w="1235" w:type="dxa"/>
            <w:shd w:val="clear" w:color="auto" w:fill="auto"/>
            <w:vAlign w:val="center"/>
            <w:hideMark/>
          </w:tcPr>
          <w:p w14:paraId="119E635B"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En Yüksek</w:t>
            </w:r>
          </w:p>
        </w:tc>
        <w:tc>
          <w:tcPr>
            <w:tcW w:w="1275" w:type="dxa"/>
            <w:shd w:val="clear" w:color="auto" w:fill="auto"/>
            <w:vAlign w:val="center"/>
            <w:hideMark/>
          </w:tcPr>
          <w:p w14:paraId="04564585"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Tarih</w:t>
            </w:r>
          </w:p>
        </w:tc>
        <w:tc>
          <w:tcPr>
            <w:tcW w:w="1046" w:type="dxa"/>
            <w:shd w:val="clear" w:color="auto" w:fill="auto"/>
            <w:vAlign w:val="center"/>
            <w:hideMark/>
          </w:tcPr>
          <w:p w14:paraId="7CB5C047"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En Düşük</w:t>
            </w:r>
          </w:p>
        </w:tc>
        <w:tc>
          <w:tcPr>
            <w:tcW w:w="1118" w:type="dxa"/>
            <w:shd w:val="clear" w:color="auto" w:fill="auto"/>
            <w:vAlign w:val="center"/>
            <w:hideMark/>
          </w:tcPr>
          <w:p w14:paraId="639E5023"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Tarih</w:t>
            </w:r>
          </w:p>
        </w:tc>
        <w:tc>
          <w:tcPr>
            <w:tcW w:w="1761" w:type="dxa"/>
            <w:shd w:val="clear" w:color="auto" w:fill="auto"/>
            <w:vAlign w:val="center"/>
            <w:hideMark/>
          </w:tcPr>
          <w:p w14:paraId="4B7541BB" w14:textId="77777777" w:rsidR="00D40BCC" w:rsidRPr="00005453" w:rsidRDefault="00D40BCC" w:rsidP="00D40BCC">
            <w:pPr>
              <w:jc w:val="right"/>
              <w:rPr>
                <w:b/>
                <w:bCs/>
                <w:color w:val="000000"/>
                <w:sz w:val="18"/>
                <w:szCs w:val="18"/>
                <w:lang w:eastAsia="tr-TR"/>
              </w:rPr>
            </w:pPr>
            <w:r w:rsidRPr="00005453">
              <w:rPr>
                <w:b/>
                <w:bCs/>
                <w:color w:val="000000"/>
                <w:sz w:val="18"/>
                <w:szCs w:val="18"/>
                <w:lang w:eastAsia="tr-TR"/>
              </w:rPr>
              <w:t>Ortalama</w:t>
            </w:r>
          </w:p>
        </w:tc>
      </w:tr>
      <w:tr w:rsidR="00146E86" w:rsidRPr="00005453" w14:paraId="4AA2F4B5" w14:textId="77777777" w:rsidTr="00146E86">
        <w:trPr>
          <w:divId w:val="740492590"/>
          <w:trHeight w:val="251"/>
        </w:trPr>
        <w:tc>
          <w:tcPr>
            <w:tcW w:w="3065" w:type="dxa"/>
            <w:shd w:val="clear" w:color="auto" w:fill="auto"/>
            <w:vAlign w:val="center"/>
            <w:hideMark/>
          </w:tcPr>
          <w:p w14:paraId="581F35A1" w14:textId="77777777" w:rsidR="00146E86" w:rsidRPr="00005453" w:rsidRDefault="00146E86" w:rsidP="00146E86">
            <w:pPr>
              <w:rPr>
                <w:color w:val="000000"/>
                <w:sz w:val="18"/>
                <w:szCs w:val="18"/>
                <w:lang w:eastAsia="tr-TR"/>
              </w:rPr>
            </w:pPr>
            <w:r w:rsidRPr="00005453">
              <w:rPr>
                <w:bCs/>
                <w:color w:val="000000"/>
                <w:sz w:val="18"/>
                <w:szCs w:val="18"/>
                <w:lang w:eastAsia="tr-TR"/>
              </w:rPr>
              <w:t>TP+YP</w:t>
            </w:r>
          </w:p>
        </w:tc>
        <w:tc>
          <w:tcPr>
            <w:tcW w:w="1235" w:type="dxa"/>
            <w:shd w:val="clear" w:color="auto" w:fill="auto"/>
            <w:vAlign w:val="center"/>
            <w:hideMark/>
          </w:tcPr>
          <w:p w14:paraId="40593A94" w14:textId="1F77EB5C" w:rsidR="00146E86" w:rsidRPr="00005453" w:rsidRDefault="00146E86" w:rsidP="00146E86">
            <w:pPr>
              <w:jc w:val="right"/>
              <w:rPr>
                <w:color w:val="000000"/>
                <w:sz w:val="18"/>
                <w:szCs w:val="22"/>
              </w:rPr>
            </w:pPr>
            <w:r w:rsidRPr="00005453">
              <w:rPr>
                <w:color w:val="000000"/>
                <w:sz w:val="18"/>
                <w:szCs w:val="22"/>
              </w:rPr>
              <w:t>237.83</w:t>
            </w:r>
          </w:p>
        </w:tc>
        <w:tc>
          <w:tcPr>
            <w:tcW w:w="1275" w:type="dxa"/>
            <w:shd w:val="clear" w:color="auto" w:fill="auto"/>
            <w:vAlign w:val="center"/>
            <w:hideMark/>
          </w:tcPr>
          <w:p w14:paraId="3A29187B" w14:textId="79B3C07C" w:rsidR="00146E86" w:rsidRPr="00005453" w:rsidRDefault="00146E86" w:rsidP="00146E86">
            <w:pPr>
              <w:jc w:val="right"/>
              <w:rPr>
                <w:color w:val="000000"/>
                <w:sz w:val="18"/>
                <w:szCs w:val="22"/>
              </w:rPr>
            </w:pPr>
            <w:r w:rsidRPr="00005453">
              <w:rPr>
                <w:color w:val="000000"/>
                <w:sz w:val="18"/>
                <w:szCs w:val="22"/>
              </w:rPr>
              <w:t>08/11/2024</w:t>
            </w:r>
          </w:p>
        </w:tc>
        <w:tc>
          <w:tcPr>
            <w:tcW w:w="1046" w:type="dxa"/>
            <w:shd w:val="clear" w:color="auto" w:fill="auto"/>
            <w:vAlign w:val="center"/>
            <w:hideMark/>
          </w:tcPr>
          <w:p w14:paraId="559D02EB" w14:textId="26C63E7D" w:rsidR="00146E86" w:rsidRPr="00005453" w:rsidRDefault="00146E86" w:rsidP="00146E86">
            <w:pPr>
              <w:jc w:val="right"/>
              <w:rPr>
                <w:color w:val="000000"/>
                <w:sz w:val="18"/>
                <w:szCs w:val="22"/>
              </w:rPr>
            </w:pPr>
            <w:r w:rsidRPr="00005453">
              <w:rPr>
                <w:color w:val="000000"/>
                <w:sz w:val="18"/>
                <w:szCs w:val="22"/>
              </w:rPr>
              <w:t>179.81</w:t>
            </w:r>
          </w:p>
        </w:tc>
        <w:tc>
          <w:tcPr>
            <w:tcW w:w="1118" w:type="dxa"/>
            <w:shd w:val="clear" w:color="auto" w:fill="auto"/>
            <w:vAlign w:val="center"/>
            <w:hideMark/>
          </w:tcPr>
          <w:p w14:paraId="0385E238" w14:textId="2FC1F57B" w:rsidR="00146E86" w:rsidRPr="00005453" w:rsidRDefault="00146E86" w:rsidP="00146E86">
            <w:pPr>
              <w:jc w:val="right"/>
              <w:rPr>
                <w:color w:val="000000"/>
                <w:sz w:val="18"/>
                <w:szCs w:val="22"/>
              </w:rPr>
            </w:pPr>
            <w:r w:rsidRPr="00005453">
              <w:rPr>
                <w:color w:val="000000"/>
                <w:sz w:val="18"/>
                <w:szCs w:val="22"/>
              </w:rPr>
              <w:t>20/12/2024</w:t>
            </w:r>
          </w:p>
        </w:tc>
        <w:tc>
          <w:tcPr>
            <w:tcW w:w="1761" w:type="dxa"/>
            <w:shd w:val="clear" w:color="auto" w:fill="auto"/>
            <w:vAlign w:val="center"/>
            <w:hideMark/>
          </w:tcPr>
          <w:p w14:paraId="42442096" w14:textId="170AA356" w:rsidR="00146E86" w:rsidRPr="00005453" w:rsidRDefault="00146E86" w:rsidP="00146E86">
            <w:pPr>
              <w:jc w:val="right"/>
              <w:rPr>
                <w:color w:val="000000"/>
                <w:sz w:val="18"/>
                <w:szCs w:val="22"/>
              </w:rPr>
            </w:pPr>
            <w:r w:rsidRPr="00005453">
              <w:rPr>
                <w:color w:val="000000"/>
                <w:sz w:val="18"/>
                <w:szCs w:val="22"/>
              </w:rPr>
              <w:t>212.80</w:t>
            </w:r>
          </w:p>
        </w:tc>
      </w:tr>
      <w:tr w:rsidR="00146E86" w:rsidRPr="00005453" w14:paraId="0185B3DE" w14:textId="77777777" w:rsidTr="00146E86">
        <w:trPr>
          <w:divId w:val="740492590"/>
          <w:trHeight w:val="50"/>
        </w:trPr>
        <w:tc>
          <w:tcPr>
            <w:tcW w:w="3065" w:type="dxa"/>
            <w:shd w:val="clear" w:color="auto" w:fill="auto"/>
            <w:vAlign w:val="center"/>
            <w:hideMark/>
          </w:tcPr>
          <w:p w14:paraId="689291E7" w14:textId="77777777" w:rsidR="00146E86" w:rsidRPr="00005453" w:rsidRDefault="00146E86" w:rsidP="00146E86">
            <w:pPr>
              <w:rPr>
                <w:color w:val="000000"/>
                <w:sz w:val="18"/>
                <w:szCs w:val="18"/>
                <w:lang w:eastAsia="tr-TR"/>
              </w:rPr>
            </w:pPr>
            <w:r w:rsidRPr="00005453">
              <w:rPr>
                <w:bCs/>
                <w:color w:val="000000"/>
                <w:sz w:val="18"/>
                <w:szCs w:val="18"/>
                <w:lang w:eastAsia="tr-TR"/>
              </w:rPr>
              <w:t>YP</w:t>
            </w:r>
          </w:p>
        </w:tc>
        <w:tc>
          <w:tcPr>
            <w:tcW w:w="1235" w:type="dxa"/>
            <w:shd w:val="clear" w:color="auto" w:fill="auto"/>
            <w:vAlign w:val="center"/>
            <w:hideMark/>
          </w:tcPr>
          <w:p w14:paraId="59F43610" w14:textId="504BC7CA" w:rsidR="00146E86" w:rsidRPr="00005453" w:rsidRDefault="00146E86" w:rsidP="00146E86">
            <w:pPr>
              <w:jc w:val="right"/>
              <w:rPr>
                <w:color w:val="000000"/>
                <w:sz w:val="18"/>
                <w:szCs w:val="22"/>
              </w:rPr>
            </w:pPr>
            <w:r w:rsidRPr="00005453">
              <w:rPr>
                <w:color w:val="000000"/>
                <w:sz w:val="18"/>
                <w:szCs w:val="22"/>
              </w:rPr>
              <w:t>223.68</w:t>
            </w:r>
          </w:p>
        </w:tc>
        <w:tc>
          <w:tcPr>
            <w:tcW w:w="1275" w:type="dxa"/>
            <w:shd w:val="clear" w:color="auto" w:fill="auto"/>
            <w:vAlign w:val="center"/>
            <w:hideMark/>
          </w:tcPr>
          <w:p w14:paraId="08CAFA47" w14:textId="566DA242" w:rsidR="00146E86" w:rsidRPr="00005453" w:rsidRDefault="00146E86" w:rsidP="00146E86">
            <w:pPr>
              <w:jc w:val="right"/>
              <w:rPr>
                <w:color w:val="000000"/>
                <w:sz w:val="18"/>
                <w:szCs w:val="22"/>
              </w:rPr>
            </w:pPr>
            <w:r w:rsidRPr="00005453">
              <w:rPr>
                <w:color w:val="000000"/>
                <w:sz w:val="18"/>
                <w:szCs w:val="22"/>
              </w:rPr>
              <w:t>04/10/2024</w:t>
            </w:r>
          </w:p>
        </w:tc>
        <w:tc>
          <w:tcPr>
            <w:tcW w:w="1046" w:type="dxa"/>
            <w:shd w:val="clear" w:color="auto" w:fill="auto"/>
            <w:vAlign w:val="center"/>
            <w:hideMark/>
          </w:tcPr>
          <w:p w14:paraId="6DF02FEF" w14:textId="7E6170A0" w:rsidR="00146E86" w:rsidRPr="00005453" w:rsidRDefault="00146E86" w:rsidP="00146E86">
            <w:pPr>
              <w:jc w:val="right"/>
              <w:rPr>
                <w:color w:val="000000"/>
                <w:sz w:val="18"/>
                <w:szCs w:val="22"/>
              </w:rPr>
            </w:pPr>
            <w:r w:rsidRPr="00005453">
              <w:rPr>
                <w:color w:val="000000"/>
                <w:sz w:val="18"/>
                <w:szCs w:val="22"/>
              </w:rPr>
              <w:t>128.06</w:t>
            </w:r>
          </w:p>
        </w:tc>
        <w:tc>
          <w:tcPr>
            <w:tcW w:w="1118" w:type="dxa"/>
            <w:shd w:val="clear" w:color="auto" w:fill="auto"/>
            <w:vAlign w:val="center"/>
            <w:hideMark/>
          </w:tcPr>
          <w:p w14:paraId="326BE23B" w14:textId="310E50A8" w:rsidR="00146E86" w:rsidRPr="00005453" w:rsidRDefault="00146E86" w:rsidP="00146E86">
            <w:pPr>
              <w:jc w:val="right"/>
              <w:rPr>
                <w:color w:val="000000"/>
                <w:sz w:val="18"/>
                <w:szCs w:val="22"/>
              </w:rPr>
            </w:pPr>
            <w:r w:rsidRPr="00005453">
              <w:rPr>
                <w:color w:val="000000"/>
                <w:sz w:val="18"/>
                <w:szCs w:val="22"/>
              </w:rPr>
              <w:t>20/12/2024</w:t>
            </w:r>
          </w:p>
        </w:tc>
        <w:tc>
          <w:tcPr>
            <w:tcW w:w="1761" w:type="dxa"/>
            <w:shd w:val="clear" w:color="auto" w:fill="auto"/>
            <w:vAlign w:val="center"/>
            <w:hideMark/>
          </w:tcPr>
          <w:p w14:paraId="6FD2B564" w14:textId="619F8126" w:rsidR="00146E86" w:rsidRPr="00005453" w:rsidRDefault="00146E86" w:rsidP="00146E86">
            <w:pPr>
              <w:jc w:val="right"/>
              <w:rPr>
                <w:color w:val="000000"/>
                <w:sz w:val="18"/>
                <w:szCs w:val="22"/>
              </w:rPr>
            </w:pPr>
            <w:r w:rsidRPr="00005453">
              <w:rPr>
                <w:color w:val="000000"/>
                <w:sz w:val="18"/>
                <w:szCs w:val="22"/>
              </w:rPr>
              <w:t>175.87</w:t>
            </w:r>
          </w:p>
        </w:tc>
      </w:tr>
    </w:tbl>
    <w:p w14:paraId="33F02D21" w14:textId="0A08F639" w:rsidR="0067330F" w:rsidRPr="00005453" w:rsidRDefault="0067330F" w:rsidP="0067330F">
      <w:pPr>
        <w:rPr>
          <w:b/>
        </w:rPr>
      </w:pPr>
    </w:p>
    <w:p w14:paraId="64CD6A9D" w14:textId="5D062816" w:rsidR="00D40BCC" w:rsidRPr="00005453" w:rsidRDefault="00741C7D" w:rsidP="00D40BCC">
      <w:pPr>
        <w:jc w:val="both"/>
        <w:rPr>
          <w:bCs/>
          <w:snapToGrid w:val="0"/>
        </w:rPr>
      </w:pPr>
      <w:r w:rsidRPr="00005453">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w:t>
      </w:r>
      <w:r w:rsidR="00455FD1" w:rsidRPr="00005453">
        <w:rPr>
          <w:bCs/>
          <w:snapToGrid w:val="0"/>
        </w:rPr>
        <w:t xml:space="preserve"> </w:t>
      </w:r>
      <w:r w:rsidRPr="00005453">
        <w:rPr>
          <w:bCs/>
          <w:snapToGrid w:val="0"/>
        </w:rPr>
        <w: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77B9CD7" w14:textId="3C3CBE18" w:rsidR="00455FD1" w:rsidRPr="00005453" w:rsidRDefault="00455FD1" w:rsidP="00D40BCC">
      <w:pPr>
        <w:jc w:val="both"/>
        <w:rPr>
          <w:bCs/>
          <w:snapToGrid w:val="0"/>
        </w:rPr>
      </w:pPr>
    </w:p>
    <w:p w14:paraId="01557E55" w14:textId="77777777" w:rsidR="00455FD1" w:rsidRPr="00005453" w:rsidRDefault="00455FD1" w:rsidP="00D40BCC">
      <w:pPr>
        <w:jc w:val="both"/>
        <w:rPr>
          <w:bCs/>
          <w:snapToGrid w:val="0"/>
        </w:rPr>
      </w:pPr>
    </w:p>
    <w:p w14:paraId="51AF6CA3" w14:textId="77777777" w:rsidR="00F20AF5" w:rsidRPr="00005453" w:rsidRDefault="00F20AF5" w:rsidP="00D40BCC">
      <w:pPr>
        <w:jc w:val="both"/>
        <w:rPr>
          <w:lang w:eastAsia="en-GB"/>
        </w:rPr>
      </w:pPr>
    </w:p>
    <w:p w14:paraId="7F605707" w14:textId="06D2CF39" w:rsidR="00712DD0" w:rsidRPr="00005453" w:rsidRDefault="00712DD0" w:rsidP="00C32C75">
      <w:pPr>
        <w:rPr>
          <w:b/>
          <w:u w:val="single"/>
        </w:rPr>
      </w:pPr>
    </w:p>
    <w:tbl>
      <w:tblPr>
        <w:tblW w:w="9641" w:type="dxa"/>
        <w:tblCellMar>
          <w:left w:w="70" w:type="dxa"/>
          <w:right w:w="70" w:type="dxa"/>
        </w:tblCellMar>
        <w:tblLook w:val="04A0" w:firstRow="1" w:lastRow="0" w:firstColumn="1" w:lastColumn="0" w:noHBand="0" w:noVBand="1"/>
      </w:tblPr>
      <w:tblGrid>
        <w:gridCol w:w="360"/>
        <w:gridCol w:w="4025"/>
        <w:gridCol w:w="1096"/>
        <w:gridCol w:w="1040"/>
        <w:gridCol w:w="1040"/>
        <w:gridCol w:w="1040"/>
        <w:gridCol w:w="1040"/>
      </w:tblGrid>
      <w:tr w:rsidR="00F52DF0" w:rsidRPr="00005453" w14:paraId="47FF1129" w14:textId="77777777" w:rsidTr="007854AB">
        <w:trPr>
          <w:trHeight w:val="253"/>
        </w:trPr>
        <w:tc>
          <w:tcPr>
            <w:tcW w:w="548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C34F9" w14:textId="5311C599" w:rsidR="00F52DF0" w:rsidRPr="00005453" w:rsidRDefault="00F52DF0" w:rsidP="00F52DF0">
            <w:pPr>
              <w:jc w:val="center"/>
              <w:rPr>
                <w:b/>
                <w:bCs/>
                <w:color w:val="000000"/>
                <w:sz w:val="18"/>
                <w:szCs w:val="18"/>
                <w:lang w:eastAsia="tr-TR"/>
              </w:rPr>
            </w:pPr>
            <w:r w:rsidRPr="00005453">
              <w:rPr>
                <w:b/>
                <w:bCs/>
                <w:color w:val="000000"/>
                <w:sz w:val="18"/>
                <w:szCs w:val="18"/>
                <w:lang w:eastAsia="tr-TR"/>
              </w:rPr>
              <w:lastRenderedPageBreak/>
              <w:t>Önceki Dönem</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B58F951"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 xml:space="preserve">Dikkate Alınma Oranı Uygulanmamış Toplam </w:t>
            </w:r>
            <w:proofErr w:type="gramStart"/>
            <w:r w:rsidRPr="00005453">
              <w:rPr>
                <w:b/>
                <w:bCs/>
                <w:color w:val="000000"/>
                <w:sz w:val="18"/>
                <w:szCs w:val="18"/>
                <w:lang w:eastAsia="tr-TR"/>
              </w:rPr>
              <w:t>Değer(</w:t>
            </w:r>
            <w:proofErr w:type="gramEnd"/>
            <w:r w:rsidRPr="00005453">
              <w:rPr>
                <w:b/>
                <w:bCs/>
                <w:color w:val="000000"/>
                <w:sz w:val="18"/>
                <w:szCs w:val="18"/>
                <w:lang w:eastAsia="tr-TR"/>
              </w:rPr>
              <w:t>*)</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F616F7E"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 xml:space="preserve">Dikkate Alınma Oranı Uygulanmış Toplam </w:t>
            </w:r>
            <w:proofErr w:type="gramStart"/>
            <w:r w:rsidRPr="00005453">
              <w:rPr>
                <w:b/>
                <w:bCs/>
                <w:color w:val="000000"/>
                <w:sz w:val="18"/>
                <w:szCs w:val="18"/>
                <w:lang w:eastAsia="tr-TR"/>
              </w:rPr>
              <w:t>Değer(</w:t>
            </w:r>
            <w:proofErr w:type="gramEnd"/>
            <w:r w:rsidRPr="00005453">
              <w:rPr>
                <w:b/>
                <w:bCs/>
                <w:color w:val="000000"/>
                <w:sz w:val="18"/>
                <w:szCs w:val="18"/>
                <w:lang w:eastAsia="tr-TR"/>
              </w:rPr>
              <w:t>*)</w:t>
            </w:r>
          </w:p>
        </w:tc>
      </w:tr>
      <w:tr w:rsidR="00F52DF0" w:rsidRPr="00005453" w14:paraId="41ED026B" w14:textId="77777777" w:rsidTr="007854AB">
        <w:trPr>
          <w:trHeight w:val="253"/>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1F422A50" w14:textId="77777777" w:rsidR="00F52DF0" w:rsidRPr="00005453" w:rsidRDefault="00F52DF0" w:rsidP="00F52DF0">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485DFF6D" w14:textId="77777777" w:rsidR="00F52DF0" w:rsidRPr="00005453" w:rsidRDefault="00F52DF0" w:rsidP="00F52DF0">
            <w:pPr>
              <w:rPr>
                <w:b/>
                <w:b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591CD38F" w14:textId="77777777" w:rsidR="00F52DF0" w:rsidRPr="00005453" w:rsidRDefault="00F52DF0" w:rsidP="00F52DF0">
            <w:pPr>
              <w:rPr>
                <w:b/>
                <w:bCs/>
                <w:color w:val="000000"/>
                <w:sz w:val="18"/>
                <w:szCs w:val="18"/>
                <w:lang w:eastAsia="tr-TR"/>
              </w:rPr>
            </w:pPr>
          </w:p>
        </w:tc>
      </w:tr>
      <w:tr w:rsidR="00F52DF0" w:rsidRPr="00005453" w14:paraId="3DB2F270" w14:textId="77777777" w:rsidTr="007854AB">
        <w:trPr>
          <w:trHeight w:val="253"/>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3C82AB2C" w14:textId="77777777" w:rsidR="00F52DF0" w:rsidRPr="00005453" w:rsidRDefault="00F52DF0" w:rsidP="00F52DF0">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7BED8AD3" w14:textId="77777777" w:rsidR="00F52DF0" w:rsidRPr="00005453" w:rsidRDefault="00F52DF0" w:rsidP="00F52DF0">
            <w:pPr>
              <w:rPr>
                <w:b/>
                <w:b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62F3CAAB" w14:textId="77777777" w:rsidR="00F52DF0" w:rsidRPr="00005453" w:rsidRDefault="00F52DF0" w:rsidP="00F52DF0">
            <w:pPr>
              <w:rPr>
                <w:b/>
                <w:bCs/>
                <w:color w:val="000000"/>
                <w:sz w:val="18"/>
                <w:szCs w:val="18"/>
                <w:lang w:eastAsia="tr-TR"/>
              </w:rPr>
            </w:pPr>
          </w:p>
        </w:tc>
      </w:tr>
      <w:tr w:rsidR="00F52DF0" w:rsidRPr="00005453" w14:paraId="1024717B" w14:textId="77777777" w:rsidTr="007854AB">
        <w:trPr>
          <w:trHeight w:val="241"/>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150B973F" w14:textId="77777777" w:rsidR="00F52DF0" w:rsidRPr="00005453" w:rsidRDefault="00F52DF0" w:rsidP="00F52DF0">
            <w:pPr>
              <w:rPr>
                <w:b/>
                <w:bCs/>
                <w:i/>
                <w:i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5F638"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3B43B"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63F3C"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4A7C2"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YP</w:t>
            </w:r>
          </w:p>
        </w:tc>
      </w:tr>
      <w:tr w:rsidR="00F52DF0" w:rsidRPr="00005453" w14:paraId="0A82C817" w14:textId="77777777" w:rsidTr="007854AB">
        <w:trPr>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61223168" w14:textId="77777777" w:rsidR="00F52DF0" w:rsidRPr="00005453" w:rsidRDefault="00F52DF0" w:rsidP="00F52DF0">
            <w:pPr>
              <w:rPr>
                <w:b/>
                <w:bCs/>
                <w:color w:val="000000"/>
                <w:sz w:val="18"/>
                <w:szCs w:val="18"/>
                <w:lang w:eastAsia="tr-TR"/>
              </w:rPr>
            </w:pPr>
            <w:r w:rsidRPr="00005453">
              <w:rPr>
                <w:b/>
                <w:bCs/>
                <w:color w:val="000000"/>
                <w:sz w:val="18"/>
                <w:szCs w:val="18"/>
                <w:lang w:eastAsia="tr-TR"/>
              </w:rPr>
              <w:t>YÜKSEK KALİTELİ LİKİT VARLIKLAR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77CE45AF" w14:textId="77777777" w:rsidR="00F52DF0" w:rsidRPr="00005453" w:rsidRDefault="00F52DF0" w:rsidP="00F52DF0">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F5441C9"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6C9590"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B26B1C"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5C3FB0C"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r>
      <w:tr w:rsidR="007854AB" w:rsidRPr="00005453" w14:paraId="126FCAE2"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2CDD5" w14:textId="77777777" w:rsidR="007854AB" w:rsidRPr="00005453" w:rsidRDefault="007854AB" w:rsidP="007854AB">
            <w:pPr>
              <w:jc w:val="right"/>
              <w:rPr>
                <w:color w:val="000000"/>
                <w:sz w:val="18"/>
                <w:szCs w:val="18"/>
                <w:lang w:eastAsia="tr-TR"/>
              </w:rPr>
            </w:pPr>
            <w:r w:rsidRPr="00005453">
              <w:rPr>
                <w:color w:val="000000"/>
                <w:sz w:val="18"/>
                <w:szCs w:val="18"/>
                <w:lang w:eastAsia="tr-TR"/>
              </w:rPr>
              <w:t>1</w:t>
            </w:r>
          </w:p>
        </w:tc>
        <w:tc>
          <w:tcPr>
            <w:tcW w:w="4025" w:type="dxa"/>
            <w:tcBorders>
              <w:top w:val="single" w:sz="4" w:space="0" w:color="auto"/>
              <w:left w:val="single" w:sz="4" w:space="0" w:color="auto"/>
              <w:bottom w:val="single" w:sz="4" w:space="0" w:color="auto"/>
            </w:tcBorders>
            <w:shd w:val="clear" w:color="auto" w:fill="auto"/>
            <w:noWrap/>
            <w:vAlign w:val="bottom"/>
            <w:hideMark/>
          </w:tcPr>
          <w:p w14:paraId="5BDF360D" w14:textId="77777777" w:rsidR="007854AB" w:rsidRPr="00005453" w:rsidRDefault="007854AB" w:rsidP="007854AB">
            <w:pPr>
              <w:rPr>
                <w:color w:val="000000"/>
                <w:sz w:val="18"/>
                <w:szCs w:val="18"/>
                <w:lang w:eastAsia="tr-TR"/>
              </w:rPr>
            </w:pPr>
            <w:r w:rsidRPr="00005453">
              <w:rPr>
                <w:color w:val="000000"/>
                <w:sz w:val="18"/>
                <w:szCs w:val="18"/>
                <w:lang w:eastAsia="tr-TR"/>
              </w:rPr>
              <w:t>Yüksek kaliteli likit varlıklar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1D296A1D" w14:textId="77777777" w:rsidR="007854AB" w:rsidRPr="00005453" w:rsidRDefault="007854AB" w:rsidP="007854AB">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8A8C2" w14:textId="2AD601E0" w:rsidR="007854AB" w:rsidRPr="00005453" w:rsidRDefault="007854AB" w:rsidP="007854AB">
            <w:pPr>
              <w:jc w:val="right"/>
              <w:rPr>
                <w:color w:val="000000"/>
                <w:sz w:val="18"/>
                <w:szCs w:val="18"/>
                <w:lang w:eastAsia="tr-TR"/>
              </w:rPr>
            </w:pPr>
            <w:r w:rsidRPr="00005453">
              <w:rPr>
                <w:color w:val="000000"/>
                <w:sz w:val="18"/>
                <w:szCs w:val="18"/>
                <w:lang w:eastAsia="tr-TR"/>
              </w:rPr>
              <w:t>149,692,759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F0C99" w14:textId="3E753934" w:rsidR="007854AB" w:rsidRPr="00005453" w:rsidRDefault="007854AB" w:rsidP="007854AB">
            <w:pPr>
              <w:jc w:val="right"/>
              <w:rPr>
                <w:color w:val="000000"/>
                <w:sz w:val="18"/>
                <w:szCs w:val="18"/>
                <w:lang w:eastAsia="tr-TR"/>
              </w:rPr>
            </w:pPr>
            <w:r w:rsidRPr="00005453">
              <w:rPr>
                <w:color w:val="000000"/>
                <w:sz w:val="18"/>
                <w:szCs w:val="18"/>
                <w:lang w:eastAsia="tr-TR"/>
              </w:rPr>
              <w:t>106,115,730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2EF32" w14:textId="1FBD19FC" w:rsidR="007854AB" w:rsidRPr="00005453" w:rsidRDefault="007854AB" w:rsidP="007854AB">
            <w:pPr>
              <w:jc w:val="right"/>
              <w:rPr>
                <w:color w:val="000000"/>
                <w:sz w:val="18"/>
                <w:szCs w:val="18"/>
                <w:lang w:eastAsia="tr-TR"/>
              </w:rPr>
            </w:pPr>
            <w:r w:rsidRPr="00005453">
              <w:rPr>
                <w:color w:val="000000"/>
                <w:sz w:val="18"/>
                <w:szCs w:val="18"/>
                <w:lang w:eastAsia="tr-TR"/>
              </w:rPr>
              <w:t>148,013,228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F320D" w14:textId="2AF73174" w:rsidR="007854AB" w:rsidRPr="00005453" w:rsidRDefault="007854AB" w:rsidP="007854AB">
            <w:pPr>
              <w:jc w:val="right"/>
              <w:rPr>
                <w:color w:val="000000"/>
                <w:sz w:val="18"/>
                <w:szCs w:val="18"/>
                <w:lang w:eastAsia="tr-TR"/>
              </w:rPr>
            </w:pPr>
            <w:r w:rsidRPr="00005453">
              <w:rPr>
                <w:color w:val="000000"/>
                <w:sz w:val="18"/>
                <w:szCs w:val="18"/>
                <w:lang w:eastAsia="tr-TR"/>
              </w:rPr>
              <w:t>104,436,199</w:t>
            </w:r>
          </w:p>
        </w:tc>
      </w:tr>
      <w:tr w:rsidR="00F52DF0" w:rsidRPr="00005453" w14:paraId="51830933" w14:textId="77777777" w:rsidTr="007854AB">
        <w:trPr>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65C6EF61" w14:textId="77777777" w:rsidR="00F52DF0" w:rsidRPr="00005453" w:rsidRDefault="00F52DF0" w:rsidP="00F52DF0">
            <w:pPr>
              <w:rPr>
                <w:b/>
                <w:bCs/>
                <w:color w:val="000000"/>
                <w:sz w:val="18"/>
                <w:szCs w:val="18"/>
                <w:lang w:eastAsia="tr-TR"/>
              </w:rPr>
            </w:pPr>
            <w:r w:rsidRPr="00005453">
              <w:rPr>
                <w:b/>
                <w:bCs/>
                <w:color w:val="000000"/>
                <w:sz w:val="18"/>
                <w:szCs w:val="18"/>
                <w:lang w:eastAsia="tr-TR"/>
              </w:rPr>
              <w:t>NAKİT ÇIKIŞLARI</w:t>
            </w:r>
          </w:p>
        </w:tc>
        <w:tc>
          <w:tcPr>
            <w:tcW w:w="1096" w:type="dxa"/>
            <w:tcBorders>
              <w:right w:val="single" w:sz="4" w:space="0" w:color="auto"/>
            </w:tcBorders>
            <w:shd w:val="clear" w:color="auto" w:fill="auto"/>
            <w:noWrap/>
            <w:vAlign w:val="bottom"/>
            <w:hideMark/>
          </w:tcPr>
          <w:p w14:paraId="1BDA4DAF" w14:textId="77777777" w:rsidR="00F52DF0" w:rsidRPr="00005453" w:rsidRDefault="00F52DF0" w:rsidP="00F52DF0">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E2E634"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61223"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1299DC"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DA58242"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r>
      <w:tr w:rsidR="007854AB" w:rsidRPr="00005453" w14:paraId="5A3DC711"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4C0AC" w14:textId="77777777" w:rsidR="007854AB" w:rsidRPr="00005453" w:rsidRDefault="007854AB" w:rsidP="007854AB">
            <w:pPr>
              <w:jc w:val="right"/>
              <w:rPr>
                <w:color w:val="000000"/>
                <w:sz w:val="18"/>
                <w:szCs w:val="18"/>
                <w:lang w:eastAsia="tr-TR"/>
              </w:rPr>
            </w:pPr>
            <w:r w:rsidRPr="00005453">
              <w:rPr>
                <w:color w:val="000000"/>
                <w:sz w:val="18"/>
                <w:szCs w:val="18"/>
                <w:lang w:eastAsia="tr-TR"/>
              </w:rPr>
              <w:t>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604379" w14:textId="77777777" w:rsidR="007854AB" w:rsidRPr="00005453" w:rsidRDefault="007854AB" w:rsidP="007854AB">
            <w:pPr>
              <w:rPr>
                <w:color w:val="000000"/>
                <w:sz w:val="18"/>
                <w:szCs w:val="18"/>
                <w:lang w:eastAsia="tr-TR"/>
              </w:rPr>
            </w:pPr>
            <w:r w:rsidRPr="00005453">
              <w:rPr>
                <w:color w:val="000000"/>
                <w:sz w:val="18"/>
                <w:szCs w:val="18"/>
                <w:lang w:eastAsia="tr-TR"/>
              </w:rPr>
              <w:t>Gerçek kişi mevduat ve perakende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9739E" w14:textId="193596EA" w:rsidR="007854AB" w:rsidRPr="00005453" w:rsidRDefault="007854AB" w:rsidP="007854AB">
            <w:pPr>
              <w:jc w:val="right"/>
              <w:rPr>
                <w:color w:val="000000"/>
                <w:sz w:val="18"/>
                <w:szCs w:val="18"/>
                <w:lang w:eastAsia="tr-TR"/>
              </w:rPr>
            </w:pPr>
            <w:r w:rsidRPr="00005453">
              <w:rPr>
                <w:color w:val="000000"/>
                <w:sz w:val="18"/>
                <w:szCs w:val="18"/>
                <w:lang w:eastAsia="tr-TR"/>
              </w:rPr>
              <w:t>139,366,606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53536" w14:textId="5939CB82" w:rsidR="007854AB" w:rsidRPr="00005453" w:rsidRDefault="007854AB" w:rsidP="007854AB">
            <w:pPr>
              <w:jc w:val="right"/>
              <w:rPr>
                <w:color w:val="000000"/>
                <w:sz w:val="18"/>
                <w:szCs w:val="18"/>
                <w:lang w:eastAsia="tr-TR"/>
              </w:rPr>
            </w:pPr>
            <w:r w:rsidRPr="00005453">
              <w:rPr>
                <w:color w:val="000000"/>
                <w:sz w:val="18"/>
                <w:szCs w:val="18"/>
                <w:lang w:eastAsia="tr-TR"/>
              </w:rPr>
              <w:t>21,003,274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73707" w14:textId="72CDC946" w:rsidR="007854AB" w:rsidRPr="00005453" w:rsidRDefault="007854AB" w:rsidP="007854AB">
            <w:pPr>
              <w:jc w:val="right"/>
              <w:rPr>
                <w:color w:val="000000"/>
                <w:sz w:val="18"/>
                <w:szCs w:val="18"/>
                <w:lang w:eastAsia="tr-TR"/>
              </w:rPr>
            </w:pPr>
            <w:r w:rsidRPr="00005453">
              <w:rPr>
                <w:color w:val="000000"/>
                <w:sz w:val="18"/>
                <w:szCs w:val="18"/>
                <w:lang w:eastAsia="tr-TR"/>
              </w:rPr>
              <w:t>12,192,644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6DC4A" w14:textId="74C66E88" w:rsidR="007854AB" w:rsidRPr="00005453" w:rsidRDefault="007854AB" w:rsidP="007854AB">
            <w:pPr>
              <w:jc w:val="right"/>
              <w:rPr>
                <w:color w:val="000000"/>
                <w:sz w:val="18"/>
                <w:szCs w:val="18"/>
                <w:lang w:eastAsia="tr-TR"/>
              </w:rPr>
            </w:pPr>
            <w:r w:rsidRPr="00005453">
              <w:rPr>
                <w:color w:val="000000"/>
                <w:sz w:val="18"/>
                <w:szCs w:val="18"/>
                <w:lang w:eastAsia="tr-TR"/>
              </w:rPr>
              <w:t>2,100,327</w:t>
            </w:r>
          </w:p>
        </w:tc>
      </w:tr>
      <w:tr w:rsidR="007854AB" w:rsidRPr="00005453" w14:paraId="18EE344F"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ABC42" w14:textId="77777777" w:rsidR="007854AB" w:rsidRPr="00005453" w:rsidRDefault="007854AB" w:rsidP="007854AB">
            <w:pPr>
              <w:jc w:val="right"/>
              <w:rPr>
                <w:color w:val="000000"/>
                <w:sz w:val="18"/>
                <w:szCs w:val="18"/>
                <w:lang w:eastAsia="tr-TR"/>
              </w:rPr>
            </w:pPr>
            <w:r w:rsidRPr="00005453">
              <w:rPr>
                <w:color w:val="000000"/>
                <w:sz w:val="18"/>
                <w:szCs w:val="18"/>
                <w:lang w:eastAsia="tr-TR"/>
              </w:rPr>
              <w:t>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E4E4BA"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7889D" w14:textId="28121702" w:rsidR="007854AB" w:rsidRPr="00005453" w:rsidRDefault="007854AB" w:rsidP="007854AB">
            <w:pPr>
              <w:jc w:val="right"/>
              <w:rPr>
                <w:color w:val="000000"/>
                <w:sz w:val="18"/>
                <w:szCs w:val="18"/>
                <w:lang w:eastAsia="tr-TR"/>
              </w:rPr>
            </w:pPr>
            <w:r w:rsidRPr="00005453">
              <w:rPr>
                <w:color w:val="000000"/>
                <w:sz w:val="18"/>
                <w:szCs w:val="18"/>
                <w:lang w:eastAsia="tr-TR"/>
              </w:rPr>
              <w:t>34,880,322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0CF19" w14:textId="5BCAF436"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5A051" w14:textId="020EBA67" w:rsidR="007854AB" w:rsidRPr="00005453" w:rsidRDefault="007854AB" w:rsidP="007854AB">
            <w:pPr>
              <w:jc w:val="right"/>
              <w:rPr>
                <w:color w:val="000000"/>
                <w:sz w:val="18"/>
                <w:szCs w:val="18"/>
                <w:lang w:eastAsia="tr-TR"/>
              </w:rPr>
            </w:pPr>
            <w:r w:rsidRPr="00005453">
              <w:rPr>
                <w:color w:val="000000"/>
                <w:sz w:val="18"/>
                <w:szCs w:val="18"/>
                <w:lang w:eastAsia="tr-TR"/>
              </w:rPr>
              <w:t>1,744,016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3F9AC" w14:textId="664F701A" w:rsidR="007854AB" w:rsidRPr="00005453" w:rsidRDefault="007854AB" w:rsidP="007854AB">
            <w:pPr>
              <w:jc w:val="right"/>
              <w:rPr>
                <w:color w:val="000000"/>
                <w:sz w:val="18"/>
                <w:szCs w:val="18"/>
                <w:lang w:eastAsia="tr-TR"/>
              </w:rPr>
            </w:pPr>
            <w:r w:rsidRPr="00005453">
              <w:rPr>
                <w:color w:val="000000"/>
                <w:sz w:val="18"/>
                <w:szCs w:val="18"/>
                <w:lang w:eastAsia="tr-TR"/>
              </w:rPr>
              <w:t>-</w:t>
            </w:r>
          </w:p>
        </w:tc>
      </w:tr>
      <w:tr w:rsidR="007854AB" w:rsidRPr="00005453" w14:paraId="0DE8BA00"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97D64" w14:textId="77777777" w:rsidR="007854AB" w:rsidRPr="00005453" w:rsidRDefault="007854AB" w:rsidP="007854AB">
            <w:pPr>
              <w:jc w:val="right"/>
              <w:rPr>
                <w:color w:val="000000"/>
                <w:sz w:val="18"/>
                <w:szCs w:val="18"/>
                <w:lang w:eastAsia="tr-TR"/>
              </w:rPr>
            </w:pPr>
            <w:r w:rsidRPr="00005453">
              <w:rPr>
                <w:color w:val="000000"/>
                <w:sz w:val="18"/>
                <w:szCs w:val="18"/>
                <w:lang w:eastAsia="tr-TR"/>
              </w:rPr>
              <w:t>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2C0BC4"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Düşük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C3F03" w14:textId="7A80EC0B" w:rsidR="007854AB" w:rsidRPr="00005453" w:rsidRDefault="007854AB" w:rsidP="007854AB">
            <w:pPr>
              <w:jc w:val="right"/>
              <w:rPr>
                <w:color w:val="000000"/>
                <w:sz w:val="18"/>
                <w:szCs w:val="18"/>
                <w:lang w:eastAsia="tr-TR"/>
              </w:rPr>
            </w:pPr>
            <w:r w:rsidRPr="00005453">
              <w:rPr>
                <w:color w:val="000000"/>
                <w:sz w:val="18"/>
                <w:szCs w:val="18"/>
                <w:lang w:eastAsia="tr-TR"/>
              </w:rPr>
              <w:t>104,486,284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A23A4" w14:textId="0A4CD536" w:rsidR="007854AB" w:rsidRPr="00005453" w:rsidRDefault="007854AB" w:rsidP="007854AB">
            <w:pPr>
              <w:jc w:val="right"/>
              <w:rPr>
                <w:color w:val="000000"/>
                <w:sz w:val="18"/>
                <w:szCs w:val="18"/>
                <w:lang w:eastAsia="tr-TR"/>
              </w:rPr>
            </w:pPr>
            <w:r w:rsidRPr="00005453">
              <w:rPr>
                <w:color w:val="000000"/>
                <w:sz w:val="18"/>
                <w:szCs w:val="18"/>
                <w:lang w:eastAsia="tr-TR"/>
              </w:rPr>
              <w:t>21,003,274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62457" w14:textId="42238897" w:rsidR="007854AB" w:rsidRPr="00005453" w:rsidRDefault="007854AB" w:rsidP="007854AB">
            <w:pPr>
              <w:jc w:val="right"/>
              <w:rPr>
                <w:color w:val="000000"/>
                <w:sz w:val="18"/>
                <w:szCs w:val="18"/>
                <w:lang w:eastAsia="tr-TR"/>
              </w:rPr>
            </w:pPr>
            <w:r w:rsidRPr="00005453">
              <w:rPr>
                <w:color w:val="000000"/>
                <w:sz w:val="18"/>
                <w:szCs w:val="18"/>
                <w:lang w:eastAsia="tr-TR"/>
              </w:rPr>
              <w:t>10,448,628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D0EAC" w14:textId="5B63849F" w:rsidR="007854AB" w:rsidRPr="00005453" w:rsidRDefault="007854AB" w:rsidP="007854AB">
            <w:pPr>
              <w:jc w:val="right"/>
              <w:rPr>
                <w:color w:val="000000"/>
                <w:sz w:val="18"/>
                <w:szCs w:val="18"/>
                <w:lang w:eastAsia="tr-TR"/>
              </w:rPr>
            </w:pPr>
            <w:r w:rsidRPr="00005453">
              <w:rPr>
                <w:color w:val="000000"/>
                <w:sz w:val="18"/>
                <w:szCs w:val="18"/>
                <w:lang w:eastAsia="tr-TR"/>
              </w:rPr>
              <w:t>2,100,327</w:t>
            </w:r>
          </w:p>
        </w:tc>
      </w:tr>
      <w:tr w:rsidR="007854AB" w:rsidRPr="00005453" w14:paraId="20CAD899"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4397D" w14:textId="77777777" w:rsidR="007854AB" w:rsidRPr="00005453" w:rsidRDefault="007854AB" w:rsidP="007854AB">
            <w:pPr>
              <w:jc w:val="right"/>
              <w:rPr>
                <w:color w:val="000000"/>
                <w:sz w:val="18"/>
                <w:szCs w:val="18"/>
                <w:lang w:eastAsia="tr-TR"/>
              </w:rPr>
            </w:pPr>
            <w:r w:rsidRPr="00005453">
              <w:rPr>
                <w:color w:val="000000"/>
                <w:sz w:val="18"/>
                <w:szCs w:val="18"/>
                <w:lang w:eastAsia="tr-TR"/>
              </w:rPr>
              <w:t>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8E3FAF" w14:textId="77777777" w:rsidR="007854AB" w:rsidRPr="00005453" w:rsidRDefault="007854AB" w:rsidP="007854AB">
            <w:pPr>
              <w:rPr>
                <w:color w:val="000000"/>
                <w:sz w:val="18"/>
                <w:szCs w:val="18"/>
                <w:lang w:eastAsia="tr-TR"/>
              </w:rPr>
            </w:pPr>
            <w:r w:rsidRPr="00005453">
              <w:rPr>
                <w:color w:val="000000"/>
                <w:sz w:val="18"/>
                <w:szCs w:val="18"/>
                <w:lang w:eastAsia="tr-TR"/>
              </w:rPr>
              <w:t>Gerçek kişi mevduat ve perakende mevduat dışında kalan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DFD28" w14:textId="1FD7F5D1" w:rsidR="007854AB" w:rsidRPr="00005453" w:rsidRDefault="007854AB" w:rsidP="007854AB">
            <w:pPr>
              <w:jc w:val="right"/>
              <w:rPr>
                <w:color w:val="000000"/>
                <w:sz w:val="18"/>
                <w:szCs w:val="18"/>
                <w:lang w:eastAsia="tr-TR"/>
              </w:rPr>
            </w:pPr>
            <w:r w:rsidRPr="00005453">
              <w:rPr>
                <w:color w:val="000000"/>
                <w:sz w:val="18"/>
                <w:szCs w:val="18"/>
                <w:lang w:eastAsia="tr-TR"/>
              </w:rPr>
              <w:t>77,087,295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5C68B" w14:textId="4050B7AF" w:rsidR="007854AB" w:rsidRPr="00005453" w:rsidRDefault="007854AB" w:rsidP="007854AB">
            <w:pPr>
              <w:jc w:val="right"/>
              <w:rPr>
                <w:color w:val="000000"/>
                <w:sz w:val="18"/>
                <w:szCs w:val="18"/>
                <w:lang w:eastAsia="tr-TR"/>
              </w:rPr>
            </w:pPr>
            <w:r w:rsidRPr="00005453">
              <w:rPr>
                <w:color w:val="000000"/>
                <w:sz w:val="18"/>
                <w:szCs w:val="18"/>
                <w:lang w:eastAsia="tr-TR"/>
              </w:rPr>
              <w:t>39,204,140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E8242" w14:textId="61FD8850" w:rsidR="007854AB" w:rsidRPr="00005453" w:rsidRDefault="007854AB" w:rsidP="007854AB">
            <w:pPr>
              <w:jc w:val="right"/>
              <w:rPr>
                <w:color w:val="000000"/>
                <w:sz w:val="18"/>
                <w:szCs w:val="18"/>
                <w:lang w:eastAsia="tr-TR"/>
              </w:rPr>
            </w:pPr>
            <w:r w:rsidRPr="00005453">
              <w:rPr>
                <w:color w:val="000000"/>
                <w:sz w:val="18"/>
                <w:szCs w:val="18"/>
                <w:lang w:eastAsia="tr-TR"/>
              </w:rPr>
              <w:t>41,781,188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80DEC" w14:textId="388DB44C" w:rsidR="007854AB" w:rsidRPr="00005453" w:rsidRDefault="007854AB" w:rsidP="007854AB">
            <w:pPr>
              <w:jc w:val="right"/>
              <w:rPr>
                <w:color w:val="000000"/>
                <w:sz w:val="18"/>
                <w:szCs w:val="18"/>
                <w:lang w:eastAsia="tr-TR"/>
              </w:rPr>
            </w:pPr>
            <w:r w:rsidRPr="00005453">
              <w:rPr>
                <w:color w:val="000000"/>
                <w:sz w:val="18"/>
                <w:szCs w:val="18"/>
                <w:lang w:eastAsia="tr-TR"/>
              </w:rPr>
              <w:t>18,418,520</w:t>
            </w:r>
          </w:p>
        </w:tc>
      </w:tr>
      <w:tr w:rsidR="007854AB" w:rsidRPr="00005453" w14:paraId="2BBB1F13"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43276" w14:textId="77777777" w:rsidR="007854AB" w:rsidRPr="00005453" w:rsidRDefault="007854AB" w:rsidP="007854AB">
            <w:pPr>
              <w:jc w:val="right"/>
              <w:rPr>
                <w:color w:val="000000"/>
                <w:sz w:val="18"/>
                <w:szCs w:val="18"/>
                <w:lang w:eastAsia="tr-TR"/>
              </w:rPr>
            </w:pPr>
            <w:r w:rsidRPr="00005453">
              <w:rPr>
                <w:color w:val="000000"/>
                <w:sz w:val="18"/>
                <w:szCs w:val="18"/>
                <w:lang w:eastAsia="tr-TR"/>
              </w:rPr>
              <w:t>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09A47"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Operasyonel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B8597" w14:textId="5CA21023"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0A5A1" w14:textId="756F71EC"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EFF09" w14:textId="719A60A9"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AC52E" w14:textId="6EF69A43" w:rsidR="007854AB" w:rsidRPr="00005453" w:rsidRDefault="007854AB" w:rsidP="007854AB">
            <w:pPr>
              <w:jc w:val="right"/>
              <w:rPr>
                <w:color w:val="000000"/>
                <w:sz w:val="18"/>
                <w:szCs w:val="18"/>
                <w:lang w:eastAsia="tr-TR"/>
              </w:rPr>
            </w:pPr>
            <w:r w:rsidRPr="00005453">
              <w:rPr>
                <w:color w:val="000000"/>
                <w:sz w:val="18"/>
                <w:szCs w:val="18"/>
                <w:lang w:eastAsia="tr-TR"/>
              </w:rPr>
              <w:t>-</w:t>
            </w:r>
          </w:p>
        </w:tc>
      </w:tr>
      <w:tr w:rsidR="007854AB" w:rsidRPr="00005453" w14:paraId="64BC2DB9"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3D992" w14:textId="77777777" w:rsidR="007854AB" w:rsidRPr="00005453" w:rsidRDefault="007854AB" w:rsidP="007854AB">
            <w:pPr>
              <w:jc w:val="right"/>
              <w:rPr>
                <w:color w:val="000000"/>
                <w:sz w:val="18"/>
                <w:szCs w:val="18"/>
                <w:lang w:eastAsia="tr-TR"/>
              </w:rPr>
            </w:pPr>
            <w:r w:rsidRPr="00005453">
              <w:rPr>
                <w:color w:val="000000"/>
                <w:sz w:val="18"/>
                <w:szCs w:val="18"/>
                <w:lang w:eastAsia="tr-TR"/>
              </w:rPr>
              <w:t>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DE7C52"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Operasyonel olmayan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43E2A" w14:textId="7002F835" w:rsidR="007854AB" w:rsidRPr="00005453" w:rsidRDefault="007854AB" w:rsidP="007854AB">
            <w:pPr>
              <w:jc w:val="right"/>
              <w:rPr>
                <w:color w:val="000000"/>
                <w:sz w:val="18"/>
                <w:szCs w:val="18"/>
                <w:lang w:eastAsia="tr-TR"/>
              </w:rPr>
            </w:pPr>
            <w:r w:rsidRPr="00005453">
              <w:rPr>
                <w:color w:val="000000"/>
                <w:sz w:val="18"/>
                <w:szCs w:val="18"/>
                <w:lang w:eastAsia="tr-TR"/>
              </w:rPr>
              <w:t>64,891,160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1AC12" w14:textId="37ECCAD6" w:rsidR="007854AB" w:rsidRPr="00005453" w:rsidRDefault="007854AB" w:rsidP="007854AB">
            <w:pPr>
              <w:jc w:val="right"/>
              <w:rPr>
                <w:color w:val="000000"/>
                <w:sz w:val="18"/>
                <w:szCs w:val="18"/>
                <w:lang w:eastAsia="tr-TR"/>
              </w:rPr>
            </w:pPr>
            <w:r w:rsidRPr="00005453">
              <w:rPr>
                <w:color w:val="000000"/>
                <w:sz w:val="18"/>
                <w:szCs w:val="18"/>
                <w:lang w:eastAsia="tr-TR"/>
              </w:rPr>
              <w:t>36,809,211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30E12" w14:textId="14E1C4A0" w:rsidR="007854AB" w:rsidRPr="00005453" w:rsidRDefault="007854AB" w:rsidP="007854AB">
            <w:pPr>
              <w:jc w:val="right"/>
              <w:rPr>
                <w:color w:val="000000"/>
                <w:sz w:val="18"/>
                <w:szCs w:val="18"/>
                <w:lang w:eastAsia="tr-TR"/>
              </w:rPr>
            </w:pPr>
            <w:r w:rsidRPr="00005453">
              <w:rPr>
                <w:color w:val="000000"/>
                <w:sz w:val="18"/>
                <w:szCs w:val="18"/>
                <w:lang w:eastAsia="tr-TR"/>
              </w:rPr>
              <w:t>29,585,053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FB915" w14:textId="37160E63" w:rsidR="007854AB" w:rsidRPr="00005453" w:rsidRDefault="007854AB" w:rsidP="007854AB">
            <w:pPr>
              <w:jc w:val="right"/>
              <w:rPr>
                <w:color w:val="000000"/>
                <w:sz w:val="18"/>
                <w:szCs w:val="18"/>
                <w:lang w:eastAsia="tr-TR"/>
              </w:rPr>
            </w:pPr>
            <w:r w:rsidRPr="00005453">
              <w:rPr>
                <w:color w:val="000000"/>
                <w:sz w:val="18"/>
                <w:szCs w:val="18"/>
                <w:lang w:eastAsia="tr-TR"/>
              </w:rPr>
              <w:t>16,023,591</w:t>
            </w:r>
          </w:p>
        </w:tc>
      </w:tr>
      <w:tr w:rsidR="007854AB" w:rsidRPr="00005453" w14:paraId="420EB82C"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2FCE8" w14:textId="77777777" w:rsidR="007854AB" w:rsidRPr="00005453" w:rsidRDefault="007854AB" w:rsidP="007854AB">
            <w:pPr>
              <w:jc w:val="right"/>
              <w:rPr>
                <w:color w:val="000000"/>
                <w:sz w:val="18"/>
                <w:szCs w:val="18"/>
                <w:lang w:eastAsia="tr-TR"/>
              </w:rPr>
            </w:pPr>
            <w:r w:rsidRPr="00005453">
              <w:rPr>
                <w:color w:val="000000"/>
                <w:sz w:val="18"/>
                <w:szCs w:val="18"/>
                <w:lang w:eastAsia="tr-TR"/>
              </w:rPr>
              <w:t>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1D1CF0"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Diğer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BCFB3" w14:textId="097F7129" w:rsidR="007854AB" w:rsidRPr="00005453" w:rsidRDefault="007854AB" w:rsidP="007854AB">
            <w:pPr>
              <w:jc w:val="right"/>
              <w:rPr>
                <w:color w:val="000000"/>
                <w:sz w:val="18"/>
                <w:szCs w:val="18"/>
                <w:lang w:eastAsia="tr-TR"/>
              </w:rPr>
            </w:pPr>
            <w:r w:rsidRPr="00005453">
              <w:rPr>
                <w:color w:val="000000"/>
                <w:sz w:val="18"/>
                <w:szCs w:val="18"/>
                <w:lang w:eastAsia="tr-TR"/>
              </w:rPr>
              <w:t>12,196,135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BB575" w14:textId="176C2017" w:rsidR="007854AB" w:rsidRPr="00005453" w:rsidRDefault="007854AB" w:rsidP="007854AB">
            <w:pPr>
              <w:jc w:val="right"/>
              <w:rPr>
                <w:color w:val="000000"/>
                <w:sz w:val="18"/>
                <w:szCs w:val="18"/>
                <w:lang w:eastAsia="tr-TR"/>
              </w:rPr>
            </w:pPr>
            <w:r w:rsidRPr="00005453">
              <w:rPr>
                <w:color w:val="000000"/>
                <w:sz w:val="18"/>
                <w:szCs w:val="18"/>
                <w:lang w:eastAsia="tr-TR"/>
              </w:rPr>
              <w:t>2,394,929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D2286" w14:textId="71519CE7" w:rsidR="007854AB" w:rsidRPr="00005453" w:rsidRDefault="007854AB" w:rsidP="007854AB">
            <w:pPr>
              <w:jc w:val="right"/>
              <w:rPr>
                <w:color w:val="000000"/>
                <w:sz w:val="18"/>
                <w:szCs w:val="18"/>
                <w:lang w:eastAsia="tr-TR"/>
              </w:rPr>
            </w:pPr>
            <w:r w:rsidRPr="00005453">
              <w:rPr>
                <w:color w:val="000000"/>
                <w:sz w:val="18"/>
                <w:szCs w:val="18"/>
                <w:lang w:eastAsia="tr-TR"/>
              </w:rPr>
              <w:t>12,196,135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21A11" w14:textId="2B088DE3" w:rsidR="007854AB" w:rsidRPr="00005453" w:rsidRDefault="007854AB" w:rsidP="007854AB">
            <w:pPr>
              <w:jc w:val="right"/>
              <w:rPr>
                <w:color w:val="000000"/>
                <w:sz w:val="18"/>
                <w:szCs w:val="18"/>
                <w:lang w:eastAsia="tr-TR"/>
              </w:rPr>
            </w:pPr>
            <w:r w:rsidRPr="00005453">
              <w:rPr>
                <w:color w:val="000000"/>
                <w:sz w:val="18"/>
                <w:szCs w:val="18"/>
                <w:lang w:eastAsia="tr-TR"/>
              </w:rPr>
              <w:t>2,394,929</w:t>
            </w:r>
          </w:p>
        </w:tc>
      </w:tr>
      <w:tr w:rsidR="00F52DF0" w:rsidRPr="00005453" w14:paraId="3F57E132"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C3A17" w14:textId="77777777" w:rsidR="00F52DF0" w:rsidRPr="00005453" w:rsidRDefault="00F52DF0" w:rsidP="00EE27E6">
            <w:pPr>
              <w:jc w:val="right"/>
              <w:rPr>
                <w:color w:val="000000"/>
                <w:sz w:val="18"/>
                <w:szCs w:val="18"/>
                <w:lang w:eastAsia="tr-TR"/>
              </w:rPr>
            </w:pPr>
            <w:r w:rsidRPr="00005453">
              <w:rPr>
                <w:color w:val="000000"/>
                <w:sz w:val="18"/>
                <w:szCs w:val="18"/>
                <w:lang w:eastAsia="tr-TR"/>
              </w:rPr>
              <w:t>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0D507B" w14:textId="77777777" w:rsidR="00F52DF0" w:rsidRPr="00005453" w:rsidRDefault="00F52DF0" w:rsidP="00F52DF0">
            <w:pPr>
              <w:rPr>
                <w:color w:val="000000"/>
                <w:sz w:val="18"/>
                <w:szCs w:val="18"/>
                <w:lang w:eastAsia="tr-TR"/>
              </w:rPr>
            </w:pPr>
            <w:r w:rsidRPr="00005453">
              <w:rPr>
                <w:color w:val="000000"/>
                <w:sz w:val="18"/>
                <w:szCs w:val="18"/>
                <w:lang w:eastAsia="tr-TR"/>
              </w:rPr>
              <w:t>Teminatlı borçlar</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AD56D80"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8D6BA23"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FCDA0" w14:textId="77777777" w:rsidR="00F52DF0" w:rsidRPr="00005453" w:rsidRDefault="00F52DF0" w:rsidP="00F52DF0">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01EBC" w14:textId="77777777" w:rsidR="00F52DF0" w:rsidRPr="00005453" w:rsidRDefault="00F52DF0" w:rsidP="00F52DF0">
            <w:pPr>
              <w:jc w:val="right"/>
              <w:rPr>
                <w:color w:val="000000"/>
                <w:sz w:val="18"/>
                <w:szCs w:val="18"/>
                <w:lang w:eastAsia="tr-TR"/>
              </w:rPr>
            </w:pPr>
            <w:r w:rsidRPr="00005453">
              <w:rPr>
                <w:color w:val="000000"/>
                <w:sz w:val="18"/>
                <w:szCs w:val="18"/>
                <w:lang w:eastAsia="tr-TR"/>
              </w:rPr>
              <w:t>-</w:t>
            </w:r>
          </w:p>
        </w:tc>
      </w:tr>
      <w:tr w:rsidR="007854AB" w:rsidRPr="00005453" w14:paraId="122D5AEA"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71F45" w14:textId="77777777" w:rsidR="007854AB" w:rsidRPr="00005453" w:rsidRDefault="007854AB" w:rsidP="007854AB">
            <w:pPr>
              <w:jc w:val="right"/>
              <w:rPr>
                <w:color w:val="000000"/>
                <w:sz w:val="18"/>
                <w:szCs w:val="18"/>
                <w:lang w:eastAsia="tr-TR"/>
              </w:rPr>
            </w:pPr>
            <w:r w:rsidRPr="00005453">
              <w:rPr>
                <w:color w:val="000000"/>
                <w:sz w:val="18"/>
                <w:szCs w:val="18"/>
                <w:lang w:eastAsia="tr-TR"/>
              </w:rPr>
              <w:t>10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276751" w14:textId="77777777" w:rsidR="007854AB" w:rsidRPr="00005453" w:rsidRDefault="007854AB" w:rsidP="007854AB">
            <w:pPr>
              <w:rPr>
                <w:color w:val="000000"/>
                <w:sz w:val="18"/>
                <w:szCs w:val="18"/>
                <w:lang w:eastAsia="tr-TR"/>
              </w:rPr>
            </w:pPr>
            <w:r w:rsidRPr="00005453">
              <w:rPr>
                <w:color w:val="000000"/>
                <w:sz w:val="18"/>
                <w:szCs w:val="18"/>
                <w:lang w:eastAsia="tr-TR"/>
              </w:rPr>
              <w:t>Diğer nakit çıkışları</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372AF" w14:textId="2629644F" w:rsidR="007854AB" w:rsidRPr="00005453" w:rsidRDefault="007854AB" w:rsidP="007854AB">
            <w:pPr>
              <w:jc w:val="right"/>
              <w:rPr>
                <w:color w:val="000000"/>
                <w:sz w:val="18"/>
                <w:szCs w:val="18"/>
                <w:lang w:eastAsia="tr-TR"/>
              </w:rPr>
            </w:pPr>
            <w:r w:rsidRPr="00005453">
              <w:rPr>
                <w:color w:val="000000"/>
                <w:sz w:val="18"/>
                <w:szCs w:val="18"/>
                <w:lang w:eastAsia="tr-TR"/>
              </w:rPr>
              <w:t>102,296,809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3588C" w14:textId="3DBDFD1E" w:rsidR="007854AB" w:rsidRPr="00005453" w:rsidRDefault="007854AB" w:rsidP="007854AB">
            <w:pPr>
              <w:jc w:val="right"/>
              <w:rPr>
                <w:color w:val="000000"/>
                <w:sz w:val="18"/>
                <w:szCs w:val="18"/>
                <w:lang w:eastAsia="tr-TR"/>
              </w:rPr>
            </w:pPr>
            <w:r w:rsidRPr="00005453">
              <w:rPr>
                <w:color w:val="000000"/>
                <w:sz w:val="18"/>
                <w:szCs w:val="18"/>
                <w:lang w:eastAsia="tr-TR"/>
              </w:rPr>
              <w:t>92,683,353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8DCCF" w14:textId="02E293B3" w:rsidR="007854AB" w:rsidRPr="00005453" w:rsidRDefault="007854AB" w:rsidP="007854AB">
            <w:pPr>
              <w:jc w:val="right"/>
              <w:rPr>
                <w:color w:val="000000"/>
                <w:sz w:val="18"/>
                <w:szCs w:val="18"/>
                <w:lang w:eastAsia="tr-TR"/>
              </w:rPr>
            </w:pPr>
            <w:r w:rsidRPr="00005453">
              <w:rPr>
                <w:color w:val="000000"/>
                <w:sz w:val="18"/>
                <w:szCs w:val="18"/>
                <w:lang w:eastAsia="tr-TR"/>
              </w:rPr>
              <w:t>102,296,809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BC4E6" w14:textId="0F30AF81" w:rsidR="007854AB" w:rsidRPr="00005453" w:rsidRDefault="007854AB" w:rsidP="007854AB">
            <w:pPr>
              <w:jc w:val="right"/>
              <w:rPr>
                <w:color w:val="000000"/>
                <w:sz w:val="18"/>
                <w:szCs w:val="18"/>
                <w:lang w:eastAsia="tr-TR"/>
              </w:rPr>
            </w:pPr>
            <w:r w:rsidRPr="00005453">
              <w:rPr>
                <w:color w:val="000000"/>
                <w:sz w:val="18"/>
                <w:szCs w:val="18"/>
                <w:lang w:eastAsia="tr-TR"/>
              </w:rPr>
              <w:t>92,683,353</w:t>
            </w:r>
          </w:p>
        </w:tc>
      </w:tr>
      <w:tr w:rsidR="007854AB" w:rsidRPr="00005453" w14:paraId="1432090D"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56EB0" w14:textId="77777777" w:rsidR="007854AB" w:rsidRPr="00005453" w:rsidRDefault="007854AB" w:rsidP="007854AB">
            <w:pPr>
              <w:jc w:val="right"/>
              <w:rPr>
                <w:color w:val="000000"/>
                <w:sz w:val="18"/>
                <w:szCs w:val="18"/>
                <w:lang w:eastAsia="tr-TR"/>
              </w:rPr>
            </w:pPr>
            <w:r w:rsidRPr="00005453">
              <w:rPr>
                <w:color w:val="000000"/>
                <w:sz w:val="18"/>
                <w:szCs w:val="18"/>
                <w:lang w:eastAsia="tr-TR"/>
              </w:rPr>
              <w:t>11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74522A"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Türev yükümlülükler ve teminat tamamlama yükümlülükleri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11BC2" w14:textId="27E2F890" w:rsidR="007854AB" w:rsidRPr="00005453" w:rsidRDefault="007854AB" w:rsidP="007854AB">
            <w:pPr>
              <w:jc w:val="right"/>
              <w:rPr>
                <w:color w:val="000000"/>
                <w:sz w:val="18"/>
                <w:szCs w:val="18"/>
                <w:lang w:eastAsia="tr-TR"/>
              </w:rPr>
            </w:pPr>
            <w:r w:rsidRPr="00005453">
              <w:rPr>
                <w:color w:val="000000"/>
                <w:sz w:val="18"/>
                <w:szCs w:val="18"/>
                <w:lang w:eastAsia="tr-TR"/>
              </w:rPr>
              <w:t>49,890,031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296BF" w14:textId="79052813" w:rsidR="007854AB" w:rsidRPr="00005453" w:rsidRDefault="007854AB" w:rsidP="007854AB">
            <w:pPr>
              <w:jc w:val="right"/>
              <w:rPr>
                <w:color w:val="000000"/>
                <w:sz w:val="18"/>
                <w:szCs w:val="18"/>
                <w:lang w:eastAsia="tr-TR"/>
              </w:rPr>
            </w:pPr>
            <w:r w:rsidRPr="00005453">
              <w:rPr>
                <w:color w:val="000000"/>
                <w:sz w:val="18"/>
                <w:szCs w:val="18"/>
                <w:lang w:eastAsia="tr-TR"/>
              </w:rPr>
              <w:t>41,131,776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E2335" w14:textId="75F076BA" w:rsidR="007854AB" w:rsidRPr="00005453" w:rsidRDefault="007854AB" w:rsidP="007854AB">
            <w:pPr>
              <w:jc w:val="right"/>
              <w:rPr>
                <w:color w:val="000000"/>
                <w:sz w:val="18"/>
                <w:szCs w:val="18"/>
                <w:lang w:eastAsia="tr-TR"/>
              </w:rPr>
            </w:pPr>
            <w:r w:rsidRPr="00005453">
              <w:rPr>
                <w:color w:val="000000"/>
                <w:sz w:val="18"/>
                <w:szCs w:val="18"/>
                <w:lang w:eastAsia="tr-TR"/>
              </w:rPr>
              <w:t>49,890,031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991FB" w14:textId="344D4F29" w:rsidR="007854AB" w:rsidRPr="00005453" w:rsidRDefault="007854AB" w:rsidP="007854AB">
            <w:pPr>
              <w:jc w:val="right"/>
              <w:rPr>
                <w:color w:val="000000"/>
                <w:sz w:val="18"/>
                <w:szCs w:val="18"/>
                <w:lang w:eastAsia="tr-TR"/>
              </w:rPr>
            </w:pPr>
            <w:r w:rsidRPr="00005453">
              <w:rPr>
                <w:color w:val="000000"/>
                <w:sz w:val="18"/>
                <w:szCs w:val="18"/>
                <w:lang w:eastAsia="tr-TR"/>
              </w:rPr>
              <w:t>41,131,776</w:t>
            </w:r>
          </w:p>
        </w:tc>
      </w:tr>
      <w:tr w:rsidR="007854AB" w:rsidRPr="00005453" w14:paraId="661FCF94"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FA68" w14:textId="77777777" w:rsidR="007854AB" w:rsidRPr="00005453" w:rsidRDefault="007854AB" w:rsidP="007854AB">
            <w:pPr>
              <w:jc w:val="right"/>
              <w:rPr>
                <w:color w:val="000000"/>
                <w:sz w:val="18"/>
                <w:szCs w:val="18"/>
                <w:lang w:eastAsia="tr-TR"/>
              </w:rPr>
            </w:pPr>
            <w:r w:rsidRPr="00005453">
              <w:rPr>
                <w:color w:val="000000"/>
                <w:sz w:val="18"/>
                <w:szCs w:val="18"/>
                <w:lang w:eastAsia="tr-TR"/>
              </w:rPr>
              <w:t>12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405AF3" w14:textId="77777777" w:rsidR="007854AB" w:rsidRPr="00005453" w:rsidRDefault="007854AB" w:rsidP="007854AB">
            <w:pPr>
              <w:rPr>
                <w:color w:val="000000"/>
                <w:sz w:val="18"/>
                <w:szCs w:val="18"/>
                <w:lang w:eastAsia="tr-TR"/>
              </w:rPr>
            </w:pPr>
            <w:r w:rsidRPr="00005453">
              <w:rPr>
                <w:color w:val="000000"/>
                <w:sz w:val="18"/>
                <w:szCs w:val="18"/>
                <w:lang w:eastAsia="tr-TR"/>
              </w:rPr>
              <w:t xml:space="preserve">       Yapılandırılmış finansal araçlardan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DD6B9" w14:textId="53F51711" w:rsidR="007854AB" w:rsidRPr="00005453" w:rsidRDefault="007854AB" w:rsidP="007854AB">
            <w:pPr>
              <w:jc w:val="right"/>
              <w:rPr>
                <w:color w:val="000000"/>
                <w:sz w:val="18"/>
                <w:szCs w:val="18"/>
                <w:lang w:eastAsia="tr-TR"/>
              </w:rPr>
            </w:pPr>
            <w:r w:rsidRPr="00005453">
              <w:rPr>
                <w:color w:val="000000"/>
                <w:sz w:val="18"/>
                <w:szCs w:val="18"/>
                <w:lang w:eastAsia="tr-TR"/>
              </w:rPr>
              <w:t>52,406,778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44C3" w14:textId="42C2BF21" w:rsidR="007854AB" w:rsidRPr="00005453" w:rsidRDefault="007854AB" w:rsidP="007854AB">
            <w:pPr>
              <w:jc w:val="right"/>
              <w:rPr>
                <w:color w:val="000000"/>
                <w:sz w:val="18"/>
                <w:szCs w:val="18"/>
                <w:lang w:eastAsia="tr-TR"/>
              </w:rPr>
            </w:pPr>
            <w:r w:rsidRPr="00005453">
              <w:rPr>
                <w:color w:val="000000"/>
                <w:sz w:val="18"/>
                <w:szCs w:val="18"/>
                <w:lang w:eastAsia="tr-TR"/>
              </w:rPr>
              <w:t>51,551,577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1A03E" w14:textId="475450D3" w:rsidR="007854AB" w:rsidRPr="00005453" w:rsidRDefault="007854AB" w:rsidP="007854AB">
            <w:pPr>
              <w:jc w:val="right"/>
              <w:rPr>
                <w:color w:val="000000"/>
                <w:sz w:val="18"/>
                <w:szCs w:val="18"/>
                <w:lang w:eastAsia="tr-TR"/>
              </w:rPr>
            </w:pPr>
            <w:r w:rsidRPr="00005453">
              <w:rPr>
                <w:color w:val="000000"/>
                <w:sz w:val="18"/>
                <w:szCs w:val="18"/>
                <w:lang w:eastAsia="tr-TR"/>
              </w:rPr>
              <w:t>52,406,778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D353A" w14:textId="06CCBF42" w:rsidR="007854AB" w:rsidRPr="00005453" w:rsidRDefault="007854AB" w:rsidP="007854AB">
            <w:pPr>
              <w:jc w:val="right"/>
              <w:rPr>
                <w:color w:val="000000"/>
                <w:sz w:val="18"/>
                <w:szCs w:val="18"/>
                <w:lang w:eastAsia="tr-TR"/>
              </w:rPr>
            </w:pPr>
            <w:r w:rsidRPr="00005453">
              <w:rPr>
                <w:color w:val="000000"/>
                <w:sz w:val="18"/>
                <w:szCs w:val="18"/>
                <w:lang w:eastAsia="tr-TR"/>
              </w:rPr>
              <w:t>51,551,577</w:t>
            </w:r>
          </w:p>
        </w:tc>
      </w:tr>
      <w:tr w:rsidR="007854AB" w:rsidRPr="00005453" w14:paraId="3B3A967D"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B54FA" w14:textId="77777777" w:rsidR="007854AB" w:rsidRPr="00005453" w:rsidRDefault="007854AB" w:rsidP="007854AB">
            <w:pPr>
              <w:jc w:val="right"/>
              <w:rPr>
                <w:color w:val="000000"/>
                <w:sz w:val="18"/>
                <w:szCs w:val="18"/>
                <w:lang w:eastAsia="tr-TR"/>
              </w:rPr>
            </w:pPr>
            <w:r w:rsidRPr="00005453">
              <w:rPr>
                <w:color w:val="000000"/>
                <w:sz w:val="18"/>
                <w:szCs w:val="18"/>
                <w:lang w:eastAsia="tr-TR"/>
              </w:rPr>
              <w:t>13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A7F075" w14:textId="77777777" w:rsidR="007854AB" w:rsidRPr="00005453" w:rsidRDefault="007854AB" w:rsidP="007854AB">
            <w:pPr>
              <w:rPr>
                <w:color w:val="000000"/>
                <w:sz w:val="18"/>
                <w:szCs w:val="18"/>
                <w:lang w:eastAsia="tr-TR"/>
              </w:rPr>
            </w:pPr>
            <w:r w:rsidRPr="00005453">
              <w:rPr>
                <w:color w:val="000000"/>
                <w:sz w:val="18"/>
                <w:szCs w:val="18"/>
                <w:lang w:eastAsia="tr-TR"/>
              </w:rPr>
              <w:t>Finansal piyasalara olan borçlar için verilen ödeme taahhütleri ile diğer bilanço dışı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0993C" w14:textId="4B09A244"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37FBE" w14:textId="40FE9300"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879E9" w14:textId="7C3D2361"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9A9FA" w14:textId="57C77B44" w:rsidR="007854AB" w:rsidRPr="00005453" w:rsidRDefault="007854AB" w:rsidP="007854AB">
            <w:pPr>
              <w:jc w:val="right"/>
              <w:rPr>
                <w:color w:val="000000"/>
                <w:sz w:val="18"/>
                <w:szCs w:val="18"/>
                <w:lang w:eastAsia="tr-TR"/>
              </w:rPr>
            </w:pPr>
            <w:r w:rsidRPr="00005453">
              <w:rPr>
                <w:color w:val="000000"/>
                <w:sz w:val="18"/>
                <w:szCs w:val="18"/>
                <w:lang w:eastAsia="tr-TR"/>
              </w:rPr>
              <w:t>-</w:t>
            </w:r>
          </w:p>
        </w:tc>
      </w:tr>
      <w:tr w:rsidR="007854AB" w:rsidRPr="00005453" w14:paraId="3FD73B42"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C1BDD" w14:textId="77777777" w:rsidR="007854AB" w:rsidRPr="00005453" w:rsidRDefault="007854AB" w:rsidP="007854AB">
            <w:pPr>
              <w:jc w:val="right"/>
              <w:rPr>
                <w:color w:val="000000"/>
                <w:sz w:val="18"/>
                <w:szCs w:val="18"/>
                <w:lang w:eastAsia="tr-TR"/>
              </w:rPr>
            </w:pPr>
            <w:r w:rsidRPr="00005453">
              <w:rPr>
                <w:color w:val="000000"/>
                <w:sz w:val="18"/>
                <w:szCs w:val="18"/>
                <w:lang w:eastAsia="tr-TR"/>
              </w:rPr>
              <w:t>14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B5E10C" w14:textId="77777777" w:rsidR="007854AB" w:rsidRPr="00005453" w:rsidRDefault="007854AB" w:rsidP="007854AB">
            <w:pPr>
              <w:rPr>
                <w:color w:val="000000"/>
                <w:sz w:val="18"/>
                <w:szCs w:val="18"/>
                <w:lang w:eastAsia="tr-TR"/>
              </w:rPr>
            </w:pPr>
            <w:r w:rsidRPr="00005453">
              <w:rPr>
                <w:color w:val="000000"/>
                <w:sz w:val="18"/>
                <w:szCs w:val="18"/>
                <w:lang w:eastAsia="tr-TR"/>
              </w:rPr>
              <w:t>Herhangi bir şarta bağlı olmaksızın cayılabilir bilanço dışı diğer yükümlülükler ile sözleşmeye dayalı diğer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77B8D" w14:textId="54343DA0"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BA32B" w14:textId="201C7F77"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F8563" w14:textId="00BFB757" w:rsidR="007854AB" w:rsidRPr="00005453" w:rsidRDefault="007854AB" w:rsidP="007854AB">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CD57F" w14:textId="6FF3D3D8" w:rsidR="007854AB" w:rsidRPr="00005453" w:rsidRDefault="007854AB" w:rsidP="007854AB">
            <w:pPr>
              <w:jc w:val="right"/>
              <w:rPr>
                <w:color w:val="000000"/>
                <w:sz w:val="18"/>
                <w:szCs w:val="18"/>
                <w:lang w:eastAsia="tr-TR"/>
              </w:rPr>
            </w:pPr>
            <w:r w:rsidRPr="00005453">
              <w:rPr>
                <w:color w:val="000000"/>
                <w:sz w:val="18"/>
                <w:szCs w:val="18"/>
                <w:lang w:eastAsia="tr-TR"/>
              </w:rPr>
              <w:t>-</w:t>
            </w:r>
          </w:p>
        </w:tc>
      </w:tr>
      <w:tr w:rsidR="007854AB" w:rsidRPr="00005453" w14:paraId="57F81EC7"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2FD0" w14:textId="77777777" w:rsidR="007854AB" w:rsidRPr="00005453" w:rsidRDefault="007854AB" w:rsidP="007854AB">
            <w:pPr>
              <w:jc w:val="right"/>
              <w:rPr>
                <w:color w:val="000000"/>
                <w:sz w:val="18"/>
                <w:szCs w:val="18"/>
                <w:lang w:eastAsia="tr-TR"/>
              </w:rPr>
            </w:pPr>
            <w:r w:rsidRPr="00005453">
              <w:rPr>
                <w:color w:val="000000"/>
                <w:sz w:val="18"/>
                <w:szCs w:val="18"/>
                <w:lang w:eastAsia="tr-TR"/>
              </w:rPr>
              <w:t>15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7C1A6C" w14:textId="77777777" w:rsidR="007854AB" w:rsidRPr="00005453" w:rsidRDefault="007854AB" w:rsidP="007854AB">
            <w:pPr>
              <w:rPr>
                <w:color w:val="000000"/>
                <w:sz w:val="18"/>
                <w:szCs w:val="18"/>
                <w:lang w:eastAsia="tr-TR"/>
              </w:rPr>
            </w:pPr>
            <w:r w:rsidRPr="00005453">
              <w:rPr>
                <w:color w:val="000000"/>
                <w:sz w:val="18"/>
                <w:szCs w:val="18"/>
                <w:lang w:eastAsia="tr-TR"/>
              </w:rPr>
              <w:t>Diğer cayılamaz veya şartı bağlı olarak cayılabilir bilanço dışı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9599" w14:textId="095DD0CF" w:rsidR="007854AB" w:rsidRPr="00005453" w:rsidRDefault="007854AB" w:rsidP="007854AB">
            <w:pPr>
              <w:jc w:val="right"/>
              <w:rPr>
                <w:color w:val="000000"/>
                <w:sz w:val="18"/>
                <w:szCs w:val="18"/>
                <w:lang w:eastAsia="tr-TR"/>
              </w:rPr>
            </w:pPr>
            <w:r w:rsidRPr="00005453">
              <w:rPr>
                <w:color w:val="000000"/>
                <w:sz w:val="18"/>
                <w:szCs w:val="18"/>
                <w:lang w:eastAsia="tr-TR"/>
              </w:rPr>
              <w:t>95,352,408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DEBCA" w14:textId="44D023AD" w:rsidR="007854AB" w:rsidRPr="00005453" w:rsidRDefault="007854AB" w:rsidP="007854AB">
            <w:pPr>
              <w:jc w:val="right"/>
              <w:rPr>
                <w:color w:val="000000"/>
                <w:sz w:val="18"/>
                <w:szCs w:val="18"/>
                <w:lang w:eastAsia="tr-TR"/>
              </w:rPr>
            </w:pPr>
            <w:r w:rsidRPr="00005453">
              <w:rPr>
                <w:color w:val="000000"/>
                <w:sz w:val="18"/>
                <w:szCs w:val="18"/>
                <w:lang w:eastAsia="tr-TR"/>
              </w:rPr>
              <w:t>22,769,425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BA316" w14:textId="05BBB372" w:rsidR="007854AB" w:rsidRPr="00005453" w:rsidRDefault="007854AB" w:rsidP="007854AB">
            <w:pPr>
              <w:jc w:val="right"/>
              <w:rPr>
                <w:color w:val="000000"/>
                <w:sz w:val="18"/>
                <w:szCs w:val="18"/>
                <w:lang w:eastAsia="tr-TR"/>
              </w:rPr>
            </w:pPr>
            <w:r w:rsidRPr="00005453">
              <w:rPr>
                <w:color w:val="000000"/>
                <w:sz w:val="18"/>
                <w:szCs w:val="18"/>
                <w:lang w:eastAsia="tr-TR"/>
              </w:rPr>
              <w:t>8,919,635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C62D3" w14:textId="7F03C8D8" w:rsidR="007854AB" w:rsidRPr="00005453" w:rsidRDefault="007854AB" w:rsidP="007854AB">
            <w:pPr>
              <w:jc w:val="right"/>
              <w:rPr>
                <w:color w:val="000000"/>
                <w:sz w:val="18"/>
                <w:szCs w:val="18"/>
                <w:lang w:eastAsia="tr-TR"/>
              </w:rPr>
            </w:pPr>
            <w:r w:rsidRPr="00005453">
              <w:rPr>
                <w:color w:val="000000"/>
                <w:sz w:val="18"/>
                <w:szCs w:val="18"/>
                <w:lang w:eastAsia="tr-TR"/>
              </w:rPr>
              <w:t>1,616,333</w:t>
            </w:r>
          </w:p>
        </w:tc>
      </w:tr>
      <w:tr w:rsidR="007854AB" w:rsidRPr="00005453" w14:paraId="22095B35"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1A83C" w14:textId="77777777" w:rsidR="007854AB" w:rsidRPr="00005453" w:rsidRDefault="007854AB" w:rsidP="007854AB">
            <w:pPr>
              <w:jc w:val="right"/>
              <w:rPr>
                <w:color w:val="000000"/>
                <w:sz w:val="18"/>
                <w:szCs w:val="18"/>
                <w:lang w:eastAsia="tr-TR"/>
              </w:rPr>
            </w:pPr>
            <w:r w:rsidRPr="00005453">
              <w:rPr>
                <w:color w:val="000000"/>
                <w:sz w:val="18"/>
                <w:szCs w:val="18"/>
                <w:lang w:eastAsia="tr-TR"/>
              </w:rPr>
              <w:t>16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5FEDDF" w14:textId="77777777" w:rsidR="007854AB" w:rsidRPr="00005453" w:rsidRDefault="007854AB" w:rsidP="007854AB">
            <w:pPr>
              <w:rPr>
                <w:color w:val="000000"/>
                <w:sz w:val="18"/>
                <w:szCs w:val="18"/>
                <w:lang w:eastAsia="tr-TR"/>
              </w:rPr>
            </w:pPr>
            <w:r w:rsidRPr="00005453">
              <w:rPr>
                <w:color w:val="000000"/>
                <w:sz w:val="18"/>
                <w:szCs w:val="18"/>
                <w:lang w:eastAsia="tr-TR"/>
              </w:rPr>
              <w:t>TOPLAM NAKİT ÇIKIŞLARI</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356951"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F161214"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0784F" w14:textId="21188199" w:rsidR="007854AB" w:rsidRPr="00005453" w:rsidRDefault="007854AB" w:rsidP="007854AB">
            <w:pPr>
              <w:jc w:val="right"/>
              <w:rPr>
                <w:b/>
                <w:color w:val="000000"/>
                <w:sz w:val="18"/>
                <w:szCs w:val="18"/>
                <w:lang w:eastAsia="tr-TR"/>
              </w:rPr>
            </w:pPr>
            <w:r w:rsidRPr="00005453">
              <w:rPr>
                <w:color w:val="000000"/>
                <w:sz w:val="18"/>
                <w:szCs w:val="18"/>
                <w:lang w:eastAsia="tr-TR"/>
              </w:rPr>
              <w:t>165,190,276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44FE2" w14:textId="134FAEE7" w:rsidR="007854AB" w:rsidRPr="00005453" w:rsidRDefault="007854AB" w:rsidP="007854AB">
            <w:pPr>
              <w:jc w:val="right"/>
              <w:rPr>
                <w:b/>
                <w:color w:val="000000"/>
                <w:sz w:val="18"/>
                <w:szCs w:val="18"/>
                <w:lang w:eastAsia="tr-TR"/>
              </w:rPr>
            </w:pPr>
            <w:r w:rsidRPr="00005453">
              <w:rPr>
                <w:color w:val="000000"/>
                <w:sz w:val="18"/>
                <w:szCs w:val="18"/>
                <w:lang w:eastAsia="tr-TR"/>
              </w:rPr>
              <w:t>114,818,533</w:t>
            </w:r>
          </w:p>
        </w:tc>
      </w:tr>
      <w:tr w:rsidR="00F52DF0" w:rsidRPr="00005453" w14:paraId="0B5A7854" w14:textId="77777777" w:rsidTr="007854AB">
        <w:trPr>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5BFCCC61" w14:textId="77777777" w:rsidR="00F52DF0" w:rsidRPr="00005453" w:rsidRDefault="00F52DF0" w:rsidP="00F52DF0">
            <w:pPr>
              <w:rPr>
                <w:b/>
                <w:bCs/>
                <w:color w:val="000000"/>
                <w:sz w:val="18"/>
                <w:szCs w:val="18"/>
                <w:lang w:eastAsia="tr-TR"/>
              </w:rPr>
            </w:pPr>
            <w:r w:rsidRPr="00005453">
              <w:rPr>
                <w:b/>
                <w:bCs/>
                <w:color w:val="000000"/>
                <w:sz w:val="18"/>
                <w:szCs w:val="18"/>
                <w:lang w:eastAsia="tr-TR"/>
              </w:rPr>
              <w:t>NAKİT GİRİŞLERİ</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0C399410" w14:textId="77777777" w:rsidR="00F52DF0" w:rsidRPr="00005453" w:rsidRDefault="00F52DF0" w:rsidP="00F52DF0">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F1CFBB"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BAE8F7"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7880FC4"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D1A958" w14:textId="77777777" w:rsidR="00F52DF0" w:rsidRPr="00005453" w:rsidRDefault="00F52DF0" w:rsidP="00F52DF0">
            <w:pPr>
              <w:jc w:val="right"/>
              <w:rPr>
                <w:color w:val="000000"/>
                <w:sz w:val="18"/>
                <w:szCs w:val="18"/>
                <w:lang w:eastAsia="tr-TR"/>
              </w:rPr>
            </w:pPr>
            <w:r w:rsidRPr="00005453">
              <w:rPr>
                <w:color w:val="000000"/>
                <w:sz w:val="18"/>
                <w:szCs w:val="18"/>
                <w:lang w:eastAsia="tr-TR"/>
              </w:rPr>
              <w:t> </w:t>
            </w:r>
          </w:p>
        </w:tc>
      </w:tr>
      <w:tr w:rsidR="00F52DF0" w:rsidRPr="00005453" w14:paraId="7F203ED2"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6DC73" w14:textId="77777777" w:rsidR="00F52DF0" w:rsidRPr="00005453" w:rsidRDefault="00F52DF0" w:rsidP="00F52DF0">
            <w:pPr>
              <w:jc w:val="right"/>
              <w:rPr>
                <w:color w:val="000000"/>
                <w:sz w:val="18"/>
                <w:szCs w:val="18"/>
                <w:lang w:eastAsia="tr-TR"/>
              </w:rPr>
            </w:pPr>
            <w:r w:rsidRPr="00005453">
              <w:rPr>
                <w:color w:val="000000"/>
                <w:sz w:val="18"/>
                <w:szCs w:val="18"/>
                <w:lang w:eastAsia="tr-TR"/>
              </w:rPr>
              <w:t>17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03E883" w14:textId="77777777" w:rsidR="00F52DF0" w:rsidRPr="00005453" w:rsidRDefault="00F52DF0" w:rsidP="00F52DF0">
            <w:pPr>
              <w:rPr>
                <w:color w:val="000000"/>
                <w:sz w:val="18"/>
                <w:szCs w:val="18"/>
                <w:lang w:eastAsia="tr-TR"/>
              </w:rPr>
            </w:pPr>
            <w:r w:rsidRPr="00005453">
              <w:rPr>
                <w:color w:val="000000"/>
                <w:sz w:val="18"/>
                <w:szCs w:val="18"/>
                <w:lang w:eastAsia="tr-TR"/>
              </w:rPr>
              <w:t>Teminatlı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BE765" w14:textId="77777777" w:rsidR="00F52DF0" w:rsidRPr="00005453" w:rsidRDefault="00F52DF0" w:rsidP="00F52DF0">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8E6A2" w14:textId="77777777" w:rsidR="00F52DF0" w:rsidRPr="00005453" w:rsidRDefault="00F52DF0" w:rsidP="00F52DF0">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49FA2" w14:textId="77777777" w:rsidR="00F52DF0" w:rsidRPr="00005453" w:rsidRDefault="00F52DF0" w:rsidP="00F52DF0">
            <w:pPr>
              <w:jc w:val="right"/>
              <w:rPr>
                <w:color w:val="000000"/>
                <w:sz w:val="18"/>
                <w:szCs w:val="18"/>
                <w:lang w:eastAsia="tr-TR"/>
              </w:rPr>
            </w:pPr>
            <w:r w:rsidRPr="00005453">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CC7F8" w14:textId="77777777" w:rsidR="00F52DF0" w:rsidRPr="00005453" w:rsidRDefault="00F52DF0" w:rsidP="00F52DF0">
            <w:pPr>
              <w:jc w:val="right"/>
              <w:rPr>
                <w:color w:val="000000"/>
                <w:sz w:val="18"/>
                <w:szCs w:val="18"/>
                <w:lang w:eastAsia="tr-TR"/>
              </w:rPr>
            </w:pPr>
            <w:r w:rsidRPr="00005453">
              <w:rPr>
                <w:color w:val="000000"/>
                <w:sz w:val="18"/>
                <w:szCs w:val="18"/>
                <w:lang w:eastAsia="tr-TR"/>
              </w:rPr>
              <w:t>-</w:t>
            </w:r>
          </w:p>
        </w:tc>
      </w:tr>
      <w:tr w:rsidR="007854AB" w:rsidRPr="00005453" w14:paraId="434710DB"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6F44E" w14:textId="77777777" w:rsidR="007854AB" w:rsidRPr="00005453" w:rsidRDefault="007854AB" w:rsidP="007854AB">
            <w:pPr>
              <w:jc w:val="right"/>
              <w:rPr>
                <w:color w:val="000000"/>
                <w:sz w:val="18"/>
                <w:szCs w:val="18"/>
                <w:lang w:eastAsia="tr-TR"/>
              </w:rPr>
            </w:pPr>
            <w:r w:rsidRPr="00005453">
              <w:rPr>
                <w:color w:val="000000"/>
                <w:sz w:val="18"/>
                <w:szCs w:val="18"/>
                <w:lang w:eastAsia="tr-TR"/>
              </w:rPr>
              <w:t>18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A70B1B" w14:textId="77777777" w:rsidR="007854AB" w:rsidRPr="00005453" w:rsidRDefault="007854AB" w:rsidP="007854AB">
            <w:pPr>
              <w:rPr>
                <w:color w:val="000000"/>
                <w:sz w:val="18"/>
                <w:szCs w:val="18"/>
                <w:lang w:eastAsia="tr-TR"/>
              </w:rPr>
            </w:pPr>
            <w:r w:rsidRPr="00005453">
              <w:rPr>
                <w:color w:val="000000"/>
                <w:sz w:val="18"/>
                <w:szCs w:val="18"/>
                <w:lang w:eastAsia="tr-TR"/>
              </w:rPr>
              <w:t>Teminatsız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2028C" w14:textId="0478F0BC" w:rsidR="007854AB" w:rsidRPr="00005453" w:rsidRDefault="007854AB" w:rsidP="007854AB">
            <w:pPr>
              <w:jc w:val="right"/>
              <w:rPr>
                <w:color w:val="000000"/>
                <w:sz w:val="18"/>
                <w:szCs w:val="18"/>
                <w:lang w:eastAsia="tr-TR"/>
              </w:rPr>
            </w:pPr>
            <w:r w:rsidRPr="00005453">
              <w:rPr>
                <w:color w:val="000000"/>
                <w:sz w:val="18"/>
                <w:szCs w:val="18"/>
                <w:lang w:eastAsia="tr-TR"/>
              </w:rPr>
              <w:t>62,169,819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7288" w14:textId="68E85214" w:rsidR="007854AB" w:rsidRPr="00005453" w:rsidRDefault="007854AB" w:rsidP="007854AB">
            <w:pPr>
              <w:jc w:val="right"/>
              <w:rPr>
                <w:color w:val="000000"/>
                <w:sz w:val="18"/>
                <w:szCs w:val="18"/>
                <w:lang w:eastAsia="tr-TR"/>
              </w:rPr>
            </w:pPr>
            <w:r w:rsidRPr="00005453">
              <w:rPr>
                <w:color w:val="000000"/>
                <w:sz w:val="18"/>
                <w:szCs w:val="18"/>
                <w:lang w:eastAsia="tr-TR"/>
              </w:rPr>
              <w:t>34,222,350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E6B53" w14:textId="5EA42A52" w:rsidR="007854AB" w:rsidRPr="00005453" w:rsidRDefault="007854AB" w:rsidP="007854AB">
            <w:pPr>
              <w:jc w:val="right"/>
              <w:rPr>
                <w:color w:val="000000"/>
                <w:sz w:val="18"/>
                <w:szCs w:val="18"/>
                <w:lang w:eastAsia="tr-TR"/>
              </w:rPr>
            </w:pPr>
            <w:r w:rsidRPr="00005453">
              <w:rPr>
                <w:color w:val="000000"/>
                <w:sz w:val="18"/>
                <w:szCs w:val="18"/>
                <w:lang w:eastAsia="tr-TR"/>
              </w:rPr>
              <w:t>47,108,399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83787" w14:textId="0631A53C" w:rsidR="007854AB" w:rsidRPr="00005453" w:rsidRDefault="007854AB" w:rsidP="007854AB">
            <w:pPr>
              <w:jc w:val="right"/>
              <w:rPr>
                <w:color w:val="000000"/>
                <w:sz w:val="18"/>
                <w:szCs w:val="18"/>
                <w:lang w:eastAsia="tr-TR"/>
              </w:rPr>
            </w:pPr>
            <w:r w:rsidRPr="00005453">
              <w:rPr>
                <w:color w:val="000000"/>
                <w:sz w:val="18"/>
                <w:szCs w:val="18"/>
                <w:lang w:eastAsia="tr-TR"/>
              </w:rPr>
              <w:t>29,405,640</w:t>
            </w:r>
          </w:p>
        </w:tc>
      </w:tr>
      <w:tr w:rsidR="007854AB" w:rsidRPr="00005453" w14:paraId="42C35126"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E8118" w14:textId="77777777" w:rsidR="007854AB" w:rsidRPr="00005453" w:rsidRDefault="007854AB" w:rsidP="007854AB">
            <w:pPr>
              <w:jc w:val="right"/>
              <w:rPr>
                <w:color w:val="000000"/>
                <w:sz w:val="18"/>
                <w:szCs w:val="18"/>
                <w:lang w:eastAsia="tr-TR"/>
              </w:rPr>
            </w:pPr>
            <w:r w:rsidRPr="00005453">
              <w:rPr>
                <w:color w:val="000000"/>
                <w:sz w:val="18"/>
                <w:szCs w:val="18"/>
                <w:lang w:eastAsia="tr-TR"/>
              </w:rPr>
              <w:t>19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3FE5" w14:textId="77777777" w:rsidR="007854AB" w:rsidRPr="00005453" w:rsidRDefault="007854AB" w:rsidP="007854AB">
            <w:pPr>
              <w:rPr>
                <w:color w:val="000000"/>
                <w:sz w:val="18"/>
                <w:szCs w:val="18"/>
                <w:lang w:eastAsia="tr-TR"/>
              </w:rPr>
            </w:pPr>
            <w:r w:rsidRPr="00005453">
              <w:rPr>
                <w:color w:val="000000"/>
                <w:sz w:val="18"/>
                <w:szCs w:val="18"/>
                <w:lang w:eastAsia="tr-TR"/>
              </w:rPr>
              <w:t>Diğer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F2DA7" w14:textId="475AFC80" w:rsidR="007854AB" w:rsidRPr="00005453" w:rsidRDefault="007854AB" w:rsidP="007854AB">
            <w:pPr>
              <w:jc w:val="right"/>
              <w:rPr>
                <w:color w:val="000000"/>
                <w:sz w:val="18"/>
                <w:szCs w:val="18"/>
                <w:lang w:eastAsia="tr-TR"/>
              </w:rPr>
            </w:pPr>
            <w:r w:rsidRPr="00005453">
              <w:rPr>
                <w:color w:val="000000"/>
                <w:sz w:val="18"/>
                <w:szCs w:val="18"/>
                <w:lang w:eastAsia="tr-TR"/>
              </w:rPr>
              <w:t>49,892,927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72415" w14:textId="6DFE188D" w:rsidR="007854AB" w:rsidRPr="00005453" w:rsidRDefault="007854AB" w:rsidP="007854AB">
            <w:pPr>
              <w:jc w:val="right"/>
              <w:rPr>
                <w:color w:val="000000"/>
                <w:sz w:val="18"/>
                <w:szCs w:val="18"/>
                <w:lang w:eastAsia="tr-TR"/>
              </w:rPr>
            </w:pPr>
            <w:r w:rsidRPr="00005453">
              <w:rPr>
                <w:color w:val="000000"/>
                <w:sz w:val="18"/>
                <w:szCs w:val="18"/>
                <w:lang w:eastAsia="tr-TR"/>
              </w:rPr>
              <w:t>48,054,740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FE6E3" w14:textId="603263EB" w:rsidR="007854AB" w:rsidRPr="00005453" w:rsidRDefault="007854AB" w:rsidP="007854AB">
            <w:pPr>
              <w:jc w:val="right"/>
              <w:rPr>
                <w:color w:val="000000"/>
                <w:sz w:val="18"/>
                <w:szCs w:val="18"/>
                <w:lang w:eastAsia="tr-TR"/>
              </w:rPr>
            </w:pPr>
            <w:r w:rsidRPr="00005453">
              <w:rPr>
                <w:color w:val="000000"/>
                <w:sz w:val="18"/>
                <w:szCs w:val="18"/>
                <w:lang w:eastAsia="tr-TR"/>
              </w:rPr>
              <w:t>49,892,927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96138" w14:textId="35F42E93" w:rsidR="007854AB" w:rsidRPr="00005453" w:rsidRDefault="007854AB" w:rsidP="007854AB">
            <w:pPr>
              <w:jc w:val="right"/>
              <w:rPr>
                <w:color w:val="000000"/>
                <w:sz w:val="18"/>
                <w:szCs w:val="18"/>
                <w:lang w:eastAsia="tr-TR"/>
              </w:rPr>
            </w:pPr>
            <w:r w:rsidRPr="00005453">
              <w:rPr>
                <w:color w:val="000000"/>
                <w:sz w:val="18"/>
                <w:szCs w:val="18"/>
                <w:lang w:eastAsia="tr-TR"/>
              </w:rPr>
              <w:t>48,054,740</w:t>
            </w:r>
          </w:p>
        </w:tc>
      </w:tr>
      <w:tr w:rsidR="007854AB" w:rsidRPr="00005453" w14:paraId="0D40D417"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CF44C" w14:textId="77777777" w:rsidR="007854AB" w:rsidRPr="00005453" w:rsidRDefault="007854AB" w:rsidP="007854AB">
            <w:pPr>
              <w:jc w:val="right"/>
              <w:rPr>
                <w:color w:val="000000"/>
                <w:sz w:val="18"/>
                <w:szCs w:val="18"/>
                <w:lang w:eastAsia="tr-TR"/>
              </w:rPr>
            </w:pPr>
            <w:r w:rsidRPr="00005453">
              <w:rPr>
                <w:color w:val="000000"/>
                <w:sz w:val="18"/>
                <w:szCs w:val="18"/>
                <w:lang w:eastAsia="tr-TR"/>
              </w:rPr>
              <w:t>20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4F694" w14:textId="77777777" w:rsidR="007854AB" w:rsidRPr="00005453" w:rsidRDefault="007854AB" w:rsidP="007854AB">
            <w:pPr>
              <w:rPr>
                <w:b/>
                <w:bCs/>
                <w:color w:val="000000"/>
                <w:sz w:val="18"/>
                <w:szCs w:val="18"/>
                <w:lang w:eastAsia="tr-TR"/>
              </w:rPr>
            </w:pPr>
            <w:r w:rsidRPr="00005453">
              <w:rPr>
                <w:b/>
                <w:bCs/>
                <w:color w:val="000000"/>
                <w:sz w:val="18"/>
                <w:szCs w:val="18"/>
                <w:lang w:eastAsia="tr-TR"/>
              </w:rPr>
              <w:t>TOPLAM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465FA" w14:textId="174C28EA" w:rsidR="007854AB" w:rsidRPr="00005453" w:rsidRDefault="007854AB" w:rsidP="007854AB">
            <w:pPr>
              <w:jc w:val="right"/>
              <w:rPr>
                <w:b/>
                <w:color w:val="000000"/>
                <w:sz w:val="18"/>
                <w:szCs w:val="18"/>
                <w:lang w:eastAsia="tr-TR"/>
              </w:rPr>
            </w:pPr>
            <w:r w:rsidRPr="00005453">
              <w:rPr>
                <w:b/>
                <w:color w:val="000000"/>
                <w:sz w:val="18"/>
                <w:szCs w:val="18"/>
                <w:lang w:eastAsia="tr-TR"/>
              </w:rPr>
              <w:t>112,062,746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91C56" w14:textId="72F593E6" w:rsidR="007854AB" w:rsidRPr="00005453" w:rsidRDefault="007854AB" w:rsidP="007854AB">
            <w:pPr>
              <w:jc w:val="right"/>
              <w:rPr>
                <w:b/>
                <w:color w:val="000000"/>
                <w:sz w:val="18"/>
                <w:szCs w:val="18"/>
                <w:lang w:eastAsia="tr-TR"/>
              </w:rPr>
            </w:pPr>
            <w:r w:rsidRPr="00005453">
              <w:rPr>
                <w:b/>
                <w:color w:val="000000"/>
                <w:sz w:val="18"/>
                <w:szCs w:val="18"/>
                <w:lang w:eastAsia="tr-TR"/>
              </w:rPr>
              <w:t>82,277,090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0D407" w14:textId="44FF0380" w:rsidR="007854AB" w:rsidRPr="00005453" w:rsidRDefault="007854AB" w:rsidP="007854AB">
            <w:pPr>
              <w:jc w:val="right"/>
              <w:rPr>
                <w:b/>
                <w:color w:val="000000"/>
                <w:sz w:val="18"/>
                <w:szCs w:val="18"/>
                <w:lang w:eastAsia="tr-TR"/>
              </w:rPr>
            </w:pPr>
            <w:r w:rsidRPr="00005453">
              <w:rPr>
                <w:b/>
                <w:color w:val="000000"/>
                <w:sz w:val="18"/>
                <w:szCs w:val="18"/>
                <w:lang w:eastAsia="tr-TR"/>
              </w:rPr>
              <w:t>97,001,326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2E0A4" w14:textId="62F8D9D2" w:rsidR="007854AB" w:rsidRPr="00005453" w:rsidRDefault="007854AB" w:rsidP="007854AB">
            <w:pPr>
              <w:jc w:val="right"/>
              <w:rPr>
                <w:b/>
                <w:color w:val="000000"/>
                <w:sz w:val="18"/>
                <w:szCs w:val="18"/>
                <w:lang w:eastAsia="tr-TR"/>
              </w:rPr>
            </w:pPr>
            <w:r w:rsidRPr="00005453">
              <w:rPr>
                <w:b/>
                <w:color w:val="000000"/>
                <w:sz w:val="18"/>
                <w:szCs w:val="18"/>
                <w:lang w:eastAsia="tr-TR"/>
              </w:rPr>
              <w:t>77,460,380</w:t>
            </w:r>
          </w:p>
        </w:tc>
      </w:tr>
      <w:tr w:rsidR="00F52DF0" w:rsidRPr="00005453" w14:paraId="60982A56"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0B152809" w14:textId="77777777" w:rsidR="00F52DF0" w:rsidRPr="00005453" w:rsidRDefault="00F52DF0" w:rsidP="00F52DF0">
            <w:pPr>
              <w:rPr>
                <w:color w:val="000000"/>
                <w:sz w:val="18"/>
                <w:szCs w:val="18"/>
                <w:lang w:eastAsia="tr-TR"/>
              </w:rPr>
            </w:pPr>
            <w:r w:rsidRPr="00005453">
              <w:rPr>
                <w:color w:val="000000"/>
                <w:sz w:val="18"/>
                <w:szCs w:val="18"/>
                <w:lang w:eastAsia="tr-TR"/>
              </w:rPr>
              <w:t> </w:t>
            </w:r>
          </w:p>
        </w:tc>
        <w:tc>
          <w:tcPr>
            <w:tcW w:w="4025"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45ADA528" w14:textId="77777777" w:rsidR="00F52DF0" w:rsidRPr="00005453" w:rsidRDefault="00F52DF0" w:rsidP="00F52DF0">
            <w:pPr>
              <w:rPr>
                <w:color w:val="000000"/>
                <w:sz w:val="18"/>
                <w:szCs w:val="18"/>
                <w:lang w:eastAsia="tr-TR"/>
              </w:rPr>
            </w:pPr>
            <w:r w:rsidRPr="00005453">
              <w:rPr>
                <w:color w:val="000000"/>
                <w:sz w:val="18"/>
                <w:szCs w:val="18"/>
                <w:lang w:eastAsia="tr-TR"/>
              </w:rPr>
              <w:t> </w:t>
            </w:r>
          </w:p>
        </w:tc>
        <w:tc>
          <w:tcPr>
            <w:tcW w:w="1096"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31A5B8BD" w14:textId="77777777" w:rsidR="00F52DF0" w:rsidRPr="00005453" w:rsidRDefault="00F52DF0" w:rsidP="00F52DF0">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ACEFE5" w14:textId="77777777" w:rsidR="00F52DF0" w:rsidRPr="00005453" w:rsidRDefault="00F52DF0" w:rsidP="00F52DF0">
            <w:pPr>
              <w:jc w:val="right"/>
              <w:rPr>
                <w:b/>
                <w:bCs/>
                <w:color w:val="000000"/>
                <w:sz w:val="18"/>
                <w:szCs w:val="18"/>
                <w:lang w:eastAsia="tr-TR"/>
              </w:rPr>
            </w:pPr>
            <w:r w:rsidRPr="00005453">
              <w:rPr>
                <w:b/>
                <w:bCs/>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E7BF7BD" w14:textId="77777777" w:rsidR="00F52DF0" w:rsidRPr="00005453" w:rsidRDefault="00F52DF0" w:rsidP="00F52DF0">
            <w:pPr>
              <w:jc w:val="right"/>
              <w:rPr>
                <w:b/>
                <w:bCs/>
                <w:color w:val="000000"/>
                <w:sz w:val="18"/>
                <w:szCs w:val="18"/>
                <w:lang w:eastAsia="tr-TR"/>
              </w:rPr>
            </w:pPr>
            <w:r w:rsidRPr="00005453">
              <w:rPr>
                <w:b/>
                <w:bCs/>
                <w:color w:val="000000"/>
                <w:sz w:val="18"/>
                <w:szCs w:val="18"/>
                <w:lang w:eastAsia="tr-TR"/>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DBD571" w14:textId="77777777" w:rsidR="00F52DF0" w:rsidRPr="00005453" w:rsidRDefault="00F52DF0" w:rsidP="00F52DF0">
            <w:pPr>
              <w:jc w:val="center"/>
              <w:rPr>
                <w:b/>
                <w:bCs/>
                <w:color w:val="000000"/>
                <w:sz w:val="18"/>
                <w:szCs w:val="18"/>
                <w:lang w:eastAsia="tr-TR"/>
              </w:rPr>
            </w:pPr>
            <w:r w:rsidRPr="00005453">
              <w:rPr>
                <w:b/>
                <w:bCs/>
                <w:color w:val="000000"/>
                <w:sz w:val="18"/>
                <w:szCs w:val="18"/>
                <w:lang w:eastAsia="tr-TR"/>
              </w:rPr>
              <w:t>Üst Sınır Uygulanmış Değer</w:t>
            </w:r>
          </w:p>
        </w:tc>
      </w:tr>
      <w:tr w:rsidR="007854AB" w:rsidRPr="00005453" w14:paraId="73B706A5"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D20B9" w14:textId="77777777" w:rsidR="007854AB" w:rsidRPr="00005453" w:rsidRDefault="007854AB" w:rsidP="007854AB">
            <w:pPr>
              <w:jc w:val="right"/>
              <w:rPr>
                <w:color w:val="000000"/>
                <w:sz w:val="18"/>
                <w:szCs w:val="18"/>
                <w:lang w:eastAsia="tr-TR"/>
              </w:rPr>
            </w:pPr>
            <w:r w:rsidRPr="00005453">
              <w:rPr>
                <w:color w:val="000000"/>
                <w:sz w:val="18"/>
                <w:szCs w:val="18"/>
                <w:lang w:eastAsia="tr-TR"/>
              </w:rPr>
              <w:t>21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D403C" w14:textId="77777777" w:rsidR="007854AB" w:rsidRPr="00005453" w:rsidRDefault="007854AB" w:rsidP="007854AB">
            <w:pPr>
              <w:rPr>
                <w:b/>
                <w:bCs/>
                <w:color w:val="000000"/>
                <w:sz w:val="18"/>
                <w:szCs w:val="18"/>
                <w:lang w:eastAsia="tr-TR"/>
              </w:rPr>
            </w:pPr>
            <w:r w:rsidRPr="00005453">
              <w:rPr>
                <w:b/>
                <w:bCs/>
                <w:color w:val="000000"/>
                <w:sz w:val="18"/>
                <w:szCs w:val="18"/>
                <w:lang w:eastAsia="tr-TR"/>
              </w:rPr>
              <w:t>TOPLAM YKLV STOKU</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960E45"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BAE4A0D"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BBE86" w14:textId="7CB9ADA3" w:rsidR="007854AB" w:rsidRPr="00005453" w:rsidRDefault="007854AB" w:rsidP="007854AB">
            <w:pPr>
              <w:jc w:val="right"/>
              <w:rPr>
                <w:b/>
                <w:color w:val="000000"/>
                <w:sz w:val="18"/>
                <w:szCs w:val="18"/>
                <w:lang w:eastAsia="tr-TR"/>
              </w:rPr>
            </w:pPr>
            <w:r w:rsidRPr="00005453">
              <w:rPr>
                <w:b/>
                <w:color w:val="000000"/>
                <w:sz w:val="18"/>
                <w:szCs w:val="18"/>
                <w:lang w:eastAsia="tr-TR"/>
              </w:rPr>
              <w:t>148,013,228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8E071" w14:textId="18490C85" w:rsidR="007854AB" w:rsidRPr="00005453" w:rsidRDefault="007854AB" w:rsidP="007854AB">
            <w:pPr>
              <w:jc w:val="right"/>
              <w:rPr>
                <w:b/>
                <w:color w:val="000000"/>
                <w:sz w:val="18"/>
                <w:szCs w:val="18"/>
                <w:lang w:eastAsia="tr-TR"/>
              </w:rPr>
            </w:pPr>
            <w:r w:rsidRPr="00005453">
              <w:rPr>
                <w:b/>
                <w:color w:val="000000"/>
                <w:sz w:val="18"/>
                <w:szCs w:val="18"/>
                <w:lang w:eastAsia="tr-TR"/>
              </w:rPr>
              <w:t>104,436,199</w:t>
            </w:r>
          </w:p>
        </w:tc>
      </w:tr>
      <w:tr w:rsidR="007854AB" w:rsidRPr="00005453" w14:paraId="1CFF753C"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6DF9A" w14:textId="77777777" w:rsidR="007854AB" w:rsidRPr="00005453" w:rsidRDefault="007854AB" w:rsidP="007854AB">
            <w:pPr>
              <w:jc w:val="right"/>
              <w:rPr>
                <w:color w:val="000000"/>
                <w:sz w:val="18"/>
                <w:szCs w:val="18"/>
                <w:lang w:eastAsia="tr-TR"/>
              </w:rPr>
            </w:pPr>
            <w:r w:rsidRPr="00005453">
              <w:rPr>
                <w:color w:val="000000"/>
                <w:sz w:val="18"/>
                <w:szCs w:val="18"/>
                <w:lang w:eastAsia="tr-TR"/>
              </w:rPr>
              <w:t>22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3CF3EF" w14:textId="77777777" w:rsidR="007854AB" w:rsidRPr="00005453" w:rsidRDefault="007854AB" w:rsidP="007854AB">
            <w:pPr>
              <w:rPr>
                <w:b/>
                <w:bCs/>
                <w:color w:val="000000"/>
                <w:sz w:val="18"/>
                <w:szCs w:val="18"/>
                <w:lang w:eastAsia="tr-TR"/>
              </w:rPr>
            </w:pPr>
            <w:r w:rsidRPr="00005453">
              <w:rPr>
                <w:b/>
                <w:bCs/>
                <w:color w:val="000000"/>
                <w:sz w:val="18"/>
                <w:szCs w:val="18"/>
                <w:lang w:eastAsia="tr-TR"/>
              </w:rPr>
              <w:t>TOPLAM NET NAKİT ÇIKIŞLARI</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66DB43"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1F65F19"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B200A" w14:textId="41C31F2D" w:rsidR="007854AB" w:rsidRPr="00005453" w:rsidRDefault="007854AB" w:rsidP="007854AB">
            <w:pPr>
              <w:jc w:val="right"/>
              <w:rPr>
                <w:b/>
                <w:color w:val="000000"/>
                <w:sz w:val="18"/>
                <w:szCs w:val="18"/>
                <w:lang w:eastAsia="tr-TR"/>
              </w:rPr>
            </w:pPr>
            <w:r w:rsidRPr="00005453">
              <w:rPr>
                <w:b/>
                <w:color w:val="000000"/>
                <w:sz w:val="18"/>
                <w:szCs w:val="18"/>
                <w:lang w:eastAsia="tr-TR"/>
              </w:rPr>
              <w:t>68,188,950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9174C" w14:textId="2AB053EC" w:rsidR="007854AB" w:rsidRPr="00005453" w:rsidRDefault="007854AB" w:rsidP="007854AB">
            <w:pPr>
              <w:jc w:val="right"/>
              <w:rPr>
                <w:b/>
                <w:color w:val="000000"/>
                <w:sz w:val="18"/>
                <w:szCs w:val="18"/>
                <w:lang w:eastAsia="tr-TR"/>
              </w:rPr>
            </w:pPr>
            <w:r w:rsidRPr="00005453">
              <w:rPr>
                <w:b/>
                <w:color w:val="000000"/>
                <w:sz w:val="18"/>
                <w:szCs w:val="18"/>
                <w:lang w:eastAsia="tr-TR"/>
              </w:rPr>
              <w:t>37,358,153</w:t>
            </w:r>
          </w:p>
        </w:tc>
      </w:tr>
      <w:tr w:rsidR="007854AB" w:rsidRPr="00005453" w14:paraId="70ABB1FA" w14:textId="77777777" w:rsidTr="007854AB">
        <w:trPr>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1423C" w14:textId="77777777" w:rsidR="007854AB" w:rsidRPr="00005453" w:rsidRDefault="007854AB" w:rsidP="007854AB">
            <w:pPr>
              <w:jc w:val="right"/>
              <w:rPr>
                <w:color w:val="000000"/>
                <w:sz w:val="18"/>
                <w:szCs w:val="18"/>
                <w:lang w:eastAsia="tr-TR"/>
              </w:rPr>
            </w:pPr>
            <w:r w:rsidRPr="00005453">
              <w:rPr>
                <w:color w:val="000000"/>
                <w:sz w:val="18"/>
                <w:szCs w:val="18"/>
                <w:lang w:eastAsia="tr-TR"/>
              </w:rPr>
              <w:t>23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96BD8E" w14:textId="77777777" w:rsidR="007854AB" w:rsidRPr="00005453" w:rsidRDefault="007854AB" w:rsidP="007854AB">
            <w:pPr>
              <w:rPr>
                <w:b/>
                <w:bCs/>
                <w:color w:val="000000"/>
                <w:sz w:val="18"/>
                <w:szCs w:val="18"/>
                <w:lang w:eastAsia="tr-TR"/>
              </w:rPr>
            </w:pPr>
            <w:r w:rsidRPr="00005453">
              <w:rPr>
                <w:b/>
                <w:bCs/>
                <w:color w:val="000000"/>
                <w:sz w:val="18"/>
                <w:szCs w:val="18"/>
                <w:lang w:eastAsia="tr-TR"/>
              </w:rPr>
              <w:t>LİKİDİTE KARŞILAMA ORANI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F2CE8D"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EAA229" w14:textId="77777777" w:rsidR="007854AB" w:rsidRPr="00005453" w:rsidRDefault="007854AB" w:rsidP="007854AB">
            <w:pPr>
              <w:jc w:val="right"/>
              <w:rPr>
                <w:color w:val="000000"/>
                <w:sz w:val="18"/>
                <w:szCs w:val="18"/>
                <w:lang w:eastAsia="tr-TR"/>
              </w:rPr>
            </w:pPr>
            <w:r w:rsidRPr="00005453">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BB571" w14:textId="3F9DA0B3" w:rsidR="007854AB" w:rsidRPr="00005453" w:rsidRDefault="007854AB" w:rsidP="007854AB">
            <w:pPr>
              <w:jc w:val="right"/>
              <w:rPr>
                <w:b/>
                <w:color w:val="000000"/>
                <w:sz w:val="18"/>
                <w:szCs w:val="18"/>
                <w:lang w:eastAsia="tr-TR"/>
              </w:rPr>
            </w:pPr>
            <w:r w:rsidRPr="00005453">
              <w:rPr>
                <w:b/>
                <w:color w:val="000000"/>
                <w:sz w:val="18"/>
                <w:szCs w:val="18"/>
                <w:lang w:eastAsia="tr-TR"/>
              </w:rPr>
              <w:t>217.06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92E2" w14:textId="0D8977C1" w:rsidR="007854AB" w:rsidRPr="00005453" w:rsidRDefault="007854AB" w:rsidP="007854AB">
            <w:pPr>
              <w:jc w:val="right"/>
              <w:rPr>
                <w:b/>
                <w:color w:val="000000"/>
                <w:sz w:val="18"/>
                <w:szCs w:val="18"/>
                <w:lang w:eastAsia="tr-TR"/>
              </w:rPr>
            </w:pPr>
            <w:r w:rsidRPr="00005453">
              <w:rPr>
                <w:b/>
                <w:color w:val="000000"/>
                <w:sz w:val="18"/>
                <w:szCs w:val="18"/>
                <w:lang w:eastAsia="tr-TR"/>
              </w:rPr>
              <w:t>279.55</w:t>
            </w:r>
          </w:p>
        </w:tc>
      </w:tr>
    </w:tbl>
    <w:p w14:paraId="7198C00A" w14:textId="77777777" w:rsidR="00F52DF0" w:rsidRPr="00005453" w:rsidRDefault="00F52DF0" w:rsidP="00741C7D">
      <w:pPr>
        <w:autoSpaceDE w:val="0"/>
        <w:autoSpaceDN w:val="0"/>
        <w:adjustRightInd w:val="0"/>
        <w:rPr>
          <w:bCs/>
          <w:snapToGrid w:val="0"/>
          <w:sz w:val="16"/>
        </w:rPr>
      </w:pPr>
    </w:p>
    <w:p w14:paraId="7A682E0B" w14:textId="6EA29A1E" w:rsidR="00741C7D" w:rsidRPr="00005453" w:rsidRDefault="0067330F" w:rsidP="00741C7D">
      <w:pPr>
        <w:autoSpaceDE w:val="0"/>
        <w:autoSpaceDN w:val="0"/>
        <w:adjustRightInd w:val="0"/>
        <w:rPr>
          <w:bCs/>
          <w:snapToGrid w:val="0"/>
          <w:sz w:val="16"/>
          <w:szCs w:val="16"/>
        </w:rPr>
      </w:pPr>
      <w:r w:rsidRPr="00005453">
        <w:rPr>
          <w:bCs/>
          <w:snapToGrid w:val="0"/>
          <w:sz w:val="18"/>
        </w:rPr>
        <w:t xml:space="preserve">(*) </w:t>
      </w:r>
      <w:r w:rsidR="00741C7D" w:rsidRPr="00005453">
        <w:rPr>
          <w:bCs/>
          <w:snapToGrid w:val="0"/>
          <w:sz w:val="16"/>
          <w:szCs w:val="16"/>
        </w:rPr>
        <w:t>Haftalık basit aritmetik ortalama alınmak suretiyle hesaplanan likidite karşılama oranının son üç ay için hesaplanan ortalaması</w:t>
      </w:r>
    </w:p>
    <w:p w14:paraId="127D8A08" w14:textId="77777777" w:rsidR="00712DD0" w:rsidRPr="00005453" w:rsidRDefault="00712DD0" w:rsidP="00712DD0">
      <w:pPr>
        <w:jc w:val="both"/>
        <w:rPr>
          <w:sz w:val="16"/>
          <w:szCs w:val="16"/>
        </w:rPr>
      </w:pPr>
    </w:p>
    <w:p w14:paraId="67C26C59" w14:textId="1085836C" w:rsidR="005D3149" w:rsidRPr="00005453" w:rsidRDefault="005D3149" w:rsidP="005D3149">
      <w:pPr>
        <w:jc w:val="both"/>
      </w:pPr>
      <w:r w:rsidRPr="00005453">
        <w:t xml:space="preserve">1 </w:t>
      </w:r>
      <w:r w:rsidR="000D644C" w:rsidRPr="00005453">
        <w:t>Ekim</w:t>
      </w:r>
      <w:r w:rsidRPr="00005453">
        <w:t xml:space="preserve"> – 31 Aralık 202</w:t>
      </w:r>
      <w:r w:rsidR="007854AB" w:rsidRPr="00005453">
        <w:t>3</w:t>
      </w:r>
      <w:r w:rsidRPr="00005453">
        <w:t xml:space="preserve"> döneminde haftalık periyotlar ile hesaplanan en düşük, en yüksek ve ortalama Likidite Karşılama Oranları aşağıdaki tabloda yer almaktadır.</w:t>
      </w:r>
    </w:p>
    <w:p w14:paraId="2980009C" w14:textId="77777777" w:rsidR="00712DD0" w:rsidRPr="00005453" w:rsidRDefault="00712DD0" w:rsidP="00712DD0">
      <w:pPr>
        <w:jc w:val="both"/>
        <w:rPr>
          <w:b/>
          <w:sz w:val="16"/>
          <w:szCs w:val="16"/>
        </w:rPr>
      </w:pPr>
    </w:p>
    <w:p w14:paraId="2EA43292" w14:textId="77777777" w:rsidR="0067330F" w:rsidRPr="00005453" w:rsidRDefault="0067330F" w:rsidP="00712DD0">
      <w:pPr>
        <w:jc w:val="both"/>
        <w:rPr>
          <w:b/>
          <w:sz w:val="18"/>
          <w:szCs w:val="18"/>
        </w:rPr>
      </w:pPr>
      <w:r w:rsidRPr="00005453">
        <w:rPr>
          <w:b/>
          <w:sz w:val="18"/>
          <w:szCs w:val="18"/>
        </w:rPr>
        <w:t>Önceki Dönem</w:t>
      </w:r>
    </w:p>
    <w:p w14:paraId="1C3DC8F5" w14:textId="5D22458B" w:rsidR="00F30C55" w:rsidRPr="00005453" w:rsidRDefault="00F30C55" w:rsidP="00A404AA">
      <w:pPr>
        <w:autoSpaceDE w:val="0"/>
        <w:autoSpaceDN w:val="0"/>
        <w:jc w:val="both"/>
        <w:rPr>
          <w:lang w:val="en-GB" w:eastAsia="en-GB"/>
        </w:rPr>
      </w:pPr>
    </w:p>
    <w:tbl>
      <w:tblPr>
        <w:tblW w:w="9473" w:type="dxa"/>
        <w:tblCellMar>
          <w:left w:w="70" w:type="dxa"/>
          <w:right w:w="70" w:type="dxa"/>
        </w:tblCellMar>
        <w:tblLook w:val="04A0" w:firstRow="1" w:lastRow="0" w:firstColumn="1" w:lastColumn="0" w:noHBand="0" w:noVBand="1"/>
      </w:tblPr>
      <w:tblGrid>
        <w:gridCol w:w="3015"/>
        <w:gridCol w:w="1226"/>
        <w:gridCol w:w="1294"/>
        <w:gridCol w:w="1052"/>
        <w:gridCol w:w="1143"/>
        <w:gridCol w:w="1743"/>
      </w:tblGrid>
      <w:tr w:rsidR="00F30C55" w:rsidRPr="00005453" w14:paraId="67DDA891" w14:textId="77777777" w:rsidTr="00753D31">
        <w:trPr>
          <w:divId w:val="445388383"/>
          <w:trHeight w:val="244"/>
        </w:trPr>
        <w:tc>
          <w:tcPr>
            <w:tcW w:w="3015"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3BD142F5" w14:textId="6A821A74" w:rsidR="00F30C55" w:rsidRPr="00005453" w:rsidRDefault="00F30C55" w:rsidP="00F30C55">
            <w:pPr>
              <w:rPr>
                <w:color w:val="000000"/>
                <w:lang w:eastAsia="tr-TR"/>
              </w:rPr>
            </w:pPr>
            <w:r w:rsidRPr="00005453">
              <w:rPr>
                <w:color w:val="000000"/>
                <w:lang w:eastAsia="tr-TR"/>
              </w:rPr>
              <w:t> </w:t>
            </w:r>
          </w:p>
        </w:tc>
        <w:tc>
          <w:tcPr>
            <w:tcW w:w="1226" w:type="dxa"/>
            <w:tcBorders>
              <w:top w:val="single" w:sz="8" w:space="0" w:color="000000"/>
              <w:left w:val="nil"/>
              <w:bottom w:val="dotted" w:sz="4" w:space="0" w:color="000000"/>
              <w:right w:val="dotted" w:sz="4" w:space="0" w:color="000000"/>
            </w:tcBorders>
            <w:shd w:val="clear" w:color="auto" w:fill="auto"/>
            <w:vAlign w:val="center"/>
            <w:hideMark/>
          </w:tcPr>
          <w:p w14:paraId="66027257" w14:textId="77777777" w:rsidR="00F30C55" w:rsidRPr="00005453" w:rsidRDefault="00F30C55" w:rsidP="00F30C55">
            <w:pPr>
              <w:jc w:val="right"/>
              <w:rPr>
                <w:b/>
                <w:bCs/>
                <w:color w:val="000000"/>
                <w:sz w:val="18"/>
                <w:szCs w:val="18"/>
                <w:lang w:eastAsia="tr-TR"/>
              </w:rPr>
            </w:pPr>
            <w:r w:rsidRPr="00005453">
              <w:rPr>
                <w:b/>
                <w:bCs/>
                <w:color w:val="000000"/>
                <w:sz w:val="18"/>
                <w:szCs w:val="18"/>
                <w:lang w:eastAsia="tr-TR"/>
              </w:rPr>
              <w:t xml:space="preserve">    En Yüksek</w:t>
            </w:r>
          </w:p>
        </w:tc>
        <w:tc>
          <w:tcPr>
            <w:tcW w:w="1294" w:type="dxa"/>
            <w:tcBorders>
              <w:top w:val="single" w:sz="8" w:space="0" w:color="000000"/>
              <w:left w:val="nil"/>
              <w:bottom w:val="dotted" w:sz="4" w:space="0" w:color="000000"/>
              <w:right w:val="dotted" w:sz="4" w:space="0" w:color="000000"/>
            </w:tcBorders>
            <w:shd w:val="clear" w:color="auto" w:fill="auto"/>
            <w:vAlign w:val="center"/>
            <w:hideMark/>
          </w:tcPr>
          <w:p w14:paraId="06E95C6F" w14:textId="77777777" w:rsidR="00F30C55" w:rsidRPr="00005453" w:rsidRDefault="00F30C55" w:rsidP="00F30C55">
            <w:pPr>
              <w:jc w:val="right"/>
              <w:rPr>
                <w:b/>
                <w:bCs/>
                <w:color w:val="000000"/>
                <w:sz w:val="18"/>
                <w:szCs w:val="18"/>
                <w:lang w:eastAsia="tr-TR"/>
              </w:rPr>
            </w:pPr>
            <w:r w:rsidRPr="00005453">
              <w:rPr>
                <w:b/>
                <w:bCs/>
                <w:color w:val="000000"/>
                <w:sz w:val="18"/>
                <w:szCs w:val="18"/>
                <w:lang w:eastAsia="tr-TR"/>
              </w:rPr>
              <w:t>Tarih</w:t>
            </w:r>
          </w:p>
        </w:tc>
        <w:tc>
          <w:tcPr>
            <w:tcW w:w="1052" w:type="dxa"/>
            <w:tcBorders>
              <w:top w:val="single" w:sz="8" w:space="0" w:color="000000"/>
              <w:left w:val="nil"/>
              <w:bottom w:val="dotted" w:sz="4" w:space="0" w:color="000000"/>
              <w:right w:val="dotted" w:sz="4" w:space="0" w:color="000000"/>
            </w:tcBorders>
            <w:shd w:val="clear" w:color="auto" w:fill="auto"/>
            <w:vAlign w:val="center"/>
            <w:hideMark/>
          </w:tcPr>
          <w:p w14:paraId="418BC639" w14:textId="77777777" w:rsidR="00F30C55" w:rsidRPr="00005453" w:rsidRDefault="00F30C55" w:rsidP="00F30C55">
            <w:pPr>
              <w:jc w:val="right"/>
              <w:rPr>
                <w:b/>
                <w:bCs/>
                <w:color w:val="000000"/>
                <w:sz w:val="18"/>
                <w:szCs w:val="18"/>
                <w:lang w:eastAsia="tr-TR"/>
              </w:rPr>
            </w:pPr>
            <w:r w:rsidRPr="00005453">
              <w:rPr>
                <w:b/>
                <w:bCs/>
                <w:color w:val="000000"/>
                <w:sz w:val="18"/>
                <w:szCs w:val="18"/>
                <w:lang w:eastAsia="tr-TR"/>
              </w:rPr>
              <w:t>En Düşük</w:t>
            </w:r>
          </w:p>
        </w:tc>
        <w:tc>
          <w:tcPr>
            <w:tcW w:w="1143" w:type="dxa"/>
            <w:tcBorders>
              <w:top w:val="single" w:sz="8" w:space="0" w:color="000000"/>
              <w:left w:val="nil"/>
              <w:bottom w:val="dotted" w:sz="4" w:space="0" w:color="000000"/>
              <w:right w:val="dotted" w:sz="4" w:space="0" w:color="000000"/>
            </w:tcBorders>
            <w:shd w:val="clear" w:color="auto" w:fill="auto"/>
            <w:vAlign w:val="center"/>
            <w:hideMark/>
          </w:tcPr>
          <w:p w14:paraId="2A403F84" w14:textId="77777777" w:rsidR="00F30C55" w:rsidRPr="00005453" w:rsidRDefault="00F30C55" w:rsidP="00F30C55">
            <w:pPr>
              <w:jc w:val="right"/>
              <w:rPr>
                <w:b/>
                <w:bCs/>
                <w:color w:val="000000"/>
                <w:sz w:val="18"/>
                <w:szCs w:val="18"/>
                <w:lang w:eastAsia="tr-TR"/>
              </w:rPr>
            </w:pPr>
            <w:r w:rsidRPr="00005453">
              <w:rPr>
                <w:b/>
                <w:bCs/>
                <w:color w:val="000000"/>
                <w:sz w:val="18"/>
                <w:szCs w:val="18"/>
                <w:lang w:eastAsia="tr-TR"/>
              </w:rPr>
              <w:t>Tarih</w:t>
            </w:r>
          </w:p>
        </w:tc>
        <w:tc>
          <w:tcPr>
            <w:tcW w:w="1743" w:type="dxa"/>
            <w:tcBorders>
              <w:top w:val="single" w:sz="8" w:space="0" w:color="000000"/>
              <w:left w:val="nil"/>
              <w:bottom w:val="dotted" w:sz="4" w:space="0" w:color="000000"/>
              <w:right w:val="single" w:sz="8" w:space="0" w:color="000000"/>
            </w:tcBorders>
            <w:shd w:val="clear" w:color="auto" w:fill="auto"/>
            <w:vAlign w:val="center"/>
            <w:hideMark/>
          </w:tcPr>
          <w:p w14:paraId="7DD17760" w14:textId="77777777" w:rsidR="00F30C55" w:rsidRPr="00005453" w:rsidRDefault="00F30C55" w:rsidP="00F30C55">
            <w:pPr>
              <w:jc w:val="right"/>
              <w:rPr>
                <w:b/>
                <w:bCs/>
                <w:color w:val="000000"/>
                <w:sz w:val="18"/>
                <w:szCs w:val="18"/>
                <w:lang w:eastAsia="tr-TR"/>
              </w:rPr>
            </w:pPr>
            <w:r w:rsidRPr="00005453">
              <w:rPr>
                <w:b/>
                <w:bCs/>
                <w:color w:val="000000"/>
                <w:sz w:val="18"/>
                <w:szCs w:val="18"/>
                <w:lang w:eastAsia="tr-TR"/>
              </w:rPr>
              <w:t>Ortalama</w:t>
            </w:r>
          </w:p>
        </w:tc>
      </w:tr>
      <w:tr w:rsidR="00945262" w:rsidRPr="00005453" w14:paraId="088DA270" w14:textId="77777777" w:rsidTr="00945262">
        <w:trPr>
          <w:divId w:val="445388383"/>
          <w:trHeight w:val="244"/>
        </w:trPr>
        <w:tc>
          <w:tcPr>
            <w:tcW w:w="3015" w:type="dxa"/>
            <w:tcBorders>
              <w:top w:val="nil"/>
              <w:left w:val="single" w:sz="8" w:space="0" w:color="000000"/>
              <w:bottom w:val="dotted" w:sz="4" w:space="0" w:color="000000"/>
              <w:right w:val="dotted" w:sz="4" w:space="0" w:color="000000"/>
            </w:tcBorders>
            <w:shd w:val="clear" w:color="auto" w:fill="auto"/>
            <w:vAlign w:val="center"/>
            <w:hideMark/>
          </w:tcPr>
          <w:p w14:paraId="3D98A4E8" w14:textId="77777777" w:rsidR="00945262" w:rsidRPr="00005453" w:rsidRDefault="00945262" w:rsidP="00945262">
            <w:pPr>
              <w:rPr>
                <w:color w:val="000000"/>
                <w:sz w:val="18"/>
                <w:szCs w:val="18"/>
                <w:lang w:eastAsia="tr-TR"/>
              </w:rPr>
            </w:pPr>
            <w:r w:rsidRPr="00005453">
              <w:rPr>
                <w:bCs/>
                <w:color w:val="000000"/>
                <w:sz w:val="18"/>
                <w:szCs w:val="18"/>
                <w:lang w:eastAsia="tr-TR"/>
              </w:rPr>
              <w:t>TP+YP</w:t>
            </w:r>
          </w:p>
        </w:tc>
        <w:tc>
          <w:tcPr>
            <w:tcW w:w="1226" w:type="dxa"/>
            <w:tcBorders>
              <w:top w:val="nil"/>
              <w:left w:val="nil"/>
              <w:bottom w:val="dotted" w:sz="4" w:space="0" w:color="000000"/>
              <w:right w:val="dotted" w:sz="4" w:space="0" w:color="000000"/>
            </w:tcBorders>
            <w:shd w:val="clear" w:color="auto" w:fill="auto"/>
            <w:vAlign w:val="center"/>
            <w:hideMark/>
          </w:tcPr>
          <w:p w14:paraId="23FB3724" w14:textId="6BADFFAD" w:rsidR="00945262" w:rsidRPr="00005453" w:rsidRDefault="00945262" w:rsidP="00945262">
            <w:pPr>
              <w:jc w:val="right"/>
              <w:rPr>
                <w:color w:val="000000"/>
                <w:sz w:val="18"/>
                <w:szCs w:val="18"/>
                <w:lang w:eastAsia="tr-TR"/>
              </w:rPr>
            </w:pPr>
            <w:r w:rsidRPr="00005453">
              <w:rPr>
                <w:color w:val="000000"/>
                <w:sz w:val="18"/>
                <w:szCs w:val="22"/>
              </w:rPr>
              <w:t>265.41</w:t>
            </w:r>
          </w:p>
        </w:tc>
        <w:tc>
          <w:tcPr>
            <w:tcW w:w="1294" w:type="dxa"/>
            <w:tcBorders>
              <w:top w:val="nil"/>
              <w:left w:val="nil"/>
              <w:bottom w:val="dotted" w:sz="4" w:space="0" w:color="000000"/>
              <w:right w:val="dotted" w:sz="4" w:space="0" w:color="000000"/>
            </w:tcBorders>
            <w:shd w:val="clear" w:color="auto" w:fill="auto"/>
            <w:vAlign w:val="center"/>
            <w:hideMark/>
          </w:tcPr>
          <w:p w14:paraId="777F3844" w14:textId="7C646C8A" w:rsidR="00945262" w:rsidRPr="00005453" w:rsidRDefault="00945262" w:rsidP="00945262">
            <w:pPr>
              <w:jc w:val="right"/>
              <w:rPr>
                <w:color w:val="000000"/>
                <w:sz w:val="18"/>
                <w:szCs w:val="18"/>
                <w:lang w:eastAsia="tr-TR"/>
              </w:rPr>
            </w:pPr>
            <w:r w:rsidRPr="00005453">
              <w:rPr>
                <w:color w:val="000000"/>
                <w:sz w:val="18"/>
                <w:szCs w:val="22"/>
              </w:rPr>
              <w:t>27/10/2023</w:t>
            </w:r>
          </w:p>
        </w:tc>
        <w:tc>
          <w:tcPr>
            <w:tcW w:w="1052" w:type="dxa"/>
            <w:tcBorders>
              <w:top w:val="nil"/>
              <w:left w:val="nil"/>
              <w:bottom w:val="dotted" w:sz="4" w:space="0" w:color="000000"/>
              <w:right w:val="dotted" w:sz="4" w:space="0" w:color="000000"/>
            </w:tcBorders>
            <w:shd w:val="clear" w:color="auto" w:fill="auto"/>
            <w:vAlign w:val="center"/>
            <w:hideMark/>
          </w:tcPr>
          <w:p w14:paraId="669E80E3" w14:textId="57F85FFC" w:rsidR="00945262" w:rsidRPr="00005453" w:rsidRDefault="00945262" w:rsidP="00945262">
            <w:pPr>
              <w:jc w:val="right"/>
              <w:rPr>
                <w:color w:val="000000"/>
                <w:sz w:val="18"/>
                <w:szCs w:val="18"/>
                <w:lang w:eastAsia="tr-TR"/>
              </w:rPr>
            </w:pPr>
            <w:r w:rsidRPr="00005453">
              <w:rPr>
                <w:color w:val="000000"/>
                <w:sz w:val="18"/>
                <w:szCs w:val="22"/>
              </w:rPr>
              <w:t>184.50</w:t>
            </w:r>
          </w:p>
        </w:tc>
        <w:tc>
          <w:tcPr>
            <w:tcW w:w="1143" w:type="dxa"/>
            <w:tcBorders>
              <w:top w:val="nil"/>
              <w:left w:val="nil"/>
              <w:bottom w:val="dotted" w:sz="4" w:space="0" w:color="000000"/>
              <w:right w:val="dotted" w:sz="4" w:space="0" w:color="000000"/>
            </w:tcBorders>
            <w:shd w:val="clear" w:color="auto" w:fill="auto"/>
            <w:vAlign w:val="center"/>
            <w:hideMark/>
          </w:tcPr>
          <w:p w14:paraId="69C36BCA" w14:textId="55563512" w:rsidR="00945262" w:rsidRPr="00005453" w:rsidRDefault="00945262" w:rsidP="00945262">
            <w:pPr>
              <w:jc w:val="right"/>
              <w:rPr>
                <w:color w:val="000000"/>
                <w:sz w:val="18"/>
                <w:szCs w:val="18"/>
                <w:lang w:eastAsia="tr-TR"/>
              </w:rPr>
            </w:pPr>
            <w:r w:rsidRPr="00005453">
              <w:rPr>
                <w:color w:val="000000"/>
                <w:sz w:val="18"/>
                <w:szCs w:val="22"/>
              </w:rPr>
              <w:t>22/12/2023</w:t>
            </w:r>
          </w:p>
        </w:tc>
        <w:tc>
          <w:tcPr>
            <w:tcW w:w="1743" w:type="dxa"/>
            <w:tcBorders>
              <w:top w:val="nil"/>
              <w:left w:val="nil"/>
              <w:bottom w:val="dotted" w:sz="4" w:space="0" w:color="000000"/>
              <w:right w:val="single" w:sz="8" w:space="0" w:color="000000"/>
            </w:tcBorders>
            <w:shd w:val="clear" w:color="auto" w:fill="auto"/>
            <w:vAlign w:val="center"/>
            <w:hideMark/>
          </w:tcPr>
          <w:p w14:paraId="090B10BC" w14:textId="6F4894AF" w:rsidR="00945262" w:rsidRPr="00005453" w:rsidRDefault="00945262" w:rsidP="00945262">
            <w:pPr>
              <w:jc w:val="right"/>
              <w:rPr>
                <w:color w:val="000000"/>
                <w:sz w:val="18"/>
                <w:szCs w:val="18"/>
                <w:lang w:eastAsia="tr-TR"/>
              </w:rPr>
            </w:pPr>
            <w:r w:rsidRPr="00005453">
              <w:rPr>
                <w:color w:val="000000"/>
                <w:sz w:val="18"/>
                <w:szCs w:val="22"/>
              </w:rPr>
              <w:t>222.04</w:t>
            </w:r>
          </w:p>
        </w:tc>
      </w:tr>
      <w:tr w:rsidR="00945262" w:rsidRPr="00005453" w14:paraId="3585D67C" w14:textId="77777777" w:rsidTr="00945262">
        <w:trPr>
          <w:divId w:val="445388383"/>
          <w:trHeight w:val="256"/>
        </w:trPr>
        <w:tc>
          <w:tcPr>
            <w:tcW w:w="3015" w:type="dxa"/>
            <w:tcBorders>
              <w:top w:val="nil"/>
              <w:left w:val="single" w:sz="8" w:space="0" w:color="000000"/>
              <w:bottom w:val="single" w:sz="8" w:space="0" w:color="000000"/>
              <w:right w:val="dotted" w:sz="4" w:space="0" w:color="000000"/>
            </w:tcBorders>
            <w:shd w:val="clear" w:color="auto" w:fill="auto"/>
            <w:vAlign w:val="center"/>
            <w:hideMark/>
          </w:tcPr>
          <w:p w14:paraId="3C9D679F" w14:textId="77777777" w:rsidR="00945262" w:rsidRPr="00005453" w:rsidRDefault="00945262" w:rsidP="00945262">
            <w:pPr>
              <w:rPr>
                <w:color w:val="000000"/>
                <w:sz w:val="18"/>
                <w:szCs w:val="18"/>
                <w:lang w:eastAsia="tr-TR"/>
              </w:rPr>
            </w:pPr>
            <w:r w:rsidRPr="00005453">
              <w:rPr>
                <w:bCs/>
                <w:color w:val="000000"/>
                <w:sz w:val="18"/>
                <w:szCs w:val="18"/>
                <w:lang w:eastAsia="tr-TR"/>
              </w:rPr>
              <w:t>YP</w:t>
            </w:r>
          </w:p>
        </w:tc>
        <w:tc>
          <w:tcPr>
            <w:tcW w:w="1226" w:type="dxa"/>
            <w:tcBorders>
              <w:top w:val="nil"/>
              <w:left w:val="nil"/>
              <w:bottom w:val="single" w:sz="8" w:space="0" w:color="000000"/>
              <w:right w:val="dotted" w:sz="4" w:space="0" w:color="000000"/>
            </w:tcBorders>
            <w:shd w:val="clear" w:color="auto" w:fill="auto"/>
            <w:vAlign w:val="center"/>
            <w:hideMark/>
          </w:tcPr>
          <w:p w14:paraId="7D9D1CCB" w14:textId="2A04255B" w:rsidR="00945262" w:rsidRPr="00005453" w:rsidRDefault="00945262" w:rsidP="00945262">
            <w:pPr>
              <w:jc w:val="right"/>
              <w:rPr>
                <w:color w:val="000000"/>
                <w:sz w:val="18"/>
                <w:szCs w:val="18"/>
                <w:lang w:eastAsia="tr-TR"/>
              </w:rPr>
            </w:pPr>
            <w:r w:rsidRPr="00005453">
              <w:rPr>
                <w:color w:val="000000"/>
                <w:sz w:val="18"/>
                <w:szCs w:val="22"/>
              </w:rPr>
              <w:t>356.13</w:t>
            </w:r>
          </w:p>
        </w:tc>
        <w:tc>
          <w:tcPr>
            <w:tcW w:w="1294" w:type="dxa"/>
            <w:tcBorders>
              <w:top w:val="nil"/>
              <w:left w:val="nil"/>
              <w:bottom w:val="single" w:sz="8" w:space="0" w:color="000000"/>
              <w:right w:val="dotted" w:sz="4" w:space="0" w:color="000000"/>
            </w:tcBorders>
            <w:shd w:val="clear" w:color="auto" w:fill="auto"/>
            <w:vAlign w:val="center"/>
            <w:hideMark/>
          </w:tcPr>
          <w:p w14:paraId="0F669661" w14:textId="06222C43" w:rsidR="00945262" w:rsidRPr="00005453" w:rsidRDefault="00945262" w:rsidP="00945262">
            <w:pPr>
              <w:jc w:val="right"/>
              <w:rPr>
                <w:color w:val="000000"/>
                <w:sz w:val="18"/>
                <w:szCs w:val="18"/>
                <w:lang w:eastAsia="tr-TR"/>
              </w:rPr>
            </w:pPr>
            <w:r w:rsidRPr="00005453">
              <w:rPr>
                <w:color w:val="000000"/>
                <w:sz w:val="18"/>
                <w:szCs w:val="22"/>
              </w:rPr>
              <w:t>08/12/2023</w:t>
            </w:r>
          </w:p>
        </w:tc>
        <w:tc>
          <w:tcPr>
            <w:tcW w:w="1052" w:type="dxa"/>
            <w:tcBorders>
              <w:top w:val="nil"/>
              <w:left w:val="nil"/>
              <w:bottom w:val="single" w:sz="8" w:space="0" w:color="000000"/>
              <w:right w:val="dotted" w:sz="4" w:space="0" w:color="000000"/>
            </w:tcBorders>
            <w:shd w:val="clear" w:color="auto" w:fill="auto"/>
            <w:vAlign w:val="center"/>
            <w:hideMark/>
          </w:tcPr>
          <w:p w14:paraId="6DA3B9D0" w14:textId="313D9F11" w:rsidR="00945262" w:rsidRPr="00005453" w:rsidRDefault="00945262" w:rsidP="00945262">
            <w:pPr>
              <w:jc w:val="right"/>
              <w:rPr>
                <w:color w:val="000000"/>
                <w:sz w:val="18"/>
                <w:szCs w:val="18"/>
                <w:lang w:eastAsia="tr-TR"/>
              </w:rPr>
            </w:pPr>
            <w:r w:rsidRPr="00005453">
              <w:rPr>
                <w:color w:val="000000"/>
                <w:sz w:val="18"/>
                <w:szCs w:val="22"/>
              </w:rPr>
              <w:t>237.86</w:t>
            </w:r>
          </w:p>
        </w:tc>
        <w:tc>
          <w:tcPr>
            <w:tcW w:w="1143" w:type="dxa"/>
            <w:tcBorders>
              <w:top w:val="nil"/>
              <w:left w:val="nil"/>
              <w:bottom w:val="single" w:sz="8" w:space="0" w:color="000000"/>
              <w:right w:val="dotted" w:sz="4" w:space="0" w:color="000000"/>
            </w:tcBorders>
            <w:shd w:val="clear" w:color="auto" w:fill="auto"/>
            <w:vAlign w:val="center"/>
            <w:hideMark/>
          </w:tcPr>
          <w:p w14:paraId="3D1C51B4" w14:textId="7DDF7A8A" w:rsidR="00945262" w:rsidRPr="00005453" w:rsidRDefault="00945262" w:rsidP="00945262">
            <w:pPr>
              <w:jc w:val="right"/>
              <w:rPr>
                <w:color w:val="000000"/>
                <w:sz w:val="18"/>
                <w:szCs w:val="18"/>
                <w:lang w:eastAsia="tr-TR"/>
              </w:rPr>
            </w:pPr>
            <w:r w:rsidRPr="00005453">
              <w:rPr>
                <w:color w:val="000000"/>
                <w:sz w:val="18"/>
                <w:szCs w:val="22"/>
              </w:rPr>
              <w:t>10/11/2023</w:t>
            </w:r>
          </w:p>
        </w:tc>
        <w:tc>
          <w:tcPr>
            <w:tcW w:w="1743" w:type="dxa"/>
            <w:tcBorders>
              <w:top w:val="nil"/>
              <w:left w:val="nil"/>
              <w:bottom w:val="single" w:sz="8" w:space="0" w:color="000000"/>
              <w:right w:val="single" w:sz="8" w:space="0" w:color="000000"/>
            </w:tcBorders>
            <w:shd w:val="clear" w:color="auto" w:fill="auto"/>
            <w:vAlign w:val="center"/>
            <w:hideMark/>
          </w:tcPr>
          <w:p w14:paraId="02774B06" w14:textId="4EFA663F" w:rsidR="00945262" w:rsidRPr="00005453" w:rsidRDefault="00945262" w:rsidP="00945262">
            <w:pPr>
              <w:jc w:val="right"/>
              <w:rPr>
                <w:color w:val="000000"/>
                <w:sz w:val="18"/>
                <w:szCs w:val="18"/>
                <w:lang w:eastAsia="tr-TR"/>
              </w:rPr>
            </w:pPr>
            <w:r w:rsidRPr="00005453">
              <w:rPr>
                <w:color w:val="000000"/>
                <w:sz w:val="18"/>
                <w:szCs w:val="22"/>
              </w:rPr>
              <w:t>283.75</w:t>
            </w:r>
          </w:p>
        </w:tc>
      </w:tr>
    </w:tbl>
    <w:p w14:paraId="77C8DA7D" w14:textId="594592EC" w:rsidR="0080080D" w:rsidRPr="00005453" w:rsidRDefault="0080080D" w:rsidP="00A404AA">
      <w:pPr>
        <w:autoSpaceDE w:val="0"/>
        <w:autoSpaceDN w:val="0"/>
        <w:jc w:val="both"/>
        <w:rPr>
          <w:lang w:val="en-GB" w:eastAsia="en-GB"/>
        </w:rPr>
      </w:pPr>
    </w:p>
    <w:p w14:paraId="69D9625B" w14:textId="503CC296" w:rsidR="00741C7D" w:rsidRPr="00005453" w:rsidRDefault="00741C7D" w:rsidP="00741C7D">
      <w:pPr>
        <w:autoSpaceDE w:val="0"/>
        <w:autoSpaceDN w:val="0"/>
        <w:jc w:val="both"/>
        <w:rPr>
          <w:rFonts w:eastAsia="Arial Unicode MS"/>
          <w:b/>
        </w:rPr>
      </w:pPr>
      <w:r w:rsidRPr="00005453">
        <w:rPr>
          <w:sz w:val="18"/>
          <w:szCs w:val="18"/>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w:t>
      </w:r>
      <w:r w:rsidR="00455FD1" w:rsidRPr="00005453">
        <w:rPr>
          <w:sz w:val="18"/>
          <w:szCs w:val="18"/>
        </w:rPr>
        <w:t xml:space="preserve"> </w:t>
      </w:r>
      <w:r w:rsidRPr="00005453">
        <w:rPr>
          <w:sz w:val="18"/>
          <w:szCs w:val="18"/>
        </w:rPr>
        <w: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8ED949E" w14:textId="41CB12AD" w:rsidR="00DD00C4" w:rsidRPr="00005453" w:rsidRDefault="00C723AF" w:rsidP="002D0BD6">
      <w:pPr>
        <w:pStyle w:val="BodyText"/>
        <w:rPr>
          <w:rFonts w:eastAsia="Arial Unicode MS"/>
          <w:b/>
          <w:sz w:val="16"/>
          <w:szCs w:val="16"/>
        </w:rPr>
      </w:pPr>
      <w:r w:rsidRPr="00005453">
        <w:rPr>
          <w:rFonts w:eastAsia="Arial Unicode MS"/>
          <w:b/>
        </w:rPr>
        <w:br w:type="page"/>
      </w:r>
      <w:bookmarkStart w:id="44" w:name="_Hlk125303342"/>
      <w:r w:rsidR="00E253C8" w:rsidRPr="00005453">
        <w:rPr>
          <w:rFonts w:eastAsia="Arial Unicode MS"/>
          <w:b/>
        </w:rPr>
        <w:lastRenderedPageBreak/>
        <w:t xml:space="preserve">Aktif ve pasif kalemlerin kalan vadelerine göre </w:t>
      </w:r>
      <w:r w:rsidR="00032F11" w:rsidRPr="00005453">
        <w:rPr>
          <w:rFonts w:eastAsia="Arial Unicode MS"/>
          <w:b/>
        </w:rPr>
        <w:t>gösterimi</w:t>
      </w:r>
    </w:p>
    <w:p w14:paraId="26CBBCEB" w14:textId="0B06027E" w:rsidR="00741C7D" w:rsidRPr="00005453" w:rsidRDefault="00741C7D" w:rsidP="0064124D">
      <w:pPr>
        <w:pStyle w:val="BodyText"/>
        <w:jc w:val="left"/>
        <w:rPr>
          <w:lang w:val="de-DE" w:eastAsia="en-GB"/>
        </w:rPr>
      </w:pPr>
    </w:p>
    <w:tbl>
      <w:tblPr>
        <w:tblW w:w="10348" w:type="dxa"/>
        <w:tblLayout w:type="fixed"/>
        <w:tblCellMar>
          <w:left w:w="70" w:type="dxa"/>
          <w:right w:w="70" w:type="dxa"/>
        </w:tblCellMar>
        <w:tblLook w:val="04A0" w:firstRow="1" w:lastRow="0" w:firstColumn="1" w:lastColumn="0" w:noHBand="0" w:noVBand="1"/>
      </w:tblPr>
      <w:tblGrid>
        <w:gridCol w:w="2977"/>
        <w:gridCol w:w="992"/>
        <w:gridCol w:w="914"/>
        <w:gridCol w:w="929"/>
        <w:gridCol w:w="850"/>
        <w:gridCol w:w="851"/>
        <w:gridCol w:w="850"/>
        <w:gridCol w:w="1134"/>
        <w:gridCol w:w="851"/>
      </w:tblGrid>
      <w:tr w:rsidR="00741C7D" w:rsidRPr="00005453" w14:paraId="2F1ED0B7" w14:textId="77777777" w:rsidTr="00BD1BED">
        <w:trPr>
          <w:divId w:val="1396393111"/>
          <w:trHeight w:val="336"/>
        </w:trPr>
        <w:tc>
          <w:tcPr>
            <w:tcW w:w="2977" w:type="dxa"/>
            <w:tcBorders>
              <w:top w:val="double" w:sz="6" w:space="0" w:color="auto"/>
              <w:left w:val="nil"/>
              <w:bottom w:val="single" w:sz="8" w:space="0" w:color="auto"/>
              <w:right w:val="nil"/>
            </w:tcBorders>
            <w:shd w:val="clear" w:color="auto" w:fill="auto"/>
            <w:vAlign w:val="center"/>
            <w:hideMark/>
          </w:tcPr>
          <w:p w14:paraId="7D864453" w14:textId="27A95918" w:rsidR="00741C7D" w:rsidRPr="00005453" w:rsidRDefault="00741C7D" w:rsidP="00741C7D">
            <w:pPr>
              <w:jc w:val="both"/>
              <w:rPr>
                <w:b/>
                <w:bCs/>
                <w:sz w:val="14"/>
                <w:szCs w:val="14"/>
                <w:lang w:eastAsia="tr-TR"/>
              </w:rPr>
            </w:pPr>
            <w:r w:rsidRPr="00005453">
              <w:rPr>
                <w:b/>
                <w:bCs/>
                <w:sz w:val="14"/>
                <w:szCs w:val="14"/>
                <w:lang w:eastAsia="tr-TR"/>
              </w:rPr>
              <w:t>Cari Dönem Sonu</w:t>
            </w:r>
          </w:p>
        </w:tc>
        <w:tc>
          <w:tcPr>
            <w:tcW w:w="992" w:type="dxa"/>
            <w:tcBorders>
              <w:top w:val="double" w:sz="6" w:space="0" w:color="auto"/>
              <w:left w:val="nil"/>
              <w:bottom w:val="single" w:sz="8" w:space="0" w:color="auto"/>
              <w:right w:val="nil"/>
            </w:tcBorders>
            <w:shd w:val="clear" w:color="auto" w:fill="auto"/>
            <w:vAlign w:val="center"/>
            <w:hideMark/>
          </w:tcPr>
          <w:p w14:paraId="22F81525" w14:textId="77777777" w:rsidR="00741C7D" w:rsidRPr="00005453" w:rsidRDefault="00741C7D" w:rsidP="00741C7D">
            <w:pPr>
              <w:jc w:val="right"/>
              <w:rPr>
                <w:b/>
                <w:bCs/>
                <w:sz w:val="14"/>
                <w:szCs w:val="14"/>
                <w:lang w:eastAsia="tr-TR"/>
              </w:rPr>
            </w:pPr>
            <w:r w:rsidRPr="00005453">
              <w:rPr>
                <w:b/>
                <w:bCs/>
                <w:sz w:val="14"/>
                <w:szCs w:val="14"/>
                <w:lang w:eastAsia="tr-TR"/>
              </w:rPr>
              <w:t>Vadesiz</w:t>
            </w:r>
          </w:p>
        </w:tc>
        <w:tc>
          <w:tcPr>
            <w:tcW w:w="914" w:type="dxa"/>
            <w:tcBorders>
              <w:top w:val="double" w:sz="6" w:space="0" w:color="auto"/>
              <w:left w:val="nil"/>
              <w:bottom w:val="single" w:sz="8" w:space="0" w:color="auto"/>
              <w:right w:val="nil"/>
            </w:tcBorders>
            <w:shd w:val="clear" w:color="auto" w:fill="auto"/>
            <w:vAlign w:val="center"/>
            <w:hideMark/>
          </w:tcPr>
          <w:p w14:paraId="225002FC" w14:textId="77777777" w:rsidR="00741C7D" w:rsidRPr="00005453" w:rsidRDefault="00741C7D" w:rsidP="00741C7D">
            <w:pPr>
              <w:jc w:val="right"/>
              <w:rPr>
                <w:b/>
                <w:bCs/>
                <w:sz w:val="14"/>
                <w:szCs w:val="14"/>
                <w:lang w:eastAsia="tr-TR"/>
              </w:rPr>
            </w:pPr>
            <w:r w:rsidRPr="00005453">
              <w:rPr>
                <w:b/>
                <w:bCs/>
                <w:sz w:val="14"/>
                <w:szCs w:val="14"/>
                <w:lang w:eastAsia="tr-TR"/>
              </w:rPr>
              <w:t>1 aya kadar</w:t>
            </w:r>
          </w:p>
        </w:tc>
        <w:tc>
          <w:tcPr>
            <w:tcW w:w="929" w:type="dxa"/>
            <w:tcBorders>
              <w:top w:val="double" w:sz="6" w:space="0" w:color="auto"/>
              <w:left w:val="nil"/>
              <w:bottom w:val="single" w:sz="8" w:space="0" w:color="auto"/>
              <w:right w:val="nil"/>
            </w:tcBorders>
            <w:shd w:val="clear" w:color="auto" w:fill="auto"/>
            <w:vAlign w:val="center"/>
            <w:hideMark/>
          </w:tcPr>
          <w:p w14:paraId="728F4F84" w14:textId="77777777" w:rsidR="00741C7D" w:rsidRPr="00005453" w:rsidRDefault="00741C7D" w:rsidP="00741C7D">
            <w:pPr>
              <w:jc w:val="right"/>
              <w:rPr>
                <w:b/>
                <w:bCs/>
                <w:sz w:val="14"/>
                <w:szCs w:val="14"/>
                <w:lang w:eastAsia="tr-TR"/>
              </w:rPr>
            </w:pPr>
            <w:r w:rsidRPr="00005453">
              <w:rPr>
                <w:b/>
                <w:bCs/>
                <w:sz w:val="14"/>
                <w:szCs w:val="14"/>
                <w:lang w:eastAsia="tr-TR"/>
              </w:rPr>
              <w:t>1-3 Ay</w:t>
            </w:r>
          </w:p>
        </w:tc>
        <w:tc>
          <w:tcPr>
            <w:tcW w:w="850" w:type="dxa"/>
            <w:tcBorders>
              <w:top w:val="double" w:sz="6" w:space="0" w:color="auto"/>
              <w:left w:val="nil"/>
              <w:bottom w:val="single" w:sz="8" w:space="0" w:color="auto"/>
              <w:right w:val="nil"/>
            </w:tcBorders>
            <w:shd w:val="clear" w:color="auto" w:fill="auto"/>
            <w:vAlign w:val="center"/>
            <w:hideMark/>
          </w:tcPr>
          <w:p w14:paraId="7EEA7036" w14:textId="77777777" w:rsidR="00741C7D" w:rsidRPr="00005453" w:rsidRDefault="00741C7D" w:rsidP="00741C7D">
            <w:pPr>
              <w:jc w:val="right"/>
              <w:rPr>
                <w:b/>
                <w:bCs/>
                <w:sz w:val="14"/>
                <w:szCs w:val="14"/>
                <w:lang w:eastAsia="tr-TR"/>
              </w:rPr>
            </w:pPr>
            <w:r w:rsidRPr="00005453">
              <w:rPr>
                <w:b/>
                <w:bCs/>
                <w:sz w:val="14"/>
                <w:szCs w:val="14"/>
                <w:lang w:eastAsia="tr-TR"/>
              </w:rPr>
              <w:t>3-12 Ay</w:t>
            </w:r>
          </w:p>
        </w:tc>
        <w:tc>
          <w:tcPr>
            <w:tcW w:w="851" w:type="dxa"/>
            <w:tcBorders>
              <w:top w:val="double" w:sz="6" w:space="0" w:color="auto"/>
              <w:left w:val="nil"/>
              <w:bottom w:val="single" w:sz="8" w:space="0" w:color="auto"/>
              <w:right w:val="nil"/>
            </w:tcBorders>
            <w:shd w:val="clear" w:color="auto" w:fill="auto"/>
            <w:vAlign w:val="center"/>
            <w:hideMark/>
          </w:tcPr>
          <w:p w14:paraId="02DFD22A" w14:textId="77777777" w:rsidR="00741C7D" w:rsidRPr="00005453" w:rsidRDefault="00741C7D" w:rsidP="00741C7D">
            <w:pPr>
              <w:jc w:val="right"/>
              <w:rPr>
                <w:b/>
                <w:bCs/>
                <w:sz w:val="14"/>
                <w:szCs w:val="14"/>
                <w:lang w:eastAsia="tr-TR"/>
              </w:rPr>
            </w:pPr>
            <w:r w:rsidRPr="00005453">
              <w:rPr>
                <w:b/>
                <w:bCs/>
                <w:sz w:val="14"/>
                <w:szCs w:val="14"/>
                <w:lang w:eastAsia="tr-TR"/>
              </w:rPr>
              <w:t>1-5 Yıl</w:t>
            </w:r>
          </w:p>
        </w:tc>
        <w:tc>
          <w:tcPr>
            <w:tcW w:w="850" w:type="dxa"/>
            <w:tcBorders>
              <w:top w:val="double" w:sz="6" w:space="0" w:color="auto"/>
              <w:left w:val="nil"/>
              <w:bottom w:val="single" w:sz="8" w:space="0" w:color="auto"/>
              <w:right w:val="nil"/>
            </w:tcBorders>
            <w:shd w:val="clear" w:color="auto" w:fill="auto"/>
            <w:vAlign w:val="center"/>
            <w:hideMark/>
          </w:tcPr>
          <w:p w14:paraId="5F8E4330" w14:textId="77777777" w:rsidR="00741C7D" w:rsidRPr="00005453" w:rsidRDefault="00741C7D" w:rsidP="00741C7D">
            <w:pPr>
              <w:jc w:val="right"/>
              <w:rPr>
                <w:b/>
                <w:bCs/>
                <w:sz w:val="14"/>
                <w:szCs w:val="14"/>
                <w:lang w:eastAsia="tr-TR"/>
              </w:rPr>
            </w:pPr>
            <w:r w:rsidRPr="00005453">
              <w:rPr>
                <w:b/>
                <w:bCs/>
                <w:sz w:val="14"/>
                <w:szCs w:val="14"/>
                <w:lang w:eastAsia="tr-TR"/>
              </w:rPr>
              <w:t>5 Yıl ve Üzeri</w:t>
            </w:r>
          </w:p>
        </w:tc>
        <w:tc>
          <w:tcPr>
            <w:tcW w:w="1134" w:type="dxa"/>
            <w:tcBorders>
              <w:top w:val="double" w:sz="6" w:space="0" w:color="auto"/>
              <w:left w:val="nil"/>
              <w:bottom w:val="single" w:sz="8" w:space="0" w:color="auto"/>
              <w:right w:val="nil"/>
            </w:tcBorders>
            <w:shd w:val="clear" w:color="auto" w:fill="auto"/>
            <w:vAlign w:val="center"/>
            <w:hideMark/>
          </w:tcPr>
          <w:p w14:paraId="6FB46F8A" w14:textId="77777777" w:rsidR="00741C7D" w:rsidRPr="00005453" w:rsidRDefault="00741C7D" w:rsidP="00741C7D">
            <w:pPr>
              <w:jc w:val="right"/>
              <w:rPr>
                <w:b/>
                <w:bCs/>
                <w:sz w:val="14"/>
                <w:szCs w:val="14"/>
                <w:lang w:eastAsia="tr-TR"/>
              </w:rPr>
            </w:pPr>
            <w:r w:rsidRPr="00005453">
              <w:rPr>
                <w:b/>
                <w:bCs/>
                <w:sz w:val="14"/>
                <w:szCs w:val="14"/>
                <w:lang w:eastAsia="tr-TR"/>
              </w:rPr>
              <w:t>Dağıtılamayan (***)</w:t>
            </w:r>
          </w:p>
        </w:tc>
        <w:tc>
          <w:tcPr>
            <w:tcW w:w="851" w:type="dxa"/>
            <w:tcBorders>
              <w:top w:val="double" w:sz="6" w:space="0" w:color="auto"/>
              <w:left w:val="nil"/>
              <w:bottom w:val="single" w:sz="8" w:space="0" w:color="auto"/>
              <w:right w:val="nil"/>
            </w:tcBorders>
            <w:shd w:val="clear" w:color="auto" w:fill="auto"/>
            <w:vAlign w:val="center"/>
            <w:hideMark/>
          </w:tcPr>
          <w:p w14:paraId="7827EF93" w14:textId="77777777" w:rsidR="00741C7D" w:rsidRPr="00005453" w:rsidRDefault="00741C7D" w:rsidP="00741C7D">
            <w:pPr>
              <w:jc w:val="right"/>
              <w:rPr>
                <w:b/>
                <w:bCs/>
                <w:sz w:val="14"/>
                <w:szCs w:val="14"/>
                <w:lang w:eastAsia="tr-TR"/>
              </w:rPr>
            </w:pPr>
            <w:r w:rsidRPr="00005453">
              <w:rPr>
                <w:b/>
                <w:bCs/>
                <w:sz w:val="14"/>
                <w:szCs w:val="14"/>
                <w:lang w:eastAsia="tr-TR"/>
              </w:rPr>
              <w:t>Toplam</w:t>
            </w:r>
          </w:p>
        </w:tc>
      </w:tr>
      <w:tr w:rsidR="00741C7D" w:rsidRPr="00005453" w14:paraId="0035FD14" w14:textId="77777777" w:rsidTr="00BD1BED">
        <w:trPr>
          <w:divId w:val="1396393111"/>
          <w:trHeight w:val="56"/>
        </w:trPr>
        <w:tc>
          <w:tcPr>
            <w:tcW w:w="2977" w:type="dxa"/>
            <w:tcBorders>
              <w:top w:val="nil"/>
              <w:left w:val="nil"/>
              <w:bottom w:val="nil"/>
              <w:right w:val="nil"/>
            </w:tcBorders>
            <w:shd w:val="clear" w:color="auto" w:fill="auto"/>
            <w:noWrap/>
            <w:hideMark/>
          </w:tcPr>
          <w:p w14:paraId="4C39CF20" w14:textId="77777777" w:rsidR="00741C7D" w:rsidRPr="00005453" w:rsidRDefault="00741C7D" w:rsidP="00CD2EB9">
            <w:pPr>
              <w:rPr>
                <w:b/>
                <w:bCs/>
                <w:sz w:val="14"/>
                <w:szCs w:val="14"/>
                <w:lang w:eastAsia="tr-TR"/>
              </w:rPr>
            </w:pPr>
            <w:r w:rsidRPr="00005453">
              <w:rPr>
                <w:b/>
                <w:bCs/>
                <w:sz w:val="14"/>
                <w:szCs w:val="14"/>
                <w:lang w:eastAsia="tr-TR"/>
              </w:rPr>
              <w:t>Varlıklar</w:t>
            </w:r>
          </w:p>
        </w:tc>
        <w:tc>
          <w:tcPr>
            <w:tcW w:w="992" w:type="dxa"/>
            <w:tcBorders>
              <w:top w:val="nil"/>
              <w:left w:val="nil"/>
              <w:bottom w:val="nil"/>
              <w:right w:val="nil"/>
            </w:tcBorders>
            <w:shd w:val="clear" w:color="auto" w:fill="auto"/>
            <w:vAlign w:val="center"/>
            <w:hideMark/>
          </w:tcPr>
          <w:p w14:paraId="60CBE5E0" w14:textId="77777777" w:rsidR="00741C7D" w:rsidRPr="00005453" w:rsidRDefault="00741C7D" w:rsidP="008E25E6">
            <w:pPr>
              <w:jc w:val="right"/>
              <w:rPr>
                <w:sz w:val="14"/>
                <w:szCs w:val="14"/>
                <w:lang w:eastAsia="tr-TR"/>
              </w:rPr>
            </w:pPr>
          </w:p>
        </w:tc>
        <w:tc>
          <w:tcPr>
            <w:tcW w:w="914" w:type="dxa"/>
            <w:tcBorders>
              <w:top w:val="nil"/>
              <w:left w:val="nil"/>
              <w:bottom w:val="nil"/>
              <w:right w:val="nil"/>
            </w:tcBorders>
            <w:shd w:val="clear" w:color="auto" w:fill="auto"/>
            <w:vAlign w:val="center"/>
            <w:hideMark/>
          </w:tcPr>
          <w:p w14:paraId="093EA7C2" w14:textId="77777777" w:rsidR="00741C7D" w:rsidRPr="00005453" w:rsidRDefault="00741C7D" w:rsidP="008E25E6">
            <w:pPr>
              <w:jc w:val="right"/>
              <w:rPr>
                <w:sz w:val="14"/>
                <w:szCs w:val="14"/>
                <w:lang w:eastAsia="tr-TR"/>
              </w:rPr>
            </w:pPr>
          </w:p>
        </w:tc>
        <w:tc>
          <w:tcPr>
            <w:tcW w:w="929" w:type="dxa"/>
            <w:tcBorders>
              <w:top w:val="nil"/>
              <w:left w:val="nil"/>
              <w:bottom w:val="nil"/>
              <w:right w:val="nil"/>
            </w:tcBorders>
            <w:shd w:val="clear" w:color="auto" w:fill="auto"/>
            <w:vAlign w:val="center"/>
            <w:hideMark/>
          </w:tcPr>
          <w:p w14:paraId="43B667BC" w14:textId="77777777" w:rsidR="00741C7D" w:rsidRPr="00005453" w:rsidRDefault="00741C7D" w:rsidP="008E25E6">
            <w:pPr>
              <w:jc w:val="right"/>
              <w:rPr>
                <w:sz w:val="14"/>
                <w:szCs w:val="14"/>
                <w:lang w:eastAsia="tr-TR"/>
              </w:rPr>
            </w:pPr>
          </w:p>
        </w:tc>
        <w:tc>
          <w:tcPr>
            <w:tcW w:w="850" w:type="dxa"/>
            <w:tcBorders>
              <w:top w:val="nil"/>
              <w:left w:val="nil"/>
              <w:bottom w:val="nil"/>
              <w:right w:val="nil"/>
            </w:tcBorders>
            <w:shd w:val="clear" w:color="auto" w:fill="auto"/>
            <w:vAlign w:val="center"/>
            <w:hideMark/>
          </w:tcPr>
          <w:p w14:paraId="47B68238" w14:textId="77777777" w:rsidR="00741C7D" w:rsidRPr="00005453" w:rsidRDefault="00741C7D" w:rsidP="008E25E6">
            <w:pPr>
              <w:jc w:val="right"/>
              <w:rPr>
                <w:sz w:val="14"/>
                <w:szCs w:val="14"/>
                <w:lang w:eastAsia="tr-TR"/>
              </w:rPr>
            </w:pPr>
          </w:p>
        </w:tc>
        <w:tc>
          <w:tcPr>
            <w:tcW w:w="851" w:type="dxa"/>
            <w:tcBorders>
              <w:top w:val="nil"/>
              <w:left w:val="nil"/>
              <w:bottom w:val="nil"/>
              <w:right w:val="nil"/>
            </w:tcBorders>
            <w:shd w:val="clear" w:color="auto" w:fill="auto"/>
            <w:vAlign w:val="center"/>
            <w:hideMark/>
          </w:tcPr>
          <w:p w14:paraId="3FAE7FE7" w14:textId="77777777" w:rsidR="00741C7D" w:rsidRPr="00005453" w:rsidRDefault="00741C7D" w:rsidP="008E25E6">
            <w:pPr>
              <w:jc w:val="right"/>
              <w:rPr>
                <w:sz w:val="14"/>
                <w:szCs w:val="14"/>
                <w:lang w:eastAsia="tr-TR"/>
              </w:rPr>
            </w:pPr>
          </w:p>
        </w:tc>
        <w:tc>
          <w:tcPr>
            <w:tcW w:w="850" w:type="dxa"/>
            <w:tcBorders>
              <w:top w:val="nil"/>
              <w:left w:val="nil"/>
              <w:bottom w:val="nil"/>
              <w:right w:val="nil"/>
            </w:tcBorders>
            <w:shd w:val="clear" w:color="auto" w:fill="auto"/>
            <w:vAlign w:val="center"/>
            <w:hideMark/>
          </w:tcPr>
          <w:p w14:paraId="246D876D" w14:textId="77777777" w:rsidR="00741C7D" w:rsidRPr="00005453" w:rsidRDefault="00741C7D" w:rsidP="008E25E6">
            <w:pPr>
              <w:jc w:val="right"/>
              <w:rPr>
                <w:sz w:val="14"/>
                <w:szCs w:val="14"/>
                <w:lang w:eastAsia="tr-TR"/>
              </w:rPr>
            </w:pPr>
          </w:p>
        </w:tc>
        <w:tc>
          <w:tcPr>
            <w:tcW w:w="1134" w:type="dxa"/>
            <w:tcBorders>
              <w:top w:val="nil"/>
              <w:left w:val="nil"/>
              <w:bottom w:val="nil"/>
              <w:right w:val="nil"/>
            </w:tcBorders>
            <w:shd w:val="clear" w:color="auto" w:fill="auto"/>
            <w:vAlign w:val="center"/>
            <w:hideMark/>
          </w:tcPr>
          <w:p w14:paraId="18F13784" w14:textId="77777777" w:rsidR="00741C7D" w:rsidRPr="00005453" w:rsidRDefault="00741C7D" w:rsidP="008E25E6">
            <w:pPr>
              <w:jc w:val="right"/>
              <w:rPr>
                <w:sz w:val="14"/>
                <w:szCs w:val="14"/>
                <w:lang w:eastAsia="tr-TR"/>
              </w:rPr>
            </w:pPr>
          </w:p>
        </w:tc>
        <w:tc>
          <w:tcPr>
            <w:tcW w:w="851" w:type="dxa"/>
            <w:tcBorders>
              <w:top w:val="nil"/>
              <w:left w:val="nil"/>
              <w:bottom w:val="nil"/>
              <w:right w:val="nil"/>
            </w:tcBorders>
            <w:shd w:val="clear" w:color="auto" w:fill="auto"/>
            <w:vAlign w:val="center"/>
            <w:hideMark/>
          </w:tcPr>
          <w:p w14:paraId="78EB9166" w14:textId="77777777" w:rsidR="00741C7D" w:rsidRPr="00005453" w:rsidRDefault="00741C7D" w:rsidP="008E25E6">
            <w:pPr>
              <w:jc w:val="right"/>
              <w:rPr>
                <w:sz w:val="14"/>
                <w:szCs w:val="14"/>
                <w:lang w:eastAsia="tr-TR"/>
              </w:rPr>
            </w:pPr>
          </w:p>
        </w:tc>
      </w:tr>
      <w:tr w:rsidR="00F66143" w:rsidRPr="00005453" w14:paraId="1A10B706" w14:textId="77777777" w:rsidTr="00F66143">
        <w:trPr>
          <w:divId w:val="1396393111"/>
          <w:trHeight w:val="278"/>
        </w:trPr>
        <w:tc>
          <w:tcPr>
            <w:tcW w:w="2977" w:type="dxa"/>
            <w:tcBorders>
              <w:top w:val="nil"/>
              <w:left w:val="nil"/>
              <w:bottom w:val="nil"/>
              <w:right w:val="nil"/>
            </w:tcBorders>
            <w:shd w:val="clear" w:color="auto" w:fill="auto"/>
            <w:noWrap/>
            <w:hideMark/>
          </w:tcPr>
          <w:p w14:paraId="323AA808" w14:textId="72BB947E" w:rsidR="00F66143" w:rsidRPr="00005453" w:rsidRDefault="00F66143" w:rsidP="00F66143">
            <w:pPr>
              <w:rPr>
                <w:sz w:val="14"/>
                <w:szCs w:val="14"/>
                <w:lang w:eastAsia="tr-TR"/>
              </w:rPr>
            </w:pPr>
            <w:r w:rsidRPr="00005453">
              <w:rPr>
                <w:sz w:val="14"/>
                <w:szCs w:val="14"/>
                <w:lang w:eastAsia="tr-TR"/>
              </w:rPr>
              <w:t>Nakit değerler (kasa, efektif deposu, yoldaki paralar, satın alınan çekler) ve TCMB (*)</w:t>
            </w:r>
          </w:p>
        </w:tc>
        <w:tc>
          <w:tcPr>
            <w:tcW w:w="992" w:type="dxa"/>
            <w:tcBorders>
              <w:top w:val="nil"/>
              <w:left w:val="nil"/>
              <w:bottom w:val="nil"/>
              <w:right w:val="nil"/>
            </w:tcBorders>
            <w:shd w:val="clear" w:color="auto" w:fill="auto"/>
            <w:vAlign w:val="center"/>
            <w:hideMark/>
          </w:tcPr>
          <w:p w14:paraId="0F4D047E" w14:textId="4487852D" w:rsidR="00F66143" w:rsidRPr="00005453" w:rsidRDefault="00F66143" w:rsidP="00F66143">
            <w:pPr>
              <w:jc w:val="right"/>
              <w:rPr>
                <w:sz w:val="14"/>
                <w:szCs w:val="14"/>
              </w:rPr>
            </w:pPr>
            <w:r w:rsidRPr="00005453">
              <w:rPr>
                <w:sz w:val="14"/>
                <w:szCs w:val="18"/>
              </w:rPr>
              <w:t>135,667,996</w:t>
            </w:r>
          </w:p>
        </w:tc>
        <w:tc>
          <w:tcPr>
            <w:tcW w:w="914" w:type="dxa"/>
            <w:tcBorders>
              <w:top w:val="nil"/>
              <w:left w:val="nil"/>
              <w:bottom w:val="nil"/>
              <w:right w:val="nil"/>
            </w:tcBorders>
            <w:shd w:val="clear" w:color="auto" w:fill="auto"/>
            <w:vAlign w:val="center"/>
            <w:hideMark/>
          </w:tcPr>
          <w:p w14:paraId="18B1FF83" w14:textId="71A5393C" w:rsidR="00F66143" w:rsidRPr="00005453" w:rsidRDefault="00F66143" w:rsidP="00F66143">
            <w:pPr>
              <w:jc w:val="right"/>
              <w:rPr>
                <w:sz w:val="14"/>
                <w:szCs w:val="14"/>
              </w:rPr>
            </w:pPr>
            <w:r w:rsidRPr="00005453">
              <w:rPr>
                <w:sz w:val="14"/>
                <w:szCs w:val="18"/>
              </w:rPr>
              <w:t>87,324,729</w:t>
            </w:r>
          </w:p>
        </w:tc>
        <w:tc>
          <w:tcPr>
            <w:tcW w:w="929" w:type="dxa"/>
            <w:tcBorders>
              <w:top w:val="nil"/>
              <w:left w:val="nil"/>
              <w:bottom w:val="nil"/>
              <w:right w:val="nil"/>
            </w:tcBorders>
            <w:shd w:val="clear" w:color="auto" w:fill="auto"/>
            <w:vAlign w:val="center"/>
            <w:hideMark/>
          </w:tcPr>
          <w:p w14:paraId="7FA3FEBB" w14:textId="707350DA"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51704A56" w14:textId="5F1F24D5"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5BE0AF90" w14:textId="298CA049"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55BC1DD9" w14:textId="46EF3A86"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2CD1F54F" w14:textId="62A5010B" w:rsidR="00F66143" w:rsidRPr="00005453" w:rsidRDefault="00F66143" w:rsidP="00F66143">
            <w:pPr>
              <w:jc w:val="right"/>
              <w:rPr>
                <w:sz w:val="14"/>
                <w:szCs w:val="14"/>
              </w:rPr>
            </w:pPr>
            <w:r w:rsidRPr="00005453">
              <w:rPr>
                <w:sz w:val="14"/>
                <w:szCs w:val="18"/>
              </w:rPr>
              <w:t>(5,870)</w:t>
            </w:r>
          </w:p>
        </w:tc>
        <w:tc>
          <w:tcPr>
            <w:tcW w:w="851" w:type="dxa"/>
            <w:tcBorders>
              <w:top w:val="nil"/>
              <w:left w:val="nil"/>
              <w:bottom w:val="nil"/>
              <w:right w:val="nil"/>
            </w:tcBorders>
            <w:shd w:val="clear" w:color="auto" w:fill="auto"/>
            <w:vAlign w:val="center"/>
            <w:hideMark/>
          </w:tcPr>
          <w:p w14:paraId="0DBCAB9F" w14:textId="1AEC0B89" w:rsidR="00F66143" w:rsidRPr="00005453" w:rsidRDefault="00F66143" w:rsidP="00F66143">
            <w:pPr>
              <w:jc w:val="right"/>
              <w:rPr>
                <w:sz w:val="14"/>
                <w:szCs w:val="14"/>
              </w:rPr>
            </w:pPr>
            <w:r w:rsidRPr="00005453">
              <w:rPr>
                <w:sz w:val="14"/>
                <w:szCs w:val="18"/>
              </w:rPr>
              <w:t>222,986,855</w:t>
            </w:r>
          </w:p>
        </w:tc>
      </w:tr>
      <w:tr w:rsidR="00F66143" w:rsidRPr="00005453" w14:paraId="7769423B" w14:textId="77777777" w:rsidTr="00F66143">
        <w:trPr>
          <w:divId w:val="1396393111"/>
          <w:trHeight w:val="96"/>
        </w:trPr>
        <w:tc>
          <w:tcPr>
            <w:tcW w:w="2977" w:type="dxa"/>
            <w:tcBorders>
              <w:top w:val="nil"/>
              <w:left w:val="nil"/>
              <w:bottom w:val="nil"/>
              <w:right w:val="nil"/>
            </w:tcBorders>
            <w:shd w:val="clear" w:color="auto" w:fill="auto"/>
            <w:noWrap/>
            <w:hideMark/>
          </w:tcPr>
          <w:p w14:paraId="0E4A26DE" w14:textId="77777777" w:rsidR="00F66143" w:rsidRPr="00005453" w:rsidRDefault="00F66143" w:rsidP="00F66143">
            <w:pPr>
              <w:rPr>
                <w:sz w:val="14"/>
                <w:szCs w:val="14"/>
                <w:lang w:eastAsia="tr-TR"/>
              </w:rPr>
            </w:pPr>
            <w:proofErr w:type="gramStart"/>
            <w:r w:rsidRPr="00005453">
              <w:rPr>
                <w:sz w:val="14"/>
                <w:szCs w:val="14"/>
                <w:lang w:eastAsia="tr-TR"/>
              </w:rPr>
              <w:t>Bankalar(</w:t>
            </w:r>
            <w:proofErr w:type="gramEnd"/>
            <w:r w:rsidRPr="00005453">
              <w:rPr>
                <w:sz w:val="14"/>
                <w:szCs w:val="14"/>
                <w:lang w:eastAsia="tr-TR"/>
              </w:rPr>
              <w:t>*)</w:t>
            </w:r>
          </w:p>
        </w:tc>
        <w:tc>
          <w:tcPr>
            <w:tcW w:w="992" w:type="dxa"/>
            <w:tcBorders>
              <w:top w:val="nil"/>
              <w:left w:val="nil"/>
              <w:bottom w:val="nil"/>
              <w:right w:val="nil"/>
            </w:tcBorders>
            <w:shd w:val="clear" w:color="auto" w:fill="auto"/>
            <w:vAlign w:val="center"/>
            <w:hideMark/>
          </w:tcPr>
          <w:p w14:paraId="4DC1C347" w14:textId="05C521DE" w:rsidR="00F66143" w:rsidRPr="00005453" w:rsidRDefault="00F66143" w:rsidP="00F66143">
            <w:pPr>
              <w:jc w:val="right"/>
              <w:rPr>
                <w:sz w:val="14"/>
                <w:szCs w:val="14"/>
              </w:rPr>
            </w:pPr>
            <w:r w:rsidRPr="00005453">
              <w:rPr>
                <w:sz w:val="14"/>
                <w:szCs w:val="18"/>
              </w:rPr>
              <w:t>27,042,682</w:t>
            </w:r>
          </w:p>
        </w:tc>
        <w:tc>
          <w:tcPr>
            <w:tcW w:w="914" w:type="dxa"/>
            <w:tcBorders>
              <w:top w:val="nil"/>
              <w:left w:val="nil"/>
              <w:bottom w:val="nil"/>
              <w:right w:val="nil"/>
            </w:tcBorders>
            <w:shd w:val="clear" w:color="auto" w:fill="auto"/>
            <w:vAlign w:val="center"/>
            <w:hideMark/>
          </w:tcPr>
          <w:p w14:paraId="1D6D5037" w14:textId="7D0C260E" w:rsidR="00F66143" w:rsidRPr="00005453" w:rsidRDefault="00F66143" w:rsidP="00F66143">
            <w:pPr>
              <w:jc w:val="right"/>
              <w:rPr>
                <w:sz w:val="14"/>
                <w:szCs w:val="14"/>
              </w:rPr>
            </w:pPr>
            <w:r w:rsidRPr="00005453">
              <w:rPr>
                <w:sz w:val="14"/>
                <w:szCs w:val="18"/>
              </w:rPr>
              <w:t>-</w:t>
            </w:r>
          </w:p>
        </w:tc>
        <w:tc>
          <w:tcPr>
            <w:tcW w:w="929" w:type="dxa"/>
            <w:tcBorders>
              <w:top w:val="nil"/>
              <w:left w:val="nil"/>
              <w:bottom w:val="nil"/>
              <w:right w:val="nil"/>
            </w:tcBorders>
            <w:shd w:val="clear" w:color="auto" w:fill="auto"/>
            <w:vAlign w:val="center"/>
            <w:hideMark/>
          </w:tcPr>
          <w:p w14:paraId="05AB0428" w14:textId="2AA5F8E1"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0CCB3286" w14:textId="6BD9BF89"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6A5DF6CC" w14:textId="61D9FED3"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31D1F230" w14:textId="5E2132C6"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5E44DB80" w14:textId="3AA5D11D" w:rsidR="00F66143" w:rsidRPr="00005453" w:rsidRDefault="00F66143" w:rsidP="00F66143">
            <w:pPr>
              <w:jc w:val="right"/>
              <w:rPr>
                <w:sz w:val="14"/>
                <w:szCs w:val="14"/>
              </w:rPr>
            </w:pPr>
            <w:r w:rsidRPr="00005453">
              <w:rPr>
                <w:sz w:val="14"/>
                <w:szCs w:val="18"/>
              </w:rPr>
              <w:t>(860)</w:t>
            </w:r>
          </w:p>
        </w:tc>
        <w:tc>
          <w:tcPr>
            <w:tcW w:w="851" w:type="dxa"/>
            <w:tcBorders>
              <w:top w:val="nil"/>
              <w:left w:val="nil"/>
              <w:bottom w:val="nil"/>
              <w:right w:val="nil"/>
            </w:tcBorders>
            <w:shd w:val="clear" w:color="auto" w:fill="auto"/>
            <w:vAlign w:val="center"/>
            <w:hideMark/>
          </w:tcPr>
          <w:p w14:paraId="12A5A2F5" w14:textId="65838931" w:rsidR="00F66143" w:rsidRPr="00005453" w:rsidRDefault="00F66143" w:rsidP="00F66143">
            <w:pPr>
              <w:jc w:val="right"/>
              <w:rPr>
                <w:sz w:val="14"/>
                <w:szCs w:val="14"/>
              </w:rPr>
            </w:pPr>
            <w:r w:rsidRPr="00005453">
              <w:rPr>
                <w:sz w:val="14"/>
                <w:szCs w:val="18"/>
              </w:rPr>
              <w:t>27,041,822</w:t>
            </w:r>
          </w:p>
        </w:tc>
      </w:tr>
      <w:tr w:rsidR="00F66143" w:rsidRPr="00005453" w14:paraId="717BCF58" w14:textId="77777777" w:rsidTr="00F66143">
        <w:trPr>
          <w:divId w:val="1396393111"/>
          <w:trHeight w:val="278"/>
        </w:trPr>
        <w:tc>
          <w:tcPr>
            <w:tcW w:w="2977" w:type="dxa"/>
            <w:tcBorders>
              <w:top w:val="nil"/>
              <w:left w:val="nil"/>
              <w:bottom w:val="nil"/>
              <w:right w:val="nil"/>
            </w:tcBorders>
            <w:shd w:val="clear" w:color="auto" w:fill="auto"/>
            <w:noWrap/>
            <w:hideMark/>
          </w:tcPr>
          <w:p w14:paraId="1C1EB83D" w14:textId="77777777" w:rsidR="00F66143" w:rsidRPr="00005453" w:rsidRDefault="00F66143" w:rsidP="00F66143">
            <w:pPr>
              <w:rPr>
                <w:sz w:val="14"/>
                <w:szCs w:val="14"/>
                <w:lang w:eastAsia="tr-TR"/>
              </w:rPr>
            </w:pPr>
            <w:r w:rsidRPr="00005453">
              <w:rPr>
                <w:sz w:val="14"/>
                <w:szCs w:val="14"/>
                <w:lang w:eastAsia="tr-TR"/>
              </w:rPr>
              <w:t>Gerçeğe uygun değer farkı kar veya zarara yansıtılan menkul değerler</w:t>
            </w:r>
          </w:p>
        </w:tc>
        <w:tc>
          <w:tcPr>
            <w:tcW w:w="992" w:type="dxa"/>
            <w:tcBorders>
              <w:top w:val="nil"/>
              <w:left w:val="nil"/>
              <w:bottom w:val="nil"/>
              <w:right w:val="nil"/>
            </w:tcBorders>
            <w:shd w:val="clear" w:color="auto" w:fill="auto"/>
            <w:vAlign w:val="center"/>
            <w:hideMark/>
          </w:tcPr>
          <w:p w14:paraId="618EB7BA" w14:textId="788B9EFB"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3B2B43EC" w14:textId="17DE9A93" w:rsidR="00F66143" w:rsidRPr="00005453" w:rsidRDefault="00F66143" w:rsidP="00F66143">
            <w:pPr>
              <w:jc w:val="right"/>
              <w:rPr>
                <w:sz w:val="14"/>
                <w:szCs w:val="14"/>
              </w:rPr>
            </w:pPr>
            <w:r w:rsidRPr="00005453">
              <w:rPr>
                <w:sz w:val="14"/>
                <w:szCs w:val="18"/>
              </w:rPr>
              <w:t>52,888</w:t>
            </w:r>
          </w:p>
        </w:tc>
        <w:tc>
          <w:tcPr>
            <w:tcW w:w="929" w:type="dxa"/>
            <w:tcBorders>
              <w:top w:val="nil"/>
              <w:left w:val="nil"/>
              <w:bottom w:val="nil"/>
              <w:right w:val="nil"/>
            </w:tcBorders>
            <w:shd w:val="clear" w:color="auto" w:fill="auto"/>
            <w:vAlign w:val="center"/>
            <w:hideMark/>
          </w:tcPr>
          <w:p w14:paraId="05D9770D" w14:textId="1D08C112" w:rsidR="00F66143" w:rsidRPr="00005453" w:rsidRDefault="00F66143" w:rsidP="00F66143">
            <w:pPr>
              <w:jc w:val="right"/>
              <w:rPr>
                <w:sz w:val="14"/>
                <w:szCs w:val="14"/>
              </w:rPr>
            </w:pPr>
            <w:r w:rsidRPr="00005453">
              <w:rPr>
                <w:sz w:val="14"/>
                <w:szCs w:val="18"/>
              </w:rPr>
              <w:t>11,007</w:t>
            </w:r>
          </w:p>
        </w:tc>
        <w:tc>
          <w:tcPr>
            <w:tcW w:w="850" w:type="dxa"/>
            <w:tcBorders>
              <w:top w:val="nil"/>
              <w:left w:val="nil"/>
              <w:bottom w:val="nil"/>
              <w:right w:val="nil"/>
            </w:tcBorders>
            <w:shd w:val="clear" w:color="auto" w:fill="auto"/>
            <w:vAlign w:val="center"/>
            <w:hideMark/>
          </w:tcPr>
          <w:p w14:paraId="02B8D7B0" w14:textId="7EC36CF8" w:rsidR="00F66143" w:rsidRPr="00005453" w:rsidRDefault="00F66143" w:rsidP="00F66143">
            <w:pPr>
              <w:jc w:val="right"/>
              <w:rPr>
                <w:sz w:val="14"/>
                <w:szCs w:val="14"/>
              </w:rPr>
            </w:pPr>
            <w:r w:rsidRPr="00005453">
              <w:rPr>
                <w:sz w:val="14"/>
                <w:szCs w:val="18"/>
              </w:rPr>
              <w:t>6,492,399</w:t>
            </w:r>
          </w:p>
        </w:tc>
        <w:tc>
          <w:tcPr>
            <w:tcW w:w="851" w:type="dxa"/>
            <w:tcBorders>
              <w:top w:val="nil"/>
              <w:left w:val="nil"/>
              <w:bottom w:val="nil"/>
              <w:right w:val="nil"/>
            </w:tcBorders>
            <w:shd w:val="clear" w:color="auto" w:fill="auto"/>
            <w:vAlign w:val="center"/>
            <w:hideMark/>
          </w:tcPr>
          <w:p w14:paraId="083723A1" w14:textId="4FCD8DF6" w:rsidR="00F66143" w:rsidRPr="00005453" w:rsidRDefault="00F66143" w:rsidP="00F66143">
            <w:pPr>
              <w:jc w:val="right"/>
              <w:rPr>
                <w:sz w:val="14"/>
                <w:szCs w:val="14"/>
              </w:rPr>
            </w:pPr>
            <w:r w:rsidRPr="00005453">
              <w:rPr>
                <w:sz w:val="14"/>
                <w:szCs w:val="18"/>
              </w:rPr>
              <w:t>6,946,176</w:t>
            </w:r>
          </w:p>
        </w:tc>
        <w:tc>
          <w:tcPr>
            <w:tcW w:w="850" w:type="dxa"/>
            <w:tcBorders>
              <w:top w:val="nil"/>
              <w:left w:val="nil"/>
              <w:bottom w:val="nil"/>
              <w:right w:val="nil"/>
            </w:tcBorders>
            <w:shd w:val="clear" w:color="auto" w:fill="auto"/>
            <w:vAlign w:val="center"/>
            <w:hideMark/>
          </w:tcPr>
          <w:p w14:paraId="465E7CCE" w14:textId="79AB5458" w:rsidR="00F66143" w:rsidRPr="00005453" w:rsidRDefault="00F66143" w:rsidP="00F66143">
            <w:pPr>
              <w:jc w:val="right"/>
              <w:rPr>
                <w:sz w:val="14"/>
                <w:szCs w:val="14"/>
              </w:rPr>
            </w:pPr>
            <w:r w:rsidRPr="00005453">
              <w:rPr>
                <w:sz w:val="14"/>
                <w:szCs w:val="18"/>
              </w:rPr>
              <w:t>3,108,008</w:t>
            </w:r>
          </w:p>
        </w:tc>
        <w:tc>
          <w:tcPr>
            <w:tcW w:w="1134" w:type="dxa"/>
            <w:tcBorders>
              <w:top w:val="nil"/>
              <w:left w:val="nil"/>
              <w:bottom w:val="nil"/>
              <w:right w:val="nil"/>
            </w:tcBorders>
            <w:shd w:val="clear" w:color="auto" w:fill="auto"/>
            <w:vAlign w:val="center"/>
            <w:hideMark/>
          </w:tcPr>
          <w:p w14:paraId="31E6C6D7" w14:textId="0839E28F" w:rsidR="00F66143" w:rsidRPr="00005453" w:rsidRDefault="00F66143" w:rsidP="00F66143">
            <w:pPr>
              <w:jc w:val="right"/>
              <w:rPr>
                <w:sz w:val="14"/>
                <w:szCs w:val="14"/>
              </w:rPr>
            </w:pPr>
            <w:r w:rsidRPr="00005453">
              <w:rPr>
                <w:sz w:val="14"/>
                <w:szCs w:val="18"/>
              </w:rPr>
              <w:t>15,729,861</w:t>
            </w:r>
          </w:p>
        </w:tc>
        <w:tc>
          <w:tcPr>
            <w:tcW w:w="851" w:type="dxa"/>
            <w:tcBorders>
              <w:top w:val="nil"/>
              <w:left w:val="nil"/>
              <w:bottom w:val="nil"/>
              <w:right w:val="nil"/>
            </w:tcBorders>
            <w:shd w:val="clear" w:color="auto" w:fill="auto"/>
            <w:vAlign w:val="center"/>
            <w:hideMark/>
          </w:tcPr>
          <w:p w14:paraId="7D66F2C1" w14:textId="56BE35E1" w:rsidR="00F66143" w:rsidRPr="00005453" w:rsidRDefault="00F66143" w:rsidP="00F66143">
            <w:pPr>
              <w:jc w:val="right"/>
              <w:rPr>
                <w:sz w:val="14"/>
                <w:szCs w:val="14"/>
              </w:rPr>
            </w:pPr>
            <w:r w:rsidRPr="00005453">
              <w:rPr>
                <w:sz w:val="14"/>
                <w:szCs w:val="18"/>
              </w:rPr>
              <w:t>32,340,339</w:t>
            </w:r>
          </w:p>
        </w:tc>
      </w:tr>
      <w:tr w:rsidR="00F66143" w:rsidRPr="00005453" w14:paraId="3E651E1C" w14:textId="77777777" w:rsidTr="00F66143">
        <w:trPr>
          <w:divId w:val="1396393111"/>
          <w:trHeight w:val="68"/>
        </w:trPr>
        <w:tc>
          <w:tcPr>
            <w:tcW w:w="2977" w:type="dxa"/>
            <w:tcBorders>
              <w:top w:val="nil"/>
              <w:left w:val="nil"/>
              <w:bottom w:val="nil"/>
              <w:right w:val="nil"/>
            </w:tcBorders>
            <w:shd w:val="clear" w:color="auto" w:fill="auto"/>
            <w:noWrap/>
            <w:hideMark/>
          </w:tcPr>
          <w:p w14:paraId="35CE5F47" w14:textId="77777777" w:rsidR="00F66143" w:rsidRPr="00005453" w:rsidRDefault="00F66143" w:rsidP="00F66143">
            <w:pPr>
              <w:rPr>
                <w:sz w:val="14"/>
                <w:szCs w:val="14"/>
                <w:lang w:eastAsia="tr-TR"/>
              </w:rPr>
            </w:pPr>
            <w:r w:rsidRPr="00005453">
              <w:rPr>
                <w:sz w:val="14"/>
                <w:szCs w:val="14"/>
                <w:lang w:eastAsia="tr-TR"/>
              </w:rPr>
              <w:t>Para piyasalarından alacaklar</w:t>
            </w:r>
          </w:p>
        </w:tc>
        <w:tc>
          <w:tcPr>
            <w:tcW w:w="992" w:type="dxa"/>
            <w:tcBorders>
              <w:top w:val="nil"/>
              <w:left w:val="nil"/>
              <w:bottom w:val="nil"/>
              <w:right w:val="nil"/>
            </w:tcBorders>
            <w:shd w:val="clear" w:color="auto" w:fill="auto"/>
            <w:vAlign w:val="center"/>
            <w:hideMark/>
          </w:tcPr>
          <w:p w14:paraId="4929E775" w14:textId="7BE07D56"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67A143FA" w14:textId="0A10CDCA" w:rsidR="00F66143" w:rsidRPr="00005453" w:rsidRDefault="00F66143" w:rsidP="00F66143">
            <w:pPr>
              <w:jc w:val="right"/>
              <w:rPr>
                <w:sz w:val="14"/>
                <w:szCs w:val="14"/>
              </w:rPr>
            </w:pPr>
            <w:r w:rsidRPr="00005453">
              <w:rPr>
                <w:sz w:val="14"/>
                <w:szCs w:val="18"/>
              </w:rPr>
              <w:t>1,019</w:t>
            </w:r>
          </w:p>
        </w:tc>
        <w:tc>
          <w:tcPr>
            <w:tcW w:w="929" w:type="dxa"/>
            <w:tcBorders>
              <w:top w:val="nil"/>
              <w:left w:val="nil"/>
              <w:bottom w:val="nil"/>
              <w:right w:val="nil"/>
            </w:tcBorders>
            <w:shd w:val="clear" w:color="auto" w:fill="auto"/>
            <w:vAlign w:val="center"/>
            <w:hideMark/>
          </w:tcPr>
          <w:p w14:paraId="30B9AACF" w14:textId="1A636AC5"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5DDA8AA2" w14:textId="75757543"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240554FA" w14:textId="19512859"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7B99B26A" w14:textId="78847256"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525E842B" w14:textId="407BCA4E"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0F01429C" w14:textId="4FC80ECF" w:rsidR="00F66143" w:rsidRPr="00005453" w:rsidRDefault="00F66143" w:rsidP="00F66143">
            <w:pPr>
              <w:jc w:val="right"/>
              <w:rPr>
                <w:sz w:val="14"/>
                <w:szCs w:val="14"/>
              </w:rPr>
            </w:pPr>
            <w:r w:rsidRPr="00005453">
              <w:rPr>
                <w:sz w:val="14"/>
                <w:szCs w:val="18"/>
              </w:rPr>
              <w:t>1,019</w:t>
            </w:r>
          </w:p>
        </w:tc>
      </w:tr>
      <w:tr w:rsidR="00F66143" w:rsidRPr="00005453" w14:paraId="09E1F8E4" w14:textId="77777777" w:rsidTr="00F66143">
        <w:trPr>
          <w:divId w:val="1396393111"/>
          <w:trHeight w:val="278"/>
        </w:trPr>
        <w:tc>
          <w:tcPr>
            <w:tcW w:w="2977" w:type="dxa"/>
            <w:tcBorders>
              <w:top w:val="nil"/>
              <w:left w:val="nil"/>
              <w:bottom w:val="nil"/>
              <w:right w:val="nil"/>
            </w:tcBorders>
            <w:shd w:val="clear" w:color="auto" w:fill="auto"/>
            <w:noWrap/>
            <w:hideMark/>
          </w:tcPr>
          <w:p w14:paraId="4840DDEE" w14:textId="77777777" w:rsidR="00F66143" w:rsidRPr="00005453" w:rsidRDefault="00F66143" w:rsidP="00F66143">
            <w:pPr>
              <w:rPr>
                <w:sz w:val="14"/>
                <w:szCs w:val="14"/>
                <w:lang w:eastAsia="tr-TR"/>
              </w:rPr>
            </w:pPr>
            <w:r w:rsidRPr="00005453">
              <w:rPr>
                <w:sz w:val="14"/>
                <w:szCs w:val="14"/>
                <w:lang w:eastAsia="tr-TR"/>
              </w:rPr>
              <w:t>Gerçeğe uygun değer farkı diğer kapsamlı gelire yansıtılan finansal varlıklar</w:t>
            </w:r>
          </w:p>
        </w:tc>
        <w:tc>
          <w:tcPr>
            <w:tcW w:w="992" w:type="dxa"/>
            <w:tcBorders>
              <w:top w:val="nil"/>
              <w:left w:val="nil"/>
              <w:bottom w:val="nil"/>
              <w:right w:val="nil"/>
            </w:tcBorders>
            <w:shd w:val="clear" w:color="auto" w:fill="auto"/>
            <w:vAlign w:val="center"/>
            <w:hideMark/>
          </w:tcPr>
          <w:p w14:paraId="7B8ED16B" w14:textId="44D7B9EF"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3104ED88" w14:textId="0EE558D6" w:rsidR="00F66143" w:rsidRPr="00005453" w:rsidRDefault="00F66143" w:rsidP="00F66143">
            <w:pPr>
              <w:jc w:val="right"/>
              <w:rPr>
                <w:sz w:val="14"/>
                <w:szCs w:val="14"/>
              </w:rPr>
            </w:pPr>
            <w:r w:rsidRPr="00005453">
              <w:rPr>
                <w:sz w:val="14"/>
                <w:szCs w:val="18"/>
              </w:rPr>
              <w:t>5,781,119</w:t>
            </w:r>
          </w:p>
        </w:tc>
        <w:tc>
          <w:tcPr>
            <w:tcW w:w="929" w:type="dxa"/>
            <w:tcBorders>
              <w:top w:val="nil"/>
              <w:left w:val="nil"/>
              <w:bottom w:val="nil"/>
              <w:right w:val="nil"/>
            </w:tcBorders>
            <w:shd w:val="clear" w:color="auto" w:fill="auto"/>
            <w:vAlign w:val="center"/>
            <w:hideMark/>
          </w:tcPr>
          <w:p w14:paraId="25195765" w14:textId="4BE8BBC8"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583A8120" w14:textId="476182C3" w:rsidR="00F66143" w:rsidRPr="00005453" w:rsidRDefault="00F66143" w:rsidP="00F66143">
            <w:pPr>
              <w:jc w:val="right"/>
              <w:rPr>
                <w:sz w:val="14"/>
                <w:szCs w:val="14"/>
              </w:rPr>
            </w:pPr>
            <w:r w:rsidRPr="00005453">
              <w:rPr>
                <w:sz w:val="14"/>
                <w:szCs w:val="18"/>
              </w:rPr>
              <w:t>3,633,087</w:t>
            </w:r>
          </w:p>
        </w:tc>
        <w:tc>
          <w:tcPr>
            <w:tcW w:w="851" w:type="dxa"/>
            <w:tcBorders>
              <w:top w:val="nil"/>
              <w:left w:val="nil"/>
              <w:bottom w:val="nil"/>
              <w:right w:val="nil"/>
            </w:tcBorders>
            <w:shd w:val="clear" w:color="auto" w:fill="auto"/>
            <w:vAlign w:val="center"/>
            <w:hideMark/>
          </w:tcPr>
          <w:p w14:paraId="577894BF" w14:textId="4095CA82" w:rsidR="00F66143" w:rsidRPr="00005453" w:rsidRDefault="00F66143" w:rsidP="00F66143">
            <w:pPr>
              <w:jc w:val="right"/>
              <w:rPr>
                <w:sz w:val="14"/>
                <w:szCs w:val="14"/>
              </w:rPr>
            </w:pPr>
            <w:r w:rsidRPr="00005453">
              <w:rPr>
                <w:sz w:val="14"/>
                <w:szCs w:val="18"/>
              </w:rPr>
              <w:t>35,770,111</w:t>
            </w:r>
          </w:p>
        </w:tc>
        <w:tc>
          <w:tcPr>
            <w:tcW w:w="850" w:type="dxa"/>
            <w:tcBorders>
              <w:top w:val="nil"/>
              <w:left w:val="nil"/>
              <w:bottom w:val="nil"/>
              <w:right w:val="nil"/>
            </w:tcBorders>
            <w:shd w:val="clear" w:color="auto" w:fill="auto"/>
            <w:vAlign w:val="center"/>
            <w:hideMark/>
          </w:tcPr>
          <w:p w14:paraId="47EF4159" w14:textId="467CF515" w:rsidR="00F66143" w:rsidRPr="00005453" w:rsidRDefault="00F66143" w:rsidP="00F66143">
            <w:pPr>
              <w:jc w:val="right"/>
              <w:rPr>
                <w:sz w:val="14"/>
                <w:szCs w:val="14"/>
              </w:rPr>
            </w:pPr>
            <w:r w:rsidRPr="00005453">
              <w:rPr>
                <w:sz w:val="14"/>
                <w:szCs w:val="18"/>
              </w:rPr>
              <w:t>15,285,509</w:t>
            </w:r>
          </w:p>
        </w:tc>
        <w:tc>
          <w:tcPr>
            <w:tcW w:w="1134" w:type="dxa"/>
            <w:tcBorders>
              <w:top w:val="nil"/>
              <w:left w:val="nil"/>
              <w:bottom w:val="nil"/>
              <w:right w:val="nil"/>
            </w:tcBorders>
            <w:shd w:val="clear" w:color="auto" w:fill="auto"/>
            <w:vAlign w:val="center"/>
            <w:hideMark/>
          </w:tcPr>
          <w:p w14:paraId="40AAC4A1" w14:textId="30FCED57" w:rsidR="00F66143" w:rsidRPr="00005453" w:rsidRDefault="00F66143" w:rsidP="00F66143">
            <w:pPr>
              <w:jc w:val="right"/>
              <w:rPr>
                <w:sz w:val="14"/>
                <w:szCs w:val="14"/>
              </w:rPr>
            </w:pPr>
            <w:r w:rsidRPr="00005453">
              <w:rPr>
                <w:sz w:val="14"/>
                <w:szCs w:val="18"/>
              </w:rPr>
              <w:t>488,441</w:t>
            </w:r>
          </w:p>
        </w:tc>
        <w:tc>
          <w:tcPr>
            <w:tcW w:w="851" w:type="dxa"/>
            <w:tcBorders>
              <w:top w:val="nil"/>
              <w:left w:val="nil"/>
              <w:bottom w:val="nil"/>
              <w:right w:val="nil"/>
            </w:tcBorders>
            <w:shd w:val="clear" w:color="auto" w:fill="auto"/>
            <w:vAlign w:val="center"/>
            <w:hideMark/>
          </w:tcPr>
          <w:p w14:paraId="72463166" w14:textId="4DA44BA8" w:rsidR="00F66143" w:rsidRPr="00005453" w:rsidRDefault="00F66143" w:rsidP="00F66143">
            <w:pPr>
              <w:jc w:val="right"/>
              <w:rPr>
                <w:sz w:val="14"/>
                <w:szCs w:val="14"/>
              </w:rPr>
            </w:pPr>
            <w:r w:rsidRPr="00005453">
              <w:rPr>
                <w:sz w:val="14"/>
                <w:szCs w:val="18"/>
              </w:rPr>
              <w:t>60,958,267</w:t>
            </w:r>
          </w:p>
        </w:tc>
      </w:tr>
      <w:tr w:rsidR="00F66143" w:rsidRPr="00005453" w14:paraId="07EA93FA" w14:textId="77777777" w:rsidTr="00F66143">
        <w:trPr>
          <w:divId w:val="1396393111"/>
          <w:trHeight w:val="112"/>
        </w:trPr>
        <w:tc>
          <w:tcPr>
            <w:tcW w:w="2977" w:type="dxa"/>
            <w:tcBorders>
              <w:top w:val="nil"/>
              <w:left w:val="nil"/>
              <w:bottom w:val="nil"/>
              <w:right w:val="nil"/>
            </w:tcBorders>
            <w:shd w:val="clear" w:color="auto" w:fill="auto"/>
            <w:noWrap/>
            <w:hideMark/>
          </w:tcPr>
          <w:p w14:paraId="3D15E66B" w14:textId="77777777" w:rsidR="00F66143" w:rsidRPr="00005453" w:rsidRDefault="00F66143" w:rsidP="00F66143">
            <w:pPr>
              <w:rPr>
                <w:sz w:val="14"/>
                <w:szCs w:val="14"/>
                <w:lang w:eastAsia="tr-TR"/>
              </w:rPr>
            </w:pPr>
            <w:r w:rsidRPr="00005453">
              <w:rPr>
                <w:sz w:val="14"/>
                <w:szCs w:val="14"/>
                <w:lang w:eastAsia="tr-TR"/>
              </w:rPr>
              <w:t>Verilen krediler (**)</w:t>
            </w:r>
          </w:p>
        </w:tc>
        <w:tc>
          <w:tcPr>
            <w:tcW w:w="992" w:type="dxa"/>
            <w:tcBorders>
              <w:top w:val="nil"/>
              <w:left w:val="nil"/>
              <w:bottom w:val="nil"/>
              <w:right w:val="nil"/>
            </w:tcBorders>
            <w:shd w:val="clear" w:color="auto" w:fill="auto"/>
            <w:vAlign w:val="center"/>
            <w:hideMark/>
          </w:tcPr>
          <w:p w14:paraId="0C357B6E" w14:textId="558AB34D"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7ACCD54B" w14:textId="2F34BA52" w:rsidR="00F66143" w:rsidRPr="00005453" w:rsidRDefault="00F66143" w:rsidP="00F66143">
            <w:pPr>
              <w:jc w:val="right"/>
              <w:rPr>
                <w:sz w:val="14"/>
                <w:szCs w:val="14"/>
              </w:rPr>
            </w:pPr>
            <w:r w:rsidRPr="00005453">
              <w:rPr>
                <w:sz w:val="14"/>
                <w:szCs w:val="18"/>
              </w:rPr>
              <w:t>104,771,029</w:t>
            </w:r>
          </w:p>
        </w:tc>
        <w:tc>
          <w:tcPr>
            <w:tcW w:w="929" w:type="dxa"/>
            <w:tcBorders>
              <w:top w:val="nil"/>
              <w:left w:val="nil"/>
              <w:bottom w:val="nil"/>
              <w:right w:val="nil"/>
            </w:tcBorders>
            <w:shd w:val="clear" w:color="auto" w:fill="auto"/>
            <w:vAlign w:val="center"/>
            <w:hideMark/>
          </w:tcPr>
          <w:p w14:paraId="1F1F9024" w14:textId="71A6B95D" w:rsidR="00F66143" w:rsidRPr="00005453" w:rsidRDefault="00F66143" w:rsidP="00F66143">
            <w:pPr>
              <w:jc w:val="right"/>
              <w:rPr>
                <w:sz w:val="14"/>
                <w:szCs w:val="14"/>
              </w:rPr>
            </w:pPr>
            <w:r w:rsidRPr="00005453">
              <w:rPr>
                <w:sz w:val="14"/>
                <w:szCs w:val="18"/>
              </w:rPr>
              <w:t>74,473,584</w:t>
            </w:r>
          </w:p>
        </w:tc>
        <w:tc>
          <w:tcPr>
            <w:tcW w:w="850" w:type="dxa"/>
            <w:tcBorders>
              <w:top w:val="nil"/>
              <w:left w:val="nil"/>
              <w:bottom w:val="nil"/>
              <w:right w:val="nil"/>
            </w:tcBorders>
            <w:shd w:val="clear" w:color="auto" w:fill="auto"/>
            <w:vAlign w:val="center"/>
            <w:hideMark/>
          </w:tcPr>
          <w:p w14:paraId="18E96C27" w14:textId="4DC68616" w:rsidR="00F66143" w:rsidRPr="00005453" w:rsidRDefault="00F66143" w:rsidP="00F66143">
            <w:pPr>
              <w:jc w:val="right"/>
              <w:rPr>
                <w:sz w:val="14"/>
                <w:szCs w:val="14"/>
              </w:rPr>
            </w:pPr>
            <w:r w:rsidRPr="00005453">
              <w:rPr>
                <w:sz w:val="14"/>
                <w:szCs w:val="18"/>
              </w:rPr>
              <w:t>155,175,366</w:t>
            </w:r>
          </w:p>
        </w:tc>
        <w:tc>
          <w:tcPr>
            <w:tcW w:w="851" w:type="dxa"/>
            <w:tcBorders>
              <w:top w:val="nil"/>
              <w:left w:val="nil"/>
              <w:bottom w:val="nil"/>
              <w:right w:val="nil"/>
            </w:tcBorders>
            <w:shd w:val="clear" w:color="auto" w:fill="auto"/>
            <w:vAlign w:val="center"/>
            <w:hideMark/>
          </w:tcPr>
          <w:p w14:paraId="4DE6DB0D" w14:textId="729A356F" w:rsidR="00F66143" w:rsidRPr="00005453" w:rsidRDefault="00F66143" w:rsidP="00F66143">
            <w:pPr>
              <w:jc w:val="right"/>
              <w:rPr>
                <w:sz w:val="14"/>
                <w:szCs w:val="14"/>
              </w:rPr>
            </w:pPr>
            <w:r w:rsidRPr="00005453">
              <w:rPr>
                <w:sz w:val="14"/>
                <w:szCs w:val="18"/>
              </w:rPr>
              <w:t>88,240,074</w:t>
            </w:r>
          </w:p>
        </w:tc>
        <w:tc>
          <w:tcPr>
            <w:tcW w:w="850" w:type="dxa"/>
            <w:tcBorders>
              <w:top w:val="nil"/>
              <w:left w:val="nil"/>
              <w:bottom w:val="nil"/>
              <w:right w:val="nil"/>
            </w:tcBorders>
            <w:shd w:val="clear" w:color="auto" w:fill="auto"/>
            <w:vAlign w:val="center"/>
            <w:hideMark/>
          </w:tcPr>
          <w:p w14:paraId="2C6E551F" w14:textId="39482DD3" w:rsidR="00F66143" w:rsidRPr="00005453" w:rsidRDefault="00F66143" w:rsidP="00F66143">
            <w:pPr>
              <w:jc w:val="right"/>
              <w:rPr>
                <w:sz w:val="14"/>
                <w:szCs w:val="14"/>
              </w:rPr>
            </w:pPr>
            <w:r w:rsidRPr="00005453">
              <w:rPr>
                <w:sz w:val="14"/>
                <w:szCs w:val="18"/>
              </w:rPr>
              <w:t>4,978,428</w:t>
            </w:r>
          </w:p>
        </w:tc>
        <w:tc>
          <w:tcPr>
            <w:tcW w:w="1134" w:type="dxa"/>
            <w:tcBorders>
              <w:top w:val="nil"/>
              <w:left w:val="nil"/>
              <w:bottom w:val="nil"/>
              <w:right w:val="nil"/>
            </w:tcBorders>
            <w:shd w:val="clear" w:color="auto" w:fill="auto"/>
            <w:vAlign w:val="center"/>
            <w:hideMark/>
          </w:tcPr>
          <w:p w14:paraId="1FC4401C" w14:textId="2112C308" w:rsidR="00F66143" w:rsidRPr="00005453" w:rsidRDefault="00F66143" w:rsidP="00F66143">
            <w:pPr>
              <w:jc w:val="right"/>
              <w:rPr>
                <w:sz w:val="14"/>
                <w:szCs w:val="14"/>
              </w:rPr>
            </w:pPr>
            <w:r w:rsidRPr="00005453">
              <w:rPr>
                <w:sz w:val="14"/>
                <w:szCs w:val="18"/>
              </w:rPr>
              <w:t>(5,815,054)</w:t>
            </w:r>
          </w:p>
        </w:tc>
        <w:tc>
          <w:tcPr>
            <w:tcW w:w="851" w:type="dxa"/>
            <w:tcBorders>
              <w:top w:val="nil"/>
              <w:left w:val="nil"/>
              <w:bottom w:val="nil"/>
              <w:right w:val="nil"/>
            </w:tcBorders>
            <w:shd w:val="clear" w:color="auto" w:fill="auto"/>
            <w:vAlign w:val="center"/>
            <w:hideMark/>
          </w:tcPr>
          <w:p w14:paraId="46DC2E57" w14:textId="523139E8" w:rsidR="00F66143" w:rsidRPr="00005453" w:rsidRDefault="00F66143" w:rsidP="00F66143">
            <w:pPr>
              <w:jc w:val="right"/>
              <w:rPr>
                <w:sz w:val="14"/>
                <w:szCs w:val="14"/>
              </w:rPr>
            </w:pPr>
            <w:r w:rsidRPr="00005453">
              <w:rPr>
                <w:sz w:val="14"/>
                <w:szCs w:val="18"/>
              </w:rPr>
              <w:t>421,823,427</w:t>
            </w:r>
          </w:p>
        </w:tc>
      </w:tr>
      <w:tr w:rsidR="00F66143" w:rsidRPr="00005453" w14:paraId="3794CEE3" w14:textId="77777777" w:rsidTr="00F66143">
        <w:trPr>
          <w:divId w:val="1396393111"/>
          <w:trHeight w:val="98"/>
        </w:trPr>
        <w:tc>
          <w:tcPr>
            <w:tcW w:w="2977" w:type="dxa"/>
            <w:tcBorders>
              <w:top w:val="nil"/>
              <w:left w:val="nil"/>
              <w:bottom w:val="nil"/>
              <w:right w:val="nil"/>
            </w:tcBorders>
            <w:shd w:val="clear" w:color="auto" w:fill="auto"/>
            <w:noWrap/>
            <w:hideMark/>
          </w:tcPr>
          <w:p w14:paraId="4D3BA587" w14:textId="77777777" w:rsidR="00F66143" w:rsidRPr="00005453" w:rsidRDefault="00F66143" w:rsidP="00F66143">
            <w:pPr>
              <w:rPr>
                <w:sz w:val="14"/>
                <w:szCs w:val="14"/>
                <w:lang w:eastAsia="tr-TR"/>
              </w:rPr>
            </w:pPr>
            <w:r w:rsidRPr="00005453">
              <w:rPr>
                <w:sz w:val="14"/>
                <w:szCs w:val="14"/>
                <w:lang w:eastAsia="tr-TR"/>
              </w:rPr>
              <w:t>İtfa edilmiş maliyeti ile değerlenen finansal varlıklar</w:t>
            </w:r>
          </w:p>
        </w:tc>
        <w:tc>
          <w:tcPr>
            <w:tcW w:w="992" w:type="dxa"/>
            <w:tcBorders>
              <w:top w:val="nil"/>
              <w:left w:val="nil"/>
              <w:bottom w:val="nil"/>
              <w:right w:val="nil"/>
            </w:tcBorders>
            <w:shd w:val="clear" w:color="auto" w:fill="auto"/>
            <w:vAlign w:val="center"/>
            <w:hideMark/>
          </w:tcPr>
          <w:p w14:paraId="0449FF5E" w14:textId="7278AA59"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25D66C07" w14:textId="24B0FFD1" w:rsidR="00F66143" w:rsidRPr="00005453" w:rsidRDefault="00F66143" w:rsidP="00F66143">
            <w:pPr>
              <w:jc w:val="right"/>
              <w:rPr>
                <w:sz w:val="14"/>
                <w:szCs w:val="14"/>
              </w:rPr>
            </w:pPr>
            <w:r w:rsidRPr="00005453">
              <w:rPr>
                <w:sz w:val="14"/>
                <w:szCs w:val="18"/>
              </w:rPr>
              <w:t>7,456,463</w:t>
            </w:r>
          </w:p>
        </w:tc>
        <w:tc>
          <w:tcPr>
            <w:tcW w:w="929" w:type="dxa"/>
            <w:tcBorders>
              <w:top w:val="nil"/>
              <w:left w:val="nil"/>
              <w:bottom w:val="nil"/>
              <w:right w:val="nil"/>
            </w:tcBorders>
            <w:shd w:val="clear" w:color="auto" w:fill="auto"/>
            <w:vAlign w:val="center"/>
            <w:hideMark/>
          </w:tcPr>
          <w:p w14:paraId="2DFB08D5" w14:textId="42ADFF94"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128EA760" w14:textId="37F08EB3" w:rsidR="00F66143" w:rsidRPr="00005453" w:rsidRDefault="00F66143" w:rsidP="00F66143">
            <w:pPr>
              <w:jc w:val="right"/>
              <w:rPr>
                <w:sz w:val="14"/>
                <w:szCs w:val="14"/>
              </w:rPr>
            </w:pPr>
            <w:r w:rsidRPr="00005453">
              <w:rPr>
                <w:sz w:val="14"/>
                <w:szCs w:val="18"/>
              </w:rPr>
              <w:t>4,679,538</w:t>
            </w:r>
          </w:p>
        </w:tc>
        <w:tc>
          <w:tcPr>
            <w:tcW w:w="851" w:type="dxa"/>
            <w:tcBorders>
              <w:top w:val="nil"/>
              <w:left w:val="nil"/>
              <w:bottom w:val="nil"/>
              <w:right w:val="nil"/>
            </w:tcBorders>
            <w:shd w:val="clear" w:color="auto" w:fill="auto"/>
            <w:vAlign w:val="center"/>
            <w:hideMark/>
          </w:tcPr>
          <w:p w14:paraId="05B7D91B" w14:textId="53C96554" w:rsidR="00F66143" w:rsidRPr="00005453" w:rsidRDefault="00F66143" w:rsidP="00F66143">
            <w:pPr>
              <w:jc w:val="right"/>
              <w:rPr>
                <w:sz w:val="14"/>
                <w:szCs w:val="14"/>
              </w:rPr>
            </w:pPr>
            <w:r w:rsidRPr="00005453">
              <w:rPr>
                <w:sz w:val="14"/>
                <w:szCs w:val="18"/>
              </w:rPr>
              <w:t>36,104,938</w:t>
            </w:r>
          </w:p>
        </w:tc>
        <w:tc>
          <w:tcPr>
            <w:tcW w:w="850" w:type="dxa"/>
            <w:tcBorders>
              <w:top w:val="nil"/>
              <w:left w:val="nil"/>
              <w:bottom w:val="nil"/>
              <w:right w:val="nil"/>
            </w:tcBorders>
            <w:shd w:val="clear" w:color="auto" w:fill="auto"/>
            <w:vAlign w:val="center"/>
            <w:hideMark/>
          </w:tcPr>
          <w:p w14:paraId="7910A25E" w14:textId="0CD79B2D" w:rsidR="00F66143" w:rsidRPr="00005453" w:rsidRDefault="00F66143" w:rsidP="00F66143">
            <w:pPr>
              <w:jc w:val="right"/>
              <w:rPr>
                <w:sz w:val="14"/>
                <w:szCs w:val="14"/>
              </w:rPr>
            </w:pPr>
            <w:r w:rsidRPr="00005453">
              <w:rPr>
                <w:sz w:val="14"/>
                <w:szCs w:val="18"/>
              </w:rPr>
              <w:t>7,782,936</w:t>
            </w:r>
          </w:p>
        </w:tc>
        <w:tc>
          <w:tcPr>
            <w:tcW w:w="1134" w:type="dxa"/>
            <w:tcBorders>
              <w:top w:val="nil"/>
              <w:left w:val="nil"/>
              <w:bottom w:val="nil"/>
              <w:right w:val="nil"/>
            </w:tcBorders>
            <w:shd w:val="clear" w:color="auto" w:fill="auto"/>
            <w:vAlign w:val="center"/>
            <w:hideMark/>
          </w:tcPr>
          <w:p w14:paraId="0E31EDE2" w14:textId="4668BA61" w:rsidR="00F66143" w:rsidRPr="00005453" w:rsidRDefault="00F66143" w:rsidP="00F66143">
            <w:pPr>
              <w:jc w:val="right"/>
              <w:rPr>
                <w:sz w:val="14"/>
                <w:szCs w:val="14"/>
              </w:rPr>
            </w:pPr>
            <w:r w:rsidRPr="00005453">
              <w:rPr>
                <w:sz w:val="14"/>
                <w:szCs w:val="18"/>
              </w:rPr>
              <w:t>(63,024)</w:t>
            </w:r>
          </w:p>
        </w:tc>
        <w:tc>
          <w:tcPr>
            <w:tcW w:w="851" w:type="dxa"/>
            <w:tcBorders>
              <w:top w:val="nil"/>
              <w:left w:val="nil"/>
              <w:bottom w:val="nil"/>
              <w:right w:val="nil"/>
            </w:tcBorders>
            <w:shd w:val="clear" w:color="auto" w:fill="auto"/>
            <w:vAlign w:val="center"/>
            <w:hideMark/>
          </w:tcPr>
          <w:p w14:paraId="2C7FA2C9" w14:textId="653526F1" w:rsidR="00F66143" w:rsidRPr="00005453" w:rsidRDefault="00F66143" w:rsidP="00F66143">
            <w:pPr>
              <w:jc w:val="right"/>
              <w:rPr>
                <w:sz w:val="14"/>
                <w:szCs w:val="14"/>
              </w:rPr>
            </w:pPr>
            <w:r w:rsidRPr="00005453">
              <w:rPr>
                <w:sz w:val="14"/>
                <w:szCs w:val="18"/>
              </w:rPr>
              <w:t>55,960,851</w:t>
            </w:r>
          </w:p>
        </w:tc>
      </w:tr>
      <w:tr w:rsidR="00F66143" w:rsidRPr="00005453" w14:paraId="4C76E4FC" w14:textId="77777777" w:rsidTr="00F66143">
        <w:trPr>
          <w:divId w:val="1396393111"/>
          <w:trHeight w:val="68"/>
        </w:trPr>
        <w:tc>
          <w:tcPr>
            <w:tcW w:w="2977" w:type="dxa"/>
            <w:tcBorders>
              <w:top w:val="nil"/>
              <w:left w:val="nil"/>
              <w:bottom w:val="single" w:sz="8" w:space="0" w:color="auto"/>
              <w:right w:val="nil"/>
            </w:tcBorders>
            <w:shd w:val="clear" w:color="auto" w:fill="auto"/>
            <w:noWrap/>
            <w:hideMark/>
          </w:tcPr>
          <w:p w14:paraId="62D1BA72" w14:textId="77777777" w:rsidR="00F66143" w:rsidRPr="00005453" w:rsidRDefault="00F66143" w:rsidP="00F66143">
            <w:pPr>
              <w:rPr>
                <w:sz w:val="14"/>
                <w:szCs w:val="14"/>
                <w:lang w:eastAsia="tr-TR"/>
              </w:rPr>
            </w:pPr>
            <w:r w:rsidRPr="00005453">
              <w:rPr>
                <w:sz w:val="14"/>
                <w:szCs w:val="14"/>
                <w:lang w:eastAsia="tr-TR"/>
              </w:rPr>
              <w:t>Diğer varlıklar (***)</w:t>
            </w:r>
          </w:p>
        </w:tc>
        <w:tc>
          <w:tcPr>
            <w:tcW w:w="992" w:type="dxa"/>
            <w:tcBorders>
              <w:top w:val="nil"/>
              <w:left w:val="nil"/>
              <w:bottom w:val="single" w:sz="8" w:space="0" w:color="auto"/>
              <w:right w:val="nil"/>
            </w:tcBorders>
            <w:shd w:val="clear" w:color="auto" w:fill="auto"/>
            <w:vAlign w:val="center"/>
            <w:hideMark/>
          </w:tcPr>
          <w:p w14:paraId="22EA9B68" w14:textId="5346463A" w:rsidR="00F66143" w:rsidRPr="00005453" w:rsidRDefault="00F66143" w:rsidP="00F66143">
            <w:pPr>
              <w:jc w:val="right"/>
              <w:rPr>
                <w:sz w:val="14"/>
                <w:szCs w:val="14"/>
              </w:rPr>
            </w:pPr>
            <w:r w:rsidRPr="00005453">
              <w:rPr>
                <w:sz w:val="14"/>
                <w:szCs w:val="18"/>
              </w:rPr>
              <w:t>760,973</w:t>
            </w:r>
          </w:p>
        </w:tc>
        <w:tc>
          <w:tcPr>
            <w:tcW w:w="914" w:type="dxa"/>
            <w:tcBorders>
              <w:top w:val="nil"/>
              <w:left w:val="nil"/>
              <w:bottom w:val="single" w:sz="8" w:space="0" w:color="auto"/>
              <w:right w:val="nil"/>
            </w:tcBorders>
            <w:shd w:val="clear" w:color="auto" w:fill="auto"/>
            <w:vAlign w:val="center"/>
            <w:hideMark/>
          </w:tcPr>
          <w:p w14:paraId="1D589F27" w14:textId="215FBF92" w:rsidR="00F66143" w:rsidRPr="00005453" w:rsidRDefault="00F66143" w:rsidP="00F66143">
            <w:pPr>
              <w:jc w:val="right"/>
              <w:rPr>
                <w:sz w:val="14"/>
                <w:szCs w:val="14"/>
              </w:rPr>
            </w:pPr>
            <w:r w:rsidRPr="00005453">
              <w:rPr>
                <w:sz w:val="14"/>
                <w:szCs w:val="18"/>
              </w:rPr>
              <w:t>8,316,412</w:t>
            </w:r>
          </w:p>
        </w:tc>
        <w:tc>
          <w:tcPr>
            <w:tcW w:w="929" w:type="dxa"/>
            <w:tcBorders>
              <w:top w:val="nil"/>
              <w:left w:val="nil"/>
              <w:bottom w:val="single" w:sz="8" w:space="0" w:color="auto"/>
              <w:right w:val="nil"/>
            </w:tcBorders>
            <w:shd w:val="clear" w:color="auto" w:fill="auto"/>
            <w:vAlign w:val="center"/>
            <w:hideMark/>
          </w:tcPr>
          <w:p w14:paraId="6BDE61C0" w14:textId="7FC3DE82" w:rsidR="00F66143" w:rsidRPr="00005453" w:rsidRDefault="00F66143" w:rsidP="00F66143">
            <w:pPr>
              <w:jc w:val="right"/>
              <w:rPr>
                <w:sz w:val="14"/>
                <w:szCs w:val="14"/>
              </w:rPr>
            </w:pPr>
            <w:r w:rsidRPr="00005453">
              <w:rPr>
                <w:sz w:val="14"/>
                <w:szCs w:val="18"/>
              </w:rPr>
              <w:t>54,749</w:t>
            </w:r>
          </w:p>
        </w:tc>
        <w:tc>
          <w:tcPr>
            <w:tcW w:w="850" w:type="dxa"/>
            <w:tcBorders>
              <w:top w:val="nil"/>
              <w:left w:val="nil"/>
              <w:bottom w:val="single" w:sz="8" w:space="0" w:color="auto"/>
              <w:right w:val="nil"/>
            </w:tcBorders>
            <w:shd w:val="clear" w:color="auto" w:fill="auto"/>
            <w:vAlign w:val="center"/>
            <w:hideMark/>
          </w:tcPr>
          <w:p w14:paraId="4D58E0A2" w14:textId="53ADA3CC" w:rsidR="00F66143" w:rsidRPr="00005453" w:rsidRDefault="00F66143" w:rsidP="00F66143">
            <w:pPr>
              <w:jc w:val="right"/>
              <w:rPr>
                <w:sz w:val="14"/>
                <w:szCs w:val="14"/>
              </w:rPr>
            </w:pPr>
            <w:r w:rsidRPr="00005453">
              <w:rPr>
                <w:sz w:val="14"/>
                <w:szCs w:val="18"/>
              </w:rPr>
              <w:t>-</w:t>
            </w:r>
          </w:p>
        </w:tc>
        <w:tc>
          <w:tcPr>
            <w:tcW w:w="851" w:type="dxa"/>
            <w:tcBorders>
              <w:top w:val="nil"/>
              <w:left w:val="nil"/>
              <w:bottom w:val="single" w:sz="8" w:space="0" w:color="auto"/>
              <w:right w:val="nil"/>
            </w:tcBorders>
            <w:shd w:val="clear" w:color="auto" w:fill="auto"/>
            <w:vAlign w:val="center"/>
            <w:hideMark/>
          </w:tcPr>
          <w:p w14:paraId="65AE979E" w14:textId="6D93754D" w:rsidR="00F66143" w:rsidRPr="00005453" w:rsidRDefault="00F66143" w:rsidP="00F66143">
            <w:pPr>
              <w:jc w:val="right"/>
              <w:rPr>
                <w:sz w:val="14"/>
                <w:szCs w:val="14"/>
              </w:rPr>
            </w:pPr>
            <w:r w:rsidRPr="00005453">
              <w:rPr>
                <w:sz w:val="14"/>
                <w:szCs w:val="18"/>
              </w:rPr>
              <w:t>8,340,450</w:t>
            </w:r>
          </w:p>
        </w:tc>
        <w:tc>
          <w:tcPr>
            <w:tcW w:w="850" w:type="dxa"/>
            <w:tcBorders>
              <w:top w:val="nil"/>
              <w:left w:val="nil"/>
              <w:bottom w:val="single" w:sz="8" w:space="0" w:color="auto"/>
              <w:right w:val="nil"/>
            </w:tcBorders>
            <w:shd w:val="clear" w:color="auto" w:fill="auto"/>
            <w:vAlign w:val="center"/>
            <w:hideMark/>
          </w:tcPr>
          <w:p w14:paraId="75FB7065" w14:textId="4579D383" w:rsidR="00F66143" w:rsidRPr="00005453" w:rsidRDefault="00F66143" w:rsidP="00F66143">
            <w:pPr>
              <w:jc w:val="right"/>
              <w:rPr>
                <w:sz w:val="14"/>
                <w:szCs w:val="14"/>
              </w:rPr>
            </w:pPr>
            <w:r w:rsidRPr="00005453">
              <w:rPr>
                <w:sz w:val="14"/>
                <w:szCs w:val="18"/>
              </w:rPr>
              <w:t>-</w:t>
            </w:r>
          </w:p>
        </w:tc>
        <w:tc>
          <w:tcPr>
            <w:tcW w:w="1134" w:type="dxa"/>
            <w:tcBorders>
              <w:top w:val="nil"/>
              <w:left w:val="nil"/>
              <w:bottom w:val="single" w:sz="8" w:space="0" w:color="auto"/>
              <w:right w:val="nil"/>
            </w:tcBorders>
            <w:shd w:val="clear" w:color="auto" w:fill="auto"/>
            <w:vAlign w:val="center"/>
            <w:hideMark/>
          </w:tcPr>
          <w:p w14:paraId="4A13D764" w14:textId="2FF06649" w:rsidR="00F66143" w:rsidRPr="00005453" w:rsidRDefault="00F66143" w:rsidP="00F66143">
            <w:pPr>
              <w:jc w:val="right"/>
              <w:rPr>
                <w:sz w:val="14"/>
                <w:szCs w:val="14"/>
              </w:rPr>
            </w:pPr>
            <w:r w:rsidRPr="00005453">
              <w:rPr>
                <w:sz w:val="14"/>
                <w:szCs w:val="18"/>
              </w:rPr>
              <w:t>13,535,239</w:t>
            </w:r>
          </w:p>
        </w:tc>
        <w:tc>
          <w:tcPr>
            <w:tcW w:w="851" w:type="dxa"/>
            <w:tcBorders>
              <w:top w:val="nil"/>
              <w:left w:val="nil"/>
              <w:bottom w:val="single" w:sz="8" w:space="0" w:color="auto"/>
              <w:right w:val="nil"/>
            </w:tcBorders>
            <w:shd w:val="clear" w:color="auto" w:fill="auto"/>
            <w:vAlign w:val="center"/>
            <w:hideMark/>
          </w:tcPr>
          <w:p w14:paraId="763AE52D" w14:textId="309E7791" w:rsidR="00F66143" w:rsidRPr="00005453" w:rsidRDefault="00F66143" w:rsidP="00F66143">
            <w:pPr>
              <w:jc w:val="right"/>
              <w:rPr>
                <w:sz w:val="14"/>
                <w:szCs w:val="14"/>
              </w:rPr>
            </w:pPr>
            <w:r w:rsidRPr="00005453">
              <w:rPr>
                <w:sz w:val="14"/>
                <w:szCs w:val="18"/>
              </w:rPr>
              <w:t>31,007,823</w:t>
            </w:r>
          </w:p>
        </w:tc>
      </w:tr>
      <w:tr w:rsidR="00F66143" w:rsidRPr="00005453" w14:paraId="510AB5E8" w14:textId="77777777" w:rsidTr="00F66143">
        <w:trPr>
          <w:divId w:val="1396393111"/>
          <w:trHeight w:val="44"/>
        </w:trPr>
        <w:tc>
          <w:tcPr>
            <w:tcW w:w="2977" w:type="dxa"/>
            <w:tcBorders>
              <w:top w:val="nil"/>
              <w:left w:val="nil"/>
              <w:bottom w:val="single" w:sz="8" w:space="0" w:color="auto"/>
              <w:right w:val="nil"/>
            </w:tcBorders>
            <w:shd w:val="clear" w:color="auto" w:fill="auto"/>
            <w:hideMark/>
          </w:tcPr>
          <w:p w14:paraId="083B7848" w14:textId="77777777" w:rsidR="00F66143" w:rsidRPr="00005453" w:rsidRDefault="00F66143" w:rsidP="00F66143">
            <w:pPr>
              <w:rPr>
                <w:b/>
                <w:bCs/>
                <w:sz w:val="14"/>
                <w:szCs w:val="14"/>
                <w:lang w:eastAsia="tr-TR"/>
              </w:rPr>
            </w:pPr>
            <w:r w:rsidRPr="00005453">
              <w:rPr>
                <w:b/>
                <w:bCs/>
                <w:sz w:val="14"/>
                <w:szCs w:val="14"/>
                <w:lang w:eastAsia="tr-TR"/>
              </w:rPr>
              <w:t>Toplam Varlıklar</w:t>
            </w:r>
          </w:p>
        </w:tc>
        <w:tc>
          <w:tcPr>
            <w:tcW w:w="992" w:type="dxa"/>
            <w:tcBorders>
              <w:top w:val="nil"/>
              <w:left w:val="nil"/>
              <w:bottom w:val="single" w:sz="8" w:space="0" w:color="auto"/>
              <w:right w:val="nil"/>
            </w:tcBorders>
            <w:shd w:val="clear" w:color="auto" w:fill="auto"/>
            <w:vAlign w:val="center"/>
            <w:hideMark/>
          </w:tcPr>
          <w:p w14:paraId="6C8228BC" w14:textId="07CCFC38" w:rsidR="00F66143" w:rsidRPr="00005453" w:rsidRDefault="00F66143" w:rsidP="00F66143">
            <w:pPr>
              <w:jc w:val="right"/>
              <w:rPr>
                <w:b/>
                <w:bCs/>
                <w:sz w:val="14"/>
                <w:szCs w:val="14"/>
              </w:rPr>
            </w:pPr>
            <w:r w:rsidRPr="00005453">
              <w:rPr>
                <w:b/>
                <w:bCs/>
                <w:sz w:val="14"/>
                <w:szCs w:val="18"/>
              </w:rPr>
              <w:t>163,471,651</w:t>
            </w:r>
          </w:p>
        </w:tc>
        <w:tc>
          <w:tcPr>
            <w:tcW w:w="914" w:type="dxa"/>
            <w:tcBorders>
              <w:top w:val="nil"/>
              <w:left w:val="nil"/>
              <w:bottom w:val="single" w:sz="8" w:space="0" w:color="auto"/>
              <w:right w:val="nil"/>
            </w:tcBorders>
            <w:shd w:val="clear" w:color="auto" w:fill="auto"/>
            <w:vAlign w:val="center"/>
            <w:hideMark/>
          </w:tcPr>
          <w:p w14:paraId="5861B88B" w14:textId="103A1E90" w:rsidR="00F66143" w:rsidRPr="00005453" w:rsidRDefault="00F66143" w:rsidP="00F66143">
            <w:pPr>
              <w:jc w:val="right"/>
              <w:rPr>
                <w:b/>
                <w:bCs/>
                <w:sz w:val="14"/>
                <w:szCs w:val="14"/>
              </w:rPr>
            </w:pPr>
            <w:r w:rsidRPr="00005453">
              <w:rPr>
                <w:b/>
                <w:bCs/>
                <w:sz w:val="14"/>
                <w:szCs w:val="18"/>
              </w:rPr>
              <w:t>213,703,659</w:t>
            </w:r>
          </w:p>
        </w:tc>
        <w:tc>
          <w:tcPr>
            <w:tcW w:w="929" w:type="dxa"/>
            <w:tcBorders>
              <w:top w:val="nil"/>
              <w:left w:val="nil"/>
              <w:bottom w:val="single" w:sz="8" w:space="0" w:color="auto"/>
              <w:right w:val="nil"/>
            </w:tcBorders>
            <w:shd w:val="clear" w:color="auto" w:fill="auto"/>
            <w:vAlign w:val="center"/>
            <w:hideMark/>
          </w:tcPr>
          <w:p w14:paraId="37F19D44" w14:textId="1751D4A4" w:rsidR="00F66143" w:rsidRPr="00005453" w:rsidRDefault="00F66143" w:rsidP="00F66143">
            <w:pPr>
              <w:jc w:val="right"/>
              <w:rPr>
                <w:b/>
                <w:bCs/>
                <w:sz w:val="14"/>
                <w:szCs w:val="14"/>
              </w:rPr>
            </w:pPr>
            <w:r w:rsidRPr="00005453">
              <w:rPr>
                <w:b/>
                <w:bCs/>
                <w:sz w:val="14"/>
                <w:szCs w:val="18"/>
              </w:rPr>
              <w:t>74,539,340</w:t>
            </w:r>
          </w:p>
        </w:tc>
        <w:tc>
          <w:tcPr>
            <w:tcW w:w="850" w:type="dxa"/>
            <w:tcBorders>
              <w:top w:val="nil"/>
              <w:left w:val="nil"/>
              <w:bottom w:val="single" w:sz="8" w:space="0" w:color="auto"/>
              <w:right w:val="nil"/>
            </w:tcBorders>
            <w:shd w:val="clear" w:color="auto" w:fill="auto"/>
            <w:vAlign w:val="center"/>
            <w:hideMark/>
          </w:tcPr>
          <w:p w14:paraId="4B2AFB57" w14:textId="66235B88" w:rsidR="00F66143" w:rsidRPr="00005453" w:rsidRDefault="00F66143" w:rsidP="00F66143">
            <w:pPr>
              <w:jc w:val="right"/>
              <w:rPr>
                <w:b/>
                <w:bCs/>
                <w:sz w:val="14"/>
                <w:szCs w:val="14"/>
              </w:rPr>
            </w:pPr>
            <w:r w:rsidRPr="00005453">
              <w:rPr>
                <w:b/>
                <w:bCs/>
                <w:sz w:val="14"/>
                <w:szCs w:val="18"/>
              </w:rPr>
              <w:t>169,980,390</w:t>
            </w:r>
          </w:p>
        </w:tc>
        <w:tc>
          <w:tcPr>
            <w:tcW w:w="851" w:type="dxa"/>
            <w:tcBorders>
              <w:top w:val="nil"/>
              <w:left w:val="nil"/>
              <w:bottom w:val="single" w:sz="8" w:space="0" w:color="auto"/>
              <w:right w:val="nil"/>
            </w:tcBorders>
            <w:shd w:val="clear" w:color="auto" w:fill="auto"/>
            <w:vAlign w:val="center"/>
            <w:hideMark/>
          </w:tcPr>
          <w:p w14:paraId="4AF916F1" w14:textId="16D9192E" w:rsidR="00F66143" w:rsidRPr="00005453" w:rsidRDefault="00F66143" w:rsidP="00F66143">
            <w:pPr>
              <w:jc w:val="right"/>
              <w:rPr>
                <w:b/>
                <w:bCs/>
                <w:sz w:val="14"/>
                <w:szCs w:val="14"/>
              </w:rPr>
            </w:pPr>
            <w:r w:rsidRPr="00005453">
              <w:rPr>
                <w:b/>
                <w:bCs/>
                <w:sz w:val="14"/>
                <w:szCs w:val="18"/>
              </w:rPr>
              <w:t>175,401,749</w:t>
            </w:r>
          </w:p>
        </w:tc>
        <w:tc>
          <w:tcPr>
            <w:tcW w:w="850" w:type="dxa"/>
            <w:tcBorders>
              <w:top w:val="nil"/>
              <w:left w:val="nil"/>
              <w:bottom w:val="single" w:sz="8" w:space="0" w:color="auto"/>
              <w:right w:val="nil"/>
            </w:tcBorders>
            <w:shd w:val="clear" w:color="auto" w:fill="auto"/>
            <w:vAlign w:val="center"/>
            <w:hideMark/>
          </w:tcPr>
          <w:p w14:paraId="50F1E953" w14:textId="3BC5386A" w:rsidR="00F66143" w:rsidRPr="00005453" w:rsidRDefault="00F66143" w:rsidP="00F66143">
            <w:pPr>
              <w:jc w:val="right"/>
              <w:rPr>
                <w:b/>
                <w:bCs/>
                <w:sz w:val="14"/>
                <w:szCs w:val="14"/>
              </w:rPr>
            </w:pPr>
            <w:r w:rsidRPr="00005453">
              <w:rPr>
                <w:b/>
                <w:bCs/>
                <w:sz w:val="14"/>
                <w:szCs w:val="18"/>
              </w:rPr>
              <w:t>31,154,881</w:t>
            </w:r>
          </w:p>
        </w:tc>
        <w:tc>
          <w:tcPr>
            <w:tcW w:w="1134" w:type="dxa"/>
            <w:tcBorders>
              <w:top w:val="nil"/>
              <w:left w:val="nil"/>
              <w:bottom w:val="single" w:sz="8" w:space="0" w:color="auto"/>
              <w:right w:val="nil"/>
            </w:tcBorders>
            <w:shd w:val="clear" w:color="auto" w:fill="auto"/>
            <w:vAlign w:val="center"/>
            <w:hideMark/>
          </w:tcPr>
          <w:p w14:paraId="6B9103D2" w14:textId="0A979581" w:rsidR="00F66143" w:rsidRPr="00005453" w:rsidRDefault="00F66143" w:rsidP="00F66143">
            <w:pPr>
              <w:jc w:val="right"/>
              <w:rPr>
                <w:b/>
                <w:bCs/>
                <w:sz w:val="14"/>
                <w:szCs w:val="14"/>
              </w:rPr>
            </w:pPr>
            <w:r w:rsidRPr="00005453">
              <w:rPr>
                <w:b/>
                <w:bCs/>
                <w:sz w:val="14"/>
                <w:szCs w:val="18"/>
              </w:rPr>
              <w:t>23,868,733</w:t>
            </w:r>
          </w:p>
        </w:tc>
        <w:tc>
          <w:tcPr>
            <w:tcW w:w="851" w:type="dxa"/>
            <w:tcBorders>
              <w:top w:val="nil"/>
              <w:left w:val="nil"/>
              <w:bottom w:val="single" w:sz="8" w:space="0" w:color="auto"/>
              <w:right w:val="nil"/>
            </w:tcBorders>
            <w:shd w:val="clear" w:color="auto" w:fill="auto"/>
            <w:vAlign w:val="center"/>
            <w:hideMark/>
          </w:tcPr>
          <w:p w14:paraId="354C73FE" w14:textId="1DA6AC9F" w:rsidR="00F66143" w:rsidRPr="00005453" w:rsidRDefault="00F66143" w:rsidP="00F66143">
            <w:pPr>
              <w:jc w:val="right"/>
              <w:rPr>
                <w:b/>
                <w:bCs/>
                <w:sz w:val="14"/>
                <w:szCs w:val="14"/>
              </w:rPr>
            </w:pPr>
            <w:r w:rsidRPr="00005453">
              <w:rPr>
                <w:b/>
                <w:bCs/>
                <w:sz w:val="14"/>
                <w:szCs w:val="18"/>
              </w:rPr>
              <w:t>852,120,403</w:t>
            </w:r>
          </w:p>
        </w:tc>
      </w:tr>
      <w:tr w:rsidR="00741C7D" w:rsidRPr="00005453" w14:paraId="3998FA08" w14:textId="77777777" w:rsidTr="00BD1BED">
        <w:trPr>
          <w:divId w:val="1396393111"/>
          <w:trHeight w:val="278"/>
        </w:trPr>
        <w:tc>
          <w:tcPr>
            <w:tcW w:w="2977" w:type="dxa"/>
            <w:tcBorders>
              <w:top w:val="nil"/>
              <w:left w:val="nil"/>
              <w:bottom w:val="nil"/>
              <w:right w:val="nil"/>
            </w:tcBorders>
            <w:shd w:val="clear" w:color="auto" w:fill="auto"/>
            <w:noWrap/>
            <w:hideMark/>
          </w:tcPr>
          <w:p w14:paraId="22F16EEF" w14:textId="77777777" w:rsidR="00741C7D" w:rsidRPr="00005453" w:rsidRDefault="00741C7D" w:rsidP="00CD2EB9">
            <w:pPr>
              <w:rPr>
                <w:b/>
                <w:bCs/>
                <w:sz w:val="14"/>
                <w:szCs w:val="14"/>
                <w:lang w:eastAsia="tr-TR"/>
              </w:rPr>
            </w:pPr>
            <w:r w:rsidRPr="00005453">
              <w:rPr>
                <w:b/>
                <w:bCs/>
                <w:sz w:val="14"/>
                <w:szCs w:val="14"/>
                <w:lang w:eastAsia="tr-TR"/>
              </w:rPr>
              <w:t>Yükümlülükler</w:t>
            </w:r>
          </w:p>
        </w:tc>
        <w:tc>
          <w:tcPr>
            <w:tcW w:w="992" w:type="dxa"/>
            <w:tcBorders>
              <w:top w:val="nil"/>
              <w:left w:val="nil"/>
              <w:bottom w:val="nil"/>
              <w:right w:val="nil"/>
            </w:tcBorders>
            <w:shd w:val="clear" w:color="auto" w:fill="auto"/>
          </w:tcPr>
          <w:p w14:paraId="23397EA6" w14:textId="14F549E8" w:rsidR="00741C7D" w:rsidRPr="00005453" w:rsidRDefault="00741C7D" w:rsidP="00CD2EB9">
            <w:pPr>
              <w:jc w:val="right"/>
              <w:rPr>
                <w:b/>
                <w:sz w:val="14"/>
                <w:szCs w:val="14"/>
                <w:lang w:eastAsia="tr-TR"/>
              </w:rPr>
            </w:pPr>
          </w:p>
        </w:tc>
        <w:tc>
          <w:tcPr>
            <w:tcW w:w="914" w:type="dxa"/>
            <w:tcBorders>
              <w:top w:val="nil"/>
              <w:left w:val="nil"/>
              <w:bottom w:val="nil"/>
              <w:right w:val="nil"/>
            </w:tcBorders>
            <w:shd w:val="clear" w:color="auto" w:fill="auto"/>
          </w:tcPr>
          <w:p w14:paraId="6FBC6624" w14:textId="212112DD" w:rsidR="00741C7D" w:rsidRPr="00005453" w:rsidRDefault="00741C7D" w:rsidP="00CD2EB9">
            <w:pPr>
              <w:jc w:val="right"/>
              <w:rPr>
                <w:b/>
                <w:sz w:val="14"/>
                <w:szCs w:val="14"/>
                <w:lang w:eastAsia="tr-TR"/>
              </w:rPr>
            </w:pPr>
          </w:p>
        </w:tc>
        <w:tc>
          <w:tcPr>
            <w:tcW w:w="929" w:type="dxa"/>
            <w:tcBorders>
              <w:top w:val="nil"/>
              <w:left w:val="nil"/>
              <w:bottom w:val="nil"/>
              <w:right w:val="nil"/>
            </w:tcBorders>
            <w:shd w:val="clear" w:color="auto" w:fill="auto"/>
          </w:tcPr>
          <w:p w14:paraId="29A769FE" w14:textId="0CDD7581" w:rsidR="00741C7D" w:rsidRPr="00005453" w:rsidRDefault="00741C7D" w:rsidP="00CD2EB9">
            <w:pPr>
              <w:jc w:val="right"/>
              <w:rPr>
                <w:b/>
                <w:sz w:val="14"/>
                <w:szCs w:val="14"/>
                <w:lang w:eastAsia="tr-TR"/>
              </w:rPr>
            </w:pPr>
          </w:p>
        </w:tc>
        <w:tc>
          <w:tcPr>
            <w:tcW w:w="850" w:type="dxa"/>
            <w:tcBorders>
              <w:top w:val="nil"/>
              <w:left w:val="nil"/>
              <w:bottom w:val="nil"/>
              <w:right w:val="nil"/>
            </w:tcBorders>
            <w:shd w:val="clear" w:color="auto" w:fill="auto"/>
          </w:tcPr>
          <w:p w14:paraId="1699F2F1" w14:textId="26F17D17" w:rsidR="00741C7D" w:rsidRPr="00005453" w:rsidRDefault="00741C7D" w:rsidP="00CD2EB9">
            <w:pPr>
              <w:jc w:val="right"/>
              <w:rPr>
                <w:b/>
                <w:sz w:val="14"/>
                <w:szCs w:val="14"/>
                <w:lang w:eastAsia="tr-TR"/>
              </w:rPr>
            </w:pPr>
          </w:p>
        </w:tc>
        <w:tc>
          <w:tcPr>
            <w:tcW w:w="851" w:type="dxa"/>
            <w:tcBorders>
              <w:top w:val="nil"/>
              <w:left w:val="nil"/>
              <w:bottom w:val="nil"/>
              <w:right w:val="nil"/>
            </w:tcBorders>
            <w:shd w:val="clear" w:color="auto" w:fill="auto"/>
          </w:tcPr>
          <w:p w14:paraId="2B09CDD6" w14:textId="1958A56D" w:rsidR="00741C7D" w:rsidRPr="00005453" w:rsidRDefault="00741C7D" w:rsidP="00CD2EB9">
            <w:pPr>
              <w:jc w:val="right"/>
              <w:rPr>
                <w:b/>
                <w:sz w:val="14"/>
                <w:szCs w:val="14"/>
                <w:lang w:eastAsia="tr-TR"/>
              </w:rPr>
            </w:pPr>
          </w:p>
        </w:tc>
        <w:tc>
          <w:tcPr>
            <w:tcW w:w="850" w:type="dxa"/>
            <w:tcBorders>
              <w:top w:val="nil"/>
              <w:left w:val="nil"/>
              <w:bottom w:val="nil"/>
              <w:right w:val="nil"/>
            </w:tcBorders>
            <w:shd w:val="clear" w:color="auto" w:fill="auto"/>
          </w:tcPr>
          <w:p w14:paraId="322A4CC1" w14:textId="78CEFC0E" w:rsidR="00741C7D" w:rsidRPr="00005453" w:rsidRDefault="00741C7D" w:rsidP="00CD2EB9">
            <w:pPr>
              <w:jc w:val="right"/>
              <w:rPr>
                <w:b/>
                <w:sz w:val="14"/>
                <w:szCs w:val="14"/>
                <w:lang w:eastAsia="tr-TR"/>
              </w:rPr>
            </w:pPr>
          </w:p>
        </w:tc>
        <w:tc>
          <w:tcPr>
            <w:tcW w:w="1134" w:type="dxa"/>
            <w:tcBorders>
              <w:top w:val="nil"/>
              <w:left w:val="nil"/>
              <w:bottom w:val="nil"/>
              <w:right w:val="nil"/>
            </w:tcBorders>
            <w:shd w:val="clear" w:color="auto" w:fill="auto"/>
          </w:tcPr>
          <w:p w14:paraId="1BCF62EE" w14:textId="37A8A926" w:rsidR="00741C7D" w:rsidRPr="00005453" w:rsidRDefault="00741C7D" w:rsidP="00CD2EB9">
            <w:pPr>
              <w:jc w:val="right"/>
              <w:rPr>
                <w:b/>
                <w:sz w:val="14"/>
                <w:szCs w:val="14"/>
                <w:lang w:eastAsia="tr-TR"/>
              </w:rPr>
            </w:pPr>
          </w:p>
        </w:tc>
        <w:tc>
          <w:tcPr>
            <w:tcW w:w="851" w:type="dxa"/>
            <w:tcBorders>
              <w:top w:val="nil"/>
              <w:left w:val="nil"/>
              <w:bottom w:val="nil"/>
              <w:right w:val="nil"/>
            </w:tcBorders>
            <w:shd w:val="clear" w:color="auto" w:fill="auto"/>
          </w:tcPr>
          <w:p w14:paraId="7E12FDA1" w14:textId="5C6DE301" w:rsidR="00741C7D" w:rsidRPr="00005453" w:rsidRDefault="00741C7D" w:rsidP="00CD2EB9">
            <w:pPr>
              <w:jc w:val="right"/>
              <w:rPr>
                <w:b/>
                <w:sz w:val="14"/>
                <w:szCs w:val="14"/>
                <w:lang w:eastAsia="tr-TR"/>
              </w:rPr>
            </w:pPr>
          </w:p>
        </w:tc>
      </w:tr>
      <w:tr w:rsidR="00F66143" w:rsidRPr="00005453" w14:paraId="56200D78" w14:textId="77777777" w:rsidTr="00F66143">
        <w:trPr>
          <w:divId w:val="1396393111"/>
          <w:trHeight w:val="278"/>
        </w:trPr>
        <w:tc>
          <w:tcPr>
            <w:tcW w:w="2977" w:type="dxa"/>
            <w:tcBorders>
              <w:top w:val="nil"/>
              <w:left w:val="nil"/>
              <w:bottom w:val="nil"/>
              <w:right w:val="nil"/>
            </w:tcBorders>
            <w:shd w:val="clear" w:color="auto" w:fill="auto"/>
            <w:noWrap/>
            <w:hideMark/>
          </w:tcPr>
          <w:p w14:paraId="3CBCD827" w14:textId="77777777" w:rsidR="00F66143" w:rsidRPr="00005453" w:rsidRDefault="00F66143" w:rsidP="00F66143">
            <w:pPr>
              <w:rPr>
                <w:sz w:val="14"/>
                <w:szCs w:val="14"/>
                <w:lang w:eastAsia="tr-TR"/>
              </w:rPr>
            </w:pPr>
            <w:r w:rsidRPr="00005453">
              <w:rPr>
                <w:sz w:val="14"/>
                <w:szCs w:val="14"/>
                <w:lang w:eastAsia="tr-TR"/>
              </w:rPr>
              <w:t>Özel cari hesap ve katılma hesapları aracılığı ile bankalardan toplanan fonlar</w:t>
            </w:r>
          </w:p>
        </w:tc>
        <w:tc>
          <w:tcPr>
            <w:tcW w:w="992" w:type="dxa"/>
            <w:tcBorders>
              <w:top w:val="nil"/>
              <w:left w:val="nil"/>
              <w:bottom w:val="nil"/>
              <w:right w:val="nil"/>
            </w:tcBorders>
            <w:shd w:val="clear" w:color="auto" w:fill="auto"/>
            <w:vAlign w:val="center"/>
            <w:hideMark/>
          </w:tcPr>
          <w:p w14:paraId="33BD2271" w14:textId="380B05B8" w:rsidR="00F66143" w:rsidRPr="00005453" w:rsidRDefault="00F66143" w:rsidP="00F66143">
            <w:pPr>
              <w:jc w:val="right"/>
              <w:rPr>
                <w:sz w:val="14"/>
                <w:szCs w:val="14"/>
              </w:rPr>
            </w:pPr>
            <w:r w:rsidRPr="00005453">
              <w:rPr>
                <w:sz w:val="14"/>
                <w:szCs w:val="18"/>
              </w:rPr>
              <w:t>2,014,236</w:t>
            </w:r>
          </w:p>
        </w:tc>
        <w:tc>
          <w:tcPr>
            <w:tcW w:w="914" w:type="dxa"/>
            <w:tcBorders>
              <w:top w:val="nil"/>
              <w:left w:val="nil"/>
              <w:bottom w:val="nil"/>
              <w:right w:val="nil"/>
            </w:tcBorders>
            <w:shd w:val="clear" w:color="auto" w:fill="auto"/>
            <w:vAlign w:val="center"/>
            <w:hideMark/>
          </w:tcPr>
          <w:p w14:paraId="79DF0D75" w14:textId="583048FE" w:rsidR="00F66143" w:rsidRPr="00005453" w:rsidRDefault="00F66143" w:rsidP="00F66143">
            <w:pPr>
              <w:jc w:val="right"/>
              <w:rPr>
                <w:sz w:val="14"/>
                <w:szCs w:val="14"/>
              </w:rPr>
            </w:pPr>
            <w:r w:rsidRPr="00005453">
              <w:rPr>
                <w:sz w:val="14"/>
                <w:szCs w:val="18"/>
              </w:rPr>
              <w:t>44</w:t>
            </w:r>
          </w:p>
        </w:tc>
        <w:tc>
          <w:tcPr>
            <w:tcW w:w="929" w:type="dxa"/>
            <w:tcBorders>
              <w:top w:val="nil"/>
              <w:left w:val="nil"/>
              <w:bottom w:val="nil"/>
              <w:right w:val="nil"/>
            </w:tcBorders>
            <w:shd w:val="clear" w:color="auto" w:fill="auto"/>
            <w:vAlign w:val="center"/>
            <w:hideMark/>
          </w:tcPr>
          <w:p w14:paraId="7D143B7C" w14:textId="2A0E69A9"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0C3AF92A" w14:textId="206F50E1"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4D757023" w14:textId="36C50212"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2D5BCB2E" w14:textId="311ED87D"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358E5CBB" w14:textId="209A2D40"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3188548A" w14:textId="405E89EC" w:rsidR="00F66143" w:rsidRPr="00005453" w:rsidRDefault="00F66143" w:rsidP="00F66143">
            <w:pPr>
              <w:jc w:val="right"/>
              <w:rPr>
                <w:sz w:val="14"/>
                <w:szCs w:val="14"/>
              </w:rPr>
            </w:pPr>
            <w:r w:rsidRPr="00005453">
              <w:rPr>
                <w:sz w:val="14"/>
                <w:szCs w:val="18"/>
              </w:rPr>
              <w:t>2,014,280</w:t>
            </w:r>
          </w:p>
        </w:tc>
      </w:tr>
      <w:tr w:rsidR="00F66143" w:rsidRPr="00005453" w14:paraId="46008317" w14:textId="77777777" w:rsidTr="00F66143">
        <w:trPr>
          <w:divId w:val="1396393111"/>
          <w:trHeight w:val="68"/>
        </w:trPr>
        <w:tc>
          <w:tcPr>
            <w:tcW w:w="2977" w:type="dxa"/>
            <w:tcBorders>
              <w:top w:val="nil"/>
              <w:left w:val="nil"/>
              <w:bottom w:val="nil"/>
              <w:right w:val="nil"/>
            </w:tcBorders>
            <w:shd w:val="clear" w:color="auto" w:fill="auto"/>
            <w:noWrap/>
            <w:hideMark/>
          </w:tcPr>
          <w:p w14:paraId="26B19E8B" w14:textId="77777777" w:rsidR="00F66143" w:rsidRPr="00005453" w:rsidRDefault="00F66143" w:rsidP="00F66143">
            <w:pPr>
              <w:rPr>
                <w:sz w:val="14"/>
                <w:szCs w:val="14"/>
                <w:lang w:eastAsia="tr-TR"/>
              </w:rPr>
            </w:pPr>
            <w:r w:rsidRPr="00005453">
              <w:rPr>
                <w:sz w:val="14"/>
                <w:szCs w:val="14"/>
                <w:lang w:eastAsia="tr-TR"/>
              </w:rPr>
              <w:t>Diğer özel cari hesap ve katılma hesapları</w:t>
            </w:r>
          </w:p>
        </w:tc>
        <w:tc>
          <w:tcPr>
            <w:tcW w:w="992" w:type="dxa"/>
            <w:tcBorders>
              <w:top w:val="nil"/>
              <w:left w:val="nil"/>
              <w:bottom w:val="nil"/>
              <w:right w:val="nil"/>
            </w:tcBorders>
            <w:shd w:val="clear" w:color="auto" w:fill="auto"/>
            <w:vAlign w:val="center"/>
            <w:hideMark/>
          </w:tcPr>
          <w:p w14:paraId="071C0E32" w14:textId="3265AB99" w:rsidR="00F66143" w:rsidRPr="00005453" w:rsidRDefault="00F66143" w:rsidP="00F66143">
            <w:pPr>
              <w:jc w:val="right"/>
              <w:rPr>
                <w:sz w:val="14"/>
                <w:szCs w:val="14"/>
              </w:rPr>
            </w:pPr>
            <w:r w:rsidRPr="00005453">
              <w:rPr>
                <w:sz w:val="14"/>
                <w:szCs w:val="18"/>
              </w:rPr>
              <w:t>318,513,039</w:t>
            </w:r>
          </w:p>
        </w:tc>
        <w:tc>
          <w:tcPr>
            <w:tcW w:w="914" w:type="dxa"/>
            <w:tcBorders>
              <w:top w:val="nil"/>
              <w:left w:val="nil"/>
              <w:bottom w:val="nil"/>
              <w:right w:val="nil"/>
            </w:tcBorders>
            <w:shd w:val="clear" w:color="auto" w:fill="auto"/>
            <w:vAlign w:val="center"/>
            <w:hideMark/>
          </w:tcPr>
          <w:p w14:paraId="5A594384" w14:textId="7BB8BA6A" w:rsidR="00F66143" w:rsidRPr="00005453" w:rsidRDefault="00F66143" w:rsidP="00F66143">
            <w:pPr>
              <w:jc w:val="right"/>
              <w:rPr>
                <w:sz w:val="14"/>
                <w:szCs w:val="14"/>
              </w:rPr>
            </w:pPr>
            <w:r w:rsidRPr="00005453">
              <w:rPr>
                <w:sz w:val="14"/>
                <w:szCs w:val="18"/>
              </w:rPr>
              <w:t>181,634,019</w:t>
            </w:r>
          </w:p>
        </w:tc>
        <w:tc>
          <w:tcPr>
            <w:tcW w:w="929" w:type="dxa"/>
            <w:tcBorders>
              <w:top w:val="nil"/>
              <w:left w:val="nil"/>
              <w:bottom w:val="nil"/>
              <w:right w:val="nil"/>
            </w:tcBorders>
            <w:shd w:val="clear" w:color="auto" w:fill="auto"/>
            <w:vAlign w:val="center"/>
            <w:hideMark/>
          </w:tcPr>
          <w:p w14:paraId="2D80175D" w14:textId="06F64535" w:rsidR="00F66143" w:rsidRPr="00005453" w:rsidRDefault="00F66143" w:rsidP="00F66143">
            <w:pPr>
              <w:jc w:val="right"/>
              <w:rPr>
                <w:sz w:val="14"/>
                <w:szCs w:val="14"/>
              </w:rPr>
            </w:pPr>
            <w:r w:rsidRPr="00005453">
              <w:rPr>
                <w:sz w:val="14"/>
                <w:szCs w:val="18"/>
              </w:rPr>
              <w:t>53,772,139</w:t>
            </w:r>
          </w:p>
        </w:tc>
        <w:tc>
          <w:tcPr>
            <w:tcW w:w="850" w:type="dxa"/>
            <w:tcBorders>
              <w:top w:val="nil"/>
              <w:left w:val="nil"/>
              <w:bottom w:val="nil"/>
              <w:right w:val="nil"/>
            </w:tcBorders>
            <w:shd w:val="clear" w:color="auto" w:fill="auto"/>
            <w:vAlign w:val="center"/>
            <w:hideMark/>
          </w:tcPr>
          <w:p w14:paraId="260D20A8" w14:textId="4405E759" w:rsidR="00F66143" w:rsidRPr="00005453" w:rsidRDefault="00F66143" w:rsidP="00F66143">
            <w:pPr>
              <w:jc w:val="right"/>
              <w:rPr>
                <w:sz w:val="14"/>
                <w:szCs w:val="14"/>
              </w:rPr>
            </w:pPr>
            <w:r w:rsidRPr="00005453">
              <w:rPr>
                <w:sz w:val="14"/>
                <w:szCs w:val="18"/>
              </w:rPr>
              <w:t>26,560,263</w:t>
            </w:r>
          </w:p>
        </w:tc>
        <w:tc>
          <w:tcPr>
            <w:tcW w:w="851" w:type="dxa"/>
            <w:tcBorders>
              <w:top w:val="nil"/>
              <w:left w:val="nil"/>
              <w:bottom w:val="nil"/>
              <w:right w:val="nil"/>
            </w:tcBorders>
            <w:shd w:val="clear" w:color="auto" w:fill="auto"/>
            <w:vAlign w:val="center"/>
            <w:hideMark/>
          </w:tcPr>
          <w:p w14:paraId="60AA86A6" w14:textId="753D2922" w:rsidR="00F66143" w:rsidRPr="00005453" w:rsidRDefault="00F66143" w:rsidP="00F66143">
            <w:pPr>
              <w:jc w:val="right"/>
              <w:rPr>
                <w:sz w:val="14"/>
                <w:szCs w:val="14"/>
              </w:rPr>
            </w:pPr>
            <w:r w:rsidRPr="00005453">
              <w:rPr>
                <w:sz w:val="14"/>
                <w:szCs w:val="18"/>
              </w:rPr>
              <w:t>3,062,498</w:t>
            </w:r>
          </w:p>
        </w:tc>
        <w:tc>
          <w:tcPr>
            <w:tcW w:w="850" w:type="dxa"/>
            <w:tcBorders>
              <w:top w:val="nil"/>
              <w:left w:val="nil"/>
              <w:bottom w:val="nil"/>
              <w:right w:val="nil"/>
            </w:tcBorders>
            <w:shd w:val="clear" w:color="auto" w:fill="auto"/>
            <w:vAlign w:val="center"/>
            <w:hideMark/>
          </w:tcPr>
          <w:p w14:paraId="08FC824C" w14:textId="6C1EBBDD" w:rsidR="00F66143" w:rsidRPr="00005453" w:rsidRDefault="00F66143" w:rsidP="00F66143">
            <w:pPr>
              <w:jc w:val="right"/>
              <w:rPr>
                <w:sz w:val="14"/>
                <w:szCs w:val="14"/>
              </w:rPr>
            </w:pPr>
            <w:r w:rsidRPr="00005453">
              <w:rPr>
                <w:sz w:val="14"/>
                <w:szCs w:val="18"/>
              </w:rPr>
              <w:t>7,675</w:t>
            </w:r>
          </w:p>
        </w:tc>
        <w:tc>
          <w:tcPr>
            <w:tcW w:w="1134" w:type="dxa"/>
            <w:tcBorders>
              <w:top w:val="nil"/>
              <w:left w:val="nil"/>
              <w:bottom w:val="nil"/>
              <w:right w:val="nil"/>
            </w:tcBorders>
            <w:shd w:val="clear" w:color="auto" w:fill="auto"/>
            <w:vAlign w:val="center"/>
            <w:hideMark/>
          </w:tcPr>
          <w:p w14:paraId="5A1F57FA" w14:textId="6B5C3366"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7F7EFEC3" w14:textId="118EC21B" w:rsidR="00F66143" w:rsidRPr="00005453" w:rsidRDefault="00F66143" w:rsidP="00F66143">
            <w:pPr>
              <w:jc w:val="right"/>
              <w:rPr>
                <w:sz w:val="14"/>
                <w:szCs w:val="14"/>
              </w:rPr>
            </w:pPr>
            <w:r w:rsidRPr="00005453">
              <w:rPr>
                <w:sz w:val="14"/>
                <w:szCs w:val="18"/>
              </w:rPr>
              <w:t>583,549,633</w:t>
            </w:r>
          </w:p>
        </w:tc>
      </w:tr>
      <w:tr w:rsidR="00F66143" w:rsidRPr="00005453" w14:paraId="09BB0DA0" w14:textId="77777777" w:rsidTr="00F66143">
        <w:trPr>
          <w:divId w:val="1396393111"/>
          <w:trHeight w:val="200"/>
        </w:trPr>
        <w:tc>
          <w:tcPr>
            <w:tcW w:w="2977" w:type="dxa"/>
            <w:tcBorders>
              <w:top w:val="nil"/>
              <w:left w:val="nil"/>
              <w:bottom w:val="nil"/>
              <w:right w:val="nil"/>
            </w:tcBorders>
            <w:shd w:val="clear" w:color="auto" w:fill="auto"/>
            <w:noWrap/>
            <w:hideMark/>
          </w:tcPr>
          <w:p w14:paraId="1CB1D3C3" w14:textId="77777777" w:rsidR="00F66143" w:rsidRPr="00005453" w:rsidRDefault="00F66143" w:rsidP="00F66143">
            <w:pPr>
              <w:rPr>
                <w:sz w:val="14"/>
                <w:szCs w:val="14"/>
                <w:lang w:eastAsia="tr-TR"/>
              </w:rPr>
            </w:pPr>
            <w:r w:rsidRPr="00005453">
              <w:rPr>
                <w:sz w:val="14"/>
                <w:szCs w:val="14"/>
                <w:lang w:eastAsia="tr-TR"/>
              </w:rPr>
              <w:t>Diğer mali kuruluşlardan sağlanan fonlar</w:t>
            </w:r>
          </w:p>
        </w:tc>
        <w:tc>
          <w:tcPr>
            <w:tcW w:w="992" w:type="dxa"/>
            <w:tcBorders>
              <w:top w:val="nil"/>
              <w:left w:val="nil"/>
              <w:bottom w:val="nil"/>
              <w:right w:val="nil"/>
            </w:tcBorders>
            <w:shd w:val="clear" w:color="auto" w:fill="auto"/>
            <w:vAlign w:val="center"/>
            <w:hideMark/>
          </w:tcPr>
          <w:p w14:paraId="6D15A179" w14:textId="59C60C75"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71E0A3A7" w14:textId="1F7562DC" w:rsidR="00F66143" w:rsidRPr="00005453" w:rsidRDefault="00F66143" w:rsidP="00F66143">
            <w:pPr>
              <w:jc w:val="right"/>
              <w:rPr>
                <w:sz w:val="14"/>
                <w:szCs w:val="14"/>
              </w:rPr>
            </w:pPr>
            <w:r w:rsidRPr="00005453">
              <w:rPr>
                <w:sz w:val="14"/>
                <w:szCs w:val="18"/>
              </w:rPr>
              <w:t>80,019,844</w:t>
            </w:r>
          </w:p>
        </w:tc>
        <w:tc>
          <w:tcPr>
            <w:tcW w:w="929" w:type="dxa"/>
            <w:tcBorders>
              <w:top w:val="nil"/>
              <w:left w:val="nil"/>
              <w:bottom w:val="nil"/>
              <w:right w:val="nil"/>
            </w:tcBorders>
            <w:shd w:val="clear" w:color="auto" w:fill="auto"/>
            <w:vAlign w:val="center"/>
            <w:hideMark/>
          </w:tcPr>
          <w:p w14:paraId="51F331E2" w14:textId="3CAD4AD2" w:rsidR="00F66143" w:rsidRPr="00005453" w:rsidRDefault="00F66143" w:rsidP="00F66143">
            <w:pPr>
              <w:jc w:val="right"/>
              <w:rPr>
                <w:sz w:val="14"/>
                <w:szCs w:val="14"/>
              </w:rPr>
            </w:pPr>
            <w:r w:rsidRPr="00005453">
              <w:rPr>
                <w:sz w:val="14"/>
                <w:szCs w:val="18"/>
              </w:rPr>
              <w:t>15,002,140</w:t>
            </w:r>
          </w:p>
        </w:tc>
        <w:tc>
          <w:tcPr>
            <w:tcW w:w="850" w:type="dxa"/>
            <w:tcBorders>
              <w:top w:val="nil"/>
              <w:left w:val="nil"/>
              <w:bottom w:val="nil"/>
              <w:right w:val="nil"/>
            </w:tcBorders>
            <w:shd w:val="clear" w:color="auto" w:fill="auto"/>
            <w:vAlign w:val="center"/>
            <w:hideMark/>
          </w:tcPr>
          <w:p w14:paraId="79CD7A73" w14:textId="596757E2" w:rsidR="00F66143" w:rsidRPr="00005453" w:rsidRDefault="00F66143" w:rsidP="00F66143">
            <w:pPr>
              <w:jc w:val="right"/>
              <w:rPr>
                <w:sz w:val="14"/>
                <w:szCs w:val="14"/>
              </w:rPr>
            </w:pPr>
            <w:r w:rsidRPr="00005453">
              <w:rPr>
                <w:sz w:val="14"/>
                <w:szCs w:val="18"/>
              </w:rPr>
              <w:t>22,395,357</w:t>
            </w:r>
          </w:p>
        </w:tc>
        <w:tc>
          <w:tcPr>
            <w:tcW w:w="851" w:type="dxa"/>
            <w:tcBorders>
              <w:top w:val="nil"/>
              <w:left w:val="nil"/>
              <w:bottom w:val="nil"/>
              <w:right w:val="nil"/>
            </w:tcBorders>
            <w:shd w:val="clear" w:color="auto" w:fill="auto"/>
            <w:vAlign w:val="center"/>
            <w:hideMark/>
          </w:tcPr>
          <w:p w14:paraId="5ADF7554" w14:textId="500540FB" w:rsidR="00F66143" w:rsidRPr="00005453" w:rsidRDefault="00F66143" w:rsidP="00F66143">
            <w:pPr>
              <w:jc w:val="right"/>
              <w:rPr>
                <w:sz w:val="14"/>
                <w:szCs w:val="14"/>
              </w:rPr>
            </w:pPr>
            <w:r w:rsidRPr="00005453">
              <w:rPr>
                <w:sz w:val="14"/>
                <w:szCs w:val="18"/>
              </w:rPr>
              <w:t>6,312,254</w:t>
            </w:r>
          </w:p>
        </w:tc>
        <w:tc>
          <w:tcPr>
            <w:tcW w:w="850" w:type="dxa"/>
            <w:tcBorders>
              <w:top w:val="nil"/>
              <w:left w:val="nil"/>
              <w:bottom w:val="nil"/>
              <w:right w:val="nil"/>
            </w:tcBorders>
            <w:shd w:val="clear" w:color="auto" w:fill="auto"/>
            <w:vAlign w:val="center"/>
            <w:hideMark/>
          </w:tcPr>
          <w:p w14:paraId="49A4F28E" w14:textId="70F015E1" w:rsidR="00F66143" w:rsidRPr="00005453" w:rsidRDefault="00F66143" w:rsidP="00F66143">
            <w:pPr>
              <w:jc w:val="right"/>
              <w:rPr>
                <w:sz w:val="14"/>
                <w:szCs w:val="14"/>
              </w:rPr>
            </w:pPr>
            <w:r w:rsidRPr="00005453">
              <w:rPr>
                <w:sz w:val="14"/>
                <w:szCs w:val="18"/>
              </w:rPr>
              <w:t>12,377,676</w:t>
            </w:r>
          </w:p>
        </w:tc>
        <w:tc>
          <w:tcPr>
            <w:tcW w:w="1134" w:type="dxa"/>
            <w:tcBorders>
              <w:top w:val="nil"/>
              <w:left w:val="nil"/>
              <w:bottom w:val="nil"/>
              <w:right w:val="nil"/>
            </w:tcBorders>
            <w:shd w:val="clear" w:color="auto" w:fill="auto"/>
            <w:vAlign w:val="center"/>
            <w:hideMark/>
          </w:tcPr>
          <w:p w14:paraId="57F9FFA9" w14:textId="00ED6BF5"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2CD1DA93" w14:textId="296D62E7" w:rsidR="00F66143" w:rsidRPr="00005453" w:rsidRDefault="00F66143" w:rsidP="00F66143">
            <w:pPr>
              <w:jc w:val="right"/>
              <w:rPr>
                <w:sz w:val="14"/>
                <w:szCs w:val="14"/>
              </w:rPr>
            </w:pPr>
            <w:r w:rsidRPr="00005453">
              <w:rPr>
                <w:sz w:val="14"/>
                <w:szCs w:val="18"/>
              </w:rPr>
              <w:t>136,107,271</w:t>
            </w:r>
          </w:p>
        </w:tc>
      </w:tr>
      <w:tr w:rsidR="00F66143" w:rsidRPr="00005453" w14:paraId="1EB03FA5" w14:textId="77777777" w:rsidTr="00F66143">
        <w:trPr>
          <w:divId w:val="1396393111"/>
          <w:trHeight w:val="154"/>
        </w:trPr>
        <w:tc>
          <w:tcPr>
            <w:tcW w:w="2977" w:type="dxa"/>
            <w:tcBorders>
              <w:top w:val="nil"/>
              <w:left w:val="nil"/>
              <w:bottom w:val="nil"/>
              <w:right w:val="nil"/>
            </w:tcBorders>
            <w:shd w:val="clear" w:color="auto" w:fill="auto"/>
            <w:noWrap/>
            <w:hideMark/>
          </w:tcPr>
          <w:p w14:paraId="68066CE5" w14:textId="77777777" w:rsidR="00F66143" w:rsidRPr="00005453" w:rsidRDefault="00F66143" w:rsidP="00F66143">
            <w:pPr>
              <w:rPr>
                <w:sz w:val="14"/>
                <w:szCs w:val="14"/>
                <w:lang w:eastAsia="tr-TR"/>
              </w:rPr>
            </w:pPr>
            <w:r w:rsidRPr="00005453">
              <w:rPr>
                <w:sz w:val="14"/>
                <w:szCs w:val="14"/>
                <w:lang w:eastAsia="tr-TR"/>
              </w:rPr>
              <w:t>Para piyasalarına borçlar</w:t>
            </w:r>
          </w:p>
        </w:tc>
        <w:tc>
          <w:tcPr>
            <w:tcW w:w="992" w:type="dxa"/>
            <w:tcBorders>
              <w:top w:val="nil"/>
              <w:left w:val="nil"/>
              <w:bottom w:val="nil"/>
              <w:right w:val="nil"/>
            </w:tcBorders>
            <w:shd w:val="clear" w:color="auto" w:fill="auto"/>
            <w:vAlign w:val="center"/>
            <w:hideMark/>
          </w:tcPr>
          <w:p w14:paraId="598C68C1" w14:textId="68F9F300"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7A9B8C9A" w14:textId="1DE1CE29" w:rsidR="00F66143" w:rsidRPr="00005453" w:rsidRDefault="00F66143" w:rsidP="00F66143">
            <w:pPr>
              <w:jc w:val="right"/>
              <w:rPr>
                <w:sz w:val="14"/>
                <w:szCs w:val="14"/>
              </w:rPr>
            </w:pPr>
            <w:r w:rsidRPr="00005453">
              <w:rPr>
                <w:sz w:val="14"/>
                <w:szCs w:val="18"/>
              </w:rPr>
              <w:t>17,719,258</w:t>
            </w:r>
          </w:p>
        </w:tc>
        <w:tc>
          <w:tcPr>
            <w:tcW w:w="929" w:type="dxa"/>
            <w:tcBorders>
              <w:top w:val="nil"/>
              <w:left w:val="nil"/>
              <w:bottom w:val="nil"/>
              <w:right w:val="nil"/>
            </w:tcBorders>
            <w:shd w:val="clear" w:color="auto" w:fill="auto"/>
            <w:vAlign w:val="center"/>
            <w:hideMark/>
          </w:tcPr>
          <w:p w14:paraId="3C6DDDA4" w14:textId="1D134547"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5DDCB36B" w14:textId="745F9BC9"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76DBFDB7" w14:textId="7777EDDE"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70A13A42" w14:textId="02E2E9C6"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7444DBA7" w14:textId="61B81EC2"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10AB823E" w14:textId="41528293" w:rsidR="00F66143" w:rsidRPr="00005453" w:rsidRDefault="00F66143" w:rsidP="00F66143">
            <w:pPr>
              <w:jc w:val="right"/>
              <w:rPr>
                <w:sz w:val="14"/>
                <w:szCs w:val="14"/>
              </w:rPr>
            </w:pPr>
            <w:r w:rsidRPr="00005453">
              <w:rPr>
                <w:sz w:val="14"/>
                <w:szCs w:val="18"/>
              </w:rPr>
              <w:t>17,719,258</w:t>
            </w:r>
          </w:p>
        </w:tc>
      </w:tr>
      <w:tr w:rsidR="00F66143" w:rsidRPr="00005453" w14:paraId="73148D3E" w14:textId="77777777" w:rsidTr="00F66143">
        <w:trPr>
          <w:divId w:val="1396393111"/>
          <w:trHeight w:val="126"/>
        </w:trPr>
        <w:tc>
          <w:tcPr>
            <w:tcW w:w="2977" w:type="dxa"/>
            <w:tcBorders>
              <w:top w:val="nil"/>
              <w:left w:val="nil"/>
              <w:bottom w:val="nil"/>
              <w:right w:val="nil"/>
            </w:tcBorders>
            <w:shd w:val="clear" w:color="auto" w:fill="auto"/>
            <w:noWrap/>
            <w:hideMark/>
          </w:tcPr>
          <w:p w14:paraId="6A865C7A" w14:textId="77777777" w:rsidR="00F66143" w:rsidRPr="00005453" w:rsidRDefault="00F66143" w:rsidP="00F66143">
            <w:pPr>
              <w:rPr>
                <w:sz w:val="14"/>
                <w:szCs w:val="14"/>
                <w:lang w:eastAsia="tr-TR"/>
              </w:rPr>
            </w:pPr>
            <w:r w:rsidRPr="00005453">
              <w:rPr>
                <w:sz w:val="14"/>
                <w:szCs w:val="14"/>
                <w:lang w:eastAsia="tr-TR"/>
              </w:rPr>
              <w:t>İhraç edilen menkul değerler</w:t>
            </w:r>
          </w:p>
        </w:tc>
        <w:tc>
          <w:tcPr>
            <w:tcW w:w="992" w:type="dxa"/>
            <w:tcBorders>
              <w:top w:val="nil"/>
              <w:left w:val="nil"/>
              <w:bottom w:val="nil"/>
              <w:right w:val="nil"/>
            </w:tcBorders>
            <w:shd w:val="clear" w:color="auto" w:fill="auto"/>
            <w:vAlign w:val="center"/>
            <w:hideMark/>
          </w:tcPr>
          <w:p w14:paraId="3F96B5B9" w14:textId="544BFDD1" w:rsidR="00F66143" w:rsidRPr="00005453" w:rsidRDefault="00F66143" w:rsidP="00F66143">
            <w:pPr>
              <w:jc w:val="right"/>
              <w:rPr>
                <w:sz w:val="14"/>
                <w:szCs w:val="14"/>
              </w:rPr>
            </w:pPr>
            <w:r w:rsidRPr="00005453">
              <w:rPr>
                <w:sz w:val="14"/>
                <w:szCs w:val="18"/>
              </w:rPr>
              <w:t>-</w:t>
            </w:r>
          </w:p>
        </w:tc>
        <w:tc>
          <w:tcPr>
            <w:tcW w:w="914" w:type="dxa"/>
            <w:tcBorders>
              <w:top w:val="nil"/>
              <w:left w:val="nil"/>
              <w:bottom w:val="nil"/>
              <w:right w:val="nil"/>
            </w:tcBorders>
            <w:shd w:val="clear" w:color="auto" w:fill="auto"/>
            <w:vAlign w:val="center"/>
            <w:hideMark/>
          </w:tcPr>
          <w:p w14:paraId="13C64849" w14:textId="17AB169E" w:rsidR="00F66143" w:rsidRPr="00005453" w:rsidRDefault="00F66143" w:rsidP="00F66143">
            <w:pPr>
              <w:jc w:val="right"/>
              <w:rPr>
                <w:sz w:val="14"/>
                <w:szCs w:val="14"/>
              </w:rPr>
            </w:pPr>
            <w:r w:rsidRPr="00005453">
              <w:rPr>
                <w:sz w:val="14"/>
                <w:szCs w:val="18"/>
              </w:rPr>
              <w:t>-</w:t>
            </w:r>
          </w:p>
        </w:tc>
        <w:tc>
          <w:tcPr>
            <w:tcW w:w="929" w:type="dxa"/>
            <w:tcBorders>
              <w:top w:val="nil"/>
              <w:left w:val="nil"/>
              <w:bottom w:val="nil"/>
              <w:right w:val="nil"/>
            </w:tcBorders>
            <w:shd w:val="clear" w:color="auto" w:fill="auto"/>
            <w:vAlign w:val="center"/>
            <w:hideMark/>
          </w:tcPr>
          <w:p w14:paraId="38CFD656" w14:textId="2B5D29E1"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185E7577" w14:textId="4E8242FF"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7ACD0FFF" w14:textId="2189B3C6"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27EBAB90" w14:textId="52380EEA"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17218BF5" w14:textId="7A87D80D"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7D02E4E8" w14:textId="5043057B" w:rsidR="00F66143" w:rsidRPr="00005453" w:rsidRDefault="00F66143" w:rsidP="00F66143">
            <w:pPr>
              <w:jc w:val="right"/>
              <w:rPr>
                <w:sz w:val="14"/>
                <w:szCs w:val="14"/>
              </w:rPr>
            </w:pPr>
            <w:r w:rsidRPr="00005453">
              <w:rPr>
                <w:sz w:val="14"/>
                <w:szCs w:val="18"/>
              </w:rPr>
              <w:t>-</w:t>
            </w:r>
          </w:p>
        </w:tc>
      </w:tr>
      <w:tr w:rsidR="00F66143" w:rsidRPr="00005453" w14:paraId="54BA8220" w14:textId="77777777" w:rsidTr="00F66143">
        <w:trPr>
          <w:divId w:val="1396393111"/>
          <w:trHeight w:val="112"/>
        </w:trPr>
        <w:tc>
          <w:tcPr>
            <w:tcW w:w="2977" w:type="dxa"/>
            <w:tcBorders>
              <w:top w:val="nil"/>
              <w:left w:val="nil"/>
              <w:bottom w:val="nil"/>
              <w:right w:val="nil"/>
            </w:tcBorders>
            <w:shd w:val="clear" w:color="auto" w:fill="auto"/>
            <w:noWrap/>
            <w:hideMark/>
          </w:tcPr>
          <w:p w14:paraId="767B7231" w14:textId="77777777" w:rsidR="00F66143" w:rsidRPr="00005453" w:rsidRDefault="00F66143" w:rsidP="00F66143">
            <w:pPr>
              <w:rPr>
                <w:sz w:val="14"/>
                <w:szCs w:val="14"/>
                <w:lang w:eastAsia="tr-TR"/>
              </w:rPr>
            </w:pPr>
            <w:r w:rsidRPr="00005453">
              <w:rPr>
                <w:sz w:val="14"/>
                <w:szCs w:val="14"/>
                <w:lang w:eastAsia="tr-TR"/>
              </w:rPr>
              <w:t>Muhtelif borçlar</w:t>
            </w:r>
          </w:p>
        </w:tc>
        <w:tc>
          <w:tcPr>
            <w:tcW w:w="992" w:type="dxa"/>
            <w:tcBorders>
              <w:top w:val="nil"/>
              <w:left w:val="nil"/>
              <w:bottom w:val="nil"/>
              <w:right w:val="nil"/>
            </w:tcBorders>
            <w:shd w:val="clear" w:color="auto" w:fill="auto"/>
            <w:vAlign w:val="center"/>
            <w:hideMark/>
          </w:tcPr>
          <w:p w14:paraId="78D8A694" w14:textId="540260E9" w:rsidR="00F66143" w:rsidRPr="00005453" w:rsidRDefault="00F66143" w:rsidP="00F66143">
            <w:pPr>
              <w:jc w:val="right"/>
              <w:rPr>
                <w:sz w:val="14"/>
                <w:szCs w:val="14"/>
              </w:rPr>
            </w:pPr>
            <w:r w:rsidRPr="00005453">
              <w:rPr>
                <w:sz w:val="14"/>
                <w:szCs w:val="18"/>
              </w:rPr>
              <w:t>3,239,740</w:t>
            </w:r>
          </w:p>
        </w:tc>
        <w:tc>
          <w:tcPr>
            <w:tcW w:w="914" w:type="dxa"/>
            <w:tcBorders>
              <w:top w:val="nil"/>
              <w:left w:val="nil"/>
              <w:bottom w:val="nil"/>
              <w:right w:val="nil"/>
            </w:tcBorders>
            <w:shd w:val="clear" w:color="auto" w:fill="auto"/>
            <w:vAlign w:val="center"/>
            <w:hideMark/>
          </w:tcPr>
          <w:p w14:paraId="2A7B6172" w14:textId="6CCCF27F" w:rsidR="00F66143" w:rsidRPr="00005453" w:rsidRDefault="00F66143" w:rsidP="00F66143">
            <w:pPr>
              <w:jc w:val="right"/>
              <w:rPr>
                <w:sz w:val="14"/>
                <w:szCs w:val="14"/>
              </w:rPr>
            </w:pPr>
            <w:r w:rsidRPr="00005453">
              <w:rPr>
                <w:sz w:val="14"/>
                <w:szCs w:val="18"/>
              </w:rPr>
              <w:t>1,748,603</w:t>
            </w:r>
          </w:p>
        </w:tc>
        <w:tc>
          <w:tcPr>
            <w:tcW w:w="929" w:type="dxa"/>
            <w:tcBorders>
              <w:top w:val="nil"/>
              <w:left w:val="nil"/>
              <w:bottom w:val="nil"/>
              <w:right w:val="nil"/>
            </w:tcBorders>
            <w:shd w:val="clear" w:color="auto" w:fill="auto"/>
            <w:vAlign w:val="center"/>
            <w:hideMark/>
          </w:tcPr>
          <w:p w14:paraId="5A56189F" w14:textId="7E19A106"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33FB6D2B" w14:textId="0D314DCD"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4F97E98E" w14:textId="220E1CF1" w:rsidR="00F66143" w:rsidRPr="00005453" w:rsidRDefault="00F66143" w:rsidP="00F66143">
            <w:pPr>
              <w:jc w:val="right"/>
              <w:rPr>
                <w:sz w:val="14"/>
                <w:szCs w:val="14"/>
              </w:rPr>
            </w:pPr>
            <w:r w:rsidRPr="00005453">
              <w:rPr>
                <w:sz w:val="14"/>
                <w:szCs w:val="18"/>
              </w:rPr>
              <w:t>-</w:t>
            </w:r>
          </w:p>
        </w:tc>
        <w:tc>
          <w:tcPr>
            <w:tcW w:w="850" w:type="dxa"/>
            <w:tcBorders>
              <w:top w:val="nil"/>
              <w:left w:val="nil"/>
              <w:bottom w:val="nil"/>
              <w:right w:val="nil"/>
            </w:tcBorders>
            <w:shd w:val="clear" w:color="auto" w:fill="auto"/>
            <w:vAlign w:val="center"/>
            <w:hideMark/>
          </w:tcPr>
          <w:p w14:paraId="11E7CBBF" w14:textId="47B21A27" w:rsidR="00F66143" w:rsidRPr="00005453" w:rsidRDefault="00F66143" w:rsidP="00F66143">
            <w:pPr>
              <w:jc w:val="right"/>
              <w:rPr>
                <w:sz w:val="14"/>
                <w:szCs w:val="14"/>
              </w:rPr>
            </w:pPr>
            <w:r w:rsidRPr="00005453">
              <w:rPr>
                <w:sz w:val="14"/>
                <w:szCs w:val="18"/>
              </w:rPr>
              <w:t>-</w:t>
            </w:r>
          </w:p>
        </w:tc>
        <w:tc>
          <w:tcPr>
            <w:tcW w:w="1134" w:type="dxa"/>
            <w:tcBorders>
              <w:top w:val="nil"/>
              <w:left w:val="nil"/>
              <w:bottom w:val="nil"/>
              <w:right w:val="nil"/>
            </w:tcBorders>
            <w:shd w:val="clear" w:color="auto" w:fill="auto"/>
            <w:vAlign w:val="center"/>
            <w:hideMark/>
          </w:tcPr>
          <w:p w14:paraId="04802C17" w14:textId="66184937" w:rsidR="00F66143" w:rsidRPr="00005453" w:rsidRDefault="00F66143" w:rsidP="00F66143">
            <w:pPr>
              <w:jc w:val="right"/>
              <w:rPr>
                <w:sz w:val="14"/>
                <w:szCs w:val="14"/>
              </w:rPr>
            </w:pPr>
            <w:r w:rsidRPr="00005453">
              <w:rPr>
                <w:sz w:val="14"/>
                <w:szCs w:val="18"/>
              </w:rPr>
              <w:t>-</w:t>
            </w:r>
          </w:p>
        </w:tc>
        <w:tc>
          <w:tcPr>
            <w:tcW w:w="851" w:type="dxa"/>
            <w:tcBorders>
              <w:top w:val="nil"/>
              <w:left w:val="nil"/>
              <w:bottom w:val="nil"/>
              <w:right w:val="nil"/>
            </w:tcBorders>
            <w:shd w:val="clear" w:color="auto" w:fill="auto"/>
            <w:vAlign w:val="center"/>
            <w:hideMark/>
          </w:tcPr>
          <w:p w14:paraId="44282FB1" w14:textId="2349BE0A" w:rsidR="00F66143" w:rsidRPr="00005453" w:rsidRDefault="00F66143" w:rsidP="00F66143">
            <w:pPr>
              <w:jc w:val="right"/>
              <w:rPr>
                <w:sz w:val="14"/>
                <w:szCs w:val="14"/>
              </w:rPr>
            </w:pPr>
            <w:r w:rsidRPr="00005453">
              <w:rPr>
                <w:sz w:val="14"/>
                <w:szCs w:val="18"/>
              </w:rPr>
              <w:t>4,988,343</w:t>
            </w:r>
          </w:p>
        </w:tc>
      </w:tr>
      <w:tr w:rsidR="00F66143" w:rsidRPr="00005453" w14:paraId="51E539FB" w14:textId="77777777" w:rsidTr="00F66143">
        <w:trPr>
          <w:divId w:val="1396393111"/>
          <w:trHeight w:val="97"/>
        </w:trPr>
        <w:tc>
          <w:tcPr>
            <w:tcW w:w="2977" w:type="dxa"/>
            <w:tcBorders>
              <w:top w:val="nil"/>
              <w:left w:val="nil"/>
              <w:bottom w:val="single" w:sz="8" w:space="0" w:color="auto"/>
              <w:right w:val="nil"/>
            </w:tcBorders>
            <w:shd w:val="clear" w:color="auto" w:fill="auto"/>
            <w:noWrap/>
            <w:hideMark/>
          </w:tcPr>
          <w:p w14:paraId="121EE3E3" w14:textId="77777777" w:rsidR="00F66143" w:rsidRPr="00005453" w:rsidRDefault="00F66143" w:rsidP="00F66143">
            <w:pPr>
              <w:rPr>
                <w:sz w:val="14"/>
                <w:szCs w:val="14"/>
                <w:lang w:eastAsia="tr-TR"/>
              </w:rPr>
            </w:pPr>
            <w:r w:rsidRPr="00005453">
              <w:rPr>
                <w:sz w:val="14"/>
                <w:szCs w:val="14"/>
                <w:lang w:eastAsia="tr-TR"/>
              </w:rPr>
              <w:t>Diğer yükümlülükler (****)</w:t>
            </w:r>
          </w:p>
        </w:tc>
        <w:tc>
          <w:tcPr>
            <w:tcW w:w="992" w:type="dxa"/>
            <w:tcBorders>
              <w:top w:val="nil"/>
              <w:left w:val="nil"/>
              <w:bottom w:val="single" w:sz="8" w:space="0" w:color="auto"/>
              <w:right w:val="nil"/>
            </w:tcBorders>
            <w:shd w:val="clear" w:color="auto" w:fill="auto"/>
            <w:vAlign w:val="center"/>
            <w:hideMark/>
          </w:tcPr>
          <w:p w14:paraId="46194246" w14:textId="73A15136" w:rsidR="00F66143" w:rsidRPr="00005453" w:rsidRDefault="00F66143" w:rsidP="00F66143">
            <w:pPr>
              <w:jc w:val="right"/>
              <w:rPr>
                <w:sz w:val="14"/>
                <w:szCs w:val="14"/>
              </w:rPr>
            </w:pPr>
            <w:r w:rsidRPr="00005453">
              <w:rPr>
                <w:sz w:val="14"/>
                <w:szCs w:val="18"/>
              </w:rPr>
              <w:t>-</w:t>
            </w:r>
          </w:p>
        </w:tc>
        <w:tc>
          <w:tcPr>
            <w:tcW w:w="914" w:type="dxa"/>
            <w:tcBorders>
              <w:top w:val="nil"/>
              <w:left w:val="nil"/>
              <w:bottom w:val="single" w:sz="8" w:space="0" w:color="auto"/>
              <w:right w:val="nil"/>
            </w:tcBorders>
            <w:shd w:val="clear" w:color="auto" w:fill="auto"/>
            <w:vAlign w:val="center"/>
            <w:hideMark/>
          </w:tcPr>
          <w:p w14:paraId="521043DB" w14:textId="62B2B51C" w:rsidR="00F66143" w:rsidRPr="00005453" w:rsidRDefault="00F66143" w:rsidP="00F66143">
            <w:pPr>
              <w:jc w:val="right"/>
              <w:rPr>
                <w:sz w:val="14"/>
                <w:szCs w:val="14"/>
              </w:rPr>
            </w:pPr>
            <w:r w:rsidRPr="00005453">
              <w:rPr>
                <w:sz w:val="14"/>
                <w:szCs w:val="18"/>
              </w:rPr>
              <w:t>9,345,715</w:t>
            </w:r>
          </w:p>
        </w:tc>
        <w:tc>
          <w:tcPr>
            <w:tcW w:w="929" w:type="dxa"/>
            <w:tcBorders>
              <w:top w:val="nil"/>
              <w:left w:val="nil"/>
              <w:bottom w:val="single" w:sz="8" w:space="0" w:color="auto"/>
              <w:right w:val="nil"/>
            </w:tcBorders>
            <w:shd w:val="clear" w:color="auto" w:fill="auto"/>
            <w:vAlign w:val="center"/>
            <w:hideMark/>
          </w:tcPr>
          <w:p w14:paraId="55080CE3" w14:textId="7236CF67" w:rsidR="00F66143" w:rsidRPr="00005453" w:rsidRDefault="00F66143" w:rsidP="00F66143">
            <w:pPr>
              <w:jc w:val="right"/>
              <w:rPr>
                <w:sz w:val="14"/>
                <w:szCs w:val="14"/>
              </w:rPr>
            </w:pPr>
            <w:r w:rsidRPr="00005453">
              <w:rPr>
                <w:sz w:val="14"/>
                <w:szCs w:val="18"/>
              </w:rPr>
              <w:t>7,061,872</w:t>
            </w:r>
          </w:p>
        </w:tc>
        <w:tc>
          <w:tcPr>
            <w:tcW w:w="850" w:type="dxa"/>
            <w:tcBorders>
              <w:top w:val="nil"/>
              <w:left w:val="nil"/>
              <w:bottom w:val="single" w:sz="8" w:space="0" w:color="auto"/>
              <w:right w:val="nil"/>
            </w:tcBorders>
            <w:shd w:val="clear" w:color="auto" w:fill="auto"/>
            <w:vAlign w:val="center"/>
            <w:hideMark/>
          </w:tcPr>
          <w:p w14:paraId="30E3429F" w14:textId="42303B1D" w:rsidR="00F66143" w:rsidRPr="00005453" w:rsidRDefault="00F66143" w:rsidP="00F66143">
            <w:pPr>
              <w:jc w:val="right"/>
              <w:rPr>
                <w:sz w:val="14"/>
                <w:szCs w:val="14"/>
              </w:rPr>
            </w:pPr>
            <w:r w:rsidRPr="00005453">
              <w:rPr>
                <w:sz w:val="14"/>
                <w:szCs w:val="18"/>
              </w:rPr>
              <w:t>475,915</w:t>
            </w:r>
          </w:p>
        </w:tc>
        <w:tc>
          <w:tcPr>
            <w:tcW w:w="851" w:type="dxa"/>
            <w:tcBorders>
              <w:top w:val="nil"/>
              <w:left w:val="nil"/>
              <w:bottom w:val="single" w:sz="8" w:space="0" w:color="auto"/>
              <w:right w:val="nil"/>
            </w:tcBorders>
            <w:shd w:val="clear" w:color="auto" w:fill="auto"/>
            <w:vAlign w:val="center"/>
            <w:hideMark/>
          </w:tcPr>
          <w:p w14:paraId="197FA5A8" w14:textId="136DB17E" w:rsidR="00F66143" w:rsidRPr="00005453" w:rsidRDefault="00F66143" w:rsidP="00F66143">
            <w:pPr>
              <w:jc w:val="right"/>
              <w:rPr>
                <w:sz w:val="14"/>
                <w:szCs w:val="14"/>
              </w:rPr>
            </w:pPr>
            <w:r w:rsidRPr="00005453">
              <w:rPr>
                <w:sz w:val="14"/>
                <w:szCs w:val="18"/>
              </w:rPr>
              <w:t>1,071,535</w:t>
            </w:r>
          </w:p>
        </w:tc>
        <w:tc>
          <w:tcPr>
            <w:tcW w:w="850" w:type="dxa"/>
            <w:tcBorders>
              <w:top w:val="nil"/>
              <w:left w:val="nil"/>
              <w:bottom w:val="single" w:sz="8" w:space="0" w:color="auto"/>
              <w:right w:val="nil"/>
            </w:tcBorders>
            <w:shd w:val="clear" w:color="auto" w:fill="auto"/>
            <w:vAlign w:val="center"/>
            <w:hideMark/>
          </w:tcPr>
          <w:p w14:paraId="5102D3FB" w14:textId="747A0064" w:rsidR="00F66143" w:rsidRPr="00005453" w:rsidRDefault="00F66143" w:rsidP="00F66143">
            <w:pPr>
              <w:jc w:val="right"/>
              <w:rPr>
                <w:sz w:val="14"/>
                <w:szCs w:val="14"/>
              </w:rPr>
            </w:pPr>
            <w:r w:rsidRPr="00005453">
              <w:rPr>
                <w:sz w:val="14"/>
                <w:szCs w:val="18"/>
              </w:rPr>
              <w:t>71,703</w:t>
            </w:r>
          </w:p>
        </w:tc>
        <w:tc>
          <w:tcPr>
            <w:tcW w:w="1134" w:type="dxa"/>
            <w:tcBorders>
              <w:top w:val="nil"/>
              <w:left w:val="nil"/>
              <w:bottom w:val="single" w:sz="8" w:space="0" w:color="auto"/>
              <w:right w:val="nil"/>
            </w:tcBorders>
            <w:shd w:val="clear" w:color="auto" w:fill="auto"/>
            <w:vAlign w:val="center"/>
            <w:hideMark/>
          </w:tcPr>
          <w:p w14:paraId="748B15A1" w14:textId="1D842CF0" w:rsidR="00F66143" w:rsidRPr="00005453" w:rsidRDefault="00F66143" w:rsidP="00F66143">
            <w:pPr>
              <w:jc w:val="right"/>
              <w:rPr>
                <w:sz w:val="14"/>
                <w:szCs w:val="14"/>
              </w:rPr>
            </w:pPr>
            <w:r w:rsidRPr="00005453">
              <w:rPr>
                <w:sz w:val="14"/>
                <w:szCs w:val="18"/>
              </w:rPr>
              <w:t>89,714,878</w:t>
            </w:r>
          </w:p>
        </w:tc>
        <w:tc>
          <w:tcPr>
            <w:tcW w:w="851" w:type="dxa"/>
            <w:tcBorders>
              <w:top w:val="nil"/>
              <w:left w:val="nil"/>
              <w:bottom w:val="single" w:sz="8" w:space="0" w:color="auto"/>
              <w:right w:val="nil"/>
            </w:tcBorders>
            <w:shd w:val="clear" w:color="auto" w:fill="auto"/>
            <w:vAlign w:val="center"/>
            <w:hideMark/>
          </w:tcPr>
          <w:p w14:paraId="16C9AC57" w14:textId="4B74EC5E" w:rsidR="00F66143" w:rsidRPr="00005453" w:rsidRDefault="00F66143" w:rsidP="00F66143">
            <w:pPr>
              <w:jc w:val="right"/>
              <w:rPr>
                <w:sz w:val="14"/>
                <w:szCs w:val="14"/>
              </w:rPr>
            </w:pPr>
            <w:r w:rsidRPr="00005453">
              <w:rPr>
                <w:sz w:val="14"/>
                <w:szCs w:val="18"/>
              </w:rPr>
              <w:t>107,741,618</w:t>
            </w:r>
          </w:p>
        </w:tc>
      </w:tr>
      <w:tr w:rsidR="00F66143" w:rsidRPr="00005453" w14:paraId="46B6CF86" w14:textId="77777777" w:rsidTr="00F66143">
        <w:trPr>
          <w:divId w:val="1396393111"/>
          <w:trHeight w:val="70"/>
        </w:trPr>
        <w:tc>
          <w:tcPr>
            <w:tcW w:w="2977" w:type="dxa"/>
            <w:tcBorders>
              <w:top w:val="nil"/>
              <w:left w:val="nil"/>
              <w:bottom w:val="single" w:sz="8" w:space="0" w:color="auto"/>
              <w:right w:val="nil"/>
            </w:tcBorders>
            <w:shd w:val="clear" w:color="auto" w:fill="auto"/>
            <w:hideMark/>
          </w:tcPr>
          <w:p w14:paraId="61EE2ABF" w14:textId="77777777" w:rsidR="00F66143" w:rsidRPr="00005453" w:rsidRDefault="00F66143" w:rsidP="00F66143">
            <w:pPr>
              <w:rPr>
                <w:b/>
                <w:bCs/>
                <w:sz w:val="14"/>
                <w:szCs w:val="14"/>
                <w:lang w:eastAsia="tr-TR"/>
              </w:rPr>
            </w:pPr>
            <w:r w:rsidRPr="00005453">
              <w:rPr>
                <w:b/>
                <w:bCs/>
                <w:sz w:val="14"/>
                <w:szCs w:val="14"/>
                <w:lang w:eastAsia="tr-TR"/>
              </w:rPr>
              <w:t>Toplam Yükümlülükler</w:t>
            </w:r>
          </w:p>
        </w:tc>
        <w:tc>
          <w:tcPr>
            <w:tcW w:w="992" w:type="dxa"/>
            <w:tcBorders>
              <w:top w:val="nil"/>
              <w:left w:val="nil"/>
              <w:bottom w:val="single" w:sz="8" w:space="0" w:color="auto"/>
              <w:right w:val="nil"/>
            </w:tcBorders>
            <w:shd w:val="clear" w:color="auto" w:fill="auto"/>
            <w:vAlign w:val="center"/>
            <w:hideMark/>
          </w:tcPr>
          <w:p w14:paraId="08EAD60E" w14:textId="194DD146" w:rsidR="00F66143" w:rsidRPr="00005453" w:rsidRDefault="00F66143" w:rsidP="00F66143">
            <w:pPr>
              <w:jc w:val="right"/>
              <w:rPr>
                <w:b/>
                <w:bCs/>
                <w:sz w:val="14"/>
                <w:szCs w:val="14"/>
              </w:rPr>
            </w:pPr>
            <w:r w:rsidRPr="00005453">
              <w:rPr>
                <w:b/>
                <w:bCs/>
                <w:sz w:val="14"/>
                <w:szCs w:val="18"/>
              </w:rPr>
              <w:t>323,767,015</w:t>
            </w:r>
          </w:p>
        </w:tc>
        <w:tc>
          <w:tcPr>
            <w:tcW w:w="914" w:type="dxa"/>
            <w:tcBorders>
              <w:top w:val="nil"/>
              <w:left w:val="nil"/>
              <w:bottom w:val="single" w:sz="8" w:space="0" w:color="auto"/>
              <w:right w:val="nil"/>
            </w:tcBorders>
            <w:shd w:val="clear" w:color="auto" w:fill="auto"/>
            <w:vAlign w:val="center"/>
            <w:hideMark/>
          </w:tcPr>
          <w:p w14:paraId="34228372" w14:textId="2597CE25" w:rsidR="00F66143" w:rsidRPr="00005453" w:rsidRDefault="00F66143" w:rsidP="00F66143">
            <w:pPr>
              <w:jc w:val="right"/>
              <w:rPr>
                <w:b/>
                <w:bCs/>
                <w:sz w:val="14"/>
                <w:szCs w:val="14"/>
              </w:rPr>
            </w:pPr>
            <w:r w:rsidRPr="00005453">
              <w:rPr>
                <w:b/>
                <w:bCs/>
                <w:sz w:val="14"/>
                <w:szCs w:val="18"/>
              </w:rPr>
              <w:t>290,467,483</w:t>
            </w:r>
          </w:p>
        </w:tc>
        <w:tc>
          <w:tcPr>
            <w:tcW w:w="929" w:type="dxa"/>
            <w:tcBorders>
              <w:top w:val="nil"/>
              <w:left w:val="nil"/>
              <w:bottom w:val="single" w:sz="8" w:space="0" w:color="auto"/>
              <w:right w:val="nil"/>
            </w:tcBorders>
            <w:shd w:val="clear" w:color="auto" w:fill="auto"/>
            <w:vAlign w:val="center"/>
            <w:hideMark/>
          </w:tcPr>
          <w:p w14:paraId="2B197446" w14:textId="6F6DCB7D" w:rsidR="00F66143" w:rsidRPr="00005453" w:rsidRDefault="00F66143" w:rsidP="00F66143">
            <w:pPr>
              <w:jc w:val="right"/>
              <w:rPr>
                <w:b/>
                <w:bCs/>
                <w:sz w:val="14"/>
                <w:szCs w:val="14"/>
              </w:rPr>
            </w:pPr>
            <w:r w:rsidRPr="00005453">
              <w:rPr>
                <w:b/>
                <w:bCs/>
                <w:sz w:val="14"/>
                <w:szCs w:val="18"/>
              </w:rPr>
              <w:t>75,836,151</w:t>
            </w:r>
          </w:p>
        </w:tc>
        <w:tc>
          <w:tcPr>
            <w:tcW w:w="850" w:type="dxa"/>
            <w:tcBorders>
              <w:top w:val="nil"/>
              <w:left w:val="nil"/>
              <w:bottom w:val="single" w:sz="8" w:space="0" w:color="auto"/>
              <w:right w:val="nil"/>
            </w:tcBorders>
            <w:shd w:val="clear" w:color="auto" w:fill="auto"/>
            <w:vAlign w:val="center"/>
            <w:hideMark/>
          </w:tcPr>
          <w:p w14:paraId="0A8E5C54" w14:textId="2AC5FEB3" w:rsidR="00F66143" w:rsidRPr="00005453" w:rsidRDefault="00F66143" w:rsidP="00F66143">
            <w:pPr>
              <w:jc w:val="right"/>
              <w:rPr>
                <w:b/>
                <w:bCs/>
                <w:sz w:val="14"/>
                <w:szCs w:val="14"/>
              </w:rPr>
            </w:pPr>
            <w:r w:rsidRPr="00005453">
              <w:rPr>
                <w:b/>
                <w:bCs/>
                <w:sz w:val="14"/>
                <w:szCs w:val="18"/>
              </w:rPr>
              <w:t>49,431,535</w:t>
            </w:r>
          </w:p>
        </w:tc>
        <w:tc>
          <w:tcPr>
            <w:tcW w:w="851" w:type="dxa"/>
            <w:tcBorders>
              <w:top w:val="nil"/>
              <w:left w:val="nil"/>
              <w:bottom w:val="single" w:sz="8" w:space="0" w:color="auto"/>
              <w:right w:val="nil"/>
            </w:tcBorders>
            <w:shd w:val="clear" w:color="auto" w:fill="auto"/>
            <w:vAlign w:val="center"/>
            <w:hideMark/>
          </w:tcPr>
          <w:p w14:paraId="1278AD27" w14:textId="1E737355" w:rsidR="00F66143" w:rsidRPr="00005453" w:rsidRDefault="00F66143" w:rsidP="00F66143">
            <w:pPr>
              <w:jc w:val="right"/>
              <w:rPr>
                <w:b/>
                <w:bCs/>
                <w:sz w:val="14"/>
                <w:szCs w:val="14"/>
              </w:rPr>
            </w:pPr>
            <w:r w:rsidRPr="00005453">
              <w:rPr>
                <w:b/>
                <w:bCs/>
                <w:sz w:val="14"/>
                <w:szCs w:val="18"/>
              </w:rPr>
              <w:t>10,446,287</w:t>
            </w:r>
          </w:p>
        </w:tc>
        <w:tc>
          <w:tcPr>
            <w:tcW w:w="850" w:type="dxa"/>
            <w:tcBorders>
              <w:top w:val="nil"/>
              <w:left w:val="nil"/>
              <w:bottom w:val="single" w:sz="8" w:space="0" w:color="auto"/>
              <w:right w:val="nil"/>
            </w:tcBorders>
            <w:shd w:val="clear" w:color="auto" w:fill="auto"/>
            <w:vAlign w:val="center"/>
            <w:hideMark/>
          </w:tcPr>
          <w:p w14:paraId="3A977235" w14:textId="2FFF5C21" w:rsidR="00F66143" w:rsidRPr="00005453" w:rsidRDefault="00F66143" w:rsidP="00F66143">
            <w:pPr>
              <w:jc w:val="right"/>
              <w:rPr>
                <w:b/>
                <w:bCs/>
                <w:sz w:val="14"/>
                <w:szCs w:val="14"/>
              </w:rPr>
            </w:pPr>
            <w:r w:rsidRPr="00005453">
              <w:rPr>
                <w:b/>
                <w:bCs/>
                <w:sz w:val="14"/>
                <w:szCs w:val="18"/>
              </w:rPr>
              <w:t>12,457,054</w:t>
            </w:r>
          </w:p>
        </w:tc>
        <w:tc>
          <w:tcPr>
            <w:tcW w:w="1134" w:type="dxa"/>
            <w:tcBorders>
              <w:top w:val="nil"/>
              <w:left w:val="nil"/>
              <w:bottom w:val="single" w:sz="8" w:space="0" w:color="auto"/>
              <w:right w:val="nil"/>
            </w:tcBorders>
            <w:shd w:val="clear" w:color="auto" w:fill="auto"/>
            <w:vAlign w:val="center"/>
            <w:hideMark/>
          </w:tcPr>
          <w:p w14:paraId="5F052834" w14:textId="6FEB6947" w:rsidR="00F66143" w:rsidRPr="00005453" w:rsidRDefault="00F66143" w:rsidP="00F66143">
            <w:pPr>
              <w:jc w:val="right"/>
              <w:rPr>
                <w:b/>
                <w:bCs/>
                <w:sz w:val="14"/>
                <w:szCs w:val="14"/>
              </w:rPr>
            </w:pPr>
            <w:r w:rsidRPr="00005453">
              <w:rPr>
                <w:b/>
                <w:bCs/>
                <w:sz w:val="14"/>
                <w:szCs w:val="18"/>
              </w:rPr>
              <w:t>89,714,878</w:t>
            </w:r>
          </w:p>
        </w:tc>
        <w:tc>
          <w:tcPr>
            <w:tcW w:w="851" w:type="dxa"/>
            <w:tcBorders>
              <w:top w:val="nil"/>
              <w:left w:val="nil"/>
              <w:bottom w:val="single" w:sz="8" w:space="0" w:color="auto"/>
              <w:right w:val="nil"/>
            </w:tcBorders>
            <w:shd w:val="clear" w:color="auto" w:fill="auto"/>
            <w:vAlign w:val="center"/>
            <w:hideMark/>
          </w:tcPr>
          <w:p w14:paraId="63E441A2" w14:textId="78612FDD" w:rsidR="00F66143" w:rsidRPr="00005453" w:rsidRDefault="00F66143" w:rsidP="00F66143">
            <w:pPr>
              <w:jc w:val="right"/>
              <w:rPr>
                <w:b/>
                <w:bCs/>
                <w:sz w:val="14"/>
                <w:szCs w:val="14"/>
              </w:rPr>
            </w:pPr>
            <w:r w:rsidRPr="00005453">
              <w:rPr>
                <w:b/>
                <w:bCs/>
                <w:sz w:val="14"/>
                <w:szCs w:val="18"/>
              </w:rPr>
              <w:t>852,120,403</w:t>
            </w:r>
          </w:p>
        </w:tc>
      </w:tr>
      <w:tr w:rsidR="00E36E35" w:rsidRPr="00005453" w14:paraId="388A87D2" w14:textId="77777777" w:rsidTr="00E36E35">
        <w:trPr>
          <w:divId w:val="1396393111"/>
          <w:trHeight w:val="257"/>
        </w:trPr>
        <w:tc>
          <w:tcPr>
            <w:tcW w:w="2977" w:type="dxa"/>
            <w:tcBorders>
              <w:top w:val="nil"/>
              <w:left w:val="nil"/>
              <w:bottom w:val="nil"/>
              <w:right w:val="nil"/>
            </w:tcBorders>
            <w:shd w:val="clear" w:color="auto" w:fill="auto"/>
            <w:noWrap/>
            <w:hideMark/>
          </w:tcPr>
          <w:p w14:paraId="6E442231" w14:textId="77777777" w:rsidR="00E36E35" w:rsidRPr="00005453" w:rsidRDefault="00E36E35" w:rsidP="00E36E35">
            <w:pPr>
              <w:rPr>
                <w:sz w:val="14"/>
                <w:szCs w:val="14"/>
                <w:lang w:eastAsia="tr-TR"/>
              </w:rPr>
            </w:pPr>
            <w:r w:rsidRPr="00005453">
              <w:rPr>
                <w:sz w:val="14"/>
                <w:szCs w:val="14"/>
                <w:lang w:eastAsia="tr-TR"/>
              </w:rPr>
              <w:t>Likidite Açığı</w:t>
            </w:r>
          </w:p>
        </w:tc>
        <w:tc>
          <w:tcPr>
            <w:tcW w:w="992" w:type="dxa"/>
            <w:tcBorders>
              <w:top w:val="nil"/>
              <w:left w:val="nil"/>
              <w:bottom w:val="nil"/>
              <w:right w:val="nil"/>
            </w:tcBorders>
            <w:shd w:val="clear" w:color="auto" w:fill="auto"/>
            <w:vAlign w:val="center"/>
            <w:hideMark/>
          </w:tcPr>
          <w:p w14:paraId="46E09BD3" w14:textId="28D9EECE" w:rsidR="00E36E35" w:rsidRPr="00005453" w:rsidRDefault="00E36E35" w:rsidP="00E36E35">
            <w:pPr>
              <w:jc w:val="right"/>
              <w:rPr>
                <w:sz w:val="14"/>
                <w:szCs w:val="14"/>
              </w:rPr>
            </w:pPr>
            <w:r w:rsidRPr="00005453">
              <w:rPr>
                <w:sz w:val="14"/>
                <w:szCs w:val="18"/>
              </w:rPr>
              <w:t>(160,295,364)</w:t>
            </w:r>
          </w:p>
        </w:tc>
        <w:tc>
          <w:tcPr>
            <w:tcW w:w="914" w:type="dxa"/>
            <w:tcBorders>
              <w:top w:val="nil"/>
              <w:left w:val="nil"/>
              <w:bottom w:val="nil"/>
              <w:right w:val="nil"/>
            </w:tcBorders>
            <w:shd w:val="clear" w:color="auto" w:fill="auto"/>
            <w:vAlign w:val="center"/>
            <w:hideMark/>
          </w:tcPr>
          <w:p w14:paraId="31C6C864" w14:textId="4BAB1C2B" w:rsidR="00E36E35" w:rsidRPr="00005453" w:rsidRDefault="00E36E35" w:rsidP="00E36E35">
            <w:pPr>
              <w:jc w:val="right"/>
              <w:rPr>
                <w:sz w:val="14"/>
                <w:szCs w:val="14"/>
              </w:rPr>
            </w:pPr>
            <w:r w:rsidRPr="00005453">
              <w:rPr>
                <w:sz w:val="14"/>
                <w:szCs w:val="18"/>
              </w:rPr>
              <w:t>(76,763,824)</w:t>
            </w:r>
          </w:p>
        </w:tc>
        <w:tc>
          <w:tcPr>
            <w:tcW w:w="929" w:type="dxa"/>
            <w:tcBorders>
              <w:top w:val="nil"/>
              <w:left w:val="nil"/>
              <w:bottom w:val="nil"/>
              <w:right w:val="nil"/>
            </w:tcBorders>
            <w:shd w:val="clear" w:color="auto" w:fill="auto"/>
            <w:vAlign w:val="center"/>
            <w:hideMark/>
          </w:tcPr>
          <w:p w14:paraId="32027CE5" w14:textId="7E647476" w:rsidR="00E36E35" w:rsidRPr="00005453" w:rsidRDefault="00E36E35" w:rsidP="00E36E35">
            <w:pPr>
              <w:jc w:val="right"/>
              <w:rPr>
                <w:sz w:val="14"/>
                <w:szCs w:val="14"/>
              </w:rPr>
            </w:pPr>
            <w:r w:rsidRPr="00005453">
              <w:rPr>
                <w:sz w:val="14"/>
                <w:szCs w:val="18"/>
              </w:rPr>
              <w:t>(1,296,811)</w:t>
            </w:r>
          </w:p>
        </w:tc>
        <w:tc>
          <w:tcPr>
            <w:tcW w:w="850" w:type="dxa"/>
            <w:tcBorders>
              <w:top w:val="nil"/>
              <w:left w:val="nil"/>
              <w:bottom w:val="nil"/>
              <w:right w:val="nil"/>
            </w:tcBorders>
            <w:shd w:val="clear" w:color="auto" w:fill="auto"/>
            <w:vAlign w:val="center"/>
            <w:hideMark/>
          </w:tcPr>
          <w:p w14:paraId="247E2B7E" w14:textId="72F1EB0B" w:rsidR="00E36E35" w:rsidRPr="00005453" w:rsidRDefault="00E36E35" w:rsidP="00E36E35">
            <w:pPr>
              <w:jc w:val="right"/>
              <w:rPr>
                <w:sz w:val="14"/>
                <w:szCs w:val="14"/>
              </w:rPr>
            </w:pPr>
            <w:r w:rsidRPr="00005453">
              <w:rPr>
                <w:sz w:val="14"/>
                <w:szCs w:val="18"/>
              </w:rPr>
              <w:t>120,548,855</w:t>
            </w:r>
          </w:p>
        </w:tc>
        <w:tc>
          <w:tcPr>
            <w:tcW w:w="851" w:type="dxa"/>
            <w:tcBorders>
              <w:top w:val="nil"/>
              <w:left w:val="nil"/>
              <w:bottom w:val="nil"/>
              <w:right w:val="nil"/>
            </w:tcBorders>
            <w:shd w:val="clear" w:color="auto" w:fill="auto"/>
            <w:vAlign w:val="center"/>
            <w:hideMark/>
          </w:tcPr>
          <w:p w14:paraId="1757537F" w14:textId="49985D00" w:rsidR="00E36E35" w:rsidRPr="00005453" w:rsidRDefault="00E36E35" w:rsidP="00E36E35">
            <w:pPr>
              <w:jc w:val="right"/>
              <w:rPr>
                <w:sz w:val="14"/>
                <w:szCs w:val="14"/>
              </w:rPr>
            </w:pPr>
            <w:r w:rsidRPr="00005453">
              <w:rPr>
                <w:sz w:val="14"/>
                <w:szCs w:val="18"/>
              </w:rPr>
              <w:t>164,955,462</w:t>
            </w:r>
          </w:p>
        </w:tc>
        <w:tc>
          <w:tcPr>
            <w:tcW w:w="850" w:type="dxa"/>
            <w:tcBorders>
              <w:top w:val="nil"/>
              <w:left w:val="nil"/>
              <w:bottom w:val="nil"/>
              <w:right w:val="nil"/>
            </w:tcBorders>
            <w:shd w:val="clear" w:color="auto" w:fill="auto"/>
            <w:vAlign w:val="center"/>
            <w:hideMark/>
          </w:tcPr>
          <w:p w14:paraId="0C2AF6FF" w14:textId="0096F56D" w:rsidR="00E36E35" w:rsidRPr="00005453" w:rsidRDefault="00E36E35" w:rsidP="00E36E35">
            <w:pPr>
              <w:jc w:val="right"/>
              <w:rPr>
                <w:sz w:val="14"/>
                <w:szCs w:val="14"/>
              </w:rPr>
            </w:pPr>
            <w:r w:rsidRPr="00005453">
              <w:rPr>
                <w:sz w:val="14"/>
                <w:szCs w:val="18"/>
              </w:rPr>
              <w:t>18,697,827</w:t>
            </w:r>
          </w:p>
        </w:tc>
        <w:tc>
          <w:tcPr>
            <w:tcW w:w="1134" w:type="dxa"/>
            <w:tcBorders>
              <w:top w:val="nil"/>
              <w:left w:val="nil"/>
              <w:bottom w:val="nil"/>
              <w:right w:val="nil"/>
            </w:tcBorders>
            <w:shd w:val="clear" w:color="auto" w:fill="auto"/>
            <w:vAlign w:val="center"/>
            <w:hideMark/>
          </w:tcPr>
          <w:p w14:paraId="67524F87" w14:textId="3A520C9F" w:rsidR="00E36E35" w:rsidRPr="00005453" w:rsidRDefault="00E36E35" w:rsidP="00E36E35">
            <w:pPr>
              <w:jc w:val="right"/>
              <w:rPr>
                <w:sz w:val="14"/>
                <w:szCs w:val="14"/>
              </w:rPr>
            </w:pPr>
            <w:r w:rsidRPr="00005453">
              <w:rPr>
                <w:sz w:val="14"/>
                <w:szCs w:val="18"/>
              </w:rPr>
              <w:t>(65,846,145)</w:t>
            </w:r>
          </w:p>
        </w:tc>
        <w:tc>
          <w:tcPr>
            <w:tcW w:w="851" w:type="dxa"/>
            <w:tcBorders>
              <w:top w:val="nil"/>
              <w:left w:val="nil"/>
              <w:bottom w:val="nil"/>
              <w:right w:val="nil"/>
            </w:tcBorders>
            <w:shd w:val="clear" w:color="auto" w:fill="auto"/>
            <w:vAlign w:val="center"/>
            <w:hideMark/>
          </w:tcPr>
          <w:p w14:paraId="5BC1E567" w14:textId="3A35988A" w:rsidR="00E36E35" w:rsidRPr="00005453" w:rsidRDefault="00E36E35" w:rsidP="00E36E35">
            <w:pPr>
              <w:ind w:left="720" w:right="452"/>
              <w:jc w:val="right"/>
              <w:rPr>
                <w:sz w:val="14"/>
                <w:szCs w:val="14"/>
              </w:rPr>
            </w:pPr>
            <w:r w:rsidRPr="00005453">
              <w:rPr>
                <w:sz w:val="14"/>
                <w:szCs w:val="18"/>
              </w:rPr>
              <w:t>-</w:t>
            </w:r>
          </w:p>
        </w:tc>
      </w:tr>
      <w:tr w:rsidR="00741C7D" w:rsidRPr="00005453" w14:paraId="7A5B1FE0" w14:textId="77777777" w:rsidTr="00BD1BED">
        <w:trPr>
          <w:divId w:val="1396393111"/>
          <w:trHeight w:val="278"/>
        </w:trPr>
        <w:tc>
          <w:tcPr>
            <w:tcW w:w="2977" w:type="dxa"/>
            <w:tcBorders>
              <w:top w:val="nil"/>
              <w:left w:val="nil"/>
              <w:bottom w:val="nil"/>
              <w:right w:val="nil"/>
            </w:tcBorders>
            <w:shd w:val="clear" w:color="auto" w:fill="auto"/>
            <w:noWrap/>
            <w:hideMark/>
          </w:tcPr>
          <w:p w14:paraId="3589503E" w14:textId="77777777" w:rsidR="00741C7D" w:rsidRPr="00005453" w:rsidRDefault="00741C7D" w:rsidP="00CD2EB9">
            <w:pPr>
              <w:rPr>
                <w:b/>
                <w:bCs/>
                <w:sz w:val="14"/>
                <w:szCs w:val="14"/>
                <w:lang w:eastAsia="tr-TR"/>
              </w:rPr>
            </w:pPr>
            <w:r w:rsidRPr="00005453">
              <w:rPr>
                <w:b/>
                <w:bCs/>
                <w:sz w:val="14"/>
                <w:szCs w:val="14"/>
                <w:lang w:eastAsia="tr-TR"/>
              </w:rPr>
              <w:t>Önceki Dönem</w:t>
            </w:r>
          </w:p>
        </w:tc>
        <w:tc>
          <w:tcPr>
            <w:tcW w:w="992" w:type="dxa"/>
            <w:tcBorders>
              <w:top w:val="nil"/>
              <w:left w:val="nil"/>
              <w:bottom w:val="nil"/>
              <w:right w:val="nil"/>
            </w:tcBorders>
            <w:shd w:val="clear" w:color="auto" w:fill="auto"/>
            <w:hideMark/>
          </w:tcPr>
          <w:p w14:paraId="6FD822E7" w14:textId="77777777" w:rsidR="00741C7D" w:rsidRPr="00005453" w:rsidRDefault="00741C7D" w:rsidP="00CD2EB9">
            <w:pPr>
              <w:jc w:val="right"/>
              <w:rPr>
                <w:b/>
                <w:bCs/>
                <w:sz w:val="14"/>
                <w:szCs w:val="14"/>
                <w:lang w:eastAsia="tr-TR"/>
              </w:rPr>
            </w:pPr>
          </w:p>
        </w:tc>
        <w:tc>
          <w:tcPr>
            <w:tcW w:w="914" w:type="dxa"/>
            <w:tcBorders>
              <w:top w:val="nil"/>
              <w:left w:val="nil"/>
              <w:bottom w:val="nil"/>
              <w:right w:val="nil"/>
            </w:tcBorders>
            <w:shd w:val="clear" w:color="auto" w:fill="auto"/>
            <w:hideMark/>
          </w:tcPr>
          <w:p w14:paraId="51BFE397" w14:textId="77777777" w:rsidR="00741C7D" w:rsidRPr="00005453" w:rsidRDefault="00741C7D" w:rsidP="00CD2EB9">
            <w:pPr>
              <w:jc w:val="right"/>
              <w:rPr>
                <w:b/>
                <w:bCs/>
                <w:sz w:val="14"/>
                <w:szCs w:val="14"/>
                <w:lang w:eastAsia="tr-TR"/>
              </w:rPr>
            </w:pPr>
          </w:p>
        </w:tc>
        <w:tc>
          <w:tcPr>
            <w:tcW w:w="929" w:type="dxa"/>
            <w:tcBorders>
              <w:top w:val="nil"/>
              <w:left w:val="nil"/>
              <w:bottom w:val="nil"/>
              <w:right w:val="nil"/>
            </w:tcBorders>
            <w:shd w:val="clear" w:color="auto" w:fill="auto"/>
            <w:hideMark/>
          </w:tcPr>
          <w:p w14:paraId="498AF272" w14:textId="77777777" w:rsidR="00741C7D" w:rsidRPr="00005453" w:rsidRDefault="00741C7D" w:rsidP="00CD2EB9">
            <w:pPr>
              <w:jc w:val="right"/>
              <w:rPr>
                <w:b/>
                <w:bCs/>
                <w:sz w:val="14"/>
                <w:szCs w:val="14"/>
                <w:lang w:eastAsia="tr-TR"/>
              </w:rPr>
            </w:pPr>
          </w:p>
        </w:tc>
        <w:tc>
          <w:tcPr>
            <w:tcW w:w="850" w:type="dxa"/>
            <w:tcBorders>
              <w:top w:val="nil"/>
              <w:left w:val="nil"/>
              <w:bottom w:val="nil"/>
              <w:right w:val="nil"/>
            </w:tcBorders>
            <w:shd w:val="clear" w:color="auto" w:fill="auto"/>
            <w:hideMark/>
          </w:tcPr>
          <w:p w14:paraId="7283CA0A" w14:textId="77777777" w:rsidR="00741C7D" w:rsidRPr="00005453" w:rsidRDefault="00741C7D" w:rsidP="00CD2EB9">
            <w:pPr>
              <w:jc w:val="right"/>
              <w:rPr>
                <w:b/>
                <w:bCs/>
                <w:sz w:val="14"/>
                <w:szCs w:val="14"/>
                <w:lang w:eastAsia="tr-TR"/>
              </w:rPr>
            </w:pPr>
          </w:p>
        </w:tc>
        <w:tc>
          <w:tcPr>
            <w:tcW w:w="851" w:type="dxa"/>
            <w:tcBorders>
              <w:top w:val="nil"/>
              <w:left w:val="nil"/>
              <w:bottom w:val="nil"/>
              <w:right w:val="nil"/>
            </w:tcBorders>
            <w:shd w:val="clear" w:color="auto" w:fill="auto"/>
            <w:hideMark/>
          </w:tcPr>
          <w:p w14:paraId="44EADE8A" w14:textId="77777777" w:rsidR="00741C7D" w:rsidRPr="00005453" w:rsidRDefault="00741C7D" w:rsidP="00CD2EB9">
            <w:pPr>
              <w:jc w:val="right"/>
              <w:rPr>
                <w:b/>
                <w:bCs/>
                <w:sz w:val="14"/>
                <w:szCs w:val="14"/>
                <w:lang w:eastAsia="tr-TR"/>
              </w:rPr>
            </w:pPr>
          </w:p>
        </w:tc>
        <w:tc>
          <w:tcPr>
            <w:tcW w:w="850" w:type="dxa"/>
            <w:tcBorders>
              <w:top w:val="nil"/>
              <w:left w:val="nil"/>
              <w:bottom w:val="nil"/>
              <w:right w:val="nil"/>
            </w:tcBorders>
            <w:shd w:val="clear" w:color="auto" w:fill="auto"/>
            <w:hideMark/>
          </w:tcPr>
          <w:p w14:paraId="0168262F" w14:textId="77777777" w:rsidR="00741C7D" w:rsidRPr="00005453" w:rsidRDefault="00741C7D" w:rsidP="00CD2EB9">
            <w:pPr>
              <w:jc w:val="right"/>
              <w:rPr>
                <w:b/>
                <w:bCs/>
                <w:sz w:val="14"/>
                <w:szCs w:val="14"/>
                <w:lang w:eastAsia="tr-TR"/>
              </w:rPr>
            </w:pPr>
          </w:p>
        </w:tc>
        <w:tc>
          <w:tcPr>
            <w:tcW w:w="1134" w:type="dxa"/>
            <w:tcBorders>
              <w:top w:val="nil"/>
              <w:left w:val="nil"/>
              <w:bottom w:val="nil"/>
              <w:right w:val="nil"/>
            </w:tcBorders>
            <w:shd w:val="clear" w:color="auto" w:fill="auto"/>
            <w:hideMark/>
          </w:tcPr>
          <w:p w14:paraId="138D8895" w14:textId="77777777" w:rsidR="00741C7D" w:rsidRPr="00005453" w:rsidRDefault="00741C7D" w:rsidP="00CD2EB9">
            <w:pPr>
              <w:jc w:val="right"/>
              <w:rPr>
                <w:b/>
                <w:bCs/>
                <w:sz w:val="14"/>
                <w:szCs w:val="14"/>
                <w:lang w:eastAsia="tr-TR"/>
              </w:rPr>
            </w:pPr>
          </w:p>
        </w:tc>
        <w:tc>
          <w:tcPr>
            <w:tcW w:w="851" w:type="dxa"/>
            <w:tcBorders>
              <w:top w:val="nil"/>
              <w:left w:val="nil"/>
              <w:bottom w:val="nil"/>
              <w:right w:val="nil"/>
            </w:tcBorders>
            <w:shd w:val="clear" w:color="auto" w:fill="auto"/>
            <w:hideMark/>
          </w:tcPr>
          <w:p w14:paraId="37BD75C0" w14:textId="77777777" w:rsidR="00741C7D" w:rsidRPr="00005453" w:rsidRDefault="00741C7D" w:rsidP="00CD2EB9">
            <w:pPr>
              <w:jc w:val="right"/>
              <w:rPr>
                <w:b/>
                <w:bCs/>
                <w:sz w:val="14"/>
                <w:szCs w:val="14"/>
                <w:lang w:eastAsia="tr-TR"/>
              </w:rPr>
            </w:pPr>
          </w:p>
        </w:tc>
      </w:tr>
      <w:tr w:rsidR="007854AB" w:rsidRPr="00005453" w14:paraId="40FF1592" w14:textId="77777777" w:rsidTr="007854AB">
        <w:trPr>
          <w:divId w:val="1396393111"/>
          <w:trHeight w:val="143"/>
        </w:trPr>
        <w:tc>
          <w:tcPr>
            <w:tcW w:w="2977" w:type="dxa"/>
            <w:tcBorders>
              <w:top w:val="nil"/>
              <w:left w:val="nil"/>
              <w:bottom w:val="nil"/>
              <w:right w:val="nil"/>
            </w:tcBorders>
            <w:shd w:val="clear" w:color="auto" w:fill="auto"/>
            <w:noWrap/>
            <w:hideMark/>
          </w:tcPr>
          <w:p w14:paraId="14E2C3B9" w14:textId="64EF0913" w:rsidR="007854AB" w:rsidRPr="00005453" w:rsidRDefault="007854AB" w:rsidP="007854AB">
            <w:pPr>
              <w:rPr>
                <w:sz w:val="14"/>
                <w:szCs w:val="14"/>
                <w:lang w:eastAsia="tr-TR"/>
              </w:rPr>
            </w:pPr>
            <w:r w:rsidRPr="00005453">
              <w:rPr>
                <w:sz w:val="14"/>
                <w:szCs w:val="14"/>
                <w:lang w:eastAsia="tr-TR"/>
              </w:rPr>
              <w:t>Toplam Aktifler</w:t>
            </w:r>
          </w:p>
        </w:tc>
        <w:tc>
          <w:tcPr>
            <w:tcW w:w="992" w:type="dxa"/>
            <w:tcBorders>
              <w:top w:val="nil"/>
              <w:left w:val="nil"/>
              <w:bottom w:val="nil"/>
              <w:right w:val="nil"/>
            </w:tcBorders>
            <w:shd w:val="clear" w:color="auto" w:fill="auto"/>
            <w:vAlign w:val="center"/>
            <w:hideMark/>
          </w:tcPr>
          <w:p w14:paraId="5A7B40AF" w14:textId="305FD2CC" w:rsidR="007854AB" w:rsidRPr="00005453" w:rsidRDefault="007854AB" w:rsidP="007854AB">
            <w:pPr>
              <w:jc w:val="right"/>
              <w:rPr>
                <w:sz w:val="14"/>
                <w:szCs w:val="14"/>
              </w:rPr>
            </w:pPr>
            <w:r w:rsidRPr="00005453">
              <w:rPr>
                <w:sz w:val="14"/>
                <w:szCs w:val="18"/>
              </w:rPr>
              <w:t>83,853,869</w:t>
            </w:r>
          </w:p>
        </w:tc>
        <w:tc>
          <w:tcPr>
            <w:tcW w:w="914" w:type="dxa"/>
            <w:tcBorders>
              <w:top w:val="nil"/>
              <w:left w:val="nil"/>
              <w:bottom w:val="nil"/>
              <w:right w:val="nil"/>
            </w:tcBorders>
            <w:shd w:val="clear" w:color="auto" w:fill="auto"/>
            <w:vAlign w:val="center"/>
            <w:hideMark/>
          </w:tcPr>
          <w:p w14:paraId="456D676B" w14:textId="51F9CA24" w:rsidR="007854AB" w:rsidRPr="00005453" w:rsidRDefault="007854AB" w:rsidP="007854AB">
            <w:pPr>
              <w:jc w:val="right"/>
              <w:rPr>
                <w:sz w:val="14"/>
                <w:szCs w:val="14"/>
              </w:rPr>
            </w:pPr>
            <w:r w:rsidRPr="00005453">
              <w:rPr>
                <w:sz w:val="14"/>
                <w:szCs w:val="18"/>
              </w:rPr>
              <w:t>144,172,044</w:t>
            </w:r>
          </w:p>
        </w:tc>
        <w:tc>
          <w:tcPr>
            <w:tcW w:w="929" w:type="dxa"/>
            <w:tcBorders>
              <w:top w:val="nil"/>
              <w:left w:val="nil"/>
              <w:bottom w:val="nil"/>
              <w:right w:val="nil"/>
            </w:tcBorders>
            <w:shd w:val="clear" w:color="auto" w:fill="auto"/>
            <w:vAlign w:val="center"/>
            <w:hideMark/>
          </w:tcPr>
          <w:p w14:paraId="112558A7" w14:textId="22F5ACAB" w:rsidR="007854AB" w:rsidRPr="00005453" w:rsidRDefault="007854AB" w:rsidP="007854AB">
            <w:pPr>
              <w:jc w:val="right"/>
              <w:rPr>
                <w:sz w:val="14"/>
                <w:szCs w:val="14"/>
              </w:rPr>
            </w:pPr>
            <w:r w:rsidRPr="00005453">
              <w:rPr>
                <w:sz w:val="14"/>
                <w:szCs w:val="18"/>
              </w:rPr>
              <w:t>92,314,620</w:t>
            </w:r>
          </w:p>
        </w:tc>
        <w:tc>
          <w:tcPr>
            <w:tcW w:w="850" w:type="dxa"/>
            <w:tcBorders>
              <w:top w:val="nil"/>
              <w:left w:val="nil"/>
              <w:bottom w:val="nil"/>
              <w:right w:val="nil"/>
            </w:tcBorders>
            <w:shd w:val="clear" w:color="auto" w:fill="auto"/>
            <w:vAlign w:val="center"/>
            <w:hideMark/>
          </w:tcPr>
          <w:p w14:paraId="60C6BDE8" w14:textId="4F41F241" w:rsidR="007854AB" w:rsidRPr="00005453" w:rsidRDefault="007854AB" w:rsidP="007854AB">
            <w:pPr>
              <w:jc w:val="right"/>
              <w:rPr>
                <w:sz w:val="14"/>
                <w:szCs w:val="14"/>
              </w:rPr>
            </w:pPr>
            <w:r w:rsidRPr="00005453">
              <w:rPr>
                <w:sz w:val="14"/>
                <w:szCs w:val="18"/>
              </w:rPr>
              <w:t>152,248,156</w:t>
            </w:r>
          </w:p>
        </w:tc>
        <w:tc>
          <w:tcPr>
            <w:tcW w:w="851" w:type="dxa"/>
            <w:tcBorders>
              <w:top w:val="nil"/>
              <w:left w:val="nil"/>
              <w:bottom w:val="nil"/>
              <w:right w:val="nil"/>
            </w:tcBorders>
            <w:shd w:val="clear" w:color="auto" w:fill="auto"/>
            <w:vAlign w:val="center"/>
            <w:hideMark/>
          </w:tcPr>
          <w:p w14:paraId="437052CF" w14:textId="451CD197" w:rsidR="007854AB" w:rsidRPr="00005453" w:rsidRDefault="007854AB" w:rsidP="007854AB">
            <w:pPr>
              <w:jc w:val="right"/>
              <w:rPr>
                <w:sz w:val="14"/>
                <w:szCs w:val="14"/>
              </w:rPr>
            </w:pPr>
            <w:r w:rsidRPr="00005453">
              <w:rPr>
                <w:sz w:val="14"/>
                <w:szCs w:val="18"/>
              </w:rPr>
              <w:t>149,395,521</w:t>
            </w:r>
          </w:p>
        </w:tc>
        <w:tc>
          <w:tcPr>
            <w:tcW w:w="850" w:type="dxa"/>
            <w:tcBorders>
              <w:top w:val="nil"/>
              <w:left w:val="nil"/>
              <w:bottom w:val="nil"/>
              <w:right w:val="nil"/>
            </w:tcBorders>
            <w:shd w:val="clear" w:color="auto" w:fill="auto"/>
            <w:vAlign w:val="center"/>
            <w:hideMark/>
          </w:tcPr>
          <w:p w14:paraId="4725ADC2" w14:textId="31F781A6" w:rsidR="007854AB" w:rsidRPr="00005453" w:rsidRDefault="007854AB" w:rsidP="007854AB">
            <w:pPr>
              <w:jc w:val="right"/>
              <w:rPr>
                <w:sz w:val="14"/>
                <w:szCs w:val="14"/>
              </w:rPr>
            </w:pPr>
            <w:r w:rsidRPr="00005453">
              <w:rPr>
                <w:sz w:val="14"/>
                <w:szCs w:val="18"/>
              </w:rPr>
              <w:t>30,992,721</w:t>
            </w:r>
          </w:p>
        </w:tc>
        <w:tc>
          <w:tcPr>
            <w:tcW w:w="1134" w:type="dxa"/>
            <w:tcBorders>
              <w:top w:val="nil"/>
              <w:left w:val="nil"/>
              <w:bottom w:val="nil"/>
              <w:right w:val="nil"/>
            </w:tcBorders>
            <w:shd w:val="clear" w:color="auto" w:fill="auto"/>
            <w:vAlign w:val="center"/>
            <w:hideMark/>
          </w:tcPr>
          <w:p w14:paraId="0B87CE29" w14:textId="47082BB3" w:rsidR="007854AB" w:rsidRPr="00005453" w:rsidRDefault="007854AB" w:rsidP="007854AB">
            <w:pPr>
              <w:jc w:val="right"/>
              <w:rPr>
                <w:sz w:val="14"/>
                <w:szCs w:val="14"/>
              </w:rPr>
            </w:pPr>
            <w:r w:rsidRPr="00005453">
              <w:rPr>
                <w:sz w:val="14"/>
                <w:szCs w:val="18"/>
              </w:rPr>
              <w:t>15,191,284</w:t>
            </w:r>
          </w:p>
        </w:tc>
        <w:tc>
          <w:tcPr>
            <w:tcW w:w="851" w:type="dxa"/>
            <w:tcBorders>
              <w:top w:val="nil"/>
              <w:left w:val="nil"/>
              <w:bottom w:val="nil"/>
              <w:right w:val="nil"/>
            </w:tcBorders>
            <w:shd w:val="clear" w:color="auto" w:fill="auto"/>
            <w:vAlign w:val="center"/>
            <w:hideMark/>
          </w:tcPr>
          <w:p w14:paraId="73FCB6D6" w14:textId="3C70EA88" w:rsidR="007854AB" w:rsidRPr="00005453" w:rsidRDefault="007854AB" w:rsidP="007854AB">
            <w:pPr>
              <w:jc w:val="right"/>
              <w:rPr>
                <w:sz w:val="14"/>
                <w:szCs w:val="14"/>
              </w:rPr>
            </w:pPr>
            <w:r w:rsidRPr="00005453">
              <w:rPr>
                <w:sz w:val="14"/>
                <w:szCs w:val="18"/>
              </w:rPr>
              <w:t>668,168,215</w:t>
            </w:r>
          </w:p>
        </w:tc>
      </w:tr>
      <w:tr w:rsidR="007854AB" w:rsidRPr="00005453" w14:paraId="7960758D" w14:textId="77777777" w:rsidTr="007854AB">
        <w:trPr>
          <w:divId w:val="1396393111"/>
          <w:trHeight w:val="80"/>
        </w:trPr>
        <w:tc>
          <w:tcPr>
            <w:tcW w:w="2977" w:type="dxa"/>
            <w:tcBorders>
              <w:top w:val="nil"/>
              <w:left w:val="nil"/>
              <w:right w:val="nil"/>
            </w:tcBorders>
            <w:shd w:val="clear" w:color="auto" w:fill="auto"/>
            <w:noWrap/>
            <w:hideMark/>
          </w:tcPr>
          <w:p w14:paraId="14EB5630" w14:textId="77777777" w:rsidR="007854AB" w:rsidRPr="00005453" w:rsidRDefault="007854AB" w:rsidP="007854AB">
            <w:pPr>
              <w:rPr>
                <w:sz w:val="14"/>
                <w:szCs w:val="14"/>
                <w:lang w:eastAsia="tr-TR"/>
              </w:rPr>
            </w:pPr>
            <w:r w:rsidRPr="00005453">
              <w:rPr>
                <w:sz w:val="14"/>
                <w:szCs w:val="14"/>
                <w:lang w:eastAsia="tr-TR"/>
              </w:rPr>
              <w:t>Toplam yükümlülükler</w:t>
            </w:r>
          </w:p>
        </w:tc>
        <w:tc>
          <w:tcPr>
            <w:tcW w:w="992" w:type="dxa"/>
            <w:tcBorders>
              <w:top w:val="nil"/>
              <w:left w:val="nil"/>
              <w:right w:val="nil"/>
            </w:tcBorders>
            <w:shd w:val="clear" w:color="auto" w:fill="auto"/>
            <w:vAlign w:val="center"/>
            <w:hideMark/>
          </w:tcPr>
          <w:p w14:paraId="2356223E" w14:textId="4A0FC5AF" w:rsidR="007854AB" w:rsidRPr="00005453" w:rsidRDefault="007854AB" w:rsidP="007854AB">
            <w:pPr>
              <w:jc w:val="right"/>
              <w:rPr>
                <w:sz w:val="14"/>
                <w:szCs w:val="14"/>
              </w:rPr>
            </w:pPr>
            <w:r w:rsidRPr="00005453">
              <w:rPr>
                <w:sz w:val="14"/>
                <w:szCs w:val="18"/>
              </w:rPr>
              <w:t>246,583,362</w:t>
            </w:r>
          </w:p>
        </w:tc>
        <w:tc>
          <w:tcPr>
            <w:tcW w:w="914" w:type="dxa"/>
            <w:tcBorders>
              <w:top w:val="nil"/>
              <w:left w:val="nil"/>
              <w:right w:val="nil"/>
            </w:tcBorders>
            <w:shd w:val="clear" w:color="auto" w:fill="auto"/>
            <w:vAlign w:val="center"/>
            <w:hideMark/>
          </w:tcPr>
          <w:p w14:paraId="3A6C5DD8" w14:textId="09275CE0" w:rsidR="007854AB" w:rsidRPr="00005453" w:rsidRDefault="007854AB" w:rsidP="007854AB">
            <w:pPr>
              <w:jc w:val="right"/>
              <w:rPr>
                <w:sz w:val="14"/>
                <w:szCs w:val="14"/>
              </w:rPr>
            </w:pPr>
            <w:r w:rsidRPr="00005453">
              <w:rPr>
                <w:sz w:val="14"/>
                <w:szCs w:val="18"/>
              </w:rPr>
              <w:t>201,196,636</w:t>
            </w:r>
          </w:p>
        </w:tc>
        <w:tc>
          <w:tcPr>
            <w:tcW w:w="929" w:type="dxa"/>
            <w:tcBorders>
              <w:top w:val="nil"/>
              <w:left w:val="nil"/>
              <w:right w:val="nil"/>
            </w:tcBorders>
            <w:shd w:val="clear" w:color="auto" w:fill="auto"/>
            <w:vAlign w:val="center"/>
            <w:hideMark/>
          </w:tcPr>
          <w:p w14:paraId="6A58FF95" w14:textId="3CEA213A" w:rsidR="007854AB" w:rsidRPr="00005453" w:rsidRDefault="007854AB" w:rsidP="007854AB">
            <w:pPr>
              <w:jc w:val="right"/>
              <w:rPr>
                <w:sz w:val="14"/>
                <w:szCs w:val="14"/>
              </w:rPr>
            </w:pPr>
            <w:r w:rsidRPr="00005453">
              <w:rPr>
                <w:sz w:val="14"/>
                <w:szCs w:val="18"/>
              </w:rPr>
              <w:t>73,369,643</w:t>
            </w:r>
          </w:p>
        </w:tc>
        <w:tc>
          <w:tcPr>
            <w:tcW w:w="850" w:type="dxa"/>
            <w:tcBorders>
              <w:top w:val="nil"/>
              <w:left w:val="nil"/>
              <w:right w:val="nil"/>
            </w:tcBorders>
            <w:shd w:val="clear" w:color="auto" w:fill="auto"/>
            <w:vAlign w:val="center"/>
            <w:hideMark/>
          </w:tcPr>
          <w:p w14:paraId="7351E858" w14:textId="7387321B" w:rsidR="007854AB" w:rsidRPr="00005453" w:rsidRDefault="007854AB" w:rsidP="007854AB">
            <w:pPr>
              <w:jc w:val="right"/>
              <w:rPr>
                <w:sz w:val="14"/>
                <w:szCs w:val="14"/>
              </w:rPr>
            </w:pPr>
            <w:r w:rsidRPr="00005453">
              <w:rPr>
                <w:sz w:val="14"/>
                <w:szCs w:val="18"/>
              </w:rPr>
              <w:t>75,351,277</w:t>
            </w:r>
          </w:p>
        </w:tc>
        <w:tc>
          <w:tcPr>
            <w:tcW w:w="851" w:type="dxa"/>
            <w:tcBorders>
              <w:top w:val="nil"/>
              <w:left w:val="nil"/>
              <w:right w:val="nil"/>
            </w:tcBorders>
            <w:shd w:val="clear" w:color="auto" w:fill="auto"/>
            <w:vAlign w:val="center"/>
            <w:hideMark/>
          </w:tcPr>
          <w:p w14:paraId="284B636B" w14:textId="477F0C39" w:rsidR="007854AB" w:rsidRPr="00005453" w:rsidRDefault="007854AB" w:rsidP="007854AB">
            <w:pPr>
              <w:jc w:val="right"/>
              <w:rPr>
                <w:sz w:val="14"/>
                <w:szCs w:val="14"/>
              </w:rPr>
            </w:pPr>
            <w:r w:rsidRPr="00005453">
              <w:rPr>
                <w:sz w:val="14"/>
                <w:szCs w:val="18"/>
              </w:rPr>
              <w:t>7,720,723</w:t>
            </w:r>
          </w:p>
        </w:tc>
        <w:tc>
          <w:tcPr>
            <w:tcW w:w="850" w:type="dxa"/>
            <w:tcBorders>
              <w:top w:val="nil"/>
              <w:left w:val="nil"/>
              <w:right w:val="nil"/>
            </w:tcBorders>
            <w:shd w:val="clear" w:color="auto" w:fill="auto"/>
            <w:vAlign w:val="center"/>
            <w:hideMark/>
          </w:tcPr>
          <w:p w14:paraId="6F31C5A0" w14:textId="7EBDCAA9" w:rsidR="007854AB" w:rsidRPr="00005453" w:rsidRDefault="007854AB" w:rsidP="007854AB">
            <w:pPr>
              <w:jc w:val="right"/>
              <w:rPr>
                <w:sz w:val="14"/>
                <w:szCs w:val="14"/>
              </w:rPr>
            </w:pPr>
            <w:r w:rsidRPr="00005453">
              <w:rPr>
                <w:sz w:val="14"/>
                <w:szCs w:val="18"/>
              </w:rPr>
              <w:t>10,392,928</w:t>
            </w:r>
          </w:p>
        </w:tc>
        <w:tc>
          <w:tcPr>
            <w:tcW w:w="1134" w:type="dxa"/>
            <w:tcBorders>
              <w:top w:val="nil"/>
              <w:left w:val="nil"/>
              <w:right w:val="nil"/>
            </w:tcBorders>
            <w:shd w:val="clear" w:color="auto" w:fill="auto"/>
            <w:vAlign w:val="center"/>
            <w:hideMark/>
          </w:tcPr>
          <w:p w14:paraId="63778F72" w14:textId="7FA43F08" w:rsidR="007854AB" w:rsidRPr="00005453" w:rsidRDefault="007854AB" w:rsidP="007854AB">
            <w:pPr>
              <w:jc w:val="right"/>
              <w:rPr>
                <w:sz w:val="14"/>
                <w:szCs w:val="14"/>
              </w:rPr>
            </w:pPr>
            <w:r w:rsidRPr="00005453">
              <w:rPr>
                <w:sz w:val="14"/>
                <w:szCs w:val="18"/>
              </w:rPr>
              <w:t>53,553,646</w:t>
            </w:r>
          </w:p>
        </w:tc>
        <w:tc>
          <w:tcPr>
            <w:tcW w:w="851" w:type="dxa"/>
            <w:tcBorders>
              <w:top w:val="nil"/>
              <w:left w:val="nil"/>
              <w:right w:val="nil"/>
            </w:tcBorders>
            <w:shd w:val="clear" w:color="auto" w:fill="auto"/>
            <w:vAlign w:val="center"/>
            <w:hideMark/>
          </w:tcPr>
          <w:p w14:paraId="7CC70039" w14:textId="06D0DB83" w:rsidR="007854AB" w:rsidRPr="00005453" w:rsidRDefault="007854AB" w:rsidP="007854AB">
            <w:pPr>
              <w:jc w:val="right"/>
              <w:rPr>
                <w:sz w:val="14"/>
                <w:szCs w:val="14"/>
              </w:rPr>
            </w:pPr>
            <w:r w:rsidRPr="00005453">
              <w:rPr>
                <w:sz w:val="14"/>
                <w:szCs w:val="18"/>
              </w:rPr>
              <w:t>668,168,215</w:t>
            </w:r>
          </w:p>
        </w:tc>
      </w:tr>
      <w:tr w:rsidR="007854AB" w:rsidRPr="00005453" w14:paraId="0E59D768" w14:textId="77777777" w:rsidTr="007854AB">
        <w:trPr>
          <w:divId w:val="1396393111"/>
          <w:trHeight w:val="151"/>
        </w:trPr>
        <w:tc>
          <w:tcPr>
            <w:tcW w:w="2977" w:type="dxa"/>
            <w:tcBorders>
              <w:top w:val="nil"/>
              <w:left w:val="nil"/>
              <w:bottom w:val="single" w:sz="8" w:space="0" w:color="000000"/>
              <w:right w:val="nil"/>
            </w:tcBorders>
            <w:shd w:val="clear" w:color="auto" w:fill="auto"/>
            <w:noWrap/>
            <w:hideMark/>
          </w:tcPr>
          <w:p w14:paraId="048AA354" w14:textId="77777777" w:rsidR="007854AB" w:rsidRPr="00005453" w:rsidRDefault="007854AB" w:rsidP="007854AB">
            <w:pPr>
              <w:rPr>
                <w:sz w:val="14"/>
                <w:szCs w:val="14"/>
                <w:lang w:eastAsia="tr-TR"/>
              </w:rPr>
            </w:pPr>
            <w:r w:rsidRPr="00005453">
              <w:rPr>
                <w:sz w:val="14"/>
                <w:szCs w:val="14"/>
                <w:lang w:eastAsia="tr-TR"/>
              </w:rPr>
              <w:t>Likidite Açığı</w:t>
            </w:r>
          </w:p>
        </w:tc>
        <w:tc>
          <w:tcPr>
            <w:tcW w:w="992" w:type="dxa"/>
            <w:tcBorders>
              <w:top w:val="nil"/>
              <w:left w:val="nil"/>
              <w:bottom w:val="single" w:sz="8" w:space="0" w:color="000000"/>
              <w:right w:val="nil"/>
            </w:tcBorders>
            <w:shd w:val="clear" w:color="auto" w:fill="auto"/>
            <w:vAlign w:val="center"/>
            <w:hideMark/>
          </w:tcPr>
          <w:p w14:paraId="55A87FCB" w14:textId="3181E415" w:rsidR="007854AB" w:rsidRPr="00005453" w:rsidRDefault="007854AB" w:rsidP="007854AB">
            <w:pPr>
              <w:jc w:val="right"/>
              <w:rPr>
                <w:sz w:val="14"/>
                <w:szCs w:val="14"/>
              </w:rPr>
            </w:pPr>
            <w:r w:rsidRPr="00005453">
              <w:rPr>
                <w:sz w:val="14"/>
                <w:szCs w:val="18"/>
              </w:rPr>
              <w:t>(162,729,493)</w:t>
            </w:r>
          </w:p>
        </w:tc>
        <w:tc>
          <w:tcPr>
            <w:tcW w:w="914" w:type="dxa"/>
            <w:tcBorders>
              <w:top w:val="nil"/>
              <w:left w:val="nil"/>
              <w:bottom w:val="single" w:sz="8" w:space="0" w:color="000000"/>
              <w:right w:val="nil"/>
            </w:tcBorders>
            <w:shd w:val="clear" w:color="auto" w:fill="auto"/>
            <w:vAlign w:val="center"/>
            <w:hideMark/>
          </w:tcPr>
          <w:p w14:paraId="3C3B6404" w14:textId="30DECB58" w:rsidR="007854AB" w:rsidRPr="00005453" w:rsidRDefault="007854AB" w:rsidP="007854AB">
            <w:pPr>
              <w:jc w:val="right"/>
              <w:rPr>
                <w:sz w:val="14"/>
                <w:szCs w:val="14"/>
              </w:rPr>
            </w:pPr>
            <w:r w:rsidRPr="00005453">
              <w:rPr>
                <w:sz w:val="14"/>
                <w:szCs w:val="18"/>
              </w:rPr>
              <w:t>(57,024,592)</w:t>
            </w:r>
          </w:p>
        </w:tc>
        <w:tc>
          <w:tcPr>
            <w:tcW w:w="929" w:type="dxa"/>
            <w:tcBorders>
              <w:top w:val="nil"/>
              <w:left w:val="nil"/>
              <w:bottom w:val="single" w:sz="8" w:space="0" w:color="000000"/>
              <w:right w:val="nil"/>
            </w:tcBorders>
            <w:shd w:val="clear" w:color="auto" w:fill="auto"/>
            <w:vAlign w:val="center"/>
            <w:hideMark/>
          </w:tcPr>
          <w:p w14:paraId="4D78BC0D" w14:textId="1E53BAF0" w:rsidR="007854AB" w:rsidRPr="00005453" w:rsidRDefault="007854AB" w:rsidP="007854AB">
            <w:pPr>
              <w:jc w:val="right"/>
              <w:rPr>
                <w:sz w:val="14"/>
                <w:szCs w:val="14"/>
              </w:rPr>
            </w:pPr>
            <w:r w:rsidRPr="00005453">
              <w:rPr>
                <w:sz w:val="14"/>
                <w:szCs w:val="18"/>
              </w:rPr>
              <w:t>18,944,977</w:t>
            </w:r>
          </w:p>
        </w:tc>
        <w:tc>
          <w:tcPr>
            <w:tcW w:w="850" w:type="dxa"/>
            <w:tcBorders>
              <w:top w:val="nil"/>
              <w:left w:val="nil"/>
              <w:bottom w:val="single" w:sz="8" w:space="0" w:color="000000"/>
              <w:right w:val="nil"/>
            </w:tcBorders>
            <w:shd w:val="clear" w:color="auto" w:fill="auto"/>
            <w:vAlign w:val="center"/>
            <w:hideMark/>
          </w:tcPr>
          <w:p w14:paraId="2BD32D52" w14:textId="1CD9C384" w:rsidR="007854AB" w:rsidRPr="00005453" w:rsidRDefault="007854AB" w:rsidP="007854AB">
            <w:pPr>
              <w:jc w:val="right"/>
              <w:rPr>
                <w:sz w:val="14"/>
                <w:szCs w:val="14"/>
              </w:rPr>
            </w:pPr>
            <w:r w:rsidRPr="00005453">
              <w:rPr>
                <w:sz w:val="14"/>
                <w:szCs w:val="18"/>
              </w:rPr>
              <w:t>76,896,879</w:t>
            </w:r>
          </w:p>
        </w:tc>
        <w:tc>
          <w:tcPr>
            <w:tcW w:w="851" w:type="dxa"/>
            <w:tcBorders>
              <w:top w:val="nil"/>
              <w:left w:val="nil"/>
              <w:bottom w:val="single" w:sz="8" w:space="0" w:color="000000"/>
              <w:right w:val="nil"/>
            </w:tcBorders>
            <w:shd w:val="clear" w:color="auto" w:fill="auto"/>
            <w:vAlign w:val="center"/>
            <w:hideMark/>
          </w:tcPr>
          <w:p w14:paraId="5F7E5A29" w14:textId="33AC7A26" w:rsidR="007854AB" w:rsidRPr="00005453" w:rsidRDefault="007854AB" w:rsidP="007854AB">
            <w:pPr>
              <w:jc w:val="right"/>
              <w:rPr>
                <w:sz w:val="14"/>
                <w:szCs w:val="14"/>
              </w:rPr>
            </w:pPr>
            <w:r w:rsidRPr="00005453">
              <w:rPr>
                <w:sz w:val="14"/>
                <w:szCs w:val="18"/>
              </w:rPr>
              <w:t>141,674,798</w:t>
            </w:r>
          </w:p>
        </w:tc>
        <w:tc>
          <w:tcPr>
            <w:tcW w:w="850" w:type="dxa"/>
            <w:tcBorders>
              <w:top w:val="nil"/>
              <w:left w:val="nil"/>
              <w:bottom w:val="single" w:sz="8" w:space="0" w:color="000000"/>
              <w:right w:val="nil"/>
            </w:tcBorders>
            <w:shd w:val="clear" w:color="auto" w:fill="auto"/>
            <w:vAlign w:val="center"/>
            <w:hideMark/>
          </w:tcPr>
          <w:p w14:paraId="0D55B9A7" w14:textId="1D1C35FB" w:rsidR="007854AB" w:rsidRPr="00005453" w:rsidRDefault="007854AB" w:rsidP="007854AB">
            <w:pPr>
              <w:jc w:val="right"/>
              <w:rPr>
                <w:sz w:val="14"/>
                <w:szCs w:val="14"/>
              </w:rPr>
            </w:pPr>
            <w:r w:rsidRPr="00005453">
              <w:rPr>
                <w:sz w:val="14"/>
                <w:szCs w:val="18"/>
              </w:rPr>
              <w:t>20,599,793</w:t>
            </w:r>
          </w:p>
        </w:tc>
        <w:tc>
          <w:tcPr>
            <w:tcW w:w="1134" w:type="dxa"/>
            <w:tcBorders>
              <w:top w:val="nil"/>
              <w:left w:val="nil"/>
              <w:bottom w:val="single" w:sz="8" w:space="0" w:color="000000"/>
              <w:right w:val="nil"/>
            </w:tcBorders>
            <w:shd w:val="clear" w:color="auto" w:fill="auto"/>
            <w:vAlign w:val="center"/>
            <w:hideMark/>
          </w:tcPr>
          <w:p w14:paraId="2CBFFE95" w14:textId="319EA383" w:rsidR="007854AB" w:rsidRPr="00005453" w:rsidRDefault="007854AB" w:rsidP="007854AB">
            <w:pPr>
              <w:jc w:val="right"/>
              <w:rPr>
                <w:sz w:val="14"/>
                <w:szCs w:val="14"/>
              </w:rPr>
            </w:pPr>
            <w:r w:rsidRPr="00005453">
              <w:rPr>
                <w:sz w:val="14"/>
                <w:szCs w:val="18"/>
              </w:rPr>
              <w:t>(38,362,362)</w:t>
            </w:r>
          </w:p>
        </w:tc>
        <w:tc>
          <w:tcPr>
            <w:tcW w:w="851" w:type="dxa"/>
            <w:tcBorders>
              <w:top w:val="nil"/>
              <w:left w:val="nil"/>
              <w:bottom w:val="single" w:sz="8" w:space="0" w:color="000000"/>
              <w:right w:val="nil"/>
            </w:tcBorders>
            <w:shd w:val="clear" w:color="auto" w:fill="auto"/>
            <w:vAlign w:val="center"/>
            <w:hideMark/>
          </w:tcPr>
          <w:p w14:paraId="5C965578" w14:textId="7522E4E5" w:rsidR="007854AB" w:rsidRPr="00005453" w:rsidRDefault="007854AB" w:rsidP="007854AB">
            <w:pPr>
              <w:jc w:val="right"/>
              <w:rPr>
                <w:sz w:val="14"/>
                <w:szCs w:val="14"/>
              </w:rPr>
            </w:pPr>
            <w:r w:rsidRPr="00005453">
              <w:rPr>
                <w:sz w:val="14"/>
                <w:szCs w:val="14"/>
              </w:rPr>
              <w:t>-</w:t>
            </w:r>
          </w:p>
        </w:tc>
      </w:tr>
      <w:bookmarkEnd w:id="44"/>
    </w:tbl>
    <w:p w14:paraId="3AFEA73A" w14:textId="491A24E3" w:rsidR="0080080D" w:rsidRPr="00005453" w:rsidRDefault="0080080D" w:rsidP="0064124D">
      <w:pPr>
        <w:pStyle w:val="BodyText"/>
        <w:jc w:val="left"/>
        <w:rPr>
          <w:sz w:val="10"/>
          <w:szCs w:val="10"/>
          <w:lang w:val="en-GB" w:eastAsia="en-GB"/>
        </w:rPr>
      </w:pPr>
    </w:p>
    <w:p w14:paraId="3B29B8F9" w14:textId="419B9FC5" w:rsidR="00741C7D" w:rsidRPr="00005453" w:rsidRDefault="00741C7D" w:rsidP="00741C7D">
      <w:pPr>
        <w:pStyle w:val="BodyText"/>
        <w:jc w:val="left"/>
        <w:rPr>
          <w:rFonts w:eastAsia="Arial Unicode MS"/>
          <w:sz w:val="13"/>
          <w:szCs w:val="13"/>
        </w:rPr>
      </w:pPr>
      <w:r w:rsidRPr="00005453">
        <w:rPr>
          <w:rFonts w:eastAsia="Arial Unicode MS"/>
          <w:sz w:val="14"/>
          <w:szCs w:val="14"/>
        </w:rPr>
        <w:t>(*)</w:t>
      </w:r>
      <w:r w:rsidRPr="00005453">
        <w:rPr>
          <w:rFonts w:eastAsia="Arial Unicode MS"/>
          <w:sz w:val="13"/>
          <w:szCs w:val="13"/>
        </w:rPr>
        <w:t xml:space="preserve">           Beklenen zarar karşılıkları ile netlenerek sunulmuştur.</w:t>
      </w:r>
    </w:p>
    <w:p w14:paraId="4AAA024C" w14:textId="77777777" w:rsidR="00741C7D" w:rsidRPr="00005453" w:rsidRDefault="00741C7D" w:rsidP="00741C7D">
      <w:pPr>
        <w:pStyle w:val="BodyText"/>
        <w:ind w:left="539" w:hanging="539"/>
        <w:rPr>
          <w:rFonts w:eastAsia="Arial Unicode MS"/>
          <w:sz w:val="13"/>
          <w:szCs w:val="13"/>
        </w:rPr>
      </w:pPr>
      <w:r w:rsidRPr="00005453">
        <w:rPr>
          <w:rFonts w:eastAsia="Arial Unicode MS"/>
          <w:sz w:val="14"/>
          <w:szCs w:val="14"/>
        </w:rPr>
        <w:t>(**)</w:t>
      </w:r>
      <w:r w:rsidRPr="00005453">
        <w:rPr>
          <w:rFonts w:eastAsia="Arial Unicode MS"/>
          <w:sz w:val="14"/>
          <w:szCs w:val="14"/>
        </w:rPr>
        <w:tab/>
      </w:r>
      <w:r w:rsidRPr="00005453">
        <w:rPr>
          <w:rFonts w:eastAsia="Arial Unicode MS"/>
          <w:sz w:val="13"/>
          <w:szCs w:val="13"/>
        </w:rPr>
        <w:t xml:space="preserve">Kiralama işlemlerinden alacakları da içermekte ve beklenen zarar karşılıkları ile netlenerek sunulmuştur. </w:t>
      </w:r>
    </w:p>
    <w:p w14:paraId="7726EF47" w14:textId="77777777" w:rsidR="00741C7D" w:rsidRPr="00005453" w:rsidRDefault="00741C7D" w:rsidP="00741C7D">
      <w:pPr>
        <w:pStyle w:val="BodyText"/>
        <w:ind w:left="539" w:hanging="539"/>
        <w:rPr>
          <w:rFonts w:eastAsia="Arial Unicode MS"/>
          <w:sz w:val="13"/>
          <w:szCs w:val="13"/>
        </w:rPr>
      </w:pPr>
      <w:r w:rsidRPr="00005453">
        <w:rPr>
          <w:rFonts w:eastAsia="Arial Unicode MS"/>
          <w:sz w:val="14"/>
          <w:szCs w:val="16"/>
        </w:rPr>
        <w:t>(***)</w:t>
      </w:r>
      <w:r w:rsidRPr="00005453">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2BB6768C" w14:textId="77777777" w:rsidR="00741C7D" w:rsidRPr="00005453" w:rsidRDefault="00741C7D" w:rsidP="00741C7D">
      <w:pPr>
        <w:pStyle w:val="BodyText"/>
        <w:ind w:left="539" w:hanging="539"/>
        <w:rPr>
          <w:rFonts w:eastAsia="Arial Unicode MS"/>
          <w:sz w:val="13"/>
          <w:szCs w:val="13"/>
        </w:rPr>
      </w:pPr>
      <w:r w:rsidRPr="00005453">
        <w:rPr>
          <w:rFonts w:eastAsia="Arial Unicode MS"/>
          <w:sz w:val="14"/>
          <w:szCs w:val="16"/>
        </w:rPr>
        <w:t>(****)</w:t>
      </w:r>
      <w:r w:rsidRPr="00005453">
        <w:rPr>
          <w:rFonts w:eastAsia="Arial Unicode MS"/>
          <w:sz w:val="13"/>
          <w:szCs w:val="13"/>
        </w:rPr>
        <w:tab/>
        <w:t>Dağıtılamayan diğer yükümlülükler kolonu esas itibarıyla özkaynak ve karşılık bakiyelerinden oluşmaktadır.</w:t>
      </w:r>
    </w:p>
    <w:p w14:paraId="7031A436" w14:textId="68C48C23" w:rsidR="00D846E4" w:rsidRPr="00005453" w:rsidRDefault="00D846E4" w:rsidP="00741C7D">
      <w:pPr>
        <w:pStyle w:val="BodyText"/>
        <w:jc w:val="left"/>
        <w:rPr>
          <w:rFonts w:eastAsia="Arial Unicode MS"/>
          <w:sz w:val="13"/>
          <w:szCs w:val="13"/>
        </w:rPr>
      </w:pPr>
    </w:p>
    <w:p w14:paraId="57411226" w14:textId="76622A2C" w:rsidR="007854AB" w:rsidRPr="00005453" w:rsidRDefault="007854AB" w:rsidP="00741C7D">
      <w:pPr>
        <w:pStyle w:val="BodyText"/>
        <w:jc w:val="left"/>
        <w:rPr>
          <w:rFonts w:eastAsia="Arial Unicode MS"/>
          <w:sz w:val="13"/>
          <w:szCs w:val="13"/>
        </w:rPr>
      </w:pPr>
    </w:p>
    <w:p w14:paraId="2EF8C92E" w14:textId="194AB278" w:rsidR="007854AB" w:rsidRPr="00005453" w:rsidRDefault="007854AB" w:rsidP="00741C7D">
      <w:pPr>
        <w:pStyle w:val="BodyText"/>
        <w:jc w:val="left"/>
        <w:rPr>
          <w:rFonts w:eastAsia="Arial Unicode MS"/>
          <w:sz w:val="13"/>
          <w:szCs w:val="13"/>
        </w:rPr>
      </w:pPr>
    </w:p>
    <w:p w14:paraId="61AD6761" w14:textId="5463E082" w:rsidR="007854AB" w:rsidRPr="00005453" w:rsidRDefault="007854AB" w:rsidP="00741C7D">
      <w:pPr>
        <w:pStyle w:val="BodyText"/>
        <w:jc w:val="left"/>
        <w:rPr>
          <w:rFonts w:eastAsia="Arial Unicode MS"/>
          <w:sz w:val="13"/>
          <w:szCs w:val="13"/>
        </w:rPr>
      </w:pPr>
    </w:p>
    <w:p w14:paraId="16A8C720" w14:textId="63EBDFAE" w:rsidR="007854AB" w:rsidRPr="00005453" w:rsidRDefault="007854AB" w:rsidP="00741C7D">
      <w:pPr>
        <w:pStyle w:val="BodyText"/>
        <w:jc w:val="left"/>
        <w:rPr>
          <w:rFonts w:eastAsia="Arial Unicode MS"/>
          <w:sz w:val="13"/>
          <w:szCs w:val="13"/>
        </w:rPr>
      </w:pPr>
    </w:p>
    <w:p w14:paraId="6AF0F3DE" w14:textId="38C88DCD" w:rsidR="007854AB" w:rsidRPr="00005453" w:rsidRDefault="007854AB" w:rsidP="00741C7D">
      <w:pPr>
        <w:pStyle w:val="BodyText"/>
        <w:jc w:val="left"/>
        <w:rPr>
          <w:rFonts w:eastAsia="Arial Unicode MS"/>
          <w:sz w:val="13"/>
          <w:szCs w:val="13"/>
        </w:rPr>
      </w:pPr>
    </w:p>
    <w:p w14:paraId="00F4B895" w14:textId="4759EE11" w:rsidR="007854AB" w:rsidRPr="00005453" w:rsidRDefault="007854AB" w:rsidP="00741C7D">
      <w:pPr>
        <w:pStyle w:val="BodyText"/>
        <w:jc w:val="left"/>
        <w:rPr>
          <w:rFonts w:eastAsia="Arial Unicode MS"/>
          <w:sz w:val="13"/>
          <w:szCs w:val="13"/>
        </w:rPr>
      </w:pPr>
    </w:p>
    <w:p w14:paraId="600ED605" w14:textId="34356CF0" w:rsidR="007854AB" w:rsidRPr="00005453" w:rsidRDefault="007854AB" w:rsidP="00741C7D">
      <w:pPr>
        <w:pStyle w:val="BodyText"/>
        <w:jc w:val="left"/>
        <w:rPr>
          <w:rFonts w:eastAsia="Arial Unicode MS"/>
          <w:sz w:val="13"/>
          <w:szCs w:val="13"/>
        </w:rPr>
      </w:pPr>
    </w:p>
    <w:p w14:paraId="00A0F4FB" w14:textId="39E2E0BB" w:rsidR="007854AB" w:rsidRPr="00005453" w:rsidRDefault="007854AB" w:rsidP="00741C7D">
      <w:pPr>
        <w:pStyle w:val="BodyText"/>
        <w:jc w:val="left"/>
        <w:rPr>
          <w:rFonts w:eastAsia="Arial Unicode MS"/>
          <w:sz w:val="13"/>
          <w:szCs w:val="13"/>
        </w:rPr>
      </w:pPr>
    </w:p>
    <w:p w14:paraId="4FD42B78" w14:textId="19946F1E" w:rsidR="007854AB" w:rsidRPr="00005453" w:rsidRDefault="007854AB" w:rsidP="00741C7D">
      <w:pPr>
        <w:pStyle w:val="BodyText"/>
        <w:jc w:val="left"/>
        <w:rPr>
          <w:rFonts w:eastAsia="Arial Unicode MS"/>
          <w:sz w:val="13"/>
          <w:szCs w:val="13"/>
        </w:rPr>
      </w:pPr>
    </w:p>
    <w:p w14:paraId="6E77812D" w14:textId="79A38CC9" w:rsidR="007854AB" w:rsidRPr="00005453" w:rsidRDefault="007854AB" w:rsidP="00741C7D">
      <w:pPr>
        <w:pStyle w:val="BodyText"/>
        <w:jc w:val="left"/>
        <w:rPr>
          <w:rFonts w:eastAsia="Arial Unicode MS"/>
          <w:sz w:val="13"/>
          <w:szCs w:val="13"/>
        </w:rPr>
      </w:pPr>
    </w:p>
    <w:p w14:paraId="125CFB86" w14:textId="142A0AF1" w:rsidR="007854AB" w:rsidRPr="00005453" w:rsidRDefault="007854AB" w:rsidP="00741C7D">
      <w:pPr>
        <w:pStyle w:val="BodyText"/>
        <w:jc w:val="left"/>
        <w:rPr>
          <w:rFonts w:eastAsia="Arial Unicode MS"/>
          <w:sz w:val="13"/>
          <w:szCs w:val="13"/>
        </w:rPr>
      </w:pPr>
    </w:p>
    <w:p w14:paraId="2BF26910" w14:textId="0DB5566B" w:rsidR="007854AB" w:rsidRPr="00005453" w:rsidRDefault="007854AB" w:rsidP="00741C7D">
      <w:pPr>
        <w:pStyle w:val="BodyText"/>
        <w:jc w:val="left"/>
        <w:rPr>
          <w:rFonts w:eastAsia="Arial Unicode MS"/>
          <w:sz w:val="13"/>
          <w:szCs w:val="13"/>
        </w:rPr>
      </w:pPr>
    </w:p>
    <w:p w14:paraId="00C104EA" w14:textId="07E647C6" w:rsidR="007854AB" w:rsidRPr="00005453" w:rsidRDefault="007854AB" w:rsidP="00741C7D">
      <w:pPr>
        <w:pStyle w:val="BodyText"/>
        <w:jc w:val="left"/>
        <w:rPr>
          <w:rFonts w:eastAsia="Arial Unicode MS"/>
          <w:sz w:val="13"/>
          <w:szCs w:val="13"/>
        </w:rPr>
      </w:pPr>
    </w:p>
    <w:p w14:paraId="285C2457" w14:textId="71EADF6D" w:rsidR="007854AB" w:rsidRPr="00005453" w:rsidRDefault="007854AB" w:rsidP="00741C7D">
      <w:pPr>
        <w:pStyle w:val="BodyText"/>
        <w:jc w:val="left"/>
        <w:rPr>
          <w:rFonts w:eastAsia="Arial Unicode MS"/>
          <w:sz w:val="13"/>
          <w:szCs w:val="13"/>
        </w:rPr>
      </w:pPr>
    </w:p>
    <w:p w14:paraId="5A8A5B89" w14:textId="08E66D77" w:rsidR="007854AB" w:rsidRPr="00005453" w:rsidRDefault="007854AB" w:rsidP="00741C7D">
      <w:pPr>
        <w:pStyle w:val="BodyText"/>
        <w:jc w:val="left"/>
        <w:rPr>
          <w:rFonts w:eastAsia="Arial Unicode MS"/>
          <w:sz w:val="13"/>
          <w:szCs w:val="13"/>
        </w:rPr>
      </w:pPr>
    </w:p>
    <w:p w14:paraId="0B0227C7" w14:textId="6CBCC3F3" w:rsidR="007854AB" w:rsidRPr="00005453" w:rsidRDefault="007854AB" w:rsidP="00741C7D">
      <w:pPr>
        <w:pStyle w:val="BodyText"/>
        <w:jc w:val="left"/>
        <w:rPr>
          <w:rFonts w:eastAsia="Arial Unicode MS"/>
          <w:sz w:val="13"/>
          <w:szCs w:val="13"/>
        </w:rPr>
      </w:pPr>
    </w:p>
    <w:p w14:paraId="20B62622" w14:textId="06E1ACB7" w:rsidR="007854AB" w:rsidRPr="00005453" w:rsidRDefault="007854AB" w:rsidP="00741C7D">
      <w:pPr>
        <w:pStyle w:val="BodyText"/>
        <w:jc w:val="left"/>
        <w:rPr>
          <w:rFonts w:eastAsia="Arial Unicode MS"/>
          <w:sz w:val="13"/>
          <w:szCs w:val="13"/>
        </w:rPr>
      </w:pPr>
    </w:p>
    <w:p w14:paraId="1AAB8B1A" w14:textId="420414C6" w:rsidR="007854AB" w:rsidRPr="00005453" w:rsidRDefault="007854AB" w:rsidP="00741C7D">
      <w:pPr>
        <w:pStyle w:val="BodyText"/>
        <w:jc w:val="left"/>
        <w:rPr>
          <w:rFonts w:eastAsia="Arial Unicode MS"/>
          <w:sz w:val="13"/>
          <w:szCs w:val="13"/>
        </w:rPr>
      </w:pPr>
    </w:p>
    <w:p w14:paraId="319DCFD7" w14:textId="0E3B31C4" w:rsidR="007854AB" w:rsidRPr="00005453" w:rsidRDefault="007854AB" w:rsidP="00741C7D">
      <w:pPr>
        <w:pStyle w:val="BodyText"/>
        <w:jc w:val="left"/>
        <w:rPr>
          <w:rFonts w:eastAsia="Arial Unicode MS"/>
          <w:sz w:val="13"/>
          <w:szCs w:val="13"/>
        </w:rPr>
      </w:pPr>
    </w:p>
    <w:p w14:paraId="0FF0EAB2" w14:textId="286874E0" w:rsidR="007854AB" w:rsidRPr="00005453" w:rsidRDefault="007854AB" w:rsidP="00741C7D">
      <w:pPr>
        <w:pStyle w:val="BodyText"/>
        <w:jc w:val="left"/>
        <w:rPr>
          <w:rFonts w:eastAsia="Arial Unicode MS"/>
          <w:sz w:val="13"/>
          <w:szCs w:val="13"/>
        </w:rPr>
      </w:pPr>
    </w:p>
    <w:p w14:paraId="4A58706B" w14:textId="3DDD97CE" w:rsidR="007854AB" w:rsidRPr="00005453" w:rsidRDefault="007854AB" w:rsidP="00741C7D">
      <w:pPr>
        <w:pStyle w:val="BodyText"/>
        <w:jc w:val="left"/>
        <w:rPr>
          <w:rFonts w:eastAsia="Arial Unicode MS"/>
          <w:sz w:val="13"/>
          <w:szCs w:val="13"/>
        </w:rPr>
      </w:pPr>
    </w:p>
    <w:p w14:paraId="791598FE" w14:textId="4C9B3C56" w:rsidR="007854AB" w:rsidRPr="00005453" w:rsidRDefault="007854AB" w:rsidP="00741C7D">
      <w:pPr>
        <w:pStyle w:val="BodyText"/>
        <w:jc w:val="left"/>
        <w:rPr>
          <w:rFonts w:eastAsia="Arial Unicode MS"/>
          <w:sz w:val="13"/>
          <w:szCs w:val="13"/>
        </w:rPr>
      </w:pPr>
    </w:p>
    <w:p w14:paraId="7A669704" w14:textId="4CBC643F" w:rsidR="007854AB" w:rsidRPr="00005453" w:rsidRDefault="007854AB" w:rsidP="00741C7D">
      <w:pPr>
        <w:pStyle w:val="BodyText"/>
        <w:jc w:val="left"/>
        <w:rPr>
          <w:rFonts w:eastAsia="Arial Unicode MS"/>
          <w:sz w:val="13"/>
          <w:szCs w:val="13"/>
        </w:rPr>
      </w:pPr>
    </w:p>
    <w:p w14:paraId="725E9F06" w14:textId="330796BA" w:rsidR="007854AB" w:rsidRPr="00005453" w:rsidRDefault="007854AB" w:rsidP="00741C7D">
      <w:pPr>
        <w:pStyle w:val="BodyText"/>
        <w:jc w:val="left"/>
        <w:rPr>
          <w:rFonts w:eastAsia="Arial Unicode MS"/>
          <w:sz w:val="13"/>
          <w:szCs w:val="13"/>
        </w:rPr>
      </w:pPr>
    </w:p>
    <w:p w14:paraId="452E26A0" w14:textId="168CA5CA" w:rsidR="007854AB" w:rsidRPr="00005453" w:rsidRDefault="007854AB" w:rsidP="00741C7D">
      <w:pPr>
        <w:pStyle w:val="BodyText"/>
        <w:jc w:val="left"/>
        <w:rPr>
          <w:rFonts w:eastAsia="Arial Unicode MS"/>
          <w:sz w:val="13"/>
          <w:szCs w:val="13"/>
        </w:rPr>
      </w:pPr>
    </w:p>
    <w:p w14:paraId="2CC0EBCF" w14:textId="00232B3C" w:rsidR="007854AB" w:rsidRPr="00005453" w:rsidRDefault="007854AB" w:rsidP="00741C7D">
      <w:pPr>
        <w:pStyle w:val="BodyText"/>
        <w:jc w:val="left"/>
        <w:rPr>
          <w:rFonts w:eastAsia="Arial Unicode MS"/>
          <w:sz w:val="13"/>
          <w:szCs w:val="13"/>
        </w:rPr>
      </w:pPr>
    </w:p>
    <w:p w14:paraId="603E57C4" w14:textId="52B9D22B" w:rsidR="007854AB" w:rsidRPr="00005453" w:rsidRDefault="007854AB" w:rsidP="00741C7D">
      <w:pPr>
        <w:pStyle w:val="BodyText"/>
        <w:jc w:val="left"/>
        <w:rPr>
          <w:rFonts w:eastAsia="Arial Unicode MS"/>
          <w:sz w:val="13"/>
          <w:szCs w:val="13"/>
        </w:rPr>
      </w:pPr>
    </w:p>
    <w:p w14:paraId="3DC0AD4A" w14:textId="23C4B86A" w:rsidR="007854AB" w:rsidRPr="00005453" w:rsidRDefault="007854AB" w:rsidP="00741C7D">
      <w:pPr>
        <w:pStyle w:val="BodyText"/>
        <w:jc w:val="left"/>
        <w:rPr>
          <w:rFonts w:eastAsia="Arial Unicode MS"/>
          <w:sz w:val="13"/>
          <w:szCs w:val="13"/>
        </w:rPr>
      </w:pPr>
    </w:p>
    <w:p w14:paraId="4CE38DC1" w14:textId="50C1F762" w:rsidR="007854AB" w:rsidRPr="00005453" w:rsidRDefault="007854AB" w:rsidP="00741C7D">
      <w:pPr>
        <w:pStyle w:val="BodyText"/>
        <w:jc w:val="left"/>
        <w:rPr>
          <w:rFonts w:eastAsia="Arial Unicode MS"/>
          <w:sz w:val="13"/>
          <w:szCs w:val="13"/>
        </w:rPr>
      </w:pPr>
    </w:p>
    <w:p w14:paraId="3C3C5560" w14:textId="71A4177E" w:rsidR="007854AB" w:rsidRPr="00005453" w:rsidRDefault="007854AB" w:rsidP="00741C7D">
      <w:pPr>
        <w:pStyle w:val="BodyText"/>
        <w:jc w:val="left"/>
        <w:rPr>
          <w:rFonts w:eastAsia="Arial Unicode MS"/>
          <w:sz w:val="13"/>
          <w:szCs w:val="13"/>
        </w:rPr>
      </w:pPr>
    </w:p>
    <w:p w14:paraId="3F2631E3" w14:textId="3754A7B5" w:rsidR="007854AB" w:rsidRPr="00005453" w:rsidRDefault="007854AB" w:rsidP="00741C7D">
      <w:pPr>
        <w:pStyle w:val="BodyText"/>
        <w:jc w:val="left"/>
        <w:rPr>
          <w:rFonts w:eastAsia="Arial Unicode MS"/>
          <w:sz w:val="13"/>
          <w:szCs w:val="13"/>
        </w:rPr>
      </w:pPr>
    </w:p>
    <w:p w14:paraId="45B2A737" w14:textId="71C5C85D" w:rsidR="007854AB" w:rsidRPr="00005453" w:rsidRDefault="007854AB" w:rsidP="00741C7D">
      <w:pPr>
        <w:pStyle w:val="BodyText"/>
        <w:jc w:val="left"/>
        <w:rPr>
          <w:rFonts w:eastAsia="Arial Unicode MS"/>
          <w:sz w:val="13"/>
          <w:szCs w:val="13"/>
        </w:rPr>
      </w:pPr>
    </w:p>
    <w:p w14:paraId="4BA47A64" w14:textId="7FF829AA" w:rsidR="007854AB" w:rsidRPr="00005453" w:rsidRDefault="007854AB" w:rsidP="00741C7D">
      <w:pPr>
        <w:pStyle w:val="BodyText"/>
        <w:jc w:val="left"/>
        <w:rPr>
          <w:rFonts w:eastAsia="Arial Unicode MS"/>
          <w:sz w:val="13"/>
          <w:szCs w:val="13"/>
        </w:rPr>
      </w:pPr>
    </w:p>
    <w:p w14:paraId="6E6348B4" w14:textId="5AD7731A" w:rsidR="007854AB" w:rsidRPr="00005453" w:rsidRDefault="004738AC" w:rsidP="00741C7D">
      <w:pPr>
        <w:pStyle w:val="BodyText"/>
        <w:jc w:val="left"/>
        <w:rPr>
          <w:rFonts w:eastAsia="Arial Unicode MS"/>
          <w:sz w:val="13"/>
          <w:szCs w:val="13"/>
        </w:rPr>
      </w:pPr>
      <w:r>
        <w:rPr>
          <w:rFonts w:eastAsia="Arial Unicode MS"/>
          <w:sz w:val="13"/>
          <w:szCs w:val="13"/>
        </w:rPr>
        <w:t>,</w:t>
      </w:r>
    </w:p>
    <w:p w14:paraId="16D4A050" w14:textId="7616EDE8" w:rsidR="007854AB" w:rsidRPr="00005453" w:rsidRDefault="007854AB" w:rsidP="00741C7D">
      <w:pPr>
        <w:pStyle w:val="BodyText"/>
        <w:jc w:val="left"/>
        <w:rPr>
          <w:rFonts w:eastAsia="Arial Unicode MS"/>
          <w:sz w:val="13"/>
          <w:szCs w:val="13"/>
        </w:rPr>
      </w:pPr>
    </w:p>
    <w:p w14:paraId="68B1DD1B" w14:textId="0A7C5085" w:rsidR="007854AB" w:rsidRPr="00005453" w:rsidRDefault="007854AB" w:rsidP="00741C7D">
      <w:pPr>
        <w:pStyle w:val="BodyText"/>
        <w:jc w:val="left"/>
        <w:rPr>
          <w:rFonts w:eastAsia="Arial Unicode MS"/>
          <w:sz w:val="13"/>
          <w:szCs w:val="13"/>
        </w:rPr>
      </w:pPr>
    </w:p>
    <w:p w14:paraId="5E29AD85" w14:textId="7FF2B1C9" w:rsidR="007854AB" w:rsidRPr="00005453" w:rsidRDefault="007854AB" w:rsidP="00741C7D">
      <w:pPr>
        <w:pStyle w:val="BodyText"/>
        <w:jc w:val="left"/>
        <w:rPr>
          <w:rFonts w:eastAsia="Arial Unicode MS"/>
          <w:sz w:val="13"/>
          <w:szCs w:val="13"/>
        </w:rPr>
      </w:pPr>
    </w:p>
    <w:p w14:paraId="1C9B707F" w14:textId="12377103" w:rsidR="007854AB" w:rsidRPr="00005453" w:rsidRDefault="007854AB" w:rsidP="00741C7D">
      <w:pPr>
        <w:pStyle w:val="BodyText"/>
        <w:jc w:val="left"/>
        <w:rPr>
          <w:rFonts w:eastAsia="Arial Unicode MS"/>
          <w:sz w:val="13"/>
          <w:szCs w:val="13"/>
        </w:rPr>
      </w:pPr>
    </w:p>
    <w:p w14:paraId="73F72E65" w14:textId="6CBBBC45" w:rsidR="007854AB" w:rsidRPr="00005453" w:rsidRDefault="007854AB" w:rsidP="00741C7D">
      <w:pPr>
        <w:pStyle w:val="BodyText"/>
        <w:jc w:val="left"/>
        <w:rPr>
          <w:rFonts w:eastAsia="Arial Unicode MS"/>
          <w:sz w:val="13"/>
          <w:szCs w:val="13"/>
        </w:rPr>
      </w:pPr>
    </w:p>
    <w:p w14:paraId="79328C56" w14:textId="233EC764" w:rsidR="007854AB" w:rsidRPr="00005453" w:rsidRDefault="007854AB" w:rsidP="00741C7D">
      <w:pPr>
        <w:pStyle w:val="BodyText"/>
        <w:jc w:val="left"/>
        <w:rPr>
          <w:rFonts w:eastAsia="Arial Unicode MS"/>
          <w:sz w:val="13"/>
          <w:szCs w:val="13"/>
        </w:rPr>
      </w:pPr>
    </w:p>
    <w:p w14:paraId="3A73FC74" w14:textId="0EA8BFAA" w:rsidR="007854AB" w:rsidRPr="00005453" w:rsidRDefault="007854AB" w:rsidP="00741C7D">
      <w:pPr>
        <w:pStyle w:val="BodyText"/>
        <w:jc w:val="left"/>
        <w:rPr>
          <w:rFonts w:eastAsia="Arial Unicode MS"/>
          <w:sz w:val="13"/>
          <w:szCs w:val="13"/>
        </w:rPr>
      </w:pPr>
    </w:p>
    <w:p w14:paraId="7ACDA835" w14:textId="3EBAF616" w:rsidR="007854AB" w:rsidRPr="00005453" w:rsidRDefault="007854AB" w:rsidP="00741C7D">
      <w:pPr>
        <w:pStyle w:val="BodyText"/>
        <w:jc w:val="left"/>
        <w:rPr>
          <w:rFonts w:eastAsia="Arial Unicode MS"/>
          <w:sz w:val="13"/>
          <w:szCs w:val="13"/>
        </w:rPr>
      </w:pPr>
    </w:p>
    <w:p w14:paraId="257F7526" w14:textId="25BDED67" w:rsidR="007854AB" w:rsidRPr="00005453" w:rsidRDefault="007854AB" w:rsidP="00741C7D">
      <w:pPr>
        <w:pStyle w:val="BodyText"/>
        <w:jc w:val="left"/>
        <w:rPr>
          <w:rFonts w:eastAsia="Arial Unicode MS"/>
          <w:sz w:val="13"/>
          <w:szCs w:val="13"/>
        </w:rPr>
      </w:pPr>
    </w:p>
    <w:p w14:paraId="02493D8C" w14:textId="77777777" w:rsidR="007854AB" w:rsidRPr="00005453" w:rsidRDefault="007854AB" w:rsidP="00741C7D">
      <w:pPr>
        <w:pStyle w:val="BodyText"/>
        <w:jc w:val="left"/>
        <w:rPr>
          <w:rFonts w:eastAsia="Arial Unicode MS"/>
          <w:sz w:val="13"/>
          <w:szCs w:val="13"/>
        </w:rPr>
      </w:pPr>
    </w:p>
    <w:p w14:paraId="11FAACC3" w14:textId="77777777" w:rsidR="007854AB" w:rsidRPr="00005453" w:rsidRDefault="007854AB" w:rsidP="007854AB">
      <w:pPr>
        <w:ind w:hanging="567"/>
        <w:jc w:val="both"/>
        <w:rPr>
          <w:rFonts w:eastAsia="Arial Unicode MS"/>
          <w:b/>
        </w:rPr>
      </w:pPr>
      <w:r w:rsidRPr="00005453">
        <w:rPr>
          <w:rFonts w:eastAsia="Arial Unicode MS"/>
          <w:b/>
        </w:rPr>
        <w:lastRenderedPageBreak/>
        <w:t>5.11</w:t>
      </w:r>
      <w:r w:rsidRPr="00005453">
        <w:rPr>
          <w:rFonts w:eastAsia="Arial Unicode MS"/>
          <w:b/>
        </w:rPr>
        <w:tab/>
        <w:t>Net istikrarlı fonlama oranı</w:t>
      </w:r>
    </w:p>
    <w:p w14:paraId="58C26072" w14:textId="77777777" w:rsidR="007854AB" w:rsidRPr="00005453" w:rsidRDefault="007854AB" w:rsidP="007854AB">
      <w:pPr>
        <w:pStyle w:val="BodyText"/>
        <w:rPr>
          <w:rFonts w:eastAsia="Arial Unicode MS"/>
          <w:sz w:val="13"/>
          <w:szCs w:val="13"/>
        </w:rPr>
      </w:pPr>
    </w:p>
    <w:p w14:paraId="33FAEAAE" w14:textId="77777777" w:rsidR="007854AB" w:rsidRPr="00005453" w:rsidRDefault="007854AB" w:rsidP="007854AB">
      <w:pPr>
        <w:ind w:right="-2"/>
        <w:jc w:val="both"/>
      </w:pPr>
      <w:r w:rsidRPr="00005453">
        <w:t>Net istikrarlı fonlama oranı (NİFO), mevcut istikrarlı fon tutarının gerekli istikrarlı fon tutarına bölünmesi</w:t>
      </w:r>
      <w:r w:rsidRPr="00005453">
        <w:br/>
        <w:t>suretiyle hesaplanmaktadır. Mevcut istikrarlı fon, bankaların yükümlülük ve özkaynaklarının kalıcı olması</w:t>
      </w:r>
      <w:r w:rsidRPr="00005453">
        <w:br/>
        <w:t>beklenen kısmını; gerekli istikrarlı fon, bankaların bilanço içi varlıklarının ve bilanço dışı borçlarının</w:t>
      </w:r>
      <w:r w:rsidRPr="00005453">
        <w:br/>
        <w:t>yeniden fonlanması beklenen kısmını ifade etmektedir.</w:t>
      </w:r>
    </w:p>
    <w:p w14:paraId="3C09D2F4" w14:textId="77777777" w:rsidR="007854AB" w:rsidRPr="00005453" w:rsidRDefault="007854AB" w:rsidP="007854AB">
      <w:pPr>
        <w:ind w:right="-2"/>
        <w:jc w:val="both"/>
      </w:pPr>
      <w:r w:rsidRPr="00005453">
        <w:br/>
        <w:t>Mevcut istikrarlı fon tutarı, bankaların yükümlülük ve özkaynak unsurlarının TFRS uyarınca değerlenmiş</w:t>
      </w:r>
      <w:r w:rsidRPr="00005453">
        <w:br/>
        <w:t>tutarlarına mevzuat kapsamında belirlenen ilgili dikkate alma oranları uygulandıktan sonra bulunacak</w:t>
      </w:r>
      <w:r w:rsidRPr="00005453">
        <w:br/>
        <w:t>tutarlar toplanarak hesaplanmaktadır. Gerekli istikrarlı fon tutarı, bankaların bilanço içi varlıklarının</w:t>
      </w:r>
      <w:r w:rsidRPr="00005453">
        <w:br/>
        <w:t>TFRS uyarınca değerlenmiş tutarlarından ve bilanço dışı borçlarından, Kredilerin Sınıflandırılması ve</w:t>
      </w:r>
      <w:r w:rsidRPr="00005453">
        <w:br/>
        <w:t>Bunlar İçin Ayrılacak Karşılıklara İlişkin Usul ve Esaslar Hakkında Yönetmelik uyarınca ayrılmış özel</w:t>
      </w:r>
      <w:r w:rsidRPr="00005453">
        <w:br/>
        <w:t>karşılıkların düşülmesi suretiyle hesaplanan değere, mevzuat kapsamında belirlenen ilgili dikkate alma</w:t>
      </w:r>
      <w:r w:rsidRPr="00005453">
        <w:br/>
        <w:t>oranları uygulandıktan sonra bulunacak tutarlar toplanarak hesaplanmaktadır.</w:t>
      </w:r>
    </w:p>
    <w:p w14:paraId="5FEEA7E4" w14:textId="77777777" w:rsidR="007854AB" w:rsidRPr="00005453" w:rsidRDefault="007854AB" w:rsidP="007854AB">
      <w:pPr>
        <w:ind w:right="-2"/>
        <w:jc w:val="both"/>
      </w:pPr>
      <w:r w:rsidRPr="00005453">
        <w:br/>
        <w:t>Özkaynak hesaplama dönemleri itibarıyla aylık olarak hesaplanan konsolide ve konsolide olmayan NİFO</w:t>
      </w:r>
      <w:r w:rsidRPr="00005453">
        <w:br/>
        <w:t>Mart, Haziran, Eylül ve Aralık dönemleri itibarıyla üç aylık basit aritmetik ortalaması yüzde yüzden az</w:t>
      </w:r>
      <w:r w:rsidRPr="00005453">
        <w:br/>
        <w:t>olamaz.</w:t>
      </w:r>
    </w:p>
    <w:p w14:paraId="61ABBA15" w14:textId="77777777" w:rsidR="007854AB" w:rsidRPr="00005453" w:rsidRDefault="007854AB" w:rsidP="007854AB">
      <w:pPr>
        <w:ind w:right="-2"/>
        <w:jc w:val="both"/>
        <w:rPr>
          <w:sz w:val="14"/>
        </w:rPr>
      </w:pPr>
    </w:p>
    <w:p w14:paraId="140E92D2" w14:textId="2CF8ACF6" w:rsidR="007854AB" w:rsidRPr="00005453" w:rsidRDefault="00B3719B" w:rsidP="007854AB">
      <w:pPr>
        <w:jc w:val="both"/>
      </w:pPr>
      <w:r w:rsidRPr="00005453">
        <w:t>Aralık</w:t>
      </w:r>
      <w:r w:rsidR="007854AB" w:rsidRPr="00005453">
        <w:t xml:space="preserve"> 2024 dönemi dahil son üç aya ilişkin Net İstikrarlı Fonlama Oranının basit aritmetik ortalaması %1</w:t>
      </w:r>
      <w:r w:rsidR="00562840" w:rsidRPr="00005453">
        <w:t>32</w:t>
      </w:r>
      <w:r w:rsidR="007854AB" w:rsidRPr="00005453">
        <w:t>.</w:t>
      </w:r>
      <w:r w:rsidR="00562840" w:rsidRPr="00005453">
        <w:t>85</w:t>
      </w:r>
      <w:r w:rsidR="007854AB" w:rsidRPr="00005453">
        <w:t xml:space="preserve"> (31 Aralık </w:t>
      </w:r>
      <w:proofErr w:type="gramStart"/>
      <w:r w:rsidR="007854AB" w:rsidRPr="00005453">
        <w:t>2023 -</w:t>
      </w:r>
      <w:proofErr w:type="gramEnd"/>
      <w:r w:rsidR="007854AB" w:rsidRPr="00005453">
        <w:t xml:space="preserve"> %166.61) olarak gerçekleşmiştir. 3</w:t>
      </w:r>
      <w:r w:rsidRPr="00005453">
        <w:t>1 Aralık</w:t>
      </w:r>
      <w:r w:rsidR="007854AB" w:rsidRPr="00005453">
        <w:t xml:space="preserve"> 2024 tarihi itibariyle bankamızın Net İstikrarlı Fonlama tablosundaki mevcut istikrarlı fon tutarı 6</w:t>
      </w:r>
      <w:r w:rsidR="00562840" w:rsidRPr="00005453">
        <w:t>5</w:t>
      </w:r>
      <w:r w:rsidR="007854AB" w:rsidRPr="00005453">
        <w:t>3,</w:t>
      </w:r>
      <w:r w:rsidR="00562840" w:rsidRPr="00005453">
        <w:t>056</w:t>
      </w:r>
      <w:r w:rsidR="007854AB" w:rsidRPr="00005453">
        <w:t>,</w:t>
      </w:r>
      <w:r w:rsidR="00562840" w:rsidRPr="00005453">
        <w:t>391</w:t>
      </w:r>
      <w:r w:rsidR="007854AB" w:rsidRPr="00005453">
        <w:t xml:space="preserve"> TL (31 Aralık 2023 – 519,299,348 TL) iken gerekli istikrarlı fon tutarı </w:t>
      </w:r>
      <w:r w:rsidR="00562840" w:rsidRPr="00005453">
        <w:rPr>
          <w:color w:val="000000"/>
          <w:szCs w:val="22"/>
        </w:rPr>
        <w:t>491,584,420</w:t>
      </w:r>
      <w:r w:rsidR="007854AB" w:rsidRPr="00005453">
        <w:t xml:space="preserve"> TL (31 Aralık 2023 – 311,681,380 TL) olup, Net İstikrarlı Fonlama Oranımız %1</w:t>
      </w:r>
      <w:r w:rsidR="00562840" w:rsidRPr="00005453">
        <w:t>32</w:t>
      </w:r>
      <w:r w:rsidR="007854AB" w:rsidRPr="00005453">
        <w:t>.</w:t>
      </w:r>
      <w:r w:rsidR="00562840" w:rsidRPr="00005453">
        <w:t>85</w:t>
      </w:r>
      <w:r w:rsidR="007854AB" w:rsidRPr="00005453">
        <w:t xml:space="preserve"> (31 Aralık </w:t>
      </w:r>
      <w:proofErr w:type="gramStart"/>
      <w:r w:rsidR="007854AB" w:rsidRPr="00005453">
        <w:t>2023 -</w:t>
      </w:r>
      <w:proofErr w:type="gramEnd"/>
      <w:r w:rsidR="007854AB" w:rsidRPr="00005453">
        <w:t xml:space="preserve"> %166.61) olarak gerçekleşmiştir.</w:t>
      </w:r>
    </w:p>
    <w:p w14:paraId="0E2337F1" w14:textId="77777777" w:rsidR="007854AB" w:rsidRPr="00005453" w:rsidRDefault="007854AB" w:rsidP="007854AB">
      <w:pPr>
        <w:ind w:right="-2"/>
        <w:jc w:val="both"/>
      </w:pPr>
    </w:p>
    <w:tbl>
      <w:tblPr>
        <w:tblW w:w="9732" w:type="dxa"/>
        <w:tblInd w:w="-10" w:type="dxa"/>
        <w:tblLayout w:type="fixed"/>
        <w:tblCellMar>
          <w:left w:w="0" w:type="dxa"/>
          <w:right w:w="0" w:type="dxa"/>
        </w:tblCellMar>
        <w:tblLook w:val="04A0" w:firstRow="1" w:lastRow="0" w:firstColumn="1" w:lastColumn="0" w:noHBand="0" w:noVBand="1"/>
      </w:tblPr>
      <w:tblGrid>
        <w:gridCol w:w="459"/>
        <w:gridCol w:w="3369"/>
        <w:gridCol w:w="1134"/>
        <w:gridCol w:w="1134"/>
        <w:gridCol w:w="1365"/>
        <w:gridCol w:w="1137"/>
        <w:gridCol w:w="1134"/>
      </w:tblGrid>
      <w:tr w:rsidR="007854AB" w:rsidRPr="00005453" w14:paraId="11002BC7" w14:textId="77777777" w:rsidTr="006B4A0A">
        <w:trPr>
          <w:trHeight w:val="220"/>
        </w:trPr>
        <w:tc>
          <w:tcPr>
            <w:tcW w:w="382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25CE1F" w14:textId="77777777" w:rsidR="007854AB" w:rsidRPr="00005453" w:rsidRDefault="007854AB" w:rsidP="007854AB">
            <w:pPr>
              <w:spacing w:line="305" w:lineRule="atLeast"/>
              <w:jc w:val="center"/>
              <w:rPr>
                <w:b/>
                <w:sz w:val="16"/>
                <w:szCs w:val="16"/>
                <w:lang w:eastAsia="tr-TR"/>
              </w:rPr>
            </w:pPr>
            <w:r w:rsidRPr="00005453">
              <w:rPr>
                <w:b/>
                <w:sz w:val="16"/>
                <w:szCs w:val="16"/>
                <w:lang w:eastAsia="tr-TR"/>
              </w:rPr>
              <w:t>Cari Dönem</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617698"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a</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0F7E74"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733529"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c</w:t>
            </w:r>
            <w:proofErr w:type="gramEnd"/>
          </w:p>
        </w:tc>
        <w:tc>
          <w:tcPr>
            <w:tcW w:w="11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CB13AD"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ç</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BEAD03"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d</w:t>
            </w:r>
            <w:proofErr w:type="gramEnd"/>
          </w:p>
        </w:tc>
      </w:tr>
      <w:tr w:rsidR="007854AB" w:rsidRPr="00005453" w14:paraId="1A77A6C9" w14:textId="77777777" w:rsidTr="006B4A0A">
        <w:trPr>
          <w:trHeight w:val="489"/>
        </w:trPr>
        <w:tc>
          <w:tcPr>
            <w:tcW w:w="38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9C230B" w14:textId="77777777" w:rsidR="007854AB" w:rsidRPr="00005453" w:rsidRDefault="007854AB" w:rsidP="007854AB">
            <w:pPr>
              <w:spacing w:line="305" w:lineRule="atLeast"/>
              <w:ind w:left="873" w:firstLine="141"/>
              <w:rPr>
                <w:sz w:val="16"/>
                <w:szCs w:val="16"/>
                <w:lang w:eastAsia="tr-TR"/>
              </w:rPr>
            </w:pPr>
            <w:r w:rsidRPr="00005453">
              <w:rPr>
                <w:sz w:val="16"/>
                <w:szCs w:val="16"/>
                <w:lang w:eastAsia="tr-TR"/>
              </w:rPr>
              <w:t> </w:t>
            </w:r>
          </w:p>
        </w:tc>
        <w:tc>
          <w:tcPr>
            <w:tcW w:w="4770"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6F94E36" w14:textId="77777777" w:rsidR="007854AB" w:rsidRPr="00005453" w:rsidRDefault="007854AB" w:rsidP="007854AB">
            <w:pPr>
              <w:spacing w:line="305" w:lineRule="atLeast"/>
              <w:jc w:val="center"/>
              <w:rPr>
                <w:sz w:val="16"/>
                <w:szCs w:val="16"/>
                <w:lang w:eastAsia="tr-TR"/>
              </w:rPr>
            </w:pPr>
            <w:r w:rsidRPr="00005453">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3A5911" w14:textId="77777777" w:rsidR="007854AB" w:rsidRPr="00005453" w:rsidRDefault="007854AB" w:rsidP="007854AB">
            <w:pPr>
              <w:spacing w:line="305" w:lineRule="atLeast"/>
              <w:jc w:val="center"/>
              <w:rPr>
                <w:sz w:val="16"/>
                <w:szCs w:val="16"/>
                <w:lang w:eastAsia="tr-TR"/>
              </w:rPr>
            </w:pPr>
            <w:r w:rsidRPr="00005453">
              <w:rPr>
                <w:color w:val="000000"/>
                <w:sz w:val="16"/>
                <w:szCs w:val="16"/>
                <w:lang w:eastAsia="tr-TR"/>
              </w:rPr>
              <w:t>Dikkate Alma Oranı Uygulanmış Toplam Tutar</w:t>
            </w:r>
          </w:p>
        </w:tc>
      </w:tr>
      <w:tr w:rsidR="007854AB" w:rsidRPr="00005453" w14:paraId="7A9136DD" w14:textId="77777777" w:rsidTr="006B4A0A">
        <w:trPr>
          <w:trHeight w:val="879"/>
        </w:trPr>
        <w:tc>
          <w:tcPr>
            <w:tcW w:w="38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463D0A" w14:textId="77777777" w:rsidR="007854AB" w:rsidRPr="00005453" w:rsidRDefault="007854AB" w:rsidP="007854AB">
            <w:pPr>
              <w:spacing w:line="305" w:lineRule="atLeast"/>
              <w:rPr>
                <w:sz w:val="16"/>
                <w:szCs w:val="16"/>
                <w:lang w:eastAsia="tr-TR"/>
              </w:rPr>
            </w:pPr>
            <w:r w:rsidRPr="00005453">
              <w:rPr>
                <w:sz w:val="16"/>
                <w:szCs w:val="16"/>
                <w:lang w:eastAsia="tr-TR"/>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0A889" w14:textId="77777777" w:rsidR="007854AB" w:rsidRPr="00005453" w:rsidRDefault="007854AB" w:rsidP="007854AB">
            <w:pPr>
              <w:spacing w:line="305" w:lineRule="atLeast"/>
              <w:jc w:val="center"/>
              <w:rPr>
                <w:sz w:val="16"/>
                <w:szCs w:val="16"/>
                <w:lang w:eastAsia="tr-TR"/>
              </w:rPr>
            </w:pPr>
            <w:r w:rsidRPr="00005453">
              <w:rPr>
                <w:sz w:val="16"/>
                <w:szCs w:val="16"/>
                <w:lang w:eastAsia="tr-TR"/>
              </w:rPr>
              <w:t>Vadesiz</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6E6C02" w14:textId="77777777" w:rsidR="007854AB" w:rsidRPr="00005453" w:rsidRDefault="007854AB" w:rsidP="007854AB">
            <w:pPr>
              <w:spacing w:line="305" w:lineRule="atLeast"/>
              <w:jc w:val="center"/>
              <w:rPr>
                <w:sz w:val="16"/>
                <w:szCs w:val="16"/>
                <w:lang w:eastAsia="tr-TR"/>
              </w:rPr>
            </w:pPr>
            <w:r w:rsidRPr="00005453">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325335" w14:textId="77777777" w:rsidR="007854AB" w:rsidRPr="00005453" w:rsidRDefault="007854AB" w:rsidP="007854AB">
            <w:pPr>
              <w:spacing w:line="305" w:lineRule="atLeast"/>
              <w:jc w:val="center"/>
              <w:rPr>
                <w:sz w:val="16"/>
                <w:szCs w:val="16"/>
                <w:lang w:eastAsia="tr-TR"/>
              </w:rPr>
            </w:pPr>
            <w:r w:rsidRPr="00005453">
              <w:rPr>
                <w:sz w:val="16"/>
                <w:szCs w:val="16"/>
                <w:lang w:eastAsia="tr-TR"/>
              </w:rPr>
              <w:t>6 Ay ile 6 Aydan Uzun 1 Yıldan Kısa Vadeli</w:t>
            </w:r>
          </w:p>
        </w:tc>
        <w:tc>
          <w:tcPr>
            <w:tcW w:w="11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AEE0DB" w14:textId="77777777" w:rsidR="007854AB" w:rsidRPr="00005453" w:rsidRDefault="007854AB" w:rsidP="007854AB">
            <w:pPr>
              <w:spacing w:line="305" w:lineRule="atLeast"/>
              <w:jc w:val="center"/>
              <w:rPr>
                <w:sz w:val="16"/>
                <w:szCs w:val="16"/>
                <w:lang w:eastAsia="tr-TR"/>
              </w:rPr>
            </w:pPr>
            <w:r w:rsidRPr="00005453">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15F53223" w14:textId="77777777" w:rsidR="007854AB" w:rsidRPr="00005453" w:rsidRDefault="007854AB" w:rsidP="007854AB">
            <w:pPr>
              <w:spacing w:line="305" w:lineRule="atLeast"/>
              <w:rPr>
                <w:sz w:val="16"/>
                <w:szCs w:val="16"/>
                <w:lang w:eastAsia="tr-TR"/>
              </w:rPr>
            </w:pPr>
          </w:p>
        </w:tc>
      </w:tr>
      <w:tr w:rsidR="007854AB" w:rsidRPr="00005453" w14:paraId="3791587C" w14:textId="77777777" w:rsidTr="006B4A0A">
        <w:trPr>
          <w:trHeight w:val="220"/>
        </w:trPr>
        <w:tc>
          <w:tcPr>
            <w:tcW w:w="3828"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F2A76F" w14:textId="77777777" w:rsidR="007854AB" w:rsidRPr="00005453" w:rsidRDefault="007854AB" w:rsidP="007854AB">
            <w:pPr>
              <w:spacing w:line="305" w:lineRule="atLeast"/>
              <w:jc w:val="center"/>
              <w:rPr>
                <w:sz w:val="16"/>
                <w:szCs w:val="16"/>
                <w:lang w:eastAsia="tr-TR"/>
              </w:rPr>
            </w:pPr>
            <w:r w:rsidRPr="00005453">
              <w:rPr>
                <w:b/>
                <w:bCs/>
                <w:sz w:val="16"/>
                <w:szCs w:val="16"/>
                <w:lang w:eastAsia="tr-TR"/>
              </w:rPr>
              <w:t>Mevcut İstikrarlı Fon</w:t>
            </w:r>
          </w:p>
        </w:tc>
        <w:tc>
          <w:tcPr>
            <w:tcW w:w="590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B0E1D93" w14:textId="77777777" w:rsidR="007854AB" w:rsidRPr="00005453" w:rsidRDefault="007854AB" w:rsidP="007854AB">
            <w:pPr>
              <w:spacing w:line="305" w:lineRule="atLeast"/>
              <w:rPr>
                <w:sz w:val="16"/>
                <w:szCs w:val="16"/>
                <w:lang w:eastAsia="tr-TR"/>
              </w:rPr>
            </w:pPr>
            <w:r w:rsidRPr="00005453">
              <w:rPr>
                <w:sz w:val="16"/>
                <w:szCs w:val="16"/>
                <w:lang w:eastAsia="tr-TR"/>
              </w:rPr>
              <w:t> </w:t>
            </w:r>
          </w:p>
        </w:tc>
      </w:tr>
      <w:tr w:rsidR="006B4A0A" w:rsidRPr="00005453" w14:paraId="7C48C7BC"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DFC5CD8" w14:textId="77777777" w:rsidR="006B4A0A" w:rsidRPr="00005453" w:rsidRDefault="006B4A0A" w:rsidP="006B4A0A">
            <w:pPr>
              <w:spacing w:line="305" w:lineRule="atLeast"/>
              <w:rPr>
                <w:sz w:val="16"/>
                <w:szCs w:val="16"/>
                <w:lang w:eastAsia="tr-TR"/>
              </w:rPr>
            </w:pPr>
            <w:r w:rsidRPr="00005453">
              <w:rPr>
                <w:sz w:val="16"/>
                <w:szCs w:val="16"/>
                <w:lang w:eastAsia="tr-TR"/>
              </w:rPr>
              <w:t>1</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82B578" w14:textId="77777777" w:rsidR="006B4A0A" w:rsidRPr="00005453" w:rsidRDefault="006B4A0A" w:rsidP="006B4A0A">
            <w:pPr>
              <w:spacing w:line="305" w:lineRule="atLeast"/>
              <w:rPr>
                <w:sz w:val="16"/>
                <w:szCs w:val="16"/>
                <w:lang w:eastAsia="tr-TR"/>
              </w:rPr>
            </w:pPr>
            <w:r w:rsidRPr="00005453">
              <w:rPr>
                <w:sz w:val="16"/>
                <w:szCs w:val="16"/>
                <w:lang w:eastAsia="tr-TR"/>
              </w:rPr>
              <w:t>Özkaynak Unsurları</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787EC1" w14:textId="600C0F0A" w:rsidR="006B4A0A" w:rsidRPr="00005453" w:rsidRDefault="006B4A0A" w:rsidP="006B4A0A">
            <w:pPr>
              <w:spacing w:line="305" w:lineRule="atLeast"/>
              <w:jc w:val="right"/>
              <w:rPr>
                <w:sz w:val="16"/>
                <w:szCs w:val="16"/>
                <w:lang w:eastAsia="tr-TR"/>
              </w:rPr>
            </w:pPr>
            <w:r w:rsidRPr="00005453">
              <w:rPr>
                <w:color w:val="000000"/>
                <w:sz w:val="16"/>
                <w:szCs w:val="22"/>
              </w:rPr>
              <w:t>102,798,715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A39ADE" w14:textId="13831F35"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78E7BB" w14:textId="44D38BB7"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5EA36F" w14:textId="5FB04E24"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B0C380" w14:textId="253E2A92" w:rsidR="006B4A0A" w:rsidRPr="00005453" w:rsidRDefault="006B4A0A" w:rsidP="006B4A0A">
            <w:pPr>
              <w:spacing w:line="305" w:lineRule="atLeast"/>
              <w:jc w:val="right"/>
              <w:rPr>
                <w:sz w:val="16"/>
                <w:szCs w:val="16"/>
                <w:lang w:eastAsia="tr-TR"/>
              </w:rPr>
            </w:pPr>
            <w:r w:rsidRPr="00005453">
              <w:rPr>
                <w:color w:val="000000"/>
                <w:sz w:val="16"/>
                <w:szCs w:val="22"/>
              </w:rPr>
              <w:t>102,798,715</w:t>
            </w:r>
          </w:p>
        </w:tc>
      </w:tr>
      <w:tr w:rsidR="006B4A0A" w:rsidRPr="00005453" w14:paraId="4355A021"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F236705" w14:textId="77777777" w:rsidR="006B4A0A" w:rsidRPr="00005453" w:rsidRDefault="006B4A0A" w:rsidP="006B4A0A">
            <w:pPr>
              <w:spacing w:line="305" w:lineRule="atLeast"/>
              <w:rPr>
                <w:sz w:val="16"/>
                <w:szCs w:val="16"/>
                <w:lang w:eastAsia="tr-TR"/>
              </w:rPr>
            </w:pPr>
            <w:r w:rsidRPr="00005453">
              <w:rPr>
                <w:sz w:val="16"/>
                <w:szCs w:val="16"/>
                <w:lang w:eastAsia="tr-TR"/>
              </w:rPr>
              <w:t>2</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33D7B2"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Ana sermaye ve katkı sermaye</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E6C04C" w14:textId="14DD7092" w:rsidR="006B4A0A" w:rsidRPr="00005453" w:rsidRDefault="006B4A0A" w:rsidP="006B4A0A">
            <w:pPr>
              <w:spacing w:line="305" w:lineRule="atLeast"/>
              <w:jc w:val="right"/>
              <w:rPr>
                <w:sz w:val="16"/>
                <w:szCs w:val="16"/>
                <w:lang w:eastAsia="tr-TR"/>
              </w:rPr>
            </w:pPr>
            <w:r w:rsidRPr="00005453">
              <w:rPr>
                <w:color w:val="000000"/>
                <w:sz w:val="16"/>
                <w:szCs w:val="22"/>
              </w:rPr>
              <w:t>102,798,715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6C0E61" w14:textId="095A296B"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709939" w14:textId="36FD6AF4"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B2EE74" w14:textId="2BA18103"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72D4AD" w14:textId="2483AAB4" w:rsidR="006B4A0A" w:rsidRPr="00005453" w:rsidRDefault="006B4A0A" w:rsidP="006B4A0A">
            <w:pPr>
              <w:spacing w:line="305" w:lineRule="atLeast"/>
              <w:jc w:val="right"/>
              <w:rPr>
                <w:sz w:val="16"/>
                <w:szCs w:val="16"/>
                <w:lang w:eastAsia="tr-TR"/>
              </w:rPr>
            </w:pPr>
            <w:r w:rsidRPr="00005453">
              <w:rPr>
                <w:color w:val="000000"/>
                <w:sz w:val="16"/>
                <w:szCs w:val="22"/>
              </w:rPr>
              <w:t>102,798,715</w:t>
            </w:r>
          </w:p>
        </w:tc>
      </w:tr>
      <w:tr w:rsidR="006B4A0A" w:rsidRPr="00005453" w14:paraId="6315DFF1"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6ECDD11" w14:textId="77777777" w:rsidR="006B4A0A" w:rsidRPr="00005453" w:rsidRDefault="006B4A0A" w:rsidP="006B4A0A">
            <w:pPr>
              <w:spacing w:line="305" w:lineRule="atLeast"/>
              <w:rPr>
                <w:sz w:val="16"/>
                <w:szCs w:val="16"/>
                <w:lang w:eastAsia="tr-TR"/>
              </w:rPr>
            </w:pPr>
            <w:r w:rsidRPr="00005453">
              <w:rPr>
                <w:sz w:val="16"/>
                <w:szCs w:val="16"/>
                <w:lang w:eastAsia="tr-TR"/>
              </w:rPr>
              <w:t>3</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E9AF2B"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Diğer özkaynak unsurları</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F1BDDE" w14:textId="1765CE3F"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0DBECC" w14:textId="77F53743"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5D6716" w14:textId="1DA713B2"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487BB3" w14:textId="23726C99"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BE7185" w14:textId="284A82A4" w:rsidR="006B4A0A" w:rsidRPr="00005453" w:rsidRDefault="006B4A0A" w:rsidP="006B4A0A">
            <w:pPr>
              <w:spacing w:line="305" w:lineRule="atLeast"/>
              <w:jc w:val="right"/>
              <w:rPr>
                <w:sz w:val="16"/>
                <w:szCs w:val="16"/>
                <w:lang w:eastAsia="tr-TR"/>
              </w:rPr>
            </w:pPr>
            <w:r w:rsidRPr="00005453">
              <w:rPr>
                <w:color w:val="000000"/>
                <w:sz w:val="16"/>
                <w:szCs w:val="22"/>
              </w:rPr>
              <w:t>-</w:t>
            </w:r>
          </w:p>
        </w:tc>
      </w:tr>
      <w:tr w:rsidR="006B4A0A" w:rsidRPr="00005453" w14:paraId="5380A1C1" w14:textId="77777777" w:rsidTr="006B4A0A">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3D1E94" w14:textId="77777777" w:rsidR="006B4A0A" w:rsidRPr="00005453" w:rsidRDefault="006B4A0A" w:rsidP="006B4A0A">
            <w:pPr>
              <w:spacing w:line="305" w:lineRule="atLeast"/>
              <w:rPr>
                <w:sz w:val="16"/>
                <w:szCs w:val="16"/>
                <w:lang w:eastAsia="tr-TR"/>
              </w:rPr>
            </w:pPr>
            <w:r w:rsidRPr="00005453">
              <w:rPr>
                <w:sz w:val="16"/>
                <w:szCs w:val="16"/>
                <w:lang w:eastAsia="tr-TR"/>
              </w:rPr>
              <w:t>4</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CB018A" w14:textId="77777777" w:rsidR="006B4A0A" w:rsidRPr="00005453" w:rsidRDefault="006B4A0A" w:rsidP="006B4A0A">
            <w:pPr>
              <w:spacing w:line="305" w:lineRule="atLeast"/>
              <w:rPr>
                <w:sz w:val="16"/>
                <w:szCs w:val="16"/>
                <w:lang w:eastAsia="tr-TR"/>
              </w:rPr>
            </w:pPr>
            <w:r w:rsidRPr="00005453">
              <w:rPr>
                <w:sz w:val="16"/>
                <w:szCs w:val="16"/>
                <w:lang w:eastAsia="tr-TR"/>
              </w:rPr>
              <w:t>Gerçek kişi ve perakende müşteri mevduatı/</w:t>
            </w:r>
            <w:r w:rsidRPr="00005453">
              <w:rPr>
                <w:color w:val="000000"/>
                <w:sz w:val="16"/>
                <w:szCs w:val="16"/>
                <w:lang w:eastAsia="tr-TR"/>
              </w:rPr>
              <w:t>katılım fonu</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06C295" w14:textId="27D38BC1" w:rsidR="006B4A0A" w:rsidRPr="00005453" w:rsidRDefault="006B4A0A" w:rsidP="006B4A0A">
            <w:pPr>
              <w:jc w:val="right"/>
              <w:rPr>
                <w:color w:val="000000"/>
                <w:sz w:val="16"/>
                <w:szCs w:val="16"/>
              </w:rPr>
            </w:pPr>
            <w:r w:rsidRPr="00005453">
              <w:rPr>
                <w:color w:val="000000"/>
                <w:sz w:val="16"/>
                <w:szCs w:val="22"/>
              </w:rPr>
              <w:t>314,284,622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63917E" w14:textId="4F680EF5" w:rsidR="006B4A0A" w:rsidRPr="00005453" w:rsidRDefault="006B4A0A" w:rsidP="006B4A0A">
            <w:pPr>
              <w:jc w:val="right"/>
              <w:rPr>
                <w:color w:val="000000"/>
                <w:sz w:val="16"/>
                <w:szCs w:val="16"/>
              </w:rPr>
            </w:pPr>
            <w:r w:rsidRPr="00005453">
              <w:rPr>
                <w:color w:val="000000"/>
                <w:sz w:val="16"/>
                <w:szCs w:val="22"/>
              </w:rPr>
              <w:t>236,037,766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D14D90" w14:textId="74D0FB8D" w:rsidR="006B4A0A" w:rsidRPr="00005453" w:rsidRDefault="006B4A0A" w:rsidP="006B4A0A">
            <w:pPr>
              <w:jc w:val="right"/>
              <w:rPr>
                <w:color w:val="000000"/>
                <w:sz w:val="16"/>
                <w:szCs w:val="16"/>
              </w:rPr>
            </w:pPr>
            <w:r w:rsidRPr="00005453">
              <w:rPr>
                <w:color w:val="000000"/>
                <w:sz w:val="16"/>
                <w:szCs w:val="22"/>
              </w:rPr>
              <w:t>10,866,636</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996F64" w14:textId="4CE181F3" w:rsidR="006B4A0A" w:rsidRPr="00005453" w:rsidRDefault="006B4A0A" w:rsidP="006B4A0A">
            <w:pPr>
              <w:jc w:val="right"/>
              <w:rPr>
                <w:color w:val="000000"/>
                <w:sz w:val="16"/>
                <w:szCs w:val="16"/>
              </w:rPr>
            </w:pPr>
            <w:r w:rsidRPr="00005453">
              <w:rPr>
                <w:color w:val="000000"/>
                <w:sz w:val="16"/>
                <w:szCs w:val="22"/>
              </w:rPr>
              <w:t>1,429,592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535213" w14:textId="643AAEFE" w:rsidR="006B4A0A" w:rsidRPr="00005453" w:rsidRDefault="006B4A0A" w:rsidP="006B4A0A">
            <w:pPr>
              <w:jc w:val="right"/>
              <w:rPr>
                <w:color w:val="000000"/>
                <w:sz w:val="16"/>
                <w:szCs w:val="16"/>
              </w:rPr>
            </w:pPr>
            <w:r w:rsidRPr="00005453">
              <w:rPr>
                <w:color w:val="000000"/>
                <w:sz w:val="16"/>
                <w:szCs w:val="22"/>
              </w:rPr>
              <w:t>531,553,613</w:t>
            </w:r>
          </w:p>
        </w:tc>
      </w:tr>
      <w:tr w:rsidR="006B4A0A" w:rsidRPr="00005453" w14:paraId="097AA4F8"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CA56E3" w14:textId="77777777" w:rsidR="006B4A0A" w:rsidRPr="00005453" w:rsidRDefault="006B4A0A" w:rsidP="006B4A0A">
            <w:pPr>
              <w:spacing w:line="305" w:lineRule="atLeast"/>
              <w:rPr>
                <w:sz w:val="16"/>
                <w:szCs w:val="16"/>
                <w:lang w:eastAsia="tr-TR"/>
              </w:rPr>
            </w:pPr>
            <w:r w:rsidRPr="00005453">
              <w:rPr>
                <w:sz w:val="16"/>
                <w:szCs w:val="16"/>
                <w:lang w:eastAsia="tr-TR"/>
              </w:rPr>
              <w:t>5</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73F9E9"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İstikrarlı mevduat/katılım fonu</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47495E" w14:textId="62CEF5F5" w:rsidR="006B4A0A" w:rsidRPr="00005453" w:rsidRDefault="006B4A0A" w:rsidP="006B4A0A">
            <w:pPr>
              <w:jc w:val="right"/>
              <w:rPr>
                <w:color w:val="000000"/>
                <w:sz w:val="16"/>
                <w:szCs w:val="16"/>
              </w:rPr>
            </w:pPr>
            <w:r w:rsidRPr="00005453">
              <w:rPr>
                <w:color w:val="000000"/>
                <w:sz w:val="16"/>
                <w:szCs w:val="22"/>
              </w:rPr>
              <w:t>275,185,648</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D6804E" w14:textId="0443C23F" w:rsidR="006B4A0A" w:rsidRPr="00005453" w:rsidRDefault="006B4A0A" w:rsidP="006B4A0A">
            <w:pPr>
              <w:jc w:val="right"/>
              <w:rPr>
                <w:color w:val="000000"/>
                <w:sz w:val="16"/>
                <w:szCs w:val="16"/>
              </w:rPr>
            </w:pPr>
            <w:r w:rsidRPr="00005453">
              <w:rPr>
                <w:color w:val="000000"/>
                <w:sz w:val="16"/>
                <w:szCs w:val="22"/>
              </w:rPr>
              <w:t>217,388,811</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04EC0E" w14:textId="56DFFEFE" w:rsidR="006B4A0A" w:rsidRPr="00005453" w:rsidRDefault="006B4A0A" w:rsidP="006B4A0A">
            <w:pPr>
              <w:jc w:val="right"/>
              <w:rPr>
                <w:color w:val="000000"/>
                <w:sz w:val="16"/>
                <w:szCs w:val="16"/>
              </w:rPr>
            </w:pPr>
            <w:r w:rsidRPr="00005453">
              <w:rPr>
                <w:color w:val="000000"/>
                <w:sz w:val="16"/>
                <w:szCs w:val="22"/>
              </w:rPr>
              <w:t>10,449,552</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E0A602" w14:textId="24C9F684" w:rsidR="006B4A0A" w:rsidRPr="00005453" w:rsidRDefault="006B4A0A" w:rsidP="006B4A0A">
            <w:pPr>
              <w:jc w:val="right"/>
              <w:rPr>
                <w:color w:val="000000"/>
                <w:sz w:val="16"/>
                <w:szCs w:val="16"/>
              </w:rPr>
            </w:pPr>
            <w:r w:rsidRPr="00005453">
              <w:rPr>
                <w:color w:val="000000"/>
                <w:sz w:val="16"/>
                <w:szCs w:val="22"/>
              </w:rPr>
              <w:t>913,166</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4D7B28" w14:textId="51504C21" w:rsidR="006B4A0A" w:rsidRPr="00005453" w:rsidRDefault="006B4A0A" w:rsidP="006B4A0A">
            <w:pPr>
              <w:jc w:val="right"/>
              <w:rPr>
                <w:color w:val="000000"/>
                <w:sz w:val="16"/>
                <w:szCs w:val="16"/>
              </w:rPr>
            </w:pPr>
            <w:r w:rsidRPr="00005453">
              <w:rPr>
                <w:color w:val="000000"/>
                <w:sz w:val="16"/>
                <w:szCs w:val="22"/>
              </w:rPr>
              <w:t>478,740,318</w:t>
            </w:r>
          </w:p>
        </w:tc>
      </w:tr>
      <w:tr w:rsidR="006B4A0A" w:rsidRPr="00005453" w14:paraId="7315650C" w14:textId="77777777" w:rsidTr="006B4A0A">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1178640" w14:textId="77777777" w:rsidR="006B4A0A" w:rsidRPr="00005453" w:rsidRDefault="006B4A0A" w:rsidP="006B4A0A">
            <w:pPr>
              <w:spacing w:line="305" w:lineRule="atLeast"/>
              <w:rPr>
                <w:sz w:val="16"/>
                <w:szCs w:val="16"/>
                <w:lang w:eastAsia="tr-TR"/>
              </w:rPr>
            </w:pPr>
            <w:r w:rsidRPr="00005453">
              <w:rPr>
                <w:sz w:val="16"/>
                <w:szCs w:val="16"/>
                <w:lang w:eastAsia="tr-TR"/>
              </w:rPr>
              <w:t>6</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861C04"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Düşük istikrarlı mevduat/katılım fonu</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EDAC55" w14:textId="6AA1EE07" w:rsidR="006B4A0A" w:rsidRPr="00005453" w:rsidRDefault="006B4A0A" w:rsidP="006B4A0A">
            <w:pPr>
              <w:jc w:val="right"/>
              <w:rPr>
                <w:color w:val="000000"/>
                <w:sz w:val="16"/>
                <w:szCs w:val="16"/>
              </w:rPr>
            </w:pPr>
            <w:r w:rsidRPr="00005453">
              <w:rPr>
                <w:color w:val="000000"/>
                <w:sz w:val="16"/>
                <w:szCs w:val="22"/>
              </w:rPr>
              <w:t>39,098,974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F8FB6A" w14:textId="5AF1818F" w:rsidR="006B4A0A" w:rsidRPr="00005453" w:rsidRDefault="006B4A0A" w:rsidP="006B4A0A">
            <w:pPr>
              <w:jc w:val="right"/>
              <w:rPr>
                <w:color w:val="000000"/>
                <w:sz w:val="16"/>
                <w:szCs w:val="16"/>
              </w:rPr>
            </w:pPr>
            <w:r w:rsidRPr="00005453">
              <w:rPr>
                <w:color w:val="000000"/>
                <w:sz w:val="16"/>
                <w:szCs w:val="22"/>
              </w:rPr>
              <w:t>18,648,955</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D1F6BD" w14:textId="03EC7E0E" w:rsidR="006B4A0A" w:rsidRPr="00005453" w:rsidRDefault="006B4A0A" w:rsidP="006B4A0A">
            <w:pPr>
              <w:jc w:val="right"/>
              <w:rPr>
                <w:color w:val="000000"/>
                <w:sz w:val="16"/>
                <w:szCs w:val="16"/>
              </w:rPr>
            </w:pPr>
            <w:r w:rsidRPr="00005453">
              <w:rPr>
                <w:color w:val="000000"/>
                <w:sz w:val="16"/>
                <w:szCs w:val="22"/>
              </w:rPr>
              <w:t>417,084</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F3736C" w14:textId="4F4089D9" w:rsidR="006B4A0A" w:rsidRPr="00005453" w:rsidRDefault="006B4A0A" w:rsidP="006B4A0A">
            <w:pPr>
              <w:jc w:val="right"/>
              <w:rPr>
                <w:color w:val="000000"/>
                <w:sz w:val="16"/>
                <w:szCs w:val="16"/>
              </w:rPr>
            </w:pPr>
            <w:r w:rsidRPr="00005453">
              <w:rPr>
                <w:color w:val="000000"/>
                <w:sz w:val="16"/>
                <w:szCs w:val="22"/>
              </w:rPr>
              <w:t>516,426</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9FCA02" w14:textId="4F1DEFDC" w:rsidR="006B4A0A" w:rsidRPr="00005453" w:rsidRDefault="006B4A0A" w:rsidP="006B4A0A">
            <w:pPr>
              <w:jc w:val="right"/>
              <w:rPr>
                <w:color w:val="000000"/>
                <w:sz w:val="16"/>
                <w:szCs w:val="16"/>
              </w:rPr>
            </w:pPr>
            <w:r w:rsidRPr="00005453">
              <w:rPr>
                <w:color w:val="000000"/>
                <w:sz w:val="16"/>
                <w:szCs w:val="22"/>
              </w:rPr>
              <w:t>52,813,295</w:t>
            </w:r>
          </w:p>
        </w:tc>
      </w:tr>
      <w:tr w:rsidR="006B4A0A" w:rsidRPr="00005453" w14:paraId="67378372"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6D271A7" w14:textId="77777777" w:rsidR="006B4A0A" w:rsidRPr="00005453" w:rsidRDefault="006B4A0A" w:rsidP="006B4A0A">
            <w:pPr>
              <w:spacing w:line="305" w:lineRule="atLeast"/>
              <w:rPr>
                <w:sz w:val="16"/>
                <w:szCs w:val="16"/>
                <w:lang w:eastAsia="tr-TR"/>
              </w:rPr>
            </w:pPr>
            <w:r w:rsidRPr="00005453">
              <w:rPr>
                <w:sz w:val="16"/>
                <w:szCs w:val="16"/>
                <w:lang w:eastAsia="tr-TR"/>
              </w:rPr>
              <w:t>7</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5EC38D" w14:textId="77777777" w:rsidR="006B4A0A" w:rsidRPr="00005453" w:rsidRDefault="006B4A0A" w:rsidP="006B4A0A">
            <w:pPr>
              <w:rPr>
                <w:sz w:val="16"/>
                <w:szCs w:val="16"/>
                <w:lang w:eastAsia="tr-TR"/>
              </w:rPr>
            </w:pPr>
            <w:r w:rsidRPr="00005453">
              <w:rPr>
                <w:color w:val="000000"/>
                <w:sz w:val="16"/>
                <w:szCs w:val="16"/>
                <w:lang w:eastAsia="tr-TR"/>
              </w:rPr>
              <w:t>Diğer kişilere borçlar</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80AE53" w14:textId="50BD1F07"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AC5F2C" w14:textId="27138A99"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CBFD97" w14:textId="57DFBCE8"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CC6532" w14:textId="019B2726"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52F2BF" w14:textId="1141A446" w:rsidR="006B4A0A" w:rsidRPr="00005453" w:rsidRDefault="006B4A0A" w:rsidP="006B4A0A">
            <w:pPr>
              <w:spacing w:line="305" w:lineRule="atLeast"/>
              <w:jc w:val="right"/>
              <w:rPr>
                <w:sz w:val="16"/>
                <w:szCs w:val="16"/>
                <w:lang w:eastAsia="tr-TR"/>
              </w:rPr>
            </w:pPr>
            <w:r w:rsidRPr="00005453">
              <w:rPr>
                <w:color w:val="000000"/>
                <w:sz w:val="16"/>
                <w:szCs w:val="22"/>
              </w:rPr>
              <w:t>-</w:t>
            </w:r>
          </w:p>
        </w:tc>
      </w:tr>
      <w:tr w:rsidR="006B4A0A" w:rsidRPr="00005453" w14:paraId="0899785D" w14:textId="77777777" w:rsidTr="006B4A0A">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7BA9922" w14:textId="77777777" w:rsidR="006B4A0A" w:rsidRPr="00005453" w:rsidRDefault="006B4A0A" w:rsidP="006B4A0A">
            <w:pPr>
              <w:spacing w:line="305" w:lineRule="atLeast"/>
              <w:rPr>
                <w:sz w:val="16"/>
                <w:szCs w:val="16"/>
                <w:lang w:eastAsia="tr-TR"/>
              </w:rPr>
            </w:pPr>
            <w:r w:rsidRPr="00005453">
              <w:rPr>
                <w:sz w:val="16"/>
                <w:szCs w:val="16"/>
                <w:lang w:eastAsia="tr-TR"/>
              </w:rPr>
              <w:t>8</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919CB2"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Operasyonel mevduat/katılım fonu</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352F5B" w14:textId="45BDE2E6"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6695F8" w14:textId="0EA7F15F"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9411C0" w14:textId="40BA8D88"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79D79B" w14:textId="2414EB37"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511B83" w14:textId="2D567188" w:rsidR="006B4A0A" w:rsidRPr="00005453" w:rsidRDefault="006B4A0A" w:rsidP="006B4A0A">
            <w:pPr>
              <w:spacing w:line="305" w:lineRule="atLeast"/>
              <w:jc w:val="right"/>
              <w:rPr>
                <w:sz w:val="16"/>
                <w:szCs w:val="16"/>
                <w:lang w:eastAsia="tr-TR"/>
              </w:rPr>
            </w:pPr>
            <w:r w:rsidRPr="00005453">
              <w:rPr>
                <w:color w:val="000000"/>
                <w:sz w:val="16"/>
                <w:szCs w:val="22"/>
              </w:rPr>
              <w:t>-</w:t>
            </w:r>
          </w:p>
        </w:tc>
      </w:tr>
      <w:tr w:rsidR="006B4A0A" w:rsidRPr="00005453" w14:paraId="28D1EBF5"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2AB405C" w14:textId="77777777" w:rsidR="006B4A0A" w:rsidRPr="00005453" w:rsidRDefault="006B4A0A" w:rsidP="006B4A0A">
            <w:pPr>
              <w:spacing w:line="305" w:lineRule="atLeast"/>
              <w:rPr>
                <w:sz w:val="16"/>
                <w:szCs w:val="16"/>
                <w:lang w:eastAsia="tr-TR"/>
              </w:rPr>
            </w:pPr>
            <w:r w:rsidRPr="00005453">
              <w:rPr>
                <w:sz w:val="16"/>
                <w:szCs w:val="16"/>
                <w:lang w:eastAsia="tr-TR"/>
              </w:rPr>
              <w:t>9</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D0C237"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Diğer borçlar</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B7AC0C" w14:textId="1DDA6EB3"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5020B4" w14:textId="1E88D658"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0352C9" w14:textId="77ECBE52"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8BC81A" w14:textId="65320509" w:rsidR="006B4A0A" w:rsidRPr="00005453" w:rsidRDefault="006B4A0A" w:rsidP="006B4A0A">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887A8A" w14:textId="2B2970A9" w:rsidR="006B4A0A" w:rsidRPr="00005453" w:rsidRDefault="006B4A0A" w:rsidP="006B4A0A">
            <w:pPr>
              <w:spacing w:line="305" w:lineRule="atLeast"/>
              <w:jc w:val="right"/>
              <w:rPr>
                <w:sz w:val="16"/>
                <w:szCs w:val="16"/>
                <w:lang w:eastAsia="tr-TR"/>
              </w:rPr>
            </w:pPr>
            <w:r w:rsidRPr="00005453">
              <w:rPr>
                <w:color w:val="000000"/>
                <w:sz w:val="16"/>
                <w:szCs w:val="22"/>
              </w:rPr>
              <w:t>-</w:t>
            </w:r>
          </w:p>
        </w:tc>
      </w:tr>
      <w:tr w:rsidR="007854AB" w:rsidRPr="00005453" w14:paraId="2466CC83" w14:textId="77777777" w:rsidTr="006B4A0A">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855D818" w14:textId="77777777" w:rsidR="007854AB" w:rsidRPr="00005453" w:rsidRDefault="007854AB" w:rsidP="007854AB">
            <w:pPr>
              <w:spacing w:line="305" w:lineRule="atLeast"/>
              <w:rPr>
                <w:sz w:val="16"/>
                <w:szCs w:val="16"/>
                <w:lang w:eastAsia="tr-TR"/>
              </w:rPr>
            </w:pPr>
            <w:r w:rsidRPr="00005453">
              <w:rPr>
                <w:sz w:val="16"/>
                <w:szCs w:val="16"/>
                <w:lang w:eastAsia="tr-TR"/>
              </w:rPr>
              <w:t>10</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4FCC23" w14:textId="77777777" w:rsidR="007854AB" w:rsidRPr="00005453" w:rsidRDefault="007854AB" w:rsidP="007854AB">
            <w:pPr>
              <w:rPr>
                <w:sz w:val="16"/>
                <w:szCs w:val="16"/>
                <w:lang w:eastAsia="tr-TR"/>
              </w:rPr>
            </w:pPr>
            <w:r w:rsidRPr="00005453">
              <w:rPr>
                <w:color w:val="000000"/>
                <w:sz w:val="16"/>
                <w:szCs w:val="16"/>
                <w:lang w:eastAsia="tr-TR"/>
              </w:rPr>
              <w:t>Birbirlerine bağlı varlıklara eşdeğer yükümlülükler</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0573622"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CC45A8B"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3D25613" w14:textId="77777777" w:rsidR="007854AB" w:rsidRPr="00005453" w:rsidRDefault="007854AB" w:rsidP="007854AB">
            <w:pPr>
              <w:spacing w:line="305" w:lineRule="atLeast"/>
              <w:jc w:val="right"/>
              <w:rPr>
                <w:sz w:val="16"/>
                <w:szCs w:val="16"/>
                <w:lang w:eastAsia="tr-TR"/>
              </w:rPr>
            </w:pPr>
          </w:p>
        </w:tc>
        <w:tc>
          <w:tcPr>
            <w:tcW w:w="1137"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73CD505"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3C4EA8C" w14:textId="77777777" w:rsidR="007854AB" w:rsidRPr="00005453" w:rsidRDefault="007854AB" w:rsidP="007854AB">
            <w:pPr>
              <w:spacing w:line="305" w:lineRule="atLeast"/>
              <w:jc w:val="right"/>
              <w:rPr>
                <w:sz w:val="16"/>
                <w:szCs w:val="16"/>
                <w:lang w:eastAsia="tr-TR"/>
              </w:rPr>
            </w:pPr>
          </w:p>
        </w:tc>
      </w:tr>
      <w:tr w:rsidR="006B4A0A" w:rsidRPr="00005453" w14:paraId="7B0C1A32"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6C0744A" w14:textId="77777777" w:rsidR="006B4A0A" w:rsidRPr="00005453" w:rsidRDefault="006B4A0A" w:rsidP="006B4A0A">
            <w:pPr>
              <w:spacing w:line="305" w:lineRule="atLeast"/>
              <w:rPr>
                <w:sz w:val="16"/>
                <w:szCs w:val="16"/>
                <w:lang w:eastAsia="tr-TR"/>
              </w:rPr>
            </w:pPr>
            <w:r w:rsidRPr="00005453">
              <w:rPr>
                <w:sz w:val="16"/>
                <w:szCs w:val="16"/>
                <w:lang w:eastAsia="tr-TR"/>
              </w:rPr>
              <w:t>11</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3A0549" w14:textId="77777777" w:rsidR="006B4A0A" w:rsidRPr="00005453" w:rsidRDefault="006B4A0A" w:rsidP="006B4A0A">
            <w:pPr>
              <w:spacing w:line="305" w:lineRule="atLeast"/>
              <w:rPr>
                <w:sz w:val="16"/>
                <w:szCs w:val="16"/>
                <w:lang w:eastAsia="tr-TR"/>
              </w:rPr>
            </w:pPr>
            <w:r w:rsidRPr="00005453">
              <w:rPr>
                <w:sz w:val="16"/>
                <w:szCs w:val="16"/>
                <w:lang w:eastAsia="tr-TR"/>
              </w:rPr>
              <w:t>Diğer yükümlülükler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CE9A984" w14:textId="05C75264" w:rsidR="006B4A0A" w:rsidRPr="00005453" w:rsidRDefault="006B4A0A" w:rsidP="006B4A0A">
            <w:pPr>
              <w:jc w:val="right"/>
              <w:rPr>
                <w:color w:val="000000"/>
                <w:sz w:val="16"/>
                <w:szCs w:val="16"/>
              </w:rPr>
            </w:pPr>
            <w:r w:rsidRPr="00005453">
              <w:rPr>
                <w:color w:val="000000"/>
                <w:sz w:val="16"/>
                <w:szCs w:val="22"/>
              </w:rPr>
              <w:t>7,658,322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1931A7" w14:textId="6DB3D739" w:rsidR="006B4A0A" w:rsidRPr="00005453" w:rsidRDefault="006B4A0A" w:rsidP="006B4A0A">
            <w:pPr>
              <w:jc w:val="right"/>
              <w:rPr>
                <w:color w:val="000000"/>
                <w:sz w:val="16"/>
                <w:szCs w:val="16"/>
              </w:rPr>
            </w:pPr>
            <w:r w:rsidRPr="00005453">
              <w:rPr>
                <w:color w:val="000000"/>
                <w:sz w:val="16"/>
                <w:szCs w:val="22"/>
              </w:rPr>
              <w:t>131,797,037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92A186" w14:textId="73BBA0D7" w:rsidR="006B4A0A" w:rsidRPr="00005453" w:rsidRDefault="006B4A0A" w:rsidP="006B4A0A">
            <w:pPr>
              <w:jc w:val="right"/>
              <w:rPr>
                <w:color w:val="000000"/>
                <w:sz w:val="16"/>
                <w:szCs w:val="16"/>
              </w:rPr>
            </w:pPr>
            <w:r w:rsidRPr="00005453">
              <w:rPr>
                <w:color w:val="000000"/>
                <w:sz w:val="16"/>
                <w:szCs w:val="22"/>
              </w:rPr>
              <w:t>21,448,827</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44B3A98" w14:textId="757A32AE" w:rsidR="006B4A0A" w:rsidRPr="00005453" w:rsidRDefault="006B4A0A" w:rsidP="006B4A0A">
            <w:pPr>
              <w:jc w:val="right"/>
              <w:rPr>
                <w:color w:val="000000"/>
                <w:sz w:val="16"/>
                <w:szCs w:val="16"/>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5139371" w14:textId="062A1469" w:rsidR="006B4A0A" w:rsidRPr="00005453" w:rsidRDefault="006B4A0A" w:rsidP="006B4A0A">
            <w:pPr>
              <w:jc w:val="right"/>
              <w:rPr>
                <w:color w:val="000000"/>
                <w:sz w:val="16"/>
                <w:szCs w:val="16"/>
              </w:rPr>
            </w:pPr>
            <w:r w:rsidRPr="00005453">
              <w:rPr>
                <w:color w:val="000000"/>
                <w:sz w:val="16"/>
                <w:szCs w:val="22"/>
              </w:rPr>
              <w:t>10,724,413</w:t>
            </w:r>
          </w:p>
        </w:tc>
      </w:tr>
      <w:tr w:rsidR="007854AB" w:rsidRPr="00005453" w14:paraId="025DCBCD"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A55E4F1" w14:textId="77777777" w:rsidR="007854AB" w:rsidRPr="00005453" w:rsidRDefault="007854AB" w:rsidP="007854AB">
            <w:pPr>
              <w:spacing w:line="305" w:lineRule="atLeast"/>
              <w:rPr>
                <w:sz w:val="16"/>
                <w:szCs w:val="16"/>
                <w:lang w:eastAsia="tr-TR"/>
              </w:rPr>
            </w:pPr>
            <w:r w:rsidRPr="00005453">
              <w:rPr>
                <w:sz w:val="16"/>
                <w:szCs w:val="16"/>
                <w:lang w:eastAsia="tr-TR"/>
              </w:rPr>
              <w:t>12</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3CBBA7"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Türev yükümlülükler</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F7E828" w14:textId="77777777" w:rsidR="007854AB" w:rsidRPr="00005453" w:rsidRDefault="007854AB" w:rsidP="007854AB">
            <w:pPr>
              <w:spacing w:line="305" w:lineRule="atLeast"/>
              <w:jc w:val="right"/>
              <w:rPr>
                <w:sz w:val="16"/>
                <w:szCs w:val="16"/>
                <w:lang w:eastAsia="tr-TR"/>
              </w:rPr>
            </w:pPr>
          </w:p>
        </w:tc>
        <w:tc>
          <w:tcPr>
            <w:tcW w:w="3636"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923559"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1158A0D" w14:textId="77777777" w:rsidR="007854AB" w:rsidRPr="00005453" w:rsidRDefault="007854AB" w:rsidP="007854AB">
            <w:pPr>
              <w:spacing w:line="305" w:lineRule="atLeast"/>
              <w:jc w:val="right"/>
              <w:rPr>
                <w:sz w:val="16"/>
                <w:szCs w:val="16"/>
                <w:lang w:eastAsia="tr-TR"/>
              </w:rPr>
            </w:pPr>
          </w:p>
        </w:tc>
      </w:tr>
      <w:tr w:rsidR="006B4A0A" w:rsidRPr="00005453" w14:paraId="19E6B239" w14:textId="77777777" w:rsidTr="006B4A0A">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36017FD" w14:textId="77777777" w:rsidR="006B4A0A" w:rsidRPr="00005453" w:rsidRDefault="006B4A0A" w:rsidP="006B4A0A">
            <w:pPr>
              <w:spacing w:line="305" w:lineRule="atLeast"/>
              <w:rPr>
                <w:sz w:val="16"/>
                <w:szCs w:val="16"/>
                <w:lang w:eastAsia="tr-TR"/>
              </w:rPr>
            </w:pPr>
            <w:r w:rsidRPr="00005453">
              <w:rPr>
                <w:sz w:val="16"/>
                <w:szCs w:val="16"/>
                <w:lang w:eastAsia="tr-TR"/>
              </w:rPr>
              <w:t>13</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853EAB" w14:textId="77777777" w:rsidR="006B4A0A" w:rsidRPr="00005453" w:rsidRDefault="006B4A0A" w:rsidP="006B4A0A">
            <w:pPr>
              <w:spacing w:line="305" w:lineRule="atLeast"/>
              <w:ind w:left="317"/>
              <w:rPr>
                <w:sz w:val="16"/>
                <w:szCs w:val="16"/>
                <w:lang w:eastAsia="tr-TR"/>
              </w:rPr>
            </w:pPr>
            <w:r w:rsidRPr="00005453">
              <w:rPr>
                <w:color w:val="000000"/>
                <w:sz w:val="16"/>
                <w:szCs w:val="16"/>
                <w:lang w:eastAsia="tr-TR"/>
              </w:rPr>
              <w:t>Yukarıda yer almayan diğer özkaynak unsurları ve yükümlülükler</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C21D55" w14:textId="0300EE1A" w:rsidR="006B4A0A" w:rsidRPr="00005453" w:rsidRDefault="006B4A0A" w:rsidP="006B4A0A">
            <w:pPr>
              <w:jc w:val="right"/>
              <w:rPr>
                <w:color w:val="000000"/>
                <w:sz w:val="16"/>
                <w:szCs w:val="22"/>
              </w:rPr>
            </w:pPr>
            <w:r w:rsidRPr="00005453">
              <w:rPr>
                <w:color w:val="000000"/>
                <w:sz w:val="16"/>
                <w:szCs w:val="22"/>
              </w:rPr>
              <w:t>59,494,433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EC1F6A" w14:textId="01CE4138" w:rsidR="006B4A0A" w:rsidRPr="00005453" w:rsidRDefault="006B4A0A" w:rsidP="006B4A0A">
            <w:pPr>
              <w:jc w:val="right"/>
              <w:rPr>
                <w:color w:val="000000"/>
                <w:sz w:val="16"/>
                <w:szCs w:val="22"/>
              </w:rPr>
            </w:pPr>
            <w:r w:rsidRPr="00005453">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7E2808" w14:textId="415C02EA" w:rsidR="006B4A0A" w:rsidRPr="00005453" w:rsidRDefault="006B4A0A" w:rsidP="006B4A0A">
            <w:pPr>
              <w:jc w:val="right"/>
              <w:rPr>
                <w:color w:val="000000"/>
                <w:sz w:val="16"/>
                <w:szCs w:val="22"/>
              </w:rPr>
            </w:pPr>
            <w:r w:rsidRPr="00005453">
              <w:rPr>
                <w:color w:val="000000"/>
                <w:sz w:val="16"/>
                <w:szCs w:val="22"/>
              </w:rPr>
              <w:t>-</w:t>
            </w:r>
          </w:p>
        </w:tc>
        <w:tc>
          <w:tcPr>
            <w:tcW w:w="11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D2A4EE" w14:textId="54FA8B26" w:rsidR="006B4A0A" w:rsidRPr="00005453" w:rsidRDefault="006B4A0A" w:rsidP="006B4A0A">
            <w:pPr>
              <w:jc w:val="right"/>
              <w:rPr>
                <w:color w:val="000000"/>
                <w:sz w:val="16"/>
                <w:szCs w:val="22"/>
              </w:rPr>
            </w:pPr>
            <w:r w:rsidRPr="00005453">
              <w:rPr>
                <w:color w:val="000000"/>
                <w:sz w:val="16"/>
                <w:szCs w:val="22"/>
              </w:rPr>
              <w:t>7,979,650</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0E1920" w14:textId="1ADF81D5" w:rsidR="006B4A0A" w:rsidRPr="00005453" w:rsidRDefault="006B4A0A" w:rsidP="006B4A0A">
            <w:pPr>
              <w:jc w:val="right"/>
              <w:rPr>
                <w:color w:val="000000"/>
                <w:sz w:val="16"/>
                <w:szCs w:val="22"/>
              </w:rPr>
            </w:pPr>
            <w:r w:rsidRPr="00005453">
              <w:rPr>
                <w:color w:val="000000"/>
                <w:sz w:val="16"/>
                <w:szCs w:val="22"/>
              </w:rPr>
              <w:t>7,979,650</w:t>
            </w:r>
          </w:p>
        </w:tc>
      </w:tr>
      <w:tr w:rsidR="007854AB" w:rsidRPr="00005453" w14:paraId="1B816D99" w14:textId="77777777" w:rsidTr="006B4A0A">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2500721" w14:textId="77777777" w:rsidR="007854AB" w:rsidRPr="00005453" w:rsidRDefault="007854AB" w:rsidP="007854AB">
            <w:pPr>
              <w:spacing w:line="305" w:lineRule="atLeast"/>
              <w:rPr>
                <w:sz w:val="16"/>
                <w:szCs w:val="16"/>
                <w:lang w:eastAsia="tr-TR"/>
              </w:rPr>
            </w:pPr>
            <w:r w:rsidRPr="00005453">
              <w:rPr>
                <w:sz w:val="16"/>
                <w:szCs w:val="16"/>
                <w:lang w:eastAsia="tr-TR"/>
              </w:rPr>
              <w:t>14</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2E4F56" w14:textId="77777777" w:rsidR="007854AB" w:rsidRPr="00005453" w:rsidRDefault="007854AB" w:rsidP="007854AB">
            <w:pPr>
              <w:spacing w:line="305" w:lineRule="atLeast"/>
              <w:rPr>
                <w:sz w:val="16"/>
                <w:szCs w:val="16"/>
                <w:lang w:eastAsia="tr-TR"/>
              </w:rPr>
            </w:pPr>
            <w:r w:rsidRPr="00005453">
              <w:rPr>
                <w:b/>
                <w:bCs/>
                <w:sz w:val="16"/>
                <w:szCs w:val="16"/>
                <w:lang w:eastAsia="tr-TR"/>
              </w:rPr>
              <w:t>Mevcut İstikrarlı Fon</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A6619E"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FBE042"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D7398B" w14:textId="77777777" w:rsidR="007854AB" w:rsidRPr="00005453" w:rsidRDefault="007854AB" w:rsidP="007854AB">
            <w:pPr>
              <w:spacing w:line="305" w:lineRule="atLeast"/>
              <w:jc w:val="right"/>
              <w:rPr>
                <w:sz w:val="16"/>
                <w:szCs w:val="16"/>
                <w:lang w:eastAsia="tr-TR"/>
              </w:rPr>
            </w:pPr>
          </w:p>
        </w:tc>
        <w:tc>
          <w:tcPr>
            <w:tcW w:w="1137"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BC73CD2"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752E64" w14:textId="0ADA414C" w:rsidR="007854AB" w:rsidRPr="00005453" w:rsidRDefault="007854AB" w:rsidP="007854AB">
            <w:pPr>
              <w:spacing w:line="305" w:lineRule="atLeast"/>
              <w:jc w:val="right"/>
              <w:rPr>
                <w:b/>
                <w:sz w:val="16"/>
                <w:szCs w:val="16"/>
                <w:lang w:eastAsia="tr-TR"/>
              </w:rPr>
            </w:pPr>
            <w:bookmarkStart w:id="45" w:name="OLE_LINK71"/>
            <w:r w:rsidRPr="00005453">
              <w:rPr>
                <w:b/>
                <w:color w:val="000000"/>
                <w:sz w:val="16"/>
                <w:szCs w:val="22"/>
              </w:rPr>
              <w:t>6</w:t>
            </w:r>
            <w:r w:rsidR="00562840" w:rsidRPr="00005453">
              <w:rPr>
                <w:b/>
                <w:color w:val="000000"/>
                <w:sz w:val="16"/>
                <w:szCs w:val="22"/>
              </w:rPr>
              <w:t>5</w:t>
            </w:r>
            <w:r w:rsidRPr="00005453">
              <w:rPr>
                <w:b/>
                <w:color w:val="000000"/>
                <w:sz w:val="16"/>
                <w:szCs w:val="22"/>
              </w:rPr>
              <w:t>3,</w:t>
            </w:r>
            <w:r w:rsidR="006B4A0A" w:rsidRPr="00005453">
              <w:rPr>
                <w:b/>
                <w:color w:val="000000"/>
                <w:sz w:val="16"/>
                <w:szCs w:val="22"/>
              </w:rPr>
              <w:t>056</w:t>
            </w:r>
            <w:r w:rsidRPr="00005453">
              <w:rPr>
                <w:b/>
                <w:color w:val="000000"/>
                <w:sz w:val="16"/>
                <w:szCs w:val="22"/>
              </w:rPr>
              <w:t>,</w:t>
            </w:r>
            <w:bookmarkEnd w:id="45"/>
            <w:r w:rsidR="006B4A0A" w:rsidRPr="00005453">
              <w:rPr>
                <w:b/>
                <w:color w:val="000000"/>
                <w:sz w:val="16"/>
                <w:szCs w:val="22"/>
              </w:rPr>
              <w:t>391</w:t>
            </w:r>
          </w:p>
        </w:tc>
      </w:tr>
      <w:tr w:rsidR="007854AB" w:rsidRPr="00005453" w14:paraId="5F07BDB6" w14:textId="77777777" w:rsidTr="006B4A0A">
        <w:trPr>
          <w:trHeight w:val="220"/>
        </w:trPr>
        <w:tc>
          <w:tcPr>
            <w:tcW w:w="3828" w:type="dxa"/>
            <w:gridSpan w:val="2"/>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14:paraId="4F56540F" w14:textId="77777777" w:rsidR="007854AB" w:rsidRPr="00005453" w:rsidRDefault="007854AB" w:rsidP="007854AB">
            <w:pPr>
              <w:spacing w:line="305" w:lineRule="atLeast"/>
              <w:rPr>
                <w:sz w:val="16"/>
                <w:szCs w:val="16"/>
                <w:lang w:eastAsia="tr-TR"/>
              </w:rPr>
            </w:pPr>
            <w:r w:rsidRPr="00005453">
              <w:rPr>
                <w:b/>
                <w:bCs/>
                <w:sz w:val="16"/>
                <w:szCs w:val="16"/>
                <w:lang w:eastAsia="tr-TR"/>
              </w:rPr>
              <w:t>Gerekli İstikrarlı Fon</w:t>
            </w:r>
          </w:p>
        </w:tc>
        <w:tc>
          <w:tcPr>
            <w:tcW w:w="5904" w:type="dxa"/>
            <w:gridSpan w:val="5"/>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DE3963F" w14:textId="77777777" w:rsidR="007854AB" w:rsidRPr="00005453" w:rsidRDefault="007854AB" w:rsidP="007854AB">
            <w:pPr>
              <w:spacing w:line="305" w:lineRule="atLeast"/>
              <w:jc w:val="right"/>
              <w:rPr>
                <w:sz w:val="16"/>
                <w:szCs w:val="16"/>
                <w:lang w:eastAsia="tr-TR"/>
              </w:rPr>
            </w:pPr>
          </w:p>
        </w:tc>
      </w:tr>
      <w:tr w:rsidR="007854AB" w:rsidRPr="00005453" w14:paraId="02E56704" w14:textId="77777777" w:rsidTr="006B4A0A">
        <w:trPr>
          <w:trHeight w:val="220"/>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705CC41" w14:textId="77777777" w:rsidR="007854AB" w:rsidRPr="00005453" w:rsidRDefault="007854AB" w:rsidP="007854AB">
            <w:pPr>
              <w:spacing w:line="305" w:lineRule="atLeast"/>
              <w:rPr>
                <w:sz w:val="16"/>
                <w:szCs w:val="16"/>
                <w:lang w:eastAsia="tr-TR"/>
              </w:rPr>
            </w:pPr>
            <w:r w:rsidRPr="00005453">
              <w:rPr>
                <w:sz w:val="16"/>
                <w:szCs w:val="16"/>
                <w:lang w:eastAsia="tr-TR"/>
              </w:rPr>
              <w:lastRenderedPageBreak/>
              <w:t>15</w:t>
            </w:r>
          </w:p>
        </w:tc>
        <w:tc>
          <w:tcPr>
            <w:tcW w:w="336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79AAFC" w14:textId="77777777" w:rsidR="007854AB" w:rsidRPr="00005453" w:rsidRDefault="007854AB" w:rsidP="007854AB">
            <w:pPr>
              <w:rPr>
                <w:sz w:val="16"/>
                <w:szCs w:val="16"/>
                <w:lang w:eastAsia="tr-TR"/>
              </w:rPr>
            </w:pPr>
            <w:r w:rsidRPr="00005453">
              <w:rPr>
                <w:color w:val="000000"/>
                <w:sz w:val="16"/>
                <w:szCs w:val="16"/>
                <w:lang w:eastAsia="tr-TR"/>
              </w:rPr>
              <w:t>Yüksek kaliteli likit varlıklar</w:t>
            </w:r>
          </w:p>
        </w:tc>
        <w:tc>
          <w:tcPr>
            <w:tcW w:w="1134"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AA1696E" w14:textId="77777777" w:rsidR="007854AB" w:rsidRPr="00005453" w:rsidRDefault="007854AB" w:rsidP="007854AB">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D56594E" w14:textId="77777777" w:rsidR="007854AB" w:rsidRPr="00005453" w:rsidRDefault="007854AB" w:rsidP="007854AB">
            <w:pPr>
              <w:jc w:val="right"/>
              <w:rPr>
                <w:color w:val="000000"/>
                <w:sz w:val="16"/>
                <w:szCs w:val="16"/>
              </w:rPr>
            </w:pPr>
          </w:p>
        </w:tc>
        <w:tc>
          <w:tcPr>
            <w:tcW w:w="1365"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4ACF5F5" w14:textId="77777777" w:rsidR="007854AB" w:rsidRPr="00005453" w:rsidRDefault="007854AB" w:rsidP="007854AB">
            <w:pPr>
              <w:jc w:val="right"/>
              <w:rPr>
                <w:color w:val="000000"/>
                <w:sz w:val="16"/>
                <w:szCs w:val="16"/>
              </w:rPr>
            </w:pPr>
          </w:p>
        </w:tc>
        <w:tc>
          <w:tcPr>
            <w:tcW w:w="1137"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A646BC8" w14:textId="77777777" w:rsidR="007854AB" w:rsidRPr="00005453" w:rsidRDefault="007854AB" w:rsidP="007854AB">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879ED7" w14:textId="721D5138" w:rsidR="007854AB" w:rsidRPr="00005453" w:rsidRDefault="007854AB" w:rsidP="007854AB">
            <w:pPr>
              <w:jc w:val="right"/>
              <w:rPr>
                <w:color w:val="000000"/>
                <w:sz w:val="16"/>
                <w:szCs w:val="16"/>
              </w:rPr>
            </w:pPr>
            <w:bookmarkStart w:id="46" w:name="OLE_LINK30"/>
            <w:r w:rsidRPr="00005453">
              <w:rPr>
                <w:color w:val="000000"/>
                <w:sz w:val="16"/>
                <w:szCs w:val="16"/>
              </w:rPr>
              <w:t>2,</w:t>
            </w:r>
            <w:r w:rsidR="006B4A0A" w:rsidRPr="00005453">
              <w:rPr>
                <w:color w:val="000000"/>
                <w:sz w:val="16"/>
                <w:szCs w:val="16"/>
              </w:rPr>
              <w:t>809</w:t>
            </w:r>
            <w:r w:rsidRPr="00005453">
              <w:rPr>
                <w:color w:val="000000"/>
                <w:sz w:val="16"/>
                <w:szCs w:val="16"/>
              </w:rPr>
              <w:t>,</w:t>
            </w:r>
            <w:bookmarkEnd w:id="46"/>
            <w:r w:rsidR="006B4A0A" w:rsidRPr="00005453">
              <w:rPr>
                <w:color w:val="000000"/>
                <w:sz w:val="16"/>
                <w:szCs w:val="16"/>
              </w:rPr>
              <w:t>546</w:t>
            </w:r>
          </w:p>
        </w:tc>
      </w:tr>
      <w:tr w:rsidR="00562840" w:rsidRPr="00005453" w14:paraId="2F50C197" w14:textId="77777777" w:rsidTr="00562840">
        <w:trPr>
          <w:trHeight w:val="742"/>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5ADADD1" w14:textId="77777777" w:rsidR="00562840" w:rsidRPr="00005453" w:rsidRDefault="00562840" w:rsidP="00562840">
            <w:pPr>
              <w:spacing w:line="305" w:lineRule="atLeast"/>
              <w:rPr>
                <w:sz w:val="16"/>
                <w:szCs w:val="16"/>
                <w:lang w:eastAsia="tr-TR"/>
              </w:rPr>
            </w:pPr>
            <w:r w:rsidRPr="00005453">
              <w:rPr>
                <w:sz w:val="16"/>
                <w:szCs w:val="16"/>
                <w:lang w:eastAsia="tr-TR"/>
              </w:rPr>
              <w:t>16</w:t>
            </w:r>
          </w:p>
        </w:tc>
        <w:tc>
          <w:tcPr>
            <w:tcW w:w="3369"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2F1E898" w14:textId="77777777" w:rsidR="00562840" w:rsidRPr="00005453" w:rsidRDefault="00562840" w:rsidP="00562840">
            <w:pPr>
              <w:spacing w:line="305" w:lineRule="atLeast"/>
              <w:rPr>
                <w:sz w:val="16"/>
                <w:szCs w:val="16"/>
                <w:lang w:eastAsia="tr-TR"/>
              </w:rPr>
            </w:pPr>
            <w:r w:rsidRPr="00005453">
              <w:rPr>
                <w:sz w:val="16"/>
                <w:szCs w:val="16"/>
                <w:lang w:eastAsia="tr-TR"/>
              </w:rPr>
              <w:t>Kredi kuruluşları veya finansal kuruluşlara depo edilen operasyonel mevduat/katılım fonu</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574EC80" w14:textId="5131377B" w:rsidR="00562840" w:rsidRPr="00005453" w:rsidRDefault="00562840" w:rsidP="00562840">
            <w:pPr>
              <w:jc w:val="right"/>
              <w:rPr>
                <w:color w:val="000000"/>
                <w:sz w:val="16"/>
                <w:szCs w:val="16"/>
              </w:rPr>
            </w:pPr>
            <w:r w:rsidRPr="00005453">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1A1F02D" w14:textId="36C9903C" w:rsidR="00562840" w:rsidRPr="00005453" w:rsidRDefault="00562840" w:rsidP="00562840">
            <w:pPr>
              <w:jc w:val="right"/>
              <w:rPr>
                <w:color w:val="000000"/>
                <w:sz w:val="16"/>
                <w:szCs w:val="16"/>
              </w:rPr>
            </w:pPr>
            <w:r w:rsidRPr="00005453">
              <w:rPr>
                <w:color w:val="000000"/>
                <w:sz w:val="16"/>
                <w:szCs w:val="22"/>
              </w:rPr>
              <w:t>-</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C87A39F" w14:textId="71AD7F9C" w:rsidR="00562840" w:rsidRPr="00005453" w:rsidRDefault="00562840" w:rsidP="00562840">
            <w:pPr>
              <w:jc w:val="right"/>
              <w:rPr>
                <w:color w:val="000000"/>
                <w:sz w:val="16"/>
                <w:szCs w:val="16"/>
              </w:rPr>
            </w:pPr>
            <w:r w:rsidRPr="00005453">
              <w:rPr>
                <w:color w:val="000000"/>
                <w:sz w:val="16"/>
                <w:szCs w:val="22"/>
              </w:rPr>
              <w:t>-</w:t>
            </w:r>
          </w:p>
        </w:tc>
        <w:tc>
          <w:tcPr>
            <w:tcW w:w="1137"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A9CEA38" w14:textId="76DA7788" w:rsidR="00562840" w:rsidRPr="00005453" w:rsidRDefault="00562840" w:rsidP="00562840">
            <w:pPr>
              <w:jc w:val="right"/>
              <w:rPr>
                <w:color w:val="000000"/>
                <w:sz w:val="16"/>
                <w:szCs w:val="16"/>
              </w:rPr>
            </w:pPr>
            <w:r w:rsidRPr="00005453">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0D24FEB" w14:textId="4F2C7D12" w:rsidR="00562840" w:rsidRPr="00005453" w:rsidRDefault="00562840" w:rsidP="00562840">
            <w:pPr>
              <w:jc w:val="right"/>
              <w:rPr>
                <w:color w:val="000000"/>
                <w:sz w:val="16"/>
                <w:szCs w:val="16"/>
              </w:rPr>
            </w:pPr>
            <w:r w:rsidRPr="00005453">
              <w:rPr>
                <w:color w:val="000000"/>
                <w:sz w:val="16"/>
                <w:szCs w:val="22"/>
              </w:rPr>
              <w:t>-</w:t>
            </w:r>
          </w:p>
        </w:tc>
      </w:tr>
      <w:tr w:rsidR="00562840" w:rsidRPr="00005453" w14:paraId="481726FB" w14:textId="77777777" w:rsidTr="00562840">
        <w:trPr>
          <w:trHeight w:val="220"/>
        </w:trPr>
        <w:tc>
          <w:tcPr>
            <w:tcW w:w="45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481F81D1" w14:textId="77777777" w:rsidR="00562840" w:rsidRPr="00005453" w:rsidRDefault="00562840" w:rsidP="00562840">
            <w:pPr>
              <w:spacing w:line="305" w:lineRule="atLeast"/>
              <w:rPr>
                <w:sz w:val="16"/>
                <w:szCs w:val="16"/>
                <w:lang w:eastAsia="tr-TR"/>
              </w:rPr>
            </w:pPr>
            <w:r w:rsidRPr="00005453">
              <w:rPr>
                <w:sz w:val="16"/>
                <w:szCs w:val="16"/>
                <w:lang w:eastAsia="tr-TR"/>
              </w:rPr>
              <w:t>17</w:t>
            </w:r>
          </w:p>
        </w:tc>
        <w:tc>
          <w:tcPr>
            <w:tcW w:w="336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BC3FF19" w14:textId="77777777" w:rsidR="00562840" w:rsidRPr="00005453" w:rsidRDefault="00562840" w:rsidP="00562840">
            <w:pPr>
              <w:spacing w:line="305" w:lineRule="atLeast"/>
              <w:rPr>
                <w:sz w:val="16"/>
                <w:szCs w:val="16"/>
                <w:lang w:eastAsia="tr-TR"/>
              </w:rPr>
            </w:pPr>
            <w:r w:rsidRPr="00005453">
              <w:rPr>
                <w:sz w:val="16"/>
                <w:szCs w:val="16"/>
                <w:lang w:eastAsia="tr-TR"/>
              </w:rPr>
              <w:t>Canlı alacaklar</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91E498F" w14:textId="04BA70AA" w:rsidR="00562840" w:rsidRPr="00005453" w:rsidRDefault="00562840" w:rsidP="00562840">
            <w:pPr>
              <w:jc w:val="right"/>
              <w:rPr>
                <w:color w:val="000000"/>
                <w:sz w:val="16"/>
                <w:szCs w:val="16"/>
              </w:rPr>
            </w:pPr>
            <w:r w:rsidRPr="00005453">
              <w:rPr>
                <w:color w:val="000000"/>
                <w:sz w:val="16"/>
                <w:szCs w:val="22"/>
              </w:rPr>
              <w:t>35,106,981</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9F8C6F3" w14:textId="0BA8F002" w:rsidR="00562840" w:rsidRPr="00005453" w:rsidRDefault="00562840" w:rsidP="00562840">
            <w:pPr>
              <w:jc w:val="right"/>
              <w:rPr>
                <w:color w:val="000000"/>
                <w:sz w:val="16"/>
                <w:szCs w:val="16"/>
              </w:rPr>
            </w:pPr>
            <w:r w:rsidRPr="00005453">
              <w:rPr>
                <w:color w:val="000000"/>
                <w:sz w:val="16"/>
                <w:szCs w:val="22"/>
              </w:rPr>
              <w:t>85,408,888</w:t>
            </w:r>
          </w:p>
        </w:tc>
        <w:tc>
          <w:tcPr>
            <w:tcW w:w="136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7F4FD25" w14:textId="50BB68DE" w:rsidR="00562840" w:rsidRPr="00005453" w:rsidRDefault="00562840" w:rsidP="00562840">
            <w:pPr>
              <w:jc w:val="right"/>
              <w:rPr>
                <w:color w:val="000000"/>
                <w:sz w:val="16"/>
                <w:szCs w:val="16"/>
              </w:rPr>
            </w:pPr>
            <w:r w:rsidRPr="00005453">
              <w:rPr>
                <w:color w:val="000000"/>
                <w:sz w:val="16"/>
                <w:szCs w:val="22"/>
              </w:rPr>
              <w:t>77,959,784</w:t>
            </w:r>
          </w:p>
        </w:tc>
        <w:tc>
          <w:tcPr>
            <w:tcW w:w="113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CA03600" w14:textId="2C3B0452" w:rsidR="00562840" w:rsidRPr="00005453" w:rsidRDefault="00562840" w:rsidP="00562840">
            <w:pPr>
              <w:jc w:val="right"/>
              <w:rPr>
                <w:color w:val="000000"/>
                <w:sz w:val="16"/>
                <w:szCs w:val="16"/>
              </w:rPr>
            </w:pPr>
            <w:r w:rsidRPr="00005453">
              <w:rPr>
                <w:color w:val="000000"/>
                <w:sz w:val="16"/>
                <w:szCs w:val="22"/>
              </w:rPr>
              <w:t>261,009,643</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9449BBB" w14:textId="773B87BA" w:rsidR="00562840" w:rsidRPr="00005453" w:rsidRDefault="00562840" w:rsidP="00562840">
            <w:pPr>
              <w:jc w:val="right"/>
              <w:rPr>
                <w:color w:val="000000"/>
                <w:sz w:val="16"/>
                <w:szCs w:val="16"/>
              </w:rPr>
            </w:pPr>
            <w:r w:rsidRPr="00005453">
              <w:rPr>
                <w:color w:val="000000"/>
                <w:sz w:val="16"/>
                <w:szCs w:val="22"/>
              </w:rPr>
              <w:t>325,642,866</w:t>
            </w:r>
          </w:p>
        </w:tc>
      </w:tr>
      <w:tr w:rsidR="00562840" w:rsidRPr="00005453" w14:paraId="2B2EE3FA" w14:textId="77777777" w:rsidTr="00562840">
        <w:trPr>
          <w:trHeight w:val="688"/>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B3F410D" w14:textId="77777777" w:rsidR="00562840" w:rsidRPr="00005453" w:rsidRDefault="00562840" w:rsidP="00562840">
            <w:pPr>
              <w:spacing w:line="305" w:lineRule="atLeast"/>
              <w:rPr>
                <w:sz w:val="16"/>
                <w:szCs w:val="16"/>
                <w:lang w:eastAsia="tr-TR"/>
              </w:rPr>
            </w:pPr>
            <w:r w:rsidRPr="00005453">
              <w:rPr>
                <w:sz w:val="16"/>
                <w:szCs w:val="16"/>
                <w:lang w:eastAsia="tr-TR"/>
              </w:rPr>
              <w:t>18</w:t>
            </w:r>
          </w:p>
        </w:tc>
        <w:tc>
          <w:tcPr>
            <w:tcW w:w="336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AF6FB6" w14:textId="77777777" w:rsidR="00562840" w:rsidRPr="00005453" w:rsidRDefault="00562840" w:rsidP="00562840">
            <w:pPr>
              <w:spacing w:line="305" w:lineRule="atLeast"/>
              <w:ind w:left="317"/>
              <w:rPr>
                <w:sz w:val="16"/>
                <w:szCs w:val="16"/>
                <w:lang w:eastAsia="tr-TR"/>
              </w:rPr>
            </w:pPr>
            <w:r w:rsidRPr="00005453">
              <w:rPr>
                <w:color w:val="000000"/>
                <w:sz w:val="16"/>
                <w:szCs w:val="16"/>
                <w:lang w:eastAsia="tr-TR"/>
              </w:rPr>
              <w:t>Teminatı birinci kalite likit varlık olan, kredi kuruluşları veya finansal kuruluşlardan alacaklar</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5D4061" w14:textId="50832256"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7BA9F8" w14:textId="2A4AF505"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36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347C0A" w14:textId="462F82C1"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876985" w14:textId="565C4269"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E7DDA6" w14:textId="5CC55DBE" w:rsidR="00562840" w:rsidRPr="00005453" w:rsidRDefault="00562840" w:rsidP="00562840">
            <w:pPr>
              <w:spacing w:line="305" w:lineRule="atLeast"/>
              <w:jc w:val="right"/>
              <w:rPr>
                <w:sz w:val="16"/>
                <w:szCs w:val="16"/>
                <w:lang w:eastAsia="tr-TR"/>
              </w:rPr>
            </w:pPr>
            <w:r w:rsidRPr="00005453">
              <w:rPr>
                <w:color w:val="000000"/>
                <w:sz w:val="16"/>
                <w:szCs w:val="22"/>
              </w:rPr>
              <w:t>-</w:t>
            </w:r>
          </w:p>
        </w:tc>
      </w:tr>
      <w:tr w:rsidR="00562840" w:rsidRPr="00005453" w14:paraId="19B75E95" w14:textId="77777777" w:rsidTr="00562840">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0ECA9EA" w14:textId="77777777" w:rsidR="00562840" w:rsidRPr="00005453" w:rsidRDefault="00562840" w:rsidP="00562840">
            <w:pPr>
              <w:spacing w:line="305" w:lineRule="atLeast"/>
              <w:rPr>
                <w:sz w:val="16"/>
                <w:szCs w:val="16"/>
                <w:lang w:eastAsia="tr-TR"/>
              </w:rPr>
            </w:pPr>
            <w:r w:rsidRPr="00005453">
              <w:rPr>
                <w:sz w:val="16"/>
                <w:szCs w:val="16"/>
                <w:lang w:eastAsia="tr-TR"/>
              </w:rPr>
              <w:t>19</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3F4368" w14:textId="77777777" w:rsidR="00562840" w:rsidRPr="00005453" w:rsidRDefault="00562840" w:rsidP="00562840">
            <w:pPr>
              <w:spacing w:line="305" w:lineRule="atLeast"/>
              <w:ind w:left="317"/>
              <w:rPr>
                <w:sz w:val="16"/>
                <w:szCs w:val="16"/>
                <w:lang w:eastAsia="tr-TR"/>
              </w:rPr>
            </w:pPr>
            <w:r w:rsidRPr="00005453">
              <w:rPr>
                <w:color w:val="000000"/>
                <w:sz w:val="16"/>
                <w:szCs w:val="16"/>
                <w:lang w:eastAsia="tr-TR"/>
              </w:rPr>
              <w:t>Kredi kuruluşları veya finansal kuruluşlardan teminatsız veya teminatı birinci kalite likit varlık olmayan teminatlı alacaklar</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09DEF8" w14:textId="0CA24BF3" w:rsidR="00562840" w:rsidRPr="00005453" w:rsidRDefault="00562840" w:rsidP="00562840">
            <w:pPr>
              <w:jc w:val="right"/>
              <w:rPr>
                <w:color w:val="000000"/>
                <w:sz w:val="16"/>
                <w:szCs w:val="16"/>
              </w:rPr>
            </w:pPr>
            <w:r w:rsidRPr="00005453">
              <w:rPr>
                <w:color w:val="000000"/>
                <w:sz w:val="16"/>
                <w:szCs w:val="22"/>
              </w:rPr>
              <w:t>8,783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BBC966" w14:textId="793D7CB8" w:rsidR="00562840" w:rsidRPr="00005453" w:rsidRDefault="00562840" w:rsidP="00562840">
            <w:pPr>
              <w:jc w:val="right"/>
              <w:rPr>
                <w:color w:val="000000"/>
                <w:sz w:val="16"/>
                <w:szCs w:val="16"/>
              </w:rPr>
            </w:pPr>
            <w:r w:rsidRPr="00005453">
              <w:rPr>
                <w:color w:val="000000"/>
                <w:sz w:val="16"/>
                <w:szCs w:val="22"/>
              </w:rPr>
              <w:t>7,729,522</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2A512E" w14:textId="193C7800" w:rsidR="00562840" w:rsidRPr="00005453" w:rsidRDefault="00562840" w:rsidP="00562840">
            <w:pPr>
              <w:jc w:val="right"/>
              <w:rPr>
                <w:color w:val="000000"/>
                <w:sz w:val="16"/>
                <w:szCs w:val="16"/>
              </w:rPr>
            </w:pPr>
            <w:r w:rsidRPr="00005453">
              <w:rPr>
                <w:color w:val="000000"/>
                <w:sz w:val="16"/>
                <w:szCs w:val="22"/>
              </w:rPr>
              <w:t>-</w:t>
            </w:r>
          </w:p>
        </w:tc>
        <w:tc>
          <w:tcPr>
            <w:tcW w:w="11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926C1" w14:textId="528AC903" w:rsidR="00562840" w:rsidRPr="00005453" w:rsidRDefault="00562840" w:rsidP="00562840">
            <w:pPr>
              <w:jc w:val="right"/>
              <w:rPr>
                <w:color w:val="000000"/>
                <w:sz w:val="16"/>
                <w:szCs w:val="16"/>
              </w:rPr>
            </w:pPr>
            <w:r w:rsidRPr="00005453">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D09A2B" w14:textId="25704036" w:rsidR="00562840" w:rsidRPr="00005453" w:rsidRDefault="00562840" w:rsidP="00562840">
            <w:pPr>
              <w:jc w:val="right"/>
              <w:rPr>
                <w:color w:val="000000"/>
                <w:sz w:val="16"/>
                <w:szCs w:val="16"/>
              </w:rPr>
            </w:pPr>
            <w:r w:rsidRPr="00005453">
              <w:rPr>
                <w:color w:val="000000"/>
                <w:sz w:val="16"/>
                <w:szCs w:val="22"/>
              </w:rPr>
              <w:t>1,160,746</w:t>
            </w:r>
          </w:p>
        </w:tc>
      </w:tr>
      <w:tr w:rsidR="00562840" w:rsidRPr="00005453" w14:paraId="399E76AA" w14:textId="77777777" w:rsidTr="00562840">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AB43074" w14:textId="77777777" w:rsidR="00562840" w:rsidRPr="00005453" w:rsidRDefault="00562840" w:rsidP="00562840">
            <w:pPr>
              <w:spacing w:line="305" w:lineRule="atLeast"/>
              <w:rPr>
                <w:sz w:val="16"/>
                <w:szCs w:val="16"/>
                <w:lang w:eastAsia="tr-TR"/>
              </w:rPr>
            </w:pPr>
            <w:r w:rsidRPr="00005453">
              <w:rPr>
                <w:sz w:val="16"/>
                <w:szCs w:val="16"/>
                <w:lang w:eastAsia="tr-TR"/>
              </w:rPr>
              <w:t>20</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DB3A011" w14:textId="77777777" w:rsidR="00562840" w:rsidRPr="00005453" w:rsidRDefault="00562840" w:rsidP="00562840">
            <w:pPr>
              <w:spacing w:line="305" w:lineRule="atLeast"/>
              <w:ind w:left="317"/>
              <w:rPr>
                <w:sz w:val="16"/>
                <w:szCs w:val="16"/>
                <w:lang w:eastAsia="tr-TR"/>
              </w:rPr>
            </w:pPr>
            <w:r w:rsidRPr="00005453">
              <w:rPr>
                <w:sz w:val="16"/>
                <w:szCs w:val="16"/>
                <w:lang w:eastAsia="tr-TR"/>
              </w:rPr>
              <w:t>Kredi kuruluşları veya </w:t>
            </w:r>
            <w:r w:rsidRPr="00005453">
              <w:rPr>
                <w:color w:val="000000"/>
                <w:sz w:val="16"/>
                <w:szCs w:val="16"/>
                <w:lang w:eastAsia="tr-TR"/>
              </w:rPr>
              <w:t>finansal </w:t>
            </w:r>
            <w:r w:rsidRPr="00005453">
              <w:rPr>
                <w:sz w:val="16"/>
                <w:szCs w:val="16"/>
                <w:lang w:eastAsia="tr-TR"/>
              </w:rPr>
              <w:t>kuruluşlar dışındaki kurumsal müşteriler, </w:t>
            </w:r>
            <w:r w:rsidRPr="00005453">
              <w:rPr>
                <w:color w:val="000000"/>
                <w:sz w:val="16"/>
                <w:szCs w:val="16"/>
                <w:lang w:eastAsia="tr-TR"/>
              </w:rPr>
              <w:t>kuruluşlar, gerçek kişi ve perakende müşteriler,</w:t>
            </w:r>
            <w:r w:rsidRPr="00005453">
              <w:rPr>
                <w:sz w:val="16"/>
                <w:szCs w:val="16"/>
                <w:lang w:eastAsia="tr-TR"/>
              </w:rPr>
              <w:t> m</w:t>
            </w:r>
            <w:r w:rsidRPr="00005453">
              <w:rPr>
                <w:color w:val="000000"/>
                <w:sz w:val="16"/>
                <w:szCs w:val="16"/>
                <w:lang w:eastAsia="tr-TR"/>
              </w:rPr>
              <w:t>erkezi yönetimler, merkez bankaları ile kamu kuruluşlarından olan alacaklar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10826B" w14:textId="0F72633E" w:rsidR="00562840" w:rsidRPr="00005453" w:rsidRDefault="00562840" w:rsidP="00562840">
            <w:pPr>
              <w:jc w:val="right"/>
              <w:rPr>
                <w:color w:val="000000"/>
                <w:sz w:val="16"/>
                <w:szCs w:val="16"/>
              </w:rPr>
            </w:pPr>
            <w:r w:rsidRPr="00005453">
              <w:rPr>
                <w:color w:val="000000"/>
                <w:sz w:val="16"/>
                <w:szCs w:val="22"/>
              </w:rPr>
              <w:t>18,934,262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7681F55" w14:textId="285C9EE3" w:rsidR="00562840" w:rsidRPr="00005453" w:rsidRDefault="00562840" w:rsidP="00562840">
            <w:pPr>
              <w:jc w:val="right"/>
              <w:rPr>
                <w:color w:val="000000"/>
                <w:sz w:val="16"/>
                <w:szCs w:val="16"/>
              </w:rPr>
            </w:pPr>
            <w:r w:rsidRPr="00005453">
              <w:rPr>
                <w:color w:val="000000"/>
                <w:sz w:val="16"/>
                <w:szCs w:val="22"/>
              </w:rPr>
              <w:t>77,668,378</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86DF44" w14:textId="60DEF39F" w:rsidR="00562840" w:rsidRPr="00005453" w:rsidRDefault="00562840" w:rsidP="00562840">
            <w:pPr>
              <w:jc w:val="right"/>
              <w:rPr>
                <w:color w:val="000000"/>
                <w:sz w:val="16"/>
                <w:szCs w:val="16"/>
              </w:rPr>
            </w:pPr>
            <w:r w:rsidRPr="00005453">
              <w:rPr>
                <w:color w:val="000000"/>
                <w:sz w:val="16"/>
                <w:szCs w:val="22"/>
              </w:rPr>
              <w:t>77,727,666</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2FEFF2" w14:textId="61F9C2B0" w:rsidR="00562840" w:rsidRPr="00005453" w:rsidRDefault="00562840" w:rsidP="00562840">
            <w:pPr>
              <w:jc w:val="right"/>
              <w:rPr>
                <w:color w:val="000000"/>
                <w:sz w:val="16"/>
                <w:szCs w:val="16"/>
              </w:rPr>
            </w:pPr>
            <w:r w:rsidRPr="00005453">
              <w:rPr>
                <w:color w:val="000000"/>
                <w:sz w:val="16"/>
                <w:szCs w:val="22"/>
              </w:rPr>
              <w:t>241,844,076</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14F241" w14:textId="5DF69FA4" w:rsidR="00562840" w:rsidRPr="00005453" w:rsidRDefault="00562840" w:rsidP="00562840">
            <w:pPr>
              <w:jc w:val="right"/>
              <w:rPr>
                <w:color w:val="000000"/>
                <w:sz w:val="16"/>
                <w:szCs w:val="16"/>
              </w:rPr>
            </w:pPr>
            <w:r w:rsidRPr="00005453">
              <w:rPr>
                <w:color w:val="000000"/>
                <w:sz w:val="16"/>
                <w:szCs w:val="22"/>
              </w:rPr>
              <w:t>297,981,553</w:t>
            </w:r>
          </w:p>
        </w:tc>
      </w:tr>
      <w:tr w:rsidR="00562840" w:rsidRPr="00005453" w14:paraId="1D939F46" w14:textId="77777777" w:rsidTr="00562840">
        <w:trPr>
          <w:trHeight w:val="50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F3B2370" w14:textId="77777777" w:rsidR="00562840" w:rsidRPr="00005453" w:rsidRDefault="00562840" w:rsidP="00562840">
            <w:pPr>
              <w:spacing w:line="305" w:lineRule="atLeast"/>
              <w:rPr>
                <w:sz w:val="16"/>
                <w:szCs w:val="16"/>
                <w:lang w:eastAsia="tr-TR"/>
              </w:rPr>
            </w:pPr>
            <w:r w:rsidRPr="00005453">
              <w:rPr>
                <w:sz w:val="16"/>
                <w:szCs w:val="16"/>
                <w:lang w:eastAsia="tr-TR"/>
              </w:rPr>
              <w:t>21</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CB44B2" w14:textId="77777777" w:rsidR="00562840" w:rsidRPr="00005453" w:rsidRDefault="00562840" w:rsidP="00562840">
            <w:pPr>
              <w:spacing w:line="305" w:lineRule="atLeast"/>
              <w:ind w:left="742"/>
              <w:rPr>
                <w:sz w:val="16"/>
                <w:szCs w:val="16"/>
                <w:lang w:eastAsia="tr-TR"/>
              </w:rPr>
            </w:pPr>
            <w:proofErr w:type="gramStart"/>
            <w:r w:rsidRPr="00005453">
              <w:rPr>
                <w:i/>
                <w:iCs/>
                <w:color w:val="000000"/>
                <w:sz w:val="16"/>
                <w:szCs w:val="16"/>
                <w:lang w:eastAsia="tr-TR"/>
              </w:rPr>
              <w:t>% 35</w:t>
            </w:r>
            <w:proofErr w:type="gramEnd"/>
            <w:r w:rsidRPr="00005453">
              <w:rPr>
                <w:i/>
                <w:iCs/>
                <w:color w:val="000000"/>
                <w:sz w:val="16"/>
                <w:szCs w:val="16"/>
                <w:lang w:eastAsia="tr-TR"/>
              </w:rPr>
              <w:t xml:space="preserve"> ya da daha düşük risk ağırlığına tabi alacaklar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1745AC" w14:textId="00EC2A6B"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ED88543" w14:textId="223215E5"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7D5ADE" w14:textId="78802AEC"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13D67C" w14:textId="38D2275A" w:rsidR="00562840" w:rsidRPr="00005453" w:rsidRDefault="00562840" w:rsidP="00562840">
            <w:pPr>
              <w:jc w:val="right"/>
              <w:rPr>
                <w:color w:val="000000"/>
                <w:sz w:val="16"/>
                <w:szCs w:val="16"/>
              </w:rPr>
            </w:pPr>
            <w:r w:rsidRPr="00005453">
              <w:rPr>
                <w:color w:val="000000"/>
                <w:sz w:val="16"/>
                <w:szCs w:val="22"/>
              </w:rPr>
              <w:t>18,758,203</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1812BD" w14:textId="38EEDA31" w:rsidR="00562840" w:rsidRPr="00005453" w:rsidRDefault="00562840" w:rsidP="00562840">
            <w:pPr>
              <w:jc w:val="right"/>
              <w:rPr>
                <w:color w:val="000000"/>
                <w:sz w:val="16"/>
                <w:szCs w:val="16"/>
              </w:rPr>
            </w:pPr>
            <w:r w:rsidRPr="00005453">
              <w:rPr>
                <w:color w:val="000000"/>
                <w:sz w:val="16"/>
                <w:szCs w:val="22"/>
              </w:rPr>
              <w:t>12,192,832</w:t>
            </w:r>
          </w:p>
        </w:tc>
      </w:tr>
      <w:tr w:rsidR="00562840" w:rsidRPr="00005453" w14:paraId="1BEE459A" w14:textId="77777777" w:rsidTr="00562840">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3520643" w14:textId="77777777" w:rsidR="00562840" w:rsidRPr="00005453" w:rsidRDefault="00562840" w:rsidP="00562840">
            <w:pPr>
              <w:spacing w:line="305" w:lineRule="atLeast"/>
              <w:rPr>
                <w:sz w:val="16"/>
                <w:szCs w:val="16"/>
                <w:lang w:eastAsia="tr-TR"/>
              </w:rPr>
            </w:pPr>
            <w:r w:rsidRPr="00005453">
              <w:rPr>
                <w:sz w:val="16"/>
                <w:szCs w:val="16"/>
                <w:lang w:eastAsia="tr-TR"/>
              </w:rPr>
              <w:t>22</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CC71D45" w14:textId="77777777" w:rsidR="00562840" w:rsidRPr="00005453" w:rsidRDefault="00562840" w:rsidP="00562840">
            <w:pPr>
              <w:spacing w:line="305" w:lineRule="atLeast"/>
              <w:ind w:left="317"/>
              <w:rPr>
                <w:sz w:val="16"/>
                <w:szCs w:val="16"/>
                <w:lang w:eastAsia="tr-TR"/>
              </w:rPr>
            </w:pPr>
            <w:r w:rsidRPr="00005453">
              <w:rPr>
                <w:sz w:val="16"/>
                <w:szCs w:val="16"/>
                <w:lang w:eastAsia="tr-TR"/>
              </w:rPr>
              <w:t>İkamet amaçlı gayrimenkul ipoteği ile teminatlandırılan</w:t>
            </w:r>
            <w:r w:rsidRPr="00005453">
              <w:rPr>
                <w:color w:val="000000"/>
                <w:sz w:val="16"/>
                <w:szCs w:val="16"/>
                <w:lang w:eastAsia="tr-TR"/>
              </w:rPr>
              <w:t> alacaklar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BAAD3E" w14:textId="21D79545"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9500CF" w14:textId="455538C1"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4CE483" w14:textId="4CFFC0C8"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E72ADD" w14:textId="595F6FB5"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643FBF" w14:textId="58C27D6D" w:rsidR="00562840" w:rsidRPr="00005453" w:rsidRDefault="00562840" w:rsidP="00562840">
            <w:pPr>
              <w:spacing w:line="305" w:lineRule="atLeast"/>
              <w:jc w:val="right"/>
              <w:rPr>
                <w:sz w:val="16"/>
                <w:szCs w:val="16"/>
                <w:lang w:eastAsia="tr-TR"/>
              </w:rPr>
            </w:pPr>
            <w:r w:rsidRPr="00005453">
              <w:rPr>
                <w:color w:val="000000"/>
                <w:sz w:val="16"/>
                <w:szCs w:val="22"/>
              </w:rPr>
              <w:t>-</w:t>
            </w:r>
          </w:p>
        </w:tc>
      </w:tr>
      <w:tr w:rsidR="00562840" w:rsidRPr="00005453" w14:paraId="78A2EE28" w14:textId="77777777" w:rsidTr="00562840">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EF0D5CD" w14:textId="77777777" w:rsidR="00562840" w:rsidRPr="00005453" w:rsidRDefault="00562840" w:rsidP="00562840">
            <w:pPr>
              <w:spacing w:line="305" w:lineRule="atLeast"/>
              <w:rPr>
                <w:sz w:val="16"/>
                <w:szCs w:val="16"/>
                <w:lang w:eastAsia="tr-TR"/>
              </w:rPr>
            </w:pPr>
            <w:r w:rsidRPr="00005453">
              <w:rPr>
                <w:sz w:val="16"/>
                <w:szCs w:val="16"/>
                <w:lang w:eastAsia="tr-TR"/>
              </w:rPr>
              <w:t>23</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46DD6F" w14:textId="77777777" w:rsidR="00562840" w:rsidRPr="00005453" w:rsidRDefault="00562840" w:rsidP="00562840">
            <w:pPr>
              <w:spacing w:line="305" w:lineRule="atLeast"/>
              <w:ind w:left="742"/>
              <w:rPr>
                <w:sz w:val="16"/>
                <w:szCs w:val="16"/>
                <w:lang w:eastAsia="tr-TR"/>
              </w:rPr>
            </w:pPr>
            <w:proofErr w:type="gramStart"/>
            <w:r w:rsidRPr="00005453">
              <w:rPr>
                <w:i/>
                <w:iCs/>
                <w:color w:val="000000"/>
                <w:sz w:val="16"/>
                <w:szCs w:val="16"/>
                <w:lang w:eastAsia="tr-TR"/>
              </w:rPr>
              <w:t>% 35</w:t>
            </w:r>
            <w:proofErr w:type="gramEnd"/>
            <w:r w:rsidRPr="00005453">
              <w:rPr>
                <w:i/>
                <w:iCs/>
                <w:color w:val="000000"/>
                <w:sz w:val="16"/>
                <w:szCs w:val="16"/>
                <w:lang w:eastAsia="tr-TR"/>
              </w:rPr>
              <w:t xml:space="preserve"> ya da daha düşük risk ağırlığına tabi alacaklar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A9BB7F" w14:textId="5421CD2F"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78ADE9E" w14:textId="5F1E3DE6"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58B0108" w14:textId="05DFC8F4"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B35B23" w14:textId="58344384" w:rsidR="00562840" w:rsidRPr="00005453" w:rsidRDefault="00562840" w:rsidP="00562840">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BBC0F46" w14:textId="241D3662" w:rsidR="00562840" w:rsidRPr="00005453" w:rsidRDefault="00562840" w:rsidP="00562840">
            <w:pPr>
              <w:spacing w:line="305" w:lineRule="atLeast"/>
              <w:jc w:val="right"/>
              <w:rPr>
                <w:sz w:val="16"/>
                <w:szCs w:val="16"/>
                <w:lang w:eastAsia="tr-TR"/>
              </w:rPr>
            </w:pPr>
            <w:r w:rsidRPr="00005453">
              <w:rPr>
                <w:color w:val="000000"/>
                <w:sz w:val="16"/>
                <w:szCs w:val="22"/>
              </w:rPr>
              <w:t>-</w:t>
            </w:r>
          </w:p>
        </w:tc>
      </w:tr>
      <w:tr w:rsidR="00562840" w:rsidRPr="00005453" w14:paraId="0C67F14B" w14:textId="77777777" w:rsidTr="00562840">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D977855" w14:textId="77777777" w:rsidR="00562840" w:rsidRPr="00005453" w:rsidRDefault="00562840" w:rsidP="00562840">
            <w:pPr>
              <w:spacing w:line="305" w:lineRule="atLeast"/>
              <w:rPr>
                <w:sz w:val="16"/>
                <w:szCs w:val="16"/>
                <w:lang w:eastAsia="tr-TR"/>
              </w:rPr>
            </w:pPr>
            <w:r w:rsidRPr="00005453">
              <w:rPr>
                <w:sz w:val="16"/>
                <w:szCs w:val="16"/>
                <w:lang w:eastAsia="tr-TR"/>
              </w:rPr>
              <w:t>24</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F01BD6" w14:textId="77777777" w:rsidR="00562840" w:rsidRPr="00005453" w:rsidRDefault="00562840" w:rsidP="00562840">
            <w:pPr>
              <w:spacing w:line="305" w:lineRule="atLeast"/>
              <w:ind w:left="317"/>
              <w:rPr>
                <w:sz w:val="16"/>
                <w:szCs w:val="16"/>
                <w:lang w:eastAsia="tr-TR"/>
              </w:rPr>
            </w:pPr>
            <w:r w:rsidRPr="00005453">
              <w:rPr>
                <w:sz w:val="16"/>
                <w:szCs w:val="16"/>
                <w:lang w:eastAsia="tr-TR"/>
              </w:rPr>
              <w:t>Yüksek kaliteli likit varlık niteliğini haiz olmayan, borsada işlem gören hisse senetleri ile borçlanma araçları</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468BB1B" w14:textId="3BB2E03B" w:rsidR="00562840" w:rsidRPr="00005453" w:rsidRDefault="00562840" w:rsidP="00562840">
            <w:pPr>
              <w:jc w:val="right"/>
              <w:rPr>
                <w:color w:val="000000"/>
                <w:sz w:val="16"/>
                <w:szCs w:val="16"/>
              </w:rPr>
            </w:pPr>
            <w:r w:rsidRPr="00005453">
              <w:rPr>
                <w:color w:val="000000"/>
                <w:sz w:val="16"/>
                <w:szCs w:val="22"/>
              </w:rPr>
              <w:t>16,163,936</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DED6E5" w14:textId="36C6167C" w:rsidR="00562840" w:rsidRPr="00005453" w:rsidRDefault="00562840" w:rsidP="00562840">
            <w:pPr>
              <w:jc w:val="right"/>
              <w:rPr>
                <w:color w:val="000000"/>
                <w:sz w:val="16"/>
                <w:szCs w:val="16"/>
              </w:rPr>
            </w:pPr>
            <w:r w:rsidRPr="00005453">
              <w:rPr>
                <w:color w:val="000000"/>
                <w:sz w:val="16"/>
                <w:szCs w:val="22"/>
              </w:rPr>
              <w:t>10,988</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E6F21A" w14:textId="4923589A" w:rsidR="00562840" w:rsidRPr="00005453" w:rsidRDefault="00562840" w:rsidP="00562840">
            <w:pPr>
              <w:jc w:val="right"/>
              <w:rPr>
                <w:color w:val="000000"/>
                <w:sz w:val="16"/>
                <w:szCs w:val="16"/>
              </w:rPr>
            </w:pPr>
            <w:r w:rsidRPr="00005453">
              <w:rPr>
                <w:color w:val="000000"/>
                <w:sz w:val="16"/>
                <w:szCs w:val="22"/>
              </w:rPr>
              <w:t>232,118</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E279EE" w14:textId="7B2F09E4" w:rsidR="00562840" w:rsidRPr="00005453" w:rsidRDefault="00562840" w:rsidP="00562840">
            <w:pPr>
              <w:jc w:val="right"/>
              <w:rPr>
                <w:color w:val="000000"/>
                <w:sz w:val="16"/>
                <w:szCs w:val="16"/>
              </w:rPr>
            </w:pPr>
            <w:r w:rsidRPr="00005453">
              <w:rPr>
                <w:color w:val="000000"/>
                <w:sz w:val="16"/>
                <w:szCs w:val="22"/>
              </w:rPr>
              <w:t>407,364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6C78EC" w14:textId="257325A7" w:rsidR="00562840" w:rsidRPr="00005453" w:rsidRDefault="00562840" w:rsidP="00562840">
            <w:pPr>
              <w:jc w:val="right"/>
              <w:rPr>
                <w:color w:val="000000"/>
                <w:sz w:val="16"/>
                <w:szCs w:val="16"/>
              </w:rPr>
            </w:pPr>
            <w:r w:rsidRPr="00005453">
              <w:rPr>
                <w:color w:val="000000"/>
                <w:sz w:val="16"/>
                <w:szCs w:val="22"/>
              </w:rPr>
              <w:t>14,307,735</w:t>
            </w:r>
          </w:p>
        </w:tc>
      </w:tr>
      <w:tr w:rsidR="007854AB" w:rsidRPr="00005453" w14:paraId="67EEF5D1" w14:textId="77777777" w:rsidTr="006B4A0A">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AA091F5" w14:textId="77777777" w:rsidR="007854AB" w:rsidRPr="00005453" w:rsidRDefault="007854AB" w:rsidP="007854AB">
            <w:pPr>
              <w:spacing w:line="305" w:lineRule="atLeast"/>
              <w:rPr>
                <w:sz w:val="16"/>
                <w:szCs w:val="16"/>
                <w:lang w:eastAsia="tr-TR"/>
              </w:rPr>
            </w:pPr>
            <w:r w:rsidRPr="00005453">
              <w:rPr>
                <w:sz w:val="16"/>
                <w:szCs w:val="16"/>
                <w:lang w:eastAsia="tr-TR"/>
              </w:rPr>
              <w:t>25</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D0C10F6" w14:textId="77777777" w:rsidR="007854AB" w:rsidRPr="00005453" w:rsidRDefault="007854AB" w:rsidP="007854AB">
            <w:pPr>
              <w:spacing w:line="305" w:lineRule="atLeast"/>
              <w:rPr>
                <w:sz w:val="16"/>
                <w:szCs w:val="16"/>
                <w:lang w:eastAsia="tr-TR"/>
              </w:rPr>
            </w:pPr>
            <w:r w:rsidRPr="00005453">
              <w:rPr>
                <w:sz w:val="16"/>
                <w:szCs w:val="16"/>
                <w:lang w:eastAsia="tr-TR"/>
              </w:rPr>
              <w:t>Birbirlerine bağlı yükümlülüklere eşdeğer varlıklar</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2F3869B"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37FCEF6"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933875D" w14:textId="77777777" w:rsidR="007854AB" w:rsidRPr="00005453" w:rsidRDefault="007854AB" w:rsidP="007854AB">
            <w:pPr>
              <w:spacing w:line="305" w:lineRule="atLeast"/>
              <w:jc w:val="right"/>
              <w:rPr>
                <w:sz w:val="16"/>
                <w:szCs w:val="16"/>
                <w:lang w:eastAsia="tr-TR"/>
              </w:rPr>
            </w:pPr>
          </w:p>
        </w:tc>
        <w:tc>
          <w:tcPr>
            <w:tcW w:w="1137"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DCC603"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A54904" w14:textId="77777777" w:rsidR="007854AB" w:rsidRPr="00005453" w:rsidRDefault="007854AB" w:rsidP="007854AB">
            <w:pPr>
              <w:spacing w:line="305" w:lineRule="atLeast"/>
              <w:jc w:val="right"/>
              <w:rPr>
                <w:sz w:val="16"/>
                <w:szCs w:val="16"/>
                <w:lang w:eastAsia="tr-TR"/>
              </w:rPr>
            </w:pPr>
          </w:p>
        </w:tc>
      </w:tr>
      <w:tr w:rsidR="00562840" w:rsidRPr="00005453" w14:paraId="1E33FE28" w14:textId="77777777" w:rsidTr="0056284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5594B2F" w14:textId="77777777" w:rsidR="00562840" w:rsidRPr="00005453" w:rsidRDefault="00562840" w:rsidP="00562840">
            <w:pPr>
              <w:spacing w:line="305" w:lineRule="atLeast"/>
              <w:rPr>
                <w:sz w:val="16"/>
                <w:szCs w:val="16"/>
                <w:lang w:eastAsia="tr-TR"/>
              </w:rPr>
            </w:pPr>
            <w:r w:rsidRPr="00005453">
              <w:rPr>
                <w:sz w:val="16"/>
                <w:szCs w:val="16"/>
                <w:lang w:eastAsia="tr-TR"/>
              </w:rPr>
              <w:t>26</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DA6385E" w14:textId="77777777" w:rsidR="00562840" w:rsidRPr="00005453" w:rsidRDefault="00562840" w:rsidP="00562840">
            <w:pPr>
              <w:spacing w:line="305" w:lineRule="atLeast"/>
              <w:rPr>
                <w:sz w:val="16"/>
                <w:szCs w:val="16"/>
                <w:lang w:eastAsia="tr-TR"/>
              </w:rPr>
            </w:pPr>
            <w:r w:rsidRPr="00005453">
              <w:rPr>
                <w:sz w:val="16"/>
                <w:szCs w:val="16"/>
                <w:lang w:eastAsia="tr-TR"/>
              </w:rPr>
              <w:t>Diğer varlıklar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CD5660" w14:textId="29195D85" w:rsidR="00562840" w:rsidRPr="00005453" w:rsidRDefault="00562840" w:rsidP="00562840">
            <w:pPr>
              <w:jc w:val="right"/>
              <w:rPr>
                <w:color w:val="000000"/>
                <w:sz w:val="16"/>
                <w:szCs w:val="16"/>
              </w:rPr>
            </w:pPr>
            <w:r w:rsidRPr="00005453">
              <w:rPr>
                <w:color w:val="000000"/>
                <w:sz w:val="16"/>
                <w:szCs w:val="22"/>
              </w:rPr>
              <w:t>128,916,314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C776DC0" w14:textId="33501373" w:rsidR="00562840" w:rsidRPr="00005453" w:rsidRDefault="00562840" w:rsidP="00562840">
            <w:pPr>
              <w:jc w:val="right"/>
              <w:rPr>
                <w:color w:val="000000"/>
                <w:sz w:val="16"/>
                <w:szCs w:val="16"/>
              </w:rPr>
            </w:pPr>
            <w:r w:rsidRPr="00005453">
              <w:rPr>
                <w:color w:val="000000"/>
                <w:sz w:val="16"/>
                <w:szCs w:val="22"/>
              </w:rPr>
              <w:t>31,297,370</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CBA4687" w14:textId="7E026E81" w:rsidR="00562840" w:rsidRPr="00005453" w:rsidRDefault="00562840" w:rsidP="00562840">
            <w:pPr>
              <w:jc w:val="right"/>
              <w:rPr>
                <w:color w:val="000000"/>
                <w:sz w:val="16"/>
                <w:szCs w:val="16"/>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30728C" w14:textId="0C37C335" w:rsidR="00562840" w:rsidRPr="00005453" w:rsidRDefault="00562840" w:rsidP="00562840">
            <w:pPr>
              <w:jc w:val="right"/>
              <w:rPr>
                <w:color w:val="000000"/>
                <w:sz w:val="16"/>
                <w:szCs w:val="16"/>
              </w:rPr>
            </w:pPr>
            <w:r w:rsidRPr="00005453">
              <w:rPr>
                <w:color w:val="000000"/>
                <w:sz w:val="16"/>
                <w:szCs w:val="22"/>
              </w:rPr>
              <w:t>31,802,594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AA745F8" w14:textId="418EA8CE" w:rsidR="00562840" w:rsidRPr="00005453" w:rsidRDefault="00562840" w:rsidP="00562840">
            <w:pPr>
              <w:jc w:val="right"/>
              <w:rPr>
                <w:color w:val="000000"/>
                <w:sz w:val="16"/>
                <w:szCs w:val="16"/>
              </w:rPr>
            </w:pPr>
            <w:r w:rsidRPr="00005453">
              <w:rPr>
                <w:color w:val="000000"/>
                <w:sz w:val="16"/>
                <w:szCs w:val="22"/>
              </w:rPr>
              <w:t>158,175,178</w:t>
            </w:r>
          </w:p>
        </w:tc>
      </w:tr>
      <w:tr w:rsidR="007854AB" w:rsidRPr="00005453" w14:paraId="283BCB33" w14:textId="77777777" w:rsidTr="00562840">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BAA0DD0" w14:textId="77777777" w:rsidR="007854AB" w:rsidRPr="00005453" w:rsidRDefault="007854AB" w:rsidP="007854AB">
            <w:pPr>
              <w:spacing w:line="305" w:lineRule="atLeast"/>
              <w:rPr>
                <w:sz w:val="16"/>
                <w:szCs w:val="16"/>
                <w:lang w:eastAsia="tr-TR"/>
              </w:rPr>
            </w:pPr>
            <w:r w:rsidRPr="00005453">
              <w:rPr>
                <w:sz w:val="16"/>
                <w:szCs w:val="16"/>
                <w:lang w:eastAsia="tr-TR"/>
              </w:rPr>
              <w:t>27</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5E0B0C3" w14:textId="77777777" w:rsidR="007854AB" w:rsidRPr="00005453" w:rsidRDefault="007854AB" w:rsidP="007854AB">
            <w:pPr>
              <w:spacing w:line="305" w:lineRule="atLeast"/>
              <w:ind w:left="317"/>
              <w:rPr>
                <w:sz w:val="16"/>
                <w:szCs w:val="16"/>
                <w:lang w:eastAsia="tr-TR"/>
              </w:rPr>
            </w:pPr>
            <w:r w:rsidRPr="00005453">
              <w:rPr>
                <w:sz w:val="16"/>
                <w:szCs w:val="16"/>
                <w:lang w:eastAsia="tr-TR"/>
              </w:rPr>
              <w:t>Altın dahil fiziki teslimatlı emtia</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9A5B6D" w14:textId="17B41E2E" w:rsidR="00562840" w:rsidRPr="00005453" w:rsidRDefault="00562840" w:rsidP="00562840">
            <w:pPr>
              <w:jc w:val="right"/>
              <w:rPr>
                <w:color w:val="000000"/>
                <w:sz w:val="16"/>
                <w:szCs w:val="22"/>
                <w:lang w:eastAsia="tr-TR"/>
              </w:rPr>
            </w:pPr>
            <w:r w:rsidRPr="00005453">
              <w:rPr>
                <w:color w:val="000000"/>
                <w:sz w:val="16"/>
                <w:szCs w:val="22"/>
              </w:rPr>
              <w:t>13,590,045</w:t>
            </w:r>
          </w:p>
          <w:p w14:paraId="27EA1EA1" w14:textId="43AA32E7" w:rsidR="007854AB" w:rsidRPr="00005453" w:rsidRDefault="007854AB" w:rsidP="00562840">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BA5CEA5" w14:textId="77777777" w:rsidR="007854AB" w:rsidRPr="00005453" w:rsidRDefault="007854AB" w:rsidP="007854AB">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2F566B6" w14:textId="77777777" w:rsidR="007854AB" w:rsidRPr="00005453" w:rsidRDefault="007854AB" w:rsidP="007854AB">
            <w:pPr>
              <w:jc w:val="right"/>
              <w:rPr>
                <w:color w:val="000000"/>
                <w:sz w:val="16"/>
                <w:szCs w:val="16"/>
              </w:rPr>
            </w:pPr>
          </w:p>
        </w:tc>
        <w:tc>
          <w:tcPr>
            <w:tcW w:w="1137"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B7214A2" w14:textId="77777777" w:rsidR="007854AB" w:rsidRPr="00005453" w:rsidRDefault="007854AB" w:rsidP="007854A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8E4D65" w14:textId="5E9AEAFF" w:rsidR="007854AB" w:rsidRPr="00005453" w:rsidRDefault="00562840" w:rsidP="007854AB">
            <w:pPr>
              <w:jc w:val="right"/>
              <w:rPr>
                <w:color w:val="000000"/>
                <w:sz w:val="16"/>
                <w:szCs w:val="16"/>
              </w:rPr>
            </w:pPr>
            <w:r w:rsidRPr="00005453">
              <w:rPr>
                <w:color w:val="000000"/>
                <w:sz w:val="16"/>
                <w:szCs w:val="22"/>
              </w:rPr>
              <w:t>11</w:t>
            </w:r>
            <w:r w:rsidR="007854AB" w:rsidRPr="00005453">
              <w:rPr>
                <w:color w:val="000000"/>
                <w:sz w:val="16"/>
                <w:szCs w:val="22"/>
              </w:rPr>
              <w:t>,</w:t>
            </w:r>
            <w:r w:rsidRPr="00005453">
              <w:rPr>
                <w:color w:val="000000"/>
                <w:sz w:val="16"/>
                <w:szCs w:val="22"/>
              </w:rPr>
              <w:t>551</w:t>
            </w:r>
            <w:r w:rsidR="007854AB" w:rsidRPr="00005453">
              <w:rPr>
                <w:color w:val="000000"/>
                <w:sz w:val="16"/>
                <w:szCs w:val="22"/>
              </w:rPr>
              <w:t>,</w:t>
            </w:r>
            <w:r w:rsidRPr="00005453">
              <w:rPr>
                <w:color w:val="000000"/>
                <w:sz w:val="16"/>
                <w:szCs w:val="22"/>
              </w:rPr>
              <w:t>538</w:t>
            </w:r>
          </w:p>
        </w:tc>
      </w:tr>
      <w:tr w:rsidR="007854AB" w:rsidRPr="00005453" w14:paraId="0EED917D" w14:textId="77777777" w:rsidTr="006B4A0A">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EF1D27" w14:textId="77777777" w:rsidR="007854AB" w:rsidRPr="00005453" w:rsidRDefault="007854AB" w:rsidP="007854AB">
            <w:pPr>
              <w:spacing w:line="305" w:lineRule="atLeast"/>
              <w:rPr>
                <w:sz w:val="16"/>
                <w:szCs w:val="16"/>
                <w:lang w:eastAsia="tr-TR"/>
              </w:rPr>
            </w:pPr>
            <w:r w:rsidRPr="00005453">
              <w:rPr>
                <w:sz w:val="16"/>
                <w:szCs w:val="16"/>
                <w:lang w:eastAsia="tr-TR"/>
              </w:rPr>
              <w:t>28</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83E1F6F"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Türev sözleşmelerin başlangıç teminatı veya merkezi karşı tarafa verilen garanti fonu</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48BCFD" w14:textId="77777777" w:rsidR="007854AB" w:rsidRPr="00005453" w:rsidRDefault="007854AB" w:rsidP="007854AB">
            <w:pPr>
              <w:spacing w:line="305" w:lineRule="atLeast"/>
              <w:jc w:val="right"/>
              <w:rPr>
                <w:sz w:val="16"/>
                <w:szCs w:val="16"/>
                <w:lang w:eastAsia="tr-TR"/>
              </w:rPr>
            </w:pPr>
          </w:p>
        </w:tc>
        <w:tc>
          <w:tcPr>
            <w:tcW w:w="3636"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B8723AE"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70A819"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562840" w:rsidRPr="00005453" w14:paraId="303DB342" w14:textId="77777777" w:rsidTr="0056284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AF32A0C" w14:textId="77777777" w:rsidR="00562840" w:rsidRPr="00005453" w:rsidRDefault="00562840" w:rsidP="00562840">
            <w:pPr>
              <w:spacing w:line="305" w:lineRule="atLeast"/>
              <w:rPr>
                <w:sz w:val="16"/>
                <w:szCs w:val="16"/>
                <w:lang w:eastAsia="tr-TR"/>
              </w:rPr>
            </w:pPr>
            <w:r w:rsidRPr="00005453">
              <w:rPr>
                <w:sz w:val="16"/>
                <w:szCs w:val="16"/>
                <w:lang w:eastAsia="tr-TR"/>
              </w:rPr>
              <w:t>29</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DA0ECB1" w14:textId="77777777" w:rsidR="00562840" w:rsidRPr="00005453" w:rsidRDefault="00562840" w:rsidP="00562840">
            <w:pPr>
              <w:spacing w:line="305" w:lineRule="atLeast"/>
              <w:ind w:left="317"/>
              <w:rPr>
                <w:sz w:val="16"/>
                <w:szCs w:val="16"/>
                <w:lang w:eastAsia="tr-TR"/>
              </w:rPr>
            </w:pPr>
            <w:r w:rsidRPr="00005453">
              <w:rPr>
                <w:color w:val="000000"/>
                <w:sz w:val="16"/>
                <w:szCs w:val="16"/>
                <w:lang w:eastAsia="tr-TR"/>
              </w:rPr>
              <w:t>Türev varlıklar</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A53670" w14:textId="77777777" w:rsidR="00562840" w:rsidRPr="00005453" w:rsidRDefault="00562840" w:rsidP="00562840">
            <w:pPr>
              <w:spacing w:line="305" w:lineRule="atLeast"/>
              <w:jc w:val="right"/>
              <w:rPr>
                <w:sz w:val="16"/>
                <w:szCs w:val="16"/>
                <w:lang w:eastAsia="tr-TR"/>
              </w:rPr>
            </w:pPr>
          </w:p>
        </w:tc>
        <w:tc>
          <w:tcPr>
            <w:tcW w:w="3636"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265582" w14:textId="514A522E" w:rsidR="00562840" w:rsidRPr="00005453" w:rsidRDefault="00562840" w:rsidP="00562840">
            <w:pPr>
              <w:jc w:val="right"/>
              <w:rPr>
                <w:color w:val="000000"/>
                <w:sz w:val="16"/>
                <w:szCs w:val="16"/>
              </w:rPr>
            </w:pPr>
            <w:r w:rsidRPr="00005453">
              <w:rPr>
                <w:color w:val="000000"/>
                <w:sz w:val="16"/>
                <w:szCs w:val="22"/>
              </w:rPr>
              <w:t>1,139,255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AB2881" w14:textId="42ECF249" w:rsidR="00562840" w:rsidRPr="00005453" w:rsidRDefault="00562840" w:rsidP="00562840">
            <w:pPr>
              <w:jc w:val="right"/>
              <w:rPr>
                <w:color w:val="000000"/>
                <w:sz w:val="16"/>
                <w:szCs w:val="16"/>
              </w:rPr>
            </w:pPr>
            <w:r w:rsidRPr="00005453">
              <w:rPr>
                <w:color w:val="000000"/>
                <w:sz w:val="16"/>
                <w:szCs w:val="22"/>
              </w:rPr>
              <w:t>1,139,255</w:t>
            </w:r>
          </w:p>
        </w:tc>
      </w:tr>
      <w:tr w:rsidR="00562840" w:rsidRPr="00005453" w14:paraId="44187897" w14:textId="77777777" w:rsidTr="00562840">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A12AF03" w14:textId="77777777" w:rsidR="00562840" w:rsidRPr="00005453" w:rsidRDefault="00562840" w:rsidP="00562840">
            <w:pPr>
              <w:spacing w:line="305" w:lineRule="atLeast"/>
              <w:rPr>
                <w:sz w:val="16"/>
                <w:szCs w:val="16"/>
                <w:lang w:eastAsia="tr-TR"/>
              </w:rPr>
            </w:pPr>
            <w:r w:rsidRPr="00005453">
              <w:rPr>
                <w:sz w:val="16"/>
                <w:szCs w:val="16"/>
                <w:lang w:eastAsia="tr-TR"/>
              </w:rPr>
              <w:t>30</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9D0DD3B" w14:textId="77777777" w:rsidR="00562840" w:rsidRPr="00005453" w:rsidRDefault="00562840" w:rsidP="00562840">
            <w:pPr>
              <w:spacing w:line="305" w:lineRule="atLeast"/>
              <w:ind w:left="317"/>
              <w:rPr>
                <w:sz w:val="16"/>
                <w:szCs w:val="16"/>
                <w:lang w:eastAsia="tr-TR"/>
              </w:rPr>
            </w:pPr>
            <w:r w:rsidRPr="00005453">
              <w:rPr>
                <w:sz w:val="16"/>
                <w:szCs w:val="16"/>
                <w:lang w:eastAsia="tr-TR"/>
              </w:rPr>
              <w:t>Türev yükümlülüklerin değişim teminatı düşülmeden önceki tutarı</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CC403C9" w14:textId="77777777" w:rsidR="00562840" w:rsidRPr="00005453" w:rsidRDefault="00562840" w:rsidP="00562840">
            <w:pPr>
              <w:spacing w:line="305" w:lineRule="atLeast"/>
              <w:jc w:val="right"/>
              <w:rPr>
                <w:sz w:val="16"/>
                <w:szCs w:val="16"/>
                <w:lang w:eastAsia="tr-TR"/>
              </w:rPr>
            </w:pPr>
          </w:p>
        </w:tc>
        <w:tc>
          <w:tcPr>
            <w:tcW w:w="3636"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D230AE" w14:textId="04EA6E07" w:rsidR="00562840" w:rsidRPr="00005453" w:rsidRDefault="00562840" w:rsidP="00562840">
            <w:pPr>
              <w:jc w:val="right"/>
              <w:rPr>
                <w:color w:val="000000"/>
                <w:sz w:val="16"/>
                <w:szCs w:val="16"/>
              </w:rPr>
            </w:pPr>
            <w:r w:rsidRPr="00005453">
              <w:rPr>
                <w:color w:val="000000"/>
                <w:sz w:val="16"/>
                <w:szCs w:val="22"/>
              </w:rPr>
              <w:t>30,158,115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A24406" w14:textId="79B8FC29" w:rsidR="00562840" w:rsidRPr="00005453" w:rsidRDefault="00562840" w:rsidP="00562840">
            <w:pPr>
              <w:jc w:val="right"/>
              <w:rPr>
                <w:color w:val="000000"/>
                <w:sz w:val="16"/>
                <w:szCs w:val="16"/>
              </w:rPr>
            </w:pPr>
            <w:r w:rsidRPr="00005453">
              <w:rPr>
                <w:color w:val="000000"/>
                <w:sz w:val="16"/>
                <w:szCs w:val="22"/>
              </w:rPr>
              <w:t>30,158,115</w:t>
            </w:r>
          </w:p>
        </w:tc>
      </w:tr>
      <w:tr w:rsidR="00562840" w:rsidRPr="00005453" w14:paraId="32FC3B0D" w14:textId="77777777" w:rsidTr="00562840">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9D70D99" w14:textId="77777777" w:rsidR="00562840" w:rsidRPr="00005453" w:rsidRDefault="00562840" w:rsidP="00562840">
            <w:pPr>
              <w:spacing w:line="305" w:lineRule="atLeast"/>
              <w:rPr>
                <w:sz w:val="16"/>
                <w:szCs w:val="16"/>
                <w:lang w:eastAsia="tr-TR"/>
              </w:rPr>
            </w:pPr>
            <w:r w:rsidRPr="00005453">
              <w:rPr>
                <w:sz w:val="16"/>
                <w:szCs w:val="16"/>
                <w:lang w:eastAsia="tr-TR"/>
              </w:rPr>
              <w:t>31</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A319121" w14:textId="77777777" w:rsidR="00562840" w:rsidRPr="00005453" w:rsidRDefault="00562840" w:rsidP="00562840">
            <w:pPr>
              <w:spacing w:line="305" w:lineRule="atLeast"/>
              <w:ind w:left="317"/>
              <w:rPr>
                <w:sz w:val="16"/>
                <w:szCs w:val="16"/>
                <w:lang w:eastAsia="tr-TR"/>
              </w:rPr>
            </w:pPr>
            <w:r w:rsidRPr="00005453">
              <w:rPr>
                <w:color w:val="000000"/>
                <w:sz w:val="16"/>
                <w:szCs w:val="16"/>
                <w:lang w:eastAsia="tr-TR"/>
              </w:rPr>
              <w:t>Yukarıda yer almayan diğer varlıklar</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A998437" w14:textId="3226C4AC" w:rsidR="00562840" w:rsidRPr="00005453" w:rsidRDefault="00562840" w:rsidP="00562840">
            <w:pPr>
              <w:jc w:val="right"/>
              <w:rPr>
                <w:color w:val="000000"/>
                <w:sz w:val="16"/>
                <w:szCs w:val="16"/>
              </w:rPr>
            </w:pPr>
            <w:r w:rsidRPr="00005453">
              <w:rPr>
                <w:color w:val="000000"/>
                <w:sz w:val="16"/>
                <w:szCs w:val="22"/>
              </w:rPr>
              <w:t>115,326,269</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E721B08" w14:textId="6EAF09B4" w:rsidR="00562840" w:rsidRPr="00005453" w:rsidRDefault="00562840" w:rsidP="00562840">
            <w:pPr>
              <w:jc w:val="right"/>
              <w:rPr>
                <w:color w:val="000000"/>
                <w:sz w:val="16"/>
                <w:szCs w:val="16"/>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A83CEB6" w14:textId="3B28D337" w:rsidR="00562840" w:rsidRPr="00005453" w:rsidRDefault="00562840" w:rsidP="00562840">
            <w:pPr>
              <w:jc w:val="right"/>
              <w:rPr>
                <w:color w:val="000000"/>
                <w:sz w:val="16"/>
                <w:szCs w:val="16"/>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D9DD690" w14:textId="14990C8B" w:rsidR="00562840" w:rsidRPr="00005453" w:rsidRDefault="00562840" w:rsidP="00562840">
            <w:pPr>
              <w:jc w:val="right"/>
              <w:rPr>
                <w:color w:val="000000"/>
                <w:sz w:val="16"/>
                <w:szCs w:val="16"/>
              </w:rPr>
            </w:pPr>
            <w:r w:rsidRPr="00005453">
              <w:rPr>
                <w:color w:val="000000"/>
                <w:sz w:val="16"/>
                <w:szCs w:val="22"/>
              </w:rPr>
              <w:t>31,802,594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3D1FDD" w14:textId="12A0C8E5" w:rsidR="00562840" w:rsidRPr="00005453" w:rsidRDefault="00562840" w:rsidP="00562840">
            <w:pPr>
              <w:jc w:val="right"/>
              <w:rPr>
                <w:color w:val="000000"/>
                <w:sz w:val="16"/>
                <w:szCs w:val="16"/>
              </w:rPr>
            </w:pPr>
            <w:r w:rsidRPr="00005453">
              <w:rPr>
                <w:color w:val="000000"/>
                <w:sz w:val="16"/>
                <w:szCs w:val="22"/>
              </w:rPr>
              <w:t>115,326,269</w:t>
            </w:r>
          </w:p>
        </w:tc>
      </w:tr>
      <w:tr w:rsidR="00562840" w:rsidRPr="00005453" w14:paraId="26520DC1" w14:textId="77777777" w:rsidTr="0056284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1722C6E" w14:textId="77777777" w:rsidR="00562840" w:rsidRPr="00005453" w:rsidRDefault="00562840" w:rsidP="00562840">
            <w:pPr>
              <w:spacing w:line="305" w:lineRule="atLeast"/>
              <w:rPr>
                <w:sz w:val="16"/>
                <w:szCs w:val="16"/>
                <w:lang w:eastAsia="tr-TR"/>
              </w:rPr>
            </w:pPr>
            <w:r w:rsidRPr="00005453">
              <w:rPr>
                <w:sz w:val="16"/>
                <w:szCs w:val="16"/>
                <w:lang w:eastAsia="tr-TR"/>
              </w:rPr>
              <w:t>32</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1F2F1B" w14:textId="77777777" w:rsidR="00562840" w:rsidRPr="00005453" w:rsidRDefault="00562840" w:rsidP="00562840">
            <w:pPr>
              <w:spacing w:line="305" w:lineRule="atLeast"/>
              <w:rPr>
                <w:sz w:val="16"/>
                <w:szCs w:val="16"/>
                <w:lang w:eastAsia="tr-TR"/>
              </w:rPr>
            </w:pPr>
            <w:r w:rsidRPr="00005453">
              <w:rPr>
                <w:sz w:val="16"/>
                <w:szCs w:val="16"/>
                <w:lang w:eastAsia="tr-TR"/>
              </w:rPr>
              <w:t>Bilanço dışı borçlar</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B5F1306" w14:textId="77777777" w:rsidR="00562840" w:rsidRPr="00005453" w:rsidRDefault="00562840" w:rsidP="0056284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699C75" w14:textId="716EB928" w:rsidR="00562840" w:rsidRPr="00005453" w:rsidRDefault="00562840" w:rsidP="00562840">
            <w:pPr>
              <w:jc w:val="right"/>
              <w:rPr>
                <w:color w:val="000000"/>
                <w:sz w:val="16"/>
                <w:szCs w:val="16"/>
              </w:rPr>
            </w:pPr>
            <w:r w:rsidRPr="00005453">
              <w:rPr>
                <w:color w:val="000000"/>
                <w:sz w:val="16"/>
                <w:szCs w:val="22"/>
              </w:rPr>
              <w:t>99,136,640</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A3EEB9" w14:textId="1872A32E" w:rsidR="00562840" w:rsidRPr="00005453" w:rsidRDefault="00562840" w:rsidP="00562840">
            <w:pPr>
              <w:jc w:val="right"/>
              <w:rPr>
                <w:color w:val="000000"/>
                <w:sz w:val="16"/>
                <w:szCs w:val="16"/>
              </w:rPr>
            </w:pPr>
            <w:r w:rsidRPr="00005453">
              <w:rPr>
                <w:color w:val="000000"/>
                <w:sz w:val="16"/>
                <w:szCs w:val="22"/>
              </w:rPr>
              <w:t>-</w:t>
            </w:r>
          </w:p>
        </w:tc>
        <w:tc>
          <w:tcPr>
            <w:tcW w:w="113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0A0E37" w14:textId="4F5CA518" w:rsidR="00562840" w:rsidRPr="00005453" w:rsidRDefault="00562840" w:rsidP="00562840">
            <w:pPr>
              <w:jc w:val="right"/>
              <w:rPr>
                <w:color w:val="000000"/>
                <w:sz w:val="16"/>
                <w:szCs w:val="16"/>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D03A1C" w14:textId="332B8FDA" w:rsidR="00562840" w:rsidRPr="00005453" w:rsidRDefault="00562840" w:rsidP="00562840">
            <w:pPr>
              <w:jc w:val="right"/>
              <w:rPr>
                <w:color w:val="000000"/>
                <w:sz w:val="16"/>
                <w:szCs w:val="16"/>
              </w:rPr>
            </w:pPr>
            <w:r w:rsidRPr="00005453">
              <w:rPr>
                <w:color w:val="000000"/>
                <w:sz w:val="16"/>
                <w:szCs w:val="22"/>
              </w:rPr>
              <w:t>4,956,830</w:t>
            </w:r>
          </w:p>
        </w:tc>
      </w:tr>
      <w:tr w:rsidR="00562840" w:rsidRPr="00005453" w14:paraId="764E622E" w14:textId="77777777" w:rsidTr="00562840">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4E666D4" w14:textId="77777777" w:rsidR="00562840" w:rsidRPr="00005453" w:rsidRDefault="00562840" w:rsidP="00562840">
            <w:pPr>
              <w:spacing w:line="305" w:lineRule="atLeast"/>
              <w:rPr>
                <w:sz w:val="16"/>
                <w:szCs w:val="16"/>
                <w:lang w:eastAsia="tr-TR"/>
              </w:rPr>
            </w:pPr>
            <w:r w:rsidRPr="00005453">
              <w:rPr>
                <w:sz w:val="16"/>
                <w:szCs w:val="16"/>
                <w:lang w:eastAsia="tr-TR"/>
              </w:rPr>
              <w:t>33</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60391F6" w14:textId="77777777" w:rsidR="00562840" w:rsidRPr="00005453" w:rsidRDefault="00562840" w:rsidP="00562840">
            <w:pPr>
              <w:spacing w:line="305" w:lineRule="atLeast"/>
              <w:rPr>
                <w:sz w:val="16"/>
                <w:szCs w:val="16"/>
                <w:lang w:eastAsia="tr-TR"/>
              </w:rPr>
            </w:pPr>
            <w:r w:rsidRPr="00005453">
              <w:rPr>
                <w:b/>
                <w:bCs/>
                <w:sz w:val="16"/>
                <w:szCs w:val="16"/>
                <w:lang w:eastAsia="tr-TR"/>
              </w:rPr>
              <w:t>Gerekli İstikrarlı Fon</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2032DA8" w14:textId="77777777" w:rsidR="00562840" w:rsidRPr="00005453" w:rsidRDefault="00562840" w:rsidP="0056284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FB7513" w14:textId="77777777" w:rsidR="00562840" w:rsidRPr="00005453" w:rsidRDefault="00562840" w:rsidP="0056284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FC73B15" w14:textId="77777777" w:rsidR="00562840" w:rsidRPr="00005453" w:rsidRDefault="00562840" w:rsidP="00562840">
            <w:pPr>
              <w:spacing w:line="305" w:lineRule="atLeast"/>
              <w:jc w:val="right"/>
              <w:rPr>
                <w:sz w:val="16"/>
                <w:szCs w:val="16"/>
                <w:lang w:eastAsia="tr-TR"/>
              </w:rPr>
            </w:pPr>
          </w:p>
        </w:tc>
        <w:tc>
          <w:tcPr>
            <w:tcW w:w="1137"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9328505" w14:textId="77777777" w:rsidR="00562840" w:rsidRPr="00005453" w:rsidRDefault="00562840" w:rsidP="0056284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225FC57" w14:textId="4352D2E7" w:rsidR="00562840" w:rsidRPr="00005453" w:rsidRDefault="00562840" w:rsidP="00562840">
            <w:pPr>
              <w:jc w:val="right"/>
              <w:rPr>
                <w:b/>
                <w:color w:val="000000"/>
                <w:sz w:val="16"/>
                <w:szCs w:val="16"/>
              </w:rPr>
            </w:pPr>
            <w:r w:rsidRPr="00005453">
              <w:rPr>
                <w:b/>
                <w:color w:val="000000"/>
                <w:sz w:val="16"/>
                <w:szCs w:val="22"/>
              </w:rPr>
              <w:t>491,584,420</w:t>
            </w:r>
          </w:p>
        </w:tc>
      </w:tr>
      <w:tr w:rsidR="00562840" w:rsidRPr="00005453" w14:paraId="0F6FBCD8" w14:textId="77777777" w:rsidTr="00562840">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81970FA" w14:textId="77777777" w:rsidR="00562840" w:rsidRPr="00005453" w:rsidRDefault="00562840" w:rsidP="00562840">
            <w:pPr>
              <w:spacing w:line="305" w:lineRule="atLeast"/>
              <w:rPr>
                <w:sz w:val="16"/>
                <w:szCs w:val="16"/>
                <w:lang w:eastAsia="tr-TR"/>
              </w:rPr>
            </w:pPr>
            <w:r w:rsidRPr="00005453">
              <w:rPr>
                <w:sz w:val="16"/>
                <w:szCs w:val="16"/>
                <w:lang w:eastAsia="tr-TR"/>
              </w:rPr>
              <w:t>34</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31000CF" w14:textId="77777777" w:rsidR="00562840" w:rsidRPr="00005453" w:rsidRDefault="00562840" w:rsidP="00562840">
            <w:pPr>
              <w:spacing w:line="305" w:lineRule="atLeast"/>
              <w:rPr>
                <w:sz w:val="16"/>
                <w:szCs w:val="16"/>
                <w:lang w:eastAsia="tr-TR"/>
              </w:rPr>
            </w:pPr>
            <w:r w:rsidRPr="00005453">
              <w:rPr>
                <w:b/>
                <w:bCs/>
                <w:sz w:val="16"/>
                <w:szCs w:val="16"/>
                <w:lang w:eastAsia="tr-TR"/>
              </w:rPr>
              <w:t>Net İstikrarlı Fonlama Oranı (%)</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FBE4CE" w14:textId="77777777" w:rsidR="00562840" w:rsidRPr="00005453" w:rsidRDefault="00562840" w:rsidP="0056284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585AA58" w14:textId="77777777" w:rsidR="00562840" w:rsidRPr="00005453" w:rsidRDefault="00562840" w:rsidP="00562840">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E4E74F" w14:textId="77777777" w:rsidR="00562840" w:rsidRPr="00005453" w:rsidRDefault="00562840" w:rsidP="00562840">
            <w:pPr>
              <w:spacing w:line="305" w:lineRule="atLeast"/>
              <w:jc w:val="right"/>
              <w:rPr>
                <w:sz w:val="16"/>
                <w:szCs w:val="16"/>
                <w:lang w:eastAsia="tr-TR"/>
              </w:rPr>
            </w:pPr>
          </w:p>
        </w:tc>
        <w:tc>
          <w:tcPr>
            <w:tcW w:w="1137"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8A8690" w14:textId="77777777" w:rsidR="00562840" w:rsidRPr="00005453" w:rsidRDefault="00562840" w:rsidP="00562840">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058F305" w14:textId="36931C1B" w:rsidR="00562840" w:rsidRPr="00005453" w:rsidRDefault="00562840" w:rsidP="00562840">
            <w:pPr>
              <w:jc w:val="right"/>
              <w:rPr>
                <w:b/>
                <w:color w:val="000000"/>
                <w:sz w:val="16"/>
                <w:szCs w:val="16"/>
              </w:rPr>
            </w:pPr>
            <w:r w:rsidRPr="00005453">
              <w:rPr>
                <w:b/>
                <w:color w:val="000000"/>
                <w:sz w:val="16"/>
                <w:szCs w:val="22"/>
              </w:rPr>
              <w:t>132.85</w:t>
            </w:r>
          </w:p>
        </w:tc>
      </w:tr>
    </w:tbl>
    <w:p w14:paraId="4CAC5C85" w14:textId="77777777" w:rsidR="007854AB" w:rsidRPr="00005453" w:rsidRDefault="007854AB" w:rsidP="007854AB">
      <w:pPr>
        <w:pStyle w:val="BodyText"/>
        <w:rPr>
          <w:rFonts w:eastAsia="Arial Unicode MS"/>
          <w:sz w:val="14"/>
          <w:szCs w:val="14"/>
        </w:rPr>
      </w:pPr>
    </w:p>
    <w:p w14:paraId="0B66410C" w14:textId="77777777" w:rsidR="007854AB" w:rsidRPr="00005453" w:rsidRDefault="007854AB" w:rsidP="007854AB">
      <w:pPr>
        <w:pStyle w:val="BodyText"/>
        <w:ind w:hanging="567"/>
        <w:rPr>
          <w:rFonts w:eastAsia="Arial Unicode MS"/>
          <w:sz w:val="14"/>
          <w:szCs w:val="14"/>
        </w:rPr>
      </w:pPr>
    </w:p>
    <w:p w14:paraId="6CDA1DF5" w14:textId="77777777" w:rsidR="007854AB" w:rsidRPr="00005453" w:rsidRDefault="007854AB" w:rsidP="007854AB">
      <w:pPr>
        <w:pStyle w:val="BodyText"/>
        <w:ind w:hanging="567"/>
        <w:rPr>
          <w:rFonts w:eastAsia="Arial Unicode MS"/>
          <w:sz w:val="14"/>
          <w:szCs w:val="14"/>
        </w:rPr>
      </w:pPr>
    </w:p>
    <w:p w14:paraId="06BC2D7A" w14:textId="77777777" w:rsidR="007854AB" w:rsidRPr="00005453" w:rsidRDefault="007854AB" w:rsidP="007854AB">
      <w:pPr>
        <w:pStyle w:val="BodyText"/>
        <w:ind w:hanging="567"/>
        <w:rPr>
          <w:rFonts w:eastAsia="Arial Unicode MS"/>
          <w:sz w:val="14"/>
          <w:szCs w:val="14"/>
        </w:rPr>
      </w:pPr>
    </w:p>
    <w:p w14:paraId="7C296354" w14:textId="77777777" w:rsidR="007854AB" w:rsidRPr="00005453" w:rsidRDefault="007854AB" w:rsidP="007854AB">
      <w:pPr>
        <w:pStyle w:val="BodyText"/>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7854AB" w:rsidRPr="00005453" w14:paraId="4017ED70" w14:textId="77777777" w:rsidTr="007854AB">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D48EB1" w14:textId="77777777" w:rsidR="007854AB" w:rsidRPr="00005453" w:rsidRDefault="007854AB" w:rsidP="007854AB">
            <w:pPr>
              <w:spacing w:line="305" w:lineRule="atLeast"/>
              <w:jc w:val="center"/>
              <w:rPr>
                <w:b/>
                <w:sz w:val="16"/>
                <w:szCs w:val="16"/>
                <w:lang w:eastAsia="tr-TR"/>
              </w:rPr>
            </w:pPr>
            <w:r w:rsidRPr="00005453">
              <w:rPr>
                <w:b/>
                <w:sz w:val="16"/>
                <w:szCs w:val="16"/>
                <w:lang w:eastAsia="tr-TR"/>
              </w:rPr>
              <w:lastRenderedPageBreak/>
              <w:t>Önceki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72FBD6"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340AED"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93D2D4"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0BF9B6"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ç</w:t>
            </w:r>
            <w:proofErr w:type="gramEnd"/>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77B999" w14:textId="77777777" w:rsidR="007854AB" w:rsidRPr="00005453" w:rsidRDefault="007854AB" w:rsidP="007854AB">
            <w:pPr>
              <w:spacing w:line="305" w:lineRule="atLeast"/>
              <w:jc w:val="center"/>
              <w:rPr>
                <w:sz w:val="16"/>
                <w:szCs w:val="16"/>
                <w:lang w:eastAsia="tr-TR"/>
              </w:rPr>
            </w:pPr>
            <w:proofErr w:type="gramStart"/>
            <w:r w:rsidRPr="00005453">
              <w:rPr>
                <w:sz w:val="16"/>
                <w:szCs w:val="16"/>
                <w:lang w:eastAsia="tr-TR"/>
              </w:rPr>
              <w:t>d</w:t>
            </w:r>
            <w:proofErr w:type="gramEnd"/>
          </w:p>
        </w:tc>
      </w:tr>
      <w:tr w:rsidR="007854AB" w:rsidRPr="00005453" w14:paraId="505374F1" w14:textId="77777777" w:rsidTr="007854AB">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FCA6C5" w14:textId="77777777" w:rsidR="007854AB" w:rsidRPr="00005453" w:rsidRDefault="007854AB" w:rsidP="007854AB">
            <w:pPr>
              <w:spacing w:line="305" w:lineRule="atLeast"/>
              <w:ind w:left="873" w:firstLine="141"/>
              <w:rPr>
                <w:sz w:val="16"/>
                <w:szCs w:val="16"/>
                <w:lang w:eastAsia="tr-TR"/>
              </w:rPr>
            </w:pPr>
            <w:r w:rsidRPr="00005453">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796BF8A" w14:textId="77777777" w:rsidR="007854AB" w:rsidRPr="00005453" w:rsidRDefault="007854AB" w:rsidP="007854AB">
            <w:pPr>
              <w:spacing w:line="305" w:lineRule="atLeast"/>
              <w:jc w:val="center"/>
              <w:rPr>
                <w:sz w:val="16"/>
                <w:szCs w:val="16"/>
                <w:lang w:eastAsia="tr-TR"/>
              </w:rPr>
            </w:pPr>
            <w:r w:rsidRPr="00005453">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3EE13B" w14:textId="77777777" w:rsidR="007854AB" w:rsidRPr="00005453" w:rsidRDefault="007854AB" w:rsidP="007854AB">
            <w:pPr>
              <w:spacing w:line="305" w:lineRule="atLeast"/>
              <w:jc w:val="center"/>
              <w:rPr>
                <w:sz w:val="16"/>
                <w:szCs w:val="16"/>
                <w:lang w:eastAsia="tr-TR"/>
              </w:rPr>
            </w:pPr>
            <w:r w:rsidRPr="00005453">
              <w:rPr>
                <w:color w:val="000000"/>
                <w:sz w:val="16"/>
                <w:szCs w:val="16"/>
                <w:lang w:eastAsia="tr-TR"/>
              </w:rPr>
              <w:t>Dikkate Alma Oranı Uygulanmış Toplam Tutar</w:t>
            </w:r>
          </w:p>
        </w:tc>
      </w:tr>
      <w:tr w:rsidR="007854AB" w:rsidRPr="00005453" w14:paraId="248F4182" w14:textId="77777777" w:rsidTr="007854AB">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BA1998" w14:textId="77777777" w:rsidR="007854AB" w:rsidRPr="00005453" w:rsidRDefault="007854AB" w:rsidP="007854AB">
            <w:pPr>
              <w:spacing w:line="305" w:lineRule="atLeast"/>
              <w:rPr>
                <w:sz w:val="16"/>
                <w:szCs w:val="16"/>
                <w:lang w:eastAsia="tr-TR"/>
              </w:rPr>
            </w:pPr>
            <w:r w:rsidRPr="00005453">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74A01A" w14:textId="77777777" w:rsidR="007854AB" w:rsidRPr="00005453" w:rsidRDefault="007854AB" w:rsidP="007854AB">
            <w:pPr>
              <w:spacing w:line="305" w:lineRule="atLeast"/>
              <w:jc w:val="center"/>
              <w:rPr>
                <w:sz w:val="16"/>
                <w:szCs w:val="16"/>
                <w:lang w:eastAsia="tr-TR"/>
              </w:rPr>
            </w:pPr>
            <w:r w:rsidRPr="00005453">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2EF503" w14:textId="77777777" w:rsidR="007854AB" w:rsidRPr="00005453" w:rsidRDefault="007854AB" w:rsidP="007854AB">
            <w:pPr>
              <w:spacing w:line="305" w:lineRule="atLeast"/>
              <w:jc w:val="center"/>
              <w:rPr>
                <w:sz w:val="16"/>
                <w:szCs w:val="16"/>
                <w:lang w:eastAsia="tr-TR"/>
              </w:rPr>
            </w:pPr>
            <w:r w:rsidRPr="00005453">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A5FC4" w14:textId="77777777" w:rsidR="007854AB" w:rsidRPr="00005453" w:rsidRDefault="007854AB" w:rsidP="007854AB">
            <w:pPr>
              <w:spacing w:line="305" w:lineRule="atLeast"/>
              <w:jc w:val="center"/>
              <w:rPr>
                <w:sz w:val="16"/>
                <w:szCs w:val="16"/>
                <w:lang w:eastAsia="tr-TR"/>
              </w:rPr>
            </w:pPr>
            <w:r w:rsidRPr="00005453">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B8965A" w14:textId="77777777" w:rsidR="007854AB" w:rsidRPr="00005453" w:rsidRDefault="007854AB" w:rsidP="007854AB">
            <w:pPr>
              <w:spacing w:line="305" w:lineRule="atLeast"/>
              <w:jc w:val="center"/>
              <w:rPr>
                <w:sz w:val="16"/>
                <w:szCs w:val="16"/>
                <w:lang w:eastAsia="tr-TR"/>
              </w:rPr>
            </w:pPr>
            <w:r w:rsidRPr="00005453">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186CE4B9" w14:textId="77777777" w:rsidR="007854AB" w:rsidRPr="00005453" w:rsidRDefault="007854AB" w:rsidP="007854AB">
            <w:pPr>
              <w:spacing w:line="305" w:lineRule="atLeast"/>
              <w:rPr>
                <w:sz w:val="16"/>
                <w:szCs w:val="16"/>
                <w:lang w:eastAsia="tr-TR"/>
              </w:rPr>
            </w:pPr>
          </w:p>
        </w:tc>
      </w:tr>
      <w:tr w:rsidR="007854AB" w:rsidRPr="00005453" w14:paraId="2006A940" w14:textId="77777777" w:rsidTr="007854AB">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6D0E9D3" w14:textId="77777777" w:rsidR="007854AB" w:rsidRPr="00005453" w:rsidRDefault="007854AB" w:rsidP="007854AB">
            <w:pPr>
              <w:spacing w:line="305" w:lineRule="atLeast"/>
              <w:jc w:val="center"/>
              <w:rPr>
                <w:sz w:val="16"/>
                <w:szCs w:val="16"/>
                <w:lang w:eastAsia="tr-TR"/>
              </w:rPr>
            </w:pPr>
            <w:r w:rsidRPr="00005453">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7A71613" w14:textId="77777777" w:rsidR="007854AB" w:rsidRPr="00005453" w:rsidRDefault="007854AB" w:rsidP="007854AB">
            <w:pPr>
              <w:spacing w:line="305" w:lineRule="atLeast"/>
              <w:rPr>
                <w:sz w:val="16"/>
                <w:szCs w:val="16"/>
                <w:lang w:eastAsia="tr-TR"/>
              </w:rPr>
            </w:pPr>
            <w:r w:rsidRPr="00005453">
              <w:rPr>
                <w:sz w:val="16"/>
                <w:szCs w:val="16"/>
                <w:lang w:eastAsia="tr-TR"/>
              </w:rPr>
              <w:t> </w:t>
            </w:r>
          </w:p>
        </w:tc>
      </w:tr>
      <w:tr w:rsidR="007854AB" w:rsidRPr="00005453" w14:paraId="2A70C857"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97C7A1" w14:textId="77777777" w:rsidR="007854AB" w:rsidRPr="00005453" w:rsidRDefault="007854AB" w:rsidP="007854AB">
            <w:pPr>
              <w:spacing w:line="305" w:lineRule="atLeast"/>
              <w:rPr>
                <w:sz w:val="16"/>
                <w:szCs w:val="16"/>
                <w:lang w:eastAsia="tr-TR"/>
              </w:rPr>
            </w:pPr>
            <w:r w:rsidRPr="00005453">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D23AFC" w14:textId="77777777" w:rsidR="007854AB" w:rsidRPr="00005453" w:rsidRDefault="007854AB" w:rsidP="007854AB">
            <w:pPr>
              <w:spacing w:line="305" w:lineRule="atLeast"/>
              <w:rPr>
                <w:sz w:val="16"/>
                <w:szCs w:val="16"/>
                <w:lang w:eastAsia="tr-TR"/>
              </w:rPr>
            </w:pPr>
            <w:r w:rsidRPr="00005453">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2DCB08" w14:textId="77777777" w:rsidR="007854AB" w:rsidRPr="00005453" w:rsidRDefault="007854AB" w:rsidP="007854AB">
            <w:pPr>
              <w:spacing w:line="305" w:lineRule="atLeast"/>
              <w:jc w:val="right"/>
              <w:rPr>
                <w:sz w:val="16"/>
                <w:szCs w:val="16"/>
                <w:lang w:eastAsia="tr-TR"/>
              </w:rPr>
            </w:pPr>
            <w:r w:rsidRPr="00005453">
              <w:rPr>
                <w:color w:val="000000"/>
                <w:sz w:val="16"/>
                <w:szCs w:val="22"/>
              </w:rPr>
              <w:t>65,445,120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D2EAEB"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8AFA56"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B27B39"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2E2C92" w14:textId="77777777" w:rsidR="007854AB" w:rsidRPr="00005453" w:rsidRDefault="007854AB" w:rsidP="007854AB">
            <w:pPr>
              <w:spacing w:line="305" w:lineRule="atLeast"/>
              <w:jc w:val="right"/>
              <w:rPr>
                <w:sz w:val="16"/>
                <w:szCs w:val="16"/>
                <w:lang w:eastAsia="tr-TR"/>
              </w:rPr>
            </w:pPr>
            <w:r w:rsidRPr="00005453">
              <w:rPr>
                <w:color w:val="000000"/>
                <w:sz w:val="16"/>
                <w:szCs w:val="22"/>
              </w:rPr>
              <w:t>65,445,120</w:t>
            </w:r>
          </w:p>
        </w:tc>
      </w:tr>
      <w:tr w:rsidR="007854AB" w:rsidRPr="00005453" w14:paraId="5838D51A"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3C26947" w14:textId="77777777" w:rsidR="007854AB" w:rsidRPr="00005453" w:rsidRDefault="007854AB" w:rsidP="007854AB">
            <w:pPr>
              <w:spacing w:line="305" w:lineRule="atLeast"/>
              <w:rPr>
                <w:sz w:val="16"/>
                <w:szCs w:val="16"/>
                <w:lang w:eastAsia="tr-TR"/>
              </w:rPr>
            </w:pPr>
            <w:r w:rsidRPr="00005453">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4DA110"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28953E" w14:textId="77777777" w:rsidR="007854AB" w:rsidRPr="00005453" w:rsidRDefault="007854AB" w:rsidP="007854AB">
            <w:pPr>
              <w:spacing w:line="305" w:lineRule="atLeast"/>
              <w:jc w:val="right"/>
              <w:rPr>
                <w:sz w:val="16"/>
                <w:szCs w:val="16"/>
                <w:lang w:eastAsia="tr-TR"/>
              </w:rPr>
            </w:pPr>
            <w:r w:rsidRPr="00005453">
              <w:rPr>
                <w:color w:val="000000"/>
                <w:sz w:val="16"/>
                <w:szCs w:val="22"/>
              </w:rPr>
              <w:t>65,445,120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F2285E"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036482"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33A3B5"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1C3C0E" w14:textId="77777777" w:rsidR="007854AB" w:rsidRPr="00005453" w:rsidRDefault="007854AB" w:rsidP="007854AB">
            <w:pPr>
              <w:spacing w:line="305" w:lineRule="atLeast"/>
              <w:jc w:val="right"/>
              <w:rPr>
                <w:sz w:val="16"/>
                <w:szCs w:val="16"/>
                <w:lang w:eastAsia="tr-TR"/>
              </w:rPr>
            </w:pPr>
            <w:r w:rsidRPr="00005453">
              <w:rPr>
                <w:color w:val="000000"/>
                <w:sz w:val="16"/>
                <w:szCs w:val="22"/>
              </w:rPr>
              <w:t>65,445,120</w:t>
            </w:r>
          </w:p>
        </w:tc>
      </w:tr>
      <w:tr w:rsidR="007854AB" w:rsidRPr="00005453" w14:paraId="09A183A3"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54357E" w14:textId="77777777" w:rsidR="007854AB" w:rsidRPr="00005453" w:rsidRDefault="007854AB" w:rsidP="007854AB">
            <w:pPr>
              <w:spacing w:line="305" w:lineRule="atLeast"/>
              <w:rPr>
                <w:sz w:val="16"/>
                <w:szCs w:val="16"/>
                <w:lang w:eastAsia="tr-TR"/>
              </w:rPr>
            </w:pPr>
            <w:r w:rsidRPr="00005453">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94DD98"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05DA40"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928E69"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6E1EB8"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9D6B1C"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22EB16"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r>
      <w:tr w:rsidR="007854AB" w:rsidRPr="00005453" w14:paraId="3B3DF9D2" w14:textId="77777777" w:rsidTr="007854AB">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443B31F" w14:textId="77777777" w:rsidR="007854AB" w:rsidRPr="00005453" w:rsidRDefault="007854AB" w:rsidP="007854AB">
            <w:pPr>
              <w:spacing w:line="305" w:lineRule="atLeast"/>
              <w:rPr>
                <w:sz w:val="16"/>
                <w:szCs w:val="16"/>
                <w:lang w:eastAsia="tr-TR"/>
              </w:rPr>
            </w:pPr>
            <w:r w:rsidRPr="00005453">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3B7ADE" w14:textId="77777777" w:rsidR="007854AB" w:rsidRPr="00005453" w:rsidRDefault="007854AB" w:rsidP="007854AB">
            <w:pPr>
              <w:spacing w:line="305" w:lineRule="atLeast"/>
              <w:rPr>
                <w:sz w:val="16"/>
                <w:szCs w:val="16"/>
                <w:lang w:eastAsia="tr-TR"/>
              </w:rPr>
            </w:pPr>
            <w:r w:rsidRPr="00005453">
              <w:rPr>
                <w:sz w:val="16"/>
                <w:szCs w:val="16"/>
                <w:lang w:eastAsia="tr-TR"/>
              </w:rPr>
              <w:t>Gerçek kişi ve perakende müşteri mevduatı/</w:t>
            </w:r>
            <w:r w:rsidRPr="00005453">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E53883" w14:textId="77777777" w:rsidR="007854AB" w:rsidRPr="00005453" w:rsidRDefault="007854AB" w:rsidP="007854AB">
            <w:pPr>
              <w:jc w:val="right"/>
              <w:rPr>
                <w:color w:val="000000"/>
                <w:sz w:val="16"/>
                <w:szCs w:val="16"/>
              </w:rPr>
            </w:pPr>
            <w:r w:rsidRPr="00005453">
              <w:rPr>
                <w:color w:val="000000"/>
                <w:sz w:val="16"/>
                <w:szCs w:val="22"/>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B5FDB1" w14:textId="77777777" w:rsidR="007854AB" w:rsidRPr="00005453" w:rsidRDefault="007854AB" w:rsidP="007854AB">
            <w:pPr>
              <w:jc w:val="right"/>
              <w:rPr>
                <w:color w:val="000000"/>
                <w:sz w:val="16"/>
                <w:szCs w:val="16"/>
              </w:rPr>
            </w:pPr>
            <w:r w:rsidRPr="00005453">
              <w:rPr>
                <w:color w:val="000000"/>
                <w:sz w:val="16"/>
                <w:szCs w:val="22"/>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D22BC5" w14:textId="77777777" w:rsidR="007854AB" w:rsidRPr="00005453" w:rsidRDefault="007854AB" w:rsidP="007854AB">
            <w:pPr>
              <w:jc w:val="right"/>
              <w:rPr>
                <w:color w:val="000000"/>
                <w:sz w:val="16"/>
                <w:szCs w:val="16"/>
              </w:rPr>
            </w:pPr>
            <w:r w:rsidRPr="00005453">
              <w:rPr>
                <w:color w:val="000000"/>
                <w:sz w:val="16"/>
                <w:szCs w:val="22"/>
              </w:rPr>
              <w:t>9,578,288</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E5EE72" w14:textId="77777777" w:rsidR="007854AB" w:rsidRPr="00005453" w:rsidRDefault="007854AB" w:rsidP="007854AB">
            <w:pPr>
              <w:jc w:val="right"/>
              <w:rPr>
                <w:color w:val="000000"/>
                <w:sz w:val="16"/>
                <w:szCs w:val="16"/>
              </w:rPr>
            </w:pPr>
            <w:r w:rsidRPr="00005453">
              <w:rPr>
                <w:color w:val="000000"/>
                <w:sz w:val="16"/>
                <w:szCs w:val="22"/>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F96900" w14:textId="77777777" w:rsidR="007854AB" w:rsidRPr="00005453" w:rsidRDefault="007854AB" w:rsidP="007854AB">
            <w:pPr>
              <w:jc w:val="right"/>
              <w:rPr>
                <w:color w:val="000000"/>
                <w:sz w:val="16"/>
                <w:szCs w:val="16"/>
              </w:rPr>
            </w:pPr>
            <w:r w:rsidRPr="00005453">
              <w:rPr>
                <w:color w:val="000000"/>
                <w:sz w:val="16"/>
                <w:szCs w:val="22"/>
              </w:rPr>
              <w:t>443,134,248</w:t>
            </w:r>
          </w:p>
        </w:tc>
      </w:tr>
      <w:tr w:rsidR="007854AB" w:rsidRPr="00005453" w14:paraId="407C4D2F"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3A5B871" w14:textId="77777777" w:rsidR="007854AB" w:rsidRPr="00005453" w:rsidRDefault="007854AB" w:rsidP="007854AB">
            <w:pPr>
              <w:spacing w:line="305" w:lineRule="atLeast"/>
              <w:rPr>
                <w:sz w:val="16"/>
                <w:szCs w:val="16"/>
                <w:lang w:eastAsia="tr-TR"/>
              </w:rPr>
            </w:pPr>
            <w:r w:rsidRPr="00005453">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A1A803"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B73037" w14:textId="77777777" w:rsidR="007854AB" w:rsidRPr="00005453" w:rsidRDefault="007854AB" w:rsidP="007854AB">
            <w:pPr>
              <w:jc w:val="right"/>
              <w:rPr>
                <w:color w:val="000000"/>
                <w:sz w:val="16"/>
                <w:szCs w:val="16"/>
              </w:rPr>
            </w:pPr>
            <w:r w:rsidRPr="00005453">
              <w:rPr>
                <w:color w:val="000000"/>
                <w:sz w:val="16"/>
                <w:szCs w:val="22"/>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C17F81" w14:textId="77777777" w:rsidR="007854AB" w:rsidRPr="00005453" w:rsidRDefault="007854AB" w:rsidP="007854AB">
            <w:pPr>
              <w:jc w:val="right"/>
              <w:rPr>
                <w:color w:val="000000"/>
                <w:sz w:val="16"/>
                <w:szCs w:val="16"/>
              </w:rPr>
            </w:pPr>
            <w:r w:rsidRPr="00005453">
              <w:rPr>
                <w:color w:val="000000"/>
                <w:sz w:val="16"/>
                <w:szCs w:val="22"/>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454352" w14:textId="77777777" w:rsidR="007854AB" w:rsidRPr="00005453" w:rsidRDefault="007854AB" w:rsidP="007854AB">
            <w:pPr>
              <w:jc w:val="right"/>
              <w:rPr>
                <w:color w:val="000000"/>
                <w:sz w:val="16"/>
                <w:szCs w:val="16"/>
              </w:rPr>
            </w:pPr>
            <w:r w:rsidRPr="00005453">
              <w:rPr>
                <w:color w:val="000000"/>
                <w:sz w:val="16"/>
                <w:szCs w:val="22"/>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3450E4" w14:textId="77777777" w:rsidR="007854AB" w:rsidRPr="00005453" w:rsidRDefault="007854AB" w:rsidP="007854AB">
            <w:pPr>
              <w:jc w:val="right"/>
              <w:rPr>
                <w:color w:val="000000"/>
                <w:sz w:val="16"/>
                <w:szCs w:val="16"/>
              </w:rPr>
            </w:pPr>
            <w:r w:rsidRPr="00005453">
              <w:rPr>
                <w:color w:val="000000"/>
                <w:sz w:val="16"/>
                <w:szCs w:val="22"/>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102C33" w14:textId="77777777" w:rsidR="007854AB" w:rsidRPr="00005453" w:rsidRDefault="007854AB" w:rsidP="007854AB">
            <w:pPr>
              <w:jc w:val="right"/>
              <w:rPr>
                <w:color w:val="000000"/>
                <w:sz w:val="16"/>
                <w:szCs w:val="16"/>
              </w:rPr>
            </w:pPr>
            <w:r w:rsidRPr="00005453">
              <w:rPr>
                <w:color w:val="000000"/>
                <w:sz w:val="16"/>
                <w:szCs w:val="22"/>
              </w:rPr>
              <w:t>390,481,545</w:t>
            </w:r>
          </w:p>
        </w:tc>
      </w:tr>
      <w:tr w:rsidR="007854AB" w:rsidRPr="00005453" w14:paraId="1E3C4744" w14:textId="77777777" w:rsidTr="007854AB">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BA9E7CD" w14:textId="77777777" w:rsidR="007854AB" w:rsidRPr="00005453" w:rsidRDefault="007854AB" w:rsidP="007854AB">
            <w:pPr>
              <w:spacing w:line="305" w:lineRule="atLeast"/>
              <w:rPr>
                <w:sz w:val="16"/>
                <w:szCs w:val="16"/>
                <w:lang w:eastAsia="tr-TR"/>
              </w:rPr>
            </w:pPr>
            <w:r w:rsidRPr="00005453">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2E9A9C"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EE2551" w14:textId="77777777" w:rsidR="007854AB" w:rsidRPr="00005453" w:rsidRDefault="007854AB" w:rsidP="007854AB">
            <w:pPr>
              <w:jc w:val="right"/>
              <w:rPr>
                <w:color w:val="000000"/>
                <w:sz w:val="16"/>
                <w:szCs w:val="16"/>
              </w:rPr>
            </w:pPr>
            <w:r w:rsidRPr="00005453">
              <w:rPr>
                <w:color w:val="000000"/>
                <w:sz w:val="16"/>
                <w:szCs w:val="22"/>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1A7BAE" w14:textId="77777777" w:rsidR="007854AB" w:rsidRPr="00005453" w:rsidRDefault="007854AB" w:rsidP="007854AB">
            <w:pPr>
              <w:jc w:val="right"/>
              <w:rPr>
                <w:color w:val="000000"/>
                <w:sz w:val="16"/>
                <w:szCs w:val="16"/>
              </w:rPr>
            </w:pPr>
            <w:r w:rsidRPr="00005453">
              <w:rPr>
                <w:color w:val="000000"/>
                <w:sz w:val="16"/>
                <w:szCs w:val="22"/>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078139" w14:textId="77777777" w:rsidR="007854AB" w:rsidRPr="00005453" w:rsidRDefault="007854AB" w:rsidP="007854AB">
            <w:pPr>
              <w:jc w:val="right"/>
              <w:rPr>
                <w:color w:val="000000"/>
                <w:sz w:val="16"/>
                <w:szCs w:val="16"/>
              </w:rPr>
            </w:pPr>
            <w:r w:rsidRPr="00005453">
              <w:rPr>
                <w:color w:val="000000"/>
                <w:sz w:val="16"/>
                <w:szCs w:val="22"/>
              </w:rPr>
              <w:t>1,071,815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F55EB2" w14:textId="77777777" w:rsidR="007854AB" w:rsidRPr="00005453" w:rsidRDefault="007854AB" w:rsidP="007854AB">
            <w:pPr>
              <w:jc w:val="right"/>
              <w:rPr>
                <w:color w:val="000000"/>
                <w:sz w:val="16"/>
                <w:szCs w:val="16"/>
              </w:rPr>
            </w:pPr>
            <w:r w:rsidRPr="00005453">
              <w:rPr>
                <w:color w:val="000000"/>
                <w:sz w:val="16"/>
                <w:szCs w:val="22"/>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3E973A" w14:textId="77777777" w:rsidR="007854AB" w:rsidRPr="00005453" w:rsidRDefault="007854AB" w:rsidP="007854AB">
            <w:pPr>
              <w:jc w:val="right"/>
              <w:rPr>
                <w:color w:val="000000"/>
                <w:sz w:val="16"/>
                <w:szCs w:val="16"/>
              </w:rPr>
            </w:pPr>
            <w:r w:rsidRPr="00005453">
              <w:rPr>
                <w:color w:val="000000"/>
                <w:sz w:val="16"/>
                <w:szCs w:val="22"/>
              </w:rPr>
              <w:t>52,652,703</w:t>
            </w:r>
          </w:p>
        </w:tc>
      </w:tr>
      <w:tr w:rsidR="007854AB" w:rsidRPr="00005453" w14:paraId="209950A6"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86C237" w14:textId="77777777" w:rsidR="007854AB" w:rsidRPr="00005453" w:rsidRDefault="007854AB" w:rsidP="007854AB">
            <w:pPr>
              <w:spacing w:line="305" w:lineRule="atLeast"/>
              <w:rPr>
                <w:sz w:val="16"/>
                <w:szCs w:val="16"/>
                <w:lang w:eastAsia="tr-TR"/>
              </w:rPr>
            </w:pPr>
            <w:r w:rsidRPr="00005453">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D5688A" w14:textId="77777777" w:rsidR="007854AB" w:rsidRPr="00005453" w:rsidRDefault="007854AB" w:rsidP="007854AB">
            <w:pPr>
              <w:rPr>
                <w:sz w:val="16"/>
                <w:szCs w:val="16"/>
                <w:lang w:eastAsia="tr-TR"/>
              </w:rPr>
            </w:pPr>
            <w:r w:rsidRPr="00005453">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181E38"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4C2B01"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1A84F9"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6C4CD4"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CC2AF8"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7854AB" w:rsidRPr="00005453" w14:paraId="1E6CC4E6" w14:textId="77777777" w:rsidTr="007854AB">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4B7C101" w14:textId="77777777" w:rsidR="007854AB" w:rsidRPr="00005453" w:rsidRDefault="007854AB" w:rsidP="007854AB">
            <w:pPr>
              <w:spacing w:line="305" w:lineRule="atLeast"/>
              <w:rPr>
                <w:sz w:val="16"/>
                <w:szCs w:val="16"/>
                <w:lang w:eastAsia="tr-TR"/>
              </w:rPr>
            </w:pPr>
            <w:r w:rsidRPr="00005453">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740EE5"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6C1E43"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D1DD96"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2E96E3"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5F62AC"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594303"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7854AB" w:rsidRPr="00005453" w14:paraId="3BC82897"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CA7A4E" w14:textId="77777777" w:rsidR="007854AB" w:rsidRPr="00005453" w:rsidRDefault="007854AB" w:rsidP="007854AB">
            <w:pPr>
              <w:spacing w:line="305" w:lineRule="atLeast"/>
              <w:rPr>
                <w:sz w:val="16"/>
                <w:szCs w:val="16"/>
                <w:lang w:eastAsia="tr-TR"/>
              </w:rPr>
            </w:pPr>
            <w:r w:rsidRPr="00005453">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C2D880"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F8A25C"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7960A3"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7D366B"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9D5B3E"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C25873"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7854AB" w:rsidRPr="00005453" w14:paraId="3DF978EF" w14:textId="77777777" w:rsidTr="007854AB">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CA0997" w14:textId="77777777" w:rsidR="007854AB" w:rsidRPr="00005453" w:rsidRDefault="007854AB" w:rsidP="007854AB">
            <w:pPr>
              <w:spacing w:line="305" w:lineRule="atLeast"/>
              <w:rPr>
                <w:sz w:val="16"/>
                <w:szCs w:val="16"/>
                <w:lang w:eastAsia="tr-TR"/>
              </w:rPr>
            </w:pPr>
            <w:r w:rsidRPr="00005453">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DEAC70" w14:textId="77777777" w:rsidR="007854AB" w:rsidRPr="00005453" w:rsidRDefault="007854AB" w:rsidP="007854AB">
            <w:pPr>
              <w:rPr>
                <w:sz w:val="16"/>
                <w:szCs w:val="16"/>
                <w:lang w:eastAsia="tr-TR"/>
              </w:rPr>
            </w:pPr>
            <w:r w:rsidRPr="00005453">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8A2292" w14:textId="77777777" w:rsidR="007854AB" w:rsidRPr="00005453" w:rsidRDefault="007854AB" w:rsidP="007854A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45D2BBC"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56385F7"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17372F" w14:textId="77777777" w:rsidR="007854AB" w:rsidRPr="00005453" w:rsidRDefault="007854AB" w:rsidP="007854A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ACF9D7" w14:textId="77777777" w:rsidR="007854AB" w:rsidRPr="00005453" w:rsidRDefault="007854AB" w:rsidP="007854AB">
            <w:pPr>
              <w:spacing w:line="305" w:lineRule="atLeast"/>
              <w:jc w:val="right"/>
              <w:rPr>
                <w:sz w:val="16"/>
                <w:szCs w:val="16"/>
                <w:lang w:eastAsia="tr-TR"/>
              </w:rPr>
            </w:pPr>
          </w:p>
        </w:tc>
      </w:tr>
      <w:tr w:rsidR="007854AB" w:rsidRPr="00005453" w14:paraId="5E1AF66D"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A13BC6" w14:textId="77777777" w:rsidR="007854AB" w:rsidRPr="00005453" w:rsidRDefault="007854AB" w:rsidP="007854AB">
            <w:pPr>
              <w:spacing w:line="305" w:lineRule="atLeast"/>
              <w:rPr>
                <w:sz w:val="16"/>
                <w:szCs w:val="16"/>
                <w:lang w:eastAsia="tr-TR"/>
              </w:rPr>
            </w:pPr>
            <w:r w:rsidRPr="00005453">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7ED155" w14:textId="77777777" w:rsidR="007854AB" w:rsidRPr="00005453" w:rsidRDefault="007854AB" w:rsidP="007854AB">
            <w:pPr>
              <w:spacing w:line="305" w:lineRule="atLeast"/>
              <w:rPr>
                <w:sz w:val="16"/>
                <w:szCs w:val="16"/>
                <w:lang w:eastAsia="tr-TR"/>
              </w:rPr>
            </w:pPr>
            <w:r w:rsidRPr="00005453">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6315869" w14:textId="77777777" w:rsidR="007854AB" w:rsidRPr="00005453" w:rsidRDefault="007854AB" w:rsidP="007854AB">
            <w:pPr>
              <w:jc w:val="right"/>
              <w:rPr>
                <w:color w:val="000000"/>
                <w:sz w:val="16"/>
                <w:szCs w:val="16"/>
              </w:rPr>
            </w:pPr>
            <w:r w:rsidRPr="00005453">
              <w:rPr>
                <w:color w:val="000000"/>
                <w:sz w:val="16"/>
                <w:szCs w:val="22"/>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E198644" w14:textId="77777777" w:rsidR="007854AB" w:rsidRPr="00005453" w:rsidRDefault="007854AB" w:rsidP="007854AB">
            <w:pPr>
              <w:jc w:val="right"/>
              <w:rPr>
                <w:color w:val="000000"/>
                <w:sz w:val="16"/>
                <w:szCs w:val="16"/>
              </w:rPr>
            </w:pPr>
            <w:r w:rsidRPr="00005453">
              <w:rPr>
                <w:color w:val="000000"/>
                <w:sz w:val="16"/>
                <w:szCs w:val="22"/>
              </w:rPr>
              <w:t>69,833,583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440BB8A" w14:textId="77777777" w:rsidR="007854AB" w:rsidRPr="00005453" w:rsidRDefault="007854AB" w:rsidP="007854AB">
            <w:pPr>
              <w:jc w:val="right"/>
              <w:rPr>
                <w:color w:val="000000"/>
                <w:sz w:val="16"/>
                <w:szCs w:val="16"/>
              </w:rPr>
            </w:pPr>
            <w:r w:rsidRPr="00005453">
              <w:rPr>
                <w:color w:val="000000"/>
                <w:sz w:val="16"/>
                <w:szCs w:val="22"/>
              </w:rPr>
              <w:t>13,803,191</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677900" w14:textId="77777777" w:rsidR="007854AB" w:rsidRPr="00005453" w:rsidRDefault="007854AB" w:rsidP="007854AB">
            <w:pPr>
              <w:jc w:val="right"/>
              <w:rPr>
                <w:color w:val="000000"/>
                <w:sz w:val="16"/>
                <w:szCs w:val="16"/>
              </w:rPr>
            </w:pPr>
            <w:r w:rsidRPr="00005453">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6999CA3" w14:textId="77777777" w:rsidR="007854AB" w:rsidRPr="00005453" w:rsidRDefault="007854AB" w:rsidP="007854AB">
            <w:pPr>
              <w:jc w:val="right"/>
              <w:rPr>
                <w:color w:val="000000"/>
                <w:sz w:val="16"/>
                <w:szCs w:val="16"/>
              </w:rPr>
            </w:pPr>
            <w:r w:rsidRPr="00005453">
              <w:rPr>
                <w:color w:val="000000"/>
                <w:sz w:val="16"/>
                <w:szCs w:val="22"/>
              </w:rPr>
              <w:t>6,901,596</w:t>
            </w:r>
          </w:p>
        </w:tc>
      </w:tr>
      <w:tr w:rsidR="007854AB" w:rsidRPr="00005453" w14:paraId="257E27D8"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B6CA2F1" w14:textId="77777777" w:rsidR="007854AB" w:rsidRPr="00005453" w:rsidRDefault="007854AB" w:rsidP="007854AB">
            <w:pPr>
              <w:spacing w:line="305" w:lineRule="atLeast"/>
              <w:rPr>
                <w:sz w:val="16"/>
                <w:szCs w:val="16"/>
                <w:lang w:eastAsia="tr-TR"/>
              </w:rPr>
            </w:pPr>
            <w:r w:rsidRPr="00005453">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B3CE3F"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FC006F" w14:textId="77777777" w:rsidR="007854AB" w:rsidRPr="00005453" w:rsidRDefault="007854AB" w:rsidP="007854A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A968FC" w14:textId="77777777" w:rsidR="007854AB" w:rsidRPr="00005453" w:rsidRDefault="007854AB" w:rsidP="007854A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2D4A0A" w14:textId="77777777" w:rsidR="007854AB" w:rsidRPr="00005453" w:rsidRDefault="007854AB" w:rsidP="007854AB">
            <w:pPr>
              <w:spacing w:line="305" w:lineRule="atLeast"/>
              <w:jc w:val="right"/>
              <w:rPr>
                <w:sz w:val="16"/>
                <w:szCs w:val="16"/>
                <w:lang w:eastAsia="tr-TR"/>
              </w:rPr>
            </w:pPr>
          </w:p>
        </w:tc>
      </w:tr>
      <w:tr w:rsidR="007854AB" w:rsidRPr="00005453" w14:paraId="1A15A0AC" w14:textId="77777777" w:rsidTr="007854AB">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3CB4482" w14:textId="77777777" w:rsidR="007854AB" w:rsidRPr="00005453" w:rsidRDefault="007854AB" w:rsidP="007854AB">
            <w:pPr>
              <w:spacing w:line="305" w:lineRule="atLeast"/>
              <w:rPr>
                <w:sz w:val="16"/>
                <w:szCs w:val="16"/>
                <w:lang w:eastAsia="tr-TR"/>
              </w:rPr>
            </w:pPr>
            <w:r w:rsidRPr="00005453">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103486"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BBD7EB" w14:textId="77777777" w:rsidR="007854AB" w:rsidRPr="00005453" w:rsidRDefault="007854AB" w:rsidP="007854AB">
            <w:pPr>
              <w:jc w:val="right"/>
              <w:rPr>
                <w:color w:val="000000"/>
                <w:sz w:val="16"/>
                <w:szCs w:val="16"/>
              </w:rPr>
            </w:pPr>
            <w:r w:rsidRPr="00005453">
              <w:rPr>
                <w:color w:val="000000"/>
                <w:sz w:val="16"/>
                <w:szCs w:val="22"/>
              </w:rPr>
              <w:t>54,790,478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700AD" w14:textId="77777777" w:rsidR="007854AB" w:rsidRPr="00005453" w:rsidRDefault="007854AB" w:rsidP="007854AB">
            <w:pPr>
              <w:jc w:val="right"/>
              <w:rPr>
                <w:color w:val="000000"/>
                <w:sz w:val="16"/>
                <w:szCs w:val="16"/>
              </w:rPr>
            </w:pPr>
            <w:r w:rsidRPr="00005453">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C1D06E" w14:textId="77777777" w:rsidR="007854AB" w:rsidRPr="00005453" w:rsidRDefault="007854AB" w:rsidP="007854AB">
            <w:pPr>
              <w:jc w:val="right"/>
              <w:rPr>
                <w:color w:val="000000"/>
                <w:sz w:val="16"/>
                <w:szCs w:val="16"/>
              </w:rPr>
            </w:pPr>
            <w:r w:rsidRPr="00005453">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65DA43" w14:textId="77777777" w:rsidR="007854AB" w:rsidRPr="00005453" w:rsidRDefault="007854AB" w:rsidP="007854AB">
            <w:pPr>
              <w:jc w:val="right"/>
              <w:rPr>
                <w:color w:val="000000"/>
                <w:sz w:val="16"/>
                <w:szCs w:val="16"/>
              </w:rPr>
            </w:pPr>
            <w:r w:rsidRPr="00005453">
              <w:rPr>
                <w:color w:val="000000"/>
                <w:sz w:val="16"/>
                <w:szCs w:val="22"/>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730F10" w14:textId="77777777" w:rsidR="007854AB" w:rsidRPr="00005453" w:rsidRDefault="007854AB" w:rsidP="007854AB">
            <w:pPr>
              <w:jc w:val="right"/>
              <w:rPr>
                <w:color w:val="000000"/>
                <w:sz w:val="16"/>
                <w:szCs w:val="16"/>
              </w:rPr>
            </w:pPr>
            <w:r w:rsidRPr="00005453">
              <w:rPr>
                <w:color w:val="000000"/>
                <w:sz w:val="16"/>
                <w:szCs w:val="22"/>
              </w:rPr>
              <w:t>3,818,384</w:t>
            </w:r>
          </w:p>
        </w:tc>
      </w:tr>
      <w:tr w:rsidR="007854AB" w:rsidRPr="00005453" w14:paraId="7E47BD93"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AC1A161" w14:textId="77777777" w:rsidR="007854AB" w:rsidRPr="00005453" w:rsidRDefault="007854AB" w:rsidP="007854AB">
            <w:pPr>
              <w:spacing w:line="305" w:lineRule="atLeast"/>
              <w:rPr>
                <w:sz w:val="16"/>
                <w:szCs w:val="16"/>
                <w:lang w:eastAsia="tr-TR"/>
              </w:rPr>
            </w:pPr>
            <w:r w:rsidRPr="00005453">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58D73D" w14:textId="77777777" w:rsidR="007854AB" w:rsidRPr="00005453" w:rsidRDefault="007854AB" w:rsidP="007854AB">
            <w:pPr>
              <w:spacing w:line="305" w:lineRule="atLeast"/>
              <w:rPr>
                <w:sz w:val="16"/>
                <w:szCs w:val="16"/>
                <w:lang w:eastAsia="tr-TR"/>
              </w:rPr>
            </w:pPr>
            <w:r w:rsidRPr="00005453">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460033" w14:textId="77777777" w:rsidR="007854AB" w:rsidRPr="00005453" w:rsidRDefault="007854AB" w:rsidP="007854A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082717B"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7484F87"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C1FD1B2" w14:textId="77777777" w:rsidR="007854AB" w:rsidRPr="00005453" w:rsidRDefault="007854AB" w:rsidP="007854A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BC89D5" w14:textId="77777777" w:rsidR="007854AB" w:rsidRPr="00005453" w:rsidRDefault="007854AB" w:rsidP="007854AB">
            <w:pPr>
              <w:jc w:val="right"/>
              <w:rPr>
                <w:b/>
                <w:color w:val="000000"/>
                <w:sz w:val="22"/>
                <w:szCs w:val="22"/>
                <w:lang w:eastAsia="tr-TR"/>
              </w:rPr>
            </w:pPr>
            <w:r w:rsidRPr="00005453">
              <w:rPr>
                <w:b/>
                <w:color w:val="000000"/>
                <w:sz w:val="16"/>
                <w:szCs w:val="22"/>
              </w:rPr>
              <w:t>519,299,348</w:t>
            </w:r>
          </w:p>
          <w:p w14:paraId="1B008700" w14:textId="77777777" w:rsidR="007854AB" w:rsidRPr="00005453" w:rsidRDefault="007854AB" w:rsidP="007854AB">
            <w:pPr>
              <w:spacing w:line="305" w:lineRule="atLeast"/>
              <w:jc w:val="right"/>
              <w:rPr>
                <w:b/>
                <w:sz w:val="16"/>
                <w:szCs w:val="16"/>
                <w:lang w:eastAsia="tr-TR"/>
              </w:rPr>
            </w:pPr>
          </w:p>
        </w:tc>
      </w:tr>
      <w:tr w:rsidR="007854AB" w:rsidRPr="00005453" w14:paraId="6963414A" w14:textId="77777777" w:rsidTr="007854AB">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140A18C" w14:textId="77777777" w:rsidR="007854AB" w:rsidRPr="00005453" w:rsidRDefault="007854AB" w:rsidP="007854AB">
            <w:pPr>
              <w:spacing w:line="305" w:lineRule="atLeast"/>
              <w:rPr>
                <w:sz w:val="16"/>
                <w:szCs w:val="16"/>
                <w:lang w:eastAsia="tr-TR"/>
              </w:rPr>
            </w:pPr>
            <w:r w:rsidRPr="00005453">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823620" w14:textId="77777777" w:rsidR="007854AB" w:rsidRPr="00005453" w:rsidRDefault="007854AB" w:rsidP="007854AB">
            <w:pPr>
              <w:spacing w:line="305" w:lineRule="atLeast"/>
              <w:jc w:val="right"/>
              <w:rPr>
                <w:sz w:val="16"/>
                <w:szCs w:val="16"/>
                <w:lang w:eastAsia="tr-TR"/>
              </w:rPr>
            </w:pPr>
          </w:p>
        </w:tc>
      </w:tr>
      <w:tr w:rsidR="007854AB" w:rsidRPr="00005453" w14:paraId="021BC400"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FCCA1A8" w14:textId="77777777" w:rsidR="007854AB" w:rsidRPr="00005453" w:rsidRDefault="007854AB" w:rsidP="007854AB">
            <w:pPr>
              <w:spacing w:line="305" w:lineRule="atLeast"/>
              <w:rPr>
                <w:sz w:val="16"/>
                <w:szCs w:val="16"/>
                <w:lang w:eastAsia="tr-TR"/>
              </w:rPr>
            </w:pPr>
            <w:r w:rsidRPr="00005453">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62617B" w14:textId="77777777" w:rsidR="007854AB" w:rsidRPr="00005453" w:rsidRDefault="007854AB" w:rsidP="007854AB">
            <w:pPr>
              <w:rPr>
                <w:sz w:val="16"/>
                <w:szCs w:val="16"/>
                <w:lang w:eastAsia="tr-TR"/>
              </w:rPr>
            </w:pPr>
            <w:r w:rsidRPr="00005453">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1426F0B" w14:textId="77777777" w:rsidR="007854AB" w:rsidRPr="00005453" w:rsidRDefault="007854AB" w:rsidP="007854AB">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CAADE27" w14:textId="77777777" w:rsidR="007854AB" w:rsidRPr="00005453" w:rsidRDefault="007854AB" w:rsidP="007854AB">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1939E3" w14:textId="77777777" w:rsidR="007854AB" w:rsidRPr="00005453" w:rsidRDefault="007854AB" w:rsidP="007854A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CCE8A64" w14:textId="77777777" w:rsidR="007854AB" w:rsidRPr="00005453" w:rsidRDefault="007854AB" w:rsidP="007854AB">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A9FD865" w14:textId="77777777" w:rsidR="007854AB" w:rsidRPr="00005453" w:rsidRDefault="007854AB" w:rsidP="007854AB">
            <w:pPr>
              <w:jc w:val="right"/>
              <w:rPr>
                <w:color w:val="000000"/>
                <w:sz w:val="22"/>
                <w:szCs w:val="22"/>
                <w:lang w:eastAsia="tr-TR"/>
              </w:rPr>
            </w:pPr>
            <w:bookmarkStart w:id="47" w:name="OLE_LINK91"/>
            <w:r w:rsidRPr="00005453">
              <w:rPr>
                <w:color w:val="000000"/>
                <w:sz w:val="16"/>
                <w:szCs w:val="22"/>
              </w:rPr>
              <w:t>1,364,521</w:t>
            </w:r>
          </w:p>
          <w:bookmarkEnd w:id="47"/>
          <w:p w14:paraId="113D9221" w14:textId="77777777" w:rsidR="007854AB" w:rsidRPr="00005453" w:rsidRDefault="007854AB" w:rsidP="007854AB">
            <w:pPr>
              <w:jc w:val="right"/>
              <w:rPr>
                <w:color w:val="000000"/>
                <w:sz w:val="16"/>
                <w:szCs w:val="16"/>
              </w:rPr>
            </w:pPr>
          </w:p>
        </w:tc>
      </w:tr>
      <w:tr w:rsidR="007854AB" w:rsidRPr="00005453" w14:paraId="6CEFB725" w14:textId="77777777" w:rsidTr="007854AB">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E3AD677" w14:textId="77777777" w:rsidR="007854AB" w:rsidRPr="00005453" w:rsidRDefault="007854AB" w:rsidP="007854AB">
            <w:pPr>
              <w:spacing w:line="305" w:lineRule="atLeast"/>
              <w:rPr>
                <w:sz w:val="16"/>
                <w:szCs w:val="16"/>
                <w:lang w:eastAsia="tr-TR"/>
              </w:rPr>
            </w:pPr>
            <w:r w:rsidRPr="00005453">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42825A" w14:textId="77777777" w:rsidR="007854AB" w:rsidRPr="00005453" w:rsidRDefault="007854AB" w:rsidP="007854AB">
            <w:pPr>
              <w:spacing w:line="305" w:lineRule="atLeast"/>
              <w:rPr>
                <w:sz w:val="16"/>
                <w:szCs w:val="16"/>
                <w:lang w:eastAsia="tr-TR"/>
              </w:rPr>
            </w:pPr>
            <w:r w:rsidRPr="00005453">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8F8F7C" w14:textId="77777777" w:rsidR="007854AB" w:rsidRPr="00005453" w:rsidRDefault="007854AB" w:rsidP="007854AB">
            <w:pPr>
              <w:jc w:val="right"/>
              <w:rPr>
                <w:color w:val="000000"/>
                <w:sz w:val="16"/>
                <w:szCs w:val="16"/>
              </w:rPr>
            </w:pPr>
            <w:r w:rsidRPr="00005453">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806B40" w14:textId="77777777" w:rsidR="007854AB" w:rsidRPr="00005453" w:rsidRDefault="007854AB" w:rsidP="007854AB">
            <w:pPr>
              <w:jc w:val="right"/>
              <w:rPr>
                <w:color w:val="000000"/>
                <w:sz w:val="16"/>
                <w:szCs w:val="16"/>
              </w:rPr>
            </w:pPr>
            <w:r w:rsidRPr="00005453">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9F62F8" w14:textId="77777777" w:rsidR="007854AB" w:rsidRPr="00005453" w:rsidRDefault="007854AB" w:rsidP="007854AB">
            <w:pPr>
              <w:jc w:val="right"/>
              <w:rPr>
                <w:color w:val="000000"/>
                <w:sz w:val="16"/>
                <w:szCs w:val="16"/>
              </w:rPr>
            </w:pPr>
            <w:r w:rsidRPr="00005453">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A4B371" w14:textId="77777777" w:rsidR="007854AB" w:rsidRPr="00005453" w:rsidRDefault="007854AB" w:rsidP="007854AB">
            <w:pPr>
              <w:jc w:val="right"/>
              <w:rPr>
                <w:color w:val="000000"/>
                <w:sz w:val="16"/>
                <w:szCs w:val="16"/>
              </w:rPr>
            </w:pPr>
            <w:r w:rsidRPr="00005453">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84A662" w14:textId="77777777" w:rsidR="007854AB" w:rsidRPr="00005453" w:rsidRDefault="007854AB" w:rsidP="007854AB">
            <w:pPr>
              <w:jc w:val="right"/>
              <w:rPr>
                <w:color w:val="000000"/>
                <w:sz w:val="16"/>
                <w:szCs w:val="16"/>
              </w:rPr>
            </w:pPr>
            <w:r w:rsidRPr="00005453">
              <w:rPr>
                <w:color w:val="000000"/>
                <w:sz w:val="16"/>
                <w:szCs w:val="16"/>
              </w:rPr>
              <w:t>-</w:t>
            </w:r>
          </w:p>
        </w:tc>
      </w:tr>
      <w:tr w:rsidR="007854AB" w:rsidRPr="00005453" w14:paraId="5A9F77EE"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351F376" w14:textId="77777777" w:rsidR="007854AB" w:rsidRPr="00005453" w:rsidRDefault="007854AB" w:rsidP="007854AB">
            <w:pPr>
              <w:spacing w:line="305" w:lineRule="atLeast"/>
              <w:rPr>
                <w:sz w:val="16"/>
                <w:szCs w:val="16"/>
                <w:lang w:eastAsia="tr-TR"/>
              </w:rPr>
            </w:pPr>
            <w:r w:rsidRPr="00005453">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F5DACC" w14:textId="77777777" w:rsidR="007854AB" w:rsidRPr="00005453" w:rsidRDefault="007854AB" w:rsidP="007854AB">
            <w:pPr>
              <w:spacing w:line="305" w:lineRule="atLeast"/>
              <w:rPr>
                <w:sz w:val="16"/>
                <w:szCs w:val="16"/>
                <w:lang w:eastAsia="tr-TR"/>
              </w:rPr>
            </w:pPr>
            <w:r w:rsidRPr="00005453">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D7914A" w14:textId="77777777" w:rsidR="007854AB" w:rsidRPr="00005453" w:rsidRDefault="007854AB" w:rsidP="007854AB">
            <w:pPr>
              <w:jc w:val="right"/>
              <w:rPr>
                <w:color w:val="000000"/>
                <w:sz w:val="16"/>
                <w:szCs w:val="16"/>
              </w:rPr>
            </w:pPr>
            <w:r w:rsidRPr="00005453">
              <w:rPr>
                <w:color w:val="000000"/>
                <w:sz w:val="16"/>
                <w:szCs w:val="22"/>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ED7ACF" w14:textId="77777777" w:rsidR="007854AB" w:rsidRPr="00005453" w:rsidRDefault="007854AB" w:rsidP="007854AB">
            <w:pPr>
              <w:jc w:val="right"/>
              <w:rPr>
                <w:color w:val="000000"/>
                <w:sz w:val="16"/>
                <w:szCs w:val="16"/>
              </w:rPr>
            </w:pPr>
            <w:r w:rsidRPr="00005453">
              <w:rPr>
                <w:color w:val="000000"/>
                <w:sz w:val="16"/>
                <w:szCs w:val="22"/>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8D1026" w14:textId="77777777" w:rsidR="007854AB" w:rsidRPr="00005453" w:rsidRDefault="007854AB" w:rsidP="007854AB">
            <w:pPr>
              <w:jc w:val="right"/>
              <w:rPr>
                <w:color w:val="000000"/>
                <w:sz w:val="16"/>
                <w:szCs w:val="16"/>
              </w:rPr>
            </w:pPr>
            <w:r w:rsidRPr="00005453">
              <w:rPr>
                <w:color w:val="000000"/>
                <w:sz w:val="16"/>
                <w:szCs w:val="22"/>
              </w:rPr>
              <w:t>70,265,672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B13713" w14:textId="77777777" w:rsidR="007854AB" w:rsidRPr="00005453" w:rsidRDefault="007854AB" w:rsidP="007854AB">
            <w:pPr>
              <w:jc w:val="right"/>
              <w:rPr>
                <w:color w:val="000000"/>
                <w:sz w:val="16"/>
                <w:szCs w:val="16"/>
              </w:rPr>
            </w:pPr>
            <w:r w:rsidRPr="00005453">
              <w:rPr>
                <w:color w:val="000000"/>
                <w:sz w:val="16"/>
                <w:szCs w:val="22"/>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9AD9BA" w14:textId="77777777" w:rsidR="007854AB" w:rsidRPr="00005453" w:rsidRDefault="007854AB" w:rsidP="007854AB">
            <w:pPr>
              <w:jc w:val="right"/>
              <w:rPr>
                <w:color w:val="000000"/>
                <w:sz w:val="16"/>
                <w:szCs w:val="16"/>
              </w:rPr>
            </w:pPr>
            <w:r w:rsidRPr="00005453">
              <w:rPr>
                <w:color w:val="000000"/>
                <w:sz w:val="16"/>
                <w:szCs w:val="22"/>
              </w:rPr>
              <w:t>235,565,281</w:t>
            </w:r>
          </w:p>
        </w:tc>
      </w:tr>
      <w:tr w:rsidR="007854AB" w:rsidRPr="00005453" w14:paraId="392FA11D" w14:textId="77777777" w:rsidTr="007854AB">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2C8CA9E" w14:textId="77777777" w:rsidR="007854AB" w:rsidRPr="00005453" w:rsidRDefault="007854AB" w:rsidP="007854AB">
            <w:pPr>
              <w:spacing w:line="305" w:lineRule="atLeast"/>
              <w:rPr>
                <w:sz w:val="16"/>
                <w:szCs w:val="16"/>
                <w:lang w:eastAsia="tr-TR"/>
              </w:rPr>
            </w:pPr>
            <w:r w:rsidRPr="00005453">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11CB1D"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AA0ED2"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076EB8"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2F8048"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59122A"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1A9E17" w14:textId="77777777" w:rsidR="007854AB" w:rsidRPr="00005453" w:rsidRDefault="007854AB" w:rsidP="007854AB">
            <w:pPr>
              <w:spacing w:line="305" w:lineRule="atLeast"/>
              <w:jc w:val="right"/>
              <w:rPr>
                <w:sz w:val="16"/>
                <w:szCs w:val="16"/>
                <w:lang w:eastAsia="tr-TR"/>
              </w:rPr>
            </w:pPr>
            <w:r w:rsidRPr="00005453">
              <w:rPr>
                <w:color w:val="000000"/>
                <w:sz w:val="16"/>
                <w:szCs w:val="22"/>
              </w:rPr>
              <w:t>-</w:t>
            </w:r>
          </w:p>
        </w:tc>
      </w:tr>
      <w:tr w:rsidR="007854AB" w:rsidRPr="00005453" w14:paraId="3A6F9EDF" w14:textId="77777777" w:rsidTr="007854AB">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3449752" w14:textId="77777777" w:rsidR="007854AB" w:rsidRPr="00005453" w:rsidRDefault="007854AB" w:rsidP="007854AB">
            <w:pPr>
              <w:spacing w:line="305" w:lineRule="atLeast"/>
              <w:rPr>
                <w:sz w:val="16"/>
                <w:szCs w:val="16"/>
                <w:lang w:eastAsia="tr-TR"/>
              </w:rPr>
            </w:pPr>
            <w:r w:rsidRPr="00005453">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6E1110"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91586B" w14:textId="77777777" w:rsidR="007854AB" w:rsidRPr="00005453" w:rsidRDefault="007854AB" w:rsidP="007854AB">
            <w:pPr>
              <w:jc w:val="right"/>
              <w:rPr>
                <w:color w:val="000000"/>
                <w:sz w:val="16"/>
                <w:szCs w:val="16"/>
              </w:rPr>
            </w:pPr>
            <w:r w:rsidRPr="00005453">
              <w:rPr>
                <w:color w:val="000000"/>
                <w:sz w:val="16"/>
                <w:szCs w:val="22"/>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F9F742" w14:textId="77777777" w:rsidR="007854AB" w:rsidRPr="00005453" w:rsidRDefault="007854AB" w:rsidP="007854AB">
            <w:pPr>
              <w:jc w:val="right"/>
              <w:rPr>
                <w:color w:val="000000"/>
                <w:sz w:val="16"/>
                <w:szCs w:val="16"/>
              </w:rPr>
            </w:pPr>
            <w:r w:rsidRPr="00005453">
              <w:rPr>
                <w:color w:val="000000"/>
                <w:sz w:val="16"/>
                <w:szCs w:val="22"/>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8F7885" w14:textId="77777777" w:rsidR="007854AB" w:rsidRPr="00005453" w:rsidRDefault="007854AB" w:rsidP="007854AB">
            <w:pPr>
              <w:jc w:val="right"/>
              <w:rPr>
                <w:color w:val="000000"/>
                <w:sz w:val="16"/>
                <w:szCs w:val="16"/>
              </w:rPr>
            </w:pPr>
            <w:r w:rsidRPr="00005453">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0F3C1D" w14:textId="77777777" w:rsidR="007854AB" w:rsidRPr="00005453" w:rsidRDefault="007854AB" w:rsidP="007854AB">
            <w:pPr>
              <w:jc w:val="right"/>
              <w:rPr>
                <w:color w:val="000000"/>
                <w:sz w:val="16"/>
                <w:szCs w:val="16"/>
              </w:rPr>
            </w:pPr>
            <w:r w:rsidRPr="00005453">
              <w:rPr>
                <w:color w:val="000000"/>
                <w:sz w:val="16"/>
                <w:szCs w:val="22"/>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820E6A" w14:textId="77777777" w:rsidR="007854AB" w:rsidRPr="00005453" w:rsidRDefault="007854AB" w:rsidP="007854AB">
            <w:pPr>
              <w:jc w:val="right"/>
              <w:rPr>
                <w:color w:val="000000"/>
                <w:sz w:val="16"/>
                <w:szCs w:val="16"/>
              </w:rPr>
            </w:pPr>
            <w:r w:rsidRPr="00005453">
              <w:rPr>
                <w:color w:val="000000"/>
                <w:sz w:val="16"/>
                <w:szCs w:val="22"/>
              </w:rPr>
              <w:t>763,437</w:t>
            </w:r>
          </w:p>
        </w:tc>
      </w:tr>
      <w:tr w:rsidR="007854AB" w:rsidRPr="00005453" w14:paraId="0E7D774B" w14:textId="77777777" w:rsidTr="007854AB">
        <w:trPr>
          <w:trHeight w:val="1421"/>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672EAAD9" w14:textId="77777777" w:rsidR="007854AB" w:rsidRPr="00005453" w:rsidRDefault="007854AB" w:rsidP="007854AB">
            <w:pPr>
              <w:spacing w:line="305" w:lineRule="atLeast"/>
              <w:rPr>
                <w:sz w:val="16"/>
                <w:szCs w:val="16"/>
                <w:lang w:eastAsia="tr-TR"/>
              </w:rPr>
            </w:pPr>
            <w:r w:rsidRPr="00005453">
              <w:rPr>
                <w:sz w:val="16"/>
                <w:szCs w:val="16"/>
                <w:lang w:eastAsia="tr-TR"/>
              </w:rPr>
              <w:t>20</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045D3EDF" w14:textId="77777777" w:rsidR="007854AB" w:rsidRPr="00005453" w:rsidRDefault="007854AB" w:rsidP="007854AB">
            <w:pPr>
              <w:spacing w:line="305" w:lineRule="atLeast"/>
              <w:ind w:left="317"/>
              <w:rPr>
                <w:sz w:val="16"/>
                <w:szCs w:val="16"/>
                <w:lang w:eastAsia="tr-TR"/>
              </w:rPr>
            </w:pPr>
            <w:r w:rsidRPr="00005453">
              <w:rPr>
                <w:sz w:val="16"/>
                <w:szCs w:val="16"/>
                <w:lang w:eastAsia="tr-TR"/>
              </w:rPr>
              <w:t>Kredi kuruluşları veya </w:t>
            </w:r>
            <w:r w:rsidRPr="00005453">
              <w:rPr>
                <w:color w:val="000000"/>
                <w:sz w:val="16"/>
                <w:szCs w:val="16"/>
                <w:lang w:eastAsia="tr-TR"/>
              </w:rPr>
              <w:t>finansal </w:t>
            </w:r>
            <w:r w:rsidRPr="00005453">
              <w:rPr>
                <w:sz w:val="16"/>
                <w:szCs w:val="16"/>
                <w:lang w:eastAsia="tr-TR"/>
              </w:rPr>
              <w:t>kuruluşlar dışındaki kurumsal müşteriler, </w:t>
            </w:r>
            <w:r w:rsidRPr="00005453">
              <w:rPr>
                <w:color w:val="000000"/>
                <w:sz w:val="16"/>
                <w:szCs w:val="16"/>
                <w:lang w:eastAsia="tr-TR"/>
              </w:rPr>
              <w:t>kuruluşlar, gerçek kişi ve perakende müşteriler,</w:t>
            </w:r>
            <w:r w:rsidRPr="00005453">
              <w:rPr>
                <w:sz w:val="16"/>
                <w:szCs w:val="16"/>
                <w:lang w:eastAsia="tr-TR"/>
              </w:rPr>
              <w:t> m</w:t>
            </w:r>
            <w:r w:rsidRPr="00005453">
              <w:rPr>
                <w:color w:val="000000"/>
                <w:sz w:val="16"/>
                <w:szCs w:val="16"/>
                <w:lang w:eastAsia="tr-TR"/>
              </w:rPr>
              <w:t>erkezi yönetimler, merkez bankaları ile kamu kuruluşlarından olan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841A40B" w14:textId="77777777" w:rsidR="007854AB" w:rsidRPr="00005453" w:rsidRDefault="007854AB" w:rsidP="007854AB">
            <w:pPr>
              <w:jc w:val="right"/>
              <w:rPr>
                <w:color w:val="000000"/>
                <w:sz w:val="16"/>
                <w:szCs w:val="16"/>
              </w:rPr>
            </w:pPr>
            <w:r w:rsidRPr="00005453">
              <w:rPr>
                <w:color w:val="000000"/>
                <w:sz w:val="16"/>
                <w:szCs w:val="22"/>
              </w:rPr>
              <w:t>4,627,759</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93EE1DB" w14:textId="77777777" w:rsidR="007854AB" w:rsidRPr="00005453" w:rsidRDefault="007854AB" w:rsidP="007854AB">
            <w:pPr>
              <w:jc w:val="right"/>
              <w:rPr>
                <w:color w:val="000000"/>
                <w:sz w:val="16"/>
                <w:szCs w:val="16"/>
              </w:rPr>
            </w:pPr>
            <w:r w:rsidRPr="00005453">
              <w:rPr>
                <w:color w:val="000000"/>
                <w:sz w:val="16"/>
                <w:szCs w:val="22"/>
              </w:rPr>
              <w:t>108,748,823</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C6B80AC" w14:textId="77777777" w:rsidR="007854AB" w:rsidRPr="00005453" w:rsidRDefault="007854AB" w:rsidP="007854AB">
            <w:pPr>
              <w:jc w:val="right"/>
              <w:rPr>
                <w:color w:val="000000"/>
                <w:sz w:val="16"/>
                <w:szCs w:val="16"/>
              </w:rPr>
            </w:pPr>
            <w:r w:rsidRPr="00005453">
              <w:rPr>
                <w:color w:val="000000"/>
                <w:sz w:val="16"/>
                <w:szCs w:val="22"/>
              </w:rPr>
              <w:t>68,838,630</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33438D4" w14:textId="77777777" w:rsidR="007854AB" w:rsidRPr="00005453" w:rsidRDefault="007854AB" w:rsidP="007854AB">
            <w:pPr>
              <w:jc w:val="right"/>
              <w:rPr>
                <w:color w:val="000000"/>
                <w:sz w:val="16"/>
                <w:szCs w:val="16"/>
              </w:rPr>
            </w:pPr>
            <w:r w:rsidRPr="00005453">
              <w:rPr>
                <w:color w:val="000000"/>
                <w:sz w:val="16"/>
                <w:szCs w:val="22"/>
              </w:rPr>
              <w:t>138,349,188</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574D789" w14:textId="77777777" w:rsidR="007854AB" w:rsidRPr="00005453" w:rsidRDefault="007854AB" w:rsidP="007854AB">
            <w:pPr>
              <w:jc w:val="right"/>
              <w:rPr>
                <w:color w:val="000000"/>
                <w:sz w:val="16"/>
                <w:szCs w:val="16"/>
              </w:rPr>
            </w:pPr>
            <w:r w:rsidRPr="00005453">
              <w:rPr>
                <w:color w:val="000000"/>
                <w:sz w:val="16"/>
                <w:szCs w:val="22"/>
              </w:rPr>
              <w:t>213,292,308</w:t>
            </w:r>
          </w:p>
        </w:tc>
      </w:tr>
      <w:tr w:rsidR="007854AB" w:rsidRPr="00005453" w14:paraId="715E8CC6" w14:textId="77777777" w:rsidTr="007854AB">
        <w:trPr>
          <w:trHeight w:val="503"/>
        </w:trPr>
        <w:tc>
          <w:tcPr>
            <w:tcW w:w="459" w:type="dxa"/>
            <w:tcBorders>
              <w:top w:val="single" w:sz="4"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7E562786" w14:textId="77777777" w:rsidR="007854AB" w:rsidRPr="00005453" w:rsidRDefault="007854AB" w:rsidP="007854AB">
            <w:pPr>
              <w:spacing w:line="305" w:lineRule="atLeast"/>
              <w:rPr>
                <w:sz w:val="16"/>
                <w:szCs w:val="16"/>
                <w:lang w:eastAsia="tr-TR"/>
              </w:rPr>
            </w:pPr>
            <w:r w:rsidRPr="00005453">
              <w:rPr>
                <w:sz w:val="16"/>
                <w:szCs w:val="16"/>
                <w:lang w:eastAsia="tr-TR"/>
              </w:rPr>
              <w:t>21</w:t>
            </w:r>
          </w:p>
        </w:tc>
        <w:tc>
          <w:tcPr>
            <w:tcW w:w="3510"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4A37311F" w14:textId="77777777" w:rsidR="007854AB" w:rsidRPr="00005453" w:rsidRDefault="007854AB" w:rsidP="007854AB">
            <w:pPr>
              <w:spacing w:line="305" w:lineRule="atLeast"/>
              <w:ind w:left="742"/>
              <w:rPr>
                <w:sz w:val="16"/>
                <w:szCs w:val="16"/>
                <w:lang w:eastAsia="tr-TR"/>
              </w:rPr>
            </w:pPr>
            <w:proofErr w:type="gramStart"/>
            <w:r w:rsidRPr="00005453">
              <w:rPr>
                <w:i/>
                <w:iCs/>
                <w:color w:val="000000"/>
                <w:sz w:val="16"/>
                <w:szCs w:val="16"/>
                <w:lang w:eastAsia="tr-TR"/>
              </w:rPr>
              <w:t>% 35</w:t>
            </w:r>
            <w:proofErr w:type="gramEnd"/>
            <w:r w:rsidRPr="00005453">
              <w:rPr>
                <w:i/>
                <w:iCs/>
                <w:color w:val="000000"/>
                <w:sz w:val="16"/>
                <w:szCs w:val="16"/>
                <w:lang w:eastAsia="tr-TR"/>
              </w:rPr>
              <w:t xml:space="preserve"> ya da daha düşük risk ağırlığına tabi alacaklar</w:t>
            </w:r>
          </w:p>
        </w:tc>
        <w:tc>
          <w:tcPr>
            <w:tcW w:w="1016"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2644C67"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021"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CD3D29A"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365"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54326DB"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7C3648EA" w14:textId="77777777" w:rsidR="007854AB" w:rsidRPr="00005453" w:rsidRDefault="007854AB" w:rsidP="007854AB">
            <w:pPr>
              <w:jc w:val="right"/>
              <w:rPr>
                <w:color w:val="000000"/>
                <w:sz w:val="16"/>
                <w:szCs w:val="16"/>
              </w:rPr>
            </w:pPr>
            <w:r w:rsidRPr="00005453">
              <w:rPr>
                <w:color w:val="000000"/>
                <w:sz w:val="16"/>
                <w:szCs w:val="22"/>
              </w:rPr>
              <w:t>12,622,757</w:t>
            </w:r>
          </w:p>
        </w:tc>
        <w:tc>
          <w:tcPr>
            <w:tcW w:w="1138"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9984366" w14:textId="77777777" w:rsidR="007854AB" w:rsidRPr="00005453" w:rsidRDefault="007854AB" w:rsidP="007854AB">
            <w:pPr>
              <w:jc w:val="right"/>
              <w:rPr>
                <w:color w:val="000000"/>
                <w:sz w:val="16"/>
                <w:szCs w:val="16"/>
              </w:rPr>
            </w:pPr>
            <w:r w:rsidRPr="00005453">
              <w:rPr>
                <w:color w:val="000000"/>
                <w:sz w:val="16"/>
                <w:szCs w:val="22"/>
              </w:rPr>
              <w:t>8,204,792</w:t>
            </w:r>
          </w:p>
        </w:tc>
      </w:tr>
      <w:tr w:rsidR="007854AB" w:rsidRPr="00005453" w14:paraId="7E8A3AAC" w14:textId="77777777" w:rsidTr="007854AB">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34B7746" w14:textId="77777777" w:rsidR="007854AB" w:rsidRPr="00005453" w:rsidRDefault="007854AB" w:rsidP="007854AB">
            <w:pPr>
              <w:spacing w:line="305" w:lineRule="atLeast"/>
              <w:rPr>
                <w:sz w:val="16"/>
                <w:szCs w:val="16"/>
                <w:lang w:eastAsia="tr-TR"/>
              </w:rPr>
            </w:pPr>
            <w:r w:rsidRPr="00005453">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12B8F46" w14:textId="77777777" w:rsidR="007854AB" w:rsidRPr="00005453" w:rsidRDefault="007854AB" w:rsidP="007854AB">
            <w:pPr>
              <w:spacing w:line="305" w:lineRule="atLeast"/>
              <w:ind w:left="317"/>
              <w:rPr>
                <w:sz w:val="16"/>
                <w:szCs w:val="16"/>
                <w:lang w:eastAsia="tr-TR"/>
              </w:rPr>
            </w:pPr>
            <w:r w:rsidRPr="00005453">
              <w:rPr>
                <w:sz w:val="16"/>
                <w:szCs w:val="16"/>
                <w:lang w:eastAsia="tr-TR"/>
              </w:rPr>
              <w:t>İkamet amaçlı gayrimenkul ipoteği ile teminatlandırılan</w:t>
            </w:r>
            <w:r w:rsidRPr="00005453">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2437E9"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81CA6C"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D3F76D5"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6BED546"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20896B3"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7854AB" w:rsidRPr="00005453" w14:paraId="6FEF3189" w14:textId="77777777" w:rsidTr="007854AB">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F9DD09" w14:textId="77777777" w:rsidR="007854AB" w:rsidRPr="00005453" w:rsidRDefault="007854AB" w:rsidP="007854AB">
            <w:pPr>
              <w:spacing w:line="305" w:lineRule="atLeast"/>
              <w:rPr>
                <w:sz w:val="16"/>
                <w:szCs w:val="16"/>
                <w:lang w:eastAsia="tr-TR"/>
              </w:rPr>
            </w:pPr>
            <w:r w:rsidRPr="00005453">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A1622E" w14:textId="77777777" w:rsidR="007854AB" w:rsidRPr="00005453" w:rsidRDefault="007854AB" w:rsidP="007854AB">
            <w:pPr>
              <w:spacing w:line="305" w:lineRule="atLeast"/>
              <w:ind w:left="742"/>
              <w:rPr>
                <w:sz w:val="16"/>
                <w:szCs w:val="16"/>
                <w:lang w:eastAsia="tr-TR"/>
              </w:rPr>
            </w:pPr>
            <w:proofErr w:type="gramStart"/>
            <w:r w:rsidRPr="00005453">
              <w:rPr>
                <w:i/>
                <w:iCs/>
                <w:color w:val="000000"/>
                <w:sz w:val="16"/>
                <w:szCs w:val="16"/>
                <w:lang w:eastAsia="tr-TR"/>
              </w:rPr>
              <w:t>% 35</w:t>
            </w:r>
            <w:proofErr w:type="gramEnd"/>
            <w:r w:rsidRPr="00005453">
              <w:rPr>
                <w:i/>
                <w:iCs/>
                <w:color w:val="000000"/>
                <w:sz w:val="16"/>
                <w:szCs w:val="16"/>
                <w:lang w:eastAsia="tr-TR"/>
              </w:rPr>
              <w:t xml:space="preserve">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407C97"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5F88CB1"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3A21FE"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36CFE2"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D1FD4D"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7854AB" w:rsidRPr="00005453" w14:paraId="118A0467" w14:textId="77777777" w:rsidTr="007854AB">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64C4850" w14:textId="77777777" w:rsidR="007854AB" w:rsidRPr="00005453" w:rsidRDefault="007854AB" w:rsidP="007854AB">
            <w:pPr>
              <w:spacing w:line="305" w:lineRule="atLeast"/>
              <w:rPr>
                <w:sz w:val="16"/>
                <w:szCs w:val="16"/>
                <w:lang w:eastAsia="tr-TR"/>
              </w:rPr>
            </w:pPr>
            <w:r w:rsidRPr="00005453">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7EF30F" w14:textId="77777777" w:rsidR="007854AB" w:rsidRPr="00005453" w:rsidRDefault="007854AB" w:rsidP="007854AB">
            <w:pPr>
              <w:spacing w:line="305" w:lineRule="atLeast"/>
              <w:ind w:left="317"/>
              <w:rPr>
                <w:sz w:val="16"/>
                <w:szCs w:val="16"/>
                <w:lang w:eastAsia="tr-TR"/>
              </w:rPr>
            </w:pPr>
            <w:r w:rsidRPr="00005453">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C3F8A06" w14:textId="77777777" w:rsidR="007854AB" w:rsidRPr="00005453" w:rsidRDefault="007854AB" w:rsidP="007854AB">
            <w:pPr>
              <w:jc w:val="right"/>
              <w:rPr>
                <w:color w:val="000000"/>
                <w:sz w:val="16"/>
                <w:szCs w:val="16"/>
              </w:rPr>
            </w:pPr>
            <w:r w:rsidRPr="00005453">
              <w:rPr>
                <w:color w:val="000000"/>
                <w:sz w:val="16"/>
                <w:szCs w:val="22"/>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C9EE086" w14:textId="77777777" w:rsidR="007854AB" w:rsidRPr="00005453" w:rsidRDefault="007854AB" w:rsidP="007854AB">
            <w:pPr>
              <w:jc w:val="right"/>
              <w:rPr>
                <w:color w:val="000000"/>
                <w:sz w:val="16"/>
                <w:szCs w:val="16"/>
              </w:rPr>
            </w:pPr>
            <w:r w:rsidRPr="00005453">
              <w:rPr>
                <w:color w:val="000000"/>
                <w:sz w:val="16"/>
                <w:szCs w:val="22"/>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182E13" w14:textId="77777777" w:rsidR="007854AB" w:rsidRPr="00005453" w:rsidRDefault="007854AB" w:rsidP="007854AB">
            <w:pPr>
              <w:jc w:val="right"/>
              <w:rPr>
                <w:color w:val="000000"/>
                <w:sz w:val="16"/>
                <w:szCs w:val="16"/>
              </w:rPr>
            </w:pPr>
            <w:r w:rsidRPr="00005453">
              <w:rPr>
                <w:color w:val="000000"/>
                <w:sz w:val="16"/>
                <w:szCs w:val="22"/>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AC6DFD" w14:textId="77777777" w:rsidR="007854AB" w:rsidRPr="00005453" w:rsidRDefault="007854AB" w:rsidP="007854AB">
            <w:pPr>
              <w:jc w:val="right"/>
              <w:rPr>
                <w:color w:val="000000"/>
                <w:sz w:val="16"/>
                <w:szCs w:val="16"/>
              </w:rPr>
            </w:pPr>
            <w:r w:rsidRPr="00005453">
              <w:rPr>
                <w:color w:val="000000"/>
                <w:sz w:val="16"/>
                <w:szCs w:val="22"/>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0449A4" w14:textId="77777777" w:rsidR="007854AB" w:rsidRPr="00005453" w:rsidRDefault="007854AB" w:rsidP="007854AB">
            <w:pPr>
              <w:jc w:val="right"/>
              <w:rPr>
                <w:color w:val="000000"/>
                <w:sz w:val="16"/>
                <w:szCs w:val="16"/>
              </w:rPr>
            </w:pPr>
            <w:r w:rsidRPr="00005453">
              <w:rPr>
                <w:color w:val="000000"/>
                <w:sz w:val="16"/>
                <w:szCs w:val="22"/>
              </w:rPr>
              <w:t>13,304,744</w:t>
            </w:r>
          </w:p>
        </w:tc>
      </w:tr>
      <w:tr w:rsidR="007854AB" w:rsidRPr="00005453" w14:paraId="497D23EF" w14:textId="77777777" w:rsidTr="007854AB">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6D7A594" w14:textId="77777777" w:rsidR="007854AB" w:rsidRPr="00005453" w:rsidRDefault="007854AB" w:rsidP="007854AB">
            <w:pPr>
              <w:spacing w:line="305" w:lineRule="atLeast"/>
              <w:rPr>
                <w:sz w:val="16"/>
                <w:szCs w:val="16"/>
                <w:lang w:eastAsia="tr-TR"/>
              </w:rPr>
            </w:pPr>
            <w:r w:rsidRPr="00005453">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9F80784" w14:textId="77777777" w:rsidR="007854AB" w:rsidRPr="00005453" w:rsidRDefault="007854AB" w:rsidP="007854AB">
            <w:pPr>
              <w:spacing w:line="305" w:lineRule="atLeast"/>
              <w:rPr>
                <w:sz w:val="16"/>
                <w:szCs w:val="16"/>
                <w:lang w:eastAsia="tr-TR"/>
              </w:rPr>
            </w:pPr>
            <w:r w:rsidRPr="00005453">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B452A65" w14:textId="77777777" w:rsidR="007854AB" w:rsidRPr="00005453" w:rsidRDefault="007854AB" w:rsidP="007854A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7783D8F"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ADE5AC3"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F4CAD13" w14:textId="77777777" w:rsidR="007854AB" w:rsidRPr="00005453" w:rsidRDefault="007854AB" w:rsidP="007854A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B98A19F" w14:textId="77777777" w:rsidR="007854AB" w:rsidRPr="00005453" w:rsidRDefault="007854AB" w:rsidP="007854AB">
            <w:pPr>
              <w:spacing w:line="305" w:lineRule="atLeast"/>
              <w:jc w:val="right"/>
              <w:rPr>
                <w:sz w:val="16"/>
                <w:szCs w:val="16"/>
                <w:lang w:eastAsia="tr-TR"/>
              </w:rPr>
            </w:pPr>
          </w:p>
        </w:tc>
      </w:tr>
      <w:tr w:rsidR="007854AB" w:rsidRPr="00005453" w14:paraId="3EF29B45"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0D85320" w14:textId="77777777" w:rsidR="007854AB" w:rsidRPr="00005453" w:rsidRDefault="007854AB" w:rsidP="007854AB">
            <w:pPr>
              <w:spacing w:line="305" w:lineRule="atLeast"/>
              <w:rPr>
                <w:sz w:val="16"/>
                <w:szCs w:val="16"/>
                <w:lang w:eastAsia="tr-TR"/>
              </w:rPr>
            </w:pPr>
            <w:r w:rsidRPr="00005453">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5F9E184" w14:textId="77777777" w:rsidR="007854AB" w:rsidRPr="00005453" w:rsidRDefault="007854AB" w:rsidP="007854AB">
            <w:pPr>
              <w:spacing w:line="305" w:lineRule="atLeast"/>
              <w:rPr>
                <w:sz w:val="16"/>
                <w:szCs w:val="16"/>
                <w:lang w:eastAsia="tr-TR"/>
              </w:rPr>
            </w:pPr>
            <w:r w:rsidRPr="00005453">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4D7E90" w14:textId="77777777" w:rsidR="007854AB" w:rsidRPr="00005453" w:rsidRDefault="007854AB" w:rsidP="007854AB">
            <w:pPr>
              <w:jc w:val="right"/>
              <w:rPr>
                <w:color w:val="000000"/>
                <w:sz w:val="16"/>
                <w:szCs w:val="16"/>
              </w:rPr>
            </w:pPr>
            <w:r w:rsidRPr="00005453">
              <w:rPr>
                <w:color w:val="000000"/>
                <w:sz w:val="16"/>
                <w:szCs w:val="22"/>
              </w:rPr>
              <w:t>56,578,822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FD2C96" w14:textId="77777777" w:rsidR="007854AB" w:rsidRPr="00005453" w:rsidRDefault="007854AB" w:rsidP="007854AB">
            <w:pPr>
              <w:jc w:val="right"/>
              <w:rPr>
                <w:color w:val="000000"/>
                <w:sz w:val="16"/>
                <w:szCs w:val="16"/>
              </w:rPr>
            </w:pPr>
            <w:r w:rsidRPr="00005453">
              <w:rPr>
                <w:color w:val="000000"/>
                <w:sz w:val="16"/>
                <w:szCs w:val="22"/>
              </w:rPr>
              <w:t>43,178,206</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4A43AE7" w14:textId="77777777" w:rsidR="007854AB" w:rsidRPr="00005453" w:rsidRDefault="007854AB" w:rsidP="007854AB">
            <w:pPr>
              <w:jc w:val="right"/>
              <w:rPr>
                <w:color w:val="000000"/>
                <w:sz w:val="16"/>
                <w:szCs w:val="16"/>
              </w:rPr>
            </w:pPr>
            <w:r w:rsidRPr="00005453">
              <w:rPr>
                <w:color w:val="000000"/>
                <w:sz w:val="16"/>
                <w:szCs w:val="22"/>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B74838A" w14:textId="77777777" w:rsidR="007854AB" w:rsidRPr="00005453" w:rsidRDefault="007854AB" w:rsidP="007854AB">
            <w:pPr>
              <w:jc w:val="right"/>
              <w:rPr>
                <w:color w:val="000000"/>
                <w:sz w:val="16"/>
                <w:szCs w:val="16"/>
              </w:rPr>
            </w:pPr>
            <w:r w:rsidRPr="00005453">
              <w:rPr>
                <w:color w:val="000000"/>
                <w:sz w:val="16"/>
                <w:szCs w:val="22"/>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E713E1" w14:textId="77777777" w:rsidR="007854AB" w:rsidRPr="00005453" w:rsidRDefault="007854AB" w:rsidP="007854AB">
            <w:pPr>
              <w:jc w:val="right"/>
              <w:rPr>
                <w:color w:val="000000"/>
                <w:sz w:val="16"/>
                <w:szCs w:val="16"/>
              </w:rPr>
            </w:pPr>
            <w:r w:rsidRPr="00005453">
              <w:rPr>
                <w:color w:val="000000"/>
                <w:sz w:val="16"/>
                <w:szCs w:val="22"/>
              </w:rPr>
              <w:t>71,872,689</w:t>
            </w:r>
          </w:p>
        </w:tc>
      </w:tr>
      <w:tr w:rsidR="007854AB" w:rsidRPr="00005453" w14:paraId="01BD15E7" w14:textId="77777777" w:rsidTr="007854AB">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C3B7B8E" w14:textId="77777777" w:rsidR="007854AB" w:rsidRPr="00005453" w:rsidRDefault="007854AB" w:rsidP="007854AB">
            <w:pPr>
              <w:spacing w:line="305" w:lineRule="atLeast"/>
              <w:rPr>
                <w:sz w:val="16"/>
                <w:szCs w:val="16"/>
                <w:lang w:eastAsia="tr-TR"/>
              </w:rPr>
            </w:pPr>
            <w:r w:rsidRPr="00005453">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1000075" w14:textId="77777777" w:rsidR="007854AB" w:rsidRPr="00005453" w:rsidRDefault="007854AB" w:rsidP="007854AB">
            <w:pPr>
              <w:spacing w:line="305" w:lineRule="atLeast"/>
              <w:ind w:left="317"/>
              <w:rPr>
                <w:sz w:val="16"/>
                <w:szCs w:val="16"/>
                <w:lang w:eastAsia="tr-TR"/>
              </w:rPr>
            </w:pPr>
            <w:r w:rsidRPr="00005453">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1E445F" w14:textId="77777777" w:rsidR="007854AB" w:rsidRPr="00005453" w:rsidRDefault="007854AB" w:rsidP="007854AB">
            <w:pPr>
              <w:jc w:val="right"/>
              <w:rPr>
                <w:color w:val="000000"/>
                <w:sz w:val="16"/>
                <w:szCs w:val="16"/>
              </w:rPr>
            </w:pPr>
            <w:r w:rsidRPr="00005453">
              <w:rPr>
                <w:color w:val="000000"/>
                <w:sz w:val="16"/>
                <w:szCs w:val="22"/>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C31CF5F" w14:textId="77777777" w:rsidR="007854AB" w:rsidRPr="00005453" w:rsidRDefault="007854AB" w:rsidP="007854AB">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DED47B4" w14:textId="77777777" w:rsidR="007854AB" w:rsidRPr="00005453" w:rsidRDefault="007854AB" w:rsidP="007854A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2E49637" w14:textId="77777777" w:rsidR="007854AB" w:rsidRPr="00005453" w:rsidRDefault="007854AB" w:rsidP="007854AB">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637CF2" w14:textId="77777777" w:rsidR="007854AB" w:rsidRPr="00005453" w:rsidRDefault="007854AB" w:rsidP="007854AB">
            <w:pPr>
              <w:jc w:val="right"/>
              <w:rPr>
                <w:color w:val="000000"/>
                <w:sz w:val="16"/>
                <w:szCs w:val="16"/>
              </w:rPr>
            </w:pPr>
            <w:r w:rsidRPr="00005453">
              <w:rPr>
                <w:color w:val="000000"/>
                <w:sz w:val="16"/>
                <w:szCs w:val="22"/>
              </w:rPr>
              <w:t>8,367,197</w:t>
            </w:r>
          </w:p>
        </w:tc>
      </w:tr>
      <w:tr w:rsidR="007854AB" w:rsidRPr="00005453" w14:paraId="65296DC3" w14:textId="77777777" w:rsidTr="007854AB">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DFDFC0F" w14:textId="77777777" w:rsidR="007854AB" w:rsidRPr="00005453" w:rsidRDefault="007854AB" w:rsidP="007854AB">
            <w:pPr>
              <w:spacing w:line="305" w:lineRule="atLeast"/>
              <w:rPr>
                <w:sz w:val="16"/>
                <w:szCs w:val="16"/>
                <w:lang w:eastAsia="tr-TR"/>
              </w:rPr>
            </w:pPr>
            <w:r w:rsidRPr="00005453">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3BBADAF"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02E212" w14:textId="77777777" w:rsidR="007854AB" w:rsidRPr="00005453" w:rsidRDefault="007854AB" w:rsidP="007854A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A7C206"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5CB5931" w14:textId="77777777" w:rsidR="007854AB" w:rsidRPr="00005453" w:rsidRDefault="007854AB" w:rsidP="007854AB">
            <w:pPr>
              <w:spacing w:line="305" w:lineRule="atLeast"/>
              <w:jc w:val="right"/>
              <w:rPr>
                <w:sz w:val="16"/>
                <w:szCs w:val="16"/>
                <w:lang w:eastAsia="tr-TR"/>
              </w:rPr>
            </w:pPr>
            <w:r w:rsidRPr="00005453">
              <w:rPr>
                <w:sz w:val="16"/>
                <w:szCs w:val="16"/>
                <w:lang w:eastAsia="tr-TR"/>
              </w:rPr>
              <w:t>-</w:t>
            </w:r>
          </w:p>
        </w:tc>
      </w:tr>
      <w:tr w:rsidR="007854AB" w:rsidRPr="00005453" w14:paraId="6DC9B929"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164BE31" w14:textId="77777777" w:rsidR="007854AB" w:rsidRPr="00005453" w:rsidRDefault="007854AB" w:rsidP="007854AB">
            <w:pPr>
              <w:spacing w:line="305" w:lineRule="atLeast"/>
              <w:rPr>
                <w:sz w:val="16"/>
                <w:szCs w:val="16"/>
                <w:lang w:eastAsia="tr-TR"/>
              </w:rPr>
            </w:pPr>
            <w:r w:rsidRPr="00005453">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0E103F1"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60F97D" w14:textId="77777777" w:rsidR="007854AB" w:rsidRPr="00005453" w:rsidRDefault="007854AB" w:rsidP="007854A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4FF395" w14:textId="77777777" w:rsidR="007854AB" w:rsidRPr="00005453" w:rsidRDefault="007854AB" w:rsidP="007854AB">
            <w:pPr>
              <w:jc w:val="right"/>
              <w:rPr>
                <w:color w:val="000000"/>
                <w:sz w:val="16"/>
                <w:szCs w:val="16"/>
              </w:rPr>
            </w:pPr>
            <w:r w:rsidRPr="00005453">
              <w:rPr>
                <w:color w:val="000000"/>
                <w:sz w:val="16"/>
                <w:szCs w:val="22"/>
              </w:rPr>
              <w:t>1,440,182</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40820B" w14:textId="77777777" w:rsidR="007854AB" w:rsidRPr="00005453" w:rsidRDefault="007854AB" w:rsidP="007854AB">
            <w:pPr>
              <w:jc w:val="right"/>
              <w:rPr>
                <w:color w:val="000000"/>
                <w:sz w:val="16"/>
                <w:szCs w:val="16"/>
              </w:rPr>
            </w:pPr>
            <w:r w:rsidRPr="00005453">
              <w:rPr>
                <w:color w:val="000000"/>
                <w:sz w:val="16"/>
                <w:szCs w:val="22"/>
              </w:rPr>
              <w:t>1,440,182</w:t>
            </w:r>
          </w:p>
        </w:tc>
      </w:tr>
      <w:tr w:rsidR="007854AB" w:rsidRPr="00005453" w14:paraId="042ADE38" w14:textId="77777777" w:rsidTr="007854AB">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ED13993" w14:textId="77777777" w:rsidR="007854AB" w:rsidRPr="00005453" w:rsidRDefault="007854AB" w:rsidP="007854AB">
            <w:pPr>
              <w:spacing w:line="305" w:lineRule="atLeast"/>
              <w:rPr>
                <w:sz w:val="16"/>
                <w:szCs w:val="16"/>
                <w:lang w:eastAsia="tr-TR"/>
              </w:rPr>
            </w:pPr>
            <w:r w:rsidRPr="00005453">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B9ABAF4" w14:textId="77777777" w:rsidR="007854AB" w:rsidRPr="00005453" w:rsidRDefault="007854AB" w:rsidP="007854AB">
            <w:pPr>
              <w:spacing w:line="305" w:lineRule="atLeast"/>
              <w:ind w:left="317"/>
              <w:rPr>
                <w:sz w:val="16"/>
                <w:szCs w:val="16"/>
                <w:lang w:eastAsia="tr-TR"/>
              </w:rPr>
            </w:pPr>
            <w:r w:rsidRPr="00005453">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031AE7" w14:textId="77777777" w:rsidR="007854AB" w:rsidRPr="00005453" w:rsidRDefault="007854AB" w:rsidP="007854A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42BD7EC" w14:textId="77777777" w:rsidR="007854AB" w:rsidRPr="00005453" w:rsidRDefault="007854AB" w:rsidP="007854AB">
            <w:pPr>
              <w:jc w:val="right"/>
              <w:rPr>
                <w:color w:val="000000"/>
                <w:sz w:val="16"/>
                <w:szCs w:val="16"/>
              </w:rPr>
            </w:pPr>
            <w:r w:rsidRPr="00005453">
              <w:rPr>
                <w:color w:val="000000"/>
                <w:sz w:val="16"/>
                <w:szCs w:val="22"/>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0767EE" w14:textId="77777777" w:rsidR="007854AB" w:rsidRPr="00005453" w:rsidRDefault="007854AB" w:rsidP="007854AB">
            <w:pPr>
              <w:jc w:val="right"/>
              <w:rPr>
                <w:color w:val="000000"/>
                <w:sz w:val="16"/>
                <w:szCs w:val="16"/>
              </w:rPr>
            </w:pPr>
            <w:r w:rsidRPr="00005453">
              <w:rPr>
                <w:color w:val="000000"/>
                <w:sz w:val="16"/>
                <w:szCs w:val="22"/>
              </w:rPr>
              <w:t>15,330,249</w:t>
            </w:r>
          </w:p>
        </w:tc>
      </w:tr>
      <w:tr w:rsidR="007854AB" w:rsidRPr="00005453" w14:paraId="6162D4DA" w14:textId="77777777" w:rsidTr="007854AB">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B9BCC21" w14:textId="77777777" w:rsidR="007854AB" w:rsidRPr="00005453" w:rsidRDefault="007854AB" w:rsidP="007854AB">
            <w:pPr>
              <w:spacing w:line="305" w:lineRule="atLeast"/>
              <w:rPr>
                <w:sz w:val="16"/>
                <w:szCs w:val="16"/>
                <w:lang w:eastAsia="tr-TR"/>
              </w:rPr>
            </w:pPr>
            <w:r w:rsidRPr="00005453">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2F2FA43" w14:textId="77777777" w:rsidR="007854AB" w:rsidRPr="00005453" w:rsidRDefault="007854AB" w:rsidP="007854AB">
            <w:pPr>
              <w:spacing w:line="305" w:lineRule="atLeast"/>
              <w:ind w:left="317"/>
              <w:rPr>
                <w:sz w:val="16"/>
                <w:szCs w:val="16"/>
                <w:lang w:eastAsia="tr-TR"/>
              </w:rPr>
            </w:pPr>
            <w:r w:rsidRPr="00005453">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E77A1F2" w14:textId="77777777" w:rsidR="007854AB" w:rsidRPr="00005453" w:rsidRDefault="007854AB" w:rsidP="007854AB">
            <w:pPr>
              <w:jc w:val="right"/>
              <w:rPr>
                <w:color w:val="000000"/>
                <w:sz w:val="16"/>
                <w:szCs w:val="16"/>
              </w:rPr>
            </w:pPr>
            <w:r w:rsidRPr="00005453">
              <w:rPr>
                <w:color w:val="000000"/>
                <w:sz w:val="16"/>
                <w:szCs w:val="22"/>
              </w:rPr>
              <w:t>46,735,061</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E8CB74D" w14:textId="77777777" w:rsidR="007854AB" w:rsidRPr="00005453" w:rsidRDefault="007854AB" w:rsidP="007854AB">
            <w:pPr>
              <w:jc w:val="right"/>
              <w:rPr>
                <w:color w:val="000000"/>
                <w:sz w:val="16"/>
                <w:szCs w:val="16"/>
              </w:rPr>
            </w:pPr>
            <w:r w:rsidRPr="00005453">
              <w:rPr>
                <w:color w:val="000000"/>
                <w:sz w:val="16"/>
                <w:szCs w:val="22"/>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60DE83" w14:textId="77777777" w:rsidR="007854AB" w:rsidRPr="00005453" w:rsidRDefault="007854AB" w:rsidP="007854AB">
            <w:pPr>
              <w:jc w:val="right"/>
              <w:rPr>
                <w:color w:val="000000"/>
                <w:sz w:val="16"/>
                <w:szCs w:val="16"/>
              </w:rPr>
            </w:pPr>
            <w:r w:rsidRPr="00005453">
              <w:rPr>
                <w:color w:val="000000"/>
                <w:sz w:val="16"/>
                <w:szCs w:val="22"/>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A4523C1" w14:textId="77777777" w:rsidR="007854AB" w:rsidRPr="00005453" w:rsidRDefault="007854AB" w:rsidP="007854AB">
            <w:pPr>
              <w:jc w:val="right"/>
              <w:rPr>
                <w:color w:val="000000"/>
                <w:sz w:val="16"/>
                <w:szCs w:val="16"/>
              </w:rPr>
            </w:pPr>
            <w:r w:rsidRPr="00005453">
              <w:rPr>
                <w:color w:val="000000"/>
                <w:sz w:val="16"/>
                <w:szCs w:val="22"/>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7966A0" w14:textId="77777777" w:rsidR="007854AB" w:rsidRPr="00005453" w:rsidRDefault="007854AB" w:rsidP="007854AB">
            <w:pPr>
              <w:jc w:val="right"/>
              <w:rPr>
                <w:color w:val="000000"/>
                <w:sz w:val="16"/>
                <w:szCs w:val="16"/>
              </w:rPr>
            </w:pPr>
            <w:r w:rsidRPr="00005453">
              <w:rPr>
                <w:color w:val="000000"/>
                <w:sz w:val="16"/>
                <w:szCs w:val="22"/>
              </w:rPr>
              <w:t>46,735,061</w:t>
            </w:r>
          </w:p>
        </w:tc>
      </w:tr>
      <w:tr w:rsidR="007854AB" w:rsidRPr="00005453" w14:paraId="6C46F1E2"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78C8909" w14:textId="77777777" w:rsidR="007854AB" w:rsidRPr="00005453" w:rsidRDefault="007854AB" w:rsidP="007854AB">
            <w:pPr>
              <w:spacing w:line="305" w:lineRule="atLeast"/>
              <w:rPr>
                <w:sz w:val="16"/>
                <w:szCs w:val="16"/>
                <w:lang w:eastAsia="tr-TR"/>
              </w:rPr>
            </w:pPr>
            <w:r w:rsidRPr="00005453">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571EFF1" w14:textId="77777777" w:rsidR="007854AB" w:rsidRPr="00005453" w:rsidRDefault="007854AB" w:rsidP="007854AB">
            <w:pPr>
              <w:spacing w:line="305" w:lineRule="atLeast"/>
              <w:rPr>
                <w:sz w:val="16"/>
                <w:szCs w:val="16"/>
                <w:lang w:eastAsia="tr-TR"/>
              </w:rPr>
            </w:pPr>
            <w:r w:rsidRPr="00005453">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F0EC9F2" w14:textId="77777777" w:rsidR="007854AB" w:rsidRPr="00005453" w:rsidRDefault="007854AB" w:rsidP="007854A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565F0C7" w14:textId="77777777" w:rsidR="007854AB" w:rsidRPr="00005453" w:rsidRDefault="007854AB" w:rsidP="007854AB">
            <w:pPr>
              <w:jc w:val="right"/>
              <w:rPr>
                <w:color w:val="000000"/>
                <w:sz w:val="16"/>
                <w:szCs w:val="16"/>
              </w:rPr>
            </w:pPr>
            <w:r w:rsidRPr="00005453">
              <w:rPr>
                <w:color w:val="000000"/>
                <w:sz w:val="16"/>
                <w:szCs w:val="22"/>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D2CE0B" w14:textId="77777777" w:rsidR="007854AB" w:rsidRPr="00005453" w:rsidRDefault="007854AB" w:rsidP="007854AB">
            <w:pPr>
              <w:jc w:val="right"/>
              <w:rPr>
                <w:color w:val="000000"/>
                <w:sz w:val="16"/>
                <w:szCs w:val="16"/>
              </w:rPr>
            </w:pPr>
            <w:r w:rsidRPr="00005453">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C376E57" w14:textId="77777777" w:rsidR="007854AB" w:rsidRPr="00005453" w:rsidRDefault="007854AB" w:rsidP="007854AB">
            <w:pPr>
              <w:jc w:val="right"/>
              <w:rPr>
                <w:color w:val="000000"/>
                <w:sz w:val="16"/>
                <w:szCs w:val="16"/>
              </w:rPr>
            </w:pPr>
            <w:r w:rsidRPr="00005453">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90BA47" w14:textId="77777777" w:rsidR="007854AB" w:rsidRPr="00005453" w:rsidRDefault="007854AB" w:rsidP="007854AB">
            <w:pPr>
              <w:jc w:val="right"/>
              <w:rPr>
                <w:color w:val="000000"/>
                <w:sz w:val="16"/>
                <w:szCs w:val="16"/>
              </w:rPr>
            </w:pPr>
            <w:r w:rsidRPr="00005453">
              <w:rPr>
                <w:color w:val="000000"/>
                <w:sz w:val="16"/>
                <w:szCs w:val="22"/>
              </w:rPr>
              <w:t>2,878,889</w:t>
            </w:r>
          </w:p>
        </w:tc>
      </w:tr>
      <w:tr w:rsidR="007854AB" w:rsidRPr="00005453" w14:paraId="04A8EEA2" w14:textId="77777777" w:rsidTr="007854A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8BA5EDD" w14:textId="77777777" w:rsidR="007854AB" w:rsidRPr="00005453" w:rsidRDefault="007854AB" w:rsidP="007854AB">
            <w:pPr>
              <w:spacing w:line="305" w:lineRule="atLeast"/>
              <w:rPr>
                <w:sz w:val="16"/>
                <w:szCs w:val="16"/>
                <w:lang w:eastAsia="tr-TR"/>
              </w:rPr>
            </w:pPr>
            <w:r w:rsidRPr="00005453">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0D6368E" w14:textId="77777777" w:rsidR="007854AB" w:rsidRPr="00005453" w:rsidRDefault="007854AB" w:rsidP="007854AB">
            <w:pPr>
              <w:spacing w:line="305" w:lineRule="atLeast"/>
              <w:rPr>
                <w:sz w:val="16"/>
                <w:szCs w:val="16"/>
                <w:lang w:eastAsia="tr-TR"/>
              </w:rPr>
            </w:pPr>
            <w:r w:rsidRPr="00005453">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4F79936" w14:textId="77777777" w:rsidR="007854AB" w:rsidRPr="00005453" w:rsidRDefault="007854AB" w:rsidP="007854A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9BD8C3A"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7B95E38"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D605951" w14:textId="77777777" w:rsidR="007854AB" w:rsidRPr="00005453" w:rsidRDefault="007854AB" w:rsidP="007854A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44F637F" w14:textId="77777777" w:rsidR="007854AB" w:rsidRPr="00005453" w:rsidRDefault="007854AB" w:rsidP="007854AB">
            <w:pPr>
              <w:jc w:val="right"/>
              <w:rPr>
                <w:b/>
                <w:color w:val="000000"/>
                <w:sz w:val="16"/>
                <w:szCs w:val="16"/>
              </w:rPr>
            </w:pPr>
            <w:r w:rsidRPr="00005453">
              <w:rPr>
                <w:b/>
                <w:color w:val="000000"/>
                <w:sz w:val="16"/>
                <w:szCs w:val="22"/>
              </w:rPr>
              <w:t>311,681,380</w:t>
            </w:r>
          </w:p>
        </w:tc>
      </w:tr>
      <w:tr w:rsidR="007854AB" w:rsidRPr="00005453" w14:paraId="0917953A" w14:textId="77777777" w:rsidTr="007854AB">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FD77B1E" w14:textId="77777777" w:rsidR="007854AB" w:rsidRPr="00005453" w:rsidRDefault="007854AB" w:rsidP="007854AB">
            <w:pPr>
              <w:spacing w:line="305" w:lineRule="atLeast"/>
              <w:rPr>
                <w:sz w:val="16"/>
                <w:szCs w:val="16"/>
                <w:lang w:eastAsia="tr-TR"/>
              </w:rPr>
            </w:pPr>
            <w:r w:rsidRPr="00005453">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89B0590" w14:textId="77777777" w:rsidR="007854AB" w:rsidRPr="00005453" w:rsidRDefault="007854AB" w:rsidP="007854AB">
            <w:pPr>
              <w:spacing w:line="305" w:lineRule="atLeast"/>
              <w:rPr>
                <w:sz w:val="16"/>
                <w:szCs w:val="16"/>
                <w:lang w:eastAsia="tr-TR"/>
              </w:rPr>
            </w:pPr>
            <w:r w:rsidRPr="00005453">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E315316" w14:textId="77777777" w:rsidR="007854AB" w:rsidRPr="00005453" w:rsidRDefault="007854AB" w:rsidP="007854A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54D2A70" w14:textId="77777777" w:rsidR="007854AB" w:rsidRPr="00005453" w:rsidRDefault="007854AB" w:rsidP="007854A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C61F469" w14:textId="77777777" w:rsidR="007854AB" w:rsidRPr="00005453" w:rsidRDefault="007854AB" w:rsidP="007854A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EA454C" w14:textId="77777777" w:rsidR="007854AB" w:rsidRPr="00005453" w:rsidRDefault="007854AB" w:rsidP="007854AB">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A7156B1" w14:textId="77777777" w:rsidR="007854AB" w:rsidRPr="00005453" w:rsidRDefault="007854AB" w:rsidP="007854AB">
            <w:pPr>
              <w:jc w:val="right"/>
              <w:rPr>
                <w:b/>
                <w:color w:val="000000"/>
                <w:sz w:val="16"/>
                <w:szCs w:val="16"/>
              </w:rPr>
            </w:pPr>
            <w:r w:rsidRPr="00005453">
              <w:rPr>
                <w:b/>
                <w:color w:val="000000"/>
                <w:sz w:val="16"/>
                <w:szCs w:val="22"/>
              </w:rPr>
              <w:t>166.61</w:t>
            </w:r>
          </w:p>
        </w:tc>
      </w:tr>
    </w:tbl>
    <w:p w14:paraId="5A5CEA7B" w14:textId="77777777" w:rsidR="00826DA7" w:rsidRPr="00005453" w:rsidRDefault="00826DA7" w:rsidP="0067330F">
      <w:pPr>
        <w:pStyle w:val="BodyText"/>
        <w:tabs>
          <w:tab w:val="left" w:pos="709"/>
        </w:tabs>
        <w:ind w:left="709" w:hanging="709"/>
        <w:rPr>
          <w:rFonts w:eastAsia="Arial Unicode MS"/>
          <w:sz w:val="14"/>
          <w:szCs w:val="14"/>
        </w:rPr>
      </w:pPr>
    </w:p>
    <w:p w14:paraId="399C61D3" w14:textId="7A182D2C" w:rsidR="000A24A4" w:rsidRPr="00005453" w:rsidRDefault="00C47A3E" w:rsidP="006D0ADC">
      <w:pPr>
        <w:pStyle w:val="BodyText"/>
        <w:ind w:hanging="567"/>
        <w:rPr>
          <w:b/>
          <w:color w:val="000000"/>
        </w:rPr>
      </w:pPr>
      <w:r w:rsidRPr="00005453">
        <w:rPr>
          <w:rFonts w:eastAsia="Arial Unicode MS"/>
          <w:sz w:val="14"/>
          <w:szCs w:val="14"/>
        </w:rPr>
        <w:br w:type="page"/>
      </w:r>
      <w:r w:rsidR="0054031F" w:rsidRPr="00005453">
        <w:rPr>
          <w:b/>
          <w:color w:val="000000"/>
        </w:rPr>
        <w:lastRenderedPageBreak/>
        <w:t>6</w:t>
      </w:r>
      <w:r w:rsidR="0067330F" w:rsidRPr="00005453">
        <w:rPr>
          <w:b/>
          <w:color w:val="000000"/>
        </w:rPr>
        <w:t xml:space="preserve">.    </w:t>
      </w:r>
      <w:r w:rsidR="00924E1D" w:rsidRPr="00005453">
        <w:rPr>
          <w:b/>
          <w:color w:val="000000"/>
        </w:rPr>
        <w:t xml:space="preserve"> </w:t>
      </w:r>
      <w:r w:rsidR="006D0ADC" w:rsidRPr="00005453">
        <w:rPr>
          <w:b/>
          <w:color w:val="000000"/>
        </w:rPr>
        <w:t xml:space="preserve">   </w:t>
      </w:r>
      <w:r w:rsidR="0067330F" w:rsidRPr="00005453">
        <w:rPr>
          <w:b/>
          <w:color w:val="000000"/>
        </w:rPr>
        <w:t>Kaldı</w:t>
      </w:r>
      <w:r w:rsidR="00CD4650" w:rsidRPr="00005453">
        <w:rPr>
          <w:b/>
          <w:color w:val="000000"/>
        </w:rPr>
        <w:t>raç oranına ilişkin açıklamalar</w:t>
      </w:r>
    </w:p>
    <w:p w14:paraId="3F61C022" w14:textId="77777777" w:rsidR="0037725A" w:rsidRPr="00005453" w:rsidRDefault="0037725A" w:rsidP="0037725A">
      <w:pPr>
        <w:rPr>
          <w:b/>
          <w:sz w:val="16"/>
          <w:szCs w:val="16"/>
        </w:rPr>
      </w:pPr>
    </w:p>
    <w:p w14:paraId="2414A215" w14:textId="11EEA72A" w:rsidR="00EE24EC" w:rsidRPr="00005453" w:rsidRDefault="00EE24EC" w:rsidP="0037725A">
      <w:pPr>
        <w:rPr>
          <w:b/>
        </w:rPr>
      </w:pPr>
      <w:r w:rsidRPr="00005453">
        <w:rPr>
          <w:b/>
          <w:color w:val="000000"/>
        </w:rPr>
        <w:t>Kaldıraç oranı kamuya açıklama şablonu</w:t>
      </w:r>
    </w:p>
    <w:p w14:paraId="469ACF47" w14:textId="77777777" w:rsidR="00EE24EC" w:rsidRPr="00005453" w:rsidRDefault="00EE24EC" w:rsidP="0037725A">
      <w:pPr>
        <w:rPr>
          <w:b/>
          <w:sz w:val="16"/>
          <w:szCs w:val="16"/>
        </w:rPr>
      </w:pPr>
    </w:p>
    <w:p w14:paraId="458EF44F" w14:textId="77777777" w:rsidR="00124938" w:rsidRPr="00005453" w:rsidRDefault="00124938" w:rsidP="00124938">
      <w:pPr>
        <w:ind w:right="-2"/>
        <w:jc w:val="both"/>
      </w:pPr>
      <w:r w:rsidRPr="00005453">
        <w:t>5 Kasım 2013 tarihli ve 28812 sayılı Resmî Gazete’de yayımlanan “Bankaların Kaldıraç Düzeyinin Ölçülmesine ve Değerlendirilmesine İlişkin Yönetmelik” uyarınca hesaplanan kaldıraç oranına ilişkin tablo aşağıda yer almaktadır.</w:t>
      </w:r>
    </w:p>
    <w:p w14:paraId="2D844A51" w14:textId="1DA798BF" w:rsidR="00B35061" w:rsidRPr="00005453" w:rsidRDefault="00B35061" w:rsidP="00ED269F">
      <w:pPr>
        <w:rPr>
          <w:lang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B35061" w:rsidRPr="00005453" w14:paraId="68FD33E3" w14:textId="77777777" w:rsidTr="007D0F7A">
        <w:trPr>
          <w:divId w:val="1763067817"/>
          <w:trHeight w:val="183"/>
        </w:trPr>
        <w:tc>
          <w:tcPr>
            <w:tcW w:w="5969" w:type="dxa"/>
            <w:gridSpan w:val="2"/>
            <w:tcBorders>
              <w:top w:val="single" w:sz="8" w:space="0" w:color="auto"/>
              <w:left w:val="single" w:sz="8" w:space="0" w:color="auto"/>
              <w:bottom w:val="single" w:sz="8" w:space="0" w:color="auto"/>
              <w:right w:val="nil"/>
            </w:tcBorders>
            <w:shd w:val="clear" w:color="auto" w:fill="auto"/>
            <w:vAlign w:val="center"/>
            <w:hideMark/>
          </w:tcPr>
          <w:p w14:paraId="4ACE70F9" w14:textId="645860BE" w:rsidR="00B35061" w:rsidRPr="00005453" w:rsidRDefault="00B35061" w:rsidP="00B35061">
            <w:pPr>
              <w:jc w:val="center"/>
              <w:rPr>
                <w:b/>
                <w:bCs/>
                <w:color w:val="000000"/>
                <w:sz w:val="16"/>
                <w:szCs w:val="16"/>
                <w:lang w:eastAsia="tr-TR"/>
              </w:rPr>
            </w:pPr>
            <w:r w:rsidRPr="00005453">
              <w:rPr>
                <w:b/>
                <w:bCs/>
                <w:color w:val="000000"/>
                <w:sz w:val="16"/>
                <w:szCs w:val="16"/>
                <w:lang w:eastAsia="tr-TR"/>
              </w:rPr>
              <w:t>Bilanço içi varlıklar (*)</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CD0E72E" w14:textId="77777777" w:rsidR="00B35061" w:rsidRPr="00005453" w:rsidRDefault="00B35061" w:rsidP="00B35061">
            <w:pPr>
              <w:jc w:val="right"/>
              <w:rPr>
                <w:b/>
                <w:bCs/>
                <w:color w:val="000000"/>
                <w:sz w:val="16"/>
                <w:szCs w:val="16"/>
                <w:lang w:eastAsia="tr-TR"/>
              </w:rPr>
            </w:pPr>
            <w:r w:rsidRPr="00005453">
              <w:rPr>
                <w:b/>
                <w:bCs/>
                <w:color w:val="000000"/>
                <w:sz w:val="16"/>
                <w:szCs w:val="16"/>
                <w:lang w:eastAsia="tr-TR"/>
              </w:rPr>
              <w:t xml:space="preserve">Cari Dönem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541D10A" w14:textId="77777777" w:rsidR="00B35061" w:rsidRPr="00005453" w:rsidRDefault="00B35061" w:rsidP="00B35061">
            <w:pPr>
              <w:jc w:val="right"/>
              <w:rPr>
                <w:b/>
                <w:bCs/>
                <w:color w:val="000000"/>
                <w:sz w:val="16"/>
                <w:szCs w:val="16"/>
                <w:lang w:eastAsia="tr-TR"/>
              </w:rPr>
            </w:pPr>
            <w:r w:rsidRPr="00005453">
              <w:rPr>
                <w:b/>
                <w:bCs/>
                <w:color w:val="000000"/>
                <w:sz w:val="16"/>
                <w:szCs w:val="16"/>
                <w:lang w:eastAsia="tr-TR"/>
              </w:rPr>
              <w:t xml:space="preserve">Önceki Dönem </w:t>
            </w:r>
          </w:p>
        </w:tc>
      </w:tr>
      <w:tr w:rsidR="00562840" w:rsidRPr="00005453" w14:paraId="0BC43E3B" w14:textId="77777777" w:rsidTr="00562840">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4BC81B3" w14:textId="77777777" w:rsidR="00562840" w:rsidRPr="00005453" w:rsidRDefault="00562840" w:rsidP="00562840">
            <w:pPr>
              <w:jc w:val="center"/>
              <w:rPr>
                <w:color w:val="000000"/>
                <w:sz w:val="16"/>
                <w:szCs w:val="16"/>
                <w:lang w:eastAsia="tr-TR"/>
              </w:rPr>
            </w:pPr>
            <w:r w:rsidRPr="00005453">
              <w:rPr>
                <w:color w:val="000000"/>
                <w:sz w:val="16"/>
                <w:szCs w:val="16"/>
                <w:lang w:eastAsia="tr-TR"/>
              </w:rPr>
              <w:t>1</w:t>
            </w:r>
          </w:p>
        </w:tc>
        <w:tc>
          <w:tcPr>
            <w:tcW w:w="5488" w:type="dxa"/>
            <w:tcBorders>
              <w:top w:val="single" w:sz="8" w:space="0" w:color="auto"/>
              <w:left w:val="nil"/>
              <w:bottom w:val="single" w:sz="8" w:space="0" w:color="auto"/>
              <w:right w:val="nil"/>
            </w:tcBorders>
            <w:shd w:val="clear" w:color="auto" w:fill="auto"/>
            <w:vAlign w:val="center"/>
            <w:hideMark/>
          </w:tcPr>
          <w:p w14:paraId="5EC8A1FE" w14:textId="77777777" w:rsidR="00562840" w:rsidRPr="00005453" w:rsidRDefault="00562840" w:rsidP="00562840">
            <w:pPr>
              <w:rPr>
                <w:color w:val="000000"/>
                <w:sz w:val="16"/>
                <w:szCs w:val="16"/>
                <w:lang w:eastAsia="tr-TR"/>
              </w:rPr>
            </w:pPr>
            <w:r w:rsidRPr="00005453">
              <w:rPr>
                <w:color w:val="000000"/>
                <w:sz w:val="16"/>
                <w:szCs w:val="16"/>
                <w:lang w:eastAsia="tr-TR"/>
              </w:rPr>
              <w:t>Bilanço içi varlıklar (Türev finansal araçlar ile kredi türevleri hariç, teminatlar dahil)</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1FB71AD" w14:textId="348D6B0B" w:rsidR="00562840" w:rsidRPr="00005453" w:rsidRDefault="00562840" w:rsidP="00562840">
            <w:pPr>
              <w:jc w:val="right"/>
              <w:rPr>
                <w:sz w:val="16"/>
                <w:szCs w:val="16"/>
                <w:lang w:eastAsia="tr-TR"/>
              </w:rPr>
            </w:pPr>
            <w:r w:rsidRPr="00005453">
              <w:rPr>
                <w:sz w:val="16"/>
                <w:szCs w:val="22"/>
              </w:rPr>
              <w:t>843,750,928</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3644E2F9" w14:textId="3E37092A" w:rsidR="00562840" w:rsidRPr="00005453" w:rsidRDefault="00562840" w:rsidP="00562840">
            <w:pPr>
              <w:jc w:val="right"/>
              <w:rPr>
                <w:color w:val="000000"/>
                <w:sz w:val="16"/>
                <w:szCs w:val="16"/>
                <w:lang w:eastAsia="tr-TR"/>
              </w:rPr>
            </w:pPr>
            <w:r w:rsidRPr="00005453">
              <w:rPr>
                <w:color w:val="000000"/>
                <w:sz w:val="16"/>
                <w:szCs w:val="16"/>
                <w:lang w:eastAsia="tr-TR"/>
              </w:rPr>
              <w:t>643,879,745</w:t>
            </w:r>
          </w:p>
        </w:tc>
      </w:tr>
      <w:tr w:rsidR="00562840" w:rsidRPr="00005453" w14:paraId="36F5F03A" w14:textId="77777777" w:rsidTr="00562840">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29413C3" w14:textId="77777777" w:rsidR="00562840" w:rsidRPr="00005453" w:rsidRDefault="00562840" w:rsidP="00562840">
            <w:pPr>
              <w:jc w:val="center"/>
              <w:rPr>
                <w:color w:val="000000"/>
                <w:sz w:val="16"/>
                <w:szCs w:val="16"/>
                <w:lang w:eastAsia="tr-TR"/>
              </w:rPr>
            </w:pPr>
            <w:r w:rsidRPr="00005453">
              <w:rPr>
                <w:color w:val="000000"/>
                <w:sz w:val="16"/>
                <w:szCs w:val="16"/>
                <w:lang w:eastAsia="tr-TR"/>
              </w:rPr>
              <w:t>2</w:t>
            </w:r>
          </w:p>
        </w:tc>
        <w:tc>
          <w:tcPr>
            <w:tcW w:w="5488" w:type="dxa"/>
            <w:tcBorders>
              <w:top w:val="single" w:sz="8" w:space="0" w:color="auto"/>
              <w:left w:val="nil"/>
              <w:bottom w:val="single" w:sz="8" w:space="0" w:color="auto"/>
              <w:right w:val="nil"/>
            </w:tcBorders>
            <w:shd w:val="clear" w:color="auto" w:fill="auto"/>
            <w:vAlign w:val="center"/>
            <w:hideMark/>
          </w:tcPr>
          <w:p w14:paraId="05C6C768" w14:textId="77777777" w:rsidR="00562840" w:rsidRPr="00005453" w:rsidRDefault="00562840" w:rsidP="00562840">
            <w:pPr>
              <w:rPr>
                <w:color w:val="000000"/>
                <w:sz w:val="16"/>
                <w:szCs w:val="16"/>
                <w:lang w:eastAsia="tr-TR"/>
              </w:rPr>
            </w:pPr>
            <w:r w:rsidRPr="00005453">
              <w:rPr>
                <w:color w:val="000000"/>
                <w:sz w:val="16"/>
                <w:szCs w:val="16"/>
                <w:lang w:eastAsia="tr-TR"/>
              </w:rPr>
              <w:t>(Ana sermayeden indirilen varlıklar)</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35DC90AA" w14:textId="1C06C362" w:rsidR="00562840" w:rsidRPr="00005453" w:rsidRDefault="00562840" w:rsidP="00562840">
            <w:pPr>
              <w:jc w:val="right"/>
              <w:rPr>
                <w:sz w:val="16"/>
                <w:szCs w:val="16"/>
                <w:lang w:eastAsia="tr-TR"/>
              </w:rPr>
            </w:pPr>
            <w:r w:rsidRPr="00005453">
              <w:rPr>
                <w:sz w:val="16"/>
                <w:szCs w:val="22"/>
              </w:rPr>
              <w:t>(9,087,996)</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9A696D9" w14:textId="60675437" w:rsidR="00562840" w:rsidRPr="00005453" w:rsidRDefault="00562840" w:rsidP="00562840">
            <w:pPr>
              <w:jc w:val="right"/>
              <w:rPr>
                <w:color w:val="000000"/>
                <w:sz w:val="16"/>
                <w:szCs w:val="16"/>
                <w:lang w:eastAsia="tr-TR"/>
              </w:rPr>
            </w:pPr>
            <w:r w:rsidRPr="00005453">
              <w:rPr>
                <w:color w:val="000000"/>
                <w:sz w:val="16"/>
                <w:szCs w:val="16"/>
                <w:lang w:eastAsia="tr-TR"/>
              </w:rPr>
              <w:t>(2,606,775)</w:t>
            </w:r>
          </w:p>
        </w:tc>
      </w:tr>
      <w:tr w:rsidR="00562840" w:rsidRPr="00005453" w14:paraId="4634A6B1" w14:textId="77777777" w:rsidTr="00562840">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40DC268" w14:textId="77777777" w:rsidR="00562840" w:rsidRPr="00005453" w:rsidRDefault="00562840" w:rsidP="00562840">
            <w:pPr>
              <w:jc w:val="center"/>
              <w:rPr>
                <w:color w:val="000000"/>
                <w:sz w:val="16"/>
                <w:szCs w:val="16"/>
                <w:lang w:eastAsia="tr-TR"/>
              </w:rPr>
            </w:pPr>
            <w:r w:rsidRPr="00005453">
              <w:rPr>
                <w:color w:val="000000"/>
                <w:sz w:val="16"/>
                <w:szCs w:val="16"/>
                <w:lang w:eastAsia="tr-TR"/>
              </w:rPr>
              <w:t>3</w:t>
            </w:r>
          </w:p>
        </w:tc>
        <w:tc>
          <w:tcPr>
            <w:tcW w:w="5488" w:type="dxa"/>
            <w:tcBorders>
              <w:top w:val="single" w:sz="8" w:space="0" w:color="auto"/>
              <w:left w:val="nil"/>
              <w:bottom w:val="single" w:sz="8" w:space="0" w:color="auto"/>
              <w:right w:val="nil"/>
            </w:tcBorders>
            <w:shd w:val="clear" w:color="auto" w:fill="auto"/>
            <w:vAlign w:val="center"/>
            <w:hideMark/>
          </w:tcPr>
          <w:p w14:paraId="6EE7C162" w14:textId="77777777" w:rsidR="00562840" w:rsidRPr="00005453" w:rsidRDefault="00562840" w:rsidP="00562840">
            <w:pPr>
              <w:rPr>
                <w:color w:val="000000"/>
                <w:sz w:val="16"/>
                <w:szCs w:val="16"/>
                <w:lang w:eastAsia="tr-TR"/>
              </w:rPr>
            </w:pPr>
            <w:r w:rsidRPr="00005453">
              <w:rPr>
                <w:color w:val="000000"/>
                <w:sz w:val="16"/>
                <w:szCs w:val="16"/>
                <w:lang w:eastAsia="tr-TR"/>
              </w:rPr>
              <w:t xml:space="preserve">Bilanço içi varlıklara ilişkin toplam risk tutarı (1 ve </w:t>
            </w:r>
            <w:proofErr w:type="gramStart"/>
            <w:r w:rsidRPr="00005453">
              <w:rPr>
                <w:color w:val="000000"/>
                <w:sz w:val="16"/>
                <w:szCs w:val="16"/>
                <w:lang w:eastAsia="tr-TR"/>
              </w:rPr>
              <w:t>2 nci</w:t>
            </w:r>
            <w:proofErr w:type="gramEnd"/>
            <w:r w:rsidRPr="00005453">
              <w:rPr>
                <w:color w:val="000000"/>
                <w:sz w:val="16"/>
                <w:szCs w:val="16"/>
                <w:lang w:eastAsia="tr-TR"/>
              </w:rPr>
              <w:t xml:space="preserve">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BF2AFE2" w14:textId="597C40E9" w:rsidR="00562840" w:rsidRPr="00005453" w:rsidRDefault="00562840" w:rsidP="00562840">
            <w:pPr>
              <w:jc w:val="right"/>
              <w:rPr>
                <w:sz w:val="16"/>
                <w:szCs w:val="16"/>
                <w:lang w:eastAsia="tr-TR"/>
              </w:rPr>
            </w:pPr>
            <w:r w:rsidRPr="00005453">
              <w:rPr>
                <w:sz w:val="16"/>
                <w:szCs w:val="22"/>
              </w:rPr>
              <w:t>834,662,932</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38523E81" w14:textId="7716B884" w:rsidR="00562840" w:rsidRPr="00005453" w:rsidRDefault="00562840" w:rsidP="00562840">
            <w:pPr>
              <w:jc w:val="right"/>
              <w:rPr>
                <w:color w:val="000000"/>
                <w:sz w:val="16"/>
                <w:szCs w:val="16"/>
                <w:lang w:eastAsia="tr-TR"/>
              </w:rPr>
            </w:pPr>
            <w:r w:rsidRPr="00005453">
              <w:rPr>
                <w:color w:val="000000"/>
                <w:sz w:val="16"/>
                <w:szCs w:val="16"/>
                <w:lang w:eastAsia="tr-TR"/>
              </w:rPr>
              <w:t>641,272,970</w:t>
            </w:r>
          </w:p>
        </w:tc>
      </w:tr>
      <w:tr w:rsidR="007854AB" w:rsidRPr="00005453" w14:paraId="110D63ED" w14:textId="77777777" w:rsidTr="007854AB">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CEBA73E" w14:textId="77777777" w:rsidR="007854AB" w:rsidRPr="00005453" w:rsidRDefault="007854AB" w:rsidP="007854AB">
            <w:pPr>
              <w:jc w:val="center"/>
              <w:rPr>
                <w:color w:val="000000"/>
                <w:sz w:val="16"/>
                <w:szCs w:val="16"/>
                <w:lang w:eastAsia="tr-TR"/>
              </w:rPr>
            </w:pPr>
            <w:r w:rsidRPr="00005453">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277BF8A6" w14:textId="77777777" w:rsidR="007854AB" w:rsidRPr="00005453" w:rsidRDefault="007854AB" w:rsidP="007854AB">
            <w:pPr>
              <w:jc w:val="center"/>
              <w:rPr>
                <w:b/>
                <w:bCs/>
                <w:color w:val="000000"/>
                <w:sz w:val="16"/>
                <w:szCs w:val="16"/>
                <w:lang w:eastAsia="tr-TR"/>
              </w:rPr>
            </w:pPr>
            <w:r w:rsidRPr="00005453">
              <w:rPr>
                <w:b/>
                <w:bCs/>
                <w:color w:val="000000"/>
                <w:sz w:val="16"/>
                <w:szCs w:val="16"/>
                <w:lang w:eastAsia="tr-TR"/>
              </w:rPr>
              <w:t>Türev finansal araçlar ile kredi türevleri</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59FECD59" w14:textId="77777777" w:rsidR="007854AB" w:rsidRPr="00005453" w:rsidRDefault="007854AB" w:rsidP="007854AB">
            <w:pPr>
              <w:jc w:val="right"/>
              <w:rPr>
                <w:color w:val="000000"/>
                <w:sz w:val="16"/>
                <w:szCs w:val="16"/>
                <w:lang w:eastAsia="tr-TR"/>
              </w:rPr>
            </w:pPr>
            <w:r w:rsidRPr="00005453">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1F18AF64" w14:textId="3DB1876E" w:rsidR="007854AB" w:rsidRPr="00005453" w:rsidRDefault="007854AB" w:rsidP="007854AB">
            <w:pPr>
              <w:jc w:val="right"/>
              <w:rPr>
                <w:color w:val="000000"/>
                <w:sz w:val="16"/>
                <w:szCs w:val="16"/>
                <w:lang w:eastAsia="tr-TR"/>
              </w:rPr>
            </w:pPr>
          </w:p>
        </w:tc>
      </w:tr>
      <w:tr w:rsidR="00562840" w:rsidRPr="00005453" w14:paraId="1A459A71" w14:textId="77777777" w:rsidTr="00562840">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9BF3158" w14:textId="77777777" w:rsidR="00562840" w:rsidRPr="00005453" w:rsidRDefault="00562840" w:rsidP="00562840">
            <w:pPr>
              <w:jc w:val="center"/>
              <w:rPr>
                <w:color w:val="000000"/>
                <w:sz w:val="16"/>
                <w:szCs w:val="16"/>
                <w:lang w:eastAsia="tr-TR"/>
              </w:rPr>
            </w:pPr>
            <w:r w:rsidRPr="00005453">
              <w:rPr>
                <w:color w:val="000000"/>
                <w:sz w:val="16"/>
                <w:szCs w:val="16"/>
                <w:lang w:eastAsia="tr-TR"/>
              </w:rPr>
              <w:t>4</w:t>
            </w:r>
          </w:p>
        </w:tc>
        <w:tc>
          <w:tcPr>
            <w:tcW w:w="5488" w:type="dxa"/>
            <w:tcBorders>
              <w:top w:val="single" w:sz="8" w:space="0" w:color="auto"/>
              <w:left w:val="nil"/>
              <w:bottom w:val="single" w:sz="8" w:space="0" w:color="auto"/>
              <w:right w:val="nil"/>
            </w:tcBorders>
            <w:shd w:val="clear" w:color="auto" w:fill="auto"/>
            <w:vAlign w:val="center"/>
            <w:hideMark/>
          </w:tcPr>
          <w:p w14:paraId="46D4EA4A" w14:textId="77777777" w:rsidR="00562840" w:rsidRPr="00005453" w:rsidRDefault="00562840" w:rsidP="00562840">
            <w:pPr>
              <w:rPr>
                <w:color w:val="000000"/>
                <w:sz w:val="16"/>
                <w:szCs w:val="16"/>
                <w:lang w:eastAsia="tr-TR"/>
              </w:rPr>
            </w:pPr>
            <w:r w:rsidRPr="00005453">
              <w:rPr>
                <w:color w:val="000000"/>
                <w:sz w:val="16"/>
                <w:szCs w:val="16"/>
                <w:lang w:eastAsia="tr-TR"/>
              </w:rPr>
              <w:t>Türev finansal araçlar ile kredi türevlerinin yenileme maliyeti</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12CF33E" w14:textId="13ADF05F" w:rsidR="00562840" w:rsidRPr="00005453" w:rsidRDefault="00562840" w:rsidP="00562840">
            <w:pPr>
              <w:jc w:val="right"/>
              <w:rPr>
                <w:color w:val="000000"/>
                <w:sz w:val="16"/>
                <w:szCs w:val="16"/>
                <w:lang w:eastAsia="tr-TR"/>
              </w:rPr>
            </w:pPr>
            <w:r w:rsidRPr="00005453">
              <w:rPr>
                <w:sz w:val="16"/>
                <w:szCs w:val="22"/>
              </w:rPr>
              <w:t>1,698,299</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47C93F9" w14:textId="5EA55AF4" w:rsidR="00562840" w:rsidRPr="00005453" w:rsidRDefault="00562840" w:rsidP="00562840">
            <w:pPr>
              <w:jc w:val="right"/>
              <w:rPr>
                <w:color w:val="000000"/>
                <w:sz w:val="16"/>
                <w:szCs w:val="16"/>
                <w:lang w:eastAsia="tr-TR"/>
              </w:rPr>
            </w:pPr>
            <w:r w:rsidRPr="00005453">
              <w:rPr>
                <w:color w:val="000000"/>
                <w:sz w:val="16"/>
                <w:szCs w:val="16"/>
                <w:lang w:eastAsia="tr-TR"/>
              </w:rPr>
              <w:t>1,379,152</w:t>
            </w:r>
          </w:p>
        </w:tc>
      </w:tr>
      <w:tr w:rsidR="00562840" w:rsidRPr="00005453" w14:paraId="432194D7" w14:textId="77777777" w:rsidTr="00562840">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B429280" w14:textId="77777777" w:rsidR="00562840" w:rsidRPr="00005453" w:rsidRDefault="00562840" w:rsidP="00562840">
            <w:pPr>
              <w:jc w:val="center"/>
              <w:rPr>
                <w:color w:val="000000"/>
                <w:sz w:val="16"/>
                <w:szCs w:val="16"/>
                <w:lang w:eastAsia="tr-TR"/>
              </w:rPr>
            </w:pPr>
            <w:r w:rsidRPr="00005453">
              <w:rPr>
                <w:color w:val="000000"/>
                <w:sz w:val="16"/>
                <w:szCs w:val="16"/>
                <w:lang w:eastAsia="tr-TR"/>
              </w:rPr>
              <w:t>5</w:t>
            </w:r>
          </w:p>
        </w:tc>
        <w:tc>
          <w:tcPr>
            <w:tcW w:w="5488" w:type="dxa"/>
            <w:tcBorders>
              <w:top w:val="single" w:sz="8" w:space="0" w:color="auto"/>
              <w:left w:val="nil"/>
              <w:bottom w:val="single" w:sz="8" w:space="0" w:color="auto"/>
              <w:right w:val="nil"/>
            </w:tcBorders>
            <w:shd w:val="clear" w:color="auto" w:fill="auto"/>
            <w:vAlign w:val="center"/>
            <w:hideMark/>
          </w:tcPr>
          <w:p w14:paraId="43FB3435" w14:textId="77777777" w:rsidR="00562840" w:rsidRPr="00005453" w:rsidRDefault="00562840" w:rsidP="00562840">
            <w:pPr>
              <w:rPr>
                <w:color w:val="000000"/>
                <w:sz w:val="16"/>
                <w:szCs w:val="16"/>
                <w:lang w:eastAsia="tr-TR"/>
              </w:rPr>
            </w:pPr>
            <w:r w:rsidRPr="00005453">
              <w:rPr>
                <w:color w:val="000000"/>
                <w:sz w:val="16"/>
                <w:szCs w:val="16"/>
                <w:lang w:eastAsia="tr-TR"/>
              </w:rPr>
              <w:t>Türev finansal araçlar ile kredi türevlerinin potansiyel kredi riski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70EAAE6" w14:textId="640E3DDC" w:rsidR="00562840" w:rsidRPr="00005453" w:rsidRDefault="00562840" w:rsidP="00562840">
            <w:pPr>
              <w:jc w:val="right"/>
              <w:rPr>
                <w:color w:val="000000"/>
                <w:sz w:val="16"/>
                <w:szCs w:val="16"/>
                <w:lang w:eastAsia="tr-TR"/>
              </w:rPr>
            </w:pPr>
            <w:r w:rsidRPr="00005453">
              <w:rPr>
                <w:sz w:val="16"/>
                <w:szCs w:val="22"/>
              </w:rPr>
              <w:t>1,271,782</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8BF04A2" w14:textId="089F343C" w:rsidR="00562840" w:rsidRPr="00005453" w:rsidRDefault="00562840" w:rsidP="00562840">
            <w:pPr>
              <w:jc w:val="right"/>
              <w:rPr>
                <w:color w:val="000000"/>
                <w:sz w:val="16"/>
                <w:szCs w:val="16"/>
                <w:lang w:eastAsia="tr-TR"/>
              </w:rPr>
            </w:pPr>
            <w:r w:rsidRPr="00005453">
              <w:rPr>
                <w:color w:val="000000"/>
                <w:sz w:val="16"/>
                <w:szCs w:val="16"/>
                <w:lang w:eastAsia="tr-TR"/>
              </w:rPr>
              <w:t>766,290</w:t>
            </w:r>
          </w:p>
        </w:tc>
      </w:tr>
      <w:tr w:rsidR="00562840" w:rsidRPr="00005453" w14:paraId="2D058893" w14:textId="77777777" w:rsidTr="00562840">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A57DBB6" w14:textId="77777777" w:rsidR="00562840" w:rsidRPr="00005453" w:rsidRDefault="00562840" w:rsidP="00562840">
            <w:pPr>
              <w:jc w:val="center"/>
              <w:rPr>
                <w:color w:val="000000"/>
                <w:sz w:val="16"/>
                <w:szCs w:val="16"/>
                <w:lang w:eastAsia="tr-TR"/>
              </w:rPr>
            </w:pPr>
            <w:r w:rsidRPr="00005453">
              <w:rPr>
                <w:color w:val="000000"/>
                <w:sz w:val="16"/>
                <w:szCs w:val="16"/>
                <w:lang w:eastAsia="tr-TR"/>
              </w:rPr>
              <w:t>6</w:t>
            </w:r>
          </w:p>
        </w:tc>
        <w:tc>
          <w:tcPr>
            <w:tcW w:w="5488" w:type="dxa"/>
            <w:tcBorders>
              <w:top w:val="single" w:sz="8" w:space="0" w:color="auto"/>
              <w:left w:val="nil"/>
              <w:bottom w:val="single" w:sz="8" w:space="0" w:color="auto"/>
              <w:right w:val="nil"/>
            </w:tcBorders>
            <w:shd w:val="clear" w:color="auto" w:fill="auto"/>
            <w:vAlign w:val="center"/>
            <w:hideMark/>
          </w:tcPr>
          <w:p w14:paraId="1794CCA1" w14:textId="77777777" w:rsidR="00562840" w:rsidRPr="00005453" w:rsidRDefault="00562840" w:rsidP="00562840">
            <w:pPr>
              <w:rPr>
                <w:color w:val="000000"/>
                <w:sz w:val="16"/>
                <w:szCs w:val="16"/>
                <w:lang w:eastAsia="tr-TR"/>
              </w:rPr>
            </w:pPr>
            <w:r w:rsidRPr="00005453">
              <w:rPr>
                <w:color w:val="000000"/>
                <w:sz w:val="16"/>
                <w:szCs w:val="16"/>
                <w:lang w:eastAsia="tr-TR"/>
              </w:rPr>
              <w:t>Türev finansal araçlar ile kredi türevlerine ilişkin toplam risk tutarı (4 ve 5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27B0B8A" w14:textId="61B4C6D7" w:rsidR="00562840" w:rsidRPr="00005453" w:rsidRDefault="00562840" w:rsidP="00562840">
            <w:pPr>
              <w:jc w:val="right"/>
              <w:rPr>
                <w:color w:val="000000"/>
                <w:sz w:val="16"/>
                <w:szCs w:val="16"/>
                <w:lang w:eastAsia="tr-TR"/>
              </w:rPr>
            </w:pPr>
            <w:r w:rsidRPr="00005453">
              <w:rPr>
                <w:sz w:val="16"/>
                <w:szCs w:val="22"/>
              </w:rPr>
              <w:t>2,970,081</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057678D0" w14:textId="5EA3A35C" w:rsidR="00562840" w:rsidRPr="00005453" w:rsidRDefault="00562840" w:rsidP="00562840">
            <w:pPr>
              <w:jc w:val="right"/>
              <w:rPr>
                <w:color w:val="000000"/>
                <w:sz w:val="16"/>
                <w:szCs w:val="16"/>
                <w:lang w:eastAsia="tr-TR"/>
              </w:rPr>
            </w:pPr>
            <w:r w:rsidRPr="00005453">
              <w:rPr>
                <w:color w:val="000000"/>
                <w:sz w:val="16"/>
                <w:szCs w:val="16"/>
                <w:lang w:eastAsia="tr-TR"/>
              </w:rPr>
              <w:t>2,145,442</w:t>
            </w:r>
          </w:p>
        </w:tc>
      </w:tr>
      <w:tr w:rsidR="007854AB" w:rsidRPr="00005453" w14:paraId="2F1BA95F" w14:textId="77777777" w:rsidTr="007854AB">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8552E0B" w14:textId="77777777" w:rsidR="007854AB" w:rsidRPr="00005453" w:rsidRDefault="007854AB" w:rsidP="007854AB">
            <w:pPr>
              <w:jc w:val="center"/>
              <w:rPr>
                <w:color w:val="000000"/>
                <w:sz w:val="16"/>
                <w:szCs w:val="16"/>
                <w:lang w:eastAsia="tr-TR"/>
              </w:rPr>
            </w:pPr>
            <w:r w:rsidRPr="00005453">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06D43025" w14:textId="77777777" w:rsidR="007854AB" w:rsidRPr="00005453" w:rsidRDefault="007854AB" w:rsidP="007854AB">
            <w:pPr>
              <w:jc w:val="center"/>
              <w:rPr>
                <w:b/>
                <w:bCs/>
                <w:color w:val="000000"/>
                <w:sz w:val="16"/>
                <w:szCs w:val="16"/>
                <w:lang w:eastAsia="tr-TR"/>
              </w:rPr>
            </w:pPr>
            <w:r w:rsidRPr="00005453">
              <w:rPr>
                <w:b/>
                <w:bCs/>
                <w:color w:val="000000"/>
                <w:sz w:val="16"/>
                <w:szCs w:val="16"/>
                <w:lang w:eastAsia="tr-TR"/>
              </w:rPr>
              <w:t>Menkul kıymet ve emtia teminatlı finansman işlemleri</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1547AE3F" w14:textId="77777777" w:rsidR="007854AB" w:rsidRPr="00005453" w:rsidRDefault="007854AB" w:rsidP="007854AB">
            <w:pPr>
              <w:jc w:val="right"/>
              <w:rPr>
                <w:color w:val="000000"/>
                <w:sz w:val="16"/>
                <w:szCs w:val="16"/>
                <w:lang w:eastAsia="tr-TR"/>
              </w:rPr>
            </w:pPr>
            <w:r w:rsidRPr="00005453">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79F46034" w14:textId="46BED7CA" w:rsidR="007854AB" w:rsidRPr="00005453" w:rsidRDefault="007854AB" w:rsidP="007854AB">
            <w:pPr>
              <w:jc w:val="right"/>
              <w:rPr>
                <w:color w:val="000000"/>
                <w:sz w:val="16"/>
                <w:szCs w:val="16"/>
                <w:lang w:eastAsia="tr-TR"/>
              </w:rPr>
            </w:pPr>
          </w:p>
        </w:tc>
      </w:tr>
      <w:tr w:rsidR="00562840" w:rsidRPr="00005453" w14:paraId="2CC1D73F" w14:textId="77777777" w:rsidTr="00562840">
        <w:trPr>
          <w:divId w:val="1763067817"/>
          <w:trHeight w:val="440"/>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33D6C5D" w14:textId="77777777" w:rsidR="00562840" w:rsidRPr="00005453" w:rsidRDefault="00562840" w:rsidP="00562840">
            <w:pPr>
              <w:jc w:val="center"/>
              <w:rPr>
                <w:color w:val="000000"/>
                <w:sz w:val="16"/>
                <w:szCs w:val="16"/>
                <w:lang w:eastAsia="tr-TR"/>
              </w:rPr>
            </w:pPr>
            <w:r w:rsidRPr="00005453">
              <w:rPr>
                <w:color w:val="000000"/>
                <w:sz w:val="16"/>
                <w:szCs w:val="16"/>
                <w:lang w:eastAsia="tr-TR"/>
              </w:rPr>
              <w:t>7</w:t>
            </w:r>
          </w:p>
        </w:tc>
        <w:tc>
          <w:tcPr>
            <w:tcW w:w="5488" w:type="dxa"/>
            <w:tcBorders>
              <w:top w:val="single" w:sz="8" w:space="0" w:color="auto"/>
              <w:left w:val="nil"/>
              <w:bottom w:val="single" w:sz="8" w:space="0" w:color="auto"/>
              <w:right w:val="nil"/>
            </w:tcBorders>
            <w:shd w:val="clear" w:color="auto" w:fill="auto"/>
            <w:vAlign w:val="center"/>
            <w:hideMark/>
          </w:tcPr>
          <w:p w14:paraId="7673173B" w14:textId="77777777" w:rsidR="00562840" w:rsidRPr="00005453" w:rsidRDefault="00562840" w:rsidP="00562840">
            <w:pPr>
              <w:rPr>
                <w:color w:val="000000"/>
                <w:sz w:val="16"/>
                <w:szCs w:val="16"/>
                <w:lang w:eastAsia="tr-TR"/>
              </w:rPr>
            </w:pPr>
            <w:r w:rsidRPr="00005453">
              <w:rPr>
                <w:color w:val="000000"/>
                <w:sz w:val="16"/>
                <w:szCs w:val="16"/>
                <w:lang w:eastAsia="tr-TR"/>
              </w:rPr>
              <w:t>Menkul kıymetleştirme ve emtia teminatlı finansman işlemlerinin menkul kıymet ve emtia teminatlı finansman işlemlerinin risk tutarı (Bilanço içi hariç)</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384F1E68" w14:textId="200DD10D" w:rsidR="00562840" w:rsidRPr="00005453" w:rsidRDefault="00562840" w:rsidP="00562840">
            <w:pPr>
              <w:jc w:val="right"/>
              <w:rPr>
                <w:sz w:val="16"/>
                <w:szCs w:val="16"/>
                <w:lang w:eastAsia="tr-TR"/>
              </w:rPr>
            </w:pPr>
            <w:r w:rsidRPr="00005453">
              <w:rPr>
                <w:sz w:val="16"/>
                <w:szCs w:val="22"/>
              </w:rPr>
              <w:t>(2,341,046)</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4E4E4BE1" w14:textId="22693248" w:rsidR="00562840" w:rsidRPr="00005453" w:rsidRDefault="00562840" w:rsidP="00562840">
            <w:pPr>
              <w:jc w:val="right"/>
              <w:rPr>
                <w:color w:val="000000"/>
                <w:sz w:val="16"/>
                <w:szCs w:val="16"/>
                <w:lang w:eastAsia="tr-TR"/>
              </w:rPr>
            </w:pPr>
            <w:r w:rsidRPr="00005453">
              <w:rPr>
                <w:color w:val="000000"/>
                <w:sz w:val="16"/>
                <w:szCs w:val="16"/>
                <w:lang w:eastAsia="tr-TR"/>
              </w:rPr>
              <w:t>19,249,850</w:t>
            </w:r>
          </w:p>
        </w:tc>
      </w:tr>
      <w:tr w:rsidR="00562840" w:rsidRPr="00005453" w14:paraId="261C00B2" w14:textId="77777777" w:rsidTr="00562840">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36B63EE" w14:textId="77777777" w:rsidR="00562840" w:rsidRPr="00005453" w:rsidRDefault="00562840" w:rsidP="00562840">
            <w:pPr>
              <w:jc w:val="center"/>
              <w:rPr>
                <w:color w:val="000000"/>
                <w:sz w:val="16"/>
                <w:szCs w:val="16"/>
                <w:lang w:eastAsia="tr-TR"/>
              </w:rPr>
            </w:pPr>
            <w:r w:rsidRPr="00005453">
              <w:rPr>
                <w:color w:val="000000"/>
                <w:sz w:val="16"/>
                <w:szCs w:val="16"/>
                <w:lang w:eastAsia="tr-TR"/>
              </w:rPr>
              <w:t>8</w:t>
            </w:r>
          </w:p>
        </w:tc>
        <w:tc>
          <w:tcPr>
            <w:tcW w:w="5488" w:type="dxa"/>
            <w:tcBorders>
              <w:top w:val="single" w:sz="8" w:space="0" w:color="auto"/>
              <w:left w:val="nil"/>
              <w:bottom w:val="single" w:sz="8" w:space="0" w:color="auto"/>
              <w:right w:val="nil"/>
            </w:tcBorders>
            <w:shd w:val="clear" w:color="auto" w:fill="auto"/>
            <w:vAlign w:val="center"/>
            <w:hideMark/>
          </w:tcPr>
          <w:p w14:paraId="69E56558" w14:textId="77777777" w:rsidR="00562840" w:rsidRPr="00005453" w:rsidRDefault="00562840" w:rsidP="00562840">
            <w:pPr>
              <w:rPr>
                <w:color w:val="000000"/>
                <w:sz w:val="16"/>
                <w:szCs w:val="16"/>
                <w:lang w:eastAsia="tr-TR"/>
              </w:rPr>
            </w:pPr>
            <w:r w:rsidRPr="00005453">
              <w:rPr>
                <w:color w:val="000000"/>
                <w:sz w:val="16"/>
                <w:szCs w:val="16"/>
                <w:lang w:eastAsia="tr-TR"/>
              </w:rPr>
              <w:t>Aracılık edilen işlemlerden kaynaklanan risk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06DD08A" w14:textId="5C74999A" w:rsidR="00562840" w:rsidRPr="00005453" w:rsidRDefault="00562840" w:rsidP="00562840">
            <w:pPr>
              <w:jc w:val="right"/>
              <w:rPr>
                <w:sz w:val="16"/>
                <w:szCs w:val="16"/>
                <w:lang w:eastAsia="tr-TR"/>
              </w:rPr>
            </w:pPr>
            <w:r w:rsidRPr="00005453">
              <w:rPr>
                <w:sz w:val="16"/>
                <w:szCs w:val="22"/>
              </w:rPr>
              <w:t>-</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FE6035E" w14:textId="38BABC17" w:rsidR="00562840" w:rsidRPr="00005453" w:rsidRDefault="00562840" w:rsidP="00562840">
            <w:pPr>
              <w:jc w:val="right"/>
              <w:rPr>
                <w:color w:val="000000"/>
                <w:sz w:val="16"/>
                <w:szCs w:val="16"/>
                <w:lang w:eastAsia="tr-TR"/>
              </w:rPr>
            </w:pPr>
            <w:r w:rsidRPr="00005453">
              <w:rPr>
                <w:color w:val="000000"/>
                <w:sz w:val="16"/>
                <w:szCs w:val="16"/>
                <w:lang w:eastAsia="tr-TR"/>
              </w:rPr>
              <w:t>-</w:t>
            </w:r>
          </w:p>
        </w:tc>
      </w:tr>
      <w:tr w:rsidR="00562840" w:rsidRPr="00005453" w14:paraId="75D84515" w14:textId="77777777" w:rsidTr="00562840">
        <w:trPr>
          <w:divId w:val="1763067817"/>
          <w:trHeight w:val="440"/>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B537473" w14:textId="77777777" w:rsidR="00562840" w:rsidRPr="00005453" w:rsidRDefault="00562840" w:rsidP="00562840">
            <w:pPr>
              <w:jc w:val="center"/>
              <w:rPr>
                <w:color w:val="000000"/>
                <w:sz w:val="16"/>
                <w:szCs w:val="16"/>
                <w:lang w:eastAsia="tr-TR"/>
              </w:rPr>
            </w:pPr>
            <w:r w:rsidRPr="00005453">
              <w:rPr>
                <w:color w:val="000000"/>
                <w:sz w:val="16"/>
                <w:szCs w:val="16"/>
                <w:lang w:eastAsia="tr-TR"/>
              </w:rPr>
              <w:t>9</w:t>
            </w:r>
          </w:p>
        </w:tc>
        <w:tc>
          <w:tcPr>
            <w:tcW w:w="5488" w:type="dxa"/>
            <w:tcBorders>
              <w:top w:val="single" w:sz="8" w:space="0" w:color="auto"/>
              <w:left w:val="nil"/>
              <w:bottom w:val="single" w:sz="8" w:space="0" w:color="auto"/>
              <w:right w:val="nil"/>
            </w:tcBorders>
            <w:shd w:val="clear" w:color="auto" w:fill="auto"/>
            <w:vAlign w:val="center"/>
            <w:hideMark/>
          </w:tcPr>
          <w:p w14:paraId="6BA713B3" w14:textId="77777777" w:rsidR="00562840" w:rsidRPr="00005453" w:rsidRDefault="00562840" w:rsidP="00562840">
            <w:pPr>
              <w:rPr>
                <w:color w:val="000000"/>
                <w:sz w:val="16"/>
                <w:szCs w:val="16"/>
                <w:lang w:eastAsia="tr-TR"/>
              </w:rPr>
            </w:pPr>
            <w:r w:rsidRPr="00005453">
              <w:rPr>
                <w:color w:val="000000"/>
                <w:sz w:val="16"/>
                <w:szCs w:val="16"/>
                <w:lang w:eastAsia="tr-TR"/>
              </w:rPr>
              <w:t>Menkul kıymetleştirme ve emtia teminatlı finansman işlemlerine ilişkin toplam risk tutarı (7 ve 8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3ABB583" w14:textId="63AAFC81" w:rsidR="00562840" w:rsidRPr="00005453" w:rsidRDefault="00562840" w:rsidP="00562840">
            <w:pPr>
              <w:jc w:val="right"/>
              <w:rPr>
                <w:sz w:val="16"/>
                <w:szCs w:val="16"/>
                <w:lang w:eastAsia="tr-TR"/>
              </w:rPr>
            </w:pPr>
            <w:r w:rsidRPr="00005453">
              <w:rPr>
                <w:sz w:val="16"/>
                <w:szCs w:val="22"/>
              </w:rPr>
              <w:t>(2,341,046)</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D5F2340" w14:textId="6ECE8037" w:rsidR="00562840" w:rsidRPr="00005453" w:rsidRDefault="00562840" w:rsidP="00562840">
            <w:pPr>
              <w:jc w:val="right"/>
              <w:rPr>
                <w:color w:val="000000"/>
                <w:sz w:val="16"/>
                <w:szCs w:val="16"/>
                <w:lang w:eastAsia="tr-TR"/>
              </w:rPr>
            </w:pPr>
            <w:r w:rsidRPr="00005453">
              <w:rPr>
                <w:color w:val="000000"/>
                <w:sz w:val="16"/>
                <w:szCs w:val="16"/>
                <w:lang w:eastAsia="tr-TR"/>
              </w:rPr>
              <w:t>19,249,850</w:t>
            </w:r>
          </w:p>
        </w:tc>
      </w:tr>
      <w:tr w:rsidR="007854AB" w:rsidRPr="00005453" w14:paraId="4DB13109" w14:textId="77777777" w:rsidTr="007854AB">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4DF3A22" w14:textId="77777777" w:rsidR="007854AB" w:rsidRPr="00005453" w:rsidRDefault="007854AB" w:rsidP="007854AB">
            <w:pPr>
              <w:jc w:val="center"/>
              <w:rPr>
                <w:color w:val="000000"/>
                <w:sz w:val="16"/>
                <w:szCs w:val="16"/>
                <w:lang w:eastAsia="tr-TR"/>
              </w:rPr>
            </w:pPr>
            <w:r w:rsidRPr="00005453">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02C5D570" w14:textId="77777777" w:rsidR="007854AB" w:rsidRPr="00005453" w:rsidRDefault="007854AB" w:rsidP="007854AB">
            <w:pPr>
              <w:jc w:val="center"/>
              <w:rPr>
                <w:b/>
                <w:bCs/>
                <w:color w:val="000000"/>
                <w:sz w:val="16"/>
                <w:szCs w:val="16"/>
                <w:lang w:eastAsia="tr-TR"/>
              </w:rPr>
            </w:pPr>
            <w:r w:rsidRPr="00005453">
              <w:rPr>
                <w:b/>
                <w:bCs/>
                <w:color w:val="000000"/>
                <w:sz w:val="16"/>
                <w:szCs w:val="16"/>
                <w:lang w:eastAsia="tr-TR"/>
              </w:rPr>
              <w:t>Bilanço dışı işlemler</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7A99EE2B" w14:textId="77777777" w:rsidR="007854AB" w:rsidRPr="00005453" w:rsidRDefault="007854AB" w:rsidP="007854AB">
            <w:pPr>
              <w:jc w:val="right"/>
              <w:rPr>
                <w:color w:val="000000"/>
                <w:sz w:val="16"/>
                <w:szCs w:val="16"/>
                <w:lang w:eastAsia="tr-TR"/>
              </w:rPr>
            </w:pPr>
            <w:r w:rsidRPr="00005453">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7E52E892" w14:textId="0319B139" w:rsidR="007854AB" w:rsidRPr="00005453" w:rsidRDefault="007854AB" w:rsidP="007854AB">
            <w:pPr>
              <w:jc w:val="right"/>
              <w:rPr>
                <w:color w:val="000000"/>
                <w:sz w:val="16"/>
                <w:szCs w:val="16"/>
                <w:lang w:eastAsia="tr-TR"/>
              </w:rPr>
            </w:pPr>
          </w:p>
        </w:tc>
      </w:tr>
      <w:tr w:rsidR="00562840" w:rsidRPr="00005453" w14:paraId="1AF8B10B" w14:textId="77777777" w:rsidTr="007854AB">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1B2F3D3" w14:textId="77777777" w:rsidR="00562840" w:rsidRPr="00005453" w:rsidRDefault="00562840" w:rsidP="00562840">
            <w:pPr>
              <w:jc w:val="center"/>
              <w:rPr>
                <w:color w:val="000000"/>
                <w:sz w:val="16"/>
                <w:szCs w:val="16"/>
                <w:lang w:eastAsia="tr-TR"/>
              </w:rPr>
            </w:pPr>
            <w:r w:rsidRPr="00005453">
              <w:rPr>
                <w:color w:val="000000"/>
                <w:sz w:val="16"/>
                <w:szCs w:val="16"/>
                <w:lang w:eastAsia="tr-TR"/>
              </w:rPr>
              <w:t>10</w:t>
            </w:r>
          </w:p>
        </w:tc>
        <w:tc>
          <w:tcPr>
            <w:tcW w:w="5488" w:type="dxa"/>
            <w:tcBorders>
              <w:top w:val="single" w:sz="8" w:space="0" w:color="auto"/>
              <w:left w:val="nil"/>
              <w:bottom w:val="single" w:sz="8" w:space="0" w:color="auto"/>
              <w:right w:val="nil"/>
            </w:tcBorders>
            <w:shd w:val="clear" w:color="auto" w:fill="auto"/>
            <w:vAlign w:val="center"/>
            <w:hideMark/>
          </w:tcPr>
          <w:p w14:paraId="6940990D" w14:textId="77777777" w:rsidR="00562840" w:rsidRPr="00005453" w:rsidRDefault="00562840" w:rsidP="00562840">
            <w:pPr>
              <w:jc w:val="both"/>
              <w:rPr>
                <w:color w:val="000000"/>
                <w:sz w:val="16"/>
                <w:szCs w:val="16"/>
                <w:lang w:eastAsia="tr-TR"/>
              </w:rPr>
            </w:pPr>
            <w:r w:rsidRPr="00005453">
              <w:rPr>
                <w:color w:val="000000"/>
                <w:sz w:val="16"/>
                <w:szCs w:val="16"/>
                <w:lang w:eastAsia="tr-TR"/>
              </w:rPr>
              <w:t>Bilanço dışı işlemlerin brüt nominal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E3C78C9" w14:textId="3EB95728" w:rsidR="00562840" w:rsidRPr="00005453" w:rsidRDefault="00562840" w:rsidP="00562840">
            <w:pPr>
              <w:jc w:val="right"/>
              <w:rPr>
                <w:sz w:val="16"/>
                <w:szCs w:val="16"/>
                <w:lang w:eastAsia="tr-TR"/>
              </w:rPr>
            </w:pPr>
            <w:r w:rsidRPr="00005453">
              <w:rPr>
                <w:sz w:val="16"/>
                <w:szCs w:val="22"/>
              </w:rPr>
              <w:t xml:space="preserve">     377,210,385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0F2BAE5" w14:textId="0BB09946" w:rsidR="00562840" w:rsidRPr="00005453" w:rsidRDefault="00562840" w:rsidP="00562840">
            <w:pPr>
              <w:jc w:val="right"/>
              <w:rPr>
                <w:color w:val="000000"/>
                <w:sz w:val="16"/>
                <w:szCs w:val="16"/>
                <w:lang w:eastAsia="tr-TR"/>
              </w:rPr>
            </w:pPr>
            <w:r w:rsidRPr="00005453">
              <w:rPr>
                <w:color w:val="000000"/>
                <w:sz w:val="16"/>
                <w:szCs w:val="16"/>
                <w:lang w:eastAsia="tr-TR"/>
              </w:rPr>
              <w:t>160,649,396</w:t>
            </w:r>
          </w:p>
        </w:tc>
      </w:tr>
      <w:tr w:rsidR="00562840" w:rsidRPr="00005453" w14:paraId="43FB0461" w14:textId="77777777" w:rsidTr="007854AB">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1ACC245" w14:textId="77777777" w:rsidR="00562840" w:rsidRPr="00005453" w:rsidRDefault="00562840" w:rsidP="00562840">
            <w:pPr>
              <w:jc w:val="center"/>
              <w:rPr>
                <w:color w:val="000000"/>
                <w:sz w:val="16"/>
                <w:szCs w:val="16"/>
                <w:lang w:eastAsia="tr-TR"/>
              </w:rPr>
            </w:pPr>
            <w:r w:rsidRPr="00005453">
              <w:rPr>
                <w:color w:val="000000"/>
                <w:sz w:val="16"/>
                <w:szCs w:val="16"/>
                <w:lang w:eastAsia="tr-TR"/>
              </w:rPr>
              <w:t>11</w:t>
            </w:r>
          </w:p>
        </w:tc>
        <w:tc>
          <w:tcPr>
            <w:tcW w:w="5488" w:type="dxa"/>
            <w:tcBorders>
              <w:top w:val="single" w:sz="8" w:space="0" w:color="auto"/>
              <w:left w:val="nil"/>
              <w:bottom w:val="single" w:sz="8" w:space="0" w:color="auto"/>
              <w:right w:val="nil"/>
            </w:tcBorders>
            <w:shd w:val="clear" w:color="auto" w:fill="auto"/>
            <w:vAlign w:val="center"/>
            <w:hideMark/>
          </w:tcPr>
          <w:p w14:paraId="6BA5B1A6" w14:textId="77777777" w:rsidR="00562840" w:rsidRPr="00005453" w:rsidRDefault="00562840" w:rsidP="00562840">
            <w:pPr>
              <w:rPr>
                <w:color w:val="000000"/>
                <w:sz w:val="16"/>
                <w:szCs w:val="16"/>
                <w:lang w:eastAsia="tr-TR"/>
              </w:rPr>
            </w:pPr>
            <w:r w:rsidRPr="00005453">
              <w:rPr>
                <w:color w:val="000000"/>
                <w:sz w:val="16"/>
                <w:szCs w:val="16"/>
                <w:lang w:eastAsia="tr-TR"/>
              </w:rPr>
              <w:t>(Krediye dönüştürme oranları ile çarpımından kaynaklanan düzeltme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E9D0C50" w14:textId="0DFFB8D9" w:rsidR="00562840" w:rsidRPr="00005453" w:rsidRDefault="00562840" w:rsidP="00562840">
            <w:pPr>
              <w:jc w:val="right"/>
              <w:rPr>
                <w:sz w:val="16"/>
                <w:szCs w:val="16"/>
                <w:lang w:eastAsia="tr-TR"/>
              </w:rPr>
            </w:pPr>
            <w:r w:rsidRPr="00005453">
              <w:rPr>
                <w:sz w:val="16"/>
                <w:szCs w:val="22"/>
              </w:rPr>
              <w:t xml:space="preserve">(153,868,221)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79EE3F30" w14:textId="10F4C370" w:rsidR="00562840" w:rsidRPr="00005453" w:rsidRDefault="00562840" w:rsidP="00562840">
            <w:pPr>
              <w:jc w:val="right"/>
              <w:rPr>
                <w:color w:val="000000"/>
                <w:sz w:val="16"/>
                <w:szCs w:val="16"/>
                <w:lang w:eastAsia="tr-TR"/>
              </w:rPr>
            </w:pPr>
            <w:r w:rsidRPr="00005453">
              <w:rPr>
                <w:color w:val="000000"/>
                <w:sz w:val="16"/>
                <w:szCs w:val="16"/>
                <w:lang w:eastAsia="tr-TR"/>
              </w:rPr>
              <w:t>(49,665,843)</w:t>
            </w:r>
          </w:p>
        </w:tc>
      </w:tr>
      <w:tr w:rsidR="00562840" w:rsidRPr="00005453" w14:paraId="0A0178E0" w14:textId="77777777" w:rsidTr="007854AB">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FE3E577" w14:textId="77777777" w:rsidR="00562840" w:rsidRPr="00005453" w:rsidRDefault="00562840" w:rsidP="00562840">
            <w:pPr>
              <w:jc w:val="center"/>
              <w:rPr>
                <w:color w:val="000000"/>
                <w:sz w:val="16"/>
                <w:szCs w:val="16"/>
                <w:lang w:eastAsia="tr-TR"/>
              </w:rPr>
            </w:pPr>
            <w:r w:rsidRPr="00005453">
              <w:rPr>
                <w:color w:val="000000"/>
                <w:sz w:val="16"/>
                <w:szCs w:val="16"/>
                <w:lang w:eastAsia="tr-TR"/>
              </w:rPr>
              <w:t>12</w:t>
            </w:r>
          </w:p>
        </w:tc>
        <w:tc>
          <w:tcPr>
            <w:tcW w:w="5488" w:type="dxa"/>
            <w:tcBorders>
              <w:top w:val="single" w:sz="8" w:space="0" w:color="auto"/>
              <w:left w:val="nil"/>
              <w:bottom w:val="single" w:sz="8" w:space="0" w:color="auto"/>
              <w:right w:val="nil"/>
            </w:tcBorders>
            <w:shd w:val="clear" w:color="auto" w:fill="auto"/>
            <w:vAlign w:val="center"/>
            <w:hideMark/>
          </w:tcPr>
          <w:p w14:paraId="34E6D31C" w14:textId="77777777" w:rsidR="00562840" w:rsidRPr="00005453" w:rsidRDefault="00562840" w:rsidP="00562840">
            <w:pPr>
              <w:rPr>
                <w:color w:val="000000"/>
                <w:sz w:val="16"/>
                <w:szCs w:val="16"/>
                <w:lang w:eastAsia="tr-TR"/>
              </w:rPr>
            </w:pPr>
            <w:r w:rsidRPr="00005453">
              <w:rPr>
                <w:color w:val="000000"/>
                <w:sz w:val="16"/>
                <w:szCs w:val="16"/>
                <w:lang w:eastAsia="tr-TR"/>
              </w:rPr>
              <w:t>Bilanço dışı işlemlere ilişkin toplam risk tutarı (10 ve 11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63D9A96" w14:textId="62B63A2C" w:rsidR="00562840" w:rsidRPr="00005453" w:rsidRDefault="00562840" w:rsidP="00562840">
            <w:pPr>
              <w:jc w:val="right"/>
              <w:rPr>
                <w:sz w:val="16"/>
                <w:szCs w:val="16"/>
                <w:lang w:eastAsia="tr-TR"/>
              </w:rPr>
            </w:pPr>
            <w:r w:rsidRPr="00005453">
              <w:rPr>
                <w:sz w:val="16"/>
                <w:szCs w:val="22"/>
              </w:rPr>
              <w:t xml:space="preserve">     223,342,164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546035EC" w14:textId="18FA6238" w:rsidR="00562840" w:rsidRPr="00005453" w:rsidRDefault="00562840" w:rsidP="00562840">
            <w:pPr>
              <w:jc w:val="right"/>
              <w:rPr>
                <w:color w:val="000000"/>
                <w:sz w:val="16"/>
                <w:szCs w:val="16"/>
                <w:lang w:eastAsia="tr-TR"/>
              </w:rPr>
            </w:pPr>
            <w:r w:rsidRPr="00005453">
              <w:rPr>
                <w:color w:val="000000"/>
                <w:sz w:val="16"/>
                <w:szCs w:val="16"/>
                <w:lang w:eastAsia="tr-TR"/>
              </w:rPr>
              <w:t>110,983,553</w:t>
            </w:r>
          </w:p>
        </w:tc>
      </w:tr>
      <w:tr w:rsidR="007854AB" w:rsidRPr="00005453" w14:paraId="0C0DFE9E" w14:textId="77777777" w:rsidTr="007854AB">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586F08E" w14:textId="77777777" w:rsidR="007854AB" w:rsidRPr="00005453" w:rsidRDefault="007854AB" w:rsidP="007854AB">
            <w:pPr>
              <w:jc w:val="center"/>
              <w:rPr>
                <w:color w:val="000000"/>
                <w:sz w:val="16"/>
                <w:szCs w:val="16"/>
                <w:lang w:eastAsia="tr-TR"/>
              </w:rPr>
            </w:pPr>
            <w:r w:rsidRPr="00005453">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54C766DA" w14:textId="77777777" w:rsidR="007854AB" w:rsidRPr="00005453" w:rsidRDefault="007854AB" w:rsidP="007854AB">
            <w:pPr>
              <w:jc w:val="center"/>
              <w:rPr>
                <w:b/>
                <w:bCs/>
                <w:color w:val="000000"/>
                <w:sz w:val="16"/>
                <w:szCs w:val="16"/>
                <w:lang w:eastAsia="tr-TR"/>
              </w:rPr>
            </w:pPr>
            <w:r w:rsidRPr="00005453">
              <w:rPr>
                <w:b/>
                <w:bCs/>
                <w:color w:val="000000"/>
                <w:sz w:val="16"/>
                <w:szCs w:val="16"/>
                <w:lang w:eastAsia="tr-TR"/>
              </w:rPr>
              <w:t>Sermaye ve toplam risk</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00C1AF5D" w14:textId="77777777" w:rsidR="007854AB" w:rsidRPr="00005453" w:rsidRDefault="007854AB" w:rsidP="007854AB">
            <w:pPr>
              <w:jc w:val="right"/>
              <w:rPr>
                <w:color w:val="000000"/>
                <w:sz w:val="16"/>
                <w:szCs w:val="16"/>
                <w:lang w:eastAsia="tr-TR"/>
              </w:rPr>
            </w:pPr>
            <w:r w:rsidRPr="00005453">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2171210F" w14:textId="5896ADF6" w:rsidR="007854AB" w:rsidRPr="00005453" w:rsidRDefault="007854AB" w:rsidP="007854AB">
            <w:pPr>
              <w:jc w:val="right"/>
              <w:rPr>
                <w:color w:val="000000"/>
                <w:sz w:val="16"/>
                <w:szCs w:val="16"/>
                <w:lang w:eastAsia="tr-TR"/>
              </w:rPr>
            </w:pPr>
          </w:p>
        </w:tc>
      </w:tr>
      <w:tr w:rsidR="00562840" w:rsidRPr="00005453" w14:paraId="6A477C54" w14:textId="77777777" w:rsidTr="007854AB">
        <w:trPr>
          <w:divId w:val="1763067817"/>
          <w:trHeight w:val="48"/>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FED9AED" w14:textId="77777777" w:rsidR="00562840" w:rsidRPr="00005453" w:rsidRDefault="00562840" w:rsidP="00562840">
            <w:pPr>
              <w:jc w:val="center"/>
              <w:rPr>
                <w:color w:val="000000"/>
                <w:sz w:val="16"/>
                <w:szCs w:val="16"/>
                <w:lang w:eastAsia="tr-TR"/>
              </w:rPr>
            </w:pPr>
            <w:r w:rsidRPr="00005453">
              <w:rPr>
                <w:color w:val="000000"/>
                <w:sz w:val="16"/>
                <w:szCs w:val="16"/>
                <w:lang w:eastAsia="tr-TR"/>
              </w:rPr>
              <w:t>13</w:t>
            </w:r>
          </w:p>
        </w:tc>
        <w:tc>
          <w:tcPr>
            <w:tcW w:w="5488" w:type="dxa"/>
            <w:tcBorders>
              <w:top w:val="single" w:sz="8" w:space="0" w:color="auto"/>
              <w:left w:val="nil"/>
              <w:bottom w:val="single" w:sz="8" w:space="0" w:color="auto"/>
              <w:right w:val="nil"/>
            </w:tcBorders>
            <w:shd w:val="clear" w:color="auto" w:fill="auto"/>
            <w:vAlign w:val="center"/>
            <w:hideMark/>
          </w:tcPr>
          <w:p w14:paraId="295D35AD" w14:textId="77777777" w:rsidR="00562840" w:rsidRPr="00005453" w:rsidRDefault="00562840" w:rsidP="00562840">
            <w:pPr>
              <w:rPr>
                <w:color w:val="000000"/>
                <w:sz w:val="16"/>
                <w:szCs w:val="16"/>
                <w:lang w:eastAsia="tr-TR"/>
              </w:rPr>
            </w:pPr>
            <w:r w:rsidRPr="00005453">
              <w:rPr>
                <w:color w:val="000000"/>
                <w:sz w:val="16"/>
                <w:szCs w:val="16"/>
                <w:lang w:eastAsia="tr-TR"/>
              </w:rPr>
              <w:t>Ana sermaye</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7E0F92F" w14:textId="02016428" w:rsidR="00562840" w:rsidRPr="00005453" w:rsidRDefault="00562840" w:rsidP="00562840">
            <w:pPr>
              <w:jc w:val="right"/>
              <w:rPr>
                <w:color w:val="000000"/>
                <w:sz w:val="16"/>
                <w:szCs w:val="16"/>
                <w:lang w:eastAsia="tr-TR"/>
              </w:rPr>
            </w:pPr>
            <w:r w:rsidRPr="00005453">
              <w:rPr>
                <w:sz w:val="16"/>
                <w:szCs w:val="22"/>
              </w:rPr>
              <w:t xml:space="preserve">       78,154,085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0CC485A3" w14:textId="279C8D9F" w:rsidR="00562840" w:rsidRPr="00005453" w:rsidRDefault="00562840" w:rsidP="00562840">
            <w:pPr>
              <w:jc w:val="right"/>
              <w:rPr>
                <w:color w:val="000000"/>
                <w:sz w:val="16"/>
                <w:szCs w:val="16"/>
                <w:lang w:eastAsia="tr-TR"/>
              </w:rPr>
            </w:pPr>
            <w:r w:rsidRPr="00005453">
              <w:rPr>
                <w:color w:val="000000"/>
                <w:sz w:val="16"/>
                <w:szCs w:val="16"/>
                <w:lang w:eastAsia="tr-TR"/>
              </w:rPr>
              <w:t>50,886,957</w:t>
            </w:r>
          </w:p>
        </w:tc>
      </w:tr>
      <w:tr w:rsidR="00562840" w:rsidRPr="00005453" w14:paraId="190B0E54" w14:textId="77777777" w:rsidTr="007854AB">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379929C" w14:textId="77777777" w:rsidR="00562840" w:rsidRPr="00005453" w:rsidRDefault="00562840" w:rsidP="00562840">
            <w:pPr>
              <w:jc w:val="center"/>
              <w:rPr>
                <w:color w:val="000000"/>
                <w:sz w:val="16"/>
                <w:szCs w:val="16"/>
                <w:lang w:eastAsia="tr-TR"/>
              </w:rPr>
            </w:pPr>
            <w:r w:rsidRPr="00005453">
              <w:rPr>
                <w:color w:val="000000"/>
                <w:sz w:val="16"/>
                <w:szCs w:val="16"/>
                <w:lang w:eastAsia="tr-TR"/>
              </w:rPr>
              <w:t>14</w:t>
            </w:r>
          </w:p>
        </w:tc>
        <w:tc>
          <w:tcPr>
            <w:tcW w:w="5488" w:type="dxa"/>
            <w:tcBorders>
              <w:top w:val="single" w:sz="8" w:space="0" w:color="auto"/>
              <w:left w:val="nil"/>
              <w:bottom w:val="single" w:sz="8" w:space="0" w:color="auto"/>
              <w:right w:val="nil"/>
            </w:tcBorders>
            <w:shd w:val="clear" w:color="auto" w:fill="auto"/>
            <w:vAlign w:val="center"/>
            <w:hideMark/>
          </w:tcPr>
          <w:p w14:paraId="79FA3A51" w14:textId="77777777" w:rsidR="00562840" w:rsidRPr="00005453" w:rsidRDefault="00562840" w:rsidP="00562840">
            <w:pPr>
              <w:rPr>
                <w:color w:val="000000"/>
                <w:sz w:val="16"/>
                <w:szCs w:val="16"/>
                <w:lang w:eastAsia="tr-TR"/>
              </w:rPr>
            </w:pPr>
            <w:r w:rsidRPr="00005453">
              <w:rPr>
                <w:color w:val="000000"/>
                <w:sz w:val="16"/>
                <w:szCs w:val="16"/>
                <w:lang w:eastAsia="tr-TR"/>
              </w:rPr>
              <w:t>Toplam risk tutarı (3, 6, 9 ve 12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F9C38DA" w14:textId="6B2FA36B" w:rsidR="00562840" w:rsidRPr="00005453" w:rsidRDefault="00562840" w:rsidP="00562840">
            <w:pPr>
              <w:jc w:val="right"/>
              <w:rPr>
                <w:color w:val="000000"/>
                <w:sz w:val="16"/>
                <w:szCs w:val="16"/>
                <w:lang w:eastAsia="tr-TR"/>
              </w:rPr>
            </w:pPr>
            <w:r w:rsidRPr="00005453">
              <w:rPr>
                <w:sz w:val="16"/>
                <w:szCs w:val="22"/>
              </w:rPr>
              <w:t xml:space="preserve">  1,058,634,131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773DCDBF" w14:textId="3BF1E76D" w:rsidR="00562840" w:rsidRPr="00005453" w:rsidRDefault="00562840" w:rsidP="00562840">
            <w:pPr>
              <w:jc w:val="right"/>
              <w:rPr>
                <w:color w:val="000000"/>
                <w:sz w:val="16"/>
                <w:szCs w:val="16"/>
                <w:lang w:eastAsia="tr-TR"/>
              </w:rPr>
            </w:pPr>
            <w:r w:rsidRPr="00005453">
              <w:rPr>
                <w:color w:val="000000"/>
                <w:sz w:val="16"/>
                <w:szCs w:val="16"/>
                <w:lang w:eastAsia="tr-TR"/>
              </w:rPr>
              <w:t>773,651,815</w:t>
            </w:r>
          </w:p>
        </w:tc>
      </w:tr>
      <w:tr w:rsidR="007854AB" w:rsidRPr="00005453" w14:paraId="0EDD5D4D" w14:textId="77777777" w:rsidTr="007854AB">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8315C65" w14:textId="77777777" w:rsidR="007854AB" w:rsidRPr="00005453" w:rsidRDefault="007854AB" w:rsidP="007854AB">
            <w:pPr>
              <w:jc w:val="center"/>
              <w:rPr>
                <w:color w:val="000000"/>
                <w:sz w:val="16"/>
                <w:szCs w:val="16"/>
                <w:lang w:eastAsia="tr-TR"/>
              </w:rPr>
            </w:pPr>
            <w:r w:rsidRPr="00005453">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78B26B26" w14:textId="77777777" w:rsidR="007854AB" w:rsidRPr="00005453" w:rsidRDefault="007854AB" w:rsidP="007854AB">
            <w:pPr>
              <w:jc w:val="center"/>
              <w:rPr>
                <w:b/>
                <w:bCs/>
                <w:color w:val="000000"/>
                <w:sz w:val="16"/>
                <w:szCs w:val="16"/>
                <w:lang w:eastAsia="tr-TR"/>
              </w:rPr>
            </w:pPr>
            <w:r w:rsidRPr="00005453">
              <w:rPr>
                <w:b/>
                <w:bCs/>
                <w:color w:val="000000"/>
                <w:sz w:val="16"/>
                <w:szCs w:val="16"/>
                <w:lang w:eastAsia="tr-TR"/>
              </w:rPr>
              <w:t>Kaldıraç oranı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FC5968D" w14:textId="77777777" w:rsidR="007854AB" w:rsidRPr="00005453" w:rsidRDefault="007854AB" w:rsidP="007854AB">
            <w:pPr>
              <w:jc w:val="right"/>
              <w:rPr>
                <w:color w:val="000000"/>
                <w:sz w:val="16"/>
                <w:szCs w:val="16"/>
                <w:lang w:eastAsia="tr-TR"/>
              </w:rPr>
            </w:pPr>
            <w:r w:rsidRPr="00005453">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0A2D81E8" w14:textId="4A481232" w:rsidR="007854AB" w:rsidRPr="00005453" w:rsidRDefault="007854AB" w:rsidP="007854AB">
            <w:pPr>
              <w:jc w:val="right"/>
              <w:rPr>
                <w:color w:val="000000"/>
                <w:sz w:val="16"/>
                <w:szCs w:val="16"/>
                <w:lang w:eastAsia="tr-TR"/>
              </w:rPr>
            </w:pPr>
          </w:p>
        </w:tc>
      </w:tr>
      <w:tr w:rsidR="007854AB" w:rsidRPr="00005453" w14:paraId="45E7B004" w14:textId="77777777" w:rsidTr="007854AB">
        <w:trPr>
          <w:divId w:val="1763067817"/>
          <w:trHeight w:val="192"/>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D511967" w14:textId="77777777" w:rsidR="007854AB" w:rsidRPr="00005453" w:rsidRDefault="007854AB" w:rsidP="007854AB">
            <w:pPr>
              <w:jc w:val="center"/>
              <w:rPr>
                <w:color w:val="000000"/>
                <w:sz w:val="16"/>
                <w:szCs w:val="16"/>
                <w:lang w:eastAsia="tr-TR"/>
              </w:rPr>
            </w:pPr>
            <w:r w:rsidRPr="00005453">
              <w:rPr>
                <w:color w:val="000000"/>
                <w:sz w:val="16"/>
                <w:szCs w:val="16"/>
                <w:lang w:eastAsia="tr-TR"/>
              </w:rPr>
              <w:t>15</w:t>
            </w:r>
          </w:p>
        </w:tc>
        <w:tc>
          <w:tcPr>
            <w:tcW w:w="5488" w:type="dxa"/>
            <w:tcBorders>
              <w:top w:val="single" w:sz="8" w:space="0" w:color="auto"/>
              <w:left w:val="nil"/>
              <w:bottom w:val="single" w:sz="8" w:space="0" w:color="auto"/>
              <w:right w:val="nil"/>
            </w:tcBorders>
            <w:shd w:val="clear" w:color="auto" w:fill="auto"/>
            <w:vAlign w:val="center"/>
            <w:hideMark/>
          </w:tcPr>
          <w:p w14:paraId="0B487ABC" w14:textId="77777777" w:rsidR="007854AB" w:rsidRPr="00005453" w:rsidRDefault="007854AB" w:rsidP="007854AB">
            <w:pPr>
              <w:rPr>
                <w:color w:val="000000"/>
                <w:sz w:val="16"/>
                <w:szCs w:val="16"/>
                <w:lang w:eastAsia="tr-TR"/>
              </w:rPr>
            </w:pPr>
            <w:r w:rsidRPr="00005453">
              <w:rPr>
                <w:color w:val="000000"/>
                <w:sz w:val="16"/>
                <w:szCs w:val="16"/>
                <w:lang w:eastAsia="tr-TR"/>
              </w:rPr>
              <w:t>Kaldıraç oranı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6992A80" w14:textId="419C690F" w:rsidR="007854AB" w:rsidRPr="00005453" w:rsidRDefault="007854AB" w:rsidP="007854AB">
            <w:pPr>
              <w:jc w:val="right"/>
              <w:rPr>
                <w:color w:val="000000"/>
                <w:sz w:val="16"/>
                <w:szCs w:val="16"/>
                <w:lang w:eastAsia="tr-TR"/>
              </w:rPr>
            </w:pPr>
            <w:r w:rsidRPr="00005453">
              <w:rPr>
                <w:color w:val="000000"/>
                <w:sz w:val="16"/>
                <w:szCs w:val="16"/>
                <w:lang w:eastAsia="tr-TR"/>
              </w:rPr>
              <w:t xml:space="preserve">                   </w:t>
            </w:r>
            <w:r w:rsidR="00562840" w:rsidRPr="00005453">
              <w:rPr>
                <w:color w:val="000000"/>
                <w:sz w:val="16"/>
                <w:szCs w:val="16"/>
                <w:lang w:eastAsia="tr-TR"/>
              </w:rPr>
              <w:t>7</w:t>
            </w:r>
            <w:r w:rsidRPr="00005453">
              <w:rPr>
                <w:color w:val="000000"/>
                <w:sz w:val="16"/>
                <w:szCs w:val="16"/>
                <w:lang w:eastAsia="tr-TR"/>
              </w:rPr>
              <w:t>.</w:t>
            </w:r>
            <w:r w:rsidR="00562840" w:rsidRPr="00005453">
              <w:rPr>
                <w:color w:val="000000"/>
                <w:sz w:val="16"/>
                <w:szCs w:val="16"/>
                <w:lang w:eastAsia="tr-TR"/>
              </w:rPr>
              <w:t>3</w:t>
            </w:r>
            <w:r w:rsidRPr="00005453">
              <w:rPr>
                <w:color w:val="000000"/>
                <w:sz w:val="16"/>
                <w:szCs w:val="16"/>
                <w:lang w:eastAsia="tr-TR"/>
              </w:rPr>
              <w:t xml:space="preserve">8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D007725" w14:textId="6B447ED6" w:rsidR="007854AB" w:rsidRPr="00005453" w:rsidRDefault="007854AB" w:rsidP="007854AB">
            <w:pPr>
              <w:jc w:val="right"/>
              <w:rPr>
                <w:color w:val="000000"/>
                <w:sz w:val="16"/>
                <w:szCs w:val="16"/>
                <w:lang w:eastAsia="tr-TR"/>
              </w:rPr>
            </w:pPr>
            <w:r w:rsidRPr="00005453">
              <w:rPr>
                <w:color w:val="000000"/>
                <w:sz w:val="16"/>
                <w:szCs w:val="16"/>
                <w:lang w:eastAsia="tr-TR"/>
              </w:rPr>
              <w:t>6.58</w:t>
            </w:r>
          </w:p>
        </w:tc>
      </w:tr>
    </w:tbl>
    <w:p w14:paraId="21CC28FF" w14:textId="0E7E4848" w:rsidR="00124938" w:rsidRPr="00005453" w:rsidRDefault="00124938" w:rsidP="00ED269F">
      <w:pPr>
        <w:rPr>
          <w:sz w:val="10"/>
          <w:szCs w:val="10"/>
        </w:rPr>
      </w:pPr>
    </w:p>
    <w:p w14:paraId="46B5AA1A" w14:textId="71108506" w:rsidR="0037725A" w:rsidRPr="00005453" w:rsidRDefault="0037725A" w:rsidP="00ED269F">
      <w:pPr>
        <w:rPr>
          <w:sz w:val="16"/>
          <w:szCs w:val="16"/>
        </w:rPr>
      </w:pPr>
      <w:r w:rsidRPr="00005453">
        <w:rPr>
          <w:sz w:val="16"/>
          <w:szCs w:val="16"/>
        </w:rPr>
        <w:t>(*) Tabloda yer alan tutarlar üç aylık ortalamaları ifade etmektedir.</w:t>
      </w:r>
    </w:p>
    <w:p w14:paraId="0E272DCE" w14:textId="21031661" w:rsidR="00D94B87" w:rsidRPr="00005453" w:rsidRDefault="00D94B87" w:rsidP="00694C23">
      <w:pPr>
        <w:jc w:val="both"/>
        <w:rPr>
          <w:lang w:eastAsia="en-GB"/>
        </w:rPr>
      </w:pPr>
    </w:p>
    <w:p w14:paraId="6C3B5A91" w14:textId="454F1ABF" w:rsidR="001B7BC7" w:rsidRPr="00005453" w:rsidRDefault="00124938" w:rsidP="00D94B87">
      <w:pPr>
        <w:jc w:val="both"/>
        <w:rPr>
          <w:color w:val="000000"/>
          <w:lang w:eastAsia="tr-TR"/>
        </w:rPr>
      </w:pPr>
      <w:r w:rsidRPr="00005453">
        <w:rPr>
          <w:color w:val="000000"/>
          <w:lang w:eastAsia="tr-TR"/>
        </w:rPr>
        <w:t>Banka’nın solo bazda bilanço tarihi itibari ile geçmiş üç aylık dönemde ay sonları itibari ile bulunan değerlerin aritmetik ortalaması baz alınarak hesaplanan kaldıraç oranı %</w:t>
      </w:r>
      <w:r w:rsidR="00E234BC" w:rsidRPr="00005453">
        <w:rPr>
          <w:color w:val="000000"/>
          <w:lang w:eastAsia="tr-TR"/>
        </w:rPr>
        <w:t>7</w:t>
      </w:r>
      <w:r w:rsidRPr="00005453">
        <w:rPr>
          <w:color w:val="000000"/>
          <w:lang w:eastAsia="tr-TR"/>
        </w:rPr>
        <w:t>.</w:t>
      </w:r>
      <w:r w:rsidR="00E234BC" w:rsidRPr="00005453">
        <w:rPr>
          <w:color w:val="000000"/>
          <w:lang w:eastAsia="tr-TR"/>
        </w:rPr>
        <w:t>3</w:t>
      </w:r>
      <w:r w:rsidR="00402C6E" w:rsidRPr="00005453">
        <w:rPr>
          <w:color w:val="000000"/>
          <w:lang w:eastAsia="tr-TR"/>
        </w:rPr>
        <w:t>8</w:t>
      </w:r>
      <w:r w:rsidRPr="00005453">
        <w:rPr>
          <w:color w:val="000000"/>
          <w:lang w:eastAsia="tr-TR"/>
        </w:rPr>
        <w:t xml:space="preserve"> (31 Aralık </w:t>
      </w:r>
      <w:proofErr w:type="gramStart"/>
      <w:r w:rsidRPr="00005453">
        <w:rPr>
          <w:color w:val="000000"/>
          <w:lang w:eastAsia="tr-TR"/>
        </w:rPr>
        <w:t>202</w:t>
      </w:r>
      <w:r w:rsidR="00B3719B" w:rsidRPr="00005453">
        <w:rPr>
          <w:color w:val="000000"/>
          <w:lang w:eastAsia="tr-TR"/>
        </w:rPr>
        <w:t>3</w:t>
      </w:r>
      <w:r w:rsidRPr="00005453">
        <w:rPr>
          <w:color w:val="000000"/>
          <w:lang w:eastAsia="tr-TR"/>
        </w:rPr>
        <w:t xml:space="preserve"> -</w:t>
      </w:r>
      <w:proofErr w:type="gramEnd"/>
      <w:r w:rsidRPr="00005453">
        <w:rPr>
          <w:color w:val="000000"/>
          <w:lang w:eastAsia="tr-TR"/>
        </w:rPr>
        <w:t xml:space="preserve"> </w:t>
      </w:r>
      <w:r w:rsidR="00CE6228" w:rsidRPr="00005453">
        <w:rPr>
          <w:color w:val="000000"/>
          <w:lang w:eastAsia="tr-TR"/>
        </w:rPr>
        <w:t>%</w:t>
      </w:r>
      <w:r w:rsidR="00B3719B" w:rsidRPr="00005453">
        <w:rPr>
          <w:color w:val="000000"/>
          <w:lang w:eastAsia="tr-TR"/>
        </w:rPr>
        <w:t>6</w:t>
      </w:r>
      <w:r w:rsidR="00CE6228" w:rsidRPr="00005453">
        <w:rPr>
          <w:color w:val="000000"/>
          <w:lang w:eastAsia="tr-TR"/>
        </w:rPr>
        <w:t>.</w:t>
      </w:r>
      <w:r w:rsidR="00B3719B" w:rsidRPr="00005453">
        <w:rPr>
          <w:color w:val="000000"/>
          <w:lang w:eastAsia="tr-TR"/>
        </w:rPr>
        <w:t>5</w:t>
      </w:r>
      <w:r w:rsidR="00CE6228" w:rsidRPr="00005453">
        <w:rPr>
          <w:color w:val="000000"/>
          <w:lang w:eastAsia="tr-TR"/>
        </w:rPr>
        <w:t>8</w:t>
      </w:r>
      <w:r w:rsidRPr="00005453">
        <w:rPr>
          <w:color w:val="000000"/>
          <w:lang w:eastAsia="tr-TR"/>
        </w:rPr>
        <w:t>) olarak gerçekleşmiştir. Önceki döneme göre değişimin başlıca sebebi</w:t>
      </w:r>
      <w:r w:rsidR="00B32F44" w:rsidRPr="00005453">
        <w:rPr>
          <w:color w:val="000000"/>
          <w:lang w:eastAsia="tr-TR"/>
        </w:rPr>
        <w:t xml:space="preserve"> </w:t>
      </w:r>
      <w:r w:rsidR="00D47015" w:rsidRPr="00005453">
        <w:rPr>
          <w:color w:val="000000"/>
          <w:lang w:eastAsia="tr-TR"/>
        </w:rPr>
        <w:t xml:space="preserve">sermaye, </w:t>
      </w:r>
      <w:r w:rsidR="00D63C48" w:rsidRPr="00005453">
        <w:rPr>
          <w:color w:val="000000"/>
          <w:lang w:eastAsia="tr-TR"/>
        </w:rPr>
        <w:t>bilanço içi varlıklar</w:t>
      </w:r>
      <w:r w:rsidR="00D47015" w:rsidRPr="00005453">
        <w:rPr>
          <w:color w:val="000000"/>
          <w:lang w:eastAsia="tr-TR"/>
        </w:rPr>
        <w:t>, türev finansal varlıklar ve kredi türevleri</w:t>
      </w:r>
      <w:r w:rsidR="00D63C48" w:rsidRPr="00005453">
        <w:rPr>
          <w:color w:val="000000"/>
          <w:lang w:eastAsia="tr-TR"/>
        </w:rPr>
        <w:t xml:space="preserve"> </w:t>
      </w:r>
      <w:r w:rsidR="00B35061" w:rsidRPr="00005453">
        <w:rPr>
          <w:color w:val="000000"/>
          <w:lang w:eastAsia="tr-TR"/>
        </w:rPr>
        <w:t xml:space="preserve">kalemlerindeki artışın diğer kalemlere nazaran </w:t>
      </w:r>
      <w:r w:rsidRPr="00005453">
        <w:rPr>
          <w:color w:val="000000"/>
          <w:lang w:eastAsia="tr-TR"/>
        </w:rPr>
        <w:t>daha yüksek olmasıdır. Buna göre, ana sermaye dönem karı kaynaklı %</w:t>
      </w:r>
      <w:r w:rsidR="00E234BC" w:rsidRPr="00005453">
        <w:rPr>
          <w:color w:val="000000"/>
          <w:lang w:eastAsia="tr-TR"/>
        </w:rPr>
        <w:t>54</w:t>
      </w:r>
      <w:r w:rsidRPr="00005453">
        <w:rPr>
          <w:color w:val="000000"/>
          <w:lang w:eastAsia="tr-TR"/>
        </w:rPr>
        <w:t xml:space="preserve"> artarken</w:t>
      </w:r>
      <w:r w:rsidR="00527651" w:rsidRPr="00005453">
        <w:rPr>
          <w:color w:val="000000"/>
          <w:lang w:eastAsia="tr-TR"/>
        </w:rPr>
        <w:t>,</w:t>
      </w:r>
      <w:r w:rsidR="00F109E7" w:rsidRPr="00005453">
        <w:rPr>
          <w:color w:val="000000"/>
          <w:lang w:eastAsia="tr-TR"/>
        </w:rPr>
        <w:t xml:space="preserve"> </w:t>
      </w:r>
      <w:r w:rsidRPr="00005453">
        <w:rPr>
          <w:color w:val="000000"/>
          <w:lang w:eastAsia="tr-TR"/>
        </w:rPr>
        <w:t>bilanço içi risk tutarı %</w:t>
      </w:r>
      <w:r w:rsidR="00E234BC" w:rsidRPr="00005453">
        <w:rPr>
          <w:color w:val="000000"/>
          <w:lang w:eastAsia="tr-TR"/>
        </w:rPr>
        <w:t>30</w:t>
      </w:r>
      <w:r w:rsidRPr="00005453">
        <w:rPr>
          <w:color w:val="000000"/>
          <w:lang w:eastAsia="tr-TR"/>
        </w:rPr>
        <w:t xml:space="preserve"> art</w:t>
      </w:r>
      <w:r w:rsidR="00F109E7" w:rsidRPr="00005453">
        <w:rPr>
          <w:color w:val="000000"/>
          <w:lang w:eastAsia="tr-TR"/>
        </w:rPr>
        <w:t xml:space="preserve">mış </w:t>
      </w:r>
      <w:proofErr w:type="gramStart"/>
      <w:r w:rsidR="00F109E7" w:rsidRPr="00005453">
        <w:rPr>
          <w:color w:val="000000"/>
          <w:lang w:eastAsia="tr-TR"/>
        </w:rPr>
        <w:t xml:space="preserve">ve </w:t>
      </w:r>
      <w:r w:rsidR="00405623" w:rsidRPr="00005453">
        <w:rPr>
          <w:color w:val="000000"/>
          <w:lang w:eastAsia="tr-TR"/>
        </w:rPr>
        <w:t xml:space="preserve"> </w:t>
      </w:r>
      <w:r w:rsidRPr="00005453">
        <w:rPr>
          <w:color w:val="000000"/>
          <w:lang w:eastAsia="tr-TR"/>
        </w:rPr>
        <w:t>bilanço</w:t>
      </w:r>
      <w:proofErr w:type="gramEnd"/>
      <w:r w:rsidRPr="00005453">
        <w:rPr>
          <w:color w:val="000000"/>
          <w:lang w:eastAsia="tr-TR"/>
        </w:rPr>
        <w:t xml:space="preserve"> dışı kalemler %</w:t>
      </w:r>
      <w:r w:rsidR="00E234BC" w:rsidRPr="00005453">
        <w:rPr>
          <w:color w:val="000000"/>
          <w:lang w:eastAsia="tr-TR"/>
        </w:rPr>
        <w:t>101</w:t>
      </w:r>
      <w:r w:rsidRPr="00005453">
        <w:rPr>
          <w:color w:val="000000"/>
          <w:lang w:eastAsia="tr-TR"/>
        </w:rPr>
        <w:t xml:space="preserve"> artış göstermiştir. Buna bağlı olarak, cari dönem kaldıraç oranında önceki döneme nazaran </w:t>
      </w:r>
      <w:r w:rsidR="00E234BC" w:rsidRPr="00005453">
        <w:rPr>
          <w:color w:val="000000"/>
          <w:lang w:eastAsia="tr-TR"/>
        </w:rPr>
        <w:t>8</w:t>
      </w:r>
      <w:r w:rsidR="001056F1" w:rsidRPr="00005453">
        <w:rPr>
          <w:color w:val="000000"/>
          <w:lang w:eastAsia="tr-TR"/>
        </w:rPr>
        <w:t>0</w:t>
      </w:r>
      <w:r w:rsidR="00B35061" w:rsidRPr="00005453">
        <w:rPr>
          <w:color w:val="000000"/>
          <w:lang w:eastAsia="tr-TR"/>
        </w:rPr>
        <w:t xml:space="preserve"> </w:t>
      </w:r>
      <w:r w:rsidRPr="00005453">
        <w:rPr>
          <w:color w:val="000000"/>
          <w:lang w:eastAsia="tr-TR"/>
        </w:rPr>
        <w:t xml:space="preserve">baz puanlık bir </w:t>
      </w:r>
      <w:r w:rsidR="00B32F44" w:rsidRPr="00005453">
        <w:rPr>
          <w:color w:val="000000"/>
          <w:lang w:eastAsia="tr-TR"/>
        </w:rPr>
        <w:t>artış</w:t>
      </w:r>
      <w:r w:rsidRPr="00005453">
        <w:rPr>
          <w:color w:val="000000"/>
          <w:lang w:eastAsia="tr-TR"/>
        </w:rPr>
        <w:t xml:space="preserve"> görülmektedir</w:t>
      </w:r>
      <w:r w:rsidR="00405623" w:rsidRPr="00005453">
        <w:rPr>
          <w:color w:val="000000"/>
          <w:lang w:eastAsia="tr-TR"/>
        </w:rPr>
        <w:t>.</w:t>
      </w:r>
    </w:p>
    <w:p w14:paraId="3C0E5BDF" w14:textId="77777777" w:rsidR="001B7BC7" w:rsidRPr="00005453" w:rsidRDefault="001B7BC7" w:rsidP="00694C23">
      <w:pPr>
        <w:jc w:val="both"/>
        <w:rPr>
          <w:color w:val="000000"/>
          <w:spacing w:val="-6"/>
        </w:rPr>
      </w:pPr>
    </w:p>
    <w:p w14:paraId="0DE742C5" w14:textId="77777777" w:rsidR="001B7BC7" w:rsidRPr="00005453" w:rsidRDefault="001B7BC7" w:rsidP="00694C23">
      <w:pPr>
        <w:jc w:val="both"/>
        <w:rPr>
          <w:color w:val="000000"/>
          <w:spacing w:val="-6"/>
        </w:rPr>
      </w:pPr>
    </w:p>
    <w:p w14:paraId="7BF9415A" w14:textId="77777777" w:rsidR="001B7BC7" w:rsidRPr="00005453" w:rsidRDefault="001B7BC7" w:rsidP="00694C23">
      <w:pPr>
        <w:jc w:val="both"/>
        <w:rPr>
          <w:color w:val="000000"/>
          <w:spacing w:val="-6"/>
        </w:rPr>
      </w:pPr>
    </w:p>
    <w:p w14:paraId="244D05F8" w14:textId="77777777" w:rsidR="001B7BC7" w:rsidRPr="00005453" w:rsidRDefault="001B7BC7" w:rsidP="00694C23">
      <w:pPr>
        <w:jc w:val="both"/>
        <w:rPr>
          <w:color w:val="000000"/>
          <w:spacing w:val="-6"/>
        </w:rPr>
      </w:pPr>
    </w:p>
    <w:p w14:paraId="39EAC0B4" w14:textId="77777777" w:rsidR="001B7BC7" w:rsidRPr="00005453" w:rsidRDefault="001B7BC7" w:rsidP="00694C23">
      <w:pPr>
        <w:jc w:val="both"/>
        <w:rPr>
          <w:color w:val="000000"/>
          <w:spacing w:val="-6"/>
        </w:rPr>
      </w:pPr>
    </w:p>
    <w:p w14:paraId="7DEF8969" w14:textId="77777777" w:rsidR="001B7BC7" w:rsidRPr="00005453" w:rsidRDefault="001B7BC7" w:rsidP="00694C23">
      <w:pPr>
        <w:jc w:val="both"/>
        <w:rPr>
          <w:color w:val="000000"/>
          <w:spacing w:val="-6"/>
        </w:rPr>
      </w:pPr>
    </w:p>
    <w:p w14:paraId="6977810C" w14:textId="77777777" w:rsidR="001B7BC7" w:rsidRPr="00005453" w:rsidRDefault="001B7BC7" w:rsidP="00694C23">
      <w:pPr>
        <w:jc w:val="both"/>
        <w:rPr>
          <w:color w:val="000000"/>
          <w:spacing w:val="-6"/>
        </w:rPr>
      </w:pPr>
    </w:p>
    <w:p w14:paraId="289E8599" w14:textId="77777777" w:rsidR="001B7BC7" w:rsidRPr="00005453" w:rsidRDefault="001B7BC7" w:rsidP="00694C23">
      <w:pPr>
        <w:jc w:val="both"/>
        <w:rPr>
          <w:color w:val="000000"/>
          <w:spacing w:val="-6"/>
        </w:rPr>
      </w:pPr>
    </w:p>
    <w:p w14:paraId="6478090F" w14:textId="77777777" w:rsidR="001B7BC7" w:rsidRPr="00005453" w:rsidRDefault="001B7BC7" w:rsidP="00694C23">
      <w:pPr>
        <w:jc w:val="both"/>
        <w:rPr>
          <w:color w:val="000000"/>
          <w:spacing w:val="-6"/>
        </w:rPr>
      </w:pPr>
    </w:p>
    <w:p w14:paraId="6C00736A" w14:textId="77777777" w:rsidR="001B7BC7" w:rsidRPr="00005453" w:rsidRDefault="001B7BC7" w:rsidP="00694C23">
      <w:pPr>
        <w:jc w:val="both"/>
        <w:rPr>
          <w:color w:val="000000"/>
          <w:spacing w:val="-6"/>
        </w:rPr>
      </w:pPr>
    </w:p>
    <w:p w14:paraId="6858AA15" w14:textId="77777777" w:rsidR="001B7BC7" w:rsidRPr="00005453" w:rsidRDefault="001B7BC7" w:rsidP="00694C23">
      <w:pPr>
        <w:jc w:val="both"/>
        <w:rPr>
          <w:color w:val="000000"/>
          <w:spacing w:val="-6"/>
        </w:rPr>
      </w:pPr>
    </w:p>
    <w:p w14:paraId="2C81DC25" w14:textId="1C251831" w:rsidR="001B7BC7" w:rsidRPr="00005453" w:rsidRDefault="001B7BC7" w:rsidP="00694C23">
      <w:pPr>
        <w:jc w:val="both"/>
        <w:rPr>
          <w:color w:val="000000"/>
          <w:spacing w:val="-6"/>
        </w:rPr>
      </w:pPr>
    </w:p>
    <w:p w14:paraId="561DD961" w14:textId="52294650" w:rsidR="00ED269F" w:rsidRPr="00005453" w:rsidRDefault="00ED269F" w:rsidP="00694C23">
      <w:pPr>
        <w:jc w:val="both"/>
        <w:rPr>
          <w:color w:val="000000"/>
          <w:spacing w:val="-6"/>
        </w:rPr>
      </w:pPr>
    </w:p>
    <w:p w14:paraId="147B505E" w14:textId="77777777" w:rsidR="00ED269F" w:rsidRPr="00005453" w:rsidRDefault="00ED269F" w:rsidP="00694C23">
      <w:pPr>
        <w:jc w:val="both"/>
        <w:rPr>
          <w:color w:val="000000"/>
          <w:spacing w:val="-6"/>
        </w:rPr>
      </w:pPr>
    </w:p>
    <w:p w14:paraId="5D314B45" w14:textId="09B0F1B7" w:rsidR="00C26593" w:rsidRPr="00005453" w:rsidRDefault="00C26593" w:rsidP="00694C23">
      <w:pPr>
        <w:jc w:val="both"/>
        <w:rPr>
          <w:color w:val="000000"/>
          <w:spacing w:val="-6"/>
        </w:rPr>
      </w:pPr>
    </w:p>
    <w:p w14:paraId="5E3887E8" w14:textId="77777777" w:rsidR="007D0F7A" w:rsidRPr="00005453" w:rsidRDefault="007D0F7A" w:rsidP="00C26593">
      <w:pPr>
        <w:spacing w:line="240" w:lineRule="exact"/>
        <w:ind w:hanging="567"/>
        <w:outlineLvl w:val="1"/>
        <w:rPr>
          <w:b/>
        </w:rPr>
        <w:sectPr w:rsidR="007D0F7A" w:rsidRPr="00005453" w:rsidSect="00557BAB">
          <w:pgSz w:w="11906" w:h="16838"/>
          <w:pgMar w:top="737" w:right="992" w:bottom="992" w:left="1440" w:header="709" w:footer="709" w:gutter="0"/>
          <w:cols w:space="708"/>
          <w:docGrid w:linePitch="360"/>
        </w:sectPr>
      </w:pPr>
      <w:bookmarkStart w:id="48" w:name="_Hlk94532259"/>
    </w:p>
    <w:p w14:paraId="172FC34C" w14:textId="4947C8F4" w:rsidR="00124938" w:rsidRPr="00005453" w:rsidRDefault="00C26593" w:rsidP="002A684D">
      <w:pPr>
        <w:spacing w:line="240" w:lineRule="exact"/>
        <w:ind w:hanging="567"/>
        <w:outlineLvl w:val="1"/>
        <w:rPr>
          <w:b/>
        </w:rPr>
      </w:pPr>
      <w:bookmarkStart w:id="49" w:name="_Hlk156850724"/>
      <w:r w:rsidRPr="00005453">
        <w:rPr>
          <w:b/>
        </w:rPr>
        <w:lastRenderedPageBreak/>
        <w:t xml:space="preserve">7.  </w:t>
      </w:r>
      <w:r w:rsidR="002A684D" w:rsidRPr="00005453">
        <w:rPr>
          <w:b/>
        </w:rPr>
        <w:tab/>
      </w:r>
      <w:r w:rsidRPr="00005453">
        <w:rPr>
          <w:rFonts w:eastAsia="Arial Unicode MS"/>
        </w:rPr>
        <w:t xml:space="preserve">Aşağıdaki tablo, Banka’nın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005453">
        <w:rPr>
          <w:rFonts w:eastAsia="Arial Unicode MS"/>
        </w:rPr>
        <w:t>kar</w:t>
      </w:r>
      <w:proofErr w:type="gramEnd"/>
      <w:r w:rsidRPr="00005453">
        <w:rPr>
          <w:rFonts w:eastAsia="Arial Unicode MS"/>
        </w:rPr>
        <w:t xml:space="preserve"> payı reeskontlarının toplamını ifade etmektedir.</w:t>
      </w:r>
    </w:p>
    <w:p w14:paraId="61047A9A" w14:textId="61432EE3" w:rsidR="00124938" w:rsidRPr="00005453" w:rsidRDefault="00124938" w:rsidP="00124938">
      <w:pPr>
        <w:jc w:val="both"/>
        <w:rPr>
          <w:lang w:eastAsia="en-GB"/>
        </w:rPr>
      </w:pPr>
    </w:p>
    <w:tbl>
      <w:tblPr>
        <w:tblW w:w="9579" w:type="dxa"/>
        <w:tblCellMar>
          <w:left w:w="70" w:type="dxa"/>
          <w:right w:w="70" w:type="dxa"/>
        </w:tblCellMar>
        <w:tblLook w:val="04A0" w:firstRow="1" w:lastRow="0" w:firstColumn="1" w:lastColumn="0" w:noHBand="0" w:noVBand="1"/>
      </w:tblPr>
      <w:tblGrid>
        <w:gridCol w:w="3897"/>
        <w:gridCol w:w="2340"/>
        <w:gridCol w:w="1151"/>
        <w:gridCol w:w="1151"/>
        <w:gridCol w:w="1040"/>
      </w:tblGrid>
      <w:tr w:rsidR="00124938" w:rsidRPr="00005453" w14:paraId="302B7E6F" w14:textId="77777777" w:rsidTr="00A7269C">
        <w:trPr>
          <w:trHeight w:val="289"/>
        </w:trPr>
        <w:tc>
          <w:tcPr>
            <w:tcW w:w="3897" w:type="dxa"/>
            <w:tcBorders>
              <w:top w:val="single" w:sz="8" w:space="0" w:color="auto"/>
              <w:left w:val="nil"/>
              <w:bottom w:val="nil"/>
              <w:right w:val="nil"/>
            </w:tcBorders>
            <w:shd w:val="clear" w:color="auto" w:fill="auto"/>
            <w:noWrap/>
            <w:vAlign w:val="center"/>
            <w:hideMark/>
          </w:tcPr>
          <w:p w14:paraId="13BC38CE" w14:textId="220CD2EC" w:rsidR="00124938" w:rsidRPr="00005453" w:rsidRDefault="00124938">
            <w:pPr>
              <w:rPr>
                <w:b/>
                <w:bCs/>
                <w:color w:val="000000"/>
                <w:sz w:val="18"/>
                <w:szCs w:val="18"/>
                <w:lang w:eastAsia="tr-TR"/>
              </w:rPr>
            </w:pPr>
            <w:r w:rsidRPr="00005453">
              <w:rPr>
                <w:b/>
                <w:bCs/>
                <w:color w:val="000000"/>
                <w:sz w:val="18"/>
                <w:szCs w:val="18"/>
                <w:lang w:eastAsia="tr-TR"/>
              </w:rPr>
              <w:t> </w:t>
            </w:r>
          </w:p>
        </w:tc>
        <w:tc>
          <w:tcPr>
            <w:tcW w:w="3487" w:type="dxa"/>
            <w:gridSpan w:val="2"/>
            <w:tcBorders>
              <w:top w:val="single" w:sz="8" w:space="0" w:color="auto"/>
              <w:left w:val="nil"/>
              <w:bottom w:val="single" w:sz="8" w:space="0" w:color="auto"/>
              <w:right w:val="nil"/>
            </w:tcBorders>
            <w:shd w:val="clear" w:color="auto" w:fill="auto"/>
            <w:noWrap/>
            <w:vAlign w:val="center"/>
            <w:hideMark/>
          </w:tcPr>
          <w:p w14:paraId="36DBE451" w14:textId="2072D08D" w:rsidR="00124938" w:rsidRPr="00005453" w:rsidRDefault="00124938" w:rsidP="001A491C">
            <w:pPr>
              <w:jc w:val="right"/>
              <w:rPr>
                <w:b/>
                <w:bCs/>
                <w:color w:val="000000"/>
                <w:sz w:val="18"/>
                <w:szCs w:val="18"/>
                <w:lang w:eastAsia="tr-TR"/>
              </w:rPr>
            </w:pPr>
            <w:r w:rsidRPr="00005453">
              <w:rPr>
                <w:b/>
                <w:bCs/>
                <w:color w:val="000000"/>
                <w:sz w:val="18"/>
                <w:szCs w:val="18"/>
                <w:lang w:eastAsia="tr-TR"/>
              </w:rPr>
              <w:t>Defter değeri</w:t>
            </w:r>
          </w:p>
        </w:tc>
        <w:tc>
          <w:tcPr>
            <w:tcW w:w="2191" w:type="dxa"/>
            <w:gridSpan w:val="2"/>
            <w:tcBorders>
              <w:top w:val="single" w:sz="8" w:space="0" w:color="auto"/>
              <w:left w:val="nil"/>
              <w:bottom w:val="single" w:sz="8" w:space="0" w:color="auto"/>
              <w:right w:val="nil"/>
            </w:tcBorders>
            <w:shd w:val="clear" w:color="auto" w:fill="auto"/>
            <w:noWrap/>
            <w:vAlign w:val="center"/>
            <w:hideMark/>
          </w:tcPr>
          <w:p w14:paraId="2CD2DB15" w14:textId="77777777" w:rsidR="00124938" w:rsidRPr="00005453" w:rsidRDefault="00124938" w:rsidP="007D0F7A">
            <w:pPr>
              <w:jc w:val="right"/>
              <w:rPr>
                <w:b/>
                <w:bCs/>
                <w:color w:val="000000"/>
                <w:sz w:val="18"/>
                <w:szCs w:val="18"/>
                <w:lang w:eastAsia="tr-TR"/>
              </w:rPr>
            </w:pPr>
            <w:r w:rsidRPr="00005453">
              <w:rPr>
                <w:b/>
                <w:bCs/>
                <w:color w:val="000000"/>
                <w:sz w:val="18"/>
                <w:szCs w:val="18"/>
                <w:lang w:eastAsia="tr-TR"/>
              </w:rPr>
              <w:t>Gerçeğe uygun değer</w:t>
            </w:r>
          </w:p>
        </w:tc>
      </w:tr>
      <w:tr w:rsidR="00CD2EB9" w:rsidRPr="00005453" w14:paraId="04D4D0EA" w14:textId="77777777" w:rsidTr="00A7269C">
        <w:trPr>
          <w:trHeight w:val="289"/>
        </w:trPr>
        <w:tc>
          <w:tcPr>
            <w:tcW w:w="3897" w:type="dxa"/>
            <w:tcBorders>
              <w:top w:val="nil"/>
              <w:left w:val="nil"/>
              <w:bottom w:val="single" w:sz="8" w:space="0" w:color="auto"/>
              <w:right w:val="nil"/>
            </w:tcBorders>
            <w:shd w:val="clear" w:color="auto" w:fill="auto"/>
            <w:noWrap/>
            <w:vAlign w:val="center"/>
            <w:hideMark/>
          </w:tcPr>
          <w:p w14:paraId="0F9E3EF2" w14:textId="77777777" w:rsidR="00124938" w:rsidRPr="00005453" w:rsidRDefault="00124938" w:rsidP="00124938">
            <w:pPr>
              <w:rPr>
                <w:b/>
                <w:bCs/>
                <w:color w:val="000000"/>
                <w:sz w:val="18"/>
                <w:szCs w:val="18"/>
                <w:lang w:eastAsia="tr-TR"/>
              </w:rPr>
            </w:pPr>
            <w:r w:rsidRPr="00005453">
              <w:rPr>
                <w:b/>
                <w:bCs/>
                <w:color w:val="000000"/>
                <w:sz w:val="18"/>
                <w:szCs w:val="18"/>
                <w:lang w:eastAsia="tr-TR"/>
              </w:rPr>
              <w:t> </w:t>
            </w:r>
          </w:p>
        </w:tc>
        <w:tc>
          <w:tcPr>
            <w:tcW w:w="2340" w:type="dxa"/>
            <w:tcBorders>
              <w:top w:val="nil"/>
              <w:left w:val="nil"/>
              <w:bottom w:val="single" w:sz="8" w:space="0" w:color="auto"/>
              <w:right w:val="nil"/>
            </w:tcBorders>
            <w:shd w:val="clear" w:color="auto" w:fill="auto"/>
            <w:noWrap/>
            <w:vAlign w:val="center"/>
            <w:hideMark/>
          </w:tcPr>
          <w:p w14:paraId="46C57E82" w14:textId="77777777" w:rsidR="007D0F7A" w:rsidRPr="00005453" w:rsidRDefault="00124938" w:rsidP="00124938">
            <w:pPr>
              <w:jc w:val="right"/>
              <w:rPr>
                <w:b/>
                <w:bCs/>
                <w:color w:val="000000"/>
                <w:sz w:val="18"/>
                <w:szCs w:val="18"/>
                <w:lang w:eastAsia="tr-TR"/>
              </w:rPr>
            </w:pPr>
            <w:r w:rsidRPr="00005453">
              <w:rPr>
                <w:b/>
                <w:bCs/>
                <w:color w:val="000000"/>
                <w:sz w:val="18"/>
                <w:szCs w:val="18"/>
                <w:lang w:eastAsia="tr-TR"/>
              </w:rPr>
              <w:t xml:space="preserve">Cari </w:t>
            </w:r>
          </w:p>
          <w:p w14:paraId="44E17C7E" w14:textId="55D0CFEC" w:rsidR="00124938" w:rsidRPr="00005453" w:rsidRDefault="007D0F7A" w:rsidP="00124938">
            <w:pPr>
              <w:jc w:val="right"/>
              <w:rPr>
                <w:b/>
                <w:bCs/>
                <w:color w:val="000000"/>
                <w:sz w:val="18"/>
                <w:szCs w:val="18"/>
                <w:lang w:eastAsia="tr-TR"/>
              </w:rPr>
            </w:pPr>
            <w:r w:rsidRPr="00005453">
              <w:rPr>
                <w:b/>
                <w:bCs/>
                <w:color w:val="000000"/>
                <w:sz w:val="18"/>
                <w:szCs w:val="18"/>
                <w:lang w:eastAsia="tr-TR"/>
              </w:rPr>
              <w:t>D</w:t>
            </w:r>
            <w:r w:rsidR="00124938" w:rsidRPr="00005453">
              <w:rPr>
                <w:b/>
                <w:bCs/>
                <w:color w:val="000000"/>
                <w:sz w:val="18"/>
                <w:szCs w:val="18"/>
                <w:lang w:eastAsia="tr-TR"/>
              </w:rPr>
              <w:t>önem</w:t>
            </w:r>
          </w:p>
        </w:tc>
        <w:tc>
          <w:tcPr>
            <w:tcW w:w="1151" w:type="dxa"/>
            <w:tcBorders>
              <w:top w:val="nil"/>
              <w:left w:val="nil"/>
              <w:bottom w:val="single" w:sz="8" w:space="0" w:color="auto"/>
              <w:right w:val="nil"/>
            </w:tcBorders>
            <w:shd w:val="clear" w:color="auto" w:fill="auto"/>
            <w:noWrap/>
            <w:vAlign w:val="center"/>
            <w:hideMark/>
          </w:tcPr>
          <w:p w14:paraId="28CED47C" w14:textId="77777777" w:rsidR="00405623" w:rsidRPr="00005453" w:rsidRDefault="00124938" w:rsidP="00124938">
            <w:pPr>
              <w:jc w:val="right"/>
              <w:rPr>
                <w:b/>
                <w:bCs/>
                <w:color w:val="000000"/>
                <w:sz w:val="18"/>
                <w:szCs w:val="18"/>
                <w:lang w:eastAsia="tr-TR"/>
              </w:rPr>
            </w:pPr>
            <w:r w:rsidRPr="00005453">
              <w:rPr>
                <w:b/>
                <w:bCs/>
                <w:color w:val="000000"/>
                <w:sz w:val="18"/>
                <w:szCs w:val="18"/>
                <w:lang w:eastAsia="tr-TR"/>
              </w:rPr>
              <w:t>Önceki</w:t>
            </w:r>
          </w:p>
          <w:p w14:paraId="1971B88E" w14:textId="14761AA6" w:rsidR="00124938" w:rsidRPr="00005453" w:rsidRDefault="007D0F7A" w:rsidP="00124938">
            <w:pPr>
              <w:jc w:val="right"/>
              <w:rPr>
                <w:b/>
                <w:bCs/>
                <w:color w:val="000000"/>
                <w:sz w:val="18"/>
                <w:szCs w:val="18"/>
                <w:lang w:eastAsia="tr-TR"/>
              </w:rPr>
            </w:pPr>
            <w:r w:rsidRPr="00005453">
              <w:rPr>
                <w:b/>
                <w:bCs/>
                <w:color w:val="000000"/>
                <w:sz w:val="18"/>
                <w:szCs w:val="18"/>
                <w:lang w:eastAsia="tr-TR"/>
              </w:rPr>
              <w:t>D</w:t>
            </w:r>
            <w:r w:rsidR="00124938" w:rsidRPr="00005453">
              <w:rPr>
                <w:b/>
                <w:bCs/>
                <w:color w:val="000000"/>
                <w:sz w:val="18"/>
                <w:szCs w:val="18"/>
                <w:lang w:eastAsia="tr-TR"/>
              </w:rPr>
              <w:t>önem</w:t>
            </w:r>
          </w:p>
        </w:tc>
        <w:tc>
          <w:tcPr>
            <w:tcW w:w="1151" w:type="dxa"/>
            <w:tcBorders>
              <w:top w:val="nil"/>
              <w:left w:val="nil"/>
              <w:bottom w:val="single" w:sz="8" w:space="0" w:color="auto"/>
              <w:right w:val="nil"/>
            </w:tcBorders>
            <w:shd w:val="clear" w:color="auto" w:fill="auto"/>
            <w:noWrap/>
            <w:vAlign w:val="center"/>
            <w:hideMark/>
          </w:tcPr>
          <w:p w14:paraId="49636284" w14:textId="77777777" w:rsidR="007D0F7A" w:rsidRPr="00005453" w:rsidRDefault="00124938" w:rsidP="00124938">
            <w:pPr>
              <w:jc w:val="right"/>
              <w:rPr>
                <w:b/>
                <w:bCs/>
                <w:color w:val="000000"/>
                <w:sz w:val="18"/>
                <w:szCs w:val="18"/>
                <w:lang w:eastAsia="tr-TR"/>
              </w:rPr>
            </w:pPr>
            <w:r w:rsidRPr="00005453">
              <w:rPr>
                <w:b/>
                <w:bCs/>
                <w:color w:val="000000"/>
                <w:sz w:val="18"/>
                <w:szCs w:val="18"/>
                <w:lang w:eastAsia="tr-TR"/>
              </w:rPr>
              <w:t xml:space="preserve">Cari </w:t>
            </w:r>
          </w:p>
          <w:p w14:paraId="3AC1DDB4" w14:textId="68ACDF2B" w:rsidR="00124938" w:rsidRPr="00005453" w:rsidRDefault="007D0F7A" w:rsidP="00124938">
            <w:pPr>
              <w:jc w:val="right"/>
              <w:rPr>
                <w:b/>
                <w:bCs/>
                <w:color w:val="000000"/>
                <w:sz w:val="18"/>
                <w:szCs w:val="18"/>
                <w:lang w:eastAsia="tr-TR"/>
              </w:rPr>
            </w:pPr>
            <w:r w:rsidRPr="00005453">
              <w:rPr>
                <w:b/>
                <w:bCs/>
                <w:color w:val="000000"/>
                <w:sz w:val="18"/>
                <w:szCs w:val="18"/>
                <w:lang w:eastAsia="tr-TR"/>
              </w:rPr>
              <w:t>D</w:t>
            </w:r>
            <w:r w:rsidR="00124938" w:rsidRPr="00005453">
              <w:rPr>
                <w:b/>
                <w:bCs/>
                <w:color w:val="000000"/>
                <w:sz w:val="18"/>
                <w:szCs w:val="18"/>
                <w:lang w:eastAsia="tr-TR"/>
              </w:rPr>
              <w:t>önem</w:t>
            </w:r>
          </w:p>
        </w:tc>
        <w:tc>
          <w:tcPr>
            <w:tcW w:w="1040" w:type="dxa"/>
            <w:tcBorders>
              <w:top w:val="nil"/>
              <w:left w:val="nil"/>
              <w:bottom w:val="single" w:sz="8" w:space="0" w:color="auto"/>
              <w:right w:val="nil"/>
            </w:tcBorders>
            <w:shd w:val="clear" w:color="auto" w:fill="auto"/>
            <w:noWrap/>
            <w:vAlign w:val="center"/>
            <w:hideMark/>
          </w:tcPr>
          <w:p w14:paraId="33BCC6E0" w14:textId="77777777" w:rsidR="00CD2EB9" w:rsidRPr="00005453" w:rsidRDefault="00124938" w:rsidP="00124938">
            <w:pPr>
              <w:jc w:val="right"/>
              <w:rPr>
                <w:b/>
                <w:bCs/>
                <w:color w:val="000000"/>
                <w:sz w:val="18"/>
                <w:szCs w:val="18"/>
                <w:lang w:eastAsia="tr-TR"/>
              </w:rPr>
            </w:pPr>
            <w:r w:rsidRPr="00005453">
              <w:rPr>
                <w:b/>
                <w:bCs/>
                <w:color w:val="000000"/>
                <w:sz w:val="18"/>
                <w:szCs w:val="18"/>
                <w:lang w:eastAsia="tr-TR"/>
              </w:rPr>
              <w:t xml:space="preserve">Önceki </w:t>
            </w:r>
          </w:p>
          <w:p w14:paraId="3A630C1F" w14:textId="1599436F" w:rsidR="00124938" w:rsidRPr="00005453" w:rsidRDefault="007D0F7A" w:rsidP="00124938">
            <w:pPr>
              <w:jc w:val="right"/>
              <w:rPr>
                <w:b/>
                <w:bCs/>
                <w:color w:val="000000"/>
                <w:sz w:val="18"/>
                <w:szCs w:val="18"/>
                <w:lang w:eastAsia="tr-TR"/>
              </w:rPr>
            </w:pPr>
            <w:r w:rsidRPr="00005453">
              <w:rPr>
                <w:b/>
                <w:bCs/>
                <w:color w:val="000000"/>
                <w:sz w:val="18"/>
                <w:szCs w:val="18"/>
                <w:lang w:eastAsia="tr-TR"/>
              </w:rPr>
              <w:t>D</w:t>
            </w:r>
            <w:r w:rsidR="00124938" w:rsidRPr="00005453">
              <w:rPr>
                <w:b/>
                <w:bCs/>
                <w:color w:val="000000"/>
                <w:sz w:val="18"/>
                <w:szCs w:val="18"/>
                <w:lang w:eastAsia="tr-TR"/>
              </w:rPr>
              <w:t>önem</w:t>
            </w:r>
          </w:p>
        </w:tc>
      </w:tr>
      <w:tr w:rsidR="00CD2EB9" w:rsidRPr="00005453" w14:paraId="4369C8FB" w14:textId="77777777" w:rsidTr="00A7269C">
        <w:trPr>
          <w:trHeight w:val="34"/>
        </w:trPr>
        <w:tc>
          <w:tcPr>
            <w:tcW w:w="3897" w:type="dxa"/>
            <w:tcBorders>
              <w:top w:val="nil"/>
              <w:left w:val="nil"/>
              <w:bottom w:val="nil"/>
              <w:right w:val="nil"/>
            </w:tcBorders>
            <w:shd w:val="clear" w:color="auto" w:fill="auto"/>
            <w:noWrap/>
            <w:vAlign w:val="center"/>
            <w:hideMark/>
          </w:tcPr>
          <w:p w14:paraId="735F57B4" w14:textId="77777777" w:rsidR="00124938" w:rsidRPr="00005453" w:rsidRDefault="00124938" w:rsidP="00124938">
            <w:pPr>
              <w:jc w:val="right"/>
              <w:rPr>
                <w:b/>
                <w:bCs/>
                <w:color w:val="000000"/>
                <w:sz w:val="6"/>
                <w:szCs w:val="6"/>
                <w:lang w:eastAsia="tr-TR"/>
              </w:rPr>
            </w:pPr>
          </w:p>
        </w:tc>
        <w:tc>
          <w:tcPr>
            <w:tcW w:w="2340" w:type="dxa"/>
            <w:tcBorders>
              <w:top w:val="nil"/>
              <w:left w:val="nil"/>
              <w:bottom w:val="nil"/>
              <w:right w:val="nil"/>
            </w:tcBorders>
            <w:shd w:val="clear" w:color="auto" w:fill="auto"/>
            <w:noWrap/>
            <w:vAlign w:val="center"/>
            <w:hideMark/>
          </w:tcPr>
          <w:p w14:paraId="2BB48529" w14:textId="77777777" w:rsidR="00124938" w:rsidRPr="00005453" w:rsidRDefault="00124938" w:rsidP="00124938">
            <w:pPr>
              <w:rPr>
                <w:sz w:val="6"/>
                <w:szCs w:val="6"/>
                <w:lang w:eastAsia="tr-TR"/>
              </w:rPr>
            </w:pPr>
          </w:p>
        </w:tc>
        <w:tc>
          <w:tcPr>
            <w:tcW w:w="1151" w:type="dxa"/>
            <w:tcBorders>
              <w:top w:val="nil"/>
              <w:left w:val="nil"/>
              <w:bottom w:val="nil"/>
              <w:right w:val="nil"/>
            </w:tcBorders>
            <w:shd w:val="clear" w:color="auto" w:fill="auto"/>
            <w:noWrap/>
            <w:vAlign w:val="center"/>
            <w:hideMark/>
          </w:tcPr>
          <w:p w14:paraId="4765379B" w14:textId="77777777" w:rsidR="00124938" w:rsidRPr="00005453" w:rsidRDefault="00124938" w:rsidP="00124938">
            <w:pPr>
              <w:jc w:val="right"/>
              <w:rPr>
                <w:sz w:val="6"/>
                <w:szCs w:val="6"/>
                <w:lang w:eastAsia="tr-TR"/>
              </w:rPr>
            </w:pPr>
          </w:p>
        </w:tc>
        <w:tc>
          <w:tcPr>
            <w:tcW w:w="1151" w:type="dxa"/>
            <w:tcBorders>
              <w:top w:val="nil"/>
              <w:left w:val="nil"/>
              <w:bottom w:val="nil"/>
              <w:right w:val="nil"/>
            </w:tcBorders>
            <w:shd w:val="clear" w:color="auto" w:fill="auto"/>
            <w:noWrap/>
            <w:vAlign w:val="center"/>
            <w:hideMark/>
          </w:tcPr>
          <w:p w14:paraId="11131A9D" w14:textId="77777777" w:rsidR="00124938" w:rsidRPr="00005453" w:rsidRDefault="00124938" w:rsidP="00124938">
            <w:pPr>
              <w:jc w:val="center"/>
              <w:rPr>
                <w:sz w:val="6"/>
                <w:szCs w:val="6"/>
                <w:lang w:eastAsia="tr-TR"/>
              </w:rPr>
            </w:pPr>
          </w:p>
        </w:tc>
        <w:tc>
          <w:tcPr>
            <w:tcW w:w="1040" w:type="dxa"/>
            <w:tcBorders>
              <w:top w:val="nil"/>
              <w:left w:val="nil"/>
              <w:bottom w:val="nil"/>
              <w:right w:val="nil"/>
            </w:tcBorders>
            <w:shd w:val="clear" w:color="auto" w:fill="auto"/>
            <w:noWrap/>
            <w:vAlign w:val="center"/>
            <w:hideMark/>
          </w:tcPr>
          <w:p w14:paraId="24F0C2B1" w14:textId="77777777" w:rsidR="00124938" w:rsidRPr="00005453" w:rsidRDefault="00124938" w:rsidP="00124938">
            <w:pPr>
              <w:jc w:val="center"/>
              <w:rPr>
                <w:sz w:val="6"/>
                <w:szCs w:val="6"/>
                <w:lang w:eastAsia="tr-TR"/>
              </w:rPr>
            </w:pPr>
          </w:p>
        </w:tc>
      </w:tr>
      <w:tr w:rsidR="00CD2EB9" w:rsidRPr="00005453" w14:paraId="278B7EC2" w14:textId="77777777" w:rsidTr="00A7269C">
        <w:trPr>
          <w:trHeight w:val="275"/>
        </w:trPr>
        <w:tc>
          <w:tcPr>
            <w:tcW w:w="6237" w:type="dxa"/>
            <w:gridSpan w:val="2"/>
            <w:tcBorders>
              <w:top w:val="nil"/>
              <w:left w:val="nil"/>
              <w:bottom w:val="nil"/>
              <w:right w:val="nil"/>
            </w:tcBorders>
            <w:shd w:val="clear" w:color="auto" w:fill="auto"/>
            <w:noWrap/>
            <w:hideMark/>
          </w:tcPr>
          <w:p w14:paraId="4C50265D" w14:textId="77777777" w:rsidR="00124938" w:rsidRPr="00005453" w:rsidRDefault="00124938" w:rsidP="00FC3363">
            <w:pPr>
              <w:rPr>
                <w:b/>
                <w:bCs/>
                <w:color w:val="000000"/>
                <w:sz w:val="18"/>
                <w:szCs w:val="18"/>
                <w:lang w:eastAsia="tr-TR"/>
              </w:rPr>
            </w:pPr>
            <w:r w:rsidRPr="00005453">
              <w:rPr>
                <w:b/>
                <w:bCs/>
                <w:color w:val="000000"/>
                <w:sz w:val="18"/>
                <w:szCs w:val="18"/>
                <w:lang w:eastAsia="tr-TR"/>
              </w:rPr>
              <w:t>Finansal varlıklar</w:t>
            </w:r>
          </w:p>
        </w:tc>
        <w:tc>
          <w:tcPr>
            <w:tcW w:w="1151" w:type="dxa"/>
            <w:tcBorders>
              <w:top w:val="nil"/>
              <w:left w:val="nil"/>
              <w:bottom w:val="nil"/>
              <w:right w:val="nil"/>
            </w:tcBorders>
            <w:shd w:val="clear" w:color="auto" w:fill="auto"/>
            <w:noWrap/>
            <w:vAlign w:val="center"/>
            <w:hideMark/>
          </w:tcPr>
          <w:p w14:paraId="39DCAE2E" w14:textId="77777777" w:rsidR="00124938" w:rsidRPr="00005453" w:rsidRDefault="00124938" w:rsidP="00124938">
            <w:pPr>
              <w:rPr>
                <w:b/>
                <w:bCs/>
                <w:color w:val="000000"/>
                <w:sz w:val="18"/>
                <w:szCs w:val="18"/>
                <w:lang w:eastAsia="tr-TR"/>
              </w:rPr>
            </w:pPr>
          </w:p>
        </w:tc>
        <w:tc>
          <w:tcPr>
            <w:tcW w:w="1151" w:type="dxa"/>
            <w:tcBorders>
              <w:top w:val="nil"/>
              <w:left w:val="nil"/>
              <w:bottom w:val="nil"/>
              <w:right w:val="nil"/>
            </w:tcBorders>
            <w:shd w:val="clear" w:color="auto" w:fill="auto"/>
            <w:noWrap/>
            <w:vAlign w:val="center"/>
            <w:hideMark/>
          </w:tcPr>
          <w:p w14:paraId="6212DFDE" w14:textId="77777777" w:rsidR="00124938" w:rsidRPr="00005453" w:rsidRDefault="00124938" w:rsidP="00124938">
            <w:pPr>
              <w:jc w:val="center"/>
              <w:rPr>
                <w:sz w:val="18"/>
                <w:szCs w:val="18"/>
                <w:lang w:eastAsia="tr-TR"/>
              </w:rPr>
            </w:pPr>
          </w:p>
        </w:tc>
        <w:tc>
          <w:tcPr>
            <w:tcW w:w="1040" w:type="dxa"/>
            <w:tcBorders>
              <w:top w:val="nil"/>
              <w:left w:val="nil"/>
              <w:bottom w:val="nil"/>
              <w:right w:val="nil"/>
            </w:tcBorders>
            <w:shd w:val="clear" w:color="auto" w:fill="auto"/>
            <w:noWrap/>
            <w:vAlign w:val="center"/>
            <w:hideMark/>
          </w:tcPr>
          <w:p w14:paraId="09233A98" w14:textId="77777777" w:rsidR="00124938" w:rsidRPr="00005453" w:rsidRDefault="00124938" w:rsidP="00124938">
            <w:pPr>
              <w:jc w:val="center"/>
              <w:rPr>
                <w:sz w:val="18"/>
                <w:szCs w:val="18"/>
                <w:lang w:eastAsia="tr-TR"/>
              </w:rPr>
            </w:pPr>
          </w:p>
        </w:tc>
      </w:tr>
      <w:tr w:rsidR="008F3117" w:rsidRPr="00005453" w14:paraId="6E2AC8E6" w14:textId="77777777" w:rsidTr="00A7269C">
        <w:trPr>
          <w:trHeight w:val="132"/>
        </w:trPr>
        <w:tc>
          <w:tcPr>
            <w:tcW w:w="3897" w:type="dxa"/>
            <w:tcBorders>
              <w:top w:val="nil"/>
              <w:left w:val="nil"/>
              <w:bottom w:val="nil"/>
              <w:right w:val="nil"/>
            </w:tcBorders>
            <w:shd w:val="clear" w:color="auto" w:fill="auto"/>
            <w:noWrap/>
            <w:hideMark/>
          </w:tcPr>
          <w:p w14:paraId="2D8AB264" w14:textId="77777777" w:rsidR="008F3117" w:rsidRPr="00005453" w:rsidRDefault="008F3117" w:rsidP="008F3117">
            <w:pPr>
              <w:rPr>
                <w:sz w:val="18"/>
                <w:szCs w:val="18"/>
                <w:lang w:eastAsia="tr-TR"/>
              </w:rPr>
            </w:pPr>
            <w:r w:rsidRPr="00005453">
              <w:rPr>
                <w:sz w:val="18"/>
                <w:szCs w:val="18"/>
                <w:lang w:eastAsia="tr-TR"/>
              </w:rPr>
              <w:t>Bankalar</w:t>
            </w:r>
          </w:p>
        </w:tc>
        <w:tc>
          <w:tcPr>
            <w:tcW w:w="2340" w:type="dxa"/>
            <w:tcBorders>
              <w:top w:val="nil"/>
              <w:left w:val="nil"/>
              <w:bottom w:val="nil"/>
              <w:right w:val="nil"/>
            </w:tcBorders>
            <w:shd w:val="clear" w:color="auto" w:fill="auto"/>
            <w:noWrap/>
            <w:vAlign w:val="center"/>
            <w:hideMark/>
          </w:tcPr>
          <w:p w14:paraId="3CEA7EF8" w14:textId="0EEEDDB1" w:rsidR="008F3117" w:rsidRPr="00005453" w:rsidRDefault="008F3117" w:rsidP="008F3117">
            <w:pPr>
              <w:jc w:val="right"/>
              <w:rPr>
                <w:sz w:val="18"/>
                <w:szCs w:val="18"/>
              </w:rPr>
            </w:pPr>
            <w:r w:rsidRPr="00005453">
              <w:rPr>
                <w:sz w:val="18"/>
                <w:szCs w:val="18"/>
              </w:rPr>
              <w:t>27,042,682</w:t>
            </w:r>
          </w:p>
        </w:tc>
        <w:tc>
          <w:tcPr>
            <w:tcW w:w="1151" w:type="dxa"/>
            <w:tcBorders>
              <w:top w:val="nil"/>
              <w:left w:val="nil"/>
              <w:bottom w:val="nil"/>
              <w:right w:val="nil"/>
            </w:tcBorders>
            <w:shd w:val="clear" w:color="auto" w:fill="auto"/>
            <w:noWrap/>
            <w:vAlign w:val="center"/>
            <w:hideMark/>
          </w:tcPr>
          <w:p w14:paraId="0B15C55E" w14:textId="5C00B93D" w:rsidR="008F3117" w:rsidRPr="00005453" w:rsidRDefault="008F3117" w:rsidP="008F3117">
            <w:pPr>
              <w:jc w:val="right"/>
              <w:rPr>
                <w:sz w:val="18"/>
                <w:szCs w:val="18"/>
              </w:rPr>
            </w:pPr>
            <w:r w:rsidRPr="00005453">
              <w:rPr>
                <w:sz w:val="18"/>
                <w:szCs w:val="18"/>
              </w:rPr>
              <w:t>18,113,412</w:t>
            </w:r>
          </w:p>
        </w:tc>
        <w:tc>
          <w:tcPr>
            <w:tcW w:w="1151" w:type="dxa"/>
            <w:tcBorders>
              <w:top w:val="nil"/>
              <w:left w:val="nil"/>
              <w:bottom w:val="nil"/>
              <w:right w:val="nil"/>
            </w:tcBorders>
            <w:shd w:val="clear" w:color="auto" w:fill="auto"/>
            <w:noWrap/>
            <w:vAlign w:val="center"/>
            <w:hideMark/>
          </w:tcPr>
          <w:p w14:paraId="5D414F62" w14:textId="4066E009" w:rsidR="008F3117" w:rsidRPr="00005453" w:rsidRDefault="008F3117" w:rsidP="008F3117">
            <w:pPr>
              <w:jc w:val="right"/>
              <w:rPr>
                <w:sz w:val="18"/>
                <w:szCs w:val="18"/>
              </w:rPr>
            </w:pPr>
            <w:r w:rsidRPr="00005453">
              <w:rPr>
                <w:sz w:val="18"/>
                <w:szCs w:val="18"/>
              </w:rPr>
              <w:t>27,042,682</w:t>
            </w:r>
          </w:p>
        </w:tc>
        <w:tc>
          <w:tcPr>
            <w:tcW w:w="1040" w:type="dxa"/>
            <w:tcBorders>
              <w:top w:val="nil"/>
              <w:left w:val="nil"/>
              <w:bottom w:val="nil"/>
              <w:right w:val="nil"/>
            </w:tcBorders>
            <w:shd w:val="clear" w:color="auto" w:fill="auto"/>
            <w:noWrap/>
            <w:vAlign w:val="center"/>
            <w:hideMark/>
          </w:tcPr>
          <w:p w14:paraId="2D8F5132" w14:textId="3B5592A5" w:rsidR="008F3117" w:rsidRPr="00005453" w:rsidRDefault="008F3117" w:rsidP="008F3117">
            <w:pPr>
              <w:jc w:val="right"/>
              <w:rPr>
                <w:sz w:val="18"/>
                <w:szCs w:val="18"/>
              </w:rPr>
            </w:pPr>
            <w:r w:rsidRPr="00005453">
              <w:rPr>
                <w:sz w:val="18"/>
                <w:szCs w:val="18"/>
              </w:rPr>
              <w:t>18,113,412</w:t>
            </w:r>
          </w:p>
        </w:tc>
      </w:tr>
      <w:tr w:rsidR="008F3117" w:rsidRPr="00005453" w14:paraId="6460DC0E" w14:textId="77777777" w:rsidTr="00A7269C">
        <w:trPr>
          <w:trHeight w:val="412"/>
        </w:trPr>
        <w:tc>
          <w:tcPr>
            <w:tcW w:w="3897" w:type="dxa"/>
            <w:tcBorders>
              <w:top w:val="nil"/>
              <w:left w:val="nil"/>
              <w:bottom w:val="nil"/>
              <w:right w:val="nil"/>
            </w:tcBorders>
            <w:shd w:val="clear" w:color="auto" w:fill="auto"/>
            <w:noWrap/>
            <w:hideMark/>
          </w:tcPr>
          <w:p w14:paraId="7A6A024F" w14:textId="77777777" w:rsidR="008F3117" w:rsidRPr="00005453" w:rsidRDefault="008F3117" w:rsidP="008F3117">
            <w:pPr>
              <w:rPr>
                <w:sz w:val="18"/>
                <w:szCs w:val="18"/>
                <w:lang w:eastAsia="tr-TR"/>
              </w:rPr>
            </w:pPr>
            <w:r w:rsidRPr="00005453">
              <w:rPr>
                <w:sz w:val="18"/>
                <w:szCs w:val="18"/>
                <w:lang w:eastAsia="tr-TR"/>
              </w:rPr>
              <w:t>Gerçeğe Uygun Değer Farkı Diğer Kapsamlı Gelire Yansıtılan Finansal Varlıklar</w:t>
            </w:r>
          </w:p>
        </w:tc>
        <w:tc>
          <w:tcPr>
            <w:tcW w:w="2340" w:type="dxa"/>
            <w:tcBorders>
              <w:top w:val="nil"/>
              <w:left w:val="nil"/>
              <w:bottom w:val="nil"/>
              <w:right w:val="nil"/>
            </w:tcBorders>
            <w:shd w:val="clear" w:color="auto" w:fill="auto"/>
            <w:noWrap/>
            <w:vAlign w:val="center"/>
            <w:hideMark/>
          </w:tcPr>
          <w:p w14:paraId="4FE77A1F" w14:textId="2D47FDFC" w:rsidR="008F3117" w:rsidRPr="00005453" w:rsidRDefault="008F3117" w:rsidP="008F3117">
            <w:pPr>
              <w:jc w:val="right"/>
              <w:rPr>
                <w:sz w:val="18"/>
                <w:szCs w:val="18"/>
              </w:rPr>
            </w:pPr>
            <w:r w:rsidRPr="00005453">
              <w:rPr>
                <w:sz w:val="18"/>
                <w:szCs w:val="18"/>
              </w:rPr>
              <w:t>60,958,267</w:t>
            </w:r>
          </w:p>
        </w:tc>
        <w:tc>
          <w:tcPr>
            <w:tcW w:w="1151" w:type="dxa"/>
            <w:tcBorders>
              <w:top w:val="nil"/>
              <w:left w:val="nil"/>
              <w:bottom w:val="nil"/>
              <w:right w:val="nil"/>
            </w:tcBorders>
            <w:shd w:val="clear" w:color="auto" w:fill="auto"/>
            <w:noWrap/>
            <w:vAlign w:val="center"/>
            <w:hideMark/>
          </w:tcPr>
          <w:p w14:paraId="7E44E6FA" w14:textId="053CF223" w:rsidR="008F3117" w:rsidRPr="00005453" w:rsidRDefault="008F3117" w:rsidP="008F3117">
            <w:pPr>
              <w:jc w:val="right"/>
              <w:rPr>
                <w:sz w:val="18"/>
                <w:szCs w:val="18"/>
              </w:rPr>
            </w:pPr>
            <w:r w:rsidRPr="00005453">
              <w:rPr>
                <w:sz w:val="18"/>
                <w:szCs w:val="18"/>
              </w:rPr>
              <w:t>55,293,387</w:t>
            </w:r>
          </w:p>
        </w:tc>
        <w:tc>
          <w:tcPr>
            <w:tcW w:w="1151" w:type="dxa"/>
            <w:tcBorders>
              <w:top w:val="nil"/>
              <w:left w:val="nil"/>
              <w:bottom w:val="nil"/>
              <w:right w:val="nil"/>
            </w:tcBorders>
            <w:shd w:val="clear" w:color="auto" w:fill="auto"/>
            <w:noWrap/>
            <w:vAlign w:val="center"/>
            <w:hideMark/>
          </w:tcPr>
          <w:p w14:paraId="345DFE5B" w14:textId="75749D22" w:rsidR="008F3117" w:rsidRPr="00005453" w:rsidRDefault="008F3117" w:rsidP="008F3117">
            <w:pPr>
              <w:jc w:val="right"/>
              <w:rPr>
                <w:sz w:val="18"/>
                <w:szCs w:val="18"/>
              </w:rPr>
            </w:pPr>
            <w:r w:rsidRPr="00005453">
              <w:rPr>
                <w:sz w:val="18"/>
                <w:szCs w:val="18"/>
              </w:rPr>
              <w:t>60,958,267</w:t>
            </w:r>
          </w:p>
        </w:tc>
        <w:tc>
          <w:tcPr>
            <w:tcW w:w="1040" w:type="dxa"/>
            <w:tcBorders>
              <w:top w:val="nil"/>
              <w:left w:val="nil"/>
              <w:bottom w:val="nil"/>
              <w:right w:val="nil"/>
            </w:tcBorders>
            <w:shd w:val="clear" w:color="auto" w:fill="auto"/>
            <w:noWrap/>
            <w:vAlign w:val="center"/>
            <w:hideMark/>
          </w:tcPr>
          <w:p w14:paraId="14F3B484" w14:textId="3A412E7D" w:rsidR="008F3117" w:rsidRPr="00005453" w:rsidRDefault="008F3117" w:rsidP="008F3117">
            <w:pPr>
              <w:jc w:val="right"/>
              <w:rPr>
                <w:sz w:val="18"/>
                <w:szCs w:val="18"/>
              </w:rPr>
            </w:pPr>
            <w:r w:rsidRPr="00005453">
              <w:rPr>
                <w:sz w:val="18"/>
                <w:szCs w:val="18"/>
              </w:rPr>
              <w:t>55,293,387</w:t>
            </w:r>
          </w:p>
        </w:tc>
      </w:tr>
      <w:tr w:rsidR="008F3117" w:rsidRPr="00005453" w14:paraId="48527309" w14:textId="77777777" w:rsidTr="00A7269C">
        <w:trPr>
          <w:trHeight w:val="68"/>
        </w:trPr>
        <w:tc>
          <w:tcPr>
            <w:tcW w:w="3897" w:type="dxa"/>
            <w:tcBorders>
              <w:top w:val="nil"/>
              <w:left w:val="nil"/>
              <w:bottom w:val="nil"/>
              <w:right w:val="nil"/>
            </w:tcBorders>
            <w:shd w:val="clear" w:color="auto" w:fill="auto"/>
            <w:noWrap/>
            <w:hideMark/>
          </w:tcPr>
          <w:p w14:paraId="72E6F673" w14:textId="77777777" w:rsidR="008F3117" w:rsidRPr="00005453" w:rsidRDefault="008F3117" w:rsidP="008F3117">
            <w:pPr>
              <w:rPr>
                <w:sz w:val="18"/>
                <w:szCs w:val="18"/>
                <w:lang w:eastAsia="tr-TR"/>
              </w:rPr>
            </w:pPr>
            <w:r w:rsidRPr="00005453">
              <w:rPr>
                <w:sz w:val="18"/>
                <w:szCs w:val="18"/>
                <w:lang w:eastAsia="tr-TR"/>
              </w:rPr>
              <w:t>İtfa Edilmiş Maliyeti ile Ölçülen Finansal Varlıklar</w:t>
            </w:r>
          </w:p>
        </w:tc>
        <w:tc>
          <w:tcPr>
            <w:tcW w:w="2340" w:type="dxa"/>
            <w:tcBorders>
              <w:top w:val="nil"/>
              <w:left w:val="nil"/>
              <w:bottom w:val="nil"/>
              <w:right w:val="nil"/>
            </w:tcBorders>
            <w:shd w:val="clear" w:color="auto" w:fill="auto"/>
            <w:noWrap/>
            <w:vAlign w:val="center"/>
            <w:hideMark/>
          </w:tcPr>
          <w:p w14:paraId="2189932A" w14:textId="14FF07DA" w:rsidR="008F3117" w:rsidRPr="00005453" w:rsidRDefault="008F3117" w:rsidP="008F3117">
            <w:pPr>
              <w:jc w:val="right"/>
              <w:rPr>
                <w:sz w:val="18"/>
                <w:szCs w:val="18"/>
              </w:rPr>
            </w:pPr>
            <w:r w:rsidRPr="00005453">
              <w:rPr>
                <w:sz w:val="18"/>
                <w:szCs w:val="18"/>
              </w:rPr>
              <w:t>56,023,875</w:t>
            </w:r>
          </w:p>
        </w:tc>
        <w:tc>
          <w:tcPr>
            <w:tcW w:w="1151" w:type="dxa"/>
            <w:tcBorders>
              <w:top w:val="nil"/>
              <w:left w:val="nil"/>
              <w:bottom w:val="nil"/>
              <w:right w:val="nil"/>
            </w:tcBorders>
            <w:shd w:val="clear" w:color="auto" w:fill="auto"/>
            <w:noWrap/>
            <w:vAlign w:val="center"/>
            <w:hideMark/>
          </w:tcPr>
          <w:p w14:paraId="35DF6FA0" w14:textId="43E69706" w:rsidR="008F3117" w:rsidRPr="00005453" w:rsidRDefault="008F3117" w:rsidP="008F3117">
            <w:pPr>
              <w:jc w:val="right"/>
              <w:rPr>
                <w:sz w:val="18"/>
                <w:szCs w:val="18"/>
              </w:rPr>
            </w:pPr>
            <w:r w:rsidRPr="00005453">
              <w:rPr>
                <w:sz w:val="18"/>
                <w:szCs w:val="18"/>
              </w:rPr>
              <w:t>63,203,644</w:t>
            </w:r>
          </w:p>
        </w:tc>
        <w:tc>
          <w:tcPr>
            <w:tcW w:w="1151" w:type="dxa"/>
            <w:tcBorders>
              <w:top w:val="nil"/>
              <w:left w:val="nil"/>
              <w:bottom w:val="nil"/>
              <w:right w:val="nil"/>
            </w:tcBorders>
            <w:shd w:val="clear" w:color="auto" w:fill="auto"/>
            <w:noWrap/>
            <w:vAlign w:val="center"/>
            <w:hideMark/>
          </w:tcPr>
          <w:p w14:paraId="57CA1DE6" w14:textId="34C953FA" w:rsidR="008F3117" w:rsidRPr="00005453" w:rsidRDefault="008F3117" w:rsidP="008F3117">
            <w:pPr>
              <w:jc w:val="right"/>
              <w:rPr>
                <w:sz w:val="18"/>
                <w:szCs w:val="18"/>
              </w:rPr>
            </w:pPr>
            <w:r w:rsidRPr="00005453">
              <w:rPr>
                <w:sz w:val="18"/>
                <w:szCs w:val="18"/>
              </w:rPr>
              <w:t>51,220,727</w:t>
            </w:r>
          </w:p>
        </w:tc>
        <w:tc>
          <w:tcPr>
            <w:tcW w:w="1040" w:type="dxa"/>
            <w:tcBorders>
              <w:top w:val="nil"/>
              <w:left w:val="nil"/>
              <w:bottom w:val="nil"/>
              <w:right w:val="nil"/>
            </w:tcBorders>
            <w:shd w:val="clear" w:color="auto" w:fill="auto"/>
            <w:noWrap/>
            <w:vAlign w:val="center"/>
            <w:hideMark/>
          </w:tcPr>
          <w:p w14:paraId="7FE9D30C" w14:textId="5135C5ED" w:rsidR="008F3117" w:rsidRPr="00005453" w:rsidRDefault="008F3117" w:rsidP="008F3117">
            <w:pPr>
              <w:jc w:val="right"/>
              <w:rPr>
                <w:sz w:val="18"/>
                <w:szCs w:val="18"/>
              </w:rPr>
            </w:pPr>
            <w:r w:rsidRPr="00005453">
              <w:rPr>
                <w:sz w:val="18"/>
                <w:szCs w:val="18"/>
              </w:rPr>
              <w:t>57,671,659</w:t>
            </w:r>
          </w:p>
        </w:tc>
      </w:tr>
      <w:tr w:rsidR="008F3117" w:rsidRPr="00005453" w14:paraId="29768887" w14:textId="77777777" w:rsidTr="00A7269C">
        <w:trPr>
          <w:trHeight w:val="279"/>
        </w:trPr>
        <w:tc>
          <w:tcPr>
            <w:tcW w:w="3897" w:type="dxa"/>
            <w:tcBorders>
              <w:top w:val="nil"/>
              <w:left w:val="nil"/>
              <w:bottom w:val="nil"/>
              <w:right w:val="nil"/>
            </w:tcBorders>
            <w:shd w:val="clear" w:color="auto" w:fill="auto"/>
            <w:noWrap/>
            <w:hideMark/>
          </w:tcPr>
          <w:p w14:paraId="1E140DE4" w14:textId="77777777" w:rsidR="008F3117" w:rsidRPr="00005453" w:rsidRDefault="008F3117" w:rsidP="008F3117">
            <w:pPr>
              <w:rPr>
                <w:sz w:val="18"/>
                <w:szCs w:val="18"/>
                <w:lang w:eastAsia="tr-TR"/>
              </w:rPr>
            </w:pPr>
            <w:r w:rsidRPr="00005453">
              <w:rPr>
                <w:sz w:val="18"/>
                <w:szCs w:val="18"/>
                <w:lang w:eastAsia="tr-TR"/>
              </w:rPr>
              <w:t>Verilen Krediler ve Finansal Kiralama Alacakları</w:t>
            </w:r>
          </w:p>
        </w:tc>
        <w:tc>
          <w:tcPr>
            <w:tcW w:w="2340" w:type="dxa"/>
            <w:tcBorders>
              <w:top w:val="nil"/>
              <w:left w:val="nil"/>
              <w:bottom w:val="nil"/>
              <w:right w:val="nil"/>
            </w:tcBorders>
            <w:shd w:val="clear" w:color="auto" w:fill="auto"/>
            <w:noWrap/>
            <w:vAlign w:val="center"/>
            <w:hideMark/>
          </w:tcPr>
          <w:p w14:paraId="0265B3B5" w14:textId="71FA6A5A" w:rsidR="008F3117" w:rsidRPr="00005453" w:rsidRDefault="008F3117" w:rsidP="008F3117">
            <w:pPr>
              <w:jc w:val="right"/>
              <w:rPr>
                <w:sz w:val="18"/>
                <w:szCs w:val="18"/>
              </w:rPr>
            </w:pPr>
            <w:r w:rsidRPr="00005453">
              <w:rPr>
                <w:sz w:val="18"/>
                <w:szCs w:val="18"/>
              </w:rPr>
              <w:t>427,701,505</w:t>
            </w:r>
          </w:p>
        </w:tc>
        <w:tc>
          <w:tcPr>
            <w:tcW w:w="1151" w:type="dxa"/>
            <w:tcBorders>
              <w:top w:val="nil"/>
              <w:left w:val="nil"/>
              <w:bottom w:val="nil"/>
              <w:right w:val="nil"/>
            </w:tcBorders>
            <w:shd w:val="clear" w:color="auto" w:fill="auto"/>
            <w:noWrap/>
            <w:vAlign w:val="center"/>
            <w:hideMark/>
          </w:tcPr>
          <w:p w14:paraId="12ABCBFF" w14:textId="31AC0E20" w:rsidR="008F3117" w:rsidRPr="00005453" w:rsidRDefault="008F3117" w:rsidP="008F3117">
            <w:pPr>
              <w:jc w:val="right"/>
              <w:rPr>
                <w:sz w:val="18"/>
                <w:szCs w:val="18"/>
              </w:rPr>
            </w:pPr>
            <w:r w:rsidRPr="00005453">
              <w:rPr>
                <w:sz w:val="18"/>
                <w:szCs w:val="18"/>
              </w:rPr>
              <w:t>331,695,540</w:t>
            </w:r>
          </w:p>
        </w:tc>
        <w:tc>
          <w:tcPr>
            <w:tcW w:w="1151" w:type="dxa"/>
            <w:tcBorders>
              <w:top w:val="nil"/>
              <w:left w:val="nil"/>
              <w:bottom w:val="nil"/>
              <w:right w:val="nil"/>
            </w:tcBorders>
            <w:shd w:val="clear" w:color="auto" w:fill="auto"/>
            <w:noWrap/>
            <w:vAlign w:val="center"/>
            <w:hideMark/>
          </w:tcPr>
          <w:p w14:paraId="63BDB3AE" w14:textId="56BF27BF" w:rsidR="008F3117" w:rsidRPr="00005453" w:rsidRDefault="008F3117" w:rsidP="008F3117">
            <w:pPr>
              <w:jc w:val="right"/>
              <w:rPr>
                <w:sz w:val="18"/>
                <w:szCs w:val="18"/>
              </w:rPr>
            </w:pPr>
            <w:r w:rsidRPr="00005453">
              <w:rPr>
                <w:sz w:val="18"/>
                <w:szCs w:val="18"/>
              </w:rPr>
              <w:t>431,047,547</w:t>
            </w:r>
          </w:p>
        </w:tc>
        <w:tc>
          <w:tcPr>
            <w:tcW w:w="1040" w:type="dxa"/>
            <w:tcBorders>
              <w:top w:val="nil"/>
              <w:left w:val="nil"/>
              <w:bottom w:val="nil"/>
              <w:right w:val="nil"/>
            </w:tcBorders>
            <w:shd w:val="clear" w:color="auto" w:fill="auto"/>
            <w:noWrap/>
            <w:vAlign w:val="center"/>
            <w:hideMark/>
          </w:tcPr>
          <w:p w14:paraId="7FA2F3F9" w14:textId="19BAC48D" w:rsidR="008F3117" w:rsidRPr="00005453" w:rsidRDefault="008F3117" w:rsidP="008F3117">
            <w:pPr>
              <w:jc w:val="right"/>
              <w:rPr>
                <w:sz w:val="18"/>
                <w:szCs w:val="18"/>
              </w:rPr>
            </w:pPr>
            <w:r w:rsidRPr="00005453">
              <w:rPr>
                <w:sz w:val="18"/>
                <w:szCs w:val="18"/>
              </w:rPr>
              <w:t>326,246,533</w:t>
            </w:r>
          </w:p>
        </w:tc>
      </w:tr>
      <w:tr w:rsidR="00B3719B" w:rsidRPr="00005453" w14:paraId="3474CB75" w14:textId="77777777" w:rsidTr="00A7269C">
        <w:trPr>
          <w:trHeight w:val="275"/>
        </w:trPr>
        <w:tc>
          <w:tcPr>
            <w:tcW w:w="3897" w:type="dxa"/>
            <w:tcBorders>
              <w:top w:val="nil"/>
              <w:left w:val="nil"/>
              <w:bottom w:val="nil"/>
              <w:right w:val="nil"/>
            </w:tcBorders>
            <w:shd w:val="clear" w:color="auto" w:fill="auto"/>
            <w:noWrap/>
            <w:hideMark/>
          </w:tcPr>
          <w:p w14:paraId="43605A44" w14:textId="77777777" w:rsidR="00B3719B" w:rsidRPr="00005453" w:rsidRDefault="00B3719B" w:rsidP="00B3719B">
            <w:pPr>
              <w:rPr>
                <w:b/>
                <w:bCs/>
                <w:color w:val="000000"/>
                <w:sz w:val="18"/>
                <w:szCs w:val="18"/>
                <w:lang w:eastAsia="tr-TR"/>
              </w:rPr>
            </w:pPr>
            <w:r w:rsidRPr="00005453">
              <w:rPr>
                <w:b/>
                <w:bCs/>
                <w:color w:val="000000"/>
                <w:sz w:val="18"/>
                <w:szCs w:val="18"/>
                <w:lang w:eastAsia="tr-TR"/>
              </w:rPr>
              <w:t>Finansal borçlar</w:t>
            </w:r>
          </w:p>
        </w:tc>
        <w:tc>
          <w:tcPr>
            <w:tcW w:w="2340" w:type="dxa"/>
            <w:tcBorders>
              <w:top w:val="nil"/>
              <w:left w:val="nil"/>
              <w:bottom w:val="nil"/>
              <w:right w:val="nil"/>
            </w:tcBorders>
            <w:shd w:val="clear" w:color="auto" w:fill="auto"/>
            <w:noWrap/>
            <w:vAlign w:val="center"/>
            <w:hideMark/>
          </w:tcPr>
          <w:p w14:paraId="6273B785" w14:textId="77777777" w:rsidR="00B3719B" w:rsidRPr="00005453" w:rsidRDefault="00B3719B" w:rsidP="008F3117">
            <w:pPr>
              <w:jc w:val="right"/>
              <w:rPr>
                <w:sz w:val="18"/>
                <w:szCs w:val="18"/>
              </w:rPr>
            </w:pPr>
          </w:p>
        </w:tc>
        <w:tc>
          <w:tcPr>
            <w:tcW w:w="1151" w:type="dxa"/>
            <w:tcBorders>
              <w:top w:val="nil"/>
              <w:left w:val="nil"/>
              <w:bottom w:val="nil"/>
              <w:right w:val="nil"/>
            </w:tcBorders>
            <w:shd w:val="clear" w:color="auto" w:fill="auto"/>
            <w:noWrap/>
            <w:vAlign w:val="center"/>
            <w:hideMark/>
          </w:tcPr>
          <w:p w14:paraId="0C545AD6" w14:textId="77777777" w:rsidR="00B3719B" w:rsidRPr="00005453" w:rsidRDefault="00B3719B" w:rsidP="008F3117">
            <w:pPr>
              <w:jc w:val="right"/>
              <w:rPr>
                <w:sz w:val="18"/>
                <w:szCs w:val="18"/>
              </w:rPr>
            </w:pPr>
          </w:p>
        </w:tc>
        <w:tc>
          <w:tcPr>
            <w:tcW w:w="1151" w:type="dxa"/>
            <w:tcBorders>
              <w:top w:val="nil"/>
              <w:left w:val="nil"/>
              <w:bottom w:val="nil"/>
              <w:right w:val="nil"/>
            </w:tcBorders>
            <w:shd w:val="clear" w:color="auto" w:fill="auto"/>
            <w:noWrap/>
            <w:vAlign w:val="center"/>
            <w:hideMark/>
          </w:tcPr>
          <w:p w14:paraId="1B2D7E57" w14:textId="77777777" w:rsidR="00B3719B" w:rsidRPr="00005453" w:rsidRDefault="00B3719B" w:rsidP="008F3117">
            <w:pPr>
              <w:jc w:val="right"/>
              <w:rPr>
                <w:sz w:val="18"/>
                <w:szCs w:val="18"/>
              </w:rPr>
            </w:pPr>
          </w:p>
        </w:tc>
        <w:tc>
          <w:tcPr>
            <w:tcW w:w="1040" w:type="dxa"/>
            <w:tcBorders>
              <w:top w:val="nil"/>
              <w:left w:val="nil"/>
              <w:bottom w:val="nil"/>
              <w:right w:val="nil"/>
            </w:tcBorders>
            <w:shd w:val="clear" w:color="auto" w:fill="auto"/>
            <w:noWrap/>
            <w:vAlign w:val="center"/>
            <w:hideMark/>
          </w:tcPr>
          <w:p w14:paraId="3B5484BB" w14:textId="20954165" w:rsidR="00B3719B" w:rsidRPr="00005453" w:rsidRDefault="00B3719B" w:rsidP="008F3117">
            <w:pPr>
              <w:jc w:val="right"/>
              <w:rPr>
                <w:sz w:val="18"/>
                <w:szCs w:val="18"/>
              </w:rPr>
            </w:pPr>
          </w:p>
        </w:tc>
      </w:tr>
      <w:tr w:rsidR="008F3117" w:rsidRPr="00005453" w14:paraId="2DC3E5D8" w14:textId="77777777" w:rsidTr="00A7269C">
        <w:trPr>
          <w:trHeight w:val="275"/>
        </w:trPr>
        <w:tc>
          <w:tcPr>
            <w:tcW w:w="3897" w:type="dxa"/>
            <w:tcBorders>
              <w:top w:val="nil"/>
              <w:left w:val="nil"/>
              <w:bottom w:val="nil"/>
              <w:right w:val="nil"/>
            </w:tcBorders>
            <w:shd w:val="clear" w:color="auto" w:fill="auto"/>
            <w:noWrap/>
            <w:hideMark/>
          </w:tcPr>
          <w:p w14:paraId="7FAE12F4" w14:textId="77777777" w:rsidR="008F3117" w:rsidRPr="00005453" w:rsidRDefault="008F3117" w:rsidP="008F3117">
            <w:pPr>
              <w:rPr>
                <w:color w:val="000000"/>
                <w:sz w:val="18"/>
                <w:szCs w:val="18"/>
                <w:lang w:eastAsia="tr-TR"/>
              </w:rPr>
            </w:pPr>
            <w:r w:rsidRPr="00005453">
              <w:rPr>
                <w:color w:val="000000"/>
                <w:sz w:val="18"/>
                <w:szCs w:val="18"/>
                <w:lang w:eastAsia="tr-TR"/>
              </w:rPr>
              <w:t>Özel cari hesap ve katılma hesapları aracılığı ile bankalardan toplanan fonlar</w:t>
            </w:r>
          </w:p>
        </w:tc>
        <w:tc>
          <w:tcPr>
            <w:tcW w:w="2340" w:type="dxa"/>
            <w:tcBorders>
              <w:top w:val="nil"/>
              <w:left w:val="nil"/>
              <w:bottom w:val="nil"/>
              <w:right w:val="nil"/>
            </w:tcBorders>
            <w:shd w:val="clear" w:color="auto" w:fill="auto"/>
            <w:noWrap/>
            <w:vAlign w:val="center"/>
            <w:hideMark/>
          </w:tcPr>
          <w:p w14:paraId="541A1778" w14:textId="761135D5" w:rsidR="008F3117" w:rsidRPr="00005453" w:rsidRDefault="008F3117" w:rsidP="008F3117">
            <w:pPr>
              <w:jc w:val="right"/>
              <w:rPr>
                <w:sz w:val="18"/>
                <w:szCs w:val="18"/>
              </w:rPr>
            </w:pPr>
            <w:r w:rsidRPr="00005453">
              <w:rPr>
                <w:sz w:val="18"/>
                <w:szCs w:val="18"/>
              </w:rPr>
              <w:t>2,014,280</w:t>
            </w:r>
          </w:p>
        </w:tc>
        <w:tc>
          <w:tcPr>
            <w:tcW w:w="1151" w:type="dxa"/>
            <w:tcBorders>
              <w:top w:val="nil"/>
              <w:left w:val="nil"/>
              <w:bottom w:val="nil"/>
              <w:right w:val="nil"/>
            </w:tcBorders>
            <w:shd w:val="clear" w:color="auto" w:fill="auto"/>
            <w:noWrap/>
            <w:vAlign w:val="center"/>
            <w:hideMark/>
          </w:tcPr>
          <w:p w14:paraId="0803481D" w14:textId="05EBB5E1" w:rsidR="008F3117" w:rsidRPr="00005453" w:rsidRDefault="008F3117" w:rsidP="008F3117">
            <w:pPr>
              <w:jc w:val="right"/>
              <w:rPr>
                <w:sz w:val="18"/>
                <w:szCs w:val="18"/>
              </w:rPr>
            </w:pPr>
            <w:r w:rsidRPr="00005453">
              <w:rPr>
                <w:sz w:val="18"/>
                <w:szCs w:val="18"/>
              </w:rPr>
              <w:t>1,575,716</w:t>
            </w:r>
          </w:p>
        </w:tc>
        <w:tc>
          <w:tcPr>
            <w:tcW w:w="1151" w:type="dxa"/>
            <w:tcBorders>
              <w:top w:val="nil"/>
              <w:left w:val="nil"/>
              <w:bottom w:val="nil"/>
              <w:right w:val="nil"/>
            </w:tcBorders>
            <w:shd w:val="clear" w:color="auto" w:fill="auto"/>
            <w:noWrap/>
            <w:vAlign w:val="center"/>
            <w:hideMark/>
          </w:tcPr>
          <w:p w14:paraId="00F23B22" w14:textId="1958D21A" w:rsidR="008F3117" w:rsidRPr="00005453" w:rsidRDefault="008F3117" w:rsidP="008F3117">
            <w:pPr>
              <w:jc w:val="right"/>
              <w:rPr>
                <w:sz w:val="18"/>
                <w:szCs w:val="18"/>
              </w:rPr>
            </w:pPr>
            <w:r w:rsidRPr="00005453">
              <w:rPr>
                <w:sz w:val="18"/>
                <w:szCs w:val="18"/>
              </w:rPr>
              <w:t>2,014,280</w:t>
            </w:r>
          </w:p>
        </w:tc>
        <w:tc>
          <w:tcPr>
            <w:tcW w:w="1040" w:type="dxa"/>
            <w:tcBorders>
              <w:top w:val="nil"/>
              <w:left w:val="nil"/>
              <w:bottom w:val="nil"/>
              <w:right w:val="nil"/>
            </w:tcBorders>
            <w:shd w:val="clear" w:color="auto" w:fill="auto"/>
            <w:noWrap/>
            <w:vAlign w:val="center"/>
            <w:hideMark/>
          </w:tcPr>
          <w:p w14:paraId="67D33C79" w14:textId="525D9D5D" w:rsidR="008F3117" w:rsidRPr="00005453" w:rsidRDefault="008F3117" w:rsidP="008F3117">
            <w:pPr>
              <w:jc w:val="right"/>
              <w:rPr>
                <w:sz w:val="18"/>
                <w:szCs w:val="18"/>
              </w:rPr>
            </w:pPr>
            <w:r w:rsidRPr="00005453">
              <w:rPr>
                <w:sz w:val="18"/>
                <w:szCs w:val="18"/>
              </w:rPr>
              <w:t>1,575,716</w:t>
            </w:r>
          </w:p>
        </w:tc>
      </w:tr>
      <w:tr w:rsidR="008F3117" w:rsidRPr="00005453" w14:paraId="23E525AA" w14:textId="77777777" w:rsidTr="00A7269C">
        <w:trPr>
          <w:trHeight w:val="64"/>
        </w:trPr>
        <w:tc>
          <w:tcPr>
            <w:tcW w:w="3897" w:type="dxa"/>
            <w:tcBorders>
              <w:top w:val="nil"/>
              <w:left w:val="nil"/>
              <w:bottom w:val="nil"/>
              <w:right w:val="nil"/>
            </w:tcBorders>
            <w:shd w:val="clear" w:color="auto" w:fill="auto"/>
            <w:noWrap/>
            <w:hideMark/>
          </w:tcPr>
          <w:p w14:paraId="4F556663" w14:textId="77777777" w:rsidR="008F3117" w:rsidRPr="00005453" w:rsidRDefault="008F3117" w:rsidP="008F3117">
            <w:pPr>
              <w:rPr>
                <w:color w:val="000000"/>
                <w:sz w:val="18"/>
                <w:szCs w:val="18"/>
                <w:lang w:eastAsia="tr-TR"/>
              </w:rPr>
            </w:pPr>
            <w:r w:rsidRPr="00005453">
              <w:rPr>
                <w:color w:val="000000"/>
                <w:sz w:val="18"/>
                <w:szCs w:val="18"/>
                <w:lang w:eastAsia="tr-TR"/>
              </w:rPr>
              <w:t>Diğer özel cari hesap ve katılma hesapları</w:t>
            </w:r>
          </w:p>
        </w:tc>
        <w:tc>
          <w:tcPr>
            <w:tcW w:w="2340" w:type="dxa"/>
            <w:tcBorders>
              <w:top w:val="nil"/>
              <w:left w:val="nil"/>
              <w:bottom w:val="nil"/>
              <w:right w:val="nil"/>
            </w:tcBorders>
            <w:shd w:val="clear" w:color="auto" w:fill="auto"/>
            <w:noWrap/>
            <w:vAlign w:val="center"/>
            <w:hideMark/>
          </w:tcPr>
          <w:p w14:paraId="1A45B26B" w14:textId="0EED2524" w:rsidR="008F3117" w:rsidRPr="00005453" w:rsidRDefault="008F3117" w:rsidP="008F3117">
            <w:pPr>
              <w:jc w:val="right"/>
              <w:rPr>
                <w:sz w:val="18"/>
                <w:szCs w:val="18"/>
              </w:rPr>
            </w:pPr>
            <w:r w:rsidRPr="00005453">
              <w:rPr>
                <w:sz w:val="18"/>
                <w:szCs w:val="18"/>
              </w:rPr>
              <w:t>583,549,633</w:t>
            </w:r>
          </w:p>
        </w:tc>
        <w:tc>
          <w:tcPr>
            <w:tcW w:w="1151" w:type="dxa"/>
            <w:tcBorders>
              <w:top w:val="nil"/>
              <w:left w:val="nil"/>
              <w:bottom w:val="nil"/>
              <w:right w:val="nil"/>
            </w:tcBorders>
            <w:shd w:val="clear" w:color="auto" w:fill="auto"/>
            <w:noWrap/>
            <w:vAlign w:val="center"/>
            <w:hideMark/>
          </w:tcPr>
          <w:p w14:paraId="7EDA6D29" w14:textId="173DAC5C" w:rsidR="008F3117" w:rsidRPr="00005453" w:rsidRDefault="008F3117" w:rsidP="008F3117">
            <w:pPr>
              <w:jc w:val="right"/>
              <w:rPr>
                <w:sz w:val="18"/>
                <w:szCs w:val="18"/>
              </w:rPr>
            </w:pPr>
            <w:r w:rsidRPr="00005453">
              <w:rPr>
                <w:sz w:val="18"/>
                <w:szCs w:val="18"/>
              </w:rPr>
              <w:t>505,935,157</w:t>
            </w:r>
          </w:p>
        </w:tc>
        <w:tc>
          <w:tcPr>
            <w:tcW w:w="1151" w:type="dxa"/>
            <w:tcBorders>
              <w:top w:val="nil"/>
              <w:left w:val="nil"/>
              <w:bottom w:val="nil"/>
              <w:right w:val="nil"/>
            </w:tcBorders>
            <w:shd w:val="clear" w:color="auto" w:fill="auto"/>
            <w:noWrap/>
            <w:vAlign w:val="center"/>
            <w:hideMark/>
          </w:tcPr>
          <w:p w14:paraId="1C9ACA3D" w14:textId="0A5740C6" w:rsidR="008F3117" w:rsidRPr="00005453" w:rsidRDefault="008F3117" w:rsidP="008F3117">
            <w:pPr>
              <w:jc w:val="right"/>
              <w:rPr>
                <w:sz w:val="18"/>
                <w:szCs w:val="18"/>
              </w:rPr>
            </w:pPr>
            <w:r w:rsidRPr="00005453">
              <w:rPr>
                <w:sz w:val="18"/>
                <w:szCs w:val="18"/>
              </w:rPr>
              <w:t>583,549,633</w:t>
            </w:r>
          </w:p>
        </w:tc>
        <w:tc>
          <w:tcPr>
            <w:tcW w:w="1040" w:type="dxa"/>
            <w:tcBorders>
              <w:top w:val="nil"/>
              <w:left w:val="nil"/>
              <w:bottom w:val="nil"/>
              <w:right w:val="nil"/>
            </w:tcBorders>
            <w:shd w:val="clear" w:color="auto" w:fill="auto"/>
            <w:noWrap/>
            <w:vAlign w:val="center"/>
            <w:hideMark/>
          </w:tcPr>
          <w:p w14:paraId="794D41E0" w14:textId="5CFBE94F" w:rsidR="008F3117" w:rsidRPr="00005453" w:rsidRDefault="008F3117" w:rsidP="008F3117">
            <w:pPr>
              <w:jc w:val="right"/>
              <w:rPr>
                <w:sz w:val="18"/>
                <w:szCs w:val="18"/>
              </w:rPr>
            </w:pPr>
            <w:r w:rsidRPr="00005453">
              <w:rPr>
                <w:sz w:val="18"/>
                <w:szCs w:val="18"/>
              </w:rPr>
              <w:t>505,935,157</w:t>
            </w:r>
          </w:p>
        </w:tc>
      </w:tr>
      <w:tr w:rsidR="008F3117" w:rsidRPr="00005453" w14:paraId="4F4B8251" w14:textId="77777777" w:rsidTr="00A7269C">
        <w:trPr>
          <w:trHeight w:val="240"/>
        </w:trPr>
        <w:tc>
          <w:tcPr>
            <w:tcW w:w="3897" w:type="dxa"/>
            <w:tcBorders>
              <w:top w:val="nil"/>
              <w:left w:val="nil"/>
              <w:bottom w:val="nil"/>
              <w:right w:val="nil"/>
            </w:tcBorders>
            <w:shd w:val="clear" w:color="auto" w:fill="auto"/>
            <w:noWrap/>
            <w:hideMark/>
          </w:tcPr>
          <w:p w14:paraId="28E2A4D4" w14:textId="77777777" w:rsidR="008F3117" w:rsidRPr="00005453" w:rsidRDefault="008F3117" w:rsidP="008F3117">
            <w:pPr>
              <w:rPr>
                <w:color w:val="000000"/>
                <w:sz w:val="18"/>
                <w:szCs w:val="18"/>
                <w:lang w:eastAsia="tr-TR"/>
              </w:rPr>
            </w:pPr>
            <w:bookmarkStart w:id="50" w:name="_Hlk125292015"/>
            <w:r w:rsidRPr="00005453">
              <w:rPr>
                <w:color w:val="000000"/>
                <w:sz w:val="18"/>
                <w:szCs w:val="18"/>
                <w:lang w:eastAsia="tr-TR"/>
              </w:rPr>
              <w:t>Para piyasasına borçlar</w:t>
            </w:r>
          </w:p>
        </w:tc>
        <w:tc>
          <w:tcPr>
            <w:tcW w:w="2340" w:type="dxa"/>
            <w:tcBorders>
              <w:top w:val="nil"/>
              <w:left w:val="nil"/>
              <w:bottom w:val="nil"/>
              <w:right w:val="nil"/>
            </w:tcBorders>
            <w:shd w:val="clear" w:color="auto" w:fill="auto"/>
            <w:noWrap/>
            <w:vAlign w:val="center"/>
            <w:hideMark/>
          </w:tcPr>
          <w:p w14:paraId="19DA2A17" w14:textId="0F36499C" w:rsidR="008F3117" w:rsidRPr="00005453" w:rsidRDefault="008F3117" w:rsidP="008F3117">
            <w:pPr>
              <w:jc w:val="right"/>
              <w:rPr>
                <w:sz w:val="18"/>
                <w:szCs w:val="18"/>
              </w:rPr>
            </w:pPr>
            <w:r w:rsidRPr="00005453">
              <w:rPr>
                <w:sz w:val="18"/>
                <w:szCs w:val="18"/>
              </w:rPr>
              <w:t>17,719,258</w:t>
            </w:r>
          </w:p>
        </w:tc>
        <w:tc>
          <w:tcPr>
            <w:tcW w:w="1151" w:type="dxa"/>
            <w:tcBorders>
              <w:top w:val="nil"/>
              <w:left w:val="nil"/>
              <w:bottom w:val="nil"/>
              <w:right w:val="nil"/>
            </w:tcBorders>
            <w:shd w:val="clear" w:color="auto" w:fill="auto"/>
            <w:noWrap/>
            <w:vAlign w:val="center"/>
            <w:hideMark/>
          </w:tcPr>
          <w:p w14:paraId="618D7C5C" w14:textId="7D92E1BE" w:rsidR="008F3117" w:rsidRPr="00005453" w:rsidRDefault="008F3117" w:rsidP="008F3117">
            <w:pPr>
              <w:jc w:val="right"/>
              <w:rPr>
                <w:sz w:val="18"/>
                <w:szCs w:val="18"/>
              </w:rPr>
            </w:pPr>
            <w:r w:rsidRPr="00005453">
              <w:rPr>
                <w:sz w:val="18"/>
                <w:szCs w:val="18"/>
              </w:rPr>
              <w:t>4,186,987</w:t>
            </w:r>
          </w:p>
        </w:tc>
        <w:tc>
          <w:tcPr>
            <w:tcW w:w="1151" w:type="dxa"/>
            <w:tcBorders>
              <w:top w:val="nil"/>
              <w:left w:val="nil"/>
              <w:bottom w:val="nil"/>
              <w:right w:val="nil"/>
            </w:tcBorders>
            <w:shd w:val="clear" w:color="auto" w:fill="auto"/>
            <w:noWrap/>
            <w:vAlign w:val="center"/>
            <w:hideMark/>
          </w:tcPr>
          <w:p w14:paraId="0BE8C49E" w14:textId="4CF52C22" w:rsidR="008F3117" w:rsidRPr="00005453" w:rsidRDefault="008F3117" w:rsidP="008F3117">
            <w:pPr>
              <w:jc w:val="right"/>
              <w:rPr>
                <w:sz w:val="18"/>
                <w:szCs w:val="18"/>
              </w:rPr>
            </w:pPr>
            <w:r w:rsidRPr="00005453">
              <w:rPr>
                <w:sz w:val="18"/>
                <w:szCs w:val="18"/>
              </w:rPr>
              <w:t>17,241,650</w:t>
            </w:r>
          </w:p>
        </w:tc>
        <w:tc>
          <w:tcPr>
            <w:tcW w:w="1040" w:type="dxa"/>
            <w:tcBorders>
              <w:top w:val="nil"/>
              <w:left w:val="nil"/>
              <w:bottom w:val="nil"/>
              <w:right w:val="nil"/>
            </w:tcBorders>
            <w:shd w:val="clear" w:color="auto" w:fill="auto"/>
            <w:noWrap/>
            <w:vAlign w:val="center"/>
            <w:hideMark/>
          </w:tcPr>
          <w:p w14:paraId="7BCBAA27" w14:textId="7141DE37" w:rsidR="008F3117" w:rsidRPr="00005453" w:rsidRDefault="008F3117" w:rsidP="008F3117">
            <w:pPr>
              <w:jc w:val="right"/>
              <w:rPr>
                <w:sz w:val="18"/>
                <w:szCs w:val="18"/>
              </w:rPr>
            </w:pPr>
            <w:r w:rsidRPr="00005453">
              <w:rPr>
                <w:sz w:val="18"/>
                <w:szCs w:val="18"/>
              </w:rPr>
              <w:t>4,092,900</w:t>
            </w:r>
          </w:p>
        </w:tc>
      </w:tr>
      <w:bookmarkEnd w:id="50"/>
      <w:tr w:rsidR="008F3117" w:rsidRPr="00005453" w14:paraId="7AC4DFC0" w14:textId="77777777" w:rsidTr="00A7269C">
        <w:trPr>
          <w:trHeight w:val="64"/>
        </w:trPr>
        <w:tc>
          <w:tcPr>
            <w:tcW w:w="3897" w:type="dxa"/>
            <w:tcBorders>
              <w:top w:val="nil"/>
              <w:left w:val="nil"/>
              <w:bottom w:val="nil"/>
              <w:right w:val="nil"/>
            </w:tcBorders>
            <w:shd w:val="clear" w:color="auto" w:fill="auto"/>
            <w:noWrap/>
            <w:hideMark/>
          </w:tcPr>
          <w:p w14:paraId="1ED349D9" w14:textId="77777777" w:rsidR="008F3117" w:rsidRPr="00005453" w:rsidRDefault="008F3117" w:rsidP="008F3117">
            <w:pPr>
              <w:rPr>
                <w:color w:val="000000"/>
                <w:sz w:val="18"/>
                <w:szCs w:val="18"/>
                <w:lang w:eastAsia="tr-TR"/>
              </w:rPr>
            </w:pPr>
            <w:r w:rsidRPr="00005453">
              <w:rPr>
                <w:color w:val="000000"/>
                <w:sz w:val="18"/>
                <w:szCs w:val="18"/>
                <w:lang w:eastAsia="tr-TR"/>
              </w:rPr>
              <w:t>Diğer mali kuruluşlardan sağlanan fonlar</w:t>
            </w:r>
          </w:p>
        </w:tc>
        <w:tc>
          <w:tcPr>
            <w:tcW w:w="2340" w:type="dxa"/>
            <w:tcBorders>
              <w:top w:val="nil"/>
              <w:left w:val="nil"/>
              <w:bottom w:val="nil"/>
              <w:right w:val="nil"/>
            </w:tcBorders>
            <w:shd w:val="clear" w:color="auto" w:fill="auto"/>
            <w:noWrap/>
            <w:vAlign w:val="center"/>
            <w:hideMark/>
          </w:tcPr>
          <w:p w14:paraId="2AC4DD4E" w14:textId="5C47EB67" w:rsidR="008F3117" w:rsidRPr="00005453" w:rsidRDefault="008F3117" w:rsidP="008F3117">
            <w:pPr>
              <w:jc w:val="right"/>
              <w:rPr>
                <w:sz w:val="18"/>
                <w:szCs w:val="18"/>
              </w:rPr>
            </w:pPr>
            <w:r w:rsidRPr="00005453">
              <w:rPr>
                <w:sz w:val="18"/>
                <w:szCs w:val="18"/>
              </w:rPr>
              <w:t>136,107,271</w:t>
            </w:r>
          </w:p>
        </w:tc>
        <w:tc>
          <w:tcPr>
            <w:tcW w:w="1151" w:type="dxa"/>
            <w:tcBorders>
              <w:top w:val="nil"/>
              <w:left w:val="nil"/>
              <w:bottom w:val="nil"/>
              <w:right w:val="nil"/>
            </w:tcBorders>
            <w:shd w:val="clear" w:color="auto" w:fill="auto"/>
            <w:noWrap/>
            <w:vAlign w:val="center"/>
            <w:hideMark/>
          </w:tcPr>
          <w:p w14:paraId="5D6ABA26" w14:textId="0533875C" w:rsidR="008F3117" w:rsidRPr="00005453" w:rsidRDefault="008F3117" w:rsidP="008F3117">
            <w:pPr>
              <w:jc w:val="right"/>
              <w:rPr>
                <w:sz w:val="18"/>
                <w:szCs w:val="18"/>
              </w:rPr>
            </w:pPr>
            <w:r w:rsidRPr="00005453">
              <w:rPr>
                <w:sz w:val="18"/>
                <w:szCs w:val="18"/>
              </w:rPr>
              <w:t>90,994,911</w:t>
            </w:r>
          </w:p>
        </w:tc>
        <w:tc>
          <w:tcPr>
            <w:tcW w:w="1151" w:type="dxa"/>
            <w:tcBorders>
              <w:top w:val="nil"/>
              <w:left w:val="nil"/>
              <w:bottom w:val="nil"/>
              <w:right w:val="nil"/>
            </w:tcBorders>
            <w:shd w:val="clear" w:color="auto" w:fill="auto"/>
            <w:noWrap/>
            <w:vAlign w:val="center"/>
            <w:hideMark/>
          </w:tcPr>
          <w:p w14:paraId="62742236" w14:textId="0D8ACB37" w:rsidR="008F3117" w:rsidRPr="00005453" w:rsidRDefault="008F3117" w:rsidP="008F3117">
            <w:pPr>
              <w:jc w:val="right"/>
              <w:rPr>
                <w:sz w:val="18"/>
                <w:szCs w:val="18"/>
              </w:rPr>
            </w:pPr>
            <w:r w:rsidRPr="00005453">
              <w:rPr>
                <w:sz w:val="18"/>
                <w:szCs w:val="18"/>
              </w:rPr>
              <w:t>137,157,921</w:t>
            </w:r>
          </w:p>
        </w:tc>
        <w:tc>
          <w:tcPr>
            <w:tcW w:w="1040" w:type="dxa"/>
            <w:tcBorders>
              <w:top w:val="nil"/>
              <w:left w:val="nil"/>
              <w:bottom w:val="nil"/>
              <w:right w:val="nil"/>
            </w:tcBorders>
            <w:shd w:val="clear" w:color="auto" w:fill="auto"/>
            <w:noWrap/>
            <w:vAlign w:val="center"/>
            <w:hideMark/>
          </w:tcPr>
          <w:p w14:paraId="1C516CBA" w14:textId="47B0FB6D" w:rsidR="008F3117" w:rsidRPr="00005453" w:rsidRDefault="008F3117" w:rsidP="008F3117">
            <w:pPr>
              <w:jc w:val="right"/>
              <w:rPr>
                <w:sz w:val="18"/>
                <w:szCs w:val="18"/>
              </w:rPr>
            </w:pPr>
            <w:r w:rsidRPr="00005453">
              <w:rPr>
                <w:sz w:val="18"/>
                <w:szCs w:val="18"/>
              </w:rPr>
              <w:t>91,488,295</w:t>
            </w:r>
          </w:p>
        </w:tc>
      </w:tr>
      <w:tr w:rsidR="008F3117" w:rsidRPr="00005453" w14:paraId="73818A6E" w14:textId="77777777" w:rsidTr="00A7269C">
        <w:trPr>
          <w:trHeight w:val="64"/>
        </w:trPr>
        <w:tc>
          <w:tcPr>
            <w:tcW w:w="3897" w:type="dxa"/>
            <w:tcBorders>
              <w:top w:val="nil"/>
              <w:left w:val="nil"/>
              <w:bottom w:val="nil"/>
              <w:right w:val="nil"/>
            </w:tcBorders>
            <w:shd w:val="clear" w:color="auto" w:fill="auto"/>
            <w:noWrap/>
            <w:hideMark/>
          </w:tcPr>
          <w:p w14:paraId="6DC8D430" w14:textId="77777777" w:rsidR="008F3117" w:rsidRPr="00005453" w:rsidRDefault="008F3117" w:rsidP="008F3117">
            <w:pPr>
              <w:rPr>
                <w:color w:val="000000"/>
                <w:sz w:val="18"/>
                <w:szCs w:val="18"/>
                <w:lang w:eastAsia="tr-TR"/>
              </w:rPr>
            </w:pPr>
            <w:r w:rsidRPr="00005453">
              <w:rPr>
                <w:color w:val="000000"/>
                <w:sz w:val="18"/>
                <w:szCs w:val="18"/>
                <w:lang w:eastAsia="tr-TR"/>
              </w:rPr>
              <w:t>İhraç edilen menkul kıymetler</w:t>
            </w:r>
          </w:p>
        </w:tc>
        <w:tc>
          <w:tcPr>
            <w:tcW w:w="2340" w:type="dxa"/>
            <w:tcBorders>
              <w:top w:val="nil"/>
              <w:left w:val="nil"/>
              <w:bottom w:val="nil"/>
              <w:right w:val="nil"/>
            </w:tcBorders>
            <w:shd w:val="clear" w:color="auto" w:fill="auto"/>
            <w:noWrap/>
            <w:vAlign w:val="center"/>
            <w:hideMark/>
          </w:tcPr>
          <w:p w14:paraId="4C8136FD" w14:textId="1CE243F8" w:rsidR="008F3117" w:rsidRPr="00005453" w:rsidRDefault="008F3117" w:rsidP="008F3117">
            <w:pPr>
              <w:jc w:val="right"/>
              <w:rPr>
                <w:sz w:val="18"/>
                <w:szCs w:val="18"/>
              </w:rPr>
            </w:pPr>
            <w:r w:rsidRPr="00005453">
              <w:rPr>
                <w:sz w:val="18"/>
                <w:szCs w:val="18"/>
              </w:rPr>
              <w:t>-</w:t>
            </w:r>
          </w:p>
        </w:tc>
        <w:tc>
          <w:tcPr>
            <w:tcW w:w="1151" w:type="dxa"/>
            <w:tcBorders>
              <w:top w:val="nil"/>
              <w:left w:val="nil"/>
              <w:bottom w:val="nil"/>
              <w:right w:val="nil"/>
            </w:tcBorders>
            <w:shd w:val="clear" w:color="auto" w:fill="auto"/>
            <w:noWrap/>
            <w:vAlign w:val="center"/>
            <w:hideMark/>
          </w:tcPr>
          <w:p w14:paraId="14276400" w14:textId="3C61A833" w:rsidR="008F3117" w:rsidRPr="00005453" w:rsidRDefault="008F3117" w:rsidP="008F3117">
            <w:pPr>
              <w:jc w:val="right"/>
              <w:rPr>
                <w:sz w:val="18"/>
                <w:szCs w:val="18"/>
              </w:rPr>
            </w:pPr>
            <w:r w:rsidRPr="00005453">
              <w:rPr>
                <w:sz w:val="18"/>
                <w:szCs w:val="18"/>
              </w:rPr>
              <w:t>-</w:t>
            </w:r>
          </w:p>
        </w:tc>
        <w:tc>
          <w:tcPr>
            <w:tcW w:w="1151" w:type="dxa"/>
            <w:tcBorders>
              <w:top w:val="nil"/>
              <w:left w:val="nil"/>
              <w:bottom w:val="nil"/>
              <w:right w:val="nil"/>
            </w:tcBorders>
            <w:shd w:val="clear" w:color="auto" w:fill="auto"/>
            <w:noWrap/>
            <w:vAlign w:val="center"/>
            <w:hideMark/>
          </w:tcPr>
          <w:p w14:paraId="4634108B" w14:textId="1DF41F9F" w:rsidR="008F3117" w:rsidRPr="00005453" w:rsidRDefault="008F3117" w:rsidP="008F3117">
            <w:pPr>
              <w:jc w:val="right"/>
              <w:rPr>
                <w:sz w:val="18"/>
                <w:szCs w:val="18"/>
              </w:rPr>
            </w:pPr>
            <w:r w:rsidRPr="00005453">
              <w:rPr>
                <w:sz w:val="18"/>
                <w:szCs w:val="18"/>
              </w:rPr>
              <w:t>-</w:t>
            </w:r>
          </w:p>
        </w:tc>
        <w:tc>
          <w:tcPr>
            <w:tcW w:w="1040" w:type="dxa"/>
            <w:tcBorders>
              <w:top w:val="nil"/>
              <w:left w:val="nil"/>
              <w:bottom w:val="nil"/>
              <w:right w:val="nil"/>
            </w:tcBorders>
            <w:shd w:val="clear" w:color="auto" w:fill="auto"/>
            <w:noWrap/>
            <w:vAlign w:val="center"/>
            <w:hideMark/>
          </w:tcPr>
          <w:p w14:paraId="566B7558" w14:textId="01D621C9" w:rsidR="008F3117" w:rsidRPr="00005453" w:rsidRDefault="008F3117" w:rsidP="008F3117">
            <w:pPr>
              <w:jc w:val="right"/>
              <w:rPr>
                <w:sz w:val="18"/>
                <w:szCs w:val="18"/>
              </w:rPr>
            </w:pPr>
            <w:r w:rsidRPr="00005453">
              <w:rPr>
                <w:sz w:val="18"/>
                <w:szCs w:val="18"/>
              </w:rPr>
              <w:t>-</w:t>
            </w:r>
          </w:p>
        </w:tc>
      </w:tr>
      <w:tr w:rsidR="008F3117" w:rsidRPr="00005453" w14:paraId="6505DD0F" w14:textId="77777777" w:rsidTr="00A7269C">
        <w:trPr>
          <w:trHeight w:val="68"/>
        </w:trPr>
        <w:tc>
          <w:tcPr>
            <w:tcW w:w="3897" w:type="dxa"/>
            <w:tcBorders>
              <w:top w:val="nil"/>
              <w:left w:val="nil"/>
              <w:right w:val="nil"/>
            </w:tcBorders>
            <w:shd w:val="clear" w:color="auto" w:fill="auto"/>
            <w:noWrap/>
            <w:hideMark/>
          </w:tcPr>
          <w:p w14:paraId="4BA89984" w14:textId="77777777" w:rsidR="008F3117" w:rsidRPr="00005453" w:rsidRDefault="008F3117" w:rsidP="008F3117">
            <w:pPr>
              <w:rPr>
                <w:color w:val="000000"/>
                <w:sz w:val="18"/>
                <w:szCs w:val="18"/>
                <w:lang w:eastAsia="tr-TR"/>
              </w:rPr>
            </w:pPr>
            <w:r w:rsidRPr="00005453">
              <w:rPr>
                <w:color w:val="000000"/>
                <w:sz w:val="18"/>
                <w:szCs w:val="18"/>
                <w:lang w:eastAsia="tr-TR"/>
              </w:rPr>
              <w:t>Diğer Yükümlülükler</w:t>
            </w:r>
          </w:p>
        </w:tc>
        <w:tc>
          <w:tcPr>
            <w:tcW w:w="2340" w:type="dxa"/>
            <w:tcBorders>
              <w:top w:val="nil"/>
              <w:left w:val="nil"/>
              <w:right w:val="nil"/>
            </w:tcBorders>
            <w:shd w:val="clear" w:color="auto" w:fill="auto"/>
            <w:noWrap/>
            <w:vAlign w:val="center"/>
            <w:hideMark/>
          </w:tcPr>
          <w:p w14:paraId="1E164B06" w14:textId="4541C8D5" w:rsidR="008F3117" w:rsidRPr="00005453" w:rsidRDefault="008F3117" w:rsidP="008F3117">
            <w:pPr>
              <w:jc w:val="right"/>
              <w:rPr>
                <w:sz w:val="18"/>
                <w:szCs w:val="18"/>
              </w:rPr>
            </w:pPr>
            <w:r w:rsidRPr="00005453">
              <w:rPr>
                <w:sz w:val="18"/>
                <w:szCs w:val="18"/>
              </w:rPr>
              <w:t>13,068,929</w:t>
            </w:r>
          </w:p>
        </w:tc>
        <w:tc>
          <w:tcPr>
            <w:tcW w:w="1151" w:type="dxa"/>
            <w:tcBorders>
              <w:top w:val="nil"/>
              <w:left w:val="nil"/>
              <w:right w:val="nil"/>
            </w:tcBorders>
            <w:shd w:val="clear" w:color="auto" w:fill="auto"/>
            <w:noWrap/>
            <w:vAlign w:val="center"/>
            <w:hideMark/>
          </w:tcPr>
          <w:p w14:paraId="5848F880" w14:textId="55F2B5F3" w:rsidR="008F3117" w:rsidRPr="00005453" w:rsidRDefault="008F3117" w:rsidP="008F3117">
            <w:pPr>
              <w:jc w:val="right"/>
              <w:rPr>
                <w:sz w:val="18"/>
                <w:szCs w:val="18"/>
              </w:rPr>
            </w:pPr>
            <w:r w:rsidRPr="00005453">
              <w:rPr>
                <w:sz w:val="18"/>
                <w:szCs w:val="18"/>
              </w:rPr>
              <w:t>6,688,089</w:t>
            </w:r>
          </w:p>
        </w:tc>
        <w:tc>
          <w:tcPr>
            <w:tcW w:w="1151" w:type="dxa"/>
            <w:tcBorders>
              <w:top w:val="nil"/>
              <w:left w:val="nil"/>
              <w:right w:val="nil"/>
            </w:tcBorders>
            <w:shd w:val="clear" w:color="auto" w:fill="auto"/>
            <w:noWrap/>
            <w:vAlign w:val="center"/>
            <w:hideMark/>
          </w:tcPr>
          <w:p w14:paraId="02721FBE" w14:textId="462D2E50" w:rsidR="008F3117" w:rsidRPr="00005453" w:rsidRDefault="008F3117" w:rsidP="008F3117">
            <w:pPr>
              <w:jc w:val="right"/>
              <w:rPr>
                <w:sz w:val="18"/>
                <w:szCs w:val="18"/>
              </w:rPr>
            </w:pPr>
            <w:r w:rsidRPr="00005453">
              <w:rPr>
                <w:sz w:val="18"/>
                <w:szCs w:val="18"/>
              </w:rPr>
              <w:t>13,068,929</w:t>
            </w:r>
          </w:p>
        </w:tc>
        <w:tc>
          <w:tcPr>
            <w:tcW w:w="1040" w:type="dxa"/>
            <w:tcBorders>
              <w:top w:val="nil"/>
              <w:left w:val="nil"/>
              <w:right w:val="nil"/>
            </w:tcBorders>
            <w:shd w:val="clear" w:color="auto" w:fill="auto"/>
            <w:noWrap/>
            <w:vAlign w:val="center"/>
            <w:hideMark/>
          </w:tcPr>
          <w:p w14:paraId="6F387C4F" w14:textId="7C54016D" w:rsidR="008F3117" w:rsidRPr="00005453" w:rsidRDefault="008F3117" w:rsidP="008F3117">
            <w:pPr>
              <w:jc w:val="right"/>
              <w:rPr>
                <w:sz w:val="18"/>
                <w:szCs w:val="18"/>
              </w:rPr>
            </w:pPr>
            <w:r w:rsidRPr="00005453">
              <w:rPr>
                <w:sz w:val="18"/>
                <w:szCs w:val="18"/>
              </w:rPr>
              <w:t>6,688,089</w:t>
            </w:r>
          </w:p>
        </w:tc>
      </w:tr>
      <w:tr w:rsidR="008F3117" w:rsidRPr="00005453" w14:paraId="1A149109" w14:textId="77777777" w:rsidTr="00A7269C">
        <w:trPr>
          <w:trHeight w:val="68"/>
        </w:trPr>
        <w:tc>
          <w:tcPr>
            <w:tcW w:w="3897" w:type="dxa"/>
            <w:tcBorders>
              <w:top w:val="nil"/>
              <w:left w:val="nil"/>
              <w:bottom w:val="single" w:sz="4" w:space="0" w:color="auto"/>
              <w:right w:val="nil"/>
            </w:tcBorders>
            <w:shd w:val="clear" w:color="auto" w:fill="auto"/>
            <w:noWrap/>
            <w:hideMark/>
          </w:tcPr>
          <w:p w14:paraId="2CFE6AAF" w14:textId="77777777" w:rsidR="008F3117" w:rsidRPr="00005453" w:rsidRDefault="008F3117" w:rsidP="008F3117">
            <w:pPr>
              <w:rPr>
                <w:sz w:val="18"/>
                <w:szCs w:val="18"/>
                <w:lang w:eastAsia="tr-TR"/>
              </w:rPr>
            </w:pPr>
            <w:r w:rsidRPr="00005453">
              <w:rPr>
                <w:sz w:val="18"/>
                <w:szCs w:val="18"/>
                <w:lang w:eastAsia="tr-TR"/>
              </w:rPr>
              <w:t>Kiralama İşlemlerinden Borçlar</w:t>
            </w:r>
          </w:p>
        </w:tc>
        <w:tc>
          <w:tcPr>
            <w:tcW w:w="2340" w:type="dxa"/>
            <w:tcBorders>
              <w:top w:val="nil"/>
              <w:left w:val="nil"/>
              <w:bottom w:val="single" w:sz="4" w:space="0" w:color="auto"/>
              <w:right w:val="nil"/>
            </w:tcBorders>
            <w:shd w:val="clear" w:color="auto" w:fill="auto"/>
            <w:noWrap/>
            <w:vAlign w:val="center"/>
            <w:hideMark/>
          </w:tcPr>
          <w:p w14:paraId="374F7412" w14:textId="69514C9F" w:rsidR="008F3117" w:rsidRPr="00005453" w:rsidRDefault="008F3117" w:rsidP="008F3117">
            <w:pPr>
              <w:jc w:val="right"/>
              <w:rPr>
                <w:sz w:val="18"/>
                <w:szCs w:val="18"/>
              </w:rPr>
            </w:pPr>
            <w:r w:rsidRPr="00005453">
              <w:rPr>
                <w:sz w:val="18"/>
                <w:szCs w:val="18"/>
              </w:rPr>
              <w:t>1,466,023</w:t>
            </w:r>
          </w:p>
        </w:tc>
        <w:tc>
          <w:tcPr>
            <w:tcW w:w="1151" w:type="dxa"/>
            <w:tcBorders>
              <w:top w:val="nil"/>
              <w:left w:val="nil"/>
              <w:bottom w:val="single" w:sz="4" w:space="0" w:color="auto"/>
              <w:right w:val="nil"/>
            </w:tcBorders>
            <w:shd w:val="clear" w:color="auto" w:fill="auto"/>
            <w:noWrap/>
            <w:vAlign w:val="center"/>
            <w:hideMark/>
          </w:tcPr>
          <w:p w14:paraId="7E24AEBA" w14:textId="02CCFB3D" w:rsidR="008F3117" w:rsidRPr="00005453" w:rsidRDefault="008F3117" w:rsidP="008F3117">
            <w:pPr>
              <w:jc w:val="right"/>
              <w:rPr>
                <w:sz w:val="18"/>
                <w:szCs w:val="18"/>
              </w:rPr>
            </w:pPr>
            <w:r w:rsidRPr="00005453">
              <w:rPr>
                <w:sz w:val="18"/>
                <w:szCs w:val="18"/>
              </w:rPr>
              <w:t>883,385</w:t>
            </w:r>
          </w:p>
        </w:tc>
        <w:tc>
          <w:tcPr>
            <w:tcW w:w="1151" w:type="dxa"/>
            <w:tcBorders>
              <w:top w:val="nil"/>
              <w:left w:val="nil"/>
              <w:bottom w:val="single" w:sz="4" w:space="0" w:color="auto"/>
              <w:right w:val="nil"/>
            </w:tcBorders>
            <w:shd w:val="clear" w:color="auto" w:fill="auto"/>
            <w:noWrap/>
            <w:vAlign w:val="center"/>
            <w:hideMark/>
          </w:tcPr>
          <w:p w14:paraId="60500DC1" w14:textId="57F4F27D" w:rsidR="008F3117" w:rsidRPr="00005453" w:rsidRDefault="008F3117" w:rsidP="008F3117">
            <w:pPr>
              <w:jc w:val="right"/>
              <w:rPr>
                <w:sz w:val="18"/>
                <w:szCs w:val="18"/>
              </w:rPr>
            </w:pPr>
            <w:r w:rsidRPr="00005453">
              <w:rPr>
                <w:sz w:val="18"/>
                <w:szCs w:val="18"/>
              </w:rPr>
              <w:t>1,466,023</w:t>
            </w:r>
          </w:p>
        </w:tc>
        <w:tc>
          <w:tcPr>
            <w:tcW w:w="1040" w:type="dxa"/>
            <w:tcBorders>
              <w:top w:val="nil"/>
              <w:left w:val="nil"/>
              <w:bottom w:val="single" w:sz="4" w:space="0" w:color="auto"/>
              <w:right w:val="nil"/>
            </w:tcBorders>
            <w:shd w:val="clear" w:color="auto" w:fill="auto"/>
            <w:noWrap/>
            <w:vAlign w:val="center"/>
            <w:hideMark/>
          </w:tcPr>
          <w:p w14:paraId="7A2C8C70" w14:textId="31E98B39" w:rsidR="008F3117" w:rsidRPr="00005453" w:rsidRDefault="008F3117" w:rsidP="008F3117">
            <w:pPr>
              <w:jc w:val="right"/>
              <w:rPr>
                <w:sz w:val="18"/>
                <w:szCs w:val="18"/>
              </w:rPr>
            </w:pPr>
            <w:r w:rsidRPr="00005453">
              <w:rPr>
                <w:sz w:val="18"/>
                <w:szCs w:val="18"/>
              </w:rPr>
              <w:t>883,385</w:t>
            </w:r>
          </w:p>
        </w:tc>
      </w:tr>
      <w:bookmarkEnd w:id="48"/>
    </w:tbl>
    <w:p w14:paraId="2F256279" w14:textId="77777777" w:rsidR="00C26593" w:rsidRPr="00005453" w:rsidRDefault="00C26593" w:rsidP="00C26593">
      <w:pPr>
        <w:ind w:left="1080"/>
        <w:rPr>
          <w:b/>
          <w:sz w:val="16"/>
          <w:szCs w:val="16"/>
        </w:rPr>
      </w:pPr>
    </w:p>
    <w:p w14:paraId="483F9220" w14:textId="77777777" w:rsidR="00C26593" w:rsidRPr="00005453" w:rsidRDefault="00C26593" w:rsidP="00C26593">
      <w:pPr>
        <w:autoSpaceDE w:val="0"/>
        <w:autoSpaceDN w:val="0"/>
        <w:adjustRightInd w:val="0"/>
        <w:jc w:val="both"/>
        <w:rPr>
          <w:rFonts w:eastAsia="Arial Unicode MS"/>
          <w:b/>
          <w:spacing w:val="-2"/>
        </w:rPr>
      </w:pPr>
      <w:r w:rsidRPr="00005453">
        <w:rPr>
          <w:rFonts w:eastAsia="Arial Unicode MS"/>
          <w:spacing w:val="-2"/>
        </w:rPr>
        <w:t xml:space="preserve">Kredilerin tahmini gerçeğe uygun değeri, cari piyasa </w:t>
      </w:r>
      <w:proofErr w:type="gramStart"/>
      <w:r w:rsidRPr="00005453">
        <w:rPr>
          <w:rFonts w:eastAsia="Arial Unicode MS"/>
          <w:spacing w:val="-2"/>
        </w:rPr>
        <w:t>kar</w:t>
      </w:r>
      <w:proofErr w:type="gramEnd"/>
      <w:r w:rsidRPr="00005453">
        <w:rPr>
          <w:rFonts w:eastAsia="Arial Unicode MS"/>
          <w:spacing w:val="-2"/>
        </w:rPr>
        <w:t xml:space="preserve"> payı oranları kullanılarak iskonto edilmiş nakit akımlarının bulunmasıyla hesaplanır. Krediler, </w:t>
      </w:r>
      <w:r w:rsidRPr="00005453">
        <w:rPr>
          <w:spacing w:val="-2"/>
        </w:rPr>
        <w:t>gerçeğe uygun değer farkı diğer kapsamlı gelire yansıtılan finansal varlıklar</w:t>
      </w:r>
      <w:r w:rsidRPr="00005453">
        <w:rPr>
          <w:rFonts w:eastAsia="Arial Unicode MS"/>
          <w:spacing w:val="-2"/>
        </w:rPr>
        <w:t xml:space="preserve"> ve diğer mali kuruluşlardan sağlanan fonlar dışında kalan ve iskonto edilmiş maliyetleri ile taşınan finansal varlık ve borçların gerçeğe uygun değerinin, hem kısa vadeli yapılarından hem de üzerlerindeki </w:t>
      </w:r>
      <w:proofErr w:type="gramStart"/>
      <w:r w:rsidRPr="00005453">
        <w:rPr>
          <w:rFonts w:eastAsia="Arial Unicode MS"/>
          <w:spacing w:val="-2"/>
        </w:rPr>
        <w:t>efektif  kar</w:t>
      </w:r>
      <w:proofErr w:type="gramEnd"/>
      <w:r w:rsidRPr="00005453">
        <w:rPr>
          <w:rFonts w:eastAsia="Arial Unicode MS"/>
          <w:spacing w:val="-2"/>
        </w:rPr>
        <w:t xml:space="preserve"> oranının cari efektif piyasa oranı olmasından dolayı, taşınan maliyetine yakın olduğu belirlenmiştir.</w:t>
      </w:r>
    </w:p>
    <w:bookmarkEnd w:id="49"/>
    <w:p w14:paraId="49D5AB1E" w14:textId="77777777" w:rsidR="00C26593" w:rsidRPr="00005453" w:rsidRDefault="00C26593" w:rsidP="00C26593">
      <w:pPr>
        <w:autoSpaceDE w:val="0"/>
        <w:autoSpaceDN w:val="0"/>
        <w:adjustRightInd w:val="0"/>
        <w:rPr>
          <w:rFonts w:eastAsia="Arial Unicode MS"/>
          <w:b/>
          <w:sz w:val="16"/>
          <w:szCs w:val="16"/>
        </w:rPr>
      </w:pPr>
    </w:p>
    <w:p w14:paraId="25128168" w14:textId="0AE7CA41" w:rsidR="00C26593" w:rsidRPr="00005453" w:rsidRDefault="00C26593" w:rsidP="00C26593">
      <w:pPr>
        <w:tabs>
          <w:tab w:val="left" w:pos="709"/>
        </w:tabs>
        <w:ind w:hanging="567"/>
        <w:rPr>
          <w:rFonts w:eastAsia="Arial Unicode MS"/>
          <w:b/>
        </w:rPr>
      </w:pPr>
      <w:r w:rsidRPr="00005453">
        <w:rPr>
          <w:b/>
        </w:rPr>
        <w:t>8.</w:t>
      </w:r>
      <w:r w:rsidRPr="00005453">
        <w:rPr>
          <w:b/>
        </w:rPr>
        <w:tab/>
        <w:t>Başkaları nam ve hesabına yapılan işlemler, inanca dayalı işlemlere ilişkin açıklamalar</w:t>
      </w:r>
    </w:p>
    <w:p w14:paraId="51FB2EA6" w14:textId="77777777" w:rsidR="00C26593" w:rsidRPr="00005453" w:rsidRDefault="00C26593" w:rsidP="00C26593">
      <w:pPr>
        <w:autoSpaceDE w:val="0"/>
        <w:autoSpaceDN w:val="0"/>
        <w:adjustRightInd w:val="0"/>
        <w:spacing w:line="216" w:lineRule="auto"/>
        <w:ind w:hanging="720"/>
        <w:rPr>
          <w:b/>
          <w:sz w:val="10"/>
          <w:szCs w:val="10"/>
        </w:rPr>
      </w:pPr>
    </w:p>
    <w:p w14:paraId="164EF601" w14:textId="37EEBB61" w:rsidR="00C26593" w:rsidRPr="00005453" w:rsidRDefault="00C26593" w:rsidP="00221983">
      <w:pPr>
        <w:autoSpaceDE w:val="0"/>
        <w:autoSpaceDN w:val="0"/>
        <w:adjustRightInd w:val="0"/>
        <w:spacing w:line="216" w:lineRule="auto"/>
        <w:ind w:hanging="567"/>
        <w:jc w:val="both"/>
        <w:rPr>
          <w:color w:val="000000"/>
          <w:spacing w:val="-6"/>
        </w:rPr>
      </w:pPr>
      <w:r w:rsidRPr="00005453">
        <w:rPr>
          <w:b/>
        </w:rPr>
        <w:t xml:space="preserve">           </w:t>
      </w:r>
      <w:r w:rsidRPr="00005453">
        <w:rPr>
          <w:spacing w:val="-2"/>
        </w:rPr>
        <w:t>Banka müşterilerinin nam ve hesabına alım, satım</w:t>
      </w:r>
      <w:r w:rsidR="00B07092">
        <w:rPr>
          <w:spacing w:val="-2"/>
        </w:rPr>
        <w:t>,</w:t>
      </w:r>
      <w:r w:rsidRPr="00005453">
        <w:rPr>
          <w:spacing w:val="-2"/>
        </w:rPr>
        <w:t xml:space="preserve"> fon yönetimi hizmetleri vermemektedir. Banka inanca dayalı işlem sözleşmeleri yapmamaktadır.</w:t>
      </w:r>
    </w:p>
    <w:p w14:paraId="28ADBCF0" w14:textId="3B06168F" w:rsidR="00C26593" w:rsidRPr="00005453" w:rsidRDefault="00C26593" w:rsidP="00694C23">
      <w:pPr>
        <w:jc w:val="both"/>
        <w:rPr>
          <w:color w:val="000000"/>
          <w:spacing w:val="-6"/>
        </w:rPr>
      </w:pPr>
    </w:p>
    <w:p w14:paraId="3DE3A3F4" w14:textId="1906B625" w:rsidR="00584A8B" w:rsidRPr="00005453" w:rsidRDefault="007A1089" w:rsidP="001D6C98">
      <w:pPr>
        <w:pStyle w:val="BodyText"/>
        <w:tabs>
          <w:tab w:val="left" w:pos="709"/>
        </w:tabs>
        <w:ind w:hanging="567"/>
        <w:rPr>
          <w:b/>
        </w:rPr>
      </w:pPr>
      <w:r w:rsidRPr="00005453">
        <w:rPr>
          <w:b/>
          <w:color w:val="000000"/>
        </w:rPr>
        <w:t>9</w:t>
      </w:r>
      <w:r w:rsidR="00EE24EC" w:rsidRPr="00005453">
        <w:rPr>
          <w:b/>
          <w:color w:val="000000"/>
        </w:rPr>
        <w:t xml:space="preserve">.   </w:t>
      </w:r>
      <w:r w:rsidR="00290686" w:rsidRPr="00005453">
        <w:rPr>
          <w:b/>
          <w:color w:val="000000"/>
        </w:rPr>
        <w:t xml:space="preserve"> </w:t>
      </w:r>
      <w:r w:rsidR="00543AEA" w:rsidRPr="00005453">
        <w:rPr>
          <w:b/>
          <w:color w:val="000000"/>
        </w:rPr>
        <w:tab/>
      </w:r>
      <w:r w:rsidR="00584A8B" w:rsidRPr="00005453">
        <w:rPr>
          <w:b/>
          <w:color w:val="000000"/>
        </w:rPr>
        <w:t xml:space="preserve">Riskten </w:t>
      </w:r>
      <w:r w:rsidR="000839D8" w:rsidRPr="00005453">
        <w:rPr>
          <w:b/>
          <w:color w:val="000000"/>
        </w:rPr>
        <w:t>korunma muhasebesi uygulamalarına ilişkin açıklamalar</w:t>
      </w:r>
    </w:p>
    <w:p w14:paraId="61158CE0" w14:textId="77777777" w:rsidR="00584A8B" w:rsidRPr="00005453" w:rsidRDefault="00584A8B" w:rsidP="00584A8B">
      <w:pPr>
        <w:pStyle w:val="BodyText"/>
        <w:tabs>
          <w:tab w:val="left" w:pos="567"/>
        </w:tabs>
        <w:rPr>
          <w:b/>
          <w:sz w:val="10"/>
          <w:szCs w:val="10"/>
        </w:rPr>
      </w:pPr>
    </w:p>
    <w:p w14:paraId="3CDFFC20" w14:textId="4E711155" w:rsidR="00F20AF5" w:rsidRPr="00005453" w:rsidRDefault="00221983" w:rsidP="007D0F7A">
      <w:pPr>
        <w:pStyle w:val="BodyText"/>
        <w:tabs>
          <w:tab w:val="left" w:pos="709"/>
        </w:tabs>
      </w:pPr>
      <w:r w:rsidRPr="00005453">
        <w:t>Bulunmamaktadır</w:t>
      </w:r>
      <w:bookmarkStart w:id="51" w:name="_Hlk93391283"/>
      <w:r w:rsidR="004046D6" w:rsidRPr="00005453">
        <w:t xml:space="preserve"> (31 Aralık 202</w:t>
      </w:r>
      <w:r w:rsidR="00B3719B" w:rsidRPr="00005453">
        <w:t>3</w:t>
      </w:r>
      <w:r w:rsidR="004046D6" w:rsidRPr="00005453">
        <w:t>: Bulunmamaktadır)</w:t>
      </w:r>
      <w:r w:rsidR="00F109E7" w:rsidRPr="00005453">
        <w:t>.</w:t>
      </w:r>
    </w:p>
    <w:p w14:paraId="664F2FC6" w14:textId="77777777" w:rsidR="007D0F7A" w:rsidRPr="00005453" w:rsidRDefault="007D0F7A" w:rsidP="007D0F7A">
      <w:pPr>
        <w:pStyle w:val="BodyText"/>
        <w:tabs>
          <w:tab w:val="left" w:pos="709"/>
        </w:tabs>
        <w:rPr>
          <w:b/>
          <w:color w:val="000000"/>
        </w:rPr>
      </w:pPr>
    </w:p>
    <w:p w14:paraId="67E1DD10" w14:textId="51E798DB" w:rsidR="00C61989" w:rsidRPr="00005453" w:rsidRDefault="00C61989" w:rsidP="00C61989">
      <w:pPr>
        <w:pStyle w:val="BodyText"/>
        <w:tabs>
          <w:tab w:val="left" w:pos="709"/>
        </w:tabs>
        <w:ind w:hanging="567"/>
        <w:rPr>
          <w:b/>
        </w:rPr>
      </w:pPr>
      <w:r w:rsidRPr="00005453">
        <w:rPr>
          <w:b/>
          <w:color w:val="000000"/>
        </w:rPr>
        <w:t xml:space="preserve">10.    </w:t>
      </w:r>
      <w:r w:rsidRPr="00005453">
        <w:rPr>
          <w:b/>
          <w:color w:val="000000"/>
        </w:rPr>
        <w:tab/>
        <w:t>Risk yönetimine ilişkin açıklamalar</w:t>
      </w:r>
    </w:p>
    <w:p w14:paraId="5EEAA6EC" w14:textId="77777777" w:rsidR="00C61989" w:rsidRPr="00005453" w:rsidRDefault="00C61989" w:rsidP="00C61989">
      <w:pPr>
        <w:pStyle w:val="default0"/>
        <w:jc w:val="both"/>
        <w:rPr>
          <w:sz w:val="10"/>
          <w:szCs w:val="10"/>
        </w:rPr>
      </w:pPr>
    </w:p>
    <w:p w14:paraId="6B128C17" w14:textId="77777777" w:rsidR="00C61989" w:rsidRPr="00005453" w:rsidRDefault="00C61989" w:rsidP="00C61989">
      <w:pPr>
        <w:pStyle w:val="default0"/>
        <w:jc w:val="both"/>
        <w:rPr>
          <w:sz w:val="20"/>
          <w:szCs w:val="20"/>
        </w:rPr>
      </w:pPr>
      <w:r w:rsidRPr="00005453">
        <w:rPr>
          <w:sz w:val="20"/>
          <w:szCs w:val="20"/>
        </w:rPr>
        <w:t xml:space="preserve">Risk Yönetim Sistemi, Banka’nın maruz bulunduğu risklerin sistemli yönetilmesi amacıyla oluşturulan; Yönetim Kurulu, Denetim Komitesi, Risk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005453" w:rsidRDefault="00056354" w:rsidP="001D6C98">
      <w:pPr>
        <w:pStyle w:val="default0"/>
        <w:jc w:val="both"/>
        <w:rPr>
          <w:sz w:val="20"/>
          <w:szCs w:val="20"/>
        </w:rPr>
      </w:pPr>
    </w:p>
    <w:p w14:paraId="5C92C8BB" w14:textId="77777777" w:rsidR="007D0F7A" w:rsidRPr="00005453" w:rsidRDefault="007D0F7A" w:rsidP="00C61989">
      <w:pPr>
        <w:ind w:hanging="567"/>
        <w:jc w:val="both"/>
        <w:rPr>
          <w:b/>
          <w:color w:val="000000"/>
        </w:rPr>
        <w:sectPr w:rsidR="007D0F7A" w:rsidRPr="00005453" w:rsidSect="00557BAB">
          <w:pgSz w:w="11906" w:h="16838"/>
          <w:pgMar w:top="737" w:right="992" w:bottom="992" w:left="1440" w:header="709" w:footer="709" w:gutter="0"/>
          <w:cols w:space="708"/>
          <w:docGrid w:linePitch="360"/>
        </w:sectPr>
      </w:pPr>
    </w:p>
    <w:p w14:paraId="2EE9525A" w14:textId="5B0D0B73" w:rsidR="00C61989" w:rsidRPr="00005453" w:rsidRDefault="00C61989" w:rsidP="00C61989">
      <w:pPr>
        <w:ind w:hanging="567"/>
        <w:jc w:val="both"/>
        <w:rPr>
          <w:b/>
          <w:color w:val="000000"/>
        </w:rPr>
      </w:pPr>
      <w:bookmarkStart w:id="52" w:name="_Hlk187670695"/>
      <w:r w:rsidRPr="00005453">
        <w:rPr>
          <w:b/>
          <w:color w:val="000000"/>
        </w:rPr>
        <w:lastRenderedPageBreak/>
        <w:t xml:space="preserve">10.1. </w:t>
      </w:r>
      <w:r w:rsidR="00F20AF5" w:rsidRPr="00005453">
        <w:rPr>
          <w:b/>
          <w:color w:val="000000"/>
        </w:rPr>
        <w:tab/>
      </w:r>
      <w:r w:rsidRPr="00005453">
        <w:rPr>
          <w:b/>
          <w:color w:val="000000"/>
        </w:rPr>
        <w:t xml:space="preserve">Risk </w:t>
      </w:r>
      <w:r w:rsidR="00A6645B" w:rsidRPr="00005453">
        <w:rPr>
          <w:b/>
          <w:color w:val="000000"/>
        </w:rPr>
        <w:t>yönetimi ve risk ağırlıklı tutarlara ilişkin açıklamalar</w:t>
      </w:r>
    </w:p>
    <w:p w14:paraId="48091E10" w14:textId="77777777" w:rsidR="00C61989" w:rsidRPr="00005453" w:rsidRDefault="00C61989" w:rsidP="00C61989">
      <w:pPr>
        <w:ind w:hanging="567"/>
        <w:jc w:val="both"/>
        <w:rPr>
          <w:b/>
          <w:color w:val="000000"/>
        </w:rPr>
      </w:pPr>
    </w:p>
    <w:p w14:paraId="20D31DB6" w14:textId="41500EC4" w:rsidR="00C61989" w:rsidRPr="00005453" w:rsidRDefault="00C61989" w:rsidP="00C61989">
      <w:pPr>
        <w:ind w:hanging="567"/>
        <w:jc w:val="both"/>
        <w:rPr>
          <w:color w:val="000000"/>
        </w:rPr>
      </w:pPr>
      <w:proofErr w:type="gramStart"/>
      <w:r w:rsidRPr="00005453">
        <w:rPr>
          <w:b/>
          <w:color w:val="000000"/>
        </w:rPr>
        <w:t>10.1.1.GBA -</w:t>
      </w:r>
      <w:proofErr w:type="gramEnd"/>
      <w:r w:rsidRPr="00005453">
        <w:rPr>
          <w:b/>
          <w:color w:val="000000"/>
        </w:rPr>
        <w:t xml:space="preserve"> Banka’nın risk yönetimi yaklaşımı</w:t>
      </w:r>
    </w:p>
    <w:p w14:paraId="5E27970C" w14:textId="77777777" w:rsidR="00C61989" w:rsidRPr="00005453" w:rsidRDefault="00C61989" w:rsidP="00C61989">
      <w:pPr>
        <w:ind w:hanging="567"/>
        <w:jc w:val="both"/>
        <w:rPr>
          <w:b/>
          <w:color w:val="000000"/>
        </w:rPr>
      </w:pPr>
    </w:p>
    <w:p w14:paraId="2FDA8F96" w14:textId="77777777" w:rsidR="00C61989" w:rsidRPr="00005453" w:rsidRDefault="00C61989" w:rsidP="00C61989">
      <w:pPr>
        <w:jc w:val="both"/>
        <w:rPr>
          <w:color w:val="000000"/>
        </w:rPr>
      </w:pPr>
      <w:r w:rsidRPr="00005453">
        <w:rPr>
          <w:color w:val="000000"/>
        </w:rPr>
        <w:t>İş modelinin Banka risk profilini nasıl belirlediği ve onunla ne şekilde etkileşim içerisinde olduğu (örneğin iş modeliyle ilişkili anahtar riskler ve bu risklerin her birinin açıklamalara ne şekilde yansıdığı) ve Banka’nın risk profilinin yönetim kurulu tarafından onaylanan risk iştahı ile nasıl etkileşim içerisinde olduğu;</w:t>
      </w:r>
    </w:p>
    <w:p w14:paraId="6EC33A5E" w14:textId="77777777" w:rsidR="00C61989" w:rsidRPr="00005453" w:rsidRDefault="00C61989" w:rsidP="00C61989">
      <w:pPr>
        <w:spacing w:before="240"/>
        <w:jc w:val="both"/>
        <w:rPr>
          <w:color w:val="000000"/>
        </w:rPr>
      </w:pPr>
      <w:r w:rsidRPr="00005453">
        <w:rPr>
          <w:color w:val="000000"/>
        </w:rPr>
        <w:t xml:space="preserve">Kuveyt Türk’ün iş modeli esas olarak iki ana faaliyet alanından oluşmaktadır. Bu ana alanlar, faizsiz bankacılık kuralları içerisinde cari hesaplar ve kar/zarar katılma hesapları yoluyla fon toplamak ve bu fonlar ve özkaynakları vasıtasıyla müşterilerine fon kullandırmaktır. </w:t>
      </w:r>
      <w:r w:rsidRPr="00005453">
        <w:t xml:space="preserve">Banka’nın iş modeli, Banka’nın bazı önemli risklere maruz kalması sonucunu doğurmaktadır. Bu önemli riskler, Banka’nın İçsel Sermaye Yeterliliği Değerlendirme Süreci’nde değerlendirilmekte ve belirlenmektedir. Banka’nın tüm önemli risk türleri için risk stratejisi yazılı olarak oluşturulmuştur. </w:t>
      </w:r>
      <w:r w:rsidRPr="00005453">
        <w:rPr>
          <w:color w:val="000000"/>
        </w:rPr>
        <w:t xml:space="preserve">Bankalar, 11 Temmuz 2014 tarihli ve 29057 sayılı </w:t>
      </w:r>
      <w:proofErr w:type="gramStart"/>
      <w:r w:rsidRPr="00005453">
        <w:rPr>
          <w:color w:val="000000"/>
        </w:rPr>
        <w:t>Resmi</w:t>
      </w:r>
      <w:proofErr w:type="gramEnd"/>
      <w:r w:rsidRPr="00005453">
        <w:rPr>
          <w:color w:val="000000"/>
        </w:rPr>
        <w:t xml:space="preserve"> Gazete’de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teminen, Risk Yönetimi Başkanlığı tarafından Risk İştahı Politikası yayınlanmış ve Yönetim Kurulunca onaylanmıştır. </w:t>
      </w:r>
      <w:r w:rsidRPr="00005453">
        <w:t>Banka’nın Risk İştahı Politikası uyarınca, risk kapasitesi göz önünde bulundurarak Banka’nın hedef ve stratejilerini gerçekleştirmek için toplu olarak ve önemli gördüğü her bir risk türü itibarıyla taşımak istediği risk düzeyi ve risk limitleri belirlenmiştir. Banka’nın risk stratejisi ve risk limitleri Yönetim Kurulu tarafından belirlenmektedir.</w:t>
      </w:r>
      <w:r w:rsidRPr="00005453">
        <w:rPr>
          <w:color w:val="000000"/>
        </w:rPr>
        <w:t xml:space="preserve"> </w:t>
      </w:r>
    </w:p>
    <w:p w14:paraId="52A30FEC" w14:textId="77777777" w:rsidR="00C61989" w:rsidRPr="00005453" w:rsidRDefault="00C61989" w:rsidP="00C61989">
      <w:pPr>
        <w:spacing w:before="240"/>
        <w:jc w:val="both"/>
        <w:rPr>
          <w:color w:val="000000"/>
          <w:sz w:val="4"/>
        </w:rPr>
      </w:pPr>
    </w:p>
    <w:p w14:paraId="54A6C09A" w14:textId="375353C3" w:rsidR="00C61989" w:rsidRPr="00005453" w:rsidRDefault="00C61989" w:rsidP="00C61989">
      <w:pPr>
        <w:jc w:val="both"/>
        <w:rPr>
          <w:color w:val="000000"/>
        </w:rPr>
      </w:pPr>
      <w:r w:rsidRPr="00005453">
        <w:rPr>
          <w:color w:val="000000"/>
        </w:rPr>
        <w:t>Risk ölçüm ve yönetim işlemlerini ifa eden birimler, icracı birimlerden bağımsız olarak faaliyet göstermektedir. Temel olarak kredi, piyasa, likidite, operasyonel ve diğer önemli risk sınıflarına yönelik kontrol ve yönetim faaliyetleri gerçekleşmektedir. Risk Yönetimi Başkanlığı, iş modeli kaynaklı olarak Banka’nın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operasyonel, likidite ve diğer önemli risk türleri için risk yönetimi faaliyetlerini yürütmekte ve Banka’nın sermaye planlaması çalışmalarını koordine etmektedir.</w:t>
      </w:r>
    </w:p>
    <w:p w14:paraId="12C14286" w14:textId="77777777" w:rsidR="00F20AF5" w:rsidRPr="00005453" w:rsidRDefault="00F20AF5" w:rsidP="00C61989">
      <w:pPr>
        <w:jc w:val="both"/>
        <w:rPr>
          <w:color w:val="000000"/>
        </w:rPr>
      </w:pPr>
    </w:p>
    <w:p w14:paraId="1C37B50E" w14:textId="77777777" w:rsidR="00C61989" w:rsidRPr="00005453" w:rsidRDefault="00C61989" w:rsidP="00C61989">
      <w:pPr>
        <w:jc w:val="both"/>
        <w:rPr>
          <w:color w:val="000000"/>
        </w:rPr>
      </w:pPr>
      <w:r w:rsidRPr="00005453">
        <w:rPr>
          <w:color w:val="000000"/>
        </w:rPr>
        <w:t xml:space="preserve">Banka,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arttırmayı ve böylece sürdürülebilir bir büyümeyi hedeflemektedir. Banka’nın mevcut ve hedeflediği iş modeli çerçevesinde maruz kaldığı ve kalmayı beklediği en büyük risk türü kredi riskidir. Banka’nın kredi riski kapsamında önemli riskleri olarak belirlenen riskler aşağıda belirtilmiştir. </w:t>
      </w:r>
    </w:p>
    <w:p w14:paraId="20299D26" w14:textId="77777777" w:rsidR="00C61989" w:rsidRPr="00005453" w:rsidRDefault="00C61989" w:rsidP="00C61989">
      <w:pPr>
        <w:jc w:val="both"/>
        <w:rPr>
          <w:color w:val="000000"/>
        </w:rPr>
      </w:pPr>
    </w:p>
    <w:p w14:paraId="777E8415" w14:textId="77777777" w:rsidR="00C61989" w:rsidRPr="00005453" w:rsidRDefault="00C61989" w:rsidP="00C61989">
      <w:pPr>
        <w:pStyle w:val="ListParagraph"/>
        <w:numPr>
          <w:ilvl w:val="0"/>
          <w:numId w:val="16"/>
        </w:numPr>
        <w:jc w:val="both"/>
        <w:rPr>
          <w:color w:val="000000"/>
        </w:rPr>
      </w:pPr>
      <w:r w:rsidRPr="00005453">
        <w:rPr>
          <w:color w:val="000000"/>
        </w:rPr>
        <w:t xml:space="preserve">Kredi Riski, kredi müşterisinin yapılan sözleşme gereklerine uymayarak yükümlülüğünü kısmen veya tamamen zamanında yerine getirememesi nedeniyle Banka’nın maruz kalabileceği zarar olasılığını ifade eder. </w:t>
      </w:r>
    </w:p>
    <w:p w14:paraId="4B9E0C32" w14:textId="77777777" w:rsidR="00C61989" w:rsidRPr="00005453" w:rsidRDefault="00C61989" w:rsidP="00C61989">
      <w:pPr>
        <w:pStyle w:val="ListParagraph"/>
        <w:numPr>
          <w:ilvl w:val="0"/>
          <w:numId w:val="16"/>
        </w:numPr>
        <w:jc w:val="both"/>
        <w:rPr>
          <w:color w:val="000000"/>
        </w:rPr>
      </w:pPr>
      <w:r w:rsidRPr="00005453">
        <w:rPr>
          <w:color w:val="000000"/>
        </w:rPr>
        <w:t xml:space="preserve">Karşı Taraf Kredi Riski, iki tarafa da yükümlülük getiren bir işlemin muhatabı olan karşı tarafın, bu işlemin nakit akışında yer alan son ödemeden önce temerrüde düşme riskine tekabül eder. </w:t>
      </w:r>
    </w:p>
    <w:p w14:paraId="0946A9AB" w14:textId="77777777" w:rsidR="00C61989" w:rsidRPr="00005453" w:rsidRDefault="00C61989" w:rsidP="00C61989">
      <w:pPr>
        <w:pStyle w:val="ListParagraph"/>
        <w:numPr>
          <w:ilvl w:val="0"/>
          <w:numId w:val="16"/>
        </w:numPr>
        <w:spacing w:after="240"/>
        <w:jc w:val="both"/>
        <w:rPr>
          <w:color w:val="000000"/>
        </w:rPr>
      </w:pPr>
      <w:r w:rsidRPr="00005453">
        <w:rPr>
          <w:color w:val="000000"/>
        </w:rPr>
        <w:t>Yoğunlaşma Riski, farklı risk türleri arasında veya münferit risk bazında, Banka’nın temel faaliyetlerini sürdürebilme yeteneğini veya mali bünyesini tehdit edebilecek ya da Banka’nın risk profilinde önemli değişiklik yapabilecek düzeyde büyük kayıplar doğurabilecek yoğunlaşmadan kaynaklanan riskleri kapsar.</w:t>
      </w:r>
    </w:p>
    <w:p w14:paraId="76E7ADE1" w14:textId="1B21CAA0" w:rsidR="00F20AF5" w:rsidRPr="00005453" w:rsidRDefault="00F20AF5">
      <w:r w:rsidRPr="00005453">
        <w:br w:type="page"/>
      </w:r>
    </w:p>
    <w:p w14:paraId="062BA66C" w14:textId="77777777" w:rsidR="007D0F7A" w:rsidRPr="00005453" w:rsidRDefault="007D0F7A" w:rsidP="00C61989">
      <w:pPr>
        <w:spacing w:before="120" w:after="120"/>
        <w:jc w:val="both"/>
        <w:sectPr w:rsidR="007D0F7A" w:rsidRPr="00005453" w:rsidSect="00557BAB">
          <w:pgSz w:w="11906" w:h="16838"/>
          <w:pgMar w:top="737" w:right="992" w:bottom="992" w:left="1440" w:header="709" w:footer="709" w:gutter="0"/>
          <w:cols w:space="708"/>
          <w:docGrid w:linePitch="360"/>
        </w:sectPr>
      </w:pPr>
    </w:p>
    <w:p w14:paraId="310689C0" w14:textId="77777777" w:rsidR="00C61989" w:rsidRPr="00005453" w:rsidRDefault="00C61989" w:rsidP="00C61989">
      <w:pPr>
        <w:spacing w:before="120" w:after="120"/>
        <w:jc w:val="both"/>
      </w:pPr>
      <w:r w:rsidRPr="00005453">
        <w:lastRenderedPageBreak/>
        <w:t>Banka, gerçekleştirdiği hazine işlemleri ve diğer finansal faaliyetleri nedeniyle piyasa riskine maruz kalmaktadır. Ancak Banka risk iştahına paralel şekilde, piyasa riski doğuran varlıklarının yüksek kredi derecelendirme notuna ve likiditeye sahip olmasına özen göstermekte, kur riskinden korunmak amacıyla spekülatif döviz pozisyonu taşımamaktadır.</w:t>
      </w:r>
    </w:p>
    <w:p w14:paraId="62DF4BB6" w14:textId="77777777" w:rsidR="00C61989" w:rsidRPr="00005453" w:rsidRDefault="00C61989" w:rsidP="00C61989">
      <w:pPr>
        <w:spacing w:before="120" w:after="120"/>
        <w:jc w:val="both"/>
      </w:pPr>
      <w:r w:rsidRPr="00005453">
        <w:t>Banka gerçekleştirdiği faaliyetler, yürütülen süreçler, insan kaynağı, sistemler ve dış kaynaklar nedeniyle operasyonel riske maruz kalmaktadır. Bankadaki operasyonel riskler; risklerin tanımlanması, değerlendirilmesi, izlenmesi ve azaltılması/kontrol edilmesi unsurları çerçevesinde Yönetim Kurulu gözetiminde yönetilmektedir.  Mevcut risk yönetiminin, riskin seviyesi ve önem derecesi dikkate alınarak Banka’nın büyüklüğü ile uyumlu olmasına dikkat edilmektedir.</w:t>
      </w:r>
    </w:p>
    <w:p w14:paraId="2B687177" w14:textId="77777777" w:rsidR="00C61989" w:rsidRPr="00005453" w:rsidRDefault="00C61989" w:rsidP="00C61989">
      <w:pPr>
        <w:jc w:val="both"/>
        <w:rPr>
          <w:color w:val="000000"/>
        </w:rPr>
      </w:pPr>
      <w:r w:rsidRPr="00005453">
        <w:rPr>
          <w:color w:val="000000"/>
        </w:rPr>
        <w:t>Yönetim kuruluna ve üst yönetime sağlanan risk raporlama süreçleri hakkında açıklamalar, özellikle raporlamanın kapsamı ve ana içeriği,</w:t>
      </w:r>
    </w:p>
    <w:p w14:paraId="60D5AEBB" w14:textId="77777777" w:rsidR="00C61989" w:rsidRPr="00005453" w:rsidRDefault="00C61989" w:rsidP="00C61989">
      <w:pPr>
        <w:jc w:val="both"/>
        <w:rPr>
          <w:color w:val="000000"/>
        </w:rPr>
      </w:pPr>
    </w:p>
    <w:p w14:paraId="009D273C" w14:textId="77777777" w:rsidR="00C61989" w:rsidRPr="00005453" w:rsidRDefault="00C61989" w:rsidP="00C61989">
      <w:pPr>
        <w:jc w:val="both"/>
        <w:rPr>
          <w:b/>
        </w:rPr>
      </w:pPr>
      <w:r w:rsidRPr="00005453">
        <w:t>Risk yönetimi faaliyetleri kapsamında maruz kalınan riskler ile Banka’nın dahil olduğu risk grubu ile gerçekleştirilen işlemlerden kaynaklanan risklerin; zamanında ve kapsamlı olarak raporlanması Risk Yönetimi Başkanlığı tarafından yürütülmektedir. Banka, kullandığı risk ölçüm modellerinden düzenli raporlar üretmekte ve raporları analiz etmektedir. Risk ölçümü ve risk izleme sonuçlarının Yönetim Kuruluna veya Risk Komitesine ve üst düzey yönetime düzenli ve zamanında raporlanması Risk Yönetimi Başkanlığı tarafından gerçekleştirilmektedir.</w:t>
      </w:r>
      <w:r w:rsidRPr="00005453">
        <w:rPr>
          <w:b/>
        </w:rPr>
        <w:t xml:space="preserve"> </w:t>
      </w:r>
    </w:p>
    <w:p w14:paraId="27F6E078" w14:textId="77777777" w:rsidR="00C61989" w:rsidRPr="00005453" w:rsidRDefault="00C61989" w:rsidP="00C61989">
      <w:pPr>
        <w:jc w:val="both"/>
        <w:rPr>
          <w:b/>
        </w:rPr>
      </w:pPr>
    </w:p>
    <w:p w14:paraId="450E33DC" w14:textId="77777777" w:rsidR="00C61989" w:rsidRPr="00005453" w:rsidRDefault="00C61989" w:rsidP="00C61989">
      <w:pPr>
        <w:jc w:val="both"/>
      </w:pPr>
      <w:r w:rsidRPr="00005453">
        <w:t xml:space="preserve">Hazırlanan raporlar önemli risklerin seviyesi ve gelişimi ile bunların sermaye ihtiyacı üzerindeki etkilerini, risk ölçüm ve değerlendirme sistemlerinde kullanılan varsayımların uygunluğunu, Banka’nın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005453">
        <w:rPr>
          <w:color w:val="000000"/>
        </w:rPr>
        <w:t>aktif ve teminat kalitesi ile yoğunlaşma riskine ilişkin analizleri,</w:t>
      </w:r>
      <w:r w:rsidRPr="00005453">
        <w:t xml:space="preserve"> destek hizmetlerine ilişkin risk değerlendirmeleri, iş sürekliliği planları, vb. bilgileri içermektedir.</w:t>
      </w:r>
    </w:p>
    <w:p w14:paraId="4CE86337" w14:textId="77777777" w:rsidR="00C61989" w:rsidRPr="00005453" w:rsidRDefault="00C61989" w:rsidP="00C61989">
      <w:pPr>
        <w:jc w:val="both"/>
      </w:pPr>
    </w:p>
    <w:p w14:paraId="0A330083" w14:textId="77777777" w:rsidR="00C61989" w:rsidRPr="00005453" w:rsidRDefault="00C61989" w:rsidP="00C61989">
      <w:pPr>
        <w:jc w:val="both"/>
      </w:pPr>
      <w:r w:rsidRPr="00005453">
        <w:t xml:space="preserve">Banka, İSEDES kapsamında yapılan risk ölçümü, sermaye ve likidite planlaması ile risk yönetim kabiliyetlerine ilişkin değerlendirmeyi içeren bir raporu yılda asgari bir kez ve her </w:t>
      </w:r>
      <w:proofErr w:type="gramStart"/>
      <w:r w:rsidRPr="00005453">
        <w:t>halükarda</w:t>
      </w:r>
      <w:proofErr w:type="gramEnd"/>
      <w:r w:rsidRPr="00005453">
        <w:t xml:space="preserve"> yıl sonları itibarıyla düzenlemektedir.</w:t>
      </w:r>
      <w:bookmarkEnd w:id="52"/>
    </w:p>
    <w:bookmarkEnd w:id="51"/>
    <w:p w14:paraId="40A86C0C" w14:textId="77777777" w:rsidR="00106782" w:rsidRPr="00005453" w:rsidRDefault="00106782" w:rsidP="00693EBE">
      <w:pPr>
        <w:jc w:val="both"/>
        <w:rPr>
          <w:b/>
          <w:color w:val="000000"/>
          <w:sz w:val="16"/>
        </w:rPr>
      </w:pPr>
    </w:p>
    <w:p w14:paraId="75C97D0E" w14:textId="4719E7B1" w:rsidR="00693EBE" w:rsidRPr="00005453" w:rsidRDefault="00693EBE" w:rsidP="00056354">
      <w:pPr>
        <w:ind w:hanging="567"/>
        <w:jc w:val="both"/>
        <w:rPr>
          <w:b/>
          <w:color w:val="000000"/>
          <w:sz w:val="8"/>
        </w:rPr>
      </w:pPr>
    </w:p>
    <w:p w14:paraId="335D623E" w14:textId="2C7E6735" w:rsidR="00056354" w:rsidRPr="00005453" w:rsidRDefault="007A1089" w:rsidP="00056354">
      <w:pPr>
        <w:ind w:hanging="567"/>
        <w:jc w:val="both"/>
        <w:rPr>
          <w:b/>
          <w:color w:val="000000"/>
        </w:rPr>
      </w:pPr>
      <w:proofErr w:type="gramStart"/>
      <w:r w:rsidRPr="00005453">
        <w:rPr>
          <w:b/>
          <w:color w:val="000000"/>
        </w:rPr>
        <w:t>10</w:t>
      </w:r>
      <w:r w:rsidR="00056354" w:rsidRPr="00005453">
        <w:rPr>
          <w:b/>
          <w:color w:val="000000"/>
        </w:rPr>
        <w:t>.1.</w:t>
      </w:r>
      <w:r w:rsidR="00693EBE" w:rsidRPr="00005453">
        <w:rPr>
          <w:b/>
          <w:color w:val="000000"/>
        </w:rPr>
        <w:t>2</w:t>
      </w:r>
      <w:r w:rsidR="00056354" w:rsidRPr="00005453">
        <w:rPr>
          <w:b/>
          <w:color w:val="000000"/>
        </w:rPr>
        <w:t xml:space="preserve">.  </w:t>
      </w:r>
      <w:r w:rsidR="00693EBE" w:rsidRPr="00005453">
        <w:rPr>
          <w:b/>
          <w:color w:val="000000"/>
        </w:rPr>
        <w:t>GB</w:t>
      </w:r>
      <w:proofErr w:type="gramEnd"/>
      <w:r w:rsidR="00693EBE" w:rsidRPr="00005453">
        <w:rPr>
          <w:b/>
          <w:color w:val="000000"/>
        </w:rPr>
        <w:t xml:space="preserve">1 - </w:t>
      </w:r>
      <w:r w:rsidR="00056354" w:rsidRPr="00005453">
        <w:rPr>
          <w:b/>
          <w:color w:val="000000"/>
        </w:rPr>
        <w:t>Risk ağırlıklı tutarlara genel bakış</w:t>
      </w:r>
    </w:p>
    <w:p w14:paraId="0526BC2D" w14:textId="498E9076" w:rsidR="00FF1786" w:rsidRPr="00005453" w:rsidRDefault="00FF1786" w:rsidP="00F35F4E">
      <w:pPr>
        <w:pStyle w:val="BodyText"/>
        <w:tabs>
          <w:tab w:val="left" w:pos="709"/>
        </w:tabs>
        <w:rPr>
          <w:lang w:eastAsia="en-GB"/>
        </w:rPr>
      </w:pPr>
    </w:p>
    <w:tbl>
      <w:tblPr>
        <w:tblW w:w="9856" w:type="dxa"/>
        <w:tblCellMar>
          <w:left w:w="70" w:type="dxa"/>
          <w:right w:w="70" w:type="dxa"/>
        </w:tblCellMar>
        <w:tblLook w:val="04A0" w:firstRow="1" w:lastRow="0" w:firstColumn="1" w:lastColumn="0" w:noHBand="0" w:noVBand="1"/>
      </w:tblPr>
      <w:tblGrid>
        <w:gridCol w:w="332"/>
        <w:gridCol w:w="5895"/>
        <w:gridCol w:w="998"/>
        <w:gridCol w:w="1272"/>
        <w:gridCol w:w="1359"/>
      </w:tblGrid>
      <w:tr w:rsidR="00FF1786" w:rsidRPr="00005453" w14:paraId="6DBE2256" w14:textId="77777777" w:rsidTr="001056F1">
        <w:trPr>
          <w:divId w:val="471945713"/>
          <w:trHeight w:val="182"/>
        </w:trPr>
        <w:tc>
          <w:tcPr>
            <w:tcW w:w="332" w:type="dxa"/>
            <w:vMerge w:val="restart"/>
            <w:tcBorders>
              <w:top w:val="single" w:sz="4" w:space="0" w:color="auto"/>
              <w:left w:val="single" w:sz="4" w:space="0" w:color="auto"/>
              <w:bottom w:val="single" w:sz="4" w:space="0" w:color="auto"/>
              <w:right w:val="nil"/>
            </w:tcBorders>
            <w:shd w:val="clear" w:color="auto" w:fill="auto"/>
            <w:vAlign w:val="center"/>
            <w:hideMark/>
          </w:tcPr>
          <w:p w14:paraId="1B9FD777" w14:textId="2503281E" w:rsidR="00FF1786" w:rsidRPr="00005453" w:rsidRDefault="00FF1786" w:rsidP="00FF1786">
            <w:pPr>
              <w:jc w:val="both"/>
              <w:rPr>
                <w:color w:val="404040"/>
                <w:sz w:val="16"/>
                <w:szCs w:val="16"/>
                <w:lang w:eastAsia="tr-TR"/>
              </w:rPr>
            </w:pPr>
            <w:r w:rsidRPr="00005453">
              <w:rPr>
                <w:color w:val="404040"/>
                <w:sz w:val="16"/>
                <w:szCs w:val="16"/>
                <w:lang w:eastAsia="tr-TR"/>
              </w:rPr>
              <w:t> </w:t>
            </w:r>
          </w:p>
        </w:tc>
        <w:tc>
          <w:tcPr>
            <w:tcW w:w="5895" w:type="dxa"/>
            <w:vMerge w:val="restart"/>
            <w:tcBorders>
              <w:top w:val="single" w:sz="4" w:space="0" w:color="auto"/>
              <w:left w:val="nil"/>
              <w:bottom w:val="single" w:sz="4" w:space="0" w:color="auto"/>
              <w:right w:val="single" w:sz="4" w:space="0" w:color="auto"/>
            </w:tcBorders>
            <w:shd w:val="clear" w:color="auto" w:fill="auto"/>
            <w:vAlign w:val="center"/>
            <w:hideMark/>
          </w:tcPr>
          <w:p w14:paraId="5E19B40A" w14:textId="77777777" w:rsidR="00FF1786" w:rsidRPr="00005453" w:rsidRDefault="00FF1786" w:rsidP="00FF1786">
            <w:pPr>
              <w:jc w:val="both"/>
              <w:rPr>
                <w:sz w:val="16"/>
                <w:szCs w:val="16"/>
                <w:lang w:eastAsia="tr-TR"/>
              </w:rPr>
            </w:pPr>
            <w:r w:rsidRPr="00005453">
              <w:rPr>
                <w:sz w:val="16"/>
                <w:szCs w:val="16"/>
                <w:lang w:eastAsia="tr-TR"/>
              </w:rPr>
              <w:t> </w:t>
            </w:r>
          </w:p>
        </w:tc>
        <w:tc>
          <w:tcPr>
            <w:tcW w:w="2270" w:type="dxa"/>
            <w:gridSpan w:val="2"/>
            <w:tcBorders>
              <w:top w:val="single" w:sz="4" w:space="0" w:color="auto"/>
              <w:left w:val="nil"/>
              <w:bottom w:val="single" w:sz="4" w:space="0" w:color="auto"/>
              <w:right w:val="single" w:sz="4" w:space="0" w:color="000000"/>
            </w:tcBorders>
            <w:shd w:val="clear" w:color="auto" w:fill="auto"/>
            <w:vAlign w:val="bottom"/>
            <w:hideMark/>
          </w:tcPr>
          <w:p w14:paraId="1B1CCC3C" w14:textId="77777777" w:rsidR="00FF1786" w:rsidRPr="00005453" w:rsidRDefault="00FF1786" w:rsidP="00FF1786">
            <w:pPr>
              <w:jc w:val="center"/>
              <w:rPr>
                <w:b/>
                <w:bCs/>
                <w:sz w:val="16"/>
                <w:szCs w:val="16"/>
                <w:lang w:eastAsia="tr-TR"/>
              </w:rPr>
            </w:pPr>
            <w:r w:rsidRPr="00005453">
              <w:rPr>
                <w:b/>
                <w:bCs/>
                <w:sz w:val="16"/>
                <w:szCs w:val="16"/>
                <w:lang w:eastAsia="tr-TR"/>
              </w:rPr>
              <w:t xml:space="preserve">Risk Ağırlıklı </w:t>
            </w:r>
          </w:p>
        </w:tc>
        <w:tc>
          <w:tcPr>
            <w:tcW w:w="1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AD3E327" w14:textId="77777777" w:rsidR="00FF1786" w:rsidRPr="00005453" w:rsidRDefault="00FF1786" w:rsidP="00FF1786">
            <w:pPr>
              <w:jc w:val="center"/>
              <w:rPr>
                <w:b/>
                <w:bCs/>
                <w:sz w:val="16"/>
                <w:szCs w:val="16"/>
                <w:lang w:eastAsia="tr-TR"/>
              </w:rPr>
            </w:pPr>
            <w:r w:rsidRPr="00005453">
              <w:rPr>
                <w:b/>
                <w:bCs/>
                <w:sz w:val="16"/>
                <w:szCs w:val="16"/>
                <w:lang w:eastAsia="tr-TR"/>
              </w:rPr>
              <w:t>Asgari Sermaye Yükümlülüğü</w:t>
            </w:r>
          </w:p>
        </w:tc>
      </w:tr>
      <w:tr w:rsidR="00FF1786" w:rsidRPr="00005453" w14:paraId="55A07162" w14:textId="77777777" w:rsidTr="001056F1">
        <w:trPr>
          <w:divId w:val="471945713"/>
          <w:trHeight w:val="182"/>
        </w:trPr>
        <w:tc>
          <w:tcPr>
            <w:tcW w:w="332" w:type="dxa"/>
            <w:vMerge/>
            <w:tcBorders>
              <w:top w:val="single" w:sz="4" w:space="0" w:color="auto"/>
              <w:left w:val="single" w:sz="4" w:space="0" w:color="auto"/>
              <w:bottom w:val="single" w:sz="4" w:space="0" w:color="auto"/>
              <w:right w:val="nil"/>
            </w:tcBorders>
            <w:vAlign w:val="center"/>
            <w:hideMark/>
          </w:tcPr>
          <w:p w14:paraId="32382EE9" w14:textId="77777777" w:rsidR="00FF1786" w:rsidRPr="00005453" w:rsidRDefault="00FF1786" w:rsidP="00FF1786">
            <w:pPr>
              <w:rPr>
                <w:color w:val="404040"/>
                <w:sz w:val="16"/>
                <w:szCs w:val="16"/>
                <w:lang w:eastAsia="tr-TR"/>
              </w:rPr>
            </w:pPr>
          </w:p>
        </w:tc>
        <w:tc>
          <w:tcPr>
            <w:tcW w:w="5895" w:type="dxa"/>
            <w:vMerge/>
            <w:tcBorders>
              <w:top w:val="single" w:sz="4" w:space="0" w:color="auto"/>
              <w:left w:val="nil"/>
              <w:bottom w:val="single" w:sz="4" w:space="0" w:color="auto"/>
              <w:right w:val="single" w:sz="4" w:space="0" w:color="auto"/>
            </w:tcBorders>
            <w:vAlign w:val="center"/>
            <w:hideMark/>
          </w:tcPr>
          <w:p w14:paraId="306C6940" w14:textId="77777777" w:rsidR="00FF1786" w:rsidRPr="00005453" w:rsidRDefault="00FF1786" w:rsidP="00FF1786">
            <w:pPr>
              <w:rPr>
                <w:sz w:val="16"/>
                <w:szCs w:val="16"/>
                <w:lang w:eastAsia="tr-TR"/>
              </w:rPr>
            </w:pPr>
          </w:p>
        </w:tc>
        <w:tc>
          <w:tcPr>
            <w:tcW w:w="2270" w:type="dxa"/>
            <w:gridSpan w:val="2"/>
            <w:tcBorders>
              <w:top w:val="single" w:sz="4" w:space="0" w:color="auto"/>
              <w:left w:val="nil"/>
              <w:bottom w:val="single" w:sz="4" w:space="0" w:color="auto"/>
              <w:right w:val="single" w:sz="4" w:space="0" w:color="000000"/>
            </w:tcBorders>
            <w:shd w:val="clear" w:color="auto" w:fill="auto"/>
            <w:vAlign w:val="bottom"/>
            <w:hideMark/>
          </w:tcPr>
          <w:p w14:paraId="4A0E9677" w14:textId="77777777" w:rsidR="00FF1786" w:rsidRPr="00005453" w:rsidRDefault="00FF1786" w:rsidP="00FF1786">
            <w:pPr>
              <w:jc w:val="center"/>
              <w:rPr>
                <w:b/>
                <w:bCs/>
                <w:sz w:val="16"/>
                <w:szCs w:val="16"/>
                <w:lang w:eastAsia="tr-TR"/>
              </w:rPr>
            </w:pPr>
            <w:r w:rsidRPr="00005453">
              <w:rPr>
                <w:b/>
                <w:bCs/>
                <w:sz w:val="16"/>
                <w:szCs w:val="16"/>
                <w:lang w:eastAsia="tr-TR"/>
              </w:rPr>
              <w:t>Tutarlar</w:t>
            </w:r>
          </w:p>
        </w:tc>
        <w:tc>
          <w:tcPr>
            <w:tcW w:w="1359" w:type="dxa"/>
            <w:vMerge/>
            <w:tcBorders>
              <w:top w:val="single" w:sz="4" w:space="0" w:color="auto"/>
              <w:left w:val="single" w:sz="4" w:space="0" w:color="auto"/>
              <w:bottom w:val="single" w:sz="4" w:space="0" w:color="auto"/>
              <w:right w:val="single" w:sz="4" w:space="0" w:color="auto"/>
            </w:tcBorders>
            <w:vAlign w:val="center"/>
            <w:hideMark/>
          </w:tcPr>
          <w:p w14:paraId="2CAF2162" w14:textId="77777777" w:rsidR="00FF1786" w:rsidRPr="00005453" w:rsidRDefault="00FF1786" w:rsidP="00FF1786">
            <w:pPr>
              <w:rPr>
                <w:b/>
                <w:bCs/>
                <w:sz w:val="16"/>
                <w:szCs w:val="16"/>
                <w:lang w:eastAsia="tr-TR"/>
              </w:rPr>
            </w:pPr>
          </w:p>
        </w:tc>
      </w:tr>
      <w:tr w:rsidR="00FF1786" w:rsidRPr="00005453" w14:paraId="40AA0DF4" w14:textId="77777777" w:rsidTr="000E5F12">
        <w:trPr>
          <w:divId w:val="471945713"/>
          <w:trHeight w:val="402"/>
        </w:trPr>
        <w:tc>
          <w:tcPr>
            <w:tcW w:w="332" w:type="dxa"/>
            <w:tcBorders>
              <w:top w:val="single" w:sz="4" w:space="0" w:color="auto"/>
              <w:left w:val="single" w:sz="4" w:space="0" w:color="auto"/>
              <w:bottom w:val="single" w:sz="4" w:space="0" w:color="auto"/>
              <w:right w:val="nil"/>
            </w:tcBorders>
            <w:shd w:val="clear" w:color="auto" w:fill="auto"/>
            <w:vAlign w:val="center"/>
            <w:hideMark/>
          </w:tcPr>
          <w:p w14:paraId="072AB311" w14:textId="77777777" w:rsidR="00FF1786" w:rsidRPr="00005453" w:rsidRDefault="00FF1786" w:rsidP="00FF1786">
            <w:pPr>
              <w:jc w:val="right"/>
              <w:rPr>
                <w:color w:val="404040"/>
                <w:sz w:val="16"/>
                <w:szCs w:val="16"/>
                <w:lang w:eastAsia="tr-TR"/>
              </w:rPr>
            </w:pPr>
            <w:r w:rsidRPr="00005453">
              <w:rPr>
                <w:color w:val="404040"/>
                <w:sz w:val="16"/>
                <w:szCs w:val="16"/>
                <w:lang w:eastAsia="tr-TR"/>
              </w:rPr>
              <w:t> </w:t>
            </w:r>
          </w:p>
        </w:tc>
        <w:tc>
          <w:tcPr>
            <w:tcW w:w="5895" w:type="dxa"/>
            <w:tcBorders>
              <w:top w:val="single" w:sz="4" w:space="0" w:color="auto"/>
              <w:left w:val="nil"/>
              <w:bottom w:val="single" w:sz="4" w:space="0" w:color="auto"/>
              <w:right w:val="single" w:sz="4" w:space="0" w:color="auto"/>
            </w:tcBorders>
            <w:shd w:val="clear" w:color="auto" w:fill="auto"/>
            <w:vAlign w:val="center"/>
            <w:hideMark/>
          </w:tcPr>
          <w:p w14:paraId="0C244D53" w14:textId="77777777" w:rsidR="00FF1786" w:rsidRPr="00005453" w:rsidRDefault="00FF1786" w:rsidP="00FF1786">
            <w:pPr>
              <w:jc w:val="both"/>
              <w:rPr>
                <w:sz w:val="16"/>
                <w:szCs w:val="16"/>
                <w:lang w:eastAsia="tr-TR"/>
              </w:rPr>
            </w:pPr>
            <w:r w:rsidRPr="00005453">
              <w:rPr>
                <w:sz w:val="16"/>
                <w:szCs w:val="16"/>
                <w:lang w:eastAsia="tr-TR"/>
              </w:rPr>
              <w:t> </w:t>
            </w:r>
          </w:p>
        </w:tc>
        <w:tc>
          <w:tcPr>
            <w:tcW w:w="998" w:type="dxa"/>
            <w:tcBorders>
              <w:top w:val="single" w:sz="4" w:space="0" w:color="auto"/>
              <w:left w:val="nil"/>
              <w:bottom w:val="single" w:sz="4" w:space="0" w:color="auto"/>
              <w:right w:val="single" w:sz="4" w:space="0" w:color="auto"/>
            </w:tcBorders>
            <w:shd w:val="clear" w:color="auto" w:fill="auto"/>
            <w:vAlign w:val="bottom"/>
            <w:hideMark/>
          </w:tcPr>
          <w:p w14:paraId="67B71AD4" w14:textId="0238B6EC" w:rsidR="00FF1786" w:rsidRPr="00005453" w:rsidRDefault="00FF1786" w:rsidP="00FF1786">
            <w:pPr>
              <w:jc w:val="center"/>
              <w:rPr>
                <w:b/>
                <w:bCs/>
                <w:sz w:val="16"/>
                <w:szCs w:val="16"/>
                <w:lang w:eastAsia="tr-TR"/>
              </w:rPr>
            </w:pPr>
            <w:r w:rsidRPr="00005453">
              <w:rPr>
                <w:b/>
                <w:bCs/>
                <w:sz w:val="16"/>
                <w:szCs w:val="16"/>
                <w:lang w:eastAsia="tr-TR"/>
              </w:rPr>
              <w:t>Cari Dönem 31/12/202</w:t>
            </w:r>
            <w:r w:rsidR="00B3719B" w:rsidRPr="00005453">
              <w:rPr>
                <w:b/>
                <w:bCs/>
                <w:sz w:val="16"/>
                <w:szCs w:val="16"/>
                <w:lang w:eastAsia="tr-TR"/>
              </w:rPr>
              <w:t>4</w:t>
            </w:r>
          </w:p>
        </w:tc>
        <w:tc>
          <w:tcPr>
            <w:tcW w:w="1272" w:type="dxa"/>
            <w:tcBorders>
              <w:top w:val="single" w:sz="4" w:space="0" w:color="auto"/>
              <w:left w:val="nil"/>
              <w:bottom w:val="single" w:sz="4" w:space="0" w:color="auto"/>
              <w:right w:val="single" w:sz="4" w:space="0" w:color="auto"/>
            </w:tcBorders>
            <w:shd w:val="clear" w:color="auto" w:fill="auto"/>
            <w:vAlign w:val="bottom"/>
            <w:hideMark/>
          </w:tcPr>
          <w:p w14:paraId="768D2143" w14:textId="02977795" w:rsidR="00FF1786" w:rsidRPr="00005453" w:rsidRDefault="00FF1786" w:rsidP="00FF1786">
            <w:pPr>
              <w:jc w:val="center"/>
              <w:rPr>
                <w:b/>
                <w:bCs/>
                <w:sz w:val="16"/>
                <w:szCs w:val="16"/>
                <w:lang w:eastAsia="tr-TR"/>
              </w:rPr>
            </w:pPr>
            <w:r w:rsidRPr="00005453">
              <w:rPr>
                <w:b/>
                <w:bCs/>
                <w:sz w:val="16"/>
                <w:szCs w:val="16"/>
                <w:lang w:eastAsia="tr-TR"/>
              </w:rPr>
              <w:t>Önceki Dönem 31/12/202</w:t>
            </w:r>
            <w:r w:rsidR="00B3719B" w:rsidRPr="00005453">
              <w:rPr>
                <w:b/>
                <w:bCs/>
                <w:sz w:val="16"/>
                <w:szCs w:val="16"/>
                <w:lang w:eastAsia="tr-TR"/>
              </w:rPr>
              <w:t>3</w:t>
            </w:r>
          </w:p>
        </w:tc>
        <w:tc>
          <w:tcPr>
            <w:tcW w:w="1359" w:type="dxa"/>
            <w:tcBorders>
              <w:top w:val="single" w:sz="4" w:space="0" w:color="auto"/>
              <w:left w:val="nil"/>
              <w:bottom w:val="single" w:sz="4" w:space="0" w:color="auto"/>
              <w:right w:val="single" w:sz="4" w:space="0" w:color="auto"/>
            </w:tcBorders>
            <w:shd w:val="clear" w:color="auto" w:fill="auto"/>
            <w:vAlign w:val="bottom"/>
            <w:hideMark/>
          </w:tcPr>
          <w:p w14:paraId="1F41F6E9" w14:textId="5024B52B" w:rsidR="00FF1786" w:rsidRPr="00005453" w:rsidRDefault="00FF1786" w:rsidP="00FF1786">
            <w:pPr>
              <w:jc w:val="center"/>
              <w:rPr>
                <w:b/>
                <w:bCs/>
                <w:sz w:val="16"/>
                <w:szCs w:val="16"/>
                <w:lang w:eastAsia="tr-TR"/>
              </w:rPr>
            </w:pPr>
            <w:r w:rsidRPr="00005453">
              <w:rPr>
                <w:b/>
                <w:bCs/>
                <w:sz w:val="16"/>
                <w:szCs w:val="16"/>
                <w:lang w:eastAsia="tr-TR"/>
              </w:rPr>
              <w:t>Cari Dönem 31/12/202</w:t>
            </w:r>
            <w:r w:rsidR="00B3719B" w:rsidRPr="00005453">
              <w:rPr>
                <w:b/>
                <w:bCs/>
                <w:sz w:val="16"/>
                <w:szCs w:val="16"/>
                <w:lang w:eastAsia="tr-TR"/>
              </w:rPr>
              <w:t>4</w:t>
            </w:r>
          </w:p>
        </w:tc>
      </w:tr>
      <w:tr w:rsidR="00A0639D" w:rsidRPr="00005453" w14:paraId="36AB7C09"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62427" w14:textId="77777777" w:rsidR="00A0639D" w:rsidRPr="00005453" w:rsidRDefault="00A0639D" w:rsidP="00A0639D">
            <w:pPr>
              <w:jc w:val="right"/>
              <w:rPr>
                <w:color w:val="404040"/>
                <w:sz w:val="16"/>
                <w:szCs w:val="16"/>
                <w:lang w:eastAsia="tr-TR"/>
              </w:rPr>
            </w:pPr>
            <w:r w:rsidRPr="00005453">
              <w:rPr>
                <w:color w:val="404040"/>
                <w:sz w:val="16"/>
                <w:szCs w:val="16"/>
                <w:lang w:eastAsia="tr-TR"/>
              </w:rPr>
              <w:t>1</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605D631" w14:textId="77777777" w:rsidR="00A0639D" w:rsidRPr="00005453" w:rsidRDefault="00A0639D" w:rsidP="00A0639D">
            <w:pPr>
              <w:rPr>
                <w:sz w:val="16"/>
                <w:szCs w:val="16"/>
                <w:lang w:eastAsia="tr-TR"/>
              </w:rPr>
            </w:pPr>
            <w:r w:rsidRPr="00005453">
              <w:rPr>
                <w:sz w:val="16"/>
                <w:szCs w:val="16"/>
                <w:lang w:eastAsia="tr-TR"/>
              </w:rPr>
              <w:t>Kredi riski (karşı taraf kredi riski hariç)</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6F077" w14:textId="1631C621" w:rsidR="00A0639D" w:rsidRPr="00005453" w:rsidRDefault="00A0639D" w:rsidP="00A0639D">
            <w:pPr>
              <w:jc w:val="right"/>
              <w:rPr>
                <w:color w:val="000000"/>
                <w:sz w:val="16"/>
                <w:szCs w:val="16"/>
              </w:rPr>
            </w:pPr>
            <w:r w:rsidRPr="00005453">
              <w:rPr>
                <w:color w:val="000000"/>
                <w:sz w:val="16"/>
                <w:szCs w:val="22"/>
              </w:rPr>
              <w:t>296,488,495</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7473D6D3" w14:textId="425F10A1" w:rsidR="00A0639D" w:rsidRPr="00005453" w:rsidRDefault="00A0639D" w:rsidP="00A0639D">
            <w:pPr>
              <w:jc w:val="right"/>
              <w:rPr>
                <w:color w:val="000000"/>
                <w:sz w:val="16"/>
                <w:szCs w:val="16"/>
              </w:rPr>
            </w:pPr>
            <w:r w:rsidRPr="00005453">
              <w:rPr>
                <w:color w:val="000000"/>
                <w:sz w:val="16"/>
                <w:szCs w:val="16"/>
              </w:rPr>
              <w:t>184,247,498</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1B055570" w14:textId="5EE16B5F" w:rsidR="00A0639D" w:rsidRPr="00005453" w:rsidRDefault="00A0639D" w:rsidP="00A0639D">
            <w:pPr>
              <w:jc w:val="right"/>
              <w:rPr>
                <w:color w:val="000000"/>
                <w:sz w:val="16"/>
                <w:szCs w:val="16"/>
              </w:rPr>
            </w:pPr>
            <w:r w:rsidRPr="00005453">
              <w:rPr>
                <w:sz w:val="16"/>
                <w:szCs w:val="22"/>
              </w:rPr>
              <w:t>23,719,080</w:t>
            </w:r>
          </w:p>
        </w:tc>
      </w:tr>
      <w:tr w:rsidR="00A0639D" w:rsidRPr="00005453" w14:paraId="35C4D130"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230A5" w14:textId="77777777" w:rsidR="00A0639D" w:rsidRPr="00005453" w:rsidRDefault="00A0639D" w:rsidP="00A0639D">
            <w:pPr>
              <w:jc w:val="right"/>
              <w:rPr>
                <w:color w:val="404040"/>
                <w:sz w:val="16"/>
                <w:szCs w:val="16"/>
                <w:lang w:eastAsia="tr-TR"/>
              </w:rPr>
            </w:pPr>
            <w:r w:rsidRPr="00005453">
              <w:rPr>
                <w:color w:val="404040"/>
                <w:sz w:val="16"/>
                <w:szCs w:val="16"/>
                <w:lang w:eastAsia="tr-TR"/>
              </w:rPr>
              <w:t>2</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13D11FCE" w14:textId="77777777" w:rsidR="00A0639D" w:rsidRPr="00005453" w:rsidRDefault="00A0639D" w:rsidP="00A0639D">
            <w:pPr>
              <w:rPr>
                <w:sz w:val="16"/>
                <w:szCs w:val="16"/>
                <w:lang w:eastAsia="tr-TR"/>
              </w:rPr>
            </w:pPr>
            <w:r w:rsidRPr="00005453">
              <w:rPr>
                <w:sz w:val="16"/>
                <w:szCs w:val="16"/>
                <w:lang w:eastAsia="tr-TR"/>
              </w:rPr>
              <w:t>Standart yaklaşım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DF109" w14:textId="6E9E53A5" w:rsidR="00A0639D" w:rsidRPr="00005453" w:rsidRDefault="00A0639D" w:rsidP="00A0639D">
            <w:pPr>
              <w:jc w:val="right"/>
              <w:rPr>
                <w:color w:val="000000"/>
                <w:sz w:val="16"/>
                <w:szCs w:val="16"/>
              </w:rPr>
            </w:pPr>
            <w:r w:rsidRPr="00005453">
              <w:rPr>
                <w:color w:val="000000"/>
                <w:sz w:val="16"/>
                <w:szCs w:val="22"/>
              </w:rPr>
              <w:t>296,488,49</w:t>
            </w:r>
            <w:r w:rsidR="002D0600" w:rsidRPr="00005453">
              <w:rPr>
                <w:color w:val="000000"/>
                <w:sz w:val="16"/>
                <w:szCs w:val="22"/>
              </w:rPr>
              <w:t>5</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09D4BFE3" w14:textId="540DD93D" w:rsidR="00A0639D" w:rsidRPr="00005453" w:rsidRDefault="00A0639D" w:rsidP="00A0639D">
            <w:pPr>
              <w:jc w:val="right"/>
              <w:rPr>
                <w:color w:val="000000"/>
                <w:sz w:val="16"/>
                <w:szCs w:val="16"/>
              </w:rPr>
            </w:pPr>
            <w:r w:rsidRPr="00005453">
              <w:rPr>
                <w:color w:val="000000"/>
                <w:sz w:val="16"/>
                <w:szCs w:val="16"/>
              </w:rPr>
              <w:t>184,247,498</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1D2243B" w14:textId="38A475B4" w:rsidR="00A0639D" w:rsidRPr="00005453" w:rsidRDefault="00A0639D" w:rsidP="00A0639D">
            <w:pPr>
              <w:jc w:val="right"/>
              <w:rPr>
                <w:color w:val="000000"/>
                <w:sz w:val="16"/>
                <w:szCs w:val="16"/>
              </w:rPr>
            </w:pPr>
            <w:r w:rsidRPr="00005453">
              <w:rPr>
                <w:sz w:val="16"/>
                <w:szCs w:val="22"/>
              </w:rPr>
              <w:t>23,719,080</w:t>
            </w:r>
          </w:p>
        </w:tc>
      </w:tr>
      <w:tr w:rsidR="00A0639D" w:rsidRPr="00005453" w14:paraId="039484A5"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9EB8A" w14:textId="77777777" w:rsidR="00A0639D" w:rsidRPr="00005453" w:rsidRDefault="00A0639D" w:rsidP="00A0639D">
            <w:pPr>
              <w:jc w:val="right"/>
              <w:rPr>
                <w:color w:val="404040"/>
                <w:sz w:val="16"/>
                <w:szCs w:val="16"/>
                <w:lang w:eastAsia="tr-TR"/>
              </w:rPr>
            </w:pPr>
            <w:r w:rsidRPr="00005453">
              <w:rPr>
                <w:color w:val="404040"/>
                <w:sz w:val="16"/>
                <w:szCs w:val="16"/>
                <w:lang w:eastAsia="tr-TR"/>
              </w:rPr>
              <w:t>3</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DEDE373" w14:textId="77777777" w:rsidR="00A0639D" w:rsidRPr="00005453" w:rsidRDefault="00A0639D" w:rsidP="00A0639D">
            <w:pPr>
              <w:rPr>
                <w:sz w:val="16"/>
                <w:szCs w:val="16"/>
                <w:lang w:eastAsia="tr-TR"/>
              </w:rPr>
            </w:pPr>
            <w:r w:rsidRPr="00005453">
              <w:rPr>
                <w:sz w:val="16"/>
                <w:szCs w:val="16"/>
                <w:lang w:eastAsia="tr-TR"/>
              </w:rPr>
              <w:t>İçsel derecelendirmeye dayalı yaklaşım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B9636" w14:textId="48EF88F7"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2AFE4A85" w14:textId="3253D074"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787D8CEE" w14:textId="11D2FC6D" w:rsidR="00A0639D" w:rsidRPr="00005453" w:rsidRDefault="00A0639D" w:rsidP="00A0639D">
            <w:pPr>
              <w:jc w:val="right"/>
              <w:rPr>
                <w:color w:val="000000"/>
                <w:sz w:val="16"/>
                <w:szCs w:val="16"/>
              </w:rPr>
            </w:pPr>
            <w:r w:rsidRPr="00005453">
              <w:rPr>
                <w:sz w:val="16"/>
                <w:szCs w:val="22"/>
              </w:rPr>
              <w:t>-</w:t>
            </w:r>
          </w:p>
        </w:tc>
      </w:tr>
      <w:tr w:rsidR="00A0639D" w:rsidRPr="00005453" w14:paraId="1ABF14FA"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15CEB" w14:textId="77777777" w:rsidR="00A0639D" w:rsidRPr="00005453" w:rsidRDefault="00A0639D" w:rsidP="00A0639D">
            <w:pPr>
              <w:jc w:val="right"/>
              <w:rPr>
                <w:color w:val="404040"/>
                <w:sz w:val="16"/>
                <w:szCs w:val="16"/>
                <w:lang w:eastAsia="tr-TR"/>
              </w:rPr>
            </w:pPr>
            <w:r w:rsidRPr="00005453">
              <w:rPr>
                <w:color w:val="404040"/>
                <w:sz w:val="16"/>
                <w:szCs w:val="16"/>
                <w:lang w:eastAsia="tr-TR"/>
              </w:rPr>
              <w:t>4</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76469F4D" w14:textId="77777777" w:rsidR="00A0639D" w:rsidRPr="00005453" w:rsidRDefault="00A0639D" w:rsidP="00A0639D">
            <w:pPr>
              <w:rPr>
                <w:sz w:val="16"/>
                <w:szCs w:val="16"/>
                <w:lang w:eastAsia="tr-TR"/>
              </w:rPr>
            </w:pPr>
            <w:r w:rsidRPr="00005453">
              <w:rPr>
                <w:sz w:val="16"/>
                <w:szCs w:val="16"/>
                <w:lang w:eastAsia="tr-TR"/>
              </w:rPr>
              <w:t>Karşı taraf kredi riski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A3799" w14:textId="27EEC0F7" w:rsidR="00A0639D" w:rsidRPr="00005453" w:rsidRDefault="00A0639D" w:rsidP="00A0639D">
            <w:pPr>
              <w:jc w:val="right"/>
              <w:rPr>
                <w:color w:val="000000"/>
                <w:sz w:val="16"/>
                <w:szCs w:val="16"/>
              </w:rPr>
            </w:pPr>
            <w:r w:rsidRPr="00005453">
              <w:rPr>
                <w:color w:val="000000"/>
                <w:sz w:val="16"/>
                <w:szCs w:val="22"/>
              </w:rPr>
              <w:t>1,627,41</w:t>
            </w:r>
            <w:r w:rsidR="002D0600" w:rsidRPr="00005453">
              <w:rPr>
                <w:color w:val="000000"/>
                <w:sz w:val="16"/>
                <w:szCs w:val="22"/>
              </w:rPr>
              <w:t>8</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3613AE57" w14:textId="5470BD11" w:rsidR="00A0639D" w:rsidRPr="00005453" w:rsidRDefault="00A0639D" w:rsidP="00A0639D">
            <w:pPr>
              <w:jc w:val="right"/>
              <w:rPr>
                <w:color w:val="000000"/>
                <w:sz w:val="16"/>
                <w:szCs w:val="16"/>
              </w:rPr>
            </w:pPr>
            <w:r w:rsidRPr="00005453">
              <w:rPr>
                <w:color w:val="000000"/>
                <w:sz w:val="16"/>
                <w:szCs w:val="16"/>
              </w:rPr>
              <w:t>1,099,814</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2C141D91" w14:textId="0B6662EA" w:rsidR="00A0639D" w:rsidRPr="00005453" w:rsidRDefault="00A0639D" w:rsidP="00A0639D">
            <w:pPr>
              <w:jc w:val="right"/>
              <w:rPr>
                <w:color w:val="000000"/>
                <w:sz w:val="16"/>
                <w:szCs w:val="16"/>
              </w:rPr>
            </w:pPr>
            <w:r w:rsidRPr="00005453">
              <w:rPr>
                <w:sz w:val="16"/>
                <w:szCs w:val="22"/>
              </w:rPr>
              <w:t>130,193</w:t>
            </w:r>
          </w:p>
        </w:tc>
      </w:tr>
      <w:tr w:rsidR="00A0639D" w:rsidRPr="00005453" w14:paraId="235B6C50"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4715F" w14:textId="77777777" w:rsidR="00A0639D" w:rsidRPr="00005453" w:rsidRDefault="00A0639D" w:rsidP="00A0639D">
            <w:pPr>
              <w:jc w:val="right"/>
              <w:rPr>
                <w:color w:val="404040"/>
                <w:sz w:val="16"/>
                <w:szCs w:val="16"/>
                <w:lang w:eastAsia="tr-TR"/>
              </w:rPr>
            </w:pPr>
            <w:r w:rsidRPr="00005453">
              <w:rPr>
                <w:color w:val="404040"/>
                <w:sz w:val="16"/>
                <w:szCs w:val="16"/>
                <w:lang w:eastAsia="tr-TR"/>
              </w:rPr>
              <w:t>5</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6CCE05FA" w14:textId="77777777" w:rsidR="00A0639D" w:rsidRPr="00005453" w:rsidRDefault="00A0639D" w:rsidP="00A0639D">
            <w:pPr>
              <w:rPr>
                <w:sz w:val="16"/>
                <w:szCs w:val="16"/>
                <w:lang w:eastAsia="tr-TR"/>
              </w:rPr>
            </w:pPr>
            <w:r w:rsidRPr="00005453">
              <w:rPr>
                <w:sz w:val="16"/>
                <w:szCs w:val="16"/>
                <w:lang w:eastAsia="tr-TR"/>
              </w:rPr>
              <w:t>Karşı taraf kredi riski için standart yaklaşım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83810" w14:textId="28E81127" w:rsidR="00A0639D" w:rsidRPr="00005453" w:rsidRDefault="00A0639D" w:rsidP="00A0639D">
            <w:pPr>
              <w:jc w:val="right"/>
              <w:rPr>
                <w:color w:val="000000"/>
                <w:sz w:val="16"/>
                <w:szCs w:val="16"/>
              </w:rPr>
            </w:pPr>
            <w:r w:rsidRPr="00005453">
              <w:rPr>
                <w:color w:val="000000"/>
                <w:sz w:val="16"/>
                <w:szCs w:val="22"/>
              </w:rPr>
              <w:t>1,627,41</w:t>
            </w:r>
            <w:r w:rsidR="002D0600" w:rsidRPr="00005453">
              <w:rPr>
                <w:color w:val="000000"/>
                <w:sz w:val="16"/>
                <w:szCs w:val="22"/>
              </w:rPr>
              <w:t>8</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3A1B9B8C" w14:textId="04122798" w:rsidR="00A0639D" w:rsidRPr="00005453" w:rsidRDefault="00A0639D" w:rsidP="00A0639D">
            <w:pPr>
              <w:jc w:val="right"/>
              <w:rPr>
                <w:color w:val="000000"/>
                <w:sz w:val="16"/>
                <w:szCs w:val="16"/>
              </w:rPr>
            </w:pPr>
            <w:r w:rsidRPr="00005453">
              <w:rPr>
                <w:color w:val="000000"/>
                <w:sz w:val="16"/>
                <w:szCs w:val="16"/>
              </w:rPr>
              <w:t>1,099,814</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502B2C9D" w14:textId="391AFA8F" w:rsidR="00A0639D" w:rsidRPr="00005453" w:rsidRDefault="00A0639D" w:rsidP="00A0639D">
            <w:pPr>
              <w:jc w:val="right"/>
              <w:rPr>
                <w:color w:val="000000"/>
                <w:sz w:val="16"/>
                <w:szCs w:val="16"/>
              </w:rPr>
            </w:pPr>
            <w:r w:rsidRPr="00005453">
              <w:rPr>
                <w:sz w:val="16"/>
                <w:szCs w:val="22"/>
              </w:rPr>
              <w:t>130,193</w:t>
            </w:r>
          </w:p>
        </w:tc>
      </w:tr>
      <w:tr w:rsidR="00A0639D" w:rsidRPr="00005453" w14:paraId="02D48DB9"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6F469" w14:textId="77777777" w:rsidR="00A0639D" w:rsidRPr="00005453" w:rsidRDefault="00A0639D" w:rsidP="00A0639D">
            <w:pPr>
              <w:jc w:val="right"/>
              <w:rPr>
                <w:color w:val="404040"/>
                <w:sz w:val="16"/>
                <w:szCs w:val="16"/>
                <w:lang w:eastAsia="tr-TR"/>
              </w:rPr>
            </w:pPr>
            <w:r w:rsidRPr="00005453">
              <w:rPr>
                <w:color w:val="404040"/>
                <w:sz w:val="16"/>
                <w:szCs w:val="16"/>
                <w:lang w:eastAsia="tr-TR"/>
              </w:rPr>
              <w:t>6</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73EB0E39" w14:textId="77777777" w:rsidR="00A0639D" w:rsidRPr="00005453" w:rsidRDefault="00A0639D" w:rsidP="00A0639D">
            <w:pPr>
              <w:rPr>
                <w:sz w:val="16"/>
                <w:szCs w:val="16"/>
                <w:lang w:eastAsia="tr-TR"/>
              </w:rPr>
            </w:pPr>
            <w:r w:rsidRPr="00005453">
              <w:rPr>
                <w:sz w:val="16"/>
                <w:szCs w:val="16"/>
                <w:lang w:eastAsia="tr-TR"/>
              </w:rPr>
              <w:t>İçsel model yöntemi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D95BF" w14:textId="3ED5DE3D"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21B68FBD" w14:textId="2059AA94"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73B506D8" w14:textId="50F24E32" w:rsidR="00A0639D" w:rsidRPr="00005453" w:rsidRDefault="00A0639D" w:rsidP="00A0639D">
            <w:pPr>
              <w:jc w:val="right"/>
              <w:rPr>
                <w:color w:val="000000"/>
                <w:sz w:val="16"/>
                <w:szCs w:val="16"/>
              </w:rPr>
            </w:pPr>
            <w:r w:rsidRPr="00005453">
              <w:rPr>
                <w:sz w:val="16"/>
                <w:szCs w:val="22"/>
              </w:rPr>
              <w:t>-</w:t>
            </w:r>
          </w:p>
        </w:tc>
      </w:tr>
      <w:tr w:rsidR="00A0639D" w:rsidRPr="00005453" w14:paraId="4249785C" w14:textId="77777777" w:rsidTr="00A0639D">
        <w:trPr>
          <w:divId w:val="471945713"/>
          <w:trHeight w:val="411"/>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B26C" w14:textId="77777777" w:rsidR="00A0639D" w:rsidRPr="00005453" w:rsidRDefault="00A0639D" w:rsidP="00A0639D">
            <w:pPr>
              <w:jc w:val="right"/>
              <w:rPr>
                <w:color w:val="404040"/>
                <w:sz w:val="16"/>
                <w:szCs w:val="16"/>
                <w:lang w:eastAsia="tr-TR"/>
              </w:rPr>
            </w:pPr>
            <w:r w:rsidRPr="00005453">
              <w:rPr>
                <w:color w:val="404040"/>
                <w:sz w:val="16"/>
                <w:szCs w:val="16"/>
                <w:lang w:eastAsia="tr-TR"/>
              </w:rPr>
              <w:t>7</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2C2A643" w14:textId="77777777" w:rsidR="00A0639D" w:rsidRPr="00005453" w:rsidRDefault="00A0639D" w:rsidP="00A0639D">
            <w:pPr>
              <w:rPr>
                <w:sz w:val="16"/>
                <w:szCs w:val="16"/>
                <w:lang w:eastAsia="tr-TR"/>
              </w:rPr>
            </w:pPr>
            <w:r w:rsidRPr="00005453">
              <w:rPr>
                <w:sz w:val="16"/>
                <w:szCs w:val="16"/>
                <w:lang w:eastAsia="tr-TR"/>
              </w:rPr>
              <w:t>Basit risk ağırlığı yaklaşımı veya içsel modeller yaklaşımında bankacılık hesabındaki hisse senedi pozisyonları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13EB2" w14:textId="11E5CD4E"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637EEAC9" w14:textId="15213B67"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1701FCBC" w14:textId="1C55D705" w:rsidR="00A0639D" w:rsidRPr="00005453" w:rsidRDefault="00A0639D" w:rsidP="00A0639D">
            <w:pPr>
              <w:jc w:val="right"/>
              <w:rPr>
                <w:color w:val="000000"/>
                <w:sz w:val="16"/>
                <w:szCs w:val="16"/>
              </w:rPr>
            </w:pPr>
            <w:r w:rsidRPr="00005453">
              <w:rPr>
                <w:sz w:val="16"/>
                <w:szCs w:val="22"/>
              </w:rPr>
              <w:t>-</w:t>
            </w:r>
          </w:p>
        </w:tc>
      </w:tr>
      <w:tr w:rsidR="00A0639D" w:rsidRPr="00005453" w14:paraId="580B8887"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B46E1" w14:textId="77777777" w:rsidR="00A0639D" w:rsidRPr="00005453" w:rsidRDefault="00A0639D" w:rsidP="00A0639D">
            <w:pPr>
              <w:jc w:val="right"/>
              <w:rPr>
                <w:color w:val="404040"/>
                <w:sz w:val="16"/>
                <w:szCs w:val="16"/>
                <w:lang w:eastAsia="tr-TR"/>
              </w:rPr>
            </w:pPr>
            <w:r w:rsidRPr="00005453">
              <w:rPr>
                <w:color w:val="404040"/>
                <w:sz w:val="16"/>
                <w:szCs w:val="16"/>
                <w:lang w:eastAsia="tr-TR"/>
              </w:rPr>
              <w:t>8</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3AFAD6F8" w14:textId="77777777" w:rsidR="00A0639D" w:rsidRPr="00005453" w:rsidRDefault="00A0639D" w:rsidP="00A0639D">
            <w:pPr>
              <w:rPr>
                <w:sz w:val="16"/>
                <w:szCs w:val="16"/>
                <w:lang w:eastAsia="tr-TR"/>
              </w:rPr>
            </w:pPr>
            <w:r w:rsidRPr="00005453">
              <w:rPr>
                <w:sz w:val="16"/>
                <w:szCs w:val="16"/>
                <w:lang w:eastAsia="tr-TR"/>
              </w:rPr>
              <w:t>KYK'ya yapılan yatırımlar-içerik yöntemi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5A888" w14:textId="3C60F3A3"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0DEF4B57" w14:textId="4761811F"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302A0B98" w14:textId="756A2DB6" w:rsidR="00A0639D" w:rsidRPr="00005453" w:rsidRDefault="00A0639D" w:rsidP="00A0639D">
            <w:pPr>
              <w:jc w:val="right"/>
              <w:rPr>
                <w:color w:val="000000"/>
                <w:sz w:val="16"/>
                <w:szCs w:val="16"/>
              </w:rPr>
            </w:pPr>
            <w:r w:rsidRPr="00005453">
              <w:rPr>
                <w:sz w:val="16"/>
                <w:szCs w:val="22"/>
              </w:rPr>
              <w:t>-</w:t>
            </w:r>
          </w:p>
        </w:tc>
      </w:tr>
      <w:tr w:rsidR="00A0639D" w:rsidRPr="00005453" w14:paraId="37E5FD25"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199BB" w14:textId="77777777" w:rsidR="00A0639D" w:rsidRPr="00005453" w:rsidRDefault="00A0639D" w:rsidP="00A0639D">
            <w:pPr>
              <w:jc w:val="right"/>
              <w:rPr>
                <w:color w:val="404040"/>
                <w:sz w:val="16"/>
                <w:szCs w:val="16"/>
                <w:lang w:eastAsia="tr-TR"/>
              </w:rPr>
            </w:pPr>
            <w:r w:rsidRPr="00005453">
              <w:rPr>
                <w:color w:val="404040"/>
                <w:sz w:val="16"/>
                <w:szCs w:val="16"/>
                <w:lang w:eastAsia="tr-TR"/>
              </w:rPr>
              <w:t>9</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7FF369FB" w14:textId="77777777" w:rsidR="00A0639D" w:rsidRPr="00005453" w:rsidRDefault="00A0639D" w:rsidP="00A0639D">
            <w:pPr>
              <w:rPr>
                <w:sz w:val="16"/>
                <w:szCs w:val="16"/>
                <w:lang w:eastAsia="tr-TR"/>
              </w:rPr>
            </w:pPr>
            <w:r w:rsidRPr="00005453">
              <w:rPr>
                <w:sz w:val="16"/>
                <w:szCs w:val="16"/>
                <w:lang w:eastAsia="tr-TR"/>
              </w:rPr>
              <w:t>KYK'ya yapılan yatırımlar-izahname yöntemi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5B43A" w14:textId="48F15D86"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7F4FDA3A" w14:textId="4E95B430"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3573D603" w14:textId="15A44D5B" w:rsidR="00A0639D" w:rsidRPr="00005453" w:rsidRDefault="00A0639D" w:rsidP="00A0639D">
            <w:pPr>
              <w:jc w:val="right"/>
              <w:rPr>
                <w:color w:val="000000"/>
                <w:sz w:val="16"/>
                <w:szCs w:val="16"/>
              </w:rPr>
            </w:pPr>
            <w:r w:rsidRPr="00005453">
              <w:rPr>
                <w:sz w:val="16"/>
                <w:szCs w:val="22"/>
              </w:rPr>
              <w:t>-</w:t>
            </w:r>
          </w:p>
        </w:tc>
      </w:tr>
      <w:tr w:rsidR="00A0639D" w:rsidRPr="00005453" w14:paraId="68EA3CF0"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D35EF" w14:textId="77777777" w:rsidR="00A0639D" w:rsidRPr="00005453" w:rsidRDefault="00A0639D" w:rsidP="00A0639D">
            <w:pPr>
              <w:jc w:val="right"/>
              <w:rPr>
                <w:color w:val="404040"/>
                <w:sz w:val="16"/>
                <w:szCs w:val="16"/>
                <w:lang w:eastAsia="tr-TR"/>
              </w:rPr>
            </w:pPr>
            <w:r w:rsidRPr="00005453">
              <w:rPr>
                <w:color w:val="404040"/>
                <w:sz w:val="16"/>
                <w:szCs w:val="16"/>
                <w:lang w:eastAsia="tr-TR"/>
              </w:rPr>
              <w:t>10</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1A7ABBDD" w14:textId="77777777" w:rsidR="00A0639D" w:rsidRPr="00005453" w:rsidRDefault="00A0639D" w:rsidP="00A0639D">
            <w:pPr>
              <w:rPr>
                <w:sz w:val="16"/>
                <w:szCs w:val="16"/>
                <w:lang w:eastAsia="tr-TR"/>
              </w:rPr>
            </w:pPr>
            <w:r w:rsidRPr="00005453">
              <w:rPr>
                <w:sz w:val="16"/>
                <w:szCs w:val="16"/>
                <w:lang w:eastAsia="tr-TR"/>
              </w:rPr>
              <w:t>KYK'ya yapılan yatırımlar-</w:t>
            </w:r>
            <w:proofErr w:type="gramStart"/>
            <w:r w:rsidRPr="00005453">
              <w:rPr>
                <w:sz w:val="16"/>
                <w:szCs w:val="16"/>
                <w:lang w:eastAsia="tr-TR"/>
              </w:rPr>
              <w:t>% 1250</w:t>
            </w:r>
            <w:proofErr w:type="gramEnd"/>
            <w:r w:rsidRPr="00005453">
              <w:rPr>
                <w:sz w:val="16"/>
                <w:szCs w:val="16"/>
                <w:lang w:eastAsia="tr-TR"/>
              </w:rPr>
              <w:t xml:space="preserve"> risk ağırlığı yöntemi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5BCF0" w14:textId="3556A6D0"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32AE311C" w14:textId="71671458"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5F9EC4A1" w14:textId="1AA368B2" w:rsidR="00A0639D" w:rsidRPr="00005453" w:rsidRDefault="00A0639D" w:rsidP="00A0639D">
            <w:pPr>
              <w:jc w:val="right"/>
              <w:rPr>
                <w:color w:val="000000"/>
                <w:sz w:val="16"/>
                <w:szCs w:val="16"/>
              </w:rPr>
            </w:pPr>
            <w:r w:rsidRPr="00005453">
              <w:rPr>
                <w:sz w:val="16"/>
                <w:szCs w:val="22"/>
              </w:rPr>
              <w:t>-</w:t>
            </w:r>
          </w:p>
        </w:tc>
      </w:tr>
      <w:tr w:rsidR="00A0639D" w:rsidRPr="00005453" w14:paraId="72CDEC4E"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0A4F7" w14:textId="77777777" w:rsidR="00A0639D" w:rsidRPr="00005453" w:rsidRDefault="00A0639D" w:rsidP="00A0639D">
            <w:pPr>
              <w:jc w:val="right"/>
              <w:rPr>
                <w:color w:val="404040"/>
                <w:sz w:val="16"/>
                <w:szCs w:val="16"/>
                <w:lang w:eastAsia="tr-TR"/>
              </w:rPr>
            </w:pPr>
            <w:r w:rsidRPr="00005453">
              <w:rPr>
                <w:color w:val="404040"/>
                <w:sz w:val="16"/>
                <w:szCs w:val="16"/>
                <w:lang w:eastAsia="tr-TR"/>
              </w:rPr>
              <w:t>11</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4E359981" w14:textId="77777777" w:rsidR="00A0639D" w:rsidRPr="00005453" w:rsidRDefault="00A0639D" w:rsidP="00A0639D">
            <w:pPr>
              <w:rPr>
                <w:sz w:val="16"/>
                <w:szCs w:val="16"/>
                <w:lang w:eastAsia="tr-TR"/>
              </w:rPr>
            </w:pPr>
            <w:r w:rsidRPr="00005453">
              <w:rPr>
                <w:sz w:val="16"/>
                <w:szCs w:val="16"/>
                <w:lang w:eastAsia="tr-TR"/>
              </w:rPr>
              <w:t>Takas riski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EDAC7" w14:textId="37C75892"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612BFA3A" w14:textId="639DCE02"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6F2B7FAC" w14:textId="75F9E727" w:rsidR="00A0639D" w:rsidRPr="00005453" w:rsidRDefault="00A0639D" w:rsidP="00A0639D">
            <w:pPr>
              <w:jc w:val="right"/>
              <w:rPr>
                <w:color w:val="000000"/>
                <w:sz w:val="16"/>
                <w:szCs w:val="16"/>
              </w:rPr>
            </w:pPr>
            <w:r w:rsidRPr="00005453">
              <w:rPr>
                <w:sz w:val="16"/>
                <w:szCs w:val="22"/>
              </w:rPr>
              <w:t>-</w:t>
            </w:r>
          </w:p>
        </w:tc>
      </w:tr>
      <w:tr w:rsidR="00A0639D" w:rsidRPr="00005453" w14:paraId="43817D05" w14:textId="77777777" w:rsidTr="00A0639D">
        <w:trPr>
          <w:divId w:val="471945713"/>
          <w:trHeight w:val="274"/>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F723B" w14:textId="77777777" w:rsidR="00A0639D" w:rsidRPr="00005453" w:rsidRDefault="00A0639D" w:rsidP="00A0639D">
            <w:pPr>
              <w:jc w:val="right"/>
              <w:rPr>
                <w:color w:val="404040"/>
                <w:sz w:val="16"/>
                <w:szCs w:val="16"/>
                <w:lang w:eastAsia="tr-TR"/>
              </w:rPr>
            </w:pPr>
            <w:r w:rsidRPr="00005453">
              <w:rPr>
                <w:color w:val="404040"/>
                <w:sz w:val="16"/>
                <w:szCs w:val="16"/>
                <w:lang w:eastAsia="tr-TR"/>
              </w:rPr>
              <w:t>12</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CFE320D" w14:textId="77777777" w:rsidR="00A0639D" w:rsidRPr="00005453" w:rsidRDefault="00A0639D" w:rsidP="00A0639D">
            <w:pPr>
              <w:rPr>
                <w:sz w:val="16"/>
                <w:szCs w:val="16"/>
                <w:lang w:eastAsia="tr-TR"/>
              </w:rPr>
            </w:pPr>
            <w:r w:rsidRPr="00005453">
              <w:rPr>
                <w:sz w:val="16"/>
                <w:szCs w:val="16"/>
                <w:lang w:eastAsia="tr-TR"/>
              </w:rPr>
              <w:t>Bankacılık hesaplarındaki menkul kıymetleştirme pozisyonları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2F6CA" w14:textId="3E73ECF2"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1E526399" w14:textId="4D1CB1C0"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59C3B19B" w14:textId="3699C720" w:rsidR="00A0639D" w:rsidRPr="00005453" w:rsidRDefault="00A0639D" w:rsidP="00A0639D">
            <w:pPr>
              <w:jc w:val="right"/>
              <w:rPr>
                <w:color w:val="000000"/>
                <w:sz w:val="16"/>
                <w:szCs w:val="16"/>
              </w:rPr>
            </w:pPr>
            <w:r w:rsidRPr="00005453">
              <w:rPr>
                <w:sz w:val="16"/>
                <w:szCs w:val="22"/>
              </w:rPr>
              <w:t>-</w:t>
            </w:r>
          </w:p>
        </w:tc>
      </w:tr>
      <w:tr w:rsidR="00A0639D" w:rsidRPr="00005453" w14:paraId="7D499E69"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6105E" w14:textId="77777777" w:rsidR="00A0639D" w:rsidRPr="00005453" w:rsidRDefault="00A0639D" w:rsidP="00A0639D">
            <w:pPr>
              <w:jc w:val="right"/>
              <w:rPr>
                <w:color w:val="404040"/>
                <w:sz w:val="16"/>
                <w:szCs w:val="16"/>
                <w:lang w:eastAsia="tr-TR"/>
              </w:rPr>
            </w:pPr>
            <w:r w:rsidRPr="00005453">
              <w:rPr>
                <w:color w:val="404040"/>
                <w:sz w:val="16"/>
                <w:szCs w:val="16"/>
                <w:lang w:eastAsia="tr-TR"/>
              </w:rPr>
              <w:t>13</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2CEC109" w14:textId="77777777" w:rsidR="00A0639D" w:rsidRPr="00005453" w:rsidRDefault="00A0639D" w:rsidP="00A0639D">
            <w:pPr>
              <w:rPr>
                <w:sz w:val="16"/>
                <w:szCs w:val="16"/>
                <w:lang w:eastAsia="tr-TR"/>
              </w:rPr>
            </w:pPr>
            <w:r w:rsidRPr="00005453">
              <w:rPr>
                <w:sz w:val="16"/>
                <w:szCs w:val="16"/>
                <w:lang w:eastAsia="tr-TR"/>
              </w:rPr>
              <w:t>İDD derecelendirmeye dayalı yaklaşım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05CC5" w14:textId="765C2C21"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3483DDFD" w14:textId="72FE6CC5"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1E80661" w14:textId="6C609169" w:rsidR="00A0639D" w:rsidRPr="00005453" w:rsidRDefault="00A0639D" w:rsidP="00A0639D">
            <w:pPr>
              <w:jc w:val="right"/>
              <w:rPr>
                <w:color w:val="000000"/>
                <w:sz w:val="16"/>
                <w:szCs w:val="16"/>
              </w:rPr>
            </w:pPr>
            <w:r w:rsidRPr="00005453">
              <w:rPr>
                <w:sz w:val="16"/>
                <w:szCs w:val="22"/>
              </w:rPr>
              <w:t>-</w:t>
            </w:r>
          </w:p>
        </w:tc>
      </w:tr>
      <w:tr w:rsidR="00A0639D" w:rsidRPr="00005453" w14:paraId="11B40EB2"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F26EC" w14:textId="77777777" w:rsidR="00A0639D" w:rsidRPr="00005453" w:rsidRDefault="00A0639D" w:rsidP="00A0639D">
            <w:pPr>
              <w:jc w:val="right"/>
              <w:rPr>
                <w:color w:val="404040"/>
                <w:sz w:val="16"/>
                <w:szCs w:val="16"/>
                <w:lang w:eastAsia="tr-TR"/>
              </w:rPr>
            </w:pPr>
            <w:r w:rsidRPr="00005453">
              <w:rPr>
                <w:color w:val="404040"/>
                <w:sz w:val="16"/>
                <w:szCs w:val="16"/>
                <w:lang w:eastAsia="tr-TR"/>
              </w:rPr>
              <w:t>14</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394DA1D" w14:textId="77777777" w:rsidR="00A0639D" w:rsidRPr="00005453" w:rsidRDefault="00A0639D" w:rsidP="00A0639D">
            <w:pPr>
              <w:rPr>
                <w:sz w:val="16"/>
                <w:szCs w:val="16"/>
                <w:lang w:eastAsia="tr-TR"/>
              </w:rPr>
            </w:pPr>
            <w:r w:rsidRPr="00005453">
              <w:rPr>
                <w:sz w:val="16"/>
                <w:szCs w:val="16"/>
                <w:lang w:eastAsia="tr-TR"/>
              </w:rPr>
              <w:t>İDD denetim otoritesi formülü yaklaşımı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07516" w14:textId="699EEB16"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2B188BB5" w14:textId="7C91979E"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67B479DD" w14:textId="4A5FAC5B" w:rsidR="00A0639D" w:rsidRPr="00005453" w:rsidRDefault="00A0639D" w:rsidP="00A0639D">
            <w:pPr>
              <w:jc w:val="right"/>
              <w:rPr>
                <w:color w:val="000000"/>
                <w:sz w:val="16"/>
                <w:szCs w:val="16"/>
              </w:rPr>
            </w:pPr>
            <w:r w:rsidRPr="00005453">
              <w:rPr>
                <w:sz w:val="16"/>
                <w:szCs w:val="22"/>
              </w:rPr>
              <w:t>-</w:t>
            </w:r>
          </w:p>
        </w:tc>
      </w:tr>
      <w:tr w:rsidR="00A0639D" w:rsidRPr="00005453" w14:paraId="2D025571" w14:textId="77777777" w:rsidTr="00A0639D">
        <w:trPr>
          <w:divId w:val="471945713"/>
          <w:trHeight w:val="274"/>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47C5C" w14:textId="77777777" w:rsidR="00A0639D" w:rsidRPr="00005453" w:rsidRDefault="00A0639D" w:rsidP="00A0639D">
            <w:pPr>
              <w:jc w:val="right"/>
              <w:rPr>
                <w:color w:val="404040"/>
                <w:sz w:val="16"/>
                <w:szCs w:val="16"/>
                <w:lang w:eastAsia="tr-TR"/>
              </w:rPr>
            </w:pPr>
            <w:r w:rsidRPr="00005453">
              <w:rPr>
                <w:color w:val="404040"/>
                <w:sz w:val="16"/>
                <w:szCs w:val="16"/>
                <w:lang w:eastAsia="tr-TR"/>
              </w:rPr>
              <w:t>15</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1843AA05" w14:textId="77777777" w:rsidR="00A0639D" w:rsidRPr="00005453" w:rsidRDefault="00A0639D" w:rsidP="00A0639D">
            <w:pPr>
              <w:rPr>
                <w:sz w:val="16"/>
                <w:szCs w:val="16"/>
                <w:lang w:eastAsia="tr-TR"/>
              </w:rPr>
            </w:pPr>
            <w:r w:rsidRPr="00005453">
              <w:rPr>
                <w:sz w:val="16"/>
                <w:szCs w:val="16"/>
                <w:lang w:eastAsia="tr-TR"/>
              </w:rPr>
              <w:t>Standart basitleştirilmiş denetim otoritesi formülü yaklaşımı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E3810" w14:textId="6FB8E3EA"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4619AB22" w14:textId="5D25EB4F"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61C711CA" w14:textId="3FE8635A" w:rsidR="00A0639D" w:rsidRPr="00005453" w:rsidRDefault="00A0639D" w:rsidP="00A0639D">
            <w:pPr>
              <w:jc w:val="right"/>
              <w:rPr>
                <w:color w:val="000000"/>
                <w:sz w:val="16"/>
                <w:szCs w:val="16"/>
              </w:rPr>
            </w:pPr>
            <w:r w:rsidRPr="00005453">
              <w:rPr>
                <w:sz w:val="16"/>
                <w:szCs w:val="22"/>
              </w:rPr>
              <w:t>-</w:t>
            </w:r>
          </w:p>
        </w:tc>
      </w:tr>
      <w:tr w:rsidR="00A0639D" w:rsidRPr="00005453" w14:paraId="17901CE3"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48879" w14:textId="77777777" w:rsidR="00A0639D" w:rsidRPr="00005453" w:rsidRDefault="00A0639D" w:rsidP="00A0639D">
            <w:pPr>
              <w:jc w:val="right"/>
              <w:rPr>
                <w:color w:val="404040"/>
                <w:sz w:val="16"/>
                <w:szCs w:val="16"/>
                <w:lang w:eastAsia="tr-TR"/>
              </w:rPr>
            </w:pPr>
            <w:r w:rsidRPr="00005453">
              <w:rPr>
                <w:color w:val="404040"/>
                <w:sz w:val="16"/>
                <w:szCs w:val="16"/>
                <w:lang w:eastAsia="tr-TR"/>
              </w:rPr>
              <w:t>16</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6445B2E" w14:textId="77777777" w:rsidR="00A0639D" w:rsidRPr="00005453" w:rsidRDefault="00A0639D" w:rsidP="00A0639D">
            <w:pPr>
              <w:rPr>
                <w:sz w:val="16"/>
                <w:szCs w:val="16"/>
                <w:lang w:eastAsia="tr-TR"/>
              </w:rPr>
            </w:pPr>
            <w:r w:rsidRPr="00005453">
              <w:rPr>
                <w:sz w:val="16"/>
                <w:szCs w:val="16"/>
                <w:lang w:eastAsia="tr-TR"/>
              </w:rPr>
              <w:t>Piyasa riski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AC9A8" w14:textId="2FEF92AD" w:rsidR="00A0639D" w:rsidRPr="00005453" w:rsidRDefault="00A0639D" w:rsidP="00A0639D">
            <w:pPr>
              <w:jc w:val="right"/>
              <w:rPr>
                <w:color w:val="000000"/>
                <w:sz w:val="16"/>
                <w:szCs w:val="16"/>
              </w:rPr>
            </w:pPr>
            <w:r w:rsidRPr="00005453">
              <w:rPr>
                <w:color w:val="000000"/>
                <w:sz w:val="16"/>
                <w:szCs w:val="22"/>
              </w:rPr>
              <w:t>44,449,178</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76C6F29E" w14:textId="4785B3B5" w:rsidR="00A0639D" w:rsidRPr="00005453" w:rsidRDefault="00A0639D" w:rsidP="00A0639D">
            <w:pPr>
              <w:jc w:val="right"/>
              <w:rPr>
                <w:color w:val="000000"/>
                <w:sz w:val="16"/>
                <w:szCs w:val="16"/>
              </w:rPr>
            </w:pPr>
            <w:r w:rsidRPr="00005453">
              <w:rPr>
                <w:color w:val="000000"/>
                <w:sz w:val="16"/>
                <w:szCs w:val="16"/>
              </w:rPr>
              <w:t>49,803,589</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9568744" w14:textId="790326EE" w:rsidR="00A0639D" w:rsidRPr="00005453" w:rsidRDefault="00A0639D" w:rsidP="00A0639D">
            <w:pPr>
              <w:jc w:val="right"/>
              <w:rPr>
                <w:color w:val="000000"/>
                <w:sz w:val="16"/>
                <w:szCs w:val="16"/>
              </w:rPr>
            </w:pPr>
            <w:r w:rsidRPr="00005453">
              <w:rPr>
                <w:sz w:val="16"/>
                <w:szCs w:val="22"/>
              </w:rPr>
              <w:t>3,555,934</w:t>
            </w:r>
          </w:p>
        </w:tc>
      </w:tr>
      <w:tr w:rsidR="00A0639D" w:rsidRPr="00005453" w14:paraId="1D8EA1F6"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0FA7F" w14:textId="77777777" w:rsidR="00A0639D" w:rsidRPr="00005453" w:rsidRDefault="00A0639D" w:rsidP="00A0639D">
            <w:pPr>
              <w:jc w:val="right"/>
              <w:rPr>
                <w:color w:val="404040"/>
                <w:sz w:val="16"/>
                <w:szCs w:val="16"/>
                <w:lang w:eastAsia="tr-TR"/>
              </w:rPr>
            </w:pPr>
            <w:r w:rsidRPr="00005453">
              <w:rPr>
                <w:color w:val="404040"/>
                <w:sz w:val="16"/>
                <w:szCs w:val="16"/>
                <w:lang w:eastAsia="tr-TR"/>
              </w:rPr>
              <w:t>17</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36869F4C" w14:textId="77777777" w:rsidR="00A0639D" w:rsidRPr="00005453" w:rsidRDefault="00A0639D" w:rsidP="00A0639D">
            <w:pPr>
              <w:rPr>
                <w:sz w:val="16"/>
                <w:szCs w:val="16"/>
                <w:lang w:eastAsia="tr-TR"/>
              </w:rPr>
            </w:pPr>
            <w:r w:rsidRPr="00005453">
              <w:rPr>
                <w:sz w:val="16"/>
                <w:szCs w:val="16"/>
                <w:lang w:eastAsia="tr-TR"/>
              </w:rPr>
              <w:t>Standart yaklaşım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9F32F" w14:textId="29486454" w:rsidR="00A0639D" w:rsidRPr="00005453" w:rsidRDefault="00A0639D" w:rsidP="00A0639D">
            <w:pPr>
              <w:jc w:val="right"/>
              <w:rPr>
                <w:color w:val="000000"/>
                <w:sz w:val="16"/>
                <w:szCs w:val="16"/>
              </w:rPr>
            </w:pPr>
            <w:r w:rsidRPr="00005453">
              <w:rPr>
                <w:color w:val="000000"/>
                <w:sz w:val="16"/>
                <w:szCs w:val="22"/>
              </w:rPr>
              <w:t>44,449,178</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5E134457" w14:textId="6F4BF726" w:rsidR="00A0639D" w:rsidRPr="00005453" w:rsidRDefault="00A0639D" w:rsidP="00A0639D">
            <w:pPr>
              <w:jc w:val="right"/>
              <w:rPr>
                <w:color w:val="000000"/>
                <w:sz w:val="16"/>
                <w:szCs w:val="16"/>
              </w:rPr>
            </w:pPr>
            <w:r w:rsidRPr="00005453">
              <w:rPr>
                <w:color w:val="000000"/>
                <w:sz w:val="16"/>
                <w:szCs w:val="16"/>
              </w:rPr>
              <w:t>49,803,589</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24319785" w14:textId="624CA978" w:rsidR="00A0639D" w:rsidRPr="00005453" w:rsidRDefault="00A0639D" w:rsidP="00A0639D">
            <w:pPr>
              <w:jc w:val="right"/>
              <w:rPr>
                <w:color w:val="000000"/>
                <w:sz w:val="16"/>
                <w:szCs w:val="16"/>
              </w:rPr>
            </w:pPr>
            <w:r w:rsidRPr="00005453">
              <w:rPr>
                <w:sz w:val="16"/>
                <w:szCs w:val="22"/>
              </w:rPr>
              <w:t>3,555,934</w:t>
            </w:r>
          </w:p>
        </w:tc>
      </w:tr>
      <w:tr w:rsidR="00A0639D" w:rsidRPr="00005453" w14:paraId="65D054A0"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80947" w14:textId="77777777" w:rsidR="00A0639D" w:rsidRPr="00005453" w:rsidRDefault="00A0639D" w:rsidP="00A0639D">
            <w:pPr>
              <w:jc w:val="right"/>
              <w:rPr>
                <w:color w:val="404040"/>
                <w:sz w:val="16"/>
                <w:szCs w:val="16"/>
                <w:lang w:eastAsia="tr-TR"/>
              </w:rPr>
            </w:pPr>
            <w:r w:rsidRPr="00005453">
              <w:rPr>
                <w:color w:val="404040"/>
                <w:sz w:val="16"/>
                <w:szCs w:val="16"/>
                <w:lang w:eastAsia="tr-TR"/>
              </w:rPr>
              <w:t>18</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77B89107" w14:textId="77777777" w:rsidR="00A0639D" w:rsidRPr="00005453" w:rsidRDefault="00A0639D" w:rsidP="00A0639D">
            <w:pPr>
              <w:rPr>
                <w:sz w:val="16"/>
                <w:szCs w:val="16"/>
                <w:lang w:eastAsia="tr-TR"/>
              </w:rPr>
            </w:pPr>
            <w:r w:rsidRPr="00005453">
              <w:rPr>
                <w:sz w:val="16"/>
                <w:szCs w:val="16"/>
                <w:lang w:eastAsia="tr-TR"/>
              </w:rPr>
              <w:t>İçsel model yaklaşımları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0A822" w14:textId="2D4A3AC8" w:rsidR="00A0639D" w:rsidRPr="00005453" w:rsidRDefault="00A0639D" w:rsidP="00A0639D">
            <w:pPr>
              <w:jc w:val="right"/>
              <w:rPr>
                <w:color w:val="000000"/>
                <w:sz w:val="16"/>
                <w:szCs w:val="16"/>
              </w:rPr>
            </w:pPr>
            <w:r w:rsidRPr="00005453">
              <w:rPr>
                <w:color w:val="000000"/>
                <w:sz w:val="16"/>
                <w:szCs w:val="22"/>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745F2473" w14:textId="5055692F"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0106329D" w14:textId="6BA46F4A" w:rsidR="00A0639D" w:rsidRPr="00005453" w:rsidRDefault="00A0639D" w:rsidP="00A0639D">
            <w:pPr>
              <w:jc w:val="right"/>
              <w:rPr>
                <w:color w:val="000000"/>
                <w:sz w:val="16"/>
                <w:szCs w:val="16"/>
              </w:rPr>
            </w:pPr>
            <w:r w:rsidRPr="00005453">
              <w:rPr>
                <w:sz w:val="16"/>
                <w:szCs w:val="22"/>
              </w:rPr>
              <w:t>-</w:t>
            </w:r>
          </w:p>
        </w:tc>
      </w:tr>
      <w:tr w:rsidR="00A0639D" w:rsidRPr="00005453" w14:paraId="13D7DFC1"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B62AF" w14:textId="77777777" w:rsidR="00A0639D" w:rsidRPr="00005453" w:rsidRDefault="00A0639D" w:rsidP="00A0639D">
            <w:pPr>
              <w:jc w:val="right"/>
              <w:rPr>
                <w:color w:val="404040"/>
                <w:sz w:val="16"/>
                <w:szCs w:val="16"/>
                <w:lang w:eastAsia="tr-TR"/>
              </w:rPr>
            </w:pPr>
            <w:r w:rsidRPr="00005453">
              <w:rPr>
                <w:color w:val="404040"/>
                <w:sz w:val="16"/>
                <w:szCs w:val="16"/>
                <w:lang w:eastAsia="tr-TR"/>
              </w:rPr>
              <w:t>19</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B15895F" w14:textId="77777777" w:rsidR="00A0639D" w:rsidRPr="00005453" w:rsidRDefault="00A0639D" w:rsidP="00A0639D">
            <w:pPr>
              <w:rPr>
                <w:sz w:val="16"/>
                <w:szCs w:val="16"/>
                <w:lang w:eastAsia="tr-TR"/>
              </w:rPr>
            </w:pPr>
            <w:r w:rsidRPr="00005453">
              <w:rPr>
                <w:sz w:val="16"/>
                <w:szCs w:val="16"/>
                <w:lang w:eastAsia="tr-TR"/>
              </w:rPr>
              <w:t>Operasyonel risk</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3EB62" w14:textId="746CEAE7" w:rsidR="00A0639D" w:rsidRPr="00005453" w:rsidRDefault="00A0639D" w:rsidP="00A0639D">
            <w:pPr>
              <w:jc w:val="right"/>
              <w:rPr>
                <w:color w:val="000000"/>
                <w:sz w:val="16"/>
                <w:szCs w:val="16"/>
              </w:rPr>
            </w:pPr>
            <w:r w:rsidRPr="00005453">
              <w:rPr>
                <w:color w:val="000000"/>
                <w:sz w:val="16"/>
                <w:szCs w:val="22"/>
              </w:rPr>
              <w:t>55,143,267</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1CAA01B2" w14:textId="77B11DFE" w:rsidR="00A0639D" w:rsidRPr="00005453" w:rsidRDefault="00A0639D" w:rsidP="00A0639D">
            <w:pPr>
              <w:jc w:val="right"/>
              <w:rPr>
                <w:color w:val="000000"/>
                <w:sz w:val="16"/>
                <w:szCs w:val="16"/>
              </w:rPr>
            </w:pPr>
            <w:r w:rsidRPr="00005453">
              <w:rPr>
                <w:color w:val="000000"/>
                <w:sz w:val="16"/>
                <w:szCs w:val="16"/>
              </w:rPr>
              <w:t>29,549,149</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10FBD24" w14:textId="3EB09D8A" w:rsidR="00A0639D" w:rsidRPr="00005453" w:rsidRDefault="00A0639D" w:rsidP="00A0639D">
            <w:pPr>
              <w:jc w:val="right"/>
              <w:rPr>
                <w:color w:val="000000"/>
                <w:sz w:val="16"/>
                <w:szCs w:val="16"/>
              </w:rPr>
            </w:pPr>
            <w:r w:rsidRPr="00005453">
              <w:rPr>
                <w:sz w:val="16"/>
                <w:szCs w:val="22"/>
              </w:rPr>
              <w:t>4,411,461</w:t>
            </w:r>
          </w:p>
        </w:tc>
      </w:tr>
      <w:tr w:rsidR="00A0639D" w:rsidRPr="00005453" w14:paraId="4FDF3740"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FA223" w14:textId="77777777" w:rsidR="00A0639D" w:rsidRPr="00005453" w:rsidRDefault="00A0639D" w:rsidP="00A0639D">
            <w:pPr>
              <w:jc w:val="right"/>
              <w:rPr>
                <w:color w:val="404040"/>
                <w:sz w:val="16"/>
                <w:szCs w:val="16"/>
                <w:lang w:eastAsia="tr-TR"/>
              </w:rPr>
            </w:pPr>
            <w:r w:rsidRPr="00005453">
              <w:rPr>
                <w:color w:val="404040"/>
                <w:sz w:val="16"/>
                <w:szCs w:val="16"/>
                <w:lang w:eastAsia="tr-TR"/>
              </w:rPr>
              <w:t>20</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7BEC0D4D" w14:textId="77777777" w:rsidR="00A0639D" w:rsidRPr="00005453" w:rsidRDefault="00A0639D" w:rsidP="00A0639D">
            <w:pPr>
              <w:rPr>
                <w:sz w:val="16"/>
                <w:szCs w:val="16"/>
                <w:lang w:eastAsia="tr-TR"/>
              </w:rPr>
            </w:pPr>
            <w:r w:rsidRPr="00005453">
              <w:rPr>
                <w:sz w:val="16"/>
                <w:szCs w:val="16"/>
                <w:lang w:eastAsia="tr-TR"/>
              </w:rPr>
              <w:t>Temel gösterge yaklaşımı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73517" w14:textId="76006C75" w:rsidR="00A0639D" w:rsidRPr="00005453" w:rsidRDefault="00A0639D" w:rsidP="00A0639D">
            <w:pPr>
              <w:jc w:val="right"/>
              <w:rPr>
                <w:color w:val="000000"/>
                <w:sz w:val="16"/>
                <w:szCs w:val="16"/>
              </w:rPr>
            </w:pPr>
            <w:r w:rsidRPr="00005453">
              <w:rPr>
                <w:color w:val="000000"/>
                <w:sz w:val="16"/>
                <w:szCs w:val="22"/>
              </w:rPr>
              <w:t>55,143,267</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5A4C7F68" w14:textId="60D88505" w:rsidR="00A0639D" w:rsidRPr="00005453" w:rsidRDefault="00A0639D" w:rsidP="00A0639D">
            <w:pPr>
              <w:jc w:val="right"/>
              <w:rPr>
                <w:color w:val="000000"/>
                <w:sz w:val="16"/>
                <w:szCs w:val="16"/>
              </w:rPr>
            </w:pPr>
            <w:r w:rsidRPr="00005453">
              <w:rPr>
                <w:color w:val="000000"/>
                <w:sz w:val="16"/>
                <w:szCs w:val="16"/>
              </w:rPr>
              <w:t>29,549,149</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3C0A0A2" w14:textId="2EDC1F31" w:rsidR="00A0639D" w:rsidRPr="00005453" w:rsidRDefault="00A0639D" w:rsidP="00A0639D">
            <w:pPr>
              <w:jc w:val="right"/>
              <w:rPr>
                <w:color w:val="000000"/>
                <w:sz w:val="16"/>
                <w:szCs w:val="16"/>
              </w:rPr>
            </w:pPr>
            <w:r w:rsidRPr="00005453">
              <w:rPr>
                <w:sz w:val="16"/>
                <w:szCs w:val="22"/>
              </w:rPr>
              <w:t>4,411,461</w:t>
            </w:r>
          </w:p>
        </w:tc>
      </w:tr>
      <w:tr w:rsidR="00A0639D" w:rsidRPr="00005453" w14:paraId="70EE9611"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76845" w14:textId="77777777" w:rsidR="00A0639D" w:rsidRPr="00005453" w:rsidRDefault="00A0639D" w:rsidP="00A0639D">
            <w:pPr>
              <w:jc w:val="right"/>
              <w:rPr>
                <w:color w:val="404040"/>
                <w:sz w:val="16"/>
                <w:szCs w:val="16"/>
                <w:lang w:eastAsia="tr-TR"/>
              </w:rPr>
            </w:pPr>
            <w:r w:rsidRPr="00005453">
              <w:rPr>
                <w:color w:val="404040"/>
                <w:sz w:val="16"/>
                <w:szCs w:val="16"/>
                <w:lang w:eastAsia="tr-TR"/>
              </w:rPr>
              <w:t>21</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5147E69F" w14:textId="77777777" w:rsidR="00A0639D" w:rsidRPr="00005453" w:rsidRDefault="00A0639D" w:rsidP="00A0639D">
            <w:pPr>
              <w:rPr>
                <w:sz w:val="16"/>
                <w:szCs w:val="16"/>
                <w:lang w:eastAsia="tr-TR"/>
              </w:rPr>
            </w:pPr>
            <w:r w:rsidRPr="00005453">
              <w:rPr>
                <w:sz w:val="16"/>
                <w:szCs w:val="16"/>
                <w:lang w:eastAsia="tr-TR"/>
              </w:rPr>
              <w:t>Standart yaklaşım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74D82" w14:textId="467DDB6F" w:rsidR="00A0639D" w:rsidRPr="00005453" w:rsidRDefault="00A0639D" w:rsidP="00A0639D">
            <w:pPr>
              <w:jc w:val="right"/>
              <w:rPr>
                <w:color w:val="000000"/>
                <w:sz w:val="16"/>
                <w:szCs w:val="16"/>
              </w:rPr>
            </w:pPr>
            <w:r w:rsidRPr="00005453">
              <w:rPr>
                <w:color w:val="000000"/>
                <w:sz w:val="16"/>
                <w:szCs w:val="16"/>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6C1555B5" w14:textId="4D0542E0"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0985E6A9" w14:textId="7F80C954" w:rsidR="00A0639D" w:rsidRPr="00005453" w:rsidRDefault="00A0639D" w:rsidP="00A0639D">
            <w:pPr>
              <w:jc w:val="right"/>
              <w:rPr>
                <w:color w:val="000000"/>
                <w:sz w:val="16"/>
                <w:szCs w:val="16"/>
              </w:rPr>
            </w:pPr>
            <w:r w:rsidRPr="00005453">
              <w:rPr>
                <w:color w:val="000000"/>
                <w:sz w:val="16"/>
                <w:szCs w:val="16"/>
              </w:rPr>
              <w:t>-</w:t>
            </w:r>
          </w:p>
        </w:tc>
      </w:tr>
      <w:tr w:rsidR="00A0639D" w:rsidRPr="00005453" w14:paraId="330A4704"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FFE9E" w14:textId="77777777" w:rsidR="00A0639D" w:rsidRPr="00005453" w:rsidRDefault="00A0639D" w:rsidP="00A0639D">
            <w:pPr>
              <w:jc w:val="right"/>
              <w:rPr>
                <w:color w:val="404040"/>
                <w:sz w:val="16"/>
                <w:szCs w:val="16"/>
                <w:lang w:eastAsia="tr-TR"/>
              </w:rPr>
            </w:pPr>
            <w:r w:rsidRPr="00005453">
              <w:rPr>
                <w:color w:val="404040"/>
                <w:sz w:val="16"/>
                <w:szCs w:val="16"/>
                <w:lang w:eastAsia="tr-TR"/>
              </w:rPr>
              <w:t>22</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76D7B15C" w14:textId="77777777" w:rsidR="00A0639D" w:rsidRPr="00005453" w:rsidRDefault="00A0639D" w:rsidP="00A0639D">
            <w:pPr>
              <w:rPr>
                <w:sz w:val="16"/>
                <w:szCs w:val="16"/>
                <w:lang w:eastAsia="tr-TR"/>
              </w:rPr>
            </w:pPr>
            <w:r w:rsidRPr="00005453">
              <w:rPr>
                <w:sz w:val="16"/>
                <w:szCs w:val="16"/>
                <w:lang w:eastAsia="tr-TR"/>
              </w:rPr>
              <w:t>İleri ölçüm yaklaşımı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C1EF1" w14:textId="6557FE80" w:rsidR="00A0639D" w:rsidRPr="00005453" w:rsidRDefault="00A0639D" w:rsidP="00A0639D">
            <w:pPr>
              <w:jc w:val="right"/>
              <w:rPr>
                <w:color w:val="000000"/>
                <w:sz w:val="16"/>
                <w:szCs w:val="16"/>
              </w:rPr>
            </w:pPr>
            <w:r w:rsidRPr="00005453">
              <w:rPr>
                <w:color w:val="000000"/>
                <w:sz w:val="16"/>
                <w:szCs w:val="16"/>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0AFBDB98" w14:textId="77FC5D28"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7B241A1A" w14:textId="7F5E5FF0" w:rsidR="00A0639D" w:rsidRPr="00005453" w:rsidRDefault="00A0639D" w:rsidP="00A0639D">
            <w:pPr>
              <w:jc w:val="right"/>
              <w:rPr>
                <w:color w:val="000000"/>
                <w:sz w:val="16"/>
                <w:szCs w:val="16"/>
              </w:rPr>
            </w:pPr>
            <w:r w:rsidRPr="00005453">
              <w:rPr>
                <w:color w:val="000000"/>
                <w:sz w:val="16"/>
                <w:szCs w:val="16"/>
              </w:rPr>
              <w:t>-</w:t>
            </w:r>
          </w:p>
        </w:tc>
      </w:tr>
      <w:tr w:rsidR="00A0639D" w:rsidRPr="00005453" w14:paraId="6CB22F13"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329C3" w14:textId="77777777" w:rsidR="00A0639D" w:rsidRPr="00005453" w:rsidRDefault="00A0639D" w:rsidP="00A0639D">
            <w:pPr>
              <w:jc w:val="right"/>
              <w:rPr>
                <w:color w:val="404040"/>
                <w:sz w:val="16"/>
                <w:szCs w:val="16"/>
                <w:lang w:eastAsia="tr-TR"/>
              </w:rPr>
            </w:pPr>
            <w:r w:rsidRPr="00005453">
              <w:rPr>
                <w:color w:val="404040"/>
                <w:sz w:val="16"/>
                <w:szCs w:val="16"/>
                <w:lang w:eastAsia="tr-TR"/>
              </w:rPr>
              <w:t>23</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0D75F85B" w14:textId="77777777" w:rsidR="00A0639D" w:rsidRPr="00005453" w:rsidRDefault="00A0639D" w:rsidP="00A0639D">
            <w:pPr>
              <w:rPr>
                <w:sz w:val="16"/>
                <w:szCs w:val="16"/>
                <w:lang w:eastAsia="tr-TR"/>
              </w:rPr>
            </w:pPr>
            <w:r w:rsidRPr="00005453">
              <w:rPr>
                <w:sz w:val="16"/>
                <w:szCs w:val="16"/>
                <w:lang w:eastAsia="tr-TR"/>
              </w:rPr>
              <w:t>Özkaynaklardan indirim eşiklerinin altındaki tutarlar (%250 risk ağırlığına tabi)</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57EB9" w14:textId="7BCB51C8" w:rsidR="00A0639D" w:rsidRPr="00005453" w:rsidRDefault="00A0639D" w:rsidP="00A0639D">
            <w:pPr>
              <w:jc w:val="right"/>
              <w:rPr>
                <w:color w:val="000000"/>
                <w:sz w:val="16"/>
                <w:szCs w:val="16"/>
              </w:rPr>
            </w:pPr>
            <w:r w:rsidRPr="00005453">
              <w:rPr>
                <w:color w:val="000000"/>
                <w:sz w:val="16"/>
                <w:szCs w:val="16"/>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109B3383" w14:textId="2C12A327"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2D13D3D4" w14:textId="62938687" w:rsidR="00A0639D" w:rsidRPr="00005453" w:rsidRDefault="00A0639D" w:rsidP="00A0639D">
            <w:pPr>
              <w:jc w:val="right"/>
              <w:rPr>
                <w:color w:val="000000"/>
                <w:sz w:val="16"/>
                <w:szCs w:val="16"/>
              </w:rPr>
            </w:pPr>
            <w:r w:rsidRPr="00005453">
              <w:rPr>
                <w:color w:val="000000"/>
                <w:sz w:val="16"/>
                <w:szCs w:val="16"/>
              </w:rPr>
              <w:t>-</w:t>
            </w:r>
          </w:p>
        </w:tc>
      </w:tr>
      <w:tr w:rsidR="00A0639D" w:rsidRPr="00005453" w14:paraId="55624A6A"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4DB8D" w14:textId="77777777" w:rsidR="00A0639D" w:rsidRPr="00005453" w:rsidRDefault="00A0639D" w:rsidP="00A0639D">
            <w:pPr>
              <w:jc w:val="right"/>
              <w:rPr>
                <w:color w:val="404040"/>
                <w:sz w:val="16"/>
                <w:szCs w:val="16"/>
                <w:lang w:eastAsia="tr-TR"/>
              </w:rPr>
            </w:pPr>
            <w:r w:rsidRPr="00005453">
              <w:rPr>
                <w:color w:val="404040"/>
                <w:sz w:val="16"/>
                <w:szCs w:val="16"/>
                <w:lang w:eastAsia="tr-TR"/>
              </w:rPr>
              <w:t>24</w:t>
            </w:r>
          </w:p>
        </w:tc>
        <w:tc>
          <w:tcPr>
            <w:tcW w:w="5895" w:type="dxa"/>
            <w:tcBorders>
              <w:top w:val="single" w:sz="4" w:space="0" w:color="auto"/>
              <w:left w:val="nil"/>
              <w:bottom w:val="single" w:sz="4" w:space="0" w:color="auto"/>
              <w:right w:val="dotted" w:sz="4" w:space="0" w:color="auto"/>
            </w:tcBorders>
            <w:shd w:val="clear" w:color="auto" w:fill="auto"/>
            <w:vAlign w:val="center"/>
            <w:hideMark/>
          </w:tcPr>
          <w:p w14:paraId="3D275636" w14:textId="77777777" w:rsidR="00A0639D" w:rsidRPr="00005453" w:rsidRDefault="00A0639D" w:rsidP="00A0639D">
            <w:pPr>
              <w:rPr>
                <w:sz w:val="16"/>
                <w:szCs w:val="16"/>
                <w:lang w:eastAsia="tr-TR"/>
              </w:rPr>
            </w:pPr>
            <w:r w:rsidRPr="00005453">
              <w:rPr>
                <w:sz w:val="16"/>
                <w:szCs w:val="16"/>
                <w:lang w:eastAsia="tr-TR"/>
              </w:rPr>
              <w:t>En düşük değer ayarlamaları</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332FB" w14:textId="420D6B54" w:rsidR="00A0639D" w:rsidRPr="00005453" w:rsidRDefault="00A0639D" w:rsidP="00A0639D">
            <w:pPr>
              <w:jc w:val="right"/>
              <w:rPr>
                <w:color w:val="000000"/>
                <w:sz w:val="16"/>
                <w:szCs w:val="16"/>
              </w:rPr>
            </w:pPr>
            <w:r w:rsidRPr="00005453">
              <w:rPr>
                <w:color w:val="000000"/>
                <w:sz w:val="16"/>
                <w:szCs w:val="16"/>
              </w:rPr>
              <w:t>-</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46678719" w14:textId="2C601B66" w:rsidR="00A0639D" w:rsidRPr="00005453" w:rsidRDefault="00A0639D" w:rsidP="00A0639D">
            <w:pPr>
              <w:jc w:val="right"/>
              <w:rPr>
                <w:color w:val="000000"/>
                <w:sz w:val="16"/>
                <w:szCs w:val="16"/>
              </w:rPr>
            </w:pPr>
            <w:r w:rsidRPr="00005453">
              <w:rPr>
                <w:color w:val="000000"/>
                <w:sz w:val="16"/>
                <w:szCs w:val="16"/>
              </w:rPr>
              <w:t>-</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0CB6A19A" w14:textId="509CCB20" w:rsidR="00A0639D" w:rsidRPr="00005453" w:rsidRDefault="00A0639D" w:rsidP="00A0639D">
            <w:pPr>
              <w:jc w:val="right"/>
              <w:rPr>
                <w:color w:val="000000"/>
                <w:sz w:val="16"/>
                <w:szCs w:val="16"/>
              </w:rPr>
            </w:pPr>
            <w:r w:rsidRPr="00005453">
              <w:rPr>
                <w:color w:val="000000"/>
                <w:sz w:val="16"/>
                <w:szCs w:val="16"/>
              </w:rPr>
              <w:t>-</w:t>
            </w:r>
          </w:p>
        </w:tc>
      </w:tr>
      <w:tr w:rsidR="00A0639D" w:rsidRPr="00005453" w14:paraId="6C9B8326" w14:textId="77777777" w:rsidTr="00A0639D">
        <w:trPr>
          <w:divId w:val="471945713"/>
          <w:trHeight w:val="182"/>
        </w:trPr>
        <w:tc>
          <w:tcPr>
            <w:tcW w:w="3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DAA90" w14:textId="77777777" w:rsidR="00A0639D" w:rsidRPr="00005453" w:rsidRDefault="00A0639D" w:rsidP="00A0639D">
            <w:pPr>
              <w:jc w:val="right"/>
              <w:rPr>
                <w:b/>
                <w:bCs/>
                <w:color w:val="404040"/>
                <w:sz w:val="16"/>
                <w:szCs w:val="16"/>
                <w:lang w:eastAsia="tr-TR"/>
              </w:rPr>
            </w:pPr>
            <w:r w:rsidRPr="00005453">
              <w:rPr>
                <w:b/>
                <w:bCs/>
                <w:color w:val="404040"/>
                <w:sz w:val="16"/>
                <w:szCs w:val="16"/>
                <w:lang w:eastAsia="tr-TR"/>
              </w:rPr>
              <w:t>25</w:t>
            </w:r>
          </w:p>
        </w:tc>
        <w:tc>
          <w:tcPr>
            <w:tcW w:w="5895" w:type="dxa"/>
            <w:tcBorders>
              <w:top w:val="single" w:sz="4" w:space="0" w:color="auto"/>
              <w:left w:val="nil"/>
              <w:bottom w:val="single" w:sz="4" w:space="0" w:color="auto"/>
              <w:right w:val="single" w:sz="4" w:space="0" w:color="auto"/>
            </w:tcBorders>
            <w:shd w:val="clear" w:color="auto" w:fill="auto"/>
            <w:vAlign w:val="center"/>
            <w:hideMark/>
          </w:tcPr>
          <w:p w14:paraId="0B1518ED" w14:textId="77777777" w:rsidR="00A0639D" w:rsidRPr="00005453" w:rsidRDefault="00A0639D" w:rsidP="00A0639D">
            <w:pPr>
              <w:jc w:val="both"/>
              <w:rPr>
                <w:b/>
                <w:bCs/>
                <w:sz w:val="16"/>
                <w:szCs w:val="16"/>
                <w:lang w:eastAsia="tr-TR"/>
              </w:rPr>
            </w:pPr>
            <w:r w:rsidRPr="00005453">
              <w:rPr>
                <w:b/>
                <w:bCs/>
                <w:sz w:val="16"/>
                <w:szCs w:val="16"/>
                <w:lang w:eastAsia="tr-TR"/>
              </w:rPr>
              <w:t>Toplam (1+4+7+8+9+10+11+12+16+19+23+24)</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436A01EE" w14:textId="124A4676" w:rsidR="00A0639D" w:rsidRPr="00005453" w:rsidRDefault="00A0639D" w:rsidP="00A0639D">
            <w:pPr>
              <w:jc w:val="right"/>
              <w:rPr>
                <w:b/>
                <w:bCs/>
                <w:sz w:val="16"/>
                <w:szCs w:val="16"/>
                <w:lang w:eastAsia="tr-TR"/>
              </w:rPr>
            </w:pPr>
            <w:r w:rsidRPr="00005453">
              <w:rPr>
                <w:b/>
                <w:bCs/>
                <w:color w:val="000000"/>
                <w:sz w:val="16"/>
                <w:szCs w:val="22"/>
              </w:rPr>
              <w:t>397,708,358</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54D8EC63" w14:textId="0EFAB0D8" w:rsidR="00A0639D" w:rsidRPr="00005453" w:rsidRDefault="00A0639D" w:rsidP="00A0639D">
            <w:pPr>
              <w:jc w:val="right"/>
              <w:rPr>
                <w:b/>
                <w:bCs/>
                <w:sz w:val="16"/>
                <w:szCs w:val="16"/>
                <w:lang w:eastAsia="tr-TR"/>
              </w:rPr>
            </w:pPr>
            <w:r w:rsidRPr="00005453">
              <w:rPr>
                <w:b/>
                <w:bCs/>
                <w:color w:val="000000"/>
                <w:sz w:val="16"/>
                <w:szCs w:val="16"/>
              </w:rPr>
              <w:t>264,700,050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20F18582" w14:textId="33848F78" w:rsidR="00A0639D" w:rsidRPr="00005453" w:rsidRDefault="00A0639D" w:rsidP="00A0639D">
            <w:pPr>
              <w:jc w:val="right"/>
              <w:rPr>
                <w:b/>
                <w:bCs/>
                <w:sz w:val="16"/>
                <w:szCs w:val="16"/>
                <w:lang w:eastAsia="tr-TR"/>
              </w:rPr>
            </w:pPr>
            <w:r w:rsidRPr="00005453">
              <w:rPr>
                <w:b/>
                <w:bCs/>
                <w:sz w:val="16"/>
                <w:szCs w:val="22"/>
              </w:rPr>
              <w:t>31,816,668</w:t>
            </w:r>
          </w:p>
        </w:tc>
      </w:tr>
    </w:tbl>
    <w:p w14:paraId="5480C200" w14:textId="7918DACB" w:rsidR="00557BAB" w:rsidRPr="00005453" w:rsidRDefault="00557BAB" w:rsidP="00F35F4E">
      <w:pPr>
        <w:pStyle w:val="BodyText"/>
        <w:tabs>
          <w:tab w:val="left" w:pos="709"/>
        </w:tabs>
        <w:rPr>
          <w:b/>
          <w:sz w:val="4"/>
        </w:rPr>
        <w:sectPr w:rsidR="00557BAB" w:rsidRPr="00005453" w:rsidSect="00557BAB">
          <w:pgSz w:w="11906" w:h="16838"/>
          <w:pgMar w:top="737" w:right="992" w:bottom="992" w:left="1440" w:header="709" w:footer="709" w:gutter="0"/>
          <w:cols w:space="708"/>
          <w:docGrid w:linePitch="360"/>
        </w:sectPr>
      </w:pPr>
    </w:p>
    <w:p w14:paraId="10A18E33" w14:textId="084A368C" w:rsidR="00C25473" w:rsidRPr="00005453" w:rsidRDefault="007A1089" w:rsidP="00C25473">
      <w:pPr>
        <w:pStyle w:val="BodyText"/>
        <w:tabs>
          <w:tab w:val="left" w:pos="709"/>
        </w:tabs>
        <w:ind w:hanging="567"/>
        <w:jc w:val="left"/>
        <w:rPr>
          <w:b/>
          <w:color w:val="000000"/>
        </w:rPr>
      </w:pPr>
      <w:bookmarkStart w:id="53" w:name="_Hlk125292286"/>
      <w:proofErr w:type="gramStart"/>
      <w:r w:rsidRPr="00005453">
        <w:rPr>
          <w:b/>
          <w:color w:val="000000"/>
        </w:rPr>
        <w:lastRenderedPageBreak/>
        <w:t>10</w:t>
      </w:r>
      <w:r w:rsidR="00C25473" w:rsidRPr="00005453">
        <w:rPr>
          <w:b/>
          <w:color w:val="000000"/>
        </w:rPr>
        <w:t>.1.</w:t>
      </w:r>
      <w:r w:rsidR="00693EBE" w:rsidRPr="00005453">
        <w:rPr>
          <w:b/>
          <w:color w:val="000000"/>
        </w:rPr>
        <w:t>3</w:t>
      </w:r>
      <w:r w:rsidR="00C25473" w:rsidRPr="00005453">
        <w:rPr>
          <w:b/>
          <w:color w:val="000000"/>
        </w:rPr>
        <w:t>.  Varlık</w:t>
      </w:r>
      <w:proofErr w:type="gramEnd"/>
      <w:r w:rsidR="00C25473" w:rsidRPr="00005453">
        <w:rPr>
          <w:b/>
          <w:color w:val="000000"/>
        </w:rPr>
        <w:t xml:space="preserve"> ve yükümlülüklerin finansal tablo değerleri ile sermaye yeterliliği hesaplamasına dahil edilen değerleri arasındaki farklar ve eşleştirme</w:t>
      </w:r>
    </w:p>
    <w:p w14:paraId="66A991FD" w14:textId="64039931" w:rsidR="00FF1786" w:rsidRPr="00005453" w:rsidRDefault="00FF1786">
      <w:pPr>
        <w:rPr>
          <w:lang w:eastAsia="en-GB"/>
        </w:rPr>
      </w:pPr>
    </w:p>
    <w:tbl>
      <w:tblPr>
        <w:tblW w:w="15146" w:type="dxa"/>
        <w:tblCellMar>
          <w:left w:w="70" w:type="dxa"/>
          <w:right w:w="70" w:type="dxa"/>
        </w:tblCellMar>
        <w:tblLook w:val="04A0" w:firstRow="1" w:lastRow="0" w:firstColumn="1" w:lastColumn="0" w:noHBand="0" w:noVBand="1"/>
      </w:tblPr>
      <w:tblGrid>
        <w:gridCol w:w="4601"/>
        <w:gridCol w:w="917"/>
        <w:gridCol w:w="1576"/>
        <w:gridCol w:w="1604"/>
        <w:gridCol w:w="1782"/>
        <w:gridCol w:w="1648"/>
        <w:gridCol w:w="1438"/>
        <w:gridCol w:w="1580"/>
      </w:tblGrid>
      <w:tr w:rsidR="00FF1786" w:rsidRPr="00005453" w14:paraId="6E5B88FF" w14:textId="77777777" w:rsidTr="00FF1786">
        <w:trPr>
          <w:divId w:val="1877352299"/>
          <w:trHeight w:val="144"/>
        </w:trPr>
        <w:tc>
          <w:tcPr>
            <w:tcW w:w="4601" w:type="dxa"/>
            <w:vMerge w:val="restart"/>
            <w:tcBorders>
              <w:top w:val="single" w:sz="8" w:space="0" w:color="auto"/>
              <w:left w:val="single" w:sz="8" w:space="0" w:color="auto"/>
              <w:bottom w:val="nil"/>
              <w:right w:val="single" w:sz="8" w:space="0" w:color="auto"/>
            </w:tcBorders>
            <w:shd w:val="clear" w:color="auto" w:fill="auto"/>
            <w:vAlign w:val="center"/>
            <w:hideMark/>
          </w:tcPr>
          <w:p w14:paraId="58886794" w14:textId="77828EB4" w:rsidR="00FF1786" w:rsidRPr="00005453" w:rsidRDefault="00FF1786" w:rsidP="0073243B">
            <w:pPr>
              <w:jc w:val="center"/>
              <w:rPr>
                <w:b/>
                <w:bCs/>
                <w:color w:val="000000"/>
                <w:sz w:val="12"/>
                <w:szCs w:val="12"/>
                <w:lang w:eastAsia="tr-TR"/>
              </w:rPr>
            </w:pPr>
            <w:r w:rsidRPr="00005453">
              <w:rPr>
                <w:b/>
                <w:bCs/>
                <w:color w:val="000000"/>
                <w:sz w:val="12"/>
                <w:szCs w:val="12"/>
                <w:lang w:val="en-US" w:eastAsia="tr-TR"/>
              </w:rPr>
              <w:t>Cari Dönem</w:t>
            </w:r>
          </w:p>
        </w:tc>
        <w:tc>
          <w:tcPr>
            <w:tcW w:w="917" w:type="dxa"/>
            <w:vMerge w:val="restart"/>
            <w:tcBorders>
              <w:top w:val="single" w:sz="8" w:space="0" w:color="auto"/>
              <w:left w:val="single" w:sz="8" w:space="0" w:color="auto"/>
              <w:bottom w:val="nil"/>
              <w:right w:val="single" w:sz="8" w:space="0" w:color="auto"/>
            </w:tcBorders>
            <w:shd w:val="clear" w:color="auto" w:fill="auto"/>
            <w:vAlign w:val="center"/>
            <w:hideMark/>
          </w:tcPr>
          <w:p w14:paraId="03FA7B3A" w14:textId="77777777" w:rsidR="00FF1786" w:rsidRPr="00005453" w:rsidRDefault="00FF1786" w:rsidP="00FF1786">
            <w:pPr>
              <w:jc w:val="center"/>
              <w:rPr>
                <w:b/>
                <w:bCs/>
                <w:color w:val="000000"/>
                <w:sz w:val="12"/>
                <w:szCs w:val="12"/>
                <w:lang w:eastAsia="tr-TR"/>
              </w:rPr>
            </w:pPr>
            <w:r w:rsidRPr="00005453">
              <w:rPr>
                <w:b/>
                <w:bCs/>
                <w:color w:val="000000"/>
                <w:sz w:val="12"/>
                <w:szCs w:val="12"/>
                <w:lang w:eastAsia="tr-TR"/>
              </w:rPr>
              <w:t>Finansal tablolarda raporlanan TMS uyarınca değerlenmiş tutar</w:t>
            </w:r>
          </w:p>
        </w:tc>
        <w:tc>
          <w:tcPr>
            <w:tcW w:w="962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3B56071C" w14:textId="77777777" w:rsidR="00FF1786" w:rsidRPr="00005453" w:rsidRDefault="00FF1786" w:rsidP="00FF1786">
            <w:pPr>
              <w:jc w:val="center"/>
              <w:rPr>
                <w:b/>
                <w:bCs/>
                <w:color w:val="000000"/>
                <w:sz w:val="12"/>
                <w:szCs w:val="12"/>
                <w:lang w:eastAsia="tr-TR"/>
              </w:rPr>
            </w:pPr>
            <w:r w:rsidRPr="00005453">
              <w:rPr>
                <w:b/>
                <w:bCs/>
                <w:color w:val="000000"/>
                <w:sz w:val="12"/>
                <w:szCs w:val="12"/>
                <w:lang w:eastAsia="tr-TR"/>
              </w:rPr>
              <w:t>Kalemlerin TMS uyarınca değerlenmiş tutarı</w:t>
            </w:r>
          </w:p>
        </w:tc>
      </w:tr>
      <w:tr w:rsidR="00FF1786" w:rsidRPr="00005453" w14:paraId="76632929" w14:textId="77777777" w:rsidTr="007877EC">
        <w:trPr>
          <w:divId w:val="1877352299"/>
          <w:trHeight w:val="230"/>
        </w:trPr>
        <w:tc>
          <w:tcPr>
            <w:tcW w:w="4601" w:type="dxa"/>
            <w:vMerge/>
            <w:tcBorders>
              <w:top w:val="single" w:sz="8" w:space="0" w:color="auto"/>
              <w:left w:val="single" w:sz="8" w:space="0" w:color="auto"/>
              <w:bottom w:val="nil"/>
              <w:right w:val="single" w:sz="8" w:space="0" w:color="auto"/>
            </w:tcBorders>
            <w:vAlign w:val="center"/>
            <w:hideMark/>
          </w:tcPr>
          <w:p w14:paraId="48A397F2" w14:textId="77777777" w:rsidR="00FF1786" w:rsidRPr="00005453" w:rsidRDefault="00FF1786" w:rsidP="00FF1786">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4708FBC0" w14:textId="77777777" w:rsidR="00FF1786" w:rsidRPr="00005453" w:rsidRDefault="00FF1786" w:rsidP="00FF1786">
            <w:pPr>
              <w:rPr>
                <w:b/>
                <w:bCs/>
                <w:color w:val="000000"/>
                <w:sz w:val="12"/>
                <w:szCs w:val="12"/>
                <w:lang w:eastAsia="tr-TR"/>
              </w:rPr>
            </w:pPr>
          </w:p>
        </w:tc>
        <w:tc>
          <w:tcPr>
            <w:tcW w:w="1576" w:type="dxa"/>
            <w:vMerge w:val="restart"/>
            <w:tcBorders>
              <w:top w:val="nil"/>
              <w:left w:val="single" w:sz="8" w:space="0" w:color="auto"/>
              <w:bottom w:val="nil"/>
              <w:right w:val="single" w:sz="8" w:space="0" w:color="auto"/>
            </w:tcBorders>
            <w:shd w:val="clear" w:color="auto" w:fill="auto"/>
            <w:vAlign w:val="center"/>
            <w:hideMark/>
          </w:tcPr>
          <w:p w14:paraId="3EAED09D" w14:textId="77777777" w:rsidR="00FF1786" w:rsidRPr="00005453" w:rsidRDefault="00FF1786" w:rsidP="00FF1786">
            <w:pPr>
              <w:jc w:val="center"/>
              <w:rPr>
                <w:b/>
                <w:bCs/>
                <w:color w:val="000000"/>
                <w:sz w:val="12"/>
                <w:szCs w:val="12"/>
                <w:lang w:eastAsia="tr-TR"/>
              </w:rPr>
            </w:pPr>
            <w:r w:rsidRPr="00005453">
              <w:rPr>
                <w:b/>
                <w:bCs/>
                <w:color w:val="000000"/>
                <w:sz w:val="12"/>
                <w:szCs w:val="12"/>
                <w:lang w:eastAsia="tr-TR"/>
              </w:rPr>
              <w:t>Yasal konsolidasyon kapsamındaki TMS uyarınca değerlenmiş tutar</w:t>
            </w:r>
          </w:p>
        </w:tc>
        <w:tc>
          <w:tcPr>
            <w:tcW w:w="1604" w:type="dxa"/>
            <w:vMerge w:val="restart"/>
            <w:tcBorders>
              <w:top w:val="nil"/>
              <w:left w:val="single" w:sz="8" w:space="0" w:color="auto"/>
              <w:bottom w:val="nil"/>
              <w:right w:val="single" w:sz="8" w:space="0" w:color="auto"/>
            </w:tcBorders>
            <w:shd w:val="clear" w:color="auto" w:fill="auto"/>
            <w:vAlign w:val="center"/>
            <w:hideMark/>
          </w:tcPr>
          <w:p w14:paraId="5385E509" w14:textId="77777777" w:rsidR="00FF1786" w:rsidRPr="00005453" w:rsidRDefault="00FF1786" w:rsidP="00FF1786">
            <w:pPr>
              <w:jc w:val="center"/>
              <w:rPr>
                <w:b/>
                <w:bCs/>
                <w:color w:val="000000"/>
                <w:sz w:val="12"/>
                <w:szCs w:val="12"/>
                <w:lang w:eastAsia="tr-TR"/>
              </w:rPr>
            </w:pPr>
            <w:r w:rsidRPr="00005453">
              <w:rPr>
                <w:b/>
                <w:bCs/>
                <w:color w:val="000000"/>
                <w:sz w:val="12"/>
                <w:szCs w:val="12"/>
                <w:lang w:val="en-US" w:eastAsia="tr-TR"/>
              </w:rPr>
              <w:t>Kredi Riskine Tabi</w:t>
            </w:r>
          </w:p>
        </w:tc>
        <w:tc>
          <w:tcPr>
            <w:tcW w:w="1782" w:type="dxa"/>
            <w:vMerge w:val="restart"/>
            <w:tcBorders>
              <w:top w:val="nil"/>
              <w:left w:val="single" w:sz="8" w:space="0" w:color="auto"/>
              <w:bottom w:val="nil"/>
              <w:right w:val="single" w:sz="8" w:space="0" w:color="auto"/>
            </w:tcBorders>
            <w:shd w:val="clear" w:color="auto" w:fill="auto"/>
            <w:noWrap/>
            <w:vAlign w:val="center"/>
            <w:hideMark/>
          </w:tcPr>
          <w:p w14:paraId="52B0677B" w14:textId="77777777" w:rsidR="00FF1786" w:rsidRPr="00005453" w:rsidRDefault="00FF1786" w:rsidP="00FF1786">
            <w:pPr>
              <w:jc w:val="center"/>
              <w:rPr>
                <w:b/>
                <w:bCs/>
                <w:color w:val="000000"/>
                <w:sz w:val="12"/>
                <w:szCs w:val="12"/>
                <w:lang w:eastAsia="tr-TR"/>
              </w:rPr>
            </w:pPr>
            <w:r w:rsidRPr="00005453">
              <w:rPr>
                <w:b/>
                <w:bCs/>
                <w:color w:val="000000"/>
                <w:sz w:val="12"/>
                <w:szCs w:val="12"/>
                <w:lang w:val="en-US" w:eastAsia="tr-TR"/>
              </w:rPr>
              <w:t>Karşı Taraf Riskine Tabi</w:t>
            </w:r>
          </w:p>
        </w:tc>
        <w:tc>
          <w:tcPr>
            <w:tcW w:w="1648" w:type="dxa"/>
            <w:vMerge w:val="restart"/>
            <w:tcBorders>
              <w:top w:val="nil"/>
              <w:left w:val="single" w:sz="8" w:space="0" w:color="auto"/>
              <w:bottom w:val="nil"/>
              <w:right w:val="single" w:sz="8" w:space="0" w:color="auto"/>
            </w:tcBorders>
            <w:shd w:val="clear" w:color="auto" w:fill="auto"/>
            <w:vAlign w:val="center"/>
            <w:hideMark/>
          </w:tcPr>
          <w:p w14:paraId="547EB206" w14:textId="77777777" w:rsidR="00FF1786" w:rsidRPr="00005453" w:rsidRDefault="00FF1786" w:rsidP="00FF1786">
            <w:pPr>
              <w:jc w:val="center"/>
              <w:rPr>
                <w:b/>
                <w:bCs/>
                <w:color w:val="000000"/>
                <w:sz w:val="12"/>
                <w:szCs w:val="12"/>
                <w:lang w:eastAsia="tr-TR"/>
              </w:rPr>
            </w:pPr>
            <w:r w:rsidRPr="00005453">
              <w:rPr>
                <w:b/>
                <w:bCs/>
                <w:color w:val="000000"/>
                <w:sz w:val="12"/>
                <w:szCs w:val="12"/>
                <w:lang w:val="en-US" w:eastAsia="tr-TR"/>
              </w:rPr>
              <w:t>Menkul kıymetleştirme pozisyonları</w:t>
            </w:r>
          </w:p>
        </w:tc>
        <w:tc>
          <w:tcPr>
            <w:tcW w:w="1438" w:type="dxa"/>
            <w:vMerge w:val="restart"/>
            <w:tcBorders>
              <w:top w:val="nil"/>
              <w:left w:val="single" w:sz="8" w:space="0" w:color="auto"/>
              <w:bottom w:val="nil"/>
              <w:right w:val="single" w:sz="8" w:space="0" w:color="auto"/>
            </w:tcBorders>
            <w:shd w:val="clear" w:color="auto" w:fill="auto"/>
            <w:noWrap/>
            <w:vAlign w:val="center"/>
            <w:hideMark/>
          </w:tcPr>
          <w:p w14:paraId="1B806FF1" w14:textId="77777777" w:rsidR="00FF1786" w:rsidRPr="00005453" w:rsidRDefault="00FF1786" w:rsidP="00FF1786">
            <w:pPr>
              <w:jc w:val="center"/>
              <w:rPr>
                <w:b/>
                <w:bCs/>
                <w:color w:val="000000"/>
                <w:sz w:val="12"/>
                <w:szCs w:val="12"/>
                <w:lang w:eastAsia="tr-TR"/>
              </w:rPr>
            </w:pPr>
            <w:r w:rsidRPr="00005453">
              <w:rPr>
                <w:b/>
                <w:bCs/>
                <w:color w:val="000000"/>
                <w:sz w:val="12"/>
                <w:szCs w:val="12"/>
                <w:lang w:val="en-US" w:eastAsia="tr-TR"/>
              </w:rPr>
              <w:t>Piyasa Riskine Tabi</w:t>
            </w:r>
          </w:p>
        </w:tc>
        <w:tc>
          <w:tcPr>
            <w:tcW w:w="1580" w:type="dxa"/>
            <w:vMerge w:val="restart"/>
            <w:tcBorders>
              <w:top w:val="nil"/>
              <w:left w:val="single" w:sz="8" w:space="0" w:color="auto"/>
              <w:bottom w:val="nil"/>
              <w:right w:val="single" w:sz="8" w:space="0" w:color="auto"/>
            </w:tcBorders>
            <w:shd w:val="clear" w:color="auto" w:fill="auto"/>
            <w:vAlign w:val="center"/>
            <w:hideMark/>
          </w:tcPr>
          <w:p w14:paraId="29532946" w14:textId="77777777" w:rsidR="00FF1786" w:rsidRPr="00005453" w:rsidRDefault="00FF1786" w:rsidP="00FF1786">
            <w:pPr>
              <w:jc w:val="center"/>
              <w:rPr>
                <w:b/>
                <w:bCs/>
                <w:color w:val="000000"/>
                <w:sz w:val="12"/>
                <w:szCs w:val="12"/>
                <w:lang w:eastAsia="tr-TR"/>
              </w:rPr>
            </w:pPr>
            <w:r w:rsidRPr="00005453">
              <w:rPr>
                <w:b/>
                <w:bCs/>
                <w:color w:val="000000"/>
                <w:sz w:val="12"/>
                <w:szCs w:val="12"/>
                <w:lang w:val="en-US" w:eastAsia="tr-TR"/>
              </w:rPr>
              <w:t>Sermaye Riskine Tabi olmayan veya Sermayeden indirilen</w:t>
            </w:r>
          </w:p>
        </w:tc>
      </w:tr>
      <w:tr w:rsidR="00FF1786" w:rsidRPr="00005453" w14:paraId="2331BA10" w14:textId="77777777" w:rsidTr="007877EC">
        <w:trPr>
          <w:divId w:val="1877352299"/>
          <w:trHeight w:val="230"/>
        </w:trPr>
        <w:tc>
          <w:tcPr>
            <w:tcW w:w="4601" w:type="dxa"/>
            <w:vMerge/>
            <w:tcBorders>
              <w:top w:val="single" w:sz="8" w:space="0" w:color="auto"/>
              <w:left w:val="single" w:sz="8" w:space="0" w:color="auto"/>
              <w:bottom w:val="nil"/>
              <w:right w:val="single" w:sz="8" w:space="0" w:color="auto"/>
            </w:tcBorders>
            <w:vAlign w:val="center"/>
            <w:hideMark/>
          </w:tcPr>
          <w:p w14:paraId="552EF5B7" w14:textId="77777777" w:rsidR="00FF1786" w:rsidRPr="00005453" w:rsidRDefault="00FF1786" w:rsidP="00FF1786">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05955602" w14:textId="77777777" w:rsidR="00FF1786" w:rsidRPr="00005453" w:rsidRDefault="00FF1786" w:rsidP="00FF1786">
            <w:pPr>
              <w:rPr>
                <w:color w:val="000000"/>
                <w:sz w:val="12"/>
                <w:szCs w:val="12"/>
                <w:lang w:eastAsia="tr-TR"/>
              </w:rPr>
            </w:pPr>
          </w:p>
        </w:tc>
        <w:tc>
          <w:tcPr>
            <w:tcW w:w="1576" w:type="dxa"/>
            <w:vMerge/>
            <w:tcBorders>
              <w:top w:val="nil"/>
              <w:left w:val="single" w:sz="8" w:space="0" w:color="auto"/>
              <w:bottom w:val="nil"/>
              <w:right w:val="single" w:sz="8" w:space="0" w:color="auto"/>
            </w:tcBorders>
            <w:vAlign w:val="center"/>
            <w:hideMark/>
          </w:tcPr>
          <w:p w14:paraId="4D114D1D" w14:textId="77777777" w:rsidR="00FF1786" w:rsidRPr="00005453" w:rsidRDefault="00FF1786" w:rsidP="00FF1786">
            <w:pPr>
              <w:rPr>
                <w:color w:val="000000"/>
                <w:sz w:val="12"/>
                <w:szCs w:val="12"/>
                <w:lang w:eastAsia="tr-TR"/>
              </w:rPr>
            </w:pPr>
          </w:p>
        </w:tc>
        <w:tc>
          <w:tcPr>
            <w:tcW w:w="1604" w:type="dxa"/>
            <w:vMerge/>
            <w:tcBorders>
              <w:top w:val="nil"/>
              <w:left w:val="single" w:sz="8" w:space="0" w:color="auto"/>
              <w:bottom w:val="nil"/>
              <w:right w:val="single" w:sz="8" w:space="0" w:color="auto"/>
            </w:tcBorders>
            <w:vAlign w:val="center"/>
            <w:hideMark/>
          </w:tcPr>
          <w:p w14:paraId="2BC828D4" w14:textId="77777777" w:rsidR="00FF1786" w:rsidRPr="00005453" w:rsidRDefault="00FF1786" w:rsidP="00FF1786">
            <w:pPr>
              <w:rPr>
                <w:color w:val="000000"/>
                <w:sz w:val="12"/>
                <w:szCs w:val="12"/>
                <w:lang w:eastAsia="tr-TR"/>
              </w:rPr>
            </w:pPr>
          </w:p>
        </w:tc>
        <w:tc>
          <w:tcPr>
            <w:tcW w:w="1782" w:type="dxa"/>
            <w:vMerge/>
            <w:tcBorders>
              <w:top w:val="nil"/>
              <w:left w:val="single" w:sz="8" w:space="0" w:color="auto"/>
              <w:bottom w:val="nil"/>
              <w:right w:val="single" w:sz="8" w:space="0" w:color="auto"/>
            </w:tcBorders>
            <w:vAlign w:val="center"/>
            <w:hideMark/>
          </w:tcPr>
          <w:p w14:paraId="38D317F2" w14:textId="77777777" w:rsidR="00FF1786" w:rsidRPr="00005453" w:rsidRDefault="00FF1786" w:rsidP="00FF1786">
            <w:pPr>
              <w:rPr>
                <w:color w:val="000000"/>
                <w:sz w:val="12"/>
                <w:szCs w:val="12"/>
                <w:lang w:eastAsia="tr-TR"/>
              </w:rPr>
            </w:pPr>
          </w:p>
        </w:tc>
        <w:tc>
          <w:tcPr>
            <w:tcW w:w="1648" w:type="dxa"/>
            <w:vMerge/>
            <w:tcBorders>
              <w:top w:val="nil"/>
              <w:left w:val="single" w:sz="8" w:space="0" w:color="auto"/>
              <w:bottom w:val="nil"/>
              <w:right w:val="single" w:sz="8" w:space="0" w:color="auto"/>
            </w:tcBorders>
            <w:vAlign w:val="center"/>
            <w:hideMark/>
          </w:tcPr>
          <w:p w14:paraId="154A6AF8" w14:textId="77777777" w:rsidR="00FF1786" w:rsidRPr="00005453" w:rsidRDefault="00FF1786" w:rsidP="00FF1786">
            <w:pPr>
              <w:rPr>
                <w:color w:val="000000"/>
                <w:sz w:val="12"/>
                <w:szCs w:val="12"/>
                <w:lang w:eastAsia="tr-TR"/>
              </w:rPr>
            </w:pPr>
          </w:p>
        </w:tc>
        <w:tc>
          <w:tcPr>
            <w:tcW w:w="1438" w:type="dxa"/>
            <w:vMerge/>
            <w:tcBorders>
              <w:top w:val="nil"/>
              <w:left w:val="single" w:sz="8" w:space="0" w:color="auto"/>
              <w:bottom w:val="nil"/>
              <w:right w:val="single" w:sz="8" w:space="0" w:color="auto"/>
            </w:tcBorders>
            <w:vAlign w:val="center"/>
            <w:hideMark/>
          </w:tcPr>
          <w:p w14:paraId="62F66D94" w14:textId="77777777" w:rsidR="00FF1786" w:rsidRPr="00005453" w:rsidRDefault="00FF1786" w:rsidP="00FF1786">
            <w:pPr>
              <w:rPr>
                <w:color w:val="000000"/>
                <w:sz w:val="12"/>
                <w:szCs w:val="12"/>
                <w:lang w:eastAsia="tr-TR"/>
              </w:rPr>
            </w:pPr>
          </w:p>
        </w:tc>
        <w:tc>
          <w:tcPr>
            <w:tcW w:w="1580" w:type="dxa"/>
            <w:vMerge/>
            <w:tcBorders>
              <w:top w:val="nil"/>
              <w:left w:val="single" w:sz="8" w:space="0" w:color="auto"/>
              <w:bottom w:val="nil"/>
              <w:right w:val="single" w:sz="8" w:space="0" w:color="auto"/>
            </w:tcBorders>
            <w:vAlign w:val="center"/>
            <w:hideMark/>
          </w:tcPr>
          <w:p w14:paraId="22D6BD87" w14:textId="77777777" w:rsidR="00FF1786" w:rsidRPr="00005453" w:rsidRDefault="00FF1786" w:rsidP="00FF1786">
            <w:pPr>
              <w:rPr>
                <w:color w:val="000000"/>
                <w:sz w:val="12"/>
                <w:szCs w:val="12"/>
                <w:lang w:eastAsia="tr-TR"/>
              </w:rPr>
            </w:pPr>
          </w:p>
        </w:tc>
      </w:tr>
      <w:tr w:rsidR="00FF1786" w:rsidRPr="00005453" w14:paraId="021F5391" w14:textId="77777777" w:rsidTr="007877EC">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5BBBF5E" w14:textId="77777777" w:rsidR="00FF1786" w:rsidRPr="00005453" w:rsidRDefault="00FF1786" w:rsidP="00FF1786">
            <w:pPr>
              <w:rPr>
                <w:b/>
                <w:bCs/>
                <w:color w:val="000000"/>
                <w:sz w:val="12"/>
                <w:szCs w:val="12"/>
                <w:lang w:eastAsia="tr-TR"/>
              </w:rPr>
            </w:pPr>
            <w:r w:rsidRPr="00005453">
              <w:rPr>
                <w:b/>
                <w:bCs/>
                <w:color w:val="000000"/>
                <w:sz w:val="12"/>
                <w:szCs w:val="12"/>
                <w:lang w:val="en-US" w:eastAsia="tr-TR"/>
              </w:rPr>
              <w:t>Varlıklar</w:t>
            </w:r>
          </w:p>
        </w:tc>
        <w:tc>
          <w:tcPr>
            <w:tcW w:w="917" w:type="dxa"/>
            <w:tcBorders>
              <w:top w:val="nil"/>
              <w:left w:val="nil"/>
              <w:bottom w:val="single" w:sz="8" w:space="0" w:color="auto"/>
              <w:right w:val="single" w:sz="8" w:space="0" w:color="auto"/>
            </w:tcBorders>
            <w:shd w:val="clear" w:color="auto" w:fill="auto"/>
            <w:vAlign w:val="bottom"/>
            <w:hideMark/>
          </w:tcPr>
          <w:p w14:paraId="4EA964E5" w14:textId="084DE9E8" w:rsidR="00FF1786" w:rsidRPr="00005453" w:rsidRDefault="00FF1786" w:rsidP="00FF1786">
            <w:pPr>
              <w:rPr>
                <w:color w:val="000000"/>
                <w:sz w:val="12"/>
                <w:szCs w:val="12"/>
                <w:lang w:eastAsia="tr-TR"/>
              </w:rPr>
            </w:pPr>
          </w:p>
        </w:tc>
        <w:tc>
          <w:tcPr>
            <w:tcW w:w="1576" w:type="dxa"/>
            <w:tcBorders>
              <w:top w:val="nil"/>
              <w:left w:val="nil"/>
              <w:bottom w:val="single" w:sz="8" w:space="0" w:color="auto"/>
              <w:right w:val="single" w:sz="8" w:space="0" w:color="auto"/>
            </w:tcBorders>
            <w:shd w:val="clear" w:color="auto" w:fill="auto"/>
            <w:vAlign w:val="center"/>
            <w:hideMark/>
          </w:tcPr>
          <w:p w14:paraId="539086AC" w14:textId="77777777" w:rsidR="00FF1786" w:rsidRPr="00005453" w:rsidRDefault="00FF1786" w:rsidP="00FF1786">
            <w:pPr>
              <w:jc w:val="center"/>
              <w:rPr>
                <w:color w:val="000000"/>
                <w:sz w:val="12"/>
                <w:szCs w:val="12"/>
                <w:lang w:eastAsia="tr-TR"/>
              </w:rPr>
            </w:pPr>
            <w:r w:rsidRPr="00005453">
              <w:rPr>
                <w:color w:val="000000"/>
                <w:sz w:val="12"/>
                <w:szCs w:val="12"/>
                <w:lang w:val="en-US" w:eastAsia="tr-TR"/>
              </w:rPr>
              <w:t> </w:t>
            </w:r>
          </w:p>
        </w:tc>
        <w:tc>
          <w:tcPr>
            <w:tcW w:w="1604" w:type="dxa"/>
            <w:tcBorders>
              <w:top w:val="nil"/>
              <w:left w:val="nil"/>
              <w:bottom w:val="single" w:sz="8" w:space="0" w:color="auto"/>
              <w:right w:val="single" w:sz="8" w:space="0" w:color="auto"/>
            </w:tcBorders>
            <w:shd w:val="clear" w:color="auto" w:fill="auto"/>
            <w:vAlign w:val="bottom"/>
            <w:hideMark/>
          </w:tcPr>
          <w:p w14:paraId="6A8B5A62" w14:textId="77777777" w:rsidR="00FF1786" w:rsidRPr="00005453" w:rsidRDefault="00FF1786" w:rsidP="00FF1786">
            <w:pPr>
              <w:rPr>
                <w:color w:val="000000"/>
                <w:sz w:val="12"/>
                <w:szCs w:val="12"/>
                <w:lang w:eastAsia="tr-TR"/>
              </w:rPr>
            </w:pPr>
            <w:r w:rsidRPr="00005453">
              <w:rPr>
                <w:color w:val="000000"/>
                <w:sz w:val="12"/>
                <w:szCs w:val="12"/>
                <w:lang w:eastAsia="tr-TR"/>
              </w:rPr>
              <w:t> </w:t>
            </w:r>
          </w:p>
        </w:tc>
        <w:tc>
          <w:tcPr>
            <w:tcW w:w="1782" w:type="dxa"/>
            <w:tcBorders>
              <w:top w:val="nil"/>
              <w:left w:val="nil"/>
              <w:bottom w:val="single" w:sz="8" w:space="0" w:color="auto"/>
              <w:right w:val="single" w:sz="8" w:space="0" w:color="auto"/>
            </w:tcBorders>
            <w:shd w:val="clear" w:color="auto" w:fill="auto"/>
            <w:noWrap/>
            <w:vAlign w:val="bottom"/>
            <w:hideMark/>
          </w:tcPr>
          <w:p w14:paraId="7F176300" w14:textId="77777777" w:rsidR="00FF1786" w:rsidRPr="00005453" w:rsidRDefault="00FF1786" w:rsidP="00FF1786">
            <w:pPr>
              <w:rPr>
                <w:color w:val="000000"/>
                <w:sz w:val="12"/>
                <w:szCs w:val="12"/>
                <w:lang w:eastAsia="tr-TR"/>
              </w:rPr>
            </w:pPr>
            <w:r w:rsidRPr="00005453">
              <w:rPr>
                <w:color w:val="000000"/>
                <w:sz w:val="12"/>
                <w:szCs w:val="12"/>
                <w:lang w:eastAsia="tr-TR"/>
              </w:rPr>
              <w:t> </w:t>
            </w:r>
          </w:p>
        </w:tc>
        <w:tc>
          <w:tcPr>
            <w:tcW w:w="1648" w:type="dxa"/>
            <w:tcBorders>
              <w:top w:val="nil"/>
              <w:left w:val="nil"/>
              <w:bottom w:val="single" w:sz="8" w:space="0" w:color="auto"/>
              <w:right w:val="single" w:sz="8" w:space="0" w:color="auto"/>
            </w:tcBorders>
            <w:shd w:val="clear" w:color="auto" w:fill="auto"/>
            <w:vAlign w:val="bottom"/>
            <w:hideMark/>
          </w:tcPr>
          <w:p w14:paraId="3F3DEB70" w14:textId="77777777" w:rsidR="00FF1786" w:rsidRPr="00005453" w:rsidRDefault="00FF1786" w:rsidP="00FF1786">
            <w:pPr>
              <w:rPr>
                <w:color w:val="000000"/>
                <w:sz w:val="12"/>
                <w:szCs w:val="12"/>
                <w:lang w:eastAsia="tr-TR"/>
              </w:rPr>
            </w:pPr>
            <w:r w:rsidRPr="00005453">
              <w:rPr>
                <w:color w:val="000000"/>
                <w:sz w:val="12"/>
                <w:szCs w:val="12"/>
                <w:lang w:eastAsia="tr-TR"/>
              </w:rPr>
              <w:t> </w:t>
            </w:r>
          </w:p>
        </w:tc>
        <w:tc>
          <w:tcPr>
            <w:tcW w:w="1438" w:type="dxa"/>
            <w:tcBorders>
              <w:top w:val="nil"/>
              <w:left w:val="nil"/>
              <w:bottom w:val="single" w:sz="8" w:space="0" w:color="auto"/>
              <w:right w:val="single" w:sz="8" w:space="0" w:color="auto"/>
            </w:tcBorders>
            <w:shd w:val="clear" w:color="auto" w:fill="auto"/>
            <w:noWrap/>
            <w:vAlign w:val="bottom"/>
            <w:hideMark/>
          </w:tcPr>
          <w:p w14:paraId="457E0C04" w14:textId="77777777" w:rsidR="00FF1786" w:rsidRPr="00005453" w:rsidRDefault="00FF1786" w:rsidP="00FF1786">
            <w:pPr>
              <w:rPr>
                <w:color w:val="000000"/>
                <w:sz w:val="12"/>
                <w:szCs w:val="12"/>
                <w:lang w:eastAsia="tr-TR"/>
              </w:rPr>
            </w:pPr>
            <w:r w:rsidRPr="00005453">
              <w:rPr>
                <w:color w:val="000000"/>
                <w:sz w:val="12"/>
                <w:szCs w:val="12"/>
                <w:lang w:eastAsia="tr-TR"/>
              </w:rPr>
              <w:t> </w:t>
            </w:r>
          </w:p>
        </w:tc>
        <w:tc>
          <w:tcPr>
            <w:tcW w:w="1580" w:type="dxa"/>
            <w:tcBorders>
              <w:top w:val="nil"/>
              <w:left w:val="nil"/>
              <w:bottom w:val="single" w:sz="8" w:space="0" w:color="auto"/>
              <w:right w:val="single" w:sz="8" w:space="0" w:color="auto"/>
            </w:tcBorders>
            <w:shd w:val="clear" w:color="auto" w:fill="auto"/>
            <w:vAlign w:val="bottom"/>
            <w:hideMark/>
          </w:tcPr>
          <w:p w14:paraId="0F9FD79D" w14:textId="77777777" w:rsidR="00FF1786" w:rsidRPr="00005453" w:rsidRDefault="00FF1786" w:rsidP="00FF1786">
            <w:pPr>
              <w:rPr>
                <w:color w:val="000000"/>
                <w:sz w:val="12"/>
                <w:szCs w:val="12"/>
                <w:lang w:eastAsia="tr-TR"/>
              </w:rPr>
            </w:pPr>
            <w:r w:rsidRPr="00005453">
              <w:rPr>
                <w:color w:val="000000"/>
                <w:sz w:val="12"/>
                <w:szCs w:val="12"/>
                <w:lang w:eastAsia="tr-TR"/>
              </w:rPr>
              <w:t> </w:t>
            </w:r>
          </w:p>
        </w:tc>
      </w:tr>
      <w:tr w:rsidR="008F3117" w:rsidRPr="00005453" w14:paraId="77189796"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6D597A1" w14:textId="1C49417C" w:rsidR="008F3117" w:rsidRPr="00005453" w:rsidRDefault="008F3117" w:rsidP="008F3117">
            <w:pPr>
              <w:rPr>
                <w:color w:val="000000"/>
                <w:sz w:val="12"/>
                <w:szCs w:val="12"/>
                <w:lang w:eastAsia="tr-TR"/>
              </w:rPr>
            </w:pPr>
            <w:r w:rsidRPr="00005453">
              <w:rPr>
                <w:color w:val="000000"/>
                <w:sz w:val="12"/>
                <w:szCs w:val="12"/>
                <w:lang w:val="de-DE" w:eastAsia="tr-TR"/>
              </w:rPr>
              <w:t>Nakit Değerler ve Merkez Bankası</w:t>
            </w:r>
          </w:p>
        </w:tc>
        <w:tc>
          <w:tcPr>
            <w:tcW w:w="917" w:type="dxa"/>
            <w:tcBorders>
              <w:top w:val="nil"/>
              <w:left w:val="nil"/>
              <w:bottom w:val="single" w:sz="8" w:space="0" w:color="auto"/>
              <w:right w:val="single" w:sz="8" w:space="0" w:color="auto"/>
            </w:tcBorders>
            <w:shd w:val="clear" w:color="auto" w:fill="auto"/>
            <w:vAlign w:val="center"/>
            <w:hideMark/>
          </w:tcPr>
          <w:p w14:paraId="4B26A693" w14:textId="3C059750" w:rsidR="008F3117" w:rsidRPr="00005453" w:rsidRDefault="008F3117" w:rsidP="008F3117">
            <w:pPr>
              <w:ind w:firstLineChars="100" w:firstLine="120"/>
              <w:jc w:val="right"/>
              <w:rPr>
                <w:color w:val="000000"/>
                <w:sz w:val="12"/>
                <w:szCs w:val="12"/>
              </w:rPr>
            </w:pPr>
            <w:r w:rsidRPr="00005453">
              <w:rPr>
                <w:color w:val="000000"/>
                <w:sz w:val="12"/>
                <w:szCs w:val="22"/>
              </w:rPr>
              <w:t>222,992,725</w:t>
            </w:r>
          </w:p>
        </w:tc>
        <w:tc>
          <w:tcPr>
            <w:tcW w:w="1576" w:type="dxa"/>
            <w:tcBorders>
              <w:top w:val="nil"/>
              <w:left w:val="nil"/>
              <w:bottom w:val="single" w:sz="8" w:space="0" w:color="auto"/>
              <w:right w:val="single" w:sz="8" w:space="0" w:color="auto"/>
            </w:tcBorders>
            <w:shd w:val="clear" w:color="auto" w:fill="auto"/>
            <w:vAlign w:val="center"/>
            <w:hideMark/>
          </w:tcPr>
          <w:p w14:paraId="24D130E2" w14:textId="0DD79115" w:rsidR="008F3117" w:rsidRPr="00005453" w:rsidRDefault="008F3117" w:rsidP="008F3117">
            <w:pPr>
              <w:ind w:firstLineChars="100" w:firstLine="120"/>
              <w:jc w:val="right"/>
              <w:rPr>
                <w:color w:val="000000"/>
                <w:sz w:val="12"/>
                <w:szCs w:val="12"/>
              </w:rPr>
            </w:pPr>
            <w:r w:rsidRPr="00005453">
              <w:rPr>
                <w:color w:val="000000"/>
                <w:sz w:val="12"/>
                <w:szCs w:val="22"/>
              </w:rPr>
              <w:t>222,992,725</w:t>
            </w:r>
          </w:p>
        </w:tc>
        <w:tc>
          <w:tcPr>
            <w:tcW w:w="1604" w:type="dxa"/>
            <w:tcBorders>
              <w:top w:val="nil"/>
              <w:left w:val="nil"/>
              <w:bottom w:val="single" w:sz="8" w:space="0" w:color="auto"/>
              <w:right w:val="single" w:sz="8" w:space="0" w:color="auto"/>
            </w:tcBorders>
            <w:shd w:val="clear" w:color="auto" w:fill="auto"/>
            <w:vAlign w:val="center"/>
            <w:hideMark/>
          </w:tcPr>
          <w:p w14:paraId="084D1058" w14:textId="7FCC0F28" w:rsidR="008F3117" w:rsidRPr="00005453" w:rsidRDefault="008F3117" w:rsidP="008F3117">
            <w:pPr>
              <w:ind w:firstLineChars="100" w:firstLine="120"/>
              <w:jc w:val="right"/>
              <w:rPr>
                <w:color w:val="000000"/>
                <w:sz w:val="12"/>
                <w:szCs w:val="12"/>
              </w:rPr>
            </w:pPr>
            <w:r w:rsidRPr="00005453">
              <w:rPr>
                <w:color w:val="000000"/>
                <w:sz w:val="12"/>
                <w:szCs w:val="22"/>
              </w:rPr>
              <w:t>222,992,725</w:t>
            </w:r>
          </w:p>
        </w:tc>
        <w:tc>
          <w:tcPr>
            <w:tcW w:w="1782" w:type="dxa"/>
            <w:tcBorders>
              <w:top w:val="nil"/>
              <w:left w:val="nil"/>
              <w:bottom w:val="single" w:sz="8" w:space="0" w:color="auto"/>
              <w:right w:val="single" w:sz="8" w:space="0" w:color="auto"/>
            </w:tcBorders>
            <w:shd w:val="clear" w:color="auto" w:fill="auto"/>
            <w:vAlign w:val="center"/>
            <w:hideMark/>
          </w:tcPr>
          <w:p w14:paraId="0F78A2F7" w14:textId="6EF78E8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22108A8A" w14:textId="3E2A2CA9"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6F9F9B6F" w14:textId="699C448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91AE038" w14:textId="17865296"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1BE589A3"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57C4E21" w14:textId="77777777" w:rsidR="008F3117" w:rsidRPr="00005453" w:rsidRDefault="008F3117" w:rsidP="008F3117">
            <w:pPr>
              <w:rPr>
                <w:color w:val="000000"/>
                <w:sz w:val="12"/>
                <w:szCs w:val="12"/>
                <w:lang w:eastAsia="tr-TR"/>
              </w:rPr>
            </w:pPr>
            <w:r w:rsidRPr="00005453">
              <w:rPr>
                <w:color w:val="000000"/>
                <w:sz w:val="12"/>
                <w:szCs w:val="12"/>
                <w:lang w:val="en-US" w:eastAsia="tr-TR"/>
              </w:rPr>
              <w:t>Bankalar</w:t>
            </w:r>
          </w:p>
        </w:tc>
        <w:tc>
          <w:tcPr>
            <w:tcW w:w="917" w:type="dxa"/>
            <w:tcBorders>
              <w:top w:val="nil"/>
              <w:left w:val="nil"/>
              <w:bottom w:val="single" w:sz="8" w:space="0" w:color="auto"/>
              <w:right w:val="single" w:sz="8" w:space="0" w:color="auto"/>
            </w:tcBorders>
            <w:shd w:val="clear" w:color="auto" w:fill="auto"/>
            <w:vAlign w:val="center"/>
            <w:hideMark/>
          </w:tcPr>
          <w:p w14:paraId="0CCE0C8D" w14:textId="0200A740" w:rsidR="008F3117" w:rsidRPr="00005453" w:rsidRDefault="008F3117" w:rsidP="008F3117">
            <w:pPr>
              <w:ind w:firstLineChars="100" w:firstLine="120"/>
              <w:jc w:val="right"/>
              <w:rPr>
                <w:color w:val="000000"/>
                <w:sz w:val="12"/>
                <w:szCs w:val="12"/>
              </w:rPr>
            </w:pPr>
            <w:r w:rsidRPr="00005453">
              <w:rPr>
                <w:color w:val="000000"/>
                <w:sz w:val="12"/>
                <w:szCs w:val="22"/>
              </w:rPr>
              <w:t>27,042,682</w:t>
            </w:r>
          </w:p>
        </w:tc>
        <w:tc>
          <w:tcPr>
            <w:tcW w:w="1576" w:type="dxa"/>
            <w:tcBorders>
              <w:top w:val="nil"/>
              <w:left w:val="nil"/>
              <w:bottom w:val="single" w:sz="8" w:space="0" w:color="auto"/>
              <w:right w:val="single" w:sz="8" w:space="0" w:color="auto"/>
            </w:tcBorders>
            <w:shd w:val="clear" w:color="auto" w:fill="auto"/>
            <w:vAlign w:val="center"/>
            <w:hideMark/>
          </w:tcPr>
          <w:p w14:paraId="57C4386A" w14:textId="689B6BC7" w:rsidR="008F3117" w:rsidRPr="00005453" w:rsidRDefault="008F3117" w:rsidP="008F3117">
            <w:pPr>
              <w:ind w:firstLineChars="100" w:firstLine="120"/>
              <w:jc w:val="right"/>
              <w:rPr>
                <w:color w:val="000000"/>
                <w:sz w:val="12"/>
                <w:szCs w:val="12"/>
              </w:rPr>
            </w:pPr>
            <w:r w:rsidRPr="00005453">
              <w:rPr>
                <w:color w:val="000000"/>
                <w:sz w:val="12"/>
                <w:szCs w:val="22"/>
              </w:rPr>
              <w:t>27,042,682</w:t>
            </w:r>
          </w:p>
        </w:tc>
        <w:tc>
          <w:tcPr>
            <w:tcW w:w="1604" w:type="dxa"/>
            <w:tcBorders>
              <w:top w:val="nil"/>
              <w:left w:val="nil"/>
              <w:bottom w:val="single" w:sz="8" w:space="0" w:color="auto"/>
              <w:right w:val="single" w:sz="8" w:space="0" w:color="auto"/>
            </w:tcBorders>
            <w:shd w:val="clear" w:color="auto" w:fill="auto"/>
            <w:vAlign w:val="center"/>
            <w:hideMark/>
          </w:tcPr>
          <w:p w14:paraId="1DB52762" w14:textId="05625A8B" w:rsidR="008F3117" w:rsidRPr="00005453" w:rsidRDefault="008F3117" w:rsidP="008F3117">
            <w:pPr>
              <w:ind w:firstLineChars="100" w:firstLine="120"/>
              <w:jc w:val="right"/>
              <w:rPr>
                <w:color w:val="000000"/>
                <w:sz w:val="12"/>
                <w:szCs w:val="12"/>
              </w:rPr>
            </w:pPr>
            <w:r w:rsidRPr="00005453">
              <w:rPr>
                <w:color w:val="000000"/>
                <w:sz w:val="12"/>
                <w:szCs w:val="22"/>
              </w:rPr>
              <w:t>27,042,682</w:t>
            </w:r>
          </w:p>
        </w:tc>
        <w:tc>
          <w:tcPr>
            <w:tcW w:w="1782" w:type="dxa"/>
            <w:tcBorders>
              <w:top w:val="nil"/>
              <w:left w:val="nil"/>
              <w:bottom w:val="single" w:sz="8" w:space="0" w:color="auto"/>
              <w:right w:val="single" w:sz="8" w:space="0" w:color="auto"/>
            </w:tcBorders>
            <w:shd w:val="clear" w:color="auto" w:fill="auto"/>
            <w:vAlign w:val="center"/>
            <w:hideMark/>
          </w:tcPr>
          <w:p w14:paraId="49B48B28" w14:textId="6CD599F9"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2E4B4BFC" w14:textId="3D3D011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19AEBCD8" w14:textId="26B7267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F8F6A15" w14:textId="0638C0E5"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38CBDC17"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FDDFC2B" w14:textId="77777777" w:rsidR="008F3117" w:rsidRPr="00005453" w:rsidRDefault="008F3117" w:rsidP="008F3117">
            <w:pPr>
              <w:rPr>
                <w:color w:val="000000"/>
                <w:sz w:val="12"/>
                <w:szCs w:val="12"/>
                <w:lang w:eastAsia="tr-TR"/>
              </w:rPr>
            </w:pPr>
            <w:r w:rsidRPr="00005453">
              <w:rPr>
                <w:color w:val="000000"/>
                <w:sz w:val="12"/>
                <w:szCs w:val="12"/>
                <w:lang w:val="en-US" w:eastAsia="tr-TR"/>
              </w:rPr>
              <w:t>Para Piyasalarından Alacaklar</w:t>
            </w:r>
          </w:p>
        </w:tc>
        <w:tc>
          <w:tcPr>
            <w:tcW w:w="917" w:type="dxa"/>
            <w:tcBorders>
              <w:top w:val="nil"/>
              <w:left w:val="nil"/>
              <w:bottom w:val="single" w:sz="8" w:space="0" w:color="auto"/>
              <w:right w:val="single" w:sz="8" w:space="0" w:color="auto"/>
            </w:tcBorders>
            <w:shd w:val="clear" w:color="auto" w:fill="auto"/>
            <w:vAlign w:val="center"/>
            <w:hideMark/>
          </w:tcPr>
          <w:p w14:paraId="121FE22E" w14:textId="00A2A8F5" w:rsidR="008F3117" w:rsidRPr="00005453" w:rsidRDefault="008F3117" w:rsidP="008F3117">
            <w:pPr>
              <w:ind w:firstLineChars="100" w:firstLine="120"/>
              <w:jc w:val="right"/>
              <w:rPr>
                <w:color w:val="000000"/>
                <w:sz w:val="12"/>
                <w:szCs w:val="12"/>
              </w:rPr>
            </w:pPr>
            <w:r w:rsidRPr="00005453">
              <w:rPr>
                <w:color w:val="000000"/>
                <w:sz w:val="12"/>
                <w:szCs w:val="22"/>
              </w:rPr>
              <w:t>1,019</w:t>
            </w:r>
          </w:p>
        </w:tc>
        <w:tc>
          <w:tcPr>
            <w:tcW w:w="1576" w:type="dxa"/>
            <w:tcBorders>
              <w:top w:val="nil"/>
              <w:left w:val="nil"/>
              <w:bottom w:val="single" w:sz="8" w:space="0" w:color="auto"/>
              <w:right w:val="single" w:sz="8" w:space="0" w:color="auto"/>
            </w:tcBorders>
            <w:shd w:val="clear" w:color="auto" w:fill="auto"/>
            <w:vAlign w:val="center"/>
            <w:hideMark/>
          </w:tcPr>
          <w:p w14:paraId="6C34A90B" w14:textId="3FBD8829" w:rsidR="008F3117" w:rsidRPr="00005453" w:rsidRDefault="008F3117" w:rsidP="008F3117">
            <w:pPr>
              <w:ind w:firstLineChars="100" w:firstLine="120"/>
              <w:jc w:val="right"/>
              <w:rPr>
                <w:color w:val="000000"/>
                <w:sz w:val="12"/>
                <w:szCs w:val="12"/>
              </w:rPr>
            </w:pPr>
            <w:r w:rsidRPr="00005453">
              <w:rPr>
                <w:color w:val="000000"/>
                <w:sz w:val="12"/>
                <w:szCs w:val="22"/>
              </w:rPr>
              <w:t>1,019</w:t>
            </w:r>
          </w:p>
        </w:tc>
        <w:tc>
          <w:tcPr>
            <w:tcW w:w="1604" w:type="dxa"/>
            <w:tcBorders>
              <w:top w:val="nil"/>
              <w:left w:val="nil"/>
              <w:bottom w:val="single" w:sz="8" w:space="0" w:color="auto"/>
              <w:right w:val="single" w:sz="8" w:space="0" w:color="auto"/>
            </w:tcBorders>
            <w:shd w:val="clear" w:color="auto" w:fill="auto"/>
            <w:vAlign w:val="center"/>
            <w:hideMark/>
          </w:tcPr>
          <w:p w14:paraId="3B45FCE3" w14:textId="30E76F68" w:rsidR="008F3117" w:rsidRPr="00005453" w:rsidRDefault="008F3117" w:rsidP="008F3117">
            <w:pPr>
              <w:ind w:firstLineChars="100" w:firstLine="120"/>
              <w:jc w:val="right"/>
              <w:rPr>
                <w:color w:val="000000"/>
                <w:sz w:val="12"/>
                <w:szCs w:val="12"/>
              </w:rPr>
            </w:pPr>
            <w:r w:rsidRPr="00005453">
              <w:rPr>
                <w:color w:val="000000"/>
                <w:sz w:val="12"/>
                <w:szCs w:val="22"/>
              </w:rPr>
              <w:t>1,019</w:t>
            </w:r>
          </w:p>
        </w:tc>
        <w:tc>
          <w:tcPr>
            <w:tcW w:w="1782" w:type="dxa"/>
            <w:tcBorders>
              <w:top w:val="nil"/>
              <w:left w:val="nil"/>
              <w:bottom w:val="single" w:sz="8" w:space="0" w:color="auto"/>
              <w:right w:val="single" w:sz="8" w:space="0" w:color="auto"/>
            </w:tcBorders>
            <w:shd w:val="clear" w:color="auto" w:fill="auto"/>
            <w:vAlign w:val="center"/>
            <w:hideMark/>
          </w:tcPr>
          <w:p w14:paraId="07036DE7" w14:textId="3D4945B7"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299BFDCD" w14:textId="235A84B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606474DE" w14:textId="5B4689E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08E448DC" w14:textId="744C4435"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5E4558B6"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FC732B9" w14:textId="77777777" w:rsidR="008F3117" w:rsidRPr="00005453" w:rsidRDefault="008F3117" w:rsidP="008F3117">
            <w:pPr>
              <w:rPr>
                <w:color w:val="000000"/>
                <w:sz w:val="12"/>
                <w:szCs w:val="12"/>
                <w:lang w:eastAsia="tr-TR"/>
              </w:rPr>
            </w:pPr>
            <w:r w:rsidRPr="00005453">
              <w:rPr>
                <w:color w:val="000000"/>
                <w:sz w:val="12"/>
                <w:szCs w:val="12"/>
                <w:lang w:eastAsia="tr-TR"/>
              </w:rPr>
              <w:t xml:space="preserve">Gerçeğe Uygun Değer Farkı Kâr Zarara Yansıtılan Finansal Varlıklar </w:t>
            </w:r>
          </w:p>
        </w:tc>
        <w:tc>
          <w:tcPr>
            <w:tcW w:w="917" w:type="dxa"/>
            <w:tcBorders>
              <w:top w:val="nil"/>
              <w:left w:val="nil"/>
              <w:bottom w:val="single" w:sz="8" w:space="0" w:color="auto"/>
              <w:right w:val="single" w:sz="8" w:space="0" w:color="auto"/>
            </w:tcBorders>
            <w:shd w:val="clear" w:color="auto" w:fill="auto"/>
            <w:vAlign w:val="center"/>
            <w:hideMark/>
          </w:tcPr>
          <w:p w14:paraId="17F1D148" w14:textId="668157AA" w:rsidR="008F3117" w:rsidRPr="00005453" w:rsidRDefault="008F3117" w:rsidP="008F3117">
            <w:pPr>
              <w:ind w:firstLineChars="100" w:firstLine="120"/>
              <w:jc w:val="right"/>
              <w:rPr>
                <w:color w:val="000000"/>
                <w:sz w:val="12"/>
                <w:szCs w:val="12"/>
              </w:rPr>
            </w:pPr>
            <w:r w:rsidRPr="00005453">
              <w:rPr>
                <w:color w:val="000000"/>
                <w:sz w:val="12"/>
                <w:szCs w:val="22"/>
              </w:rPr>
              <w:t>32,340,339</w:t>
            </w:r>
          </w:p>
        </w:tc>
        <w:tc>
          <w:tcPr>
            <w:tcW w:w="1576" w:type="dxa"/>
            <w:tcBorders>
              <w:top w:val="nil"/>
              <w:left w:val="nil"/>
              <w:bottom w:val="single" w:sz="8" w:space="0" w:color="auto"/>
              <w:right w:val="single" w:sz="8" w:space="0" w:color="auto"/>
            </w:tcBorders>
            <w:shd w:val="clear" w:color="auto" w:fill="auto"/>
            <w:vAlign w:val="center"/>
            <w:hideMark/>
          </w:tcPr>
          <w:p w14:paraId="32F66430" w14:textId="0CF03550" w:rsidR="008F3117" w:rsidRPr="00005453" w:rsidRDefault="008F3117" w:rsidP="008F3117">
            <w:pPr>
              <w:ind w:firstLineChars="100" w:firstLine="120"/>
              <w:jc w:val="right"/>
              <w:rPr>
                <w:color w:val="000000"/>
                <w:sz w:val="12"/>
                <w:szCs w:val="12"/>
              </w:rPr>
            </w:pPr>
            <w:r w:rsidRPr="00005453">
              <w:rPr>
                <w:color w:val="000000"/>
                <w:sz w:val="12"/>
                <w:szCs w:val="22"/>
              </w:rPr>
              <w:t>32,340,339</w:t>
            </w:r>
          </w:p>
        </w:tc>
        <w:tc>
          <w:tcPr>
            <w:tcW w:w="1604" w:type="dxa"/>
            <w:tcBorders>
              <w:top w:val="nil"/>
              <w:left w:val="nil"/>
              <w:bottom w:val="single" w:sz="8" w:space="0" w:color="auto"/>
              <w:right w:val="single" w:sz="8" w:space="0" w:color="auto"/>
            </w:tcBorders>
            <w:shd w:val="clear" w:color="auto" w:fill="auto"/>
            <w:vAlign w:val="center"/>
            <w:hideMark/>
          </w:tcPr>
          <w:p w14:paraId="316E65A6" w14:textId="2A91CEAC"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733E4D78" w14:textId="7738A26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382EEF54" w14:textId="7C8D1F3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BA0315E" w14:textId="552BA39B" w:rsidR="008F3117" w:rsidRPr="00005453" w:rsidRDefault="008F3117" w:rsidP="008F3117">
            <w:pPr>
              <w:ind w:firstLineChars="100" w:firstLine="120"/>
              <w:jc w:val="right"/>
              <w:rPr>
                <w:color w:val="000000"/>
                <w:sz w:val="12"/>
                <w:szCs w:val="12"/>
              </w:rPr>
            </w:pPr>
            <w:r w:rsidRPr="00005453">
              <w:rPr>
                <w:color w:val="000000"/>
                <w:sz w:val="12"/>
                <w:szCs w:val="22"/>
              </w:rPr>
              <w:t>32,340,339</w:t>
            </w:r>
          </w:p>
        </w:tc>
        <w:tc>
          <w:tcPr>
            <w:tcW w:w="1580" w:type="dxa"/>
            <w:tcBorders>
              <w:top w:val="nil"/>
              <w:left w:val="nil"/>
              <w:bottom w:val="single" w:sz="8" w:space="0" w:color="auto"/>
              <w:right w:val="single" w:sz="8" w:space="0" w:color="auto"/>
            </w:tcBorders>
            <w:shd w:val="clear" w:color="auto" w:fill="auto"/>
            <w:vAlign w:val="center"/>
            <w:hideMark/>
          </w:tcPr>
          <w:p w14:paraId="4B92EAC5" w14:textId="06FED420"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0DB3FD50"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5693375" w14:textId="77777777" w:rsidR="008F3117" w:rsidRPr="00005453" w:rsidRDefault="008F3117" w:rsidP="008F3117">
            <w:pPr>
              <w:rPr>
                <w:color w:val="000000"/>
                <w:sz w:val="12"/>
                <w:szCs w:val="12"/>
                <w:lang w:eastAsia="tr-TR"/>
              </w:rPr>
            </w:pPr>
            <w:r w:rsidRPr="00005453">
              <w:rPr>
                <w:color w:val="000000"/>
                <w:sz w:val="12"/>
                <w:szCs w:val="12"/>
                <w:lang w:eastAsia="tr-TR"/>
              </w:rPr>
              <w:t>Gerçeğe Uygun Değer Farkı Diğer Kapsamlı Gelire Yansıtılan Finansal Varlıklar</w:t>
            </w:r>
          </w:p>
        </w:tc>
        <w:tc>
          <w:tcPr>
            <w:tcW w:w="917" w:type="dxa"/>
            <w:tcBorders>
              <w:top w:val="nil"/>
              <w:left w:val="nil"/>
              <w:bottom w:val="single" w:sz="8" w:space="0" w:color="auto"/>
              <w:right w:val="single" w:sz="8" w:space="0" w:color="auto"/>
            </w:tcBorders>
            <w:shd w:val="clear" w:color="auto" w:fill="auto"/>
            <w:vAlign w:val="center"/>
            <w:hideMark/>
          </w:tcPr>
          <w:p w14:paraId="4FE7D436" w14:textId="563D29D9" w:rsidR="008F3117" w:rsidRPr="00005453" w:rsidRDefault="008F3117" w:rsidP="008F3117">
            <w:pPr>
              <w:ind w:firstLineChars="100" w:firstLine="120"/>
              <w:jc w:val="right"/>
              <w:rPr>
                <w:color w:val="000000"/>
                <w:sz w:val="12"/>
                <w:szCs w:val="12"/>
              </w:rPr>
            </w:pPr>
            <w:r w:rsidRPr="00005453">
              <w:rPr>
                <w:color w:val="000000"/>
                <w:sz w:val="12"/>
                <w:szCs w:val="22"/>
              </w:rPr>
              <w:t>60,958,267</w:t>
            </w:r>
          </w:p>
        </w:tc>
        <w:tc>
          <w:tcPr>
            <w:tcW w:w="1576" w:type="dxa"/>
            <w:tcBorders>
              <w:top w:val="nil"/>
              <w:left w:val="nil"/>
              <w:bottom w:val="single" w:sz="8" w:space="0" w:color="auto"/>
              <w:right w:val="single" w:sz="8" w:space="0" w:color="auto"/>
            </w:tcBorders>
            <w:shd w:val="clear" w:color="auto" w:fill="auto"/>
            <w:vAlign w:val="center"/>
            <w:hideMark/>
          </w:tcPr>
          <w:p w14:paraId="0BC50B1D" w14:textId="2D6F51AC" w:rsidR="008F3117" w:rsidRPr="00005453" w:rsidRDefault="008F3117" w:rsidP="008F3117">
            <w:pPr>
              <w:ind w:firstLineChars="100" w:firstLine="120"/>
              <w:jc w:val="right"/>
              <w:rPr>
                <w:color w:val="000000"/>
                <w:sz w:val="12"/>
                <w:szCs w:val="12"/>
              </w:rPr>
            </w:pPr>
            <w:r w:rsidRPr="00005453">
              <w:rPr>
                <w:color w:val="000000"/>
                <w:sz w:val="12"/>
                <w:szCs w:val="22"/>
              </w:rPr>
              <w:t>60,958,267</w:t>
            </w:r>
          </w:p>
        </w:tc>
        <w:tc>
          <w:tcPr>
            <w:tcW w:w="1604" w:type="dxa"/>
            <w:tcBorders>
              <w:top w:val="nil"/>
              <w:left w:val="nil"/>
              <w:bottom w:val="single" w:sz="8" w:space="0" w:color="auto"/>
              <w:right w:val="single" w:sz="8" w:space="0" w:color="auto"/>
            </w:tcBorders>
            <w:shd w:val="clear" w:color="auto" w:fill="auto"/>
            <w:vAlign w:val="center"/>
            <w:hideMark/>
          </w:tcPr>
          <w:p w14:paraId="214815CE" w14:textId="7B2F5C30" w:rsidR="008F3117" w:rsidRPr="00005453" w:rsidRDefault="008F3117" w:rsidP="008F3117">
            <w:pPr>
              <w:ind w:firstLineChars="100" w:firstLine="120"/>
              <w:jc w:val="right"/>
              <w:rPr>
                <w:color w:val="000000"/>
                <w:sz w:val="12"/>
                <w:szCs w:val="12"/>
              </w:rPr>
            </w:pPr>
            <w:r w:rsidRPr="00005453">
              <w:rPr>
                <w:color w:val="000000"/>
                <w:sz w:val="12"/>
                <w:szCs w:val="22"/>
              </w:rPr>
              <w:t>60,958,267</w:t>
            </w:r>
          </w:p>
        </w:tc>
        <w:tc>
          <w:tcPr>
            <w:tcW w:w="1782" w:type="dxa"/>
            <w:tcBorders>
              <w:top w:val="nil"/>
              <w:left w:val="nil"/>
              <w:bottom w:val="single" w:sz="8" w:space="0" w:color="auto"/>
              <w:right w:val="single" w:sz="8" w:space="0" w:color="auto"/>
            </w:tcBorders>
            <w:shd w:val="clear" w:color="auto" w:fill="auto"/>
            <w:vAlign w:val="center"/>
            <w:hideMark/>
          </w:tcPr>
          <w:p w14:paraId="65793123" w14:textId="422781FC"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755EF97B" w14:textId="572B3AD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5795E7DB" w14:textId="7D437EE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2CECA649" w14:textId="202E150D"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098581FA"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09A1C8" w14:textId="77777777" w:rsidR="008F3117" w:rsidRPr="00005453" w:rsidRDefault="008F3117" w:rsidP="008F3117">
            <w:pPr>
              <w:rPr>
                <w:color w:val="000000"/>
                <w:sz w:val="12"/>
                <w:szCs w:val="12"/>
                <w:lang w:eastAsia="tr-TR"/>
              </w:rPr>
            </w:pPr>
            <w:r w:rsidRPr="00005453">
              <w:rPr>
                <w:color w:val="000000"/>
                <w:sz w:val="12"/>
                <w:szCs w:val="12"/>
                <w:lang w:eastAsia="tr-TR"/>
              </w:rPr>
              <w:t>İtfa Edilmiş Maliyeti İle Ölçülen Finansal Varlıklar</w:t>
            </w:r>
          </w:p>
        </w:tc>
        <w:tc>
          <w:tcPr>
            <w:tcW w:w="917" w:type="dxa"/>
            <w:tcBorders>
              <w:top w:val="nil"/>
              <w:left w:val="nil"/>
              <w:bottom w:val="single" w:sz="8" w:space="0" w:color="auto"/>
              <w:right w:val="single" w:sz="8" w:space="0" w:color="auto"/>
            </w:tcBorders>
            <w:shd w:val="clear" w:color="auto" w:fill="auto"/>
            <w:vAlign w:val="center"/>
            <w:hideMark/>
          </w:tcPr>
          <w:p w14:paraId="05904695" w14:textId="12834CA4" w:rsidR="008F3117" w:rsidRPr="00005453" w:rsidRDefault="008F3117" w:rsidP="008F3117">
            <w:pPr>
              <w:ind w:firstLineChars="100" w:firstLine="120"/>
              <w:jc w:val="right"/>
              <w:rPr>
                <w:color w:val="000000"/>
                <w:sz w:val="12"/>
                <w:szCs w:val="12"/>
              </w:rPr>
            </w:pPr>
            <w:r w:rsidRPr="00005453">
              <w:rPr>
                <w:color w:val="000000"/>
                <w:sz w:val="12"/>
                <w:szCs w:val="22"/>
              </w:rPr>
              <w:t>56,023,875</w:t>
            </w:r>
          </w:p>
        </w:tc>
        <w:tc>
          <w:tcPr>
            <w:tcW w:w="1576" w:type="dxa"/>
            <w:tcBorders>
              <w:top w:val="nil"/>
              <w:left w:val="nil"/>
              <w:bottom w:val="single" w:sz="8" w:space="0" w:color="auto"/>
              <w:right w:val="single" w:sz="8" w:space="0" w:color="auto"/>
            </w:tcBorders>
            <w:shd w:val="clear" w:color="auto" w:fill="auto"/>
            <w:vAlign w:val="center"/>
            <w:hideMark/>
          </w:tcPr>
          <w:p w14:paraId="0AF07C34" w14:textId="2BCF47D6" w:rsidR="008F3117" w:rsidRPr="00005453" w:rsidRDefault="008F3117" w:rsidP="008F3117">
            <w:pPr>
              <w:ind w:firstLineChars="100" w:firstLine="120"/>
              <w:jc w:val="right"/>
              <w:rPr>
                <w:color w:val="000000"/>
                <w:sz w:val="12"/>
                <w:szCs w:val="12"/>
              </w:rPr>
            </w:pPr>
            <w:r w:rsidRPr="00005453">
              <w:rPr>
                <w:color w:val="000000"/>
                <w:sz w:val="12"/>
                <w:szCs w:val="22"/>
              </w:rPr>
              <w:t>56,023,875</w:t>
            </w:r>
          </w:p>
        </w:tc>
        <w:tc>
          <w:tcPr>
            <w:tcW w:w="1604" w:type="dxa"/>
            <w:tcBorders>
              <w:top w:val="nil"/>
              <w:left w:val="nil"/>
              <w:bottom w:val="single" w:sz="8" w:space="0" w:color="auto"/>
              <w:right w:val="single" w:sz="8" w:space="0" w:color="auto"/>
            </w:tcBorders>
            <w:shd w:val="clear" w:color="auto" w:fill="auto"/>
            <w:vAlign w:val="center"/>
            <w:hideMark/>
          </w:tcPr>
          <w:p w14:paraId="46D9819A" w14:textId="0BB6E159" w:rsidR="008F3117" w:rsidRPr="00005453" w:rsidRDefault="008F3117" w:rsidP="008F3117">
            <w:pPr>
              <w:ind w:firstLineChars="100" w:firstLine="120"/>
              <w:jc w:val="right"/>
              <w:rPr>
                <w:color w:val="000000"/>
                <w:sz w:val="12"/>
                <w:szCs w:val="12"/>
              </w:rPr>
            </w:pPr>
            <w:r w:rsidRPr="00005453">
              <w:rPr>
                <w:color w:val="000000"/>
                <w:sz w:val="12"/>
                <w:szCs w:val="22"/>
              </w:rPr>
              <w:t>56,023,875</w:t>
            </w:r>
          </w:p>
        </w:tc>
        <w:tc>
          <w:tcPr>
            <w:tcW w:w="1782" w:type="dxa"/>
            <w:tcBorders>
              <w:top w:val="nil"/>
              <w:left w:val="nil"/>
              <w:bottom w:val="single" w:sz="8" w:space="0" w:color="auto"/>
              <w:right w:val="single" w:sz="8" w:space="0" w:color="auto"/>
            </w:tcBorders>
            <w:shd w:val="clear" w:color="auto" w:fill="auto"/>
            <w:vAlign w:val="center"/>
            <w:hideMark/>
          </w:tcPr>
          <w:p w14:paraId="214DB8F4" w14:textId="665D285C"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3DBD3179" w14:textId="6ABE772B"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1E1FB7B7" w14:textId="09B0F49B"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41D7A945" w14:textId="17B066BF"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69EFDC1C"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1D8195A" w14:textId="77777777" w:rsidR="008F3117" w:rsidRPr="00005453" w:rsidRDefault="008F3117" w:rsidP="008F3117">
            <w:pPr>
              <w:rPr>
                <w:color w:val="000000"/>
                <w:sz w:val="12"/>
                <w:szCs w:val="12"/>
                <w:lang w:eastAsia="tr-TR"/>
              </w:rPr>
            </w:pPr>
            <w:r w:rsidRPr="00005453">
              <w:rPr>
                <w:color w:val="000000"/>
                <w:sz w:val="12"/>
                <w:szCs w:val="12"/>
                <w:lang w:val="en-US" w:eastAsia="tr-TR"/>
              </w:rPr>
              <w:t>Türev Finansal Varlıklar</w:t>
            </w:r>
          </w:p>
        </w:tc>
        <w:tc>
          <w:tcPr>
            <w:tcW w:w="917" w:type="dxa"/>
            <w:tcBorders>
              <w:top w:val="nil"/>
              <w:left w:val="nil"/>
              <w:bottom w:val="single" w:sz="8" w:space="0" w:color="auto"/>
              <w:right w:val="single" w:sz="8" w:space="0" w:color="auto"/>
            </w:tcBorders>
            <w:shd w:val="clear" w:color="auto" w:fill="auto"/>
            <w:vAlign w:val="center"/>
            <w:hideMark/>
          </w:tcPr>
          <w:p w14:paraId="3A51811D" w14:textId="0D162E56" w:rsidR="008F3117" w:rsidRPr="00005453" w:rsidRDefault="008F3117" w:rsidP="008F3117">
            <w:pPr>
              <w:ind w:firstLineChars="100" w:firstLine="120"/>
              <w:jc w:val="right"/>
              <w:rPr>
                <w:color w:val="000000"/>
                <w:sz w:val="12"/>
                <w:szCs w:val="12"/>
              </w:rPr>
            </w:pPr>
            <w:r w:rsidRPr="00005453">
              <w:rPr>
                <w:color w:val="000000"/>
                <w:sz w:val="12"/>
                <w:szCs w:val="22"/>
              </w:rPr>
              <w:t>1,115,386</w:t>
            </w:r>
          </w:p>
        </w:tc>
        <w:tc>
          <w:tcPr>
            <w:tcW w:w="1576" w:type="dxa"/>
            <w:tcBorders>
              <w:top w:val="nil"/>
              <w:left w:val="nil"/>
              <w:bottom w:val="single" w:sz="8" w:space="0" w:color="auto"/>
              <w:right w:val="single" w:sz="8" w:space="0" w:color="auto"/>
            </w:tcBorders>
            <w:shd w:val="clear" w:color="auto" w:fill="auto"/>
            <w:vAlign w:val="center"/>
            <w:hideMark/>
          </w:tcPr>
          <w:p w14:paraId="63D31332" w14:textId="386E3CA3" w:rsidR="008F3117" w:rsidRPr="00005453" w:rsidRDefault="008F3117" w:rsidP="008F3117">
            <w:pPr>
              <w:ind w:firstLineChars="100" w:firstLine="120"/>
              <w:jc w:val="right"/>
              <w:rPr>
                <w:color w:val="000000"/>
                <w:sz w:val="12"/>
                <w:szCs w:val="12"/>
              </w:rPr>
            </w:pPr>
            <w:r w:rsidRPr="00005453">
              <w:rPr>
                <w:color w:val="000000"/>
                <w:sz w:val="12"/>
                <w:szCs w:val="22"/>
              </w:rPr>
              <w:t>1,115,386</w:t>
            </w:r>
          </w:p>
        </w:tc>
        <w:tc>
          <w:tcPr>
            <w:tcW w:w="1604" w:type="dxa"/>
            <w:tcBorders>
              <w:top w:val="nil"/>
              <w:left w:val="nil"/>
              <w:bottom w:val="single" w:sz="8" w:space="0" w:color="auto"/>
              <w:right w:val="single" w:sz="8" w:space="0" w:color="auto"/>
            </w:tcBorders>
            <w:shd w:val="clear" w:color="auto" w:fill="auto"/>
            <w:vAlign w:val="center"/>
            <w:hideMark/>
          </w:tcPr>
          <w:p w14:paraId="339440F4" w14:textId="73A3E146"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598C97AC" w14:textId="1657B25C" w:rsidR="008F3117" w:rsidRPr="00005453" w:rsidRDefault="008F3117" w:rsidP="008F3117">
            <w:pPr>
              <w:ind w:firstLineChars="100" w:firstLine="120"/>
              <w:jc w:val="right"/>
              <w:rPr>
                <w:color w:val="000000"/>
                <w:sz w:val="12"/>
                <w:szCs w:val="12"/>
              </w:rPr>
            </w:pPr>
            <w:r w:rsidRPr="00005453">
              <w:rPr>
                <w:color w:val="000000"/>
                <w:sz w:val="12"/>
                <w:szCs w:val="22"/>
              </w:rPr>
              <w:t>1,115,386</w:t>
            </w:r>
          </w:p>
        </w:tc>
        <w:tc>
          <w:tcPr>
            <w:tcW w:w="1648" w:type="dxa"/>
            <w:tcBorders>
              <w:top w:val="nil"/>
              <w:left w:val="nil"/>
              <w:bottom w:val="single" w:sz="8" w:space="0" w:color="auto"/>
              <w:right w:val="single" w:sz="8" w:space="0" w:color="auto"/>
            </w:tcBorders>
            <w:shd w:val="clear" w:color="auto" w:fill="auto"/>
            <w:vAlign w:val="center"/>
            <w:hideMark/>
          </w:tcPr>
          <w:p w14:paraId="01A382D2" w14:textId="7D076E5B"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8DE63E3" w14:textId="2140AE3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06AB051D" w14:textId="689FE042"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182B48CF"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1DC0F51" w14:textId="77777777" w:rsidR="008F3117" w:rsidRPr="00005453" w:rsidRDefault="008F3117" w:rsidP="008F3117">
            <w:pPr>
              <w:rPr>
                <w:color w:val="000000"/>
                <w:sz w:val="12"/>
                <w:szCs w:val="12"/>
                <w:lang w:eastAsia="tr-TR"/>
              </w:rPr>
            </w:pPr>
            <w:r w:rsidRPr="00005453">
              <w:rPr>
                <w:color w:val="000000"/>
                <w:sz w:val="12"/>
                <w:szCs w:val="12"/>
                <w:lang w:val="en-US" w:eastAsia="tr-TR"/>
              </w:rPr>
              <w:t>Beklenen Zarar Karşılıkları (-)</w:t>
            </w:r>
          </w:p>
        </w:tc>
        <w:tc>
          <w:tcPr>
            <w:tcW w:w="917" w:type="dxa"/>
            <w:tcBorders>
              <w:top w:val="nil"/>
              <w:left w:val="nil"/>
              <w:bottom w:val="single" w:sz="8" w:space="0" w:color="auto"/>
              <w:right w:val="single" w:sz="8" w:space="0" w:color="auto"/>
            </w:tcBorders>
            <w:shd w:val="clear" w:color="auto" w:fill="auto"/>
            <w:vAlign w:val="center"/>
            <w:hideMark/>
          </w:tcPr>
          <w:p w14:paraId="6244548A" w14:textId="23F8A358" w:rsidR="008F3117" w:rsidRPr="00005453" w:rsidRDefault="008F3117" w:rsidP="008F3117">
            <w:pPr>
              <w:ind w:firstLineChars="100" w:firstLine="120"/>
              <w:jc w:val="right"/>
              <w:rPr>
                <w:color w:val="000000"/>
                <w:sz w:val="12"/>
                <w:szCs w:val="12"/>
              </w:rPr>
            </w:pPr>
            <w:r w:rsidRPr="00005453">
              <w:rPr>
                <w:color w:val="000000"/>
                <w:sz w:val="12"/>
                <w:szCs w:val="22"/>
              </w:rPr>
              <w:t>12,988,502</w:t>
            </w:r>
          </w:p>
        </w:tc>
        <w:tc>
          <w:tcPr>
            <w:tcW w:w="1576" w:type="dxa"/>
            <w:tcBorders>
              <w:top w:val="nil"/>
              <w:left w:val="nil"/>
              <w:bottom w:val="single" w:sz="8" w:space="0" w:color="auto"/>
              <w:right w:val="single" w:sz="8" w:space="0" w:color="auto"/>
            </w:tcBorders>
            <w:shd w:val="clear" w:color="auto" w:fill="auto"/>
            <w:vAlign w:val="center"/>
            <w:hideMark/>
          </w:tcPr>
          <w:p w14:paraId="726C2239" w14:textId="3AEB095E" w:rsidR="008F3117" w:rsidRPr="00005453" w:rsidRDefault="008F3117" w:rsidP="008F3117">
            <w:pPr>
              <w:ind w:firstLineChars="100" w:firstLine="120"/>
              <w:jc w:val="right"/>
              <w:rPr>
                <w:color w:val="000000"/>
                <w:sz w:val="12"/>
                <w:szCs w:val="12"/>
              </w:rPr>
            </w:pPr>
            <w:r w:rsidRPr="00005453">
              <w:rPr>
                <w:color w:val="000000"/>
                <w:sz w:val="12"/>
                <w:szCs w:val="22"/>
              </w:rPr>
              <w:t>12,988,502</w:t>
            </w:r>
          </w:p>
        </w:tc>
        <w:tc>
          <w:tcPr>
            <w:tcW w:w="1604" w:type="dxa"/>
            <w:tcBorders>
              <w:top w:val="nil"/>
              <w:left w:val="nil"/>
              <w:bottom w:val="single" w:sz="8" w:space="0" w:color="auto"/>
              <w:right w:val="single" w:sz="8" w:space="0" w:color="auto"/>
            </w:tcBorders>
            <w:shd w:val="clear" w:color="auto" w:fill="auto"/>
            <w:vAlign w:val="center"/>
            <w:hideMark/>
          </w:tcPr>
          <w:p w14:paraId="3969DAB8" w14:textId="6EE76AA5" w:rsidR="008F3117" w:rsidRPr="00005453" w:rsidRDefault="008F3117" w:rsidP="008F3117">
            <w:pPr>
              <w:ind w:firstLineChars="100" w:firstLine="120"/>
              <w:jc w:val="right"/>
              <w:rPr>
                <w:color w:val="000000"/>
                <w:sz w:val="12"/>
                <w:szCs w:val="12"/>
              </w:rPr>
            </w:pPr>
            <w:r w:rsidRPr="00005453">
              <w:rPr>
                <w:color w:val="000000"/>
                <w:sz w:val="12"/>
                <w:szCs w:val="22"/>
              </w:rPr>
              <w:t>5,979,738</w:t>
            </w:r>
          </w:p>
        </w:tc>
        <w:tc>
          <w:tcPr>
            <w:tcW w:w="1782" w:type="dxa"/>
            <w:tcBorders>
              <w:top w:val="nil"/>
              <w:left w:val="nil"/>
              <w:bottom w:val="single" w:sz="8" w:space="0" w:color="auto"/>
              <w:right w:val="single" w:sz="8" w:space="0" w:color="auto"/>
            </w:tcBorders>
            <w:shd w:val="clear" w:color="auto" w:fill="auto"/>
            <w:vAlign w:val="center"/>
            <w:hideMark/>
          </w:tcPr>
          <w:p w14:paraId="2CF8A1FB" w14:textId="12F59906"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596AEB8E" w14:textId="50BEC76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5DB8A76" w14:textId="41BC89A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025BD5F2" w14:textId="05B7C21B" w:rsidR="008F3117" w:rsidRPr="00005453" w:rsidRDefault="008F3117" w:rsidP="008F3117">
            <w:pPr>
              <w:ind w:firstLineChars="100" w:firstLine="120"/>
              <w:jc w:val="right"/>
              <w:rPr>
                <w:color w:val="000000"/>
                <w:sz w:val="12"/>
                <w:szCs w:val="12"/>
              </w:rPr>
            </w:pPr>
            <w:r w:rsidRPr="00005453">
              <w:rPr>
                <w:color w:val="000000"/>
                <w:sz w:val="12"/>
                <w:szCs w:val="22"/>
              </w:rPr>
              <w:t>7,008,764</w:t>
            </w:r>
          </w:p>
        </w:tc>
      </w:tr>
      <w:tr w:rsidR="008F3117" w:rsidRPr="00005453" w14:paraId="74461A02"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F94E0E7" w14:textId="77777777" w:rsidR="008F3117" w:rsidRPr="00005453" w:rsidRDefault="008F3117" w:rsidP="008F3117">
            <w:pPr>
              <w:rPr>
                <w:color w:val="000000"/>
                <w:sz w:val="12"/>
                <w:szCs w:val="12"/>
                <w:lang w:eastAsia="tr-TR"/>
              </w:rPr>
            </w:pPr>
            <w:r w:rsidRPr="00005453">
              <w:rPr>
                <w:color w:val="000000"/>
                <w:sz w:val="12"/>
                <w:szCs w:val="12"/>
                <w:lang w:val="en-US" w:eastAsia="tr-TR"/>
              </w:rPr>
              <w:t>Krediler</w:t>
            </w:r>
            <w:r w:rsidRPr="00005453">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1D84D523" w14:textId="7A6C084E" w:rsidR="008F3117" w:rsidRPr="00005453" w:rsidRDefault="008F3117" w:rsidP="008F3117">
            <w:pPr>
              <w:ind w:firstLineChars="100" w:firstLine="120"/>
              <w:jc w:val="right"/>
              <w:rPr>
                <w:color w:val="000000"/>
                <w:sz w:val="12"/>
                <w:szCs w:val="12"/>
              </w:rPr>
            </w:pPr>
            <w:r w:rsidRPr="00005453">
              <w:rPr>
                <w:color w:val="000000"/>
                <w:sz w:val="12"/>
                <w:szCs w:val="22"/>
              </w:rPr>
              <w:t>384,235,55</w:t>
            </w:r>
            <w:r w:rsidR="00C650EF" w:rsidRPr="00005453">
              <w:rPr>
                <w:color w:val="000000"/>
                <w:sz w:val="12"/>
                <w:szCs w:val="22"/>
              </w:rPr>
              <w:t>3</w:t>
            </w:r>
          </w:p>
        </w:tc>
        <w:tc>
          <w:tcPr>
            <w:tcW w:w="1576" w:type="dxa"/>
            <w:tcBorders>
              <w:top w:val="nil"/>
              <w:left w:val="nil"/>
              <w:bottom w:val="single" w:sz="8" w:space="0" w:color="auto"/>
              <w:right w:val="single" w:sz="8" w:space="0" w:color="auto"/>
            </w:tcBorders>
            <w:shd w:val="clear" w:color="auto" w:fill="auto"/>
            <w:vAlign w:val="center"/>
            <w:hideMark/>
          </w:tcPr>
          <w:p w14:paraId="0BF163AE" w14:textId="5A565866" w:rsidR="008F3117" w:rsidRPr="00005453" w:rsidRDefault="008F3117" w:rsidP="008F3117">
            <w:pPr>
              <w:ind w:firstLineChars="100" w:firstLine="120"/>
              <w:jc w:val="right"/>
              <w:rPr>
                <w:color w:val="000000"/>
                <w:sz w:val="12"/>
                <w:szCs w:val="12"/>
              </w:rPr>
            </w:pPr>
            <w:r w:rsidRPr="00005453">
              <w:rPr>
                <w:color w:val="000000"/>
                <w:sz w:val="12"/>
                <w:szCs w:val="22"/>
              </w:rPr>
              <w:t>384,235,55</w:t>
            </w:r>
            <w:r w:rsidR="00335DF8" w:rsidRPr="00005453">
              <w:rPr>
                <w:color w:val="000000"/>
                <w:sz w:val="12"/>
                <w:szCs w:val="22"/>
              </w:rPr>
              <w:t>3</w:t>
            </w:r>
          </w:p>
        </w:tc>
        <w:tc>
          <w:tcPr>
            <w:tcW w:w="1604" w:type="dxa"/>
            <w:tcBorders>
              <w:top w:val="nil"/>
              <w:left w:val="nil"/>
              <w:bottom w:val="single" w:sz="8" w:space="0" w:color="auto"/>
              <w:right w:val="single" w:sz="8" w:space="0" w:color="auto"/>
            </w:tcBorders>
            <w:shd w:val="clear" w:color="auto" w:fill="auto"/>
            <w:vAlign w:val="center"/>
            <w:hideMark/>
          </w:tcPr>
          <w:p w14:paraId="4689B405" w14:textId="0BAFF402" w:rsidR="008F3117" w:rsidRPr="00005453" w:rsidRDefault="008F3117" w:rsidP="008F3117">
            <w:pPr>
              <w:ind w:firstLineChars="100" w:firstLine="120"/>
              <w:jc w:val="right"/>
              <w:rPr>
                <w:color w:val="000000"/>
                <w:sz w:val="12"/>
                <w:szCs w:val="12"/>
              </w:rPr>
            </w:pPr>
            <w:r w:rsidRPr="00005453">
              <w:rPr>
                <w:color w:val="000000"/>
                <w:sz w:val="12"/>
                <w:szCs w:val="22"/>
              </w:rPr>
              <w:t>386,666,770</w:t>
            </w:r>
          </w:p>
        </w:tc>
        <w:tc>
          <w:tcPr>
            <w:tcW w:w="1782" w:type="dxa"/>
            <w:tcBorders>
              <w:top w:val="nil"/>
              <w:left w:val="nil"/>
              <w:bottom w:val="single" w:sz="8" w:space="0" w:color="auto"/>
              <w:right w:val="single" w:sz="8" w:space="0" w:color="auto"/>
            </w:tcBorders>
            <w:shd w:val="clear" w:color="auto" w:fill="auto"/>
            <w:vAlign w:val="center"/>
            <w:hideMark/>
          </w:tcPr>
          <w:p w14:paraId="2BCC0B4B" w14:textId="7DD0284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4DDA102A" w14:textId="495EDD69"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41AB05E2" w14:textId="38C1ED7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90D74C9" w14:textId="01F249F0"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2B3DD9AE"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060BA82" w14:textId="77777777" w:rsidR="008F3117" w:rsidRPr="00005453" w:rsidRDefault="008F3117" w:rsidP="008F3117">
            <w:pPr>
              <w:rPr>
                <w:color w:val="000000"/>
                <w:sz w:val="12"/>
                <w:szCs w:val="12"/>
                <w:lang w:eastAsia="tr-TR"/>
              </w:rPr>
            </w:pPr>
            <w:r w:rsidRPr="00005453">
              <w:rPr>
                <w:color w:val="000000"/>
                <w:sz w:val="12"/>
                <w:szCs w:val="12"/>
                <w:lang w:val="en-US" w:eastAsia="tr-TR"/>
              </w:rPr>
              <w:t>Kiralama İşlemlerinden Alacaklar</w:t>
            </w:r>
          </w:p>
        </w:tc>
        <w:tc>
          <w:tcPr>
            <w:tcW w:w="917" w:type="dxa"/>
            <w:tcBorders>
              <w:top w:val="nil"/>
              <w:left w:val="nil"/>
              <w:bottom w:val="single" w:sz="8" w:space="0" w:color="auto"/>
              <w:right w:val="single" w:sz="8" w:space="0" w:color="auto"/>
            </w:tcBorders>
            <w:shd w:val="clear" w:color="auto" w:fill="auto"/>
            <w:vAlign w:val="center"/>
            <w:hideMark/>
          </w:tcPr>
          <w:p w14:paraId="59DFE9C3" w14:textId="10C0B17F" w:rsidR="008F3117" w:rsidRPr="00005453" w:rsidRDefault="008F3117" w:rsidP="008F3117">
            <w:pPr>
              <w:ind w:firstLineChars="100" w:firstLine="120"/>
              <w:jc w:val="right"/>
              <w:rPr>
                <w:color w:val="000000"/>
                <w:sz w:val="12"/>
                <w:szCs w:val="12"/>
              </w:rPr>
            </w:pPr>
            <w:r w:rsidRPr="00005453">
              <w:rPr>
                <w:color w:val="000000"/>
                <w:sz w:val="12"/>
                <w:szCs w:val="22"/>
              </w:rPr>
              <w:t>50,506,622</w:t>
            </w:r>
          </w:p>
        </w:tc>
        <w:tc>
          <w:tcPr>
            <w:tcW w:w="1576" w:type="dxa"/>
            <w:tcBorders>
              <w:top w:val="nil"/>
              <w:left w:val="nil"/>
              <w:bottom w:val="single" w:sz="8" w:space="0" w:color="auto"/>
              <w:right w:val="single" w:sz="8" w:space="0" w:color="auto"/>
            </w:tcBorders>
            <w:shd w:val="clear" w:color="auto" w:fill="auto"/>
            <w:vAlign w:val="center"/>
            <w:hideMark/>
          </w:tcPr>
          <w:p w14:paraId="7E17C430" w14:textId="239C09C3" w:rsidR="008F3117" w:rsidRPr="00005453" w:rsidRDefault="008F3117" w:rsidP="008F3117">
            <w:pPr>
              <w:ind w:firstLineChars="100" w:firstLine="120"/>
              <w:jc w:val="right"/>
              <w:rPr>
                <w:color w:val="000000"/>
                <w:sz w:val="12"/>
                <w:szCs w:val="12"/>
              </w:rPr>
            </w:pPr>
            <w:r w:rsidRPr="00005453">
              <w:rPr>
                <w:color w:val="000000"/>
                <w:sz w:val="12"/>
                <w:szCs w:val="22"/>
              </w:rPr>
              <w:t>50,506,622</w:t>
            </w:r>
          </w:p>
        </w:tc>
        <w:tc>
          <w:tcPr>
            <w:tcW w:w="1604" w:type="dxa"/>
            <w:tcBorders>
              <w:top w:val="nil"/>
              <w:left w:val="nil"/>
              <w:bottom w:val="single" w:sz="8" w:space="0" w:color="auto"/>
              <w:right w:val="single" w:sz="8" w:space="0" w:color="auto"/>
            </w:tcBorders>
            <w:shd w:val="clear" w:color="auto" w:fill="auto"/>
            <w:vAlign w:val="center"/>
            <w:hideMark/>
          </w:tcPr>
          <w:p w14:paraId="70CE6A48" w14:textId="146F207A" w:rsidR="008F3117" w:rsidRPr="00005453" w:rsidRDefault="008F3117" w:rsidP="008F3117">
            <w:pPr>
              <w:ind w:firstLineChars="100" w:firstLine="120"/>
              <w:jc w:val="right"/>
              <w:rPr>
                <w:color w:val="000000"/>
                <w:sz w:val="12"/>
                <w:szCs w:val="12"/>
              </w:rPr>
            </w:pPr>
            <w:r w:rsidRPr="00005453">
              <w:rPr>
                <w:color w:val="000000"/>
                <w:sz w:val="12"/>
                <w:szCs w:val="22"/>
              </w:rPr>
              <w:t>50,506,622</w:t>
            </w:r>
          </w:p>
        </w:tc>
        <w:tc>
          <w:tcPr>
            <w:tcW w:w="1782" w:type="dxa"/>
            <w:tcBorders>
              <w:top w:val="nil"/>
              <w:left w:val="nil"/>
              <w:bottom w:val="single" w:sz="8" w:space="0" w:color="auto"/>
              <w:right w:val="single" w:sz="8" w:space="0" w:color="auto"/>
            </w:tcBorders>
            <w:shd w:val="clear" w:color="auto" w:fill="auto"/>
            <w:vAlign w:val="center"/>
            <w:hideMark/>
          </w:tcPr>
          <w:p w14:paraId="39D04E4F" w14:textId="04E4EEE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0758F3CF" w14:textId="732E0CA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A8E0E22" w14:textId="0F72D82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36C1288F" w14:textId="2C2E96BA"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3644E938"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ED4B8FB" w14:textId="77777777" w:rsidR="008F3117" w:rsidRPr="00005453" w:rsidRDefault="008F3117" w:rsidP="008F3117">
            <w:pPr>
              <w:rPr>
                <w:color w:val="000000"/>
                <w:sz w:val="12"/>
                <w:szCs w:val="12"/>
                <w:lang w:eastAsia="tr-TR"/>
              </w:rPr>
            </w:pPr>
            <w:r w:rsidRPr="00005453">
              <w:rPr>
                <w:color w:val="000000"/>
                <w:sz w:val="12"/>
                <w:szCs w:val="12"/>
                <w:lang w:val="en-US" w:eastAsia="tr-TR"/>
              </w:rPr>
              <w:t>Faktoring Alacakları</w:t>
            </w:r>
          </w:p>
        </w:tc>
        <w:tc>
          <w:tcPr>
            <w:tcW w:w="917" w:type="dxa"/>
            <w:tcBorders>
              <w:top w:val="nil"/>
              <w:left w:val="nil"/>
              <w:bottom w:val="single" w:sz="8" w:space="0" w:color="auto"/>
              <w:right w:val="single" w:sz="8" w:space="0" w:color="auto"/>
            </w:tcBorders>
            <w:shd w:val="clear" w:color="auto" w:fill="auto"/>
            <w:vAlign w:val="center"/>
            <w:hideMark/>
          </w:tcPr>
          <w:p w14:paraId="41C96E0B" w14:textId="7FDB54E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76" w:type="dxa"/>
            <w:tcBorders>
              <w:top w:val="nil"/>
              <w:left w:val="nil"/>
              <w:bottom w:val="single" w:sz="8" w:space="0" w:color="auto"/>
              <w:right w:val="single" w:sz="8" w:space="0" w:color="auto"/>
            </w:tcBorders>
            <w:shd w:val="clear" w:color="auto" w:fill="auto"/>
            <w:vAlign w:val="center"/>
            <w:hideMark/>
          </w:tcPr>
          <w:p w14:paraId="678F7562" w14:textId="1819838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04" w:type="dxa"/>
            <w:tcBorders>
              <w:top w:val="nil"/>
              <w:left w:val="nil"/>
              <w:bottom w:val="single" w:sz="8" w:space="0" w:color="auto"/>
              <w:right w:val="single" w:sz="8" w:space="0" w:color="auto"/>
            </w:tcBorders>
            <w:shd w:val="clear" w:color="auto" w:fill="auto"/>
            <w:vAlign w:val="center"/>
            <w:hideMark/>
          </w:tcPr>
          <w:p w14:paraId="05972532" w14:textId="40CC3E1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127A948E" w14:textId="6CF9C93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03A1D791" w14:textId="2A133CC7"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2D79031" w14:textId="4D78396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2C3A2AF" w14:textId="6E666F90"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1FB676D0"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CB3D46D" w14:textId="77777777" w:rsidR="008F3117" w:rsidRPr="00005453" w:rsidRDefault="008F3117" w:rsidP="008F3117">
            <w:pPr>
              <w:rPr>
                <w:color w:val="000000"/>
                <w:sz w:val="12"/>
                <w:szCs w:val="12"/>
                <w:lang w:eastAsia="tr-TR"/>
              </w:rPr>
            </w:pPr>
            <w:r w:rsidRPr="00005453">
              <w:rPr>
                <w:color w:val="000000"/>
                <w:sz w:val="12"/>
                <w:szCs w:val="12"/>
                <w:lang w:eastAsia="tr-TR"/>
              </w:rPr>
              <w:t>Satış Amaçlı Elde Tutulan Ve Durdurulan Faaliyetlere İlişkin Duran Varlıklar (Net)</w:t>
            </w:r>
          </w:p>
        </w:tc>
        <w:tc>
          <w:tcPr>
            <w:tcW w:w="917" w:type="dxa"/>
            <w:tcBorders>
              <w:top w:val="nil"/>
              <w:left w:val="nil"/>
              <w:bottom w:val="single" w:sz="8" w:space="0" w:color="auto"/>
              <w:right w:val="single" w:sz="8" w:space="0" w:color="auto"/>
            </w:tcBorders>
            <w:shd w:val="clear" w:color="auto" w:fill="auto"/>
            <w:vAlign w:val="center"/>
            <w:hideMark/>
          </w:tcPr>
          <w:p w14:paraId="69E90D39" w14:textId="33B5D691" w:rsidR="008F3117" w:rsidRPr="00005453" w:rsidRDefault="008F3117" w:rsidP="008F3117">
            <w:pPr>
              <w:ind w:firstLineChars="100" w:firstLine="120"/>
              <w:jc w:val="right"/>
              <w:rPr>
                <w:color w:val="000000"/>
                <w:sz w:val="12"/>
                <w:szCs w:val="12"/>
              </w:rPr>
            </w:pPr>
            <w:r w:rsidRPr="00005453">
              <w:rPr>
                <w:color w:val="000000"/>
                <w:sz w:val="12"/>
                <w:szCs w:val="22"/>
              </w:rPr>
              <w:t>522,743</w:t>
            </w:r>
          </w:p>
        </w:tc>
        <w:tc>
          <w:tcPr>
            <w:tcW w:w="1576" w:type="dxa"/>
            <w:tcBorders>
              <w:top w:val="nil"/>
              <w:left w:val="nil"/>
              <w:bottom w:val="single" w:sz="8" w:space="0" w:color="auto"/>
              <w:right w:val="single" w:sz="8" w:space="0" w:color="auto"/>
            </w:tcBorders>
            <w:shd w:val="clear" w:color="auto" w:fill="auto"/>
            <w:vAlign w:val="center"/>
            <w:hideMark/>
          </w:tcPr>
          <w:p w14:paraId="2CAD2351" w14:textId="19C1F6C5" w:rsidR="008F3117" w:rsidRPr="00005453" w:rsidRDefault="008F3117" w:rsidP="008F3117">
            <w:pPr>
              <w:ind w:firstLineChars="100" w:firstLine="120"/>
              <w:jc w:val="right"/>
              <w:rPr>
                <w:color w:val="000000"/>
                <w:sz w:val="12"/>
                <w:szCs w:val="12"/>
              </w:rPr>
            </w:pPr>
            <w:r w:rsidRPr="00005453">
              <w:rPr>
                <w:color w:val="000000"/>
                <w:sz w:val="12"/>
                <w:szCs w:val="22"/>
              </w:rPr>
              <w:t>522,743</w:t>
            </w:r>
          </w:p>
        </w:tc>
        <w:tc>
          <w:tcPr>
            <w:tcW w:w="1604" w:type="dxa"/>
            <w:tcBorders>
              <w:top w:val="nil"/>
              <w:left w:val="nil"/>
              <w:bottom w:val="single" w:sz="8" w:space="0" w:color="auto"/>
              <w:right w:val="single" w:sz="8" w:space="0" w:color="auto"/>
            </w:tcBorders>
            <w:shd w:val="clear" w:color="auto" w:fill="auto"/>
            <w:vAlign w:val="center"/>
            <w:hideMark/>
          </w:tcPr>
          <w:p w14:paraId="0930AB94" w14:textId="331C9A2C" w:rsidR="008F3117" w:rsidRPr="00005453" w:rsidRDefault="008F3117" w:rsidP="008F3117">
            <w:pPr>
              <w:ind w:firstLineChars="100" w:firstLine="120"/>
              <w:jc w:val="right"/>
              <w:rPr>
                <w:color w:val="000000"/>
                <w:sz w:val="12"/>
                <w:szCs w:val="12"/>
              </w:rPr>
            </w:pPr>
            <w:r w:rsidRPr="00005453">
              <w:rPr>
                <w:color w:val="000000"/>
                <w:sz w:val="12"/>
                <w:szCs w:val="22"/>
              </w:rPr>
              <w:t>522,743</w:t>
            </w:r>
          </w:p>
        </w:tc>
        <w:tc>
          <w:tcPr>
            <w:tcW w:w="1782" w:type="dxa"/>
            <w:tcBorders>
              <w:top w:val="nil"/>
              <w:left w:val="nil"/>
              <w:bottom w:val="single" w:sz="8" w:space="0" w:color="auto"/>
              <w:right w:val="single" w:sz="8" w:space="0" w:color="auto"/>
            </w:tcBorders>
            <w:shd w:val="clear" w:color="auto" w:fill="auto"/>
            <w:vAlign w:val="center"/>
            <w:hideMark/>
          </w:tcPr>
          <w:p w14:paraId="2B32F561" w14:textId="74AB9B0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5CFC4EF2" w14:textId="187C756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566D8968" w14:textId="3861B2F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433D3F69" w14:textId="6A56B699"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01472E25"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5F8D0F8" w14:textId="77777777" w:rsidR="008F3117" w:rsidRPr="00005453" w:rsidRDefault="008F3117" w:rsidP="008F3117">
            <w:pPr>
              <w:rPr>
                <w:color w:val="000000"/>
                <w:sz w:val="12"/>
                <w:szCs w:val="12"/>
                <w:lang w:eastAsia="tr-TR"/>
              </w:rPr>
            </w:pPr>
            <w:r w:rsidRPr="00005453">
              <w:rPr>
                <w:color w:val="000000"/>
                <w:sz w:val="12"/>
                <w:szCs w:val="12"/>
                <w:lang w:val="en-US" w:eastAsia="tr-TR"/>
              </w:rPr>
              <w:t xml:space="preserve">Bağlı </w:t>
            </w:r>
            <w:proofErr w:type="gramStart"/>
            <w:r w:rsidRPr="00005453">
              <w:rPr>
                <w:color w:val="000000"/>
                <w:sz w:val="12"/>
                <w:szCs w:val="12"/>
                <w:lang w:val="en-US" w:eastAsia="tr-TR"/>
              </w:rPr>
              <w:t>Ortaklıklar  (</w:t>
            </w:r>
            <w:proofErr w:type="gramEnd"/>
            <w:r w:rsidRPr="00005453">
              <w:rPr>
                <w:color w:val="000000"/>
                <w:sz w:val="12"/>
                <w:szCs w:val="12"/>
                <w:lang w:val="en-US" w:eastAsia="tr-TR"/>
              </w:rPr>
              <w:t>Net)</w:t>
            </w:r>
            <w:r w:rsidRPr="00005453">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257597E8" w14:textId="152FD9DB" w:rsidR="008F3117" w:rsidRPr="00005453" w:rsidRDefault="008F3117" w:rsidP="008F3117">
            <w:pPr>
              <w:ind w:firstLineChars="100" w:firstLine="120"/>
              <w:jc w:val="right"/>
              <w:rPr>
                <w:color w:val="000000"/>
                <w:sz w:val="12"/>
                <w:szCs w:val="12"/>
              </w:rPr>
            </w:pPr>
            <w:r w:rsidRPr="00005453">
              <w:rPr>
                <w:color w:val="000000"/>
                <w:sz w:val="12"/>
                <w:szCs w:val="22"/>
              </w:rPr>
              <w:t>4,122,212</w:t>
            </w:r>
          </w:p>
        </w:tc>
        <w:tc>
          <w:tcPr>
            <w:tcW w:w="1576" w:type="dxa"/>
            <w:tcBorders>
              <w:top w:val="nil"/>
              <w:left w:val="nil"/>
              <w:bottom w:val="single" w:sz="8" w:space="0" w:color="auto"/>
              <w:right w:val="single" w:sz="8" w:space="0" w:color="auto"/>
            </w:tcBorders>
            <w:shd w:val="clear" w:color="auto" w:fill="auto"/>
            <w:vAlign w:val="center"/>
            <w:hideMark/>
          </w:tcPr>
          <w:p w14:paraId="2B5162A5" w14:textId="19275C6D" w:rsidR="008F3117" w:rsidRPr="00005453" w:rsidRDefault="008F3117" w:rsidP="008F3117">
            <w:pPr>
              <w:ind w:firstLineChars="100" w:firstLine="120"/>
              <w:jc w:val="right"/>
              <w:rPr>
                <w:color w:val="000000"/>
                <w:sz w:val="12"/>
                <w:szCs w:val="12"/>
              </w:rPr>
            </w:pPr>
            <w:r w:rsidRPr="00005453">
              <w:rPr>
                <w:color w:val="000000"/>
                <w:sz w:val="12"/>
                <w:szCs w:val="22"/>
              </w:rPr>
              <w:t>4,122,212</w:t>
            </w:r>
          </w:p>
        </w:tc>
        <w:tc>
          <w:tcPr>
            <w:tcW w:w="1604" w:type="dxa"/>
            <w:tcBorders>
              <w:top w:val="nil"/>
              <w:left w:val="nil"/>
              <w:bottom w:val="single" w:sz="8" w:space="0" w:color="auto"/>
              <w:right w:val="single" w:sz="8" w:space="0" w:color="auto"/>
            </w:tcBorders>
            <w:shd w:val="clear" w:color="auto" w:fill="auto"/>
            <w:vAlign w:val="center"/>
            <w:hideMark/>
          </w:tcPr>
          <w:p w14:paraId="6C4212BB" w14:textId="39FB4696" w:rsidR="008F3117" w:rsidRPr="00005453" w:rsidRDefault="008F3117" w:rsidP="008F3117">
            <w:pPr>
              <w:ind w:firstLineChars="100" w:firstLine="120"/>
              <w:jc w:val="right"/>
              <w:rPr>
                <w:color w:val="000000"/>
                <w:sz w:val="12"/>
                <w:szCs w:val="12"/>
              </w:rPr>
            </w:pPr>
            <w:r w:rsidRPr="00005453">
              <w:rPr>
                <w:color w:val="000000"/>
                <w:sz w:val="12"/>
                <w:szCs w:val="22"/>
              </w:rPr>
              <w:t>4,122,212</w:t>
            </w:r>
          </w:p>
        </w:tc>
        <w:tc>
          <w:tcPr>
            <w:tcW w:w="1782" w:type="dxa"/>
            <w:tcBorders>
              <w:top w:val="nil"/>
              <w:left w:val="nil"/>
              <w:bottom w:val="single" w:sz="8" w:space="0" w:color="auto"/>
              <w:right w:val="single" w:sz="8" w:space="0" w:color="auto"/>
            </w:tcBorders>
            <w:shd w:val="clear" w:color="auto" w:fill="auto"/>
            <w:vAlign w:val="center"/>
            <w:hideMark/>
          </w:tcPr>
          <w:p w14:paraId="3DD57204" w14:textId="79E5F6F6"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4083D473" w14:textId="65ADCAA7"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1C7A272E" w14:textId="7161DF4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153DDCAA" w14:textId="0A34941B"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761E7580"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2C1E064" w14:textId="77777777" w:rsidR="008F3117" w:rsidRPr="00005453" w:rsidRDefault="008F3117" w:rsidP="008F3117">
            <w:pPr>
              <w:rPr>
                <w:color w:val="000000"/>
                <w:sz w:val="12"/>
                <w:szCs w:val="12"/>
                <w:lang w:eastAsia="tr-TR"/>
              </w:rPr>
            </w:pPr>
            <w:r w:rsidRPr="00005453">
              <w:rPr>
                <w:color w:val="000000"/>
                <w:sz w:val="12"/>
                <w:szCs w:val="12"/>
                <w:lang w:val="de-DE" w:eastAsia="tr-TR"/>
              </w:rPr>
              <w:t>Birlikte Kontrol Edilen Ortaklıklar (İş Ortaklıkları) (Net)</w:t>
            </w:r>
            <w:r w:rsidRPr="00005453">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02CA107C" w14:textId="2E526AD6" w:rsidR="008F3117" w:rsidRPr="00005453" w:rsidRDefault="008F3117" w:rsidP="008F3117">
            <w:pPr>
              <w:ind w:firstLineChars="100" w:firstLine="120"/>
              <w:jc w:val="right"/>
              <w:rPr>
                <w:color w:val="000000"/>
                <w:sz w:val="12"/>
                <w:szCs w:val="12"/>
              </w:rPr>
            </w:pPr>
            <w:r w:rsidRPr="00005453">
              <w:rPr>
                <w:color w:val="000000"/>
                <w:sz w:val="12"/>
                <w:szCs w:val="22"/>
              </w:rPr>
              <w:t>20,000</w:t>
            </w:r>
          </w:p>
        </w:tc>
        <w:tc>
          <w:tcPr>
            <w:tcW w:w="1576" w:type="dxa"/>
            <w:tcBorders>
              <w:top w:val="nil"/>
              <w:left w:val="nil"/>
              <w:bottom w:val="single" w:sz="8" w:space="0" w:color="auto"/>
              <w:right w:val="single" w:sz="8" w:space="0" w:color="auto"/>
            </w:tcBorders>
            <w:shd w:val="clear" w:color="auto" w:fill="auto"/>
            <w:vAlign w:val="center"/>
            <w:hideMark/>
          </w:tcPr>
          <w:p w14:paraId="1CE70DD9" w14:textId="72AC9A88" w:rsidR="008F3117" w:rsidRPr="00005453" w:rsidRDefault="008F3117" w:rsidP="008F3117">
            <w:pPr>
              <w:ind w:firstLineChars="100" w:firstLine="120"/>
              <w:jc w:val="right"/>
              <w:rPr>
                <w:color w:val="000000"/>
                <w:sz w:val="12"/>
                <w:szCs w:val="12"/>
              </w:rPr>
            </w:pPr>
            <w:r w:rsidRPr="00005453">
              <w:rPr>
                <w:color w:val="000000"/>
                <w:sz w:val="12"/>
                <w:szCs w:val="22"/>
              </w:rPr>
              <w:t>20,000</w:t>
            </w:r>
          </w:p>
        </w:tc>
        <w:tc>
          <w:tcPr>
            <w:tcW w:w="1604" w:type="dxa"/>
            <w:tcBorders>
              <w:top w:val="nil"/>
              <w:left w:val="nil"/>
              <w:bottom w:val="single" w:sz="8" w:space="0" w:color="auto"/>
              <w:right w:val="single" w:sz="8" w:space="0" w:color="auto"/>
            </w:tcBorders>
            <w:shd w:val="clear" w:color="auto" w:fill="auto"/>
            <w:vAlign w:val="center"/>
            <w:hideMark/>
          </w:tcPr>
          <w:p w14:paraId="670B00C8" w14:textId="44AE1E5A" w:rsidR="008F3117" w:rsidRPr="00005453" w:rsidRDefault="008F3117" w:rsidP="008F3117">
            <w:pPr>
              <w:ind w:firstLineChars="100" w:firstLine="120"/>
              <w:jc w:val="right"/>
              <w:rPr>
                <w:color w:val="000000"/>
                <w:sz w:val="12"/>
                <w:szCs w:val="12"/>
              </w:rPr>
            </w:pPr>
            <w:r w:rsidRPr="00005453">
              <w:rPr>
                <w:color w:val="000000"/>
                <w:sz w:val="12"/>
                <w:szCs w:val="22"/>
              </w:rPr>
              <w:t>20,000</w:t>
            </w:r>
          </w:p>
        </w:tc>
        <w:tc>
          <w:tcPr>
            <w:tcW w:w="1782" w:type="dxa"/>
            <w:tcBorders>
              <w:top w:val="nil"/>
              <w:left w:val="nil"/>
              <w:bottom w:val="single" w:sz="8" w:space="0" w:color="auto"/>
              <w:right w:val="single" w:sz="8" w:space="0" w:color="auto"/>
            </w:tcBorders>
            <w:shd w:val="clear" w:color="auto" w:fill="auto"/>
            <w:vAlign w:val="center"/>
            <w:hideMark/>
          </w:tcPr>
          <w:p w14:paraId="2C29E1AB" w14:textId="372147A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5DC33995" w14:textId="585E1ED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2584E884" w14:textId="5AFF2A6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76D8CC31" w14:textId="7613EFF3"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5646DD22"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8E9987" w14:textId="77777777" w:rsidR="008F3117" w:rsidRPr="00005453" w:rsidRDefault="008F3117" w:rsidP="008F3117">
            <w:pPr>
              <w:rPr>
                <w:color w:val="000000"/>
                <w:sz w:val="12"/>
                <w:szCs w:val="12"/>
                <w:lang w:eastAsia="tr-TR"/>
              </w:rPr>
            </w:pPr>
            <w:r w:rsidRPr="00005453">
              <w:rPr>
                <w:color w:val="000000"/>
                <w:sz w:val="12"/>
                <w:szCs w:val="12"/>
                <w:lang w:val="en-US" w:eastAsia="tr-TR"/>
              </w:rPr>
              <w:t>Maddi Duran Varlıklar (Net)</w:t>
            </w:r>
          </w:p>
        </w:tc>
        <w:tc>
          <w:tcPr>
            <w:tcW w:w="917" w:type="dxa"/>
            <w:tcBorders>
              <w:top w:val="nil"/>
              <w:left w:val="nil"/>
              <w:bottom w:val="single" w:sz="8" w:space="0" w:color="auto"/>
              <w:right w:val="single" w:sz="8" w:space="0" w:color="auto"/>
            </w:tcBorders>
            <w:shd w:val="clear" w:color="auto" w:fill="auto"/>
            <w:vAlign w:val="center"/>
            <w:hideMark/>
          </w:tcPr>
          <w:p w14:paraId="3EA4846B" w14:textId="0D4AA7A4" w:rsidR="008F3117" w:rsidRPr="00005453" w:rsidRDefault="008F3117" w:rsidP="008F3117">
            <w:pPr>
              <w:ind w:firstLineChars="100" w:firstLine="120"/>
              <w:jc w:val="right"/>
              <w:rPr>
                <w:color w:val="000000"/>
                <w:sz w:val="12"/>
                <w:szCs w:val="12"/>
              </w:rPr>
            </w:pPr>
            <w:r w:rsidRPr="00005453">
              <w:rPr>
                <w:color w:val="000000"/>
                <w:sz w:val="12"/>
                <w:szCs w:val="22"/>
              </w:rPr>
              <w:t>5,362,430</w:t>
            </w:r>
          </w:p>
        </w:tc>
        <w:tc>
          <w:tcPr>
            <w:tcW w:w="1576" w:type="dxa"/>
            <w:tcBorders>
              <w:top w:val="nil"/>
              <w:left w:val="nil"/>
              <w:bottom w:val="single" w:sz="8" w:space="0" w:color="auto"/>
              <w:right w:val="single" w:sz="8" w:space="0" w:color="auto"/>
            </w:tcBorders>
            <w:shd w:val="clear" w:color="auto" w:fill="auto"/>
            <w:vAlign w:val="center"/>
            <w:hideMark/>
          </w:tcPr>
          <w:p w14:paraId="4878D570" w14:textId="283F3B69" w:rsidR="008F3117" w:rsidRPr="00005453" w:rsidRDefault="008F3117" w:rsidP="008F3117">
            <w:pPr>
              <w:ind w:firstLineChars="100" w:firstLine="120"/>
              <w:jc w:val="right"/>
              <w:rPr>
                <w:color w:val="000000"/>
                <w:sz w:val="12"/>
                <w:szCs w:val="12"/>
              </w:rPr>
            </w:pPr>
            <w:r w:rsidRPr="00005453">
              <w:rPr>
                <w:color w:val="000000"/>
                <w:sz w:val="12"/>
                <w:szCs w:val="22"/>
              </w:rPr>
              <w:t>5,362,430</w:t>
            </w:r>
          </w:p>
        </w:tc>
        <w:tc>
          <w:tcPr>
            <w:tcW w:w="1604" w:type="dxa"/>
            <w:tcBorders>
              <w:top w:val="nil"/>
              <w:left w:val="nil"/>
              <w:bottom w:val="single" w:sz="8" w:space="0" w:color="auto"/>
              <w:right w:val="single" w:sz="8" w:space="0" w:color="auto"/>
            </w:tcBorders>
            <w:shd w:val="clear" w:color="auto" w:fill="auto"/>
            <w:vAlign w:val="center"/>
            <w:hideMark/>
          </w:tcPr>
          <w:p w14:paraId="5EA0F7FC" w14:textId="7F854D9D" w:rsidR="008F3117" w:rsidRPr="00005453" w:rsidRDefault="008F3117" w:rsidP="008F3117">
            <w:pPr>
              <w:ind w:firstLineChars="100" w:firstLine="120"/>
              <w:jc w:val="right"/>
              <w:rPr>
                <w:color w:val="000000"/>
                <w:sz w:val="12"/>
                <w:szCs w:val="12"/>
              </w:rPr>
            </w:pPr>
            <w:r w:rsidRPr="00005453">
              <w:rPr>
                <w:color w:val="000000"/>
                <w:sz w:val="12"/>
                <w:szCs w:val="22"/>
              </w:rPr>
              <w:t>5,362,430</w:t>
            </w:r>
          </w:p>
        </w:tc>
        <w:tc>
          <w:tcPr>
            <w:tcW w:w="1782" w:type="dxa"/>
            <w:tcBorders>
              <w:top w:val="nil"/>
              <w:left w:val="nil"/>
              <w:bottom w:val="single" w:sz="8" w:space="0" w:color="auto"/>
              <w:right w:val="single" w:sz="8" w:space="0" w:color="auto"/>
            </w:tcBorders>
            <w:shd w:val="clear" w:color="auto" w:fill="auto"/>
            <w:vAlign w:val="center"/>
            <w:hideMark/>
          </w:tcPr>
          <w:p w14:paraId="605677A1" w14:textId="5DD68DB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703849B5" w14:textId="280E296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3A708603" w14:textId="7AA93A0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09D1F23E" w14:textId="35C8FBDD" w:rsidR="008F3117" w:rsidRPr="00005453" w:rsidRDefault="008F3117" w:rsidP="008F3117">
            <w:pPr>
              <w:ind w:firstLineChars="100" w:firstLine="120"/>
              <w:jc w:val="right"/>
              <w:rPr>
                <w:color w:val="000000"/>
                <w:sz w:val="12"/>
                <w:szCs w:val="12"/>
              </w:rPr>
            </w:pPr>
            <w:r w:rsidRPr="00005453">
              <w:rPr>
                <w:color w:val="000000"/>
                <w:sz w:val="12"/>
                <w:szCs w:val="22"/>
              </w:rPr>
              <w:t>429,260</w:t>
            </w:r>
          </w:p>
        </w:tc>
      </w:tr>
      <w:tr w:rsidR="008F3117" w:rsidRPr="00005453" w14:paraId="10FECBBF"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79E4C6C" w14:textId="77777777" w:rsidR="008F3117" w:rsidRPr="00005453" w:rsidRDefault="008F3117" w:rsidP="008F3117">
            <w:pPr>
              <w:rPr>
                <w:color w:val="000000"/>
                <w:sz w:val="12"/>
                <w:szCs w:val="12"/>
                <w:lang w:eastAsia="tr-TR"/>
              </w:rPr>
            </w:pPr>
            <w:r w:rsidRPr="00005453">
              <w:rPr>
                <w:color w:val="000000"/>
                <w:sz w:val="12"/>
                <w:szCs w:val="12"/>
                <w:lang w:val="en-US" w:eastAsia="tr-TR"/>
              </w:rPr>
              <w:t>Maddi Olmayan Duran Varlıklar (Net)</w:t>
            </w:r>
          </w:p>
        </w:tc>
        <w:tc>
          <w:tcPr>
            <w:tcW w:w="917" w:type="dxa"/>
            <w:tcBorders>
              <w:top w:val="nil"/>
              <w:left w:val="nil"/>
              <w:bottom w:val="single" w:sz="8" w:space="0" w:color="auto"/>
              <w:right w:val="single" w:sz="8" w:space="0" w:color="auto"/>
            </w:tcBorders>
            <w:shd w:val="clear" w:color="auto" w:fill="auto"/>
            <w:vAlign w:val="center"/>
            <w:hideMark/>
          </w:tcPr>
          <w:p w14:paraId="0EE6BABB" w14:textId="2E51EC91" w:rsidR="008F3117" w:rsidRPr="00005453" w:rsidRDefault="008F3117" w:rsidP="008F3117">
            <w:pPr>
              <w:ind w:firstLineChars="100" w:firstLine="120"/>
              <w:jc w:val="right"/>
              <w:rPr>
                <w:color w:val="000000"/>
                <w:sz w:val="12"/>
                <w:szCs w:val="12"/>
              </w:rPr>
            </w:pPr>
            <w:r w:rsidRPr="00005453">
              <w:rPr>
                <w:color w:val="000000"/>
                <w:sz w:val="12"/>
                <w:szCs w:val="22"/>
              </w:rPr>
              <w:t>2,314,849</w:t>
            </w:r>
          </w:p>
        </w:tc>
        <w:tc>
          <w:tcPr>
            <w:tcW w:w="1576" w:type="dxa"/>
            <w:tcBorders>
              <w:top w:val="nil"/>
              <w:left w:val="nil"/>
              <w:bottom w:val="single" w:sz="8" w:space="0" w:color="auto"/>
              <w:right w:val="single" w:sz="8" w:space="0" w:color="auto"/>
            </w:tcBorders>
            <w:shd w:val="clear" w:color="auto" w:fill="auto"/>
            <w:vAlign w:val="center"/>
            <w:hideMark/>
          </w:tcPr>
          <w:p w14:paraId="44965633" w14:textId="038A8869" w:rsidR="008F3117" w:rsidRPr="00005453" w:rsidRDefault="008F3117" w:rsidP="008F3117">
            <w:pPr>
              <w:ind w:firstLineChars="100" w:firstLine="120"/>
              <w:jc w:val="right"/>
              <w:rPr>
                <w:color w:val="000000"/>
                <w:sz w:val="12"/>
                <w:szCs w:val="12"/>
              </w:rPr>
            </w:pPr>
            <w:r w:rsidRPr="00005453">
              <w:rPr>
                <w:color w:val="000000"/>
                <w:sz w:val="12"/>
                <w:szCs w:val="22"/>
              </w:rPr>
              <w:t>2,314,849</w:t>
            </w:r>
          </w:p>
        </w:tc>
        <w:tc>
          <w:tcPr>
            <w:tcW w:w="1604" w:type="dxa"/>
            <w:tcBorders>
              <w:top w:val="nil"/>
              <w:left w:val="nil"/>
              <w:bottom w:val="single" w:sz="8" w:space="0" w:color="auto"/>
              <w:right w:val="single" w:sz="8" w:space="0" w:color="auto"/>
            </w:tcBorders>
            <w:shd w:val="clear" w:color="auto" w:fill="auto"/>
            <w:vAlign w:val="center"/>
            <w:hideMark/>
          </w:tcPr>
          <w:p w14:paraId="5675BA31" w14:textId="30905DEC" w:rsidR="008F3117" w:rsidRPr="00005453" w:rsidRDefault="008F3117" w:rsidP="008F3117">
            <w:pPr>
              <w:ind w:firstLineChars="100" w:firstLine="120"/>
              <w:jc w:val="right"/>
              <w:rPr>
                <w:color w:val="000000"/>
                <w:sz w:val="12"/>
                <w:szCs w:val="12"/>
              </w:rPr>
            </w:pPr>
            <w:r w:rsidRPr="00005453">
              <w:rPr>
                <w:color w:val="000000"/>
                <w:sz w:val="12"/>
                <w:szCs w:val="22"/>
              </w:rPr>
              <w:t>2,314,849</w:t>
            </w:r>
          </w:p>
        </w:tc>
        <w:tc>
          <w:tcPr>
            <w:tcW w:w="1782" w:type="dxa"/>
            <w:tcBorders>
              <w:top w:val="nil"/>
              <w:left w:val="nil"/>
              <w:bottom w:val="single" w:sz="8" w:space="0" w:color="auto"/>
              <w:right w:val="single" w:sz="8" w:space="0" w:color="auto"/>
            </w:tcBorders>
            <w:shd w:val="clear" w:color="auto" w:fill="auto"/>
            <w:vAlign w:val="center"/>
            <w:hideMark/>
          </w:tcPr>
          <w:p w14:paraId="7D74D791" w14:textId="39DBFB3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067ED9DA" w14:textId="304660F1"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4B78438E" w14:textId="3BED71CB"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FC483BD" w14:textId="10A342C5" w:rsidR="008F3117" w:rsidRPr="00005453" w:rsidRDefault="008F3117" w:rsidP="008F3117">
            <w:pPr>
              <w:ind w:firstLineChars="100" w:firstLine="120"/>
              <w:jc w:val="right"/>
              <w:rPr>
                <w:color w:val="000000"/>
                <w:sz w:val="12"/>
                <w:szCs w:val="12"/>
              </w:rPr>
            </w:pPr>
            <w:r w:rsidRPr="00005453">
              <w:rPr>
                <w:color w:val="000000"/>
                <w:sz w:val="12"/>
                <w:szCs w:val="22"/>
              </w:rPr>
              <w:t>2,215,572</w:t>
            </w:r>
          </w:p>
        </w:tc>
      </w:tr>
      <w:tr w:rsidR="008F3117" w:rsidRPr="00005453" w14:paraId="206BECC1"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9DB08F3" w14:textId="77777777" w:rsidR="008F3117" w:rsidRPr="00005453" w:rsidRDefault="008F3117" w:rsidP="008F3117">
            <w:pPr>
              <w:rPr>
                <w:color w:val="000000"/>
                <w:sz w:val="12"/>
                <w:szCs w:val="12"/>
                <w:lang w:eastAsia="tr-TR"/>
              </w:rPr>
            </w:pPr>
            <w:r w:rsidRPr="00005453">
              <w:rPr>
                <w:color w:val="000000"/>
                <w:sz w:val="12"/>
                <w:szCs w:val="12"/>
                <w:lang w:val="en-US" w:eastAsia="tr-TR"/>
              </w:rPr>
              <w:t>Yatırım Amaçlı Gayrimenkuller (Net)</w:t>
            </w:r>
          </w:p>
        </w:tc>
        <w:tc>
          <w:tcPr>
            <w:tcW w:w="917" w:type="dxa"/>
            <w:tcBorders>
              <w:top w:val="nil"/>
              <w:left w:val="nil"/>
              <w:bottom w:val="single" w:sz="8" w:space="0" w:color="auto"/>
              <w:right w:val="single" w:sz="8" w:space="0" w:color="auto"/>
            </w:tcBorders>
            <w:shd w:val="clear" w:color="auto" w:fill="auto"/>
            <w:vAlign w:val="center"/>
            <w:hideMark/>
          </w:tcPr>
          <w:p w14:paraId="02F30C5A" w14:textId="130C06F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76" w:type="dxa"/>
            <w:tcBorders>
              <w:top w:val="nil"/>
              <w:left w:val="nil"/>
              <w:bottom w:val="single" w:sz="8" w:space="0" w:color="auto"/>
              <w:right w:val="single" w:sz="8" w:space="0" w:color="auto"/>
            </w:tcBorders>
            <w:shd w:val="clear" w:color="auto" w:fill="auto"/>
            <w:vAlign w:val="center"/>
            <w:hideMark/>
          </w:tcPr>
          <w:p w14:paraId="412D8368" w14:textId="1464C5D7"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04" w:type="dxa"/>
            <w:tcBorders>
              <w:top w:val="nil"/>
              <w:left w:val="nil"/>
              <w:bottom w:val="single" w:sz="8" w:space="0" w:color="auto"/>
              <w:right w:val="single" w:sz="8" w:space="0" w:color="auto"/>
            </w:tcBorders>
            <w:shd w:val="clear" w:color="auto" w:fill="auto"/>
            <w:vAlign w:val="center"/>
            <w:hideMark/>
          </w:tcPr>
          <w:p w14:paraId="0A16F4CB" w14:textId="0BD1902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2DB9C938" w14:textId="48F846F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4B692908" w14:textId="3C95567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1C5800E2" w14:textId="243AAF9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7726A3EF" w14:textId="1230AE8B"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300590D8"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766755D" w14:textId="77777777" w:rsidR="008F3117" w:rsidRPr="00005453" w:rsidRDefault="008F3117" w:rsidP="008F3117">
            <w:pPr>
              <w:rPr>
                <w:color w:val="000000"/>
                <w:sz w:val="12"/>
                <w:szCs w:val="12"/>
                <w:lang w:eastAsia="tr-TR"/>
              </w:rPr>
            </w:pPr>
            <w:r w:rsidRPr="00005453">
              <w:rPr>
                <w:color w:val="000000"/>
                <w:sz w:val="12"/>
                <w:szCs w:val="12"/>
                <w:lang w:val="en-US" w:eastAsia="tr-TR"/>
              </w:rPr>
              <w:t>Cari Vergi Varlığı</w:t>
            </w:r>
          </w:p>
        </w:tc>
        <w:tc>
          <w:tcPr>
            <w:tcW w:w="917" w:type="dxa"/>
            <w:tcBorders>
              <w:top w:val="nil"/>
              <w:left w:val="nil"/>
              <w:bottom w:val="single" w:sz="8" w:space="0" w:color="auto"/>
              <w:right w:val="single" w:sz="8" w:space="0" w:color="auto"/>
            </w:tcBorders>
            <w:shd w:val="clear" w:color="auto" w:fill="auto"/>
            <w:vAlign w:val="center"/>
            <w:hideMark/>
          </w:tcPr>
          <w:p w14:paraId="60B1550A" w14:textId="7F0C9D9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76" w:type="dxa"/>
            <w:tcBorders>
              <w:top w:val="nil"/>
              <w:left w:val="nil"/>
              <w:bottom w:val="single" w:sz="8" w:space="0" w:color="auto"/>
              <w:right w:val="single" w:sz="8" w:space="0" w:color="auto"/>
            </w:tcBorders>
            <w:shd w:val="clear" w:color="auto" w:fill="auto"/>
            <w:vAlign w:val="center"/>
            <w:hideMark/>
          </w:tcPr>
          <w:p w14:paraId="0E183BD3" w14:textId="06FE80A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04" w:type="dxa"/>
            <w:tcBorders>
              <w:top w:val="nil"/>
              <w:left w:val="nil"/>
              <w:bottom w:val="single" w:sz="8" w:space="0" w:color="auto"/>
              <w:right w:val="single" w:sz="8" w:space="0" w:color="auto"/>
            </w:tcBorders>
            <w:shd w:val="clear" w:color="auto" w:fill="auto"/>
            <w:vAlign w:val="center"/>
            <w:hideMark/>
          </w:tcPr>
          <w:p w14:paraId="52BBC34D" w14:textId="7B1BB9E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08403CEA" w14:textId="18919BE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236D8B9E" w14:textId="65D0CA91"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3C91DF20" w14:textId="65B5EC3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4329A757" w14:textId="7DA3BE05"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3F48218E"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09278F2" w14:textId="77777777" w:rsidR="008F3117" w:rsidRPr="00005453" w:rsidRDefault="008F3117" w:rsidP="008F3117">
            <w:pPr>
              <w:rPr>
                <w:color w:val="000000"/>
                <w:sz w:val="12"/>
                <w:szCs w:val="12"/>
                <w:lang w:eastAsia="tr-TR"/>
              </w:rPr>
            </w:pPr>
            <w:r w:rsidRPr="00005453">
              <w:rPr>
                <w:color w:val="000000"/>
                <w:sz w:val="12"/>
                <w:szCs w:val="12"/>
                <w:lang w:val="en-US" w:eastAsia="tr-TR"/>
              </w:rPr>
              <w:t>Ertelenmiş Vergi Varlığı</w:t>
            </w:r>
          </w:p>
        </w:tc>
        <w:tc>
          <w:tcPr>
            <w:tcW w:w="917" w:type="dxa"/>
            <w:tcBorders>
              <w:top w:val="nil"/>
              <w:left w:val="nil"/>
              <w:bottom w:val="single" w:sz="8" w:space="0" w:color="auto"/>
              <w:right w:val="single" w:sz="8" w:space="0" w:color="auto"/>
            </w:tcBorders>
            <w:shd w:val="clear" w:color="auto" w:fill="auto"/>
            <w:vAlign w:val="center"/>
            <w:hideMark/>
          </w:tcPr>
          <w:p w14:paraId="6E36CAE1" w14:textId="41D31D0D" w:rsidR="008F3117" w:rsidRPr="00005453" w:rsidRDefault="008F3117" w:rsidP="008F3117">
            <w:pPr>
              <w:ind w:firstLineChars="100" w:firstLine="120"/>
              <w:jc w:val="right"/>
              <w:rPr>
                <w:color w:val="000000"/>
                <w:sz w:val="12"/>
                <w:szCs w:val="12"/>
              </w:rPr>
            </w:pPr>
            <w:r w:rsidRPr="00005453">
              <w:rPr>
                <w:color w:val="000000"/>
                <w:sz w:val="12"/>
                <w:szCs w:val="22"/>
              </w:rPr>
              <w:t>8,340,450</w:t>
            </w:r>
          </w:p>
        </w:tc>
        <w:tc>
          <w:tcPr>
            <w:tcW w:w="1576" w:type="dxa"/>
            <w:tcBorders>
              <w:top w:val="nil"/>
              <w:left w:val="nil"/>
              <w:bottom w:val="single" w:sz="8" w:space="0" w:color="auto"/>
              <w:right w:val="single" w:sz="8" w:space="0" w:color="auto"/>
            </w:tcBorders>
            <w:shd w:val="clear" w:color="auto" w:fill="auto"/>
            <w:vAlign w:val="center"/>
            <w:hideMark/>
          </w:tcPr>
          <w:p w14:paraId="47121A51" w14:textId="4E03FD5B" w:rsidR="008F3117" w:rsidRPr="00005453" w:rsidRDefault="008F3117" w:rsidP="008F3117">
            <w:pPr>
              <w:ind w:firstLineChars="100" w:firstLine="120"/>
              <w:jc w:val="right"/>
              <w:rPr>
                <w:color w:val="000000"/>
                <w:sz w:val="12"/>
                <w:szCs w:val="12"/>
              </w:rPr>
            </w:pPr>
            <w:r w:rsidRPr="00005453">
              <w:rPr>
                <w:color w:val="000000"/>
                <w:sz w:val="12"/>
                <w:szCs w:val="22"/>
              </w:rPr>
              <w:t>8,340,450</w:t>
            </w:r>
          </w:p>
        </w:tc>
        <w:tc>
          <w:tcPr>
            <w:tcW w:w="1604" w:type="dxa"/>
            <w:tcBorders>
              <w:top w:val="nil"/>
              <w:left w:val="nil"/>
              <w:bottom w:val="single" w:sz="8" w:space="0" w:color="auto"/>
              <w:right w:val="single" w:sz="8" w:space="0" w:color="auto"/>
            </w:tcBorders>
            <w:shd w:val="clear" w:color="auto" w:fill="auto"/>
            <w:vAlign w:val="center"/>
            <w:hideMark/>
          </w:tcPr>
          <w:p w14:paraId="1C886394" w14:textId="5B6B3455" w:rsidR="008F3117" w:rsidRPr="00005453" w:rsidRDefault="008F3117" w:rsidP="008F3117">
            <w:pPr>
              <w:ind w:firstLineChars="100" w:firstLine="120"/>
              <w:jc w:val="right"/>
              <w:rPr>
                <w:color w:val="000000"/>
                <w:sz w:val="12"/>
                <w:szCs w:val="12"/>
              </w:rPr>
            </w:pPr>
            <w:r w:rsidRPr="00005453">
              <w:rPr>
                <w:color w:val="000000"/>
                <w:sz w:val="12"/>
                <w:szCs w:val="22"/>
              </w:rPr>
              <w:t>8,340,450</w:t>
            </w:r>
          </w:p>
        </w:tc>
        <w:tc>
          <w:tcPr>
            <w:tcW w:w="1782" w:type="dxa"/>
            <w:tcBorders>
              <w:top w:val="nil"/>
              <w:left w:val="nil"/>
              <w:bottom w:val="single" w:sz="8" w:space="0" w:color="auto"/>
              <w:right w:val="single" w:sz="8" w:space="0" w:color="auto"/>
            </w:tcBorders>
            <w:shd w:val="clear" w:color="auto" w:fill="auto"/>
            <w:vAlign w:val="center"/>
            <w:hideMark/>
          </w:tcPr>
          <w:p w14:paraId="3760E98D" w14:textId="7B3BB48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1BEC9653" w14:textId="5CECC68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5E4FA84C" w14:textId="54926DB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30F843A7" w14:textId="6FF2C447"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60DB9801"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3C0DCA" w14:textId="77777777" w:rsidR="008F3117" w:rsidRPr="00005453" w:rsidRDefault="008F3117" w:rsidP="008F3117">
            <w:pPr>
              <w:rPr>
                <w:color w:val="000000"/>
                <w:sz w:val="12"/>
                <w:szCs w:val="12"/>
                <w:lang w:eastAsia="tr-TR"/>
              </w:rPr>
            </w:pPr>
            <w:r w:rsidRPr="00005453">
              <w:rPr>
                <w:color w:val="000000"/>
                <w:sz w:val="12"/>
                <w:szCs w:val="12"/>
                <w:lang w:val="en-US" w:eastAsia="tr-TR"/>
              </w:rPr>
              <w:t>Diğer Aktifler</w:t>
            </w:r>
          </w:p>
        </w:tc>
        <w:tc>
          <w:tcPr>
            <w:tcW w:w="917" w:type="dxa"/>
            <w:tcBorders>
              <w:top w:val="nil"/>
              <w:left w:val="nil"/>
              <w:bottom w:val="single" w:sz="8" w:space="0" w:color="auto"/>
              <w:right w:val="single" w:sz="8" w:space="0" w:color="auto"/>
            </w:tcBorders>
            <w:shd w:val="clear" w:color="auto" w:fill="auto"/>
            <w:vAlign w:val="center"/>
            <w:hideMark/>
          </w:tcPr>
          <w:p w14:paraId="13E9E9FC" w14:textId="4D968E0F" w:rsidR="008F3117" w:rsidRPr="00005453" w:rsidRDefault="008F3117" w:rsidP="008F3117">
            <w:pPr>
              <w:ind w:firstLineChars="100" w:firstLine="120"/>
              <w:jc w:val="right"/>
              <w:rPr>
                <w:color w:val="000000"/>
                <w:sz w:val="12"/>
                <w:szCs w:val="12"/>
              </w:rPr>
            </w:pPr>
            <w:r w:rsidRPr="00005453">
              <w:rPr>
                <w:color w:val="000000"/>
                <w:sz w:val="12"/>
                <w:szCs w:val="22"/>
              </w:rPr>
              <w:t>9,209,753</w:t>
            </w:r>
          </w:p>
        </w:tc>
        <w:tc>
          <w:tcPr>
            <w:tcW w:w="1576" w:type="dxa"/>
            <w:tcBorders>
              <w:top w:val="nil"/>
              <w:left w:val="nil"/>
              <w:bottom w:val="single" w:sz="8" w:space="0" w:color="auto"/>
              <w:right w:val="single" w:sz="8" w:space="0" w:color="auto"/>
            </w:tcBorders>
            <w:shd w:val="clear" w:color="auto" w:fill="auto"/>
            <w:vAlign w:val="center"/>
            <w:hideMark/>
          </w:tcPr>
          <w:p w14:paraId="0FC215BB" w14:textId="34E4B28F" w:rsidR="008F3117" w:rsidRPr="00005453" w:rsidRDefault="008F3117" w:rsidP="008F3117">
            <w:pPr>
              <w:ind w:firstLineChars="100" w:firstLine="120"/>
              <w:jc w:val="right"/>
              <w:rPr>
                <w:color w:val="000000"/>
                <w:sz w:val="12"/>
                <w:szCs w:val="12"/>
              </w:rPr>
            </w:pPr>
            <w:r w:rsidRPr="00005453">
              <w:rPr>
                <w:color w:val="000000"/>
                <w:sz w:val="12"/>
                <w:szCs w:val="22"/>
              </w:rPr>
              <w:t>9,209,753</w:t>
            </w:r>
          </w:p>
        </w:tc>
        <w:tc>
          <w:tcPr>
            <w:tcW w:w="1604" w:type="dxa"/>
            <w:tcBorders>
              <w:top w:val="nil"/>
              <w:left w:val="nil"/>
              <w:bottom w:val="single" w:sz="8" w:space="0" w:color="auto"/>
              <w:right w:val="single" w:sz="8" w:space="0" w:color="auto"/>
            </w:tcBorders>
            <w:shd w:val="clear" w:color="auto" w:fill="auto"/>
            <w:vAlign w:val="center"/>
            <w:hideMark/>
          </w:tcPr>
          <w:p w14:paraId="23C86EB8" w14:textId="39C3C853" w:rsidR="008F3117" w:rsidRPr="00005453" w:rsidRDefault="008F3117" w:rsidP="008F3117">
            <w:pPr>
              <w:ind w:firstLineChars="100" w:firstLine="120"/>
              <w:jc w:val="right"/>
              <w:rPr>
                <w:color w:val="000000"/>
                <w:sz w:val="12"/>
                <w:szCs w:val="12"/>
              </w:rPr>
            </w:pPr>
            <w:r w:rsidRPr="00005453">
              <w:rPr>
                <w:color w:val="000000"/>
                <w:sz w:val="12"/>
                <w:szCs w:val="22"/>
              </w:rPr>
              <w:t>9,209,753</w:t>
            </w:r>
          </w:p>
        </w:tc>
        <w:tc>
          <w:tcPr>
            <w:tcW w:w="1782" w:type="dxa"/>
            <w:tcBorders>
              <w:top w:val="nil"/>
              <w:left w:val="nil"/>
              <w:bottom w:val="single" w:sz="8" w:space="0" w:color="auto"/>
              <w:right w:val="single" w:sz="8" w:space="0" w:color="auto"/>
            </w:tcBorders>
            <w:shd w:val="clear" w:color="auto" w:fill="auto"/>
            <w:vAlign w:val="center"/>
            <w:hideMark/>
          </w:tcPr>
          <w:p w14:paraId="5B4C3CC5" w14:textId="4EE96DDB"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16C426B0" w14:textId="5DE38519"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E0CEE99" w14:textId="55E8EE6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12A5A6B" w14:textId="0A6348D4"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7C5EDDB3"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3635619" w14:textId="77777777" w:rsidR="008F3117" w:rsidRPr="00005453" w:rsidRDefault="008F3117" w:rsidP="008F3117">
            <w:pPr>
              <w:rPr>
                <w:b/>
                <w:bCs/>
                <w:color w:val="000000"/>
                <w:sz w:val="12"/>
                <w:szCs w:val="12"/>
                <w:lang w:eastAsia="tr-TR"/>
              </w:rPr>
            </w:pPr>
            <w:r w:rsidRPr="00005453">
              <w:rPr>
                <w:b/>
                <w:bCs/>
                <w:color w:val="000000"/>
                <w:sz w:val="12"/>
                <w:szCs w:val="12"/>
                <w:lang w:val="en-US" w:eastAsia="tr-TR"/>
              </w:rPr>
              <w:t>Toplam varlıklar</w:t>
            </w:r>
          </w:p>
        </w:tc>
        <w:tc>
          <w:tcPr>
            <w:tcW w:w="917" w:type="dxa"/>
            <w:tcBorders>
              <w:top w:val="nil"/>
              <w:left w:val="nil"/>
              <w:bottom w:val="single" w:sz="8" w:space="0" w:color="auto"/>
              <w:right w:val="single" w:sz="8" w:space="0" w:color="auto"/>
            </w:tcBorders>
            <w:shd w:val="clear" w:color="auto" w:fill="auto"/>
            <w:vAlign w:val="center"/>
            <w:hideMark/>
          </w:tcPr>
          <w:p w14:paraId="74EAE0F5" w14:textId="75BFFA34" w:rsidR="008F3117" w:rsidRPr="00005453" w:rsidRDefault="008F3117" w:rsidP="008F3117">
            <w:pPr>
              <w:ind w:firstLineChars="100" w:firstLine="120"/>
              <w:jc w:val="right"/>
              <w:rPr>
                <w:b/>
                <w:bCs/>
                <w:color w:val="000000"/>
                <w:sz w:val="12"/>
                <w:szCs w:val="12"/>
              </w:rPr>
            </w:pPr>
            <w:r w:rsidRPr="00005453">
              <w:rPr>
                <w:b/>
                <w:bCs/>
                <w:color w:val="000000"/>
                <w:sz w:val="12"/>
                <w:szCs w:val="22"/>
              </w:rPr>
              <w:t>852,120,40</w:t>
            </w:r>
            <w:r w:rsidR="00C650EF" w:rsidRPr="00005453">
              <w:rPr>
                <w:b/>
                <w:bCs/>
                <w:color w:val="000000"/>
                <w:sz w:val="12"/>
                <w:szCs w:val="22"/>
              </w:rPr>
              <w:t>3</w:t>
            </w:r>
          </w:p>
        </w:tc>
        <w:tc>
          <w:tcPr>
            <w:tcW w:w="1576" w:type="dxa"/>
            <w:tcBorders>
              <w:top w:val="nil"/>
              <w:left w:val="nil"/>
              <w:bottom w:val="single" w:sz="8" w:space="0" w:color="auto"/>
              <w:right w:val="single" w:sz="8" w:space="0" w:color="auto"/>
            </w:tcBorders>
            <w:shd w:val="clear" w:color="auto" w:fill="auto"/>
            <w:vAlign w:val="center"/>
            <w:hideMark/>
          </w:tcPr>
          <w:p w14:paraId="71C51C13" w14:textId="75DA9900" w:rsidR="008F3117" w:rsidRPr="00005453" w:rsidRDefault="008F3117" w:rsidP="008F3117">
            <w:pPr>
              <w:ind w:firstLineChars="100" w:firstLine="120"/>
              <w:jc w:val="right"/>
              <w:rPr>
                <w:b/>
                <w:bCs/>
                <w:color w:val="000000"/>
                <w:sz w:val="12"/>
                <w:szCs w:val="12"/>
              </w:rPr>
            </w:pPr>
            <w:r w:rsidRPr="00005453">
              <w:rPr>
                <w:b/>
                <w:bCs/>
                <w:color w:val="000000"/>
                <w:sz w:val="12"/>
                <w:szCs w:val="22"/>
              </w:rPr>
              <w:t>852,120,40</w:t>
            </w:r>
            <w:r w:rsidR="00335DF8" w:rsidRPr="00005453">
              <w:rPr>
                <w:b/>
                <w:bCs/>
                <w:color w:val="000000"/>
                <w:sz w:val="12"/>
                <w:szCs w:val="22"/>
              </w:rPr>
              <w:t>3</w:t>
            </w:r>
          </w:p>
        </w:tc>
        <w:tc>
          <w:tcPr>
            <w:tcW w:w="1604" w:type="dxa"/>
            <w:tcBorders>
              <w:top w:val="nil"/>
              <w:left w:val="nil"/>
              <w:bottom w:val="single" w:sz="8" w:space="0" w:color="auto"/>
              <w:right w:val="single" w:sz="8" w:space="0" w:color="auto"/>
            </w:tcBorders>
            <w:shd w:val="clear" w:color="auto" w:fill="auto"/>
            <w:vAlign w:val="center"/>
            <w:hideMark/>
          </w:tcPr>
          <w:p w14:paraId="31D2F585" w14:textId="2F2680AF" w:rsidR="008F3117" w:rsidRPr="00005453" w:rsidRDefault="008F3117" w:rsidP="008F3117">
            <w:pPr>
              <w:ind w:firstLineChars="100" w:firstLine="120"/>
              <w:jc w:val="right"/>
              <w:rPr>
                <w:b/>
                <w:bCs/>
                <w:color w:val="000000"/>
                <w:sz w:val="12"/>
                <w:szCs w:val="12"/>
              </w:rPr>
            </w:pPr>
            <w:r w:rsidRPr="00005453">
              <w:rPr>
                <w:b/>
                <w:bCs/>
                <w:color w:val="000000"/>
                <w:sz w:val="12"/>
                <w:szCs w:val="22"/>
              </w:rPr>
              <w:t>828,104,659</w:t>
            </w:r>
          </w:p>
        </w:tc>
        <w:tc>
          <w:tcPr>
            <w:tcW w:w="1782" w:type="dxa"/>
            <w:tcBorders>
              <w:top w:val="nil"/>
              <w:left w:val="nil"/>
              <w:bottom w:val="single" w:sz="8" w:space="0" w:color="auto"/>
              <w:right w:val="single" w:sz="8" w:space="0" w:color="auto"/>
            </w:tcBorders>
            <w:shd w:val="clear" w:color="auto" w:fill="auto"/>
            <w:vAlign w:val="center"/>
            <w:hideMark/>
          </w:tcPr>
          <w:p w14:paraId="0521C976" w14:textId="32D049BD" w:rsidR="008F3117" w:rsidRPr="00005453" w:rsidRDefault="008F3117" w:rsidP="008F3117">
            <w:pPr>
              <w:ind w:firstLineChars="100" w:firstLine="120"/>
              <w:jc w:val="right"/>
              <w:rPr>
                <w:b/>
                <w:bCs/>
                <w:color w:val="000000"/>
                <w:sz w:val="12"/>
                <w:szCs w:val="12"/>
              </w:rPr>
            </w:pPr>
            <w:r w:rsidRPr="00005453">
              <w:rPr>
                <w:b/>
                <w:bCs/>
                <w:color w:val="000000"/>
                <w:sz w:val="12"/>
                <w:szCs w:val="22"/>
              </w:rPr>
              <w:t>1,115,386</w:t>
            </w:r>
          </w:p>
        </w:tc>
        <w:tc>
          <w:tcPr>
            <w:tcW w:w="1648" w:type="dxa"/>
            <w:tcBorders>
              <w:top w:val="nil"/>
              <w:left w:val="nil"/>
              <w:bottom w:val="single" w:sz="8" w:space="0" w:color="auto"/>
              <w:right w:val="single" w:sz="8" w:space="0" w:color="auto"/>
            </w:tcBorders>
            <w:shd w:val="clear" w:color="auto" w:fill="auto"/>
            <w:vAlign w:val="center"/>
            <w:hideMark/>
          </w:tcPr>
          <w:p w14:paraId="7C3A54AF" w14:textId="361CE36B" w:rsidR="008F3117" w:rsidRPr="00005453" w:rsidRDefault="008F3117" w:rsidP="008F3117">
            <w:pPr>
              <w:ind w:firstLineChars="100" w:firstLine="120"/>
              <w:jc w:val="right"/>
              <w:rPr>
                <w:b/>
                <w:bCs/>
                <w:color w:val="000000"/>
                <w:sz w:val="12"/>
                <w:szCs w:val="12"/>
              </w:rPr>
            </w:pPr>
            <w:r w:rsidRPr="00005453">
              <w:rPr>
                <w:b/>
                <w:bCs/>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64CFACD7" w14:textId="68698FF7" w:rsidR="008F3117" w:rsidRPr="00005453" w:rsidRDefault="008F3117" w:rsidP="008F3117">
            <w:pPr>
              <w:ind w:firstLineChars="100" w:firstLine="120"/>
              <w:jc w:val="right"/>
              <w:rPr>
                <w:b/>
                <w:bCs/>
                <w:color w:val="000000"/>
                <w:sz w:val="12"/>
                <w:szCs w:val="12"/>
              </w:rPr>
            </w:pPr>
            <w:r w:rsidRPr="00005453">
              <w:rPr>
                <w:b/>
                <w:bCs/>
                <w:color w:val="000000"/>
                <w:sz w:val="12"/>
                <w:szCs w:val="22"/>
              </w:rPr>
              <w:t>32,340,339</w:t>
            </w:r>
          </w:p>
        </w:tc>
        <w:tc>
          <w:tcPr>
            <w:tcW w:w="1580" w:type="dxa"/>
            <w:tcBorders>
              <w:top w:val="nil"/>
              <w:left w:val="nil"/>
              <w:bottom w:val="single" w:sz="8" w:space="0" w:color="auto"/>
              <w:right w:val="single" w:sz="8" w:space="0" w:color="auto"/>
            </w:tcBorders>
            <w:shd w:val="clear" w:color="auto" w:fill="auto"/>
            <w:vAlign w:val="center"/>
            <w:hideMark/>
          </w:tcPr>
          <w:p w14:paraId="0E26AA45" w14:textId="5669B225" w:rsidR="008F3117" w:rsidRPr="00005453" w:rsidRDefault="00335DF8" w:rsidP="008F3117">
            <w:pPr>
              <w:ind w:firstLineChars="100" w:firstLine="120"/>
              <w:jc w:val="right"/>
              <w:rPr>
                <w:b/>
                <w:bCs/>
                <w:color w:val="000000"/>
                <w:sz w:val="12"/>
                <w:szCs w:val="12"/>
              </w:rPr>
            </w:pPr>
            <w:r w:rsidRPr="00005453">
              <w:rPr>
                <w:b/>
                <w:bCs/>
                <w:color w:val="000000"/>
                <w:sz w:val="12"/>
                <w:szCs w:val="22"/>
              </w:rPr>
              <w:t>(</w:t>
            </w:r>
            <w:r w:rsidR="008F3117" w:rsidRPr="00005453">
              <w:rPr>
                <w:b/>
                <w:bCs/>
                <w:color w:val="000000"/>
                <w:sz w:val="12"/>
                <w:szCs w:val="22"/>
              </w:rPr>
              <w:t>4,363,932</w:t>
            </w:r>
            <w:r w:rsidRPr="00005453">
              <w:rPr>
                <w:b/>
                <w:bCs/>
                <w:color w:val="000000"/>
                <w:sz w:val="12"/>
                <w:szCs w:val="22"/>
              </w:rPr>
              <w:t>)</w:t>
            </w:r>
          </w:p>
        </w:tc>
      </w:tr>
      <w:tr w:rsidR="008F3117" w:rsidRPr="00005453" w14:paraId="468DD827"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E6C048D" w14:textId="77777777" w:rsidR="008F3117" w:rsidRPr="00005453" w:rsidRDefault="008F3117" w:rsidP="008F3117">
            <w:pPr>
              <w:rPr>
                <w:b/>
                <w:bCs/>
                <w:color w:val="000000"/>
                <w:sz w:val="12"/>
                <w:szCs w:val="12"/>
                <w:lang w:eastAsia="tr-TR"/>
              </w:rPr>
            </w:pPr>
            <w:r w:rsidRPr="00005453">
              <w:rPr>
                <w:b/>
                <w:bCs/>
                <w:color w:val="000000"/>
                <w:sz w:val="12"/>
                <w:szCs w:val="12"/>
                <w:lang w:val="en-US" w:eastAsia="tr-TR"/>
              </w:rPr>
              <w:t>Yükümlülükler</w:t>
            </w:r>
          </w:p>
        </w:tc>
        <w:tc>
          <w:tcPr>
            <w:tcW w:w="917" w:type="dxa"/>
            <w:tcBorders>
              <w:top w:val="nil"/>
              <w:left w:val="nil"/>
              <w:bottom w:val="single" w:sz="8" w:space="0" w:color="auto"/>
              <w:right w:val="single" w:sz="8" w:space="0" w:color="auto"/>
            </w:tcBorders>
            <w:shd w:val="clear" w:color="auto" w:fill="auto"/>
            <w:noWrap/>
            <w:vAlign w:val="center"/>
            <w:hideMark/>
          </w:tcPr>
          <w:p w14:paraId="70F77E0B" w14:textId="1A1B6C14" w:rsidR="008F3117" w:rsidRPr="00005453" w:rsidRDefault="008F3117" w:rsidP="008F3117">
            <w:pPr>
              <w:jc w:val="right"/>
              <w:rPr>
                <w:color w:val="000000"/>
                <w:sz w:val="12"/>
                <w:szCs w:val="12"/>
                <w:lang w:eastAsia="tr-TR"/>
              </w:rPr>
            </w:pPr>
          </w:p>
        </w:tc>
        <w:tc>
          <w:tcPr>
            <w:tcW w:w="1576" w:type="dxa"/>
            <w:tcBorders>
              <w:top w:val="nil"/>
              <w:left w:val="nil"/>
              <w:bottom w:val="single" w:sz="8" w:space="0" w:color="auto"/>
              <w:right w:val="single" w:sz="8" w:space="0" w:color="auto"/>
            </w:tcBorders>
            <w:shd w:val="clear" w:color="auto" w:fill="auto"/>
            <w:vAlign w:val="center"/>
            <w:hideMark/>
          </w:tcPr>
          <w:p w14:paraId="61AB709E" w14:textId="290DF09E" w:rsidR="008F3117" w:rsidRPr="00005453" w:rsidRDefault="008F3117" w:rsidP="008F3117">
            <w:pPr>
              <w:ind w:firstLineChars="100" w:firstLine="120"/>
              <w:jc w:val="right"/>
              <w:rPr>
                <w:b/>
                <w:bCs/>
                <w:color w:val="000000"/>
                <w:sz w:val="12"/>
                <w:szCs w:val="12"/>
                <w:lang w:eastAsia="tr-TR"/>
              </w:rPr>
            </w:pPr>
          </w:p>
        </w:tc>
        <w:tc>
          <w:tcPr>
            <w:tcW w:w="1604" w:type="dxa"/>
            <w:tcBorders>
              <w:top w:val="nil"/>
              <w:left w:val="nil"/>
              <w:bottom w:val="single" w:sz="8" w:space="0" w:color="auto"/>
              <w:right w:val="single" w:sz="8" w:space="0" w:color="auto"/>
            </w:tcBorders>
            <w:shd w:val="clear" w:color="auto" w:fill="auto"/>
            <w:noWrap/>
            <w:vAlign w:val="center"/>
            <w:hideMark/>
          </w:tcPr>
          <w:p w14:paraId="090C4AB9" w14:textId="16D49D77" w:rsidR="008F3117" w:rsidRPr="00005453" w:rsidRDefault="008F3117" w:rsidP="008F3117">
            <w:pPr>
              <w:jc w:val="right"/>
              <w:rPr>
                <w:color w:val="000000"/>
                <w:sz w:val="12"/>
                <w:szCs w:val="12"/>
                <w:lang w:eastAsia="tr-TR"/>
              </w:rPr>
            </w:pPr>
          </w:p>
        </w:tc>
        <w:tc>
          <w:tcPr>
            <w:tcW w:w="1782" w:type="dxa"/>
            <w:tcBorders>
              <w:top w:val="nil"/>
              <w:left w:val="nil"/>
              <w:bottom w:val="single" w:sz="8" w:space="0" w:color="auto"/>
              <w:right w:val="single" w:sz="8" w:space="0" w:color="auto"/>
            </w:tcBorders>
            <w:shd w:val="clear" w:color="auto" w:fill="auto"/>
            <w:noWrap/>
            <w:vAlign w:val="center"/>
            <w:hideMark/>
          </w:tcPr>
          <w:p w14:paraId="379B4F35" w14:textId="75A99D51" w:rsidR="008F3117" w:rsidRPr="00005453" w:rsidRDefault="008F3117" w:rsidP="008F3117">
            <w:pPr>
              <w:jc w:val="right"/>
              <w:rPr>
                <w:color w:val="000000"/>
                <w:sz w:val="12"/>
                <w:szCs w:val="12"/>
                <w:lang w:eastAsia="tr-TR"/>
              </w:rPr>
            </w:pPr>
          </w:p>
        </w:tc>
        <w:tc>
          <w:tcPr>
            <w:tcW w:w="1648" w:type="dxa"/>
            <w:tcBorders>
              <w:top w:val="nil"/>
              <w:left w:val="nil"/>
              <w:bottom w:val="single" w:sz="8" w:space="0" w:color="auto"/>
              <w:right w:val="single" w:sz="8" w:space="0" w:color="auto"/>
            </w:tcBorders>
            <w:shd w:val="clear" w:color="auto" w:fill="auto"/>
            <w:noWrap/>
            <w:vAlign w:val="center"/>
            <w:hideMark/>
          </w:tcPr>
          <w:p w14:paraId="5C3A8057" w14:textId="07052A62" w:rsidR="008F3117" w:rsidRPr="00005453" w:rsidRDefault="008F3117" w:rsidP="008F3117">
            <w:pPr>
              <w:jc w:val="right"/>
              <w:rPr>
                <w:color w:val="000000"/>
                <w:sz w:val="12"/>
                <w:szCs w:val="12"/>
                <w:lang w:eastAsia="tr-TR"/>
              </w:rPr>
            </w:pPr>
          </w:p>
        </w:tc>
        <w:tc>
          <w:tcPr>
            <w:tcW w:w="1438" w:type="dxa"/>
            <w:tcBorders>
              <w:top w:val="nil"/>
              <w:left w:val="nil"/>
              <w:bottom w:val="single" w:sz="8" w:space="0" w:color="auto"/>
              <w:right w:val="single" w:sz="8" w:space="0" w:color="auto"/>
            </w:tcBorders>
            <w:shd w:val="clear" w:color="auto" w:fill="auto"/>
            <w:noWrap/>
            <w:vAlign w:val="center"/>
            <w:hideMark/>
          </w:tcPr>
          <w:p w14:paraId="4B5A6C83" w14:textId="6C37B21D" w:rsidR="008F3117" w:rsidRPr="00005453" w:rsidRDefault="008F3117" w:rsidP="008F3117">
            <w:pPr>
              <w:jc w:val="right"/>
              <w:rPr>
                <w:color w:val="000000"/>
                <w:sz w:val="12"/>
                <w:szCs w:val="12"/>
                <w:lang w:eastAsia="tr-TR"/>
              </w:rPr>
            </w:pPr>
          </w:p>
        </w:tc>
        <w:tc>
          <w:tcPr>
            <w:tcW w:w="1580" w:type="dxa"/>
            <w:tcBorders>
              <w:top w:val="nil"/>
              <w:left w:val="nil"/>
              <w:bottom w:val="single" w:sz="8" w:space="0" w:color="auto"/>
              <w:right w:val="single" w:sz="8" w:space="0" w:color="auto"/>
            </w:tcBorders>
            <w:shd w:val="clear" w:color="auto" w:fill="auto"/>
            <w:noWrap/>
            <w:vAlign w:val="center"/>
            <w:hideMark/>
          </w:tcPr>
          <w:p w14:paraId="6701AE6F" w14:textId="2FB8EB70" w:rsidR="008F3117" w:rsidRPr="00005453" w:rsidRDefault="008F3117" w:rsidP="008F3117">
            <w:pPr>
              <w:jc w:val="right"/>
              <w:rPr>
                <w:color w:val="000000"/>
                <w:sz w:val="12"/>
                <w:szCs w:val="12"/>
                <w:lang w:eastAsia="tr-TR"/>
              </w:rPr>
            </w:pPr>
          </w:p>
        </w:tc>
      </w:tr>
      <w:tr w:rsidR="008F3117" w:rsidRPr="00005453" w14:paraId="31197B20"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AAA255C" w14:textId="77777777" w:rsidR="008F3117" w:rsidRPr="00005453" w:rsidRDefault="008F3117" w:rsidP="008F3117">
            <w:pPr>
              <w:rPr>
                <w:color w:val="000000"/>
                <w:sz w:val="12"/>
                <w:szCs w:val="12"/>
                <w:lang w:eastAsia="tr-TR"/>
              </w:rPr>
            </w:pPr>
            <w:r w:rsidRPr="00005453">
              <w:rPr>
                <w:color w:val="000000"/>
                <w:sz w:val="12"/>
                <w:szCs w:val="12"/>
                <w:lang w:val="en-US" w:eastAsia="tr-TR"/>
              </w:rPr>
              <w:t>Toplanan Fonlar</w:t>
            </w:r>
          </w:p>
        </w:tc>
        <w:tc>
          <w:tcPr>
            <w:tcW w:w="917" w:type="dxa"/>
            <w:tcBorders>
              <w:top w:val="nil"/>
              <w:left w:val="nil"/>
              <w:bottom w:val="single" w:sz="8" w:space="0" w:color="auto"/>
              <w:right w:val="single" w:sz="8" w:space="0" w:color="auto"/>
            </w:tcBorders>
            <w:shd w:val="clear" w:color="auto" w:fill="auto"/>
            <w:vAlign w:val="center"/>
            <w:hideMark/>
          </w:tcPr>
          <w:p w14:paraId="7C68286A" w14:textId="3EE69405" w:rsidR="008F3117" w:rsidRPr="00005453" w:rsidRDefault="008F3117" w:rsidP="008F3117">
            <w:pPr>
              <w:ind w:firstLineChars="100" w:firstLine="120"/>
              <w:jc w:val="right"/>
              <w:rPr>
                <w:color w:val="000000"/>
                <w:sz w:val="12"/>
                <w:szCs w:val="12"/>
              </w:rPr>
            </w:pPr>
            <w:r w:rsidRPr="00005453">
              <w:rPr>
                <w:color w:val="000000"/>
                <w:sz w:val="12"/>
                <w:szCs w:val="22"/>
              </w:rPr>
              <w:t>585,563,913</w:t>
            </w:r>
          </w:p>
        </w:tc>
        <w:tc>
          <w:tcPr>
            <w:tcW w:w="1576" w:type="dxa"/>
            <w:tcBorders>
              <w:top w:val="nil"/>
              <w:left w:val="nil"/>
              <w:bottom w:val="single" w:sz="8" w:space="0" w:color="auto"/>
              <w:right w:val="single" w:sz="8" w:space="0" w:color="auto"/>
            </w:tcBorders>
            <w:shd w:val="clear" w:color="auto" w:fill="auto"/>
            <w:vAlign w:val="center"/>
            <w:hideMark/>
          </w:tcPr>
          <w:p w14:paraId="42E35D39" w14:textId="7E966223" w:rsidR="008F3117" w:rsidRPr="00005453" w:rsidRDefault="008F3117" w:rsidP="008F3117">
            <w:pPr>
              <w:ind w:firstLineChars="100" w:firstLine="120"/>
              <w:jc w:val="right"/>
              <w:rPr>
                <w:color w:val="000000"/>
                <w:sz w:val="12"/>
                <w:szCs w:val="12"/>
              </w:rPr>
            </w:pPr>
            <w:r w:rsidRPr="00005453">
              <w:rPr>
                <w:color w:val="000000"/>
                <w:sz w:val="12"/>
                <w:szCs w:val="22"/>
              </w:rPr>
              <w:t>585,563,913</w:t>
            </w:r>
          </w:p>
        </w:tc>
        <w:tc>
          <w:tcPr>
            <w:tcW w:w="1604" w:type="dxa"/>
            <w:tcBorders>
              <w:top w:val="nil"/>
              <w:left w:val="nil"/>
              <w:bottom w:val="single" w:sz="8" w:space="0" w:color="auto"/>
              <w:right w:val="single" w:sz="8" w:space="0" w:color="auto"/>
            </w:tcBorders>
            <w:shd w:val="clear" w:color="auto" w:fill="auto"/>
            <w:vAlign w:val="center"/>
            <w:hideMark/>
          </w:tcPr>
          <w:p w14:paraId="277C3125" w14:textId="3090C89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62761F52" w14:textId="07EC468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689C868C" w14:textId="2BFDBFE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57E28911" w14:textId="48302826"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28B133B5" w14:textId="46B5BD46" w:rsidR="008F3117" w:rsidRPr="00005453" w:rsidRDefault="008F3117" w:rsidP="008F3117">
            <w:pPr>
              <w:ind w:firstLineChars="100" w:firstLine="120"/>
              <w:jc w:val="right"/>
              <w:rPr>
                <w:color w:val="000000"/>
                <w:sz w:val="12"/>
                <w:szCs w:val="12"/>
              </w:rPr>
            </w:pPr>
            <w:r w:rsidRPr="00005453">
              <w:rPr>
                <w:color w:val="000000"/>
                <w:sz w:val="12"/>
                <w:szCs w:val="22"/>
              </w:rPr>
              <w:t>585,563,913</w:t>
            </w:r>
          </w:p>
        </w:tc>
      </w:tr>
      <w:tr w:rsidR="008F3117" w:rsidRPr="00005453" w14:paraId="62C71056"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954255" w14:textId="77777777" w:rsidR="008F3117" w:rsidRPr="00005453" w:rsidRDefault="008F3117" w:rsidP="008F3117">
            <w:pPr>
              <w:rPr>
                <w:color w:val="000000"/>
                <w:sz w:val="12"/>
                <w:szCs w:val="12"/>
                <w:lang w:eastAsia="tr-TR"/>
              </w:rPr>
            </w:pPr>
            <w:r w:rsidRPr="00005453">
              <w:rPr>
                <w:color w:val="000000"/>
                <w:sz w:val="12"/>
                <w:szCs w:val="12"/>
                <w:lang w:val="en-US" w:eastAsia="tr-TR"/>
              </w:rPr>
              <w:t>Alınan Krediler</w:t>
            </w:r>
          </w:p>
        </w:tc>
        <w:tc>
          <w:tcPr>
            <w:tcW w:w="917" w:type="dxa"/>
            <w:tcBorders>
              <w:top w:val="nil"/>
              <w:left w:val="nil"/>
              <w:bottom w:val="single" w:sz="8" w:space="0" w:color="auto"/>
              <w:right w:val="single" w:sz="8" w:space="0" w:color="auto"/>
            </w:tcBorders>
            <w:shd w:val="clear" w:color="auto" w:fill="auto"/>
            <w:vAlign w:val="center"/>
            <w:hideMark/>
          </w:tcPr>
          <w:p w14:paraId="2E1E8A33" w14:textId="1F3D1727" w:rsidR="008F3117" w:rsidRPr="00005453" w:rsidRDefault="008F3117" w:rsidP="008F3117">
            <w:pPr>
              <w:ind w:firstLineChars="100" w:firstLine="120"/>
              <w:jc w:val="right"/>
              <w:rPr>
                <w:color w:val="000000"/>
                <w:sz w:val="12"/>
                <w:szCs w:val="12"/>
              </w:rPr>
            </w:pPr>
            <w:r w:rsidRPr="00005453">
              <w:rPr>
                <w:color w:val="000000"/>
                <w:sz w:val="12"/>
                <w:szCs w:val="22"/>
              </w:rPr>
              <w:t>121,920,986</w:t>
            </w:r>
          </w:p>
        </w:tc>
        <w:tc>
          <w:tcPr>
            <w:tcW w:w="1576" w:type="dxa"/>
            <w:tcBorders>
              <w:top w:val="nil"/>
              <w:left w:val="nil"/>
              <w:bottom w:val="single" w:sz="8" w:space="0" w:color="auto"/>
              <w:right w:val="single" w:sz="8" w:space="0" w:color="auto"/>
            </w:tcBorders>
            <w:shd w:val="clear" w:color="auto" w:fill="auto"/>
            <w:vAlign w:val="center"/>
            <w:hideMark/>
          </w:tcPr>
          <w:p w14:paraId="64A89FC4" w14:textId="7DA3C085" w:rsidR="008F3117" w:rsidRPr="00005453" w:rsidRDefault="008F3117" w:rsidP="008F3117">
            <w:pPr>
              <w:ind w:firstLineChars="100" w:firstLine="120"/>
              <w:jc w:val="right"/>
              <w:rPr>
                <w:color w:val="000000"/>
                <w:sz w:val="12"/>
                <w:szCs w:val="12"/>
              </w:rPr>
            </w:pPr>
            <w:r w:rsidRPr="00005453">
              <w:rPr>
                <w:color w:val="000000"/>
                <w:sz w:val="12"/>
                <w:szCs w:val="22"/>
              </w:rPr>
              <w:t>121,920,986</w:t>
            </w:r>
          </w:p>
        </w:tc>
        <w:tc>
          <w:tcPr>
            <w:tcW w:w="1604" w:type="dxa"/>
            <w:tcBorders>
              <w:top w:val="nil"/>
              <w:left w:val="nil"/>
              <w:bottom w:val="single" w:sz="8" w:space="0" w:color="auto"/>
              <w:right w:val="single" w:sz="8" w:space="0" w:color="auto"/>
            </w:tcBorders>
            <w:shd w:val="clear" w:color="auto" w:fill="auto"/>
            <w:vAlign w:val="center"/>
            <w:hideMark/>
          </w:tcPr>
          <w:p w14:paraId="340608DB" w14:textId="24976C3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668E8D8D" w14:textId="49A6C58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05D94BD1" w14:textId="2362E66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C3E527C" w14:textId="7E769F9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7DEF5CC6" w14:textId="70501D8B" w:rsidR="008F3117" w:rsidRPr="00005453" w:rsidRDefault="008F3117" w:rsidP="008F3117">
            <w:pPr>
              <w:ind w:firstLineChars="100" w:firstLine="120"/>
              <w:jc w:val="right"/>
              <w:rPr>
                <w:color w:val="000000"/>
                <w:sz w:val="12"/>
                <w:szCs w:val="12"/>
              </w:rPr>
            </w:pPr>
            <w:r w:rsidRPr="00005453">
              <w:rPr>
                <w:color w:val="000000"/>
                <w:sz w:val="12"/>
                <w:szCs w:val="22"/>
              </w:rPr>
              <w:t>121,920,986</w:t>
            </w:r>
          </w:p>
        </w:tc>
      </w:tr>
      <w:tr w:rsidR="008F3117" w:rsidRPr="00005453" w14:paraId="5F033193"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CAAF8D" w14:textId="77777777" w:rsidR="008F3117" w:rsidRPr="00005453" w:rsidRDefault="008F3117" w:rsidP="008F3117">
            <w:pPr>
              <w:rPr>
                <w:color w:val="000000"/>
                <w:sz w:val="12"/>
                <w:szCs w:val="12"/>
                <w:lang w:eastAsia="tr-TR"/>
              </w:rPr>
            </w:pPr>
            <w:r w:rsidRPr="00005453">
              <w:rPr>
                <w:color w:val="000000"/>
                <w:sz w:val="12"/>
                <w:szCs w:val="12"/>
                <w:lang w:val="en-US" w:eastAsia="tr-TR"/>
              </w:rPr>
              <w:t>Para Piyasalarına Borçlar</w:t>
            </w:r>
          </w:p>
        </w:tc>
        <w:tc>
          <w:tcPr>
            <w:tcW w:w="917" w:type="dxa"/>
            <w:tcBorders>
              <w:top w:val="nil"/>
              <w:left w:val="nil"/>
              <w:bottom w:val="single" w:sz="8" w:space="0" w:color="auto"/>
              <w:right w:val="single" w:sz="8" w:space="0" w:color="auto"/>
            </w:tcBorders>
            <w:shd w:val="clear" w:color="auto" w:fill="auto"/>
            <w:vAlign w:val="center"/>
            <w:hideMark/>
          </w:tcPr>
          <w:p w14:paraId="3FBD74D0" w14:textId="724518D7" w:rsidR="008F3117" w:rsidRPr="00005453" w:rsidRDefault="008F3117" w:rsidP="008F3117">
            <w:pPr>
              <w:ind w:firstLineChars="100" w:firstLine="120"/>
              <w:jc w:val="right"/>
              <w:rPr>
                <w:color w:val="000000"/>
                <w:sz w:val="12"/>
                <w:szCs w:val="12"/>
              </w:rPr>
            </w:pPr>
            <w:r w:rsidRPr="00005453">
              <w:rPr>
                <w:color w:val="000000"/>
                <w:sz w:val="12"/>
                <w:szCs w:val="22"/>
              </w:rPr>
              <w:t>17,719,258</w:t>
            </w:r>
          </w:p>
        </w:tc>
        <w:tc>
          <w:tcPr>
            <w:tcW w:w="1576" w:type="dxa"/>
            <w:tcBorders>
              <w:top w:val="nil"/>
              <w:left w:val="nil"/>
              <w:bottom w:val="single" w:sz="8" w:space="0" w:color="auto"/>
              <w:right w:val="single" w:sz="8" w:space="0" w:color="auto"/>
            </w:tcBorders>
            <w:shd w:val="clear" w:color="auto" w:fill="auto"/>
            <w:vAlign w:val="center"/>
            <w:hideMark/>
          </w:tcPr>
          <w:p w14:paraId="62371911" w14:textId="50D41ACB" w:rsidR="008F3117" w:rsidRPr="00005453" w:rsidRDefault="008F3117" w:rsidP="008F3117">
            <w:pPr>
              <w:ind w:firstLineChars="100" w:firstLine="120"/>
              <w:jc w:val="right"/>
              <w:rPr>
                <w:color w:val="000000"/>
                <w:sz w:val="12"/>
                <w:szCs w:val="12"/>
              </w:rPr>
            </w:pPr>
            <w:r w:rsidRPr="00005453">
              <w:rPr>
                <w:color w:val="000000"/>
                <w:sz w:val="12"/>
                <w:szCs w:val="22"/>
              </w:rPr>
              <w:t>17,719,258</w:t>
            </w:r>
          </w:p>
        </w:tc>
        <w:tc>
          <w:tcPr>
            <w:tcW w:w="1604" w:type="dxa"/>
            <w:tcBorders>
              <w:top w:val="nil"/>
              <w:left w:val="nil"/>
              <w:bottom w:val="single" w:sz="8" w:space="0" w:color="auto"/>
              <w:right w:val="single" w:sz="8" w:space="0" w:color="auto"/>
            </w:tcBorders>
            <w:shd w:val="clear" w:color="auto" w:fill="auto"/>
            <w:vAlign w:val="center"/>
            <w:hideMark/>
          </w:tcPr>
          <w:p w14:paraId="76C98248" w14:textId="58C87331"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2B97ED95" w14:textId="6FEDBE8A" w:rsidR="008F3117" w:rsidRPr="00005453" w:rsidRDefault="008F3117" w:rsidP="008F3117">
            <w:pPr>
              <w:ind w:firstLineChars="100" w:firstLine="120"/>
              <w:jc w:val="right"/>
              <w:rPr>
                <w:color w:val="000000"/>
                <w:sz w:val="12"/>
                <w:szCs w:val="12"/>
              </w:rPr>
            </w:pPr>
            <w:r w:rsidRPr="00005453">
              <w:rPr>
                <w:color w:val="000000"/>
                <w:sz w:val="12"/>
                <w:szCs w:val="22"/>
              </w:rPr>
              <w:t>17,719,258</w:t>
            </w:r>
          </w:p>
        </w:tc>
        <w:tc>
          <w:tcPr>
            <w:tcW w:w="1648" w:type="dxa"/>
            <w:tcBorders>
              <w:top w:val="nil"/>
              <w:left w:val="nil"/>
              <w:bottom w:val="single" w:sz="8" w:space="0" w:color="auto"/>
              <w:right w:val="single" w:sz="8" w:space="0" w:color="auto"/>
            </w:tcBorders>
            <w:shd w:val="clear" w:color="auto" w:fill="auto"/>
            <w:vAlign w:val="center"/>
            <w:hideMark/>
          </w:tcPr>
          <w:p w14:paraId="7E82367B" w14:textId="1F7614D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64710637" w14:textId="074561A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F085DCC" w14:textId="6E0644FF"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442D85EF"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891C5C6" w14:textId="77777777" w:rsidR="008F3117" w:rsidRPr="00005453" w:rsidRDefault="008F3117" w:rsidP="008F3117">
            <w:pPr>
              <w:rPr>
                <w:color w:val="000000"/>
                <w:sz w:val="12"/>
                <w:szCs w:val="12"/>
                <w:lang w:eastAsia="tr-TR"/>
              </w:rPr>
            </w:pPr>
            <w:r w:rsidRPr="00005453">
              <w:rPr>
                <w:color w:val="000000"/>
                <w:sz w:val="12"/>
                <w:szCs w:val="12"/>
                <w:lang w:val="de-DE" w:eastAsia="tr-TR"/>
              </w:rPr>
              <w:t>İhraç Edilen Menkul Kıymetler (Net)</w:t>
            </w:r>
            <w:r w:rsidRPr="00005453">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2B5CE997" w14:textId="515EE04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76" w:type="dxa"/>
            <w:tcBorders>
              <w:top w:val="nil"/>
              <w:left w:val="nil"/>
              <w:bottom w:val="single" w:sz="8" w:space="0" w:color="auto"/>
              <w:right w:val="single" w:sz="8" w:space="0" w:color="auto"/>
            </w:tcBorders>
            <w:shd w:val="clear" w:color="auto" w:fill="auto"/>
            <w:vAlign w:val="center"/>
            <w:hideMark/>
          </w:tcPr>
          <w:p w14:paraId="267A0339" w14:textId="2585C6E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04" w:type="dxa"/>
            <w:tcBorders>
              <w:top w:val="nil"/>
              <w:left w:val="nil"/>
              <w:bottom w:val="single" w:sz="8" w:space="0" w:color="auto"/>
              <w:right w:val="single" w:sz="8" w:space="0" w:color="auto"/>
            </w:tcBorders>
            <w:shd w:val="clear" w:color="auto" w:fill="auto"/>
            <w:vAlign w:val="center"/>
            <w:hideMark/>
          </w:tcPr>
          <w:p w14:paraId="31DA727B" w14:textId="1A9960F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2466AB2F" w14:textId="095E6FF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11C1DD07" w14:textId="32B0CE5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55491CCC" w14:textId="56356D0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70E2B458" w14:textId="5C11F4A2"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5F06F092"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178064E" w14:textId="77777777" w:rsidR="008F3117" w:rsidRPr="00005453" w:rsidRDefault="008F3117" w:rsidP="008F3117">
            <w:pPr>
              <w:rPr>
                <w:color w:val="000000"/>
                <w:sz w:val="12"/>
                <w:szCs w:val="12"/>
                <w:lang w:eastAsia="tr-TR"/>
              </w:rPr>
            </w:pPr>
            <w:r w:rsidRPr="00005453">
              <w:rPr>
                <w:color w:val="000000"/>
                <w:sz w:val="12"/>
                <w:szCs w:val="12"/>
                <w:lang w:eastAsia="tr-TR"/>
              </w:rPr>
              <w:t>Gerçeğe Uygun Değer Farkı Kar Zarara Yansıtılan Finansal Yükümlülükler</w:t>
            </w:r>
          </w:p>
        </w:tc>
        <w:tc>
          <w:tcPr>
            <w:tcW w:w="917" w:type="dxa"/>
            <w:tcBorders>
              <w:top w:val="nil"/>
              <w:left w:val="nil"/>
              <w:bottom w:val="single" w:sz="8" w:space="0" w:color="auto"/>
              <w:right w:val="single" w:sz="8" w:space="0" w:color="auto"/>
            </w:tcBorders>
            <w:shd w:val="clear" w:color="auto" w:fill="auto"/>
            <w:vAlign w:val="center"/>
            <w:hideMark/>
          </w:tcPr>
          <w:p w14:paraId="1496A811" w14:textId="12E27D7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76" w:type="dxa"/>
            <w:tcBorders>
              <w:top w:val="nil"/>
              <w:left w:val="nil"/>
              <w:bottom w:val="single" w:sz="8" w:space="0" w:color="auto"/>
              <w:right w:val="single" w:sz="8" w:space="0" w:color="auto"/>
            </w:tcBorders>
            <w:shd w:val="clear" w:color="auto" w:fill="auto"/>
            <w:vAlign w:val="center"/>
            <w:hideMark/>
          </w:tcPr>
          <w:p w14:paraId="72BA63D2" w14:textId="728B71C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04" w:type="dxa"/>
            <w:tcBorders>
              <w:top w:val="nil"/>
              <w:left w:val="nil"/>
              <w:bottom w:val="single" w:sz="8" w:space="0" w:color="auto"/>
              <w:right w:val="single" w:sz="8" w:space="0" w:color="auto"/>
            </w:tcBorders>
            <w:shd w:val="clear" w:color="auto" w:fill="auto"/>
            <w:vAlign w:val="center"/>
            <w:hideMark/>
          </w:tcPr>
          <w:p w14:paraId="739472B6" w14:textId="70C94E76"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2101A109" w14:textId="60DF005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568BA5EB" w14:textId="1156775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4669056F" w14:textId="3133A69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46023DBA" w14:textId="2F407EA3"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0E722FCD"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847EF60" w14:textId="77777777" w:rsidR="008F3117" w:rsidRPr="00005453" w:rsidRDefault="008F3117" w:rsidP="008F3117">
            <w:pPr>
              <w:rPr>
                <w:color w:val="000000"/>
                <w:sz w:val="12"/>
                <w:szCs w:val="12"/>
                <w:lang w:eastAsia="tr-TR"/>
              </w:rPr>
            </w:pPr>
            <w:r w:rsidRPr="00005453">
              <w:rPr>
                <w:color w:val="000000"/>
                <w:sz w:val="12"/>
                <w:szCs w:val="12"/>
                <w:lang w:val="en-US" w:eastAsia="tr-TR"/>
              </w:rPr>
              <w:t>Türev Finansal Yükümlülükler</w:t>
            </w:r>
          </w:p>
        </w:tc>
        <w:tc>
          <w:tcPr>
            <w:tcW w:w="917" w:type="dxa"/>
            <w:tcBorders>
              <w:top w:val="nil"/>
              <w:left w:val="nil"/>
              <w:bottom w:val="single" w:sz="8" w:space="0" w:color="auto"/>
              <w:right w:val="single" w:sz="8" w:space="0" w:color="auto"/>
            </w:tcBorders>
            <w:shd w:val="clear" w:color="auto" w:fill="auto"/>
            <w:vAlign w:val="center"/>
            <w:hideMark/>
          </w:tcPr>
          <w:p w14:paraId="6AB703A6" w14:textId="34BC1293" w:rsidR="008F3117" w:rsidRPr="00005453" w:rsidRDefault="008F3117" w:rsidP="008F3117">
            <w:pPr>
              <w:ind w:firstLineChars="100" w:firstLine="120"/>
              <w:jc w:val="right"/>
              <w:rPr>
                <w:color w:val="000000"/>
                <w:sz w:val="12"/>
                <w:szCs w:val="12"/>
              </w:rPr>
            </w:pPr>
            <w:r w:rsidRPr="00005453">
              <w:rPr>
                <w:color w:val="000000"/>
                <w:sz w:val="12"/>
                <w:szCs w:val="22"/>
              </w:rPr>
              <w:t>2,852,933</w:t>
            </w:r>
          </w:p>
        </w:tc>
        <w:tc>
          <w:tcPr>
            <w:tcW w:w="1576" w:type="dxa"/>
            <w:tcBorders>
              <w:top w:val="nil"/>
              <w:left w:val="nil"/>
              <w:bottom w:val="single" w:sz="8" w:space="0" w:color="auto"/>
              <w:right w:val="single" w:sz="8" w:space="0" w:color="auto"/>
            </w:tcBorders>
            <w:shd w:val="clear" w:color="auto" w:fill="auto"/>
            <w:vAlign w:val="center"/>
            <w:hideMark/>
          </w:tcPr>
          <w:p w14:paraId="0A13E5FA" w14:textId="52640379" w:rsidR="008F3117" w:rsidRPr="00005453" w:rsidRDefault="008F3117" w:rsidP="008F3117">
            <w:pPr>
              <w:ind w:firstLineChars="100" w:firstLine="120"/>
              <w:jc w:val="right"/>
              <w:rPr>
                <w:color w:val="000000"/>
                <w:sz w:val="12"/>
                <w:szCs w:val="12"/>
              </w:rPr>
            </w:pPr>
            <w:r w:rsidRPr="00005453">
              <w:rPr>
                <w:color w:val="000000"/>
                <w:sz w:val="12"/>
                <w:szCs w:val="22"/>
              </w:rPr>
              <w:t>2,852,933</w:t>
            </w:r>
          </w:p>
        </w:tc>
        <w:tc>
          <w:tcPr>
            <w:tcW w:w="1604" w:type="dxa"/>
            <w:tcBorders>
              <w:top w:val="nil"/>
              <w:left w:val="nil"/>
              <w:bottom w:val="single" w:sz="8" w:space="0" w:color="auto"/>
              <w:right w:val="single" w:sz="8" w:space="0" w:color="auto"/>
            </w:tcBorders>
            <w:shd w:val="clear" w:color="auto" w:fill="auto"/>
            <w:vAlign w:val="center"/>
            <w:hideMark/>
          </w:tcPr>
          <w:p w14:paraId="386A6629" w14:textId="51A2B6D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64DE1187" w14:textId="25A10B6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365351B1" w14:textId="3BDAE06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3571D17D" w14:textId="6D53638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6A7E683F" w14:textId="1C48B915" w:rsidR="008F3117" w:rsidRPr="00005453" w:rsidRDefault="008F3117" w:rsidP="008F3117">
            <w:pPr>
              <w:ind w:firstLineChars="100" w:firstLine="120"/>
              <w:jc w:val="right"/>
              <w:rPr>
                <w:color w:val="000000"/>
                <w:sz w:val="12"/>
                <w:szCs w:val="12"/>
              </w:rPr>
            </w:pPr>
            <w:r w:rsidRPr="00005453">
              <w:rPr>
                <w:color w:val="000000"/>
                <w:sz w:val="12"/>
                <w:szCs w:val="22"/>
              </w:rPr>
              <w:t>2,852,933</w:t>
            </w:r>
          </w:p>
        </w:tc>
      </w:tr>
      <w:tr w:rsidR="008F3117" w:rsidRPr="00005453" w14:paraId="32C6E03D" w14:textId="77777777" w:rsidTr="008F3117">
        <w:trPr>
          <w:divId w:val="1877352299"/>
          <w:trHeight w:val="161"/>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A08910" w14:textId="77777777" w:rsidR="008F3117" w:rsidRPr="00005453" w:rsidRDefault="008F3117" w:rsidP="008F3117">
            <w:pPr>
              <w:rPr>
                <w:color w:val="000000"/>
                <w:sz w:val="12"/>
                <w:szCs w:val="12"/>
                <w:lang w:eastAsia="tr-TR"/>
              </w:rPr>
            </w:pPr>
            <w:r w:rsidRPr="00005453">
              <w:rPr>
                <w:color w:val="000000"/>
                <w:sz w:val="12"/>
                <w:szCs w:val="12"/>
                <w:lang w:val="en-US" w:eastAsia="tr-TR"/>
              </w:rPr>
              <w:t>Kiralama İşlemlerinden Yükümlülükler</w:t>
            </w:r>
          </w:p>
        </w:tc>
        <w:tc>
          <w:tcPr>
            <w:tcW w:w="917" w:type="dxa"/>
            <w:tcBorders>
              <w:top w:val="nil"/>
              <w:left w:val="nil"/>
              <w:bottom w:val="single" w:sz="8" w:space="0" w:color="auto"/>
              <w:right w:val="single" w:sz="8" w:space="0" w:color="auto"/>
            </w:tcBorders>
            <w:shd w:val="clear" w:color="auto" w:fill="auto"/>
            <w:vAlign w:val="center"/>
            <w:hideMark/>
          </w:tcPr>
          <w:p w14:paraId="22B7107E" w14:textId="3B7C9C84" w:rsidR="008F3117" w:rsidRPr="00005453" w:rsidRDefault="008F3117" w:rsidP="008F3117">
            <w:pPr>
              <w:ind w:firstLineChars="100" w:firstLine="120"/>
              <w:jc w:val="right"/>
              <w:rPr>
                <w:color w:val="000000"/>
                <w:sz w:val="12"/>
                <w:szCs w:val="12"/>
              </w:rPr>
            </w:pPr>
            <w:r w:rsidRPr="00005453">
              <w:rPr>
                <w:sz w:val="12"/>
                <w:szCs w:val="22"/>
              </w:rPr>
              <w:t>1,466,023</w:t>
            </w:r>
          </w:p>
        </w:tc>
        <w:tc>
          <w:tcPr>
            <w:tcW w:w="1576" w:type="dxa"/>
            <w:tcBorders>
              <w:top w:val="nil"/>
              <w:left w:val="nil"/>
              <w:bottom w:val="single" w:sz="8" w:space="0" w:color="auto"/>
              <w:right w:val="single" w:sz="8" w:space="0" w:color="auto"/>
            </w:tcBorders>
            <w:shd w:val="clear" w:color="auto" w:fill="auto"/>
            <w:vAlign w:val="center"/>
            <w:hideMark/>
          </w:tcPr>
          <w:p w14:paraId="640077E8" w14:textId="67D9C04D" w:rsidR="008F3117" w:rsidRPr="00005453" w:rsidRDefault="008F3117" w:rsidP="008F3117">
            <w:pPr>
              <w:ind w:firstLineChars="100" w:firstLine="120"/>
              <w:jc w:val="right"/>
              <w:rPr>
                <w:color w:val="000000"/>
                <w:sz w:val="12"/>
                <w:szCs w:val="12"/>
              </w:rPr>
            </w:pPr>
            <w:r w:rsidRPr="00005453">
              <w:rPr>
                <w:color w:val="000000"/>
                <w:sz w:val="12"/>
                <w:szCs w:val="22"/>
              </w:rPr>
              <w:t>1,466,023</w:t>
            </w:r>
          </w:p>
        </w:tc>
        <w:tc>
          <w:tcPr>
            <w:tcW w:w="1604" w:type="dxa"/>
            <w:tcBorders>
              <w:top w:val="nil"/>
              <w:left w:val="nil"/>
              <w:bottom w:val="single" w:sz="8" w:space="0" w:color="auto"/>
              <w:right w:val="single" w:sz="8" w:space="0" w:color="auto"/>
            </w:tcBorders>
            <w:shd w:val="clear" w:color="auto" w:fill="auto"/>
            <w:vAlign w:val="center"/>
            <w:hideMark/>
          </w:tcPr>
          <w:p w14:paraId="0104D9B9" w14:textId="2200EB3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32214AE6" w14:textId="6A96BEF0"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42433857" w14:textId="7A81B5E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27D53E55" w14:textId="0E186E3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3AC50112" w14:textId="678357B9" w:rsidR="008F3117" w:rsidRPr="00005453" w:rsidRDefault="008F3117" w:rsidP="008F3117">
            <w:pPr>
              <w:ind w:firstLineChars="100" w:firstLine="120"/>
              <w:jc w:val="right"/>
              <w:rPr>
                <w:color w:val="000000"/>
                <w:sz w:val="12"/>
                <w:szCs w:val="12"/>
              </w:rPr>
            </w:pPr>
            <w:r w:rsidRPr="00005453">
              <w:rPr>
                <w:color w:val="000000"/>
                <w:sz w:val="12"/>
                <w:szCs w:val="22"/>
              </w:rPr>
              <w:t>1,466,023</w:t>
            </w:r>
          </w:p>
        </w:tc>
      </w:tr>
      <w:tr w:rsidR="008F3117" w:rsidRPr="00005453" w14:paraId="25FB6F0A"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2954FB1" w14:textId="77777777" w:rsidR="008F3117" w:rsidRPr="00005453" w:rsidRDefault="008F3117" w:rsidP="008F3117">
            <w:pPr>
              <w:rPr>
                <w:color w:val="000000"/>
                <w:sz w:val="12"/>
                <w:szCs w:val="12"/>
                <w:lang w:eastAsia="tr-TR"/>
              </w:rPr>
            </w:pPr>
            <w:r w:rsidRPr="00005453">
              <w:rPr>
                <w:color w:val="000000"/>
                <w:sz w:val="12"/>
                <w:szCs w:val="12"/>
                <w:lang w:val="en-US" w:eastAsia="tr-TR"/>
              </w:rPr>
              <w:t>Karşılıklar</w:t>
            </w:r>
          </w:p>
        </w:tc>
        <w:tc>
          <w:tcPr>
            <w:tcW w:w="917" w:type="dxa"/>
            <w:tcBorders>
              <w:top w:val="nil"/>
              <w:left w:val="nil"/>
              <w:bottom w:val="single" w:sz="8" w:space="0" w:color="auto"/>
              <w:right w:val="single" w:sz="8" w:space="0" w:color="auto"/>
            </w:tcBorders>
            <w:shd w:val="clear" w:color="auto" w:fill="auto"/>
            <w:vAlign w:val="center"/>
            <w:hideMark/>
          </w:tcPr>
          <w:p w14:paraId="051EF061" w14:textId="280910BA" w:rsidR="008F3117" w:rsidRPr="00005453" w:rsidRDefault="008F3117" w:rsidP="008F3117">
            <w:pPr>
              <w:ind w:firstLineChars="100" w:firstLine="120"/>
              <w:jc w:val="right"/>
              <w:rPr>
                <w:color w:val="000000"/>
                <w:sz w:val="12"/>
                <w:szCs w:val="12"/>
              </w:rPr>
            </w:pPr>
            <w:r w:rsidRPr="00005453">
              <w:rPr>
                <w:sz w:val="12"/>
                <w:szCs w:val="22"/>
              </w:rPr>
              <w:t>7,397,604</w:t>
            </w:r>
          </w:p>
        </w:tc>
        <w:tc>
          <w:tcPr>
            <w:tcW w:w="1576" w:type="dxa"/>
            <w:tcBorders>
              <w:top w:val="nil"/>
              <w:left w:val="nil"/>
              <w:bottom w:val="single" w:sz="8" w:space="0" w:color="auto"/>
              <w:right w:val="single" w:sz="8" w:space="0" w:color="auto"/>
            </w:tcBorders>
            <w:shd w:val="clear" w:color="auto" w:fill="auto"/>
            <w:vAlign w:val="center"/>
            <w:hideMark/>
          </w:tcPr>
          <w:p w14:paraId="0EF859C3" w14:textId="125A0931" w:rsidR="008F3117" w:rsidRPr="00005453" w:rsidRDefault="008F3117" w:rsidP="008F3117">
            <w:pPr>
              <w:ind w:firstLineChars="100" w:firstLine="120"/>
              <w:jc w:val="right"/>
              <w:rPr>
                <w:color w:val="000000"/>
                <w:sz w:val="12"/>
                <w:szCs w:val="12"/>
              </w:rPr>
            </w:pPr>
            <w:r w:rsidRPr="00005453">
              <w:rPr>
                <w:color w:val="000000"/>
                <w:sz w:val="12"/>
                <w:szCs w:val="22"/>
              </w:rPr>
              <w:t>7,397,604</w:t>
            </w:r>
          </w:p>
        </w:tc>
        <w:tc>
          <w:tcPr>
            <w:tcW w:w="1604" w:type="dxa"/>
            <w:tcBorders>
              <w:top w:val="nil"/>
              <w:left w:val="nil"/>
              <w:bottom w:val="single" w:sz="8" w:space="0" w:color="auto"/>
              <w:right w:val="single" w:sz="8" w:space="0" w:color="auto"/>
            </w:tcBorders>
            <w:shd w:val="clear" w:color="auto" w:fill="auto"/>
            <w:vAlign w:val="center"/>
            <w:hideMark/>
          </w:tcPr>
          <w:p w14:paraId="68983ADF" w14:textId="06A49F7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33175D39" w14:textId="44AA609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22600FE0" w14:textId="1D0600F9"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5A4DD8BE" w14:textId="2260E40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7780DF17" w14:textId="229908EE" w:rsidR="008F3117" w:rsidRPr="00005453" w:rsidRDefault="008F3117" w:rsidP="008F3117">
            <w:pPr>
              <w:ind w:firstLineChars="100" w:firstLine="120"/>
              <w:jc w:val="right"/>
              <w:rPr>
                <w:color w:val="000000"/>
                <w:sz w:val="12"/>
                <w:szCs w:val="12"/>
              </w:rPr>
            </w:pPr>
            <w:r w:rsidRPr="00005453">
              <w:rPr>
                <w:color w:val="000000"/>
                <w:sz w:val="12"/>
                <w:szCs w:val="22"/>
              </w:rPr>
              <w:t>7,397,604</w:t>
            </w:r>
          </w:p>
        </w:tc>
      </w:tr>
      <w:tr w:rsidR="008F3117" w:rsidRPr="00005453" w14:paraId="5BEA5463"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DFABE0" w14:textId="77777777" w:rsidR="008F3117" w:rsidRPr="00005453" w:rsidRDefault="008F3117" w:rsidP="008F3117">
            <w:pPr>
              <w:rPr>
                <w:color w:val="000000"/>
                <w:sz w:val="12"/>
                <w:szCs w:val="12"/>
                <w:lang w:eastAsia="tr-TR"/>
              </w:rPr>
            </w:pPr>
            <w:r w:rsidRPr="00005453">
              <w:rPr>
                <w:color w:val="000000"/>
                <w:sz w:val="12"/>
                <w:szCs w:val="12"/>
                <w:lang w:val="en-US" w:eastAsia="tr-TR"/>
              </w:rPr>
              <w:t>Cari Vergi Borcu</w:t>
            </w:r>
          </w:p>
        </w:tc>
        <w:tc>
          <w:tcPr>
            <w:tcW w:w="917" w:type="dxa"/>
            <w:tcBorders>
              <w:top w:val="nil"/>
              <w:left w:val="nil"/>
              <w:bottom w:val="single" w:sz="8" w:space="0" w:color="auto"/>
              <w:right w:val="single" w:sz="8" w:space="0" w:color="auto"/>
            </w:tcBorders>
            <w:shd w:val="clear" w:color="auto" w:fill="auto"/>
            <w:vAlign w:val="center"/>
            <w:hideMark/>
          </w:tcPr>
          <w:p w14:paraId="54D170AA" w14:textId="48EA3F7A" w:rsidR="008F3117" w:rsidRPr="00005453" w:rsidRDefault="008F3117" w:rsidP="008F3117">
            <w:pPr>
              <w:ind w:firstLineChars="100" w:firstLine="120"/>
              <w:jc w:val="right"/>
              <w:rPr>
                <w:color w:val="000000"/>
                <w:sz w:val="12"/>
                <w:szCs w:val="12"/>
              </w:rPr>
            </w:pPr>
            <w:r w:rsidRPr="00005453">
              <w:rPr>
                <w:color w:val="000000"/>
                <w:sz w:val="12"/>
                <w:szCs w:val="22"/>
              </w:rPr>
              <w:t>5,716,978</w:t>
            </w:r>
          </w:p>
        </w:tc>
        <w:tc>
          <w:tcPr>
            <w:tcW w:w="1576" w:type="dxa"/>
            <w:tcBorders>
              <w:top w:val="nil"/>
              <w:left w:val="nil"/>
              <w:bottom w:val="single" w:sz="8" w:space="0" w:color="auto"/>
              <w:right w:val="single" w:sz="8" w:space="0" w:color="auto"/>
            </w:tcBorders>
            <w:shd w:val="clear" w:color="auto" w:fill="auto"/>
            <w:vAlign w:val="center"/>
            <w:hideMark/>
          </w:tcPr>
          <w:p w14:paraId="01DBFDC2" w14:textId="464A02A7" w:rsidR="008F3117" w:rsidRPr="00005453" w:rsidRDefault="008F3117" w:rsidP="008F3117">
            <w:pPr>
              <w:ind w:firstLineChars="100" w:firstLine="120"/>
              <w:jc w:val="right"/>
              <w:rPr>
                <w:color w:val="000000"/>
                <w:sz w:val="12"/>
                <w:szCs w:val="12"/>
              </w:rPr>
            </w:pPr>
            <w:r w:rsidRPr="00005453">
              <w:rPr>
                <w:color w:val="000000"/>
                <w:sz w:val="12"/>
                <w:szCs w:val="22"/>
              </w:rPr>
              <w:t>5,716,978</w:t>
            </w:r>
          </w:p>
        </w:tc>
        <w:tc>
          <w:tcPr>
            <w:tcW w:w="1604" w:type="dxa"/>
            <w:tcBorders>
              <w:top w:val="nil"/>
              <w:left w:val="nil"/>
              <w:bottom w:val="single" w:sz="8" w:space="0" w:color="auto"/>
              <w:right w:val="single" w:sz="8" w:space="0" w:color="auto"/>
            </w:tcBorders>
            <w:shd w:val="clear" w:color="auto" w:fill="auto"/>
            <w:vAlign w:val="center"/>
            <w:hideMark/>
          </w:tcPr>
          <w:p w14:paraId="6FA2A057" w14:textId="682E451B"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4CEE1188" w14:textId="6360C66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64237CC6" w14:textId="6055EBD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4076A720" w14:textId="1C9E8BC3"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22F63F62" w14:textId="710A9F54" w:rsidR="008F3117" w:rsidRPr="00005453" w:rsidRDefault="008F3117" w:rsidP="008F3117">
            <w:pPr>
              <w:ind w:firstLineChars="100" w:firstLine="120"/>
              <w:jc w:val="right"/>
              <w:rPr>
                <w:color w:val="000000"/>
                <w:sz w:val="12"/>
                <w:szCs w:val="12"/>
              </w:rPr>
            </w:pPr>
            <w:r w:rsidRPr="00005453">
              <w:rPr>
                <w:color w:val="000000"/>
                <w:sz w:val="12"/>
                <w:szCs w:val="22"/>
              </w:rPr>
              <w:t>5,716,978</w:t>
            </w:r>
          </w:p>
        </w:tc>
      </w:tr>
      <w:tr w:rsidR="008F3117" w:rsidRPr="00005453" w14:paraId="6FF7FB64"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7B4463C" w14:textId="77777777" w:rsidR="008F3117" w:rsidRPr="00005453" w:rsidRDefault="008F3117" w:rsidP="008F3117">
            <w:pPr>
              <w:rPr>
                <w:color w:val="000000"/>
                <w:sz w:val="12"/>
                <w:szCs w:val="12"/>
                <w:lang w:eastAsia="tr-TR"/>
              </w:rPr>
            </w:pPr>
            <w:r w:rsidRPr="00005453">
              <w:rPr>
                <w:color w:val="000000"/>
                <w:sz w:val="12"/>
                <w:szCs w:val="12"/>
                <w:lang w:val="en-US" w:eastAsia="tr-TR"/>
              </w:rPr>
              <w:t>Ertelenmiş Vergi Borcu</w:t>
            </w:r>
          </w:p>
        </w:tc>
        <w:tc>
          <w:tcPr>
            <w:tcW w:w="917" w:type="dxa"/>
            <w:tcBorders>
              <w:top w:val="nil"/>
              <w:left w:val="nil"/>
              <w:bottom w:val="single" w:sz="8" w:space="0" w:color="auto"/>
              <w:right w:val="single" w:sz="8" w:space="0" w:color="auto"/>
            </w:tcBorders>
            <w:shd w:val="clear" w:color="auto" w:fill="auto"/>
            <w:vAlign w:val="center"/>
            <w:hideMark/>
          </w:tcPr>
          <w:p w14:paraId="69F757B1" w14:textId="7A5D6EFC"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76" w:type="dxa"/>
            <w:tcBorders>
              <w:top w:val="nil"/>
              <w:left w:val="nil"/>
              <w:bottom w:val="single" w:sz="8" w:space="0" w:color="auto"/>
              <w:right w:val="single" w:sz="8" w:space="0" w:color="auto"/>
            </w:tcBorders>
            <w:shd w:val="clear" w:color="auto" w:fill="auto"/>
            <w:vAlign w:val="center"/>
            <w:hideMark/>
          </w:tcPr>
          <w:p w14:paraId="50EC10B8" w14:textId="2171D6B7"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04" w:type="dxa"/>
            <w:tcBorders>
              <w:top w:val="nil"/>
              <w:left w:val="nil"/>
              <w:bottom w:val="single" w:sz="8" w:space="0" w:color="auto"/>
              <w:right w:val="single" w:sz="8" w:space="0" w:color="auto"/>
            </w:tcBorders>
            <w:shd w:val="clear" w:color="auto" w:fill="auto"/>
            <w:vAlign w:val="center"/>
            <w:hideMark/>
          </w:tcPr>
          <w:p w14:paraId="0B4A4082" w14:textId="656A49E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3A9970A7" w14:textId="2AC8C58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2B837DB4" w14:textId="4E750B3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6E7A1D5B" w14:textId="407144A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5DC52A63" w14:textId="6BEB79F9" w:rsidR="008F3117" w:rsidRPr="00005453" w:rsidRDefault="008F3117" w:rsidP="008F3117">
            <w:pPr>
              <w:ind w:firstLineChars="100" w:firstLine="120"/>
              <w:jc w:val="right"/>
              <w:rPr>
                <w:color w:val="000000"/>
                <w:sz w:val="12"/>
                <w:szCs w:val="12"/>
              </w:rPr>
            </w:pPr>
            <w:r w:rsidRPr="00005453">
              <w:rPr>
                <w:color w:val="000000"/>
                <w:sz w:val="12"/>
                <w:szCs w:val="22"/>
              </w:rPr>
              <w:t>-</w:t>
            </w:r>
          </w:p>
        </w:tc>
      </w:tr>
      <w:tr w:rsidR="008F3117" w:rsidRPr="00005453" w14:paraId="206A96B9"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7742CF5" w14:textId="77777777" w:rsidR="008F3117" w:rsidRPr="00005453" w:rsidRDefault="008F3117" w:rsidP="008F3117">
            <w:pPr>
              <w:rPr>
                <w:color w:val="000000"/>
                <w:sz w:val="12"/>
                <w:szCs w:val="12"/>
                <w:lang w:eastAsia="tr-TR"/>
              </w:rPr>
            </w:pPr>
            <w:r w:rsidRPr="00005453">
              <w:rPr>
                <w:color w:val="000000"/>
                <w:sz w:val="12"/>
                <w:szCs w:val="12"/>
                <w:lang w:val="en-US" w:eastAsia="tr-TR"/>
              </w:rPr>
              <w:t>Sermaye Benzeri Borçlanma Araçları</w:t>
            </w:r>
          </w:p>
        </w:tc>
        <w:tc>
          <w:tcPr>
            <w:tcW w:w="917" w:type="dxa"/>
            <w:tcBorders>
              <w:top w:val="nil"/>
              <w:left w:val="nil"/>
              <w:bottom w:val="single" w:sz="8" w:space="0" w:color="auto"/>
              <w:right w:val="single" w:sz="8" w:space="0" w:color="auto"/>
            </w:tcBorders>
            <w:shd w:val="clear" w:color="auto" w:fill="auto"/>
            <w:vAlign w:val="center"/>
            <w:hideMark/>
          </w:tcPr>
          <w:p w14:paraId="5EED6FC5" w14:textId="4EFFFC17" w:rsidR="008F3117" w:rsidRPr="00005453" w:rsidRDefault="008F3117" w:rsidP="008F3117">
            <w:pPr>
              <w:ind w:firstLineChars="100" w:firstLine="120"/>
              <w:jc w:val="right"/>
              <w:rPr>
                <w:color w:val="000000"/>
                <w:sz w:val="12"/>
                <w:szCs w:val="12"/>
              </w:rPr>
            </w:pPr>
            <w:r w:rsidRPr="00005453">
              <w:rPr>
                <w:color w:val="000000"/>
                <w:sz w:val="12"/>
                <w:szCs w:val="22"/>
              </w:rPr>
              <w:t>14,186,285</w:t>
            </w:r>
          </w:p>
        </w:tc>
        <w:tc>
          <w:tcPr>
            <w:tcW w:w="1576" w:type="dxa"/>
            <w:tcBorders>
              <w:top w:val="nil"/>
              <w:left w:val="nil"/>
              <w:bottom w:val="single" w:sz="8" w:space="0" w:color="auto"/>
              <w:right w:val="single" w:sz="8" w:space="0" w:color="auto"/>
            </w:tcBorders>
            <w:shd w:val="clear" w:color="auto" w:fill="auto"/>
            <w:vAlign w:val="center"/>
            <w:hideMark/>
          </w:tcPr>
          <w:p w14:paraId="55E5BE51" w14:textId="63F4A076" w:rsidR="008F3117" w:rsidRPr="00005453" w:rsidRDefault="008F3117" w:rsidP="008F3117">
            <w:pPr>
              <w:ind w:firstLineChars="100" w:firstLine="120"/>
              <w:jc w:val="right"/>
              <w:rPr>
                <w:color w:val="000000"/>
                <w:sz w:val="12"/>
                <w:szCs w:val="12"/>
              </w:rPr>
            </w:pPr>
            <w:r w:rsidRPr="00005453">
              <w:rPr>
                <w:color w:val="000000"/>
                <w:sz w:val="12"/>
                <w:szCs w:val="22"/>
              </w:rPr>
              <w:t>14,186,285</w:t>
            </w:r>
          </w:p>
        </w:tc>
        <w:tc>
          <w:tcPr>
            <w:tcW w:w="1604" w:type="dxa"/>
            <w:tcBorders>
              <w:top w:val="nil"/>
              <w:left w:val="nil"/>
              <w:bottom w:val="single" w:sz="8" w:space="0" w:color="auto"/>
              <w:right w:val="single" w:sz="8" w:space="0" w:color="auto"/>
            </w:tcBorders>
            <w:shd w:val="clear" w:color="auto" w:fill="auto"/>
            <w:vAlign w:val="center"/>
            <w:hideMark/>
          </w:tcPr>
          <w:p w14:paraId="69C31CE3" w14:textId="779A6022"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7D382D24" w14:textId="1DE7B8F7"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6F28C7DE" w14:textId="32E7B7FF"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0A88915A" w14:textId="22666C65"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343CED5B" w14:textId="4AB04691" w:rsidR="008F3117" w:rsidRPr="00005453" w:rsidRDefault="008F3117" w:rsidP="008F3117">
            <w:pPr>
              <w:ind w:firstLineChars="100" w:firstLine="120"/>
              <w:jc w:val="right"/>
              <w:rPr>
                <w:color w:val="000000"/>
                <w:sz w:val="12"/>
                <w:szCs w:val="12"/>
              </w:rPr>
            </w:pPr>
            <w:r w:rsidRPr="00005453">
              <w:rPr>
                <w:color w:val="000000"/>
                <w:sz w:val="12"/>
                <w:szCs w:val="22"/>
              </w:rPr>
              <w:t>14,186,285</w:t>
            </w:r>
          </w:p>
        </w:tc>
      </w:tr>
      <w:tr w:rsidR="008F3117" w:rsidRPr="00005453" w14:paraId="19A4FA75"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42508CE" w14:textId="77777777" w:rsidR="008F3117" w:rsidRPr="00005453" w:rsidRDefault="008F3117" w:rsidP="008F3117">
            <w:pPr>
              <w:rPr>
                <w:color w:val="000000"/>
                <w:sz w:val="12"/>
                <w:szCs w:val="12"/>
                <w:lang w:eastAsia="tr-TR"/>
              </w:rPr>
            </w:pPr>
            <w:r w:rsidRPr="00005453">
              <w:rPr>
                <w:color w:val="000000"/>
                <w:sz w:val="12"/>
                <w:szCs w:val="12"/>
                <w:lang w:val="en-US" w:eastAsia="tr-TR"/>
              </w:rPr>
              <w:t>Diğer Yükümlülükler</w:t>
            </w:r>
          </w:p>
        </w:tc>
        <w:tc>
          <w:tcPr>
            <w:tcW w:w="917" w:type="dxa"/>
            <w:tcBorders>
              <w:top w:val="nil"/>
              <w:left w:val="nil"/>
              <w:bottom w:val="single" w:sz="8" w:space="0" w:color="auto"/>
              <w:right w:val="single" w:sz="8" w:space="0" w:color="auto"/>
            </w:tcBorders>
            <w:shd w:val="clear" w:color="auto" w:fill="auto"/>
            <w:vAlign w:val="center"/>
            <w:hideMark/>
          </w:tcPr>
          <w:p w14:paraId="0BCF9943" w14:textId="65DD9E43" w:rsidR="008F3117" w:rsidRPr="00005453" w:rsidRDefault="008F3117" w:rsidP="008F3117">
            <w:pPr>
              <w:ind w:firstLineChars="100" w:firstLine="120"/>
              <w:jc w:val="right"/>
              <w:rPr>
                <w:color w:val="000000"/>
                <w:sz w:val="12"/>
                <w:szCs w:val="12"/>
              </w:rPr>
            </w:pPr>
            <w:r w:rsidRPr="00005453">
              <w:rPr>
                <w:color w:val="000000"/>
                <w:sz w:val="12"/>
                <w:szCs w:val="22"/>
              </w:rPr>
              <w:t>13,068,92</w:t>
            </w:r>
            <w:r w:rsidR="00335DF8" w:rsidRPr="00005453">
              <w:rPr>
                <w:color w:val="000000"/>
                <w:sz w:val="12"/>
                <w:szCs w:val="22"/>
              </w:rPr>
              <w:t>9</w:t>
            </w:r>
          </w:p>
        </w:tc>
        <w:tc>
          <w:tcPr>
            <w:tcW w:w="1576" w:type="dxa"/>
            <w:tcBorders>
              <w:top w:val="nil"/>
              <w:left w:val="nil"/>
              <w:bottom w:val="single" w:sz="8" w:space="0" w:color="auto"/>
              <w:right w:val="single" w:sz="8" w:space="0" w:color="auto"/>
            </w:tcBorders>
            <w:shd w:val="clear" w:color="auto" w:fill="auto"/>
            <w:vAlign w:val="center"/>
            <w:hideMark/>
          </w:tcPr>
          <w:p w14:paraId="36374B53" w14:textId="01799335" w:rsidR="008F3117" w:rsidRPr="00005453" w:rsidRDefault="008F3117" w:rsidP="008F3117">
            <w:pPr>
              <w:ind w:firstLineChars="100" w:firstLine="120"/>
              <w:jc w:val="right"/>
              <w:rPr>
                <w:color w:val="000000"/>
                <w:sz w:val="12"/>
                <w:szCs w:val="12"/>
              </w:rPr>
            </w:pPr>
            <w:r w:rsidRPr="00005453">
              <w:rPr>
                <w:color w:val="000000"/>
                <w:sz w:val="12"/>
                <w:szCs w:val="22"/>
              </w:rPr>
              <w:t>13,068,92</w:t>
            </w:r>
            <w:r w:rsidR="00DF3531" w:rsidRPr="00005453">
              <w:rPr>
                <w:color w:val="000000"/>
                <w:sz w:val="12"/>
                <w:szCs w:val="22"/>
              </w:rPr>
              <w:t>9</w:t>
            </w:r>
          </w:p>
        </w:tc>
        <w:tc>
          <w:tcPr>
            <w:tcW w:w="1604" w:type="dxa"/>
            <w:tcBorders>
              <w:top w:val="nil"/>
              <w:left w:val="nil"/>
              <w:bottom w:val="single" w:sz="8" w:space="0" w:color="auto"/>
              <w:right w:val="single" w:sz="8" w:space="0" w:color="auto"/>
            </w:tcBorders>
            <w:shd w:val="clear" w:color="auto" w:fill="auto"/>
            <w:vAlign w:val="center"/>
            <w:hideMark/>
          </w:tcPr>
          <w:p w14:paraId="02517A89" w14:textId="7B890FEE"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0AD682E9" w14:textId="16244479"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6268CD68" w14:textId="6CBEE2F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699CF86B" w14:textId="40068328"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45F31622" w14:textId="0C2274D8" w:rsidR="008F3117" w:rsidRPr="00005453" w:rsidRDefault="008F3117" w:rsidP="008F3117">
            <w:pPr>
              <w:ind w:firstLineChars="100" w:firstLine="120"/>
              <w:jc w:val="right"/>
              <w:rPr>
                <w:color w:val="000000"/>
                <w:sz w:val="12"/>
                <w:szCs w:val="12"/>
              </w:rPr>
            </w:pPr>
            <w:r w:rsidRPr="00005453">
              <w:rPr>
                <w:color w:val="000000"/>
                <w:sz w:val="12"/>
                <w:szCs w:val="22"/>
              </w:rPr>
              <w:t>13,068,929</w:t>
            </w:r>
          </w:p>
        </w:tc>
      </w:tr>
      <w:tr w:rsidR="008F3117" w:rsidRPr="00005453" w14:paraId="7B2664B6"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92927C1" w14:textId="77777777" w:rsidR="008F3117" w:rsidRPr="00005453" w:rsidRDefault="008F3117" w:rsidP="008F3117">
            <w:pPr>
              <w:rPr>
                <w:color w:val="000000"/>
                <w:sz w:val="12"/>
                <w:szCs w:val="12"/>
                <w:lang w:eastAsia="tr-TR"/>
              </w:rPr>
            </w:pPr>
            <w:r w:rsidRPr="00005453">
              <w:rPr>
                <w:color w:val="000000"/>
                <w:sz w:val="12"/>
                <w:szCs w:val="12"/>
                <w:lang w:val="en-US" w:eastAsia="tr-TR"/>
              </w:rPr>
              <w:t>Özkaynaklar</w:t>
            </w:r>
          </w:p>
        </w:tc>
        <w:tc>
          <w:tcPr>
            <w:tcW w:w="917" w:type="dxa"/>
            <w:tcBorders>
              <w:top w:val="nil"/>
              <w:left w:val="nil"/>
              <w:bottom w:val="single" w:sz="8" w:space="0" w:color="auto"/>
              <w:right w:val="single" w:sz="8" w:space="0" w:color="auto"/>
            </w:tcBorders>
            <w:shd w:val="clear" w:color="auto" w:fill="auto"/>
            <w:vAlign w:val="center"/>
            <w:hideMark/>
          </w:tcPr>
          <w:p w14:paraId="6AE6FB5D" w14:textId="2F9901A3" w:rsidR="008F3117" w:rsidRPr="00005453" w:rsidRDefault="008F3117" w:rsidP="008F3117">
            <w:pPr>
              <w:ind w:firstLineChars="100" w:firstLine="120"/>
              <w:jc w:val="right"/>
              <w:rPr>
                <w:color w:val="000000"/>
                <w:sz w:val="12"/>
                <w:szCs w:val="12"/>
              </w:rPr>
            </w:pPr>
            <w:r w:rsidRPr="00005453">
              <w:rPr>
                <w:color w:val="000000"/>
                <w:sz w:val="12"/>
                <w:szCs w:val="22"/>
              </w:rPr>
              <w:t>82,227,494</w:t>
            </w:r>
          </w:p>
        </w:tc>
        <w:tc>
          <w:tcPr>
            <w:tcW w:w="1576" w:type="dxa"/>
            <w:tcBorders>
              <w:top w:val="nil"/>
              <w:left w:val="nil"/>
              <w:bottom w:val="single" w:sz="8" w:space="0" w:color="auto"/>
              <w:right w:val="single" w:sz="8" w:space="0" w:color="auto"/>
            </w:tcBorders>
            <w:shd w:val="clear" w:color="auto" w:fill="auto"/>
            <w:vAlign w:val="center"/>
            <w:hideMark/>
          </w:tcPr>
          <w:p w14:paraId="3A462056" w14:textId="11A11A2E" w:rsidR="008F3117" w:rsidRPr="00005453" w:rsidRDefault="008F3117" w:rsidP="008F3117">
            <w:pPr>
              <w:ind w:firstLineChars="100" w:firstLine="120"/>
              <w:jc w:val="right"/>
              <w:rPr>
                <w:color w:val="000000"/>
                <w:sz w:val="12"/>
                <w:szCs w:val="12"/>
              </w:rPr>
            </w:pPr>
            <w:r w:rsidRPr="00005453">
              <w:rPr>
                <w:color w:val="000000"/>
                <w:sz w:val="12"/>
                <w:szCs w:val="22"/>
              </w:rPr>
              <w:t>82,227,494</w:t>
            </w:r>
          </w:p>
        </w:tc>
        <w:tc>
          <w:tcPr>
            <w:tcW w:w="1604" w:type="dxa"/>
            <w:tcBorders>
              <w:top w:val="nil"/>
              <w:left w:val="nil"/>
              <w:bottom w:val="single" w:sz="8" w:space="0" w:color="auto"/>
              <w:right w:val="single" w:sz="8" w:space="0" w:color="auto"/>
            </w:tcBorders>
            <w:shd w:val="clear" w:color="auto" w:fill="auto"/>
            <w:vAlign w:val="center"/>
            <w:hideMark/>
          </w:tcPr>
          <w:p w14:paraId="2F535F55" w14:textId="0612F4E4"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2C7CFC6C" w14:textId="3FA2B5CD"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648" w:type="dxa"/>
            <w:tcBorders>
              <w:top w:val="nil"/>
              <w:left w:val="nil"/>
              <w:bottom w:val="single" w:sz="8" w:space="0" w:color="auto"/>
              <w:right w:val="single" w:sz="8" w:space="0" w:color="auto"/>
            </w:tcBorders>
            <w:shd w:val="clear" w:color="auto" w:fill="auto"/>
            <w:vAlign w:val="center"/>
            <w:hideMark/>
          </w:tcPr>
          <w:p w14:paraId="51EC8C15" w14:textId="1202C0DC"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7AC6DB17" w14:textId="2F4B6ABA" w:rsidR="008F3117" w:rsidRPr="00005453" w:rsidRDefault="008F3117" w:rsidP="008F3117">
            <w:pPr>
              <w:ind w:firstLineChars="100" w:firstLine="120"/>
              <w:jc w:val="right"/>
              <w:rPr>
                <w:color w:val="000000"/>
                <w:sz w:val="12"/>
                <w:szCs w:val="12"/>
              </w:rPr>
            </w:pPr>
            <w:r w:rsidRPr="00005453">
              <w:rPr>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39CFFCEA" w14:textId="671E5C1C" w:rsidR="008F3117" w:rsidRPr="00005453" w:rsidRDefault="008F3117" w:rsidP="008F3117">
            <w:pPr>
              <w:ind w:firstLineChars="100" w:firstLine="120"/>
              <w:jc w:val="right"/>
              <w:rPr>
                <w:color w:val="000000"/>
                <w:sz w:val="12"/>
                <w:szCs w:val="12"/>
              </w:rPr>
            </w:pPr>
            <w:r w:rsidRPr="00005453">
              <w:rPr>
                <w:color w:val="000000"/>
                <w:sz w:val="12"/>
                <w:szCs w:val="22"/>
              </w:rPr>
              <w:t>82,227,494</w:t>
            </w:r>
          </w:p>
        </w:tc>
      </w:tr>
      <w:tr w:rsidR="008F3117" w:rsidRPr="00005453" w14:paraId="69017215" w14:textId="77777777" w:rsidTr="008F3117">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AF293CE" w14:textId="77777777" w:rsidR="008F3117" w:rsidRPr="00005453" w:rsidRDefault="008F3117" w:rsidP="008F3117">
            <w:pPr>
              <w:rPr>
                <w:b/>
                <w:bCs/>
                <w:color w:val="000000"/>
                <w:sz w:val="12"/>
                <w:szCs w:val="12"/>
                <w:lang w:eastAsia="tr-TR"/>
              </w:rPr>
            </w:pPr>
            <w:r w:rsidRPr="00005453">
              <w:rPr>
                <w:b/>
                <w:bCs/>
                <w:color w:val="000000"/>
                <w:sz w:val="12"/>
                <w:szCs w:val="12"/>
                <w:lang w:val="en-US" w:eastAsia="tr-TR"/>
              </w:rPr>
              <w:t>Toplam yükümlülükler</w:t>
            </w:r>
          </w:p>
        </w:tc>
        <w:tc>
          <w:tcPr>
            <w:tcW w:w="917" w:type="dxa"/>
            <w:tcBorders>
              <w:top w:val="nil"/>
              <w:left w:val="nil"/>
              <w:bottom w:val="single" w:sz="8" w:space="0" w:color="auto"/>
              <w:right w:val="single" w:sz="8" w:space="0" w:color="auto"/>
            </w:tcBorders>
            <w:shd w:val="clear" w:color="auto" w:fill="auto"/>
            <w:vAlign w:val="center"/>
            <w:hideMark/>
          </w:tcPr>
          <w:p w14:paraId="171CF8B7" w14:textId="56982DB4" w:rsidR="008F3117" w:rsidRPr="00005453" w:rsidRDefault="008F3117" w:rsidP="008F3117">
            <w:pPr>
              <w:ind w:firstLineChars="100" w:firstLine="120"/>
              <w:jc w:val="right"/>
              <w:rPr>
                <w:b/>
                <w:color w:val="000000"/>
                <w:sz w:val="12"/>
                <w:szCs w:val="12"/>
              </w:rPr>
            </w:pPr>
            <w:r w:rsidRPr="00005453">
              <w:rPr>
                <w:b/>
                <w:bCs/>
                <w:color w:val="000000"/>
                <w:sz w:val="12"/>
                <w:szCs w:val="22"/>
              </w:rPr>
              <w:t>852,120,40</w:t>
            </w:r>
            <w:r w:rsidR="00335DF8" w:rsidRPr="00005453">
              <w:rPr>
                <w:b/>
                <w:bCs/>
                <w:color w:val="000000"/>
                <w:sz w:val="12"/>
                <w:szCs w:val="22"/>
              </w:rPr>
              <w:t>3</w:t>
            </w:r>
          </w:p>
        </w:tc>
        <w:tc>
          <w:tcPr>
            <w:tcW w:w="1576" w:type="dxa"/>
            <w:tcBorders>
              <w:top w:val="nil"/>
              <w:left w:val="nil"/>
              <w:bottom w:val="single" w:sz="8" w:space="0" w:color="auto"/>
              <w:right w:val="single" w:sz="8" w:space="0" w:color="auto"/>
            </w:tcBorders>
            <w:shd w:val="clear" w:color="auto" w:fill="auto"/>
            <w:vAlign w:val="center"/>
            <w:hideMark/>
          </w:tcPr>
          <w:p w14:paraId="4D7E44C5" w14:textId="4EAD186A" w:rsidR="008F3117" w:rsidRPr="00005453" w:rsidRDefault="008F3117" w:rsidP="008F3117">
            <w:pPr>
              <w:ind w:firstLineChars="100" w:firstLine="120"/>
              <w:jc w:val="right"/>
              <w:rPr>
                <w:b/>
                <w:color w:val="000000"/>
                <w:sz w:val="12"/>
                <w:szCs w:val="12"/>
              </w:rPr>
            </w:pPr>
            <w:r w:rsidRPr="00005453">
              <w:rPr>
                <w:b/>
                <w:bCs/>
                <w:color w:val="000000"/>
                <w:sz w:val="12"/>
                <w:szCs w:val="22"/>
              </w:rPr>
              <w:t>852,120,40</w:t>
            </w:r>
            <w:r w:rsidR="00335DF8" w:rsidRPr="00005453">
              <w:rPr>
                <w:b/>
                <w:bCs/>
                <w:color w:val="000000"/>
                <w:sz w:val="12"/>
                <w:szCs w:val="22"/>
              </w:rPr>
              <w:t>3</w:t>
            </w:r>
          </w:p>
        </w:tc>
        <w:tc>
          <w:tcPr>
            <w:tcW w:w="1604" w:type="dxa"/>
            <w:tcBorders>
              <w:top w:val="nil"/>
              <w:left w:val="nil"/>
              <w:bottom w:val="single" w:sz="8" w:space="0" w:color="auto"/>
              <w:right w:val="single" w:sz="8" w:space="0" w:color="auto"/>
            </w:tcBorders>
            <w:shd w:val="clear" w:color="auto" w:fill="auto"/>
            <w:vAlign w:val="center"/>
            <w:hideMark/>
          </w:tcPr>
          <w:p w14:paraId="00210D91" w14:textId="737D74EC" w:rsidR="008F3117" w:rsidRPr="00005453" w:rsidRDefault="008F3117" w:rsidP="008F3117">
            <w:pPr>
              <w:ind w:firstLineChars="100" w:firstLine="120"/>
              <w:jc w:val="right"/>
              <w:rPr>
                <w:b/>
                <w:color w:val="000000"/>
                <w:sz w:val="12"/>
                <w:szCs w:val="12"/>
              </w:rPr>
            </w:pPr>
            <w:r w:rsidRPr="00005453">
              <w:rPr>
                <w:b/>
                <w:bCs/>
                <w:color w:val="000000"/>
                <w:sz w:val="12"/>
                <w:szCs w:val="22"/>
              </w:rPr>
              <w:t>-</w:t>
            </w:r>
          </w:p>
        </w:tc>
        <w:tc>
          <w:tcPr>
            <w:tcW w:w="1782" w:type="dxa"/>
            <w:tcBorders>
              <w:top w:val="nil"/>
              <w:left w:val="nil"/>
              <w:bottom w:val="single" w:sz="8" w:space="0" w:color="auto"/>
              <w:right w:val="single" w:sz="8" w:space="0" w:color="auto"/>
            </w:tcBorders>
            <w:shd w:val="clear" w:color="auto" w:fill="auto"/>
            <w:vAlign w:val="center"/>
            <w:hideMark/>
          </w:tcPr>
          <w:p w14:paraId="0F12188B" w14:textId="00A39226" w:rsidR="008F3117" w:rsidRPr="00005453" w:rsidRDefault="008F3117" w:rsidP="008F3117">
            <w:pPr>
              <w:ind w:firstLineChars="100" w:firstLine="120"/>
              <w:jc w:val="right"/>
              <w:rPr>
                <w:b/>
                <w:color w:val="000000"/>
                <w:sz w:val="12"/>
                <w:szCs w:val="12"/>
              </w:rPr>
            </w:pPr>
            <w:r w:rsidRPr="00005453">
              <w:rPr>
                <w:b/>
                <w:bCs/>
                <w:color w:val="000000"/>
                <w:sz w:val="12"/>
                <w:szCs w:val="22"/>
              </w:rPr>
              <w:t>17,719,258</w:t>
            </w:r>
          </w:p>
        </w:tc>
        <w:tc>
          <w:tcPr>
            <w:tcW w:w="1648" w:type="dxa"/>
            <w:tcBorders>
              <w:top w:val="nil"/>
              <w:left w:val="nil"/>
              <w:bottom w:val="single" w:sz="8" w:space="0" w:color="auto"/>
              <w:right w:val="single" w:sz="8" w:space="0" w:color="auto"/>
            </w:tcBorders>
            <w:shd w:val="clear" w:color="auto" w:fill="auto"/>
            <w:vAlign w:val="center"/>
            <w:hideMark/>
          </w:tcPr>
          <w:p w14:paraId="44444E0F" w14:textId="5E188206" w:rsidR="008F3117" w:rsidRPr="00005453" w:rsidRDefault="008F3117" w:rsidP="008F3117">
            <w:pPr>
              <w:ind w:firstLineChars="100" w:firstLine="120"/>
              <w:jc w:val="right"/>
              <w:rPr>
                <w:b/>
                <w:color w:val="000000"/>
                <w:sz w:val="12"/>
                <w:szCs w:val="12"/>
              </w:rPr>
            </w:pPr>
            <w:r w:rsidRPr="00005453">
              <w:rPr>
                <w:b/>
                <w:bCs/>
                <w:color w:val="000000"/>
                <w:sz w:val="12"/>
                <w:szCs w:val="22"/>
              </w:rPr>
              <w:t>-</w:t>
            </w:r>
          </w:p>
        </w:tc>
        <w:tc>
          <w:tcPr>
            <w:tcW w:w="1438" w:type="dxa"/>
            <w:tcBorders>
              <w:top w:val="nil"/>
              <w:left w:val="nil"/>
              <w:bottom w:val="single" w:sz="8" w:space="0" w:color="auto"/>
              <w:right w:val="single" w:sz="8" w:space="0" w:color="auto"/>
            </w:tcBorders>
            <w:shd w:val="clear" w:color="auto" w:fill="auto"/>
            <w:vAlign w:val="center"/>
            <w:hideMark/>
          </w:tcPr>
          <w:p w14:paraId="0B737B30" w14:textId="7485E830" w:rsidR="008F3117" w:rsidRPr="00005453" w:rsidRDefault="008F3117" w:rsidP="008F3117">
            <w:pPr>
              <w:ind w:firstLineChars="100" w:firstLine="120"/>
              <w:jc w:val="right"/>
              <w:rPr>
                <w:b/>
                <w:color w:val="000000"/>
                <w:sz w:val="12"/>
                <w:szCs w:val="12"/>
              </w:rPr>
            </w:pPr>
            <w:r w:rsidRPr="00005453">
              <w:rPr>
                <w:b/>
                <w:bCs/>
                <w:color w:val="000000"/>
                <w:sz w:val="12"/>
                <w:szCs w:val="22"/>
              </w:rPr>
              <w:t>-</w:t>
            </w:r>
          </w:p>
        </w:tc>
        <w:tc>
          <w:tcPr>
            <w:tcW w:w="1580" w:type="dxa"/>
            <w:tcBorders>
              <w:top w:val="nil"/>
              <w:left w:val="nil"/>
              <w:bottom w:val="single" w:sz="8" w:space="0" w:color="auto"/>
              <w:right w:val="single" w:sz="8" w:space="0" w:color="auto"/>
            </w:tcBorders>
            <w:shd w:val="clear" w:color="auto" w:fill="auto"/>
            <w:vAlign w:val="center"/>
            <w:hideMark/>
          </w:tcPr>
          <w:p w14:paraId="68498F0A" w14:textId="61FE5C64" w:rsidR="008F3117" w:rsidRPr="00005453" w:rsidRDefault="008F3117" w:rsidP="008F3117">
            <w:pPr>
              <w:ind w:firstLineChars="100" w:firstLine="120"/>
              <w:jc w:val="right"/>
              <w:rPr>
                <w:b/>
                <w:color w:val="000000"/>
                <w:sz w:val="12"/>
                <w:szCs w:val="12"/>
              </w:rPr>
            </w:pPr>
            <w:r w:rsidRPr="00005453">
              <w:rPr>
                <w:b/>
                <w:bCs/>
                <w:color w:val="000000"/>
                <w:sz w:val="12"/>
                <w:szCs w:val="22"/>
              </w:rPr>
              <w:t>834,401,145</w:t>
            </w:r>
          </w:p>
        </w:tc>
      </w:tr>
      <w:bookmarkEnd w:id="53"/>
    </w:tbl>
    <w:p w14:paraId="65AA41D4" w14:textId="1F5D9400" w:rsidR="00557BAB" w:rsidRPr="00005453" w:rsidRDefault="00557BAB">
      <w:pPr>
        <w:rPr>
          <w:b/>
          <w:color w:val="000000"/>
          <w:sz w:val="16"/>
          <w:szCs w:val="16"/>
        </w:rPr>
      </w:pPr>
      <w:r w:rsidRPr="00005453">
        <w:rPr>
          <w:b/>
          <w:color w:val="000000"/>
          <w:sz w:val="16"/>
          <w:szCs w:val="16"/>
        </w:rPr>
        <w:br w:type="page"/>
      </w:r>
    </w:p>
    <w:p w14:paraId="35065F59" w14:textId="77777777" w:rsidR="00557BAB" w:rsidRPr="00005453" w:rsidRDefault="00557BAB">
      <w:pPr>
        <w:rPr>
          <w:b/>
          <w:color w:val="000000"/>
          <w:sz w:val="16"/>
          <w:szCs w:val="16"/>
        </w:rPr>
        <w:sectPr w:rsidR="00557BAB" w:rsidRPr="00005453" w:rsidSect="00C25473">
          <w:pgSz w:w="16838" w:h="11906" w:orient="landscape"/>
          <w:pgMar w:top="1440" w:right="737" w:bottom="992" w:left="992" w:header="709" w:footer="709" w:gutter="0"/>
          <w:cols w:space="708"/>
          <w:docGrid w:linePitch="360"/>
        </w:sectPr>
      </w:pPr>
    </w:p>
    <w:p w14:paraId="47FDF630" w14:textId="2F028120" w:rsidR="00C25473" w:rsidRPr="00005453" w:rsidRDefault="007A1089" w:rsidP="00C25473">
      <w:pPr>
        <w:ind w:hanging="567"/>
        <w:jc w:val="both"/>
        <w:rPr>
          <w:b/>
          <w:color w:val="000000"/>
          <w:spacing w:val="-2"/>
        </w:rPr>
      </w:pPr>
      <w:bookmarkStart w:id="54" w:name="_Hlk125292399"/>
      <w:r w:rsidRPr="00005453">
        <w:rPr>
          <w:b/>
          <w:color w:val="000000"/>
        </w:rPr>
        <w:lastRenderedPageBreak/>
        <w:t>10</w:t>
      </w:r>
      <w:r w:rsidRPr="00005453">
        <w:rPr>
          <w:b/>
          <w:color w:val="000000"/>
          <w:spacing w:val="-2"/>
        </w:rPr>
        <w:t>.1.4</w:t>
      </w:r>
      <w:r w:rsidR="00C25473" w:rsidRPr="00005453">
        <w:rPr>
          <w:b/>
          <w:color w:val="000000"/>
          <w:spacing w:val="-2"/>
        </w:rPr>
        <w:t xml:space="preserve"> </w:t>
      </w:r>
      <w:r w:rsidR="00C25473" w:rsidRPr="00005453">
        <w:rPr>
          <w:b/>
          <w:color w:val="000000"/>
          <w:spacing w:val="-2"/>
        </w:rPr>
        <w:tab/>
        <w:t>Risk tutarları ile finansal tablolardaki TMS uyarınca değerlenmiş tutarlar arasındaki farkların ana kaynakları</w:t>
      </w:r>
    </w:p>
    <w:p w14:paraId="2334C4F5" w14:textId="2FB3CA1D" w:rsidR="002C5FB0" w:rsidRPr="00005453" w:rsidRDefault="002C5FB0" w:rsidP="00C25473">
      <w:pPr>
        <w:pStyle w:val="BodyText"/>
        <w:tabs>
          <w:tab w:val="left" w:pos="709"/>
        </w:tabs>
        <w:rPr>
          <w:lang w:eastAsia="en-GB"/>
        </w:rPr>
      </w:pPr>
    </w:p>
    <w:tbl>
      <w:tblPr>
        <w:tblW w:w="9675" w:type="dxa"/>
        <w:tblCellMar>
          <w:left w:w="70" w:type="dxa"/>
          <w:right w:w="70" w:type="dxa"/>
        </w:tblCellMar>
        <w:tblLook w:val="04A0" w:firstRow="1" w:lastRow="0" w:firstColumn="1" w:lastColumn="0" w:noHBand="0" w:noVBand="1"/>
      </w:tblPr>
      <w:tblGrid>
        <w:gridCol w:w="4164"/>
        <w:gridCol w:w="1060"/>
        <w:gridCol w:w="1047"/>
        <w:gridCol w:w="1198"/>
        <w:gridCol w:w="1193"/>
        <w:gridCol w:w="1033"/>
      </w:tblGrid>
      <w:tr w:rsidR="002C5FB0" w:rsidRPr="00005453" w14:paraId="5BB9A984" w14:textId="77777777" w:rsidTr="00146E86">
        <w:trPr>
          <w:divId w:val="493764525"/>
          <w:trHeight w:val="180"/>
        </w:trPr>
        <w:tc>
          <w:tcPr>
            <w:tcW w:w="41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48C847" w14:textId="2C5064B9" w:rsidR="002C5FB0" w:rsidRPr="00005453" w:rsidRDefault="002C5FB0" w:rsidP="002C5FB0">
            <w:pPr>
              <w:rPr>
                <w:color w:val="000000"/>
                <w:sz w:val="16"/>
                <w:szCs w:val="16"/>
                <w:lang w:eastAsia="tr-TR"/>
              </w:rPr>
            </w:pPr>
            <w:r w:rsidRPr="00005453">
              <w:rPr>
                <w:color w:val="000000"/>
                <w:sz w:val="16"/>
                <w:szCs w:val="16"/>
                <w:lang w:eastAsia="tr-TR"/>
              </w:rPr>
              <w:t> </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14:paraId="7B383B35" w14:textId="77777777" w:rsidR="002C5FB0" w:rsidRPr="00005453" w:rsidRDefault="002C5FB0" w:rsidP="00F26D69">
            <w:pPr>
              <w:jc w:val="right"/>
              <w:rPr>
                <w:b/>
                <w:bCs/>
                <w:color w:val="000000"/>
                <w:sz w:val="16"/>
                <w:szCs w:val="16"/>
                <w:lang w:eastAsia="tr-TR"/>
              </w:rPr>
            </w:pPr>
            <w:r w:rsidRPr="00005453">
              <w:rPr>
                <w:b/>
                <w:bCs/>
                <w:color w:val="000000"/>
                <w:sz w:val="16"/>
                <w:szCs w:val="16"/>
                <w:lang w:eastAsia="tr-TR"/>
              </w:rPr>
              <w:t>Toplam</w:t>
            </w:r>
          </w:p>
        </w:tc>
        <w:tc>
          <w:tcPr>
            <w:tcW w:w="1047" w:type="dxa"/>
            <w:tcBorders>
              <w:top w:val="single" w:sz="8" w:space="0" w:color="auto"/>
              <w:left w:val="nil"/>
              <w:bottom w:val="single" w:sz="8" w:space="0" w:color="auto"/>
              <w:right w:val="single" w:sz="8" w:space="0" w:color="auto"/>
            </w:tcBorders>
            <w:shd w:val="clear" w:color="auto" w:fill="auto"/>
            <w:vAlign w:val="center"/>
            <w:hideMark/>
          </w:tcPr>
          <w:p w14:paraId="37446447" w14:textId="77777777" w:rsidR="002C5FB0" w:rsidRPr="00005453" w:rsidRDefault="002C5FB0" w:rsidP="00F26D69">
            <w:pPr>
              <w:jc w:val="right"/>
              <w:rPr>
                <w:b/>
                <w:bCs/>
                <w:color w:val="000000"/>
                <w:sz w:val="16"/>
                <w:szCs w:val="16"/>
                <w:lang w:eastAsia="tr-TR"/>
              </w:rPr>
            </w:pPr>
            <w:r w:rsidRPr="00005453">
              <w:rPr>
                <w:b/>
                <w:bCs/>
                <w:color w:val="000000"/>
                <w:sz w:val="16"/>
                <w:szCs w:val="16"/>
                <w:lang w:eastAsia="tr-TR"/>
              </w:rPr>
              <w:t>Kredi Riskine Tabi</w:t>
            </w:r>
          </w:p>
        </w:tc>
        <w:tc>
          <w:tcPr>
            <w:tcW w:w="1198" w:type="dxa"/>
            <w:tcBorders>
              <w:top w:val="single" w:sz="8" w:space="0" w:color="auto"/>
              <w:left w:val="nil"/>
              <w:bottom w:val="single" w:sz="8" w:space="0" w:color="auto"/>
              <w:right w:val="single" w:sz="8" w:space="0" w:color="auto"/>
            </w:tcBorders>
            <w:shd w:val="clear" w:color="auto" w:fill="auto"/>
            <w:vAlign w:val="center"/>
            <w:hideMark/>
          </w:tcPr>
          <w:p w14:paraId="55C7D3BB" w14:textId="77777777" w:rsidR="002C5FB0" w:rsidRPr="00005453" w:rsidRDefault="002C5FB0" w:rsidP="00F26D69">
            <w:pPr>
              <w:jc w:val="right"/>
              <w:rPr>
                <w:b/>
                <w:bCs/>
                <w:color w:val="000000"/>
                <w:sz w:val="16"/>
                <w:szCs w:val="16"/>
                <w:lang w:eastAsia="tr-TR"/>
              </w:rPr>
            </w:pPr>
            <w:r w:rsidRPr="00005453">
              <w:rPr>
                <w:b/>
                <w:bCs/>
                <w:color w:val="000000"/>
                <w:sz w:val="16"/>
                <w:szCs w:val="16"/>
                <w:lang w:eastAsia="tr-TR"/>
              </w:rPr>
              <w:t>Menkul Kıymetleştirme Pozisyonları</w:t>
            </w:r>
          </w:p>
        </w:tc>
        <w:tc>
          <w:tcPr>
            <w:tcW w:w="1193" w:type="dxa"/>
            <w:tcBorders>
              <w:top w:val="single" w:sz="8" w:space="0" w:color="auto"/>
              <w:left w:val="nil"/>
              <w:bottom w:val="single" w:sz="8" w:space="0" w:color="auto"/>
              <w:right w:val="single" w:sz="8" w:space="0" w:color="auto"/>
            </w:tcBorders>
            <w:shd w:val="clear" w:color="auto" w:fill="auto"/>
            <w:vAlign w:val="center"/>
            <w:hideMark/>
          </w:tcPr>
          <w:p w14:paraId="6E1281E6" w14:textId="77777777" w:rsidR="002C5FB0" w:rsidRPr="00005453" w:rsidRDefault="002C5FB0" w:rsidP="00F26D69">
            <w:pPr>
              <w:jc w:val="right"/>
              <w:rPr>
                <w:b/>
                <w:bCs/>
                <w:color w:val="000000"/>
                <w:sz w:val="16"/>
                <w:szCs w:val="16"/>
                <w:lang w:eastAsia="tr-TR"/>
              </w:rPr>
            </w:pPr>
            <w:r w:rsidRPr="00005453">
              <w:rPr>
                <w:b/>
                <w:bCs/>
                <w:color w:val="000000"/>
                <w:sz w:val="16"/>
                <w:szCs w:val="16"/>
                <w:lang w:eastAsia="tr-TR"/>
              </w:rPr>
              <w:t>Karşı Taraf Kredi Riskine Tabi</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570E5402" w14:textId="77777777" w:rsidR="002C5FB0" w:rsidRPr="00005453" w:rsidRDefault="002C5FB0" w:rsidP="00F26D69">
            <w:pPr>
              <w:jc w:val="right"/>
              <w:rPr>
                <w:b/>
                <w:bCs/>
                <w:color w:val="000000"/>
                <w:sz w:val="16"/>
                <w:szCs w:val="16"/>
                <w:lang w:eastAsia="tr-TR"/>
              </w:rPr>
            </w:pPr>
            <w:r w:rsidRPr="00005453">
              <w:rPr>
                <w:b/>
                <w:bCs/>
                <w:color w:val="000000"/>
                <w:sz w:val="16"/>
                <w:szCs w:val="16"/>
                <w:lang w:eastAsia="tr-TR"/>
              </w:rPr>
              <w:t>Piyasa Riskine Tabi</w:t>
            </w:r>
          </w:p>
        </w:tc>
      </w:tr>
      <w:tr w:rsidR="00146E86" w:rsidRPr="00005453" w14:paraId="1C5F9CF4" w14:textId="77777777" w:rsidTr="00146E86">
        <w:trPr>
          <w:divId w:val="493764525"/>
          <w:trHeight w:val="299"/>
        </w:trPr>
        <w:tc>
          <w:tcPr>
            <w:tcW w:w="4164" w:type="dxa"/>
            <w:tcBorders>
              <w:top w:val="nil"/>
              <w:left w:val="single" w:sz="8" w:space="0" w:color="auto"/>
              <w:bottom w:val="single" w:sz="8" w:space="0" w:color="auto"/>
              <w:right w:val="single" w:sz="8" w:space="0" w:color="auto"/>
            </w:tcBorders>
            <w:shd w:val="clear" w:color="auto" w:fill="auto"/>
            <w:vAlign w:val="center"/>
            <w:hideMark/>
          </w:tcPr>
          <w:p w14:paraId="7CA91028" w14:textId="77777777" w:rsidR="00146E86" w:rsidRPr="00005453" w:rsidRDefault="00146E86" w:rsidP="00146E86">
            <w:pPr>
              <w:rPr>
                <w:color w:val="000000"/>
                <w:sz w:val="16"/>
                <w:szCs w:val="16"/>
                <w:lang w:eastAsia="tr-TR"/>
              </w:rPr>
            </w:pPr>
            <w:r w:rsidRPr="00005453">
              <w:rPr>
                <w:color w:val="000000"/>
                <w:sz w:val="16"/>
                <w:szCs w:val="16"/>
                <w:lang w:eastAsia="tr-TR"/>
              </w:rPr>
              <w:t>1- Yasal Konsolidasyon kapsamındaki varlıkların TMS uyarınca değerlenmiş tutarları (Şablon 1B'deki gibi)</w:t>
            </w:r>
          </w:p>
        </w:tc>
        <w:tc>
          <w:tcPr>
            <w:tcW w:w="1040" w:type="dxa"/>
            <w:tcBorders>
              <w:top w:val="nil"/>
              <w:left w:val="nil"/>
              <w:bottom w:val="single" w:sz="8" w:space="0" w:color="auto"/>
              <w:right w:val="single" w:sz="8" w:space="0" w:color="auto"/>
            </w:tcBorders>
            <w:shd w:val="clear" w:color="auto" w:fill="auto"/>
            <w:noWrap/>
            <w:vAlign w:val="center"/>
            <w:hideMark/>
          </w:tcPr>
          <w:p w14:paraId="7CDDBB40" w14:textId="2C134959" w:rsidR="00146E86" w:rsidRPr="00005453" w:rsidRDefault="00146E86" w:rsidP="00146E86">
            <w:pPr>
              <w:jc w:val="right"/>
              <w:rPr>
                <w:bCs/>
                <w:color w:val="000000"/>
                <w:sz w:val="16"/>
                <w:szCs w:val="16"/>
                <w:lang w:eastAsia="tr-TR"/>
              </w:rPr>
            </w:pPr>
            <w:r w:rsidRPr="00005453">
              <w:rPr>
                <w:color w:val="000000"/>
                <w:sz w:val="16"/>
                <w:szCs w:val="22"/>
              </w:rPr>
              <w:t>852,120,40</w:t>
            </w:r>
            <w:r w:rsidR="00CB60C2" w:rsidRPr="00005453">
              <w:rPr>
                <w:color w:val="000000"/>
                <w:sz w:val="16"/>
                <w:szCs w:val="22"/>
              </w:rPr>
              <w:t>3</w:t>
            </w:r>
          </w:p>
        </w:tc>
        <w:tc>
          <w:tcPr>
            <w:tcW w:w="1047" w:type="dxa"/>
            <w:tcBorders>
              <w:top w:val="nil"/>
              <w:left w:val="nil"/>
              <w:bottom w:val="single" w:sz="8" w:space="0" w:color="auto"/>
              <w:right w:val="single" w:sz="8" w:space="0" w:color="auto"/>
            </w:tcBorders>
            <w:shd w:val="clear" w:color="auto" w:fill="auto"/>
            <w:noWrap/>
            <w:vAlign w:val="center"/>
            <w:hideMark/>
          </w:tcPr>
          <w:p w14:paraId="616575AB" w14:textId="1B0F570B" w:rsidR="00146E86" w:rsidRPr="00005453" w:rsidRDefault="00146E86" w:rsidP="00146E86">
            <w:pPr>
              <w:jc w:val="right"/>
              <w:rPr>
                <w:bCs/>
                <w:color w:val="000000"/>
                <w:sz w:val="16"/>
                <w:szCs w:val="16"/>
                <w:lang w:eastAsia="tr-TR"/>
              </w:rPr>
            </w:pPr>
            <w:r w:rsidRPr="00005453">
              <w:rPr>
                <w:color w:val="000000"/>
                <w:sz w:val="16"/>
                <w:szCs w:val="22"/>
              </w:rPr>
              <w:t>828,104,659</w:t>
            </w:r>
          </w:p>
        </w:tc>
        <w:tc>
          <w:tcPr>
            <w:tcW w:w="1198" w:type="dxa"/>
            <w:tcBorders>
              <w:top w:val="nil"/>
              <w:left w:val="nil"/>
              <w:bottom w:val="single" w:sz="8" w:space="0" w:color="auto"/>
              <w:right w:val="single" w:sz="8" w:space="0" w:color="auto"/>
            </w:tcBorders>
            <w:shd w:val="clear" w:color="auto" w:fill="auto"/>
            <w:noWrap/>
            <w:vAlign w:val="center"/>
            <w:hideMark/>
          </w:tcPr>
          <w:p w14:paraId="0C5FFEDC" w14:textId="0E6F5980"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59C0FA50" w14:textId="22128936" w:rsidR="00146E86" w:rsidRPr="00005453" w:rsidRDefault="00146E86" w:rsidP="00146E86">
            <w:pPr>
              <w:jc w:val="right"/>
              <w:rPr>
                <w:bCs/>
                <w:color w:val="000000"/>
                <w:sz w:val="16"/>
                <w:szCs w:val="16"/>
                <w:lang w:eastAsia="tr-TR"/>
              </w:rPr>
            </w:pPr>
            <w:r w:rsidRPr="00005453">
              <w:rPr>
                <w:color w:val="000000"/>
                <w:sz w:val="16"/>
                <w:szCs w:val="22"/>
              </w:rPr>
              <w:t>1,115,386</w:t>
            </w:r>
          </w:p>
        </w:tc>
        <w:tc>
          <w:tcPr>
            <w:tcW w:w="1033" w:type="dxa"/>
            <w:tcBorders>
              <w:top w:val="nil"/>
              <w:left w:val="nil"/>
              <w:bottom w:val="single" w:sz="8" w:space="0" w:color="auto"/>
              <w:right w:val="single" w:sz="8" w:space="0" w:color="auto"/>
            </w:tcBorders>
            <w:shd w:val="clear" w:color="auto" w:fill="auto"/>
            <w:noWrap/>
            <w:vAlign w:val="center"/>
            <w:hideMark/>
          </w:tcPr>
          <w:p w14:paraId="5B4FB856" w14:textId="2FDA0A3A" w:rsidR="00146E86" w:rsidRPr="00005453" w:rsidRDefault="00146E86" w:rsidP="00146E86">
            <w:pPr>
              <w:jc w:val="right"/>
              <w:rPr>
                <w:bCs/>
                <w:color w:val="000000"/>
                <w:sz w:val="16"/>
                <w:szCs w:val="16"/>
                <w:lang w:eastAsia="tr-TR"/>
              </w:rPr>
            </w:pPr>
            <w:r w:rsidRPr="00005453">
              <w:rPr>
                <w:color w:val="000000"/>
                <w:sz w:val="16"/>
                <w:szCs w:val="22"/>
              </w:rPr>
              <w:t>32,340,339</w:t>
            </w:r>
          </w:p>
        </w:tc>
      </w:tr>
      <w:tr w:rsidR="00146E86" w:rsidRPr="00005453" w14:paraId="5DB6D00E" w14:textId="77777777" w:rsidTr="00146E86">
        <w:trPr>
          <w:divId w:val="493764525"/>
          <w:trHeight w:val="299"/>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1B14EAB9" w14:textId="77777777" w:rsidR="00146E86" w:rsidRPr="00005453" w:rsidRDefault="00146E86" w:rsidP="00146E86">
            <w:pPr>
              <w:rPr>
                <w:color w:val="000000"/>
                <w:sz w:val="16"/>
                <w:szCs w:val="16"/>
                <w:lang w:eastAsia="tr-TR"/>
              </w:rPr>
            </w:pPr>
            <w:r w:rsidRPr="00005453">
              <w:rPr>
                <w:color w:val="000000"/>
                <w:sz w:val="16"/>
                <w:szCs w:val="16"/>
                <w:lang w:eastAsia="tr-TR"/>
              </w:rPr>
              <w:t>2- Yasal Konsolidasyon kapsamındaki yükümlülüklerin TMS uyarınca değerlenmiş tutarları (Şablon 1B'deki gibi)</w:t>
            </w:r>
          </w:p>
        </w:tc>
        <w:tc>
          <w:tcPr>
            <w:tcW w:w="1040" w:type="dxa"/>
            <w:tcBorders>
              <w:top w:val="nil"/>
              <w:left w:val="nil"/>
              <w:bottom w:val="single" w:sz="8" w:space="0" w:color="auto"/>
              <w:right w:val="single" w:sz="8" w:space="0" w:color="auto"/>
            </w:tcBorders>
            <w:shd w:val="clear" w:color="auto" w:fill="auto"/>
            <w:noWrap/>
            <w:vAlign w:val="center"/>
            <w:hideMark/>
          </w:tcPr>
          <w:p w14:paraId="0C7D89E3" w14:textId="238BF56B" w:rsidR="00146E86" w:rsidRPr="00005453" w:rsidRDefault="00146E86" w:rsidP="00146E86">
            <w:pPr>
              <w:jc w:val="right"/>
              <w:rPr>
                <w:bCs/>
                <w:color w:val="000000"/>
                <w:sz w:val="16"/>
                <w:szCs w:val="16"/>
                <w:lang w:eastAsia="tr-TR"/>
              </w:rPr>
            </w:pPr>
            <w:r w:rsidRPr="00005453">
              <w:rPr>
                <w:color w:val="000000"/>
                <w:sz w:val="16"/>
                <w:szCs w:val="22"/>
              </w:rPr>
              <w:t>-</w:t>
            </w:r>
          </w:p>
        </w:tc>
        <w:tc>
          <w:tcPr>
            <w:tcW w:w="1047" w:type="dxa"/>
            <w:tcBorders>
              <w:top w:val="nil"/>
              <w:left w:val="nil"/>
              <w:bottom w:val="single" w:sz="8" w:space="0" w:color="auto"/>
              <w:right w:val="single" w:sz="8" w:space="0" w:color="auto"/>
            </w:tcBorders>
            <w:shd w:val="clear" w:color="auto" w:fill="auto"/>
            <w:noWrap/>
            <w:vAlign w:val="center"/>
            <w:hideMark/>
          </w:tcPr>
          <w:p w14:paraId="471F724D" w14:textId="411FA687" w:rsidR="00146E86" w:rsidRPr="00005453" w:rsidRDefault="00146E86" w:rsidP="00146E86">
            <w:pPr>
              <w:jc w:val="right"/>
              <w:rPr>
                <w:bCs/>
                <w:color w:val="000000"/>
                <w:sz w:val="16"/>
                <w:szCs w:val="16"/>
                <w:lang w:eastAsia="tr-TR"/>
              </w:rPr>
            </w:pPr>
            <w:r w:rsidRPr="00005453">
              <w:rPr>
                <w:color w:val="000000"/>
                <w:sz w:val="16"/>
                <w:szCs w:val="22"/>
              </w:rPr>
              <w:t>-</w:t>
            </w:r>
          </w:p>
        </w:tc>
        <w:tc>
          <w:tcPr>
            <w:tcW w:w="1198" w:type="dxa"/>
            <w:tcBorders>
              <w:top w:val="nil"/>
              <w:left w:val="nil"/>
              <w:bottom w:val="single" w:sz="8" w:space="0" w:color="auto"/>
              <w:right w:val="single" w:sz="8" w:space="0" w:color="auto"/>
            </w:tcBorders>
            <w:shd w:val="clear" w:color="auto" w:fill="auto"/>
            <w:noWrap/>
            <w:vAlign w:val="center"/>
            <w:hideMark/>
          </w:tcPr>
          <w:p w14:paraId="1C70CD97" w14:textId="3A38D6C3"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2E8BD6A0" w14:textId="0FDEA7B2" w:rsidR="00146E86" w:rsidRPr="00005453" w:rsidRDefault="00146E86" w:rsidP="00146E86">
            <w:pPr>
              <w:jc w:val="right"/>
              <w:rPr>
                <w:bCs/>
                <w:color w:val="000000"/>
                <w:sz w:val="16"/>
                <w:szCs w:val="16"/>
                <w:lang w:eastAsia="tr-TR"/>
              </w:rPr>
            </w:pPr>
            <w:r w:rsidRPr="00005453">
              <w:rPr>
                <w:color w:val="000000"/>
                <w:sz w:val="16"/>
                <w:szCs w:val="22"/>
              </w:rPr>
              <w:t>17,719,258</w:t>
            </w:r>
          </w:p>
        </w:tc>
        <w:tc>
          <w:tcPr>
            <w:tcW w:w="1033" w:type="dxa"/>
            <w:tcBorders>
              <w:top w:val="nil"/>
              <w:left w:val="nil"/>
              <w:bottom w:val="single" w:sz="8" w:space="0" w:color="auto"/>
              <w:right w:val="single" w:sz="8" w:space="0" w:color="auto"/>
            </w:tcBorders>
            <w:shd w:val="clear" w:color="auto" w:fill="auto"/>
            <w:noWrap/>
            <w:vAlign w:val="center"/>
            <w:hideMark/>
          </w:tcPr>
          <w:p w14:paraId="45B57784" w14:textId="40EA33AE" w:rsidR="00146E86" w:rsidRPr="00005453" w:rsidRDefault="00146E86" w:rsidP="00146E86">
            <w:pPr>
              <w:jc w:val="right"/>
              <w:rPr>
                <w:bCs/>
                <w:color w:val="000000"/>
                <w:sz w:val="16"/>
                <w:szCs w:val="16"/>
                <w:lang w:eastAsia="tr-TR"/>
              </w:rPr>
            </w:pPr>
            <w:r w:rsidRPr="00005453">
              <w:rPr>
                <w:color w:val="000000"/>
                <w:sz w:val="16"/>
                <w:szCs w:val="22"/>
              </w:rPr>
              <w:t>-</w:t>
            </w:r>
          </w:p>
        </w:tc>
      </w:tr>
      <w:tr w:rsidR="00146E86" w:rsidRPr="00005453" w14:paraId="082A1A36" w14:textId="77777777" w:rsidTr="00146E86">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49587F67" w14:textId="77777777" w:rsidR="00146E86" w:rsidRPr="00005453" w:rsidRDefault="00146E86" w:rsidP="00146E86">
            <w:pPr>
              <w:rPr>
                <w:color w:val="000000"/>
                <w:sz w:val="16"/>
                <w:szCs w:val="16"/>
                <w:lang w:eastAsia="tr-TR"/>
              </w:rPr>
            </w:pPr>
            <w:r w:rsidRPr="00005453">
              <w:rPr>
                <w:color w:val="000000"/>
                <w:sz w:val="16"/>
                <w:szCs w:val="16"/>
                <w:lang w:eastAsia="tr-TR"/>
              </w:rPr>
              <w:t>3- Yasal Konsolidasyon kapsamındaki toplam net tutar</w:t>
            </w:r>
          </w:p>
        </w:tc>
        <w:tc>
          <w:tcPr>
            <w:tcW w:w="1040" w:type="dxa"/>
            <w:tcBorders>
              <w:top w:val="nil"/>
              <w:left w:val="nil"/>
              <w:bottom w:val="single" w:sz="8" w:space="0" w:color="auto"/>
              <w:right w:val="single" w:sz="8" w:space="0" w:color="auto"/>
            </w:tcBorders>
            <w:shd w:val="clear" w:color="auto" w:fill="auto"/>
            <w:noWrap/>
            <w:vAlign w:val="center"/>
            <w:hideMark/>
          </w:tcPr>
          <w:p w14:paraId="631C75D9" w14:textId="4BE99595" w:rsidR="00146E86" w:rsidRPr="00005453" w:rsidRDefault="00146E86" w:rsidP="00146E86">
            <w:pPr>
              <w:jc w:val="right"/>
              <w:rPr>
                <w:bCs/>
                <w:color w:val="000000"/>
                <w:sz w:val="16"/>
                <w:szCs w:val="16"/>
                <w:lang w:eastAsia="tr-TR"/>
              </w:rPr>
            </w:pPr>
            <w:r w:rsidRPr="00005453">
              <w:rPr>
                <w:color w:val="000000"/>
                <w:sz w:val="16"/>
                <w:szCs w:val="22"/>
              </w:rPr>
              <w:t>852,120,40</w:t>
            </w:r>
            <w:r w:rsidR="00CB60C2" w:rsidRPr="00005453">
              <w:rPr>
                <w:color w:val="000000"/>
                <w:sz w:val="16"/>
                <w:szCs w:val="22"/>
              </w:rPr>
              <w:t>3</w:t>
            </w:r>
          </w:p>
        </w:tc>
        <w:tc>
          <w:tcPr>
            <w:tcW w:w="1047" w:type="dxa"/>
            <w:tcBorders>
              <w:top w:val="nil"/>
              <w:left w:val="nil"/>
              <w:bottom w:val="single" w:sz="8" w:space="0" w:color="auto"/>
              <w:right w:val="single" w:sz="8" w:space="0" w:color="auto"/>
            </w:tcBorders>
            <w:shd w:val="clear" w:color="auto" w:fill="auto"/>
            <w:noWrap/>
            <w:vAlign w:val="center"/>
            <w:hideMark/>
          </w:tcPr>
          <w:p w14:paraId="55E1E118" w14:textId="2C5343FC" w:rsidR="00146E86" w:rsidRPr="00005453" w:rsidRDefault="00146E86" w:rsidP="00146E86">
            <w:pPr>
              <w:jc w:val="right"/>
              <w:rPr>
                <w:bCs/>
                <w:color w:val="000000"/>
                <w:sz w:val="16"/>
                <w:szCs w:val="16"/>
                <w:lang w:eastAsia="tr-TR"/>
              </w:rPr>
            </w:pPr>
            <w:r w:rsidRPr="00005453">
              <w:rPr>
                <w:color w:val="000000"/>
                <w:sz w:val="16"/>
                <w:szCs w:val="22"/>
              </w:rPr>
              <w:t>828,104,659</w:t>
            </w:r>
          </w:p>
        </w:tc>
        <w:tc>
          <w:tcPr>
            <w:tcW w:w="1198" w:type="dxa"/>
            <w:tcBorders>
              <w:top w:val="nil"/>
              <w:left w:val="nil"/>
              <w:bottom w:val="single" w:sz="8" w:space="0" w:color="auto"/>
              <w:right w:val="single" w:sz="8" w:space="0" w:color="auto"/>
            </w:tcBorders>
            <w:shd w:val="clear" w:color="auto" w:fill="auto"/>
            <w:noWrap/>
            <w:vAlign w:val="center"/>
            <w:hideMark/>
          </w:tcPr>
          <w:p w14:paraId="558538B3" w14:textId="40252859"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72DD02D7" w14:textId="7979CC84" w:rsidR="00146E86" w:rsidRPr="00005453" w:rsidRDefault="00146E86" w:rsidP="00146E86">
            <w:pPr>
              <w:jc w:val="right"/>
              <w:rPr>
                <w:bCs/>
                <w:color w:val="000000"/>
                <w:sz w:val="16"/>
                <w:szCs w:val="16"/>
                <w:lang w:eastAsia="tr-TR"/>
              </w:rPr>
            </w:pPr>
            <w:r w:rsidRPr="00005453">
              <w:rPr>
                <w:color w:val="000000"/>
                <w:sz w:val="16"/>
                <w:szCs w:val="22"/>
              </w:rPr>
              <w:t>18,834,644</w:t>
            </w:r>
          </w:p>
        </w:tc>
        <w:tc>
          <w:tcPr>
            <w:tcW w:w="1033" w:type="dxa"/>
            <w:tcBorders>
              <w:top w:val="nil"/>
              <w:left w:val="nil"/>
              <w:bottom w:val="single" w:sz="8" w:space="0" w:color="auto"/>
              <w:right w:val="single" w:sz="8" w:space="0" w:color="auto"/>
            </w:tcBorders>
            <w:shd w:val="clear" w:color="auto" w:fill="auto"/>
            <w:noWrap/>
            <w:vAlign w:val="center"/>
            <w:hideMark/>
          </w:tcPr>
          <w:p w14:paraId="23C2EDD0" w14:textId="53FFA33E" w:rsidR="00146E86" w:rsidRPr="00005453" w:rsidRDefault="00146E86" w:rsidP="00146E86">
            <w:pPr>
              <w:jc w:val="right"/>
              <w:rPr>
                <w:bCs/>
                <w:color w:val="000000"/>
                <w:sz w:val="16"/>
                <w:szCs w:val="16"/>
                <w:lang w:eastAsia="tr-TR"/>
              </w:rPr>
            </w:pPr>
            <w:r w:rsidRPr="00005453">
              <w:rPr>
                <w:color w:val="000000"/>
                <w:sz w:val="16"/>
                <w:szCs w:val="22"/>
              </w:rPr>
              <w:t>32,340,339</w:t>
            </w:r>
          </w:p>
        </w:tc>
      </w:tr>
      <w:tr w:rsidR="00146E86" w:rsidRPr="00005453" w14:paraId="4BDE60E7" w14:textId="77777777" w:rsidTr="00146E86">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23C2E55" w14:textId="77777777" w:rsidR="00146E86" w:rsidRPr="00005453" w:rsidRDefault="00146E86" w:rsidP="00146E86">
            <w:pPr>
              <w:rPr>
                <w:color w:val="000000"/>
                <w:sz w:val="16"/>
                <w:szCs w:val="16"/>
                <w:lang w:eastAsia="tr-TR"/>
              </w:rPr>
            </w:pPr>
            <w:r w:rsidRPr="00005453">
              <w:rPr>
                <w:color w:val="000000"/>
                <w:sz w:val="16"/>
                <w:szCs w:val="16"/>
                <w:lang w:eastAsia="tr-TR"/>
              </w:rPr>
              <w:t>4-Bilanço dışı tutarlar</w:t>
            </w:r>
          </w:p>
        </w:tc>
        <w:tc>
          <w:tcPr>
            <w:tcW w:w="1040" w:type="dxa"/>
            <w:tcBorders>
              <w:top w:val="nil"/>
              <w:left w:val="nil"/>
              <w:bottom w:val="single" w:sz="8" w:space="0" w:color="auto"/>
              <w:right w:val="single" w:sz="8" w:space="0" w:color="auto"/>
            </w:tcBorders>
            <w:shd w:val="clear" w:color="auto" w:fill="auto"/>
            <w:noWrap/>
            <w:vAlign w:val="center"/>
            <w:hideMark/>
          </w:tcPr>
          <w:p w14:paraId="69CA4CDE" w14:textId="0954DBE6" w:rsidR="00146E86" w:rsidRPr="00005453" w:rsidRDefault="00146E86" w:rsidP="00146E86">
            <w:pPr>
              <w:jc w:val="right"/>
              <w:rPr>
                <w:bCs/>
                <w:color w:val="000000"/>
                <w:sz w:val="16"/>
                <w:szCs w:val="16"/>
                <w:lang w:eastAsia="tr-TR"/>
              </w:rPr>
            </w:pPr>
            <w:r w:rsidRPr="00005453">
              <w:rPr>
                <w:color w:val="000000"/>
                <w:sz w:val="16"/>
                <w:szCs w:val="22"/>
              </w:rPr>
              <w:t>545,644,845</w:t>
            </w:r>
          </w:p>
        </w:tc>
        <w:tc>
          <w:tcPr>
            <w:tcW w:w="1047" w:type="dxa"/>
            <w:tcBorders>
              <w:top w:val="nil"/>
              <w:left w:val="nil"/>
              <w:bottom w:val="single" w:sz="8" w:space="0" w:color="auto"/>
              <w:right w:val="single" w:sz="8" w:space="0" w:color="auto"/>
            </w:tcBorders>
            <w:shd w:val="clear" w:color="auto" w:fill="auto"/>
            <w:noWrap/>
            <w:vAlign w:val="center"/>
            <w:hideMark/>
          </w:tcPr>
          <w:p w14:paraId="10F3C043" w14:textId="595A7CA8" w:rsidR="00146E86" w:rsidRPr="00005453" w:rsidRDefault="00146E86" w:rsidP="00146E86">
            <w:pPr>
              <w:jc w:val="right"/>
              <w:rPr>
                <w:bCs/>
                <w:color w:val="000000"/>
                <w:sz w:val="16"/>
                <w:szCs w:val="16"/>
                <w:lang w:eastAsia="tr-TR"/>
              </w:rPr>
            </w:pPr>
            <w:r w:rsidRPr="00005453">
              <w:rPr>
                <w:color w:val="000000"/>
                <w:sz w:val="16"/>
                <w:szCs w:val="22"/>
              </w:rPr>
              <w:t>51,142,108</w:t>
            </w:r>
          </w:p>
        </w:tc>
        <w:tc>
          <w:tcPr>
            <w:tcW w:w="1198" w:type="dxa"/>
            <w:tcBorders>
              <w:top w:val="nil"/>
              <w:left w:val="nil"/>
              <w:bottom w:val="single" w:sz="8" w:space="0" w:color="auto"/>
              <w:right w:val="single" w:sz="8" w:space="0" w:color="auto"/>
            </w:tcBorders>
            <w:shd w:val="clear" w:color="auto" w:fill="auto"/>
            <w:noWrap/>
            <w:vAlign w:val="center"/>
            <w:hideMark/>
          </w:tcPr>
          <w:p w14:paraId="7223751F" w14:textId="16B0643B"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55511B99" w14:textId="4A86A5AE" w:rsidR="00146E86" w:rsidRPr="00005453" w:rsidRDefault="00146E86" w:rsidP="00146E86">
            <w:pPr>
              <w:jc w:val="right"/>
              <w:rPr>
                <w:bCs/>
                <w:color w:val="000000"/>
                <w:sz w:val="16"/>
                <w:szCs w:val="16"/>
                <w:lang w:eastAsia="tr-TR"/>
              </w:rPr>
            </w:pPr>
            <w:r w:rsidRPr="00005453">
              <w:rPr>
                <w:color w:val="000000"/>
                <w:sz w:val="16"/>
                <w:szCs w:val="22"/>
              </w:rPr>
              <w:t>2,847,728</w:t>
            </w:r>
          </w:p>
        </w:tc>
        <w:tc>
          <w:tcPr>
            <w:tcW w:w="1033" w:type="dxa"/>
            <w:tcBorders>
              <w:top w:val="nil"/>
              <w:left w:val="nil"/>
              <w:bottom w:val="single" w:sz="8" w:space="0" w:color="auto"/>
              <w:right w:val="single" w:sz="8" w:space="0" w:color="auto"/>
            </w:tcBorders>
            <w:shd w:val="clear" w:color="auto" w:fill="auto"/>
            <w:noWrap/>
            <w:vAlign w:val="center"/>
            <w:hideMark/>
          </w:tcPr>
          <w:p w14:paraId="239CA7CE" w14:textId="44A778E1" w:rsidR="00146E86" w:rsidRPr="00005453" w:rsidRDefault="00146E86" w:rsidP="00146E86">
            <w:pPr>
              <w:jc w:val="right"/>
              <w:rPr>
                <w:bCs/>
                <w:color w:val="000000"/>
                <w:sz w:val="16"/>
                <w:szCs w:val="16"/>
                <w:lang w:eastAsia="tr-TR"/>
              </w:rPr>
            </w:pPr>
            <w:r w:rsidRPr="00005453">
              <w:rPr>
                <w:color w:val="000000"/>
                <w:sz w:val="16"/>
                <w:szCs w:val="22"/>
              </w:rPr>
              <w:t>330,738,126</w:t>
            </w:r>
          </w:p>
        </w:tc>
      </w:tr>
      <w:tr w:rsidR="00146E86" w:rsidRPr="00005453" w14:paraId="662CBF71" w14:textId="77777777" w:rsidTr="00146E86">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2D385A4E" w14:textId="77777777" w:rsidR="00146E86" w:rsidRPr="00005453" w:rsidRDefault="00146E86" w:rsidP="00146E86">
            <w:pPr>
              <w:rPr>
                <w:color w:val="000000"/>
                <w:sz w:val="16"/>
                <w:szCs w:val="16"/>
                <w:lang w:eastAsia="tr-TR"/>
              </w:rPr>
            </w:pPr>
            <w:r w:rsidRPr="00005453">
              <w:rPr>
                <w:color w:val="000000"/>
                <w:sz w:val="16"/>
                <w:szCs w:val="16"/>
                <w:lang w:eastAsia="tr-TR"/>
              </w:rPr>
              <w:t>5- Değerleme farkları</w:t>
            </w:r>
          </w:p>
        </w:tc>
        <w:tc>
          <w:tcPr>
            <w:tcW w:w="1040" w:type="dxa"/>
            <w:tcBorders>
              <w:top w:val="nil"/>
              <w:left w:val="nil"/>
              <w:bottom w:val="single" w:sz="8" w:space="0" w:color="auto"/>
              <w:right w:val="single" w:sz="8" w:space="0" w:color="auto"/>
            </w:tcBorders>
            <w:shd w:val="clear" w:color="auto" w:fill="auto"/>
            <w:noWrap/>
            <w:vAlign w:val="center"/>
            <w:hideMark/>
          </w:tcPr>
          <w:p w14:paraId="65ED3AC0" w14:textId="77C5A324" w:rsidR="00146E86" w:rsidRPr="00005453" w:rsidRDefault="00146E86" w:rsidP="00146E86">
            <w:pPr>
              <w:jc w:val="right"/>
              <w:rPr>
                <w:bCs/>
                <w:color w:val="000000"/>
                <w:sz w:val="16"/>
                <w:szCs w:val="16"/>
                <w:lang w:eastAsia="tr-TR"/>
              </w:rPr>
            </w:pPr>
            <w:r w:rsidRPr="00005453">
              <w:rPr>
                <w:color w:val="000000"/>
                <w:sz w:val="16"/>
                <w:szCs w:val="22"/>
              </w:rPr>
              <w:t>-</w:t>
            </w:r>
          </w:p>
        </w:tc>
        <w:tc>
          <w:tcPr>
            <w:tcW w:w="1047" w:type="dxa"/>
            <w:tcBorders>
              <w:top w:val="nil"/>
              <w:left w:val="nil"/>
              <w:bottom w:val="single" w:sz="8" w:space="0" w:color="auto"/>
              <w:right w:val="single" w:sz="8" w:space="0" w:color="auto"/>
            </w:tcBorders>
            <w:shd w:val="clear" w:color="auto" w:fill="auto"/>
            <w:noWrap/>
            <w:vAlign w:val="center"/>
            <w:hideMark/>
          </w:tcPr>
          <w:p w14:paraId="58F3BE7A" w14:textId="3BC9CD98" w:rsidR="00146E86" w:rsidRPr="00005453" w:rsidRDefault="00146E86" w:rsidP="00146E86">
            <w:pPr>
              <w:jc w:val="right"/>
              <w:rPr>
                <w:bCs/>
                <w:color w:val="000000"/>
                <w:sz w:val="16"/>
                <w:szCs w:val="16"/>
                <w:lang w:eastAsia="tr-TR"/>
              </w:rPr>
            </w:pPr>
            <w:r w:rsidRPr="00005453">
              <w:rPr>
                <w:color w:val="000000"/>
                <w:sz w:val="16"/>
                <w:szCs w:val="22"/>
              </w:rPr>
              <w:t>-</w:t>
            </w:r>
          </w:p>
        </w:tc>
        <w:tc>
          <w:tcPr>
            <w:tcW w:w="1198" w:type="dxa"/>
            <w:tcBorders>
              <w:top w:val="nil"/>
              <w:left w:val="nil"/>
              <w:bottom w:val="single" w:sz="8" w:space="0" w:color="auto"/>
              <w:right w:val="single" w:sz="8" w:space="0" w:color="auto"/>
            </w:tcBorders>
            <w:shd w:val="clear" w:color="auto" w:fill="auto"/>
            <w:noWrap/>
            <w:vAlign w:val="center"/>
            <w:hideMark/>
          </w:tcPr>
          <w:p w14:paraId="19DF2949" w14:textId="211C09D9"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213F9CA1" w14:textId="1CCB2B5A" w:rsidR="00146E86" w:rsidRPr="00005453" w:rsidRDefault="00146E86" w:rsidP="00146E86">
            <w:pPr>
              <w:jc w:val="right"/>
              <w:rPr>
                <w:bCs/>
                <w:color w:val="000000"/>
                <w:sz w:val="16"/>
                <w:szCs w:val="16"/>
                <w:lang w:eastAsia="tr-TR"/>
              </w:rPr>
            </w:pPr>
            <w:r w:rsidRPr="00005453">
              <w:rPr>
                <w:color w:val="000000"/>
                <w:sz w:val="16"/>
                <w:szCs w:val="22"/>
              </w:rPr>
              <w:t>-</w:t>
            </w:r>
          </w:p>
        </w:tc>
        <w:tc>
          <w:tcPr>
            <w:tcW w:w="1033" w:type="dxa"/>
            <w:tcBorders>
              <w:top w:val="nil"/>
              <w:left w:val="nil"/>
              <w:bottom w:val="single" w:sz="8" w:space="0" w:color="auto"/>
              <w:right w:val="single" w:sz="8" w:space="0" w:color="auto"/>
            </w:tcBorders>
            <w:shd w:val="clear" w:color="auto" w:fill="auto"/>
            <w:noWrap/>
            <w:vAlign w:val="center"/>
            <w:hideMark/>
          </w:tcPr>
          <w:p w14:paraId="20688E6D" w14:textId="085081C3" w:rsidR="00146E86" w:rsidRPr="00005453" w:rsidRDefault="00146E86" w:rsidP="00146E86">
            <w:pPr>
              <w:jc w:val="right"/>
              <w:rPr>
                <w:bCs/>
                <w:color w:val="000000"/>
                <w:sz w:val="16"/>
                <w:szCs w:val="16"/>
                <w:lang w:eastAsia="tr-TR"/>
              </w:rPr>
            </w:pPr>
            <w:r w:rsidRPr="00005453">
              <w:rPr>
                <w:color w:val="000000"/>
                <w:sz w:val="16"/>
                <w:szCs w:val="22"/>
              </w:rPr>
              <w:t>-</w:t>
            </w:r>
          </w:p>
        </w:tc>
      </w:tr>
      <w:tr w:rsidR="00146E86" w:rsidRPr="00005453" w14:paraId="3FA3E5BF" w14:textId="77777777" w:rsidTr="00146E86">
        <w:trPr>
          <w:divId w:val="493764525"/>
          <w:trHeight w:val="358"/>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DB935B4" w14:textId="77777777" w:rsidR="00146E86" w:rsidRPr="00005453" w:rsidRDefault="00146E86" w:rsidP="00146E86">
            <w:pPr>
              <w:rPr>
                <w:color w:val="000000"/>
                <w:sz w:val="16"/>
                <w:szCs w:val="16"/>
                <w:lang w:eastAsia="tr-TR"/>
              </w:rPr>
            </w:pPr>
            <w:r w:rsidRPr="00005453">
              <w:rPr>
                <w:color w:val="000000"/>
                <w:sz w:val="16"/>
                <w:szCs w:val="16"/>
                <w:lang w:eastAsia="tr-TR"/>
              </w:rPr>
              <w:t xml:space="preserve">6- Farklı netleştirme kurallarından kaynaklanan farklar </w:t>
            </w:r>
            <w:proofErr w:type="gramStart"/>
            <w:r w:rsidRPr="00005453">
              <w:rPr>
                <w:color w:val="000000"/>
                <w:sz w:val="16"/>
                <w:szCs w:val="16"/>
                <w:lang w:eastAsia="tr-TR"/>
              </w:rPr>
              <w:t>( satır</w:t>
            </w:r>
            <w:proofErr w:type="gramEnd"/>
            <w:r w:rsidRPr="00005453">
              <w:rPr>
                <w:color w:val="000000"/>
                <w:sz w:val="16"/>
                <w:szCs w:val="16"/>
                <w:lang w:eastAsia="tr-TR"/>
              </w:rPr>
              <w:t xml:space="preserve"> 2'ye konulanlar dışında )</w:t>
            </w:r>
          </w:p>
        </w:tc>
        <w:tc>
          <w:tcPr>
            <w:tcW w:w="1040" w:type="dxa"/>
            <w:tcBorders>
              <w:top w:val="nil"/>
              <w:left w:val="nil"/>
              <w:bottom w:val="single" w:sz="8" w:space="0" w:color="auto"/>
              <w:right w:val="single" w:sz="8" w:space="0" w:color="auto"/>
            </w:tcBorders>
            <w:shd w:val="clear" w:color="auto" w:fill="auto"/>
            <w:noWrap/>
            <w:vAlign w:val="center"/>
            <w:hideMark/>
          </w:tcPr>
          <w:p w14:paraId="254E2A8F" w14:textId="65C2D1A2" w:rsidR="00146E86" w:rsidRPr="00005453" w:rsidRDefault="00146E86" w:rsidP="00146E86">
            <w:pPr>
              <w:jc w:val="right"/>
              <w:rPr>
                <w:bCs/>
                <w:color w:val="000000"/>
                <w:sz w:val="16"/>
                <w:szCs w:val="16"/>
                <w:lang w:eastAsia="tr-TR"/>
              </w:rPr>
            </w:pPr>
            <w:r w:rsidRPr="00005453">
              <w:rPr>
                <w:color w:val="000000"/>
                <w:sz w:val="16"/>
                <w:szCs w:val="22"/>
              </w:rPr>
              <w:t>-</w:t>
            </w:r>
          </w:p>
        </w:tc>
        <w:tc>
          <w:tcPr>
            <w:tcW w:w="1047" w:type="dxa"/>
            <w:tcBorders>
              <w:top w:val="nil"/>
              <w:left w:val="nil"/>
              <w:bottom w:val="single" w:sz="8" w:space="0" w:color="auto"/>
              <w:right w:val="single" w:sz="8" w:space="0" w:color="auto"/>
            </w:tcBorders>
            <w:shd w:val="clear" w:color="auto" w:fill="auto"/>
            <w:noWrap/>
            <w:vAlign w:val="center"/>
            <w:hideMark/>
          </w:tcPr>
          <w:p w14:paraId="42C38691" w14:textId="26C06D48" w:rsidR="00146E86" w:rsidRPr="00005453" w:rsidRDefault="00146E86" w:rsidP="00146E86">
            <w:pPr>
              <w:jc w:val="right"/>
              <w:rPr>
                <w:bCs/>
                <w:color w:val="000000"/>
                <w:sz w:val="16"/>
                <w:szCs w:val="16"/>
                <w:lang w:eastAsia="tr-TR"/>
              </w:rPr>
            </w:pPr>
            <w:r w:rsidRPr="00005453">
              <w:rPr>
                <w:color w:val="000000"/>
                <w:sz w:val="16"/>
                <w:szCs w:val="22"/>
              </w:rPr>
              <w:t>-</w:t>
            </w:r>
          </w:p>
        </w:tc>
        <w:tc>
          <w:tcPr>
            <w:tcW w:w="1198" w:type="dxa"/>
            <w:tcBorders>
              <w:top w:val="nil"/>
              <w:left w:val="nil"/>
              <w:bottom w:val="single" w:sz="8" w:space="0" w:color="auto"/>
              <w:right w:val="single" w:sz="8" w:space="0" w:color="auto"/>
            </w:tcBorders>
            <w:shd w:val="clear" w:color="auto" w:fill="auto"/>
            <w:noWrap/>
            <w:vAlign w:val="center"/>
            <w:hideMark/>
          </w:tcPr>
          <w:p w14:paraId="620E419D" w14:textId="41C3FFC3"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57F8152D" w14:textId="4FBA6073" w:rsidR="00146E86" w:rsidRPr="00005453" w:rsidRDefault="00146E86" w:rsidP="00146E86">
            <w:pPr>
              <w:jc w:val="right"/>
              <w:rPr>
                <w:bCs/>
                <w:color w:val="000000"/>
                <w:sz w:val="16"/>
                <w:szCs w:val="16"/>
                <w:lang w:eastAsia="tr-TR"/>
              </w:rPr>
            </w:pPr>
            <w:r w:rsidRPr="00005453">
              <w:rPr>
                <w:color w:val="000000"/>
                <w:sz w:val="16"/>
                <w:szCs w:val="22"/>
              </w:rPr>
              <w:t>-</w:t>
            </w:r>
          </w:p>
        </w:tc>
        <w:tc>
          <w:tcPr>
            <w:tcW w:w="1033" w:type="dxa"/>
            <w:tcBorders>
              <w:top w:val="nil"/>
              <w:left w:val="nil"/>
              <w:bottom w:val="single" w:sz="8" w:space="0" w:color="auto"/>
              <w:right w:val="single" w:sz="8" w:space="0" w:color="auto"/>
            </w:tcBorders>
            <w:shd w:val="clear" w:color="auto" w:fill="auto"/>
            <w:noWrap/>
            <w:vAlign w:val="center"/>
            <w:hideMark/>
          </w:tcPr>
          <w:p w14:paraId="635143D3" w14:textId="4122E084" w:rsidR="00146E86" w:rsidRPr="00005453" w:rsidRDefault="00146E86" w:rsidP="00146E86">
            <w:pPr>
              <w:jc w:val="right"/>
              <w:rPr>
                <w:bCs/>
                <w:color w:val="000000"/>
                <w:sz w:val="16"/>
                <w:szCs w:val="16"/>
                <w:lang w:eastAsia="tr-TR"/>
              </w:rPr>
            </w:pPr>
            <w:r w:rsidRPr="00005453">
              <w:rPr>
                <w:color w:val="000000"/>
                <w:sz w:val="16"/>
                <w:szCs w:val="22"/>
              </w:rPr>
              <w:t>-</w:t>
            </w:r>
          </w:p>
        </w:tc>
      </w:tr>
      <w:tr w:rsidR="00146E86" w:rsidRPr="00005453" w14:paraId="24E4031C" w14:textId="77777777" w:rsidTr="00146E86">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0DB1A00A" w14:textId="77777777" w:rsidR="00146E86" w:rsidRPr="00005453" w:rsidRDefault="00146E86" w:rsidP="00146E86">
            <w:pPr>
              <w:rPr>
                <w:color w:val="000000"/>
                <w:sz w:val="16"/>
                <w:szCs w:val="16"/>
                <w:lang w:eastAsia="tr-TR"/>
              </w:rPr>
            </w:pPr>
            <w:r w:rsidRPr="00005453">
              <w:rPr>
                <w:color w:val="000000"/>
                <w:sz w:val="16"/>
                <w:szCs w:val="16"/>
                <w:lang w:eastAsia="tr-TR"/>
              </w:rPr>
              <w:t>7- Karşılıkların dikkate alınmasından kaynaklanan farklar</w:t>
            </w:r>
          </w:p>
        </w:tc>
        <w:tc>
          <w:tcPr>
            <w:tcW w:w="1040" w:type="dxa"/>
            <w:tcBorders>
              <w:top w:val="nil"/>
              <w:left w:val="nil"/>
              <w:bottom w:val="single" w:sz="8" w:space="0" w:color="auto"/>
              <w:right w:val="single" w:sz="8" w:space="0" w:color="auto"/>
            </w:tcBorders>
            <w:shd w:val="clear" w:color="auto" w:fill="auto"/>
            <w:noWrap/>
            <w:vAlign w:val="center"/>
            <w:hideMark/>
          </w:tcPr>
          <w:p w14:paraId="72555654" w14:textId="5065E929" w:rsidR="00146E86" w:rsidRPr="00005453" w:rsidRDefault="00146E86" w:rsidP="00146E86">
            <w:pPr>
              <w:jc w:val="right"/>
              <w:rPr>
                <w:bCs/>
                <w:color w:val="000000"/>
                <w:sz w:val="16"/>
                <w:szCs w:val="16"/>
                <w:lang w:eastAsia="tr-TR"/>
              </w:rPr>
            </w:pPr>
            <w:r w:rsidRPr="00005453">
              <w:rPr>
                <w:color w:val="000000"/>
                <w:sz w:val="16"/>
                <w:szCs w:val="22"/>
              </w:rPr>
              <w:t>-</w:t>
            </w:r>
          </w:p>
        </w:tc>
        <w:tc>
          <w:tcPr>
            <w:tcW w:w="1047" w:type="dxa"/>
            <w:tcBorders>
              <w:top w:val="nil"/>
              <w:left w:val="nil"/>
              <w:bottom w:val="single" w:sz="8" w:space="0" w:color="auto"/>
              <w:right w:val="single" w:sz="8" w:space="0" w:color="auto"/>
            </w:tcBorders>
            <w:shd w:val="clear" w:color="auto" w:fill="auto"/>
            <w:noWrap/>
            <w:vAlign w:val="center"/>
            <w:hideMark/>
          </w:tcPr>
          <w:p w14:paraId="4EDDC548" w14:textId="78252572" w:rsidR="00146E86" w:rsidRPr="00005453" w:rsidRDefault="00146E86" w:rsidP="00146E86">
            <w:pPr>
              <w:jc w:val="right"/>
              <w:rPr>
                <w:bCs/>
                <w:color w:val="000000"/>
                <w:sz w:val="16"/>
                <w:szCs w:val="16"/>
                <w:lang w:eastAsia="tr-TR"/>
              </w:rPr>
            </w:pPr>
            <w:r w:rsidRPr="00005453">
              <w:rPr>
                <w:color w:val="000000"/>
                <w:sz w:val="16"/>
                <w:szCs w:val="22"/>
              </w:rPr>
              <w:t>-</w:t>
            </w:r>
          </w:p>
        </w:tc>
        <w:tc>
          <w:tcPr>
            <w:tcW w:w="1198" w:type="dxa"/>
            <w:tcBorders>
              <w:top w:val="nil"/>
              <w:left w:val="nil"/>
              <w:bottom w:val="single" w:sz="8" w:space="0" w:color="auto"/>
              <w:right w:val="single" w:sz="8" w:space="0" w:color="auto"/>
            </w:tcBorders>
            <w:shd w:val="clear" w:color="auto" w:fill="auto"/>
            <w:noWrap/>
            <w:vAlign w:val="center"/>
            <w:hideMark/>
          </w:tcPr>
          <w:p w14:paraId="2CE6433C" w14:textId="4940A66C"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18AE13BD" w14:textId="59DE011F" w:rsidR="00146E86" w:rsidRPr="00005453" w:rsidRDefault="00146E86" w:rsidP="00146E86">
            <w:pPr>
              <w:jc w:val="right"/>
              <w:rPr>
                <w:bCs/>
                <w:color w:val="000000"/>
                <w:sz w:val="16"/>
                <w:szCs w:val="16"/>
                <w:lang w:eastAsia="tr-TR"/>
              </w:rPr>
            </w:pPr>
            <w:r w:rsidRPr="00005453">
              <w:rPr>
                <w:color w:val="000000"/>
                <w:sz w:val="16"/>
                <w:szCs w:val="22"/>
              </w:rPr>
              <w:t>-</w:t>
            </w:r>
          </w:p>
        </w:tc>
        <w:tc>
          <w:tcPr>
            <w:tcW w:w="1033" w:type="dxa"/>
            <w:tcBorders>
              <w:top w:val="nil"/>
              <w:left w:val="nil"/>
              <w:bottom w:val="single" w:sz="8" w:space="0" w:color="auto"/>
              <w:right w:val="single" w:sz="8" w:space="0" w:color="auto"/>
            </w:tcBorders>
            <w:shd w:val="clear" w:color="auto" w:fill="auto"/>
            <w:noWrap/>
            <w:vAlign w:val="center"/>
            <w:hideMark/>
          </w:tcPr>
          <w:p w14:paraId="69380350" w14:textId="3D910BC8" w:rsidR="00146E86" w:rsidRPr="00005453" w:rsidRDefault="00146E86" w:rsidP="00146E86">
            <w:pPr>
              <w:jc w:val="right"/>
              <w:rPr>
                <w:bCs/>
                <w:color w:val="000000"/>
                <w:sz w:val="16"/>
                <w:szCs w:val="16"/>
                <w:lang w:eastAsia="tr-TR"/>
              </w:rPr>
            </w:pPr>
            <w:r w:rsidRPr="00005453">
              <w:rPr>
                <w:color w:val="000000"/>
                <w:sz w:val="16"/>
                <w:szCs w:val="22"/>
              </w:rPr>
              <w:t>-</w:t>
            </w:r>
          </w:p>
        </w:tc>
      </w:tr>
      <w:tr w:rsidR="00146E86" w:rsidRPr="00005453" w14:paraId="272D73CC" w14:textId="77777777" w:rsidTr="00146E86">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A5803FD" w14:textId="77777777" w:rsidR="00146E86" w:rsidRPr="00005453" w:rsidRDefault="00146E86" w:rsidP="00146E86">
            <w:pPr>
              <w:rPr>
                <w:color w:val="000000"/>
                <w:sz w:val="16"/>
                <w:szCs w:val="16"/>
                <w:lang w:eastAsia="tr-TR"/>
              </w:rPr>
            </w:pPr>
            <w:r w:rsidRPr="00005453">
              <w:rPr>
                <w:color w:val="000000"/>
                <w:sz w:val="16"/>
                <w:szCs w:val="16"/>
                <w:lang w:eastAsia="tr-TR"/>
              </w:rPr>
              <w:t>8-Kurum'un uygulamalarından kaynaklanan farklar</w:t>
            </w:r>
          </w:p>
        </w:tc>
        <w:tc>
          <w:tcPr>
            <w:tcW w:w="1040" w:type="dxa"/>
            <w:tcBorders>
              <w:top w:val="nil"/>
              <w:left w:val="nil"/>
              <w:bottom w:val="single" w:sz="8" w:space="0" w:color="auto"/>
              <w:right w:val="single" w:sz="8" w:space="0" w:color="auto"/>
            </w:tcBorders>
            <w:shd w:val="clear" w:color="auto" w:fill="auto"/>
            <w:noWrap/>
            <w:vAlign w:val="center"/>
            <w:hideMark/>
          </w:tcPr>
          <w:p w14:paraId="7D9DF14D" w14:textId="76EBDA85" w:rsidR="00146E86" w:rsidRPr="00005453" w:rsidRDefault="00146E86" w:rsidP="00146E86">
            <w:pPr>
              <w:jc w:val="right"/>
              <w:rPr>
                <w:bCs/>
                <w:color w:val="000000"/>
                <w:sz w:val="16"/>
                <w:szCs w:val="16"/>
                <w:lang w:eastAsia="tr-TR"/>
              </w:rPr>
            </w:pPr>
            <w:r w:rsidRPr="00005453">
              <w:rPr>
                <w:color w:val="000000"/>
                <w:sz w:val="16"/>
                <w:szCs w:val="22"/>
              </w:rPr>
              <w:t>-</w:t>
            </w:r>
          </w:p>
        </w:tc>
        <w:tc>
          <w:tcPr>
            <w:tcW w:w="1047" w:type="dxa"/>
            <w:tcBorders>
              <w:top w:val="nil"/>
              <w:left w:val="nil"/>
              <w:bottom w:val="single" w:sz="8" w:space="0" w:color="auto"/>
              <w:right w:val="single" w:sz="8" w:space="0" w:color="auto"/>
            </w:tcBorders>
            <w:shd w:val="clear" w:color="auto" w:fill="auto"/>
            <w:noWrap/>
            <w:vAlign w:val="center"/>
            <w:hideMark/>
          </w:tcPr>
          <w:p w14:paraId="2F3F027F" w14:textId="6C39AE0B" w:rsidR="00146E86" w:rsidRPr="00005453" w:rsidRDefault="00146E86" w:rsidP="00146E86">
            <w:pPr>
              <w:jc w:val="right"/>
              <w:rPr>
                <w:bCs/>
                <w:color w:val="000000"/>
                <w:sz w:val="16"/>
                <w:szCs w:val="16"/>
                <w:lang w:eastAsia="tr-TR"/>
              </w:rPr>
            </w:pPr>
            <w:r w:rsidRPr="00005453">
              <w:rPr>
                <w:color w:val="000000"/>
                <w:sz w:val="16"/>
                <w:szCs w:val="22"/>
              </w:rPr>
              <w:t>(219,914,233)</w:t>
            </w:r>
          </w:p>
        </w:tc>
        <w:tc>
          <w:tcPr>
            <w:tcW w:w="1198" w:type="dxa"/>
            <w:tcBorders>
              <w:top w:val="nil"/>
              <w:left w:val="nil"/>
              <w:bottom w:val="single" w:sz="8" w:space="0" w:color="auto"/>
              <w:right w:val="single" w:sz="8" w:space="0" w:color="auto"/>
            </w:tcBorders>
            <w:shd w:val="clear" w:color="auto" w:fill="auto"/>
            <w:noWrap/>
            <w:vAlign w:val="center"/>
            <w:hideMark/>
          </w:tcPr>
          <w:p w14:paraId="1F4F8ECA" w14:textId="75210884" w:rsidR="00146E86" w:rsidRPr="00005453" w:rsidRDefault="00146E86" w:rsidP="00146E86">
            <w:pPr>
              <w:jc w:val="right"/>
              <w:rPr>
                <w:bCs/>
                <w:color w:val="000000"/>
                <w:sz w:val="16"/>
                <w:szCs w:val="16"/>
                <w:lang w:eastAsia="tr-TR"/>
              </w:rPr>
            </w:pPr>
            <w:r w:rsidRPr="00005453">
              <w:rPr>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4A25AE41" w14:textId="25EA3BA0" w:rsidR="00146E86" w:rsidRPr="00005453" w:rsidRDefault="00146E86" w:rsidP="00146E86">
            <w:pPr>
              <w:jc w:val="right"/>
              <w:rPr>
                <w:bCs/>
                <w:color w:val="000000"/>
                <w:sz w:val="16"/>
                <w:szCs w:val="16"/>
                <w:lang w:eastAsia="tr-TR"/>
              </w:rPr>
            </w:pPr>
            <w:r w:rsidRPr="00005453">
              <w:rPr>
                <w:color w:val="000000"/>
                <w:sz w:val="16"/>
                <w:szCs w:val="22"/>
              </w:rPr>
              <w:t>-</w:t>
            </w:r>
          </w:p>
        </w:tc>
        <w:tc>
          <w:tcPr>
            <w:tcW w:w="1033" w:type="dxa"/>
            <w:tcBorders>
              <w:top w:val="nil"/>
              <w:left w:val="nil"/>
              <w:bottom w:val="single" w:sz="8" w:space="0" w:color="auto"/>
              <w:right w:val="single" w:sz="8" w:space="0" w:color="auto"/>
            </w:tcBorders>
            <w:shd w:val="clear" w:color="auto" w:fill="auto"/>
            <w:noWrap/>
            <w:vAlign w:val="center"/>
            <w:hideMark/>
          </w:tcPr>
          <w:p w14:paraId="229AC969" w14:textId="22599D93" w:rsidR="00146E86" w:rsidRPr="00005453" w:rsidRDefault="00146E86" w:rsidP="00146E86">
            <w:pPr>
              <w:jc w:val="right"/>
              <w:rPr>
                <w:bCs/>
                <w:color w:val="000000"/>
                <w:sz w:val="16"/>
                <w:szCs w:val="16"/>
                <w:lang w:eastAsia="tr-TR"/>
              </w:rPr>
            </w:pPr>
            <w:r w:rsidRPr="00005453">
              <w:rPr>
                <w:color w:val="000000"/>
                <w:sz w:val="16"/>
                <w:szCs w:val="22"/>
              </w:rPr>
              <w:t>-</w:t>
            </w:r>
          </w:p>
        </w:tc>
      </w:tr>
      <w:tr w:rsidR="00146E86" w:rsidRPr="00005453" w14:paraId="247B614C" w14:textId="77777777" w:rsidTr="00146E86">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15C02ADC" w14:textId="77777777" w:rsidR="00146E86" w:rsidRPr="00005453" w:rsidRDefault="00146E86" w:rsidP="00146E86">
            <w:pPr>
              <w:rPr>
                <w:b/>
                <w:bCs/>
                <w:color w:val="000000"/>
                <w:sz w:val="16"/>
                <w:szCs w:val="16"/>
                <w:lang w:eastAsia="tr-TR"/>
              </w:rPr>
            </w:pPr>
            <w:r w:rsidRPr="00005453">
              <w:rPr>
                <w:b/>
                <w:bCs/>
                <w:color w:val="000000"/>
                <w:sz w:val="16"/>
                <w:szCs w:val="16"/>
                <w:lang w:eastAsia="tr-TR"/>
              </w:rPr>
              <w:t>9-Risk Tutarları</w:t>
            </w:r>
          </w:p>
        </w:tc>
        <w:tc>
          <w:tcPr>
            <w:tcW w:w="1040" w:type="dxa"/>
            <w:tcBorders>
              <w:top w:val="nil"/>
              <w:left w:val="nil"/>
              <w:bottom w:val="single" w:sz="8" w:space="0" w:color="auto"/>
              <w:right w:val="single" w:sz="8" w:space="0" w:color="auto"/>
            </w:tcBorders>
            <w:shd w:val="clear" w:color="auto" w:fill="auto"/>
            <w:noWrap/>
            <w:vAlign w:val="center"/>
            <w:hideMark/>
          </w:tcPr>
          <w:p w14:paraId="0838F3EC" w14:textId="68956BAF" w:rsidR="00146E86" w:rsidRPr="00005453" w:rsidRDefault="00146E86" w:rsidP="00146E86">
            <w:pPr>
              <w:jc w:val="right"/>
              <w:rPr>
                <w:b/>
                <w:color w:val="000000"/>
                <w:sz w:val="16"/>
                <w:szCs w:val="16"/>
                <w:lang w:eastAsia="tr-TR"/>
              </w:rPr>
            </w:pPr>
            <w:r w:rsidRPr="00005453">
              <w:rPr>
                <w:b/>
                <w:bCs/>
                <w:color w:val="000000"/>
                <w:sz w:val="16"/>
                <w:szCs w:val="22"/>
              </w:rPr>
              <w:t>1,397,765,24</w:t>
            </w:r>
            <w:r w:rsidR="00CB60C2" w:rsidRPr="00005453">
              <w:rPr>
                <w:b/>
                <w:bCs/>
                <w:color w:val="000000"/>
                <w:sz w:val="16"/>
                <w:szCs w:val="22"/>
              </w:rPr>
              <w:t>8</w:t>
            </w:r>
          </w:p>
        </w:tc>
        <w:tc>
          <w:tcPr>
            <w:tcW w:w="1047" w:type="dxa"/>
            <w:tcBorders>
              <w:top w:val="nil"/>
              <w:left w:val="nil"/>
              <w:bottom w:val="single" w:sz="8" w:space="0" w:color="auto"/>
              <w:right w:val="single" w:sz="8" w:space="0" w:color="auto"/>
            </w:tcBorders>
            <w:shd w:val="clear" w:color="auto" w:fill="auto"/>
            <w:noWrap/>
            <w:vAlign w:val="center"/>
            <w:hideMark/>
          </w:tcPr>
          <w:p w14:paraId="0BF2487B" w14:textId="07340A14" w:rsidR="00146E86" w:rsidRPr="00005453" w:rsidRDefault="00146E86" w:rsidP="00146E86">
            <w:pPr>
              <w:jc w:val="right"/>
              <w:rPr>
                <w:b/>
                <w:color w:val="000000"/>
                <w:sz w:val="16"/>
                <w:szCs w:val="16"/>
                <w:lang w:eastAsia="tr-TR"/>
              </w:rPr>
            </w:pPr>
            <w:r w:rsidRPr="00005453">
              <w:rPr>
                <w:b/>
                <w:bCs/>
                <w:color w:val="000000"/>
                <w:sz w:val="16"/>
                <w:szCs w:val="22"/>
              </w:rPr>
              <w:t>659,332,534</w:t>
            </w:r>
          </w:p>
        </w:tc>
        <w:tc>
          <w:tcPr>
            <w:tcW w:w="1198" w:type="dxa"/>
            <w:tcBorders>
              <w:top w:val="nil"/>
              <w:left w:val="nil"/>
              <w:bottom w:val="single" w:sz="8" w:space="0" w:color="auto"/>
              <w:right w:val="single" w:sz="8" w:space="0" w:color="auto"/>
            </w:tcBorders>
            <w:shd w:val="clear" w:color="auto" w:fill="auto"/>
            <w:noWrap/>
            <w:vAlign w:val="center"/>
            <w:hideMark/>
          </w:tcPr>
          <w:p w14:paraId="68D33C72" w14:textId="4C19BF1F" w:rsidR="00146E86" w:rsidRPr="00005453" w:rsidRDefault="00146E86" w:rsidP="00146E86">
            <w:pPr>
              <w:jc w:val="right"/>
              <w:rPr>
                <w:b/>
                <w:color w:val="000000"/>
                <w:sz w:val="16"/>
                <w:szCs w:val="16"/>
                <w:lang w:eastAsia="tr-TR"/>
              </w:rPr>
            </w:pPr>
            <w:r w:rsidRPr="00005453">
              <w:rPr>
                <w:b/>
                <w:bCs/>
                <w:color w:val="000000"/>
                <w:sz w:val="16"/>
                <w:szCs w:val="22"/>
              </w:rPr>
              <w:t>-</w:t>
            </w:r>
          </w:p>
        </w:tc>
        <w:tc>
          <w:tcPr>
            <w:tcW w:w="1193" w:type="dxa"/>
            <w:tcBorders>
              <w:top w:val="nil"/>
              <w:left w:val="nil"/>
              <w:bottom w:val="single" w:sz="8" w:space="0" w:color="auto"/>
              <w:right w:val="single" w:sz="8" w:space="0" w:color="auto"/>
            </w:tcBorders>
            <w:shd w:val="clear" w:color="auto" w:fill="auto"/>
            <w:noWrap/>
            <w:vAlign w:val="center"/>
            <w:hideMark/>
          </w:tcPr>
          <w:p w14:paraId="0AC2D03D" w14:textId="4A63696E" w:rsidR="00146E86" w:rsidRPr="00005453" w:rsidRDefault="00146E86" w:rsidP="00146E86">
            <w:pPr>
              <w:jc w:val="right"/>
              <w:rPr>
                <w:b/>
                <w:color w:val="000000"/>
                <w:sz w:val="16"/>
                <w:szCs w:val="16"/>
                <w:lang w:eastAsia="tr-TR"/>
              </w:rPr>
            </w:pPr>
            <w:r w:rsidRPr="00005453">
              <w:rPr>
                <w:b/>
                <w:bCs/>
                <w:color w:val="000000"/>
                <w:sz w:val="16"/>
                <w:szCs w:val="22"/>
              </w:rPr>
              <w:t>21,682,372</w:t>
            </w:r>
          </w:p>
        </w:tc>
        <w:tc>
          <w:tcPr>
            <w:tcW w:w="1033" w:type="dxa"/>
            <w:tcBorders>
              <w:top w:val="nil"/>
              <w:left w:val="nil"/>
              <w:bottom w:val="single" w:sz="8" w:space="0" w:color="auto"/>
              <w:right w:val="single" w:sz="8" w:space="0" w:color="auto"/>
            </w:tcBorders>
            <w:shd w:val="clear" w:color="auto" w:fill="auto"/>
            <w:noWrap/>
            <w:vAlign w:val="center"/>
            <w:hideMark/>
          </w:tcPr>
          <w:p w14:paraId="6EBB5A12" w14:textId="74120FFC" w:rsidR="00146E86" w:rsidRPr="00005453" w:rsidRDefault="00146E86" w:rsidP="00146E86">
            <w:pPr>
              <w:jc w:val="right"/>
              <w:rPr>
                <w:b/>
                <w:color w:val="000000"/>
                <w:sz w:val="16"/>
                <w:szCs w:val="16"/>
                <w:lang w:eastAsia="tr-TR"/>
              </w:rPr>
            </w:pPr>
            <w:r w:rsidRPr="00005453">
              <w:rPr>
                <w:b/>
                <w:bCs/>
                <w:color w:val="000000"/>
                <w:sz w:val="16"/>
                <w:szCs w:val="22"/>
              </w:rPr>
              <w:t>363,078,465</w:t>
            </w:r>
          </w:p>
        </w:tc>
      </w:tr>
      <w:bookmarkEnd w:id="54"/>
    </w:tbl>
    <w:p w14:paraId="7B6FCA2B" w14:textId="09C04215" w:rsidR="00C25473" w:rsidRPr="00005453" w:rsidRDefault="00C25473" w:rsidP="00C25473">
      <w:pPr>
        <w:pStyle w:val="BodyText"/>
        <w:tabs>
          <w:tab w:val="left" w:pos="709"/>
        </w:tabs>
        <w:rPr>
          <w:b/>
          <w:sz w:val="16"/>
          <w:szCs w:val="16"/>
        </w:rPr>
      </w:pPr>
    </w:p>
    <w:p w14:paraId="3804447E" w14:textId="3A74A3E0" w:rsidR="00636021" w:rsidRPr="00005453" w:rsidRDefault="00636021" w:rsidP="00636021">
      <w:pPr>
        <w:ind w:hanging="567"/>
        <w:jc w:val="both"/>
        <w:rPr>
          <w:b/>
        </w:rPr>
      </w:pPr>
      <w:bookmarkStart w:id="55" w:name="_Hlk93391685"/>
      <w:r w:rsidRPr="00005453">
        <w:rPr>
          <w:b/>
          <w:color w:val="000000"/>
        </w:rPr>
        <w:t>10</w:t>
      </w:r>
      <w:r w:rsidRPr="00005453">
        <w:rPr>
          <w:b/>
        </w:rPr>
        <w:t xml:space="preserve">.2.   </w:t>
      </w:r>
      <w:r w:rsidRPr="00005453">
        <w:rPr>
          <w:b/>
        </w:rPr>
        <w:tab/>
      </w:r>
      <w:proofErr w:type="gramStart"/>
      <w:r w:rsidRPr="00005453">
        <w:rPr>
          <w:b/>
        </w:rPr>
        <w:t>KRA -</w:t>
      </w:r>
      <w:proofErr w:type="gramEnd"/>
      <w:r w:rsidRPr="00005453">
        <w:rPr>
          <w:b/>
        </w:rPr>
        <w:t xml:space="preserve"> Kredi riskiyle ilgili genel niteliksel bilgiler</w:t>
      </w:r>
    </w:p>
    <w:p w14:paraId="16C46606" w14:textId="77777777" w:rsidR="00636021" w:rsidRPr="00005453" w:rsidRDefault="00636021" w:rsidP="00636021">
      <w:pPr>
        <w:jc w:val="both"/>
        <w:rPr>
          <w:b/>
          <w:sz w:val="16"/>
          <w:szCs w:val="16"/>
        </w:rPr>
      </w:pPr>
      <w:r w:rsidRPr="00005453">
        <w:rPr>
          <w:b/>
        </w:rPr>
        <w:t xml:space="preserve"> </w:t>
      </w:r>
    </w:p>
    <w:p w14:paraId="70652623" w14:textId="17E9E31B" w:rsidR="00636021" w:rsidRPr="00005453" w:rsidRDefault="00636021" w:rsidP="00636021">
      <w:pPr>
        <w:spacing w:line="257" w:lineRule="auto"/>
        <w:ind w:hanging="567"/>
        <w:jc w:val="both"/>
        <w:rPr>
          <w:rFonts w:eastAsia="Calibri"/>
          <w:b/>
          <w:color w:val="000000"/>
          <w:sz w:val="16"/>
          <w:szCs w:val="16"/>
        </w:rPr>
      </w:pPr>
      <w:r w:rsidRPr="00005453">
        <w:rPr>
          <w:b/>
          <w:color w:val="000000"/>
        </w:rPr>
        <w:t>10</w:t>
      </w:r>
      <w:r w:rsidRPr="00005453">
        <w:rPr>
          <w:rFonts w:eastAsia="Calibri"/>
          <w:b/>
          <w:color w:val="000000"/>
        </w:rPr>
        <w:t>.2.1. Banka’nın iş modelinin, kredi riski profilindeki bileşenlere nasıl dönüştüğü</w:t>
      </w:r>
    </w:p>
    <w:p w14:paraId="7374F7B6" w14:textId="77777777" w:rsidR="00636021" w:rsidRPr="00005453" w:rsidRDefault="00636021" w:rsidP="00636021">
      <w:pPr>
        <w:jc w:val="both"/>
        <w:rPr>
          <w:color w:val="000000"/>
        </w:rPr>
      </w:pPr>
      <w:r w:rsidRPr="00005453">
        <w:rPr>
          <w:color w:val="000000"/>
        </w:rPr>
        <w:t>Banka’nın iş modeli esas olarak iki ana faaliyet alanından oluşmaktadır. Faizsiz bankacılık kuralları içerisinde cari hesaplar ve kar/zarar katılma hesapları yoluyla fon toplamak ve bu fonlar ve özkaynakları vasıtasıyla müşterilerine fon kullandırmaktır. Banka, bu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arttırmak ve böylece sürdürülebilir bir büyümeyi hedeflemektedir.</w:t>
      </w:r>
    </w:p>
    <w:p w14:paraId="694FE9A4" w14:textId="77777777" w:rsidR="00636021" w:rsidRPr="00005453" w:rsidRDefault="00636021" w:rsidP="00636021">
      <w:pPr>
        <w:jc w:val="both"/>
        <w:rPr>
          <w:color w:val="000000"/>
        </w:rPr>
      </w:pPr>
    </w:p>
    <w:p w14:paraId="39C32167" w14:textId="77777777" w:rsidR="00636021" w:rsidRPr="00005453" w:rsidRDefault="00636021" w:rsidP="00636021">
      <w:pPr>
        <w:spacing w:line="257" w:lineRule="auto"/>
        <w:jc w:val="both"/>
        <w:rPr>
          <w:color w:val="000000"/>
        </w:rPr>
      </w:pPr>
      <w:r w:rsidRPr="00005453">
        <w:rPr>
          <w:color w:val="000000"/>
        </w:rPr>
        <w:t>Banka’nın risk profili, Banka’nın maruz kaldığı ya da kalmayı beklediği risk türlerini ve risk türü bazındaki risk düzeyini gösterir. Banka’nın mevcut ve hedeflediği iş modeli çerçevesinde maruz kaldığı ve kalmayı beklediği en büyük risk türü kredi riskidir. En önemli kredi riski bileşenlerinden olan yoğunlaşma riski kapsamında sektörel yoğunlaşma limitleri belirlenmiştir. 20 ayrı sektör bazında nakdi, gayri nakdi ve toplam krediler bazında içsel limitler belirlenmiştir. Bu sektörlerdeki Takibe Dönüşüm Oranları’nın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0DE54AAE" w14:textId="77777777" w:rsidR="00636021" w:rsidRPr="00005453" w:rsidRDefault="00636021" w:rsidP="00636021">
      <w:pPr>
        <w:spacing w:line="257" w:lineRule="auto"/>
        <w:jc w:val="both"/>
        <w:rPr>
          <w:rFonts w:eastAsia="Calibri"/>
          <w:color w:val="000000"/>
          <w:sz w:val="16"/>
          <w:szCs w:val="16"/>
        </w:rPr>
      </w:pPr>
      <w:r w:rsidRPr="00005453">
        <w:rPr>
          <w:rFonts w:eastAsia="Calibri"/>
          <w:color w:val="000000"/>
        </w:rPr>
        <w:t xml:space="preserve"> </w:t>
      </w:r>
    </w:p>
    <w:p w14:paraId="306EBC05" w14:textId="7CF89293" w:rsidR="00636021" w:rsidRPr="00005453" w:rsidRDefault="00636021" w:rsidP="00636021">
      <w:pPr>
        <w:spacing w:line="257" w:lineRule="auto"/>
        <w:ind w:hanging="567"/>
        <w:jc w:val="both"/>
        <w:rPr>
          <w:rFonts w:eastAsia="Calibri"/>
          <w:b/>
          <w:color w:val="000000"/>
        </w:rPr>
      </w:pPr>
      <w:proofErr w:type="gramStart"/>
      <w:r w:rsidRPr="00005453">
        <w:rPr>
          <w:b/>
          <w:color w:val="000000"/>
        </w:rPr>
        <w:t>10</w:t>
      </w:r>
      <w:r w:rsidRPr="00005453">
        <w:rPr>
          <w:rFonts w:eastAsia="Calibri"/>
          <w:b/>
          <w:color w:val="000000"/>
        </w:rPr>
        <w:t>.2.2.  Kredi</w:t>
      </w:r>
      <w:proofErr w:type="gramEnd"/>
      <w:r w:rsidRPr="00005453">
        <w:rPr>
          <w:rFonts w:eastAsia="Calibri"/>
          <w:b/>
          <w:color w:val="000000"/>
        </w:rPr>
        <w:t xml:space="preserve"> riski politikası ve kredi risk limitleri belirlenirken kullanılan kriterler ve yaklaşım</w:t>
      </w:r>
    </w:p>
    <w:p w14:paraId="232FD83F" w14:textId="77777777" w:rsidR="00636021" w:rsidRPr="00005453" w:rsidRDefault="00636021" w:rsidP="00636021">
      <w:pPr>
        <w:spacing w:line="257" w:lineRule="auto"/>
        <w:ind w:hanging="567"/>
        <w:jc w:val="both"/>
        <w:rPr>
          <w:rFonts w:eastAsia="Calibri"/>
          <w:b/>
          <w:color w:val="000000"/>
          <w:sz w:val="16"/>
          <w:szCs w:val="16"/>
        </w:rPr>
      </w:pPr>
    </w:p>
    <w:p w14:paraId="7D87A6D9" w14:textId="77777777" w:rsidR="00636021" w:rsidRPr="00005453" w:rsidRDefault="00636021" w:rsidP="00636021">
      <w:pPr>
        <w:tabs>
          <w:tab w:val="left" w:pos="720"/>
        </w:tabs>
        <w:jc w:val="both"/>
      </w:pPr>
      <w:r w:rsidRPr="00005453">
        <w:t>Kredi Riski Politikası’nın temel amacı, kredi işlemleri sırasında üstlenilen karşı taraf riskinin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5818DB5A" w14:textId="77777777" w:rsidR="00636021" w:rsidRPr="00005453" w:rsidRDefault="00636021" w:rsidP="00636021">
      <w:pPr>
        <w:tabs>
          <w:tab w:val="left" w:pos="720"/>
        </w:tabs>
        <w:jc w:val="both"/>
      </w:pPr>
    </w:p>
    <w:p w14:paraId="4CA3E3BC" w14:textId="77777777" w:rsidR="00636021" w:rsidRPr="00005453" w:rsidRDefault="00636021" w:rsidP="00636021">
      <w:pPr>
        <w:tabs>
          <w:tab w:val="left" w:pos="720"/>
        </w:tabs>
        <w:spacing w:line="257" w:lineRule="auto"/>
        <w:jc w:val="both"/>
        <w:rPr>
          <w:rFonts w:eastAsia="Calibri"/>
        </w:rPr>
      </w:pPr>
      <w:r w:rsidRPr="00005453">
        <w:t>Risk limitleri; risk iştahı yapısının bir parçası olarak konsolide ve konsolide olmayan bazda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2C7F636E" w14:textId="5E4C9D30" w:rsidR="00C25473" w:rsidRPr="00005453" w:rsidRDefault="00C25473" w:rsidP="00C25473">
      <w:pPr>
        <w:tabs>
          <w:tab w:val="left" w:pos="720"/>
        </w:tabs>
        <w:spacing w:line="257" w:lineRule="auto"/>
        <w:jc w:val="both"/>
        <w:rPr>
          <w:rFonts w:eastAsia="Calibri"/>
        </w:rPr>
      </w:pPr>
    </w:p>
    <w:p w14:paraId="3C3711BB" w14:textId="609A43EC" w:rsidR="00F20AF5" w:rsidRPr="00005453" w:rsidRDefault="00F20AF5">
      <w:pPr>
        <w:rPr>
          <w:rFonts w:eastAsia="Calibri"/>
        </w:rPr>
      </w:pPr>
      <w:r w:rsidRPr="00005453">
        <w:rPr>
          <w:rFonts w:eastAsia="Calibri"/>
        </w:rPr>
        <w:br w:type="page"/>
      </w:r>
    </w:p>
    <w:p w14:paraId="1426D5C0" w14:textId="671BFA99" w:rsidR="00636021" w:rsidRPr="00005453" w:rsidRDefault="00636021" w:rsidP="00636021">
      <w:pPr>
        <w:spacing w:line="257" w:lineRule="auto"/>
        <w:ind w:hanging="567"/>
        <w:jc w:val="both"/>
        <w:rPr>
          <w:rFonts w:eastAsia="Calibri"/>
          <w:b/>
          <w:color w:val="000000"/>
        </w:rPr>
      </w:pPr>
      <w:proofErr w:type="gramStart"/>
      <w:r w:rsidRPr="00005453">
        <w:rPr>
          <w:b/>
          <w:color w:val="000000"/>
        </w:rPr>
        <w:lastRenderedPageBreak/>
        <w:t>10</w:t>
      </w:r>
      <w:r w:rsidRPr="00005453">
        <w:rPr>
          <w:rFonts w:eastAsia="Calibri"/>
          <w:b/>
          <w:color w:val="000000"/>
        </w:rPr>
        <w:t xml:space="preserve">.3.  </w:t>
      </w:r>
      <w:r w:rsidRPr="00005453">
        <w:rPr>
          <w:rFonts w:eastAsia="Calibri"/>
          <w:b/>
          <w:color w:val="000000"/>
        </w:rPr>
        <w:tab/>
      </w:r>
      <w:proofErr w:type="gramEnd"/>
      <w:r w:rsidRPr="00005453">
        <w:rPr>
          <w:rFonts w:eastAsia="Calibri"/>
          <w:b/>
          <w:color w:val="000000"/>
        </w:rPr>
        <w:t>Kredi riski yönetim ve kontrol fonksiyonunun yapısı ve organizasyonu</w:t>
      </w:r>
    </w:p>
    <w:p w14:paraId="30E2F07B" w14:textId="77777777" w:rsidR="00636021" w:rsidRPr="00005453" w:rsidRDefault="00636021" w:rsidP="00636021">
      <w:pPr>
        <w:spacing w:line="257" w:lineRule="auto"/>
        <w:ind w:hanging="567"/>
        <w:jc w:val="both"/>
        <w:rPr>
          <w:rFonts w:eastAsia="Calibri"/>
          <w:color w:val="000000"/>
          <w:sz w:val="16"/>
          <w:szCs w:val="16"/>
        </w:rPr>
      </w:pPr>
    </w:p>
    <w:p w14:paraId="0D306E56" w14:textId="77777777" w:rsidR="00636021" w:rsidRPr="00005453" w:rsidRDefault="00636021" w:rsidP="00636021">
      <w:pPr>
        <w:spacing w:line="257" w:lineRule="auto"/>
        <w:jc w:val="both"/>
        <w:rPr>
          <w:rFonts w:eastAsia="Calibri"/>
          <w:color w:val="000000"/>
        </w:rPr>
      </w:pPr>
      <w:r w:rsidRPr="00005453">
        <w:rPr>
          <w:rFonts w:eastAsia="Calibri"/>
        </w:rPr>
        <w:t xml:space="preserve">Risk, Kontrol ve Uyum Grubu; Yönetim Kurulu’na bağlı olan Risk Komitesi’ne bağlı olarak görev yapmaktadır.  Risk Yönetimi Başkanlığı Başkanı ve bağlı bulunduğu Risk, Kontrol ve Uyum Grubu Başkanı, risk yönetimine ilişkin Banka Yönetim Kurulu tarafından onaylanan strateji ve politikaları uygulamak ve Risk Komitesi tarafından verilen diğer görevleri yerine getirmekle görevli ve sorumludur. </w:t>
      </w:r>
      <w:r w:rsidRPr="00005453">
        <w:rPr>
          <w:rFonts w:eastAsia="Calibri"/>
          <w:color w:val="000000"/>
        </w:rPr>
        <w:t>Risk Yönetimi Başkanlığı’nı oluşturan birimlerden birisi olan Kredi Riski Yönetimi ve Modelleme birimi, kredi riski ile alakalı risk ölçüm ve yönetim işlemlerini ifa etmektedir.</w:t>
      </w:r>
    </w:p>
    <w:p w14:paraId="16058FF1" w14:textId="77777777" w:rsidR="00636021" w:rsidRPr="00005453" w:rsidRDefault="00636021" w:rsidP="00636021">
      <w:pPr>
        <w:spacing w:line="257" w:lineRule="auto"/>
        <w:jc w:val="both"/>
        <w:rPr>
          <w:rFonts w:eastAsia="Calibri"/>
          <w:color w:val="000000"/>
          <w:sz w:val="16"/>
          <w:szCs w:val="16"/>
        </w:rPr>
      </w:pPr>
    </w:p>
    <w:p w14:paraId="6E6FDAF4" w14:textId="3769C0AF" w:rsidR="00636021" w:rsidRPr="00005453" w:rsidRDefault="00636021" w:rsidP="00636021">
      <w:pPr>
        <w:spacing w:line="257" w:lineRule="auto"/>
        <w:ind w:hanging="567"/>
        <w:jc w:val="both"/>
        <w:rPr>
          <w:rFonts w:eastAsia="Calibri"/>
          <w:b/>
          <w:color w:val="000000"/>
        </w:rPr>
      </w:pPr>
      <w:proofErr w:type="gramStart"/>
      <w:r w:rsidRPr="00005453">
        <w:rPr>
          <w:b/>
          <w:color w:val="000000"/>
        </w:rPr>
        <w:t>10</w:t>
      </w:r>
      <w:r w:rsidRPr="00005453">
        <w:rPr>
          <w:rFonts w:eastAsia="Calibri"/>
          <w:b/>
          <w:color w:val="000000"/>
        </w:rPr>
        <w:t xml:space="preserve">.4.  </w:t>
      </w:r>
      <w:r w:rsidRPr="00005453">
        <w:rPr>
          <w:rFonts w:eastAsia="Calibri"/>
          <w:b/>
          <w:color w:val="000000"/>
        </w:rPr>
        <w:tab/>
      </w:r>
      <w:proofErr w:type="gramEnd"/>
      <w:r w:rsidRPr="00005453">
        <w:rPr>
          <w:rFonts w:eastAsia="Calibri"/>
          <w:b/>
          <w:color w:val="000000"/>
        </w:rPr>
        <w:t>Kredi riski yönetimi, risk kontrol, yasal uyum ve iç denetim fonksiyonları arasındaki ilişki</w:t>
      </w:r>
    </w:p>
    <w:p w14:paraId="542FAAA4" w14:textId="77777777" w:rsidR="00636021" w:rsidRPr="00005453" w:rsidRDefault="00636021" w:rsidP="00636021">
      <w:pPr>
        <w:spacing w:line="257" w:lineRule="auto"/>
        <w:ind w:hanging="567"/>
        <w:jc w:val="both"/>
        <w:rPr>
          <w:rFonts w:eastAsia="Calibri"/>
          <w:b/>
          <w:color w:val="000000"/>
          <w:sz w:val="16"/>
          <w:szCs w:val="16"/>
        </w:rPr>
      </w:pPr>
    </w:p>
    <w:p w14:paraId="43B233EA" w14:textId="77777777" w:rsidR="00636021" w:rsidRPr="00005453" w:rsidRDefault="00636021" w:rsidP="00636021">
      <w:pPr>
        <w:spacing w:line="257" w:lineRule="auto"/>
        <w:jc w:val="both"/>
        <w:rPr>
          <w:rFonts w:eastAsia="Calibri"/>
          <w:color w:val="000000"/>
        </w:rPr>
      </w:pPr>
      <w:r w:rsidRPr="00005453">
        <w:rPr>
          <w:rFonts w:eastAsia="Calibri"/>
          <w:color w:val="000000"/>
        </w:rPr>
        <w:t>İç sistemler kapsamındaki birimler Banka organizasyon yapısı içinde Yönetim Kuruluna bağlı olarak kurulmuştur. Yönetim Kurulu, risk yönetimi, iç kontrol ve uyumla ilgili görev ve sorumluluklarını üç yönetim kurulu üyesinden oluşan Risk Komitesine devretmiştir. Risk Yönetimi Başkanlığı, İç Kontrol Başkanlığı ve Uyum Başkanlığı, Risk Komitesi gözetim ve koordinasyonunda faaliyetlerini yürütmektedir. Yönetim Kurulu, iç denetimle ilgili görev ve sorumluluklarını ise üç Yönetim Kurulu üyesinden oluşan Denetim Komitesi aracılığıyla yürütmektedir.  Teftiş Kurulu Başkanlığı iç denetim faaliyetlerini Denetim Komitesinin gözetim ve koordinasyonunda ifa etmektedir.</w:t>
      </w:r>
    </w:p>
    <w:p w14:paraId="5A139853" w14:textId="77777777" w:rsidR="00636021" w:rsidRPr="00005453" w:rsidRDefault="00636021" w:rsidP="00636021">
      <w:pPr>
        <w:spacing w:line="257" w:lineRule="auto"/>
        <w:jc w:val="both"/>
        <w:rPr>
          <w:rFonts w:eastAsia="Calibri"/>
          <w:color w:val="000000"/>
          <w:sz w:val="16"/>
          <w:szCs w:val="16"/>
        </w:rPr>
      </w:pPr>
    </w:p>
    <w:p w14:paraId="3CC78CDB" w14:textId="77777777" w:rsidR="00636021" w:rsidRPr="00005453" w:rsidRDefault="00636021" w:rsidP="00636021">
      <w:pPr>
        <w:spacing w:line="257" w:lineRule="auto"/>
        <w:jc w:val="both"/>
        <w:rPr>
          <w:rFonts w:eastAsia="Calibri"/>
          <w:color w:val="000000"/>
        </w:rPr>
      </w:pPr>
      <w:r w:rsidRPr="00005453">
        <w:rPr>
          <w:rFonts w:eastAsia="Calibri"/>
          <w:color w:val="000000"/>
        </w:rPr>
        <w:t>Banka’nın iç kontrol fonksiyonu, İç Kontrol Başkanlığı tarafından yürütülmektedir. İç Kontrol Sistemi, Banka’nın maruz kaldığı risklerin azaltılması, yönetilmesi, izlenmesi ve kontrolünün sağlanması amacıyla, 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Banka’da iç kontrol sistemi ve iç kontrol faaliyetleri, İç Kontrol Başkanlığı ve ilgili üst düzey yöneticilerle birlikte tasarlanmakta, yeterli ve etkin şekilde yürütülmektedir.</w:t>
      </w:r>
    </w:p>
    <w:p w14:paraId="4E738C31" w14:textId="77777777" w:rsidR="00636021" w:rsidRPr="00005453" w:rsidRDefault="00636021" w:rsidP="00636021">
      <w:pPr>
        <w:spacing w:line="257" w:lineRule="auto"/>
        <w:jc w:val="both"/>
        <w:rPr>
          <w:rFonts w:eastAsia="Calibri"/>
          <w:color w:val="000000"/>
          <w:sz w:val="16"/>
          <w:szCs w:val="16"/>
        </w:rPr>
      </w:pPr>
    </w:p>
    <w:p w14:paraId="41D61D73" w14:textId="77777777" w:rsidR="00636021" w:rsidRPr="00005453" w:rsidRDefault="00636021" w:rsidP="00636021">
      <w:pPr>
        <w:spacing w:line="257" w:lineRule="auto"/>
        <w:jc w:val="both"/>
        <w:rPr>
          <w:rFonts w:eastAsia="Calibri"/>
          <w:color w:val="000000"/>
        </w:rPr>
      </w:pPr>
      <w:r w:rsidRPr="00005453">
        <w:rPr>
          <w:rFonts w:eastAsia="Calibri"/>
          <w:color w:val="000000"/>
        </w:rPr>
        <w:t>Uyum Başkanlığı, Bankada uyum riskinin etkin bir biçimde yönetilerek kontrol altında tutulmasını, söz konusu risklerin gerçekleşmeden önce tespit edilerek engellenmesini, Banka’nın faaliyetlerinin devamlı surette ilgili mevzuat ve düzenlemelere uygun ve uyumlu olarak yürütülmesini sağlamak amacıyla çalışmalar yürütmektedir.</w:t>
      </w:r>
    </w:p>
    <w:p w14:paraId="4E34A2F6" w14:textId="77777777" w:rsidR="00636021" w:rsidRPr="00005453" w:rsidRDefault="00636021" w:rsidP="00636021">
      <w:pPr>
        <w:spacing w:line="257" w:lineRule="auto"/>
        <w:jc w:val="both"/>
        <w:rPr>
          <w:rFonts w:eastAsia="Calibri"/>
          <w:color w:val="000000"/>
          <w:sz w:val="16"/>
          <w:szCs w:val="16"/>
        </w:rPr>
      </w:pPr>
      <w:r w:rsidRPr="00005453">
        <w:rPr>
          <w:rFonts w:eastAsia="Calibri"/>
          <w:color w:val="000000"/>
          <w:sz w:val="16"/>
          <w:szCs w:val="16"/>
        </w:rPr>
        <w:t xml:space="preserve"> </w:t>
      </w:r>
    </w:p>
    <w:p w14:paraId="545C9D92" w14:textId="77777777" w:rsidR="00636021" w:rsidRPr="00005453" w:rsidRDefault="00636021" w:rsidP="00636021">
      <w:pPr>
        <w:spacing w:line="257" w:lineRule="auto"/>
        <w:jc w:val="both"/>
        <w:rPr>
          <w:rFonts w:eastAsia="Calibri"/>
          <w:color w:val="000000"/>
        </w:rPr>
      </w:pPr>
      <w:r w:rsidRPr="00005453">
        <w:rPr>
          <w:rFonts w:eastAsia="Calibri"/>
        </w:rPr>
        <w:t xml:space="preserve">Risk Yönetimi Başkanlığı, Banka’nın karşı karşıya kaldığı risklerin belirlenmesi, ölçülmesi </w:t>
      </w:r>
      <w:r w:rsidRPr="00005453">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005453">
        <w:rPr>
          <w:rFonts w:eastAsia="Calibri"/>
        </w:rPr>
        <w:t xml:space="preserve"> </w:t>
      </w:r>
      <w:r w:rsidRPr="00005453">
        <w:rPr>
          <w:rFonts w:eastAsia="Calibri"/>
          <w:color w:val="000000"/>
        </w:rPr>
        <w:t>Yönetim Kurulu kararı ile belirlenen içsel kredi risk limitleri ölçülmekte, periyodik raporlar ile Risk Komitesi’ne sunulmaktadır.</w:t>
      </w:r>
    </w:p>
    <w:p w14:paraId="0015BA97" w14:textId="77777777" w:rsidR="00636021" w:rsidRPr="00005453" w:rsidRDefault="00636021" w:rsidP="00636021">
      <w:pPr>
        <w:spacing w:line="257" w:lineRule="auto"/>
        <w:jc w:val="both"/>
        <w:rPr>
          <w:rFonts w:eastAsia="Calibri"/>
          <w:color w:val="000000"/>
          <w:sz w:val="16"/>
          <w:szCs w:val="16"/>
        </w:rPr>
      </w:pPr>
      <w:r w:rsidRPr="00005453">
        <w:rPr>
          <w:rFonts w:eastAsia="Calibri"/>
          <w:color w:val="000000"/>
          <w:sz w:val="16"/>
          <w:szCs w:val="16"/>
        </w:rPr>
        <w:t xml:space="preserve"> </w:t>
      </w:r>
    </w:p>
    <w:p w14:paraId="5CA3F072" w14:textId="77777777" w:rsidR="00636021" w:rsidRPr="00005453" w:rsidRDefault="00636021" w:rsidP="00636021">
      <w:pPr>
        <w:spacing w:line="257" w:lineRule="auto"/>
        <w:jc w:val="both"/>
        <w:rPr>
          <w:rFonts w:eastAsia="Calibri"/>
        </w:rPr>
      </w:pPr>
      <w:r w:rsidRPr="00005453">
        <w:rPr>
          <w:rFonts w:eastAsia="Calibri"/>
        </w:rPr>
        <w:t>Teftiş Kurulu Başkanlığı; yönetim kuruluna ve üst düzey yönetime 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7E3220ED" w14:textId="77777777" w:rsidR="00C25473" w:rsidRPr="00005453" w:rsidRDefault="00C25473" w:rsidP="00C25473">
      <w:pPr>
        <w:spacing w:line="257" w:lineRule="auto"/>
        <w:jc w:val="both"/>
        <w:rPr>
          <w:rFonts w:eastAsia="Calibri"/>
          <w:sz w:val="16"/>
          <w:szCs w:val="16"/>
        </w:rPr>
      </w:pPr>
    </w:p>
    <w:p w14:paraId="7C7406CB" w14:textId="77777777" w:rsidR="00636021" w:rsidRPr="00005453" w:rsidRDefault="00636021" w:rsidP="00636021">
      <w:pPr>
        <w:spacing w:line="257" w:lineRule="auto"/>
        <w:ind w:hanging="567"/>
        <w:jc w:val="both"/>
        <w:rPr>
          <w:rFonts w:eastAsia="Calibri"/>
          <w:b/>
          <w:color w:val="000000"/>
        </w:rPr>
      </w:pPr>
      <w:bookmarkStart w:id="56" w:name="_Hlk94518862"/>
      <w:r w:rsidRPr="00005453">
        <w:rPr>
          <w:b/>
          <w:color w:val="000000"/>
        </w:rPr>
        <w:t>10</w:t>
      </w:r>
      <w:r w:rsidRPr="00005453">
        <w:rPr>
          <w:rFonts w:eastAsia="Calibri"/>
          <w:b/>
          <w:color w:val="000000"/>
        </w:rPr>
        <w:t>.5.    Üst düzey yönetim ve yönetim kurulu üyelerine kredi riski yönetim fonksiyonu ve maruz kalınan kredi riski ile ilgili yapılacak raporlamadaki kapsam ve ana içerik</w:t>
      </w:r>
    </w:p>
    <w:p w14:paraId="0A3588F1" w14:textId="77777777" w:rsidR="00636021" w:rsidRPr="00005453" w:rsidRDefault="00636021" w:rsidP="00636021">
      <w:pPr>
        <w:spacing w:line="257" w:lineRule="auto"/>
        <w:ind w:hanging="567"/>
        <w:jc w:val="both"/>
        <w:rPr>
          <w:rFonts w:eastAsia="Calibri"/>
          <w:color w:val="000000"/>
          <w:sz w:val="16"/>
          <w:szCs w:val="16"/>
        </w:rPr>
      </w:pPr>
    </w:p>
    <w:p w14:paraId="42D34E4E" w14:textId="77777777" w:rsidR="00636021" w:rsidRPr="00005453" w:rsidRDefault="00636021" w:rsidP="00636021">
      <w:pPr>
        <w:jc w:val="both"/>
        <w:rPr>
          <w:color w:val="000000"/>
        </w:rPr>
      </w:pPr>
      <w:r w:rsidRPr="00005453">
        <w:rPr>
          <w:color w:val="000000"/>
        </w:rPr>
        <w:t xml:space="preserve">Yönetim Kuruluna ve üst yönetime sağlanan temel rapor olan Üst Düzey Risk Yönetimi Raporu, üç ayda </w:t>
      </w:r>
      <w:proofErr w:type="gramStart"/>
      <w:r w:rsidRPr="00005453">
        <w:rPr>
          <w:color w:val="000000"/>
        </w:rPr>
        <w:t>bir  hazırlanmaktadır</w:t>
      </w:r>
      <w:proofErr w:type="gramEnd"/>
      <w:r w:rsidRPr="00005453">
        <w:rPr>
          <w:color w:val="000000"/>
        </w:rPr>
        <w:t>. Raporda ana içerik olarak aşağıdaki hususlar yer almaktadır.</w:t>
      </w:r>
    </w:p>
    <w:p w14:paraId="3F6FEE7D" w14:textId="77777777" w:rsidR="00636021" w:rsidRPr="00005453" w:rsidRDefault="00636021" w:rsidP="00636021">
      <w:pPr>
        <w:jc w:val="both"/>
        <w:rPr>
          <w:color w:val="000000"/>
        </w:rPr>
      </w:pPr>
    </w:p>
    <w:p w14:paraId="441CF751" w14:textId="77777777" w:rsidR="00636021" w:rsidRPr="00005453" w:rsidRDefault="00636021" w:rsidP="00636021">
      <w:pPr>
        <w:jc w:val="both"/>
        <w:rPr>
          <w:color w:val="000000"/>
        </w:rPr>
      </w:pPr>
      <w:r w:rsidRPr="00005453">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sektörel kredi kullandırımları nakdi, gayrinakdi ve toplam krediler bazında takip edilmektedir. </w:t>
      </w:r>
    </w:p>
    <w:p w14:paraId="2648CA53" w14:textId="77777777" w:rsidR="00636021" w:rsidRPr="00005453" w:rsidRDefault="00636021" w:rsidP="00636021">
      <w:pPr>
        <w:jc w:val="both"/>
        <w:rPr>
          <w:color w:val="000000"/>
        </w:rPr>
      </w:pPr>
    </w:p>
    <w:p w14:paraId="51869B35" w14:textId="77777777" w:rsidR="00636021" w:rsidRPr="00005453" w:rsidRDefault="00636021" w:rsidP="00636021">
      <w:pPr>
        <w:jc w:val="both"/>
        <w:rPr>
          <w:color w:val="000000"/>
        </w:rPr>
      </w:pPr>
      <w:r w:rsidRPr="00005453">
        <w:rPr>
          <w:color w:val="000000"/>
        </w:rPr>
        <w:t xml:space="preserve">Ekonomik sektörlerin kredi kullandırımdaki payları ve gelişim trendleri izlenmektedir. </w:t>
      </w:r>
      <w:r w:rsidRPr="00005453">
        <w:t xml:space="preserve">Bankamızın risk iştahına ilişkin olarak tanımlanan risk limitleri ve gerçekleşmelerine yer verilmektedir. </w:t>
      </w:r>
      <w:r w:rsidRPr="00005453">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33FD1DEA" w14:textId="77777777" w:rsidR="00636021" w:rsidRPr="00005453" w:rsidRDefault="00636021" w:rsidP="00636021">
      <w:pPr>
        <w:jc w:val="both"/>
        <w:rPr>
          <w:color w:val="000000"/>
        </w:rPr>
      </w:pPr>
    </w:p>
    <w:p w14:paraId="107175CC" w14:textId="77777777" w:rsidR="00636021" w:rsidRPr="00005453" w:rsidRDefault="00636021" w:rsidP="00636021">
      <w:pPr>
        <w:jc w:val="both"/>
        <w:rPr>
          <w:color w:val="000000"/>
        </w:rPr>
      </w:pPr>
      <w:r w:rsidRPr="00005453">
        <w:rPr>
          <w:color w:val="000000"/>
        </w:rPr>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kullandırımlar raporlanmaktadır. </w:t>
      </w:r>
    </w:p>
    <w:p w14:paraId="6BC0DA24" w14:textId="6206B9CA" w:rsidR="00F20AF5" w:rsidRPr="00005453" w:rsidRDefault="00F20AF5">
      <w:pPr>
        <w:rPr>
          <w:color w:val="000000"/>
        </w:rPr>
      </w:pPr>
      <w:r w:rsidRPr="00005453">
        <w:rPr>
          <w:color w:val="000000"/>
        </w:rPr>
        <w:br w:type="page"/>
      </w:r>
    </w:p>
    <w:p w14:paraId="607D7869" w14:textId="77777777" w:rsidR="00636021" w:rsidRPr="00005453" w:rsidRDefault="00636021" w:rsidP="00636021">
      <w:pPr>
        <w:jc w:val="both"/>
        <w:rPr>
          <w:color w:val="000000"/>
        </w:rPr>
      </w:pPr>
      <w:r w:rsidRPr="00005453">
        <w:rPr>
          <w:color w:val="000000"/>
        </w:rPr>
        <w:lastRenderedPageBreak/>
        <w:t>Ülke ratingleri, limitleri ve limit gerçekleşmeleri takip edilmekte ve bir önceki dönem ile karşılaştırmalara yer verilmektedir.</w:t>
      </w:r>
    </w:p>
    <w:p w14:paraId="48812C2F" w14:textId="77777777" w:rsidR="00636021" w:rsidRPr="00005453" w:rsidRDefault="00636021" w:rsidP="00636021">
      <w:pPr>
        <w:jc w:val="both"/>
        <w:rPr>
          <w:color w:val="000000"/>
        </w:rPr>
      </w:pPr>
    </w:p>
    <w:p w14:paraId="1E88F153" w14:textId="77777777" w:rsidR="00636021" w:rsidRPr="00005453" w:rsidRDefault="00636021" w:rsidP="00636021">
      <w:pPr>
        <w:jc w:val="both"/>
        <w:rPr>
          <w:color w:val="000000"/>
        </w:rPr>
      </w:pPr>
      <w:r w:rsidRPr="00005453">
        <w:rPr>
          <w:color w:val="000000"/>
        </w:rPr>
        <w:t xml:space="preserve">Banka’nın kendi iç segment yapısına göre kredi portföyleri oluşturmuştur. Bu segmentler ayrıca kendi içinde alt segmentlere ayrılmaktadır. Bu portföyler bazında nakdi, gayrinakdi ve toplam bazda risk gerçekleşmeleri takip edilmektedir. </w:t>
      </w:r>
    </w:p>
    <w:p w14:paraId="069EC65C" w14:textId="77777777" w:rsidR="00636021" w:rsidRPr="00005453" w:rsidRDefault="00636021" w:rsidP="00636021">
      <w:pPr>
        <w:jc w:val="both"/>
        <w:rPr>
          <w:color w:val="000000"/>
        </w:rPr>
      </w:pPr>
    </w:p>
    <w:p w14:paraId="2539E81A" w14:textId="5968F003" w:rsidR="00C25473" w:rsidRPr="00005453" w:rsidRDefault="00636021" w:rsidP="00636021">
      <w:pPr>
        <w:jc w:val="both"/>
        <w:rPr>
          <w:rFonts w:eastAsia="Calibri"/>
          <w:color w:val="000000"/>
        </w:rPr>
      </w:pPr>
      <w:r w:rsidRPr="00005453">
        <w:rPr>
          <w:color w:val="000000"/>
        </w:rPr>
        <w:t>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almaktadır.</w:t>
      </w:r>
    </w:p>
    <w:bookmarkEnd w:id="55"/>
    <w:p w14:paraId="3989E3B2" w14:textId="77777777" w:rsidR="00C25473" w:rsidRPr="00005453" w:rsidRDefault="00C25473" w:rsidP="00C25473">
      <w:pPr>
        <w:jc w:val="both"/>
        <w:rPr>
          <w:rFonts w:eastAsia="Arial Unicode MS"/>
          <w:sz w:val="16"/>
          <w:szCs w:val="16"/>
        </w:rPr>
      </w:pPr>
    </w:p>
    <w:p w14:paraId="79F0EA9E" w14:textId="15E0EDE5" w:rsidR="00C25473" w:rsidRPr="00005453" w:rsidRDefault="00C25473" w:rsidP="00C25473">
      <w:pPr>
        <w:rPr>
          <w:b/>
        </w:rPr>
      </w:pPr>
      <w:r w:rsidRPr="00005453">
        <w:rPr>
          <w:b/>
        </w:rPr>
        <w:t>Varlıkların kredi kalitesi</w:t>
      </w:r>
    </w:p>
    <w:p w14:paraId="563A1E22" w14:textId="6E2B2F3E" w:rsidR="002C5FB0" w:rsidRPr="00005453" w:rsidRDefault="00C25473" w:rsidP="00C25473">
      <w:pPr>
        <w:rPr>
          <w:lang w:val="en-GB" w:eastAsia="en-GB"/>
        </w:rPr>
      </w:pPr>
      <w:r w:rsidRPr="00005453">
        <w:rPr>
          <w:b/>
        </w:rPr>
        <w:t xml:space="preserve">  </w:t>
      </w:r>
    </w:p>
    <w:tbl>
      <w:tblPr>
        <w:tblW w:w="9559" w:type="dxa"/>
        <w:tblCellMar>
          <w:left w:w="70" w:type="dxa"/>
          <w:right w:w="70" w:type="dxa"/>
        </w:tblCellMar>
        <w:tblLook w:val="04A0" w:firstRow="1" w:lastRow="0" w:firstColumn="1" w:lastColumn="0" w:noHBand="0" w:noVBand="1"/>
      </w:tblPr>
      <w:tblGrid>
        <w:gridCol w:w="690"/>
        <w:gridCol w:w="1568"/>
        <w:gridCol w:w="1553"/>
        <w:gridCol w:w="1637"/>
        <w:gridCol w:w="2551"/>
        <w:gridCol w:w="1560"/>
      </w:tblGrid>
      <w:tr w:rsidR="002C5FB0" w:rsidRPr="00005453" w14:paraId="2AD2844C" w14:textId="77777777" w:rsidTr="00C07B3E">
        <w:trPr>
          <w:divId w:val="699017727"/>
          <w:trHeight w:val="180"/>
        </w:trPr>
        <w:tc>
          <w:tcPr>
            <w:tcW w:w="690"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2EC676F" w14:textId="0BBFC01F" w:rsidR="002C5FB0" w:rsidRPr="00005453" w:rsidRDefault="002C5FB0" w:rsidP="002C5FB0">
            <w:pPr>
              <w:jc w:val="center"/>
              <w:rPr>
                <w:b/>
                <w:bCs/>
                <w:color w:val="000000"/>
                <w:sz w:val="18"/>
                <w:szCs w:val="18"/>
                <w:lang w:eastAsia="tr-TR"/>
              </w:rPr>
            </w:pPr>
            <w:r w:rsidRPr="00005453">
              <w:rPr>
                <w:b/>
                <w:bCs/>
                <w:color w:val="000000"/>
                <w:sz w:val="18"/>
                <w:szCs w:val="18"/>
                <w:lang w:eastAsia="tr-TR"/>
              </w:rPr>
              <w:t xml:space="preserve">  Cari Dönem</w:t>
            </w:r>
          </w:p>
        </w:tc>
        <w:tc>
          <w:tcPr>
            <w:tcW w:w="1568" w:type="dxa"/>
            <w:tcBorders>
              <w:top w:val="single" w:sz="8" w:space="0" w:color="auto"/>
              <w:left w:val="nil"/>
              <w:bottom w:val="dotted" w:sz="4" w:space="0" w:color="auto"/>
              <w:right w:val="dotted" w:sz="4" w:space="0" w:color="auto"/>
            </w:tcBorders>
            <w:shd w:val="clear" w:color="auto" w:fill="auto"/>
            <w:vAlign w:val="center"/>
            <w:hideMark/>
          </w:tcPr>
          <w:p w14:paraId="3248E66A" w14:textId="77777777" w:rsidR="002C5FB0" w:rsidRPr="00005453" w:rsidRDefault="002C5FB0" w:rsidP="002C5FB0">
            <w:pPr>
              <w:jc w:val="center"/>
              <w:rPr>
                <w:color w:val="000000"/>
                <w:sz w:val="18"/>
                <w:szCs w:val="18"/>
                <w:lang w:eastAsia="tr-TR"/>
              </w:rPr>
            </w:pPr>
            <w:r w:rsidRPr="00005453">
              <w:rPr>
                <w:color w:val="000000"/>
                <w:sz w:val="18"/>
                <w:szCs w:val="18"/>
                <w:lang w:eastAsia="tr-TR"/>
              </w:rPr>
              <w:t> </w:t>
            </w:r>
          </w:p>
        </w:tc>
        <w:tc>
          <w:tcPr>
            <w:tcW w:w="3190" w:type="dxa"/>
            <w:gridSpan w:val="2"/>
            <w:tcBorders>
              <w:top w:val="single" w:sz="8" w:space="0" w:color="auto"/>
              <w:left w:val="nil"/>
              <w:bottom w:val="dotted" w:sz="4" w:space="0" w:color="auto"/>
              <w:right w:val="dotted" w:sz="4" w:space="0" w:color="000000"/>
            </w:tcBorders>
            <w:shd w:val="clear" w:color="auto" w:fill="auto"/>
            <w:vAlign w:val="center"/>
            <w:hideMark/>
          </w:tcPr>
          <w:p w14:paraId="31BC4939" w14:textId="77777777" w:rsidR="002C5FB0" w:rsidRPr="00005453" w:rsidRDefault="002C5FB0" w:rsidP="002C5FB0">
            <w:pPr>
              <w:jc w:val="center"/>
              <w:rPr>
                <w:b/>
                <w:bCs/>
                <w:color w:val="000000"/>
                <w:sz w:val="18"/>
                <w:szCs w:val="18"/>
                <w:lang w:eastAsia="tr-TR"/>
              </w:rPr>
            </w:pPr>
            <w:r w:rsidRPr="00005453">
              <w:rPr>
                <w:b/>
                <w:bCs/>
                <w:color w:val="000000"/>
                <w:sz w:val="18"/>
                <w:szCs w:val="18"/>
                <w:lang w:eastAsia="tr-TR"/>
              </w:rPr>
              <w:t>Yasal konsolidasyona göre hazırlanan finansal tablolarda yer alan TMS uyarınca değerlenmiş brüt tutarı</w:t>
            </w:r>
          </w:p>
        </w:tc>
        <w:tc>
          <w:tcPr>
            <w:tcW w:w="2551" w:type="dxa"/>
            <w:vMerge w:val="restart"/>
            <w:tcBorders>
              <w:top w:val="single" w:sz="8" w:space="0" w:color="auto"/>
              <w:left w:val="nil"/>
              <w:bottom w:val="dotted" w:sz="4" w:space="0" w:color="000000"/>
              <w:right w:val="dotted" w:sz="4" w:space="0" w:color="auto"/>
            </w:tcBorders>
            <w:shd w:val="clear" w:color="auto" w:fill="auto"/>
            <w:vAlign w:val="center"/>
            <w:hideMark/>
          </w:tcPr>
          <w:p w14:paraId="1F51EBF2" w14:textId="77777777" w:rsidR="002C5FB0" w:rsidRPr="00005453" w:rsidRDefault="002C5FB0" w:rsidP="002C5FB0">
            <w:pPr>
              <w:jc w:val="center"/>
              <w:rPr>
                <w:b/>
                <w:bCs/>
                <w:color w:val="000000"/>
                <w:sz w:val="18"/>
                <w:szCs w:val="18"/>
                <w:lang w:eastAsia="tr-TR"/>
              </w:rPr>
            </w:pPr>
            <w:r w:rsidRPr="00005453">
              <w:rPr>
                <w:b/>
                <w:bCs/>
                <w:color w:val="000000"/>
                <w:sz w:val="18"/>
                <w:szCs w:val="18"/>
                <w:lang w:eastAsia="tr-TR"/>
              </w:rPr>
              <w:t>Karşılıklar/amortisman ve değer düşüklüğü</w:t>
            </w:r>
          </w:p>
        </w:tc>
        <w:tc>
          <w:tcPr>
            <w:tcW w:w="1560"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24D56D65" w14:textId="77777777" w:rsidR="002C5FB0" w:rsidRPr="00005453" w:rsidRDefault="002C5FB0" w:rsidP="002C5FB0">
            <w:pPr>
              <w:jc w:val="center"/>
              <w:rPr>
                <w:b/>
                <w:bCs/>
                <w:color w:val="000000"/>
                <w:sz w:val="18"/>
                <w:szCs w:val="18"/>
                <w:lang w:eastAsia="tr-TR"/>
              </w:rPr>
            </w:pPr>
            <w:r w:rsidRPr="00005453">
              <w:rPr>
                <w:b/>
                <w:bCs/>
                <w:color w:val="000000"/>
                <w:sz w:val="18"/>
                <w:szCs w:val="18"/>
                <w:lang w:eastAsia="tr-TR"/>
              </w:rPr>
              <w:t>Net değer</w:t>
            </w:r>
          </w:p>
        </w:tc>
      </w:tr>
      <w:tr w:rsidR="002C5FB0" w:rsidRPr="00005453" w14:paraId="75460D3F" w14:textId="77777777" w:rsidTr="00C07B3E">
        <w:trPr>
          <w:divId w:val="699017727"/>
          <w:trHeight w:val="158"/>
        </w:trPr>
        <w:tc>
          <w:tcPr>
            <w:tcW w:w="690" w:type="dxa"/>
            <w:tcBorders>
              <w:top w:val="nil"/>
              <w:left w:val="single" w:sz="8" w:space="0" w:color="auto"/>
              <w:bottom w:val="dotted" w:sz="4" w:space="0" w:color="auto"/>
              <w:right w:val="dotted" w:sz="4" w:space="0" w:color="auto"/>
            </w:tcBorders>
            <w:shd w:val="clear" w:color="auto" w:fill="auto"/>
            <w:vAlign w:val="center"/>
            <w:hideMark/>
          </w:tcPr>
          <w:p w14:paraId="692A31D2" w14:textId="77777777" w:rsidR="002C5FB0" w:rsidRPr="00005453" w:rsidRDefault="002C5FB0" w:rsidP="002C5FB0">
            <w:pPr>
              <w:jc w:val="center"/>
              <w:rPr>
                <w:color w:val="000000"/>
                <w:sz w:val="18"/>
                <w:szCs w:val="18"/>
                <w:lang w:eastAsia="tr-TR"/>
              </w:rPr>
            </w:pPr>
            <w:r w:rsidRPr="00005453">
              <w:rPr>
                <w:color w:val="000000"/>
                <w:sz w:val="18"/>
                <w:szCs w:val="18"/>
                <w:lang w:eastAsia="tr-TR"/>
              </w:rPr>
              <w:t> </w:t>
            </w:r>
          </w:p>
        </w:tc>
        <w:tc>
          <w:tcPr>
            <w:tcW w:w="1568" w:type="dxa"/>
            <w:tcBorders>
              <w:top w:val="nil"/>
              <w:left w:val="nil"/>
              <w:bottom w:val="dotted" w:sz="4" w:space="0" w:color="auto"/>
              <w:right w:val="dotted" w:sz="4" w:space="0" w:color="auto"/>
            </w:tcBorders>
            <w:shd w:val="clear" w:color="auto" w:fill="auto"/>
            <w:vAlign w:val="center"/>
            <w:hideMark/>
          </w:tcPr>
          <w:p w14:paraId="12C639CE" w14:textId="77777777" w:rsidR="002C5FB0" w:rsidRPr="00005453" w:rsidRDefault="002C5FB0" w:rsidP="002C5FB0">
            <w:pPr>
              <w:jc w:val="center"/>
              <w:rPr>
                <w:color w:val="000000"/>
                <w:sz w:val="18"/>
                <w:szCs w:val="18"/>
                <w:lang w:eastAsia="tr-TR"/>
              </w:rPr>
            </w:pPr>
            <w:r w:rsidRPr="00005453">
              <w:rPr>
                <w:color w:val="000000"/>
                <w:sz w:val="18"/>
                <w:szCs w:val="18"/>
                <w:lang w:eastAsia="tr-TR"/>
              </w:rPr>
              <w:t> </w:t>
            </w:r>
          </w:p>
        </w:tc>
        <w:tc>
          <w:tcPr>
            <w:tcW w:w="1553" w:type="dxa"/>
            <w:tcBorders>
              <w:top w:val="nil"/>
              <w:left w:val="nil"/>
              <w:bottom w:val="dotted" w:sz="4" w:space="0" w:color="auto"/>
              <w:right w:val="dotted" w:sz="4" w:space="0" w:color="auto"/>
            </w:tcBorders>
            <w:shd w:val="clear" w:color="auto" w:fill="auto"/>
            <w:noWrap/>
            <w:vAlign w:val="center"/>
            <w:hideMark/>
          </w:tcPr>
          <w:p w14:paraId="59A4589E" w14:textId="77777777" w:rsidR="002C5FB0" w:rsidRPr="00005453" w:rsidRDefault="002C5FB0" w:rsidP="002C5FB0">
            <w:pPr>
              <w:jc w:val="center"/>
              <w:rPr>
                <w:b/>
                <w:bCs/>
                <w:color w:val="000000"/>
                <w:sz w:val="18"/>
                <w:szCs w:val="18"/>
                <w:lang w:eastAsia="tr-TR"/>
              </w:rPr>
            </w:pPr>
            <w:r w:rsidRPr="00005453">
              <w:rPr>
                <w:b/>
                <w:bCs/>
                <w:color w:val="000000"/>
                <w:sz w:val="18"/>
                <w:szCs w:val="18"/>
                <w:lang w:eastAsia="tr-TR"/>
              </w:rPr>
              <w:t>Temerrüt Etmiş</w:t>
            </w:r>
          </w:p>
        </w:tc>
        <w:tc>
          <w:tcPr>
            <w:tcW w:w="1637" w:type="dxa"/>
            <w:tcBorders>
              <w:top w:val="nil"/>
              <w:left w:val="nil"/>
              <w:bottom w:val="dotted" w:sz="4" w:space="0" w:color="auto"/>
              <w:right w:val="dotted" w:sz="4" w:space="0" w:color="auto"/>
            </w:tcBorders>
            <w:shd w:val="clear" w:color="auto" w:fill="auto"/>
            <w:noWrap/>
            <w:vAlign w:val="center"/>
            <w:hideMark/>
          </w:tcPr>
          <w:p w14:paraId="10E89BDD" w14:textId="77777777" w:rsidR="002C5FB0" w:rsidRPr="00005453" w:rsidRDefault="002C5FB0" w:rsidP="002C5FB0">
            <w:pPr>
              <w:jc w:val="center"/>
              <w:rPr>
                <w:b/>
                <w:bCs/>
                <w:color w:val="000000"/>
                <w:sz w:val="18"/>
                <w:szCs w:val="18"/>
                <w:lang w:eastAsia="tr-TR"/>
              </w:rPr>
            </w:pPr>
            <w:r w:rsidRPr="00005453">
              <w:rPr>
                <w:b/>
                <w:bCs/>
                <w:color w:val="000000"/>
                <w:sz w:val="18"/>
                <w:szCs w:val="18"/>
                <w:lang w:eastAsia="tr-TR"/>
              </w:rPr>
              <w:t xml:space="preserve">Temerrüt Etmemiş </w:t>
            </w:r>
          </w:p>
        </w:tc>
        <w:tc>
          <w:tcPr>
            <w:tcW w:w="2551" w:type="dxa"/>
            <w:vMerge/>
            <w:tcBorders>
              <w:top w:val="single" w:sz="8" w:space="0" w:color="auto"/>
              <w:left w:val="nil"/>
              <w:bottom w:val="dotted" w:sz="4" w:space="0" w:color="000000"/>
              <w:right w:val="dotted" w:sz="4" w:space="0" w:color="auto"/>
            </w:tcBorders>
            <w:vAlign w:val="center"/>
            <w:hideMark/>
          </w:tcPr>
          <w:p w14:paraId="46B0276E" w14:textId="77777777" w:rsidR="002C5FB0" w:rsidRPr="00005453" w:rsidRDefault="002C5FB0" w:rsidP="002C5FB0">
            <w:pPr>
              <w:rPr>
                <w:b/>
                <w:bCs/>
                <w:color w:val="000000"/>
                <w:sz w:val="18"/>
                <w:szCs w:val="18"/>
                <w:lang w:eastAsia="tr-TR"/>
              </w:rPr>
            </w:pPr>
          </w:p>
        </w:tc>
        <w:tc>
          <w:tcPr>
            <w:tcW w:w="1560" w:type="dxa"/>
            <w:vMerge/>
            <w:tcBorders>
              <w:top w:val="single" w:sz="8" w:space="0" w:color="auto"/>
              <w:left w:val="dotted" w:sz="4" w:space="0" w:color="auto"/>
              <w:bottom w:val="dotted" w:sz="4" w:space="0" w:color="000000"/>
              <w:right w:val="single" w:sz="8" w:space="0" w:color="auto"/>
            </w:tcBorders>
            <w:vAlign w:val="center"/>
            <w:hideMark/>
          </w:tcPr>
          <w:p w14:paraId="6EE57F00" w14:textId="77777777" w:rsidR="002C5FB0" w:rsidRPr="00005453" w:rsidRDefault="002C5FB0" w:rsidP="002C5FB0">
            <w:pPr>
              <w:rPr>
                <w:b/>
                <w:bCs/>
                <w:color w:val="000000"/>
                <w:sz w:val="18"/>
                <w:szCs w:val="18"/>
                <w:lang w:eastAsia="tr-TR"/>
              </w:rPr>
            </w:pPr>
          </w:p>
        </w:tc>
      </w:tr>
      <w:tr w:rsidR="006E16F7" w:rsidRPr="00005453" w14:paraId="4F735F4F" w14:textId="77777777" w:rsidTr="00C07B3E">
        <w:trPr>
          <w:divId w:val="699017727"/>
          <w:trHeight w:val="144"/>
        </w:trPr>
        <w:tc>
          <w:tcPr>
            <w:tcW w:w="690" w:type="dxa"/>
            <w:tcBorders>
              <w:top w:val="nil"/>
              <w:left w:val="single" w:sz="8" w:space="0" w:color="auto"/>
              <w:bottom w:val="dotted" w:sz="4" w:space="0" w:color="auto"/>
              <w:right w:val="dotted" w:sz="4" w:space="0" w:color="auto"/>
            </w:tcBorders>
            <w:shd w:val="clear" w:color="auto" w:fill="auto"/>
            <w:vAlign w:val="center"/>
            <w:hideMark/>
          </w:tcPr>
          <w:p w14:paraId="1B77199B" w14:textId="77777777" w:rsidR="006E16F7" w:rsidRPr="00005453" w:rsidRDefault="006E16F7" w:rsidP="006E16F7">
            <w:pPr>
              <w:jc w:val="center"/>
              <w:rPr>
                <w:color w:val="000000"/>
                <w:sz w:val="18"/>
                <w:szCs w:val="18"/>
                <w:lang w:eastAsia="tr-TR"/>
              </w:rPr>
            </w:pPr>
            <w:r w:rsidRPr="00005453">
              <w:rPr>
                <w:color w:val="000000"/>
                <w:sz w:val="18"/>
                <w:szCs w:val="18"/>
                <w:lang w:eastAsia="tr-TR"/>
              </w:rPr>
              <w:t>1</w:t>
            </w:r>
          </w:p>
        </w:tc>
        <w:tc>
          <w:tcPr>
            <w:tcW w:w="1568" w:type="dxa"/>
            <w:tcBorders>
              <w:top w:val="nil"/>
              <w:left w:val="nil"/>
              <w:bottom w:val="dotted" w:sz="4" w:space="0" w:color="auto"/>
              <w:right w:val="dotted" w:sz="4" w:space="0" w:color="auto"/>
            </w:tcBorders>
            <w:shd w:val="clear" w:color="auto" w:fill="auto"/>
            <w:vAlign w:val="center"/>
            <w:hideMark/>
          </w:tcPr>
          <w:p w14:paraId="431E228E" w14:textId="77777777" w:rsidR="006E16F7" w:rsidRPr="00005453" w:rsidRDefault="006E16F7" w:rsidP="006E16F7">
            <w:pPr>
              <w:rPr>
                <w:color w:val="000000"/>
                <w:sz w:val="18"/>
                <w:szCs w:val="18"/>
                <w:lang w:eastAsia="tr-TR"/>
              </w:rPr>
            </w:pPr>
            <w:r w:rsidRPr="00005453">
              <w:rPr>
                <w:color w:val="000000"/>
                <w:sz w:val="18"/>
                <w:szCs w:val="18"/>
                <w:lang w:eastAsia="tr-TR"/>
              </w:rPr>
              <w:t>Krediler</w:t>
            </w:r>
          </w:p>
        </w:tc>
        <w:tc>
          <w:tcPr>
            <w:tcW w:w="1553" w:type="dxa"/>
            <w:tcBorders>
              <w:top w:val="nil"/>
              <w:left w:val="nil"/>
              <w:bottom w:val="dotted" w:sz="4" w:space="0" w:color="auto"/>
              <w:right w:val="dotted" w:sz="4" w:space="0" w:color="auto"/>
            </w:tcBorders>
            <w:shd w:val="clear" w:color="auto" w:fill="auto"/>
            <w:vAlign w:val="center"/>
            <w:hideMark/>
          </w:tcPr>
          <w:p w14:paraId="762073DB" w14:textId="7E1771C0" w:rsidR="006E16F7" w:rsidRPr="00005453" w:rsidRDefault="006E16F7" w:rsidP="006E16F7">
            <w:pPr>
              <w:jc w:val="right"/>
              <w:rPr>
                <w:sz w:val="18"/>
                <w:szCs w:val="18"/>
              </w:rPr>
            </w:pPr>
            <w:r>
              <w:rPr>
                <w:sz w:val="18"/>
                <w:szCs w:val="18"/>
              </w:rPr>
              <w:t>7,040,670</w:t>
            </w:r>
          </w:p>
        </w:tc>
        <w:tc>
          <w:tcPr>
            <w:tcW w:w="1637" w:type="dxa"/>
            <w:tcBorders>
              <w:top w:val="nil"/>
              <w:left w:val="nil"/>
              <w:bottom w:val="dotted" w:sz="4" w:space="0" w:color="auto"/>
              <w:right w:val="dotted" w:sz="4" w:space="0" w:color="auto"/>
            </w:tcBorders>
            <w:shd w:val="clear" w:color="auto" w:fill="auto"/>
            <w:vAlign w:val="center"/>
            <w:hideMark/>
          </w:tcPr>
          <w:p w14:paraId="56098355" w14:textId="03E41276" w:rsidR="006E16F7" w:rsidRPr="00005453" w:rsidRDefault="006E16F7" w:rsidP="006E16F7">
            <w:pPr>
              <w:jc w:val="right"/>
              <w:rPr>
                <w:sz w:val="18"/>
                <w:szCs w:val="18"/>
              </w:rPr>
            </w:pPr>
            <w:r>
              <w:rPr>
                <w:sz w:val="18"/>
                <w:szCs w:val="18"/>
              </w:rPr>
              <w:t>430,132,723</w:t>
            </w:r>
          </w:p>
        </w:tc>
        <w:tc>
          <w:tcPr>
            <w:tcW w:w="2551" w:type="dxa"/>
            <w:tcBorders>
              <w:top w:val="nil"/>
              <w:left w:val="nil"/>
              <w:bottom w:val="dotted" w:sz="4" w:space="0" w:color="auto"/>
              <w:right w:val="dotted" w:sz="4" w:space="0" w:color="auto"/>
            </w:tcBorders>
            <w:shd w:val="clear" w:color="auto" w:fill="auto"/>
            <w:vAlign w:val="center"/>
            <w:hideMark/>
          </w:tcPr>
          <w:p w14:paraId="46002793" w14:textId="54EEFEEF" w:rsidR="006E16F7" w:rsidRPr="00005453" w:rsidRDefault="006E16F7" w:rsidP="006E16F7">
            <w:pPr>
              <w:jc w:val="right"/>
              <w:rPr>
                <w:sz w:val="18"/>
                <w:szCs w:val="18"/>
              </w:rPr>
            </w:pPr>
            <w:r>
              <w:rPr>
                <w:sz w:val="18"/>
                <w:szCs w:val="18"/>
              </w:rPr>
              <w:t>5,979,738</w:t>
            </w:r>
          </w:p>
        </w:tc>
        <w:tc>
          <w:tcPr>
            <w:tcW w:w="1560" w:type="dxa"/>
            <w:tcBorders>
              <w:top w:val="nil"/>
              <w:left w:val="nil"/>
              <w:bottom w:val="dotted" w:sz="4" w:space="0" w:color="auto"/>
              <w:right w:val="single" w:sz="8" w:space="0" w:color="auto"/>
            </w:tcBorders>
            <w:shd w:val="clear" w:color="auto" w:fill="auto"/>
            <w:vAlign w:val="center"/>
            <w:hideMark/>
          </w:tcPr>
          <w:p w14:paraId="0EFB0820" w14:textId="609D7AF4" w:rsidR="006E16F7" w:rsidRPr="00005453" w:rsidRDefault="006E16F7" w:rsidP="006E16F7">
            <w:pPr>
              <w:jc w:val="right"/>
              <w:rPr>
                <w:sz w:val="18"/>
                <w:szCs w:val="18"/>
              </w:rPr>
            </w:pPr>
            <w:r>
              <w:rPr>
                <w:sz w:val="18"/>
                <w:szCs w:val="18"/>
              </w:rPr>
              <w:t>431,193,65</w:t>
            </w:r>
            <w:r w:rsidR="00933F7D">
              <w:rPr>
                <w:sz w:val="18"/>
                <w:szCs w:val="18"/>
              </w:rPr>
              <w:t>5</w:t>
            </w:r>
          </w:p>
        </w:tc>
      </w:tr>
      <w:tr w:rsidR="006E16F7" w:rsidRPr="00005453" w14:paraId="33DA689D" w14:textId="77777777" w:rsidTr="00C07B3E">
        <w:trPr>
          <w:divId w:val="699017727"/>
          <w:trHeight w:val="230"/>
        </w:trPr>
        <w:tc>
          <w:tcPr>
            <w:tcW w:w="690" w:type="dxa"/>
            <w:tcBorders>
              <w:top w:val="nil"/>
              <w:left w:val="single" w:sz="8" w:space="0" w:color="auto"/>
              <w:bottom w:val="dotted" w:sz="4" w:space="0" w:color="auto"/>
              <w:right w:val="dotted" w:sz="4" w:space="0" w:color="auto"/>
            </w:tcBorders>
            <w:shd w:val="clear" w:color="auto" w:fill="auto"/>
            <w:vAlign w:val="center"/>
            <w:hideMark/>
          </w:tcPr>
          <w:p w14:paraId="181C2F92" w14:textId="056266F6" w:rsidR="006E16F7" w:rsidRPr="00005453" w:rsidRDefault="006E16F7" w:rsidP="006E16F7">
            <w:pPr>
              <w:jc w:val="center"/>
              <w:rPr>
                <w:color w:val="000000"/>
                <w:sz w:val="18"/>
                <w:szCs w:val="18"/>
                <w:lang w:eastAsia="tr-TR"/>
              </w:rPr>
            </w:pPr>
            <w:r w:rsidRPr="00005453">
              <w:rPr>
                <w:color w:val="000000"/>
                <w:sz w:val="18"/>
                <w:szCs w:val="18"/>
                <w:lang w:eastAsia="tr-TR"/>
              </w:rPr>
              <w:t>2</w:t>
            </w:r>
          </w:p>
        </w:tc>
        <w:tc>
          <w:tcPr>
            <w:tcW w:w="1568" w:type="dxa"/>
            <w:tcBorders>
              <w:top w:val="nil"/>
              <w:left w:val="nil"/>
              <w:bottom w:val="dotted" w:sz="4" w:space="0" w:color="auto"/>
              <w:right w:val="dotted" w:sz="4" w:space="0" w:color="auto"/>
            </w:tcBorders>
            <w:shd w:val="clear" w:color="auto" w:fill="auto"/>
            <w:vAlign w:val="center"/>
            <w:hideMark/>
          </w:tcPr>
          <w:p w14:paraId="0C59ADAA" w14:textId="77777777" w:rsidR="006E16F7" w:rsidRPr="00005453" w:rsidRDefault="006E16F7" w:rsidP="006E16F7">
            <w:pPr>
              <w:rPr>
                <w:color w:val="000000"/>
                <w:sz w:val="18"/>
                <w:szCs w:val="18"/>
                <w:lang w:eastAsia="tr-TR"/>
              </w:rPr>
            </w:pPr>
            <w:r w:rsidRPr="00005453">
              <w:rPr>
                <w:color w:val="000000"/>
                <w:sz w:val="18"/>
                <w:szCs w:val="18"/>
                <w:lang w:eastAsia="tr-TR"/>
              </w:rPr>
              <w:t>Borçlanma Araçları</w:t>
            </w:r>
          </w:p>
        </w:tc>
        <w:tc>
          <w:tcPr>
            <w:tcW w:w="1553" w:type="dxa"/>
            <w:tcBorders>
              <w:top w:val="nil"/>
              <w:left w:val="nil"/>
              <w:bottom w:val="dotted" w:sz="4" w:space="0" w:color="auto"/>
              <w:right w:val="dotted" w:sz="4" w:space="0" w:color="auto"/>
            </w:tcBorders>
            <w:shd w:val="clear" w:color="auto" w:fill="auto"/>
            <w:vAlign w:val="center"/>
            <w:hideMark/>
          </w:tcPr>
          <w:p w14:paraId="6767FA05" w14:textId="26CE928B" w:rsidR="006E16F7" w:rsidRPr="00005453" w:rsidRDefault="006E16F7" w:rsidP="006E16F7">
            <w:pPr>
              <w:jc w:val="right"/>
              <w:rPr>
                <w:sz w:val="18"/>
                <w:szCs w:val="18"/>
              </w:rPr>
            </w:pPr>
            <w:r>
              <w:rPr>
                <w:sz w:val="18"/>
                <w:szCs w:val="18"/>
              </w:rPr>
              <w:t>-</w:t>
            </w:r>
          </w:p>
        </w:tc>
        <w:tc>
          <w:tcPr>
            <w:tcW w:w="1637" w:type="dxa"/>
            <w:tcBorders>
              <w:top w:val="nil"/>
              <w:left w:val="nil"/>
              <w:bottom w:val="dotted" w:sz="4" w:space="0" w:color="auto"/>
              <w:right w:val="dotted" w:sz="4" w:space="0" w:color="auto"/>
            </w:tcBorders>
            <w:shd w:val="clear" w:color="auto" w:fill="auto"/>
            <w:vAlign w:val="center"/>
            <w:hideMark/>
          </w:tcPr>
          <w:p w14:paraId="1AEF728D" w14:textId="736297CC" w:rsidR="006E16F7" w:rsidRPr="00005453" w:rsidRDefault="006E16F7" w:rsidP="006E16F7">
            <w:pPr>
              <w:jc w:val="right"/>
              <w:rPr>
                <w:sz w:val="18"/>
                <w:szCs w:val="18"/>
              </w:rPr>
            </w:pPr>
            <w:r>
              <w:rPr>
                <w:sz w:val="18"/>
                <w:szCs w:val="18"/>
              </w:rPr>
              <w:t>130,038,204</w:t>
            </w:r>
          </w:p>
        </w:tc>
        <w:tc>
          <w:tcPr>
            <w:tcW w:w="2551" w:type="dxa"/>
            <w:tcBorders>
              <w:top w:val="nil"/>
              <w:left w:val="nil"/>
              <w:bottom w:val="dotted" w:sz="4" w:space="0" w:color="auto"/>
              <w:right w:val="dotted" w:sz="4" w:space="0" w:color="auto"/>
            </w:tcBorders>
            <w:shd w:val="clear" w:color="auto" w:fill="auto"/>
            <w:vAlign w:val="center"/>
            <w:hideMark/>
          </w:tcPr>
          <w:p w14:paraId="6F0A51CD" w14:textId="5AE8B229" w:rsidR="006E16F7" w:rsidRPr="00005453" w:rsidRDefault="006E16F7" w:rsidP="006E16F7">
            <w:pPr>
              <w:jc w:val="right"/>
              <w:rPr>
                <w:sz w:val="18"/>
                <w:szCs w:val="18"/>
              </w:rPr>
            </w:pPr>
            <w:r>
              <w:rPr>
                <w:sz w:val="18"/>
                <w:szCs w:val="18"/>
              </w:rPr>
              <w:t>13,056,062</w:t>
            </w:r>
          </w:p>
        </w:tc>
        <w:tc>
          <w:tcPr>
            <w:tcW w:w="1560" w:type="dxa"/>
            <w:tcBorders>
              <w:top w:val="nil"/>
              <w:left w:val="nil"/>
              <w:bottom w:val="dotted" w:sz="4" w:space="0" w:color="auto"/>
              <w:right w:val="single" w:sz="8" w:space="0" w:color="auto"/>
            </w:tcBorders>
            <w:shd w:val="clear" w:color="auto" w:fill="auto"/>
            <w:vAlign w:val="center"/>
            <w:hideMark/>
          </w:tcPr>
          <w:p w14:paraId="79F129B8" w14:textId="0A041AC9" w:rsidR="006E16F7" w:rsidRPr="00005453" w:rsidRDefault="006E16F7" w:rsidP="006E16F7">
            <w:pPr>
              <w:jc w:val="right"/>
              <w:rPr>
                <w:sz w:val="18"/>
                <w:szCs w:val="18"/>
              </w:rPr>
            </w:pPr>
            <w:r>
              <w:rPr>
                <w:sz w:val="18"/>
                <w:szCs w:val="18"/>
              </w:rPr>
              <w:t>116,982,142</w:t>
            </w:r>
          </w:p>
        </w:tc>
      </w:tr>
      <w:tr w:rsidR="006E16F7" w:rsidRPr="00005453" w14:paraId="0C5F5464" w14:textId="77777777" w:rsidTr="00C07B3E">
        <w:trPr>
          <w:divId w:val="699017727"/>
          <w:trHeight w:val="230"/>
        </w:trPr>
        <w:tc>
          <w:tcPr>
            <w:tcW w:w="690" w:type="dxa"/>
            <w:tcBorders>
              <w:top w:val="nil"/>
              <w:left w:val="single" w:sz="8" w:space="0" w:color="auto"/>
              <w:bottom w:val="dotted" w:sz="4" w:space="0" w:color="auto"/>
              <w:right w:val="dotted" w:sz="4" w:space="0" w:color="auto"/>
            </w:tcBorders>
            <w:shd w:val="clear" w:color="auto" w:fill="auto"/>
            <w:vAlign w:val="center"/>
            <w:hideMark/>
          </w:tcPr>
          <w:p w14:paraId="5CEC10BF" w14:textId="77777777" w:rsidR="006E16F7" w:rsidRPr="00005453" w:rsidRDefault="006E16F7" w:rsidP="006E16F7">
            <w:pPr>
              <w:jc w:val="center"/>
              <w:rPr>
                <w:color w:val="000000"/>
                <w:sz w:val="18"/>
                <w:szCs w:val="18"/>
                <w:lang w:eastAsia="tr-TR"/>
              </w:rPr>
            </w:pPr>
            <w:r w:rsidRPr="00005453">
              <w:rPr>
                <w:color w:val="000000"/>
                <w:sz w:val="18"/>
                <w:szCs w:val="18"/>
                <w:lang w:eastAsia="tr-TR"/>
              </w:rPr>
              <w:t>3</w:t>
            </w:r>
          </w:p>
        </w:tc>
        <w:tc>
          <w:tcPr>
            <w:tcW w:w="1568" w:type="dxa"/>
            <w:tcBorders>
              <w:top w:val="nil"/>
              <w:left w:val="nil"/>
              <w:bottom w:val="dotted" w:sz="4" w:space="0" w:color="auto"/>
              <w:right w:val="dotted" w:sz="4" w:space="0" w:color="auto"/>
            </w:tcBorders>
            <w:shd w:val="clear" w:color="auto" w:fill="auto"/>
            <w:vAlign w:val="center"/>
            <w:hideMark/>
          </w:tcPr>
          <w:p w14:paraId="674B54B0" w14:textId="77777777" w:rsidR="006E16F7" w:rsidRPr="00005453" w:rsidRDefault="006E16F7" w:rsidP="006E16F7">
            <w:pPr>
              <w:rPr>
                <w:color w:val="000000"/>
                <w:sz w:val="18"/>
                <w:szCs w:val="18"/>
                <w:lang w:eastAsia="tr-TR"/>
              </w:rPr>
            </w:pPr>
            <w:r w:rsidRPr="00005453">
              <w:rPr>
                <w:color w:val="000000"/>
                <w:sz w:val="18"/>
                <w:szCs w:val="18"/>
                <w:lang w:eastAsia="tr-TR"/>
              </w:rPr>
              <w:t>Bilanço Dışı Alacaklar (*)</w:t>
            </w:r>
          </w:p>
        </w:tc>
        <w:tc>
          <w:tcPr>
            <w:tcW w:w="1553" w:type="dxa"/>
            <w:tcBorders>
              <w:top w:val="nil"/>
              <w:left w:val="nil"/>
              <w:bottom w:val="dotted" w:sz="4" w:space="0" w:color="auto"/>
              <w:right w:val="dotted" w:sz="4" w:space="0" w:color="auto"/>
            </w:tcBorders>
            <w:shd w:val="clear" w:color="auto" w:fill="auto"/>
            <w:vAlign w:val="center"/>
            <w:hideMark/>
          </w:tcPr>
          <w:p w14:paraId="4FFCD3F4" w14:textId="3C73CAE2" w:rsidR="006E16F7" w:rsidRPr="00005453" w:rsidRDefault="006E16F7" w:rsidP="006E16F7">
            <w:pPr>
              <w:jc w:val="right"/>
              <w:rPr>
                <w:sz w:val="18"/>
                <w:szCs w:val="18"/>
              </w:rPr>
            </w:pPr>
            <w:r>
              <w:rPr>
                <w:sz w:val="18"/>
                <w:szCs w:val="18"/>
              </w:rPr>
              <w:t>944,163</w:t>
            </w:r>
          </w:p>
        </w:tc>
        <w:tc>
          <w:tcPr>
            <w:tcW w:w="1637" w:type="dxa"/>
            <w:tcBorders>
              <w:top w:val="nil"/>
              <w:left w:val="nil"/>
              <w:bottom w:val="dotted" w:sz="4" w:space="0" w:color="auto"/>
              <w:right w:val="dotted" w:sz="4" w:space="0" w:color="auto"/>
            </w:tcBorders>
            <w:shd w:val="clear" w:color="auto" w:fill="auto"/>
            <w:vAlign w:val="center"/>
            <w:hideMark/>
          </w:tcPr>
          <w:p w14:paraId="315C26B0" w14:textId="18B1F517" w:rsidR="006E16F7" w:rsidRPr="00005453" w:rsidRDefault="006E16F7" w:rsidP="006E16F7">
            <w:pPr>
              <w:jc w:val="right"/>
              <w:rPr>
                <w:sz w:val="18"/>
                <w:szCs w:val="18"/>
              </w:rPr>
            </w:pPr>
            <w:r>
              <w:rPr>
                <w:sz w:val="18"/>
                <w:szCs w:val="18"/>
              </w:rPr>
              <w:t>213,962,556</w:t>
            </w:r>
          </w:p>
        </w:tc>
        <w:tc>
          <w:tcPr>
            <w:tcW w:w="2551" w:type="dxa"/>
            <w:tcBorders>
              <w:top w:val="nil"/>
              <w:left w:val="nil"/>
              <w:bottom w:val="dotted" w:sz="4" w:space="0" w:color="auto"/>
              <w:right w:val="dotted" w:sz="4" w:space="0" w:color="auto"/>
            </w:tcBorders>
            <w:shd w:val="clear" w:color="auto" w:fill="auto"/>
            <w:vAlign w:val="center"/>
            <w:hideMark/>
          </w:tcPr>
          <w:p w14:paraId="3744E8C2" w14:textId="65AF9039" w:rsidR="006E16F7" w:rsidRPr="00005453" w:rsidRDefault="006E16F7" w:rsidP="006E16F7">
            <w:pPr>
              <w:jc w:val="right"/>
              <w:rPr>
                <w:sz w:val="18"/>
                <w:szCs w:val="18"/>
              </w:rPr>
            </w:pPr>
            <w:r>
              <w:rPr>
                <w:sz w:val="18"/>
                <w:szCs w:val="18"/>
              </w:rPr>
              <w:t>863,935</w:t>
            </w:r>
          </w:p>
        </w:tc>
        <w:tc>
          <w:tcPr>
            <w:tcW w:w="1560" w:type="dxa"/>
            <w:tcBorders>
              <w:top w:val="nil"/>
              <w:left w:val="nil"/>
              <w:bottom w:val="dotted" w:sz="4" w:space="0" w:color="auto"/>
              <w:right w:val="single" w:sz="8" w:space="0" w:color="auto"/>
            </w:tcBorders>
            <w:shd w:val="clear" w:color="auto" w:fill="auto"/>
            <w:vAlign w:val="center"/>
            <w:hideMark/>
          </w:tcPr>
          <w:p w14:paraId="69A22481" w14:textId="13C67F92" w:rsidR="006E16F7" w:rsidRPr="00005453" w:rsidRDefault="006E16F7" w:rsidP="006E16F7">
            <w:pPr>
              <w:jc w:val="right"/>
              <w:rPr>
                <w:sz w:val="18"/>
                <w:szCs w:val="18"/>
              </w:rPr>
            </w:pPr>
            <w:r>
              <w:rPr>
                <w:sz w:val="18"/>
                <w:szCs w:val="18"/>
              </w:rPr>
              <w:t>214,042,784</w:t>
            </w:r>
          </w:p>
        </w:tc>
      </w:tr>
      <w:tr w:rsidR="006E16F7" w:rsidRPr="00005453" w14:paraId="121005EB" w14:textId="77777777" w:rsidTr="00C07B3E">
        <w:trPr>
          <w:divId w:val="699017727"/>
          <w:trHeight w:val="151"/>
        </w:trPr>
        <w:tc>
          <w:tcPr>
            <w:tcW w:w="690" w:type="dxa"/>
            <w:tcBorders>
              <w:top w:val="nil"/>
              <w:left w:val="single" w:sz="8" w:space="0" w:color="auto"/>
              <w:bottom w:val="single" w:sz="8" w:space="0" w:color="auto"/>
              <w:right w:val="dotted" w:sz="4" w:space="0" w:color="auto"/>
            </w:tcBorders>
            <w:shd w:val="clear" w:color="auto" w:fill="auto"/>
            <w:vAlign w:val="center"/>
            <w:hideMark/>
          </w:tcPr>
          <w:p w14:paraId="4035268B" w14:textId="77777777" w:rsidR="006E16F7" w:rsidRPr="00005453" w:rsidRDefault="006E16F7" w:rsidP="006E16F7">
            <w:pPr>
              <w:jc w:val="center"/>
              <w:rPr>
                <w:b/>
                <w:bCs/>
                <w:color w:val="000000"/>
                <w:sz w:val="18"/>
                <w:szCs w:val="18"/>
                <w:lang w:eastAsia="tr-TR"/>
              </w:rPr>
            </w:pPr>
            <w:r w:rsidRPr="00005453">
              <w:rPr>
                <w:b/>
                <w:bCs/>
                <w:color w:val="000000"/>
                <w:sz w:val="18"/>
                <w:szCs w:val="18"/>
                <w:lang w:eastAsia="tr-TR"/>
              </w:rPr>
              <w:t>4</w:t>
            </w:r>
          </w:p>
        </w:tc>
        <w:tc>
          <w:tcPr>
            <w:tcW w:w="1568" w:type="dxa"/>
            <w:tcBorders>
              <w:top w:val="nil"/>
              <w:left w:val="nil"/>
              <w:bottom w:val="single" w:sz="8" w:space="0" w:color="auto"/>
              <w:right w:val="dotted" w:sz="4" w:space="0" w:color="auto"/>
            </w:tcBorders>
            <w:shd w:val="clear" w:color="auto" w:fill="auto"/>
            <w:vAlign w:val="center"/>
            <w:hideMark/>
          </w:tcPr>
          <w:p w14:paraId="52146E66" w14:textId="77777777" w:rsidR="006E16F7" w:rsidRPr="00005453" w:rsidRDefault="006E16F7" w:rsidP="006E16F7">
            <w:pPr>
              <w:rPr>
                <w:b/>
                <w:bCs/>
                <w:color w:val="000000"/>
                <w:sz w:val="18"/>
                <w:szCs w:val="18"/>
                <w:lang w:eastAsia="tr-TR"/>
              </w:rPr>
            </w:pPr>
            <w:r w:rsidRPr="00005453">
              <w:rPr>
                <w:b/>
                <w:bCs/>
                <w:color w:val="000000"/>
                <w:sz w:val="18"/>
                <w:szCs w:val="18"/>
                <w:lang w:eastAsia="tr-TR"/>
              </w:rPr>
              <w:t>Toplam</w:t>
            </w:r>
          </w:p>
        </w:tc>
        <w:tc>
          <w:tcPr>
            <w:tcW w:w="1553" w:type="dxa"/>
            <w:tcBorders>
              <w:top w:val="nil"/>
              <w:left w:val="nil"/>
              <w:bottom w:val="single" w:sz="8" w:space="0" w:color="auto"/>
              <w:right w:val="dotted" w:sz="4" w:space="0" w:color="auto"/>
            </w:tcBorders>
            <w:shd w:val="clear" w:color="auto" w:fill="auto"/>
            <w:vAlign w:val="center"/>
            <w:hideMark/>
          </w:tcPr>
          <w:p w14:paraId="74DC18F7" w14:textId="4B22E45E" w:rsidR="006E16F7" w:rsidRPr="00005453" w:rsidRDefault="006E16F7" w:rsidP="006E16F7">
            <w:pPr>
              <w:jc w:val="right"/>
              <w:rPr>
                <w:b/>
                <w:sz w:val="18"/>
                <w:szCs w:val="18"/>
              </w:rPr>
            </w:pPr>
            <w:r>
              <w:rPr>
                <w:b/>
                <w:bCs/>
                <w:sz w:val="18"/>
                <w:szCs w:val="18"/>
              </w:rPr>
              <w:t>7,984,833</w:t>
            </w:r>
          </w:p>
        </w:tc>
        <w:tc>
          <w:tcPr>
            <w:tcW w:w="1637" w:type="dxa"/>
            <w:tcBorders>
              <w:top w:val="nil"/>
              <w:left w:val="nil"/>
              <w:bottom w:val="single" w:sz="8" w:space="0" w:color="auto"/>
              <w:right w:val="dotted" w:sz="4" w:space="0" w:color="auto"/>
            </w:tcBorders>
            <w:shd w:val="clear" w:color="auto" w:fill="auto"/>
            <w:vAlign w:val="center"/>
            <w:hideMark/>
          </w:tcPr>
          <w:p w14:paraId="3AB6BABC" w14:textId="476C98C4" w:rsidR="006E16F7" w:rsidRPr="00005453" w:rsidRDefault="006E16F7" w:rsidP="006E16F7">
            <w:pPr>
              <w:jc w:val="right"/>
              <w:rPr>
                <w:b/>
                <w:sz w:val="18"/>
                <w:szCs w:val="18"/>
              </w:rPr>
            </w:pPr>
            <w:r>
              <w:rPr>
                <w:b/>
                <w:bCs/>
                <w:sz w:val="18"/>
                <w:szCs w:val="18"/>
              </w:rPr>
              <w:t>774,133,483</w:t>
            </w:r>
          </w:p>
        </w:tc>
        <w:tc>
          <w:tcPr>
            <w:tcW w:w="2551" w:type="dxa"/>
            <w:tcBorders>
              <w:top w:val="nil"/>
              <w:left w:val="nil"/>
              <w:bottom w:val="single" w:sz="8" w:space="0" w:color="auto"/>
              <w:right w:val="dotted" w:sz="4" w:space="0" w:color="auto"/>
            </w:tcBorders>
            <w:shd w:val="clear" w:color="auto" w:fill="auto"/>
            <w:vAlign w:val="center"/>
            <w:hideMark/>
          </w:tcPr>
          <w:p w14:paraId="0F2693A5" w14:textId="68B22982" w:rsidR="006E16F7" w:rsidRPr="00005453" w:rsidRDefault="006E16F7" w:rsidP="006E16F7">
            <w:pPr>
              <w:jc w:val="right"/>
              <w:rPr>
                <w:b/>
                <w:sz w:val="18"/>
                <w:szCs w:val="18"/>
              </w:rPr>
            </w:pPr>
            <w:r>
              <w:rPr>
                <w:b/>
                <w:bCs/>
                <w:sz w:val="18"/>
                <w:szCs w:val="18"/>
              </w:rPr>
              <w:t>19,899,735</w:t>
            </w:r>
          </w:p>
        </w:tc>
        <w:tc>
          <w:tcPr>
            <w:tcW w:w="1560" w:type="dxa"/>
            <w:tcBorders>
              <w:top w:val="nil"/>
              <w:left w:val="nil"/>
              <w:bottom w:val="single" w:sz="8" w:space="0" w:color="auto"/>
              <w:right w:val="single" w:sz="8" w:space="0" w:color="auto"/>
            </w:tcBorders>
            <w:shd w:val="clear" w:color="auto" w:fill="auto"/>
            <w:vAlign w:val="center"/>
            <w:hideMark/>
          </w:tcPr>
          <w:p w14:paraId="55FAD025" w14:textId="0A16C5C2" w:rsidR="006E16F7" w:rsidRPr="00005453" w:rsidRDefault="006E16F7" w:rsidP="006E16F7">
            <w:pPr>
              <w:jc w:val="right"/>
              <w:rPr>
                <w:b/>
                <w:sz w:val="18"/>
                <w:szCs w:val="18"/>
              </w:rPr>
            </w:pPr>
            <w:r>
              <w:rPr>
                <w:b/>
                <w:bCs/>
                <w:sz w:val="18"/>
                <w:szCs w:val="18"/>
              </w:rPr>
              <w:t>762,218,58</w:t>
            </w:r>
            <w:r w:rsidR="00933F7D">
              <w:rPr>
                <w:b/>
                <w:bCs/>
                <w:sz w:val="18"/>
                <w:szCs w:val="18"/>
              </w:rPr>
              <w:t>1</w:t>
            </w:r>
          </w:p>
        </w:tc>
      </w:tr>
    </w:tbl>
    <w:p w14:paraId="17864A66" w14:textId="4D91D1D1" w:rsidR="002C5FB0" w:rsidRPr="00005453" w:rsidRDefault="002C5FB0" w:rsidP="00C25473">
      <w:pPr>
        <w:rPr>
          <w:b/>
          <w:sz w:val="10"/>
          <w:szCs w:val="10"/>
        </w:rPr>
      </w:pPr>
    </w:p>
    <w:p w14:paraId="4470550C" w14:textId="0EA2D306" w:rsidR="00C25473" w:rsidRPr="00005453" w:rsidRDefault="00C25473" w:rsidP="00C25473">
      <w:pPr>
        <w:rPr>
          <w:b/>
        </w:rPr>
      </w:pPr>
      <w:r w:rsidRPr="00005453">
        <w:rPr>
          <w:sz w:val="16"/>
          <w:szCs w:val="16"/>
        </w:rPr>
        <w:t>(*) Türev işlemlerin reeskontları net olarak değer düşüklüğü satırında gösterilmiştir.</w:t>
      </w:r>
    </w:p>
    <w:p w14:paraId="39B66416" w14:textId="77777777" w:rsidR="00AB1525" w:rsidRPr="00005453" w:rsidRDefault="00AB1525" w:rsidP="00C25473">
      <w:pPr>
        <w:rPr>
          <w:b/>
        </w:rPr>
      </w:pPr>
    </w:p>
    <w:tbl>
      <w:tblPr>
        <w:tblW w:w="9630" w:type="dxa"/>
        <w:tblCellMar>
          <w:left w:w="70" w:type="dxa"/>
          <w:right w:w="70" w:type="dxa"/>
        </w:tblCellMar>
        <w:tblLook w:val="04A0" w:firstRow="1" w:lastRow="0" w:firstColumn="1" w:lastColumn="0" w:noHBand="0" w:noVBand="1"/>
      </w:tblPr>
      <w:tblGrid>
        <w:gridCol w:w="691"/>
        <w:gridCol w:w="1709"/>
        <w:gridCol w:w="1418"/>
        <w:gridCol w:w="1785"/>
        <w:gridCol w:w="2467"/>
        <w:gridCol w:w="1560"/>
      </w:tblGrid>
      <w:tr w:rsidR="00011E0E" w:rsidRPr="00005453" w14:paraId="5981D15E" w14:textId="77777777" w:rsidTr="00C07B3E">
        <w:trPr>
          <w:trHeight w:val="184"/>
        </w:trPr>
        <w:tc>
          <w:tcPr>
            <w:tcW w:w="691"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6C74C4F" w14:textId="77777777" w:rsidR="00011E0E" w:rsidRPr="00005453" w:rsidRDefault="00011E0E" w:rsidP="00011E0E">
            <w:pPr>
              <w:jc w:val="center"/>
              <w:rPr>
                <w:b/>
                <w:bCs/>
                <w:color w:val="000000"/>
                <w:sz w:val="18"/>
                <w:szCs w:val="18"/>
                <w:lang w:eastAsia="tr-TR"/>
              </w:rPr>
            </w:pPr>
            <w:r w:rsidRPr="00005453">
              <w:rPr>
                <w:b/>
                <w:bCs/>
                <w:color w:val="000000"/>
                <w:sz w:val="18"/>
                <w:szCs w:val="18"/>
                <w:lang w:eastAsia="tr-TR"/>
              </w:rPr>
              <w:t>Önceki Dönem</w:t>
            </w:r>
          </w:p>
        </w:tc>
        <w:tc>
          <w:tcPr>
            <w:tcW w:w="1709" w:type="dxa"/>
            <w:tcBorders>
              <w:top w:val="single" w:sz="8" w:space="0" w:color="auto"/>
              <w:left w:val="nil"/>
              <w:bottom w:val="dotted" w:sz="4" w:space="0" w:color="auto"/>
              <w:right w:val="dotted" w:sz="4" w:space="0" w:color="auto"/>
            </w:tcBorders>
            <w:shd w:val="clear" w:color="auto" w:fill="auto"/>
            <w:vAlign w:val="center"/>
            <w:hideMark/>
          </w:tcPr>
          <w:p w14:paraId="16C755D6" w14:textId="77777777" w:rsidR="00011E0E" w:rsidRPr="00005453" w:rsidRDefault="00011E0E" w:rsidP="00011E0E">
            <w:pPr>
              <w:jc w:val="center"/>
              <w:rPr>
                <w:color w:val="000000"/>
                <w:sz w:val="18"/>
                <w:szCs w:val="18"/>
                <w:lang w:eastAsia="tr-TR"/>
              </w:rPr>
            </w:pPr>
            <w:r w:rsidRPr="00005453">
              <w:rPr>
                <w:color w:val="000000"/>
                <w:sz w:val="18"/>
                <w:szCs w:val="18"/>
                <w:lang w:eastAsia="tr-TR"/>
              </w:rPr>
              <w:t> </w:t>
            </w:r>
          </w:p>
        </w:tc>
        <w:tc>
          <w:tcPr>
            <w:tcW w:w="3203" w:type="dxa"/>
            <w:gridSpan w:val="2"/>
            <w:tcBorders>
              <w:top w:val="single" w:sz="8" w:space="0" w:color="auto"/>
              <w:left w:val="nil"/>
              <w:bottom w:val="dotted" w:sz="4" w:space="0" w:color="auto"/>
              <w:right w:val="dotted" w:sz="4" w:space="0" w:color="000000"/>
            </w:tcBorders>
            <w:shd w:val="clear" w:color="auto" w:fill="auto"/>
            <w:vAlign w:val="center"/>
            <w:hideMark/>
          </w:tcPr>
          <w:p w14:paraId="7834A2C5" w14:textId="77777777" w:rsidR="00011E0E" w:rsidRPr="00005453" w:rsidRDefault="00011E0E" w:rsidP="00011E0E">
            <w:pPr>
              <w:jc w:val="center"/>
              <w:rPr>
                <w:b/>
                <w:bCs/>
                <w:color w:val="000000"/>
                <w:sz w:val="18"/>
                <w:szCs w:val="18"/>
                <w:lang w:eastAsia="tr-TR"/>
              </w:rPr>
            </w:pPr>
            <w:r w:rsidRPr="00005453">
              <w:rPr>
                <w:b/>
                <w:bCs/>
                <w:color w:val="000000"/>
                <w:sz w:val="18"/>
                <w:szCs w:val="18"/>
                <w:lang w:eastAsia="tr-TR"/>
              </w:rPr>
              <w:t>Yasal konsolidasyona göre hazırlanan finansal tablolarda yer alan TMS uyarınca değerlenmiş brüt tutarı</w:t>
            </w:r>
          </w:p>
        </w:tc>
        <w:tc>
          <w:tcPr>
            <w:tcW w:w="2467" w:type="dxa"/>
            <w:tcBorders>
              <w:top w:val="single" w:sz="8" w:space="0" w:color="auto"/>
              <w:left w:val="nil"/>
              <w:bottom w:val="dotted" w:sz="4" w:space="0" w:color="000000"/>
              <w:right w:val="dotted" w:sz="4" w:space="0" w:color="auto"/>
            </w:tcBorders>
            <w:shd w:val="clear" w:color="auto" w:fill="auto"/>
            <w:vAlign w:val="center"/>
            <w:hideMark/>
          </w:tcPr>
          <w:p w14:paraId="165549F8" w14:textId="77777777" w:rsidR="00011E0E" w:rsidRPr="00005453" w:rsidRDefault="00011E0E" w:rsidP="00011E0E">
            <w:pPr>
              <w:jc w:val="center"/>
              <w:rPr>
                <w:b/>
                <w:bCs/>
                <w:color w:val="000000"/>
                <w:sz w:val="18"/>
                <w:szCs w:val="18"/>
                <w:lang w:eastAsia="tr-TR"/>
              </w:rPr>
            </w:pPr>
            <w:r w:rsidRPr="00005453">
              <w:rPr>
                <w:b/>
                <w:bCs/>
                <w:color w:val="000000"/>
                <w:sz w:val="18"/>
                <w:szCs w:val="18"/>
                <w:lang w:eastAsia="tr-TR"/>
              </w:rPr>
              <w:t>Karşılıklar/amortisman ve değer düşüklüğü</w:t>
            </w:r>
          </w:p>
        </w:tc>
        <w:tc>
          <w:tcPr>
            <w:tcW w:w="1560" w:type="dxa"/>
            <w:tcBorders>
              <w:top w:val="single" w:sz="8" w:space="0" w:color="auto"/>
              <w:left w:val="dotted" w:sz="4" w:space="0" w:color="auto"/>
              <w:bottom w:val="dotted" w:sz="4" w:space="0" w:color="000000"/>
              <w:right w:val="single" w:sz="8" w:space="0" w:color="auto"/>
            </w:tcBorders>
            <w:shd w:val="clear" w:color="auto" w:fill="auto"/>
            <w:vAlign w:val="center"/>
            <w:hideMark/>
          </w:tcPr>
          <w:p w14:paraId="61035FDF" w14:textId="77777777" w:rsidR="00011E0E" w:rsidRPr="00005453" w:rsidRDefault="00011E0E" w:rsidP="00011E0E">
            <w:pPr>
              <w:jc w:val="center"/>
              <w:rPr>
                <w:b/>
                <w:bCs/>
                <w:color w:val="000000"/>
                <w:sz w:val="18"/>
                <w:szCs w:val="18"/>
                <w:lang w:eastAsia="tr-TR"/>
              </w:rPr>
            </w:pPr>
            <w:r w:rsidRPr="00005453">
              <w:rPr>
                <w:b/>
                <w:bCs/>
                <w:color w:val="000000"/>
                <w:sz w:val="18"/>
                <w:szCs w:val="18"/>
                <w:lang w:eastAsia="tr-TR"/>
              </w:rPr>
              <w:t>Net değer</w:t>
            </w:r>
          </w:p>
        </w:tc>
      </w:tr>
      <w:tr w:rsidR="00011E0E" w:rsidRPr="00005453" w14:paraId="5554F1B9" w14:textId="77777777" w:rsidTr="00C07B3E">
        <w:trPr>
          <w:trHeight w:val="161"/>
        </w:trPr>
        <w:tc>
          <w:tcPr>
            <w:tcW w:w="691" w:type="dxa"/>
            <w:tcBorders>
              <w:top w:val="nil"/>
              <w:left w:val="single" w:sz="8" w:space="0" w:color="auto"/>
              <w:bottom w:val="dotted" w:sz="4" w:space="0" w:color="auto"/>
              <w:right w:val="dotted" w:sz="4" w:space="0" w:color="auto"/>
            </w:tcBorders>
            <w:shd w:val="clear" w:color="auto" w:fill="auto"/>
            <w:vAlign w:val="center"/>
            <w:hideMark/>
          </w:tcPr>
          <w:p w14:paraId="6449D771" w14:textId="77777777" w:rsidR="00011E0E" w:rsidRPr="00005453" w:rsidRDefault="00011E0E" w:rsidP="00011E0E">
            <w:pPr>
              <w:jc w:val="center"/>
              <w:rPr>
                <w:color w:val="000000"/>
                <w:sz w:val="18"/>
                <w:szCs w:val="18"/>
                <w:lang w:eastAsia="tr-TR"/>
              </w:rPr>
            </w:pPr>
            <w:r w:rsidRPr="00005453">
              <w:rPr>
                <w:color w:val="000000"/>
                <w:sz w:val="18"/>
                <w:szCs w:val="18"/>
                <w:lang w:eastAsia="tr-TR"/>
              </w:rPr>
              <w:t> </w:t>
            </w:r>
          </w:p>
        </w:tc>
        <w:tc>
          <w:tcPr>
            <w:tcW w:w="1709" w:type="dxa"/>
            <w:tcBorders>
              <w:top w:val="nil"/>
              <w:left w:val="nil"/>
              <w:bottom w:val="dotted" w:sz="4" w:space="0" w:color="auto"/>
              <w:right w:val="dotted" w:sz="4" w:space="0" w:color="auto"/>
            </w:tcBorders>
            <w:shd w:val="clear" w:color="auto" w:fill="auto"/>
            <w:vAlign w:val="center"/>
            <w:hideMark/>
          </w:tcPr>
          <w:p w14:paraId="7FDAF126" w14:textId="77777777" w:rsidR="00011E0E" w:rsidRPr="00005453" w:rsidRDefault="00011E0E" w:rsidP="00011E0E">
            <w:pPr>
              <w:jc w:val="center"/>
              <w:rPr>
                <w:color w:val="000000"/>
                <w:sz w:val="18"/>
                <w:szCs w:val="18"/>
                <w:lang w:eastAsia="tr-TR"/>
              </w:rPr>
            </w:pPr>
            <w:r w:rsidRPr="00005453">
              <w:rPr>
                <w:color w:val="000000"/>
                <w:sz w:val="18"/>
                <w:szCs w:val="18"/>
                <w:lang w:eastAsia="tr-TR"/>
              </w:rPr>
              <w:t> </w:t>
            </w:r>
          </w:p>
        </w:tc>
        <w:tc>
          <w:tcPr>
            <w:tcW w:w="1418" w:type="dxa"/>
            <w:tcBorders>
              <w:top w:val="nil"/>
              <w:left w:val="nil"/>
              <w:bottom w:val="dotted" w:sz="4" w:space="0" w:color="auto"/>
              <w:right w:val="dotted" w:sz="4" w:space="0" w:color="auto"/>
            </w:tcBorders>
            <w:shd w:val="clear" w:color="auto" w:fill="auto"/>
            <w:noWrap/>
            <w:vAlign w:val="center"/>
            <w:hideMark/>
          </w:tcPr>
          <w:p w14:paraId="0D623C9D" w14:textId="77777777" w:rsidR="00011E0E" w:rsidRPr="00005453" w:rsidRDefault="00011E0E" w:rsidP="00011E0E">
            <w:pPr>
              <w:jc w:val="center"/>
              <w:rPr>
                <w:b/>
                <w:bCs/>
                <w:color w:val="000000"/>
                <w:sz w:val="18"/>
                <w:szCs w:val="18"/>
                <w:lang w:eastAsia="tr-TR"/>
              </w:rPr>
            </w:pPr>
            <w:r w:rsidRPr="00005453">
              <w:rPr>
                <w:b/>
                <w:bCs/>
                <w:color w:val="000000"/>
                <w:sz w:val="18"/>
                <w:szCs w:val="18"/>
                <w:lang w:eastAsia="tr-TR"/>
              </w:rPr>
              <w:t>Temerrüt Etmiş</w:t>
            </w:r>
          </w:p>
        </w:tc>
        <w:tc>
          <w:tcPr>
            <w:tcW w:w="1785" w:type="dxa"/>
            <w:tcBorders>
              <w:top w:val="nil"/>
              <w:left w:val="nil"/>
              <w:bottom w:val="dotted" w:sz="4" w:space="0" w:color="auto"/>
              <w:right w:val="dotted" w:sz="4" w:space="0" w:color="auto"/>
            </w:tcBorders>
            <w:shd w:val="clear" w:color="auto" w:fill="auto"/>
            <w:noWrap/>
            <w:vAlign w:val="center"/>
            <w:hideMark/>
          </w:tcPr>
          <w:p w14:paraId="0CBC059D" w14:textId="77777777" w:rsidR="00011E0E" w:rsidRPr="00005453" w:rsidRDefault="00011E0E" w:rsidP="00011E0E">
            <w:pPr>
              <w:jc w:val="center"/>
              <w:rPr>
                <w:b/>
                <w:bCs/>
                <w:color w:val="000000"/>
                <w:sz w:val="18"/>
                <w:szCs w:val="18"/>
                <w:lang w:eastAsia="tr-TR"/>
              </w:rPr>
            </w:pPr>
            <w:r w:rsidRPr="00005453">
              <w:rPr>
                <w:b/>
                <w:bCs/>
                <w:color w:val="000000"/>
                <w:sz w:val="18"/>
                <w:szCs w:val="18"/>
                <w:lang w:eastAsia="tr-TR"/>
              </w:rPr>
              <w:t xml:space="preserve">Temerrüt Etmemiş </w:t>
            </w:r>
          </w:p>
        </w:tc>
        <w:tc>
          <w:tcPr>
            <w:tcW w:w="2467" w:type="dxa"/>
            <w:tcBorders>
              <w:top w:val="single" w:sz="8" w:space="0" w:color="auto"/>
              <w:left w:val="nil"/>
              <w:bottom w:val="dotted" w:sz="4" w:space="0" w:color="000000"/>
              <w:right w:val="dotted" w:sz="4" w:space="0" w:color="auto"/>
            </w:tcBorders>
            <w:vAlign w:val="center"/>
            <w:hideMark/>
          </w:tcPr>
          <w:p w14:paraId="243022D1" w14:textId="77777777" w:rsidR="00011E0E" w:rsidRPr="00005453" w:rsidRDefault="00011E0E" w:rsidP="00011E0E">
            <w:pPr>
              <w:rPr>
                <w:b/>
                <w:bCs/>
                <w:color w:val="000000"/>
                <w:sz w:val="18"/>
                <w:szCs w:val="18"/>
                <w:lang w:eastAsia="tr-TR"/>
              </w:rPr>
            </w:pPr>
          </w:p>
        </w:tc>
        <w:tc>
          <w:tcPr>
            <w:tcW w:w="1560" w:type="dxa"/>
            <w:tcBorders>
              <w:top w:val="single" w:sz="8" w:space="0" w:color="auto"/>
              <w:left w:val="dotted" w:sz="4" w:space="0" w:color="auto"/>
              <w:bottom w:val="dotted" w:sz="4" w:space="0" w:color="000000"/>
              <w:right w:val="single" w:sz="8" w:space="0" w:color="auto"/>
            </w:tcBorders>
            <w:vAlign w:val="center"/>
            <w:hideMark/>
          </w:tcPr>
          <w:p w14:paraId="65B46A0A" w14:textId="77777777" w:rsidR="00011E0E" w:rsidRPr="00005453" w:rsidRDefault="00011E0E" w:rsidP="00011E0E">
            <w:pPr>
              <w:rPr>
                <w:b/>
                <w:bCs/>
                <w:color w:val="000000"/>
                <w:sz w:val="18"/>
                <w:szCs w:val="18"/>
                <w:lang w:eastAsia="tr-TR"/>
              </w:rPr>
            </w:pPr>
          </w:p>
        </w:tc>
      </w:tr>
      <w:tr w:rsidR="00057FAD" w:rsidRPr="00005453" w14:paraId="3C50237E" w14:textId="77777777" w:rsidTr="00C07B3E">
        <w:trPr>
          <w:trHeight w:val="147"/>
        </w:trPr>
        <w:tc>
          <w:tcPr>
            <w:tcW w:w="691" w:type="dxa"/>
            <w:tcBorders>
              <w:top w:val="nil"/>
              <w:left w:val="single" w:sz="8" w:space="0" w:color="auto"/>
              <w:bottom w:val="dotted" w:sz="4" w:space="0" w:color="auto"/>
              <w:right w:val="dotted" w:sz="4" w:space="0" w:color="auto"/>
            </w:tcBorders>
            <w:shd w:val="clear" w:color="auto" w:fill="auto"/>
            <w:vAlign w:val="center"/>
            <w:hideMark/>
          </w:tcPr>
          <w:p w14:paraId="36CA3C38" w14:textId="77777777" w:rsidR="00057FAD" w:rsidRPr="00005453" w:rsidRDefault="00057FAD" w:rsidP="00057FAD">
            <w:pPr>
              <w:jc w:val="center"/>
              <w:rPr>
                <w:color w:val="000000"/>
                <w:sz w:val="18"/>
                <w:szCs w:val="18"/>
                <w:lang w:eastAsia="tr-TR"/>
              </w:rPr>
            </w:pPr>
            <w:r w:rsidRPr="00005453">
              <w:rPr>
                <w:color w:val="000000"/>
                <w:sz w:val="18"/>
                <w:szCs w:val="18"/>
                <w:lang w:eastAsia="tr-TR"/>
              </w:rPr>
              <w:t>1</w:t>
            </w:r>
          </w:p>
        </w:tc>
        <w:tc>
          <w:tcPr>
            <w:tcW w:w="1709" w:type="dxa"/>
            <w:tcBorders>
              <w:top w:val="nil"/>
              <w:left w:val="nil"/>
              <w:bottom w:val="dotted" w:sz="4" w:space="0" w:color="auto"/>
              <w:right w:val="dotted" w:sz="4" w:space="0" w:color="auto"/>
            </w:tcBorders>
            <w:shd w:val="clear" w:color="auto" w:fill="auto"/>
            <w:vAlign w:val="center"/>
            <w:hideMark/>
          </w:tcPr>
          <w:p w14:paraId="07750D69" w14:textId="77777777" w:rsidR="00057FAD" w:rsidRPr="00005453" w:rsidRDefault="00057FAD" w:rsidP="00057FAD">
            <w:pPr>
              <w:rPr>
                <w:color w:val="000000"/>
                <w:sz w:val="18"/>
                <w:szCs w:val="18"/>
                <w:lang w:eastAsia="tr-TR"/>
              </w:rPr>
            </w:pPr>
            <w:r w:rsidRPr="00005453">
              <w:rPr>
                <w:color w:val="000000"/>
                <w:sz w:val="18"/>
                <w:szCs w:val="18"/>
                <w:lang w:eastAsia="tr-TR"/>
              </w:rPr>
              <w:t>Krediler</w:t>
            </w:r>
          </w:p>
        </w:tc>
        <w:tc>
          <w:tcPr>
            <w:tcW w:w="1418" w:type="dxa"/>
            <w:tcBorders>
              <w:top w:val="nil"/>
              <w:left w:val="nil"/>
              <w:bottom w:val="dotted" w:sz="4" w:space="0" w:color="auto"/>
              <w:right w:val="dotted" w:sz="4" w:space="0" w:color="auto"/>
            </w:tcBorders>
            <w:shd w:val="clear" w:color="auto" w:fill="auto"/>
            <w:vAlign w:val="center"/>
            <w:hideMark/>
          </w:tcPr>
          <w:p w14:paraId="30901930" w14:textId="1DCFB1E9" w:rsidR="00057FAD" w:rsidRPr="00005453" w:rsidRDefault="00057FAD" w:rsidP="00057FAD">
            <w:pPr>
              <w:jc w:val="right"/>
              <w:rPr>
                <w:color w:val="000000"/>
                <w:sz w:val="18"/>
                <w:szCs w:val="18"/>
                <w:lang w:eastAsia="tr-TR"/>
              </w:rPr>
            </w:pPr>
            <w:r w:rsidRPr="00005453">
              <w:rPr>
                <w:sz w:val="18"/>
                <w:szCs w:val="18"/>
              </w:rPr>
              <w:t>3,603,341</w:t>
            </w:r>
          </w:p>
        </w:tc>
        <w:tc>
          <w:tcPr>
            <w:tcW w:w="1785" w:type="dxa"/>
            <w:tcBorders>
              <w:top w:val="nil"/>
              <w:left w:val="nil"/>
              <w:bottom w:val="dotted" w:sz="4" w:space="0" w:color="auto"/>
              <w:right w:val="dotted" w:sz="4" w:space="0" w:color="auto"/>
            </w:tcBorders>
            <w:shd w:val="clear" w:color="auto" w:fill="auto"/>
            <w:vAlign w:val="center"/>
            <w:hideMark/>
          </w:tcPr>
          <w:p w14:paraId="23230814" w14:textId="5E64DE52" w:rsidR="00057FAD" w:rsidRPr="00005453" w:rsidRDefault="00057FAD" w:rsidP="00057FAD">
            <w:pPr>
              <w:jc w:val="right"/>
              <w:rPr>
                <w:color w:val="000000"/>
                <w:sz w:val="18"/>
                <w:szCs w:val="18"/>
                <w:lang w:eastAsia="tr-TR"/>
              </w:rPr>
            </w:pPr>
            <w:r w:rsidRPr="00005453">
              <w:rPr>
                <w:sz w:val="18"/>
                <w:szCs w:val="18"/>
              </w:rPr>
              <w:t>333,084,931</w:t>
            </w:r>
          </w:p>
        </w:tc>
        <w:tc>
          <w:tcPr>
            <w:tcW w:w="2467" w:type="dxa"/>
            <w:tcBorders>
              <w:top w:val="nil"/>
              <w:left w:val="nil"/>
              <w:bottom w:val="dotted" w:sz="4" w:space="0" w:color="auto"/>
              <w:right w:val="dotted" w:sz="4" w:space="0" w:color="auto"/>
            </w:tcBorders>
            <w:shd w:val="clear" w:color="auto" w:fill="auto"/>
            <w:vAlign w:val="center"/>
            <w:hideMark/>
          </w:tcPr>
          <w:p w14:paraId="11F99F3D" w14:textId="6A25C265" w:rsidR="00057FAD" w:rsidRPr="00005453" w:rsidRDefault="00057FAD" w:rsidP="00057FAD">
            <w:pPr>
              <w:jc w:val="right"/>
              <w:rPr>
                <w:color w:val="000000"/>
                <w:sz w:val="18"/>
                <w:szCs w:val="18"/>
                <w:lang w:eastAsia="tr-TR"/>
              </w:rPr>
            </w:pPr>
            <w:r w:rsidRPr="00005453">
              <w:rPr>
                <w:sz w:val="18"/>
                <w:szCs w:val="18"/>
              </w:rPr>
              <w:t>3,443,425</w:t>
            </w:r>
          </w:p>
        </w:tc>
        <w:tc>
          <w:tcPr>
            <w:tcW w:w="1560" w:type="dxa"/>
            <w:tcBorders>
              <w:top w:val="nil"/>
              <w:left w:val="nil"/>
              <w:bottom w:val="dotted" w:sz="4" w:space="0" w:color="auto"/>
              <w:right w:val="single" w:sz="8" w:space="0" w:color="auto"/>
            </w:tcBorders>
            <w:shd w:val="clear" w:color="auto" w:fill="auto"/>
            <w:vAlign w:val="center"/>
            <w:hideMark/>
          </w:tcPr>
          <w:p w14:paraId="305EB4F0" w14:textId="127EC67A" w:rsidR="00057FAD" w:rsidRPr="00005453" w:rsidRDefault="00057FAD" w:rsidP="00057FAD">
            <w:pPr>
              <w:jc w:val="right"/>
              <w:rPr>
                <w:color w:val="000000"/>
                <w:sz w:val="18"/>
                <w:szCs w:val="18"/>
                <w:lang w:eastAsia="tr-TR"/>
              </w:rPr>
            </w:pPr>
            <w:r w:rsidRPr="00005453">
              <w:rPr>
                <w:sz w:val="18"/>
                <w:szCs w:val="18"/>
              </w:rPr>
              <w:t>333,244,847</w:t>
            </w:r>
          </w:p>
        </w:tc>
      </w:tr>
      <w:tr w:rsidR="00057FAD" w:rsidRPr="00005453" w14:paraId="130D9FFA" w14:textId="77777777" w:rsidTr="00C07B3E">
        <w:trPr>
          <w:trHeight w:val="235"/>
        </w:trPr>
        <w:tc>
          <w:tcPr>
            <w:tcW w:w="691" w:type="dxa"/>
            <w:tcBorders>
              <w:top w:val="nil"/>
              <w:left w:val="single" w:sz="8" w:space="0" w:color="auto"/>
              <w:bottom w:val="dotted" w:sz="4" w:space="0" w:color="auto"/>
              <w:right w:val="dotted" w:sz="4" w:space="0" w:color="auto"/>
            </w:tcBorders>
            <w:shd w:val="clear" w:color="auto" w:fill="auto"/>
            <w:vAlign w:val="center"/>
            <w:hideMark/>
          </w:tcPr>
          <w:p w14:paraId="696E7D7A" w14:textId="77777777" w:rsidR="00057FAD" w:rsidRPr="00005453" w:rsidRDefault="00057FAD" w:rsidP="00057FAD">
            <w:pPr>
              <w:jc w:val="center"/>
              <w:rPr>
                <w:color w:val="000000"/>
                <w:sz w:val="18"/>
                <w:szCs w:val="18"/>
                <w:lang w:eastAsia="tr-TR"/>
              </w:rPr>
            </w:pPr>
            <w:r w:rsidRPr="00005453">
              <w:rPr>
                <w:color w:val="000000"/>
                <w:sz w:val="18"/>
                <w:szCs w:val="18"/>
                <w:lang w:eastAsia="tr-TR"/>
              </w:rPr>
              <w:t>2</w:t>
            </w:r>
          </w:p>
        </w:tc>
        <w:tc>
          <w:tcPr>
            <w:tcW w:w="1709" w:type="dxa"/>
            <w:tcBorders>
              <w:top w:val="nil"/>
              <w:left w:val="nil"/>
              <w:bottom w:val="dotted" w:sz="4" w:space="0" w:color="auto"/>
              <w:right w:val="dotted" w:sz="4" w:space="0" w:color="auto"/>
            </w:tcBorders>
            <w:shd w:val="clear" w:color="auto" w:fill="auto"/>
            <w:vAlign w:val="center"/>
            <w:hideMark/>
          </w:tcPr>
          <w:p w14:paraId="4ED08FF4" w14:textId="77777777" w:rsidR="00057FAD" w:rsidRPr="00005453" w:rsidRDefault="00057FAD" w:rsidP="00057FAD">
            <w:pPr>
              <w:rPr>
                <w:color w:val="000000"/>
                <w:sz w:val="18"/>
                <w:szCs w:val="18"/>
                <w:lang w:eastAsia="tr-TR"/>
              </w:rPr>
            </w:pPr>
            <w:r w:rsidRPr="00005453">
              <w:rPr>
                <w:color w:val="000000"/>
                <w:sz w:val="18"/>
                <w:szCs w:val="18"/>
                <w:lang w:eastAsia="tr-TR"/>
              </w:rPr>
              <w:t>Borçlanma Araçları</w:t>
            </w:r>
          </w:p>
        </w:tc>
        <w:tc>
          <w:tcPr>
            <w:tcW w:w="1418" w:type="dxa"/>
            <w:tcBorders>
              <w:top w:val="nil"/>
              <w:left w:val="nil"/>
              <w:bottom w:val="dotted" w:sz="4" w:space="0" w:color="auto"/>
              <w:right w:val="dotted" w:sz="4" w:space="0" w:color="auto"/>
            </w:tcBorders>
            <w:shd w:val="clear" w:color="auto" w:fill="auto"/>
            <w:vAlign w:val="center"/>
            <w:hideMark/>
          </w:tcPr>
          <w:p w14:paraId="322F6D4A" w14:textId="03B97C37" w:rsidR="00057FAD" w:rsidRPr="00005453" w:rsidRDefault="00057FAD" w:rsidP="00057FAD">
            <w:pPr>
              <w:jc w:val="right"/>
              <w:rPr>
                <w:color w:val="000000"/>
                <w:sz w:val="18"/>
                <w:szCs w:val="18"/>
                <w:lang w:eastAsia="tr-TR"/>
              </w:rPr>
            </w:pPr>
            <w:r w:rsidRPr="00005453">
              <w:rPr>
                <w:sz w:val="18"/>
                <w:szCs w:val="18"/>
              </w:rPr>
              <w:t>-</w:t>
            </w:r>
          </w:p>
        </w:tc>
        <w:tc>
          <w:tcPr>
            <w:tcW w:w="1785" w:type="dxa"/>
            <w:tcBorders>
              <w:top w:val="nil"/>
              <w:left w:val="nil"/>
              <w:bottom w:val="dotted" w:sz="4" w:space="0" w:color="auto"/>
              <w:right w:val="dotted" w:sz="4" w:space="0" w:color="auto"/>
            </w:tcBorders>
            <w:shd w:val="clear" w:color="auto" w:fill="auto"/>
            <w:vAlign w:val="center"/>
            <w:hideMark/>
          </w:tcPr>
          <w:p w14:paraId="60808E11" w14:textId="3639FF3D" w:rsidR="00057FAD" w:rsidRPr="00005453" w:rsidRDefault="00057FAD" w:rsidP="00057FAD">
            <w:pPr>
              <w:jc w:val="right"/>
              <w:rPr>
                <w:color w:val="000000"/>
                <w:sz w:val="18"/>
                <w:szCs w:val="18"/>
                <w:lang w:eastAsia="tr-TR"/>
              </w:rPr>
            </w:pPr>
            <w:r w:rsidRPr="00005453">
              <w:rPr>
                <w:sz w:val="18"/>
                <w:szCs w:val="18"/>
              </w:rPr>
              <w:t>121,629,880</w:t>
            </w:r>
          </w:p>
        </w:tc>
        <w:tc>
          <w:tcPr>
            <w:tcW w:w="2467" w:type="dxa"/>
            <w:tcBorders>
              <w:top w:val="nil"/>
              <w:left w:val="nil"/>
              <w:bottom w:val="dotted" w:sz="4" w:space="0" w:color="auto"/>
              <w:right w:val="dotted" w:sz="4" w:space="0" w:color="auto"/>
            </w:tcBorders>
            <w:shd w:val="clear" w:color="auto" w:fill="auto"/>
            <w:vAlign w:val="center"/>
            <w:hideMark/>
          </w:tcPr>
          <w:p w14:paraId="3ED70861" w14:textId="7DDEFB34" w:rsidR="00057FAD" w:rsidRPr="00005453" w:rsidRDefault="00057FAD" w:rsidP="00057FAD">
            <w:pPr>
              <w:jc w:val="right"/>
              <w:rPr>
                <w:color w:val="000000"/>
                <w:sz w:val="18"/>
                <w:szCs w:val="18"/>
                <w:lang w:eastAsia="tr-TR"/>
              </w:rPr>
            </w:pPr>
            <w:r w:rsidRPr="00005453">
              <w:rPr>
                <w:sz w:val="18"/>
                <w:szCs w:val="18"/>
              </w:rPr>
              <w:t>3,132,851</w:t>
            </w:r>
          </w:p>
        </w:tc>
        <w:tc>
          <w:tcPr>
            <w:tcW w:w="1560" w:type="dxa"/>
            <w:tcBorders>
              <w:top w:val="nil"/>
              <w:left w:val="nil"/>
              <w:bottom w:val="dotted" w:sz="4" w:space="0" w:color="auto"/>
              <w:right w:val="single" w:sz="8" w:space="0" w:color="auto"/>
            </w:tcBorders>
            <w:shd w:val="clear" w:color="auto" w:fill="auto"/>
            <w:vAlign w:val="center"/>
            <w:hideMark/>
          </w:tcPr>
          <w:p w14:paraId="5A6941C9" w14:textId="1D9B7411" w:rsidR="00057FAD" w:rsidRPr="00005453" w:rsidRDefault="00057FAD" w:rsidP="00057FAD">
            <w:pPr>
              <w:jc w:val="right"/>
              <w:rPr>
                <w:color w:val="000000"/>
                <w:sz w:val="18"/>
                <w:szCs w:val="18"/>
                <w:lang w:eastAsia="tr-TR"/>
              </w:rPr>
            </w:pPr>
            <w:r w:rsidRPr="00005453">
              <w:rPr>
                <w:sz w:val="18"/>
                <w:szCs w:val="18"/>
              </w:rPr>
              <w:t>118,497,031</w:t>
            </w:r>
          </w:p>
        </w:tc>
      </w:tr>
      <w:tr w:rsidR="00057FAD" w:rsidRPr="00005453" w14:paraId="5A936CF1" w14:textId="77777777" w:rsidTr="00C07B3E">
        <w:trPr>
          <w:trHeight w:val="471"/>
        </w:trPr>
        <w:tc>
          <w:tcPr>
            <w:tcW w:w="691" w:type="dxa"/>
            <w:tcBorders>
              <w:top w:val="nil"/>
              <w:left w:val="single" w:sz="8" w:space="0" w:color="auto"/>
              <w:bottom w:val="dotted" w:sz="4" w:space="0" w:color="auto"/>
              <w:right w:val="dotted" w:sz="4" w:space="0" w:color="auto"/>
            </w:tcBorders>
            <w:shd w:val="clear" w:color="auto" w:fill="auto"/>
            <w:vAlign w:val="center"/>
            <w:hideMark/>
          </w:tcPr>
          <w:p w14:paraId="0CBEF923" w14:textId="77777777" w:rsidR="00057FAD" w:rsidRPr="00005453" w:rsidRDefault="00057FAD" w:rsidP="00057FAD">
            <w:pPr>
              <w:jc w:val="center"/>
              <w:rPr>
                <w:color w:val="000000"/>
                <w:sz w:val="18"/>
                <w:szCs w:val="18"/>
                <w:lang w:eastAsia="tr-TR"/>
              </w:rPr>
            </w:pPr>
            <w:r w:rsidRPr="00005453">
              <w:rPr>
                <w:color w:val="000000"/>
                <w:sz w:val="18"/>
                <w:szCs w:val="18"/>
                <w:lang w:eastAsia="tr-TR"/>
              </w:rPr>
              <w:t>3</w:t>
            </w:r>
          </w:p>
        </w:tc>
        <w:tc>
          <w:tcPr>
            <w:tcW w:w="1709" w:type="dxa"/>
            <w:tcBorders>
              <w:top w:val="nil"/>
              <w:left w:val="nil"/>
              <w:bottom w:val="dotted" w:sz="4" w:space="0" w:color="auto"/>
              <w:right w:val="dotted" w:sz="4" w:space="0" w:color="auto"/>
            </w:tcBorders>
            <w:shd w:val="clear" w:color="auto" w:fill="auto"/>
            <w:vAlign w:val="center"/>
            <w:hideMark/>
          </w:tcPr>
          <w:p w14:paraId="156879DA" w14:textId="77777777" w:rsidR="00057FAD" w:rsidRPr="00005453" w:rsidRDefault="00057FAD" w:rsidP="00057FAD">
            <w:pPr>
              <w:rPr>
                <w:color w:val="000000"/>
                <w:sz w:val="18"/>
                <w:szCs w:val="18"/>
                <w:lang w:eastAsia="tr-TR"/>
              </w:rPr>
            </w:pPr>
            <w:r w:rsidRPr="00005453">
              <w:rPr>
                <w:color w:val="000000"/>
                <w:sz w:val="18"/>
                <w:szCs w:val="18"/>
                <w:lang w:eastAsia="tr-TR"/>
              </w:rPr>
              <w:t>Bilanço Dışı Alacaklar (*)</w:t>
            </w:r>
          </w:p>
        </w:tc>
        <w:tc>
          <w:tcPr>
            <w:tcW w:w="1418" w:type="dxa"/>
            <w:tcBorders>
              <w:top w:val="nil"/>
              <w:left w:val="nil"/>
              <w:bottom w:val="dotted" w:sz="4" w:space="0" w:color="auto"/>
              <w:right w:val="dotted" w:sz="4" w:space="0" w:color="auto"/>
            </w:tcBorders>
            <w:shd w:val="clear" w:color="auto" w:fill="auto"/>
            <w:vAlign w:val="center"/>
            <w:hideMark/>
          </w:tcPr>
          <w:p w14:paraId="64175445" w14:textId="6E58070E" w:rsidR="00057FAD" w:rsidRPr="00005453" w:rsidRDefault="00057FAD" w:rsidP="00057FAD">
            <w:pPr>
              <w:jc w:val="right"/>
              <w:rPr>
                <w:color w:val="000000"/>
                <w:sz w:val="18"/>
                <w:szCs w:val="18"/>
                <w:lang w:eastAsia="tr-TR"/>
              </w:rPr>
            </w:pPr>
            <w:r w:rsidRPr="00005453">
              <w:rPr>
                <w:sz w:val="18"/>
                <w:szCs w:val="18"/>
              </w:rPr>
              <w:t>576,685</w:t>
            </w:r>
          </w:p>
        </w:tc>
        <w:tc>
          <w:tcPr>
            <w:tcW w:w="1785" w:type="dxa"/>
            <w:tcBorders>
              <w:top w:val="nil"/>
              <w:left w:val="nil"/>
              <w:bottom w:val="dotted" w:sz="4" w:space="0" w:color="auto"/>
              <w:right w:val="dotted" w:sz="4" w:space="0" w:color="auto"/>
            </w:tcBorders>
            <w:shd w:val="clear" w:color="auto" w:fill="auto"/>
            <w:vAlign w:val="center"/>
            <w:hideMark/>
          </w:tcPr>
          <w:p w14:paraId="6E08BE1E" w14:textId="32A7FAC4" w:rsidR="00057FAD" w:rsidRPr="00005453" w:rsidRDefault="00057FAD" w:rsidP="00057FAD">
            <w:pPr>
              <w:jc w:val="right"/>
              <w:rPr>
                <w:color w:val="000000"/>
                <w:sz w:val="18"/>
                <w:szCs w:val="18"/>
                <w:lang w:eastAsia="tr-TR"/>
              </w:rPr>
            </w:pPr>
            <w:r w:rsidRPr="00005453">
              <w:rPr>
                <w:sz w:val="18"/>
                <w:szCs w:val="18"/>
              </w:rPr>
              <w:t>107,730,100</w:t>
            </w:r>
          </w:p>
        </w:tc>
        <w:tc>
          <w:tcPr>
            <w:tcW w:w="2467" w:type="dxa"/>
            <w:tcBorders>
              <w:top w:val="nil"/>
              <w:left w:val="nil"/>
              <w:bottom w:val="dotted" w:sz="4" w:space="0" w:color="auto"/>
              <w:right w:val="dotted" w:sz="4" w:space="0" w:color="auto"/>
            </w:tcBorders>
            <w:shd w:val="clear" w:color="auto" w:fill="auto"/>
            <w:vAlign w:val="center"/>
            <w:hideMark/>
          </w:tcPr>
          <w:p w14:paraId="60728A0B" w14:textId="0C873FB9" w:rsidR="00057FAD" w:rsidRPr="00005453" w:rsidRDefault="00057FAD" w:rsidP="00057FAD">
            <w:pPr>
              <w:jc w:val="right"/>
              <w:rPr>
                <w:color w:val="000000"/>
                <w:sz w:val="18"/>
                <w:szCs w:val="18"/>
                <w:lang w:eastAsia="tr-TR"/>
              </w:rPr>
            </w:pPr>
            <w:r w:rsidRPr="00005453">
              <w:rPr>
                <w:sz w:val="18"/>
                <w:szCs w:val="18"/>
              </w:rPr>
              <w:t>569,527</w:t>
            </w:r>
          </w:p>
        </w:tc>
        <w:tc>
          <w:tcPr>
            <w:tcW w:w="1560" w:type="dxa"/>
            <w:tcBorders>
              <w:top w:val="nil"/>
              <w:left w:val="nil"/>
              <w:bottom w:val="dotted" w:sz="4" w:space="0" w:color="auto"/>
              <w:right w:val="single" w:sz="8" w:space="0" w:color="auto"/>
            </w:tcBorders>
            <w:shd w:val="clear" w:color="auto" w:fill="auto"/>
            <w:vAlign w:val="center"/>
            <w:hideMark/>
          </w:tcPr>
          <w:p w14:paraId="2526BFA9" w14:textId="42138604" w:rsidR="00057FAD" w:rsidRPr="00005453" w:rsidRDefault="00057FAD" w:rsidP="00057FAD">
            <w:pPr>
              <w:jc w:val="right"/>
              <w:rPr>
                <w:color w:val="000000"/>
                <w:sz w:val="18"/>
                <w:szCs w:val="18"/>
                <w:lang w:eastAsia="tr-TR"/>
              </w:rPr>
            </w:pPr>
            <w:r w:rsidRPr="00005453">
              <w:rPr>
                <w:sz w:val="18"/>
                <w:szCs w:val="18"/>
              </w:rPr>
              <w:t>107,737,260</w:t>
            </w:r>
          </w:p>
        </w:tc>
      </w:tr>
      <w:tr w:rsidR="00057FAD" w:rsidRPr="00005453" w14:paraId="71B65F8B" w14:textId="77777777" w:rsidTr="00C07B3E">
        <w:trPr>
          <w:trHeight w:val="154"/>
        </w:trPr>
        <w:tc>
          <w:tcPr>
            <w:tcW w:w="691" w:type="dxa"/>
            <w:tcBorders>
              <w:top w:val="nil"/>
              <w:left w:val="single" w:sz="8" w:space="0" w:color="auto"/>
              <w:bottom w:val="single" w:sz="8" w:space="0" w:color="auto"/>
              <w:right w:val="dotted" w:sz="4" w:space="0" w:color="auto"/>
            </w:tcBorders>
            <w:shd w:val="clear" w:color="auto" w:fill="auto"/>
            <w:vAlign w:val="center"/>
            <w:hideMark/>
          </w:tcPr>
          <w:p w14:paraId="64C73C61" w14:textId="77777777" w:rsidR="00057FAD" w:rsidRPr="00005453" w:rsidRDefault="00057FAD" w:rsidP="00057FAD">
            <w:pPr>
              <w:jc w:val="center"/>
              <w:rPr>
                <w:b/>
                <w:bCs/>
                <w:color w:val="000000"/>
                <w:sz w:val="18"/>
                <w:szCs w:val="18"/>
                <w:lang w:eastAsia="tr-TR"/>
              </w:rPr>
            </w:pPr>
            <w:r w:rsidRPr="00005453">
              <w:rPr>
                <w:b/>
                <w:bCs/>
                <w:color w:val="000000"/>
                <w:sz w:val="18"/>
                <w:szCs w:val="18"/>
                <w:lang w:eastAsia="tr-TR"/>
              </w:rPr>
              <w:t>4</w:t>
            </w:r>
          </w:p>
        </w:tc>
        <w:tc>
          <w:tcPr>
            <w:tcW w:w="1709" w:type="dxa"/>
            <w:tcBorders>
              <w:top w:val="nil"/>
              <w:left w:val="nil"/>
              <w:bottom w:val="single" w:sz="8" w:space="0" w:color="auto"/>
              <w:right w:val="dotted" w:sz="4" w:space="0" w:color="auto"/>
            </w:tcBorders>
            <w:shd w:val="clear" w:color="auto" w:fill="auto"/>
            <w:vAlign w:val="center"/>
            <w:hideMark/>
          </w:tcPr>
          <w:p w14:paraId="4A64457B" w14:textId="77777777" w:rsidR="00057FAD" w:rsidRPr="00005453" w:rsidRDefault="00057FAD" w:rsidP="00057FAD">
            <w:pPr>
              <w:rPr>
                <w:b/>
                <w:bCs/>
                <w:color w:val="000000"/>
                <w:sz w:val="18"/>
                <w:szCs w:val="18"/>
                <w:lang w:eastAsia="tr-TR"/>
              </w:rPr>
            </w:pPr>
            <w:r w:rsidRPr="00005453">
              <w:rPr>
                <w:b/>
                <w:bCs/>
                <w:color w:val="000000"/>
                <w:sz w:val="18"/>
                <w:szCs w:val="18"/>
                <w:lang w:eastAsia="tr-TR"/>
              </w:rPr>
              <w:t>Toplam</w:t>
            </w:r>
          </w:p>
        </w:tc>
        <w:tc>
          <w:tcPr>
            <w:tcW w:w="1418" w:type="dxa"/>
            <w:tcBorders>
              <w:top w:val="nil"/>
              <w:left w:val="nil"/>
              <w:bottom w:val="single" w:sz="8" w:space="0" w:color="auto"/>
              <w:right w:val="dotted" w:sz="4" w:space="0" w:color="auto"/>
            </w:tcBorders>
            <w:shd w:val="clear" w:color="auto" w:fill="auto"/>
            <w:vAlign w:val="center"/>
            <w:hideMark/>
          </w:tcPr>
          <w:p w14:paraId="03CA5D46" w14:textId="1961F6BD" w:rsidR="00057FAD" w:rsidRPr="00005453" w:rsidRDefault="00057FAD" w:rsidP="00057FAD">
            <w:pPr>
              <w:jc w:val="right"/>
              <w:rPr>
                <w:b/>
                <w:bCs/>
                <w:color w:val="000000"/>
                <w:sz w:val="18"/>
                <w:szCs w:val="18"/>
                <w:lang w:eastAsia="tr-TR"/>
              </w:rPr>
            </w:pPr>
            <w:r w:rsidRPr="00005453">
              <w:rPr>
                <w:b/>
                <w:sz w:val="18"/>
                <w:szCs w:val="18"/>
              </w:rPr>
              <w:t>4,180,026</w:t>
            </w:r>
          </w:p>
        </w:tc>
        <w:tc>
          <w:tcPr>
            <w:tcW w:w="1785" w:type="dxa"/>
            <w:tcBorders>
              <w:top w:val="nil"/>
              <w:left w:val="nil"/>
              <w:bottom w:val="single" w:sz="8" w:space="0" w:color="auto"/>
              <w:right w:val="dotted" w:sz="4" w:space="0" w:color="auto"/>
            </w:tcBorders>
            <w:shd w:val="clear" w:color="auto" w:fill="auto"/>
            <w:vAlign w:val="center"/>
            <w:hideMark/>
          </w:tcPr>
          <w:p w14:paraId="0568F4E4" w14:textId="5ECC31B0" w:rsidR="00057FAD" w:rsidRPr="00005453" w:rsidRDefault="00057FAD" w:rsidP="00057FAD">
            <w:pPr>
              <w:jc w:val="right"/>
              <w:rPr>
                <w:b/>
                <w:bCs/>
                <w:color w:val="000000"/>
                <w:sz w:val="18"/>
                <w:szCs w:val="18"/>
                <w:lang w:eastAsia="tr-TR"/>
              </w:rPr>
            </w:pPr>
            <w:r w:rsidRPr="00005453">
              <w:rPr>
                <w:b/>
                <w:sz w:val="18"/>
                <w:szCs w:val="18"/>
              </w:rPr>
              <w:t>562,444,911</w:t>
            </w:r>
          </w:p>
        </w:tc>
        <w:tc>
          <w:tcPr>
            <w:tcW w:w="2467" w:type="dxa"/>
            <w:tcBorders>
              <w:top w:val="nil"/>
              <w:left w:val="nil"/>
              <w:bottom w:val="single" w:sz="8" w:space="0" w:color="auto"/>
              <w:right w:val="dotted" w:sz="4" w:space="0" w:color="auto"/>
            </w:tcBorders>
            <w:shd w:val="clear" w:color="auto" w:fill="auto"/>
            <w:vAlign w:val="center"/>
            <w:hideMark/>
          </w:tcPr>
          <w:p w14:paraId="2687739F" w14:textId="0D6D57C6" w:rsidR="00057FAD" w:rsidRPr="00005453" w:rsidRDefault="00057FAD" w:rsidP="00057FAD">
            <w:pPr>
              <w:jc w:val="right"/>
              <w:rPr>
                <w:b/>
                <w:bCs/>
                <w:color w:val="000000"/>
                <w:sz w:val="18"/>
                <w:szCs w:val="18"/>
                <w:lang w:eastAsia="tr-TR"/>
              </w:rPr>
            </w:pPr>
            <w:r w:rsidRPr="00005453">
              <w:rPr>
                <w:b/>
                <w:sz w:val="18"/>
                <w:szCs w:val="18"/>
              </w:rPr>
              <w:t>7,145,803</w:t>
            </w:r>
          </w:p>
        </w:tc>
        <w:tc>
          <w:tcPr>
            <w:tcW w:w="1560" w:type="dxa"/>
            <w:tcBorders>
              <w:top w:val="nil"/>
              <w:left w:val="nil"/>
              <w:bottom w:val="single" w:sz="8" w:space="0" w:color="auto"/>
              <w:right w:val="single" w:sz="8" w:space="0" w:color="auto"/>
            </w:tcBorders>
            <w:shd w:val="clear" w:color="auto" w:fill="auto"/>
            <w:vAlign w:val="center"/>
            <w:hideMark/>
          </w:tcPr>
          <w:p w14:paraId="356B555B" w14:textId="6EA9D0BB" w:rsidR="00057FAD" w:rsidRPr="00005453" w:rsidRDefault="00057FAD" w:rsidP="00057FAD">
            <w:pPr>
              <w:jc w:val="right"/>
              <w:rPr>
                <w:b/>
                <w:bCs/>
                <w:color w:val="000000"/>
                <w:sz w:val="18"/>
                <w:szCs w:val="18"/>
                <w:lang w:eastAsia="tr-TR"/>
              </w:rPr>
            </w:pPr>
            <w:r w:rsidRPr="00005453">
              <w:rPr>
                <w:b/>
                <w:sz w:val="18"/>
                <w:szCs w:val="18"/>
              </w:rPr>
              <w:t>559,479,138</w:t>
            </w:r>
          </w:p>
        </w:tc>
      </w:tr>
    </w:tbl>
    <w:p w14:paraId="30C197C4" w14:textId="446E2F0E" w:rsidR="00636021" w:rsidRPr="00005453" w:rsidRDefault="00636021" w:rsidP="00AB1525">
      <w:pPr>
        <w:rPr>
          <w:sz w:val="10"/>
          <w:szCs w:val="10"/>
        </w:rPr>
      </w:pPr>
    </w:p>
    <w:p w14:paraId="40C546E3" w14:textId="761F7B14" w:rsidR="00AB1525" w:rsidRPr="00005453" w:rsidRDefault="00AB1525" w:rsidP="00AB1525">
      <w:pPr>
        <w:rPr>
          <w:sz w:val="16"/>
          <w:szCs w:val="16"/>
        </w:rPr>
      </w:pPr>
      <w:r w:rsidRPr="00005453">
        <w:rPr>
          <w:sz w:val="16"/>
          <w:szCs w:val="16"/>
        </w:rPr>
        <w:t>(*) Türev işlemlerin reeskontları net olarak değer düşüklüğü satırında gösterilmiştir.</w:t>
      </w:r>
    </w:p>
    <w:p w14:paraId="247B7657" w14:textId="2D1A5589" w:rsidR="00C25473" w:rsidRPr="00005453" w:rsidRDefault="00C25473" w:rsidP="00C25473">
      <w:pPr>
        <w:rPr>
          <w:b/>
          <w:sz w:val="12"/>
          <w:szCs w:val="12"/>
        </w:rPr>
      </w:pPr>
    </w:p>
    <w:p w14:paraId="2F77BE4D" w14:textId="29CC75BD" w:rsidR="00C25473" w:rsidRPr="00005453" w:rsidRDefault="00C25473" w:rsidP="00C25473">
      <w:pPr>
        <w:rPr>
          <w:b/>
        </w:rPr>
      </w:pPr>
      <w:r w:rsidRPr="00005453">
        <w:rPr>
          <w:b/>
        </w:rPr>
        <w:t>Temerrüde düşmüş alacaklar ve borçlanma araçları stoğundaki değişimler</w:t>
      </w:r>
    </w:p>
    <w:p w14:paraId="0CB84027" w14:textId="714A24AF" w:rsidR="003A557F" w:rsidRPr="00005453" w:rsidRDefault="003A557F" w:rsidP="00C25473">
      <w:pPr>
        <w:rPr>
          <w:lang w:eastAsia="en-GB"/>
        </w:rPr>
      </w:pPr>
    </w:p>
    <w:tbl>
      <w:tblPr>
        <w:tblW w:w="9639" w:type="dxa"/>
        <w:tblCellMar>
          <w:left w:w="70" w:type="dxa"/>
          <w:right w:w="70" w:type="dxa"/>
        </w:tblCellMar>
        <w:tblLook w:val="04A0" w:firstRow="1" w:lastRow="0" w:firstColumn="1" w:lastColumn="0" w:noHBand="0" w:noVBand="1"/>
      </w:tblPr>
      <w:tblGrid>
        <w:gridCol w:w="230"/>
        <w:gridCol w:w="6574"/>
        <w:gridCol w:w="1418"/>
        <w:gridCol w:w="1417"/>
      </w:tblGrid>
      <w:tr w:rsidR="003A557F" w:rsidRPr="00005453" w14:paraId="2FAC7793" w14:textId="77777777" w:rsidTr="00057FAD">
        <w:trPr>
          <w:divId w:val="359546876"/>
          <w:trHeight w:val="214"/>
        </w:trPr>
        <w:tc>
          <w:tcPr>
            <w:tcW w:w="2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68C297" w14:textId="0514DEE9" w:rsidR="003A557F" w:rsidRPr="00005453" w:rsidRDefault="003A557F" w:rsidP="003A557F">
            <w:pPr>
              <w:rPr>
                <w:color w:val="000000"/>
                <w:sz w:val="18"/>
                <w:szCs w:val="18"/>
                <w:lang w:eastAsia="tr-TR"/>
              </w:rPr>
            </w:pPr>
            <w:r w:rsidRPr="00005453">
              <w:rPr>
                <w:color w:val="000000"/>
                <w:sz w:val="18"/>
                <w:szCs w:val="18"/>
                <w:lang w:eastAsia="tr-TR"/>
              </w:rPr>
              <w:t> </w:t>
            </w:r>
          </w:p>
        </w:tc>
        <w:tc>
          <w:tcPr>
            <w:tcW w:w="6574" w:type="dxa"/>
            <w:tcBorders>
              <w:top w:val="single" w:sz="8" w:space="0" w:color="auto"/>
              <w:left w:val="nil"/>
              <w:bottom w:val="single" w:sz="8" w:space="0" w:color="auto"/>
              <w:right w:val="single" w:sz="8" w:space="0" w:color="auto"/>
            </w:tcBorders>
            <w:shd w:val="clear" w:color="auto" w:fill="auto"/>
            <w:noWrap/>
            <w:vAlign w:val="center"/>
            <w:hideMark/>
          </w:tcPr>
          <w:p w14:paraId="51FE022E" w14:textId="77777777" w:rsidR="003A557F" w:rsidRPr="00005453" w:rsidRDefault="003A557F" w:rsidP="003A557F">
            <w:pPr>
              <w:rPr>
                <w:color w:val="000000"/>
                <w:sz w:val="18"/>
                <w:szCs w:val="18"/>
                <w:lang w:eastAsia="tr-TR"/>
              </w:rPr>
            </w:pPr>
            <w:r w:rsidRPr="00005453">
              <w:rPr>
                <w:color w:val="000000"/>
                <w:sz w:val="18"/>
                <w:szCs w:val="18"/>
                <w:lang w:eastAsia="tr-TR"/>
              </w:rPr>
              <w:t>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18A68B0F" w14:textId="77777777" w:rsidR="003A557F" w:rsidRPr="00005453" w:rsidRDefault="003A557F" w:rsidP="003A557F">
            <w:pPr>
              <w:jc w:val="right"/>
              <w:rPr>
                <w:b/>
                <w:color w:val="000000"/>
                <w:sz w:val="18"/>
                <w:szCs w:val="18"/>
                <w:lang w:eastAsia="tr-TR"/>
              </w:rPr>
            </w:pPr>
            <w:r w:rsidRPr="00005453">
              <w:rPr>
                <w:b/>
                <w:color w:val="000000"/>
                <w:sz w:val="18"/>
                <w:szCs w:val="18"/>
                <w:lang w:eastAsia="tr-TR"/>
              </w:rPr>
              <w:t>Cari Dönem</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48318AF3" w14:textId="77777777" w:rsidR="003A557F" w:rsidRPr="00005453" w:rsidRDefault="003A557F" w:rsidP="003A557F">
            <w:pPr>
              <w:jc w:val="right"/>
              <w:rPr>
                <w:b/>
                <w:color w:val="000000"/>
                <w:sz w:val="18"/>
                <w:szCs w:val="18"/>
                <w:lang w:eastAsia="tr-TR"/>
              </w:rPr>
            </w:pPr>
            <w:r w:rsidRPr="00005453">
              <w:rPr>
                <w:b/>
                <w:color w:val="000000"/>
                <w:sz w:val="18"/>
                <w:szCs w:val="18"/>
                <w:lang w:eastAsia="tr-TR"/>
              </w:rPr>
              <w:t>Önceki Dönem</w:t>
            </w:r>
          </w:p>
        </w:tc>
      </w:tr>
      <w:tr w:rsidR="00E36E35" w:rsidRPr="00005453" w14:paraId="066B6BFC" w14:textId="77777777" w:rsidTr="00E36E35">
        <w:trPr>
          <w:divId w:val="359546876"/>
          <w:trHeight w:val="214"/>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06742071" w14:textId="77777777" w:rsidR="00E36E35" w:rsidRPr="00005453" w:rsidRDefault="00E36E35" w:rsidP="00E36E35">
            <w:pPr>
              <w:jc w:val="right"/>
              <w:rPr>
                <w:color w:val="000000"/>
                <w:sz w:val="18"/>
                <w:szCs w:val="18"/>
                <w:lang w:eastAsia="tr-TR"/>
              </w:rPr>
            </w:pPr>
            <w:r w:rsidRPr="00005453">
              <w:rPr>
                <w:color w:val="000000"/>
                <w:sz w:val="18"/>
                <w:szCs w:val="18"/>
                <w:lang w:eastAsia="tr-TR"/>
              </w:rPr>
              <w:t>1</w:t>
            </w:r>
          </w:p>
        </w:tc>
        <w:tc>
          <w:tcPr>
            <w:tcW w:w="6574" w:type="dxa"/>
            <w:tcBorders>
              <w:top w:val="nil"/>
              <w:left w:val="nil"/>
              <w:bottom w:val="single" w:sz="8" w:space="0" w:color="auto"/>
              <w:right w:val="single" w:sz="8" w:space="0" w:color="auto"/>
            </w:tcBorders>
            <w:shd w:val="clear" w:color="auto" w:fill="auto"/>
            <w:noWrap/>
            <w:vAlign w:val="center"/>
            <w:hideMark/>
          </w:tcPr>
          <w:p w14:paraId="300D40F4" w14:textId="77777777" w:rsidR="00E36E35" w:rsidRPr="00005453" w:rsidRDefault="00E36E35" w:rsidP="00E36E35">
            <w:pPr>
              <w:rPr>
                <w:color w:val="000000"/>
                <w:sz w:val="18"/>
                <w:szCs w:val="18"/>
                <w:lang w:eastAsia="tr-TR"/>
              </w:rPr>
            </w:pPr>
            <w:r w:rsidRPr="00005453">
              <w:rPr>
                <w:color w:val="000000"/>
                <w:sz w:val="18"/>
                <w:szCs w:val="18"/>
                <w:lang w:eastAsia="tr-TR"/>
              </w:rPr>
              <w:t>Önceki raporlama dönemi sonundaki temerrüt etmiş krediler ve borçlanma araçları tutarı</w:t>
            </w:r>
          </w:p>
        </w:tc>
        <w:tc>
          <w:tcPr>
            <w:tcW w:w="1418" w:type="dxa"/>
            <w:tcBorders>
              <w:top w:val="nil"/>
              <w:left w:val="nil"/>
              <w:bottom w:val="single" w:sz="8" w:space="0" w:color="auto"/>
              <w:right w:val="single" w:sz="8" w:space="0" w:color="auto"/>
            </w:tcBorders>
            <w:shd w:val="clear" w:color="auto" w:fill="auto"/>
            <w:noWrap/>
            <w:vAlign w:val="center"/>
            <w:hideMark/>
          </w:tcPr>
          <w:p w14:paraId="0781A96F" w14:textId="76BCD826" w:rsidR="00E36E35" w:rsidRPr="00005453" w:rsidRDefault="00E36E35" w:rsidP="00E36E35">
            <w:pPr>
              <w:jc w:val="right"/>
              <w:rPr>
                <w:sz w:val="18"/>
                <w:szCs w:val="18"/>
                <w:lang w:eastAsia="tr-TR"/>
              </w:rPr>
            </w:pPr>
            <w:r w:rsidRPr="00005453">
              <w:rPr>
                <w:sz w:val="18"/>
                <w:szCs w:val="18"/>
              </w:rPr>
              <w:t>3,603,341</w:t>
            </w:r>
          </w:p>
        </w:tc>
        <w:tc>
          <w:tcPr>
            <w:tcW w:w="1417" w:type="dxa"/>
            <w:tcBorders>
              <w:top w:val="nil"/>
              <w:left w:val="nil"/>
              <w:bottom w:val="single" w:sz="8" w:space="0" w:color="auto"/>
              <w:right w:val="single" w:sz="8" w:space="0" w:color="auto"/>
            </w:tcBorders>
            <w:shd w:val="clear" w:color="auto" w:fill="auto"/>
            <w:noWrap/>
            <w:vAlign w:val="center"/>
            <w:hideMark/>
          </w:tcPr>
          <w:p w14:paraId="144DC42B" w14:textId="6EC1BD9F" w:rsidR="00E36E35" w:rsidRPr="00005453" w:rsidRDefault="00E36E35" w:rsidP="00E36E35">
            <w:pPr>
              <w:jc w:val="right"/>
              <w:rPr>
                <w:color w:val="000000"/>
                <w:sz w:val="18"/>
                <w:szCs w:val="18"/>
                <w:lang w:eastAsia="tr-TR"/>
              </w:rPr>
            </w:pPr>
            <w:r w:rsidRPr="00005453">
              <w:rPr>
                <w:color w:val="000000"/>
                <w:sz w:val="18"/>
                <w:szCs w:val="18"/>
                <w:lang w:eastAsia="tr-TR"/>
              </w:rPr>
              <w:t>3,246,047</w:t>
            </w:r>
          </w:p>
        </w:tc>
      </w:tr>
      <w:tr w:rsidR="00E36E35" w:rsidRPr="00005453" w14:paraId="50D3A992" w14:textId="77777777" w:rsidTr="00E36E35">
        <w:trPr>
          <w:divId w:val="359546876"/>
          <w:trHeight w:val="214"/>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621A4529" w14:textId="77777777" w:rsidR="00E36E35" w:rsidRPr="00005453" w:rsidRDefault="00E36E35" w:rsidP="00E36E35">
            <w:pPr>
              <w:jc w:val="right"/>
              <w:rPr>
                <w:color w:val="000000"/>
                <w:sz w:val="18"/>
                <w:szCs w:val="18"/>
                <w:lang w:eastAsia="tr-TR"/>
              </w:rPr>
            </w:pPr>
            <w:r w:rsidRPr="00005453">
              <w:rPr>
                <w:color w:val="000000"/>
                <w:sz w:val="18"/>
                <w:szCs w:val="18"/>
                <w:lang w:eastAsia="tr-TR"/>
              </w:rPr>
              <w:t>2</w:t>
            </w:r>
          </w:p>
        </w:tc>
        <w:tc>
          <w:tcPr>
            <w:tcW w:w="6574" w:type="dxa"/>
            <w:tcBorders>
              <w:top w:val="nil"/>
              <w:left w:val="nil"/>
              <w:bottom w:val="single" w:sz="8" w:space="0" w:color="auto"/>
              <w:right w:val="single" w:sz="8" w:space="0" w:color="auto"/>
            </w:tcBorders>
            <w:shd w:val="clear" w:color="auto" w:fill="auto"/>
            <w:noWrap/>
            <w:vAlign w:val="center"/>
            <w:hideMark/>
          </w:tcPr>
          <w:p w14:paraId="24DC32F4" w14:textId="77777777" w:rsidR="00E36E35" w:rsidRPr="00005453" w:rsidRDefault="00E36E35" w:rsidP="00E36E35">
            <w:pPr>
              <w:rPr>
                <w:color w:val="000000"/>
                <w:sz w:val="18"/>
                <w:szCs w:val="18"/>
                <w:lang w:eastAsia="tr-TR"/>
              </w:rPr>
            </w:pPr>
            <w:r w:rsidRPr="00005453">
              <w:rPr>
                <w:color w:val="000000"/>
                <w:sz w:val="18"/>
                <w:szCs w:val="18"/>
                <w:lang w:eastAsia="tr-TR"/>
              </w:rPr>
              <w:t>Son raporlama döneminden itibaren temerrüt eden krediler ve borçlanma araçları</w:t>
            </w:r>
          </w:p>
        </w:tc>
        <w:tc>
          <w:tcPr>
            <w:tcW w:w="1418" w:type="dxa"/>
            <w:tcBorders>
              <w:top w:val="nil"/>
              <w:left w:val="nil"/>
              <w:bottom w:val="single" w:sz="8" w:space="0" w:color="auto"/>
              <w:right w:val="single" w:sz="8" w:space="0" w:color="auto"/>
            </w:tcBorders>
            <w:shd w:val="clear" w:color="auto" w:fill="auto"/>
            <w:noWrap/>
            <w:vAlign w:val="center"/>
            <w:hideMark/>
          </w:tcPr>
          <w:p w14:paraId="2E9B7430" w14:textId="04AE044D" w:rsidR="00E36E35" w:rsidRPr="00005453" w:rsidRDefault="00E36E35" w:rsidP="00E36E35">
            <w:pPr>
              <w:jc w:val="right"/>
              <w:rPr>
                <w:sz w:val="18"/>
                <w:szCs w:val="18"/>
                <w:lang w:eastAsia="tr-TR"/>
              </w:rPr>
            </w:pPr>
            <w:r w:rsidRPr="00005453">
              <w:rPr>
                <w:sz w:val="18"/>
                <w:szCs w:val="18"/>
              </w:rPr>
              <w:t>6,565,754</w:t>
            </w:r>
          </w:p>
        </w:tc>
        <w:tc>
          <w:tcPr>
            <w:tcW w:w="1417" w:type="dxa"/>
            <w:tcBorders>
              <w:top w:val="nil"/>
              <w:left w:val="nil"/>
              <w:bottom w:val="single" w:sz="8" w:space="0" w:color="auto"/>
              <w:right w:val="single" w:sz="8" w:space="0" w:color="auto"/>
            </w:tcBorders>
            <w:shd w:val="clear" w:color="auto" w:fill="auto"/>
            <w:noWrap/>
            <w:vAlign w:val="center"/>
            <w:hideMark/>
          </w:tcPr>
          <w:p w14:paraId="1CC51C19" w14:textId="6F3A90AE" w:rsidR="00E36E35" w:rsidRPr="00005453" w:rsidRDefault="00E36E35" w:rsidP="00E36E35">
            <w:pPr>
              <w:jc w:val="right"/>
              <w:rPr>
                <w:color w:val="000000"/>
                <w:sz w:val="18"/>
                <w:szCs w:val="18"/>
                <w:lang w:eastAsia="tr-TR"/>
              </w:rPr>
            </w:pPr>
            <w:r w:rsidRPr="00005453">
              <w:rPr>
                <w:color w:val="000000"/>
                <w:sz w:val="18"/>
                <w:szCs w:val="18"/>
                <w:lang w:eastAsia="tr-TR"/>
              </w:rPr>
              <w:t>2,049,584</w:t>
            </w:r>
          </w:p>
        </w:tc>
      </w:tr>
      <w:tr w:rsidR="00E36E35" w:rsidRPr="00005453" w14:paraId="40A40E82" w14:textId="77777777" w:rsidTr="00E36E35">
        <w:trPr>
          <w:divId w:val="359546876"/>
          <w:trHeight w:val="214"/>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631D329C" w14:textId="77777777" w:rsidR="00E36E35" w:rsidRPr="00005453" w:rsidRDefault="00E36E35" w:rsidP="00E36E35">
            <w:pPr>
              <w:jc w:val="right"/>
              <w:rPr>
                <w:color w:val="000000"/>
                <w:sz w:val="18"/>
                <w:szCs w:val="18"/>
                <w:lang w:eastAsia="tr-TR"/>
              </w:rPr>
            </w:pPr>
            <w:r w:rsidRPr="00005453">
              <w:rPr>
                <w:color w:val="000000"/>
                <w:sz w:val="18"/>
                <w:szCs w:val="18"/>
                <w:lang w:eastAsia="tr-TR"/>
              </w:rPr>
              <w:t>3</w:t>
            </w:r>
          </w:p>
        </w:tc>
        <w:tc>
          <w:tcPr>
            <w:tcW w:w="6574" w:type="dxa"/>
            <w:tcBorders>
              <w:top w:val="nil"/>
              <w:left w:val="nil"/>
              <w:bottom w:val="single" w:sz="8" w:space="0" w:color="auto"/>
              <w:right w:val="single" w:sz="8" w:space="0" w:color="auto"/>
            </w:tcBorders>
            <w:shd w:val="clear" w:color="auto" w:fill="auto"/>
            <w:noWrap/>
            <w:vAlign w:val="center"/>
            <w:hideMark/>
          </w:tcPr>
          <w:p w14:paraId="722B6C13" w14:textId="77777777" w:rsidR="00E36E35" w:rsidRPr="00005453" w:rsidRDefault="00E36E35" w:rsidP="00E36E35">
            <w:pPr>
              <w:rPr>
                <w:color w:val="000000"/>
                <w:sz w:val="18"/>
                <w:szCs w:val="18"/>
                <w:lang w:eastAsia="tr-TR"/>
              </w:rPr>
            </w:pPr>
            <w:r w:rsidRPr="00005453">
              <w:rPr>
                <w:color w:val="000000"/>
                <w:sz w:val="18"/>
                <w:szCs w:val="18"/>
                <w:lang w:eastAsia="tr-TR"/>
              </w:rPr>
              <w:t>Tekrar temerrüt etmemiş durumuna gelen alacaklar</w:t>
            </w:r>
          </w:p>
        </w:tc>
        <w:tc>
          <w:tcPr>
            <w:tcW w:w="1418" w:type="dxa"/>
            <w:tcBorders>
              <w:top w:val="nil"/>
              <w:left w:val="nil"/>
              <w:bottom w:val="single" w:sz="8" w:space="0" w:color="auto"/>
              <w:right w:val="single" w:sz="8" w:space="0" w:color="auto"/>
            </w:tcBorders>
            <w:shd w:val="clear" w:color="auto" w:fill="auto"/>
            <w:noWrap/>
            <w:vAlign w:val="center"/>
            <w:hideMark/>
          </w:tcPr>
          <w:p w14:paraId="06DE1A34" w14:textId="303E5B8B" w:rsidR="00E36E35" w:rsidRPr="00005453" w:rsidRDefault="00E36E35" w:rsidP="00E36E35">
            <w:pPr>
              <w:jc w:val="right"/>
              <w:rPr>
                <w:sz w:val="18"/>
                <w:szCs w:val="18"/>
                <w:lang w:eastAsia="tr-TR"/>
              </w:rPr>
            </w:pPr>
            <w:r w:rsidRPr="00005453">
              <w:rPr>
                <w:sz w:val="18"/>
                <w:szCs w:val="18"/>
              </w:rPr>
              <w:t>-</w:t>
            </w:r>
          </w:p>
        </w:tc>
        <w:tc>
          <w:tcPr>
            <w:tcW w:w="1417" w:type="dxa"/>
            <w:tcBorders>
              <w:top w:val="nil"/>
              <w:left w:val="nil"/>
              <w:bottom w:val="single" w:sz="8" w:space="0" w:color="auto"/>
              <w:right w:val="single" w:sz="8" w:space="0" w:color="auto"/>
            </w:tcBorders>
            <w:shd w:val="clear" w:color="auto" w:fill="auto"/>
            <w:noWrap/>
            <w:vAlign w:val="center"/>
            <w:hideMark/>
          </w:tcPr>
          <w:p w14:paraId="119FF5C4" w14:textId="45F5D0A2" w:rsidR="00E36E35" w:rsidRPr="00005453" w:rsidRDefault="00E36E35" w:rsidP="00E36E35">
            <w:pPr>
              <w:jc w:val="right"/>
              <w:rPr>
                <w:color w:val="000000"/>
                <w:sz w:val="18"/>
                <w:szCs w:val="18"/>
                <w:lang w:eastAsia="tr-TR"/>
              </w:rPr>
            </w:pPr>
            <w:r w:rsidRPr="00005453">
              <w:rPr>
                <w:color w:val="000000"/>
                <w:sz w:val="18"/>
                <w:szCs w:val="18"/>
                <w:lang w:eastAsia="tr-TR"/>
              </w:rPr>
              <w:t>-</w:t>
            </w:r>
          </w:p>
        </w:tc>
      </w:tr>
      <w:tr w:rsidR="00E36E35" w:rsidRPr="00005453" w14:paraId="3E69EC8C" w14:textId="77777777" w:rsidTr="00E36E35">
        <w:trPr>
          <w:divId w:val="359546876"/>
          <w:trHeight w:val="214"/>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70CD74CE" w14:textId="77777777" w:rsidR="00E36E35" w:rsidRPr="00005453" w:rsidRDefault="00E36E35" w:rsidP="00E36E35">
            <w:pPr>
              <w:jc w:val="right"/>
              <w:rPr>
                <w:color w:val="000000"/>
                <w:sz w:val="18"/>
                <w:szCs w:val="18"/>
                <w:lang w:eastAsia="tr-TR"/>
              </w:rPr>
            </w:pPr>
            <w:r w:rsidRPr="00005453">
              <w:rPr>
                <w:color w:val="000000"/>
                <w:sz w:val="18"/>
                <w:szCs w:val="18"/>
                <w:lang w:eastAsia="tr-TR"/>
              </w:rPr>
              <w:t>4</w:t>
            </w:r>
          </w:p>
        </w:tc>
        <w:tc>
          <w:tcPr>
            <w:tcW w:w="6574" w:type="dxa"/>
            <w:tcBorders>
              <w:top w:val="nil"/>
              <w:left w:val="nil"/>
              <w:bottom w:val="single" w:sz="8" w:space="0" w:color="auto"/>
              <w:right w:val="single" w:sz="8" w:space="0" w:color="auto"/>
            </w:tcBorders>
            <w:shd w:val="clear" w:color="auto" w:fill="auto"/>
            <w:noWrap/>
            <w:vAlign w:val="center"/>
            <w:hideMark/>
          </w:tcPr>
          <w:p w14:paraId="1506EC0A" w14:textId="77777777" w:rsidR="00E36E35" w:rsidRPr="00005453" w:rsidRDefault="00E36E35" w:rsidP="00E36E35">
            <w:pPr>
              <w:rPr>
                <w:color w:val="000000"/>
                <w:sz w:val="18"/>
                <w:szCs w:val="18"/>
                <w:lang w:eastAsia="tr-TR"/>
              </w:rPr>
            </w:pPr>
            <w:r w:rsidRPr="00005453">
              <w:rPr>
                <w:color w:val="000000"/>
                <w:sz w:val="18"/>
                <w:szCs w:val="18"/>
                <w:lang w:eastAsia="tr-TR"/>
              </w:rPr>
              <w:t>Aktiften silinen tutarlar</w:t>
            </w:r>
          </w:p>
        </w:tc>
        <w:tc>
          <w:tcPr>
            <w:tcW w:w="1418" w:type="dxa"/>
            <w:tcBorders>
              <w:top w:val="nil"/>
              <w:left w:val="nil"/>
              <w:bottom w:val="single" w:sz="8" w:space="0" w:color="auto"/>
              <w:right w:val="single" w:sz="8" w:space="0" w:color="auto"/>
            </w:tcBorders>
            <w:shd w:val="clear" w:color="auto" w:fill="auto"/>
            <w:noWrap/>
            <w:vAlign w:val="center"/>
            <w:hideMark/>
          </w:tcPr>
          <w:p w14:paraId="4599F002" w14:textId="415D6B4F" w:rsidR="00E36E35" w:rsidRPr="00005453" w:rsidRDefault="00E36E35" w:rsidP="00E36E35">
            <w:pPr>
              <w:jc w:val="right"/>
              <w:rPr>
                <w:sz w:val="18"/>
                <w:szCs w:val="18"/>
                <w:lang w:eastAsia="tr-TR"/>
              </w:rPr>
            </w:pPr>
            <w:r w:rsidRPr="00005453">
              <w:rPr>
                <w:sz w:val="18"/>
                <w:szCs w:val="18"/>
              </w:rPr>
              <w:t>1,392,133</w:t>
            </w:r>
          </w:p>
        </w:tc>
        <w:tc>
          <w:tcPr>
            <w:tcW w:w="1417" w:type="dxa"/>
            <w:tcBorders>
              <w:top w:val="nil"/>
              <w:left w:val="nil"/>
              <w:bottom w:val="single" w:sz="8" w:space="0" w:color="auto"/>
              <w:right w:val="single" w:sz="8" w:space="0" w:color="auto"/>
            </w:tcBorders>
            <w:shd w:val="clear" w:color="auto" w:fill="auto"/>
            <w:noWrap/>
            <w:vAlign w:val="center"/>
            <w:hideMark/>
          </w:tcPr>
          <w:p w14:paraId="3D99554B" w14:textId="118CF824" w:rsidR="00E36E35" w:rsidRPr="00005453" w:rsidRDefault="00E36E35" w:rsidP="00E36E35">
            <w:pPr>
              <w:jc w:val="right"/>
              <w:rPr>
                <w:color w:val="000000"/>
                <w:sz w:val="18"/>
                <w:szCs w:val="18"/>
                <w:lang w:eastAsia="tr-TR"/>
              </w:rPr>
            </w:pPr>
            <w:r w:rsidRPr="00005453">
              <w:rPr>
                <w:color w:val="000000"/>
                <w:sz w:val="18"/>
                <w:szCs w:val="18"/>
                <w:lang w:eastAsia="tr-TR"/>
              </w:rPr>
              <w:t>547,245</w:t>
            </w:r>
          </w:p>
        </w:tc>
      </w:tr>
      <w:tr w:rsidR="00E36E35" w:rsidRPr="00005453" w14:paraId="20CE55FF" w14:textId="77777777" w:rsidTr="00E36E35">
        <w:trPr>
          <w:divId w:val="359546876"/>
          <w:trHeight w:val="214"/>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00A48996" w14:textId="77777777" w:rsidR="00E36E35" w:rsidRPr="00005453" w:rsidRDefault="00E36E35" w:rsidP="00E36E35">
            <w:pPr>
              <w:jc w:val="right"/>
              <w:rPr>
                <w:color w:val="000000"/>
                <w:sz w:val="18"/>
                <w:szCs w:val="18"/>
                <w:lang w:eastAsia="tr-TR"/>
              </w:rPr>
            </w:pPr>
            <w:r w:rsidRPr="00005453">
              <w:rPr>
                <w:color w:val="000000"/>
                <w:sz w:val="18"/>
                <w:szCs w:val="18"/>
                <w:lang w:eastAsia="tr-TR"/>
              </w:rPr>
              <w:t>5</w:t>
            </w:r>
          </w:p>
        </w:tc>
        <w:tc>
          <w:tcPr>
            <w:tcW w:w="6574" w:type="dxa"/>
            <w:tcBorders>
              <w:top w:val="nil"/>
              <w:left w:val="nil"/>
              <w:bottom w:val="single" w:sz="8" w:space="0" w:color="auto"/>
              <w:right w:val="single" w:sz="8" w:space="0" w:color="auto"/>
            </w:tcBorders>
            <w:shd w:val="clear" w:color="auto" w:fill="auto"/>
            <w:noWrap/>
            <w:vAlign w:val="center"/>
            <w:hideMark/>
          </w:tcPr>
          <w:p w14:paraId="433EE0FC" w14:textId="77777777" w:rsidR="00E36E35" w:rsidRPr="00005453" w:rsidRDefault="00E36E35" w:rsidP="00E36E35">
            <w:pPr>
              <w:rPr>
                <w:color w:val="000000"/>
                <w:sz w:val="18"/>
                <w:szCs w:val="18"/>
                <w:lang w:eastAsia="tr-TR"/>
              </w:rPr>
            </w:pPr>
            <w:r w:rsidRPr="00005453">
              <w:rPr>
                <w:color w:val="000000"/>
                <w:sz w:val="18"/>
                <w:szCs w:val="18"/>
                <w:lang w:eastAsia="tr-TR"/>
              </w:rPr>
              <w:t>Diğer değişimler</w:t>
            </w:r>
          </w:p>
        </w:tc>
        <w:tc>
          <w:tcPr>
            <w:tcW w:w="1418" w:type="dxa"/>
            <w:tcBorders>
              <w:top w:val="nil"/>
              <w:left w:val="nil"/>
              <w:bottom w:val="single" w:sz="8" w:space="0" w:color="auto"/>
              <w:right w:val="single" w:sz="8" w:space="0" w:color="auto"/>
            </w:tcBorders>
            <w:shd w:val="clear" w:color="auto" w:fill="auto"/>
            <w:noWrap/>
            <w:vAlign w:val="center"/>
            <w:hideMark/>
          </w:tcPr>
          <w:p w14:paraId="5E4A04CE" w14:textId="37EA83C6" w:rsidR="00E36E35" w:rsidRPr="00005453" w:rsidRDefault="00E36E35" w:rsidP="00E36E35">
            <w:pPr>
              <w:jc w:val="right"/>
              <w:rPr>
                <w:sz w:val="18"/>
                <w:szCs w:val="18"/>
                <w:lang w:eastAsia="tr-TR"/>
              </w:rPr>
            </w:pPr>
            <w:r w:rsidRPr="00005453">
              <w:rPr>
                <w:sz w:val="18"/>
                <w:szCs w:val="18"/>
              </w:rPr>
              <w:t>(1,736,292)</w:t>
            </w:r>
          </w:p>
        </w:tc>
        <w:tc>
          <w:tcPr>
            <w:tcW w:w="1417" w:type="dxa"/>
            <w:tcBorders>
              <w:top w:val="nil"/>
              <w:left w:val="nil"/>
              <w:bottom w:val="single" w:sz="8" w:space="0" w:color="auto"/>
              <w:right w:val="single" w:sz="8" w:space="0" w:color="auto"/>
            </w:tcBorders>
            <w:shd w:val="clear" w:color="auto" w:fill="auto"/>
            <w:noWrap/>
            <w:vAlign w:val="center"/>
            <w:hideMark/>
          </w:tcPr>
          <w:p w14:paraId="58A72F4C" w14:textId="056FE4B8" w:rsidR="00E36E35" w:rsidRPr="00005453" w:rsidRDefault="00E36E35" w:rsidP="00E36E35">
            <w:pPr>
              <w:jc w:val="right"/>
              <w:rPr>
                <w:color w:val="000000"/>
                <w:sz w:val="18"/>
                <w:szCs w:val="18"/>
                <w:lang w:eastAsia="tr-TR"/>
              </w:rPr>
            </w:pPr>
            <w:r w:rsidRPr="00005453">
              <w:rPr>
                <w:color w:val="000000"/>
                <w:sz w:val="18"/>
                <w:szCs w:val="18"/>
                <w:lang w:eastAsia="tr-TR"/>
              </w:rPr>
              <w:t>(1,145,045)</w:t>
            </w:r>
          </w:p>
        </w:tc>
      </w:tr>
      <w:tr w:rsidR="00057FAD" w:rsidRPr="00005453" w14:paraId="0E2A3A8D" w14:textId="77777777" w:rsidTr="00057FAD">
        <w:trPr>
          <w:divId w:val="359546876"/>
          <w:trHeight w:val="81"/>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26C5D3E2" w14:textId="77777777" w:rsidR="00057FAD" w:rsidRPr="00005453" w:rsidRDefault="00057FAD" w:rsidP="00057FAD">
            <w:pPr>
              <w:jc w:val="right"/>
              <w:rPr>
                <w:b/>
                <w:bCs/>
                <w:color w:val="000000"/>
                <w:sz w:val="18"/>
                <w:szCs w:val="18"/>
                <w:lang w:eastAsia="tr-TR"/>
              </w:rPr>
            </w:pPr>
            <w:r w:rsidRPr="00005453">
              <w:rPr>
                <w:b/>
                <w:bCs/>
                <w:color w:val="000000"/>
                <w:sz w:val="18"/>
                <w:szCs w:val="18"/>
                <w:lang w:eastAsia="tr-TR"/>
              </w:rPr>
              <w:t>6</w:t>
            </w:r>
          </w:p>
        </w:tc>
        <w:tc>
          <w:tcPr>
            <w:tcW w:w="6574" w:type="dxa"/>
            <w:tcBorders>
              <w:top w:val="nil"/>
              <w:left w:val="nil"/>
              <w:bottom w:val="single" w:sz="8" w:space="0" w:color="auto"/>
              <w:right w:val="single" w:sz="8" w:space="0" w:color="auto"/>
            </w:tcBorders>
            <w:shd w:val="clear" w:color="auto" w:fill="auto"/>
            <w:noWrap/>
            <w:vAlign w:val="center"/>
            <w:hideMark/>
          </w:tcPr>
          <w:p w14:paraId="0E5E3A14" w14:textId="77777777" w:rsidR="00057FAD" w:rsidRPr="00005453" w:rsidRDefault="00057FAD" w:rsidP="00057FAD">
            <w:pPr>
              <w:rPr>
                <w:b/>
                <w:bCs/>
                <w:color w:val="000000"/>
                <w:sz w:val="18"/>
                <w:szCs w:val="18"/>
                <w:lang w:eastAsia="tr-TR"/>
              </w:rPr>
            </w:pPr>
            <w:r w:rsidRPr="00005453">
              <w:rPr>
                <w:b/>
                <w:bCs/>
                <w:color w:val="000000"/>
                <w:sz w:val="18"/>
                <w:szCs w:val="18"/>
                <w:lang w:eastAsia="tr-TR"/>
              </w:rPr>
              <w:t xml:space="preserve">Raporlama dönemi sonundaki temerrüt etmiş krediler ve borçlanma araçları </w:t>
            </w:r>
            <w:proofErr w:type="gramStart"/>
            <w:r w:rsidRPr="00005453">
              <w:rPr>
                <w:b/>
                <w:bCs/>
                <w:color w:val="000000"/>
                <w:sz w:val="18"/>
                <w:szCs w:val="18"/>
                <w:lang w:eastAsia="tr-TR"/>
              </w:rPr>
              <w:t>tutarı(</w:t>
            </w:r>
            <w:proofErr w:type="gramEnd"/>
            <w:r w:rsidRPr="00005453">
              <w:rPr>
                <w:b/>
                <w:bCs/>
                <w:color w:val="000000"/>
                <w:sz w:val="18"/>
                <w:szCs w:val="18"/>
                <w:lang w:eastAsia="tr-TR"/>
              </w:rPr>
              <w:t>1+2-3-4±5)</w:t>
            </w:r>
          </w:p>
        </w:tc>
        <w:tc>
          <w:tcPr>
            <w:tcW w:w="1418" w:type="dxa"/>
            <w:tcBorders>
              <w:top w:val="nil"/>
              <w:left w:val="nil"/>
              <w:bottom w:val="single" w:sz="8" w:space="0" w:color="auto"/>
              <w:right w:val="single" w:sz="8" w:space="0" w:color="auto"/>
            </w:tcBorders>
            <w:shd w:val="clear" w:color="auto" w:fill="auto"/>
            <w:noWrap/>
            <w:vAlign w:val="center"/>
            <w:hideMark/>
          </w:tcPr>
          <w:p w14:paraId="4FE6D4DA" w14:textId="5EBB312A" w:rsidR="00057FAD" w:rsidRPr="00005453" w:rsidRDefault="00E36E35" w:rsidP="00057FAD">
            <w:pPr>
              <w:jc w:val="right"/>
              <w:rPr>
                <w:b/>
                <w:bCs/>
                <w:color w:val="000000"/>
                <w:sz w:val="18"/>
                <w:szCs w:val="18"/>
                <w:lang w:eastAsia="tr-TR"/>
              </w:rPr>
            </w:pPr>
            <w:r w:rsidRPr="00005453">
              <w:rPr>
                <w:b/>
                <w:bCs/>
                <w:color w:val="000000"/>
                <w:sz w:val="18"/>
                <w:szCs w:val="18"/>
              </w:rPr>
              <w:t>7</w:t>
            </w:r>
            <w:r w:rsidR="00057FAD" w:rsidRPr="00005453">
              <w:rPr>
                <w:b/>
                <w:bCs/>
                <w:color w:val="000000"/>
                <w:sz w:val="18"/>
                <w:szCs w:val="18"/>
              </w:rPr>
              <w:t>,</w:t>
            </w:r>
            <w:r w:rsidRPr="00005453">
              <w:rPr>
                <w:b/>
                <w:bCs/>
                <w:color w:val="000000"/>
                <w:sz w:val="18"/>
                <w:szCs w:val="18"/>
              </w:rPr>
              <w:t>040</w:t>
            </w:r>
            <w:r w:rsidR="00057FAD" w:rsidRPr="00005453">
              <w:rPr>
                <w:b/>
                <w:bCs/>
                <w:color w:val="000000"/>
                <w:sz w:val="18"/>
                <w:szCs w:val="18"/>
              </w:rPr>
              <w:t>,</w:t>
            </w:r>
            <w:r w:rsidRPr="00005453">
              <w:rPr>
                <w:b/>
                <w:bCs/>
                <w:color w:val="000000"/>
                <w:sz w:val="18"/>
                <w:szCs w:val="18"/>
              </w:rPr>
              <w:t>670</w:t>
            </w:r>
          </w:p>
        </w:tc>
        <w:tc>
          <w:tcPr>
            <w:tcW w:w="1417" w:type="dxa"/>
            <w:tcBorders>
              <w:top w:val="nil"/>
              <w:left w:val="nil"/>
              <w:bottom w:val="single" w:sz="8" w:space="0" w:color="auto"/>
              <w:right w:val="single" w:sz="8" w:space="0" w:color="auto"/>
            </w:tcBorders>
            <w:shd w:val="clear" w:color="auto" w:fill="auto"/>
            <w:noWrap/>
            <w:vAlign w:val="center"/>
            <w:hideMark/>
          </w:tcPr>
          <w:p w14:paraId="658082E3" w14:textId="6E8ED5FE" w:rsidR="00057FAD" w:rsidRPr="00005453" w:rsidRDefault="00057FAD" w:rsidP="00057FAD">
            <w:pPr>
              <w:jc w:val="right"/>
              <w:rPr>
                <w:b/>
                <w:bCs/>
                <w:color w:val="000000"/>
                <w:sz w:val="18"/>
                <w:szCs w:val="18"/>
                <w:lang w:eastAsia="tr-TR"/>
              </w:rPr>
            </w:pPr>
            <w:r w:rsidRPr="00005453">
              <w:rPr>
                <w:b/>
                <w:bCs/>
                <w:color w:val="000000"/>
                <w:sz w:val="18"/>
                <w:szCs w:val="18"/>
              </w:rPr>
              <w:t>3,603,341</w:t>
            </w:r>
          </w:p>
        </w:tc>
      </w:tr>
    </w:tbl>
    <w:p w14:paraId="1FCC4985" w14:textId="3DAEADB1" w:rsidR="00C25473" w:rsidRPr="00005453" w:rsidRDefault="00C25473" w:rsidP="00C25473">
      <w:pPr>
        <w:rPr>
          <w:b/>
          <w:sz w:val="16"/>
          <w:szCs w:val="16"/>
        </w:rPr>
      </w:pPr>
    </w:p>
    <w:p w14:paraId="0588793F" w14:textId="5FA00DF9" w:rsidR="002C5FB0" w:rsidRPr="00005453" w:rsidRDefault="002C5FB0" w:rsidP="00C25473">
      <w:pPr>
        <w:rPr>
          <w:b/>
          <w:sz w:val="16"/>
          <w:szCs w:val="16"/>
        </w:rPr>
      </w:pPr>
    </w:p>
    <w:p w14:paraId="1A44EA1E" w14:textId="60D64083" w:rsidR="002C5FB0" w:rsidRPr="00005453" w:rsidRDefault="002C5FB0" w:rsidP="00C25473">
      <w:pPr>
        <w:rPr>
          <w:b/>
          <w:sz w:val="16"/>
          <w:szCs w:val="16"/>
        </w:rPr>
      </w:pPr>
    </w:p>
    <w:p w14:paraId="1675C399" w14:textId="3EDD8E89" w:rsidR="002C5FB0" w:rsidRPr="00005453" w:rsidRDefault="002C5FB0" w:rsidP="00C25473">
      <w:pPr>
        <w:rPr>
          <w:b/>
          <w:sz w:val="16"/>
          <w:szCs w:val="16"/>
        </w:rPr>
      </w:pPr>
    </w:p>
    <w:p w14:paraId="54B20253" w14:textId="4C0FFADA" w:rsidR="002C5FB0" w:rsidRPr="00005453" w:rsidRDefault="002C5FB0" w:rsidP="00C25473">
      <w:pPr>
        <w:rPr>
          <w:b/>
          <w:sz w:val="16"/>
          <w:szCs w:val="16"/>
        </w:rPr>
      </w:pPr>
    </w:p>
    <w:p w14:paraId="1C1748BA" w14:textId="444DBEA5" w:rsidR="002C5FB0" w:rsidRPr="00005453" w:rsidRDefault="002C5FB0" w:rsidP="00C25473">
      <w:pPr>
        <w:rPr>
          <w:b/>
          <w:sz w:val="16"/>
          <w:szCs w:val="16"/>
        </w:rPr>
      </w:pPr>
    </w:p>
    <w:p w14:paraId="759786D2" w14:textId="5123F59A" w:rsidR="002C5FB0" w:rsidRPr="00005453" w:rsidRDefault="002C5FB0" w:rsidP="00C25473">
      <w:pPr>
        <w:rPr>
          <w:b/>
          <w:sz w:val="16"/>
          <w:szCs w:val="16"/>
        </w:rPr>
      </w:pPr>
    </w:p>
    <w:p w14:paraId="6B91F0F4" w14:textId="77777777" w:rsidR="002C5FB0" w:rsidRPr="00005453" w:rsidRDefault="002C5FB0" w:rsidP="00C25473">
      <w:pPr>
        <w:rPr>
          <w:b/>
          <w:sz w:val="16"/>
          <w:szCs w:val="16"/>
        </w:rPr>
      </w:pPr>
    </w:p>
    <w:p w14:paraId="3F064CA5" w14:textId="77777777" w:rsidR="002C5FB0" w:rsidRPr="00005453" w:rsidRDefault="002C5FB0" w:rsidP="00C25473">
      <w:pPr>
        <w:rPr>
          <w:b/>
          <w:sz w:val="16"/>
          <w:szCs w:val="16"/>
        </w:rPr>
      </w:pPr>
    </w:p>
    <w:p w14:paraId="754B6CCD" w14:textId="77777777" w:rsidR="00C25473" w:rsidRPr="00005453" w:rsidRDefault="00C25473" w:rsidP="00C25473">
      <w:pPr>
        <w:rPr>
          <w:b/>
          <w:sz w:val="16"/>
          <w:szCs w:val="16"/>
        </w:rPr>
      </w:pPr>
    </w:p>
    <w:p w14:paraId="20C8A43D" w14:textId="77777777" w:rsidR="00F20AF5" w:rsidRPr="00005453" w:rsidRDefault="00F20AF5">
      <w:pPr>
        <w:rPr>
          <w:b/>
          <w:color w:val="000000"/>
        </w:rPr>
      </w:pPr>
      <w:bookmarkStart w:id="57" w:name="_Hlk93389883"/>
      <w:r w:rsidRPr="00005453">
        <w:rPr>
          <w:b/>
          <w:color w:val="000000"/>
        </w:rPr>
        <w:br w:type="page"/>
      </w:r>
    </w:p>
    <w:p w14:paraId="6999F293" w14:textId="23CD948D" w:rsidR="00C25473" w:rsidRPr="00005453" w:rsidRDefault="007A1089" w:rsidP="00C25473">
      <w:pPr>
        <w:ind w:hanging="567"/>
        <w:rPr>
          <w:b/>
        </w:rPr>
      </w:pPr>
      <w:proofErr w:type="gramStart"/>
      <w:r w:rsidRPr="00005453">
        <w:rPr>
          <w:b/>
          <w:color w:val="000000"/>
        </w:rPr>
        <w:lastRenderedPageBreak/>
        <w:t>10</w:t>
      </w:r>
      <w:r w:rsidR="00C25473" w:rsidRPr="00005453">
        <w:rPr>
          <w:b/>
        </w:rPr>
        <w:t xml:space="preserve">.6.  </w:t>
      </w:r>
      <w:r w:rsidR="00C25473" w:rsidRPr="00005453">
        <w:rPr>
          <w:b/>
        </w:rPr>
        <w:tab/>
      </w:r>
      <w:proofErr w:type="gramEnd"/>
      <w:r w:rsidR="00E33AB7" w:rsidRPr="00005453">
        <w:rPr>
          <w:b/>
        </w:rPr>
        <w:t xml:space="preserve">KRB - </w:t>
      </w:r>
      <w:r w:rsidR="00C25473" w:rsidRPr="00005453">
        <w:rPr>
          <w:b/>
        </w:rPr>
        <w:t>Varlıkların kredi kalitesi ile ilgili genel niteliksel açıklamalar</w:t>
      </w:r>
    </w:p>
    <w:p w14:paraId="51FBE637" w14:textId="77777777" w:rsidR="00C25473" w:rsidRPr="00005453" w:rsidRDefault="00C25473" w:rsidP="00C25473">
      <w:pPr>
        <w:rPr>
          <w:b/>
          <w:sz w:val="12"/>
          <w:szCs w:val="12"/>
        </w:rPr>
      </w:pPr>
    </w:p>
    <w:p w14:paraId="47BBACA3" w14:textId="73B33AB4" w:rsidR="00C25473" w:rsidRPr="00005453" w:rsidRDefault="007A1089" w:rsidP="00C25473">
      <w:pPr>
        <w:ind w:hanging="567"/>
        <w:rPr>
          <w:b/>
          <w:color w:val="000000"/>
          <w:spacing w:val="-4"/>
        </w:rPr>
      </w:pPr>
      <w:r w:rsidRPr="00005453">
        <w:rPr>
          <w:b/>
          <w:color w:val="000000"/>
        </w:rPr>
        <w:t>10.6.1</w:t>
      </w:r>
      <w:r w:rsidR="00C25473" w:rsidRPr="00005453">
        <w:rPr>
          <w:b/>
          <w:color w:val="000000"/>
        </w:rPr>
        <w:t xml:space="preserve"> </w:t>
      </w:r>
      <w:r w:rsidR="00C25473" w:rsidRPr="00005453">
        <w:rPr>
          <w:b/>
          <w:color w:val="000000"/>
        </w:rPr>
        <w:tab/>
      </w:r>
      <w:r w:rsidR="00C25473" w:rsidRPr="00005453">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05DACF32" w14:textId="77777777" w:rsidR="00C25473" w:rsidRPr="00005453" w:rsidRDefault="00C25473" w:rsidP="00C25473">
      <w:pPr>
        <w:pStyle w:val="ListParagraph"/>
        <w:rPr>
          <w:sz w:val="12"/>
          <w:szCs w:val="12"/>
        </w:rPr>
      </w:pPr>
    </w:p>
    <w:p w14:paraId="364B6CCF" w14:textId="77777777" w:rsidR="00C25473" w:rsidRPr="00005453" w:rsidRDefault="00C25473" w:rsidP="00C25473">
      <w:pPr>
        <w:jc w:val="both"/>
        <w:rPr>
          <w:rFonts w:eastAsia="Calibri"/>
          <w:color w:val="000000"/>
        </w:rPr>
      </w:pPr>
      <w:r w:rsidRPr="00005453">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069A0B28" w14:textId="66ABF9DF" w:rsidR="00C25473" w:rsidRPr="00005453" w:rsidRDefault="00C25473" w:rsidP="00C25473">
      <w:pPr>
        <w:rPr>
          <w:rFonts w:eastAsia="Calibri"/>
          <w:color w:val="000000"/>
        </w:rPr>
      </w:pPr>
    </w:p>
    <w:p w14:paraId="5EAABBB8" w14:textId="2E49E467" w:rsidR="00C25473" w:rsidRPr="00005453" w:rsidRDefault="007A1089" w:rsidP="00C25473">
      <w:pPr>
        <w:ind w:hanging="567"/>
        <w:jc w:val="both"/>
        <w:rPr>
          <w:b/>
          <w:color w:val="000000"/>
          <w:spacing w:val="-8"/>
        </w:rPr>
      </w:pPr>
      <w:r w:rsidRPr="00005453">
        <w:rPr>
          <w:b/>
          <w:color w:val="000000"/>
        </w:rPr>
        <w:t>10</w:t>
      </w:r>
      <w:r w:rsidR="00C25473" w:rsidRPr="00005453">
        <w:rPr>
          <w:b/>
          <w:color w:val="000000"/>
          <w:spacing w:val="-8"/>
        </w:rPr>
        <w:t xml:space="preserve">.6.2. </w:t>
      </w:r>
      <w:r w:rsidR="00C25473" w:rsidRPr="00005453">
        <w:rPr>
          <w:b/>
          <w:color w:val="000000"/>
          <w:spacing w:val="-8"/>
        </w:rPr>
        <w:tab/>
        <w:t>Tahsili gecikmiş alacakların (90 günü geçenler) “karşılık ayrılan” olarak değerlendirilmeyen kısmı ve bu uygulamanın nedenleri</w:t>
      </w:r>
    </w:p>
    <w:p w14:paraId="56F078E7" w14:textId="77777777" w:rsidR="00C25473" w:rsidRPr="00005453" w:rsidRDefault="00C25473" w:rsidP="00C25473">
      <w:pPr>
        <w:rPr>
          <w:color w:val="000000"/>
          <w:sz w:val="12"/>
          <w:szCs w:val="12"/>
        </w:rPr>
      </w:pPr>
    </w:p>
    <w:p w14:paraId="2389828A" w14:textId="1DFAB41C" w:rsidR="00C25473" w:rsidRPr="00005453" w:rsidRDefault="003C561C" w:rsidP="00532EFF">
      <w:pPr>
        <w:jc w:val="both"/>
        <w:rPr>
          <w:color w:val="000000"/>
        </w:rPr>
      </w:pPr>
      <w:r w:rsidRPr="00005453">
        <w:rPr>
          <w:color w:val="000000"/>
        </w:rPr>
        <w:t>Banka’da ilgili ay içerisinde, yasal düzenlemelere göre belirlenmiş gecikme sürecini tamamlamış tüm krediler otomatik olarak takip hesaplarına alınarak özel karşılığa konu edilmektedir. Çok istisnai durumlarda ve mahkeme kararı sebebiyle gecikme süreci durdurulmakta olup, Banka’nın bu kapsamdaki kredi tutarı 31 Aralık 202</w:t>
      </w:r>
      <w:r w:rsidR="007B048D" w:rsidRPr="00005453">
        <w:rPr>
          <w:color w:val="000000"/>
        </w:rPr>
        <w:t>4</w:t>
      </w:r>
      <w:r w:rsidRPr="00005453">
        <w:rPr>
          <w:color w:val="000000"/>
        </w:rPr>
        <w:t xml:space="preserve"> tarihi itibarıyla önemsiz seviyededir.</w:t>
      </w:r>
    </w:p>
    <w:p w14:paraId="79CF65B1" w14:textId="77777777" w:rsidR="003C561C" w:rsidRPr="00005453" w:rsidRDefault="003C561C" w:rsidP="00C25473">
      <w:pPr>
        <w:rPr>
          <w:color w:val="000000"/>
          <w:sz w:val="12"/>
          <w:szCs w:val="12"/>
        </w:rPr>
      </w:pPr>
    </w:p>
    <w:p w14:paraId="6D619B02" w14:textId="2B4412BE" w:rsidR="00C25473" w:rsidRPr="00005453" w:rsidRDefault="007A1089" w:rsidP="00C25473">
      <w:pPr>
        <w:ind w:hanging="567"/>
        <w:rPr>
          <w:b/>
          <w:color w:val="000000"/>
        </w:rPr>
      </w:pPr>
      <w:r w:rsidRPr="00005453">
        <w:rPr>
          <w:b/>
          <w:color w:val="000000"/>
        </w:rPr>
        <w:t>10</w:t>
      </w:r>
      <w:r w:rsidR="00C25473" w:rsidRPr="00005453">
        <w:rPr>
          <w:b/>
          <w:color w:val="000000"/>
        </w:rPr>
        <w:t>.6.3.</w:t>
      </w:r>
      <w:r w:rsidR="00C25473" w:rsidRPr="00005453">
        <w:rPr>
          <w:b/>
          <w:color w:val="000000"/>
        </w:rPr>
        <w:tab/>
        <w:t>Karşılık tutarı belirlenirken kullanılan metotların tanımları</w:t>
      </w:r>
    </w:p>
    <w:p w14:paraId="54848261" w14:textId="77777777" w:rsidR="00C25473" w:rsidRPr="00005453" w:rsidRDefault="00C25473" w:rsidP="00C25473">
      <w:pPr>
        <w:jc w:val="both"/>
        <w:rPr>
          <w:color w:val="000000"/>
        </w:rPr>
      </w:pPr>
    </w:p>
    <w:p w14:paraId="7A8A9761" w14:textId="62ABA129" w:rsidR="00C25473" w:rsidRPr="00005453" w:rsidRDefault="00C25473" w:rsidP="00C25473">
      <w:pPr>
        <w:jc w:val="both"/>
        <w:rPr>
          <w:color w:val="000000"/>
        </w:rPr>
      </w:pPr>
      <w:r w:rsidRPr="00005453">
        <w:rPr>
          <w:color w:val="000000"/>
        </w:rPr>
        <w:t xml:space="preserve">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w:t>
      </w:r>
      <w:proofErr w:type="gramStart"/>
      <w:r w:rsidRPr="00005453">
        <w:rPr>
          <w:color w:val="000000"/>
        </w:rPr>
        <w:t>TO(</w:t>
      </w:r>
      <w:proofErr w:type="gramEnd"/>
      <w:r w:rsidRPr="00005453">
        <w:rPr>
          <w:color w:val="000000"/>
        </w:rPr>
        <w:t>Temerrüt Olasılığı), THK(Temerrüt Hali</w:t>
      </w:r>
      <w:r w:rsidR="005547AB" w:rsidRPr="00005453">
        <w:rPr>
          <w:color w:val="000000"/>
        </w:rPr>
        <w:t>n</w:t>
      </w:r>
      <w:r w:rsidRPr="00005453">
        <w:rPr>
          <w:color w:val="000000"/>
        </w:rPr>
        <w:t xml:space="preserve">de Kayıp), KDO(Krediye Dönüşüm Oranı) ve iskonto oranını dikkate alarak münferit her bir enstrüman seviyesinde hesaplanmaktadır. Küçük, çok önemsiz ve derecelendirilmemiş portföylerde ise BKZ tahmini toplu bir bazda yapılabilir. </w:t>
      </w:r>
    </w:p>
    <w:p w14:paraId="31DE63C4" w14:textId="77777777" w:rsidR="00C25473" w:rsidRPr="00005453" w:rsidRDefault="00C25473" w:rsidP="00C25473">
      <w:pPr>
        <w:jc w:val="both"/>
        <w:rPr>
          <w:sz w:val="16"/>
          <w:szCs w:val="16"/>
        </w:rPr>
      </w:pPr>
    </w:p>
    <w:p w14:paraId="3BA63609" w14:textId="66E3ADF6" w:rsidR="00C25473" w:rsidRPr="00005453" w:rsidRDefault="007A1089" w:rsidP="00C25473">
      <w:pPr>
        <w:ind w:hanging="567"/>
        <w:rPr>
          <w:b/>
          <w:color w:val="000000"/>
        </w:rPr>
      </w:pPr>
      <w:r w:rsidRPr="00005453">
        <w:rPr>
          <w:b/>
          <w:color w:val="000000"/>
        </w:rPr>
        <w:t>10</w:t>
      </w:r>
      <w:r w:rsidR="00C25473" w:rsidRPr="00005453">
        <w:rPr>
          <w:b/>
          <w:color w:val="000000"/>
        </w:rPr>
        <w:t>.6.4. Yeniden yapılandırılan alacakların tanımları</w:t>
      </w:r>
    </w:p>
    <w:p w14:paraId="7273DD52" w14:textId="77777777" w:rsidR="00C25473" w:rsidRPr="00005453" w:rsidRDefault="00C25473" w:rsidP="00C25473">
      <w:pPr>
        <w:rPr>
          <w:color w:val="000000"/>
          <w:sz w:val="12"/>
          <w:szCs w:val="12"/>
        </w:rPr>
      </w:pPr>
    </w:p>
    <w:p w14:paraId="61FE7BC3" w14:textId="77777777" w:rsidR="00C25473" w:rsidRPr="00005453" w:rsidRDefault="00C25473" w:rsidP="00C25473">
      <w:pPr>
        <w:jc w:val="both"/>
        <w:rPr>
          <w:color w:val="000000"/>
        </w:rPr>
      </w:pPr>
      <w:r w:rsidRPr="00005453">
        <w:rPr>
          <w:color w:val="000000"/>
        </w:rPr>
        <w:t>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bookmarkEnd w:id="57"/>
    <w:p w14:paraId="7ADED41C" w14:textId="77777777" w:rsidR="00C25473" w:rsidRPr="00005453" w:rsidRDefault="00C25473" w:rsidP="00C25473">
      <w:pPr>
        <w:rPr>
          <w:spacing w:val="-6"/>
        </w:rPr>
      </w:pPr>
    </w:p>
    <w:p w14:paraId="1BA46C99" w14:textId="77777777" w:rsidR="002C5FB0" w:rsidRPr="00005453" w:rsidRDefault="002C5FB0" w:rsidP="00C25473">
      <w:pPr>
        <w:ind w:hanging="567"/>
        <w:rPr>
          <w:b/>
          <w:color w:val="000000"/>
        </w:rPr>
      </w:pPr>
      <w:bookmarkStart w:id="58" w:name="_Hlk93325717"/>
    </w:p>
    <w:p w14:paraId="6DA9EF62" w14:textId="77777777" w:rsidR="002C5FB0" w:rsidRPr="00005453" w:rsidRDefault="002C5FB0" w:rsidP="00C25473">
      <w:pPr>
        <w:ind w:hanging="567"/>
        <w:rPr>
          <w:b/>
          <w:color w:val="000000"/>
        </w:rPr>
      </w:pPr>
    </w:p>
    <w:p w14:paraId="717E45B8" w14:textId="77777777" w:rsidR="002C5FB0" w:rsidRPr="00005453" w:rsidRDefault="002C5FB0" w:rsidP="00C25473">
      <w:pPr>
        <w:ind w:hanging="567"/>
        <w:rPr>
          <w:b/>
          <w:color w:val="000000"/>
        </w:rPr>
      </w:pPr>
    </w:p>
    <w:p w14:paraId="4EC75146" w14:textId="77777777" w:rsidR="002C5FB0" w:rsidRPr="00005453" w:rsidRDefault="002C5FB0" w:rsidP="00C25473">
      <w:pPr>
        <w:ind w:hanging="567"/>
        <w:rPr>
          <w:b/>
          <w:color w:val="000000"/>
        </w:rPr>
      </w:pPr>
    </w:p>
    <w:p w14:paraId="5D39D509" w14:textId="77777777" w:rsidR="002C5FB0" w:rsidRPr="00005453" w:rsidRDefault="002C5FB0" w:rsidP="00C25473">
      <w:pPr>
        <w:ind w:hanging="567"/>
        <w:rPr>
          <w:b/>
          <w:color w:val="000000"/>
        </w:rPr>
      </w:pPr>
    </w:p>
    <w:p w14:paraId="5A832732" w14:textId="77777777" w:rsidR="002C5FB0" w:rsidRPr="00005453" w:rsidRDefault="002C5FB0" w:rsidP="00C25473">
      <w:pPr>
        <w:ind w:hanging="567"/>
        <w:rPr>
          <w:b/>
          <w:color w:val="000000"/>
        </w:rPr>
      </w:pPr>
    </w:p>
    <w:p w14:paraId="76DD9128" w14:textId="77777777" w:rsidR="002C5FB0" w:rsidRPr="00005453" w:rsidRDefault="002C5FB0" w:rsidP="00C25473">
      <w:pPr>
        <w:ind w:hanging="567"/>
        <w:rPr>
          <w:b/>
          <w:color w:val="000000"/>
        </w:rPr>
      </w:pPr>
    </w:p>
    <w:p w14:paraId="5AC9D167" w14:textId="77777777" w:rsidR="002C5FB0" w:rsidRPr="00005453" w:rsidRDefault="002C5FB0" w:rsidP="00C25473">
      <w:pPr>
        <w:ind w:hanging="567"/>
        <w:rPr>
          <w:b/>
          <w:color w:val="000000"/>
        </w:rPr>
      </w:pPr>
    </w:p>
    <w:p w14:paraId="60D81269" w14:textId="77777777" w:rsidR="002C5FB0" w:rsidRPr="00005453" w:rsidRDefault="002C5FB0" w:rsidP="00C25473">
      <w:pPr>
        <w:ind w:hanging="567"/>
        <w:rPr>
          <w:b/>
          <w:color w:val="000000"/>
        </w:rPr>
      </w:pPr>
    </w:p>
    <w:p w14:paraId="31D35F00" w14:textId="77777777" w:rsidR="002C5FB0" w:rsidRPr="00005453" w:rsidRDefault="002C5FB0" w:rsidP="00C25473">
      <w:pPr>
        <w:ind w:hanging="567"/>
        <w:rPr>
          <w:b/>
          <w:color w:val="000000"/>
        </w:rPr>
      </w:pPr>
    </w:p>
    <w:p w14:paraId="6462D30F" w14:textId="77777777" w:rsidR="002C5FB0" w:rsidRPr="00005453" w:rsidRDefault="002C5FB0" w:rsidP="00C25473">
      <w:pPr>
        <w:ind w:hanging="567"/>
        <w:rPr>
          <w:b/>
          <w:color w:val="000000"/>
        </w:rPr>
      </w:pPr>
    </w:p>
    <w:p w14:paraId="65DE980E" w14:textId="77777777" w:rsidR="002C5FB0" w:rsidRPr="00005453" w:rsidRDefault="002C5FB0" w:rsidP="00C25473">
      <w:pPr>
        <w:ind w:hanging="567"/>
        <w:rPr>
          <w:b/>
          <w:color w:val="000000"/>
        </w:rPr>
      </w:pPr>
    </w:p>
    <w:p w14:paraId="2CF9AF17" w14:textId="77777777" w:rsidR="002C5FB0" w:rsidRPr="00005453" w:rsidRDefault="002C5FB0" w:rsidP="00C25473">
      <w:pPr>
        <w:ind w:hanging="567"/>
        <w:rPr>
          <w:b/>
          <w:color w:val="000000"/>
        </w:rPr>
      </w:pPr>
    </w:p>
    <w:p w14:paraId="0F1E5A06" w14:textId="77777777" w:rsidR="002C5FB0" w:rsidRPr="00005453" w:rsidRDefault="002C5FB0" w:rsidP="00C25473">
      <w:pPr>
        <w:ind w:hanging="567"/>
        <w:rPr>
          <w:b/>
          <w:color w:val="000000"/>
        </w:rPr>
      </w:pPr>
    </w:p>
    <w:p w14:paraId="6429D124" w14:textId="77777777" w:rsidR="002C5FB0" w:rsidRPr="00005453" w:rsidRDefault="002C5FB0" w:rsidP="00C25473">
      <w:pPr>
        <w:ind w:hanging="567"/>
        <w:rPr>
          <w:b/>
          <w:color w:val="000000"/>
        </w:rPr>
      </w:pPr>
    </w:p>
    <w:p w14:paraId="1A5D1A14" w14:textId="77777777" w:rsidR="002C5FB0" w:rsidRPr="00005453" w:rsidRDefault="002C5FB0" w:rsidP="00C25473">
      <w:pPr>
        <w:ind w:hanging="567"/>
        <w:rPr>
          <w:b/>
          <w:color w:val="000000"/>
        </w:rPr>
      </w:pPr>
    </w:p>
    <w:p w14:paraId="1BCD8517" w14:textId="77777777" w:rsidR="002C5FB0" w:rsidRPr="00005453" w:rsidRDefault="002C5FB0" w:rsidP="00C25473">
      <w:pPr>
        <w:ind w:hanging="567"/>
        <w:rPr>
          <w:b/>
          <w:color w:val="000000"/>
        </w:rPr>
      </w:pPr>
    </w:p>
    <w:p w14:paraId="243876F6" w14:textId="77777777" w:rsidR="002C5FB0" w:rsidRPr="00005453" w:rsidRDefault="002C5FB0" w:rsidP="00C25473">
      <w:pPr>
        <w:ind w:hanging="567"/>
        <w:rPr>
          <w:b/>
          <w:color w:val="000000"/>
        </w:rPr>
      </w:pPr>
    </w:p>
    <w:p w14:paraId="05D24EAA" w14:textId="77777777" w:rsidR="002C5FB0" w:rsidRPr="00005453" w:rsidRDefault="002C5FB0" w:rsidP="00C25473">
      <w:pPr>
        <w:ind w:hanging="567"/>
        <w:rPr>
          <w:b/>
          <w:color w:val="000000"/>
        </w:rPr>
      </w:pPr>
    </w:p>
    <w:p w14:paraId="29CA8CCF" w14:textId="77777777" w:rsidR="002C5FB0" w:rsidRPr="00005453" w:rsidRDefault="002C5FB0" w:rsidP="00C25473">
      <w:pPr>
        <w:ind w:hanging="567"/>
        <w:rPr>
          <w:b/>
          <w:color w:val="000000"/>
        </w:rPr>
      </w:pPr>
    </w:p>
    <w:p w14:paraId="6EF94B94" w14:textId="77777777" w:rsidR="00F20AF5" w:rsidRPr="00005453" w:rsidRDefault="00F20AF5">
      <w:pPr>
        <w:rPr>
          <w:b/>
          <w:color w:val="000000"/>
        </w:rPr>
      </w:pPr>
      <w:r w:rsidRPr="00005453">
        <w:rPr>
          <w:b/>
          <w:color w:val="000000"/>
        </w:rPr>
        <w:br w:type="page"/>
      </w:r>
    </w:p>
    <w:p w14:paraId="517C2211" w14:textId="4C5188C8" w:rsidR="00C25473" w:rsidRPr="00005453" w:rsidRDefault="007A1089" w:rsidP="00C25473">
      <w:pPr>
        <w:ind w:hanging="567"/>
        <w:rPr>
          <w:b/>
          <w:color w:val="000000"/>
        </w:rPr>
      </w:pPr>
      <w:r w:rsidRPr="00005453">
        <w:rPr>
          <w:b/>
          <w:color w:val="000000"/>
        </w:rPr>
        <w:lastRenderedPageBreak/>
        <w:t>10</w:t>
      </w:r>
      <w:r w:rsidR="00C25473" w:rsidRPr="00005453">
        <w:rPr>
          <w:b/>
          <w:color w:val="000000"/>
        </w:rPr>
        <w:t>.6.5. Alacakların coğrafi bölgelere göre, sektöre ve kalan vadesine göre kırılımı</w:t>
      </w:r>
    </w:p>
    <w:p w14:paraId="2233D599" w14:textId="77777777" w:rsidR="00C25473" w:rsidRPr="00005453" w:rsidRDefault="00C25473" w:rsidP="00C25473">
      <w:pPr>
        <w:ind w:hanging="567"/>
        <w:rPr>
          <w:b/>
          <w:color w:val="000000"/>
          <w:sz w:val="14"/>
        </w:rPr>
      </w:pPr>
    </w:p>
    <w:p w14:paraId="399605E1" w14:textId="611BF5CE" w:rsidR="00C25473" w:rsidRPr="00005453" w:rsidRDefault="00C25473" w:rsidP="00C25473">
      <w:pPr>
        <w:rPr>
          <w:color w:val="000000"/>
        </w:rPr>
      </w:pPr>
      <w:r w:rsidRPr="00005453">
        <w:rPr>
          <w:color w:val="000000"/>
        </w:rPr>
        <w:t>Nakdi alacakların sektörlere göre dağılımı şöyledir</w:t>
      </w:r>
      <w:r w:rsidR="003F6C52" w:rsidRPr="00005453">
        <w:rPr>
          <w:color w:val="000000"/>
        </w:rPr>
        <w:t>:</w:t>
      </w:r>
    </w:p>
    <w:p w14:paraId="777F1CE1" w14:textId="327E988A" w:rsidR="000128AF" w:rsidRPr="00005453" w:rsidRDefault="000128AF" w:rsidP="00C25473">
      <w:pPr>
        <w:rPr>
          <w:lang w:eastAsia="en-GB"/>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4501"/>
        <w:gridCol w:w="2577"/>
        <w:gridCol w:w="2410"/>
      </w:tblGrid>
      <w:tr w:rsidR="000128AF" w:rsidRPr="00005453" w14:paraId="3E44759A" w14:textId="77777777" w:rsidTr="00C07B3E">
        <w:trPr>
          <w:divId w:val="972642015"/>
          <w:trHeight w:val="583"/>
        </w:trPr>
        <w:tc>
          <w:tcPr>
            <w:tcW w:w="4501" w:type="dxa"/>
            <w:shd w:val="clear" w:color="auto" w:fill="auto"/>
            <w:noWrap/>
            <w:vAlign w:val="center"/>
            <w:hideMark/>
          </w:tcPr>
          <w:p w14:paraId="4AB4A320" w14:textId="5CF9D577" w:rsidR="000128AF" w:rsidRPr="00005453" w:rsidRDefault="000128AF" w:rsidP="000128AF">
            <w:pPr>
              <w:rPr>
                <w:b/>
                <w:bCs/>
                <w:color w:val="000000"/>
                <w:sz w:val="18"/>
                <w:szCs w:val="18"/>
                <w:lang w:eastAsia="tr-TR"/>
              </w:rPr>
            </w:pPr>
            <w:r w:rsidRPr="00005453">
              <w:rPr>
                <w:b/>
                <w:bCs/>
                <w:color w:val="000000"/>
                <w:sz w:val="18"/>
                <w:szCs w:val="18"/>
                <w:lang w:eastAsia="tr-TR"/>
              </w:rPr>
              <w:t>Sektör</w:t>
            </w:r>
          </w:p>
        </w:tc>
        <w:tc>
          <w:tcPr>
            <w:tcW w:w="2577" w:type="dxa"/>
            <w:shd w:val="clear" w:color="auto" w:fill="auto"/>
            <w:vAlign w:val="center"/>
            <w:hideMark/>
          </w:tcPr>
          <w:p w14:paraId="0EE2F232" w14:textId="77777777" w:rsidR="000128AF" w:rsidRPr="00005453" w:rsidRDefault="000128AF" w:rsidP="000128AF">
            <w:pPr>
              <w:jc w:val="right"/>
              <w:rPr>
                <w:b/>
                <w:bCs/>
                <w:color w:val="000000"/>
                <w:sz w:val="18"/>
                <w:szCs w:val="18"/>
                <w:lang w:eastAsia="tr-TR"/>
              </w:rPr>
            </w:pPr>
            <w:r w:rsidRPr="00005453">
              <w:rPr>
                <w:b/>
                <w:bCs/>
                <w:color w:val="000000"/>
                <w:sz w:val="18"/>
                <w:szCs w:val="18"/>
                <w:lang w:eastAsia="tr-TR"/>
              </w:rPr>
              <w:t xml:space="preserve">Cari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Nakdi Kredi Tutarı</w:t>
            </w:r>
          </w:p>
        </w:tc>
        <w:tc>
          <w:tcPr>
            <w:tcW w:w="2410" w:type="dxa"/>
            <w:shd w:val="clear" w:color="auto" w:fill="auto"/>
            <w:vAlign w:val="center"/>
            <w:hideMark/>
          </w:tcPr>
          <w:p w14:paraId="33722D66" w14:textId="77777777" w:rsidR="000128AF" w:rsidRPr="00005453" w:rsidRDefault="000128AF" w:rsidP="000128AF">
            <w:pPr>
              <w:jc w:val="right"/>
              <w:rPr>
                <w:b/>
                <w:bCs/>
                <w:color w:val="000000"/>
                <w:sz w:val="18"/>
                <w:szCs w:val="18"/>
                <w:lang w:eastAsia="tr-TR"/>
              </w:rPr>
            </w:pPr>
            <w:r w:rsidRPr="00005453">
              <w:rPr>
                <w:b/>
                <w:bCs/>
                <w:color w:val="000000"/>
                <w:sz w:val="18"/>
                <w:szCs w:val="18"/>
                <w:lang w:eastAsia="tr-TR"/>
              </w:rPr>
              <w:t xml:space="preserve">Önceki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Nakdi Kredi Tutarı</w:t>
            </w:r>
          </w:p>
        </w:tc>
      </w:tr>
      <w:tr w:rsidR="006E7B0A" w:rsidRPr="00005453" w14:paraId="3E6FECA9" w14:textId="77777777" w:rsidTr="00C07B3E">
        <w:trPr>
          <w:divId w:val="972642015"/>
          <w:trHeight w:val="224"/>
        </w:trPr>
        <w:tc>
          <w:tcPr>
            <w:tcW w:w="4501" w:type="dxa"/>
            <w:shd w:val="clear" w:color="auto" w:fill="auto"/>
            <w:noWrap/>
            <w:vAlign w:val="center"/>
            <w:hideMark/>
          </w:tcPr>
          <w:p w14:paraId="63605CBA" w14:textId="31F23F3D" w:rsidR="006E7B0A" w:rsidRPr="00005453" w:rsidRDefault="006E7B0A" w:rsidP="006E7B0A">
            <w:pPr>
              <w:rPr>
                <w:color w:val="000000"/>
                <w:sz w:val="18"/>
                <w:szCs w:val="18"/>
                <w:lang w:eastAsia="tr-TR"/>
              </w:rPr>
            </w:pPr>
            <w:r w:rsidRPr="00005453">
              <w:rPr>
                <w:color w:val="000000"/>
                <w:sz w:val="16"/>
                <w:szCs w:val="16"/>
              </w:rPr>
              <w:t>Tekstil</w:t>
            </w:r>
          </w:p>
        </w:tc>
        <w:tc>
          <w:tcPr>
            <w:tcW w:w="2577" w:type="dxa"/>
            <w:shd w:val="clear" w:color="auto" w:fill="auto"/>
            <w:vAlign w:val="center"/>
            <w:hideMark/>
          </w:tcPr>
          <w:p w14:paraId="02D225DD" w14:textId="42839C11" w:rsidR="006E7B0A" w:rsidRPr="00005453" w:rsidRDefault="006E7B0A" w:rsidP="006E7B0A">
            <w:pPr>
              <w:jc w:val="right"/>
              <w:rPr>
                <w:color w:val="000000"/>
                <w:sz w:val="18"/>
                <w:szCs w:val="18"/>
                <w:lang w:eastAsia="tr-TR"/>
              </w:rPr>
            </w:pPr>
            <w:r w:rsidRPr="00005453">
              <w:rPr>
                <w:color w:val="000000"/>
                <w:sz w:val="16"/>
                <w:szCs w:val="16"/>
              </w:rPr>
              <w:t>48,210,259</w:t>
            </w:r>
          </w:p>
        </w:tc>
        <w:tc>
          <w:tcPr>
            <w:tcW w:w="2410" w:type="dxa"/>
            <w:shd w:val="clear" w:color="auto" w:fill="auto"/>
            <w:vAlign w:val="center"/>
            <w:hideMark/>
          </w:tcPr>
          <w:p w14:paraId="53033E0A" w14:textId="7E87A96D" w:rsidR="006E7B0A" w:rsidRPr="00005453" w:rsidRDefault="006E7B0A" w:rsidP="006E7B0A">
            <w:pPr>
              <w:jc w:val="right"/>
              <w:rPr>
                <w:color w:val="000000"/>
                <w:sz w:val="18"/>
                <w:szCs w:val="18"/>
                <w:lang w:eastAsia="tr-TR"/>
              </w:rPr>
            </w:pPr>
            <w:r w:rsidRPr="00005453">
              <w:rPr>
                <w:color w:val="000000"/>
                <w:sz w:val="16"/>
                <w:szCs w:val="16"/>
              </w:rPr>
              <w:t>37,917,166</w:t>
            </w:r>
          </w:p>
        </w:tc>
      </w:tr>
      <w:tr w:rsidR="006E7B0A" w:rsidRPr="00005453" w14:paraId="234BAEAD" w14:textId="77777777" w:rsidTr="00C07B3E">
        <w:trPr>
          <w:divId w:val="972642015"/>
          <w:trHeight w:val="224"/>
        </w:trPr>
        <w:tc>
          <w:tcPr>
            <w:tcW w:w="4501" w:type="dxa"/>
            <w:shd w:val="clear" w:color="auto" w:fill="auto"/>
            <w:noWrap/>
            <w:vAlign w:val="center"/>
            <w:hideMark/>
          </w:tcPr>
          <w:p w14:paraId="66D6F6DE" w14:textId="65E285D8" w:rsidR="006E7B0A" w:rsidRPr="00005453" w:rsidRDefault="006E7B0A" w:rsidP="006E7B0A">
            <w:pPr>
              <w:rPr>
                <w:color w:val="000000"/>
                <w:sz w:val="18"/>
                <w:szCs w:val="18"/>
                <w:lang w:eastAsia="tr-TR"/>
              </w:rPr>
            </w:pPr>
            <w:r w:rsidRPr="00005453">
              <w:rPr>
                <w:color w:val="000000"/>
                <w:sz w:val="16"/>
                <w:szCs w:val="16"/>
              </w:rPr>
              <w:t>İnşaat-Taahhüt</w:t>
            </w:r>
          </w:p>
        </w:tc>
        <w:tc>
          <w:tcPr>
            <w:tcW w:w="2577" w:type="dxa"/>
            <w:shd w:val="clear" w:color="auto" w:fill="auto"/>
            <w:vAlign w:val="center"/>
            <w:hideMark/>
          </w:tcPr>
          <w:p w14:paraId="5FC99CEE" w14:textId="27238A66" w:rsidR="006E7B0A" w:rsidRPr="00005453" w:rsidRDefault="006E7B0A" w:rsidP="006E7B0A">
            <w:pPr>
              <w:jc w:val="right"/>
              <w:rPr>
                <w:color w:val="000000"/>
                <w:sz w:val="18"/>
                <w:szCs w:val="18"/>
                <w:lang w:eastAsia="tr-TR"/>
              </w:rPr>
            </w:pPr>
            <w:r w:rsidRPr="00005453">
              <w:rPr>
                <w:color w:val="000000"/>
                <w:sz w:val="16"/>
                <w:szCs w:val="16"/>
              </w:rPr>
              <w:t>35,385,266</w:t>
            </w:r>
          </w:p>
        </w:tc>
        <w:tc>
          <w:tcPr>
            <w:tcW w:w="2410" w:type="dxa"/>
            <w:shd w:val="clear" w:color="auto" w:fill="auto"/>
            <w:vAlign w:val="center"/>
            <w:hideMark/>
          </w:tcPr>
          <w:p w14:paraId="54964115" w14:textId="0C76D6CF" w:rsidR="006E7B0A" w:rsidRPr="00005453" w:rsidRDefault="006E7B0A" w:rsidP="006E7B0A">
            <w:pPr>
              <w:jc w:val="right"/>
              <w:rPr>
                <w:color w:val="000000"/>
                <w:sz w:val="18"/>
                <w:szCs w:val="18"/>
                <w:lang w:eastAsia="tr-TR"/>
              </w:rPr>
            </w:pPr>
            <w:r w:rsidRPr="00005453">
              <w:rPr>
                <w:color w:val="000000"/>
                <w:sz w:val="16"/>
                <w:szCs w:val="16"/>
              </w:rPr>
              <w:t>27,696,267</w:t>
            </w:r>
          </w:p>
        </w:tc>
      </w:tr>
      <w:tr w:rsidR="006E7B0A" w:rsidRPr="00005453" w14:paraId="32AFC355" w14:textId="77777777" w:rsidTr="00C07B3E">
        <w:trPr>
          <w:divId w:val="972642015"/>
          <w:trHeight w:val="224"/>
        </w:trPr>
        <w:tc>
          <w:tcPr>
            <w:tcW w:w="4501" w:type="dxa"/>
            <w:shd w:val="clear" w:color="auto" w:fill="auto"/>
            <w:noWrap/>
            <w:vAlign w:val="center"/>
            <w:hideMark/>
          </w:tcPr>
          <w:p w14:paraId="2978F9D7" w14:textId="29A419FE" w:rsidR="006E7B0A" w:rsidRPr="00005453" w:rsidRDefault="006E7B0A" w:rsidP="006E7B0A">
            <w:pPr>
              <w:rPr>
                <w:color w:val="000000"/>
                <w:sz w:val="18"/>
                <w:szCs w:val="18"/>
                <w:lang w:eastAsia="tr-TR"/>
              </w:rPr>
            </w:pPr>
            <w:r w:rsidRPr="00005453">
              <w:rPr>
                <w:color w:val="000000"/>
                <w:sz w:val="16"/>
                <w:szCs w:val="16"/>
              </w:rPr>
              <w:t>Gıda ve İçecek</w:t>
            </w:r>
          </w:p>
        </w:tc>
        <w:tc>
          <w:tcPr>
            <w:tcW w:w="2577" w:type="dxa"/>
            <w:shd w:val="clear" w:color="auto" w:fill="auto"/>
            <w:vAlign w:val="center"/>
            <w:hideMark/>
          </w:tcPr>
          <w:p w14:paraId="21158287" w14:textId="069C5B1F" w:rsidR="006E7B0A" w:rsidRPr="00005453" w:rsidRDefault="006E7B0A" w:rsidP="006E7B0A">
            <w:pPr>
              <w:jc w:val="right"/>
              <w:rPr>
                <w:color w:val="000000"/>
                <w:sz w:val="18"/>
                <w:szCs w:val="18"/>
                <w:lang w:eastAsia="tr-TR"/>
              </w:rPr>
            </w:pPr>
            <w:r w:rsidRPr="00005453">
              <w:rPr>
                <w:color w:val="000000"/>
                <w:sz w:val="16"/>
                <w:szCs w:val="16"/>
              </w:rPr>
              <w:t>38,976,900</w:t>
            </w:r>
          </w:p>
        </w:tc>
        <w:tc>
          <w:tcPr>
            <w:tcW w:w="2410" w:type="dxa"/>
            <w:shd w:val="clear" w:color="auto" w:fill="auto"/>
            <w:vAlign w:val="center"/>
            <w:hideMark/>
          </w:tcPr>
          <w:p w14:paraId="513D2B37" w14:textId="092DA730" w:rsidR="006E7B0A" w:rsidRPr="00005453" w:rsidRDefault="006E7B0A" w:rsidP="006E7B0A">
            <w:pPr>
              <w:jc w:val="right"/>
              <w:rPr>
                <w:color w:val="000000"/>
                <w:sz w:val="18"/>
                <w:szCs w:val="18"/>
                <w:lang w:eastAsia="tr-TR"/>
              </w:rPr>
            </w:pPr>
            <w:r w:rsidRPr="00005453">
              <w:rPr>
                <w:color w:val="000000"/>
                <w:sz w:val="16"/>
                <w:szCs w:val="16"/>
              </w:rPr>
              <w:t>28,572,325</w:t>
            </w:r>
          </w:p>
        </w:tc>
      </w:tr>
      <w:tr w:rsidR="006E7B0A" w:rsidRPr="00005453" w14:paraId="7A838CC3" w14:textId="77777777" w:rsidTr="00C07B3E">
        <w:trPr>
          <w:divId w:val="972642015"/>
          <w:trHeight w:val="224"/>
        </w:trPr>
        <w:tc>
          <w:tcPr>
            <w:tcW w:w="4501" w:type="dxa"/>
            <w:shd w:val="clear" w:color="auto" w:fill="auto"/>
            <w:noWrap/>
            <w:vAlign w:val="center"/>
            <w:hideMark/>
          </w:tcPr>
          <w:p w14:paraId="1BE5725E" w14:textId="68A9A710" w:rsidR="006E7B0A" w:rsidRPr="00005453" w:rsidRDefault="006E7B0A" w:rsidP="006E7B0A">
            <w:pPr>
              <w:rPr>
                <w:color w:val="000000"/>
                <w:sz w:val="18"/>
                <w:szCs w:val="18"/>
                <w:lang w:eastAsia="tr-TR"/>
              </w:rPr>
            </w:pPr>
            <w:r w:rsidRPr="00005453">
              <w:rPr>
                <w:color w:val="000000"/>
                <w:sz w:val="16"/>
                <w:szCs w:val="16"/>
              </w:rPr>
              <w:t>Bireysel Krediler</w:t>
            </w:r>
          </w:p>
        </w:tc>
        <w:tc>
          <w:tcPr>
            <w:tcW w:w="2577" w:type="dxa"/>
            <w:shd w:val="clear" w:color="auto" w:fill="auto"/>
            <w:vAlign w:val="center"/>
            <w:hideMark/>
          </w:tcPr>
          <w:p w14:paraId="4C61357F" w14:textId="3E6B4215" w:rsidR="006E7B0A" w:rsidRPr="00005453" w:rsidRDefault="006E7B0A" w:rsidP="006E7B0A">
            <w:pPr>
              <w:jc w:val="right"/>
              <w:rPr>
                <w:color w:val="000000"/>
                <w:sz w:val="18"/>
                <w:szCs w:val="18"/>
                <w:lang w:eastAsia="tr-TR"/>
              </w:rPr>
            </w:pPr>
            <w:r w:rsidRPr="00005453">
              <w:rPr>
                <w:color w:val="000000"/>
                <w:sz w:val="16"/>
                <w:szCs w:val="16"/>
              </w:rPr>
              <w:t>39,215,594</w:t>
            </w:r>
          </w:p>
        </w:tc>
        <w:tc>
          <w:tcPr>
            <w:tcW w:w="2410" w:type="dxa"/>
            <w:shd w:val="clear" w:color="auto" w:fill="auto"/>
            <w:vAlign w:val="center"/>
            <w:hideMark/>
          </w:tcPr>
          <w:p w14:paraId="484E2F90" w14:textId="41379111" w:rsidR="006E7B0A" w:rsidRPr="00005453" w:rsidRDefault="006E7B0A" w:rsidP="006E7B0A">
            <w:pPr>
              <w:jc w:val="right"/>
              <w:rPr>
                <w:color w:val="000000"/>
                <w:sz w:val="18"/>
                <w:szCs w:val="18"/>
                <w:lang w:eastAsia="tr-TR"/>
              </w:rPr>
            </w:pPr>
            <w:r w:rsidRPr="00005453">
              <w:rPr>
                <w:color w:val="000000"/>
                <w:sz w:val="16"/>
                <w:szCs w:val="16"/>
              </w:rPr>
              <w:t>28,121,592</w:t>
            </w:r>
          </w:p>
        </w:tc>
      </w:tr>
      <w:tr w:rsidR="006E7B0A" w:rsidRPr="00005453" w14:paraId="60B0409F" w14:textId="77777777" w:rsidTr="00C07B3E">
        <w:trPr>
          <w:divId w:val="972642015"/>
          <w:trHeight w:val="224"/>
        </w:trPr>
        <w:tc>
          <w:tcPr>
            <w:tcW w:w="4501" w:type="dxa"/>
            <w:shd w:val="clear" w:color="auto" w:fill="auto"/>
            <w:noWrap/>
            <w:vAlign w:val="center"/>
            <w:hideMark/>
          </w:tcPr>
          <w:p w14:paraId="23BC12CC" w14:textId="20BF85EA" w:rsidR="006E7B0A" w:rsidRPr="00005453" w:rsidRDefault="006E7B0A" w:rsidP="006E7B0A">
            <w:pPr>
              <w:rPr>
                <w:color w:val="000000"/>
                <w:sz w:val="18"/>
                <w:szCs w:val="18"/>
                <w:lang w:eastAsia="tr-TR"/>
              </w:rPr>
            </w:pPr>
            <w:r w:rsidRPr="00005453">
              <w:rPr>
                <w:color w:val="000000"/>
                <w:sz w:val="16"/>
                <w:szCs w:val="16"/>
              </w:rPr>
              <w:t>Metal Sanayii</w:t>
            </w:r>
          </w:p>
        </w:tc>
        <w:tc>
          <w:tcPr>
            <w:tcW w:w="2577" w:type="dxa"/>
            <w:shd w:val="clear" w:color="auto" w:fill="auto"/>
            <w:vAlign w:val="center"/>
            <w:hideMark/>
          </w:tcPr>
          <w:p w14:paraId="0129DCA0" w14:textId="6B91CBA7" w:rsidR="006E7B0A" w:rsidRPr="00005453" w:rsidRDefault="006E7B0A" w:rsidP="006E7B0A">
            <w:pPr>
              <w:jc w:val="right"/>
              <w:rPr>
                <w:color w:val="000000"/>
                <w:sz w:val="18"/>
                <w:szCs w:val="18"/>
                <w:lang w:eastAsia="tr-TR"/>
              </w:rPr>
            </w:pPr>
            <w:r w:rsidRPr="00005453">
              <w:rPr>
                <w:color w:val="000000"/>
                <w:sz w:val="16"/>
                <w:szCs w:val="16"/>
              </w:rPr>
              <w:t>30,617,054</w:t>
            </w:r>
          </w:p>
        </w:tc>
        <w:tc>
          <w:tcPr>
            <w:tcW w:w="2410" w:type="dxa"/>
            <w:shd w:val="clear" w:color="auto" w:fill="auto"/>
            <w:vAlign w:val="center"/>
            <w:hideMark/>
          </w:tcPr>
          <w:p w14:paraId="3E01A8A9" w14:textId="286262F8" w:rsidR="006E7B0A" w:rsidRPr="00005453" w:rsidRDefault="006E7B0A" w:rsidP="006E7B0A">
            <w:pPr>
              <w:jc w:val="right"/>
              <w:rPr>
                <w:color w:val="000000"/>
                <w:sz w:val="18"/>
                <w:szCs w:val="18"/>
                <w:lang w:eastAsia="tr-TR"/>
              </w:rPr>
            </w:pPr>
            <w:r w:rsidRPr="00005453">
              <w:rPr>
                <w:color w:val="000000"/>
                <w:sz w:val="16"/>
                <w:szCs w:val="16"/>
              </w:rPr>
              <w:t>22,487,382</w:t>
            </w:r>
          </w:p>
        </w:tc>
      </w:tr>
      <w:tr w:rsidR="006E7B0A" w:rsidRPr="00005453" w14:paraId="4336B7CB" w14:textId="77777777" w:rsidTr="00C07B3E">
        <w:trPr>
          <w:divId w:val="972642015"/>
          <w:trHeight w:val="224"/>
        </w:trPr>
        <w:tc>
          <w:tcPr>
            <w:tcW w:w="4501" w:type="dxa"/>
            <w:shd w:val="clear" w:color="auto" w:fill="auto"/>
            <w:noWrap/>
            <w:vAlign w:val="center"/>
            <w:hideMark/>
          </w:tcPr>
          <w:p w14:paraId="64AC0846" w14:textId="5D2D5997" w:rsidR="006E7B0A" w:rsidRPr="00005453" w:rsidRDefault="006E7B0A" w:rsidP="006E7B0A">
            <w:pPr>
              <w:rPr>
                <w:color w:val="000000"/>
                <w:sz w:val="18"/>
                <w:szCs w:val="18"/>
                <w:lang w:eastAsia="tr-TR"/>
              </w:rPr>
            </w:pPr>
            <w:r w:rsidRPr="00005453">
              <w:rPr>
                <w:color w:val="000000"/>
                <w:sz w:val="16"/>
                <w:szCs w:val="16"/>
              </w:rPr>
              <w:t>Otomotiv</w:t>
            </w:r>
          </w:p>
        </w:tc>
        <w:tc>
          <w:tcPr>
            <w:tcW w:w="2577" w:type="dxa"/>
            <w:shd w:val="clear" w:color="auto" w:fill="auto"/>
            <w:vAlign w:val="center"/>
            <w:hideMark/>
          </w:tcPr>
          <w:p w14:paraId="36C65094" w14:textId="4978E32B" w:rsidR="006E7B0A" w:rsidRPr="00005453" w:rsidRDefault="006E7B0A" w:rsidP="006E7B0A">
            <w:pPr>
              <w:jc w:val="right"/>
              <w:rPr>
                <w:color w:val="000000"/>
                <w:sz w:val="18"/>
                <w:szCs w:val="18"/>
                <w:lang w:eastAsia="tr-TR"/>
              </w:rPr>
            </w:pPr>
            <w:r w:rsidRPr="00005453">
              <w:rPr>
                <w:color w:val="000000"/>
                <w:sz w:val="16"/>
                <w:szCs w:val="16"/>
              </w:rPr>
              <w:t>25,702,469</w:t>
            </w:r>
          </w:p>
        </w:tc>
        <w:tc>
          <w:tcPr>
            <w:tcW w:w="2410" w:type="dxa"/>
            <w:shd w:val="clear" w:color="auto" w:fill="auto"/>
            <w:vAlign w:val="center"/>
            <w:hideMark/>
          </w:tcPr>
          <w:p w14:paraId="710E0DDC" w14:textId="18B03278" w:rsidR="006E7B0A" w:rsidRPr="00005453" w:rsidRDefault="006E7B0A" w:rsidP="006E7B0A">
            <w:pPr>
              <w:jc w:val="right"/>
              <w:rPr>
                <w:color w:val="000000"/>
                <w:sz w:val="18"/>
                <w:szCs w:val="18"/>
                <w:lang w:eastAsia="tr-TR"/>
              </w:rPr>
            </w:pPr>
            <w:r w:rsidRPr="00005453">
              <w:rPr>
                <w:color w:val="000000"/>
                <w:sz w:val="16"/>
                <w:szCs w:val="16"/>
              </w:rPr>
              <w:t>20,319,985</w:t>
            </w:r>
          </w:p>
        </w:tc>
      </w:tr>
      <w:tr w:rsidR="006E7B0A" w:rsidRPr="00005453" w14:paraId="0329A9AB" w14:textId="77777777" w:rsidTr="00C07B3E">
        <w:trPr>
          <w:divId w:val="972642015"/>
          <w:trHeight w:val="224"/>
        </w:trPr>
        <w:tc>
          <w:tcPr>
            <w:tcW w:w="4501" w:type="dxa"/>
            <w:shd w:val="clear" w:color="auto" w:fill="auto"/>
            <w:noWrap/>
            <w:vAlign w:val="center"/>
            <w:hideMark/>
          </w:tcPr>
          <w:p w14:paraId="2535BECA" w14:textId="47A44265" w:rsidR="006E7B0A" w:rsidRPr="00005453" w:rsidRDefault="006E7B0A" w:rsidP="006E7B0A">
            <w:pPr>
              <w:rPr>
                <w:color w:val="000000"/>
                <w:sz w:val="18"/>
                <w:szCs w:val="18"/>
                <w:lang w:eastAsia="tr-TR"/>
              </w:rPr>
            </w:pPr>
            <w:r w:rsidRPr="00005453">
              <w:rPr>
                <w:color w:val="000000"/>
                <w:sz w:val="16"/>
                <w:szCs w:val="16"/>
              </w:rPr>
              <w:t>İnşaat-Yapsat</w:t>
            </w:r>
          </w:p>
        </w:tc>
        <w:tc>
          <w:tcPr>
            <w:tcW w:w="2577" w:type="dxa"/>
            <w:shd w:val="clear" w:color="auto" w:fill="auto"/>
            <w:vAlign w:val="center"/>
            <w:hideMark/>
          </w:tcPr>
          <w:p w14:paraId="19E50F45" w14:textId="5C2F4A8E" w:rsidR="006E7B0A" w:rsidRPr="00005453" w:rsidRDefault="006E7B0A" w:rsidP="006E7B0A">
            <w:pPr>
              <w:jc w:val="right"/>
              <w:rPr>
                <w:color w:val="000000"/>
                <w:sz w:val="18"/>
                <w:szCs w:val="18"/>
                <w:lang w:eastAsia="tr-TR"/>
              </w:rPr>
            </w:pPr>
            <w:r w:rsidRPr="00005453">
              <w:rPr>
                <w:color w:val="000000"/>
                <w:sz w:val="16"/>
                <w:szCs w:val="16"/>
              </w:rPr>
              <w:t>15,991,791</w:t>
            </w:r>
          </w:p>
        </w:tc>
        <w:tc>
          <w:tcPr>
            <w:tcW w:w="2410" w:type="dxa"/>
            <w:shd w:val="clear" w:color="auto" w:fill="auto"/>
            <w:vAlign w:val="center"/>
            <w:hideMark/>
          </w:tcPr>
          <w:p w14:paraId="03879346" w14:textId="09099451" w:rsidR="006E7B0A" w:rsidRPr="00005453" w:rsidRDefault="006E7B0A" w:rsidP="006E7B0A">
            <w:pPr>
              <w:jc w:val="right"/>
              <w:rPr>
                <w:color w:val="000000"/>
                <w:sz w:val="18"/>
                <w:szCs w:val="18"/>
                <w:lang w:eastAsia="tr-TR"/>
              </w:rPr>
            </w:pPr>
            <w:r w:rsidRPr="00005453">
              <w:rPr>
                <w:color w:val="000000"/>
                <w:sz w:val="16"/>
                <w:szCs w:val="16"/>
              </w:rPr>
              <w:t>15,321,711</w:t>
            </w:r>
          </w:p>
        </w:tc>
      </w:tr>
      <w:tr w:rsidR="006E7B0A" w:rsidRPr="00005453" w14:paraId="48C465CC" w14:textId="77777777" w:rsidTr="00C07B3E">
        <w:trPr>
          <w:divId w:val="972642015"/>
          <w:trHeight w:val="224"/>
        </w:trPr>
        <w:tc>
          <w:tcPr>
            <w:tcW w:w="4501" w:type="dxa"/>
            <w:shd w:val="clear" w:color="auto" w:fill="auto"/>
            <w:noWrap/>
            <w:vAlign w:val="center"/>
            <w:hideMark/>
          </w:tcPr>
          <w:p w14:paraId="705EB24D" w14:textId="38219458" w:rsidR="006E7B0A" w:rsidRPr="00005453" w:rsidRDefault="006E7B0A" w:rsidP="006E7B0A">
            <w:pPr>
              <w:rPr>
                <w:color w:val="000000"/>
                <w:sz w:val="18"/>
                <w:szCs w:val="18"/>
                <w:lang w:eastAsia="tr-TR"/>
              </w:rPr>
            </w:pPr>
            <w:r w:rsidRPr="00005453">
              <w:rPr>
                <w:color w:val="000000"/>
                <w:sz w:val="16"/>
                <w:szCs w:val="16"/>
              </w:rPr>
              <w:t>Enerji</w:t>
            </w:r>
          </w:p>
        </w:tc>
        <w:tc>
          <w:tcPr>
            <w:tcW w:w="2577" w:type="dxa"/>
            <w:shd w:val="clear" w:color="auto" w:fill="auto"/>
            <w:vAlign w:val="center"/>
            <w:hideMark/>
          </w:tcPr>
          <w:p w14:paraId="7BEB221E" w14:textId="17174CB7" w:rsidR="006E7B0A" w:rsidRPr="00005453" w:rsidRDefault="006E7B0A" w:rsidP="006E7B0A">
            <w:pPr>
              <w:jc w:val="right"/>
              <w:rPr>
                <w:color w:val="000000"/>
                <w:sz w:val="18"/>
                <w:szCs w:val="18"/>
                <w:lang w:eastAsia="tr-TR"/>
              </w:rPr>
            </w:pPr>
            <w:r w:rsidRPr="00005453">
              <w:rPr>
                <w:color w:val="000000"/>
                <w:sz w:val="16"/>
                <w:szCs w:val="16"/>
              </w:rPr>
              <w:t>15,881,732</w:t>
            </w:r>
          </w:p>
        </w:tc>
        <w:tc>
          <w:tcPr>
            <w:tcW w:w="2410" w:type="dxa"/>
            <w:shd w:val="clear" w:color="auto" w:fill="auto"/>
            <w:vAlign w:val="center"/>
            <w:hideMark/>
          </w:tcPr>
          <w:p w14:paraId="0688CA45" w14:textId="7574FB4B" w:rsidR="006E7B0A" w:rsidRPr="00005453" w:rsidRDefault="006E7B0A" w:rsidP="006E7B0A">
            <w:pPr>
              <w:jc w:val="right"/>
              <w:rPr>
                <w:color w:val="000000"/>
                <w:sz w:val="18"/>
                <w:szCs w:val="18"/>
                <w:lang w:eastAsia="tr-TR"/>
              </w:rPr>
            </w:pPr>
            <w:r w:rsidRPr="00005453">
              <w:rPr>
                <w:color w:val="000000"/>
                <w:sz w:val="16"/>
                <w:szCs w:val="16"/>
              </w:rPr>
              <w:t>15,566,920</w:t>
            </w:r>
          </w:p>
        </w:tc>
      </w:tr>
      <w:tr w:rsidR="006E7B0A" w:rsidRPr="00005453" w14:paraId="1AB121F9" w14:textId="77777777" w:rsidTr="00C07B3E">
        <w:trPr>
          <w:divId w:val="972642015"/>
          <w:trHeight w:val="224"/>
        </w:trPr>
        <w:tc>
          <w:tcPr>
            <w:tcW w:w="4501" w:type="dxa"/>
            <w:shd w:val="clear" w:color="auto" w:fill="auto"/>
            <w:noWrap/>
            <w:vAlign w:val="center"/>
            <w:hideMark/>
          </w:tcPr>
          <w:p w14:paraId="31822DCF" w14:textId="67224986" w:rsidR="006E7B0A" w:rsidRPr="00005453" w:rsidRDefault="006E7B0A" w:rsidP="006E7B0A">
            <w:pPr>
              <w:rPr>
                <w:color w:val="000000"/>
                <w:sz w:val="18"/>
                <w:szCs w:val="18"/>
                <w:lang w:eastAsia="tr-TR"/>
              </w:rPr>
            </w:pPr>
            <w:r w:rsidRPr="00005453">
              <w:rPr>
                <w:color w:val="000000"/>
                <w:sz w:val="16"/>
                <w:szCs w:val="16"/>
              </w:rPr>
              <w:t>Kimya</w:t>
            </w:r>
          </w:p>
        </w:tc>
        <w:tc>
          <w:tcPr>
            <w:tcW w:w="2577" w:type="dxa"/>
            <w:shd w:val="clear" w:color="auto" w:fill="auto"/>
            <w:vAlign w:val="center"/>
            <w:hideMark/>
          </w:tcPr>
          <w:p w14:paraId="6A242AD9" w14:textId="1B359BBD" w:rsidR="006E7B0A" w:rsidRPr="00005453" w:rsidRDefault="006E7B0A" w:rsidP="006E7B0A">
            <w:pPr>
              <w:jc w:val="right"/>
              <w:rPr>
                <w:color w:val="000000"/>
                <w:sz w:val="18"/>
                <w:szCs w:val="18"/>
                <w:lang w:eastAsia="tr-TR"/>
              </w:rPr>
            </w:pPr>
            <w:r w:rsidRPr="00005453">
              <w:rPr>
                <w:color w:val="000000"/>
                <w:sz w:val="16"/>
                <w:szCs w:val="16"/>
              </w:rPr>
              <w:t>24,417,060</w:t>
            </w:r>
          </w:p>
        </w:tc>
        <w:tc>
          <w:tcPr>
            <w:tcW w:w="2410" w:type="dxa"/>
            <w:shd w:val="clear" w:color="auto" w:fill="auto"/>
            <w:vAlign w:val="center"/>
            <w:hideMark/>
          </w:tcPr>
          <w:p w14:paraId="088CC012" w14:textId="2914A6D7" w:rsidR="006E7B0A" w:rsidRPr="00005453" w:rsidRDefault="006E7B0A" w:rsidP="006E7B0A">
            <w:pPr>
              <w:jc w:val="right"/>
              <w:rPr>
                <w:color w:val="000000"/>
                <w:sz w:val="18"/>
                <w:szCs w:val="18"/>
                <w:lang w:eastAsia="tr-TR"/>
              </w:rPr>
            </w:pPr>
            <w:r w:rsidRPr="00005453">
              <w:rPr>
                <w:color w:val="000000"/>
                <w:sz w:val="16"/>
                <w:szCs w:val="16"/>
              </w:rPr>
              <w:t>15,236,492</w:t>
            </w:r>
          </w:p>
        </w:tc>
      </w:tr>
      <w:tr w:rsidR="006E7B0A" w:rsidRPr="00005453" w14:paraId="6DD28609" w14:textId="77777777" w:rsidTr="00C07B3E">
        <w:trPr>
          <w:divId w:val="972642015"/>
          <w:trHeight w:val="224"/>
        </w:trPr>
        <w:tc>
          <w:tcPr>
            <w:tcW w:w="4501" w:type="dxa"/>
            <w:shd w:val="clear" w:color="auto" w:fill="auto"/>
            <w:noWrap/>
            <w:vAlign w:val="center"/>
            <w:hideMark/>
          </w:tcPr>
          <w:p w14:paraId="1871001C" w14:textId="02D52FDE" w:rsidR="006E7B0A" w:rsidRPr="00005453" w:rsidRDefault="006E7B0A" w:rsidP="006E7B0A">
            <w:pPr>
              <w:rPr>
                <w:color w:val="000000"/>
                <w:sz w:val="18"/>
                <w:szCs w:val="18"/>
                <w:lang w:eastAsia="tr-TR"/>
              </w:rPr>
            </w:pPr>
            <w:r w:rsidRPr="00005453">
              <w:rPr>
                <w:color w:val="000000"/>
                <w:sz w:val="16"/>
                <w:szCs w:val="16"/>
              </w:rPr>
              <w:t>Ulaştırma-Lojistik</w:t>
            </w:r>
          </w:p>
        </w:tc>
        <w:tc>
          <w:tcPr>
            <w:tcW w:w="2577" w:type="dxa"/>
            <w:shd w:val="clear" w:color="auto" w:fill="auto"/>
            <w:vAlign w:val="center"/>
            <w:hideMark/>
          </w:tcPr>
          <w:p w14:paraId="421E03EB" w14:textId="7D86C6D4" w:rsidR="006E7B0A" w:rsidRPr="00005453" w:rsidRDefault="006E7B0A" w:rsidP="006E7B0A">
            <w:pPr>
              <w:jc w:val="right"/>
              <w:rPr>
                <w:color w:val="000000"/>
                <w:sz w:val="18"/>
                <w:szCs w:val="18"/>
                <w:lang w:eastAsia="tr-TR"/>
              </w:rPr>
            </w:pPr>
            <w:r w:rsidRPr="00005453">
              <w:rPr>
                <w:color w:val="000000"/>
                <w:sz w:val="16"/>
                <w:szCs w:val="16"/>
              </w:rPr>
              <w:t>24,793,755</w:t>
            </w:r>
          </w:p>
        </w:tc>
        <w:tc>
          <w:tcPr>
            <w:tcW w:w="2410" w:type="dxa"/>
            <w:shd w:val="clear" w:color="auto" w:fill="auto"/>
            <w:vAlign w:val="center"/>
            <w:hideMark/>
          </w:tcPr>
          <w:p w14:paraId="14892EBB" w14:textId="672EED54" w:rsidR="006E7B0A" w:rsidRPr="00005453" w:rsidRDefault="006E7B0A" w:rsidP="006E7B0A">
            <w:pPr>
              <w:jc w:val="right"/>
              <w:rPr>
                <w:color w:val="000000"/>
                <w:sz w:val="18"/>
                <w:szCs w:val="18"/>
                <w:lang w:eastAsia="tr-TR"/>
              </w:rPr>
            </w:pPr>
            <w:r w:rsidRPr="00005453">
              <w:rPr>
                <w:color w:val="000000"/>
                <w:sz w:val="16"/>
                <w:szCs w:val="16"/>
              </w:rPr>
              <w:t>15,139,920</w:t>
            </w:r>
          </w:p>
        </w:tc>
      </w:tr>
      <w:tr w:rsidR="006E7B0A" w:rsidRPr="00005453" w14:paraId="3F5293DC" w14:textId="77777777" w:rsidTr="00C07B3E">
        <w:trPr>
          <w:divId w:val="972642015"/>
          <w:trHeight w:val="224"/>
        </w:trPr>
        <w:tc>
          <w:tcPr>
            <w:tcW w:w="4501" w:type="dxa"/>
            <w:shd w:val="clear" w:color="auto" w:fill="auto"/>
            <w:noWrap/>
            <w:vAlign w:val="center"/>
            <w:hideMark/>
          </w:tcPr>
          <w:p w14:paraId="406CF9C3" w14:textId="3A442621" w:rsidR="006E7B0A" w:rsidRPr="00005453" w:rsidRDefault="006E7B0A" w:rsidP="006E7B0A">
            <w:pPr>
              <w:rPr>
                <w:color w:val="000000"/>
                <w:sz w:val="18"/>
                <w:szCs w:val="18"/>
                <w:lang w:eastAsia="tr-TR"/>
              </w:rPr>
            </w:pPr>
            <w:r w:rsidRPr="00005453">
              <w:rPr>
                <w:color w:val="000000"/>
                <w:sz w:val="16"/>
                <w:szCs w:val="16"/>
              </w:rPr>
              <w:t>Makine-Teçhizat</w:t>
            </w:r>
          </w:p>
        </w:tc>
        <w:tc>
          <w:tcPr>
            <w:tcW w:w="2577" w:type="dxa"/>
            <w:shd w:val="clear" w:color="auto" w:fill="auto"/>
            <w:vAlign w:val="center"/>
            <w:hideMark/>
          </w:tcPr>
          <w:p w14:paraId="2FB6764C" w14:textId="7F100347" w:rsidR="006E7B0A" w:rsidRPr="00005453" w:rsidRDefault="006E7B0A" w:rsidP="006E7B0A">
            <w:pPr>
              <w:jc w:val="right"/>
              <w:rPr>
                <w:color w:val="000000"/>
                <w:sz w:val="18"/>
                <w:szCs w:val="18"/>
                <w:lang w:eastAsia="tr-TR"/>
              </w:rPr>
            </w:pPr>
            <w:r w:rsidRPr="00005453">
              <w:rPr>
                <w:color w:val="000000"/>
                <w:sz w:val="16"/>
                <w:szCs w:val="16"/>
              </w:rPr>
              <w:t>17,605,375</w:t>
            </w:r>
          </w:p>
        </w:tc>
        <w:tc>
          <w:tcPr>
            <w:tcW w:w="2410" w:type="dxa"/>
            <w:shd w:val="clear" w:color="auto" w:fill="auto"/>
            <w:vAlign w:val="center"/>
            <w:hideMark/>
          </w:tcPr>
          <w:p w14:paraId="05E50DE4" w14:textId="47CD3A12" w:rsidR="006E7B0A" w:rsidRPr="00005453" w:rsidRDefault="006E7B0A" w:rsidP="006E7B0A">
            <w:pPr>
              <w:jc w:val="right"/>
              <w:rPr>
                <w:color w:val="000000"/>
                <w:sz w:val="18"/>
                <w:szCs w:val="18"/>
                <w:lang w:eastAsia="tr-TR"/>
              </w:rPr>
            </w:pPr>
            <w:r w:rsidRPr="00005453">
              <w:rPr>
                <w:color w:val="000000"/>
                <w:sz w:val="16"/>
                <w:szCs w:val="16"/>
              </w:rPr>
              <w:t>13,312,913</w:t>
            </w:r>
          </w:p>
        </w:tc>
      </w:tr>
      <w:tr w:rsidR="006E7B0A" w:rsidRPr="00005453" w14:paraId="3D7B8467" w14:textId="77777777" w:rsidTr="00C07B3E">
        <w:trPr>
          <w:divId w:val="972642015"/>
          <w:trHeight w:val="224"/>
        </w:trPr>
        <w:tc>
          <w:tcPr>
            <w:tcW w:w="4501" w:type="dxa"/>
            <w:shd w:val="clear" w:color="auto" w:fill="auto"/>
            <w:noWrap/>
            <w:vAlign w:val="center"/>
            <w:hideMark/>
          </w:tcPr>
          <w:p w14:paraId="5DFF22F5" w14:textId="68A8DEF8" w:rsidR="006E7B0A" w:rsidRPr="00005453" w:rsidRDefault="006E7B0A" w:rsidP="006E7B0A">
            <w:pPr>
              <w:rPr>
                <w:color w:val="000000"/>
                <w:sz w:val="18"/>
                <w:szCs w:val="18"/>
                <w:lang w:eastAsia="tr-TR"/>
              </w:rPr>
            </w:pPr>
            <w:r w:rsidRPr="00005453">
              <w:rPr>
                <w:color w:val="000000"/>
                <w:sz w:val="16"/>
                <w:szCs w:val="16"/>
              </w:rPr>
              <w:t>İnşaat Malzemeleri</w:t>
            </w:r>
          </w:p>
        </w:tc>
        <w:tc>
          <w:tcPr>
            <w:tcW w:w="2577" w:type="dxa"/>
            <w:shd w:val="clear" w:color="auto" w:fill="auto"/>
            <w:vAlign w:val="center"/>
            <w:hideMark/>
          </w:tcPr>
          <w:p w14:paraId="1FECE826" w14:textId="6574CE89" w:rsidR="006E7B0A" w:rsidRPr="00005453" w:rsidRDefault="006E7B0A" w:rsidP="006E7B0A">
            <w:pPr>
              <w:jc w:val="right"/>
              <w:rPr>
                <w:color w:val="000000"/>
                <w:sz w:val="18"/>
                <w:szCs w:val="18"/>
                <w:lang w:eastAsia="tr-TR"/>
              </w:rPr>
            </w:pPr>
            <w:r w:rsidRPr="00005453">
              <w:rPr>
                <w:color w:val="000000"/>
                <w:sz w:val="16"/>
                <w:szCs w:val="16"/>
              </w:rPr>
              <w:t>18,980,578</w:t>
            </w:r>
          </w:p>
        </w:tc>
        <w:tc>
          <w:tcPr>
            <w:tcW w:w="2410" w:type="dxa"/>
            <w:shd w:val="clear" w:color="auto" w:fill="auto"/>
            <w:vAlign w:val="center"/>
            <w:hideMark/>
          </w:tcPr>
          <w:p w14:paraId="5E92B6CB" w14:textId="02EEBC68" w:rsidR="006E7B0A" w:rsidRPr="00005453" w:rsidRDefault="006E7B0A" w:rsidP="006E7B0A">
            <w:pPr>
              <w:jc w:val="right"/>
              <w:rPr>
                <w:color w:val="000000"/>
                <w:sz w:val="18"/>
                <w:szCs w:val="18"/>
                <w:lang w:eastAsia="tr-TR"/>
              </w:rPr>
            </w:pPr>
            <w:r w:rsidRPr="00005453">
              <w:rPr>
                <w:color w:val="000000"/>
                <w:sz w:val="16"/>
                <w:szCs w:val="16"/>
              </w:rPr>
              <w:t>12,836,928</w:t>
            </w:r>
          </w:p>
        </w:tc>
      </w:tr>
      <w:tr w:rsidR="006E7B0A" w:rsidRPr="00005453" w14:paraId="1C1271C8" w14:textId="77777777" w:rsidTr="00C07B3E">
        <w:trPr>
          <w:divId w:val="972642015"/>
          <w:trHeight w:val="224"/>
        </w:trPr>
        <w:tc>
          <w:tcPr>
            <w:tcW w:w="4501" w:type="dxa"/>
            <w:shd w:val="clear" w:color="auto" w:fill="auto"/>
            <w:noWrap/>
            <w:vAlign w:val="center"/>
            <w:hideMark/>
          </w:tcPr>
          <w:p w14:paraId="46934A85" w14:textId="78F53C35" w:rsidR="006E7B0A" w:rsidRPr="00005453" w:rsidRDefault="006E7B0A" w:rsidP="006E7B0A">
            <w:pPr>
              <w:rPr>
                <w:color w:val="000000"/>
                <w:sz w:val="18"/>
                <w:szCs w:val="18"/>
                <w:lang w:eastAsia="tr-TR"/>
              </w:rPr>
            </w:pPr>
            <w:r w:rsidRPr="00005453">
              <w:rPr>
                <w:color w:val="000000"/>
                <w:sz w:val="16"/>
                <w:szCs w:val="16"/>
              </w:rPr>
              <w:t>İmalat</w:t>
            </w:r>
          </w:p>
        </w:tc>
        <w:tc>
          <w:tcPr>
            <w:tcW w:w="2577" w:type="dxa"/>
            <w:shd w:val="clear" w:color="auto" w:fill="auto"/>
            <w:vAlign w:val="center"/>
            <w:hideMark/>
          </w:tcPr>
          <w:p w14:paraId="1B9EA7C3" w14:textId="5888B58A" w:rsidR="006E7B0A" w:rsidRPr="00005453" w:rsidRDefault="006E7B0A" w:rsidP="006E7B0A">
            <w:pPr>
              <w:jc w:val="right"/>
              <w:rPr>
                <w:color w:val="000000"/>
                <w:sz w:val="18"/>
                <w:szCs w:val="18"/>
                <w:lang w:eastAsia="tr-TR"/>
              </w:rPr>
            </w:pPr>
            <w:r w:rsidRPr="00005453">
              <w:rPr>
                <w:color w:val="000000"/>
                <w:sz w:val="16"/>
                <w:szCs w:val="16"/>
              </w:rPr>
              <w:t>15,674,901</w:t>
            </w:r>
          </w:p>
        </w:tc>
        <w:tc>
          <w:tcPr>
            <w:tcW w:w="2410" w:type="dxa"/>
            <w:shd w:val="clear" w:color="auto" w:fill="auto"/>
            <w:vAlign w:val="center"/>
            <w:hideMark/>
          </w:tcPr>
          <w:p w14:paraId="30969658" w14:textId="70E4D623" w:rsidR="006E7B0A" w:rsidRPr="00005453" w:rsidRDefault="006E7B0A" w:rsidP="006E7B0A">
            <w:pPr>
              <w:jc w:val="right"/>
              <w:rPr>
                <w:color w:val="000000"/>
                <w:sz w:val="18"/>
                <w:szCs w:val="18"/>
                <w:lang w:eastAsia="tr-TR"/>
              </w:rPr>
            </w:pPr>
            <w:r w:rsidRPr="00005453">
              <w:rPr>
                <w:color w:val="000000"/>
                <w:sz w:val="16"/>
                <w:szCs w:val="16"/>
              </w:rPr>
              <w:t>12,706,267</w:t>
            </w:r>
          </w:p>
        </w:tc>
      </w:tr>
      <w:tr w:rsidR="006E7B0A" w:rsidRPr="00005453" w14:paraId="2CC22136" w14:textId="77777777" w:rsidTr="00C07B3E">
        <w:trPr>
          <w:divId w:val="972642015"/>
          <w:trHeight w:val="224"/>
        </w:trPr>
        <w:tc>
          <w:tcPr>
            <w:tcW w:w="4501" w:type="dxa"/>
            <w:shd w:val="clear" w:color="auto" w:fill="auto"/>
            <w:noWrap/>
            <w:vAlign w:val="center"/>
            <w:hideMark/>
          </w:tcPr>
          <w:p w14:paraId="0AA3C7E5" w14:textId="648F220C" w:rsidR="006E7B0A" w:rsidRPr="00005453" w:rsidRDefault="006E7B0A" w:rsidP="006E7B0A">
            <w:pPr>
              <w:rPr>
                <w:color w:val="000000"/>
                <w:sz w:val="18"/>
                <w:szCs w:val="18"/>
                <w:lang w:eastAsia="tr-TR"/>
              </w:rPr>
            </w:pPr>
            <w:r w:rsidRPr="00005453">
              <w:rPr>
                <w:color w:val="000000"/>
                <w:sz w:val="16"/>
                <w:szCs w:val="16"/>
              </w:rPr>
              <w:t>Toptan ve Perakende Ticaret</w:t>
            </w:r>
          </w:p>
        </w:tc>
        <w:tc>
          <w:tcPr>
            <w:tcW w:w="2577" w:type="dxa"/>
            <w:shd w:val="clear" w:color="auto" w:fill="auto"/>
            <w:vAlign w:val="center"/>
            <w:hideMark/>
          </w:tcPr>
          <w:p w14:paraId="4838658C" w14:textId="1FC4D9CE" w:rsidR="006E7B0A" w:rsidRPr="00005453" w:rsidRDefault="006E7B0A" w:rsidP="006E7B0A">
            <w:pPr>
              <w:jc w:val="right"/>
              <w:rPr>
                <w:color w:val="000000"/>
                <w:sz w:val="18"/>
                <w:szCs w:val="18"/>
                <w:lang w:eastAsia="tr-TR"/>
              </w:rPr>
            </w:pPr>
            <w:r w:rsidRPr="00005453">
              <w:rPr>
                <w:color w:val="000000"/>
                <w:sz w:val="16"/>
                <w:szCs w:val="16"/>
              </w:rPr>
              <w:t>16,745,098</w:t>
            </w:r>
          </w:p>
        </w:tc>
        <w:tc>
          <w:tcPr>
            <w:tcW w:w="2410" w:type="dxa"/>
            <w:shd w:val="clear" w:color="auto" w:fill="auto"/>
            <w:vAlign w:val="center"/>
            <w:hideMark/>
          </w:tcPr>
          <w:p w14:paraId="369C7F08" w14:textId="2316634A" w:rsidR="006E7B0A" w:rsidRPr="00005453" w:rsidRDefault="006E7B0A" w:rsidP="006E7B0A">
            <w:pPr>
              <w:jc w:val="right"/>
              <w:rPr>
                <w:color w:val="000000"/>
                <w:sz w:val="18"/>
                <w:szCs w:val="18"/>
                <w:lang w:eastAsia="tr-TR"/>
              </w:rPr>
            </w:pPr>
            <w:r w:rsidRPr="00005453">
              <w:rPr>
                <w:color w:val="000000"/>
                <w:sz w:val="16"/>
                <w:szCs w:val="16"/>
              </w:rPr>
              <w:t>11,935,332</w:t>
            </w:r>
          </w:p>
        </w:tc>
      </w:tr>
      <w:tr w:rsidR="006E7B0A" w:rsidRPr="00005453" w14:paraId="058FED0D" w14:textId="77777777" w:rsidTr="00C07B3E">
        <w:trPr>
          <w:divId w:val="972642015"/>
          <w:trHeight w:val="224"/>
        </w:trPr>
        <w:tc>
          <w:tcPr>
            <w:tcW w:w="4501" w:type="dxa"/>
            <w:shd w:val="clear" w:color="auto" w:fill="auto"/>
            <w:noWrap/>
            <w:vAlign w:val="center"/>
            <w:hideMark/>
          </w:tcPr>
          <w:p w14:paraId="2E80DD26" w14:textId="6FC9A586" w:rsidR="006E7B0A" w:rsidRPr="00005453" w:rsidRDefault="006E7B0A" w:rsidP="006E7B0A">
            <w:pPr>
              <w:rPr>
                <w:color w:val="000000"/>
                <w:sz w:val="18"/>
                <w:szCs w:val="18"/>
                <w:lang w:eastAsia="tr-TR"/>
              </w:rPr>
            </w:pPr>
            <w:r w:rsidRPr="00005453">
              <w:rPr>
                <w:color w:val="000000"/>
                <w:sz w:val="16"/>
                <w:szCs w:val="16"/>
              </w:rPr>
              <w:t>Hizmetler</w:t>
            </w:r>
          </w:p>
        </w:tc>
        <w:tc>
          <w:tcPr>
            <w:tcW w:w="2577" w:type="dxa"/>
            <w:shd w:val="clear" w:color="auto" w:fill="auto"/>
            <w:vAlign w:val="center"/>
            <w:hideMark/>
          </w:tcPr>
          <w:p w14:paraId="20B0CE0D" w14:textId="1E3A61AE" w:rsidR="006E7B0A" w:rsidRPr="00005453" w:rsidRDefault="006E7B0A" w:rsidP="006E7B0A">
            <w:pPr>
              <w:jc w:val="right"/>
              <w:rPr>
                <w:color w:val="000000"/>
                <w:sz w:val="18"/>
                <w:szCs w:val="18"/>
                <w:lang w:eastAsia="tr-TR"/>
              </w:rPr>
            </w:pPr>
            <w:r w:rsidRPr="00005453">
              <w:rPr>
                <w:color w:val="000000"/>
                <w:sz w:val="16"/>
                <w:szCs w:val="16"/>
              </w:rPr>
              <w:t>9,834,337</w:t>
            </w:r>
          </w:p>
        </w:tc>
        <w:tc>
          <w:tcPr>
            <w:tcW w:w="2410" w:type="dxa"/>
            <w:shd w:val="clear" w:color="auto" w:fill="auto"/>
            <w:vAlign w:val="center"/>
            <w:hideMark/>
          </w:tcPr>
          <w:p w14:paraId="39DD9AFF" w14:textId="7255B798" w:rsidR="006E7B0A" w:rsidRPr="00005453" w:rsidRDefault="006E7B0A" w:rsidP="006E7B0A">
            <w:pPr>
              <w:jc w:val="right"/>
              <w:rPr>
                <w:color w:val="000000"/>
                <w:sz w:val="18"/>
                <w:szCs w:val="18"/>
                <w:lang w:eastAsia="tr-TR"/>
              </w:rPr>
            </w:pPr>
            <w:r w:rsidRPr="00005453">
              <w:rPr>
                <w:color w:val="000000"/>
                <w:sz w:val="16"/>
                <w:szCs w:val="16"/>
              </w:rPr>
              <w:t>8,440,834</w:t>
            </w:r>
          </w:p>
        </w:tc>
      </w:tr>
      <w:tr w:rsidR="006E7B0A" w:rsidRPr="00005453" w14:paraId="3077AEA3" w14:textId="77777777" w:rsidTr="00C07B3E">
        <w:trPr>
          <w:divId w:val="972642015"/>
          <w:trHeight w:val="224"/>
        </w:trPr>
        <w:tc>
          <w:tcPr>
            <w:tcW w:w="4501" w:type="dxa"/>
            <w:shd w:val="clear" w:color="auto" w:fill="auto"/>
            <w:noWrap/>
            <w:vAlign w:val="center"/>
            <w:hideMark/>
          </w:tcPr>
          <w:p w14:paraId="7D85B8FA" w14:textId="58E38AE3" w:rsidR="006E7B0A" w:rsidRPr="00005453" w:rsidRDefault="006E7B0A" w:rsidP="006E7B0A">
            <w:pPr>
              <w:rPr>
                <w:color w:val="000000"/>
                <w:sz w:val="18"/>
                <w:szCs w:val="18"/>
                <w:lang w:eastAsia="tr-TR"/>
              </w:rPr>
            </w:pPr>
            <w:r w:rsidRPr="00005453">
              <w:rPr>
                <w:color w:val="000000"/>
                <w:sz w:val="16"/>
                <w:szCs w:val="16"/>
              </w:rPr>
              <w:t>Teknoloji-Elektronik</w:t>
            </w:r>
          </w:p>
        </w:tc>
        <w:tc>
          <w:tcPr>
            <w:tcW w:w="2577" w:type="dxa"/>
            <w:shd w:val="clear" w:color="auto" w:fill="auto"/>
            <w:vAlign w:val="center"/>
            <w:hideMark/>
          </w:tcPr>
          <w:p w14:paraId="0E1643F0" w14:textId="2CB3AC7C" w:rsidR="006E7B0A" w:rsidRPr="00005453" w:rsidRDefault="006E7B0A" w:rsidP="006E7B0A">
            <w:pPr>
              <w:jc w:val="right"/>
              <w:rPr>
                <w:color w:val="000000"/>
                <w:sz w:val="18"/>
                <w:szCs w:val="18"/>
                <w:lang w:eastAsia="tr-TR"/>
              </w:rPr>
            </w:pPr>
            <w:r w:rsidRPr="00005453">
              <w:rPr>
                <w:color w:val="000000"/>
                <w:sz w:val="16"/>
                <w:szCs w:val="16"/>
              </w:rPr>
              <w:t>11,024,231</w:t>
            </w:r>
          </w:p>
        </w:tc>
        <w:tc>
          <w:tcPr>
            <w:tcW w:w="2410" w:type="dxa"/>
            <w:shd w:val="clear" w:color="auto" w:fill="auto"/>
            <w:vAlign w:val="center"/>
            <w:hideMark/>
          </w:tcPr>
          <w:p w14:paraId="0738FE12" w14:textId="3132CCB3" w:rsidR="006E7B0A" w:rsidRPr="00005453" w:rsidRDefault="006E7B0A" w:rsidP="006E7B0A">
            <w:pPr>
              <w:jc w:val="right"/>
              <w:rPr>
                <w:color w:val="000000"/>
                <w:sz w:val="18"/>
                <w:szCs w:val="18"/>
                <w:lang w:eastAsia="tr-TR"/>
              </w:rPr>
            </w:pPr>
            <w:r w:rsidRPr="00005453">
              <w:rPr>
                <w:color w:val="000000"/>
                <w:sz w:val="16"/>
                <w:szCs w:val="16"/>
              </w:rPr>
              <w:t>9,062,988</w:t>
            </w:r>
          </w:p>
        </w:tc>
      </w:tr>
      <w:tr w:rsidR="006E7B0A" w:rsidRPr="00005453" w14:paraId="22BACBE1" w14:textId="77777777" w:rsidTr="00C07B3E">
        <w:trPr>
          <w:divId w:val="972642015"/>
          <w:trHeight w:val="224"/>
        </w:trPr>
        <w:tc>
          <w:tcPr>
            <w:tcW w:w="4501" w:type="dxa"/>
            <w:shd w:val="clear" w:color="auto" w:fill="auto"/>
            <w:noWrap/>
            <w:vAlign w:val="center"/>
            <w:hideMark/>
          </w:tcPr>
          <w:p w14:paraId="7A738298" w14:textId="320259CC" w:rsidR="006E7B0A" w:rsidRPr="00005453" w:rsidRDefault="006E7B0A" w:rsidP="006E7B0A">
            <w:pPr>
              <w:rPr>
                <w:color w:val="000000"/>
                <w:sz w:val="18"/>
                <w:szCs w:val="18"/>
                <w:lang w:eastAsia="tr-TR"/>
              </w:rPr>
            </w:pPr>
            <w:r w:rsidRPr="00005453">
              <w:rPr>
                <w:color w:val="000000"/>
                <w:sz w:val="16"/>
                <w:szCs w:val="16"/>
              </w:rPr>
              <w:t>Araç Kiralama</w:t>
            </w:r>
          </w:p>
        </w:tc>
        <w:tc>
          <w:tcPr>
            <w:tcW w:w="2577" w:type="dxa"/>
            <w:shd w:val="clear" w:color="auto" w:fill="auto"/>
            <w:vAlign w:val="center"/>
            <w:hideMark/>
          </w:tcPr>
          <w:p w14:paraId="3C660A30" w14:textId="4DF68F08" w:rsidR="006E7B0A" w:rsidRPr="00005453" w:rsidRDefault="006E7B0A" w:rsidP="006E7B0A">
            <w:pPr>
              <w:jc w:val="right"/>
              <w:rPr>
                <w:color w:val="000000"/>
                <w:sz w:val="18"/>
                <w:szCs w:val="18"/>
                <w:lang w:eastAsia="tr-TR"/>
              </w:rPr>
            </w:pPr>
            <w:r w:rsidRPr="00005453">
              <w:rPr>
                <w:color w:val="000000"/>
                <w:sz w:val="16"/>
                <w:szCs w:val="16"/>
              </w:rPr>
              <w:t>11,669,430</w:t>
            </w:r>
          </w:p>
        </w:tc>
        <w:tc>
          <w:tcPr>
            <w:tcW w:w="2410" w:type="dxa"/>
            <w:shd w:val="clear" w:color="auto" w:fill="auto"/>
            <w:vAlign w:val="center"/>
            <w:hideMark/>
          </w:tcPr>
          <w:p w14:paraId="31A1AEC7" w14:textId="769F1840" w:rsidR="006E7B0A" w:rsidRPr="00005453" w:rsidRDefault="006E7B0A" w:rsidP="006E7B0A">
            <w:pPr>
              <w:jc w:val="right"/>
              <w:rPr>
                <w:color w:val="000000"/>
                <w:sz w:val="18"/>
                <w:szCs w:val="18"/>
                <w:lang w:eastAsia="tr-TR"/>
              </w:rPr>
            </w:pPr>
            <w:r w:rsidRPr="00005453">
              <w:rPr>
                <w:color w:val="000000"/>
                <w:sz w:val="16"/>
                <w:szCs w:val="16"/>
              </w:rPr>
              <w:t>8,859,582</w:t>
            </w:r>
          </w:p>
        </w:tc>
      </w:tr>
      <w:tr w:rsidR="006E7B0A" w:rsidRPr="00005453" w14:paraId="0088BDDE" w14:textId="77777777" w:rsidTr="00C07B3E">
        <w:trPr>
          <w:divId w:val="972642015"/>
          <w:trHeight w:val="224"/>
        </w:trPr>
        <w:tc>
          <w:tcPr>
            <w:tcW w:w="4501" w:type="dxa"/>
            <w:shd w:val="clear" w:color="auto" w:fill="auto"/>
            <w:noWrap/>
            <w:vAlign w:val="center"/>
            <w:hideMark/>
          </w:tcPr>
          <w:p w14:paraId="732C4A6E" w14:textId="4BC0CDED" w:rsidR="006E7B0A" w:rsidRPr="00005453" w:rsidRDefault="006E7B0A" w:rsidP="006E7B0A">
            <w:pPr>
              <w:rPr>
                <w:color w:val="000000"/>
                <w:sz w:val="18"/>
                <w:szCs w:val="18"/>
                <w:lang w:eastAsia="tr-TR"/>
              </w:rPr>
            </w:pPr>
            <w:r w:rsidRPr="00005453">
              <w:rPr>
                <w:color w:val="000000"/>
                <w:sz w:val="16"/>
                <w:szCs w:val="16"/>
              </w:rPr>
              <w:t>Finansal Hizmetler</w:t>
            </w:r>
          </w:p>
        </w:tc>
        <w:tc>
          <w:tcPr>
            <w:tcW w:w="2577" w:type="dxa"/>
            <w:shd w:val="clear" w:color="auto" w:fill="auto"/>
            <w:vAlign w:val="center"/>
            <w:hideMark/>
          </w:tcPr>
          <w:p w14:paraId="05305A0C" w14:textId="6DB22DB6" w:rsidR="006E7B0A" w:rsidRPr="00005453" w:rsidRDefault="006E7B0A" w:rsidP="006E7B0A">
            <w:pPr>
              <w:jc w:val="right"/>
              <w:rPr>
                <w:color w:val="000000"/>
                <w:sz w:val="18"/>
                <w:szCs w:val="18"/>
                <w:lang w:eastAsia="tr-TR"/>
              </w:rPr>
            </w:pPr>
            <w:r w:rsidRPr="00005453">
              <w:rPr>
                <w:color w:val="000000"/>
                <w:sz w:val="16"/>
                <w:szCs w:val="16"/>
              </w:rPr>
              <w:t>3,620,767</w:t>
            </w:r>
          </w:p>
        </w:tc>
        <w:tc>
          <w:tcPr>
            <w:tcW w:w="2410" w:type="dxa"/>
            <w:shd w:val="clear" w:color="auto" w:fill="auto"/>
            <w:vAlign w:val="center"/>
            <w:hideMark/>
          </w:tcPr>
          <w:p w14:paraId="2AFB2A0B" w14:textId="3068538B" w:rsidR="006E7B0A" w:rsidRPr="00005453" w:rsidRDefault="006E7B0A" w:rsidP="006E7B0A">
            <w:pPr>
              <w:jc w:val="right"/>
              <w:rPr>
                <w:color w:val="000000"/>
                <w:sz w:val="18"/>
                <w:szCs w:val="18"/>
                <w:lang w:eastAsia="tr-TR"/>
              </w:rPr>
            </w:pPr>
            <w:r w:rsidRPr="00005453">
              <w:rPr>
                <w:color w:val="000000"/>
                <w:sz w:val="16"/>
                <w:szCs w:val="16"/>
              </w:rPr>
              <w:t>6,526,917</w:t>
            </w:r>
          </w:p>
        </w:tc>
      </w:tr>
      <w:tr w:rsidR="006E7B0A" w:rsidRPr="00005453" w14:paraId="6E244DFF" w14:textId="77777777" w:rsidTr="00C07B3E">
        <w:trPr>
          <w:divId w:val="972642015"/>
          <w:trHeight w:val="224"/>
        </w:trPr>
        <w:tc>
          <w:tcPr>
            <w:tcW w:w="4501" w:type="dxa"/>
            <w:shd w:val="clear" w:color="auto" w:fill="auto"/>
            <w:noWrap/>
            <w:vAlign w:val="center"/>
            <w:hideMark/>
          </w:tcPr>
          <w:p w14:paraId="18E8A745" w14:textId="67775726" w:rsidR="006E7B0A" w:rsidRPr="00005453" w:rsidRDefault="006E7B0A" w:rsidP="006E7B0A">
            <w:pPr>
              <w:rPr>
                <w:color w:val="000000"/>
                <w:sz w:val="18"/>
                <w:szCs w:val="18"/>
                <w:lang w:eastAsia="tr-TR"/>
              </w:rPr>
            </w:pPr>
            <w:r w:rsidRPr="00005453">
              <w:rPr>
                <w:color w:val="000000"/>
                <w:sz w:val="16"/>
                <w:szCs w:val="16"/>
              </w:rPr>
              <w:t>Tarım ve Hayvancılık</w:t>
            </w:r>
          </w:p>
        </w:tc>
        <w:tc>
          <w:tcPr>
            <w:tcW w:w="2577" w:type="dxa"/>
            <w:shd w:val="clear" w:color="auto" w:fill="auto"/>
            <w:vAlign w:val="center"/>
            <w:hideMark/>
          </w:tcPr>
          <w:p w14:paraId="3065CFB2" w14:textId="75DF122A" w:rsidR="006E7B0A" w:rsidRPr="00005453" w:rsidRDefault="006E7B0A" w:rsidP="006E7B0A">
            <w:pPr>
              <w:jc w:val="right"/>
              <w:rPr>
                <w:color w:val="000000"/>
                <w:sz w:val="18"/>
                <w:szCs w:val="18"/>
                <w:lang w:eastAsia="tr-TR"/>
              </w:rPr>
            </w:pPr>
            <w:r w:rsidRPr="00005453">
              <w:rPr>
                <w:color w:val="000000"/>
                <w:sz w:val="16"/>
                <w:szCs w:val="16"/>
              </w:rPr>
              <w:t>8,035,681</w:t>
            </w:r>
          </w:p>
        </w:tc>
        <w:tc>
          <w:tcPr>
            <w:tcW w:w="2410" w:type="dxa"/>
            <w:shd w:val="clear" w:color="auto" w:fill="auto"/>
            <w:vAlign w:val="center"/>
            <w:hideMark/>
          </w:tcPr>
          <w:p w14:paraId="4CDDA589" w14:textId="79FC72D0" w:rsidR="006E7B0A" w:rsidRPr="00005453" w:rsidRDefault="006E7B0A" w:rsidP="006E7B0A">
            <w:pPr>
              <w:jc w:val="right"/>
              <w:rPr>
                <w:color w:val="000000"/>
                <w:sz w:val="18"/>
                <w:szCs w:val="18"/>
                <w:lang w:eastAsia="tr-TR"/>
              </w:rPr>
            </w:pPr>
            <w:r w:rsidRPr="00005453">
              <w:rPr>
                <w:color w:val="000000"/>
                <w:sz w:val="16"/>
                <w:szCs w:val="16"/>
              </w:rPr>
              <w:t>5,852,347</w:t>
            </w:r>
          </w:p>
        </w:tc>
      </w:tr>
      <w:tr w:rsidR="006E7B0A" w:rsidRPr="00005453" w14:paraId="6DFB898B" w14:textId="77777777" w:rsidTr="00C07B3E">
        <w:trPr>
          <w:divId w:val="972642015"/>
          <w:trHeight w:val="224"/>
        </w:trPr>
        <w:tc>
          <w:tcPr>
            <w:tcW w:w="4501" w:type="dxa"/>
            <w:shd w:val="clear" w:color="auto" w:fill="auto"/>
            <w:noWrap/>
            <w:vAlign w:val="center"/>
            <w:hideMark/>
          </w:tcPr>
          <w:p w14:paraId="01D13444" w14:textId="3DF47228" w:rsidR="006E7B0A" w:rsidRPr="00005453" w:rsidRDefault="006E7B0A" w:rsidP="006E7B0A">
            <w:pPr>
              <w:rPr>
                <w:color w:val="000000"/>
                <w:sz w:val="18"/>
                <w:szCs w:val="18"/>
                <w:lang w:eastAsia="tr-TR"/>
              </w:rPr>
            </w:pPr>
            <w:r w:rsidRPr="00005453">
              <w:rPr>
                <w:color w:val="000000"/>
                <w:sz w:val="16"/>
                <w:szCs w:val="16"/>
              </w:rPr>
              <w:t>Turizm</w:t>
            </w:r>
          </w:p>
        </w:tc>
        <w:tc>
          <w:tcPr>
            <w:tcW w:w="2577" w:type="dxa"/>
            <w:shd w:val="clear" w:color="auto" w:fill="auto"/>
            <w:vAlign w:val="center"/>
            <w:hideMark/>
          </w:tcPr>
          <w:p w14:paraId="51CEB54C" w14:textId="64FECC01" w:rsidR="006E7B0A" w:rsidRPr="00005453" w:rsidRDefault="006E7B0A" w:rsidP="006E7B0A">
            <w:pPr>
              <w:jc w:val="right"/>
              <w:rPr>
                <w:color w:val="000000"/>
                <w:sz w:val="18"/>
                <w:szCs w:val="18"/>
                <w:lang w:eastAsia="tr-TR"/>
              </w:rPr>
            </w:pPr>
            <w:r w:rsidRPr="00005453">
              <w:rPr>
                <w:color w:val="000000"/>
                <w:sz w:val="16"/>
                <w:szCs w:val="16"/>
              </w:rPr>
              <w:t>3,860,591</w:t>
            </w:r>
          </w:p>
        </w:tc>
        <w:tc>
          <w:tcPr>
            <w:tcW w:w="2410" w:type="dxa"/>
            <w:shd w:val="clear" w:color="auto" w:fill="auto"/>
            <w:vAlign w:val="center"/>
            <w:hideMark/>
          </w:tcPr>
          <w:p w14:paraId="020DFEFB" w14:textId="7DBEF749" w:rsidR="006E7B0A" w:rsidRPr="00005453" w:rsidRDefault="006E7B0A" w:rsidP="006E7B0A">
            <w:pPr>
              <w:jc w:val="right"/>
              <w:rPr>
                <w:color w:val="000000"/>
                <w:sz w:val="18"/>
                <w:szCs w:val="18"/>
                <w:lang w:eastAsia="tr-TR"/>
              </w:rPr>
            </w:pPr>
            <w:r w:rsidRPr="00005453">
              <w:rPr>
                <w:color w:val="000000"/>
                <w:sz w:val="16"/>
                <w:szCs w:val="16"/>
              </w:rPr>
              <w:t>2,657,231</w:t>
            </w:r>
          </w:p>
        </w:tc>
      </w:tr>
      <w:tr w:rsidR="006E7B0A" w:rsidRPr="00005453" w14:paraId="5C761087" w14:textId="77777777" w:rsidTr="00C07B3E">
        <w:trPr>
          <w:divId w:val="972642015"/>
          <w:trHeight w:val="224"/>
        </w:trPr>
        <w:tc>
          <w:tcPr>
            <w:tcW w:w="4501" w:type="dxa"/>
            <w:shd w:val="clear" w:color="auto" w:fill="auto"/>
            <w:noWrap/>
            <w:vAlign w:val="center"/>
            <w:hideMark/>
          </w:tcPr>
          <w:p w14:paraId="65D899B3" w14:textId="011EC606" w:rsidR="006E7B0A" w:rsidRPr="00005453" w:rsidRDefault="006E7B0A" w:rsidP="006E7B0A">
            <w:pPr>
              <w:rPr>
                <w:color w:val="000000"/>
                <w:sz w:val="18"/>
                <w:szCs w:val="18"/>
                <w:lang w:eastAsia="tr-TR"/>
              </w:rPr>
            </w:pPr>
            <w:r w:rsidRPr="00005453">
              <w:rPr>
                <w:color w:val="000000"/>
                <w:sz w:val="16"/>
                <w:szCs w:val="16"/>
              </w:rPr>
              <w:t>Sağlık</w:t>
            </w:r>
          </w:p>
        </w:tc>
        <w:tc>
          <w:tcPr>
            <w:tcW w:w="2577" w:type="dxa"/>
            <w:shd w:val="clear" w:color="auto" w:fill="auto"/>
            <w:vAlign w:val="center"/>
            <w:hideMark/>
          </w:tcPr>
          <w:p w14:paraId="418D50B4" w14:textId="4743A848" w:rsidR="006E7B0A" w:rsidRPr="00005453" w:rsidRDefault="006E7B0A" w:rsidP="006E7B0A">
            <w:pPr>
              <w:jc w:val="right"/>
              <w:rPr>
                <w:color w:val="000000"/>
                <w:sz w:val="18"/>
                <w:szCs w:val="18"/>
                <w:lang w:eastAsia="tr-TR"/>
              </w:rPr>
            </w:pPr>
            <w:r w:rsidRPr="00005453">
              <w:rPr>
                <w:color w:val="000000"/>
                <w:sz w:val="16"/>
                <w:szCs w:val="16"/>
              </w:rPr>
              <w:t>6,535,980</w:t>
            </w:r>
          </w:p>
        </w:tc>
        <w:tc>
          <w:tcPr>
            <w:tcW w:w="2410" w:type="dxa"/>
            <w:shd w:val="clear" w:color="auto" w:fill="auto"/>
            <w:vAlign w:val="center"/>
            <w:hideMark/>
          </w:tcPr>
          <w:p w14:paraId="655DD9B6" w14:textId="34BED039" w:rsidR="006E7B0A" w:rsidRPr="00005453" w:rsidRDefault="006E7B0A" w:rsidP="006E7B0A">
            <w:pPr>
              <w:jc w:val="right"/>
              <w:rPr>
                <w:color w:val="000000"/>
                <w:sz w:val="18"/>
                <w:szCs w:val="18"/>
                <w:lang w:eastAsia="tr-TR"/>
              </w:rPr>
            </w:pPr>
            <w:r w:rsidRPr="00005453">
              <w:rPr>
                <w:color w:val="000000"/>
                <w:sz w:val="16"/>
                <w:szCs w:val="16"/>
              </w:rPr>
              <w:t>4,557,458</w:t>
            </w:r>
          </w:p>
        </w:tc>
      </w:tr>
      <w:tr w:rsidR="006E7B0A" w:rsidRPr="00005453" w14:paraId="2A857582" w14:textId="77777777" w:rsidTr="00C07B3E">
        <w:trPr>
          <w:divId w:val="972642015"/>
          <w:trHeight w:val="224"/>
        </w:trPr>
        <w:tc>
          <w:tcPr>
            <w:tcW w:w="4501" w:type="dxa"/>
            <w:shd w:val="clear" w:color="auto" w:fill="auto"/>
            <w:noWrap/>
            <w:vAlign w:val="center"/>
            <w:hideMark/>
          </w:tcPr>
          <w:p w14:paraId="3864FD16" w14:textId="185FADB0" w:rsidR="006E7B0A" w:rsidRPr="00005453" w:rsidRDefault="006E7B0A" w:rsidP="006E7B0A">
            <w:pPr>
              <w:rPr>
                <w:color w:val="000000"/>
                <w:sz w:val="18"/>
                <w:szCs w:val="18"/>
                <w:lang w:eastAsia="tr-TR"/>
              </w:rPr>
            </w:pPr>
            <w:r w:rsidRPr="00005453">
              <w:rPr>
                <w:color w:val="000000"/>
                <w:sz w:val="16"/>
                <w:szCs w:val="16"/>
              </w:rPr>
              <w:t>Kamu</w:t>
            </w:r>
          </w:p>
        </w:tc>
        <w:tc>
          <w:tcPr>
            <w:tcW w:w="2577" w:type="dxa"/>
            <w:shd w:val="clear" w:color="auto" w:fill="auto"/>
            <w:vAlign w:val="center"/>
            <w:hideMark/>
          </w:tcPr>
          <w:p w14:paraId="154DFA01" w14:textId="219046CC" w:rsidR="006E7B0A" w:rsidRPr="00005453" w:rsidRDefault="006E7B0A" w:rsidP="006E7B0A">
            <w:pPr>
              <w:jc w:val="right"/>
              <w:rPr>
                <w:color w:val="000000"/>
                <w:sz w:val="18"/>
                <w:szCs w:val="18"/>
                <w:lang w:eastAsia="tr-TR"/>
              </w:rPr>
            </w:pPr>
            <w:r w:rsidRPr="00005453">
              <w:rPr>
                <w:color w:val="000000"/>
                <w:sz w:val="16"/>
                <w:szCs w:val="16"/>
              </w:rPr>
              <w:t>130,777</w:t>
            </w:r>
          </w:p>
        </w:tc>
        <w:tc>
          <w:tcPr>
            <w:tcW w:w="2410" w:type="dxa"/>
            <w:shd w:val="clear" w:color="auto" w:fill="auto"/>
            <w:vAlign w:val="center"/>
            <w:hideMark/>
          </w:tcPr>
          <w:p w14:paraId="6B7CB700" w14:textId="0194EA8F" w:rsidR="006E7B0A" w:rsidRPr="00005453" w:rsidRDefault="006E7B0A" w:rsidP="006E7B0A">
            <w:pPr>
              <w:jc w:val="right"/>
              <w:rPr>
                <w:color w:val="000000"/>
                <w:sz w:val="18"/>
                <w:szCs w:val="18"/>
                <w:lang w:eastAsia="tr-TR"/>
              </w:rPr>
            </w:pPr>
            <w:r w:rsidRPr="00005453">
              <w:rPr>
                <w:color w:val="000000"/>
                <w:sz w:val="16"/>
                <w:szCs w:val="16"/>
              </w:rPr>
              <w:t>1,996,798</w:t>
            </w:r>
          </w:p>
        </w:tc>
      </w:tr>
      <w:tr w:rsidR="006E7B0A" w:rsidRPr="00005453" w14:paraId="35697D05" w14:textId="77777777" w:rsidTr="00C07B3E">
        <w:trPr>
          <w:divId w:val="972642015"/>
          <w:trHeight w:val="224"/>
        </w:trPr>
        <w:tc>
          <w:tcPr>
            <w:tcW w:w="4501" w:type="dxa"/>
            <w:shd w:val="clear" w:color="auto" w:fill="auto"/>
            <w:noWrap/>
            <w:vAlign w:val="center"/>
          </w:tcPr>
          <w:p w14:paraId="117F66CC" w14:textId="48F72D51" w:rsidR="006E7B0A" w:rsidRPr="00005453" w:rsidRDefault="006E7B0A" w:rsidP="006E7B0A">
            <w:pPr>
              <w:rPr>
                <w:color w:val="000000"/>
                <w:sz w:val="18"/>
                <w:szCs w:val="18"/>
                <w:lang w:eastAsia="tr-TR"/>
              </w:rPr>
            </w:pPr>
            <w:r w:rsidRPr="00005453">
              <w:rPr>
                <w:color w:val="000000"/>
                <w:sz w:val="16"/>
                <w:szCs w:val="16"/>
              </w:rPr>
              <w:t>Mobilya</w:t>
            </w:r>
          </w:p>
        </w:tc>
        <w:tc>
          <w:tcPr>
            <w:tcW w:w="2577" w:type="dxa"/>
            <w:shd w:val="clear" w:color="auto" w:fill="auto"/>
            <w:vAlign w:val="center"/>
          </w:tcPr>
          <w:p w14:paraId="5F976CAF" w14:textId="4D924D33" w:rsidR="006E7B0A" w:rsidRPr="00005453" w:rsidRDefault="006E7B0A" w:rsidP="006E7B0A">
            <w:pPr>
              <w:jc w:val="right"/>
              <w:rPr>
                <w:color w:val="000000"/>
                <w:sz w:val="18"/>
                <w:szCs w:val="18"/>
                <w:lang w:eastAsia="tr-TR"/>
              </w:rPr>
            </w:pPr>
            <w:r w:rsidRPr="00005453">
              <w:rPr>
                <w:color w:val="000000"/>
                <w:sz w:val="16"/>
                <w:szCs w:val="16"/>
              </w:rPr>
              <w:t>4,174,170</w:t>
            </w:r>
          </w:p>
        </w:tc>
        <w:tc>
          <w:tcPr>
            <w:tcW w:w="2410" w:type="dxa"/>
            <w:shd w:val="clear" w:color="auto" w:fill="auto"/>
            <w:vAlign w:val="center"/>
          </w:tcPr>
          <w:p w14:paraId="4F3167D7" w14:textId="00A87B7E" w:rsidR="006E7B0A" w:rsidRPr="00005453" w:rsidRDefault="006E7B0A" w:rsidP="006E7B0A">
            <w:pPr>
              <w:jc w:val="right"/>
              <w:rPr>
                <w:color w:val="000000"/>
                <w:sz w:val="18"/>
                <w:szCs w:val="18"/>
                <w:lang w:eastAsia="tr-TR"/>
              </w:rPr>
            </w:pPr>
            <w:r w:rsidRPr="00005453">
              <w:rPr>
                <w:color w:val="000000"/>
                <w:sz w:val="16"/>
                <w:szCs w:val="16"/>
              </w:rPr>
              <w:t>3,579,372</w:t>
            </w:r>
          </w:p>
        </w:tc>
      </w:tr>
      <w:tr w:rsidR="006E7B0A" w:rsidRPr="00005453" w14:paraId="4F38A820" w14:textId="77777777" w:rsidTr="00C07B3E">
        <w:trPr>
          <w:divId w:val="972642015"/>
          <w:trHeight w:val="224"/>
        </w:trPr>
        <w:tc>
          <w:tcPr>
            <w:tcW w:w="4501" w:type="dxa"/>
            <w:shd w:val="clear" w:color="auto" w:fill="auto"/>
            <w:noWrap/>
            <w:vAlign w:val="center"/>
          </w:tcPr>
          <w:p w14:paraId="7A9985A2" w14:textId="5A963BB5" w:rsidR="006E7B0A" w:rsidRPr="00005453" w:rsidRDefault="006E7B0A" w:rsidP="006E7B0A">
            <w:pPr>
              <w:rPr>
                <w:color w:val="000000"/>
                <w:sz w:val="18"/>
                <w:szCs w:val="18"/>
                <w:lang w:eastAsia="tr-TR"/>
              </w:rPr>
            </w:pPr>
            <w:r w:rsidRPr="00005453">
              <w:rPr>
                <w:color w:val="000000"/>
                <w:sz w:val="16"/>
                <w:szCs w:val="16"/>
              </w:rPr>
              <w:t>Emlak ve Komisyonculuk</w:t>
            </w:r>
          </w:p>
        </w:tc>
        <w:tc>
          <w:tcPr>
            <w:tcW w:w="2577" w:type="dxa"/>
            <w:shd w:val="clear" w:color="auto" w:fill="auto"/>
            <w:vAlign w:val="center"/>
          </w:tcPr>
          <w:p w14:paraId="6EA89BF3" w14:textId="507D6BAA" w:rsidR="006E7B0A" w:rsidRPr="00005453" w:rsidRDefault="006E7B0A" w:rsidP="006E7B0A">
            <w:pPr>
              <w:jc w:val="right"/>
              <w:rPr>
                <w:color w:val="000000"/>
                <w:sz w:val="18"/>
                <w:szCs w:val="18"/>
                <w:lang w:eastAsia="tr-TR"/>
              </w:rPr>
            </w:pPr>
            <w:r w:rsidRPr="00005453">
              <w:rPr>
                <w:color w:val="000000"/>
                <w:sz w:val="16"/>
                <w:szCs w:val="16"/>
              </w:rPr>
              <w:t>3,724,817</w:t>
            </w:r>
          </w:p>
        </w:tc>
        <w:tc>
          <w:tcPr>
            <w:tcW w:w="2410" w:type="dxa"/>
            <w:shd w:val="clear" w:color="auto" w:fill="auto"/>
            <w:vAlign w:val="center"/>
          </w:tcPr>
          <w:p w14:paraId="55739C1B" w14:textId="7698470D" w:rsidR="006E7B0A" w:rsidRPr="00005453" w:rsidRDefault="006E7B0A" w:rsidP="006E7B0A">
            <w:pPr>
              <w:jc w:val="right"/>
              <w:rPr>
                <w:color w:val="000000"/>
                <w:sz w:val="18"/>
                <w:szCs w:val="18"/>
                <w:lang w:eastAsia="tr-TR"/>
              </w:rPr>
            </w:pPr>
            <w:r w:rsidRPr="00005453">
              <w:rPr>
                <w:color w:val="000000"/>
                <w:sz w:val="16"/>
                <w:szCs w:val="16"/>
              </w:rPr>
              <w:t>3,020,876</w:t>
            </w:r>
          </w:p>
        </w:tc>
      </w:tr>
      <w:tr w:rsidR="006E7B0A" w:rsidRPr="00005453" w14:paraId="2DEABEB2" w14:textId="77777777" w:rsidTr="00C07B3E">
        <w:trPr>
          <w:divId w:val="972642015"/>
          <w:trHeight w:val="224"/>
        </w:trPr>
        <w:tc>
          <w:tcPr>
            <w:tcW w:w="4501" w:type="dxa"/>
            <w:shd w:val="clear" w:color="auto" w:fill="auto"/>
            <w:noWrap/>
            <w:vAlign w:val="center"/>
          </w:tcPr>
          <w:p w14:paraId="6C5963EB" w14:textId="4AEAA5F3" w:rsidR="006E7B0A" w:rsidRPr="00005453" w:rsidRDefault="006E7B0A" w:rsidP="006E7B0A">
            <w:pPr>
              <w:rPr>
                <w:color w:val="000000"/>
                <w:sz w:val="18"/>
                <w:szCs w:val="18"/>
                <w:lang w:eastAsia="tr-TR"/>
              </w:rPr>
            </w:pPr>
            <w:r w:rsidRPr="00005453">
              <w:rPr>
                <w:color w:val="000000"/>
                <w:sz w:val="16"/>
                <w:szCs w:val="16"/>
              </w:rPr>
              <w:t>Madencilik</w:t>
            </w:r>
          </w:p>
        </w:tc>
        <w:tc>
          <w:tcPr>
            <w:tcW w:w="2577" w:type="dxa"/>
            <w:shd w:val="clear" w:color="auto" w:fill="auto"/>
            <w:vAlign w:val="center"/>
          </w:tcPr>
          <w:p w14:paraId="3C5B1B9E" w14:textId="26ED283B" w:rsidR="006E7B0A" w:rsidRPr="00005453" w:rsidRDefault="006E7B0A" w:rsidP="006E7B0A">
            <w:pPr>
              <w:jc w:val="right"/>
              <w:rPr>
                <w:color w:val="000000"/>
                <w:sz w:val="18"/>
                <w:szCs w:val="18"/>
                <w:lang w:eastAsia="tr-TR"/>
              </w:rPr>
            </w:pPr>
            <w:r w:rsidRPr="00005453">
              <w:rPr>
                <w:color w:val="000000"/>
                <w:sz w:val="16"/>
                <w:szCs w:val="16"/>
              </w:rPr>
              <w:t>3,242,883</w:t>
            </w:r>
          </w:p>
        </w:tc>
        <w:tc>
          <w:tcPr>
            <w:tcW w:w="2410" w:type="dxa"/>
            <w:shd w:val="clear" w:color="auto" w:fill="auto"/>
            <w:vAlign w:val="center"/>
          </w:tcPr>
          <w:p w14:paraId="0E3F4FF2" w14:textId="732D27D0" w:rsidR="006E7B0A" w:rsidRPr="00005453" w:rsidRDefault="006E7B0A" w:rsidP="006E7B0A">
            <w:pPr>
              <w:jc w:val="right"/>
              <w:rPr>
                <w:color w:val="000000"/>
                <w:sz w:val="18"/>
                <w:szCs w:val="18"/>
                <w:lang w:eastAsia="tr-TR"/>
              </w:rPr>
            </w:pPr>
            <w:r w:rsidRPr="00005453">
              <w:rPr>
                <w:color w:val="000000"/>
                <w:sz w:val="16"/>
                <w:szCs w:val="16"/>
              </w:rPr>
              <w:t>3,005,075</w:t>
            </w:r>
          </w:p>
        </w:tc>
      </w:tr>
      <w:tr w:rsidR="006E7B0A" w:rsidRPr="00005453" w14:paraId="37A961F9" w14:textId="77777777" w:rsidTr="00C07B3E">
        <w:trPr>
          <w:divId w:val="972642015"/>
          <w:trHeight w:val="224"/>
        </w:trPr>
        <w:tc>
          <w:tcPr>
            <w:tcW w:w="4501" w:type="dxa"/>
            <w:shd w:val="clear" w:color="auto" w:fill="auto"/>
            <w:noWrap/>
            <w:vAlign w:val="center"/>
          </w:tcPr>
          <w:p w14:paraId="6A3BA369" w14:textId="265D423D" w:rsidR="006E7B0A" w:rsidRPr="00005453" w:rsidRDefault="006E7B0A" w:rsidP="006E7B0A">
            <w:pPr>
              <w:rPr>
                <w:color w:val="000000"/>
                <w:sz w:val="18"/>
                <w:szCs w:val="18"/>
                <w:lang w:eastAsia="tr-TR"/>
              </w:rPr>
            </w:pPr>
            <w:r w:rsidRPr="00005453">
              <w:rPr>
                <w:color w:val="000000"/>
                <w:sz w:val="16"/>
                <w:szCs w:val="16"/>
              </w:rPr>
              <w:t>Eğitim</w:t>
            </w:r>
          </w:p>
        </w:tc>
        <w:tc>
          <w:tcPr>
            <w:tcW w:w="2577" w:type="dxa"/>
            <w:shd w:val="clear" w:color="auto" w:fill="auto"/>
            <w:vAlign w:val="center"/>
          </w:tcPr>
          <w:p w14:paraId="0CF8D71A" w14:textId="62C2D262" w:rsidR="006E7B0A" w:rsidRPr="00005453" w:rsidRDefault="006E7B0A" w:rsidP="006E7B0A">
            <w:pPr>
              <w:jc w:val="right"/>
              <w:rPr>
                <w:color w:val="000000"/>
                <w:sz w:val="18"/>
                <w:szCs w:val="18"/>
                <w:lang w:eastAsia="tr-TR"/>
              </w:rPr>
            </w:pPr>
            <w:r w:rsidRPr="00005453">
              <w:rPr>
                <w:color w:val="000000"/>
                <w:sz w:val="16"/>
                <w:szCs w:val="16"/>
              </w:rPr>
              <w:t>690,679</w:t>
            </w:r>
          </w:p>
        </w:tc>
        <w:tc>
          <w:tcPr>
            <w:tcW w:w="2410" w:type="dxa"/>
            <w:shd w:val="clear" w:color="auto" w:fill="auto"/>
            <w:vAlign w:val="center"/>
          </w:tcPr>
          <w:p w14:paraId="4160BFC3" w14:textId="670DEA97" w:rsidR="006E7B0A" w:rsidRPr="00005453" w:rsidRDefault="006E7B0A" w:rsidP="006E7B0A">
            <w:pPr>
              <w:jc w:val="right"/>
              <w:rPr>
                <w:color w:val="000000"/>
                <w:sz w:val="18"/>
                <w:szCs w:val="18"/>
                <w:lang w:eastAsia="tr-TR"/>
              </w:rPr>
            </w:pPr>
            <w:r w:rsidRPr="00005453">
              <w:rPr>
                <w:color w:val="000000"/>
                <w:sz w:val="16"/>
                <w:szCs w:val="16"/>
              </w:rPr>
              <w:t>568,203</w:t>
            </w:r>
          </w:p>
        </w:tc>
      </w:tr>
      <w:tr w:rsidR="006E7B0A" w:rsidRPr="00005453" w14:paraId="5B4E8EA4" w14:textId="77777777" w:rsidTr="00C07B3E">
        <w:trPr>
          <w:divId w:val="972642015"/>
          <w:trHeight w:val="224"/>
        </w:trPr>
        <w:tc>
          <w:tcPr>
            <w:tcW w:w="4501" w:type="dxa"/>
            <w:shd w:val="clear" w:color="auto" w:fill="auto"/>
            <w:noWrap/>
            <w:vAlign w:val="center"/>
          </w:tcPr>
          <w:p w14:paraId="4D8EE173" w14:textId="1BED9FC3" w:rsidR="006E7B0A" w:rsidRPr="00005453" w:rsidRDefault="006E7B0A" w:rsidP="006E7B0A">
            <w:pPr>
              <w:rPr>
                <w:color w:val="000000"/>
                <w:sz w:val="18"/>
                <w:szCs w:val="18"/>
                <w:lang w:eastAsia="tr-TR"/>
              </w:rPr>
            </w:pPr>
            <w:r w:rsidRPr="00005453">
              <w:rPr>
                <w:b/>
                <w:bCs/>
                <w:color w:val="000000"/>
                <w:sz w:val="16"/>
                <w:szCs w:val="16"/>
              </w:rPr>
              <w:t>Toplam</w:t>
            </w:r>
          </w:p>
        </w:tc>
        <w:tc>
          <w:tcPr>
            <w:tcW w:w="2577" w:type="dxa"/>
            <w:shd w:val="clear" w:color="auto" w:fill="auto"/>
            <w:vAlign w:val="center"/>
          </w:tcPr>
          <w:p w14:paraId="7D6BC679" w14:textId="0616CDD1" w:rsidR="006E7B0A" w:rsidRPr="00005453" w:rsidRDefault="006E7B0A" w:rsidP="006E7B0A">
            <w:pPr>
              <w:jc w:val="right"/>
              <w:rPr>
                <w:color w:val="000000"/>
                <w:sz w:val="18"/>
                <w:szCs w:val="18"/>
                <w:lang w:eastAsia="tr-TR"/>
              </w:rPr>
            </w:pPr>
            <w:r w:rsidRPr="00005453">
              <w:rPr>
                <w:b/>
                <w:bCs/>
                <w:color w:val="000000"/>
                <w:sz w:val="16"/>
                <w:szCs w:val="16"/>
              </w:rPr>
              <w:t>434,742,175</w:t>
            </w:r>
          </w:p>
        </w:tc>
        <w:tc>
          <w:tcPr>
            <w:tcW w:w="2410" w:type="dxa"/>
            <w:shd w:val="clear" w:color="auto" w:fill="auto"/>
            <w:vAlign w:val="center"/>
          </w:tcPr>
          <w:p w14:paraId="2AAA1E06" w14:textId="33E27377" w:rsidR="006E7B0A" w:rsidRPr="00005453" w:rsidRDefault="006E7B0A" w:rsidP="006E7B0A">
            <w:pPr>
              <w:jc w:val="right"/>
              <w:rPr>
                <w:color w:val="000000"/>
                <w:sz w:val="18"/>
                <w:szCs w:val="18"/>
                <w:lang w:eastAsia="tr-TR"/>
              </w:rPr>
            </w:pPr>
            <w:r w:rsidRPr="00005453">
              <w:rPr>
                <w:b/>
                <w:bCs/>
                <w:color w:val="000000"/>
                <w:sz w:val="16"/>
                <w:szCs w:val="16"/>
              </w:rPr>
              <w:t>335,298,881</w:t>
            </w:r>
          </w:p>
        </w:tc>
      </w:tr>
    </w:tbl>
    <w:p w14:paraId="7BA34115" w14:textId="745D186A" w:rsidR="00D22163" w:rsidRPr="00005453" w:rsidRDefault="00D22163" w:rsidP="00C25473">
      <w:pPr>
        <w:rPr>
          <w:sz w:val="16"/>
          <w:lang w:val="en-GB" w:eastAsia="en-GB"/>
        </w:rPr>
      </w:pPr>
    </w:p>
    <w:p w14:paraId="2A4B8CB1" w14:textId="08B1C67E" w:rsidR="00C25473" w:rsidRPr="00005453" w:rsidRDefault="00C25473" w:rsidP="00C25473">
      <w:pPr>
        <w:jc w:val="both"/>
        <w:rPr>
          <w:color w:val="000000"/>
        </w:rPr>
      </w:pPr>
      <w:r w:rsidRPr="00005453">
        <w:rPr>
          <w:color w:val="000000"/>
        </w:rPr>
        <w:t>Nakdi alacakların coğrafi bölgelere göre dağılımı şöyledir</w:t>
      </w:r>
      <w:r w:rsidR="003F6C52" w:rsidRPr="00005453">
        <w:rPr>
          <w:color w:val="000000"/>
        </w:rPr>
        <w:t>:</w:t>
      </w:r>
    </w:p>
    <w:p w14:paraId="7E3E5C62" w14:textId="355B43FB" w:rsidR="00636021" w:rsidRPr="00005453" w:rsidRDefault="00636021" w:rsidP="00DA6188">
      <w:pPr>
        <w:jc w:val="both"/>
        <w:rPr>
          <w:sz w:val="16"/>
          <w:lang w:val="en-GB" w:eastAsia="en-GB"/>
        </w:rPr>
      </w:pPr>
    </w:p>
    <w:tbl>
      <w:tblPr>
        <w:tblW w:w="9488" w:type="dxa"/>
        <w:tblCellMar>
          <w:left w:w="70" w:type="dxa"/>
          <w:right w:w="70" w:type="dxa"/>
        </w:tblCellMar>
        <w:tblLook w:val="04A0" w:firstRow="1" w:lastRow="0" w:firstColumn="1" w:lastColumn="0" w:noHBand="0" w:noVBand="1"/>
      </w:tblPr>
      <w:tblGrid>
        <w:gridCol w:w="4526"/>
        <w:gridCol w:w="2525"/>
        <w:gridCol w:w="2437"/>
      </w:tblGrid>
      <w:tr w:rsidR="00636021" w:rsidRPr="00005453" w14:paraId="3B0BDC88" w14:textId="77777777" w:rsidTr="001A491C">
        <w:trPr>
          <w:divId w:val="353387809"/>
          <w:trHeight w:val="339"/>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9CEF0" w14:textId="1219AE3F" w:rsidR="00636021" w:rsidRPr="00005453" w:rsidRDefault="00636021" w:rsidP="00636021">
            <w:pPr>
              <w:rPr>
                <w:b/>
                <w:bCs/>
                <w:color w:val="000000"/>
                <w:sz w:val="18"/>
                <w:szCs w:val="18"/>
                <w:lang w:eastAsia="tr-TR"/>
              </w:rPr>
            </w:pPr>
            <w:bookmarkStart w:id="59" w:name="_Hlk156827751"/>
            <w:r w:rsidRPr="00005453">
              <w:rPr>
                <w:b/>
                <w:bCs/>
                <w:color w:val="000000"/>
                <w:sz w:val="18"/>
                <w:szCs w:val="18"/>
                <w:lang w:eastAsia="tr-TR"/>
              </w:rPr>
              <w:t>Bölge</w:t>
            </w:r>
          </w:p>
        </w:tc>
        <w:tc>
          <w:tcPr>
            <w:tcW w:w="2525" w:type="dxa"/>
            <w:tcBorders>
              <w:top w:val="single" w:sz="8" w:space="0" w:color="auto"/>
              <w:left w:val="nil"/>
              <w:bottom w:val="single" w:sz="8" w:space="0" w:color="auto"/>
              <w:right w:val="single" w:sz="8" w:space="0" w:color="auto"/>
            </w:tcBorders>
            <w:shd w:val="clear" w:color="auto" w:fill="auto"/>
            <w:noWrap/>
            <w:vAlign w:val="center"/>
            <w:hideMark/>
          </w:tcPr>
          <w:p w14:paraId="12147594" w14:textId="77777777" w:rsidR="00636021" w:rsidRPr="00005453" w:rsidRDefault="00636021" w:rsidP="00636021">
            <w:pPr>
              <w:jc w:val="right"/>
              <w:rPr>
                <w:b/>
                <w:bCs/>
                <w:color w:val="000000"/>
                <w:sz w:val="18"/>
                <w:szCs w:val="18"/>
                <w:lang w:eastAsia="tr-TR"/>
              </w:rPr>
            </w:pPr>
            <w:r w:rsidRPr="00005453">
              <w:rPr>
                <w:b/>
                <w:bCs/>
                <w:color w:val="000000"/>
                <w:sz w:val="18"/>
                <w:szCs w:val="18"/>
                <w:lang w:eastAsia="tr-TR"/>
              </w:rPr>
              <w:t xml:space="preserve"> Cari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Nakdi Kredi Tutarı </w:t>
            </w:r>
          </w:p>
        </w:tc>
        <w:tc>
          <w:tcPr>
            <w:tcW w:w="2437" w:type="dxa"/>
            <w:tcBorders>
              <w:top w:val="single" w:sz="8" w:space="0" w:color="auto"/>
              <w:left w:val="nil"/>
              <w:bottom w:val="single" w:sz="8" w:space="0" w:color="auto"/>
              <w:right w:val="single" w:sz="8" w:space="0" w:color="auto"/>
            </w:tcBorders>
            <w:shd w:val="clear" w:color="auto" w:fill="auto"/>
            <w:noWrap/>
            <w:vAlign w:val="center"/>
            <w:hideMark/>
          </w:tcPr>
          <w:p w14:paraId="35EF5E92" w14:textId="77777777" w:rsidR="00636021" w:rsidRPr="00005453" w:rsidRDefault="00636021" w:rsidP="00636021">
            <w:pPr>
              <w:jc w:val="right"/>
              <w:rPr>
                <w:b/>
                <w:bCs/>
                <w:color w:val="000000"/>
                <w:sz w:val="18"/>
                <w:szCs w:val="18"/>
                <w:lang w:eastAsia="tr-TR"/>
              </w:rPr>
            </w:pPr>
            <w:r w:rsidRPr="00005453">
              <w:rPr>
                <w:b/>
                <w:bCs/>
                <w:color w:val="000000"/>
                <w:sz w:val="18"/>
                <w:szCs w:val="18"/>
                <w:lang w:eastAsia="tr-TR"/>
              </w:rPr>
              <w:t xml:space="preserve">Önceki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Nakdi Kredi Tutarı </w:t>
            </w:r>
          </w:p>
        </w:tc>
      </w:tr>
      <w:tr w:rsidR="006E7B0A" w:rsidRPr="00005453" w14:paraId="40B0A1FD"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511830E9" w14:textId="77777777" w:rsidR="006E7B0A" w:rsidRPr="00005453" w:rsidRDefault="006E7B0A" w:rsidP="006E7B0A">
            <w:pPr>
              <w:rPr>
                <w:color w:val="000000"/>
                <w:sz w:val="18"/>
                <w:szCs w:val="18"/>
                <w:lang w:eastAsia="tr-TR"/>
              </w:rPr>
            </w:pPr>
            <w:r w:rsidRPr="00005453">
              <w:rPr>
                <w:color w:val="000000"/>
                <w:sz w:val="18"/>
                <w:szCs w:val="18"/>
                <w:lang w:eastAsia="tr-TR"/>
              </w:rPr>
              <w:t>Akdeniz Bölgesi</w:t>
            </w:r>
          </w:p>
        </w:tc>
        <w:tc>
          <w:tcPr>
            <w:tcW w:w="2525" w:type="dxa"/>
            <w:tcBorders>
              <w:top w:val="nil"/>
              <w:left w:val="nil"/>
              <w:bottom w:val="single" w:sz="8" w:space="0" w:color="auto"/>
              <w:right w:val="single" w:sz="8" w:space="0" w:color="auto"/>
            </w:tcBorders>
            <w:shd w:val="clear" w:color="auto" w:fill="auto"/>
            <w:noWrap/>
            <w:vAlign w:val="center"/>
            <w:hideMark/>
          </w:tcPr>
          <w:p w14:paraId="28193CE1" w14:textId="477A20EC" w:rsidR="006E7B0A" w:rsidRPr="00005453" w:rsidRDefault="006E7B0A" w:rsidP="006E7B0A">
            <w:pPr>
              <w:jc w:val="right"/>
              <w:rPr>
                <w:color w:val="000000"/>
                <w:sz w:val="18"/>
                <w:szCs w:val="18"/>
                <w:lang w:eastAsia="tr-TR"/>
              </w:rPr>
            </w:pPr>
            <w:r w:rsidRPr="00005453">
              <w:rPr>
                <w:color w:val="000000"/>
                <w:sz w:val="18"/>
                <w:szCs w:val="18"/>
              </w:rPr>
              <w:t>33,373,142</w:t>
            </w:r>
          </w:p>
        </w:tc>
        <w:tc>
          <w:tcPr>
            <w:tcW w:w="2437" w:type="dxa"/>
            <w:tcBorders>
              <w:top w:val="nil"/>
              <w:left w:val="nil"/>
              <w:bottom w:val="single" w:sz="8" w:space="0" w:color="auto"/>
              <w:right w:val="single" w:sz="8" w:space="0" w:color="auto"/>
            </w:tcBorders>
            <w:shd w:val="clear" w:color="auto" w:fill="auto"/>
            <w:noWrap/>
            <w:vAlign w:val="center"/>
            <w:hideMark/>
          </w:tcPr>
          <w:p w14:paraId="6B413C3B" w14:textId="67E4188E" w:rsidR="006E7B0A" w:rsidRPr="00005453" w:rsidRDefault="006E7B0A" w:rsidP="006E7B0A">
            <w:pPr>
              <w:jc w:val="right"/>
              <w:rPr>
                <w:color w:val="000000"/>
                <w:sz w:val="18"/>
                <w:szCs w:val="18"/>
                <w:lang w:eastAsia="tr-TR"/>
              </w:rPr>
            </w:pPr>
            <w:r w:rsidRPr="00005453">
              <w:rPr>
                <w:color w:val="000000"/>
                <w:sz w:val="18"/>
                <w:szCs w:val="18"/>
                <w:lang w:eastAsia="tr-TR"/>
              </w:rPr>
              <w:t>21,510,728</w:t>
            </w:r>
          </w:p>
        </w:tc>
      </w:tr>
      <w:tr w:rsidR="006E7B0A" w:rsidRPr="00005453" w14:paraId="01BA49DC"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534338CE" w14:textId="77777777" w:rsidR="006E7B0A" w:rsidRPr="00005453" w:rsidRDefault="006E7B0A" w:rsidP="006E7B0A">
            <w:pPr>
              <w:rPr>
                <w:color w:val="000000"/>
                <w:sz w:val="18"/>
                <w:szCs w:val="18"/>
                <w:lang w:eastAsia="tr-TR"/>
              </w:rPr>
            </w:pPr>
            <w:r w:rsidRPr="00005453">
              <w:rPr>
                <w:color w:val="000000"/>
                <w:sz w:val="18"/>
                <w:szCs w:val="18"/>
                <w:lang w:eastAsia="tr-TR"/>
              </w:rPr>
              <w:t>Dogu Anadolu Bölgesi</w:t>
            </w:r>
          </w:p>
        </w:tc>
        <w:tc>
          <w:tcPr>
            <w:tcW w:w="2525" w:type="dxa"/>
            <w:tcBorders>
              <w:top w:val="nil"/>
              <w:left w:val="nil"/>
              <w:bottom w:val="single" w:sz="8" w:space="0" w:color="auto"/>
              <w:right w:val="single" w:sz="8" w:space="0" w:color="auto"/>
            </w:tcBorders>
            <w:shd w:val="clear" w:color="auto" w:fill="auto"/>
            <w:noWrap/>
            <w:vAlign w:val="center"/>
            <w:hideMark/>
          </w:tcPr>
          <w:p w14:paraId="54E72521" w14:textId="4DCF6301" w:rsidR="006E7B0A" w:rsidRPr="00005453" w:rsidRDefault="006E7B0A" w:rsidP="006E7B0A">
            <w:pPr>
              <w:jc w:val="right"/>
              <w:rPr>
                <w:color w:val="000000"/>
                <w:sz w:val="18"/>
                <w:szCs w:val="18"/>
                <w:lang w:eastAsia="tr-TR"/>
              </w:rPr>
            </w:pPr>
            <w:r w:rsidRPr="00005453">
              <w:rPr>
                <w:color w:val="000000"/>
                <w:sz w:val="18"/>
                <w:szCs w:val="18"/>
              </w:rPr>
              <w:t>7,320,533</w:t>
            </w:r>
          </w:p>
        </w:tc>
        <w:tc>
          <w:tcPr>
            <w:tcW w:w="2437" w:type="dxa"/>
            <w:tcBorders>
              <w:top w:val="nil"/>
              <w:left w:val="nil"/>
              <w:bottom w:val="single" w:sz="8" w:space="0" w:color="auto"/>
              <w:right w:val="single" w:sz="8" w:space="0" w:color="auto"/>
            </w:tcBorders>
            <w:shd w:val="clear" w:color="auto" w:fill="auto"/>
            <w:noWrap/>
            <w:vAlign w:val="center"/>
            <w:hideMark/>
          </w:tcPr>
          <w:p w14:paraId="42884B37" w14:textId="691526CD" w:rsidR="006E7B0A" w:rsidRPr="00005453" w:rsidRDefault="006E7B0A" w:rsidP="006E7B0A">
            <w:pPr>
              <w:jc w:val="right"/>
              <w:rPr>
                <w:color w:val="000000"/>
                <w:sz w:val="18"/>
                <w:szCs w:val="18"/>
                <w:lang w:eastAsia="tr-TR"/>
              </w:rPr>
            </w:pPr>
            <w:r w:rsidRPr="00005453">
              <w:rPr>
                <w:color w:val="000000"/>
                <w:sz w:val="18"/>
                <w:szCs w:val="18"/>
                <w:lang w:eastAsia="tr-TR"/>
              </w:rPr>
              <w:t>4,970,350</w:t>
            </w:r>
          </w:p>
        </w:tc>
      </w:tr>
      <w:tr w:rsidR="006E7B0A" w:rsidRPr="00005453" w14:paraId="7E649B9A"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2B03E55" w14:textId="77777777" w:rsidR="006E7B0A" w:rsidRPr="00005453" w:rsidRDefault="006E7B0A" w:rsidP="006E7B0A">
            <w:pPr>
              <w:rPr>
                <w:color w:val="000000"/>
                <w:sz w:val="18"/>
                <w:szCs w:val="18"/>
                <w:lang w:eastAsia="tr-TR"/>
              </w:rPr>
            </w:pPr>
            <w:r w:rsidRPr="00005453">
              <w:rPr>
                <w:color w:val="000000"/>
                <w:sz w:val="18"/>
                <w:szCs w:val="18"/>
                <w:lang w:eastAsia="tr-TR"/>
              </w:rPr>
              <w:t>Ege Bölgesi</w:t>
            </w:r>
          </w:p>
        </w:tc>
        <w:tc>
          <w:tcPr>
            <w:tcW w:w="2525" w:type="dxa"/>
            <w:tcBorders>
              <w:top w:val="nil"/>
              <w:left w:val="nil"/>
              <w:bottom w:val="single" w:sz="8" w:space="0" w:color="auto"/>
              <w:right w:val="single" w:sz="8" w:space="0" w:color="auto"/>
            </w:tcBorders>
            <w:shd w:val="clear" w:color="auto" w:fill="auto"/>
            <w:noWrap/>
            <w:vAlign w:val="center"/>
            <w:hideMark/>
          </w:tcPr>
          <w:p w14:paraId="1E5432AD" w14:textId="6C9FA43C" w:rsidR="006E7B0A" w:rsidRPr="00005453" w:rsidRDefault="006E7B0A" w:rsidP="006E7B0A">
            <w:pPr>
              <w:jc w:val="right"/>
              <w:rPr>
                <w:color w:val="000000"/>
                <w:sz w:val="18"/>
                <w:szCs w:val="18"/>
                <w:lang w:eastAsia="tr-TR"/>
              </w:rPr>
            </w:pPr>
            <w:r w:rsidRPr="00005453">
              <w:rPr>
                <w:color w:val="000000"/>
                <w:sz w:val="18"/>
                <w:szCs w:val="18"/>
              </w:rPr>
              <w:t>27,951,165</w:t>
            </w:r>
          </w:p>
        </w:tc>
        <w:tc>
          <w:tcPr>
            <w:tcW w:w="2437" w:type="dxa"/>
            <w:tcBorders>
              <w:top w:val="nil"/>
              <w:left w:val="nil"/>
              <w:bottom w:val="single" w:sz="8" w:space="0" w:color="auto"/>
              <w:right w:val="single" w:sz="8" w:space="0" w:color="auto"/>
            </w:tcBorders>
            <w:shd w:val="clear" w:color="auto" w:fill="auto"/>
            <w:noWrap/>
            <w:vAlign w:val="center"/>
            <w:hideMark/>
          </w:tcPr>
          <w:p w14:paraId="1F28E1A1" w14:textId="6B27A463" w:rsidR="006E7B0A" w:rsidRPr="00005453" w:rsidRDefault="006E7B0A" w:rsidP="006E7B0A">
            <w:pPr>
              <w:jc w:val="right"/>
              <w:rPr>
                <w:color w:val="000000"/>
                <w:sz w:val="18"/>
                <w:szCs w:val="18"/>
                <w:lang w:eastAsia="tr-TR"/>
              </w:rPr>
            </w:pPr>
            <w:r w:rsidRPr="00005453">
              <w:rPr>
                <w:color w:val="000000"/>
                <w:sz w:val="18"/>
                <w:szCs w:val="18"/>
                <w:lang w:eastAsia="tr-TR"/>
              </w:rPr>
              <w:t>22,582,026</w:t>
            </w:r>
          </w:p>
        </w:tc>
      </w:tr>
      <w:tr w:rsidR="006E7B0A" w:rsidRPr="00005453" w14:paraId="365C5FB2"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4B25309" w14:textId="77777777" w:rsidR="006E7B0A" w:rsidRPr="00005453" w:rsidRDefault="006E7B0A" w:rsidP="006E7B0A">
            <w:pPr>
              <w:rPr>
                <w:color w:val="000000"/>
                <w:sz w:val="18"/>
                <w:szCs w:val="18"/>
                <w:lang w:eastAsia="tr-TR"/>
              </w:rPr>
            </w:pPr>
            <w:r w:rsidRPr="00005453">
              <w:rPr>
                <w:color w:val="000000"/>
                <w:sz w:val="18"/>
                <w:szCs w:val="18"/>
                <w:lang w:eastAsia="tr-TR"/>
              </w:rPr>
              <w:t>Güneydogu Anadolu Bölgesi</w:t>
            </w:r>
          </w:p>
        </w:tc>
        <w:tc>
          <w:tcPr>
            <w:tcW w:w="2525" w:type="dxa"/>
            <w:tcBorders>
              <w:top w:val="nil"/>
              <w:left w:val="nil"/>
              <w:bottom w:val="single" w:sz="8" w:space="0" w:color="auto"/>
              <w:right w:val="single" w:sz="8" w:space="0" w:color="auto"/>
            </w:tcBorders>
            <w:shd w:val="clear" w:color="auto" w:fill="auto"/>
            <w:noWrap/>
            <w:vAlign w:val="center"/>
            <w:hideMark/>
          </w:tcPr>
          <w:p w14:paraId="78287647" w14:textId="3460FBD2" w:rsidR="006E7B0A" w:rsidRPr="00005453" w:rsidRDefault="006E7B0A" w:rsidP="006E7B0A">
            <w:pPr>
              <w:jc w:val="right"/>
              <w:rPr>
                <w:color w:val="000000"/>
                <w:sz w:val="18"/>
                <w:szCs w:val="18"/>
                <w:lang w:eastAsia="tr-TR"/>
              </w:rPr>
            </w:pPr>
            <w:r w:rsidRPr="00005453">
              <w:rPr>
                <w:color w:val="000000"/>
                <w:sz w:val="18"/>
                <w:szCs w:val="18"/>
              </w:rPr>
              <w:t>33,937,185</w:t>
            </w:r>
          </w:p>
        </w:tc>
        <w:tc>
          <w:tcPr>
            <w:tcW w:w="2437" w:type="dxa"/>
            <w:tcBorders>
              <w:top w:val="nil"/>
              <w:left w:val="nil"/>
              <w:bottom w:val="single" w:sz="8" w:space="0" w:color="auto"/>
              <w:right w:val="single" w:sz="8" w:space="0" w:color="auto"/>
            </w:tcBorders>
            <w:shd w:val="clear" w:color="auto" w:fill="auto"/>
            <w:noWrap/>
            <w:vAlign w:val="center"/>
            <w:hideMark/>
          </w:tcPr>
          <w:p w14:paraId="434E854B" w14:textId="54B26D33" w:rsidR="006E7B0A" w:rsidRPr="00005453" w:rsidRDefault="006E7B0A" w:rsidP="006E7B0A">
            <w:pPr>
              <w:jc w:val="right"/>
              <w:rPr>
                <w:color w:val="000000"/>
                <w:sz w:val="18"/>
                <w:szCs w:val="18"/>
                <w:lang w:eastAsia="tr-TR"/>
              </w:rPr>
            </w:pPr>
            <w:r w:rsidRPr="00005453">
              <w:rPr>
                <w:color w:val="000000"/>
                <w:sz w:val="18"/>
                <w:szCs w:val="18"/>
                <w:lang w:eastAsia="tr-TR"/>
              </w:rPr>
              <w:t>24,818,375</w:t>
            </w:r>
          </w:p>
        </w:tc>
      </w:tr>
      <w:tr w:rsidR="006E7B0A" w:rsidRPr="00005453" w14:paraId="6707E954"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10CFF427" w14:textId="77777777" w:rsidR="006E7B0A" w:rsidRPr="00005453" w:rsidRDefault="006E7B0A" w:rsidP="006E7B0A">
            <w:pPr>
              <w:rPr>
                <w:color w:val="000000"/>
                <w:sz w:val="18"/>
                <w:szCs w:val="18"/>
                <w:lang w:eastAsia="tr-TR"/>
              </w:rPr>
            </w:pPr>
            <w:r w:rsidRPr="00005453">
              <w:rPr>
                <w:color w:val="000000"/>
                <w:sz w:val="18"/>
                <w:szCs w:val="18"/>
                <w:lang w:eastAsia="tr-TR"/>
              </w:rPr>
              <w:t>Iç Anadolu Bölgesi</w:t>
            </w:r>
          </w:p>
        </w:tc>
        <w:tc>
          <w:tcPr>
            <w:tcW w:w="2525" w:type="dxa"/>
            <w:tcBorders>
              <w:top w:val="nil"/>
              <w:left w:val="nil"/>
              <w:bottom w:val="single" w:sz="8" w:space="0" w:color="auto"/>
              <w:right w:val="single" w:sz="8" w:space="0" w:color="auto"/>
            </w:tcBorders>
            <w:shd w:val="clear" w:color="auto" w:fill="auto"/>
            <w:noWrap/>
            <w:vAlign w:val="center"/>
            <w:hideMark/>
          </w:tcPr>
          <w:p w14:paraId="14D63065" w14:textId="0BB4CD35" w:rsidR="006E7B0A" w:rsidRPr="00005453" w:rsidRDefault="006E7B0A" w:rsidP="006E7B0A">
            <w:pPr>
              <w:jc w:val="right"/>
              <w:rPr>
                <w:color w:val="000000"/>
                <w:sz w:val="18"/>
                <w:szCs w:val="18"/>
                <w:lang w:eastAsia="tr-TR"/>
              </w:rPr>
            </w:pPr>
            <w:r w:rsidRPr="00005453">
              <w:rPr>
                <w:color w:val="000000"/>
                <w:sz w:val="18"/>
                <w:szCs w:val="18"/>
              </w:rPr>
              <w:t>68,731,353</w:t>
            </w:r>
          </w:p>
        </w:tc>
        <w:tc>
          <w:tcPr>
            <w:tcW w:w="2437" w:type="dxa"/>
            <w:tcBorders>
              <w:top w:val="nil"/>
              <w:left w:val="nil"/>
              <w:bottom w:val="single" w:sz="8" w:space="0" w:color="auto"/>
              <w:right w:val="single" w:sz="8" w:space="0" w:color="auto"/>
            </w:tcBorders>
            <w:shd w:val="clear" w:color="auto" w:fill="auto"/>
            <w:noWrap/>
            <w:vAlign w:val="center"/>
            <w:hideMark/>
          </w:tcPr>
          <w:p w14:paraId="780B5D51" w14:textId="0B4CB1C1" w:rsidR="006E7B0A" w:rsidRPr="00005453" w:rsidRDefault="006E7B0A" w:rsidP="006E7B0A">
            <w:pPr>
              <w:jc w:val="right"/>
              <w:rPr>
                <w:color w:val="000000"/>
                <w:sz w:val="18"/>
                <w:szCs w:val="18"/>
                <w:lang w:eastAsia="tr-TR"/>
              </w:rPr>
            </w:pPr>
            <w:r w:rsidRPr="00005453">
              <w:rPr>
                <w:color w:val="000000"/>
                <w:sz w:val="18"/>
                <w:szCs w:val="18"/>
                <w:lang w:eastAsia="tr-TR"/>
              </w:rPr>
              <w:t>57,662,751</w:t>
            </w:r>
          </w:p>
        </w:tc>
      </w:tr>
      <w:tr w:rsidR="006E7B0A" w:rsidRPr="00005453" w14:paraId="4A48911B"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58F33ED" w14:textId="77777777" w:rsidR="006E7B0A" w:rsidRPr="00005453" w:rsidRDefault="006E7B0A" w:rsidP="006E7B0A">
            <w:pPr>
              <w:rPr>
                <w:color w:val="000000"/>
                <w:sz w:val="18"/>
                <w:szCs w:val="18"/>
                <w:lang w:eastAsia="tr-TR"/>
              </w:rPr>
            </w:pPr>
            <w:r w:rsidRPr="00005453">
              <w:rPr>
                <w:color w:val="000000"/>
                <w:sz w:val="18"/>
                <w:szCs w:val="18"/>
                <w:lang w:eastAsia="tr-TR"/>
              </w:rPr>
              <w:t>Karadeniz Bölgesi</w:t>
            </w:r>
          </w:p>
        </w:tc>
        <w:tc>
          <w:tcPr>
            <w:tcW w:w="2525" w:type="dxa"/>
            <w:tcBorders>
              <w:top w:val="nil"/>
              <w:left w:val="nil"/>
              <w:bottom w:val="single" w:sz="8" w:space="0" w:color="auto"/>
              <w:right w:val="single" w:sz="8" w:space="0" w:color="auto"/>
            </w:tcBorders>
            <w:shd w:val="clear" w:color="auto" w:fill="auto"/>
            <w:noWrap/>
            <w:vAlign w:val="center"/>
            <w:hideMark/>
          </w:tcPr>
          <w:p w14:paraId="51C7E0F7" w14:textId="23A72594" w:rsidR="006E7B0A" w:rsidRPr="00005453" w:rsidRDefault="006E7B0A" w:rsidP="006E7B0A">
            <w:pPr>
              <w:jc w:val="right"/>
              <w:rPr>
                <w:color w:val="000000"/>
                <w:sz w:val="18"/>
                <w:szCs w:val="18"/>
                <w:lang w:eastAsia="tr-TR"/>
              </w:rPr>
            </w:pPr>
            <w:r w:rsidRPr="00005453">
              <w:rPr>
                <w:color w:val="000000"/>
                <w:sz w:val="18"/>
                <w:szCs w:val="18"/>
              </w:rPr>
              <w:t>15,167,777</w:t>
            </w:r>
          </w:p>
        </w:tc>
        <w:tc>
          <w:tcPr>
            <w:tcW w:w="2437" w:type="dxa"/>
            <w:tcBorders>
              <w:top w:val="nil"/>
              <w:left w:val="nil"/>
              <w:bottom w:val="single" w:sz="8" w:space="0" w:color="auto"/>
              <w:right w:val="single" w:sz="8" w:space="0" w:color="auto"/>
            </w:tcBorders>
            <w:shd w:val="clear" w:color="auto" w:fill="auto"/>
            <w:noWrap/>
            <w:vAlign w:val="center"/>
            <w:hideMark/>
          </w:tcPr>
          <w:p w14:paraId="7C0E43B6" w14:textId="32A67B34" w:rsidR="006E7B0A" w:rsidRPr="00005453" w:rsidRDefault="006E7B0A" w:rsidP="006E7B0A">
            <w:pPr>
              <w:jc w:val="right"/>
              <w:rPr>
                <w:color w:val="000000"/>
                <w:sz w:val="18"/>
                <w:szCs w:val="18"/>
                <w:lang w:eastAsia="tr-TR"/>
              </w:rPr>
            </w:pPr>
            <w:r w:rsidRPr="00005453">
              <w:rPr>
                <w:color w:val="000000"/>
                <w:sz w:val="18"/>
                <w:szCs w:val="18"/>
                <w:lang w:eastAsia="tr-TR"/>
              </w:rPr>
              <w:t>10,841,446</w:t>
            </w:r>
          </w:p>
        </w:tc>
      </w:tr>
      <w:tr w:rsidR="006E7B0A" w:rsidRPr="00005453" w14:paraId="47BF9B7F"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5CF3998A" w14:textId="77777777" w:rsidR="006E7B0A" w:rsidRPr="00005453" w:rsidRDefault="006E7B0A" w:rsidP="006E7B0A">
            <w:pPr>
              <w:rPr>
                <w:color w:val="000000"/>
                <w:sz w:val="18"/>
                <w:szCs w:val="18"/>
                <w:lang w:eastAsia="tr-TR"/>
              </w:rPr>
            </w:pPr>
            <w:r w:rsidRPr="00005453">
              <w:rPr>
                <w:color w:val="000000"/>
                <w:sz w:val="18"/>
                <w:szCs w:val="18"/>
                <w:lang w:eastAsia="tr-TR"/>
              </w:rPr>
              <w:t>Marmara Bölgesi</w:t>
            </w:r>
          </w:p>
        </w:tc>
        <w:tc>
          <w:tcPr>
            <w:tcW w:w="2525" w:type="dxa"/>
            <w:tcBorders>
              <w:top w:val="nil"/>
              <w:left w:val="nil"/>
              <w:bottom w:val="single" w:sz="8" w:space="0" w:color="auto"/>
              <w:right w:val="single" w:sz="8" w:space="0" w:color="auto"/>
            </w:tcBorders>
            <w:shd w:val="clear" w:color="auto" w:fill="auto"/>
            <w:noWrap/>
            <w:vAlign w:val="center"/>
            <w:hideMark/>
          </w:tcPr>
          <w:p w14:paraId="08563015" w14:textId="26CB62A2" w:rsidR="006E7B0A" w:rsidRPr="00005453" w:rsidRDefault="006E7B0A" w:rsidP="006E7B0A">
            <w:pPr>
              <w:jc w:val="right"/>
              <w:rPr>
                <w:color w:val="000000"/>
                <w:sz w:val="18"/>
                <w:szCs w:val="18"/>
                <w:lang w:eastAsia="tr-TR"/>
              </w:rPr>
            </w:pPr>
            <w:r w:rsidRPr="00005453">
              <w:rPr>
                <w:color w:val="000000"/>
                <w:sz w:val="18"/>
                <w:szCs w:val="18"/>
              </w:rPr>
              <w:t>242,465,891</w:t>
            </w:r>
          </w:p>
        </w:tc>
        <w:tc>
          <w:tcPr>
            <w:tcW w:w="2437" w:type="dxa"/>
            <w:tcBorders>
              <w:top w:val="nil"/>
              <w:left w:val="nil"/>
              <w:bottom w:val="single" w:sz="8" w:space="0" w:color="auto"/>
              <w:right w:val="single" w:sz="8" w:space="0" w:color="auto"/>
            </w:tcBorders>
            <w:shd w:val="clear" w:color="auto" w:fill="auto"/>
            <w:noWrap/>
            <w:vAlign w:val="center"/>
            <w:hideMark/>
          </w:tcPr>
          <w:p w14:paraId="6D7F4D26" w14:textId="71BD1EAD" w:rsidR="006E7B0A" w:rsidRPr="00005453" w:rsidRDefault="006E7B0A" w:rsidP="006E7B0A">
            <w:pPr>
              <w:jc w:val="right"/>
              <w:rPr>
                <w:color w:val="000000"/>
                <w:sz w:val="18"/>
                <w:szCs w:val="18"/>
                <w:lang w:eastAsia="tr-TR"/>
              </w:rPr>
            </w:pPr>
            <w:r w:rsidRPr="00005453">
              <w:rPr>
                <w:color w:val="000000"/>
                <w:sz w:val="18"/>
                <w:szCs w:val="18"/>
                <w:lang w:eastAsia="tr-TR"/>
              </w:rPr>
              <w:t>185,451,538</w:t>
            </w:r>
          </w:p>
        </w:tc>
      </w:tr>
      <w:tr w:rsidR="006E7B0A" w:rsidRPr="00005453" w14:paraId="06CE93F4" w14:textId="77777777" w:rsidTr="00057FAD">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1CBD382C" w14:textId="77777777" w:rsidR="006E7B0A" w:rsidRPr="00005453" w:rsidRDefault="006E7B0A" w:rsidP="006E7B0A">
            <w:pPr>
              <w:rPr>
                <w:color w:val="000000"/>
                <w:sz w:val="18"/>
                <w:szCs w:val="18"/>
                <w:lang w:eastAsia="tr-TR"/>
              </w:rPr>
            </w:pPr>
            <w:r w:rsidRPr="00005453">
              <w:rPr>
                <w:color w:val="000000"/>
                <w:sz w:val="18"/>
                <w:szCs w:val="18"/>
                <w:lang w:eastAsia="tr-TR"/>
              </w:rPr>
              <w:t>Yurt Dışı</w:t>
            </w:r>
          </w:p>
        </w:tc>
        <w:tc>
          <w:tcPr>
            <w:tcW w:w="2525" w:type="dxa"/>
            <w:tcBorders>
              <w:top w:val="nil"/>
              <w:left w:val="nil"/>
              <w:bottom w:val="single" w:sz="8" w:space="0" w:color="auto"/>
              <w:right w:val="single" w:sz="8" w:space="0" w:color="auto"/>
            </w:tcBorders>
            <w:shd w:val="clear" w:color="auto" w:fill="auto"/>
            <w:noWrap/>
            <w:vAlign w:val="center"/>
            <w:hideMark/>
          </w:tcPr>
          <w:p w14:paraId="2220AC14" w14:textId="32406E93" w:rsidR="006E7B0A" w:rsidRPr="00005453" w:rsidRDefault="006E7B0A" w:rsidP="006E7B0A">
            <w:pPr>
              <w:jc w:val="right"/>
              <w:rPr>
                <w:color w:val="000000"/>
                <w:sz w:val="18"/>
                <w:szCs w:val="18"/>
                <w:lang w:eastAsia="tr-TR"/>
              </w:rPr>
            </w:pPr>
            <w:r w:rsidRPr="00005453">
              <w:rPr>
                <w:color w:val="000000"/>
                <w:sz w:val="18"/>
                <w:szCs w:val="18"/>
              </w:rPr>
              <w:t>5,795,129</w:t>
            </w:r>
          </w:p>
        </w:tc>
        <w:tc>
          <w:tcPr>
            <w:tcW w:w="2437" w:type="dxa"/>
            <w:tcBorders>
              <w:top w:val="nil"/>
              <w:left w:val="nil"/>
              <w:bottom w:val="single" w:sz="8" w:space="0" w:color="auto"/>
              <w:right w:val="single" w:sz="8" w:space="0" w:color="auto"/>
            </w:tcBorders>
            <w:shd w:val="clear" w:color="auto" w:fill="auto"/>
            <w:noWrap/>
            <w:vAlign w:val="center"/>
            <w:hideMark/>
          </w:tcPr>
          <w:p w14:paraId="5A7648AA" w14:textId="0BE1440B" w:rsidR="006E7B0A" w:rsidRPr="00005453" w:rsidRDefault="006E7B0A" w:rsidP="006E7B0A">
            <w:pPr>
              <w:jc w:val="right"/>
              <w:rPr>
                <w:color w:val="000000"/>
                <w:sz w:val="18"/>
                <w:szCs w:val="18"/>
                <w:lang w:eastAsia="tr-TR"/>
              </w:rPr>
            </w:pPr>
            <w:r w:rsidRPr="00005453">
              <w:rPr>
                <w:color w:val="000000"/>
                <w:sz w:val="18"/>
                <w:szCs w:val="18"/>
                <w:lang w:eastAsia="tr-TR"/>
              </w:rPr>
              <w:t>7,461,667</w:t>
            </w:r>
          </w:p>
        </w:tc>
      </w:tr>
      <w:tr w:rsidR="006E7B0A" w:rsidRPr="00005453" w14:paraId="44733088" w14:textId="77777777" w:rsidTr="00057FAD">
        <w:trPr>
          <w:divId w:val="353387809"/>
          <w:trHeight w:val="130"/>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E0EA439" w14:textId="77777777" w:rsidR="006E7B0A" w:rsidRPr="00005453" w:rsidRDefault="006E7B0A" w:rsidP="006E7B0A">
            <w:pPr>
              <w:rPr>
                <w:b/>
                <w:bCs/>
                <w:color w:val="000000"/>
                <w:sz w:val="18"/>
                <w:szCs w:val="18"/>
                <w:lang w:eastAsia="tr-TR"/>
              </w:rPr>
            </w:pPr>
            <w:r w:rsidRPr="00005453">
              <w:rPr>
                <w:b/>
                <w:bCs/>
                <w:color w:val="000000"/>
                <w:sz w:val="18"/>
                <w:szCs w:val="18"/>
                <w:lang w:eastAsia="tr-TR"/>
              </w:rPr>
              <w:t>Toplam</w:t>
            </w:r>
          </w:p>
        </w:tc>
        <w:tc>
          <w:tcPr>
            <w:tcW w:w="2525" w:type="dxa"/>
            <w:tcBorders>
              <w:top w:val="nil"/>
              <w:left w:val="nil"/>
              <w:bottom w:val="single" w:sz="8" w:space="0" w:color="auto"/>
              <w:right w:val="single" w:sz="8" w:space="0" w:color="auto"/>
            </w:tcBorders>
            <w:shd w:val="clear" w:color="auto" w:fill="auto"/>
            <w:noWrap/>
            <w:vAlign w:val="center"/>
            <w:hideMark/>
          </w:tcPr>
          <w:p w14:paraId="52BEFB78" w14:textId="38707FAD" w:rsidR="006E7B0A" w:rsidRPr="00005453" w:rsidRDefault="006E7B0A" w:rsidP="006E7B0A">
            <w:pPr>
              <w:jc w:val="right"/>
              <w:rPr>
                <w:b/>
                <w:color w:val="000000"/>
                <w:sz w:val="18"/>
                <w:szCs w:val="18"/>
                <w:lang w:eastAsia="tr-TR"/>
              </w:rPr>
            </w:pPr>
            <w:r w:rsidRPr="00005453">
              <w:rPr>
                <w:b/>
                <w:bCs/>
                <w:color w:val="000000"/>
                <w:sz w:val="18"/>
                <w:szCs w:val="18"/>
              </w:rPr>
              <w:t>434,742,175</w:t>
            </w:r>
          </w:p>
        </w:tc>
        <w:tc>
          <w:tcPr>
            <w:tcW w:w="2437" w:type="dxa"/>
            <w:tcBorders>
              <w:top w:val="nil"/>
              <w:left w:val="nil"/>
              <w:bottom w:val="single" w:sz="8" w:space="0" w:color="auto"/>
              <w:right w:val="single" w:sz="8" w:space="0" w:color="auto"/>
            </w:tcBorders>
            <w:shd w:val="clear" w:color="auto" w:fill="auto"/>
            <w:noWrap/>
            <w:vAlign w:val="center"/>
            <w:hideMark/>
          </w:tcPr>
          <w:p w14:paraId="03C1FF7E" w14:textId="72F64616" w:rsidR="006E7B0A" w:rsidRPr="00005453" w:rsidRDefault="006E7B0A" w:rsidP="006E7B0A">
            <w:pPr>
              <w:jc w:val="right"/>
              <w:rPr>
                <w:b/>
                <w:bCs/>
                <w:color w:val="000000"/>
                <w:sz w:val="18"/>
                <w:szCs w:val="18"/>
                <w:lang w:eastAsia="tr-TR"/>
              </w:rPr>
            </w:pPr>
            <w:r w:rsidRPr="00005453">
              <w:rPr>
                <w:b/>
                <w:color w:val="000000"/>
                <w:sz w:val="18"/>
                <w:szCs w:val="18"/>
                <w:lang w:eastAsia="tr-TR"/>
              </w:rPr>
              <w:t>335,298,881</w:t>
            </w:r>
          </w:p>
        </w:tc>
      </w:tr>
      <w:bookmarkEnd w:id="59"/>
    </w:tbl>
    <w:p w14:paraId="5D26DE68" w14:textId="6DCEE605" w:rsidR="00DA6188" w:rsidRPr="00005453" w:rsidRDefault="00DA6188" w:rsidP="00DA6188">
      <w:pPr>
        <w:jc w:val="both"/>
        <w:rPr>
          <w:spacing w:val="-6"/>
          <w:sz w:val="2"/>
        </w:rPr>
      </w:pPr>
    </w:p>
    <w:p w14:paraId="06EFB9CF" w14:textId="3E871FF4" w:rsidR="00C25473" w:rsidRPr="00005453" w:rsidRDefault="00C25473" w:rsidP="00C25473">
      <w:pPr>
        <w:jc w:val="both"/>
        <w:rPr>
          <w:spacing w:val="-6"/>
          <w:sz w:val="2"/>
        </w:rPr>
      </w:pPr>
    </w:p>
    <w:p w14:paraId="192EFDA3" w14:textId="77777777" w:rsidR="00106782" w:rsidRPr="00005453" w:rsidRDefault="00106782" w:rsidP="00DA6188">
      <w:pPr>
        <w:jc w:val="both"/>
        <w:rPr>
          <w:color w:val="000000"/>
          <w:sz w:val="14"/>
        </w:rPr>
      </w:pPr>
    </w:p>
    <w:p w14:paraId="167C3A6F" w14:textId="27187D68" w:rsidR="00636021" w:rsidRPr="00005453" w:rsidRDefault="00C25473" w:rsidP="00DA6188">
      <w:pPr>
        <w:jc w:val="both"/>
        <w:rPr>
          <w:color w:val="000000"/>
        </w:rPr>
      </w:pPr>
      <w:r w:rsidRPr="00005453">
        <w:rPr>
          <w:color w:val="000000"/>
        </w:rPr>
        <w:t>Nakdi alacakların vade dağılımı şöyledir</w:t>
      </w:r>
      <w:r w:rsidR="003F6C52" w:rsidRPr="00005453">
        <w:rPr>
          <w:color w:val="000000"/>
        </w:rPr>
        <w:t>:</w:t>
      </w:r>
    </w:p>
    <w:p w14:paraId="0F4EE04F" w14:textId="3B70B4A5" w:rsidR="00636021" w:rsidRPr="00005453" w:rsidRDefault="00636021" w:rsidP="00DA6188">
      <w:pPr>
        <w:jc w:val="both"/>
        <w:rPr>
          <w:sz w:val="14"/>
          <w:lang w:eastAsia="en-GB"/>
        </w:rPr>
      </w:pPr>
    </w:p>
    <w:tbl>
      <w:tblPr>
        <w:tblW w:w="9447" w:type="dxa"/>
        <w:tblCellMar>
          <w:left w:w="70" w:type="dxa"/>
          <w:right w:w="70" w:type="dxa"/>
        </w:tblCellMar>
        <w:tblLook w:val="04A0" w:firstRow="1" w:lastRow="0" w:firstColumn="1" w:lastColumn="0" w:noHBand="0" w:noVBand="1"/>
      </w:tblPr>
      <w:tblGrid>
        <w:gridCol w:w="4526"/>
        <w:gridCol w:w="2552"/>
        <w:gridCol w:w="2369"/>
      </w:tblGrid>
      <w:tr w:rsidR="00636021" w:rsidRPr="00005453" w14:paraId="690BC509" w14:textId="77777777" w:rsidTr="001A491C">
        <w:trPr>
          <w:divId w:val="754789977"/>
          <w:trHeight w:val="306"/>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508FD" w14:textId="18585202" w:rsidR="00636021" w:rsidRPr="00005453" w:rsidRDefault="00636021" w:rsidP="00636021">
            <w:pPr>
              <w:rPr>
                <w:b/>
                <w:bCs/>
                <w:color w:val="000000"/>
                <w:sz w:val="18"/>
                <w:szCs w:val="18"/>
                <w:lang w:eastAsia="tr-TR"/>
              </w:rPr>
            </w:pPr>
            <w:r w:rsidRPr="00005453">
              <w:rPr>
                <w:b/>
                <w:bCs/>
                <w:color w:val="000000"/>
                <w:sz w:val="18"/>
                <w:szCs w:val="18"/>
                <w:lang w:eastAsia="tr-TR"/>
              </w:rPr>
              <w:t>Vade Dağılımı</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3D967B7F" w14:textId="77777777" w:rsidR="00636021" w:rsidRPr="00005453" w:rsidRDefault="00636021" w:rsidP="00636021">
            <w:pPr>
              <w:jc w:val="right"/>
              <w:rPr>
                <w:b/>
                <w:bCs/>
                <w:color w:val="000000"/>
                <w:sz w:val="18"/>
                <w:szCs w:val="18"/>
                <w:lang w:eastAsia="tr-TR"/>
              </w:rPr>
            </w:pPr>
            <w:r w:rsidRPr="00005453">
              <w:rPr>
                <w:b/>
                <w:bCs/>
                <w:color w:val="000000"/>
                <w:sz w:val="18"/>
                <w:szCs w:val="18"/>
                <w:lang w:eastAsia="tr-TR"/>
              </w:rPr>
              <w:t xml:space="preserve">Cari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Nakdi Kredi Tutarı</w:t>
            </w:r>
          </w:p>
        </w:tc>
        <w:tc>
          <w:tcPr>
            <w:tcW w:w="2369" w:type="dxa"/>
            <w:tcBorders>
              <w:top w:val="single" w:sz="8" w:space="0" w:color="auto"/>
              <w:left w:val="nil"/>
              <w:bottom w:val="single" w:sz="8" w:space="0" w:color="auto"/>
              <w:right w:val="single" w:sz="8" w:space="0" w:color="auto"/>
            </w:tcBorders>
            <w:shd w:val="clear" w:color="auto" w:fill="auto"/>
            <w:noWrap/>
            <w:vAlign w:val="center"/>
            <w:hideMark/>
          </w:tcPr>
          <w:p w14:paraId="510C89B5" w14:textId="77777777" w:rsidR="00636021" w:rsidRPr="00005453" w:rsidRDefault="00636021" w:rsidP="00636021">
            <w:pPr>
              <w:jc w:val="right"/>
              <w:rPr>
                <w:b/>
                <w:bCs/>
                <w:color w:val="000000"/>
                <w:sz w:val="18"/>
                <w:szCs w:val="18"/>
                <w:lang w:eastAsia="tr-TR"/>
              </w:rPr>
            </w:pPr>
            <w:r w:rsidRPr="00005453">
              <w:rPr>
                <w:b/>
                <w:bCs/>
                <w:color w:val="000000"/>
                <w:sz w:val="18"/>
                <w:szCs w:val="18"/>
                <w:lang w:eastAsia="tr-TR"/>
              </w:rPr>
              <w:t xml:space="preserve">Önceki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Nakdi Kredi Tutarı</w:t>
            </w:r>
          </w:p>
        </w:tc>
      </w:tr>
      <w:tr w:rsidR="006E7B0A" w:rsidRPr="00005453" w14:paraId="35A26A87"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392D3C6" w14:textId="77777777" w:rsidR="006E7B0A" w:rsidRPr="00005453" w:rsidRDefault="006E7B0A" w:rsidP="006E7B0A">
            <w:pPr>
              <w:rPr>
                <w:color w:val="000000"/>
                <w:sz w:val="18"/>
                <w:szCs w:val="18"/>
                <w:lang w:eastAsia="tr-TR"/>
              </w:rPr>
            </w:pPr>
            <w:r w:rsidRPr="00005453">
              <w:rPr>
                <w:color w:val="000000"/>
                <w:sz w:val="18"/>
                <w:szCs w:val="18"/>
                <w:lang w:eastAsia="tr-TR"/>
              </w:rPr>
              <w:t>Bir yıla kadar</w:t>
            </w:r>
          </w:p>
        </w:tc>
        <w:tc>
          <w:tcPr>
            <w:tcW w:w="2552" w:type="dxa"/>
            <w:tcBorders>
              <w:top w:val="nil"/>
              <w:left w:val="nil"/>
              <w:bottom w:val="single" w:sz="8" w:space="0" w:color="auto"/>
              <w:right w:val="single" w:sz="8" w:space="0" w:color="auto"/>
            </w:tcBorders>
            <w:shd w:val="clear" w:color="auto" w:fill="auto"/>
            <w:noWrap/>
            <w:vAlign w:val="center"/>
            <w:hideMark/>
          </w:tcPr>
          <w:p w14:paraId="32D2FCD1" w14:textId="342D926A" w:rsidR="006E7B0A" w:rsidRPr="00005453" w:rsidRDefault="006E7B0A" w:rsidP="006E7B0A">
            <w:pPr>
              <w:jc w:val="right"/>
              <w:rPr>
                <w:color w:val="000000"/>
                <w:sz w:val="18"/>
                <w:szCs w:val="18"/>
                <w:lang w:eastAsia="tr-TR"/>
              </w:rPr>
            </w:pPr>
            <w:r w:rsidRPr="00005453">
              <w:rPr>
                <w:color w:val="000000"/>
                <w:sz w:val="18"/>
                <w:szCs w:val="18"/>
              </w:rPr>
              <w:t>253,290,629</w:t>
            </w:r>
          </w:p>
        </w:tc>
        <w:tc>
          <w:tcPr>
            <w:tcW w:w="2369" w:type="dxa"/>
            <w:tcBorders>
              <w:top w:val="nil"/>
              <w:left w:val="nil"/>
              <w:bottom w:val="single" w:sz="8" w:space="0" w:color="auto"/>
              <w:right w:val="single" w:sz="8" w:space="0" w:color="auto"/>
            </w:tcBorders>
            <w:shd w:val="clear" w:color="auto" w:fill="auto"/>
            <w:noWrap/>
            <w:vAlign w:val="center"/>
            <w:hideMark/>
          </w:tcPr>
          <w:p w14:paraId="6339A601" w14:textId="763FCA1D" w:rsidR="006E7B0A" w:rsidRPr="00005453" w:rsidRDefault="006E7B0A" w:rsidP="006E7B0A">
            <w:pPr>
              <w:jc w:val="right"/>
              <w:rPr>
                <w:color w:val="000000"/>
                <w:sz w:val="18"/>
                <w:szCs w:val="18"/>
                <w:lang w:eastAsia="tr-TR"/>
              </w:rPr>
            </w:pPr>
            <w:r w:rsidRPr="00005453">
              <w:rPr>
                <w:color w:val="000000"/>
                <w:sz w:val="18"/>
                <w:szCs w:val="18"/>
                <w:lang w:eastAsia="tr-TR"/>
              </w:rPr>
              <w:t>215,596,357</w:t>
            </w:r>
          </w:p>
        </w:tc>
      </w:tr>
      <w:tr w:rsidR="006E7B0A" w:rsidRPr="00005453" w14:paraId="414B14C8"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2DD81AE" w14:textId="77777777" w:rsidR="006E7B0A" w:rsidRPr="00005453" w:rsidRDefault="006E7B0A" w:rsidP="006E7B0A">
            <w:pPr>
              <w:rPr>
                <w:color w:val="000000"/>
                <w:sz w:val="18"/>
                <w:szCs w:val="18"/>
                <w:lang w:eastAsia="tr-TR"/>
              </w:rPr>
            </w:pPr>
            <w:r w:rsidRPr="00005453">
              <w:rPr>
                <w:color w:val="000000"/>
                <w:sz w:val="18"/>
                <w:szCs w:val="18"/>
                <w:lang w:eastAsia="tr-TR"/>
              </w:rPr>
              <w:t>1 yıldan 3 yıla kadar</w:t>
            </w:r>
          </w:p>
        </w:tc>
        <w:tc>
          <w:tcPr>
            <w:tcW w:w="2552" w:type="dxa"/>
            <w:tcBorders>
              <w:top w:val="nil"/>
              <w:left w:val="nil"/>
              <w:bottom w:val="single" w:sz="8" w:space="0" w:color="auto"/>
              <w:right w:val="single" w:sz="8" w:space="0" w:color="auto"/>
            </w:tcBorders>
            <w:shd w:val="clear" w:color="auto" w:fill="auto"/>
            <w:noWrap/>
            <w:vAlign w:val="center"/>
            <w:hideMark/>
          </w:tcPr>
          <w:p w14:paraId="76C4B25F" w14:textId="3F160345" w:rsidR="006E7B0A" w:rsidRPr="00005453" w:rsidRDefault="006E7B0A" w:rsidP="006E7B0A">
            <w:pPr>
              <w:jc w:val="right"/>
              <w:rPr>
                <w:color w:val="000000"/>
                <w:sz w:val="18"/>
                <w:szCs w:val="18"/>
                <w:lang w:eastAsia="tr-TR"/>
              </w:rPr>
            </w:pPr>
            <w:r w:rsidRPr="00005453">
              <w:rPr>
                <w:color w:val="000000"/>
                <w:sz w:val="18"/>
                <w:szCs w:val="18"/>
              </w:rPr>
              <w:t>120,198,991</w:t>
            </w:r>
          </w:p>
        </w:tc>
        <w:tc>
          <w:tcPr>
            <w:tcW w:w="2369" w:type="dxa"/>
            <w:tcBorders>
              <w:top w:val="nil"/>
              <w:left w:val="nil"/>
              <w:bottom w:val="single" w:sz="8" w:space="0" w:color="auto"/>
              <w:right w:val="single" w:sz="8" w:space="0" w:color="auto"/>
            </w:tcBorders>
            <w:shd w:val="clear" w:color="auto" w:fill="auto"/>
            <w:noWrap/>
            <w:vAlign w:val="center"/>
            <w:hideMark/>
          </w:tcPr>
          <w:p w14:paraId="72FBCF42" w14:textId="26D25809" w:rsidR="006E7B0A" w:rsidRPr="00005453" w:rsidRDefault="006E7B0A" w:rsidP="006E7B0A">
            <w:pPr>
              <w:jc w:val="right"/>
              <w:rPr>
                <w:color w:val="000000"/>
                <w:sz w:val="18"/>
                <w:szCs w:val="18"/>
                <w:lang w:eastAsia="tr-TR"/>
              </w:rPr>
            </w:pPr>
            <w:r w:rsidRPr="00005453">
              <w:rPr>
                <w:color w:val="000000"/>
                <w:sz w:val="18"/>
                <w:szCs w:val="18"/>
                <w:lang w:eastAsia="tr-TR"/>
              </w:rPr>
              <w:t>72,434,968</w:t>
            </w:r>
          </w:p>
        </w:tc>
      </w:tr>
      <w:tr w:rsidR="006E7B0A" w:rsidRPr="00005453" w14:paraId="20ECE177"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8691598" w14:textId="77777777" w:rsidR="006E7B0A" w:rsidRPr="00005453" w:rsidRDefault="006E7B0A" w:rsidP="006E7B0A">
            <w:pPr>
              <w:rPr>
                <w:color w:val="000000"/>
                <w:sz w:val="18"/>
                <w:szCs w:val="18"/>
                <w:lang w:eastAsia="tr-TR"/>
              </w:rPr>
            </w:pPr>
            <w:r w:rsidRPr="00005453">
              <w:rPr>
                <w:color w:val="000000"/>
                <w:sz w:val="18"/>
                <w:szCs w:val="18"/>
                <w:lang w:eastAsia="tr-TR"/>
              </w:rPr>
              <w:t>3 yıldan 5 yıla kadar</w:t>
            </w:r>
          </w:p>
        </w:tc>
        <w:tc>
          <w:tcPr>
            <w:tcW w:w="2552" w:type="dxa"/>
            <w:tcBorders>
              <w:top w:val="nil"/>
              <w:left w:val="nil"/>
              <w:bottom w:val="single" w:sz="8" w:space="0" w:color="auto"/>
              <w:right w:val="single" w:sz="8" w:space="0" w:color="auto"/>
            </w:tcBorders>
            <w:shd w:val="clear" w:color="auto" w:fill="auto"/>
            <w:noWrap/>
            <w:vAlign w:val="center"/>
            <w:hideMark/>
          </w:tcPr>
          <w:p w14:paraId="726E595C" w14:textId="66D9FC5E" w:rsidR="006E7B0A" w:rsidRPr="00005453" w:rsidRDefault="006E7B0A" w:rsidP="006E7B0A">
            <w:pPr>
              <w:jc w:val="right"/>
              <w:rPr>
                <w:color w:val="000000"/>
                <w:sz w:val="18"/>
                <w:szCs w:val="18"/>
                <w:lang w:eastAsia="tr-TR"/>
              </w:rPr>
            </w:pPr>
            <w:r w:rsidRPr="00005453">
              <w:rPr>
                <w:color w:val="000000"/>
                <w:sz w:val="18"/>
                <w:szCs w:val="18"/>
              </w:rPr>
              <w:t>34,551,374</w:t>
            </w:r>
          </w:p>
        </w:tc>
        <w:tc>
          <w:tcPr>
            <w:tcW w:w="2369" w:type="dxa"/>
            <w:tcBorders>
              <w:top w:val="nil"/>
              <w:left w:val="nil"/>
              <w:bottom w:val="single" w:sz="8" w:space="0" w:color="auto"/>
              <w:right w:val="single" w:sz="8" w:space="0" w:color="auto"/>
            </w:tcBorders>
            <w:shd w:val="clear" w:color="auto" w:fill="auto"/>
            <w:noWrap/>
            <w:vAlign w:val="center"/>
            <w:hideMark/>
          </w:tcPr>
          <w:p w14:paraId="0E67030E" w14:textId="73BD7E76" w:rsidR="006E7B0A" w:rsidRPr="00005453" w:rsidRDefault="006E7B0A" w:rsidP="006E7B0A">
            <w:pPr>
              <w:jc w:val="right"/>
              <w:rPr>
                <w:color w:val="000000"/>
                <w:sz w:val="18"/>
                <w:szCs w:val="18"/>
                <w:lang w:eastAsia="tr-TR"/>
              </w:rPr>
            </w:pPr>
            <w:r w:rsidRPr="00005453">
              <w:rPr>
                <w:color w:val="000000"/>
                <w:sz w:val="18"/>
                <w:szCs w:val="18"/>
                <w:lang w:eastAsia="tr-TR"/>
              </w:rPr>
              <w:t>23,348,647</w:t>
            </w:r>
          </w:p>
        </w:tc>
      </w:tr>
      <w:tr w:rsidR="006E7B0A" w:rsidRPr="00005453" w14:paraId="51B178ED"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A92609B" w14:textId="77777777" w:rsidR="006E7B0A" w:rsidRPr="00005453" w:rsidRDefault="006E7B0A" w:rsidP="006E7B0A">
            <w:pPr>
              <w:rPr>
                <w:color w:val="000000"/>
                <w:sz w:val="18"/>
                <w:szCs w:val="18"/>
                <w:lang w:eastAsia="tr-TR"/>
              </w:rPr>
            </w:pPr>
            <w:r w:rsidRPr="00005453">
              <w:rPr>
                <w:color w:val="000000"/>
                <w:sz w:val="18"/>
                <w:szCs w:val="18"/>
                <w:lang w:eastAsia="tr-TR"/>
              </w:rPr>
              <w:t>5 yıl ve yukarısı</w:t>
            </w:r>
          </w:p>
        </w:tc>
        <w:tc>
          <w:tcPr>
            <w:tcW w:w="2552" w:type="dxa"/>
            <w:tcBorders>
              <w:top w:val="nil"/>
              <w:left w:val="nil"/>
              <w:bottom w:val="single" w:sz="8" w:space="0" w:color="auto"/>
              <w:right w:val="single" w:sz="8" w:space="0" w:color="auto"/>
            </w:tcBorders>
            <w:shd w:val="clear" w:color="auto" w:fill="auto"/>
            <w:noWrap/>
            <w:vAlign w:val="center"/>
            <w:hideMark/>
          </w:tcPr>
          <w:p w14:paraId="1C90F400" w14:textId="2C097825" w:rsidR="006E7B0A" w:rsidRPr="00005453" w:rsidRDefault="006E7B0A" w:rsidP="006E7B0A">
            <w:pPr>
              <w:jc w:val="right"/>
              <w:rPr>
                <w:color w:val="000000"/>
                <w:sz w:val="18"/>
                <w:szCs w:val="18"/>
                <w:lang w:eastAsia="tr-TR"/>
              </w:rPr>
            </w:pPr>
            <w:r w:rsidRPr="00005453">
              <w:rPr>
                <w:color w:val="000000"/>
                <w:sz w:val="18"/>
                <w:szCs w:val="18"/>
              </w:rPr>
              <w:t>18,778,497</w:t>
            </w:r>
          </w:p>
        </w:tc>
        <w:tc>
          <w:tcPr>
            <w:tcW w:w="2369" w:type="dxa"/>
            <w:tcBorders>
              <w:top w:val="nil"/>
              <w:left w:val="nil"/>
              <w:bottom w:val="single" w:sz="8" w:space="0" w:color="auto"/>
              <w:right w:val="single" w:sz="8" w:space="0" w:color="auto"/>
            </w:tcBorders>
            <w:shd w:val="clear" w:color="auto" w:fill="auto"/>
            <w:noWrap/>
            <w:vAlign w:val="center"/>
            <w:hideMark/>
          </w:tcPr>
          <w:p w14:paraId="7FED67BB" w14:textId="482E659E" w:rsidR="006E7B0A" w:rsidRPr="00005453" w:rsidRDefault="006E7B0A" w:rsidP="006E7B0A">
            <w:pPr>
              <w:jc w:val="right"/>
              <w:rPr>
                <w:color w:val="000000"/>
                <w:sz w:val="18"/>
                <w:szCs w:val="18"/>
                <w:lang w:eastAsia="tr-TR"/>
              </w:rPr>
            </w:pPr>
            <w:r w:rsidRPr="00005453">
              <w:rPr>
                <w:color w:val="000000"/>
                <w:sz w:val="18"/>
                <w:szCs w:val="18"/>
                <w:lang w:eastAsia="tr-TR"/>
              </w:rPr>
              <w:t>20,013,621</w:t>
            </w:r>
          </w:p>
        </w:tc>
      </w:tr>
      <w:tr w:rsidR="006E7B0A" w:rsidRPr="00005453" w14:paraId="693A8FD9" w14:textId="77777777" w:rsidTr="004D337A">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0791004" w14:textId="77777777" w:rsidR="006E7B0A" w:rsidRPr="00005453" w:rsidRDefault="006E7B0A" w:rsidP="006E7B0A">
            <w:pPr>
              <w:rPr>
                <w:color w:val="000000"/>
                <w:sz w:val="18"/>
                <w:szCs w:val="18"/>
                <w:lang w:eastAsia="tr-TR"/>
              </w:rPr>
            </w:pPr>
            <w:r w:rsidRPr="00005453">
              <w:rPr>
                <w:color w:val="000000"/>
                <w:sz w:val="18"/>
                <w:szCs w:val="18"/>
                <w:lang w:eastAsia="tr-TR"/>
              </w:rPr>
              <w:t>Gecikmiş</w:t>
            </w:r>
          </w:p>
        </w:tc>
        <w:tc>
          <w:tcPr>
            <w:tcW w:w="2552" w:type="dxa"/>
            <w:tcBorders>
              <w:top w:val="nil"/>
              <w:left w:val="nil"/>
              <w:bottom w:val="single" w:sz="8" w:space="0" w:color="auto"/>
              <w:right w:val="single" w:sz="8" w:space="0" w:color="auto"/>
            </w:tcBorders>
            <w:shd w:val="clear" w:color="auto" w:fill="auto"/>
            <w:noWrap/>
            <w:vAlign w:val="center"/>
            <w:hideMark/>
          </w:tcPr>
          <w:p w14:paraId="5F681CDA" w14:textId="45557E9F" w:rsidR="006E7B0A" w:rsidRPr="00005453" w:rsidRDefault="006E7B0A" w:rsidP="006E7B0A">
            <w:pPr>
              <w:jc w:val="right"/>
              <w:rPr>
                <w:color w:val="000000"/>
                <w:sz w:val="18"/>
                <w:szCs w:val="18"/>
                <w:lang w:eastAsia="tr-TR"/>
              </w:rPr>
            </w:pPr>
            <w:r w:rsidRPr="00005453">
              <w:rPr>
                <w:color w:val="000000"/>
                <w:sz w:val="18"/>
                <w:szCs w:val="18"/>
              </w:rPr>
              <w:t>7,922,684</w:t>
            </w:r>
          </w:p>
        </w:tc>
        <w:tc>
          <w:tcPr>
            <w:tcW w:w="2369" w:type="dxa"/>
            <w:tcBorders>
              <w:top w:val="nil"/>
              <w:left w:val="nil"/>
              <w:bottom w:val="single" w:sz="8" w:space="0" w:color="auto"/>
              <w:right w:val="single" w:sz="8" w:space="0" w:color="auto"/>
            </w:tcBorders>
            <w:shd w:val="clear" w:color="auto" w:fill="auto"/>
            <w:noWrap/>
            <w:vAlign w:val="center"/>
            <w:hideMark/>
          </w:tcPr>
          <w:p w14:paraId="3827C843" w14:textId="2B88AC27" w:rsidR="006E7B0A" w:rsidRPr="00005453" w:rsidRDefault="006E7B0A" w:rsidP="006E7B0A">
            <w:pPr>
              <w:jc w:val="right"/>
              <w:rPr>
                <w:color w:val="000000"/>
                <w:sz w:val="18"/>
                <w:szCs w:val="18"/>
                <w:lang w:eastAsia="tr-TR"/>
              </w:rPr>
            </w:pPr>
            <w:r w:rsidRPr="00005453">
              <w:rPr>
                <w:color w:val="000000"/>
                <w:sz w:val="18"/>
                <w:szCs w:val="18"/>
                <w:lang w:eastAsia="tr-TR"/>
              </w:rPr>
              <w:t>3,905,288</w:t>
            </w:r>
          </w:p>
        </w:tc>
      </w:tr>
      <w:tr w:rsidR="00057FAD" w:rsidRPr="00005453" w14:paraId="49107B55" w14:textId="77777777" w:rsidTr="004D337A">
        <w:trPr>
          <w:divId w:val="754789977"/>
          <w:trHeight w:val="203"/>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AD6C0D" w14:textId="77777777" w:rsidR="00057FAD" w:rsidRPr="00005453" w:rsidRDefault="00057FAD" w:rsidP="00057FAD">
            <w:pPr>
              <w:rPr>
                <w:b/>
                <w:bCs/>
                <w:color w:val="000000"/>
                <w:sz w:val="18"/>
                <w:szCs w:val="18"/>
                <w:lang w:eastAsia="tr-TR"/>
              </w:rPr>
            </w:pPr>
            <w:r w:rsidRPr="00005453">
              <w:rPr>
                <w:b/>
                <w:bCs/>
                <w:color w:val="000000"/>
                <w:sz w:val="18"/>
                <w:szCs w:val="18"/>
                <w:lang w:eastAsia="tr-TR"/>
              </w:rPr>
              <w:t>Toplam</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4616D7A2" w14:textId="546582F5" w:rsidR="00057FAD" w:rsidRPr="00005453" w:rsidRDefault="006E7B0A" w:rsidP="006E7B0A">
            <w:pPr>
              <w:jc w:val="right"/>
              <w:rPr>
                <w:b/>
                <w:bCs/>
                <w:color w:val="000000"/>
                <w:sz w:val="18"/>
                <w:szCs w:val="18"/>
                <w:lang w:eastAsia="tr-TR"/>
              </w:rPr>
            </w:pPr>
            <w:r w:rsidRPr="00005453">
              <w:rPr>
                <w:b/>
                <w:bCs/>
                <w:color w:val="000000"/>
                <w:sz w:val="18"/>
                <w:szCs w:val="18"/>
              </w:rPr>
              <w:t>434,742,175</w:t>
            </w:r>
          </w:p>
        </w:tc>
        <w:tc>
          <w:tcPr>
            <w:tcW w:w="2369" w:type="dxa"/>
            <w:tcBorders>
              <w:top w:val="single" w:sz="8" w:space="0" w:color="auto"/>
              <w:left w:val="nil"/>
              <w:bottom w:val="single" w:sz="8" w:space="0" w:color="auto"/>
              <w:right w:val="single" w:sz="8" w:space="0" w:color="auto"/>
            </w:tcBorders>
            <w:shd w:val="clear" w:color="auto" w:fill="auto"/>
            <w:noWrap/>
            <w:vAlign w:val="center"/>
            <w:hideMark/>
          </w:tcPr>
          <w:p w14:paraId="755B426E" w14:textId="1E360F6E" w:rsidR="00057FAD" w:rsidRPr="00005453" w:rsidRDefault="00057FAD" w:rsidP="00057FAD">
            <w:pPr>
              <w:jc w:val="right"/>
              <w:rPr>
                <w:b/>
                <w:bCs/>
                <w:color w:val="000000"/>
                <w:sz w:val="18"/>
                <w:szCs w:val="18"/>
                <w:lang w:eastAsia="tr-TR"/>
              </w:rPr>
            </w:pPr>
            <w:r w:rsidRPr="00005453">
              <w:rPr>
                <w:b/>
                <w:color w:val="000000"/>
                <w:sz w:val="18"/>
                <w:szCs w:val="18"/>
                <w:lang w:eastAsia="tr-TR"/>
              </w:rPr>
              <w:t>335,298,881</w:t>
            </w:r>
          </w:p>
        </w:tc>
      </w:tr>
    </w:tbl>
    <w:p w14:paraId="4E0AAA5E" w14:textId="6CD54E52" w:rsidR="00C25473" w:rsidRPr="00005453" w:rsidRDefault="007A1089" w:rsidP="00F20AF5">
      <w:pPr>
        <w:ind w:hanging="567"/>
        <w:jc w:val="both"/>
        <w:rPr>
          <w:b/>
          <w:color w:val="000000"/>
        </w:rPr>
      </w:pPr>
      <w:bookmarkStart w:id="60" w:name="_Hlk93325750"/>
      <w:bookmarkStart w:id="61" w:name="OLE_LINK228"/>
      <w:bookmarkEnd w:id="56"/>
      <w:bookmarkEnd w:id="58"/>
      <w:r w:rsidRPr="00005453">
        <w:rPr>
          <w:b/>
          <w:color w:val="000000"/>
        </w:rPr>
        <w:lastRenderedPageBreak/>
        <w:t>10</w:t>
      </w:r>
      <w:r w:rsidR="00C25473" w:rsidRPr="00005453">
        <w:rPr>
          <w:b/>
          <w:color w:val="000000"/>
        </w:rPr>
        <w:t>.6.6.</w:t>
      </w:r>
      <w:r w:rsidRPr="00005453">
        <w:rPr>
          <w:b/>
          <w:color w:val="000000"/>
        </w:rPr>
        <w:t xml:space="preserve"> </w:t>
      </w:r>
      <w:r w:rsidR="00C25473" w:rsidRPr="00005453">
        <w:rPr>
          <w:b/>
          <w:color w:val="000000"/>
        </w:rPr>
        <w:t>Coğrafi bölgeler ve sektör bazında karşılık ayrılan alacak tutarları (muhasebesel açıdan banka tarafından</w:t>
      </w:r>
      <w:r w:rsidR="00C25473" w:rsidRPr="00005453">
        <w:rPr>
          <w:b/>
          <w:color w:val="000000"/>
        </w:rPr>
        <w:br/>
        <w:t>kullanılan tanıma göre) ve ilgili karşılıklar ile aktiften silinen tutarlar</w:t>
      </w:r>
    </w:p>
    <w:bookmarkEnd w:id="60"/>
    <w:bookmarkEnd w:id="61"/>
    <w:p w14:paraId="6A960E5F" w14:textId="5897183D" w:rsidR="00B56E05" w:rsidRPr="00005453" w:rsidRDefault="00B56E05" w:rsidP="00495B04">
      <w:pPr>
        <w:ind w:hanging="567"/>
        <w:rPr>
          <w:lang w:eastAsia="en-GB"/>
        </w:rPr>
      </w:pPr>
    </w:p>
    <w:tbl>
      <w:tblPr>
        <w:tblW w:w="9811" w:type="dxa"/>
        <w:tblCellMar>
          <w:left w:w="70" w:type="dxa"/>
          <w:right w:w="70" w:type="dxa"/>
        </w:tblCellMar>
        <w:tblLook w:val="04A0" w:firstRow="1" w:lastRow="0" w:firstColumn="1" w:lastColumn="0" w:noHBand="0" w:noVBand="1"/>
      </w:tblPr>
      <w:tblGrid>
        <w:gridCol w:w="4541"/>
        <w:gridCol w:w="1923"/>
        <w:gridCol w:w="1748"/>
        <w:gridCol w:w="1599"/>
      </w:tblGrid>
      <w:tr w:rsidR="00B56E05" w:rsidRPr="00005453" w14:paraId="19DCB456" w14:textId="77777777" w:rsidTr="004D337A">
        <w:trPr>
          <w:divId w:val="1238248001"/>
          <w:trHeight w:val="468"/>
        </w:trPr>
        <w:tc>
          <w:tcPr>
            <w:tcW w:w="45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6077E" w14:textId="7C51D645" w:rsidR="00B56E05" w:rsidRPr="00005453" w:rsidRDefault="00B56E05" w:rsidP="00B56E05">
            <w:pPr>
              <w:rPr>
                <w:b/>
                <w:bCs/>
                <w:color w:val="000000"/>
                <w:sz w:val="18"/>
                <w:szCs w:val="18"/>
                <w:lang w:eastAsia="tr-TR"/>
              </w:rPr>
            </w:pPr>
            <w:r w:rsidRPr="00005453">
              <w:rPr>
                <w:b/>
                <w:bCs/>
                <w:color w:val="000000"/>
                <w:sz w:val="18"/>
                <w:szCs w:val="18"/>
                <w:lang w:eastAsia="tr-TR"/>
              </w:rPr>
              <w:t xml:space="preserve">Cari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Sektör</w:t>
            </w:r>
          </w:p>
        </w:tc>
        <w:tc>
          <w:tcPr>
            <w:tcW w:w="1923" w:type="dxa"/>
            <w:tcBorders>
              <w:top w:val="single" w:sz="8" w:space="0" w:color="auto"/>
              <w:left w:val="nil"/>
              <w:bottom w:val="single" w:sz="8" w:space="0" w:color="auto"/>
              <w:right w:val="single" w:sz="8" w:space="0" w:color="auto"/>
            </w:tcBorders>
            <w:shd w:val="clear" w:color="auto" w:fill="auto"/>
            <w:vAlign w:val="center"/>
            <w:hideMark/>
          </w:tcPr>
          <w:p w14:paraId="5CDA1D1A" w14:textId="77777777" w:rsidR="00B56E05" w:rsidRPr="00005453" w:rsidRDefault="00B56E05" w:rsidP="00B56E05">
            <w:pPr>
              <w:jc w:val="right"/>
              <w:rPr>
                <w:b/>
                <w:bCs/>
                <w:color w:val="000000"/>
                <w:sz w:val="18"/>
                <w:szCs w:val="18"/>
                <w:lang w:eastAsia="tr-TR"/>
              </w:rPr>
            </w:pPr>
            <w:r w:rsidRPr="00005453">
              <w:rPr>
                <w:b/>
                <w:bCs/>
                <w:color w:val="000000"/>
                <w:sz w:val="18"/>
                <w:szCs w:val="18"/>
                <w:lang w:eastAsia="tr-TR"/>
              </w:rPr>
              <w:t>Takipteki Alacak Tutarı</w:t>
            </w:r>
          </w:p>
        </w:tc>
        <w:tc>
          <w:tcPr>
            <w:tcW w:w="1748" w:type="dxa"/>
            <w:tcBorders>
              <w:top w:val="single" w:sz="8" w:space="0" w:color="auto"/>
              <w:left w:val="nil"/>
              <w:bottom w:val="single" w:sz="8" w:space="0" w:color="auto"/>
              <w:right w:val="single" w:sz="8" w:space="0" w:color="auto"/>
            </w:tcBorders>
            <w:shd w:val="clear" w:color="auto" w:fill="auto"/>
            <w:vAlign w:val="center"/>
            <w:hideMark/>
          </w:tcPr>
          <w:p w14:paraId="369B4E5B" w14:textId="77777777" w:rsidR="00B56E05" w:rsidRPr="00005453" w:rsidRDefault="00B56E05" w:rsidP="00B56E05">
            <w:pPr>
              <w:jc w:val="right"/>
              <w:rPr>
                <w:b/>
                <w:bCs/>
                <w:color w:val="000000"/>
                <w:sz w:val="18"/>
                <w:szCs w:val="18"/>
                <w:lang w:eastAsia="tr-TR"/>
              </w:rPr>
            </w:pPr>
            <w:r w:rsidRPr="00005453">
              <w:rPr>
                <w:b/>
                <w:bCs/>
                <w:color w:val="000000"/>
                <w:sz w:val="18"/>
                <w:szCs w:val="18"/>
                <w:lang w:eastAsia="tr-TR"/>
              </w:rPr>
              <w:t>Özel Karşılık</w:t>
            </w:r>
          </w:p>
        </w:tc>
        <w:tc>
          <w:tcPr>
            <w:tcW w:w="1599" w:type="dxa"/>
            <w:tcBorders>
              <w:top w:val="single" w:sz="8" w:space="0" w:color="auto"/>
              <w:left w:val="nil"/>
              <w:bottom w:val="single" w:sz="8" w:space="0" w:color="auto"/>
              <w:right w:val="single" w:sz="8" w:space="0" w:color="auto"/>
            </w:tcBorders>
            <w:shd w:val="clear" w:color="auto" w:fill="auto"/>
            <w:vAlign w:val="center"/>
            <w:hideMark/>
          </w:tcPr>
          <w:p w14:paraId="7F19BFB6" w14:textId="434187AD" w:rsidR="00B56E05" w:rsidRPr="00005453" w:rsidRDefault="00B56E05" w:rsidP="00B56E05">
            <w:pPr>
              <w:jc w:val="right"/>
              <w:rPr>
                <w:b/>
                <w:bCs/>
                <w:color w:val="000000"/>
                <w:sz w:val="18"/>
                <w:szCs w:val="18"/>
                <w:lang w:eastAsia="tr-TR"/>
              </w:rPr>
            </w:pPr>
            <w:r w:rsidRPr="00005453">
              <w:rPr>
                <w:b/>
                <w:bCs/>
                <w:color w:val="000000"/>
                <w:sz w:val="18"/>
                <w:szCs w:val="18"/>
                <w:lang w:eastAsia="tr-TR"/>
              </w:rPr>
              <w:t>Aktiften Silinen Tutar</w:t>
            </w:r>
          </w:p>
        </w:tc>
      </w:tr>
      <w:tr w:rsidR="00BE0328" w:rsidRPr="00005453" w14:paraId="62B307E7"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2FF0D9A" w14:textId="77777777" w:rsidR="00BE0328" w:rsidRPr="00005453" w:rsidRDefault="00BE0328" w:rsidP="00BE0328">
            <w:pPr>
              <w:rPr>
                <w:b/>
                <w:bCs/>
                <w:color w:val="000000"/>
                <w:sz w:val="18"/>
                <w:szCs w:val="18"/>
                <w:lang w:eastAsia="tr-TR"/>
              </w:rPr>
            </w:pPr>
            <w:r w:rsidRPr="00005453">
              <w:rPr>
                <w:b/>
                <w:bCs/>
                <w:color w:val="000000"/>
                <w:sz w:val="18"/>
                <w:szCs w:val="18"/>
                <w:lang w:eastAsia="tr-TR"/>
              </w:rPr>
              <w:t>Tarım</w:t>
            </w:r>
          </w:p>
        </w:tc>
        <w:tc>
          <w:tcPr>
            <w:tcW w:w="1923" w:type="dxa"/>
            <w:tcBorders>
              <w:top w:val="nil"/>
              <w:left w:val="nil"/>
              <w:bottom w:val="single" w:sz="8" w:space="0" w:color="auto"/>
              <w:right w:val="single" w:sz="8" w:space="0" w:color="auto"/>
            </w:tcBorders>
            <w:shd w:val="clear" w:color="auto" w:fill="auto"/>
            <w:noWrap/>
            <w:vAlign w:val="center"/>
            <w:hideMark/>
          </w:tcPr>
          <w:p w14:paraId="4DB995ED" w14:textId="03DEED47" w:rsidR="00BE0328" w:rsidRPr="00005453" w:rsidRDefault="00BE0328" w:rsidP="00BE0328">
            <w:pPr>
              <w:jc w:val="right"/>
              <w:rPr>
                <w:b/>
                <w:bCs/>
                <w:color w:val="000000"/>
                <w:sz w:val="18"/>
                <w:szCs w:val="18"/>
                <w:lang w:eastAsia="tr-TR"/>
              </w:rPr>
            </w:pPr>
            <w:r w:rsidRPr="00005453">
              <w:rPr>
                <w:b/>
                <w:bCs/>
                <w:color w:val="000000"/>
                <w:sz w:val="18"/>
                <w:szCs w:val="18"/>
              </w:rPr>
              <w:t>74,574</w:t>
            </w:r>
          </w:p>
        </w:tc>
        <w:tc>
          <w:tcPr>
            <w:tcW w:w="1748" w:type="dxa"/>
            <w:tcBorders>
              <w:top w:val="nil"/>
              <w:left w:val="nil"/>
              <w:bottom w:val="single" w:sz="8" w:space="0" w:color="auto"/>
              <w:right w:val="single" w:sz="8" w:space="0" w:color="auto"/>
            </w:tcBorders>
            <w:shd w:val="clear" w:color="auto" w:fill="auto"/>
            <w:noWrap/>
            <w:vAlign w:val="center"/>
            <w:hideMark/>
          </w:tcPr>
          <w:p w14:paraId="63B97BCA" w14:textId="5C8DEC73" w:rsidR="00BE0328" w:rsidRPr="00005453" w:rsidRDefault="00BE0328" w:rsidP="00BE0328">
            <w:pPr>
              <w:jc w:val="right"/>
              <w:rPr>
                <w:b/>
                <w:bCs/>
                <w:color w:val="000000"/>
                <w:sz w:val="18"/>
                <w:szCs w:val="18"/>
                <w:lang w:eastAsia="tr-TR"/>
              </w:rPr>
            </w:pPr>
            <w:r w:rsidRPr="00005453">
              <w:rPr>
                <w:b/>
                <w:bCs/>
                <w:color w:val="000000"/>
                <w:sz w:val="18"/>
                <w:szCs w:val="18"/>
              </w:rPr>
              <w:t>60,557</w:t>
            </w:r>
          </w:p>
        </w:tc>
        <w:tc>
          <w:tcPr>
            <w:tcW w:w="1599" w:type="dxa"/>
            <w:tcBorders>
              <w:top w:val="nil"/>
              <w:left w:val="nil"/>
              <w:bottom w:val="single" w:sz="8" w:space="0" w:color="auto"/>
              <w:right w:val="single" w:sz="8" w:space="0" w:color="auto"/>
            </w:tcBorders>
            <w:shd w:val="clear" w:color="auto" w:fill="auto"/>
            <w:noWrap/>
            <w:vAlign w:val="center"/>
            <w:hideMark/>
          </w:tcPr>
          <w:p w14:paraId="5DCED44A" w14:textId="775B1835" w:rsidR="00BE0328" w:rsidRPr="00005453" w:rsidRDefault="00BE0328" w:rsidP="00BE0328">
            <w:pPr>
              <w:jc w:val="right"/>
              <w:rPr>
                <w:b/>
                <w:bCs/>
                <w:color w:val="000000"/>
                <w:sz w:val="18"/>
                <w:szCs w:val="18"/>
                <w:lang w:eastAsia="tr-TR"/>
              </w:rPr>
            </w:pPr>
            <w:r w:rsidRPr="00005453">
              <w:rPr>
                <w:b/>
                <w:bCs/>
                <w:color w:val="000000"/>
                <w:sz w:val="18"/>
                <w:szCs w:val="18"/>
              </w:rPr>
              <w:t>1,355</w:t>
            </w:r>
          </w:p>
        </w:tc>
      </w:tr>
      <w:tr w:rsidR="00BE0328" w:rsidRPr="00005453" w14:paraId="5DC14852"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9430DC6" w14:textId="77777777" w:rsidR="00BE0328" w:rsidRPr="00005453" w:rsidRDefault="00BE0328" w:rsidP="00BE0328">
            <w:pPr>
              <w:rPr>
                <w:color w:val="000000"/>
                <w:sz w:val="18"/>
                <w:szCs w:val="18"/>
                <w:lang w:eastAsia="tr-TR"/>
              </w:rPr>
            </w:pPr>
            <w:r w:rsidRPr="00005453">
              <w:rPr>
                <w:color w:val="000000"/>
                <w:sz w:val="18"/>
                <w:szCs w:val="18"/>
                <w:lang w:eastAsia="tr-TR"/>
              </w:rPr>
              <w:t xml:space="preserve">Çiftçilik ve Hayvancılık </w:t>
            </w:r>
          </w:p>
        </w:tc>
        <w:tc>
          <w:tcPr>
            <w:tcW w:w="1923" w:type="dxa"/>
            <w:tcBorders>
              <w:top w:val="nil"/>
              <w:left w:val="nil"/>
              <w:bottom w:val="single" w:sz="8" w:space="0" w:color="auto"/>
              <w:right w:val="single" w:sz="8" w:space="0" w:color="auto"/>
            </w:tcBorders>
            <w:shd w:val="clear" w:color="auto" w:fill="auto"/>
            <w:noWrap/>
            <w:vAlign w:val="center"/>
            <w:hideMark/>
          </w:tcPr>
          <w:p w14:paraId="6C742B23" w14:textId="6C3C6525" w:rsidR="00BE0328" w:rsidRPr="00005453" w:rsidRDefault="00BE0328" w:rsidP="00BE0328">
            <w:pPr>
              <w:jc w:val="right"/>
              <w:rPr>
                <w:bCs/>
                <w:color w:val="000000"/>
                <w:sz w:val="18"/>
                <w:szCs w:val="18"/>
                <w:lang w:eastAsia="tr-TR"/>
              </w:rPr>
            </w:pPr>
            <w:r w:rsidRPr="00005453">
              <w:rPr>
                <w:color w:val="000000"/>
                <w:sz w:val="18"/>
                <w:szCs w:val="18"/>
              </w:rPr>
              <w:t>18,119</w:t>
            </w:r>
          </w:p>
        </w:tc>
        <w:tc>
          <w:tcPr>
            <w:tcW w:w="1748" w:type="dxa"/>
            <w:tcBorders>
              <w:top w:val="nil"/>
              <w:left w:val="nil"/>
              <w:bottom w:val="single" w:sz="8" w:space="0" w:color="auto"/>
              <w:right w:val="single" w:sz="8" w:space="0" w:color="auto"/>
            </w:tcBorders>
            <w:shd w:val="clear" w:color="auto" w:fill="auto"/>
            <w:noWrap/>
            <w:vAlign w:val="center"/>
            <w:hideMark/>
          </w:tcPr>
          <w:p w14:paraId="3FA7BF1F" w14:textId="19D48D7E" w:rsidR="00BE0328" w:rsidRPr="00005453" w:rsidRDefault="00BE0328" w:rsidP="00BE0328">
            <w:pPr>
              <w:jc w:val="right"/>
              <w:rPr>
                <w:bCs/>
                <w:color w:val="000000"/>
                <w:sz w:val="18"/>
                <w:szCs w:val="18"/>
                <w:lang w:eastAsia="tr-TR"/>
              </w:rPr>
            </w:pPr>
            <w:r w:rsidRPr="00005453">
              <w:rPr>
                <w:color w:val="000000"/>
                <w:sz w:val="18"/>
                <w:szCs w:val="18"/>
              </w:rPr>
              <w:t>15,474</w:t>
            </w:r>
          </w:p>
        </w:tc>
        <w:tc>
          <w:tcPr>
            <w:tcW w:w="1599" w:type="dxa"/>
            <w:tcBorders>
              <w:top w:val="nil"/>
              <w:left w:val="nil"/>
              <w:bottom w:val="single" w:sz="8" w:space="0" w:color="auto"/>
              <w:right w:val="single" w:sz="8" w:space="0" w:color="auto"/>
            </w:tcBorders>
            <w:shd w:val="clear" w:color="auto" w:fill="auto"/>
            <w:noWrap/>
            <w:vAlign w:val="center"/>
            <w:hideMark/>
          </w:tcPr>
          <w:p w14:paraId="215BE733" w14:textId="0BD7685E" w:rsidR="00BE0328" w:rsidRPr="00005453" w:rsidRDefault="00BE0328" w:rsidP="00BE0328">
            <w:pPr>
              <w:jc w:val="right"/>
              <w:rPr>
                <w:bCs/>
                <w:color w:val="000000"/>
                <w:sz w:val="18"/>
                <w:szCs w:val="18"/>
                <w:lang w:eastAsia="tr-TR"/>
              </w:rPr>
            </w:pPr>
            <w:r w:rsidRPr="00005453">
              <w:rPr>
                <w:color w:val="000000"/>
                <w:sz w:val="18"/>
                <w:szCs w:val="18"/>
              </w:rPr>
              <w:t>1,284</w:t>
            </w:r>
          </w:p>
        </w:tc>
      </w:tr>
      <w:tr w:rsidR="00BE0328" w:rsidRPr="00005453" w14:paraId="76864749"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B0065DA" w14:textId="77777777" w:rsidR="00BE0328" w:rsidRPr="00005453" w:rsidRDefault="00BE0328" w:rsidP="00BE0328">
            <w:pPr>
              <w:rPr>
                <w:color w:val="000000"/>
                <w:sz w:val="18"/>
                <w:szCs w:val="18"/>
                <w:lang w:eastAsia="tr-TR"/>
              </w:rPr>
            </w:pPr>
            <w:r w:rsidRPr="00005453">
              <w:rPr>
                <w:color w:val="000000"/>
                <w:sz w:val="18"/>
                <w:szCs w:val="18"/>
                <w:lang w:eastAsia="tr-TR"/>
              </w:rPr>
              <w:t>Ormancılık</w:t>
            </w:r>
          </w:p>
        </w:tc>
        <w:tc>
          <w:tcPr>
            <w:tcW w:w="1923" w:type="dxa"/>
            <w:tcBorders>
              <w:top w:val="nil"/>
              <w:left w:val="nil"/>
              <w:bottom w:val="single" w:sz="8" w:space="0" w:color="auto"/>
              <w:right w:val="single" w:sz="8" w:space="0" w:color="auto"/>
            </w:tcBorders>
            <w:shd w:val="clear" w:color="auto" w:fill="auto"/>
            <w:noWrap/>
            <w:vAlign w:val="center"/>
            <w:hideMark/>
          </w:tcPr>
          <w:p w14:paraId="395043E6" w14:textId="58A4640C" w:rsidR="00BE0328" w:rsidRPr="00005453" w:rsidRDefault="00BE0328" w:rsidP="00BE0328">
            <w:pPr>
              <w:jc w:val="right"/>
              <w:rPr>
                <w:bCs/>
                <w:color w:val="000000"/>
                <w:sz w:val="18"/>
                <w:szCs w:val="18"/>
                <w:lang w:eastAsia="tr-TR"/>
              </w:rPr>
            </w:pPr>
            <w:r w:rsidRPr="00005453">
              <w:rPr>
                <w:color w:val="000000"/>
                <w:sz w:val="18"/>
                <w:szCs w:val="18"/>
              </w:rPr>
              <w:t>56,083</w:t>
            </w:r>
          </w:p>
        </w:tc>
        <w:tc>
          <w:tcPr>
            <w:tcW w:w="1748" w:type="dxa"/>
            <w:tcBorders>
              <w:top w:val="nil"/>
              <w:left w:val="nil"/>
              <w:bottom w:val="single" w:sz="8" w:space="0" w:color="auto"/>
              <w:right w:val="single" w:sz="8" w:space="0" w:color="auto"/>
            </w:tcBorders>
            <w:shd w:val="clear" w:color="auto" w:fill="auto"/>
            <w:noWrap/>
            <w:vAlign w:val="center"/>
            <w:hideMark/>
          </w:tcPr>
          <w:p w14:paraId="57499104" w14:textId="30DCD216" w:rsidR="00BE0328" w:rsidRPr="00005453" w:rsidRDefault="00BE0328" w:rsidP="00BE0328">
            <w:pPr>
              <w:jc w:val="right"/>
              <w:rPr>
                <w:bCs/>
                <w:color w:val="000000"/>
                <w:sz w:val="18"/>
                <w:szCs w:val="18"/>
                <w:lang w:eastAsia="tr-TR"/>
              </w:rPr>
            </w:pPr>
            <w:r w:rsidRPr="00005453">
              <w:rPr>
                <w:color w:val="000000"/>
                <w:sz w:val="18"/>
                <w:szCs w:val="18"/>
              </w:rPr>
              <w:t>44,724</w:t>
            </w:r>
          </w:p>
        </w:tc>
        <w:tc>
          <w:tcPr>
            <w:tcW w:w="1599" w:type="dxa"/>
            <w:tcBorders>
              <w:top w:val="nil"/>
              <w:left w:val="nil"/>
              <w:bottom w:val="single" w:sz="8" w:space="0" w:color="auto"/>
              <w:right w:val="single" w:sz="8" w:space="0" w:color="auto"/>
            </w:tcBorders>
            <w:shd w:val="clear" w:color="auto" w:fill="auto"/>
            <w:noWrap/>
            <w:vAlign w:val="center"/>
            <w:hideMark/>
          </w:tcPr>
          <w:p w14:paraId="3C4D24B7" w14:textId="65C28944" w:rsidR="00BE0328" w:rsidRPr="00005453" w:rsidRDefault="00BE0328" w:rsidP="00BE0328">
            <w:pPr>
              <w:jc w:val="right"/>
              <w:rPr>
                <w:bCs/>
                <w:color w:val="000000"/>
                <w:sz w:val="18"/>
                <w:szCs w:val="18"/>
                <w:lang w:eastAsia="tr-TR"/>
              </w:rPr>
            </w:pPr>
            <w:r w:rsidRPr="00005453">
              <w:rPr>
                <w:color w:val="000000"/>
                <w:sz w:val="18"/>
                <w:szCs w:val="18"/>
              </w:rPr>
              <w:t>71</w:t>
            </w:r>
          </w:p>
        </w:tc>
      </w:tr>
      <w:tr w:rsidR="00BE0328" w:rsidRPr="00005453" w14:paraId="225768AF"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869AE50" w14:textId="77777777" w:rsidR="00BE0328" w:rsidRPr="00005453" w:rsidRDefault="00BE0328" w:rsidP="00BE0328">
            <w:pPr>
              <w:rPr>
                <w:color w:val="000000"/>
                <w:sz w:val="18"/>
                <w:szCs w:val="18"/>
                <w:lang w:eastAsia="tr-TR"/>
              </w:rPr>
            </w:pPr>
            <w:r w:rsidRPr="00005453">
              <w:rPr>
                <w:color w:val="000000"/>
                <w:sz w:val="18"/>
                <w:szCs w:val="18"/>
                <w:lang w:eastAsia="tr-TR"/>
              </w:rPr>
              <w:t>Balıkçılık</w:t>
            </w:r>
          </w:p>
        </w:tc>
        <w:tc>
          <w:tcPr>
            <w:tcW w:w="1923" w:type="dxa"/>
            <w:tcBorders>
              <w:top w:val="nil"/>
              <w:left w:val="nil"/>
              <w:bottom w:val="single" w:sz="8" w:space="0" w:color="auto"/>
              <w:right w:val="single" w:sz="8" w:space="0" w:color="auto"/>
            </w:tcBorders>
            <w:shd w:val="clear" w:color="auto" w:fill="auto"/>
            <w:noWrap/>
            <w:vAlign w:val="center"/>
            <w:hideMark/>
          </w:tcPr>
          <w:p w14:paraId="2950F108" w14:textId="1F3FBB39" w:rsidR="00BE0328" w:rsidRPr="00005453" w:rsidRDefault="00BE0328" w:rsidP="00BE0328">
            <w:pPr>
              <w:jc w:val="right"/>
              <w:rPr>
                <w:bCs/>
                <w:color w:val="000000"/>
                <w:sz w:val="18"/>
                <w:szCs w:val="18"/>
                <w:lang w:eastAsia="tr-TR"/>
              </w:rPr>
            </w:pPr>
            <w:r w:rsidRPr="00005453">
              <w:rPr>
                <w:color w:val="000000"/>
                <w:sz w:val="18"/>
                <w:szCs w:val="18"/>
              </w:rPr>
              <w:t>372</w:t>
            </w:r>
          </w:p>
        </w:tc>
        <w:tc>
          <w:tcPr>
            <w:tcW w:w="1748" w:type="dxa"/>
            <w:tcBorders>
              <w:top w:val="nil"/>
              <w:left w:val="nil"/>
              <w:bottom w:val="single" w:sz="8" w:space="0" w:color="auto"/>
              <w:right w:val="single" w:sz="8" w:space="0" w:color="auto"/>
            </w:tcBorders>
            <w:shd w:val="clear" w:color="auto" w:fill="auto"/>
            <w:noWrap/>
            <w:vAlign w:val="center"/>
            <w:hideMark/>
          </w:tcPr>
          <w:p w14:paraId="213B7BB4" w14:textId="372BD250" w:rsidR="00BE0328" w:rsidRPr="00005453" w:rsidRDefault="00BE0328" w:rsidP="00BE0328">
            <w:pPr>
              <w:jc w:val="right"/>
              <w:rPr>
                <w:bCs/>
                <w:color w:val="000000"/>
                <w:sz w:val="18"/>
                <w:szCs w:val="18"/>
                <w:lang w:eastAsia="tr-TR"/>
              </w:rPr>
            </w:pPr>
            <w:r w:rsidRPr="00005453">
              <w:rPr>
                <w:color w:val="000000"/>
                <w:sz w:val="18"/>
                <w:szCs w:val="18"/>
              </w:rPr>
              <w:t>359</w:t>
            </w:r>
          </w:p>
        </w:tc>
        <w:tc>
          <w:tcPr>
            <w:tcW w:w="1599" w:type="dxa"/>
            <w:tcBorders>
              <w:top w:val="nil"/>
              <w:left w:val="nil"/>
              <w:bottom w:val="single" w:sz="8" w:space="0" w:color="auto"/>
              <w:right w:val="single" w:sz="8" w:space="0" w:color="auto"/>
            </w:tcBorders>
            <w:shd w:val="clear" w:color="auto" w:fill="auto"/>
            <w:noWrap/>
            <w:vAlign w:val="center"/>
            <w:hideMark/>
          </w:tcPr>
          <w:p w14:paraId="020559EC" w14:textId="79DBAD13" w:rsidR="00BE0328" w:rsidRPr="00005453" w:rsidRDefault="00BE0328" w:rsidP="00BE0328">
            <w:pPr>
              <w:jc w:val="right"/>
              <w:rPr>
                <w:bCs/>
                <w:color w:val="000000"/>
                <w:sz w:val="18"/>
                <w:szCs w:val="18"/>
                <w:lang w:eastAsia="tr-TR"/>
              </w:rPr>
            </w:pPr>
            <w:r w:rsidRPr="00005453">
              <w:rPr>
                <w:color w:val="000000"/>
                <w:sz w:val="18"/>
                <w:szCs w:val="18"/>
              </w:rPr>
              <w:t>-</w:t>
            </w:r>
          </w:p>
        </w:tc>
      </w:tr>
      <w:tr w:rsidR="00BE0328" w:rsidRPr="00005453" w14:paraId="4FBC0B29"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E57D307" w14:textId="77777777" w:rsidR="00BE0328" w:rsidRPr="00005453" w:rsidRDefault="00BE0328" w:rsidP="00BE0328">
            <w:pPr>
              <w:rPr>
                <w:b/>
                <w:bCs/>
                <w:color w:val="000000"/>
                <w:sz w:val="18"/>
                <w:szCs w:val="18"/>
                <w:lang w:eastAsia="tr-TR"/>
              </w:rPr>
            </w:pPr>
            <w:r w:rsidRPr="00005453">
              <w:rPr>
                <w:b/>
                <w:bCs/>
                <w:color w:val="000000"/>
                <w:sz w:val="18"/>
                <w:szCs w:val="18"/>
                <w:lang w:eastAsia="tr-TR"/>
              </w:rPr>
              <w:t>Sanayi</w:t>
            </w:r>
          </w:p>
        </w:tc>
        <w:tc>
          <w:tcPr>
            <w:tcW w:w="1923" w:type="dxa"/>
            <w:tcBorders>
              <w:top w:val="nil"/>
              <w:left w:val="nil"/>
              <w:bottom w:val="single" w:sz="8" w:space="0" w:color="auto"/>
              <w:right w:val="single" w:sz="8" w:space="0" w:color="auto"/>
            </w:tcBorders>
            <w:shd w:val="clear" w:color="auto" w:fill="auto"/>
            <w:noWrap/>
            <w:vAlign w:val="center"/>
            <w:hideMark/>
          </w:tcPr>
          <w:p w14:paraId="5A4768AA" w14:textId="363FE9F5" w:rsidR="00BE0328" w:rsidRPr="00005453" w:rsidRDefault="00BE0328" w:rsidP="00BE0328">
            <w:pPr>
              <w:jc w:val="right"/>
              <w:rPr>
                <w:b/>
                <w:bCs/>
                <w:color w:val="000000"/>
                <w:sz w:val="18"/>
                <w:szCs w:val="18"/>
                <w:lang w:eastAsia="tr-TR"/>
              </w:rPr>
            </w:pPr>
            <w:r w:rsidRPr="00005453">
              <w:rPr>
                <w:b/>
                <w:bCs/>
                <w:color w:val="000000"/>
                <w:sz w:val="18"/>
                <w:szCs w:val="18"/>
              </w:rPr>
              <w:t>2,398,054</w:t>
            </w:r>
          </w:p>
        </w:tc>
        <w:tc>
          <w:tcPr>
            <w:tcW w:w="1748" w:type="dxa"/>
            <w:tcBorders>
              <w:top w:val="nil"/>
              <w:left w:val="nil"/>
              <w:bottom w:val="single" w:sz="8" w:space="0" w:color="auto"/>
              <w:right w:val="single" w:sz="8" w:space="0" w:color="auto"/>
            </w:tcBorders>
            <w:shd w:val="clear" w:color="auto" w:fill="auto"/>
            <w:noWrap/>
            <w:vAlign w:val="center"/>
            <w:hideMark/>
          </w:tcPr>
          <w:p w14:paraId="008739A6" w14:textId="744BC1F3" w:rsidR="00BE0328" w:rsidRPr="00005453" w:rsidRDefault="00BE0328" w:rsidP="00BE0328">
            <w:pPr>
              <w:jc w:val="right"/>
              <w:rPr>
                <w:b/>
                <w:bCs/>
                <w:color w:val="000000"/>
                <w:sz w:val="18"/>
                <w:szCs w:val="18"/>
                <w:lang w:eastAsia="tr-TR"/>
              </w:rPr>
            </w:pPr>
            <w:r w:rsidRPr="00005453">
              <w:rPr>
                <w:b/>
                <w:bCs/>
                <w:color w:val="000000"/>
                <w:sz w:val="18"/>
                <w:szCs w:val="18"/>
              </w:rPr>
              <w:t>2,066,918</w:t>
            </w:r>
          </w:p>
        </w:tc>
        <w:tc>
          <w:tcPr>
            <w:tcW w:w="1599" w:type="dxa"/>
            <w:tcBorders>
              <w:top w:val="nil"/>
              <w:left w:val="nil"/>
              <w:bottom w:val="single" w:sz="8" w:space="0" w:color="auto"/>
              <w:right w:val="single" w:sz="8" w:space="0" w:color="auto"/>
            </w:tcBorders>
            <w:shd w:val="clear" w:color="auto" w:fill="auto"/>
            <w:noWrap/>
            <w:vAlign w:val="center"/>
            <w:hideMark/>
          </w:tcPr>
          <w:p w14:paraId="5EBB3A65" w14:textId="0D814E8A" w:rsidR="00BE0328" w:rsidRPr="00005453" w:rsidRDefault="00BE0328" w:rsidP="00BE0328">
            <w:pPr>
              <w:jc w:val="right"/>
              <w:rPr>
                <w:b/>
                <w:bCs/>
                <w:color w:val="000000"/>
                <w:sz w:val="18"/>
                <w:szCs w:val="18"/>
                <w:lang w:eastAsia="tr-TR"/>
              </w:rPr>
            </w:pPr>
            <w:r w:rsidRPr="00005453">
              <w:rPr>
                <w:b/>
                <w:bCs/>
                <w:color w:val="000000"/>
                <w:sz w:val="18"/>
                <w:szCs w:val="18"/>
              </w:rPr>
              <w:t>434,264</w:t>
            </w:r>
          </w:p>
        </w:tc>
      </w:tr>
      <w:tr w:rsidR="00BE0328" w:rsidRPr="00005453" w14:paraId="5BFEA777"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C04FA5C" w14:textId="77777777" w:rsidR="00BE0328" w:rsidRPr="00005453" w:rsidRDefault="00BE0328" w:rsidP="00BE0328">
            <w:pPr>
              <w:rPr>
                <w:color w:val="000000"/>
                <w:sz w:val="18"/>
                <w:szCs w:val="18"/>
                <w:lang w:eastAsia="tr-TR"/>
              </w:rPr>
            </w:pPr>
            <w:r w:rsidRPr="00005453">
              <w:rPr>
                <w:color w:val="000000"/>
                <w:sz w:val="18"/>
                <w:szCs w:val="18"/>
                <w:lang w:eastAsia="tr-TR"/>
              </w:rPr>
              <w:t xml:space="preserve">Madencilik ve Taşocakçılığı </w:t>
            </w:r>
          </w:p>
        </w:tc>
        <w:tc>
          <w:tcPr>
            <w:tcW w:w="1923" w:type="dxa"/>
            <w:tcBorders>
              <w:top w:val="nil"/>
              <w:left w:val="nil"/>
              <w:bottom w:val="single" w:sz="8" w:space="0" w:color="auto"/>
              <w:right w:val="single" w:sz="8" w:space="0" w:color="auto"/>
            </w:tcBorders>
            <w:shd w:val="clear" w:color="auto" w:fill="auto"/>
            <w:noWrap/>
            <w:vAlign w:val="center"/>
            <w:hideMark/>
          </w:tcPr>
          <w:p w14:paraId="66058CC9" w14:textId="2C53DE07" w:rsidR="00BE0328" w:rsidRPr="00005453" w:rsidRDefault="00BE0328" w:rsidP="00BE0328">
            <w:pPr>
              <w:jc w:val="right"/>
              <w:rPr>
                <w:bCs/>
                <w:color w:val="000000"/>
                <w:sz w:val="18"/>
                <w:szCs w:val="18"/>
                <w:lang w:eastAsia="tr-TR"/>
              </w:rPr>
            </w:pPr>
            <w:r w:rsidRPr="00005453">
              <w:rPr>
                <w:color w:val="000000"/>
                <w:sz w:val="18"/>
                <w:szCs w:val="18"/>
              </w:rPr>
              <w:t>460,970</w:t>
            </w:r>
          </w:p>
        </w:tc>
        <w:tc>
          <w:tcPr>
            <w:tcW w:w="1748" w:type="dxa"/>
            <w:tcBorders>
              <w:top w:val="nil"/>
              <w:left w:val="nil"/>
              <w:bottom w:val="single" w:sz="8" w:space="0" w:color="auto"/>
              <w:right w:val="single" w:sz="8" w:space="0" w:color="auto"/>
            </w:tcBorders>
            <w:shd w:val="clear" w:color="auto" w:fill="auto"/>
            <w:noWrap/>
            <w:vAlign w:val="center"/>
            <w:hideMark/>
          </w:tcPr>
          <w:p w14:paraId="7DF6F47A" w14:textId="5928477D" w:rsidR="00BE0328" w:rsidRPr="00005453" w:rsidRDefault="00BE0328" w:rsidP="00BE0328">
            <w:pPr>
              <w:jc w:val="right"/>
              <w:rPr>
                <w:bCs/>
                <w:color w:val="000000"/>
                <w:sz w:val="18"/>
                <w:szCs w:val="18"/>
                <w:lang w:eastAsia="tr-TR"/>
              </w:rPr>
            </w:pPr>
            <w:r w:rsidRPr="00005453">
              <w:rPr>
                <w:color w:val="000000"/>
                <w:sz w:val="18"/>
                <w:szCs w:val="18"/>
              </w:rPr>
              <w:t>424,460</w:t>
            </w:r>
          </w:p>
        </w:tc>
        <w:tc>
          <w:tcPr>
            <w:tcW w:w="1599" w:type="dxa"/>
            <w:tcBorders>
              <w:top w:val="nil"/>
              <w:left w:val="nil"/>
              <w:bottom w:val="single" w:sz="8" w:space="0" w:color="auto"/>
              <w:right w:val="single" w:sz="8" w:space="0" w:color="auto"/>
            </w:tcBorders>
            <w:shd w:val="clear" w:color="auto" w:fill="auto"/>
            <w:noWrap/>
            <w:vAlign w:val="center"/>
            <w:hideMark/>
          </w:tcPr>
          <w:p w14:paraId="060DD706" w14:textId="5E72C97E" w:rsidR="00BE0328" w:rsidRPr="00005453" w:rsidRDefault="00BE0328" w:rsidP="00BE0328">
            <w:pPr>
              <w:jc w:val="right"/>
              <w:rPr>
                <w:bCs/>
                <w:color w:val="000000"/>
                <w:sz w:val="18"/>
                <w:szCs w:val="18"/>
                <w:lang w:eastAsia="tr-TR"/>
              </w:rPr>
            </w:pPr>
            <w:r w:rsidRPr="00005453">
              <w:rPr>
                <w:color w:val="000000"/>
                <w:sz w:val="18"/>
                <w:szCs w:val="18"/>
              </w:rPr>
              <w:t>3,756</w:t>
            </w:r>
          </w:p>
        </w:tc>
      </w:tr>
      <w:tr w:rsidR="00BE0328" w:rsidRPr="00005453" w14:paraId="40B69501"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36B7977" w14:textId="77777777" w:rsidR="00BE0328" w:rsidRPr="00005453" w:rsidRDefault="00BE0328" w:rsidP="00BE0328">
            <w:pPr>
              <w:rPr>
                <w:color w:val="000000"/>
                <w:sz w:val="18"/>
                <w:szCs w:val="18"/>
                <w:lang w:eastAsia="tr-TR"/>
              </w:rPr>
            </w:pPr>
            <w:r w:rsidRPr="00005453">
              <w:rPr>
                <w:color w:val="000000"/>
                <w:sz w:val="18"/>
                <w:szCs w:val="18"/>
                <w:lang w:eastAsia="tr-TR"/>
              </w:rPr>
              <w:t>İmalat Sanayi</w:t>
            </w:r>
          </w:p>
        </w:tc>
        <w:tc>
          <w:tcPr>
            <w:tcW w:w="1923" w:type="dxa"/>
            <w:tcBorders>
              <w:top w:val="nil"/>
              <w:left w:val="nil"/>
              <w:bottom w:val="single" w:sz="8" w:space="0" w:color="auto"/>
              <w:right w:val="single" w:sz="8" w:space="0" w:color="auto"/>
            </w:tcBorders>
            <w:shd w:val="clear" w:color="auto" w:fill="auto"/>
            <w:noWrap/>
            <w:vAlign w:val="center"/>
            <w:hideMark/>
          </w:tcPr>
          <w:p w14:paraId="5D1FA006" w14:textId="0E0B1DFF" w:rsidR="00BE0328" w:rsidRPr="00005453" w:rsidRDefault="00BE0328" w:rsidP="00BE0328">
            <w:pPr>
              <w:jc w:val="right"/>
              <w:rPr>
                <w:bCs/>
                <w:color w:val="000000"/>
                <w:sz w:val="18"/>
                <w:szCs w:val="18"/>
                <w:lang w:eastAsia="tr-TR"/>
              </w:rPr>
            </w:pPr>
            <w:r w:rsidRPr="00005453">
              <w:rPr>
                <w:color w:val="000000"/>
                <w:sz w:val="18"/>
                <w:szCs w:val="18"/>
              </w:rPr>
              <w:t>1,917,974</w:t>
            </w:r>
          </w:p>
        </w:tc>
        <w:tc>
          <w:tcPr>
            <w:tcW w:w="1748" w:type="dxa"/>
            <w:tcBorders>
              <w:top w:val="nil"/>
              <w:left w:val="nil"/>
              <w:bottom w:val="single" w:sz="8" w:space="0" w:color="auto"/>
              <w:right w:val="single" w:sz="8" w:space="0" w:color="auto"/>
            </w:tcBorders>
            <w:shd w:val="clear" w:color="auto" w:fill="auto"/>
            <w:noWrap/>
            <w:vAlign w:val="center"/>
            <w:hideMark/>
          </w:tcPr>
          <w:p w14:paraId="214ADF32" w14:textId="6AB0E2B8" w:rsidR="00BE0328" w:rsidRPr="00005453" w:rsidRDefault="00BE0328" w:rsidP="00BE0328">
            <w:pPr>
              <w:jc w:val="right"/>
              <w:rPr>
                <w:bCs/>
                <w:color w:val="000000"/>
                <w:sz w:val="18"/>
                <w:szCs w:val="18"/>
                <w:lang w:eastAsia="tr-TR"/>
              </w:rPr>
            </w:pPr>
            <w:r w:rsidRPr="00005453">
              <w:rPr>
                <w:color w:val="000000"/>
                <w:sz w:val="18"/>
                <w:szCs w:val="18"/>
              </w:rPr>
              <w:t>1,627,037</w:t>
            </w:r>
          </w:p>
        </w:tc>
        <w:tc>
          <w:tcPr>
            <w:tcW w:w="1599" w:type="dxa"/>
            <w:tcBorders>
              <w:top w:val="nil"/>
              <w:left w:val="nil"/>
              <w:bottom w:val="single" w:sz="8" w:space="0" w:color="auto"/>
              <w:right w:val="single" w:sz="8" w:space="0" w:color="auto"/>
            </w:tcBorders>
            <w:shd w:val="clear" w:color="auto" w:fill="auto"/>
            <w:noWrap/>
            <w:vAlign w:val="center"/>
            <w:hideMark/>
          </w:tcPr>
          <w:p w14:paraId="506152E9" w14:textId="781A39E0" w:rsidR="00BE0328" w:rsidRPr="00005453" w:rsidRDefault="00BE0328" w:rsidP="00BE0328">
            <w:pPr>
              <w:jc w:val="right"/>
              <w:rPr>
                <w:bCs/>
                <w:color w:val="000000"/>
                <w:sz w:val="18"/>
                <w:szCs w:val="18"/>
                <w:lang w:eastAsia="tr-TR"/>
              </w:rPr>
            </w:pPr>
            <w:r w:rsidRPr="00005453">
              <w:rPr>
                <w:color w:val="000000"/>
                <w:sz w:val="18"/>
                <w:szCs w:val="18"/>
              </w:rPr>
              <w:t>304,699</w:t>
            </w:r>
          </w:p>
        </w:tc>
      </w:tr>
      <w:tr w:rsidR="00BE0328" w:rsidRPr="00005453" w14:paraId="4609AAA9"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77F1178" w14:textId="77777777" w:rsidR="00BE0328" w:rsidRPr="00005453" w:rsidRDefault="00BE0328" w:rsidP="00BE0328">
            <w:pPr>
              <w:rPr>
                <w:color w:val="000000"/>
                <w:sz w:val="18"/>
                <w:szCs w:val="18"/>
                <w:lang w:eastAsia="tr-TR"/>
              </w:rPr>
            </w:pPr>
            <w:r w:rsidRPr="00005453">
              <w:rPr>
                <w:color w:val="000000"/>
                <w:sz w:val="18"/>
                <w:szCs w:val="18"/>
                <w:lang w:eastAsia="tr-TR"/>
              </w:rPr>
              <w:t>Elektrik, Gaz, Su</w:t>
            </w:r>
          </w:p>
        </w:tc>
        <w:tc>
          <w:tcPr>
            <w:tcW w:w="1923" w:type="dxa"/>
            <w:tcBorders>
              <w:top w:val="nil"/>
              <w:left w:val="nil"/>
              <w:bottom w:val="single" w:sz="8" w:space="0" w:color="auto"/>
              <w:right w:val="single" w:sz="8" w:space="0" w:color="auto"/>
            </w:tcBorders>
            <w:shd w:val="clear" w:color="auto" w:fill="auto"/>
            <w:noWrap/>
            <w:vAlign w:val="center"/>
            <w:hideMark/>
          </w:tcPr>
          <w:p w14:paraId="20CDF4B9" w14:textId="10851874" w:rsidR="00BE0328" w:rsidRPr="00005453" w:rsidRDefault="00BE0328" w:rsidP="00BE0328">
            <w:pPr>
              <w:jc w:val="right"/>
              <w:rPr>
                <w:bCs/>
                <w:color w:val="000000"/>
                <w:sz w:val="18"/>
                <w:szCs w:val="18"/>
                <w:lang w:eastAsia="tr-TR"/>
              </w:rPr>
            </w:pPr>
            <w:r w:rsidRPr="00005453">
              <w:rPr>
                <w:color w:val="000000"/>
                <w:sz w:val="18"/>
                <w:szCs w:val="18"/>
              </w:rPr>
              <w:t>19,110</w:t>
            </w:r>
          </w:p>
        </w:tc>
        <w:tc>
          <w:tcPr>
            <w:tcW w:w="1748" w:type="dxa"/>
            <w:tcBorders>
              <w:top w:val="nil"/>
              <w:left w:val="nil"/>
              <w:bottom w:val="single" w:sz="8" w:space="0" w:color="auto"/>
              <w:right w:val="single" w:sz="8" w:space="0" w:color="auto"/>
            </w:tcBorders>
            <w:shd w:val="clear" w:color="auto" w:fill="auto"/>
            <w:noWrap/>
            <w:vAlign w:val="center"/>
            <w:hideMark/>
          </w:tcPr>
          <w:p w14:paraId="183225AA" w14:textId="0E73A311" w:rsidR="00BE0328" w:rsidRPr="00005453" w:rsidRDefault="00BE0328" w:rsidP="00BE0328">
            <w:pPr>
              <w:jc w:val="right"/>
              <w:rPr>
                <w:bCs/>
                <w:color w:val="000000"/>
                <w:sz w:val="18"/>
                <w:szCs w:val="18"/>
                <w:lang w:eastAsia="tr-TR"/>
              </w:rPr>
            </w:pPr>
            <w:r w:rsidRPr="00005453">
              <w:rPr>
                <w:color w:val="000000"/>
                <w:sz w:val="18"/>
                <w:szCs w:val="18"/>
              </w:rPr>
              <w:t>15,421</w:t>
            </w:r>
          </w:p>
        </w:tc>
        <w:tc>
          <w:tcPr>
            <w:tcW w:w="1599" w:type="dxa"/>
            <w:tcBorders>
              <w:top w:val="nil"/>
              <w:left w:val="nil"/>
              <w:bottom w:val="single" w:sz="8" w:space="0" w:color="auto"/>
              <w:right w:val="single" w:sz="8" w:space="0" w:color="auto"/>
            </w:tcBorders>
            <w:shd w:val="clear" w:color="auto" w:fill="auto"/>
            <w:noWrap/>
            <w:vAlign w:val="center"/>
            <w:hideMark/>
          </w:tcPr>
          <w:p w14:paraId="56DBB709" w14:textId="08DB0E74" w:rsidR="00BE0328" w:rsidRPr="00005453" w:rsidRDefault="00BE0328" w:rsidP="00BE0328">
            <w:pPr>
              <w:jc w:val="right"/>
              <w:rPr>
                <w:bCs/>
                <w:color w:val="000000"/>
                <w:sz w:val="18"/>
                <w:szCs w:val="18"/>
                <w:lang w:eastAsia="tr-TR"/>
              </w:rPr>
            </w:pPr>
            <w:r w:rsidRPr="00005453">
              <w:rPr>
                <w:color w:val="000000"/>
                <w:sz w:val="18"/>
                <w:szCs w:val="18"/>
              </w:rPr>
              <w:t>125,809</w:t>
            </w:r>
          </w:p>
        </w:tc>
      </w:tr>
      <w:tr w:rsidR="00BE0328" w:rsidRPr="00005453" w14:paraId="2F1D1946"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BE4FFCA" w14:textId="77777777" w:rsidR="00BE0328" w:rsidRPr="00005453" w:rsidRDefault="00BE0328" w:rsidP="00BE0328">
            <w:pPr>
              <w:rPr>
                <w:b/>
                <w:bCs/>
                <w:color w:val="000000"/>
                <w:sz w:val="18"/>
                <w:szCs w:val="18"/>
                <w:lang w:eastAsia="tr-TR"/>
              </w:rPr>
            </w:pPr>
            <w:r w:rsidRPr="00005453">
              <w:rPr>
                <w:b/>
                <w:bCs/>
                <w:color w:val="000000"/>
                <w:sz w:val="18"/>
                <w:szCs w:val="18"/>
                <w:lang w:eastAsia="tr-TR"/>
              </w:rPr>
              <w:t>İnşaat</w:t>
            </w:r>
          </w:p>
        </w:tc>
        <w:tc>
          <w:tcPr>
            <w:tcW w:w="1923" w:type="dxa"/>
            <w:tcBorders>
              <w:top w:val="nil"/>
              <w:left w:val="nil"/>
              <w:bottom w:val="single" w:sz="8" w:space="0" w:color="auto"/>
              <w:right w:val="single" w:sz="8" w:space="0" w:color="auto"/>
            </w:tcBorders>
            <w:shd w:val="clear" w:color="auto" w:fill="auto"/>
            <w:noWrap/>
            <w:vAlign w:val="center"/>
            <w:hideMark/>
          </w:tcPr>
          <w:p w14:paraId="1B35E5E4" w14:textId="0E05213C" w:rsidR="00BE0328" w:rsidRPr="00005453" w:rsidRDefault="00BE0328" w:rsidP="00BE0328">
            <w:pPr>
              <w:jc w:val="right"/>
              <w:rPr>
                <w:b/>
                <w:bCs/>
                <w:color w:val="000000"/>
                <w:sz w:val="18"/>
                <w:szCs w:val="18"/>
                <w:lang w:eastAsia="tr-TR"/>
              </w:rPr>
            </w:pPr>
            <w:r w:rsidRPr="00005453">
              <w:rPr>
                <w:b/>
                <w:bCs/>
                <w:color w:val="000000"/>
                <w:sz w:val="18"/>
                <w:szCs w:val="18"/>
              </w:rPr>
              <w:t>1,184,343</w:t>
            </w:r>
          </w:p>
        </w:tc>
        <w:tc>
          <w:tcPr>
            <w:tcW w:w="1748" w:type="dxa"/>
            <w:tcBorders>
              <w:top w:val="nil"/>
              <w:left w:val="nil"/>
              <w:bottom w:val="single" w:sz="8" w:space="0" w:color="auto"/>
              <w:right w:val="single" w:sz="8" w:space="0" w:color="auto"/>
            </w:tcBorders>
            <w:shd w:val="clear" w:color="auto" w:fill="auto"/>
            <w:noWrap/>
            <w:vAlign w:val="center"/>
            <w:hideMark/>
          </w:tcPr>
          <w:p w14:paraId="7DC118E4" w14:textId="14D362E8" w:rsidR="00BE0328" w:rsidRPr="00005453" w:rsidRDefault="00BE0328" w:rsidP="00BE0328">
            <w:pPr>
              <w:jc w:val="right"/>
              <w:rPr>
                <w:b/>
                <w:bCs/>
                <w:color w:val="000000"/>
                <w:sz w:val="18"/>
                <w:szCs w:val="18"/>
                <w:lang w:eastAsia="tr-TR"/>
              </w:rPr>
            </w:pPr>
            <w:r w:rsidRPr="00005453">
              <w:rPr>
                <w:b/>
                <w:bCs/>
                <w:color w:val="000000"/>
                <w:sz w:val="18"/>
                <w:szCs w:val="18"/>
              </w:rPr>
              <w:t>1,222,259</w:t>
            </w:r>
          </w:p>
        </w:tc>
        <w:tc>
          <w:tcPr>
            <w:tcW w:w="1599" w:type="dxa"/>
            <w:tcBorders>
              <w:top w:val="nil"/>
              <w:left w:val="nil"/>
              <w:bottom w:val="single" w:sz="8" w:space="0" w:color="auto"/>
              <w:right w:val="single" w:sz="8" w:space="0" w:color="auto"/>
            </w:tcBorders>
            <w:shd w:val="clear" w:color="auto" w:fill="auto"/>
            <w:noWrap/>
            <w:vAlign w:val="center"/>
            <w:hideMark/>
          </w:tcPr>
          <w:p w14:paraId="73E4E474" w14:textId="0F55864A" w:rsidR="00BE0328" w:rsidRPr="00005453" w:rsidRDefault="00BE0328" w:rsidP="00BE0328">
            <w:pPr>
              <w:jc w:val="right"/>
              <w:rPr>
                <w:b/>
                <w:bCs/>
                <w:color w:val="000000"/>
                <w:sz w:val="18"/>
                <w:szCs w:val="18"/>
                <w:lang w:eastAsia="tr-TR"/>
              </w:rPr>
            </w:pPr>
            <w:r w:rsidRPr="00005453">
              <w:rPr>
                <w:b/>
                <w:bCs/>
                <w:color w:val="000000"/>
                <w:sz w:val="18"/>
                <w:szCs w:val="18"/>
              </w:rPr>
              <w:t>28,391</w:t>
            </w:r>
          </w:p>
        </w:tc>
      </w:tr>
      <w:tr w:rsidR="00BE0328" w:rsidRPr="00005453" w14:paraId="02C35426"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A5F51E6" w14:textId="77777777" w:rsidR="00BE0328" w:rsidRPr="00005453" w:rsidRDefault="00BE0328" w:rsidP="00BE0328">
            <w:pPr>
              <w:rPr>
                <w:b/>
                <w:bCs/>
                <w:color w:val="000000"/>
                <w:sz w:val="18"/>
                <w:szCs w:val="18"/>
                <w:lang w:eastAsia="tr-TR"/>
              </w:rPr>
            </w:pPr>
            <w:r w:rsidRPr="00005453">
              <w:rPr>
                <w:b/>
                <w:bCs/>
                <w:color w:val="000000"/>
                <w:sz w:val="18"/>
                <w:szCs w:val="18"/>
                <w:lang w:eastAsia="tr-TR"/>
              </w:rPr>
              <w:t>Hizmetler</w:t>
            </w:r>
          </w:p>
        </w:tc>
        <w:tc>
          <w:tcPr>
            <w:tcW w:w="1923" w:type="dxa"/>
            <w:tcBorders>
              <w:top w:val="nil"/>
              <w:left w:val="nil"/>
              <w:bottom w:val="single" w:sz="8" w:space="0" w:color="auto"/>
              <w:right w:val="single" w:sz="8" w:space="0" w:color="auto"/>
            </w:tcBorders>
            <w:shd w:val="clear" w:color="auto" w:fill="auto"/>
            <w:noWrap/>
            <w:vAlign w:val="center"/>
            <w:hideMark/>
          </w:tcPr>
          <w:p w14:paraId="05D59244" w14:textId="229B756C" w:rsidR="00BE0328" w:rsidRPr="00005453" w:rsidRDefault="00BE0328" w:rsidP="00BE0328">
            <w:pPr>
              <w:jc w:val="right"/>
              <w:rPr>
                <w:b/>
                <w:bCs/>
                <w:color w:val="000000"/>
                <w:sz w:val="18"/>
                <w:szCs w:val="18"/>
                <w:lang w:eastAsia="tr-TR"/>
              </w:rPr>
            </w:pPr>
            <w:r w:rsidRPr="00005453">
              <w:rPr>
                <w:b/>
                <w:bCs/>
                <w:color w:val="000000"/>
                <w:sz w:val="18"/>
                <w:szCs w:val="18"/>
              </w:rPr>
              <w:t>2,456,784</w:t>
            </w:r>
          </w:p>
        </w:tc>
        <w:tc>
          <w:tcPr>
            <w:tcW w:w="1748" w:type="dxa"/>
            <w:tcBorders>
              <w:top w:val="nil"/>
              <w:left w:val="nil"/>
              <w:bottom w:val="single" w:sz="8" w:space="0" w:color="auto"/>
              <w:right w:val="single" w:sz="8" w:space="0" w:color="auto"/>
            </w:tcBorders>
            <w:shd w:val="clear" w:color="auto" w:fill="auto"/>
            <w:noWrap/>
            <w:vAlign w:val="center"/>
            <w:hideMark/>
          </w:tcPr>
          <w:p w14:paraId="6D58E689" w14:textId="7FEED1BE" w:rsidR="00BE0328" w:rsidRPr="00005453" w:rsidRDefault="00BE0328" w:rsidP="00BE0328">
            <w:pPr>
              <w:jc w:val="right"/>
              <w:rPr>
                <w:b/>
                <w:bCs/>
                <w:color w:val="000000"/>
                <w:sz w:val="18"/>
                <w:szCs w:val="18"/>
                <w:lang w:eastAsia="tr-TR"/>
              </w:rPr>
            </w:pPr>
            <w:r w:rsidRPr="00005453">
              <w:rPr>
                <w:b/>
                <w:bCs/>
                <w:color w:val="000000"/>
                <w:sz w:val="18"/>
                <w:szCs w:val="18"/>
              </w:rPr>
              <w:t>1,913,204</w:t>
            </w:r>
          </w:p>
        </w:tc>
        <w:tc>
          <w:tcPr>
            <w:tcW w:w="1599" w:type="dxa"/>
            <w:tcBorders>
              <w:top w:val="nil"/>
              <w:left w:val="nil"/>
              <w:bottom w:val="single" w:sz="8" w:space="0" w:color="auto"/>
              <w:right w:val="single" w:sz="8" w:space="0" w:color="auto"/>
            </w:tcBorders>
            <w:shd w:val="clear" w:color="auto" w:fill="auto"/>
            <w:noWrap/>
            <w:vAlign w:val="center"/>
            <w:hideMark/>
          </w:tcPr>
          <w:p w14:paraId="0690F994" w14:textId="548F3DEF" w:rsidR="00BE0328" w:rsidRPr="00005453" w:rsidRDefault="00BE0328" w:rsidP="00BE0328">
            <w:pPr>
              <w:jc w:val="right"/>
              <w:rPr>
                <w:b/>
                <w:bCs/>
                <w:color w:val="000000"/>
                <w:sz w:val="18"/>
                <w:szCs w:val="18"/>
                <w:lang w:eastAsia="tr-TR"/>
              </w:rPr>
            </w:pPr>
            <w:r w:rsidRPr="00005453">
              <w:rPr>
                <w:b/>
                <w:bCs/>
                <w:color w:val="000000"/>
                <w:sz w:val="18"/>
                <w:szCs w:val="18"/>
              </w:rPr>
              <w:t>805,045</w:t>
            </w:r>
          </w:p>
        </w:tc>
      </w:tr>
      <w:tr w:rsidR="00BE0328" w:rsidRPr="00005453" w14:paraId="0EEDFF76"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A7FDDD2" w14:textId="77777777" w:rsidR="00BE0328" w:rsidRPr="00005453" w:rsidRDefault="00BE0328" w:rsidP="00BE0328">
            <w:pPr>
              <w:rPr>
                <w:color w:val="000000"/>
                <w:sz w:val="18"/>
                <w:szCs w:val="18"/>
                <w:lang w:eastAsia="tr-TR"/>
              </w:rPr>
            </w:pPr>
            <w:r w:rsidRPr="00005453">
              <w:rPr>
                <w:color w:val="000000"/>
                <w:sz w:val="18"/>
                <w:szCs w:val="18"/>
                <w:lang w:eastAsia="tr-TR"/>
              </w:rPr>
              <w:t>Toptan ve Perakende Ticaret</w:t>
            </w:r>
          </w:p>
        </w:tc>
        <w:tc>
          <w:tcPr>
            <w:tcW w:w="1923" w:type="dxa"/>
            <w:tcBorders>
              <w:top w:val="nil"/>
              <w:left w:val="nil"/>
              <w:bottom w:val="single" w:sz="8" w:space="0" w:color="auto"/>
              <w:right w:val="single" w:sz="8" w:space="0" w:color="auto"/>
            </w:tcBorders>
            <w:shd w:val="clear" w:color="auto" w:fill="auto"/>
            <w:noWrap/>
            <w:vAlign w:val="center"/>
            <w:hideMark/>
          </w:tcPr>
          <w:p w14:paraId="366D749E" w14:textId="5F5BB23A" w:rsidR="00BE0328" w:rsidRPr="00005453" w:rsidRDefault="00BE0328" w:rsidP="00BE0328">
            <w:pPr>
              <w:jc w:val="right"/>
              <w:rPr>
                <w:bCs/>
                <w:color w:val="000000"/>
                <w:sz w:val="18"/>
                <w:szCs w:val="18"/>
                <w:lang w:eastAsia="tr-TR"/>
              </w:rPr>
            </w:pPr>
            <w:r w:rsidRPr="00005453">
              <w:rPr>
                <w:color w:val="000000"/>
                <w:sz w:val="18"/>
                <w:szCs w:val="18"/>
              </w:rPr>
              <w:t>1,179,772</w:t>
            </w:r>
          </w:p>
        </w:tc>
        <w:tc>
          <w:tcPr>
            <w:tcW w:w="1748" w:type="dxa"/>
            <w:tcBorders>
              <w:top w:val="nil"/>
              <w:left w:val="nil"/>
              <w:bottom w:val="single" w:sz="8" w:space="0" w:color="auto"/>
              <w:right w:val="single" w:sz="8" w:space="0" w:color="auto"/>
            </w:tcBorders>
            <w:shd w:val="clear" w:color="auto" w:fill="auto"/>
            <w:noWrap/>
            <w:vAlign w:val="center"/>
            <w:hideMark/>
          </w:tcPr>
          <w:p w14:paraId="201FAC24" w14:textId="0549306A" w:rsidR="00BE0328" w:rsidRPr="00005453" w:rsidRDefault="00BE0328" w:rsidP="00BE0328">
            <w:pPr>
              <w:jc w:val="right"/>
              <w:rPr>
                <w:bCs/>
                <w:color w:val="000000"/>
                <w:sz w:val="18"/>
                <w:szCs w:val="18"/>
                <w:lang w:eastAsia="tr-TR"/>
              </w:rPr>
            </w:pPr>
            <w:r w:rsidRPr="00005453">
              <w:rPr>
                <w:color w:val="000000"/>
                <w:sz w:val="18"/>
                <w:szCs w:val="18"/>
              </w:rPr>
              <w:t>1,025,819</w:t>
            </w:r>
          </w:p>
        </w:tc>
        <w:tc>
          <w:tcPr>
            <w:tcW w:w="1599" w:type="dxa"/>
            <w:tcBorders>
              <w:top w:val="nil"/>
              <w:left w:val="nil"/>
              <w:bottom w:val="single" w:sz="8" w:space="0" w:color="auto"/>
              <w:right w:val="single" w:sz="8" w:space="0" w:color="auto"/>
            </w:tcBorders>
            <w:shd w:val="clear" w:color="auto" w:fill="auto"/>
            <w:noWrap/>
            <w:vAlign w:val="center"/>
            <w:hideMark/>
          </w:tcPr>
          <w:p w14:paraId="7A1B9347" w14:textId="304ED518" w:rsidR="00BE0328" w:rsidRPr="00005453" w:rsidRDefault="00BE0328" w:rsidP="00BE0328">
            <w:pPr>
              <w:jc w:val="right"/>
              <w:rPr>
                <w:bCs/>
                <w:color w:val="000000"/>
                <w:sz w:val="18"/>
                <w:szCs w:val="18"/>
                <w:lang w:eastAsia="tr-TR"/>
              </w:rPr>
            </w:pPr>
            <w:r w:rsidRPr="00005453">
              <w:rPr>
                <w:color w:val="000000"/>
                <w:sz w:val="18"/>
                <w:szCs w:val="18"/>
              </w:rPr>
              <w:t>376,303</w:t>
            </w:r>
          </w:p>
        </w:tc>
      </w:tr>
      <w:tr w:rsidR="00BE0328" w:rsidRPr="00005453" w14:paraId="313DFEDB"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B6DFE4C" w14:textId="77777777" w:rsidR="00BE0328" w:rsidRPr="00005453" w:rsidRDefault="00BE0328" w:rsidP="00BE0328">
            <w:pPr>
              <w:rPr>
                <w:color w:val="000000"/>
                <w:sz w:val="18"/>
                <w:szCs w:val="18"/>
                <w:lang w:eastAsia="tr-TR"/>
              </w:rPr>
            </w:pPr>
            <w:r w:rsidRPr="00005453">
              <w:rPr>
                <w:color w:val="000000"/>
                <w:sz w:val="18"/>
                <w:szCs w:val="18"/>
                <w:lang w:eastAsia="tr-TR"/>
              </w:rPr>
              <w:t>Otel ve Lokanta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25C19ECD" w14:textId="69653234" w:rsidR="00BE0328" w:rsidRPr="00005453" w:rsidRDefault="00BE0328" w:rsidP="00BE0328">
            <w:pPr>
              <w:jc w:val="right"/>
              <w:rPr>
                <w:bCs/>
                <w:color w:val="000000"/>
                <w:sz w:val="18"/>
                <w:szCs w:val="18"/>
                <w:lang w:eastAsia="tr-TR"/>
              </w:rPr>
            </w:pPr>
            <w:r w:rsidRPr="00005453">
              <w:rPr>
                <w:color w:val="000000"/>
                <w:sz w:val="18"/>
                <w:szCs w:val="18"/>
              </w:rPr>
              <w:t>155,666</w:t>
            </w:r>
          </w:p>
        </w:tc>
        <w:tc>
          <w:tcPr>
            <w:tcW w:w="1748" w:type="dxa"/>
            <w:tcBorders>
              <w:top w:val="nil"/>
              <w:left w:val="nil"/>
              <w:bottom w:val="single" w:sz="8" w:space="0" w:color="auto"/>
              <w:right w:val="single" w:sz="8" w:space="0" w:color="auto"/>
            </w:tcBorders>
            <w:shd w:val="clear" w:color="auto" w:fill="auto"/>
            <w:noWrap/>
            <w:vAlign w:val="center"/>
            <w:hideMark/>
          </w:tcPr>
          <w:p w14:paraId="0FF5D540" w14:textId="47758110" w:rsidR="00BE0328" w:rsidRPr="00005453" w:rsidRDefault="00BE0328" w:rsidP="00BE0328">
            <w:pPr>
              <w:jc w:val="right"/>
              <w:rPr>
                <w:bCs/>
                <w:color w:val="000000"/>
                <w:sz w:val="18"/>
                <w:szCs w:val="18"/>
                <w:lang w:eastAsia="tr-TR"/>
              </w:rPr>
            </w:pPr>
            <w:r w:rsidRPr="00005453">
              <w:rPr>
                <w:color w:val="000000"/>
                <w:sz w:val="18"/>
                <w:szCs w:val="18"/>
              </w:rPr>
              <w:t>132,019</w:t>
            </w:r>
          </w:p>
        </w:tc>
        <w:tc>
          <w:tcPr>
            <w:tcW w:w="1599" w:type="dxa"/>
            <w:tcBorders>
              <w:top w:val="nil"/>
              <w:left w:val="nil"/>
              <w:bottom w:val="single" w:sz="8" w:space="0" w:color="auto"/>
              <w:right w:val="single" w:sz="8" w:space="0" w:color="auto"/>
            </w:tcBorders>
            <w:shd w:val="clear" w:color="auto" w:fill="auto"/>
            <w:noWrap/>
            <w:vAlign w:val="center"/>
            <w:hideMark/>
          </w:tcPr>
          <w:p w14:paraId="6502A342" w14:textId="4B0DC0EC" w:rsidR="00BE0328" w:rsidRPr="00005453" w:rsidRDefault="00BE0328" w:rsidP="00BE0328">
            <w:pPr>
              <w:jc w:val="right"/>
              <w:rPr>
                <w:bCs/>
                <w:color w:val="000000"/>
                <w:sz w:val="18"/>
                <w:szCs w:val="18"/>
                <w:lang w:eastAsia="tr-TR"/>
              </w:rPr>
            </w:pPr>
            <w:r w:rsidRPr="00005453">
              <w:rPr>
                <w:color w:val="000000"/>
                <w:sz w:val="18"/>
                <w:szCs w:val="18"/>
              </w:rPr>
              <w:t>251,823</w:t>
            </w:r>
          </w:p>
        </w:tc>
      </w:tr>
      <w:tr w:rsidR="00BE0328" w:rsidRPr="00005453" w14:paraId="50161BF5"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266F645" w14:textId="77777777" w:rsidR="00BE0328" w:rsidRPr="00005453" w:rsidRDefault="00BE0328" w:rsidP="00BE0328">
            <w:pPr>
              <w:rPr>
                <w:color w:val="000000"/>
                <w:sz w:val="18"/>
                <w:szCs w:val="18"/>
                <w:lang w:eastAsia="tr-TR"/>
              </w:rPr>
            </w:pPr>
            <w:r w:rsidRPr="00005453">
              <w:rPr>
                <w:color w:val="000000"/>
                <w:sz w:val="18"/>
                <w:szCs w:val="18"/>
                <w:lang w:eastAsia="tr-TR"/>
              </w:rPr>
              <w:t>Ulaştırma Ve Haberleşme</w:t>
            </w:r>
          </w:p>
        </w:tc>
        <w:tc>
          <w:tcPr>
            <w:tcW w:w="1923" w:type="dxa"/>
            <w:tcBorders>
              <w:top w:val="nil"/>
              <w:left w:val="nil"/>
              <w:bottom w:val="single" w:sz="8" w:space="0" w:color="auto"/>
              <w:right w:val="single" w:sz="8" w:space="0" w:color="auto"/>
            </w:tcBorders>
            <w:shd w:val="clear" w:color="auto" w:fill="auto"/>
            <w:noWrap/>
            <w:vAlign w:val="center"/>
            <w:hideMark/>
          </w:tcPr>
          <w:p w14:paraId="33027F52" w14:textId="76CD1D0D" w:rsidR="00BE0328" w:rsidRPr="00005453" w:rsidRDefault="00BE0328" w:rsidP="00BE0328">
            <w:pPr>
              <w:jc w:val="right"/>
              <w:rPr>
                <w:bCs/>
                <w:color w:val="000000"/>
                <w:sz w:val="18"/>
                <w:szCs w:val="18"/>
                <w:lang w:eastAsia="tr-TR"/>
              </w:rPr>
            </w:pPr>
            <w:r w:rsidRPr="00005453">
              <w:rPr>
                <w:color w:val="000000"/>
                <w:sz w:val="18"/>
                <w:szCs w:val="18"/>
              </w:rPr>
              <w:t>548,557</w:t>
            </w:r>
          </w:p>
        </w:tc>
        <w:tc>
          <w:tcPr>
            <w:tcW w:w="1748" w:type="dxa"/>
            <w:tcBorders>
              <w:top w:val="nil"/>
              <w:left w:val="nil"/>
              <w:bottom w:val="single" w:sz="8" w:space="0" w:color="auto"/>
              <w:right w:val="single" w:sz="8" w:space="0" w:color="auto"/>
            </w:tcBorders>
            <w:shd w:val="clear" w:color="auto" w:fill="auto"/>
            <w:noWrap/>
            <w:vAlign w:val="center"/>
            <w:hideMark/>
          </w:tcPr>
          <w:p w14:paraId="01DB46DB" w14:textId="7E2D59CB" w:rsidR="00BE0328" w:rsidRPr="00005453" w:rsidRDefault="00BE0328" w:rsidP="00BE0328">
            <w:pPr>
              <w:jc w:val="right"/>
              <w:rPr>
                <w:bCs/>
                <w:color w:val="000000"/>
                <w:sz w:val="18"/>
                <w:szCs w:val="18"/>
                <w:lang w:eastAsia="tr-TR"/>
              </w:rPr>
            </w:pPr>
            <w:r w:rsidRPr="00005453">
              <w:rPr>
                <w:color w:val="000000"/>
                <w:sz w:val="18"/>
                <w:szCs w:val="18"/>
              </w:rPr>
              <w:t>401,132</w:t>
            </w:r>
          </w:p>
        </w:tc>
        <w:tc>
          <w:tcPr>
            <w:tcW w:w="1599" w:type="dxa"/>
            <w:tcBorders>
              <w:top w:val="nil"/>
              <w:left w:val="nil"/>
              <w:bottom w:val="single" w:sz="8" w:space="0" w:color="auto"/>
              <w:right w:val="single" w:sz="8" w:space="0" w:color="auto"/>
            </w:tcBorders>
            <w:shd w:val="clear" w:color="auto" w:fill="auto"/>
            <w:noWrap/>
            <w:vAlign w:val="center"/>
            <w:hideMark/>
          </w:tcPr>
          <w:p w14:paraId="5439FFC5" w14:textId="5CB37845" w:rsidR="00BE0328" w:rsidRPr="00005453" w:rsidRDefault="00BE0328" w:rsidP="00BE0328">
            <w:pPr>
              <w:jc w:val="right"/>
              <w:rPr>
                <w:bCs/>
                <w:color w:val="000000"/>
                <w:sz w:val="18"/>
                <w:szCs w:val="18"/>
                <w:lang w:eastAsia="tr-TR"/>
              </w:rPr>
            </w:pPr>
            <w:r w:rsidRPr="00005453">
              <w:rPr>
                <w:color w:val="000000"/>
                <w:sz w:val="18"/>
                <w:szCs w:val="18"/>
              </w:rPr>
              <w:t>50,900</w:t>
            </w:r>
          </w:p>
        </w:tc>
      </w:tr>
      <w:tr w:rsidR="00BE0328" w:rsidRPr="00005453" w14:paraId="07905E8F"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B3B6C5A" w14:textId="77777777" w:rsidR="00BE0328" w:rsidRPr="00005453" w:rsidRDefault="00BE0328" w:rsidP="00BE0328">
            <w:pPr>
              <w:rPr>
                <w:color w:val="000000"/>
                <w:sz w:val="18"/>
                <w:szCs w:val="18"/>
                <w:lang w:eastAsia="tr-TR"/>
              </w:rPr>
            </w:pPr>
            <w:r w:rsidRPr="00005453">
              <w:rPr>
                <w:color w:val="000000"/>
                <w:sz w:val="18"/>
                <w:szCs w:val="18"/>
                <w:lang w:eastAsia="tr-TR"/>
              </w:rPr>
              <w:t>Mali Kuruluşlar</w:t>
            </w:r>
          </w:p>
        </w:tc>
        <w:tc>
          <w:tcPr>
            <w:tcW w:w="1923" w:type="dxa"/>
            <w:tcBorders>
              <w:top w:val="nil"/>
              <w:left w:val="nil"/>
              <w:bottom w:val="single" w:sz="8" w:space="0" w:color="auto"/>
              <w:right w:val="single" w:sz="8" w:space="0" w:color="auto"/>
            </w:tcBorders>
            <w:shd w:val="clear" w:color="auto" w:fill="auto"/>
            <w:noWrap/>
            <w:vAlign w:val="center"/>
            <w:hideMark/>
          </w:tcPr>
          <w:p w14:paraId="31B8BD8B" w14:textId="37313BF1" w:rsidR="00BE0328" w:rsidRPr="00005453" w:rsidRDefault="00BE0328" w:rsidP="00BE0328">
            <w:pPr>
              <w:jc w:val="right"/>
              <w:rPr>
                <w:bCs/>
                <w:color w:val="000000"/>
                <w:sz w:val="18"/>
                <w:szCs w:val="18"/>
                <w:lang w:eastAsia="tr-TR"/>
              </w:rPr>
            </w:pPr>
            <w:r w:rsidRPr="00005453">
              <w:rPr>
                <w:color w:val="000000"/>
                <w:sz w:val="18"/>
                <w:szCs w:val="18"/>
              </w:rPr>
              <w:t>193,113</w:t>
            </w:r>
          </w:p>
        </w:tc>
        <w:tc>
          <w:tcPr>
            <w:tcW w:w="1748" w:type="dxa"/>
            <w:tcBorders>
              <w:top w:val="nil"/>
              <w:left w:val="nil"/>
              <w:bottom w:val="single" w:sz="8" w:space="0" w:color="auto"/>
              <w:right w:val="single" w:sz="8" w:space="0" w:color="auto"/>
            </w:tcBorders>
            <w:shd w:val="clear" w:color="auto" w:fill="auto"/>
            <w:noWrap/>
            <w:vAlign w:val="center"/>
            <w:hideMark/>
          </w:tcPr>
          <w:p w14:paraId="174C5949" w14:textId="7244AD54" w:rsidR="00BE0328" w:rsidRPr="00005453" w:rsidRDefault="00BE0328" w:rsidP="00BE0328">
            <w:pPr>
              <w:jc w:val="right"/>
              <w:rPr>
                <w:bCs/>
                <w:color w:val="000000"/>
                <w:sz w:val="18"/>
                <w:szCs w:val="18"/>
                <w:lang w:eastAsia="tr-TR"/>
              </w:rPr>
            </w:pPr>
            <w:r w:rsidRPr="00005453">
              <w:rPr>
                <w:color w:val="000000"/>
                <w:sz w:val="18"/>
                <w:szCs w:val="18"/>
              </w:rPr>
              <w:t>14</w:t>
            </w:r>
          </w:p>
        </w:tc>
        <w:tc>
          <w:tcPr>
            <w:tcW w:w="1599" w:type="dxa"/>
            <w:tcBorders>
              <w:top w:val="nil"/>
              <w:left w:val="nil"/>
              <w:bottom w:val="single" w:sz="8" w:space="0" w:color="auto"/>
              <w:right w:val="single" w:sz="8" w:space="0" w:color="auto"/>
            </w:tcBorders>
            <w:shd w:val="clear" w:color="auto" w:fill="auto"/>
            <w:noWrap/>
            <w:vAlign w:val="center"/>
            <w:hideMark/>
          </w:tcPr>
          <w:p w14:paraId="670A0C8D" w14:textId="3AD06075" w:rsidR="00BE0328" w:rsidRPr="00005453" w:rsidRDefault="00BE0328" w:rsidP="00BE0328">
            <w:pPr>
              <w:jc w:val="right"/>
              <w:rPr>
                <w:bCs/>
                <w:color w:val="000000"/>
                <w:sz w:val="18"/>
                <w:szCs w:val="18"/>
                <w:lang w:eastAsia="tr-TR"/>
              </w:rPr>
            </w:pPr>
            <w:r w:rsidRPr="00005453">
              <w:rPr>
                <w:color w:val="000000"/>
                <w:sz w:val="18"/>
                <w:szCs w:val="18"/>
              </w:rPr>
              <w:t>20,112</w:t>
            </w:r>
          </w:p>
        </w:tc>
      </w:tr>
      <w:tr w:rsidR="00BE0328" w:rsidRPr="00005453" w14:paraId="62BE7176"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888458D" w14:textId="77777777" w:rsidR="00BE0328" w:rsidRPr="00005453" w:rsidRDefault="00BE0328" w:rsidP="00BE0328">
            <w:pPr>
              <w:rPr>
                <w:color w:val="000000"/>
                <w:sz w:val="18"/>
                <w:szCs w:val="18"/>
                <w:lang w:eastAsia="tr-TR"/>
              </w:rPr>
            </w:pPr>
            <w:r w:rsidRPr="00005453">
              <w:rPr>
                <w:color w:val="000000"/>
                <w:sz w:val="18"/>
                <w:szCs w:val="18"/>
                <w:lang w:eastAsia="tr-TR"/>
              </w:rPr>
              <w:t>Gayrimenkul ve Kira. Hizm.</w:t>
            </w:r>
          </w:p>
        </w:tc>
        <w:tc>
          <w:tcPr>
            <w:tcW w:w="1923" w:type="dxa"/>
            <w:tcBorders>
              <w:top w:val="nil"/>
              <w:left w:val="nil"/>
              <w:bottom w:val="single" w:sz="8" w:space="0" w:color="auto"/>
              <w:right w:val="single" w:sz="8" w:space="0" w:color="auto"/>
            </w:tcBorders>
            <w:shd w:val="clear" w:color="auto" w:fill="auto"/>
            <w:noWrap/>
            <w:vAlign w:val="center"/>
            <w:hideMark/>
          </w:tcPr>
          <w:p w14:paraId="2EE11581" w14:textId="1CD49403" w:rsidR="00BE0328" w:rsidRPr="00005453" w:rsidRDefault="00BE0328" w:rsidP="00BE0328">
            <w:pPr>
              <w:jc w:val="right"/>
              <w:rPr>
                <w:bCs/>
                <w:color w:val="000000"/>
                <w:sz w:val="18"/>
                <w:szCs w:val="18"/>
                <w:lang w:eastAsia="tr-TR"/>
              </w:rPr>
            </w:pPr>
            <w:r w:rsidRPr="00005453">
              <w:rPr>
                <w:color w:val="000000"/>
                <w:sz w:val="18"/>
                <w:szCs w:val="18"/>
              </w:rPr>
              <w:t>292,369</w:t>
            </w:r>
          </w:p>
        </w:tc>
        <w:tc>
          <w:tcPr>
            <w:tcW w:w="1748" w:type="dxa"/>
            <w:tcBorders>
              <w:top w:val="nil"/>
              <w:left w:val="nil"/>
              <w:bottom w:val="single" w:sz="8" w:space="0" w:color="auto"/>
              <w:right w:val="single" w:sz="8" w:space="0" w:color="auto"/>
            </w:tcBorders>
            <w:shd w:val="clear" w:color="auto" w:fill="auto"/>
            <w:noWrap/>
            <w:vAlign w:val="center"/>
            <w:hideMark/>
          </w:tcPr>
          <w:p w14:paraId="0C02C331" w14:textId="6676C348" w:rsidR="00BE0328" w:rsidRPr="00005453" w:rsidRDefault="00BE0328" w:rsidP="00BE0328">
            <w:pPr>
              <w:jc w:val="right"/>
              <w:rPr>
                <w:bCs/>
                <w:color w:val="000000"/>
                <w:sz w:val="18"/>
                <w:szCs w:val="18"/>
                <w:lang w:eastAsia="tr-TR"/>
              </w:rPr>
            </w:pPr>
            <w:r w:rsidRPr="00005453">
              <w:rPr>
                <w:color w:val="000000"/>
                <w:sz w:val="18"/>
                <w:szCs w:val="18"/>
              </w:rPr>
              <w:t>285,756</w:t>
            </w:r>
          </w:p>
        </w:tc>
        <w:tc>
          <w:tcPr>
            <w:tcW w:w="1599" w:type="dxa"/>
            <w:tcBorders>
              <w:top w:val="nil"/>
              <w:left w:val="nil"/>
              <w:bottom w:val="single" w:sz="8" w:space="0" w:color="auto"/>
              <w:right w:val="single" w:sz="8" w:space="0" w:color="auto"/>
            </w:tcBorders>
            <w:shd w:val="clear" w:color="auto" w:fill="auto"/>
            <w:noWrap/>
            <w:vAlign w:val="center"/>
            <w:hideMark/>
          </w:tcPr>
          <w:p w14:paraId="6106F3A8" w14:textId="14706BF5" w:rsidR="00BE0328" w:rsidRPr="00005453" w:rsidRDefault="00BE0328" w:rsidP="00BE0328">
            <w:pPr>
              <w:jc w:val="right"/>
              <w:rPr>
                <w:bCs/>
                <w:color w:val="000000"/>
                <w:sz w:val="18"/>
                <w:szCs w:val="18"/>
                <w:lang w:eastAsia="tr-TR"/>
              </w:rPr>
            </w:pPr>
            <w:r w:rsidRPr="00005453">
              <w:rPr>
                <w:color w:val="000000"/>
                <w:sz w:val="18"/>
                <w:szCs w:val="18"/>
              </w:rPr>
              <w:t>709</w:t>
            </w:r>
          </w:p>
        </w:tc>
      </w:tr>
      <w:tr w:rsidR="00BE0328" w:rsidRPr="00005453" w14:paraId="6B0CD4E2"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F139841" w14:textId="77777777" w:rsidR="00BE0328" w:rsidRPr="00005453" w:rsidRDefault="00BE0328" w:rsidP="00BE0328">
            <w:pPr>
              <w:rPr>
                <w:color w:val="000000"/>
                <w:sz w:val="18"/>
                <w:szCs w:val="18"/>
                <w:lang w:eastAsia="tr-TR"/>
              </w:rPr>
            </w:pPr>
            <w:r w:rsidRPr="00005453">
              <w:rPr>
                <w:color w:val="000000"/>
                <w:sz w:val="18"/>
                <w:szCs w:val="18"/>
                <w:lang w:eastAsia="tr-TR"/>
              </w:rPr>
              <w:t>Serbest Meslek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6DC4CE07" w14:textId="327380F6" w:rsidR="00BE0328" w:rsidRPr="00005453" w:rsidRDefault="00BE0328" w:rsidP="00BE0328">
            <w:pPr>
              <w:jc w:val="right"/>
              <w:rPr>
                <w:bCs/>
                <w:color w:val="000000"/>
                <w:sz w:val="18"/>
                <w:szCs w:val="18"/>
                <w:lang w:eastAsia="tr-TR"/>
              </w:rPr>
            </w:pPr>
            <w:r w:rsidRPr="00005453">
              <w:rPr>
                <w:color w:val="000000"/>
                <w:sz w:val="18"/>
                <w:szCs w:val="18"/>
              </w:rPr>
              <w:t>-</w:t>
            </w:r>
          </w:p>
        </w:tc>
        <w:tc>
          <w:tcPr>
            <w:tcW w:w="1748" w:type="dxa"/>
            <w:tcBorders>
              <w:top w:val="nil"/>
              <w:left w:val="nil"/>
              <w:bottom w:val="single" w:sz="8" w:space="0" w:color="auto"/>
              <w:right w:val="single" w:sz="8" w:space="0" w:color="auto"/>
            </w:tcBorders>
            <w:shd w:val="clear" w:color="auto" w:fill="auto"/>
            <w:noWrap/>
            <w:vAlign w:val="center"/>
            <w:hideMark/>
          </w:tcPr>
          <w:p w14:paraId="3220C945" w14:textId="3BAC69E6" w:rsidR="00BE0328" w:rsidRPr="00005453" w:rsidRDefault="00BE0328" w:rsidP="00BE0328">
            <w:pPr>
              <w:jc w:val="right"/>
              <w:rPr>
                <w:bCs/>
                <w:color w:val="000000"/>
                <w:sz w:val="18"/>
                <w:szCs w:val="18"/>
                <w:lang w:eastAsia="tr-TR"/>
              </w:rPr>
            </w:pPr>
            <w:r w:rsidRPr="00005453">
              <w:rPr>
                <w:color w:val="000000"/>
                <w:sz w:val="18"/>
                <w:szCs w:val="18"/>
              </w:rPr>
              <w:t>-</w:t>
            </w:r>
          </w:p>
        </w:tc>
        <w:tc>
          <w:tcPr>
            <w:tcW w:w="1599" w:type="dxa"/>
            <w:tcBorders>
              <w:top w:val="nil"/>
              <w:left w:val="nil"/>
              <w:bottom w:val="single" w:sz="8" w:space="0" w:color="auto"/>
              <w:right w:val="single" w:sz="8" w:space="0" w:color="auto"/>
            </w:tcBorders>
            <w:shd w:val="clear" w:color="auto" w:fill="auto"/>
            <w:noWrap/>
            <w:vAlign w:val="center"/>
            <w:hideMark/>
          </w:tcPr>
          <w:p w14:paraId="2ED6371B" w14:textId="796732B1" w:rsidR="00BE0328" w:rsidRPr="00005453" w:rsidRDefault="00BE0328" w:rsidP="00BE0328">
            <w:pPr>
              <w:jc w:val="right"/>
              <w:rPr>
                <w:bCs/>
                <w:color w:val="000000"/>
                <w:sz w:val="18"/>
                <w:szCs w:val="18"/>
                <w:lang w:eastAsia="tr-TR"/>
              </w:rPr>
            </w:pPr>
            <w:r w:rsidRPr="00005453">
              <w:rPr>
                <w:color w:val="000000"/>
                <w:sz w:val="18"/>
                <w:szCs w:val="18"/>
              </w:rPr>
              <w:t>-</w:t>
            </w:r>
          </w:p>
        </w:tc>
      </w:tr>
      <w:tr w:rsidR="00BE0328" w:rsidRPr="00005453" w14:paraId="60AB1E93"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664FC647" w14:textId="77777777" w:rsidR="00BE0328" w:rsidRPr="00005453" w:rsidRDefault="00BE0328" w:rsidP="00BE0328">
            <w:pPr>
              <w:rPr>
                <w:color w:val="000000"/>
                <w:sz w:val="18"/>
                <w:szCs w:val="18"/>
                <w:lang w:eastAsia="tr-TR"/>
              </w:rPr>
            </w:pPr>
            <w:r w:rsidRPr="00005453">
              <w:rPr>
                <w:color w:val="000000"/>
                <w:sz w:val="18"/>
                <w:szCs w:val="18"/>
                <w:lang w:eastAsia="tr-TR"/>
              </w:rPr>
              <w:t>Eğitim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1D768C74" w14:textId="256A20F5" w:rsidR="00BE0328" w:rsidRPr="00005453" w:rsidRDefault="00BE0328" w:rsidP="00BE0328">
            <w:pPr>
              <w:jc w:val="right"/>
              <w:rPr>
                <w:bCs/>
                <w:color w:val="000000"/>
                <w:sz w:val="18"/>
                <w:szCs w:val="18"/>
                <w:lang w:eastAsia="tr-TR"/>
              </w:rPr>
            </w:pPr>
            <w:r w:rsidRPr="00005453">
              <w:rPr>
                <w:color w:val="000000"/>
                <w:sz w:val="18"/>
                <w:szCs w:val="18"/>
              </w:rPr>
              <w:t>1,233</w:t>
            </w:r>
          </w:p>
        </w:tc>
        <w:tc>
          <w:tcPr>
            <w:tcW w:w="1748" w:type="dxa"/>
            <w:tcBorders>
              <w:top w:val="nil"/>
              <w:left w:val="nil"/>
              <w:bottom w:val="single" w:sz="8" w:space="0" w:color="auto"/>
              <w:right w:val="single" w:sz="8" w:space="0" w:color="auto"/>
            </w:tcBorders>
            <w:shd w:val="clear" w:color="auto" w:fill="auto"/>
            <w:noWrap/>
            <w:vAlign w:val="center"/>
            <w:hideMark/>
          </w:tcPr>
          <w:p w14:paraId="67F6FEE0" w14:textId="7025CFC9" w:rsidR="00BE0328" w:rsidRPr="00005453" w:rsidRDefault="00BE0328" w:rsidP="00BE0328">
            <w:pPr>
              <w:jc w:val="right"/>
              <w:rPr>
                <w:bCs/>
                <w:color w:val="000000"/>
                <w:sz w:val="18"/>
                <w:szCs w:val="18"/>
                <w:lang w:eastAsia="tr-TR"/>
              </w:rPr>
            </w:pPr>
            <w:r w:rsidRPr="00005453">
              <w:rPr>
                <w:color w:val="000000"/>
                <w:sz w:val="18"/>
                <w:szCs w:val="18"/>
              </w:rPr>
              <w:t>1,482</w:t>
            </w:r>
          </w:p>
        </w:tc>
        <w:tc>
          <w:tcPr>
            <w:tcW w:w="1599" w:type="dxa"/>
            <w:tcBorders>
              <w:top w:val="nil"/>
              <w:left w:val="nil"/>
              <w:bottom w:val="single" w:sz="8" w:space="0" w:color="auto"/>
              <w:right w:val="single" w:sz="8" w:space="0" w:color="auto"/>
            </w:tcBorders>
            <w:shd w:val="clear" w:color="auto" w:fill="auto"/>
            <w:noWrap/>
            <w:vAlign w:val="center"/>
            <w:hideMark/>
          </w:tcPr>
          <w:p w14:paraId="099CD52F" w14:textId="48CAE73B" w:rsidR="00BE0328" w:rsidRPr="00005453" w:rsidRDefault="00BE0328" w:rsidP="00BE0328">
            <w:pPr>
              <w:jc w:val="right"/>
              <w:rPr>
                <w:bCs/>
                <w:color w:val="000000"/>
                <w:sz w:val="18"/>
                <w:szCs w:val="18"/>
                <w:lang w:eastAsia="tr-TR"/>
              </w:rPr>
            </w:pPr>
            <w:r w:rsidRPr="00005453">
              <w:rPr>
                <w:color w:val="000000"/>
                <w:sz w:val="18"/>
                <w:szCs w:val="18"/>
              </w:rPr>
              <w:t>4</w:t>
            </w:r>
          </w:p>
        </w:tc>
      </w:tr>
      <w:tr w:rsidR="00BE0328" w:rsidRPr="00005453" w14:paraId="189850C2"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FC0D794" w14:textId="77777777" w:rsidR="00BE0328" w:rsidRPr="00005453" w:rsidRDefault="00BE0328" w:rsidP="00BE0328">
            <w:pPr>
              <w:rPr>
                <w:color w:val="000000"/>
                <w:sz w:val="18"/>
                <w:szCs w:val="18"/>
                <w:lang w:eastAsia="tr-TR"/>
              </w:rPr>
            </w:pPr>
            <w:r w:rsidRPr="00005453">
              <w:rPr>
                <w:color w:val="000000"/>
                <w:sz w:val="18"/>
                <w:szCs w:val="18"/>
                <w:lang w:eastAsia="tr-TR"/>
              </w:rPr>
              <w:t>Sağlık ve Sosyal Hizmetler</w:t>
            </w:r>
          </w:p>
        </w:tc>
        <w:tc>
          <w:tcPr>
            <w:tcW w:w="1923" w:type="dxa"/>
            <w:tcBorders>
              <w:top w:val="nil"/>
              <w:left w:val="nil"/>
              <w:bottom w:val="single" w:sz="8" w:space="0" w:color="auto"/>
              <w:right w:val="single" w:sz="8" w:space="0" w:color="auto"/>
            </w:tcBorders>
            <w:shd w:val="clear" w:color="auto" w:fill="auto"/>
            <w:noWrap/>
            <w:vAlign w:val="center"/>
            <w:hideMark/>
          </w:tcPr>
          <w:p w14:paraId="441B0B01" w14:textId="760AC741" w:rsidR="00BE0328" w:rsidRPr="00005453" w:rsidRDefault="00BE0328" w:rsidP="00BE0328">
            <w:pPr>
              <w:jc w:val="right"/>
              <w:rPr>
                <w:bCs/>
                <w:color w:val="000000"/>
                <w:sz w:val="18"/>
                <w:szCs w:val="18"/>
                <w:lang w:eastAsia="tr-TR"/>
              </w:rPr>
            </w:pPr>
            <w:r w:rsidRPr="00005453">
              <w:rPr>
                <w:color w:val="000000"/>
                <w:sz w:val="18"/>
                <w:szCs w:val="18"/>
              </w:rPr>
              <w:t>86,074</w:t>
            </w:r>
          </w:p>
        </w:tc>
        <w:tc>
          <w:tcPr>
            <w:tcW w:w="1748" w:type="dxa"/>
            <w:tcBorders>
              <w:top w:val="nil"/>
              <w:left w:val="nil"/>
              <w:bottom w:val="single" w:sz="8" w:space="0" w:color="auto"/>
              <w:right w:val="single" w:sz="8" w:space="0" w:color="auto"/>
            </w:tcBorders>
            <w:shd w:val="clear" w:color="auto" w:fill="auto"/>
            <w:noWrap/>
            <w:vAlign w:val="center"/>
            <w:hideMark/>
          </w:tcPr>
          <w:p w14:paraId="5C81EEB7" w14:textId="6F5C85FB" w:rsidR="00BE0328" w:rsidRPr="00005453" w:rsidRDefault="00BE0328" w:rsidP="00BE0328">
            <w:pPr>
              <w:jc w:val="right"/>
              <w:rPr>
                <w:bCs/>
                <w:color w:val="000000"/>
                <w:sz w:val="18"/>
                <w:szCs w:val="18"/>
                <w:lang w:eastAsia="tr-TR"/>
              </w:rPr>
            </w:pPr>
            <w:r w:rsidRPr="00005453">
              <w:rPr>
                <w:color w:val="000000"/>
                <w:sz w:val="18"/>
                <w:szCs w:val="18"/>
              </w:rPr>
              <w:t>66,982</w:t>
            </w:r>
          </w:p>
        </w:tc>
        <w:tc>
          <w:tcPr>
            <w:tcW w:w="1599" w:type="dxa"/>
            <w:tcBorders>
              <w:top w:val="nil"/>
              <w:left w:val="nil"/>
              <w:bottom w:val="single" w:sz="8" w:space="0" w:color="auto"/>
              <w:right w:val="single" w:sz="8" w:space="0" w:color="auto"/>
            </w:tcBorders>
            <w:shd w:val="clear" w:color="auto" w:fill="auto"/>
            <w:noWrap/>
            <w:vAlign w:val="center"/>
            <w:hideMark/>
          </w:tcPr>
          <w:p w14:paraId="7FAFDC03" w14:textId="756EE2A4" w:rsidR="00BE0328" w:rsidRPr="00005453" w:rsidRDefault="00BE0328" w:rsidP="00BE0328">
            <w:pPr>
              <w:jc w:val="right"/>
              <w:rPr>
                <w:bCs/>
                <w:color w:val="000000"/>
                <w:sz w:val="18"/>
                <w:szCs w:val="18"/>
                <w:lang w:eastAsia="tr-TR"/>
              </w:rPr>
            </w:pPr>
            <w:r w:rsidRPr="00005453">
              <w:rPr>
                <w:color w:val="000000"/>
                <w:sz w:val="18"/>
                <w:szCs w:val="18"/>
              </w:rPr>
              <w:t>105,194</w:t>
            </w:r>
          </w:p>
        </w:tc>
      </w:tr>
      <w:tr w:rsidR="00BE0328" w:rsidRPr="00005453" w14:paraId="018364F6"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65EEB15" w14:textId="77777777" w:rsidR="00BE0328" w:rsidRPr="00005453" w:rsidRDefault="00BE0328" w:rsidP="00BE0328">
            <w:pPr>
              <w:rPr>
                <w:b/>
                <w:bCs/>
                <w:color w:val="000000"/>
                <w:sz w:val="18"/>
                <w:szCs w:val="18"/>
                <w:lang w:eastAsia="tr-TR"/>
              </w:rPr>
            </w:pPr>
            <w:r w:rsidRPr="00005453">
              <w:rPr>
                <w:b/>
                <w:bCs/>
                <w:color w:val="000000"/>
                <w:sz w:val="18"/>
                <w:szCs w:val="18"/>
                <w:lang w:eastAsia="tr-TR"/>
              </w:rPr>
              <w:t>Diğer</w:t>
            </w:r>
          </w:p>
        </w:tc>
        <w:tc>
          <w:tcPr>
            <w:tcW w:w="1923" w:type="dxa"/>
            <w:tcBorders>
              <w:top w:val="nil"/>
              <w:left w:val="nil"/>
              <w:bottom w:val="single" w:sz="8" w:space="0" w:color="auto"/>
              <w:right w:val="single" w:sz="8" w:space="0" w:color="auto"/>
            </w:tcBorders>
            <w:shd w:val="clear" w:color="auto" w:fill="auto"/>
            <w:noWrap/>
            <w:vAlign w:val="center"/>
            <w:hideMark/>
          </w:tcPr>
          <w:p w14:paraId="226D5ED8" w14:textId="3A5BC5AD" w:rsidR="00BE0328" w:rsidRPr="00005453" w:rsidRDefault="00BE0328" w:rsidP="00BE0328">
            <w:pPr>
              <w:jc w:val="right"/>
              <w:rPr>
                <w:b/>
                <w:bCs/>
                <w:color w:val="000000"/>
                <w:sz w:val="18"/>
                <w:szCs w:val="18"/>
                <w:lang w:eastAsia="tr-TR"/>
              </w:rPr>
            </w:pPr>
            <w:r w:rsidRPr="00005453">
              <w:rPr>
                <w:b/>
                <w:bCs/>
                <w:color w:val="000000"/>
                <w:sz w:val="18"/>
                <w:szCs w:val="18"/>
              </w:rPr>
              <w:t>926,915</w:t>
            </w:r>
          </w:p>
        </w:tc>
        <w:tc>
          <w:tcPr>
            <w:tcW w:w="1748" w:type="dxa"/>
            <w:tcBorders>
              <w:top w:val="nil"/>
              <w:left w:val="nil"/>
              <w:bottom w:val="single" w:sz="8" w:space="0" w:color="auto"/>
              <w:right w:val="single" w:sz="8" w:space="0" w:color="auto"/>
            </w:tcBorders>
            <w:shd w:val="clear" w:color="auto" w:fill="auto"/>
            <w:noWrap/>
            <w:vAlign w:val="center"/>
            <w:hideMark/>
          </w:tcPr>
          <w:p w14:paraId="58DC529E" w14:textId="482560D7" w:rsidR="00BE0328" w:rsidRPr="00005453" w:rsidRDefault="00BE0328" w:rsidP="00BE0328">
            <w:pPr>
              <w:jc w:val="right"/>
              <w:rPr>
                <w:b/>
                <w:bCs/>
                <w:color w:val="000000"/>
                <w:sz w:val="18"/>
                <w:szCs w:val="18"/>
                <w:lang w:eastAsia="tr-TR"/>
              </w:rPr>
            </w:pPr>
            <w:r w:rsidRPr="00005453">
              <w:rPr>
                <w:b/>
                <w:bCs/>
                <w:color w:val="000000"/>
                <w:sz w:val="18"/>
                <w:szCs w:val="18"/>
              </w:rPr>
              <w:t>716,800</w:t>
            </w:r>
          </w:p>
        </w:tc>
        <w:tc>
          <w:tcPr>
            <w:tcW w:w="1599" w:type="dxa"/>
            <w:tcBorders>
              <w:top w:val="nil"/>
              <w:left w:val="nil"/>
              <w:bottom w:val="single" w:sz="8" w:space="0" w:color="auto"/>
              <w:right w:val="single" w:sz="8" w:space="0" w:color="auto"/>
            </w:tcBorders>
            <w:shd w:val="clear" w:color="auto" w:fill="auto"/>
            <w:noWrap/>
            <w:vAlign w:val="center"/>
            <w:hideMark/>
          </w:tcPr>
          <w:p w14:paraId="175A628C" w14:textId="098AD45D" w:rsidR="00BE0328" w:rsidRPr="00005453" w:rsidRDefault="00BE0328" w:rsidP="00BE0328">
            <w:pPr>
              <w:jc w:val="right"/>
              <w:rPr>
                <w:b/>
                <w:bCs/>
                <w:color w:val="000000"/>
                <w:sz w:val="18"/>
                <w:szCs w:val="18"/>
                <w:lang w:eastAsia="tr-TR"/>
              </w:rPr>
            </w:pPr>
            <w:r w:rsidRPr="00005453">
              <w:rPr>
                <w:b/>
                <w:bCs/>
                <w:color w:val="000000"/>
                <w:sz w:val="18"/>
                <w:szCs w:val="18"/>
              </w:rPr>
              <w:t>123,078</w:t>
            </w:r>
          </w:p>
        </w:tc>
      </w:tr>
      <w:tr w:rsidR="00BE0328" w:rsidRPr="00005453" w14:paraId="55496919" w14:textId="77777777" w:rsidTr="00BE0328">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8C4EB83" w14:textId="52269430" w:rsidR="00BE0328" w:rsidRPr="00005453" w:rsidRDefault="00BE0328" w:rsidP="00BE0328">
            <w:pPr>
              <w:rPr>
                <w:b/>
                <w:bCs/>
                <w:color w:val="000000"/>
                <w:sz w:val="18"/>
                <w:szCs w:val="18"/>
                <w:lang w:eastAsia="tr-TR"/>
              </w:rPr>
            </w:pPr>
            <w:r w:rsidRPr="00005453">
              <w:rPr>
                <w:b/>
                <w:bCs/>
                <w:color w:val="000000"/>
                <w:sz w:val="18"/>
                <w:szCs w:val="18"/>
                <w:lang w:eastAsia="tr-TR"/>
              </w:rPr>
              <w:t>Toplam</w:t>
            </w:r>
          </w:p>
        </w:tc>
        <w:tc>
          <w:tcPr>
            <w:tcW w:w="1923" w:type="dxa"/>
            <w:tcBorders>
              <w:top w:val="nil"/>
              <w:left w:val="nil"/>
              <w:bottom w:val="single" w:sz="8" w:space="0" w:color="auto"/>
              <w:right w:val="single" w:sz="8" w:space="0" w:color="auto"/>
            </w:tcBorders>
            <w:shd w:val="clear" w:color="auto" w:fill="auto"/>
            <w:noWrap/>
            <w:vAlign w:val="center"/>
            <w:hideMark/>
          </w:tcPr>
          <w:p w14:paraId="258BD8A2" w14:textId="11777BA2" w:rsidR="00BE0328" w:rsidRPr="00005453" w:rsidRDefault="00BE0328" w:rsidP="00BE0328">
            <w:pPr>
              <w:jc w:val="right"/>
              <w:rPr>
                <w:b/>
                <w:bCs/>
                <w:color w:val="000000"/>
                <w:sz w:val="18"/>
                <w:szCs w:val="18"/>
                <w:lang w:eastAsia="tr-TR"/>
              </w:rPr>
            </w:pPr>
            <w:r w:rsidRPr="00005453">
              <w:rPr>
                <w:b/>
                <w:bCs/>
                <w:color w:val="000000"/>
                <w:sz w:val="18"/>
                <w:szCs w:val="18"/>
              </w:rPr>
              <w:t>7,040,670</w:t>
            </w:r>
          </w:p>
        </w:tc>
        <w:tc>
          <w:tcPr>
            <w:tcW w:w="1748" w:type="dxa"/>
            <w:tcBorders>
              <w:top w:val="nil"/>
              <w:left w:val="nil"/>
              <w:bottom w:val="single" w:sz="8" w:space="0" w:color="auto"/>
              <w:right w:val="single" w:sz="8" w:space="0" w:color="auto"/>
            </w:tcBorders>
            <w:shd w:val="clear" w:color="auto" w:fill="auto"/>
            <w:noWrap/>
            <w:vAlign w:val="center"/>
            <w:hideMark/>
          </w:tcPr>
          <w:p w14:paraId="01028E3E" w14:textId="295669C1" w:rsidR="00BE0328" w:rsidRPr="00005453" w:rsidRDefault="00BE0328" w:rsidP="00BE0328">
            <w:pPr>
              <w:jc w:val="right"/>
              <w:rPr>
                <w:b/>
                <w:bCs/>
                <w:color w:val="000000"/>
                <w:sz w:val="18"/>
                <w:szCs w:val="18"/>
                <w:lang w:eastAsia="tr-TR"/>
              </w:rPr>
            </w:pPr>
            <w:r w:rsidRPr="00005453">
              <w:rPr>
                <w:b/>
                <w:bCs/>
                <w:color w:val="000000"/>
                <w:sz w:val="18"/>
                <w:szCs w:val="18"/>
              </w:rPr>
              <w:t>5,979,738</w:t>
            </w:r>
          </w:p>
        </w:tc>
        <w:tc>
          <w:tcPr>
            <w:tcW w:w="1599" w:type="dxa"/>
            <w:tcBorders>
              <w:top w:val="nil"/>
              <w:left w:val="nil"/>
              <w:bottom w:val="single" w:sz="8" w:space="0" w:color="auto"/>
              <w:right w:val="single" w:sz="8" w:space="0" w:color="auto"/>
            </w:tcBorders>
            <w:shd w:val="clear" w:color="auto" w:fill="auto"/>
            <w:noWrap/>
            <w:vAlign w:val="center"/>
            <w:hideMark/>
          </w:tcPr>
          <w:p w14:paraId="5A179203" w14:textId="416A01CD" w:rsidR="00BE0328" w:rsidRPr="00005453" w:rsidRDefault="00BE0328" w:rsidP="00BE0328">
            <w:pPr>
              <w:jc w:val="right"/>
              <w:rPr>
                <w:b/>
                <w:bCs/>
                <w:color w:val="000000"/>
                <w:sz w:val="18"/>
                <w:szCs w:val="18"/>
                <w:lang w:eastAsia="tr-TR"/>
              </w:rPr>
            </w:pPr>
            <w:r w:rsidRPr="00005453">
              <w:rPr>
                <w:b/>
                <w:bCs/>
                <w:color w:val="000000"/>
                <w:sz w:val="18"/>
                <w:szCs w:val="18"/>
              </w:rPr>
              <w:t>1,392,133</w:t>
            </w:r>
          </w:p>
        </w:tc>
      </w:tr>
    </w:tbl>
    <w:p w14:paraId="58AE8713" w14:textId="466CBF13" w:rsidR="00B56E05" w:rsidRPr="00005453" w:rsidRDefault="00B56E05" w:rsidP="00847286">
      <w:pPr>
        <w:ind w:hanging="567"/>
        <w:rPr>
          <w:lang w:val="en-GB" w:eastAsia="en-GB"/>
        </w:rPr>
      </w:pPr>
    </w:p>
    <w:tbl>
      <w:tblPr>
        <w:tblW w:w="9771" w:type="dxa"/>
        <w:tblCellMar>
          <w:left w:w="70" w:type="dxa"/>
          <w:right w:w="70" w:type="dxa"/>
        </w:tblCellMar>
        <w:tblLook w:val="04A0" w:firstRow="1" w:lastRow="0" w:firstColumn="1" w:lastColumn="0" w:noHBand="0" w:noVBand="1"/>
      </w:tblPr>
      <w:tblGrid>
        <w:gridCol w:w="4526"/>
        <w:gridCol w:w="1985"/>
        <w:gridCol w:w="1701"/>
        <w:gridCol w:w="1559"/>
      </w:tblGrid>
      <w:tr w:rsidR="00B56E05" w:rsidRPr="00005453" w14:paraId="1D9D9FE1" w14:textId="77777777" w:rsidTr="004D337A">
        <w:trPr>
          <w:divId w:val="2088529581"/>
          <w:trHeight w:val="609"/>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FF607F" w14:textId="7368C89B" w:rsidR="00B56E05" w:rsidRPr="00005453" w:rsidRDefault="00B56E05" w:rsidP="00B56E05">
            <w:pPr>
              <w:rPr>
                <w:b/>
                <w:bCs/>
                <w:color w:val="000000"/>
                <w:sz w:val="18"/>
                <w:szCs w:val="18"/>
                <w:lang w:eastAsia="tr-TR"/>
              </w:rPr>
            </w:pPr>
            <w:r w:rsidRPr="00005453">
              <w:rPr>
                <w:b/>
                <w:bCs/>
                <w:color w:val="000000"/>
                <w:sz w:val="18"/>
                <w:szCs w:val="18"/>
                <w:lang w:eastAsia="tr-TR"/>
              </w:rPr>
              <w:t xml:space="preserve">Önceki Dönem </w:t>
            </w:r>
            <w:r w:rsidR="00057FAD" w:rsidRPr="00005453">
              <w:rPr>
                <w:b/>
                <w:bCs/>
                <w:color w:val="000000"/>
                <w:sz w:val="18"/>
                <w:szCs w:val="18"/>
                <w:lang w:eastAsia="tr-TR"/>
              </w:rPr>
              <w:t>–</w:t>
            </w:r>
            <w:r w:rsidRPr="00005453">
              <w:rPr>
                <w:b/>
                <w:bCs/>
                <w:color w:val="000000"/>
                <w:sz w:val="18"/>
                <w:szCs w:val="18"/>
                <w:lang w:eastAsia="tr-TR"/>
              </w:rPr>
              <w:t xml:space="preserve"> Sektör</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3B259685" w14:textId="77777777" w:rsidR="00B56E05" w:rsidRPr="00005453" w:rsidRDefault="00B56E05" w:rsidP="00B56E05">
            <w:pPr>
              <w:jc w:val="right"/>
              <w:rPr>
                <w:b/>
                <w:bCs/>
                <w:color w:val="000000"/>
                <w:sz w:val="18"/>
                <w:szCs w:val="18"/>
                <w:lang w:eastAsia="tr-TR"/>
              </w:rPr>
            </w:pPr>
            <w:r w:rsidRPr="00005453">
              <w:rPr>
                <w:b/>
                <w:bCs/>
                <w:color w:val="000000"/>
                <w:sz w:val="18"/>
                <w:szCs w:val="18"/>
                <w:lang w:eastAsia="tr-TR"/>
              </w:rPr>
              <w:t>Takipteki Alacak Tutarı</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C0C3081" w14:textId="77777777" w:rsidR="00B56E05" w:rsidRPr="00005453" w:rsidRDefault="00B56E05" w:rsidP="00B56E05">
            <w:pPr>
              <w:jc w:val="right"/>
              <w:rPr>
                <w:b/>
                <w:bCs/>
                <w:color w:val="000000"/>
                <w:sz w:val="18"/>
                <w:szCs w:val="18"/>
                <w:lang w:eastAsia="tr-TR"/>
              </w:rPr>
            </w:pPr>
            <w:r w:rsidRPr="00005453">
              <w:rPr>
                <w:b/>
                <w:bCs/>
                <w:color w:val="000000"/>
                <w:sz w:val="18"/>
                <w:szCs w:val="18"/>
                <w:lang w:eastAsia="tr-TR"/>
              </w:rPr>
              <w:t>Özel Karşılık</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6AAD8393" w14:textId="32522D11" w:rsidR="00B56E05" w:rsidRPr="00005453" w:rsidRDefault="00B56E05" w:rsidP="00B56E05">
            <w:pPr>
              <w:jc w:val="right"/>
              <w:rPr>
                <w:b/>
                <w:bCs/>
                <w:color w:val="000000"/>
                <w:sz w:val="18"/>
                <w:szCs w:val="18"/>
                <w:lang w:eastAsia="tr-TR"/>
              </w:rPr>
            </w:pPr>
            <w:r w:rsidRPr="00005453">
              <w:rPr>
                <w:b/>
                <w:bCs/>
                <w:color w:val="000000"/>
                <w:sz w:val="18"/>
                <w:szCs w:val="18"/>
                <w:lang w:eastAsia="tr-TR"/>
              </w:rPr>
              <w:t>Aktiften Silinen Tutar</w:t>
            </w:r>
          </w:p>
        </w:tc>
      </w:tr>
      <w:tr w:rsidR="00057FAD" w:rsidRPr="00005453" w14:paraId="7FE60FE8"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30B4FC8" w14:textId="0BF2F5B0" w:rsidR="00057FAD" w:rsidRPr="00005453" w:rsidRDefault="00057FAD" w:rsidP="00057FAD">
            <w:pPr>
              <w:rPr>
                <w:b/>
                <w:bCs/>
                <w:color w:val="000000"/>
                <w:sz w:val="18"/>
                <w:szCs w:val="18"/>
                <w:lang w:eastAsia="tr-TR"/>
              </w:rPr>
            </w:pPr>
            <w:r w:rsidRPr="00005453">
              <w:rPr>
                <w:b/>
                <w:bCs/>
                <w:color w:val="000000"/>
                <w:sz w:val="18"/>
                <w:szCs w:val="18"/>
                <w:lang w:eastAsia="tr-TR"/>
              </w:rPr>
              <w:t>Tarım</w:t>
            </w:r>
          </w:p>
        </w:tc>
        <w:tc>
          <w:tcPr>
            <w:tcW w:w="1985" w:type="dxa"/>
            <w:tcBorders>
              <w:top w:val="nil"/>
              <w:left w:val="nil"/>
              <w:bottom w:val="single" w:sz="8" w:space="0" w:color="auto"/>
              <w:right w:val="single" w:sz="8" w:space="0" w:color="auto"/>
            </w:tcBorders>
            <w:shd w:val="clear" w:color="auto" w:fill="auto"/>
            <w:noWrap/>
            <w:vAlign w:val="center"/>
            <w:hideMark/>
          </w:tcPr>
          <w:p w14:paraId="24008BB7" w14:textId="4D13D1C4" w:rsidR="00057FAD" w:rsidRPr="00005453" w:rsidRDefault="00057FAD" w:rsidP="00057FAD">
            <w:pPr>
              <w:jc w:val="right"/>
              <w:rPr>
                <w:b/>
                <w:bCs/>
                <w:color w:val="000000"/>
                <w:sz w:val="18"/>
                <w:szCs w:val="18"/>
                <w:lang w:eastAsia="tr-TR"/>
              </w:rPr>
            </w:pPr>
            <w:r w:rsidRPr="00005453">
              <w:rPr>
                <w:b/>
                <w:bCs/>
                <w:color w:val="000000"/>
                <w:sz w:val="18"/>
                <w:szCs w:val="18"/>
              </w:rPr>
              <w:t>21,676</w:t>
            </w:r>
          </w:p>
        </w:tc>
        <w:tc>
          <w:tcPr>
            <w:tcW w:w="1701" w:type="dxa"/>
            <w:tcBorders>
              <w:top w:val="nil"/>
              <w:left w:val="nil"/>
              <w:bottom w:val="single" w:sz="8" w:space="0" w:color="auto"/>
              <w:right w:val="single" w:sz="8" w:space="0" w:color="auto"/>
            </w:tcBorders>
            <w:shd w:val="clear" w:color="auto" w:fill="auto"/>
            <w:noWrap/>
            <w:vAlign w:val="center"/>
            <w:hideMark/>
          </w:tcPr>
          <w:p w14:paraId="43FCC013" w14:textId="519212DC" w:rsidR="00057FAD" w:rsidRPr="00005453" w:rsidRDefault="00057FAD" w:rsidP="00057FAD">
            <w:pPr>
              <w:jc w:val="right"/>
              <w:rPr>
                <w:b/>
                <w:bCs/>
                <w:color w:val="000000"/>
                <w:sz w:val="18"/>
                <w:szCs w:val="18"/>
                <w:lang w:eastAsia="tr-TR"/>
              </w:rPr>
            </w:pPr>
            <w:r w:rsidRPr="00005453">
              <w:rPr>
                <w:b/>
                <w:bCs/>
                <w:color w:val="000000"/>
                <w:sz w:val="18"/>
                <w:szCs w:val="18"/>
              </w:rPr>
              <w:t>20,819</w:t>
            </w:r>
          </w:p>
        </w:tc>
        <w:tc>
          <w:tcPr>
            <w:tcW w:w="1559" w:type="dxa"/>
            <w:tcBorders>
              <w:top w:val="nil"/>
              <w:left w:val="nil"/>
              <w:bottom w:val="single" w:sz="8" w:space="0" w:color="auto"/>
              <w:right w:val="single" w:sz="8" w:space="0" w:color="auto"/>
            </w:tcBorders>
            <w:shd w:val="clear" w:color="auto" w:fill="auto"/>
            <w:noWrap/>
            <w:vAlign w:val="center"/>
            <w:hideMark/>
          </w:tcPr>
          <w:p w14:paraId="52617583" w14:textId="187E9D23" w:rsidR="00057FAD" w:rsidRPr="00005453" w:rsidRDefault="00057FAD" w:rsidP="00057FAD">
            <w:pPr>
              <w:jc w:val="right"/>
              <w:rPr>
                <w:b/>
                <w:bCs/>
                <w:color w:val="000000"/>
                <w:sz w:val="18"/>
                <w:szCs w:val="18"/>
                <w:lang w:eastAsia="tr-TR"/>
              </w:rPr>
            </w:pPr>
            <w:r w:rsidRPr="00005453">
              <w:rPr>
                <w:b/>
                <w:bCs/>
                <w:color w:val="000000"/>
                <w:sz w:val="18"/>
                <w:szCs w:val="18"/>
              </w:rPr>
              <w:t>781</w:t>
            </w:r>
          </w:p>
        </w:tc>
      </w:tr>
      <w:tr w:rsidR="00057FAD" w:rsidRPr="00005453" w14:paraId="39E002EC"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7FD3802" w14:textId="4415B972" w:rsidR="00057FAD" w:rsidRPr="00005453" w:rsidRDefault="00057FAD" w:rsidP="00057FAD">
            <w:pPr>
              <w:rPr>
                <w:color w:val="000000"/>
                <w:sz w:val="18"/>
                <w:szCs w:val="18"/>
                <w:lang w:eastAsia="tr-TR"/>
              </w:rPr>
            </w:pPr>
            <w:r w:rsidRPr="00005453">
              <w:rPr>
                <w:color w:val="000000"/>
                <w:sz w:val="18"/>
                <w:szCs w:val="18"/>
                <w:lang w:eastAsia="tr-TR"/>
              </w:rPr>
              <w:t xml:space="preserve">Çiftçilik ve Hayvancılık </w:t>
            </w:r>
          </w:p>
        </w:tc>
        <w:tc>
          <w:tcPr>
            <w:tcW w:w="1985" w:type="dxa"/>
            <w:tcBorders>
              <w:top w:val="nil"/>
              <w:left w:val="nil"/>
              <w:bottom w:val="single" w:sz="8" w:space="0" w:color="auto"/>
              <w:right w:val="single" w:sz="8" w:space="0" w:color="auto"/>
            </w:tcBorders>
            <w:shd w:val="clear" w:color="auto" w:fill="auto"/>
            <w:noWrap/>
            <w:vAlign w:val="center"/>
            <w:hideMark/>
          </w:tcPr>
          <w:p w14:paraId="085A80F8" w14:textId="72D75878" w:rsidR="00057FAD" w:rsidRPr="00005453" w:rsidRDefault="00057FAD" w:rsidP="00057FAD">
            <w:pPr>
              <w:jc w:val="right"/>
              <w:rPr>
                <w:color w:val="000000"/>
                <w:sz w:val="18"/>
                <w:szCs w:val="18"/>
                <w:lang w:eastAsia="tr-TR"/>
              </w:rPr>
            </w:pPr>
            <w:r w:rsidRPr="00005453">
              <w:rPr>
                <w:color w:val="000000"/>
                <w:sz w:val="18"/>
                <w:szCs w:val="18"/>
              </w:rPr>
              <w:t>10,757</w:t>
            </w:r>
          </w:p>
        </w:tc>
        <w:tc>
          <w:tcPr>
            <w:tcW w:w="1701" w:type="dxa"/>
            <w:tcBorders>
              <w:top w:val="nil"/>
              <w:left w:val="nil"/>
              <w:bottom w:val="single" w:sz="8" w:space="0" w:color="auto"/>
              <w:right w:val="single" w:sz="8" w:space="0" w:color="auto"/>
            </w:tcBorders>
            <w:shd w:val="clear" w:color="auto" w:fill="auto"/>
            <w:noWrap/>
            <w:vAlign w:val="center"/>
            <w:hideMark/>
          </w:tcPr>
          <w:p w14:paraId="13124E36" w14:textId="5DA96BA1" w:rsidR="00057FAD" w:rsidRPr="00005453" w:rsidRDefault="00057FAD" w:rsidP="00057FAD">
            <w:pPr>
              <w:jc w:val="right"/>
              <w:rPr>
                <w:color w:val="000000"/>
                <w:sz w:val="18"/>
                <w:szCs w:val="18"/>
                <w:lang w:eastAsia="tr-TR"/>
              </w:rPr>
            </w:pPr>
            <w:r w:rsidRPr="00005453">
              <w:rPr>
                <w:color w:val="000000"/>
                <w:sz w:val="18"/>
                <w:szCs w:val="18"/>
              </w:rPr>
              <w:t>10,149</w:t>
            </w:r>
          </w:p>
        </w:tc>
        <w:tc>
          <w:tcPr>
            <w:tcW w:w="1559" w:type="dxa"/>
            <w:tcBorders>
              <w:top w:val="nil"/>
              <w:left w:val="nil"/>
              <w:bottom w:val="single" w:sz="8" w:space="0" w:color="auto"/>
              <w:right w:val="single" w:sz="8" w:space="0" w:color="auto"/>
            </w:tcBorders>
            <w:shd w:val="clear" w:color="auto" w:fill="auto"/>
            <w:noWrap/>
            <w:vAlign w:val="center"/>
            <w:hideMark/>
          </w:tcPr>
          <w:p w14:paraId="404F3639" w14:textId="6C56E742" w:rsidR="00057FAD" w:rsidRPr="00005453" w:rsidRDefault="00057FAD" w:rsidP="00057FAD">
            <w:pPr>
              <w:jc w:val="right"/>
              <w:rPr>
                <w:color w:val="000000"/>
                <w:sz w:val="18"/>
                <w:szCs w:val="18"/>
                <w:lang w:eastAsia="tr-TR"/>
              </w:rPr>
            </w:pPr>
            <w:r w:rsidRPr="00005453">
              <w:rPr>
                <w:color w:val="000000"/>
                <w:sz w:val="18"/>
                <w:szCs w:val="18"/>
              </w:rPr>
              <w:t>644</w:t>
            </w:r>
          </w:p>
        </w:tc>
      </w:tr>
      <w:tr w:rsidR="00057FAD" w:rsidRPr="00005453" w14:paraId="24C74F05"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1DCE5E2" w14:textId="6E452899" w:rsidR="00057FAD" w:rsidRPr="00005453" w:rsidRDefault="00057FAD" w:rsidP="00057FAD">
            <w:pPr>
              <w:rPr>
                <w:color w:val="000000"/>
                <w:sz w:val="18"/>
                <w:szCs w:val="18"/>
                <w:lang w:eastAsia="tr-TR"/>
              </w:rPr>
            </w:pPr>
            <w:r w:rsidRPr="00005453">
              <w:rPr>
                <w:color w:val="000000"/>
                <w:sz w:val="18"/>
                <w:szCs w:val="18"/>
                <w:lang w:eastAsia="tr-TR"/>
              </w:rPr>
              <w:t>Ormancılık</w:t>
            </w:r>
          </w:p>
        </w:tc>
        <w:tc>
          <w:tcPr>
            <w:tcW w:w="1985" w:type="dxa"/>
            <w:tcBorders>
              <w:top w:val="nil"/>
              <w:left w:val="nil"/>
              <w:bottom w:val="single" w:sz="8" w:space="0" w:color="auto"/>
              <w:right w:val="single" w:sz="8" w:space="0" w:color="auto"/>
            </w:tcBorders>
            <w:shd w:val="clear" w:color="auto" w:fill="auto"/>
            <w:noWrap/>
            <w:vAlign w:val="center"/>
            <w:hideMark/>
          </w:tcPr>
          <w:p w14:paraId="726BFA3F" w14:textId="655FBEF1" w:rsidR="00057FAD" w:rsidRPr="00005453" w:rsidRDefault="00057FAD" w:rsidP="00057FAD">
            <w:pPr>
              <w:jc w:val="right"/>
              <w:rPr>
                <w:color w:val="000000"/>
                <w:sz w:val="18"/>
                <w:szCs w:val="18"/>
                <w:lang w:eastAsia="tr-TR"/>
              </w:rPr>
            </w:pPr>
            <w:r w:rsidRPr="00005453">
              <w:rPr>
                <w:color w:val="000000"/>
                <w:sz w:val="18"/>
                <w:szCs w:val="18"/>
              </w:rPr>
              <w:t>10,576</w:t>
            </w:r>
          </w:p>
        </w:tc>
        <w:tc>
          <w:tcPr>
            <w:tcW w:w="1701" w:type="dxa"/>
            <w:tcBorders>
              <w:top w:val="nil"/>
              <w:left w:val="nil"/>
              <w:bottom w:val="single" w:sz="8" w:space="0" w:color="auto"/>
              <w:right w:val="single" w:sz="8" w:space="0" w:color="auto"/>
            </w:tcBorders>
            <w:shd w:val="clear" w:color="auto" w:fill="auto"/>
            <w:noWrap/>
            <w:vAlign w:val="center"/>
            <w:hideMark/>
          </w:tcPr>
          <w:p w14:paraId="336C3959" w14:textId="4E20A789" w:rsidR="00057FAD" w:rsidRPr="00005453" w:rsidRDefault="00057FAD" w:rsidP="00057FAD">
            <w:pPr>
              <w:jc w:val="right"/>
              <w:rPr>
                <w:color w:val="000000"/>
                <w:sz w:val="18"/>
                <w:szCs w:val="18"/>
                <w:lang w:eastAsia="tr-TR"/>
              </w:rPr>
            </w:pPr>
            <w:r w:rsidRPr="00005453">
              <w:rPr>
                <w:color w:val="000000"/>
                <w:sz w:val="18"/>
                <w:szCs w:val="18"/>
              </w:rPr>
              <w:t>10,400</w:t>
            </w:r>
          </w:p>
        </w:tc>
        <w:tc>
          <w:tcPr>
            <w:tcW w:w="1559" w:type="dxa"/>
            <w:tcBorders>
              <w:top w:val="nil"/>
              <w:left w:val="nil"/>
              <w:bottom w:val="single" w:sz="8" w:space="0" w:color="auto"/>
              <w:right w:val="single" w:sz="8" w:space="0" w:color="auto"/>
            </w:tcBorders>
            <w:shd w:val="clear" w:color="auto" w:fill="auto"/>
            <w:noWrap/>
            <w:vAlign w:val="center"/>
            <w:hideMark/>
          </w:tcPr>
          <w:p w14:paraId="59E0EBEA" w14:textId="79D748F7" w:rsidR="00057FAD" w:rsidRPr="00005453" w:rsidRDefault="00057FAD" w:rsidP="00057FAD">
            <w:pPr>
              <w:jc w:val="right"/>
              <w:rPr>
                <w:color w:val="000000"/>
                <w:sz w:val="18"/>
                <w:szCs w:val="18"/>
                <w:lang w:eastAsia="tr-TR"/>
              </w:rPr>
            </w:pPr>
            <w:r w:rsidRPr="00005453">
              <w:rPr>
                <w:color w:val="000000"/>
                <w:sz w:val="18"/>
                <w:szCs w:val="18"/>
              </w:rPr>
              <w:t>137</w:t>
            </w:r>
          </w:p>
        </w:tc>
      </w:tr>
      <w:tr w:rsidR="00057FAD" w:rsidRPr="00005453" w14:paraId="1224B772"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D2F3295" w14:textId="23E5007F" w:rsidR="00057FAD" w:rsidRPr="00005453" w:rsidRDefault="00057FAD" w:rsidP="00057FAD">
            <w:pPr>
              <w:rPr>
                <w:color w:val="000000"/>
                <w:sz w:val="18"/>
                <w:szCs w:val="18"/>
                <w:lang w:eastAsia="tr-TR"/>
              </w:rPr>
            </w:pPr>
            <w:r w:rsidRPr="00005453">
              <w:rPr>
                <w:color w:val="000000"/>
                <w:sz w:val="18"/>
                <w:szCs w:val="18"/>
                <w:lang w:eastAsia="tr-TR"/>
              </w:rPr>
              <w:t>Balıkçılık</w:t>
            </w:r>
          </w:p>
        </w:tc>
        <w:tc>
          <w:tcPr>
            <w:tcW w:w="1985" w:type="dxa"/>
            <w:tcBorders>
              <w:top w:val="nil"/>
              <w:left w:val="nil"/>
              <w:bottom w:val="single" w:sz="8" w:space="0" w:color="auto"/>
              <w:right w:val="single" w:sz="8" w:space="0" w:color="auto"/>
            </w:tcBorders>
            <w:shd w:val="clear" w:color="auto" w:fill="auto"/>
            <w:noWrap/>
            <w:vAlign w:val="center"/>
            <w:hideMark/>
          </w:tcPr>
          <w:p w14:paraId="66B447B5" w14:textId="3AA9E566" w:rsidR="00057FAD" w:rsidRPr="00005453" w:rsidRDefault="00057FAD" w:rsidP="00057FAD">
            <w:pPr>
              <w:jc w:val="right"/>
              <w:rPr>
                <w:color w:val="000000"/>
                <w:sz w:val="18"/>
                <w:szCs w:val="18"/>
                <w:lang w:eastAsia="tr-TR"/>
              </w:rPr>
            </w:pPr>
            <w:r w:rsidRPr="00005453">
              <w:rPr>
                <w:color w:val="000000"/>
                <w:sz w:val="18"/>
                <w:szCs w:val="18"/>
              </w:rPr>
              <w:t>343</w:t>
            </w:r>
          </w:p>
        </w:tc>
        <w:tc>
          <w:tcPr>
            <w:tcW w:w="1701" w:type="dxa"/>
            <w:tcBorders>
              <w:top w:val="nil"/>
              <w:left w:val="nil"/>
              <w:bottom w:val="single" w:sz="8" w:space="0" w:color="auto"/>
              <w:right w:val="single" w:sz="8" w:space="0" w:color="auto"/>
            </w:tcBorders>
            <w:shd w:val="clear" w:color="auto" w:fill="auto"/>
            <w:noWrap/>
            <w:vAlign w:val="center"/>
            <w:hideMark/>
          </w:tcPr>
          <w:p w14:paraId="2D2FD2D5" w14:textId="76D88D2B" w:rsidR="00057FAD" w:rsidRPr="00005453" w:rsidRDefault="00057FAD" w:rsidP="00057FAD">
            <w:pPr>
              <w:jc w:val="right"/>
              <w:rPr>
                <w:color w:val="000000"/>
                <w:sz w:val="18"/>
                <w:szCs w:val="18"/>
                <w:lang w:eastAsia="tr-TR"/>
              </w:rPr>
            </w:pPr>
            <w:r w:rsidRPr="00005453">
              <w:rPr>
                <w:color w:val="000000"/>
                <w:sz w:val="18"/>
                <w:szCs w:val="18"/>
              </w:rPr>
              <w:t>270</w:t>
            </w:r>
          </w:p>
        </w:tc>
        <w:tc>
          <w:tcPr>
            <w:tcW w:w="1559" w:type="dxa"/>
            <w:tcBorders>
              <w:top w:val="nil"/>
              <w:left w:val="nil"/>
              <w:bottom w:val="single" w:sz="8" w:space="0" w:color="auto"/>
              <w:right w:val="single" w:sz="8" w:space="0" w:color="auto"/>
            </w:tcBorders>
            <w:shd w:val="clear" w:color="auto" w:fill="auto"/>
            <w:noWrap/>
            <w:vAlign w:val="center"/>
            <w:hideMark/>
          </w:tcPr>
          <w:p w14:paraId="1EB7F452" w14:textId="33313FB8" w:rsidR="00057FAD" w:rsidRPr="00005453" w:rsidRDefault="00057FAD" w:rsidP="00057FAD">
            <w:pPr>
              <w:jc w:val="right"/>
              <w:rPr>
                <w:color w:val="000000"/>
                <w:sz w:val="18"/>
                <w:szCs w:val="18"/>
                <w:lang w:eastAsia="tr-TR"/>
              </w:rPr>
            </w:pPr>
            <w:r w:rsidRPr="00005453">
              <w:rPr>
                <w:color w:val="000000"/>
                <w:sz w:val="18"/>
                <w:szCs w:val="18"/>
              </w:rPr>
              <w:t>-</w:t>
            </w:r>
          </w:p>
        </w:tc>
      </w:tr>
      <w:tr w:rsidR="00057FAD" w:rsidRPr="00005453" w14:paraId="26288D44"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59E5919" w14:textId="1359A041" w:rsidR="00057FAD" w:rsidRPr="00005453" w:rsidRDefault="00057FAD" w:rsidP="00057FAD">
            <w:pPr>
              <w:rPr>
                <w:b/>
                <w:bCs/>
                <w:color w:val="000000"/>
                <w:sz w:val="18"/>
                <w:szCs w:val="18"/>
                <w:lang w:eastAsia="tr-TR"/>
              </w:rPr>
            </w:pPr>
            <w:r w:rsidRPr="00005453">
              <w:rPr>
                <w:b/>
                <w:bCs/>
                <w:color w:val="000000"/>
                <w:sz w:val="18"/>
                <w:szCs w:val="18"/>
                <w:lang w:eastAsia="tr-TR"/>
              </w:rPr>
              <w:t>Sanayi</w:t>
            </w:r>
          </w:p>
        </w:tc>
        <w:tc>
          <w:tcPr>
            <w:tcW w:w="1985" w:type="dxa"/>
            <w:tcBorders>
              <w:top w:val="nil"/>
              <w:left w:val="nil"/>
              <w:bottom w:val="single" w:sz="8" w:space="0" w:color="auto"/>
              <w:right w:val="single" w:sz="8" w:space="0" w:color="auto"/>
            </w:tcBorders>
            <w:shd w:val="clear" w:color="auto" w:fill="auto"/>
            <w:noWrap/>
            <w:vAlign w:val="center"/>
            <w:hideMark/>
          </w:tcPr>
          <w:p w14:paraId="46CCCEE7" w14:textId="054B526D" w:rsidR="00057FAD" w:rsidRPr="00005453" w:rsidRDefault="00057FAD" w:rsidP="00057FAD">
            <w:pPr>
              <w:jc w:val="right"/>
              <w:rPr>
                <w:b/>
                <w:bCs/>
                <w:color w:val="000000"/>
                <w:sz w:val="18"/>
                <w:szCs w:val="18"/>
                <w:lang w:eastAsia="tr-TR"/>
              </w:rPr>
            </w:pPr>
            <w:r w:rsidRPr="00005453">
              <w:rPr>
                <w:b/>
                <w:bCs/>
                <w:color w:val="000000"/>
                <w:sz w:val="18"/>
                <w:szCs w:val="18"/>
              </w:rPr>
              <w:t>592,051</w:t>
            </w:r>
          </w:p>
        </w:tc>
        <w:tc>
          <w:tcPr>
            <w:tcW w:w="1701" w:type="dxa"/>
            <w:tcBorders>
              <w:top w:val="nil"/>
              <w:left w:val="nil"/>
              <w:bottom w:val="single" w:sz="8" w:space="0" w:color="auto"/>
              <w:right w:val="single" w:sz="8" w:space="0" w:color="auto"/>
            </w:tcBorders>
            <w:shd w:val="clear" w:color="auto" w:fill="auto"/>
            <w:noWrap/>
            <w:vAlign w:val="center"/>
            <w:hideMark/>
          </w:tcPr>
          <w:p w14:paraId="3A2A3DF3" w14:textId="3429A263" w:rsidR="00057FAD" w:rsidRPr="00005453" w:rsidRDefault="00057FAD" w:rsidP="00057FAD">
            <w:pPr>
              <w:jc w:val="right"/>
              <w:rPr>
                <w:b/>
                <w:bCs/>
                <w:color w:val="000000"/>
                <w:sz w:val="18"/>
                <w:szCs w:val="18"/>
                <w:lang w:eastAsia="tr-TR"/>
              </w:rPr>
            </w:pPr>
            <w:r w:rsidRPr="00005453">
              <w:rPr>
                <w:b/>
                <w:bCs/>
                <w:color w:val="000000"/>
                <w:sz w:val="18"/>
                <w:szCs w:val="18"/>
              </w:rPr>
              <w:t>545,908</w:t>
            </w:r>
          </w:p>
        </w:tc>
        <w:tc>
          <w:tcPr>
            <w:tcW w:w="1559" w:type="dxa"/>
            <w:tcBorders>
              <w:top w:val="nil"/>
              <w:left w:val="nil"/>
              <w:bottom w:val="single" w:sz="8" w:space="0" w:color="auto"/>
              <w:right w:val="single" w:sz="8" w:space="0" w:color="auto"/>
            </w:tcBorders>
            <w:shd w:val="clear" w:color="auto" w:fill="auto"/>
            <w:noWrap/>
            <w:vAlign w:val="center"/>
            <w:hideMark/>
          </w:tcPr>
          <w:p w14:paraId="01975871" w14:textId="1F39789D" w:rsidR="00057FAD" w:rsidRPr="00005453" w:rsidRDefault="00057FAD" w:rsidP="00057FAD">
            <w:pPr>
              <w:jc w:val="right"/>
              <w:rPr>
                <w:b/>
                <w:bCs/>
                <w:color w:val="000000"/>
                <w:sz w:val="18"/>
                <w:szCs w:val="18"/>
                <w:lang w:eastAsia="tr-TR"/>
              </w:rPr>
            </w:pPr>
            <w:r w:rsidRPr="00005453">
              <w:rPr>
                <w:b/>
                <w:bCs/>
                <w:color w:val="000000"/>
                <w:sz w:val="18"/>
                <w:szCs w:val="18"/>
              </w:rPr>
              <w:t>105,939</w:t>
            </w:r>
          </w:p>
        </w:tc>
      </w:tr>
      <w:tr w:rsidR="00057FAD" w:rsidRPr="00005453" w14:paraId="33E4117D"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CC0359A" w14:textId="56AB1FAD" w:rsidR="00057FAD" w:rsidRPr="00005453" w:rsidRDefault="00057FAD" w:rsidP="00057FAD">
            <w:pPr>
              <w:rPr>
                <w:color w:val="000000"/>
                <w:sz w:val="18"/>
                <w:szCs w:val="18"/>
                <w:lang w:eastAsia="tr-TR"/>
              </w:rPr>
            </w:pPr>
            <w:r w:rsidRPr="00005453">
              <w:rPr>
                <w:color w:val="000000"/>
                <w:sz w:val="18"/>
                <w:szCs w:val="18"/>
                <w:lang w:eastAsia="tr-TR"/>
              </w:rPr>
              <w:t xml:space="preserve">Madencilik ve Taşocakçılığı </w:t>
            </w:r>
          </w:p>
        </w:tc>
        <w:tc>
          <w:tcPr>
            <w:tcW w:w="1985" w:type="dxa"/>
            <w:tcBorders>
              <w:top w:val="nil"/>
              <w:left w:val="nil"/>
              <w:bottom w:val="single" w:sz="8" w:space="0" w:color="auto"/>
              <w:right w:val="single" w:sz="8" w:space="0" w:color="auto"/>
            </w:tcBorders>
            <w:shd w:val="clear" w:color="auto" w:fill="auto"/>
            <w:noWrap/>
            <w:vAlign w:val="center"/>
            <w:hideMark/>
          </w:tcPr>
          <w:p w14:paraId="74D560B9" w14:textId="54DE57C2" w:rsidR="00057FAD" w:rsidRPr="00005453" w:rsidRDefault="00057FAD" w:rsidP="00057FAD">
            <w:pPr>
              <w:jc w:val="right"/>
              <w:rPr>
                <w:color w:val="000000"/>
                <w:sz w:val="18"/>
                <w:szCs w:val="18"/>
                <w:lang w:eastAsia="tr-TR"/>
              </w:rPr>
            </w:pPr>
            <w:r w:rsidRPr="00005453">
              <w:rPr>
                <w:color w:val="000000"/>
                <w:sz w:val="18"/>
                <w:szCs w:val="18"/>
              </w:rPr>
              <w:t>25,762</w:t>
            </w:r>
          </w:p>
        </w:tc>
        <w:tc>
          <w:tcPr>
            <w:tcW w:w="1701" w:type="dxa"/>
            <w:tcBorders>
              <w:top w:val="nil"/>
              <w:left w:val="nil"/>
              <w:bottom w:val="single" w:sz="8" w:space="0" w:color="auto"/>
              <w:right w:val="single" w:sz="8" w:space="0" w:color="auto"/>
            </w:tcBorders>
            <w:shd w:val="clear" w:color="auto" w:fill="auto"/>
            <w:noWrap/>
            <w:vAlign w:val="center"/>
            <w:hideMark/>
          </w:tcPr>
          <w:p w14:paraId="38EC8089" w14:textId="63378AF6" w:rsidR="00057FAD" w:rsidRPr="00005453" w:rsidRDefault="00057FAD" w:rsidP="00057FAD">
            <w:pPr>
              <w:jc w:val="right"/>
              <w:rPr>
                <w:color w:val="000000"/>
                <w:sz w:val="18"/>
                <w:szCs w:val="18"/>
                <w:lang w:eastAsia="tr-TR"/>
              </w:rPr>
            </w:pPr>
            <w:r w:rsidRPr="00005453">
              <w:rPr>
                <w:color w:val="000000"/>
                <w:sz w:val="18"/>
                <w:szCs w:val="18"/>
              </w:rPr>
              <w:t>24,198</w:t>
            </w:r>
          </w:p>
        </w:tc>
        <w:tc>
          <w:tcPr>
            <w:tcW w:w="1559" w:type="dxa"/>
            <w:tcBorders>
              <w:top w:val="nil"/>
              <w:left w:val="nil"/>
              <w:bottom w:val="single" w:sz="8" w:space="0" w:color="auto"/>
              <w:right w:val="single" w:sz="8" w:space="0" w:color="auto"/>
            </w:tcBorders>
            <w:shd w:val="clear" w:color="auto" w:fill="auto"/>
            <w:noWrap/>
            <w:vAlign w:val="center"/>
            <w:hideMark/>
          </w:tcPr>
          <w:p w14:paraId="640BCDD3" w14:textId="3AE296E4" w:rsidR="00057FAD" w:rsidRPr="00005453" w:rsidRDefault="00057FAD" w:rsidP="00057FAD">
            <w:pPr>
              <w:jc w:val="right"/>
              <w:rPr>
                <w:color w:val="000000"/>
                <w:sz w:val="18"/>
                <w:szCs w:val="18"/>
                <w:lang w:eastAsia="tr-TR"/>
              </w:rPr>
            </w:pPr>
            <w:r w:rsidRPr="00005453">
              <w:rPr>
                <w:color w:val="000000"/>
                <w:sz w:val="18"/>
                <w:szCs w:val="18"/>
              </w:rPr>
              <w:t>37,669</w:t>
            </w:r>
          </w:p>
        </w:tc>
      </w:tr>
      <w:tr w:rsidR="00057FAD" w:rsidRPr="00005453" w14:paraId="30F38793"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F7FA939" w14:textId="32992C45" w:rsidR="00057FAD" w:rsidRPr="00005453" w:rsidRDefault="00057FAD" w:rsidP="00057FAD">
            <w:pPr>
              <w:rPr>
                <w:color w:val="000000"/>
                <w:sz w:val="18"/>
                <w:szCs w:val="18"/>
                <w:lang w:eastAsia="tr-TR"/>
              </w:rPr>
            </w:pPr>
            <w:r w:rsidRPr="00005453">
              <w:rPr>
                <w:color w:val="000000"/>
                <w:sz w:val="18"/>
                <w:szCs w:val="18"/>
                <w:lang w:eastAsia="tr-TR"/>
              </w:rPr>
              <w:t>İmalat Sanayi</w:t>
            </w:r>
          </w:p>
        </w:tc>
        <w:tc>
          <w:tcPr>
            <w:tcW w:w="1985" w:type="dxa"/>
            <w:tcBorders>
              <w:top w:val="nil"/>
              <w:left w:val="nil"/>
              <w:bottom w:val="single" w:sz="8" w:space="0" w:color="auto"/>
              <w:right w:val="single" w:sz="8" w:space="0" w:color="auto"/>
            </w:tcBorders>
            <w:shd w:val="clear" w:color="auto" w:fill="auto"/>
            <w:noWrap/>
            <w:vAlign w:val="center"/>
            <w:hideMark/>
          </w:tcPr>
          <w:p w14:paraId="6F8BCE1D" w14:textId="65366341" w:rsidR="00057FAD" w:rsidRPr="00005453" w:rsidRDefault="00057FAD" w:rsidP="00057FAD">
            <w:pPr>
              <w:jc w:val="right"/>
              <w:rPr>
                <w:color w:val="000000"/>
                <w:sz w:val="18"/>
                <w:szCs w:val="18"/>
                <w:lang w:eastAsia="tr-TR"/>
              </w:rPr>
            </w:pPr>
            <w:r w:rsidRPr="00005453">
              <w:rPr>
                <w:color w:val="000000"/>
                <w:sz w:val="18"/>
                <w:szCs w:val="18"/>
              </w:rPr>
              <w:t>559,729</w:t>
            </w:r>
          </w:p>
        </w:tc>
        <w:tc>
          <w:tcPr>
            <w:tcW w:w="1701" w:type="dxa"/>
            <w:tcBorders>
              <w:top w:val="nil"/>
              <w:left w:val="nil"/>
              <w:bottom w:val="single" w:sz="8" w:space="0" w:color="auto"/>
              <w:right w:val="single" w:sz="8" w:space="0" w:color="auto"/>
            </w:tcBorders>
            <w:shd w:val="clear" w:color="auto" w:fill="auto"/>
            <w:noWrap/>
            <w:vAlign w:val="center"/>
            <w:hideMark/>
          </w:tcPr>
          <w:p w14:paraId="616F29A4" w14:textId="4DB20E52" w:rsidR="00057FAD" w:rsidRPr="00005453" w:rsidRDefault="00057FAD" w:rsidP="00057FAD">
            <w:pPr>
              <w:jc w:val="right"/>
              <w:rPr>
                <w:color w:val="000000"/>
                <w:sz w:val="18"/>
                <w:szCs w:val="18"/>
                <w:lang w:eastAsia="tr-TR"/>
              </w:rPr>
            </w:pPr>
            <w:r w:rsidRPr="00005453">
              <w:rPr>
                <w:color w:val="000000"/>
                <w:sz w:val="18"/>
                <w:szCs w:val="18"/>
              </w:rPr>
              <w:t>515,338</w:t>
            </w:r>
          </w:p>
        </w:tc>
        <w:tc>
          <w:tcPr>
            <w:tcW w:w="1559" w:type="dxa"/>
            <w:tcBorders>
              <w:top w:val="nil"/>
              <w:left w:val="nil"/>
              <w:bottom w:val="single" w:sz="8" w:space="0" w:color="auto"/>
              <w:right w:val="single" w:sz="8" w:space="0" w:color="auto"/>
            </w:tcBorders>
            <w:shd w:val="clear" w:color="auto" w:fill="auto"/>
            <w:noWrap/>
            <w:vAlign w:val="center"/>
            <w:hideMark/>
          </w:tcPr>
          <w:p w14:paraId="009D6335" w14:textId="18EE80E2" w:rsidR="00057FAD" w:rsidRPr="00005453" w:rsidRDefault="00057FAD" w:rsidP="00057FAD">
            <w:pPr>
              <w:jc w:val="right"/>
              <w:rPr>
                <w:color w:val="000000"/>
                <w:sz w:val="18"/>
                <w:szCs w:val="18"/>
                <w:lang w:eastAsia="tr-TR"/>
              </w:rPr>
            </w:pPr>
            <w:r w:rsidRPr="00005453">
              <w:rPr>
                <w:color w:val="000000"/>
                <w:sz w:val="18"/>
                <w:szCs w:val="18"/>
              </w:rPr>
              <w:t>68,246</w:t>
            </w:r>
          </w:p>
        </w:tc>
      </w:tr>
      <w:tr w:rsidR="00057FAD" w:rsidRPr="00005453" w14:paraId="10283E62"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9A4E966" w14:textId="652E7DC0" w:rsidR="00057FAD" w:rsidRPr="00005453" w:rsidRDefault="00057FAD" w:rsidP="00057FAD">
            <w:pPr>
              <w:rPr>
                <w:color w:val="000000"/>
                <w:sz w:val="18"/>
                <w:szCs w:val="18"/>
                <w:lang w:eastAsia="tr-TR"/>
              </w:rPr>
            </w:pPr>
            <w:r w:rsidRPr="00005453">
              <w:rPr>
                <w:color w:val="000000"/>
                <w:sz w:val="18"/>
                <w:szCs w:val="18"/>
                <w:lang w:eastAsia="tr-TR"/>
              </w:rPr>
              <w:t>Elektrik, Gaz, Su</w:t>
            </w:r>
          </w:p>
        </w:tc>
        <w:tc>
          <w:tcPr>
            <w:tcW w:w="1985" w:type="dxa"/>
            <w:tcBorders>
              <w:top w:val="nil"/>
              <w:left w:val="nil"/>
              <w:bottom w:val="single" w:sz="8" w:space="0" w:color="auto"/>
              <w:right w:val="single" w:sz="8" w:space="0" w:color="auto"/>
            </w:tcBorders>
            <w:shd w:val="clear" w:color="auto" w:fill="auto"/>
            <w:noWrap/>
            <w:vAlign w:val="center"/>
            <w:hideMark/>
          </w:tcPr>
          <w:p w14:paraId="169AA89D" w14:textId="0D6FDFC4" w:rsidR="00057FAD" w:rsidRPr="00005453" w:rsidRDefault="00057FAD" w:rsidP="00057FAD">
            <w:pPr>
              <w:jc w:val="right"/>
              <w:rPr>
                <w:color w:val="000000"/>
                <w:sz w:val="18"/>
                <w:szCs w:val="18"/>
                <w:lang w:eastAsia="tr-TR"/>
              </w:rPr>
            </w:pPr>
            <w:r w:rsidRPr="00005453">
              <w:rPr>
                <w:color w:val="000000"/>
                <w:sz w:val="18"/>
                <w:szCs w:val="18"/>
              </w:rPr>
              <w:t>6,560</w:t>
            </w:r>
          </w:p>
        </w:tc>
        <w:tc>
          <w:tcPr>
            <w:tcW w:w="1701" w:type="dxa"/>
            <w:tcBorders>
              <w:top w:val="nil"/>
              <w:left w:val="nil"/>
              <w:bottom w:val="single" w:sz="8" w:space="0" w:color="auto"/>
              <w:right w:val="single" w:sz="8" w:space="0" w:color="auto"/>
            </w:tcBorders>
            <w:shd w:val="clear" w:color="auto" w:fill="auto"/>
            <w:noWrap/>
            <w:vAlign w:val="center"/>
            <w:hideMark/>
          </w:tcPr>
          <w:p w14:paraId="464353DB" w14:textId="403AE75D" w:rsidR="00057FAD" w:rsidRPr="00005453" w:rsidRDefault="00057FAD" w:rsidP="00057FAD">
            <w:pPr>
              <w:jc w:val="right"/>
              <w:rPr>
                <w:color w:val="000000"/>
                <w:sz w:val="18"/>
                <w:szCs w:val="18"/>
                <w:lang w:eastAsia="tr-TR"/>
              </w:rPr>
            </w:pPr>
            <w:r w:rsidRPr="00005453">
              <w:rPr>
                <w:color w:val="000000"/>
                <w:sz w:val="18"/>
                <w:szCs w:val="18"/>
              </w:rPr>
              <w:t>6,372</w:t>
            </w:r>
          </w:p>
        </w:tc>
        <w:tc>
          <w:tcPr>
            <w:tcW w:w="1559" w:type="dxa"/>
            <w:tcBorders>
              <w:top w:val="nil"/>
              <w:left w:val="nil"/>
              <w:bottom w:val="single" w:sz="8" w:space="0" w:color="auto"/>
              <w:right w:val="single" w:sz="8" w:space="0" w:color="auto"/>
            </w:tcBorders>
            <w:shd w:val="clear" w:color="auto" w:fill="auto"/>
            <w:noWrap/>
            <w:vAlign w:val="center"/>
            <w:hideMark/>
          </w:tcPr>
          <w:p w14:paraId="1FF4DF53" w14:textId="2F6987DA" w:rsidR="00057FAD" w:rsidRPr="00005453" w:rsidRDefault="00057FAD" w:rsidP="00057FAD">
            <w:pPr>
              <w:jc w:val="right"/>
              <w:rPr>
                <w:color w:val="000000"/>
                <w:sz w:val="18"/>
                <w:szCs w:val="18"/>
                <w:lang w:eastAsia="tr-TR"/>
              </w:rPr>
            </w:pPr>
            <w:r w:rsidRPr="00005453">
              <w:rPr>
                <w:color w:val="000000"/>
                <w:sz w:val="18"/>
                <w:szCs w:val="18"/>
              </w:rPr>
              <w:t>24</w:t>
            </w:r>
          </w:p>
        </w:tc>
      </w:tr>
      <w:tr w:rsidR="00057FAD" w:rsidRPr="00005453" w14:paraId="7481A153"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2EDF729" w14:textId="11D90FB8" w:rsidR="00057FAD" w:rsidRPr="00005453" w:rsidRDefault="00057FAD" w:rsidP="00057FAD">
            <w:pPr>
              <w:rPr>
                <w:b/>
                <w:bCs/>
                <w:color w:val="000000"/>
                <w:sz w:val="18"/>
                <w:szCs w:val="18"/>
                <w:lang w:eastAsia="tr-TR"/>
              </w:rPr>
            </w:pPr>
            <w:r w:rsidRPr="00005453">
              <w:rPr>
                <w:b/>
                <w:bCs/>
                <w:color w:val="000000"/>
                <w:sz w:val="18"/>
                <w:szCs w:val="18"/>
                <w:lang w:eastAsia="tr-TR"/>
              </w:rPr>
              <w:t>İnşaat</w:t>
            </w:r>
          </w:p>
        </w:tc>
        <w:tc>
          <w:tcPr>
            <w:tcW w:w="1985" w:type="dxa"/>
            <w:tcBorders>
              <w:top w:val="nil"/>
              <w:left w:val="nil"/>
              <w:bottom w:val="single" w:sz="8" w:space="0" w:color="auto"/>
              <w:right w:val="single" w:sz="8" w:space="0" w:color="auto"/>
            </w:tcBorders>
            <w:shd w:val="clear" w:color="auto" w:fill="auto"/>
            <w:noWrap/>
            <w:vAlign w:val="center"/>
            <w:hideMark/>
          </w:tcPr>
          <w:p w14:paraId="2E2FDDA0" w14:textId="17AD7D03" w:rsidR="00057FAD" w:rsidRPr="00005453" w:rsidRDefault="00057FAD" w:rsidP="00057FAD">
            <w:pPr>
              <w:jc w:val="right"/>
              <w:rPr>
                <w:b/>
                <w:bCs/>
                <w:color w:val="000000"/>
                <w:sz w:val="18"/>
                <w:szCs w:val="18"/>
                <w:lang w:eastAsia="tr-TR"/>
              </w:rPr>
            </w:pPr>
            <w:r w:rsidRPr="00005453">
              <w:rPr>
                <w:b/>
                <w:bCs/>
                <w:color w:val="000000"/>
                <w:sz w:val="18"/>
                <w:szCs w:val="18"/>
              </w:rPr>
              <w:t>1,123,118</w:t>
            </w:r>
          </w:p>
        </w:tc>
        <w:tc>
          <w:tcPr>
            <w:tcW w:w="1701" w:type="dxa"/>
            <w:tcBorders>
              <w:top w:val="nil"/>
              <w:left w:val="nil"/>
              <w:bottom w:val="single" w:sz="8" w:space="0" w:color="auto"/>
              <w:right w:val="single" w:sz="8" w:space="0" w:color="auto"/>
            </w:tcBorders>
            <w:shd w:val="clear" w:color="auto" w:fill="auto"/>
            <w:noWrap/>
            <w:vAlign w:val="center"/>
            <w:hideMark/>
          </w:tcPr>
          <w:p w14:paraId="7D56152B" w14:textId="5623D046" w:rsidR="00057FAD" w:rsidRPr="00005453" w:rsidRDefault="00057FAD" w:rsidP="00057FAD">
            <w:pPr>
              <w:jc w:val="right"/>
              <w:rPr>
                <w:b/>
                <w:bCs/>
                <w:color w:val="000000"/>
                <w:sz w:val="18"/>
                <w:szCs w:val="18"/>
                <w:lang w:eastAsia="tr-TR"/>
              </w:rPr>
            </w:pPr>
            <w:r w:rsidRPr="00005453">
              <w:rPr>
                <w:b/>
                <w:bCs/>
                <w:color w:val="000000"/>
                <w:sz w:val="18"/>
                <w:szCs w:val="18"/>
              </w:rPr>
              <w:t>1,118,832</w:t>
            </w:r>
          </w:p>
        </w:tc>
        <w:tc>
          <w:tcPr>
            <w:tcW w:w="1559" w:type="dxa"/>
            <w:tcBorders>
              <w:top w:val="nil"/>
              <w:left w:val="nil"/>
              <w:bottom w:val="single" w:sz="8" w:space="0" w:color="auto"/>
              <w:right w:val="single" w:sz="8" w:space="0" w:color="auto"/>
            </w:tcBorders>
            <w:shd w:val="clear" w:color="auto" w:fill="auto"/>
            <w:noWrap/>
            <w:vAlign w:val="center"/>
            <w:hideMark/>
          </w:tcPr>
          <w:p w14:paraId="6A770EDA" w14:textId="2B891AFB" w:rsidR="00057FAD" w:rsidRPr="00005453" w:rsidRDefault="00057FAD" w:rsidP="00057FAD">
            <w:pPr>
              <w:jc w:val="right"/>
              <w:rPr>
                <w:b/>
                <w:bCs/>
                <w:color w:val="000000"/>
                <w:sz w:val="18"/>
                <w:szCs w:val="18"/>
                <w:lang w:eastAsia="tr-TR"/>
              </w:rPr>
            </w:pPr>
            <w:r w:rsidRPr="00005453">
              <w:rPr>
                <w:b/>
                <w:bCs/>
                <w:color w:val="000000"/>
                <w:sz w:val="18"/>
                <w:szCs w:val="18"/>
              </w:rPr>
              <w:t>82,957</w:t>
            </w:r>
          </w:p>
        </w:tc>
      </w:tr>
      <w:tr w:rsidR="00057FAD" w:rsidRPr="00005453" w14:paraId="5877ACE2"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C16EF14" w14:textId="2AF16F21" w:rsidR="00057FAD" w:rsidRPr="00005453" w:rsidRDefault="00057FAD" w:rsidP="00057FAD">
            <w:pPr>
              <w:rPr>
                <w:b/>
                <w:bCs/>
                <w:color w:val="000000"/>
                <w:sz w:val="18"/>
                <w:szCs w:val="18"/>
                <w:lang w:eastAsia="tr-TR"/>
              </w:rPr>
            </w:pPr>
            <w:r w:rsidRPr="00005453">
              <w:rPr>
                <w:b/>
                <w:bCs/>
                <w:color w:val="000000"/>
                <w:sz w:val="18"/>
                <w:szCs w:val="18"/>
                <w:lang w:eastAsia="tr-TR"/>
              </w:rPr>
              <w:t>Hizmetler</w:t>
            </w:r>
          </w:p>
        </w:tc>
        <w:tc>
          <w:tcPr>
            <w:tcW w:w="1985" w:type="dxa"/>
            <w:tcBorders>
              <w:top w:val="nil"/>
              <w:left w:val="nil"/>
              <w:bottom w:val="single" w:sz="8" w:space="0" w:color="auto"/>
              <w:right w:val="single" w:sz="8" w:space="0" w:color="auto"/>
            </w:tcBorders>
            <w:shd w:val="clear" w:color="auto" w:fill="auto"/>
            <w:noWrap/>
            <w:vAlign w:val="center"/>
            <w:hideMark/>
          </w:tcPr>
          <w:p w14:paraId="06DEAAE9" w14:textId="46EA1C98" w:rsidR="00057FAD" w:rsidRPr="00005453" w:rsidRDefault="00057FAD" w:rsidP="00057FAD">
            <w:pPr>
              <w:jc w:val="right"/>
              <w:rPr>
                <w:b/>
                <w:bCs/>
                <w:color w:val="000000"/>
                <w:sz w:val="18"/>
                <w:szCs w:val="18"/>
                <w:lang w:eastAsia="tr-TR"/>
              </w:rPr>
            </w:pPr>
            <w:r w:rsidRPr="00005453">
              <w:rPr>
                <w:b/>
                <w:bCs/>
                <w:color w:val="000000"/>
                <w:sz w:val="18"/>
                <w:szCs w:val="18"/>
              </w:rPr>
              <w:t>1,645,613</w:t>
            </w:r>
          </w:p>
        </w:tc>
        <w:tc>
          <w:tcPr>
            <w:tcW w:w="1701" w:type="dxa"/>
            <w:tcBorders>
              <w:top w:val="nil"/>
              <w:left w:val="nil"/>
              <w:bottom w:val="single" w:sz="8" w:space="0" w:color="auto"/>
              <w:right w:val="single" w:sz="8" w:space="0" w:color="auto"/>
            </w:tcBorders>
            <w:shd w:val="clear" w:color="auto" w:fill="auto"/>
            <w:noWrap/>
            <w:vAlign w:val="center"/>
            <w:hideMark/>
          </w:tcPr>
          <w:p w14:paraId="274F5B8D" w14:textId="28151920" w:rsidR="00057FAD" w:rsidRPr="00005453" w:rsidRDefault="00057FAD" w:rsidP="00057FAD">
            <w:pPr>
              <w:jc w:val="right"/>
              <w:rPr>
                <w:b/>
                <w:bCs/>
                <w:color w:val="000000"/>
                <w:sz w:val="18"/>
                <w:szCs w:val="18"/>
                <w:lang w:eastAsia="tr-TR"/>
              </w:rPr>
            </w:pPr>
            <w:r w:rsidRPr="00005453">
              <w:rPr>
                <w:b/>
                <w:bCs/>
                <w:color w:val="000000"/>
                <w:sz w:val="18"/>
                <w:szCs w:val="18"/>
              </w:rPr>
              <w:t>1,558,829</w:t>
            </w:r>
          </w:p>
        </w:tc>
        <w:tc>
          <w:tcPr>
            <w:tcW w:w="1559" w:type="dxa"/>
            <w:tcBorders>
              <w:top w:val="nil"/>
              <w:left w:val="nil"/>
              <w:bottom w:val="single" w:sz="8" w:space="0" w:color="auto"/>
              <w:right w:val="single" w:sz="8" w:space="0" w:color="auto"/>
            </w:tcBorders>
            <w:shd w:val="clear" w:color="auto" w:fill="auto"/>
            <w:noWrap/>
            <w:vAlign w:val="center"/>
            <w:hideMark/>
          </w:tcPr>
          <w:p w14:paraId="2A77FED3" w14:textId="3EE09D5F" w:rsidR="00057FAD" w:rsidRPr="00005453" w:rsidRDefault="00057FAD" w:rsidP="00057FAD">
            <w:pPr>
              <w:jc w:val="right"/>
              <w:rPr>
                <w:b/>
                <w:bCs/>
                <w:color w:val="000000"/>
                <w:sz w:val="18"/>
                <w:szCs w:val="18"/>
                <w:lang w:eastAsia="tr-TR"/>
              </w:rPr>
            </w:pPr>
            <w:r w:rsidRPr="00005453">
              <w:rPr>
                <w:b/>
                <w:bCs/>
                <w:color w:val="000000"/>
                <w:sz w:val="18"/>
                <w:szCs w:val="18"/>
              </w:rPr>
              <w:t>337,673</w:t>
            </w:r>
          </w:p>
        </w:tc>
      </w:tr>
      <w:tr w:rsidR="00057FAD" w:rsidRPr="00005453" w14:paraId="3952E4F0"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23037D7" w14:textId="07DF906C" w:rsidR="00057FAD" w:rsidRPr="00005453" w:rsidRDefault="00057FAD" w:rsidP="00057FAD">
            <w:pPr>
              <w:rPr>
                <w:color w:val="000000"/>
                <w:sz w:val="18"/>
                <w:szCs w:val="18"/>
                <w:lang w:eastAsia="tr-TR"/>
              </w:rPr>
            </w:pPr>
            <w:r w:rsidRPr="00005453">
              <w:rPr>
                <w:color w:val="000000"/>
                <w:sz w:val="18"/>
                <w:szCs w:val="18"/>
                <w:lang w:eastAsia="tr-TR"/>
              </w:rPr>
              <w:t>Toptan ve Perakende Ticaret</w:t>
            </w:r>
          </w:p>
        </w:tc>
        <w:tc>
          <w:tcPr>
            <w:tcW w:w="1985" w:type="dxa"/>
            <w:tcBorders>
              <w:top w:val="nil"/>
              <w:left w:val="nil"/>
              <w:bottom w:val="single" w:sz="8" w:space="0" w:color="auto"/>
              <w:right w:val="single" w:sz="8" w:space="0" w:color="auto"/>
            </w:tcBorders>
            <w:shd w:val="clear" w:color="auto" w:fill="auto"/>
            <w:noWrap/>
            <w:vAlign w:val="center"/>
            <w:hideMark/>
          </w:tcPr>
          <w:p w14:paraId="0EDAEF80" w14:textId="50177EBE" w:rsidR="00057FAD" w:rsidRPr="00005453" w:rsidRDefault="00057FAD" w:rsidP="00057FAD">
            <w:pPr>
              <w:jc w:val="right"/>
              <w:rPr>
                <w:color w:val="000000"/>
                <w:sz w:val="18"/>
                <w:szCs w:val="18"/>
                <w:lang w:eastAsia="tr-TR"/>
              </w:rPr>
            </w:pPr>
            <w:r w:rsidRPr="00005453">
              <w:rPr>
                <w:color w:val="000000"/>
                <w:sz w:val="18"/>
                <w:szCs w:val="18"/>
              </w:rPr>
              <w:t>991,125</w:t>
            </w:r>
          </w:p>
        </w:tc>
        <w:tc>
          <w:tcPr>
            <w:tcW w:w="1701" w:type="dxa"/>
            <w:tcBorders>
              <w:top w:val="nil"/>
              <w:left w:val="nil"/>
              <w:bottom w:val="single" w:sz="8" w:space="0" w:color="auto"/>
              <w:right w:val="single" w:sz="8" w:space="0" w:color="auto"/>
            </w:tcBorders>
            <w:shd w:val="clear" w:color="auto" w:fill="auto"/>
            <w:noWrap/>
            <w:vAlign w:val="center"/>
            <w:hideMark/>
          </w:tcPr>
          <w:p w14:paraId="0022C46B" w14:textId="5AD1458E" w:rsidR="00057FAD" w:rsidRPr="00005453" w:rsidRDefault="00057FAD" w:rsidP="00057FAD">
            <w:pPr>
              <w:jc w:val="right"/>
              <w:rPr>
                <w:color w:val="000000"/>
                <w:sz w:val="18"/>
                <w:szCs w:val="18"/>
                <w:lang w:eastAsia="tr-TR"/>
              </w:rPr>
            </w:pPr>
            <w:r w:rsidRPr="00005453">
              <w:rPr>
                <w:color w:val="000000"/>
                <w:sz w:val="18"/>
                <w:szCs w:val="18"/>
              </w:rPr>
              <w:t>944,281</w:t>
            </w:r>
          </w:p>
        </w:tc>
        <w:tc>
          <w:tcPr>
            <w:tcW w:w="1559" w:type="dxa"/>
            <w:tcBorders>
              <w:top w:val="nil"/>
              <w:left w:val="nil"/>
              <w:bottom w:val="single" w:sz="8" w:space="0" w:color="auto"/>
              <w:right w:val="single" w:sz="8" w:space="0" w:color="auto"/>
            </w:tcBorders>
            <w:shd w:val="clear" w:color="auto" w:fill="auto"/>
            <w:noWrap/>
            <w:vAlign w:val="center"/>
            <w:hideMark/>
          </w:tcPr>
          <w:p w14:paraId="50D5E8DA" w14:textId="530AB5DA" w:rsidR="00057FAD" w:rsidRPr="00005453" w:rsidRDefault="00057FAD" w:rsidP="00057FAD">
            <w:pPr>
              <w:jc w:val="right"/>
              <w:rPr>
                <w:color w:val="000000"/>
                <w:sz w:val="18"/>
                <w:szCs w:val="18"/>
                <w:lang w:eastAsia="tr-TR"/>
              </w:rPr>
            </w:pPr>
            <w:r w:rsidRPr="00005453">
              <w:rPr>
                <w:color w:val="000000"/>
                <w:sz w:val="18"/>
                <w:szCs w:val="18"/>
              </w:rPr>
              <w:t>321,525</w:t>
            </w:r>
          </w:p>
        </w:tc>
      </w:tr>
      <w:tr w:rsidR="00057FAD" w:rsidRPr="00005453" w14:paraId="12C34857"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C25A913" w14:textId="7670A833" w:rsidR="00057FAD" w:rsidRPr="00005453" w:rsidRDefault="00057FAD" w:rsidP="00057FAD">
            <w:pPr>
              <w:rPr>
                <w:color w:val="000000"/>
                <w:sz w:val="18"/>
                <w:szCs w:val="18"/>
                <w:lang w:eastAsia="tr-TR"/>
              </w:rPr>
            </w:pPr>
            <w:r w:rsidRPr="00005453">
              <w:rPr>
                <w:color w:val="000000"/>
                <w:sz w:val="18"/>
                <w:szCs w:val="18"/>
                <w:lang w:eastAsia="tr-TR"/>
              </w:rPr>
              <w:t>Otel ve Lokanta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0BD4083C" w14:textId="639ACAB7" w:rsidR="00057FAD" w:rsidRPr="00005453" w:rsidRDefault="00057FAD" w:rsidP="00057FAD">
            <w:pPr>
              <w:jc w:val="right"/>
              <w:rPr>
                <w:color w:val="000000"/>
                <w:sz w:val="18"/>
                <w:szCs w:val="18"/>
                <w:lang w:eastAsia="tr-TR"/>
              </w:rPr>
            </w:pPr>
            <w:r w:rsidRPr="00005453">
              <w:rPr>
                <w:color w:val="000000"/>
                <w:sz w:val="18"/>
                <w:szCs w:val="18"/>
              </w:rPr>
              <w:t>385,910</w:t>
            </w:r>
          </w:p>
        </w:tc>
        <w:tc>
          <w:tcPr>
            <w:tcW w:w="1701" w:type="dxa"/>
            <w:tcBorders>
              <w:top w:val="nil"/>
              <w:left w:val="nil"/>
              <w:bottom w:val="single" w:sz="8" w:space="0" w:color="auto"/>
              <w:right w:val="single" w:sz="8" w:space="0" w:color="auto"/>
            </w:tcBorders>
            <w:shd w:val="clear" w:color="auto" w:fill="auto"/>
            <w:noWrap/>
            <w:vAlign w:val="center"/>
            <w:hideMark/>
          </w:tcPr>
          <w:p w14:paraId="604CA077" w14:textId="25C61815" w:rsidR="00057FAD" w:rsidRPr="00005453" w:rsidRDefault="00057FAD" w:rsidP="00057FAD">
            <w:pPr>
              <w:jc w:val="right"/>
              <w:rPr>
                <w:color w:val="000000"/>
                <w:sz w:val="18"/>
                <w:szCs w:val="18"/>
                <w:lang w:eastAsia="tr-TR"/>
              </w:rPr>
            </w:pPr>
            <w:r w:rsidRPr="00005453">
              <w:rPr>
                <w:color w:val="000000"/>
                <w:sz w:val="18"/>
                <w:szCs w:val="18"/>
              </w:rPr>
              <w:t>358,318</w:t>
            </w:r>
          </w:p>
        </w:tc>
        <w:tc>
          <w:tcPr>
            <w:tcW w:w="1559" w:type="dxa"/>
            <w:tcBorders>
              <w:top w:val="nil"/>
              <w:left w:val="nil"/>
              <w:bottom w:val="single" w:sz="8" w:space="0" w:color="auto"/>
              <w:right w:val="single" w:sz="8" w:space="0" w:color="auto"/>
            </w:tcBorders>
            <w:shd w:val="clear" w:color="auto" w:fill="auto"/>
            <w:noWrap/>
            <w:vAlign w:val="center"/>
            <w:hideMark/>
          </w:tcPr>
          <w:p w14:paraId="76B4D7AF" w14:textId="1D5D270C" w:rsidR="00057FAD" w:rsidRPr="00005453" w:rsidRDefault="00057FAD" w:rsidP="00057FAD">
            <w:pPr>
              <w:jc w:val="right"/>
              <w:rPr>
                <w:color w:val="000000"/>
                <w:sz w:val="18"/>
                <w:szCs w:val="18"/>
                <w:lang w:eastAsia="tr-TR"/>
              </w:rPr>
            </w:pPr>
            <w:r w:rsidRPr="00005453">
              <w:rPr>
                <w:color w:val="000000"/>
                <w:sz w:val="18"/>
                <w:szCs w:val="18"/>
              </w:rPr>
              <w:t>187</w:t>
            </w:r>
          </w:p>
        </w:tc>
      </w:tr>
      <w:tr w:rsidR="00057FAD" w:rsidRPr="00005453" w14:paraId="69070A22"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8BAFD81" w14:textId="63816604" w:rsidR="00057FAD" w:rsidRPr="00005453" w:rsidRDefault="00057FAD" w:rsidP="00057FAD">
            <w:pPr>
              <w:rPr>
                <w:color w:val="000000"/>
                <w:sz w:val="18"/>
                <w:szCs w:val="18"/>
                <w:lang w:eastAsia="tr-TR"/>
              </w:rPr>
            </w:pPr>
            <w:r w:rsidRPr="00005453">
              <w:rPr>
                <w:color w:val="000000"/>
                <w:sz w:val="18"/>
                <w:szCs w:val="18"/>
                <w:lang w:eastAsia="tr-TR"/>
              </w:rPr>
              <w:t>Ulaştırma Ve Haberleşme</w:t>
            </w:r>
          </w:p>
        </w:tc>
        <w:tc>
          <w:tcPr>
            <w:tcW w:w="1985" w:type="dxa"/>
            <w:tcBorders>
              <w:top w:val="nil"/>
              <w:left w:val="nil"/>
              <w:bottom w:val="single" w:sz="8" w:space="0" w:color="auto"/>
              <w:right w:val="single" w:sz="8" w:space="0" w:color="auto"/>
            </w:tcBorders>
            <w:shd w:val="clear" w:color="auto" w:fill="auto"/>
            <w:noWrap/>
            <w:vAlign w:val="center"/>
            <w:hideMark/>
          </w:tcPr>
          <w:p w14:paraId="689C3E23" w14:textId="066A00B0" w:rsidR="00057FAD" w:rsidRPr="00005453" w:rsidRDefault="00057FAD" w:rsidP="00057FAD">
            <w:pPr>
              <w:jc w:val="right"/>
              <w:rPr>
                <w:color w:val="000000"/>
                <w:sz w:val="18"/>
                <w:szCs w:val="18"/>
                <w:lang w:eastAsia="tr-TR"/>
              </w:rPr>
            </w:pPr>
            <w:r w:rsidRPr="00005453">
              <w:rPr>
                <w:color w:val="000000"/>
                <w:sz w:val="18"/>
                <w:szCs w:val="18"/>
              </w:rPr>
              <w:t>91,870</w:t>
            </w:r>
          </w:p>
        </w:tc>
        <w:tc>
          <w:tcPr>
            <w:tcW w:w="1701" w:type="dxa"/>
            <w:tcBorders>
              <w:top w:val="nil"/>
              <w:left w:val="nil"/>
              <w:bottom w:val="single" w:sz="8" w:space="0" w:color="auto"/>
              <w:right w:val="single" w:sz="8" w:space="0" w:color="auto"/>
            </w:tcBorders>
            <w:shd w:val="clear" w:color="auto" w:fill="auto"/>
            <w:noWrap/>
            <w:vAlign w:val="center"/>
            <w:hideMark/>
          </w:tcPr>
          <w:p w14:paraId="4D08C3B8" w14:textId="131DBB5E" w:rsidR="00057FAD" w:rsidRPr="00005453" w:rsidRDefault="00057FAD" w:rsidP="00057FAD">
            <w:pPr>
              <w:jc w:val="right"/>
              <w:rPr>
                <w:color w:val="000000"/>
                <w:sz w:val="18"/>
                <w:szCs w:val="18"/>
                <w:lang w:eastAsia="tr-TR"/>
              </w:rPr>
            </w:pPr>
            <w:r w:rsidRPr="00005453">
              <w:rPr>
                <w:color w:val="000000"/>
                <w:sz w:val="18"/>
                <w:szCs w:val="18"/>
              </w:rPr>
              <w:t>90,548</w:t>
            </w:r>
          </w:p>
        </w:tc>
        <w:tc>
          <w:tcPr>
            <w:tcW w:w="1559" w:type="dxa"/>
            <w:tcBorders>
              <w:top w:val="nil"/>
              <w:left w:val="nil"/>
              <w:bottom w:val="single" w:sz="8" w:space="0" w:color="auto"/>
              <w:right w:val="single" w:sz="8" w:space="0" w:color="auto"/>
            </w:tcBorders>
            <w:shd w:val="clear" w:color="auto" w:fill="auto"/>
            <w:noWrap/>
            <w:vAlign w:val="center"/>
            <w:hideMark/>
          </w:tcPr>
          <w:p w14:paraId="64493F1C" w14:textId="6B587E8C" w:rsidR="00057FAD" w:rsidRPr="00005453" w:rsidRDefault="00057FAD" w:rsidP="00057FAD">
            <w:pPr>
              <w:jc w:val="right"/>
              <w:rPr>
                <w:color w:val="000000"/>
                <w:sz w:val="18"/>
                <w:szCs w:val="18"/>
                <w:lang w:eastAsia="tr-TR"/>
              </w:rPr>
            </w:pPr>
            <w:r w:rsidRPr="00005453">
              <w:rPr>
                <w:color w:val="000000"/>
                <w:sz w:val="18"/>
                <w:szCs w:val="18"/>
              </w:rPr>
              <w:t>12,977</w:t>
            </w:r>
          </w:p>
        </w:tc>
      </w:tr>
      <w:tr w:rsidR="00057FAD" w:rsidRPr="00005453" w14:paraId="47F20AEA"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E1CA8F2" w14:textId="3CA3F6FD" w:rsidR="00057FAD" w:rsidRPr="00005453" w:rsidRDefault="00057FAD" w:rsidP="00057FAD">
            <w:pPr>
              <w:rPr>
                <w:color w:val="000000"/>
                <w:sz w:val="18"/>
                <w:szCs w:val="18"/>
                <w:lang w:eastAsia="tr-TR"/>
              </w:rPr>
            </w:pPr>
            <w:r w:rsidRPr="00005453">
              <w:rPr>
                <w:color w:val="000000"/>
                <w:sz w:val="18"/>
                <w:szCs w:val="18"/>
                <w:lang w:eastAsia="tr-TR"/>
              </w:rPr>
              <w:t>Mali Kuruluşlar</w:t>
            </w:r>
          </w:p>
        </w:tc>
        <w:tc>
          <w:tcPr>
            <w:tcW w:w="1985" w:type="dxa"/>
            <w:tcBorders>
              <w:top w:val="nil"/>
              <w:left w:val="nil"/>
              <w:bottom w:val="single" w:sz="8" w:space="0" w:color="auto"/>
              <w:right w:val="single" w:sz="8" w:space="0" w:color="auto"/>
            </w:tcBorders>
            <w:shd w:val="clear" w:color="auto" w:fill="auto"/>
            <w:noWrap/>
            <w:vAlign w:val="center"/>
            <w:hideMark/>
          </w:tcPr>
          <w:p w14:paraId="3C8A29A6" w14:textId="217AD0F1" w:rsidR="00057FAD" w:rsidRPr="00005453" w:rsidRDefault="00057FAD" w:rsidP="00057FAD">
            <w:pPr>
              <w:jc w:val="right"/>
              <w:rPr>
                <w:color w:val="000000"/>
                <w:sz w:val="18"/>
                <w:szCs w:val="18"/>
                <w:lang w:eastAsia="tr-TR"/>
              </w:rPr>
            </w:pPr>
            <w:r w:rsidRPr="00005453">
              <w:rPr>
                <w:color w:val="000000"/>
                <w:sz w:val="18"/>
                <w:szCs w:val="18"/>
              </w:rPr>
              <w:t>14,052</w:t>
            </w:r>
          </w:p>
        </w:tc>
        <w:tc>
          <w:tcPr>
            <w:tcW w:w="1701" w:type="dxa"/>
            <w:tcBorders>
              <w:top w:val="nil"/>
              <w:left w:val="nil"/>
              <w:bottom w:val="single" w:sz="8" w:space="0" w:color="auto"/>
              <w:right w:val="single" w:sz="8" w:space="0" w:color="auto"/>
            </w:tcBorders>
            <w:shd w:val="clear" w:color="auto" w:fill="auto"/>
            <w:noWrap/>
            <w:vAlign w:val="center"/>
            <w:hideMark/>
          </w:tcPr>
          <w:p w14:paraId="1B6CA810" w14:textId="60BBB07B" w:rsidR="00057FAD" w:rsidRPr="00005453" w:rsidRDefault="00057FAD" w:rsidP="00057FAD">
            <w:pPr>
              <w:jc w:val="right"/>
              <w:rPr>
                <w:color w:val="000000"/>
                <w:sz w:val="18"/>
                <w:szCs w:val="18"/>
                <w:lang w:eastAsia="tr-TR"/>
              </w:rPr>
            </w:pPr>
            <w:r w:rsidRPr="00005453">
              <w:rPr>
                <w:color w:val="000000"/>
                <w:sz w:val="18"/>
                <w:szCs w:val="18"/>
              </w:rPr>
              <w:t>13,984</w:t>
            </w:r>
          </w:p>
        </w:tc>
        <w:tc>
          <w:tcPr>
            <w:tcW w:w="1559" w:type="dxa"/>
            <w:tcBorders>
              <w:top w:val="nil"/>
              <w:left w:val="nil"/>
              <w:bottom w:val="single" w:sz="8" w:space="0" w:color="auto"/>
              <w:right w:val="single" w:sz="8" w:space="0" w:color="auto"/>
            </w:tcBorders>
            <w:shd w:val="clear" w:color="auto" w:fill="auto"/>
            <w:noWrap/>
            <w:vAlign w:val="center"/>
            <w:hideMark/>
          </w:tcPr>
          <w:p w14:paraId="327830BA" w14:textId="6EE8796F" w:rsidR="00057FAD" w:rsidRPr="00005453" w:rsidRDefault="00057FAD" w:rsidP="00057FAD">
            <w:pPr>
              <w:jc w:val="right"/>
              <w:rPr>
                <w:color w:val="000000"/>
                <w:sz w:val="18"/>
                <w:szCs w:val="18"/>
                <w:lang w:eastAsia="tr-TR"/>
              </w:rPr>
            </w:pPr>
            <w:r w:rsidRPr="00005453">
              <w:rPr>
                <w:color w:val="000000"/>
                <w:sz w:val="18"/>
                <w:szCs w:val="18"/>
              </w:rPr>
              <w:t>-</w:t>
            </w:r>
          </w:p>
        </w:tc>
      </w:tr>
      <w:tr w:rsidR="00057FAD" w:rsidRPr="00005453" w14:paraId="02BF084B"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B998774" w14:textId="08D26459" w:rsidR="00057FAD" w:rsidRPr="00005453" w:rsidRDefault="00057FAD" w:rsidP="00057FAD">
            <w:pPr>
              <w:rPr>
                <w:color w:val="000000"/>
                <w:sz w:val="18"/>
                <w:szCs w:val="18"/>
                <w:lang w:eastAsia="tr-TR"/>
              </w:rPr>
            </w:pPr>
            <w:r w:rsidRPr="00005453">
              <w:rPr>
                <w:color w:val="000000"/>
                <w:sz w:val="18"/>
                <w:szCs w:val="18"/>
                <w:lang w:eastAsia="tr-TR"/>
              </w:rPr>
              <w:t>Gayrimenkul ve Kira. Hizm.</w:t>
            </w:r>
          </w:p>
        </w:tc>
        <w:tc>
          <w:tcPr>
            <w:tcW w:w="1985" w:type="dxa"/>
            <w:tcBorders>
              <w:top w:val="nil"/>
              <w:left w:val="nil"/>
              <w:bottom w:val="single" w:sz="8" w:space="0" w:color="auto"/>
              <w:right w:val="single" w:sz="8" w:space="0" w:color="auto"/>
            </w:tcBorders>
            <w:shd w:val="clear" w:color="auto" w:fill="auto"/>
            <w:noWrap/>
            <w:vAlign w:val="center"/>
            <w:hideMark/>
          </w:tcPr>
          <w:p w14:paraId="3BEE3BD1" w14:textId="5742EDFF" w:rsidR="00057FAD" w:rsidRPr="00005453" w:rsidRDefault="00057FAD" w:rsidP="00057FAD">
            <w:pPr>
              <w:jc w:val="right"/>
              <w:rPr>
                <w:color w:val="000000"/>
                <w:sz w:val="18"/>
                <w:szCs w:val="18"/>
                <w:lang w:eastAsia="tr-TR"/>
              </w:rPr>
            </w:pPr>
            <w:r w:rsidRPr="00005453">
              <w:rPr>
                <w:color w:val="000000"/>
                <w:sz w:val="18"/>
                <w:szCs w:val="18"/>
              </w:rPr>
              <w:t>69,910</w:t>
            </w:r>
          </w:p>
        </w:tc>
        <w:tc>
          <w:tcPr>
            <w:tcW w:w="1701" w:type="dxa"/>
            <w:tcBorders>
              <w:top w:val="nil"/>
              <w:left w:val="nil"/>
              <w:bottom w:val="single" w:sz="8" w:space="0" w:color="auto"/>
              <w:right w:val="single" w:sz="8" w:space="0" w:color="auto"/>
            </w:tcBorders>
            <w:shd w:val="clear" w:color="auto" w:fill="auto"/>
            <w:noWrap/>
            <w:vAlign w:val="center"/>
            <w:hideMark/>
          </w:tcPr>
          <w:p w14:paraId="3D799020" w14:textId="52710965" w:rsidR="00057FAD" w:rsidRPr="00005453" w:rsidRDefault="00057FAD" w:rsidP="00057FAD">
            <w:pPr>
              <w:jc w:val="right"/>
              <w:rPr>
                <w:color w:val="000000"/>
                <w:sz w:val="18"/>
                <w:szCs w:val="18"/>
                <w:lang w:eastAsia="tr-TR"/>
              </w:rPr>
            </w:pPr>
            <w:r w:rsidRPr="00005453">
              <w:rPr>
                <w:color w:val="000000"/>
                <w:sz w:val="18"/>
                <w:szCs w:val="18"/>
              </w:rPr>
              <w:t>68,909</w:t>
            </w:r>
          </w:p>
        </w:tc>
        <w:tc>
          <w:tcPr>
            <w:tcW w:w="1559" w:type="dxa"/>
            <w:tcBorders>
              <w:top w:val="nil"/>
              <w:left w:val="nil"/>
              <w:bottom w:val="single" w:sz="8" w:space="0" w:color="auto"/>
              <w:right w:val="single" w:sz="8" w:space="0" w:color="auto"/>
            </w:tcBorders>
            <w:shd w:val="clear" w:color="auto" w:fill="auto"/>
            <w:noWrap/>
            <w:vAlign w:val="center"/>
            <w:hideMark/>
          </w:tcPr>
          <w:p w14:paraId="7B9AF53C" w14:textId="0160ACD9" w:rsidR="00057FAD" w:rsidRPr="00005453" w:rsidRDefault="00057FAD" w:rsidP="00057FAD">
            <w:pPr>
              <w:jc w:val="right"/>
              <w:rPr>
                <w:color w:val="000000"/>
                <w:sz w:val="18"/>
                <w:szCs w:val="18"/>
                <w:lang w:eastAsia="tr-TR"/>
              </w:rPr>
            </w:pPr>
            <w:r w:rsidRPr="00005453">
              <w:rPr>
                <w:color w:val="000000"/>
                <w:sz w:val="18"/>
                <w:szCs w:val="18"/>
              </w:rPr>
              <w:t>1,104</w:t>
            </w:r>
          </w:p>
        </w:tc>
      </w:tr>
      <w:tr w:rsidR="00057FAD" w:rsidRPr="00005453" w14:paraId="4252AE19"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5ADE4B5" w14:textId="743689F9" w:rsidR="00057FAD" w:rsidRPr="00005453" w:rsidRDefault="00057FAD" w:rsidP="00057FAD">
            <w:pPr>
              <w:rPr>
                <w:color w:val="000000"/>
                <w:sz w:val="18"/>
                <w:szCs w:val="18"/>
                <w:lang w:eastAsia="tr-TR"/>
              </w:rPr>
            </w:pPr>
            <w:r w:rsidRPr="00005453">
              <w:rPr>
                <w:color w:val="000000"/>
                <w:sz w:val="18"/>
                <w:szCs w:val="18"/>
                <w:lang w:eastAsia="tr-TR"/>
              </w:rPr>
              <w:t>Serbest Meslek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2B2BEE31" w14:textId="7A769853" w:rsidR="00057FAD" w:rsidRPr="00005453" w:rsidRDefault="00057FAD" w:rsidP="00057FAD">
            <w:pPr>
              <w:jc w:val="right"/>
              <w:rPr>
                <w:color w:val="000000"/>
                <w:sz w:val="18"/>
                <w:szCs w:val="18"/>
                <w:lang w:eastAsia="tr-TR"/>
              </w:rPr>
            </w:pPr>
            <w:r w:rsidRPr="00005453">
              <w:rPr>
                <w:color w:val="000000"/>
                <w:sz w:val="18"/>
                <w:szCs w:val="18"/>
              </w:rPr>
              <w:t>-</w:t>
            </w:r>
          </w:p>
        </w:tc>
        <w:tc>
          <w:tcPr>
            <w:tcW w:w="1701" w:type="dxa"/>
            <w:tcBorders>
              <w:top w:val="nil"/>
              <w:left w:val="nil"/>
              <w:bottom w:val="single" w:sz="8" w:space="0" w:color="auto"/>
              <w:right w:val="single" w:sz="8" w:space="0" w:color="auto"/>
            </w:tcBorders>
            <w:shd w:val="clear" w:color="auto" w:fill="auto"/>
            <w:noWrap/>
            <w:vAlign w:val="center"/>
            <w:hideMark/>
          </w:tcPr>
          <w:p w14:paraId="4F5D90B6" w14:textId="553C949A" w:rsidR="00057FAD" w:rsidRPr="00005453" w:rsidRDefault="00057FAD" w:rsidP="00057FAD">
            <w:pPr>
              <w:jc w:val="right"/>
              <w:rPr>
                <w:color w:val="000000"/>
                <w:sz w:val="18"/>
                <w:szCs w:val="18"/>
                <w:lang w:eastAsia="tr-TR"/>
              </w:rPr>
            </w:pPr>
            <w:r w:rsidRPr="00005453">
              <w:rPr>
                <w:color w:val="000000"/>
                <w:sz w:val="18"/>
                <w:szCs w:val="18"/>
              </w:rPr>
              <w:t>-</w:t>
            </w:r>
          </w:p>
        </w:tc>
        <w:tc>
          <w:tcPr>
            <w:tcW w:w="1559" w:type="dxa"/>
            <w:tcBorders>
              <w:top w:val="nil"/>
              <w:left w:val="nil"/>
              <w:bottom w:val="single" w:sz="8" w:space="0" w:color="auto"/>
              <w:right w:val="single" w:sz="8" w:space="0" w:color="auto"/>
            </w:tcBorders>
            <w:shd w:val="clear" w:color="auto" w:fill="auto"/>
            <w:noWrap/>
            <w:vAlign w:val="center"/>
            <w:hideMark/>
          </w:tcPr>
          <w:p w14:paraId="538577D3" w14:textId="5DDB61F5" w:rsidR="00057FAD" w:rsidRPr="00005453" w:rsidRDefault="00057FAD" w:rsidP="00057FAD">
            <w:pPr>
              <w:jc w:val="right"/>
              <w:rPr>
                <w:color w:val="000000"/>
                <w:sz w:val="18"/>
                <w:szCs w:val="18"/>
                <w:lang w:eastAsia="tr-TR"/>
              </w:rPr>
            </w:pPr>
            <w:r w:rsidRPr="00005453">
              <w:rPr>
                <w:color w:val="000000"/>
                <w:sz w:val="18"/>
                <w:szCs w:val="18"/>
              </w:rPr>
              <w:t>-</w:t>
            </w:r>
          </w:p>
        </w:tc>
      </w:tr>
      <w:tr w:rsidR="00057FAD" w:rsidRPr="00005453" w14:paraId="0EE44149"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8EDC3C1" w14:textId="489006F1" w:rsidR="00057FAD" w:rsidRPr="00005453" w:rsidRDefault="00057FAD" w:rsidP="00057FAD">
            <w:pPr>
              <w:rPr>
                <w:color w:val="000000"/>
                <w:sz w:val="18"/>
                <w:szCs w:val="18"/>
                <w:lang w:eastAsia="tr-TR"/>
              </w:rPr>
            </w:pPr>
            <w:r w:rsidRPr="00005453">
              <w:rPr>
                <w:color w:val="000000"/>
                <w:sz w:val="18"/>
                <w:szCs w:val="18"/>
                <w:lang w:eastAsia="tr-TR"/>
              </w:rPr>
              <w:t>Eğitim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547BB8AD" w14:textId="617B65D5" w:rsidR="00057FAD" w:rsidRPr="00005453" w:rsidRDefault="00057FAD" w:rsidP="00057FAD">
            <w:pPr>
              <w:jc w:val="right"/>
              <w:rPr>
                <w:color w:val="000000"/>
                <w:sz w:val="18"/>
                <w:szCs w:val="18"/>
                <w:lang w:eastAsia="tr-TR"/>
              </w:rPr>
            </w:pPr>
            <w:r w:rsidRPr="00005453">
              <w:rPr>
                <w:color w:val="000000"/>
                <w:sz w:val="18"/>
                <w:szCs w:val="18"/>
              </w:rPr>
              <w:t>9,718</w:t>
            </w:r>
          </w:p>
        </w:tc>
        <w:tc>
          <w:tcPr>
            <w:tcW w:w="1701" w:type="dxa"/>
            <w:tcBorders>
              <w:top w:val="nil"/>
              <w:left w:val="nil"/>
              <w:bottom w:val="single" w:sz="8" w:space="0" w:color="auto"/>
              <w:right w:val="single" w:sz="8" w:space="0" w:color="auto"/>
            </w:tcBorders>
            <w:shd w:val="clear" w:color="auto" w:fill="auto"/>
            <w:noWrap/>
            <w:vAlign w:val="center"/>
            <w:hideMark/>
          </w:tcPr>
          <w:p w14:paraId="29689E8A" w14:textId="21D8882D" w:rsidR="00057FAD" w:rsidRPr="00005453" w:rsidRDefault="00057FAD" w:rsidP="00057FAD">
            <w:pPr>
              <w:jc w:val="right"/>
              <w:rPr>
                <w:color w:val="000000"/>
                <w:sz w:val="18"/>
                <w:szCs w:val="18"/>
                <w:lang w:eastAsia="tr-TR"/>
              </w:rPr>
            </w:pPr>
            <w:r w:rsidRPr="00005453">
              <w:rPr>
                <w:color w:val="000000"/>
                <w:sz w:val="18"/>
                <w:szCs w:val="18"/>
              </w:rPr>
              <w:t>9,718</w:t>
            </w:r>
          </w:p>
        </w:tc>
        <w:tc>
          <w:tcPr>
            <w:tcW w:w="1559" w:type="dxa"/>
            <w:tcBorders>
              <w:top w:val="nil"/>
              <w:left w:val="nil"/>
              <w:bottom w:val="single" w:sz="8" w:space="0" w:color="auto"/>
              <w:right w:val="single" w:sz="8" w:space="0" w:color="auto"/>
            </w:tcBorders>
            <w:shd w:val="clear" w:color="auto" w:fill="auto"/>
            <w:noWrap/>
            <w:vAlign w:val="center"/>
            <w:hideMark/>
          </w:tcPr>
          <w:p w14:paraId="2D96D7DF" w14:textId="3EB77F6F" w:rsidR="00057FAD" w:rsidRPr="00005453" w:rsidRDefault="00057FAD" w:rsidP="00057FAD">
            <w:pPr>
              <w:jc w:val="right"/>
              <w:rPr>
                <w:color w:val="000000"/>
                <w:sz w:val="18"/>
                <w:szCs w:val="18"/>
                <w:lang w:eastAsia="tr-TR"/>
              </w:rPr>
            </w:pPr>
            <w:r w:rsidRPr="00005453">
              <w:rPr>
                <w:color w:val="000000"/>
                <w:sz w:val="18"/>
                <w:szCs w:val="18"/>
              </w:rPr>
              <w:t>274</w:t>
            </w:r>
          </w:p>
        </w:tc>
      </w:tr>
      <w:tr w:rsidR="00057FAD" w:rsidRPr="00005453" w14:paraId="7A5E27FF"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5A934A1" w14:textId="52A76962" w:rsidR="00057FAD" w:rsidRPr="00005453" w:rsidRDefault="00057FAD" w:rsidP="00057FAD">
            <w:pPr>
              <w:rPr>
                <w:color w:val="000000"/>
                <w:sz w:val="18"/>
                <w:szCs w:val="18"/>
                <w:lang w:eastAsia="tr-TR"/>
              </w:rPr>
            </w:pPr>
            <w:r w:rsidRPr="00005453">
              <w:rPr>
                <w:color w:val="000000"/>
                <w:sz w:val="18"/>
                <w:szCs w:val="18"/>
                <w:lang w:eastAsia="tr-TR"/>
              </w:rPr>
              <w:t>Sağlık ve Sosyal Hizmetler</w:t>
            </w:r>
          </w:p>
        </w:tc>
        <w:tc>
          <w:tcPr>
            <w:tcW w:w="1985" w:type="dxa"/>
            <w:tcBorders>
              <w:top w:val="nil"/>
              <w:left w:val="nil"/>
              <w:bottom w:val="single" w:sz="8" w:space="0" w:color="auto"/>
              <w:right w:val="single" w:sz="8" w:space="0" w:color="auto"/>
            </w:tcBorders>
            <w:shd w:val="clear" w:color="auto" w:fill="auto"/>
            <w:noWrap/>
            <w:vAlign w:val="center"/>
            <w:hideMark/>
          </w:tcPr>
          <w:p w14:paraId="2754FDA6" w14:textId="4A3B2022" w:rsidR="00057FAD" w:rsidRPr="00005453" w:rsidRDefault="00057FAD" w:rsidP="00057FAD">
            <w:pPr>
              <w:jc w:val="right"/>
              <w:rPr>
                <w:color w:val="000000"/>
                <w:sz w:val="18"/>
                <w:szCs w:val="18"/>
                <w:lang w:eastAsia="tr-TR"/>
              </w:rPr>
            </w:pPr>
            <w:r w:rsidRPr="00005453">
              <w:rPr>
                <w:color w:val="000000"/>
                <w:sz w:val="18"/>
                <w:szCs w:val="18"/>
              </w:rPr>
              <w:t>83,028</w:t>
            </w:r>
          </w:p>
        </w:tc>
        <w:tc>
          <w:tcPr>
            <w:tcW w:w="1701" w:type="dxa"/>
            <w:tcBorders>
              <w:top w:val="nil"/>
              <w:left w:val="nil"/>
              <w:bottom w:val="single" w:sz="8" w:space="0" w:color="auto"/>
              <w:right w:val="single" w:sz="8" w:space="0" w:color="auto"/>
            </w:tcBorders>
            <w:shd w:val="clear" w:color="auto" w:fill="auto"/>
            <w:noWrap/>
            <w:vAlign w:val="center"/>
            <w:hideMark/>
          </w:tcPr>
          <w:p w14:paraId="02939822" w14:textId="680D24EE" w:rsidR="00057FAD" w:rsidRPr="00005453" w:rsidRDefault="00057FAD" w:rsidP="00057FAD">
            <w:pPr>
              <w:jc w:val="right"/>
              <w:rPr>
                <w:color w:val="000000"/>
                <w:sz w:val="18"/>
                <w:szCs w:val="18"/>
                <w:lang w:eastAsia="tr-TR"/>
              </w:rPr>
            </w:pPr>
            <w:r w:rsidRPr="00005453">
              <w:rPr>
                <w:color w:val="000000"/>
                <w:sz w:val="18"/>
                <w:szCs w:val="18"/>
              </w:rPr>
              <w:t>73,071</w:t>
            </w:r>
          </w:p>
        </w:tc>
        <w:tc>
          <w:tcPr>
            <w:tcW w:w="1559" w:type="dxa"/>
            <w:tcBorders>
              <w:top w:val="nil"/>
              <w:left w:val="nil"/>
              <w:bottom w:val="single" w:sz="8" w:space="0" w:color="auto"/>
              <w:right w:val="single" w:sz="8" w:space="0" w:color="auto"/>
            </w:tcBorders>
            <w:shd w:val="clear" w:color="auto" w:fill="auto"/>
            <w:noWrap/>
            <w:vAlign w:val="center"/>
            <w:hideMark/>
          </w:tcPr>
          <w:p w14:paraId="7340071F" w14:textId="7407132E" w:rsidR="00057FAD" w:rsidRPr="00005453" w:rsidRDefault="00057FAD" w:rsidP="00057FAD">
            <w:pPr>
              <w:jc w:val="right"/>
              <w:rPr>
                <w:color w:val="000000"/>
                <w:sz w:val="18"/>
                <w:szCs w:val="18"/>
                <w:lang w:eastAsia="tr-TR"/>
              </w:rPr>
            </w:pPr>
            <w:r w:rsidRPr="00005453">
              <w:rPr>
                <w:color w:val="000000"/>
                <w:sz w:val="18"/>
                <w:szCs w:val="18"/>
              </w:rPr>
              <w:t>1,606</w:t>
            </w:r>
          </w:p>
        </w:tc>
      </w:tr>
      <w:tr w:rsidR="00057FAD" w:rsidRPr="00005453" w14:paraId="01B41C9A"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9315C99" w14:textId="74135CA4" w:rsidR="00057FAD" w:rsidRPr="00005453" w:rsidRDefault="00057FAD" w:rsidP="00057FAD">
            <w:pPr>
              <w:rPr>
                <w:b/>
                <w:bCs/>
                <w:color w:val="000000"/>
                <w:sz w:val="18"/>
                <w:szCs w:val="18"/>
                <w:lang w:eastAsia="tr-TR"/>
              </w:rPr>
            </w:pPr>
            <w:r w:rsidRPr="00005453">
              <w:rPr>
                <w:b/>
                <w:bCs/>
                <w:color w:val="000000"/>
                <w:sz w:val="18"/>
                <w:szCs w:val="18"/>
                <w:lang w:eastAsia="tr-TR"/>
              </w:rPr>
              <w:t>Diğer</w:t>
            </w:r>
          </w:p>
        </w:tc>
        <w:tc>
          <w:tcPr>
            <w:tcW w:w="1985" w:type="dxa"/>
            <w:tcBorders>
              <w:top w:val="nil"/>
              <w:left w:val="nil"/>
              <w:bottom w:val="single" w:sz="8" w:space="0" w:color="auto"/>
              <w:right w:val="single" w:sz="8" w:space="0" w:color="auto"/>
            </w:tcBorders>
            <w:shd w:val="clear" w:color="auto" w:fill="auto"/>
            <w:noWrap/>
            <w:vAlign w:val="center"/>
            <w:hideMark/>
          </w:tcPr>
          <w:p w14:paraId="45BA0FE8" w14:textId="64FBFFFF" w:rsidR="00057FAD" w:rsidRPr="00005453" w:rsidRDefault="00057FAD" w:rsidP="00057FAD">
            <w:pPr>
              <w:jc w:val="right"/>
              <w:rPr>
                <w:b/>
                <w:bCs/>
                <w:color w:val="000000"/>
                <w:sz w:val="18"/>
                <w:szCs w:val="18"/>
                <w:lang w:eastAsia="tr-TR"/>
              </w:rPr>
            </w:pPr>
            <w:r w:rsidRPr="00005453">
              <w:rPr>
                <w:b/>
                <w:bCs/>
                <w:color w:val="000000"/>
                <w:sz w:val="18"/>
                <w:szCs w:val="18"/>
              </w:rPr>
              <w:t>220,883</w:t>
            </w:r>
          </w:p>
        </w:tc>
        <w:tc>
          <w:tcPr>
            <w:tcW w:w="1701" w:type="dxa"/>
            <w:tcBorders>
              <w:top w:val="nil"/>
              <w:left w:val="nil"/>
              <w:bottom w:val="single" w:sz="8" w:space="0" w:color="auto"/>
              <w:right w:val="single" w:sz="8" w:space="0" w:color="auto"/>
            </w:tcBorders>
            <w:shd w:val="clear" w:color="auto" w:fill="auto"/>
            <w:noWrap/>
            <w:vAlign w:val="center"/>
            <w:hideMark/>
          </w:tcPr>
          <w:p w14:paraId="0E010536" w14:textId="2A9119CF" w:rsidR="00057FAD" w:rsidRPr="00005453" w:rsidRDefault="00057FAD" w:rsidP="00057FAD">
            <w:pPr>
              <w:jc w:val="right"/>
              <w:rPr>
                <w:b/>
                <w:bCs/>
                <w:color w:val="000000"/>
                <w:sz w:val="18"/>
                <w:szCs w:val="18"/>
                <w:lang w:eastAsia="tr-TR"/>
              </w:rPr>
            </w:pPr>
            <w:r w:rsidRPr="00005453">
              <w:rPr>
                <w:b/>
                <w:bCs/>
                <w:color w:val="000000"/>
                <w:sz w:val="18"/>
                <w:szCs w:val="18"/>
              </w:rPr>
              <w:t>199,037</w:t>
            </w:r>
          </w:p>
        </w:tc>
        <w:tc>
          <w:tcPr>
            <w:tcW w:w="1559" w:type="dxa"/>
            <w:tcBorders>
              <w:top w:val="nil"/>
              <w:left w:val="nil"/>
              <w:bottom w:val="single" w:sz="8" w:space="0" w:color="auto"/>
              <w:right w:val="single" w:sz="8" w:space="0" w:color="auto"/>
            </w:tcBorders>
            <w:shd w:val="clear" w:color="auto" w:fill="auto"/>
            <w:noWrap/>
            <w:vAlign w:val="center"/>
            <w:hideMark/>
          </w:tcPr>
          <w:p w14:paraId="5831987F" w14:textId="2C40FA6C" w:rsidR="00057FAD" w:rsidRPr="00005453" w:rsidRDefault="00057FAD" w:rsidP="00057FAD">
            <w:pPr>
              <w:jc w:val="right"/>
              <w:rPr>
                <w:b/>
                <w:bCs/>
                <w:color w:val="000000"/>
                <w:sz w:val="18"/>
                <w:szCs w:val="18"/>
                <w:lang w:eastAsia="tr-TR"/>
              </w:rPr>
            </w:pPr>
            <w:r w:rsidRPr="00005453">
              <w:rPr>
                <w:b/>
                <w:bCs/>
                <w:color w:val="000000"/>
                <w:sz w:val="18"/>
                <w:szCs w:val="18"/>
              </w:rPr>
              <w:t>19,895</w:t>
            </w:r>
          </w:p>
        </w:tc>
      </w:tr>
      <w:tr w:rsidR="00057FAD" w:rsidRPr="00005453" w14:paraId="68CD055E" w14:textId="77777777" w:rsidTr="00057FAD">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5B9F8F6" w14:textId="083C4E1A" w:rsidR="00057FAD" w:rsidRPr="00005453" w:rsidRDefault="00057FAD" w:rsidP="00057FAD">
            <w:pPr>
              <w:rPr>
                <w:b/>
                <w:bCs/>
                <w:color w:val="000000"/>
                <w:sz w:val="18"/>
                <w:szCs w:val="18"/>
                <w:lang w:eastAsia="tr-TR"/>
              </w:rPr>
            </w:pPr>
            <w:r w:rsidRPr="00005453">
              <w:rPr>
                <w:b/>
                <w:bCs/>
                <w:color w:val="000000"/>
                <w:sz w:val="18"/>
                <w:szCs w:val="18"/>
                <w:lang w:eastAsia="tr-TR"/>
              </w:rPr>
              <w:t>Toplam</w:t>
            </w:r>
          </w:p>
        </w:tc>
        <w:tc>
          <w:tcPr>
            <w:tcW w:w="1985" w:type="dxa"/>
            <w:tcBorders>
              <w:top w:val="nil"/>
              <w:left w:val="nil"/>
              <w:bottom w:val="single" w:sz="8" w:space="0" w:color="auto"/>
              <w:right w:val="single" w:sz="8" w:space="0" w:color="auto"/>
            </w:tcBorders>
            <w:shd w:val="clear" w:color="auto" w:fill="auto"/>
            <w:noWrap/>
            <w:vAlign w:val="center"/>
            <w:hideMark/>
          </w:tcPr>
          <w:p w14:paraId="7A90FE56" w14:textId="007CE59B" w:rsidR="00057FAD" w:rsidRPr="00005453" w:rsidRDefault="00057FAD" w:rsidP="00057FAD">
            <w:pPr>
              <w:jc w:val="right"/>
              <w:rPr>
                <w:b/>
                <w:bCs/>
                <w:color w:val="000000"/>
                <w:sz w:val="18"/>
                <w:szCs w:val="18"/>
                <w:lang w:eastAsia="tr-TR"/>
              </w:rPr>
            </w:pPr>
            <w:r w:rsidRPr="00005453">
              <w:rPr>
                <w:b/>
                <w:bCs/>
                <w:color w:val="000000"/>
                <w:sz w:val="18"/>
                <w:szCs w:val="18"/>
              </w:rPr>
              <w:t>3,603,341</w:t>
            </w:r>
          </w:p>
        </w:tc>
        <w:tc>
          <w:tcPr>
            <w:tcW w:w="1701" w:type="dxa"/>
            <w:tcBorders>
              <w:top w:val="nil"/>
              <w:left w:val="nil"/>
              <w:bottom w:val="single" w:sz="8" w:space="0" w:color="auto"/>
              <w:right w:val="single" w:sz="8" w:space="0" w:color="auto"/>
            </w:tcBorders>
            <w:shd w:val="clear" w:color="auto" w:fill="auto"/>
            <w:noWrap/>
            <w:vAlign w:val="center"/>
            <w:hideMark/>
          </w:tcPr>
          <w:p w14:paraId="277A1BA9" w14:textId="3E67381E" w:rsidR="00057FAD" w:rsidRPr="00005453" w:rsidRDefault="00057FAD" w:rsidP="00057FAD">
            <w:pPr>
              <w:jc w:val="right"/>
              <w:rPr>
                <w:b/>
                <w:bCs/>
                <w:color w:val="000000"/>
                <w:sz w:val="18"/>
                <w:szCs w:val="18"/>
                <w:lang w:eastAsia="tr-TR"/>
              </w:rPr>
            </w:pPr>
            <w:r w:rsidRPr="00005453">
              <w:rPr>
                <w:b/>
                <w:bCs/>
                <w:color w:val="000000"/>
                <w:sz w:val="18"/>
                <w:szCs w:val="18"/>
              </w:rPr>
              <w:t>3,443,425</w:t>
            </w:r>
          </w:p>
        </w:tc>
        <w:tc>
          <w:tcPr>
            <w:tcW w:w="1559" w:type="dxa"/>
            <w:tcBorders>
              <w:top w:val="nil"/>
              <w:left w:val="nil"/>
              <w:bottom w:val="single" w:sz="8" w:space="0" w:color="auto"/>
              <w:right w:val="single" w:sz="8" w:space="0" w:color="auto"/>
            </w:tcBorders>
            <w:shd w:val="clear" w:color="auto" w:fill="auto"/>
            <w:noWrap/>
            <w:vAlign w:val="center"/>
            <w:hideMark/>
          </w:tcPr>
          <w:p w14:paraId="1283E3F6" w14:textId="7BDB3781" w:rsidR="00057FAD" w:rsidRPr="00005453" w:rsidRDefault="00057FAD" w:rsidP="00057FAD">
            <w:pPr>
              <w:jc w:val="right"/>
              <w:rPr>
                <w:b/>
                <w:bCs/>
                <w:color w:val="000000"/>
                <w:sz w:val="18"/>
                <w:szCs w:val="18"/>
                <w:lang w:eastAsia="tr-TR"/>
              </w:rPr>
            </w:pPr>
            <w:r w:rsidRPr="00005453">
              <w:rPr>
                <w:b/>
                <w:bCs/>
                <w:color w:val="000000"/>
                <w:sz w:val="18"/>
                <w:szCs w:val="18"/>
              </w:rPr>
              <w:t>547,245</w:t>
            </w:r>
          </w:p>
        </w:tc>
      </w:tr>
    </w:tbl>
    <w:p w14:paraId="3DAA1960" w14:textId="77777777" w:rsidR="00DB0C0F" w:rsidRPr="00005453" w:rsidRDefault="00DB0C0F" w:rsidP="004D6A14">
      <w:pPr>
        <w:rPr>
          <w:color w:val="000000"/>
          <w:sz w:val="16"/>
        </w:rPr>
      </w:pPr>
    </w:p>
    <w:p w14:paraId="463231B5" w14:textId="77777777" w:rsidR="002C5FB0" w:rsidRPr="00005453" w:rsidRDefault="002C5FB0" w:rsidP="00847286">
      <w:pPr>
        <w:ind w:hanging="567"/>
      </w:pPr>
      <w:bookmarkStart w:id="62" w:name="_Hlk93325766"/>
    </w:p>
    <w:p w14:paraId="22570557" w14:textId="77777777" w:rsidR="002C5FB0" w:rsidRPr="00005453" w:rsidRDefault="002C5FB0" w:rsidP="00847286">
      <w:pPr>
        <w:ind w:hanging="567"/>
      </w:pPr>
    </w:p>
    <w:p w14:paraId="39809F01" w14:textId="77777777" w:rsidR="002C5FB0" w:rsidRPr="00005453" w:rsidRDefault="002C5FB0" w:rsidP="00847286">
      <w:pPr>
        <w:ind w:hanging="567"/>
      </w:pPr>
    </w:p>
    <w:p w14:paraId="167B929B" w14:textId="77777777" w:rsidR="002C5FB0" w:rsidRPr="00005453" w:rsidRDefault="002C5FB0" w:rsidP="00847286">
      <w:pPr>
        <w:ind w:hanging="567"/>
      </w:pPr>
    </w:p>
    <w:p w14:paraId="1AE27AF4" w14:textId="36048F0F" w:rsidR="002C5FB0" w:rsidRPr="00005453" w:rsidRDefault="00B25465" w:rsidP="00847286">
      <w:pPr>
        <w:ind w:hanging="567"/>
      </w:pPr>
      <w:r w:rsidRPr="00005453">
        <w:t xml:space="preserve"> </w:t>
      </w:r>
    </w:p>
    <w:p w14:paraId="25C4229A" w14:textId="77777777" w:rsidR="002C5FB0" w:rsidRPr="00005453" w:rsidRDefault="002C5FB0" w:rsidP="00847286">
      <w:pPr>
        <w:ind w:hanging="567"/>
      </w:pPr>
    </w:p>
    <w:p w14:paraId="5BC90D0B" w14:textId="5168C620" w:rsidR="00F20AF5" w:rsidRPr="00005453" w:rsidRDefault="00F20AF5">
      <w:pPr>
        <w:rPr>
          <w:lang w:eastAsia="en-GB"/>
        </w:rPr>
      </w:pPr>
      <w:r w:rsidRPr="00005453">
        <w:rPr>
          <w:lang w:eastAsia="en-GB"/>
        </w:rPr>
        <w:br w:type="page"/>
      </w:r>
    </w:p>
    <w:tbl>
      <w:tblPr>
        <w:tblW w:w="9490" w:type="dxa"/>
        <w:tblCellMar>
          <w:left w:w="70" w:type="dxa"/>
          <w:right w:w="70" w:type="dxa"/>
        </w:tblCellMar>
        <w:tblLook w:val="04A0" w:firstRow="1" w:lastRow="0" w:firstColumn="1" w:lastColumn="0" w:noHBand="0" w:noVBand="1"/>
      </w:tblPr>
      <w:tblGrid>
        <w:gridCol w:w="5074"/>
        <w:gridCol w:w="1551"/>
        <w:gridCol w:w="1303"/>
        <w:gridCol w:w="1562"/>
      </w:tblGrid>
      <w:tr w:rsidR="00BC04DE" w:rsidRPr="00005453" w14:paraId="6D35CDC8" w14:textId="77777777" w:rsidTr="004D337A">
        <w:trPr>
          <w:divId w:val="1921795621"/>
          <w:trHeight w:val="357"/>
        </w:trPr>
        <w:tc>
          <w:tcPr>
            <w:tcW w:w="507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DA02F9" w14:textId="216C88CE" w:rsidR="00BC04DE" w:rsidRPr="00005453" w:rsidRDefault="00BC04DE" w:rsidP="00BC04DE">
            <w:pPr>
              <w:rPr>
                <w:b/>
                <w:bCs/>
                <w:color w:val="000000"/>
                <w:sz w:val="18"/>
                <w:szCs w:val="18"/>
                <w:lang w:eastAsia="tr-TR"/>
              </w:rPr>
            </w:pPr>
            <w:r w:rsidRPr="00005453">
              <w:rPr>
                <w:b/>
                <w:bCs/>
                <w:color w:val="000000"/>
                <w:sz w:val="18"/>
                <w:szCs w:val="18"/>
                <w:lang w:eastAsia="tr-TR"/>
              </w:rPr>
              <w:lastRenderedPageBreak/>
              <w:t xml:space="preserve">Cari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Coğrafi Bölge</w:t>
            </w:r>
          </w:p>
        </w:tc>
        <w:tc>
          <w:tcPr>
            <w:tcW w:w="1551" w:type="dxa"/>
            <w:tcBorders>
              <w:top w:val="single" w:sz="8" w:space="0" w:color="auto"/>
              <w:left w:val="nil"/>
              <w:bottom w:val="single" w:sz="8" w:space="0" w:color="auto"/>
              <w:right w:val="single" w:sz="8" w:space="0" w:color="auto"/>
            </w:tcBorders>
            <w:shd w:val="clear" w:color="auto" w:fill="auto"/>
            <w:vAlign w:val="center"/>
            <w:hideMark/>
          </w:tcPr>
          <w:p w14:paraId="15B0D158" w14:textId="77777777" w:rsidR="00BC04DE" w:rsidRPr="00005453" w:rsidRDefault="00BC04DE" w:rsidP="00BC04DE">
            <w:pPr>
              <w:jc w:val="right"/>
              <w:rPr>
                <w:b/>
                <w:bCs/>
                <w:color w:val="000000"/>
                <w:sz w:val="18"/>
                <w:szCs w:val="18"/>
                <w:lang w:eastAsia="tr-TR"/>
              </w:rPr>
            </w:pPr>
            <w:r w:rsidRPr="00005453">
              <w:rPr>
                <w:b/>
                <w:bCs/>
                <w:color w:val="000000"/>
                <w:spacing w:val="-6"/>
                <w:sz w:val="18"/>
                <w:szCs w:val="18"/>
                <w:lang w:val="en-US" w:eastAsia="tr-TR"/>
              </w:rPr>
              <w:t>Takipteki Alacak Tutarı</w:t>
            </w:r>
          </w:p>
        </w:tc>
        <w:tc>
          <w:tcPr>
            <w:tcW w:w="1303" w:type="dxa"/>
            <w:tcBorders>
              <w:top w:val="single" w:sz="8" w:space="0" w:color="auto"/>
              <w:left w:val="nil"/>
              <w:bottom w:val="single" w:sz="8" w:space="0" w:color="auto"/>
              <w:right w:val="single" w:sz="8" w:space="0" w:color="auto"/>
            </w:tcBorders>
            <w:shd w:val="clear" w:color="auto" w:fill="auto"/>
            <w:vAlign w:val="center"/>
            <w:hideMark/>
          </w:tcPr>
          <w:p w14:paraId="3B5BCA00" w14:textId="77777777" w:rsidR="00BC04DE" w:rsidRPr="00005453" w:rsidRDefault="00BC04DE" w:rsidP="00BC04DE">
            <w:pPr>
              <w:jc w:val="right"/>
              <w:rPr>
                <w:b/>
                <w:bCs/>
                <w:color w:val="000000"/>
                <w:sz w:val="18"/>
                <w:szCs w:val="18"/>
                <w:lang w:eastAsia="tr-TR"/>
              </w:rPr>
            </w:pPr>
            <w:r w:rsidRPr="00005453">
              <w:rPr>
                <w:b/>
                <w:bCs/>
                <w:color w:val="000000"/>
                <w:spacing w:val="-6"/>
                <w:sz w:val="18"/>
                <w:szCs w:val="18"/>
                <w:lang w:val="en-US" w:eastAsia="tr-TR"/>
              </w:rPr>
              <w:t>Karşılıklar</w:t>
            </w:r>
          </w:p>
        </w:tc>
        <w:tc>
          <w:tcPr>
            <w:tcW w:w="1562" w:type="dxa"/>
            <w:tcBorders>
              <w:top w:val="single" w:sz="8" w:space="0" w:color="auto"/>
              <w:left w:val="nil"/>
              <w:bottom w:val="single" w:sz="8" w:space="0" w:color="auto"/>
              <w:right w:val="single" w:sz="8" w:space="0" w:color="auto"/>
            </w:tcBorders>
            <w:shd w:val="clear" w:color="auto" w:fill="auto"/>
            <w:vAlign w:val="center"/>
            <w:hideMark/>
          </w:tcPr>
          <w:p w14:paraId="4B614235" w14:textId="48EF5400" w:rsidR="00BC04DE" w:rsidRPr="00005453" w:rsidRDefault="00BC04DE" w:rsidP="00BC04DE">
            <w:pPr>
              <w:jc w:val="right"/>
              <w:rPr>
                <w:b/>
                <w:bCs/>
                <w:color w:val="000000"/>
                <w:spacing w:val="-6"/>
                <w:sz w:val="18"/>
                <w:szCs w:val="18"/>
                <w:lang w:val="en-US" w:eastAsia="tr-TR"/>
              </w:rPr>
            </w:pPr>
            <w:r w:rsidRPr="00005453">
              <w:rPr>
                <w:b/>
                <w:bCs/>
                <w:color w:val="000000"/>
                <w:spacing w:val="-6"/>
                <w:sz w:val="18"/>
                <w:szCs w:val="18"/>
                <w:lang w:val="en-US" w:eastAsia="tr-TR"/>
              </w:rPr>
              <w:t>Aktiften Silinen Tutarlar</w:t>
            </w:r>
          </w:p>
        </w:tc>
      </w:tr>
      <w:tr w:rsidR="006100AD" w:rsidRPr="00005453" w14:paraId="581FFDC6" w14:textId="77777777" w:rsidTr="006100AD">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44246C64" w14:textId="77777777" w:rsidR="006100AD" w:rsidRPr="00005453" w:rsidRDefault="006100AD" w:rsidP="006100AD">
            <w:pPr>
              <w:rPr>
                <w:color w:val="000000"/>
                <w:sz w:val="18"/>
                <w:szCs w:val="18"/>
                <w:lang w:eastAsia="tr-TR"/>
              </w:rPr>
            </w:pPr>
            <w:r w:rsidRPr="00005453">
              <w:rPr>
                <w:color w:val="000000"/>
                <w:sz w:val="18"/>
                <w:szCs w:val="18"/>
                <w:lang w:eastAsia="tr-TR"/>
              </w:rPr>
              <w:t>Marmara Bölgesi</w:t>
            </w:r>
          </w:p>
        </w:tc>
        <w:tc>
          <w:tcPr>
            <w:tcW w:w="1551" w:type="dxa"/>
            <w:tcBorders>
              <w:top w:val="nil"/>
              <w:left w:val="nil"/>
              <w:bottom w:val="single" w:sz="8" w:space="0" w:color="auto"/>
              <w:right w:val="single" w:sz="8" w:space="0" w:color="auto"/>
            </w:tcBorders>
            <w:shd w:val="clear" w:color="auto" w:fill="auto"/>
            <w:noWrap/>
            <w:vAlign w:val="center"/>
            <w:hideMark/>
          </w:tcPr>
          <w:p w14:paraId="445F002F" w14:textId="497EDE1F" w:rsidR="006100AD" w:rsidRPr="00005453" w:rsidRDefault="006100AD" w:rsidP="006100AD">
            <w:pPr>
              <w:jc w:val="right"/>
              <w:rPr>
                <w:color w:val="000000"/>
                <w:spacing w:val="-6"/>
                <w:sz w:val="18"/>
                <w:szCs w:val="18"/>
                <w:lang w:eastAsia="tr-TR"/>
              </w:rPr>
            </w:pPr>
            <w:r w:rsidRPr="00005453">
              <w:rPr>
                <w:color w:val="000000"/>
                <w:sz w:val="18"/>
                <w:szCs w:val="16"/>
              </w:rPr>
              <w:t>4,037,752</w:t>
            </w:r>
          </w:p>
        </w:tc>
        <w:tc>
          <w:tcPr>
            <w:tcW w:w="1303" w:type="dxa"/>
            <w:tcBorders>
              <w:top w:val="nil"/>
              <w:left w:val="nil"/>
              <w:bottom w:val="single" w:sz="8" w:space="0" w:color="auto"/>
              <w:right w:val="single" w:sz="8" w:space="0" w:color="auto"/>
            </w:tcBorders>
            <w:shd w:val="clear" w:color="auto" w:fill="auto"/>
            <w:noWrap/>
            <w:vAlign w:val="center"/>
            <w:hideMark/>
          </w:tcPr>
          <w:p w14:paraId="0B96EC56" w14:textId="0C4EEB06" w:rsidR="006100AD" w:rsidRPr="00005453" w:rsidRDefault="006100AD" w:rsidP="006100AD">
            <w:pPr>
              <w:jc w:val="right"/>
              <w:rPr>
                <w:color w:val="000000"/>
                <w:spacing w:val="-6"/>
                <w:sz w:val="18"/>
                <w:szCs w:val="18"/>
                <w:lang w:eastAsia="tr-TR"/>
              </w:rPr>
            </w:pPr>
            <w:r w:rsidRPr="00005453">
              <w:rPr>
                <w:color w:val="000000"/>
                <w:sz w:val="18"/>
                <w:szCs w:val="16"/>
              </w:rPr>
              <w:t>3,212,152</w:t>
            </w:r>
          </w:p>
        </w:tc>
        <w:tc>
          <w:tcPr>
            <w:tcW w:w="1562" w:type="dxa"/>
            <w:tcBorders>
              <w:top w:val="nil"/>
              <w:left w:val="nil"/>
              <w:bottom w:val="single" w:sz="8" w:space="0" w:color="auto"/>
              <w:right w:val="single" w:sz="8" w:space="0" w:color="auto"/>
            </w:tcBorders>
            <w:shd w:val="clear" w:color="auto" w:fill="auto"/>
            <w:vAlign w:val="center"/>
            <w:hideMark/>
          </w:tcPr>
          <w:p w14:paraId="37F549E1" w14:textId="3536C2BB" w:rsidR="006100AD" w:rsidRPr="00005453" w:rsidRDefault="006100AD" w:rsidP="006100AD">
            <w:pPr>
              <w:jc w:val="right"/>
              <w:rPr>
                <w:color w:val="000000"/>
                <w:spacing w:val="-6"/>
                <w:sz w:val="18"/>
                <w:szCs w:val="18"/>
                <w:lang w:eastAsia="tr-TR"/>
              </w:rPr>
            </w:pPr>
            <w:r w:rsidRPr="00005453">
              <w:rPr>
                <w:color w:val="000000"/>
                <w:sz w:val="18"/>
                <w:szCs w:val="16"/>
              </w:rPr>
              <w:t>922,529</w:t>
            </w:r>
          </w:p>
        </w:tc>
      </w:tr>
      <w:tr w:rsidR="006100AD" w:rsidRPr="00005453" w14:paraId="540509FD" w14:textId="77777777" w:rsidTr="006100AD">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5E57883E" w14:textId="77777777" w:rsidR="006100AD" w:rsidRPr="00005453" w:rsidRDefault="006100AD" w:rsidP="006100AD">
            <w:pPr>
              <w:rPr>
                <w:color w:val="000000"/>
                <w:sz w:val="18"/>
                <w:szCs w:val="18"/>
                <w:lang w:eastAsia="tr-TR"/>
              </w:rPr>
            </w:pPr>
            <w:r w:rsidRPr="00005453">
              <w:rPr>
                <w:color w:val="000000"/>
                <w:sz w:val="18"/>
                <w:szCs w:val="18"/>
                <w:lang w:eastAsia="tr-TR"/>
              </w:rPr>
              <w:t>Güneydogu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5F12A144" w14:textId="7D363405" w:rsidR="006100AD" w:rsidRPr="00005453" w:rsidRDefault="006100AD" w:rsidP="006100AD">
            <w:pPr>
              <w:jc w:val="right"/>
              <w:rPr>
                <w:color w:val="000000"/>
                <w:spacing w:val="-6"/>
                <w:sz w:val="18"/>
                <w:szCs w:val="18"/>
                <w:lang w:eastAsia="tr-TR"/>
              </w:rPr>
            </w:pPr>
            <w:r w:rsidRPr="00005453">
              <w:rPr>
                <w:color w:val="000000"/>
                <w:sz w:val="18"/>
                <w:szCs w:val="16"/>
              </w:rPr>
              <w:t>457,459</w:t>
            </w:r>
          </w:p>
        </w:tc>
        <w:tc>
          <w:tcPr>
            <w:tcW w:w="1303" w:type="dxa"/>
            <w:tcBorders>
              <w:top w:val="nil"/>
              <w:left w:val="nil"/>
              <w:bottom w:val="single" w:sz="8" w:space="0" w:color="auto"/>
              <w:right w:val="single" w:sz="8" w:space="0" w:color="auto"/>
            </w:tcBorders>
            <w:shd w:val="clear" w:color="auto" w:fill="auto"/>
            <w:noWrap/>
            <w:vAlign w:val="center"/>
            <w:hideMark/>
          </w:tcPr>
          <w:p w14:paraId="68C1995F" w14:textId="1A793A64" w:rsidR="006100AD" w:rsidRPr="00005453" w:rsidRDefault="006100AD" w:rsidP="006100AD">
            <w:pPr>
              <w:jc w:val="right"/>
              <w:rPr>
                <w:color w:val="000000"/>
                <w:spacing w:val="-6"/>
                <w:sz w:val="18"/>
                <w:szCs w:val="18"/>
                <w:lang w:eastAsia="tr-TR"/>
              </w:rPr>
            </w:pPr>
            <w:r w:rsidRPr="00005453">
              <w:rPr>
                <w:color w:val="000000"/>
                <w:sz w:val="18"/>
                <w:szCs w:val="16"/>
              </w:rPr>
              <w:t>418,342</w:t>
            </w:r>
          </w:p>
        </w:tc>
        <w:tc>
          <w:tcPr>
            <w:tcW w:w="1562" w:type="dxa"/>
            <w:tcBorders>
              <w:top w:val="nil"/>
              <w:left w:val="nil"/>
              <w:bottom w:val="single" w:sz="8" w:space="0" w:color="auto"/>
              <w:right w:val="single" w:sz="8" w:space="0" w:color="auto"/>
            </w:tcBorders>
            <w:shd w:val="clear" w:color="auto" w:fill="auto"/>
            <w:vAlign w:val="center"/>
            <w:hideMark/>
          </w:tcPr>
          <w:p w14:paraId="6625D263" w14:textId="1F3D6D1F" w:rsidR="006100AD" w:rsidRPr="00005453" w:rsidRDefault="006100AD" w:rsidP="006100AD">
            <w:pPr>
              <w:jc w:val="right"/>
              <w:rPr>
                <w:color w:val="000000"/>
                <w:spacing w:val="-6"/>
                <w:sz w:val="18"/>
                <w:szCs w:val="18"/>
                <w:lang w:eastAsia="tr-TR"/>
              </w:rPr>
            </w:pPr>
            <w:r w:rsidRPr="00005453">
              <w:rPr>
                <w:color w:val="000000"/>
                <w:sz w:val="18"/>
                <w:szCs w:val="16"/>
              </w:rPr>
              <w:t>88,807</w:t>
            </w:r>
          </w:p>
        </w:tc>
      </w:tr>
      <w:tr w:rsidR="006100AD" w:rsidRPr="00005453" w14:paraId="7BB6F481" w14:textId="77777777" w:rsidTr="006100AD">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605D0992" w14:textId="77777777" w:rsidR="006100AD" w:rsidRPr="00005453" w:rsidRDefault="006100AD" w:rsidP="006100AD">
            <w:pPr>
              <w:rPr>
                <w:color w:val="000000"/>
                <w:sz w:val="18"/>
                <w:szCs w:val="18"/>
                <w:lang w:eastAsia="tr-TR"/>
              </w:rPr>
            </w:pPr>
            <w:r w:rsidRPr="00005453">
              <w:rPr>
                <w:color w:val="000000"/>
                <w:sz w:val="18"/>
                <w:szCs w:val="18"/>
                <w:lang w:eastAsia="tr-TR"/>
              </w:rPr>
              <w:t>Iç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6C451DFF" w14:textId="3B0DE53C" w:rsidR="006100AD" w:rsidRPr="00005453" w:rsidRDefault="006100AD" w:rsidP="006100AD">
            <w:pPr>
              <w:jc w:val="right"/>
              <w:rPr>
                <w:color w:val="000000"/>
                <w:spacing w:val="-6"/>
                <w:sz w:val="18"/>
                <w:szCs w:val="18"/>
                <w:lang w:eastAsia="tr-TR"/>
              </w:rPr>
            </w:pPr>
            <w:r w:rsidRPr="00005453">
              <w:rPr>
                <w:color w:val="000000"/>
                <w:sz w:val="18"/>
                <w:szCs w:val="16"/>
              </w:rPr>
              <w:t>1,332,635</w:t>
            </w:r>
          </w:p>
        </w:tc>
        <w:tc>
          <w:tcPr>
            <w:tcW w:w="1303" w:type="dxa"/>
            <w:tcBorders>
              <w:top w:val="nil"/>
              <w:left w:val="nil"/>
              <w:bottom w:val="single" w:sz="8" w:space="0" w:color="auto"/>
              <w:right w:val="single" w:sz="8" w:space="0" w:color="auto"/>
            </w:tcBorders>
            <w:shd w:val="clear" w:color="auto" w:fill="auto"/>
            <w:noWrap/>
            <w:vAlign w:val="center"/>
            <w:hideMark/>
          </w:tcPr>
          <w:p w14:paraId="329CB86C" w14:textId="27467170" w:rsidR="006100AD" w:rsidRPr="00005453" w:rsidRDefault="006100AD" w:rsidP="006100AD">
            <w:pPr>
              <w:jc w:val="right"/>
              <w:rPr>
                <w:color w:val="000000"/>
                <w:spacing w:val="-6"/>
                <w:sz w:val="18"/>
                <w:szCs w:val="18"/>
                <w:lang w:eastAsia="tr-TR"/>
              </w:rPr>
            </w:pPr>
            <w:r w:rsidRPr="00005453">
              <w:rPr>
                <w:color w:val="000000"/>
                <w:sz w:val="18"/>
                <w:szCs w:val="16"/>
              </w:rPr>
              <w:t>1,270,701</w:t>
            </w:r>
          </w:p>
        </w:tc>
        <w:tc>
          <w:tcPr>
            <w:tcW w:w="1562" w:type="dxa"/>
            <w:tcBorders>
              <w:top w:val="nil"/>
              <w:left w:val="nil"/>
              <w:bottom w:val="single" w:sz="8" w:space="0" w:color="auto"/>
              <w:right w:val="single" w:sz="8" w:space="0" w:color="auto"/>
            </w:tcBorders>
            <w:shd w:val="clear" w:color="auto" w:fill="auto"/>
            <w:vAlign w:val="center"/>
            <w:hideMark/>
          </w:tcPr>
          <w:p w14:paraId="415BD995" w14:textId="7DD2AC12" w:rsidR="006100AD" w:rsidRPr="00005453" w:rsidRDefault="006100AD" w:rsidP="006100AD">
            <w:pPr>
              <w:jc w:val="right"/>
              <w:rPr>
                <w:color w:val="000000"/>
                <w:spacing w:val="-6"/>
                <w:sz w:val="18"/>
                <w:szCs w:val="18"/>
                <w:lang w:eastAsia="tr-TR"/>
              </w:rPr>
            </w:pPr>
            <w:r w:rsidRPr="00005453">
              <w:rPr>
                <w:color w:val="000000"/>
                <w:sz w:val="18"/>
                <w:szCs w:val="16"/>
              </w:rPr>
              <w:t>146,212</w:t>
            </w:r>
          </w:p>
        </w:tc>
      </w:tr>
      <w:tr w:rsidR="006100AD" w:rsidRPr="00005453" w14:paraId="36BBBF53" w14:textId="77777777" w:rsidTr="006100AD">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34CEEEBA" w14:textId="77777777" w:rsidR="006100AD" w:rsidRPr="00005453" w:rsidRDefault="006100AD" w:rsidP="006100AD">
            <w:pPr>
              <w:rPr>
                <w:color w:val="000000"/>
                <w:sz w:val="18"/>
                <w:szCs w:val="18"/>
                <w:lang w:eastAsia="tr-TR"/>
              </w:rPr>
            </w:pPr>
            <w:r w:rsidRPr="00005453">
              <w:rPr>
                <w:color w:val="000000"/>
                <w:sz w:val="18"/>
                <w:szCs w:val="18"/>
                <w:lang w:eastAsia="tr-TR"/>
              </w:rPr>
              <w:t>Akdeniz Bölgesi</w:t>
            </w:r>
          </w:p>
        </w:tc>
        <w:tc>
          <w:tcPr>
            <w:tcW w:w="1551" w:type="dxa"/>
            <w:tcBorders>
              <w:top w:val="nil"/>
              <w:left w:val="nil"/>
              <w:bottom w:val="single" w:sz="8" w:space="0" w:color="auto"/>
              <w:right w:val="single" w:sz="8" w:space="0" w:color="auto"/>
            </w:tcBorders>
            <w:shd w:val="clear" w:color="auto" w:fill="auto"/>
            <w:noWrap/>
            <w:vAlign w:val="center"/>
            <w:hideMark/>
          </w:tcPr>
          <w:p w14:paraId="01A924C6" w14:textId="6AB9ABD6" w:rsidR="006100AD" w:rsidRPr="00005453" w:rsidRDefault="006100AD" w:rsidP="006100AD">
            <w:pPr>
              <w:jc w:val="right"/>
              <w:rPr>
                <w:color w:val="000000"/>
                <w:spacing w:val="-6"/>
                <w:sz w:val="18"/>
                <w:szCs w:val="18"/>
                <w:lang w:eastAsia="tr-TR"/>
              </w:rPr>
            </w:pPr>
            <w:r w:rsidRPr="00005453">
              <w:rPr>
                <w:color w:val="000000"/>
                <w:sz w:val="18"/>
                <w:szCs w:val="16"/>
              </w:rPr>
              <w:t>548,716</w:t>
            </w:r>
          </w:p>
        </w:tc>
        <w:tc>
          <w:tcPr>
            <w:tcW w:w="1303" w:type="dxa"/>
            <w:tcBorders>
              <w:top w:val="nil"/>
              <w:left w:val="nil"/>
              <w:bottom w:val="single" w:sz="8" w:space="0" w:color="auto"/>
              <w:right w:val="single" w:sz="8" w:space="0" w:color="auto"/>
            </w:tcBorders>
            <w:shd w:val="clear" w:color="auto" w:fill="auto"/>
            <w:noWrap/>
            <w:vAlign w:val="center"/>
            <w:hideMark/>
          </w:tcPr>
          <w:p w14:paraId="50F4732E" w14:textId="1C22C7DC" w:rsidR="006100AD" w:rsidRPr="00005453" w:rsidRDefault="006100AD" w:rsidP="006100AD">
            <w:pPr>
              <w:jc w:val="right"/>
              <w:rPr>
                <w:color w:val="000000"/>
                <w:spacing w:val="-6"/>
                <w:sz w:val="18"/>
                <w:szCs w:val="18"/>
                <w:lang w:eastAsia="tr-TR"/>
              </w:rPr>
            </w:pPr>
            <w:r w:rsidRPr="00005453">
              <w:rPr>
                <w:color w:val="000000"/>
                <w:sz w:val="18"/>
                <w:szCs w:val="16"/>
              </w:rPr>
              <w:t>519,437</w:t>
            </w:r>
          </w:p>
        </w:tc>
        <w:tc>
          <w:tcPr>
            <w:tcW w:w="1562" w:type="dxa"/>
            <w:tcBorders>
              <w:top w:val="nil"/>
              <w:left w:val="nil"/>
              <w:bottom w:val="single" w:sz="8" w:space="0" w:color="auto"/>
              <w:right w:val="single" w:sz="8" w:space="0" w:color="auto"/>
            </w:tcBorders>
            <w:shd w:val="clear" w:color="auto" w:fill="auto"/>
            <w:vAlign w:val="center"/>
            <w:hideMark/>
          </w:tcPr>
          <w:p w14:paraId="4CF38ED7" w14:textId="01EF1A78" w:rsidR="006100AD" w:rsidRPr="00005453" w:rsidRDefault="006100AD" w:rsidP="006100AD">
            <w:pPr>
              <w:jc w:val="right"/>
              <w:rPr>
                <w:color w:val="000000"/>
                <w:spacing w:val="-6"/>
                <w:sz w:val="18"/>
                <w:szCs w:val="18"/>
                <w:lang w:eastAsia="tr-TR"/>
              </w:rPr>
            </w:pPr>
            <w:r w:rsidRPr="00005453">
              <w:rPr>
                <w:color w:val="000000"/>
                <w:sz w:val="18"/>
                <w:szCs w:val="16"/>
              </w:rPr>
              <w:t>136,716</w:t>
            </w:r>
          </w:p>
        </w:tc>
      </w:tr>
      <w:tr w:rsidR="006100AD" w:rsidRPr="00005453" w14:paraId="2D89B2DB" w14:textId="77777777" w:rsidTr="006100AD">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5BA7983C" w14:textId="77777777" w:rsidR="006100AD" w:rsidRPr="00005453" w:rsidRDefault="006100AD" w:rsidP="006100AD">
            <w:pPr>
              <w:rPr>
                <w:color w:val="000000"/>
                <w:sz w:val="18"/>
                <w:szCs w:val="18"/>
                <w:lang w:eastAsia="tr-TR"/>
              </w:rPr>
            </w:pPr>
            <w:r w:rsidRPr="00005453">
              <w:rPr>
                <w:color w:val="000000"/>
                <w:sz w:val="18"/>
                <w:szCs w:val="18"/>
                <w:lang w:eastAsia="tr-TR"/>
              </w:rPr>
              <w:t>Ege Bölgesi</w:t>
            </w:r>
          </w:p>
        </w:tc>
        <w:tc>
          <w:tcPr>
            <w:tcW w:w="1551" w:type="dxa"/>
            <w:tcBorders>
              <w:top w:val="nil"/>
              <w:left w:val="nil"/>
              <w:bottom w:val="single" w:sz="8" w:space="0" w:color="auto"/>
              <w:right w:val="single" w:sz="8" w:space="0" w:color="auto"/>
            </w:tcBorders>
            <w:shd w:val="clear" w:color="auto" w:fill="auto"/>
            <w:noWrap/>
            <w:vAlign w:val="center"/>
            <w:hideMark/>
          </w:tcPr>
          <w:p w14:paraId="478821C5" w14:textId="73420B0A" w:rsidR="006100AD" w:rsidRPr="00005453" w:rsidRDefault="006100AD" w:rsidP="006100AD">
            <w:pPr>
              <w:jc w:val="right"/>
              <w:rPr>
                <w:color w:val="000000"/>
                <w:spacing w:val="-6"/>
                <w:sz w:val="18"/>
                <w:szCs w:val="18"/>
                <w:lang w:eastAsia="tr-TR"/>
              </w:rPr>
            </w:pPr>
            <w:r w:rsidRPr="00005453">
              <w:rPr>
                <w:color w:val="000000"/>
                <w:sz w:val="18"/>
                <w:szCs w:val="16"/>
              </w:rPr>
              <w:t>294,069</w:t>
            </w:r>
          </w:p>
        </w:tc>
        <w:tc>
          <w:tcPr>
            <w:tcW w:w="1303" w:type="dxa"/>
            <w:tcBorders>
              <w:top w:val="nil"/>
              <w:left w:val="nil"/>
              <w:bottom w:val="single" w:sz="8" w:space="0" w:color="auto"/>
              <w:right w:val="single" w:sz="8" w:space="0" w:color="auto"/>
            </w:tcBorders>
            <w:shd w:val="clear" w:color="auto" w:fill="auto"/>
            <w:noWrap/>
            <w:vAlign w:val="center"/>
            <w:hideMark/>
          </w:tcPr>
          <w:p w14:paraId="4C845297" w14:textId="0AD799D8" w:rsidR="006100AD" w:rsidRPr="00005453" w:rsidRDefault="006100AD" w:rsidP="006100AD">
            <w:pPr>
              <w:jc w:val="right"/>
              <w:rPr>
                <w:color w:val="000000"/>
                <w:spacing w:val="-6"/>
                <w:sz w:val="18"/>
                <w:szCs w:val="18"/>
                <w:lang w:eastAsia="tr-TR"/>
              </w:rPr>
            </w:pPr>
            <w:r w:rsidRPr="00005453">
              <w:rPr>
                <w:color w:val="000000"/>
                <w:sz w:val="18"/>
                <w:szCs w:val="16"/>
              </w:rPr>
              <w:t>258,897</w:t>
            </w:r>
          </w:p>
        </w:tc>
        <w:tc>
          <w:tcPr>
            <w:tcW w:w="1562" w:type="dxa"/>
            <w:tcBorders>
              <w:top w:val="nil"/>
              <w:left w:val="nil"/>
              <w:bottom w:val="single" w:sz="8" w:space="0" w:color="auto"/>
              <w:right w:val="single" w:sz="8" w:space="0" w:color="auto"/>
            </w:tcBorders>
            <w:shd w:val="clear" w:color="auto" w:fill="auto"/>
            <w:vAlign w:val="center"/>
            <w:hideMark/>
          </w:tcPr>
          <w:p w14:paraId="0B614466" w14:textId="7F331C06" w:rsidR="006100AD" w:rsidRPr="00005453" w:rsidRDefault="006100AD" w:rsidP="006100AD">
            <w:pPr>
              <w:jc w:val="right"/>
              <w:rPr>
                <w:color w:val="000000"/>
                <w:spacing w:val="-6"/>
                <w:sz w:val="18"/>
                <w:szCs w:val="18"/>
                <w:lang w:eastAsia="tr-TR"/>
              </w:rPr>
            </w:pPr>
            <w:r w:rsidRPr="00005453">
              <w:rPr>
                <w:color w:val="000000"/>
                <w:sz w:val="18"/>
                <w:szCs w:val="16"/>
              </w:rPr>
              <w:t>38,222</w:t>
            </w:r>
          </w:p>
        </w:tc>
      </w:tr>
      <w:tr w:rsidR="006100AD" w:rsidRPr="00005453" w14:paraId="6C4D3CE1" w14:textId="77777777" w:rsidTr="006100AD">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169F3F12" w14:textId="77777777" w:rsidR="006100AD" w:rsidRPr="00005453" w:rsidRDefault="006100AD" w:rsidP="006100AD">
            <w:pPr>
              <w:rPr>
                <w:color w:val="000000"/>
                <w:sz w:val="18"/>
                <w:szCs w:val="18"/>
                <w:lang w:eastAsia="tr-TR"/>
              </w:rPr>
            </w:pPr>
            <w:r w:rsidRPr="00005453">
              <w:rPr>
                <w:color w:val="000000"/>
                <w:sz w:val="18"/>
                <w:szCs w:val="18"/>
                <w:lang w:eastAsia="tr-TR"/>
              </w:rPr>
              <w:t>Dogu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76436243" w14:textId="7FC55800" w:rsidR="006100AD" w:rsidRPr="00005453" w:rsidRDefault="006100AD" w:rsidP="006100AD">
            <w:pPr>
              <w:jc w:val="right"/>
              <w:rPr>
                <w:color w:val="000000"/>
                <w:spacing w:val="-6"/>
                <w:sz w:val="18"/>
                <w:szCs w:val="18"/>
                <w:lang w:eastAsia="tr-TR"/>
              </w:rPr>
            </w:pPr>
            <w:r w:rsidRPr="00005453">
              <w:rPr>
                <w:color w:val="000000"/>
                <w:sz w:val="18"/>
                <w:szCs w:val="16"/>
              </w:rPr>
              <w:t>152,381</w:t>
            </w:r>
          </w:p>
        </w:tc>
        <w:tc>
          <w:tcPr>
            <w:tcW w:w="1303" w:type="dxa"/>
            <w:tcBorders>
              <w:top w:val="nil"/>
              <w:left w:val="nil"/>
              <w:bottom w:val="single" w:sz="8" w:space="0" w:color="auto"/>
              <w:right w:val="single" w:sz="8" w:space="0" w:color="auto"/>
            </w:tcBorders>
            <w:shd w:val="clear" w:color="auto" w:fill="auto"/>
            <w:noWrap/>
            <w:vAlign w:val="center"/>
            <w:hideMark/>
          </w:tcPr>
          <w:p w14:paraId="121DA48C" w14:textId="089DD5E1" w:rsidR="006100AD" w:rsidRPr="00005453" w:rsidRDefault="006100AD" w:rsidP="006100AD">
            <w:pPr>
              <w:jc w:val="right"/>
              <w:rPr>
                <w:color w:val="000000"/>
                <w:spacing w:val="-6"/>
                <w:sz w:val="18"/>
                <w:szCs w:val="18"/>
                <w:lang w:eastAsia="tr-TR"/>
              </w:rPr>
            </w:pPr>
            <w:r w:rsidRPr="00005453">
              <w:rPr>
                <w:color w:val="000000"/>
                <w:sz w:val="18"/>
                <w:szCs w:val="16"/>
              </w:rPr>
              <w:t>125,264</w:t>
            </w:r>
          </w:p>
        </w:tc>
        <w:tc>
          <w:tcPr>
            <w:tcW w:w="1562" w:type="dxa"/>
            <w:tcBorders>
              <w:top w:val="nil"/>
              <w:left w:val="nil"/>
              <w:bottom w:val="single" w:sz="8" w:space="0" w:color="auto"/>
              <w:right w:val="single" w:sz="8" w:space="0" w:color="auto"/>
            </w:tcBorders>
            <w:shd w:val="clear" w:color="auto" w:fill="auto"/>
            <w:vAlign w:val="center"/>
            <w:hideMark/>
          </w:tcPr>
          <w:p w14:paraId="163E3A3F" w14:textId="15D5B693" w:rsidR="006100AD" w:rsidRPr="00005453" w:rsidRDefault="006100AD" w:rsidP="006100AD">
            <w:pPr>
              <w:jc w:val="right"/>
              <w:rPr>
                <w:color w:val="000000"/>
                <w:spacing w:val="-6"/>
                <w:sz w:val="18"/>
                <w:szCs w:val="18"/>
                <w:lang w:eastAsia="tr-TR"/>
              </w:rPr>
            </w:pPr>
            <w:r w:rsidRPr="00005453">
              <w:rPr>
                <w:color w:val="000000"/>
                <w:sz w:val="18"/>
                <w:szCs w:val="16"/>
              </w:rPr>
              <w:t>45,621</w:t>
            </w:r>
          </w:p>
        </w:tc>
      </w:tr>
      <w:tr w:rsidR="006100AD" w:rsidRPr="00005453" w14:paraId="0306A22B" w14:textId="77777777" w:rsidTr="006100AD">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6A257434" w14:textId="77777777" w:rsidR="006100AD" w:rsidRPr="00005453" w:rsidRDefault="006100AD" w:rsidP="006100AD">
            <w:pPr>
              <w:rPr>
                <w:color w:val="000000"/>
                <w:sz w:val="18"/>
                <w:szCs w:val="18"/>
                <w:lang w:eastAsia="tr-TR"/>
              </w:rPr>
            </w:pPr>
            <w:r w:rsidRPr="00005453">
              <w:rPr>
                <w:color w:val="000000"/>
                <w:sz w:val="18"/>
                <w:szCs w:val="18"/>
                <w:lang w:eastAsia="tr-TR"/>
              </w:rPr>
              <w:t>Karadeniz Bölgesi</w:t>
            </w:r>
          </w:p>
        </w:tc>
        <w:tc>
          <w:tcPr>
            <w:tcW w:w="1551" w:type="dxa"/>
            <w:tcBorders>
              <w:top w:val="nil"/>
              <w:left w:val="nil"/>
              <w:bottom w:val="single" w:sz="8" w:space="0" w:color="auto"/>
              <w:right w:val="single" w:sz="8" w:space="0" w:color="auto"/>
            </w:tcBorders>
            <w:shd w:val="clear" w:color="auto" w:fill="auto"/>
            <w:noWrap/>
            <w:vAlign w:val="center"/>
            <w:hideMark/>
          </w:tcPr>
          <w:p w14:paraId="39E7E175" w14:textId="575241B9" w:rsidR="006100AD" w:rsidRPr="00005453" w:rsidRDefault="006100AD" w:rsidP="006100AD">
            <w:pPr>
              <w:jc w:val="right"/>
              <w:rPr>
                <w:color w:val="000000"/>
                <w:spacing w:val="-6"/>
                <w:sz w:val="18"/>
                <w:szCs w:val="18"/>
                <w:lang w:eastAsia="tr-TR"/>
              </w:rPr>
            </w:pPr>
            <w:r w:rsidRPr="00005453">
              <w:rPr>
                <w:color w:val="000000"/>
                <w:sz w:val="18"/>
                <w:szCs w:val="16"/>
              </w:rPr>
              <w:t>215,550</w:t>
            </w:r>
          </w:p>
        </w:tc>
        <w:tc>
          <w:tcPr>
            <w:tcW w:w="1303" w:type="dxa"/>
            <w:tcBorders>
              <w:top w:val="nil"/>
              <w:left w:val="nil"/>
              <w:bottom w:val="single" w:sz="8" w:space="0" w:color="auto"/>
              <w:right w:val="single" w:sz="8" w:space="0" w:color="auto"/>
            </w:tcBorders>
            <w:shd w:val="clear" w:color="auto" w:fill="auto"/>
            <w:noWrap/>
            <w:vAlign w:val="center"/>
            <w:hideMark/>
          </w:tcPr>
          <w:p w14:paraId="0FC114EE" w14:textId="4B0A01AC" w:rsidR="006100AD" w:rsidRPr="00005453" w:rsidRDefault="006100AD" w:rsidP="006100AD">
            <w:pPr>
              <w:jc w:val="right"/>
              <w:rPr>
                <w:color w:val="000000"/>
                <w:spacing w:val="-6"/>
                <w:sz w:val="18"/>
                <w:szCs w:val="18"/>
                <w:lang w:eastAsia="tr-TR"/>
              </w:rPr>
            </w:pPr>
            <w:r w:rsidRPr="00005453">
              <w:rPr>
                <w:color w:val="000000"/>
                <w:sz w:val="18"/>
                <w:szCs w:val="16"/>
              </w:rPr>
              <w:t>173,150</w:t>
            </w:r>
          </w:p>
        </w:tc>
        <w:tc>
          <w:tcPr>
            <w:tcW w:w="1562" w:type="dxa"/>
            <w:tcBorders>
              <w:top w:val="nil"/>
              <w:left w:val="nil"/>
              <w:bottom w:val="single" w:sz="8" w:space="0" w:color="auto"/>
              <w:right w:val="single" w:sz="8" w:space="0" w:color="auto"/>
            </w:tcBorders>
            <w:shd w:val="clear" w:color="auto" w:fill="auto"/>
            <w:vAlign w:val="center"/>
            <w:hideMark/>
          </w:tcPr>
          <w:p w14:paraId="7D4CB69D" w14:textId="414B0162" w:rsidR="006100AD" w:rsidRPr="00005453" w:rsidRDefault="006100AD" w:rsidP="006100AD">
            <w:pPr>
              <w:jc w:val="right"/>
              <w:rPr>
                <w:color w:val="000000"/>
                <w:spacing w:val="-6"/>
                <w:sz w:val="18"/>
                <w:szCs w:val="18"/>
                <w:lang w:eastAsia="tr-TR"/>
              </w:rPr>
            </w:pPr>
            <w:r w:rsidRPr="00005453">
              <w:rPr>
                <w:color w:val="000000"/>
                <w:sz w:val="18"/>
                <w:szCs w:val="16"/>
              </w:rPr>
              <w:t>13,857</w:t>
            </w:r>
          </w:p>
        </w:tc>
      </w:tr>
      <w:tr w:rsidR="006100AD" w:rsidRPr="00005453" w14:paraId="6E25F7F3" w14:textId="77777777" w:rsidTr="006100AD">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tcPr>
          <w:p w14:paraId="0BBDEF3B" w14:textId="65ACA5AF" w:rsidR="006100AD" w:rsidRPr="00005453" w:rsidRDefault="006100AD" w:rsidP="006100AD">
            <w:pPr>
              <w:rPr>
                <w:color w:val="000000"/>
                <w:sz w:val="18"/>
                <w:szCs w:val="18"/>
                <w:lang w:eastAsia="tr-TR"/>
              </w:rPr>
            </w:pPr>
            <w:r w:rsidRPr="00005453">
              <w:rPr>
                <w:color w:val="000000"/>
                <w:sz w:val="18"/>
                <w:szCs w:val="18"/>
                <w:lang w:eastAsia="tr-TR"/>
              </w:rPr>
              <w:t>Yurt Dışı</w:t>
            </w:r>
          </w:p>
        </w:tc>
        <w:tc>
          <w:tcPr>
            <w:tcW w:w="1551" w:type="dxa"/>
            <w:tcBorders>
              <w:top w:val="nil"/>
              <w:left w:val="nil"/>
              <w:bottom w:val="single" w:sz="8" w:space="0" w:color="auto"/>
              <w:right w:val="single" w:sz="8" w:space="0" w:color="auto"/>
            </w:tcBorders>
            <w:shd w:val="clear" w:color="auto" w:fill="auto"/>
            <w:noWrap/>
            <w:vAlign w:val="center"/>
          </w:tcPr>
          <w:p w14:paraId="108F6362" w14:textId="6DECE505" w:rsidR="006100AD" w:rsidRPr="00005453" w:rsidRDefault="006100AD" w:rsidP="006100AD">
            <w:pPr>
              <w:jc w:val="right"/>
              <w:rPr>
                <w:color w:val="000000"/>
                <w:spacing w:val="-6"/>
                <w:sz w:val="18"/>
                <w:szCs w:val="18"/>
                <w:lang w:eastAsia="tr-TR"/>
              </w:rPr>
            </w:pPr>
            <w:r w:rsidRPr="00005453">
              <w:rPr>
                <w:color w:val="000000"/>
                <w:sz w:val="18"/>
                <w:szCs w:val="16"/>
              </w:rPr>
              <w:t>2,108</w:t>
            </w:r>
          </w:p>
        </w:tc>
        <w:tc>
          <w:tcPr>
            <w:tcW w:w="1303" w:type="dxa"/>
            <w:tcBorders>
              <w:top w:val="nil"/>
              <w:left w:val="nil"/>
              <w:bottom w:val="single" w:sz="8" w:space="0" w:color="auto"/>
              <w:right w:val="single" w:sz="8" w:space="0" w:color="auto"/>
            </w:tcBorders>
            <w:shd w:val="clear" w:color="auto" w:fill="auto"/>
            <w:noWrap/>
            <w:vAlign w:val="center"/>
          </w:tcPr>
          <w:p w14:paraId="67E45BE0" w14:textId="083B62F7" w:rsidR="006100AD" w:rsidRPr="00005453" w:rsidRDefault="006100AD" w:rsidP="006100AD">
            <w:pPr>
              <w:jc w:val="right"/>
              <w:rPr>
                <w:color w:val="000000"/>
                <w:spacing w:val="-6"/>
                <w:sz w:val="18"/>
                <w:szCs w:val="18"/>
                <w:lang w:eastAsia="tr-TR"/>
              </w:rPr>
            </w:pPr>
            <w:r w:rsidRPr="00005453">
              <w:rPr>
                <w:color w:val="000000"/>
                <w:sz w:val="18"/>
                <w:szCs w:val="16"/>
              </w:rPr>
              <w:t>1,795</w:t>
            </w:r>
          </w:p>
        </w:tc>
        <w:tc>
          <w:tcPr>
            <w:tcW w:w="1562" w:type="dxa"/>
            <w:tcBorders>
              <w:top w:val="nil"/>
              <w:left w:val="nil"/>
              <w:bottom w:val="single" w:sz="8" w:space="0" w:color="auto"/>
              <w:right w:val="single" w:sz="8" w:space="0" w:color="auto"/>
            </w:tcBorders>
            <w:shd w:val="clear" w:color="auto" w:fill="auto"/>
            <w:vAlign w:val="center"/>
          </w:tcPr>
          <w:p w14:paraId="3EA57FD6" w14:textId="48429BB2" w:rsidR="006100AD" w:rsidRPr="00005453" w:rsidRDefault="006100AD" w:rsidP="006100AD">
            <w:pPr>
              <w:jc w:val="right"/>
              <w:rPr>
                <w:color w:val="000000"/>
                <w:spacing w:val="-6"/>
                <w:sz w:val="18"/>
                <w:szCs w:val="18"/>
                <w:lang w:eastAsia="tr-TR"/>
              </w:rPr>
            </w:pPr>
            <w:r w:rsidRPr="00005453">
              <w:rPr>
                <w:color w:val="000000"/>
                <w:sz w:val="18"/>
                <w:szCs w:val="16"/>
              </w:rPr>
              <w:t>169</w:t>
            </w:r>
          </w:p>
        </w:tc>
      </w:tr>
      <w:tr w:rsidR="006100AD" w:rsidRPr="00005453" w14:paraId="0BA3AE90" w14:textId="77777777" w:rsidTr="006100AD">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30880C49" w14:textId="77777777" w:rsidR="006100AD" w:rsidRPr="00005453" w:rsidRDefault="006100AD" w:rsidP="006100AD">
            <w:pPr>
              <w:rPr>
                <w:b/>
                <w:bCs/>
                <w:color w:val="000000"/>
                <w:sz w:val="18"/>
                <w:szCs w:val="18"/>
                <w:lang w:eastAsia="tr-TR"/>
              </w:rPr>
            </w:pPr>
            <w:r w:rsidRPr="00005453">
              <w:rPr>
                <w:b/>
                <w:bCs/>
                <w:color w:val="000000"/>
                <w:sz w:val="18"/>
                <w:szCs w:val="18"/>
                <w:lang w:eastAsia="tr-TR"/>
              </w:rPr>
              <w:t>Toplam</w:t>
            </w:r>
          </w:p>
        </w:tc>
        <w:tc>
          <w:tcPr>
            <w:tcW w:w="1551" w:type="dxa"/>
            <w:tcBorders>
              <w:top w:val="nil"/>
              <w:left w:val="nil"/>
              <w:bottom w:val="single" w:sz="8" w:space="0" w:color="auto"/>
              <w:right w:val="single" w:sz="8" w:space="0" w:color="auto"/>
            </w:tcBorders>
            <w:shd w:val="clear" w:color="auto" w:fill="auto"/>
            <w:noWrap/>
            <w:vAlign w:val="center"/>
            <w:hideMark/>
          </w:tcPr>
          <w:p w14:paraId="6E4C1CFE" w14:textId="62BEB72F" w:rsidR="006100AD" w:rsidRPr="00005453" w:rsidRDefault="006100AD" w:rsidP="006100AD">
            <w:pPr>
              <w:jc w:val="right"/>
              <w:rPr>
                <w:b/>
                <w:color w:val="000000"/>
                <w:spacing w:val="-6"/>
                <w:sz w:val="18"/>
                <w:szCs w:val="18"/>
                <w:lang w:eastAsia="tr-TR"/>
              </w:rPr>
            </w:pPr>
            <w:r w:rsidRPr="00005453">
              <w:rPr>
                <w:b/>
                <w:bCs/>
                <w:color w:val="000000"/>
                <w:sz w:val="18"/>
                <w:szCs w:val="16"/>
              </w:rPr>
              <w:t>7,040,670</w:t>
            </w:r>
          </w:p>
        </w:tc>
        <w:tc>
          <w:tcPr>
            <w:tcW w:w="1303" w:type="dxa"/>
            <w:tcBorders>
              <w:top w:val="nil"/>
              <w:left w:val="nil"/>
              <w:bottom w:val="single" w:sz="8" w:space="0" w:color="auto"/>
              <w:right w:val="single" w:sz="8" w:space="0" w:color="auto"/>
            </w:tcBorders>
            <w:shd w:val="clear" w:color="auto" w:fill="auto"/>
            <w:noWrap/>
            <w:vAlign w:val="center"/>
            <w:hideMark/>
          </w:tcPr>
          <w:p w14:paraId="79013042" w14:textId="43064696" w:rsidR="006100AD" w:rsidRPr="00005453" w:rsidRDefault="006100AD" w:rsidP="006100AD">
            <w:pPr>
              <w:jc w:val="right"/>
              <w:rPr>
                <w:b/>
                <w:color w:val="000000"/>
                <w:spacing w:val="-6"/>
                <w:sz w:val="18"/>
                <w:szCs w:val="18"/>
                <w:lang w:eastAsia="tr-TR"/>
              </w:rPr>
            </w:pPr>
            <w:r w:rsidRPr="00005453">
              <w:rPr>
                <w:b/>
                <w:bCs/>
                <w:color w:val="000000"/>
                <w:sz w:val="18"/>
                <w:szCs w:val="16"/>
              </w:rPr>
              <w:t>5,979,738</w:t>
            </w:r>
          </w:p>
        </w:tc>
        <w:tc>
          <w:tcPr>
            <w:tcW w:w="1562" w:type="dxa"/>
            <w:tcBorders>
              <w:top w:val="nil"/>
              <w:left w:val="nil"/>
              <w:bottom w:val="single" w:sz="8" w:space="0" w:color="auto"/>
              <w:right w:val="single" w:sz="8" w:space="0" w:color="auto"/>
            </w:tcBorders>
            <w:shd w:val="clear" w:color="auto" w:fill="auto"/>
            <w:vAlign w:val="center"/>
            <w:hideMark/>
          </w:tcPr>
          <w:p w14:paraId="3DA55B13" w14:textId="2F83B9C1" w:rsidR="006100AD" w:rsidRPr="00005453" w:rsidRDefault="006100AD" w:rsidP="006100AD">
            <w:pPr>
              <w:jc w:val="right"/>
              <w:rPr>
                <w:b/>
                <w:color w:val="000000"/>
                <w:spacing w:val="-6"/>
                <w:sz w:val="18"/>
                <w:szCs w:val="18"/>
                <w:lang w:eastAsia="tr-TR"/>
              </w:rPr>
            </w:pPr>
            <w:r w:rsidRPr="00005453">
              <w:rPr>
                <w:b/>
                <w:bCs/>
                <w:color w:val="000000"/>
                <w:sz w:val="18"/>
                <w:szCs w:val="16"/>
              </w:rPr>
              <w:t>1,392,133</w:t>
            </w:r>
          </w:p>
        </w:tc>
      </w:tr>
    </w:tbl>
    <w:p w14:paraId="50E9CB56" w14:textId="43FEC5D9" w:rsidR="00847286" w:rsidRPr="00005453" w:rsidRDefault="00106782" w:rsidP="00847286">
      <w:pPr>
        <w:ind w:hanging="567"/>
        <w:rPr>
          <w:color w:val="000000"/>
          <w:sz w:val="16"/>
        </w:rPr>
      </w:pPr>
      <w:r w:rsidRPr="00005453">
        <w:rPr>
          <w:color w:val="000000"/>
          <w:sz w:val="12"/>
        </w:rPr>
        <w:t xml:space="preserve">                   </w:t>
      </w:r>
    </w:p>
    <w:tbl>
      <w:tblPr>
        <w:tblW w:w="94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025"/>
        <w:gridCol w:w="1628"/>
        <w:gridCol w:w="1275"/>
        <w:gridCol w:w="1535"/>
      </w:tblGrid>
      <w:tr w:rsidR="00BC04DE" w:rsidRPr="00005453" w14:paraId="1CD3326F" w14:textId="77777777" w:rsidTr="000E5F12">
        <w:trPr>
          <w:divId w:val="24714092"/>
          <w:trHeight w:val="299"/>
        </w:trPr>
        <w:tc>
          <w:tcPr>
            <w:tcW w:w="5025" w:type="dxa"/>
            <w:shd w:val="clear" w:color="auto" w:fill="auto"/>
            <w:vAlign w:val="center"/>
            <w:hideMark/>
          </w:tcPr>
          <w:p w14:paraId="0EDB8593" w14:textId="06E6AE2C" w:rsidR="00BC04DE" w:rsidRPr="00005453" w:rsidRDefault="00BC04DE" w:rsidP="00BC04DE">
            <w:pPr>
              <w:rPr>
                <w:b/>
                <w:bCs/>
                <w:color w:val="000000"/>
                <w:sz w:val="18"/>
                <w:szCs w:val="18"/>
                <w:lang w:eastAsia="tr-TR"/>
              </w:rPr>
            </w:pPr>
            <w:r w:rsidRPr="00005453">
              <w:rPr>
                <w:b/>
                <w:bCs/>
                <w:color w:val="000000"/>
                <w:sz w:val="18"/>
                <w:szCs w:val="18"/>
                <w:lang w:eastAsia="tr-TR"/>
              </w:rPr>
              <w:t xml:space="preserve">Önceki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Coğrafi Bölge</w:t>
            </w:r>
          </w:p>
        </w:tc>
        <w:tc>
          <w:tcPr>
            <w:tcW w:w="1628" w:type="dxa"/>
            <w:shd w:val="clear" w:color="auto" w:fill="auto"/>
            <w:vAlign w:val="center"/>
            <w:hideMark/>
          </w:tcPr>
          <w:p w14:paraId="16A00A32" w14:textId="77777777" w:rsidR="00BC04DE" w:rsidRPr="00005453" w:rsidRDefault="00BC04DE" w:rsidP="00BC04DE">
            <w:pPr>
              <w:jc w:val="right"/>
              <w:rPr>
                <w:b/>
                <w:bCs/>
                <w:color w:val="000000"/>
                <w:sz w:val="18"/>
                <w:szCs w:val="18"/>
                <w:lang w:eastAsia="tr-TR"/>
              </w:rPr>
            </w:pPr>
            <w:r w:rsidRPr="00005453">
              <w:rPr>
                <w:b/>
                <w:bCs/>
                <w:color w:val="000000"/>
                <w:sz w:val="18"/>
                <w:szCs w:val="18"/>
                <w:lang w:eastAsia="tr-TR"/>
              </w:rPr>
              <w:t>Takipteki Alacak Tutarı</w:t>
            </w:r>
          </w:p>
        </w:tc>
        <w:tc>
          <w:tcPr>
            <w:tcW w:w="1275" w:type="dxa"/>
            <w:shd w:val="clear" w:color="auto" w:fill="auto"/>
            <w:vAlign w:val="center"/>
            <w:hideMark/>
          </w:tcPr>
          <w:p w14:paraId="14B3DB53" w14:textId="77777777" w:rsidR="00BC04DE" w:rsidRPr="00005453" w:rsidRDefault="00BC04DE" w:rsidP="00BC04DE">
            <w:pPr>
              <w:jc w:val="right"/>
              <w:rPr>
                <w:b/>
                <w:bCs/>
                <w:color w:val="000000"/>
                <w:sz w:val="18"/>
                <w:szCs w:val="18"/>
                <w:lang w:eastAsia="tr-TR"/>
              </w:rPr>
            </w:pPr>
            <w:r w:rsidRPr="00005453">
              <w:rPr>
                <w:b/>
                <w:bCs/>
                <w:color w:val="000000"/>
                <w:sz w:val="18"/>
                <w:szCs w:val="18"/>
                <w:lang w:eastAsia="tr-TR"/>
              </w:rPr>
              <w:t>Karşılıklar</w:t>
            </w:r>
          </w:p>
        </w:tc>
        <w:tc>
          <w:tcPr>
            <w:tcW w:w="1535" w:type="dxa"/>
            <w:shd w:val="clear" w:color="auto" w:fill="auto"/>
            <w:vAlign w:val="center"/>
            <w:hideMark/>
          </w:tcPr>
          <w:p w14:paraId="52F1AEFE" w14:textId="1597BA39" w:rsidR="00BC04DE" w:rsidRPr="00005453" w:rsidRDefault="00BC04DE" w:rsidP="00BC04DE">
            <w:pPr>
              <w:jc w:val="right"/>
              <w:rPr>
                <w:b/>
                <w:bCs/>
                <w:color w:val="000000"/>
                <w:sz w:val="18"/>
                <w:szCs w:val="18"/>
                <w:lang w:eastAsia="tr-TR"/>
              </w:rPr>
            </w:pPr>
            <w:r w:rsidRPr="00005453">
              <w:rPr>
                <w:b/>
                <w:bCs/>
                <w:color w:val="000000"/>
                <w:sz w:val="18"/>
                <w:szCs w:val="18"/>
                <w:lang w:eastAsia="tr-TR"/>
              </w:rPr>
              <w:t>Aktiften</w:t>
            </w:r>
            <w:r w:rsidR="004D337A" w:rsidRPr="00005453">
              <w:rPr>
                <w:b/>
                <w:bCs/>
                <w:color w:val="000000"/>
                <w:sz w:val="18"/>
                <w:szCs w:val="18"/>
                <w:lang w:eastAsia="tr-TR"/>
              </w:rPr>
              <w:t xml:space="preserve"> </w:t>
            </w:r>
            <w:r w:rsidRPr="00005453">
              <w:rPr>
                <w:b/>
                <w:bCs/>
                <w:color w:val="000000"/>
                <w:sz w:val="18"/>
                <w:szCs w:val="18"/>
                <w:lang w:eastAsia="tr-TR"/>
              </w:rPr>
              <w:t>Silinen Tutarlar</w:t>
            </w:r>
          </w:p>
        </w:tc>
      </w:tr>
      <w:tr w:rsidR="00057FAD" w:rsidRPr="00005453" w14:paraId="59BCE0AF" w14:textId="77777777" w:rsidTr="00057FAD">
        <w:trPr>
          <w:divId w:val="24714092"/>
          <w:trHeight w:val="150"/>
        </w:trPr>
        <w:tc>
          <w:tcPr>
            <w:tcW w:w="5025" w:type="dxa"/>
            <w:shd w:val="clear" w:color="auto" w:fill="auto"/>
            <w:noWrap/>
            <w:vAlign w:val="center"/>
            <w:hideMark/>
          </w:tcPr>
          <w:p w14:paraId="6D429A8C" w14:textId="66BD9DBA" w:rsidR="00057FAD" w:rsidRPr="00005453" w:rsidRDefault="00057FAD" w:rsidP="00057FAD">
            <w:pPr>
              <w:rPr>
                <w:color w:val="000000"/>
                <w:sz w:val="18"/>
                <w:szCs w:val="18"/>
                <w:lang w:eastAsia="tr-TR"/>
              </w:rPr>
            </w:pPr>
            <w:r w:rsidRPr="00005453">
              <w:rPr>
                <w:color w:val="000000"/>
                <w:sz w:val="18"/>
                <w:szCs w:val="18"/>
                <w:lang w:eastAsia="tr-TR"/>
              </w:rPr>
              <w:t>Marmara Bölgesi</w:t>
            </w:r>
          </w:p>
        </w:tc>
        <w:tc>
          <w:tcPr>
            <w:tcW w:w="1628" w:type="dxa"/>
            <w:shd w:val="clear" w:color="auto" w:fill="auto"/>
            <w:noWrap/>
            <w:vAlign w:val="center"/>
            <w:hideMark/>
          </w:tcPr>
          <w:p w14:paraId="2F2FDEFA" w14:textId="3192E8F9"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1,915,725</w:t>
            </w:r>
          </w:p>
        </w:tc>
        <w:tc>
          <w:tcPr>
            <w:tcW w:w="1275" w:type="dxa"/>
            <w:shd w:val="clear" w:color="auto" w:fill="auto"/>
            <w:noWrap/>
            <w:vAlign w:val="center"/>
            <w:hideMark/>
          </w:tcPr>
          <w:p w14:paraId="5A89E8DF" w14:textId="63E6708D"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1,813,553</w:t>
            </w:r>
          </w:p>
        </w:tc>
        <w:tc>
          <w:tcPr>
            <w:tcW w:w="1535" w:type="dxa"/>
            <w:shd w:val="clear" w:color="auto" w:fill="auto"/>
            <w:noWrap/>
            <w:vAlign w:val="center"/>
            <w:hideMark/>
          </w:tcPr>
          <w:p w14:paraId="77B79ADC" w14:textId="278E59B4"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278,162</w:t>
            </w:r>
          </w:p>
        </w:tc>
      </w:tr>
      <w:tr w:rsidR="00057FAD" w:rsidRPr="00005453" w14:paraId="533C1DF0" w14:textId="77777777" w:rsidTr="00057FAD">
        <w:trPr>
          <w:divId w:val="24714092"/>
          <w:trHeight w:val="150"/>
        </w:trPr>
        <w:tc>
          <w:tcPr>
            <w:tcW w:w="5025" w:type="dxa"/>
            <w:shd w:val="clear" w:color="auto" w:fill="auto"/>
            <w:noWrap/>
            <w:vAlign w:val="center"/>
            <w:hideMark/>
          </w:tcPr>
          <w:p w14:paraId="3E046FAB" w14:textId="772FBAA3" w:rsidR="00057FAD" w:rsidRPr="00005453" w:rsidRDefault="00057FAD" w:rsidP="00057FAD">
            <w:pPr>
              <w:rPr>
                <w:color w:val="000000"/>
                <w:sz w:val="18"/>
                <w:szCs w:val="18"/>
                <w:lang w:eastAsia="tr-TR"/>
              </w:rPr>
            </w:pPr>
            <w:r w:rsidRPr="00005453">
              <w:rPr>
                <w:color w:val="000000"/>
                <w:sz w:val="18"/>
                <w:szCs w:val="18"/>
                <w:lang w:eastAsia="tr-TR"/>
              </w:rPr>
              <w:t>Güneydogu Anadolu Bölgesi</w:t>
            </w:r>
          </w:p>
        </w:tc>
        <w:tc>
          <w:tcPr>
            <w:tcW w:w="1628" w:type="dxa"/>
            <w:shd w:val="clear" w:color="auto" w:fill="auto"/>
            <w:noWrap/>
            <w:vAlign w:val="center"/>
            <w:hideMark/>
          </w:tcPr>
          <w:p w14:paraId="4B3CC1A5" w14:textId="6C785236"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196,326</w:t>
            </w:r>
          </w:p>
        </w:tc>
        <w:tc>
          <w:tcPr>
            <w:tcW w:w="1275" w:type="dxa"/>
            <w:shd w:val="clear" w:color="auto" w:fill="auto"/>
            <w:noWrap/>
            <w:vAlign w:val="center"/>
            <w:hideMark/>
          </w:tcPr>
          <w:p w14:paraId="74DDBE90" w14:textId="3D50E8EB"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189,841</w:t>
            </w:r>
          </w:p>
        </w:tc>
        <w:tc>
          <w:tcPr>
            <w:tcW w:w="1535" w:type="dxa"/>
            <w:shd w:val="clear" w:color="auto" w:fill="auto"/>
            <w:noWrap/>
            <w:vAlign w:val="center"/>
            <w:hideMark/>
          </w:tcPr>
          <w:p w14:paraId="79E4A287" w14:textId="17AE0978"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168,541</w:t>
            </w:r>
          </w:p>
        </w:tc>
      </w:tr>
      <w:tr w:rsidR="00057FAD" w:rsidRPr="00005453" w14:paraId="505F0CD8" w14:textId="77777777" w:rsidTr="00057FAD">
        <w:trPr>
          <w:divId w:val="24714092"/>
          <w:trHeight w:val="133"/>
        </w:trPr>
        <w:tc>
          <w:tcPr>
            <w:tcW w:w="5025" w:type="dxa"/>
            <w:shd w:val="clear" w:color="auto" w:fill="auto"/>
            <w:noWrap/>
            <w:vAlign w:val="center"/>
            <w:hideMark/>
          </w:tcPr>
          <w:p w14:paraId="445554A2" w14:textId="14372A78" w:rsidR="00057FAD" w:rsidRPr="00005453" w:rsidRDefault="00057FAD" w:rsidP="00057FAD">
            <w:pPr>
              <w:rPr>
                <w:color w:val="000000"/>
                <w:sz w:val="18"/>
                <w:szCs w:val="18"/>
                <w:lang w:eastAsia="tr-TR"/>
              </w:rPr>
            </w:pPr>
            <w:r w:rsidRPr="00005453">
              <w:rPr>
                <w:color w:val="000000"/>
                <w:sz w:val="18"/>
                <w:szCs w:val="18"/>
                <w:lang w:eastAsia="tr-TR"/>
              </w:rPr>
              <w:t>Iç Anadolu Bölgesi</w:t>
            </w:r>
          </w:p>
        </w:tc>
        <w:tc>
          <w:tcPr>
            <w:tcW w:w="1628" w:type="dxa"/>
            <w:shd w:val="clear" w:color="auto" w:fill="auto"/>
            <w:noWrap/>
            <w:vAlign w:val="center"/>
            <w:hideMark/>
          </w:tcPr>
          <w:p w14:paraId="189C9987" w14:textId="52759A4D"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871,453</w:t>
            </w:r>
          </w:p>
        </w:tc>
        <w:tc>
          <w:tcPr>
            <w:tcW w:w="1275" w:type="dxa"/>
            <w:shd w:val="clear" w:color="auto" w:fill="auto"/>
            <w:noWrap/>
            <w:vAlign w:val="center"/>
            <w:hideMark/>
          </w:tcPr>
          <w:p w14:paraId="4ABA9F3E" w14:textId="07EA47F0"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864,051</w:t>
            </w:r>
          </w:p>
        </w:tc>
        <w:tc>
          <w:tcPr>
            <w:tcW w:w="1535" w:type="dxa"/>
            <w:shd w:val="clear" w:color="auto" w:fill="auto"/>
            <w:noWrap/>
            <w:vAlign w:val="center"/>
            <w:hideMark/>
          </w:tcPr>
          <w:p w14:paraId="747BE723" w14:textId="5BAEE974"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12,342</w:t>
            </w:r>
          </w:p>
        </w:tc>
      </w:tr>
      <w:tr w:rsidR="00057FAD" w:rsidRPr="00005453" w14:paraId="1C9EA71B" w14:textId="77777777" w:rsidTr="00057FAD">
        <w:trPr>
          <w:divId w:val="24714092"/>
          <w:trHeight w:val="150"/>
        </w:trPr>
        <w:tc>
          <w:tcPr>
            <w:tcW w:w="5025" w:type="dxa"/>
            <w:shd w:val="clear" w:color="auto" w:fill="auto"/>
            <w:noWrap/>
            <w:vAlign w:val="center"/>
            <w:hideMark/>
          </w:tcPr>
          <w:p w14:paraId="697CA04B" w14:textId="4167ACF3" w:rsidR="00057FAD" w:rsidRPr="00005453" w:rsidRDefault="00057FAD" w:rsidP="00057FAD">
            <w:pPr>
              <w:rPr>
                <w:color w:val="000000"/>
                <w:sz w:val="18"/>
                <w:szCs w:val="18"/>
                <w:lang w:eastAsia="tr-TR"/>
              </w:rPr>
            </w:pPr>
            <w:r w:rsidRPr="00005453">
              <w:rPr>
                <w:color w:val="000000"/>
                <w:sz w:val="18"/>
                <w:szCs w:val="18"/>
                <w:lang w:eastAsia="tr-TR"/>
              </w:rPr>
              <w:t>Akdeniz Bölgesi</w:t>
            </w:r>
          </w:p>
        </w:tc>
        <w:tc>
          <w:tcPr>
            <w:tcW w:w="1628" w:type="dxa"/>
            <w:shd w:val="clear" w:color="auto" w:fill="auto"/>
            <w:noWrap/>
            <w:vAlign w:val="center"/>
            <w:hideMark/>
          </w:tcPr>
          <w:p w14:paraId="6D1E57AD" w14:textId="6A438C95"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241,592</w:t>
            </w:r>
          </w:p>
        </w:tc>
        <w:tc>
          <w:tcPr>
            <w:tcW w:w="1275" w:type="dxa"/>
            <w:shd w:val="clear" w:color="auto" w:fill="auto"/>
            <w:noWrap/>
            <w:vAlign w:val="center"/>
            <w:hideMark/>
          </w:tcPr>
          <w:p w14:paraId="40168068" w14:textId="740BBE3C"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235,721</w:t>
            </w:r>
          </w:p>
        </w:tc>
        <w:tc>
          <w:tcPr>
            <w:tcW w:w="1535" w:type="dxa"/>
            <w:shd w:val="clear" w:color="auto" w:fill="auto"/>
            <w:noWrap/>
            <w:vAlign w:val="center"/>
            <w:hideMark/>
          </w:tcPr>
          <w:p w14:paraId="3A48F9A9" w14:textId="3C3FD395"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3,133</w:t>
            </w:r>
          </w:p>
        </w:tc>
      </w:tr>
      <w:tr w:rsidR="00057FAD" w:rsidRPr="00005453" w14:paraId="3E1B3378" w14:textId="77777777" w:rsidTr="00057FAD">
        <w:trPr>
          <w:divId w:val="24714092"/>
          <w:trHeight w:val="133"/>
        </w:trPr>
        <w:tc>
          <w:tcPr>
            <w:tcW w:w="5025" w:type="dxa"/>
            <w:shd w:val="clear" w:color="auto" w:fill="auto"/>
            <w:noWrap/>
            <w:vAlign w:val="center"/>
            <w:hideMark/>
          </w:tcPr>
          <w:p w14:paraId="0D7D8111" w14:textId="77E5DC55" w:rsidR="00057FAD" w:rsidRPr="00005453" w:rsidRDefault="00057FAD" w:rsidP="00057FAD">
            <w:pPr>
              <w:rPr>
                <w:color w:val="000000"/>
                <w:sz w:val="18"/>
                <w:szCs w:val="18"/>
                <w:lang w:eastAsia="tr-TR"/>
              </w:rPr>
            </w:pPr>
            <w:r w:rsidRPr="00005453">
              <w:rPr>
                <w:color w:val="000000"/>
                <w:sz w:val="18"/>
                <w:szCs w:val="18"/>
                <w:lang w:eastAsia="tr-TR"/>
              </w:rPr>
              <w:t>Ege Bölgesi</w:t>
            </w:r>
          </w:p>
        </w:tc>
        <w:tc>
          <w:tcPr>
            <w:tcW w:w="1628" w:type="dxa"/>
            <w:shd w:val="clear" w:color="auto" w:fill="auto"/>
            <w:noWrap/>
            <w:vAlign w:val="center"/>
            <w:hideMark/>
          </w:tcPr>
          <w:p w14:paraId="22CD1CE1" w14:textId="0A402316"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145,664</w:t>
            </w:r>
          </w:p>
        </w:tc>
        <w:tc>
          <w:tcPr>
            <w:tcW w:w="1275" w:type="dxa"/>
            <w:shd w:val="clear" w:color="auto" w:fill="auto"/>
            <w:noWrap/>
            <w:vAlign w:val="center"/>
            <w:hideMark/>
          </w:tcPr>
          <w:p w14:paraId="31D9A3F4" w14:textId="5311EA3B"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139,460</w:t>
            </w:r>
          </w:p>
        </w:tc>
        <w:tc>
          <w:tcPr>
            <w:tcW w:w="1535" w:type="dxa"/>
            <w:shd w:val="clear" w:color="auto" w:fill="auto"/>
            <w:noWrap/>
            <w:vAlign w:val="center"/>
            <w:hideMark/>
          </w:tcPr>
          <w:p w14:paraId="057394AC" w14:textId="33CF0D91"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48,869</w:t>
            </w:r>
          </w:p>
        </w:tc>
      </w:tr>
      <w:tr w:rsidR="00057FAD" w:rsidRPr="00005453" w14:paraId="595C62D8" w14:textId="77777777" w:rsidTr="00057FAD">
        <w:trPr>
          <w:divId w:val="24714092"/>
          <w:trHeight w:val="150"/>
        </w:trPr>
        <w:tc>
          <w:tcPr>
            <w:tcW w:w="5025" w:type="dxa"/>
            <w:shd w:val="clear" w:color="auto" w:fill="auto"/>
            <w:noWrap/>
            <w:vAlign w:val="center"/>
            <w:hideMark/>
          </w:tcPr>
          <w:p w14:paraId="34926A25" w14:textId="02D622D1" w:rsidR="00057FAD" w:rsidRPr="00005453" w:rsidRDefault="00057FAD" w:rsidP="00057FAD">
            <w:pPr>
              <w:rPr>
                <w:color w:val="000000"/>
                <w:sz w:val="18"/>
                <w:szCs w:val="18"/>
                <w:lang w:eastAsia="tr-TR"/>
              </w:rPr>
            </w:pPr>
            <w:r w:rsidRPr="00005453">
              <w:rPr>
                <w:color w:val="000000"/>
                <w:sz w:val="18"/>
                <w:szCs w:val="18"/>
                <w:lang w:eastAsia="tr-TR"/>
              </w:rPr>
              <w:t>Dogu Anadolu Bölgesi</w:t>
            </w:r>
          </w:p>
        </w:tc>
        <w:tc>
          <w:tcPr>
            <w:tcW w:w="1628" w:type="dxa"/>
            <w:shd w:val="clear" w:color="auto" w:fill="auto"/>
            <w:noWrap/>
            <w:vAlign w:val="center"/>
            <w:hideMark/>
          </w:tcPr>
          <w:p w14:paraId="6FFEE854" w14:textId="553D1959"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198,314</w:t>
            </w:r>
          </w:p>
        </w:tc>
        <w:tc>
          <w:tcPr>
            <w:tcW w:w="1275" w:type="dxa"/>
            <w:shd w:val="clear" w:color="auto" w:fill="auto"/>
            <w:noWrap/>
            <w:vAlign w:val="center"/>
            <w:hideMark/>
          </w:tcPr>
          <w:p w14:paraId="2123C505" w14:textId="097194A3"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169,492</w:t>
            </w:r>
          </w:p>
        </w:tc>
        <w:tc>
          <w:tcPr>
            <w:tcW w:w="1535" w:type="dxa"/>
            <w:shd w:val="clear" w:color="auto" w:fill="auto"/>
            <w:noWrap/>
            <w:vAlign w:val="center"/>
            <w:hideMark/>
          </w:tcPr>
          <w:p w14:paraId="744A16DF" w14:textId="2D2B1113"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1,550</w:t>
            </w:r>
          </w:p>
        </w:tc>
      </w:tr>
      <w:tr w:rsidR="00057FAD" w:rsidRPr="00005453" w14:paraId="72DD389C" w14:textId="77777777" w:rsidTr="00057FAD">
        <w:trPr>
          <w:divId w:val="24714092"/>
          <w:trHeight w:val="133"/>
        </w:trPr>
        <w:tc>
          <w:tcPr>
            <w:tcW w:w="5025" w:type="dxa"/>
            <w:shd w:val="clear" w:color="auto" w:fill="auto"/>
            <w:noWrap/>
            <w:vAlign w:val="center"/>
            <w:hideMark/>
          </w:tcPr>
          <w:p w14:paraId="4848DFCB" w14:textId="3EAA57FA" w:rsidR="00057FAD" w:rsidRPr="00005453" w:rsidRDefault="00057FAD" w:rsidP="00057FAD">
            <w:pPr>
              <w:rPr>
                <w:color w:val="000000"/>
                <w:sz w:val="18"/>
                <w:szCs w:val="18"/>
                <w:lang w:eastAsia="tr-TR"/>
              </w:rPr>
            </w:pPr>
            <w:r w:rsidRPr="00005453">
              <w:rPr>
                <w:color w:val="000000"/>
                <w:sz w:val="18"/>
                <w:szCs w:val="18"/>
                <w:lang w:eastAsia="tr-TR"/>
              </w:rPr>
              <w:t>Karadeniz Bölgesi</w:t>
            </w:r>
          </w:p>
        </w:tc>
        <w:tc>
          <w:tcPr>
            <w:tcW w:w="1628" w:type="dxa"/>
            <w:shd w:val="clear" w:color="auto" w:fill="auto"/>
            <w:noWrap/>
            <w:vAlign w:val="center"/>
            <w:hideMark/>
          </w:tcPr>
          <w:p w14:paraId="2EBE5B18" w14:textId="339B253C"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33,442</w:t>
            </w:r>
          </w:p>
        </w:tc>
        <w:tc>
          <w:tcPr>
            <w:tcW w:w="1275" w:type="dxa"/>
            <w:shd w:val="clear" w:color="auto" w:fill="auto"/>
            <w:noWrap/>
            <w:vAlign w:val="center"/>
            <w:hideMark/>
          </w:tcPr>
          <w:p w14:paraId="57B97438" w14:textId="57790568"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30,554</w:t>
            </w:r>
          </w:p>
        </w:tc>
        <w:tc>
          <w:tcPr>
            <w:tcW w:w="1535" w:type="dxa"/>
            <w:shd w:val="clear" w:color="auto" w:fill="auto"/>
            <w:noWrap/>
            <w:vAlign w:val="center"/>
            <w:hideMark/>
          </w:tcPr>
          <w:p w14:paraId="00AC73A5" w14:textId="709D0EEE"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214</w:t>
            </w:r>
          </w:p>
        </w:tc>
      </w:tr>
      <w:tr w:rsidR="00057FAD" w:rsidRPr="00005453" w14:paraId="7F3D7398" w14:textId="77777777" w:rsidTr="00057FAD">
        <w:trPr>
          <w:divId w:val="24714092"/>
          <w:trHeight w:val="133"/>
        </w:trPr>
        <w:tc>
          <w:tcPr>
            <w:tcW w:w="5025" w:type="dxa"/>
            <w:shd w:val="clear" w:color="auto" w:fill="auto"/>
            <w:noWrap/>
            <w:vAlign w:val="center"/>
          </w:tcPr>
          <w:p w14:paraId="1EEFF334" w14:textId="2FB2ACF0" w:rsidR="00057FAD" w:rsidRPr="00005453" w:rsidRDefault="00057FAD" w:rsidP="00057FAD">
            <w:pPr>
              <w:rPr>
                <w:color w:val="000000"/>
                <w:sz w:val="18"/>
                <w:szCs w:val="18"/>
                <w:lang w:eastAsia="tr-TR"/>
              </w:rPr>
            </w:pPr>
            <w:r w:rsidRPr="00005453">
              <w:rPr>
                <w:color w:val="000000"/>
                <w:sz w:val="18"/>
                <w:szCs w:val="18"/>
                <w:lang w:eastAsia="tr-TR"/>
              </w:rPr>
              <w:t>Yurt Dışı</w:t>
            </w:r>
          </w:p>
        </w:tc>
        <w:tc>
          <w:tcPr>
            <w:tcW w:w="1628" w:type="dxa"/>
            <w:shd w:val="clear" w:color="auto" w:fill="auto"/>
            <w:noWrap/>
            <w:vAlign w:val="center"/>
          </w:tcPr>
          <w:p w14:paraId="7651D626" w14:textId="01AB3A11"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825</w:t>
            </w:r>
          </w:p>
        </w:tc>
        <w:tc>
          <w:tcPr>
            <w:tcW w:w="1275" w:type="dxa"/>
            <w:shd w:val="clear" w:color="auto" w:fill="auto"/>
            <w:noWrap/>
            <w:vAlign w:val="center"/>
          </w:tcPr>
          <w:p w14:paraId="3C915BDA" w14:textId="31636FD2"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753</w:t>
            </w:r>
          </w:p>
        </w:tc>
        <w:tc>
          <w:tcPr>
            <w:tcW w:w="1535" w:type="dxa"/>
            <w:shd w:val="clear" w:color="auto" w:fill="auto"/>
            <w:noWrap/>
            <w:vAlign w:val="center"/>
          </w:tcPr>
          <w:p w14:paraId="2F7D9157" w14:textId="0B4663BD" w:rsidR="00057FAD" w:rsidRPr="00005453" w:rsidRDefault="00057FAD" w:rsidP="00057FAD">
            <w:pPr>
              <w:jc w:val="right"/>
              <w:rPr>
                <w:color w:val="000000"/>
                <w:spacing w:val="-6"/>
                <w:sz w:val="18"/>
                <w:szCs w:val="18"/>
                <w:lang w:eastAsia="tr-TR"/>
              </w:rPr>
            </w:pPr>
            <w:r w:rsidRPr="00005453">
              <w:rPr>
                <w:color w:val="000000"/>
                <w:spacing w:val="-6"/>
                <w:sz w:val="18"/>
                <w:szCs w:val="18"/>
                <w:lang w:eastAsia="tr-TR"/>
              </w:rPr>
              <w:t>34,434</w:t>
            </w:r>
          </w:p>
        </w:tc>
      </w:tr>
      <w:tr w:rsidR="00057FAD" w:rsidRPr="00005453" w14:paraId="44A4F20D" w14:textId="77777777" w:rsidTr="00057FAD">
        <w:trPr>
          <w:divId w:val="24714092"/>
          <w:trHeight w:val="257"/>
        </w:trPr>
        <w:tc>
          <w:tcPr>
            <w:tcW w:w="5025" w:type="dxa"/>
            <w:shd w:val="clear" w:color="auto" w:fill="auto"/>
            <w:noWrap/>
            <w:vAlign w:val="center"/>
            <w:hideMark/>
          </w:tcPr>
          <w:p w14:paraId="2BD1B74E" w14:textId="2A2C6458" w:rsidR="00057FAD" w:rsidRPr="00005453" w:rsidRDefault="00057FAD" w:rsidP="00057FAD">
            <w:pPr>
              <w:rPr>
                <w:b/>
                <w:bCs/>
                <w:color w:val="000000"/>
                <w:sz w:val="18"/>
                <w:szCs w:val="18"/>
                <w:lang w:eastAsia="tr-TR"/>
              </w:rPr>
            </w:pPr>
            <w:r w:rsidRPr="00005453">
              <w:rPr>
                <w:b/>
                <w:bCs/>
                <w:color w:val="000000"/>
                <w:sz w:val="18"/>
                <w:szCs w:val="18"/>
                <w:lang w:eastAsia="tr-TR"/>
              </w:rPr>
              <w:t>Toplam</w:t>
            </w:r>
          </w:p>
        </w:tc>
        <w:tc>
          <w:tcPr>
            <w:tcW w:w="1628" w:type="dxa"/>
            <w:shd w:val="clear" w:color="auto" w:fill="auto"/>
            <w:noWrap/>
            <w:vAlign w:val="center"/>
            <w:hideMark/>
          </w:tcPr>
          <w:p w14:paraId="2771E94E" w14:textId="3EBC3370" w:rsidR="00057FAD" w:rsidRPr="00005453" w:rsidRDefault="00057FAD" w:rsidP="00057FAD">
            <w:pPr>
              <w:jc w:val="right"/>
              <w:rPr>
                <w:b/>
                <w:bCs/>
                <w:color w:val="000000"/>
                <w:sz w:val="18"/>
                <w:szCs w:val="18"/>
                <w:lang w:eastAsia="tr-TR"/>
              </w:rPr>
            </w:pPr>
            <w:r w:rsidRPr="00005453">
              <w:rPr>
                <w:b/>
                <w:color w:val="000000"/>
                <w:spacing w:val="-6"/>
                <w:sz w:val="18"/>
                <w:szCs w:val="18"/>
                <w:lang w:eastAsia="tr-TR"/>
              </w:rPr>
              <w:t>3,603,341</w:t>
            </w:r>
          </w:p>
        </w:tc>
        <w:tc>
          <w:tcPr>
            <w:tcW w:w="1275" w:type="dxa"/>
            <w:shd w:val="clear" w:color="auto" w:fill="auto"/>
            <w:noWrap/>
            <w:vAlign w:val="center"/>
            <w:hideMark/>
          </w:tcPr>
          <w:p w14:paraId="58101121" w14:textId="1BA0EE9D" w:rsidR="00057FAD" w:rsidRPr="00005453" w:rsidRDefault="00057FAD" w:rsidP="00057FAD">
            <w:pPr>
              <w:jc w:val="right"/>
              <w:rPr>
                <w:b/>
                <w:bCs/>
                <w:color w:val="000000"/>
                <w:sz w:val="18"/>
                <w:szCs w:val="18"/>
                <w:lang w:eastAsia="tr-TR"/>
              </w:rPr>
            </w:pPr>
            <w:r w:rsidRPr="00005453">
              <w:rPr>
                <w:b/>
                <w:color w:val="000000"/>
                <w:spacing w:val="-6"/>
                <w:sz w:val="18"/>
                <w:szCs w:val="18"/>
                <w:lang w:eastAsia="tr-TR"/>
              </w:rPr>
              <w:t>3,443,425</w:t>
            </w:r>
          </w:p>
        </w:tc>
        <w:tc>
          <w:tcPr>
            <w:tcW w:w="1535" w:type="dxa"/>
            <w:shd w:val="clear" w:color="auto" w:fill="auto"/>
            <w:noWrap/>
            <w:vAlign w:val="center"/>
            <w:hideMark/>
          </w:tcPr>
          <w:p w14:paraId="7B6DF6E0" w14:textId="6D52081A" w:rsidR="00057FAD" w:rsidRPr="00005453" w:rsidRDefault="00057FAD" w:rsidP="00057FAD">
            <w:pPr>
              <w:jc w:val="right"/>
              <w:rPr>
                <w:b/>
                <w:bCs/>
                <w:color w:val="000000"/>
                <w:sz w:val="18"/>
                <w:szCs w:val="18"/>
                <w:lang w:eastAsia="tr-TR"/>
              </w:rPr>
            </w:pPr>
            <w:r w:rsidRPr="00005453">
              <w:rPr>
                <w:b/>
                <w:color w:val="000000"/>
                <w:spacing w:val="-6"/>
                <w:sz w:val="18"/>
                <w:szCs w:val="18"/>
                <w:lang w:eastAsia="tr-TR"/>
              </w:rPr>
              <w:t>547,245</w:t>
            </w:r>
          </w:p>
        </w:tc>
      </w:tr>
    </w:tbl>
    <w:p w14:paraId="48B510CE" w14:textId="77777777" w:rsidR="00F20AF5" w:rsidRPr="00005453" w:rsidRDefault="004D6A14" w:rsidP="004D6A14">
      <w:pPr>
        <w:ind w:hanging="567"/>
        <w:rPr>
          <w:color w:val="000000"/>
          <w:sz w:val="12"/>
        </w:rPr>
      </w:pPr>
      <w:r w:rsidRPr="00005453">
        <w:rPr>
          <w:color w:val="000000"/>
          <w:sz w:val="12"/>
        </w:rPr>
        <w:t xml:space="preserve">   </w:t>
      </w:r>
    </w:p>
    <w:p w14:paraId="54E0B8EB" w14:textId="2B852096" w:rsidR="000B03B5" w:rsidRPr="00005453" w:rsidRDefault="00F20AF5" w:rsidP="0078491F">
      <w:pPr>
        <w:ind w:hanging="567"/>
        <w:jc w:val="both"/>
        <w:rPr>
          <w:b/>
          <w:color w:val="000000"/>
          <w:sz w:val="2"/>
        </w:rPr>
      </w:pPr>
      <w:r w:rsidRPr="00005453">
        <w:rPr>
          <w:color w:val="000000"/>
          <w:sz w:val="12"/>
        </w:rPr>
        <w:t xml:space="preserve"> </w:t>
      </w:r>
      <w:r w:rsidR="004D6A14" w:rsidRPr="00005453">
        <w:rPr>
          <w:color w:val="000000"/>
          <w:sz w:val="12"/>
        </w:rPr>
        <w:t xml:space="preserve">               </w:t>
      </w:r>
      <w:bookmarkEnd w:id="62"/>
    </w:p>
    <w:p w14:paraId="0B7246B1" w14:textId="577E3FF0" w:rsidR="00C25473" w:rsidRPr="00005453" w:rsidRDefault="007A1089" w:rsidP="006A0FFF">
      <w:pPr>
        <w:ind w:hanging="567"/>
        <w:rPr>
          <w:b/>
          <w:color w:val="000000"/>
        </w:rPr>
      </w:pPr>
      <w:proofErr w:type="gramStart"/>
      <w:r w:rsidRPr="00005453">
        <w:rPr>
          <w:b/>
          <w:color w:val="000000"/>
        </w:rPr>
        <w:t>10</w:t>
      </w:r>
      <w:r w:rsidR="00C25473" w:rsidRPr="00005453">
        <w:rPr>
          <w:b/>
          <w:color w:val="000000"/>
        </w:rPr>
        <w:t>.6.7</w:t>
      </w:r>
      <w:r w:rsidR="002E37DE" w:rsidRPr="00005453">
        <w:rPr>
          <w:b/>
          <w:color w:val="000000"/>
        </w:rPr>
        <w:t>.  </w:t>
      </w:r>
      <w:r w:rsidR="00C25473" w:rsidRPr="00005453">
        <w:rPr>
          <w:b/>
          <w:color w:val="000000"/>
        </w:rPr>
        <w:t>Tahsili</w:t>
      </w:r>
      <w:proofErr w:type="gramEnd"/>
      <w:r w:rsidR="00C25473" w:rsidRPr="00005453">
        <w:rPr>
          <w:b/>
          <w:color w:val="000000"/>
        </w:rPr>
        <w:t xml:space="preserve"> gecikmiş alacaklar için yaşlandırma analizi</w:t>
      </w:r>
    </w:p>
    <w:p w14:paraId="209D0C6A" w14:textId="17121CD6" w:rsidR="004F1E85" w:rsidRPr="00005453" w:rsidRDefault="004F1E85" w:rsidP="003966D9">
      <w:pPr>
        <w:rPr>
          <w:lang w:eastAsia="en-GB"/>
        </w:rPr>
      </w:pPr>
    </w:p>
    <w:tbl>
      <w:tblPr>
        <w:tblW w:w="9488" w:type="dxa"/>
        <w:tblCellMar>
          <w:left w:w="70" w:type="dxa"/>
          <w:right w:w="70" w:type="dxa"/>
        </w:tblCellMar>
        <w:tblLook w:val="04A0" w:firstRow="1" w:lastRow="0" w:firstColumn="1" w:lastColumn="0" w:noHBand="0" w:noVBand="1"/>
      </w:tblPr>
      <w:tblGrid>
        <w:gridCol w:w="3534"/>
        <w:gridCol w:w="1418"/>
        <w:gridCol w:w="1134"/>
        <w:gridCol w:w="992"/>
        <w:gridCol w:w="992"/>
        <w:gridCol w:w="1418"/>
      </w:tblGrid>
      <w:tr w:rsidR="004F1E85" w:rsidRPr="00005453" w14:paraId="6038D034" w14:textId="77777777" w:rsidTr="000E5F12">
        <w:trPr>
          <w:divId w:val="299580417"/>
          <w:trHeight w:val="222"/>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688636" w14:textId="39983E5B" w:rsidR="004F1E85" w:rsidRPr="00005453" w:rsidRDefault="004F1E85" w:rsidP="004F1E85">
            <w:pPr>
              <w:rPr>
                <w:b/>
                <w:bCs/>
                <w:color w:val="000000"/>
                <w:sz w:val="18"/>
                <w:szCs w:val="18"/>
                <w:lang w:eastAsia="tr-TR"/>
              </w:rPr>
            </w:pPr>
            <w:r w:rsidRPr="00005453">
              <w:rPr>
                <w:b/>
                <w:bCs/>
                <w:color w:val="000000"/>
                <w:sz w:val="18"/>
                <w:szCs w:val="18"/>
                <w:lang w:eastAsia="en-GB"/>
              </w:rPr>
              <w:t>Cari Dönem</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0AF1BB68"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en-GB"/>
              </w:rPr>
              <w:t>3 Aya Kadar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6AF4CEF"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en-GB"/>
              </w:rPr>
              <w:t>3-12 Ay</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3E2769F4"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en-GB"/>
              </w:rPr>
              <w:t>1-3 Yıl</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9189CAC"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en-GB"/>
              </w:rPr>
              <w:t>3-5 Yıl</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103F1C99"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en-GB"/>
              </w:rPr>
              <w:t>5 Yıl ve Üzeri</w:t>
            </w:r>
          </w:p>
        </w:tc>
      </w:tr>
      <w:tr w:rsidR="00E36E35" w:rsidRPr="00005453" w14:paraId="0B93D6C7" w14:textId="77777777" w:rsidTr="00E36E35">
        <w:trPr>
          <w:divId w:val="299580417"/>
          <w:trHeight w:val="222"/>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7E9844B0" w14:textId="77777777" w:rsidR="00E36E35" w:rsidRPr="00005453" w:rsidRDefault="00E36E35" w:rsidP="00E36E35">
            <w:pPr>
              <w:rPr>
                <w:color w:val="000000"/>
                <w:sz w:val="18"/>
                <w:szCs w:val="18"/>
                <w:lang w:eastAsia="tr-TR"/>
              </w:rPr>
            </w:pPr>
            <w:r w:rsidRPr="00005453">
              <w:rPr>
                <w:color w:val="000000"/>
                <w:sz w:val="18"/>
                <w:szCs w:val="18"/>
                <w:lang w:eastAsia="en-GB"/>
              </w:rPr>
              <w:t>Kurumsal ve Ticari Krediler</w:t>
            </w:r>
          </w:p>
        </w:tc>
        <w:tc>
          <w:tcPr>
            <w:tcW w:w="1418" w:type="dxa"/>
            <w:tcBorders>
              <w:top w:val="nil"/>
              <w:left w:val="nil"/>
              <w:bottom w:val="single" w:sz="8" w:space="0" w:color="auto"/>
              <w:right w:val="single" w:sz="8" w:space="0" w:color="auto"/>
            </w:tcBorders>
            <w:shd w:val="clear" w:color="auto" w:fill="auto"/>
            <w:noWrap/>
            <w:vAlign w:val="center"/>
            <w:hideMark/>
          </w:tcPr>
          <w:p w14:paraId="3290000F" w14:textId="1D7F83D8" w:rsidR="00E36E35" w:rsidRPr="00005453" w:rsidRDefault="00E36E35" w:rsidP="00E36E35">
            <w:pPr>
              <w:jc w:val="right"/>
              <w:rPr>
                <w:color w:val="000000"/>
                <w:sz w:val="18"/>
                <w:szCs w:val="18"/>
                <w:lang w:eastAsia="en-GB"/>
              </w:rPr>
            </w:pPr>
            <w:r w:rsidRPr="00005453">
              <w:rPr>
                <w:color w:val="000000"/>
                <w:sz w:val="18"/>
                <w:szCs w:val="18"/>
              </w:rPr>
              <w:t>2,601,114</w:t>
            </w:r>
          </w:p>
        </w:tc>
        <w:tc>
          <w:tcPr>
            <w:tcW w:w="1134" w:type="dxa"/>
            <w:tcBorders>
              <w:top w:val="nil"/>
              <w:left w:val="nil"/>
              <w:bottom w:val="single" w:sz="8" w:space="0" w:color="auto"/>
              <w:right w:val="single" w:sz="8" w:space="0" w:color="auto"/>
            </w:tcBorders>
            <w:shd w:val="clear" w:color="auto" w:fill="auto"/>
            <w:noWrap/>
            <w:vAlign w:val="center"/>
            <w:hideMark/>
          </w:tcPr>
          <w:p w14:paraId="595F1D7C" w14:textId="358C1658" w:rsidR="00E36E35" w:rsidRPr="00005453" w:rsidRDefault="00E36E35" w:rsidP="00E36E35">
            <w:pPr>
              <w:jc w:val="right"/>
              <w:rPr>
                <w:color w:val="000000"/>
                <w:sz w:val="18"/>
                <w:szCs w:val="18"/>
                <w:lang w:eastAsia="en-GB"/>
              </w:rPr>
            </w:pPr>
            <w:r w:rsidRPr="00005453">
              <w:rPr>
                <w:color w:val="000000"/>
                <w:sz w:val="18"/>
                <w:szCs w:val="18"/>
              </w:rPr>
              <w:t>1,868,216</w:t>
            </w:r>
          </w:p>
        </w:tc>
        <w:tc>
          <w:tcPr>
            <w:tcW w:w="992" w:type="dxa"/>
            <w:tcBorders>
              <w:top w:val="nil"/>
              <w:left w:val="nil"/>
              <w:bottom w:val="single" w:sz="8" w:space="0" w:color="auto"/>
              <w:right w:val="single" w:sz="8" w:space="0" w:color="auto"/>
            </w:tcBorders>
            <w:shd w:val="clear" w:color="auto" w:fill="auto"/>
            <w:noWrap/>
            <w:vAlign w:val="center"/>
            <w:hideMark/>
          </w:tcPr>
          <w:p w14:paraId="30FAF650" w14:textId="320A23AF" w:rsidR="00E36E35" w:rsidRPr="00005453" w:rsidRDefault="00E36E35" w:rsidP="00E36E35">
            <w:pPr>
              <w:jc w:val="right"/>
              <w:rPr>
                <w:color w:val="000000"/>
                <w:sz w:val="18"/>
                <w:szCs w:val="18"/>
                <w:lang w:eastAsia="en-GB"/>
              </w:rPr>
            </w:pPr>
            <w:r w:rsidRPr="00005453">
              <w:rPr>
                <w:color w:val="000000"/>
                <w:sz w:val="18"/>
                <w:szCs w:val="18"/>
              </w:rPr>
              <w:t>545,713</w:t>
            </w:r>
          </w:p>
        </w:tc>
        <w:tc>
          <w:tcPr>
            <w:tcW w:w="992" w:type="dxa"/>
            <w:tcBorders>
              <w:top w:val="nil"/>
              <w:left w:val="nil"/>
              <w:bottom w:val="single" w:sz="8" w:space="0" w:color="auto"/>
              <w:right w:val="single" w:sz="8" w:space="0" w:color="auto"/>
            </w:tcBorders>
            <w:shd w:val="clear" w:color="auto" w:fill="auto"/>
            <w:noWrap/>
            <w:vAlign w:val="center"/>
            <w:hideMark/>
          </w:tcPr>
          <w:p w14:paraId="26C833DB" w14:textId="2501B7CE" w:rsidR="00E36E35" w:rsidRPr="00005453" w:rsidRDefault="00E36E35" w:rsidP="00E36E35">
            <w:pPr>
              <w:jc w:val="right"/>
              <w:rPr>
                <w:color w:val="000000"/>
                <w:sz w:val="18"/>
                <w:szCs w:val="18"/>
                <w:lang w:eastAsia="en-GB"/>
              </w:rPr>
            </w:pPr>
            <w:r w:rsidRPr="00005453">
              <w:rPr>
                <w:color w:val="000000"/>
                <w:sz w:val="18"/>
                <w:szCs w:val="18"/>
              </w:rPr>
              <w:t>959,437</w:t>
            </w:r>
          </w:p>
        </w:tc>
        <w:tc>
          <w:tcPr>
            <w:tcW w:w="1418" w:type="dxa"/>
            <w:tcBorders>
              <w:top w:val="nil"/>
              <w:left w:val="nil"/>
              <w:bottom w:val="single" w:sz="8" w:space="0" w:color="auto"/>
              <w:right w:val="single" w:sz="8" w:space="0" w:color="auto"/>
            </w:tcBorders>
            <w:shd w:val="clear" w:color="auto" w:fill="auto"/>
            <w:noWrap/>
            <w:vAlign w:val="center"/>
            <w:hideMark/>
          </w:tcPr>
          <w:p w14:paraId="697A1566" w14:textId="52538AF3" w:rsidR="00E36E35" w:rsidRPr="00005453" w:rsidRDefault="00E36E35" w:rsidP="00E36E35">
            <w:pPr>
              <w:jc w:val="right"/>
              <w:rPr>
                <w:color w:val="000000"/>
                <w:sz w:val="18"/>
                <w:szCs w:val="18"/>
                <w:lang w:eastAsia="en-GB"/>
              </w:rPr>
            </w:pPr>
            <w:r w:rsidRPr="00005453">
              <w:rPr>
                <w:color w:val="000000"/>
                <w:sz w:val="18"/>
                <w:szCs w:val="18"/>
              </w:rPr>
              <w:t>375,163</w:t>
            </w:r>
          </w:p>
        </w:tc>
      </w:tr>
      <w:tr w:rsidR="00E36E35" w:rsidRPr="00005453" w14:paraId="57BA6C93" w14:textId="77777777" w:rsidTr="00E36E35">
        <w:trPr>
          <w:divId w:val="299580417"/>
          <w:trHeight w:val="222"/>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41A35946" w14:textId="77777777" w:rsidR="00E36E35" w:rsidRPr="00005453" w:rsidRDefault="00E36E35" w:rsidP="00E36E35">
            <w:pPr>
              <w:rPr>
                <w:color w:val="000000"/>
                <w:sz w:val="18"/>
                <w:szCs w:val="18"/>
                <w:lang w:eastAsia="tr-TR"/>
              </w:rPr>
            </w:pPr>
            <w:r w:rsidRPr="00005453">
              <w:rPr>
                <w:color w:val="000000"/>
                <w:sz w:val="18"/>
                <w:szCs w:val="18"/>
                <w:lang w:eastAsia="en-GB"/>
              </w:rPr>
              <w:t>Bireysel Krediler</w:t>
            </w:r>
          </w:p>
        </w:tc>
        <w:tc>
          <w:tcPr>
            <w:tcW w:w="1418" w:type="dxa"/>
            <w:tcBorders>
              <w:top w:val="nil"/>
              <w:left w:val="nil"/>
              <w:bottom w:val="single" w:sz="8" w:space="0" w:color="auto"/>
              <w:right w:val="single" w:sz="8" w:space="0" w:color="auto"/>
            </w:tcBorders>
            <w:shd w:val="clear" w:color="auto" w:fill="auto"/>
            <w:noWrap/>
            <w:vAlign w:val="center"/>
            <w:hideMark/>
          </w:tcPr>
          <w:p w14:paraId="32A4A91F" w14:textId="15683D77" w:rsidR="00E36E35" w:rsidRPr="00005453" w:rsidRDefault="00E36E35" w:rsidP="00E36E35">
            <w:pPr>
              <w:jc w:val="right"/>
              <w:rPr>
                <w:color w:val="000000"/>
                <w:sz w:val="18"/>
                <w:szCs w:val="18"/>
                <w:lang w:eastAsia="en-GB"/>
              </w:rPr>
            </w:pPr>
            <w:r w:rsidRPr="00005453">
              <w:rPr>
                <w:color w:val="000000"/>
                <w:sz w:val="18"/>
                <w:szCs w:val="18"/>
              </w:rPr>
              <w:t>20,321</w:t>
            </w:r>
          </w:p>
        </w:tc>
        <w:tc>
          <w:tcPr>
            <w:tcW w:w="1134" w:type="dxa"/>
            <w:tcBorders>
              <w:top w:val="nil"/>
              <w:left w:val="nil"/>
              <w:bottom w:val="single" w:sz="8" w:space="0" w:color="auto"/>
              <w:right w:val="single" w:sz="8" w:space="0" w:color="auto"/>
            </w:tcBorders>
            <w:shd w:val="clear" w:color="auto" w:fill="auto"/>
            <w:noWrap/>
            <w:vAlign w:val="center"/>
            <w:hideMark/>
          </w:tcPr>
          <w:p w14:paraId="71F8EA2B" w14:textId="471EDE18" w:rsidR="00E36E35" w:rsidRPr="00005453" w:rsidRDefault="00E36E35" w:rsidP="00E36E35">
            <w:pPr>
              <w:jc w:val="right"/>
              <w:rPr>
                <w:color w:val="000000"/>
                <w:sz w:val="18"/>
                <w:szCs w:val="18"/>
                <w:lang w:eastAsia="en-GB"/>
              </w:rPr>
            </w:pPr>
            <w:r w:rsidRPr="00005453">
              <w:rPr>
                <w:color w:val="000000"/>
                <w:sz w:val="18"/>
                <w:szCs w:val="18"/>
              </w:rPr>
              <w:t>40,168</w:t>
            </w:r>
          </w:p>
        </w:tc>
        <w:tc>
          <w:tcPr>
            <w:tcW w:w="992" w:type="dxa"/>
            <w:tcBorders>
              <w:top w:val="nil"/>
              <w:left w:val="nil"/>
              <w:bottom w:val="single" w:sz="8" w:space="0" w:color="auto"/>
              <w:right w:val="single" w:sz="8" w:space="0" w:color="auto"/>
            </w:tcBorders>
            <w:shd w:val="clear" w:color="auto" w:fill="auto"/>
            <w:noWrap/>
            <w:vAlign w:val="center"/>
            <w:hideMark/>
          </w:tcPr>
          <w:p w14:paraId="753C60A4" w14:textId="24ED6ED4" w:rsidR="00E36E35" w:rsidRPr="00005453" w:rsidRDefault="00E36E35" w:rsidP="00E36E35">
            <w:pPr>
              <w:jc w:val="right"/>
              <w:rPr>
                <w:color w:val="000000"/>
                <w:sz w:val="18"/>
                <w:szCs w:val="18"/>
                <w:lang w:eastAsia="en-GB"/>
              </w:rPr>
            </w:pPr>
            <w:r w:rsidRPr="00005453">
              <w:rPr>
                <w:color w:val="000000"/>
                <w:sz w:val="18"/>
                <w:szCs w:val="18"/>
              </w:rPr>
              <w:t>14,299</w:t>
            </w:r>
          </w:p>
        </w:tc>
        <w:tc>
          <w:tcPr>
            <w:tcW w:w="992" w:type="dxa"/>
            <w:tcBorders>
              <w:top w:val="nil"/>
              <w:left w:val="nil"/>
              <w:bottom w:val="single" w:sz="8" w:space="0" w:color="auto"/>
              <w:right w:val="single" w:sz="8" w:space="0" w:color="auto"/>
            </w:tcBorders>
            <w:shd w:val="clear" w:color="auto" w:fill="auto"/>
            <w:noWrap/>
            <w:vAlign w:val="center"/>
            <w:hideMark/>
          </w:tcPr>
          <w:p w14:paraId="28545882" w14:textId="72A6BC2E" w:rsidR="00E36E35" w:rsidRPr="00005453" w:rsidRDefault="00E36E35" w:rsidP="00E36E35">
            <w:pPr>
              <w:jc w:val="right"/>
              <w:rPr>
                <w:color w:val="000000"/>
                <w:sz w:val="18"/>
                <w:szCs w:val="18"/>
                <w:lang w:eastAsia="en-GB"/>
              </w:rPr>
            </w:pPr>
            <w:r w:rsidRPr="00005453">
              <w:rPr>
                <w:color w:val="000000"/>
                <w:sz w:val="18"/>
                <w:szCs w:val="18"/>
              </w:rPr>
              <w:t>2,051</w:t>
            </w:r>
          </w:p>
        </w:tc>
        <w:tc>
          <w:tcPr>
            <w:tcW w:w="1418" w:type="dxa"/>
            <w:tcBorders>
              <w:top w:val="nil"/>
              <w:left w:val="nil"/>
              <w:bottom w:val="single" w:sz="8" w:space="0" w:color="auto"/>
              <w:right w:val="single" w:sz="8" w:space="0" w:color="auto"/>
            </w:tcBorders>
            <w:shd w:val="clear" w:color="auto" w:fill="auto"/>
            <w:noWrap/>
            <w:vAlign w:val="center"/>
            <w:hideMark/>
          </w:tcPr>
          <w:p w14:paraId="46D4407A" w14:textId="43767B1B" w:rsidR="00E36E35" w:rsidRPr="00005453" w:rsidRDefault="00E36E35" w:rsidP="00E36E35">
            <w:pPr>
              <w:jc w:val="right"/>
              <w:rPr>
                <w:color w:val="000000"/>
                <w:sz w:val="18"/>
                <w:szCs w:val="18"/>
                <w:lang w:eastAsia="en-GB"/>
              </w:rPr>
            </w:pPr>
            <w:r w:rsidRPr="00005453">
              <w:rPr>
                <w:color w:val="000000"/>
                <w:sz w:val="18"/>
                <w:szCs w:val="18"/>
              </w:rPr>
              <w:t>1,656</w:t>
            </w:r>
          </w:p>
        </w:tc>
      </w:tr>
      <w:tr w:rsidR="00E36E35" w:rsidRPr="00005453" w14:paraId="7787C614" w14:textId="77777777" w:rsidTr="00E36E35">
        <w:trPr>
          <w:divId w:val="299580417"/>
          <w:trHeight w:val="222"/>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25E41E98" w14:textId="77777777" w:rsidR="00E36E35" w:rsidRPr="00005453" w:rsidRDefault="00E36E35" w:rsidP="00E36E35">
            <w:pPr>
              <w:rPr>
                <w:color w:val="000000"/>
                <w:sz w:val="18"/>
                <w:szCs w:val="18"/>
                <w:lang w:eastAsia="tr-TR"/>
              </w:rPr>
            </w:pPr>
            <w:r w:rsidRPr="00005453">
              <w:rPr>
                <w:color w:val="000000"/>
                <w:sz w:val="18"/>
                <w:szCs w:val="18"/>
                <w:lang w:eastAsia="en-GB"/>
              </w:rPr>
              <w:t>Kredi Kartları</w:t>
            </w:r>
          </w:p>
        </w:tc>
        <w:tc>
          <w:tcPr>
            <w:tcW w:w="1418" w:type="dxa"/>
            <w:tcBorders>
              <w:top w:val="nil"/>
              <w:left w:val="nil"/>
              <w:bottom w:val="single" w:sz="8" w:space="0" w:color="auto"/>
              <w:right w:val="single" w:sz="8" w:space="0" w:color="auto"/>
            </w:tcBorders>
            <w:shd w:val="clear" w:color="auto" w:fill="auto"/>
            <w:noWrap/>
            <w:vAlign w:val="center"/>
            <w:hideMark/>
          </w:tcPr>
          <w:p w14:paraId="3B7662DE" w14:textId="264DB644" w:rsidR="00E36E35" w:rsidRPr="00005453" w:rsidRDefault="00E36E35" w:rsidP="00E36E35">
            <w:pPr>
              <w:jc w:val="right"/>
              <w:rPr>
                <w:color w:val="000000"/>
                <w:sz w:val="18"/>
                <w:szCs w:val="18"/>
                <w:lang w:eastAsia="en-GB"/>
              </w:rPr>
            </w:pPr>
            <w:r w:rsidRPr="00005453">
              <w:rPr>
                <w:color w:val="000000"/>
                <w:sz w:val="18"/>
                <w:szCs w:val="18"/>
              </w:rPr>
              <w:t>220,404</w:t>
            </w:r>
          </w:p>
        </w:tc>
        <w:tc>
          <w:tcPr>
            <w:tcW w:w="1134" w:type="dxa"/>
            <w:tcBorders>
              <w:top w:val="nil"/>
              <w:left w:val="nil"/>
              <w:bottom w:val="single" w:sz="8" w:space="0" w:color="auto"/>
              <w:right w:val="single" w:sz="8" w:space="0" w:color="auto"/>
            </w:tcBorders>
            <w:shd w:val="clear" w:color="auto" w:fill="auto"/>
            <w:noWrap/>
            <w:vAlign w:val="center"/>
            <w:hideMark/>
          </w:tcPr>
          <w:p w14:paraId="47BBBA96" w14:textId="150BAB79" w:rsidR="00E36E35" w:rsidRPr="00005453" w:rsidRDefault="00E36E35" w:rsidP="00E36E35">
            <w:pPr>
              <w:jc w:val="right"/>
              <w:rPr>
                <w:color w:val="000000"/>
                <w:sz w:val="18"/>
                <w:szCs w:val="18"/>
                <w:lang w:eastAsia="en-GB"/>
              </w:rPr>
            </w:pPr>
            <w:r w:rsidRPr="00005453">
              <w:rPr>
                <w:color w:val="000000"/>
                <w:sz w:val="18"/>
                <w:szCs w:val="18"/>
              </w:rPr>
              <w:t>357,908</w:t>
            </w:r>
          </w:p>
        </w:tc>
        <w:tc>
          <w:tcPr>
            <w:tcW w:w="992" w:type="dxa"/>
            <w:tcBorders>
              <w:top w:val="nil"/>
              <w:left w:val="nil"/>
              <w:bottom w:val="single" w:sz="8" w:space="0" w:color="auto"/>
              <w:right w:val="single" w:sz="8" w:space="0" w:color="auto"/>
            </w:tcBorders>
            <w:shd w:val="clear" w:color="auto" w:fill="auto"/>
            <w:noWrap/>
            <w:vAlign w:val="center"/>
            <w:hideMark/>
          </w:tcPr>
          <w:p w14:paraId="07F1E177" w14:textId="40CD1E34" w:rsidR="00E36E35" w:rsidRPr="00005453" w:rsidRDefault="00E36E35" w:rsidP="00E36E35">
            <w:pPr>
              <w:jc w:val="right"/>
              <w:rPr>
                <w:color w:val="000000"/>
                <w:sz w:val="18"/>
                <w:szCs w:val="18"/>
                <w:lang w:eastAsia="en-GB"/>
              </w:rPr>
            </w:pPr>
            <w:r w:rsidRPr="00005453">
              <w:rPr>
                <w:color w:val="000000"/>
                <w:sz w:val="18"/>
                <w:szCs w:val="18"/>
              </w:rPr>
              <w:t>28,210</w:t>
            </w:r>
          </w:p>
        </w:tc>
        <w:tc>
          <w:tcPr>
            <w:tcW w:w="992" w:type="dxa"/>
            <w:tcBorders>
              <w:top w:val="nil"/>
              <w:left w:val="nil"/>
              <w:bottom w:val="single" w:sz="8" w:space="0" w:color="auto"/>
              <w:right w:val="single" w:sz="8" w:space="0" w:color="auto"/>
            </w:tcBorders>
            <w:shd w:val="clear" w:color="auto" w:fill="auto"/>
            <w:noWrap/>
            <w:vAlign w:val="center"/>
            <w:hideMark/>
          </w:tcPr>
          <w:p w14:paraId="656344F4" w14:textId="350D6FC7" w:rsidR="00E36E35" w:rsidRPr="00005453" w:rsidRDefault="00E36E35" w:rsidP="00E36E35">
            <w:pPr>
              <w:jc w:val="right"/>
              <w:rPr>
                <w:color w:val="000000"/>
                <w:sz w:val="18"/>
                <w:szCs w:val="18"/>
                <w:lang w:eastAsia="en-GB"/>
              </w:rPr>
            </w:pPr>
            <w:r w:rsidRPr="00005453">
              <w:rPr>
                <w:color w:val="000000"/>
                <w:sz w:val="18"/>
                <w:szCs w:val="18"/>
              </w:rPr>
              <w:t>3,249</w:t>
            </w:r>
          </w:p>
        </w:tc>
        <w:tc>
          <w:tcPr>
            <w:tcW w:w="1418" w:type="dxa"/>
            <w:tcBorders>
              <w:top w:val="nil"/>
              <w:left w:val="nil"/>
              <w:bottom w:val="single" w:sz="8" w:space="0" w:color="auto"/>
              <w:right w:val="single" w:sz="8" w:space="0" w:color="auto"/>
            </w:tcBorders>
            <w:shd w:val="clear" w:color="auto" w:fill="auto"/>
            <w:noWrap/>
            <w:vAlign w:val="center"/>
            <w:hideMark/>
          </w:tcPr>
          <w:p w14:paraId="2C5943B8" w14:textId="3196D8AA" w:rsidR="00E36E35" w:rsidRPr="00005453" w:rsidRDefault="00E36E35" w:rsidP="00E36E35">
            <w:pPr>
              <w:jc w:val="right"/>
              <w:rPr>
                <w:color w:val="000000"/>
                <w:sz w:val="18"/>
                <w:szCs w:val="18"/>
                <w:lang w:eastAsia="en-GB"/>
              </w:rPr>
            </w:pPr>
            <w:r w:rsidRPr="00005453">
              <w:rPr>
                <w:color w:val="000000"/>
                <w:sz w:val="18"/>
                <w:szCs w:val="18"/>
              </w:rPr>
              <w:t>2,761</w:t>
            </w:r>
          </w:p>
        </w:tc>
      </w:tr>
      <w:tr w:rsidR="00E36E35" w:rsidRPr="00005453" w14:paraId="5EB85F1D" w14:textId="77777777" w:rsidTr="00E36E35">
        <w:trPr>
          <w:divId w:val="299580417"/>
          <w:trHeight w:val="222"/>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2EC6DE1C" w14:textId="77777777" w:rsidR="00E36E35" w:rsidRPr="00005453" w:rsidRDefault="00E36E35" w:rsidP="00E36E35">
            <w:pPr>
              <w:rPr>
                <w:color w:val="000000"/>
                <w:sz w:val="18"/>
                <w:szCs w:val="18"/>
                <w:lang w:eastAsia="tr-TR"/>
              </w:rPr>
            </w:pPr>
            <w:r w:rsidRPr="00005453">
              <w:rPr>
                <w:color w:val="000000"/>
                <w:sz w:val="18"/>
                <w:szCs w:val="18"/>
                <w:lang w:eastAsia="en-GB"/>
              </w:rPr>
              <w:t>Diğer</w:t>
            </w:r>
          </w:p>
        </w:tc>
        <w:tc>
          <w:tcPr>
            <w:tcW w:w="1418" w:type="dxa"/>
            <w:tcBorders>
              <w:top w:val="nil"/>
              <w:left w:val="nil"/>
              <w:bottom w:val="single" w:sz="8" w:space="0" w:color="auto"/>
              <w:right w:val="single" w:sz="8" w:space="0" w:color="auto"/>
            </w:tcBorders>
            <w:shd w:val="clear" w:color="auto" w:fill="auto"/>
            <w:noWrap/>
            <w:vAlign w:val="center"/>
            <w:hideMark/>
          </w:tcPr>
          <w:p w14:paraId="1E43A0EE" w14:textId="1B4F9505" w:rsidR="00E36E35" w:rsidRPr="00005453" w:rsidRDefault="00E36E35" w:rsidP="00E36E35">
            <w:pPr>
              <w:jc w:val="right"/>
              <w:rPr>
                <w:color w:val="000000"/>
                <w:sz w:val="18"/>
                <w:szCs w:val="18"/>
                <w:lang w:eastAsia="en-GB"/>
              </w:rPr>
            </w:pPr>
            <w:r w:rsidRPr="00005453">
              <w:rPr>
                <w:color w:val="000000"/>
                <w:sz w:val="18"/>
                <w:szCs w:val="18"/>
              </w:rPr>
              <w:t>-</w:t>
            </w:r>
          </w:p>
        </w:tc>
        <w:tc>
          <w:tcPr>
            <w:tcW w:w="1134" w:type="dxa"/>
            <w:tcBorders>
              <w:top w:val="nil"/>
              <w:left w:val="nil"/>
              <w:bottom w:val="single" w:sz="8" w:space="0" w:color="auto"/>
              <w:right w:val="single" w:sz="8" w:space="0" w:color="auto"/>
            </w:tcBorders>
            <w:shd w:val="clear" w:color="auto" w:fill="auto"/>
            <w:noWrap/>
            <w:vAlign w:val="center"/>
            <w:hideMark/>
          </w:tcPr>
          <w:p w14:paraId="23818C40" w14:textId="4AEEB0E7" w:rsidR="00E36E35" w:rsidRPr="00005453" w:rsidRDefault="00E36E35" w:rsidP="00E36E35">
            <w:pPr>
              <w:jc w:val="right"/>
              <w:rPr>
                <w:color w:val="000000"/>
                <w:sz w:val="18"/>
                <w:szCs w:val="18"/>
                <w:lang w:eastAsia="en-GB"/>
              </w:rPr>
            </w:pPr>
            <w:r w:rsidRPr="00005453">
              <w:rPr>
                <w:color w:val="000000"/>
                <w:sz w:val="18"/>
                <w:szCs w:val="18"/>
              </w:rPr>
              <w:t>-</w:t>
            </w:r>
          </w:p>
        </w:tc>
        <w:tc>
          <w:tcPr>
            <w:tcW w:w="992" w:type="dxa"/>
            <w:tcBorders>
              <w:top w:val="nil"/>
              <w:left w:val="nil"/>
              <w:bottom w:val="single" w:sz="8" w:space="0" w:color="auto"/>
              <w:right w:val="single" w:sz="8" w:space="0" w:color="auto"/>
            </w:tcBorders>
            <w:shd w:val="clear" w:color="auto" w:fill="auto"/>
            <w:noWrap/>
            <w:vAlign w:val="center"/>
            <w:hideMark/>
          </w:tcPr>
          <w:p w14:paraId="3BEE3929" w14:textId="6797CA8C" w:rsidR="00E36E35" w:rsidRPr="00005453" w:rsidRDefault="00E36E35" w:rsidP="00E36E35">
            <w:pPr>
              <w:jc w:val="right"/>
              <w:rPr>
                <w:color w:val="000000"/>
                <w:sz w:val="18"/>
                <w:szCs w:val="18"/>
                <w:lang w:eastAsia="en-GB"/>
              </w:rPr>
            </w:pPr>
            <w:r w:rsidRPr="00005453">
              <w:rPr>
                <w:color w:val="000000"/>
                <w:sz w:val="18"/>
                <w:szCs w:val="18"/>
              </w:rPr>
              <w:t>-</w:t>
            </w:r>
          </w:p>
        </w:tc>
        <w:tc>
          <w:tcPr>
            <w:tcW w:w="992" w:type="dxa"/>
            <w:tcBorders>
              <w:top w:val="nil"/>
              <w:left w:val="nil"/>
              <w:bottom w:val="single" w:sz="8" w:space="0" w:color="auto"/>
              <w:right w:val="single" w:sz="8" w:space="0" w:color="auto"/>
            </w:tcBorders>
            <w:shd w:val="clear" w:color="auto" w:fill="auto"/>
            <w:noWrap/>
            <w:vAlign w:val="center"/>
            <w:hideMark/>
          </w:tcPr>
          <w:p w14:paraId="3D139F6E" w14:textId="1B9A7BC6" w:rsidR="00E36E35" w:rsidRPr="00005453" w:rsidRDefault="00E36E35" w:rsidP="00E36E35">
            <w:pPr>
              <w:jc w:val="right"/>
              <w:rPr>
                <w:color w:val="000000"/>
                <w:sz w:val="18"/>
                <w:szCs w:val="18"/>
                <w:lang w:eastAsia="en-GB"/>
              </w:rPr>
            </w:pPr>
            <w:r w:rsidRPr="00005453">
              <w:rPr>
                <w:color w:val="000000"/>
                <w:sz w:val="18"/>
                <w:szCs w:val="18"/>
              </w:rPr>
              <w:t>-</w:t>
            </w:r>
          </w:p>
        </w:tc>
        <w:tc>
          <w:tcPr>
            <w:tcW w:w="1418" w:type="dxa"/>
            <w:tcBorders>
              <w:top w:val="nil"/>
              <w:left w:val="nil"/>
              <w:bottom w:val="single" w:sz="8" w:space="0" w:color="auto"/>
              <w:right w:val="single" w:sz="8" w:space="0" w:color="auto"/>
            </w:tcBorders>
            <w:shd w:val="clear" w:color="auto" w:fill="auto"/>
            <w:noWrap/>
            <w:vAlign w:val="center"/>
            <w:hideMark/>
          </w:tcPr>
          <w:p w14:paraId="34D80804" w14:textId="45777221" w:rsidR="00E36E35" w:rsidRPr="00005453" w:rsidRDefault="00E36E35" w:rsidP="00E36E35">
            <w:pPr>
              <w:jc w:val="right"/>
              <w:rPr>
                <w:color w:val="000000"/>
                <w:sz w:val="18"/>
                <w:szCs w:val="18"/>
                <w:lang w:eastAsia="en-GB"/>
              </w:rPr>
            </w:pPr>
            <w:r w:rsidRPr="00005453">
              <w:rPr>
                <w:color w:val="000000"/>
                <w:sz w:val="18"/>
                <w:szCs w:val="18"/>
              </w:rPr>
              <w:t>-</w:t>
            </w:r>
          </w:p>
        </w:tc>
      </w:tr>
      <w:tr w:rsidR="00E36E35" w:rsidRPr="00005453" w14:paraId="1FDB42A4" w14:textId="77777777" w:rsidTr="00E36E35">
        <w:trPr>
          <w:divId w:val="299580417"/>
          <w:trHeight w:val="222"/>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6225B752" w14:textId="77777777" w:rsidR="00E36E35" w:rsidRPr="00005453" w:rsidRDefault="00E36E35" w:rsidP="00E36E35">
            <w:pPr>
              <w:rPr>
                <w:b/>
                <w:bCs/>
                <w:color w:val="000000"/>
                <w:sz w:val="18"/>
                <w:szCs w:val="18"/>
                <w:lang w:eastAsia="tr-TR"/>
              </w:rPr>
            </w:pPr>
            <w:r w:rsidRPr="00005453">
              <w:rPr>
                <w:b/>
                <w:bCs/>
                <w:color w:val="000000"/>
                <w:sz w:val="18"/>
                <w:szCs w:val="18"/>
                <w:lang w:eastAsia="en-GB"/>
              </w:rPr>
              <w:t>Toplam</w:t>
            </w:r>
          </w:p>
        </w:tc>
        <w:tc>
          <w:tcPr>
            <w:tcW w:w="1418" w:type="dxa"/>
            <w:tcBorders>
              <w:top w:val="nil"/>
              <w:left w:val="nil"/>
              <w:bottom w:val="single" w:sz="8" w:space="0" w:color="auto"/>
              <w:right w:val="single" w:sz="8" w:space="0" w:color="auto"/>
            </w:tcBorders>
            <w:shd w:val="clear" w:color="auto" w:fill="auto"/>
            <w:noWrap/>
            <w:vAlign w:val="center"/>
            <w:hideMark/>
          </w:tcPr>
          <w:p w14:paraId="5BF6B22F" w14:textId="0CBA5873" w:rsidR="00E36E35" w:rsidRPr="00005453" w:rsidRDefault="00E36E35" w:rsidP="00E36E35">
            <w:pPr>
              <w:jc w:val="right"/>
              <w:rPr>
                <w:b/>
                <w:bCs/>
                <w:color w:val="000000"/>
                <w:sz w:val="18"/>
                <w:szCs w:val="18"/>
                <w:lang w:eastAsia="en-GB"/>
              </w:rPr>
            </w:pPr>
            <w:r w:rsidRPr="00005453">
              <w:rPr>
                <w:b/>
                <w:bCs/>
                <w:color w:val="000000"/>
                <w:sz w:val="18"/>
                <w:szCs w:val="18"/>
              </w:rPr>
              <w:t>2,841,839</w:t>
            </w:r>
          </w:p>
        </w:tc>
        <w:tc>
          <w:tcPr>
            <w:tcW w:w="1134" w:type="dxa"/>
            <w:tcBorders>
              <w:top w:val="nil"/>
              <w:left w:val="nil"/>
              <w:bottom w:val="single" w:sz="8" w:space="0" w:color="auto"/>
              <w:right w:val="single" w:sz="8" w:space="0" w:color="auto"/>
            </w:tcBorders>
            <w:shd w:val="clear" w:color="auto" w:fill="auto"/>
            <w:noWrap/>
            <w:vAlign w:val="center"/>
            <w:hideMark/>
          </w:tcPr>
          <w:p w14:paraId="221E9669" w14:textId="1F10C1CA" w:rsidR="00E36E35" w:rsidRPr="00005453" w:rsidRDefault="00E36E35" w:rsidP="00E36E35">
            <w:pPr>
              <w:jc w:val="right"/>
              <w:rPr>
                <w:b/>
                <w:bCs/>
                <w:color w:val="000000"/>
                <w:sz w:val="18"/>
                <w:szCs w:val="18"/>
                <w:lang w:eastAsia="en-GB"/>
              </w:rPr>
            </w:pPr>
            <w:r w:rsidRPr="00005453">
              <w:rPr>
                <w:b/>
                <w:bCs/>
                <w:color w:val="000000"/>
                <w:sz w:val="18"/>
                <w:szCs w:val="18"/>
              </w:rPr>
              <w:t>2,266,292</w:t>
            </w:r>
          </w:p>
        </w:tc>
        <w:tc>
          <w:tcPr>
            <w:tcW w:w="992" w:type="dxa"/>
            <w:tcBorders>
              <w:top w:val="nil"/>
              <w:left w:val="nil"/>
              <w:bottom w:val="single" w:sz="8" w:space="0" w:color="auto"/>
              <w:right w:val="single" w:sz="8" w:space="0" w:color="auto"/>
            </w:tcBorders>
            <w:shd w:val="clear" w:color="auto" w:fill="auto"/>
            <w:noWrap/>
            <w:vAlign w:val="center"/>
            <w:hideMark/>
          </w:tcPr>
          <w:p w14:paraId="0A7CEBC0" w14:textId="1D805C1D" w:rsidR="00E36E35" w:rsidRPr="00005453" w:rsidRDefault="00E36E35" w:rsidP="00E36E35">
            <w:pPr>
              <w:jc w:val="right"/>
              <w:rPr>
                <w:b/>
                <w:bCs/>
                <w:color w:val="000000"/>
                <w:sz w:val="18"/>
                <w:szCs w:val="18"/>
                <w:lang w:eastAsia="en-GB"/>
              </w:rPr>
            </w:pPr>
            <w:r w:rsidRPr="00005453">
              <w:rPr>
                <w:b/>
                <w:bCs/>
                <w:color w:val="000000"/>
                <w:sz w:val="18"/>
                <w:szCs w:val="18"/>
              </w:rPr>
              <w:t>588,222</w:t>
            </w:r>
          </w:p>
        </w:tc>
        <w:tc>
          <w:tcPr>
            <w:tcW w:w="992" w:type="dxa"/>
            <w:tcBorders>
              <w:top w:val="nil"/>
              <w:left w:val="nil"/>
              <w:bottom w:val="single" w:sz="8" w:space="0" w:color="auto"/>
              <w:right w:val="single" w:sz="8" w:space="0" w:color="auto"/>
            </w:tcBorders>
            <w:shd w:val="clear" w:color="auto" w:fill="auto"/>
            <w:noWrap/>
            <w:vAlign w:val="center"/>
            <w:hideMark/>
          </w:tcPr>
          <w:p w14:paraId="756CE1AA" w14:textId="097B9F9C" w:rsidR="00E36E35" w:rsidRPr="00005453" w:rsidRDefault="00E36E35" w:rsidP="00E36E35">
            <w:pPr>
              <w:jc w:val="right"/>
              <w:rPr>
                <w:b/>
                <w:bCs/>
                <w:color w:val="000000"/>
                <w:sz w:val="18"/>
                <w:szCs w:val="18"/>
                <w:lang w:eastAsia="en-GB"/>
              </w:rPr>
            </w:pPr>
            <w:r w:rsidRPr="00005453">
              <w:rPr>
                <w:b/>
                <w:bCs/>
                <w:color w:val="000000"/>
                <w:sz w:val="18"/>
                <w:szCs w:val="18"/>
              </w:rPr>
              <w:t>964,737</w:t>
            </w:r>
          </w:p>
        </w:tc>
        <w:tc>
          <w:tcPr>
            <w:tcW w:w="1418" w:type="dxa"/>
            <w:tcBorders>
              <w:top w:val="nil"/>
              <w:left w:val="nil"/>
              <w:bottom w:val="single" w:sz="8" w:space="0" w:color="auto"/>
              <w:right w:val="single" w:sz="8" w:space="0" w:color="auto"/>
            </w:tcBorders>
            <w:shd w:val="clear" w:color="auto" w:fill="auto"/>
            <w:noWrap/>
            <w:vAlign w:val="center"/>
            <w:hideMark/>
          </w:tcPr>
          <w:p w14:paraId="6D1A2A72" w14:textId="2B9E0733" w:rsidR="00E36E35" w:rsidRPr="00005453" w:rsidRDefault="00E36E35" w:rsidP="00E36E35">
            <w:pPr>
              <w:jc w:val="right"/>
              <w:rPr>
                <w:b/>
                <w:bCs/>
                <w:color w:val="000000"/>
                <w:sz w:val="18"/>
                <w:szCs w:val="18"/>
                <w:lang w:eastAsia="en-GB"/>
              </w:rPr>
            </w:pPr>
            <w:r w:rsidRPr="00005453">
              <w:rPr>
                <w:b/>
                <w:bCs/>
                <w:color w:val="000000"/>
                <w:sz w:val="18"/>
                <w:szCs w:val="18"/>
              </w:rPr>
              <w:t>379,580</w:t>
            </w:r>
          </w:p>
        </w:tc>
      </w:tr>
    </w:tbl>
    <w:p w14:paraId="574E33FD" w14:textId="061CB9D7" w:rsidR="004F1E85" w:rsidRPr="00005453" w:rsidRDefault="004F1E85" w:rsidP="003966D9">
      <w:pPr>
        <w:rPr>
          <w:lang w:val="en-GB" w:eastAsia="en-GB"/>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534"/>
        <w:gridCol w:w="1418"/>
        <w:gridCol w:w="1134"/>
        <w:gridCol w:w="992"/>
        <w:gridCol w:w="992"/>
        <w:gridCol w:w="1418"/>
      </w:tblGrid>
      <w:tr w:rsidR="004F1E85" w:rsidRPr="00005453" w14:paraId="29E9F512" w14:textId="77777777" w:rsidTr="000E5F12">
        <w:trPr>
          <w:divId w:val="77026599"/>
          <w:trHeight w:val="259"/>
        </w:trPr>
        <w:tc>
          <w:tcPr>
            <w:tcW w:w="3534" w:type="dxa"/>
            <w:shd w:val="clear" w:color="auto" w:fill="auto"/>
            <w:noWrap/>
            <w:vAlign w:val="center"/>
            <w:hideMark/>
          </w:tcPr>
          <w:p w14:paraId="48914593" w14:textId="5F3D8CC4" w:rsidR="004F1E85" w:rsidRPr="00005453" w:rsidRDefault="004F1E85" w:rsidP="004F1E85">
            <w:pPr>
              <w:rPr>
                <w:b/>
                <w:bCs/>
                <w:color w:val="000000"/>
                <w:sz w:val="18"/>
                <w:szCs w:val="18"/>
                <w:lang w:eastAsia="tr-TR"/>
              </w:rPr>
            </w:pPr>
            <w:r w:rsidRPr="00005453">
              <w:rPr>
                <w:b/>
                <w:bCs/>
                <w:color w:val="000000"/>
                <w:sz w:val="18"/>
                <w:szCs w:val="18"/>
                <w:lang w:eastAsia="tr-TR"/>
              </w:rPr>
              <w:t>Önceki Dönem</w:t>
            </w:r>
          </w:p>
        </w:tc>
        <w:tc>
          <w:tcPr>
            <w:tcW w:w="1418" w:type="dxa"/>
            <w:shd w:val="clear" w:color="auto" w:fill="auto"/>
            <w:noWrap/>
            <w:vAlign w:val="center"/>
            <w:hideMark/>
          </w:tcPr>
          <w:p w14:paraId="0826E9B4"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3 Aya Kadar</w:t>
            </w:r>
          </w:p>
        </w:tc>
        <w:tc>
          <w:tcPr>
            <w:tcW w:w="1134" w:type="dxa"/>
            <w:shd w:val="clear" w:color="auto" w:fill="auto"/>
            <w:noWrap/>
            <w:vAlign w:val="center"/>
            <w:hideMark/>
          </w:tcPr>
          <w:p w14:paraId="57E054F0"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3-12 Ay</w:t>
            </w:r>
          </w:p>
        </w:tc>
        <w:tc>
          <w:tcPr>
            <w:tcW w:w="992" w:type="dxa"/>
            <w:shd w:val="clear" w:color="auto" w:fill="auto"/>
            <w:noWrap/>
            <w:vAlign w:val="center"/>
            <w:hideMark/>
          </w:tcPr>
          <w:p w14:paraId="54275E04"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1-3 Yıl</w:t>
            </w:r>
          </w:p>
        </w:tc>
        <w:tc>
          <w:tcPr>
            <w:tcW w:w="992" w:type="dxa"/>
            <w:shd w:val="clear" w:color="auto" w:fill="auto"/>
            <w:noWrap/>
            <w:vAlign w:val="center"/>
            <w:hideMark/>
          </w:tcPr>
          <w:p w14:paraId="054EAFB3"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3-5 Yıl</w:t>
            </w:r>
          </w:p>
        </w:tc>
        <w:tc>
          <w:tcPr>
            <w:tcW w:w="1418" w:type="dxa"/>
            <w:shd w:val="clear" w:color="auto" w:fill="auto"/>
            <w:noWrap/>
            <w:vAlign w:val="center"/>
            <w:hideMark/>
          </w:tcPr>
          <w:p w14:paraId="36B71D40"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5 Yıl ve Üzeri</w:t>
            </w:r>
          </w:p>
        </w:tc>
      </w:tr>
      <w:tr w:rsidR="00057FAD" w:rsidRPr="00005453" w14:paraId="13B48873" w14:textId="77777777" w:rsidTr="00057FAD">
        <w:trPr>
          <w:divId w:val="77026599"/>
          <w:trHeight w:val="135"/>
        </w:trPr>
        <w:tc>
          <w:tcPr>
            <w:tcW w:w="3534" w:type="dxa"/>
            <w:shd w:val="clear" w:color="auto" w:fill="auto"/>
            <w:noWrap/>
            <w:vAlign w:val="center"/>
            <w:hideMark/>
          </w:tcPr>
          <w:p w14:paraId="0F6B7EB2" w14:textId="76137245" w:rsidR="00057FAD" w:rsidRPr="00005453" w:rsidRDefault="00057FAD" w:rsidP="00057FAD">
            <w:pPr>
              <w:rPr>
                <w:color w:val="000000"/>
                <w:sz w:val="18"/>
                <w:szCs w:val="18"/>
                <w:lang w:eastAsia="tr-TR"/>
              </w:rPr>
            </w:pPr>
            <w:r w:rsidRPr="00005453">
              <w:rPr>
                <w:color w:val="000000"/>
                <w:sz w:val="18"/>
                <w:szCs w:val="18"/>
                <w:lang w:eastAsia="en-GB"/>
              </w:rPr>
              <w:t>Kurumsal ve Ticari Krediler</w:t>
            </w:r>
          </w:p>
        </w:tc>
        <w:tc>
          <w:tcPr>
            <w:tcW w:w="1418" w:type="dxa"/>
            <w:shd w:val="clear" w:color="auto" w:fill="auto"/>
            <w:noWrap/>
            <w:vAlign w:val="center"/>
            <w:hideMark/>
          </w:tcPr>
          <w:p w14:paraId="29E82D42" w14:textId="5A4E105E" w:rsidR="00057FAD" w:rsidRPr="00005453" w:rsidRDefault="00057FAD" w:rsidP="00057FAD">
            <w:pPr>
              <w:jc w:val="right"/>
              <w:rPr>
                <w:color w:val="000000"/>
                <w:sz w:val="18"/>
                <w:szCs w:val="18"/>
                <w:lang w:eastAsia="tr-TR"/>
              </w:rPr>
            </w:pPr>
            <w:r w:rsidRPr="00005453">
              <w:rPr>
                <w:color w:val="000000"/>
                <w:sz w:val="18"/>
                <w:szCs w:val="18"/>
                <w:lang w:eastAsia="en-GB"/>
              </w:rPr>
              <w:t>236,699</w:t>
            </w:r>
          </w:p>
        </w:tc>
        <w:tc>
          <w:tcPr>
            <w:tcW w:w="1134" w:type="dxa"/>
            <w:shd w:val="clear" w:color="auto" w:fill="auto"/>
            <w:noWrap/>
            <w:vAlign w:val="center"/>
            <w:hideMark/>
          </w:tcPr>
          <w:p w14:paraId="4B1D1877" w14:textId="71168A76" w:rsidR="00057FAD" w:rsidRPr="00005453" w:rsidRDefault="00057FAD" w:rsidP="00057FAD">
            <w:pPr>
              <w:jc w:val="right"/>
              <w:rPr>
                <w:color w:val="000000"/>
                <w:sz w:val="18"/>
                <w:szCs w:val="18"/>
                <w:lang w:eastAsia="tr-TR"/>
              </w:rPr>
            </w:pPr>
            <w:r w:rsidRPr="00005453">
              <w:rPr>
                <w:color w:val="000000"/>
                <w:sz w:val="18"/>
                <w:szCs w:val="18"/>
                <w:lang w:eastAsia="en-GB"/>
              </w:rPr>
              <w:t>466,452</w:t>
            </w:r>
          </w:p>
        </w:tc>
        <w:tc>
          <w:tcPr>
            <w:tcW w:w="992" w:type="dxa"/>
            <w:shd w:val="clear" w:color="auto" w:fill="auto"/>
            <w:noWrap/>
            <w:vAlign w:val="center"/>
            <w:hideMark/>
          </w:tcPr>
          <w:p w14:paraId="36405EC1" w14:textId="6608C533" w:rsidR="00057FAD" w:rsidRPr="00005453" w:rsidRDefault="00057FAD" w:rsidP="00057FAD">
            <w:pPr>
              <w:jc w:val="right"/>
              <w:rPr>
                <w:color w:val="000000"/>
                <w:sz w:val="18"/>
                <w:szCs w:val="18"/>
                <w:lang w:eastAsia="tr-TR"/>
              </w:rPr>
            </w:pPr>
            <w:r w:rsidRPr="00005453">
              <w:rPr>
                <w:color w:val="000000"/>
                <w:sz w:val="18"/>
                <w:szCs w:val="18"/>
                <w:lang w:eastAsia="en-GB"/>
              </w:rPr>
              <w:t>579,630</w:t>
            </w:r>
          </w:p>
        </w:tc>
        <w:tc>
          <w:tcPr>
            <w:tcW w:w="992" w:type="dxa"/>
            <w:shd w:val="clear" w:color="auto" w:fill="auto"/>
            <w:noWrap/>
            <w:vAlign w:val="center"/>
            <w:hideMark/>
          </w:tcPr>
          <w:p w14:paraId="5E7FDD91" w14:textId="11AD8B9F" w:rsidR="00057FAD" w:rsidRPr="00005453" w:rsidRDefault="00057FAD" w:rsidP="00057FAD">
            <w:pPr>
              <w:jc w:val="right"/>
              <w:rPr>
                <w:color w:val="000000"/>
                <w:sz w:val="18"/>
                <w:szCs w:val="18"/>
                <w:lang w:eastAsia="tr-TR"/>
              </w:rPr>
            </w:pPr>
            <w:r w:rsidRPr="00005453">
              <w:rPr>
                <w:color w:val="000000"/>
                <w:sz w:val="18"/>
                <w:szCs w:val="18"/>
                <w:lang w:eastAsia="en-GB"/>
              </w:rPr>
              <w:t>1,930,478</w:t>
            </w:r>
          </w:p>
        </w:tc>
        <w:tc>
          <w:tcPr>
            <w:tcW w:w="1418" w:type="dxa"/>
            <w:shd w:val="clear" w:color="auto" w:fill="auto"/>
            <w:noWrap/>
            <w:vAlign w:val="center"/>
            <w:hideMark/>
          </w:tcPr>
          <w:p w14:paraId="6A63DA24" w14:textId="18043252" w:rsidR="00057FAD" w:rsidRPr="00005453" w:rsidRDefault="00057FAD" w:rsidP="00057FAD">
            <w:pPr>
              <w:jc w:val="right"/>
              <w:rPr>
                <w:color w:val="000000"/>
                <w:sz w:val="18"/>
                <w:szCs w:val="18"/>
                <w:lang w:eastAsia="tr-TR"/>
              </w:rPr>
            </w:pPr>
            <w:r w:rsidRPr="00005453">
              <w:rPr>
                <w:color w:val="000000"/>
                <w:sz w:val="18"/>
                <w:szCs w:val="18"/>
                <w:lang w:eastAsia="en-GB"/>
              </w:rPr>
              <w:t>209,118</w:t>
            </w:r>
          </w:p>
        </w:tc>
      </w:tr>
      <w:tr w:rsidR="00057FAD" w:rsidRPr="00005453" w14:paraId="50500F89" w14:textId="77777777" w:rsidTr="00057FAD">
        <w:trPr>
          <w:divId w:val="77026599"/>
          <w:trHeight w:val="196"/>
        </w:trPr>
        <w:tc>
          <w:tcPr>
            <w:tcW w:w="3534" w:type="dxa"/>
            <w:shd w:val="clear" w:color="auto" w:fill="auto"/>
            <w:noWrap/>
            <w:vAlign w:val="center"/>
            <w:hideMark/>
          </w:tcPr>
          <w:p w14:paraId="0FE35070" w14:textId="2EE947C3" w:rsidR="00057FAD" w:rsidRPr="00005453" w:rsidRDefault="00057FAD" w:rsidP="00057FAD">
            <w:pPr>
              <w:rPr>
                <w:color w:val="000000"/>
                <w:sz w:val="18"/>
                <w:szCs w:val="18"/>
                <w:lang w:eastAsia="tr-TR"/>
              </w:rPr>
            </w:pPr>
            <w:r w:rsidRPr="00005453">
              <w:rPr>
                <w:color w:val="000000"/>
                <w:sz w:val="18"/>
                <w:szCs w:val="18"/>
                <w:lang w:eastAsia="en-GB"/>
              </w:rPr>
              <w:t>Bireysel Krediler</w:t>
            </w:r>
          </w:p>
        </w:tc>
        <w:tc>
          <w:tcPr>
            <w:tcW w:w="1418" w:type="dxa"/>
            <w:shd w:val="clear" w:color="auto" w:fill="auto"/>
            <w:noWrap/>
            <w:vAlign w:val="center"/>
            <w:hideMark/>
          </w:tcPr>
          <w:p w14:paraId="1E91960E" w14:textId="6B0AEC14" w:rsidR="00057FAD" w:rsidRPr="00005453" w:rsidRDefault="00057FAD" w:rsidP="00057FAD">
            <w:pPr>
              <w:jc w:val="right"/>
              <w:rPr>
                <w:color w:val="000000"/>
                <w:sz w:val="18"/>
                <w:szCs w:val="18"/>
                <w:lang w:eastAsia="tr-TR"/>
              </w:rPr>
            </w:pPr>
            <w:r w:rsidRPr="00005453">
              <w:rPr>
                <w:color w:val="000000"/>
                <w:sz w:val="18"/>
                <w:szCs w:val="18"/>
                <w:lang w:eastAsia="en-GB"/>
              </w:rPr>
              <w:t>10,449</w:t>
            </w:r>
          </w:p>
        </w:tc>
        <w:tc>
          <w:tcPr>
            <w:tcW w:w="1134" w:type="dxa"/>
            <w:shd w:val="clear" w:color="auto" w:fill="auto"/>
            <w:noWrap/>
            <w:vAlign w:val="center"/>
            <w:hideMark/>
          </w:tcPr>
          <w:p w14:paraId="523667DC" w14:textId="7F194207" w:rsidR="00057FAD" w:rsidRPr="00005453" w:rsidRDefault="00057FAD" w:rsidP="00057FAD">
            <w:pPr>
              <w:jc w:val="right"/>
              <w:rPr>
                <w:color w:val="000000"/>
                <w:sz w:val="18"/>
                <w:szCs w:val="18"/>
                <w:lang w:eastAsia="tr-TR"/>
              </w:rPr>
            </w:pPr>
            <w:r w:rsidRPr="00005453">
              <w:rPr>
                <w:color w:val="000000"/>
                <w:sz w:val="18"/>
                <w:szCs w:val="18"/>
                <w:lang w:eastAsia="en-GB"/>
              </w:rPr>
              <w:t>14,755</w:t>
            </w:r>
          </w:p>
        </w:tc>
        <w:tc>
          <w:tcPr>
            <w:tcW w:w="992" w:type="dxa"/>
            <w:shd w:val="clear" w:color="auto" w:fill="auto"/>
            <w:noWrap/>
            <w:vAlign w:val="center"/>
            <w:hideMark/>
          </w:tcPr>
          <w:p w14:paraId="0C3B356C" w14:textId="33024610" w:rsidR="00057FAD" w:rsidRPr="00005453" w:rsidRDefault="00057FAD" w:rsidP="00057FAD">
            <w:pPr>
              <w:jc w:val="right"/>
              <w:rPr>
                <w:color w:val="000000"/>
                <w:sz w:val="18"/>
                <w:szCs w:val="18"/>
                <w:lang w:eastAsia="tr-TR"/>
              </w:rPr>
            </w:pPr>
            <w:r w:rsidRPr="00005453">
              <w:rPr>
                <w:color w:val="000000"/>
                <w:sz w:val="18"/>
                <w:szCs w:val="18"/>
                <w:lang w:eastAsia="en-GB"/>
              </w:rPr>
              <w:t>8,081</w:t>
            </w:r>
          </w:p>
        </w:tc>
        <w:tc>
          <w:tcPr>
            <w:tcW w:w="992" w:type="dxa"/>
            <w:shd w:val="clear" w:color="auto" w:fill="auto"/>
            <w:noWrap/>
            <w:vAlign w:val="center"/>
            <w:hideMark/>
          </w:tcPr>
          <w:p w14:paraId="567D232F" w14:textId="27C2CE5E" w:rsidR="00057FAD" w:rsidRPr="00005453" w:rsidRDefault="00057FAD" w:rsidP="00057FAD">
            <w:pPr>
              <w:jc w:val="right"/>
              <w:rPr>
                <w:color w:val="000000"/>
                <w:sz w:val="18"/>
                <w:szCs w:val="18"/>
                <w:lang w:eastAsia="tr-TR"/>
              </w:rPr>
            </w:pPr>
            <w:r w:rsidRPr="00005453">
              <w:rPr>
                <w:color w:val="000000"/>
                <w:sz w:val="18"/>
                <w:szCs w:val="18"/>
                <w:lang w:eastAsia="en-GB"/>
              </w:rPr>
              <w:t>5,359</w:t>
            </w:r>
          </w:p>
        </w:tc>
        <w:tc>
          <w:tcPr>
            <w:tcW w:w="1418" w:type="dxa"/>
            <w:shd w:val="clear" w:color="auto" w:fill="auto"/>
            <w:noWrap/>
            <w:vAlign w:val="center"/>
            <w:hideMark/>
          </w:tcPr>
          <w:p w14:paraId="19BBAFB2" w14:textId="2CBC2C66" w:rsidR="00057FAD" w:rsidRPr="00005453" w:rsidRDefault="00057FAD" w:rsidP="00057FAD">
            <w:pPr>
              <w:jc w:val="right"/>
              <w:rPr>
                <w:color w:val="000000"/>
                <w:sz w:val="18"/>
                <w:szCs w:val="18"/>
                <w:lang w:eastAsia="tr-TR"/>
              </w:rPr>
            </w:pPr>
            <w:r w:rsidRPr="00005453">
              <w:rPr>
                <w:color w:val="000000"/>
                <w:sz w:val="18"/>
                <w:szCs w:val="18"/>
                <w:lang w:eastAsia="en-GB"/>
              </w:rPr>
              <w:t>33,916</w:t>
            </w:r>
          </w:p>
        </w:tc>
      </w:tr>
      <w:tr w:rsidR="00057FAD" w:rsidRPr="00005453" w14:paraId="12BC5436" w14:textId="77777777" w:rsidTr="00057FAD">
        <w:trPr>
          <w:divId w:val="77026599"/>
          <w:trHeight w:val="113"/>
        </w:trPr>
        <w:tc>
          <w:tcPr>
            <w:tcW w:w="3534" w:type="dxa"/>
            <w:shd w:val="clear" w:color="auto" w:fill="auto"/>
            <w:noWrap/>
            <w:vAlign w:val="center"/>
            <w:hideMark/>
          </w:tcPr>
          <w:p w14:paraId="2A70ECBD" w14:textId="3908188F" w:rsidR="00057FAD" w:rsidRPr="00005453" w:rsidRDefault="00057FAD" w:rsidP="00057FAD">
            <w:pPr>
              <w:rPr>
                <w:color w:val="000000"/>
                <w:sz w:val="18"/>
                <w:szCs w:val="18"/>
                <w:lang w:eastAsia="tr-TR"/>
              </w:rPr>
            </w:pPr>
            <w:r w:rsidRPr="00005453">
              <w:rPr>
                <w:color w:val="000000"/>
                <w:sz w:val="18"/>
                <w:szCs w:val="18"/>
                <w:lang w:eastAsia="en-GB"/>
              </w:rPr>
              <w:t>Kredi Kartları</w:t>
            </w:r>
          </w:p>
        </w:tc>
        <w:tc>
          <w:tcPr>
            <w:tcW w:w="1418" w:type="dxa"/>
            <w:shd w:val="clear" w:color="auto" w:fill="auto"/>
            <w:noWrap/>
            <w:vAlign w:val="center"/>
            <w:hideMark/>
          </w:tcPr>
          <w:p w14:paraId="4936CCB3" w14:textId="7E4FAFA8" w:rsidR="00057FAD" w:rsidRPr="00005453" w:rsidRDefault="00057FAD" w:rsidP="00057FAD">
            <w:pPr>
              <w:jc w:val="right"/>
              <w:rPr>
                <w:color w:val="000000"/>
                <w:sz w:val="18"/>
                <w:szCs w:val="18"/>
                <w:lang w:eastAsia="tr-TR"/>
              </w:rPr>
            </w:pPr>
            <w:r w:rsidRPr="00005453">
              <w:rPr>
                <w:color w:val="000000"/>
                <w:sz w:val="18"/>
                <w:szCs w:val="18"/>
                <w:lang w:eastAsia="en-GB"/>
              </w:rPr>
              <w:t>36,654</w:t>
            </w:r>
          </w:p>
        </w:tc>
        <w:tc>
          <w:tcPr>
            <w:tcW w:w="1134" w:type="dxa"/>
            <w:shd w:val="clear" w:color="auto" w:fill="auto"/>
            <w:noWrap/>
            <w:vAlign w:val="center"/>
            <w:hideMark/>
          </w:tcPr>
          <w:p w14:paraId="5657D827" w14:textId="35A1C152" w:rsidR="00057FAD" w:rsidRPr="00005453" w:rsidRDefault="00057FAD" w:rsidP="00057FAD">
            <w:pPr>
              <w:jc w:val="right"/>
              <w:rPr>
                <w:color w:val="000000"/>
                <w:sz w:val="18"/>
                <w:szCs w:val="18"/>
                <w:lang w:eastAsia="tr-TR"/>
              </w:rPr>
            </w:pPr>
            <w:r w:rsidRPr="00005453">
              <w:rPr>
                <w:color w:val="000000"/>
                <w:sz w:val="18"/>
                <w:szCs w:val="18"/>
                <w:lang w:eastAsia="en-GB"/>
              </w:rPr>
              <w:t>36,424</w:t>
            </w:r>
          </w:p>
        </w:tc>
        <w:tc>
          <w:tcPr>
            <w:tcW w:w="992" w:type="dxa"/>
            <w:shd w:val="clear" w:color="auto" w:fill="auto"/>
            <w:noWrap/>
            <w:vAlign w:val="center"/>
            <w:hideMark/>
          </w:tcPr>
          <w:p w14:paraId="030C23F1" w14:textId="313EBCF8" w:rsidR="00057FAD" w:rsidRPr="00005453" w:rsidRDefault="00057FAD" w:rsidP="00057FAD">
            <w:pPr>
              <w:jc w:val="right"/>
              <w:rPr>
                <w:color w:val="000000"/>
                <w:sz w:val="18"/>
                <w:szCs w:val="18"/>
                <w:lang w:eastAsia="tr-TR"/>
              </w:rPr>
            </w:pPr>
            <w:r w:rsidRPr="00005453">
              <w:rPr>
                <w:color w:val="000000"/>
                <w:sz w:val="18"/>
                <w:szCs w:val="18"/>
                <w:lang w:eastAsia="en-GB"/>
              </w:rPr>
              <w:t>28,939</w:t>
            </w:r>
          </w:p>
        </w:tc>
        <w:tc>
          <w:tcPr>
            <w:tcW w:w="992" w:type="dxa"/>
            <w:shd w:val="clear" w:color="auto" w:fill="auto"/>
            <w:noWrap/>
            <w:vAlign w:val="center"/>
            <w:hideMark/>
          </w:tcPr>
          <w:p w14:paraId="03CB8AE1" w14:textId="253D93A2" w:rsidR="00057FAD" w:rsidRPr="00005453" w:rsidRDefault="00057FAD" w:rsidP="00057FAD">
            <w:pPr>
              <w:jc w:val="right"/>
              <w:rPr>
                <w:color w:val="000000"/>
                <w:sz w:val="18"/>
                <w:szCs w:val="18"/>
                <w:lang w:eastAsia="tr-TR"/>
              </w:rPr>
            </w:pPr>
            <w:r w:rsidRPr="00005453">
              <w:rPr>
                <w:color w:val="000000"/>
                <w:sz w:val="18"/>
                <w:szCs w:val="18"/>
                <w:lang w:eastAsia="en-GB"/>
              </w:rPr>
              <w:t>4,798</w:t>
            </w:r>
          </w:p>
        </w:tc>
        <w:tc>
          <w:tcPr>
            <w:tcW w:w="1418" w:type="dxa"/>
            <w:shd w:val="clear" w:color="auto" w:fill="auto"/>
            <w:noWrap/>
            <w:vAlign w:val="center"/>
            <w:hideMark/>
          </w:tcPr>
          <w:p w14:paraId="329B814E" w14:textId="549D8406" w:rsidR="00057FAD" w:rsidRPr="00005453" w:rsidRDefault="00057FAD" w:rsidP="00057FAD">
            <w:pPr>
              <w:jc w:val="right"/>
              <w:rPr>
                <w:color w:val="000000"/>
                <w:sz w:val="18"/>
                <w:szCs w:val="18"/>
                <w:lang w:eastAsia="tr-TR"/>
              </w:rPr>
            </w:pPr>
            <w:r w:rsidRPr="00005453">
              <w:rPr>
                <w:color w:val="000000"/>
                <w:sz w:val="18"/>
                <w:szCs w:val="18"/>
                <w:lang w:eastAsia="en-GB"/>
              </w:rPr>
              <w:t>1,589</w:t>
            </w:r>
          </w:p>
        </w:tc>
      </w:tr>
      <w:tr w:rsidR="00057FAD" w:rsidRPr="00005453" w14:paraId="7D8EAFA3" w14:textId="77777777" w:rsidTr="00057FAD">
        <w:trPr>
          <w:divId w:val="77026599"/>
          <w:trHeight w:val="159"/>
        </w:trPr>
        <w:tc>
          <w:tcPr>
            <w:tcW w:w="3534" w:type="dxa"/>
            <w:tcBorders>
              <w:bottom w:val="single" w:sz="8" w:space="0" w:color="auto"/>
            </w:tcBorders>
            <w:shd w:val="clear" w:color="auto" w:fill="auto"/>
            <w:noWrap/>
            <w:vAlign w:val="center"/>
            <w:hideMark/>
          </w:tcPr>
          <w:p w14:paraId="5DF75FC3" w14:textId="0023637A" w:rsidR="00057FAD" w:rsidRPr="00005453" w:rsidRDefault="00057FAD" w:rsidP="00057FAD">
            <w:pPr>
              <w:rPr>
                <w:color w:val="000000"/>
                <w:sz w:val="18"/>
                <w:szCs w:val="18"/>
                <w:lang w:eastAsia="tr-TR"/>
              </w:rPr>
            </w:pPr>
            <w:r w:rsidRPr="00005453">
              <w:rPr>
                <w:color w:val="000000"/>
                <w:sz w:val="18"/>
                <w:szCs w:val="18"/>
                <w:lang w:eastAsia="en-GB"/>
              </w:rPr>
              <w:t>Diğer</w:t>
            </w:r>
          </w:p>
        </w:tc>
        <w:tc>
          <w:tcPr>
            <w:tcW w:w="1418" w:type="dxa"/>
            <w:tcBorders>
              <w:bottom w:val="single" w:sz="8" w:space="0" w:color="auto"/>
            </w:tcBorders>
            <w:shd w:val="clear" w:color="auto" w:fill="auto"/>
            <w:noWrap/>
            <w:vAlign w:val="center"/>
            <w:hideMark/>
          </w:tcPr>
          <w:p w14:paraId="7621B09D" w14:textId="2FCC9411" w:rsidR="00057FAD" w:rsidRPr="00005453" w:rsidRDefault="00057FAD" w:rsidP="00057FAD">
            <w:pPr>
              <w:jc w:val="right"/>
              <w:rPr>
                <w:color w:val="000000"/>
                <w:sz w:val="18"/>
                <w:szCs w:val="18"/>
                <w:lang w:eastAsia="tr-TR"/>
              </w:rPr>
            </w:pPr>
            <w:r w:rsidRPr="00005453">
              <w:rPr>
                <w:color w:val="000000"/>
                <w:sz w:val="18"/>
                <w:szCs w:val="18"/>
                <w:lang w:eastAsia="en-GB"/>
              </w:rPr>
              <w:t>-</w:t>
            </w:r>
          </w:p>
        </w:tc>
        <w:tc>
          <w:tcPr>
            <w:tcW w:w="1134" w:type="dxa"/>
            <w:tcBorders>
              <w:bottom w:val="single" w:sz="8" w:space="0" w:color="auto"/>
            </w:tcBorders>
            <w:shd w:val="clear" w:color="auto" w:fill="auto"/>
            <w:noWrap/>
            <w:vAlign w:val="center"/>
            <w:hideMark/>
          </w:tcPr>
          <w:p w14:paraId="0581676E" w14:textId="349119EE" w:rsidR="00057FAD" w:rsidRPr="00005453" w:rsidRDefault="00057FAD" w:rsidP="00057FAD">
            <w:pPr>
              <w:jc w:val="right"/>
              <w:rPr>
                <w:color w:val="000000"/>
                <w:sz w:val="18"/>
                <w:szCs w:val="18"/>
                <w:lang w:eastAsia="tr-TR"/>
              </w:rPr>
            </w:pPr>
            <w:r w:rsidRPr="00005453">
              <w:rPr>
                <w:color w:val="000000"/>
                <w:sz w:val="18"/>
                <w:szCs w:val="18"/>
                <w:lang w:eastAsia="en-GB"/>
              </w:rPr>
              <w:t>-</w:t>
            </w:r>
          </w:p>
        </w:tc>
        <w:tc>
          <w:tcPr>
            <w:tcW w:w="992" w:type="dxa"/>
            <w:tcBorders>
              <w:bottom w:val="single" w:sz="8" w:space="0" w:color="auto"/>
            </w:tcBorders>
            <w:shd w:val="clear" w:color="auto" w:fill="auto"/>
            <w:noWrap/>
            <w:vAlign w:val="center"/>
            <w:hideMark/>
          </w:tcPr>
          <w:p w14:paraId="5069AC1E" w14:textId="3987299B" w:rsidR="00057FAD" w:rsidRPr="00005453" w:rsidRDefault="00057FAD" w:rsidP="00057FAD">
            <w:pPr>
              <w:jc w:val="right"/>
              <w:rPr>
                <w:color w:val="000000"/>
                <w:sz w:val="18"/>
                <w:szCs w:val="18"/>
                <w:lang w:eastAsia="tr-TR"/>
              </w:rPr>
            </w:pPr>
            <w:r w:rsidRPr="00005453">
              <w:rPr>
                <w:color w:val="000000"/>
                <w:sz w:val="18"/>
                <w:szCs w:val="18"/>
                <w:lang w:eastAsia="en-GB"/>
              </w:rPr>
              <w:t>-</w:t>
            </w:r>
          </w:p>
        </w:tc>
        <w:tc>
          <w:tcPr>
            <w:tcW w:w="992" w:type="dxa"/>
            <w:tcBorders>
              <w:bottom w:val="single" w:sz="8" w:space="0" w:color="auto"/>
            </w:tcBorders>
            <w:shd w:val="clear" w:color="auto" w:fill="auto"/>
            <w:noWrap/>
            <w:vAlign w:val="center"/>
            <w:hideMark/>
          </w:tcPr>
          <w:p w14:paraId="00FCEDD8" w14:textId="5BEEEAF8" w:rsidR="00057FAD" w:rsidRPr="00005453" w:rsidRDefault="00057FAD" w:rsidP="00057FAD">
            <w:pPr>
              <w:jc w:val="right"/>
              <w:rPr>
                <w:color w:val="000000"/>
                <w:sz w:val="18"/>
                <w:szCs w:val="18"/>
                <w:lang w:eastAsia="tr-TR"/>
              </w:rPr>
            </w:pPr>
            <w:r w:rsidRPr="00005453">
              <w:rPr>
                <w:color w:val="000000"/>
                <w:sz w:val="18"/>
                <w:szCs w:val="18"/>
                <w:lang w:eastAsia="en-GB"/>
              </w:rPr>
              <w:t>-</w:t>
            </w:r>
          </w:p>
        </w:tc>
        <w:tc>
          <w:tcPr>
            <w:tcW w:w="1418" w:type="dxa"/>
            <w:tcBorders>
              <w:bottom w:val="single" w:sz="8" w:space="0" w:color="auto"/>
            </w:tcBorders>
            <w:shd w:val="clear" w:color="auto" w:fill="auto"/>
            <w:noWrap/>
            <w:vAlign w:val="center"/>
            <w:hideMark/>
          </w:tcPr>
          <w:p w14:paraId="023D1D03" w14:textId="1227FC5A" w:rsidR="00057FAD" w:rsidRPr="00005453" w:rsidRDefault="00057FAD" w:rsidP="00057FAD">
            <w:pPr>
              <w:jc w:val="right"/>
              <w:rPr>
                <w:color w:val="000000"/>
                <w:sz w:val="18"/>
                <w:szCs w:val="18"/>
                <w:lang w:eastAsia="tr-TR"/>
              </w:rPr>
            </w:pPr>
            <w:r w:rsidRPr="00005453">
              <w:rPr>
                <w:color w:val="000000"/>
                <w:sz w:val="18"/>
                <w:szCs w:val="18"/>
                <w:lang w:eastAsia="en-GB"/>
              </w:rPr>
              <w:t>-</w:t>
            </w:r>
          </w:p>
        </w:tc>
      </w:tr>
      <w:tr w:rsidR="00057FAD" w:rsidRPr="00005453" w14:paraId="19E41D1C" w14:textId="77777777" w:rsidTr="00057FAD">
        <w:trPr>
          <w:divId w:val="77026599"/>
          <w:trHeight w:val="259"/>
        </w:trPr>
        <w:tc>
          <w:tcPr>
            <w:tcW w:w="3534" w:type="dxa"/>
            <w:shd w:val="clear" w:color="auto" w:fill="auto"/>
            <w:noWrap/>
            <w:vAlign w:val="center"/>
            <w:hideMark/>
          </w:tcPr>
          <w:p w14:paraId="65F50AB7" w14:textId="461E4BC5" w:rsidR="00057FAD" w:rsidRPr="00005453" w:rsidRDefault="00057FAD" w:rsidP="00057FAD">
            <w:pPr>
              <w:rPr>
                <w:b/>
                <w:bCs/>
                <w:color w:val="000000"/>
                <w:sz w:val="18"/>
                <w:szCs w:val="18"/>
                <w:lang w:eastAsia="tr-TR"/>
              </w:rPr>
            </w:pPr>
            <w:r w:rsidRPr="00005453">
              <w:rPr>
                <w:b/>
                <w:bCs/>
                <w:color w:val="000000"/>
                <w:sz w:val="18"/>
                <w:szCs w:val="18"/>
                <w:lang w:eastAsia="en-GB"/>
              </w:rPr>
              <w:t>Toplam</w:t>
            </w:r>
          </w:p>
        </w:tc>
        <w:tc>
          <w:tcPr>
            <w:tcW w:w="1418" w:type="dxa"/>
            <w:shd w:val="clear" w:color="auto" w:fill="auto"/>
            <w:noWrap/>
            <w:vAlign w:val="center"/>
            <w:hideMark/>
          </w:tcPr>
          <w:p w14:paraId="04A901CD" w14:textId="1FC90570" w:rsidR="00057FAD" w:rsidRPr="00005453" w:rsidRDefault="00057FAD" w:rsidP="00057FAD">
            <w:pPr>
              <w:jc w:val="right"/>
              <w:rPr>
                <w:b/>
                <w:bCs/>
                <w:color w:val="000000"/>
                <w:sz w:val="18"/>
                <w:szCs w:val="18"/>
                <w:lang w:eastAsia="tr-TR"/>
              </w:rPr>
            </w:pPr>
            <w:r w:rsidRPr="00005453">
              <w:rPr>
                <w:b/>
                <w:bCs/>
                <w:color w:val="000000"/>
                <w:sz w:val="18"/>
                <w:szCs w:val="18"/>
              </w:rPr>
              <w:t>283,802</w:t>
            </w:r>
          </w:p>
        </w:tc>
        <w:tc>
          <w:tcPr>
            <w:tcW w:w="1134" w:type="dxa"/>
            <w:shd w:val="clear" w:color="auto" w:fill="auto"/>
            <w:noWrap/>
            <w:vAlign w:val="center"/>
            <w:hideMark/>
          </w:tcPr>
          <w:p w14:paraId="62B6B77D" w14:textId="6E410FB8" w:rsidR="00057FAD" w:rsidRPr="00005453" w:rsidRDefault="00057FAD" w:rsidP="00057FAD">
            <w:pPr>
              <w:jc w:val="right"/>
              <w:rPr>
                <w:b/>
                <w:bCs/>
                <w:color w:val="000000"/>
                <w:sz w:val="18"/>
                <w:szCs w:val="18"/>
                <w:lang w:eastAsia="tr-TR"/>
              </w:rPr>
            </w:pPr>
            <w:r w:rsidRPr="00005453">
              <w:rPr>
                <w:b/>
                <w:bCs/>
                <w:color w:val="000000"/>
                <w:sz w:val="18"/>
                <w:szCs w:val="18"/>
              </w:rPr>
              <w:t>517,631</w:t>
            </w:r>
          </w:p>
        </w:tc>
        <w:tc>
          <w:tcPr>
            <w:tcW w:w="992" w:type="dxa"/>
            <w:shd w:val="clear" w:color="auto" w:fill="auto"/>
            <w:noWrap/>
            <w:vAlign w:val="center"/>
            <w:hideMark/>
          </w:tcPr>
          <w:p w14:paraId="16AA2216" w14:textId="47D456F8" w:rsidR="00057FAD" w:rsidRPr="00005453" w:rsidRDefault="00057FAD" w:rsidP="00057FAD">
            <w:pPr>
              <w:jc w:val="right"/>
              <w:rPr>
                <w:b/>
                <w:bCs/>
                <w:color w:val="000000"/>
                <w:sz w:val="18"/>
                <w:szCs w:val="18"/>
                <w:lang w:eastAsia="tr-TR"/>
              </w:rPr>
            </w:pPr>
            <w:r w:rsidRPr="00005453">
              <w:rPr>
                <w:b/>
                <w:bCs/>
                <w:color w:val="000000"/>
                <w:sz w:val="18"/>
                <w:szCs w:val="18"/>
              </w:rPr>
              <w:t>616,650</w:t>
            </w:r>
          </w:p>
        </w:tc>
        <w:tc>
          <w:tcPr>
            <w:tcW w:w="992" w:type="dxa"/>
            <w:shd w:val="clear" w:color="auto" w:fill="auto"/>
            <w:noWrap/>
            <w:vAlign w:val="center"/>
            <w:hideMark/>
          </w:tcPr>
          <w:p w14:paraId="17EA5A25" w14:textId="3D1FD2B1" w:rsidR="00057FAD" w:rsidRPr="00005453" w:rsidRDefault="00057FAD" w:rsidP="00057FAD">
            <w:pPr>
              <w:jc w:val="right"/>
              <w:rPr>
                <w:b/>
                <w:bCs/>
                <w:color w:val="000000"/>
                <w:sz w:val="18"/>
                <w:szCs w:val="18"/>
                <w:lang w:eastAsia="tr-TR"/>
              </w:rPr>
            </w:pPr>
            <w:r w:rsidRPr="00005453">
              <w:rPr>
                <w:b/>
                <w:bCs/>
                <w:color w:val="000000"/>
                <w:sz w:val="18"/>
                <w:szCs w:val="18"/>
              </w:rPr>
              <w:t>1,940,635</w:t>
            </w:r>
          </w:p>
        </w:tc>
        <w:tc>
          <w:tcPr>
            <w:tcW w:w="1418" w:type="dxa"/>
            <w:shd w:val="clear" w:color="auto" w:fill="auto"/>
            <w:noWrap/>
            <w:vAlign w:val="center"/>
            <w:hideMark/>
          </w:tcPr>
          <w:p w14:paraId="1491011B" w14:textId="7CAE4157" w:rsidR="00057FAD" w:rsidRPr="00005453" w:rsidRDefault="00057FAD" w:rsidP="00057FAD">
            <w:pPr>
              <w:jc w:val="right"/>
              <w:rPr>
                <w:b/>
                <w:bCs/>
                <w:color w:val="000000"/>
                <w:sz w:val="18"/>
                <w:szCs w:val="18"/>
                <w:lang w:eastAsia="tr-TR"/>
              </w:rPr>
            </w:pPr>
            <w:r w:rsidRPr="00005453">
              <w:rPr>
                <w:b/>
                <w:bCs/>
                <w:color w:val="000000"/>
                <w:sz w:val="18"/>
                <w:szCs w:val="18"/>
              </w:rPr>
              <w:t>244,623</w:t>
            </w:r>
          </w:p>
        </w:tc>
      </w:tr>
    </w:tbl>
    <w:p w14:paraId="5E61E303" w14:textId="27610DC5" w:rsidR="00C25473" w:rsidRPr="00005453" w:rsidRDefault="00C25473" w:rsidP="003966D9">
      <w:pPr>
        <w:rPr>
          <w:spacing w:val="-6"/>
        </w:rPr>
      </w:pPr>
    </w:p>
    <w:p w14:paraId="6C4EE5F2" w14:textId="3E85D415" w:rsidR="00C25473" w:rsidRPr="00005453" w:rsidRDefault="007A1089" w:rsidP="00C25473">
      <w:pPr>
        <w:ind w:hanging="567"/>
        <w:rPr>
          <w:b/>
          <w:color w:val="000000"/>
        </w:rPr>
      </w:pPr>
      <w:r w:rsidRPr="00005453">
        <w:rPr>
          <w:b/>
          <w:color w:val="000000"/>
        </w:rPr>
        <w:t>10</w:t>
      </w:r>
      <w:r w:rsidR="00C25473" w:rsidRPr="00005453">
        <w:rPr>
          <w:b/>
          <w:color w:val="000000"/>
        </w:rPr>
        <w:t xml:space="preserve">.6.8. Yeniden yapılandırılmış alacakların </w:t>
      </w:r>
      <w:r w:rsidR="00230D33" w:rsidRPr="00005453">
        <w:rPr>
          <w:b/>
          <w:color w:val="000000"/>
        </w:rPr>
        <w:t>canlı ve donuk</w:t>
      </w:r>
      <w:r w:rsidR="00C25473" w:rsidRPr="00005453">
        <w:rPr>
          <w:b/>
          <w:color w:val="000000"/>
        </w:rPr>
        <w:t xml:space="preserve"> olmasına göre kırılımı</w:t>
      </w:r>
    </w:p>
    <w:p w14:paraId="675F9CD3" w14:textId="78B3DE38" w:rsidR="004F1E85" w:rsidRPr="00005453" w:rsidRDefault="004F1E85" w:rsidP="0002129E">
      <w:pPr>
        <w:jc w:val="both"/>
        <w:rPr>
          <w:lang w:eastAsia="en-GB"/>
        </w:rPr>
      </w:pPr>
    </w:p>
    <w:tbl>
      <w:tblPr>
        <w:tblW w:w="9488" w:type="dxa"/>
        <w:tblCellMar>
          <w:left w:w="70" w:type="dxa"/>
          <w:right w:w="70" w:type="dxa"/>
        </w:tblCellMar>
        <w:tblLook w:val="04A0" w:firstRow="1" w:lastRow="0" w:firstColumn="1" w:lastColumn="0" w:noHBand="0" w:noVBand="1"/>
      </w:tblPr>
      <w:tblGrid>
        <w:gridCol w:w="3534"/>
        <w:gridCol w:w="3544"/>
        <w:gridCol w:w="2410"/>
      </w:tblGrid>
      <w:tr w:rsidR="004F1E85" w:rsidRPr="00005453" w14:paraId="7C5429AB" w14:textId="77777777" w:rsidTr="000E5F12">
        <w:trPr>
          <w:divId w:val="326641487"/>
          <w:trHeight w:val="243"/>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660AF4" w14:textId="3AAF0500" w:rsidR="004F1E85" w:rsidRPr="00005453" w:rsidRDefault="004F1E85" w:rsidP="004F1E85">
            <w:pPr>
              <w:rPr>
                <w:b/>
                <w:bCs/>
                <w:color w:val="000000"/>
                <w:sz w:val="18"/>
                <w:szCs w:val="18"/>
                <w:lang w:eastAsia="tr-TR"/>
              </w:rPr>
            </w:pPr>
            <w:r w:rsidRPr="00005453">
              <w:rPr>
                <w:b/>
                <w:bCs/>
                <w:color w:val="000000"/>
                <w:sz w:val="18"/>
                <w:szCs w:val="18"/>
                <w:lang w:eastAsia="tr-TR"/>
              </w:rPr>
              <w:t>Yapılandırma Durumu</w:t>
            </w:r>
          </w:p>
        </w:tc>
        <w:tc>
          <w:tcPr>
            <w:tcW w:w="3544" w:type="dxa"/>
            <w:tcBorders>
              <w:top w:val="single" w:sz="8" w:space="0" w:color="auto"/>
              <w:left w:val="nil"/>
              <w:bottom w:val="single" w:sz="8" w:space="0" w:color="auto"/>
              <w:right w:val="single" w:sz="8" w:space="0" w:color="auto"/>
            </w:tcBorders>
            <w:shd w:val="clear" w:color="auto" w:fill="auto"/>
            <w:noWrap/>
            <w:vAlign w:val="center"/>
            <w:hideMark/>
          </w:tcPr>
          <w:p w14:paraId="10BEF9D3"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 xml:space="preserve">Cari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Risk</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0982DC90" w14:textId="77777777" w:rsidR="004F1E85" w:rsidRPr="00005453" w:rsidRDefault="004F1E85" w:rsidP="004F1E85">
            <w:pPr>
              <w:jc w:val="right"/>
              <w:rPr>
                <w:b/>
                <w:bCs/>
                <w:color w:val="000000"/>
                <w:sz w:val="18"/>
                <w:szCs w:val="18"/>
                <w:lang w:eastAsia="tr-TR"/>
              </w:rPr>
            </w:pPr>
            <w:r w:rsidRPr="00005453">
              <w:rPr>
                <w:b/>
                <w:bCs/>
                <w:color w:val="000000"/>
                <w:sz w:val="18"/>
                <w:szCs w:val="18"/>
                <w:lang w:eastAsia="tr-TR"/>
              </w:rPr>
              <w:t xml:space="preserve">Önceki </w:t>
            </w:r>
            <w:proofErr w:type="gramStart"/>
            <w:r w:rsidRPr="00005453">
              <w:rPr>
                <w:b/>
                <w:bCs/>
                <w:color w:val="000000"/>
                <w:sz w:val="18"/>
                <w:szCs w:val="18"/>
                <w:lang w:eastAsia="tr-TR"/>
              </w:rPr>
              <w:t>Dönem -</w:t>
            </w:r>
            <w:proofErr w:type="gramEnd"/>
            <w:r w:rsidRPr="00005453">
              <w:rPr>
                <w:b/>
                <w:bCs/>
                <w:color w:val="000000"/>
                <w:sz w:val="18"/>
                <w:szCs w:val="18"/>
                <w:lang w:eastAsia="tr-TR"/>
              </w:rPr>
              <w:t xml:space="preserve">  Risk</w:t>
            </w:r>
          </w:p>
        </w:tc>
      </w:tr>
      <w:tr w:rsidR="00E36E35" w:rsidRPr="00005453" w14:paraId="3F9DB3B0" w14:textId="77777777" w:rsidTr="000E5F12">
        <w:trPr>
          <w:divId w:val="326641487"/>
          <w:trHeight w:val="243"/>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43CF8F84" w14:textId="77777777" w:rsidR="00E36E35" w:rsidRPr="00005453" w:rsidRDefault="00E36E35" w:rsidP="00E36E35">
            <w:pPr>
              <w:rPr>
                <w:color w:val="000000"/>
                <w:sz w:val="18"/>
                <w:szCs w:val="18"/>
                <w:lang w:eastAsia="tr-TR"/>
              </w:rPr>
            </w:pPr>
            <w:r w:rsidRPr="00005453">
              <w:rPr>
                <w:color w:val="000000"/>
                <w:sz w:val="18"/>
                <w:szCs w:val="18"/>
                <w:lang w:eastAsia="tr-TR"/>
              </w:rPr>
              <w:t>Canlı</w:t>
            </w:r>
          </w:p>
        </w:tc>
        <w:tc>
          <w:tcPr>
            <w:tcW w:w="3544" w:type="dxa"/>
            <w:tcBorders>
              <w:top w:val="nil"/>
              <w:left w:val="nil"/>
              <w:bottom w:val="single" w:sz="8" w:space="0" w:color="auto"/>
              <w:right w:val="single" w:sz="8" w:space="0" w:color="auto"/>
            </w:tcBorders>
            <w:shd w:val="clear" w:color="auto" w:fill="auto"/>
            <w:noWrap/>
            <w:vAlign w:val="center"/>
            <w:hideMark/>
          </w:tcPr>
          <w:p w14:paraId="0CC18150" w14:textId="48690A4B" w:rsidR="00E36E35" w:rsidRPr="00005453" w:rsidRDefault="00E36E35" w:rsidP="00E36E35">
            <w:pPr>
              <w:jc w:val="right"/>
              <w:rPr>
                <w:color w:val="000000"/>
                <w:sz w:val="18"/>
                <w:szCs w:val="18"/>
                <w:lang w:eastAsia="tr-TR"/>
              </w:rPr>
            </w:pPr>
            <w:r w:rsidRPr="00005453">
              <w:rPr>
                <w:color w:val="000000"/>
                <w:sz w:val="18"/>
                <w:szCs w:val="18"/>
              </w:rPr>
              <w:t>3,909,491</w:t>
            </w:r>
          </w:p>
        </w:tc>
        <w:tc>
          <w:tcPr>
            <w:tcW w:w="2410" w:type="dxa"/>
            <w:tcBorders>
              <w:top w:val="nil"/>
              <w:left w:val="nil"/>
              <w:bottom w:val="single" w:sz="8" w:space="0" w:color="auto"/>
              <w:right w:val="single" w:sz="8" w:space="0" w:color="auto"/>
            </w:tcBorders>
            <w:shd w:val="clear" w:color="auto" w:fill="auto"/>
            <w:noWrap/>
            <w:vAlign w:val="center"/>
            <w:hideMark/>
          </w:tcPr>
          <w:p w14:paraId="768AA30A" w14:textId="70EF4F34" w:rsidR="00E36E35" w:rsidRPr="00005453" w:rsidRDefault="00E36E35" w:rsidP="00E36E35">
            <w:pPr>
              <w:jc w:val="right"/>
              <w:rPr>
                <w:color w:val="000000"/>
                <w:sz w:val="18"/>
                <w:szCs w:val="18"/>
                <w:lang w:eastAsia="tr-TR"/>
              </w:rPr>
            </w:pPr>
            <w:r w:rsidRPr="00005453">
              <w:rPr>
                <w:color w:val="000000"/>
                <w:sz w:val="18"/>
                <w:szCs w:val="18"/>
              </w:rPr>
              <w:t>3,342,122</w:t>
            </w:r>
          </w:p>
        </w:tc>
      </w:tr>
      <w:tr w:rsidR="00E36E35" w:rsidRPr="00005453" w14:paraId="474FA81D" w14:textId="77777777" w:rsidTr="000E5F12">
        <w:trPr>
          <w:divId w:val="326641487"/>
          <w:trHeight w:val="243"/>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200346EC" w14:textId="77777777" w:rsidR="00E36E35" w:rsidRPr="00005453" w:rsidRDefault="00E36E35" w:rsidP="00E36E35">
            <w:pPr>
              <w:rPr>
                <w:color w:val="000000"/>
                <w:sz w:val="18"/>
                <w:szCs w:val="18"/>
                <w:lang w:eastAsia="tr-TR"/>
              </w:rPr>
            </w:pPr>
            <w:r w:rsidRPr="00005453">
              <w:rPr>
                <w:color w:val="000000"/>
                <w:sz w:val="18"/>
                <w:szCs w:val="18"/>
                <w:lang w:eastAsia="tr-TR"/>
              </w:rPr>
              <w:t>Donuk</w:t>
            </w:r>
          </w:p>
        </w:tc>
        <w:tc>
          <w:tcPr>
            <w:tcW w:w="3544" w:type="dxa"/>
            <w:tcBorders>
              <w:top w:val="nil"/>
              <w:left w:val="nil"/>
              <w:bottom w:val="single" w:sz="8" w:space="0" w:color="auto"/>
              <w:right w:val="single" w:sz="8" w:space="0" w:color="auto"/>
            </w:tcBorders>
            <w:shd w:val="clear" w:color="auto" w:fill="auto"/>
            <w:noWrap/>
            <w:vAlign w:val="center"/>
            <w:hideMark/>
          </w:tcPr>
          <w:p w14:paraId="38C4995C" w14:textId="6403E7EE" w:rsidR="00E36E35" w:rsidRPr="00005453" w:rsidRDefault="00E36E35" w:rsidP="00E36E35">
            <w:pPr>
              <w:jc w:val="right"/>
              <w:rPr>
                <w:color w:val="000000"/>
                <w:sz w:val="18"/>
                <w:szCs w:val="18"/>
                <w:lang w:eastAsia="tr-TR"/>
              </w:rPr>
            </w:pPr>
            <w:r w:rsidRPr="00005453">
              <w:rPr>
                <w:color w:val="000000"/>
                <w:sz w:val="18"/>
                <w:szCs w:val="18"/>
              </w:rPr>
              <w:t>2,463</w:t>
            </w:r>
          </w:p>
        </w:tc>
        <w:tc>
          <w:tcPr>
            <w:tcW w:w="2410" w:type="dxa"/>
            <w:tcBorders>
              <w:top w:val="nil"/>
              <w:left w:val="nil"/>
              <w:bottom w:val="single" w:sz="8" w:space="0" w:color="auto"/>
              <w:right w:val="single" w:sz="8" w:space="0" w:color="auto"/>
            </w:tcBorders>
            <w:shd w:val="clear" w:color="auto" w:fill="auto"/>
            <w:noWrap/>
            <w:vAlign w:val="center"/>
            <w:hideMark/>
          </w:tcPr>
          <w:p w14:paraId="693C3F27" w14:textId="50F9CBF3" w:rsidR="00E36E35" w:rsidRPr="00005453" w:rsidRDefault="00E36E35" w:rsidP="00E36E35">
            <w:pPr>
              <w:jc w:val="right"/>
              <w:rPr>
                <w:color w:val="000000"/>
                <w:sz w:val="18"/>
                <w:szCs w:val="18"/>
                <w:lang w:eastAsia="tr-TR"/>
              </w:rPr>
            </w:pPr>
            <w:r w:rsidRPr="00005453">
              <w:rPr>
                <w:color w:val="000000"/>
                <w:sz w:val="18"/>
                <w:szCs w:val="18"/>
              </w:rPr>
              <w:t>744,591</w:t>
            </w:r>
          </w:p>
        </w:tc>
      </w:tr>
      <w:tr w:rsidR="00E36E35" w:rsidRPr="00005453" w14:paraId="48B74A6D" w14:textId="77777777" w:rsidTr="000E5F12">
        <w:trPr>
          <w:divId w:val="326641487"/>
          <w:trHeight w:val="243"/>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14:paraId="55F13E6B" w14:textId="77777777" w:rsidR="00E36E35" w:rsidRPr="00005453" w:rsidRDefault="00E36E35" w:rsidP="00E36E35">
            <w:pPr>
              <w:rPr>
                <w:b/>
                <w:bCs/>
                <w:color w:val="000000"/>
                <w:sz w:val="18"/>
                <w:szCs w:val="18"/>
                <w:lang w:eastAsia="tr-TR"/>
              </w:rPr>
            </w:pPr>
            <w:r w:rsidRPr="00005453">
              <w:rPr>
                <w:b/>
                <w:bCs/>
                <w:color w:val="000000"/>
                <w:sz w:val="18"/>
                <w:szCs w:val="18"/>
                <w:lang w:eastAsia="tr-TR"/>
              </w:rPr>
              <w:t>Toplam</w:t>
            </w:r>
          </w:p>
        </w:tc>
        <w:tc>
          <w:tcPr>
            <w:tcW w:w="3544" w:type="dxa"/>
            <w:tcBorders>
              <w:top w:val="nil"/>
              <w:left w:val="nil"/>
              <w:bottom w:val="single" w:sz="8" w:space="0" w:color="auto"/>
              <w:right w:val="single" w:sz="8" w:space="0" w:color="auto"/>
            </w:tcBorders>
            <w:shd w:val="clear" w:color="auto" w:fill="auto"/>
            <w:noWrap/>
            <w:vAlign w:val="center"/>
            <w:hideMark/>
          </w:tcPr>
          <w:p w14:paraId="22F47F91" w14:textId="71561552" w:rsidR="00E36E35" w:rsidRPr="00005453" w:rsidRDefault="00E36E35" w:rsidP="00E36E35">
            <w:pPr>
              <w:jc w:val="right"/>
              <w:rPr>
                <w:b/>
                <w:bCs/>
                <w:color w:val="000000"/>
                <w:sz w:val="18"/>
                <w:szCs w:val="18"/>
                <w:lang w:eastAsia="tr-TR"/>
              </w:rPr>
            </w:pPr>
            <w:r w:rsidRPr="00005453">
              <w:rPr>
                <w:b/>
                <w:bCs/>
                <w:color w:val="000000"/>
                <w:sz w:val="18"/>
                <w:szCs w:val="18"/>
              </w:rPr>
              <w:t>3,911,954</w:t>
            </w:r>
          </w:p>
        </w:tc>
        <w:tc>
          <w:tcPr>
            <w:tcW w:w="2410" w:type="dxa"/>
            <w:tcBorders>
              <w:top w:val="nil"/>
              <w:left w:val="nil"/>
              <w:bottom w:val="single" w:sz="8" w:space="0" w:color="auto"/>
              <w:right w:val="single" w:sz="8" w:space="0" w:color="auto"/>
            </w:tcBorders>
            <w:shd w:val="clear" w:color="auto" w:fill="auto"/>
            <w:noWrap/>
            <w:vAlign w:val="center"/>
            <w:hideMark/>
          </w:tcPr>
          <w:p w14:paraId="18CE9859" w14:textId="3EB856F6" w:rsidR="00E36E35" w:rsidRPr="00005453" w:rsidRDefault="00E36E35" w:rsidP="00E36E35">
            <w:pPr>
              <w:jc w:val="right"/>
              <w:rPr>
                <w:b/>
                <w:bCs/>
                <w:color w:val="000000"/>
                <w:sz w:val="18"/>
                <w:szCs w:val="18"/>
                <w:lang w:eastAsia="tr-TR"/>
              </w:rPr>
            </w:pPr>
            <w:r w:rsidRPr="00005453">
              <w:rPr>
                <w:b/>
                <w:bCs/>
                <w:color w:val="000000"/>
                <w:sz w:val="18"/>
                <w:szCs w:val="18"/>
              </w:rPr>
              <w:t>4,086,713</w:t>
            </w:r>
          </w:p>
        </w:tc>
      </w:tr>
    </w:tbl>
    <w:p w14:paraId="2A08FBF7" w14:textId="50A8D9AF" w:rsidR="0002129E" w:rsidRPr="00005453" w:rsidRDefault="0002129E" w:rsidP="0002129E">
      <w:pPr>
        <w:jc w:val="both"/>
      </w:pPr>
    </w:p>
    <w:p w14:paraId="0ABB50EF" w14:textId="77777777" w:rsidR="00F20AF5" w:rsidRPr="00005453" w:rsidRDefault="00F20AF5">
      <w:pPr>
        <w:rPr>
          <w:b/>
          <w:color w:val="000000"/>
        </w:rPr>
      </w:pPr>
      <w:r w:rsidRPr="00005453">
        <w:rPr>
          <w:b/>
          <w:color w:val="000000"/>
        </w:rPr>
        <w:br w:type="page"/>
      </w:r>
    </w:p>
    <w:p w14:paraId="581D1327" w14:textId="2012C279" w:rsidR="00CC0C00" w:rsidRPr="00005453" w:rsidRDefault="007A1089" w:rsidP="00CC0C00">
      <w:pPr>
        <w:ind w:hanging="567"/>
        <w:rPr>
          <w:b/>
        </w:rPr>
      </w:pPr>
      <w:r w:rsidRPr="00005453">
        <w:rPr>
          <w:b/>
          <w:color w:val="000000"/>
        </w:rPr>
        <w:lastRenderedPageBreak/>
        <w:t>10</w:t>
      </w:r>
      <w:r w:rsidR="00CC0C00" w:rsidRPr="00005453">
        <w:rPr>
          <w:b/>
        </w:rPr>
        <w:t xml:space="preserve">.7. </w:t>
      </w:r>
      <w:r w:rsidR="00CC0C00" w:rsidRPr="00005453">
        <w:rPr>
          <w:b/>
        </w:rPr>
        <w:tab/>
        <w:t xml:space="preserve"> Kredi Riski Azaltımı</w:t>
      </w:r>
    </w:p>
    <w:p w14:paraId="72AD549C" w14:textId="5389E17F" w:rsidR="00CC0C00" w:rsidRPr="00005453" w:rsidRDefault="00CC0C00" w:rsidP="0002129E">
      <w:pPr>
        <w:jc w:val="both"/>
      </w:pPr>
    </w:p>
    <w:p w14:paraId="6B9CADCF" w14:textId="2216465B" w:rsidR="00CC0C00" w:rsidRPr="00005453" w:rsidRDefault="007A1089" w:rsidP="00CC0C00">
      <w:pPr>
        <w:ind w:hanging="567"/>
      </w:pPr>
      <w:r w:rsidRPr="00005453">
        <w:rPr>
          <w:b/>
          <w:color w:val="000000"/>
        </w:rPr>
        <w:t>10</w:t>
      </w:r>
      <w:r w:rsidR="00CC0C00" w:rsidRPr="00005453">
        <w:rPr>
          <w:b/>
        </w:rPr>
        <w:t xml:space="preserve">.7.1 </w:t>
      </w:r>
      <w:r w:rsidR="00CC0C00" w:rsidRPr="00005453">
        <w:rPr>
          <w:b/>
        </w:rPr>
        <w:tab/>
        <w:t xml:space="preserve"> </w:t>
      </w:r>
      <w:proofErr w:type="gramStart"/>
      <w:r w:rsidR="00CC0C00" w:rsidRPr="00005453">
        <w:rPr>
          <w:b/>
        </w:rPr>
        <w:t>KRC -</w:t>
      </w:r>
      <w:proofErr w:type="gramEnd"/>
      <w:r w:rsidR="00CC0C00" w:rsidRPr="00005453">
        <w:rPr>
          <w:b/>
        </w:rPr>
        <w:t xml:space="preserve"> Kredi riski azaltım teknikleri ile ilgili kamuya açıklanacak niteliksel gereksinimler</w:t>
      </w:r>
    </w:p>
    <w:p w14:paraId="6EEE7348" w14:textId="611AFD04" w:rsidR="00CC0C00" w:rsidRPr="00005453" w:rsidRDefault="00CC0C00" w:rsidP="003966D9">
      <w:pPr>
        <w:spacing w:before="240" w:after="240"/>
        <w:jc w:val="both"/>
        <w:rPr>
          <w:szCs w:val="24"/>
        </w:rPr>
      </w:pPr>
      <w:r w:rsidRPr="00005453">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7046425F" w14:textId="4B95D4DE" w:rsidR="00C25473" w:rsidRPr="00005453" w:rsidRDefault="007A1089" w:rsidP="00C25473">
      <w:pPr>
        <w:ind w:hanging="567"/>
        <w:rPr>
          <w:b/>
        </w:rPr>
      </w:pPr>
      <w:bookmarkStart w:id="63" w:name="_Hlk157163691"/>
      <w:r w:rsidRPr="00005453">
        <w:rPr>
          <w:b/>
          <w:color w:val="000000"/>
        </w:rPr>
        <w:t>10</w:t>
      </w:r>
      <w:r w:rsidR="00C25473" w:rsidRPr="00005453">
        <w:rPr>
          <w:b/>
        </w:rPr>
        <w:t>.7.</w:t>
      </w:r>
      <w:r w:rsidR="00CC0C00" w:rsidRPr="00005453">
        <w:rPr>
          <w:b/>
        </w:rPr>
        <w:t>2</w:t>
      </w:r>
      <w:r w:rsidR="00C25473" w:rsidRPr="00005453">
        <w:rPr>
          <w:b/>
        </w:rPr>
        <w:t xml:space="preserve"> </w:t>
      </w:r>
      <w:r w:rsidR="00C25473" w:rsidRPr="00005453">
        <w:rPr>
          <w:b/>
        </w:rPr>
        <w:tab/>
        <w:t xml:space="preserve"> Kredi riski azaltım teknikleri</w:t>
      </w:r>
    </w:p>
    <w:p w14:paraId="12A30D6F" w14:textId="2994E884" w:rsidR="002C5FB0" w:rsidRPr="00005453" w:rsidRDefault="002C5FB0" w:rsidP="00C25473">
      <w:pPr>
        <w:rPr>
          <w:lang w:val="en-GB" w:eastAsia="en-GB"/>
        </w:rPr>
      </w:pPr>
    </w:p>
    <w:tbl>
      <w:tblPr>
        <w:tblW w:w="10055" w:type="dxa"/>
        <w:tblLayout w:type="fixed"/>
        <w:tblCellMar>
          <w:left w:w="70" w:type="dxa"/>
          <w:right w:w="70" w:type="dxa"/>
        </w:tblCellMar>
        <w:tblLook w:val="04A0" w:firstRow="1" w:lastRow="0" w:firstColumn="1" w:lastColumn="0" w:noHBand="0" w:noVBand="1"/>
      </w:tblPr>
      <w:tblGrid>
        <w:gridCol w:w="429"/>
        <w:gridCol w:w="1688"/>
        <w:gridCol w:w="1417"/>
        <w:gridCol w:w="1134"/>
        <w:gridCol w:w="1134"/>
        <w:gridCol w:w="1188"/>
        <w:gridCol w:w="956"/>
        <w:gridCol w:w="956"/>
        <w:gridCol w:w="1153"/>
      </w:tblGrid>
      <w:tr w:rsidR="002C5FB0" w:rsidRPr="00005453" w14:paraId="7E238692" w14:textId="77777777" w:rsidTr="00BD1BED">
        <w:trPr>
          <w:divId w:val="939726760"/>
          <w:trHeight w:val="284"/>
        </w:trPr>
        <w:tc>
          <w:tcPr>
            <w:tcW w:w="429" w:type="dxa"/>
            <w:tcBorders>
              <w:top w:val="single" w:sz="8" w:space="0" w:color="auto"/>
              <w:left w:val="single" w:sz="8" w:space="0" w:color="auto"/>
              <w:bottom w:val="single" w:sz="8" w:space="0" w:color="auto"/>
              <w:right w:val="nil"/>
            </w:tcBorders>
            <w:shd w:val="clear" w:color="auto" w:fill="auto"/>
            <w:noWrap/>
            <w:vAlign w:val="center"/>
            <w:hideMark/>
          </w:tcPr>
          <w:p w14:paraId="285548F8" w14:textId="7D9D3263" w:rsidR="002C5FB0" w:rsidRPr="00005453" w:rsidRDefault="002C5FB0" w:rsidP="002C5FB0">
            <w:pPr>
              <w:rPr>
                <w:color w:val="000000"/>
                <w:sz w:val="18"/>
                <w:szCs w:val="18"/>
                <w:lang w:eastAsia="tr-TR"/>
              </w:rPr>
            </w:pPr>
            <w:r w:rsidRPr="00005453">
              <w:rPr>
                <w:color w:val="000000"/>
                <w:sz w:val="18"/>
                <w:szCs w:val="18"/>
                <w:lang w:eastAsia="tr-TR"/>
              </w:rPr>
              <w:t> </w:t>
            </w:r>
          </w:p>
        </w:tc>
        <w:tc>
          <w:tcPr>
            <w:tcW w:w="1688" w:type="dxa"/>
            <w:tcBorders>
              <w:top w:val="single" w:sz="8" w:space="0" w:color="auto"/>
              <w:left w:val="nil"/>
              <w:bottom w:val="single" w:sz="8" w:space="0" w:color="auto"/>
              <w:right w:val="single" w:sz="8" w:space="0" w:color="auto"/>
            </w:tcBorders>
            <w:shd w:val="clear" w:color="auto" w:fill="auto"/>
            <w:noWrap/>
            <w:vAlign w:val="center"/>
            <w:hideMark/>
          </w:tcPr>
          <w:p w14:paraId="6ADD221D" w14:textId="77777777" w:rsidR="002C5FB0" w:rsidRPr="00005453" w:rsidRDefault="002C5FB0" w:rsidP="002C5FB0">
            <w:pPr>
              <w:rPr>
                <w:b/>
                <w:color w:val="000000"/>
                <w:sz w:val="18"/>
                <w:szCs w:val="18"/>
                <w:lang w:eastAsia="tr-TR"/>
              </w:rPr>
            </w:pPr>
            <w:r w:rsidRPr="00005453">
              <w:rPr>
                <w:b/>
                <w:bCs/>
                <w:color w:val="000000"/>
                <w:sz w:val="18"/>
                <w:szCs w:val="18"/>
                <w:lang w:eastAsia="tr-TR"/>
              </w:rPr>
              <w:t>Cari D</w:t>
            </w:r>
            <w:r w:rsidRPr="00005453">
              <w:rPr>
                <w:b/>
                <w:color w:val="000000"/>
                <w:sz w:val="18"/>
                <w:szCs w:val="18"/>
                <w:lang w:eastAsia="tr-TR"/>
              </w:rPr>
              <w:t>önem</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4072B270" w14:textId="77777777" w:rsidR="002C5FB0" w:rsidRPr="00005453" w:rsidRDefault="002C5FB0" w:rsidP="00BD1BED">
            <w:pPr>
              <w:jc w:val="right"/>
              <w:rPr>
                <w:color w:val="000000"/>
                <w:sz w:val="18"/>
                <w:szCs w:val="18"/>
                <w:lang w:eastAsia="tr-TR"/>
              </w:rPr>
            </w:pPr>
            <w:r w:rsidRPr="00005453">
              <w:rPr>
                <w:color w:val="000000"/>
                <w:sz w:val="18"/>
                <w:szCs w:val="18"/>
                <w:lang w:eastAsia="tr-TR"/>
              </w:rPr>
              <w:t>Teminatsız alacaklar: TMS uyarınca değerlenmiş tutar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B344EEE" w14:textId="77777777" w:rsidR="002C5FB0" w:rsidRPr="00005453" w:rsidRDefault="002C5FB0" w:rsidP="00BD1BED">
            <w:pPr>
              <w:jc w:val="right"/>
              <w:rPr>
                <w:color w:val="000000"/>
                <w:sz w:val="18"/>
                <w:szCs w:val="18"/>
                <w:lang w:eastAsia="tr-TR"/>
              </w:rPr>
            </w:pPr>
            <w:r w:rsidRPr="00005453">
              <w:rPr>
                <w:color w:val="000000"/>
                <w:sz w:val="18"/>
                <w:szCs w:val="18"/>
                <w:lang w:eastAsia="tr-TR"/>
              </w:rPr>
              <w:t>Teminat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70C4A493" w14:textId="6C1C824D" w:rsidR="002C5FB0" w:rsidRPr="00005453" w:rsidRDefault="002C5FB0" w:rsidP="00BD1BED">
            <w:pPr>
              <w:jc w:val="right"/>
              <w:rPr>
                <w:color w:val="000000"/>
                <w:sz w:val="18"/>
                <w:szCs w:val="18"/>
                <w:lang w:eastAsia="tr-TR"/>
              </w:rPr>
            </w:pPr>
            <w:r w:rsidRPr="00005453">
              <w:rPr>
                <w:color w:val="000000"/>
                <w:sz w:val="18"/>
                <w:szCs w:val="18"/>
                <w:lang w:eastAsia="tr-TR"/>
              </w:rPr>
              <w:t>Teminat ile korunan</w:t>
            </w:r>
            <w:r w:rsidR="009876EB" w:rsidRPr="00005453">
              <w:rPr>
                <w:sz w:val="18"/>
                <w:szCs w:val="18"/>
                <w:lang w:eastAsia="tr-TR"/>
              </w:rPr>
              <w:t xml:space="preserve"> </w:t>
            </w:r>
            <w:r w:rsidRPr="00005453">
              <w:rPr>
                <w:color w:val="000000"/>
                <w:sz w:val="18"/>
                <w:szCs w:val="18"/>
                <w:lang w:eastAsia="tr-TR"/>
              </w:rPr>
              <w:t>alacakların teminatlı kısımları</w:t>
            </w:r>
          </w:p>
        </w:tc>
        <w:tc>
          <w:tcPr>
            <w:tcW w:w="1188" w:type="dxa"/>
            <w:tcBorders>
              <w:top w:val="single" w:sz="8" w:space="0" w:color="auto"/>
              <w:left w:val="nil"/>
              <w:bottom w:val="single" w:sz="8" w:space="0" w:color="auto"/>
              <w:right w:val="single" w:sz="8" w:space="0" w:color="auto"/>
            </w:tcBorders>
            <w:shd w:val="clear" w:color="auto" w:fill="auto"/>
            <w:vAlign w:val="center"/>
            <w:hideMark/>
          </w:tcPr>
          <w:p w14:paraId="42EA8A5F" w14:textId="77777777" w:rsidR="002C5FB0" w:rsidRPr="00005453" w:rsidRDefault="002C5FB0" w:rsidP="00BD1BED">
            <w:pPr>
              <w:jc w:val="right"/>
              <w:rPr>
                <w:color w:val="000000"/>
                <w:sz w:val="18"/>
                <w:szCs w:val="18"/>
                <w:lang w:eastAsia="tr-TR"/>
              </w:rPr>
            </w:pPr>
            <w:r w:rsidRPr="00005453">
              <w:rPr>
                <w:color w:val="000000"/>
                <w:sz w:val="18"/>
                <w:szCs w:val="18"/>
                <w:lang w:eastAsia="tr-TR"/>
              </w:rPr>
              <w:t>Finansal garantiler ile korunan alacaklar</w:t>
            </w:r>
          </w:p>
        </w:tc>
        <w:tc>
          <w:tcPr>
            <w:tcW w:w="956" w:type="dxa"/>
            <w:tcBorders>
              <w:top w:val="single" w:sz="8" w:space="0" w:color="auto"/>
              <w:left w:val="nil"/>
              <w:bottom w:val="single" w:sz="8" w:space="0" w:color="auto"/>
              <w:right w:val="single" w:sz="8" w:space="0" w:color="auto"/>
            </w:tcBorders>
            <w:shd w:val="clear" w:color="auto" w:fill="auto"/>
            <w:vAlign w:val="center"/>
            <w:hideMark/>
          </w:tcPr>
          <w:p w14:paraId="3ACB38CD" w14:textId="77777777" w:rsidR="002C5FB0" w:rsidRPr="00005453" w:rsidRDefault="002C5FB0" w:rsidP="00BD1BED">
            <w:pPr>
              <w:jc w:val="right"/>
              <w:rPr>
                <w:color w:val="000000"/>
                <w:sz w:val="18"/>
                <w:szCs w:val="18"/>
                <w:lang w:eastAsia="tr-TR"/>
              </w:rPr>
            </w:pPr>
            <w:r w:rsidRPr="00005453">
              <w:rPr>
                <w:color w:val="000000"/>
                <w:sz w:val="18"/>
                <w:szCs w:val="18"/>
                <w:lang w:eastAsia="tr-TR"/>
              </w:rPr>
              <w:t>Finansal garantiler ile korunan alacakların teminatlı kısımları</w:t>
            </w:r>
          </w:p>
        </w:tc>
        <w:tc>
          <w:tcPr>
            <w:tcW w:w="956" w:type="dxa"/>
            <w:tcBorders>
              <w:top w:val="single" w:sz="8" w:space="0" w:color="auto"/>
              <w:left w:val="nil"/>
              <w:bottom w:val="single" w:sz="8" w:space="0" w:color="auto"/>
              <w:right w:val="single" w:sz="8" w:space="0" w:color="auto"/>
            </w:tcBorders>
            <w:shd w:val="clear" w:color="auto" w:fill="auto"/>
            <w:vAlign w:val="center"/>
            <w:hideMark/>
          </w:tcPr>
          <w:p w14:paraId="214EE598" w14:textId="77777777" w:rsidR="002C5FB0" w:rsidRPr="00005453" w:rsidRDefault="002C5FB0" w:rsidP="00BD1BED">
            <w:pPr>
              <w:jc w:val="right"/>
              <w:rPr>
                <w:color w:val="000000"/>
                <w:sz w:val="18"/>
                <w:szCs w:val="18"/>
                <w:lang w:eastAsia="tr-TR"/>
              </w:rPr>
            </w:pPr>
            <w:r w:rsidRPr="00005453">
              <w:rPr>
                <w:color w:val="000000"/>
                <w:sz w:val="18"/>
                <w:szCs w:val="18"/>
                <w:lang w:eastAsia="tr-TR"/>
              </w:rPr>
              <w:t>Kredi türevleri ile korunan alacaklar</w:t>
            </w:r>
          </w:p>
        </w:tc>
        <w:tc>
          <w:tcPr>
            <w:tcW w:w="1153" w:type="dxa"/>
            <w:tcBorders>
              <w:top w:val="single" w:sz="8" w:space="0" w:color="auto"/>
              <w:left w:val="nil"/>
              <w:bottom w:val="single" w:sz="8" w:space="0" w:color="auto"/>
              <w:right w:val="single" w:sz="8" w:space="0" w:color="auto"/>
            </w:tcBorders>
            <w:shd w:val="clear" w:color="auto" w:fill="auto"/>
            <w:vAlign w:val="center"/>
            <w:hideMark/>
          </w:tcPr>
          <w:p w14:paraId="6ACAB8E1" w14:textId="77777777" w:rsidR="002C5FB0" w:rsidRPr="00005453" w:rsidRDefault="002C5FB0" w:rsidP="00BD1BED">
            <w:pPr>
              <w:jc w:val="right"/>
              <w:rPr>
                <w:color w:val="000000"/>
                <w:sz w:val="18"/>
                <w:szCs w:val="18"/>
                <w:lang w:eastAsia="tr-TR"/>
              </w:rPr>
            </w:pPr>
            <w:r w:rsidRPr="00005453">
              <w:rPr>
                <w:color w:val="000000"/>
                <w:sz w:val="18"/>
                <w:szCs w:val="18"/>
                <w:lang w:eastAsia="tr-TR"/>
              </w:rPr>
              <w:t>Kredi türevleri ile korunana alacakların teminatlı kısımları</w:t>
            </w:r>
          </w:p>
        </w:tc>
      </w:tr>
      <w:tr w:rsidR="00146E86" w:rsidRPr="00005453" w14:paraId="584170DE" w14:textId="77777777" w:rsidTr="00146E86">
        <w:trPr>
          <w:divId w:val="939726760"/>
          <w:trHeight w:val="61"/>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33EE928A" w14:textId="77777777" w:rsidR="00146E86" w:rsidRPr="00005453" w:rsidRDefault="00146E86" w:rsidP="00146E86">
            <w:pPr>
              <w:jc w:val="right"/>
              <w:rPr>
                <w:color w:val="000000"/>
                <w:sz w:val="18"/>
                <w:szCs w:val="18"/>
                <w:lang w:eastAsia="tr-TR"/>
              </w:rPr>
            </w:pPr>
            <w:r w:rsidRPr="00005453">
              <w:rPr>
                <w:color w:val="000000"/>
                <w:sz w:val="18"/>
                <w:szCs w:val="18"/>
                <w:lang w:eastAsia="tr-TR"/>
              </w:rPr>
              <w:t>1</w:t>
            </w:r>
          </w:p>
        </w:tc>
        <w:tc>
          <w:tcPr>
            <w:tcW w:w="1688" w:type="dxa"/>
            <w:tcBorders>
              <w:top w:val="nil"/>
              <w:left w:val="nil"/>
              <w:bottom w:val="single" w:sz="8" w:space="0" w:color="auto"/>
              <w:right w:val="single" w:sz="8" w:space="0" w:color="auto"/>
            </w:tcBorders>
            <w:shd w:val="clear" w:color="auto" w:fill="auto"/>
            <w:vAlign w:val="center"/>
            <w:hideMark/>
          </w:tcPr>
          <w:p w14:paraId="62788994" w14:textId="77777777" w:rsidR="00146E86" w:rsidRPr="00005453" w:rsidRDefault="00146E86" w:rsidP="00146E86">
            <w:pPr>
              <w:rPr>
                <w:color w:val="000000"/>
                <w:sz w:val="18"/>
                <w:szCs w:val="18"/>
                <w:lang w:eastAsia="tr-TR"/>
              </w:rPr>
            </w:pPr>
            <w:r w:rsidRPr="00005453">
              <w:rPr>
                <w:color w:val="000000"/>
                <w:sz w:val="18"/>
                <w:szCs w:val="18"/>
                <w:lang w:eastAsia="tr-TR"/>
              </w:rPr>
              <w:t>Krediler</w:t>
            </w:r>
          </w:p>
        </w:tc>
        <w:tc>
          <w:tcPr>
            <w:tcW w:w="1417" w:type="dxa"/>
            <w:tcBorders>
              <w:top w:val="nil"/>
              <w:left w:val="nil"/>
              <w:bottom w:val="single" w:sz="8" w:space="0" w:color="auto"/>
              <w:right w:val="single" w:sz="8" w:space="0" w:color="auto"/>
            </w:tcBorders>
            <w:shd w:val="clear" w:color="auto" w:fill="auto"/>
            <w:noWrap/>
            <w:vAlign w:val="center"/>
            <w:hideMark/>
          </w:tcPr>
          <w:p w14:paraId="4542DD9D" w14:textId="70B38136" w:rsidR="00146E86" w:rsidRPr="00005453" w:rsidRDefault="00146E86" w:rsidP="00146E86">
            <w:pPr>
              <w:jc w:val="right"/>
              <w:rPr>
                <w:color w:val="000000"/>
                <w:sz w:val="18"/>
                <w:szCs w:val="18"/>
                <w:lang w:eastAsia="tr-TR"/>
              </w:rPr>
            </w:pPr>
            <w:r w:rsidRPr="00005453">
              <w:rPr>
                <w:sz w:val="18"/>
                <w:szCs w:val="22"/>
              </w:rPr>
              <w:t>237,301,484</w:t>
            </w:r>
          </w:p>
        </w:tc>
        <w:tc>
          <w:tcPr>
            <w:tcW w:w="1134" w:type="dxa"/>
            <w:tcBorders>
              <w:top w:val="nil"/>
              <w:left w:val="nil"/>
              <w:bottom w:val="single" w:sz="8" w:space="0" w:color="auto"/>
              <w:right w:val="single" w:sz="8" w:space="0" w:color="auto"/>
            </w:tcBorders>
            <w:shd w:val="clear" w:color="auto" w:fill="auto"/>
            <w:noWrap/>
            <w:vAlign w:val="center"/>
            <w:hideMark/>
          </w:tcPr>
          <w:p w14:paraId="313CAAA0" w14:textId="51C6B824" w:rsidR="00146E86" w:rsidRPr="00005453" w:rsidRDefault="00146E86" w:rsidP="00146E86">
            <w:pPr>
              <w:jc w:val="right"/>
              <w:rPr>
                <w:color w:val="000000"/>
                <w:sz w:val="18"/>
                <w:szCs w:val="18"/>
                <w:lang w:eastAsia="tr-TR"/>
              </w:rPr>
            </w:pPr>
            <w:r w:rsidRPr="00005453">
              <w:rPr>
                <w:color w:val="000000"/>
                <w:sz w:val="18"/>
                <w:szCs w:val="22"/>
              </w:rPr>
              <w:t>181,842,456</w:t>
            </w:r>
          </w:p>
        </w:tc>
        <w:tc>
          <w:tcPr>
            <w:tcW w:w="1134" w:type="dxa"/>
            <w:tcBorders>
              <w:top w:val="nil"/>
              <w:left w:val="nil"/>
              <w:bottom w:val="single" w:sz="8" w:space="0" w:color="auto"/>
              <w:right w:val="single" w:sz="8" w:space="0" w:color="auto"/>
            </w:tcBorders>
            <w:shd w:val="clear" w:color="auto" w:fill="auto"/>
            <w:noWrap/>
            <w:vAlign w:val="center"/>
            <w:hideMark/>
          </w:tcPr>
          <w:p w14:paraId="7F6A86C0" w14:textId="5A671595" w:rsidR="00146E86" w:rsidRPr="00005453" w:rsidRDefault="00146E86" w:rsidP="00146E86">
            <w:pPr>
              <w:jc w:val="right"/>
              <w:rPr>
                <w:color w:val="000000"/>
                <w:sz w:val="18"/>
                <w:szCs w:val="18"/>
                <w:lang w:eastAsia="tr-TR"/>
              </w:rPr>
            </w:pPr>
            <w:r w:rsidRPr="00005453">
              <w:rPr>
                <w:color w:val="000000"/>
                <w:sz w:val="18"/>
                <w:szCs w:val="22"/>
              </w:rPr>
              <w:t>19,134,869</w:t>
            </w:r>
          </w:p>
        </w:tc>
        <w:tc>
          <w:tcPr>
            <w:tcW w:w="1188" w:type="dxa"/>
            <w:tcBorders>
              <w:top w:val="nil"/>
              <w:left w:val="nil"/>
              <w:bottom w:val="single" w:sz="8" w:space="0" w:color="auto"/>
              <w:right w:val="single" w:sz="8" w:space="0" w:color="auto"/>
            </w:tcBorders>
            <w:shd w:val="clear" w:color="auto" w:fill="auto"/>
            <w:noWrap/>
            <w:vAlign w:val="center"/>
            <w:hideMark/>
          </w:tcPr>
          <w:p w14:paraId="34C070A8" w14:textId="72E39190" w:rsidR="00146E86" w:rsidRPr="00005453" w:rsidRDefault="00146E86" w:rsidP="00146E86">
            <w:pPr>
              <w:jc w:val="right"/>
              <w:rPr>
                <w:color w:val="000000"/>
                <w:sz w:val="18"/>
                <w:szCs w:val="18"/>
                <w:lang w:eastAsia="tr-TR"/>
              </w:rPr>
            </w:pPr>
            <w:r w:rsidRPr="00005453">
              <w:rPr>
                <w:color w:val="000000"/>
                <w:sz w:val="18"/>
                <w:szCs w:val="22"/>
              </w:rPr>
              <w:t>12,049,714</w:t>
            </w:r>
          </w:p>
        </w:tc>
        <w:tc>
          <w:tcPr>
            <w:tcW w:w="956" w:type="dxa"/>
            <w:tcBorders>
              <w:top w:val="nil"/>
              <w:left w:val="nil"/>
              <w:bottom w:val="single" w:sz="8" w:space="0" w:color="auto"/>
              <w:right w:val="single" w:sz="8" w:space="0" w:color="auto"/>
            </w:tcBorders>
            <w:shd w:val="clear" w:color="auto" w:fill="auto"/>
            <w:noWrap/>
            <w:vAlign w:val="center"/>
            <w:hideMark/>
          </w:tcPr>
          <w:p w14:paraId="55AEAF14" w14:textId="7A040914" w:rsidR="00146E86" w:rsidRPr="00005453" w:rsidRDefault="00146E86" w:rsidP="00146E86">
            <w:pPr>
              <w:jc w:val="right"/>
              <w:rPr>
                <w:color w:val="000000"/>
                <w:sz w:val="18"/>
                <w:szCs w:val="18"/>
                <w:lang w:eastAsia="tr-TR"/>
              </w:rPr>
            </w:pPr>
            <w:r w:rsidRPr="00005453">
              <w:rPr>
                <w:color w:val="000000"/>
                <w:sz w:val="18"/>
                <w:szCs w:val="22"/>
              </w:rPr>
              <w:t>10,119,191</w:t>
            </w:r>
          </w:p>
        </w:tc>
        <w:tc>
          <w:tcPr>
            <w:tcW w:w="956" w:type="dxa"/>
            <w:tcBorders>
              <w:top w:val="nil"/>
              <w:left w:val="nil"/>
              <w:bottom w:val="single" w:sz="8" w:space="0" w:color="auto"/>
              <w:right w:val="single" w:sz="8" w:space="0" w:color="auto"/>
            </w:tcBorders>
            <w:shd w:val="clear" w:color="auto" w:fill="auto"/>
            <w:noWrap/>
            <w:vAlign w:val="center"/>
            <w:hideMark/>
          </w:tcPr>
          <w:p w14:paraId="297F6823" w14:textId="4F64983C" w:rsidR="00146E86" w:rsidRPr="00005453" w:rsidRDefault="00146E86" w:rsidP="00146E86">
            <w:pPr>
              <w:jc w:val="right"/>
              <w:rPr>
                <w:color w:val="000000"/>
                <w:sz w:val="18"/>
                <w:szCs w:val="18"/>
                <w:lang w:eastAsia="tr-TR"/>
              </w:rPr>
            </w:pPr>
            <w:r w:rsidRPr="00005453">
              <w:rPr>
                <w:color w:val="000000"/>
                <w:sz w:val="18"/>
                <w:szCs w:val="22"/>
              </w:rPr>
              <w:t>-</w:t>
            </w:r>
          </w:p>
        </w:tc>
        <w:tc>
          <w:tcPr>
            <w:tcW w:w="1153" w:type="dxa"/>
            <w:tcBorders>
              <w:top w:val="nil"/>
              <w:left w:val="nil"/>
              <w:bottom w:val="single" w:sz="8" w:space="0" w:color="auto"/>
              <w:right w:val="single" w:sz="8" w:space="0" w:color="auto"/>
            </w:tcBorders>
            <w:shd w:val="clear" w:color="auto" w:fill="auto"/>
            <w:noWrap/>
            <w:vAlign w:val="center"/>
            <w:hideMark/>
          </w:tcPr>
          <w:p w14:paraId="17CAC056" w14:textId="309C641F" w:rsidR="00146E86" w:rsidRPr="00005453" w:rsidRDefault="00146E86" w:rsidP="00146E86">
            <w:pPr>
              <w:jc w:val="right"/>
              <w:rPr>
                <w:color w:val="000000"/>
                <w:sz w:val="18"/>
                <w:szCs w:val="18"/>
                <w:lang w:eastAsia="tr-TR"/>
              </w:rPr>
            </w:pPr>
            <w:r w:rsidRPr="00005453">
              <w:rPr>
                <w:color w:val="000000"/>
                <w:sz w:val="18"/>
                <w:szCs w:val="22"/>
              </w:rPr>
              <w:t>-</w:t>
            </w:r>
          </w:p>
        </w:tc>
      </w:tr>
      <w:tr w:rsidR="00146E86" w:rsidRPr="00005453" w14:paraId="06187B7A" w14:textId="77777777" w:rsidTr="00146E86">
        <w:trPr>
          <w:divId w:val="939726760"/>
          <w:trHeight w:val="96"/>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6193D561" w14:textId="77777777" w:rsidR="00146E86" w:rsidRPr="00005453" w:rsidRDefault="00146E86" w:rsidP="00146E86">
            <w:pPr>
              <w:jc w:val="right"/>
              <w:rPr>
                <w:color w:val="000000"/>
                <w:sz w:val="18"/>
                <w:szCs w:val="18"/>
                <w:lang w:eastAsia="tr-TR"/>
              </w:rPr>
            </w:pPr>
            <w:r w:rsidRPr="00005453">
              <w:rPr>
                <w:color w:val="000000"/>
                <w:sz w:val="18"/>
                <w:szCs w:val="18"/>
                <w:lang w:eastAsia="tr-TR"/>
              </w:rPr>
              <w:t>2</w:t>
            </w:r>
          </w:p>
        </w:tc>
        <w:tc>
          <w:tcPr>
            <w:tcW w:w="1688" w:type="dxa"/>
            <w:tcBorders>
              <w:top w:val="nil"/>
              <w:left w:val="nil"/>
              <w:bottom w:val="single" w:sz="8" w:space="0" w:color="auto"/>
              <w:right w:val="single" w:sz="8" w:space="0" w:color="auto"/>
            </w:tcBorders>
            <w:shd w:val="clear" w:color="auto" w:fill="auto"/>
            <w:vAlign w:val="center"/>
            <w:hideMark/>
          </w:tcPr>
          <w:p w14:paraId="7F6DD72E" w14:textId="77777777" w:rsidR="00146E86" w:rsidRPr="00005453" w:rsidRDefault="00146E86" w:rsidP="00146E86">
            <w:pPr>
              <w:rPr>
                <w:color w:val="000000"/>
                <w:sz w:val="18"/>
                <w:szCs w:val="18"/>
                <w:lang w:eastAsia="tr-TR"/>
              </w:rPr>
            </w:pPr>
            <w:r w:rsidRPr="00005453">
              <w:rPr>
                <w:color w:val="000000"/>
                <w:sz w:val="18"/>
                <w:szCs w:val="18"/>
                <w:lang w:eastAsia="tr-TR"/>
              </w:rPr>
              <w:t>Borçlanma araçları</w:t>
            </w:r>
          </w:p>
        </w:tc>
        <w:tc>
          <w:tcPr>
            <w:tcW w:w="1417" w:type="dxa"/>
            <w:tcBorders>
              <w:top w:val="nil"/>
              <w:left w:val="nil"/>
              <w:bottom w:val="single" w:sz="8" w:space="0" w:color="auto"/>
              <w:right w:val="single" w:sz="8" w:space="0" w:color="auto"/>
            </w:tcBorders>
            <w:shd w:val="clear" w:color="auto" w:fill="auto"/>
            <w:noWrap/>
            <w:vAlign w:val="center"/>
            <w:hideMark/>
          </w:tcPr>
          <w:p w14:paraId="33E503F6" w14:textId="46AAB532" w:rsidR="00146E86" w:rsidRPr="00005453" w:rsidRDefault="00146E86" w:rsidP="00146E86">
            <w:pPr>
              <w:jc w:val="right"/>
              <w:rPr>
                <w:color w:val="000000"/>
                <w:sz w:val="18"/>
                <w:szCs w:val="18"/>
                <w:lang w:eastAsia="tr-TR"/>
              </w:rPr>
            </w:pPr>
            <w:r w:rsidRPr="00005453">
              <w:rPr>
                <w:sz w:val="18"/>
                <w:szCs w:val="22"/>
              </w:rPr>
              <w:t>116,982,142</w:t>
            </w:r>
          </w:p>
        </w:tc>
        <w:tc>
          <w:tcPr>
            <w:tcW w:w="1134" w:type="dxa"/>
            <w:tcBorders>
              <w:top w:val="nil"/>
              <w:left w:val="nil"/>
              <w:bottom w:val="single" w:sz="8" w:space="0" w:color="auto"/>
              <w:right w:val="single" w:sz="8" w:space="0" w:color="auto"/>
            </w:tcBorders>
            <w:shd w:val="clear" w:color="auto" w:fill="auto"/>
            <w:noWrap/>
            <w:vAlign w:val="center"/>
            <w:hideMark/>
          </w:tcPr>
          <w:p w14:paraId="73D5BEC5" w14:textId="02BD28F9" w:rsidR="00146E86" w:rsidRPr="00005453" w:rsidRDefault="00146E86" w:rsidP="00146E86">
            <w:pPr>
              <w:jc w:val="right"/>
              <w:rPr>
                <w:color w:val="000000"/>
                <w:sz w:val="18"/>
                <w:szCs w:val="18"/>
                <w:lang w:eastAsia="tr-TR"/>
              </w:rPr>
            </w:pPr>
            <w:r w:rsidRPr="00005453">
              <w:rPr>
                <w:color w:val="000000"/>
                <w:sz w:val="18"/>
                <w:szCs w:val="22"/>
              </w:rPr>
              <w:t>-</w:t>
            </w:r>
          </w:p>
        </w:tc>
        <w:tc>
          <w:tcPr>
            <w:tcW w:w="1134" w:type="dxa"/>
            <w:tcBorders>
              <w:top w:val="nil"/>
              <w:left w:val="nil"/>
              <w:bottom w:val="single" w:sz="8" w:space="0" w:color="auto"/>
              <w:right w:val="single" w:sz="8" w:space="0" w:color="auto"/>
            </w:tcBorders>
            <w:shd w:val="clear" w:color="auto" w:fill="auto"/>
            <w:noWrap/>
            <w:vAlign w:val="center"/>
            <w:hideMark/>
          </w:tcPr>
          <w:p w14:paraId="6A047391" w14:textId="0EF3D4D4" w:rsidR="00146E86" w:rsidRPr="00005453" w:rsidRDefault="00146E86" w:rsidP="00146E86">
            <w:pPr>
              <w:jc w:val="right"/>
              <w:rPr>
                <w:color w:val="000000"/>
                <w:sz w:val="18"/>
                <w:szCs w:val="18"/>
                <w:lang w:eastAsia="tr-TR"/>
              </w:rPr>
            </w:pPr>
            <w:r w:rsidRPr="00005453">
              <w:rPr>
                <w:color w:val="000000"/>
                <w:sz w:val="18"/>
                <w:szCs w:val="22"/>
              </w:rPr>
              <w:t>-</w:t>
            </w:r>
          </w:p>
        </w:tc>
        <w:tc>
          <w:tcPr>
            <w:tcW w:w="1188" w:type="dxa"/>
            <w:tcBorders>
              <w:top w:val="nil"/>
              <w:left w:val="nil"/>
              <w:bottom w:val="single" w:sz="8" w:space="0" w:color="auto"/>
              <w:right w:val="single" w:sz="8" w:space="0" w:color="auto"/>
            </w:tcBorders>
            <w:shd w:val="clear" w:color="auto" w:fill="auto"/>
            <w:noWrap/>
            <w:vAlign w:val="center"/>
            <w:hideMark/>
          </w:tcPr>
          <w:p w14:paraId="47D26003" w14:textId="0165DB71" w:rsidR="00146E86" w:rsidRPr="00005453" w:rsidRDefault="00146E86" w:rsidP="00146E86">
            <w:pPr>
              <w:jc w:val="right"/>
              <w:rPr>
                <w:color w:val="000000"/>
                <w:sz w:val="18"/>
                <w:szCs w:val="18"/>
                <w:lang w:eastAsia="tr-TR"/>
              </w:rPr>
            </w:pPr>
            <w:r w:rsidRPr="00005453">
              <w:rPr>
                <w:color w:val="000000"/>
                <w:sz w:val="18"/>
                <w:szCs w:val="22"/>
              </w:rPr>
              <w:t>-</w:t>
            </w:r>
          </w:p>
        </w:tc>
        <w:tc>
          <w:tcPr>
            <w:tcW w:w="956" w:type="dxa"/>
            <w:tcBorders>
              <w:top w:val="nil"/>
              <w:left w:val="nil"/>
              <w:bottom w:val="single" w:sz="8" w:space="0" w:color="auto"/>
              <w:right w:val="single" w:sz="8" w:space="0" w:color="auto"/>
            </w:tcBorders>
            <w:shd w:val="clear" w:color="auto" w:fill="auto"/>
            <w:noWrap/>
            <w:vAlign w:val="center"/>
            <w:hideMark/>
          </w:tcPr>
          <w:p w14:paraId="6CBA20DD" w14:textId="09A1D05A" w:rsidR="00146E86" w:rsidRPr="00005453" w:rsidRDefault="00146E86" w:rsidP="00146E86">
            <w:pPr>
              <w:jc w:val="right"/>
              <w:rPr>
                <w:color w:val="000000"/>
                <w:sz w:val="18"/>
                <w:szCs w:val="18"/>
                <w:lang w:eastAsia="tr-TR"/>
              </w:rPr>
            </w:pPr>
            <w:r w:rsidRPr="00005453">
              <w:rPr>
                <w:color w:val="000000"/>
                <w:sz w:val="18"/>
                <w:szCs w:val="22"/>
              </w:rPr>
              <w:t>-</w:t>
            </w:r>
          </w:p>
        </w:tc>
        <w:tc>
          <w:tcPr>
            <w:tcW w:w="956" w:type="dxa"/>
            <w:tcBorders>
              <w:top w:val="nil"/>
              <w:left w:val="nil"/>
              <w:bottom w:val="single" w:sz="8" w:space="0" w:color="auto"/>
              <w:right w:val="single" w:sz="8" w:space="0" w:color="auto"/>
            </w:tcBorders>
            <w:shd w:val="clear" w:color="auto" w:fill="auto"/>
            <w:noWrap/>
            <w:vAlign w:val="center"/>
            <w:hideMark/>
          </w:tcPr>
          <w:p w14:paraId="3B8BACF4" w14:textId="0DD1A3F8" w:rsidR="00146E86" w:rsidRPr="00005453" w:rsidRDefault="00146E86" w:rsidP="00146E86">
            <w:pPr>
              <w:jc w:val="right"/>
              <w:rPr>
                <w:color w:val="000000"/>
                <w:sz w:val="18"/>
                <w:szCs w:val="18"/>
                <w:lang w:eastAsia="tr-TR"/>
              </w:rPr>
            </w:pPr>
            <w:r w:rsidRPr="00005453">
              <w:rPr>
                <w:color w:val="000000"/>
                <w:sz w:val="18"/>
                <w:szCs w:val="22"/>
              </w:rPr>
              <w:t>-</w:t>
            </w:r>
          </w:p>
        </w:tc>
        <w:tc>
          <w:tcPr>
            <w:tcW w:w="1153" w:type="dxa"/>
            <w:tcBorders>
              <w:top w:val="nil"/>
              <w:left w:val="nil"/>
              <w:bottom w:val="single" w:sz="8" w:space="0" w:color="auto"/>
              <w:right w:val="single" w:sz="8" w:space="0" w:color="auto"/>
            </w:tcBorders>
            <w:shd w:val="clear" w:color="auto" w:fill="auto"/>
            <w:noWrap/>
            <w:vAlign w:val="center"/>
            <w:hideMark/>
          </w:tcPr>
          <w:p w14:paraId="7876F16B" w14:textId="207F2562" w:rsidR="00146E86" w:rsidRPr="00005453" w:rsidRDefault="00146E86" w:rsidP="00146E86">
            <w:pPr>
              <w:jc w:val="right"/>
              <w:rPr>
                <w:color w:val="000000"/>
                <w:sz w:val="18"/>
                <w:szCs w:val="18"/>
                <w:lang w:eastAsia="tr-TR"/>
              </w:rPr>
            </w:pPr>
            <w:r w:rsidRPr="00005453">
              <w:rPr>
                <w:color w:val="000000"/>
                <w:sz w:val="18"/>
                <w:szCs w:val="22"/>
              </w:rPr>
              <w:t>-</w:t>
            </w:r>
          </w:p>
        </w:tc>
      </w:tr>
      <w:tr w:rsidR="00146E86" w:rsidRPr="00005453" w14:paraId="1D658E0A" w14:textId="77777777" w:rsidTr="00146E86">
        <w:trPr>
          <w:divId w:val="939726760"/>
          <w:trHeight w:val="61"/>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7445B67B" w14:textId="77777777" w:rsidR="00146E86" w:rsidRPr="00005453" w:rsidRDefault="00146E86" w:rsidP="00146E86">
            <w:pPr>
              <w:jc w:val="right"/>
              <w:rPr>
                <w:b/>
                <w:bCs/>
                <w:color w:val="000000"/>
                <w:sz w:val="18"/>
                <w:szCs w:val="18"/>
                <w:lang w:eastAsia="tr-TR"/>
              </w:rPr>
            </w:pPr>
            <w:r w:rsidRPr="00005453">
              <w:rPr>
                <w:b/>
                <w:bCs/>
                <w:color w:val="000000"/>
                <w:sz w:val="18"/>
                <w:szCs w:val="18"/>
                <w:lang w:eastAsia="tr-TR"/>
              </w:rPr>
              <w:t>3</w:t>
            </w:r>
          </w:p>
        </w:tc>
        <w:tc>
          <w:tcPr>
            <w:tcW w:w="1688" w:type="dxa"/>
            <w:tcBorders>
              <w:top w:val="nil"/>
              <w:left w:val="nil"/>
              <w:bottom w:val="single" w:sz="8" w:space="0" w:color="auto"/>
              <w:right w:val="single" w:sz="8" w:space="0" w:color="auto"/>
            </w:tcBorders>
            <w:shd w:val="clear" w:color="auto" w:fill="auto"/>
            <w:noWrap/>
            <w:vAlign w:val="center"/>
            <w:hideMark/>
          </w:tcPr>
          <w:p w14:paraId="3176919C" w14:textId="77777777" w:rsidR="00146E86" w:rsidRPr="00005453" w:rsidRDefault="00146E86" w:rsidP="00146E86">
            <w:pPr>
              <w:rPr>
                <w:b/>
                <w:bCs/>
                <w:color w:val="000000"/>
                <w:sz w:val="18"/>
                <w:szCs w:val="18"/>
                <w:lang w:eastAsia="tr-TR"/>
              </w:rPr>
            </w:pPr>
            <w:r w:rsidRPr="00005453">
              <w:rPr>
                <w:b/>
                <w:bCs/>
                <w:color w:val="000000"/>
                <w:sz w:val="18"/>
                <w:szCs w:val="18"/>
                <w:lang w:eastAsia="tr-TR"/>
              </w:rPr>
              <w:t>Toplam</w:t>
            </w:r>
          </w:p>
        </w:tc>
        <w:tc>
          <w:tcPr>
            <w:tcW w:w="1417" w:type="dxa"/>
            <w:tcBorders>
              <w:top w:val="nil"/>
              <w:left w:val="nil"/>
              <w:bottom w:val="single" w:sz="8" w:space="0" w:color="auto"/>
              <w:right w:val="single" w:sz="8" w:space="0" w:color="auto"/>
            </w:tcBorders>
            <w:shd w:val="clear" w:color="auto" w:fill="auto"/>
            <w:noWrap/>
            <w:vAlign w:val="center"/>
            <w:hideMark/>
          </w:tcPr>
          <w:p w14:paraId="2CBCCA24" w14:textId="0543ADA0" w:rsidR="00146E86" w:rsidRPr="00005453" w:rsidRDefault="00146E86" w:rsidP="00146E86">
            <w:pPr>
              <w:jc w:val="right"/>
              <w:rPr>
                <w:b/>
                <w:color w:val="000000"/>
                <w:sz w:val="18"/>
                <w:szCs w:val="18"/>
                <w:lang w:eastAsia="tr-TR"/>
              </w:rPr>
            </w:pPr>
            <w:r w:rsidRPr="00005453">
              <w:rPr>
                <w:b/>
                <w:bCs/>
                <w:sz w:val="18"/>
                <w:szCs w:val="22"/>
              </w:rPr>
              <w:t>354,283,626</w:t>
            </w:r>
          </w:p>
        </w:tc>
        <w:tc>
          <w:tcPr>
            <w:tcW w:w="1134" w:type="dxa"/>
            <w:tcBorders>
              <w:top w:val="nil"/>
              <w:left w:val="nil"/>
              <w:bottom w:val="single" w:sz="8" w:space="0" w:color="auto"/>
              <w:right w:val="single" w:sz="8" w:space="0" w:color="auto"/>
            </w:tcBorders>
            <w:shd w:val="clear" w:color="auto" w:fill="auto"/>
            <w:noWrap/>
            <w:vAlign w:val="center"/>
            <w:hideMark/>
          </w:tcPr>
          <w:p w14:paraId="61A390F5" w14:textId="16E93DA2" w:rsidR="00146E86" w:rsidRPr="00005453" w:rsidRDefault="00146E86" w:rsidP="00146E86">
            <w:pPr>
              <w:jc w:val="right"/>
              <w:rPr>
                <w:b/>
                <w:color w:val="000000"/>
                <w:sz w:val="18"/>
                <w:szCs w:val="18"/>
                <w:lang w:eastAsia="tr-TR"/>
              </w:rPr>
            </w:pPr>
            <w:r w:rsidRPr="00005453">
              <w:rPr>
                <w:b/>
                <w:bCs/>
                <w:sz w:val="18"/>
                <w:szCs w:val="22"/>
              </w:rPr>
              <w:t>181,842,456</w:t>
            </w:r>
          </w:p>
        </w:tc>
        <w:tc>
          <w:tcPr>
            <w:tcW w:w="1134" w:type="dxa"/>
            <w:tcBorders>
              <w:top w:val="nil"/>
              <w:left w:val="nil"/>
              <w:bottom w:val="single" w:sz="8" w:space="0" w:color="auto"/>
              <w:right w:val="single" w:sz="8" w:space="0" w:color="auto"/>
            </w:tcBorders>
            <w:shd w:val="clear" w:color="auto" w:fill="auto"/>
            <w:noWrap/>
            <w:vAlign w:val="center"/>
            <w:hideMark/>
          </w:tcPr>
          <w:p w14:paraId="5AFCE497" w14:textId="2AFB6F14" w:rsidR="00146E86" w:rsidRPr="00005453" w:rsidRDefault="00146E86" w:rsidP="00146E86">
            <w:pPr>
              <w:jc w:val="right"/>
              <w:rPr>
                <w:b/>
                <w:color w:val="000000"/>
                <w:sz w:val="18"/>
                <w:szCs w:val="18"/>
                <w:lang w:eastAsia="tr-TR"/>
              </w:rPr>
            </w:pPr>
            <w:r w:rsidRPr="00005453">
              <w:rPr>
                <w:b/>
                <w:bCs/>
                <w:sz w:val="18"/>
                <w:szCs w:val="22"/>
              </w:rPr>
              <w:t>19,134,869</w:t>
            </w:r>
          </w:p>
        </w:tc>
        <w:tc>
          <w:tcPr>
            <w:tcW w:w="1188" w:type="dxa"/>
            <w:tcBorders>
              <w:top w:val="nil"/>
              <w:left w:val="nil"/>
              <w:bottom w:val="single" w:sz="8" w:space="0" w:color="auto"/>
              <w:right w:val="single" w:sz="8" w:space="0" w:color="auto"/>
            </w:tcBorders>
            <w:shd w:val="clear" w:color="auto" w:fill="auto"/>
            <w:noWrap/>
            <w:vAlign w:val="center"/>
            <w:hideMark/>
          </w:tcPr>
          <w:p w14:paraId="32DA49AD" w14:textId="7B8E17AB" w:rsidR="00146E86" w:rsidRPr="00005453" w:rsidRDefault="00146E86" w:rsidP="00146E86">
            <w:pPr>
              <w:jc w:val="right"/>
              <w:rPr>
                <w:b/>
                <w:color w:val="000000"/>
                <w:sz w:val="18"/>
                <w:szCs w:val="18"/>
                <w:lang w:eastAsia="tr-TR"/>
              </w:rPr>
            </w:pPr>
            <w:r w:rsidRPr="00005453">
              <w:rPr>
                <w:b/>
                <w:bCs/>
                <w:sz w:val="18"/>
                <w:szCs w:val="22"/>
              </w:rPr>
              <w:t>12,049,714</w:t>
            </w:r>
          </w:p>
        </w:tc>
        <w:tc>
          <w:tcPr>
            <w:tcW w:w="956" w:type="dxa"/>
            <w:tcBorders>
              <w:top w:val="nil"/>
              <w:left w:val="nil"/>
              <w:bottom w:val="single" w:sz="8" w:space="0" w:color="auto"/>
              <w:right w:val="single" w:sz="8" w:space="0" w:color="auto"/>
            </w:tcBorders>
            <w:shd w:val="clear" w:color="auto" w:fill="auto"/>
            <w:noWrap/>
            <w:vAlign w:val="center"/>
            <w:hideMark/>
          </w:tcPr>
          <w:p w14:paraId="7B493CFF" w14:textId="4375930B" w:rsidR="00146E86" w:rsidRPr="00005453" w:rsidRDefault="00146E86" w:rsidP="00146E86">
            <w:pPr>
              <w:jc w:val="right"/>
              <w:rPr>
                <w:b/>
                <w:color w:val="000000"/>
                <w:sz w:val="18"/>
                <w:szCs w:val="18"/>
                <w:lang w:eastAsia="tr-TR"/>
              </w:rPr>
            </w:pPr>
            <w:r w:rsidRPr="00005453">
              <w:rPr>
                <w:b/>
                <w:bCs/>
                <w:sz w:val="18"/>
                <w:szCs w:val="22"/>
              </w:rPr>
              <w:t>10,119,191</w:t>
            </w:r>
          </w:p>
        </w:tc>
        <w:tc>
          <w:tcPr>
            <w:tcW w:w="956" w:type="dxa"/>
            <w:tcBorders>
              <w:top w:val="nil"/>
              <w:left w:val="nil"/>
              <w:bottom w:val="single" w:sz="8" w:space="0" w:color="auto"/>
              <w:right w:val="single" w:sz="8" w:space="0" w:color="auto"/>
            </w:tcBorders>
            <w:shd w:val="clear" w:color="auto" w:fill="auto"/>
            <w:noWrap/>
            <w:vAlign w:val="center"/>
            <w:hideMark/>
          </w:tcPr>
          <w:p w14:paraId="43B609F5" w14:textId="056DB096" w:rsidR="00146E86" w:rsidRPr="00005453" w:rsidRDefault="00146E86" w:rsidP="00146E86">
            <w:pPr>
              <w:jc w:val="right"/>
              <w:rPr>
                <w:b/>
                <w:color w:val="000000"/>
                <w:sz w:val="18"/>
                <w:szCs w:val="18"/>
                <w:lang w:eastAsia="tr-TR"/>
              </w:rPr>
            </w:pPr>
            <w:r w:rsidRPr="00005453">
              <w:rPr>
                <w:b/>
                <w:bCs/>
                <w:sz w:val="18"/>
                <w:szCs w:val="22"/>
              </w:rPr>
              <w:t>-</w:t>
            </w:r>
          </w:p>
        </w:tc>
        <w:tc>
          <w:tcPr>
            <w:tcW w:w="1153" w:type="dxa"/>
            <w:tcBorders>
              <w:top w:val="nil"/>
              <w:left w:val="nil"/>
              <w:bottom w:val="single" w:sz="8" w:space="0" w:color="auto"/>
              <w:right w:val="single" w:sz="8" w:space="0" w:color="auto"/>
            </w:tcBorders>
            <w:shd w:val="clear" w:color="auto" w:fill="auto"/>
            <w:noWrap/>
            <w:vAlign w:val="center"/>
            <w:hideMark/>
          </w:tcPr>
          <w:p w14:paraId="39A8D7A4" w14:textId="3D016CEA" w:rsidR="00146E86" w:rsidRPr="00005453" w:rsidRDefault="00146E86" w:rsidP="00146E86">
            <w:pPr>
              <w:jc w:val="right"/>
              <w:rPr>
                <w:b/>
                <w:color w:val="000000"/>
                <w:sz w:val="18"/>
                <w:szCs w:val="18"/>
                <w:lang w:eastAsia="tr-TR"/>
              </w:rPr>
            </w:pPr>
            <w:r w:rsidRPr="00005453">
              <w:rPr>
                <w:b/>
                <w:bCs/>
                <w:sz w:val="18"/>
                <w:szCs w:val="22"/>
              </w:rPr>
              <w:t>-</w:t>
            </w:r>
          </w:p>
        </w:tc>
      </w:tr>
      <w:tr w:rsidR="00146E86" w:rsidRPr="00005453" w14:paraId="445EA2ED" w14:textId="77777777" w:rsidTr="00146E86">
        <w:trPr>
          <w:divId w:val="939726760"/>
          <w:trHeight w:val="96"/>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5C06D8D8" w14:textId="77777777" w:rsidR="00146E86" w:rsidRPr="00005453" w:rsidRDefault="00146E86" w:rsidP="00146E86">
            <w:pPr>
              <w:jc w:val="right"/>
              <w:rPr>
                <w:color w:val="000000"/>
                <w:sz w:val="18"/>
                <w:szCs w:val="18"/>
                <w:lang w:eastAsia="tr-TR"/>
              </w:rPr>
            </w:pPr>
            <w:r w:rsidRPr="00005453">
              <w:rPr>
                <w:color w:val="000000"/>
                <w:sz w:val="18"/>
                <w:szCs w:val="18"/>
                <w:lang w:eastAsia="tr-TR"/>
              </w:rPr>
              <w:t>4</w:t>
            </w:r>
          </w:p>
        </w:tc>
        <w:tc>
          <w:tcPr>
            <w:tcW w:w="1688" w:type="dxa"/>
            <w:tcBorders>
              <w:top w:val="nil"/>
              <w:left w:val="nil"/>
              <w:bottom w:val="single" w:sz="8" w:space="0" w:color="auto"/>
              <w:right w:val="single" w:sz="8" w:space="0" w:color="auto"/>
            </w:tcBorders>
            <w:shd w:val="clear" w:color="auto" w:fill="auto"/>
            <w:vAlign w:val="center"/>
            <w:hideMark/>
          </w:tcPr>
          <w:p w14:paraId="0DB9ADB0" w14:textId="77777777" w:rsidR="00146E86" w:rsidRPr="00005453" w:rsidRDefault="00146E86" w:rsidP="00146E86">
            <w:pPr>
              <w:rPr>
                <w:color w:val="000000"/>
                <w:sz w:val="18"/>
                <w:szCs w:val="18"/>
                <w:lang w:eastAsia="tr-TR"/>
              </w:rPr>
            </w:pPr>
            <w:r w:rsidRPr="00005453">
              <w:rPr>
                <w:color w:val="000000"/>
                <w:sz w:val="18"/>
                <w:szCs w:val="18"/>
                <w:lang w:eastAsia="tr-TR"/>
              </w:rPr>
              <w:t>Temerrüde düşmüş</w:t>
            </w:r>
          </w:p>
        </w:tc>
        <w:tc>
          <w:tcPr>
            <w:tcW w:w="1417" w:type="dxa"/>
            <w:tcBorders>
              <w:top w:val="nil"/>
              <w:left w:val="nil"/>
              <w:bottom w:val="single" w:sz="8" w:space="0" w:color="auto"/>
              <w:right w:val="single" w:sz="8" w:space="0" w:color="auto"/>
            </w:tcBorders>
            <w:shd w:val="clear" w:color="auto" w:fill="auto"/>
            <w:noWrap/>
            <w:vAlign w:val="center"/>
            <w:hideMark/>
          </w:tcPr>
          <w:p w14:paraId="2748FCE6" w14:textId="1DC3D4AC" w:rsidR="00146E86" w:rsidRPr="00005453" w:rsidRDefault="00146E86" w:rsidP="00146E86">
            <w:pPr>
              <w:jc w:val="right"/>
              <w:rPr>
                <w:color w:val="000000"/>
                <w:sz w:val="18"/>
                <w:szCs w:val="18"/>
                <w:lang w:eastAsia="tr-TR"/>
              </w:rPr>
            </w:pPr>
            <w:r w:rsidRPr="00005453">
              <w:rPr>
                <w:sz w:val="18"/>
                <w:szCs w:val="22"/>
              </w:rPr>
              <w:t>551,966</w:t>
            </w:r>
          </w:p>
        </w:tc>
        <w:tc>
          <w:tcPr>
            <w:tcW w:w="1134" w:type="dxa"/>
            <w:tcBorders>
              <w:top w:val="nil"/>
              <w:left w:val="nil"/>
              <w:bottom w:val="single" w:sz="8" w:space="0" w:color="auto"/>
              <w:right w:val="single" w:sz="8" w:space="0" w:color="auto"/>
            </w:tcBorders>
            <w:shd w:val="clear" w:color="auto" w:fill="auto"/>
            <w:noWrap/>
            <w:vAlign w:val="center"/>
            <w:hideMark/>
          </w:tcPr>
          <w:p w14:paraId="361AD3BB" w14:textId="4ECE3C5D" w:rsidR="00146E86" w:rsidRPr="00005453" w:rsidRDefault="00146E86" w:rsidP="00146E86">
            <w:pPr>
              <w:jc w:val="right"/>
              <w:rPr>
                <w:color w:val="000000"/>
                <w:sz w:val="18"/>
                <w:szCs w:val="18"/>
                <w:lang w:eastAsia="tr-TR"/>
              </w:rPr>
            </w:pPr>
            <w:r w:rsidRPr="00005453">
              <w:rPr>
                <w:color w:val="000000"/>
                <w:sz w:val="18"/>
                <w:szCs w:val="22"/>
              </w:rPr>
              <w:t>490,395</w:t>
            </w:r>
          </w:p>
        </w:tc>
        <w:tc>
          <w:tcPr>
            <w:tcW w:w="1134" w:type="dxa"/>
            <w:tcBorders>
              <w:top w:val="nil"/>
              <w:left w:val="nil"/>
              <w:bottom w:val="single" w:sz="8" w:space="0" w:color="auto"/>
              <w:right w:val="single" w:sz="8" w:space="0" w:color="auto"/>
            </w:tcBorders>
            <w:shd w:val="clear" w:color="auto" w:fill="auto"/>
            <w:noWrap/>
            <w:vAlign w:val="center"/>
            <w:hideMark/>
          </w:tcPr>
          <w:p w14:paraId="3E396E0C" w14:textId="53EEECCC" w:rsidR="00146E86" w:rsidRPr="00005453" w:rsidRDefault="00146E86" w:rsidP="00146E86">
            <w:pPr>
              <w:jc w:val="right"/>
              <w:rPr>
                <w:color w:val="000000"/>
                <w:sz w:val="18"/>
                <w:szCs w:val="18"/>
                <w:lang w:eastAsia="tr-TR"/>
              </w:rPr>
            </w:pPr>
            <w:r w:rsidRPr="00005453">
              <w:rPr>
                <w:color w:val="000000"/>
                <w:sz w:val="18"/>
                <w:szCs w:val="22"/>
              </w:rPr>
              <w:t>5,488</w:t>
            </w:r>
          </w:p>
        </w:tc>
        <w:tc>
          <w:tcPr>
            <w:tcW w:w="1188" w:type="dxa"/>
            <w:tcBorders>
              <w:top w:val="nil"/>
              <w:left w:val="nil"/>
              <w:bottom w:val="single" w:sz="8" w:space="0" w:color="auto"/>
              <w:right w:val="single" w:sz="8" w:space="0" w:color="auto"/>
            </w:tcBorders>
            <w:shd w:val="clear" w:color="auto" w:fill="auto"/>
            <w:noWrap/>
            <w:vAlign w:val="center"/>
            <w:hideMark/>
          </w:tcPr>
          <w:p w14:paraId="3C3F9648" w14:textId="4A9B27BA" w:rsidR="00146E86" w:rsidRPr="00005453" w:rsidRDefault="00146E86" w:rsidP="00146E86">
            <w:pPr>
              <w:jc w:val="right"/>
              <w:rPr>
                <w:color w:val="000000"/>
                <w:sz w:val="18"/>
                <w:szCs w:val="18"/>
                <w:lang w:eastAsia="tr-TR"/>
              </w:rPr>
            </w:pPr>
            <w:r w:rsidRPr="00005453">
              <w:rPr>
                <w:color w:val="000000"/>
                <w:sz w:val="18"/>
                <w:szCs w:val="22"/>
              </w:rPr>
              <w:t>18,570</w:t>
            </w:r>
          </w:p>
        </w:tc>
        <w:tc>
          <w:tcPr>
            <w:tcW w:w="956" w:type="dxa"/>
            <w:tcBorders>
              <w:top w:val="nil"/>
              <w:left w:val="nil"/>
              <w:bottom w:val="single" w:sz="8" w:space="0" w:color="auto"/>
              <w:right w:val="single" w:sz="8" w:space="0" w:color="auto"/>
            </w:tcBorders>
            <w:shd w:val="clear" w:color="auto" w:fill="auto"/>
            <w:noWrap/>
            <w:vAlign w:val="center"/>
            <w:hideMark/>
          </w:tcPr>
          <w:p w14:paraId="6E750C6A" w14:textId="3ADDFA21" w:rsidR="00146E86" w:rsidRPr="00005453" w:rsidRDefault="00146E86" w:rsidP="00146E86">
            <w:pPr>
              <w:jc w:val="right"/>
              <w:rPr>
                <w:color w:val="000000"/>
                <w:sz w:val="18"/>
                <w:szCs w:val="18"/>
                <w:lang w:eastAsia="tr-TR"/>
              </w:rPr>
            </w:pPr>
            <w:r w:rsidRPr="00005453">
              <w:rPr>
                <w:color w:val="000000"/>
                <w:sz w:val="18"/>
                <w:szCs w:val="22"/>
              </w:rPr>
              <w:t>12,267</w:t>
            </w:r>
          </w:p>
        </w:tc>
        <w:tc>
          <w:tcPr>
            <w:tcW w:w="956" w:type="dxa"/>
            <w:tcBorders>
              <w:top w:val="nil"/>
              <w:left w:val="nil"/>
              <w:bottom w:val="single" w:sz="8" w:space="0" w:color="auto"/>
              <w:right w:val="single" w:sz="8" w:space="0" w:color="auto"/>
            </w:tcBorders>
            <w:shd w:val="clear" w:color="auto" w:fill="auto"/>
            <w:noWrap/>
            <w:vAlign w:val="center"/>
            <w:hideMark/>
          </w:tcPr>
          <w:p w14:paraId="1B6A2A8F" w14:textId="35AED388" w:rsidR="00146E86" w:rsidRPr="00005453" w:rsidRDefault="00146E86" w:rsidP="00146E86">
            <w:pPr>
              <w:jc w:val="right"/>
              <w:rPr>
                <w:color w:val="000000"/>
                <w:sz w:val="18"/>
                <w:szCs w:val="18"/>
                <w:lang w:eastAsia="tr-TR"/>
              </w:rPr>
            </w:pPr>
            <w:r w:rsidRPr="00005453">
              <w:rPr>
                <w:color w:val="000000"/>
                <w:sz w:val="18"/>
                <w:szCs w:val="22"/>
              </w:rPr>
              <w:t>-</w:t>
            </w:r>
          </w:p>
        </w:tc>
        <w:tc>
          <w:tcPr>
            <w:tcW w:w="1153" w:type="dxa"/>
            <w:tcBorders>
              <w:top w:val="nil"/>
              <w:left w:val="nil"/>
              <w:bottom w:val="single" w:sz="8" w:space="0" w:color="auto"/>
              <w:right w:val="single" w:sz="8" w:space="0" w:color="auto"/>
            </w:tcBorders>
            <w:shd w:val="clear" w:color="auto" w:fill="auto"/>
            <w:noWrap/>
            <w:vAlign w:val="center"/>
            <w:hideMark/>
          </w:tcPr>
          <w:p w14:paraId="52EF60BA" w14:textId="095463CE" w:rsidR="00146E86" w:rsidRPr="00005453" w:rsidRDefault="00146E86" w:rsidP="00146E86">
            <w:pPr>
              <w:jc w:val="right"/>
              <w:rPr>
                <w:color w:val="000000"/>
                <w:sz w:val="18"/>
                <w:szCs w:val="18"/>
                <w:lang w:eastAsia="tr-TR"/>
              </w:rPr>
            </w:pPr>
            <w:r w:rsidRPr="00005453">
              <w:rPr>
                <w:color w:val="000000"/>
                <w:sz w:val="18"/>
                <w:szCs w:val="22"/>
              </w:rPr>
              <w:t>-</w:t>
            </w:r>
          </w:p>
        </w:tc>
      </w:tr>
      <w:bookmarkEnd w:id="63"/>
    </w:tbl>
    <w:p w14:paraId="63773199" w14:textId="5C259A14" w:rsidR="00C25473" w:rsidRPr="00005453" w:rsidRDefault="00C25473" w:rsidP="00C25473">
      <w:pPr>
        <w:rPr>
          <w:b/>
          <w:szCs w:val="16"/>
        </w:rPr>
      </w:pPr>
    </w:p>
    <w:tbl>
      <w:tblPr>
        <w:tblW w:w="10055" w:type="dxa"/>
        <w:tblCellMar>
          <w:left w:w="70" w:type="dxa"/>
          <w:right w:w="70" w:type="dxa"/>
        </w:tblCellMar>
        <w:tblLook w:val="04A0" w:firstRow="1" w:lastRow="0" w:firstColumn="1" w:lastColumn="0" w:noHBand="0" w:noVBand="1"/>
      </w:tblPr>
      <w:tblGrid>
        <w:gridCol w:w="450"/>
        <w:gridCol w:w="1680"/>
        <w:gridCol w:w="1404"/>
        <w:gridCol w:w="1102"/>
        <w:gridCol w:w="1166"/>
        <w:gridCol w:w="1134"/>
        <w:gridCol w:w="992"/>
        <w:gridCol w:w="993"/>
        <w:gridCol w:w="1134"/>
      </w:tblGrid>
      <w:tr w:rsidR="00636021" w:rsidRPr="00005453" w14:paraId="4032B3E2" w14:textId="77777777" w:rsidTr="00BD1BED">
        <w:trPr>
          <w:divId w:val="1653832926"/>
          <w:trHeight w:val="704"/>
        </w:trPr>
        <w:tc>
          <w:tcPr>
            <w:tcW w:w="450" w:type="dxa"/>
            <w:tcBorders>
              <w:top w:val="single" w:sz="8" w:space="0" w:color="auto"/>
              <w:left w:val="single" w:sz="8" w:space="0" w:color="auto"/>
              <w:bottom w:val="single" w:sz="8" w:space="0" w:color="auto"/>
              <w:right w:val="nil"/>
            </w:tcBorders>
            <w:shd w:val="clear" w:color="auto" w:fill="auto"/>
            <w:noWrap/>
            <w:vAlign w:val="center"/>
            <w:hideMark/>
          </w:tcPr>
          <w:p w14:paraId="1011505D" w14:textId="60CDC624" w:rsidR="00636021" w:rsidRPr="00005453" w:rsidRDefault="00636021" w:rsidP="00636021">
            <w:pPr>
              <w:rPr>
                <w:color w:val="000000"/>
                <w:sz w:val="18"/>
                <w:szCs w:val="18"/>
                <w:lang w:eastAsia="tr-TR"/>
              </w:rPr>
            </w:pPr>
            <w:r w:rsidRPr="00005453">
              <w:rPr>
                <w:color w:val="000000"/>
                <w:sz w:val="18"/>
                <w:szCs w:val="18"/>
                <w:lang w:eastAsia="tr-TR"/>
              </w:rPr>
              <w:t> </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14:paraId="0344AE2B" w14:textId="77777777" w:rsidR="00636021" w:rsidRPr="00005453" w:rsidRDefault="00636021" w:rsidP="00636021">
            <w:pPr>
              <w:rPr>
                <w:b/>
                <w:bCs/>
                <w:color w:val="000000"/>
                <w:sz w:val="18"/>
                <w:szCs w:val="18"/>
                <w:lang w:eastAsia="tr-TR"/>
              </w:rPr>
            </w:pPr>
            <w:r w:rsidRPr="00005453">
              <w:rPr>
                <w:b/>
                <w:bCs/>
                <w:color w:val="000000"/>
                <w:sz w:val="18"/>
                <w:szCs w:val="18"/>
                <w:lang w:eastAsia="tr-TR"/>
              </w:rPr>
              <w:t>Önceki Dönem</w:t>
            </w:r>
          </w:p>
        </w:tc>
        <w:tc>
          <w:tcPr>
            <w:tcW w:w="1404" w:type="dxa"/>
            <w:tcBorders>
              <w:top w:val="single" w:sz="8" w:space="0" w:color="auto"/>
              <w:left w:val="nil"/>
              <w:bottom w:val="single" w:sz="8" w:space="0" w:color="auto"/>
              <w:right w:val="single" w:sz="8" w:space="0" w:color="auto"/>
            </w:tcBorders>
            <w:shd w:val="clear" w:color="auto" w:fill="auto"/>
            <w:vAlign w:val="center"/>
            <w:hideMark/>
          </w:tcPr>
          <w:p w14:paraId="7CDA6BCD" w14:textId="77777777" w:rsidR="00636021" w:rsidRPr="00005453" w:rsidRDefault="00636021" w:rsidP="00BD1BED">
            <w:pPr>
              <w:jc w:val="right"/>
              <w:rPr>
                <w:color w:val="000000"/>
                <w:sz w:val="18"/>
                <w:szCs w:val="18"/>
                <w:lang w:eastAsia="tr-TR"/>
              </w:rPr>
            </w:pPr>
            <w:r w:rsidRPr="00005453">
              <w:rPr>
                <w:color w:val="000000"/>
                <w:sz w:val="18"/>
                <w:szCs w:val="18"/>
                <w:lang w:eastAsia="tr-TR"/>
              </w:rPr>
              <w:t>Teminatsız alacaklar: TMS uyarınca değerlenmiş tutar</w:t>
            </w:r>
          </w:p>
        </w:tc>
        <w:tc>
          <w:tcPr>
            <w:tcW w:w="1102" w:type="dxa"/>
            <w:tcBorders>
              <w:top w:val="single" w:sz="8" w:space="0" w:color="auto"/>
              <w:left w:val="nil"/>
              <w:bottom w:val="single" w:sz="8" w:space="0" w:color="auto"/>
              <w:right w:val="single" w:sz="8" w:space="0" w:color="auto"/>
            </w:tcBorders>
            <w:shd w:val="clear" w:color="auto" w:fill="auto"/>
            <w:vAlign w:val="center"/>
            <w:hideMark/>
          </w:tcPr>
          <w:p w14:paraId="6266A2EA" w14:textId="77777777" w:rsidR="00636021" w:rsidRPr="00005453" w:rsidRDefault="00636021" w:rsidP="00BD1BED">
            <w:pPr>
              <w:jc w:val="right"/>
              <w:rPr>
                <w:color w:val="000000"/>
                <w:sz w:val="18"/>
                <w:szCs w:val="18"/>
                <w:lang w:eastAsia="tr-TR"/>
              </w:rPr>
            </w:pPr>
            <w:r w:rsidRPr="00005453">
              <w:rPr>
                <w:color w:val="000000"/>
                <w:sz w:val="18"/>
                <w:szCs w:val="18"/>
                <w:lang w:eastAsia="tr-TR"/>
              </w:rPr>
              <w:t>Teminat ile korunan alacaklar</w:t>
            </w:r>
          </w:p>
        </w:tc>
        <w:tc>
          <w:tcPr>
            <w:tcW w:w="1166" w:type="dxa"/>
            <w:tcBorders>
              <w:top w:val="single" w:sz="8" w:space="0" w:color="auto"/>
              <w:left w:val="nil"/>
              <w:bottom w:val="single" w:sz="8" w:space="0" w:color="auto"/>
              <w:right w:val="single" w:sz="8" w:space="0" w:color="auto"/>
            </w:tcBorders>
            <w:shd w:val="clear" w:color="auto" w:fill="auto"/>
            <w:vAlign w:val="center"/>
            <w:hideMark/>
          </w:tcPr>
          <w:p w14:paraId="1684DD20" w14:textId="77777777" w:rsidR="00636021" w:rsidRPr="00005453" w:rsidRDefault="00636021" w:rsidP="00BD1BED">
            <w:pPr>
              <w:jc w:val="right"/>
              <w:rPr>
                <w:color w:val="000000"/>
                <w:sz w:val="18"/>
                <w:szCs w:val="18"/>
                <w:lang w:eastAsia="tr-TR"/>
              </w:rPr>
            </w:pPr>
            <w:r w:rsidRPr="00005453">
              <w:rPr>
                <w:color w:val="000000"/>
                <w:sz w:val="18"/>
                <w:szCs w:val="18"/>
                <w:lang w:eastAsia="tr-TR"/>
              </w:rPr>
              <w:t>Teminat ile korunan alacakların teminatlı kısımları</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223E09B" w14:textId="77777777" w:rsidR="00636021" w:rsidRPr="00005453" w:rsidRDefault="00636021" w:rsidP="00BD1BED">
            <w:pPr>
              <w:jc w:val="right"/>
              <w:rPr>
                <w:color w:val="000000"/>
                <w:sz w:val="18"/>
                <w:szCs w:val="18"/>
                <w:lang w:eastAsia="tr-TR"/>
              </w:rPr>
            </w:pPr>
            <w:r w:rsidRPr="00005453">
              <w:rPr>
                <w:color w:val="000000"/>
                <w:sz w:val="18"/>
                <w:szCs w:val="18"/>
                <w:lang w:eastAsia="tr-TR"/>
              </w:rPr>
              <w:t>Finansal garantiler ile korunan alacaklar</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56C54D4" w14:textId="77777777" w:rsidR="00636021" w:rsidRPr="00005453" w:rsidRDefault="00636021" w:rsidP="00BD1BED">
            <w:pPr>
              <w:jc w:val="right"/>
              <w:rPr>
                <w:color w:val="000000"/>
                <w:sz w:val="18"/>
                <w:szCs w:val="18"/>
                <w:lang w:eastAsia="tr-TR"/>
              </w:rPr>
            </w:pPr>
            <w:r w:rsidRPr="00005453">
              <w:rPr>
                <w:color w:val="000000"/>
                <w:sz w:val="18"/>
                <w:szCs w:val="18"/>
                <w:lang w:eastAsia="tr-TR"/>
              </w:rPr>
              <w:t>Finansal garantiler ile korunan alacakların teminatlı kısımları</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17FF1D8A" w14:textId="77777777" w:rsidR="00636021" w:rsidRPr="00005453" w:rsidRDefault="00636021" w:rsidP="00BD1BED">
            <w:pPr>
              <w:jc w:val="right"/>
              <w:rPr>
                <w:color w:val="000000"/>
                <w:sz w:val="18"/>
                <w:szCs w:val="18"/>
                <w:lang w:eastAsia="tr-TR"/>
              </w:rPr>
            </w:pPr>
            <w:r w:rsidRPr="00005453">
              <w:rPr>
                <w:color w:val="000000"/>
                <w:sz w:val="18"/>
                <w:szCs w:val="18"/>
                <w:lang w:eastAsia="tr-TR"/>
              </w:rPr>
              <w:t>Kredi türevleri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311CFD6B" w14:textId="77777777" w:rsidR="00636021" w:rsidRPr="00005453" w:rsidRDefault="00636021" w:rsidP="00BD1BED">
            <w:pPr>
              <w:jc w:val="right"/>
              <w:rPr>
                <w:color w:val="000000"/>
                <w:sz w:val="18"/>
                <w:szCs w:val="18"/>
                <w:lang w:eastAsia="tr-TR"/>
              </w:rPr>
            </w:pPr>
            <w:r w:rsidRPr="00005453">
              <w:rPr>
                <w:color w:val="000000"/>
                <w:sz w:val="18"/>
                <w:szCs w:val="18"/>
                <w:lang w:eastAsia="tr-TR"/>
              </w:rPr>
              <w:t>Kredi türevleri ile korunana alacakların teminatlı kısımları</w:t>
            </w:r>
          </w:p>
        </w:tc>
      </w:tr>
      <w:tr w:rsidR="00126177" w:rsidRPr="00005453" w14:paraId="102DB775" w14:textId="77777777" w:rsidTr="00126177">
        <w:trPr>
          <w:divId w:val="1653832926"/>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742BBFE9" w14:textId="77777777" w:rsidR="00126177" w:rsidRPr="00005453" w:rsidRDefault="00126177" w:rsidP="00126177">
            <w:pPr>
              <w:jc w:val="right"/>
              <w:rPr>
                <w:color w:val="000000"/>
                <w:sz w:val="18"/>
                <w:szCs w:val="18"/>
                <w:lang w:eastAsia="tr-TR"/>
              </w:rPr>
            </w:pPr>
            <w:r w:rsidRPr="00005453">
              <w:rPr>
                <w:color w:val="000000"/>
                <w:sz w:val="18"/>
                <w:szCs w:val="18"/>
                <w:lang w:eastAsia="tr-TR"/>
              </w:rPr>
              <w:t>1</w:t>
            </w:r>
          </w:p>
        </w:tc>
        <w:tc>
          <w:tcPr>
            <w:tcW w:w="1680" w:type="dxa"/>
            <w:tcBorders>
              <w:top w:val="nil"/>
              <w:left w:val="nil"/>
              <w:bottom w:val="single" w:sz="8" w:space="0" w:color="auto"/>
              <w:right w:val="single" w:sz="8" w:space="0" w:color="auto"/>
            </w:tcBorders>
            <w:shd w:val="clear" w:color="auto" w:fill="auto"/>
            <w:vAlign w:val="center"/>
            <w:hideMark/>
          </w:tcPr>
          <w:p w14:paraId="4D6E538A" w14:textId="77777777" w:rsidR="00126177" w:rsidRPr="00005453" w:rsidRDefault="00126177" w:rsidP="00126177">
            <w:pPr>
              <w:rPr>
                <w:color w:val="000000"/>
                <w:sz w:val="18"/>
                <w:szCs w:val="18"/>
                <w:lang w:eastAsia="tr-TR"/>
              </w:rPr>
            </w:pPr>
            <w:r w:rsidRPr="00005453">
              <w:rPr>
                <w:color w:val="000000"/>
                <w:sz w:val="18"/>
                <w:szCs w:val="18"/>
                <w:lang w:eastAsia="tr-TR"/>
              </w:rPr>
              <w:t>Krediler</w:t>
            </w:r>
          </w:p>
        </w:tc>
        <w:tc>
          <w:tcPr>
            <w:tcW w:w="1404" w:type="dxa"/>
            <w:tcBorders>
              <w:top w:val="nil"/>
              <w:left w:val="nil"/>
              <w:bottom w:val="single" w:sz="8" w:space="0" w:color="auto"/>
              <w:right w:val="single" w:sz="8" w:space="0" w:color="auto"/>
            </w:tcBorders>
            <w:shd w:val="clear" w:color="auto" w:fill="auto"/>
            <w:noWrap/>
            <w:vAlign w:val="center"/>
            <w:hideMark/>
          </w:tcPr>
          <w:p w14:paraId="1C87C5C1" w14:textId="7C425358" w:rsidR="00126177" w:rsidRPr="00005453" w:rsidRDefault="00126177" w:rsidP="00126177">
            <w:pPr>
              <w:jc w:val="right"/>
              <w:rPr>
                <w:color w:val="000000"/>
                <w:sz w:val="18"/>
                <w:szCs w:val="18"/>
                <w:lang w:eastAsia="tr-TR"/>
              </w:rPr>
            </w:pPr>
            <w:r w:rsidRPr="00005453">
              <w:rPr>
                <w:color w:val="000000"/>
                <w:sz w:val="18"/>
                <w:szCs w:val="18"/>
                <w:lang w:eastAsia="tr-TR"/>
              </w:rPr>
              <w:t>170,676,574</w:t>
            </w:r>
          </w:p>
        </w:tc>
        <w:tc>
          <w:tcPr>
            <w:tcW w:w="1102" w:type="dxa"/>
            <w:tcBorders>
              <w:top w:val="nil"/>
              <w:left w:val="nil"/>
              <w:bottom w:val="single" w:sz="8" w:space="0" w:color="auto"/>
              <w:right w:val="single" w:sz="8" w:space="0" w:color="auto"/>
            </w:tcBorders>
            <w:shd w:val="clear" w:color="auto" w:fill="auto"/>
            <w:noWrap/>
            <w:vAlign w:val="center"/>
            <w:hideMark/>
          </w:tcPr>
          <w:p w14:paraId="1FBA30D1" w14:textId="17845C0B" w:rsidR="00126177" w:rsidRPr="00005453" w:rsidRDefault="00126177" w:rsidP="00126177">
            <w:pPr>
              <w:jc w:val="right"/>
              <w:rPr>
                <w:color w:val="000000"/>
                <w:sz w:val="18"/>
                <w:szCs w:val="18"/>
                <w:lang w:eastAsia="tr-TR"/>
              </w:rPr>
            </w:pPr>
            <w:r w:rsidRPr="00005453">
              <w:rPr>
                <w:color w:val="000000"/>
                <w:sz w:val="18"/>
                <w:szCs w:val="18"/>
                <w:lang w:eastAsia="tr-TR"/>
              </w:rPr>
              <w:t>150,200,055</w:t>
            </w:r>
          </w:p>
        </w:tc>
        <w:tc>
          <w:tcPr>
            <w:tcW w:w="1166" w:type="dxa"/>
            <w:tcBorders>
              <w:top w:val="nil"/>
              <w:left w:val="nil"/>
              <w:bottom w:val="single" w:sz="8" w:space="0" w:color="auto"/>
              <w:right w:val="single" w:sz="8" w:space="0" w:color="auto"/>
            </w:tcBorders>
            <w:shd w:val="clear" w:color="auto" w:fill="auto"/>
            <w:noWrap/>
            <w:vAlign w:val="center"/>
            <w:hideMark/>
          </w:tcPr>
          <w:p w14:paraId="44EF8224" w14:textId="4BCBDC40" w:rsidR="00126177" w:rsidRPr="00005453" w:rsidRDefault="00126177" w:rsidP="00126177">
            <w:pPr>
              <w:jc w:val="right"/>
              <w:rPr>
                <w:color w:val="000000"/>
                <w:sz w:val="18"/>
                <w:szCs w:val="18"/>
                <w:lang w:eastAsia="tr-TR"/>
              </w:rPr>
            </w:pPr>
            <w:r w:rsidRPr="00005453">
              <w:rPr>
                <w:color w:val="000000"/>
                <w:sz w:val="18"/>
                <w:szCs w:val="18"/>
                <w:lang w:eastAsia="tr-TR"/>
              </w:rPr>
              <w:t>39,456,429</w:t>
            </w:r>
          </w:p>
        </w:tc>
        <w:tc>
          <w:tcPr>
            <w:tcW w:w="1134" w:type="dxa"/>
            <w:tcBorders>
              <w:top w:val="nil"/>
              <w:left w:val="nil"/>
              <w:bottom w:val="single" w:sz="8" w:space="0" w:color="auto"/>
              <w:right w:val="single" w:sz="8" w:space="0" w:color="auto"/>
            </w:tcBorders>
            <w:shd w:val="clear" w:color="auto" w:fill="auto"/>
            <w:noWrap/>
            <w:vAlign w:val="center"/>
            <w:hideMark/>
          </w:tcPr>
          <w:p w14:paraId="33606C1B" w14:textId="66CD5D50" w:rsidR="00126177" w:rsidRPr="00005453" w:rsidRDefault="00126177" w:rsidP="00126177">
            <w:pPr>
              <w:jc w:val="right"/>
              <w:rPr>
                <w:color w:val="000000"/>
                <w:sz w:val="18"/>
                <w:szCs w:val="18"/>
                <w:lang w:eastAsia="tr-TR"/>
              </w:rPr>
            </w:pPr>
            <w:r w:rsidRPr="00005453">
              <w:rPr>
                <w:color w:val="000000"/>
                <w:sz w:val="18"/>
                <w:szCs w:val="18"/>
                <w:lang w:eastAsia="tr-TR"/>
              </w:rPr>
              <w:t>12,368,218</w:t>
            </w:r>
          </w:p>
        </w:tc>
        <w:tc>
          <w:tcPr>
            <w:tcW w:w="992" w:type="dxa"/>
            <w:tcBorders>
              <w:top w:val="nil"/>
              <w:left w:val="nil"/>
              <w:bottom w:val="single" w:sz="8" w:space="0" w:color="auto"/>
              <w:right w:val="single" w:sz="8" w:space="0" w:color="auto"/>
            </w:tcBorders>
            <w:shd w:val="clear" w:color="auto" w:fill="auto"/>
            <w:noWrap/>
            <w:vAlign w:val="center"/>
            <w:hideMark/>
          </w:tcPr>
          <w:p w14:paraId="15201729" w14:textId="6F81ACA3" w:rsidR="00126177" w:rsidRPr="00005453" w:rsidRDefault="00126177" w:rsidP="00126177">
            <w:pPr>
              <w:jc w:val="right"/>
              <w:rPr>
                <w:color w:val="000000"/>
                <w:sz w:val="18"/>
                <w:szCs w:val="18"/>
                <w:lang w:eastAsia="tr-TR"/>
              </w:rPr>
            </w:pPr>
            <w:r w:rsidRPr="00005453">
              <w:rPr>
                <w:color w:val="000000"/>
                <w:sz w:val="18"/>
                <w:szCs w:val="18"/>
                <w:lang w:eastAsia="tr-TR"/>
              </w:rPr>
              <w:t>10,115,540</w:t>
            </w:r>
          </w:p>
        </w:tc>
        <w:tc>
          <w:tcPr>
            <w:tcW w:w="993" w:type="dxa"/>
            <w:tcBorders>
              <w:top w:val="nil"/>
              <w:left w:val="nil"/>
              <w:bottom w:val="single" w:sz="8" w:space="0" w:color="auto"/>
              <w:right w:val="single" w:sz="8" w:space="0" w:color="auto"/>
            </w:tcBorders>
            <w:shd w:val="clear" w:color="auto" w:fill="auto"/>
            <w:noWrap/>
            <w:vAlign w:val="center"/>
            <w:hideMark/>
          </w:tcPr>
          <w:p w14:paraId="0B254116" w14:textId="5CC8DC9A"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F3E9D85" w14:textId="20C3F5A9" w:rsidR="00126177" w:rsidRPr="00005453" w:rsidRDefault="00126177" w:rsidP="00126177">
            <w:pPr>
              <w:jc w:val="right"/>
              <w:rPr>
                <w:color w:val="000000"/>
                <w:sz w:val="18"/>
                <w:szCs w:val="18"/>
                <w:lang w:eastAsia="tr-TR"/>
              </w:rPr>
            </w:pPr>
            <w:r w:rsidRPr="00005453">
              <w:rPr>
                <w:color w:val="000000"/>
                <w:sz w:val="18"/>
                <w:szCs w:val="18"/>
                <w:lang w:eastAsia="tr-TR"/>
              </w:rPr>
              <w:t>-</w:t>
            </w:r>
          </w:p>
        </w:tc>
      </w:tr>
      <w:tr w:rsidR="00126177" w:rsidRPr="00005453" w14:paraId="39FF8B4B" w14:textId="77777777" w:rsidTr="00126177">
        <w:trPr>
          <w:divId w:val="1653832926"/>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44E3C990" w14:textId="77777777" w:rsidR="00126177" w:rsidRPr="00005453" w:rsidRDefault="00126177" w:rsidP="00126177">
            <w:pPr>
              <w:jc w:val="right"/>
              <w:rPr>
                <w:color w:val="000000"/>
                <w:sz w:val="18"/>
                <w:szCs w:val="18"/>
                <w:lang w:eastAsia="tr-TR"/>
              </w:rPr>
            </w:pPr>
            <w:r w:rsidRPr="00005453">
              <w:rPr>
                <w:color w:val="000000"/>
                <w:sz w:val="18"/>
                <w:szCs w:val="18"/>
                <w:lang w:eastAsia="tr-TR"/>
              </w:rPr>
              <w:t>2</w:t>
            </w:r>
          </w:p>
        </w:tc>
        <w:tc>
          <w:tcPr>
            <w:tcW w:w="1680" w:type="dxa"/>
            <w:tcBorders>
              <w:top w:val="nil"/>
              <w:left w:val="nil"/>
              <w:bottom w:val="single" w:sz="8" w:space="0" w:color="auto"/>
              <w:right w:val="single" w:sz="8" w:space="0" w:color="auto"/>
            </w:tcBorders>
            <w:shd w:val="clear" w:color="auto" w:fill="auto"/>
            <w:vAlign w:val="center"/>
            <w:hideMark/>
          </w:tcPr>
          <w:p w14:paraId="71B86CC8" w14:textId="77777777" w:rsidR="00126177" w:rsidRPr="00005453" w:rsidRDefault="00126177" w:rsidP="00126177">
            <w:pPr>
              <w:rPr>
                <w:color w:val="000000"/>
                <w:sz w:val="18"/>
                <w:szCs w:val="18"/>
                <w:lang w:eastAsia="tr-TR"/>
              </w:rPr>
            </w:pPr>
            <w:r w:rsidRPr="00005453">
              <w:rPr>
                <w:color w:val="000000"/>
                <w:sz w:val="18"/>
                <w:szCs w:val="18"/>
                <w:lang w:eastAsia="tr-TR"/>
              </w:rPr>
              <w:t>Borçlanma araçları</w:t>
            </w:r>
          </w:p>
        </w:tc>
        <w:tc>
          <w:tcPr>
            <w:tcW w:w="1404" w:type="dxa"/>
            <w:tcBorders>
              <w:top w:val="nil"/>
              <w:left w:val="nil"/>
              <w:bottom w:val="single" w:sz="8" w:space="0" w:color="auto"/>
              <w:right w:val="single" w:sz="8" w:space="0" w:color="auto"/>
            </w:tcBorders>
            <w:shd w:val="clear" w:color="auto" w:fill="auto"/>
            <w:noWrap/>
            <w:vAlign w:val="center"/>
            <w:hideMark/>
          </w:tcPr>
          <w:p w14:paraId="4B321BD5" w14:textId="18B41596" w:rsidR="00126177" w:rsidRPr="00005453" w:rsidRDefault="00126177" w:rsidP="00126177">
            <w:pPr>
              <w:jc w:val="right"/>
              <w:rPr>
                <w:color w:val="000000"/>
                <w:sz w:val="18"/>
                <w:szCs w:val="18"/>
                <w:lang w:eastAsia="tr-TR"/>
              </w:rPr>
            </w:pPr>
            <w:r w:rsidRPr="00005453">
              <w:rPr>
                <w:color w:val="000000"/>
                <w:sz w:val="18"/>
                <w:szCs w:val="18"/>
                <w:lang w:eastAsia="tr-TR"/>
              </w:rPr>
              <w:t>118,497,031</w:t>
            </w:r>
          </w:p>
        </w:tc>
        <w:tc>
          <w:tcPr>
            <w:tcW w:w="1102" w:type="dxa"/>
            <w:tcBorders>
              <w:top w:val="nil"/>
              <w:left w:val="nil"/>
              <w:bottom w:val="single" w:sz="8" w:space="0" w:color="auto"/>
              <w:right w:val="single" w:sz="8" w:space="0" w:color="auto"/>
            </w:tcBorders>
            <w:shd w:val="clear" w:color="auto" w:fill="auto"/>
            <w:noWrap/>
            <w:vAlign w:val="center"/>
            <w:hideMark/>
          </w:tcPr>
          <w:p w14:paraId="5C6298DD" w14:textId="4FACD004"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66" w:type="dxa"/>
            <w:tcBorders>
              <w:top w:val="nil"/>
              <w:left w:val="nil"/>
              <w:bottom w:val="single" w:sz="8" w:space="0" w:color="auto"/>
              <w:right w:val="single" w:sz="8" w:space="0" w:color="auto"/>
            </w:tcBorders>
            <w:shd w:val="clear" w:color="auto" w:fill="auto"/>
            <w:noWrap/>
            <w:vAlign w:val="center"/>
            <w:hideMark/>
          </w:tcPr>
          <w:p w14:paraId="4D8F31FF" w14:textId="33B50FF5"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97DEA11" w14:textId="4431F010"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E894D44" w14:textId="4AD36948"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3466014C" w14:textId="2B7AD656"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84C810C" w14:textId="227D594A" w:rsidR="00126177" w:rsidRPr="00005453" w:rsidRDefault="00126177" w:rsidP="00126177">
            <w:pPr>
              <w:jc w:val="right"/>
              <w:rPr>
                <w:color w:val="000000"/>
                <w:sz w:val="18"/>
                <w:szCs w:val="18"/>
                <w:lang w:eastAsia="tr-TR"/>
              </w:rPr>
            </w:pPr>
            <w:r w:rsidRPr="00005453">
              <w:rPr>
                <w:color w:val="000000"/>
                <w:sz w:val="18"/>
                <w:szCs w:val="18"/>
                <w:lang w:eastAsia="tr-TR"/>
              </w:rPr>
              <w:t>-</w:t>
            </w:r>
          </w:p>
        </w:tc>
      </w:tr>
      <w:tr w:rsidR="00126177" w:rsidRPr="00005453" w14:paraId="07CD56B4" w14:textId="77777777" w:rsidTr="00126177">
        <w:trPr>
          <w:divId w:val="1653832926"/>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1B8F7F3C" w14:textId="77777777" w:rsidR="00126177" w:rsidRPr="00005453" w:rsidRDefault="00126177" w:rsidP="00126177">
            <w:pPr>
              <w:jc w:val="right"/>
              <w:rPr>
                <w:b/>
                <w:bCs/>
                <w:color w:val="000000"/>
                <w:sz w:val="18"/>
                <w:szCs w:val="18"/>
                <w:lang w:eastAsia="tr-TR"/>
              </w:rPr>
            </w:pPr>
            <w:r w:rsidRPr="00005453">
              <w:rPr>
                <w:b/>
                <w:bCs/>
                <w:color w:val="000000"/>
                <w:sz w:val="18"/>
                <w:szCs w:val="18"/>
                <w:lang w:eastAsia="tr-TR"/>
              </w:rPr>
              <w:t>3</w:t>
            </w:r>
          </w:p>
        </w:tc>
        <w:tc>
          <w:tcPr>
            <w:tcW w:w="1680" w:type="dxa"/>
            <w:tcBorders>
              <w:top w:val="nil"/>
              <w:left w:val="nil"/>
              <w:bottom w:val="single" w:sz="8" w:space="0" w:color="auto"/>
              <w:right w:val="single" w:sz="8" w:space="0" w:color="auto"/>
            </w:tcBorders>
            <w:shd w:val="clear" w:color="auto" w:fill="auto"/>
            <w:noWrap/>
            <w:vAlign w:val="center"/>
            <w:hideMark/>
          </w:tcPr>
          <w:p w14:paraId="6B10E31B" w14:textId="77777777" w:rsidR="00126177" w:rsidRPr="00005453" w:rsidRDefault="00126177" w:rsidP="00126177">
            <w:pPr>
              <w:rPr>
                <w:b/>
                <w:bCs/>
                <w:color w:val="000000"/>
                <w:sz w:val="18"/>
                <w:szCs w:val="18"/>
                <w:lang w:eastAsia="tr-TR"/>
              </w:rPr>
            </w:pPr>
            <w:r w:rsidRPr="00005453">
              <w:rPr>
                <w:b/>
                <w:bCs/>
                <w:color w:val="000000"/>
                <w:sz w:val="18"/>
                <w:szCs w:val="18"/>
                <w:lang w:eastAsia="tr-TR"/>
              </w:rPr>
              <w:t>Toplam</w:t>
            </w:r>
          </w:p>
        </w:tc>
        <w:tc>
          <w:tcPr>
            <w:tcW w:w="1404" w:type="dxa"/>
            <w:tcBorders>
              <w:top w:val="nil"/>
              <w:left w:val="nil"/>
              <w:bottom w:val="single" w:sz="8" w:space="0" w:color="auto"/>
              <w:right w:val="single" w:sz="8" w:space="0" w:color="auto"/>
            </w:tcBorders>
            <w:shd w:val="clear" w:color="auto" w:fill="auto"/>
            <w:noWrap/>
            <w:vAlign w:val="center"/>
            <w:hideMark/>
          </w:tcPr>
          <w:p w14:paraId="01E57980" w14:textId="3DD740A1" w:rsidR="00126177" w:rsidRPr="00005453" w:rsidRDefault="00126177" w:rsidP="00126177">
            <w:pPr>
              <w:jc w:val="right"/>
              <w:rPr>
                <w:b/>
                <w:bCs/>
                <w:color w:val="000000"/>
                <w:sz w:val="18"/>
                <w:szCs w:val="18"/>
                <w:lang w:eastAsia="tr-TR"/>
              </w:rPr>
            </w:pPr>
            <w:r w:rsidRPr="00005453">
              <w:rPr>
                <w:b/>
                <w:color w:val="000000"/>
                <w:sz w:val="18"/>
                <w:szCs w:val="18"/>
                <w:lang w:eastAsia="tr-TR"/>
              </w:rPr>
              <w:t>289,173,605</w:t>
            </w:r>
          </w:p>
        </w:tc>
        <w:tc>
          <w:tcPr>
            <w:tcW w:w="1102" w:type="dxa"/>
            <w:tcBorders>
              <w:top w:val="nil"/>
              <w:left w:val="nil"/>
              <w:bottom w:val="single" w:sz="8" w:space="0" w:color="auto"/>
              <w:right w:val="single" w:sz="8" w:space="0" w:color="auto"/>
            </w:tcBorders>
            <w:shd w:val="clear" w:color="auto" w:fill="auto"/>
            <w:noWrap/>
            <w:vAlign w:val="center"/>
            <w:hideMark/>
          </w:tcPr>
          <w:p w14:paraId="5B72CC2F" w14:textId="05D724AD" w:rsidR="00126177" w:rsidRPr="00005453" w:rsidRDefault="00126177" w:rsidP="00126177">
            <w:pPr>
              <w:jc w:val="right"/>
              <w:rPr>
                <w:b/>
                <w:bCs/>
                <w:color w:val="000000"/>
                <w:sz w:val="18"/>
                <w:szCs w:val="18"/>
                <w:lang w:eastAsia="tr-TR"/>
              </w:rPr>
            </w:pPr>
            <w:r w:rsidRPr="00005453">
              <w:rPr>
                <w:b/>
                <w:color w:val="000000"/>
                <w:sz w:val="18"/>
                <w:szCs w:val="18"/>
                <w:lang w:eastAsia="tr-TR"/>
              </w:rPr>
              <w:t>150,200,055</w:t>
            </w:r>
          </w:p>
        </w:tc>
        <w:tc>
          <w:tcPr>
            <w:tcW w:w="1166" w:type="dxa"/>
            <w:tcBorders>
              <w:top w:val="nil"/>
              <w:left w:val="nil"/>
              <w:bottom w:val="single" w:sz="8" w:space="0" w:color="auto"/>
              <w:right w:val="single" w:sz="8" w:space="0" w:color="auto"/>
            </w:tcBorders>
            <w:shd w:val="clear" w:color="auto" w:fill="auto"/>
            <w:noWrap/>
            <w:vAlign w:val="center"/>
            <w:hideMark/>
          </w:tcPr>
          <w:p w14:paraId="5E10191E" w14:textId="29A6BF90" w:rsidR="00126177" w:rsidRPr="00005453" w:rsidRDefault="00126177" w:rsidP="00126177">
            <w:pPr>
              <w:jc w:val="right"/>
              <w:rPr>
                <w:b/>
                <w:bCs/>
                <w:color w:val="000000"/>
                <w:sz w:val="18"/>
                <w:szCs w:val="18"/>
                <w:lang w:eastAsia="tr-TR"/>
              </w:rPr>
            </w:pPr>
            <w:r w:rsidRPr="00005453">
              <w:rPr>
                <w:b/>
                <w:color w:val="000000"/>
                <w:sz w:val="18"/>
                <w:szCs w:val="18"/>
                <w:lang w:eastAsia="tr-TR"/>
              </w:rPr>
              <w:t>39,456,429</w:t>
            </w:r>
          </w:p>
        </w:tc>
        <w:tc>
          <w:tcPr>
            <w:tcW w:w="1134" w:type="dxa"/>
            <w:tcBorders>
              <w:top w:val="nil"/>
              <w:left w:val="nil"/>
              <w:bottom w:val="single" w:sz="8" w:space="0" w:color="auto"/>
              <w:right w:val="single" w:sz="8" w:space="0" w:color="auto"/>
            </w:tcBorders>
            <w:shd w:val="clear" w:color="auto" w:fill="auto"/>
            <w:noWrap/>
            <w:vAlign w:val="center"/>
            <w:hideMark/>
          </w:tcPr>
          <w:p w14:paraId="2AA06FE9" w14:textId="7D0FD26C" w:rsidR="00126177" w:rsidRPr="00005453" w:rsidRDefault="00126177" w:rsidP="00126177">
            <w:pPr>
              <w:jc w:val="right"/>
              <w:rPr>
                <w:b/>
                <w:bCs/>
                <w:color w:val="000000"/>
                <w:sz w:val="18"/>
                <w:szCs w:val="18"/>
                <w:lang w:eastAsia="tr-TR"/>
              </w:rPr>
            </w:pPr>
            <w:r w:rsidRPr="00005453">
              <w:rPr>
                <w:b/>
                <w:color w:val="000000"/>
                <w:sz w:val="18"/>
                <w:szCs w:val="18"/>
                <w:lang w:eastAsia="tr-TR"/>
              </w:rPr>
              <w:t>12,368,218</w:t>
            </w:r>
          </w:p>
        </w:tc>
        <w:tc>
          <w:tcPr>
            <w:tcW w:w="992" w:type="dxa"/>
            <w:tcBorders>
              <w:top w:val="nil"/>
              <w:left w:val="nil"/>
              <w:bottom w:val="single" w:sz="8" w:space="0" w:color="auto"/>
              <w:right w:val="single" w:sz="8" w:space="0" w:color="auto"/>
            </w:tcBorders>
            <w:shd w:val="clear" w:color="auto" w:fill="auto"/>
            <w:noWrap/>
            <w:vAlign w:val="center"/>
            <w:hideMark/>
          </w:tcPr>
          <w:p w14:paraId="67F21994" w14:textId="630874A4" w:rsidR="00126177" w:rsidRPr="00005453" w:rsidRDefault="00126177" w:rsidP="00126177">
            <w:pPr>
              <w:jc w:val="right"/>
              <w:rPr>
                <w:b/>
                <w:bCs/>
                <w:color w:val="000000"/>
                <w:sz w:val="18"/>
                <w:szCs w:val="18"/>
                <w:lang w:eastAsia="tr-TR"/>
              </w:rPr>
            </w:pPr>
            <w:r w:rsidRPr="00005453">
              <w:rPr>
                <w:b/>
                <w:color w:val="000000"/>
                <w:sz w:val="18"/>
                <w:szCs w:val="18"/>
                <w:lang w:eastAsia="tr-TR"/>
              </w:rPr>
              <w:t>10,115,540</w:t>
            </w:r>
          </w:p>
        </w:tc>
        <w:tc>
          <w:tcPr>
            <w:tcW w:w="993" w:type="dxa"/>
            <w:tcBorders>
              <w:top w:val="nil"/>
              <w:left w:val="nil"/>
              <w:bottom w:val="single" w:sz="8" w:space="0" w:color="auto"/>
              <w:right w:val="single" w:sz="8" w:space="0" w:color="auto"/>
            </w:tcBorders>
            <w:shd w:val="clear" w:color="auto" w:fill="auto"/>
            <w:noWrap/>
            <w:vAlign w:val="center"/>
            <w:hideMark/>
          </w:tcPr>
          <w:p w14:paraId="4DCC3E19" w14:textId="566F97B6" w:rsidR="00126177" w:rsidRPr="00005453" w:rsidRDefault="00126177" w:rsidP="00126177">
            <w:pPr>
              <w:jc w:val="right"/>
              <w:rPr>
                <w:b/>
                <w:bCs/>
                <w:color w:val="000000"/>
                <w:sz w:val="18"/>
                <w:szCs w:val="18"/>
                <w:lang w:eastAsia="tr-TR"/>
              </w:rPr>
            </w:pPr>
            <w:r w:rsidRPr="00005453">
              <w:rPr>
                <w:b/>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F771E2C" w14:textId="121BFCAF" w:rsidR="00126177" w:rsidRPr="00005453" w:rsidRDefault="00126177" w:rsidP="00126177">
            <w:pPr>
              <w:jc w:val="right"/>
              <w:rPr>
                <w:b/>
                <w:bCs/>
                <w:color w:val="000000"/>
                <w:sz w:val="18"/>
                <w:szCs w:val="18"/>
                <w:lang w:eastAsia="tr-TR"/>
              </w:rPr>
            </w:pPr>
            <w:r w:rsidRPr="00005453">
              <w:rPr>
                <w:b/>
                <w:color w:val="000000"/>
                <w:sz w:val="18"/>
                <w:szCs w:val="18"/>
                <w:lang w:eastAsia="tr-TR"/>
              </w:rPr>
              <w:t>-</w:t>
            </w:r>
          </w:p>
        </w:tc>
      </w:tr>
      <w:tr w:rsidR="00126177" w:rsidRPr="00005453" w14:paraId="4F6B41F2" w14:textId="77777777" w:rsidTr="00126177">
        <w:trPr>
          <w:divId w:val="1653832926"/>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6B83ED43" w14:textId="77777777" w:rsidR="00126177" w:rsidRPr="00005453" w:rsidRDefault="00126177" w:rsidP="00126177">
            <w:pPr>
              <w:jc w:val="right"/>
              <w:rPr>
                <w:color w:val="000000"/>
                <w:sz w:val="18"/>
                <w:szCs w:val="18"/>
                <w:lang w:eastAsia="tr-TR"/>
              </w:rPr>
            </w:pPr>
            <w:r w:rsidRPr="00005453">
              <w:rPr>
                <w:color w:val="000000"/>
                <w:sz w:val="18"/>
                <w:szCs w:val="18"/>
                <w:lang w:eastAsia="tr-TR"/>
              </w:rPr>
              <w:t>4</w:t>
            </w:r>
          </w:p>
        </w:tc>
        <w:tc>
          <w:tcPr>
            <w:tcW w:w="1680" w:type="dxa"/>
            <w:tcBorders>
              <w:top w:val="nil"/>
              <w:left w:val="nil"/>
              <w:bottom w:val="single" w:sz="8" w:space="0" w:color="auto"/>
              <w:right w:val="single" w:sz="8" w:space="0" w:color="auto"/>
            </w:tcBorders>
            <w:shd w:val="clear" w:color="auto" w:fill="auto"/>
            <w:vAlign w:val="center"/>
            <w:hideMark/>
          </w:tcPr>
          <w:p w14:paraId="3F32142F" w14:textId="77777777" w:rsidR="00126177" w:rsidRPr="00005453" w:rsidRDefault="00126177" w:rsidP="00126177">
            <w:pPr>
              <w:rPr>
                <w:color w:val="000000"/>
                <w:sz w:val="18"/>
                <w:szCs w:val="18"/>
                <w:lang w:eastAsia="tr-TR"/>
              </w:rPr>
            </w:pPr>
            <w:r w:rsidRPr="00005453">
              <w:rPr>
                <w:color w:val="000000"/>
                <w:sz w:val="18"/>
                <w:szCs w:val="18"/>
                <w:lang w:eastAsia="tr-TR"/>
              </w:rPr>
              <w:t>Temerrüde düşmüş</w:t>
            </w:r>
          </w:p>
        </w:tc>
        <w:tc>
          <w:tcPr>
            <w:tcW w:w="1404" w:type="dxa"/>
            <w:tcBorders>
              <w:top w:val="nil"/>
              <w:left w:val="nil"/>
              <w:bottom w:val="single" w:sz="8" w:space="0" w:color="auto"/>
              <w:right w:val="single" w:sz="8" w:space="0" w:color="auto"/>
            </w:tcBorders>
            <w:shd w:val="clear" w:color="auto" w:fill="auto"/>
            <w:noWrap/>
            <w:vAlign w:val="center"/>
            <w:hideMark/>
          </w:tcPr>
          <w:p w14:paraId="7F3D17D3" w14:textId="56B977B3" w:rsidR="00126177" w:rsidRPr="00005453" w:rsidRDefault="00126177" w:rsidP="00126177">
            <w:pPr>
              <w:jc w:val="right"/>
              <w:rPr>
                <w:color w:val="000000"/>
                <w:sz w:val="18"/>
                <w:szCs w:val="18"/>
                <w:lang w:eastAsia="tr-TR"/>
              </w:rPr>
            </w:pPr>
            <w:r w:rsidRPr="00005453">
              <w:rPr>
                <w:color w:val="000000"/>
                <w:sz w:val="18"/>
                <w:szCs w:val="18"/>
                <w:lang w:eastAsia="tr-TR"/>
              </w:rPr>
              <w:t>65,393</w:t>
            </w:r>
          </w:p>
        </w:tc>
        <w:tc>
          <w:tcPr>
            <w:tcW w:w="1102" w:type="dxa"/>
            <w:tcBorders>
              <w:top w:val="nil"/>
              <w:left w:val="nil"/>
              <w:bottom w:val="single" w:sz="8" w:space="0" w:color="auto"/>
              <w:right w:val="single" w:sz="8" w:space="0" w:color="auto"/>
            </w:tcBorders>
            <w:shd w:val="clear" w:color="auto" w:fill="auto"/>
            <w:noWrap/>
            <w:vAlign w:val="center"/>
            <w:hideMark/>
          </w:tcPr>
          <w:p w14:paraId="65C8082A" w14:textId="2431FBB9" w:rsidR="00126177" w:rsidRPr="00005453" w:rsidRDefault="00126177" w:rsidP="00126177">
            <w:pPr>
              <w:jc w:val="right"/>
              <w:rPr>
                <w:color w:val="000000"/>
                <w:sz w:val="18"/>
                <w:szCs w:val="18"/>
                <w:lang w:eastAsia="tr-TR"/>
              </w:rPr>
            </w:pPr>
            <w:r w:rsidRPr="00005453">
              <w:rPr>
                <w:color w:val="000000"/>
                <w:sz w:val="18"/>
                <w:szCs w:val="18"/>
                <w:lang w:eastAsia="tr-TR"/>
              </w:rPr>
              <w:t>86,305</w:t>
            </w:r>
          </w:p>
        </w:tc>
        <w:tc>
          <w:tcPr>
            <w:tcW w:w="1166" w:type="dxa"/>
            <w:tcBorders>
              <w:top w:val="nil"/>
              <w:left w:val="nil"/>
              <w:bottom w:val="single" w:sz="8" w:space="0" w:color="auto"/>
              <w:right w:val="single" w:sz="8" w:space="0" w:color="auto"/>
            </w:tcBorders>
            <w:shd w:val="clear" w:color="auto" w:fill="auto"/>
            <w:noWrap/>
            <w:vAlign w:val="center"/>
            <w:hideMark/>
          </w:tcPr>
          <w:p w14:paraId="45EE1FAE" w14:textId="2C92BF0D" w:rsidR="00126177" w:rsidRPr="00005453" w:rsidRDefault="00126177" w:rsidP="00126177">
            <w:pPr>
              <w:jc w:val="right"/>
              <w:rPr>
                <w:color w:val="000000"/>
                <w:sz w:val="18"/>
                <w:szCs w:val="18"/>
                <w:lang w:eastAsia="tr-TR"/>
              </w:rPr>
            </w:pPr>
            <w:r w:rsidRPr="00005453">
              <w:rPr>
                <w:color w:val="000000"/>
                <w:sz w:val="18"/>
                <w:szCs w:val="18"/>
                <w:lang w:eastAsia="tr-TR"/>
              </w:rPr>
              <w:t>2,545</w:t>
            </w:r>
          </w:p>
        </w:tc>
        <w:tc>
          <w:tcPr>
            <w:tcW w:w="1134" w:type="dxa"/>
            <w:tcBorders>
              <w:top w:val="nil"/>
              <w:left w:val="nil"/>
              <w:bottom w:val="single" w:sz="8" w:space="0" w:color="auto"/>
              <w:right w:val="single" w:sz="8" w:space="0" w:color="auto"/>
            </w:tcBorders>
            <w:shd w:val="clear" w:color="auto" w:fill="auto"/>
            <w:noWrap/>
            <w:vAlign w:val="center"/>
            <w:hideMark/>
          </w:tcPr>
          <w:p w14:paraId="5B4229AE" w14:textId="14B81D35" w:rsidR="00126177" w:rsidRPr="00005453" w:rsidRDefault="00126177" w:rsidP="00126177">
            <w:pPr>
              <w:jc w:val="right"/>
              <w:rPr>
                <w:color w:val="000000"/>
                <w:sz w:val="18"/>
                <w:szCs w:val="18"/>
                <w:lang w:eastAsia="tr-TR"/>
              </w:rPr>
            </w:pPr>
            <w:r w:rsidRPr="00005453">
              <w:rPr>
                <w:color w:val="000000"/>
                <w:sz w:val="18"/>
                <w:szCs w:val="18"/>
                <w:lang w:eastAsia="tr-TR"/>
              </w:rPr>
              <w:t>8,218</w:t>
            </w:r>
          </w:p>
        </w:tc>
        <w:tc>
          <w:tcPr>
            <w:tcW w:w="992" w:type="dxa"/>
            <w:tcBorders>
              <w:top w:val="nil"/>
              <w:left w:val="nil"/>
              <w:bottom w:val="single" w:sz="8" w:space="0" w:color="auto"/>
              <w:right w:val="single" w:sz="8" w:space="0" w:color="auto"/>
            </w:tcBorders>
            <w:shd w:val="clear" w:color="auto" w:fill="auto"/>
            <w:noWrap/>
            <w:vAlign w:val="center"/>
            <w:hideMark/>
          </w:tcPr>
          <w:p w14:paraId="1445DF64" w14:textId="764538AB" w:rsidR="00126177" w:rsidRPr="00005453" w:rsidRDefault="00126177" w:rsidP="00126177">
            <w:pPr>
              <w:jc w:val="right"/>
              <w:rPr>
                <w:color w:val="000000"/>
                <w:sz w:val="18"/>
                <w:szCs w:val="18"/>
                <w:lang w:eastAsia="tr-TR"/>
              </w:rPr>
            </w:pPr>
            <w:r w:rsidRPr="00005453">
              <w:rPr>
                <w:color w:val="000000"/>
                <w:sz w:val="18"/>
                <w:szCs w:val="18"/>
                <w:lang w:eastAsia="tr-TR"/>
              </w:rPr>
              <w:t>3,684</w:t>
            </w:r>
          </w:p>
        </w:tc>
        <w:tc>
          <w:tcPr>
            <w:tcW w:w="993" w:type="dxa"/>
            <w:tcBorders>
              <w:top w:val="nil"/>
              <w:left w:val="nil"/>
              <w:bottom w:val="single" w:sz="8" w:space="0" w:color="auto"/>
              <w:right w:val="single" w:sz="8" w:space="0" w:color="auto"/>
            </w:tcBorders>
            <w:shd w:val="clear" w:color="auto" w:fill="auto"/>
            <w:noWrap/>
            <w:vAlign w:val="center"/>
            <w:hideMark/>
          </w:tcPr>
          <w:p w14:paraId="5797B760" w14:textId="589BDDB9"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262B29E" w14:textId="6E95E7BB" w:rsidR="00126177" w:rsidRPr="00005453" w:rsidRDefault="00126177" w:rsidP="00126177">
            <w:pPr>
              <w:jc w:val="right"/>
              <w:rPr>
                <w:color w:val="000000"/>
                <w:sz w:val="18"/>
                <w:szCs w:val="18"/>
                <w:lang w:eastAsia="tr-TR"/>
              </w:rPr>
            </w:pPr>
            <w:r w:rsidRPr="00005453">
              <w:rPr>
                <w:color w:val="000000"/>
                <w:sz w:val="18"/>
                <w:szCs w:val="18"/>
                <w:lang w:eastAsia="tr-TR"/>
              </w:rPr>
              <w:t>-</w:t>
            </w:r>
          </w:p>
        </w:tc>
      </w:tr>
    </w:tbl>
    <w:p w14:paraId="04B3A449" w14:textId="00FAE58E" w:rsidR="002C5FB0" w:rsidRPr="00005453" w:rsidRDefault="002C5FB0" w:rsidP="00F71E1B">
      <w:pPr>
        <w:ind w:hanging="567"/>
        <w:rPr>
          <w:b/>
          <w:sz w:val="16"/>
          <w:szCs w:val="16"/>
        </w:rPr>
      </w:pPr>
      <w:bookmarkStart w:id="64" w:name="_Hlk93391979"/>
    </w:p>
    <w:p w14:paraId="6EB69C10" w14:textId="7AB24854" w:rsidR="00C25473" w:rsidRPr="00005453" w:rsidRDefault="007A1089" w:rsidP="00F71E1B">
      <w:pPr>
        <w:ind w:hanging="567"/>
        <w:rPr>
          <w:b/>
          <w:color w:val="000000"/>
        </w:rPr>
      </w:pPr>
      <w:proofErr w:type="gramStart"/>
      <w:r w:rsidRPr="00005453">
        <w:rPr>
          <w:b/>
          <w:color w:val="000000"/>
        </w:rPr>
        <w:t>10</w:t>
      </w:r>
      <w:r w:rsidR="00C25473" w:rsidRPr="00005453">
        <w:rPr>
          <w:b/>
          <w:color w:val="000000"/>
        </w:rPr>
        <w:t xml:space="preserve">.8.  </w:t>
      </w:r>
      <w:r w:rsidR="00C25473" w:rsidRPr="00005453">
        <w:rPr>
          <w:b/>
          <w:color w:val="000000"/>
        </w:rPr>
        <w:tab/>
      </w:r>
      <w:proofErr w:type="gramEnd"/>
      <w:r w:rsidR="00C25473" w:rsidRPr="00005453">
        <w:rPr>
          <w:b/>
          <w:color w:val="000000"/>
        </w:rPr>
        <w:t>Karşı taraf kredi riskine (KKR) ilişkin bilgiler</w:t>
      </w:r>
    </w:p>
    <w:p w14:paraId="6E8DF7B6" w14:textId="77777777" w:rsidR="00C25473" w:rsidRPr="00005453" w:rsidRDefault="00C25473" w:rsidP="00C25473">
      <w:pPr>
        <w:pStyle w:val="BodyText"/>
        <w:ind w:left="540" w:hanging="540"/>
        <w:jc w:val="left"/>
        <w:rPr>
          <w:b/>
          <w:bCs/>
          <w:sz w:val="16"/>
          <w:szCs w:val="16"/>
          <w:lang w:eastAsia="zh-CN"/>
        </w:rPr>
      </w:pPr>
    </w:p>
    <w:p w14:paraId="57650284" w14:textId="29CA21E0" w:rsidR="00C25473" w:rsidRPr="00005453" w:rsidRDefault="007A1089" w:rsidP="00C25473">
      <w:pPr>
        <w:ind w:hanging="567"/>
        <w:rPr>
          <w:b/>
          <w:color w:val="000000"/>
          <w:szCs w:val="18"/>
        </w:rPr>
      </w:pPr>
      <w:r w:rsidRPr="00005453">
        <w:rPr>
          <w:b/>
          <w:color w:val="000000"/>
        </w:rPr>
        <w:t>10</w:t>
      </w:r>
      <w:r w:rsidR="00C25473" w:rsidRPr="00005453">
        <w:rPr>
          <w:b/>
          <w:color w:val="000000"/>
          <w:szCs w:val="18"/>
        </w:rPr>
        <w:t>.8.1. KKR’ne ilişkin risk yönetimi hedef ve politikaları</w:t>
      </w:r>
    </w:p>
    <w:p w14:paraId="591E7677" w14:textId="77777777" w:rsidR="00C25473" w:rsidRPr="00005453" w:rsidRDefault="00C25473" w:rsidP="00C25473">
      <w:pPr>
        <w:rPr>
          <w:color w:val="000000"/>
          <w:sz w:val="16"/>
          <w:szCs w:val="16"/>
        </w:rPr>
      </w:pPr>
    </w:p>
    <w:p w14:paraId="00B39E62" w14:textId="77777777" w:rsidR="00C25473" w:rsidRPr="00005453" w:rsidRDefault="00C25473" w:rsidP="00C25473">
      <w:pPr>
        <w:jc w:val="both"/>
      </w:pPr>
      <w:r w:rsidRPr="00005453">
        <w:t xml:space="preserve">Finansal karşı tarafların kredi değerlerinin tespiti, finansal karşı tarafların iflası halinde, Banka’nın karşı karşıya kalacağı riskleri sınırlamak amacıyla BDDK tarafından yayınlanan yönetmelikler ve uluslararası uygulamalar çerçevesinde Banka Kredi Politikasına ek olarak düzenlenmiştir. Bu ek ile finansal karşı taraflara limit tahsis ve sürekli izleme faaliyetleri belirlenmiştir. Bu çerçevede öncelikle ülke değerlendirmeleri ve limitleri başta olmak üzere KKR’lar için finansal ve finansal olmayan kuruluşların kredi değerlendirmeleri Politika’da belirtilen komitelerde karara bağlanmaktadır. </w:t>
      </w:r>
    </w:p>
    <w:p w14:paraId="05CFBF57" w14:textId="77777777" w:rsidR="00C25473" w:rsidRPr="00005453" w:rsidRDefault="00C25473" w:rsidP="00C25473">
      <w:pPr>
        <w:jc w:val="both"/>
        <w:rPr>
          <w:sz w:val="16"/>
          <w:szCs w:val="16"/>
        </w:rPr>
      </w:pPr>
    </w:p>
    <w:p w14:paraId="3797774A" w14:textId="4A825448" w:rsidR="00C25473" w:rsidRPr="00005453" w:rsidRDefault="007A1089" w:rsidP="00C25473">
      <w:pPr>
        <w:ind w:hanging="567"/>
        <w:rPr>
          <w:b/>
          <w:color w:val="000000"/>
          <w:szCs w:val="18"/>
        </w:rPr>
      </w:pPr>
      <w:r w:rsidRPr="00005453">
        <w:rPr>
          <w:b/>
          <w:color w:val="000000"/>
        </w:rPr>
        <w:t>10</w:t>
      </w:r>
      <w:r w:rsidR="00C25473" w:rsidRPr="00005453">
        <w:rPr>
          <w:b/>
          <w:color w:val="000000"/>
          <w:szCs w:val="18"/>
        </w:rPr>
        <w:t>.8.2. KKR ve MKT riskleri için hesaplanan içsel sermaye kapsamında belirlenen operasyonel limit tahsis metodu</w:t>
      </w:r>
    </w:p>
    <w:p w14:paraId="48C81CCB" w14:textId="77777777" w:rsidR="00C25473" w:rsidRPr="00005453" w:rsidRDefault="00C25473" w:rsidP="00C25473">
      <w:pPr>
        <w:rPr>
          <w:b/>
          <w:color w:val="000000"/>
          <w:sz w:val="16"/>
          <w:szCs w:val="16"/>
        </w:rPr>
      </w:pPr>
    </w:p>
    <w:p w14:paraId="40056BAB" w14:textId="10178C80" w:rsidR="00C25473" w:rsidRPr="00005453" w:rsidRDefault="00C25473" w:rsidP="00C25473">
      <w:pPr>
        <w:jc w:val="both"/>
        <w:rPr>
          <w:color w:val="000000"/>
          <w:szCs w:val="18"/>
        </w:rPr>
      </w:pPr>
      <w:r w:rsidRPr="00005453">
        <w:rPr>
          <w:color w:val="000000"/>
          <w:szCs w:val="18"/>
        </w:rPr>
        <w:t>KKR ve MKT riskleri için sermaye gereksinimi hesaplanmasında içsel model yöntemi kullanılmamaktadır.</w:t>
      </w:r>
    </w:p>
    <w:p w14:paraId="23DD5F54" w14:textId="77777777" w:rsidR="00C74AA3" w:rsidRPr="00005453" w:rsidRDefault="00C74AA3" w:rsidP="00C25473">
      <w:pPr>
        <w:jc w:val="both"/>
        <w:rPr>
          <w:color w:val="000000"/>
          <w:szCs w:val="18"/>
        </w:rPr>
      </w:pPr>
    </w:p>
    <w:p w14:paraId="4425CC49" w14:textId="04E83A0F" w:rsidR="00C25473" w:rsidRPr="00005453" w:rsidRDefault="007A1089" w:rsidP="00C25473">
      <w:pPr>
        <w:ind w:hanging="567"/>
        <w:rPr>
          <w:b/>
          <w:color w:val="000000"/>
          <w:szCs w:val="18"/>
        </w:rPr>
      </w:pPr>
      <w:r w:rsidRPr="00005453">
        <w:rPr>
          <w:b/>
          <w:color w:val="000000"/>
        </w:rPr>
        <w:t>10</w:t>
      </w:r>
      <w:r w:rsidR="00C25473" w:rsidRPr="00005453">
        <w:rPr>
          <w:b/>
          <w:color w:val="000000"/>
          <w:szCs w:val="18"/>
        </w:rPr>
        <w:t>.8.3.</w:t>
      </w:r>
      <w:r w:rsidR="00C25473" w:rsidRPr="00005453">
        <w:rPr>
          <w:b/>
          <w:color w:val="000000"/>
          <w:szCs w:val="18"/>
        </w:rPr>
        <w:tab/>
        <w:t>Garanti ve diğer risk azaltımları ile MKT riski dahil KKR’nin belirlenmesine yönelik politikalar</w:t>
      </w:r>
    </w:p>
    <w:p w14:paraId="791AE382" w14:textId="77777777" w:rsidR="00C25473" w:rsidRPr="00005453" w:rsidRDefault="00C25473" w:rsidP="00C25473">
      <w:pPr>
        <w:rPr>
          <w:color w:val="000000"/>
          <w:sz w:val="16"/>
          <w:szCs w:val="16"/>
        </w:rPr>
      </w:pPr>
    </w:p>
    <w:p w14:paraId="14359F44" w14:textId="1D74F87A" w:rsidR="00C25473" w:rsidRPr="00005453" w:rsidRDefault="00292344" w:rsidP="00C25473">
      <w:pPr>
        <w:jc w:val="both"/>
        <w:rPr>
          <w:color w:val="000000"/>
          <w:szCs w:val="18"/>
        </w:rPr>
      </w:pPr>
      <w:r w:rsidRPr="00005453">
        <w:rPr>
          <w:color w:val="000000"/>
          <w:szCs w:val="18"/>
        </w:rPr>
        <w:t>Banka, KKR ve MKT limitlerinin tamamı taahhüt edilmemiş limitler olmakla birlikte nakdi, gayrinakdi ve teminat limitlerini kapsamaktadır. Gayrinakdi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(sukuk) teminata alınarak risk azaltılabilmektedir.</w:t>
      </w:r>
    </w:p>
    <w:p w14:paraId="2B6D1DB0" w14:textId="77777777" w:rsidR="00292344" w:rsidRPr="00005453" w:rsidRDefault="00292344" w:rsidP="00C25473">
      <w:pPr>
        <w:jc w:val="both"/>
        <w:rPr>
          <w:color w:val="000000"/>
          <w:sz w:val="16"/>
          <w:szCs w:val="16"/>
        </w:rPr>
      </w:pPr>
    </w:p>
    <w:p w14:paraId="18DC23D8" w14:textId="77777777" w:rsidR="00F20AF5" w:rsidRPr="00005453" w:rsidRDefault="00F20AF5">
      <w:pPr>
        <w:rPr>
          <w:b/>
          <w:color w:val="000000"/>
        </w:rPr>
      </w:pPr>
      <w:r w:rsidRPr="00005453">
        <w:rPr>
          <w:b/>
          <w:color w:val="000000"/>
        </w:rPr>
        <w:br w:type="page"/>
      </w:r>
    </w:p>
    <w:p w14:paraId="682BB3B1" w14:textId="20F933F2" w:rsidR="00C25473" w:rsidRPr="00005453" w:rsidRDefault="007A1089" w:rsidP="00C25473">
      <w:pPr>
        <w:ind w:hanging="567"/>
        <w:rPr>
          <w:b/>
          <w:color w:val="000000"/>
          <w:szCs w:val="18"/>
        </w:rPr>
      </w:pPr>
      <w:r w:rsidRPr="00005453">
        <w:rPr>
          <w:b/>
          <w:color w:val="000000"/>
        </w:rPr>
        <w:lastRenderedPageBreak/>
        <w:t>10</w:t>
      </w:r>
      <w:r w:rsidR="00C25473" w:rsidRPr="00005453">
        <w:rPr>
          <w:b/>
          <w:color w:val="000000"/>
          <w:szCs w:val="18"/>
        </w:rPr>
        <w:t>.8.4.</w:t>
      </w:r>
      <w:r w:rsidR="009D4E64" w:rsidRPr="00005453">
        <w:rPr>
          <w:b/>
          <w:color w:val="000000"/>
          <w:szCs w:val="18"/>
        </w:rPr>
        <w:tab/>
      </w:r>
      <w:r w:rsidR="00C25473" w:rsidRPr="00005453">
        <w:rPr>
          <w:b/>
          <w:color w:val="000000"/>
          <w:szCs w:val="18"/>
        </w:rPr>
        <w:t>Ters eğilim riskine ilişkin kurallar</w:t>
      </w:r>
    </w:p>
    <w:p w14:paraId="6F996BC8" w14:textId="77777777" w:rsidR="00C25473" w:rsidRPr="00005453" w:rsidRDefault="00C25473" w:rsidP="00C25473">
      <w:pPr>
        <w:rPr>
          <w:color w:val="000000"/>
          <w:sz w:val="16"/>
          <w:szCs w:val="16"/>
        </w:rPr>
      </w:pPr>
    </w:p>
    <w:p w14:paraId="1B0AD3FE" w14:textId="4C302381" w:rsidR="0002129E" w:rsidRPr="00005453" w:rsidRDefault="00C25473" w:rsidP="00C25473">
      <w:pPr>
        <w:jc w:val="both"/>
        <w:rPr>
          <w:color w:val="000000"/>
          <w:szCs w:val="18"/>
        </w:rPr>
      </w:pPr>
      <w:r w:rsidRPr="00005453">
        <w:rPr>
          <w:color w:val="000000"/>
          <w:szCs w:val="18"/>
        </w:rPr>
        <w:t>KKR için içsel model kullanılmamaktadır, bu nedenle ters eğilim riskine ilişkin hesaplama yapılmamaktadır.</w:t>
      </w:r>
    </w:p>
    <w:p w14:paraId="38BB7FE7" w14:textId="77777777" w:rsidR="00F3675E" w:rsidRPr="00005453" w:rsidRDefault="00F3675E" w:rsidP="00C25473">
      <w:pPr>
        <w:jc w:val="both"/>
        <w:rPr>
          <w:color w:val="000000"/>
          <w:szCs w:val="18"/>
        </w:rPr>
      </w:pPr>
    </w:p>
    <w:p w14:paraId="5BE7CBF3" w14:textId="134A7CE5" w:rsidR="00C25473" w:rsidRPr="00005453" w:rsidRDefault="007A1089" w:rsidP="00C25473">
      <w:pPr>
        <w:ind w:hanging="567"/>
        <w:jc w:val="both"/>
        <w:rPr>
          <w:b/>
          <w:color w:val="000000"/>
          <w:szCs w:val="18"/>
        </w:rPr>
      </w:pPr>
      <w:r w:rsidRPr="00005453">
        <w:rPr>
          <w:b/>
          <w:color w:val="000000"/>
        </w:rPr>
        <w:t>10</w:t>
      </w:r>
      <w:r w:rsidR="00C25473" w:rsidRPr="00005453">
        <w:rPr>
          <w:b/>
          <w:color w:val="000000"/>
          <w:szCs w:val="18"/>
        </w:rPr>
        <w:t>.8.5.</w:t>
      </w:r>
      <w:r w:rsidR="009D4E64" w:rsidRPr="00005453">
        <w:rPr>
          <w:b/>
          <w:color w:val="000000"/>
          <w:szCs w:val="18"/>
        </w:rPr>
        <w:tab/>
      </w:r>
      <w:r w:rsidR="00C25473" w:rsidRPr="00005453">
        <w:rPr>
          <w:b/>
          <w:color w:val="000000"/>
          <w:spacing w:val="-4"/>
          <w:szCs w:val="18"/>
        </w:rPr>
        <w:t>Kredi derecelendirme notunda düşüş olması durumunda Banka’nın vermek zorunda olduğu ilave teminatın tutarı</w:t>
      </w:r>
    </w:p>
    <w:p w14:paraId="668807D6" w14:textId="77777777" w:rsidR="00C25473" w:rsidRPr="00005453" w:rsidRDefault="00C25473" w:rsidP="00C25473">
      <w:pPr>
        <w:rPr>
          <w:color w:val="000000"/>
          <w:sz w:val="16"/>
          <w:szCs w:val="16"/>
        </w:rPr>
      </w:pPr>
    </w:p>
    <w:p w14:paraId="2DB0BD46" w14:textId="77777777" w:rsidR="00E7415B" w:rsidRPr="00005453" w:rsidRDefault="00E7415B" w:rsidP="00E7415B">
      <w:pPr>
        <w:rPr>
          <w:szCs w:val="18"/>
        </w:rPr>
      </w:pPr>
      <w:r w:rsidRPr="00005453">
        <w:t>Kredi derecelendirme notunda düşüş olması durumunda Bankamızın vermek zorunda olduğu ilave teminat tutarı bulunamamaktadır.</w:t>
      </w:r>
    </w:p>
    <w:bookmarkEnd w:id="64"/>
    <w:p w14:paraId="6190D7C8" w14:textId="77777777" w:rsidR="002C5FB0" w:rsidRPr="00005453" w:rsidRDefault="002C5FB0" w:rsidP="00C25473">
      <w:pPr>
        <w:pStyle w:val="BodyText"/>
        <w:ind w:hanging="567"/>
        <w:jc w:val="left"/>
        <w:rPr>
          <w:b/>
          <w:color w:val="000000"/>
        </w:rPr>
      </w:pPr>
    </w:p>
    <w:p w14:paraId="7285FCA8" w14:textId="04A97200" w:rsidR="00D22163" w:rsidRPr="00005453" w:rsidRDefault="007A1089" w:rsidP="002C5FB0">
      <w:pPr>
        <w:pStyle w:val="BodyText"/>
        <w:ind w:hanging="567"/>
        <w:jc w:val="left"/>
        <w:rPr>
          <w:lang w:val="en-GB" w:eastAsia="en-GB"/>
        </w:rPr>
      </w:pPr>
      <w:r w:rsidRPr="00005453">
        <w:rPr>
          <w:b/>
          <w:color w:val="000000"/>
        </w:rPr>
        <w:t>10</w:t>
      </w:r>
      <w:r w:rsidR="00C25473" w:rsidRPr="00005453">
        <w:rPr>
          <w:b/>
          <w:bCs/>
          <w:lang w:eastAsia="zh-CN"/>
        </w:rPr>
        <w:t>.8.6.</w:t>
      </w:r>
      <w:r w:rsidR="009D4E64" w:rsidRPr="00005453">
        <w:rPr>
          <w:b/>
          <w:bCs/>
          <w:lang w:eastAsia="zh-CN"/>
        </w:rPr>
        <w:tab/>
      </w:r>
      <w:r w:rsidR="00C25473" w:rsidRPr="00005453">
        <w:rPr>
          <w:b/>
          <w:bCs/>
          <w:lang w:eastAsia="zh-CN"/>
        </w:rPr>
        <w:t>KKR’nin ölçüm yöntemlerine göre değerlendirilmesi</w:t>
      </w:r>
    </w:p>
    <w:p w14:paraId="40BDC4AE" w14:textId="23E2DDCE" w:rsidR="002C5FB0" w:rsidRPr="00005453" w:rsidRDefault="002C5FB0" w:rsidP="009A1B05">
      <w:pPr>
        <w:pStyle w:val="NormalIndent"/>
        <w:ind w:left="0"/>
        <w:jc w:val="both"/>
        <w:rPr>
          <w:noProof w:val="0"/>
          <w:sz w:val="20"/>
          <w:szCs w:val="20"/>
          <w:lang w:val="en-GB" w:eastAsia="en-GB"/>
        </w:rPr>
      </w:pPr>
    </w:p>
    <w:tbl>
      <w:tblPr>
        <w:tblW w:w="10242" w:type="dxa"/>
        <w:tblCellMar>
          <w:left w:w="70" w:type="dxa"/>
          <w:right w:w="70" w:type="dxa"/>
        </w:tblCellMar>
        <w:tblLook w:val="04A0" w:firstRow="1" w:lastRow="0" w:firstColumn="1" w:lastColumn="0" w:noHBand="0" w:noVBand="1"/>
      </w:tblPr>
      <w:tblGrid>
        <w:gridCol w:w="220"/>
        <w:gridCol w:w="3841"/>
        <w:gridCol w:w="780"/>
        <w:gridCol w:w="860"/>
        <w:gridCol w:w="674"/>
        <w:gridCol w:w="1065"/>
        <w:gridCol w:w="1876"/>
        <w:gridCol w:w="926"/>
      </w:tblGrid>
      <w:tr w:rsidR="002C5FB0" w:rsidRPr="00005453" w14:paraId="11921161" w14:textId="77777777" w:rsidTr="00146E86">
        <w:trPr>
          <w:divId w:val="1700546150"/>
          <w:trHeight w:val="848"/>
        </w:trPr>
        <w:tc>
          <w:tcPr>
            <w:tcW w:w="406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457FC1" w14:textId="2F6E97AE" w:rsidR="002C5FB0" w:rsidRPr="00005453" w:rsidRDefault="002C5FB0" w:rsidP="002C5FB0">
            <w:pPr>
              <w:jc w:val="center"/>
              <w:rPr>
                <w:b/>
                <w:bCs/>
                <w:color w:val="000000"/>
                <w:sz w:val="16"/>
                <w:szCs w:val="16"/>
                <w:lang w:eastAsia="tr-TR"/>
              </w:rPr>
            </w:pPr>
            <w:r w:rsidRPr="00005453">
              <w:rPr>
                <w:b/>
                <w:bCs/>
                <w:color w:val="000000"/>
                <w:sz w:val="16"/>
                <w:szCs w:val="16"/>
                <w:lang w:eastAsia="tr-TR"/>
              </w:rPr>
              <w:t>Cari Dönem</w:t>
            </w:r>
          </w:p>
        </w:tc>
        <w:tc>
          <w:tcPr>
            <w:tcW w:w="780" w:type="dxa"/>
            <w:tcBorders>
              <w:top w:val="single" w:sz="8" w:space="0" w:color="auto"/>
              <w:left w:val="nil"/>
              <w:bottom w:val="single" w:sz="8" w:space="0" w:color="auto"/>
              <w:right w:val="single" w:sz="8" w:space="0" w:color="auto"/>
            </w:tcBorders>
            <w:shd w:val="clear" w:color="auto" w:fill="auto"/>
            <w:vAlign w:val="center"/>
            <w:hideMark/>
          </w:tcPr>
          <w:p w14:paraId="6742D924" w14:textId="77777777" w:rsidR="002C5FB0" w:rsidRPr="00005453" w:rsidRDefault="002C5FB0" w:rsidP="002C5FB0">
            <w:pPr>
              <w:jc w:val="center"/>
              <w:rPr>
                <w:b/>
                <w:bCs/>
                <w:color w:val="000000"/>
                <w:sz w:val="16"/>
                <w:szCs w:val="16"/>
                <w:lang w:eastAsia="tr-TR"/>
              </w:rPr>
            </w:pPr>
            <w:r w:rsidRPr="00005453">
              <w:rPr>
                <w:b/>
                <w:bCs/>
                <w:color w:val="000000"/>
                <w:sz w:val="16"/>
                <w:szCs w:val="16"/>
                <w:lang w:eastAsia="tr-TR"/>
              </w:rPr>
              <w:t>Yenileme Maliyeti</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0A91259B" w14:textId="77777777" w:rsidR="002C5FB0" w:rsidRPr="00005453" w:rsidRDefault="002C5FB0" w:rsidP="002C5FB0">
            <w:pPr>
              <w:jc w:val="center"/>
              <w:rPr>
                <w:b/>
                <w:bCs/>
                <w:color w:val="000000"/>
                <w:sz w:val="16"/>
                <w:szCs w:val="16"/>
                <w:lang w:eastAsia="tr-TR"/>
              </w:rPr>
            </w:pPr>
            <w:r w:rsidRPr="00005453">
              <w:rPr>
                <w:b/>
                <w:bCs/>
                <w:color w:val="000000"/>
                <w:sz w:val="16"/>
                <w:szCs w:val="16"/>
                <w:lang w:eastAsia="tr-TR"/>
              </w:rPr>
              <w:t>Potansiyel Kredi Riski Tutarı</w:t>
            </w:r>
          </w:p>
        </w:tc>
        <w:tc>
          <w:tcPr>
            <w:tcW w:w="674" w:type="dxa"/>
            <w:tcBorders>
              <w:top w:val="single" w:sz="8" w:space="0" w:color="auto"/>
              <w:left w:val="nil"/>
              <w:bottom w:val="single" w:sz="8" w:space="0" w:color="auto"/>
              <w:right w:val="single" w:sz="8" w:space="0" w:color="auto"/>
            </w:tcBorders>
            <w:shd w:val="clear" w:color="auto" w:fill="auto"/>
            <w:vAlign w:val="center"/>
            <w:hideMark/>
          </w:tcPr>
          <w:p w14:paraId="7D5C5185" w14:textId="77777777" w:rsidR="002C5FB0" w:rsidRPr="00005453" w:rsidRDefault="002C5FB0" w:rsidP="002C5FB0">
            <w:pPr>
              <w:jc w:val="center"/>
              <w:rPr>
                <w:b/>
                <w:bCs/>
                <w:color w:val="000000"/>
                <w:sz w:val="16"/>
                <w:szCs w:val="16"/>
                <w:lang w:eastAsia="tr-TR"/>
              </w:rPr>
            </w:pPr>
            <w:r w:rsidRPr="00005453">
              <w:rPr>
                <w:b/>
                <w:bCs/>
                <w:color w:val="000000"/>
                <w:sz w:val="16"/>
                <w:szCs w:val="16"/>
                <w:lang w:eastAsia="tr-TR"/>
              </w:rPr>
              <w:t>EBPRT</w:t>
            </w:r>
          </w:p>
        </w:tc>
        <w:tc>
          <w:tcPr>
            <w:tcW w:w="1065" w:type="dxa"/>
            <w:tcBorders>
              <w:top w:val="single" w:sz="8" w:space="0" w:color="auto"/>
              <w:left w:val="nil"/>
              <w:bottom w:val="single" w:sz="8" w:space="0" w:color="auto"/>
              <w:right w:val="single" w:sz="8" w:space="0" w:color="auto"/>
            </w:tcBorders>
            <w:shd w:val="clear" w:color="auto" w:fill="auto"/>
            <w:vAlign w:val="center"/>
            <w:hideMark/>
          </w:tcPr>
          <w:p w14:paraId="59B04D95" w14:textId="77777777" w:rsidR="002C5FB0" w:rsidRPr="00005453" w:rsidRDefault="002C5FB0" w:rsidP="002C5FB0">
            <w:pPr>
              <w:jc w:val="center"/>
              <w:rPr>
                <w:b/>
                <w:bCs/>
                <w:color w:val="000000"/>
                <w:sz w:val="16"/>
                <w:szCs w:val="16"/>
                <w:lang w:eastAsia="tr-TR"/>
              </w:rPr>
            </w:pPr>
            <w:r w:rsidRPr="00005453">
              <w:rPr>
                <w:b/>
                <w:bCs/>
                <w:color w:val="000000"/>
                <w:sz w:val="16"/>
                <w:szCs w:val="16"/>
                <w:lang w:eastAsia="tr-TR"/>
              </w:rPr>
              <w:t>Yasal risk tutarının hesaplanması için kullanılan alfa</w:t>
            </w:r>
          </w:p>
        </w:tc>
        <w:tc>
          <w:tcPr>
            <w:tcW w:w="1876" w:type="dxa"/>
            <w:tcBorders>
              <w:top w:val="single" w:sz="8" w:space="0" w:color="auto"/>
              <w:left w:val="nil"/>
              <w:bottom w:val="single" w:sz="8" w:space="0" w:color="auto"/>
              <w:right w:val="single" w:sz="8" w:space="0" w:color="auto"/>
            </w:tcBorders>
            <w:shd w:val="clear" w:color="auto" w:fill="auto"/>
            <w:vAlign w:val="center"/>
            <w:hideMark/>
          </w:tcPr>
          <w:p w14:paraId="5B9D271E" w14:textId="77777777" w:rsidR="002C5FB0" w:rsidRPr="00005453" w:rsidRDefault="002C5FB0" w:rsidP="002C5FB0">
            <w:pPr>
              <w:jc w:val="center"/>
              <w:rPr>
                <w:b/>
                <w:bCs/>
                <w:color w:val="000000"/>
                <w:sz w:val="16"/>
                <w:szCs w:val="16"/>
                <w:lang w:eastAsia="tr-TR"/>
              </w:rPr>
            </w:pPr>
            <w:r w:rsidRPr="00005453">
              <w:rPr>
                <w:b/>
                <w:bCs/>
                <w:color w:val="000000"/>
                <w:sz w:val="16"/>
                <w:szCs w:val="16"/>
                <w:lang w:eastAsia="tr-TR"/>
              </w:rPr>
              <w:t xml:space="preserve">Kredi riski azaltımı sonrası </w:t>
            </w:r>
            <w:proofErr w:type="gramStart"/>
            <w:r w:rsidRPr="00005453">
              <w:rPr>
                <w:b/>
                <w:bCs/>
                <w:color w:val="000000"/>
                <w:sz w:val="16"/>
                <w:szCs w:val="16"/>
                <w:lang w:eastAsia="tr-TR"/>
              </w:rPr>
              <w:t>risk  tutarı</w:t>
            </w:r>
            <w:proofErr w:type="gramEnd"/>
          </w:p>
        </w:tc>
        <w:tc>
          <w:tcPr>
            <w:tcW w:w="926" w:type="dxa"/>
            <w:tcBorders>
              <w:top w:val="single" w:sz="8" w:space="0" w:color="auto"/>
              <w:left w:val="nil"/>
              <w:bottom w:val="single" w:sz="8" w:space="0" w:color="auto"/>
              <w:right w:val="single" w:sz="8" w:space="0" w:color="auto"/>
            </w:tcBorders>
            <w:shd w:val="clear" w:color="auto" w:fill="auto"/>
            <w:vAlign w:val="center"/>
            <w:hideMark/>
          </w:tcPr>
          <w:p w14:paraId="36F28982" w14:textId="77777777" w:rsidR="002C5FB0" w:rsidRPr="00005453" w:rsidRDefault="002C5FB0" w:rsidP="002C5FB0">
            <w:pPr>
              <w:jc w:val="center"/>
              <w:rPr>
                <w:b/>
                <w:bCs/>
                <w:color w:val="000000"/>
                <w:sz w:val="16"/>
                <w:szCs w:val="16"/>
                <w:lang w:eastAsia="tr-TR"/>
              </w:rPr>
            </w:pPr>
            <w:r w:rsidRPr="00005453">
              <w:rPr>
                <w:b/>
                <w:bCs/>
                <w:color w:val="000000"/>
                <w:sz w:val="16"/>
                <w:szCs w:val="16"/>
                <w:lang w:eastAsia="tr-TR"/>
              </w:rPr>
              <w:t>Risk ağırlıklı tutarlar</w:t>
            </w:r>
          </w:p>
        </w:tc>
      </w:tr>
      <w:tr w:rsidR="00146E86" w:rsidRPr="00005453" w14:paraId="36D17FD4" w14:textId="77777777" w:rsidTr="00146E86">
        <w:trPr>
          <w:divId w:val="1700546150"/>
          <w:trHeight w:val="168"/>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2BB15EDA" w14:textId="77777777" w:rsidR="00146E86" w:rsidRPr="00005453" w:rsidRDefault="00146E86" w:rsidP="00146E86">
            <w:pPr>
              <w:rPr>
                <w:color w:val="000000"/>
                <w:sz w:val="16"/>
                <w:szCs w:val="16"/>
                <w:lang w:eastAsia="tr-TR"/>
              </w:rPr>
            </w:pPr>
            <w:r w:rsidRPr="00005453">
              <w:rPr>
                <w:color w:val="000000"/>
                <w:sz w:val="16"/>
                <w:szCs w:val="16"/>
                <w:lang w:eastAsia="tr-TR"/>
              </w:rPr>
              <w:t>1</w:t>
            </w:r>
          </w:p>
        </w:tc>
        <w:tc>
          <w:tcPr>
            <w:tcW w:w="3841" w:type="dxa"/>
            <w:tcBorders>
              <w:top w:val="nil"/>
              <w:left w:val="nil"/>
              <w:bottom w:val="single" w:sz="8" w:space="0" w:color="auto"/>
              <w:right w:val="single" w:sz="8" w:space="0" w:color="auto"/>
            </w:tcBorders>
            <w:shd w:val="clear" w:color="auto" w:fill="auto"/>
            <w:noWrap/>
            <w:vAlign w:val="center"/>
            <w:hideMark/>
          </w:tcPr>
          <w:p w14:paraId="4E9095E7" w14:textId="77777777" w:rsidR="00146E86" w:rsidRPr="00005453" w:rsidRDefault="00146E86" w:rsidP="00146E86">
            <w:pPr>
              <w:rPr>
                <w:color w:val="000000"/>
                <w:sz w:val="16"/>
                <w:szCs w:val="16"/>
                <w:lang w:eastAsia="tr-TR"/>
              </w:rPr>
            </w:pPr>
            <w:r w:rsidRPr="00005453">
              <w:rPr>
                <w:color w:val="000000"/>
                <w:sz w:val="16"/>
                <w:szCs w:val="16"/>
                <w:lang w:eastAsia="tr-TR"/>
              </w:rPr>
              <w:t xml:space="preserve">Standart </w:t>
            </w:r>
            <w:proofErr w:type="gramStart"/>
            <w:r w:rsidRPr="00005453">
              <w:rPr>
                <w:color w:val="000000"/>
                <w:sz w:val="16"/>
                <w:szCs w:val="16"/>
                <w:lang w:eastAsia="tr-TR"/>
              </w:rPr>
              <w:t>yaklaşım -</w:t>
            </w:r>
            <w:proofErr w:type="gramEnd"/>
            <w:r w:rsidRPr="00005453">
              <w:rPr>
                <w:color w:val="000000"/>
                <w:sz w:val="16"/>
                <w:szCs w:val="16"/>
                <w:lang w:eastAsia="tr-TR"/>
              </w:rPr>
              <w:t xml:space="preserve"> KKR (türevler için)*</w:t>
            </w:r>
          </w:p>
        </w:tc>
        <w:tc>
          <w:tcPr>
            <w:tcW w:w="780" w:type="dxa"/>
            <w:tcBorders>
              <w:top w:val="nil"/>
              <w:left w:val="nil"/>
              <w:bottom w:val="single" w:sz="8" w:space="0" w:color="auto"/>
              <w:right w:val="single" w:sz="8" w:space="0" w:color="auto"/>
            </w:tcBorders>
            <w:shd w:val="clear" w:color="auto" w:fill="auto"/>
            <w:noWrap/>
            <w:vAlign w:val="center"/>
            <w:hideMark/>
          </w:tcPr>
          <w:p w14:paraId="1BD3AE6A" w14:textId="00DED14F" w:rsidR="00146E86" w:rsidRPr="00005453" w:rsidRDefault="00146E86" w:rsidP="00146E86">
            <w:pPr>
              <w:jc w:val="right"/>
              <w:rPr>
                <w:color w:val="000000"/>
                <w:sz w:val="16"/>
                <w:szCs w:val="16"/>
              </w:rPr>
            </w:pPr>
            <w:r w:rsidRPr="00005453">
              <w:rPr>
                <w:color w:val="000000"/>
                <w:sz w:val="16"/>
                <w:szCs w:val="22"/>
              </w:rPr>
              <w:t>760,034</w:t>
            </w:r>
          </w:p>
        </w:tc>
        <w:tc>
          <w:tcPr>
            <w:tcW w:w="860" w:type="dxa"/>
            <w:tcBorders>
              <w:top w:val="nil"/>
              <w:left w:val="nil"/>
              <w:bottom w:val="single" w:sz="8" w:space="0" w:color="auto"/>
              <w:right w:val="single" w:sz="8" w:space="0" w:color="auto"/>
            </w:tcBorders>
            <w:shd w:val="clear" w:color="auto" w:fill="auto"/>
            <w:noWrap/>
            <w:vAlign w:val="center"/>
            <w:hideMark/>
          </w:tcPr>
          <w:p w14:paraId="22D6D6C6" w14:textId="32FE4A73" w:rsidR="00146E86" w:rsidRPr="00005453" w:rsidRDefault="00146E86" w:rsidP="00146E86">
            <w:pPr>
              <w:jc w:val="right"/>
              <w:rPr>
                <w:color w:val="000000"/>
                <w:sz w:val="16"/>
                <w:szCs w:val="16"/>
              </w:rPr>
            </w:pPr>
            <w:r w:rsidRPr="00005453">
              <w:rPr>
                <w:color w:val="000000"/>
                <w:sz w:val="16"/>
                <w:szCs w:val="22"/>
              </w:rPr>
              <w:t>1,274,057</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26FA4199" w14:textId="20ECC01F" w:rsidR="00146E86" w:rsidRPr="00005453" w:rsidRDefault="00146E86" w:rsidP="00146E86">
            <w:pPr>
              <w:jc w:val="right"/>
              <w:rPr>
                <w:color w:val="000000"/>
                <w:sz w:val="16"/>
                <w:szCs w:val="16"/>
                <w:lang w:eastAsia="tr-TR"/>
              </w:rPr>
            </w:pPr>
          </w:p>
        </w:tc>
        <w:tc>
          <w:tcPr>
            <w:tcW w:w="1065" w:type="dxa"/>
            <w:tcBorders>
              <w:top w:val="nil"/>
              <w:left w:val="nil"/>
              <w:bottom w:val="single" w:sz="8" w:space="0" w:color="auto"/>
              <w:right w:val="single" w:sz="8" w:space="0" w:color="auto"/>
            </w:tcBorders>
            <w:shd w:val="clear" w:color="auto" w:fill="auto"/>
            <w:noWrap/>
            <w:vAlign w:val="center"/>
            <w:hideMark/>
          </w:tcPr>
          <w:p w14:paraId="69B351FD" w14:textId="78F8D68D" w:rsidR="00146E86" w:rsidRPr="00005453" w:rsidRDefault="00146E86" w:rsidP="00146E86">
            <w:pPr>
              <w:jc w:val="right"/>
              <w:rPr>
                <w:color w:val="000000"/>
                <w:sz w:val="16"/>
                <w:szCs w:val="16"/>
              </w:rPr>
            </w:pPr>
            <w:r w:rsidRPr="00005453">
              <w:rPr>
                <w:color w:val="000000"/>
                <w:sz w:val="16"/>
                <w:szCs w:val="22"/>
              </w:rPr>
              <w:t>1.4</w:t>
            </w:r>
          </w:p>
        </w:tc>
        <w:tc>
          <w:tcPr>
            <w:tcW w:w="1876" w:type="dxa"/>
            <w:tcBorders>
              <w:top w:val="nil"/>
              <w:left w:val="nil"/>
              <w:bottom w:val="single" w:sz="8" w:space="0" w:color="auto"/>
              <w:right w:val="single" w:sz="8" w:space="0" w:color="auto"/>
            </w:tcBorders>
            <w:shd w:val="clear" w:color="auto" w:fill="auto"/>
            <w:noWrap/>
            <w:vAlign w:val="center"/>
            <w:hideMark/>
          </w:tcPr>
          <w:p w14:paraId="1F5D34B9" w14:textId="62F80812" w:rsidR="00146E86" w:rsidRPr="00005453" w:rsidRDefault="00146E86" w:rsidP="00146E86">
            <w:pPr>
              <w:jc w:val="right"/>
              <w:rPr>
                <w:color w:val="000000"/>
                <w:sz w:val="16"/>
                <w:szCs w:val="16"/>
              </w:rPr>
            </w:pPr>
            <w:r w:rsidRPr="00005453">
              <w:rPr>
                <w:color w:val="000000"/>
                <w:sz w:val="16"/>
                <w:szCs w:val="22"/>
              </w:rPr>
              <w:t>2,847,729</w:t>
            </w:r>
          </w:p>
        </w:tc>
        <w:tc>
          <w:tcPr>
            <w:tcW w:w="926" w:type="dxa"/>
            <w:tcBorders>
              <w:top w:val="nil"/>
              <w:left w:val="nil"/>
              <w:bottom w:val="single" w:sz="8" w:space="0" w:color="auto"/>
              <w:right w:val="single" w:sz="8" w:space="0" w:color="auto"/>
            </w:tcBorders>
            <w:shd w:val="clear" w:color="auto" w:fill="auto"/>
            <w:noWrap/>
            <w:vAlign w:val="center"/>
            <w:hideMark/>
          </w:tcPr>
          <w:p w14:paraId="55BC6091" w14:textId="0A20F40D" w:rsidR="00146E86" w:rsidRPr="00005453" w:rsidRDefault="00146E86" w:rsidP="00146E86">
            <w:pPr>
              <w:jc w:val="right"/>
              <w:rPr>
                <w:color w:val="000000"/>
                <w:sz w:val="16"/>
                <w:szCs w:val="16"/>
              </w:rPr>
            </w:pPr>
            <w:r w:rsidRPr="00005453">
              <w:rPr>
                <w:color w:val="000000"/>
                <w:sz w:val="16"/>
                <w:szCs w:val="22"/>
              </w:rPr>
              <w:t>1,567,284</w:t>
            </w:r>
          </w:p>
        </w:tc>
      </w:tr>
      <w:tr w:rsidR="00AB479B" w:rsidRPr="00005453" w14:paraId="3EE434EB" w14:textId="77777777" w:rsidTr="00146E86">
        <w:trPr>
          <w:divId w:val="1700546150"/>
          <w:trHeight w:val="131"/>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1E21CA19" w14:textId="77777777" w:rsidR="002C5FB0" w:rsidRPr="00005453" w:rsidRDefault="002C5FB0" w:rsidP="002C5FB0">
            <w:pPr>
              <w:jc w:val="right"/>
              <w:rPr>
                <w:color w:val="000000"/>
                <w:sz w:val="16"/>
                <w:szCs w:val="16"/>
                <w:lang w:eastAsia="tr-TR"/>
              </w:rPr>
            </w:pPr>
            <w:r w:rsidRPr="00005453">
              <w:rPr>
                <w:color w:val="000000"/>
                <w:sz w:val="16"/>
                <w:szCs w:val="16"/>
                <w:lang w:eastAsia="tr-TR"/>
              </w:rPr>
              <w:t>2</w:t>
            </w:r>
          </w:p>
        </w:tc>
        <w:tc>
          <w:tcPr>
            <w:tcW w:w="3841" w:type="dxa"/>
            <w:tcBorders>
              <w:top w:val="nil"/>
              <w:left w:val="nil"/>
              <w:bottom w:val="single" w:sz="8" w:space="0" w:color="auto"/>
              <w:right w:val="single" w:sz="8" w:space="0" w:color="auto"/>
            </w:tcBorders>
            <w:shd w:val="clear" w:color="auto" w:fill="auto"/>
            <w:noWrap/>
            <w:vAlign w:val="center"/>
            <w:hideMark/>
          </w:tcPr>
          <w:p w14:paraId="1152F202" w14:textId="77777777" w:rsidR="002C5FB0" w:rsidRPr="00005453" w:rsidRDefault="002C5FB0" w:rsidP="002C5FB0">
            <w:pPr>
              <w:rPr>
                <w:color w:val="000000"/>
                <w:sz w:val="16"/>
                <w:szCs w:val="16"/>
                <w:lang w:eastAsia="tr-TR"/>
              </w:rPr>
            </w:pPr>
            <w:r w:rsidRPr="00005453">
              <w:rPr>
                <w:color w:val="000000"/>
                <w:sz w:val="16"/>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780" w:type="dxa"/>
            <w:tcBorders>
              <w:top w:val="nil"/>
              <w:left w:val="nil"/>
              <w:bottom w:val="single" w:sz="8" w:space="0" w:color="auto"/>
              <w:right w:val="single" w:sz="8" w:space="0" w:color="auto"/>
            </w:tcBorders>
            <w:shd w:val="clear" w:color="auto" w:fill="A6A6A6" w:themeFill="background1" w:themeFillShade="A6"/>
            <w:noWrap/>
            <w:vAlign w:val="center"/>
            <w:hideMark/>
          </w:tcPr>
          <w:p w14:paraId="361AF0CC"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4294932F"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58DF3A14"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06C40077"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876" w:type="dxa"/>
            <w:tcBorders>
              <w:top w:val="nil"/>
              <w:left w:val="nil"/>
              <w:bottom w:val="single" w:sz="8" w:space="0" w:color="auto"/>
              <w:right w:val="single" w:sz="8" w:space="0" w:color="auto"/>
            </w:tcBorders>
            <w:shd w:val="clear" w:color="auto" w:fill="A6A6A6" w:themeFill="background1" w:themeFillShade="A6"/>
            <w:noWrap/>
            <w:vAlign w:val="center"/>
            <w:hideMark/>
          </w:tcPr>
          <w:p w14:paraId="285277A0"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926" w:type="dxa"/>
            <w:tcBorders>
              <w:top w:val="nil"/>
              <w:left w:val="nil"/>
              <w:bottom w:val="single" w:sz="8" w:space="0" w:color="auto"/>
              <w:right w:val="single" w:sz="8" w:space="0" w:color="auto"/>
            </w:tcBorders>
            <w:shd w:val="clear" w:color="auto" w:fill="A6A6A6" w:themeFill="background1" w:themeFillShade="A6"/>
            <w:noWrap/>
            <w:vAlign w:val="center"/>
            <w:hideMark/>
          </w:tcPr>
          <w:p w14:paraId="7EC3F6E9"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r>
      <w:tr w:rsidR="00AB479B" w:rsidRPr="00005453" w14:paraId="59E70DD7" w14:textId="77777777" w:rsidTr="00146E86">
        <w:trPr>
          <w:divId w:val="1700546150"/>
          <w:trHeight w:val="16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3CEE0FB" w14:textId="77777777" w:rsidR="002C5FB0" w:rsidRPr="00005453" w:rsidRDefault="002C5FB0" w:rsidP="002C5FB0">
            <w:pPr>
              <w:jc w:val="right"/>
              <w:rPr>
                <w:color w:val="000000"/>
                <w:sz w:val="16"/>
                <w:szCs w:val="16"/>
                <w:lang w:eastAsia="tr-TR"/>
              </w:rPr>
            </w:pPr>
            <w:r w:rsidRPr="00005453">
              <w:rPr>
                <w:color w:val="000000"/>
                <w:sz w:val="16"/>
                <w:szCs w:val="16"/>
                <w:lang w:eastAsia="tr-TR"/>
              </w:rPr>
              <w:t>3</w:t>
            </w:r>
          </w:p>
        </w:tc>
        <w:tc>
          <w:tcPr>
            <w:tcW w:w="3841" w:type="dxa"/>
            <w:tcBorders>
              <w:top w:val="nil"/>
              <w:left w:val="nil"/>
              <w:bottom w:val="single" w:sz="8" w:space="0" w:color="auto"/>
              <w:right w:val="single" w:sz="8" w:space="0" w:color="auto"/>
            </w:tcBorders>
            <w:shd w:val="clear" w:color="auto" w:fill="auto"/>
            <w:noWrap/>
            <w:vAlign w:val="center"/>
            <w:hideMark/>
          </w:tcPr>
          <w:p w14:paraId="4299CD35" w14:textId="77777777" w:rsidR="002C5FB0" w:rsidRPr="00005453" w:rsidRDefault="002C5FB0" w:rsidP="002C5FB0">
            <w:pPr>
              <w:rPr>
                <w:color w:val="000000"/>
                <w:sz w:val="16"/>
                <w:szCs w:val="16"/>
                <w:lang w:eastAsia="tr-TR"/>
              </w:rPr>
            </w:pPr>
            <w:r w:rsidRPr="00005453">
              <w:rPr>
                <w:color w:val="000000"/>
                <w:sz w:val="16"/>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780" w:type="dxa"/>
            <w:tcBorders>
              <w:top w:val="nil"/>
              <w:left w:val="nil"/>
              <w:bottom w:val="single" w:sz="8" w:space="0" w:color="auto"/>
              <w:right w:val="single" w:sz="8" w:space="0" w:color="auto"/>
            </w:tcBorders>
            <w:shd w:val="clear" w:color="auto" w:fill="A6A6A6" w:themeFill="background1" w:themeFillShade="A6"/>
            <w:noWrap/>
            <w:vAlign w:val="center"/>
            <w:hideMark/>
          </w:tcPr>
          <w:p w14:paraId="216243CC"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51CF9EE8"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25101428"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74E20F41"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876" w:type="dxa"/>
            <w:tcBorders>
              <w:top w:val="nil"/>
              <w:left w:val="nil"/>
              <w:bottom w:val="single" w:sz="8" w:space="0" w:color="auto"/>
              <w:right w:val="single" w:sz="8" w:space="0" w:color="auto"/>
            </w:tcBorders>
            <w:shd w:val="clear" w:color="auto" w:fill="A6A6A6" w:themeFill="background1" w:themeFillShade="A6"/>
            <w:noWrap/>
            <w:vAlign w:val="center"/>
            <w:hideMark/>
          </w:tcPr>
          <w:p w14:paraId="1F7030D1"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926" w:type="dxa"/>
            <w:tcBorders>
              <w:top w:val="nil"/>
              <w:left w:val="nil"/>
              <w:bottom w:val="single" w:sz="8" w:space="0" w:color="auto"/>
              <w:right w:val="single" w:sz="8" w:space="0" w:color="auto"/>
            </w:tcBorders>
            <w:shd w:val="clear" w:color="auto" w:fill="A6A6A6" w:themeFill="background1" w:themeFillShade="A6"/>
            <w:noWrap/>
            <w:vAlign w:val="center"/>
            <w:hideMark/>
          </w:tcPr>
          <w:p w14:paraId="2E0D93AD"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r>
      <w:tr w:rsidR="00AB479B" w:rsidRPr="00005453" w14:paraId="39CC8D83" w14:textId="77777777" w:rsidTr="00146E86">
        <w:trPr>
          <w:divId w:val="1700546150"/>
          <w:trHeight w:val="1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100AE193" w14:textId="77777777" w:rsidR="002C5FB0" w:rsidRPr="00005453" w:rsidRDefault="002C5FB0" w:rsidP="002C5FB0">
            <w:pPr>
              <w:jc w:val="right"/>
              <w:rPr>
                <w:color w:val="000000"/>
                <w:sz w:val="16"/>
                <w:szCs w:val="16"/>
                <w:lang w:eastAsia="tr-TR"/>
              </w:rPr>
            </w:pPr>
            <w:r w:rsidRPr="00005453">
              <w:rPr>
                <w:color w:val="000000"/>
                <w:sz w:val="16"/>
                <w:szCs w:val="16"/>
                <w:lang w:eastAsia="tr-TR"/>
              </w:rPr>
              <w:t>4</w:t>
            </w:r>
          </w:p>
        </w:tc>
        <w:tc>
          <w:tcPr>
            <w:tcW w:w="3841" w:type="dxa"/>
            <w:tcBorders>
              <w:top w:val="nil"/>
              <w:left w:val="nil"/>
              <w:bottom w:val="single" w:sz="8" w:space="0" w:color="auto"/>
              <w:right w:val="single" w:sz="8" w:space="0" w:color="auto"/>
            </w:tcBorders>
            <w:shd w:val="clear" w:color="auto" w:fill="auto"/>
            <w:noWrap/>
            <w:vAlign w:val="center"/>
            <w:hideMark/>
          </w:tcPr>
          <w:p w14:paraId="0C7C9088" w14:textId="77777777" w:rsidR="002C5FB0" w:rsidRPr="00005453" w:rsidRDefault="002C5FB0" w:rsidP="002C5FB0">
            <w:pPr>
              <w:rPr>
                <w:color w:val="000000"/>
                <w:sz w:val="16"/>
                <w:szCs w:val="16"/>
                <w:lang w:eastAsia="tr-TR"/>
              </w:rPr>
            </w:pPr>
            <w:r w:rsidRPr="00005453">
              <w:rPr>
                <w:color w:val="000000"/>
                <w:sz w:val="16"/>
                <w:szCs w:val="16"/>
                <w:lang w:eastAsia="tr-TR"/>
              </w:rPr>
              <w:t xml:space="preserve">Kredi riski azaltımı için kapsamlı yöntem </w:t>
            </w:r>
            <w:proofErr w:type="gramStart"/>
            <w:r w:rsidRPr="00005453">
              <w:rPr>
                <w:color w:val="000000"/>
                <w:sz w:val="16"/>
                <w:szCs w:val="16"/>
                <w:lang w:eastAsia="tr-TR"/>
              </w:rPr>
              <w:t>–( repo</w:t>
            </w:r>
            <w:proofErr w:type="gramEnd"/>
            <w:r w:rsidRPr="00005453">
              <w:rPr>
                <w:color w:val="000000"/>
                <w:sz w:val="16"/>
                <w:szCs w:val="16"/>
                <w:lang w:eastAsia="tr-TR"/>
              </w:rPr>
              <w:t xml:space="preserve"> işlemleri, menkul kıymetler veya emtia ödünç verme veya ödünç alma işlemleri, takas süresi uzun işlemler ile kredili menkul kıymet işlemleri için)</w:t>
            </w:r>
          </w:p>
        </w:tc>
        <w:tc>
          <w:tcPr>
            <w:tcW w:w="780" w:type="dxa"/>
            <w:tcBorders>
              <w:top w:val="nil"/>
              <w:left w:val="nil"/>
              <w:bottom w:val="single" w:sz="8" w:space="0" w:color="auto"/>
              <w:right w:val="single" w:sz="8" w:space="0" w:color="auto"/>
            </w:tcBorders>
            <w:shd w:val="clear" w:color="auto" w:fill="A6A6A6" w:themeFill="background1" w:themeFillShade="A6"/>
            <w:noWrap/>
            <w:vAlign w:val="center"/>
            <w:hideMark/>
          </w:tcPr>
          <w:p w14:paraId="21C179DD"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166CDF91"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69C96DB4"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6F827CC9"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876" w:type="dxa"/>
            <w:tcBorders>
              <w:top w:val="nil"/>
              <w:left w:val="nil"/>
              <w:bottom w:val="single" w:sz="8" w:space="0" w:color="auto"/>
              <w:right w:val="single" w:sz="8" w:space="0" w:color="auto"/>
            </w:tcBorders>
            <w:shd w:val="clear" w:color="auto" w:fill="A6A6A6" w:themeFill="background1" w:themeFillShade="A6"/>
            <w:noWrap/>
            <w:vAlign w:val="center"/>
            <w:hideMark/>
          </w:tcPr>
          <w:p w14:paraId="7BFA2885"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926" w:type="dxa"/>
            <w:tcBorders>
              <w:top w:val="nil"/>
              <w:left w:val="nil"/>
              <w:bottom w:val="single" w:sz="8" w:space="0" w:color="auto"/>
              <w:right w:val="single" w:sz="8" w:space="0" w:color="auto"/>
            </w:tcBorders>
            <w:shd w:val="clear" w:color="auto" w:fill="A6A6A6" w:themeFill="background1" w:themeFillShade="A6"/>
            <w:noWrap/>
            <w:vAlign w:val="center"/>
            <w:hideMark/>
          </w:tcPr>
          <w:p w14:paraId="46F1801C"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r>
      <w:tr w:rsidR="00AB479B" w:rsidRPr="00005453" w14:paraId="570E8401" w14:textId="77777777" w:rsidTr="00146E86">
        <w:trPr>
          <w:divId w:val="1700546150"/>
          <w:trHeight w:val="140"/>
        </w:trPr>
        <w:tc>
          <w:tcPr>
            <w:tcW w:w="220" w:type="dxa"/>
            <w:tcBorders>
              <w:top w:val="nil"/>
              <w:left w:val="single" w:sz="8" w:space="0" w:color="auto"/>
              <w:bottom w:val="nil"/>
              <w:right w:val="single" w:sz="8" w:space="0" w:color="auto"/>
            </w:tcBorders>
            <w:shd w:val="clear" w:color="auto" w:fill="auto"/>
            <w:noWrap/>
            <w:vAlign w:val="center"/>
            <w:hideMark/>
          </w:tcPr>
          <w:p w14:paraId="775D9E2C" w14:textId="77777777" w:rsidR="002C5FB0" w:rsidRPr="00005453" w:rsidRDefault="002C5FB0" w:rsidP="002C5FB0">
            <w:pPr>
              <w:rPr>
                <w:color w:val="000000"/>
                <w:sz w:val="16"/>
                <w:szCs w:val="16"/>
                <w:lang w:eastAsia="tr-TR"/>
              </w:rPr>
            </w:pPr>
            <w:r w:rsidRPr="00005453">
              <w:rPr>
                <w:color w:val="000000"/>
                <w:sz w:val="16"/>
                <w:szCs w:val="16"/>
                <w:lang w:eastAsia="tr-TR"/>
              </w:rPr>
              <w:t>5</w:t>
            </w:r>
          </w:p>
        </w:tc>
        <w:tc>
          <w:tcPr>
            <w:tcW w:w="3841" w:type="dxa"/>
            <w:tcBorders>
              <w:top w:val="nil"/>
              <w:left w:val="nil"/>
              <w:bottom w:val="nil"/>
              <w:right w:val="single" w:sz="8" w:space="0" w:color="auto"/>
            </w:tcBorders>
            <w:shd w:val="clear" w:color="auto" w:fill="auto"/>
            <w:noWrap/>
            <w:vAlign w:val="center"/>
            <w:hideMark/>
          </w:tcPr>
          <w:p w14:paraId="5D89F80B" w14:textId="77777777" w:rsidR="002C5FB0" w:rsidRPr="00005453" w:rsidRDefault="002C5FB0" w:rsidP="002C5FB0">
            <w:pPr>
              <w:rPr>
                <w:color w:val="000000"/>
                <w:sz w:val="16"/>
                <w:szCs w:val="16"/>
                <w:lang w:eastAsia="tr-TR"/>
              </w:rPr>
            </w:pPr>
            <w:r w:rsidRPr="00005453">
              <w:rPr>
                <w:color w:val="000000"/>
                <w:sz w:val="16"/>
                <w:szCs w:val="16"/>
                <w:lang w:eastAsia="tr-TR"/>
              </w:rPr>
              <w:t>Repo işlemleri, menkul kıymetler veya emtia ödünç verme veya ödünç alma işlemleri, takas süresi uzun işlemler ile kredili menkul kıymet işlemleri için riske maruz değer</w:t>
            </w:r>
          </w:p>
        </w:tc>
        <w:tc>
          <w:tcPr>
            <w:tcW w:w="780" w:type="dxa"/>
            <w:tcBorders>
              <w:top w:val="nil"/>
              <w:left w:val="nil"/>
              <w:bottom w:val="nil"/>
              <w:right w:val="single" w:sz="8" w:space="0" w:color="auto"/>
            </w:tcBorders>
            <w:shd w:val="clear" w:color="auto" w:fill="A6A6A6" w:themeFill="background1" w:themeFillShade="A6"/>
            <w:noWrap/>
            <w:vAlign w:val="center"/>
            <w:hideMark/>
          </w:tcPr>
          <w:p w14:paraId="10FD93CB"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860" w:type="dxa"/>
            <w:tcBorders>
              <w:top w:val="nil"/>
              <w:left w:val="nil"/>
              <w:bottom w:val="nil"/>
              <w:right w:val="single" w:sz="8" w:space="0" w:color="auto"/>
            </w:tcBorders>
            <w:shd w:val="clear" w:color="auto" w:fill="A6A6A6" w:themeFill="background1" w:themeFillShade="A6"/>
            <w:noWrap/>
            <w:vAlign w:val="center"/>
            <w:hideMark/>
          </w:tcPr>
          <w:p w14:paraId="6B1B8565"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nil"/>
              <w:right w:val="single" w:sz="8" w:space="0" w:color="auto"/>
            </w:tcBorders>
            <w:shd w:val="clear" w:color="auto" w:fill="A6A6A6" w:themeFill="background1" w:themeFillShade="A6"/>
            <w:noWrap/>
            <w:vAlign w:val="center"/>
            <w:hideMark/>
          </w:tcPr>
          <w:p w14:paraId="19D96BCE"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nil"/>
              <w:right w:val="single" w:sz="8" w:space="0" w:color="auto"/>
            </w:tcBorders>
            <w:shd w:val="clear" w:color="auto" w:fill="A6A6A6" w:themeFill="background1" w:themeFillShade="A6"/>
            <w:noWrap/>
            <w:vAlign w:val="center"/>
            <w:hideMark/>
          </w:tcPr>
          <w:p w14:paraId="450977E8"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876" w:type="dxa"/>
            <w:tcBorders>
              <w:top w:val="nil"/>
              <w:left w:val="nil"/>
              <w:bottom w:val="nil"/>
              <w:right w:val="single" w:sz="8" w:space="0" w:color="auto"/>
            </w:tcBorders>
            <w:shd w:val="clear" w:color="auto" w:fill="A6A6A6" w:themeFill="background1" w:themeFillShade="A6"/>
            <w:noWrap/>
            <w:vAlign w:val="center"/>
            <w:hideMark/>
          </w:tcPr>
          <w:p w14:paraId="1749D05B"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926" w:type="dxa"/>
            <w:tcBorders>
              <w:top w:val="nil"/>
              <w:left w:val="nil"/>
              <w:bottom w:val="nil"/>
              <w:right w:val="single" w:sz="8" w:space="0" w:color="auto"/>
            </w:tcBorders>
            <w:shd w:val="clear" w:color="auto" w:fill="A6A6A6" w:themeFill="background1" w:themeFillShade="A6"/>
            <w:noWrap/>
            <w:vAlign w:val="center"/>
            <w:hideMark/>
          </w:tcPr>
          <w:p w14:paraId="05CAFB12"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r>
      <w:tr w:rsidR="002C5FB0" w:rsidRPr="00005453" w14:paraId="63692A5B" w14:textId="77777777" w:rsidTr="00146E86">
        <w:trPr>
          <w:divId w:val="1700546150"/>
          <w:trHeight w:val="114"/>
        </w:trPr>
        <w:tc>
          <w:tcPr>
            <w:tcW w:w="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EB097B" w14:textId="77777777" w:rsidR="002C5FB0" w:rsidRPr="00005453" w:rsidRDefault="002C5FB0" w:rsidP="002C5FB0">
            <w:pPr>
              <w:rPr>
                <w:color w:val="000000"/>
                <w:sz w:val="16"/>
                <w:szCs w:val="16"/>
                <w:lang w:eastAsia="tr-TR"/>
              </w:rPr>
            </w:pPr>
            <w:r w:rsidRPr="00005453">
              <w:rPr>
                <w:color w:val="000000"/>
                <w:sz w:val="16"/>
                <w:szCs w:val="16"/>
                <w:lang w:eastAsia="tr-TR"/>
              </w:rPr>
              <w:t>6</w:t>
            </w:r>
          </w:p>
        </w:tc>
        <w:tc>
          <w:tcPr>
            <w:tcW w:w="3841" w:type="dxa"/>
            <w:tcBorders>
              <w:top w:val="single" w:sz="8" w:space="0" w:color="auto"/>
              <w:left w:val="nil"/>
              <w:bottom w:val="single" w:sz="8" w:space="0" w:color="auto"/>
              <w:right w:val="single" w:sz="8" w:space="0" w:color="auto"/>
            </w:tcBorders>
            <w:shd w:val="clear" w:color="auto" w:fill="auto"/>
            <w:noWrap/>
            <w:vAlign w:val="center"/>
            <w:hideMark/>
          </w:tcPr>
          <w:p w14:paraId="6DD79BD5" w14:textId="77777777" w:rsidR="002C5FB0" w:rsidRPr="00005453" w:rsidRDefault="002C5FB0" w:rsidP="002C5FB0">
            <w:pPr>
              <w:rPr>
                <w:b/>
                <w:bCs/>
                <w:color w:val="000000"/>
                <w:sz w:val="16"/>
                <w:szCs w:val="16"/>
                <w:lang w:eastAsia="tr-TR"/>
              </w:rPr>
            </w:pPr>
            <w:r w:rsidRPr="00005453">
              <w:rPr>
                <w:b/>
                <w:bCs/>
                <w:color w:val="000000"/>
                <w:sz w:val="16"/>
                <w:szCs w:val="16"/>
                <w:lang w:eastAsia="tr-TR"/>
              </w:rPr>
              <w:t>Toplam</w:t>
            </w:r>
          </w:p>
        </w:tc>
        <w:tc>
          <w:tcPr>
            <w:tcW w:w="780"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038226A8"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860"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33119A47"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674"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455865D1"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065"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6B46DC76"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1876"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18849D65" w14:textId="77777777" w:rsidR="002C5FB0" w:rsidRPr="00005453" w:rsidRDefault="002C5FB0" w:rsidP="002C5FB0">
            <w:pPr>
              <w:jc w:val="right"/>
              <w:rPr>
                <w:color w:val="000000"/>
                <w:sz w:val="16"/>
                <w:szCs w:val="16"/>
                <w:lang w:eastAsia="tr-TR"/>
              </w:rPr>
            </w:pPr>
            <w:r w:rsidRPr="00005453">
              <w:rPr>
                <w:color w:val="000000"/>
                <w:sz w:val="16"/>
                <w:szCs w:val="16"/>
                <w:lang w:eastAsia="tr-TR"/>
              </w:rPr>
              <w:t> </w:t>
            </w:r>
          </w:p>
        </w:tc>
        <w:tc>
          <w:tcPr>
            <w:tcW w:w="926" w:type="dxa"/>
            <w:tcBorders>
              <w:top w:val="single" w:sz="8" w:space="0" w:color="auto"/>
              <w:left w:val="nil"/>
              <w:bottom w:val="single" w:sz="8" w:space="0" w:color="auto"/>
              <w:right w:val="single" w:sz="8" w:space="0" w:color="auto"/>
            </w:tcBorders>
            <w:shd w:val="clear" w:color="auto" w:fill="auto"/>
            <w:noWrap/>
            <w:vAlign w:val="center"/>
            <w:hideMark/>
          </w:tcPr>
          <w:p w14:paraId="3296EF5A" w14:textId="2BCB8B1E" w:rsidR="002C5FB0" w:rsidRPr="00005453" w:rsidRDefault="00146E86" w:rsidP="00312FD6">
            <w:pPr>
              <w:jc w:val="right"/>
              <w:rPr>
                <w:b/>
                <w:bCs/>
                <w:color w:val="000000"/>
                <w:sz w:val="16"/>
                <w:szCs w:val="16"/>
                <w:lang w:eastAsia="tr-TR"/>
              </w:rPr>
            </w:pPr>
            <w:r w:rsidRPr="00005453">
              <w:rPr>
                <w:b/>
                <w:color w:val="000000"/>
                <w:sz w:val="16"/>
                <w:szCs w:val="16"/>
              </w:rPr>
              <w:t>1,567</w:t>
            </w:r>
            <w:r w:rsidR="001D127E" w:rsidRPr="00005453">
              <w:rPr>
                <w:b/>
                <w:color w:val="000000"/>
                <w:sz w:val="16"/>
                <w:szCs w:val="16"/>
              </w:rPr>
              <w:t>,</w:t>
            </w:r>
            <w:r w:rsidRPr="00005453">
              <w:rPr>
                <w:b/>
                <w:color w:val="000000"/>
                <w:sz w:val="16"/>
                <w:szCs w:val="16"/>
              </w:rPr>
              <w:t>284</w:t>
            </w:r>
          </w:p>
        </w:tc>
      </w:tr>
    </w:tbl>
    <w:p w14:paraId="4826FF28" w14:textId="1F6FB7FA" w:rsidR="0079509D" w:rsidRPr="00005453" w:rsidRDefault="0079509D" w:rsidP="009A1B05">
      <w:pPr>
        <w:pStyle w:val="NormalIndent"/>
        <w:ind w:left="0"/>
        <w:jc w:val="both"/>
        <w:rPr>
          <w:rFonts w:eastAsia="Arial Unicode MS"/>
          <w:noProof w:val="0"/>
          <w:sz w:val="16"/>
          <w:szCs w:val="16"/>
        </w:rPr>
      </w:pPr>
    </w:p>
    <w:p w14:paraId="37B4E5E9" w14:textId="45671A7B" w:rsidR="00636021" w:rsidRPr="00005453" w:rsidRDefault="00636021" w:rsidP="009A1B05">
      <w:pPr>
        <w:pStyle w:val="NormalIndent"/>
        <w:ind w:left="0"/>
        <w:jc w:val="both"/>
        <w:rPr>
          <w:rFonts w:eastAsia="Arial Unicode MS"/>
          <w:noProof w:val="0"/>
          <w:sz w:val="16"/>
          <w:szCs w:val="16"/>
        </w:rPr>
      </w:pPr>
    </w:p>
    <w:tbl>
      <w:tblPr>
        <w:tblW w:w="10196" w:type="dxa"/>
        <w:tblCellMar>
          <w:left w:w="70" w:type="dxa"/>
          <w:right w:w="70" w:type="dxa"/>
        </w:tblCellMar>
        <w:tblLook w:val="04A0" w:firstRow="1" w:lastRow="0" w:firstColumn="1" w:lastColumn="0" w:noHBand="0" w:noVBand="1"/>
      </w:tblPr>
      <w:tblGrid>
        <w:gridCol w:w="220"/>
        <w:gridCol w:w="3881"/>
        <w:gridCol w:w="851"/>
        <w:gridCol w:w="843"/>
        <w:gridCol w:w="674"/>
        <w:gridCol w:w="1065"/>
        <w:gridCol w:w="1812"/>
        <w:gridCol w:w="850"/>
      </w:tblGrid>
      <w:tr w:rsidR="00CB6904" w:rsidRPr="00005453" w14:paraId="4706E843" w14:textId="77777777" w:rsidTr="00BD1BED">
        <w:trPr>
          <w:divId w:val="1580675136"/>
          <w:trHeight w:val="334"/>
        </w:trPr>
        <w:tc>
          <w:tcPr>
            <w:tcW w:w="410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1D771B" w14:textId="1299F767" w:rsidR="00636021" w:rsidRPr="00005453" w:rsidRDefault="00636021" w:rsidP="00636021">
            <w:pPr>
              <w:jc w:val="center"/>
              <w:rPr>
                <w:b/>
                <w:bCs/>
                <w:color w:val="000000"/>
                <w:sz w:val="16"/>
                <w:szCs w:val="16"/>
                <w:lang w:eastAsia="tr-TR"/>
              </w:rPr>
            </w:pPr>
            <w:r w:rsidRPr="00005453">
              <w:rPr>
                <w:b/>
                <w:bCs/>
                <w:color w:val="000000"/>
                <w:sz w:val="16"/>
                <w:szCs w:val="16"/>
                <w:lang w:eastAsia="tr-TR"/>
              </w:rPr>
              <w:t>Önceki Dönem</w:t>
            </w:r>
          </w:p>
        </w:tc>
        <w:tc>
          <w:tcPr>
            <w:tcW w:w="851" w:type="dxa"/>
            <w:tcBorders>
              <w:top w:val="single" w:sz="8" w:space="0" w:color="auto"/>
              <w:left w:val="nil"/>
              <w:bottom w:val="single" w:sz="8" w:space="0" w:color="auto"/>
              <w:right w:val="single" w:sz="8" w:space="0" w:color="auto"/>
            </w:tcBorders>
            <w:shd w:val="clear" w:color="auto" w:fill="auto"/>
            <w:vAlign w:val="center"/>
            <w:hideMark/>
          </w:tcPr>
          <w:p w14:paraId="486F18DB" w14:textId="77777777" w:rsidR="00636021" w:rsidRPr="00005453" w:rsidRDefault="00636021" w:rsidP="00636021">
            <w:pPr>
              <w:jc w:val="center"/>
              <w:rPr>
                <w:b/>
                <w:bCs/>
                <w:color w:val="000000"/>
                <w:sz w:val="16"/>
                <w:szCs w:val="16"/>
                <w:lang w:eastAsia="tr-TR"/>
              </w:rPr>
            </w:pPr>
            <w:r w:rsidRPr="00005453">
              <w:rPr>
                <w:b/>
                <w:bCs/>
                <w:color w:val="000000"/>
                <w:sz w:val="16"/>
                <w:szCs w:val="16"/>
                <w:lang w:eastAsia="tr-TR"/>
              </w:rPr>
              <w:t>Yenileme Maliyeti</w:t>
            </w:r>
          </w:p>
        </w:tc>
        <w:tc>
          <w:tcPr>
            <w:tcW w:w="843" w:type="dxa"/>
            <w:tcBorders>
              <w:top w:val="single" w:sz="8" w:space="0" w:color="auto"/>
              <w:left w:val="nil"/>
              <w:bottom w:val="single" w:sz="8" w:space="0" w:color="auto"/>
              <w:right w:val="single" w:sz="8" w:space="0" w:color="auto"/>
            </w:tcBorders>
            <w:shd w:val="clear" w:color="auto" w:fill="auto"/>
            <w:vAlign w:val="center"/>
            <w:hideMark/>
          </w:tcPr>
          <w:p w14:paraId="69195F6D" w14:textId="77777777" w:rsidR="00636021" w:rsidRPr="00005453" w:rsidRDefault="00636021" w:rsidP="00636021">
            <w:pPr>
              <w:jc w:val="center"/>
              <w:rPr>
                <w:b/>
                <w:bCs/>
                <w:color w:val="000000"/>
                <w:sz w:val="16"/>
                <w:szCs w:val="16"/>
                <w:lang w:eastAsia="tr-TR"/>
              </w:rPr>
            </w:pPr>
            <w:r w:rsidRPr="00005453">
              <w:rPr>
                <w:b/>
                <w:bCs/>
                <w:color w:val="000000"/>
                <w:sz w:val="16"/>
                <w:szCs w:val="16"/>
                <w:lang w:eastAsia="tr-TR"/>
              </w:rPr>
              <w:t>Potansiyel Kredi Riski Tutarı</w:t>
            </w:r>
          </w:p>
        </w:tc>
        <w:tc>
          <w:tcPr>
            <w:tcW w:w="674" w:type="dxa"/>
            <w:tcBorders>
              <w:top w:val="single" w:sz="8" w:space="0" w:color="auto"/>
              <w:left w:val="nil"/>
              <w:bottom w:val="single" w:sz="8" w:space="0" w:color="auto"/>
              <w:right w:val="single" w:sz="8" w:space="0" w:color="auto"/>
            </w:tcBorders>
            <w:shd w:val="clear" w:color="auto" w:fill="auto"/>
            <w:vAlign w:val="center"/>
            <w:hideMark/>
          </w:tcPr>
          <w:p w14:paraId="0D6EB896" w14:textId="77777777" w:rsidR="00636021" w:rsidRPr="00005453" w:rsidRDefault="00636021" w:rsidP="00636021">
            <w:pPr>
              <w:jc w:val="center"/>
              <w:rPr>
                <w:b/>
                <w:bCs/>
                <w:color w:val="000000"/>
                <w:sz w:val="16"/>
                <w:szCs w:val="16"/>
                <w:lang w:eastAsia="tr-TR"/>
              </w:rPr>
            </w:pPr>
            <w:r w:rsidRPr="00005453">
              <w:rPr>
                <w:b/>
                <w:bCs/>
                <w:color w:val="000000"/>
                <w:sz w:val="16"/>
                <w:szCs w:val="16"/>
                <w:lang w:eastAsia="tr-TR"/>
              </w:rPr>
              <w:t>EBPRT</w:t>
            </w:r>
          </w:p>
        </w:tc>
        <w:tc>
          <w:tcPr>
            <w:tcW w:w="1065" w:type="dxa"/>
            <w:tcBorders>
              <w:top w:val="single" w:sz="8" w:space="0" w:color="auto"/>
              <w:left w:val="nil"/>
              <w:bottom w:val="single" w:sz="8" w:space="0" w:color="auto"/>
              <w:right w:val="single" w:sz="8" w:space="0" w:color="auto"/>
            </w:tcBorders>
            <w:shd w:val="clear" w:color="auto" w:fill="auto"/>
            <w:vAlign w:val="center"/>
            <w:hideMark/>
          </w:tcPr>
          <w:p w14:paraId="6BABF9C1" w14:textId="77777777" w:rsidR="00636021" w:rsidRPr="00005453" w:rsidRDefault="00636021" w:rsidP="00636021">
            <w:pPr>
              <w:jc w:val="center"/>
              <w:rPr>
                <w:b/>
                <w:bCs/>
                <w:color w:val="000000"/>
                <w:sz w:val="16"/>
                <w:szCs w:val="16"/>
                <w:lang w:eastAsia="tr-TR"/>
              </w:rPr>
            </w:pPr>
            <w:r w:rsidRPr="00005453">
              <w:rPr>
                <w:b/>
                <w:bCs/>
                <w:color w:val="000000"/>
                <w:sz w:val="16"/>
                <w:szCs w:val="16"/>
                <w:lang w:eastAsia="tr-TR"/>
              </w:rPr>
              <w:t>Yasal risk tutarının hesaplanması için kullanılan alfa</w:t>
            </w:r>
          </w:p>
        </w:tc>
        <w:tc>
          <w:tcPr>
            <w:tcW w:w="1812" w:type="dxa"/>
            <w:tcBorders>
              <w:top w:val="single" w:sz="8" w:space="0" w:color="auto"/>
              <w:left w:val="nil"/>
              <w:bottom w:val="single" w:sz="8" w:space="0" w:color="auto"/>
              <w:right w:val="single" w:sz="8" w:space="0" w:color="auto"/>
            </w:tcBorders>
            <w:shd w:val="clear" w:color="auto" w:fill="auto"/>
            <w:vAlign w:val="center"/>
            <w:hideMark/>
          </w:tcPr>
          <w:p w14:paraId="3F9941D9" w14:textId="77777777" w:rsidR="00636021" w:rsidRPr="00005453" w:rsidRDefault="00636021" w:rsidP="00636021">
            <w:pPr>
              <w:jc w:val="center"/>
              <w:rPr>
                <w:b/>
                <w:bCs/>
                <w:color w:val="000000"/>
                <w:sz w:val="16"/>
                <w:szCs w:val="16"/>
                <w:lang w:eastAsia="tr-TR"/>
              </w:rPr>
            </w:pPr>
            <w:r w:rsidRPr="00005453">
              <w:rPr>
                <w:b/>
                <w:bCs/>
                <w:color w:val="000000"/>
                <w:sz w:val="16"/>
                <w:szCs w:val="16"/>
                <w:lang w:eastAsia="tr-TR"/>
              </w:rPr>
              <w:t xml:space="preserve">Kredi riski azaltımı sonrası </w:t>
            </w:r>
            <w:proofErr w:type="gramStart"/>
            <w:r w:rsidRPr="00005453">
              <w:rPr>
                <w:b/>
                <w:bCs/>
                <w:color w:val="000000"/>
                <w:sz w:val="16"/>
                <w:szCs w:val="16"/>
                <w:lang w:eastAsia="tr-TR"/>
              </w:rPr>
              <w:t>risk  tutarı</w:t>
            </w:r>
            <w:proofErr w:type="gramEnd"/>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757FE87D" w14:textId="77777777" w:rsidR="00636021" w:rsidRPr="00005453" w:rsidRDefault="00636021" w:rsidP="00636021">
            <w:pPr>
              <w:jc w:val="center"/>
              <w:rPr>
                <w:b/>
                <w:bCs/>
                <w:color w:val="000000"/>
                <w:sz w:val="16"/>
                <w:szCs w:val="16"/>
                <w:lang w:eastAsia="tr-TR"/>
              </w:rPr>
            </w:pPr>
            <w:r w:rsidRPr="00005453">
              <w:rPr>
                <w:b/>
                <w:bCs/>
                <w:color w:val="000000"/>
                <w:sz w:val="16"/>
                <w:szCs w:val="16"/>
                <w:lang w:eastAsia="tr-TR"/>
              </w:rPr>
              <w:t>Risk ağırlıklı tutarlar</w:t>
            </w:r>
          </w:p>
        </w:tc>
      </w:tr>
      <w:tr w:rsidR="00126177" w:rsidRPr="00005453" w14:paraId="62FC62EB" w14:textId="77777777" w:rsidTr="00126177">
        <w:trPr>
          <w:divId w:val="1580675136"/>
          <w:trHeight w:val="120"/>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6F093F0F" w14:textId="77777777" w:rsidR="00126177" w:rsidRPr="00005453" w:rsidRDefault="00126177" w:rsidP="00126177">
            <w:pPr>
              <w:rPr>
                <w:color w:val="000000"/>
                <w:sz w:val="16"/>
                <w:szCs w:val="16"/>
                <w:lang w:eastAsia="tr-TR"/>
              </w:rPr>
            </w:pPr>
            <w:r w:rsidRPr="00005453">
              <w:rPr>
                <w:color w:val="000000"/>
                <w:sz w:val="16"/>
                <w:szCs w:val="16"/>
                <w:lang w:eastAsia="tr-TR"/>
              </w:rPr>
              <w:t>1</w:t>
            </w:r>
          </w:p>
        </w:tc>
        <w:tc>
          <w:tcPr>
            <w:tcW w:w="3881" w:type="dxa"/>
            <w:tcBorders>
              <w:top w:val="nil"/>
              <w:left w:val="nil"/>
              <w:bottom w:val="single" w:sz="8" w:space="0" w:color="auto"/>
              <w:right w:val="single" w:sz="8" w:space="0" w:color="auto"/>
            </w:tcBorders>
            <w:shd w:val="clear" w:color="auto" w:fill="auto"/>
            <w:noWrap/>
            <w:vAlign w:val="center"/>
            <w:hideMark/>
          </w:tcPr>
          <w:p w14:paraId="50C511CB" w14:textId="77777777" w:rsidR="00126177" w:rsidRPr="00005453" w:rsidRDefault="00126177" w:rsidP="00126177">
            <w:pPr>
              <w:rPr>
                <w:color w:val="000000"/>
                <w:sz w:val="16"/>
                <w:szCs w:val="16"/>
                <w:lang w:eastAsia="tr-TR"/>
              </w:rPr>
            </w:pPr>
            <w:r w:rsidRPr="00005453">
              <w:rPr>
                <w:color w:val="000000"/>
                <w:sz w:val="16"/>
                <w:szCs w:val="16"/>
                <w:lang w:eastAsia="tr-TR"/>
              </w:rPr>
              <w:t xml:space="preserve">Standart </w:t>
            </w:r>
            <w:proofErr w:type="gramStart"/>
            <w:r w:rsidRPr="00005453">
              <w:rPr>
                <w:color w:val="000000"/>
                <w:sz w:val="16"/>
                <w:szCs w:val="16"/>
                <w:lang w:eastAsia="tr-TR"/>
              </w:rPr>
              <w:t>yaklaşım -</w:t>
            </w:r>
            <w:proofErr w:type="gramEnd"/>
            <w:r w:rsidRPr="00005453">
              <w:rPr>
                <w:color w:val="000000"/>
                <w:sz w:val="16"/>
                <w:szCs w:val="16"/>
                <w:lang w:eastAsia="tr-TR"/>
              </w:rPr>
              <w:t xml:space="preserve"> KKR (türevler için)*</w:t>
            </w:r>
          </w:p>
        </w:tc>
        <w:tc>
          <w:tcPr>
            <w:tcW w:w="851" w:type="dxa"/>
            <w:tcBorders>
              <w:top w:val="nil"/>
              <w:left w:val="nil"/>
              <w:bottom w:val="single" w:sz="8" w:space="0" w:color="auto"/>
              <w:right w:val="single" w:sz="8" w:space="0" w:color="auto"/>
            </w:tcBorders>
            <w:shd w:val="clear" w:color="auto" w:fill="auto"/>
            <w:noWrap/>
            <w:vAlign w:val="center"/>
            <w:hideMark/>
          </w:tcPr>
          <w:p w14:paraId="33486F97" w14:textId="7A73F6F6" w:rsidR="00126177" w:rsidRPr="00005453" w:rsidRDefault="00126177" w:rsidP="00126177">
            <w:pPr>
              <w:jc w:val="right"/>
              <w:rPr>
                <w:color w:val="000000"/>
                <w:sz w:val="16"/>
                <w:szCs w:val="16"/>
                <w:lang w:eastAsia="tr-TR"/>
              </w:rPr>
            </w:pPr>
            <w:r w:rsidRPr="00005453">
              <w:rPr>
                <w:color w:val="000000"/>
                <w:sz w:val="16"/>
                <w:szCs w:val="16"/>
              </w:rPr>
              <w:t>1,173,204</w:t>
            </w:r>
          </w:p>
        </w:tc>
        <w:tc>
          <w:tcPr>
            <w:tcW w:w="843" w:type="dxa"/>
            <w:tcBorders>
              <w:top w:val="nil"/>
              <w:left w:val="nil"/>
              <w:bottom w:val="single" w:sz="8" w:space="0" w:color="auto"/>
              <w:right w:val="single" w:sz="8" w:space="0" w:color="auto"/>
            </w:tcBorders>
            <w:shd w:val="clear" w:color="auto" w:fill="auto"/>
            <w:noWrap/>
            <w:vAlign w:val="center"/>
            <w:hideMark/>
          </w:tcPr>
          <w:p w14:paraId="7CEDBB55" w14:textId="4DD6253E" w:rsidR="00126177" w:rsidRPr="00005453" w:rsidRDefault="00126177" w:rsidP="00126177">
            <w:pPr>
              <w:jc w:val="right"/>
              <w:rPr>
                <w:color w:val="000000"/>
                <w:sz w:val="16"/>
                <w:szCs w:val="16"/>
                <w:lang w:eastAsia="tr-TR"/>
              </w:rPr>
            </w:pPr>
            <w:r w:rsidRPr="00005453">
              <w:rPr>
                <w:color w:val="000000"/>
                <w:sz w:val="16"/>
                <w:szCs w:val="16"/>
              </w:rPr>
              <w:t>724,989</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4738B705" w14:textId="4AA826DF" w:rsidR="00126177" w:rsidRPr="00005453" w:rsidRDefault="00126177" w:rsidP="00126177">
            <w:pPr>
              <w:jc w:val="right"/>
              <w:rPr>
                <w:color w:val="000000"/>
                <w:sz w:val="16"/>
                <w:szCs w:val="16"/>
                <w:lang w:eastAsia="tr-TR"/>
              </w:rPr>
            </w:pPr>
          </w:p>
        </w:tc>
        <w:tc>
          <w:tcPr>
            <w:tcW w:w="1065" w:type="dxa"/>
            <w:tcBorders>
              <w:top w:val="nil"/>
              <w:left w:val="nil"/>
              <w:bottom w:val="single" w:sz="8" w:space="0" w:color="auto"/>
              <w:right w:val="single" w:sz="8" w:space="0" w:color="auto"/>
            </w:tcBorders>
            <w:shd w:val="clear" w:color="auto" w:fill="auto"/>
            <w:noWrap/>
            <w:vAlign w:val="center"/>
            <w:hideMark/>
          </w:tcPr>
          <w:p w14:paraId="65D2207E" w14:textId="2B5F8854" w:rsidR="00126177" w:rsidRPr="00005453" w:rsidRDefault="00126177" w:rsidP="00126177">
            <w:pPr>
              <w:jc w:val="right"/>
              <w:rPr>
                <w:color w:val="000000"/>
                <w:sz w:val="16"/>
                <w:szCs w:val="16"/>
                <w:lang w:eastAsia="tr-TR"/>
              </w:rPr>
            </w:pPr>
            <w:r w:rsidRPr="00005453">
              <w:rPr>
                <w:color w:val="000000"/>
                <w:sz w:val="16"/>
                <w:szCs w:val="16"/>
              </w:rPr>
              <w:t>1.4</w:t>
            </w:r>
          </w:p>
        </w:tc>
        <w:tc>
          <w:tcPr>
            <w:tcW w:w="1812" w:type="dxa"/>
            <w:tcBorders>
              <w:top w:val="nil"/>
              <w:left w:val="nil"/>
              <w:bottom w:val="single" w:sz="8" w:space="0" w:color="auto"/>
              <w:right w:val="single" w:sz="8" w:space="0" w:color="auto"/>
            </w:tcBorders>
            <w:shd w:val="clear" w:color="auto" w:fill="auto"/>
            <w:noWrap/>
            <w:vAlign w:val="center"/>
            <w:hideMark/>
          </w:tcPr>
          <w:p w14:paraId="49356E45" w14:textId="0AFDB8F7" w:rsidR="00126177" w:rsidRPr="00005453" w:rsidRDefault="00126177" w:rsidP="00126177">
            <w:pPr>
              <w:jc w:val="right"/>
              <w:rPr>
                <w:color w:val="000000"/>
                <w:sz w:val="16"/>
                <w:szCs w:val="16"/>
                <w:lang w:eastAsia="tr-TR"/>
              </w:rPr>
            </w:pPr>
            <w:r w:rsidRPr="00005453">
              <w:rPr>
                <w:color w:val="000000"/>
                <w:sz w:val="16"/>
                <w:szCs w:val="16"/>
              </w:rPr>
              <w:t>2,657,471</w:t>
            </w:r>
          </w:p>
        </w:tc>
        <w:tc>
          <w:tcPr>
            <w:tcW w:w="850" w:type="dxa"/>
            <w:tcBorders>
              <w:top w:val="nil"/>
              <w:left w:val="nil"/>
              <w:bottom w:val="single" w:sz="8" w:space="0" w:color="auto"/>
              <w:right w:val="single" w:sz="8" w:space="0" w:color="auto"/>
            </w:tcBorders>
            <w:shd w:val="clear" w:color="auto" w:fill="auto"/>
            <w:noWrap/>
            <w:vAlign w:val="center"/>
            <w:hideMark/>
          </w:tcPr>
          <w:p w14:paraId="21D42782" w14:textId="42AD82EB" w:rsidR="00126177" w:rsidRPr="00005453" w:rsidRDefault="00126177" w:rsidP="00126177">
            <w:pPr>
              <w:jc w:val="right"/>
              <w:rPr>
                <w:color w:val="000000"/>
                <w:sz w:val="16"/>
                <w:szCs w:val="16"/>
                <w:lang w:eastAsia="tr-TR"/>
              </w:rPr>
            </w:pPr>
            <w:r w:rsidRPr="00005453">
              <w:rPr>
                <w:color w:val="000000"/>
                <w:sz w:val="16"/>
                <w:szCs w:val="16"/>
              </w:rPr>
              <w:t>980,846</w:t>
            </w:r>
          </w:p>
        </w:tc>
      </w:tr>
      <w:tr w:rsidR="00CB6904" w:rsidRPr="00005453" w14:paraId="48F0400B" w14:textId="77777777" w:rsidTr="00BD1BED">
        <w:trPr>
          <w:divId w:val="1580675136"/>
          <w:trHeight w:val="93"/>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076BB029" w14:textId="77777777" w:rsidR="00F57DCD" w:rsidRPr="00005453" w:rsidRDefault="00F57DCD" w:rsidP="00F57DCD">
            <w:pPr>
              <w:jc w:val="right"/>
              <w:rPr>
                <w:color w:val="000000"/>
                <w:sz w:val="16"/>
                <w:szCs w:val="16"/>
                <w:lang w:eastAsia="tr-TR"/>
              </w:rPr>
            </w:pPr>
            <w:r w:rsidRPr="00005453">
              <w:rPr>
                <w:color w:val="000000"/>
                <w:sz w:val="16"/>
                <w:szCs w:val="16"/>
                <w:lang w:eastAsia="tr-TR"/>
              </w:rPr>
              <w:t>2</w:t>
            </w:r>
          </w:p>
        </w:tc>
        <w:tc>
          <w:tcPr>
            <w:tcW w:w="3881" w:type="dxa"/>
            <w:tcBorders>
              <w:top w:val="nil"/>
              <w:left w:val="nil"/>
              <w:bottom w:val="single" w:sz="8" w:space="0" w:color="auto"/>
              <w:right w:val="single" w:sz="8" w:space="0" w:color="auto"/>
            </w:tcBorders>
            <w:shd w:val="clear" w:color="auto" w:fill="auto"/>
            <w:noWrap/>
            <w:vAlign w:val="center"/>
            <w:hideMark/>
          </w:tcPr>
          <w:p w14:paraId="4951BFC1" w14:textId="77777777" w:rsidR="00F57DCD" w:rsidRPr="00005453" w:rsidRDefault="00F57DCD" w:rsidP="00F57DCD">
            <w:pPr>
              <w:rPr>
                <w:color w:val="000000"/>
                <w:sz w:val="16"/>
                <w:szCs w:val="16"/>
                <w:lang w:eastAsia="tr-TR"/>
              </w:rPr>
            </w:pPr>
            <w:r w:rsidRPr="00005453">
              <w:rPr>
                <w:color w:val="000000"/>
                <w:sz w:val="16"/>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51" w:type="dxa"/>
            <w:tcBorders>
              <w:top w:val="nil"/>
              <w:left w:val="nil"/>
              <w:bottom w:val="single" w:sz="8" w:space="0" w:color="auto"/>
              <w:right w:val="single" w:sz="8" w:space="0" w:color="auto"/>
            </w:tcBorders>
            <w:shd w:val="clear" w:color="auto" w:fill="A6A6A6" w:themeFill="background1" w:themeFillShade="A6"/>
            <w:noWrap/>
            <w:vAlign w:val="center"/>
            <w:hideMark/>
          </w:tcPr>
          <w:p w14:paraId="6036250E" w14:textId="524C4188"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43" w:type="dxa"/>
            <w:tcBorders>
              <w:top w:val="nil"/>
              <w:left w:val="nil"/>
              <w:bottom w:val="single" w:sz="8" w:space="0" w:color="auto"/>
              <w:right w:val="single" w:sz="8" w:space="0" w:color="auto"/>
            </w:tcBorders>
            <w:shd w:val="clear" w:color="auto" w:fill="A6A6A6" w:themeFill="background1" w:themeFillShade="A6"/>
            <w:noWrap/>
            <w:vAlign w:val="center"/>
            <w:hideMark/>
          </w:tcPr>
          <w:p w14:paraId="1838710A" w14:textId="4D484040"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48555623" w14:textId="0A53E3EA"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0CD65DD3" w14:textId="7822EB71"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812" w:type="dxa"/>
            <w:tcBorders>
              <w:top w:val="nil"/>
              <w:left w:val="nil"/>
              <w:bottom w:val="single" w:sz="8" w:space="0" w:color="auto"/>
              <w:right w:val="single" w:sz="8" w:space="0" w:color="auto"/>
            </w:tcBorders>
            <w:shd w:val="clear" w:color="auto" w:fill="A6A6A6" w:themeFill="background1" w:themeFillShade="A6"/>
            <w:noWrap/>
            <w:vAlign w:val="center"/>
            <w:hideMark/>
          </w:tcPr>
          <w:p w14:paraId="16DA2AB7" w14:textId="568DA308"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4AA577C3" w14:textId="29F67848" w:rsidR="00F57DCD" w:rsidRPr="00005453" w:rsidRDefault="00F57DCD" w:rsidP="00F57DCD">
            <w:pPr>
              <w:jc w:val="right"/>
              <w:rPr>
                <w:color w:val="000000"/>
                <w:sz w:val="16"/>
                <w:szCs w:val="16"/>
                <w:lang w:eastAsia="tr-TR"/>
              </w:rPr>
            </w:pPr>
            <w:r w:rsidRPr="00005453">
              <w:rPr>
                <w:color w:val="000000"/>
                <w:sz w:val="16"/>
                <w:szCs w:val="16"/>
                <w:lang w:eastAsia="tr-TR"/>
              </w:rPr>
              <w:t> </w:t>
            </w:r>
          </w:p>
        </w:tc>
      </w:tr>
      <w:tr w:rsidR="00CB6904" w:rsidRPr="00005453" w14:paraId="2187B65C" w14:textId="77777777" w:rsidTr="00BD1BED">
        <w:trPr>
          <w:divId w:val="1580675136"/>
          <w:trHeight w:val="117"/>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43D5B56C" w14:textId="77777777" w:rsidR="00F57DCD" w:rsidRPr="00005453" w:rsidRDefault="00F57DCD" w:rsidP="00F57DCD">
            <w:pPr>
              <w:jc w:val="right"/>
              <w:rPr>
                <w:color w:val="000000"/>
                <w:sz w:val="16"/>
                <w:szCs w:val="16"/>
                <w:lang w:eastAsia="tr-TR"/>
              </w:rPr>
            </w:pPr>
            <w:r w:rsidRPr="00005453">
              <w:rPr>
                <w:color w:val="000000"/>
                <w:sz w:val="16"/>
                <w:szCs w:val="16"/>
                <w:lang w:eastAsia="tr-TR"/>
              </w:rPr>
              <w:t>3</w:t>
            </w:r>
          </w:p>
        </w:tc>
        <w:tc>
          <w:tcPr>
            <w:tcW w:w="3881" w:type="dxa"/>
            <w:tcBorders>
              <w:top w:val="nil"/>
              <w:left w:val="nil"/>
              <w:bottom w:val="single" w:sz="8" w:space="0" w:color="auto"/>
              <w:right w:val="single" w:sz="8" w:space="0" w:color="auto"/>
            </w:tcBorders>
            <w:shd w:val="clear" w:color="auto" w:fill="auto"/>
            <w:noWrap/>
            <w:vAlign w:val="center"/>
            <w:hideMark/>
          </w:tcPr>
          <w:p w14:paraId="789DB863" w14:textId="77777777" w:rsidR="00F57DCD" w:rsidRPr="00005453" w:rsidRDefault="00F57DCD" w:rsidP="00F57DCD">
            <w:pPr>
              <w:rPr>
                <w:color w:val="000000"/>
                <w:sz w:val="16"/>
                <w:szCs w:val="16"/>
                <w:lang w:eastAsia="tr-TR"/>
              </w:rPr>
            </w:pPr>
            <w:r w:rsidRPr="00005453">
              <w:rPr>
                <w:color w:val="000000"/>
                <w:sz w:val="16"/>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51" w:type="dxa"/>
            <w:tcBorders>
              <w:top w:val="nil"/>
              <w:left w:val="nil"/>
              <w:bottom w:val="single" w:sz="8" w:space="0" w:color="auto"/>
              <w:right w:val="single" w:sz="8" w:space="0" w:color="auto"/>
            </w:tcBorders>
            <w:shd w:val="clear" w:color="auto" w:fill="A6A6A6" w:themeFill="background1" w:themeFillShade="A6"/>
            <w:noWrap/>
            <w:vAlign w:val="center"/>
            <w:hideMark/>
          </w:tcPr>
          <w:p w14:paraId="55B7AB18" w14:textId="656AFF11"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43" w:type="dxa"/>
            <w:tcBorders>
              <w:top w:val="nil"/>
              <w:left w:val="nil"/>
              <w:bottom w:val="single" w:sz="8" w:space="0" w:color="auto"/>
              <w:right w:val="single" w:sz="8" w:space="0" w:color="auto"/>
            </w:tcBorders>
            <w:shd w:val="clear" w:color="auto" w:fill="A6A6A6" w:themeFill="background1" w:themeFillShade="A6"/>
            <w:noWrap/>
            <w:vAlign w:val="center"/>
            <w:hideMark/>
          </w:tcPr>
          <w:p w14:paraId="022B9EC0" w14:textId="1B929329"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5E75D5DC" w14:textId="4632B619"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699A35E8" w14:textId="3F5DC8C0"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812" w:type="dxa"/>
            <w:tcBorders>
              <w:top w:val="nil"/>
              <w:left w:val="nil"/>
              <w:bottom w:val="single" w:sz="8" w:space="0" w:color="auto"/>
              <w:right w:val="single" w:sz="8" w:space="0" w:color="auto"/>
            </w:tcBorders>
            <w:shd w:val="clear" w:color="auto" w:fill="A6A6A6" w:themeFill="background1" w:themeFillShade="A6"/>
            <w:noWrap/>
            <w:vAlign w:val="center"/>
            <w:hideMark/>
          </w:tcPr>
          <w:p w14:paraId="5C130615" w14:textId="5CD87582"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60DD36AF" w14:textId="43A4061F" w:rsidR="00F57DCD" w:rsidRPr="00005453" w:rsidRDefault="00F57DCD" w:rsidP="00F57DCD">
            <w:pPr>
              <w:jc w:val="right"/>
              <w:rPr>
                <w:color w:val="000000"/>
                <w:sz w:val="16"/>
                <w:szCs w:val="16"/>
                <w:lang w:eastAsia="tr-TR"/>
              </w:rPr>
            </w:pPr>
            <w:r w:rsidRPr="00005453">
              <w:rPr>
                <w:color w:val="000000"/>
                <w:sz w:val="16"/>
                <w:szCs w:val="16"/>
                <w:lang w:eastAsia="tr-TR"/>
              </w:rPr>
              <w:t> </w:t>
            </w:r>
          </w:p>
        </w:tc>
      </w:tr>
      <w:tr w:rsidR="00CB6904" w:rsidRPr="00005453" w14:paraId="21845CF8" w14:textId="77777777" w:rsidTr="00BD1BED">
        <w:trPr>
          <w:divId w:val="1580675136"/>
          <w:trHeight w:val="81"/>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6E6BB8A4" w14:textId="77777777" w:rsidR="00F57DCD" w:rsidRPr="00005453" w:rsidRDefault="00F57DCD" w:rsidP="00F57DCD">
            <w:pPr>
              <w:jc w:val="right"/>
              <w:rPr>
                <w:color w:val="000000"/>
                <w:sz w:val="16"/>
                <w:szCs w:val="16"/>
                <w:lang w:eastAsia="tr-TR"/>
              </w:rPr>
            </w:pPr>
            <w:r w:rsidRPr="00005453">
              <w:rPr>
                <w:color w:val="000000"/>
                <w:sz w:val="16"/>
                <w:szCs w:val="16"/>
                <w:lang w:eastAsia="tr-TR"/>
              </w:rPr>
              <w:t>4</w:t>
            </w:r>
          </w:p>
        </w:tc>
        <w:tc>
          <w:tcPr>
            <w:tcW w:w="3881" w:type="dxa"/>
            <w:tcBorders>
              <w:top w:val="nil"/>
              <w:left w:val="nil"/>
              <w:bottom w:val="single" w:sz="8" w:space="0" w:color="auto"/>
              <w:right w:val="single" w:sz="8" w:space="0" w:color="auto"/>
            </w:tcBorders>
            <w:shd w:val="clear" w:color="auto" w:fill="auto"/>
            <w:noWrap/>
            <w:vAlign w:val="center"/>
            <w:hideMark/>
          </w:tcPr>
          <w:p w14:paraId="359767E3" w14:textId="77777777" w:rsidR="00F57DCD" w:rsidRPr="00005453" w:rsidRDefault="00F57DCD" w:rsidP="00F57DCD">
            <w:pPr>
              <w:rPr>
                <w:color w:val="000000"/>
                <w:sz w:val="16"/>
                <w:szCs w:val="16"/>
                <w:lang w:eastAsia="tr-TR"/>
              </w:rPr>
            </w:pPr>
            <w:r w:rsidRPr="00005453">
              <w:rPr>
                <w:color w:val="000000"/>
                <w:sz w:val="16"/>
                <w:szCs w:val="16"/>
                <w:lang w:eastAsia="tr-TR"/>
              </w:rPr>
              <w:t xml:space="preserve">Kredi riski azaltımı için kapsamlı yöntem </w:t>
            </w:r>
            <w:proofErr w:type="gramStart"/>
            <w:r w:rsidRPr="00005453">
              <w:rPr>
                <w:color w:val="000000"/>
                <w:sz w:val="16"/>
                <w:szCs w:val="16"/>
                <w:lang w:eastAsia="tr-TR"/>
              </w:rPr>
              <w:t>–( repo</w:t>
            </w:r>
            <w:proofErr w:type="gramEnd"/>
            <w:r w:rsidRPr="00005453">
              <w:rPr>
                <w:color w:val="000000"/>
                <w:sz w:val="16"/>
                <w:szCs w:val="16"/>
                <w:lang w:eastAsia="tr-TR"/>
              </w:rPr>
              <w:t xml:space="preserve"> işlemleri, menkul kıymetler veya emtia ödünç verme veya ödünç alma işlemleri, takas süresi uzun işlemler ile kredili menkul kıymet işlemleri için)</w:t>
            </w:r>
          </w:p>
        </w:tc>
        <w:tc>
          <w:tcPr>
            <w:tcW w:w="851" w:type="dxa"/>
            <w:tcBorders>
              <w:top w:val="nil"/>
              <w:left w:val="nil"/>
              <w:bottom w:val="single" w:sz="8" w:space="0" w:color="auto"/>
              <w:right w:val="single" w:sz="8" w:space="0" w:color="auto"/>
            </w:tcBorders>
            <w:shd w:val="clear" w:color="auto" w:fill="A6A6A6" w:themeFill="background1" w:themeFillShade="A6"/>
            <w:noWrap/>
            <w:vAlign w:val="center"/>
            <w:hideMark/>
          </w:tcPr>
          <w:p w14:paraId="0C793022" w14:textId="372C13BD"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43" w:type="dxa"/>
            <w:tcBorders>
              <w:top w:val="nil"/>
              <w:left w:val="nil"/>
              <w:bottom w:val="single" w:sz="8" w:space="0" w:color="auto"/>
              <w:right w:val="single" w:sz="8" w:space="0" w:color="auto"/>
            </w:tcBorders>
            <w:shd w:val="clear" w:color="auto" w:fill="A6A6A6" w:themeFill="background1" w:themeFillShade="A6"/>
            <w:noWrap/>
            <w:vAlign w:val="center"/>
            <w:hideMark/>
          </w:tcPr>
          <w:p w14:paraId="20383277" w14:textId="1E39276F"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26F4B5DB" w14:textId="5646FCB2"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14F155FF" w14:textId="7F197CB0"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812" w:type="dxa"/>
            <w:tcBorders>
              <w:top w:val="nil"/>
              <w:left w:val="nil"/>
              <w:bottom w:val="single" w:sz="8" w:space="0" w:color="auto"/>
              <w:right w:val="single" w:sz="8" w:space="0" w:color="auto"/>
            </w:tcBorders>
            <w:shd w:val="clear" w:color="auto" w:fill="A6A6A6" w:themeFill="background1" w:themeFillShade="A6"/>
            <w:noWrap/>
            <w:vAlign w:val="center"/>
            <w:hideMark/>
          </w:tcPr>
          <w:p w14:paraId="097CDD66" w14:textId="70ACED22"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164649A8" w14:textId="12D0AB45" w:rsidR="00F57DCD" w:rsidRPr="00005453" w:rsidRDefault="00F57DCD" w:rsidP="00F57DCD">
            <w:pPr>
              <w:jc w:val="right"/>
              <w:rPr>
                <w:color w:val="000000"/>
                <w:sz w:val="16"/>
                <w:szCs w:val="16"/>
                <w:lang w:eastAsia="tr-TR"/>
              </w:rPr>
            </w:pPr>
            <w:r w:rsidRPr="00005453">
              <w:rPr>
                <w:color w:val="000000"/>
                <w:sz w:val="16"/>
                <w:szCs w:val="16"/>
                <w:lang w:eastAsia="tr-TR"/>
              </w:rPr>
              <w:t> </w:t>
            </w:r>
          </w:p>
        </w:tc>
      </w:tr>
      <w:tr w:rsidR="00CB6904" w:rsidRPr="00005453" w14:paraId="1E9F1751" w14:textId="77777777" w:rsidTr="00BD1BED">
        <w:trPr>
          <w:divId w:val="1580675136"/>
          <w:trHeight w:val="100"/>
        </w:trPr>
        <w:tc>
          <w:tcPr>
            <w:tcW w:w="220" w:type="dxa"/>
            <w:tcBorders>
              <w:top w:val="nil"/>
              <w:left w:val="single" w:sz="8" w:space="0" w:color="auto"/>
              <w:bottom w:val="nil"/>
              <w:right w:val="single" w:sz="8" w:space="0" w:color="auto"/>
            </w:tcBorders>
            <w:shd w:val="clear" w:color="auto" w:fill="auto"/>
            <w:noWrap/>
            <w:vAlign w:val="center"/>
            <w:hideMark/>
          </w:tcPr>
          <w:p w14:paraId="6DEF4CA4" w14:textId="77777777" w:rsidR="00F57DCD" w:rsidRPr="00005453" w:rsidRDefault="00F57DCD" w:rsidP="00F57DCD">
            <w:pPr>
              <w:rPr>
                <w:color w:val="000000"/>
                <w:sz w:val="16"/>
                <w:szCs w:val="16"/>
                <w:lang w:eastAsia="tr-TR"/>
              </w:rPr>
            </w:pPr>
            <w:r w:rsidRPr="00005453">
              <w:rPr>
                <w:color w:val="000000"/>
                <w:sz w:val="16"/>
                <w:szCs w:val="16"/>
                <w:lang w:eastAsia="tr-TR"/>
              </w:rPr>
              <w:t>5</w:t>
            </w:r>
          </w:p>
        </w:tc>
        <w:tc>
          <w:tcPr>
            <w:tcW w:w="3881" w:type="dxa"/>
            <w:tcBorders>
              <w:top w:val="nil"/>
              <w:left w:val="nil"/>
              <w:bottom w:val="nil"/>
              <w:right w:val="single" w:sz="8" w:space="0" w:color="auto"/>
            </w:tcBorders>
            <w:shd w:val="clear" w:color="auto" w:fill="auto"/>
            <w:noWrap/>
            <w:vAlign w:val="center"/>
            <w:hideMark/>
          </w:tcPr>
          <w:p w14:paraId="105C1269" w14:textId="77777777" w:rsidR="00F57DCD" w:rsidRPr="00005453" w:rsidRDefault="00F57DCD" w:rsidP="00F57DCD">
            <w:pPr>
              <w:rPr>
                <w:color w:val="000000"/>
                <w:sz w:val="16"/>
                <w:szCs w:val="16"/>
                <w:lang w:eastAsia="tr-TR"/>
              </w:rPr>
            </w:pPr>
            <w:r w:rsidRPr="00005453">
              <w:rPr>
                <w:color w:val="000000"/>
                <w:sz w:val="16"/>
                <w:szCs w:val="16"/>
                <w:lang w:eastAsia="tr-TR"/>
              </w:rPr>
              <w:t>Repo işlemleri, menkul kıymetler veya emtia ödünç verme veya ödünç alma işlemleri, takas süresi uzun işlemler ile kredili menkul kıymet işlemleri için riske maruz değer</w:t>
            </w:r>
          </w:p>
        </w:tc>
        <w:tc>
          <w:tcPr>
            <w:tcW w:w="851" w:type="dxa"/>
            <w:tcBorders>
              <w:top w:val="nil"/>
              <w:left w:val="nil"/>
              <w:bottom w:val="single" w:sz="8" w:space="0" w:color="auto"/>
              <w:right w:val="single" w:sz="8" w:space="0" w:color="auto"/>
            </w:tcBorders>
            <w:shd w:val="clear" w:color="auto" w:fill="A6A6A6" w:themeFill="background1" w:themeFillShade="A6"/>
            <w:noWrap/>
            <w:vAlign w:val="center"/>
            <w:hideMark/>
          </w:tcPr>
          <w:p w14:paraId="373B101A" w14:textId="46E0AD5E"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43" w:type="dxa"/>
            <w:tcBorders>
              <w:top w:val="nil"/>
              <w:left w:val="nil"/>
              <w:bottom w:val="single" w:sz="8" w:space="0" w:color="auto"/>
              <w:right w:val="single" w:sz="8" w:space="0" w:color="auto"/>
            </w:tcBorders>
            <w:shd w:val="clear" w:color="auto" w:fill="A6A6A6" w:themeFill="background1" w:themeFillShade="A6"/>
            <w:noWrap/>
            <w:vAlign w:val="center"/>
            <w:hideMark/>
          </w:tcPr>
          <w:p w14:paraId="6FE573A2" w14:textId="0B854FDF"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509204E9" w14:textId="3C6F0D47"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0CD3509D" w14:textId="140DFF1E"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1812" w:type="dxa"/>
            <w:tcBorders>
              <w:top w:val="nil"/>
              <w:left w:val="nil"/>
              <w:bottom w:val="single" w:sz="8" w:space="0" w:color="auto"/>
              <w:right w:val="single" w:sz="8" w:space="0" w:color="auto"/>
            </w:tcBorders>
            <w:shd w:val="clear" w:color="auto" w:fill="A6A6A6" w:themeFill="background1" w:themeFillShade="A6"/>
            <w:noWrap/>
            <w:vAlign w:val="center"/>
            <w:hideMark/>
          </w:tcPr>
          <w:p w14:paraId="21C85514" w14:textId="56289177" w:rsidR="00F57DCD" w:rsidRPr="00005453" w:rsidRDefault="00F57DCD" w:rsidP="00F57DCD">
            <w:pPr>
              <w:jc w:val="right"/>
              <w:rPr>
                <w:color w:val="000000"/>
                <w:sz w:val="16"/>
                <w:szCs w:val="16"/>
                <w:lang w:eastAsia="tr-TR"/>
              </w:rPr>
            </w:pPr>
            <w:r w:rsidRPr="00005453">
              <w:rPr>
                <w:color w:val="000000"/>
                <w:sz w:val="16"/>
                <w:szCs w:val="16"/>
                <w:lang w:eastAsia="tr-TR"/>
              </w:rPr>
              <w:t> </w:t>
            </w:r>
          </w:p>
        </w:tc>
        <w:tc>
          <w:tcPr>
            <w:tcW w:w="850" w:type="dxa"/>
            <w:tcBorders>
              <w:top w:val="nil"/>
              <w:left w:val="nil"/>
              <w:bottom w:val="single" w:sz="8" w:space="0" w:color="auto"/>
              <w:right w:val="single" w:sz="8" w:space="0" w:color="auto"/>
            </w:tcBorders>
            <w:shd w:val="clear" w:color="auto" w:fill="A6A6A6" w:themeFill="background1" w:themeFillShade="A6"/>
            <w:noWrap/>
            <w:vAlign w:val="center"/>
            <w:hideMark/>
          </w:tcPr>
          <w:p w14:paraId="1D74A307" w14:textId="4B32AEEB" w:rsidR="00F57DCD" w:rsidRPr="00005453" w:rsidRDefault="00F57DCD" w:rsidP="00F57DCD">
            <w:pPr>
              <w:jc w:val="right"/>
              <w:rPr>
                <w:color w:val="000000"/>
                <w:sz w:val="16"/>
                <w:szCs w:val="16"/>
                <w:lang w:eastAsia="tr-TR"/>
              </w:rPr>
            </w:pPr>
            <w:r w:rsidRPr="00005453">
              <w:rPr>
                <w:color w:val="000000"/>
                <w:sz w:val="16"/>
                <w:szCs w:val="16"/>
                <w:lang w:eastAsia="tr-TR"/>
              </w:rPr>
              <w:t> </w:t>
            </w:r>
          </w:p>
        </w:tc>
      </w:tr>
      <w:tr w:rsidR="00CB6904" w:rsidRPr="00005453" w14:paraId="5962D190" w14:textId="77777777" w:rsidTr="00BD1BED">
        <w:trPr>
          <w:divId w:val="1580675136"/>
          <w:trHeight w:val="81"/>
        </w:trPr>
        <w:tc>
          <w:tcPr>
            <w:tcW w:w="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E34BF" w14:textId="77777777" w:rsidR="00F57DCD" w:rsidRPr="00005453" w:rsidRDefault="00F57DCD" w:rsidP="00F57DCD">
            <w:pPr>
              <w:rPr>
                <w:color w:val="000000"/>
                <w:sz w:val="16"/>
                <w:szCs w:val="16"/>
                <w:lang w:eastAsia="tr-TR"/>
              </w:rPr>
            </w:pPr>
            <w:r w:rsidRPr="00005453">
              <w:rPr>
                <w:color w:val="000000"/>
                <w:sz w:val="16"/>
                <w:szCs w:val="16"/>
                <w:lang w:eastAsia="tr-TR"/>
              </w:rPr>
              <w:t>6</w:t>
            </w:r>
          </w:p>
        </w:tc>
        <w:tc>
          <w:tcPr>
            <w:tcW w:w="3881" w:type="dxa"/>
            <w:tcBorders>
              <w:top w:val="single" w:sz="8" w:space="0" w:color="auto"/>
              <w:left w:val="nil"/>
              <w:bottom w:val="single" w:sz="8" w:space="0" w:color="auto"/>
              <w:right w:val="single" w:sz="8" w:space="0" w:color="auto"/>
            </w:tcBorders>
            <w:shd w:val="clear" w:color="auto" w:fill="auto"/>
            <w:noWrap/>
            <w:vAlign w:val="center"/>
            <w:hideMark/>
          </w:tcPr>
          <w:p w14:paraId="4B4A77AD" w14:textId="77777777" w:rsidR="00F57DCD" w:rsidRPr="00005453" w:rsidRDefault="00F57DCD" w:rsidP="00F57DCD">
            <w:pPr>
              <w:rPr>
                <w:b/>
                <w:bCs/>
                <w:color w:val="000000"/>
                <w:sz w:val="16"/>
                <w:szCs w:val="16"/>
                <w:lang w:eastAsia="tr-TR"/>
              </w:rPr>
            </w:pPr>
            <w:r w:rsidRPr="00005453">
              <w:rPr>
                <w:b/>
                <w:bCs/>
                <w:color w:val="000000"/>
                <w:sz w:val="16"/>
                <w:szCs w:val="16"/>
                <w:lang w:eastAsia="tr-TR"/>
              </w:rPr>
              <w:t>Toplam</w:t>
            </w:r>
          </w:p>
        </w:tc>
        <w:tc>
          <w:tcPr>
            <w:tcW w:w="851" w:type="dxa"/>
            <w:tcBorders>
              <w:top w:val="nil"/>
              <w:left w:val="nil"/>
              <w:bottom w:val="single" w:sz="8" w:space="0" w:color="auto"/>
              <w:right w:val="single" w:sz="8" w:space="0" w:color="auto"/>
            </w:tcBorders>
            <w:shd w:val="clear" w:color="auto" w:fill="A6A6A6" w:themeFill="background1" w:themeFillShade="A6"/>
            <w:noWrap/>
            <w:vAlign w:val="center"/>
            <w:hideMark/>
          </w:tcPr>
          <w:p w14:paraId="02DDFE18" w14:textId="64D339FA" w:rsidR="00F57DCD" w:rsidRPr="00005453" w:rsidRDefault="00F57DCD" w:rsidP="00F57DCD">
            <w:pPr>
              <w:jc w:val="right"/>
              <w:rPr>
                <w:b/>
                <w:bCs/>
                <w:color w:val="000000"/>
                <w:sz w:val="16"/>
                <w:szCs w:val="16"/>
                <w:lang w:eastAsia="tr-TR"/>
              </w:rPr>
            </w:pPr>
            <w:r w:rsidRPr="00005453">
              <w:rPr>
                <w:color w:val="000000"/>
                <w:sz w:val="16"/>
                <w:szCs w:val="16"/>
                <w:lang w:eastAsia="tr-TR"/>
              </w:rPr>
              <w:t> </w:t>
            </w:r>
          </w:p>
        </w:tc>
        <w:tc>
          <w:tcPr>
            <w:tcW w:w="843" w:type="dxa"/>
            <w:tcBorders>
              <w:top w:val="nil"/>
              <w:left w:val="nil"/>
              <w:bottom w:val="single" w:sz="8" w:space="0" w:color="auto"/>
              <w:right w:val="single" w:sz="8" w:space="0" w:color="auto"/>
            </w:tcBorders>
            <w:shd w:val="clear" w:color="auto" w:fill="A6A6A6" w:themeFill="background1" w:themeFillShade="A6"/>
            <w:noWrap/>
            <w:vAlign w:val="center"/>
            <w:hideMark/>
          </w:tcPr>
          <w:p w14:paraId="196994D2" w14:textId="1A5BC67A" w:rsidR="00F57DCD" w:rsidRPr="00005453" w:rsidRDefault="00F57DCD" w:rsidP="00F57DCD">
            <w:pPr>
              <w:jc w:val="right"/>
              <w:rPr>
                <w:b/>
                <w:bCs/>
                <w:color w:val="000000"/>
                <w:sz w:val="16"/>
                <w:szCs w:val="16"/>
                <w:lang w:eastAsia="tr-TR"/>
              </w:rPr>
            </w:pPr>
            <w:r w:rsidRPr="00005453">
              <w:rPr>
                <w:color w:val="000000"/>
                <w:sz w:val="16"/>
                <w:szCs w:val="16"/>
                <w:lang w:eastAsia="tr-TR"/>
              </w:rPr>
              <w:t> </w:t>
            </w:r>
          </w:p>
        </w:tc>
        <w:tc>
          <w:tcPr>
            <w:tcW w:w="674" w:type="dxa"/>
            <w:tcBorders>
              <w:top w:val="nil"/>
              <w:left w:val="nil"/>
              <w:bottom w:val="single" w:sz="8" w:space="0" w:color="auto"/>
              <w:right w:val="single" w:sz="8" w:space="0" w:color="auto"/>
            </w:tcBorders>
            <w:shd w:val="clear" w:color="auto" w:fill="A6A6A6" w:themeFill="background1" w:themeFillShade="A6"/>
            <w:noWrap/>
            <w:vAlign w:val="center"/>
            <w:hideMark/>
          </w:tcPr>
          <w:p w14:paraId="027EF551" w14:textId="3E8BAA85" w:rsidR="00F57DCD" w:rsidRPr="00005453" w:rsidRDefault="00F57DCD" w:rsidP="00F57DCD">
            <w:pPr>
              <w:jc w:val="right"/>
              <w:rPr>
                <w:b/>
                <w:bCs/>
                <w:color w:val="000000"/>
                <w:sz w:val="16"/>
                <w:szCs w:val="16"/>
                <w:lang w:eastAsia="tr-TR"/>
              </w:rPr>
            </w:pPr>
            <w:r w:rsidRPr="00005453">
              <w:rPr>
                <w:color w:val="000000"/>
                <w:sz w:val="16"/>
                <w:szCs w:val="16"/>
                <w:lang w:eastAsia="tr-TR"/>
              </w:rPr>
              <w:t> </w:t>
            </w:r>
          </w:p>
        </w:tc>
        <w:tc>
          <w:tcPr>
            <w:tcW w:w="1065" w:type="dxa"/>
            <w:tcBorders>
              <w:top w:val="nil"/>
              <w:left w:val="nil"/>
              <w:bottom w:val="single" w:sz="8" w:space="0" w:color="auto"/>
              <w:right w:val="single" w:sz="8" w:space="0" w:color="auto"/>
            </w:tcBorders>
            <w:shd w:val="clear" w:color="auto" w:fill="A6A6A6" w:themeFill="background1" w:themeFillShade="A6"/>
            <w:noWrap/>
            <w:vAlign w:val="center"/>
            <w:hideMark/>
          </w:tcPr>
          <w:p w14:paraId="5B95D14E" w14:textId="60FB7C08" w:rsidR="00F57DCD" w:rsidRPr="00005453" w:rsidRDefault="00F57DCD" w:rsidP="00F57DCD">
            <w:pPr>
              <w:jc w:val="right"/>
              <w:rPr>
                <w:b/>
                <w:bCs/>
                <w:color w:val="000000"/>
                <w:sz w:val="16"/>
                <w:szCs w:val="16"/>
                <w:lang w:eastAsia="tr-TR"/>
              </w:rPr>
            </w:pPr>
            <w:r w:rsidRPr="00005453">
              <w:rPr>
                <w:color w:val="000000"/>
                <w:sz w:val="16"/>
                <w:szCs w:val="16"/>
                <w:lang w:eastAsia="tr-TR"/>
              </w:rPr>
              <w:t> </w:t>
            </w:r>
          </w:p>
        </w:tc>
        <w:tc>
          <w:tcPr>
            <w:tcW w:w="1812" w:type="dxa"/>
            <w:tcBorders>
              <w:top w:val="nil"/>
              <w:left w:val="nil"/>
              <w:bottom w:val="single" w:sz="8" w:space="0" w:color="auto"/>
              <w:right w:val="single" w:sz="8" w:space="0" w:color="auto"/>
            </w:tcBorders>
            <w:shd w:val="clear" w:color="auto" w:fill="A6A6A6" w:themeFill="background1" w:themeFillShade="A6"/>
            <w:noWrap/>
            <w:vAlign w:val="center"/>
            <w:hideMark/>
          </w:tcPr>
          <w:p w14:paraId="1D8B95FA" w14:textId="59EC5EF8" w:rsidR="00F57DCD" w:rsidRPr="00005453" w:rsidRDefault="00F57DCD" w:rsidP="00F57DCD">
            <w:pPr>
              <w:jc w:val="right"/>
              <w:rPr>
                <w:b/>
                <w:bCs/>
                <w:color w:val="000000"/>
                <w:sz w:val="16"/>
                <w:szCs w:val="16"/>
                <w:lang w:eastAsia="tr-TR"/>
              </w:rPr>
            </w:pPr>
            <w:r w:rsidRPr="00005453">
              <w:rPr>
                <w:color w:val="000000"/>
                <w:sz w:val="16"/>
                <w:szCs w:val="16"/>
                <w:lang w:eastAsia="tr-TR"/>
              </w:rPr>
              <w:t> </w:t>
            </w:r>
          </w:p>
        </w:tc>
        <w:tc>
          <w:tcPr>
            <w:tcW w:w="850" w:type="dxa"/>
            <w:tcBorders>
              <w:top w:val="nil"/>
              <w:left w:val="nil"/>
              <w:bottom w:val="single" w:sz="8" w:space="0" w:color="auto"/>
              <w:right w:val="single" w:sz="8" w:space="0" w:color="auto"/>
            </w:tcBorders>
            <w:shd w:val="clear" w:color="auto" w:fill="auto"/>
            <w:noWrap/>
            <w:vAlign w:val="center"/>
            <w:hideMark/>
          </w:tcPr>
          <w:p w14:paraId="0F054CDF" w14:textId="66F335DB" w:rsidR="00F57DCD" w:rsidRPr="00005453" w:rsidRDefault="00126177" w:rsidP="00F57DCD">
            <w:pPr>
              <w:jc w:val="right"/>
              <w:rPr>
                <w:b/>
                <w:bCs/>
                <w:color w:val="000000"/>
                <w:sz w:val="16"/>
                <w:szCs w:val="16"/>
                <w:lang w:eastAsia="tr-TR"/>
              </w:rPr>
            </w:pPr>
            <w:r w:rsidRPr="00005453">
              <w:rPr>
                <w:b/>
                <w:bCs/>
                <w:color w:val="000000"/>
                <w:sz w:val="16"/>
                <w:szCs w:val="16"/>
                <w:lang w:eastAsia="tr-TR"/>
              </w:rPr>
              <w:t>980</w:t>
            </w:r>
            <w:r w:rsidR="00721982" w:rsidRPr="00005453">
              <w:rPr>
                <w:b/>
                <w:bCs/>
                <w:color w:val="000000"/>
                <w:sz w:val="16"/>
                <w:szCs w:val="16"/>
                <w:lang w:eastAsia="tr-TR"/>
              </w:rPr>
              <w:t>,</w:t>
            </w:r>
            <w:r w:rsidRPr="00005453">
              <w:rPr>
                <w:b/>
                <w:bCs/>
                <w:color w:val="000000"/>
                <w:sz w:val="16"/>
                <w:szCs w:val="16"/>
                <w:lang w:eastAsia="tr-TR"/>
              </w:rPr>
              <w:t>8</w:t>
            </w:r>
            <w:r w:rsidR="008B6B3F" w:rsidRPr="00005453">
              <w:rPr>
                <w:b/>
                <w:bCs/>
                <w:color w:val="000000"/>
                <w:sz w:val="16"/>
                <w:szCs w:val="16"/>
                <w:lang w:eastAsia="tr-TR"/>
              </w:rPr>
              <w:t>4</w:t>
            </w:r>
            <w:r w:rsidR="00721982" w:rsidRPr="00005453">
              <w:rPr>
                <w:b/>
                <w:bCs/>
                <w:color w:val="000000"/>
                <w:sz w:val="16"/>
                <w:szCs w:val="16"/>
                <w:lang w:eastAsia="tr-TR"/>
              </w:rPr>
              <w:t>6</w:t>
            </w:r>
          </w:p>
        </w:tc>
      </w:tr>
    </w:tbl>
    <w:p w14:paraId="6DD5333F" w14:textId="3B9B06F8" w:rsidR="00D22163" w:rsidRPr="00005453" w:rsidRDefault="00D22163" w:rsidP="009A1B05">
      <w:pPr>
        <w:pStyle w:val="NormalIndent"/>
        <w:ind w:left="0"/>
        <w:jc w:val="both"/>
        <w:rPr>
          <w:noProof w:val="0"/>
          <w:sz w:val="20"/>
          <w:szCs w:val="20"/>
          <w:lang w:val="en-GB" w:eastAsia="en-GB"/>
        </w:rPr>
      </w:pPr>
    </w:p>
    <w:p w14:paraId="1E6FFB3B" w14:textId="145C865F" w:rsidR="00C25473" w:rsidRPr="00005453" w:rsidRDefault="00C25473" w:rsidP="009A1B05">
      <w:pPr>
        <w:pStyle w:val="NormalIndent"/>
        <w:ind w:left="0"/>
        <w:jc w:val="both"/>
        <w:rPr>
          <w:rFonts w:eastAsia="Arial Unicode MS"/>
          <w:b/>
          <w:noProof w:val="0"/>
          <w:sz w:val="20"/>
          <w:szCs w:val="20"/>
        </w:rPr>
      </w:pPr>
    </w:p>
    <w:p w14:paraId="1026FE2B" w14:textId="77777777" w:rsidR="002C5FB0" w:rsidRPr="00005453" w:rsidRDefault="002C5FB0" w:rsidP="00C25473">
      <w:pPr>
        <w:pStyle w:val="NormalIndent"/>
        <w:ind w:left="0" w:hanging="567"/>
        <w:rPr>
          <w:rFonts w:eastAsia="Arial Unicode MS"/>
          <w:b/>
          <w:noProof w:val="0"/>
          <w:sz w:val="20"/>
          <w:szCs w:val="20"/>
        </w:rPr>
      </w:pPr>
    </w:p>
    <w:p w14:paraId="4547117E" w14:textId="5057C4D3" w:rsidR="00F20AF5" w:rsidRPr="00005453" w:rsidRDefault="00F20AF5">
      <w:pPr>
        <w:rPr>
          <w:rFonts w:eastAsia="Arial Unicode MS"/>
          <w:b/>
        </w:rPr>
      </w:pPr>
      <w:r w:rsidRPr="00005453">
        <w:rPr>
          <w:rFonts w:eastAsia="Arial Unicode MS"/>
          <w:b/>
        </w:rPr>
        <w:br w:type="page"/>
      </w:r>
    </w:p>
    <w:p w14:paraId="3099D0F4" w14:textId="3637C3BA" w:rsidR="00D22163" w:rsidRPr="00005453" w:rsidRDefault="007A1089" w:rsidP="002C5FB0">
      <w:pPr>
        <w:pStyle w:val="NormalIndent"/>
        <w:ind w:left="0" w:hanging="567"/>
        <w:rPr>
          <w:lang w:eastAsia="en-GB"/>
        </w:rPr>
      </w:pPr>
      <w:r w:rsidRPr="00005453">
        <w:rPr>
          <w:rFonts w:eastAsia="Arial Unicode MS"/>
          <w:b/>
          <w:noProof w:val="0"/>
          <w:sz w:val="20"/>
          <w:szCs w:val="20"/>
        </w:rPr>
        <w:lastRenderedPageBreak/>
        <w:t>10</w:t>
      </w:r>
      <w:r w:rsidR="00C25473" w:rsidRPr="00005453">
        <w:rPr>
          <w:rFonts w:eastAsia="Arial Unicode MS"/>
          <w:b/>
          <w:noProof w:val="0"/>
          <w:sz w:val="20"/>
          <w:szCs w:val="20"/>
        </w:rPr>
        <w:t>.8.7.</w:t>
      </w:r>
      <w:r w:rsidR="00C25473" w:rsidRPr="00005453">
        <w:rPr>
          <w:rFonts w:eastAsia="Arial Unicode MS"/>
          <w:b/>
          <w:noProof w:val="0"/>
          <w:sz w:val="20"/>
          <w:szCs w:val="20"/>
        </w:rPr>
        <w:tab/>
        <w:t>Kredi değerleme ayarlamaları (KDA) için sermaye yükümlülüğü</w:t>
      </w:r>
    </w:p>
    <w:p w14:paraId="24C31833" w14:textId="466545E9" w:rsidR="00F67C49" w:rsidRPr="00005453" w:rsidRDefault="00F67C49" w:rsidP="00C25473">
      <w:pPr>
        <w:rPr>
          <w:lang w:eastAsia="en-GB"/>
        </w:rPr>
      </w:pPr>
    </w:p>
    <w:tbl>
      <w:tblPr>
        <w:tblW w:w="9454" w:type="dxa"/>
        <w:tblCellMar>
          <w:left w:w="70" w:type="dxa"/>
          <w:right w:w="70" w:type="dxa"/>
        </w:tblCellMar>
        <w:tblLook w:val="04A0" w:firstRow="1" w:lastRow="0" w:firstColumn="1" w:lastColumn="0" w:noHBand="0" w:noVBand="1"/>
      </w:tblPr>
      <w:tblGrid>
        <w:gridCol w:w="229"/>
        <w:gridCol w:w="4247"/>
        <w:gridCol w:w="1667"/>
        <w:gridCol w:w="1181"/>
        <w:gridCol w:w="1065"/>
        <w:gridCol w:w="1065"/>
      </w:tblGrid>
      <w:tr w:rsidR="00F67C49" w:rsidRPr="00005453" w14:paraId="67A041E7" w14:textId="77777777" w:rsidTr="00F57DCD">
        <w:trPr>
          <w:divId w:val="1234050960"/>
          <w:trHeight w:val="163"/>
        </w:trPr>
        <w:tc>
          <w:tcPr>
            <w:tcW w:w="229" w:type="dxa"/>
            <w:tcBorders>
              <w:top w:val="single" w:sz="8" w:space="0" w:color="auto"/>
              <w:left w:val="single" w:sz="8" w:space="0" w:color="auto"/>
              <w:bottom w:val="single" w:sz="8" w:space="0" w:color="auto"/>
              <w:right w:val="nil"/>
            </w:tcBorders>
            <w:shd w:val="clear" w:color="auto" w:fill="auto"/>
            <w:noWrap/>
            <w:vAlign w:val="bottom"/>
            <w:hideMark/>
          </w:tcPr>
          <w:p w14:paraId="56ADE893" w14:textId="4A8328DA" w:rsidR="00F67C49" w:rsidRPr="00005453" w:rsidRDefault="00F67C49" w:rsidP="00F67C49">
            <w:pPr>
              <w:rPr>
                <w:color w:val="000000"/>
                <w:sz w:val="18"/>
                <w:szCs w:val="18"/>
                <w:lang w:eastAsia="tr-TR"/>
              </w:rPr>
            </w:pPr>
            <w:r w:rsidRPr="00005453">
              <w:rPr>
                <w:color w:val="000000"/>
                <w:sz w:val="18"/>
                <w:szCs w:val="18"/>
                <w:lang w:eastAsia="tr-TR"/>
              </w:rPr>
              <w:t> </w:t>
            </w:r>
          </w:p>
        </w:tc>
        <w:tc>
          <w:tcPr>
            <w:tcW w:w="4247" w:type="dxa"/>
            <w:tcBorders>
              <w:top w:val="single" w:sz="8" w:space="0" w:color="auto"/>
              <w:left w:val="nil"/>
              <w:bottom w:val="single" w:sz="8" w:space="0" w:color="auto"/>
              <w:right w:val="nil"/>
            </w:tcBorders>
            <w:shd w:val="clear" w:color="auto" w:fill="auto"/>
            <w:noWrap/>
            <w:vAlign w:val="bottom"/>
            <w:hideMark/>
          </w:tcPr>
          <w:p w14:paraId="68C02651" w14:textId="77777777" w:rsidR="00F67C49" w:rsidRPr="00005453" w:rsidRDefault="00F67C49" w:rsidP="00F67C49">
            <w:pPr>
              <w:rPr>
                <w:color w:val="000000"/>
                <w:sz w:val="18"/>
                <w:szCs w:val="18"/>
                <w:lang w:eastAsia="tr-TR"/>
              </w:rPr>
            </w:pPr>
            <w:r w:rsidRPr="00005453">
              <w:rPr>
                <w:color w:val="000000"/>
                <w:sz w:val="18"/>
                <w:szCs w:val="18"/>
                <w:lang w:eastAsia="tr-TR"/>
              </w:rPr>
              <w:t> </w:t>
            </w:r>
          </w:p>
        </w:tc>
        <w:tc>
          <w:tcPr>
            <w:tcW w:w="284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E8AE63E" w14:textId="77777777" w:rsidR="00F67C49" w:rsidRPr="00005453" w:rsidRDefault="00F67C49" w:rsidP="00F67C49">
            <w:pPr>
              <w:jc w:val="center"/>
              <w:rPr>
                <w:b/>
                <w:bCs/>
                <w:color w:val="000000"/>
                <w:sz w:val="18"/>
                <w:szCs w:val="18"/>
                <w:lang w:eastAsia="tr-TR"/>
              </w:rPr>
            </w:pPr>
            <w:r w:rsidRPr="00005453">
              <w:rPr>
                <w:b/>
                <w:bCs/>
                <w:color w:val="000000"/>
                <w:sz w:val="18"/>
                <w:szCs w:val="18"/>
                <w:lang w:eastAsia="tr-TR"/>
              </w:rPr>
              <w:t>Cari Dönem</w:t>
            </w:r>
          </w:p>
        </w:tc>
        <w:tc>
          <w:tcPr>
            <w:tcW w:w="213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1AF92D2" w14:textId="77777777" w:rsidR="00F67C49" w:rsidRPr="00005453" w:rsidRDefault="00F67C49" w:rsidP="00F67C49">
            <w:pPr>
              <w:jc w:val="center"/>
              <w:rPr>
                <w:b/>
                <w:bCs/>
                <w:color w:val="000000"/>
                <w:sz w:val="18"/>
                <w:szCs w:val="18"/>
                <w:lang w:eastAsia="tr-TR"/>
              </w:rPr>
            </w:pPr>
            <w:r w:rsidRPr="00005453">
              <w:rPr>
                <w:b/>
                <w:bCs/>
                <w:color w:val="000000"/>
                <w:sz w:val="18"/>
                <w:szCs w:val="18"/>
                <w:lang w:eastAsia="tr-TR"/>
              </w:rPr>
              <w:t>Önceki Dönem</w:t>
            </w:r>
          </w:p>
        </w:tc>
      </w:tr>
      <w:tr w:rsidR="00F67C49" w:rsidRPr="00005453" w14:paraId="781D2168" w14:textId="77777777" w:rsidTr="00F57DCD">
        <w:trPr>
          <w:divId w:val="1234050960"/>
          <w:trHeight w:val="257"/>
        </w:trPr>
        <w:tc>
          <w:tcPr>
            <w:tcW w:w="4476"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0A0D1CEE" w14:textId="77777777" w:rsidR="00F67C49" w:rsidRPr="00005453" w:rsidRDefault="00F67C49" w:rsidP="00F67C49">
            <w:pPr>
              <w:rPr>
                <w:color w:val="000000"/>
                <w:sz w:val="18"/>
                <w:szCs w:val="18"/>
                <w:lang w:eastAsia="tr-TR"/>
              </w:rPr>
            </w:pPr>
            <w:r w:rsidRPr="00005453">
              <w:rPr>
                <w:color w:val="000000"/>
                <w:sz w:val="18"/>
                <w:szCs w:val="18"/>
                <w:lang w:eastAsia="tr-TR"/>
              </w:rPr>
              <w:t> </w:t>
            </w:r>
          </w:p>
        </w:tc>
        <w:tc>
          <w:tcPr>
            <w:tcW w:w="1667" w:type="dxa"/>
            <w:vMerge w:val="restart"/>
            <w:tcBorders>
              <w:top w:val="nil"/>
              <w:left w:val="single" w:sz="8" w:space="0" w:color="000000"/>
              <w:bottom w:val="single" w:sz="8" w:space="0" w:color="000000"/>
              <w:right w:val="single" w:sz="8" w:space="0" w:color="auto"/>
            </w:tcBorders>
            <w:shd w:val="clear" w:color="auto" w:fill="auto"/>
            <w:vAlign w:val="center"/>
            <w:hideMark/>
          </w:tcPr>
          <w:p w14:paraId="341B7A0E" w14:textId="77777777" w:rsidR="00F67C49" w:rsidRPr="00005453" w:rsidRDefault="00F67C49" w:rsidP="00F67C49">
            <w:pPr>
              <w:rPr>
                <w:color w:val="000000"/>
                <w:sz w:val="18"/>
                <w:szCs w:val="18"/>
                <w:lang w:eastAsia="tr-TR"/>
              </w:rPr>
            </w:pPr>
            <w:r w:rsidRPr="00005453">
              <w:rPr>
                <w:color w:val="000000"/>
                <w:sz w:val="18"/>
                <w:szCs w:val="18"/>
                <w:lang w:eastAsia="tr-TR"/>
              </w:rPr>
              <w:t>Risk tutarı (Kredi riski azaltımı teknikleri kullanımı sonrası)</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1D262947" w14:textId="77777777" w:rsidR="00F67C49" w:rsidRPr="00005453" w:rsidRDefault="00F67C49" w:rsidP="00F67C49">
            <w:pPr>
              <w:rPr>
                <w:color w:val="000000"/>
                <w:sz w:val="18"/>
                <w:szCs w:val="18"/>
                <w:lang w:eastAsia="tr-TR"/>
              </w:rPr>
            </w:pPr>
            <w:r w:rsidRPr="00005453">
              <w:rPr>
                <w:color w:val="000000"/>
                <w:sz w:val="18"/>
                <w:szCs w:val="18"/>
                <w:lang w:eastAsia="tr-TR"/>
              </w:rPr>
              <w:t>Risk ağırlıklı tutarlar</w:t>
            </w:r>
          </w:p>
        </w:tc>
        <w:tc>
          <w:tcPr>
            <w:tcW w:w="1065" w:type="dxa"/>
            <w:vMerge w:val="restart"/>
            <w:tcBorders>
              <w:top w:val="nil"/>
              <w:left w:val="single" w:sz="8" w:space="0" w:color="000000"/>
              <w:bottom w:val="single" w:sz="8" w:space="0" w:color="000000"/>
              <w:right w:val="single" w:sz="8" w:space="0" w:color="auto"/>
            </w:tcBorders>
            <w:shd w:val="clear" w:color="auto" w:fill="auto"/>
            <w:vAlign w:val="center"/>
            <w:hideMark/>
          </w:tcPr>
          <w:p w14:paraId="5C0A597D" w14:textId="77777777" w:rsidR="00F67C49" w:rsidRPr="00005453" w:rsidRDefault="00F67C49" w:rsidP="00F67C49">
            <w:pPr>
              <w:rPr>
                <w:color w:val="000000"/>
                <w:sz w:val="18"/>
                <w:szCs w:val="18"/>
                <w:lang w:eastAsia="tr-TR"/>
              </w:rPr>
            </w:pPr>
            <w:r w:rsidRPr="00005453">
              <w:rPr>
                <w:color w:val="000000"/>
                <w:sz w:val="18"/>
                <w:szCs w:val="18"/>
                <w:lang w:eastAsia="tr-TR"/>
              </w:rPr>
              <w:t>Risk tutarı (Kredi riski azaltımı teknikleri kullanımı sonrası)</w:t>
            </w:r>
          </w:p>
        </w:tc>
        <w:tc>
          <w:tcPr>
            <w:tcW w:w="1065" w:type="dxa"/>
            <w:vMerge w:val="restart"/>
            <w:tcBorders>
              <w:top w:val="nil"/>
              <w:left w:val="single" w:sz="8" w:space="0" w:color="auto"/>
              <w:bottom w:val="single" w:sz="8" w:space="0" w:color="000000"/>
              <w:right w:val="single" w:sz="8" w:space="0" w:color="auto"/>
            </w:tcBorders>
            <w:shd w:val="clear" w:color="auto" w:fill="auto"/>
            <w:vAlign w:val="center"/>
            <w:hideMark/>
          </w:tcPr>
          <w:p w14:paraId="1418024E" w14:textId="77777777" w:rsidR="00F67C49" w:rsidRPr="00005453" w:rsidRDefault="00F67C49" w:rsidP="00F67C49">
            <w:pPr>
              <w:rPr>
                <w:color w:val="000000"/>
                <w:sz w:val="18"/>
                <w:szCs w:val="18"/>
                <w:lang w:eastAsia="tr-TR"/>
              </w:rPr>
            </w:pPr>
            <w:r w:rsidRPr="00005453">
              <w:rPr>
                <w:color w:val="000000"/>
                <w:sz w:val="18"/>
                <w:szCs w:val="18"/>
                <w:lang w:eastAsia="tr-TR"/>
              </w:rPr>
              <w:t>Risk ağırlıklı tutarlar</w:t>
            </w:r>
          </w:p>
        </w:tc>
      </w:tr>
      <w:tr w:rsidR="00F67C49" w:rsidRPr="00005453" w14:paraId="6D19A7B5" w14:textId="77777777" w:rsidTr="00F57DCD">
        <w:trPr>
          <w:divId w:val="1234050960"/>
          <w:trHeight w:val="230"/>
        </w:trPr>
        <w:tc>
          <w:tcPr>
            <w:tcW w:w="4476" w:type="dxa"/>
            <w:gridSpan w:val="2"/>
            <w:vMerge/>
            <w:tcBorders>
              <w:top w:val="single" w:sz="8" w:space="0" w:color="auto"/>
              <w:left w:val="single" w:sz="8" w:space="0" w:color="auto"/>
              <w:bottom w:val="single" w:sz="8" w:space="0" w:color="000000"/>
              <w:right w:val="single" w:sz="8" w:space="0" w:color="000000"/>
            </w:tcBorders>
            <w:vAlign w:val="center"/>
            <w:hideMark/>
          </w:tcPr>
          <w:p w14:paraId="10978008" w14:textId="77777777" w:rsidR="00F67C49" w:rsidRPr="00005453" w:rsidRDefault="00F67C49" w:rsidP="00F67C49">
            <w:pPr>
              <w:rPr>
                <w:color w:val="000000"/>
                <w:sz w:val="18"/>
                <w:szCs w:val="18"/>
                <w:lang w:eastAsia="tr-TR"/>
              </w:rPr>
            </w:pPr>
          </w:p>
        </w:tc>
        <w:tc>
          <w:tcPr>
            <w:tcW w:w="1667" w:type="dxa"/>
            <w:vMerge/>
            <w:tcBorders>
              <w:top w:val="nil"/>
              <w:left w:val="single" w:sz="8" w:space="0" w:color="000000"/>
              <w:bottom w:val="single" w:sz="8" w:space="0" w:color="000000"/>
              <w:right w:val="single" w:sz="8" w:space="0" w:color="auto"/>
            </w:tcBorders>
            <w:vAlign w:val="center"/>
            <w:hideMark/>
          </w:tcPr>
          <w:p w14:paraId="1F176017" w14:textId="77777777" w:rsidR="00F67C49" w:rsidRPr="00005453" w:rsidRDefault="00F67C49" w:rsidP="00F67C49">
            <w:pPr>
              <w:rPr>
                <w:color w:val="000000"/>
                <w:sz w:val="18"/>
                <w:szCs w:val="18"/>
                <w:lang w:eastAsia="tr-TR"/>
              </w:rPr>
            </w:pPr>
          </w:p>
        </w:tc>
        <w:tc>
          <w:tcPr>
            <w:tcW w:w="1181" w:type="dxa"/>
            <w:vMerge/>
            <w:tcBorders>
              <w:top w:val="nil"/>
              <w:left w:val="single" w:sz="8" w:space="0" w:color="auto"/>
              <w:bottom w:val="single" w:sz="8" w:space="0" w:color="000000"/>
              <w:right w:val="single" w:sz="8" w:space="0" w:color="auto"/>
            </w:tcBorders>
            <w:vAlign w:val="center"/>
            <w:hideMark/>
          </w:tcPr>
          <w:p w14:paraId="5ECE1A23" w14:textId="77777777" w:rsidR="00F67C49" w:rsidRPr="00005453" w:rsidRDefault="00F67C49" w:rsidP="00F67C49">
            <w:pPr>
              <w:rPr>
                <w:color w:val="000000"/>
                <w:sz w:val="18"/>
                <w:szCs w:val="18"/>
                <w:lang w:eastAsia="tr-TR"/>
              </w:rPr>
            </w:pPr>
          </w:p>
        </w:tc>
        <w:tc>
          <w:tcPr>
            <w:tcW w:w="1065" w:type="dxa"/>
            <w:vMerge/>
            <w:tcBorders>
              <w:top w:val="nil"/>
              <w:left w:val="single" w:sz="8" w:space="0" w:color="000000"/>
              <w:bottom w:val="single" w:sz="8" w:space="0" w:color="000000"/>
              <w:right w:val="single" w:sz="8" w:space="0" w:color="auto"/>
            </w:tcBorders>
            <w:vAlign w:val="center"/>
            <w:hideMark/>
          </w:tcPr>
          <w:p w14:paraId="23CD8B01" w14:textId="77777777" w:rsidR="00F67C49" w:rsidRPr="00005453" w:rsidRDefault="00F67C49" w:rsidP="00F67C49">
            <w:pPr>
              <w:rPr>
                <w:color w:val="000000"/>
                <w:sz w:val="18"/>
                <w:szCs w:val="18"/>
                <w:lang w:eastAsia="tr-TR"/>
              </w:rPr>
            </w:pPr>
          </w:p>
        </w:tc>
        <w:tc>
          <w:tcPr>
            <w:tcW w:w="1065" w:type="dxa"/>
            <w:vMerge/>
            <w:tcBorders>
              <w:top w:val="nil"/>
              <w:left w:val="single" w:sz="8" w:space="0" w:color="auto"/>
              <w:bottom w:val="single" w:sz="8" w:space="0" w:color="000000"/>
              <w:right w:val="single" w:sz="8" w:space="0" w:color="auto"/>
            </w:tcBorders>
            <w:vAlign w:val="center"/>
            <w:hideMark/>
          </w:tcPr>
          <w:p w14:paraId="1F5A7A7C" w14:textId="77777777" w:rsidR="00F67C49" w:rsidRPr="00005453" w:rsidRDefault="00F67C49" w:rsidP="00F67C49">
            <w:pPr>
              <w:rPr>
                <w:color w:val="000000"/>
                <w:sz w:val="18"/>
                <w:szCs w:val="18"/>
                <w:lang w:eastAsia="tr-TR"/>
              </w:rPr>
            </w:pPr>
          </w:p>
        </w:tc>
      </w:tr>
      <w:tr w:rsidR="00F67C49" w:rsidRPr="00005453" w14:paraId="5C03C941" w14:textId="77777777" w:rsidTr="00F57DCD">
        <w:trPr>
          <w:divId w:val="1234050960"/>
          <w:trHeight w:val="203"/>
        </w:trPr>
        <w:tc>
          <w:tcPr>
            <w:tcW w:w="4476"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C43C198" w14:textId="77777777" w:rsidR="00F67C49" w:rsidRPr="00005453" w:rsidRDefault="00F67C49" w:rsidP="00F67C49">
            <w:pPr>
              <w:rPr>
                <w:color w:val="000000"/>
                <w:sz w:val="18"/>
                <w:szCs w:val="18"/>
                <w:lang w:eastAsia="tr-TR"/>
              </w:rPr>
            </w:pPr>
            <w:r w:rsidRPr="00005453">
              <w:rPr>
                <w:color w:val="000000"/>
                <w:sz w:val="18"/>
                <w:szCs w:val="18"/>
                <w:lang w:eastAsia="tr-TR"/>
              </w:rPr>
              <w:t>Gelişmiş yönteme göre KDA sermaye yükümlülüğüne tabi portföylerin toplam tutarı</w:t>
            </w:r>
          </w:p>
        </w:tc>
        <w:tc>
          <w:tcPr>
            <w:tcW w:w="1667" w:type="dxa"/>
            <w:tcBorders>
              <w:top w:val="nil"/>
              <w:left w:val="nil"/>
              <w:bottom w:val="single" w:sz="8" w:space="0" w:color="auto"/>
              <w:right w:val="single" w:sz="8" w:space="0" w:color="auto"/>
            </w:tcBorders>
            <w:shd w:val="clear" w:color="auto" w:fill="auto"/>
            <w:noWrap/>
            <w:vAlign w:val="bottom"/>
            <w:hideMark/>
          </w:tcPr>
          <w:p w14:paraId="1E669AFE" w14:textId="77777777" w:rsidR="00F67C49" w:rsidRPr="00005453" w:rsidRDefault="00F67C49" w:rsidP="00F67C49">
            <w:pPr>
              <w:rPr>
                <w:color w:val="000000"/>
                <w:sz w:val="18"/>
                <w:szCs w:val="18"/>
                <w:lang w:eastAsia="tr-TR"/>
              </w:rPr>
            </w:pPr>
            <w:r w:rsidRPr="00005453">
              <w:rPr>
                <w:color w:val="000000"/>
                <w:sz w:val="18"/>
                <w:szCs w:val="18"/>
                <w:lang w:eastAsia="tr-TR"/>
              </w:rPr>
              <w:t> </w:t>
            </w:r>
          </w:p>
        </w:tc>
        <w:tc>
          <w:tcPr>
            <w:tcW w:w="1181" w:type="dxa"/>
            <w:tcBorders>
              <w:top w:val="nil"/>
              <w:left w:val="nil"/>
              <w:bottom w:val="single" w:sz="8" w:space="0" w:color="auto"/>
              <w:right w:val="single" w:sz="8" w:space="0" w:color="auto"/>
            </w:tcBorders>
            <w:shd w:val="clear" w:color="auto" w:fill="auto"/>
            <w:noWrap/>
            <w:vAlign w:val="bottom"/>
            <w:hideMark/>
          </w:tcPr>
          <w:p w14:paraId="6154D3A5" w14:textId="77777777" w:rsidR="00F67C49" w:rsidRPr="00005453" w:rsidRDefault="00F67C49" w:rsidP="00F67C49">
            <w:pPr>
              <w:rPr>
                <w:color w:val="000000"/>
                <w:sz w:val="18"/>
                <w:szCs w:val="18"/>
                <w:lang w:eastAsia="tr-TR"/>
              </w:rPr>
            </w:pPr>
            <w:r w:rsidRPr="00005453">
              <w:rPr>
                <w:color w:val="000000"/>
                <w:sz w:val="18"/>
                <w:szCs w:val="18"/>
                <w:lang w:eastAsia="tr-TR"/>
              </w:rPr>
              <w:t> </w:t>
            </w:r>
          </w:p>
        </w:tc>
        <w:tc>
          <w:tcPr>
            <w:tcW w:w="1065" w:type="dxa"/>
            <w:tcBorders>
              <w:top w:val="nil"/>
              <w:left w:val="nil"/>
              <w:bottom w:val="single" w:sz="8" w:space="0" w:color="auto"/>
              <w:right w:val="single" w:sz="8" w:space="0" w:color="auto"/>
            </w:tcBorders>
            <w:shd w:val="clear" w:color="auto" w:fill="auto"/>
            <w:noWrap/>
            <w:vAlign w:val="bottom"/>
            <w:hideMark/>
          </w:tcPr>
          <w:p w14:paraId="0E4844D3" w14:textId="77777777" w:rsidR="00F67C49" w:rsidRPr="00005453" w:rsidRDefault="00F67C49" w:rsidP="00F67C49">
            <w:pPr>
              <w:rPr>
                <w:color w:val="000000"/>
                <w:sz w:val="18"/>
                <w:szCs w:val="18"/>
                <w:lang w:eastAsia="tr-TR"/>
              </w:rPr>
            </w:pPr>
            <w:r w:rsidRPr="00005453">
              <w:rPr>
                <w:color w:val="000000"/>
                <w:sz w:val="18"/>
                <w:szCs w:val="18"/>
                <w:lang w:eastAsia="tr-TR"/>
              </w:rPr>
              <w:t> </w:t>
            </w:r>
          </w:p>
        </w:tc>
        <w:tc>
          <w:tcPr>
            <w:tcW w:w="1065" w:type="dxa"/>
            <w:tcBorders>
              <w:top w:val="nil"/>
              <w:left w:val="nil"/>
              <w:bottom w:val="single" w:sz="8" w:space="0" w:color="auto"/>
              <w:right w:val="single" w:sz="8" w:space="0" w:color="auto"/>
            </w:tcBorders>
            <w:shd w:val="clear" w:color="auto" w:fill="auto"/>
            <w:noWrap/>
            <w:vAlign w:val="bottom"/>
            <w:hideMark/>
          </w:tcPr>
          <w:p w14:paraId="05850B01" w14:textId="77777777" w:rsidR="00F67C49" w:rsidRPr="00005453" w:rsidRDefault="00F67C49" w:rsidP="00F67C49">
            <w:pPr>
              <w:rPr>
                <w:color w:val="000000"/>
                <w:sz w:val="18"/>
                <w:szCs w:val="18"/>
                <w:lang w:eastAsia="tr-TR"/>
              </w:rPr>
            </w:pPr>
            <w:r w:rsidRPr="00005453">
              <w:rPr>
                <w:color w:val="000000"/>
                <w:sz w:val="18"/>
                <w:szCs w:val="18"/>
                <w:lang w:eastAsia="tr-TR"/>
              </w:rPr>
              <w:t> </w:t>
            </w:r>
          </w:p>
        </w:tc>
      </w:tr>
      <w:tr w:rsidR="00126177" w:rsidRPr="00005453" w14:paraId="73EED009" w14:textId="77777777" w:rsidTr="00126177">
        <w:trPr>
          <w:divId w:val="1234050960"/>
          <w:trHeight w:val="163"/>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184C9CAE" w14:textId="77777777" w:rsidR="00126177" w:rsidRPr="00005453" w:rsidRDefault="00126177" w:rsidP="00126177">
            <w:pPr>
              <w:rPr>
                <w:color w:val="000000"/>
                <w:sz w:val="18"/>
                <w:szCs w:val="18"/>
                <w:lang w:eastAsia="tr-TR"/>
              </w:rPr>
            </w:pPr>
            <w:r w:rsidRPr="00005453">
              <w:rPr>
                <w:color w:val="000000"/>
                <w:sz w:val="18"/>
                <w:szCs w:val="18"/>
                <w:lang w:eastAsia="tr-TR"/>
              </w:rPr>
              <w:t>1</w:t>
            </w:r>
          </w:p>
        </w:tc>
        <w:tc>
          <w:tcPr>
            <w:tcW w:w="4247" w:type="dxa"/>
            <w:tcBorders>
              <w:top w:val="nil"/>
              <w:left w:val="nil"/>
              <w:bottom w:val="single" w:sz="8" w:space="0" w:color="auto"/>
              <w:right w:val="single" w:sz="8" w:space="0" w:color="auto"/>
            </w:tcBorders>
            <w:shd w:val="clear" w:color="auto" w:fill="auto"/>
            <w:noWrap/>
            <w:vAlign w:val="center"/>
            <w:hideMark/>
          </w:tcPr>
          <w:p w14:paraId="4E237F6D" w14:textId="77777777" w:rsidR="00126177" w:rsidRPr="00005453" w:rsidRDefault="00126177" w:rsidP="00126177">
            <w:pPr>
              <w:rPr>
                <w:color w:val="000000"/>
                <w:sz w:val="18"/>
                <w:szCs w:val="18"/>
                <w:lang w:eastAsia="tr-TR"/>
              </w:rPr>
            </w:pPr>
            <w:r w:rsidRPr="00005453">
              <w:rPr>
                <w:color w:val="000000"/>
                <w:sz w:val="18"/>
                <w:szCs w:val="18"/>
                <w:lang w:eastAsia="tr-TR"/>
              </w:rPr>
              <w:t>(i) Riske maruz değer bileşeni (3*çarpan dahil)</w:t>
            </w:r>
          </w:p>
        </w:tc>
        <w:tc>
          <w:tcPr>
            <w:tcW w:w="1667" w:type="dxa"/>
            <w:tcBorders>
              <w:top w:val="nil"/>
              <w:left w:val="nil"/>
              <w:bottom w:val="single" w:sz="8" w:space="0" w:color="auto"/>
              <w:right w:val="single" w:sz="8" w:space="0" w:color="auto"/>
            </w:tcBorders>
            <w:shd w:val="clear" w:color="auto" w:fill="auto"/>
            <w:noWrap/>
            <w:vAlign w:val="center"/>
            <w:hideMark/>
          </w:tcPr>
          <w:p w14:paraId="42DC45A0" w14:textId="77777777"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81" w:type="dxa"/>
            <w:tcBorders>
              <w:top w:val="nil"/>
              <w:left w:val="nil"/>
              <w:bottom w:val="single" w:sz="8" w:space="0" w:color="auto"/>
              <w:right w:val="single" w:sz="8" w:space="0" w:color="auto"/>
            </w:tcBorders>
            <w:shd w:val="clear" w:color="auto" w:fill="auto"/>
            <w:noWrap/>
            <w:vAlign w:val="center"/>
            <w:hideMark/>
          </w:tcPr>
          <w:p w14:paraId="1767DA7A" w14:textId="77777777"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06353B83" w14:textId="225AF6EA"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338C51D" w14:textId="42046DE5" w:rsidR="00126177" w:rsidRPr="00005453" w:rsidRDefault="00126177" w:rsidP="00126177">
            <w:pPr>
              <w:jc w:val="right"/>
              <w:rPr>
                <w:color w:val="000000"/>
                <w:sz w:val="18"/>
                <w:szCs w:val="18"/>
                <w:lang w:eastAsia="tr-TR"/>
              </w:rPr>
            </w:pPr>
            <w:r w:rsidRPr="00005453">
              <w:rPr>
                <w:color w:val="000000"/>
                <w:sz w:val="18"/>
                <w:szCs w:val="18"/>
                <w:lang w:eastAsia="tr-TR"/>
              </w:rPr>
              <w:t>-</w:t>
            </w:r>
          </w:p>
        </w:tc>
      </w:tr>
      <w:tr w:rsidR="00126177" w:rsidRPr="00005453" w14:paraId="70903F31" w14:textId="77777777" w:rsidTr="00126177">
        <w:trPr>
          <w:divId w:val="1234050960"/>
          <w:trHeight w:val="163"/>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2BAFD5B1" w14:textId="77777777" w:rsidR="00126177" w:rsidRPr="00005453" w:rsidRDefault="00126177" w:rsidP="00126177">
            <w:pPr>
              <w:rPr>
                <w:color w:val="000000"/>
                <w:sz w:val="18"/>
                <w:szCs w:val="18"/>
                <w:lang w:eastAsia="tr-TR"/>
              </w:rPr>
            </w:pPr>
            <w:r w:rsidRPr="00005453">
              <w:rPr>
                <w:color w:val="000000"/>
                <w:sz w:val="18"/>
                <w:szCs w:val="18"/>
                <w:lang w:eastAsia="tr-TR"/>
              </w:rPr>
              <w:t>2</w:t>
            </w:r>
          </w:p>
        </w:tc>
        <w:tc>
          <w:tcPr>
            <w:tcW w:w="4247" w:type="dxa"/>
            <w:tcBorders>
              <w:top w:val="nil"/>
              <w:left w:val="nil"/>
              <w:bottom w:val="single" w:sz="8" w:space="0" w:color="auto"/>
              <w:right w:val="single" w:sz="8" w:space="0" w:color="auto"/>
            </w:tcBorders>
            <w:shd w:val="clear" w:color="auto" w:fill="auto"/>
            <w:noWrap/>
            <w:vAlign w:val="center"/>
            <w:hideMark/>
          </w:tcPr>
          <w:p w14:paraId="13A5BAD9" w14:textId="77777777" w:rsidR="00126177" w:rsidRPr="00005453" w:rsidRDefault="00126177" w:rsidP="00126177">
            <w:pPr>
              <w:rPr>
                <w:color w:val="000000"/>
                <w:sz w:val="18"/>
                <w:szCs w:val="18"/>
                <w:lang w:eastAsia="tr-TR"/>
              </w:rPr>
            </w:pPr>
            <w:r w:rsidRPr="00005453">
              <w:rPr>
                <w:color w:val="000000"/>
                <w:sz w:val="18"/>
                <w:szCs w:val="18"/>
                <w:lang w:eastAsia="tr-TR"/>
              </w:rPr>
              <w:t>(ii) Stres riske maruz değer (3*çarpan dahil)</w:t>
            </w:r>
          </w:p>
        </w:tc>
        <w:tc>
          <w:tcPr>
            <w:tcW w:w="1667" w:type="dxa"/>
            <w:tcBorders>
              <w:top w:val="nil"/>
              <w:left w:val="nil"/>
              <w:bottom w:val="single" w:sz="8" w:space="0" w:color="auto"/>
              <w:right w:val="single" w:sz="8" w:space="0" w:color="auto"/>
            </w:tcBorders>
            <w:shd w:val="clear" w:color="auto" w:fill="auto"/>
            <w:noWrap/>
            <w:vAlign w:val="center"/>
            <w:hideMark/>
          </w:tcPr>
          <w:p w14:paraId="57FDDE9D" w14:textId="77777777"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181" w:type="dxa"/>
            <w:tcBorders>
              <w:top w:val="nil"/>
              <w:left w:val="nil"/>
              <w:bottom w:val="single" w:sz="8" w:space="0" w:color="auto"/>
              <w:right w:val="single" w:sz="8" w:space="0" w:color="auto"/>
            </w:tcBorders>
            <w:shd w:val="clear" w:color="auto" w:fill="auto"/>
            <w:noWrap/>
            <w:vAlign w:val="center"/>
            <w:hideMark/>
          </w:tcPr>
          <w:p w14:paraId="41520753" w14:textId="77777777"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02EFD046" w14:textId="6734E7B5" w:rsidR="00126177" w:rsidRPr="00005453" w:rsidRDefault="00126177" w:rsidP="00126177">
            <w:pPr>
              <w:jc w:val="right"/>
              <w:rPr>
                <w:color w:val="000000"/>
                <w:sz w:val="18"/>
                <w:szCs w:val="18"/>
                <w:lang w:eastAsia="tr-TR"/>
              </w:rPr>
            </w:pPr>
            <w:r w:rsidRPr="00005453">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515CE18" w14:textId="5AE6A808" w:rsidR="00126177" w:rsidRPr="00005453" w:rsidRDefault="00126177" w:rsidP="00126177">
            <w:pPr>
              <w:jc w:val="right"/>
              <w:rPr>
                <w:color w:val="000000"/>
                <w:sz w:val="18"/>
                <w:szCs w:val="18"/>
                <w:lang w:eastAsia="tr-TR"/>
              </w:rPr>
            </w:pPr>
            <w:r w:rsidRPr="00005453">
              <w:rPr>
                <w:color w:val="000000"/>
                <w:sz w:val="18"/>
                <w:szCs w:val="18"/>
                <w:lang w:eastAsia="tr-TR"/>
              </w:rPr>
              <w:t>-</w:t>
            </w:r>
          </w:p>
        </w:tc>
      </w:tr>
      <w:tr w:rsidR="00146E86" w:rsidRPr="00005453" w14:paraId="3DE5422B" w14:textId="77777777" w:rsidTr="00146E86">
        <w:trPr>
          <w:divId w:val="1234050960"/>
          <w:trHeight w:val="187"/>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68D52ECA" w14:textId="77777777" w:rsidR="00146E86" w:rsidRPr="00005453" w:rsidRDefault="00146E86" w:rsidP="00146E86">
            <w:pPr>
              <w:rPr>
                <w:color w:val="000000"/>
                <w:sz w:val="18"/>
                <w:szCs w:val="18"/>
                <w:lang w:eastAsia="tr-TR"/>
              </w:rPr>
            </w:pPr>
            <w:r w:rsidRPr="00005453">
              <w:rPr>
                <w:color w:val="000000"/>
                <w:sz w:val="18"/>
                <w:szCs w:val="18"/>
                <w:lang w:eastAsia="tr-TR"/>
              </w:rPr>
              <w:t>3</w:t>
            </w:r>
          </w:p>
        </w:tc>
        <w:tc>
          <w:tcPr>
            <w:tcW w:w="4247" w:type="dxa"/>
            <w:tcBorders>
              <w:top w:val="nil"/>
              <w:left w:val="nil"/>
              <w:bottom w:val="single" w:sz="8" w:space="0" w:color="auto"/>
              <w:right w:val="single" w:sz="8" w:space="0" w:color="auto"/>
            </w:tcBorders>
            <w:shd w:val="clear" w:color="auto" w:fill="auto"/>
            <w:vAlign w:val="center"/>
            <w:hideMark/>
          </w:tcPr>
          <w:p w14:paraId="5570DC1D" w14:textId="77777777" w:rsidR="00146E86" w:rsidRPr="00005453" w:rsidRDefault="00146E86" w:rsidP="00146E86">
            <w:pPr>
              <w:rPr>
                <w:color w:val="000000"/>
                <w:sz w:val="18"/>
                <w:szCs w:val="18"/>
                <w:lang w:eastAsia="tr-TR"/>
              </w:rPr>
            </w:pPr>
            <w:r w:rsidRPr="00005453">
              <w:rPr>
                <w:color w:val="000000"/>
                <w:sz w:val="18"/>
                <w:szCs w:val="18"/>
                <w:lang w:eastAsia="tr-TR"/>
              </w:rPr>
              <w:t>Standart yönteme göre KDA sermaye yükümlülüğüne tabi portföylerin toplam tutarı</w:t>
            </w:r>
          </w:p>
        </w:tc>
        <w:tc>
          <w:tcPr>
            <w:tcW w:w="1667" w:type="dxa"/>
            <w:tcBorders>
              <w:top w:val="nil"/>
              <w:left w:val="nil"/>
              <w:bottom w:val="single" w:sz="8" w:space="0" w:color="auto"/>
              <w:right w:val="single" w:sz="8" w:space="0" w:color="auto"/>
            </w:tcBorders>
            <w:shd w:val="clear" w:color="auto" w:fill="auto"/>
            <w:noWrap/>
            <w:vAlign w:val="center"/>
            <w:hideMark/>
          </w:tcPr>
          <w:p w14:paraId="65B9317B" w14:textId="27953045" w:rsidR="00146E86" w:rsidRPr="00005453" w:rsidRDefault="00146E86" w:rsidP="00146E86">
            <w:pPr>
              <w:jc w:val="right"/>
              <w:rPr>
                <w:color w:val="000000"/>
                <w:sz w:val="18"/>
                <w:szCs w:val="18"/>
              </w:rPr>
            </w:pPr>
            <w:r w:rsidRPr="00005453">
              <w:rPr>
                <w:color w:val="000000"/>
                <w:sz w:val="18"/>
                <w:szCs w:val="22"/>
              </w:rPr>
              <w:t>2,847,729</w:t>
            </w:r>
          </w:p>
        </w:tc>
        <w:tc>
          <w:tcPr>
            <w:tcW w:w="1181" w:type="dxa"/>
            <w:tcBorders>
              <w:top w:val="nil"/>
              <w:left w:val="nil"/>
              <w:bottom w:val="single" w:sz="8" w:space="0" w:color="auto"/>
              <w:right w:val="single" w:sz="8" w:space="0" w:color="auto"/>
            </w:tcBorders>
            <w:shd w:val="clear" w:color="auto" w:fill="auto"/>
            <w:noWrap/>
            <w:vAlign w:val="center"/>
            <w:hideMark/>
          </w:tcPr>
          <w:p w14:paraId="0CAC1992" w14:textId="69AE1437" w:rsidR="00146E86" w:rsidRPr="00005453" w:rsidRDefault="00146E86" w:rsidP="00146E86">
            <w:pPr>
              <w:jc w:val="right"/>
              <w:rPr>
                <w:color w:val="000000"/>
                <w:sz w:val="18"/>
                <w:szCs w:val="18"/>
              </w:rPr>
            </w:pPr>
            <w:r w:rsidRPr="00005453">
              <w:rPr>
                <w:color w:val="000000"/>
                <w:sz w:val="18"/>
                <w:szCs w:val="22"/>
              </w:rPr>
              <w:t>60,131</w:t>
            </w:r>
          </w:p>
        </w:tc>
        <w:tc>
          <w:tcPr>
            <w:tcW w:w="1065" w:type="dxa"/>
            <w:tcBorders>
              <w:top w:val="nil"/>
              <w:left w:val="nil"/>
              <w:bottom w:val="single" w:sz="8" w:space="0" w:color="auto"/>
              <w:right w:val="single" w:sz="8" w:space="0" w:color="auto"/>
            </w:tcBorders>
            <w:shd w:val="clear" w:color="auto" w:fill="auto"/>
            <w:noWrap/>
            <w:vAlign w:val="center"/>
            <w:hideMark/>
          </w:tcPr>
          <w:p w14:paraId="415DC05E" w14:textId="0CA22584" w:rsidR="00146E86" w:rsidRPr="00005453" w:rsidRDefault="00146E86" w:rsidP="00146E86">
            <w:pPr>
              <w:jc w:val="right"/>
              <w:rPr>
                <w:color w:val="000000"/>
                <w:sz w:val="18"/>
                <w:szCs w:val="18"/>
                <w:lang w:eastAsia="tr-TR"/>
              </w:rPr>
            </w:pPr>
            <w:r w:rsidRPr="00005453">
              <w:rPr>
                <w:color w:val="000000"/>
                <w:sz w:val="18"/>
                <w:szCs w:val="18"/>
              </w:rPr>
              <w:t>2,657,471</w:t>
            </w:r>
          </w:p>
        </w:tc>
        <w:tc>
          <w:tcPr>
            <w:tcW w:w="1065" w:type="dxa"/>
            <w:tcBorders>
              <w:top w:val="nil"/>
              <w:left w:val="nil"/>
              <w:bottom w:val="single" w:sz="8" w:space="0" w:color="auto"/>
              <w:right w:val="single" w:sz="8" w:space="0" w:color="auto"/>
            </w:tcBorders>
            <w:shd w:val="clear" w:color="auto" w:fill="auto"/>
            <w:noWrap/>
            <w:vAlign w:val="center"/>
            <w:hideMark/>
          </w:tcPr>
          <w:p w14:paraId="44A9B72E" w14:textId="4385E802" w:rsidR="00146E86" w:rsidRPr="00005453" w:rsidRDefault="00146E86" w:rsidP="00146E86">
            <w:pPr>
              <w:jc w:val="right"/>
              <w:rPr>
                <w:color w:val="000000"/>
                <w:sz w:val="18"/>
                <w:szCs w:val="18"/>
                <w:lang w:eastAsia="tr-TR"/>
              </w:rPr>
            </w:pPr>
            <w:r w:rsidRPr="00005453">
              <w:rPr>
                <w:color w:val="000000"/>
                <w:sz w:val="18"/>
                <w:szCs w:val="18"/>
              </w:rPr>
              <w:t>118,968</w:t>
            </w:r>
          </w:p>
        </w:tc>
      </w:tr>
      <w:tr w:rsidR="00146E86" w:rsidRPr="00005453" w14:paraId="3E0B1721" w14:textId="77777777" w:rsidTr="00146E86">
        <w:trPr>
          <w:divId w:val="1234050960"/>
          <w:trHeight w:val="226"/>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1F283906" w14:textId="77777777" w:rsidR="00146E86" w:rsidRPr="00005453" w:rsidRDefault="00146E86" w:rsidP="00146E86">
            <w:pPr>
              <w:rPr>
                <w:color w:val="000000"/>
                <w:sz w:val="18"/>
                <w:szCs w:val="18"/>
                <w:lang w:eastAsia="tr-TR"/>
              </w:rPr>
            </w:pPr>
            <w:r w:rsidRPr="00005453">
              <w:rPr>
                <w:color w:val="000000"/>
                <w:sz w:val="18"/>
                <w:szCs w:val="18"/>
                <w:lang w:eastAsia="tr-TR"/>
              </w:rPr>
              <w:t>4</w:t>
            </w:r>
          </w:p>
        </w:tc>
        <w:tc>
          <w:tcPr>
            <w:tcW w:w="4247" w:type="dxa"/>
            <w:tcBorders>
              <w:top w:val="nil"/>
              <w:left w:val="nil"/>
              <w:bottom w:val="single" w:sz="8" w:space="0" w:color="auto"/>
              <w:right w:val="single" w:sz="8" w:space="0" w:color="auto"/>
            </w:tcBorders>
            <w:shd w:val="clear" w:color="auto" w:fill="auto"/>
            <w:vAlign w:val="center"/>
            <w:hideMark/>
          </w:tcPr>
          <w:p w14:paraId="65206701" w14:textId="77777777" w:rsidR="00146E86" w:rsidRPr="00005453" w:rsidRDefault="00146E86" w:rsidP="00146E86">
            <w:pPr>
              <w:rPr>
                <w:b/>
                <w:bCs/>
                <w:color w:val="000000"/>
                <w:sz w:val="18"/>
                <w:szCs w:val="18"/>
                <w:lang w:eastAsia="tr-TR"/>
              </w:rPr>
            </w:pPr>
            <w:r w:rsidRPr="00005453">
              <w:rPr>
                <w:b/>
                <w:bCs/>
                <w:color w:val="000000"/>
                <w:sz w:val="18"/>
                <w:szCs w:val="18"/>
                <w:lang w:eastAsia="tr-TR"/>
              </w:rPr>
              <w:t>KDA sermaye yükümlülüğüne tabi toplam tutar</w:t>
            </w:r>
          </w:p>
        </w:tc>
        <w:tc>
          <w:tcPr>
            <w:tcW w:w="1667" w:type="dxa"/>
            <w:tcBorders>
              <w:top w:val="nil"/>
              <w:left w:val="nil"/>
              <w:bottom w:val="single" w:sz="8" w:space="0" w:color="auto"/>
              <w:right w:val="single" w:sz="8" w:space="0" w:color="auto"/>
            </w:tcBorders>
            <w:shd w:val="clear" w:color="auto" w:fill="auto"/>
            <w:noWrap/>
            <w:vAlign w:val="center"/>
            <w:hideMark/>
          </w:tcPr>
          <w:p w14:paraId="271C8AAD" w14:textId="7E6950AE" w:rsidR="00146E86" w:rsidRPr="00005453" w:rsidRDefault="00146E86" w:rsidP="00146E86">
            <w:pPr>
              <w:jc w:val="right"/>
              <w:rPr>
                <w:b/>
                <w:color w:val="000000"/>
                <w:sz w:val="18"/>
                <w:szCs w:val="18"/>
              </w:rPr>
            </w:pPr>
            <w:r w:rsidRPr="00005453">
              <w:rPr>
                <w:b/>
                <w:color w:val="000000"/>
                <w:sz w:val="18"/>
                <w:szCs w:val="22"/>
              </w:rPr>
              <w:t>2,847,729</w:t>
            </w:r>
          </w:p>
        </w:tc>
        <w:tc>
          <w:tcPr>
            <w:tcW w:w="1181" w:type="dxa"/>
            <w:tcBorders>
              <w:top w:val="nil"/>
              <w:left w:val="nil"/>
              <w:bottom w:val="single" w:sz="8" w:space="0" w:color="auto"/>
              <w:right w:val="single" w:sz="8" w:space="0" w:color="auto"/>
            </w:tcBorders>
            <w:shd w:val="clear" w:color="auto" w:fill="auto"/>
            <w:noWrap/>
            <w:vAlign w:val="center"/>
            <w:hideMark/>
          </w:tcPr>
          <w:p w14:paraId="0D00C540" w14:textId="768723C0" w:rsidR="00146E86" w:rsidRPr="00005453" w:rsidRDefault="00146E86" w:rsidP="00146E86">
            <w:pPr>
              <w:jc w:val="right"/>
              <w:rPr>
                <w:b/>
                <w:color w:val="000000"/>
                <w:sz w:val="18"/>
                <w:szCs w:val="18"/>
              </w:rPr>
            </w:pPr>
            <w:r w:rsidRPr="00005453">
              <w:rPr>
                <w:b/>
                <w:color w:val="000000"/>
                <w:sz w:val="18"/>
                <w:szCs w:val="22"/>
              </w:rPr>
              <w:t>60,131</w:t>
            </w:r>
          </w:p>
        </w:tc>
        <w:tc>
          <w:tcPr>
            <w:tcW w:w="1065" w:type="dxa"/>
            <w:tcBorders>
              <w:top w:val="nil"/>
              <w:left w:val="nil"/>
              <w:bottom w:val="single" w:sz="8" w:space="0" w:color="auto"/>
              <w:right w:val="single" w:sz="8" w:space="0" w:color="auto"/>
            </w:tcBorders>
            <w:shd w:val="clear" w:color="auto" w:fill="auto"/>
            <w:noWrap/>
            <w:vAlign w:val="center"/>
            <w:hideMark/>
          </w:tcPr>
          <w:p w14:paraId="719BD6C7" w14:textId="03227144" w:rsidR="00146E86" w:rsidRPr="00005453" w:rsidRDefault="00146E86" w:rsidP="00146E86">
            <w:pPr>
              <w:jc w:val="right"/>
              <w:rPr>
                <w:b/>
                <w:bCs/>
                <w:color w:val="000000"/>
                <w:sz w:val="18"/>
                <w:szCs w:val="18"/>
                <w:lang w:eastAsia="tr-TR"/>
              </w:rPr>
            </w:pPr>
            <w:r w:rsidRPr="00005453">
              <w:rPr>
                <w:b/>
                <w:color w:val="000000"/>
                <w:sz w:val="18"/>
                <w:szCs w:val="18"/>
              </w:rPr>
              <w:t>2,657,471</w:t>
            </w:r>
          </w:p>
        </w:tc>
        <w:tc>
          <w:tcPr>
            <w:tcW w:w="1065" w:type="dxa"/>
            <w:tcBorders>
              <w:top w:val="nil"/>
              <w:left w:val="nil"/>
              <w:bottom w:val="single" w:sz="8" w:space="0" w:color="auto"/>
              <w:right w:val="single" w:sz="8" w:space="0" w:color="auto"/>
            </w:tcBorders>
            <w:shd w:val="clear" w:color="auto" w:fill="auto"/>
            <w:noWrap/>
            <w:vAlign w:val="center"/>
            <w:hideMark/>
          </w:tcPr>
          <w:p w14:paraId="028B88C8" w14:textId="5B5FFDB1" w:rsidR="00146E86" w:rsidRPr="00005453" w:rsidRDefault="00146E86" w:rsidP="00146E86">
            <w:pPr>
              <w:jc w:val="right"/>
              <w:rPr>
                <w:b/>
                <w:bCs/>
                <w:color w:val="000000"/>
                <w:sz w:val="18"/>
                <w:szCs w:val="18"/>
                <w:lang w:eastAsia="tr-TR"/>
              </w:rPr>
            </w:pPr>
            <w:r w:rsidRPr="00005453">
              <w:rPr>
                <w:b/>
                <w:color w:val="000000"/>
                <w:sz w:val="18"/>
                <w:szCs w:val="18"/>
              </w:rPr>
              <w:t>118,968</w:t>
            </w:r>
          </w:p>
        </w:tc>
      </w:tr>
    </w:tbl>
    <w:p w14:paraId="5F98B9B5" w14:textId="75D88072" w:rsidR="00C25473" w:rsidRPr="00005453" w:rsidRDefault="00C25473" w:rsidP="00C25473">
      <w:pPr>
        <w:rPr>
          <w:rFonts w:eastAsia="Arial Unicode MS"/>
        </w:rPr>
      </w:pPr>
    </w:p>
    <w:p w14:paraId="01192B3A" w14:textId="77777777" w:rsidR="00C25473" w:rsidRPr="00005453" w:rsidRDefault="00C25473" w:rsidP="00C25473">
      <w:pPr>
        <w:rPr>
          <w:rFonts w:eastAsia="Arial Unicode MS"/>
        </w:rPr>
      </w:pPr>
    </w:p>
    <w:p w14:paraId="68E09F80" w14:textId="74D8F5B6" w:rsidR="00606AD8" w:rsidRPr="00005453" w:rsidRDefault="00557BAB" w:rsidP="00C74AA3">
      <w:pPr>
        <w:rPr>
          <w:b/>
          <w:lang w:eastAsia="zh-CN"/>
        </w:rPr>
        <w:sectPr w:rsidR="00606AD8" w:rsidRPr="00005453" w:rsidSect="00557BAB">
          <w:pgSz w:w="11906" w:h="16838"/>
          <w:pgMar w:top="737" w:right="992" w:bottom="992" w:left="1440" w:header="709" w:footer="709" w:gutter="0"/>
          <w:cols w:space="708"/>
          <w:docGrid w:linePitch="360"/>
        </w:sectPr>
      </w:pPr>
      <w:r w:rsidRPr="00005453">
        <w:rPr>
          <w:b/>
          <w:color w:val="000000"/>
          <w:sz w:val="16"/>
          <w:szCs w:val="16"/>
        </w:rPr>
        <w:br w:type="page"/>
      </w:r>
    </w:p>
    <w:p w14:paraId="7ECFA1B9" w14:textId="002BC4CD" w:rsidR="00606AD8" w:rsidRPr="00005453" w:rsidRDefault="007A1089" w:rsidP="00606AD8">
      <w:pPr>
        <w:ind w:hanging="567"/>
        <w:rPr>
          <w:b/>
          <w:lang w:eastAsia="zh-CN"/>
        </w:rPr>
      </w:pPr>
      <w:r w:rsidRPr="00005453">
        <w:rPr>
          <w:rFonts w:eastAsia="Arial Unicode MS"/>
          <w:b/>
        </w:rPr>
        <w:lastRenderedPageBreak/>
        <w:t>10</w:t>
      </w:r>
      <w:r w:rsidR="00606AD8" w:rsidRPr="00005453">
        <w:rPr>
          <w:b/>
          <w:lang w:eastAsia="zh-CN"/>
        </w:rPr>
        <w:t>.8.8.</w:t>
      </w:r>
      <w:r w:rsidR="00606AD8" w:rsidRPr="00005453">
        <w:rPr>
          <w:b/>
          <w:lang w:eastAsia="zh-CN"/>
        </w:rPr>
        <w:tab/>
        <w:t>Risk sınıfları ve risk ağırlıklarna göre KKR</w:t>
      </w:r>
    </w:p>
    <w:p w14:paraId="421F968C" w14:textId="70B1F387" w:rsidR="00F67C49" w:rsidRPr="00005453" w:rsidRDefault="00F67C49" w:rsidP="00606AD8">
      <w:pPr>
        <w:rPr>
          <w:lang w:eastAsia="en-GB"/>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8"/>
        <w:gridCol w:w="5317"/>
        <w:gridCol w:w="841"/>
        <w:gridCol w:w="640"/>
        <w:gridCol w:w="807"/>
        <w:gridCol w:w="618"/>
        <w:gridCol w:w="831"/>
        <w:gridCol w:w="831"/>
        <w:gridCol w:w="1205"/>
        <w:gridCol w:w="955"/>
        <w:gridCol w:w="817"/>
        <w:gridCol w:w="1244"/>
      </w:tblGrid>
      <w:tr w:rsidR="001D127E" w:rsidRPr="00005453" w14:paraId="05AA881C" w14:textId="77777777" w:rsidTr="00C07B3E">
        <w:trPr>
          <w:divId w:val="1797218162"/>
          <w:trHeight w:val="221"/>
        </w:trPr>
        <w:tc>
          <w:tcPr>
            <w:tcW w:w="5665" w:type="dxa"/>
            <w:gridSpan w:val="2"/>
            <w:shd w:val="clear" w:color="auto" w:fill="auto"/>
            <w:noWrap/>
            <w:vAlign w:val="center"/>
            <w:hideMark/>
          </w:tcPr>
          <w:p w14:paraId="409201D7" w14:textId="3EE7150E" w:rsidR="00F67C49" w:rsidRPr="00005453" w:rsidRDefault="00F67C49" w:rsidP="00F67C49">
            <w:pPr>
              <w:jc w:val="center"/>
              <w:rPr>
                <w:b/>
                <w:bCs/>
                <w:color w:val="000000"/>
                <w:sz w:val="14"/>
                <w:szCs w:val="14"/>
                <w:lang w:eastAsia="tr-TR"/>
              </w:rPr>
            </w:pPr>
            <w:r w:rsidRPr="00005453">
              <w:rPr>
                <w:b/>
                <w:bCs/>
                <w:color w:val="000000"/>
                <w:sz w:val="14"/>
                <w:szCs w:val="14"/>
                <w:lang w:eastAsia="tr-TR"/>
              </w:rPr>
              <w:t xml:space="preserve">Cari </w:t>
            </w:r>
            <w:proofErr w:type="gramStart"/>
            <w:r w:rsidRPr="00005453">
              <w:rPr>
                <w:b/>
                <w:bCs/>
                <w:color w:val="000000"/>
                <w:sz w:val="14"/>
                <w:szCs w:val="14"/>
                <w:lang w:eastAsia="tr-TR"/>
              </w:rPr>
              <w:t>Dönem -</w:t>
            </w:r>
            <w:proofErr w:type="gramEnd"/>
            <w:r w:rsidRPr="00005453">
              <w:rPr>
                <w:b/>
                <w:bCs/>
                <w:color w:val="000000"/>
                <w:sz w:val="14"/>
                <w:szCs w:val="14"/>
                <w:lang w:eastAsia="tr-TR"/>
              </w:rPr>
              <w:t xml:space="preserve"> Risk Sınıfları / Risk Ağırlığı *</w:t>
            </w:r>
          </w:p>
        </w:tc>
        <w:tc>
          <w:tcPr>
            <w:tcW w:w="841" w:type="dxa"/>
            <w:shd w:val="clear" w:color="auto" w:fill="auto"/>
            <w:noWrap/>
            <w:vAlign w:val="center"/>
            <w:hideMark/>
          </w:tcPr>
          <w:p w14:paraId="3C5D62E2"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%0</w:t>
            </w:r>
          </w:p>
        </w:tc>
        <w:tc>
          <w:tcPr>
            <w:tcW w:w="640" w:type="dxa"/>
            <w:shd w:val="clear" w:color="auto" w:fill="auto"/>
            <w:noWrap/>
            <w:vAlign w:val="center"/>
            <w:hideMark/>
          </w:tcPr>
          <w:p w14:paraId="65A74068"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%10</w:t>
            </w:r>
          </w:p>
        </w:tc>
        <w:tc>
          <w:tcPr>
            <w:tcW w:w="807" w:type="dxa"/>
            <w:shd w:val="clear" w:color="auto" w:fill="auto"/>
            <w:noWrap/>
            <w:vAlign w:val="center"/>
            <w:hideMark/>
          </w:tcPr>
          <w:p w14:paraId="5C5EBA7C"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%20</w:t>
            </w:r>
          </w:p>
        </w:tc>
        <w:tc>
          <w:tcPr>
            <w:tcW w:w="618" w:type="dxa"/>
            <w:shd w:val="clear" w:color="auto" w:fill="auto"/>
            <w:noWrap/>
            <w:vAlign w:val="center"/>
            <w:hideMark/>
          </w:tcPr>
          <w:p w14:paraId="392505AF"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%50</w:t>
            </w:r>
          </w:p>
        </w:tc>
        <w:tc>
          <w:tcPr>
            <w:tcW w:w="831" w:type="dxa"/>
            <w:shd w:val="clear" w:color="auto" w:fill="auto"/>
            <w:noWrap/>
            <w:vAlign w:val="center"/>
            <w:hideMark/>
          </w:tcPr>
          <w:p w14:paraId="5C57CDDC"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%75</w:t>
            </w:r>
          </w:p>
        </w:tc>
        <w:tc>
          <w:tcPr>
            <w:tcW w:w="831" w:type="dxa"/>
            <w:shd w:val="clear" w:color="auto" w:fill="auto"/>
            <w:noWrap/>
            <w:vAlign w:val="center"/>
            <w:hideMark/>
          </w:tcPr>
          <w:p w14:paraId="2F814F1C"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%100</w:t>
            </w:r>
          </w:p>
        </w:tc>
        <w:tc>
          <w:tcPr>
            <w:tcW w:w="1205" w:type="dxa"/>
            <w:shd w:val="clear" w:color="auto" w:fill="auto"/>
            <w:noWrap/>
            <w:vAlign w:val="center"/>
            <w:hideMark/>
          </w:tcPr>
          <w:p w14:paraId="0EC4A504"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%150</w:t>
            </w:r>
          </w:p>
        </w:tc>
        <w:tc>
          <w:tcPr>
            <w:tcW w:w="955" w:type="dxa"/>
            <w:shd w:val="clear" w:color="auto" w:fill="auto"/>
            <w:noWrap/>
            <w:vAlign w:val="center"/>
            <w:hideMark/>
          </w:tcPr>
          <w:p w14:paraId="28FB34A4"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%200</w:t>
            </w:r>
          </w:p>
        </w:tc>
        <w:tc>
          <w:tcPr>
            <w:tcW w:w="817" w:type="dxa"/>
            <w:shd w:val="clear" w:color="000000" w:fill="FFFFFF"/>
            <w:noWrap/>
            <w:vAlign w:val="center"/>
            <w:hideMark/>
          </w:tcPr>
          <w:p w14:paraId="481F352B" w14:textId="76794EA2" w:rsidR="00F67C49" w:rsidRPr="00005453" w:rsidRDefault="00F67C49" w:rsidP="00F67C49">
            <w:pPr>
              <w:jc w:val="center"/>
              <w:rPr>
                <w:b/>
                <w:bCs/>
                <w:color w:val="000000"/>
                <w:sz w:val="14"/>
                <w:szCs w:val="14"/>
                <w:lang w:eastAsia="tr-TR"/>
              </w:rPr>
            </w:pPr>
            <w:r w:rsidRPr="00005453">
              <w:rPr>
                <w:b/>
                <w:bCs/>
                <w:color w:val="000000"/>
                <w:sz w:val="14"/>
                <w:szCs w:val="14"/>
                <w:lang w:eastAsia="tr-TR"/>
              </w:rPr>
              <w:t>Diğerleri**</w:t>
            </w:r>
          </w:p>
        </w:tc>
        <w:tc>
          <w:tcPr>
            <w:tcW w:w="1244" w:type="dxa"/>
            <w:shd w:val="clear" w:color="auto" w:fill="auto"/>
            <w:vAlign w:val="center"/>
            <w:hideMark/>
          </w:tcPr>
          <w:p w14:paraId="7047984C" w14:textId="77777777" w:rsidR="00F67C49" w:rsidRPr="00005453" w:rsidRDefault="00F67C49" w:rsidP="00F67C49">
            <w:pPr>
              <w:jc w:val="center"/>
              <w:rPr>
                <w:b/>
                <w:bCs/>
                <w:color w:val="000000"/>
                <w:sz w:val="14"/>
                <w:szCs w:val="14"/>
                <w:lang w:eastAsia="tr-TR"/>
              </w:rPr>
            </w:pPr>
            <w:r w:rsidRPr="00005453">
              <w:rPr>
                <w:b/>
                <w:bCs/>
                <w:color w:val="000000"/>
                <w:sz w:val="14"/>
                <w:szCs w:val="14"/>
                <w:lang w:eastAsia="tr-TR"/>
              </w:rPr>
              <w:t>Toplam kredi riski*</w:t>
            </w:r>
          </w:p>
        </w:tc>
      </w:tr>
      <w:tr w:rsidR="00146E86" w:rsidRPr="00005453" w14:paraId="5C456D31" w14:textId="77777777" w:rsidTr="00C07B3E">
        <w:trPr>
          <w:divId w:val="1797218162"/>
          <w:trHeight w:val="72"/>
        </w:trPr>
        <w:tc>
          <w:tcPr>
            <w:tcW w:w="348" w:type="dxa"/>
            <w:shd w:val="clear" w:color="auto" w:fill="auto"/>
            <w:noWrap/>
            <w:vAlign w:val="center"/>
            <w:hideMark/>
          </w:tcPr>
          <w:p w14:paraId="7A344E3E" w14:textId="77777777" w:rsidR="00146E86" w:rsidRPr="00005453" w:rsidRDefault="00146E86" w:rsidP="00146E86">
            <w:pPr>
              <w:jc w:val="right"/>
              <w:rPr>
                <w:color w:val="000000"/>
                <w:sz w:val="14"/>
                <w:szCs w:val="14"/>
                <w:lang w:eastAsia="tr-TR"/>
              </w:rPr>
            </w:pPr>
            <w:r w:rsidRPr="00005453">
              <w:rPr>
                <w:color w:val="000000"/>
                <w:sz w:val="14"/>
                <w:szCs w:val="14"/>
                <w:lang w:eastAsia="tr-TR"/>
              </w:rPr>
              <w:t>1</w:t>
            </w:r>
          </w:p>
        </w:tc>
        <w:tc>
          <w:tcPr>
            <w:tcW w:w="5317" w:type="dxa"/>
            <w:shd w:val="clear" w:color="auto" w:fill="auto"/>
            <w:noWrap/>
            <w:vAlign w:val="center"/>
            <w:hideMark/>
          </w:tcPr>
          <w:p w14:paraId="43AAA9F1" w14:textId="77777777" w:rsidR="00146E86" w:rsidRPr="00005453" w:rsidRDefault="00146E86" w:rsidP="00146E86">
            <w:pPr>
              <w:rPr>
                <w:color w:val="000000"/>
                <w:sz w:val="14"/>
                <w:szCs w:val="14"/>
                <w:lang w:eastAsia="tr-TR"/>
              </w:rPr>
            </w:pPr>
            <w:r w:rsidRPr="00005453">
              <w:rPr>
                <w:color w:val="000000"/>
                <w:sz w:val="14"/>
                <w:szCs w:val="14"/>
                <w:lang w:eastAsia="tr-TR"/>
              </w:rPr>
              <w:t>Merkezi yönetimlerden veya merkez bankalarından alacaklar</w:t>
            </w:r>
          </w:p>
        </w:tc>
        <w:tc>
          <w:tcPr>
            <w:tcW w:w="841" w:type="dxa"/>
            <w:shd w:val="clear" w:color="auto" w:fill="auto"/>
            <w:noWrap/>
            <w:vAlign w:val="center"/>
            <w:hideMark/>
          </w:tcPr>
          <w:p w14:paraId="0546617D" w14:textId="6DB53DE7" w:rsidR="00146E86" w:rsidRPr="00005453" w:rsidRDefault="00146E86" w:rsidP="00146E86">
            <w:pPr>
              <w:jc w:val="right"/>
              <w:rPr>
                <w:color w:val="000000"/>
                <w:sz w:val="14"/>
                <w:szCs w:val="14"/>
              </w:rPr>
            </w:pPr>
            <w:r w:rsidRPr="00005453">
              <w:rPr>
                <w:color w:val="000000"/>
                <w:sz w:val="14"/>
                <w:szCs w:val="22"/>
              </w:rPr>
              <w:t>17,808,306</w:t>
            </w:r>
          </w:p>
        </w:tc>
        <w:tc>
          <w:tcPr>
            <w:tcW w:w="640" w:type="dxa"/>
            <w:shd w:val="clear" w:color="auto" w:fill="auto"/>
            <w:noWrap/>
            <w:vAlign w:val="center"/>
            <w:hideMark/>
          </w:tcPr>
          <w:p w14:paraId="7816B134" w14:textId="0089A90D"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19990BF5" w14:textId="404D1C0E"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1F6C776B" w14:textId="75A47D0F"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1F2E0D4E" w14:textId="44D4DC47"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44C11D1D" w14:textId="433E6F3E"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3F86A8B8" w14:textId="6EC3EFFC"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2C0363C0" w14:textId="7149E9F2"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19168C7A" w14:textId="264CFEF5"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1117E1FD" w14:textId="42FB147A" w:rsidR="00146E86" w:rsidRPr="00005453" w:rsidRDefault="00146E86" w:rsidP="00146E86">
            <w:pPr>
              <w:jc w:val="right"/>
              <w:rPr>
                <w:color w:val="000000"/>
                <w:sz w:val="14"/>
                <w:szCs w:val="14"/>
              </w:rPr>
            </w:pPr>
            <w:r w:rsidRPr="00005453">
              <w:rPr>
                <w:color w:val="000000"/>
                <w:sz w:val="14"/>
                <w:szCs w:val="22"/>
              </w:rPr>
              <w:t>-</w:t>
            </w:r>
          </w:p>
        </w:tc>
      </w:tr>
      <w:tr w:rsidR="00146E86" w:rsidRPr="00005453" w14:paraId="4AC13042" w14:textId="77777777" w:rsidTr="00C07B3E">
        <w:trPr>
          <w:divId w:val="1797218162"/>
          <w:trHeight w:val="43"/>
        </w:trPr>
        <w:tc>
          <w:tcPr>
            <w:tcW w:w="348" w:type="dxa"/>
            <w:shd w:val="clear" w:color="auto" w:fill="auto"/>
            <w:noWrap/>
            <w:vAlign w:val="center"/>
            <w:hideMark/>
          </w:tcPr>
          <w:p w14:paraId="6E7AD92C" w14:textId="77777777" w:rsidR="00146E86" w:rsidRPr="00005453" w:rsidRDefault="00146E86" w:rsidP="00146E86">
            <w:pPr>
              <w:jc w:val="right"/>
              <w:rPr>
                <w:color w:val="000000"/>
                <w:sz w:val="14"/>
                <w:szCs w:val="14"/>
                <w:lang w:eastAsia="tr-TR"/>
              </w:rPr>
            </w:pPr>
            <w:r w:rsidRPr="00005453">
              <w:rPr>
                <w:color w:val="000000"/>
                <w:sz w:val="14"/>
                <w:szCs w:val="14"/>
                <w:lang w:eastAsia="tr-TR"/>
              </w:rPr>
              <w:t>2</w:t>
            </w:r>
          </w:p>
        </w:tc>
        <w:tc>
          <w:tcPr>
            <w:tcW w:w="5317" w:type="dxa"/>
            <w:shd w:val="clear" w:color="auto" w:fill="auto"/>
            <w:noWrap/>
            <w:vAlign w:val="center"/>
            <w:hideMark/>
          </w:tcPr>
          <w:p w14:paraId="79EA6E28" w14:textId="77777777" w:rsidR="00146E86" w:rsidRPr="00005453" w:rsidRDefault="00146E86" w:rsidP="00146E86">
            <w:pPr>
              <w:rPr>
                <w:color w:val="000000"/>
                <w:sz w:val="14"/>
                <w:szCs w:val="14"/>
                <w:lang w:eastAsia="tr-TR"/>
              </w:rPr>
            </w:pPr>
            <w:r w:rsidRPr="00005453">
              <w:rPr>
                <w:color w:val="000000"/>
                <w:sz w:val="14"/>
                <w:szCs w:val="14"/>
                <w:lang w:eastAsia="tr-TR"/>
              </w:rPr>
              <w:t>Bölgesel yönetimlerden veya yerel yönetimlerden alacaklar</w:t>
            </w:r>
          </w:p>
        </w:tc>
        <w:tc>
          <w:tcPr>
            <w:tcW w:w="841" w:type="dxa"/>
            <w:shd w:val="clear" w:color="auto" w:fill="auto"/>
            <w:noWrap/>
            <w:vAlign w:val="center"/>
            <w:hideMark/>
          </w:tcPr>
          <w:p w14:paraId="3190FA6E" w14:textId="76CAB3C0"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21E41838" w14:textId="250BFCD6"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4681D00B" w14:textId="181C08B1"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7D171C92" w14:textId="65E6DD24"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7AB0006D" w14:textId="7DC724A6"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4D0D4B4F" w14:textId="3B3FC352"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120EFD54" w14:textId="41D3776E"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64193B02" w14:textId="664C3A88"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36F99E1C" w14:textId="455F46FF"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21335E9B" w14:textId="1900C613" w:rsidR="00146E86" w:rsidRPr="00005453" w:rsidRDefault="00146E86" w:rsidP="00146E86">
            <w:pPr>
              <w:jc w:val="right"/>
              <w:rPr>
                <w:color w:val="000000"/>
                <w:sz w:val="14"/>
                <w:szCs w:val="14"/>
              </w:rPr>
            </w:pPr>
            <w:r w:rsidRPr="00005453">
              <w:rPr>
                <w:color w:val="000000"/>
                <w:sz w:val="14"/>
                <w:szCs w:val="22"/>
              </w:rPr>
              <w:t>-</w:t>
            </w:r>
          </w:p>
        </w:tc>
      </w:tr>
      <w:tr w:rsidR="00146E86" w:rsidRPr="00005453" w14:paraId="404EECCD" w14:textId="77777777" w:rsidTr="00C07B3E">
        <w:trPr>
          <w:divId w:val="1797218162"/>
          <w:trHeight w:val="43"/>
        </w:trPr>
        <w:tc>
          <w:tcPr>
            <w:tcW w:w="348" w:type="dxa"/>
            <w:shd w:val="clear" w:color="auto" w:fill="auto"/>
            <w:noWrap/>
            <w:vAlign w:val="center"/>
            <w:hideMark/>
          </w:tcPr>
          <w:p w14:paraId="7065268B" w14:textId="77777777" w:rsidR="00146E86" w:rsidRPr="00005453" w:rsidRDefault="00146E86" w:rsidP="00146E86">
            <w:pPr>
              <w:jc w:val="right"/>
              <w:rPr>
                <w:color w:val="000000"/>
                <w:sz w:val="14"/>
                <w:szCs w:val="14"/>
                <w:lang w:eastAsia="tr-TR"/>
              </w:rPr>
            </w:pPr>
            <w:r w:rsidRPr="00005453">
              <w:rPr>
                <w:color w:val="000000"/>
                <w:sz w:val="14"/>
                <w:szCs w:val="14"/>
                <w:lang w:eastAsia="tr-TR"/>
              </w:rPr>
              <w:t>3</w:t>
            </w:r>
          </w:p>
        </w:tc>
        <w:tc>
          <w:tcPr>
            <w:tcW w:w="5317" w:type="dxa"/>
            <w:shd w:val="clear" w:color="auto" w:fill="auto"/>
            <w:noWrap/>
            <w:vAlign w:val="center"/>
            <w:hideMark/>
          </w:tcPr>
          <w:p w14:paraId="7384A924" w14:textId="77777777" w:rsidR="00146E86" w:rsidRPr="00005453" w:rsidRDefault="00146E86" w:rsidP="00146E86">
            <w:pPr>
              <w:rPr>
                <w:color w:val="000000"/>
                <w:sz w:val="14"/>
                <w:szCs w:val="14"/>
                <w:lang w:eastAsia="tr-TR"/>
              </w:rPr>
            </w:pPr>
            <w:r w:rsidRPr="00005453">
              <w:rPr>
                <w:color w:val="000000"/>
                <w:sz w:val="14"/>
                <w:szCs w:val="14"/>
                <w:lang w:eastAsia="tr-TR"/>
              </w:rPr>
              <w:t>İdari birimlerden ve ticari olmayan girişimlerden alacaklar</w:t>
            </w:r>
          </w:p>
        </w:tc>
        <w:tc>
          <w:tcPr>
            <w:tcW w:w="841" w:type="dxa"/>
            <w:shd w:val="clear" w:color="auto" w:fill="auto"/>
            <w:noWrap/>
            <w:vAlign w:val="center"/>
            <w:hideMark/>
          </w:tcPr>
          <w:p w14:paraId="4359B3A7" w14:textId="2C8C2A53"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634DE4F5" w14:textId="7E5BAB8C"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3E557C4C" w14:textId="78B6B702"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708E3BA9" w14:textId="1A1512DE"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1B93AA3F" w14:textId="479752B3"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0AF70370" w14:textId="751A6F9B"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414B9D47" w14:textId="1C9CE34E"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0CDD9279" w14:textId="3B98B70D"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2B48F217" w14:textId="343A9795"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287C36CC" w14:textId="191506F2" w:rsidR="00146E86" w:rsidRPr="00005453" w:rsidRDefault="00146E86" w:rsidP="00146E86">
            <w:pPr>
              <w:jc w:val="right"/>
              <w:rPr>
                <w:color w:val="000000"/>
                <w:sz w:val="14"/>
                <w:szCs w:val="14"/>
              </w:rPr>
            </w:pPr>
            <w:r w:rsidRPr="00005453">
              <w:rPr>
                <w:color w:val="000000"/>
                <w:sz w:val="14"/>
                <w:szCs w:val="22"/>
              </w:rPr>
              <w:t>-</w:t>
            </w:r>
          </w:p>
        </w:tc>
      </w:tr>
      <w:tr w:rsidR="00146E86" w:rsidRPr="00005453" w14:paraId="3A011F93" w14:textId="77777777" w:rsidTr="00C07B3E">
        <w:trPr>
          <w:divId w:val="1797218162"/>
          <w:trHeight w:val="67"/>
        </w:trPr>
        <w:tc>
          <w:tcPr>
            <w:tcW w:w="348" w:type="dxa"/>
            <w:shd w:val="clear" w:color="auto" w:fill="auto"/>
            <w:noWrap/>
            <w:vAlign w:val="center"/>
            <w:hideMark/>
          </w:tcPr>
          <w:p w14:paraId="2EDF5342" w14:textId="77777777" w:rsidR="00146E86" w:rsidRPr="00005453" w:rsidRDefault="00146E86" w:rsidP="00146E86">
            <w:pPr>
              <w:jc w:val="right"/>
              <w:rPr>
                <w:color w:val="000000"/>
                <w:sz w:val="14"/>
                <w:szCs w:val="14"/>
                <w:lang w:eastAsia="tr-TR"/>
              </w:rPr>
            </w:pPr>
            <w:r w:rsidRPr="00005453">
              <w:rPr>
                <w:color w:val="000000"/>
                <w:sz w:val="14"/>
                <w:szCs w:val="14"/>
                <w:lang w:eastAsia="tr-TR"/>
              </w:rPr>
              <w:t>4</w:t>
            </w:r>
          </w:p>
        </w:tc>
        <w:tc>
          <w:tcPr>
            <w:tcW w:w="5317" w:type="dxa"/>
            <w:shd w:val="clear" w:color="auto" w:fill="auto"/>
            <w:noWrap/>
            <w:vAlign w:val="center"/>
            <w:hideMark/>
          </w:tcPr>
          <w:p w14:paraId="4889DC33" w14:textId="77777777" w:rsidR="00146E86" w:rsidRPr="00005453" w:rsidRDefault="00146E86" w:rsidP="00146E86">
            <w:pPr>
              <w:rPr>
                <w:color w:val="000000"/>
                <w:sz w:val="14"/>
                <w:szCs w:val="14"/>
                <w:lang w:eastAsia="tr-TR"/>
              </w:rPr>
            </w:pPr>
            <w:r w:rsidRPr="00005453">
              <w:rPr>
                <w:color w:val="000000"/>
                <w:sz w:val="14"/>
                <w:szCs w:val="14"/>
                <w:lang w:eastAsia="tr-TR"/>
              </w:rPr>
              <w:t>Çok taraflı kalkınma bankalarından alacaklar</w:t>
            </w:r>
          </w:p>
        </w:tc>
        <w:tc>
          <w:tcPr>
            <w:tcW w:w="841" w:type="dxa"/>
            <w:shd w:val="clear" w:color="auto" w:fill="auto"/>
            <w:noWrap/>
            <w:vAlign w:val="center"/>
            <w:hideMark/>
          </w:tcPr>
          <w:p w14:paraId="6BD16678" w14:textId="72AFF14A"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5B54F08B" w14:textId="44014C1F"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649CF483" w14:textId="17E2208F"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745D34A1" w14:textId="1BB39755"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36B90C09" w14:textId="39D94F34"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740F7F5F" w14:textId="4F42C379"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11965201" w14:textId="137AB1FB"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4ED4B8D2" w14:textId="62B1152D"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51C31C91" w14:textId="43741CC0"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452BBD11" w14:textId="37DDA69C" w:rsidR="00146E86" w:rsidRPr="00005453" w:rsidRDefault="00146E86" w:rsidP="00146E86">
            <w:pPr>
              <w:jc w:val="right"/>
              <w:rPr>
                <w:color w:val="000000"/>
                <w:sz w:val="14"/>
                <w:szCs w:val="14"/>
              </w:rPr>
            </w:pPr>
            <w:r w:rsidRPr="00005453">
              <w:rPr>
                <w:color w:val="000000"/>
                <w:sz w:val="14"/>
                <w:szCs w:val="22"/>
              </w:rPr>
              <w:t>-</w:t>
            </w:r>
          </w:p>
        </w:tc>
      </w:tr>
      <w:tr w:rsidR="00146E86" w:rsidRPr="00005453" w14:paraId="6FC6F2FA" w14:textId="77777777" w:rsidTr="00C07B3E">
        <w:trPr>
          <w:divId w:val="1797218162"/>
          <w:trHeight w:val="99"/>
        </w:trPr>
        <w:tc>
          <w:tcPr>
            <w:tcW w:w="348" w:type="dxa"/>
            <w:shd w:val="clear" w:color="auto" w:fill="auto"/>
            <w:noWrap/>
            <w:vAlign w:val="center"/>
            <w:hideMark/>
          </w:tcPr>
          <w:p w14:paraId="5825218B" w14:textId="77777777" w:rsidR="00146E86" w:rsidRPr="00005453" w:rsidRDefault="00146E86" w:rsidP="00146E86">
            <w:pPr>
              <w:jc w:val="right"/>
              <w:rPr>
                <w:color w:val="000000"/>
                <w:sz w:val="14"/>
                <w:szCs w:val="14"/>
                <w:lang w:eastAsia="tr-TR"/>
              </w:rPr>
            </w:pPr>
            <w:r w:rsidRPr="00005453">
              <w:rPr>
                <w:color w:val="000000"/>
                <w:sz w:val="14"/>
                <w:szCs w:val="14"/>
                <w:lang w:eastAsia="tr-TR"/>
              </w:rPr>
              <w:t>5</w:t>
            </w:r>
          </w:p>
        </w:tc>
        <w:tc>
          <w:tcPr>
            <w:tcW w:w="5317" w:type="dxa"/>
            <w:shd w:val="clear" w:color="auto" w:fill="auto"/>
            <w:noWrap/>
            <w:vAlign w:val="center"/>
            <w:hideMark/>
          </w:tcPr>
          <w:p w14:paraId="2384B4DA" w14:textId="77777777" w:rsidR="00146E86" w:rsidRPr="00005453" w:rsidRDefault="00146E86" w:rsidP="00146E86">
            <w:pPr>
              <w:rPr>
                <w:color w:val="000000"/>
                <w:sz w:val="14"/>
                <w:szCs w:val="14"/>
                <w:lang w:eastAsia="tr-TR"/>
              </w:rPr>
            </w:pPr>
            <w:r w:rsidRPr="00005453">
              <w:rPr>
                <w:color w:val="000000"/>
                <w:sz w:val="14"/>
                <w:szCs w:val="14"/>
                <w:lang w:eastAsia="tr-TR"/>
              </w:rPr>
              <w:t>Uluslararası teşkilatlardan alacaklar</w:t>
            </w:r>
          </w:p>
        </w:tc>
        <w:tc>
          <w:tcPr>
            <w:tcW w:w="841" w:type="dxa"/>
            <w:shd w:val="clear" w:color="auto" w:fill="auto"/>
            <w:noWrap/>
            <w:vAlign w:val="center"/>
            <w:hideMark/>
          </w:tcPr>
          <w:p w14:paraId="351AE37E" w14:textId="2F981C80"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63961982" w14:textId="43B3BA0C"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105D8E09" w14:textId="3BC73F33"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701EA1C5" w14:textId="037C841F"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6230ECBD" w14:textId="29A6C15E"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09F6F757" w14:textId="41FFE1AB"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627B6E90" w14:textId="4A42B4BA"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344D7FBA" w14:textId="5C706486"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1C29CE40" w14:textId="05A5A129"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0ADA3243" w14:textId="15029722" w:rsidR="00146E86" w:rsidRPr="00005453" w:rsidRDefault="00146E86" w:rsidP="00146E86">
            <w:pPr>
              <w:jc w:val="right"/>
              <w:rPr>
                <w:color w:val="000000"/>
                <w:sz w:val="14"/>
                <w:szCs w:val="14"/>
              </w:rPr>
            </w:pPr>
            <w:r w:rsidRPr="00005453">
              <w:rPr>
                <w:color w:val="000000"/>
                <w:sz w:val="14"/>
                <w:szCs w:val="22"/>
              </w:rPr>
              <w:t>-</w:t>
            </w:r>
          </w:p>
        </w:tc>
      </w:tr>
      <w:tr w:rsidR="00146E86" w:rsidRPr="00005453" w14:paraId="52BA81B5" w14:textId="77777777" w:rsidTr="00C07B3E">
        <w:trPr>
          <w:divId w:val="1797218162"/>
          <w:trHeight w:val="74"/>
        </w:trPr>
        <w:tc>
          <w:tcPr>
            <w:tcW w:w="348" w:type="dxa"/>
            <w:shd w:val="clear" w:color="auto" w:fill="auto"/>
            <w:noWrap/>
            <w:vAlign w:val="center"/>
            <w:hideMark/>
          </w:tcPr>
          <w:p w14:paraId="3E645B54" w14:textId="77777777" w:rsidR="00146E86" w:rsidRPr="00005453" w:rsidRDefault="00146E86" w:rsidP="00146E86">
            <w:pPr>
              <w:jc w:val="right"/>
              <w:rPr>
                <w:color w:val="000000"/>
                <w:sz w:val="14"/>
                <w:szCs w:val="14"/>
                <w:lang w:eastAsia="tr-TR"/>
              </w:rPr>
            </w:pPr>
            <w:r w:rsidRPr="00005453">
              <w:rPr>
                <w:color w:val="000000"/>
                <w:sz w:val="14"/>
                <w:szCs w:val="14"/>
                <w:lang w:eastAsia="tr-TR"/>
              </w:rPr>
              <w:t>6</w:t>
            </w:r>
          </w:p>
        </w:tc>
        <w:tc>
          <w:tcPr>
            <w:tcW w:w="5317" w:type="dxa"/>
            <w:shd w:val="clear" w:color="auto" w:fill="auto"/>
            <w:noWrap/>
            <w:vAlign w:val="center"/>
            <w:hideMark/>
          </w:tcPr>
          <w:p w14:paraId="2B107EC2" w14:textId="77777777" w:rsidR="00146E86" w:rsidRPr="00005453" w:rsidRDefault="00146E86" w:rsidP="00146E86">
            <w:pPr>
              <w:rPr>
                <w:color w:val="000000"/>
                <w:sz w:val="14"/>
                <w:szCs w:val="14"/>
                <w:lang w:eastAsia="tr-TR"/>
              </w:rPr>
            </w:pPr>
            <w:r w:rsidRPr="00005453">
              <w:rPr>
                <w:color w:val="000000"/>
                <w:sz w:val="14"/>
                <w:szCs w:val="14"/>
                <w:lang w:eastAsia="tr-TR"/>
              </w:rPr>
              <w:t>Bankalardan ve aracı kurumlardan alacaklar</w:t>
            </w:r>
          </w:p>
        </w:tc>
        <w:tc>
          <w:tcPr>
            <w:tcW w:w="841" w:type="dxa"/>
            <w:shd w:val="clear" w:color="auto" w:fill="auto"/>
            <w:noWrap/>
            <w:vAlign w:val="center"/>
            <w:hideMark/>
          </w:tcPr>
          <w:p w14:paraId="32DB98C4" w14:textId="2654642C"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2D806B33" w14:textId="538F5E8D"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329D4EC2" w14:textId="192722E6" w:rsidR="00146E86" w:rsidRPr="00005453" w:rsidRDefault="00146E86" w:rsidP="00146E86">
            <w:pPr>
              <w:jc w:val="right"/>
              <w:rPr>
                <w:color w:val="000000"/>
                <w:sz w:val="14"/>
                <w:szCs w:val="14"/>
              </w:rPr>
            </w:pPr>
            <w:r w:rsidRPr="00005453">
              <w:rPr>
                <w:color w:val="000000"/>
                <w:sz w:val="14"/>
                <w:szCs w:val="22"/>
              </w:rPr>
              <w:t>1,344,936</w:t>
            </w:r>
          </w:p>
        </w:tc>
        <w:tc>
          <w:tcPr>
            <w:tcW w:w="618" w:type="dxa"/>
            <w:shd w:val="clear" w:color="auto" w:fill="auto"/>
            <w:noWrap/>
            <w:vAlign w:val="center"/>
            <w:hideMark/>
          </w:tcPr>
          <w:p w14:paraId="57E32A0A" w14:textId="7F93FC7C" w:rsidR="00146E86" w:rsidRPr="00005453" w:rsidRDefault="00146E86" w:rsidP="00146E86">
            <w:pPr>
              <w:jc w:val="right"/>
              <w:rPr>
                <w:color w:val="000000"/>
                <w:sz w:val="14"/>
                <w:szCs w:val="14"/>
              </w:rPr>
            </w:pPr>
            <w:r w:rsidRPr="00005453">
              <w:rPr>
                <w:color w:val="000000"/>
                <w:sz w:val="14"/>
                <w:szCs w:val="22"/>
              </w:rPr>
              <w:t>223,764</w:t>
            </w:r>
          </w:p>
        </w:tc>
        <w:tc>
          <w:tcPr>
            <w:tcW w:w="831" w:type="dxa"/>
            <w:shd w:val="clear" w:color="auto" w:fill="auto"/>
            <w:noWrap/>
            <w:vAlign w:val="center"/>
            <w:hideMark/>
          </w:tcPr>
          <w:p w14:paraId="40D09900" w14:textId="16C4DC2C"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1D8A66E6" w14:textId="294AFB06" w:rsidR="00146E86" w:rsidRPr="00005453" w:rsidRDefault="00146E86" w:rsidP="00146E86">
            <w:pPr>
              <w:jc w:val="right"/>
              <w:rPr>
                <w:color w:val="000000"/>
                <w:sz w:val="14"/>
                <w:szCs w:val="14"/>
              </w:rPr>
            </w:pPr>
            <w:r w:rsidRPr="00005453">
              <w:rPr>
                <w:color w:val="000000"/>
                <w:sz w:val="14"/>
                <w:szCs w:val="22"/>
              </w:rPr>
              <w:t>388,352</w:t>
            </w:r>
          </w:p>
        </w:tc>
        <w:tc>
          <w:tcPr>
            <w:tcW w:w="1205" w:type="dxa"/>
            <w:shd w:val="clear" w:color="auto" w:fill="auto"/>
            <w:noWrap/>
            <w:vAlign w:val="center"/>
            <w:hideMark/>
          </w:tcPr>
          <w:p w14:paraId="619A4D7C" w14:textId="0330C1B8"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779B7645" w14:textId="736A00DF"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2215284F" w14:textId="3EEE16AE"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20B82044" w14:textId="58BF0132" w:rsidR="00146E86" w:rsidRPr="00005453" w:rsidRDefault="00146E86" w:rsidP="00146E86">
            <w:pPr>
              <w:jc w:val="right"/>
              <w:rPr>
                <w:color w:val="000000"/>
                <w:sz w:val="14"/>
                <w:szCs w:val="14"/>
              </w:rPr>
            </w:pPr>
            <w:r w:rsidRPr="00005453">
              <w:rPr>
                <w:color w:val="000000"/>
                <w:sz w:val="14"/>
                <w:szCs w:val="22"/>
              </w:rPr>
              <w:t>769,221</w:t>
            </w:r>
          </w:p>
        </w:tc>
      </w:tr>
      <w:tr w:rsidR="00146E86" w:rsidRPr="00005453" w14:paraId="3745BE0D" w14:textId="77777777" w:rsidTr="00C07B3E">
        <w:trPr>
          <w:divId w:val="1797218162"/>
          <w:trHeight w:val="43"/>
        </w:trPr>
        <w:tc>
          <w:tcPr>
            <w:tcW w:w="348" w:type="dxa"/>
            <w:shd w:val="clear" w:color="auto" w:fill="auto"/>
            <w:noWrap/>
            <w:vAlign w:val="center"/>
            <w:hideMark/>
          </w:tcPr>
          <w:p w14:paraId="580ECEA6" w14:textId="77777777" w:rsidR="00146E86" w:rsidRPr="00005453" w:rsidRDefault="00146E86" w:rsidP="00146E86">
            <w:pPr>
              <w:jc w:val="right"/>
              <w:rPr>
                <w:color w:val="000000"/>
                <w:sz w:val="14"/>
                <w:szCs w:val="14"/>
                <w:lang w:eastAsia="tr-TR"/>
              </w:rPr>
            </w:pPr>
            <w:r w:rsidRPr="00005453">
              <w:rPr>
                <w:color w:val="000000"/>
                <w:sz w:val="14"/>
                <w:szCs w:val="14"/>
                <w:lang w:eastAsia="tr-TR"/>
              </w:rPr>
              <w:t>7</w:t>
            </w:r>
          </w:p>
        </w:tc>
        <w:tc>
          <w:tcPr>
            <w:tcW w:w="5317" w:type="dxa"/>
            <w:shd w:val="clear" w:color="auto" w:fill="auto"/>
            <w:noWrap/>
            <w:vAlign w:val="center"/>
            <w:hideMark/>
          </w:tcPr>
          <w:p w14:paraId="4B1AA499" w14:textId="77777777" w:rsidR="00146E86" w:rsidRPr="00005453" w:rsidRDefault="00146E86" w:rsidP="00146E86">
            <w:pPr>
              <w:rPr>
                <w:color w:val="000000"/>
                <w:sz w:val="14"/>
                <w:szCs w:val="14"/>
                <w:lang w:eastAsia="tr-TR"/>
              </w:rPr>
            </w:pPr>
            <w:r w:rsidRPr="00005453">
              <w:rPr>
                <w:color w:val="000000"/>
                <w:sz w:val="14"/>
                <w:szCs w:val="14"/>
                <w:lang w:eastAsia="tr-TR"/>
              </w:rPr>
              <w:t>Kurumsal alacaklar</w:t>
            </w:r>
          </w:p>
        </w:tc>
        <w:tc>
          <w:tcPr>
            <w:tcW w:w="841" w:type="dxa"/>
            <w:shd w:val="clear" w:color="auto" w:fill="auto"/>
            <w:noWrap/>
            <w:vAlign w:val="center"/>
            <w:hideMark/>
          </w:tcPr>
          <w:p w14:paraId="582969CE" w14:textId="68244E4D"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47CCF713" w14:textId="563B8D73"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1D2F7BAE" w14:textId="4B1EF42A"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41A88BA4" w14:textId="2B50661B"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7A01ECB7" w14:textId="69A9797E"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36E31607" w14:textId="09396D09" w:rsidR="00146E86" w:rsidRPr="00005453" w:rsidRDefault="00146E86" w:rsidP="00146E86">
            <w:pPr>
              <w:jc w:val="right"/>
              <w:rPr>
                <w:color w:val="000000"/>
                <w:sz w:val="14"/>
                <w:szCs w:val="14"/>
              </w:rPr>
            </w:pPr>
            <w:r w:rsidRPr="00005453">
              <w:rPr>
                <w:color w:val="000000"/>
                <w:sz w:val="14"/>
                <w:szCs w:val="22"/>
              </w:rPr>
              <w:t>784,397</w:t>
            </w:r>
          </w:p>
        </w:tc>
        <w:tc>
          <w:tcPr>
            <w:tcW w:w="1205" w:type="dxa"/>
            <w:shd w:val="clear" w:color="auto" w:fill="auto"/>
            <w:noWrap/>
            <w:vAlign w:val="center"/>
            <w:hideMark/>
          </w:tcPr>
          <w:p w14:paraId="40D0D399" w14:textId="7B9B620E"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2652723F" w14:textId="0F987026"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43F59050" w14:textId="0896B521"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3EAE1418" w14:textId="1916EF3C" w:rsidR="00146E86" w:rsidRPr="00005453" w:rsidRDefault="00146E86" w:rsidP="00146E86">
            <w:pPr>
              <w:jc w:val="right"/>
              <w:rPr>
                <w:color w:val="000000"/>
                <w:sz w:val="14"/>
                <w:szCs w:val="14"/>
              </w:rPr>
            </w:pPr>
            <w:r w:rsidRPr="00005453">
              <w:rPr>
                <w:color w:val="000000"/>
                <w:sz w:val="14"/>
                <w:szCs w:val="22"/>
              </w:rPr>
              <w:t>784,39</w:t>
            </w:r>
            <w:r w:rsidR="005100FA" w:rsidRPr="00005453">
              <w:rPr>
                <w:color w:val="000000"/>
                <w:sz w:val="14"/>
                <w:szCs w:val="22"/>
              </w:rPr>
              <w:t>8</w:t>
            </w:r>
          </w:p>
        </w:tc>
      </w:tr>
      <w:tr w:rsidR="00146E86" w:rsidRPr="00005453" w14:paraId="1D52D82A" w14:textId="77777777" w:rsidTr="00C07B3E">
        <w:trPr>
          <w:divId w:val="1797218162"/>
          <w:trHeight w:val="135"/>
        </w:trPr>
        <w:tc>
          <w:tcPr>
            <w:tcW w:w="348" w:type="dxa"/>
            <w:shd w:val="clear" w:color="auto" w:fill="auto"/>
            <w:noWrap/>
            <w:vAlign w:val="center"/>
            <w:hideMark/>
          </w:tcPr>
          <w:p w14:paraId="0998D0B1" w14:textId="77777777" w:rsidR="00146E86" w:rsidRPr="00005453" w:rsidRDefault="00146E86" w:rsidP="00146E86">
            <w:pPr>
              <w:jc w:val="right"/>
              <w:rPr>
                <w:color w:val="000000"/>
                <w:sz w:val="14"/>
                <w:szCs w:val="14"/>
                <w:lang w:eastAsia="tr-TR"/>
              </w:rPr>
            </w:pPr>
            <w:r w:rsidRPr="00005453">
              <w:rPr>
                <w:color w:val="000000"/>
                <w:sz w:val="14"/>
                <w:szCs w:val="14"/>
                <w:lang w:eastAsia="tr-TR"/>
              </w:rPr>
              <w:t>8</w:t>
            </w:r>
          </w:p>
        </w:tc>
        <w:tc>
          <w:tcPr>
            <w:tcW w:w="5317" w:type="dxa"/>
            <w:shd w:val="clear" w:color="auto" w:fill="auto"/>
            <w:noWrap/>
            <w:vAlign w:val="center"/>
            <w:hideMark/>
          </w:tcPr>
          <w:p w14:paraId="468AD338" w14:textId="77777777" w:rsidR="00146E86" w:rsidRPr="00005453" w:rsidRDefault="00146E86" w:rsidP="00146E86">
            <w:pPr>
              <w:rPr>
                <w:color w:val="000000"/>
                <w:sz w:val="14"/>
                <w:szCs w:val="14"/>
                <w:lang w:eastAsia="tr-TR"/>
              </w:rPr>
            </w:pPr>
            <w:r w:rsidRPr="00005453">
              <w:rPr>
                <w:color w:val="000000"/>
                <w:sz w:val="14"/>
                <w:szCs w:val="14"/>
                <w:lang w:eastAsia="tr-TR"/>
              </w:rPr>
              <w:t>Perakende alacaklar</w:t>
            </w:r>
          </w:p>
        </w:tc>
        <w:tc>
          <w:tcPr>
            <w:tcW w:w="841" w:type="dxa"/>
            <w:shd w:val="clear" w:color="auto" w:fill="auto"/>
            <w:noWrap/>
            <w:vAlign w:val="center"/>
            <w:hideMark/>
          </w:tcPr>
          <w:p w14:paraId="56D5D8AB" w14:textId="7239C4EF"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64E60357" w14:textId="4CDE83B4"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671B1E09" w14:textId="42C0AEC9"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165C1BA9" w14:textId="53420328"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669DD472" w14:textId="181CBE02" w:rsidR="00146E86" w:rsidRPr="00005453" w:rsidRDefault="00146E86" w:rsidP="00146E86">
            <w:pPr>
              <w:jc w:val="right"/>
              <w:rPr>
                <w:color w:val="000000"/>
                <w:sz w:val="14"/>
                <w:szCs w:val="14"/>
              </w:rPr>
            </w:pPr>
            <w:r w:rsidRPr="00005453">
              <w:rPr>
                <w:color w:val="000000"/>
                <w:sz w:val="14"/>
                <w:szCs w:val="22"/>
              </w:rPr>
              <w:t>18,220</w:t>
            </w:r>
          </w:p>
        </w:tc>
        <w:tc>
          <w:tcPr>
            <w:tcW w:w="831" w:type="dxa"/>
            <w:shd w:val="clear" w:color="auto" w:fill="auto"/>
            <w:noWrap/>
            <w:vAlign w:val="center"/>
            <w:hideMark/>
          </w:tcPr>
          <w:p w14:paraId="4FEC0024" w14:textId="4A11579C"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2BCE400B" w14:textId="33CF6A82"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227BAD1B" w14:textId="2474DC49"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7DACA6BE" w14:textId="0194DF61"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6385C13B" w14:textId="053EEF62" w:rsidR="00146E86" w:rsidRPr="00005453" w:rsidRDefault="00146E86" w:rsidP="00146E86">
            <w:pPr>
              <w:jc w:val="right"/>
              <w:rPr>
                <w:color w:val="000000"/>
                <w:sz w:val="14"/>
                <w:szCs w:val="14"/>
              </w:rPr>
            </w:pPr>
            <w:r w:rsidRPr="00005453">
              <w:rPr>
                <w:color w:val="000000"/>
                <w:sz w:val="14"/>
                <w:szCs w:val="22"/>
              </w:rPr>
              <w:t>13,665</w:t>
            </w:r>
          </w:p>
        </w:tc>
      </w:tr>
      <w:tr w:rsidR="00146E86" w:rsidRPr="00005453" w14:paraId="232AD216" w14:textId="77777777" w:rsidTr="00C07B3E">
        <w:trPr>
          <w:divId w:val="1797218162"/>
          <w:trHeight w:val="96"/>
        </w:trPr>
        <w:tc>
          <w:tcPr>
            <w:tcW w:w="348" w:type="dxa"/>
            <w:shd w:val="clear" w:color="auto" w:fill="auto"/>
            <w:noWrap/>
            <w:vAlign w:val="center"/>
            <w:hideMark/>
          </w:tcPr>
          <w:p w14:paraId="55568297" w14:textId="78C37DC7" w:rsidR="00146E86" w:rsidRPr="00005453" w:rsidRDefault="00146E86" w:rsidP="00146E86">
            <w:pPr>
              <w:jc w:val="right"/>
              <w:rPr>
                <w:color w:val="000000"/>
                <w:sz w:val="14"/>
                <w:szCs w:val="14"/>
                <w:lang w:eastAsia="tr-TR"/>
              </w:rPr>
            </w:pPr>
            <w:r w:rsidRPr="00005453">
              <w:rPr>
                <w:color w:val="000000"/>
                <w:sz w:val="14"/>
                <w:szCs w:val="14"/>
                <w:lang w:eastAsia="tr-TR"/>
              </w:rPr>
              <w:t>9</w:t>
            </w:r>
          </w:p>
        </w:tc>
        <w:tc>
          <w:tcPr>
            <w:tcW w:w="5317" w:type="dxa"/>
            <w:shd w:val="clear" w:color="auto" w:fill="auto"/>
            <w:noWrap/>
            <w:vAlign w:val="center"/>
            <w:hideMark/>
          </w:tcPr>
          <w:p w14:paraId="72DCC03B" w14:textId="77777777" w:rsidR="00146E86" w:rsidRPr="00005453" w:rsidRDefault="00146E86" w:rsidP="00146E86">
            <w:pPr>
              <w:rPr>
                <w:color w:val="000000"/>
                <w:sz w:val="14"/>
                <w:szCs w:val="14"/>
                <w:lang w:eastAsia="tr-TR"/>
              </w:rPr>
            </w:pPr>
            <w:r w:rsidRPr="00005453">
              <w:rPr>
                <w:color w:val="000000"/>
                <w:sz w:val="14"/>
                <w:szCs w:val="14"/>
                <w:lang w:eastAsia="tr-TR"/>
              </w:rPr>
              <w:t>Diğer Alacaklar</w:t>
            </w:r>
          </w:p>
        </w:tc>
        <w:tc>
          <w:tcPr>
            <w:tcW w:w="841" w:type="dxa"/>
            <w:shd w:val="clear" w:color="auto" w:fill="auto"/>
            <w:noWrap/>
            <w:vAlign w:val="center"/>
            <w:hideMark/>
          </w:tcPr>
          <w:p w14:paraId="19C78E6C" w14:textId="6B29C815" w:rsidR="00146E86" w:rsidRPr="00005453" w:rsidRDefault="00146E86" w:rsidP="00146E86">
            <w:pPr>
              <w:jc w:val="right"/>
              <w:rPr>
                <w:color w:val="000000"/>
                <w:sz w:val="14"/>
                <w:szCs w:val="14"/>
              </w:rPr>
            </w:pPr>
            <w:r w:rsidRPr="00005453">
              <w:rPr>
                <w:color w:val="000000"/>
                <w:sz w:val="14"/>
                <w:szCs w:val="22"/>
              </w:rPr>
              <w:t>-</w:t>
            </w:r>
          </w:p>
        </w:tc>
        <w:tc>
          <w:tcPr>
            <w:tcW w:w="640" w:type="dxa"/>
            <w:shd w:val="clear" w:color="auto" w:fill="auto"/>
            <w:noWrap/>
            <w:vAlign w:val="center"/>
            <w:hideMark/>
          </w:tcPr>
          <w:p w14:paraId="17AF89CC" w14:textId="05F084E4" w:rsidR="00146E86" w:rsidRPr="00005453" w:rsidRDefault="00146E86" w:rsidP="00146E86">
            <w:pPr>
              <w:jc w:val="right"/>
              <w:rPr>
                <w:color w:val="000000"/>
                <w:sz w:val="14"/>
                <w:szCs w:val="14"/>
              </w:rPr>
            </w:pPr>
            <w:r w:rsidRPr="00005453">
              <w:rPr>
                <w:color w:val="000000"/>
                <w:sz w:val="14"/>
                <w:szCs w:val="22"/>
              </w:rPr>
              <w:t>-</w:t>
            </w:r>
          </w:p>
        </w:tc>
        <w:tc>
          <w:tcPr>
            <w:tcW w:w="807" w:type="dxa"/>
            <w:shd w:val="clear" w:color="auto" w:fill="auto"/>
            <w:noWrap/>
            <w:vAlign w:val="center"/>
            <w:hideMark/>
          </w:tcPr>
          <w:p w14:paraId="4446124E" w14:textId="281F6358" w:rsidR="00146E86" w:rsidRPr="00005453" w:rsidRDefault="00146E86" w:rsidP="00146E86">
            <w:pPr>
              <w:jc w:val="right"/>
              <w:rPr>
                <w:color w:val="000000"/>
                <w:sz w:val="14"/>
                <w:szCs w:val="14"/>
              </w:rPr>
            </w:pPr>
            <w:r w:rsidRPr="00005453">
              <w:rPr>
                <w:color w:val="000000"/>
                <w:sz w:val="14"/>
                <w:szCs w:val="22"/>
              </w:rPr>
              <w:t>-</w:t>
            </w:r>
          </w:p>
        </w:tc>
        <w:tc>
          <w:tcPr>
            <w:tcW w:w="618" w:type="dxa"/>
            <w:shd w:val="clear" w:color="auto" w:fill="auto"/>
            <w:noWrap/>
            <w:vAlign w:val="center"/>
            <w:hideMark/>
          </w:tcPr>
          <w:p w14:paraId="4F3900D8" w14:textId="59822494"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58E23562" w14:textId="63D1C226" w:rsidR="00146E86" w:rsidRPr="00005453" w:rsidRDefault="00146E86" w:rsidP="00146E86">
            <w:pPr>
              <w:jc w:val="right"/>
              <w:rPr>
                <w:color w:val="000000"/>
                <w:sz w:val="14"/>
                <w:szCs w:val="14"/>
              </w:rPr>
            </w:pPr>
            <w:r w:rsidRPr="00005453">
              <w:rPr>
                <w:color w:val="000000"/>
                <w:sz w:val="14"/>
                <w:szCs w:val="22"/>
              </w:rPr>
              <w:t>-</w:t>
            </w:r>
          </w:p>
        </w:tc>
        <w:tc>
          <w:tcPr>
            <w:tcW w:w="831" w:type="dxa"/>
            <w:shd w:val="clear" w:color="auto" w:fill="auto"/>
            <w:noWrap/>
            <w:vAlign w:val="center"/>
            <w:hideMark/>
          </w:tcPr>
          <w:p w14:paraId="7926E569" w14:textId="2D8BC44D" w:rsidR="00146E86" w:rsidRPr="00005453" w:rsidRDefault="00146E86" w:rsidP="00146E86">
            <w:pPr>
              <w:jc w:val="right"/>
              <w:rPr>
                <w:color w:val="000000"/>
                <w:sz w:val="14"/>
                <w:szCs w:val="14"/>
              </w:rPr>
            </w:pPr>
            <w:r w:rsidRPr="00005453">
              <w:rPr>
                <w:color w:val="000000"/>
                <w:sz w:val="14"/>
                <w:szCs w:val="22"/>
              </w:rPr>
              <w:t>-</w:t>
            </w:r>
          </w:p>
        </w:tc>
        <w:tc>
          <w:tcPr>
            <w:tcW w:w="1205" w:type="dxa"/>
            <w:shd w:val="clear" w:color="auto" w:fill="auto"/>
            <w:noWrap/>
            <w:vAlign w:val="center"/>
            <w:hideMark/>
          </w:tcPr>
          <w:p w14:paraId="643BF42A" w14:textId="3EFA3172" w:rsidR="00146E86" w:rsidRPr="00005453" w:rsidRDefault="00146E86" w:rsidP="00146E86">
            <w:pPr>
              <w:jc w:val="right"/>
              <w:rPr>
                <w:color w:val="000000"/>
                <w:sz w:val="14"/>
                <w:szCs w:val="14"/>
              </w:rPr>
            </w:pPr>
            <w:r w:rsidRPr="00005453">
              <w:rPr>
                <w:color w:val="000000"/>
                <w:sz w:val="14"/>
                <w:szCs w:val="22"/>
              </w:rPr>
              <w:t>-</w:t>
            </w:r>
          </w:p>
        </w:tc>
        <w:tc>
          <w:tcPr>
            <w:tcW w:w="955" w:type="dxa"/>
            <w:shd w:val="clear" w:color="auto" w:fill="auto"/>
            <w:noWrap/>
            <w:vAlign w:val="center"/>
            <w:hideMark/>
          </w:tcPr>
          <w:p w14:paraId="6B12D562" w14:textId="1CA68B74" w:rsidR="00146E86" w:rsidRPr="00005453" w:rsidRDefault="00146E86" w:rsidP="00146E86">
            <w:pPr>
              <w:jc w:val="right"/>
              <w:rPr>
                <w:color w:val="000000"/>
                <w:sz w:val="14"/>
                <w:szCs w:val="14"/>
              </w:rPr>
            </w:pPr>
            <w:r w:rsidRPr="00005453">
              <w:rPr>
                <w:color w:val="000000"/>
                <w:sz w:val="14"/>
                <w:szCs w:val="22"/>
              </w:rPr>
              <w:t>-</w:t>
            </w:r>
          </w:p>
        </w:tc>
        <w:tc>
          <w:tcPr>
            <w:tcW w:w="817" w:type="dxa"/>
            <w:shd w:val="clear" w:color="000000" w:fill="FFFFFF"/>
            <w:noWrap/>
            <w:vAlign w:val="center"/>
            <w:hideMark/>
          </w:tcPr>
          <w:p w14:paraId="4C91008B" w14:textId="16F68787" w:rsidR="00146E86" w:rsidRPr="00005453" w:rsidRDefault="00146E86" w:rsidP="00146E86">
            <w:pPr>
              <w:jc w:val="right"/>
              <w:rPr>
                <w:color w:val="000000"/>
                <w:sz w:val="14"/>
                <w:szCs w:val="14"/>
              </w:rPr>
            </w:pPr>
            <w:r w:rsidRPr="00005453">
              <w:rPr>
                <w:color w:val="000000"/>
                <w:sz w:val="14"/>
                <w:szCs w:val="22"/>
              </w:rPr>
              <w:t>-</w:t>
            </w:r>
          </w:p>
        </w:tc>
        <w:tc>
          <w:tcPr>
            <w:tcW w:w="1244" w:type="dxa"/>
            <w:shd w:val="clear" w:color="auto" w:fill="auto"/>
            <w:noWrap/>
            <w:vAlign w:val="center"/>
            <w:hideMark/>
          </w:tcPr>
          <w:p w14:paraId="71CEBCB8" w14:textId="1C444DE1" w:rsidR="00146E86" w:rsidRPr="00005453" w:rsidRDefault="00146E86" w:rsidP="00146E86">
            <w:pPr>
              <w:jc w:val="right"/>
              <w:rPr>
                <w:color w:val="000000"/>
                <w:sz w:val="14"/>
                <w:szCs w:val="14"/>
              </w:rPr>
            </w:pPr>
            <w:r w:rsidRPr="00005453">
              <w:rPr>
                <w:color w:val="000000"/>
                <w:sz w:val="14"/>
                <w:szCs w:val="22"/>
              </w:rPr>
              <w:t>-</w:t>
            </w:r>
          </w:p>
        </w:tc>
      </w:tr>
      <w:tr w:rsidR="00146E86" w:rsidRPr="00005453" w14:paraId="5CE7AD10" w14:textId="77777777" w:rsidTr="00C07B3E">
        <w:trPr>
          <w:divId w:val="1797218162"/>
          <w:trHeight w:val="43"/>
        </w:trPr>
        <w:tc>
          <w:tcPr>
            <w:tcW w:w="348" w:type="dxa"/>
            <w:shd w:val="clear" w:color="auto" w:fill="auto"/>
            <w:noWrap/>
            <w:vAlign w:val="center"/>
            <w:hideMark/>
          </w:tcPr>
          <w:p w14:paraId="424733E2" w14:textId="7EBD3ECA" w:rsidR="00146E86" w:rsidRPr="00005453" w:rsidRDefault="00146E86" w:rsidP="00146E86">
            <w:pPr>
              <w:jc w:val="right"/>
              <w:rPr>
                <w:b/>
                <w:bCs/>
                <w:color w:val="000000"/>
                <w:sz w:val="14"/>
                <w:szCs w:val="14"/>
                <w:lang w:eastAsia="tr-TR"/>
              </w:rPr>
            </w:pPr>
            <w:r w:rsidRPr="00005453">
              <w:rPr>
                <w:b/>
                <w:bCs/>
                <w:color w:val="000000"/>
                <w:sz w:val="14"/>
                <w:szCs w:val="14"/>
                <w:lang w:eastAsia="tr-TR"/>
              </w:rPr>
              <w:t>10</w:t>
            </w:r>
          </w:p>
        </w:tc>
        <w:tc>
          <w:tcPr>
            <w:tcW w:w="5317" w:type="dxa"/>
            <w:shd w:val="clear" w:color="auto" w:fill="auto"/>
            <w:noWrap/>
            <w:vAlign w:val="center"/>
            <w:hideMark/>
          </w:tcPr>
          <w:p w14:paraId="409E48D5" w14:textId="77777777" w:rsidR="00146E86" w:rsidRPr="00005453" w:rsidRDefault="00146E86" w:rsidP="00146E86">
            <w:pPr>
              <w:rPr>
                <w:b/>
                <w:bCs/>
                <w:color w:val="000000"/>
                <w:sz w:val="14"/>
                <w:szCs w:val="14"/>
                <w:lang w:eastAsia="tr-TR"/>
              </w:rPr>
            </w:pPr>
            <w:r w:rsidRPr="00005453">
              <w:rPr>
                <w:b/>
                <w:bCs/>
                <w:color w:val="000000"/>
                <w:sz w:val="14"/>
                <w:szCs w:val="14"/>
                <w:lang w:eastAsia="tr-TR"/>
              </w:rPr>
              <w:t>Toplam</w:t>
            </w:r>
          </w:p>
        </w:tc>
        <w:tc>
          <w:tcPr>
            <w:tcW w:w="841" w:type="dxa"/>
            <w:shd w:val="clear" w:color="auto" w:fill="auto"/>
            <w:noWrap/>
            <w:vAlign w:val="center"/>
            <w:hideMark/>
          </w:tcPr>
          <w:p w14:paraId="135CE428" w14:textId="70C33E59" w:rsidR="00146E86" w:rsidRPr="00005453" w:rsidRDefault="00146E86" w:rsidP="00146E86">
            <w:pPr>
              <w:jc w:val="right"/>
              <w:rPr>
                <w:b/>
                <w:color w:val="000000"/>
                <w:sz w:val="14"/>
                <w:szCs w:val="14"/>
              </w:rPr>
            </w:pPr>
            <w:r w:rsidRPr="00005453">
              <w:rPr>
                <w:b/>
                <w:bCs/>
                <w:color w:val="000000"/>
                <w:sz w:val="14"/>
                <w:szCs w:val="22"/>
              </w:rPr>
              <w:t>17,808,306</w:t>
            </w:r>
          </w:p>
        </w:tc>
        <w:tc>
          <w:tcPr>
            <w:tcW w:w="640" w:type="dxa"/>
            <w:shd w:val="clear" w:color="auto" w:fill="auto"/>
            <w:noWrap/>
            <w:vAlign w:val="center"/>
            <w:hideMark/>
          </w:tcPr>
          <w:p w14:paraId="6DA97EA9" w14:textId="4A240123" w:rsidR="00146E86" w:rsidRPr="00005453" w:rsidRDefault="00146E86" w:rsidP="00146E86">
            <w:pPr>
              <w:jc w:val="right"/>
              <w:rPr>
                <w:b/>
                <w:color w:val="000000"/>
                <w:sz w:val="14"/>
                <w:szCs w:val="14"/>
              </w:rPr>
            </w:pPr>
            <w:r w:rsidRPr="00005453">
              <w:rPr>
                <w:b/>
                <w:bCs/>
                <w:color w:val="000000"/>
                <w:sz w:val="14"/>
                <w:szCs w:val="22"/>
              </w:rPr>
              <w:t>-</w:t>
            </w:r>
          </w:p>
        </w:tc>
        <w:tc>
          <w:tcPr>
            <w:tcW w:w="807" w:type="dxa"/>
            <w:shd w:val="clear" w:color="auto" w:fill="auto"/>
            <w:noWrap/>
            <w:vAlign w:val="center"/>
            <w:hideMark/>
          </w:tcPr>
          <w:p w14:paraId="1A6D1913" w14:textId="2B9CAADF" w:rsidR="00146E86" w:rsidRPr="00005453" w:rsidRDefault="00146E86" w:rsidP="00146E86">
            <w:pPr>
              <w:jc w:val="right"/>
              <w:rPr>
                <w:b/>
                <w:color w:val="000000"/>
                <w:sz w:val="14"/>
                <w:szCs w:val="14"/>
              </w:rPr>
            </w:pPr>
            <w:r w:rsidRPr="00005453">
              <w:rPr>
                <w:b/>
                <w:bCs/>
                <w:color w:val="000000"/>
                <w:sz w:val="14"/>
                <w:szCs w:val="22"/>
              </w:rPr>
              <w:t>1,344,936</w:t>
            </w:r>
          </w:p>
        </w:tc>
        <w:tc>
          <w:tcPr>
            <w:tcW w:w="618" w:type="dxa"/>
            <w:shd w:val="clear" w:color="auto" w:fill="auto"/>
            <w:noWrap/>
            <w:vAlign w:val="center"/>
            <w:hideMark/>
          </w:tcPr>
          <w:p w14:paraId="6667B528" w14:textId="1205BF82" w:rsidR="00146E86" w:rsidRPr="00005453" w:rsidRDefault="00146E86" w:rsidP="00146E86">
            <w:pPr>
              <w:jc w:val="right"/>
              <w:rPr>
                <w:b/>
                <w:color w:val="000000"/>
                <w:sz w:val="14"/>
                <w:szCs w:val="14"/>
              </w:rPr>
            </w:pPr>
            <w:r w:rsidRPr="00005453">
              <w:rPr>
                <w:b/>
                <w:bCs/>
                <w:color w:val="000000"/>
                <w:sz w:val="14"/>
                <w:szCs w:val="22"/>
              </w:rPr>
              <w:t>223,764</w:t>
            </w:r>
          </w:p>
        </w:tc>
        <w:tc>
          <w:tcPr>
            <w:tcW w:w="831" w:type="dxa"/>
            <w:shd w:val="clear" w:color="auto" w:fill="auto"/>
            <w:noWrap/>
            <w:vAlign w:val="center"/>
            <w:hideMark/>
          </w:tcPr>
          <w:p w14:paraId="339DB5C5" w14:textId="20862B56" w:rsidR="00146E86" w:rsidRPr="00005453" w:rsidRDefault="00146E86" w:rsidP="00146E86">
            <w:pPr>
              <w:jc w:val="right"/>
              <w:rPr>
                <w:b/>
                <w:color w:val="000000"/>
                <w:sz w:val="14"/>
                <w:szCs w:val="14"/>
              </w:rPr>
            </w:pPr>
            <w:r w:rsidRPr="00005453">
              <w:rPr>
                <w:b/>
                <w:bCs/>
                <w:color w:val="000000"/>
                <w:sz w:val="14"/>
                <w:szCs w:val="22"/>
              </w:rPr>
              <w:t>18,220</w:t>
            </w:r>
          </w:p>
        </w:tc>
        <w:tc>
          <w:tcPr>
            <w:tcW w:w="831" w:type="dxa"/>
            <w:shd w:val="clear" w:color="auto" w:fill="auto"/>
            <w:noWrap/>
            <w:vAlign w:val="center"/>
            <w:hideMark/>
          </w:tcPr>
          <w:p w14:paraId="4453122B" w14:textId="6BC61167" w:rsidR="00146E86" w:rsidRPr="00005453" w:rsidRDefault="00146E86" w:rsidP="00146E86">
            <w:pPr>
              <w:jc w:val="right"/>
              <w:rPr>
                <w:b/>
                <w:color w:val="000000"/>
                <w:sz w:val="14"/>
                <w:szCs w:val="14"/>
              </w:rPr>
            </w:pPr>
            <w:r w:rsidRPr="00005453">
              <w:rPr>
                <w:b/>
                <w:bCs/>
                <w:color w:val="000000"/>
                <w:sz w:val="14"/>
                <w:szCs w:val="22"/>
              </w:rPr>
              <w:t>1,172,749</w:t>
            </w:r>
          </w:p>
        </w:tc>
        <w:tc>
          <w:tcPr>
            <w:tcW w:w="1205" w:type="dxa"/>
            <w:shd w:val="clear" w:color="auto" w:fill="auto"/>
            <w:noWrap/>
            <w:vAlign w:val="center"/>
            <w:hideMark/>
          </w:tcPr>
          <w:p w14:paraId="41ECE006" w14:textId="334005E4" w:rsidR="00146E86" w:rsidRPr="00005453" w:rsidRDefault="00146E86" w:rsidP="00146E86">
            <w:pPr>
              <w:jc w:val="right"/>
              <w:rPr>
                <w:b/>
                <w:color w:val="000000"/>
                <w:sz w:val="14"/>
                <w:szCs w:val="14"/>
              </w:rPr>
            </w:pPr>
            <w:r w:rsidRPr="00005453">
              <w:rPr>
                <w:b/>
                <w:bCs/>
                <w:color w:val="000000"/>
                <w:sz w:val="14"/>
                <w:szCs w:val="22"/>
              </w:rPr>
              <w:t>-</w:t>
            </w:r>
          </w:p>
        </w:tc>
        <w:tc>
          <w:tcPr>
            <w:tcW w:w="955" w:type="dxa"/>
            <w:shd w:val="clear" w:color="auto" w:fill="auto"/>
            <w:noWrap/>
            <w:vAlign w:val="center"/>
            <w:hideMark/>
          </w:tcPr>
          <w:p w14:paraId="375B2F4E" w14:textId="2D4726A7" w:rsidR="00146E86" w:rsidRPr="00005453" w:rsidRDefault="00146E86" w:rsidP="00146E86">
            <w:pPr>
              <w:jc w:val="right"/>
              <w:rPr>
                <w:b/>
                <w:color w:val="000000"/>
                <w:sz w:val="14"/>
                <w:szCs w:val="14"/>
              </w:rPr>
            </w:pPr>
            <w:r w:rsidRPr="00005453">
              <w:rPr>
                <w:b/>
                <w:bCs/>
                <w:color w:val="000000"/>
                <w:sz w:val="14"/>
                <w:szCs w:val="22"/>
              </w:rPr>
              <w:t>-</w:t>
            </w:r>
          </w:p>
        </w:tc>
        <w:tc>
          <w:tcPr>
            <w:tcW w:w="817" w:type="dxa"/>
            <w:shd w:val="clear" w:color="000000" w:fill="FFFFFF"/>
            <w:noWrap/>
            <w:vAlign w:val="center"/>
            <w:hideMark/>
          </w:tcPr>
          <w:p w14:paraId="4032971B" w14:textId="056C5EA2" w:rsidR="00146E86" w:rsidRPr="00005453" w:rsidRDefault="00146E86" w:rsidP="00146E86">
            <w:pPr>
              <w:jc w:val="right"/>
              <w:rPr>
                <w:b/>
                <w:color w:val="000000"/>
                <w:sz w:val="14"/>
                <w:szCs w:val="14"/>
              </w:rPr>
            </w:pPr>
            <w:r w:rsidRPr="00005453">
              <w:rPr>
                <w:b/>
                <w:bCs/>
                <w:color w:val="000000"/>
                <w:sz w:val="14"/>
                <w:szCs w:val="22"/>
              </w:rPr>
              <w:t>-</w:t>
            </w:r>
          </w:p>
        </w:tc>
        <w:tc>
          <w:tcPr>
            <w:tcW w:w="1244" w:type="dxa"/>
            <w:shd w:val="clear" w:color="auto" w:fill="auto"/>
            <w:noWrap/>
            <w:vAlign w:val="center"/>
            <w:hideMark/>
          </w:tcPr>
          <w:p w14:paraId="6FDBC37E" w14:textId="6D7FB920" w:rsidR="00146E86" w:rsidRPr="00005453" w:rsidRDefault="00146E86" w:rsidP="00146E86">
            <w:pPr>
              <w:jc w:val="right"/>
              <w:rPr>
                <w:b/>
                <w:color w:val="000000"/>
                <w:sz w:val="14"/>
                <w:szCs w:val="14"/>
              </w:rPr>
            </w:pPr>
            <w:r w:rsidRPr="00005453">
              <w:rPr>
                <w:b/>
                <w:bCs/>
                <w:color w:val="000000"/>
                <w:sz w:val="14"/>
                <w:szCs w:val="22"/>
              </w:rPr>
              <w:t>1,567,28</w:t>
            </w:r>
            <w:r w:rsidR="005100FA" w:rsidRPr="00005453">
              <w:rPr>
                <w:b/>
                <w:bCs/>
                <w:color w:val="000000"/>
                <w:sz w:val="14"/>
                <w:szCs w:val="22"/>
              </w:rPr>
              <w:t>4</w:t>
            </w:r>
          </w:p>
        </w:tc>
      </w:tr>
    </w:tbl>
    <w:p w14:paraId="76D1D546" w14:textId="22AD62BF" w:rsidR="00606AD8" w:rsidRPr="00005453" w:rsidRDefault="00606AD8" w:rsidP="00606AD8">
      <w:pPr>
        <w:rPr>
          <w:sz w:val="14"/>
          <w:szCs w:val="14"/>
          <w:lang w:eastAsia="zh-CN"/>
        </w:rPr>
      </w:pPr>
    </w:p>
    <w:p w14:paraId="6AEFE54C" w14:textId="77777777" w:rsidR="00606AD8" w:rsidRPr="00005453" w:rsidRDefault="00606AD8" w:rsidP="00606AD8">
      <w:pPr>
        <w:jc w:val="both"/>
        <w:rPr>
          <w:color w:val="000000"/>
          <w:sz w:val="14"/>
          <w:szCs w:val="14"/>
        </w:rPr>
      </w:pPr>
      <w:r w:rsidRPr="00005453">
        <w:rPr>
          <w:color w:val="000000"/>
          <w:sz w:val="14"/>
          <w:szCs w:val="14"/>
        </w:rPr>
        <w:t>*</w:t>
      </w:r>
      <w:r w:rsidRPr="00005453">
        <w:rPr>
          <w:color w:val="000000"/>
          <w:sz w:val="14"/>
          <w:szCs w:val="14"/>
        </w:rPr>
        <w:tab/>
        <w:t>Toplam kredi riski: Karşı taraf kredi riski ölçüm teknikleri uygulandıktan sonra sermaye yeterliliği hesaplamasıyla ilgili olan tutar.</w:t>
      </w:r>
    </w:p>
    <w:p w14:paraId="076FE5FA" w14:textId="30054461" w:rsidR="00606AD8" w:rsidRPr="00005453" w:rsidRDefault="00606AD8" w:rsidP="00606AD8">
      <w:pPr>
        <w:jc w:val="both"/>
        <w:rPr>
          <w:color w:val="000000"/>
          <w:sz w:val="14"/>
          <w:szCs w:val="14"/>
          <w:lang w:eastAsia="tr-TR"/>
        </w:rPr>
      </w:pPr>
      <w:r w:rsidRPr="00005453">
        <w:rPr>
          <w:color w:val="000000"/>
          <w:sz w:val="14"/>
          <w:szCs w:val="14"/>
          <w:lang w:eastAsia="tr-TR"/>
        </w:rPr>
        <w:t>**</w:t>
      </w:r>
      <w:r w:rsidRPr="00005453">
        <w:rPr>
          <w:color w:val="000000"/>
          <w:sz w:val="14"/>
          <w:szCs w:val="14"/>
          <w:lang w:eastAsia="tr-TR"/>
        </w:rPr>
        <w:tab/>
        <w:t>%35 Risk Ağırlığı Diğerleri kısmında sınıflandırılmıştır</w:t>
      </w:r>
    </w:p>
    <w:p w14:paraId="551D1B59" w14:textId="58AF0491" w:rsidR="008B6B3F" w:rsidRPr="00005453" w:rsidRDefault="008B6B3F" w:rsidP="00606AD8">
      <w:pPr>
        <w:jc w:val="both"/>
        <w:rPr>
          <w:color w:val="000000"/>
          <w:sz w:val="14"/>
          <w:szCs w:val="14"/>
          <w:lang w:eastAsia="tr-TR"/>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
        <w:gridCol w:w="5374"/>
        <w:gridCol w:w="846"/>
        <w:gridCol w:w="714"/>
        <w:gridCol w:w="851"/>
        <w:gridCol w:w="595"/>
        <w:gridCol w:w="851"/>
        <w:gridCol w:w="850"/>
        <w:gridCol w:w="822"/>
        <w:gridCol w:w="992"/>
        <w:gridCol w:w="817"/>
        <w:gridCol w:w="1451"/>
      </w:tblGrid>
      <w:tr w:rsidR="008B6B3F" w:rsidRPr="00005453" w14:paraId="7C8D4F01" w14:textId="77777777" w:rsidTr="005100FA">
        <w:trPr>
          <w:trHeight w:val="369"/>
        </w:trPr>
        <w:tc>
          <w:tcPr>
            <w:tcW w:w="5665" w:type="dxa"/>
            <w:gridSpan w:val="2"/>
            <w:shd w:val="clear" w:color="auto" w:fill="auto"/>
            <w:noWrap/>
            <w:vAlign w:val="center"/>
            <w:hideMark/>
          </w:tcPr>
          <w:p w14:paraId="3CA6B17C"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 xml:space="preserve">Önceki </w:t>
            </w:r>
            <w:proofErr w:type="gramStart"/>
            <w:r w:rsidRPr="00005453">
              <w:rPr>
                <w:b/>
                <w:bCs/>
                <w:color w:val="000000"/>
                <w:sz w:val="14"/>
                <w:szCs w:val="14"/>
                <w:lang w:eastAsia="tr-TR"/>
              </w:rPr>
              <w:t>Dönem -</w:t>
            </w:r>
            <w:proofErr w:type="gramEnd"/>
            <w:r w:rsidRPr="00005453">
              <w:rPr>
                <w:b/>
                <w:bCs/>
                <w:color w:val="000000"/>
                <w:sz w:val="14"/>
                <w:szCs w:val="14"/>
                <w:lang w:eastAsia="tr-TR"/>
              </w:rPr>
              <w:t xml:space="preserve"> Risk Sınıfları / Risk Ağırlığı *</w:t>
            </w:r>
          </w:p>
        </w:tc>
        <w:tc>
          <w:tcPr>
            <w:tcW w:w="846" w:type="dxa"/>
            <w:shd w:val="clear" w:color="auto" w:fill="auto"/>
            <w:noWrap/>
            <w:vAlign w:val="center"/>
            <w:hideMark/>
          </w:tcPr>
          <w:p w14:paraId="61F3A448"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%0</w:t>
            </w:r>
          </w:p>
        </w:tc>
        <w:tc>
          <w:tcPr>
            <w:tcW w:w="714" w:type="dxa"/>
            <w:shd w:val="clear" w:color="auto" w:fill="auto"/>
            <w:noWrap/>
            <w:vAlign w:val="center"/>
            <w:hideMark/>
          </w:tcPr>
          <w:p w14:paraId="5AF24DDF"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%10</w:t>
            </w:r>
          </w:p>
        </w:tc>
        <w:tc>
          <w:tcPr>
            <w:tcW w:w="851" w:type="dxa"/>
            <w:shd w:val="clear" w:color="auto" w:fill="auto"/>
            <w:noWrap/>
            <w:vAlign w:val="center"/>
            <w:hideMark/>
          </w:tcPr>
          <w:p w14:paraId="1CA25D8C"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%20</w:t>
            </w:r>
          </w:p>
        </w:tc>
        <w:tc>
          <w:tcPr>
            <w:tcW w:w="595" w:type="dxa"/>
            <w:shd w:val="clear" w:color="auto" w:fill="auto"/>
            <w:noWrap/>
            <w:vAlign w:val="center"/>
            <w:hideMark/>
          </w:tcPr>
          <w:p w14:paraId="1BEB8F2A"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%50</w:t>
            </w:r>
          </w:p>
        </w:tc>
        <w:tc>
          <w:tcPr>
            <w:tcW w:w="851" w:type="dxa"/>
            <w:shd w:val="clear" w:color="auto" w:fill="auto"/>
            <w:noWrap/>
            <w:vAlign w:val="center"/>
            <w:hideMark/>
          </w:tcPr>
          <w:p w14:paraId="36E006CA"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%75</w:t>
            </w:r>
          </w:p>
        </w:tc>
        <w:tc>
          <w:tcPr>
            <w:tcW w:w="850" w:type="dxa"/>
            <w:shd w:val="clear" w:color="auto" w:fill="auto"/>
            <w:noWrap/>
            <w:vAlign w:val="center"/>
            <w:hideMark/>
          </w:tcPr>
          <w:p w14:paraId="4B7146A1"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%100</w:t>
            </w:r>
          </w:p>
        </w:tc>
        <w:tc>
          <w:tcPr>
            <w:tcW w:w="822" w:type="dxa"/>
            <w:shd w:val="clear" w:color="auto" w:fill="auto"/>
            <w:noWrap/>
            <w:vAlign w:val="center"/>
            <w:hideMark/>
          </w:tcPr>
          <w:p w14:paraId="53AF60C2"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%150</w:t>
            </w:r>
          </w:p>
        </w:tc>
        <w:tc>
          <w:tcPr>
            <w:tcW w:w="992" w:type="dxa"/>
            <w:shd w:val="clear" w:color="auto" w:fill="auto"/>
            <w:noWrap/>
            <w:vAlign w:val="center"/>
            <w:hideMark/>
          </w:tcPr>
          <w:p w14:paraId="0A1FDD41"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%200</w:t>
            </w:r>
          </w:p>
        </w:tc>
        <w:tc>
          <w:tcPr>
            <w:tcW w:w="817" w:type="dxa"/>
            <w:shd w:val="clear" w:color="000000" w:fill="FFFFFF"/>
            <w:noWrap/>
            <w:vAlign w:val="center"/>
            <w:hideMark/>
          </w:tcPr>
          <w:p w14:paraId="0377B3E0"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Diğerleri**</w:t>
            </w:r>
          </w:p>
        </w:tc>
        <w:tc>
          <w:tcPr>
            <w:tcW w:w="1451" w:type="dxa"/>
            <w:shd w:val="clear" w:color="auto" w:fill="auto"/>
            <w:vAlign w:val="center"/>
            <w:hideMark/>
          </w:tcPr>
          <w:p w14:paraId="223C40C3" w14:textId="77777777" w:rsidR="008B6B3F" w:rsidRPr="00005453" w:rsidRDefault="008B6B3F" w:rsidP="00632467">
            <w:pPr>
              <w:jc w:val="center"/>
              <w:rPr>
                <w:b/>
                <w:bCs/>
                <w:color w:val="000000"/>
                <w:sz w:val="14"/>
                <w:szCs w:val="14"/>
                <w:lang w:eastAsia="tr-TR"/>
              </w:rPr>
            </w:pPr>
            <w:r w:rsidRPr="00005453">
              <w:rPr>
                <w:b/>
                <w:bCs/>
                <w:color w:val="000000"/>
                <w:sz w:val="14"/>
                <w:szCs w:val="14"/>
                <w:lang w:eastAsia="tr-TR"/>
              </w:rPr>
              <w:t>Toplam kredi riski*</w:t>
            </w:r>
          </w:p>
        </w:tc>
      </w:tr>
      <w:tr w:rsidR="00126177" w:rsidRPr="00005453" w14:paraId="6D11ED8A" w14:textId="77777777" w:rsidTr="005100FA">
        <w:trPr>
          <w:trHeight w:val="131"/>
        </w:trPr>
        <w:tc>
          <w:tcPr>
            <w:tcW w:w="291" w:type="dxa"/>
            <w:shd w:val="clear" w:color="auto" w:fill="auto"/>
            <w:noWrap/>
            <w:vAlign w:val="center"/>
            <w:hideMark/>
          </w:tcPr>
          <w:p w14:paraId="541CD538" w14:textId="77777777" w:rsidR="00126177" w:rsidRPr="00005453" w:rsidRDefault="00126177" w:rsidP="00126177">
            <w:pPr>
              <w:jc w:val="right"/>
              <w:rPr>
                <w:color w:val="000000"/>
                <w:sz w:val="14"/>
                <w:szCs w:val="14"/>
                <w:lang w:eastAsia="tr-TR"/>
              </w:rPr>
            </w:pPr>
            <w:r w:rsidRPr="00005453">
              <w:rPr>
                <w:color w:val="000000"/>
                <w:sz w:val="14"/>
                <w:szCs w:val="14"/>
                <w:lang w:eastAsia="tr-TR"/>
              </w:rPr>
              <w:t>1</w:t>
            </w:r>
          </w:p>
        </w:tc>
        <w:tc>
          <w:tcPr>
            <w:tcW w:w="5374" w:type="dxa"/>
            <w:shd w:val="clear" w:color="auto" w:fill="auto"/>
            <w:noWrap/>
            <w:vAlign w:val="center"/>
            <w:hideMark/>
          </w:tcPr>
          <w:p w14:paraId="712CA8EC" w14:textId="77777777" w:rsidR="00126177" w:rsidRPr="00005453" w:rsidRDefault="00126177" w:rsidP="00126177">
            <w:pPr>
              <w:rPr>
                <w:color w:val="000000"/>
                <w:sz w:val="14"/>
                <w:szCs w:val="14"/>
                <w:lang w:eastAsia="tr-TR"/>
              </w:rPr>
            </w:pPr>
            <w:r w:rsidRPr="00005453">
              <w:rPr>
                <w:color w:val="000000"/>
                <w:sz w:val="14"/>
                <w:szCs w:val="14"/>
                <w:lang w:eastAsia="tr-TR"/>
              </w:rPr>
              <w:t>Merkezi yönetimlerden veya merkez bankalarından alacaklar</w:t>
            </w:r>
          </w:p>
        </w:tc>
        <w:tc>
          <w:tcPr>
            <w:tcW w:w="846" w:type="dxa"/>
            <w:shd w:val="clear" w:color="auto" w:fill="auto"/>
            <w:noWrap/>
            <w:vAlign w:val="center"/>
            <w:hideMark/>
          </w:tcPr>
          <w:p w14:paraId="59594EEF" w14:textId="22898468" w:rsidR="00126177" w:rsidRPr="00005453" w:rsidRDefault="00126177" w:rsidP="00126177">
            <w:pPr>
              <w:jc w:val="right"/>
              <w:rPr>
                <w:color w:val="000000"/>
                <w:sz w:val="14"/>
                <w:szCs w:val="14"/>
                <w:lang w:eastAsia="tr-TR"/>
              </w:rPr>
            </w:pPr>
            <w:r w:rsidRPr="00005453">
              <w:rPr>
                <w:color w:val="000000"/>
                <w:sz w:val="14"/>
                <w:szCs w:val="14"/>
              </w:rPr>
              <w:t>2,731,072</w:t>
            </w:r>
          </w:p>
        </w:tc>
        <w:tc>
          <w:tcPr>
            <w:tcW w:w="714" w:type="dxa"/>
            <w:shd w:val="clear" w:color="auto" w:fill="auto"/>
            <w:noWrap/>
            <w:vAlign w:val="center"/>
            <w:hideMark/>
          </w:tcPr>
          <w:p w14:paraId="52360190" w14:textId="10A9414E"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7CE6C9E0" w14:textId="483B17AA"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3CDB8B0A" w14:textId="1E07B5CB"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4D71D16E" w14:textId="28D5E8D7"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227C37CA" w14:textId="31524D82"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1274F729" w14:textId="3D74400E"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2C3A8AE8" w14:textId="2FCA2C08"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5CEFA3CC" w14:textId="7A080BAA"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706BA7D1" w14:textId="21B47404" w:rsidR="00126177" w:rsidRPr="00005453" w:rsidRDefault="00126177" w:rsidP="00126177">
            <w:pPr>
              <w:jc w:val="right"/>
              <w:rPr>
                <w:color w:val="000000"/>
                <w:sz w:val="14"/>
                <w:szCs w:val="14"/>
                <w:lang w:eastAsia="tr-TR"/>
              </w:rPr>
            </w:pPr>
            <w:r w:rsidRPr="00005453">
              <w:rPr>
                <w:color w:val="000000"/>
                <w:sz w:val="14"/>
                <w:szCs w:val="14"/>
              </w:rPr>
              <w:t>-</w:t>
            </w:r>
          </w:p>
        </w:tc>
      </w:tr>
      <w:tr w:rsidR="00126177" w:rsidRPr="00005453" w14:paraId="591F38A3" w14:textId="77777777" w:rsidTr="005100FA">
        <w:trPr>
          <w:trHeight w:val="78"/>
        </w:trPr>
        <w:tc>
          <w:tcPr>
            <w:tcW w:w="291" w:type="dxa"/>
            <w:shd w:val="clear" w:color="auto" w:fill="auto"/>
            <w:noWrap/>
            <w:vAlign w:val="center"/>
            <w:hideMark/>
          </w:tcPr>
          <w:p w14:paraId="63D2C7A2" w14:textId="77777777" w:rsidR="00126177" w:rsidRPr="00005453" w:rsidRDefault="00126177" w:rsidP="00126177">
            <w:pPr>
              <w:jc w:val="right"/>
              <w:rPr>
                <w:color w:val="000000"/>
                <w:sz w:val="14"/>
                <w:szCs w:val="14"/>
                <w:lang w:eastAsia="tr-TR"/>
              </w:rPr>
            </w:pPr>
            <w:r w:rsidRPr="00005453">
              <w:rPr>
                <w:color w:val="000000"/>
                <w:sz w:val="14"/>
                <w:szCs w:val="14"/>
                <w:lang w:eastAsia="tr-TR"/>
              </w:rPr>
              <w:t>2</w:t>
            </w:r>
          </w:p>
        </w:tc>
        <w:tc>
          <w:tcPr>
            <w:tcW w:w="5374" w:type="dxa"/>
            <w:shd w:val="clear" w:color="auto" w:fill="auto"/>
            <w:noWrap/>
            <w:vAlign w:val="center"/>
            <w:hideMark/>
          </w:tcPr>
          <w:p w14:paraId="28417F79" w14:textId="77777777" w:rsidR="00126177" w:rsidRPr="00005453" w:rsidRDefault="00126177" w:rsidP="00126177">
            <w:pPr>
              <w:rPr>
                <w:color w:val="000000"/>
                <w:sz w:val="14"/>
                <w:szCs w:val="14"/>
                <w:lang w:eastAsia="tr-TR"/>
              </w:rPr>
            </w:pPr>
            <w:r w:rsidRPr="00005453">
              <w:rPr>
                <w:color w:val="000000"/>
                <w:sz w:val="14"/>
                <w:szCs w:val="14"/>
                <w:lang w:eastAsia="tr-TR"/>
              </w:rPr>
              <w:t>Bölgesel yönetimlerden veya yerel yönetimlerden alacaklar</w:t>
            </w:r>
          </w:p>
        </w:tc>
        <w:tc>
          <w:tcPr>
            <w:tcW w:w="846" w:type="dxa"/>
            <w:shd w:val="clear" w:color="auto" w:fill="auto"/>
            <w:noWrap/>
            <w:vAlign w:val="center"/>
            <w:hideMark/>
          </w:tcPr>
          <w:p w14:paraId="73C414D4" w14:textId="22D38FA7"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445FFAFB" w14:textId="293AB71C"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312C53AA" w14:textId="4C8F84EA"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0C926A7E" w14:textId="38EAD362"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680C0D0F" w14:textId="23BC304B"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315DD583" w14:textId="059570FC"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77D4CCFE" w14:textId="511C2ED0"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39C91446" w14:textId="413CD567"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721B9FC3" w14:textId="55D3A336"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28CCEFFB" w14:textId="332943CE" w:rsidR="00126177" w:rsidRPr="00005453" w:rsidRDefault="00126177" w:rsidP="00126177">
            <w:pPr>
              <w:jc w:val="right"/>
              <w:rPr>
                <w:color w:val="000000"/>
                <w:sz w:val="14"/>
                <w:szCs w:val="14"/>
                <w:lang w:eastAsia="tr-TR"/>
              </w:rPr>
            </w:pPr>
            <w:r w:rsidRPr="00005453">
              <w:rPr>
                <w:color w:val="000000"/>
                <w:sz w:val="14"/>
                <w:szCs w:val="14"/>
              </w:rPr>
              <w:t>-</w:t>
            </w:r>
          </w:p>
        </w:tc>
      </w:tr>
      <w:tr w:rsidR="00126177" w:rsidRPr="00005453" w14:paraId="185D7594" w14:textId="77777777" w:rsidTr="005100FA">
        <w:trPr>
          <w:trHeight w:val="179"/>
        </w:trPr>
        <w:tc>
          <w:tcPr>
            <w:tcW w:w="291" w:type="dxa"/>
            <w:shd w:val="clear" w:color="auto" w:fill="auto"/>
            <w:noWrap/>
            <w:vAlign w:val="center"/>
            <w:hideMark/>
          </w:tcPr>
          <w:p w14:paraId="1DCCB7DC" w14:textId="77777777" w:rsidR="00126177" w:rsidRPr="00005453" w:rsidRDefault="00126177" w:rsidP="00126177">
            <w:pPr>
              <w:jc w:val="right"/>
              <w:rPr>
                <w:color w:val="000000"/>
                <w:sz w:val="14"/>
                <w:szCs w:val="14"/>
                <w:lang w:eastAsia="tr-TR"/>
              </w:rPr>
            </w:pPr>
            <w:r w:rsidRPr="00005453">
              <w:rPr>
                <w:color w:val="000000"/>
                <w:sz w:val="14"/>
                <w:szCs w:val="14"/>
                <w:lang w:eastAsia="tr-TR"/>
              </w:rPr>
              <w:t>3</w:t>
            </w:r>
          </w:p>
        </w:tc>
        <w:tc>
          <w:tcPr>
            <w:tcW w:w="5374" w:type="dxa"/>
            <w:shd w:val="clear" w:color="auto" w:fill="auto"/>
            <w:noWrap/>
            <w:vAlign w:val="center"/>
            <w:hideMark/>
          </w:tcPr>
          <w:p w14:paraId="51B622F3" w14:textId="77777777" w:rsidR="00126177" w:rsidRPr="00005453" w:rsidRDefault="00126177" w:rsidP="00126177">
            <w:pPr>
              <w:rPr>
                <w:color w:val="000000"/>
                <w:sz w:val="14"/>
                <w:szCs w:val="14"/>
                <w:lang w:eastAsia="tr-TR"/>
              </w:rPr>
            </w:pPr>
            <w:r w:rsidRPr="00005453">
              <w:rPr>
                <w:color w:val="000000"/>
                <w:sz w:val="14"/>
                <w:szCs w:val="14"/>
                <w:lang w:eastAsia="tr-TR"/>
              </w:rPr>
              <w:t>İdari birimlerden ve ticari olmayan girişimlerden alacaklar</w:t>
            </w:r>
          </w:p>
        </w:tc>
        <w:tc>
          <w:tcPr>
            <w:tcW w:w="846" w:type="dxa"/>
            <w:shd w:val="clear" w:color="auto" w:fill="auto"/>
            <w:noWrap/>
            <w:vAlign w:val="center"/>
            <w:hideMark/>
          </w:tcPr>
          <w:p w14:paraId="5367AEAD" w14:textId="511B12F9"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4BA4F9FD" w14:textId="16B3ABD5"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13174245" w14:textId="05D3C7E6"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7E55FEFE" w14:textId="28A87AE7"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442463BD" w14:textId="627FBA2C"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4313211A" w14:textId="5916040C"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4FE9BB4F" w14:textId="3CA626F0"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54C3AFDF" w14:textId="4D309237"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723EE69C" w14:textId="5B661754"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7221DE63" w14:textId="7699D910" w:rsidR="00126177" w:rsidRPr="00005453" w:rsidRDefault="00126177" w:rsidP="00126177">
            <w:pPr>
              <w:jc w:val="right"/>
              <w:rPr>
                <w:color w:val="000000"/>
                <w:sz w:val="14"/>
                <w:szCs w:val="14"/>
                <w:lang w:eastAsia="tr-TR"/>
              </w:rPr>
            </w:pPr>
            <w:r w:rsidRPr="00005453">
              <w:rPr>
                <w:color w:val="000000"/>
                <w:sz w:val="14"/>
                <w:szCs w:val="14"/>
              </w:rPr>
              <w:t>-</w:t>
            </w:r>
          </w:p>
        </w:tc>
      </w:tr>
      <w:tr w:rsidR="00126177" w:rsidRPr="00005453" w14:paraId="31FA7343" w14:textId="77777777" w:rsidTr="005100FA">
        <w:trPr>
          <w:trHeight w:val="111"/>
        </w:trPr>
        <w:tc>
          <w:tcPr>
            <w:tcW w:w="291" w:type="dxa"/>
            <w:shd w:val="clear" w:color="auto" w:fill="auto"/>
            <w:noWrap/>
            <w:vAlign w:val="center"/>
            <w:hideMark/>
          </w:tcPr>
          <w:p w14:paraId="54745ABF" w14:textId="77777777" w:rsidR="00126177" w:rsidRPr="00005453" w:rsidRDefault="00126177" w:rsidP="00126177">
            <w:pPr>
              <w:jc w:val="right"/>
              <w:rPr>
                <w:color w:val="000000"/>
                <w:sz w:val="14"/>
                <w:szCs w:val="14"/>
                <w:lang w:eastAsia="tr-TR"/>
              </w:rPr>
            </w:pPr>
            <w:r w:rsidRPr="00005453">
              <w:rPr>
                <w:color w:val="000000"/>
                <w:sz w:val="14"/>
                <w:szCs w:val="14"/>
                <w:lang w:eastAsia="tr-TR"/>
              </w:rPr>
              <w:t>4</w:t>
            </w:r>
          </w:p>
        </w:tc>
        <w:tc>
          <w:tcPr>
            <w:tcW w:w="5374" w:type="dxa"/>
            <w:shd w:val="clear" w:color="auto" w:fill="auto"/>
            <w:noWrap/>
            <w:vAlign w:val="center"/>
            <w:hideMark/>
          </w:tcPr>
          <w:p w14:paraId="0ECA4322" w14:textId="77777777" w:rsidR="00126177" w:rsidRPr="00005453" w:rsidRDefault="00126177" w:rsidP="00126177">
            <w:pPr>
              <w:rPr>
                <w:color w:val="000000"/>
                <w:sz w:val="14"/>
                <w:szCs w:val="14"/>
                <w:lang w:eastAsia="tr-TR"/>
              </w:rPr>
            </w:pPr>
            <w:r w:rsidRPr="00005453">
              <w:rPr>
                <w:color w:val="000000"/>
                <w:sz w:val="14"/>
                <w:szCs w:val="14"/>
                <w:lang w:eastAsia="tr-TR"/>
              </w:rPr>
              <w:t>Çok taraflı kalkınma bankalarından alacaklar</w:t>
            </w:r>
          </w:p>
        </w:tc>
        <w:tc>
          <w:tcPr>
            <w:tcW w:w="846" w:type="dxa"/>
            <w:shd w:val="clear" w:color="auto" w:fill="auto"/>
            <w:noWrap/>
            <w:vAlign w:val="center"/>
            <w:hideMark/>
          </w:tcPr>
          <w:p w14:paraId="007E187E" w14:textId="07293C11"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007E428A" w14:textId="53F21863"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06CB546C" w14:textId="099E815C"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41725942" w14:textId="20D54F69"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5AD71602" w14:textId="32543055"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08743414" w14:textId="62CF07C4"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6CFEA593" w14:textId="3B69D0B5"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0022EF18" w14:textId="657875CF"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573B1467" w14:textId="594C8008"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108AA577" w14:textId="66D89A15" w:rsidR="00126177" w:rsidRPr="00005453" w:rsidRDefault="00126177" w:rsidP="00126177">
            <w:pPr>
              <w:jc w:val="right"/>
              <w:rPr>
                <w:color w:val="000000"/>
                <w:sz w:val="14"/>
                <w:szCs w:val="14"/>
                <w:lang w:eastAsia="tr-TR"/>
              </w:rPr>
            </w:pPr>
            <w:r w:rsidRPr="00005453">
              <w:rPr>
                <w:color w:val="000000"/>
                <w:sz w:val="14"/>
                <w:szCs w:val="14"/>
              </w:rPr>
              <w:t>-</w:t>
            </w:r>
          </w:p>
        </w:tc>
      </w:tr>
      <w:tr w:rsidR="00126177" w:rsidRPr="00005453" w14:paraId="7D1FFD07" w14:textId="77777777" w:rsidTr="005100FA">
        <w:trPr>
          <w:trHeight w:val="58"/>
        </w:trPr>
        <w:tc>
          <w:tcPr>
            <w:tcW w:w="291" w:type="dxa"/>
            <w:shd w:val="clear" w:color="auto" w:fill="auto"/>
            <w:noWrap/>
            <w:vAlign w:val="center"/>
            <w:hideMark/>
          </w:tcPr>
          <w:p w14:paraId="7024B18C" w14:textId="77777777" w:rsidR="00126177" w:rsidRPr="00005453" w:rsidRDefault="00126177" w:rsidP="00126177">
            <w:pPr>
              <w:jc w:val="right"/>
              <w:rPr>
                <w:color w:val="000000"/>
                <w:sz w:val="14"/>
                <w:szCs w:val="14"/>
                <w:lang w:eastAsia="tr-TR"/>
              </w:rPr>
            </w:pPr>
            <w:r w:rsidRPr="00005453">
              <w:rPr>
                <w:color w:val="000000"/>
                <w:sz w:val="14"/>
                <w:szCs w:val="14"/>
                <w:lang w:eastAsia="tr-TR"/>
              </w:rPr>
              <w:t>5</w:t>
            </w:r>
          </w:p>
        </w:tc>
        <w:tc>
          <w:tcPr>
            <w:tcW w:w="5374" w:type="dxa"/>
            <w:shd w:val="clear" w:color="auto" w:fill="auto"/>
            <w:noWrap/>
            <w:vAlign w:val="center"/>
            <w:hideMark/>
          </w:tcPr>
          <w:p w14:paraId="4ABC2A64" w14:textId="77777777" w:rsidR="00126177" w:rsidRPr="00005453" w:rsidRDefault="00126177" w:rsidP="00126177">
            <w:pPr>
              <w:rPr>
                <w:color w:val="000000"/>
                <w:sz w:val="14"/>
                <w:szCs w:val="14"/>
                <w:lang w:eastAsia="tr-TR"/>
              </w:rPr>
            </w:pPr>
            <w:r w:rsidRPr="00005453">
              <w:rPr>
                <w:color w:val="000000"/>
                <w:sz w:val="14"/>
                <w:szCs w:val="14"/>
                <w:lang w:eastAsia="tr-TR"/>
              </w:rPr>
              <w:t>Uluslararası teşkilatlardan alacaklar</w:t>
            </w:r>
          </w:p>
        </w:tc>
        <w:tc>
          <w:tcPr>
            <w:tcW w:w="846" w:type="dxa"/>
            <w:shd w:val="clear" w:color="auto" w:fill="auto"/>
            <w:noWrap/>
            <w:vAlign w:val="center"/>
            <w:hideMark/>
          </w:tcPr>
          <w:p w14:paraId="2FB312C6" w14:textId="1E9BF60A"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03E4049C" w14:textId="603AB260"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5D917D82" w14:textId="46D9F76C"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3188BDD8" w14:textId="32F5CF50"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65E7C43C" w14:textId="1B1F0B2E"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0760178E" w14:textId="10FC9265"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0C744954" w14:textId="4488E663"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642DCB78" w14:textId="52FB388F"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4BE39E06" w14:textId="0AB5A290"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76322770" w14:textId="752A3544" w:rsidR="00126177" w:rsidRPr="00005453" w:rsidRDefault="00126177" w:rsidP="00126177">
            <w:pPr>
              <w:jc w:val="right"/>
              <w:rPr>
                <w:color w:val="000000"/>
                <w:sz w:val="14"/>
                <w:szCs w:val="14"/>
                <w:lang w:eastAsia="tr-TR"/>
              </w:rPr>
            </w:pPr>
            <w:r w:rsidRPr="00005453">
              <w:rPr>
                <w:color w:val="000000"/>
                <w:sz w:val="14"/>
                <w:szCs w:val="14"/>
              </w:rPr>
              <w:t>-</w:t>
            </w:r>
          </w:p>
        </w:tc>
      </w:tr>
      <w:tr w:rsidR="00126177" w:rsidRPr="00005453" w14:paraId="4A90D30F" w14:textId="77777777" w:rsidTr="005100FA">
        <w:trPr>
          <w:trHeight w:val="40"/>
        </w:trPr>
        <w:tc>
          <w:tcPr>
            <w:tcW w:w="291" w:type="dxa"/>
            <w:shd w:val="clear" w:color="auto" w:fill="auto"/>
            <w:noWrap/>
            <w:vAlign w:val="center"/>
            <w:hideMark/>
          </w:tcPr>
          <w:p w14:paraId="4F3AF3CC" w14:textId="77777777" w:rsidR="00126177" w:rsidRPr="00005453" w:rsidRDefault="00126177" w:rsidP="00126177">
            <w:pPr>
              <w:jc w:val="right"/>
              <w:rPr>
                <w:color w:val="000000"/>
                <w:sz w:val="14"/>
                <w:szCs w:val="14"/>
                <w:lang w:eastAsia="tr-TR"/>
              </w:rPr>
            </w:pPr>
            <w:r w:rsidRPr="00005453">
              <w:rPr>
                <w:color w:val="000000"/>
                <w:sz w:val="14"/>
                <w:szCs w:val="14"/>
                <w:lang w:eastAsia="tr-TR"/>
              </w:rPr>
              <w:t>6</w:t>
            </w:r>
          </w:p>
        </w:tc>
        <w:tc>
          <w:tcPr>
            <w:tcW w:w="5374" w:type="dxa"/>
            <w:shd w:val="clear" w:color="auto" w:fill="auto"/>
            <w:noWrap/>
            <w:vAlign w:val="center"/>
            <w:hideMark/>
          </w:tcPr>
          <w:p w14:paraId="23A7B57F" w14:textId="77777777" w:rsidR="00126177" w:rsidRPr="00005453" w:rsidRDefault="00126177" w:rsidP="00126177">
            <w:pPr>
              <w:rPr>
                <w:color w:val="000000"/>
                <w:sz w:val="14"/>
                <w:szCs w:val="14"/>
                <w:lang w:eastAsia="tr-TR"/>
              </w:rPr>
            </w:pPr>
            <w:r w:rsidRPr="00005453">
              <w:rPr>
                <w:color w:val="000000"/>
                <w:sz w:val="14"/>
                <w:szCs w:val="14"/>
                <w:lang w:eastAsia="tr-TR"/>
              </w:rPr>
              <w:t>Bankalardan ve aracı kurumlardan alacaklar</w:t>
            </w:r>
          </w:p>
        </w:tc>
        <w:tc>
          <w:tcPr>
            <w:tcW w:w="846" w:type="dxa"/>
            <w:shd w:val="clear" w:color="auto" w:fill="auto"/>
            <w:noWrap/>
            <w:vAlign w:val="center"/>
            <w:hideMark/>
          </w:tcPr>
          <w:p w14:paraId="73EAA18D" w14:textId="6F4A726D"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0B4484F4" w14:textId="1614C233"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5EAD3950" w14:textId="356AE915" w:rsidR="00126177" w:rsidRPr="00005453" w:rsidRDefault="00126177" w:rsidP="00126177">
            <w:pPr>
              <w:jc w:val="right"/>
              <w:rPr>
                <w:color w:val="000000"/>
                <w:sz w:val="14"/>
                <w:szCs w:val="14"/>
                <w:lang w:eastAsia="tr-TR"/>
              </w:rPr>
            </w:pPr>
            <w:r w:rsidRPr="00005453">
              <w:rPr>
                <w:color w:val="000000"/>
                <w:sz w:val="14"/>
                <w:szCs w:val="14"/>
              </w:rPr>
              <w:t>777,934</w:t>
            </w:r>
          </w:p>
        </w:tc>
        <w:tc>
          <w:tcPr>
            <w:tcW w:w="595" w:type="dxa"/>
            <w:shd w:val="clear" w:color="auto" w:fill="auto"/>
            <w:noWrap/>
            <w:vAlign w:val="center"/>
            <w:hideMark/>
          </w:tcPr>
          <w:p w14:paraId="367CA681" w14:textId="617C9A33" w:rsidR="00126177" w:rsidRPr="00005453" w:rsidRDefault="00126177" w:rsidP="00126177">
            <w:pPr>
              <w:jc w:val="right"/>
              <w:rPr>
                <w:color w:val="000000"/>
                <w:sz w:val="14"/>
                <w:szCs w:val="14"/>
                <w:lang w:eastAsia="tr-TR"/>
              </w:rPr>
            </w:pPr>
            <w:r w:rsidRPr="00005453">
              <w:rPr>
                <w:color w:val="000000"/>
                <w:sz w:val="14"/>
                <w:szCs w:val="14"/>
              </w:rPr>
              <w:t>621,600</w:t>
            </w:r>
          </w:p>
        </w:tc>
        <w:tc>
          <w:tcPr>
            <w:tcW w:w="851" w:type="dxa"/>
            <w:shd w:val="clear" w:color="auto" w:fill="auto"/>
            <w:noWrap/>
            <w:vAlign w:val="center"/>
            <w:hideMark/>
          </w:tcPr>
          <w:p w14:paraId="670C60AD" w14:textId="043492FD"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60E5C76E" w14:textId="6FF79C12" w:rsidR="00126177" w:rsidRPr="00005453" w:rsidRDefault="00126177" w:rsidP="00126177">
            <w:pPr>
              <w:jc w:val="right"/>
              <w:rPr>
                <w:color w:val="000000"/>
                <w:sz w:val="14"/>
                <w:szCs w:val="14"/>
                <w:lang w:eastAsia="tr-TR"/>
              </w:rPr>
            </w:pPr>
            <w:r w:rsidRPr="00005453">
              <w:rPr>
                <w:color w:val="000000"/>
                <w:sz w:val="14"/>
                <w:szCs w:val="14"/>
              </w:rPr>
              <w:t>339,927</w:t>
            </w:r>
          </w:p>
        </w:tc>
        <w:tc>
          <w:tcPr>
            <w:tcW w:w="822" w:type="dxa"/>
            <w:shd w:val="clear" w:color="auto" w:fill="auto"/>
            <w:noWrap/>
            <w:vAlign w:val="center"/>
            <w:hideMark/>
          </w:tcPr>
          <w:p w14:paraId="6A20A717" w14:textId="092B462B"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01B71F49" w14:textId="5C2F9B30"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6937E5A5" w14:textId="296169CA"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2071D8A4" w14:textId="19242CB2" w:rsidR="00126177" w:rsidRPr="00005453" w:rsidRDefault="00126177" w:rsidP="00126177">
            <w:pPr>
              <w:jc w:val="right"/>
              <w:rPr>
                <w:color w:val="000000"/>
                <w:sz w:val="14"/>
                <w:szCs w:val="14"/>
                <w:lang w:eastAsia="tr-TR"/>
              </w:rPr>
            </w:pPr>
            <w:r w:rsidRPr="00005453">
              <w:rPr>
                <w:color w:val="000000"/>
                <w:sz w:val="14"/>
                <w:szCs w:val="14"/>
              </w:rPr>
              <w:t>806,314</w:t>
            </w:r>
          </w:p>
        </w:tc>
      </w:tr>
      <w:tr w:rsidR="00126177" w:rsidRPr="00005453" w14:paraId="0A8D1597" w14:textId="77777777" w:rsidTr="005100FA">
        <w:trPr>
          <w:trHeight w:val="105"/>
        </w:trPr>
        <w:tc>
          <w:tcPr>
            <w:tcW w:w="291" w:type="dxa"/>
            <w:shd w:val="clear" w:color="auto" w:fill="auto"/>
            <w:noWrap/>
            <w:vAlign w:val="center"/>
            <w:hideMark/>
          </w:tcPr>
          <w:p w14:paraId="30FDCB3B" w14:textId="77777777" w:rsidR="00126177" w:rsidRPr="00005453" w:rsidRDefault="00126177" w:rsidP="00126177">
            <w:pPr>
              <w:jc w:val="right"/>
              <w:rPr>
                <w:color w:val="000000"/>
                <w:sz w:val="14"/>
                <w:szCs w:val="14"/>
                <w:lang w:eastAsia="tr-TR"/>
              </w:rPr>
            </w:pPr>
            <w:r w:rsidRPr="00005453">
              <w:rPr>
                <w:color w:val="000000"/>
                <w:sz w:val="14"/>
                <w:szCs w:val="14"/>
                <w:lang w:eastAsia="tr-TR"/>
              </w:rPr>
              <w:t>7</w:t>
            </w:r>
          </w:p>
        </w:tc>
        <w:tc>
          <w:tcPr>
            <w:tcW w:w="5374" w:type="dxa"/>
            <w:shd w:val="clear" w:color="auto" w:fill="auto"/>
            <w:noWrap/>
            <w:vAlign w:val="center"/>
            <w:hideMark/>
          </w:tcPr>
          <w:p w14:paraId="136A55AD" w14:textId="77777777" w:rsidR="00126177" w:rsidRPr="00005453" w:rsidRDefault="00126177" w:rsidP="00126177">
            <w:pPr>
              <w:rPr>
                <w:color w:val="000000"/>
                <w:sz w:val="14"/>
                <w:szCs w:val="14"/>
                <w:lang w:eastAsia="tr-TR"/>
              </w:rPr>
            </w:pPr>
            <w:r w:rsidRPr="00005453">
              <w:rPr>
                <w:color w:val="000000"/>
                <w:sz w:val="14"/>
                <w:szCs w:val="14"/>
                <w:lang w:eastAsia="tr-TR"/>
              </w:rPr>
              <w:t>Kurumsal alacaklar</w:t>
            </w:r>
          </w:p>
        </w:tc>
        <w:tc>
          <w:tcPr>
            <w:tcW w:w="846" w:type="dxa"/>
            <w:shd w:val="clear" w:color="auto" w:fill="auto"/>
            <w:noWrap/>
            <w:vAlign w:val="center"/>
            <w:hideMark/>
          </w:tcPr>
          <w:p w14:paraId="71658D02" w14:textId="1BD378FD"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5FDF8AA6" w14:textId="1AD550F6"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1DD6E523" w14:textId="048FB90C"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58213998" w14:textId="18BAC65F"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0DAB59CF" w14:textId="5058E927"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01A108A9" w14:textId="7DF5514F" w:rsidR="00126177" w:rsidRPr="00005453" w:rsidRDefault="00126177" w:rsidP="00126177">
            <w:pPr>
              <w:jc w:val="right"/>
              <w:rPr>
                <w:color w:val="000000"/>
                <w:sz w:val="14"/>
                <w:szCs w:val="14"/>
                <w:lang w:eastAsia="tr-TR"/>
              </w:rPr>
            </w:pPr>
            <w:r w:rsidRPr="00005453">
              <w:rPr>
                <w:color w:val="000000"/>
                <w:sz w:val="14"/>
                <w:szCs w:val="14"/>
              </w:rPr>
              <w:t>152,546</w:t>
            </w:r>
          </w:p>
        </w:tc>
        <w:tc>
          <w:tcPr>
            <w:tcW w:w="822" w:type="dxa"/>
            <w:shd w:val="clear" w:color="auto" w:fill="auto"/>
            <w:noWrap/>
            <w:vAlign w:val="center"/>
            <w:hideMark/>
          </w:tcPr>
          <w:p w14:paraId="19D5E030" w14:textId="473D433A"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3D064C08" w14:textId="1448E7E8"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359FB5E5" w14:textId="4BF56EF8"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4B11F266" w14:textId="21AF0912" w:rsidR="00126177" w:rsidRPr="00005453" w:rsidRDefault="00126177" w:rsidP="00126177">
            <w:pPr>
              <w:jc w:val="right"/>
              <w:rPr>
                <w:color w:val="000000"/>
                <w:sz w:val="14"/>
                <w:szCs w:val="14"/>
                <w:lang w:eastAsia="tr-TR"/>
              </w:rPr>
            </w:pPr>
            <w:r w:rsidRPr="00005453">
              <w:rPr>
                <w:color w:val="000000"/>
                <w:sz w:val="14"/>
                <w:szCs w:val="14"/>
              </w:rPr>
              <w:t>152,546</w:t>
            </w:r>
          </w:p>
        </w:tc>
      </w:tr>
      <w:tr w:rsidR="00126177" w:rsidRPr="00005453" w14:paraId="4D0EC448" w14:textId="77777777" w:rsidTr="005100FA">
        <w:trPr>
          <w:trHeight w:val="52"/>
        </w:trPr>
        <w:tc>
          <w:tcPr>
            <w:tcW w:w="291" w:type="dxa"/>
            <w:shd w:val="clear" w:color="auto" w:fill="auto"/>
            <w:noWrap/>
            <w:vAlign w:val="center"/>
            <w:hideMark/>
          </w:tcPr>
          <w:p w14:paraId="6181EFDC" w14:textId="77777777" w:rsidR="00126177" w:rsidRPr="00005453" w:rsidRDefault="00126177" w:rsidP="00126177">
            <w:pPr>
              <w:jc w:val="right"/>
              <w:rPr>
                <w:color w:val="000000"/>
                <w:sz w:val="14"/>
                <w:szCs w:val="14"/>
                <w:lang w:eastAsia="tr-TR"/>
              </w:rPr>
            </w:pPr>
            <w:r w:rsidRPr="00005453">
              <w:rPr>
                <w:color w:val="000000"/>
                <w:sz w:val="14"/>
                <w:szCs w:val="14"/>
                <w:lang w:eastAsia="tr-TR"/>
              </w:rPr>
              <w:t>8</w:t>
            </w:r>
          </w:p>
        </w:tc>
        <w:tc>
          <w:tcPr>
            <w:tcW w:w="5374" w:type="dxa"/>
            <w:shd w:val="clear" w:color="auto" w:fill="auto"/>
            <w:noWrap/>
            <w:vAlign w:val="center"/>
            <w:hideMark/>
          </w:tcPr>
          <w:p w14:paraId="50DBB8FE" w14:textId="77777777" w:rsidR="00126177" w:rsidRPr="00005453" w:rsidRDefault="00126177" w:rsidP="00126177">
            <w:pPr>
              <w:rPr>
                <w:color w:val="000000"/>
                <w:sz w:val="14"/>
                <w:szCs w:val="14"/>
                <w:lang w:eastAsia="tr-TR"/>
              </w:rPr>
            </w:pPr>
            <w:r w:rsidRPr="00005453">
              <w:rPr>
                <w:color w:val="000000"/>
                <w:sz w:val="14"/>
                <w:szCs w:val="14"/>
                <w:lang w:eastAsia="tr-TR"/>
              </w:rPr>
              <w:t>Perakende alacaklar</w:t>
            </w:r>
          </w:p>
        </w:tc>
        <w:tc>
          <w:tcPr>
            <w:tcW w:w="846" w:type="dxa"/>
            <w:shd w:val="clear" w:color="auto" w:fill="auto"/>
            <w:noWrap/>
            <w:vAlign w:val="center"/>
            <w:hideMark/>
          </w:tcPr>
          <w:p w14:paraId="1854BB99" w14:textId="52FBBD5F"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05AD8F76" w14:textId="1E9CCA71"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6E656227" w14:textId="000F1E3B"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42736C87" w14:textId="5F07745B"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61174258" w14:textId="3C07A65F" w:rsidR="00126177" w:rsidRPr="00005453" w:rsidRDefault="00126177" w:rsidP="00126177">
            <w:pPr>
              <w:jc w:val="right"/>
              <w:rPr>
                <w:color w:val="000000"/>
                <w:sz w:val="14"/>
                <w:szCs w:val="14"/>
                <w:lang w:eastAsia="tr-TR"/>
              </w:rPr>
            </w:pPr>
            <w:r w:rsidRPr="00005453">
              <w:rPr>
                <w:color w:val="000000"/>
                <w:sz w:val="14"/>
                <w:szCs w:val="14"/>
              </w:rPr>
              <w:t>29,315</w:t>
            </w:r>
          </w:p>
        </w:tc>
        <w:tc>
          <w:tcPr>
            <w:tcW w:w="850" w:type="dxa"/>
            <w:shd w:val="clear" w:color="auto" w:fill="auto"/>
            <w:noWrap/>
            <w:vAlign w:val="center"/>
            <w:hideMark/>
          </w:tcPr>
          <w:p w14:paraId="545918DD" w14:textId="0C864D6D"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791BA987" w14:textId="175509F2"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354398AE" w14:textId="346B36FF"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7D450FC4" w14:textId="1029A351"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5D7ADA1F" w14:textId="286B0343" w:rsidR="00126177" w:rsidRPr="00005453" w:rsidRDefault="00126177" w:rsidP="00126177">
            <w:pPr>
              <w:jc w:val="right"/>
              <w:rPr>
                <w:color w:val="000000"/>
                <w:sz w:val="14"/>
                <w:szCs w:val="14"/>
                <w:lang w:eastAsia="tr-TR"/>
              </w:rPr>
            </w:pPr>
            <w:r w:rsidRPr="00005453">
              <w:rPr>
                <w:color w:val="000000"/>
                <w:sz w:val="14"/>
                <w:szCs w:val="14"/>
              </w:rPr>
              <w:t>21,986</w:t>
            </w:r>
          </w:p>
        </w:tc>
      </w:tr>
      <w:tr w:rsidR="00126177" w:rsidRPr="00005453" w14:paraId="137E0CFF" w14:textId="77777777" w:rsidTr="005100FA">
        <w:trPr>
          <w:trHeight w:val="40"/>
        </w:trPr>
        <w:tc>
          <w:tcPr>
            <w:tcW w:w="291" w:type="dxa"/>
            <w:shd w:val="clear" w:color="auto" w:fill="auto"/>
            <w:noWrap/>
            <w:vAlign w:val="center"/>
            <w:hideMark/>
          </w:tcPr>
          <w:p w14:paraId="4A8CE302" w14:textId="77777777" w:rsidR="00126177" w:rsidRPr="00005453" w:rsidRDefault="00126177" w:rsidP="00126177">
            <w:pPr>
              <w:jc w:val="right"/>
              <w:rPr>
                <w:color w:val="000000"/>
                <w:sz w:val="14"/>
                <w:szCs w:val="14"/>
                <w:lang w:eastAsia="tr-TR"/>
              </w:rPr>
            </w:pPr>
            <w:r w:rsidRPr="00005453">
              <w:rPr>
                <w:color w:val="000000"/>
                <w:sz w:val="14"/>
                <w:szCs w:val="14"/>
                <w:lang w:eastAsia="tr-TR"/>
              </w:rPr>
              <w:t>9</w:t>
            </w:r>
          </w:p>
        </w:tc>
        <w:tc>
          <w:tcPr>
            <w:tcW w:w="5374" w:type="dxa"/>
            <w:shd w:val="clear" w:color="auto" w:fill="auto"/>
            <w:noWrap/>
            <w:vAlign w:val="center"/>
            <w:hideMark/>
          </w:tcPr>
          <w:p w14:paraId="19EDB04D" w14:textId="77777777" w:rsidR="00126177" w:rsidRPr="00005453" w:rsidRDefault="00126177" w:rsidP="00126177">
            <w:pPr>
              <w:rPr>
                <w:color w:val="000000"/>
                <w:sz w:val="14"/>
                <w:szCs w:val="14"/>
                <w:lang w:eastAsia="tr-TR"/>
              </w:rPr>
            </w:pPr>
            <w:r w:rsidRPr="00005453">
              <w:rPr>
                <w:color w:val="000000"/>
                <w:sz w:val="14"/>
                <w:szCs w:val="14"/>
                <w:lang w:eastAsia="tr-TR"/>
              </w:rPr>
              <w:t>Diğer Alacaklar</w:t>
            </w:r>
          </w:p>
        </w:tc>
        <w:tc>
          <w:tcPr>
            <w:tcW w:w="846" w:type="dxa"/>
            <w:shd w:val="clear" w:color="auto" w:fill="auto"/>
            <w:noWrap/>
            <w:vAlign w:val="center"/>
            <w:hideMark/>
          </w:tcPr>
          <w:p w14:paraId="4E913504" w14:textId="2C68FAF5" w:rsidR="00126177" w:rsidRPr="00005453" w:rsidRDefault="00126177" w:rsidP="00126177">
            <w:pPr>
              <w:jc w:val="right"/>
              <w:rPr>
                <w:color w:val="000000"/>
                <w:sz w:val="14"/>
                <w:szCs w:val="14"/>
                <w:lang w:eastAsia="tr-TR"/>
              </w:rPr>
            </w:pPr>
            <w:r w:rsidRPr="00005453">
              <w:rPr>
                <w:color w:val="000000"/>
                <w:sz w:val="14"/>
                <w:szCs w:val="14"/>
              </w:rPr>
              <w:t>-</w:t>
            </w:r>
          </w:p>
        </w:tc>
        <w:tc>
          <w:tcPr>
            <w:tcW w:w="714" w:type="dxa"/>
            <w:shd w:val="clear" w:color="auto" w:fill="auto"/>
            <w:noWrap/>
            <w:vAlign w:val="center"/>
            <w:hideMark/>
          </w:tcPr>
          <w:p w14:paraId="33ABB963" w14:textId="2AA27239"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5DF3EA1F" w14:textId="10F0EB03" w:rsidR="00126177" w:rsidRPr="00005453" w:rsidRDefault="00126177" w:rsidP="00126177">
            <w:pPr>
              <w:jc w:val="right"/>
              <w:rPr>
                <w:color w:val="000000"/>
                <w:sz w:val="14"/>
                <w:szCs w:val="14"/>
                <w:lang w:eastAsia="tr-TR"/>
              </w:rPr>
            </w:pPr>
            <w:r w:rsidRPr="00005453">
              <w:rPr>
                <w:color w:val="000000"/>
                <w:sz w:val="14"/>
                <w:szCs w:val="14"/>
              </w:rPr>
              <w:t>-</w:t>
            </w:r>
          </w:p>
        </w:tc>
        <w:tc>
          <w:tcPr>
            <w:tcW w:w="595" w:type="dxa"/>
            <w:shd w:val="clear" w:color="auto" w:fill="auto"/>
            <w:noWrap/>
            <w:vAlign w:val="center"/>
            <w:hideMark/>
          </w:tcPr>
          <w:p w14:paraId="71699B53" w14:textId="527045C5" w:rsidR="00126177" w:rsidRPr="00005453" w:rsidRDefault="00126177" w:rsidP="00126177">
            <w:pPr>
              <w:jc w:val="right"/>
              <w:rPr>
                <w:color w:val="000000"/>
                <w:sz w:val="14"/>
                <w:szCs w:val="14"/>
                <w:lang w:eastAsia="tr-TR"/>
              </w:rPr>
            </w:pPr>
            <w:r w:rsidRPr="00005453">
              <w:rPr>
                <w:color w:val="000000"/>
                <w:sz w:val="14"/>
                <w:szCs w:val="14"/>
              </w:rPr>
              <w:t>-</w:t>
            </w:r>
          </w:p>
        </w:tc>
        <w:tc>
          <w:tcPr>
            <w:tcW w:w="851" w:type="dxa"/>
            <w:shd w:val="clear" w:color="auto" w:fill="auto"/>
            <w:noWrap/>
            <w:vAlign w:val="center"/>
            <w:hideMark/>
          </w:tcPr>
          <w:p w14:paraId="7B78A6DA" w14:textId="38317C52" w:rsidR="00126177" w:rsidRPr="00005453" w:rsidRDefault="00126177" w:rsidP="00126177">
            <w:pPr>
              <w:jc w:val="right"/>
              <w:rPr>
                <w:color w:val="000000"/>
                <w:sz w:val="14"/>
                <w:szCs w:val="14"/>
                <w:lang w:eastAsia="tr-TR"/>
              </w:rPr>
            </w:pPr>
            <w:r w:rsidRPr="00005453">
              <w:rPr>
                <w:color w:val="000000"/>
                <w:sz w:val="14"/>
                <w:szCs w:val="14"/>
              </w:rPr>
              <w:t>-</w:t>
            </w:r>
          </w:p>
        </w:tc>
        <w:tc>
          <w:tcPr>
            <w:tcW w:w="850" w:type="dxa"/>
            <w:shd w:val="clear" w:color="auto" w:fill="auto"/>
            <w:noWrap/>
            <w:vAlign w:val="center"/>
            <w:hideMark/>
          </w:tcPr>
          <w:p w14:paraId="5EA5E205" w14:textId="5D7B22E4" w:rsidR="00126177" w:rsidRPr="00005453" w:rsidRDefault="00126177" w:rsidP="00126177">
            <w:pPr>
              <w:jc w:val="right"/>
              <w:rPr>
                <w:color w:val="000000"/>
                <w:sz w:val="14"/>
                <w:szCs w:val="14"/>
                <w:lang w:eastAsia="tr-TR"/>
              </w:rPr>
            </w:pPr>
            <w:r w:rsidRPr="00005453">
              <w:rPr>
                <w:color w:val="000000"/>
                <w:sz w:val="14"/>
                <w:szCs w:val="14"/>
              </w:rPr>
              <w:t>-</w:t>
            </w:r>
          </w:p>
        </w:tc>
        <w:tc>
          <w:tcPr>
            <w:tcW w:w="822" w:type="dxa"/>
            <w:shd w:val="clear" w:color="auto" w:fill="auto"/>
            <w:noWrap/>
            <w:vAlign w:val="center"/>
            <w:hideMark/>
          </w:tcPr>
          <w:p w14:paraId="1CDCB827" w14:textId="0CAD9E70" w:rsidR="00126177" w:rsidRPr="00005453" w:rsidRDefault="00126177" w:rsidP="00126177">
            <w:pPr>
              <w:jc w:val="right"/>
              <w:rPr>
                <w:color w:val="000000"/>
                <w:sz w:val="14"/>
                <w:szCs w:val="14"/>
                <w:lang w:eastAsia="tr-TR"/>
              </w:rPr>
            </w:pPr>
            <w:r w:rsidRPr="00005453">
              <w:rPr>
                <w:color w:val="000000"/>
                <w:sz w:val="14"/>
                <w:szCs w:val="14"/>
              </w:rPr>
              <w:t>-</w:t>
            </w:r>
          </w:p>
        </w:tc>
        <w:tc>
          <w:tcPr>
            <w:tcW w:w="992" w:type="dxa"/>
            <w:shd w:val="clear" w:color="auto" w:fill="auto"/>
            <w:noWrap/>
            <w:vAlign w:val="center"/>
            <w:hideMark/>
          </w:tcPr>
          <w:p w14:paraId="5A917DF1" w14:textId="5A6FE82F" w:rsidR="00126177" w:rsidRPr="00005453" w:rsidRDefault="00126177" w:rsidP="00126177">
            <w:pPr>
              <w:jc w:val="right"/>
              <w:rPr>
                <w:color w:val="000000"/>
                <w:sz w:val="14"/>
                <w:szCs w:val="14"/>
                <w:lang w:eastAsia="tr-TR"/>
              </w:rPr>
            </w:pPr>
            <w:r w:rsidRPr="00005453">
              <w:rPr>
                <w:color w:val="000000"/>
                <w:sz w:val="14"/>
                <w:szCs w:val="14"/>
              </w:rPr>
              <w:t>-</w:t>
            </w:r>
          </w:p>
        </w:tc>
        <w:tc>
          <w:tcPr>
            <w:tcW w:w="817" w:type="dxa"/>
            <w:shd w:val="clear" w:color="000000" w:fill="FFFFFF"/>
            <w:noWrap/>
            <w:vAlign w:val="center"/>
            <w:hideMark/>
          </w:tcPr>
          <w:p w14:paraId="1A997539" w14:textId="21AB2D8A" w:rsidR="00126177" w:rsidRPr="00005453" w:rsidRDefault="00126177" w:rsidP="00126177">
            <w:pPr>
              <w:jc w:val="right"/>
              <w:rPr>
                <w:color w:val="000000"/>
                <w:sz w:val="14"/>
                <w:szCs w:val="14"/>
                <w:lang w:eastAsia="tr-TR"/>
              </w:rPr>
            </w:pPr>
            <w:r w:rsidRPr="00005453">
              <w:rPr>
                <w:color w:val="000000"/>
                <w:sz w:val="14"/>
                <w:szCs w:val="14"/>
              </w:rPr>
              <w:t>-</w:t>
            </w:r>
          </w:p>
        </w:tc>
        <w:tc>
          <w:tcPr>
            <w:tcW w:w="1451" w:type="dxa"/>
            <w:shd w:val="clear" w:color="auto" w:fill="auto"/>
            <w:noWrap/>
            <w:vAlign w:val="center"/>
            <w:hideMark/>
          </w:tcPr>
          <w:p w14:paraId="0C32CA0D" w14:textId="57F65B25" w:rsidR="00126177" w:rsidRPr="00005453" w:rsidRDefault="00126177" w:rsidP="00126177">
            <w:pPr>
              <w:jc w:val="right"/>
              <w:rPr>
                <w:color w:val="000000"/>
                <w:sz w:val="14"/>
                <w:szCs w:val="14"/>
                <w:lang w:eastAsia="tr-TR"/>
              </w:rPr>
            </w:pPr>
            <w:r w:rsidRPr="00005453">
              <w:rPr>
                <w:color w:val="000000"/>
                <w:sz w:val="14"/>
                <w:szCs w:val="14"/>
              </w:rPr>
              <w:t>-</w:t>
            </w:r>
          </w:p>
        </w:tc>
      </w:tr>
      <w:tr w:rsidR="00126177" w:rsidRPr="00005453" w14:paraId="546705FF" w14:textId="77777777" w:rsidTr="005100FA">
        <w:trPr>
          <w:trHeight w:val="85"/>
        </w:trPr>
        <w:tc>
          <w:tcPr>
            <w:tcW w:w="291" w:type="dxa"/>
            <w:shd w:val="clear" w:color="auto" w:fill="auto"/>
            <w:noWrap/>
            <w:vAlign w:val="center"/>
            <w:hideMark/>
          </w:tcPr>
          <w:p w14:paraId="65C555EC" w14:textId="3F1A6386" w:rsidR="00126177" w:rsidRPr="00005453" w:rsidRDefault="00126177" w:rsidP="00126177">
            <w:pPr>
              <w:jc w:val="right"/>
              <w:rPr>
                <w:b/>
                <w:bCs/>
                <w:color w:val="000000"/>
                <w:sz w:val="14"/>
                <w:szCs w:val="14"/>
                <w:lang w:eastAsia="tr-TR"/>
              </w:rPr>
            </w:pPr>
            <w:r w:rsidRPr="00005453">
              <w:rPr>
                <w:b/>
                <w:bCs/>
                <w:color w:val="000000"/>
                <w:sz w:val="14"/>
                <w:szCs w:val="14"/>
                <w:lang w:eastAsia="tr-TR"/>
              </w:rPr>
              <w:t>10</w:t>
            </w:r>
          </w:p>
        </w:tc>
        <w:tc>
          <w:tcPr>
            <w:tcW w:w="5374" w:type="dxa"/>
            <w:shd w:val="clear" w:color="auto" w:fill="auto"/>
            <w:noWrap/>
            <w:vAlign w:val="center"/>
            <w:hideMark/>
          </w:tcPr>
          <w:p w14:paraId="5E7E1CEB" w14:textId="77777777" w:rsidR="00126177" w:rsidRPr="00005453" w:rsidRDefault="00126177" w:rsidP="00126177">
            <w:pPr>
              <w:rPr>
                <w:b/>
                <w:bCs/>
                <w:color w:val="000000"/>
                <w:sz w:val="14"/>
                <w:szCs w:val="14"/>
                <w:lang w:eastAsia="tr-TR"/>
              </w:rPr>
            </w:pPr>
            <w:r w:rsidRPr="00005453">
              <w:rPr>
                <w:b/>
                <w:bCs/>
                <w:color w:val="000000"/>
                <w:sz w:val="14"/>
                <w:szCs w:val="14"/>
                <w:lang w:eastAsia="tr-TR"/>
              </w:rPr>
              <w:t>Toplam</w:t>
            </w:r>
          </w:p>
        </w:tc>
        <w:tc>
          <w:tcPr>
            <w:tcW w:w="846" w:type="dxa"/>
            <w:shd w:val="clear" w:color="auto" w:fill="auto"/>
            <w:noWrap/>
            <w:vAlign w:val="center"/>
            <w:hideMark/>
          </w:tcPr>
          <w:p w14:paraId="27284993" w14:textId="21137DE0" w:rsidR="00126177" w:rsidRPr="00005453" w:rsidRDefault="00126177" w:rsidP="00126177">
            <w:pPr>
              <w:jc w:val="right"/>
              <w:rPr>
                <w:b/>
                <w:bCs/>
                <w:color w:val="000000"/>
                <w:sz w:val="14"/>
                <w:szCs w:val="14"/>
                <w:lang w:eastAsia="tr-TR"/>
              </w:rPr>
            </w:pPr>
            <w:r w:rsidRPr="00005453">
              <w:rPr>
                <w:b/>
                <w:color w:val="000000"/>
                <w:sz w:val="14"/>
                <w:szCs w:val="14"/>
              </w:rPr>
              <w:t>2,731,072</w:t>
            </w:r>
          </w:p>
        </w:tc>
        <w:tc>
          <w:tcPr>
            <w:tcW w:w="714" w:type="dxa"/>
            <w:shd w:val="clear" w:color="auto" w:fill="auto"/>
            <w:noWrap/>
            <w:vAlign w:val="center"/>
            <w:hideMark/>
          </w:tcPr>
          <w:p w14:paraId="4F9B5CF3" w14:textId="03D0AF47" w:rsidR="00126177" w:rsidRPr="00005453" w:rsidRDefault="00126177" w:rsidP="00126177">
            <w:pPr>
              <w:jc w:val="right"/>
              <w:rPr>
                <w:b/>
                <w:bCs/>
                <w:color w:val="000000"/>
                <w:sz w:val="14"/>
                <w:szCs w:val="14"/>
                <w:lang w:eastAsia="tr-TR"/>
              </w:rPr>
            </w:pPr>
            <w:r w:rsidRPr="00005453">
              <w:rPr>
                <w:b/>
                <w:color w:val="000000"/>
                <w:sz w:val="14"/>
                <w:szCs w:val="14"/>
              </w:rPr>
              <w:t>-</w:t>
            </w:r>
          </w:p>
        </w:tc>
        <w:tc>
          <w:tcPr>
            <w:tcW w:w="851" w:type="dxa"/>
            <w:shd w:val="clear" w:color="auto" w:fill="auto"/>
            <w:noWrap/>
            <w:vAlign w:val="center"/>
            <w:hideMark/>
          </w:tcPr>
          <w:p w14:paraId="1649BA3C" w14:textId="77E0F368" w:rsidR="00126177" w:rsidRPr="00005453" w:rsidRDefault="00126177" w:rsidP="00126177">
            <w:pPr>
              <w:jc w:val="right"/>
              <w:rPr>
                <w:b/>
                <w:bCs/>
                <w:color w:val="000000"/>
                <w:sz w:val="14"/>
                <w:szCs w:val="14"/>
                <w:lang w:eastAsia="tr-TR"/>
              </w:rPr>
            </w:pPr>
            <w:r w:rsidRPr="00005453">
              <w:rPr>
                <w:b/>
                <w:color w:val="000000"/>
                <w:sz w:val="14"/>
                <w:szCs w:val="14"/>
              </w:rPr>
              <w:t>777,934</w:t>
            </w:r>
          </w:p>
        </w:tc>
        <w:tc>
          <w:tcPr>
            <w:tcW w:w="595" w:type="dxa"/>
            <w:shd w:val="clear" w:color="auto" w:fill="auto"/>
            <w:noWrap/>
            <w:vAlign w:val="center"/>
            <w:hideMark/>
          </w:tcPr>
          <w:p w14:paraId="257A4F1D" w14:textId="0BE6DAF7" w:rsidR="00126177" w:rsidRPr="00005453" w:rsidRDefault="00126177" w:rsidP="00126177">
            <w:pPr>
              <w:jc w:val="right"/>
              <w:rPr>
                <w:b/>
                <w:bCs/>
                <w:color w:val="000000"/>
                <w:sz w:val="14"/>
                <w:szCs w:val="14"/>
                <w:lang w:eastAsia="tr-TR"/>
              </w:rPr>
            </w:pPr>
            <w:r w:rsidRPr="00005453">
              <w:rPr>
                <w:b/>
                <w:color w:val="000000"/>
                <w:sz w:val="14"/>
                <w:szCs w:val="14"/>
              </w:rPr>
              <w:t>621,600</w:t>
            </w:r>
          </w:p>
        </w:tc>
        <w:tc>
          <w:tcPr>
            <w:tcW w:w="851" w:type="dxa"/>
            <w:shd w:val="clear" w:color="auto" w:fill="auto"/>
            <w:noWrap/>
            <w:vAlign w:val="center"/>
            <w:hideMark/>
          </w:tcPr>
          <w:p w14:paraId="6039D1AB" w14:textId="326AE4B6" w:rsidR="00126177" w:rsidRPr="00005453" w:rsidRDefault="00126177" w:rsidP="00126177">
            <w:pPr>
              <w:jc w:val="right"/>
              <w:rPr>
                <w:b/>
                <w:bCs/>
                <w:color w:val="000000"/>
                <w:sz w:val="14"/>
                <w:szCs w:val="14"/>
                <w:lang w:eastAsia="tr-TR"/>
              </w:rPr>
            </w:pPr>
            <w:r w:rsidRPr="00005453">
              <w:rPr>
                <w:b/>
                <w:color w:val="000000"/>
                <w:sz w:val="14"/>
                <w:szCs w:val="14"/>
              </w:rPr>
              <w:t>29,315</w:t>
            </w:r>
          </w:p>
        </w:tc>
        <w:tc>
          <w:tcPr>
            <w:tcW w:w="850" w:type="dxa"/>
            <w:shd w:val="clear" w:color="auto" w:fill="auto"/>
            <w:noWrap/>
            <w:vAlign w:val="center"/>
            <w:hideMark/>
          </w:tcPr>
          <w:p w14:paraId="252D6790" w14:textId="49D4EFAF" w:rsidR="00126177" w:rsidRPr="00005453" w:rsidRDefault="00126177" w:rsidP="00126177">
            <w:pPr>
              <w:jc w:val="right"/>
              <w:rPr>
                <w:b/>
                <w:bCs/>
                <w:color w:val="000000"/>
                <w:sz w:val="14"/>
                <w:szCs w:val="14"/>
                <w:lang w:eastAsia="tr-TR"/>
              </w:rPr>
            </w:pPr>
            <w:r w:rsidRPr="00005453">
              <w:rPr>
                <w:b/>
                <w:color w:val="000000"/>
                <w:sz w:val="14"/>
                <w:szCs w:val="14"/>
              </w:rPr>
              <w:t>492,473</w:t>
            </w:r>
          </w:p>
        </w:tc>
        <w:tc>
          <w:tcPr>
            <w:tcW w:w="822" w:type="dxa"/>
            <w:shd w:val="clear" w:color="auto" w:fill="auto"/>
            <w:noWrap/>
            <w:vAlign w:val="center"/>
            <w:hideMark/>
          </w:tcPr>
          <w:p w14:paraId="59EABC01" w14:textId="08FBF70D" w:rsidR="00126177" w:rsidRPr="00005453" w:rsidRDefault="00126177" w:rsidP="00126177">
            <w:pPr>
              <w:jc w:val="right"/>
              <w:rPr>
                <w:b/>
                <w:bCs/>
                <w:color w:val="000000"/>
                <w:sz w:val="14"/>
                <w:szCs w:val="14"/>
                <w:lang w:eastAsia="tr-TR"/>
              </w:rPr>
            </w:pPr>
            <w:r w:rsidRPr="00005453">
              <w:rPr>
                <w:b/>
                <w:color w:val="000000"/>
                <w:sz w:val="14"/>
                <w:szCs w:val="14"/>
              </w:rPr>
              <w:t>-</w:t>
            </w:r>
          </w:p>
        </w:tc>
        <w:tc>
          <w:tcPr>
            <w:tcW w:w="992" w:type="dxa"/>
            <w:shd w:val="clear" w:color="auto" w:fill="auto"/>
            <w:noWrap/>
            <w:vAlign w:val="center"/>
            <w:hideMark/>
          </w:tcPr>
          <w:p w14:paraId="1D3B5126" w14:textId="45416578" w:rsidR="00126177" w:rsidRPr="00005453" w:rsidRDefault="00126177" w:rsidP="00126177">
            <w:pPr>
              <w:jc w:val="right"/>
              <w:rPr>
                <w:b/>
                <w:bCs/>
                <w:color w:val="000000"/>
                <w:sz w:val="14"/>
                <w:szCs w:val="14"/>
                <w:lang w:eastAsia="tr-TR"/>
              </w:rPr>
            </w:pPr>
            <w:r w:rsidRPr="00005453">
              <w:rPr>
                <w:b/>
                <w:color w:val="000000"/>
                <w:sz w:val="14"/>
                <w:szCs w:val="14"/>
              </w:rPr>
              <w:t>-</w:t>
            </w:r>
          </w:p>
        </w:tc>
        <w:tc>
          <w:tcPr>
            <w:tcW w:w="817" w:type="dxa"/>
            <w:shd w:val="clear" w:color="000000" w:fill="FFFFFF"/>
            <w:noWrap/>
            <w:vAlign w:val="center"/>
            <w:hideMark/>
          </w:tcPr>
          <w:p w14:paraId="07A4F008" w14:textId="78DE8BD3" w:rsidR="00126177" w:rsidRPr="00005453" w:rsidRDefault="00126177" w:rsidP="00126177">
            <w:pPr>
              <w:jc w:val="right"/>
              <w:rPr>
                <w:b/>
                <w:bCs/>
                <w:color w:val="000000"/>
                <w:sz w:val="14"/>
                <w:szCs w:val="14"/>
                <w:lang w:eastAsia="tr-TR"/>
              </w:rPr>
            </w:pPr>
            <w:r w:rsidRPr="00005453">
              <w:rPr>
                <w:b/>
                <w:color w:val="000000"/>
                <w:sz w:val="14"/>
                <w:szCs w:val="14"/>
              </w:rPr>
              <w:t>-</w:t>
            </w:r>
          </w:p>
        </w:tc>
        <w:tc>
          <w:tcPr>
            <w:tcW w:w="1451" w:type="dxa"/>
            <w:shd w:val="clear" w:color="auto" w:fill="auto"/>
            <w:noWrap/>
            <w:vAlign w:val="center"/>
            <w:hideMark/>
          </w:tcPr>
          <w:p w14:paraId="5D99127C" w14:textId="0CA718B0" w:rsidR="00126177" w:rsidRPr="00005453" w:rsidRDefault="00126177" w:rsidP="00126177">
            <w:pPr>
              <w:jc w:val="right"/>
              <w:rPr>
                <w:b/>
                <w:bCs/>
                <w:color w:val="000000"/>
                <w:sz w:val="14"/>
                <w:szCs w:val="14"/>
                <w:lang w:eastAsia="tr-TR"/>
              </w:rPr>
            </w:pPr>
            <w:r w:rsidRPr="00005453">
              <w:rPr>
                <w:b/>
                <w:color w:val="000000"/>
                <w:sz w:val="14"/>
                <w:szCs w:val="14"/>
              </w:rPr>
              <w:t>980,846</w:t>
            </w:r>
          </w:p>
        </w:tc>
      </w:tr>
    </w:tbl>
    <w:p w14:paraId="20379969" w14:textId="1C0EECCF" w:rsidR="009F1C77" w:rsidRPr="00005453" w:rsidRDefault="009F1C77" w:rsidP="00606AD8">
      <w:pPr>
        <w:jc w:val="both"/>
        <w:rPr>
          <w:color w:val="000000"/>
          <w:sz w:val="13"/>
          <w:szCs w:val="13"/>
          <w:lang w:eastAsia="tr-TR"/>
        </w:rPr>
      </w:pPr>
    </w:p>
    <w:p w14:paraId="5E7E90DF" w14:textId="411492A0" w:rsidR="009F1C77" w:rsidRPr="00005453" w:rsidRDefault="009F1C77" w:rsidP="009F1C77">
      <w:pPr>
        <w:jc w:val="both"/>
        <w:rPr>
          <w:color w:val="000000"/>
          <w:sz w:val="13"/>
          <w:szCs w:val="13"/>
        </w:rPr>
      </w:pPr>
      <w:r w:rsidRPr="00005453">
        <w:rPr>
          <w:color w:val="000000"/>
          <w:sz w:val="13"/>
          <w:szCs w:val="13"/>
        </w:rPr>
        <w:t>*</w:t>
      </w:r>
      <w:r w:rsidRPr="00005453">
        <w:rPr>
          <w:color w:val="000000"/>
          <w:sz w:val="13"/>
          <w:szCs w:val="13"/>
        </w:rPr>
        <w:tab/>
        <w:t>Toplam kredi riski: Karşı taraf kredi riski ölçüm teknikleri uygulandıktan sonra sermaye yeterliliği hesaplamasıyla ilgili olan tutar.</w:t>
      </w:r>
    </w:p>
    <w:p w14:paraId="6DF39C23" w14:textId="68928E01" w:rsidR="009F1C77" w:rsidRPr="00005453" w:rsidRDefault="009F1C77" w:rsidP="009F1C77">
      <w:pPr>
        <w:jc w:val="both"/>
        <w:rPr>
          <w:color w:val="000000"/>
          <w:sz w:val="13"/>
          <w:szCs w:val="13"/>
          <w:lang w:eastAsia="tr-TR"/>
        </w:rPr>
      </w:pPr>
      <w:r w:rsidRPr="00005453">
        <w:rPr>
          <w:color w:val="000000"/>
          <w:sz w:val="13"/>
          <w:szCs w:val="13"/>
          <w:lang w:eastAsia="tr-TR"/>
        </w:rPr>
        <w:t>**</w:t>
      </w:r>
      <w:r w:rsidRPr="00005453">
        <w:rPr>
          <w:color w:val="000000"/>
          <w:sz w:val="13"/>
          <w:szCs w:val="13"/>
          <w:lang w:eastAsia="tr-TR"/>
        </w:rPr>
        <w:tab/>
        <w:t>%35 Risk Ağırlığı Diğerleri kısmında sınıflandırılmıştır.</w:t>
      </w:r>
    </w:p>
    <w:p w14:paraId="64A45B85" w14:textId="61F9856F" w:rsidR="009F1C77" w:rsidRPr="00005453" w:rsidRDefault="009F1C77" w:rsidP="00606AD8">
      <w:pPr>
        <w:jc w:val="both"/>
        <w:rPr>
          <w:color w:val="000000"/>
          <w:sz w:val="13"/>
          <w:szCs w:val="13"/>
          <w:lang w:eastAsia="tr-TR"/>
        </w:rPr>
        <w:sectPr w:rsidR="009F1C77" w:rsidRPr="00005453" w:rsidSect="005100FA">
          <w:pgSz w:w="16838" w:h="11906" w:orient="landscape"/>
          <w:pgMar w:top="1440" w:right="1387" w:bottom="992" w:left="992" w:header="709" w:footer="709" w:gutter="0"/>
          <w:cols w:space="708"/>
          <w:docGrid w:linePitch="360"/>
        </w:sectPr>
      </w:pPr>
    </w:p>
    <w:p w14:paraId="76753814" w14:textId="77777777" w:rsidR="00343ADD" w:rsidRPr="00005453" w:rsidRDefault="00343ADD" w:rsidP="00343ADD">
      <w:pPr>
        <w:tabs>
          <w:tab w:val="left" w:pos="709"/>
        </w:tabs>
        <w:ind w:hanging="567"/>
        <w:rPr>
          <w:b/>
        </w:rPr>
      </w:pPr>
      <w:r w:rsidRPr="00005453">
        <w:rPr>
          <w:b/>
        </w:rPr>
        <w:lastRenderedPageBreak/>
        <w:t>11.</w:t>
      </w:r>
      <w:r w:rsidRPr="00005453">
        <w:rPr>
          <w:b/>
        </w:rPr>
        <w:tab/>
        <w:t>Menkul kıymetleştirme pozisyonları</w:t>
      </w:r>
    </w:p>
    <w:p w14:paraId="09F558F8" w14:textId="77777777" w:rsidR="00343ADD" w:rsidRPr="00005453" w:rsidRDefault="00343ADD" w:rsidP="00343ADD">
      <w:pPr>
        <w:rPr>
          <w:rFonts w:eastAsia="Arial Unicode MS"/>
          <w:b/>
          <w:sz w:val="16"/>
          <w:szCs w:val="16"/>
        </w:rPr>
      </w:pPr>
    </w:p>
    <w:p w14:paraId="2462E5C2" w14:textId="77777777" w:rsidR="00343ADD" w:rsidRPr="00005453" w:rsidRDefault="00343ADD" w:rsidP="00343ADD">
      <w:pPr>
        <w:rPr>
          <w:rFonts w:eastAsia="Arial Unicode MS"/>
        </w:rPr>
      </w:pPr>
      <w:r w:rsidRPr="00005453">
        <w:rPr>
          <w:rFonts w:eastAsia="Arial Unicode MS"/>
        </w:rPr>
        <w:t>Bulunmamaktadır.</w:t>
      </w:r>
    </w:p>
    <w:p w14:paraId="0114F7C8" w14:textId="77777777" w:rsidR="00343ADD" w:rsidRPr="00005453" w:rsidRDefault="00343ADD" w:rsidP="00343ADD">
      <w:pPr>
        <w:tabs>
          <w:tab w:val="left" w:pos="709"/>
        </w:tabs>
        <w:rPr>
          <w:b/>
          <w:sz w:val="16"/>
          <w:szCs w:val="16"/>
        </w:rPr>
      </w:pPr>
    </w:p>
    <w:p w14:paraId="1C725EE4" w14:textId="77777777" w:rsidR="00343ADD" w:rsidRPr="00005453" w:rsidRDefault="00343ADD" w:rsidP="00343ADD">
      <w:pPr>
        <w:tabs>
          <w:tab w:val="left" w:pos="709"/>
        </w:tabs>
        <w:ind w:hanging="567"/>
        <w:rPr>
          <w:rFonts w:eastAsia="Arial Unicode MS"/>
          <w:b/>
        </w:rPr>
      </w:pPr>
      <w:r w:rsidRPr="00005453">
        <w:rPr>
          <w:b/>
        </w:rPr>
        <w:t>12.</w:t>
      </w:r>
      <w:r w:rsidRPr="00005453">
        <w:rPr>
          <w:b/>
        </w:rPr>
        <w:tab/>
        <w:t>Başkaları nam ve hesabına yapılan işlemler, inanca dayalı işlemler</w:t>
      </w:r>
    </w:p>
    <w:p w14:paraId="6AAF2340" w14:textId="77777777" w:rsidR="00343ADD" w:rsidRPr="00005453" w:rsidRDefault="00343ADD" w:rsidP="00343ADD">
      <w:pPr>
        <w:autoSpaceDE w:val="0"/>
        <w:autoSpaceDN w:val="0"/>
        <w:adjustRightInd w:val="0"/>
        <w:spacing w:line="216" w:lineRule="auto"/>
        <w:ind w:hanging="720"/>
        <w:rPr>
          <w:b/>
          <w:sz w:val="16"/>
          <w:szCs w:val="16"/>
        </w:rPr>
      </w:pPr>
    </w:p>
    <w:p w14:paraId="378D702D" w14:textId="74F09525" w:rsidR="00D939D2" w:rsidRPr="00005453" w:rsidRDefault="00343ADD" w:rsidP="00F20AF5">
      <w:pPr>
        <w:tabs>
          <w:tab w:val="left" w:pos="709"/>
        </w:tabs>
        <w:autoSpaceDE w:val="0"/>
        <w:autoSpaceDN w:val="0"/>
        <w:adjustRightInd w:val="0"/>
        <w:spacing w:line="216" w:lineRule="auto"/>
        <w:ind w:hanging="567"/>
        <w:jc w:val="both"/>
      </w:pPr>
      <w:r w:rsidRPr="00005453">
        <w:rPr>
          <w:b/>
        </w:rPr>
        <w:tab/>
      </w:r>
      <w:r w:rsidRPr="00005453">
        <w:t>Banka müşterilerinin nam ve hesabına alım, satım, saklama, fon yönetimi hizmetleri vermemektedir. Banka inanca dayalı işlem sözleşmeleri yapmamaktadır</w:t>
      </w:r>
    </w:p>
    <w:p w14:paraId="4C969305" w14:textId="77777777" w:rsidR="00343ADD" w:rsidRPr="00005453" w:rsidRDefault="00343ADD" w:rsidP="00343ADD">
      <w:pPr>
        <w:tabs>
          <w:tab w:val="left" w:pos="709"/>
        </w:tabs>
        <w:autoSpaceDE w:val="0"/>
        <w:autoSpaceDN w:val="0"/>
        <w:adjustRightInd w:val="0"/>
        <w:spacing w:line="216" w:lineRule="auto"/>
        <w:ind w:hanging="567"/>
        <w:rPr>
          <w:b/>
        </w:rPr>
      </w:pPr>
    </w:p>
    <w:p w14:paraId="05CE4405" w14:textId="238063F1" w:rsidR="002656B0" w:rsidRPr="00005453" w:rsidRDefault="002656B0" w:rsidP="002656B0">
      <w:pPr>
        <w:tabs>
          <w:tab w:val="left" w:pos="709"/>
        </w:tabs>
        <w:autoSpaceDE w:val="0"/>
        <w:autoSpaceDN w:val="0"/>
        <w:adjustRightInd w:val="0"/>
        <w:spacing w:line="216" w:lineRule="auto"/>
        <w:ind w:hanging="567"/>
        <w:rPr>
          <w:rFonts w:eastAsia="Arial Unicode MS"/>
          <w:b/>
        </w:rPr>
      </w:pPr>
      <w:r w:rsidRPr="00005453">
        <w:rPr>
          <w:b/>
        </w:rPr>
        <w:t xml:space="preserve">13. </w:t>
      </w:r>
      <w:r w:rsidRPr="00005453">
        <w:rPr>
          <w:b/>
        </w:rPr>
        <w:tab/>
      </w:r>
      <w:r w:rsidRPr="00005453">
        <w:rPr>
          <w:rFonts w:eastAsia="Arial Unicode MS"/>
          <w:b/>
        </w:rPr>
        <w:t>Piyasa riskiyle ilgili açıklanacak niteliksel bilgiler</w:t>
      </w:r>
    </w:p>
    <w:p w14:paraId="55141742" w14:textId="77777777" w:rsidR="002656B0" w:rsidRPr="00005453" w:rsidRDefault="002656B0" w:rsidP="002656B0">
      <w:pPr>
        <w:tabs>
          <w:tab w:val="left" w:pos="709"/>
        </w:tabs>
        <w:autoSpaceDE w:val="0"/>
        <w:autoSpaceDN w:val="0"/>
        <w:adjustRightInd w:val="0"/>
        <w:spacing w:line="216" w:lineRule="auto"/>
        <w:ind w:hanging="567"/>
        <w:rPr>
          <w:rFonts w:eastAsia="Arial Unicode MS"/>
          <w:b/>
        </w:rPr>
      </w:pPr>
    </w:p>
    <w:p w14:paraId="7ECD1597" w14:textId="475462BB" w:rsidR="002656B0" w:rsidRPr="00005453" w:rsidRDefault="002656B0" w:rsidP="002656B0">
      <w:pPr>
        <w:spacing w:line="259" w:lineRule="auto"/>
        <w:ind w:hanging="567"/>
        <w:jc w:val="both"/>
        <w:rPr>
          <w:rFonts w:eastAsia="Calibri"/>
          <w:b/>
        </w:rPr>
      </w:pPr>
      <w:r w:rsidRPr="00005453">
        <w:rPr>
          <w:b/>
        </w:rPr>
        <w:t>13</w:t>
      </w:r>
      <w:r w:rsidRPr="00005453">
        <w:rPr>
          <w:rFonts w:eastAsia="Arial Unicode MS"/>
          <w:b/>
        </w:rPr>
        <w:t>.1.</w:t>
      </w:r>
      <w:r w:rsidRPr="00005453">
        <w:rPr>
          <w:rFonts w:eastAsia="Calibri"/>
          <w:b/>
          <w:sz w:val="22"/>
          <w:szCs w:val="22"/>
        </w:rPr>
        <w:t xml:space="preserve">   </w:t>
      </w:r>
      <w:r w:rsidR="00526D05" w:rsidRPr="00005453">
        <w:rPr>
          <w:rFonts w:eastAsia="Calibri"/>
          <w:b/>
        </w:rPr>
        <w:t xml:space="preserve">Banka’nın </w:t>
      </w:r>
      <w:r w:rsidRPr="00005453">
        <w:rPr>
          <w:rFonts w:eastAsia="Calibri"/>
          <w:b/>
        </w:rPr>
        <w:t>süreç ve stratejileri</w:t>
      </w:r>
    </w:p>
    <w:p w14:paraId="1CC24129" w14:textId="77777777" w:rsidR="002656B0" w:rsidRPr="00005453" w:rsidRDefault="002656B0" w:rsidP="002656B0">
      <w:pPr>
        <w:spacing w:line="259" w:lineRule="auto"/>
        <w:ind w:hanging="567"/>
        <w:jc w:val="both"/>
        <w:rPr>
          <w:rFonts w:eastAsia="Calibri"/>
          <w:b/>
        </w:rPr>
      </w:pPr>
    </w:p>
    <w:p w14:paraId="634A8CBF" w14:textId="26018255" w:rsidR="002656B0" w:rsidRPr="00005453" w:rsidRDefault="002656B0" w:rsidP="002656B0">
      <w:pPr>
        <w:spacing w:line="259" w:lineRule="auto"/>
        <w:jc w:val="both"/>
        <w:rPr>
          <w:rFonts w:eastAsia="Calibri"/>
        </w:rPr>
      </w:pPr>
      <w:bookmarkStart w:id="65" w:name="_Hlk188002943"/>
      <w:proofErr w:type="gramStart"/>
      <w:r w:rsidRPr="00005453">
        <w:rPr>
          <w:rFonts w:eastAsia="Calibri"/>
        </w:rPr>
        <w:t>Banka’nın  piyasa</w:t>
      </w:r>
      <w:proofErr w:type="gramEnd"/>
      <w:r w:rsidRPr="00005453">
        <w:rPr>
          <w:rFonts w:eastAsia="Calibri"/>
        </w:rPr>
        <w:t xml:space="preserve">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00526D05" w:rsidRPr="00005453">
        <w:rPr>
          <w:rFonts w:eastAsia="Arial Unicode MS"/>
        </w:rPr>
        <w:t>Banka’nın</w:t>
      </w:r>
      <w:r w:rsidR="00526D05" w:rsidRPr="00005453">
        <w:rPr>
          <w:rFonts w:eastAsia="Calibri"/>
        </w:rPr>
        <w:t xml:space="preserve"> </w:t>
      </w:r>
      <w:r w:rsidRPr="00005453">
        <w:rPr>
          <w:rFonts w:eastAsia="Calibri"/>
        </w:rPr>
        <w:t>alım satım faaliyetlerine yönelik stratejik hedeflerine ilişkin açıklama yapılır.</w:t>
      </w:r>
    </w:p>
    <w:p w14:paraId="3E0666D6" w14:textId="77777777" w:rsidR="002656B0" w:rsidRPr="00005453" w:rsidRDefault="002656B0" w:rsidP="002656B0">
      <w:pPr>
        <w:spacing w:line="259" w:lineRule="auto"/>
        <w:jc w:val="both"/>
        <w:rPr>
          <w:rFonts w:eastAsia="Calibri"/>
          <w:sz w:val="16"/>
          <w:szCs w:val="16"/>
        </w:rPr>
      </w:pPr>
    </w:p>
    <w:p w14:paraId="16A3E55A" w14:textId="3FDF3E18" w:rsidR="002656B0" w:rsidRPr="00005453" w:rsidRDefault="002656B0" w:rsidP="002656B0">
      <w:pPr>
        <w:spacing w:line="259" w:lineRule="auto"/>
        <w:jc w:val="both"/>
        <w:rPr>
          <w:rFonts w:eastAsia="Calibri"/>
        </w:rPr>
      </w:pPr>
      <w:r w:rsidRPr="00005453">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Banka Risk Yönetimi Başkanlığı tarafından yürütülmektedir.</w:t>
      </w:r>
    </w:p>
    <w:p w14:paraId="28A27DB8" w14:textId="77777777" w:rsidR="002656B0" w:rsidRPr="00005453" w:rsidRDefault="002656B0" w:rsidP="002656B0">
      <w:pPr>
        <w:spacing w:line="259" w:lineRule="auto"/>
        <w:jc w:val="both"/>
        <w:rPr>
          <w:rFonts w:eastAsia="Calibri"/>
          <w:sz w:val="16"/>
          <w:szCs w:val="16"/>
        </w:rPr>
      </w:pPr>
    </w:p>
    <w:p w14:paraId="7CBDD561" w14:textId="16678038" w:rsidR="002656B0" w:rsidRPr="00005453" w:rsidRDefault="002656B0" w:rsidP="002656B0">
      <w:pPr>
        <w:spacing w:line="259" w:lineRule="auto"/>
        <w:jc w:val="both"/>
        <w:rPr>
          <w:rFonts w:eastAsia="Calibri"/>
        </w:rPr>
      </w:pPr>
      <w:r w:rsidRPr="00005453">
        <w:rPr>
          <w:rFonts w:eastAsia="Calibri"/>
        </w:rPr>
        <w:t xml:space="preserve">Birinci yapısal blok kapsamında, piyasa riskinin tanımı mevzuatla yapılmıştır. Piyasa riskinin birinci yapısal blok kapsamına girmeyen unsurları içsel olarak değerlendirilmektedir. Bu süreç Risk Yönetimi Başkanlığı </w:t>
      </w:r>
      <w:proofErr w:type="gramStart"/>
      <w:r w:rsidRPr="00005453">
        <w:rPr>
          <w:rFonts w:eastAsia="Calibri"/>
        </w:rPr>
        <w:t xml:space="preserve">tarafından </w:t>
      </w:r>
      <w:r w:rsidR="004738AC">
        <w:rPr>
          <w:rFonts w:eastAsia="Calibri"/>
        </w:rPr>
        <w:t>,</w:t>
      </w:r>
      <w:r w:rsidRPr="00005453">
        <w:rPr>
          <w:rFonts w:eastAsia="Calibri"/>
        </w:rPr>
        <w:t>yürütülmekte</w:t>
      </w:r>
      <w:proofErr w:type="gramEnd"/>
      <w:r w:rsidRPr="00005453">
        <w:rPr>
          <w:rFonts w:eastAsia="Calibri"/>
        </w:rPr>
        <w:t>, ilgili diğer birimlerden görüş alınmaktadır.</w:t>
      </w:r>
    </w:p>
    <w:p w14:paraId="19AFECC4" w14:textId="77777777" w:rsidR="002656B0" w:rsidRPr="00005453" w:rsidRDefault="002656B0" w:rsidP="002656B0">
      <w:pPr>
        <w:spacing w:line="259" w:lineRule="auto"/>
        <w:jc w:val="both"/>
        <w:rPr>
          <w:rFonts w:eastAsia="Calibri"/>
          <w:sz w:val="16"/>
          <w:szCs w:val="16"/>
        </w:rPr>
      </w:pPr>
    </w:p>
    <w:p w14:paraId="0D1ADEDE" w14:textId="77777777" w:rsidR="002656B0" w:rsidRPr="00005453" w:rsidRDefault="002656B0" w:rsidP="002656B0">
      <w:pPr>
        <w:spacing w:line="259" w:lineRule="auto"/>
        <w:jc w:val="both"/>
        <w:rPr>
          <w:rFonts w:eastAsia="Calibri"/>
        </w:rPr>
      </w:pPr>
      <w:r w:rsidRPr="00005453">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5AE49EF2" w14:textId="77777777" w:rsidR="002656B0" w:rsidRPr="00005453" w:rsidRDefault="002656B0" w:rsidP="002656B0">
      <w:pPr>
        <w:spacing w:line="259" w:lineRule="auto"/>
        <w:jc w:val="both"/>
        <w:rPr>
          <w:rFonts w:eastAsia="Calibri"/>
          <w:sz w:val="16"/>
          <w:szCs w:val="16"/>
        </w:rPr>
      </w:pPr>
    </w:p>
    <w:p w14:paraId="0FB2A1E1" w14:textId="57EEC53E" w:rsidR="002656B0" w:rsidRPr="00005453" w:rsidRDefault="002656B0" w:rsidP="002656B0">
      <w:pPr>
        <w:spacing w:line="259" w:lineRule="auto"/>
        <w:jc w:val="both"/>
        <w:rPr>
          <w:rFonts w:eastAsia="Calibri"/>
        </w:rPr>
      </w:pPr>
      <w:r w:rsidRPr="00005453">
        <w:rPr>
          <w:rFonts w:eastAsia="Calibri"/>
        </w:rPr>
        <w:t xml:space="preserve">Banka’nın maruz kaldığı piyasa riskinin, yasal mevzuatın ön gördüğü limitler dahilinde ve </w:t>
      </w:r>
      <w:r w:rsidR="00526D05" w:rsidRPr="00005453">
        <w:rPr>
          <w:rFonts w:eastAsia="Arial Unicode MS"/>
        </w:rPr>
        <w:t>Banka’nın</w:t>
      </w:r>
      <w:r w:rsidR="00526D05" w:rsidRPr="00005453">
        <w:rPr>
          <w:rFonts w:eastAsia="Calibri"/>
        </w:rPr>
        <w:t xml:space="preserve"> </w:t>
      </w:r>
      <w:r w:rsidRPr="00005453">
        <w:rPr>
          <w:rFonts w:eastAsia="Calibri"/>
        </w:rPr>
        <w:t>risk iştahına uygun olması birincil önceliktir.</w:t>
      </w:r>
      <w:r w:rsidR="00721982" w:rsidRPr="00005453">
        <w:rPr>
          <w:rFonts w:eastAsia="Calibri"/>
        </w:rPr>
        <w:t xml:space="preserve"> </w:t>
      </w:r>
      <w:r w:rsidRPr="00005453">
        <w:rPr>
          <w:rFonts w:eastAsia="Calibri"/>
        </w:rPr>
        <w:t>Bu bağlamda, piyasa riski</w:t>
      </w:r>
      <w:r w:rsidR="00721982" w:rsidRPr="00005453">
        <w:rPr>
          <w:rFonts w:eastAsia="Calibri"/>
        </w:rPr>
        <w:t xml:space="preserve"> </w:t>
      </w:r>
      <w:r w:rsidRPr="00005453">
        <w:rPr>
          <w:rFonts w:eastAsia="Calibri"/>
        </w:rPr>
        <w:t>dönemsel olarak ölçülmekte, izlenmekte ve raporlanmaktadır.</w:t>
      </w:r>
    </w:p>
    <w:p w14:paraId="52F8E0CC" w14:textId="77777777" w:rsidR="002656B0" w:rsidRPr="00005453" w:rsidRDefault="002656B0" w:rsidP="002656B0">
      <w:pPr>
        <w:spacing w:line="259" w:lineRule="auto"/>
        <w:jc w:val="both"/>
        <w:rPr>
          <w:rFonts w:eastAsia="Calibri"/>
          <w:sz w:val="16"/>
          <w:szCs w:val="16"/>
        </w:rPr>
      </w:pPr>
    </w:p>
    <w:p w14:paraId="30D4C475" w14:textId="77777777" w:rsidR="002656B0" w:rsidRPr="00005453" w:rsidRDefault="002656B0" w:rsidP="002656B0">
      <w:pPr>
        <w:spacing w:line="259" w:lineRule="auto"/>
        <w:jc w:val="both"/>
        <w:rPr>
          <w:rFonts w:eastAsia="Calibri"/>
        </w:rPr>
      </w:pPr>
      <w:r w:rsidRPr="00005453">
        <w:rPr>
          <w:rFonts w:eastAsia="Calibri"/>
        </w:rPr>
        <w:t>Piyasa riskine ilişkin risk limitleri, Ana Ortaklık Banka’nın Risk İştahı Politikası uyarınca oluşturulmaktadır. Söz konusu risk limitleri Yönetim Kurulu tarafından onaylanmakta ve asgari olarak yılda bir kez gözden geçirilmektedir. Limit kullanımları yakından izlenmektedir.</w:t>
      </w:r>
    </w:p>
    <w:p w14:paraId="6D8187E1" w14:textId="77777777" w:rsidR="002656B0" w:rsidRPr="00005453" w:rsidRDefault="002656B0" w:rsidP="002656B0">
      <w:pPr>
        <w:spacing w:line="259" w:lineRule="auto"/>
        <w:jc w:val="both"/>
        <w:rPr>
          <w:rFonts w:eastAsia="Calibri"/>
          <w:sz w:val="16"/>
          <w:szCs w:val="16"/>
        </w:rPr>
      </w:pPr>
    </w:p>
    <w:p w14:paraId="1D46B89A" w14:textId="77777777" w:rsidR="002656B0" w:rsidRPr="00005453" w:rsidRDefault="002656B0" w:rsidP="002656B0">
      <w:pPr>
        <w:spacing w:line="259" w:lineRule="auto"/>
        <w:jc w:val="both"/>
        <w:rPr>
          <w:rFonts w:eastAsia="Calibri"/>
        </w:rPr>
      </w:pPr>
      <w:r w:rsidRPr="00005453">
        <w:rPr>
          <w:rFonts w:eastAsia="Calibri"/>
        </w:rPr>
        <w:t xml:space="preserve">Üstlenilen piyasa riskinin büyüklüğü ve karmaşıklığı ile uyumlu olarak risk azaltım teknikleri ve bunların etkinliğini sağlamaya yönelik kontrollerin uygulanması sağlanmaktadır. </w:t>
      </w:r>
    </w:p>
    <w:p w14:paraId="3D24BB25" w14:textId="77777777" w:rsidR="002656B0" w:rsidRPr="00005453" w:rsidRDefault="002656B0" w:rsidP="002656B0">
      <w:pPr>
        <w:spacing w:line="259" w:lineRule="auto"/>
        <w:jc w:val="both"/>
        <w:rPr>
          <w:rFonts w:eastAsia="Calibri"/>
          <w:sz w:val="16"/>
          <w:szCs w:val="16"/>
        </w:rPr>
      </w:pPr>
    </w:p>
    <w:p w14:paraId="452C540E" w14:textId="2339885B" w:rsidR="002656B0" w:rsidRPr="00005453" w:rsidRDefault="002656B0" w:rsidP="002656B0">
      <w:pPr>
        <w:spacing w:line="259" w:lineRule="auto"/>
        <w:jc w:val="both"/>
        <w:rPr>
          <w:rFonts w:eastAsia="Calibri"/>
        </w:rPr>
      </w:pPr>
      <w:r w:rsidRPr="00005453">
        <w:rPr>
          <w:rFonts w:eastAsia="Calibri"/>
        </w:rPr>
        <w:t>Hazine Grup Müdürlüğü tarafından Banka adına döviz pozisyonu ve nakit akışı takip edilmektedir.</w:t>
      </w:r>
    </w:p>
    <w:p w14:paraId="50A18037" w14:textId="77777777" w:rsidR="002656B0" w:rsidRPr="00005453" w:rsidRDefault="002656B0" w:rsidP="002656B0">
      <w:pPr>
        <w:spacing w:line="259" w:lineRule="auto"/>
        <w:jc w:val="both"/>
        <w:rPr>
          <w:rFonts w:eastAsia="Calibri"/>
          <w:sz w:val="16"/>
          <w:szCs w:val="16"/>
        </w:rPr>
      </w:pPr>
    </w:p>
    <w:p w14:paraId="5EC0A3BB" w14:textId="77777777" w:rsidR="002656B0" w:rsidRPr="00005453" w:rsidRDefault="002656B0" w:rsidP="002656B0">
      <w:pPr>
        <w:spacing w:line="259" w:lineRule="auto"/>
        <w:jc w:val="both"/>
        <w:rPr>
          <w:rFonts w:eastAsia="Calibri"/>
        </w:rPr>
      </w:pPr>
      <w:r w:rsidRPr="00005453">
        <w:rPr>
          <w:rFonts w:eastAsia="Calibri"/>
        </w:rPr>
        <w:t>Ayrıca, yeni ürün ve projeler piyasa riski yönetimi açısından incelenmekte ve gerek görülmesi durumunda uygun iç kontrollerin uygulanması sağlanmaktadır.</w:t>
      </w:r>
    </w:p>
    <w:p w14:paraId="1F563067" w14:textId="77777777" w:rsidR="002656B0" w:rsidRPr="00005453" w:rsidRDefault="002656B0" w:rsidP="002656B0">
      <w:pPr>
        <w:spacing w:line="259" w:lineRule="auto"/>
        <w:jc w:val="both"/>
        <w:rPr>
          <w:rFonts w:eastAsia="Calibri"/>
        </w:rPr>
      </w:pPr>
    </w:p>
    <w:p w14:paraId="488B8F5F" w14:textId="48E06AD0" w:rsidR="002656B0" w:rsidRPr="00005453" w:rsidRDefault="002656B0" w:rsidP="002656B0">
      <w:pPr>
        <w:spacing w:line="259" w:lineRule="auto"/>
        <w:jc w:val="both"/>
        <w:rPr>
          <w:rFonts w:eastAsia="Calibri"/>
        </w:rPr>
      </w:pPr>
      <w:r w:rsidRPr="00005453">
        <w:rPr>
          <w:rFonts w:eastAsia="Calibri"/>
        </w:rPr>
        <w:t>Banka’nın alım satım faaliyetlerine yönelik stratejik hedefleri ise aşağıda verilmiştir.</w:t>
      </w:r>
    </w:p>
    <w:p w14:paraId="2D0812F1" w14:textId="77777777" w:rsidR="002656B0" w:rsidRPr="00005453" w:rsidRDefault="002656B0" w:rsidP="002656B0">
      <w:pPr>
        <w:spacing w:line="259" w:lineRule="auto"/>
        <w:jc w:val="both"/>
        <w:rPr>
          <w:rFonts w:eastAsia="Calibri"/>
          <w:sz w:val="16"/>
          <w:szCs w:val="16"/>
        </w:rPr>
      </w:pPr>
    </w:p>
    <w:p w14:paraId="29CB82D1" w14:textId="01F074FB" w:rsidR="002656B0" w:rsidRPr="00005453" w:rsidRDefault="002656B0" w:rsidP="002656B0">
      <w:pPr>
        <w:numPr>
          <w:ilvl w:val="0"/>
          <w:numId w:val="8"/>
        </w:numPr>
        <w:spacing w:after="160" w:line="259" w:lineRule="auto"/>
        <w:contextualSpacing/>
        <w:jc w:val="both"/>
        <w:rPr>
          <w:rFonts w:eastAsia="Calibri"/>
        </w:rPr>
      </w:pPr>
      <w:r w:rsidRPr="00005453">
        <w:rPr>
          <w:rFonts w:eastAsia="Calibri"/>
        </w:rPr>
        <w:t>Banka’nın kira sertifikaları portföyünün limitler çerçevesinde risk-getiri dengesi gözetilerek optimum seviyede yönetilmesinin sağlanması</w:t>
      </w:r>
    </w:p>
    <w:p w14:paraId="7F66488A" w14:textId="77777777" w:rsidR="002656B0" w:rsidRPr="00005453" w:rsidRDefault="002656B0" w:rsidP="002656B0">
      <w:pPr>
        <w:numPr>
          <w:ilvl w:val="0"/>
          <w:numId w:val="8"/>
        </w:numPr>
        <w:spacing w:after="160" w:line="259" w:lineRule="auto"/>
        <w:contextualSpacing/>
        <w:jc w:val="both"/>
        <w:rPr>
          <w:rFonts w:eastAsia="Calibri"/>
        </w:rPr>
      </w:pPr>
      <w:r w:rsidRPr="00005453">
        <w:rPr>
          <w:rFonts w:eastAsia="Calibri"/>
        </w:rPr>
        <w:t xml:space="preserve">Piyasa gelişmelerine dair ileriye dönük beklentiler ve mevcut piyasa fiyatları çerçevesinde, alım satım fırsatları da gözetilerek alım-satım gerçekleştirilmesi </w:t>
      </w:r>
    </w:p>
    <w:p w14:paraId="11F9D451" w14:textId="2410B8AA" w:rsidR="002656B0" w:rsidRPr="00005453" w:rsidRDefault="002656B0" w:rsidP="002656B0">
      <w:pPr>
        <w:numPr>
          <w:ilvl w:val="0"/>
          <w:numId w:val="8"/>
        </w:numPr>
        <w:spacing w:after="160" w:line="259" w:lineRule="auto"/>
        <w:contextualSpacing/>
        <w:jc w:val="both"/>
        <w:rPr>
          <w:rFonts w:eastAsia="Calibri"/>
        </w:rPr>
      </w:pPr>
      <w:r w:rsidRPr="00005453">
        <w:rPr>
          <w:rFonts w:eastAsia="Calibri"/>
        </w:rPr>
        <w:t>Banka’nın likiditesinin karlı bir şekilde yönetilebilmesi için alternatif yatırım aracı olarak kira sertifikalarına yönlendirilmesi</w:t>
      </w:r>
    </w:p>
    <w:p w14:paraId="3852D668" w14:textId="3089289A" w:rsidR="002656B0" w:rsidRPr="00005453" w:rsidRDefault="002656B0" w:rsidP="002656B0">
      <w:pPr>
        <w:spacing w:after="160" w:line="259" w:lineRule="auto"/>
        <w:contextualSpacing/>
        <w:jc w:val="both"/>
        <w:rPr>
          <w:rFonts w:eastAsia="Calibri"/>
        </w:rPr>
      </w:pPr>
    </w:p>
    <w:p w14:paraId="375725CE" w14:textId="459E3A66" w:rsidR="002656B0" w:rsidRPr="00005453" w:rsidRDefault="00F20AF5" w:rsidP="00BD1BED">
      <w:pPr>
        <w:ind w:hanging="567"/>
        <w:rPr>
          <w:rFonts w:eastAsia="Calibri"/>
          <w:b/>
        </w:rPr>
      </w:pPr>
      <w:r w:rsidRPr="00005453">
        <w:rPr>
          <w:rFonts w:eastAsia="Calibri"/>
        </w:rPr>
        <w:br w:type="page"/>
      </w:r>
      <w:r w:rsidR="002656B0" w:rsidRPr="00005453">
        <w:rPr>
          <w:b/>
        </w:rPr>
        <w:lastRenderedPageBreak/>
        <w:t>13</w:t>
      </w:r>
      <w:r w:rsidR="002656B0" w:rsidRPr="00005453">
        <w:rPr>
          <w:rFonts w:eastAsia="Calibri"/>
          <w:b/>
        </w:rPr>
        <w:t xml:space="preserve">.2. </w:t>
      </w:r>
      <w:r w:rsidRPr="00005453">
        <w:rPr>
          <w:rFonts w:eastAsia="Calibri"/>
          <w:b/>
        </w:rPr>
        <w:tab/>
      </w:r>
      <w:r w:rsidR="002656B0" w:rsidRPr="00005453">
        <w:rPr>
          <w:rFonts w:eastAsia="Calibri"/>
          <w:b/>
        </w:rPr>
        <w:t>Piyasa riski yönetimi fonksiyonunun organizasyonu ve yapısı</w:t>
      </w:r>
    </w:p>
    <w:p w14:paraId="25522DF3" w14:textId="77777777" w:rsidR="002656B0" w:rsidRPr="00005453" w:rsidRDefault="002656B0" w:rsidP="002656B0">
      <w:pPr>
        <w:spacing w:line="259" w:lineRule="auto"/>
        <w:ind w:hanging="567"/>
        <w:jc w:val="both"/>
        <w:rPr>
          <w:rFonts w:eastAsia="Calibri"/>
          <w:b/>
          <w:sz w:val="16"/>
          <w:szCs w:val="16"/>
        </w:rPr>
      </w:pPr>
      <w:r w:rsidRPr="00005453">
        <w:rPr>
          <w:rFonts w:eastAsia="Calibri"/>
          <w:b/>
        </w:rPr>
        <w:t xml:space="preserve"> </w:t>
      </w:r>
    </w:p>
    <w:p w14:paraId="5CB97C26" w14:textId="6033C0DE" w:rsidR="002656B0" w:rsidRPr="00005453" w:rsidRDefault="003F63E2" w:rsidP="002656B0">
      <w:pPr>
        <w:spacing w:line="259" w:lineRule="auto"/>
        <w:jc w:val="both"/>
        <w:rPr>
          <w:rFonts w:eastAsia="Calibri"/>
        </w:rPr>
      </w:pPr>
      <w:proofErr w:type="gramStart"/>
      <w:r>
        <w:rPr>
          <w:rFonts w:eastAsia="Calibri"/>
        </w:rPr>
        <w:t>baş</w:t>
      </w:r>
      <w:proofErr w:type="gramEnd"/>
      <w:r w:rsidR="002656B0" w:rsidRPr="00005453">
        <w:rPr>
          <w:rFonts w:eastAsia="Calibri"/>
        </w:rPr>
        <w:t>1’in 1. paragrafında bahsedilen Banka’nın strateji ve süreçlerinin uygulanması için kurulan piyasa riski yönetim yapısının tanımı ve piyasa riski yönetimine dahil olan farklı taraflar arasındaki iletişim mekanizması ve ilişkinin tanımlanması.</w:t>
      </w:r>
    </w:p>
    <w:p w14:paraId="52DC9279" w14:textId="77777777" w:rsidR="002656B0" w:rsidRPr="00005453" w:rsidRDefault="002656B0" w:rsidP="002656B0">
      <w:pPr>
        <w:spacing w:line="259" w:lineRule="auto"/>
        <w:jc w:val="both"/>
        <w:rPr>
          <w:rFonts w:eastAsia="Calibri"/>
          <w:sz w:val="16"/>
          <w:szCs w:val="16"/>
        </w:rPr>
      </w:pPr>
    </w:p>
    <w:p w14:paraId="72EC0F89" w14:textId="1E626702" w:rsidR="002656B0" w:rsidRPr="00005453" w:rsidRDefault="002656B0" w:rsidP="002656B0">
      <w:pPr>
        <w:spacing w:line="259" w:lineRule="auto"/>
        <w:jc w:val="both"/>
        <w:rPr>
          <w:rFonts w:eastAsia="Calibri"/>
        </w:rPr>
      </w:pPr>
      <w:r w:rsidRPr="00005453">
        <w:rPr>
          <w:rFonts w:eastAsia="Calibri"/>
        </w:rPr>
        <w:t>Piyasa riski servisi, Risk Yönetimi Başkanlığı içerisinde Piyasa Riski, Operasyonel Risk ve Sermaye Planlamadan sorumlu Başkan Yardımcısı’na bağlı olarak görev yapmaktadır. Bu servis, Risk Komitesi aracılığı ile doğrudan Yönetim Kurulu’na raporlama yapmaktadır. Risk ölçümü ve risk izleme sonuçları ilgili diğer birimlerle paylaşılmaktadır. İçsel Sermaye Yeterliliği Değerlendirme Süreci kapsamında koordine edilen faaliyetler Banka’nın ilgili diğer birimleriyle birlikte yürütülmektedir.</w:t>
      </w:r>
    </w:p>
    <w:p w14:paraId="651CE3F8" w14:textId="77777777" w:rsidR="002656B0" w:rsidRPr="00005453" w:rsidRDefault="002656B0" w:rsidP="002656B0">
      <w:pPr>
        <w:spacing w:line="259" w:lineRule="auto"/>
        <w:jc w:val="both"/>
        <w:rPr>
          <w:rFonts w:eastAsia="Calibri"/>
          <w:sz w:val="16"/>
          <w:szCs w:val="16"/>
        </w:rPr>
      </w:pPr>
    </w:p>
    <w:p w14:paraId="20627BD6" w14:textId="2EB65531" w:rsidR="002656B0" w:rsidRPr="00005453" w:rsidRDefault="002656B0" w:rsidP="002656B0">
      <w:pPr>
        <w:spacing w:line="259" w:lineRule="auto"/>
        <w:ind w:hanging="567"/>
        <w:jc w:val="both"/>
        <w:rPr>
          <w:rFonts w:eastAsia="Calibri"/>
          <w:b/>
        </w:rPr>
      </w:pPr>
      <w:r w:rsidRPr="00005453">
        <w:rPr>
          <w:b/>
        </w:rPr>
        <w:t>13</w:t>
      </w:r>
      <w:r w:rsidRPr="00005453">
        <w:rPr>
          <w:rFonts w:eastAsia="Calibri"/>
          <w:b/>
        </w:rPr>
        <w:t xml:space="preserve">.3. </w:t>
      </w:r>
      <w:r w:rsidR="00F20AF5" w:rsidRPr="00005453">
        <w:rPr>
          <w:rFonts w:eastAsia="Calibri"/>
          <w:b/>
        </w:rPr>
        <w:tab/>
      </w:r>
      <w:r w:rsidRPr="00005453">
        <w:rPr>
          <w:rFonts w:eastAsia="Calibri"/>
          <w:b/>
        </w:rPr>
        <w:t>Risk raporlama ve/veya ölçüm sistemlerinin yapısı ve kapsamı</w:t>
      </w:r>
    </w:p>
    <w:p w14:paraId="7D3572F1" w14:textId="77777777" w:rsidR="002656B0" w:rsidRPr="00005453" w:rsidRDefault="002656B0" w:rsidP="002656B0">
      <w:pPr>
        <w:ind w:hanging="567"/>
        <w:jc w:val="both"/>
        <w:rPr>
          <w:rFonts w:eastAsia="Calibri"/>
          <w:b/>
          <w:sz w:val="16"/>
          <w:szCs w:val="16"/>
        </w:rPr>
      </w:pPr>
    </w:p>
    <w:p w14:paraId="06877C38" w14:textId="55934B86" w:rsidR="002656B0" w:rsidRPr="00005453" w:rsidRDefault="002656B0" w:rsidP="002656B0">
      <w:pPr>
        <w:spacing w:line="259" w:lineRule="auto"/>
        <w:jc w:val="both"/>
        <w:rPr>
          <w:rFonts w:eastAsia="Calibri"/>
        </w:rPr>
      </w:pPr>
      <w:r w:rsidRPr="00005453">
        <w:rPr>
          <w:rFonts w:eastAsia="Calibri"/>
        </w:rPr>
        <w:t>Banka, piyasa riski yönetimi sistemi kapsamında, maruz kalınan piyasa risklerine ilişkin bir raporlama sistemi oluşturmuştur. Piyasa riskine ilişkin risk ölçümü ve risk izleme sonuçları Risk Komitesi’ne düzenli olarak raporlanmaktadır.</w:t>
      </w:r>
    </w:p>
    <w:p w14:paraId="16B51CC7" w14:textId="77777777" w:rsidR="002656B0" w:rsidRPr="00005453" w:rsidRDefault="002656B0" w:rsidP="002656B0">
      <w:pPr>
        <w:jc w:val="both"/>
        <w:rPr>
          <w:rFonts w:eastAsia="Calibri"/>
          <w:sz w:val="16"/>
          <w:szCs w:val="16"/>
        </w:rPr>
      </w:pPr>
    </w:p>
    <w:p w14:paraId="3D1DCD1E" w14:textId="77777777" w:rsidR="002656B0" w:rsidRPr="00005453" w:rsidRDefault="002656B0" w:rsidP="002656B0">
      <w:pPr>
        <w:spacing w:line="259" w:lineRule="auto"/>
        <w:jc w:val="both"/>
        <w:rPr>
          <w:rFonts w:eastAsia="Calibri"/>
        </w:rPr>
      </w:pPr>
      <w:r w:rsidRPr="00005453">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3B52D509" w14:textId="77777777" w:rsidR="002656B0" w:rsidRPr="00005453" w:rsidRDefault="002656B0" w:rsidP="002656B0">
      <w:pPr>
        <w:jc w:val="both"/>
        <w:rPr>
          <w:rFonts w:eastAsia="Calibri"/>
          <w:sz w:val="16"/>
          <w:szCs w:val="16"/>
        </w:rPr>
      </w:pPr>
    </w:p>
    <w:p w14:paraId="73C38BA4" w14:textId="16687413" w:rsidR="002656B0" w:rsidRPr="00005453" w:rsidRDefault="002656B0" w:rsidP="002656B0">
      <w:pPr>
        <w:pStyle w:val="BodyText"/>
        <w:rPr>
          <w:rFonts w:eastAsia="Arial Unicode MS"/>
          <w:color w:val="000000"/>
        </w:rPr>
      </w:pPr>
      <w:r w:rsidRPr="00005453">
        <w:rPr>
          <w:rFonts w:eastAsia="Arial Unicode MS"/>
          <w:color w:val="000000"/>
        </w:rPr>
        <w:t xml:space="preserve">23 Ekim 2015 tarihli ve 29511 sayılı </w:t>
      </w:r>
      <w:proofErr w:type="gramStart"/>
      <w:r w:rsidRPr="00005453">
        <w:rPr>
          <w:rFonts w:eastAsia="Arial Unicode MS"/>
          <w:color w:val="000000"/>
        </w:rPr>
        <w:t>Resmi</w:t>
      </w:r>
      <w:proofErr w:type="gramEnd"/>
      <w:r w:rsidRPr="00005453">
        <w:rPr>
          <w:rFonts w:eastAsia="Arial Unicode MS"/>
          <w:color w:val="000000"/>
        </w:rPr>
        <w:t xml:space="preserve"> Gazete’de yayınlanan “Bankaların Sermaye Yeterliliğinin Ölçülmesine ve Değerlendirilmesine İlişkin Yönetmelik” in üçüncü kısmında yer alan esaslar uyarınca 31 Aralık 202</w:t>
      </w:r>
      <w:r w:rsidR="004F53DE" w:rsidRPr="00005453">
        <w:rPr>
          <w:rFonts w:eastAsia="Arial Unicode MS"/>
          <w:color w:val="000000"/>
        </w:rPr>
        <w:t>4</w:t>
      </w:r>
      <w:r w:rsidRPr="00005453">
        <w:rPr>
          <w:rFonts w:eastAsia="Arial Unicode MS"/>
          <w:color w:val="000000"/>
        </w:rPr>
        <w:t xml:space="preserve"> ve 31 Aralık 202</w:t>
      </w:r>
      <w:r w:rsidR="004F53DE" w:rsidRPr="00005453">
        <w:rPr>
          <w:rFonts w:eastAsia="Arial Unicode MS"/>
          <w:color w:val="000000"/>
        </w:rPr>
        <w:t>3</w:t>
      </w:r>
      <w:r w:rsidRPr="00005453">
        <w:rPr>
          <w:rFonts w:eastAsia="Arial Unicode MS"/>
          <w:color w:val="000000"/>
        </w:rPr>
        <w:t xml:space="preserve"> tarihli </w:t>
      </w:r>
      <w:r w:rsidR="002C78B0" w:rsidRPr="00005453">
        <w:rPr>
          <w:rFonts w:eastAsia="Arial Unicode MS"/>
          <w:color w:val="000000"/>
        </w:rPr>
        <w:t>itibarıyla</w:t>
      </w:r>
      <w:r w:rsidRPr="00005453">
        <w:rPr>
          <w:rFonts w:eastAsia="Arial Unicode MS"/>
          <w:color w:val="000000"/>
        </w:rPr>
        <w:t xml:space="preserve"> hesaplanan piyasa riskinin ayrıntıları aşağıda sunulmuştur:</w:t>
      </w:r>
    </w:p>
    <w:p w14:paraId="0C78766A" w14:textId="2FD0F675" w:rsidR="00FB3FCF" w:rsidRPr="00005453" w:rsidRDefault="00FB3FCF" w:rsidP="00FB3FCF">
      <w:pPr>
        <w:tabs>
          <w:tab w:val="left" w:pos="0"/>
        </w:tabs>
        <w:autoSpaceDE w:val="0"/>
        <w:autoSpaceDN w:val="0"/>
        <w:adjustRightInd w:val="0"/>
        <w:jc w:val="both"/>
        <w:rPr>
          <w:sz w:val="16"/>
          <w:szCs w:val="16"/>
        </w:rPr>
      </w:pPr>
    </w:p>
    <w:p w14:paraId="04637BB5" w14:textId="23EEFF63" w:rsidR="00FB3FCF" w:rsidRPr="00005453" w:rsidRDefault="00FB3FCF" w:rsidP="00FB3FCF">
      <w:pPr>
        <w:pStyle w:val="BodyText"/>
        <w:ind w:hanging="567"/>
        <w:jc w:val="left"/>
        <w:rPr>
          <w:b/>
        </w:rPr>
      </w:pPr>
      <w:r w:rsidRPr="00005453">
        <w:rPr>
          <w:b/>
        </w:rPr>
        <w:t>1</w:t>
      </w:r>
      <w:r w:rsidR="00476292" w:rsidRPr="00005453">
        <w:rPr>
          <w:b/>
        </w:rPr>
        <w:t>3</w:t>
      </w:r>
      <w:r w:rsidRPr="00005453">
        <w:rPr>
          <w:b/>
        </w:rPr>
        <w:t xml:space="preserve">.4. </w:t>
      </w:r>
      <w:r w:rsidR="00F20AF5" w:rsidRPr="00005453">
        <w:rPr>
          <w:b/>
        </w:rPr>
        <w:tab/>
      </w:r>
      <w:r w:rsidRPr="00005453">
        <w:rPr>
          <w:b/>
        </w:rPr>
        <w:t>Standart yaklaşıma göre risk tutarları</w:t>
      </w:r>
    </w:p>
    <w:p w14:paraId="5FA35181" w14:textId="03647CCE" w:rsidR="002656B0" w:rsidRPr="00005453" w:rsidRDefault="002656B0" w:rsidP="00F66130">
      <w:pPr>
        <w:pStyle w:val="BodyText"/>
        <w:ind w:left="540" w:hanging="540"/>
        <w:jc w:val="left"/>
        <w:rPr>
          <w:lang w:val="en-GB" w:eastAsia="en-GB"/>
        </w:rPr>
      </w:pPr>
    </w:p>
    <w:tbl>
      <w:tblPr>
        <w:tblW w:w="9422" w:type="dxa"/>
        <w:tblCellMar>
          <w:left w:w="70" w:type="dxa"/>
          <w:right w:w="70" w:type="dxa"/>
        </w:tblCellMar>
        <w:tblLook w:val="04A0" w:firstRow="1" w:lastRow="0" w:firstColumn="1" w:lastColumn="0" w:noHBand="0" w:noVBand="1"/>
      </w:tblPr>
      <w:tblGrid>
        <w:gridCol w:w="605"/>
        <w:gridCol w:w="5697"/>
        <w:gridCol w:w="1560"/>
        <w:gridCol w:w="1560"/>
      </w:tblGrid>
      <w:tr w:rsidR="002656B0" w:rsidRPr="00005453" w14:paraId="409B3F67" w14:textId="77777777" w:rsidTr="007A44AE">
        <w:trPr>
          <w:divId w:val="1765221520"/>
          <w:trHeight w:val="20"/>
        </w:trPr>
        <w:tc>
          <w:tcPr>
            <w:tcW w:w="605" w:type="dxa"/>
            <w:tcBorders>
              <w:top w:val="nil"/>
              <w:left w:val="nil"/>
              <w:bottom w:val="nil"/>
              <w:right w:val="nil"/>
            </w:tcBorders>
            <w:shd w:val="clear" w:color="auto" w:fill="auto"/>
            <w:noWrap/>
            <w:vAlign w:val="bottom"/>
            <w:hideMark/>
          </w:tcPr>
          <w:p w14:paraId="3EE75883" w14:textId="50D39260" w:rsidR="002656B0" w:rsidRPr="00005453" w:rsidRDefault="002656B0" w:rsidP="002656B0">
            <w:pPr>
              <w:rPr>
                <w:sz w:val="24"/>
                <w:szCs w:val="24"/>
                <w:lang w:eastAsia="tr-TR"/>
              </w:rPr>
            </w:pPr>
          </w:p>
        </w:tc>
        <w:tc>
          <w:tcPr>
            <w:tcW w:w="5697" w:type="dxa"/>
            <w:tcBorders>
              <w:top w:val="nil"/>
              <w:left w:val="nil"/>
              <w:bottom w:val="nil"/>
              <w:right w:val="nil"/>
            </w:tcBorders>
            <w:shd w:val="clear" w:color="auto" w:fill="auto"/>
            <w:noWrap/>
            <w:vAlign w:val="bottom"/>
            <w:hideMark/>
          </w:tcPr>
          <w:p w14:paraId="4C3B7A52" w14:textId="77777777" w:rsidR="002656B0" w:rsidRPr="00005453" w:rsidRDefault="002656B0" w:rsidP="002656B0">
            <w:pPr>
              <w:rPr>
                <w:lang w:eastAsia="tr-TR"/>
              </w:rPr>
            </w:pPr>
          </w:p>
        </w:tc>
        <w:tc>
          <w:tcPr>
            <w:tcW w:w="1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088BD" w14:textId="77777777" w:rsidR="002656B0" w:rsidRPr="00005453" w:rsidRDefault="002656B0" w:rsidP="00614CD2">
            <w:pPr>
              <w:jc w:val="right"/>
              <w:rPr>
                <w:b/>
                <w:bCs/>
                <w:color w:val="000000"/>
                <w:sz w:val="18"/>
                <w:szCs w:val="18"/>
                <w:lang w:eastAsia="tr-TR"/>
              </w:rPr>
            </w:pPr>
            <w:r w:rsidRPr="00005453">
              <w:rPr>
                <w:b/>
                <w:bCs/>
                <w:color w:val="000000"/>
                <w:sz w:val="18"/>
                <w:szCs w:val="18"/>
                <w:lang w:eastAsia="tr-TR"/>
              </w:rPr>
              <w:t>Risk Ağırlıklı Tutarlar</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7B1A722E" w14:textId="77777777" w:rsidR="002656B0" w:rsidRPr="00005453" w:rsidRDefault="002656B0" w:rsidP="00614CD2">
            <w:pPr>
              <w:jc w:val="right"/>
              <w:rPr>
                <w:b/>
                <w:bCs/>
                <w:color w:val="000000"/>
                <w:sz w:val="18"/>
                <w:szCs w:val="18"/>
                <w:lang w:eastAsia="tr-TR"/>
              </w:rPr>
            </w:pPr>
            <w:r w:rsidRPr="00005453">
              <w:rPr>
                <w:b/>
                <w:bCs/>
                <w:color w:val="000000"/>
                <w:sz w:val="18"/>
                <w:szCs w:val="18"/>
                <w:lang w:eastAsia="tr-TR"/>
              </w:rPr>
              <w:t>Risk Ağırlıklı Tutarlar</w:t>
            </w:r>
          </w:p>
        </w:tc>
      </w:tr>
      <w:tr w:rsidR="002656B0" w:rsidRPr="00005453" w14:paraId="3D73CD78" w14:textId="77777777" w:rsidTr="007A44AE">
        <w:trPr>
          <w:divId w:val="1765221520"/>
          <w:trHeight w:val="20"/>
        </w:trPr>
        <w:tc>
          <w:tcPr>
            <w:tcW w:w="6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DC3374" w14:textId="77777777" w:rsidR="002656B0" w:rsidRPr="00005453" w:rsidRDefault="002656B0" w:rsidP="002656B0">
            <w:pPr>
              <w:rPr>
                <w:color w:val="000000"/>
                <w:sz w:val="18"/>
                <w:szCs w:val="18"/>
                <w:lang w:eastAsia="tr-TR"/>
              </w:rPr>
            </w:pPr>
            <w:r w:rsidRPr="00005453">
              <w:rPr>
                <w:color w:val="000000"/>
                <w:sz w:val="18"/>
                <w:szCs w:val="18"/>
                <w:lang w:eastAsia="tr-TR"/>
              </w:rPr>
              <w:t> </w:t>
            </w:r>
          </w:p>
        </w:tc>
        <w:tc>
          <w:tcPr>
            <w:tcW w:w="5697" w:type="dxa"/>
            <w:tcBorders>
              <w:top w:val="single" w:sz="8" w:space="0" w:color="auto"/>
              <w:left w:val="nil"/>
              <w:bottom w:val="single" w:sz="8" w:space="0" w:color="auto"/>
              <w:right w:val="single" w:sz="8" w:space="0" w:color="auto"/>
            </w:tcBorders>
            <w:shd w:val="clear" w:color="auto" w:fill="auto"/>
            <w:noWrap/>
            <w:vAlign w:val="center"/>
            <w:hideMark/>
          </w:tcPr>
          <w:p w14:paraId="00AEA53D" w14:textId="77777777" w:rsidR="002656B0" w:rsidRPr="00005453" w:rsidRDefault="002656B0" w:rsidP="002656B0">
            <w:pPr>
              <w:jc w:val="right"/>
              <w:rPr>
                <w:color w:val="000000"/>
                <w:sz w:val="18"/>
                <w:szCs w:val="18"/>
                <w:lang w:eastAsia="tr-TR"/>
              </w:rPr>
            </w:pPr>
            <w:r w:rsidRPr="00005453">
              <w:rPr>
                <w:color w:val="000000"/>
                <w:sz w:val="18"/>
                <w:szCs w:val="18"/>
                <w:lang w:eastAsia="tr-TR"/>
              </w:rPr>
              <w:t> </w:t>
            </w:r>
          </w:p>
        </w:tc>
        <w:tc>
          <w:tcPr>
            <w:tcW w:w="1560" w:type="dxa"/>
            <w:tcBorders>
              <w:top w:val="nil"/>
              <w:left w:val="nil"/>
              <w:bottom w:val="single" w:sz="8" w:space="0" w:color="auto"/>
              <w:right w:val="single" w:sz="8" w:space="0" w:color="auto"/>
            </w:tcBorders>
            <w:shd w:val="clear" w:color="auto" w:fill="auto"/>
            <w:noWrap/>
            <w:vAlign w:val="center"/>
            <w:hideMark/>
          </w:tcPr>
          <w:p w14:paraId="4705BC33" w14:textId="77777777" w:rsidR="002656B0" w:rsidRPr="00005453" w:rsidRDefault="002656B0" w:rsidP="002656B0">
            <w:pPr>
              <w:jc w:val="right"/>
              <w:rPr>
                <w:b/>
                <w:bCs/>
                <w:color w:val="000000"/>
                <w:sz w:val="18"/>
                <w:szCs w:val="18"/>
                <w:lang w:eastAsia="tr-TR"/>
              </w:rPr>
            </w:pPr>
            <w:r w:rsidRPr="00005453">
              <w:rPr>
                <w:b/>
                <w:bCs/>
                <w:color w:val="000000"/>
                <w:sz w:val="18"/>
                <w:szCs w:val="18"/>
                <w:lang w:eastAsia="tr-TR"/>
              </w:rPr>
              <w:t>Cari Dönem</w:t>
            </w:r>
          </w:p>
        </w:tc>
        <w:tc>
          <w:tcPr>
            <w:tcW w:w="1560" w:type="dxa"/>
            <w:tcBorders>
              <w:top w:val="nil"/>
              <w:left w:val="nil"/>
              <w:bottom w:val="single" w:sz="8" w:space="0" w:color="auto"/>
              <w:right w:val="single" w:sz="8" w:space="0" w:color="auto"/>
            </w:tcBorders>
            <w:shd w:val="clear" w:color="auto" w:fill="auto"/>
            <w:noWrap/>
            <w:vAlign w:val="center"/>
            <w:hideMark/>
          </w:tcPr>
          <w:p w14:paraId="4211BC5B" w14:textId="77777777" w:rsidR="002656B0" w:rsidRPr="00005453" w:rsidRDefault="002656B0" w:rsidP="002656B0">
            <w:pPr>
              <w:jc w:val="right"/>
              <w:rPr>
                <w:b/>
                <w:bCs/>
                <w:color w:val="000000"/>
                <w:sz w:val="18"/>
                <w:szCs w:val="18"/>
                <w:lang w:eastAsia="tr-TR"/>
              </w:rPr>
            </w:pPr>
            <w:r w:rsidRPr="00005453">
              <w:rPr>
                <w:b/>
                <w:bCs/>
                <w:color w:val="000000"/>
                <w:sz w:val="18"/>
                <w:szCs w:val="18"/>
                <w:lang w:eastAsia="tr-TR"/>
              </w:rPr>
              <w:t>Önceki Dönem</w:t>
            </w:r>
          </w:p>
        </w:tc>
      </w:tr>
      <w:tr w:rsidR="00A61ADC" w:rsidRPr="00005453" w14:paraId="7BC7CB39"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E9E4957" w14:textId="77777777" w:rsidR="00A61ADC" w:rsidRPr="00005453" w:rsidRDefault="00A61ADC" w:rsidP="00A61ADC">
            <w:pPr>
              <w:rPr>
                <w:color w:val="000000"/>
                <w:sz w:val="18"/>
                <w:szCs w:val="18"/>
                <w:lang w:eastAsia="tr-TR"/>
              </w:rPr>
            </w:pPr>
            <w:r w:rsidRPr="00005453">
              <w:rPr>
                <w:color w:val="000000"/>
                <w:sz w:val="18"/>
                <w:szCs w:val="18"/>
                <w:lang w:eastAsia="tr-TR"/>
              </w:rPr>
              <w:t> </w:t>
            </w:r>
          </w:p>
        </w:tc>
        <w:tc>
          <w:tcPr>
            <w:tcW w:w="5697" w:type="dxa"/>
            <w:tcBorders>
              <w:top w:val="nil"/>
              <w:left w:val="nil"/>
              <w:bottom w:val="single" w:sz="8" w:space="0" w:color="auto"/>
              <w:right w:val="single" w:sz="8" w:space="0" w:color="auto"/>
            </w:tcBorders>
            <w:shd w:val="clear" w:color="auto" w:fill="auto"/>
            <w:noWrap/>
            <w:vAlign w:val="center"/>
            <w:hideMark/>
          </w:tcPr>
          <w:p w14:paraId="397052CA" w14:textId="77777777" w:rsidR="00A61ADC" w:rsidRPr="00005453" w:rsidRDefault="00A61ADC" w:rsidP="00A61ADC">
            <w:pPr>
              <w:rPr>
                <w:b/>
                <w:bCs/>
                <w:color w:val="000000"/>
                <w:sz w:val="18"/>
                <w:szCs w:val="18"/>
                <w:lang w:eastAsia="tr-TR"/>
              </w:rPr>
            </w:pPr>
            <w:r w:rsidRPr="00005453">
              <w:rPr>
                <w:b/>
                <w:bCs/>
                <w:color w:val="000000"/>
                <w:sz w:val="18"/>
                <w:szCs w:val="18"/>
                <w:lang w:eastAsia="tr-TR"/>
              </w:rPr>
              <w:t xml:space="preserve">Dolaysız (peşin) ürünler </w:t>
            </w:r>
          </w:p>
        </w:tc>
        <w:tc>
          <w:tcPr>
            <w:tcW w:w="1560" w:type="dxa"/>
            <w:tcBorders>
              <w:top w:val="nil"/>
              <w:left w:val="nil"/>
              <w:bottom w:val="single" w:sz="8" w:space="0" w:color="auto"/>
              <w:right w:val="single" w:sz="8" w:space="0" w:color="auto"/>
            </w:tcBorders>
            <w:shd w:val="clear" w:color="auto" w:fill="auto"/>
            <w:noWrap/>
            <w:vAlign w:val="center"/>
            <w:hideMark/>
          </w:tcPr>
          <w:p w14:paraId="2524F477" w14:textId="1C840085" w:rsidR="00A61ADC" w:rsidRPr="00005453" w:rsidRDefault="00A61ADC" w:rsidP="00A61ADC">
            <w:pPr>
              <w:jc w:val="right"/>
              <w:rPr>
                <w:b/>
                <w:bCs/>
                <w:color w:val="000000"/>
                <w:sz w:val="18"/>
                <w:szCs w:val="18"/>
                <w:lang w:eastAsia="tr-TR"/>
              </w:rPr>
            </w:pPr>
            <w:r w:rsidRPr="00005453">
              <w:rPr>
                <w:b/>
                <w:bCs/>
                <w:color w:val="000000"/>
                <w:sz w:val="18"/>
                <w:szCs w:val="18"/>
                <w:lang w:eastAsia="tr-TR"/>
              </w:rPr>
              <w:t>44,449,178</w:t>
            </w:r>
          </w:p>
        </w:tc>
        <w:tc>
          <w:tcPr>
            <w:tcW w:w="1560" w:type="dxa"/>
            <w:tcBorders>
              <w:top w:val="nil"/>
              <w:left w:val="nil"/>
              <w:bottom w:val="single" w:sz="8" w:space="0" w:color="auto"/>
              <w:right w:val="single" w:sz="8" w:space="0" w:color="auto"/>
            </w:tcBorders>
            <w:shd w:val="clear" w:color="auto" w:fill="auto"/>
            <w:noWrap/>
            <w:vAlign w:val="center"/>
            <w:hideMark/>
          </w:tcPr>
          <w:p w14:paraId="15C32DFC" w14:textId="0C96C758" w:rsidR="00A61ADC" w:rsidRPr="00005453" w:rsidRDefault="00A61ADC" w:rsidP="00A61ADC">
            <w:pPr>
              <w:jc w:val="right"/>
              <w:rPr>
                <w:b/>
                <w:bCs/>
                <w:color w:val="000000"/>
                <w:sz w:val="18"/>
                <w:szCs w:val="18"/>
                <w:lang w:eastAsia="tr-TR"/>
              </w:rPr>
            </w:pPr>
            <w:r w:rsidRPr="00005453">
              <w:rPr>
                <w:b/>
                <w:bCs/>
                <w:color w:val="000000"/>
                <w:sz w:val="18"/>
                <w:szCs w:val="18"/>
              </w:rPr>
              <w:t>49,803,589</w:t>
            </w:r>
          </w:p>
        </w:tc>
      </w:tr>
      <w:tr w:rsidR="00A61ADC" w:rsidRPr="00005453" w14:paraId="0937D8F5"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ACC5021" w14:textId="77777777" w:rsidR="00A61ADC" w:rsidRPr="00005453" w:rsidRDefault="00A61ADC" w:rsidP="00A61ADC">
            <w:pPr>
              <w:jc w:val="right"/>
              <w:rPr>
                <w:color w:val="000000"/>
                <w:sz w:val="18"/>
                <w:szCs w:val="18"/>
                <w:lang w:eastAsia="tr-TR"/>
              </w:rPr>
            </w:pPr>
            <w:r w:rsidRPr="00005453">
              <w:rPr>
                <w:color w:val="000000"/>
                <w:sz w:val="18"/>
                <w:szCs w:val="18"/>
                <w:lang w:eastAsia="tr-TR"/>
              </w:rPr>
              <w:t>1</w:t>
            </w:r>
          </w:p>
        </w:tc>
        <w:tc>
          <w:tcPr>
            <w:tcW w:w="5697" w:type="dxa"/>
            <w:tcBorders>
              <w:top w:val="nil"/>
              <w:left w:val="nil"/>
              <w:bottom w:val="single" w:sz="8" w:space="0" w:color="auto"/>
              <w:right w:val="single" w:sz="8" w:space="0" w:color="auto"/>
            </w:tcBorders>
            <w:shd w:val="clear" w:color="auto" w:fill="auto"/>
            <w:noWrap/>
            <w:vAlign w:val="center"/>
            <w:hideMark/>
          </w:tcPr>
          <w:p w14:paraId="4B2AD6BB" w14:textId="77777777" w:rsidR="00A61ADC" w:rsidRPr="00005453" w:rsidRDefault="00A61ADC" w:rsidP="00A61ADC">
            <w:pPr>
              <w:rPr>
                <w:color w:val="000000"/>
                <w:sz w:val="18"/>
                <w:szCs w:val="18"/>
                <w:lang w:eastAsia="tr-TR"/>
              </w:rPr>
            </w:pPr>
            <w:proofErr w:type="gramStart"/>
            <w:r w:rsidRPr="00005453">
              <w:rPr>
                <w:color w:val="000000"/>
                <w:sz w:val="18"/>
                <w:szCs w:val="18"/>
                <w:lang w:eastAsia="tr-TR"/>
              </w:rPr>
              <w:t>Kar</w:t>
            </w:r>
            <w:proofErr w:type="gramEnd"/>
            <w:r w:rsidRPr="00005453">
              <w:rPr>
                <w:color w:val="000000"/>
                <w:sz w:val="18"/>
                <w:szCs w:val="18"/>
                <w:lang w:eastAsia="tr-TR"/>
              </w:rPr>
              <w:t xml:space="preserve"> payı oranı riski (genel ve spesifik)</w:t>
            </w:r>
          </w:p>
        </w:tc>
        <w:tc>
          <w:tcPr>
            <w:tcW w:w="1560" w:type="dxa"/>
            <w:tcBorders>
              <w:top w:val="nil"/>
              <w:left w:val="nil"/>
              <w:bottom w:val="single" w:sz="8" w:space="0" w:color="auto"/>
              <w:right w:val="single" w:sz="8" w:space="0" w:color="auto"/>
            </w:tcBorders>
            <w:shd w:val="clear" w:color="auto" w:fill="auto"/>
            <w:noWrap/>
            <w:vAlign w:val="center"/>
            <w:hideMark/>
          </w:tcPr>
          <w:p w14:paraId="457CAE7B" w14:textId="27B4C1B8" w:rsidR="00A61ADC" w:rsidRPr="00005453" w:rsidRDefault="00A61ADC" w:rsidP="00A61ADC">
            <w:pPr>
              <w:jc w:val="right"/>
              <w:rPr>
                <w:color w:val="000000"/>
                <w:sz w:val="18"/>
                <w:szCs w:val="18"/>
                <w:lang w:eastAsia="tr-TR"/>
              </w:rPr>
            </w:pPr>
            <w:r w:rsidRPr="00005453">
              <w:rPr>
                <w:color w:val="000000"/>
                <w:sz w:val="18"/>
                <w:szCs w:val="18"/>
                <w:lang w:eastAsia="tr-TR"/>
              </w:rPr>
              <w:t>28,592,557</w:t>
            </w:r>
          </w:p>
        </w:tc>
        <w:tc>
          <w:tcPr>
            <w:tcW w:w="1560" w:type="dxa"/>
            <w:tcBorders>
              <w:top w:val="nil"/>
              <w:left w:val="nil"/>
              <w:bottom w:val="single" w:sz="8" w:space="0" w:color="auto"/>
              <w:right w:val="single" w:sz="8" w:space="0" w:color="auto"/>
            </w:tcBorders>
            <w:shd w:val="clear" w:color="auto" w:fill="auto"/>
            <w:noWrap/>
            <w:vAlign w:val="center"/>
            <w:hideMark/>
          </w:tcPr>
          <w:p w14:paraId="5B3E89C3" w14:textId="797306D7" w:rsidR="00A61ADC" w:rsidRPr="00005453" w:rsidRDefault="00A61ADC" w:rsidP="00A61ADC">
            <w:pPr>
              <w:jc w:val="right"/>
              <w:rPr>
                <w:color w:val="000000"/>
                <w:sz w:val="18"/>
                <w:szCs w:val="18"/>
                <w:lang w:eastAsia="tr-TR"/>
              </w:rPr>
            </w:pPr>
            <w:r w:rsidRPr="00005453">
              <w:rPr>
                <w:color w:val="000000"/>
                <w:sz w:val="18"/>
                <w:szCs w:val="18"/>
              </w:rPr>
              <w:t>42,398,701</w:t>
            </w:r>
          </w:p>
        </w:tc>
      </w:tr>
      <w:tr w:rsidR="00A61ADC" w:rsidRPr="00005453" w14:paraId="7D83BA5E"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E8ADDAF" w14:textId="77777777" w:rsidR="00A61ADC" w:rsidRPr="00005453" w:rsidRDefault="00A61ADC" w:rsidP="00A61ADC">
            <w:pPr>
              <w:jc w:val="right"/>
              <w:rPr>
                <w:color w:val="000000"/>
                <w:sz w:val="18"/>
                <w:szCs w:val="18"/>
                <w:lang w:eastAsia="tr-TR"/>
              </w:rPr>
            </w:pPr>
            <w:r w:rsidRPr="00005453">
              <w:rPr>
                <w:color w:val="000000"/>
                <w:sz w:val="18"/>
                <w:szCs w:val="18"/>
                <w:lang w:eastAsia="tr-TR"/>
              </w:rPr>
              <w:t>2</w:t>
            </w:r>
          </w:p>
        </w:tc>
        <w:tc>
          <w:tcPr>
            <w:tcW w:w="5697" w:type="dxa"/>
            <w:tcBorders>
              <w:top w:val="nil"/>
              <w:left w:val="nil"/>
              <w:bottom w:val="single" w:sz="8" w:space="0" w:color="auto"/>
              <w:right w:val="single" w:sz="8" w:space="0" w:color="auto"/>
            </w:tcBorders>
            <w:shd w:val="clear" w:color="auto" w:fill="auto"/>
            <w:noWrap/>
            <w:vAlign w:val="center"/>
            <w:hideMark/>
          </w:tcPr>
          <w:p w14:paraId="706762A1" w14:textId="77777777" w:rsidR="00A61ADC" w:rsidRPr="00005453" w:rsidRDefault="00A61ADC" w:rsidP="00A61ADC">
            <w:pPr>
              <w:rPr>
                <w:color w:val="000000"/>
                <w:sz w:val="18"/>
                <w:szCs w:val="18"/>
                <w:lang w:eastAsia="tr-TR"/>
              </w:rPr>
            </w:pPr>
            <w:r w:rsidRPr="00005453">
              <w:rPr>
                <w:color w:val="000000"/>
                <w:sz w:val="18"/>
                <w:szCs w:val="18"/>
                <w:lang w:eastAsia="tr-TR"/>
              </w:rPr>
              <w:t>Hisse senedi riski (genel ve spesifik)</w:t>
            </w:r>
          </w:p>
        </w:tc>
        <w:tc>
          <w:tcPr>
            <w:tcW w:w="1560" w:type="dxa"/>
            <w:tcBorders>
              <w:top w:val="nil"/>
              <w:left w:val="nil"/>
              <w:bottom w:val="single" w:sz="8" w:space="0" w:color="auto"/>
              <w:right w:val="single" w:sz="8" w:space="0" w:color="auto"/>
            </w:tcBorders>
            <w:shd w:val="clear" w:color="auto" w:fill="auto"/>
            <w:noWrap/>
            <w:vAlign w:val="center"/>
            <w:hideMark/>
          </w:tcPr>
          <w:p w14:paraId="493FB572" w14:textId="143BD34C" w:rsidR="00A61ADC" w:rsidRPr="00005453" w:rsidRDefault="00A61ADC" w:rsidP="00A61ADC">
            <w:pPr>
              <w:jc w:val="right"/>
              <w:rPr>
                <w:color w:val="000000"/>
                <w:sz w:val="18"/>
                <w:szCs w:val="18"/>
                <w:lang w:eastAsia="tr-TR"/>
              </w:rPr>
            </w:pPr>
            <w:r w:rsidRPr="00005453">
              <w:rPr>
                <w:color w:val="000000"/>
                <w:sz w:val="18"/>
                <w:szCs w:val="18"/>
                <w:lang w:eastAsia="tr-TR"/>
              </w:rPr>
              <w:t>458,665</w:t>
            </w:r>
          </w:p>
        </w:tc>
        <w:tc>
          <w:tcPr>
            <w:tcW w:w="1560" w:type="dxa"/>
            <w:tcBorders>
              <w:top w:val="nil"/>
              <w:left w:val="nil"/>
              <w:bottom w:val="single" w:sz="8" w:space="0" w:color="auto"/>
              <w:right w:val="single" w:sz="8" w:space="0" w:color="auto"/>
            </w:tcBorders>
            <w:shd w:val="clear" w:color="auto" w:fill="auto"/>
            <w:noWrap/>
            <w:vAlign w:val="center"/>
            <w:hideMark/>
          </w:tcPr>
          <w:p w14:paraId="2C20B31A" w14:textId="6EC516C6" w:rsidR="00A61ADC" w:rsidRPr="00005453" w:rsidRDefault="00A61ADC" w:rsidP="00A61ADC">
            <w:pPr>
              <w:jc w:val="right"/>
              <w:rPr>
                <w:color w:val="000000"/>
                <w:sz w:val="18"/>
                <w:szCs w:val="18"/>
                <w:lang w:eastAsia="tr-TR"/>
              </w:rPr>
            </w:pPr>
            <w:r w:rsidRPr="00005453">
              <w:rPr>
                <w:color w:val="000000"/>
                <w:sz w:val="18"/>
                <w:szCs w:val="18"/>
              </w:rPr>
              <w:t>667,906</w:t>
            </w:r>
          </w:p>
        </w:tc>
      </w:tr>
      <w:tr w:rsidR="00A61ADC" w:rsidRPr="00005453" w14:paraId="305EE4AB"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191A4C1" w14:textId="77777777" w:rsidR="00A61ADC" w:rsidRPr="00005453" w:rsidRDefault="00A61ADC" w:rsidP="00A61ADC">
            <w:pPr>
              <w:jc w:val="right"/>
              <w:rPr>
                <w:color w:val="000000"/>
                <w:sz w:val="18"/>
                <w:szCs w:val="18"/>
                <w:lang w:eastAsia="tr-TR"/>
              </w:rPr>
            </w:pPr>
            <w:r w:rsidRPr="00005453">
              <w:rPr>
                <w:color w:val="000000"/>
                <w:sz w:val="18"/>
                <w:szCs w:val="18"/>
                <w:lang w:eastAsia="tr-TR"/>
              </w:rPr>
              <w:t>3</w:t>
            </w:r>
          </w:p>
        </w:tc>
        <w:tc>
          <w:tcPr>
            <w:tcW w:w="5697" w:type="dxa"/>
            <w:tcBorders>
              <w:top w:val="nil"/>
              <w:left w:val="nil"/>
              <w:bottom w:val="single" w:sz="8" w:space="0" w:color="auto"/>
              <w:right w:val="single" w:sz="8" w:space="0" w:color="auto"/>
            </w:tcBorders>
            <w:shd w:val="clear" w:color="auto" w:fill="auto"/>
            <w:noWrap/>
            <w:vAlign w:val="center"/>
            <w:hideMark/>
          </w:tcPr>
          <w:p w14:paraId="0B6A5CA7" w14:textId="77777777" w:rsidR="00A61ADC" w:rsidRPr="00005453" w:rsidRDefault="00A61ADC" w:rsidP="00A61ADC">
            <w:pPr>
              <w:rPr>
                <w:color w:val="000000"/>
                <w:sz w:val="18"/>
                <w:szCs w:val="18"/>
                <w:lang w:eastAsia="tr-TR"/>
              </w:rPr>
            </w:pPr>
            <w:r w:rsidRPr="00005453">
              <w:rPr>
                <w:color w:val="000000"/>
                <w:sz w:val="18"/>
                <w:szCs w:val="18"/>
                <w:lang w:eastAsia="tr-TR"/>
              </w:rPr>
              <w:t>Kur riski</w:t>
            </w:r>
          </w:p>
        </w:tc>
        <w:tc>
          <w:tcPr>
            <w:tcW w:w="1560" w:type="dxa"/>
            <w:tcBorders>
              <w:top w:val="nil"/>
              <w:left w:val="nil"/>
              <w:bottom w:val="single" w:sz="8" w:space="0" w:color="auto"/>
              <w:right w:val="single" w:sz="8" w:space="0" w:color="auto"/>
            </w:tcBorders>
            <w:shd w:val="clear" w:color="auto" w:fill="auto"/>
            <w:noWrap/>
            <w:vAlign w:val="center"/>
            <w:hideMark/>
          </w:tcPr>
          <w:p w14:paraId="0A7132A9" w14:textId="018CBD13" w:rsidR="00A61ADC" w:rsidRPr="00005453" w:rsidRDefault="00A61ADC" w:rsidP="00A61ADC">
            <w:pPr>
              <w:jc w:val="right"/>
              <w:rPr>
                <w:color w:val="000000"/>
                <w:sz w:val="18"/>
                <w:szCs w:val="18"/>
                <w:lang w:eastAsia="tr-TR"/>
              </w:rPr>
            </w:pPr>
            <w:r w:rsidRPr="00005453">
              <w:rPr>
                <w:color w:val="000000"/>
                <w:sz w:val="18"/>
                <w:szCs w:val="18"/>
                <w:lang w:eastAsia="tr-TR"/>
              </w:rPr>
              <w:t>5,249,008</w:t>
            </w:r>
          </w:p>
        </w:tc>
        <w:tc>
          <w:tcPr>
            <w:tcW w:w="1560" w:type="dxa"/>
            <w:tcBorders>
              <w:top w:val="nil"/>
              <w:left w:val="nil"/>
              <w:bottom w:val="single" w:sz="8" w:space="0" w:color="auto"/>
              <w:right w:val="single" w:sz="8" w:space="0" w:color="auto"/>
            </w:tcBorders>
            <w:shd w:val="clear" w:color="auto" w:fill="auto"/>
            <w:noWrap/>
            <w:vAlign w:val="center"/>
            <w:hideMark/>
          </w:tcPr>
          <w:p w14:paraId="33B13584" w14:textId="333C0A58" w:rsidR="00A61ADC" w:rsidRPr="00005453" w:rsidRDefault="00A61ADC" w:rsidP="00A61ADC">
            <w:pPr>
              <w:jc w:val="right"/>
              <w:rPr>
                <w:color w:val="000000"/>
                <w:sz w:val="18"/>
                <w:szCs w:val="18"/>
                <w:lang w:eastAsia="tr-TR"/>
              </w:rPr>
            </w:pPr>
            <w:r w:rsidRPr="00005453">
              <w:rPr>
                <w:color w:val="000000"/>
                <w:sz w:val="18"/>
                <w:szCs w:val="18"/>
              </w:rPr>
              <w:t>1,389,203</w:t>
            </w:r>
          </w:p>
        </w:tc>
      </w:tr>
      <w:tr w:rsidR="00A61ADC" w:rsidRPr="00005453" w14:paraId="16B7879A"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377342F" w14:textId="77777777" w:rsidR="00A61ADC" w:rsidRPr="00005453" w:rsidRDefault="00A61ADC" w:rsidP="00A61ADC">
            <w:pPr>
              <w:jc w:val="right"/>
              <w:rPr>
                <w:color w:val="000000"/>
                <w:sz w:val="18"/>
                <w:szCs w:val="18"/>
                <w:lang w:eastAsia="tr-TR"/>
              </w:rPr>
            </w:pPr>
            <w:r w:rsidRPr="00005453">
              <w:rPr>
                <w:color w:val="000000"/>
                <w:sz w:val="18"/>
                <w:szCs w:val="18"/>
                <w:lang w:eastAsia="tr-TR"/>
              </w:rPr>
              <w:t>4</w:t>
            </w:r>
          </w:p>
        </w:tc>
        <w:tc>
          <w:tcPr>
            <w:tcW w:w="5697" w:type="dxa"/>
            <w:tcBorders>
              <w:top w:val="nil"/>
              <w:left w:val="nil"/>
              <w:bottom w:val="single" w:sz="8" w:space="0" w:color="auto"/>
              <w:right w:val="single" w:sz="8" w:space="0" w:color="auto"/>
            </w:tcBorders>
            <w:shd w:val="clear" w:color="auto" w:fill="auto"/>
            <w:noWrap/>
            <w:vAlign w:val="center"/>
            <w:hideMark/>
          </w:tcPr>
          <w:p w14:paraId="4F19D487" w14:textId="77777777" w:rsidR="00A61ADC" w:rsidRPr="00005453" w:rsidRDefault="00A61ADC" w:rsidP="00A61ADC">
            <w:pPr>
              <w:rPr>
                <w:color w:val="000000"/>
                <w:sz w:val="18"/>
                <w:szCs w:val="18"/>
                <w:lang w:eastAsia="tr-TR"/>
              </w:rPr>
            </w:pPr>
            <w:r w:rsidRPr="00005453">
              <w:rPr>
                <w:color w:val="000000"/>
                <w:sz w:val="18"/>
                <w:szCs w:val="18"/>
                <w:lang w:eastAsia="tr-TR"/>
              </w:rPr>
              <w:t>Emtia riski</w:t>
            </w:r>
          </w:p>
        </w:tc>
        <w:tc>
          <w:tcPr>
            <w:tcW w:w="1560" w:type="dxa"/>
            <w:tcBorders>
              <w:top w:val="nil"/>
              <w:left w:val="nil"/>
              <w:bottom w:val="single" w:sz="8" w:space="0" w:color="auto"/>
              <w:right w:val="single" w:sz="8" w:space="0" w:color="auto"/>
            </w:tcBorders>
            <w:shd w:val="clear" w:color="auto" w:fill="auto"/>
            <w:noWrap/>
            <w:vAlign w:val="center"/>
            <w:hideMark/>
          </w:tcPr>
          <w:p w14:paraId="2CFB16A3" w14:textId="5DC11C5F" w:rsidR="00A61ADC" w:rsidRPr="00005453" w:rsidRDefault="00A61ADC" w:rsidP="00A61ADC">
            <w:pPr>
              <w:jc w:val="right"/>
              <w:rPr>
                <w:color w:val="000000"/>
                <w:sz w:val="18"/>
                <w:szCs w:val="18"/>
                <w:lang w:eastAsia="tr-TR"/>
              </w:rPr>
            </w:pPr>
            <w:r w:rsidRPr="00005453">
              <w:rPr>
                <w:color w:val="000000"/>
                <w:sz w:val="18"/>
                <w:szCs w:val="18"/>
                <w:lang w:eastAsia="tr-TR"/>
              </w:rPr>
              <w:t>10,148,948</w:t>
            </w:r>
          </w:p>
        </w:tc>
        <w:tc>
          <w:tcPr>
            <w:tcW w:w="1560" w:type="dxa"/>
            <w:tcBorders>
              <w:top w:val="nil"/>
              <w:left w:val="nil"/>
              <w:bottom w:val="single" w:sz="8" w:space="0" w:color="auto"/>
              <w:right w:val="single" w:sz="8" w:space="0" w:color="auto"/>
            </w:tcBorders>
            <w:shd w:val="clear" w:color="auto" w:fill="auto"/>
            <w:noWrap/>
            <w:vAlign w:val="center"/>
            <w:hideMark/>
          </w:tcPr>
          <w:p w14:paraId="37A02BA7" w14:textId="522430E6" w:rsidR="00A61ADC" w:rsidRPr="00005453" w:rsidRDefault="00A61ADC" w:rsidP="00A61ADC">
            <w:pPr>
              <w:jc w:val="right"/>
              <w:rPr>
                <w:color w:val="000000"/>
                <w:sz w:val="18"/>
                <w:szCs w:val="18"/>
                <w:lang w:eastAsia="tr-TR"/>
              </w:rPr>
            </w:pPr>
            <w:r w:rsidRPr="00005453">
              <w:rPr>
                <w:color w:val="000000"/>
                <w:sz w:val="18"/>
                <w:szCs w:val="18"/>
              </w:rPr>
              <w:t>5,347,779</w:t>
            </w:r>
          </w:p>
        </w:tc>
      </w:tr>
      <w:tr w:rsidR="00A61ADC" w:rsidRPr="00005453" w14:paraId="5E60B240"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9D9E1EF" w14:textId="77777777" w:rsidR="00A61ADC" w:rsidRPr="00005453" w:rsidRDefault="00A61ADC" w:rsidP="00A61ADC">
            <w:pPr>
              <w:rPr>
                <w:color w:val="000000"/>
                <w:sz w:val="18"/>
                <w:szCs w:val="18"/>
                <w:lang w:eastAsia="tr-TR"/>
              </w:rPr>
            </w:pPr>
            <w:r w:rsidRPr="00005453">
              <w:rPr>
                <w:color w:val="000000"/>
                <w:sz w:val="18"/>
                <w:szCs w:val="18"/>
                <w:lang w:eastAsia="tr-TR"/>
              </w:rPr>
              <w:t> </w:t>
            </w:r>
          </w:p>
        </w:tc>
        <w:tc>
          <w:tcPr>
            <w:tcW w:w="5697" w:type="dxa"/>
            <w:tcBorders>
              <w:top w:val="nil"/>
              <w:left w:val="nil"/>
              <w:bottom w:val="single" w:sz="8" w:space="0" w:color="auto"/>
              <w:right w:val="single" w:sz="8" w:space="0" w:color="auto"/>
            </w:tcBorders>
            <w:shd w:val="clear" w:color="auto" w:fill="auto"/>
            <w:noWrap/>
            <w:vAlign w:val="center"/>
            <w:hideMark/>
          </w:tcPr>
          <w:p w14:paraId="56BD5022" w14:textId="77777777" w:rsidR="00A61ADC" w:rsidRPr="00005453" w:rsidRDefault="00A61ADC" w:rsidP="00A61ADC">
            <w:pPr>
              <w:rPr>
                <w:b/>
                <w:bCs/>
                <w:color w:val="000000"/>
                <w:sz w:val="18"/>
                <w:szCs w:val="18"/>
                <w:lang w:eastAsia="tr-TR"/>
              </w:rPr>
            </w:pPr>
            <w:r w:rsidRPr="00005453">
              <w:rPr>
                <w:b/>
                <w:bCs/>
                <w:color w:val="000000"/>
                <w:sz w:val="18"/>
                <w:szCs w:val="18"/>
                <w:lang w:eastAsia="tr-TR"/>
              </w:rPr>
              <w:t>Opsiyonlar</w:t>
            </w:r>
          </w:p>
        </w:tc>
        <w:tc>
          <w:tcPr>
            <w:tcW w:w="1560" w:type="dxa"/>
            <w:tcBorders>
              <w:top w:val="nil"/>
              <w:left w:val="nil"/>
              <w:bottom w:val="single" w:sz="8" w:space="0" w:color="auto"/>
              <w:right w:val="single" w:sz="8" w:space="0" w:color="auto"/>
            </w:tcBorders>
            <w:shd w:val="clear" w:color="auto" w:fill="auto"/>
            <w:noWrap/>
            <w:vAlign w:val="center"/>
            <w:hideMark/>
          </w:tcPr>
          <w:p w14:paraId="37B81F0A" w14:textId="2097582B" w:rsidR="00A61ADC" w:rsidRPr="00005453" w:rsidRDefault="00A61ADC" w:rsidP="00A61ADC">
            <w:pPr>
              <w:jc w:val="right"/>
              <w:rPr>
                <w:color w:val="000000"/>
                <w:sz w:val="18"/>
                <w:szCs w:val="18"/>
                <w:lang w:eastAsia="tr-TR"/>
              </w:rPr>
            </w:pPr>
            <w:r w:rsidRPr="00005453">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2D8B91AF" w14:textId="09B2D445" w:rsidR="00A61ADC" w:rsidRPr="00005453" w:rsidRDefault="00A61ADC" w:rsidP="00A61ADC">
            <w:pPr>
              <w:jc w:val="right"/>
              <w:rPr>
                <w:color w:val="000000"/>
                <w:sz w:val="18"/>
                <w:szCs w:val="18"/>
                <w:lang w:eastAsia="tr-TR"/>
              </w:rPr>
            </w:pPr>
            <w:r w:rsidRPr="00005453">
              <w:rPr>
                <w:color w:val="000000"/>
                <w:sz w:val="18"/>
                <w:szCs w:val="18"/>
              </w:rPr>
              <w:t>-</w:t>
            </w:r>
          </w:p>
        </w:tc>
      </w:tr>
      <w:tr w:rsidR="00A61ADC" w:rsidRPr="00005453" w14:paraId="08C889D3"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EA32C9F" w14:textId="77777777" w:rsidR="00A61ADC" w:rsidRPr="00005453" w:rsidRDefault="00A61ADC" w:rsidP="00A61ADC">
            <w:pPr>
              <w:jc w:val="right"/>
              <w:rPr>
                <w:color w:val="000000"/>
                <w:sz w:val="18"/>
                <w:szCs w:val="18"/>
                <w:lang w:eastAsia="tr-TR"/>
              </w:rPr>
            </w:pPr>
            <w:r w:rsidRPr="00005453">
              <w:rPr>
                <w:color w:val="000000"/>
                <w:sz w:val="18"/>
                <w:szCs w:val="18"/>
                <w:lang w:eastAsia="tr-TR"/>
              </w:rPr>
              <w:t>5</w:t>
            </w:r>
          </w:p>
        </w:tc>
        <w:tc>
          <w:tcPr>
            <w:tcW w:w="5697" w:type="dxa"/>
            <w:tcBorders>
              <w:top w:val="nil"/>
              <w:left w:val="nil"/>
              <w:bottom w:val="single" w:sz="8" w:space="0" w:color="auto"/>
              <w:right w:val="single" w:sz="8" w:space="0" w:color="auto"/>
            </w:tcBorders>
            <w:shd w:val="clear" w:color="auto" w:fill="auto"/>
            <w:noWrap/>
            <w:vAlign w:val="center"/>
            <w:hideMark/>
          </w:tcPr>
          <w:p w14:paraId="14F3B4C5" w14:textId="77777777" w:rsidR="00A61ADC" w:rsidRPr="00005453" w:rsidRDefault="00A61ADC" w:rsidP="00A61ADC">
            <w:pPr>
              <w:rPr>
                <w:color w:val="000000"/>
                <w:sz w:val="18"/>
                <w:szCs w:val="18"/>
                <w:lang w:eastAsia="tr-TR"/>
              </w:rPr>
            </w:pPr>
            <w:r w:rsidRPr="00005453">
              <w:rPr>
                <w:color w:val="000000"/>
                <w:sz w:val="18"/>
                <w:szCs w:val="18"/>
                <w:lang w:eastAsia="tr-TR"/>
              </w:rPr>
              <w:t>Basitleştirilmiş yaklaşım</w:t>
            </w:r>
          </w:p>
        </w:tc>
        <w:tc>
          <w:tcPr>
            <w:tcW w:w="1560" w:type="dxa"/>
            <w:tcBorders>
              <w:top w:val="nil"/>
              <w:left w:val="nil"/>
              <w:bottom w:val="single" w:sz="8" w:space="0" w:color="auto"/>
              <w:right w:val="single" w:sz="8" w:space="0" w:color="auto"/>
            </w:tcBorders>
            <w:shd w:val="clear" w:color="auto" w:fill="auto"/>
            <w:noWrap/>
            <w:vAlign w:val="center"/>
            <w:hideMark/>
          </w:tcPr>
          <w:p w14:paraId="646A9758" w14:textId="465736D6" w:rsidR="00A61ADC" w:rsidRPr="00005453" w:rsidRDefault="00A61ADC" w:rsidP="00A61ADC">
            <w:pPr>
              <w:jc w:val="right"/>
              <w:rPr>
                <w:color w:val="000000"/>
                <w:sz w:val="18"/>
                <w:szCs w:val="18"/>
                <w:lang w:eastAsia="tr-TR"/>
              </w:rPr>
            </w:pPr>
            <w:r w:rsidRPr="00005453">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683D0A7F" w14:textId="2CDD6832" w:rsidR="00A61ADC" w:rsidRPr="00005453" w:rsidRDefault="00A61ADC" w:rsidP="00A61ADC">
            <w:pPr>
              <w:jc w:val="right"/>
              <w:rPr>
                <w:color w:val="000000"/>
                <w:sz w:val="18"/>
                <w:szCs w:val="18"/>
                <w:lang w:eastAsia="tr-TR"/>
              </w:rPr>
            </w:pPr>
            <w:r w:rsidRPr="00005453">
              <w:rPr>
                <w:color w:val="000000"/>
                <w:sz w:val="18"/>
                <w:szCs w:val="18"/>
              </w:rPr>
              <w:t>-</w:t>
            </w:r>
          </w:p>
        </w:tc>
      </w:tr>
      <w:tr w:rsidR="00A61ADC" w:rsidRPr="00005453" w14:paraId="7CFE1E26"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05C1568" w14:textId="77777777" w:rsidR="00A61ADC" w:rsidRPr="00005453" w:rsidRDefault="00A61ADC" w:rsidP="00A61ADC">
            <w:pPr>
              <w:jc w:val="right"/>
              <w:rPr>
                <w:color w:val="000000"/>
                <w:sz w:val="18"/>
                <w:szCs w:val="18"/>
                <w:lang w:eastAsia="tr-TR"/>
              </w:rPr>
            </w:pPr>
            <w:r w:rsidRPr="00005453">
              <w:rPr>
                <w:color w:val="000000"/>
                <w:sz w:val="18"/>
                <w:szCs w:val="18"/>
                <w:lang w:eastAsia="tr-TR"/>
              </w:rPr>
              <w:t>6</w:t>
            </w:r>
          </w:p>
        </w:tc>
        <w:tc>
          <w:tcPr>
            <w:tcW w:w="5697" w:type="dxa"/>
            <w:tcBorders>
              <w:top w:val="nil"/>
              <w:left w:val="nil"/>
              <w:bottom w:val="single" w:sz="8" w:space="0" w:color="auto"/>
              <w:right w:val="single" w:sz="8" w:space="0" w:color="auto"/>
            </w:tcBorders>
            <w:shd w:val="clear" w:color="auto" w:fill="auto"/>
            <w:noWrap/>
            <w:vAlign w:val="center"/>
            <w:hideMark/>
          </w:tcPr>
          <w:p w14:paraId="37AE01A3" w14:textId="77777777" w:rsidR="00A61ADC" w:rsidRPr="00005453" w:rsidRDefault="00A61ADC" w:rsidP="00A61ADC">
            <w:pPr>
              <w:rPr>
                <w:color w:val="000000"/>
                <w:sz w:val="18"/>
                <w:szCs w:val="18"/>
                <w:lang w:eastAsia="tr-TR"/>
              </w:rPr>
            </w:pPr>
            <w:r w:rsidRPr="00005453">
              <w:rPr>
                <w:color w:val="000000"/>
                <w:sz w:val="18"/>
                <w:szCs w:val="18"/>
                <w:lang w:eastAsia="tr-TR"/>
              </w:rPr>
              <w:t>Delta-plus metodu</w:t>
            </w:r>
          </w:p>
        </w:tc>
        <w:tc>
          <w:tcPr>
            <w:tcW w:w="1560" w:type="dxa"/>
            <w:tcBorders>
              <w:top w:val="nil"/>
              <w:left w:val="nil"/>
              <w:bottom w:val="single" w:sz="8" w:space="0" w:color="auto"/>
              <w:right w:val="single" w:sz="8" w:space="0" w:color="auto"/>
            </w:tcBorders>
            <w:shd w:val="clear" w:color="auto" w:fill="auto"/>
            <w:noWrap/>
            <w:vAlign w:val="center"/>
            <w:hideMark/>
          </w:tcPr>
          <w:p w14:paraId="29818F4D" w14:textId="0C96EBD7" w:rsidR="00A61ADC" w:rsidRPr="00005453" w:rsidRDefault="00A61ADC" w:rsidP="00A61ADC">
            <w:pPr>
              <w:jc w:val="right"/>
              <w:rPr>
                <w:color w:val="000000"/>
                <w:sz w:val="18"/>
                <w:szCs w:val="18"/>
                <w:lang w:eastAsia="tr-TR"/>
              </w:rPr>
            </w:pPr>
            <w:r w:rsidRPr="00005453">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6A634294" w14:textId="3DFFF975" w:rsidR="00A61ADC" w:rsidRPr="00005453" w:rsidRDefault="00A61ADC" w:rsidP="00A61ADC">
            <w:pPr>
              <w:jc w:val="right"/>
              <w:rPr>
                <w:color w:val="000000"/>
                <w:sz w:val="18"/>
                <w:szCs w:val="18"/>
                <w:lang w:eastAsia="tr-TR"/>
              </w:rPr>
            </w:pPr>
            <w:r w:rsidRPr="00005453">
              <w:rPr>
                <w:color w:val="000000"/>
                <w:sz w:val="18"/>
                <w:szCs w:val="18"/>
              </w:rPr>
              <w:t>-</w:t>
            </w:r>
          </w:p>
        </w:tc>
      </w:tr>
      <w:tr w:rsidR="00A61ADC" w:rsidRPr="00005453" w14:paraId="5389290E"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BD797B5" w14:textId="77777777" w:rsidR="00A61ADC" w:rsidRPr="00005453" w:rsidRDefault="00A61ADC" w:rsidP="00A61ADC">
            <w:pPr>
              <w:jc w:val="right"/>
              <w:rPr>
                <w:color w:val="000000"/>
                <w:sz w:val="18"/>
                <w:szCs w:val="18"/>
                <w:lang w:eastAsia="tr-TR"/>
              </w:rPr>
            </w:pPr>
            <w:r w:rsidRPr="00005453">
              <w:rPr>
                <w:color w:val="000000"/>
                <w:sz w:val="18"/>
                <w:szCs w:val="18"/>
                <w:lang w:eastAsia="tr-TR"/>
              </w:rPr>
              <w:t>7</w:t>
            </w:r>
          </w:p>
        </w:tc>
        <w:tc>
          <w:tcPr>
            <w:tcW w:w="5697" w:type="dxa"/>
            <w:tcBorders>
              <w:top w:val="nil"/>
              <w:left w:val="nil"/>
              <w:bottom w:val="single" w:sz="8" w:space="0" w:color="auto"/>
              <w:right w:val="single" w:sz="8" w:space="0" w:color="auto"/>
            </w:tcBorders>
            <w:shd w:val="clear" w:color="auto" w:fill="auto"/>
            <w:noWrap/>
            <w:vAlign w:val="center"/>
            <w:hideMark/>
          </w:tcPr>
          <w:p w14:paraId="58E3D6FD" w14:textId="77777777" w:rsidR="00A61ADC" w:rsidRPr="00005453" w:rsidRDefault="00A61ADC" w:rsidP="00A61ADC">
            <w:pPr>
              <w:rPr>
                <w:color w:val="000000"/>
                <w:sz w:val="18"/>
                <w:szCs w:val="18"/>
                <w:lang w:eastAsia="tr-TR"/>
              </w:rPr>
            </w:pPr>
            <w:r w:rsidRPr="00005453">
              <w:rPr>
                <w:color w:val="000000"/>
                <w:sz w:val="18"/>
                <w:szCs w:val="18"/>
                <w:lang w:eastAsia="tr-TR"/>
              </w:rPr>
              <w:t>Senaryo yaklaşımı</w:t>
            </w:r>
          </w:p>
        </w:tc>
        <w:tc>
          <w:tcPr>
            <w:tcW w:w="1560" w:type="dxa"/>
            <w:tcBorders>
              <w:top w:val="nil"/>
              <w:left w:val="nil"/>
              <w:bottom w:val="single" w:sz="8" w:space="0" w:color="auto"/>
              <w:right w:val="single" w:sz="8" w:space="0" w:color="auto"/>
            </w:tcBorders>
            <w:shd w:val="clear" w:color="auto" w:fill="auto"/>
            <w:noWrap/>
            <w:vAlign w:val="center"/>
            <w:hideMark/>
          </w:tcPr>
          <w:p w14:paraId="37BB98C1" w14:textId="4773D1E3" w:rsidR="00A61ADC" w:rsidRPr="00005453" w:rsidRDefault="00A61ADC" w:rsidP="00A61ADC">
            <w:pPr>
              <w:jc w:val="right"/>
              <w:rPr>
                <w:color w:val="000000"/>
                <w:sz w:val="18"/>
                <w:szCs w:val="18"/>
                <w:lang w:eastAsia="tr-TR"/>
              </w:rPr>
            </w:pPr>
            <w:r w:rsidRPr="00005453">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32DFECB8" w14:textId="68793163" w:rsidR="00A61ADC" w:rsidRPr="00005453" w:rsidRDefault="00A61ADC" w:rsidP="00A61ADC">
            <w:pPr>
              <w:jc w:val="right"/>
              <w:rPr>
                <w:color w:val="000000"/>
                <w:sz w:val="18"/>
                <w:szCs w:val="18"/>
                <w:lang w:eastAsia="tr-TR"/>
              </w:rPr>
            </w:pPr>
            <w:r w:rsidRPr="00005453">
              <w:rPr>
                <w:color w:val="000000"/>
                <w:sz w:val="18"/>
                <w:szCs w:val="18"/>
              </w:rPr>
              <w:t>-</w:t>
            </w:r>
          </w:p>
        </w:tc>
      </w:tr>
      <w:tr w:rsidR="00A61ADC" w:rsidRPr="00005453" w14:paraId="6D28718C"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FF8F299" w14:textId="77777777" w:rsidR="00A61ADC" w:rsidRPr="00005453" w:rsidRDefault="00A61ADC" w:rsidP="00A61ADC">
            <w:pPr>
              <w:jc w:val="right"/>
              <w:rPr>
                <w:color w:val="000000"/>
                <w:sz w:val="18"/>
                <w:szCs w:val="18"/>
                <w:lang w:eastAsia="tr-TR"/>
              </w:rPr>
            </w:pPr>
            <w:r w:rsidRPr="00005453">
              <w:rPr>
                <w:color w:val="000000"/>
                <w:sz w:val="18"/>
                <w:szCs w:val="18"/>
                <w:lang w:eastAsia="tr-TR"/>
              </w:rPr>
              <w:t>8</w:t>
            </w:r>
          </w:p>
        </w:tc>
        <w:tc>
          <w:tcPr>
            <w:tcW w:w="5697" w:type="dxa"/>
            <w:tcBorders>
              <w:top w:val="nil"/>
              <w:left w:val="nil"/>
              <w:bottom w:val="single" w:sz="8" w:space="0" w:color="auto"/>
              <w:right w:val="single" w:sz="8" w:space="0" w:color="auto"/>
            </w:tcBorders>
            <w:shd w:val="clear" w:color="auto" w:fill="auto"/>
            <w:noWrap/>
            <w:vAlign w:val="center"/>
            <w:hideMark/>
          </w:tcPr>
          <w:p w14:paraId="1C7FC2BB" w14:textId="77777777" w:rsidR="00A61ADC" w:rsidRPr="00005453" w:rsidRDefault="00A61ADC" w:rsidP="00A61ADC">
            <w:pPr>
              <w:rPr>
                <w:b/>
                <w:bCs/>
                <w:color w:val="000000"/>
                <w:sz w:val="18"/>
                <w:szCs w:val="18"/>
                <w:lang w:eastAsia="tr-TR"/>
              </w:rPr>
            </w:pPr>
            <w:r w:rsidRPr="00005453">
              <w:rPr>
                <w:b/>
                <w:bCs/>
                <w:color w:val="000000"/>
                <w:sz w:val="18"/>
                <w:szCs w:val="18"/>
                <w:lang w:eastAsia="tr-TR"/>
              </w:rPr>
              <w:t>Menkul kıymetleştirme</w:t>
            </w:r>
          </w:p>
        </w:tc>
        <w:tc>
          <w:tcPr>
            <w:tcW w:w="1560" w:type="dxa"/>
            <w:tcBorders>
              <w:top w:val="nil"/>
              <w:left w:val="nil"/>
              <w:bottom w:val="single" w:sz="8" w:space="0" w:color="auto"/>
              <w:right w:val="single" w:sz="8" w:space="0" w:color="auto"/>
            </w:tcBorders>
            <w:shd w:val="clear" w:color="auto" w:fill="auto"/>
            <w:noWrap/>
            <w:vAlign w:val="center"/>
            <w:hideMark/>
          </w:tcPr>
          <w:p w14:paraId="6C5E5008" w14:textId="7C6BA8B1" w:rsidR="00A61ADC" w:rsidRPr="00005453" w:rsidRDefault="00A61ADC" w:rsidP="00A61ADC">
            <w:pPr>
              <w:jc w:val="right"/>
              <w:rPr>
                <w:color w:val="000000"/>
                <w:sz w:val="18"/>
                <w:szCs w:val="18"/>
                <w:lang w:eastAsia="tr-TR"/>
              </w:rPr>
            </w:pPr>
            <w:r w:rsidRPr="00005453">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79312369" w14:textId="233A71F6" w:rsidR="00A61ADC" w:rsidRPr="00005453" w:rsidRDefault="00A61ADC" w:rsidP="00A61ADC">
            <w:pPr>
              <w:jc w:val="right"/>
              <w:rPr>
                <w:color w:val="000000"/>
                <w:sz w:val="18"/>
                <w:szCs w:val="18"/>
                <w:lang w:eastAsia="tr-TR"/>
              </w:rPr>
            </w:pPr>
            <w:r w:rsidRPr="00005453">
              <w:rPr>
                <w:color w:val="000000"/>
                <w:sz w:val="18"/>
                <w:szCs w:val="18"/>
              </w:rPr>
              <w:t>-</w:t>
            </w:r>
          </w:p>
        </w:tc>
      </w:tr>
      <w:tr w:rsidR="00A61ADC" w:rsidRPr="00005453" w14:paraId="6058FC4A" w14:textId="77777777" w:rsidTr="00A61ADC">
        <w:trPr>
          <w:divId w:val="1765221520"/>
          <w:trHeight w:val="20"/>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398F22F" w14:textId="77777777" w:rsidR="00A61ADC" w:rsidRPr="00005453" w:rsidRDefault="00A61ADC" w:rsidP="00A61ADC">
            <w:pPr>
              <w:jc w:val="right"/>
              <w:rPr>
                <w:color w:val="000000"/>
                <w:sz w:val="18"/>
                <w:szCs w:val="18"/>
                <w:lang w:eastAsia="tr-TR"/>
              </w:rPr>
            </w:pPr>
            <w:r w:rsidRPr="00005453">
              <w:rPr>
                <w:color w:val="000000"/>
                <w:sz w:val="18"/>
                <w:szCs w:val="18"/>
                <w:lang w:eastAsia="tr-TR"/>
              </w:rPr>
              <w:t>9</w:t>
            </w:r>
          </w:p>
        </w:tc>
        <w:tc>
          <w:tcPr>
            <w:tcW w:w="5697" w:type="dxa"/>
            <w:tcBorders>
              <w:top w:val="nil"/>
              <w:left w:val="nil"/>
              <w:bottom w:val="single" w:sz="8" w:space="0" w:color="auto"/>
              <w:right w:val="single" w:sz="8" w:space="0" w:color="auto"/>
            </w:tcBorders>
            <w:shd w:val="clear" w:color="auto" w:fill="auto"/>
            <w:noWrap/>
            <w:vAlign w:val="center"/>
            <w:hideMark/>
          </w:tcPr>
          <w:p w14:paraId="5D8FC552" w14:textId="77777777" w:rsidR="00A61ADC" w:rsidRPr="00005453" w:rsidRDefault="00A61ADC" w:rsidP="00A61ADC">
            <w:pPr>
              <w:rPr>
                <w:b/>
                <w:bCs/>
                <w:color w:val="000000"/>
                <w:sz w:val="18"/>
                <w:szCs w:val="18"/>
                <w:lang w:eastAsia="tr-TR"/>
              </w:rPr>
            </w:pPr>
            <w:r w:rsidRPr="00005453">
              <w:rPr>
                <w:b/>
                <w:bCs/>
                <w:color w:val="000000"/>
                <w:sz w:val="18"/>
                <w:szCs w:val="18"/>
                <w:lang w:eastAsia="tr-TR"/>
              </w:rPr>
              <w:t>Toplam</w:t>
            </w:r>
          </w:p>
        </w:tc>
        <w:tc>
          <w:tcPr>
            <w:tcW w:w="1560" w:type="dxa"/>
            <w:tcBorders>
              <w:top w:val="nil"/>
              <w:left w:val="nil"/>
              <w:bottom w:val="single" w:sz="8" w:space="0" w:color="auto"/>
              <w:right w:val="single" w:sz="8" w:space="0" w:color="auto"/>
            </w:tcBorders>
            <w:shd w:val="clear" w:color="auto" w:fill="auto"/>
            <w:noWrap/>
            <w:vAlign w:val="center"/>
            <w:hideMark/>
          </w:tcPr>
          <w:p w14:paraId="6F91C93B" w14:textId="0CF1A7B7" w:rsidR="00A61ADC" w:rsidRPr="00005453" w:rsidRDefault="00A61ADC" w:rsidP="00A61ADC">
            <w:pPr>
              <w:jc w:val="right"/>
              <w:rPr>
                <w:b/>
                <w:bCs/>
                <w:color w:val="000000"/>
                <w:sz w:val="18"/>
                <w:szCs w:val="18"/>
                <w:lang w:eastAsia="tr-TR"/>
              </w:rPr>
            </w:pPr>
            <w:r w:rsidRPr="00005453">
              <w:rPr>
                <w:b/>
                <w:bCs/>
                <w:color w:val="000000"/>
                <w:sz w:val="18"/>
                <w:szCs w:val="18"/>
                <w:lang w:eastAsia="tr-TR"/>
              </w:rPr>
              <w:t>44,449,178</w:t>
            </w:r>
          </w:p>
        </w:tc>
        <w:tc>
          <w:tcPr>
            <w:tcW w:w="1560" w:type="dxa"/>
            <w:tcBorders>
              <w:top w:val="nil"/>
              <w:left w:val="nil"/>
              <w:bottom w:val="single" w:sz="8" w:space="0" w:color="auto"/>
              <w:right w:val="single" w:sz="8" w:space="0" w:color="auto"/>
            </w:tcBorders>
            <w:shd w:val="clear" w:color="auto" w:fill="auto"/>
            <w:noWrap/>
            <w:vAlign w:val="center"/>
            <w:hideMark/>
          </w:tcPr>
          <w:p w14:paraId="46E1D298" w14:textId="7895AE55" w:rsidR="00A61ADC" w:rsidRPr="00005453" w:rsidRDefault="00A61ADC" w:rsidP="00A61ADC">
            <w:pPr>
              <w:jc w:val="right"/>
              <w:rPr>
                <w:b/>
                <w:bCs/>
                <w:color w:val="000000"/>
                <w:sz w:val="18"/>
                <w:szCs w:val="18"/>
                <w:lang w:eastAsia="tr-TR"/>
              </w:rPr>
            </w:pPr>
            <w:r w:rsidRPr="00005453">
              <w:rPr>
                <w:b/>
                <w:bCs/>
                <w:color w:val="000000"/>
                <w:sz w:val="18"/>
                <w:szCs w:val="18"/>
              </w:rPr>
              <w:t>49,803,589</w:t>
            </w:r>
          </w:p>
        </w:tc>
      </w:tr>
      <w:bookmarkEnd w:id="65"/>
    </w:tbl>
    <w:p w14:paraId="06ABFBD7" w14:textId="0B10178F" w:rsidR="00476292" w:rsidRPr="00005453" w:rsidRDefault="00476292" w:rsidP="00F66130">
      <w:pPr>
        <w:pStyle w:val="BodyText"/>
        <w:ind w:left="540" w:hanging="540"/>
        <w:jc w:val="left"/>
        <w:rPr>
          <w:lang w:val="en-GB" w:eastAsia="en-GB"/>
        </w:rPr>
      </w:pPr>
    </w:p>
    <w:p w14:paraId="78088D40" w14:textId="22E15E24" w:rsidR="00476292" w:rsidRPr="00005453" w:rsidRDefault="00476292" w:rsidP="00F66130">
      <w:pPr>
        <w:pStyle w:val="BodyText"/>
        <w:ind w:left="540" w:hanging="540"/>
        <w:jc w:val="left"/>
        <w:rPr>
          <w:b/>
          <w:bCs/>
          <w:lang w:eastAsia="zh-CN"/>
        </w:rPr>
      </w:pPr>
    </w:p>
    <w:p w14:paraId="0ADDEE4F" w14:textId="77777777" w:rsidR="00476292" w:rsidRPr="00005453" w:rsidRDefault="00476292" w:rsidP="00F66130">
      <w:pPr>
        <w:pStyle w:val="BodyText"/>
        <w:ind w:left="540" w:hanging="540"/>
        <w:jc w:val="left"/>
        <w:rPr>
          <w:b/>
          <w:bCs/>
          <w:lang w:eastAsia="zh-CN"/>
        </w:rPr>
      </w:pPr>
    </w:p>
    <w:p w14:paraId="0CC57520" w14:textId="77777777" w:rsidR="00476292" w:rsidRPr="00005453" w:rsidRDefault="00476292" w:rsidP="00F66130">
      <w:pPr>
        <w:pStyle w:val="BodyText"/>
        <w:ind w:left="540" w:hanging="540"/>
        <w:jc w:val="left"/>
        <w:rPr>
          <w:b/>
          <w:bCs/>
          <w:lang w:eastAsia="zh-CN"/>
        </w:rPr>
      </w:pPr>
    </w:p>
    <w:p w14:paraId="20AA4E66" w14:textId="77777777" w:rsidR="00476292" w:rsidRPr="00005453" w:rsidRDefault="00476292" w:rsidP="00F66130">
      <w:pPr>
        <w:pStyle w:val="BodyText"/>
        <w:ind w:left="540" w:hanging="540"/>
        <w:jc w:val="left"/>
        <w:rPr>
          <w:b/>
          <w:bCs/>
          <w:lang w:eastAsia="zh-CN"/>
        </w:rPr>
      </w:pPr>
    </w:p>
    <w:p w14:paraId="30DE279C" w14:textId="77777777" w:rsidR="00476292" w:rsidRPr="00005453" w:rsidRDefault="00476292" w:rsidP="00F66130">
      <w:pPr>
        <w:pStyle w:val="BodyText"/>
        <w:ind w:left="540" w:hanging="540"/>
        <w:jc w:val="left"/>
        <w:rPr>
          <w:b/>
          <w:bCs/>
          <w:lang w:eastAsia="zh-CN"/>
        </w:rPr>
      </w:pPr>
    </w:p>
    <w:p w14:paraId="530319EA" w14:textId="77777777" w:rsidR="00476292" w:rsidRPr="00005453" w:rsidRDefault="00476292" w:rsidP="00F66130">
      <w:pPr>
        <w:pStyle w:val="BodyText"/>
        <w:ind w:left="540" w:hanging="540"/>
        <w:jc w:val="left"/>
        <w:rPr>
          <w:b/>
          <w:bCs/>
          <w:lang w:eastAsia="zh-CN"/>
        </w:rPr>
      </w:pPr>
    </w:p>
    <w:p w14:paraId="38799F61" w14:textId="77777777" w:rsidR="00476292" w:rsidRPr="00005453" w:rsidRDefault="00476292" w:rsidP="00F66130">
      <w:pPr>
        <w:pStyle w:val="BodyText"/>
        <w:ind w:left="540" w:hanging="540"/>
        <w:jc w:val="left"/>
        <w:rPr>
          <w:b/>
          <w:bCs/>
          <w:lang w:eastAsia="zh-CN"/>
        </w:rPr>
      </w:pPr>
    </w:p>
    <w:p w14:paraId="493F0BCC" w14:textId="1DDBA7F6" w:rsidR="00476292" w:rsidRPr="00005453" w:rsidRDefault="00476292" w:rsidP="00F66130">
      <w:pPr>
        <w:pStyle w:val="BodyText"/>
        <w:ind w:left="540" w:hanging="540"/>
        <w:jc w:val="left"/>
        <w:rPr>
          <w:b/>
          <w:bCs/>
          <w:lang w:eastAsia="zh-CN"/>
        </w:rPr>
      </w:pPr>
    </w:p>
    <w:p w14:paraId="0EC73960" w14:textId="77777777" w:rsidR="00476292" w:rsidRPr="00005453" w:rsidRDefault="00476292" w:rsidP="00F66130">
      <w:pPr>
        <w:pStyle w:val="BodyText"/>
        <w:ind w:left="540" w:hanging="540"/>
        <w:jc w:val="left"/>
        <w:rPr>
          <w:b/>
          <w:bCs/>
          <w:lang w:eastAsia="zh-CN"/>
        </w:rPr>
      </w:pPr>
    </w:p>
    <w:p w14:paraId="2EFBF800" w14:textId="77777777" w:rsidR="00476292" w:rsidRPr="00005453" w:rsidRDefault="00476292" w:rsidP="00F66130">
      <w:pPr>
        <w:pStyle w:val="BodyText"/>
        <w:ind w:left="540" w:hanging="540"/>
        <w:jc w:val="left"/>
        <w:rPr>
          <w:b/>
          <w:bCs/>
          <w:lang w:eastAsia="zh-CN"/>
        </w:rPr>
      </w:pPr>
    </w:p>
    <w:p w14:paraId="494093AC" w14:textId="77777777" w:rsidR="00476292" w:rsidRPr="00005453" w:rsidRDefault="00476292" w:rsidP="00F66130">
      <w:pPr>
        <w:pStyle w:val="BodyText"/>
        <w:ind w:left="540" w:hanging="540"/>
        <w:jc w:val="left"/>
        <w:rPr>
          <w:b/>
          <w:bCs/>
          <w:lang w:eastAsia="zh-CN"/>
        </w:rPr>
      </w:pPr>
    </w:p>
    <w:p w14:paraId="137771AB" w14:textId="77777777" w:rsidR="00476292" w:rsidRPr="00005453" w:rsidRDefault="00476292" w:rsidP="00F66130">
      <w:pPr>
        <w:pStyle w:val="BodyText"/>
        <w:ind w:left="540" w:hanging="540"/>
        <w:jc w:val="left"/>
        <w:rPr>
          <w:b/>
          <w:bCs/>
          <w:lang w:eastAsia="zh-CN"/>
        </w:rPr>
      </w:pPr>
    </w:p>
    <w:p w14:paraId="710F02CD" w14:textId="77777777" w:rsidR="00476292" w:rsidRPr="00005453" w:rsidRDefault="00476292" w:rsidP="00F66130">
      <w:pPr>
        <w:pStyle w:val="BodyText"/>
        <w:ind w:left="540" w:hanging="540"/>
        <w:jc w:val="left"/>
        <w:rPr>
          <w:b/>
          <w:bCs/>
          <w:lang w:eastAsia="zh-CN"/>
        </w:rPr>
      </w:pPr>
    </w:p>
    <w:p w14:paraId="4AE69346" w14:textId="77777777" w:rsidR="00476292" w:rsidRPr="00005453" w:rsidRDefault="00476292" w:rsidP="00F66130">
      <w:pPr>
        <w:pStyle w:val="BodyText"/>
        <w:ind w:left="540" w:hanging="540"/>
        <w:jc w:val="left"/>
        <w:rPr>
          <w:b/>
          <w:bCs/>
          <w:lang w:eastAsia="zh-CN"/>
        </w:rPr>
      </w:pPr>
    </w:p>
    <w:p w14:paraId="74F8F5BC" w14:textId="77777777" w:rsidR="00F20AF5" w:rsidRPr="00005453" w:rsidRDefault="00F20AF5">
      <w:pPr>
        <w:rPr>
          <w:b/>
          <w:lang w:eastAsia="x-none"/>
        </w:rPr>
      </w:pPr>
      <w:bookmarkStart w:id="66" w:name="_Hlk94519235"/>
      <w:r w:rsidRPr="00005453">
        <w:rPr>
          <w:b/>
        </w:rPr>
        <w:br w:type="page"/>
      </w:r>
    </w:p>
    <w:p w14:paraId="5630C768" w14:textId="72BE3A34" w:rsidR="001D4F7C" w:rsidRPr="00005453" w:rsidRDefault="001D4F7C" w:rsidP="001D4F7C">
      <w:pPr>
        <w:pStyle w:val="BodyText"/>
        <w:ind w:hanging="567"/>
        <w:jc w:val="left"/>
        <w:rPr>
          <w:b/>
        </w:rPr>
      </w:pPr>
      <w:bookmarkStart w:id="67" w:name="_Hlk156828719"/>
      <w:r w:rsidRPr="00005453">
        <w:rPr>
          <w:b/>
        </w:rPr>
        <w:lastRenderedPageBreak/>
        <w:t xml:space="preserve">13.4. </w:t>
      </w:r>
      <w:r w:rsidR="00346550" w:rsidRPr="00005453">
        <w:rPr>
          <w:b/>
        </w:rPr>
        <w:tab/>
      </w:r>
      <w:r w:rsidRPr="00005453">
        <w:rPr>
          <w:b/>
        </w:rPr>
        <w:t>Operasyonel riske ilişkin açıklamalar</w:t>
      </w:r>
    </w:p>
    <w:p w14:paraId="2F20A8C3" w14:textId="038BBD14" w:rsidR="00D22163" w:rsidRPr="00005453" w:rsidRDefault="00D22163" w:rsidP="00F66130">
      <w:pPr>
        <w:pStyle w:val="BodyText"/>
        <w:ind w:left="540" w:hanging="540"/>
        <w:jc w:val="left"/>
        <w:rPr>
          <w:sz w:val="12"/>
          <w:lang w:val="en-GB" w:eastAsia="en-GB"/>
        </w:rPr>
      </w:pPr>
    </w:p>
    <w:p w14:paraId="10B1478F" w14:textId="07CA41D2" w:rsidR="006D628E" w:rsidRPr="00005453" w:rsidRDefault="00596584" w:rsidP="00F069B4">
      <w:pPr>
        <w:autoSpaceDE w:val="0"/>
        <w:autoSpaceDN w:val="0"/>
        <w:adjustRightInd w:val="0"/>
        <w:jc w:val="both"/>
        <w:rPr>
          <w:rFonts w:eastAsia="Calibri"/>
          <w:noProof/>
        </w:rPr>
      </w:pPr>
      <w:r w:rsidRPr="00005453">
        <w:rPr>
          <w:rFonts w:eastAsia="Calibri"/>
          <w:noProof/>
        </w:rPr>
        <w:t>Banka’nın operasyonel risk hesaplamasında “Temel Gösterge Yöntemi” kullanılmıştır. Operasyonel riske esas tutar, 6 Eylül 2014 tarih ve 29111 sayılı Resmi Gazete’de yayımlanan “Bankaların Sermaye Yeterliliğinin Ölçülmesi ve Değerlendirilmesine İlişkin Yönetmelikin Üçüncü Bölümü “Operasyonel Riske Esas Tutarın Hesaplanması” uyarınca Banka’nın son 3 yılına ait olan 202</w:t>
      </w:r>
      <w:r w:rsidR="003B6607" w:rsidRPr="00005453">
        <w:rPr>
          <w:rFonts w:eastAsia="Calibri"/>
          <w:noProof/>
        </w:rPr>
        <w:t>3</w:t>
      </w:r>
      <w:r w:rsidRPr="00005453">
        <w:rPr>
          <w:rFonts w:eastAsia="Calibri"/>
          <w:noProof/>
        </w:rPr>
        <w:t>, 202</w:t>
      </w:r>
      <w:r w:rsidR="003B6607" w:rsidRPr="00005453">
        <w:rPr>
          <w:rFonts w:eastAsia="Calibri"/>
          <w:noProof/>
        </w:rPr>
        <w:t>2</w:t>
      </w:r>
      <w:r w:rsidRPr="00005453">
        <w:rPr>
          <w:rFonts w:eastAsia="Calibri"/>
          <w:noProof/>
        </w:rPr>
        <w:t xml:space="preserve"> ve 202</w:t>
      </w:r>
      <w:r w:rsidR="003B6607" w:rsidRPr="00005453">
        <w:rPr>
          <w:rFonts w:eastAsia="Calibri"/>
          <w:noProof/>
        </w:rPr>
        <w:t>1</w:t>
      </w:r>
      <w:r w:rsidRPr="00005453">
        <w:rPr>
          <w:rFonts w:eastAsia="Calibri"/>
          <w:noProof/>
        </w:rPr>
        <w:t xml:space="preserve"> yılsonu brüt gelirleri kullanılmak suretiyle hesaplanmıştır.Yıllık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no’lu dipnotunda belirtilen “Sermaye yeterliliği standart oranı” kapsamındaki operasyonel riskin hesaplanmasında kullanılan </w:t>
      </w:r>
      <w:r w:rsidR="00711FF8" w:rsidRPr="00005453">
        <w:rPr>
          <w:rFonts w:eastAsia="Calibri"/>
          <w:noProof/>
        </w:rPr>
        <w:t>88,746</w:t>
      </w:r>
      <w:r w:rsidRPr="00005453">
        <w:rPr>
          <w:rFonts w:eastAsia="Calibri"/>
          <w:noProof/>
        </w:rPr>
        <w:t>,</w:t>
      </w:r>
      <w:r w:rsidR="00711FF8" w:rsidRPr="00005453">
        <w:rPr>
          <w:rFonts w:eastAsia="Calibri"/>
          <w:noProof/>
        </w:rPr>
        <w:t>351</w:t>
      </w:r>
      <w:r w:rsidRPr="00005453">
        <w:rPr>
          <w:rFonts w:eastAsia="Calibri"/>
          <w:noProof/>
        </w:rPr>
        <w:t xml:space="preserve"> TL’nin %8’ine isabet eden bölümü olan </w:t>
      </w:r>
      <w:r w:rsidR="00C14250" w:rsidRPr="00005453">
        <w:rPr>
          <w:rFonts w:eastAsia="Calibri"/>
          <w:noProof/>
        </w:rPr>
        <w:t>7</w:t>
      </w:r>
      <w:r w:rsidRPr="00005453">
        <w:rPr>
          <w:rFonts w:eastAsia="Calibri"/>
          <w:noProof/>
        </w:rPr>
        <w:t>,</w:t>
      </w:r>
      <w:r w:rsidR="00711FF8" w:rsidRPr="00005453">
        <w:rPr>
          <w:rFonts w:eastAsia="Calibri"/>
          <w:noProof/>
        </w:rPr>
        <w:t>099</w:t>
      </w:r>
      <w:r w:rsidRPr="00005453">
        <w:rPr>
          <w:rFonts w:eastAsia="Calibri"/>
          <w:noProof/>
        </w:rPr>
        <w:t>,</w:t>
      </w:r>
      <w:r w:rsidR="00711FF8" w:rsidRPr="00005453">
        <w:rPr>
          <w:rFonts w:eastAsia="Calibri"/>
          <w:noProof/>
        </w:rPr>
        <w:t>708</w:t>
      </w:r>
      <w:r w:rsidRPr="00005453">
        <w:rPr>
          <w:rFonts w:eastAsia="Calibri"/>
          <w:noProof/>
        </w:rPr>
        <w:t xml:space="preserve"> TL maruz kalınabilecek operasyonel riski temsil etmektedir. </w:t>
      </w:r>
      <w:r w:rsidR="00C14250" w:rsidRPr="00005453">
        <w:rPr>
          <w:rFonts w:eastAsia="Calibri"/>
          <w:noProof/>
        </w:rPr>
        <w:t>7</w:t>
      </w:r>
      <w:r w:rsidRPr="00005453">
        <w:rPr>
          <w:rFonts w:eastAsia="Calibri"/>
          <w:noProof/>
        </w:rPr>
        <w:t>,</w:t>
      </w:r>
      <w:r w:rsidR="00711FF8" w:rsidRPr="00005453">
        <w:rPr>
          <w:rFonts w:eastAsia="Calibri"/>
          <w:noProof/>
        </w:rPr>
        <w:t>099</w:t>
      </w:r>
      <w:r w:rsidRPr="00005453">
        <w:rPr>
          <w:rFonts w:eastAsia="Calibri"/>
          <w:noProof/>
        </w:rPr>
        <w:t>,</w:t>
      </w:r>
      <w:r w:rsidR="00711FF8" w:rsidRPr="00005453">
        <w:rPr>
          <w:rFonts w:eastAsia="Calibri"/>
          <w:noProof/>
        </w:rPr>
        <w:t>708</w:t>
      </w:r>
      <w:r w:rsidRPr="00005453">
        <w:rPr>
          <w:rFonts w:eastAsia="Calibri"/>
          <w:noProof/>
        </w:rPr>
        <w:t xml:space="preserve"> TL aynı zamanda söz konusu riskin ortadan kaldırılması için gereken minimum sermaye tutarını ifade etmektedir.</w:t>
      </w:r>
    </w:p>
    <w:p w14:paraId="135FF057" w14:textId="77777777" w:rsidR="00596584" w:rsidRPr="00005453" w:rsidRDefault="00596584" w:rsidP="00FB3FCF">
      <w:pPr>
        <w:autoSpaceDE w:val="0"/>
        <w:autoSpaceDN w:val="0"/>
        <w:adjustRightInd w:val="0"/>
        <w:rPr>
          <w:lang w:eastAsia="en-GB"/>
        </w:rPr>
      </w:pPr>
    </w:p>
    <w:tbl>
      <w:tblPr>
        <w:tblW w:w="9488" w:type="dxa"/>
        <w:tblCellMar>
          <w:left w:w="70" w:type="dxa"/>
          <w:right w:w="70" w:type="dxa"/>
        </w:tblCellMar>
        <w:tblLook w:val="04A0" w:firstRow="1" w:lastRow="0" w:firstColumn="1" w:lastColumn="0" w:noHBand="0" w:noVBand="1"/>
      </w:tblPr>
      <w:tblGrid>
        <w:gridCol w:w="3539"/>
        <w:gridCol w:w="961"/>
        <w:gridCol w:w="1165"/>
        <w:gridCol w:w="961"/>
        <w:gridCol w:w="860"/>
        <w:gridCol w:w="556"/>
        <w:gridCol w:w="1446"/>
      </w:tblGrid>
      <w:tr w:rsidR="009B115F" w:rsidRPr="00005453" w14:paraId="3D385FF3" w14:textId="77777777" w:rsidTr="001A491C">
        <w:trPr>
          <w:divId w:val="26371443"/>
          <w:trHeight w:val="877"/>
        </w:trPr>
        <w:tc>
          <w:tcPr>
            <w:tcW w:w="35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BB3F81" w14:textId="0F42CCA3" w:rsidR="006D628E" w:rsidRPr="00005453" w:rsidRDefault="006D628E" w:rsidP="006D628E">
            <w:pPr>
              <w:rPr>
                <w:b/>
                <w:bCs/>
                <w:color w:val="000000"/>
                <w:sz w:val="16"/>
                <w:szCs w:val="16"/>
                <w:lang w:eastAsia="tr-TR"/>
              </w:rPr>
            </w:pPr>
            <w:r w:rsidRPr="00005453">
              <w:rPr>
                <w:b/>
                <w:bCs/>
                <w:snapToGrid w:val="0"/>
                <w:color w:val="000000"/>
                <w:sz w:val="16"/>
                <w:szCs w:val="16"/>
                <w:lang w:eastAsia="tr-TR"/>
              </w:rPr>
              <w:t xml:space="preserve">Cari Dönem </w:t>
            </w:r>
          </w:p>
        </w:tc>
        <w:tc>
          <w:tcPr>
            <w:tcW w:w="9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7FEC77" w14:textId="4DD0D8C9" w:rsidR="006D628E" w:rsidRPr="00005453" w:rsidRDefault="006D628E" w:rsidP="006D628E">
            <w:pPr>
              <w:jc w:val="right"/>
              <w:rPr>
                <w:b/>
                <w:bCs/>
                <w:sz w:val="16"/>
                <w:szCs w:val="16"/>
                <w:lang w:eastAsia="tr-TR"/>
              </w:rPr>
            </w:pPr>
            <w:r w:rsidRPr="00005453">
              <w:rPr>
                <w:b/>
                <w:bCs/>
                <w:snapToGrid w:val="0"/>
                <w:sz w:val="16"/>
                <w:szCs w:val="16"/>
                <w:lang w:eastAsia="tr-TR"/>
              </w:rPr>
              <w:t>31/12/20</w:t>
            </w:r>
            <w:r w:rsidR="00596584" w:rsidRPr="00005453">
              <w:rPr>
                <w:b/>
                <w:bCs/>
                <w:snapToGrid w:val="0"/>
                <w:sz w:val="16"/>
                <w:szCs w:val="16"/>
                <w:lang w:eastAsia="tr-TR"/>
              </w:rPr>
              <w:t>2</w:t>
            </w:r>
            <w:r w:rsidR="00893B48" w:rsidRPr="00005453">
              <w:rPr>
                <w:b/>
                <w:bCs/>
                <w:snapToGrid w:val="0"/>
                <w:sz w:val="16"/>
                <w:szCs w:val="16"/>
                <w:lang w:eastAsia="tr-TR"/>
              </w:rPr>
              <w:t>1</w:t>
            </w:r>
            <w:r w:rsidRPr="00005453">
              <w:rPr>
                <w:b/>
                <w:bCs/>
                <w:snapToGrid w:val="0"/>
                <w:sz w:val="16"/>
                <w:szCs w:val="16"/>
                <w:lang w:eastAsia="tr-TR"/>
              </w:rPr>
              <w:t xml:space="preserve"> Tutar</w:t>
            </w:r>
          </w:p>
        </w:tc>
        <w:tc>
          <w:tcPr>
            <w:tcW w:w="116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9F5856" w14:textId="496AAC59" w:rsidR="006D628E" w:rsidRPr="00005453" w:rsidRDefault="006D628E" w:rsidP="006D628E">
            <w:pPr>
              <w:jc w:val="right"/>
              <w:rPr>
                <w:b/>
                <w:bCs/>
                <w:sz w:val="16"/>
                <w:szCs w:val="16"/>
                <w:lang w:eastAsia="tr-TR"/>
              </w:rPr>
            </w:pPr>
            <w:r w:rsidRPr="00005453">
              <w:rPr>
                <w:b/>
                <w:bCs/>
                <w:snapToGrid w:val="0"/>
                <w:sz w:val="16"/>
                <w:szCs w:val="16"/>
                <w:lang w:eastAsia="tr-TR"/>
              </w:rPr>
              <w:t>31/12/20</w:t>
            </w:r>
            <w:r w:rsidR="00F57DCD" w:rsidRPr="00005453">
              <w:rPr>
                <w:b/>
                <w:bCs/>
                <w:snapToGrid w:val="0"/>
                <w:sz w:val="16"/>
                <w:szCs w:val="16"/>
                <w:lang w:eastAsia="tr-TR"/>
              </w:rPr>
              <w:t>2</w:t>
            </w:r>
            <w:r w:rsidR="00893B48" w:rsidRPr="00005453">
              <w:rPr>
                <w:b/>
                <w:bCs/>
                <w:snapToGrid w:val="0"/>
                <w:sz w:val="16"/>
                <w:szCs w:val="16"/>
                <w:lang w:eastAsia="tr-TR"/>
              </w:rPr>
              <w:t>2</w:t>
            </w:r>
            <w:r w:rsidRPr="00005453">
              <w:rPr>
                <w:b/>
                <w:bCs/>
                <w:snapToGrid w:val="0"/>
                <w:sz w:val="16"/>
                <w:szCs w:val="16"/>
                <w:lang w:eastAsia="tr-TR"/>
              </w:rPr>
              <w:t xml:space="preserve"> Tutar</w:t>
            </w:r>
          </w:p>
        </w:tc>
        <w:tc>
          <w:tcPr>
            <w:tcW w:w="9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CC38A" w14:textId="0DF2E280" w:rsidR="006D628E" w:rsidRPr="00005453" w:rsidRDefault="006D628E" w:rsidP="006D628E">
            <w:pPr>
              <w:jc w:val="right"/>
              <w:rPr>
                <w:b/>
                <w:bCs/>
                <w:sz w:val="16"/>
                <w:szCs w:val="16"/>
                <w:lang w:eastAsia="tr-TR"/>
              </w:rPr>
            </w:pPr>
            <w:r w:rsidRPr="00005453">
              <w:rPr>
                <w:b/>
                <w:bCs/>
                <w:snapToGrid w:val="0"/>
                <w:sz w:val="16"/>
                <w:szCs w:val="16"/>
                <w:lang w:eastAsia="tr-TR"/>
              </w:rPr>
              <w:t>31/12/202</w:t>
            </w:r>
            <w:r w:rsidR="00893B48" w:rsidRPr="00005453">
              <w:rPr>
                <w:b/>
                <w:bCs/>
                <w:snapToGrid w:val="0"/>
                <w:sz w:val="16"/>
                <w:szCs w:val="16"/>
                <w:lang w:eastAsia="tr-TR"/>
              </w:rPr>
              <w:t>3</w:t>
            </w:r>
            <w:r w:rsidRPr="00005453">
              <w:rPr>
                <w:b/>
                <w:bCs/>
                <w:snapToGrid w:val="0"/>
                <w:sz w:val="16"/>
                <w:szCs w:val="16"/>
                <w:lang w:eastAsia="tr-TR"/>
              </w:rPr>
              <w:t xml:space="preserve"> Tutar</w:t>
            </w:r>
          </w:p>
        </w:tc>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B67F57" w14:textId="77777777" w:rsidR="006D628E" w:rsidRPr="00005453" w:rsidRDefault="006D628E" w:rsidP="006D628E">
            <w:pPr>
              <w:jc w:val="right"/>
              <w:rPr>
                <w:b/>
                <w:bCs/>
                <w:sz w:val="16"/>
                <w:szCs w:val="16"/>
                <w:lang w:eastAsia="tr-TR"/>
              </w:rPr>
            </w:pPr>
            <w:r w:rsidRPr="00005453">
              <w:rPr>
                <w:b/>
                <w:bCs/>
                <w:snapToGrid w:val="0"/>
                <w:sz w:val="16"/>
                <w:szCs w:val="16"/>
                <w:lang w:eastAsia="tr-TR"/>
              </w:rPr>
              <w:t xml:space="preserve">Toplam/ Pozitif BG yılı </w:t>
            </w:r>
            <w:r w:rsidRPr="00005453">
              <w:rPr>
                <w:b/>
                <w:bCs/>
                <w:sz w:val="16"/>
                <w:szCs w:val="16"/>
                <w:lang w:eastAsia="tr-TR"/>
              </w:rPr>
              <w:t>sayısı</w:t>
            </w:r>
          </w:p>
        </w:tc>
        <w:tc>
          <w:tcPr>
            <w:tcW w:w="5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401056" w14:textId="77777777" w:rsidR="006D628E" w:rsidRPr="00005453" w:rsidRDefault="006D628E" w:rsidP="006D628E">
            <w:pPr>
              <w:jc w:val="right"/>
              <w:rPr>
                <w:b/>
                <w:bCs/>
                <w:sz w:val="16"/>
                <w:szCs w:val="16"/>
                <w:lang w:eastAsia="tr-TR"/>
              </w:rPr>
            </w:pPr>
            <w:r w:rsidRPr="00005453">
              <w:rPr>
                <w:b/>
                <w:bCs/>
                <w:snapToGrid w:val="0"/>
                <w:sz w:val="16"/>
                <w:szCs w:val="16"/>
                <w:lang w:eastAsia="tr-TR"/>
              </w:rPr>
              <w:t>Oran (%)</w:t>
            </w:r>
          </w:p>
        </w:tc>
        <w:tc>
          <w:tcPr>
            <w:tcW w:w="1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BF8404" w14:textId="77777777" w:rsidR="006D628E" w:rsidRPr="00005453" w:rsidRDefault="006D628E" w:rsidP="006D628E">
            <w:pPr>
              <w:jc w:val="right"/>
              <w:rPr>
                <w:b/>
                <w:bCs/>
                <w:sz w:val="16"/>
                <w:szCs w:val="16"/>
                <w:lang w:eastAsia="tr-TR"/>
              </w:rPr>
            </w:pPr>
            <w:r w:rsidRPr="00005453">
              <w:rPr>
                <w:b/>
                <w:bCs/>
                <w:snapToGrid w:val="0"/>
                <w:sz w:val="16"/>
                <w:szCs w:val="16"/>
                <w:lang w:eastAsia="tr-TR"/>
              </w:rPr>
              <w:t>Toplam</w:t>
            </w:r>
          </w:p>
        </w:tc>
      </w:tr>
      <w:tr w:rsidR="00711FF8" w:rsidRPr="00005453" w14:paraId="337A5A9C" w14:textId="77777777" w:rsidTr="00711FF8">
        <w:trPr>
          <w:divId w:val="26371443"/>
          <w:trHeight w:val="192"/>
        </w:trPr>
        <w:tc>
          <w:tcPr>
            <w:tcW w:w="35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C5C698" w14:textId="77777777" w:rsidR="00711FF8" w:rsidRPr="00005453" w:rsidRDefault="00711FF8" w:rsidP="00711FF8">
            <w:pPr>
              <w:rPr>
                <w:color w:val="000000"/>
                <w:sz w:val="16"/>
                <w:szCs w:val="16"/>
                <w:lang w:eastAsia="tr-TR"/>
              </w:rPr>
            </w:pPr>
            <w:r w:rsidRPr="00005453">
              <w:rPr>
                <w:snapToGrid w:val="0"/>
                <w:color w:val="000000"/>
                <w:sz w:val="16"/>
                <w:szCs w:val="16"/>
                <w:lang w:eastAsia="tr-TR"/>
              </w:rPr>
              <w:t>Brüt gelir</w:t>
            </w:r>
          </w:p>
        </w:tc>
        <w:tc>
          <w:tcPr>
            <w:tcW w:w="9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607C79" w14:textId="0499E149" w:rsidR="00711FF8" w:rsidRPr="00005453" w:rsidRDefault="00711FF8" w:rsidP="00711FF8">
            <w:pPr>
              <w:jc w:val="right"/>
              <w:rPr>
                <w:sz w:val="16"/>
                <w:szCs w:val="16"/>
                <w:lang w:val="en-GB"/>
              </w:rPr>
            </w:pPr>
            <w:r w:rsidRPr="00005453">
              <w:rPr>
                <w:color w:val="000000"/>
                <w:sz w:val="16"/>
                <w:szCs w:val="22"/>
              </w:rPr>
              <w:t>10,346,656</w:t>
            </w:r>
          </w:p>
        </w:tc>
        <w:tc>
          <w:tcPr>
            <w:tcW w:w="116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942431" w14:textId="0AD5F4BA" w:rsidR="00711FF8" w:rsidRPr="00005453" w:rsidRDefault="00711FF8" w:rsidP="00711FF8">
            <w:pPr>
              <w:jc w:val="right"/>
              <w:rPr>
                <w:sz w:val="16"/>
                <w:szCs w:val="16"/>
                <w:lang w:val="en-GB"/>
              </w:rPr>
            </w:pPr>
            <w:r w:rsidRPr="00005453">
              <w:rPr>
                <w:color w:val="000000"/>
                <w:sz w:val="16"/>
                <w:szCs w:val="22"/>
              </w:rPr>
              <w:t>29,881,947</w:t>
            </w:r>
          </w:p>
        </w:tc>
        <w:tc>
          <w:tcPr>
            <w:tcW w:w="9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3D5DC4" w14:textId="0379451E" w:rsidR="00711FF8" w:rsidRPr="00005453" w:rsidRDefault="00711FF8" w:rsidP="00711FF8">
            <w:pPr>
              <w:jc w:val="right"/>
              <w:rPr>
                <w:sz w:val="16"/>
                <w:szCs w:val="16"/>
                <w:lang w:val="en-GB"/>
              </w:rPr>
            </w:pPr>
            <w:r w:rsidRPr="00005453">
              <w:rPr>
                <w:color w:val="000000"/>
                <w:sz w:val="16"/>
                <w:szCs w:val="22"/>
              </w:rPr>
              <w:t>48,000,624</w:t>
            </w:r>
          </w:p>
        </w:tc>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430CAE" w14:textId="3D7DEE10" w:rsidR="00711FF8" w:rsidRPr="00005453" w:rsidRDefault="00711FF8" w:rsidP="00711FF8">
            <w:pPr>
              <w:jc w:val="right"/>
              <w:rPr>
                <w:sz w:val="16"/>
                <w:szCs w:val="16"/>
                <w:lang w:val="en-GB"/>
              </w:rPr>
            </w:pPr>
            <w:r w:rsidRPr="00005453">
              <w:rPr>
                <w:color w:val="000000"/>
                <w:sz w:val="16"/>
                <w:szCs w:val="22"/>
              </w:rPr>
              <w:t>29,409,742</w:t>
            </w:r>
          </w:p>
        </w:tc>
        <w:tc>
          <w:tcPr>
            <w:tcW w:w="5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4A5F4E" w14:textId="305628E4" w:rsidR="00711FF8" w:rsidRPr="00005453" w:rsidRDefault="00711FF8" w:rsidP="00711FF8">
            <w:pPr>
              <w:jc w:val="right"/>
              <w:rPr>
                <w:sz w:val="16"/>
                <w:szCs w:val="16"/>
                <w:lang w:val="en-GB"/>
              </w:rPr>
            </w:pPr>
            <w:r w:rsidRPr="00005453">
              <w:rPr>
                <w:color w:val="000000"/>
                <w:sz w:val="16"/>
                <w:szCs w:val="22"/>
              </w:rPr>
              <w:t>15</w:t>
            </w:r>
          </w:p>
        </w:tc>
        <w:tc>
          <w:tcPr>
            <w:tcW w:w="1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3702FD" w14:textId="02B9FAB6" w:rsidR="00711FF8" w:rsidRPr="00005453" w:rsidRDefault="00711FF8" w:rsidP="00711FF8">
            <w:pPr>
              <w:jc w:val="right"/>
              <w:rPr>
                <w:sz w:val="16"/>
                <w:szCs w:val="16"/>
                <w:lang w:val="en-GB"/>
              </w:rPr>
            </w:pPr>
            <w:r w:rsidRPr="00005453">
              <w:rPr>
                <w:color w:val="000000"/>
                <w:sz w:val="16"/>
                <w:szCs w:val="22"/>
              </w:rPr>
              <w:t>4,411,461</w:t>
            </w:r>
          </w:p>
        </w:tc>
      </w:tr>
      <w:tr w:rsidR="00B87561" w:rsidRPr="00005453" w14:paraId="6342A863" w14:textId="77777777" w:rsidTr="00711FF8">
        <w:trPr>
          <w:divId w:val="26371443"/>
          <w:trHeight w:val="192"/>
        </w:trPr>
        <w:tc>
          <w:tcPr>
            <w:tcW w:w="3539" w:type="dxa"/>
            <w:tcBorders>
              <w:top w:val="single" w:sz="8" w:space="0" w:color="auto"/>
              <w:left w:val="single" w:sz="8" w:space="0" w:color="auto"/>
              <w:bottom w:val="single" w:sz="8" w:space="0" w:color="auto"/>
              <w:right w:val="single" w:sz="8" w:space="0" w:color="auto"/>
            </w:tcBorders>
            <w:shd w:val="clear" w:color="auto" w:fill="auto"/>
            <w:noWrap/>
            <w:hideMark/>
          </w:tcPr>
          <w:p w14:paraId="77F2DD13" w14:textId="77777777" w:rsidR="00B87561" w:rsidRPr="00005453" w:rsidRDefault="00B87561" w:rsidP="00FC3363">
            <w:pPr>
              <w:rPr>
                <w:color w:val="000000"/>
                <w:sz w:val="16"/>
                <w:szCs w:val="16"/>
                <w:lang w:eastAsia="tr-TR"/>
              </w:rPr>
            </w:pPr>
            <w:r w:rsidRPr="00005453">
              <w:rPr>
                <w:iCs/>
                <w:snapToGrid w:val="0"/>
                <w:color w:val="000000"/>
                <w:sz w:val="16"/>
                <w:szCs w:val="16"/>
                <w:lang w:eastAsia="tr-TR"/>
              </w:rPr>
              <w:t xml:space="preserve">Operasyonel Riske Esas </w:t>
            </w:r>
            <w:proofErr w:type="gramStart"/>
            <w:r w:rsidRPr="00005453">
              <w:rPr>
                <w:iCs/>
                <w:snapToGrid w:val="0"/>
                <w:color w:val="000000"/>
                <w:sz w:val="16"/>
                <w:szCs w:val="16"/>
                <w:lang w:eastAsia="tr-TR"/>
              </w:rPr>
              <w:t>Tutar  (</w:t>
            </w:r>
            <w:proofErr w:type="gramEnd"/>
            <w:r w:rsidRPr="00005453">
              <w:rPr>
                <w:iCs/>
                <w:snapToGrid w:val="0"/>
                <w:color w:val="000000"/>
                <w:sz w:val="16"/>
                <w:szCs w:val="16"/>
                <w:lang w:eastAsia="tr-TR"/>
              </w:rPr>
              <w:t>Toplam*12.5)</w:t>
            </w:r>
          </w:p>
        </w:tc>
        <w:tc>
          <w:tcPr>
            <w:tcW w:w="4503"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14:paraId="3B1809E7" w14:textId="77777777" w:rsidR="00B87561" w:rsidRPr="00005453" w:rsidRDefault="00B87561" w:rsidP="00B87561">
            <w:pPr>
              <w:jc w:val="right"/>
              <w:rPr>
                <w:sz w:val="16"/>
                <w:szCs w:val="16"/>
                <w:lang w:eastAsia="tr-TR"/>
              </w:rPr>
            </w:pPr>
            <w:r w:rsidRPr="00005453">
              <w:rPr>
                <w:sz w:val="16"/>
                <w:szCs w:val="16"/>
                <w:lang w:eastAsia="tr-TR"/>
              </w:rPr>
              <w:t> </w:t>
            </w:r>
          </w:p>
        </w:tc>
        <w:tc>
          <w:tcPr>
            <w:tcW w:w="1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597949" w14:textId="1E83393D" w:rsidR="00711FF8" w:rsidRPr="00005453" w:rsidRDefault="00711FF8" w:rsidP="00711FF8">
            <w:pPr>
              <w:jc w:val="right"/>
              <w:rPr>
                <w:color w:val="000000"/>
                <w:sz w:val="16"/>
                <w:szCs w:val="22"/>
                <w:lang w:eastAsia="tr-TR"/>
              </w:rPr>
            </w:pPr>
            <w:r w:rsidRPr="00005453">
              <w:rPr>
                <w:color w:val="000000"/>
                <w:sz w:val="16"/>
                <w:szCs w:val="22"/>
              </w:rPr>
              <w:t>55,143,263</w:t>
            </w:r>
          </w:p>
          <w:p w14:paraId="2440C141" w14:textId="5B7A38B6" w:rsidR="00B87561" w:rsidRPr="00005453" w:rsidRDefault="00B87561" w:rsidP="00711FF8">
            <w:pPr>
              <w:jc w:val="right"/>
              <w:rPr>
                <w:sz w:val="16"/>
                <w:szCs w:val="16"/>
                <w:lang w:eastAsia="tr-TR"/>
              </w:rPr>
            </w:pPr>
          </w:p>
        </w:tc>
      </w:tr>
    </w:tbl>
    <w:p w14:paraId="15AF9935" w14:textId="157658A7" w:rsidR="00FB3FCF" w:rsidRPr="00005453" w:rsidRDefault="00FB3FCF" w:rsidP="00FB3FCF">
      <w:pPr>
        <w:autoSpaceDE w:val="0"/>
        <w:autoSpaceDN w:val="0"/>
        <w:adjustRightInd w:val="0"/>
        <w:rPr>
          <w:rFonts w:eastAsia="Arial Unicode MS"/>
          <w:b/>
          <w:sz w:val="18"/>
          <w:szCs w:val="18"/>
        </w:rPr>
      </w:pPr>
    </w:p>
    <w:tbl>
      <w:tblPr>
        <w:tblW w:w="9494" w:type="dxa"/>
        <w:tblLayout w:type="fixed"/>
        <w:tblCellMar>
          <w:left w:w="70" w:type="dxa"/>
          <w:right w:w="70" w:type="dxa"/>
        </w:tblCellMar>
        <w:tblLook w:val="04A0" w:firstRow="1" w:lastRow="0" w:firstColumn="1" w:lastColumn="0" w:noHBand="0" w:noVBand="1"/>
      </w:tblPr>
      <w:tblGrid>
        <w:gridCol w:w="3534"/>
        <w:gridCol w:w="992"/>
        <w:gridCol w:w="1134"/>
        <w:gridCol w:w="993"/>
        <w:gridCol w:w="992"/>
        <w:gridCol w:w="567"/>
        <w:gridCol w:w="1276"/>
        <w:gridCol w:w="6"/>
      </w:tblGrid>
      <w:tr w:rsidR="006D628E" w:rsidRPr="00005453" w14:paraId="54CE5059" w14:textId="77777777" w:rsidTr="00711FF8">
        <w:trPr>
          <w:divId w:val="672876371"/>
          <w:trHeight w:val="958"/>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297374" w14:textId="34BC2C89" w:rsidR="006D628E" w:rsidRPr="00005453" w:rsidRDefault="006D628E" w:rsidP="006D628E">
            <w:pPr>
              <w:rPr>
                <w:b/>
                <w:bCs/>
                <w:color w:val="000000"/>
                <w:sz w:val="16"/>
                <w:szCs w:val="16"/>
                <w:lang w:eastAsia="tr-TR"/>
              </w:rPr>
            </w:pPr>
            <w:r w:rsidRPr="00005453">
              <w:rPr>
                <w:b/>
                <w:bCs/>
                <w:snapToGrid w:val="0"/>
                <w:color w:val="000000"/>
                <w:sz w:val="16"/>
                <w:szCs w:val="16"/>
                <w:lang w:eastAsia="tr-TR"/>
              </w:rPr>
              <w:t xml:space="preserve">Önceki Dönem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3F1929" w14:textId="332AD857" w:rsidR="006D628E" w:rsidRPr="00005453" w:rsidRDefault="006D628E" w:rsidP="006D628E">
            <w:pPr>
              <w:jc w:val="right"/>
              <w:rPr>
                <w:b/>
                <w:bCs/>
                <w:sz w:val="16"/>
                <w:szCs w:val="16"/>
                <w:lang w:eastAsia="tr-TR"/>
              </w:rPr>
            </w:pPr>
            <w:r w:rsidRPr="00005453">
              <w:rPr>
                <w:b/>
                <w:bCs/>
                <w:snapToGrid w:val="0"/>
                <w:sz w:val="16"/>
                <w:szCs w:val="16"/>
                <w:lang w:eastAsia="tr-TR"/>
              </w:rPr>
              <w:t>31/12/20</w:t>
            </w:r>
            <w:r w:rsidR="007F6A49" w:rsidRPr="00005453">
              <w:rPr>
                <w:b/>
                <w:bCs/>
                <w:snapToGrid w:val="0"/>
                <w:sz w:val="16"/>
                <w:szCs w:val="16"/>
                <w:lang w:eastAsia="tr-TR"/>
              </w:rPr>
              <w:t>20</w:t>
            </w:r>
            <w:r w:rsidRPr="00005453">
              <w:rPr>
                <w:b/>
                <w:bCs/>
                <w:snapToGrid w:val="0"/>
                <w:sz w:val="16"/>
                <w:szCs w:val="16"/>
                <w:lang w:eastAsia="tr-TR"/>
              </w:rPr>
              <w:t xml:space="preserve"> Tutar</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B50293" w14:textId="40B1FD54" w:rsidR="006D628E" w:rsidRPr="00005453" w:rsidRDefault="006D628E" w:rsidP="006D628E">
            <w:pPr>
              <w:jc w:val="right"/>
              <w:rPr>
                <w:b/>
                <w:bCs/>
                <w:sz w:val="16"/>
                <w:szCs w:val="16"/>
                <w:lang w:eastAsia="tr-TR"/>
              </w:rPr>
            </w:pPr>
            <w:r w:rsidRPr="00005453">
              <w:rPr>
                <w:b/>
                <w:bCs/>
                <w:snapToGrid w:val="0"/>
                <w:sz w:val="16"/>
                <w:szCs w:val="16"/>
                <w:lang w:eastAsia="tr-TR"/>
              </w:rPr>
              <w:t>31/12/20</w:t>
            </w:r>
            <w:r w:rsidR="0007305A" w:rsidRPr="00005453">
              <w:rPr>
                <w:b/>
                <w:bCs/>
                <w:snapToGrid w:val="0"/>
                <w:sz w:val="16"/>
                <w:szCs w:val="16"/>
                <w:lang w:eastAsia="tr-TR"/>
              </w:rPr>
              <w:t>2</w:t>
            </w:r>
            <w:r w:rsidR="007F6A49" w:rsidRPr="00005453">
              <w:rPr>
                <w:b/>
                <w:bCs/>
                <w:snapToGrid w:val="0"/>
                <w:sz w:val="16"/>
                <w:szCs w:val="16"/>
                <w:lang w:eastAsia="tr-TR"/>
              </w:rPr>
              <w:t>1</w:t>
            </w:r>
            <w:r w:rsidRPr="00005453">
              <w:rPr>
                <w:b/>
                <w:bCs/>
                <w:snapToGrid w:val="0"/>
                <w:sz w:val="16"/>
                <w:szCs w:val="16"/>
                <w:lang w:eastAsia="tr-TR"/>
              </w:rPr>
              <w:t xml:space="preserve"> Tutar</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30A296" w14:textId="30868979" w:rsidR="006D628E" w:rsidRPr="00005453" w:rsidRDefault="006D628E" w:rsidP="006D628E">
            <w:pPr>
              <w:jc w:val="right"/>
              <w:rPr>
                <w:b/>
                <w:bCs/>
                <w:sz w:val="16"/>
                <w:szCs w:val="16"/>
                <w:lang w:eastAsia="tr-TR"/>
              </w:rPr>
            </w:pPr>
            <w:r w:rsidRPr="00005453">
              <w:rPr>
                <w:b/>
                <w:bCs/>
                <w:snapToGrid w:val="0"/>
                <w:sz w:val="16"/>
                <w:szCs w:val="16"/>
                <w:lang w:eastAsia="tr-TR"/>
              </w:rPr>
              <w:t>31/12/20</w:t>
            </w:r>
            <w:r w:rsidR="00F57DCD" w:rsidRPr="00005453">
              <w:rPr>
                <w:b/>
                <w:bCs/>
                <w:snapToGrid w:val="0"/>
                <w:sz w:val="16"/>
                <w:szCs w:val="16"/>
                <w:lang w:eastAsia="tr-TR"/>
              </w:rPr>
              <w:t>2</w:t>
            </w:r>
            <w:r w:rsidR="007F6A49" w:rsidRPr="00005453">
              <w:rPr>
                <w:b/>
                <w:bCs/>
                <w:snapToGrid w:val="0"/>
                <w:sz w:val="16"/>
                <w:szCs w:val="16"/>
                <w:lang w:eastAsia="tr-TR"/>
              </w:rPr>
              <w:t>2</w:t>
            </w:r>
            <w:r w:rsidRPr="00005453">
              <w:rPr>
                <w:b/>
                <w:bCs/>
                <w:snapToGrid w:val="0"/>
                <w:sz w:val="16"/>
                <w:szCs w:val="16"/>
                <w:lang w:eastAsia="tr-TR"/>
              </w:rPr>
              <w:t xml:space="preserve"> Tutar</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DA1E85" w14:textId="77777777" w:rsidR="006D628E" w:rsidRPr="00005453" w:rsidRDefault="006D628E" w:rsidP="006D628E">
            <w:pPr>
              <w:jc w:val="right"/>
              <w:rPr>
                <w:b/>
                <w:bCs/>
                <w:sz w:val="16"/>
                <w:szCs w:val="16"/>
                <w:lang w:eastAsia="tr-TR"/>
              </w:rPr>
            </w:pPr>
            <w:r w:rsidRPr="00005453">
              <w:rPr>
                <w:b/>
                <w:bCs/>
                <w:snapToGrid w:val="0"/>
                <w:sz w:val="16"/>
                <w:szCs w:val="16"/>
                <w:lang w:eastAsia="tr-TR"/>
              </w:rPr>
              <w:t xml:space="preserve">Toplam/ Pozitif BG yılı </w:t>
            </w:r>
            <w:r w:rsidRPr="00005453">
              <w:rPr>
                <w:b/>
                <w:bCs/>
                <w:sz w:val="16"/>
                <w:szCs w:val="16"/>
                <w:lang w:eastAsia="tr-TR"/>
              </w:rPr>
              <w:t>sayısı</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D1BFD7" w14:textId="77777777" w:rsidR="006D628E" w:rsidRPr="00005453" w:rsidRDefault="006D628E" w:rsidP="006D628E">
            <w:pPr>
              <w:jc w:val="right"/>
              <w:rPr>
                <w:b/>
                <w:bCs/>
                <w:sz w:val="16"/>
                <w:szCs w:val="16"/>
                <w:lang w:eastAsia="tr-TR"/>
              </w:rPr>
            </w:pPr>
            <w:r w:rsidRPr="00005453">
              <w:rPr>
                <w:b/>
                <w:bCs/>
                <w:snapToGrid w:val="0"/>
                <w:sz w:val="16"/>
                <w:szCs w:val="16"/>
                <w:lang w:eastAsia="tr-TR"/>
              </w:rPr>
              <w:t>Oran (%)</w:t>
            </w:r>
          </w:p>
        </w:tc>
        <w:tc>
          <w:tcPr>
            <w:tcW w:w="128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25B967C2" w14:textId="77777777" w:rsidR="006D628E" w:rsidRPr="00005453" w:rsidRDefault="006D628E" w:rsidP="006D628E">
            <w:pPr>
              <w:jc w:val="right"/>
              <w:rPr>
                <w:b/>
                <w:bCs/>
                <w:sz w:val="16"/>
                <w:szCs w:val="16"/>
                <w:lang w:eastAsia="tr-TR"/>
              </w:rPr>
            </w:pPr>
            <w:r w:rsidRPr="00005453">
              <w:rPr>
                <w:b/>
                <w:bCs/>
                <w:snapToGrid w:val="0"/>
                <w:sz w:val="16"/>
                <w:szCs w:val="16"/>
                <w:lang w:eastAsia="tr-TR"/>
              </w:rPr>
              <w:t>Toplam</w:t>
            </w:r>
          </w:p>
        </w:tc>
      </w:tr>
      <w:tr w:rsidR="00711FF8" w:rsidRPr="00005453" w14:paraId="3486628A" w14:textId="77777777" w:rsidTr="00711FF8">
        <w:trPr>
          <w:gridAfter w:val="1"/>
          <w:divId w:val="672876371"/>
          <w:wAfter w:w="6" w:type="dxa"/>
          <w:trHeight w:val="179"/>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ED3C21" w14:textId="77777777" w:rsidR="00711FF8" w:rsidRPr="00005453" w:rsidRDefault="00711FF8" w:rsidP="00711FF8">
            <w:pPr>
              <w:rPr>
                <w:color w:val="000000"/>
                <w:sz w:val="16"/>
                <w:szCs w:val="16"/>
                <w:lang w:eastAsia="tr-TR"/>
              </w:rPr>
            </w:pPr>
            <w:r w:rsidRPr="00005453">
              <w:rPr>
                <w:snapToGrid w:val="0"/>
                <w:color w:val="000000"/>
                <w:sz w:val="16"/>
                <w:szCs w:val="16"/>
                <w:lang w:eastAsia="tr-TR"/>
              </w:rPr>
              <w:t>Brüt gelir</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2870A3" w14:textId="7BB6D205" w:rsidR="00711FF8" w:rsidRPr="00005453" w:rsidRDefault="00711FF8" w:rsidP="00711FF8">
            <w:pPr>
              <w:jc w:val="right"/>
              <w:rPr>
                <w:sz w:val="16"/>
                <w:szCs w:val="16"/>
                <w:lang w:eastAsia="tr-TR"/>
              </w:rPr>
            </w:pPr>
            <w:r w:rsidRPr="00005453">
              <w:rPr>
                <w:color w:val="000000"/>
                <w:sz w:val="16"/>
                <w:szCs w:val="22"/>
              </w:rPr>
              <w:t>7,050,036</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761553" w14:textId="408371C5" w:rsidR="00711FF8" w:rsidRPr="00005453" w:rsidRDefault="00711FF8" w:rsidP="00711FF8">
            <w:pPr>
              <w:jc w:val="right"/>
              <w:rPr>
                <w:sz w:val="16"/>
                <w:szCs w:val="16"/>
                <w:lang w:eastAsia="tr-TR"/>
              </w:rPr>
            </w:pPr>
            <w:r w:rsidRPr="00005453">
              <w:rPr>
                <w:color w:val="000000"/>
                <w:sz w:val="16"/>
                <w:szCs w:val="22"/>
              </w:rPr>
              <w:t>10,346,656</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1CF196" w14:textId="466C2A3C" w:rsidR="00711FF8" w:rsidRPr="00005453" w:rsidRDefault="00711FF8" w:rsidP="00711FF8">
            <w:pPr>
              <w:jc w:val="right"/>
              <w:rPr>
                <w:sz w:val="16"/>
                <w:szCs w:val="16"/>
                <w:lang w:eastAsia="tr-TR"/>
              </w:rPr>
            </w:pPr>
            <w:r w:rsidRPr="00005453">
              <w:rPr>
                <w:color w:val="000000"/>
                <w:sz w:val="16"/>
                <w:szCs w:val="22"/>
              </w:rPr>
              <w:t>29,881,947</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6CD892" w14:textId="2C29B12C" w:rsidR="00711FF8" w:rsidRPr="00005453" w:rsidRDefault="00711FF8" w:rsidP="00711FF8">
            <w:pPr>
              <w:jc w:val="right"/>
              <w:rPr>
                <w:sz w:val="16"/>
                <w:szCs w:val="16"/>
                <w:lang w:eastAsia="tr-TR"/>
              </w:rPr>
            </w:pPr>
            <w:r w:rsidRPr="00005453">
              <w:rPr>
                <w:color w:val="000000"/>
                <w:sz w:val="16"/>
                <w:szCs w:val="22"/>
              </w:rPr>
              <w:t>15,759,546</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BCFAAF" w14:textId="2E491647" w:rsidR="00711FF8" w:rsidRPr="00005453" w:rsidRDefault="00711FF8" w:rsidP="00711FF8">
            <w:pPr>
              <w:jc w:val="right"/>
              <w:rPr>
                <w:sz w:val="16"/>
                <w:szCs w:val="16"/>
                <w:lang w:eastAsia="tr-TR"/>
              </w:rPr>
            </w:pPr>
            <w:r w:rsidRPr="00005453">
              <w:rPr>
                <w:color w:val="000000"/>
                <w:sz w:val="16"/>
                <w:szCs w:val="22"/>
              </w:rPr>
              <w:t>15</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E9D467" w14:textId="55E1A80A" w:rsidR="00711FF8" w:rsidRPr="00005453" w:rsidRDefault="00711FF8" w:rsidP="00711FF8">
            <w:pPr>
              <w:jc w:val="right"/>
              <w:rPr>
                <w:sz w:val="16"/>
                <w:szCs w:val="16"/>
                <w:lang w:eastAsia="tr-TR"/>
              </w:rPr>
            </w:pPr>
            <w:r w:rsidRPr="00005453">
              <w:rPr>
                <w:color w:val="000000"/>
                <w:sz w:val="16"/>
                <w:szCs w:val="22"/>
              </w:rPr>
              <w:t>2,363,932</w:t>
            </w:r>
          </w:p>
        </w:tc>
      </w:tr>
      <w:tr w:rsidR="007F6A49" w:rsidRPr="00005453" w14:paraId="5EBDDC60" w14:textId="77777777" w:rsidTr="00711FF8">
        <w:trPr>
          <w:divId w:val="672876371"/>
          <w:trHeight w:val="179"/>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7F09EC" w14:textId="77777777" w:rsidR="007F6A49" w:rsidRPr="00005453" w:rsidRDefault="007F6A49" w:rsidP="007F6A49">
            <w:pPr>
              <w:rPr>
                <w:color w:val="000000"/>
                <w:sz w:val="16"/>
                <w:szCs w:val="16"/>
                <w:lang w:eastAsia="tr-TR"/>
              </w:rPr>
            </w:pPr>
            <w:r w:rsidRPr="00005453">
              <w:rPr>
                <w:iCs/>
                <w:snapToGrid w:val="0"/>
                <w:color w:val="000000"/>
                <w:sz w:val="16"/>
                <w:szCs w:val="16"/>
                <w:lang w:eastAsia="tr-TR"/>
              </w:rPr>
              <w:t xml:space="preserve">Operasyonel Riske Esas </w:t>
            </w:r>
            <w:proofErr w:type="gramStart"/>
            <w:r w:rsidRPr="00005453">
              <w:rPr>
                <w:iCs/>
                <w:snapToGrid w:val="0"/>
                <w:color w:val="000000"/>
                <w:sz w:val="16"/>
                <w:szCs w:val="16"/>
                <w:lang w:eastAsia="tr-TR"/>
              </w:rPr>
              <w:t>Tutar  (</w:t>
            </w:r>
            <w:proofErr w:type="gramEnd"/>
            <w:r w:rsidRPr="00005453">
              <w:rPr>
                <w:iCs/>
                <w:snapToGrid w:val="0"/>
                <w:color w:val="000000"/>
                <w:sz w:val="16"/>
                <w:szCs w:val="16"/>
                <w:lang w:eastAsia="tr-TR"/>
              </w:rPr>
              <w:t>Toplam*12.5)</w:t>
            </w:r>
          </w:p>
        </w:tc>
        <w:tc>
          <w:tcPr>
            <w:tcW w:w="4678"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14:paraId="7EAC68A4" w14:textId="1F5345BE" w:rsidR="007F6A49" w:rsidRPr="00005453" w:rsidRDefault="007F6A49" w:rsidP="007F6A49">
            <w:pPr>
              <w:jc w:val="right"/>
              <w:rPr>
                <w:sz w:val="16"/>
                <w:szCs w:val="16"/>
                <w:lang w:eastAsia="tr-TR"/>
              </w:rPr>
            </w:pPr>
            <w:r w:rsidRPr="00005453">
              <w:rPr>
                <w:sz w:val="16"/>
                <w:szCs w:val="16"/>
                <w:lang w:eastAsia="tr-TR"/>
              </w:rPr>
              <w:t> </w:t>
            </w:r>
          </w:p>
        </w:tc>
        <w:tc>
          <w:tcPr>
            <w:tcW w:w="128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3737477A" w14:textId="2EA78ECE" w:rsidR="007F6A49" w:rsidRPr="00005453" w:rsidRDefault="00711FF8" w:rsidP="007F6A49">
            <w:pPr>
              <w:jc w:val="right"/>
              <w:rPr>
                <w:sz w:val="16"/>
                <w:szCs w:val="16"/>
                <w:lang w:eastAsia="tr-TR"/>
              </w:rPr>
            </w:pPr>
            <w:r w:rsidRPr="00005453">
              <w:rPr>
                <w:sz w:val="16"/>
                <w:szCs w:val="16"/>
                <w:lang w:eastAsia="tr-TR"/>
              </w:rPr>
              <w:t>29</w:t>
            </w:r>
            <w:r w:rsidR="007F6A49" w:rsidRPr="00005453">
              <w:rPr>
                <w:sz w:val="16"/>
                <w:szCs w:val="16"/>
                <w:lang w:eastAsia="tr-TR"/>
              </w:rPr>
              <w:t>,</w:t>
            </w:r>
            <w:r w:rsidRPr="00005453">
              <w:rPr>
                <w:sz w:val="16"/>
                <w:szCs w:val="16"/>
                <w:lang w:eastAsia="tr-TR"/>
              </w:rPr>
              <w:t>54</w:t>
            </w:r>
            <w:r w:rsidR="007F6A49" w:rsidRPr="00005453">
              <w:rPr>
                <w:sz w:val="16"/>
                <w:szCs w:val="16"/>
                <w:lang w:eastAsia="tr-TR"/>
              </w:rPr>
              <w:t>9,</w:t>
            </w:r>
            <w:r w:rsidRPr="00005453">
              <w:rPr>
                <w:sz w:val="16"/>
                <w:szCs w:val="16"/>
                <w:lang w:eastAsia="tr-TR"/>
              </w:rPr>
              <w:t>150</w:t>
            </w:r>
          </w:p>
        </w:tc>
      </w:tr>
    </w:tbl>
    <w:p w14:paraId="7028A349" w14:textId="2A607D59" w:rsidR="00FB3FCF" w:rsidRPr="00005453" w:rsidRDefault="00FB3FCF" w:rsidP="00FB3FCF">
      <w:pPr>
        <w:autoSpaceDE w:val="0"/>
        <w:autoSpaceDN w:val="0"/>
        <w:adjustRightInd w:val="0"/>
        <w:rPr>
          <w:rFonts w:eastAsia="Arial Unicode MS"/>
          <w:b/>
          <w:sz w:val="18"/>
          <w:szCs w:val="18"/>
        </w:rPr>
      </w:pPr>
    </w:p>
    <w:p w14:paraId="620D0C72" w14:textId="77777777" w:rsidR="00FB3FCF" w:rsidRPr="00005453" w:rsidRDefault="00FB3FCF" w:rsidP="00FB3FCF">
      <w:pPr>
        <w:pStyle w:val="BodyText"/>
        <w:jc w:val="left"/>
        <w:rPr>
          <w:rFonts w:eastAsia="Arial Unicode MS"/>
          <w:color w:val="000000"/>
        </w:rPr>
      </w:pPr>
    </w:p>
    <w:bookmarkEnd w:id="66"/>
    <w:p w14:paraId="29A36508" w14:textId="77777777" w:rsidR="00FB3FCF" w:rsidRPr="00005453" w:rsidRDefault="00FB3FCF" w:rsidP="00FB3FCF">
      <w:pPr>
        <w:pStyle w:val="BodyText"/>
        <w:jc w:val="left"/>
        <w:rPr>
          <w:rFonts w:eastAsia="Arial Unicode MS"/>
          <w:color w:val="000000"/>
        </w:rPr>
      </w:pPr>
    </w:p>
    <w:p w14:paraId="7C67A1CB" w14:textId="77777777" w:rsidR="00FB3FCF" w:rsidRPr="00005453" w:rsidRDefault="00FB3FCF" w:rsidP="00FB3FCF">
      <w:pPr>
        <w:pStyle w:val="BodyText"/>
        <w:jc w:val="left"/>
        <w:rPr>
          <w:rFonts w:eastAsia="Arial Unicode MS"/>
          <w:color w:val="000000"/>
        </w:rPr>
      </w:pPr>
    </w:p>
    <w:p w14:paraId="2EB6EA4C" w14:textId="77777777" w:rsidR="00FB3FCF" w:rsidRPr="00005453" w:rsidRDefault="00FB3FCF" w:rsidP="00FB3FCF">
      <w:pPr>
        <w:pStyle w:val="BodyText"/>
        <w:jc w:val="left"/>
        <w:rPr>
          <w:rFonts w:eastAsia="Arial Unicode MS"/>
          <w:color w:val="000000"/>
        </w:rPr>
      </w:pPr>
    </w:p>
    <w:p w14:paraId="3A4741B2" w14:textId="77777777" w:rsidR="00FB3FCF" w:rsidRPr="00005453" w:rsidRDefault="00FB3FCF" w:rsidP="00FB3FCF">
      <w:pPr>
        <w:pStyle w:val="BodyText"/>
        <w:jc w:val="left"/>
        <w:rPr>
          <w:rFonts w:eastAsia="Arial Unicode MS"/>
          <w:color w:val="000000"/>
        </w:rPr>
      </w:pPr>
    </w:p>
    <w:p w14:paraId="5AB02C91" w14:textId="77777777" w:rsidR="00FB3FCF" w:rsidRPr="00005453" w:rsidRDefault="00FB3FCF" w:rsidP="00FB3FCF">
      <w:pPr>
        <w:pStyle w:val="BodyText"/>
        <w:jc w:val="left"/>
        <w:rPr>
          <w:rFonts w:eastAsia="Arial Unicode MS"/>
          <w:color w:val="000000"/>
        </w:rPr>
      </w:pPr>
    </w:p>
    <w:p w14:paraId="33AAADE3" w14:textId="77777777" w:rsidR="00FB3FCF" w:rsidRPr="00005453" w:rsidRDefault="00FB3FCF" w:rsidP="00FB3FCF">
      <w:pPr>
        <w:pStyle w:val="BodyText"/>
        <w:jc w:val="left"/>
        <w:rPr>
          <w:rFonts w:eastAsia="Arial Unicode MS"/>
          <w:color w:val="000000"/>
        </w:rPr>
      </w:pPr>
    </w:p>
    <w:p w14:paraId="35DDB6EE" w14:textId="77777777" w:rsidR="00FB3FCF" w:rsidRPr="00005453" w:rsidRDefault="00FB3FCF" w:rsidP="00FB3FCF">
      <w:pPr>
        <w:pStyle w:val="BodyText"/>
        <w:jc w:val="left"/>
        <w:rPr>
          <w:rFonts w:eastAsia="Arial Unicode MS"/>
          <w:color w:val="000000"/>
        </w:rPr>
      </w:pPr>
    </w:p>
    <w:p w14:paraId="15BF9DA8" w14:textId="77777777" w:rsidR="00FB3FCF" w:rsidRPr="00005453" w:rsidRDefault="00FB3FCF" w:rsidP="00FB3FCF">
      <w:pPr>
        <w:pStyle w:val="BodyText"/>
        <w:jc w:val="left"/>
        <w:rPr>
          <w:rFonts w:eastAsia="Arial Unicode MS"/>
          <w:color w:val="000000"/>
        </w:rPr>
      </w:pPr>
    </w:p>
    <w:p w14:paraId="730FFDA9" w14:textId="77777777" w:rsidR="00FB3FCF" w:rsidRPr="00005453" w:rsidRDefault="00FB3FCF" w:rsidP="00FB3FCF">
      <w:pPr>
        <w:pStyle w:val="BodyText"/>
        <w:jc w:val="left"/>
        <w:rPr>
          <w:rFonts w:eastAsia="Arial Unicode MS"/>
          <w:color w:val="000000"/>
        </w:rPr>
      </w:pPr>
    </w:p>
    <w:p w14:paraId="47832F1C" w14:textId="77777777" w:rsidR="00FB3FCF" w:rsidRPr="00005453" w:rsidRDefault="00FB3FCF" w:rsidP="00FB3FCF">
      <w:pPr>
        <w:pStyle w:val="BodyText"/>
        <w:jc w:val="left"/>
        <w:rPr>
          <w:rFonts w:eastAsia="Arial Unicode MS"/>
          <w:color w:val="000000"/>
        </w:rPr>
      </w:pPr>
    </w:p>
    <w:p w14:paraId="0EB3229C" w14:textId="77777777" w:rsidR="00FB3FCF" w:rsidRPr="00005453" w:rsidRDefault="00FB3FCF" w:rsidP="00FB3FCF">
      <w:pPr>
        <w:pStyle w:val="BodyText"/>
        <w:jc w:val="left"/>
        <w:rPr>
          <w:rFonts w:eastAsia="Arial Unicode MS"/>
          <w:color w:val="000000"/>
        </w:rPr>
      </w:pPr>
    </w:p>
    <w:p w14:paraId="0943818F" w14:textId="77777777" w:rsidR="00FB3FCF" w:rsidRPr="00005453" w:rsidRDefault="00FB3FCF" w:rsidP="00FB3FCF">
      <w:pPr>
        <w:pStyle w:val="BodyText"/>
        <w:jc w:val="left"/>
        <w:rPr>
          <w:rFonts w:eastAsia="Arial Unicode MS"/>
          <w:color w:val="000000"/>
        </w:rPr>
      </w:pPr>
    </w:p>
    <w:p w14:paraId="7DCDF7FA" w14:textId="77777777" w:rsidR="00FB3FCF" w:rsidRPr="00005453" w:rsidRDefault="00FB3FCF" w:rsidP="00FB3FCF">
      <w:pPr>
        <w:pStyle w:val="BodyText"/>
        <w:jc w:val="left"/>
        <w:rPr>
          <w:rFonts w:eastAsia="Arial Unicode MS"/>
          <w:color w:val="000000"/>
        </w:rPr>
      </w:pPr>
    </w:p>
    <w:p w14:paraId="61AF3864" w14:textId="77777777" w:rsidR="00FB3FCF" w:rsidRPr="00005453" w:rsidRDefault="00FB3FCF" w:rsidP="00FB3FCF">
      <w:pPr>
        <w:pStyle w:val="BodyText"/>
        <w:jc w:val="left"/>
        <w:rPr>
          <w:rFonts w:eastAsia="Arial Unicode MS"/>
          <w:color w:val="000000"/>
        </w:rPr>
      </w:pPr>
    </w:p>
    <w:p w14:paraId="1A1336DD" w14:textId="77777777" w:rsidR="00FB3FCF" w:rsidRPr="00005453" w:rsidRDefault="00FB3FCF" w:rsidP="00FB3FCF">
      <w:pPr>
        <w:pStyle w:val="BodyText"/>
        <w:jc w:val="left"/>
        <w:rPr>
          <w:rFonts w:eastAsia="Arial Unicode MS"/>
          <w:color w:val="000000"/>
        </w:rPr>
      </w:pPr>
    </w:p>
    <w:p w14:paraId="6E2C6A4A" w14:textId="77777777" w:rsidR="00FB3FCF" w:rsidRPr="00005453" w:rsidRDefault="00FB3FCF" w:rsidP="00FB3FCF">
      <w:pPr>
        <w:pStyle w:val="BodyText"/>
        <w:jc w:val="left"/>
        <w:rPr>
          <w:rFonts w:eastAsia="Arial Unicode MS"/>
          <w:color w:val="000000"/>
        </w:rPr>
      </w:pPr>
    </w:p>
    <w:p w14:paraId="38F686F4" w14:textId="77777777" w:rsidR="00FB3FCF" w:rsidRPr="00005453" w:rsidRDefault="00FB3FCF" w:rsidP="00FB3FCF">
      <w:pPr>
        <w:pStyle w:val="BodyText"/>
        <w:jc w:val="left"/>
        <w:rPr>
          <w:rFonts w:eastAsia="Arial Unicode MS"/>
          <w:color w:val="000000"/>
        </w:rPr>
      </w:pPr>
    </w:p>
    <w:p w14:paraId="64A41209" w14:textId="77777777" w:rsidR="00FB3FCF" w:rsidRPr="00005453" w:rsidRDefault="00FB3FCF" w:rsidP="00FB3FCF">
      <w:pPr>
        <w:pStyle w:val="BodyText"/>
        <w:jc w:val="left"/>
        <w:rPr>
          <w:rFonts w:eastAsia="Arial Unicode MS"/>
          <w:color w:val="000000"/>
        </w:rPr>
      </w:pPr>
    </w:p>
    <w:p w14:paraId="0554C37B" w14:textId="77777777" w:rsidR="00FB3FCF" w:rsidRPr="00005453" w:rsidRDefault="00FB3FCF" w:rsidP="00FB3FCF">
      <w:pPr>
        <w:pStyle w:val="BodyText"/>
        <w:jc w:val="left"/>
        <w:rPr>
          <w:rFonts w:eastAsia="Arial Unicode MS"/>
          <w:color w:val="000000"/>
        </w:rPr>
      </w:pPr>
    </w:p>
    <w:p w14:paraId="1FDC01DA" w14:textId="47EB77FE" w:rsidR="00FB3FCF" w:rsidRPr="00005453" w:rsidRDefault="00FB3FCF" w:rsidP="00FB3FCF">
      <w:pPr>
        <w:pStyle w:val="BodyText"/>
        <w:jc w:val="left"/>
        <w:rPr>
          <w:rFonts w:eastAsia="Arial Unicode MS"/>
          <w:color w:val="000000"/>
        </w:rPr>
      </w:pPr>
    </w:p>
    <w:p w14:paraId="2F67335A" w14:textId="77777777" w:rsidR="00B158B0" w:rsidRPr="00005453" w:rsidRDefault="00B158B0" w:rsidP="00FB3FCF">
      <w:pPr>
        <w:pStyle w:val="BodyText"/>
        <w:jc w:val="left"/>
        <w:rPr>
          <w:rFonts w:eastAsia="Arial Unicode MS"/>
          <w:color w:val="000000"/>
        </w:rPr>
      </w:pPr>
    </w:p>
    <w:p w14:paraId="563FDC90" w14:textId="77777777" w:rsidR="00FB3FCF" w:rsidRPr="00005453" w:rsidRDefault="00FB3FCF" w:rsidP="00FB3FCF">
      <w:pPr>
        <w:pStyle w:val="BodyText"/>
        <w:jc w:val="left"/>
        <w:rPr>
          <w:rFonts w:eastAsia="Arial Unicode MS"/>
          <w:color w:val="000000"/>
        </w:rPr>
      </w:pPr>
    </w:p>
    <w:p w14:paraId="6AFD6E61" w14:textId="77777777" w:rsidR="00FB3FCF" w:rsidRPr="00005453" w:rsidRDefault="00FB3FCF" w:rsidP="00FB3FCF">
      <w:pPr>
        <w:pStyle w:val="BodyText"/>
        <w:jc w:val="left"/>
        <w:rPr>
          <w:rFonts w:eastAsia="Arial Unicode MS"/>
          <w:color w:val="000000"/>
        </w:rPr>
      </w:pPr>
    </w:p>
    <w:p w14:paraId="178078ED" w14:textId="55A7A65B" w:rsidR="00FB3FCF" w:rsidRPr="00005453" w:rsidRDefault="00FB3FCF" w:rsidP="00FB3FCF">
      <w:pPr>
        <w:pStyle w:val="BodyText"/>
        <w:jc w:val="left"/>
        <w:rPr>
          <w:rFonts w:eastAsia="Arial Unicode MS"/>
          <w:color w:val="000000"/>
        </w:rPr>
      </w:pPr>
    </w:p>
    <w:p w14:paraId="1BA5D431" w14:textId="77777777" w:rsidR="001D4F7C" w:rsidRPr="00005453" w:rsidRDefault="001D4F7C" w:rsidP="00FB3FCF">
      <w:pPr>
        <w:pStyle w:val="BodyText"/>
        <w:jc w:val="left"/>
        <w:rPr>
          <w:rFonts w:eastAsia="Arial Unicode MS"/>
          <w:color w:val="000000"/>
        </w:rPr>
      </w:pPr>
    </w:p>
    <w:p w14:paraId="31F90FA1" w14:textId="6A30D8C1" w:rsidR="00FB3FCF" w:rsidRPr="00005453" w:rsidRDefault="00FB3FCF" w:rsidP="00FB3FCF">
      <w:pPr>
        <w:pStyle w:val="BodyText"/>
        <w:jc w:val="left"/>
        <w:rPr>
          <w:rFonts w:eastAsia="Arial Unicode MS"/>
          <w:color w:val="000000"/>
        </w:rPr>
      </w:pPr>
    </w:p>
    <w:p w14:paraId="530AF4C7" w14:textId="23B59AC6" w:rsidR="00346550" w:rsidRPr="00005453" w:rsidRDefault="00346550">
      <w:pPr>
        <w:rPr>
          <w:rFonts w:eastAsia="Arial Unicode MS"/>
          <w:b/>
          <w:color w:val="000000"/>
        </w:rPr>
      </w:pPr>
    </w:p>
    <w:p w14:paraId="6495D361" w14:textId="77777777" w:rsidR="009D4E64" w:rsidRPr="00005453" w:rsidRDefault="009D4E64" w:rsidP="00FB3FCF">
      <w:pPr>
        <w:ind w:hanging="567"/>
        <w:rPr>
          <w:rFonts w:eastAsia="Arial Unicode MS"/>
          <w:b/>
          <w:color w:val="000000"/>
        </w:rPr>
      </w:pPr>
    </w:p>
    <w:p w14:paraId="3AD966BC" w14:textId="477B69C7" w:rsidR="00FB3FCF" w:rsidRPr="00005453" w:rsidRDefault="00FB3FCF" w:rsidP="00FB3FCF">
      <w:pPr>
        <w:ind w:hanging="567"/>
        <w:rPr>
          <w:b/>
        </w:rPr>
      </w:pPr>
      <w:r w:rsidRPr="00005453">
        <w:rPr>
          <w:rFonts w:eastAsia="Arial Unicode MS"/>
          <w:b/>
          <w:color w:val="000000"/>
        </w:rPr>
        <w:lastRenderedPageBreak/>
        <w:t>1</w:t>
      </w:r>
      <w:r w:rsidR="00476292" w:rsidRPr="00005453">
        <w:rPr>
          <w:rFonts w:eastAsia="Arial Unicode MS"/>
          <w:b/>
          <w:color w:val="000000"/>
        </w:rPr>
        <w:t>3</w:t>
      </w:r>
      <w:r w:rsidRPr="00005453">
        <w:rPr>
          <w:rFonts w:eastAsia="Arial Unicode MS"/>
          <w:b/>
          <w:color w:val="000000"/>
        </w:rPr>
        <w:t xml:space="preserve">.6.   </w:t>
      </w:r>
      <w:r w:rsidRPr="00005453">
        <w:rPr>
          <w:b/>
        </w:rPr>
        <w:t>Bankacılık hesaplarındaki kâr payı oranı riskine ilişkin açıklamalar</w:t>
      </w:r>
    </w:p>
    <w:p w14:paraId="41471812" w14:textId="77777777" w:rsidR="00FB3FCF" w:rsidRPr="00005453" w:rsidRDefault="00FB3FCF" w:rsidP="00FB3FCF">
      <w:pPr>
        <w:ind w:hanging="567"/>
        <w:rPr>
          <w:b/>
        </w:rPr>
      </w:pPr>
    </w:p>
    <w:p w14:paraId="5F733D8F" w14:textId="50163145" w:rsidR="00FB3FCF" w:rsidRPr="00005453" w:rsidRDefault="00476292" w:rsidP="00FB3FCF">
      <w:pPr>
        <w:ind w:hanging="567"/>
        <w:jc w:val="both"/>
        <w:rPr>
          <w:b/>
        </w:rPr>
      </w:pPr>
      <w:r w:rsidRPr="00005453">
        <w:rPr>
          <w:rFonts w:eastAsia="Arial Unicode MS"/>
          <w:b/>
          <w:color w:val="000000"/>
        </w:rPr>
        <w:t>13</w:t>
      </w:r>
      <w:r w:rsidR="00FB3FCF" w:rsidRPr="00005453">
        <w:rPr>
          <w:rFonts w:eastAsia="Arial Unicode MS"/>
          <w:b/>
          <w:color w:val="000000"/>
        </w:rPr>
        <w:t>.6</w:t>
      </w:r>
      <w:r w:rsidR="00FB3FCF" w:rsidRPr="00005453">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630D7AAD" w14:textId="77777777" w:rsidR="00FB3FCF" w:rsidRPr="00005453" w:rsidRDefault="00FB3FCF" w:rsidP="00FB3FCF">
      <w:pPr>
        <w:ind w:hanging="567"/>
        <w:rPr>
          <w:b/>
        </w:rPr>
      </w:pPr>
    </w:p>
    <w:p w14:paraId="172835FD" w14:textId="73F1829C" w:rsidR="00FB3FCF" w:rsidRPr="00005453" w:rsidRDefault="00FB3FCF" w:rsidP="00FB3FCF">
      <w:pPr>
        <w:pStyle w:val="BodyText"/>
        <w:jc w:val="left"/>
        <w:rPr>
          <w:rFonts w:eastAsia="Arial Unicode MS"/>
          <w:b/>
          <w:color w:val="000000"/>
        </w:rPr>
      </w:pPr>
      <w:r w:rsidRPr="00005453">
        <w:rPr>
          <w:rFonts w:eastAsia="Arial Unicode MS"/>
          <w:b/>
          <w:color w:val="000000"/>
        </w:rPr>
        <w:t>Cari Dönem</w:t>
      </w:r>
    </w:p>
    <w:p w14:paraId="2B5CE659" w14:textId="26A8876F" w:rsidR="000128AF" w:rsidRPr="00005453" w:rsidRDefault="000128AF" w:rsidP="00FB3FCF">
      <w:pPr>
        <w:pStyle w:val="BodyText"/>
        <w:jc w:val="left"/>
        <w:rPr>
          <w:lang w:val="en-GB" w:eastAsia="en-GB"/>
        </w:rPr>
      </w:pPr>
    </w:p>
    <w:tbl>
      <w:tblPr>
        <w:tblW w:w="95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31"/>
        <w:gridCol w:w="3477"/>
        <w:gridCol w:w="1434"/>
        <w:gridCol w:w="1418"/>
        <w:gridCol w:w="2836"/>
      </w:tblGrid>
      <w:tr w:rsidR="000128AF" w:rsidRPr="00005453" w14:paraId="2514582D" w14:textId="77777777" w:rsidTr="000E5F12">
        <w:trPr>
          <w:divId w:val="413821542"/>
          <w:trHeight w:val="783"/>
        </w:trPr>
        <w:tc>
          <w:tcPr>
            <w:tcW w:w="431" w:type="dxa"/>
            <w:shd w:val="clear" w:color="auto" w:fill="auto"/>
            <w:noWrap/>
            <w:vAlign w:val="bottom"/>
            <w:hideMark/>
          </w:tcPr>
          <w:p w14:paraId="035B21E5" w14:textId="0D059CCC" w:rsidR="000128AF" w:rsidRPr="00005453" w:rsidRDefault="000128AF" w:rsidP="000128AF">
            <w:pPr>
              <w:rPr>
                <w:color w:val="000000"/>
                <w:lang w:eastAsia="tr-TR"/>
              </w:rPr>
            </w:pPr>
            <w:r w:rsidRPr="00005453">
              <w:rPr>
                <w:color w:val="000000"/>
                <w:lang w:eastAsia="tr-TR"/>
              </w:rPr>
              <w:t> </w:t>
            </w:r>
          </w:p>
        </w:tc>
        <w:tc>
          <w:tcPr>
            <w:tcW w:w="3477" w:type="dxa"/>
            <w:shd w:val="clear" w:color="auto" w:fill="auto"/>
            <w:noWrap/>
            <w:vAlign w:val="center"/>
            <w:hideMark/>
          </w:tcPr>
          <w:p w14:paraId="5A3001AA" w14:textId="77777777" w:rsidR="000128AF" w:rsidRPr="00005453" w:rsidRDefault="000128AF" w:rsidP="000128AF">
            <w:pPr>
              <w:rPr>
                <w:color w:val="000000"/>
                <w:sz w:val="18"/>
                <w:szCs w:val="18"/>
                <w:lang w:eastAsia="tr-TR"/>
              </w:rPr>
            </w:pPr>
            <w:r w:rsidRPr="00005453">
              <w:rPr>
                <w:color w:val="000000"/>
                <w:sz w:val="18"/>
                <w:szCs w:val="18"/>
                <w:lang w:eastAsia="tr-TR"/>
              </w:rPr>
              <w:t>Para Birimi</w:t>
            </w:r>
          </w:p>
        </w:tc>
        <w:tc>
          <w:tcPr>
            <w:tcW w:w="1434" w:type="dxa"/>
            <w:shd w:val="clear" w:color="auto" w:fill="auto"/>
            <w:vAlign w:val="center"/>
            <w:hideMark/>
          </w:tcPr>
          <w:p w14:paraId="7EBCCECA" w14:textId="77777777" w:rsidR="000128AF" w:rsidRPr="00005453" w:rsidRDefault="000128AF" w:rsidP="000128AF">
            <w:pPr>
              <w:jc w:val="center"/>
              <w:rPr>
                <w:color w:val="000000"/>
                <w:sz w:val="18"/>
                <w:szCs w:val="18"/>
                <w:lang w:eastAsia="tr-TR"/>
              </w:rPr>
            </w:pPr>
            <w:r w:rsidRPr="00005453">
              <w:rPr>
                <w:color w:val="000000"/>
                <w:sz w:val="18"/>
                <w:szCs w:val="18"/>
                <w:lang w:eastAsia="tr-TR"/>
              </w:rPr>
              <w:t>Uygulanan Şok (+/- x baz puan)</w:t>
            </w:r>
          </w:p>
        </w:tc>
        <w:tc>
          <w:tcPr>
            <w:tcW w:w="1418" w:type="dxa"/>
            <w:shd w:val="clear" w:color="auto" w:fill="auto"/>
            <w:vAlign w:val="center"/>
            <w:hideMark/>
          </w:tcPr>
          <w:p w14:paraId="2C561B23" w14:textId="77777777" w:rsidR="000128AF" w:rsidRPr="00005453" w:rsidRDefault="000128AF" w:rsidP="000128AF">
            <w:pPr>
              <w:jc w:val="center"/>
              <w:rPr>
                <w:color w:val="000000"/>
                <w:sz w:val="18"/>
                <w:szCs w:val="18"/>
                <w:lang w:eastAsia="tr-TR"/>
              </w:rPr>
            </w:pPr>
            <w:r w:rsidRPr="00005453">
              <w:rPr>
                <w:color w:val="000000"/>
                <w:sz w:val="18"/>
                <w:szCs w:val="18"/>
                <w:lang w:eastAsia="tr-TR"/>
              </w:rPr>
              <w:t>Kazançlar/ Kayıplar</w:t>
            </w:r>
          </w:p>
        </w:tc>
        <w:tc>
          <w:tcPr>
            <w:tcW w:w="2836" w:type="dxa"/>
            <w:shd w:val="clear" w:color="auto" w:fill="auto"/>
            <w:vAlign w:val="center"/>
            <w:hideMark/>
          </w:tcPr>
          <w:p w14:paraId="7E5BDC03" w14:textId="77777777" w:rsidR="000128AF" w:rsidRPr="00005453" w:rsidRDefault="000128AF" w:rsidP="000128AF">
            <w:pPr>
              <w:jc w:val="center"/>
              <w:rPr>
                <w:color w:val="000000"/>
                <w:sz w:val="18"/>
                <w:szCs w:val="18"/>
                <w:lang w:eastAsia="tr-TR"/>
              </w:rPr>
            </w:pPr>
            <w:r w:rsidRPr="00005453">
              <w:rPr>
                <w:color w:val="000000"/>
                <w:sz w:val="18"/>
                <w:szCs w:val="18"/>
                <w:lang w:eastAsia="tr-TR"/>
              </w:rPr>
              <w:t xml:space="preserve">Kazançlar/Özkaynaklar  </w:t>
            </w:r>
            <w:proofErr w:type="gramStart"/>
            <w:r w:rsidRPr="00005453">
              <w:rPr>
                <w:color w:val="000000"/>
                <w:sz w:val="18"/>
                <w:szCs w:val="18"/>
                <w:lang w:eastAsia="tr-TR"/>
              </w:rPr>
              <w:t xml:space="preserve">  -</w:t>
            </w:r>
            <w:proofErr w:type="gramEnd"/>
            <w:r w:rsidRPr="00005453">
              <w:rPr>
                <w:color w:val="000000"/>
                <w:sz w:val="18"/>
                <w:szCs w:val="18"/>
                <w:lang w:eastAsia="tr-TR"/>
              </w:rPr>
              <w:t xml:space="preserve">      Kayıplar/Özkaynaklar</w:t>
            </w:r>
          </w:p>
        </w:tc>
      </w:tr>
      <w:tr w:rsidR="00E36E35" w:rsidRPr="00005453" w14:paraId="7180F7E5" w14:textId="77777777" w:rsidTr="00E36E35">
        <w:trPr>
          <w:divId w:val="413821542"/>
          <w:trHeight w:val="169"/>
        </w:trPr>
        <w:tc>
          <w:tcPr>
            <w:tcW w:w="431" w:type="dxa"/>
            <w:shd w:val="clear" w:color="auto" w:fill="auto"/>
            <w:noWrap/>
            <w:vAlign w:val="center"/>
            <w:hideMark/>
          </w:tcPr>
          <w:p w14:paraId="18877E35" w14:textId="77777777" w:rsidR="00E36E35" w:rsidRPr="00005453" w:rsidRDefault="00E36E35" w:rsidP="00E36E35">
            <w:pPr>
              <w:jc w:val="center"/>
              <w:rPr>
                <w:color w:val="000000"/>
                <w:sz w:val="18"/>
                <w:szCs w:val="18"/>
                <w:lang w:eastAsia="tr-TR"/>
              </w:rPr>
            </w:pPr>
            <w:r w:rsidRPr="00005453">
              <w:rPr>
                <w:color w:val="000000"/>
                <w:sz w:val="18"/>
                <w:szCs w:val="18"/>
                <w:lang w:eastAsia="tr-TR"/>
              </w:rPr>
              <w:t>1</w:t>
            </w:r>
          </w:p>
        </w:tc>
        <w:tc>
          <w:tcPr>
            <w:tcW w:w="3477" w:type="dxa"/>
            <w:shd w:val="clear" w:color="auto" w:fill="auto"/>
            <w:noWrap/>
            <w:vAlign w:val="center"/>
            <w:hideMark/>
          </w:tcPr>
          <w:p w14:paraId="21017226" w14:textId="77777777" w:rsidR="00E36E35" w:rsidRPr="00005453" w:rsidRDefault="00E36E35" w:rsidP="00E36E35">
            <w:pPr>
              <w:rPr>
                <w:color w:val="000000"/>
                <w:sz w:val="18"/>
                <w:szCs w:val="18"/>
                <w:lang w:eastAsia="tr-TR"/>
              </w:rPr>
            </w:pPr>
            <w:r w:rsidRPr="00005453">
              <w:rPr>
                <w:color w:val="000000"/>
                <w:sz w:val="18"/>
                <w:szCs w:val="18"/>
                <w:lang w:eastAsia="tr-TR"/>
              </w:rPr>
              <w:t>TRY</w:t>
            </w:r>
          </w:p>
        </w:tc>
        <w:tc>
          <w:tcPr>
            <w:tcW w:w="1434" w:type="dxa"/>
            <w:shd w:val="clear" w:color="auto" w:fill="auto"/>
            <w:noWrap/>
            <w:vAlign w:val="center"/>
            <w:hideMark/>
          </w:tcPr>
          <w:p w14:paraId="4F84ECCD" w14:textId="0A662011" w:rsidR="00E36E35" w:rsidRPr="00005453" w:rsidRDefault="00E36E35" w:rsidP="00E36E35">
            <w:pPr>
              <w:jc w:val="right"/>
              <w:rPr>
                <w:color w:val="000000"/>
                <w:sz w:val="18"/>
                <w:szCs w:val="18"/>
                <w:lang w:eastAsia="tr-TR"/>
              </w:rPr>
            </w:pPr>
            <w:r w:rsidRPr="00005453">
              <w:rPr>
                <w:color w:val="000000"/>
                <w:sz w:val="18"/>
                <w:szCs w:val="18"/>
              </w:rPr>
              <w:t>(+) 500bp</w:t>
            </w:r>
          </w:p>
        </w:tc>
        <w:tc>
          <w:tcPr>
            <w:tcW w:w="1418" w:type="dxa"/>
            <w:shd w:val="clear" w:color="auto" w:fill="auto"/>
            <w:noWrap/>
            <w:vAlign w:val="center"/>
            <w:hideMark/>
          </w:tcPr>
          <w:p w14:paraId="397D5BE0" w14:textId="0E0C3988" w:rsidR="00E36E35" w:rsidRPr="00005453" w:rsidRDefault="00E36E35" w:rsidP="00E36E35">
            <w:pPr>
              <w:jc w:val="right"/>
              <w:rPr>
                <w:color w:val="000000"/>
                <w:sz w:val="18"/>
                <w:szCs w:val="18"/>
              </w:rPr>
            </w:pPr>
            <w:r w:rsidRPr="00005453">
              <w:rPr>
                <w:color w:val="000000"/>
                <w:sz w:val="18"/>
                <w:szCs w:val="18"/>
              </w:rPr>
              <w:t>(3,811,556)</w:t>
            </w:r>
          </w:p>
        </w:tc>
        <w:tc>
          <w:tcPr>
            <w:tcW w:w="2836" w:type="dxa"/>
            <w:shd w:val="clear" w:color="auto" w:fill="auto"/>
            <w:noWrap/>
            <w:vAlign w:val="center"/>
            <w:hideMark/>
          </w:tcPr>
          <w:p w14:paraId="193A6D54" w14:textId="49E89421" w:rsidR="00E36E35" w:rsidRPr="00005453" w:rsidRDefault="00BC6C91" w:rsidP="00E36E35">
            <w:pPr>
              <w:jc w:val="right"/>
              <w:rPr>
                <w:color w:val="000000"/>
                <w:sz w:val="18"/>
                <w:szCs w:val="18"/>
              </w:rPr>
            </w:pPr>
            <w:r w:rsidRPr="00005453">
              <w:rPr>
                <w:color w:val="000000"/>
                <w:sz w:val="18"/>
                <w:szCs w:val="18"/>
              </w:rPr>
              <w:t>(</w:t>
            </w:r>
            <w:proofErr w:type="gramStart"/>
            <w:r w:rsidRPr="00005453">
              <w:rPr>
                <w:color w:val="000000"/>
                <w:sz w:val="18"/>
                <w:szCs w:val="18"/>
              </w:rPr>
              <w:t>%</w:t>
            </w:r>
            <w:r w:rsidR="00E36E35" w:rsidRPr="00005453">
              <w:rPr>
                <w:color w:val="000000"/>
                <w:sz w:val="18"/>
                <w:szCs w:val="18"/>
              </w:rPr>
              <w:t>3.92</w:t>
            </w:r>
            <w:proofErr w:type="gramEnd"/>
            <w:r w:rsidRPr="00005453">
              <w:rPr>
                <w:color w:val="000000"/>
                <w:sz w:val="18"/>
                <w:szCs w:val="18"/>
              </w:rPr>
              <w:t>)</w:t>
            </w:r>
          </w:p>
        </w:tc>
      </w:tr>
      <w:tr w:rsidR="00E36E35" w:rsidRPr="00005453" w14:paraId="7D5825C9" w14:textId="77777777" w:rsidTr="00E36E35">
        <w:trPr>
          <w:divId w:val="413821542"/>
          <w:trHeight w:val="169"/>
        </w:trPr>
        <w:tc>
          <w:tcPr>
            <w:tcW w:w="431" w:type="dxa"/>
            <w:shd w:val="clear" w:color="auto" w:fill="auto"/>
            <w:noWrap/>
            <w:vAlign w:val="center"/>
            <w:hideMark/>
          </w:tcPr>
          <w:p w14:paraId="7BB2F7DC" w14:textId="77777777" w:rsidR="00E36E35" w:rsidRPr="00005453" w:rsidRDefault="00E36E35" w:rsidP="00E36E35">
            <w:pPr>
              <w:jc w:val="center"/>
              <w:rPr>
                <w:color w:val="000000"/>
                <w:sz w:val="18"/>
                <w:szCs w:val="18"/>
                <w:lang w:eastAsia="tr-TR"/>
              </w:rPr>
            </w:pPr>
            <w:r w:rsidRPr="00005453">
              <w:rPr>
                <w:color w:val="000000"/>
                <w:sz w:val="18"/>
                <w:szCs w:val="18"/>
                <w:lang w:eastAsia="tr-TR"/>
              </w:rPr>
              <w:t>2</w:t>
            </w:r>
          </w:p>
        </w:tc>
        <w:tc>
          <w:tcPr>
            <w:tcW w:w="3477" w:type="dxa"/>
            <w:shd w:val="clear" w:color="auto" w:fill="auto"/>
            <w:noWrap/>
            <w:vAlign w:val="center"/>
            <w:hideMark/>
          </w:tcPr>
          <w:p w14:paraId="1BDBB3E0" w14:textId="77777777" w:rsidR="00E36E35" w:rsidRPr="00005453" w:rsidRDefault="00E36E35" w:rsidP="00E36E35">
            <w:pPr>
              <w:rPr>
                <w:color w:val="000000"/>
                <w:sz w:val="18"/>
                <w:szCs w:val="18"/>
                <w:lang w:eastAsia="tr-TR"/>
              </w:rPr>
            </w:pPr>
            <w:r w:rsidRPr="00005453">
              <w:rPr>
                <w:color w:val="000000"/>
                <w:sz w:val="18"/>
                <w:szCs w:val="18"/>
                <w:lang w:eastAsia="tr-TR"/>
              </w:rPr>
              <w:t>TRY</w:t>
            </w:r>
          </w:p>
        </w:tc>
        <w:tc>
          <w:tcPr>
            <w:tcW w:w="1434" w:type="dxa"/>
            <w:shd w:val="clear" w:color="auto" w:fill="auto"/>
            <w:noWrap/>
            <w:vAlign w:val="center"/>
            <w:hideMark/>
          </w:tcPr>
          <w:p w14:paraId="56906314" w14:textId="39FCE5DF" w:rsidR="00E36E35" w:rsidRPr="00005453" w:rsidRDefault="00E36E35" w:rsidP="00E36E35">
            <w:pPr>
              <w:jc w:val="right"/>
              <w:rPr>
                <w:color w:val="000000"/>
                <w:sz w:val="18"/>
                <w:szCs w:val="18"/>
                <w:lang w:eastAsia="tr-TR"/>
              </w:rPr>
            </w:pPr>
            <w:r w:rsidRPr="00005453">
              <w:rPr>
                <w:color w:val="000000"/>
                <w:sz w:val="18"/>
                <w:szCs w:val="18"/>
              </w:rPr>
              <w:t>(-) 400bp</w:t>
            </w:r>
          </w:p>
        </w:tc>
        <w:tc>
          <w:tcPr>
            <w:tcW w:w="1418" w:type="dxa"/>
            <w:shd w:val="clear" w:color="auto" w:fill="auto"/>
            <w:noWrap/>
            <w:vAlign w:val="center"/>
            <w:hideMark/>
          </w:tcPr>
          <w:p w14:paraId="7C35D3C6" w14:textId="71D06C2E" w:rsidR="00E36E35" w:rsidRPr="00005453" w:rsidRDefault="00E36E35" w:rsidP="00E36E35">
            <w:pPr>
              <w:jc w:val="right"/>
              <w:rPr>
                <w:color w:val="000000"/>
                <w:sz w:val="18"/>
                <w:szCs w:val="18"/>
              </w:rPr>
            </w:pPr>
            <w:r w:rsidRPr="00005453">
              <w:rPr>
                <w:color w:val="000000"/>
                <w:sz w:val="18"/>
                <w:szCs w:val="18"/>
              </w:rPr>
              <w:t>3,619,170</w:t>
            </w:r>
          </w:p>
        </w:tc>
        <w:tc>
          <w:tcPr>
            <w:tcW w:w="2836" w:type="dxa"/>
            <w:shd w:val="clear" w:color="auto" w:fill="auto"/>
            <w:noWrap/>
            <w:vAlign w:val="center"/>
            <w:hideMark/>
          </w:tcPr>
          <w:p w14:paraId="380A4725" w14:textId="0E155368" w:rsidR="00E36E35" w:rsidRPr="00005453" w:rsidRDefault="00BC6C91" w:rsidP="00E36E35">
            <w:pPr>
              <w:jc w:val="right"/>
              <w:rPr>
                <w:color w:val="000000"/>
                <w:sz w:val="18"/>
                <w:szCs w:val="18"/>
              </w:rPr>
            </w:pPr>
            <w:r w:rsidRPr="00005453">
              <w:rPr>
                <w:color w:val="000000"/>
                <w:sz w:val="18"/>
                <w:szCs w:val="18"/>
              </w:rPr>
              <w:t>(</w:t>
            </w:r>
            <w:proofErr w:type="gramStart"/>
            <w:r w:rsidRPr="00005453">
              <w:rPr>
                <w:color w:val="000000"/>
                <w:sz w:val="18"/>
                <w:szCs w:val="18"/>
              </w:rPr>
              <w:t>%</w:t>
            </w:r>
            <w:r w:rsidR="00E36E35" w:rsidRPr="00005453">
              <w:rPr>
                <w:color w:val="000000"/>
                <w:sz w:val="18"/>
                <w:szCs w:val="18"/>
              </w:rPr>
              <w:t>3.72</w:t>
            </w:r>
            <w:proofErr w:type="gramEnd"/>
            <w:r w:rsidRPr="00005453">
              <w:rPr>
                <w:color w:val="000000"/>
                <w:sz w:val="18"/>
                <w:szCs w:val="18"/>
              </w:rPr>
              <w:t>)</w:t>
            </w:r>
          </w:p>
        </w:tc>
      </w:tr>
      <w:tr w:rsidR="00E36E35" w:rsidRPr="00005453" w14:paraId="2087AC2D" w14:textId="77777777" w:rsidTr="00E36E35">
        <w:trPr>
          <w:divId w:val="413821542"/>
          <w:trHeight w:val="169"/>
        </w:trPr>
        <w:tc>
          <w:tcPr>
            <w:tcW w:w="431" w:type="dxa"/>
            <w:shd w:val="clear" w:color="auto" w:fill="auto"/>
            <w:noWrap/>
            <w:vAlign w:val="center"/>
            <w:hideMark/>
          </w:tcPr>
          <w:p w14:paraId="39AE9DEF" w14:textId="77777777" w:rsidR="00E36E35" w:rsidRPr="00005453" w:rsidRDefault="00E36E35" w:rsidP="00E36E35">
            <w:pPr>
              <w:jc w:val="center"/>
              <w:rPr>
                <w:color w:val="000000"/>
                <w:sz w:val="18"/>
                <w:szCs w:val="18"/>
                <w:lang w:eastAsia="tr-TR"/>
              </w:rPr>
            </w:pPr>
            <w:r w:rsidRPr="00005453">
              <w:rPr>
                <w:color w:val="000000"/>
                <w:sz w:val="18"/>
                <w:szCs w:val="18"/>
                <w:lang w:eastAsia="tr-TR"/>
              </w:rPr>
              <w:t>3</w:t>
            </w:r>
          </w:p>
        </w:tc>
        <w:tc>
          <w:tcPr>
            <w:tcW w:w="3477" w:type="dxa"/>
            <w:shd w:val="clear" w:color="auto" w:fill="auto"/>
            <w:noWrap/>
            <w:vAlign w:val="center"/>
            <w:hideMark/>
          </w:tcPr>
          <w:p w14:paraId="7AEDB4DC" w14:textId="77777777" w:rsidR="00E36E35" w:rsidRPr="00005453" w:rsidRDefault="00E36E35" w:rsidP="00E36E35">
            <w:pPr>
              <w:rPr>
                <w:color w:val="000000"/>
                <w:sz w:val="18"/>
                <w:szCs w:val="18"/>
                <w:lang w:eastAsia="tr-TR"/>
              </w:rPr>
            </w:pPr>
            <w:r w:rsidRPr="00005453">
              <w:rPr>
                <w:color w:val="000000"/>
                <w:sz w:val="18"/>
                <w:szCs w:val="18"/>
                <w:lang w:eastAsia="tr-TR"/>
              </w:rPr>
              <w:t>USD</w:t>
            </w:r>
          </w:p>
        </w:tc>
        <w:tc>
          <w:tcPr>
            <w:tcW w:w="1434" w:type="dxa"/>
            <w:shd w:val="clear" w:color="auto" w:fill="auto"/>
            <w:noWrap/>
            <w:vAlign w:val="center"/>
            <w:hideMark/>
          </w:tcPr>
          <w:p w14:paraId="0C40505D" w14:textId="5F2452BD" w:rsidR="00E36E35" w:rsidRPr="00005453" w:rsidRDefault="00E36E35" w:rsidP="00E36E35">
            <w:pPr>
              <w:jc w:val="right"/>
              <w:rPr>
                <w:color w:val="000000"/>
                <w:sz w:val="18"/>
                <w:szCs w:val="18"/>
                <w:lang w:eastAsia="tr-TR"/>
              </w:rPr>
            </w:pPr>
            <w:r w:rsidRPr="00005453">
              <w:rPr>
                <w:color w:val="000000"/>
                <w:sz w:val="18"/>
                <w:szCs w:val="18"/>
              </w:rPr>
              <w:t>(+) 200bp</w:t>
            </w:r>
          </w:p>
        </w:tc>
        <w:tc>
          <w:tcPr>
            <w:tcW w:w="1418" w:type="dxa"/>
            <w:shd w:val="clear" w:color="auto" w:fill="auto"/>
            <w:noWrap/>
            <w:vAlign w:val="center"/>
            <w:hideMark/>
          </w:tcPr>
          <w:p w14:paraId="1A57BDC1" w14:textId="63D30B1B" w:rsidR="00E36E35" w:rsidRPr="00005453" w:rsidRDefault="00E36E35" w:rsidP="00E36E35">
            <w:pPr>
              <w:jc w:val="right"/>
              <w:rPr>
                <w:color w:val="000000"/>
                <w:sz w:val="18"/>
                <w:szCs w:val="18"/>
              </w:rPr>
            </w:pPr>
            <w:r w:rsidRPr="00005453">
              <w:rPr>
                <w:color w:val="000000"/>
                <w:sz w:val="18"/>
                <w:szCs w:val="18"/>
              </w:rPr>
              <w:t>(1,365,794)</w:t>
            </w:r>
          </w:p>
        </w:tc>
        <w:tc>
          <w:tcPr>
            <w:tcW w:w="2836" w:type="dxa"/>
            <w:shd w:val="clear" w:color="auto" w:fill="auto"/>
            <w:noWrap/>
            <w:vAlign w:val="center"/>
            <w:hideMark/>
          </w:tcPr>
          <w:p w14:paraId="331750E8" w14:textId="58DD3991" w:rsidR="00E36E35" w:rsidRPr="00005453" w:rsidRDefault="00BC6C91" w:rsidP="00E36E35">
            <w:pPr>
              <w:jc w:val="right"/>
              <w:rPr>
                <w:color w:val="000000"/>
                <w:sz w:val="18"/>
                <w:szCs w:val="18"/>
              </w:rPr>
            </w:pPr>
            <w:r w:rsidRPr="00005453">
              <w:rPr>
                <w:color w:val="000000"/>
                <w:sz w:val="18"/>
                <w:szCs w:val="18"/>
              </w:rPr>
              <w:t>(%</w:t>
            </w:r>
            <w:r w:rsidR="00E36E35" w:rsidRPr="00005453">
              <w:rPr>
                <w:color w:val="000000"/>
                <w:sz w:val="18"/>
                <w:szCs w:val="18"/>
              </w:rPr>
              <w:t>1.40</w:t>
            </w:r>
            <w:r w:rsidRPr="00005453">
              <w:rPr>
                <w:color w:val="000000"/>
                <w:sz w:val="18"/>
                <w:szCs w:val="18"/>
              </w:rPr>
              <w:t>)</w:t>
            </w:r>
          </w:p>
        </w:tc>
      </w:tr>
      <w:tr w:rsidR="00E36E35" w:rsidRPr="00005453" w14:paraId="408BB542" w14:textId="77777777" w:rsidTr="00E36E35">
        <w:trPr>
          <w:divId w:val="413821542"/>
          <w:trHeight w:val="169"/>
        </w:trPr>
        <w:tc>
          <w:tcPr>
            <w:tcW w:w="431" w:type="dxa"/>
            <w:shd w:val="clear" w:color="auto" w:fill="auto"/>
            <w:noWrap/>
            <w:vAlign w:val="center"/>
            <w:hideMark/>
          </w:tcPr>
          <w:p w14:paraId="0FE4F04D" w14:textId="77777777" w:rsidR="00E36E35" w:rsidRPr="00005453" w:rsidRDefault="00E36E35" w:rsidP="00E36E35">
            <w:pPr>
              <w:jc w:val="center"/>
              <w:rPr>
                <w:color w:val="000000"/>
                <w:sz w:val="18"/>
                <w:szCs w:val="18"/>
                <w:lang w:eastAsia="tr-TR"/>
              </w:rPr>
            </w:pPr>
            <w:r w:rsidRPr="00005453">
              <w:rPr>
                <w:color w:val="000000"/>
                <w:sz w:val="18"/>
                <w:szCs w:val="18"/>
                <w:lang w:eastAsia="tr-TR"/>
              </w:rPr>
              <w:t>4</w:t>
            </w:r>
          </w:p>
        </w:tc>
        <w:tc>
          <w:tcPr>
            <w:tcW w:w="3477" w:type="dxa"/>
            <w:shd w:val="clear" w:color="auto" w:fill="auto"/>
            <w:noWrap/>
            <w:vAlign w:val="center"/>
            <w:hideMark/>
          </w:tcPr>
          <w:p w14:paraId="5CE3650E" w14:textId="77777777" w:rsidR="00E36E35" w:rsidRPr="00005453" w:rsidRDefault="00E36E35" w:rsidP="00E36E35">
            <w:pPr>
              <w:rPr>
                <w:color w:val="000000"/>
                <w:sz w:val="18"/>
                <w:szCs w:val="18"/>
                <w:lang w:eastAsia="tr-TR"/>
              </w:rPr>
            </w:pPr>
            <w:r w:rsidRPr="00005453">
              <w:rPr>
                <w:color w:val="000000"/>
                <w:sz w:val="18"/>
                <w:szCs w:val="18"/>
                <w:lang w:eastAsia="tr-TR"/>
              </w:rPr>
              <w:t>USD</w:t>
            </w:r>
          </w:p>
        </w:tc>
        <w:tc>
          <w:tcPr>
            <w:tcW w:w="1434" w:type="dxa"/>
            <w:shd w:val="clear" w:color="auto" w:fill="auto"/>
            <w:noWrap/>
            <w:vAlign w:val="center"/>
            <w:hideMark/>
          </w:tcPr>
          <w:p w14:paraId="1AA8B4F0" w14:textId="18017D45" w:rsidR="00E36E35" w:rsidRPr="00005453" w:rsidRDefault="00E36E35" w:rsidP="00E36E35">
            <w:pPr>
              <w:jc w:val="right"/>
              <w:rPr>
                <w:color w:val="000000"/>
                <w:sz w:val="18"/>
                <w:szCs w:val="18"/>
                <w:lang w:eastAsia="tr-TR"/>
              </w:rPr>
            </w:pPr>
            <w:r w:rsidRPr="00005453">
              <w:rPr>
                <w:color w:val="000000"/>
                <w:sz w:val="18"/>
                <w:szCs w:val="18"/>
              </w:rPr>
              <w:t>(-) 200bp</w:t>
            </w:r>
          </w:p>
        </w:tc>
        <w:tc>
          <w:tcPr>
            <w:tcW w:w="1418" w:type="dxa"/>
            <w:shd w:val="clear" w:color="auto" w:fill="auto"/>
            <w:noWrap/>
            <w:vAlign w:val="center"/>
            <w:hideMark/>
          </w:tcPr>
          <w:p w14:paraId="55320F69" w14:textId="5C71C86A" w:rsidR="00E36E35" w:rsidRPr="00005453" w:rsidRDefault="00E36E35" w:rsidP="00E36E35">
            <w:pPr>
              <w:jc w:val="right"/>
              <w:rPr>
                <w:color w:val="000000"/>
                <w:sz w:val="18"/>
                <w:szCs w:val="18"/>
              </w:rPr>
            </w:pPr>
            <w:r w:rsidRPr="00005453">
              <w:rPr>
                <w:color w:val="000000"/>
                <w:sz w:val="18"/>
                <w:szCs w:val="18"/>
              </w:rPr>
              <w:t>1,510,809</w:t>
            </w:r>
          </w:p>
        </w:tc>
        <w:tc>
          <w:tcPr>
            <w:tcW w:w="2836" w:type="dxa"/>
            <w:shd w:val="clear" w:color="auto" w:fill="auto"/>
            <w:noWrap/>
            <w:vAlign w:val="center"/>
            <w:hideMark/>
          </w:tcPr>
          <w:p w14:paraId="7C862022" w14:textId="386C3EC1" w:rsidR="00E36E35" w:rsidRPr="00005453" w:rsidRDefault="00BC6C91" w:rsidP="00E36E35">
            <w:pPr>
              <w:jc w:val="right"/>
              <w:rPr>
                <w:color w:val="000000"/>
                <w:sz w:val="18"/>
                <w:szCs w:val="18"/>
              </w:rPr>
            </w:pPr>
            <w:r w:rsidRPr="00005453">
              <w:rPr>
                <w:color w:val="000000"/>
                <w:sz w:val="18"/>
                <w:szCs w:val="18"/>
              </w:rPr>
              <w:t>%</w:t>
            </w:r>
            <w:r w:rsidR="00E36E35" w:rsidRPr="00005453">
              <w:rPr>
                <w:color w:val="000000"/>
                <w:sz w:val="18"/>
                <w:szCs w:val="18"/>
              </w:rPr>
              <w:t>1.55</w:t>
            </w:r>
          </w:p>
        </w:tc>
      </w:tr>
      <w:tr w:rsidR="00E36E35" w:rsidRPr="00005453" w14:paraId="2A06AA3A" w14:textId="77777777" w:rsidTr="00E36E35">
        <w:trPr>
          <w:divId w:val="413821542"/>
          <w:trHeight w:val="169"/>
        </w:trPr>
        <w:tc>
          <w:tcPr>
            <w:tcW w:w="431" w:type="dxa"/>
            <w:shd w:val="clear" w:color="auto" w:fill="auto"/>
            <w:noWrap/>
            <w:vAlign w:val="center"/>
            <w:hideMark/>
          </w:tcPr>
          <w:p w14:paraId="4AB57706" w14:textId="77777777" w:rsidR="00E36E35" w:rsidRPr="00005453" w:rsidRDefault="00E36E35" w:rsidP="00E36E35">
            <w:pPr>
              <w:jc w:val="center"/>
              <w:rPr>
                <w:color w:val="000000"/>
                <w:sz w:val="18"/>
                <w:szCs w:val="18"/>
                <w:lang w:eastAsia="tr-TR"/>
              </w:rPr>
            </w:pPr>
            <w:r w:rsidRPr="00005453">
              <w:rPr>
                <w:color w:val="000000"/>
                <w:sz w:val="18"/>
                <w:szCs w:val="18"/>
                <w:lang w:eastAsia="tr-TR"/>
              </w:rPr>
              <w:t>5</w:t>
            </w:r>
          </w:p>
        </w:tc>
        <w:tc>
          <w:tcPr>
            <w:tcW w:w="3477" w:type="dxa"/>
            <w:shd w:val="clear" w:color="auto" w:fill="auto"/>
            <w:noWrap/>
            <w:vAlign w:val="center"/>
            <w:hideMark/>
          </w:tcPr>
          <w:p w14:paraId="2EA3F70D" w14:textId="77777777" w:rsidR="00E36E35" w:rsidRPr="00005453" w:rsidRDefault="00E36E35" w:rsidP="00E36E35">
            <w:pPr>
              <w:rPr>
                <w:color w:val="000000"/>
                <w:sz w:val="18"/>
                <w:szCs w:val="18"/>
                <w:lang w:eastAsia="tr-TR"/>
              </w:rPr>
            </w:pPr>
            <w:r w:rsidRPr="00005453">
              <w:rPr>
                <w:color w:val="000000"/>
                <w:sz w:val="18"/>
                <w:szCs w:val="18"/>
                <w:lang w:eastAsia="tr-TR"/>
              </w:rPr>
              <w:t>EURO</w:t>
            </w:r>
          </w:p>
        </w:tc>
        <w:tc>
          <w:tcPr>
            <w:tcW w:w="1434" w:type="dxa"/>
            <w:shd w:val="clear" w:color="auto" w:fill="auto"/>
            <w:noWrap/>
            <w:vAlign w:val="center"/>
            <w:hideMark/>
          </w:tcPr>
          <w:p w14:paraId="63496757" w14:textId="1057CEE0" w:rsidR="00E36E35" w:rsidRPr="00005453" w:rsidRDefault="00E36E35" w:rsidP="00E36E35">
            <w:pPr>
              <w:jc w:val="right"/>
              <w:rPr>
                <w:color w:val="000000"/>
                <w:sz w:val="18"/>
                <w:szCs w:val="18"/>
                <w:lang w:eastAsia="tr-TR"/>
              </w:rPr>
            </w:pPr>
            <w:r w:rsidRPr="00005453">
              <w:rPr>
                <w:color w:val="000000"/>
                <w:sz w:val="18"/>
                <w:szCs w:val="18"/>
              </w:rPr>
              <w:t>(+) 200bp</w:t>
            </w:r>
          </w:p>
        </w:tc>
        <w:tc>
          <w:tcPr>
            <w:tcW w:w="1418" w:type="dxa"/>
            <w:shd w:val="clear" w:color="auto" w:fill="auto"/>
            <w:noWrap/>
            <w:vAlign w:val="center"/>
            <w:hideMark/>
          </w:tcPr>
          <w:p w14:paraId="120E6899" w14:textId="0B5B835D" w:rsidR="00E36E35" w:rsidRPr="00005453" w:rsidRDefault="00E36E35" w:rsidP="00E36E35">
            <w:pPr>
              <w:jc w:val="right"/>
              <w:rPr>
                <w:color w:val="000000"/>
                <w:sz w:val="18"/>
                <w:szCs w:val="18"/>
              </w:rPr>
            </w:pPr>
            <w:r w:rsidRPr="00005453">
              <w:rPr>
                <w:color w:val="000000"/>
                <w:sz w:val="18"/>
                <w:szCs w:val="18"/>
              </w:rPr>
              <w:t>908,840</w:t>
            </w:r>
          </w:p>
        </w:tc>
        <w:tc>
          <w:tcPr>
            <w:tcW w:w="2836" w:type="dxa"/>
            <w:shd w:val="clear" w:color="auto" w:fill="auto"/>
            <w:noWrap/>
            <w:vAlign w:val="center"/>
            <w:hideMark/>
          </w:tcPr>
          <w:p w14:paraId="4DCF6FF3" w14:textId="25EB7AFA" w:rsidR="00E36E35" w:rsidRPr="00005453" w:rsidRDefault="00BC6C91" w:rsidP="00E36E35">
            <w:pPr>
              <w:jc w:val="right"/>
              <w:rPr>
                <w:color w:val="000000"/>
                <w:sz w:val="18"/>
                <w:szCs w:val="18"/>
              </w:rPr>
            </w:pPr>
            <w:proofErr w:type="gramStart"/>
            <w:r w:rsidRPr="00005453">
              <w:rPr>
                <w:color w:val="000000"/>
                <w:sz w:val="18"/>
                <w:szCs w:val="18"/>
              </w:rPr>
              <w:t>%</w:t>
            </w:r>
            <w:r w:rsidR="00E36E35" w:rsidRPr="00005453">
              <w:rPr>
                <w:color w:val="000000"/>
                <w:sz w:val="18"/>
                <w:szCs w:val="18"/>
              </w:rPr>
              <w:t>0.93</w:t>
            </w:r>
            <w:proofErr w:type="gramEnd"/>
          </w:p>
        </w:tc>
      </w:tr>
      <w:tr w:rsidR="00E36E35" w:rsidRPr="00005453" w14:paraId="258191A4" w14:textId="77777777" w:rsidTr="00E36E35">
        <w:trPr>
          <w:divId w:val="413821542"/>
          <w:trHeight w:val="169"/>
        </w:trPr>
        <w:tc>
          <w:tcPr>
            <w:tcW w:w="431" w:type="dxa"/>
            <w:shd w:val="clear" w:color="auto" w:fill="auto"/>
            <w:noWrap/>
            <w:vAlign w:val="center"/>
            <w:hideMark/>
          </w:tcPr>
          <w:p w14:paraId="5CBD2A97" w14:textId="77777777" w:rsidR="00E36E35" w:rsidRPr="00005453" w:rsidRDefault="00E36E35" w:rsidP="00E36E35">
            <w:pPr>
              <w:jc w:val="center"/>
              <w:rPr>
                <w:color w:val="000000"/>
                <w:sz w:val="18"/>
                <w:szCs w:val="18"/>
                <w:lang w:eastAsia="tr-TR"/>
              </w:rPr>
            </w:pPr>
            <w:r w:rsidRPr="00005453">
              <w:rPr>
                <w:color w:val="000000"/>
                <w:sz w:val="18"/>
                <w:szCs w:val="18"/>
                <w:lang w:eastAsia="tr-TR"/>
              </w:rPr>
              <w:t>6</w:t>
            </w:r>
          </w:p>
        </w:tc>
        <w:tc>
          <w:tcPr>
            <w:tcW w:w="3477" w:type="dxa"/>
            <w:shd w:val="clear" w:color="auto" w:fill="auto"/>
            <w:noWrap/>
            <w:vAlign w:val="center"/>
            <w:hideMark/>
          </w:tcPr>
          <w:p w14:paraId="6017D38C" w14:textId="77777777" w:rsidR="00E36E35" w:rsidRPr="00005453" w:rsidRDefault="00E36E35" w:rsidP="00E36E35">
            <w:pPr>
              <w:rPr>
                <w:color w:val="000000"/>
                <w:sz w:val="18"/>
                <w:szCs w:val="18"/>
                <w:lang w:eastAsia="tr-TR"/>
              </w:rPr>
            </w:pPr>
            <w:r w:rsidRPr="00005453">
              <w:rPr>
                <w:color w:val="000000"/>
                <w:sz w:val="18"/>
                <w:szCs w:val="18"/>
                <w:lang w:eastAsia="tr-TR"/>
              </w:rPr>
              <w:t>EURO</w:t>
            </w:r>
          </w:p>
        </w:tc>
        <w:tc>
          <w:tcPr>
            <w:tcW w:w="1434" w:type="dxa"/>
            <w:shd w:val="clear" w:color="auto" w:fill="auto"/>
            <w:noWrap/>
            <w:vAlign w:val="center"/>
            <w:hideMark/>
          </w:tcPr>
          <w:p w14:paraId="0D1B82E5" w14:textId="04502ED1" w:rsidR="00E36E35" w:rsidRPr="00005453" w:rsidRDefault="00E36E35" w:rsidP="00E36E35">
            <w:pPr>
              <w:jc w:val="right"/>
              <w:rPr>
                <w:color w:val="000000"/>
                <w:sz w:val="18"/>
                <w:szCs w:val="18"/>
                <w:lang w:eastAsia="tr-TR"/>
              </w:rPr>
            </w:pPr>
            <w:r w:rsidRPr="00005453">
              <w:rPr>
                <w:color w:val="000000"/>
                <w:sz w:val="18"/>
                <w:szCs w:val="18"/>
              </w:rPr>
              <w:t>(-) 200bp</w:t>
            </w:r>
          </w:p>
        </w:tc>
        <w:tc>
          <w:tcPr>
            <w:tcW w:w="1418" w:type="dxa"/>
            <w:shd w:val="clear" w:color="auto" w:fill="auto"/>
            <w:noWrap/>
            <w:vAlign w:val="center"/>
            <w:hideMark/>
          </w:tcPr>
          <w:p w14:paraId="73794748" w14:textId="50CB37DD" w:rsidR="00E36E35" w:rsidRPr="00005453" w:rsidRDefault="00E36E35" w:rsidP="00E36E35">
            <w:pPr>
              <w:jc w:val="right"/>
              <w:rPr>
                <w:color w:val="000000"/>
                <w:sz w:val="18"/>
                <w:szCs w:val="18"/>
              </w:rPr>
            </w:pPr>
            <w:r w:rsidRPr="00005453">
              <w:rPr>
                <w:color w:val="000000"/>
                <w:sz w:val="18"/>
                <w:szCs w:val="18"/>
              </w:rPr>
              <w:t>(908,915)</w:t>
            </w:r>
          </w:p>
        </w:tc>
        <w:tc>
          <w:tcPr>
            <w:tcW w:w="2836" w:type="dxa"/>
            <w:shd w:val="clear" w:color="auto" w:fill="auto"/>
            <w:noWrap/>
            <w:vAlign w:val="center"/>
            <w:hideMark/>
          </w:tcPr>
          <w:p w14:paraId="0EB088EC" w14:textId="48015B7F" w:rsidR="00E36E35" w:rsidRPr="00005453" w:rsidRDefault="00BC6C91" w:rsidP="00E36E35">
            <w:pPr>
              <w:jc w:val="right"/>
              <w:rPr>
                <w:color w:val="000000"/>
                <w:sz w:val="18"/>
                <w:szCs w:val="18"/>
              </w:rPr>
            </w:pPr>
            <w:r w:rsidRPr="00005453">
              <w:rPr>
                <w:color w:val="000000"/>
                <w:sz w:val="18"/>
                <w:szCs w:val="18"/>
              </w:rPr>
              <w:t>(</w:t>
            </w:r>
            <w:proofErr w:type="gramStart"/>
            <w:r w:rsidRPr="00005453">
              <w:rPr>
                <w:color w:val="000000"/>
                <w:sz w:val="18"/>
                <w:szCs w:val="18"/>
              </w:rPr>
              <w:t>%</w:t>
            </w:r>
            <w:r w:rsidR="00E36E35" w:rsidRPr="00005453">
              <w:rPr>
                <w:color w:val="000000"/>
                <w:sz w:val="18"/>
                <w:szCs w:val="18"/>
              </w:rPr>
              <w:t>0.93</w:t>
            </w:r>
            <w:proofErr w:type="gramEnd"/>
            <w:r w:rsidRPr="00005453">
              <w:rPr>
                <w:color w:val="000000"/>
                <w:sz w:val="18"/>
                <w:szCs w:val="18"/>
              </w:rPr>
              <w:t>)</w:t>
            </w:r>
          </w:p>
        </w:tc>
      </w:tr>
      <w:tr w:rsidR="00E36E35" w:rsidRPr="00005453" w14:paraId="48BAC113" w14:textId="77777777" w:rsidTr="00E36E35">
        <w:trPr>
          <w:divId w:val="413821542"/>
          <w:trHeight w:val="169"/>
        </w:trPr>
        <w:tc>
          <w:tcPr>
            <w:tcW w:w="431" w:type="dxa"/>
            <w:shd w:val="clear" w:color="auto" w:fill="auto"/>
            <w:noWrap/>
            <w:vAlign w:val="bottom"/>
            <w:hideMark/>
          </w:tcPr>
          <w:p w14:paraId="76BCF420" w14:textId="77777777" w:rsidR="00E36E35" w:rsidRPr="00005453" w:rsidRDefault="00E36E35" w:rsidP="00E36E35">
            <w:pPr>
              <w:rPr>
                <w:color w:val="000000"/>
                <w:lang w:eastAsia="tr-TR"/>
              </w:rPr>
            </w:pPr>
            <w:r w:rsidRPr="00005453">
              <w:rPr>
                <w:color w:val="000000"/>
                <w:lang w:eastAsia="tr-TR"/>
              </w:rPr>
              <w:t> </w:t>
            </w:r>
          </w:p>
        </w:tc>
        <w:tc>
          <w:tcPr>
            <w:tcW w:w="3477" w:type="dxa"/>
            <w:shd w:val="clear" w:color="auto" w:fill="auto"/>
            <w:noWrap/>
            <w:vAlign w:val="center"/>
            <w:hideMark/>
          </w:tcPr>
          <w:p w14:paraId="49EE6EA1" w14:textId="77777777" w:rsidR="00E36E35" w:rsidRPr="00005453" w:rsidRDefault="00E36E35" w:rsidP="00E36E35">
            <w:pPr>
              <w:rPr>
                <w:b/>
                <w:bCs/>
                <w:color w:val="000000"/>
                <w:sz w:val="18"/>
                <w:szCs w:val="18"/>
                <w:lang w:eastAsia="tr-TR"/>
              </w:rPr>
            </w:pPr>
            <w:r w:rsidRPr="00005453">
              <w:rPr>
                <w:b/>
                <w:bCs/>
                <w:color w:val="000000"/>
                <w:sz w:val="18"/>
                <w:szCs w:val="18"/>
                <w:lang w:eastAsia="tr-TR"/>
              </w:rPr>
              <w:t>Toplam (Negatif Şoklar İçin)</w:t>
            </w:r>
          </w:p>
        </w:tc>
        <w:tc>
          <w:tcPr>
            <w:tcW w:w="1434" w:type="dxa"/>
            <w:shd w:val="clear" w:color="auto" w:fill="auto"/>
            <w:noWrap/>
            <w:vAlign w:val="center"/>
            <w:hideMark/>
          </w:tcPr>
          <w:p w14:paraId="5B16EBD5" w14:textId="1F2AF227" w:rsidR="00E36E35" w:rsidRPr="00005453" w:rsidRDefault="00E36E35" w:rsidP="00E36E35">
            <w:pPr>
              <w:jc w:val="right"/>
              <w:rPr>
                <w:color w:val="000000"/>
                <w:lang w:eastAsia="tr-TR"/>
              </w:rPr>
            </w:pPr>
          </w:p>
        </w:tc>
        <w:tc>
          <w:tcPr>
            <w:tcW w:w="1418" w:type="dxa"/>
            <w:shd w:val="clear" w:color="auto" w:fill="auto"/>
            <w:noWrap/>
            <w:vAlign w:val="center"/>
            <w:hideMark/>
          </w:tcPr>
          <w:p w14:paraId="19621FF3" w14:textId="6F58B06B" w:rsidR="00E36E35" w:rsidRPr="00005453" w:rsidRDefault="00E36E35" w:rsidP="00E36E35">
            <w:pPr>
              <w:jc w:val="right"/>
              <w:rPr>
                <w:b/>
                <w:bCs/>
                <w:color w:val="000000"/>
                <w:sz w:val="18"/>
                <w:szCs w:val="18"/>
              </w:rPr>
            </w:pPr>
            <w:r w:rsidRPr="00005453">
              <w:rPr>
                <w:b/>
                <w:color w:val="000000"/>
                <w:sz w:val="18"/>
                <w:szCs w:val="18"/>
              </w:rPr>
              <w:t>4,221,065</w:t>
            </w:r>
          </w:p>
        </w:tc>
        <w:tc>
          <w:tcPr>
            <w:tcW w:w="2836" w:type="dxa"/>
            <w:shd w:val="clear" w:color="auto" w:fill="auto"/>
            <w:noWrap/>
            <w:vAlign w:val="center"/>
            <w:hideMark/>
          </w:tcPr>
          <w:p w14:paraId="64707163" w14:textId="5C67D727" w:rsidR="00E36E35" w:rsidRPr="00005453" w:rsidRDefault="00BC6C91" w:rsidP="00E36E35">
            <w:pPr>
              <w:jc w:val="right"/>
              <w:rPr>
                <w:b/>
                <w:bCs/>
                <w:color w:val="000000"/>
                <w:sz w:val="18"/>
                <w:szCs w:val="18"/>
              </w:rPr>
            </w:pPr>
            <w:r w:rsidRPr="00005453">
              <w:rPr>
                <w:b/>
                <w:color w:val="000000"/>
                <w:sz w:val="18"/>
                <w:szCs w:val="18"/>
              </w:rPr>
              <w:t>%</w:t>
            </w:r>
            <w:r w:rsidR="00E36E35" w:rsidRPr="00005453">
              <w:rPr>
                <w:b/>
                <w:color w:val="000000"/>
                <w:sz w:val="18"/>
                <w:szCs w:val="18"/>
              </w:rPr>
              <w:t>4.34</w:t>
            </w:r>
          </w:p>
        </w:tc>
      </w:tr>
      <w:tr w:rsidR="00E36E35" w:rsidRPr="00005453" w14:paraId="261BA13E" w14:textId="77777777" w:rsidTr="00E36E35">
        <w:trPr>
          <w:divId w:val="413821542"/>
          <w:trHeight w:val="169"/>
        </w:trPr>
        <w:tc>
          <w:tcPr>
            <w:tcW w:w="431" w:type="dxa"/>
            <w:shd w:val="clear" w:color="auto" w:fill="auto"/>
            <w:noWrap/>
            <w:vAlign w:val="bottom"/>
            <w:hideMark/>
          </w:tcPr>
          <w:p w14:paraId="3F8DD523" w14:textId="77777777" w:rsidR="00E36E35" w:rsidRPr="00005453" w:rsidRDefault="00E36E35" w:rsidP="00E36E35">
            <w:pPr>
              <w:rPr>
                <w:color w:val="000000"/>
                <w:lang w:eastAsia="tr-TR"/>
              </w:rPr>
            </w:pPr>
            <w:r w:rsidRPr="00005453">
              <w:rPr>
                <w:color w:val="000000"/>
                <w:lang w:eastAsia="tr-TR"/>
              </w:rPr>
              <w:t> </w:t>
            </w:r>
          </w:p>
        </w:tc>
        <w:tc>
          <w:tcPr>
            <w:tcW w:w="3477" w:type="dxa"/>
            <w:shd w:val="clear" w:color="auto" w:fill="auto"/>
            <w:noWrap/>
            <w:vAlign w:val="center"/>
            <w:hideMark/>
          </w:tcPr>
          <w:p w14:paraId="3F367462" w14:textId="77777777" w:rsidR="00E36E35" w:rsidRPr="00005453" w:rsidRDefault="00E36E35" w:rsidP="00E36E35">
            <w:pPr>
              <w:rPr>
                <w:b/>
                <w:bCs/>
                <w:color w:val="000000"/>
                <w:sz w:val="18"/>
                <w:szCs w:val="18"/>
                <w:lang w:eastAsia="tr-TR"/>
              </w:rPr>
            </w:pPr>
            <w:r w:rsidRPr="00005453">
              <w:rPr>
                <w:b/>
                <w:bCs/>
                <w:color w:val="000000"/>
                <w:sz w:val="18"/>
                <w:szCs w:val="18"/>
                <w:lang w:eastAsia="tr-TR"/>
              </w:rPr>
              <w:t>Toplam (Pozitif Şoklar İçin)</w:t>
            </w:r>
          </w:p>
        </w:tc>
        <w:tc>
          <w:tcPr>
            <w:tcW w:w="1434" w:type="dxa"/>
            <w:shd w:val="clear" w:color="auto" w:fill="auto"/>
            <w:noWrap/>
            <w:vAlign w:val="center"/>
            <w:hideMark/>
          </w:tcPr>
          <w:p w14:paraId="271BB72F" w14:textId="3874E897" w:rsidR="00E36E35" w:rsidRPr="00005453" w:rsidRDefault="00E36E35" w:rsidP="00E36E35">
            <w:pPr>
              <w:jc w:val="right"/>
              <w:rPr>
                <w:color w:val="000000"/>
                <w:lang w:eastAsia="tr-TR"/>
              </w:rPr>
            </w:pPr>
          </w:p>
        </w:tc>
        <w:tc>
          <w:tcPr>
            <w:tcW w:w="1418" w:type="dxa"/>
            <w:shd w:val="clear" w:color="auto" w:fill="auto"/>
            <w:noWrap/>
            <w:vAlign w:val="center"/>
            <w:hideMark/>
          </w:tcPr>
          <w:p w14:paraId="6D4F48E8" w14:textId="780BBC19" w:rsidR="00E36E35" w:rsidRPr="00005453" w:rsidRDefault="00E36E35" w:rsidP="00E36E35">
            <w:pPr>
              <w:jc w:val="right"/>
              <w:rPr>
                <w:b/>
                <w:bCs/>
                <w:color w:val="000000"/>
                <w:sz w:val="18"/>
                <w:szCs w:val="18"/>
              </w:rPr>
            </w:pPr>
            <w:r w:rsidRPr="00005453">
              <w:rPr>
                <w:b/>
                <w:color w:val="000000"/>
                <w:sz w:val="18"/>
                <w:szCs w:val="18"/>
              </w:rPr>
              <w:t>(4,268,510)</w:t>
            </w:r>
          </w:p>
        </w:tc>
        <w:tc>
          <w:tcPr>
            <w:tcW w:w="2836" w:type="dxa"/>
            <w:shd w:val="clear" w:color="auto" w:fill="auto"/>
            <w:noWrap/>
            <w:vAlign w:val="center"/>
            <w:hideMark/>
          </w:tcPr>
          <w:p w14:paraId="15ACED63" w14:textId="0ACDEDC2" w:rsidR="00E36E35" w:rsidRPr="00005453" w:rsidRDefault="00BC6C91" w:rsidP="00E36E35">
            <w:pPr>
              <w:jc w:val="right"/>
              <w:rPr>
                <w:b/>
                <w:bCs/>
                <w:color w:val="000000"/>
                <w:sz w:val="18"/>
                <w:szCs w:val="18"/>
              </w:rPr>
            </w:pPr>
            <w:r w:rsidRPr="00005453">
              <w:rPr>
                <w:b/>
                <w:color w:val="000000"/>
                <w:sz w:val="18"/>
                <w:szCs w:val="18"/>
              </w:rPr>
              <w:t>(%</w:t>
            </w:r>
            <w:r w:rsidR="00E36E35" w:rsidRPr="00005453">
              <w:rPr>
                <w:b/>
                <w:color w:val="000000"/>
                <w:sz w:val="18"/>
                <w:szCs w:val="18"/>
              </w:rPr>
              <w:t>4.39</w:t>
            </w:r>
            <w:r w:rsidRPr="00005453">
              <w:rPr>
                <w:b/>
                <w:color w:val="000000"/>
                <w:sz w:val="18"/>
                <w:szCs w:val="18"/>
              </w:rPr>
              <w:t>)</w:t>
            </w:r>
          </w:p>
        </w:tc>
      </w:tr>
      <w:bookmarkEnd w:id="67"/>
    </w:tbl>
    <w:p w14:paraId="17850F63" w14:textId="55D6A5EE" w:rsidR="00FB3FCF" w:rsidRPr="00005453" w:rsidRDefault="00FB3FCF" w:rsidP="00FB3FCF">
      <w:pPr>
        <w:pStyle w:val="BodyText"/>
        <w:jc w:val="left"/>
        <w:rPr>
          <w:rFonts w:eastAsia="Arial Unicode MS"/>
          <w:b/>
          <w:color w:val="000000"/>
          <w:sz w:val="16"/>
          <w:szCs w:val="16"/>
        </w:rPr>
      </w:pPr>
    </w:p>
    <w:p w14:paraId="66ABF4DF" w14:textId="62333724" w:rsidR="00FB3FCF" w:rsidRPr="00005453" w:rsidRDefault="00FB3FCF" w:rsidP="00FB3FCF">
      <w:pPr>
        <w:pStyle w:val="BodyText"/>
        <w:jc w:val="left"/>
        <w:rPr>
          <w:rFonts w:eastAsia="Arial Unicode MS"/>
          <w:b/>
          <w:color w:val="000000"/>
        </w:rPr>
      </w:pPr>
      <w:r w:rsidRPr="00005453">
        <w:rPr>
          <w:rFonts w:eastAsia="Arial Unicode MS"/>
          <w:b/>
          <w:color w:val="000000"/>
        </w:rPr>
        <w:t xml:space="preserve">Önceki </w:t>
      </w:r>
      <w:r w:rsidR="004329C4" w:rsidRPr="00005453">
        <w:rPr>
          <w:rFonts w:eastAsia="Arial Unicode MS"/>
          <w:b/>
          <w:color w:val="000000"/>
        </w:rPr>
        <w:t>D</w:t>
      </w:r>
      <w:r w:rsidRPr="00005453">
        <w:rPr>
          <w:rFonts w:eastAsia="Arial Unicode MS"/>
          <w:b/>
          <w:color w:val="000000"/>
        </w:rPr>
        <w:t>önem</w:t>
      </w:r>
    </w:p>
    <w:p w14:paraId="7A146BD2" w14:textId="040884AD" w:rsidR="007F562A" w:rsidRPr="00005453" w:rsidRDefault="007F562A" w:rsidP="00FB3FCF">
      <w:pPr>
        <w:ind w:hanging="567"/>
        <w:rPr>
          <w:lang w:val="en-GB" w:eastAsia="en-GB"/>
        </w:rPr>
      </w:pPr>
    </w:p>
    <w:tbl>
      <w:tblPr>
        <w:tblW w:w="96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32"/>
        <w:gridCol w:w="3485"/>
        <w:gridCol w:w="1437"/>
        <w:gridCol w:w="1422"/>
        <w:gridCol w:w="2842"/>
      </w:tblGrid>
      <w:tr w:rsidR="007F562A" w:rsidRPr="00005453" w14:paraId="73548762" w14:textId="77777777" w:rsidTr="000E5F12">
        <w:trPr>
          <w:divId w:val="1268467540"/>
          <w:trHeight w:val="783"/>
        </w:trPr>
        <w:tc>
          <w:tcPr>
            <w:tcW w:w="432" w:type="dxa"/>
            <w:shd w:val="clear" w:color="auto" w:fill="auto"/>
            <w:noWrap/>
            <w:vAlign w:val="bottom"/>
            <w:hideMark/>
          </w:tcPr>
          <w:p w14:paraId="6F2CADB4" w14:textId="2DC1ACF1" w:rsidR="007F562A" w:rsidRPr="00005453" w:rsidRDefault="007F562A" w:rsidP="007F562A">
            <w:pPr>
              <w:rPr>
                <w:color w:val="000000"/>
                <w:lang w:eastAsia="tr-TR"/>
              </w:rPr>
            </w:pPr>
            <w:r w:rsidRPr="00005453">
              <w:rPr>
                <w:color w:val="000000"/>
                <w:lang w:eastAsia="tr-TR"/>
              </w:rPr>
              <w:t> </w:t>
            </w:r>
          </w:p>
        </w:tc>
        <w:tc>
          <w:tcPr>
            <w:tcW w:w="3485" w:type="dxa"/>
            <w:shd w:val="clear" w:color="auto" w:fill="auto"/>
            <w:noWrap/>
            <w:vAlign w:val="center"/>
            <w:hideMark/>
          </w:tcPr>
          <w:p w14:paraId="2010C136" w14:textId="77777777" w:rsidR="007F562A" w:rsidRPr="00005453" w:rsidRDefault="007F562A" w:rsidP="007F562A">
            <w:pPr>
              <w:rPr>
                <w:color w:val="000000"/>
                <w:sz w:val="18"/>
                <w:szCs w:val="18"/>
                <w:lang w:eastAsia="tr-TR"/>
              </w:rPr>
            </w:pPr>
            <w:r w:rsidRPr="00005453">
              <w:rPr>
                <w:color w:val="000000"/>
                <w:sz w:val="18"/>
                <w:szCs w:val="18"/>
                <w:lang w:eastAsia="tr-TR"/>
              </w:rPr>
              <w:t>Para Birimi</w:t>
            </w:r>
          </w:p>
        </w:tc>
        <w:tc>
          <w:tcPr>
            <w:tcW w:w="1437" w:type="dxa"/>
            <w:shd w:val="clear" w:color="auto" w:fill="auto"/>
            <w:vAlign w:val="center"/>
            <w:hideMark/>
          </w:tcPr>
          <w:p w14:paraId="3DD100F8" w14:textId="77777777" w:rsidR="007F562A" w:rsidRPr="00005453" w:rsidRDefault="007F562A" w:rsidP="007F562A">
            <w:pPr>
              <w:jc w:val="center"/>
              <w:rPr>
                <w:color w:val="000000"/>
                <w:sz w:val="18"/>
                <w:szCs w:val="18"/>
                <w:lang w:eastAsia="tr-TR"/>
              </w:rPr>
            </w:pPr>
            <w:r w:rsidRPr="00005453">
              <w:rPr>
                <w:color w:val="000000"/>
                <w:sz w:val="18"/>
                <w:szCs w:val="18"/>
                <w:lang w:eastAsia="tr-TR"/>
              </w:rPr>
              <w:t>Uygulanan Şok (+/- x baz puan)</w:t>
            </w:r>
          </w:p>
        </w:tc>
        <w:tc>
          <w:tcPr>
            <w:tcW w:w="1422" w:type="dxa"/>
            <w:shd w:val="clear" w:color="auto" w:fill="auto"/>
            <w:vAlign w:val="center"/>
            <w:hideMark/>
          </w:tcPr>
          <w:p w14:paraId="161F0775" w14:textId="77777777" w:rsidR="007F562A" w:rsidRPr="00005453" w:rsidRDefault="007F562A" w:rsidP="007F562A">
            <w:pPr>
              <w:jc w:val="center"/>
              <w:rPr>
                <w:color w:val="000000"/>
                <w:sz w:val="18"/>
                <w:szCs w:val="18"/>
                <w:lang w:eastAsia="tr-TR"/>
              </w:rPr>
            </w:pPr>
            <w:r w:rsidRPr="00005453">
              <w:rPr>
                <w:color w:val="000000"/>
                <w:sz w:val="18"/>
                <w:szCs w:val="18"/>
                <w:lang w:eastAsia="tr-TR"/>
              </w:rPr>
              <w:t>Kazançlar/ Kayıplar</w:t>
            </w:r>
          </w:p>
        </w:tc>
        <w:tc>
          <w:tcPr>
            <w:tcW w:w="2842" w:type="dxa"/>
            <w:shd w:val="clear" w:color="auto" w:fill="auto"/>
            <w:vAlign w:val="center"/>
            <w:hideMark/>
          </w:tcPr>
          <w:p w14:paraId="3F6DD36B" w14:textId="77777777" w:rsidR="007F562A" w:rsidRPr="00005453" w:rsidRDefault="007F562A" w:rsidP="007F562A">
            <w:pPr>
              <w:jc w:val="center"/>
              <w:rPr>
                <w:color w:val="000000"/>
                <w:sz w:val="18"/>
                <w:szCs w:val="18"/>
                <w:lang w:eastAsia="tr-TR"/>
              </w:rPr>
            </w:pPr>
            <w:r w:rsidRPr="00005453">
              <w:rPr>
                <w:color w:val="000000"/>
                <w:sz w:val="18"/>
                <w:szCs w:val="18"/>
                <w:lang w:eastAsia="tr-TR"/>
              </w:rPr>
              <w:t xml:space="preserve">Kazançlar/Özkaynaklar  </w:t>
            </w:r>
            <w:proofErr w:type="gramStart"/>
            <w:r w:rsidRPr="00005453">
              <w:rPr>
                <w:color w:val="000000"/>
                <w:sz w:val="18"/>
                <w:szCs w:val="18"/>
                <w:lang w:eastAsia="tr-TR"/>
              </w:rPr>
              <w:t xml:space="preserve">  -</w:t>
            </w:r>
            <w:proofErr w:type="gramEnd"/>
            <w:r w:rsidRPr="00005453">
              <w:rPr>
                <w:color w:val="000000"/>
                <w:sz w:val="18"/>
                <w:szCs w:val="18"/>
                <w:lang w:eastAsia="tr-TR"/>
              </w:rPr>
              <w:t xml:space="preserve">      Kayıplar/Özkaynaklar</w:t>
            </w:r>
          </w:p>
        </w:tc>
      </w:tr>
      <w:tr w:rsidR="007F6A49" w:rsidRPr="00005453" w14:paraId="51A3ED99" w14:textId="77777777" w:rsidTr="007F6A49">
        <w:trPr>
          <w:divId w:val="1268467540"/>
          <w:trHeight w:val="169"/>
        </w:trPr>
        <w:tc>
          <w:tcPr>
            <w:tcW w:w="432" w:type="dxa"/>
            <w:shd w:val="clear" w:color="auto" w:fill="auto"/>
            <w:noWrap/>
            <w:vAlign w:val="center"/>
            <w:hideMark/>
          </w:tcPr>
          <w:p w14:paraId="0CDAC0CD" w14:textId="77777777" w:rsidR="007F6A49" w:rsidRPr="00005453" w:rsidRDefault="007F6A49" w:rsidP="007F6A49">
            <w:pPr>
              <w:jc w:val="center"/>
              <w:rPr>
                <w:color w:val="000000"/>
                <w:sz w:val="18"/>
                <w:szCs w:val="18"/>
                <w:lang w:eastAsia="tr-TR"/>
              </w:rPr>
            </w:pPr>
            <w:r w:rsidRPr="00005453">
              <w:rPr>
                <w:color w:val="000000"/>
                <w:sz w:val="18"/>
                <w:szCs w:val="18"/>
                <w:lang w:eastAsia="tr-TR"/>
              </w:rPr>
              <w:t>1</w:t>
            </w:r>
          </w:p>
        </w:tc>
        <w:tc>
          <w:tcPr>
            <w:tcW w:w="3485" w:type="dxa"/>
            <w:shd w:val="clear" w:color="auto" w:fill="auto"/>
            <w:noWrap/>
            <w:vAlign w:val="center"/>
            <w:hideMark/>
          </w:tcPr>
          <w:p w14:paraId="3F23383D" w14:textId="77777777" w:rsidR="007F6A49" w:rsidRPr="00005453" w:rsidRDefault="007F6A49" w:rsidP="007F6A49">
            <w:pPr>
              <w:rPr>
                <w:color w:val="000000"/>
                <w:sz w:val="18"/>
                <w:szCs w:val="18"/>
                <w:lang w:eastAsia="tr-TR"/>
              </w:rPr>
            </w:pPr>
            <w:r w:rsidRPr="00005453">
              <w:rPr>
                <w:color w:val="000000"/>
                <w:sz w:val="18"/>
                <w:szCs w:val="18"/>
                <w:lang w:eastAsia="tr-TR"/>
              </w:rPr>
              <w:t>TRY</w:t>
            </w:r>
          </w:p>
        </w:tc>
        <w:tc>
          <w:tcPr>
            <w:tcW w:w="1437" w:type="dxa"/>
            <w:shd w:val="clear" w:color="auto" w:fill="auto"/>
            <w:noWrap/>
            <w:vAlign w:val="center"/>
            <w:hideMark/>
          </w:tcPr>
          <w:p w14:paraId="453145BD" w14:textId="103C65E5" w:rsidR="007F6A49" w:rsidRPr="00005453" w:rsidRDefault="007F6A49" w:rsidP="007F6A49">
            <w:pPr>
              <w:jc w:val="right"/>
              <w:rPr>
                <w:color w:val="000000"/>
                <w:sz w:val="18"/>
                <w:szCs w:val="18"/>
                <w:lang w:eastAsia="tr-TR"/>
              </w:rPr>
            </w:pPr>
            <w:r w:rsidRPr="00005453">
              <w:rPr>
                <w:color w:val="000000"/>
                <w:sz w:val="18"/>
                <w:szCs w:val="18"/>
              </w:rPr>
              <w:t>(+) 500bp</w:t>
            </w:r>
          </w:p>
        </w:tc>
        <w:tc>
          <w:tcPr>
            <w:tcW w:w="1422" w:type="dxa"/>
            <w:shd w:val="clear" w:color="auto" w:fill="auto"/>
            <w:noWrap/>
            <w:vAlign w:val="center"/>
            <w:hideMark/>
          </w:tcPr>
          <w:p w14:paraId="0E4D4BBD" w14:textId="2595EC65" w:rsidR="007F6A49" w:rsidRPr="00005453" w:rsidRDefault="007F6A49" w:rsidP="007F6A49">
            <w:pPr>
              <w:jc w:val="right"/>
              <w:rPr>
                <w:color w:val="000000"/>
                <w:sz w:val="18"/>
                <w:szCs w:val="18"/>
                <w:lang w:eastAsia="tr-TR"/>
              </w:rPr>
            </w:pPr>
            <w:r w:rsidRPr="00005453">
              <w:rPr>
                <w:color w:val="000000"/>
                <w:sz w:val="18"/>
                <w:szCs w:val="18"/>
              </w:rPr>
              <w:t>(2,707,727)</w:t>
            </w:r>
          </w:p>
        </w:tc>
        <w:tc>
          <w:tcPr>
            <w:tcW w:w="2842" w:type="dxa"/>
            <w:shd w:val="clear" w:color="auto" w:fill="auto"/>
            <w:noWrap/>
            <w:vAlign w:val="center"/>
            <w:hideMark/>
          </w:tcPr>
          <w:p w14:paraId="465F509A" w14:textId="5C5F07DC" w:rsidR="007F6A49" w:rsidRPr="00005453" w:rsidRDefault="007F6A49" w:rsidP="007F6A49">
            <w:pPr>
              <w:jc w:val="right"/>
              <w:rPr>
                <w:color w:val="000000"/>
                <w:sz w:val="18"/>
                <w:szCs w:val="18"/>
                <w:lang w:eastAsia="tr-TR"/>
              </w:rPr>
            </w:pPr>
            <w:r w:rsidRPr="00005453">
              <w:rPr>
                <w:color w:val="000000"/>
                <w:sz w:val="18"/>
                <w:szCs w:val="18"/>
              </w:rPr>
              <w:t>(%4.05)</w:t>
            </w:r>
          </w:p>
        </w:tc>
      </w:tr>
      <w:tr w:rsidR="007F6A49" w:rsidRPr="00005453" w14:paraId="0EF4FF84" w14:textId="77777777" w:rsidTr="007F6A49">
        <w:trPr>
          <w:divId w:val="1268467540"/>
          <w:trHeight w:val="169"/>
        </w:trPr>
        <w:tc>
          <w:tcPr>
            <w:tcW w:w="432" w:type="dxa"/>
            <w:shd w:val="clear" w:color="auto" w:fill="auto"/>
            <w:noWrap/>
            <w:vAlign w:val="center"/>
            <w:hideMark/>
          </w:tcPr>
          <w:p w14:paraId="18DEF5A1" w14:textId="77777777" w:rsidR="007F6A49" w:rsidRPr="00005453" w:rsidRDefault="007F6A49" w:rsidP="007F6A49">
            <w:pPr>
              <w:jc w:val="center"/>
              <w:rPr>
                <w:color w:val="000000"/>
                <w:sz w:val="18"/>
                <w:szCs w:val="18"/>
                <w:lang w:eastAsia="tr-TR"/>
              </w:rPr>
            </w:pPr>
            <w:r w:rsidRPr="00005453">
              <w:rPr>
                <w:color w:val="000000"/>
                <w:sz w:val="18"/>
                <w:szCs w:val="18"/>
                <w:lang w:eastAsia="tr-TR"/>
              </w:rPr>
              <w:t>2</w:t>
            </w:r>
          </w:p>
        </w:tc>
        <w:tc>
          <w:tcPr>
            <w:tcW w:w="3485" w:type="dxa"/>
            <w:shd w:val="clear" w:color="auto" w:fill="auto"/>
            <w:noWrap/>
            <w:vAlign w:val="center"/>
            <w:hideMark/>
          </w:tcPr>
          <w:p w14:paraId="3C81DC4F" w14:textId="77777777" w:rsidR="007F6A49" w:rsidRPr="00005453" w:rsidRDefault="007F6A49" w:rsidP="007F6A49">
            <w:pPr>
              <w:rPr>
                <w:color w:val="000000"/>
                <w:sz w:val="18"/>
                <w:szCs w:val="18"/>
                <w:lang w:eastAsia="tr-TR"/>
              </w:rPr>
            </w:pPr>
            <w:r w:rsidRPr="00005453">
              <w:rPr>
                <w:color w:val="000000"/>
                <w:sz w:val="18"/>
                <w:szCs w:val="18"/>
                <w:lang w:eastAsia="tr-TR"/>
              </w:rPr>
              <w:t>TRY</w:t>
            </w:r>
          </w:p>
        </w:tc>
        <w:tc>
          <w:tcPr>
            <w:tcW w:w="1437" w:type="dxa"/>
            <w:shd w:val="clear" w:color="auto" w:fill="auto"/>
            <w:noWrap/>
            <w:vAlign w:val="center"/>
            <w:hideMark/>
          </w:tcPr>
          <w:p w14:paraId="5CED8CBA" w14:textId="3259D6F5" w:rsidR="007F6A49" w:rsidRPr="00005453" w:rsidRDefault="007F6A49" w:rsidP="007F6A49">
            <w:pPr>
              <w:jc w:val="right"/>
              <w:rPr>
                <w:color w:val="000000"/>
                <w:sz w:val="18"/>
                <w:szCs w:val="18"/>
                <w:lang w:eastAsia="tr-TR"/>
              </w:rPr>
            </w:pPr>
            <w:r w:rsidRPr="00005453">
              <w:rPr>
                <w:color w:val="000000"/>
                <w:sz w:val="18"/>
                <w:szCs w:val="18"/>
              </w:rPr>
              <w:t>(-) 400bp</w:t>
            </w:r>
          </w:p>
        </w:tc>
        <w:tc>
          <w:tcPr>
            <w:tcW w:w="1422" w:type="dxa"/>
            <w:shd w:val="clear" w:color="auto" w:fill="auto"/>
            <w:noWrap/>
            <w:vAlign w:val="center"/>
            <w:hideMark/>
          </w:tcPr>
          <w:p w14:paraId="203CA718" w14:textId="5BCDD4E2" w:rsidR="007F6A49" w:rsidRPr="00005453" w:rsidRDefault="007F6A49" w:rsidP="007F6A49">
            <w:pPr>
              <w:jc w:val="right"/>
              <w:rPr>
                <w:color w:val="000000"/>
                <w:sz w:val="18"/>
                <w:szCs w:val="18"/>
                <w:lang w:eastAsia="tr-TR"/>
              </w:rPr>
            </w:pPr>
            <w:r w:rsidRPr="00005453">
              <w:rPr>
                <w:color w:val="000000"/>
                <w:sz w:val="18"/>
                <w:szCs w:val="18"/>
              </w:rPr>
              <w:t>2,749,679</w:t>
            </w:r>
          </w:p>
        </w:tc>
        <w:tc>
          <w:tcPr>
            <w:tcW w:w="2842" w:type="dxa"/>
            <w:shd w:val="clear" w:color="auto" w:fill="auto"/>
            <w:noWrap/>
            <w:vAlign w:val="center"/>
            <w:hideMark/>
          </w:tcPr>
          <w:p w14:paraId="51E3104B" w14:textId="21CBCEB5" w:rsidR="007F6A49" w:rsidRPr="00005453" w:rsidRDefault="007F6A49" w:rsidP="007F6A49">
            <w:pPr>
              <w:jc w:val="right"/>
              <w:rPr>
                <w:color w:val="000000"/>
                <w:sz w:val="18"/>
                <w:szCs w:val="18"/>
                <w:lang w:eastAsia="tr-TR"/>
              </w:rPr>
            </w:pPr>
            <w:r w:rsidRPr="00005453">
              <w:rPr>
                <w:color w:val="000000"/>
                <w:sz w:val="18"/>
                <w:szCs w:val="18"/>
              </w:rPr>
              <w:t>%4.11</w:t>
            </w:r>
          </w:p>
        </w:tc>
      </w:tr>
      <w:tr w:rsidR="007F6A49" w:rsidRPr="00005453" w14:paraId="705A2BBF" w14:textId="77777777" w:rsidTr="007F6A49">
        <w:trPr>
          <w:divId w:val="1268467540"/>
          <w:trHeight w:val="169"/>
        </w:trPr>
        <w:tc>
          <w:tcPr>
            <w:tcW w:w="432" w:type="dxa"/>
            <w:shd w:val="clear" w:color="auto" w:fill="auto"/>
            <w:noWrap/>
            <w:vAlign w:val="center"/>
            <w:hideMark/>
          </w:tcPr>
          <w:p w14:paraId="67FB1E80" w14:textId="77777777" w:rsidR="007F6A49" w:rsidRPr="00005453" w:rsidRDefault="007F6A49" w:rsidP="007F6A49">
            <w:pPr>
              <w:jc w:val="center"/>
              <w:rPr>
                <w:color w:val="000000"/>
                <w:sz w:val="18"/>
                <w:szCs w:val="18"/>
                <w:lang w:eastAsia="tr-TR"/>
              </w:rPr>
            </w:pPr>
            <w:r w:rsidRPr="00005453">
              <w:rPr>
                <w:color w:val="000000"/>
                <w:sz w:val="18"/>
                <w:szCs w:val="18"/>
                <w:lang w:eastAsia="tr-TR"/>
              </w:rPr>
              <w:t>3</w:t>
            </w:r>
          </w:p>
        </w:tc>
        <w:tc>
          <w:tcPr>
            <w:tcW w:w="3485" w:type="dxa"/>
            <w:shd w:val="clear" w:color="auto" w:fill="auto"/>
            <w:noWrap/>
            <w:vAlign w:val="center"/>
            <w:hideMark/>
          </w:tcPr>
          <w:p w14:paraId="27CE1381" w14:textId="77777777" w:rsidR="007F6A49" w:rsidRPr="00005453" w:rsidRDefault="007F6A49" w:rsidP="007F6A49">
            <w:pPr>
              <w:rPr>
                <w:color w:val="000000"/>
                <w:sz w:val="18"/>
                <w:szCs w:val="18"/>
                <w:lang w:eastAsia="tr-TR"/>
              </w:rPr>
            </w:pPr>
            <w:r w:rsidRPr="00005453">
              <w:rPr>
                <w:color w:val="000000"/>
                <w:sz w:val="18"/>
                <w:szCs w:val="18"/>
                <w:lang w:eastAsia="tr-TR"/>
              </w:rPr>
              <w:t>USD</w:t>
            </w:r>
          </w:p>
        </w:tc>
        <w:tc>
          <w:tcPr>
            <w:tcW w:w="1437" w:type="dxa"/>
            <w:shd w:val="clear" w:color="auto" w:fill="auto"/>
            <w:noWrap/>
            <w:vAlign w:val="center"/>
            <w:hideMark/>
          </w:tcPr>
          <w:p w14:paraId="27CF1122" w14:textId="1489DEA5" w:rsidR="007F6A49" w:rsidRPr="00005453" w:rsidRDefault="007F6A49" w:rsidP="007F6A49">
            <w:pPr>
              <w:jc w:val="right"/>
              <w:rPr>
                <w:color w:val="000000"/>
                <w:sz w:val="18"/>
                <w:szCs w:val="18"/>
                <w:lang w:eastAsia="tr-TR"/>
              </w:rPr>
            </w:pPr>
            <w:r w:rsidRPr="00005453">
              <w:rPr>
                <w:color w:val="000000"/>
                <w:sz w:val="18"/>
                <w:szCs w:val="18"/>
              </w:rPr>
              <w:t>(+) 200bp</w:t>
            </w:r>
          </w:p>
        </w:tc>
        <w:tc>
          <w:tcPr>
            <w:tcW w:w="1422" w:type="dxa"/>
            <w:shd w:val="clear" w:color="auto" w:fill="auto"/>
            <w:noWrap/>
            <w:vAlign w:val="center"/>
            <w:hideMark/>
          </w:tcPr>
          <w:p w14:paraId="4DD113F3" w14:textId="13394854" w:rsidR="007F6A49" w:rsidRPr="00005453" w:rsidRDefault="007F6A49" w:rsidP="007F6A49">
            <w:pPr>
              <w:jc w:val="right"/>
              <w:rPr>
                <w:color w:val="000000"/>
                <w:sz w:val="18"/>
                <w:szCs w:val="18"/>
                <w:lang w:eastAsia="tr-TR"/>
              </w:rPr>
            </w:pPr>
            <w:r w:rsidRPr="00005453">
              <w:rPr>
                <w:color w:val="000000"/>
                <w:sz w:val="18"/>
                <w:szCs w:val="18"/>
              </w:rPr>
              <w:t>(526,431)</w:t>
            </w:r>
          </w:p>
        </w:tc>
        <w:tc>
          <w:tcPr>
            <w:tcW w:w="2842" w:type="dxa"/>
            <w:shd w:val="clear" w:color="auto" w:fill="auto"/>
            <w:noWrap/>
            <w:vAlign w:val="center"/>
            <w:hideMark/>
          </w:tcPr>
          <w:p w14:paraId="68F73FDF" w14:textId="4E964C3B" w:rsidR="007F6A49" w:rsidRPr="00005453" w:rsidRDefault="007F6A49" w:rsidP="007F6A49">
            <w:pPr>
              <w:jc w:val="right"/>
              <w:rPr>
                <w:color w:val="000000"/>
                <w:sz w:val="18"/>
                <w:szCs w:val="18"/>
                <w:lang w:eastAsia="tr-TR"/>
              </w:rPr>
            </w:pPr>
            <w:r w:rsidRPr="00005453">
              <w:rPr>
                <w:color w:val="000000"/>
                <w:sz w:val="18"/>
                <w:szCs w:val="18"/>
              </w:rPr>
              <w:t>(</w:t>
            </w:r>
            <w:proofErr w:type="gramStart"/>
            <w:r w:rsidRPr="00005453">
              <w:rPr>
                <w:color w:val="000000"/>
                <w:sz w:val="18"/>
                <w:szCs w:val="18"/>
              </w:rPr>
              <w:t>%0.79</w:t>
            </w:r>
            <w:proofErr w:type="gramEnd"/>
            <w:r w:rsidRPr="00005453">
              <w:rPr>
                <w:color w:val="000000"/>
                <w:sz w:val="18"/>
                <w:szCs w:val="18"/>
              </w:rPr>
              <w:t>)</w:t>
            </w:r>
          </w:p>
        </w:tc>
      </w:tr>
      <w:tr w:rsidR="007F6A49" w:rsidRPr="00005453" w14:paraId="3B499716" w14:textId="77777777" w:rsidTr="007F6A49">
        <w:trPr>
          <w:divId w:val="1268467540"/>
          <w:trHeight w:val="169"/>
        </w:trPr>
        <w:tc>
          <w:tcPr>
            <w:tcW w:w="432" w:type="dxa"/>
            <w:shd w:val="clear" w:color="auto" w:fill="auto"/>
            <w:noWrap/>
            <w:vAlign w:val="center"/>
            <w:hideMark/>
          </w:tcPr>
          <w:p w14:paraId="4E4D2124" w14:textId="77777777" w:rsidR="007F6A49" w:rsidRPr="00005453" w:rsidRDefault="007F6A49" w:rsidP="007F6A49">
            <w:pPr>
              <w:jc w:val="center"/>
              <w:rPr>
                <w:color w:val="000000"/>
                <w:sz w:val="18"/>
                <w:szCs w:val="18"/>
                <w:lang w:eastAsia="tr-TR"/>
              </w:rPr>
            </w:pPr>
            <w:r w:rsidRPr="00005453">
              <w:rPr>
                <w:color w:val="000000"/>
                <w:sz w:val="18"/>
                <w:szCs w:val="18"/>
                <w:lang w:eastAsia="tr-TR"/>
              </w:rPr>
              <w:t>4</w:t>
            </w:r>
          </w:p>
        </w:tc>
        <w:tc>
          <w:tcPr>
            <w:tcW w:w="3485" w:type="dxa"/>
            <w:shd w:val="clear" w:color="auto" w:fill="auto"/>
            <w:noWrap/>
            <w:vAlign w:val="center"/>
            <w:hideMark/>
          </w:tcPr>
          <w:p w14:paraId="7FFD4B80" w14:textId="77777777" w:rsidR="007F6A49" w:rsidRPr="00005453" w:rsidRDefault="007F6A49" w:rsidP="007F6A49">
            <w:pPr>
              <w:rPr>
                <w:color w:val="000000"/>
                <w:sz w:val="18"/>
                <w:szCs w:val="18"/>
                <w:lang w:eastAsia="tr-TR"/>
              </w:rPr>
            </w:pPr>
            <w:r w:rsidRPr="00005453">
              <w:rPr>
                <w:color w:val="000000"/>
                <w:sz w:val="18"/>
                <w:szCs w:val="18"/>
                <w:lang w:eastAsia="tr-TR"/>
              </w:rPr>
              <w:t>USD</w:t>
            </w:r>
          </w:p>
        </w:tc>
        <w:tc>
          <w:tcPr>
            <w:tcW w:w="1437" w:type="dxa"/>
            <w:shd w:val="clear" w:color="auto" w:fill="auto"/>
            <w:noWrap/>
            <w:vAlign w:val="center"/>
            <w:hideMark/>
          </w:tcPr>
          <w:p w14:paraId="33465D25" w14:textId="06D279D3" w:rsidR="007F6A49" w:rsidRPr="00005453" w:rsidRDefault="007F6A49" w:rsidP="007F6A49">
            <w:pPr>
              <w:jc w:val="right"/>
              <w:rPr>
                <w:color w:val="000000"/>
                <w:sz w:val="18"/>
                <w:szCs w:val="18"/>
                <w:lang w:eastAsia="tr-TR"/>
              </w:rPr>
            </w:pPr>
            <w:r w:rsidRPr="00005453">
              <w:rPr>
                <w:color w:val="000000"/>
                <w:sz w:val="18"/>
                <w:szCs w:val="18"/>
              </w:rPr>
              <w:t>(-) 200bp</w:t>
            </w:r>
          </w:p>
        </w:tc>
        <w:tc>
          <w:tcPr>
            <w:tcW w:w="1422" w:type="dxa"/>
            <w:shd w:val="clear" w:color="auto" w:fill="auto"/>
            <w:noWrap/>
            <w:vAlign w:val="center"/>
            <w:hideMark/>
          </w:tcPr>
          <w:p w14:paraId="2D7020CB" w14:textId="123E6210" w:rsidR="007F6A49" w:rsidRPr="00005453" w:rsidRDefault="007F6A49" w:rsidP="007F6A49">
            <w:pPr>
              <w:jc w:val="right"/>
              <w:rPr>
                <w:color w:val="000000"/>
                <w:sz w:val="18"/>
                <w:szCs w:val="18"/>
                <w:lang w:eastAsia="tr-TR"/>
              </w:rPr>
            </w:pPr>
            <w:r w:rsidRPr="00005453">
              <w:rPr>
                <w:color w:val="000000"/>
                <w:sz w:val="18"/>
                <w:szCs w:val="18"/>
              </w:rPr>
              <w:t>639,214</w:t>
            </w:r>
          </w:p>
        </w:tc>
        <w:tc>
          <w:tcPr>
            <w:tcW w:w="2842" w:type="dxa"/>
            <w:shd w:val="clear" w:color="auto" w:fill="auto"/>
            <w:noWrap/>
            <w:vAlign w:val="center"/>
            <w:hideMark/>
          </w:tcPr>
          <w:p w14:paraId="41A6E91B" w14:textId="2D3468D5" w:rsidR="007F6A49" w:rsidRPr="00005453" w:rsidRDefault="007F6A49" w:rsidP="007F6A49">
            <w:pPr>
              <w:jc w:val="right"/>
              <w:rPr>
                <w:color w:val="000000"/>
                <w:sz w:val="18"/>
                <w:szCs w:val="18"/>
                <w:lang w:eastAsia="tr-TR"/>
              </w:rPr>
            </w:pPr>
            <w:proofErr w:type="gramStart"/>
            <w:r w:rsidRPr="00005453">
              <w:rPr>
                <w:color w:val="000000"/>
                <w:sz w:val="18"/>
                <w:szCs w:val="18"/>
              </w:rPr>
              <w:t>%0.96</w:t>
            </w:r>
            <w:proofErr w:type="gramEnd"/>
          </w:p>
        </w:tc>
      </w:tr>
      <w:tr w:rsidR="007F6A49" w:rsidRPr="00005453" w14:paraId="565B0C18" w14:textId="77777777" w:rsidTr="007F6A49">
        <w:trPr>
          <w:divId w:val="1268467540"/>
          <w:trHeight w:val="169"/>
        </w:trPr>
        <w:tc>
          <w:tcPr>
            <w:tcW w:w="432" w:type="dxa"/>
            <w:shd w:val="clear" w:color="auto" w:fill="auto"/>
            <w:noWrap/>
            <w:vAlign w:val="center"/>
            <w:hideMark/>
          </w:tcPr>
          <w:p w14:paraId="1135FE83" w14:textId="77777777" w:rsidR="007F6A49" w:rsidRPr="00005453" w:rsidRDefault="007F6A49" w:rsidP="007F6A49">
            <w:pPr>
              <w:jc w:val="center"/>
              <w:rPr>
                <w:color w:val="000000"/>
                <w:sz w:val="18"/>
                <w:szCs w:val="18"/>
                <w:lang w:eastAsia="tr-TR"/>
              </w:rPr>
            </w:pPr>
            <w:r w:rsidRPr="00005453">
              <w:rPr>
                <w:color w:val="000000"/>
                <w:sz w:val="18"/>
                <w:szCs w:val="18"/>
                <w:lang w:eastAsia="tr-TR"/>
              </w:rPr>
              <w:t>5</w:t>
            </w:r>
          </w:p>
        </w:tc>
        <w:tc>
          <w:tcPr>
            <w:tcW w:w="3485" w:type="dxa"/>
            <w:shd w:val="clear" w:color="auto" w:fill="auto"/>
            <w:noWrap/>
            <w:vAlign w:val="center"/>
            <w:hideMark/>
          </w:tcPr>
          <w:p w14:paraId="5F71A10F" w14:textId="77777777" w:rsidR="007F6A49" w:rsidRPr="00005453" w:rsidRDefault="007F6A49" w:rsidP="007F6A49">
            <w:pPr>
              <w:rPr>
                <w:color w:val="000000"/>
                <w:sz w:val="18"/>
                <w:szCs w:val="18"/>
                <w:lang w:eastAsia="tr-TR"/>
              </w:rPr>
            </w:pPr>
            <w:r w:rsidRPr="00005453">
              <w:rPr>
                <w:color w:val="000000"/>
                <w:sz w:val="18"/>
                <w:szCs w:val="18"/>
                <w:lang w:eastAsia="tr-TR"/>
              </w:rPr>
              <w:t>EURO</w:t>
            </w:r>
          </w:p>
        </w:tc>
        <w:tc>
          <w:tcPr>
            <w:tcW w:w="1437" w:type="dxa"/>
            <w:shd w:val="clear" w:color="auto" w:fill="auto"/>
            <w:noWrap/>
            <w:vAlign w:val="center"/>
            <w:hideMark/>
          </w:tcPr>
          <w:p w14:paraId="253CA281" w14:textId="631A9654" w:rsidR="007F6A49" w:rsidRPr="00005453" w:rsidRDefault="007F6A49" w:rsidP="007F6A49">
            <w:pPr>
              <w:jc w:val="right"/>
              <w:rPr>
                <w:color w:val="000000"/>
                <w:sz w:val="18"/>
                <w:szCs w:val="18"/>
                <w:lang w:eastAsia="tr-TR"/>
              </w:rPr>
            </w:pPr>
            <w:r w:rsidRPr="00005453">
              <w:rPr>
                <w:color w:val="000000"/>
                <w:sz w:val="18"/>
                <w:szCs w:val="18"/>
              </w:rPr>
              <w:t>(+) 200bp</w:t>
            </w:r>
          </w:p>
        </w:tc>
        <w:tc>
          <w:tcPr>
            <w:tcW w:w="1422" w:type="dxa"/>
            <w:shd w:val="clear" w:color="auto" w:fill="auto"/>
            <w:noWrap/>
            <w:vAlign w:val="center"/>
            <w:hideMark/>
          </w:tcPr>
          <w:p w14:paraId="2232F17A" w14:textId="184A800E" w:rsidR="007F6A49" w:rsidRPr="00005453" w:rsidRDefault="007F6A49" w:rsidP="007F6A49">
            <w:pPr>
              <w:jc w:val="right"/>
              <w:rPr>
                <w:color w:val="000000"/>
                <w:sz w:val="18"/>
                <w:szCs w:val="18"/>
                <w:lang w:eastAsia="tr-TR"/>
              </w:rPr>
            </w:pPr>
            <w:r w:rsidRPr="00005453">
              <w:rPr>
                <w:color w:val="000000"/>
                <w:sz w:val="18"/>
                <w:szCs w:val="18"/>
              </w:rPr>
              <w:t>394,784</w:t>
            </w:r>
          </w:p>
        </w:tc>
        <w:tc>
          <w:tcPr>
            <w:tcW w:w="2842" w:type="dxa"/>
            <w:shd w:val="clear" w:color="auto" w:fill="auto"/>
            <w:noWrap/>
            <w:vAlign w:val="center"/>
            <w:hideMark/>
          </w:tcPr>
          <w:p w14:paraId="17669B28" w14:textId="37E25E4B" w:rsidR="007F6A49" w:rsidRPr="00005453" w:rsidRDefault="007F6A49" w:rsidP="007F6A49">
            <w:pPr>
              <w:jc w:val="right"/>
              <w:rPr>
                <w:color w:val="000000"/>
                <w:sz w:val="18"/>
                <w:szCs w:val="18"/>
                <w:lang w:eastAsia="tr-TR"/>
              </w:rPr>
            </w:pPr>
            <w:r w:rsidRPr="00005453">
              <w:rPr>
                <w:color w:val="000000"/>
                <w:sz w:val="18"/>
                <w:szCs w:val="18"/>
              </w:rPr>
              <w:t>%0.59</w:t>
            </w:r>
          </w:p>
        </w:tc>
      </w:tr>
      <w:tr w:rsidR="007F6A49" w:rsidRPr="00005453" w14:paraId="54DD2881" w14:textId="77777777" w:rsidTr="007F6A49">
        <w:trPr>
          <w:divId w:val="1268467540"/>
          <w:trHeight w:val="169"/>
        </w:trPr>
        <w:tc>
          <w:tcPr>
            <w:tcW w:w="432" w:type="dxa"/>
            <w:shd w:val="clear" w:color="auto" w:fill="auto"/>
            <w:noWrap/>
            <w:vAlign w:val="center"/>
            <w:hideMark/>
          </w:tcPr>
          <w:p w14:paraId="7DEBE841" w14:textId="77777777" w:rsidR="007F6A49" w:rsidRPr="00005453" w:rsidRDefault="007F6A49" w:rsidP="007F6A49">
            <w:pPr>
              <w:jc w:val="center"/>
              <w:rPr>
                <w:color w:val="000000"/>
                <w:sz w:val="18"/>
                <w:szCs w:val="18"/>
                <w:lang w:eastAsia="tr-TR"/>
              </w:rPr>
            </w:pPr>
            <w:r w:rsidRPr="00005453">
              <w:rPr>
                <w:color w:val="000000"/>
                <w:sz w:val="18"/>
                <w:szCs w:val="18"/>
                <w:lang w:eastAsia="tr-TR"/>
              </w:rPr>
              <w:t>6</w:t>
            </w:r>
          </w:p>
        </w:tc>
        <w:tc>
          <w:tcPr>
            <w:tcW w:w="3485" w:type="dxa"/>
            <w:shd w:val="clear" w:color="auto" w:fill="auto"/>
            <w:noWrap/>
            <w:vAlign w:val="center"/>
            <w:hideMark/>
          </w:tcPr>
          <w:p w14:paraId="5E3A0943" w14:textId="77777777" w:rsidR="007F6A49" w:rsidRPr="00005453" w:rsidRDefault="007F6A49" w:rsidP="007F6A49">
            <w:pPr>
              <w:rPr>
                <w:color w:val="000000"/>
                <w:sz w:val="18"/>
                <w:szCs w:val="18"/>
                <w:lang w:eastAsia="tr-TR"/>
              </w:rPr>
            </w:pPr>
            <w:r w:rsidRPr="00005453">
              <w:rPr>
                <w:color w:val="000000"/>
                <w:sz w:val="18"/>
                <w:szCs w:val="18"/>
                <w:lang w:eastAsia="tr-TR"/>
              </w:rPr>
              <w:t>EURO</w:t>
            </w:r>
          </w:p>
        </w:tc>
        <w:tc>
          <w:tcPr>
            <w:tcW w:w="1437" w:type="dxa"/>
            <w:shd w:val="clear" w:color="auto" w:fill="auto"/>
            <w:noWrap/>
            <w:vAlign w:val="center"/>
            <w:hideMark/>
          </w:tcPr>
          <w:p w14:paraId="73822EB9" w14:textId="2496721F" w:rsidR="007F6A49" w:rsidRPr="00005453" w:rsidRDefault="007F6A49" w:rsidP="007F6A49">
            <w:pPr>
              <w:jc w:val="right"/>
              <w:rPr>
                <w:color w:val="000000"/>
                <w:sz w:val="18"/>
                <w:szCs w:val="18"/>
                <w:lang w:eastAsia="tr-TR"/>
              </w:rPr>
            </w:pPr>
            <w:r w:rsidRPr="00005453">
              <w:rPr>
                <w:color w:val="000000"/>
                <w:sz w:val="18"/>
                <w:szCs w:val="18"/>
              </w:rPr>
              <w:t>(-) 200bp</w:t>
            </w:r>
          </w:p>
        </w:tc>
        <w:tc>
          <w:tcPr>
            <w:tcW w:w="1422" w:type="dxa"/>
            <w:shd w:val="clear" w:color="auto" w:fill="auto"/>
            <w:noWrap/>
            <w:vAlign w:val="center"/>
            <w:hideMark/>
          </w:tcPr>
          <w:p w14:paraId="644751D0" w14:textId="5E486FE7" w:rsidR="007F6A49" w:rsidRPr="00005453" w:rsidRDefault="007F6A49" w:rsidP="007F6A49">
            <w:pPr>
              <w:jc w:val="right"/>
              <w:rPr>
                <w:color w:val="000000"/>
                <w:sz w:val="18"/>
                <w:szCs w:val="18"/>
                <w:lang w:eastAsia="tr-TR"/>
              </w:rPr>
            </w:pPr>
            <w:r w:rsidRPr="00005453">
              <w:rPr>
                <w:color w:val="000000"/>
                <w:sz w:val="18"/>
                <w:szCs w:val="18"/>
              </w:rPr>
              <w:t>(347,568)</w:t>
            </w:r>
          </w:p>
        </w:tc>
        <w:tc>
          <w:tcPr>
            <w:tcW w:w="2842" w:type="dxa"/>
            <w:shd w:val="clear" w:color="auto" w:fill="auto"/>
            <w:noWrap/>
            <w:vAlign w:val="center"/>
            <w:hideMark/>
          </w:tcPr>
          <w:p w14:paraId="1F1A73E7" w14:textId="5A45D63D" w:rsidR="007F6A49" w:rsidRPr="00005453" w:rsidRDefault="007F6A49" w:rsidP="007F6A49">
            <w:pPr>
              <w:jc w:val="right"/>
              <w:rPr>
                <w:color w:val="000000"/>
                <w:sz w:val="18"/>
                <w:szCs w:val="18"/>
                <w:lang w:eastAsia="tr-TR"/>
              </w:rPr>
            </w:pPr>
            <w:r w:rsidRPr="00005453">
              <w:rPr>
                <w:color w:val="000000"/>
                <w:sz w:val="18"/>
                <w:szCs w:val="18"/>
              </w:rPr>
              <w:t>(%0.52)</w:t>
            </w:r>
          </w:p>
        </w:tc>
      </w:tr>
      <w:tr w:rsidR="007F6A49" w:rsidRPr="00005453" w14:paraId="0E694536" w14:textId="77777777" w:rsidTr="007F6A49">
        <w:trPr>
          <w:divId w:val="1268467540"/>
          <w:trHeight w:val="169"/>
        </w:trPr>
        <w:tc>
          <w:tcPr>
            <w:tcW w:w="432" w:type="dxa"/>
            <w:shd w:val="clear" w:color="auto" w:fill="auto"/>
            <w:noWrap/>
            <w:vAlign w:val="bottom"/>
            <w:hideMark/>
          </w:tcPr>
          <w:p w14:paraId="4367B08F" w14:textId="77777777" w:rsidR="007F6A49" w:rsidRPr="00005453" w:rsidRDefault="007F6A49" w:rsidP="007F6A49">
            <w:pPr>
              <w:rPr>
                <w:color w:val="000000"/>
                <w:lang w:eastAsia="tr-TR"/>
              </w:rPr>
            </w:pPr>
            <w:r w:rsidRPr="00005453">
              <w:rPr>
                <w:color w:val="000000"/>
                <w:lang w:eastAsia="tr-TR"/>
              </w:rPr>
              <w:t> </w:t>
            </w:r>
          </w:p>
        </w:tc>
        <w:tc>
          <w:tcPr>
            <w:tcW w:w="3485" w:type="dxa"/>
            <w:shd w:val="clear" w:color="auto" w:fill="auto"/>
            <w:noWrap/>
            <w:vAlign w:val="center"/>
            <w:hideMark/>
          </w:tcPr>
          <w:p w14:paraId="7BED33AA" w14:textId="77777777" w:rsidR="007F6A49" w:rsidRPr="00005453" w:rsidRDefault="007F6A49" w:rsidP="007F6A49">
            <w:pPr>
              <w:rPr>
                <w:b/>
                <w:bCs/>
                <w:color w:val="000000"/>
                <w:sz w:val="18"/>
                <w:szCs w:val="18"/>
                <w:lang w:eastAsia="tr-TR"/>
              </w:rPr>
            </w:pPr>
            <w:r w:rsidRPr="00005453">
              <w:rPr>
                <w:b/>
                <w:bCs/>
                <w:color w:val="000000"/>
                <w:sz w:val="18"/>
                <w:szCs w:val="18"/>
                <w:lang w:eastAsia="tr-TR"/>
              </w:rPr>
              <w:t>Toplam (Negatif Şoklar İçin)</w:t>
            </w:r>
          </w:p>
        </w:tc>
        <w:tc>
          <w:tcPr>
            <w:tcW w:w="1437" w:type="dxa"/>
            <w:shd w:val="clear" w:color="auto" w:fill="auto"/>
            <w:noWrap/>
            <w:vAlign w:val="center"/>
            <w:hideMark/>
          </w:tcPr>
          <w:p w14:paraId="55E3F92B" w14:textId="62F7BA21" w:rsidR="007F6A49" w:rsidRPr="00005453" w:rsidRDefault="007F6A49" w:rsidP="007F6A49">
            <w:pPr>
              <w:jc w:val="right"/>
              <w:rPr>
                <w:color w:val="000000"/>
                <w:lang w:eastAsia="tr-TR"/>
              </w:rPr>
            </w:pPr>
          </w:p>
        </w:tc>
        <w:tc>
          <w:tcPr>
            <w:tcW w:w="1422" w:type="dxa"/>
            <w:shd w:val="clear" w:color="auto" w:fill="auto"/>
            <w:noWrap/>
            <w:vAlign w:val="center"/>
            <w:hideMark/>
          </w:tcPr>
          <w:p w14:paraId="25DABC91" w14:textId="0F81481A" w:rsidR="007F6A49" w:rsidRPr="00005453" w:rsidRDefault="007F6A49" w:rsidP="007F6A49">
            <w:pPr>
              <w:jc w:val="right"/>
              <w:rPr>
                <w:b/>
                <w:bCs/>
                <w:color w:val="000000"/>
                <w:sz w:val="18"/>
                <w:szCs w:val="18"/>
                <w:lang w:eastAsia="tr-TR"/>
              </w:rPr>
            </w:pPr>
            <w:r w:rsidRPr="00005453">
              <w:rPr>
                <w:b/>
                <w:bCs/>
                <w:color w:val="000000"/>
                <w:sz w:val="18"/>
                <w:szCs w:val="18"/>
              </w:rPr>
              <w:t>3,041,325</w:t>
            </w:r>
          </w:p>
        </w:tc>
        <w:tc>
          <w:tcPr>
            <w:tcW w:w="2842" w:type="dxa"/>
            <w:shd w:val="clear" w:color="auto" w:fill="auto"/>
            <w:noWrap/>
            <w:vAlign w:val="center"/>
            <w:hideMark/>
          </w:tcPr>
          <w:p w14:paraId="5380C743" w14:textId="3E87C2DD" w:rsidR="007F6A49" w:rsidRPr="00005453" w:rsidRDefault="007F6A49" w:rsidP="007F6A49">
            <w:pPr>
              <w:jc w:val="right"/>
              <w:rPr>
                <w:b/>
                <w:bCs/>
                <w:color w:val="000000"/>
                <w:sz w:val="18"/>
                <w:szCs w:val="18"/>
                <w:lang w:eastAsia="tr-TR"/>
              </w:rPr>
            </w:pPr>
            <w:r w:rsidRPr="00005453">
              <w:rPr>
                <w:b/>
                <w:bCs/>
                <w:color w:val="000000"/>
                <w:sz w:val="18"/>
                <w:szCs w:val="18"/>
              </w:rPr>
              <w:t>%4.55</w:t>
            </w:r>
          </w:p>
        </w:tc>
      </w:tr>
      <w:tr w:rsidR="007F6A49" w:rsidRPr="00005453" w14:paraId="1275015B" w14:textId="77777777" w:rsidTr="007F6A49">
        <w:trPr>
          <w:divId w:val="1268467540"/>
          <w:trHeight w:val="169"/>
        </w:trPr>
        <w:tc>
          <w:tcPr>
            <w:tcW w:w="432" w:type="dxa"/>
            <w:shd w:val="clear" w:color="auto" w:fill="auto"/>
            <w:noWrap/>
            <w:vAlign w:val="bottom"/>
            <w:hideMark/>
          </w:tcPr>
          <w:p w14:paraId="7790E35C" w14:textId="77777777" w:rsidR="007F6A49" w:rsidRPr="00005453" w:rsidRDefault="007F6A49" w:rsidP="007F6A49">
            <w:pPr>
              <w:rPr>
                <w:color w:val="000000"/>
                <w:lang w:eastAsia="tr-TR"/>
              </w:rPr>
            </w:pPr>
            <w:r w:rsidRPr="00005453">
              <w:rPr>
                <w:color w:val="000000"/>
                <w:lang w:eastAsia="tr-TR"/>
              </w:rPr>
              <w:t> </w:t>
            </w:r>
          </w:p>
        </w:tc>
        <w:tc>
          <w:tcPr>
            <w:tcW w:w="3485" w:type="dxa"/>
            <w:shd w:val="clear" w:color="auto" w:fill="auto"/>
            <w:noWrap/>
            <w:vAlign w:val="center"/>
            <w:hideMark/>
          </w:tcPr>
          <w:p w14:paraId="0C6F29D9" w14:textId="77777777" w:rsidR="007F6A49" w:rsidRPr="00005453" w:rsidRDefault="007F6A49" w:rsidP="007F6A49">
            <w:pPr>
              <w:rPr>
                <w:b/>
                <w:bCs/>
                <w:color w:val="000000"/>
                <w:sz w:val="18"/>
                <w:szCs w:val="18"/>
                <w:lang w:eastAsia="tr-TR"/>
              </w:rPr>
            </w:pPr>
            <w:r w:rsidRPr="00005453">
              <w:rPr>
                <w:b/>
                <w:bCs/>
                <w:color w:val="000000"/>
                <w:sz w:val="18"/>
                <w:szCs w:val="18"/>
                <w:lang w:eastAsia="tr-TR"/>
              </w:rPr>
              <w:t>Toplam (Pozitif Şoklar İçin)</w:t>
            </w:r>
          </w:p>
        </w:tc>
        <w:tc>
          <w:tcPr>
            <w:tcW w:w="1437" w:type="dxa"/>
            <w:shd w:val="clear" w:color="auto" w:fill="auto"/>
            <w:noWrap/>
            <w:vAlign w:val="center"/>
            <w:hideMark/>
          </w:tcPr>
          <w:p w14:paraId="1FA53330" w14:textId="54AC6321" w:rsidR="007F6A49" w:rsidRPr="00005453" w:rsidRDefault="007F6A49" w:rsidP="007F6A49">
            <w:pPr>
              <w:jc w:val="right"/>
              <w:rPr>
                <w:color w:val="000000"/>
                <w:lang w:eastAsia="tr-TR"/>
              </w:rPr>
            </w:pPr>
          </w:p>
        </w:tc>
        <w:tc>
          <w:tcPr>
            <w:tcW w:w="1422" w:type="dxa"/>
            <w:shd w:val="clear" w:color="auto" w:fill="auto"/>
            <w:noWrap/>
            <w:vAlign w:val="center"/>
            <w:hideMark/>
          </w:tcPr>
          <w:p w14:paraId="1FA98B9C" w14:textId="60A0495B" w:rsidR="007F6A49" w:rsidRPr="00005453" w:rsidRDefault="007F6A49" w:rsidP="007F6A49">
            <w:pPr>
              <w:jc w:val="right"/>
              <w:rPr>
                <w:b/>
                <w:bCs/>
                <w:color w:val="000000"/>
                <w:sz w:val="18"/>
                <w:szCs w:val="18"/>
                <w:lang w:eastAsia="tr-TR"/>
              </w:rPr>
            </w:pPr>
            <w:r w:rsidRPr="00005453">
              <w:rPr>
                <w:b/>
                <w:bCs/>
                <w:color w:val="000000"/>
                <w:sz w:val="18"/>
                <w:szCs w:val="18"/>
              </w:rPr>
              <w:t>(2,839,374)</w:t>
            </w:r>
          </w:p>
        </w:tc>
        <w:tc>
          <w:tcPr>
            <w:tcW w:w="2842" w:type="dxa"/>
            <w:shd w:val="clear" w:color="auto" w:fill="auto"/>
            <w:noWrap/>
            <w:vAlign w:val="center"/>
            <w:hideMark/>
          </w:tcPr>
          <w:p w14:paraId="465DAAFA" w14:textId="107B3D9F" w:rsidR="007F6A49" w:rsidRPr="00005453" w:rsidRDefault="007F6A49" w:rsidP="007F6A49">
            <w:pPr>
              <w:jc w:val="right"/>
              <w:rPr>
                <w:b/>
                <w:bCs/>
                <w:color w:val="000000"/>
                <w:sz w:val="18"/>
                <w:szCs w:val="18"/>
                <w:lang w:eastAsia="tr-TR"/>
              </w:rPr>
            </w:pPr>
            <w:r w:rsidRPr="00005453">
              <w:rPr>
                <w:b/>
                <w:bCs/>
                <w:color w:val="000000"/>
                <w:sz w:val="18"/>
                <w:szCs w:val="18"/>
              </w:rPr>
              <w:t>(%4.25)</w:t>
            </w:r>
          </w:p>
        </w:tc>
      </w:tr>
    </w:tbl>
    <w:p w14:paraId="5EDDB633" w14:textId="2FE51FFA" w:rsidR="00FB3FCF" w:rsidRPr="00005453" w:rsidRDefault="00FB3FCF" w:rsidP="00FB3FCF">
      <w:pPr>
        <w:ind w:hanging="567"/>
        <w:rPr>
          <w:b/>
          <w:sz w:val="16"/>
          <w:szCs w:val="16"/>
        </w:rPr>
      </w:pPr>
    </w:p>
    <w:p w14:paraId="7AA3B311" w14:textId="157553DA" w:rsidR="00FB3FCF" w:rsidRPr="00005453" w:rsidRDefault="00476292" w:rsidP="00FB3FCF">
      <w:pPr>
        <w:ind w:hanging="567"/>
        <w:rPr>
          <w:b/>
        </w:rPr>
      </w:pPr>
      <w:r w:rsidRPr="00005453">
        <w:rPr>
          <w:rFonts w:eastAsia="Arial Unicode MS"/>
          <w:b/>
          <w:color w:val="000000"/>
        </w:rPr>
        <w:t>13</w:t>
      </w:r>
      <w:r w:rsidR="00FB3FCF" w:rsidRPr="00005453">
        <w:rPr>
          <w:rFonts w:eastAsia="Arial Unicode MS"/>
          <w:b/>
          <w:color w:val="000000"/>
        </w:rPr>
        <w:t>.7.</w:t>
      </w:r>
      <w:r w:rsidR="00FB3FCF" w:rsidRPr="00005453">
        <w:rPr>
          <w:b/>
        </w:rPr>
        <w:t xml:space="preserve">   Risk yönetim hedef ve politikaları</w:t>
      </w:r>
    </w:p>
    <w:p w14:paraId="75198CA2" w14:textId="77777777" w:rsidR="00FB3FCF" w:rsidRPr="00005453" w:rsidRDefault="00FB3FCF" w:rsidP="00FB3FCF">
      <w:pPr>
        <w:jc w:val="both"/>
        <w:rPr>
          <w:b/>
          <w:sz w:val="16"/>
          <w:szCs w:val="16"/>
        </w:rPr>
      </w:pPr>
    </w:p>
    <w:p w14:paraId="72B25142" w14:textId="40D26561" w:rsidR="007F562A" w:rsidRPr="00005453" w:rsidRDefault="007F562A" w:rsidP="007F562A">
      <w:pPr>
        <w:jc w:val="both"/>
        <w:rPr>
          <w:b/>
          <w:sz w:val="16"/>
          <w:szCs w:val="16"/>
        </w:rPr>
      </w:pPr>
      <w:bookmarkStart w:id="68" w:name="_Hlk188003040"/>
      <w:r w:rsidRPr="00005453">
        <w:t>Banka’nın stratejileri, risk politikaları ve vizyonu doğrultusunda RYB’nin Risk Komitesi’ne sunduğu analizler arasında kredi riskleri, piyasa riskleri, likidite riskleri, operasyonel riskler ve bilgi teknolojileri (“BT”) risk değerlendirmeleri yer almaktadır. Ayrıca, piyasa hareketleri, ekonominin gidişatı ve Banka’nın stratejik büyümesi doğrultusunda sermaye yeterliliğine ilişkin stres testi ve senaryo analizleri, dünya ve Türkiye’deki ekonomik gelişmelerin değerlendirilmesi, Risk Komitesi ve Yönetim Kurulu’na RYB tarafından sunulmaktadır. Bu analizler, Banka üst yönetimi’nin risk iştahı ve risklere karşı bilinçlenmesi, sermaye yeterliliği, strateji revizyonları ve gelecek tahmini konularındaki karar alma süreçlerine önemli katkılarda bulunmaktadır.</w:t>
      </w:r>
    </w:p>
    <w:p w14:paraId="3DE4415F" w14:textId="77777777" w:rsidR="007F562A" w:rsidRPr="00005453" w:rsidRDefault="007F562A" w:rsidP="007F562A">
      <w:pPr>
        <w:jc w:val="both"/>
        <w:rPr>
          <w:sz w:val="16"/>
          <w:szCs w:val="16"/>
        </w:rPr>
      </w:pPr>
    </w:p>
    <w:p w14:paraId="78AC9EAB" w14:textId="77777777" w:rsidR="007F562A" w:rsidRPr="00005453" w:rsidRDefault="007F562A" w:rsidP="007F562A">
      <w:pPr>
        <w:jc w:val="both"/>
      </w:pPr>
      <w:r w:rsidRPr="00005453">
        <w:t>Ek olarak RYB, iş sürekliliği ve ilgili konularda Banka’nın sürekli hazır olabilmesi, acil bir durum anında hızlı aksiyon alınabilmesi için proaktif bir yaklaşımla koordinasyonunu gerçekleştirmektedir.</w:t>
      </w:r>
    </w:p>
    <w:p w14:paraId="114FF910" w14:textId="77777777" w:rsidR="007F562A" w:rsidRPr="00005453" w:rsidRDefault="007F562A" w:rsidP="007F562A">
      <w:pPr>
        <w:rPr>
          <w:sz w:val="16"/>
          <w:szCs w:val="16"/>
        </w:rPr>
      </w:pPr>
    </w:p>
    <w:p w14:paraId="4412A6DD" w14:textId="62BBD434" w:rsidR="007F562A" w:rsidRPr="00005453" w:rsidRDefault="007F562A" w:rsidP="007F562A">
      <w:pPr>
        <w:jc w:val="both"/>
      </w:pPr>
      <w:r w:rsidRPr="00005453">
        <w:t xml:space="preserve">RYB, Yönetim Kurulu’nun </w:t>
      </w:r>
      <w:r w:rsidR="00526D05" w:rsidRPr="00005453">
        <w:t xml:space="preserve">Banka’nın </w:t>
      </w:r>
      <w:r w:rsidRPr="00005453">
        <w:t>misyonu, vizyonu ve büyüme stratejisi doğrultusunda ortaya çıkabilecek riskleri yönetmesi için her türlü risk izleme ve analiz faaliyetlerini sürdürmektedir. Bu bağlamda, kredi ve piyasa riskleri, likidite riski, operasyonel riskler ve tüm limitler, BT riskleri konularındaki çalışmaların yanında içsel bireysel ve kurumsal rating modelleme, BT risk değerlendirme, operasyonel kayıp veri tabanı, anahtar risk göstergeleri, operasyonel risk sigortaları, piyasa riski hesaplamaları, hazine işlemlerinin takibi ve aktif-pasif riskleri izlenmektedir.</w:t>
      </w:r>
    </w:p>
    <w:p w14:paraId="6572654A" w14:textId="303B121F" w:rsidR="00390E47" w:rsidRPr="00005453" w:rsidRDefault="00390E47" w:rsidP="00FB3FCF">
      <w:pPr>
        <w:jc w:val="both"/>
      </w:pPr>
    </w:p>
    <w:bookmarkEnd w:id="68"/>
    <w:p w14:paraId="6533061A" w14:textId="0E313BB9" w:rsidR="00390E47" w:rsidRPr="00005453" w:rsidRDefault="00390E47" w:rsidP="00FB3FCF">
      <w:pPr>
        <w:jc w:val="both"/>
      </w:pPr>
    </w:p>
    <w:p w14:paraId="11CCDB29" w14:textId="1ABEEA1B" w:rsidR="00390E47" w:rsidRPr="00005453" w:rsidRDefault="00390E47" w:rsidP="00FB3FCF">
      <w:pPr>
        <w:jc w:val="both"/>
      </w:pPr>
    </w:p>
    <w:p w14:paraId="2927BB71" w14:textId="77777777" w:rsidR="00BC62B9" w:rsidRPr="00005453" w:rsidRDefault="00BC62B9" w:rsidP="00FB3FCF">
      <w:pPr>
        <w:jc w:val="both"/>
      </w:pPr>
    </w:p>
    <w:p w14:paraId="37A7CD2D" w14:textId="77777777" w:rsidR="00390E47" w:rsidRPr="00005453" w:rsidRDefault="00390E47" w:rsidP="00FB3FCF">
      <w:pPr>
        <w:jc w:val="both"/>
      </w:pPr>
    </w:p>
    <w:p w14:paraId="63A6E158" w14:textId="665D4E8E" w:rsidR="00346550" w:rsidRPr="00005453" w:rsidRDefault="00346550">
      <w:r w:rsidRPr="00005453">
        <w:br w:type="page"/>
      </w:r>
    </w:p>
    <w:p w14:paraId="4D7E194B" w14:textId="1B0668A4" w:rsidR="00FB3FCF" w:rsidRPr="00005453" w:rsidRDefault="00FB3FCF" w:rsidP="00346550">
      <w:pPr>
        <w:ind w:right="-3"/>
        <w:jc w:val="both"/>
        <w:rPr>
          <w:b/>
          <w:bCs/>
          <w:spacing w:val="-8"/>
        </w:rPr>
      </w:pPr>
      <w:r w:rsidRPr="00005453">
        <w:rPr>
          <w:b/>
          <w:bCs/>
          <w:spacing w:val="-8"/>
        </w:rPr>
        <w:lastRenderedPageBreak/>
        <w:t xml:space="preserve">Finansal varlık ve borçların gerçeğe uygun değer hesaplamasında kullanılan değerleme yöntemleri esas alınarak yapılan derecelendirme  </w:t>
      </w:r>
    </w:p>
    <w:p w14:paraId="799D42B6" w14:textId="77777777" w:rsidR="00FB3FCF" w:rsidRPr="00005453" w:rsidRDefault="00FB3FCF" w:rsidP="00346550">
      <w:pPr>
        <w:ind w:right="-3"/>
        <w:rPr>
          <w:sz w:val="16"/>
          <w:szCs w:val="16"/>
        </w:rPr>
      </w:pPr>
    </w:p>
    <w:p w14:paraId="2115329C" w14:textId="77777777" w:rsidR="00FB3FCF" w:rsidRPr="00005453" w:rsidRDefault="00FB3FCF" w:rsidP="00346550">
      <w:pPr>
        <w:ind w:right="-3"/>
        <w:jc w:val="both"/>
      </w:pPr>
      <w:r w:rsidRPr="00005453">
        <w:t>1. Derece: Aktif piyasalarda kote edilen fiyatlar ile değerlenen finansal kalemler</w:t>
      </w:r>
    </w:p>
    <w:p w14:paraId="45435321" w14:textId="77777777" w:rsidR="00FB3FCF" w:rsidRPr="00005453" w:rsidRDefault="00FB3FCF" w:rsidP="00346550">
      <w:pPr>
        <w:ind w:right="-3"/>
        <w:jc w:val="both"/>
        <w:rPr>
          <w:sz w:val="12"/>
          <w:szCs w:val="12"/>
        </w:rPr>
      </w:pPr>
    </w:p>
    <w:p w14:paraId="42D8E544" w14:textId="77777777" w:rsidR="00FB3FCF" w:rsidRPr="00005453" w:rsidRDefault="00FB3FCF" w:rsidP="00346550">
      <w:pPr>
        <w:ind w:right="-3"/>
        <w:jc w:val="both"/>
      </w:pPr>
      <w:r w:rsidRPr="00005453">
        <w:t>2. Derece: Kayıtlara yansıtılan gerçeğe uygun değer üzerinde önemli derecede etkisi bulunan tüm verilerin doğrudan veya dolaylı olarak gözlemlenebilir piyasa fiyatlarına dayandığı yöntemler uygulanarak değerlenen finansal kalemler</w:t>
      </w:r>
    </w:p>
    <w:p w14:paraId="15E03819" w14:textId="77777777" w:rsidR="00FB3FCF" w:rsidRPr="00005453" w:rsidRDefault="00FB3FCF" w:rsidP="00346550">
      <w:pPr>
        <w:ind w:right="-3"/>
        <w:jc w:val="both"/>
        <w:rPr>
          <w:sz w:val="12"/>
          <w:szCs w:val="12"/>
        </w:rPr>
      </w:pPr>
    </w:p>
    <w:p w14:paraId="55D4DB1E" w14:textId="77777777" w:rsidR="00FB3FCF" w:rsidRPr="00005453" w:rsidRDefault="00FB3FCF" w:rsidP="00346550">
      <w:pPr>
        <w:ind w:right="-3"/>
        <w:jc w:val="both"/>
      </w:pPr>
      <w:r w:rsidRPr="00005453">
        <w:t>3. Derece: Kayıtlara yansıtılan gerçeğe uygun değer üzerinde önemli derecede etkisi bulunan verilerin doğrudan veya dolaylı olarak gözlemlenebilir piyasa fiyatlarına dayanmadığı yöntemler uygulanarak değerlenen finansal kalemler</w:t>
      </w:r>
    </w:p>
    <w:p w14:paraId="61E6E50A" w14:textId="77777777" w:rsidR="00FB3FCF" w:rsidRPr="00005453" w:rsidRDefault="00FB3FCF" w:rsidP="00346550">
      <w:pPr>
        <w:ind w:right="-3"/>
        <w:jc w:val="both"/>
        <w:rPr>
          <w:rFonts w:eastAsia="Arial Unicode MS"/>
          <w:sz w:val="12"/>
          <w:szCs w:val="12"/>
        </w:rPr>
      </w:pPr>
    </w:p>
    <w:p w14:paraId="71ED93FC" w14:textId="60851F08" w:rsidR="00FB3FCF" w:rsidRPr="00005453" w:rsidRDefault="00FB3FCF" w:rsidP="00346550">
      <w:pPr>
        <w:spacing w:line="216" w:lineRule="auto"/>
        <w:ind w:right="-3"/>
        <w:jc w:val="both"/>
      </w:pPr>
      <w:r w:rsidRPr="00005453">
        <w:t xml:space="preserve">31 Aralık </w:t>
      </w:r>
      <w:r w:rsidR="005E2D55" w:rsidRPr="00005453">
        <w:t>202</w:t>
      </w:r>
      <w:r w:rsidR="00893B48" w:rsidRPr="00005453">
        <w:t>4</w:t>
      </w:r>
      <w:r w:rsidR="005E2D55" w:rsidRPr="00005453">
        <w:t xml:space="preserve"> </w:t>
      </w:r>
      <w:r w:rsidRPr="00005453">
        <w:t xml:space="preserve">ve 31 Aralık </w:t>
      </w:r>
      <w:r w:rsidR="005E2D55" w:rsidRPr="00005453">
        <w:t>202</w:t>
      </w:r>
      <w:r w:rsidR="00893B48" w:rsidRPr="00005453">
        <w:t>3</w:t>
      </w:r>
      <w:r w:rsidR="005E2D55" w:rsidRPr="00005453">
        <w:t xml:space="preserve"> </w:t>
      </w:r>
      <w:r w:rsidRPr="00005453">
        <w:t xml:space="preserve">tarihleri </w:t>
      </w:r>
      <w:r w:rsidR="002C78B0" w:rsidRPr="00005453">
        <w:t>itibarıyla</w:t>
      </w:r>
      <w:r w:rsidRPr="00005453">
        <w:t xml:space="preserve"> gerçeğe uygun değerleriyle mali tablolara yansıtılan finansal varlık ve borç kalemlerinin gerçeğe uygun değer derecelerine göre dağılımı aşağıdaki tablolarda yer almaktadır:</w:t>
      </w:r>
    </w:p>
    <w:p w14:paraId="0D113FE8" w14:textId="2561B18C" w:rsidR="00FD2C01" w:rsidRPr="00005453" w:rsidRDefault="00FD2C01" w:rsidP="00FB3FCF">
      <w:pPr>
        <w:autoSpaceDE w:val="0"/>
        <w:autoSpaceDN w:val="0"/>
        <w:adjustRightInd w:val="0"/>
        <w:spacing w:line="216" w:lineRule="auto"/>
        <w:rPr>
          <w:sz w:val="12"/>
          <w:szCs w:val="12"/>
          <w:lang w:eastAsia="en-GB"/>
        </w:rPr>
      </w:pPr>
    </w:p>
    <w:tbl>
      <w:tblPr>
        <w:tblW w:w="9996" w:type="dxa"/>
        <w:tblCellMar>
          <w:left w:w="70" w:type="dxa"/>
          <w:right w:w="70" w:type="dxa"/>
        </w:tblCellMar>
        <w:tblLook w:val="04A0" w:firstRow="1" w:lastRow="0" w:firstColumn="1" w:lastColumn="0" w:noHBand="0" w:noVBand="1"/>
      </w:tblPr>
      <w:tblGrid>
        <w:gridCol w:w="5166"/>
        <w:gridCol w:w="2195"/>
        <w:gridCol w:w="950"/>
        <w:gridCol w:w="735"/>
        <w:gridCol w:w="950"/>
      </w:tblGrid>
      <w:tr w:rsidR="00FD2C01" w:rsidRPr="00005453" w14:paraId="2172DC2B" w14:textId="77777777" w:rsidTr="00B21A31">
        <w:trPr>
          <w:divId w:val="268048423"/>
          <w:trHeight w:val="153"/>
        </w:trPr>
        <w:tc>
          <w:tcPr>
            <w:tcW w:w="5166" w:type="dxa"/>
            <w:tcBorders>
              <w:top w:val="single" w:sz="8" w:space="0" w:color="auto"/>
              <w:left w:val="nil"/>
              <w:bottom w:val="single" w:sz="8" w:space="0" w:color="auto"/>
              <w:right w:val="nil"/>
            </w:tcBorders>
            <w:shd w:val="clear" w:color="auto" w:fill="auto"/>
            <w:vAlign w:val="center"/>
            <w:hideMark/>
          </w:tcPr>
          <w:p w14:paraId="1D245BBE" w14:textId="024430D0" w:rsidR="00FD2C01" w:rsidRPr="00005453" w:rsidRDefault="00FD2C01" w:rsidP="00FD2C01">
            <w:pPr>
              <w:jc w:val="both"/>
              <w:rPr>
                <w:b/>
                <w:bCs/>
                <w:color w:val="000000"/>
                <w:sz w:val="18"/>
                <w:szCs w:val="18"/>
                <w:lang w:eastAsia="tr-TR"/>
              </w:rPr>
            </w:pPr>
            <w:r w:rsidRPr="00005453">
              <w:rPr>
                <w:b/>
                <w:bCs/>
                <w:color w:val="000000"/>
                <w:sz w:val="18"/>
                <w:szCs w:val="18"/>
                <w:lang w:eastAsia="tr-TR"/>
              </w:rPr>
              <w:t>Cari dönem</w:t>
            </w:r>
          </w:p>
        </w:tc>
        <w:tc>
          <w:tcPr>
            <w:tcW w:w="2195" w:type="dxa"/>
            <w:tcBorders>
              <w:top w:val="single" w:sz="8" w:space="0" w:color="auto"/>
              <w:left w:val="nil"/>
              <w:bottom w:val="single" w:sz="8" w:space="0" w:color="auto"/>
              <w:right w:val="nil"/>
            </w:tcBorders>
            <w:shd w:val="clear" w:color="auto" w:fill="auto"/>
            <w:vAlign w:val="center"/>
            <w:hideMark/>
          </w:tcPr>
          <w:p w14:paraId="16E03B47" w14:textId="77777777" w:rsidR="00FD2C01" w:rsidRPr="00005453" w:rsidRDefault="00FD2C01" w:rsidP="0073243B">
            <w:pPr>
              <w:jc w:val="right"/>
              <w:rPr>
                <w:b/>
                <w:bCs/>
                <w:color w:val="000000"/>
                <w:sz w:val="18"/>
                <w:szCs w:val="18"/>
                <w:lang w:eastAsia="tr-TR"/>
              </w:rPr>
            </w:pPr>
            <w:r w:rsidRPr="00005453">
              <w:rPr>
                <w:b/>
                <w:bCs/>
                <w:color w:val="000000"/>
                <w:sz w:val="18"/>
                <w:szCs w:val="18"/>
                <w:lang w:eastAsia="tr-TR"/>
              </w:rPr>
              <w:t>1.seviye</w:t>
            </w:r>
          </w:p>
        </w:tc>
        <w:tc>
          <w:tcPr>
            <w:tcW w:w="950" w:type="dxa"/>
            <w:tcBorders>
              <w:top w:val="single" w:sz="8" w:space="0" w:color="auto"/>
              <w:left w:val="nil"/>
              <w:bottom w:val="single" w:sz="8" w:space="0" w:color="auto"/>
              <w:right w:val="nil"/>
            </w:tcBorders>
            <w:shd w:val="clear" w:color="auto" w:fill="auto"/>
            <w:vAlign w:val="center"/>
            <w:hideMark/>
          </w:tcPr>
          <w:p w14:paraId="334ECF90" w14:textId="77777777" w:rsidR="00FD2C01" w:rsidRPr="00005453" w:rsidRDefault="00FD2C01" w:rsidP="0073243B">
            <w:pPr>
              <w:jc w:val="right"/>
              <w:rPr>
                <w:b/>
                <w:bCs/>
                <w:color w:val="000000"/>
                <w:sz w:val="18"/>
                <w:szCs w:val="18"/>
                <w:lang w:eastAsia="tr-TR"/>
              </w:rPr>
            </w:pPr>
            <w:r w:rsidRPr="00005453">
              <w:rPr>
                <w:b/>
                <w:bCs/>
                <w:color w:val="000000"/>
                <w:sz w:val="18"/>
                <w:szCs w:val="18"/>
                <w:lang w:eastAsia="tr-TR"/>
              </w:rPr>
              <w:t>2.seviye</w:t>
            </w:r>
          </w:p>
        </w:tc>
        <w:tc>
          <w:tcPr>
            <w:tcW w:w="735" w:type="dxa"/>
            <w:tcBorders>
              <w:top w:val="single" w:sz="8" w:space="0" w:color="auto"/>
              <w:left w:val="nil"/>
              <w:bottom w:val="single" w:sz="8" w:space="0" w:color="auto"/>
              <w:right w:val="nil"/>
            </w:tcBorders>
            <w:shd w:val="clear" w:color="auto" w:fill="auto"/>
            <w:vAlign w:val="center"/>
            <w:hideMark/>
          </w:tcPr>
          <w:p w14:paraId="717D86B3" w14:textId="77777777" w:rsidR="00FD2C01" w:rsidRPr="00005453" w:rsidRDefault="00FD2C01" w:rsidP="0073243B">
            <w:pPr>
              <w:jc w:val="right"/>
              <w:rPr>
                <w:b/>
                <w:bCs/>
                <w:color w:val="000000"/>
                <w:sz w:val="18"/>
                <w:szCs w:val="18"/>
                <w:lang w:eastAsia="tr-TR"/>
              </w:rPr>
            </w:pPr>
            <w:r w:rsidRPr="00005453">
              <w:rPr>
                <w:b/>
                <w:bCs/>
                <w:color w:val="000000"/>
                <w:sz w:val="18"/>
                <w:szCs w:val="18"/>
                <w:lang w:eastAsia="tr-TR"/>
              </w:rPr>
              <w:t>3.seviye</w:t>
            </w:r>
          </w:p>
        </w:tc>
        <w:tc>
          <w:tcPr>
            <w:tcW w:w="950" w:type="dxa"/>
            <w:tcBorders>
              <w:top w:val="single" w:sz="8" w:space="0" w:color="auto"/>
              <w:left w:val="nil"/>
              <w:bottom w:val="single" w:sz="8" w:space="0" w:color="auto"/>
              <w:right w:val="nil"/>
            </w:tcBorders>
            <w:shd w:val="clear" w:color="auto" w:fill="auto"/>
            <w:vAlign w:val="center"/>
            <w:hideMark/>
          </w:tcPr>
          <w:p w14:paraId="77A5747D" w14:textId="77777777" w:rsidR="00FD2C01" w:rsidRPr="00005453" w:rsidRDefault="00FD2C01" w:rsidP="0073243B">
            <w:pPr>
              <w:ind w:firstLineChars="100" w:firstLine="181"/>
              <w:jc w:val="right"/>
              <w:rPr>
                <w:b/>
                <w:bCs/>
                <w:color w:val="000000"/>
                <w:sz w:val="18"/>
                <w:szCs w:val="18"/>
                <w:lang w:eastAsia="tr-TR"/>
              </w:rPr>
            </w:pPr>
            <w:r w:rsidRPr="00005453">
              <w:rPr>
                <w:b/>
                <w:bCs/>
                <w:color w:val="000000"/>
                <w:sz w:val="18"/>
                <w:szCs w:val="18"/>
                <w:lang w:eastAsia="tr-TR"/>
              </w:rPr>
              <w:t>Toplam</w:t>
            </w:r>
          </w:p>
        </w:tc>
      </w:tr>
      <w:tr w:rsidR="00FD2C01" w:rsidRPr="00005453" w14:paraId="273D946C" w14:textId="77777777" w:rsidTr="00B21A31">
        <w:trPr>
          <w:divId w:val="268048423"/>
          <w:trHeight w:val="58"/>
        </w:trPr>
        <w:tc>
          <w:tcPr>
            <w:tcW w:w="5166" w:type="dxa"/>
            <w:tcBorders>
              <w:top w:val="nil"/>
              <w:left w:val="nil"/>
              <w:bottom w:val="nil"/>
              <w:right w:val="nil"/>
            </w:tcBorders>
            <w:shd w:val="clear" w:color="auto" w:fill="auto"/>
            <w:vAlign w:val="center"/>
            <w:hideMark/>
          </w:tcPr>
          <w:p w14:paraId="4E7521BB" w14:textId="77777777" w:rsidR="00FD2C01" w:rsidRPr="00005453" w:rsidRDefault="00FD2C01" w:rsidP="00FD2C01">
            <w:pPr>
              <w:ind w:firstLineChars="100" w:firstLine="100"/>
              <w:jc w:val="right"/>
              <w:rPr>
                <w:b/>
                <w:bCs/>
                <w:color w:val="000000"/>
                <w:sz w:val="10"/>
                <w:szCs w:val="10"/>
                <w:lang w:eastAsia="tr-TR"/>
              </w:rPr>
            </w:pPr>
          </w:p>
        </w:tc>
        <w:tc>
          <w:tcPr>
            <w:tcW w:w="2195" w:type="dxa"/>
            <w:tcBorders>
              <w:top w:val="nil"/>
              <w:left w:val="nil"/>
              <w:bottom w:val="nil"/>
              <w:right w:val="nil"/>
            </w:tcBorders>
            <w:shd w:val="clear" w:color="auto" w:fill="auto"/>
            <w:vAlign w:val="center"/>
            <w:hideMark/>
          </w:tcPr>
          <w:p w14:paraId="7E9BE10A" w14:textId="77777777" w:rsidR="00FD2C01" w:rsidRPr="00005453" w:rsidRDefault="00FD2C01" w:rsidP="00FD2C01">
            <w:pPr>
              <w:rPr>
                <w:sz w:val="10"/>
                <w:szCs w:val="10"/>
                <w:lang w:eastAsia="tr-TR"/>
              </w:rPr>
            </w:pPr>
          </w:p>
        </w:tc>
        <w:tc>
          <w:tcPr>
            <w:tcW w:w="950" w:type="dxa"/>
            <w:tcBorders>
              <w:top w:val="nil"/>
              <w:left w:val="nil"/>
              <w:bottom w:val="nil"/>
              <w:right w:val="nil"/>
            </w:tcBorders>
            <w:shd w:val="clear" w:color="auto" w:fill="auto"/>
            <w:vAlign w:val="center"/>
            <w:hideMark/>
          </w:tcPr>
          <w:p w14:paraId="3D15423B" w14:textId="77777777" w:rsidR="00FD2C01" w:rsidRPr="00005453" w:rsidRDefault="00FD2C01" w:rsidP="00FD2C01">
            <w:pPr>
              <w:ind w:firstLineChars="100" w:firstLine="100"/>
              <w:jc w:val="right"/>
              <w:rPr>
                <w:sz w:val="10"/>
                <w:szCs w:val="10"/>
                <w:lang w:eastAsia="tr-TR"/>
              </w:rPr>
            </w:pPr>
          </w:p>
        </w:tc>
        <w:tc>
          <w:tcPr>
            <w:tcW w:w="735" w:type="dxa"/>
            <w:tcBorders>
              <w:top w:val="nil"/>
              <w:left w:val="nil"/>
              <w:bottom w:val="nil"/>
              <w:right w:val="nil"/>
            </w:tcBorders>
            <w:shd w:val="clear" w:color="auto" w:fill="auto"/>
            <w:vAlign w:val="center"/>
            <w:hideMark/>
          </w:tcPr>
          <w:p w14:paraId="739AA62D" w14:textId="77777777" w:rsidR="00FD2C01" w:rsidRPr="00005453" w:rsidRDefault="00FD2C01" w:rsidP="00FD2C01">
            <w:pPr>
              <w:ind w:firstLineChars="100" w:firstLine="100"/>
              <w:jc w:val="right"/>
              <w:rPr>
                <w:sz w:val="10"/>
                <w:szCs w:val="10"/>
                <w:lang w:eastAsia="tr-TR"/>
              </w:rPr>
            </w:pPr>
          </w:p>
        </w:tc>
        <w:tc>
          <w:tcPr>
            <w:tcW w:w="950" w:type="dxa"/>
            <w:tcBorders>
              <w:top w:val="nil"/>
              <w:left w:val="nil"/>
              <w:bottom w:val="nil"/>
              <w:right w:val="nil"/>
            </w:tcBorders>
            <w:shd w:val="clear" w:color="auto" w:fill="auto"/>
            <w:vAlign w:val="center"/>
            <w:hideMark/>
          </w:tcPr>
          <w:p w14:paraId="0EE5F6E6" w14:textId="77777777" w:rsidR="00FD2C01" w:rsidRPr="00005453" w:rsidRDefault="00FD2C01" w:rsidP="00FD2C01">
            <w:pPr>
              <w:ind w:firstLineChars="100" w:firstLine="100"/>
              <w:jc w:val="right"/>
              <w:rPr>
                <w:sz w:val="10"/>
                <w:szCs w:val="10"/>
                <w:lang w:eastAsia="tr-TR"/>
              </w:rPr>
            </w:pPr>
          </w:p>
        </w:tc>
      </w:tr>
      <w:tr w:rsidR="00FD2C01" w:rsidRPr="00005453" w14:paraId="0BD8175A" w14:textId="77777777" w:rsidTr="00B21A31">
        <w:trPr>
          <w:divId w:val="268048423"/>
          <w:trHeight w:val="391"/>
        </w:trPr>
        <w:tc>
          <w:tcPr>
            <w:tcW w:w="7361" w:type="dxa"/>
            <w:gridSpan w:val="2"/>
            <w:tcBorders>
              <w:top w:val="nil"/>
              <w:left w:val="nil"/>
              <w:bottom w:val="nil"/>
              <w:right w:val="nil"/>
            </w:tcBorders>
            <w:shd w:val="clear" w:color="auto" w:fill="auto"/>
            <w:noWrap/>
            <w:vAlign w:val="center"/>
            <w:hideMark/>
          </w:tcPr>
          <w:p w14:paraId="0073B5ED" w14:textId="77777777" w:rsidR="00FD2C01" w:rsidRPr="00005453" w:rsidRDefault="00FD2C01" w:rsidP="00FD2C01">
            <w:pPr>
              <w:rPr>
                <w:b/>
                <w:bCs/>
                <w:color w:val="000000"/>
                <w:sz w:val="18"/>
                <w:szCs w:val="18"/>
                <w:lang w:eastAsia="tr-TR"/>
              </w:rPr>
            </w:pPr>
            <w:r w:rsidRPr="00005453">
              <w:rPr>
                <w:b/>
                <w:bCs/>
                <w:color w:val="000000"/>
                <w:sz w:val="18"/>
                <w:szCs w:val="18"/>
                <w:lang w:eastAsia="tr-TR"/>
              </w:rPr>
              <w:t>Finansal varlıklar</w:t>
            </w:r>
          </w:p>
        </w:tc>
        <w:tc>
          <w:tcPr>
            <w:tcW w:w="950" w:type="dxa"/>
            <w:tcBorders>
              <w:top w:val="nil"/>
              <w:left w:val="nil"/>
              <w:bottom w:val="nil"/>
              <w:right w:val="nil"/>
            </w:tcBorders>
            <w:shd w:val="clear" w:color="auto" w:fill="auto"/>
            <w:vAlign w:val="center"/>
            <w:hideMark/>
          </w:tcPr>
          <w:p w14:paraId="7216EB88" w14:textId="77777777" w:rsidR="00FD2C01" w:rsidRPr="00005453" w:rsidRDefault="00FD2C01" w:rsidP="00FD2C01">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7456C793" w14:textId="77777777" w:rsidR="00FD2C01" w:rsidRPr="00005453" w:rsidRDefault="00FD2C01" w:rsidP="00FD2C01">
            <w:pPr>
              <w:ind w:firstLineChars="100" w:firstLine="180"/>
              <w:jc w:val="right"/>
              <w:rPr>
                <w:sz w:val="18"/>
                <w:szCs w:val="18"/>
                <w:lang w:eastAsia="tr-TR"/>
              </w:rPr>
            </w:pPr>
          </w:p>
        </w:tc>
        <w:tc>
          <w:tcPr>
            <w:tcW w:w="950" w:type="dxa"/>
            <w:tcBorders>
              <w:top w:val="nil"/>
              <w:left w:val="nil"/>
              <w:bottom w:val="nil"/>
              <w:right w:val="nil"/>
            </w:tcBorders>
            <w:shd w:val="clear" w:color="auto" w:fill="auto"/>
            <w:vAlign w:val="center"/>
            <w:hideMark/>
          </w:tcPr>
          <w:p w14:paraId="403351DB" w14:textId="77777777" w:rsidR="00FD2C01" w:rsidRPr="00005453" w:rsidRDefault="00FD2C01" w:rsidP="00FD2C01">
            <w:pPr>
              <w:ind w:firstLineChars="100" w:firstLine="180"/>
              <w:jc w:val="right"/>
              <w:rPr>
                <w:sz w:val="18"/>
                <w:szCs w:val="18"/>
                <w:lang w:eastAsia="tr-TR"/>
              </w:rPr>
            </w:pPr>
          </w:p>
        </w:tc>
      </w:tr>
      <w:tr w:rsidR="00BC6C91" w:rsidRPr="00005453" w14:paraId="24E81840" w14:textId="77777777" w:rsidTr="00BC6C91">
        <w:trPr>
          <w:divId w:val="268048423"/>
          <w:trHeight w:val="179"/>
        </w:trPr>
        <w:tc>
          <w:tcPr>
            <w:tcW w:w="5166" w:type="dxa"/>
            <w:tcBorders>
              <w:top w:val="nil"/>
              <w:left w:val="nil"/>
              <w:bottom w:val="nil"/>
              <w:right w:val="nil"/>
            </w:tcBorders>
            <w:shd w:val="clear" w:color="auto" w:fill="auto"/>
            <w:noWrap/>
            <w:vAlign w:val="center"/>
            <w:hideMark/>
          </w:tcPr>
          <w:p w14:paraId="7C049489" w14:textId="0299DEC0" w:rsidR="00BC6C91" w:rsidRPr="00005453" w:rsidRDefault="00BC6C91" w:rsidP="00BC6C91">
            <w:pPr>
              <w:rPr>
                <w:color w:val="000000"/>
                <w:sz w:val="18"/>
                <w:szCs w:val="18"/>
                <w:lang w:eastAsia="tr-TR"/>
              </w:rPr>
            </w:pPr>
            <w:r w:rsidRPr="00005453">
              <w:rPr>
                <w:color w:val="000000"/>
                <w:sz w:val="18"/>
                <w:szCs w:val="18"/>
                <w:lang w:eastAsia="tr-TR"/>
              </w:rPr>
              <w:t>Gerçeğe uygun değer farkı kâr/zarara yansıtılan finansal varlıklar</w:t>
            </w:r>
          </w:p>
        </w:tc>
        <w:tc>
          <w:tcPr>
            <w:tcW w:w="2195" w:type="dxa"/>
            <w:tcBorders>
              <w:top w:val="nil"/>
              <w:left w:val="nil"/>
              <w:bottom w:val="nil"/>
              <w:right w:val="nil"/>
            </w:tcBorders>
            <w:shd w:val="clear" w:color="auto" w:fill="auto"/>
            <w:vAlign w:val="center"/>
            <w:hideMark/>
          </w:tcPr>
          <w:p w14:paraId="56C3387D" w14:textId="29585937" w:rsidR="00BC6C91" w:rsidRPr="00005453" w:rsidRDefault="00BC6C91" w:rsidP="00BC6C91">
            <w:pPr>
              <w:jc w:val="right"/>
              <w:rPr>
                <w:color w:val="000000"/>
                <w:sz w:val="18"/>
                <w:szCs w:val="18"/>
                <w:lang w:eastAsia="tr-TR"/>
              </w:rPr>
            </w:pPr>
            <w:r w:rsidRPr="00005453">
              <w:rPr>
                <w:sz w:val="18"/>
                <w:szCs w:val="18"/>
              </w:rPr>
              <w:t>12,451,663</w:t>
            </w:r>
          </w:p>
        </w:tc>
        <w:tc>
          <w:tcPr>
            <w:tcW w:w="950" w:type="dxa"/>
            <w:tcBorders>
              <w:top w:val="nil"/>
              <w:left w:val="nil"/>
              <w:bottom w:val="nil"/>
              <w:right w:val="nil"/>
            </w:tcBorders>
            <w:shd w:val="clear" w:color="auto" w:fill="auto"/>
            <w:vAlign w:val="center"/>
            <w:hideMark/>
          </w:tcPr>
          <w:p w14:paraId="1A5B02D5" w14:textId="26955107" w:rsidR="00BC6C91" w:rsidRPr="00005453" w:rsidRDefault="00BC6C91" w:rsidP="00BC6C91">
            <w:pPr>
              <w:jc w:val="right"/>
              <w:rPr>
                <w:color w:val="000000"/>
                <w:sz w:val="18"/>
                <w:szCs w:val="18"/>
                <w:lang w:eastAsia="tr-TR"/>
              </w:rPr>
            </w:pPr>
            <w:r w:rsidRPr="00005453">
              <w:rPr>
                <w:sz w:val="18"/>
                <w:szCs w:val="18"/>
              </w:rPr>
              <w:t>21,004,062</w:t>
            </w:r>
          </w:p>
        </w:tc>
        <w:tc>
          <w:tcPr>
            <w:tcW w:w="735" w:type="dxa"/>
            <w:tcBorders>
              <w:top w:val="nil"/>
              <w:left w:val="nil"/>
              <w:bottom w:val="nil"/>
              <w:right w:val="nil"/>
            </w:tcBorders>
            <w:shd w:val="clear" w:color="auto" w:fill="auto"/>
            <w:vAlign w:val="center"/>
            <w:hideMark/>
          </w:tcPr>
          <w:p w14:paraId="30885CAD" w14:textId="74F4182D"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7A5834A2" w14:textId="5208E3B9" w:rsidR="00BC6C91" w:rsidRPr="00005453" w:rsidRDefault="00BC6C91" w:rsidP="00BC6C91">
            <w:pPr>
              <w:jc w:val="right"/>
              <w:rPr>
                <w:color w:val="000000"/>
                <w:sz w:val="18"/>
                <w:szCs w:val="18"/>
                <w:lang w:eastAsia="tr-TR"/>
              </w:rPr>
            </w:pPr>
            <w:r w:rsidRPr="00005453">
              <w:rPr>
                <w:sz w:val="18"/>
                <w:szCs w:val="18"/>
              </w:rPr>
              <w:t>33,455,725</w:t>
            </w:r>
          </w:p>
        </w:tc>
      </w:tr>
      <w:tr w:rsidR="00BC6C91" w:rsidRPr="00005453" w14:paraId="37474024" w14:textId="77777777" w:rsidTr="00BC6C91">
        <w:trPr>
          <w:divId w:val="268048423"/>
          <w:trHeight w:val="104"/>
        </w:trPr>
        <w:tc>
          <w:tcPr>
            <w:tcW w:w="5166" w:type="dxa"/>
            <w:tcBorders>
              <w:top w:val="nil"/>
              <w:left w:val="nil"/>
              <w:bottom w:val="nil"/>
              <w:right w:val="nil"/>
            </w:tcBorders>
            <w:shd w:val="clear" w:color="auto" w:fill="auto"/>
            <w:noWrap/>
            <w:vAlign w:val="center"/>
            <w:hideMark/>
          </w:tcPr>
          <w:p w14:paraId="76F70A37"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Vadeli işlemler</w:t>
            </w:r>
          </w:p>
        </w:tc>
        <w:tc>
          <w:tcPr>
            <w:tcW w:w="2195" w:type="dxa"/>
            <w:tcBorders>
              <w:top w:val="nil"/>
              <w:left w:val="nil"/>
              <w:bottom w:val="nil"/>
              <w:right w:val="nil"/>
            </w:tcBorders>
            <w:shd w:val="clear" w:color="auto" w:fill="auto"/>
            <w:vAlign w:val="center"/>
            <w:hideMark/>
          </w:tcPr>
          <w:p w14:paraId="7E4FDE4E" w14:textId="55D5CD05"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59106021" w14:textId="2525DBA5" w:rsidR="00BC6C91" w:rsidRPr="00005453" w:rsidRDefault="00BC6C91" w:rsidP="00BC6C91">
            <w:pPr>
              <w:jc w:val="right"/>
              <w:rPr>
                <w:color w:val="000000"/>
                <w:sz w:val="18"/>
                <w:szCs w:val="18"/>
                <w:lang w:eastAsia="tr-TR"/>
              </w:rPr>
            </w:pPr>
            <w:r w:rsidRPr="00005453">
              <w:rPr>
                <w:sz w:val="18"/>
                <w:szCs w:val="18"/>
              </w:rPr>
              <w:t>267,747</w:t>
            </w:r>
          </w:p>
        </w:tc>
        <w:tc>
          <w:tcPr>
            <w:tcW w:w="735" w:type="dxa"/>
            <w:tcBorders>
              <w:top w:val="nil"/>
              <w:left w:val="nil"/>
              <w:bottom w:val="nil"/>
              <w:right w:val="nil"/>
            </w:tcBorders>
            <w:shd w:val="clear" w:color="auto" w:fill="auto"/>
            <w:vAlign w:val="center"/>
            <w:hideMark/>
          </w:tcPr>
          <w:p w14:paraId="6444AD53" w14:textId="09177D5D"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39BA331A" w14:textId="27C40017" w:rsidR="00BC6C91" w:rsidRPr="00005453" w:rsidRDefault="00BC6C91" w:rsidP="00BC6C91">
            <w:pPr>
              <w:jc w:val="right"/>
              <w:rPr>
                <w:color w:val="000000"/>
                <w:sz w:val="18"/>
                <w:szCs w:val="18"/>
                <w:lang w:eastAsia="tr-TR"/>
              </w:rPr>
            </w:pPr>
            <w:r w:rsidRPr="00005453">
              <w:rPr>
                <w:sz w:val="18"/>
                <w:szCs w:val="18"/>
              </w:rPr>
              <w:t>267,747</w:t>
            </w:r>
          </w:p>
        </w:tc>
      </w:tr>
      <w:tr w:rsidR="00BC6C91" w:rsidRPr="00005453" w14:paraId="3E2BA8B6" w14:textId="77777777" w:rsidTr="00BC6C91">
        <w:trPr>
          <w:divId w:val="268048423"/>
          <w:trHeight w:val="104"/>
        </w:trPr>
        <w:tc>
          <w:tcPr>
            <w:tcW w:w="5166" w:type="dxa"/>
            <w:tcBorders>
              <w:top w:val="nil"/>
              <w:left w:val="nil"/>
              <w:bottom w:val="nil"/>
              <w:right w:val="nil"/>
            </w:tcBorders>
            <w:shd w:val="clear" w:color="auto" w:fill="auto"/>
            <w:noWrap/>
            <w:vAlign w:val="center"/>
            <w:hideMark/>
          </w:tcPr>
          <w:p w14:paraId="43747ACC"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 xml:space="preserve">Swap işlemleri </w:t>
            </w:r>
          </w:p>
        </w:tc>
        <w:tc>
          <w:tcPr>
            <w:tcW w:w="2195" w:type="dxa"/>
            <w:tcBorders>
              <w:top w:val="nil"/>
              <w:left w:val="nil"/>
              <w:bottom w:val="nil"/>
              <w:right w:val="nil"/>
            </w:tcBorders>
            <w:shd w:val="clear" w:color="auto" w:fill="auto"/>
            <w:vAlign w:val="center"/>
            <w:hideMark/>
          </w:tcPr>
          <w:p w14:paraId="6697B627" w14:textId="4315C66C"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6533F266" w14:textId="3B35DCB9" w:rsidR="00BC6C91" w:rsidRPr="00005453" w:rsidRDefault="00BC6C91" w:rsidP="00BC6C91">
            <w:pPr>
              <w:jc w:val="right"/>
              <w:rPr>
                <w:color w:val="000000"/>
                <w:sz w:val="18"/>
                <w:szCs w:val="18"/>
                <w:lang w:eastAsia="tr-TR"/>
              </w:rPr>
            </w:pPr>
            <w:r w:rsidRPr="00005453">
              <w:rPr>
                <w:sz w:val="18"/>
                <w:szCs w:val="18"/>
              </w:rPr>
              <w:t>847,639</w:t>
            </w:r>
          </w:p>
        </w:tc>
        <w:tc>
          <w:tcPr>
            <w:tcW w:w="735" w:type="dxa"/>
            <w:tcBorders>
              <w:top w:val="nil"/>
              <w:left w:val="nil"/>
              <w:bottom w:val="nil"/>
              <w:right w:val="nil"/>
            </w:tcBorders>
            <w:shd w:val="clear" w:color="auto" w:fill="auto"/>
            <w:vAlign w:val="center"/>
            <w:hideMark/>
          </w:tcPr>
          <w:p w14:paraId="14E7130A" w14:textId="6492D2AD"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7FD23441" w14:textId="4450DD57" w:rsidR="00BC6C91" w:rsidRPr="00005453" w:rsidRDefault="00BC6C91" w:rsidP="00BC6C91">
            <w:pPr>
              <w:jc w:val="right"/>
              <w:rPr>
                <w:color w:val="000000"/>
                <w:sz w:val="18"/>
                <w:szCs w:val="18"/>
                <w:lang w:eastAsia="tr-TR"/>
              </w:rPr>
            </w:pPr>
            <w:r w:rsidRPr="00005453">
              <w:rPr>
                <w:sz w:val="18"/>
                <w:szCs w:val="18"/>
              </w:rPr>
              <w:t>847,639</w:t>
            </w:r>
          </w:p>
        </w:tc>
      </w:tr>
      <w:tr w:rsidR="00BC6C91" w:rsidRPr="00005453" w14:paraId="52FFF6C5" w14:textId="77777777" w:rsidTr="00BC6C91">
        <w:trPr>
          <w:divId w:val="268048423"/>
          <w:trHeight w:val="104"/>
        </w:trPr>
        <w:tc>
          <w:tcPr>
            <w:tcW w:w="5166" w:type="dxa"/>
            <w:tcBorders>
              <w:top w:val="nil"/>
              <w:left w:val="nil"/>
              <w:bottom w:val="nil"/>
              <w:right w:val="nil"/>
            </w:tcBorders>
            <w:shd w:val="clear" w:color="auto" w:fill="auto"/>
            <w:noWrap/>
            <w:vAlign w:val="center"/>
            <w:hideMark/>
          </w:tcPr>
          <w:p w14:paraId="2BF414C7"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Devlet borçlanma senetleri</w:t>
            </w:r>
          </w:p>
        </w:tc>
        <w:tc>
          <w:tcPr>
            <w:tcW w:w="2195" w:type="dxa"/>
            <w:tcBorders>
              <w:top w:val="nil"/>
              <w:left w:val="nil"/>
              <w:bottom w:val="nil"/>
              <w:right w:val="nil"/>
            </w:tcBorders>
            <w:shd w:val="clear" w:color="auto" w:fill="auto"/>
            <w:vAlign w:val="center"/>
            <w:hideMark/>
          </w:tcPr>
          <w:p w14:paraId="4DCDD4C8" w14:textId="076D459A" w:rsidR="00BC6C91" w:rsidRPr="00005453" w:rsidRDefault="00BC6C91" w:rsidP="00BC6C91">
            <w:pPr>
              <w:jc w:val="right"/>
              <w:rPr>
                <w:color w:val="000000"/>
                <w:sz w:val="18"/>
                <w:szCs w:val="18"/>
                <w:lang w:eastAsia="tr-TR"/>
              </w:rPr>
            </w:pPr>
            <w:r w:rsidRPr="00005453">
              <w:rPr>
                <w:sz w:val="18"/>
                <w:szCs w:val="18"/>
              </w:rPr>
              <w:t>12,432,835</w:t>
            </w:r>
          </w:p>
        </w:tc>
        <w:tc>
          <w:tcPr>
            <w:tcW w:w="950" w:type="dxa"/>
            <w:tcBorders>
              <w:top w:val="nil"/>
              <w:left w:val="nil"/>
              <w:bottom w:val="nil"/>
              <w:right w:val="nil"/>
            </w:tcBorders>
            <w:shd w:val="clear" w:color="auto" w:fill="auto"/>
            <w:vAlign w:val="center"/>
            <w:hideMark/>
          </w:tcPr>
          <w:p w14:paraId="6C68E93A" w14:textId="454257CC" w:rsidR="00BC6C91" w:rsidRPr="00005453" w:rsidRDefault="00BC6C91" w:rsidP="00BC6C91">
            <w:pPr>
              <w:jc w:val="right"/>
              <w:rPr>
                <w:color w:val="000000"/>
                <w:sz w:val="18"/>
                <w:szCs w:val="18"/>
                <w:lang w:eastAsia="tr-TR"/>
              </w:rPr>
            </w:pPr>
            <w:r w:rsidRPr="00005453">
              <w:rPr>
                <w:sz w:val="18"/>
                <w:szCs w:val="18"/>
              </w:rPr>
              <w:t>-</w:t>
            </w:r>
          </w:p>
        </w:tc>
        <w:tc>
          <w:tcPr>
            <w:tcW w:w="735" w:type="dxa"/>
            <w:tcBorders>
              <w:top w:val="nil"/>
              <w:left w:val="nil"/>
              <w:bottom w:val="nil"/>
              <w:right w:val="nil"/>
            </w:tcBorders>
            <w:shd w:val="clear" w:color="auto" w:fill="auto"/>
            <w:vAlign w:val="center"/>
            <w:hideMark/>
          </w:tcPr>
          <w:p w14:paraId="0FC8377B" w14:textId="32F9099E"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0F052242" w14:textId="7C558909" w:rsidR="00BC6C91" w:rsidRPr="00005453" w:rsidRDefault="00BC6C91" w:rsidP="00BC6C91">
            <w:pPr>
              <w:jc w:val="right"/>
              <w:rPr>
                <w:color w:val="000000"/>
                <w:sz w:val="18"/>
                <w:szCs w:val="18"/>
                <w:lang w:eastAsia="tr-TR"/>
              </w:rPr>
            </w:pPr>
            <w:r w:rsidRPr="00005453">
              <w:rPr>
                <w:sz w:val="18"/>
                <w:szCs w:val="18"/>
              </w:rPr>
              <w:t>12,432,835</w:t>
            </w:r>
          </w:p>
        </w:tc>
      </w:tr>
      <w:tr w:rsidR="00BC6C91" w:rsidRPr="00005453" w14:paraId="2D4B9195" w14:textId="77777777" w:rsidTr="00BC6C91">
        <w:trPr>
          <w:divId w:val="268048423"/>
          <w:trHeight w:val="107"/>
        </w:trPr>
        <w:tc>
          <w:tcPr>
            <w:tcW w:w="5166" w:type="dxa"/>
            <w:tcBorders>
              <w:top w:val="nil"/>
              <w:left w:val="nil"/>
              <w:bottom w:val="nil"/>
              <w:right w:val="nil"/>
            </w:tcBorders>
            <w:shd w:val="clear" w:color="auto" w:fill="auto"/>
            <w:noWrap/>
            <w:vAlign w:val="center"/>
            <w:hideMark/>
          </w:tcPr>
          <w:p w14:paraId="40AAD7A1"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Diğer menkul değerler</w:t>
            </w:r>
          </w:p>
        </w:tc>
        <w:tc>
          <w:tcPr>
            <w:tcW w:w="2195" w:type="dxa"/>
            <w:tcBorders>
              <w:top w:val="nil"/>
              <w:left w:val="nil"/>
              <w:bottom w:val="nil"/>
              <w:right w:val="nil"/>
            </w:tcBorders>
            <w:shd w:val="clear" w:color="auto" w:fill="auto"/>
            <w:vAlign w:val="center"/>
            <w:hideMark/>
          </w:tcPr>
          <w:p w14:paraId="751F2330" w14:textId="0B072EA8" w:rsidR="00BC6C91" w:rsidRPr="00005453" w:rsidRDefault="00BC6C91" w:rsidP="00BC6C91">
            <w:pPr>
              <w:jc w:val="right"/>
              <w:rPr>
                <w:color w:val="000000"/>
                <w:sz w:val="18"/>
                <w:szCs w:val="18"/>
                <w:lang w:eastAsia="tr-TR"/>
              </w:rPr>
            </w:pPr>
            <w:r w:rsidRPr="00005453">
              <w:rPr>
                <w:sz w:val="18"/>
                <w:szCs w:val="18"/>
              </w:rPr>
              <w:t>18,828</w:t>
            </w:r>
          </w:p>
        </w:tc>
        <w:tc>
          <w:tcPr>
            <w:tcW w:w="950" w:type="dxa"/>
            <w:tcBorders>
              <w:top w:val="nil"/>
              <w:left w:val="nil"/>
              <w:bottom w:val="nil"/>
              <w:right w:val="nil"/>
            </w:tcBorders>
            <w:shd w:val="clear" w:color="auto" w:fill="auto"/>
            <w:vAlign w:val="center"/>
            <w:hideMark/>
          </w:tcPr>
          <w:p w14:paraId="4695D143" w14:textId="6208E4E0" w:rsidR="00BC6C91" w:rsidRPr="00005453" w:rsidRDefault="00BC6C91" w:rsidP="00BC6C91">
            <w:pPr>
              <w:jc w:val="right"/>
              <w:rPr>
                <w:color w:val="000000"/>
                <w:sz w:val="18"/>
                <w:szCs w:val="18"/>
                <w:lang w:eastAsia="tr-TR"/>
              </w:rPr>
            </w:pPr>
            <w:r w:rsidRPr="00005453">
              <w:rPr>
                <w:sz w:val="18"/>
                <w:szCs w:val="18"/>
              </w:rPr>
              <w:t>19,888,676</w:t>
            </w:r>
          </w:p>
        </w:tc>
        <w:tc>
          <w:tcPr>
            <w:tcW w:w="735" w:type="dxa"/>
            <w:tcBorders>
              <w:top w:val="nil"/>
              <w:left w:val="nil"/>
              <w:bottom w:val="nil"/>
              <w:right w:val="nil"/>
            </w:tcBorders>
            <w:shd w:val="clear" w:color="auto" w:fill="auto"/>
            <w:vAlign w:val="center"/>
            <w:hideMark/>
          </w:tcPr>
          <w:p w14:paraId="7C89D5AC" w14:textId="0678D7C2"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4ED71B9F" w14:textId="5F2C99D9" w:rsidR="00BC6C91" w:rsidRPr="00005453" w:rsidRDefault="00BC6C91" w:rsidP="00BC6C91">
            <w:pPr>
              <w:jc w:val="right"/>
              <w:rPr>
                <w:color w:val="000000"/>
                <w:sz w:val="18"/>
                <w:szCs w:val="18"/>
                <w:lang w:eastAsia="tr-TR"/>
              </w:rPr>
            </w:pPr>
            <w:r w:rsidRPr="00005453">
              <w:rPr>
                <w:sz w:val="18"/>
                <w:szCs w:val="18"/>
              </w:rPr>
              <w:t>19,907,504</w:t>
            </w:r>
          </w:p>
        </w:tc>
      </w:tr>
      <w:tr w:rsidR="00B21A31" w:rsidRPr="00005453" w14:paraId="00237E89" w14:textId="77777777" w:rsidTr="00B21A31">
        <w:trPr>
          <w:divId w:val="268048423"/>
          <w:trHeight w:val="104"/>
        </w:trPr>
        <w:tc>
          <w:tcPr>
            <w:tcW w:w="5166" w:type="dxa"/>
            <w:tcBorders>
              <w:top w:val="nil"/>
              <w:left w:val="nil"/>
              <w:bottom w:val="nil"/>
              <w:right w:val="nil"/>
            </w:tcBorders>
            <w:shd w:val="clear" w:color="auto" w:fill="auto"/>
            <w:vAlign w:val="center"/>
            <w:hideMark/>
          </w:tcPr>
          <w:p w14:paraId="471CCD68" w14:textId="77777777" w:rsidR="00B21A31" w:rsidRPr="00005453" w:rsidRDefault="00B21A31" w:rsidP="00B21A31">
            <w:pPr>
              <w:jc w:val="right"/>
              <w:rPr>
                <w:color w:val="000000"/>
                <w:sz w:val="10"/>
                <w:szCs w:val="10"/>
                <w:lang w:eastAsia="tr-TR"/>
              </w:rPr>
            </w:pPr>
          </w:p>
        </w:tc>
        <w:tc>
          <w:tcPr>
            <w:tcW w:w="2195" w:type="dxa"/>
            <w:tcBorders>
              <w:top w:val="nil"/>
              <w:left w:val="nil"/>
              <w:bottom w:val="nil"/>
              <w:right w:val="nil"/>
            </w:tcBorders>
            <w:shd w:val="clear" w:color="auto" w:fill="auto"/>
            <w:vAlign w:val="center"/>
            <w:hideMark/>
          </w:tcPr>
          <w:p w14:paraId="3700E52D" w14:textId="77777777" w:rsidR="00B21A31" w:rsidRPr="00005453" w:rsidRDefault="00B21A31" w:rsidP="00B21A31">
            <w:pPr>
              <w:jc w:val="right"/>
              <w:rPr>
                <w:color w:val="000000"/>
                <w:sz w:val="10"/>
                <w:szCs w:val="10"/>
                <w:lang w:eastAsia="tr-TR"/>
              </w:rPr>
            </w:pPr>
          </w:p>
        </w:tc>
        <w:tc>
          <w:tcPr>
            <w:tcW w:w="950" w:type="dxa"/>
            <w:tcBorders>
              <w:top w:val="nil"/>
              <w:left w:val="nil"/>
              <w:bottom w:val="nil"/>
              <w:right w:val="nil"/>
            </w:tcBorders>
            <w:shd w:val="clear" w:color="auto" w:fill="auto"/>
            <w:vAlign w:val="center"/>
            <w:hideMark/>
          </w:tcPr>
          <w:p w14:paraId="3864B362" w14:textId="77777777" w:rsidR="00B21A31" w:rsidRPr="00005453" w:rsidRDefault="00B21A31" w:rsidP="00B21A31">
            <w:pPr>
              <w:ind w:firstLineChars="100" w:firstLine="100"/>
              <w:jc w:val="right"/>
              <w:rPr>
                <w:color w:val="000000"/>
                <w:sz w:val="10"/>
                <w:szCs w:val="10"/>
                <w:lang w:eastAsia="tr-TR"/>
              </w:rPr>
            </w:pPr>
          </w:p>
        </w:tc>
        <w:tc>
          <w:tcPr>
            <w:tcW w:w="735" w:type="dxa"/>
            <w:tcBorders>
              <w:top w:val="nil"/>
              <w:left w:val="nil"/>
              <w:bottom w:val="nil"/>
              <w:right w:val="nil"/>
            </w:tcBorders>
            <w:shd w:val="clear" w:color="auto" w:fill="auto"/>
            <w:vAlign w:val="center"/>
            <w:hideMark/>
          </w:tcPr>
          <w:p w14:paraId="0A428DBF" w14:textId="77777777" w:rsidR="00B21A31" w:rsidRPr="00005453" w:rsidRDefault="00B21A31" w:rsidP="00B21A31">
            <w:pPr>
              <w:ind w:firstLineChars="100" w:firstLine="100"/>
              <w:jc w:val="right"/>
              <w:rPr>
                <w:color w:val="000000"/>
                <w:sz w:val="10"/>
                <w:szCs w:val="10"/>
                <w:lang w:eastAsia="tr-TR"/>
              </w:rPr>
            </w:pPr>
          </w:p>
        </w:tc>
        <w:tc>
          <w:tcPr>
            <w:tcW w:w="950" w:type="dxa"/>
            <w:tcBorders>
              <w:top w:val="nil"/>
              <w:left w:val="nil"/>
              <w:bottom w:val="nil"/>
              <w:right w:val="nil"/>
            </w:tcBorders>
            <w:shd w:val="clear" w:color="auto" w:fill="auto"/>
            <w:vAlign w:val="center"/>
            <w:hideMark/>
          </w:tcPr>
          <w:p w14:paraId="36449561" w14:textId="77777777" w:rsidR="00B21A31" w:rsidRPr="00005453" w:rsidRDefault="00B21A31" w:rsidP="00B21A31">
            <w:pPr>
              <w:ind w:firstLineChars="100" w:firstLine="100"/>
              <w:jc w:val="right"/>
              <w:rPr>
                <w:color w:val="000000"/>
                <w:sz w:val="10"/>
                <w:szCs w:val="10"/>
                <w:lang w:eastAsia="tr-TR"/>
              </w:rPr>
            </w:pPr>
          </w:p>
        </w:tc>
      </w:tr>
      <w:tr w:rsidR="00BC6C91" w:rsidRPr="00005453" w14:paraId="018DD9A6" w14:textId="77777777" w:rsidTr="00BC6C91">
        <w:trPr>
          <w:divId w:val="268048423"/>
          <w:trHeight w:val="104"/>
        </w:trPr>
        <w:tc>
          <w:tcPr>
            <w:tcW w:w="5166" w:type="dxa"/>
            <w:tcBorders>
              <w:top w:val="nil"/>
              <w:left w:val="nil"/>
              <w:bottom w:val="nil"/>
              <w:right w:val="nil"/>
            </w:tcBorders>
            <w:shd w:val="clear" w:color="auto" w:fill="auto"/>
            <w:noWrap/>
            <w:vAlign w:val="center"/>
            <w:hideMark/>
          </w:tcPr>
          <w:p w14:paraId="6CBA0E81" w14:textId="77777777" w:rsidR="00BC6C91" w:rsidRPr="00005453" w:rsidRDefault="00BC6C91" w:rsidP="00BC6C91">
            <w:pPr>
              <w:rPr>
                <w:color w:val="000000"/>
                <w:sz w:val="18"/>
                <w:szCs w:val="18"/>
                <w:lang w:eastAsia="tr-TR"/>
              </w:rPr>
            </w:pPr>
            <w:r w:rsidRPr="00005453">
              <w:rPr>
                <w:color w:val="000000"/>
                <w:sz w:val="18"/>
                <w:szCs w:val="18"/>
                <w:lang w:eastAsia="tr-TR"/>
              </w:rPr>
              <w:t>Gerçeğe uygun değer farkı diğer kapsamlı gelire yansıtılan finansal varlıklar</w:t>
            </w:r>
          </w:p>
        </w:tc>
        <w:tc>
          <w:tcPr>
            <w:tcW w:w="2195" w:type="dxa"/>
            <w:tcBorders>
              <w:top w:val="nil"/>
              <w:left w:val="nil"/>
              <w:bottom w:val="nil"/>
              <w:right w:val="nil"/>
            </w:tcBorders>
            <w:shd w:val="clear" w:color="auto" w:fill="auto"/>
            <w:vAlign w:val="center"/>
            <w:hideMark/>
          </w:tcPr>
          <w:p w14:paraId="38CB68AC" w14:textId="24F79470" w:rsidR="00BC6C91" w:rsidRPr="00005453" w:rsidRDefault="00BC6C91" w:rsidP="00BC6C91">
            <w:pPr>
              <w:jc w:val="right"/>
              <w:rPr>
                <w:color w:val="000000"/>
                <w:sz w:val="18"/>
                <w:szCs w:val="18"/>
                <w:lang w:eastAsia="tr-TR"/>
              </w:rPr>
            </w:pPr>
            <w:r w:rsidRPr="00005453">
              <w:rPr>
                <w:sz w:val="18"/>
                <w:szCs w:val="18"/>
              </w:rPr>
              <w:t>60,673,020</w:t>
            </w:r>
          </w:p>
        </w:tc>
        <w:tc>
          <w:tcPr>
            <w:tcW w:w="950" w:type="dxa"/>
            <w:tcBorders>
              <w:top w:val="nil"/>
              <w:left w:val="nil"/>
              <w:bottom w:val="nil"/>
              <w:right w:val="nil"/>
            </w:tcBorders>
            <w:shd w:val="clear" w:color="auto" w:fill="auto"/>
            <w:vAlign w:val="center"/>
            <w:hideMark/>
          </w:tcPr>
          <w:p w14:paraId="6E7B4F72" w14:textId="10DDF12A" w:rsidR="00BC6C91" w:rsidRPr="00005453" w:rsidRDefault="00BC6C91" w:rsidP="00BC6C91">
            <w:pPr>
              <w:jc w:val="right"/>
              <w:rPr>
                <w:color w:val="000000"/>
                <w:sz w:val="18"/>
                <w:szCs w:val="18"/>
                <w:lang w:eastAsia="tr-TR"/>
              </w:rPr>
            </w:pPr>
            <w:r w:rsidRPr="00005453">
              <w:rPr>
                <w:sz w:val="18"/>
                <w:szCs w:val="18"/>
              </w:rPr>
              <w:t>285,247</w:t>
            </w:r>
          </w:p>
        </w:tc>
        <w:tc>
          <w:tcPr>
            <w:tcW w:w="735" w:type="dxa"/>
            <w:tcBorders>
              <w:top w:val="nil"/>
              <w:left w:val="nil"/>
              <w:bottom w:val="nil"/>
              <w:right w:val="nil"/>
            </w:tcBorders>
            <w:shd w:val="clear" w:color="auto" w:fill="auto"/>
            <w:vAlign w:val="center"/>
            <w:hideMark/>
          </w:tcPr>
          <w:p w14:paraId="0BA3B4C4" w14:textId="2C2BCEE0"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225A697E" w14:textId="1229FC60" w:rsidR="00BC6C91" w:rsidRPr="00005453" w:rsidRDefault="00BC6C91" w:rsidP="00BC6C91">
            <w:pPr>
              <w:jc w:val="right"/>
              <w:rPr>
                <w:color w:val="000000"/>
                <w:sz w:val="18"/>
                <w:szCs w:val="18"/>
                <w:lang w:eastAsia="tr-TR"/>
              </w:rPr>
            </w:pPr>
            <w:r w:rsidRPr="00005453">
              <w:rPr>
                <w:sz w:val="18"/>
                <w:szCs w:val="18"/>
              </w:rPr>
              <w:t>60,958,267</w:t>
            </w:r>
          </w:p>
        </w:tc>
      </w:tr>
      <w:tr w:rsidR="00BC6C91" w:rsidRPr="00005453" w14:paraId="28D0B6A0" w14:textId="77777777" w:rsidTr="00BC6C91">
        <w:trPr>
          <w:divId w:val="268048423"/>
          <w:trHeight w:val="142"/>
        </w:trPr>
        <w:tc>
          <w:tcPr>
            <w:tcW w:w="5166" w:type="dxa"/>
            <w:tcBorders>
              <w:top w:val="nil"/>
              <w:left w:val="nil"/>
              <w:bottom w:val="nil"/>
              <w:right w:val="nil"/>
            </w:tcBorders>
            <w:shd w:val="clear" w:color="auto" w:fill="auto"/>
            <w:noWrap/>
            <w:vAlign w:val="center"/>
            <w:hideMark/>
          </w:tcPr>
          <w:p w14:paraId="39E364BC"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Sermayede payı temsil eden menkul değerler</w:t>
            </w:r>
          </w:p>
        </w:tc>
        <w:tc>
          <w:tcPr>
            <w:tcW w:w="2195" w:type="dxa"/>
            <w:tcBorders>
              <w:top w:val="nil"/>
              <w:left w:val="nil"/>
              <w:bottom w:val="nil"/>
              <w:right w:val="nil"/>
            </w:tcBorders>
            <w:shd w:val="clear" w:color="auto" w:fill="auto"/>
            <w:vAlign w:val="center"/>
            <w:hideMark/>
          </w:tcPr>
          <w:p w14:paraId="639C5950" w14:textId="42D2DEDB" w:rsidR="00BC6C91" w:rsidRPr="00005453" w:rsidRDefault="00BC6C91" w:rsidP="00BC6C91">
            <w:pPr>
              <w:jc w:val="right"/>
              <w:rPr>
                <w:color w:val="000000"/>
                <w:sz w:val="18"/>
                <w:szCs w:val="18"/>
                <w:lang w:eastAsia="tr-TR"/>
              </w:rPr>
            </w:pPr>
            <w:r w:rsidRPr="00005453">
              <w:rPr>
                <w:sz w:val="18"/>
                <w:szCs w:val="18"/>
              </w:rPr>
              <w:t>488,440</w:t>
            </w:r>
          </w:p>
        </w:tc>
        <w:tc>
          <w:tcPr>
            <w:tcW w:w="950" w:type="dxa"/>
            <w:tcBorders>
              <w:top w:val="nil"/>
              <w:left w:val="nil"/>
              <w:bottom w:val="nil"/>
              <w:right w:val="nil"/>
            </w:tcBorders>
            <w:shd w:val="clear" w:color="auto" w:fill="auto"/>
            <w:vAlign w:val="center"/>
            <w:hideMark/>
          </w:tcPr>
          <w:p w14:paraId="001B2F47" w14:textId="06B72852" w:rsidR="00BC6C91" w:rsidRPr="00005453" w:rsidRDefault="00BC6C91" w:rsidP="00BC6C91">
            <w:pPr>
              <w:jc w:val="right"/>
              <w:rPr>
                <w:color w:val="000000"/>
                <w:sz w:val="18"/>
                <w:szCs w:val="18"/>
                <w:lang w:eastAsia="tr-TR"/>
              </w:rPr>
            </w:pPr>
            <w:r w:rsidRPr="00005453">
              <w:rPr>
                <w:sz w:val="18"/>
                <w:szCs w:val="18"/>
              </w:rPr>
              <w:t>-</w:t>
            </w:r>
          </w:p>
        </w:tc>
        <w:tc>
          <w:tcPr>
            <w:tcW w:w="735" w:type="dxa"/>
            <w:tcBorders>
              <w:top w:val="nil"/>
              <w:left w:val="nil"/>
              <w:bottom w:val="nil"/>
              <w:right w:val="nil"/>
            </w:tcBorders>
            <w:shd w:val="clear" w:color="auto" w:fill="auto"/>
            <w:vAlign w:val="center"/>
            <w:hideMark/>
          </w:tcPr>
          <w:p w14:paraId="2DF168C6" w14:textId="7F658F7E"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214D2D54" w14:textId="62245C16" w:rsidR="00BC6C91" w:rsidRPr="00005453" w:rsidRDefault="00BC6C91" w:rsidP="00BC6C91">
            <w:pPr>
              <w:jc w:val="right"/>
              <w:rPr>
                <w:color w:val="000000"/>
                <w:sz w:val="18"/>
                <w:szCs w:val="18"/>
                <w:lang w:eastAsia="tr-TR"/>
              </w:rPr>
            </w:pPr>
            <w:r w:rsidRPr="00005453">
              <w:rPr>
                <w:sz w:val="18"/>
                <w:szCs w:val="18"/>
              </w:rPr>
              <w:t>488,440</w:t>
            </w:r>
          </w:p>
        </w:tc>
      </w:tr>
      <w:tr w:rsidR="00BC6C91" w:rsidRPr="00005453" w14:paraId="39D3FB85" w14:textId="77777777" w:rsidTr="00BC6C91">
        <w:trPr>
          <w:divId w:val="268048423"/>
          <w:trHeight w:val="104"/>
        </w:trPr>
        <w:tc>
          <w:tcPr>
            <w:tcW w:w="5166" w:type="dxa"/>
            <w:tcBorders>
              <w:top w:val="nil"/>
              <w:left w:val="nil"/>
              <w:bottom w:val="nil"/>
              <w:right w:val="nil"/>
            </w:tcBorders>
            <w:shd w:val="clear" w:color="auto" w:fill="auto"/>
            <w:noWrap/>
            <w:vAlign w:val="center"/>
            <w:hideMark/>
          </w:tcPr>
          <w:p w14:paraId="69FADA0F"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Devlet borçlanma senetleri</w:t>
            </w:r>
          </w:p>
        </w:tc>
        <w:tc>
          <w:tcPr>
            <w:tcW w:w="2195" w:type="dxa"/>
            <w:tcBorders>
              <w:top w:val="nil"/>
              <w:left w:val="nil"/>
              <w:bottom w:val="nil"/>
              <w:right w:val="nil"/>
            </w:tcBorders>
            <w:shd w:val="clear" w:color="auto" w:fill="auto"/>
            <w:vAlign w:val="center"/>
            <w:hideMark/>
          </w:tcPr>
          <w:p w14:paraId="578C6BA8" w14:textId="605C65E9" w:rsidR="00BC6C91" w:rsidRPr="00005453" w:rsidRDefault="00BC6C91" w:rsidP="00BC6C91">
            <w:pPr>
              <w:jc w:val="right"/>
              <w:rPr>
                <w:color w:val="000000"/>
                <w:sz w:val="18"/>
                <w:szCs w:val="18"/>
                <w:lang w:eastAsia="tr-TR"/>
              </w:rPr>
            </w:pPr>
            <w:r w:rsidRPr="00005453">
              <w:rPr>
                <w:sz w:val="18"/>
                <w:szCs w:val="18"/>
              </w:rPr>
              <w:t>60,184,580</w:t>
            </w:r>
          </w:p>
        </w:tc>
        <w:tc>
          <w:tcPr>
            <w:tcW w:w="950" w:type="dxa"/>
            <w:tcBorders>
              <w:top w:val="nil"/>
              <w:left w:val="nil"/>
              <w:bottom w:val="nil"/>
              <w:right w:val="nil"/>
            </w:tcBorders>
            <w:shd w:val="clear" w:color="auto" w:fill="auto"/>
            <w:vAlign w:val="center"/>
            <w:hideMark/>
          </w:tcPr>
          <w:p w14:paraId="410AEFB0" w14:textId="4FD88340" w:rsidR="00BC6C91" w:rsidRPr="00005453" w:rsidRDefault="00BC6C91" w:rsidP="00BC6C91">
            <w:pPr>
              <w:jc w:val="right"/>
              <w:rPr>
                <w:color w:val="000000"/>
                <w:sz w:val="18"/>
                <w:szCs w:val="18"/>
                <w:lang w:eastAsia="tr-TR"/>
              </w:rPr>
            </w:pPr>
            <w:r w:rsidRPr="00005453">
              <w:rPr>
                <w:sz w:val="18"/>
                <w:szCs w:val="18"/>
              </w:rPr>
              <w:t>-</w:t>
            </w:r>
          </w:p>
        </w:tc>
        <w:tc>
          <w:tcPr>
            <w:tcW w:w="735" w:type="dxa"/>
            <w:tcBorders>
              <w:top w:val="nil"/>
              <w:left w:val="nil"/>
              <w:bottom w:val="nil"/>
              <w:right w:val="nil"/>
            </w:tcBorders>
            <w:shd w:val="clear" w:color="auto" w:fill="auto"/>
            <w:vAlign w:val="center"/>
            <w:hideMark/>
          </w:tcPr>
          <w:p w14:paraId="5B99FCBE" w14:textId="0BF2C035"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3D81DBA4" w14:textId="59E37C6B" w:rsidR="00BC6C91" w:rsidRPr="00005453" w:rsidRDefault="00BC6C91" w:rsidP="00BC6C91">
            <w:pPr>
              <w:jc w:val="right"/>
              <w:rPr>
                <w:color w:val="000000"/>
                <w:sz w:val="18"/>
                <w:szCs w:val="18"/>
                <w:lang w:eastAsia="tr-TR"/>
              </w:rPr>
            </w:pPr>
            <w:r w:rsidRPr="00005453">
              <w:rPr>
                <w:sz w:val="18"/>
                <w:szCs w:val="18"/>
              </w:rPr>
              <w:t>60,184,580</w:t>
            </w:r>
          </w:p>
        </w:tc>
      </w:tr>
      <w:tr w:rsidR="00BC6C91" w:rsidRPr="00005453" w14:paraId="313E7CB7" w14:textId="77777777" w:rsidTr="00BC6C91">
        <w:trPr>
          <w:divId w:val="268048423"/>
          <w:trHeight w:val="190"/>
        </w:trPr>
        <w:tc>
          <w:tcPr>
            <w:tcW w:w="5166" w:type="dxa"/>
            <w:tcBorders>
              <w:top w:val="nil"/>
              <w:left w:val="nil"/>
              <w:bottom w:val="nil"/>
              <w:right w:val="nil"/>
            </w:tcBorders>
            <w:shd w:val="clear" w:color="auto" w:fill="auto"/>
            <w:noWrap/>
            <w:vAlign w:val="center"/>
            <w:hideMark/>
          </w:tcPr>
          <w:p w14:paraId="1464E819"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 xml:space="preserve">Diğer menkul değerler </w:t>
            </w:r>
          </w:p>
        </w:tc>
        <w:tc>
          <w:tcPr>
            <w:tcW w:w="2195" w:type="dxa"/>
            <w:tcBorders>
              <w:top w:val="nil"/>
              <w:left w:val="nil"/>
              <w:bottom w:val="nil"/>
              <w:right w:val="nil"/>
            </w:tcBorders>
            <w:shd w:val="clear" w:color="auto" w:fill="auto"/>
            <w:vAlign w:val="center"/>
            <w:hideMark/>
          </w:tcPr>
          <w:p w14:paraId="7E28C532" w14:textId="481590E5"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7D21FF41" w14:textId="6D529049" w:rsidR="00BC6C91" w:rsidRPr="00005453" w:rsidRDefault="00BC6C91" w:rsidP="00BC6C91">
            <w:pPr>
              <w:jc w:val="right"/>
              <w:rPr>
                <w:color w:val="000000"/>
                <w:sz w:val="18"/>
                <w:szCs w:val="18"/>
                <w:lang w:eastAsia="tr-TR"/>
              </w:rPr>
            </w:pPr>
            <w:r w:rsidRPr="00005453">
              <w:rPr>
                <w:sz w:val="18"/>
                <w:szCs w:val="18"/>
              </w:rPr>
              <w:t>285,247</w:t>
            </w:r>
          </w:p>
        </w:tc>
        <w:tc>
          <w:tcPr>
            <w:tcW w:w="735" w:type="dxa"/>
            <w:tcBorders>
              <w:top w:val="nil"/>
              <w:left w:val="nil"/>
              <w:bottom w:val="nil"/>
              <w:right w:val="nil"/>
            </w:tcBorders>
            <w:shd w:val="clear" w:color="auto" w:fill="auto"/>
            <w:vAlign w:val="center"/>
            <w:hideMark/>
          </w:tcPr>
          <w:p w14:paraId="1C4A56A1" w14:textId="39AC55D1"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6AEA1542" w14:textId="77C42012" w:rsidR="00BC6C91" w:rsidRPr="00005453" w:rsidRDefault="00BC6C91" w:rsidP="00BC6C91">
            <w:pPr>
              <w:jc w:val="right"/>
              <w:rPr>
                <w:color w:val="000000"/>
                <w:sz w:val="18"/>
                <w:szCs w:val="18"/>
                <w:lang w:eastAsia="tr-TR"/>
              </w:rPr>
            </w:pPr>
            <w:r w:rsidRPr="00005453">
              <w:rPr>
                <w:sz w:val="18"/>
                <w:szCs w:val="18"/>
              </w:rPr>
              <w:t>285,247</w:t>
            </w:r>
          </w:p>
        </w:tc>
      </w:tr>
      <w:tr w:rsidR="00B21A31" w:rsidRPr="00005453" w14:paraId="5CAD1E18" w14:textId="77777777" w:rsidTr="00B21A31">
        <w:trPr>
          <w:divId w:val="268048423"/>
          <w:trHeight w:val="115"/>
        </w:trPr>
        <w:tc>
          <w:tcPr>
            <w:tcW w:w="5166" w:type="dxa"/>
            <w:tcBorders>
              <w:top w:val="nil"/>
              <w:left w:val="nil"/>
              <w:bottom w:val="nil"/>
              <w:right w:val="nil"/>
            </w:tcBorders>
            <w:shd w:val="clear" w:color="auto" w:fill="auto"/>
            <w:vAlign w:val="center"/>
            <w:hideMark/>
          </w:tcPr>
          <w:p w14:paraId="45433625" w14:textId="77777777" w:rsidR="00B21A31" w:rsidRPr="00005453" w:rsidRDefault="00B21A31" w:rsidP="00B21A31">
            <w:pPr>
              <w:jc w:val="right"/>
              <w:rPr>
                <w:color w:val="000000"/>
                <w:sz w:val="10"/>
                <w:szCs w:val="10"/>
                <w:lang w:eastAsia="tr-TR"/>
              </w:rPr>
            </w:pPr>
          </w:p>
        </w:tc>
        <w:tc>
          <w:tcPr>
            <w:tcW w:w="2195" w:type="dxa"/>
            <w:tcBorders>
              <w:top w:val="nil"/>
              <w:left w:val="nil"/>
              <w:bottom w:val="nil"/>
              <w:right w:val="nil"/>
            </w:tcBorders>
            <w:shd w:val="clear" w:color="auto" w:fill="auto"/>
            <w:vAlign w:val="center"/>
            <w:hideMark/>
          </w:tcPr>
          <w:p w14:paraId="3E811616" w14:textId="77777777" w:rsidR="00B21A31" w:rsidRPr="00005453" w:rsidRDefault="00B21A31" w:rsidP="00B21A31">
            <w:pPr>
              <w:jc w:val="right"/>
              <w:rPr>
                <w:color w:val="000000"/>
                <w:sz w:val="10"/>
                <w:szCs w:val="10"/>
                <w:lang w:eastAsia="tr-TR"/>
              </w:rPr>
            </w:pPr>
          </w:p>
        </w:tc>
        <w:tc>
          <w:tcPr>
            <w:tcW w:w="950" w:type="dxa"/>
            <w:tcBorders>
              <w:top w:val="nil"/>
              <w:left w:val="nil"/>
              <w:bottom w:val="nil"/>
              <w:right w:val="nil"/>
            </w:tcBorders>
            <w:shd w:val="clear" w:color="auto" w:fill="auto"/>
            <w:vAlign w:val="center"/>
            <w:hideMark/>
          </w:tcPr>
          <w:p w14:paraId="7939325D" w14:textId="77777777" w:rsidR="00B21A31" w:rsidRPr="00005453" w:rsidRDefault="00B21A31" w:rsidP="00B21A31">
            <w:pPr>
              <w:ind w:firstLineChars="100" w:firstLine="100"/>
              <w:jc w:val="right"/>
              <w:rPr>
                <w:color w:val="000000"/>
                <w:sz w:val="10"/>
                <w:szCs w:val="10"/>
                <w:lang w:eastAsia="tr-TR"/>
              </w:rPr>
            </w:pPr>
          </w:p>
        </w:tc>
        <w:tc>
          <w:tcPr>
            <w:tcW w:w="735" w:type="dxa"/>
            <w:tcBorders>
              <w:top w:val="nil"/>
              <w:left w:val="nil"/>
              <w:bottom w:val="nil"/>
              <w:right w:val="nil"/>
            </w:tcBorders>
            <w:shd w:val="clear" w:color="auto" w:fill="auto"/>
            <w:vAlign w:val="center"/>
            <w:hideMark/>
          </w:tcPr>
          <w:p w14:paraId="224E1AF7" w14:textId="77777777" w:rsidR="00B21A31" w:rsidRPr="00005453" w:rsidRDefault="00B21A31" w:rsidP="00B21A31">
            <w:pPr>
              <w:ind w:firstLineChars="100" w:firstLine="100"/>
              <w:jc w:val="right"/>
              <w:rPr>
                <w:color w:val="000000"/>
                <w:sz w:val="10"/>
                <w:szCs w:val="10"/>
                <w:lang w:eastAsia="tr-TR"/>
              </w:rPr>
            </w:pPr>
          </w:p>
        </w:tc>
        <w:tc>
          <w:tcPr>
            <w:tcW w:w="950" w:type="dxa"/>
            <w:tcBorders>
              <w:top w:val="nil"/>
              <w:left w:val="nil"/>
              <w:bottom w:val="nil"/>
              <w:right w:val="nil"/>
            </w:tcBorders>
            <w:shd w:val="clear" w:color="auto" w:fill="auto"/>
            <w:vAlign w:val="center"/>
            <w:hideMark/>
          </w:tcPr>
          <w:p w14:paraId="296D2EE7" w14:textId="77777777" w:rsidR="00B21A31" w:rsidRPr="00005453" w:rsidRDefault="00B21A31" w:rsidP="00B21A31">
            <w:pPr>
              <w:ind w:firstLineChars="100" w:firstLine="100"/>
              <w:jc w:val="right"/>
              <w:rPr>
                <w:color w:val="000000"/>
                <w:sz w:val="10"/>
                <w:szCs w:val="10"/>
                <w:lang w:eastAsia="tr-TR"/>
              </w:rPr>
            </w:pPr>
          </w:p>
        </w:tc>
      </w:tr>
      <w:tr w:rsidR="00B21A31" w:rsidRPr="00005453" w14:paraId="4FC33FE9" w14:textId="77777777" w:rsidTr="00B21A31">
        <w:trPr>
          <w:divId w:val="268048423"/>
          <w:trHeight w:val="104"/>
        </w:trPr>
        <w:tc>
          <w:tcPr>
            <w:tcW w:w="5166" w:type="dxa"/>
            <w:tcBorders>
              <w:top w:val="nil"/>
              <w:left w:val="nil"/>
              <w:bottom w:val="nil"/>
              <w:right w:val="nil"/>
            </w:tcBorders>
            <w:shd w:val="clear" w:color="auto" w:fill="auto"/>
            <w:noWrap/>
            <w:vAlign w:val="center"/>
            <w:hideMark/>
          </w:tcPr>
          <w:p w14:paraId="7868782D" w14:textId="77777777" w:rsidR="00B21A31" w:rsidRPr="00005453" w:rsidRDefault="00B21A31" w:rsidP="00B21A31">
            <w:pPr>
              <w:rPr>
                <w:b/>
                <w:bCs/>
                <w:color w:val="000000"/>
                <w:sz w:val="18"/>
                <w:szCs w:val="18"/>
                <w:lang w:eastAsia="tr-TR"/>
              </w:rPr>
            </w:pPr>
            <w:r w:rsidRPr="00005453">
              <w:rPr>
                <w:b/>
                <w:bCs/>
                <w:color w:val="000000"/>
                <w:sz w:val="18"/>
                <w:szCs w:val="18"/>
                <w:lang w:eastAsia="tr-TR"/>
              </w:rPr>
              <w:t>Finansal borçlar</w:t>
            </w:r>
          </w:p>
        </w:tc>
        <w:tc>
          <w:tcPr>
            <w:tcW w:w="2195" w:type="dxa"/>
            <w:tcBorders>
              <w:top w:val="nil"/>
              <w:left w:val="nil"/>
              <w:bottom w:val="nil"/>
              <w:right w:val="nil"/>
            </w:tcBorders>
            <w:shd w:val="clear" w:color="auto" w:fill="auto"/>
            <w:vAlign w:val="center"/>
            <w:hideMark/>
          </w:tcPr>
          <w:p w14:paraId="5AD7410B" w14:textId="77777777" w:rsidR="00B21A31" w:rsidRPr="00005453" w:rsidRDefault="00B21A31" w:rsidP="00B21A31">
            <w:pPr>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0EE73604" w14:textId="77777777" w:rsidR="00B21A31" w:rsidRPr="00005453" w:rsidRDefault="00B21A31" w:rsidP="00B21A31">
            <w:pPr>
              <w:ind w:firstLineChars="200" w:firstLine="360"/>
              <w:jc w:val="right"/>
              <w:rPr>
                <w:color w:val="000000"/>
                <w:sz w:val="18"/>
                <w:szCs w:val="18"/>
                <w:lang w:eastAsia="tr-TR"/>
              </w:rPr>
            </w:pPr>
          </w:p>
        </w:tc>
        <w:tc>
          <w:tcPr>
            <w:tcW w:w="735" w:type="dxa"/>
            <w:tcBorders>
              <w:top w:val="nil"/>
              <w:left w:val="nil"/>
              <w:bottom w:val="nil"/>
              <w:right w:val="nil"/>
            </w:tcBorders>
            <w:shd w:val="clear" w:color="auto" w:fill="auto"/>
            <w:vAlign w:val="center"/>
            <w:hideMark/>
          </w:tcPr>
          <w:p w14:paraId="570FE3F6" w14:textId="77777777" w:rsidR="00B21A31" w:rsidRPr="00005453" w:rsidRDefault="00B21A31" w:rsidP="00B21A31">
            <w:pPr>
              <w:ind w:firstLineChars="200" w:firstLine="360"/>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17A92A2A" w14:textId="77777777" w:rsidR="00B21A31" w:rsidRPr="00005453" w:rsidRDefault="00B21A31" w:rsidP="00B21A31">
            <w:pPr>
              <w:ind w:firstLineChars="200" w:firstLine="360"/>
              <w:jc w:val="right"/>
              <w:rPr>
                <w:color w:val="000000"/>
                <w:sz w:val="18"/>
                <w:szCs w:val="18"/>
                <w:lang w:eastAsia="tr-TR"/>
              </w:rPr>
            </w:pPr>
          </w:p>
        </w:tc>
      </w:tr>
      <w:tr w:rsidR="00BC6C91" w:rsidRPr="00005453" w14:paraId="4244D8E8" w14:textId="77777777" w:rsidTr="00BC6C91">
        <w:trPr>
          <w:divId w:val="268048423"/>
          <w:trHeight w:val="130"/>
        </w:trPr>
        <w:tc>
          <w:tcPr>
            <w:tcW w:w="5166" w:type="dxa"/>
            <w:tcBorders>
              <w:top w:val="nil"/>
              <w:left w:val="nil"/>
              <w:bottom w:val="nil"/>
              <w:right w:val="nil"/>
            </w:tcBorders>
            <w:shd w:val="clear" w:color="auto" w:fill="auto"/>
            <w:noWrap/>
            <w:vAlign w:val="center"/>
            <w:hideMark/>
          </w:tcPr>
          <w:p w14:paraId="10779F65" w14:textId="64031F60" w:rsidR="00BC6C91" w:rsidRPr="00005453" w:rsidRDefault="00BC6C91" w:rsidP="00BC6C91">
            <w:pPr>
              <w:rPr>
                <w:color w:val="000000"/>
                <w:sz w:val="18"/>
                <w:szCs w:val="18"/>
                <w:lang w:eastAsia="tr-TR"/>
              </w:rPr>
            </w:pPr>
            <w:r w:rsidRPr="00005453">
              <w:rPr>
                <w:color w:val="000000"/>
                <w:sz w:val="18"/>
                <w:szCs w:val="18"/>
                <w:lang w:eastAsia="tr-TR"/>
              </w:rPr>
              <w:t>Gerçeğe uygun değer farkı kâr/zarara yansıtılan finansal borçlar</w:t>
            </w:r>
          </w:p>
        </w:tc>
        <w:tc>
          <w:tcPr>
            <w:tcW w:w="2195" w:type="dxa"/>
            <w:tcBorders>
              <w:top w:val="nil"/>
              <w:left w:val="nil"/>
              <w:bottom w:val="nil"/>
              <w:right w:val="nil"/>
            </w:tcBorders>
            <w:shd w:val="clear" w:color="auto" w:fill="auto"/>
            <w:vAlign w:val="center"/>
            <w:hideMark/>
          </w:tcPr>
          <w:p w14:paraId="582A9FAF" w14:textId="1AA3DC4A"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763CED0A" w14:textId="0649D102" w:rsidR="00BC6C91" w:rsidRPr="00005453" w:rsidRDefault="00BC6C91" w:rsidP="00BC6C91">
            <w:pPr>
              <w:jc w:val="right"/>
              <w:rPr>
                <w:color w:val="000000"/>
                <w:sz w:val="18"/>
                <w:szCs w:val="18"/>
                <w:lang w:eastAsia="tr-TR"/>
              </w:rPr>
            </w:pPr>
            <w:r w:rsidRPr="00005453">
              <w:rPr>
                <w:sz w:val="18"/>
                <w:szCs w:val="18"/>
              </w:rPr>
              <w:t>2,852,933</w:t>
            </w:r>
          </w:p>
        </w:tc>
        <w:tc>
          <w:tcPr>
            <w:tcW w:w="735" w:type="dxa"/>
            <w:tcBorders>
              <w:top w:val="nil"/>
              <w:left w:val="nil"/>
              <w:bottom w:val="nil"/>
              <w:right w:val="nil"/>
            </w:tcBorders>
            <w:shd w:val="clear" w:color="auto" w:fill="auto"/>
            <w:vAlign w:val="center"/>
            <w:hideMark/>
          </w:tcPr>
          <w:p w14:paraId="1A5E8B20" w14:textId="3943CA41"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380C1315" w14:textId="061B5D2D" w:rsidR="00BC6C91" w:rsidRPr="00005453" w:rsidRDefault="00BC6C91" w:rsidP="00BC6C91">
            <w:pPr>
              <w:jc w:val="right"/>
              <w:rPr>
                <w:color w:val="000000"/>
                <w:sz w:val="18"/>
                <w:szCs w:val="18"/>
                <w:lang w:eastAsia="tr-TR"/>
              </w:rPr>
            </w:pPr>
            <w:r w:rsidRPr="00005453">
              <w:rPr>
                <w:sz w:val="18"/>
                <w:szCs w:val="18"/>
              </w:rPr>
              <w:t>2,852,933</w:t>
            </w:r>
          </w:p>
        </w:tc>
      </w:tr>
      <w:tr w:rsidR="00BC6C91" w:rsidRPr="00005453" w14:paraId="767B2E01" w14:textId="77777777" w:rsidTr="00BC6C91">
        <w:trPr>
          <w:divId w:val="268048423"/>
          <w:trHeight w:val="84"/>
        </w:trPr>
        <w:tc>
          <w:tcPr>
            <w:tcW w:w="5166" w:type="dxa"/>
            <w:tcBorders>
              <w:top w:val="nil"/>
              <w:left w:val="nil"/>
              <w:bottom w:val="nil"/>
              <w:right w:val="nil"/>
            </w:tcBorders>
            <w:shd w:val="clear" w:color="auto" w:fill="auto"/>
            <w:noWrap/>
            <w:vAlign w:val="center"/>
            <w:hideMark/>
          </w:tcPr>
          <w:p w14:paraId="664212AC"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Vadeli işlemler</w:t>
            </w:r>
          </w:p>
        </w:tc>
        <w:tc>
          <w:tcPr>
            <w:tcW w:w="2195" w:type="dxa"/>
            <w:tcBorders>
              <w:top w:val="nil"/>
              <w:left w:val="nil"/>
              <w:bottom w:val="nil"/>
              <w:right w:val="nil"/>
            </w:tcBorders>
            <w:shd w:val="clear" w:color="auto" w:fill="auto"/>
            <w:vAlign w:val="center"/>
            <w:hideMark/>
          </w:tcPr>
          <w:p w14:paraId="0FD33AE3" w14:textId="37FEED1E"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3586C73E" w14:textId="7F099AF9" w:rsidR="00BC6C91" w:rsidRPr="00005453" w:rsidRDefault="00BC6C91" w:rsidP="00BC6C91">
            <w:pPr>
              <w:jc w:val="right"/>
              <w:rPr>
                <w:color w:val="000000"/>
                <w:sz w:val="18"/>
                <w:szCs w:val="18"/>
                <w:lang w:eastAsia="tr-TR"/>
              </w:rPr>
            </w:pPr>
            <w:r w:rsidRPr="00005453">
              <w:rPr>
                <w:sz w:val="18"/>
                <w:szCs w:val="18"/>
              </w:rPr>
              <w:t>265,757</w:t>
            </w:r>
          </w:p>
        </w:tc>
        <w:tc>
          <w:tcPr>
            <w:tcW w:w="735" w:type="dxa"/>
            <w:tcBorders>
              <w:top w:val="nil"/>
              <w:left w:val="nil"/>
              <w:bottom w:val="nil"/>
              <w:right w:val="nil"/>
            </w:tcBorders>
            <w:shd w:val="clear" w:color="auto" w:fill="auto"/>
            <w:vAlign w:val="center"/>
            <w:hideMark/>
          </w:tcPr>
          <w:p w14:paraId="0E9678E2" w14:textId="2D1C3B14"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3DA82408" w14:textId="0E274EFF" w:rsidR="00BC6C91" w:rsidRPr="00005453" w:rsidRDefault="00BC6C91" w:rsidP="00BC6C91">
            <w:pPr>
              <w:jc w:val="right"/>
              <w:rPr>
                <w:color w:val="000000"/>
                <w:sz w:val="18"/>
                <w:szCs w:val="18"/>
                <w:lang w:eastAsia="tr-TR"/>
              </w:rPr>
            </w:pPr>
            <w:r w:rsidRPr="00005453">
              <w:rPr>
                <w:sz w:val="18"/>
                <w:szCs w:val="18"/>
              </w:rPr>
              <w:t>265,757</w:t>
            </w:r>
          </w:p>
        </w:tc>
      </w:tr>
      <w:tr w:rsidR="00BC6C91" w:rsidRPr="00005453" w14:paraId="22F56DD0" w14:textId="77777777" w:rsidTr="00BC6C91">
        <w:trPr>
          <w:divId w:val="268048423"/>
          <w:trHeight w:val="84"/>
        </w:trPr>
        <w:tc>
          <w:tcPr>
            <w:tcW w:w="5166" w:type="dxa"/>
            <w:tcBorders>
              <w:top w:val="nil"/>
              <w:left w:val="nil"/>
              <w:right w:val="nil"/>
            </w:tcBorders>
            <w:shd w:val="clear" w:color="auto" w:fill="auto"/>
            <w:noWrap/>
            <w:vAlign w:val="center"/>
            <w:hideMark/>
          </w:tcPr>
          <w:p w14:paraId="6EA0DA2A"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 xml:space="preserve">Swap işlemleri </w:t>
            </w:r>
          </w:p>
        </w:tc>
        <w:tc>
          <w:tcPr>
            <w:tcW w:w="2195" w:type="dxa"/>
            <w:tcBorders>
              <w:top w:val="nil"/>
              <w:left w:val="nil"/>
              <w:right w:val="nil"/>
            </w:tcBorders>
            <w:shd w:val="clear" w:color="auto" w:fill="auto"/>
            <w:vAlign w:val="center"/>
            <w:hideMark/>
          </w:tcPr>
          <w:p w14:paraId="2BDE7C90" w14:textId="61732B0A"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right w:val="nil"/>
            </w:tcBorders>
            <w:shd w:val="clear" w:color="auto" w:fill="auto"/>
            <w:vAlign w:val="center"/>
            <w:hideMark/>
          </w:tcPr>
          <w:p w14:paraId="115D6B2B" w14:textId="3049A509" w:rsidR="00BC6C91" w:rsidRPr="00005453" w:rsidRDefault="00BC6C91" w:rsidP="00BC6C91">
            <w:pPr>
              <w:jc w:val="right"/>
              <w:rPr>
                <w:color w:val="000000"/>
                <w:sz w:val="18"/>
                <w:szCs w:val="18"/>
                <w:lang w:eastAsia="tr-TR"/>
              </w:rPr>
            </w:pPr>
            <w:r w:rsidRPr="00005453">
              <w:rPr>
                <w:sz w:val="18"/>
                <w:szCs w:val="18"/>
              </w:rPr>
              <w:t>2,587,176</w:t>
            </w:r>
          </w:p>
        </w:tc>
        <w:tc>
          <w:tcPr>
            <w:tcW w:w="735" w:type="dxa"/>
            <w:tcBorders>
              <w:top w:val="nil"/>
              <w:left w:val="nil"/>
              <w:right w:val="nil"/>
            </w:tcBorders>
            <w:shd w:val="clear" w:color="auto" w:fill="auto"/>
            <w:vAlign w:val="center"/>
            <w:hideMark/>
          </w:tcPr>
          <w:p w14:paraId="47E515B4" w14:textId="6B9D984D"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right w:val="nil"/>
            </w:tcBorders>
            <w:shd w:val="clear" w:color="auto" w:fill="auto"/>
            <w:vAlign w:val="center"/>
            <w:hideMark/>
          </w:tcPr>
          <w:p w14:paraId="3A7E865D" w14:textId="57262D67" w:rsidR="00BC6C91" w:rsidRPr="00005453" w:rsidRDefault="00BC6C91" w:rsidP="00BC6C91">
            <w:pPr>
              <w:jc w:val="right"/>
              <w:rPr>
                <w:color w:val="000000"/>
                <w:sz w:val="18"/>
                <w:szCs w:val="18"/>
                <w:lang w:eastAsia="tr-TR"/>
              </w:rPr>
            </w:pPr>
            <w:r w:rsidRPr="00005453">
              <w:rPr>
                <w:sz w:val="18"/>
                <w:szCs w:val="18"/>
              </w:rPr>
              <w:t>2,587,176</w:t>
            </w:r>
          </w:p>
        </w:tc>
      </w:tr>
      <w:tr w:rsidR="00BC6C91" w:rsidRPr="00005453" w14:paraId="1FC5CC88" w14:textId="77777777" w:rsidTr="00BC6C91">
        <w:trPr>
          <w:divId w:val="268048423"/>
          <w:trHeight w:val="84"/>
        </w:trPr>
        <w:tc>
          <w:tcPr>
            <w:tcW w:w="5166" w:type="dxa"/>
            <w:tcBorders>
              <w:top w:val="nil"/>
              <w:left w:val="nil"/>
              <w:bottom w:val="single" w:sz="8" w:space="0" w:color="auto"/>
              <w:right w:val="nil"/>
            </w:tcBorders>
            <w:shd w:val="clear" w:color="auto" w:fill="auto"/>
            <w:noWrap/>
            <w:vAlign w:val="center"/>
            <w:hideMark/>
          </w:tcPr>
          <w:p w14:paraId="3C8277BD" w14:textId="77777777" w:rsidR="00BC6C91" w:rsidRPr="00005453" w:rsidRDefault="00BC6C91" w:rsidP="00BC6C91">
            <w:pPr>
              <w:ind w:firstLineChars="100" w:firstLine="180"/>
              <w:rPr>
                <w:color w:val="000000"/>
                <w:sz w:val="18"/>
                <w:szCs w:val="18"/>
                <w:lang w:eastAsia="tr-TR"/>
              </w:rPr>
            </w:pPr>
            <w:r w:rsidRPr="00005453">
              <w:rPr>
                <w:color w:val="000000"/>
                <w:sz w:val="18"/>
                <w:szCs w:val="18"/>
                <w:lang w:eastAsia="tr-TR"/>
              </w:rPr>
              <w:t>Riskten korunma amaçlı finansal borçlar</w:t>
            </w:r>
          </w:p>
        </w:tc>
        <w:tc>
          <w:tcPr>
            <w:tcW w:w="2195" w:type="dxa"/>
            <w:tcBorders>
              <w:top w:val="nil"/>
              <w:left w:val="nil"/>
              <w:bottom w:val="single" w:sz="8" w:space="0" w:color="auto"/>
              <w:right w:val="nil"/>
            </w:tcBorders>
            <w:shd w:val="clear" w:color="auto" w:fill="auto"/>
            <w:vAlign w:val="center"/>
            <w:hideMark/>
          </w:tcPr>
          <w:p w14:paraId="743869D2" w14:textId="569C2D31"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single" w:sz="8" w:space="0" w:color="auto"/>
              <w:right w:val="nil"/>
            </w:tcBorders>
            <w:shd w:val="clear" w:color="auto" w:fill="auto"/>
            <w:vAlign w:val="center"/>
            <w:hideMark/>
          </w:tcPr>
          <w:p w14:paraId="3340872A" w14:textId="514ECA9D" w:rsidR="00BC6C91" w:rsidRPr="00005453" w:rsidRDefault="00BC6C91" w:rsidP="00BC6C91">
            <w:pPr>
              <w:jc w:val="right"/>
              <w:rPr>
                <w:color w:val="000000"/>
                <w:sz w:val="18"/>
                <w:szCs w:val="18"/>
                <w:lang w:eastAsia="tr-TR"/>
              </w:rPr>
            </w:pPr>
            <w:r w:rsidRPr="00005453">
              <w:rPr>
                <w:sz w:val="18"/>
                <w:szCs w:val="18"/>
              </w:rPr>
              <w:t>-</w:t>
            </w:r>
          </w:p>
        </w:tc>
        <w:tc>
          <w:tcPr>
            <w:tcW w:w="735" w:type="dxa"/>
            <w:tcBorders>
              <w:top w:val="nil"/>
              <w:left w:val="nil"/>
              <w:bottom w:val="single" w:sz="8" w:space="0" w:color="auto"/>
              <w:right w:val="nil"/>
            </w:tcBorders>
            <w:shd w:val="clear" w:color="auto" w:fill="auto"/>
            <w:vAlign w:val="center"/>
            <w:hideMark/>
          </w:tcPr>
          <w:p w14:paraId="4D8E230F" w14:textId="1461EB89" w:rsidR="00BC6C91" w:rsidRPr="00005453" w:rsidRDefault="00BC6C91" w:rsidP="00BC6C91">
            <w:pPr>
              <w:jc w:val="right"/>
              <w:rPr>
                <w:color w:val="000000"/>
                <w:sz w:val="18"/>
                <w:szCs w:val="18"/>
                <w:lang w:eastAsia="tr-TR"/>
              </w:rPr>
            </w:pPr>
            <w:r w:rsidRPr="00005453">
              <w:rPr>
                <w:sz w:val="18"/>
                <w:szCs w:val="18"/>
              </w:rPr>
              <w:t>-</w:t>
            </w:r>
          </w:p>
        </w:tc>
        <w:tc>
          <w:tcPr>
            <w:tcW w:w="950" w:type="dxa"/>
            <w:tcBorders>
              <w:top w:val="nil"/>
              <w:left w:val="nil"/>
              <w:bottom w:val="single" w:sz="8" w:space="0" w:color="auto"/>
              <w:right w:val="nil"/>
            </w:tcBorders>
            <w:shd w:val="clear" w:color="auto" w:fill="auto"/>
            <w:vAlign w:val="center"/>
            <w:hideMark/>
          </w:tcPr>
          <w:p w14:paraId="60E3D741" w14:textId="0567F345" w:rsidR="00BC6C91" w:rsidRPr="00005453" w:rsidRDefault="00BC6C91" w:rsidP="00BC6C91">
            <w:pPr>
              <w:jc w:val="right"/>
              <w:rPr>
                <w:color w:val="000000"/>
                <w:sz w:val="18"/>
                <w:szCs w:val="18"/>
                <w:lang w:eastAsia="tr-TR"/>
              </w:rPr>
            </w:pPr>
            <w:r w:rsidRPr="00005453">
              <w:rPr>
                <w:sz w:val="18"/>
                <w:szCs w:val="18"/>
              </w:rPr>
              <w:t>-</w:t>
            </w:r>
          </w:p>
        </w:tc>
      </w:tr>
    </w:tbl>
    <w:p w14:paraId="0A3291D2" w14:textId="2E2D2393" w:rsidR="00FD2C01" w:rsidRPr="00005453" w:rsidRDefault="00FD2C01" w:rsidP="00FB3FCF">
      <w:pPr>
        <w:autoSpaceDE w:val="0"/>
        <w:autoSpaceDN w:val="0"/>
        <w:adjustRightInd w:val="0"/>
        <w:spacing w:line="216" w:lineRule="auto"/>
        <w:rPr>
          <w:sz w:val="16"/>
          <w:szCs w:val="16"/>
          <w:lang w:val="en-GB" w:eastAsia="en-GB"/>
        </w:rPr>
      </w:pPr>
    </w:p>
    <w:p w14:paraId="14BA7A6C" w14:textId="77777777" w:rsidR="0073243B" w:rsidRPr="00005453" w:rsidRDefault="0073243B" w:rsidP="00FB3FCF">
      <w:pPr>
        <w:autoSpaceDE w:val="0"/>
        <w:autoSpaceDN w:val="0"/>
        <w:adjustRightInd w:val="0"/>
        <w:spacing w:line="216" w:lineRule="auto"/>
        <w:rPr>
          <w:sz w:val="16"/>
          <w:szCs w:val="16"/>
          <w:lang w:val="en-GB" w:eastAsia="en-GB"/>
        </w:rPr>
      </w:pPr>
    </w:p>
    <w:tbl>
      <w:tblPr>
        <w:tblW w:w="10758" w:type="dxa"/>
        <w:tblCellMar>
          <w:left w:w="70" w:type="dxa"/>
          <w:right w:w="70" w:type="dxa"/>
        </w:tblCellMar>
        <w:tblLook w:val="04A0" w:firstRow="1" w:lastRow="0" w:firstColumn="1" w:lastColumn="0" w:noHBand="0" w:noVBand="1"/>
      </w:tblPr>
      <w:tblGrid>
        <w:gridCol w:w="5103"/>
        <w:gridCol w:w="2268"/>
        <w:gridCol w:w="973"/>
        <w:gridCol w:w="735"/>
        <w:gridCol w:w="950"/>
        <w:gridCol w:w="729"/>
      </w:tblGrid>
      <w:tr w:rsidR="00FD2C01" w:rsidRPr="00005453" w14:paraId="4EC224A4" w14:textId="77777777" w:rsidTr="001D00C5">
        <w:trPr>
          <w:gridAfter w:val="1"/>
          <w:divId w:val="372312367"/>
          <w:wAfter w:w="835" w:type="dxa"/>
          <w:trHeight w:val="191"/>
        </w:trPr>
        <w:tc>
          <w:tcPr>
            <w:tcW w:w="5103" w:type="dxa"/>
            <w:tcBorders>
              <w:top w:val="single" w:sz="8" w:space="0" w:color="auto"/>
              <w:left w:val="nil"/>
              <w:bottom w:val="single" w:sz="8" w:space="0" w:color="auto"/>
              <w:right w:val="nil"/>
            </w:tcBorders>
            <w:shd w:val="clear" w:color="auto" w:fill="auto"/>
            <w:vAlign w:val="center"/>
            <w:hideMark/>
          </w:tcPr>
          <w:p w14:paraId="646390EF" w14:textId="32733E87" w:rsidR="00FD2C01" w:rsidRPr="00005453" w:rsidRDefault="00FD2C01" w:rsidP="00FD2C01">
            <w:pPr>
              <w:jc w:val="both"/>
              <w:rPr>
                <w:b/>
                <w:bCs/>
                <w:color w:val="000000"/>
                <w:sz w:val="18"/>
                <w:szCs w:val="18"/>
                <w:lang w:eastAsia="tr-TR"/>
              </w:rPr>
            </w:pPr>
            <w:r w:rsidRPr="00005453">
              <w:rPr>
                <w:b/>
                <w:bCs/>
                <w:color w:val="000000"/>
                <w:sz w:val="18"/>
                <w:szCs w:val="18"/>
                <w:lang w:eastAsia="tr-TR"/>
              </w:rPr>
              <w:t>Önceki dönem</w:t>
            </w:r>
          </w:p>
        </w:tc>
        <w:tc>
          <w:tcPr>
            <w:tcW w:w="2268" w:type="dxa"/>
            <w:tcBorders>
              <w:top w:val="single" w:sz="8" w:space="0" w:color="auto"/>
              <w:left w:val="nil"/>
              <w:bottom w:val="single" w:sz="8" w:space="0" w:color="auto"/>
              <w:right w:val="nil"/>
            </w:tcBorders>
            <w:shd w:val="clear" w:color="auto" w:fill="auto"/>
            <w:vAlign w:val="center"/>
            <w:hideMark/>
          </w:tcPr>
          <w:p w14:paraId="5ABBFA4A" w14:textId="77777777" w:rsidR="00FD2C01" w:rsidRPr="00005453" w:rsidRDefault="00FD2C01" w:rsidP="00FD2C01">
            <w:pPr>
              <w:jc w:val="right"/>
              <w:rPr>
                <w:b/>
                <w:bCs/>
                <w:color w:val="000000"/>
                <w:sz w:val="18"/>
                <w:szCs w:val="18"/>
                <w:lang w:eastAsia="tr-TR"/>
              </w:rPr>
            </w:pPr>
            <w:r w:rsidRPr="00005453">
              <w:rPr>
                <w:b/>
                <w:bCs/>
                <w:color w:val="000000"/>
                <w:sz w:val="18"/>
                <w:szCs w:val="18"/>
                <w:lang w:eastAsia="tr-TR"/>
              </w:rPr>
              <w:t>1.seviye</w:t>
            </w:r>
          </w:p>
        </w:tc>
        <w:tc>
          <w:tcPr>
            <w:tcW w:w="993" w:type="dxa"/>
            <w:tcBorders>
              <w:top w:val="single" w:sz="8" w:space="0" w:color="auto"/>
              <w:left w:val="nil"/>
              <w:bottom w:val="single" w:sz="8" w:space="0" w:color="auto"/>
              <w:right w:val="nil"/>
            </w:tcBorders>
            <w:shd w:val="clear" w:color="auto" w:fill="auto"/>
            <w:vAlign w:val="center"/>
            <w:hideMark/>
          </w:tcPr>
          <w:p w14:paraId="787DBE13" w14:textId="77777777" w:rsidR="00FD2C01" w:rsidRPr="00005453" w:rsidRDefault="00FD2C01" w:rsidP="00FD2C01">
            <w:pPr>
              <w:jc w:val="right"/>
              <w:rPr>
                <w:b/>
                <w:bCs/>
                <w:color w:val="000000"/>
                <w:sz w:val="18"/>
                <w:szCs w:val="18"/>
                <w:lang w:eastAsia="tr-TR"/>
              </w:rPr>
            </w:pPr>
            <w:r w:rsidRPr="00005453">
              <w:rPr>
                <w:b/>
                <w:bCs/>
                <w:color w:val="000000"/>
                <w:sz w:val="18"/>
                <w:szCs w:val="18"/>
                <w:lang w:eastAsia="tr-TR"/>
              </w:rPr>
              <w:t>2.seviye</w:t>
            </w:r>
          </w:p>
        </w:tc>
        <w:tc>
          <w:tcPr>
            <w:tcW w:w="735" w:type="dxa"/>
            <w:tcBorders>
              <w:top w:val="single" w:sz="8" w:space="0" w:color="auto"/>
              <w:left w:val="nil"/>
              <w:bottom w:val="single" w:sz="8" w:space="0" w:color="auto"/>
              <w:right w:val="nil"/>
            </w:tcBorders>
            <w:shd w:val="clear" w:color="auto" w:fill="auto"/>
            <w:vAlign w:val="center"/>
            <w:hideMark/>
          </w:tcPr>
          <w:p w14:paraId="0AF1CCE7" w14:textId="77777777" w:rsidR="00FD2C01" w:rsidRPr="00005453" w:rsidRDefault="00FD2C01" w:rsidP="00FD2C01">
            <w:pPr>
              <w:jc w:val="right"/>
              <w:rPr>
                <w:b/>
                <w:bCs/>
                <w:color w:val="000000"/>
                <w:sz w:val="18"/>
                <w:szCs w:val="18"/>
                <w:lang w:eastAsia="tr-TR"/>
              </w:rPr>
            </w:pPr>
            <w:r w:rsidRPr="00005453">
              <w:rPr>
                <w:b/>
                <w:bCs/>
                <w:color w:val="000000"/>
                <w:sz w:val="18"/>
                <w:szCs w:val="18"/>
                <w:lang w:eastAsia="tr-TR"/>
              </w:rPr>
              <w:t>3.seviye</w:t>
            </w:r>
          </w:p>
        </w:tc>
        <w:tc>
          <w:tcPr>
            <w:tcW w:w="824" w:type="dxa"/>
            <w:tcBorders>
              <w:top w:val="single" w:sz="8" w:space="0" w:color="auto"/>
              <w:left w:val="nil"/>
              <w:bottom w:val="single" w:sz="8" w:space="0" w:color="auto"/>
              <w:right w:val="nil"/>
            </w:tcBorders>
            <w:shd w:val="clear" w:color="auto" w:fill="auto"/>
            <w:vAlign w:val="center"/>
            <w:hideMark/>
          </w:tcPr>
          <w:p w14:paraId="794E5FE7" w14:textId="77777777" w:rsidR="00FD2C01" w:rsidRPr="00005453" w:rsidRDefault="00FD2C01" w:rsidP="00FD2C01">
            <w:pPr>
              <w:ind w:firstLineChars="100" w:firstLine="181"/>
              <w:jc w:val="right"/>
              <w:rPr>
                <w:b/>
                <w:bCs/>
                <w:color w:val="000000"/>
                <w:sz w:val="18"/>
                <w:szCs w:val="18"/>
                <w:lang w:eastAsia="tr-TR"/>
              </w:rPr>
            </w:pPr>
            <w:r w:rsidRPr="00005453">
              <w:rPr>
                <w:b/>
                <w:bCs/>
                <w:color w:val="000000"/>
                <w:sz w:val="18"/>
                <w:szCs w:val="18"/>
                <w:lang w:eastAsia="tr-TR"/>
              </w:rPr>
              <w:t>Toplam</w:t>
            </w:r>
          </w:p>
        </w:tc>
      </w:tr>
      <w:tr w:rsidR="00FD2C01" w:rsidRPr="00005453" w14:paraId="2A684159" w14:textId="77777777" w:rsidTr="001D00C5">
        <w:trPr>
          <w:gridAfter w:val="1"/>
          <w:divId w:val="372312367"/>
          <w:wAfter w:w="835" w:type="dxa"/>
          <w:trHeight w:val="134"/>
        </w:trPr>
        <w:tc>
          <w:tcPr>
            <w:tcW w:w="5103" w:type="dxa"/>
            <w:tcBorders>
              <w:top w:val="nil"/>
              <w:left w:val="nil"/>
              <w:bottom w:val="nil"/>
              <w:right w:val="nil"/>
            </w:tcBorders>
            <w:shd w:val="clear" w:color="auto" w:fill="auto"/>
            <w:vAlign w:val="center"/>
            <w:hideMark/>
          </w:tcPr>
          <w:p w14:paraId="09048E02" w14:textId="77777777" w:rsidR="00FD2C01" w:rsidRPr="00005453" w:rsidRDefault="00FD2C01" w:rsidP="00FD2C01">
            <w:pPr>
              <w:ind w:firstLineChars="100" w:firstLine="100"/>
              <w:jc w:val="right"/>
              <w:rPr>
                <w:b/>
                <w:bCs/>
                <w:color w:val="000000"/>
                <w:sz w:val="10"/>
                <w:szCs w:val="10"/>
                <w:lang w:eastAsia="tr-TR"/>
              </w:rPr>
            </w:pPr>
          </w:p>
        </w:tc>
        <w:tc>
          <w:tcPr>
            <w:tcW w:w="2268" w:type="dxa"/>
            <w:tcBorders>
              <w:top w:val="nil"/>
              <w:left w:val="nil"/>
              <w:bottom w:val="nil"/>
              <w:right w:val="nil"/>
            </w:tcBorders>
            <w:shd w:val="clear" w:color="auto" w:fill="auto"/>
            <w:vAlign w:val="center"/>
            <w:hideMark/>
          </w:tcPr>
          <w:p w14:paraId="0EC8A1D2" w14:textId="77777777" w:rsidR="00FD2C01" w:rsidRPr="00005453" w:rsidRDefault="00FD2C01" w:rsidP="00FD2C01">
            <w:pPr>
              <w:rPr>
                <w:sz w:val="10"/>
                <w:szCs w:val="10"/>
                <w:lang w:eastAsia="tr-TR"/>
              </w:rPr>
            </w:pPr>
          </w:p>
        </w:tc>
        <w:tc>
          <w:tcPr>
            <w:tcW w:w="993" w:type="dxa"/>
            <w:tcBorders>
              <w:top w:val="nil"/>
              <w:left w:val="nil"/>
              <w:bottom w:val="nil"/>
              <w:right w:val="nil"/>
            </w:tcBorders>
            <w:shd w:val="clear" w:color="auto" w:fill="auto"/>
            <w:vAlign w:val="center"/>
            <w:hideMark/>
          </w:tcPr>
          <w:p w14:paraId="41F4A684" w14:textId="77777777" w:rsidR="00FD2C01" w:rsidRPr="00005453" w:rsidRDefault="00FD2C01" w:rsidP="00FD2C01">
            <w:pPr>
              <w:ind w:firstLineChars="100" w:firstLine="100"/>
              <w:jc w:val="right"/>
              <w:rPr>
                <w:sz w:val="10"/>
                <w:szCs w:val="10"/>
                <w:lang w:eastAsia="tr-TR"/>
              </w:rPr>
            </w:pPr>
          </w:p>
        </w:tc>
        <w:tc>
          <w:tcPr>
            <w:tcW w:w="735" w:type="dxa"/>
            <w:tcBorders>
              <w:top w:val="nil"/>
              <w:left w:val="nil"/>
              <w:bottom w:val="nil"/>
              <w:right w:val="nil"/>
            </w:tcBorders>
            <w:shd w:val="clear" w:color="auto" w:fill="auto"/>
            <w:vAlign w:val="center"/>
            <w:hideMark/>
          </w:tcPr>
          <w:p w14:paraId="61A4FCC1" w14:textId="77777777" w:rsidR="00FD2C01" w:rsidRPr="00005453" w:rsidRDefault="00FD2C01" w:rsidP="00FD2C01">
            <w:pPr>
              <w:ind w:firstLineChars="100" w:firstLine="100"/>
              <w:jc w:val="right"/>
              <w:rPr>
                <w:sz w:val="10"/>
                <w:szCs w:val="10"/>
                <w:lang w:eastAsia="tr-TR"/>
              </w:rPr>
            </w:pPr>
          </w:p>
        </w:tc>
        <w:tc>
          <w:tcPr>
            <w:tcW w:w="824" w:type="dxa"/>
            <w:tcBorders>
              <w:top w:val="nil"/>
              <w:left w:val="nil"/>
              <w:bottom w:val="nil"/>
              <w:right w:val="nil"/>
            </w:tcBorders>
            <w:shd w:val="clear" w:color="auto" w:fill="auto"/>
            <w:vAlign w:val="center"/>
            <w:hideMark/>
          </w:tcPr>
          <w:p w14:paraId="11815A0C" w14:textId="77777777" w:rsidR="00FD2C01" w:rsidRPr="00005453" w:rsidRDefault="00FD2C01" w:rsidP="00FD2C01">
            <w:pPr>
              <w:ind w:firstLineChars="100" w:firstLine="100"/>
              <w:jc w:val="right"/>
              <w:rPr>
                <w:sz w:val="10"/>
                <w:szCs w:val="10"/>
                <w:lang w:eastAsia="tr-TR"/>
              </w:rPr>
            </w:pPr>
          </w:p>
        </w:tc>
      </w:tr>
      <w:tr w:rsidR="00FD2C01" w:rsidRPr="00005453" w14:paraId="648F59C1" w14:textId="77777777" w:rsidTr="001D00C5">
        <w:trPr>
          <w:gridAfter w:val="1"/>
          <w:divId w:val="372312367"/>
          <w:wAfter w:w="835" w:type="dxa"/>
          <w:trHeight w:val="268"/>
        </w:trPr>
        <w:tc>
          <w:tcPr>
            <w:tcW w:w="7371" w:type="dxa"/>
            <w:gridSpan w:val="2"/>
            <w:tcBorders>
              <w:top w:val="nil"/>
              <w:left w:val="nil"/>
              <w:bottom w:val="nil"/>
              <w:right w:val="nil"/>
            </w:tcBorders>
            <w:shd w:val="clear" w:color="auto" w:fill="auto"/>
            <w:noWrap/>
            <w:vAlign w:val="center"/>
            <w:hideMark/>
          </w:tcPr>
          <w:p w14:paraId="7C9FB5A4" w14:textId="77777777" w:rsidR="00FD2C01" w:rsidRPr="00005453" w:rsidRDefault="00FD2C01" w:rsidP="00FD2C01">
            <w:pPr>
              <w:rPr>
                <w:b/>
                <w:bCs/>
                <w:color w:val="000000"/>
                <w:sz w:val="18"/>
                <w:szCs w:val="18"/>
                <w:lang w:eastAsia="tr-TR"/>
              </w:rPr>
            </w:pPr>
            <w:r w:rsidRPr="00005453">
              <w:rPr>
                <w:b/>
                <w:bCs/>
                <w:color w:val="000000"/>
                <w:sz w:val="18"/>
                <w:szCs w:val="18"/>
                <w:lang w:eastAsia="tr-TR"/>
              </w:rPr>
              <w:t>Finansal varlıklar</w:t>
            </w:r>
          </w:p>
        </w:tc>
        <w:tc>
          <w:tcPr>
            <w:tcW w:w="993" w:type="dxa"/>
            <w:tcBorders>
              <w:top w:val="nil"/>
              <w:left w:val="nil"/>
              <w:bottom w:val="nil"/>
              <w:right w:val="nil"/>
            </w:tcBorders>
            <w:shd w:val="clear" w:color="auto" w:fill="auto"/>
            <w:vAlign w:val="center"/>
            <w:hideMark/>
          </w:tcPr>
          <w:p w14:paraId="16084B44" w14:textId="77777777" w:rsidR="00FD2C01" w:rsidRPr="00005453" w:rsidRDefault="00FD2C01" w:rsidP="00FD2C01">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573C3EC0" w14:textId="77777777" w:rsidR="00FD2C01" w:rsidRPr="00005453" w:rsidRDefault="00FD2C01" w:rsidP="00FD2C01">
            <w:pPr>
              <w:ind w:firstLineChars="100" w:firstLine="180"/>
              <w:jc w:val="right"/>
              <w:rPr>
                <w:sz w:val="18"/>
                <w:szCs w:val="18"/>
                <w:lang w:eastAsia="tr-TR"/>
              </w:rPr>
            </w:pPr>
          </w:p>
        </w:tc>
        <w:tc>
          <w:tcPr>
            <w:tcW w:w="824" w:type="dxa"/>
            <w:tcBorders>
              <w:top w:val="nil"/>
              <w:left w:val="nil"/>
              <w:bottom w:val="nil"/>
              <w:right w:val="nil"/>
            </w:tcBorders>
            <w:shd w:val="clear" w:color="auto" w:fill="auto"/>
            <w:vAlign w:val="center"/>
            <w:hideMark/>
          </w:tcPr>
          <w:p w14:paraId="3D403DCB" w14:textId="77777777" w:rsidR="00FD2C01" w:rsidRPr="00005453" w:rsidRDefault="00FD2C01" w:rsidP="00FD2C01">
            <w:pPr>
              <w:ind w:firstLineChars="100" w:firstLine="180"/>
              <w:jc w:val="right"/>
              <w:rPr>
                <w:sz w:val="18"/>
                <w:szCs w:val="18"/>
                <w:lang w:eastAsia="tr-TR"/>
              </w:rPr>
            </w:pPr>
          </w:p>
        </w:tc>
      </w:tr>
      <w:tr w:rsidR="007F6A49" w:rsidRPr="00005453" w14:paraId="5B16E9D3" w14:textId="77777777" w:rsidTr="001D00C5">
        <w:trPr>
          <w:gridAfter w:val="1"/>
          <w:divId w:val="372312367"/>
          <w:wAfter w:w="835" w:type="dxa"/>
          <w:trHeight w:val="74"/>
        </w:trPr>
        <w:tc>
          <w:tcPr>
            <w:tcW w:w="5103" w:type="dxa"/>
            <w:tcBorders>
              <w:top w:val="nil"/>
              <w:left w:val="nil"/>
              <w:bottom w:val="nil"/>
              <w:right w:val="nil"/>
            </w:tcBorders>
            <w:shd w:val="clear" w:color="auto" w:fill="auto"/>
            <w:noWrap/>
            <w:vAlign w:val="center"/>
            <w:hideMark/>
          </w:tcPr>
          <w:p w14:paraId="6A73261D" w14:textId="0472A0F0" w:rsidR="007F6A49" w:rsidRPr="00005453" w:rsidRDefault="007F6A49" w:rsidP="007F6A49">
            <w:pPr>
              <w:rPr>
                <w:color w:val="000000"/>
                <w:sz w:val="18"/>
                <w:szCs w:val="18"/>
                <w:lang w:eastAsia="tr-TR"/>
              </w:rPr>
            </w:pPr>
            <w:r w:rsidRPr="00005453">
              <w:rPr>
                <w:color w:val="000000"/>
                <w:sz w:val="18"/>
                <w:szCs w:val="18"/>
                <w:lang w:eastAsia="tr-TR"/>
              </w:rPr>
              <w:t>Gerçeğe uygun değer farkı kâr/zarara yansıtılan finansal varlıklar</w:t>
            </w:r>
          </w:p>
        </w:tc>
        <w:tc>
          <w:tcPr>
            <w:tcW w:w="2268" w:type="dxa"/>
            <w:tcBorders>
              <w:top w:val="nil"/>
              <w:left w:val="nil"/>
              <w:bottom w:val="nil"/>
              <w:right w:val="nil"/>
            </w:tcBorders>
            <w:shd w:val="clear" w:color="auto" w:fill="auto"/>
            <w:vAlign w:val="center"/>
            <w:hideMark/>
          </w:tcPr>
          <w:p w14:paraId="5E8A210B" w14:textId="7A50A900" w:rsidR="007F6A49" w:rsidRPr="00005453" w:rsidRDefault="007F6A49" w:rsidP="007F6A49">
            <w:pPr>
              <w:jc w:val="right"/>
              <w:rPr>
                <w:color w:val="000000"/>
                <w:sz w:val="18"/>
                <w:szCs w:val="18"/>
                <w:lang w:eastAsia="tr-TR"/>
              </w:rPr>
            </w:pPr>
            <w:r w:rsidRPr="00005453">
              <w:rPr>
                <w:sz w:val="18"/>
                <w:szCs w:val="18"/>
              </w:rPr>
              <w:t>51,427,200</w:t>
            </w:r>
          </w:p>
        </w:tc>
        <w:tc>
          <w:tcPr>
            <w:tcW w:w="993" w:type="dxa"/>
            <w:tcBorders>
              <w:top w:val="nil"/>
              <w:left w:val="nil"/>
              <w:bottom w:val="nil"/>
              <w:right w:val="nil"/>
            </w:tcBorders>
            <w:shd w:val="clear" w:color="auto" w:fill="auto"/>
            <w:vAlign w:val="center"/>
            <w:hideMark/>
          </w:tcPr>
          <w:p w14:paraId="74227C28" w14:textId="0370553F" w:rsidR="007F6A49" w:rsidRPr="00005453" w:rsidRDefault="007F6A49" w:rsidP="007F6A49">
            <w:pPr>
              <w:jc w:val="right"/>
              <w:rPr>
                <w:color w:val="000000"/>
                <w:sz w:val="18"/>
                <w:szCs w:val="18"/>
                <w:lang w:eastAsia="tr-TR"/>
              </w:rPr>
            </w:pPr>
            <w:r w:rsidRPr="00005453">
              <w:rPr>
                <w:sz w:val="18"/>
                <w:szCs w:val="18"/>
              </w:rPr>
              <w:t>5,891,945</w:t>
            </w:r>
          </w:p>
        </w:tc>
        <w:tc>
          <w:tcPr>
            <w:tcW w:w="735" w:type="dxa"/>
            <w:tcBorders>
              <w:top w:val="nil"/>
              <w:left w:val="nil"/>
              <w:bottom w:val="nil"/>
              <w:right w:val="nil"/>
            </w:tcBorders>
            <w:shd w:val="clear" w:color="auto" w:fill="auto"/>
            <w:vAlign w:val="center"/>
            <w:hideMark/>
          </w:tcPr>
          <w:p w14:paraId="6A021093" w14:textId="07830943"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6C42D5F4" w14:textId="49070BBB" w:rsidR="007F6A49" w:rsidRPr="00005453" w:rsidRDefault="007F6A49" w:rsidP="007F6A49">
            <w:pPr>
              <w:jc w:val="right"/>
              <w:rPr>
                <w:color w:val="000000"/>
                <w:sz w:val="18"/>
                <w:szCs w:val="18"/>
                <w:lang w:eastAsia="tr-TR"/>
              </w:rPr>
            </w:pPr>
            <w:r w:rsidRPr="00005453">
              <w:rPr>
                <w:sz w:val="18"/>
                <w:szCs w:val="18"/>
              </w:rPr>
              <w:t>57,319,145</w:t>
            </w:r>
          </w:p>
        </w:tc>
      </w:tr>
      <w:tr w:rsidR="007F6A49" w:rsidRPr="00005453" w14:paraId="091BD5D1" w14:textId="77777777" w:rsidTr="001D00C5">
        <w:trPr>
          <w:gridAfter w:val="1"/>
          <w:divId w:val="372312367"/>
          <w:wAfter w:w="835" w:type="dxa"/>
          <w:trHeight w:val="130"/>
        </w:trPr>
        <w:tc>
          <w:tcPr>
            <w:tcW w:w="5103" w:type="dxa"/>
            <w:tcBorders>
              <w:top w:val="nil"/>
              <w:left w:val="nil"/>
              <w:bottom w:val="nil"/>
              <w:right w:val="nil"/>
            </w:tcBorders>
            <w:shd w:val="clear" w:color="auto" w:fill="auto"/>
            <w:noWrap/>
            <w:vAlign w:val="center"/>
            <w:hideMark/>
          </w:tcPr>
          <w:p w14:paraId="19152AFB" w14:textId="0026E5E2" w:rsidR="007F6A49" w:rsidRPr="00005453" w:rsidRDefault="007F6A49" w:rsidP="007F6A49">
            <w:pPr>
              <w:tabs>
                <w:tab w:val="left" w:pos="77"/>
              </w:tabs>
              <w:rPr>
                <w:color w:val="000000"/>
                <w:sz w:val="18"/>
                <w:szCs w:val="18"/>
                <w:lang w:eastAsia="tr-TR"/>
              </w:rPr>
            </w:pPr>
            <w:r w:rsidRPr="00005453">
              <w:rPr>
                <w:color w:val="000000"/>
                <w:sz w:val="18"/>
                <w:szCs w:val="18"/>
                <w:lang w:eastAsia="tr-TR"/>
              </w:rPr>
              <w:t xml:space="preserve">    Vadeli işlemler</w:t>
            </w:r>
          </w:p>
        </w:tc>
        <w:tc>
          <w:tcPr>
            <w:tcW w:w="2268" w:type="dxa"/>
            <w:tcBorders>
              <w:top w:val="nil"/>
              <w:left w:val="nil"/>
              <w:bottom w:val="nil"/>
              <w:right w:val="nil"/>
            </w:tcBorders>
            <w:shd w:val="clear" w:color="auto" w:fill="auto"/>
            <w:vAlign w:val="center"/>
            <w:hideMark/>
          </w:tcPr>
          <w:p w14:paraId="5C1EA52A" w14:textId="2E59EE36" w:rsidR="007F6A49" w:rsidRPr="00005453" w:rsidRDefault="007F6A49" w:rsidP="007F6A49">
            <w:pPr>
              <w:jc w:val="right"/>
              <w:rPr>
                <w:color w:val="000000"/>
                <w:sz w:val="18"/>
                <w:szCs w:val="18"/>
                <w:lang w:eastAsia="tr-TR"/>
              </w:rPr>
            </w:pPr>
            <w:r w:rsidRPr="00005453">
              <w:rPr>
                <w:sz w:val="18"/>
                <w:szCs w:val="18"/>
              </w:rPr>
              <w:t>-</w:t>
            </w:r>
          </w:p>
        </w:tc>
        <w:tc>
          <w:tcPr>
            <w:tcW w:w="993" w:type="dxa"/>
            <w:tcBorders>
              <w:top w:val="nil"/>
              <w:left w:val="nil"/>
              <w:bottom w:val="nil"/>
              <w:right w:val="nil"/>
            </w:tcBorders>
            <w:shd w:val="clear" w:color="auto" w:fill="auto"/>
            <w:vAlign w:val="center"/>
            <w:hideMark/>
          </w:tcPr>
          <w:p w14:paraId="1EB32F20" w14:textId="4B1448F6" w:rsidR="007F6A49" w:rsidRPr="00005453" w:rsidRDefault="007F6A49" w:rsidP="007F6A49">
            <w:pPr>
              <w:jc w:val="right"/>
              <w:rPr>
                <w:color w:val="000000"/>
                <w:sz w:val="18"/>
                <w:szCs w:val="18"/>
                <w:lang w:eastAsia="tr-TR"/>
              </w:rPr>
            </w:pPr>
            <w:r w:rsidRPr="00005453">
              <w:rPr>
                <w:sz w:val="18"/>
                <w:szCs w:val="18"/>
              </w:rPr>
              <w:t>111,442</w:t>
            </w:r>
          </w:p>
        </w:tc>
        <w:tc>
          <w:tcPr>
            <w:tcW w:w="735" w:type="dxa"/>
            <w:tcBorders>
              <w:top w:val="nil"/>
              <w:left w:val="nil"/>
              <w:bottom w:val="nil"/>
              <w:right w:val="nil"/>
            </w:tcBorders>
            <w:shd w:val="clear" w:color="auto" w:fill="auto"/>
            <w:vAlign w:val="center"/>
            <w:hideMark/>
          </w:tcPr>
          <w:p w14:paraId="5B23A38F" w14:textId="643FD9CF"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014682FD" w14:textId="0093CF3E" w:rsidR="007F6A49" w:rsidRPr="00005453" w:rsidRDefault="007F6A49" w:rsidP="007F6A49">
            <w:pPr>
              <w:jc w:val="right"/>
              <w:rPr>
                <w:color w:val="000000"/>
                <w:sz w:val="18"/>
                <w:szCs w:val="18"/>
                <w:lang w:eastAsia="tr-TR"/>
              </w:rPr>
            </w:pPr>
            <w:r w:rsidRPr="00005453">
              <w:rPr>
                <w:sz w:val="18"/>
                <w:szCs w:val="18"/>
              </w:rPr>
              <w:t>111,442</w:t>
            </w:r>
          </w:p>
        </w:tc>
      </w:tr>
      <w:tr w:rsidR="007F6A49" w:rsidRPr="00005453" w14:paraId="59B7E0D9" w14:textId="77777777" w:rsidTr="001D00C5">
        <w:trPr>
          <w:gridAfter w:val="1"/>
          <w:divId w:val="372312367"/>
          <w:wAfter w:w="835" w:type="dxa"/>
          <w:trHeight w:val="147"/>
        </w:trPr>
        <w:tc>
          <w:tcPr>
            <w:tcW w:w="5103" w:type="dxa"/>
            <w:tcBorders>
              <w:top w:val="nil"/>
              <w:left w:val="nil"/>
              <w:bottom w:val="nil"/>
              <w:right w:val="nil"/>
            </w:tcBorders>
            <w:shd w:val="clear" w:color="auto" w:fill="auto"/>
            <w:noWrap/>
            <w:vAlign w:val="center"/>
            <w:hideMark/>
          </w:tcPr>
          <w:p w14:paraId="0BE6655B"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 xml:space="preserve">Swap işlemleri </w:t>
            </w:r>
          </w:p>
        </w:tc>
        <w:tc>
          <w:tcPr>
            <w:tcW w:w="2268" w:type="dxa"/>
            <w:tcBorders>
              <w:top w:val="nil"/>
              <w:left w:val="nil"/>
              <w:bottom w:val="nil"/>
              <w:right w:val="nil"/>
            </w:tcBorders>
            <w:shd w:val="clear" w:color="auto" w:fill="auto"/>
            <w:vAlign w:val="center"/>
            <w:hideMark/>
          </w:tcPr>
          <w:p w14:paraId="20CB1C67" w14:textId="4182265C" w:rsidR="007F6A49" w:rsidRPr="00005453" w:rsidRDefault="007F6A49" w:rsidP="007F6A49">
            <w:pPr>
              <w:jc w:val="right"/>
              <w:rPr>
                <w:color w:val="000000"/>
                <w:sz w:val="18"/>
                <w:szCs w:val="18"/>
                <w:lang w:eastAsia="tr-TR"/>
              </w:rPr>
            </w:pPr>
            <w:r w:rsidRPr="00005453">
              <w:rPr>
                <w:sz w:val="18"/>
                <w:szCs w:val="18"/>
              </w:rPr>
              <w:t>-</w:t>
            </w:r>
          </w:p>
        </w:tc>
        <w:tc>
          <w:tcPr>
            <w:tcW w:w="993" w:type="dxa"/>
            <w:tcBorders>
              <w:top w:val="nil"/>
              <w:left w:val="nil"/>
              <w:bottom w:val="nil"/>
              <w:right w:val="nil"/>
            </w:tcBorders>
            <w:shd w:val="clear" w:color="auto" w:fill="auto"/>
            <w:vAlign w:val="center"/>
            <w:hideMark/>
          </w:tcPr>
          <w:p w14:paraId="2B0D706D" w14:textId="3906710A" w:rsidR="007F6A49" w:rsidRPr="00005453" w:rsidRDefault="007F6A49" w:rsidP="007F6A49">
            <w:pPr>
              <w:jc w:val="right"/>
              <w:rPr>
                <w:color w:val="000000"/>
                <w:sz w:val="18"/>
                <w:szCs w:val="18"/>
                <w:lang w:eastAsia="tr-TR"/>
              </w:rPr>
            </w:pPr>
            <w:r w:rsidRPr="00005453">
              <w:rPr>
                <w:sz w:val="18"/>
                <w:szCs w:val="18"/>
              </w:rPr>
              <w:t>1,766,482</w:t>
            </w:r>
          </w:p>
        </w:tc>
        <w:tc>
          <w:tcPr>
            <w:tcW w:w="735" w:type="dxa"/>
            <w:tcBorders>
              <w:top w:val="nil"/>
              <w:left w:val="nil"/>
              <w:bottom w:val="nil"/>
              <w:right w:val="nil"/>
            </w:tcBorders>
            <w:shd w:val="clear" w:color="auto" w:fill="auto"/>
            <w:vAlign w:val="center"/>
            <w:hideMark/>
          </w:tcPr>
          <w:p w14:paraId="3D9ECEFE" w14:textId="472B54DD"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1077A9C0" w14:textId="64638005" w:rsidR="007F6A49" w:rsidRPr="00005453" w:rsidRDefault="007F6A49" w:rsidP="007F6A49">
            <w:pPr>
              <w:jc w:val="right"/>
              <w:rPr>
                <w:color w:val="000000"/>
                <w:sz w:val="18"/>
                <w:szCs w:val="18"/>
                <w:lang w:eastAsia="tr-TR"/>
              </w:rPr>
            </w:pPr>
            <w:r w:rsidRPr="00005453">
              <w:rPr>
                <w:sz w:val="18"/>
                <w:szCs w:val="18"/>
              </w:rPr>
              <w:t>1,766,482</w:t>
            </w:r>
          </w:p>
        </w:tc>
      </w:tr>
      <w:tr w:rsidR="007F6A49" w:rsidRPr="00005453" w14:paraId="534F2151" w14:textId="77777777" w:rsidTr="001D00C5">
        <w:trPr>
          <w:gridAfter w:val="1"/>
          <w:divId w:val="372312367"/>
          <w:wAfter w:w="835" w:type="dxa"/>
          <w:trHeight w:val="74"/>
        </w:trPr>
        <w:tc>
          <w:tcPr>
            <w:tcW w:w="5103" w:type="dxa"/>
            <w:tcBorders>
              <w:top w:val="nil"/>
              <w:left w:val="nil"/>
              <w:bottom w:val="nil"/>
              <w:right w:val="nil"/>
            </w:tcBorders>
            <w:shd w:val="clear" w:color="auto" w:fill="auto"/>
            <w:noWrap/>
            <w:vAlign w:val="center"/>
            <w:hideMark/>
          </w:tcPr>
          <w:p w14:paraId="7E39C436"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Devlet borçlanma senetleri</w:t>
            </w:r>
          </w:p>
        </w:tc>
        <w:tc>
          <w:tcPr>
            <w:tcW w:w="2268" w:type="dxa"/>
            <w:tcBorders>
              <w:top w:val="nil"/>
              <w:left w:val="nil"/>
              <w:bottom w:val="nil"/>
              <w:right w:val="nil"/>
            </w:tcBorders>
            <w:shd w:val="clear" w:color="auto" w:fill="auto"/>
            <w:vAlign w:val="center"/>
            <w:hideMark/>
          </w:tcPr>
          <w:p w14:paraId="09295497" w14:textId="58332292" w:rsidR="007F6A49" w:rsidRPr="00005453" w:rsidRDefault="007F6A49" w:rsidP="007F6A49">
            <w:pPr>
              <w:jc w:val="right"/>
              <w:rPr>
                <w:color w:val="000000"/>
                <w:sz w:val="18"/>
                <w:szCs w:val="18"/>
                <w:lang w:eastAsia="tr-TR"/>
              </w:rPr>
            </w:pPr>
            <w:r w:rsidRPr="00005453">
              <w:rPr>
                <w:sz w:val="18"/>
                <w:szCs w:val="18"/>
              </w:rPr>
              <w:t>32,695,161</w:t>
            </w:r>
          </w:p>
        </w:tc>
        <w:tc>
          <w:tcPr>
            <w:tcW w:w="993" w:type="dxa"/>
            <w:tcBorders>
              <w:top w:val="nil"/>
              <w:left w:val="nil"/>
              <w:bottom w:val="nil"/>
              <w:right w:val="nil"/>
            </w:tcBorders>
            <w:shd w:val="clear" w:color="auto" w:fill="auto"/>
            <w:vAlign w:val="center"/>
            <w:hideMark/>
          </w:tcPr>
          <w:p w14:paraId="119ED9D5" w14:textId="3CC22450" w:rsidR="007F6A49" w:rsidRPr="00005453" w:rsidRDefault="007F6A49" w:rsidP="007F6A49">
            <w:pPr>
              <w:jc w:val="right"/>
              <w:rPr>
                <w:color w:val="000000"/>
                <w:sz w:val="18"/>
                <w:szCs w:val="18"/>
                <w:lang w:eastAsia="tr-TR"/>
              </w:rPr>
            </w:pPr>
            <w:r w:rsidRPr="00005453">
              <w:rPr>
                <w:sz w:val="18"/>
                <w:szCs w:val="18"/>
              </w:rPr>
              <w:t>-</w:t>
            </w:r>
          </w:p>
        </w:tc>
        <w:tc>
          <w:tcPr>
            <w:tcW w:w="735" w:type="dxa"/>
            <w:tcBorders>
              <w:top w:val="nil"/>
              <w:left w:val="nil"/>
              <w:bottom w:val="nil"/>
              <w:right w:val="nil"/>
            </w:tcBorders>
            <w:shd w:val="clear" w:color="auto" w:fill="auto"/>
            <w:vAlign w:val="center"/>
            <w:hideMark/>
          </w:tcPr>
          <w:p w14:paraId="161783F8" w14:textId="7EF7F2C4"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1F2E6E6D" w14:textId="09294404" w:rsidR="007F6A49" w:rsidRPr="00005453" w:rsidRDefault="007F6A49" w:rsidP="007F6A49">
            <w:pPr>
              <w:jc w:val="right"/>
              <w:rPr>
                <w:color w:val="000000"/>
                <w:sz w:val="18"/>
                <w:szCs w:val="18"/>
                <w:lang w:eastAsia="tr-TR"/>
              </w:rPr>
            </w:pPr>
            <w:r w:rsidRPr="00005453">
              <w:rPr>
                <w:sz w:val="18"/>
                <w:szCs w:val="18"/>
              </w:rPr>
              <w:t>32,695,161</w:t>
            </w:r>
          </w:p>
        </w:tc>
      </w:tr>
      <w:tr w:rsidR="007F6A49" w:rsidRPr="00005453" w14:paraId="5EB367C3" w14:textId="77777777" w:rsidTr="001D00C5">
        <w:trPr>
          <w:gridAfter w:val="1"/>
          <w:divId w:val="372312367"/>
          <w:wAfter w:w="835" w:type="dxa"/>
          <w:trHeight w:val="196"/>
        </w:trPr>
        <w:tc>
          <w:tcPr>
            <w:tcW w:w="5103" w:type="dxa"/>
            <w:tcBorders>
              <w:top w:val="nil"/>
              <w:left w:val="nil"/>
              <w:bottom w:val="nil"/>
              <w:right w:val="nil"/>
            </w:tcBorders>
            <w:shd w:val="clear" w:color="auto" w:fill="auto"/>
            <w:noWrap/>
            <w:vAlign w:val="center"/>
            <w:hideMark/>
          </w:tcPr>
          <w:p w14:paraId="1DBDF27A"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Diğer menkul değerler</w:t>
            </w:r>
          </w:p>
        </w:tc>
        <w:tc>
          <w:tcPr>
            <w:tcW w:w="2268" w:type="dxa"/>
            <w:tcBorders>
              <w:top w:val="nil"/>
              <w:left w:val="nil"/>
              <w:bottom w:val="nil"/>
              <w:right w:val="nil"/>
            </w:tcBorders>
            <w:shd w:val="clear" w:color="auto" w:fill="auto"/>
            <w:vAlign w:val="center"/>
            <w:hideMark/>
          </w:tcPr>
          <w:p w14:paraId="1B0BE1D4" w14:textId="0F22F5D8" w:rsidR="007F6A49" w:rsidRPr="00005453" w:rsidRDefault="007F6A49" w:rsidP="007F6A49">
            <w:pPr>
              <w:jc w:val="right"/>
              <w:rPr>
                <w:color w:val="000000"/>
                <w:sz w:val="18"/>
                <w:szCs w:val="18"/>
                <w:lang w:eastAsia="tr-TR"/>
              </w:rPr>
            </w:pPr>
            <w:r w:rsidRPr="00005453">
              <w:rPr>
                <w:sz w:val="18"/>
                <w:szCs w:val="18"/>
              </w:rPr>
              <w:t>18,732,039</w:t>
            </w:r>
          </w:p>
        </w:tc>
        <w:tc>
          <w:tcPr>
            <w:tcW w:w="993" w:type="dxa"/>
            <w:tcBorders>
              <w:top w:val="nil"/>
              <w:left w:val="nil"/>
              <w:bottom w:val="nil"/>
              <w:right w:val="nil"/>
            </w:tcBorders>
            <w:shd w:val="clear" w:color="auto" w:fill="auto"/>
            <w:vAlign w:val="center"/>
            <w:hideMark/>
          </w:tcPr>
          <w:p w14:paraId="31E33BA3" w14:textId="4B3E0F46" w:rsidR="007F6A49" w:rsidRPr="00005453" w:rsidRDefault="007F6A49" w:rsidP="007F6A49">
            <w:pPr>
              <w:jc w:val="right"/>
              <w:rPr>
                <w:color w:val="000000"/>
                <w:sz w:val="18"/>
                <w:szCs w:val="18"/>
                <w:lang w:eastAsia="tr-TR"/>
              </w:rPr>
            </w:pPr>
            <w:r w:rsidRPr="00005453">
              <w:rPr>
                <w:sz w:val="18"/>
                <w:szCs w:val="18"/>
              </w:rPr>
              <w:t>4,014,021</w:t>
            </w:r>
          </w:p>
        </w:tc>
        <w:tc>
          <w:tcPr>
            <w:tcW w:w="735" w:type="dxa"/>
            <w:tcBorders>
              <w:top w:val="nil"/>
              <w:left w:val="nil"/>
              <w:bottom w:val="nil"/>
              <w:right w:val="nil"/>
            </w:tcBorders>
            <w:shd w:val="clear" w:color="auto" w:fill="auto"/>
            <w:vAlign w:val="center"/>
            <w:hideMark/>
          </w:tcPr>
          <w:p w14:paraId="7573A9D6" w14:textId="26DCC5ED"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71477DD6" w14:textId="7EA1D23C" w:rsidR="007F6A49" w:rsidRPr="00005453" w:rsidRDefault="007F6A49" w:rsidP="007F6A49">
            <w:pPr>
              <w:jc w:val="right"/>
              <w:rPr>
                <w:color w:val="000000"/>
                <w:sz w:val="18"/>
                <w:szCs w:val="18"/>
                <w:lang w:eastAsia="tr-TR"/>
              </w:rPr>
            </w:pPr>
            <w:r w:rsidRPr="00005453">
              <w:rPr>
                <w:sz w:val="18"/>
                <w:szCs w:val="18"/>
              </w:rPr>
              <w:t>22,746,060</w:t>
            </w:r>
          </w:p>
        </w:tc>
      </w:tr>
      <w:tr w:rsidR="00B21A31" w:rsidRPr="00005453" w14:paraId="2A9EC53F" w14:textId="77777777" w:rsidTr="001D00C5">
        <w:trPr>
          <w:gridAfter w:val="1"/>
          <w:divId w:val="372312367"/>
          <w:wAfter w:w="835" w:type="dxa"/>
          <w:trHeight w:val="74"/>
        </w:trPr>
        <w:tc>
          <w:tcPr>
            <w:tcW w:w="5103" w:type="dxa"/>
            <w:tcBorders>
              <w:top w:val="nil"/>
              <w:left w:val="nil"/>
              <w:bottom w:val="nil"/>
              <w:right w:val="nil"/>
            </w:tcBorders>
            <w:shd w:val="clear" w:color="auto" w:fill="auto"/>
            <w:vAlign w:val="center"/>
            <w:hideMark/>
          </w:tcPr>
          <w:p w14:paraId="23A088C5" w14:textId="77777777" w:rsidR="00B21A31" w:rsidRPr="00005453" w:rsidRDefault="00B21A31" w:rsidP="00B21A31">
            <w:pPr>
              <w:jc w:val="right"/>
              <w:rPr>
                <w:color w:val="000000"/>
                <w:sz w:val="10"/>
                <w:szCs w:val="10"/>
                <w:lang w:eastAsia="tr-TR"/>
              </w:rPr>
            </w:pPr>
          </w:p>
        </w:tc>
        <w:tc>
          <w:tcPr>
            <w:tcW w:w="2268" w:type="dxa"/>
            <w:tcBorders>
              <w:top w:val="nil"/>
              <w:left w:val="nil"/>
              <w:bottom w:val="nil"/>
              <w:right w:val="nil"/>
            </w:tcBorders>
            <w:shd w:val="clear" w:color="auto" w:fill="auto"/>
            <w:vAlign w:val="center"/>
            <w:hideMark/>
          </w:tcPr>
          <w:p w14:paraId="60ABBABE" w14:textId="77777777" w:rsidR="00B21A31" w:rsidRPr="00005453" w:rsidRDefault="00B21A31" w:rsidP="00B21A31">
            <w:pPr>
              <w:rPr>
                <w:sz w:val="10"/>
                <w:szCs w:val="10"/>
                <w:lang w:eastAsia="tr-TR"/>
              </w:rPr>
            </w:pPr>
          </w:p>
        </w:tc>
        <w:tc>
          <w:tcPr>
            <w:tcW w:w="993" w:type="dxa"/>
            <w:tcBorders>
              <w:top w:val="nil"/>
              <w:left w:val="nil"/>
              <w:bottom w:val="nil"/>
              <w:right w:val="nil"/>
            </w:tcBorders>
            <w:shd w:val="clear" w:color="auto" w:fill="auto"/>
            <w:vAlign w:val="center"/>
            <w:hideMark/>
          </w:tcPr>
          <w:p w14:paraId="3727E84F" w14:textId="77777777" w:rsidR="00B21A31" w:rsidRPr="00005453" w:rsidRDefault="00B21A31" w:rsidP="00B21A31">
            <w:pPr>
              <w:ind w:firstLineChars="100" w:firstLine="100"/>
              <w:jc w:val="right"/>
              <w:rPr>
                <w:sz w:val="10"/>
                <w:szCs w:val="10"/>
                <w:lang w:eastAsia="tr-TR"/>
              </w:rPr>
            </w:pPr>
          </w:p>
        </w:tc>
        <w:tc>
          <w:tcPr>
            <w:tcW w:w="735" w:type="dxa"/>
            <w:tcBorders>
              <w:top w:val="nil"/>
              <w:left w:val="nil"/>
              <w:bottom w:val="nil"/>
              <w:right w:val="nil"/>
            </w:tcBorders>
            <w:shd w:val="clear" w:color="auto" w:fill="auto"/>
            <w:vAlign w:val="center"/>
            <w:hideMark/>
          </w:tcPr>
          <w:p w14:paraId="1107FE03" w14:textId="77777777" w:rsidR="00B21A31" w:rsidRPr="00005453" w:rsidRDefault="00B21A31" w:rsidP="00B21A31">
            <w:pPr>
              <w:ind w:firstLineChars="100" w:firstLine="100"/>
              <w:jc w:val="right"/>
              <w:rPr>
                <w:sz w:val="10"/>
                <w:szCs w:val="10"/>
                <w:lang w:eastAsia="tr-TR"/>
              </w:rPr>
            </w:pPr>
          </w:p>
        </w:tc>
        <w:tc>
          <w:tcPr>
            <w:tcW w:w="824" w:type="dxa"/>
            <w:tcBorders>
              <w:top w:val="nil"/>
              <w:left w:val="nil"/>
              <w:bottom w:val="nil"/>
              <w:right w:val="nil"/>
            </w:tcBorders>
            <w:shd w:val="clear" w:color="auto" w:fill="auto"/>
            <w:vAlign w:val="center"/>
            <w:hideMark/>
          </w:tcPr>
          <w:p w14:paraId="7AA86E5C" w14:textId="77777777" w:rsidR="00B21A31" w:rsidRPr="00005453" w:rsidRDefault="00B21A31" w:rsidP="00B21A31">
            <w:pPr>
              <w:ind w:firstLineChars="100" w:firstLine="100"/>
              <w:jc w:val="right"/>
              <w:rPr>
                <w:sz w:val="10"/>
                <w:szCs w:val="10"/>
                <w:lang w:eastAsia="tr-TR"/>
              </w:rPr>
            </w:pPr>
          </w:p>
        </w:tc>
      </w:tr>
      <w:tr w:rsidR="007F6A49" w:rsidRPr="00005453" w14:paraId="7F069044" w14:textId="77777777" w:rsidTr="001D00C5">
        <w:trPr>
          <w:gridAfter w:val="1"/>
          <w:divId w:val="372312367"/>
          <w:wAfter w:w="835" w:type="dxa"/>
          <w:trHeight w:val="74"/>
        </w:trPr>
        <w:tc>
          <w:tcPr>
            <w:tcW w:w="5103" w:type="dxa"/>
            <w:tcBorders>
              <w:top w:val="nil"/>
              <w:left w:val="nil"/>
              <w:bottom w:val="nil"/>
              <w:right w:val="nil"/>
            </w:tcBorders>
            <w:shd w:val="clear" w:color="auto" w:fill="auto"/>
            <w:noWrap/>
            <w:vAlign w:val="center"/>
            <w:hideMark/>
          </w:tcPr>
          <w:p w14:paraId="2801C540" w14:textId="3C94BF80" w:rsidR="007F6A49" w:rsidRPr="00005453" w:rsidRDefault="007F6A49" w:rsidP="007F6A49">
            <w:pPr>
              <w:rPr>
                <w:color w:val="000000"/>
                <w:sz w:val="18"/>
                <w:szCs w:val="18"/>
                <w:lang w:eastAsia="tr-TR"/>
              </w:rPr>
            </w:pPr>
            <w:r w:rsidRPr="00005453">
              <w:rPr>
                <w:color w:val="000000"/>
                <w:sz w:val="18"/>
                <w:szCs w:val="18"/>
                <w:lang w:eastAsia="tr-TR"/>
              </w:rPr>
              <w:t>Gerçeğe uygun değer farkı diğer kapsamlı gelire yansıtılan finansal varlıklar</w:t>
            </w:r>
          </w:p>
        </w:tc>
        <w:tc>
          <w:tcPr>
            <w:tcW w:w="2268" w:type="dxa"/>
            <w:tcBorders>
              <w:top w:val="nil"/>
              <w:left w:val="nil"/>
              <w:bottom w:val="nil"/>
              <w:right w:val="nil"/>
            </w:tcBorders>
            <w:shd w:val="clear" w:color="auto" w:fill="auto"/>
            <w:vAlign w:val="center"/>
            <w:hideMark/>
          </w:tcPr>
          <w:p w14:paraId="66F8E70A" w14:textId="3FB4AE2E" w:rsidR="007F6A49" w:rsidRPr="00005453" w:rsidRDefault="007F6A49" w:rsidP="007F6A49">
            <w:pPr>
              <w:jc w:val="right"/>
              <w:rPr>
                <w:color w:val="000000"/>
                <w:sz w:val="18"/>
                <w:szCs w:val="18"/>
                <w:lang w:eastAsia="tr-TR"/>
              </w:rPr>
            </w:pPr>
            <w:r w:rsidRPr="00005453">
              <w:rPr>
                <w:sz w:val="18"/>
                <w:szCs w:val="18"/>
              </w:rPr>
              <w:t>54,701,415</w:t>
            </w:r>
          </w:p>
        </w:tc>
        <w:tc>
          <w:tcPr>
            <w:tcW w:w="993" w:type="dxa"/>
            <w:tcBorders>
              <w:top w:val="nil"/>
              <w:left w:val="nil"/>
              <w:bottom w:val="nil"/>
              <w:right w:val="nil"/>
            </w:tcBorders>
            <w:shd w:val="clear" w:color="auto" w:fill="auto"/>
            <w:vAlign w:val="center"/>
            <w:hideMark/>
          </w:tcPr>
          <w:p w14:paraId="75C44CB6" w14:textId="118AE305" w:rsidR="007F6A49" w:rsidRPr="00005453" w:rsidRDefault="007F6A49" w:rsidP="007F6A49">
            <w:pPr>
              <w:jc w:val="right"/>
              <w:rPr>
                <w:color w:val="000000"/>
                <w:sz w:val="18"/>
                <w:szCs w:val="18"/>
                <w:lang w:eastAsia="tr-TR"/>
              </w:rPr>
            </w:pPr>
            <w:r w:rsidRPr="00005453">
              <w:rPr>
                <w:sz w:val="18"/>
                <w:szCs w:val="18"/>
              </w:rPr>
              <w:t>591,972</w:t>
            </w:r>
          </w:p>
        </w:tc>
        <w:tc>
          <w:tcPr>
            <w:tcW w:w="735" w:type="dxa"/>
            <w:tcBorders>
              <w:top w:val="nil"/>
              <w:left w:val="nil"/>
              <w:bottom w:val="nil"/>
              <w:right w:val="nil"/>
            </w:tcBorders>
            <w:shd w:val="clear" w:color="auto" w:fill="auto"/>
            <w:vAlign w:val="center"/>
            <w:hideMark/>
          </w:tcPr>
          <w:p w14:paraId="06BFD968" w14:textId="1833F529"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090424DB" w14:textId="1C50DE2B" w:rsidR="007F6A49" w:rsidRPr="00005453" w:rsidRDefault="007F6A49" w:rsidP="007F6A49">
            <w:pPr>
              <w:jc w:val="right"/>
              <w:rPr>
                <w:color w:val="000000"/>
                <w:sz w:val="18"/>
                <w:szCs w:val="18"/>
                <w:lang w:eastAsia="tr-TR"/>
              </w:rPr>
            </w:pPr>
            <w:r w:rsidRPr="00005453">
              <w:rPr>
                <w:sz w:val="18"/>
                <w:szCs w:val="18"/>
              </w:rPr>
              <w:t>55,293,387</w:t>
            </w:r>
          </w:p>
        </w:tc>
      </w:tr>
      <w:tr w:rsidR="007F6A49" w:rsidRPr="00005453" w14:paraId="63A14F6C" w14:textId="77777777" w:rsidTr="001D00C5">
        <w:trPr>
          <w:gridAfter w:val="1"/>
          <w:divId w:val="372312367"/>
          <w:wAfter w:w="835" w:type="dxa"/>
          <w:trHeight w:val="74"/>
        </w:trPr>
        <w:tc>
          <w:tcPr>
            <w:tcW w:w="5103" w:type="dxa"/>
            <w:tcBorders>
              <w:top w:val="nil"/>
              <w:left w:val="nil"/>
              <w:bottom w:val="nil"/>
              <w:right w:val="nil"/>
            </w:tcBorders>
            <w:shd w:val="clear" w:color="auto" w:fill="auto"/>
            <w:noWrap/>
            <w:vAlign w:val="center"/>
            <w:hideMark/>
          </w:tcPr>
          <w:p w14:paraId="39D96F13"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Sermayede payı temsil eden menkul değerler</w:t>
            </w:r>
          </w:p>
        </w:tc>
        <w:tc>
          <w:tcPr>
            <w:tcW w:w="2268" w:type="dxa"/>
            <w:tcBorders>
              <w:top w:val="nil"/>
              <w:left w:val="nil"/>
              <w:bottom w:val="nil"/>
              <w:right w:val="nil"/>
            </w:tcBorders>
            <w:shd w:val="clear" w:color="auto" w:fill="auto"/>
            <w:vAlign w:val="center"/>
            <w:hideMark/>
          </w:tcPr>
          <w:p w14:paraId="6586F4CE" w14:textId="6567DAE8" w:rsidR="007F6A49" w:rsidRPr="00005453" w:rsidRDefault="007F6A49" w:rsidP="007F6A49">
            <w:pPr>
              <w:jc w:val="right"/>
              <w:rPr>
                <w:color w:val="000000"/>
                <w:sz w:val="18"/>
                <w:szCs w:val="18"/>
                <w:lang w:eastAsia="tr-TR"/>
              </w:rPr>
            </w:pPr>
            <w:r w:rsidRPr="00005453">
              <w:rPr>
                <w:sz w:val="18"/>
                <w:szCs w:val="18"/>
              </w:rPr>
              <w:t>301,759</w:t>
            </w:r>
          </w:p>
        </w:tc>
        <w:tc>
          <w:tcPr>
            <w:tcW w:w="993" w:type="dxa"/>
            <w:tcBorders>
              <w:top w:val="nil"/>
              <w:left w:val="nil"/>
              <w:bottom w:val="nil"/>
              <w:right w:val="nil"/>
            </w:tcBorders>
            <w:shd w:val="clear" w:color="auto" w:fill="auto"/>
            <w:vAlign w:val="center"/>
            <w:hideMark/>
          </w:tcPr>
          <w:p w14:paraId="056A78ED" w14:textId="5C45D477" w:rsidR="007F6A49" w:rsidRPr="00005453" w:rsidRDefault="007F6A49" w:rsidP="007F6A49">
            <w:pPr>
              <w:jc w:val="right"/>
              <w:rPr>
                <w:color w:val="000000"/>
                <w:sz w:val="18"/>
                <w:szCs w:val="18"/>
                <w:lang w:eastAsia="tr-TR"/>
              </w:rPr>
            </w:pPr>
            <w:r w:rsidRPr="00005453">
              <w:rPr>
                <w:sz w:val="18"/>
                <w:szCs w:val="18"/>
              </w:rPr>
              <w:t>-</w:t>
            </w:r>
          </w:p>
        </w:tc>
        <w:tc>
          <w:tcPr>
            <w:tcW w:w="735" w:type="dxa"/>
            <w:tcBorders>
              <w:top w:val="nil"/>
              <w:left w:val="nil"/>
              <w:bottom w:val="nil"/>
              <w:right w:val="nil"/>
            </w:tcBorders>
            <w:shd w:val="clear" w:color="auto" w:fill="auto"/>
            <w:vAlign w:val="center"/>
            <w:hideMark/>
          </w:tcPr>
          <w:p w14:paraId="60ADD9C3" w14:textId="7DF4BF6E"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0887FA7D" w14:textId="3160D5E0" w:rsidR="007F6A49" w:rsidRPr="00005453" w:rsidRDefault="007F6A49" w:rsidP="007F6A49">
            <w:pPr>
              <w:jc w:val="right"/>
              <w:rPr>
                <w:color w:val="000000"/>
                <w:sz w:val="18"/>
                <w:szCs w:val="18"/>
                <w:lang w:eastAsia="tr-TR"/>
              </w:rPr>
            </w:pPr>
            <w:r w:rsidRPr="00005453">
              <w:rPr>
                <w:sz w:val="18"/>
                <w:szCs w:val="18"/>
              </w:rPr>
              <w:t>301,759</w:t>
            </w:r>
          </w:p>
        </w:tc>
      </w:tr>
      <w:tr w:rsidR="007F6A49" w:rsidRPr="00005453" w14:paraId="4AF36C61" w14:textId="77777777" w:rsidTr="001D00C5">
        <w:trPr>
          <w:gridAfter w:val="1"/>
          <w:divId w:val="372312367"/>
          <w:wAfter w:w="835" w:type="dxa"/>
          <w:trHeight w:val="92"/>
        </w:trPr>
        <w:tc>
          <w:tcPr>
            <w:tcW w:w="5103" w:type="dxa"/>
            <w:tcBorders>
              <w:top w:val="nil"/>
              <w:left w:val="nil"/>
              <w:bottom w:val="nil"/>
              <w:right w:val="nil"/>
            </w:tcBorders>
            <w:shd w:val="clear" w:color="auto" w:fill="auto"/>
            <w:noWrap/>
            <w:vAlign w:val="center"/>
            <w:hideMark/>
          </w:tcPr>
          <w:p w14:paraId="3E70BD0C"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Devlet borçlanma senetleri</w:t>
            </w:r>
          </w:p>
        </w:tc>
        <w:tc>
          <w:tcPr>
            <w:tcW w:w="2268" w:type="dxa"/>
            <w:tcBorders>
              <w:top w:val="nil"/>
              <w:left w:val="nil"/>
              <w:bottom w:val="nil"/>
              <w:right w:val="nil"/>
            </w:tcBorders>
            <w:shd w:val="clear" w:color="auto" w:fill="auto"/>
            <w:vAlign w:val="center"/>
            <w:hideMark/>
          </w:tcPr>
          <w:p w14:paraId="061154E6" w14:textId="6AF9B00A" w:rsidR="007F6A49" w:rsidRPr="00005453" w:rsidRDefault="007F6A49" w:rsidP="007F6A49">
            <w:pPr>
              <w:jc w:val="right"/>
              <w:rPr>
                <w:color w:val="000000"/>
                <w:sz w:val="18"/>
                <w:szCs w:val="18"/>
                <w:lang w:eastAsia="tr-TR"/>
              </w:rPr>
            </w:pPr>
            <w:r w:rsidRPr="00005453">
              <w:rPr>
                <w:sz w:val="18"/>
                <w:szCs w:val="18"/>
              </w:rPr>
              <w:t>54,399,656</w:t>
            </w:r>
          </w:p>
        </w:tc>
        <w:tc>
          <w:tcPr>
            <w:tcW w:w="993" w:type="dxa"/>
            <w:tcBorders>
              <w:top w:val="nil"/>
              <w:left w:val="nil"/>
              <w:bottom w:val="nil"/>
              <w:right w:val="nil"/>
            </w:tcBorders>
            <w:shd w:val="clear" w:color="auto" w:fill="auto"/>
            <w:vAlign w:val="center"/>
            <w:hideMark/>
          </w:tcPr>
          <w:p w14:paraId="61F29F5E" w14:textId="07E35C48" w:rsidR="007F6A49" w:rsidRPr="00005453" w:rsidRDefault="007F6A49" w:rsidP="007F6A49">
            <w:pPr>
              <w:jc w:val="right"/>
              <w:rPr>
                <w:color w:val="000000"/>
                <w:sz w:val="18"/>
                <w:szCs w:val="18"/>
                <w:lang w:eastAsia="tr-TR"/>
              </w:rPr>
            </w:pPr>
            <w:r w:rsidRPr="00005453">
              <w:rPr>
                <w:sz w:val="18"/>
                <w:szCs w:val="18"/>
              </w:rPr>
              <w:t>-</w:t>
            </w:r>
          </w:p>
        </w:tc>
        <w:tc>
          <w:tcPr>
            <w:tcW w:w="735" w:type="dxa"/>
            <w:tcBorders>
              <w:top w:val="nil"/>
              <w:left w:val="nil"/>
              <w:bottom w:val="nil"/>
              <w:right w:val="nil"/>
            </w:tcBorders>
            <w:shd w:val="clear" w:color="auto" w:fill="auto"/>
            <w:vAlign w:val="center"/>
            <w:hideMark/>
          </w:tcPr>
          <w:p w14:paraId="33D8D29C" w14:textId="3857F852"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20146F02" w14:textId="21DE242D" w:rsidR="007F6A49" w:rsidRPr="00005453" w:rsidRDefault="007F6A49" w:rsidP="007F6A49">
            <w:pPr>
              <w:jc w:val="right"/>
              <w:rPr>
                <w:color w:val="000000"/>
                <w:sz w:val="18"/>
                <w:szCs w:val="18"/>
                <w:lang w:eastAsia="tr-TR"/>
              </w:rPr>
            </w:pPr>
            <w:r w:rsidRPr="00005453">
              <w:rPr>
                <w:sz w:val="18"/>
                <w:szCs w:val="18"/>
              </w:rPr>
              <w:t>54,399,656</w:t>
            </w:r>
          </w:p>
        </w:tc>
      </w:tr>
      <w:tr w:rsidR="007F6A49" w:rsidRPr="00005453" w14:paraId="69BCEC6C" w14:textId="77777777" w:rsidTr="001D00C5">
        <w:trPr>
          <w:gridAfter w:val="1"/>
          <w:divId w:val="372312367"/>
          <w:wAfter w:w="835" w:type="dxa"/>
          <w:trHeight w:val="74"/>
        </w:trPr>
        <w:tc>
          <w:tcPr>
            <w:tcW w:w="5103" w:type="dxa"/>
            <w:tcBorders>
              <w:top w:val="nil"/>
              <w:left w:val="nil"/>
              <w:bottom w:val="nil"/>
              <w:right w:val="nil"/>
            </w:tcBorders>
            <w:shd w:val="clear" w:color="auto" w:fill="auto"/>
            <w:noWrap/>
            <w:vAlign w:val="center"/>
            <w:hideMark/>
          </w:tcPr>
          <w:p w14:paraId="7791981B"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 xml:space="preserve">Diğer menkul değerler </w:t>
            </w:r>
          </w:p>
        </w:tc>
        <w:tc>
          <w:tcPr>
            <w:tcW w:w="2268" w:type="dxa"/>
            <w:tcBorders>
              <w:top w:val="nil"/>
              <w:left w:val="nil"/>
              <w:bottom w:val="nil"/>
              <w:right w:val="nil"/>
            </w:tcBorders>
            <w:shd w:val="clear" w:color="auto" w:fill="auto"/>
            <w:vAlign w:val="center"/>
            <w:hideMark/>
          </w:tcPr>
          <w:p w14:paraId="27853FF7" w14:textId="621EA9A3" w:rsidR="007F6A49" w:rsidRPr="00005453" w:rsidRDefault="007F6A49" w:rsidP="007F6A49">
            <w:pPr>
              <w:jc w:val="right"/>
              <w:rPr>
                <w:color w:val="000000"/>
                <w:sz w:val="18"/>
                <w:szCs w:val="18"/>
                <w:lang w:eastAsia="tr-TR"/>
              </w:rPr>
            </w:pPr>
            <w:r w:rsidRPr="00005453">
              <w:rPr>
                <w:sz w:val="18"/>
                <w:szCs w:val="18"/>
              </w:rPr>
              <w:t>-</w:t>
            </w:r>
          </w:p>
        </w:tc>
        <w:tc>
          <w:tcPr>
            <w:tcW w:w="993" w:type="dxa"/>
            <w:tcBorders>
              <w:top w:val="nil"/>
              <w:left w:val="nil"/>
              <w:bottom w:val="nil"/>
              <w:right w:val="nil"/>
            </w:tcBorders>
            <w:shd w:val="clear" w:color="auto" w:fill="auto"/>
            <w:vAlign w:val="center"/>
            <w:hideMark/>
          </w:tcPr>
          <w:p w14:paraId="3DF3BFD2" w14:textId="4D5EC382" w:rsidR="007F6A49" w:rsidRPr="00005453" w:rsidRDefault="007F6A49" w:rsidP="007F6A49">
            <w:pPr>
              <w:jc w:val="right"/>
              <w:rPr>
                <w:color w:val="000000"/>
                <w:sz w:val="18"/>
                <w:szCs w:val="18"/>
                <w:lang w:eastAsia="tr-TR"/>
              </w:rPr>
            </w:pPr>
            <w:r w:rsidRPr="00005453">
              <w:rPr>
                <w:sz w:val="18"/>
                <w:szCs w:val="18"/>
              </w:rPr>
              <w:t>591,972</w:t>
            </w:r>
          </w:p>
        </w:tc>
        <w:tc>
          <w:tcPr>
            <w:tcW w:w="735" w:type="dxa"/>
            <w:tcBorders>
              <w:top w:val="nil"/>
              <w:left w:val="nil"/>
              <w:bottom w:val="nil"/>
              <w:right w:val="nil"/>
            </w:tcBorders>
            <w:shd w:val="clear" w:color="auto" w:fill="auto"/>
            <w:vAlign w:val="center"/>
            <w:hideMark/>
          </w:tcPr>
          <w:p w14:paraId="4B12B401" w14:textId="477F1E47"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2790669A" w14:textId="72B971A4" w:rsidR="007F6A49" w:rsidRPr="00005453" w:rsidRDefault="007F6A49" w:rsidP="007F6A49">
            <w:pPr>
              <w:jc w:val="right"/>
              <w:rPr>
                <w:color w:val="000000"/>
                <w:sz w:val="18"/>
                <w:szCs w:val="18"/>
                <w:lang w:eastAsia="tr-TR"/>
              </w:rPr>
            </w:pPr>
            <w:r w:rsidRPr="00005453">
              <w:rPr>
                <w:sz w:val="18"/>
                <w:szCs w:val="18"/>
              </w:rPr>
              <w:t>591,972</w:t>
            </w:r>
          </w:p>
        </w:tc>
      </w:tr>
      <w:tr w:rsidR="00FA175B" w:rsidRPr="00005453" w14:paraId="77AA0F35" w14:textId="77777777" w:rsidTr="001D00C5">
        <w:trPr>
          <w:gridAfter w:val="1"/>
          <w:divId w:val="372312367"/>
          <w:wAfter w:w="835" w:type="dxa"/>
          <w:trHeight w:val="74"/>
        </w:trPr>
        <w:tc>
          <w:tcPr>
            <w:tcW w:w="5103" w:type="dxa"/>
            <w:tcBorders>
              <w:top w:val="nil"/>
              <w:left w:val="nil"/>
              <w:bottom w:val="nil"/>
              <w:right w:val="nil"/>
            </w:tcBorders>
            <w:shd w:val="clear" w:color="auto" w:fill="auto"/>
            <w:vAlign w:val="center"/>
            <w:hideMark/>
          </w:tcPr>
          <w:p w14:paraId="0FC6DA35" w14:textId="77777777" w:rsidR="00FA175B" w:rsidRPr="00005453" w:rsidRDefault="00FA175B" w:rsidP="00FA175B">
            <w:pPr>
              <w:jc w:val="right"/>
              <w:rPr>
                <w:color w:val="000000"/>
                <w:sz w:val="10"/>
                <w:szCs w:val="10"/>
                <w:lang w:eastAsia="tr-TR"/>
              </w:rPr>
            </w:pPr>
          </w:p>
        </w:tc>
        <w:tc>
          <w:tcPr>
            <w:tcW w:w="2268" w:type="dxa"/>
            <w:tcBorders>
              <w:top w:val="nil"/>
              <w:left w:val="nil"/>
              <w:bottom w:val="nil"/>
              <w:right w:val="nil"/>
            </w:tcBorders>
            <w:shd w:val="clear" w:color="auto" w:fill="auto"/>
            <w:vAlign w:val="center"/>
            <w:hideMark/>
          </w:tcPr>
          <w:p w14:paraId="5AADD71A" w14:textId="77777777" w:rsidR="00FA175B" w:rsidRPr="00005453" w:rsidRDefault="00FA175B" w:rsidP="00FA175B">
            <w:pPr>
              <w:rPr>
                <w:sz w:val="10"/>
                <w:szCs w:val="10"/>
                <w:lang w:eastAsia="tr-TR"/>
              </w:rPr>
            </w:pPr>
          </w:p>
        </w:tc>
        <w:tc>
          <w:tcPr>
            <w:tcW w:w="993" w:type="dxa"/>
            <w:tcBorders>
              <w:top w:val="nil"/>
              <w:left w:val="nil"/>
              <w:bottom w:val="nil"/>
              <w:right w:val="nil"/>
            </w:tcBorders>
            <w:shd w:val="clear" w:color="auto" w:fill="auto"/>
            <w:vAlign w:val="center"/>
            <w:hideMark/>
          </w:tcPr>
          <w:p w14:paraId="5A21F4F5" w14:textId="77777777" w:rsidR="00FA175B" w:rsidRPr="00005453" w:rsidRDefault="00FA175B" w:rsidP="00FA175B">
            <w:pPr>
              <w:ind w:firstLineChars="100" w:firstLine="100"/>
              <w:jc w:val="right"/>
              <w:rPr>
                <w:sz w:val="10"/>
                <w:szCs w:val="10"/>
                <w:lang w:eastAsia="tr-TR"/>
              </w:rPr>
            </w:pPr>
          </w:p>
        </w:tc>
        <w:tc>
          <w:tcPr>
            <w:tcW w:w="735" w:type="dxa"/>
            <w:tcBorders>
              <w:top w:val="nil"/>
              <w:left w:val="nil"/>
              <w:bottom w:val="nil"/>
              <w:right w:val="nil"/>
            </w:tcBorders>
            <w:shd w:val="clear" w:color="auto" w:fill="auto"/>
            <w:vAlign w:val="center"/>
            <w:hideMark/>
          </w:tcPr>
          <w:p w14:paraId="63BF4626" w14:textId="77777777" w:rsidR="00FA175B" w:rsidRPr="00005453" w:rsidRDefault="00FA175B" w:rsidP="00FA175B">
            <w:pPr>
              <w:ind w:firstLineChars="100" w:firstLine="100"/>
              <w:jc w:val="right"/>
              <w:rPr>
                <w:sz w:val="10"/>
                <w:szCs w:val="10"/>
                <w:lang w:eastAsia="tr-TR"/>
              </w:rPr>
            </w:pPr>
          </w:p>
        </w:tc>
        <w:tc>
          <w:tcPr>
            <w:tcW w:w="824" w:type="dxa"/>
            <w:tcBorders>
              <w:top w:val="nil"/>
              <w:left w:val="nil"/>
              <w:bottom w:val="nil"/>
              <w:right w:val="nil"/>
            </w:tcBorders>
            <w:shd w:val="clear" w:color="auto" w:fill="auto"/>
            <w:vAlign w:val="center"/>
            <w:hideMark/>
          </w:tcPr>
          <w:p w14:paraId="3BF31644" w14:textId="77777777" w:rsidR="00FA175B" w:rsidRPr="00005453" w:rsidRDefault="00FA175B" w:rsidP="00FA175B">
            <w:pPr>
              <w:ind w:firstLineChars="100" w:firstLine="100"/>
              <w:jc w:val="right"/>
              <w:rPr>
                <w:sz w:val="10"/>
                <w:szCs w:val="10"/>
                <w:lang w:eastAsia="tr-TR"/>
              </w:rPr>
            </w:pPr>
          </w:p>
        </w:tc>
      </w:tr>
      <w:tr w:rsidR="00FA175B" w:rsidRPr="00005453" w14:paraId="4C5F8490" w14:textId="5270432C" w:rsidTr="001D00C5">
        <w:trPr>
          <w:divId w:val="372312367"/>
          <w:trHeight w:val="98"/>
        </w:trPr>
        <w:tc>
          <w:tcPr>
            <w:tcW w:w="7371" w:type="dxa"/>
            <w:gridSpan w:val="2"/>
            <w:tcBorders>
              <w:top w:val="nil"/>
              <w:left w:val="nil"/>
              <w:bottom w:val="nil"/>
              <w:right w:val="nil"/>
            </w:tcBorders>
            <w:shd w:val="clear" w:color="auto" w:fill="auto"/>
            <w:noWrap/>
            <w:vAlign w:val="center"/>
            <w:hideMark/>
          </w:tcPr>
          <w:p w14:paraId="521662A8" w14:textId="77777777" w:rsidR="00FA175B" w:rsidRPr="00005453" w:rsidRDefault="00FA175B" w:rsidP="00FA175B">
            <w:pPr>
              <w:rPr>
                <w:b/>
                <w:bCs/>
                <w:color w:val="000000"/>
                <w:sz w:val="18"/>
                <w:szCs w:val="18"/>
                <w:lang w:eastAsia="tr-TR"/>
              </w:rPr>
            </w:pPr>
            <w:r w:rsidRPr="00005453">
              <w:rPr>
                <w:b/>
                <w:bCs/>
                <w:color w:val="000000"/>
                <w:sz w:val="18"/>
                <w:szCs w:val="18"/>
                <w:lang w:eastAsia="tr-TR"/>
              </w:rPr>
              <w:t>Finansal borçlar</w:t>
            </w:r>
          </w:p>
        </w:tc>
        <w:tc>
          <w:tcPr>
            <w:tcW w:w="993" w:type="dxa"/>
            <w:tcBorders>
              <w:top w:val="nil"/>
              <w:left w:val="nil"/>
              <w:bottom w:val="nil"/>
              <w:right w:val="nil"/>
            </w:tcBorders>
            <w:shd w:val="clear" w:color="auto" w:fill="auto"/>
            <w:vAlign w:val="center"/>
            <w:hideMark/>
          </w:tcPr>
          <w:p w14:paraId="3FD3B15B" w14:textId="77777777" w:rsidR="00FA175B" w:rsidRPr="00005453" w:rsidRDefault="00FA175B" w:rsidP="00FA175B">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3747C03C" w14:textId="77777777" w:rsidR="00FA175B" w:rsidRPr="00005453" w:rsidRDefault="00FA175B" w:rsidP="00FA175B">
            <w:pPr>
              <w:ind w:firstLineChars="200" w:firstLine="360"/>
              <w:jc w:val="right"/>
              <w:rPr>
                <w:sz w:val="18"/>
                <w:szCs w:val="18"/>
                <w:lang w:eastAsia="tr-TR"/>
              </w:rPr>
            </w:pPr>
          </w:p>
        </w:tc>
        <w:tc>
          <w:tcPr>
            <w:tcW w:w="824" w:type="dxa"/>
            <w:tcBorders>
              <w:top w:val="nil"/>
              <w:left w:val="nil"/>
              <w:bottom w:val="nil"/>
              <w:right w:val="nil"/>
            </w:tcBorders>
            <w:shd w:val="clear" w:color="auto" w:fill="auto"/>
            <w:vAlign w:val="center"/>
            <w:hideMark/>
          </w:tcPr>
          <w:p w14:paraId="56A67EE9" w14:textId="77777777" w:rsidR="00FA175B" w:rsidRPr="00005453" w:rsidRDefault="00FA175B" w:rsidP="00FA175B">
            <w:pPr>
              <w:ind w:firstLineChars="200" w:firstLine="360"/>
              <w:jc w:val="right"/>
              <w:rPr>
                <w:sz w:val="18"/>
                <w:szCs w:val="18"/>
                <w:lang w:eastAsia="tr-TR"/>
              </w:rPr>
            </w:pPr>
          </w:p>
        </w:tc>
        <w:tc>
          <w:tcPr>
            <w:tcW w:w="835" w:type="dxa"/>
            <w:vAlign w:val="center"/>
          </w:tcPr>
          <w:p w14:paraId="37CDC8D3" w14:textId="77777777" w:rsidR="00FA175B" w:rsidRPr="00005453" w:rsidRDefault="00FA175B" w:rsidP="00FA175B">
            <w:pPr>
              <w:rPr>
                <w:sz w:val="18"/>
                <w:szCs w:val="18"/>
              </w:rPr>
            </w:pPr>
          </w:p>
        </w:tc>
      </w:tr>
      <w:tr w:rsidR="007F6A49" w:rsidRPr="00005453" w14:paraId="08B10228" w14:textId="77777777" w:rsidTr="001D00C5">
        <w:trPr>
          <w:gridAfter w:val="1"/>
          <w:divId w:val="372312367"/>
          <w:wAfter w:w="835" w:type="dxa"/>
          <w:trHeight w:val="101"/>
        </w:trPr>
        <w:tc>
          <w:tcPr>
            <w:tcW w:w="5103" w:type="dxa"/>
            <w:tcBorders>
              <w:top w:val="nil"/>
              <w:left w:val="nil"/>
              <w:bottom w:val="nil"/>
              <w:right w:val="nil"/>
            </w:tcBorders>
            <w:shd w:val="clear" w:color="auto" w:fill="auto"/>
            <w:noWrap/>
            <w:vAlign w:val="center"/>
            <w:hideMark/>
          </w:tcPr>
          <w:p w14:paraId="076D72F0" w14:textId="31836C32" w:rsidR="007F6A49" w:rsidRPr="00005453" w:rsidRDefault="007F6A49" w:rsidP="007F6A49">
            <w:pPr>
              <w:rPr>
                <w:color w:val="000000"/>
                <w:sz w:val="18"/>
                <w:szCs w:val="18"/>
                <w:lang w:eastAsia="tr-TR"/>
              </w:rPr>
            </w:pPr>
            <w:r w:rsidRPr="00005453">
              <w:rPr>
                <w:color w:val="000000"/>
                <w:sz w:val="18"/>
                <w:szCs w:val="18"/>
                <w:lang w:eastAsia="tr-TR"/>
              </w:rPr>
              <w:t>Gerçeğe uygun değer farkı kâr/zarara yansıtılan finansal borçlar</w:t>
            </w:r>
          </w:p>
        </w:tc>
        <w:tc>
          <w:tcPr>
            <w:tcW w:w="2268" w:type="dxa"/>
            <w:tcBorders>
              <w:top w:val="nil"/>
              <w:left w:val="nil"/>
              <w:bottom w:val="nil"/>
              <w:right w:val="nil"/>
            </w:tcBorders>
            <w:shd w:val="clear" w:color="auto" w:fill="auto"/>
            <w:vAlign w:val="center"/>
            <w:hideMark/>
          </w:tcPr>
          <w:p w14:paraId="0CDF26E0" w14:textId="7AE23FF1" w:rsidR="007F6A49" w:rsidRPr="00005453" w:rsidRDefault="007F6A49" w:rsidP="007F6A49">
            <w:pPr>
              <w:jc w:val="right"/>
              <w:rPr>
                <w:color w:val="000000"/>
                <w:sz w:val="18"/>
                <w:szCs w:val="18"/>
                <w:lang w:eastAsia="tr-TR"/>
              </w:rPr>
            </w:pPr>
            <w:r w:rsidRPr="00005453">
              <w:rPr>
                <w:sz w:val="18"/>
                <w:szCs w:val="18"/>
              </w:rPr>
              <w:t>-</w:t>
            </w:r>
          </w:p>
        </w:tc>
        <w:tc>
          <w:tcPr>
            <w:tcW w:w="993" w:type="dxa"/>
            <w:tcBorders>
              <w:top w:val="nil"/>
              <w:left w:val="nil"/>
              <w:bottom w:val="nil"/>
              <w:right w:val="nil"/>
            </w:tcBorders>
            <w:shd w:val="clear" w:color="auto" w:fill="auto"/>
            <w:vAlign w:val="center"/>
            <w:hideMark/>
          </w:tcPr>
          <w:p w14:paraId="67E31000" w14:textId="54BC052D" w:rsidR="007F6A49" w:rsidRPr="00005453" w:rsidRDefault="007F6A49" w:rsidP="007F6A49">
            <w:pPr>
              <w:jc w:val="right"/>
              <w:rPr>
                <w:color w:val="000000"/>
                <w:sz w:val="18"/>
                <w:szCs w:val="18"/>
                <w:lang w:eastAsia="tr-TR"/>
              </w:rPr>
            </w:pPr>
            <w:r w:rsidRPr="00005453">
              <w:rPr>
                <w:sz w:val="18"/>
                <w:szCs w:val="18"/>
              </w:rPr>
              <w:t>977,799</w:t>
            </w:r>
          </w:p>
        </w:tc>
        <w:tc>
          <w:tcPr>
            <w:tcW w:w="735" w:type="dxa"/>
            <w:tcBorders>
              <w:top w:val="nil"/>
              <w:left w:val="nil"/>
              <w:bottom w:val="nil"/>
              <w:right w:val="nil"/>
            </w:tcBorders>
            <w:shd w:val="clear" w:color="auto" w:fill="auto"/>
            <w:vAlign w:val="center"/>
            <w:hideMark/>
          </w:tcPr>
          <w:p w14:paraId="0CE9CBC9" w14:textId="4C1F6D3B"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003B9432" w14:textId="6CAE6120" w:rsidR="007F6A49" w:rsidRPr="00005453" w:rsidRDefault="007F6A49" w:rsidP="007F6A49">
            <w:pPr>
              <w:jc w:val="right"/>
              <w:rPr>
                <w:color w:val="000000"/>
                <w:sz w:val="18"/>
                <w:szCs w:val="18"/>
                <w:lang w:eastAsia="tr-TR"/>
              </w:rPr>
            </w:pPr>
            <w:r w:rsidRPr="00005453">
              <w:rPr>
                <w:sz w:val="18"/>
                <w:szCs w:val="18"/>
              </w:rPr>
              <w:t>977,799</w:t>
            </w:r>
          </w:p>
        </w:tc>
      </w:tr>
      <w:tr w:rsidR="007F6A49" w:rsidRPr="00005453" w14:paraId="0B03D839" w14:textId="77777777" w:rsidTr="001D00C5">
        <w:trPr>
          <w:gridAfter w:val="1"/>
          <w:divId w:val="372312367"/>
          <w:wAfter w:w="835" w:type="dxa"/>
          <w:trHeight w:val="76"/>
        </w:trPr>
        <w:tc>
          <w:tcPr>
            <w:tcW w:w="5103" w:type="dxa"/>
            <w:tcBorders>
              <w:top w:val="nil"/>
              <w:left w:val="nil"/>
              <w:bottom w:val="nil"/>
              <w:right w:val="nil"/>
            </w:tcBorders>
            <w:shd w:val="clear" w:color="auto" w:fill="auto"/>
            <w:noWrap/>
            <w:vAlign w:val="center"/>
            <w:hideMark/>
          </w:tcPr>
          <w:p w14:paraId="09AC70A8"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Vadeli işlemler</w:t>
            </w:r>
          </w:p>
        </w:tc>
        <w:tc>
          <w:tcPr>
            <w:tcW w:w="2268" w:type="dxa"/>
            <w:tcBorders>
              <w:top w:val="nil"/>
              <w:left w:val="nil"/>
              <w:bottom w:val="nil"/>
              <w:right w:val="nil"/>
            </w:tcBorders>
            <w:shd w:val="clear" w:color="auto" w:fill="auto"/>
            <w:vAlign w:val="center"/>
            <w:hideMark/>
          </w:tcPr>
          <w:p w14:paraId="376AA0C2" w14:textId="78D0E9A7" w:rsidR="007F6A49" w:rsidRPr="00005453" w:rsidRDefault="007F6A49" w:rsidP="007F6A49">
            <w:pPr>
              <w:jc w:val="right"/>
              <w:rPr>
                <w:color w:val="000000"/>
                <w:sz w:val="18"/>
                <w:szCs w:val="18"/>
                <w:lang w:eastAsia="tr-TR"/>
              </w:rPr>
            </w:pPr>
            <w:r w:rsidRPr="00005453">
              <w:rPr>
                <w:sz w:val="18"/>
                <w:szCs w:val="18"/>
              </w:rPr>
              <w:t>-</w:t>
            </w:r>
          </w:p>
        </w:tc>
        <w:tc>
          <w:tcPr>
            <w:tcW w:w="993" w:type="dxa"/>
            <w:tcBorders>
              <w:top w:val="nil"/>
              <w:left w:val="nil"/>
              <w:bottom w:val="nil"/>
              <w:right w:val="nil"/>
            </w:tcBorders>
            <w:shd w:val="clear" w:color="auto" w:fill="auto"/>
            <w:vAlign w:val="center"/>
            <w:hideMark/>
          </w:tcPr>
          <w:p w14:paraId="10A604DB" w14:textId="01A0B491" w:rsidR="007F6A49" w:rsidRPr="00005453" w:rsidRDefault="007F6A49" w:rsidP="007F6A49">
            <w:pPr>
              <w:jc w:val="right"/>
              <w:rPr>
                <w:color w:val="000000"/>
                <w:sz w:val="18"/>
                <w:szCs w:val="18"/>
                <w:lang w:eastAsia="tr-TR"/>
              </w:rPr>
            </w:pPr>
            <w:r w:rsidRPr="00005453">
              <w:rPr>
                <w:sz w:val="18"/>
                <w:szCs w:val="18"/>
              </w:rPr>
              <w:t>87,114</w:t>
            </w:r>
          </w:p>
        </w:tc>
        <w:tc>
          <w:tcPr>
            <w:tcW w:w="735" w:type="dxa"/>
            <w:tcBorders>
              <w:top w:val="nil"/>
              <w:left w:val="nil"/>
              <w:bottom w:val="nil"/>
              <w:right w:val="nil"/>
            </w:tcBorders>
            <w:shd w:val="clear" w:color="auto" w:fill="auto"/>
            <w:vAlign w:val="center"/>
            <w:hideMark/>
          </w:tcPr>
          <w:p w14:paraId="4C14F1FE" w14:textId="0D3BCCC3"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bottom w:val="nil"/>
              <w:right w:val="nil"/>
            </w:tcBorders>
            <w:shd w:val="clear" w:color="auto" w:fill="auto"/>
            <w:vAlign w:val="center"/>
            <w:hideMark/>
          </w:tcPr>
          <w:p w14:paraId="5A946C19" w14:textId="4A2AFD27" w:rsidR="007F6A49" w:rsidRPr="00005453" w:rsidRDefault="007F6A49" w:rsidP="007F6A49">
            <w:pPr>
              <w:jc w:val="right"/>
              <w:rPr>
                <w:color w:val="000000"/>
                <w:sz w:val="18"/>
                <w:szCs w:val="18"/>
                <w:lang w:eastAsia="tr-TR"/>
              </w:rPr>
            </w:pPr>
            <w:r w:rsidRPr="00005453">
              <w:rPr>
                <w:sz w:val="18"/>
                <w:szCs w:val="18"/>
              </w:rPr>
              <w:t>87,114</w:t>
            </w:r>
          </w:p>
        </w:tc>
      </w:tr>
      <w:tr w:rsidR="007F6A49" w:rsidRPr="00005453" w14:paraId="325F9A17" w14:textId="77777777" w:rsidTr="001D00C5">
        <w:trPr>
          <w:gridAfter w:val="1"/>
          <w:divId w:val="372312367"/>
          <w:wAfter w:w="835" w:type="dxa"/>
          <w:trHeight w:val="60"/>
        </w:trPr>
        <w:tc>
          <w:tcPr>
            <w:tcW w:w="5103" w:type="dxa"/>
            <w:tcBorders>
              <w:top w:val="nil"/>
              <w:left w:val="nil"/>
              <w:right w:val="nil"/>
            </w:tcBorders>
            <w:shd w:val="clear" w:color="auto" w:fill="auto"/>
            <w:noWrap/>
            <w:vAlign w:val="center"/>
            <w:hideMark/>
          </w:tcPr>
          <w:p w14:paraId="2D8AADB8"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 xml:space="preserve">Swap işlemleri </w:t>
            </w:r>
          </w:p>
        </w:tc>
        <w:tc>
          <w:tcPr>
            <w:tcW w:w="2268" w:type="dxa"/>
            <w:tcBorders>
              <w:top w:val="nil"/>
              <w:left w:val="nil"/>
              <w:right w:val="nil"/>
            </w:tcBorders>
            <w:shd w:val="clear" w:color="auto" w:fill="auto"/>
            <w:vAlign w:val="center"/>
            <w:hideMark/>
          </w:tcPr>
          <w:p w14:paraId="3C37295C" w14:textId="6E3E9BDE" w:rsidR="007F6A49" w:rsidRPr="00005453" w:rsidRDefault="007F6A49" w:rsidP="007F6A49">
            <w:pPr>
              <w:jc w:val="right"/>
              <w:rPr>
                <w:color w:val="000000"/>
                <w:sz w:val="18"/>
                <w:szCs w:val="18"/>
                <w:lang w:eastAsia="tr-TR"/>
              </w:rPr>
            </w:pPr>
            <w:r w:rsidRPr="00005453">
              <w:rPr>
                <w:sz w:val="18"/>
                <w:szCs w:val="18"/>
              </w:rPr>
              <w:t>-</w:t>
            </w:r>
          </w:p>
        </w:tc>
        <w:tc>
          <w:tcPr>
            <w:tcW w:w="993" w:type="dxa"/>
            <w:tcBorders>
              <w:top w:val="nil"/>
              <w:left w:val="nil"/>
              <w:right w:val="nil"/>
            </w:tcBorders>
            <w:shd w:val="clear" w:color="auto" w:fill="auto"/>
            <w:vAlign w:val="center"/>
            <w:hideMark/>
          </w:tcPr>
          <w:p w14:paraId="2B3A8D22" w14:textId="72EE7BF2" w:rsidR="007F6A49" w:rsidRPr="00005453" w:rsidRDefault="007F6A49" w:rsidP="007F6A49">
            <w:pPr>
              <w:jc w:val="right"/>
              <w:rPr>
                <w:color w:val="000000"/>
                <w:sz w:val="18"/>
                <w:szCs w:val="18"/>
                <w:lang w:eastAsia="tr-TR"/>
              </w:rPr>
            </w:pPr>
            <w:r w:rsidRPr="00005453">
              <w:rPr>
                <w:sz w:val="18"/>
                <w:szCs w:val="18"/>
              </w:rPr>
              <w:t>890,685</w:t>
            </w:r>
          </w:p>
        </w:tc>
        <w:tc>
          <w:tcPr>
            <w:tcW w:w="735" w:type="dxa"/>
            <w:tcBorders>
              <w:top w:val="nil"/>
              <w:left w:val="nil"/>
              <w:right w:val="nil"/>
            </w:tcBorders>
            <w:shd w:val="clear" w:color="auto" w:fill="auto"/>
            <w:vAlign w:val="center"/>
            <w:hideMark/>
          </w:tcPr>
          <w:p w14:paraId="00451B9C" w14:textId="4215ED1F" w:rsidR="007F6A49" w:rsidRPr="00005453" w:rsidRDefault="007F6A49" w:rsidP="007F6A49">
            <w:pPr>
              <w:jc w:val="right"/>
              <w:rPr>
                <w:color w:val="000000"/>
                <w:sz w:val="18"/>
                <w:szCs w:val="18"/>
                <w:lang w:eastAsia="tr-TR"/>
              </w:rPr>
            </w:pPr>
            <w:r w:rsidRPr="00005453">
              <w:rPr>
                <w:sz w:val="18"/>
                <w:szCs w:val="18"/>
              </w:rPr>
              <w:t>-</w:t>
            </w:r>
          </w:p>
        </w:tc>
        <w:tc>
          <w:tcPr>
            <w:tcW w:w="824" w:type="dxa"/>
            <w:tcBorders>
              <w:top w:val="nil"/>
              <w:left w:val="nil"/>
              <w:right w:val="nil"/>
            </w:tcBorders>
            <w:shd w:val="clear" w:color="auto" w:fill="auto"/>
            <w:vAlign w:val="center"/>
            <w:hideMark/>
          </w:tcPr>
          <w:p w14:paraId="7640E35F" w14:textId="5E36A1FD" w:rsidR="007F6A49" w:rsidRPr="00005453" w:rsidRDefault="007F6A49" w:rsidP="007F6A49">
            <w:pPr>
              <w:jc w:val="right"/>
              <w:rPr>
                <w:color w:val="000000"/>
                <w:sz w:val="18"/>
                <w:szCs w:val="18"/>
                <w:lang w:eastAsia="tr-TR"/>
              </w:rPr>
            </w:pPr>
            <w:r w:rsidRPr="00005453">
              <w:rPr>
                <w:sz w:val="18"/>
                <w:szCs w:val="18"/>
              </w:rPr>
              <w:t>890,685</w:t>
            </w:r>
          </w:p>
        </w:tc>
      </w:tr>
      <w:tr w:rsidR="007F6A49" w:rsidRPr="00005453" w14:paraId="32A3013D" w14:textId="77777777" w:rsidTr="001D00C5">
        <w:trPr>
          <w:gridAfter w:val="1"/>
          <w:divId w:val="372312367"/>
          <w:wAfter w:w="835" w:type="dxa"/>
          <w:trHeight w:val="63"/>
        </w:trPr>
        <w:tc>
          <w:tcPr>
            <w:tcW w:w="5103" w:type="dxa"/>
            <w:tcBorders>
              <w:top w:val="nil"/>
              <w:left w:val="nil"/>
              <w:bottom w:val="single" w:sz="8" w:space="0" w:color="auto"/>
              <w:right w:val="nil"/>
            </w:tcBorders>
            <w:shd w:val="clear" w:color="auto" w:fill="auto"/>
            <w:noWrap/>
            <w:vAlign w:val="center"/>
            <w:hideMark/>
          </w:tcPr>
          <w:p w14:paraId="18A73FD8" w14:textId="77777777" w:rsidR="007F6A49" w:rsidRPr="00005453" w:rsidRDefault="007F6A49" w:rsidP="007F6A49">
            <w:pPr>
              <w:ind w:firstLineChars="100" w:firstLine="180"/>
              <w:rPr>
                <w:color w:val="000000"/>
                <w:sz w:val="18"/>
                <w:szCs w:val="18"/>
                <w:lang w:eastAsia="tr-TR"/>
              </w:rPr>
            </w:pPr>
            <w:r w:rsidRPr="00005453">
              <w:rPr>
                <w:color w:val="000000"/>
                <w:sz w:val="18"/>
                <w:szCs w:val="18"/>
                <w:lang w:eastAsia="tr-TR"/>
              </w:rPr>
              <w:t>Riskten korunma amaçlı finansal borçlar</w:t>
            </w:r>
          </w:p>
        </w:tc>
        <w:tc>
          <w:tcPr>
            <w:tcW w:w="2268" w:type="dxa"/>
            <w:tcBorders>
              <w:top w:val="nil"/>
              <w:left w:val="nil"/>
              <w:bottom w:val="single" w:sz="8" w:space="0" w:color="auto"/>
              <w:right w:val="nil"/>
            </w:tcBorders>
            <w:shd w:val="clear" w:color="auto" w:fill="auto"/>
            <w:vAlign w:val="center"/>
            <w:hideMark/>
          </w:tcPr>
          <w:p w14:paraId="634912FD" w14:textId="4FAB3728" w:rsidR="007F6A49" w:rsidRPr="00005453" w:rsidRDefault="007F6A49" w:rsidP="007F6A49">
            <w:pPr>
              <w:jc w:val="right"/>
              <w:rPr>
                <w:color w:val="000000"/>
                <w:sz w:val="18"/>
                <w:szCs w:val="18"/>
                <w:lang w:eastAsia="tr-TR"/>
              </w:rPr>
            </w:pPr>
            <w:r w:rsidRPr="00005453">
              <w:rPr>
                <w:color w:val="000000"/>
                <w:sz w:val="18"/>
                <w:szCs w:val="18"/>
                <w:lang w:eastAsia="tr-TR"/>
              </w:rPr>
              <w:t>-</w:t>
            </w:r>
          </w:p>
        </w:tc>
        <w:tc>
          <w:tcPr>
            <w:tcW w:w="993" w:type="dxa"/>
            <w:tcBorders>
              <w:top w:val="nil"/>
              <w:left w:val="nil"/>
              <w:bottom w:val="single" w:sz="8" w:space="0" w:color="auto"/>
              <w:right w:val="nil"/>
            </w:tcBorders>
            <w:shd w:val="clear" w:color="auto" w:fill="auto"/>
            <w:vAlign w:val="center"/>
            <w:hideMark/>
          </w:tcPr>
          <w:p w14:paraId="056A65BB" w14:textId="3A7A1BC8" w:rsidR="007F6A49" w:rsidRPr="00005453" w:rsidRDefault="007F6A49" w:rsidP="007F6A49">
            <w:pPr>
              <w:jc w:val="right"/>
              <w:rPr>
                <w:color w:val="000000"/>
                <w:sz w:val="18"/>
                <w:szCs w:val="18"/>
                <w:lang w:eastAsia="tr-TR"/>
              </w:rPr>
            </w:pPr>
            <w:r w:rsidRPr="00005453">
              <w:rPr>
                <w:color w:val="000000"/>
                <w:sz w:val="18"/>
                <w:szCs w:val="18"/>
                <w:lang w:eastAsia="tr-TR"/>
              </w:rPr>
              <w:t>-</w:t>
            </w:r>
          </w:p>
        </w:tc>
        <w:tc>
          <w:tcPr>
            <w:tcW w:w="735" w:type="dxa"/>
            <w:tcBorders>
              <w:top w:val="nil"/>
              <w:left w:val="nil"/>
              <w:bottom w:val="single" w:sz="8" w:space="0" w:color="auto"/>
              <w:right w:val="nil"/>
            </w:tcBorders>
            <w:shd w:val="clear" w:color="auto" w:fill="auto"/>
            <w:vAlign w:val="center"/>
            <w:hideMark/>
          </w:tcPr>
          <w:p w14:paraId="5DCD6709" w14:textId="069A79FD" w:rsidR="007F6A49" w:rsidRPr="00005453" w:rsidRDefault="007F6A49" w:rsidP="007F6A49">
            <w:pPr>
              <w:jc w:val="right"/>
              <w:rPr>
                <w:color w:val="000000"/>
                <w:sz w:val="18"/>
                <w:szCs w:val="18"/>
                <w:lang w:eastAsia="tr-TR"/>
              </w:rPr>
            </w:pPr>
            <w:r w:rsidRPr="00005453">
              <w:rPr>
                <w:color w:val="000000"/>
                <w:sz w:val="18"/>
                <w:szCs w:val="18"/>
                <w:lang w:eastAsia="tr-TR"/>
              </w:rPr>
              <w:t>-</w:t>
            </w:r>
          </w:p>
        </w:tc>
        <w:tc>
          <w:tcPr>
            <w:tcW w:w="824" w:type="dxa"/>
            <w:tcBorders>
              <w:top w:val="nil"/>
              <w:left w:val="nil"/>
              <w:bottom w:val="single" w:sz="8" w:space="0" w:color="auto"/>
              <w:right w:val="nil"/>
            </w:tcBorders>
            <w:shd w:val="clear" w:color="auto" w:fill="auto"/>
            <w:vAlign w:val="center"/>
            <w:hideMark/>
          </w:tcPr>
          <w:p w14:paraId="2BF6B5A3" w14:textId="02A123AC" w:rsidR="007F6A49" w:rsidRPr="00005453" w:rsidRDefault="007F6A49" w:rsidP="007F6A49">
            <w:pPr>
              <w:jc w:val="right"/>
              <w:rPr>
                <w:color w:val="000000"/>
                <w:sz w:val="18"/>
                <w:szCs w:val="18"/>
                <w:lang w:eastAsia="tr-TR"/>
              </w:rPr>
            </w:pPr>
            <w:r w:rsidRPr="00005453">
              <w:rPr>
                <w:color w:val="000000"/>
                <w:sz w:val="18"/>
                <w:szCs w:val="18"/>
                <w:lang w:eastAsia="tr-TR"/>
              </w:rPr>
              <w:t>-</w:t>
            </w:r>
          </w:p>
        </w:tc>
      </w:tr>
    </w:tbl>
    <w:p w14:paraId="7B9D2EA0" w14:textId="570780C3" w:rsidR="00346550" w:rsidRPr="001D00C5" w:rsidRDefault="00346550" w:rsidP="00FB3FCF">
      <w:pPr>
        <w:autoSpaceDE w:val="0"/>
        <w:autoSpaceDN w:val="0"/>
        <w:adjustRightInd w:val="0"/>
        <w:spacing w:line="216" w:lineRule="auto"/>
        <w:rPr>
          <w:sz w:val="12"/>
          <w:lang w:val="en-GB" w:eastAsia="en-GB"/>
        </w:rPr>
      </w:pPr>
    </w:p>
    <w:p w14:paraId="02AD4045" w14:textId="4B8755EE" w:rsidR="00346550" w:rsidRPr="00005453" w:rsidRDefault="00FB3FCF" w:rsidP="00346550">
      <w:pPr>
        <w:tabs>
          <w:tab w:val="left" w:pos="709"/>
        </w:tabs>
        <w:autoSpaceDE w:val="0"/>
        <w:autoSpaceDN w:val="0"/>
        <w:adjustRightInd w:val="0"/>
        <w:spacing w:line="216" w:lineRule="auto"/>
        <w:rPr>
          <w:b/>
        </w:rPr>
      </w:pPr>
      <w:r w:rsidRPr="00005453">
        <w:rPr>
          <w:rFonts w:eastAsia="Arial Unicode MS"/>
          <w:sz w:val="18"/>
          <w:szCs w:val="18"/>
        </w:rPr>
        <w:t>Cari yıl içerisinde 1. ve 2. dereceler arasında yapılmış herhangi bir geçiş bulunmamaktadır.</w:t>
      </w:r>
      <w:r w:rsidR="00346550" w:rsidRPr="00005453">
        <w:rPr>
          <w:b/>
        </w:rPr>
        <w:br w:type="page"/>
      </w:r>
    </w:p>
    <w:p w14:paraId="064B9218" w14:textId="5B7DC2F6" w:rsidR="00343ADD" w:rsidRPr="00005453" w:rsidRDefault="00343ADD" w:rsidP="00343ADD">
      <w:pPr>
        <w:tabs>
          <w:tab w:val="left" w:pos="709"/>
        </w:tabs>
        <w:autoSpaceDE w:val="0"/>
        <w:autoSpaceDN w:val="0"/>
        <w:adjustRightInd w:val="0"/>
        <w:spacing w:line="216" w:lineRule="auto"/>
        <w:ind w:hanging="567"/>
        <w:rPr>
          <w:b/>
        </w:rPr>
      </w:pPr>
      <w:r w:rsidRPr="00005453">
        <w:rPr>
          <w:b/>
        </w:rPr>
        <w:lastRenderedPageBreak/>
        <w:t>14.</w:t>
      </w:r>
      <w:r w:rsidRPr="00005453">
        <w:rPr>
          <w:b/>
        </w:rPr>
        <w:tab/>
        <w:t>Faaliyet bölümlerine ilişkin açıklamalar</w:t>
      </w:r>
    </w:p>
    <w:p w14:paraId="1C305BC7" w14:textId="77777777" w:rsidR="00343ADD" w:rsidRPr="00005453" w:rsidRDefault="00343ADD" w:rsidP="00343ADD">
      <w:pPr>
        <w:autoSpaceDE w:val="0"/>
        <w:autoSpaceDN w:val="0"/>
        <w:adjustRightInd w:val="0"/>
        <w:spacing w:line="216" w:lineRule="auto"/>
        <w:ind w:hanging="720"/>
        <w:rPr>
          <w:rFonts w:eastAsia="Arial Unicode MS"/>
          <w:sz w:val="16"/>
          <w:szCs w:val="16"/>
        </w:rPr>
      </w:pPr>
    </w:p>
    <w:p w14:paraId="063DB434" w14:textId="77777777" w:rsidR="00343ADD" w:rsidRPr="00005453" w:rsidRDefault="00343ADD" w:rsidP="00343ADD">
      <w:pPr>
        <w:jc w:val="both"/>
        <w:rPr>
          <w:rFonts w:eastAsia="Arial Unicode MS"/>
        </w:rPr>
      </w:pPr>
      <w:r w:rsidRPr="00005453">
        <w:rPr>
          <w:rFonts w:eastAsia="Arial Unicode MS"/>
        </w:rPr>
        <w:t>Banka, Kurumsal ve Ticari Bankacılık, Bireysel Bankacılık, Hazine ve Uluslararası Bankacılık alanlarında faaliyette bulunmaktadır.</w:t>
      </w:r>
    </w:p>
    <w:p w14:paraId="0836F4FD" w14:textId="77777777" w:rsidR="00343ADD" w:rsidRPr="00005453" w:rsidRDefault="00343ADD" w:rsidP="00343ADD">
      <w:pPr>
        <w:jc w:val="both"/>
        <w:rPr>
          <w:rFonts w:eastAsia="Arial Unicode MS"/>
        </w:rPr>
      </w:pPr>
    </w:p>
    <w:p w14:paraId="3F6151AF" w14:textId="77777777" w:rsidR="00343ADD" w:rsidRPr="00005453" w:rsidRDefault="00343ADD" w:rsidP="00343ADD">
      <w:pPr>
        <w:jc w:val="both"/>
        <w:rPr>
          <w:rFonts w:eastAsia="Arial Unicode MS"/>
        </w:rPr>
      </w:pPr>
      <w:r w:rsidRPr="00005453">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005453">
        <w:rPr>
          <w:rFonts w:eastAsia="Arial Unicode MS"/>
        </w:rPr>
        <w:t>özel  nakit</w:t>
      </w:r>
      <w:proofErr w:type="gramEnd"/>
      <w:r w:rsidRPr="00005453">
        <w:rPr>
          <w:rFonts w:eastAsia="Arial Unicode MS"/>
        </w:rPr>
        <w:t xml:space="preserve"> akış ve finansman imkanları sunulmaktadır. Kurumsal ve Uluslararası Bankacılık ürünleri ile işletmelerin üretim </w:t>
      </w:r>
      <w:proofErr w:type="gramStart"/>
      <w:r w:rsidRPr="00005453">
        <w:rPr>
          <w:rFonts w:eastAsia="Arial Unicode MS"/>
        </w:rPr>
        <w:t>faaliyetlerinin  sürdürülebilirliklerine</w:t>
      </w:r>
      <w:proofErr w:type="gramEnd"/>
      <w:r w:rsidRPr="00005453">
        <w:rPr>
          <w:rFonts w:eastAsia="Arial Unicode MS"/>
        </w:rPr>
        <w:t xml:space="preserve"> hizmet edilerek, yurt içi-yurt dışı iş olanakları desteklenmektedir.</w:t>
      </w:r>
    </w:p>
    <w:p w14:paraId="13877883" w14:textId="77777777" w:rsidR="00343ADD" w:rsidRPr="00005453" w:rsidRDefault="00343ADD" w:rsidP="00343ADD">
      <w:pPr>
        <w:jc w:val="both"/>
        <w:rPr>
          <w:rFonts w:eastAsia="Arial Unicode MS"/>
        </w:rPr>
      </w:pPr>
    </w:p>
    <w:p w14:paraId="4F26F1C9" w14:textId="77777777" w:rsidR="00343ADD" w:rsidRPr="00005453" w:rsidRDefault="00343ADD" w:rsidP="00343ADD">
      <w:pPr>
        <w:jc w:val="both"/>
        <w:rPr>
          <w:rFonts w:eastAsia="Arial Unicode MS"/>
        </w:rPr>
      </w:pPr>
      <w:r w:rsidRPr="00005453">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24168EB4" w14:textId="77777777" w:rsidR="00343ADD" w:rsidRPr="00005453" w:rsidRDefault="00343ADD" w:rsidP="00343ADD">
      <w:pPr>
        <w:jc w:val="both"/>
        <w:rPr>
          <w:rFonts w:eastAsia="Arial Unicode MS"/>
        </w:rPr>
      </w:pPr>
    </w:p>
    <w:p w14:paraId="106D4B56" w14:textId="77777777" w:rsidR="00343ADD" w:rsidRPr="00005453" w:rsidRDefault="00343ADD" w:rsidP="00343ADD">
      <w:pPr>
        <w:jc w:val="both"/>
        <w:rPr>
          <w:rFonts w:eastAsia="Arial Unicode MS"/>
        </w:rPr>
      </w:pPr>
      <w:r w:rsidRPr="00005453">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AB48980" w14:textId="3BA01022" w:rsidR="00F233D1" w:rsidRPr="00005453" w:rsidRDefault="00F233D1" w:rsidP="00134A72">
      <w:pPr>
        <w:autoSpaceDE w:val="0"/>
        <w:autoSpaceDN w:val="0"/>
        <w:adjustRightInd w:val="0"/>
        <w:rPr>
          <w:rFonts w:eastAsia="Arial Unicode MS"/>
          <w:b/>
          <w:sz w:val="16"/>
          <w:szCs w:val="16"/>
        </w:rPr>
      </w:pPr>
    </w:p>
    <w:p w14:paraId="0697C4AB" w14:textId="32613C79" w:rsidR="00FB3FCF" w:rsidRPr="00005453" w:rsidRDefault="00FB3FCF" w:rsidP="00134A72">
      <w:pPr>
        <w:autoSpaceDE w:val="0"/>
        <w:autoSpaceDN w:val="0"/>
        <w:adjustRightInd w:val="0"/>
        <w:rPr>
          <w:rFonts w:eastAsia="Arial Unicode MS"/>
          <w:b/>
          <w:sz w:val="16"/>
          <w:szCs w:val="16"/>
        </w:rPr>
      </w:pPr>
    </w:p>
    <w:p w14:paraId="5759C94B" w14:textId="4CFC0E81" w:rsidR="00FB3FCF" w:rsidRPr="00005453" w:rsidRDefault="00FB3FCF" w:rsidP="00134A72">
      <w:pPr>
        <w:autoSpaceDE w:val="0"/>
        <w:autoSpaceDN w:val="0"/>
        <w:adjustRightInd w:val="0"/>
        <w:rPr>
          <w:rFonts w:eastAsia="Arial Unicode MS"/>
          <w:b/>
          <w:sz w:val="16"/>
          <w:szCs w:val="16"/>
        </w:rPr>
      </w:pPr>
    </w:p>
    <w:p w14:paraId="7CC548E5" w14:textId="1C770898" w:rsidR="00FB3FCF" w:rsidRPr="00005453" w:rsidRDefault="00FB3FCF" w:rsidP="00134A72">
      <w:pPr>
        <w:autoSpaceDE w:val="0"/>
        <w:autoSpaceDN w:val="0"/>
        <w:adjustRightInd w:val="0"/>
        <w:rPr>
          <w:rFonts w:eastAsia="Arial Unicode MS"/>
          <w:b/>
          <w:sz w:val="16"/>
          <w:szCs w:val="16"/>
        </w:rPr>
      </w:pPr>
    </w:p>
    <w:p w14:paraId="1D916731" w14:textId="23A3D285" w:rsidR="00FB3FCF" w:rsidRPr="00005453" w:rsidRDefault="00FB3FCF" w:rsidP="00134A72">
      <w:pPr>
        <w:autoSpaceDE w:val="0"/>
        <w:autoSpaceDN w:val="0"/>
        <w:adjustRightInd w:val="0"/>
        <w:rPr>
          <w:rFonts w:eastAsia="Arial Unicode MS"/>
          <w:b/>
          <w:sz w:val="16"/>
          <w:szCs w:val="16"/>
        </w:rPr>
      </w:pPr>
    </w:p>
    <w:p w14:paraId="5ED006C4" w14:textId="53CB513C" w:rsidR="00FB3FCF" w:rsidRPr="00005453" w:rsidRDefault="00FB3FCF" w:rsidP="00134A72">
      <w:pPr>
        <w:autoSpaceDE w:val="0"/>
        <w:autoSpaceDN w:val="0"/>
        <w:adjustRightInd w:val="0"/>
        <w:rPr>
          <w:rFonts w:eastAsia="Arial Unicode MS"/>
          <w:b/>
          <w:sz w:val="16"/>
          <w:szCs w:val="16"/>
        </w:rPr>
      </w:pPr>
    </w:p>
    <w:p w14:paraId="39F84948" w14:textId="33F57FAB" w:rsidR="00FB3FCF" w:rsidRPr="00005453" w:rsidRDefault="00FB3FCF" w:rsidP="00134A72">
      <w:pPr>
        <w:autoSpaceDE w:val="0"/>
        <w:autoSpaceDN w:val="0"/>
        <w:adjustRightInd w:val="0"/>
        <w:rPr>
          <w:rFonts w:eastAsia="Arial Unicode MS"/>
          <w:b/>
          <w:sz w:val="16"/>
          <w:szCs w:val="16"/>
        </w:rPr>
      </w:pPr>
    </w:p>
    <w:p w14:paraId="6C2F8834" w14:textId="2C098F64" w:rsidR="00FB3FCF" w:rsidRPr="00005453" w:rsidRDefault="00FB3FCF" w:rsidP="00134A72">
      <w:pPr>
        <w:autoSpaceDE w:val="0"/>
        <w:autoSpaceDN w:val="0"/>
        <w:adjustRightInd w:val="0"/>
        <w:rPr>
          <w:rFonts w:eastAsia="Arial Unicode MS"/>
          <w:b/>
          <w:sz w:val="16"/>
          <w:szCs w:val="16"/>
        </w:rPr>
      </w:pPr>
    </w:p>
    <w:p w14:paraId="05CEB889" w14:textId="30D691A0" w:rsidR="00FB3FCF" w:rsidRPr="00005453" w:rsidRDefault="00FB3FCF" w:rsidP="00134A72">
      <w:pPr>
        <w:autoSpaceDE w:val="0"/>
        <w:autoSpaceDN w:val="0"/>
        <w:adjustRightInd w:val="0"/>
        <w:rPr>
          <w:rFonts w:eastAsia="Arial Unicode MS"/>
          <w:b/>
          <w:sz w:val="16"/>
          <w:szCs w:val="16"/>
        </w:rPr>
      </w:pPr>
    </w:p>
    <w:p w14:paraId="329D65FE" w14:textId="69C3BAF5" w:rsidR="00FB3FCF" w:rsidRPr="00005453" w:rsidRDefault="00FB3FCF" w:rsidP="00134A72">
      <w:pPr>
        <w:autoSpaceDE w:val="0"/>
        <w:autoSpaceDN w:val="0"/>
        <w:adjustRightInd w:val="0"/>
        <w:rPr>
          <w:rFonts w:eastAsia="Arial Unicode MS"/>
          <w:b/>
          <w:sz w:val="16"/>
          <w:szCs w:val="16"/>
        </w:rPr>
      </w:pPr>
    </w:p>
    <w:p w14:paraId="14E845D6" w14:textId="2EB1F5B5" w:rsidR="00FB3FCF" w:rsidRPr="00005453" w:rsidRDefault="00FB3FCF" w:rsidP="00134A72">
      <w:pPr>
        <w:autoSpaceDE w:val="0"/>
        <w:autoSpaceDN w:val="0"/>
        <w:adjustRightInd w:val="0"/>
        <w:rPr>
          <w:rFonts w:eastAsia="Arial Unicode MS"/>
          <w:b/>
          <w:sz w:val="16"/>
          <w:szCs w:val="16"/>
        </w:rPr>
      </w:pPr>
    </w:p>
    <w:p w14:paraId="7C2BFA71" w14:textId="33B55927" w:rsidR="00FB3FCF" w:rsidRPr="00005453" w:rsidRDefault="00FB3FCF" w:rsidP="00134A72">
      <w:pPr>
        <w:autoSpaceDE w:val="0"/>
        <w:autoSpaceDN w:val="0"/>
        <w:adjustRightInd w:val="0"/>
        <w:rPr>
          <w:rFonts w:eastAsia="Arial Unicode MS"/>
          <w:b/>
          <w:sz w:val="16"/>
          <w:szCs w:val="16"/>
        </w:rPr>
      </w:pPr>
    </w:p>
    <w:p w14:paraId="4F2A0A9A" w14:textId="3C36679E" w:rsidR="00FB3FCF" w:rsidRPr="00005453" w:rsidRDefault="00FB3FCF" w:rsidP="00134A72">
      <w:pPr>
        <w:autoSpaceDE w:val="0"/>
        <w:autoSpaceDN w:val="0"/>
        <w:adjustRightInd w:val="0"/>
        <w:rPr>
          <w:rFonts w:eastAsia="Arial Unicode MS"/>
          <w:b/>
          <w:sz w:val="16"/>
          <w:szCs w:val="16"/>
        </w:rPr>
      </w:pPr>
    </w:p>
    <w:p w14:paraId="0E31DC10" w14:textId="5F5B7AC5" w:rsidR="00FB3FCF" w:rsidRPr="00005453" w:rsidRDefault="00FB3FCF" w:rsidP="00134A72">
      <w:pPr>
        <w:autoSpaceDE w:val="0"/>
        <w:autoSpaceDN w:val="0"/>
        <w:adjustRightInd w:val="0"/>
        <w:rPr>
          <w:rFonts w:eastAsia="Arial Unicode MS"/>
          <w:b/>
          <w:sz w:val="16"/>
          <w:szCs w:val="16"/>
        </w:rPr>
      </w:pPr>
    </w:p>
    <w:p w14:paraId="5381CBB4" w14:textId="2B9B4E73" w:rsidR="00FB3FCF" w:rsidRPr="00005453" w:rsidRDefault="00FB3FCF" w:rsidP="00134A72">
      <w:pPr>
        <w:autoSpaceDE w:val="0"/>
        <w:autoSpaceDN w:val="0"/>
        <w:adjustRightInd w:val="0"/>
        <w:rPr>
          <w:rFonts w:eastAsia="Arial Unicode MS"/>
          <w:b/>
          <w:sz w:val="16"/>
          <w:szCs w:val="16"/>
        </w:rPr>
      </w:pPr>
    </w:p>
    <w:p w14:paraId="001D519F" w14:textId="0651E40A" w:rsidR="00FB3FCF" w:rsidRPr="00005453" w:rsidRDefault="00FB3FCF" w:rsidP="00134A72">
      <w:pPr>
        <w:autoSpaceDE w:val="0"/>
        <w:autoSpaceDN w:val="0"/>
        <w:adjustRightInd w:val="0"/>
        <w:rPr>
          <w:rFonts w:eastAsia="Arial Unicode MS"/>
          <w:b/>
          <w:sz w:val="16"/>
          <w:szCs w:val="16"/>
        </w:rPr>
      </w:pPr>
    </w:p>
    <w:p w14:paraId="0EA618F2" w14:textId="1A634DA9" w:rsidR="00FB3FCF" w:rsidRPr="00005453" w:rsidRDefault="00FB3FCF" w:rsidP="00134A72">
      <w:pPr>
        <w:autoSpaceDE w:val="0"/>
        <w:autoSpaceDN w:val="0"/>
        <w:adjustRightInd w:val="0"/>
        <w:rPr>
          <w:rFonts w:eastAsia="Arial Unicode MS"/>
          <w:b/>
          <w:sz w:val="16"/>
          <w:szCs w:val="16"/>
        </w:rPr>
      </w:pPr>
    </w:p>
    <w:p w14:paraId="6EA71EBD" w14:textId="79461F53" w:rsidR="00FB3FCF" w:rsidRPr="00005453" w:rsidRDefault="00FB3FCF" w:rsidP="00134A72">
      <w:pPr>
        <w:autoSpaceDE w:val="0"/>
        <w:autoSpaceDN w:val="0"/>
        <w:adjustRightInd w:val="0"/>
        <w:rPr>
          <w:rFonts w:eastAsia="Arial Unicode MS"/>
          <w:b/>
          <w:sz w:val="16"/>
          <w:szCs w:val="16"/>
        </w:rPr>
      </w:pPr>
    </w:p>
    <w:p w14:paraId="122C9C5B" w14:textId="4BF9BC81" w:rsidR="00FB3FCF" w:rsidRPr="00005453" w:rsidRDefault="00FB3FCF" w:rsidP="00134A72">
      <w:pPr>
        <w:autoSpaceDE w:val="0"/>
        <w:autoSpaceDN w:val="0"/>
        <w:adjustRightInd w:val="0"/>
        <w:rPr>
          <w:rFonts w:eastAsia="Arial Unicode MS"/>
          <w:b/>
          <w:sz w:val="16"/>
          <w:szCs w:val="16"/>
        </w:rPr>
      </w:pPr>
    </w:p>
    <w:p w14:paraId="46C17036" w14:textId="32CB0F01" w:rsidR="00FB3FCF" w:rsidRPr="00005453" w:rsidRDefault="00FB3FCF" w:rsidP="00134A72">
      <w:pPr>
        <w:autoSpaceDE w:val="0"/>
        <w:autoSpaceDN w:val="0"/>
        <w:adjustRightInd w:val="0"/>
        <w:rPr>
          <w:rFonts w:eastAsia="Arial Unicode MS"/>
          <w:b/>
          <w:sz w:val="16"/>
          <w:szCs w:val="16"/>
        </w:rPr>
      </w:pPr>
    </w:p>
    <w:p w14:paraId="330B5C5A" w14:textId="4714F58D" w:rsidR="00FB3FCF" w:rsidRPr="00005453" w:rsidRDefault="00FB3FCF" w:rsidP="00134A72">
      <w:pPr>
        <w:autoSpaceDE w:val="0"/>
        <w:autoSpaceDN w:val="0"/>
        <w:adjustRightInd w:val="0"/>
        <w:rPr>
          <w:rFonts w:eastAsia="Arial Unicode MS"/>
          <w:b/>
          <w:sz w:val="16"/>
          <w:szCs w:val="16"/>
        </w:rPr>
      </w:pPr>
    </w:p>
    <w:p w14:paraId="0A1D031C" w14:textId="00631EE5" w:rsidR="00FB3FCF" w:rsidRPr="00005453" w:rsidRDefault="00FB3FCF" w:rsidP="00134A72">
      <w:pPr>
        <w:autoSpaceDE w:val="0"/>
        <w:autoSpaceDN w:val="0"/>
        <w:adjustRightInd w:val="0"/>
        <w:rPr>
          <w:rFonts w:eastAsia="Arial Unicode MS"/>
          <w:b/>
          <w:sz w:val="16"/>
          <w:szCs w:val="16"/>
        </w:rPr>
      </w:pPr>
    </w:p>
    <w:p w14:paraId="75A4E8F1" w14:textId="09298990" w:rsidR="00FB3FCF" w:rsidRPr="00005453" w:rsidRDefault="00FB3FCF" w:rsidP="00134A72">
      <w:pPr>
        <w:autoSpaceDE w:val="0"/>
        <w:autoSpaceDN w:val="0"/>
        <w:adjustRightInd w:val="0"/>
        <w:rPr>
          <w:rFonts w:eastAsia="Arial Unicode MS"/>
          <w:b/>
          <w:sz w:val="16"/>
          <w:szCs w:val="16"/>
        </w:rPr>
      </w:pPr>
    </w:p>
    <w:p w14:paraId="198F17CE" w14:textId="2203EFEC" w:rsidR="00FB3FCF" w:rsidRPr="00005453" w:rsidRDefault="00FB3FCF" w:rsidP="00134A72">
      <w:pPr>
        <w:autoSpaceDE w:val="0"/>
        <w:autoSpaceDN w:val="0"/>
        <w:adjustRightInd w:val="0"/>
        <w:rPr>
          <w:rFonts w:eastAsia="Arial Unicode MS"/>
          <w:b/>
          <w:sz w:val="16"/>
          <w:szCs w:val="16"/>
        </w:rPr>
      </w:pPr>
    </w:p>
    <w:p w14:paraId="0C17F96B" w14:textId="76D1D985" w:rsidR="00FB3FCF" w:rsidRPr="00005453" w:rsidRDefault="00FB3FCF" w:rsidP="00134A72">
      <w:pPr>
        <w:autoSpaceDE w:val="0"/>
        <w:autoSpaceDN w:val="0"/>
        <w:adjustRightInd w:val="0"/>
        <w:rPr>
          <w:rFonts w:eastAsia="Arial Unicode MS"/>
          <w:b/>
          <w:sz w:val="16"/>
          <w:szCs w:val="16"/>
        </w:rPr>
      </w:pPr>
    </w:p>
    <w:p w14:paraId="6B92B43B" w14:textId="3A5600E4" w:rsidR="00FB3FCF" w:rsidRPr="00005453" w:rsidRDefault="00FB3FCF" w:rsidP="00134A72">
      <w:pPr>
        <w:autoSpaceDE w:val="0"/>
        <w:autoSpaceDN w:val="0"/>
        <w:adjustRightInd w:val="0"/>
        <w:rPr>
          <w:rFonts w:eastAsia="Arial Unicode MS"/>
          <w:b/>
          <w:sz w:val="16"/>
          <w:szCs w:val="16"/>
        </w:rPr>
      </w:pPr>
    </w:p>
    <w:p w14:paraId="106D032C" w14:textId="10F3A143" w:rsidR="00FB3FCF" w:rsidRPr="00005453" w:rsidRDefault="00FB3FCF" w:rsidP="00134A72">
      <w:pPr>
        <w:autoSpaceDE w:val="0"/>
        <w:autoSpaceDN w:val="0"/>
        <w:adjustRightInd w:val="0"/>
        <w:rPr>
          <w:rFonts w:eastAsia="Arial Unicode MS"/>
          <w:b/>
          <w:sz w:val="16"/>
          <w:szCs w:val="16"/>
        </w:rPr>
      </w:pPr>
    </w:p>
    <w:p w14:paraId="6D7E49B9" w14:textId="0FB8560D" w:rsidR="00FB3FCF" w:rsidRPr="00005453" w:rsidRDefault="00FB3FCF" w:rsidP="00134A72">
      <w:pPr>
        <w:autoSpaceDE w:val="0"/>
        <w:autoSpaceDN w:val="0"/>
        <w:adjustRightInd w:val="0"/>
        <w:rPr>
          <w:rFonts w:eastAsia="Arial Unicode MS"/>
          <w:b/>
          <w:sz w:val="16"/>
          <w:szCs w:val="16"/>
        </w:rPr>
      </w:pPr>
    </w:p>
    <w:p w14:paraId="2DC9ED44" w14:textId="5340F013" w:rsidR="00FB3FCF" w:rsidRPr="00005453" w:rsidRDefault="00FB3FCF" w:rsidP="00134A72">
      <w:pPr>
        <w:autoSpaceDE w:val="0"/>
        <w:autoSpaceDN w:val="0"/>
        <w:adjustRightInd w:val="0"/>
        <w:rPr>
          <w:rFonts w:eastAsia="Arial Unicode MS"/>
          <w:b/>
          <w:sz w:val="16"/>
          <w:szCs w:val="16"/>
        </w:rPr>
      </w:pPr>
    </w:p>
    <w:p w14:paraId="7D46FC70" w14:textId="45176E84" w:rsidR="00FB3FCF" w:rsidRPr="00005453" w:rsidRDefault="00FB3FCF" w:rsidP="00134A72">
      <w:pPr>
        <w:autoSpaceDE w:val="0"/>
        <w:autoSpaceDN w:val="0"/>
        <w:adjustRightInd w:val="0"/>
        <w:rPr>
          <w:rFonts w:eastAsia="Arial Unicode MS"/>
          <w:b/>
          <w:sz w:val="16"/>
          <w:szCs w:val="16"/>
        </w:rPr>
      </w:pPr>
    </w:p>
    <w:p w14:paraId="2EF7897B" w14:textId="00B92BB3" w:rsidR="00FB3FCF" w:rsidRPr="00005453" w:rsidRDefault="00FB3FCF" w:rsidP="00134A72">
      <w:pPr>
        <w:autoSpaceDE w:val="0"/>
        <w:autoSpaceDN w:val="0"/>
        <w:adjustRightInd w:val="0"/>
        <w:rPr>
          <w:rFonts w:eastAsia="Arial Unicode MS"/>
          <w:b/>
          <w:sz w:val="16"/>
          <w:szCs w:val="16"/>
        </w:rPr>
      </w:pPr>
    </w:p>
    <w:p w14:paraId="5ACE2EDE" w14:textId="1ABD8A70" w:rsidR="00FB3FCF" w:rsidRPr="00005453" w:rsidRDefault="00FB3FCF" w:rsidP="00134A72">
      <w:pPr>
        <w:autoSpaceDE w:val="0"/>
        <w:autoSpaceDN w:val="0"/>
        <w:adjustRightInd w:val="0"/>
        <w:rPr>
          <w:rFonts w:eastAsia="Arial Unicode MS"/>
          <w:b/>
          <w:sz w:val="16"/>
          <w:szCs w:val="16"/>
        </w:rPr>
      </w:pPr>
    </w:p>
    <w:p w14:paraId="74749EFC" w14:textId="34B2EB48" w:rsidR="00FB3FCF" w:rsidRPr="00005453" w:rsidRDefault="00FB3FCF" w:rsidP="00134A72">
      <w:pPr>
        <w:autoSpaceDE w:val="0"/>
        <w:autoSpaceDN w:val="0"/>
        <w:adjustRightInd w:val="0"/>
        <w:rPr>
          <w:rFonts w:eastAsia="Arial Unicode MS"/>
          <w:b/>
          <w:sz w:val="16"/>
          <w:szCs w:val="16"/>
        </w:rPr>
      </w:pPr>
    </w:p>
    <w:p w14:paraId="4EF903D2" w14:textId="1C842302" w:rsidR="00FB3FCF" w:rsidRPr="00005453" w:rsidRDefault="00FB3FCF" w:rsidP="00134A72">
      <w:pPr>
        <w:autoSpaceDE w:val="0"/>
        <w:autoSpaceDN w:val="0"/>
        <w:adjustRightInd w:val="0"/>
        <w:rPr>
          <w:rFonts w:eastAsia="Arial Unicode MS"/>
          <w:b/>
          <w:sz w:val="16"/>
          <w:szCs w:val="16"/>
        </w:rPr>
      </w:pPr>
    </w:p>
    <w:p w14:paraId="143FBC86" w14:textId="16B90287" w:rsidR="00FB3FCF" w:rsidRPr="00005453" w:rsidRDefault="00FB3FCF" w:rsidP="00134A72">
      <w:pPr>
        <w:autoSpaceDE w:val="0"/>
        <w:autoSpaceDN w:val="0"/>
        <w:adjustRightInd w:val="0"/>
        <w:rPr>
          <w:rFonts w:eastAsia="Arial Unicode MS"/>
          <w:b/>
          <w:sz w:val="16"/>
          <w:szCs w:val="16"/>
        </w:rPr>
      </w:pPr>
    </w:p>
    <w:p w14:paraId="52A2A213" w14:textId="77777777" w:rsidR="009A735B" w:rsidRPr="00005453" w:rsidRDefault="009A735B" w:rsidP="00134A72">
      <w:pPr>
        <w:autoSpaceDE w:val="0"/>
        <w:autoSpaceDN w:val="0"/>
        <w:adjustRightInd w:val="0"/>
        <w:rPr>
          <w:rFonts w:eastAsia="Arial Unicode MS"/>
          <w:b/>
          <w:sz w:val="16"/>
          <w:szCs w:val="16"/>
        </w:rPr>
      </w:pPr>
    </w:p>
    <w:p w14:paraId="2EFB1012" w14:textId="7B35CCC5" w:rsidR="00FB3FCF" w:rsidRPr="00005453" w:rsidRDefault="00FB3FCF" w:rsidP="00134A72">
      <w:pPr>
        <w:autoSpaceDE w:val="0"/>
        <w:autoSpaceDN w:val="0"/>
        <w:adjustRightInd w:val="0"/>
        <w:rPr>
          <w:rFonts w:eastAsia="Arial Unicode MS"/>
          <w:b/>
          <w:sz w:val="16"/>
          <w:szCs w:val="16"/>
        </w:rPr>
      </w:pPr>
    </w:p>
    <w:p w14:paraId="59FD8B5D" w14:textId="0B3D1B67" w:rsidR="00FB3FCF" w:rsidRPr="00005453" w:rsidRDefault="00FB3FCF" w:rsidP="00134A72">
      <w:pPr>
        <w:autoSpaceDE w:val="0"/>
        <w:autoSpaceDN w:val="0"/>
        <w:adjustRightInd w:val="0"/>
        <w:rPr>
          <w:rFonts w:eastAsia="Arial Unicode MS"/>
          <w:b/>
          <w:sz w:val="16"/>
          <w:szCs w:val="16"/>
        </w:rPr>
      </w:pPr>
    </w:p>
    <w:p w14:paraId="4250E562" w14:textId="403CA379" w:rsidR="00FB3FCF" w:rsidRPr="00005453" w:rsidRDefault="00FB3FCF" w:rsidP="00134A72">
      <w:pPr>
        <w:autoSpaceDE w:val="0"/>
        <w:autoSpaceDN w:val="0"/>
        <w:adjustRightInd w:val="0"/>
        <w:rPr>
          <w:rFonts w:eastAsia="Arial Unicode MS"/>
          <w:b/>
          <w:sz w:val="16"/>
          <w:szCs w:val="16"/>
        </w:rPr>
      </w:pPr>
    </w:p>
    <w:p w14:paraId="715836C4" w14:textId="427E5BF9" w:rsidR="00FB3FCF" w:rsidRPr="00005453" w:rsidRDefault="00FB3FCF" w:rsidP="00134A72">
      <w:pPr>
        <w:autoSpaceDE w:val="0"/>
        <w:autoSpaceDN w:val="0"/>
        <w:adjustRightInd w:val="0"/>
        <w:rPr>
          <w:rFonts w:eastAsia="Arial Unicode MS"/>
          <w:b/>
          <w:sz w:val="16"/>
          <w:szCs w:val="16"/>
        </w:rPr>
      </w:pPr>
    </w:p>
    <w:p w14:paraId="049B2A2A" w14:textId="21F87484" w:rsidR="00346550" w:rsidRPr="00005453" w:rsidRDefault="00346550">
      <w:pPr>
        <w:rPr>
          <w:rFonts w:eastAsia="Arial Unicode MS"/>
          <w:b/>
          <w:sz w:val="16"/>
          <w:szCs w:val="16"/>
        </w:rPr>
      </w:pPr>
      <w:r w:rsidRPr="00005453">
        <w:rPr>
          <w:rFonts w:eastAsia="Arial Unicode MS"/>
          <w:b/>
          <w:sz w:val="16"/>
          <w:szCs w:val="16"/>
        </w:rPr>
        <w:br w:type="page"/>
      </w:r>
    </w:p>
    <w:p w14:paraId="4B0BB3A3" w14:textId="1C59CC15" w:rsidR="00C12F3E" w:rsidRPr="00005453" w:rsidRDefault="00E253C8" w:rsidP="00CC1FB5">
      <w:pPr>
        <w:autoSpaceDE w:val="0"/>
        <w:autoSpaceDN w:val="0"/>
        <w:adjustRightInd w:val="0"/>
        <w:rPr>
          <w:rFonts w:eastAsia="Arial Unicode MS"/>
          <w:b/>
        </w:rPr>
      </w:pPr>
      <w:bookmarkStart w:id="69" w:name="_Hlk157004250"/>
      <w:bookmarkStart w:id="70" w:name="_Hlk156851213"/>
      <w:r w:rsidRPr="00005453">
        <w:rPr>
          <w:rFonts w:eastAsia="Arial Unicode MS"/>
          <w:b/>
        </w:rPr>
        <w:lastRenderedPageBreak/>
        <w:t>Belirli bilanço ve gelir tablosu kalemlerinin faaliyet bölümlerine göre gösterimi</w:t>
      </w:r>
    </w:p>
    <w:p w14:paraId="48E63851" w14:textId="61BC3E71" w:rsidR="003A557F" w:rsidRPr="00005453" w:rsidRDefault="003A557F" w:rsidP="00134A72">
      <w:pPr>
        <w:autoSpaceDE w:val="0"/>
        <w:autoSpaceDN w:val="0"/>
        <w:adjustRightInd w:val="0"/>
        <w:rPr>
          <w:lang w:val="de-DE" w:eastAsia="en-GB"/>
        </w:rPr>
      </w:pPr>
    </w:p>
    <w:tbl>
      <w:tblPr>
        <w:tblW w:w="9924" w:type="dxa"/>
        <w:tblCellMar>
          <w:left w:w="70" w:type="dxa"/>
          <w:right w:w="70" w:type="dxa"/>
        </w:tblCellMar>
        <w:tblLook w:val="04A0" w:firstRow="1" w:lastRow="0" w:firstColumn="1" w:lastColumn="0" w:noHBand="0" w:noVBand="1"/>
      </w:tblPr>
      <w:tblGrid>
        <w:gridCol w:w="4536"/>
        <w:gridCol w:w="940"/>
        <w:gridCol w:w="967"/>
        <w:gridCol w:w="1212"/>
        <w:gridCol w:w="1276"/>
        <w:gridCol w:w="993"/>
      </w:tblGrid>
      <w:tr w:rsidR="008F5EF9" w:rsidRPr="00005453" w14:paraId="46DE8A7A" w14:textId="77777777" w:rsidTr="00E13ED4">
        <w:trPr>
          <w:trHeight w:val="730"/>
        </w:trPr>
        <w:tc>
          <w:tcPr>
            <w:tcW w:w="4536" w:type="dxa"/>
            <w:tcBorders>
              <w:top w:val="single" w:sz="8" w:space="0" w:color="auto"/>
              <w:left w:val="nil"/>
              <w:bottom w:val="nil"/>
              <w:right w:val="nil"/>
            </w:tcBorders>
            <w:shd w:val="clear" w:color="auto" w:fill="auto"/>
            <w:noWrap/>
            <w:vAlign w:val="center"/>
            <w:hideMark/>
          </w:tcPr>
          <w:p w14:paraId="410DE191" w14:textId="77777777" w:rsidR="008F5EF9" w:rsidRPr="00005453" w:rsidRDefault="008F5EF9" w:rsidP="008F5EF9">
            <w:pPr>
              <w:rPr>
                <w:b/>
                <w:bCs/>
                <w:color w:val="000000"/>
                <w:sz w:val="16"/>
                <w:szCs w:val="16"/>
                <w:lang w:eastAsia="tr-TR"/>
              </w:rPr>
            </w:pPr>
            <w:r w:rsidRPr="00005453">
              <w:rPr>
                <w:b/>
                <w:bCs/>
                <w:color w:val="000000"/>
                <w:sz w:val="16"/>
                <w:szCs w:val="16"/>
                <w:lang w:eastAsia="tr-TR"/>
              </w:rPr>
              <w:t>Cari Dönem</w:t>
            </w:r>
          </w:p>
        </w:tc>
        <w:tc>
          <w:tcPr>
            <w:tcW w:w="940" w:type="dxa"/>
            <w:vMerge w:val="restart"/>
            <w:tcBorders>
              <w:top w:val="single" w:sz="8" w:space="0" w:color="auto"/>
              <w:left w:val="nil"/>
              <w:bottom w:val="single" w:sz="8" w:space="0" w:color="000000"/>
              <w:right w:val="nil"/>
            </w:tcBorders>
            <w:shd w:val="clear" w:color="auto" w:fill="auto"/>
            <w:vAlign w:val="center"/>
            <w:hideMark/>
          </w:tcPr>
          <w:p w14:paraId="4C93594F" w14:textId="77777777" w:rsidR="008F5EF9" w:rsidRPr="00005453" w:rsidRDefault="008F5EF9" w:rsidP="008F5EF9">
            <w:pPr>
              <w:jc w:val="right"/>
              <w:rPr>
                <w:b/>
                <w:bCs/>
                <w:color w:val="000000"/>
                <w:sz w:val="16"/>
                <w:szCs w:val="16"/>
                <w:lang w:eastAsia="tr-TR"/>
              </w:rPr>
            </w:pPr>
            <w:proofErr w:type="gramStart"/>
            <w:r w:rsidRPr="00005453">
              <w:rPr>
                <w:b/>
                <w:bCs/>
                <w:color w:val="000000"/>
                <w:sz w:val="16"/>
                <w:szCs w:val="16"/>
                <w:lang w:eastAsia="tr-TR"/>
              </w:rPr>
              <w:t>Bireysel  Bankacılık</w:t>
            </w:r>
            <w:proofErr w:type="gramEnd"/>
          </w:p>
        </w:tc>
        <w:tc>
          <w:tcPr>
            <w:tcW w:w="967" w:type="dxa"/>
            <w:vMerge w:val="restart"/>
            <w:tcBorders>
              <w:top w:val="single" w:sz="8" w:space="0" w:color="auto"/>
              <w:left w:val="nil"/>
              <w:bottom w:val="single" w:sz="8" w:space="0" w:color="000000"/>
              <w:right w:val="nil"/>
            </w:tcBorders>
            <w:shd w:val="clear" w:color="auto" w:fill="auto"/>
            <w:vAlign w:val="center"/>
            <w:hideMark/>
          </w:tcPr>
          <w:p w14:paraId="4BD5F92D" w14:textId="77777777" w:rsidR="008F5EF9" w:rsidRPr="00005453" w:rsidRDefault="008F5EF9" w:rsidP="008F5EF9">
            <w:pPr>
              <w:jc w:val="right"/>
              <w:rPr>
                <w:b/>
                <w:bCs/>
                <w:color w:val="000000"/>
                <w:sz w:val="16"/>
                <w:szCs w:val="16"/>
                <w:lang w:eastAsia="tr-TR"/>
              </w:rPr>
            </w:pPr>
            <w:r w:rsidRPr="00005453">
              <w:rPr>
                <w:b/>
                <w:bCs/>
                <w:color w:val="000000"/>
                <w:sz w:val="16"/>
                <w:szCs w:val="16"/>
                <w:lang w:eastAsia="tr-TR"/>
              </w:rPr>
              <w:t>Kurumsal ve Ticari Bankacılık</w:t>
            </w:r>
          </w:p>
        </w:tc>
        <w:tc>
          <w:tcPr>
            <w:tcW w:w="1212" w:type="dxa"/>
            <w:vMerge w:val="restart"/>
            <w:tcBorders>
              <w:top w:val="single" w:sz="8" w:space="0" w:color="auto"/>
              <w:left w:val="nil"/>
              <w:bottom w:val="single" w:sz="8" w:space="0" w:color="000000"/>
              <w:right w:val="nil"/>
            </w:tcBorders>
            <w:shd w:val="clear" w:color="auto" w:fill="auto"/>
            <w:vAlign w:val="center"/>
            <w:hideMark/>
          </w:tcPr>
          <w:p w14:paraId="6AC50624" w14:textId="77777777" w:rsidR="008F5EF9" w:rsidRPr="00005453" w:rsidRDefault="008F5EF9" w:rsidP="008F5EF9">
            <w:pPr>
              <w:jc w:val="right"/>
              <w:rPr>
                <w:b/>
                <w:bCs/>
                <w:color w:val="000000"/>
                <w:sz w:val="16"/>
                <w:szCs w:val="16"/>
                <w:lang w:eastAsia="tr-TR"/>
              </w:rPr>
            </w:pPr>
            <w:r w:rsidRPr="00005453">
              <w:rPr>
                <w:b/>
                <w:bCs/>
                <w:color w:val="000000"/>
                <w:sz w:val="16"/>
                <w:szCs w:val="16"/>
                <w:lang w:eastAsia="tr-TR"/>
              </w:rPr>
              <w:t>Hazine ve Uluslararası Bankacılık</w:t>
            </w:r>
          </w:p>
        </w:tc>
        <w:tc>
          <w:tcPr>
            <w:tcW w:w="1276" w:type="dxa"/>
            <w:vMerge w:val="restart"/>
            <w:tcBorders>
              <w:top w:val="single" w:sz="8" w:space="0" w:color="auto"/>
              <w:left w:val="nil"/>
              <w:bottom w:val="single" w:sz="8" w:space="0" w:color="000000"/>
              <w:right w:val="nil"/>
            </w:tcBorders>
            <w:shd w:val="clear" w:color="auto" w:fill="auto"/>
            <w:noWrap/>
            <w:vAlign w:val="center"/>
            <w:hideMark/>
          </w:tcPr>
          <w:p w14:paraId="23898845" w14:textId="77777777" w:rsidR="008F5EF9" w:rsidRPr="00005453" w:rsidRDefault="008F5EF9" w:rsidP="008F5EF9">
            <w:pPr>
              <w:jc w:val="right"/>
              <w:rPr>
                <w:b/>
                <w:bCs/>
                <w:color w:val="000000"/>
                <w:sz w:val="16"/>
                <w:szCs w:val="16"/>
                <w:lang w:eastAsia="tr-TR"/>
              </w:rPr>
            </w:pPr>
            <w:r w:rsidRPr="00005453">
              <w:rPr>
                <w:b/>
                <w:bCs/>
                <w:color w:val="000000"/>
                <w:sz w:val="16"/>
                <w:szCs w:val="16"/>
                <w:lang w:eastAsia="tr-TR"/>
              </w:rPr>
              <w:t>Dağıtılamayan</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40A77125" w14:textId="77777777" w:rsidR="009F1F50" w:rsidRPr="00005453" w:rsidRDefault="008F5EF9" w:rsidP="008F5EF9">
            <w:pPr>
              <w:jc w:val="right"/>
              <w:rPr>
                <w:b/>
                <w:bCs/>
                <w:color w:val="000000"/>
                <w:sz w:val="16"/>
                <w:szCs w:val="16"/>
                <w:lang w:eastAsia="tr-TR"/>
              </w:rPr>
            </w:pPr>
            <w:r w:rsidRPr="00005453">
              <w:rPr>
                <w:b/>
                <w:bCs/>
                <w:color w:val="000000"/>
                <w:sz w:val="16"/>
                <w:szCs w:val="16"/>
                <w:lang w:eastAsia="tr-TR"/>
              </w:rPr>
              <w:t xml:space="preserve">Banka’nın </w:t>
            </w:r>
          </w:p>
          <w:p w14:paraId="51C4CF9F" w14:textId="7E4C2ECF" w:rsidR="00615676" w:rsidRPr="00005453" w:rsidRDefault="00615676" w:rsidP="008F5EF9">
            <w:pPr>
              <w:jc w:val="right"/>
              <w:rPr>
                <w:b/>
                <w:bCs/>
                <w:color w:val="000000"/>
                <w:sz w:val="16"/>
                <w:szCs w:val="16"/>
                <w:lang w:eastAsia="tr-TR"/>
              </w:rPr>
            </w:pPr>
            <w:r w:rsidRPr="00005453">
              <w:rPr>
                <w:b/>
                <w:bCs/>
                <w:color w:val="000000"/>
                <w:sz w:val="16"/>
                <w:szCs w:val="16"/>
                <w:lang w:eastAsia="tr-TR"/>
              </w:rPr>
              <w:t>T</w:t>
            </w:r>
            <w:r w:rsidR="008F5EF9" w:rsidRPr="00005453">
              <w:rPr>
                <w:b/>
                <w:bCs/>
                <w:color w:val="000000"/>
                <w:sz w:val="16"/>
                <w:szCs w:val="16"/>
                <w:lang w:eastAsia="tr-TR"/>
              </w:rPr>
              <w:t>oplam</w:t>
            </w:r>
          </w:p>
          <w:p w14:paraId="6E3D75D6" w14:textId="7E88662D" w:rsidR="008F5EF9" w:rsidRPr="00005453" w:rsidRDefault="008F5EF9" w:rsidP="008F5EF9">
            <w:pPr>
              <w:jc w:val="right"/>
              <w:rPr>
                <w:b/>
                <w:bCs/>
                <w:color w:val="000000"/>
                <w:sz w:val="16"/>
                <w:szCs w:val="16"/>
                <w:lang w:eastAsia="tr-TR"/>
              </w:rPr>
            </w:pPr>
            <w:proofErr w:type="gramStart"/>
            <w:r w:rsidRPr="00005453">
              <w:rPr>
                <w:b/>
                <w:bCs/>
                <w:color w:val="000000"/>
                <w:sz w:val="16"/>
                <w:szCs w:val="16"/>
                <w:lang w:eastAsia="tr-TR"/>
              </w:rPr>
              <w:t>faaliyeti</w:t>
            </w:r>
            <w:proofErr w:type="gramEnd"/>
          </w:p>
        </w:tc>
      </w:tr>
      <w:tr w:rsidR="008F5EF9" w:rsidRPr="00005453" w14:paraId="5A5BCF59" w14:textId="77777777" w:rsidTr="00E13ED4">
        <w:trPr>
          <w:trHeight w:val="40"/>
        </w:trPr>
        <w:tc>
          <w:tcPr>
            <w:tcW w:w="4536" w:type="dxa"/>
            <w:tcBorders>
              <w:top w:val="nil"/>
              <w:left w:val="nil"/>
              <w:bottom w:val="single" w:sz="8" w:space="0" w:color="auto"/>
              <w:right w:val="nil"/>
            </w:tcBorders>
            <w:shd w:val="clear" w:color="auto" w:fill="auto"/>
            <w:noWrap/>
            <w:vAlign w:val="center"/>
            <w:hideMark/>
          </w:tcPr>
          <w:p w14:paraId="62734E59" w14:textId="6D4ADE93" w:rsidR="008F5EF9" w:rsidRPr="00005453" w:rsidRDefault="008F5EF9" w:rsidP="008F5EF9">
            <w:pPr>
              <w:rPr>
                <w:b/>
                <w:bCs/>
                <w:color w:val="000000"/>
                <w:sz w:val="16"/>
                <w:szCs w:val="16"/>
                <w:lang w:eastAsia="tr-TR"/>
              </w:rPr>
            </w:pPr>
            <w:r w:rsidRPr="00005453">
              <w:rPr>
                <w:b/>
                <w:bCs/>
                <w:color w:val="000000"/>
                <w:sz w:val="16"/>
                <w:szCs w:val="16"/>
                <w:lang w:eastAsia="tr-TR"/>
              </w:rPr>
              <w:t>1 Ocak 202</w:t>
            </w:r>
            <w:r w:rsidR="007F6A49" w:rsidRPr="00005453">
              <w:rPr>
                <w:b/>
                <w:bCs/>
                <w:color w:val="000000"/>
                <w:sz w:val="16"/>
                <w:szCs w:val="16"/>
                <w:lang w:eastAsia="tr-TR"/>
              </w:rPr>
              <w:t>4</w:t>
            </w:r>
            <w:r w:rsidRPr="00005453">
              <w:rPr>
                <w:b/>
                <w:bCs/>
                <w:color w:val="000000"/>
                <w:sz w:val="16"/>
                <w:szCs w:val="16"/>
                <w:lang w:eastAsia="tr-TR"/>
              </w:rPr>
              <w:t>-31 Aralık 202</w:t>
            </w:r>
            <w:r w:rsidR="007F6A49" w:rsidRPr="00005453">
              <w:rPr>
                <w:b/>
                <w:bCs/>
                <w:color w:val="000000"/>
                <w:sz w:val="16"/>
                <w:szCs w:val="16"/>
                <w:lang w:eastAsia="tr-TR"/>
              </w:rPr>
              <w:t>4</w:t>
            </w:r>
          </w:p>
        </w:tc>
        <w:tc>
          <w:tcPr>
            <w:tcW w:w="940" w:type="dxa"/>
            <w:vMerge/>
            <w:tcBorders>
              <w:top w:val="single" w:sz="8" w:space="0" w:color="auto"/>
              <w:left w:val="nil"/>
              <w:bottom w:val="single" w:sz="8" w:space="0" w:color="000000"/>
              <w:right w:val="nil"/>
            </w:tcBorders>
            <w:vAlign w:val="center"/>
            <w:hideMark/>
          </w:tcPr>
          <w:p w14:paraId="7C9198FA" w14:textId="77777777" w:rsidR="008F5EF9" w:rsidRPr="00005453" w:rsidRDefault="008F5EF9" w:rsidP="008F5EF9">
            <w:pPr>
              <w:rPr>
                <w:b/>
                <w:bCs/>
                <w:color w:val="000000"/>
                <w:sz w:val="16"/>
                <w:szCs w:val="16"/>
                <w:lang w:eastAsia="tr-TR"/>
              </w:rPr>
            </w:pPr>
          </w:p>
        </w:tc>
        <w:tc>
          <w:tcPr>
            <w:tcW w:w="967" w:type="dxa"/>
            <w:vMerge/>
            <w:tcBorders>
              <w:top w:val="single" w:sz="8" w:space="0" w:color="auto"/>
              <w:left w:val="nil"/>
              <w:bottom w:val="single" w:sz="8" w:space="0" w:color="000000"/>
              <w:right w:val="nil"/>
            </w:tcBorders>
            <w:vAlign w:val="center"/>
            <w:hideMark/>
          </w:tcPr>
          <w:p w14:paraId="78A69731" w14:textId="77777777" w:rsidR="008F5EF9" w:rsidRPr="00005453" w:rsidRDefault="008F5EF9" w:rsidP="008F5EF9">
            <w:pPr>
              <w:rPr>
                <w:b/>
                <w:bCs/>
                <w:color w:val="000000"/>
                <w:sz w:val="16"/>
                <w:szCs w:val="16"/>
                <w:lang w:eastAsia="tr-TR"/>
              </w:rPr>
            </w:pPr>
          </w:p>
        </w:tc>
        <w:tc>
          <w:tcPr>
            <w:tcW w:w="1212" w:type="dxa"/>
            <w:vMerge/>
            <w:tcBorders>
              <w:top w:val="single" w:sz="8" w:space="0" w:color="auto"/>
              <w:left w:val="nil"/>
              <w:bottom w:val="single" w:sz="8" w:space="0" w:color="000000"/>
              <w:right w:val="nil"/>
            </w:tcBorders>
            <w:vAlign w:val="center"/>
            <w:hideMark/>
          </w:tcPr>
          <w:p w14:paraId="2A03340E" w14:textId="77777777" w:rsidR="008F5EF9" w:rsidRPr="00005453" w:rsidRDefault="008F5EF9" w:rsidP="008F5EF9">
            <w:pPr>
              <w:rPr>
                <w:b/>
                <w:bCs/>
                <w:color w:val="000000"/>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57F0BD4C" w14:textId="77777777" w:rsidR="008F5EF9" w:rsidRPr="00005453" w:rsidRDefault="008F5EF9" w:rsidP="008F5EF9">
            <w:pPr>
              <w:rPr>
                <w:b/>
                <w:bCs/>
                <w:color w:val="000000"/>
                <w:sz w:val="16"/>
                <w:szCs w:val="16"/>
                <w:lang w:eastAsia="tr-TR"/>
              </w:rPr>
            </w:pPr>
          </w:p>
        </w:tc>
        <w:tc>
          <w:tcPr>
            <w:tcW w:w="993" w:type="dxa"/>
            <w:vMerge/>
            <w:tcBorders>
              <w:top w:val="single" w:sz="8" w:space="0" w:color="auto"/>
              <w:left w:val="nil"/>
              <w:bottom w:val="single" w:sz="8" w:space="0" w:color="000000"/>
              <w:right w:val="nil"/>
            </w:tcBorders>
            <w:vAlign w:val="center"/>
            <w:hideMark/>
          </w:tcPr>
          <w:p w14:paraId="499B0000" w14:textId="77777777" w:rsidR="008F5EF9" w:rsidRPr="00005453" w:rsidRDefault="008F5EF9" w:rsidP="008F5EF9">
            <w:pPr>
              <w:rPr>
                <w:b/>
                <w:bCs/>
                <w:color w:val="000000"/>
                <w:sz w:val="16"/>
                <w:szCs w:val="16"/>
                <w:lang w:eastAsia="tr-TR"/>
              </w:rPr>
            </w:pPr>
          </w:p>
        </w:tc>
      </w:tr>
      <w:tr w:rsidR="008F5EF9" w:rsidRPr="00005453" w14:paraId="699FD3CE" w14:textId="77777777" w:rsidTr="00E13ED4">
        <w:trPr>
          <w:trHeight w:val="111"/>
        </w:trPr>
        <w:tc>
          <w:tcPr>
            <w:tcW w:w="4536" w:type="dxa"/>
            <w:tcBorders>
              <w:top w:val="nil"/>
              <w:left w:val="nil"/>
              <w:bottom w:val="nil"/>
              <w:right w:val="nil"/>
            </w:tcBorders>
            <w:shd w:val="clear" w:color="auto" w:fill="auto"/>
            <w:noWrap/>
            <w:vAlign w:val="bottom"/>
            <w:hideMark/>
          </w:tcPr>
          <w:p w14:paraId="0F2E70E3" w14:textId="77777777" w:rsidR="008F5EF9" w:rsidRPr="00005453" w:rsidRDefault="008F5EF9" w:rsidP="008F5EF9">
            <w:pPr>
              <w:rPr>
                <w:b/>
                <w:bCs/>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03AD68FE" w14:textId="77777777" w:rsidR="008F5EF9" w:rsidRPr="00005453" w:rsidRDefault="008F5EF9" w:rsidP="008F5EF9">
            <w:pPr>
              <w:rPr>
                <w:sz w:val="10"/>
                <w:szCs w:val="10"/>
                <w:lang w:eastAsia="tr-TR"/>
              </w:rPr>
            </w:pPr>
          </w:p>
        </w:tc>
        <w:tc>
          <w:tcPr>
            <w:tcW w:w="967" w:type="dxa"/>
            <w:tcBorders>
              <w:top w:val="nil"/>
              <w:left w:val="nil"/>
              <w:bottom w:val="nil"/>
              <w:right w:val="nil"/>
            </w:tcBorders>
            <w:shd w:val="clear" w:color="auto" w:fill="auto"/>
            <w:vAlign w:val="bottom"/>
            <w:hideMark/>
          </w:tcPr>
          <w:p w14:paraId="2EA1986A" w14:textId="77777777" w:rsidR="008F5EF9" w:rsidRPr="00005453" w:rsidRDefault="008F5EF9" w:rsidP="008F5EF9">
            <w:pPr>
              <w:rPr>
                <w:sz w:val="10"/>
                <w:szCs w:val="10"/>
                <w:lang w:eastAsia="tr-TR"/>
              </w:rPr>
            </w:pPr>
          </w:p>
        </w:tc>
        <w:tc>
          <w:tcPr>
            <w:tcW w:w="1212" w:type="dxa"/>
            <w:tcBorders>
              <w:top w:val="nil"/>
              <w:left w:val="nil"/>
              <w:bottom w:val="nil"/>
              <w:right w:val="nil"/>
            </w:tcBorders>
            <w:shd w:val="clear" w:color="auto" w:fill="auto"/>
            <w:noWrap/>
            <w:vAlign w:val="bottom"/>
            <w:hideMark/>
          </w:tcPr>
          <w:p w14:paraId="0860E092" w14:textId="77777777" w:rsidR="008F5EF9" w:rsidRPr="00005453" w:rsidRDefault="008F5EF9" w:rsidP="008F5EF9">
            <w:pPr>
              <w:rPr>
                <w:sz w:val="10"/>
                <w:szCs w:val="10"/>
                <w:lang w:eastAsia="tr-TR"/>
              </w:rPr>
            </w:pPr>
          </w:p>
        </w:tc>
        <w:tc>
          <w:tcPr>
            <w:tcW w:w="1276" w:type="dxa"/>
            <w:tcBorders>
              <w:top w:val="nil"/>
              <w:left w:val="nil"/>
              <w:bottom w:val="nil"/>
              <w:right w:val="nil"/>
            </w:tcBorders>
            <w:shd w:val="clear" w:color="auto" w:fill="auto"/>
            <w:vAlign w:val="bottom"/>
            <w:hideMark/>
          </w:tcPr>
          <w:p w14:paraId="0793EE26" w14:textId="77777777" w:rsidR="008F5EF9" w:rsidRPr="00005453" w:rsidRDefault="008F5EF9" w:rsidP="008F5EF9">
            <w:pPr>
              <w:rPr>
                <w:sz w:val="10"/>
                <w:szCs w:val="10"/>
                <w:lang w:eastAsia="tr-TR"/>
              </w:rPr>
            </w:pPr>
          </w:p>
        </w:tc>
        <w:tc>
          <w:tcPr>
            <w:tcW w:w="993" w:type="dxa"/>
            <w:tcBorders>
              <w:top w:val="nil"/>
              <w:left w:val="nil"/>
              <w:bottom w:val="nil"/>
              <w:right w:val="nil"/>
            </w:tcBorders>
            <w:shd w:val="clear" w:color="auto" w:fill="auto"/>
            <w:vAlign w:val="bottom"/>
            <w:hideMark/>
          </w:tcPr>
          <w:p w14:paraId="5123E89E" w14:textId="77777777" w:rsidR="008F5EF9" w:rsidRPr="00005453" w:rsidRDefault="008F5EF9" w:rsidP="008F5EF9">
            <w:pPr>
              <w:rPr>
                <w:sz w:val="10"/>
                <w:szCs w:val="10"/>
                <w:lang w:eastAsia="tr-TR"/>
              </w:rPr>
            </w:pPr>
          </w:p>
        </w:tc>
      </w:tr>
      <w:tr w:rsidR="004B5302" w:rsidRPr="00005453" w14:paraId="1B3F1498" w14:textId="77777777" w:rsidTr="004B5302">
        <w:trPr>
          <w:trHeight w:val="144"/>
        </w:trPr>
        <w:tc>
          <w:tcPr>
            <w:tcW w:w="4536" w:type="dxa"/>
            <w:tcBorders>
              <w:top w:val="nil"/>
              <w:left w:val="nil"/>
              <w:bottom w:val="nil"/>
              <w:right w:val="nil"/>
            </w:tcBorders>
            <w:shd w:val="clear" w:color="auto" w:fill="auto"/>
            <w:noWrap/>
            <w:vAlign w:val="center"/>
            <w:hideMark/>
          </w:tcPr>
          <w:p w14:paraId="338D80F2" w14:textId="77777777" w:rsidR="004B5302" w:rsidRPr="00005453" w:rsidRDefault="004B5302" w:rsidP="004B5302">
            <w:pPr>
              <w:rPr>
                <w:color w:val="000000"/>
                <w:sz w:val="16"/>
                <w:szCs w:val="16"/>
                <w:lang w:eastAsia="tr-TR"/>
              </w:rPr>
            </w:pPr>
            <w:r w:rsidRPr="00005453">
              <w:rPr>
                <w:color w:val="000000"/>
                <w:sz w:val="16"/>
                <w:szCs w:val="16"/>
                <w:lang w:eastAsia="tr-TR"/>
              </w:rPr>
              <w:t>Faaliyet gelirleri</w:t>
            </w:r>
          </w:p>
        </w:tc>
        <w:tc>
          <w:tcPr>
            <w:tcW w:w="940" w:type="dxa"/>
            <w:tcBorders>
              <w:top w:val="nil"/>
              <w:left w:val="nil"/>
              <w:bottom w:val="nil"/>
              <w:right w:val="nil"/>
            </w:tcBorders>
            <w:shd w:val="clear" w:color="auto" w:fill="auto"/>
            <w:noWrap/>
            <w:vAlign w:val="center"/>
            <w:hideMark/>
          </w:tcPr>
          <w:p w14:paraId="56988819" w14:textId="2BB1A515" w:rsidR="004B5302" w:rsidRPr="00005453" w:rsidRDefault="004B5302" w:rsidP="004B5302">
            <w:pPr>
              <w:jc w:val="right"/>
              <w:rPr>
                <w:color w:val="000000"/>
                <w:sz w:val="16"/>
                <w:szCs w:val="16"/>
                <w:lang w:eastAsia="tr-TR"/>
              </w:rPr>
            </w:pPr>
            <w:r w:rsidRPr="00005453">
              <w:rPr>
                <w:color w:val="000000"/>
                <w:sz w:val="16"/>
                <w:szCs w:val="18"/>
              </w:rPr>
              <w:t>99,217,173</w:t>
            </w:r>
          </w:p>
        </w:tc>
        <w:tc>
          <w:tcPr>
            <w:tcW w:w="967" w:type="dxa"/>
            <w:tcBorders>
              <w:top w:val="nil"/>
              <w:left w:val="nil"/>
              <w:bottom w:val="nil"/>
              <w:right w:val="nil"/>
            </w:tcBorders>
            <w:shd w:val="clear" w:color="auto" w:fill="auto"/>
            <w:noWrap/>
            <w:vAlign w:val="center"/>
            <w:hideMark/>
          </w:tcPr>
          <w:p w14:paraId="34AA0C29" w14:textId="5C2E8A24" w:rsidR="004B5302" w:rsidRPr="00005453" w:rsidRDefault="004B5302" w:rsidP="004B5302">
            <w:pPr>
              <w:jc w:val="right"/>
              <w:rPr>
                <w:color w:val="000000"/>
                <w:sz w:val="16"/>
                <w:szCs w:val="16"/>
                <w:lang w:eastAsia="tr-TR"/>
              </w:rPr>
            </w:pPr>
            <w:r w:rsidRPr="00005453">
              <w:rPr>
                <w:color w:val="000000"/>
                <w:sz w:val="16"/>
                <w:szCs w:val="18"/>
              </w:rPr>
              <w:t>47,986,358</w:t>
            </w:r>
          </w:p>
        </w:tc>
        <w:tc>
          <w:tcPr>
            <w:tcW w:w="1212" w:type="dxa"/>
            <w:tcBorders>
              <w:top w:val="nil"/>
              <w:left w:val="nil"/>
              <w:bottom w:val="nil"/>
              <w:right w:val="nil"/>
            </w:tcBorders>
            <w:shd w:val="clear" w:color="auto" w:fill="auto"/>
            <w:noWrap/>
            <w:vAlign w:val="center"/>
            <w:hideMark/>
          </w:tcPr>
          <w:p w14:paraId="7AA15C01" w14:textId="59F4F795" w:rsidR="004B5302" w:rsidRPr="00005453" w:rsidRDefault="004B5302" w:rsidP="004B5302">
            <w:pPr>
              <w:jc w:val="right"/>
              <w:rPr>
                <w:color w:val="000000"/>
                <w:sz w:val="16"/>
                <w:szCs w:val="16"/>
                <w:lang w:eastAsia="tr-TR"/>
              </w:rPr>
            </w:pPr>
            <w:r w:rsidRPr="00005453">
              <w:rPr>
                <w:color w:val="000000"/>
                <w:sz w:val="16"/>
                <w:szCs w:val="18"/>
              </w:rPr>
              <w:t>18,012,827</w:t>
            </w:r>
          </w:p>
        </w:tc>
        <w:tc>
          <w:tcPr>
            <w:tcW w:w="1276" w:type="dxa"/>
            <w:tcBorders>
              <w:top w:val="nil"/>
              <w:left w:val="nil"/>
              <w:bottom w:val="nil"/>
              <w:right w:val="nil"/>
            </w:tcBorders>
            <w:shd w:val="clear" w:color="auto" w:fill="auto"/>
            <w:noWrap/>
            <w:vAlign w:val="center"/>
            <w:hideMark/>
          </w:tcPr>
          <w:p w14:paraId="1B538DC6" w14:textId="77240F06" w:rsidR="004B5302" w:rsidRPr="00005453" w:rsidRDefault="004B5302" w:rsidP="004B5302">
            <w:pPr>
              <w:jc w:val="right"/>
              <w:rPr>
                <w:color w:val="000000"/>
                <w:sz w:val="16"/>
                <w:szCs w:val="16"/>
                <w:lang w:eastAsia="tr-TR"/>
              </w:rPr>
            </w:pPr>
            <w:r w:rsidRPr="00005453">
              <w:rPr>
                <w:color w:val="000000"/>
                <w:sz w:val="16"/>
                <w:szCs w:val="18"/>
              </w:rPr>
              <w:t>-</w:t>
            </w:r>
          </w:p>
        </w:tc>
        <w:tc>
          <w:tcPr>
            <w:tcW w:w="993" w:type="dxa"/>
            <w:tcBorders>
              <w:top w:val="nil"/>
              <w:left w:val="nil"/>
              <w:bottom w:val="nil"/>
              <w:right w:val="nil"/>
            </w:tcBorders>
            <w:shd w:val="clear" w:color="auto" w:fill="auto"/>
            <w:noWrap/>
            <w:vAlign w:val="center"/>
            <w:hideMark/>
          </w:tcPr>
          <w:p w14:paraId="6F729EB2" w14:textId="5ADCD447" w:rsidR="004B5302" w:rsidRPr="00005453" w:rsidRDefault="004B5302" w:rsidP="004B5302">
            <w:pPr>
              <w:jc w:val="right"/>
              <w:rPr>
                <w:color w:val="000000"/>
                <w:sz w:val="16"/>
                <w:szCs w:val="16"/>
                <w:lang w:eastAsia="tr-TR"/>
              </w:rPr>
            </w:pPr>
            <w:r w:rsidRPr="00005453">
              <w:rPr>
                <w:color w:val="000000"/>
                <w:sz w:val="16"/>
                <w:szCs w:val="16"/>
              </w:rPr>
              <w:t>165,216,358</w:t>
            </w:r>
          </w:p>
        </w:tc>
      </w:tr>
      <w:tr w:rsidR="004B5302" w:rsidRPr="00005453" w14:paraId="3E842507" w14:textId="77777777" w:rsidTr="004B5302">
        <w:trPr>
          <w:trHeight w:val="144"/>
        </w:trPr>
        <w:tc>
          <w:tcPr>
            <w:tcW w:w="4536" w:type="dxa"/>
            <w:tcBorders>
              <w:top w:val="nil"/>
              <w:left w:val="nil"/>
              <w:bottom w:val="nil"/>
              <w:right w:val="nil"/>
            </w:tcBorders>
            <w:shd w:val="clear" w:color="auto" w:fill="auto"/>
            <w:noWrap/>
            <w:vAlign w:val="center"/>
            <w:hideMark/>
          </w:tcPr>
          <w:p w14:paraId="5E05BD7E" w14:textId="77777777" w:rsidR="004B5302" w:rsidRPr="00005453" w:rsidRDefault="004B5302" w:rsidP="004B5302">
            <w:pPr>
              <w:rPr>
                <w:color w:val="000000"/>
                <w:sz w:val="16"/>
                <w:szCs w:val="16"/>
                <w:lang w:eastAsia="tr-TR"/>
              </w:rPr>
            </w:pPr>
            <w:r w:rsidRPr="00005453">
              <w:rPr>
                <w:color w:val="000000"/>
                <w:sz w:val="16"/>
                <w:szCs w:val="16"/>
                <w:lang w:eastAsia="tr-TR"/>
              </w:rPr>
              <w:t>Faaliyet giderleri (-)</w:t>
            </w:r>
          </w:p>
        </w:tc>
        <w:tc>
          <w:tcPr>
            <w:tcW w:w="940" w:type="dxa"/>
            <w:tcBorders>
              <w:top w:val="nil"/>
              <w:left w:val="nil"/>
              <w:bottom w:val="nil"/>
              <w:right w:val="nil"/>
            </w:tcBorders>
            <w:shd w:val="clear" w:color="auto" w:fill="auto"/>
            <w:noWrap/>
            <w:vAlign w:val="center"/>
            <w:hideMark/>
          </w:tcPr>
          <w:p w14:paraId="1D438668" w14:textId="7DB9F7A5" w:rsidR="004B5302" w:rsidRPr="00005453" w:rsidRDefault="004B5302" w:rsidP="004B5302">
            <w:pPr>
              <w:jc w:val="right"/>
              <w:rPr>
                <w:color w:val="000000"/>
                <w:sz w:val="16"/>
                <w:szCs w:val="16"/>
                <w:lang w:eastAsia="tr-TR"/>
              </w:rPr>
            </w:pPr>
            <w:r w:rsidRPr="00005453">
              <w:rPr>
                <w:color w:val="000000"/>
                <w:sz w:val="16"/>
                <w:szCs w:val="18"/>
              </w:rPr>
              <w:t>51,968,863</w:t>
            </w:r>
          </w:p>
        </w:tc>
        <w:tc>
          <w:tcPr>
            <w:tcW w:w="967" w:type="dxa"/>
            <w:tcBorders>
              <w:top w:val="nil"/>
              <w:left w:val="nil"/>
              <w:bottom w:val="nil"/>
              <w:right w:val="nil"/>
            </w:tcBorders>
            <w:shd w:val="clear" w:color="auto" w:fill="auto"/>
            <w:noWrap/>
            <w:vAlign w:val="center"/>
            <w:hideMark/>
          </w:tcPr>
          <w:p w14:paraId="42881262" w14:textId="5DC0B29A" w:rsidR="004B5302" w:rsidRPr="00005453" w:rsidRDefault="004B5302" w:rsidP="004B5302">
            <w:pPr>
              <w:jc w:val="right"/>
              <w:rPr>
                <w:color w:val="000000"/>
                <w:sz w:val="16"/>
                <w:szCs w:val="16"/>
                <w:lang w:eastAsia="tr-TR"/>
              </w:rPr>
            </w:pPr>
            <w:r w:rsidRPr="00005453">
              <w:rPr>
                <w:color w:val="000000"/>
                <w:sz w:val="16"/>
                <w:szCs w:val="18"/>
              </w:rPr>
              <w:t>25,392,229</w:t>
            </w:r>
          </w:p>
        </w:tc>
        <w:tc>
          <w:tcPr>
            <w:tcW w:w="1212" w:type="dxa"/>
            <w:tcBorders>
              <w:top w:val="nil"/>
              <w:left w:val="nil"/>
              <w:bottom w:val="nil"/>
              <w:right w:val="nil"/>
            </w:tcBorders>
            <w:shd w:val="clear" w:color="auto" w:fill="auto"/>
            <w:noWrap/>
            <w:vAlign w:val="center"/>
            <w:hideMark/>
          </w:tcPr>
          <w:p w14:paraId="793601D4" w14:textId="7C914F5E" w:rsidR="004B5302" w:rsidRPr="00005453" w:rsidRDefault="004B5302" w:rsidP="004B5302">
            <w:pPr>
              <w:jc w:val="right"/>
              <w:rPr>
                <w:color w:val="000000"/>
                <w:sz w:val="16"/>
                <w:szCs w:val="16"/>
                <w:lang w:eastAsia="tr-TR"/>
              </w:rPr>
            </w:pPr>
            <w:r w:rsidRPr="00005453">
              <w:rPr>
                <w:color w:val="000000"/>
                <w:sz w:val="16"/>
                <w:szCs w:val="18"/>
              </w:rPr>
              <w:t>21,162,219</w:t>
            </w:r>
          </w:p>
        </w:tc>
        <w:tc>
          <w:tcPr>
            <w:tcW w:w="1276" w:type="dxa"/>
            <w:tcBorders>
              <w:top w:val="nil"/>
              <w:left w:val="nil"/>
              <w:bottom w:val="nil"/>
              <w:right w:val="nil"/>
            </w:tcBorders>
            <w:shd w:val="clear" w:color="auto" w:fill="auto"/>
            <w:noWrap/>
            <w:vAlign w:val="center"/>
            <w:hideMark/>
          </w:tcPr>
          <w:p w14:paraId="27F1261E" w14:textId="7C88D6EE" w:rsidR="004B5302" w:rsidRPr="00005453" w:rsidRDefault="004B5302" w:rsidP="004B5302">
            <w:pPr>
              <w:jc w:val="right"/>
              <w:rPr>
                <w:color w:val="000000"/>
                <w:sz w:val="16"/>
                <w:szCs w:val="16"/>
                <w:lang w:eastAsia="tr-TR"/>
              </w:rPr>
            </w:pPr>
            <w:r w:rsidRPr="00005453">
              <w:rPr>
                <w:color w:val="000000"/>
                <w:sz w:val="16"/>
                <w:szCs w:val="18"/>
              </w:rPr>
              <w:t>20,435,889</w:t>
            </w:r>
          </w:p>
        </w:tc>
        <w:tc>
          <w:tcPr>
            <w:tcW w:w="993" w:type="dxa"/>
            <w:tcBorders>
              <w:top w:val="nil"/>
              <w:left w:val="nil"/>
              <w:bottom w:val="nil"/>
              <w:right w:val="nil"/>
            </w:tcBorders>
            <w:shd w:val="clear" w:color="auto" w:fill="auto"/>
            <w:noWrap/>
            <w:vAlign w:val="center"/>
            <w:hideMark/>
          </w:tcPr>
          <w:p w14:paraId="6950095D" w14:textId="29CC328B" w:rsidR="004B5302" w:rsidRPr="00005453" w:rsidRDefault="004B5302" w:rsidP="004B5302">
            <w:pPr>
              <w:jc w:val="right"/>
              <w:rPr>
                <w:color w:val="000000"/>
                <w:sz w:val="16"/>
                <w:szCs w:val="16"/>
                <w:lang w:eastAsia="tr-TR"/>
              </w:rPr>
            </w:pPr>
            <w:r w:rsidRPr="00005453">
              <w:rPr>
                <w:color w:val="000000"/>
                <w:sz w:val="16"/>
                <w:szCs w:val="16"/>
              </w:rPr>
              <w:t>118,959,200</w:t>
            </w:r>
          </w:p>
        </w:tc>
      </w:tr>
      <w:tr w:rsidR="004B5302" w:rsidRPr="00005453" w14:paraId="5697B88A" w14:textId="77777777" w:rsidTr="004B5302">
        <w:trPr>
          <w:trHeight w:val="144"/>
        </w:trPr>
        <w:tc>
          <w:tcPr>
            <w:tcW w:w="4536" w:type="dxa"/>
            <w:tcBorders>
              <w:top w:val="nil"/>
              <w:left w:val="nil"/>
              <w:bottom w:val="nil"/>
              <w:right w:val="nil"/>
            </w:tcBorders>
            <w:shd w:val="clear" w:color="auto" w:fill="auto"/>
            <w:noWrap/>
            <w:vAlign w:val="center"/>
            <w:hideMark/>
          </w:tcPr>
          <w:p w14:paraId="6E8D5B20" w14:textId="77777777" w:rsidR="004B5302" w:rsidRPr="00005453" w:rsidRDefault="004B5302" w:rsidP="004B5302">
            <w:pPr>
              <w:rPr>
                <w:color w:val="000000"/>
                <w:sz w:val="16"/>
                <w:szCs w:val="16"/>
                <w:lang w:eastAsia="tr-TR"/>
              </w:rPr>
            </w:pPr>
            <w:r w:rsidRPr="00005453">
              <w:rPr>
                <w:color w:val="000000"/>
                <w:sz w:val="16"/>
                <w:szCs w:val="16"/>
                <w:lang w:eastAsia="tr-TR"/>
              </w:rPr>
              <w:t>Bölümler arası transferler</w:t>
            </w:r>
          </w:p>
        </w:tc>
        <w:tc>
          <w:tcPr>
            <w:tcW w:w="940" w:type="dxa"/>
            <w:tcBorders>
              <w:top w:val="nil"/>
              <w:left w:val="nil"/>
              <w:bottom w:val="nil"/>
              <w:right w:val="nil"/>
            </w:tcBorders>
            <w:shd w:val="clear" w:color="auto" w:fill="auto"/>
            <w:noWrap/>
            <w:vAlign w:val="center"/>
            <w:hideMark/>
          </w:tcPr>
          <w:p w14:paraId="3FEDD5CF" w14:textId="561F5025" w:rsidR="004B5302" w:rsidRPr="00005453" w:rsidRDefault="004B5302" w:rsidP="004B5302">
            <w:pPr>
              <w:jc w:val="right"/>
              <w:rPr>
                <w:color w:val="000000"/>
                <w:sz w:val="16"/>
                <w:szCs w:val="16"/>
                <w:lang w:eastAsia="tr-TR"/>
              </w:rPr>
            </w:pPr>
            <w:r w:rsidRPr="00005453">
              <w:rPr>
                <w:color w:val="000000"/>
                <w:sz w:val="16"/>
                <w:szCs w:val="18"/>
              </w:rPr>
              <w:t>47,198,583</w:t>
            </w:r>
          </w:p>
        </w:tc>
        <w:tc>
          <w:tcPr>
            <w:tcW w:w="967" w:type="dxa"/>
            <w:tcBorders>
              <w:top w:val="nil"/>
              <w:left w:val="nil"/>
              <w:bottom w:val="nil"/>
              <w:right w:val="nil"/>
            </w:tcBorders>
            <w:shd w:val="clear" w:color="auto" w:fill="auto"/>
            <w:noWrap/>
            <w:vAlign w:val="center"/>
            <w:hideMark/>
          </w:tcPr>
          <w:p w14:paraId="2230315B" w14:textId="0A528F22" w:rsidR="004B5302" w:rsidRPr="00005453" w:rsidRDefault="004B5302" w:rsidP="004B5302">
            <w:pPr>
              <w:jc w:val="right"/>
              <w:rPr>
                <w:color w:val="000000"/>
                <w:sz w:val="16"/>
                <w:szCs w:val="16"/>
                <w:lang w:eastAsia="tr-TR"/>
              </w:rPr>
            </w:pPr>
            <w:r w:rsidRPr="00005453">
              <w:rPr>
                <w:color w:val="000000"/>
                <w:sz w:val="16"/>
                <w:szCs w:val="18"/>
              </w:rPr>
              <w:t>(21,574,525)</w:t>
            </w:r>
          </w:p>
        </w:tc>
        <w:tc>
          <w:tcPr>
            <w:tcW w:w="1212" w:type="dxa"/>
            <w:tcBorders>
              <w:top w:val="nil"/>
              <w:left w:val="nil"/>
              <w:bottom w:val="nil"/>
              <w:right w:val="nil"/>
            </w:tcBorders>
            <w:shd w:val="clear" w:color="auto" w:fill="auto"/>
            <w:noWrap/>
            <w:vAlign w:val="center"/>
            <w:hideMark/>
          </w:tcPr>
          <w:p w14:paraId="2DE22AA7" w14:textId="1C49D037" w:rsidR="004B5302" w:rsidRPr="00005453" w:rsidRDefault="004B5302" w:rsidP="004B5302">
            <w:pPr>
              <w:jc w:val="right"/>
              <w:rPr>
                <w:color w:val="000000"/>
                <w:sz w:val="16"/>
                <w:szCs w:val="16"/>
                <w:lang w:eastAsia="tr-TR"/>
              </w:rPr>
            </w:pPr>
            <w:r w:rsidRPr="00005453">
              <w:rPr>
                <w:color w:val="000000"/>
                <w:sz w:val="16"/>
                <w:szCs w:val="18"/>
              </w:rPr>
              <w:t>(25,624,058)</w:t>
            </w:r>
          </w:p>
        </w:tc>
        <w:tc>
          <w:tcPr>
            <w:tcW w:w="1276" w:type="dxa"/>
            <w:tcBorders>
              <w:top w:val="nil"/>
              <w:left w:val="nil"/>
              <w:bottom w:val="nil"/>
              <w:right w:val="nil"/>
            </w:tcBorders>
            <w:shd w:val="clear" w:color="auto" w:fill="auto"/>
            <w:noWrap/>
            <w:vAlign w:val="center"/>
            <w:hideMark/>
          </w:tcPr>
          <w:p w14:paraId="588B2427" w14:textId="7199DBF5" w:rsidR="004B5302" w:rsidRPr="00005453" w:rsidRDefault="004B5302" w:rsidP="004B5302">
            <w:pPr>
              <w:jc w:val="right"/>
              <w:rPr>
                <w:color w:val="000000"/>
                <w:sz w:val="16"/>
                <w:szCs w:val="16"/>
                <w:lang w:eastAsia="tr-TR"/>
              </w:rPr>
            </w:pPr>
            <w:r w:rsidRPr="00005453">
              <w:rPr>
                <w:color w:val="000000"/>
                <w:sz w:val="16"/>
                <w:szCs w:val="18"/>
              </w:rPr>
              <w:t>-</w:t>
            </w:r>
          </w:p>
        </w:tc>
        <w:tc>
          <w:tcPr>
            <w:tcW w:w="993" w:type="dxa"/>
            <w:tcBorders>
              <w:top w:val="nil"/>
              <w:left w:val="nil"/>
              <w:bottom w:val="nil"/>
              <w:right w:val="nil"/>
            </w:tcBorders>
            <w:shd w:val="clear" w:color="auto" w:fill="auto"/>
            <w:noWrap/>
            <w:vAlign w:val="center"/>
            <w:hideMark/>
          </w:tcPr>
          <w:p w14:paraId="6CF6E40D" w14:textId="0A939363" w:rsidR="004B5302" w:rsidRPr="00005453" w:rsidRDefault="004B5302" w:rsidP="004B5302">
            <w:pPr>
              <w:jc w:val="right"/>
              <w:rPr>
                <w:color w:val="000000"/>
                <w:sz w:val="16"/>
                <w:szCs w:val="16"/>
                <w:lang w:eastAsia="tr-TR"/>
              </w:rPr>
            </w:pPr>
            <w:r w:rsidRPr="00005453">
              <w:rPr>
                <w:color w:val="000000"/>
                <w:sz w:val="16"/>
                <w:szCs w:val="16"/>
              </w:rPr>
              <w:t>-</w:t>
            </w:r>
          </w:p>
        </w:tc>
      </w:tr>
      <w:tr w:rsidR="004B5302" w:rsidRPr="00005453" w14:paraId="659C90A2" w14:textId="77777777" w:rsidTr="004B5302">
        <w:trPr>
          <w:trHeight w:val="144"/>
        </w:trPr>
        <w:tc>
          <w:tcPr>
            <w:tcW w:w="4536" w:type="dxa"/>
            <w:tcBorders>
              <w:top w:val="nil"/>
              <w:left w:val="nil"/>
              <w:bottom w:val="nil"/>
              <w:right w:val="nil"/>
            </w:tcBorders>
            <w:shd w:val="clear" w:color="auto" w:fill="auto"/>
            <w:noWrap/>
            <w:vAlign w:val="center"/>
            <w:hideMark/>
          </w:tcPr>
          <w:p w14:paraId="158F5CAE" w14:textId="77777777" w:rsidR="004B5302" w:rsidRPr="00005453" w:rsidRDefault="004B5302" w:rsidP="004B5302">
            <w:pPr>
              <w:rPr>
                <w:b/>
                <w:bCs/>
                <w:color w:val="000000"/>
                <w:sz w:val="16"/>
                <w:szCs w:val="16"/>
                <w:lang w:eastAsia="tr-TR"/>
              </w:rPr>
            </w:pPr>
            <w:r w:rsidRPr="00005453">
              <w:rPr>
                <w:b/>
                <w:bCs/>
                <w:color w:val="000000"/>
                <w:sz w:val="16"/>
                <w:szCs w:val="16"/>
                <w:lang w:eastAsia="tr-TR"/>
              </w:rPr>
              <w:t>Net faaliyet karı / zararı</w:t>
            </w:r>
          </w:p>
        </w:tc>
        <w:tc>
          <w:tcPr>
            <w:tcW w:w="940" w:type="dxa"/>
            <w:tcBorders>
              <w:top w:val="nil"/>
              <w:left w:val="nil"/>
              <w:bottom w:val="nil"/>
              <w:right w:val="nil"/>
            </w:tcBorders>
            <w:shd w:val="clear" w:color="auto" w:fill="auto"/>
            <w:noWrap/>
            <w:vAlign w:val="center"/>
            <w:hideMark/>
          </w:tcPr>
          <w:p w14:paraId="37E32AD2" w14:textId="79050EC8" w:rsidR="004B5302" w:rsidRPr="00005453" w:rsidRDefault="004B5302" w:rsidP="004B5302">
            <w:pPr>
              <w:jc w:val="right"/>
              <w:rPr>
                <w:b/>
                <w:color w:val="000000"/>
                <w:sz w:val="16"/>
                <w:szCs w:val="16"/>
                <w:lang w:eastAsia="tr-TR"/>
              </w:rPr>
            </w:pPr>
            <w:r w:rsidRPr="00005453">
              <w:rPr>
                <w:b/>
                <w:bCs/>
                <w:color w:val="000000"/>
                <w:sz w:val="16"/>
                <w:szCs w:val="16"/>
              </w:rPr>
              <w:t>94,446,893</w:t>
            </w:r>
          </w:p>
        </w:tc>
        <w:tc>
          <w:tcPr>
            <w:tcW w:w="967" w:type="dxa"/>
            <w:tcBorders>
              <w:top w:val="nil"/>
              <w:left w:val="nil"/>
              <w:bottom w:val="nil"/>
              <w:right w:val="nil"/>
            </w:tcBorders>
            <w:shd w:val="clear" w:color="auto" w:fill="auto"/>
            <w:noWrap/>
            <w:vAlign w:val="center"/>
            <w:hideMark/>
          </w:tcPr>
          <w:p w14:paraId="20EE8931" w14:textId="0952E8DA" w:rsidR="004B5302" w:rsidRPr="00005453" w:rsidRDefault="004B5302" w:rsidP="004B5302">
            <w:pPr>
              <w:jc w:val="right"/>
              <w:rPr>
                <w:b/>
                <w:color w:val="000000"/>
                <w:sz w:val="16"/>
                <w:szCs w:val="16"/>
                <w:lang w:eastAsia="tr-TR"/>
              </w:rPr>
            </w:pPr>
            <w:r w:rsidRPr="00005453">
              <w:rPr>
                <w:b/>
                <w:bCs/>
                <w:color w:val="000000"/>
                <w:sz w:val="16"/>
                <w:szCs w:val="16"/>
              </w:rPr>
              <w:t>1,019,604</w:t>
            </w:r>
          </w:p>
        </w:tc>
        <w:tc>
          <w:tcPr>
            <w:tcW w:w="1212" w:type="dxa"/>
            <w:tcBorders>
              <w:top w:val="nil"/>
              <w:left w:val="nil"/>
              <w:bottom w:val="nil"/>
              <w:right w:val="nil"/>
            </w:tcBorders>
            <w:shd w:val="clear" w:color="auto" w:fill="auto"/>
            <w:noWrap/>
            <w:vAlign w:val="center"/>
            <w:hideMark/>
          </w:tcPr>
          <w:p w14:paraId="7A11DA8A" w14:textId="4CBBB07C" w:rsidR="004B5302" w:rsidRPr="00005453" w:rsidRDefault="004B5302" w:rsidP="004B5302">
            <w:pPr>
              <w:jc w:val="right"/>
              <w:rPr>
                <w:b/>
                <w:color w:val="000000"/>
                <w:sz w:val="16"/>
                <w:szCs w:val="16"/>
                <w:lang w:eastAsia="tr-TR"/>
              </w:rPr>
            </w:pPr>
            <w:r w:rsidRPr="00005453">
              <w:rPr>
                <w:b/>
                <w:bCs/>
                <w:color w:val="000000"/>
                <w:sz w:val="16"/>
                <w:szCs w:val="16"/>
              </w:rPr>
              <w:t>(28,773,450)</w:t>
            </w:r>
          </w:p>
        </w:tc>
        <w:tc>
          <w:tcPr>
            <w:tcW w:w="1276" w:type="dxa"/>
            <w:tcBorders>
              <w:top w:val="nil"/>
              <w:left w:val="nil"/>
              <w:bottom w:val="nil"/>
              <w:right w:val="nil"/>
            </w:tcBorders>
            <w:shd w:val="clear" w:color="auto" w:fill="auto"/>
            <w:noWrap/>
            <w:vAlign w:val="center"/>
            <w:hideMark/>
          </w:tcPr>
          <w:p w14:paraId="19F9D3C0" w14:textId="576E7537" w:rsidR="004B5302" w:rsidRPr="00005453" w:rsidRDefault="004B5302" w:rsidP="004B5302">
            <w:pPr>
              <w:jc w:val="right"/>
              <w:rPr>
                <w:b/>
                <w:color w:val="000000"/>
                <w:sz w:val="16"/>
                <w:szCs w:val="16"/>
                <w:lang w:eastAsia="tr-TR"/>
              </w:rPr>
            </w:pPr>
            <w:r w:rsidRPr="00005453">
              <w:rPr>
                <w:b/>
                <w:bCs/>
                <w:color w:val="000000"/>
                <w:sz w:val="16"/>
                <w:szCs w:val="16"/>
              </w:rPr>
              <w:t>(20,435,889)</w:t>
            </w:r>
          </w:p>
        </w:tc>
        <w:tc>
          <w:tcPr>
            <w:tcW w:w="993" w:type="dxa"/>
            <w:tcBorders>
              <w:top w:val="nil"/>
              <w:left w:val="nil"/>
              <w:bottom w:val="nil"/>
              <w:right w:val="nil"/>
            </w:tcBorders>
            <w:shd w:val="clear" w:color="auto" w:fill="auto"/>
            <w:noWrap/>
            <w:vAlign w:val="center"/>
            <w:hideMark/>
          </w:tcPr>
          <w:p w14:paraId="203D2AB8" w14:textId="0FDEE786" w:rsidR="004B5302" w:rsidRPr="00005453" w:rsidRDefault="004B5302" w:rsidP="004B5302">
            <w:pPr>
              <w:jc w:val="right"/>
              <w:rPr>
                <w:b/>
                <w:color w:val="000000"/>
                <w:sz w:val="16"/>
                <w:szCs w:val="16"/>
                <w:lang w:eastAsia="tr-TR"/>
              </w:rPr>
            </w:pPr>
            <w:r w:rsidRPr="00005453">
              <w:rPr>
                <w:b/>
                <w:bCs/>
                <w:color w:val="000000"/>
                <w:sz w:val="16"/>
                <w:szCs w:val="16"/>
              </w:rPr>
              <w:t>46,257,158</w:t>
            </w:r>
          </w:p>
        </w:tc>
      </w:tr>
      <w:tr w:rsidR="004B5302" w:rsidRPr="00005453" w14:paraId="54A4A499" w14:textId="77777777" w:rsidTr="004B5302">
        <w:trPr>
          <w:trHeight w:val="144"/>
        </w:trPr>
        <w:tc>
          <w:tcPr>
            <w:tcW w:w="4536" w:type="dxa"/>
            <w:tcBorders>
              <w:top w:val="nil"/>
              <w:left w:val="nil"/>
              <w:bottom w:val="nil"/>
              <w:right w:val="nil"/>
            </w:tcBorders>
            <w:shd w:val="clear" w:color="auto" w:fill="auto"/>
            <w:noWrap/>
            <w:vAlign w:val="center"/>
            <w:hideMark/>
          </w:tcPr>
          <w:p w14:paraId="4265951B" w14:textId="77777777" w:rsidR="004B5302" w:rsidRPr="00005453" w:rsidRDefault="004B5302" w:rsidP="004B5302">
            <w:pPr>
              <w:rPr>
                <w:color w:val="000000"/>
                <w:sz w:val="16"/>
                <w:szCs w:val="16"/>
                <w:lang w:eastAsia="tr-TR"/>
              </w:rPr>
            </w:pPr>
            <w:r w:rsidRPr="00005453">
              <w:rPr>
                <w:color w:val="000000"/>
                <w:sz w:val="16"/>
                <w:szCs w:val="16"/>
                <w:lang w:eastAsia="tr-TR"/>
              </w:rPr>
              <w:t>İştiraklerden elde edilen gelir</w:t>
            </w:r>
          </w:p>
        </w:tc>
        <w:tc>
          <w:tcPr>
            <w:tcW w:w="940" w:type="dxa"/>
            <w:tcBorders>
              <w:top w:val="nil"/>
              <w:left w:val="nil"/>
              <w:bottom w:val="nil"/>
              <w:right w:val="nil"/>
            </w:tcBorders>
            <w:shd w:val="clear" w:color="auto" w:fill="auto"/>
            <w:noWrap/>
            <w:vAlign w:val="center"/>
            <w:hideMark/>
          </w:tcPr>
          <w:p w14:paraId="4E16091F" w14:textId="36B7CEFC" w:rsidR="004B5302" w:rsidRPr="00005453" w:rsidRDefault="004B5302" w:rsidP="004B5302">
            <w:pPr>
              <w:jc w:val="right"/>
              <w:rPr>
                <w:color w:val="000000"/>
                <w:sz w:val="16"/>
                <w:szCs w:val="16"/>
                <w:lang w:eastAsia="tr-TR"/>
              </w:rPr>
            </w:pPr>
            <w:r w:rsidRPr="00005453">
              <w:rPr>
                <w:color w:val="000000"/>
                <w:sz w:val="16"/>
                <w:szCs w:val="18"/>
              </w:rPr>
              <w:t>-</w:t>
            </w:r>
          </w:p>
        </w:tc>
        <w:tc>
          <w:tcPr>
            <w:tcW w:w="967" w:type="dxa"/>
            <w:tcBorders>
              <w:top w:val="nil"/>
              <w:left w:val="nil"/>
              <w:bottom w:val="nil"/>
              <w:right w:val="nil"/>
            </w:tcBorders>
            <w:shd w:val="clear" w:color="auto" w:fill="auto"/>
            <w:noWrap/>
            <w:vAlign w:val="center"/>
            <w:hideMark/>
          </w:tcPr>
          <w:p w14:paraId="3E68BBB6" w14:textId="58CC4A50" w:rsidR="004B5302" w:rsidRPr="00005453" w:rsidRDefault="004B5302" w:rsidP="004B5302">
            <w:pPr>
              <w:jc w:val="right"/>
              <w:rPr>
                <w:color w:val="000000"/>
                <w:sz w:val="16"/>
                <w:szCs w:val="16"/>
                <w:lang w:eastAsia="tr-TR"/>
              </w:rPr>
            </w:pPr>
            <w:r w:rsidRPr="00005453">
              <w:rPr>
                <w:color w:val="000000"/>
                <w:sz w:val="16"/>
                <w:szCs w:val="18"/>
              </w:rPr>
              <w:t>-</w:t>
            </w:r>
          </w:p>
        </w:tc>
        <w:tc>
          <w:tcPr>
            <w:tcW w:w="1212" w:type="dxa"/>
            <w:tcBorders>
              <w:top w:val="nil"/>
              <w:left w:val="nil"/>
              <w:bottom w:val="nil"/>
              <w:right w:val="nil"/>
            </w:tcBorders>
            <w:shd w:val="clear" w:color="auto" w:fill="auto"/>
            <w:noWrap/>
            <w:vAlign w:val="center"/>
            <w:hideMark/>
          </w:tcPr>
          <w:p w14:paraId="52F5F99A" w14:textId="63DEC924" w:rsidR="004B5302" w:rsidRPr="00005453" w:rsidRDefault="004B5302" w:rsidP="004B5302">
            <w:pPr>
              <w:jc w:val="right"/>
              <w:rPr>
                <w:color w:val="000000"/>
                <w:sz w:val="16"/>
                <w:szCs w:val="16"/>
                <w:lang w:eastAsia="tr-TR"/>
              </w:rPr>
            </w:pPr>
            <w:r w:rsidRPr="00005453">
              <w:rPr>
                <w:color w:val="000000"/>
                <w:sz w:val="16"/>
                <w:szCs w:val="18"/>
              </w:rPr>
              <w:t>-</w:t>
            </w:r>
          </w:p>
        </w:tc>
        <w:tc>
          <w:tcPr>
            <w:tcW w:w="1276" w:type="dxa"/>
            <w:tcBorders>
              <w:top w:val="nil"/>
              <w:left w:val="nil"/>
              <w:bottom w:val="nil"/>
              <w:right w:val="nil"/>
            </w:tcBorders>
            <w:shd w:val="clear" w:color="auto" w:fill="auto"/>
            <w:noWrap/>
            <w:vAlign w:val="center"/>
            <w:hideMark/>
          </w:tcPr>
          <w:p w14:paraId="41756389" w14:textId="02ED8DAF" w:rsidR="004B5302" w:rsidRPr="00005453" w:rsidRDefault="004B5302" w:rsidP="004B5302">
            <w:pPr>
              <w:jc w:val="right"/>
              <w:rPr>
                <w:color w:val="000000"/>
                <w:sz w:val="16"/>
                <w:szCs w:val="16"/>
                <w:lang w:eastAsia="tr-TR"/>
              </w:rPr>
            </w:pPr>
            <w:r w:rsidRPr="00005453">
              <w:rPr>
                <w:color w:val="000000"/>
                <w:sz w:val="16"/>
                <w:szCs w:val="18"/>
              </w:rPr>
              <w:t>-</w:t>
            </w:r>
          </w:p>
        </w:tc>
        <w:tc>
          <w:tcPr>
            <w:tcW w:w="993" w:type="dxa"/>
            <w:tcBorders>
              <w:top w:val="nil"/>
              <w:left w:val="nil"/>
              <w:bottom w:val="nil"/>
              <w:right w:val="nil"/>
            </w:tcBorders>
            <w:shd w:val="clear" w:color="auto" w:fill="auto"/>
            <w:noWrap/>
            <w:vAlign w:val="center"/>
            <w:hideMark/>
          </w:tcPr>
          <w:p w14:paraId="4F784966" w14:textId="1E76A3FD" w:rsidR="004B5302" w:rsidRPr="00005453" w:rsidRDefault="004B5302" w:rsidP="004B5302">
            <w:pPr>
              <w:jc w:val="right"/>
              <w:rPr>
                <w:color w:val="000000"/>
                <w:sz w:val="16"/>
                <w:szCs w:val="16"/>
                <w:lang w:eastAsia="tr-TR"/>
              </w:rPr>
            </w:pPr>
            <w:r w:rsidRPr="00005453">
              <w:rPr>
                <w:color w:val="000000"/>
                <w:sz w:val="16"/>
                <w:szCs w:val="16"/>
              </w:rPr>
              <w:t>-</w:t>
            </w:r>
          </w:p>
        </w:tc>
      </w:tr>
      <w:tr w:rsidR="004B5302" w:rsidRPr="00005453" w14:paraId="540FE5A6" w14:textId="77777777" w:rsidTr="004B5302">
        <w:trPr>
          <w:trHeight w:val="144"/>
        </w:trPr>
        <w:tc>
          <w:tcPr>
            <w:tcW w:w="4536" w:type="dxa"/>
            <w:tcBorders>
              <w:top w:val="nil"/>
              <w:left w:val="nil"/>
              <w:bottom w:val="nil"/>
              <w:right w:val="nil"/>
            </w:tcBorders>
            <w:shd w:val="clear" w:color="auto" w:fill="auto"/>
            <w:noWrap/>
            <w:vAlign w:val="center"/>
            <w:hideMark/>
          </w:tcPr>
          <w:p w14:paraId="4B4B538E" w14:textId="77777777" w:rsidR="004B5302" w:rsidRPr="00005453" w:rsidRDefault="004B5302" w:rsidP="004B5302">
            <w:pPr>
              <w:rPr>
                <w:b/>
                <w:bCs/>
                <w:color w:val="000000"/>
                <w:sz w:val="16"/>
                <w:szCs w:val="16"/>
                <w:lang w:eastAsia="tr-TR"/>
              </w:rPr>
            </w:pPr>
            <w:r w:rsidRPr="00005453">
              <w:rPr>
                <w:b/>
                <w:bCs/>
                <w:color w:val="000000"/>
                <w:sz w:val="16"/>
                <w:szCs w:val="16"/>
                <w:lang w:eastAsia="tr-TR"/>
              </w:rPr>
              <w:t>Vergi öncesi kar</w:t>
            </w:r>
          </w:p>
        </w:tc>
        <w:tc>
          <w:tcPr>
            <w:tcW w:w="940" w:type="dxa"/>
            <w:tcBorders>
              <w:top w:val="nil"/>
              <w:left w:val="nil"/>
              <w:bottom w:val="nil"/>
              <w:right w:val="nil"/>
            </w:tcBorders>
            <w:shd w:val="clear" w:color="auto" w:fill="auto"/>
            <w:noWrap/>
            <w:vAlign w:val="center"/>
            <w:hideMark/>
          </w:tcPr>
          <w:p w14:paraId="23D13D7D" w14:textId="1F6EDE73" w:rsidR="004B5302" w:rsidRPr="00005453" w:rsidRDefault="004B5302" w:rsidP="004B5302">
            <w:pPr>
              <w:jc w:val="right"/>
              <w:rPr>
                <w:b/>
                <w:color w:val="000000"/>
                <w:sz w:val="16"/>
                <w:szCs w:val="16"/>
                <w:lang w:eastAsia="tr-TR"/>
              </w:rPr>
            </w:pPr>
            <w:r w:rsidRPr="00005453">
              <w:rPr>
                <w:color w:val="000000"/>
                <w:sz w:val="16"/>
                <w:szCs w:val="18"/>
              </w:rPr>
              <w:t>94,446,893</w:t>
            </w:r>
          </w:p>
        </w:tc>
        <w:tc>
          <w:tcPr>
            <w:tcW w:w="967" w:type="dxa"/>
            <w:tcBorders>
              <w:top w:val="nil"/>
              <w:left w:val="nil"/>
              <w:bottom w:val="nil"/>
              <w:right w:val="nil"/>
            </w:tcBorders>
            <w:shd w:val="clear" w:color="auto" w:fill="auto"/>
            <w:noWrap/>
            <w:vAlign w:val="center"/>
            <w:hideMark/>
          </w:tcPr>
          <w:p w14:paraId="2D30A227" w14:textId="1090AE38" w:rsidR="004B5302" w:rsidRPr="00005453" w:rsidRDefault="004B5302" w:rsidP="004B5302">
            <w:pPr>
              <w:jc w:val="right"/>
              <w:rPr>
                <w:b/>
                <w:color w:val="000000"/>
                <w:sz w:val="16"/>
                <w:szCs w:val="16"/>
                <w:lang w:eastAsia="tr-TR"/>
              </w:rPr>
            </w:pPr>
            <w:r w:rsidRPr="00005453">
              <w:rPr>
                <w:color w:val="000000"/>
                <w:sz w:val="16"/>
                <w:szCs w:val="18"/>
              </w:rPr>
              <w:t>1,019,604</w:t>
            </w:r>
          </w:p>
        </w:tc>
        <w:tc>
          <w:tcPr>
            <w:tcW w:w="1212" w:type="dxa"/>
            <w:tcBorders>
              <w:top w:val="nil"/>
              <w:left w:val="nil"/>
              <w:bottom w:val="nil"/>
              <w:right w:val="nil"/>
            </w:tcBorders>
            <w:shd w:val="clear" w:color="auto" w:fill="auto"/>
            <w:noWrap/>
            <w:vAlign w:val="center"/>
            <w:hideMark/>
          </w:tcPr>
          <w:p w14:paraId="3DC97F6B" w14:textId="19785850" w:rsidR="004B5302" w:rsidRPr="00005453" w:rsidRDefault="004B5302" w:rsidP="004B5302">
            <w:pPr>
              <w:jc w:val="right"/>
              <w:rPr>
                <w:b/>
                <w:color w:val="000000"/>
                <w:sz w:val="16"/>
                <w:szCs w:val="16"/>
                <w:lang w:eastAsia="tr-TR"/>
              </w:rPr>
            </w:pPr>
            <w:r w:rsidRPr="00005453">
              <w:rPr>
                <w:color w:val="000000"/>
                <w:sz w:val="16"/>
                <w:szCs w:val="18"/>
              </w:rPr>
              <w:t>(28,773,450)</w:t>
            </w:r>
          </w:p>
        </w:tc>
        <w:tc>
          <w:tcPr>
            <w:tcW w:w="1276" w:type="dxa"/>
            <w:tcBorders>
              <w:top w:val="nil"/>
              <w:left w:val="nil"/>
              <w:bottom w:val="nil"/>
              <w:right w:val="nil"/>
            </w:tcBorders>
            <w:shd w:val="clear" w:color="auto" w:fill="auto"/>
            <w:noWrap/>
            <w:vAlign w:val="center"/>
            <w:hideMark/>
          </w:tcPr>
          <w:p w14:paraId="762A101F" w14:textId="38E0B0DB" w:rsidR="004B5302" w:rsidRPr="00005453" w:rsidRDefault="004B5302" w:rsidP="004B5302">
            <w:pPr>
              <w:jc w:val="right"/>
              <w:rPr>
                <w:b/>
                <w:color w:val="000000"/>
                <w:sz w:val="16"/>
                <w:szCs w:val="16"/>
                <w:lang w:eastAsia="tr-TR"/>
              </w:rPr>
            </w:pPr>
            <w:r w:rsidRPr="00005453">
              <w:rPr>
                <w:color w:val="000000"/>
                <w:sz w:val="16"/>
                <w:szCs w:val="18"/>
              </w:rPr>
              <w:t>(20,435,889)</w:t>
            </w:r>
          </w:p>
        </w:tc>
        <w:tc>
          <w:tcPr>
            <w:tcW w:w="993" w:type="dxa"/>
            <w:tcBorders>
              <w:top w:val="nil"/>
              <w:left w:val="nil"/>
              <w:bottom w:val="nil"/>
              <w:right w:val="nil"/>
            </w:tcBorders>
            <w:shd w:val="clear" w:color="auto" w:fill="auto"/>
            <w:noWrap/>
            <w:vAlign w:val="center"/>
            <w:hideMark/>
          </w:tcPr>
          <w:p w14:paraId="46B976D0" w14:textId="1C24AD17" w:rsidR="004B5302" w:rsidRPr="00005453" w:rsidRDefault="004B5302" w:rsidP="004B5302">
            <w:pPr>
              <w:jc w:val="right"/>
              <w:rPr>
                <w:b/>
                <w:color w:val="000000"/>
                <w:sz w:val="16"/>
                <w:szCs w:val="16"/>
                <w:lang w:eastAsia="tr-TR"/>
              </w:rPr>
            </w:pPr>
            <w:r w:rsidRPr="00005453">
              <w:rPr>
                <w:color w:val="000000"/>
                <w:sz w:val="16"/>
                <w:szCs w:val="16"/>
              </w:rPr>
              <w:t>46,257,158</w:t>
            </w:r>
          </w:p>
        </w:tc>
      </w:tr>
      <w:tr w:rsidR="004B5302" w:rsidRPr="00005453" w14:paraId="5F02F8AC" w14:textId="77777777" w:rsidTr="004B5302">
        <w:trPr>
          <w:trHeight w:val="144"/>
        </w:trPr>
        <w:tc>
          <w:tcPr>
            <w:tcW w:w="4536" w:type="dxa"/>
            <w:tcBorders>
              <w:top w:val="nil"/>
              <w:left w:val="nil"/>
              <w:bottom w:val="nil"/>
              <w:right w:val="nil"/>
            </w:tcBorders>
            <w:shd w:val="clear" w:color="auto" w:fill="auto"/>
            <w:noWrap/>
            <w:vAlign w:val="center"/>
            <w:hideMark/>
          </w:tcPr>
          <w:p w14:paraId="00E9F437" w14:textId="77777777" w:rsidR="004B5302" w:rsidRPr="00005453" w:rsidRDefault="004B5302" w:rsidP="004B5302">
            <w:pPr>
              <w:rPr>
                <w:color w:val="000000"/>
                <w:sz w:val="16"/>
                <w:szCs w:val="16"/>
                <w:lang w:eastAsia="tr-TR"/>
              </w:rPr>
            </w:pPr>
            <w:r w:rsidRPr="00005453">
              <w:rPr>
                <w:color w:val="000000"/>
                <w:sz w:val="16"/>
                <w:szCs w:val="16"/>
                <w:lang w:eastAsia="tr-TR"/>
              </w:rPr>
              <w:t>Vergi Karşılığı (-)</w:t>
            </w:r>
          </w:p>
        </w:tc>
        <w:tc>
          <w:tcPr>
            <w:tcW w:w="940" w:type="dxa"/>
            <w:tcBorders>
              <w:top w:val="nil"/>
              <w:left w:val="nil"/>
              <w:bottom w:val="nil"/>
              <w:right w:val="nil"/>
            </w:tcBorders>
            <w:shd w:val="clear" w:color="auto" w:fill="auto"/>
            <w:noWrap/>
            <w:vAlign w:val="center"/>
            <w:hideMark/>
          </w:tcPr>
          <w:p w14:paraId="2A4A8C77" w14:textId="198ACF53" w:rsidR="004B5302" w:rsidRPr="00005453" w:rsidRDefault="004B5302" w:rsidP="004B5302">
            <w:pPr>
              <w:jc w:val="right"/>
              <w:rPr>
                <w:color w:val="000000"/>
                <w:sz w:val="16"/>
                <w:szCs w:val="16"/>
                <w:lang w:eastAsia="tr-TR"/>
              </w:rPr>
            </w:pPr>
            <w:r w:rsidRPr="00005453">
              <w:rPr>
                <w:color w:val="000000"/>
                <w:sz w:val="16"/>
                <w:szCs w:val="18"/>
              </w:rPr>
              <w:t>-</w:t>
            </w:r>
          </w:p>
        </w:tc>
        <w:tc>
          <w:tcPr>
            <w:tcW w:w="967" w:type="dxa"/>
            <w:tcBorders>
              <w:top w:val="nil"/>
              <w:left w:val="nil"/>
              <w:bottom w:val="nil"/>
              <w:right w:val="nil"/>
            </w:tcBorders>
            <w:shd w:val="clear" w:color="auto" w:fill="auto"/>
            <w:noWrap/>
            <w:vAlign w:val="center"/>
            <w:hideMark/>
          </w:tcPr>
          <w:p w14:paraId="08FB8AB3" w14:textId="2864EEDE" w:rsidR="004B5302" w:rsidRPr="00005453" w:rsidRDefault="004B5302" w:rsidP="004B5302">
            <w:pPr>
              <w:jc w:val="right"/>
              <w:rPr>
                <w:color w:val="000000"/>
                <w:sz w:val="16"/>
                <w:szCs w:val="16"/>
                <w:lang w:eastAsia="tr-TR"/>
              </w:rPr>
            </w:pPr>
            <w:r w:rsidRPr="00005453">
              <w:rPr>
                <w:color w:val="000000"/>
                <w:sz w:val="16"/>
                <w:szCs w:val="18"/>
              </w:rPr>
              <w:t>-</w:t>
            </w:r>
          </w:p>
        </w:tc>
        <w:tc>
          <w:tcPr>
            <w:tcW w:w="1212" w:type="dxa"/>
            <w:tcBorders>
              <w:top w:val="nil"/>
              <w:left w:val="nil"/>
              <w:bottom w:val="nil"/>
              <w:right w:val="nil"/>
            </w:tcBorders>
            <w:shd w:val="clear" w:color="auto" w:fill="auto"/>
            <w:noWrap/>
            <w:vAlign w:val="center"/>
            <w:hideMark/>
          </w:tcPr>
          <w:p w14:paraId="3504AF5C" w14:textId="1FCAD6C6" w:rsidR="004B5302" w:rsidRPr="00005453" w:rsidRDefault="004B5302" w:rsidP="004B5302">
            <w:pPr>
              <w:jc w:val="right"/>
              <w:rPr>
                <w:color w:val="000000"/>
                <w:sz w:val="16"/>
                <w:szCs w:val="16"/>
                <w:lang w:eastAsia="tr-TR"/>
              </w:rPr>
            </w:pPr>
            <w:r w:rsidRPr="00005453">
              <w:rPr>
                <w:color w:val="000000"/>
                <w:sz w:val="16"/>
                <w:szCs w:val="18"/>
              </w:rPr>
              <w:t>-</w:t>
            </w:r>
          </w:p>
        </w:tc>
        <w:tc>
          <w:tcPr>
            <w:tcW w:w="1276" w:type="dxa"/>
            <w:tcBorders>
              <w:top w:val="nil"/>
              <w:left w:val="nil"/>
              <w:bottom w:val="nil"/>
              <w:right w:val="nil"/>
            </w:tcBorders>
            <w:shd w:val="clear" w:color="auto" w:fill="auto"/>
            <w:noWrap/>
            <w:vAlign w:val="center"/>
            <w:hideMark/>
          </w:tcPr>
          <w:p w14:paraId="0FC832B4" w14:textId="27F7011F" w:rsidR="004B5302" w:rsidRPr="00005453" w:rsidRDefault="004B5302" w:rsidP="004B5302">
            <w:pPr>
              <w:jc w:val="right"/>
              <w:rPr>
                <w:color w:val="000000"/>
                <w:sz w:val="16"/>
                <w:szCs w:val="16"/>
                <w:lang w:eastAsia="tr-TR"/>
              </w:rPr>
            </w:pPr>
            <w:r w:rsidRPr="00005453">
              <w:rPr>
                <w:color w:val="000000"/>
                <w:sz w:val="16"/>
                <w:szCs w:val="16"/>
              </w:rPr>
              <w:t>11,603,702</w:t>
            </w:r>
          </w:p>
        </w:tc>
        <w:tc>
          <w:tcPr>
            <w:tcW w:w="993" w:type="dxa"/>
            <w:tcBorders>
              <w:top w:val="nil"/>
              <w:left w:val="nil"/>
              <w:bottom w:val="nil"/>
              <w:right w:val="nil"/>
            </w:tcBorders>
            <w:shd w:val="clear" w:color="auto" w:fill="auto"/>
            <w:noWrap/>
            <w:vAlign w:val="center"/>
            <w:hideMark/>
          </w:tcPr>
          <w:p w14:paraId="0E4DF028" w14:textId="030FB8D9" w:rsidR="004B5302" w:rsidRPr="00005453" w:rsidRDefault="004B5302" w:rsidP="004B5302">
            <w:pPr>
              <w:jc w:val="right"/>
              <w:rPr>
                <w:color w:val="000000"/>
                <w:sz w:val="16"/>
                <w:szCs w:val="16"/>
                <w:lang w:eastAsia="tr-TR"/>
              </w:rPr>
            </w:pPr>
            <w:r w:rsidRPr="00005453">
              <w:rPr>
                <w:color w:val="000000"/>
                <w:sz w:val="16"/>
                <w:szCs w:val="16"/>
              </w:rPr>
              <w:t>11,603,702</w:t>
            </w:r>
          </w:p>
        </w:tc>
      </w:tr>
      <w:tr w:rsidR="004B5302" w:rsidRPr="00005453" w14:paraId="4EB1200B" w14:textId="77777777" w:rsidTr="004B5302">
        <w:trPr>
          <w:trHeight w:val="144"/>
        </w:trPr>
        <w:tc>
          <w:tcPr>
            <w:tcW w:w="4536" w:type="dxa"/>
            <w:tcBorders>
              <w:top w:val="nil"/>
              <w:left w:val="nil"/>
              <w:bottom w:val="nil"/>
              <w:right w:val="nil"/>
            </w:tcBorders>
            <w:shd w:val="clear" w:color="auto" w:fill="auto"/>
            <w:noWrap/>
            <w:vAlign w:val="center"/>
            <w:hideMark/>
          </w:tcPr>
          <w:p w14:paraId="100AC148" w14:textId="77777777" w:rsidR="004B5302" w:rsidRPr="00005453" w:rsidRDefault="004B5302" w:rsidP="004B5302">
            <w:pPr>
              <w:rPr>
                <w:b/>
                <w:bCs/>
                <w:color w:val="000000"/>
                <w:sz w:val="16"/>
                <w:szCs w:val="16"/>
                <w:lang w:eastAsia="tr-TR"/>
              </w:rPr>
            </w:pPr>
            <w:r w:rsidRPr="00005453">
              <w:rPr>
                <w:b/>
                <w:bCs/>
                <w:color w:val="000000"/>
                <w:sz w:val="16"/>
                <w:szCs w:val="16"/>
                <w:lang w:eastAsia="tr-TR"/>
              </w:rPr>
              <w:t>Dönem net karı</w:t>
            </w:r>
          </w:p>
        </w:tc>
        <w:tc>
          <w:tcPr>
            <w:tcW w:w="940" w:type="dxa"/>
            <w:tcBorders>
              <w:top w:val="nil"/>
              <w:left w:val="nil"/>
              <w:bottom w:val="nil"/>
              <w:right w:val="nil"/>
            </w:tcBorders>
            <w:shd w:val="clear" w:color="auto" w:fill="auto"/>
            <w:noWrap/>
            <w:vAlign w:val="center"/>
            <w:hideMark/>
          </w:tcPr>
          <w:p w14:paraId="07A59A69" w14:textId="7B39360B" w:rsidR="004B5302" w:rsidRPr="00005453" w:rsidRDefault="004B5302" w:rsidP="004B5302">
            <w:pPr>
              <w:jc w:val="right"/>
              <w:rPr>
                <w:b/>
                <w:color w:val="000000"/>
                <w:sz w:val="16"/>
                <w:szCs w:val="16"/>
                <w:lang w:eastAsia="tr-TR"/>
              </w:rPr>
            </w:pPr>
            <w:r w:rsidRPr="00005453">
              <w:rPr>
                <w:b/>
                <w:bCs/>
                <w:color w:val="000000"/>
                <w:sz w:val="16"/>
                <w:szCs w:val="16"/>
              </w:rPr>
              <w:t>94,446,893</w:t>
            </w:r>
          </w:p>
        </w:tc>
        <w:tc>
          <w:tcPr>
            <w:tcW w:w="967" w:type="dxa"/>
            <w:tcBorders>
              <w:top w:val="nil"/>
              <w:left w:val="nil"/>
              <w:bottom w:val="nil"/>
              <w:right w:val="nil"/>
            </w:tcBorders>
            <w:shd w:val="clear" w:color="auto" w:fill="auto"/>
            <w:noWrap/>
            <w:vAlign w:val="center"/>
            <w:hideMark/>
          </w:tcPr>
          <w:p w14:paraId="77216AE9" w14:textId="60D7053A" w:rsidR="004B5302" w:rsidRPr="00005453" w:rsidRDefault="004B5302" w:rsidP="004B5302">
            <w:pPr>
              <w:jc w:val="right"/>
              <w:rPr>
                <w:b/>
                <w:color w:val="000000"/>
                <w:sz w:val="16"/>
                <w:szCs w:val="16"/>
                <w:lang w:eastAsia="tr-TR"/>
              </w:rPr>
            </w:pPr>
            <w:r w:rsidRPr="00005453">
              <w:rPr>
                <w:b/>
                <w:bCs/>
                <w:color w:val="000000"/>
                <w:sz w:val="16"/>
                <w:szCs w:val="16"/>
              </w:rPr>
              <w:t>1,019,604</w:t>
            </w:r>
          </w:p>
        </w:tc>
        <w:tc>
          <w:tcPr>
            <w:tcW w:w="1212" w:type="dxa"/>
            <w:tcBorders>
              <w:top w:val="nil"/>
              <w:left w:val="nil"/>
              <w:bottom w:val="nil"/>
              <w:right w:val="nil"/>
            </w:tcBorders>
            <w:shd w:val="clear" w:color="auto" w:fill="auto"/>
            <w:noWrap/>
            <w:vAlign w:val="center"/>
            <w:hideMark/>
          </w:tcPr>
          <w:p w14:paraId="580F5265" w14:textId="33F067D3" w:rsidR="004B5302" w:rsidRPr="00005453" w:rsidRDefault="004B5302" w:rsidP="004B5302">
            <w:pPr>
              <w:jc w:val="right"/>
              <w:rPr>
                <w:b/>
                <w:color w:val="000000"/>
                <w:sz w:val="16"/>
                <w:szCs w:val="16"/>
                <w:lang w:eastAsia="tr-TR"/>
              </w:rPr>
            </w:pPr>
            <w:r w:rsidRPr="00005453">
              <w:rPr>
                <w:b/>
                <w:bCs/>
                <w:color w:val="000000"/>
                <w:sz w:val="16"/>
                <w:szCs w:val="16"/>
              </w:rPr>
              <w:t>(28,773,450)</w:t>
            </w:r>
          </w:p>
        </w:tc>
        <w:tc>
          <w:tcPr>
            <w:tcW w:w="1276" w:type="dxa"/>
            <w:tcBorders>
              <w:top w:val="nil"/>
              <w:left w:val="nil"/>
              <w:bottom w:val="nil"/>
              <w:right w:val="nil"/>
            </w:tcBorders>
            <w:shd w:val="clear" w:color="auto" w:fill="auto"/>
            <w:noWrap/>
            <w:vAlign w:val="center"/>
            <w:hideMark/>
          </w:tcPr>
          <w:p w14:paraId="5ED8E04E" w14:textId="28CBD6C1" w:rsidR="004B5302" w:rsidRPr="00005453" w:rsidRDefault="004B5302" w:rsidP="004B5302">
            <w:pPr>
              <w:jc w:val="right"/>
              <w:rPr>
                <w:b/>
                <w:color w:val="000000"/>
                <w:sz w:val="16"/>
                <w:szCs w:val="16"/>
                <w:lang w:eastAsia="tr-TR"/>
              </w:rPr>
            </w:pPr>
            <w:r w:rsidRPr="00005453">
              <w:rPr>
                <w:b/>
                <w:bCs/>
                <w:color w:val="000000"/>
                <w:sz w:val="16"/>
                <w:szCs w:val="16"/>
              </w:rPr>
              <w:t>(32,039,591)</w:t>
            </w:r>
          </w:p>
        </w:tc>
        <w:tc>
          <w:tcPr>
            <w:tcW w:w="993" w:type="dxa"/>
            <w:tcBorders>
              <w:top w:val="nil"/>
              <w:left w:val="nil"/>
              <w:bottom w:val="nil"/>
              <w:right w:val="nil"/>
            </w:tcBorders>
            <w:shd w:val="clear" w:color="auto" w:fill="auto"/>
            <w:noWrap/>
            <w:vAlign w:val="center"/>
            <w:hideMark/>
          </w:tcPr>
          <w:p w14:paraId="4121F497" w14:textId="5B1DDF64" w:rsidR="004B5302" w:rsidRPr="00005453" w:rsidRDefault="004B5302" w:rsidP="004B5302">
            <w:pPr>
              <w:jc w:val="right"/>
              <w:rPr>
                <w:b/>
                <w:color w:val="000000"/>
                <w:sz w:val="16"/>
                <w:szCs w:val="16"/>
                <w:lang w:eastAsia="tr-TR"/>
              </w:rPr>
            </w:pPr>
            <w:r w:rsidRPr="00005453">
              <w:rPr>
                <w:b/>
                <w:bCs/>
                <w:color w:val="000000"/>
                <w:sz w:val="16"/>
                <w:szCs w:val="16"/>
              </w:rPr>
              <w:t>34,653,456</w:t>
            </w:r>
          </w:p>
        </w:tc>
      </w:tr>
      <w:tr w:rsidR="008F5EF9" w:rsidRPr="00005453" w14:paraId="1FAE7FDD" w14:textId="77777777" w:rsidTr="00E13ED4">
        <w:trPr>
          <w:trHeight w:val="144"/>
        </w:trPr>
        <w:tc>
          <w:tcPr>
            <w:tcW w:w="4536" w:type="dxa"/>
            <w:tcBorders>
              <w:top w:val="nil"/>
              <w:left w:val="nil"/>
              <w:bottom w:val="nil"/>
              <w:right w:val="nil"/>
            </w:tcBorders>
            <w:shd w:val="clear" w:color="auto" w:fill="auto"/>
            <w:noWrap/>
            <w:vAlign w:val="bottom"/>
            <w:hideMark/>
          </w:tcPr>
          <w:p w14:paraId="7C272201" w14:textId="77777777" w:rsidR="008F5EF9" w:rsidRPr="00005453" w:rsidRDefault="008F5EF9" w:rsidP="008F5EF9">
            <w:pPr>
              <w:jc w:val="right"/>
              <w:rPr>
                <w:b/>
                <w:bCs/>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045082AB" w14:textId="77777777" w:rsidR="008F5EF9" w:rsidRPr="00005453" w:rsidRDefault="008F5EF9" w:rsidP="008F5EF9">
            <w:pPr>
              <w:rPr>
                <w:sz w:val="10"/>
                <w:szCs w:val="10"/>
                <w:lang w:eastAsia="tr-TR"/>
              </w:rPr>
            </w:pPr>
          </w:p>
        </w:tc>
        <w:tc>
          <w:tcPr>
            <w:tcW w:w="967" w:type="dxa"/>
            <w:tcBorders>
              <w:top w:val="nil"/>
              <w:left w:val="nil"/>
              <w:bottom w:val="nil"/>
              <w:right w:val="nil"/>
            </w:tcBorders>
            <w:shd w:val="clear" w:color="auto" w:fill="auto"/>
            <w:vAlign w:val="bottom"/>
            <w:hideMark/>
          </w:tcPr>
          <w:p w14:paraId="1FB188CE" w14:textId="77777777" w:rsidR="008F5EF9" w:rsidRPr="00005453" w:rsidRDefault="008F5EF9" w:rsidP="008F5EF9">
            <w:pPr>
              <w:rPr>
                <w:sz w:val="10"/>
                <w:szCs w:val="10"/>
                <w:lang w:eastAsia="tr-TR"/>
              </w:rPr>
            </w:pPr>
          </w:p>
        </w:tc>
        <w:tc>
          <w:tcPr>
            <w:tcW w:w="1212" w:type="dxa"/>
            <w:tcBorders>
              <w:top w:val="nil"/>
              <w:left w:val="nil"/>
              <w:bottom w:val="nil"/>
              <w:right w:val="nil"/>
            </w:tcBorders>
            <w:shd w:val="clear" w:color="auto" w:fill="auto"/>
            <w:noWrap/>
            <w:vAlign w:val="bottom"/>
            <w:hideMark/>
          </w:tcPr>
          <w:p w14:paraId="78DA0087" w14:textId="77777777" w:rsidR="008F5EF9" w:rsidRPr="00005453" w:rsidRDefault="008F5EF9" w:rsidP="008F5EF9">
            <w:pPr>
              <w:rPr>
                <w:sz w:val="10"/>
                <w:szCs w:val="10"/>
                <w:lang w:eastAsia="tr-TR"/>
              </w:rPr>
            </w:pPr>
          </w:p>
        </w:tc>
        <w:tc>
          <w:tcPr>
            <w:tcW w:w="1276" w:type="dxa"/>
            <w:tcBorders>
              <w:top w:val="nil"/>
              <w:left w:val="nil"/>
              <w:bottom w:val="nil"/>
              <w:right w:val="nil"/>
            </w:tcBorders>
            <w:shd w:val="clear" w:color="auto" w:fill="auto"/>
            <w:vAlign w:val="bottom"/>
            <w:hideMark/>
          </w:tcPr>
          <w:p w14:paraId="5E533600" w14:textId="77777777" w:rsidR="008F5EF9" w:rsidRPr="00005453" w:rsidRDefault="008F5EF9" w:rsidP="008F5EF9">
            <w:pPr>
              <w:rPr>
                <w:sz w:val="10"/>
                <w:szCs w:val="10"/>
                <w:lang w:eastAsia="tr-TR"/>
              </w:rPr>
            </w:pPr>
          </w:p>
        </w:tc>
        <w:tc>
          <w:tcPr>
            <w:tcW w:w="993" w:type="dxa"/>
            <w:tcBorders>
              <w:top w:val="nil"/>
              <w:left w:val="nil"/>
              <w:bottom w:val="nil"/>
              <w:right w:val="nil"/>
            </w:tcBorders>
            <w:shd w:val="clear" w:color="auto" w:fill="auto"/>
            <w:vAlign w:val="bottom"/>
            <w:hideMark/>
          </w:tcPr>
          <w:p w14:paraId="394B7AB0" w14:textId="77777777" w:rsidR="008F5EF9" w:rsidRPr="00005453" w:rsidRDefault="008F5EF9" w:rsidP="008F5EF9">
            <w:pPr>
              <w:rPr>
                <w:sz w:val="10"/>
                <w:szCs w:val="10"/>
                <w:lang w:eastAsia="tr-TR"/>
              </w:rPr>
            </w:pPr>
          </w:p>
        </w:tc>
      </w:tr>
      <w:tr w:rsidR="008F5EF9" w:rsidRPr="00005453" w14:paraId="7427A71B" w14:textId="77777777" w:rsidTr="00E13ED4">
        <w:trPr>
          <w:trHeight w:val="140"/>
        </w:trPr>
        <w:tc>
          <w:tcPr>
            <w:tcW w:w="4536" w:type="dxa"/>
            <w:tcBorders>
              <w:top w:val="nil"/>
              <w:left w:val="nil"/>
              <w:bottom w:val="nil"/>
              <w:right w:val="nil"/>
            </w:tcBorders>
            <w:shd w:val="clear" w:color="auto" w:fill="auto"/>
            <w:noWrap/>
            <w:vAlign w:val="center"/>
            <w:hideMark/>
          </w:tcPr>
          <w:p w14:paraId="046C1788" w14:textId="77777777" w:rsidR="008F5EF9" w:rsidRPr="00005453" w:rsidRDefault="008F5EF9" w:rsidP="008F5EF9">
            <w:pPr>
              <w:rPr>
                <w:b/>
                <w:bCs/>
                <w:color w:val="000000"/>
                <w:sz w:val="16"/>
                <w:szCs w:val="16"/>
                <w:lang w:eastAsia="tr-TR"/>
              </w:rPr>
            </w:pPr>
            <w:r w:rsidRPr="00005453">
              <w:rPr>
                <w:b/>
                <w:bCs/>
                <w:color w:val="000000"/>
                <w:sz w:val="16"/>
                <w:szCs w:val="16"/>
                <w:lang w:eastAsia="tr-TR"/>
              </w:rPr>
              <w:t>Cari Dönem</w:t>
            </w:r>
          </w:p>
        </w:tc>
        <w:tc>
          <w:tcPr>
            <w:tcW w:w="940" w:type="dxa"/>
            <w:tcBorders>
              <w:top w:val="nil"/>
              <w:left w:val="nil"/>
              <w:bottom w:val="nil"/>
              <w:right w:val="nil"/>
            </w:tcBorders>
            <w:shd w:val="clear" w:color="auto" w:fill="auto"/>
            <w:noWrap/>
            <w:vAlign w:val="bottom"/>
            <w:hideMark/>
          </w:tcPr>
          <w:p w14:paraId="41CF7281" w14:textId="77777777" w:rsidR="008F5EF9" w:rsidRPr="00005453" w:rsidRDefault="008F5EF9" w:rsidP="008F5EF9">
            <w:pPr>
              <w:rPr>
                <w:b/>
                <w:bCs/>
                <w:color w:val="000000"/>
                <w:sz w:val="16"/>
                <w:szCs w:val="16"/>
                <w:lang w:eastAsia="tr-TR"/>
              </w:rPr>
            </w:pPr>
          </w:p>
        </w:tc>
        <w:tc>
          <w:tcPr>
            <w:tcW w:w="967" w:type="dxa"/>
            <w:tcBorders>
              <w:top w:val="nil"/>
              <w:left w:val="nil"/>
              <w:bottom w:val="nil"/>
              <w:right w:val="nil"/>
            </w:tcBorders>
            <w:shd w:val="clear" w:color="auto" w:fill="auto"/>
            <w:vAlign w:val="bottom"/>
            <w:hideMark/>
          </w:tcPr>
          <w:p w14:paraId="4E689E3F" w14:textId="77777777" w:rsidR="008F5EF9" w:rsidRPr="00005453" w:rsidRDefault="008F5EF9" w:rsidP="008F5EF9">
            <w:pPr>
              <w:rPr>
                <w:lang w:eastAsia="tr-TR"/>
              </w:rPr>
            </w:pPr>
          </w:p>
        </w:tc>
        <w:tc>
          <w:tcPr>
            <w:tcW w:w="1212" w:type="dxa"/>
            <w:tcBorders>
              <w:top w:val="nil"/>
              <w:left w:val="nil"/>
              <w:bottom w:val="nil"/>
              <w:right w:val="nil"/>
            </w:tcBorders>
            <w:shd w:val="clear" w:color="auto" w:fill="auto"/>
            <w:noWrap/>
            <w:vAlign w:val="bottom"/>
            <w:hideMark/>
          </w:tcPr>
          <w:p w14:paraId="1E8BB97F" w14:textId="77777777" w:rsidR="008F5EF9" w:rsidRPr="00005453" w:rsidRDefault="008F5EF9" w:rsidP="008F5EF9">
            <w:pPr>
              <w:rPr>
                <w:lang w:eastAsia="tr-TR"/>
              </w:rPr>
            </w:pPr>
          </w:p>
        </w:tc>
        <w:tc>
          <w:tcPr>
            <w:tcW w:w="1276" w:type="dxa"/>
            <w:tcBorders>
              <w:top w:val="nil"/>
              <w:left w:val="nil"/>
              <w:bottom w:val="nil"/>
              <w:right w:val="nil"/>
            </w:tcBorders>
            <w:shd w:val="clear" w:color="auto" w:fill="auto"/>
            <w:vAlign w:val="bottom"/>
            <w:hideMark/>
          </w:tcPr>
          <w:p w14:paraId="7157F21C" w14:textId="77777777" w:rsidR="008F5EF9" w:rsidRPr="00005453" w:rsidRDefault="008F5EF9" w:rsidP="008F5EF9">
            <w:pPr>
              <w:rPr>
                <w:lang w:eastAsia="tr-TR"/>
              </w:rPr>
            </w:pPr>
          </w:p>
        </w:tc>
        <w:tc>
          <w:tcPr>
            <w:tcW w:w="993" w:type="dxa"/>
            <w:tcBorders>
              <w:top w:val="nil"/>
              <w:left w:val="nil"/>
              <w:bottom w:val="nil"/>
              <w:right w:val="nil"/>
            </w:tcBorders>
            <w:shd w:val="clear" w:color="auto" w:fill="auto"/>
            <w:vAlign w:val="bottom"/>
            <w:hideMark/>
          </w:tcPr>
          <w:p w14:paraId="55F0061F" w14:textId="77777777" w:rsidR="008F5EF9" w:rsidRPr="00005453" w:rsidRDefault="008F5EF9" w:rsidP="008F5EF9">
            <w:pPr>
              <w:rPr>
                <w:lang w:eastAsia="tr-TR"/>
              </w:rPr>
            </w:pPr>
          </w:p>
        </w:tc>
      </w:tr>
      <w:tr w:rsidR="008F5EF9" w:rsidRPr="00005453" w14:paraId="60C94C64" w14:textId="77777777" w:rsidTr="00E13ED4">
        <w:trPr>
          <w:trHeight w:val="140"/>
        </w:trPr>
        <w:tc>
          <w:tcPr>
            <w:tcW w:w="4536" w:type="dxa"/>
            <w:tcBorders>
              <w:top w:val="nil"/>
              <w:left w:val="nil"/>
              <w:bottom w:val="nil"/>
              <w:right w:val="nil"/>
            </w:tcBorders>
            <w:shd w:val="clear" w:color="auto" w:fill="auto"/>
            <w:noWrap/>
            <w:vAlign w:val="center"/>
            <w:hideMark/>
          </w:tcPr>
          <w:p w14:paraId="30429A77" w14:textId="6084D144" w:rsidR="008F5EF9" w:rsidRPr="00005453" w:rsidRDefault="008F5EF9" w:rsidP="008F5EF9">
            <w:pPr>
              <w:rPr>
                <w:b/>
                <w:bCs/>
                <w:color w:val="000000"/>
                <w:sz w:val="16"/>
                <w:szCs w:val="16"/>
                <w:lang w:eastAsia="tr-TR"/>
              </w:rPr>
            </w:pPr>
            <w:r w:rsidRPr="00005453">
              <w:rPr>
                <w:b/>
                <w:bCs/>
                <w:color w:val="000000"/>
                <w:sz w:val="16"/>
                <w:szCs w:val="16"/>
                <w:lang w:eastAsia="tr-TR"/>
              </w:rPr>
              <w:t>31 Aralık 202</w:t>
            </w:r>
            <w:r w:rsidR="007F6A49" w:rsidRPr="00005453">
              <w:rPr>
                <w:b/>
                <w:bCs/>
                <w:color w:val="000000"/>
                <w:sz w:val="16"/>
                <w:szCs w:val="16"/>
                <w:lang w:eastAsia="tr-TR"/>
              </w:rPr>
              <w:t>4</w:t>
            </w:r>
          </w:p>
        </w:tc>
        <w:tc>
          <w:tcPr>
            <w:tcW w:w="940" w:type="dxa"/>
            <w:tcBorders>
              <w:top w:val="nil"/>
              <w:left w:val="nil"/>
              <w:bottom w:val="nil"/>
              <w:right w:val="nil"/>
            </w:tcBorders>
            <w:shd w:val="clear" w:color="auto" w:fill="auto"/>
            <w:noWrap/>
            <w:vAlign w:val="bottom"/>
            <w:hideMark/>
          </w:tcPr>
          <w:p w14:paraId="062C9130" w14:textId="77777777" w:rsidR="008F5EF9" w:rsidRPr="00005453" w:rsidRDefault="008F5EF9" w:rsidP="008F5EF9">
            <w:pPr>
              <w:jc w:val="right"/>
              <w:rPr>
                <w:b/>
                <w:bCs/>
                <w:color w:val="000000"/>
                <w:sz w:val="16"/>
                <w:szCs w:val="16"/>
                <w:lang w:eastAsia="tr-TR"/>
              </w:rPr>
            </w:pPr>
          </w:p>
        </w:tc>
        <w:tc>
          <w:tcPr>
            <w:tcW w:w="967" w:type="dxa"/>
            <w:tcBorders>
              <w:top w:val="nil"/>
              <w:left w:val="nil"/>
              <w:bottom w:val="nil"/>
              <w:right w:val="nil"/>
            </w:tcBorders>
            <w:shd w:val="clear" w:color="auto" w:fill="auto"/>
            <w:vAlign w:val="bottom"/>
            <w:hideMark/>
          </w:tcPr>
          <w:p w14:paraId="76CA9CA0" w14:textId="77777777" w:rsidR="008F5EF9" w:rsidRPr="00005453" w:rsidRDefault="008F5EF9" w:rsidP="008F5EF9">
            <w:pPr>
              <w:rPr>
                <w:lang w:eastAsia="tr-TR"/>
              </w:rPr>
            </w:pPr>
          </w:p>
        </w:tc>
        <w:tc>
          <w:tcPr>
            <w:tcW w:w="1212" w:type="dxa"/>
            <w:tcBorders>
              <w:top w:val="nil"/>
              <w:left w:val="nil"/>
              <w:bottom w:val="nil"/>
              <w:right w:val="nil"/>
            </w:tcBorders>
            <w:shd w:val="clear" w:color="auto" w:fill="auto"/>
            <w:noWrap/>
            <w:vAlign w:val="bottom"/>
            <w:hideMark/>
          </w:tcPr>
          <w:p w14:paraId="55E79D2F" w14:textId="77777777" w:rsidR="008F5EF9" w:rsidRPr="00005453" w:rsidRDefault="008F5EF9" w:rsidP="008F5EF9">
            <w:pPr>
              <w:rPr>
                <w:lang w:eastAsia="tr-TR"/>
              </w:rPr>
            </w:pPr>
          </w:p>
        </w:tc>
        <w:tc>
          <w:tcPr>
            <w:tcW w:w="1276" w:type="dxa"/>
            <w:tcBorders>
              <w:top w:val="nil"/>
              <w:left w:val="nil"/>
              <w:bottom w:val="nil"/>
              <w:right w:val="nil"/>
            </w:tcBorders>
            <w:shd w:val="clear" w:color="auto" w:fill="auto"/>
            <w:vAlign w:val="bottom"/>
            <w:hideMark/>
          </w:tcPr>
          <w:p w14:paraId="3186060B" w14:textId="77777777" w:rsidR="008F5EF9" w:rsidRPr="00005453" w:rsidRDefault="008F5EF9" w:rsidP="008F5EF9">
            <w:pPr>
              <w:rPr>
                <w:lang w:eastAsia="tr-TR"/>
              </w:rPr>
            </w:pPr>
          </w:p>
        </w:tc>
        <w:tc>
          <w:tcPr>
            <w:tcW w:w="993" w:type="dxa"/>
            <w:tcBorders>
              <w:top w:val="nil"/>
              <w:left w:val="nil"/>
              <w:bottom w:val="nil"/>
              <w:right w:val="nil"/>
            </w:tcBorders>
            <w:shd w:val="clear" w:color="auto" w:fill="auto"/>
            <w:vAlign w:val="bottom"/>
            <w:hideMark/>
          </w:tcPr>
          <w:p w14:paraId="7DA29209" w14:textId="77777777" w:rsidR="008F5EF9" w:rsidRPr="00005453" w:rsidRDefault="008F5EF9" w:rsidP="008F5EF9">
            <w:pPr>
              <w:rPr>
                <w:lang w:eastAsia="tr-TR"/>
              </w:rPr>
            </w:pPr>
          </w:p>
        </w:tc>
      </w:tr>
      <w:tr w:rsidR="008F5EF9" w:rsidRPr="00005453" w14:paraId="39E0612C" w14:textId="77777777" w:rsidTr="00E13ED4">
        <w:trPr>
          <w:trHeight w:val="144"/>
        </w:trPr>
        <w:tc>
          <w:tcPr>
            <w:tcW w:w="4536" w:type="dxa"/>
            <w:tcBorders>
              <w:top w:val="nil"/>
              <w:left w:val="nil"/>
              <w:bottom w:val="nil"/>
              <w:right w:val="nil"/>
            </w:tcBorders>
            <w:shd w:val="clear" w:color="auto" w:fill="auto"/>
            <w:noWrap/>
            <w:vAlign w:val="center"/>
            <w:hideMark/>
          </w:tcPr>
          <w:p w14:paraId="2584928A" w14:textId="77777777" w:rsidR="008F5EF9" w:rsidRPr="00005453" w:rsidRDefault="008F5EF9" w:rsidP="008F5EF9">
            <w:pPr>
              <w:rPr>
                <w:sz w:val="10"/>
                <w:szCs w:val="10"/>
                <w:lang w:eastAsia="tr-TR"/>
              </w:rPr>
            </w:pPr>
          </w:p>
        </w:tc>
        <w:tc>
          <w:tcPr>
            <w:tcW w:w="940" w:type="dxa"/>
            <w:tcBorders>
              <w:top w:val="nil"/>
              <w:left w:val="nil"/>
              <w:bottom w:val="nil"/>
              <w:right w:val="nil"/>
            </w:tcBorders>
            <w:shd w:val="clear" w:color="auto" w:fill="auto"/>
            <w:noWrap/>
            <w:vAlign w:val="bottom"/>
            <w:hideMark/>
          </w:tcPr>
          <w:p w14:paraId="69F6756C" w14:textId="77777777" w:rsidR="008F5EF9" w:rsidRPr="00005453" w:rsidRDefault="008F5EF9" w:rsidP="008F5EF9">
            <w:pPr>
              <w:rPr>
                <w:sz w:val="10"/>
                <w:szCs w:val="10"/>
                <w:lang w:eastAsia="tr-TR"/>
              </w:rPr>
            </w:pPr>
          </w:p>
        </w:tc>
        <w:tc>
          <w:tcPr>
            <w:tcW w:w="967" w:type="dxa"/>
            <w:tcBorders>
              <w:top w:val="nil"/>
              <w:left w:val="nil"/>
              <w:bottom w:val="nil"/>
              <w:right w:val="nil"/>
            </w:tcBorders>
            <w:shd w:val="clear" w:color="auto" w:fill="auto"/>
            <w:noWrap/>
            <w:vAlign w:val="bottom"/>
            <w:hideMark/>
          </w:tcPr>
          <w:p w14:paraId="2F03A067" w14:textId="77777777" w:rsidR="008F5EF9" w:rsidRPr="00005453" w:rsidRDefault="008F5EF9" w:rsidP="008F5EF9">
            <w:pPr>
              <w:rPr>
                <w:sz w:val="10"/>
                <w:szCs w:val="10"/>
                <w:lang w:eastAsia="tr-TR"/>
              </w:rPr>
            </w:pPr>
          </w:p>
        </w:tc>
        <w:tc>
          <w:tcPr>
            <w:tcW w:w="1212" w:type="dxa"/>
            <w:tcBorders>
              <w:top w:val="nil"/>
              <w:left w:val="nil"/>
              <w:bottom w:val="nil"/>
              <w:right w:val="nil"/>
            </w:tcBorders>
            <w:shd w:val="clear" w:color="auto" w:fill="auto"/>
            <w:noWrap/>
            <w:vAlign w:val="bottom"/>
            <w:hideMark/>
          </w:tcPr>
          <w:p w14:paraId="392D6609" w14:textId="77777777" w:rsidR="008F5EF9" w:rsidRPr="00005453" w:rsidRDefault="008F5EF9" w:rsidP="008F5EF9">
            <w:pPr>
              <w:rPr>
                <w:sz w:val="10"/>
                <w:szCs w:val="10"/>
                <w:lang w:eastAsia="tr-TR"/>
              </w:rPr>
            </w:pPr>
          </w:p>
        </w:tc>
        <w:tc>
          <w:tcPr>
            <w:tcW w:w="1276" w:type="dxa"/>
            <w:tcBorders>
              <w:top w:val="nil"/>
              <w:left w:val="nil"/>
              <w:bottom w:val="nil"/>
              <w:right w:val="nil"/>
            </w:tcBorders>
            <w:shd w:val="clear" w:color="auto" w:fill="auto"/>
            <w:noWrap/>
            <w:vAlign w:val="bottom"/>
            <w:hideMark/>
          </w:tcPr>
          <w:p w14:paraId="1DB04036" w14:textId="77777777" w:rsidR="008F5EF9" w:rsidRPr="00005453" w:rsidRDefault="008F5EF9" w:rsidP="008F5EF9">
            <w:pPr>
              <w:rPr>
                <w:sz w:val="10"/>
                <w:szCs w:val="10"/>
                <w:lang w:eastAsia="tr-TR"/>
              </w:rPr>
            </w:pPr>
          </w:p>
        </w:tc>
        <w:tc>
          <w:tcPr>
            <w:tcW w:w="993" w:type="dxa"/>
            <w:tcBorders>
              <w:top w:val="nil"/>
              <w:left w:val="nil"/>
              <w:bottom w:val="nil"/>
              <w:right w:val="nil"/>
            </w:tcBorders>
            <w:shd w:val="clear" w:color="auto" w:fill="auto"/>
            <w:noWrap/>
            <w:vAlign w:val="bottom"/>
            <w:hideMark/>
          </w:tcPr>
          <w:p w14:paraId="0D9C2266" w14:textId="77777777" w:rsidR="008F5EF9" w:rsidRPr="00005453" w:rsidRDefault="008F5EF9" w:rsidP="008F5EF9">
            <w:pPr>
              <w:rPr>
                <w:sz w:val="10"/>
                <w:szCs w:val="10"/>
                <w:lang w:eastAsia="tr-TR"/>
              </w:rPr>
            </w:pPr>
          </w:p>
        </w:tc>
      </w:tr>
      <w:tr w:rsidR="004B5302" w:rsidRPr="00005453" w14:paraId="095E0104" w14:textId="77777777" w:rsidTr="004B5302">
        <w:trPr>
          <w:trHeight w:val="144"/>
        </w:trPr>
        <w:tc>
          <w:tcPr>
            <w:tcW w:w="4536" w:type="dxa"/>
            <w:tcBorders>
              <w:top w:val="nil"/>
              <w:left w:val="nil"/>
              <w:bottom w:val="nil"/>
              <w:right w:val="nil"/>
            </w:tcBorders>
            <w:shd w:val="clear" w:color="auto" w:fill="auto"/>
            <w:noWrap/>
            <w:vAlign w:val="center"/>
            <w:hideMark/>
          </w:tcPr>
          <w:p w14:paraId="6FFC9EB6" w14:textId="77777777" w:rsidR="004B5302" w:rsidRPr="00005453" w:rsidRDefault="004B5302" w:rsidP="004B5302">
            <w:pPr>
              <w:rPr>
                <w:color w:val="000000"/>
                <w:sz w:val="16"/>
                <w:szCs w:val="16"/>
                <w:lang w:eastAsia="tr-TR"/>
              </w:rPr>
            </w:pPr>
            <w:r w:rsidRPr="00005453">
              <w:rPr>
                <w:color w:val="000000"/>
                <w:sz w:val="16"/>
                <w:szCs w:val="16"/>
                <w:lang w:eastAsia="tr-TR"/>
              </w:rPr>
              <w:t>Bölüm varlıkları</w:t>
            </w:r>
          </w:p>
        </w:tc>
        <w:tc>
          <w:tcPr>
            <w:tcW w:w="940" w:type="dxa"/>
            <w:tcBorders>
              <w:top w:val="nil"/>
              <w:left w:val="nil"/>
              <w:bottom w:val="nil"/>
              <w:right w:val="nil"/>
            </w:tcBorders>
            <w:shd w:val="clear" w:color="auto" w:fill="auto"/>
            <w:noWrap/>
            <w:vAlign w:val="center"/>
            <w:hideMark/>
          </w:tcPr>
          <w:p w14:paraId="4961A221" w14:textId="628A5552" w:rsidR="004B5302" w:rsidRPr="00005453" w:rsidRDefault="004B5302" w:rsidP="004B5302">
            <w:pPr>
              <w:jc w:val="right"/>
              <w:rPr>
                <w:color w:val="000000"/>
                <w:sz w:val="16"/>
                <w:szCs w:val="16"/>
                <w:lang w:eastAsia="tr-TR"/>
              </w:rPr>
            </w:pPr>
            <w:r w:rsidRPr="00005453">
              <w:rPr>
                <w:color w:val="000000"/>
                <w:sz w:val="16"/>
                <w:szCs w:val="16"/>
              </w:rPr>
              <w:t>161,029,683</w:t>
            </w:r>
          </w:p>
        </w:tc>
        <w:tc>
          <w:tcPr>
            <w:tcW w:w="967" w:type="dxa"/>
            <w:tcBorders>
              <w:top w:val="nil"/>
              <w:left w:val="nil"/>
              <w:bottom w:val="nil"/>
              <w:right w:val="nil"/>
            </w:tcBorders>
            <w:shd w:val="clear" w:color="auto" w:fill="auto"/>
            <w:noWrap/>
            <w:vAlign w:val="center"/>
            <w:hideMark/>
          </w:tcPr>
          <w:p w14:paraId="4195A920" w14:textId="1A65F430" w:rsidR="004B5302" w:rsidRPr="00005453" w:rsidRDefault="004B5302" w:rsidP="004B5302">
            <w:pPr>
              <w:jc w:val="right"/>
              <w:rPr>
                <w:color w:val="000000"/>
                <w:sz w:val="16"/>
                <w:szCs w:val="16"/>
                <w:lang w:eastAsia="tr-TR"/>
              </w:rPr>
            </w:pPr>
            <w:r w:rsidRPr="00005453">
              <w:rPr>
                <w:color w:val="000000"/>
                <w:sz w:val="16"/>
                <w:szCs w:val="16"/>
              </w:rPr>
              <w:t>260,169,927</w:t>
            </w:r>
          </w:p>
        </w:tc>
        <w:tc>
          <w:tcPr>
            <w:tcW w:w="1212" w:type="dxa"/>
            <w:tcBorders>
              <w:top w:val="nil"/>
              <w:left w:val="nil"/>
              <w:bottom w:val="nil"/>
              <w:right w:val="nil"/>
            </w:tcBorders>
            <w:shd w:val="clear" w:color="auto" w:fill="auto"/>
            <w:noWrap/>
            <w:vAlign w:val="center"/>
            <w:hideMark/>
          </w:tcPr>
          <w:p w14:paraId="25860200" w14:textId="70C886CC" w:rsidR="004B5302" w:rsidRPr="00005453" w:rsidRDefault="004B5302" w:rsidP="004B5302">
            <w:pPr>
              <w:jc w:val="right"/>
              <w:rPr>
                <w:color w:val="000000"/>
                <w:sz w:val="16"/>
                <w:szCs w:val="16"/>
                <w:lang w:eastAsia="tr-TR"/>
              </w:rPr>
            </w:pPr>
            <w:r w:rsidRPr="00005453">
              <w:rPr>
                <w:color w:val="000000"/>
                <w:sz w:val="16"/>
                <w:szCs w:val="16"/>
              </w:rPr>
              <w:t>401,551,099</w:t>
            </w:r>
          </w:p>
        </w:tc>
        <w:tc>
          <w:tcPr>
            <w:tcW w:w="1276" w:type="dxa"/>
            <w:tcBorders>
              <w:top w:val="nil"/>
              <w:left w:val="nil"/>
              <w:bottom w:val="nil"/>
              <w:right w:val="nil"/>
            </w:tcBorders>
            <w:shd w:val="clear" w:color="auto" w:fill="auto"/>
            <w:noWrap/>
            <w:vAlign w:val="center"/>
            <w:hideMark/>
          </w:tcPr>
          <w:p w14:paraId="21077785" w14:textId="029F1E55" w:rsidR="004B5302" w:rsidRPr="00005453" w:rsidRDefault="004B5302" w:rsidP="004B5302">
            <w:pPr>
              <w:jc w:val="right"/>
              <w:rPr>
                <w:color w:val="000000"/>
                <w:sz w:val="16"/>
                <w:szCs w:val="16"/>
                <w:lang w:eastAsia="tr-TR"/>
              </w:rPr>
            </w:pPr>
            <w:r w:rsidRPr="00005453">
              <w:rPr>
                <w:color w:val="000000"/>
                <w:sz w:val="16"/>
                <w:szCs w:val="16"/>
              </w:rPr>
              <w:t>-</w:t>
            </w:r>
          </w:p>
        </w:tc>
        <w:tc>
          <w:tcPr>
            <w:tcW w:w="993" w:type="dxa"/>
            <w:tcBorders>
              <w:top w:val="nil"/>
              <w:left w:val="nil"/>
              <w:bottom w:val="nil"/>
              <w:right w:val="nil"/>
            </w:tcBorders>
            <w:shd w:val="clear" w:color="auto" w:fill="auto"/>
            <w:noWrap/>
            <w:vAlign w:val="center"/>
            <w:hideMark/>
          </w:tcPr>
          <w:p w14:paraId="3680E1AA" w14:textId="2465CEBA" w:rsidR="004B5302" w:rsidRPr="00005453" w:rsidRDefault="004B5302" w:rsidP="004B5302">
            <w:pPr>
              <w:jc w:val="right"/>
              <w:rPr>
                <w:color w:val="000000"/>
                <w:sz w:val="16"/>
                <w:szCs w:val="16"/>
                <w:lang w:eastAsia="tr-TR"/>
              </w:rPr>
            </w:pPr>
            <w:r w:rsidRPr="00005453">
              <w:rPr>
                <w:color w:val="000000"/>
                <w:sz w:val="16"/>
                <w:szCs w:val="16"/>
              </w:rPr>
              <w:t>822,750,709</w:t>
            </w:r>
          </w:p>
        </w:tc>
      </w:tr>
      <w:tr w:rsidR="004B5302" w:rsidRPr="00005453" w14:paraId="7D2DF830" w14:textId="77777777" w:rsidTr="004B5302">
        <w:trPr>
          <w:trHeight w:val="144"/>
        </w:trPr>
        <w:tc>
          <w:tcPr>
            <w:tcW w:w="4536" w:type="dxa"/>
            <w:tcBorders>
              <w:top w:val="nil"/>
              <w:left w:val="nil"/>
              <w:bottom w:val="nil"/>
              <w:right w:val="nil"/>
            </w:tcBorders>
            <w:shd w:val="clear" w:color="auto" w:fill="auto"/>
            <w:noWrap/>
            <w:vAlign w:val="center"/>
            <w:hideMark/>
          </w:tcPr>
          <w:p w14:paraId="7659AA27" w14:textId="77777777" w:rsidR="004B5302" w:rsidRPr="00005453" w:rsidRDefault="004B5302" w:rsidP="004B5302">
            <w:pPr>
              <w:rPr>
                <w:color w:val="000000"/>
                <w:sz w:val="16"/>
                <w:szCs w:val="16"/>
                <w:lang w:eastAsia="tr-TR"/>
              </w:rPr>
            </w:pPr>
            <w:r w:rsidRPr="00005453">
              <w:rPr>
                <w:color w:val="000000"/>
                <w:sz w:val="16"/>
                <w:szCs w:val="16"/>
                <w:lang w:eastAsia="tr-TR"/>
              </w:rPr>
              <w:t>İştirak ve bağlı ortaklık ve birlikte kontrol edilen ortaklıklar</w:t>
            </w:r>
          </w:p>
        </w:tc>
        <w:tc>
          <w:tcPr>
            <w:tcW w:w="940" w:type="dxa"/>
            <w:tcBorders>
              <w:top w:val="nil"/>
              <w:left w:val="nil"/>
              <w:bottom w:val="nil"/>
              <w:right w:val="nil"/>
            </w:tcBorders>
            <w:shd w:val="clear" w:color="auto" w:fill="auto"/>
            <w:noWrap/>
            <w:vAlign w:val="center"/>
            <w:hideMark/>
          </w:tcPr>
          <w:p w14:paraId="68E180BE" w14:textId="6F1E31F5" w:rsidR="004B5302" w:rsidRPr="00005453" w:rsidRDefault="004B5302" w:rsidP="004B5302">
            <w:pPr>
              <w:jc w:val="right"/>
              <w:rPr>
                <w:color w:val="000000"/>
                <w:sz w:val="16"/>
                <w:szCs w:val="16"/>
                <w:lang w:eastAsia="tr-TR"/>
              </w:rPr>
            </w:pPr>
            <w:r w:rsidRPr="00005453">
              <w:rPr>
                <w:color w:val="000000"/>
                <w:sz w:val="16"/>
                <w:szCs w:val="16"/>
              </w:rPr>
              <w:t>-</w:t>
            </w:r>
          </w:p>
        </w:tc>
        <w:tc>
          <w:tcPr>
            <w:tcW w:w="967" w:type="dxa"/>
            <w:tcBorders>
              <w:top w:val="nil"/>
              <w:left w:val="nil"/>
              <w:bottom w:val="nil"/>
              <w:right w:val="nil"/>
            </w:tcBorders>
            <w:shd w:val="clear" w:color="auto" w:fill="auto"/>
            <w:noWrap/>
            <w:vAlign w:val="center"/>
            <w:hideMark/>
          </w:tcPr>
          <w:p w14:paraId="2E14EC7D" w14:textId="741BC36A" w:rsidR="004B5302" w:rsidRPr="00005453" w:rsidRDefault="004B5302" w:rsidP="004B5302">
            <w:pPr>
              <w:jc w:val="right"/>
              <w:rPr>
                <w:color w:val="000000"/>
                <w:sz w:val="16"/>
                <w:szCs w:val="16"/>
                <w:lang w:eastAsia="tr-TR"/>
              </w:rPr>
            </w:pPr>
            <w:r w:rsidRPr="00005453">
              <w:rPr>
                <w:color w:val="000000"/>
                <w:sz w:val="16"/>
                <w:szCs w:val="16"/>
              </w:rPr>
              <w:t>-</w:t>
            </w:r>
          </w:p>
        </w:tc>
        <w:tc>
          <w:tcPr>
            <w:tcW w:w="1212" w:type="dxa"/>
            <w:tcBorders>
              <w:top w:val="nil"/>
              <w:left w:val="nil"/>
              <w:bottom w:val="nil"/>
              <w:right w:val="nil"/>
            </w:tcBorders>
            <w:shd w:val="clear" w:color="auto" w:fill="auto"/>
            <w:noWrap/>
            <w:vAlign w:val="center"/>
            <w:hideMark/>
          </w:tcPr>
          <w:p w14:paraId="73C14DBA" w14:textId="60FE6F01" w:rsidR="004B5302" w:rsidRPr="00005453" w:rsidRDefault="004B5302" w:rsidP="004B5302">
            <w:pPr>
              <w:jc w:val="right"/>
              <w:rPr>
                <w:color w:val="000000"/>
                <w:sz w:val="16"/>
                <w:szCs w:val="16"/>
                <w:lang w:eastAsia="tr-TR"/>
              </w:rPr>
            </w:pPr>
            <w:r w:rsidRPr="00005453">
              <w:rPr>
                <w:color w:val="000000"/>
                <w:sz w:val="16"/>
                <w:szCs w:val="16"/>
              </w:rPr>
              <w:t>-</w:t>
            </w:r>
          </w:p>
        </w:tc>
        <w:tc>
          <w:tcPr>
            <w:tcW w:w="1276" w:type="dxa"/>
            <w:tcBorders>
              <w:top w:val="nil"/>
              <w:left w:val="nil"/>
              <w:bottom w:val="nil"/>
              <w:right w:val="nil"/>
            </w:tcBorders>
            <w:shd w:val="clear" w:color="auto" w:fill="auto"/>
            <w:noWrap/>
            <w:vAlign w:val="center"/>
            <w:hideMark/>
          </w:tcPr>
          <w:p w14:paraId="59CFBC00" w14:textId="3090C084" w:rsidR="004B5302" w:rsidRPr="00005453" w:rsidRDefault="004B5302" w:rsidP="004B5302">
            <w:pPr>
              <w:jc w:val="right"/>
              <w:rPr>
                <w:color w:val="000000"/>
                <w:sz w:val="16"/>
                <w:szCs w:val="16"/>
                <w:lang w:eastAsia="tr-TR"/>
              </w:rPr>
            </w:pPr>
            <w:r w:rsidRPr="00005453">
              <w:rPr>
                <w:color w:val="000000"/>
                <w:sz w:val="16"/>
                <w:szCs w:val="16"/>
              </w:rPr>
              <w:t>4,142,212</w:t>
            </w:r>
          </w:p>
        </w:tc>
        <w:tc>
          <w:tcPr>
            <w:tcW w:w="993" w:type="dxa"/>
            <w:tcBorders>
              <w:top w:val="nil"/>
              <w:left w:val="nil"/>
              <w:bottom w:val="nil"/>
              <w:right w:val="nil"/>
            </w:tcBorders>
            <w:shd w:val="clear" w:color="auto" w:fill="auto"/>
            <w:noWrap/>
            <w:vAlign w:val="center"/>
            <w:hideMark/>
          </w:tcPr>
          <w:p w14:paraId="116C2757" w14:textId="0C9D6292" w:rsidR="004B5302" w:rsidRPr="00005453" w:rsidRDefault="004B5302" w:rsidP="004B5302">
            <w:pPr>
              <w:jc w:val="right"/>
              <w:rPr>
                <w:color w:val="000000"/>
                <w:sz w:val="16"/>
                <w:szCs w:val="16"/>
                <w:lang w:eastAsia="tr-TR"/>
              </w:rPr>
            </w:pPr>
            <w:r w:rsidRPr="00005453">
              <w:rPr>
                <w:color w:val="000000"/>
                <w:sz w:val="16"/>
                <w:szCs w:val="16"/>
              </w:rPr>
              <w:t>4,142,212</w:t>
            </w:r>
          </w:p>
        </w:tc>
      </w:tr>
      <w:tr w:rsidR="004B5302" w:rsidRPr="00005453" w14:paraId="03632F82" w14:textId="77777777" w:rsidTr="004B5302">
        <w:trPr>
          <w:trHeight w:val="144"/>
        </w:trPr>
        <w:tc>
          <w:tcPr>
            <w:tcW w:w="4536" w:type="dxa"/>
            <w:tcBorders>
              <w:top w:val="nil"/>
              <w:left w:val="nil"/>
              <w:bottom w:val="nil"/>
              <w:right w:val="nil"/>
            </w:tcBorders>
            <w:shd w:val="clear" w:color="auto" w:fill="auto"/>
            <w:noWrap/>
            <w:vAlign w:val="center"/>
            <w:hideMark/>
          </w:tcPr>
          <w:p w14:paraId="6797437E" w14:textId="77777777" w:rsidR="004B5302" w:rsidRPr="00005453" w:rsidRDefault="004B5302" w:rsidP="004B5302">
            <w:pPr>
              <w:rPr>
                <w:color w:val="000000"/>
                <w:sz w:val="16"/>
                <w:szCs w:val="16"/>
                <w:lang w:eastAsia="tr-TR"/>
              </w:rPr>
            </w:pPr>
            <w:r w:rsidRPr="00005453">
              <w:rPr>
                <w:color w:val="000000"/>
                <w:sz w:val="16"/>
                <w:szCs w:val="16"/>
                <w:lang w:eastAsia="tr-TR"/>
              </w:rPr>
              <w:t>Dağıtılmamış varlıklar</w:t>
            </w:r>
          </w:p>
        </w:tc>
        <w:tc>
          <w:tcPr>
            <w:tcW w:w="940" w:type="dxa"/>
            <w:tcBorders>
              <w:top w:val="nil"/>
              <w:left w:val="nil"/>
              <w:bottom w:val="nil"/>
              <w:right w:val="nil"/>
            </w:tcBorders>
            <w:shd w:val="clear" w:color="auto" w:fill="auto"/>
            <w:noWrap/>
            <w:vAlign w:val="center"/>
            <w:hideMark/>
          </w:tcPr>
          <w:p w14:paraId="310534EE" w14:textId="4E2CFFCA" w:rsidR="004B5302" w:rsidRPr="00005453" w:rsidRDefault="004B5302" w:rsidP="004B5302">
            <w:pPr>
              <w:jc w:val="right"/>
              <w:rPr>
                <w:color w:val="000000"/>
                <w:sz w:val="16"/>
                <w:szCs w:val="16"/>
                <w:lang w:eastAsia="tr-TR"/>
              </w:rPr>
            </w:pPr>
            <w:r w:rsidRPr="00005453">
              <w:rPr>
                <w:color w:val="000000"/>
                <w:sz w:val="16"/>
                <w:szCs w:val="16"/>
              </w:rPr>
              <w:t>-</w:t>
            </w:r>
          </w:p>
        </w:tc>
        <w:tc>
          <w:tcPr>
            <w:tcW w:w="967" w:type="dxa"/>
            <w:tcBorders>
              <w:top w:val="nil"/>
              <w:left w:val="nil"/>
              <w:bottom w:val="nil"/>
              <w:right w:val="nil"/>
            </w:tcBorders>
            <w:shd w:val="clear" w:color="auto" w:fill="auto"/>
            <w:noWrap/>
            <w:vAlign w:val="center"/>
            <w:hideMark/>
          </w:tcPr>
          <w:p w14:paraId="2FCC677A" w14:textId="3D551AD5" w:rsidR="004B5302" w:rsidRPr="00005453" w:rsidRDefault="004B5302" w:rsidP="004B5302">
            <w:pPr>
              <w:jc w:val="right"/>
              <w:rPr>
                <w:color w:val="000000"/>
                <w:sz w:val="16"/>
                <w:szCs w:val="16"/>
                <w:lang w:eastAsia="tr-TR"/>
              </w:rPr>
            </w:pPr>
            <w:r w:rsidRPr="00005453">
              <w:rPr>
                <w:color w:val="000000"/>
                <w:sz w:val="16"/>
                <w:szCs w:val="16"/>
              </w:rPr>
              <w:t>-</w:t>
            </w:r>
          </w:p>
        </w:tc>
        <w:tc>
          <w:tcPr>
            <w:tcW w:w="1212" w:type="dxa"/>
            <w:tcBorders>
              <w:top w:val="nil"/>
              <w:left w:val="nil"/>
              <w:bottom w:val="nil"/>
              <w:right w:val="nil"/>
            </w:tcBorders>
            <w:shd w:val="clear" w:color="auto" w:fill="auto"/>
            <w:noWrap/>
            <w:vAlign w:val="center"/>
            <w:hideMark/>
          </w:tcPr>
          <w:p w14:paraId="4FAA8511" w14:textId="023849E8" w:rsidR="004B5302" w:rsidRPr="00005453" w:rsidRDefault="004B5302" w:rsidP="004B5302">
            <w:pPr>
              <w:jc w:val="right"/>
              <w:rPr>
                <w:color w:val="000000"/>
                <w:sz w:val="16"/>
                <w:szCs w:val="16"/>
                <w:lang w:eastAsia="tr-TR"/>
              </w:rPr>
            </w:pPr>
            <w:r w:rsidRPr="00005453">
              <w:rPr>
                <w:color w:val="000000"/>
                <w:sz w:val="16"/>
                <w:szCs w:val="16"/>
              </w:rPr>
              <w:t>-</w:t>
            </w:r>
          </w:p>
        </w:tc>
        <w:tc>
          <w:tcPr>
            <w:tcW w:w="1276" w:type="dxa"/>
            <w:tcBorders>
              <w:top w:val="nil"/>
              <w:left w:val="nil"/>
              <w:bottom w:val="nil"/>
              <w:right w:val="nil"/>
            </w:tcBorders>
            <w:shd w:val="clear" w:color="auto" w:fill="auto"/>
            <w:noWrap/>
            <w:vAlign w:val="center"/>
            <w:hideMark/>
          </w:tcPr>
          <w:p w14:paraId="5BBFBD88" w14:textId="4A9E4AD9" w:rsidR="004B5302" w:rsidRPr="00005453" w:rsidRDefault="004B5302" w:rsidP="004B5302">
            <w:pPr>
              <w:jc w:val="right"/>
              <w:rPr>
                <w:color w:val="000000"/>
                <w:sz w:val="16"/>
                <w:szCs w:val="16"/>
                <w:lang w:eastAsia="tr-TR"/>
              </w:rPr>
            </w:pPr>
            <w:r w:rsidRPr="00005453">
              <w:rPr>
                <w:color w:val="000000"/>
                <w:sz w:val="16"/>
                <w:szCs w:val="16"/>
              </w:rPr>
              <w:t>25,227,482</w:t>
            </w:r>
          </w:p>
        </w:tc>
        <w:tc>
          <w:tcPr>
            <w:tcW w:w="993" w:type="dxa"/>
            <w:tcBorders>
              <w:top w:val="nil"/>
              <w:left w:val="nil"/>
              <w:bottom w:val="nil"/>
              <w:right w:val="nil"/>
            </w:tcBorders>
            <w:shd w:val="clear" w:color="auto" w:fill="auto"/>
            <w:noWrap/>
            <w:vAlign w:val="center"/>
            <w:hideMark/>
          </w:tcPr>
          <w:p w14:paraId="65D6FADF" w14:textId="608E0BFF" w:rsidR="004B5302" w:rsidRPr="00005453" w:rsidRDefault="004B5302" w:rsidP="004B5302">
            <w:pPr>
              <w:jc w:val="right"/>
              <w:rPr>
                <w:color w:val="000000"/>
                <w:sz w:val="16"/>
                <w:szCs w:val="16"/>
                <w:lang w:eastAsia="tr-TR"/>
              </w:rPr>
            </w:pPr>
            <w:r w:rsidRPr="00005453">
              <w:rPr>
                <w:color w:val="000000"/>
                <w:sz w:val="16"/>
                <w:szCs w:val="16"/>
              </w:rPr>
              <w:t>25,227,482</w:t>
            </w:r>
          </w:p>
        </w:tc>
      </w:tr>
      <w:tr w:rsidR="008F5EF9" w:rsidRPr="00005453" w14:paraId="03466EDD" w14:textId="77777777" w:rsidTr="00E13ED4">
        <w:trPr>
          <w:trHeight w:val="162"/>
        </w:trPr>
        <w:tc>
          <w:tcPr>
            <w:tcW w:w="4536" w:type="dxa"/>
            <w:tcBorders>
              <w:top w:val="nil"/>
              <w:left w:val="nil"/>
              <w:bottom w:val="nil"/>
              <w:right w:val="nil"/>
            </w:tcBorders>
            <w:shd w:val="clear" w:color="auto" w:fill="auto"/>
            <w:noWrap/>
            <w:vAlign w:val="bottom"/>
            <w:hideMark/>
          </w:tcPr>
          <w:p w14:paraId="0F223052" w14:textId="77777777" w:rsidR="008F5EF9" w:rsidRPr="00005453" w:rsidRDefault="008F5EF9" w:rsidP="008F5EF9">
            <w:pPr>
              <w:jc w:val="right"/>
              <w:rPr>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2DA48611" w14:textId="77777777" w:rsidR="008F5EF9" w:rsidRPr="00005453" w:rsidRDefault="008F5EF9" w:rsidP="008F5EF9">
            <w:pPr>
              <w:rPr>
                <w:sz w:val="10"/>
                <w:szCs w:val="10"/>
                <w:lang w:eastAsia="tr-TR"/>
              </w:rPr>
            </w:pPr>
          </w:p>
        </w:tc>
        <w:tc>
          <w:tcPr>
            <w:tcW w:w="967" w:type="dxa"/>
            <w:tcBorders>
              <w:top w:val="nil"/>
              <w:left w:val="nil"/>
              <w:bottom w:val="nil"/>
              <w:right w:val="nil"/>
            </w:tcBorders>
            <w:shd w:val="clear" w:color="auto" w:fill="auto"/>
            <w:vAlign w:val="bottom"/>
            <w:hideMark/>
          </w:tcPr>
          <w:p w14:paraId="1BB81092" w14:textId="77777777" w:rsidR="008F5EF9" w:rsidRPr="00005453" w:rsidRDefault="008F5EF9" w:rsidP="008F5EF9">
            <w:pPr>
              <w:rPr>
                <w:sz w:val="10"/>
                <w:szCs w:val="10"/>
                <w:lang w:eastAsia="tr-TR"/>
              </w:rPr>
            </w:pPr>
          </w:p>
        </w:tc>
        <w:tc>
          <w:tcPr>
            <w:tcW w:w="1212" w:type="dxa"/>
            <w:tcBorders>
              <w:top w:val="nil"/>
              <w:left w:val="nil"/>
              <w:bottom w:val="nil"/>
              <w:right w:val="nil"/>
            </w:tcBorders>
            <w:shd w:val="clear" w:color="auto" w:fill="auto"/>
            <w:noWrap/>
            <w:vAlign w:val="bottom"/>
            <w:hideMark/>
          </w:tcPr>
          <w:p w14:paraId="7F607512" w14:textId="77777777" w:rsidR="008F5EF9" w:rsidRPr="00005453" w:rsidRDefault="008F5EF9" w:rsidP="008F5EF9">
            <w:pPr>
              <w:rPr>
                <w:sz w:val="10"/>
                <w:szCs w:val="10"/>
                <w:lang w:eastAsia="tr-TR"/>
              </w:rPr>
            </w:pPr>
          </w:p>
        </w:tc>
        <w:tc>
          <w:tcPr>
            <w:tcW w:w="1276" w:type="dxa"/>
            <w:tcBorders>
              <w:top w:val="nil"/>
              <w:left w:val="nil"/>
              <w:bottom w:val="nil"/>
              <w:right w:val="nil"/>
            </w:tcBorders>
            <w:shd w:val="clear" w:color="auto" w:fill="auto"/>
            <w:vAlign w:val="bottom"/>
            <w:hideMark/>
          </w:tcPr>
          <w:p w14:paraId="3278310C" w14:textId="77777777" w:rsidR="008F5EF9" w:rsidRPr="00005453" w:rsidRDefault="008F5EF9" w:rsidP="008F5EF9">
            <w:pPr>
              <w:rPr>
                <w:sz w:val="10"/>
                <w:szCs w:val="10"/>
                <w:lang w:eastAsia="tr-TR"/>
              </w:rPr>
            </w:pPr>
          </w:p>
        </w:tc>
        <w:tc>
          <w:tcPr>
            <w:tcW w:w="993" w:type="dxa"/>
            <w:tcBorders>
              <w:top w:val="nil"/>
              <w:left w:val="nil"/>
              <w:bottom w:val="nil"/>
              <w:right w:val="nil"/>
            </w:tcBorders>
            <w:shd w:val="clear" w:color="auto" w:fill="auto"/>
            <w:vAlign w:val="bottom"/>
            <w:hideMark/>
          </w:tcPr>
          <w:p w14:paraId="47FE566D" w14:textId="77777777" w:rsidR="008F5EF9" w:rsidRPr="00005453" w:rsidRDefault="008F5EF9" w:rsidP="008F5EF9">
            <w:pPr>
              <w:rPr>
                <w:sz w:val="10"/>
                <w:szCs w:val="10"/>
                <w:lang w:eastAsia="tr-TR"/>
              </w:rPr>
            </w:pPr>
          </w:p>
        </w:tc>
      </w:tr>
      <w:tr w:rsidR="004B5302" w:rsidRPr="00005453" w14:paraId="0E2173D3" w14:textId="77777777" w:rsidTr="004B5302">
        <w:trPr>
          <w:trHeight w:val="150"/>
        </w:trPr>
        <w:tc>
          <w:tcPr>
            <w:tcW w:w="4536" w:type="dxa"/>
            <w:tcBorders>
              <w:top w:val="single" w:sz="8" w:space="0" w:color="auto"/>
              <w:left w:val="nil"/>
              <w:bottom w:val="single" w:sz="8" w:space="0" w:color="auto"/>
              <w:right w:val="nil"/>
            </w:tcBorders>
            <w:shd w:val="clear" w:color="auto" w:fill="auto"/>
            <w:noWrap/>
            <w:vAlign w:val="center"/>
            <w:hideMark/>
          </w:tcPr>
          <w:p w14:paraId="4017D0E7" w14:textId="77777777" w:rsidR="004B5302" w:rsidRPr="00005453" w:rsidRDefault="004B5302" w:rsidP="004B5302">
            <w:pPr>
              <w:rPr>
                <w:b/>
                <w:bCs/>
                <w:color w:val="000000"/>
                <w:sz w:val="16"/>
                <w:szCs w:val="16"/>
                <w:lang w:eastAsia="tr-TR"/>
              </w:rPr>
            </w:pPr>
            <w:r w:rsidRPr="00005453">
              <w:rPr>
                <w:b/>
                <w:bCs/>
                <w:color w:val="000000"/>
                <w:sz w:val="16"/>
                <w:szCs w:val="16"/>
                <w:lang w:eastAsia="tr-TR"/>
              </w:rPr>
              <w:t>Toplam varlıklar</w:t>
            </w:r>
          </w:p>
        </w:tc>
        <w:tc>
          <w:tcPr>
            <w:tcW w:w="940" w:type="dxa"/>
            <w:tcBorders>
              <w:top w:val="single" w:sz="8" w:space="0" w:color="auto"/>
              <w:left w:val="nil"/>
              <w:bottom w:val="single" w:sz="8" w:space="0" w:color="auto"/>
              <w:right w:val="nil"/>
            </w:tcBorders>
            <w:shd w:val="clear" w:color="auto" w:fill="auto"/>
            <w:noWrap/>
            <w:vAlign w:val="center"/>
            <w:hideMark/>
          </w:tcPr>
          <w:p w14:paraId="6CB605BC" w14:textId="708A28AA" w:rsidR="004B5302" w:rsidRPr="00005453" w:rsidRDefault="004B5302" w:rsidP="004B5302">
            <w:pPr>
              <w:jc w:val="right"/>
              <w:rPr>
                <w:b/>
                <w:color w:val="000000"/>
                <w:sz w:val="16"/>
                <w:szCs w:val="16"/>
                <w:lang w:eastAsia="tr-TR"/>
              </w:rPr>
            </w:pPr>
            <w:r w:rsidRPr="00005453">
              <w:rPr>
                <w:b/>
                <w:bCs/>
                <w:color w:val="000000"/>
                <w:sz w:val="16"/>
                <w:szCs w:val="16"/>
              </w:rPr>
              <w:t>161,029,683</w:t>
            </w:r>
          </w:p>
        </w:tc>
        <w:tc>
          <w:tcPr>
            <w:tcW w:w="967" w:type="dxa"/>
            <w:tcBorders>
              <w:top w:val="single" w:sz="8" w:space="0" w:color="auto"/>
              <w:left w:val="nil"/>
              <w:bottom w:val="single" w:sz="8" w:space="0" w:color="auto"/>
              <w:right w:val="nil"/>
            </w:tcBorders>
            <w:shd w:val="clear" w:color="auto" w:fill="auto"/>
            <w:noWrap/>
            <w:vAlign w:val="center"/>
            <w:hideMark/>
          </w:tcPr>
          <w:p w14:paraId="1E06E9A5" w14:textId="61B01149" w:rsidR="004B5302" w:rsidRPr="00005453" w:rsidRDefault="004B5302" w:rsidP="004B5302">
            <w:pPr>
              <w:jc w:val="right"/>
              <w:rPr>
                <w:b/>
                <w:color w:val="000000"/>
                <w:sz w:val="16"/>
                <w:szCs w:val="16"/>
                <w:lang w:eastAsia="tr-TR"/>
              </w:rPr>
            </w:pPr>
            <w:r w:rsidRPr="00005453">
              <w:rPr>
                <w:b/>
                <w:bCs/>
                <w:color w:val="000000"/>
                <w:sz w:val="16"/>
                <w:szCs w:val="16"/>
              </w:rPr>
              <w:t>260,169,927</w:t>
            </w:r>
          </w:p>
        </w:tc>
        <w:tc>
          <w:tcPr>
            <w:tcW w:w="1212" w:type="dxa"/>
            <w:tcBorders>
              <w:top w:val="single" w:sz="8" w:space="0" w:color="auto"/>
              <w:left w:val="nil"/>
              <w:bottom w:val="single" w:sz="8" w:space="0" w:color="auto"/>
              <w:right w:val="nil"/>
            </w:tcBorders>
            <w:shd w:val="clear" w:color="auto" w:fill="auto"/>
            <w:noWrap/>
            <w:vAlign w:val="center"/>
            <w:hideMark/>
          </w:tcPr>
          <w:p w14:paraId="0A3E2B99" w14:textId="5C37370E" w:rsidR="004B5302" w:rsidRPr="00005453" w:rsidRDefault="004B5302" w:rsidP="004B5302">
            <w:pPr>
              <w:jc w:val="right"/>
              <w:rPr>
                <w:b/>
                <w:color w:val="000000"/>
                <w:sz w:val="16"/>
                <w:szCs w:val="16"/>
                <w:lang w:eastAsia="tr-TR"/>
              </w:rPr>
            </w:pPr>
            <w:r w:rsidRPr="00005453">
              <w:rPr>
                <w:b/>
                <w:bCs/>
                <w:color w:val="000000"/>
                <w:sz w:val="16"/>
                <w:szCs w:val="16"/>
              </w:rPr>
              <w:t>401,551,099</w:t>
            </w:r>
          </w:p>
        </w:tc>
        <w:tc>
          <w:tcPr>
            <w:tcW w:w="1276" w:type="dxa"/>
            <w:tcBorders>
              <w:top w:val="single" w:sz="8" w:space="0" w:color="auto"/>
              <w:left w:val="nil"/>
              <w:bottom w:val="single" w:sz="8" w:space="0" w:color="auto"/>
              <w:right w:val="nil"/>
            </w:tcBorders>
            <w:shd w:val="clear" w:color="auto" w:fill="auto"/>
            <w:noWrap/>
            <w:vAlign w:val="center"/>
            <w:hideMark/>
          </w:tcPr>
          <w:p w14:paraId="0E1B3918" w14:textId="5CB0210F" w:rsidR="004B5302" w:rsidRPr="00005453" w:rsidRDefault="004B5302" w:rsidP="004B5302">
            <w:pPr>
              <w:jc w:val="right"/>
              <w:rPr>
                <w:b/>
                <w:color w:val="000000"/>
                <w:sz w:val="16"/>
                <w:szCs w:val="16"/>
                <w:lang w:eastAsia="tr-TR"/>
              </w:rPr>
            </w:pPr>
            <w:r w:rsidRPr="00005453">
              <w:rPr>
                <w:b/>
                <w:bCs/>
                <w:color w:val="000000"/>
                <w:sz w:val="16"/>
                <w:szCs w:val="16"/>
              </w:rPr>
              <w:t>29,369,694</w:t>
            </w:r>
          </w:p>
        </w:tc>
        <w:tc>
          <w:tcPr>
            <w:tcW w:w="993" w:type="dxa"/>
            <w:tcBorders>
              <w:top w:val="single" w:sz="8" w:space="0" w:color="auto"/>
              <w:left w:val="nil"/>
              <w:bottom w:val="single" w:sz="8" w:space="0" w:color="auto"/>
              <w:right w:val="nil"/>
            </w:tcBorders>
            <w:shd w:val="clear" w:color="auto" w:fill="auto"/>
            <w:noWrap/>
            <w:vAlign w:val="center"/>
            <w:hideMark/>
          </w:tcPr>
          <w:p w14:paraId="4569FD26" w14:textId="1E663EBA" w:rsidR="004B5302" w:rsidRPr="00005453" w:rsidRDefault="004B5302" w:rsidP="004B5302">
            <w:pPr>
              <w:jc w:val="right"/>
              <w:rPr>
                <w:b/>
                <w:color w:val="000000"/>
                <w:sz w:val="16"/>
                <w:szCs w:val="16"/>
                <w:lang w:eastAsia="tr-TR"/>
              </w:rPr>
            </w:pPr>
            <w:r w:rsidRPr="00005453">
              <w:rPr>
                <w:b/>
                <w:bCs/>
                <w:color w:val="000000"/>
                <w:sz w:val="16"/>
                <w:szCs w:val="16"/>
              </w:rPr>
              <w:t>852,120,403</w:t>
            </w:r>
          </w:p>
        </w:tc>
      </w:tr>
      <w:tr w:rsidR="008F5EF9" w:rsidRPr="00005453" w14:paraId="5B813BC9" w14:textId="77777777" w:rsidTr="00E13ED4">
        <w:trPr>
          <w:trHeight w:val="111"/>
        </w:trPr>
        <w:tc>
          <w:tcPr>
            <w:tcW w:w="4536" w:type="dxa"/>
            <w:tcBorders>
              <w:top w:val="nil"/>
              <w:left w:val="nil"/>
              <w:bottom w:val="nil"/>
              <w:right w:val="nil"/>
            </w:tcBorders>
            <w:shd w:val="clear" w:color="auto" w:fill="auto"/>
            <w:noWrap/>
            <w:vAlign w:val="bottom"/>
            <w:hideMark/>
          </w:tcPr>
          <w:p w14:paraId="34651109" w14:textId="77777777" w:rsidR="008F5EF9" w:rsidRPr="00005453" w:rsidRDefault="008F5EF9" w:rsidP="008F5EF9">
            <w:pPr>
              <w:jc w:val="right"/>
              <w:rPr>
                <w:b/>
                <w:bCs/>
                <w:color w:val="000000"/>
                <w:sz w:val="10"/>
                <w:szCs w:val="10"/>
                <w:lang w:eastAsia="tr-TR"/>
              </w:rPr>
            </w:pPr>
          </w:p>
        </w:tc>
        <w:tc>
          <w:tcPr>
            <w:tcW w:w="940" w:type="dxa"/>
            <w:tcBorders>
              <w:top w:val="nil"/>
              <w:left w:val="nil"/>
              <w:bottom w:val="nil"/>
              <w:right w:val="nil"/>
            </w:tcBorders>
            <w:shd w:val="clear" w:color="auto" w:fill="auto"/>
            <w:noWrap/>
            <w:vAlign w:val="bottom"/>
            <w:hideMark/>
          </w:tcPr>
          <w:p w14:paraId="244B66A1" w14:textId="77777777" w:rsidR="008F5EF9" w:rsidRPr="00005453" w:rsidRDefault="008F5EF9" w:rsidP="008F5EF9">
            <w:pPr>
              <w:rPr>
                <w:sz w:val="10"/>
                <w:szCs w:val="10"/>
                <w:lang w:eastAsia="tr-TR"/>
              </w:rPr>
            </w:pPr>
          </w:p>
        </w:tc>
        <w:tc>
          <w:tcPr>
            <w:tcW w:w="967" w:type="dxa"/>
            <w:tcBorders>
              <w:top w:val="nil"/>
              <w:left w:val="nil"/>
              <w:bottom w:val="nil"/>
              <w:right w:val="nil"/>
            </w:tcBorders>
            <w:shd w:val="clear" w:color="auto" w:fill="auto"/>
            <w:vAlign w:val="bottom"/>
            <w:hideMark/>
          </w:tcPr>
          <w:p w14:paraId="7BACF897" w14:textId="77777777" w:rsidR="008F5EF9" w:rsidRPr="00005453" w:rsidRDefault="008F5EF9" w:rsidP="008F5EF9">
            <w:pPr>
              <w:rPr>
                <w:sz w:val="10"/>
                <w:szCs w:val="10"/>
                <w:lang w:eastAsia="tr-TR"/>
              </w:rPr>
            </w:pPr>
          </w:p>
        </w:tc>
        <w:tc>
          <w:tcPr>
            <w:tcW w:w="1212" w:type="dxa"/>
            <w:tcBorders>
              <w:top w:val="nil"/>
              <w:left w:val="nil"/>
              <w:bottom w:val="nil"/>
              <w:right w:val="nil"/>
            </w:tcBorders>
            <w:shd w:val="clear" w:color="auto" w:fill="auto"/>
            <w:noWrap/>
            <w:vAlign w:val="bottom"/>
            <w:hideMark/>
          </w:tcPr>
          <w:p w14:paraId="35C9AB59" w14:textId="77777777" w:rsidR="008F5EF9" w:rsidRPr="00005453" w:rsidRDefault="008F5EF9" w:rsidP="008F5EF9">
            <w:pPr>
              <w:rPr>
                <w:sz w:val="10"/>
                <w:szCs w:val="10"/>
                <w:lang w:eastAsia="tr-TR"/>
              </w:rPr>
            </w:pPr>
          </w:p>
        </w:tc>
        <w:tc>
          <w:tcPr>
            <w:tcW w:w="1276" w:type="dxa"/>
            <w:tcBorders>
              <w:top w:val="nil"/>
              <w:left w:val="nil"/>
              <w:bottom w:val="nil"/>
              <w:right w:val="nil"/>
            </w:tcBorders>
            <w:shd w:val="clear" w:color="auto" w:fill="auto"/>
            <w:vAlign w:val="bottom"/>
            <w:hideMark/>
          </w:tcPr>
          <w:p w14:paraId="14BF3DCA" w14:textId="77777777" w:rsidR="008F5EF9" w:rsidRPr="00005453" w:rsidRDefault="008F5EF9" w:rsidP="008F5EF9">
            <w:pPr>
              <w:rPr>
                <w:sz w:val="10"/>
                <w:szCs w:val="10"/>
                <w:lang w:eastAsia="tr-TR"/>
              </w:rPr>
            </w:pPr>
          </w:p>
        </w:tc>
        <w:tc>
          <w:tcPr>
            <w:tcW w:w="993" w:type="dxa"/>
            <w:tcBorders>
              <w:top w:val="nil"/>
              <w:left w:val="nil"/>
              <w:bottom w:val="nil"/>
              <w:right w:val="nil"/>
            </w:tcBorders>
            <w:shd w:val="clear" w:color="auto" w:fill="auto"/>
            <w:vAlign w:val="bottom"/>
            <w:hideMark/>
          </w:tcPr>
          <w:p w14:paraId="07B23AAA" w14:textId="77777777" w:rsidR="008F5EF9" w:rsidRPr="00005453" w:rsidRDefault="008F5EF9" w:rsidP="008F5EF9">
            <w:pPr>
              <w:rPr>
                <w:sz w:val="10"/>
                <w:szCs w:val="10"/>
                <w:lang w:eastAsia="tr-TR"/>
              </w:rPr>
            </w:pPr>
          </w:p>
        </w:tc>
      </w:tr>
      <w:tr w:rsidR="004B5302" w:rsidRPr="00005453" w14:paraId="698338C1" w14:textId="77777777" w:rsidTr="004B5302">
        <w:trPr>
          <w:trHeight w:val="144"/>
        </w:trPr>
        <w:tc>
          <w:tcPr>
            <w:tcW w:w="4536" w:type="dxa"/>
            <w:tcBorders>
              <w:top w:val="nil"/>
              <w:left w:val="nil"/>
              <w:bottom w:val="nil"/>
              <w:right w:val="nil"/>
            </w:tcBorders>
            <w:shd w:val="clear" w:color="auto" w:fill="auto"/>
            <w:noWrap/>
            <w:vAlign w:val="center"/>
            <w:hideMark/>
          </w:tcPr>
          <w:p w14:paraId="07DF786C" w14:textId="77777777" w:rsidR="004B5302" w:rsidRPr="00005453" w:rsidRDefault="004B5302" w:rsidP="004B5302">
            <w:pPr>
              <w:rPr>
                <w:color w:val="000000"/>
                <w:sz w:val="16"/>
                <w:szCs w:val="16"/>
                <w:lang w:eastAsia="tr-TR"/>
              </w:rPr>
            </w:pPr>
            <w:r w:rsidRPr="00005453">
              <w:rPr>
                <w:color w:val="000000"/>
                <w:sz w:val="16"/>
                <w:szCs w:val="16"/>
                <w:lang w:eastAsia="tr-TR"/>
              </w:rPr>
              <w:t>Bölüm yükümlülükleri</w:t>
            </w:r>
          </w:p>
        </w:tc>
        <w:tc>
          <w:tcPr>
            <w:tcW w:w="940" w:type="dxa"/>
            <w:tcBorders>
              <w:top w:val="nil"/>
              <w:left w:val="nil"/>
              <w:bottom w:val="nil"/>
              <w:right w:val="nil"/>
            </w:tcBorders>
            <w:shd w:val="clear" w:color="auto" w:fill="auto"/>
            <w:noWrap/>
            <w:vAlign w:val="center"/>
            <w:hideMark/>
          </w:tcPr>
          <w:p w14:paraId="231B7804" w14:textId="38C6C56B" w:rsidR="004B5302" w:rsidRPr="00005453" w:rsidRDefault="004B5302" w:rsidP="004B5302">
            <w:pPr>
              <w:jc w:val="right"/>
              <w:rPr>
                <w:color w:val="000000"/>
                <w:sz w:val="16"/>
                <w:szCs w:val="16"/>
                <w:lang w:eastAsia="tr-TR"/>
              </w:rPr>
            </w:pPr>
            <w:r w:rsidRPr="00005453">
              <w:rPr>
                <w:color w:val="000000"/>
                <w:sz w:val="16"/>
                <w:szCs w:val="16"/>
              </w:rPr>
              <w:t>445,912,051</w:t>
            </w:r>
          </w:p>
        </w:tc>
        <w:tc>
          <w:tcPr>
            <w:tcW w:w="967" w:type="dxa"/>
            <w:tcBorders>
              <w:top w:val="nil"/>
              <w:left w:val="nil"/>
              <w:bottom w:val="nil"/>
              <w:right w:val="nil"/>
            </w:tcBorders>
            <w:shd w:val="clear" w:color="auto" w:fill="auto"/>
            <w:noWrap/>
            <w:vAlign w:val="center"/>
            <w:hideMark/>
          </w:tcPr>
          <w:p w14:paraId="6FD7EE71" w14:textId="0A97771B" w:rsidR="004B5302" w:rsidRPr="00005453" w:rsidRDefault="004B5302" w:rsidP="004B5302">
            <w:pPr>
              <w:jc w:val="right"/>
              <w:rPr>
                <w:color w:val="000000"/>
                <w:sz w:val="16"/>
                <w:szCs w:val="16"/>
                <w:lang w:eastAsia="tr-TR"/>
              </w:rPr>
            </w:pPr>
            <w:r w:rsidRPr="00005453">
              <w:rPr>
                <w:color w:val="000000"/>
                <w:sz w:val="16"/>
                <w:szCs w:val="16"/>
              </w:rPr>
              <w:t>139,651,862</w:t>
            </w:r>
          </w:p>
        </w:tc>
        <w:tc>
          <w:tcPr>
            <w:tcW w:w="1212" w:type="dxa"/>
            <w:tcBorders>
              <w:top w:val="nil"/>
              <w:left w:val="nil"/>
              <w:bottom w:val="nil"/>
              <w:right w:val="nil"/>
            </w:tcBorders>
            <w:shd w:val="clear" w:color="auto" w:fill="auto"/>
            <w:noWrap/>
            <w:vAlign w:val="center"/>
            <w:hideMark/>
          </w:tcPr>
          <w:p w14:paraId="49E35FB5" w14:textId="5A5CC809" w:rsidR="004B5302" w:rsidRPr="00005453" w:rsidRDefault="004B5302" w:rsidP="004B5302">
            <w:pPr>
              <w:jc w:val="right"/>
              <w:rPr>
                <w:color w:val="000000"/>
                <w:sz w:val="16"/>
                <w:szCs w:val="16"/>
                <w:lang w:eastAsia="tr-TR"/>
              </w:rPr>
            </w:pPr>
            <w:r w:rsidRPr="00005453">
              <w:rPr>
                <w:color w:val="000000"/>
                <w:sz w:val="16"/>
                <w:szCs w:val="16"/>
              </w:rPr>
              <w:t>158,145,485</w:t>
            </w:r>
          </w:p>
        </w:tc>
        <w:tc>
          <w:tcPr>
            <w:tcW w:w="1276" w:type="dxa"/>
            <w:tcBorders>
              <w:top w:val="nil"/>
              <w:left w:val="nil"/>
              <w:bottom w:val="nil"/>
              <w:right w:val="nil"/>
            </w:tcBorders>
            <w:shd w:val="clear" w:color="auto" w:fill="auto"/>
            <w:noWrap/>
            <w:vAlign w:val="center"/>
            <w:hideMark/>
          </w:tcPr>
          <w:p w14:paraId="32DB89EE" w14:textId="34AB9A16" w:rsidR="004B5302" w:rsidRPr="00005453" w:rsidRDefault="004B5302" w:rsidP="004B5302">
            <w:pPr>
              <w:jc w:val="right"/>
              <w:rPr>
                <w:color w:val="000000"/>
                <w:sz w:val="16"/>
                <w:szCs w:val="16"/>
                <w:lang w:eastAsia="tr-TR"/>
              </w:rPr>
            </w:pPr>
            <w:r w:rsidRPr="00005453">
              <w:rPr>
                <w:color w:val="000000"/>
                <w:sz w:val="16"/>
                <w:szCs w:val="16"/>
              </w:rPr>
              <w:t>-</w:t>
            </w:r>
          </w:p>
        </w:tc>
        <w:tc>
          <w:tcPr>
            <w:tcW w:w="993" w:type="dxa"/>
            <w:tcBorders>
              <w:top w:val="nil"/>
              <w:left w:val="nil"/>
              <w:bottom w:val="nil"/>
              <w:right w:val="nil"/>
            </w:tcBorders>
            <w:shd w:val="clear" w:color="auto" w:fill="auto"/>
            <w:noWrap/>
            <w:vAlign w:val="center"/>
            <w:hideMark/>
          </w:tcPr>
          <w:p w14:paraId="2B474DDF" w14:textId="46FBD7CB" w:rsidR="004B5302" w:rsidRPr="00005453" w:rsidRDefault="004B5302" w:rsidP="004B5302">
            <w:pPr>
              <w:jc w:val="right"/>
              <w:rPr>
                <w:color w:val="000000"/>
                <w:sz w:val="16"/>
                <w:szCs w:val="16"/>
                <w:lang w:eastAsia="tr-TR"/>
              </w:rPr>
            </w:pPr>
            <w:r w:rsidRPr="00005453">
              <w:rPr>
                <w:color w:val="000000"/>
                <w:sz w:val="16"/>
                <w:szCs w:val="16"/>
              </w:rPr>
              <w:t>743,709,398</w:t>
            </w:r>
          </w:p>
        </w:tc>
      </w:tr>
      <w:tr w:rsidR="004B5302" w:rsidRPr="00005453" w14:paraId="68A09784" w14:textId="77777777" w:rsidTr="004B5302">
        <w:trPr>
          <w:trHeight w:val="144"/>
        </w:trPr>
        <w:tc>
          <w:tcPr>
            <w:tcW w:w="4536" w:type="dxa"/>
            <w:tcBorders>
              <w:top w:val="nil"/>
              <w:left w:val="nil"/>
              <w:bottom w:val="nil"/>
              <w:right w:val="nil"/>
            </w:tcBorders>
            <w:shd w:val="clear" w:color="auto" w:fill="auto"/>
            <w:noWrap/>
            <w:vAlign w:val="center"/>
            <w:hideMark/>
          </w:tcPr>
          <w:p w14:paraId="6A252EA9" w14:textId="77777777" w:rsidR="004B5302" w:rsidRPr="00005453" w:rsidRDefault="004B5302" w:rsidP="004B5302">
            <w:pPr>
              <w:rPr>
                <w:color w:val="000000"/>
                <w:sz w:val="16"/>
                <w:szCs w:val="16"/>
                <w:lang w:eastAsia="tr-TR"/>
              </w:rPr>
            </w:pPr>
            <w:r w:rsidRPr="00005453">
              <w:rPr>
                <w:color w:val="000000"/>
                <w:sz w:val="16"/>
                <w:szCs w:val="16"/>
                <w:lang w:eastAsia="tr-TR"/>
              </w:rPr>
              <w:t>Dağıtılamayan yükümlülükler</w:t>
            </w:r>
          </w:p>
        </w:tc>
        <w:tc>
          <w:tcPr>
            <w:tcW w:w="940" w:type="dxa"/>
            <w:tcBorders>
              <w:top w:val="nil"/>
              <w:left w:val="nil"/>
              <w:bottom w:val="nil"/>
              <w:right w:val="nil"/>
            </w:tcBorders>
            <w:shd w:val="clear" w:color="auto" w:fill="auto"/>
            <w:noWrap/>
            <w:vAlign w:val="center"/>
            <w:hideMark/>
          </w:tcPr>
          <w:p w14:paraId="2F7BEE79" w14:textId="7742BB2A" w:rsidR="004B5302" w:rsidRPr="00005453" w:rsidRDefault="004B5302" w:rsidP="004B5302">
            <w:pPr>
              <w:jc w:val="right"/>
              <w:rPr>
                <w:color w:val="000000"/>
                <w:sz w:val="16"/>
                <w:szCs w:val="16"/>
                <w:lang w:eastAsia="tr-TR"/>
              </w:rPr>
            </w:pPr>
            <w:r w:rsidRPr="00005453">
              <w:rPr>
                <w:color w:val="000000"/>
                <w:sz w:val="16"/>
                <w:szCs w:val="16"/>
              </w:rPr>
              <w:t>-</w:t>
            </w:r>
          </w:p>
        </w:tc>
        <w:tc>
          <w:tcPr>
            <w:tcW w:w="967" w:type="dxa"/>
            <w:tcBorders>
              <w:top w:val="nil"/>
              <w:left w:val="nil"/>
              <w:bottom w:val="nil"/>
              <w:right w:val="nil"/>
            </w:tcBorders>
            <w:shd w:val="clear" w:color="auto" w:fill="auto"/>
            <w:noWrap/>
            <w:vAlign w:val="center"/>
            <w:hideMark/>
          </w:tcPr>
          <w:p w14:paraId="40787312" w14:textId="378BF716" w:rsidR="004B5302" w:rsidRPr="00005453" w:rsidRDefault="004B5302" w:rsidP="004B5302">
            <w:pPr>
              <w:jc w:val="right"/>
              <w:rPr>
                <w:color w:val="000000"/>
                <w:sz w:val="16"/>
                <w:szCs w:val="16"/>
                <w:lang w:eastAsia="tr-TR"/>
              </w:rPr>
            </w:pPr>
            <w:r w:rsidRPr="00005453">
              <w:rPr>
                <w:color w:val="000000"/>
                <w:sz w:val="16"/>
                <w:szCs w:val="16"/>
              </w:rPr>
              <w:t>-</w:t>
            </w:r>
          </w:p>
        </w:tc>
        <w:tc>
          <w:tcPr>
            <w:tcW w:w="1212" w:type="dxa"/>
            <w:tcBorders>
              <w:top w:val="nil"/>
              <w:left w:val="nil"/>
              <w:bottom w:val="nil"/>
              <w:right w:val="nil"/>
            </w:tcBorders>
            <w:shd w:val="clear" w:color="auto" w:fill="auto"/>
            <w:noWrap/>
            <w:vAlign w:val="center"/>
            <w:hideMark/>
          </w:tcPr>
          <w:p w14:paraId="67E34E95" w14:textId="0DB1A09E" w:rsidR="004B5302" w:rsidRPr="00005453" w:rsidRDefault="004B5302" w:rsidP="004B5302">
            <w:pPr>
              <w:jc w:val="right"/>
              <w:rPr>
                <w:color w:val="000000"/>
                <w:sz w:val="16"/>
                <w:szCs w:val="16"/>
                <w:lang w:eastAsia="tr-TR"/>
              </w:rPr>
            </w:pPr>
            <w:r w:rsidRPr="00005453">
              <w:rPr>
                <w:color w:val="000000"/>
                <w:sz w:val="16"/>
                <w:szCs w:val="16"/>
              </w:rPr>
              <w:t>-</w:t>
            </w:r>
          </w:p>
        </w:tc>
        <w:tc>
          <w:tcPr>
            <w:tcW w:w="1276" w:type="dxa"/>
            <w:tcBorders>
              <w:top w:val="nil"/>
              <w:left w:val="nil"/>
              <w:bottom w:val="nil"/>
              <w:right w:val="nil"/>
            </w:tcBorders>
            <w:shd w:val="clear" w:color="auto" w:fill="auto"/>
            <w:noWrap/>
            <w:vAlign w:val="center"/>
            <w:hideMark/>
          </w:tcPr>
          <w:p w14:paraId="164A8A31" w14:textId="2446E000" w:rsidR="004B5302" w:rsidRPr="00005453" w:rsidRDefault="004B5302" w:rsidP="004B5302">
            <w:pPr>
              <w:jc w:val="right"/>
              <w:rPr>
                <w:color w:val="000000"/>
                <w:sz w:val="16"/>
                <w:szCs w:val="16"/>
                <w:lang w:eastAsia="tr-TR"/>
              </w:rPr>
            </w:pPr>
            <w:r w:rsidRPr="00005453">
              <w:rPr>
                <w:color w:val="000000"/>
                <w:sz w:val="16"/>
                <w:szCs w:val="16"/>
              </w:rPr>
              <w:t>26,183,511</w:t>
            </w:r>
          </w:p>
        </w:tc>
        <w:tc>
          <w:tcPr>
            <w:tcW w:w="993" w:type="dxa"/>
            <w:tcBorders>
              <w:top w:val="nil"/>
              <w:left w:val="nil"/>
              <w:bottom w:val="nil"/>
              <w:right w:val="nil"/>
            </w:tcBorders>
            <w:shd w:val="clear" w:color="auto" w:fill="auto"/>
            <w:noWrap/>
            <w:vAlign w:val="center"/>
            <w:hideMark/>
          </w:tcPr>
          <w:p w14:paraId="44A42808" w14:textId="456186CC" w:rsidR="004B5302" w:rsidRPr="00005453" w:rsidRDefault="004B5302" w:rsidP="004B5302">
            <w:pPr>
              <w:jc w:val="right"/>
              <w:rPr>
                <w:color w:val="000000"/>
                <w:sz w:val="16"/>
                <w:szCs w:val="16"/>
                <w:lang w:eastAsia="tr-TR"/>
              </w:rPr>
            </w:pPr>
            <w:r w:rsidRPr="00005453">
              <w:rPr>
                <w:color w:val="000000"/>
                <w:sz w:val="16"/>
                <w:szCs w:val="16"/>
              </w:rPr>
              <w:t>26,183,511</w:t>
            </w:r>
          </w:p>
        </w:tc>
      </w:tr>
      <w:tr w:rsidR="004B5302" w:rsidRPr="00005453" w14:paraId="5A0BDED6" w14:textId="77777777" w:rsidTr="004B5302">
        <w:trPr>
          <w:trHeight w:val="144"/>
        </w:trPr>
        <w:tc>
          <w:tcPr>
            <w:tcW w:w="4536" w:type="dxa"/>
            <w:tcBorders>
              <w:top w:val="nil"/>
              <w:left w:val="nil"/>
              <w:bottom w:val="nil"/>
              <w:right w:val="nil"/>
            </w:tcBorders>
            <w:shd w:val="clear" w:color="auto" w:fill="auto"/>
            <w:noWrap/>
            <w:vAlign w:val="center"/>
            <w:hideMark/>
          </w:tcPr>
          <w:p w14:paraId="73E19045" w14:textId="77777777" w:rsidR="004B5302" w:rsidRPr="00005453" w:rsidRDefault="004B5302" w:rsidP="004B5302">
            <w:pPr>
              <w:rPr>
                <w:color w:val="000000"/>
                <w:sz w:val="16"/>
                <w:szCs w:val="16"/>
                <w:lang w:eastAsia="tr-TR"/>
              </w:rPr>
            </w:pPr>
            <w:r w:rsidRPr="00005453">
              <w:rPr>
                <w:color w:val="000000"/>
                <w:sz w:val="16"/>
                <w:szCs w:val="16"/>
                <w:lang w:eastAsia="tr-TR"/>
              </w:rPr>
              <w:t>Özkaynaklar</w:t>
            </w:r>
          </w:p>
        </w:tc>
        <w:tc>
          <w:tcPr>
            <w:tcW w:w="940" w:type="dxa"/>
            <w:tcBorders>
              <w:top w:val="nil"/>
              <w:left w:val="nil"/>
              <w:bottom w:val="nil"/>
              <w:right w:val="nil"/>
            </w:tcBorders>
            <w:shd w:val="clear" w:color="auto" w:fill="auto"/>
            <w:noWrap/>
            <w:vAlign w:val="center"/>
            <w:hideMark/>
          </w:tcPr>
          <w:p w14:paraId="2F68A7CB" w14:textId="5D53E83A" w:rsidR="004B5302" w:rsidRPr="00005453" w:rsidRDefault="004B5302" w:rsidP="004B5302">
            <w:pPr>
              <w:jc w:val="right"/>
              <w:rPr>
                <w:color w:val="000000"/>
                <w:sz w:val="16"/>
                <w:szCs w:val="16"/>
                <w:lang w:eastAsia="tr-TR"/>
              </w:rPr>
            </w:pPr>
            <w:r w:rsidRPr="00005453">
              <w:rPr>
                <w:color w:val="000000"/>
                <w:sz w:val="16"/>
                <w:szCs w:val="16"/>
              </w:rPr>
              <w:t>-</w:t>
            </w:r>
          </w:p>
        </w:tc>
        <w:tc>
          <w:tcPr>
            <w:tcW w:w="967" w:type="dxa"/>
            <w:tcBorders>
              <w:top w:val="nil"/>
              <w:left w:val="nil"/>
              <w:bottom w:val="nil"/>
              <w:right w:val="nil"/>
            </w:tcBorders>
            <w:shd w:val="clear" w:color="auto" w:fill="auto"/>
            <w:noWrap/>
            <w:vAlign w:val="center"/>
            <w:hideMark/>
          </w:tcPr>
          <w:p w14:paraId="5CF9F2FB" w14:textId="778530D8" w:rsidR="004B5302" w:rsidRPr="00005453" w:rsidRDefault="004B5302" w:rsidP="004B5302">
            <w:pPr>
              <w:jc w:val="right"/>
              <w:rPr>
                <w:color w:val="000000"/>
                <w:sz w:val="16"/>
                <w:szCs w:val="16"/>
                <w:lang w:eastAsia="tr-TR"/>
              </w:rPr>
            </w:pPr>
            <w:r w:rsidRPr="00005453">
              <w:rPr>
                <w:color w:val="000000"/>
                <w:sz w:val="16"/>
                <w:szCs w:val="16"/>
              </w:rPr>
              <w:t>-</w:t>
            </w:r>
          </w:p>
        </w:tc>
        <w:tc>
          <w:tcPr>
            <w:tcW w:w="1212" w:type="dxa"/>
            <w:tcBorders>
              <w:top w:val="nil"/>
              <w:left w:val="nil"/>
              <w:bottom w:val="nil"/>
              <w:right w:val="nil"/>
            </w:tcBorders>
            <w:shd w:val="clear" w:color="auto" w:fill="auto"/>
            <w:noWrap/>
            <w:vAlign w:val="center"/>
            <w:hideMark/>
          </w:tcPr>
          <w:p w14:paraId="7BEB7806" w14:textId="337E63E3" w:rsidR="004B5302" w:rsidRPr="00005453" w:rsidRDefault="004B5302" w:rsidP="004B5302">
            <w:pPr>
              <w:jc w:val="right"/>
              <w:rPr>
                <w:color w:val="000000"/>
                <w:sz w:val="16"/>
                <w:szCs w:val="16"/>
                <w:lang w:eastAsia="tr-TR"/>
              </w:rPr>
            </w:pPr>
            <w:r w:rsidRPr="00005453">
              <w:rPr>
                <w:color w:val="000000"/>
                <w:sz w:val="16"/>
                <w:szCs w:val="16"/>
              </w:rPr>
              <w:t>-</w:t>
            </w:r>
          </w:p>
        </w:tc>
        <w:tc>
          <w:tcPr>
            <w:tcW w:w="1276" w:type="dxa"/>
            <w:tcBorders>
              <w:top w:val="nil"/>
              <w:left w:val="nil"/>
              <w:bottom w:val="nil"/>
              <w:right w:val="nil"/>
            </w:tcBorders>
            <w:shd w:val="clear" w:color="auto" w:fill="auto"/>
            <w:noWrap/>
            <w:vAlign w:val="center"/>
            <w:hideMark/>
          </w:tcPr>
          <w:p w14:paraId="13686D27" w14:textId="07F61F13" w:rsidR="004B5302" w:rsidRPr="00005453" w:rsidRDefault="004B5302" w:rsidP="004B5302">
            <w:pPr>
              <w:jc w:val="right"/>
              <w:rPr>
                <w:color w:val="000000"/>
                <w:sz w:val="16"/>
                <w:szCs w:val="16"/>
                <w:lang w:eastAsia="tr-TR"/>
              </w:rPr>
            </w:pPr>
            <w:r w:rsidRPr="00005453">
              <w:rPr>
                <w:color w:val="000000"/>
                <w:sz w:val="16"/>
                <w:szCs w:val="16"/>
              </w:rPr>
              <w:t>82,227,494</w:t>
            </w:r>
          </w:p>
        </w:tc>
        <w:tc>
          <w:tcPr>
            <w:tcW w:w="993" w:type="dxa"/>
            <w:tcBorders>
              <w:top w:val="nil"/>
              <w:left w:val="nil"/>
              <w:bottom w:val="nil"/>
              <w:right w:val="nil"/>
            </w:tcBorders>
            <w:shd w:val="clear" w:color="auto" w:fill="auto"/>
            <w:noWrap/>
            <w:vAlign w:val="center"/>
            <w:hideMark/>
          </w:tcPr>
          <w:p w14:paraId="28302518" w14:textId="56625A1F" w:rsidR="004B5302" w:rsidRPr="00005453" w:rsidRDefault="004B5302" w:rsidP="004B5302">
            <w:pPr>
              <w:jc w:val="right"/>
              <w:rPr>
                <w:color w:val="000000"/>
                <w:sz w:val="16"/>
                <w:szCs w:val="16"/>
                <w:lang w:eastAsia="tr-TR"/>
              </w:rPr>
            </w:pPr>
            <w:r w:rsidRPr="00005453">
              <w:rPr>
                <w:color w:val="000000"/>
                <w:sz w:val="16"/>
                <w:szCs w:val="16"/>
              </w:rPr>
              <w:t>82,227,494</w:t>
            </w:r>
          </w:p>
        </w:tc>
      </w:tr>
      <w:tr w:rsidR="008F5EF9" w:rsidRPr="00005453" w14:paraId="1DCA4ADB" w14:textId="77777777" w:rsidTr="00E13ED4">
        <w:trPr>
          <w:trHeight w:val="162"/>
        </w:trPr>
        <w:tc>
          <w:tcPr>
            <w:tcW w:w="4536" w:type="dxa"/>
            <w:tcBorders>
              <w:top w:val="nil"/>
              <w:left w:val="nil"/>
              <w:bottom w:val="single" w:sz="8" w:space="0" w:color="auto"/>
              <w:right w:val="nil"/>
            </w:tcBorders>
            <w:shd w:val="clear" w:color="auto" w:fill="auto"/>
            <w:noWrap/>
            <w:vAlign w:val="bottom"/>
            <w:hideMark/>
          </w:tcPr>
          <w:p w14:paraId="14709EC6" w14:textId="77777777" w:rsidR="008F5EF9" w:rsidRPr="00005453" w:rsidRDefault="008F5EF9" w:rsidP="008F5EF9">
            <w:pPr>
              <w:jc w:val="right"/>
              <w:rPr>
                <w:color w:val="000000"/>
                <w:sz w:val="10"/>
                <w:szCs w:val="10"/>
                <w:lang w:eastAsia="tr-TR"/>
              </w:rPr>
            </w:pPr>
          </w:p>
        </w:tc>
        <w:tc>
          <w:tcPr>
            <w:tcW w:w="940" w:type="dxa"/>
            <w:tcBorders>
              <w:top w:val="nil"/>
              <w:left w:val="nil"/>
              <w:bottom w:val="single" w:sz="8" w:space="0" w:color="auto"/>
              <w:right w:val="nil"/>
            </w:tcBorders>
            <w:shd w:val="clear" w:color="auto" w:fill="auto"/>
            <w:noWrap/>
            <w:vAlign w:val="bottom"/>
            <w:hideMark/>
          </w:tcPr>
          <w:p w14:paraId="3F87BC0A" w14:textId="77777777" w:rsidR="008F5EF9" w:rsidRPr="00005453" w:rsidRDefault="008F5EF9" w:rsidP="008F5EF9">
            <w:pPr>
              <w:rPr>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5545A89E" w14:textId="77777777" w:rsidR="008F5EF9" w:rsidRPr="00005453" w:rsidRDefault="008F5EF9" w:rsidP="008F5EF9">
            <w:pPr>
              <w:rPr>
                <w:sz w:val="10"/>
                <w:szCs w:val="10"/>
                <w:lang w:eastAsia="tr-TR"/>
              </w:rPr>
            </w:pPr>
          </w:p>
        </w:tc>
        <w:tc>
          <w:tcPr>
            <w:tcW w:w="1212" w:type="dxa"/>
            <w:tcBorders>
              <w:top w:val="nil"/>
              <w:left w:val="nil"/>
              <w:bottom w:val="single" w:sz="8" w:space="0" w:color="auto"/>
              <w:right w:val="nil"/>
            </w:tcBorders>
            <w:shd w:val="clear" w:color="auto" w:fill="auto"/>
            <w:noWrap/>
            <w:vAlign w:val="bottom"/>
            <w:hideMark/>
          </w:tcPr>
          <w:p w14:paraId="6C629F32" w14:textId="77777777" w:rsidR="008F5EF9" w:rsidRPr="00005453" w:rsidRDefault="008F5EF9" w:rsidP="008F5EF9">
            <w:pPr>
              <w:rPr>
                <w:sz w:val="10"/>
                <w:szCs w:val="10"/>
                <w:lang w:eastAsia="tr-TR"/>
              </w:rPr>
            </w:pPr>
          </w:p>
        </w:tc>
        <w:tc>
          <w:tcPr>
            <w:tcW w:w="1276" w:type="dxa"/>
            <w:tcBorders>
              <w:top w:val="nil"/>
              <w:left w:val="nil"/>
              <w:bottom w:val="single" w:sz="8" w:space="0" w:color="auto"/>
              <w:right w:val="nil"/>
            </w:tcBorders>
            <w:shd w:val="clear" w:color="auto" w:fill="auto"/>
            <w:vAlign w:val="bottom"/>
            <w:hideMark/>
          </w:tcPr>
          <w:p w14:paraId="1E822D4A" w14:textId="77777777" w:rsidR="008F5EF9" w:rsidRPr="00005453" w:rsidRDefault="008F5EF9" w:rsidP="008F5EF9">
            <w:pPr>
              <w:rPr>
                <w:sz w:val="10"/>
                <w:szCs w:val="10"/>
                <w:lang w:eastAsia="tr-TR"/>
              </w:rPr>
            </w:pPr>
          </w:p>
        </w:tc>
        <w:tc>
          <w:tcPr>
            <w:tcW w:w="993" w:type="dxa"/>
            <w:tcBorders>
              <w:top w:val="nil"/>
              <w:left w:val="nil"/>
              <w:bottom w:val="single" w:sz="8" w:space="0" w:color="auto"/>
              <w:right w:val="nil"/>
            </w:tcBorders>
            <w:shd w:val="clear" w:color="auto" w:fill="auto"/>
            <w:vAlign w:val="bottom"/>
            <w:hideMark/>
          </w:tcPr>
          <w:p w14:paraId="0310278F" w14:textId="77777777" w:rsidR="008F5EF9" w:rsidRPr="00005453" w:rsidRDefault="008F5EF9" w:rsidP="008F5EF9">
            <w:pPr>
              <w:rPr>
                <w:sz w:val="10"/>
                <w:szCs w:val="10"/>
                <w:lang w:eastAsia="tr-TR"/>
              </w:rPr>
            </w:pPr>
          </w:p>
        </w:tc>
      </w:tr>
      <w:tr w:rsidR="004B5302" w:rsidRPr="00005453" w14:paraId="1597F99C" w14:textId="77777777" w:rsidTr="004B5302">
        <w:trPr>
          <w:trHeight w:val="65"/>
        </w:trPr>
        <w:tc>
          <w:tcPr>
            <w:tcW w:w="4536" w:type="dxa"/>
            <w:tcBorders>
              <w:top w:val="single" w:sz="8" w:space="0" w:color="auto"/>
              <w:left w:val="nil"/>
              <w:bottom w:val="double" w:sz="4" w:space="0" w:color="auto"/>
              <w:right w:val="nil"/>
            </w:tcBorders>
            <w:shd w:val="clear" w:color="auto" w:fill="auto"/>
            <w:noWrap/>
            <w:vAlign w:val="center"/>
            <w:hideMark/>
          </w:tcPr>
          <w:p w14:paraId="74A665FC" w14:textId="77777777" w:rsidR="004B5302" w:rsidRPr="00005453" w:rsidRDefault="004B5302" w:rsidP="004B5302">
            <w:pPr>
              <w:rPr>
                <w:b/>
                <w:bCs/>
                <w:color w:val="000000"/>
                <w:sz w:val="16"/>
                <w:szCs w:val="16"/>
                <w:lang w:eastAsia="tr-TR"/>
              </w:rPr>
            </w:pPr>
            <w:r w:rsidRPr="00005453">
              <w:rPr>
                <w:b/>
                <w:bCs/>
                <w:color w:val="000000"/>
                <w:sz w:val="16"/>
                <w:szCs w:val="16"/>
                <w:lang w:eastAsia="tr-TR"/>
              </w:rPr>
              <w:t>Toplam yükümlülükler</w:t>
            </w:r>
          </w:p>
        </w:tc>
        <w:tc>
          <w:tcPr>
            <w:tcW w:w="940" w:type="dxa"/>
            <w:tcBorders>
              <w:top w:val="single" w:sz="8" w:space="0" w:color="auto"/>
              <w:left w:val="nil"/>
              <w:bottom w:val="double" w:sz="4" w:space="0" w:color="auto"/>
              <w:right w:val="nil"/>
            </w:tcBorders>
            <w:shd w:val="clear" w:color="auto" w:fill="auto"/>
            <w:noWrap/>
            <w:vAlign w:val="center"/>
            <w:hideMark/>
          </w:tcPr>
          <w:p w14:paraId="2EA36EC2" w14:textId="451500B2" w:rsidR="004B5302" w:rsidRPr="00005453" w:rsidRDefault="004B5302" w:rsidP="004B5302">
            <w:pPr>
              <w:jc w:val="right"/>
              <w:rPr>
                <w:b/>
                <w:color w:val="000000"/>
                <w:sz w:val="16"/>
                <w:szCs w:val="16"/>
                <w:lang w:eastAsia="tr-TR"/>
              </w:rPr>
            </w:pPr>
            <w:r w:rsidRPr="00005453">
              <w:rPr>
                <w:b/>
                <w:bCs/>
                <w:color w:val="000000"/>
                <w:sz w:val="16"/>
                <w:szCs w:val="16"/>
              </w:rPr>
              <w:t>445,912,051</w:t>
            </w:r>
          </w:p>
        </w:tc>
        <w:tc>
          <w:tcPr>
            <w:tcW w:w="967" w:type="dxa"/>
            <w:tcBorders>
              <w:top w:val="single" w:sz="8" w:space="0" w:color="auto"/>
              <w:left w:val="nil"/>
              <w:bottom w:val="double" w:sz="4" w:space="0" w:color="auto"/>
              <w:right w:val="nil"/>
            </w:tcBorders>
            <w:shd w:val="clear" w:color="auto" w:fill="auto"/>
            <w:noWrap/>
            <w:vAlign w:val="center"/>
            <w:hideMark/>
          </w:tcPr>
          <w:p w14:paraId="4EDCC5D8" w14:textId="14C015D5" w:rsidR="004B5302" w:rsidRPr="00005453" w:rsidRDefault="004B5302" w:rsidP="004B5302">
            <w:pPr>
              <w:jc w:val="right"/>
              <w:rPr>
                <w:b/>
                <w:color w:val="000000"/>
                <w:sz w:val="16"/>
                <w:szCs w:val="16"/>
                <w:lang w:eastAsia="tr-TR"/>
              </w:rPr>
            </w:pPr>
            <w:r w:rsidRPr="00005453">
              <w:rPr>
                <w:b/>
                <w:bCs/>
                <w:color w:val="000000"/>
                <w:sz w:val="16"/>
                <w:szCs w:val="16"/>
              </w:rPr>
              <w:t>139,651,862</w:t>
            </w:r>
          </w:p>
        </w:tc>
        <w:tc>
          <w:tcPr>
            <w:tcW w:w="1212" w:type="dxa"/>
            <w:tcBorders>
              <w:top w:val="single" w:sz="8" w:space="0" w:color="auto"/>
              <w:left w:val="nil"/>
              <w:bottom w:val="double" w:sz="4" w:space="0" w:color="auto"/>
              <w:right w:val="nil"/>
            </w:tcBorders>
            <w:shd w:val="clear" w:color="auto" w:fill="auto"/>
            <w:noWrap/>
            <w:vAlign w:val="center"/>
            <w:hideMark/>
          </w:tcPr>
          <w:p w14:paraId="069EC03F" w14:textId="5F848217" w:rsidR="004B5302" w:rsidRPr="00005453" w:rsidRDefault="004B5302" w:rsidP="004B5302">
            <w:pPr>
              <w:jc w:val="right"/>
              <w:rPr>
                <w:b/>
                <w:color w:val="000000"/>
                <w:sz w:val="16"/>
                <w:szCs w:val="16"/>
                <w:lang w:eastAsia="tr-TR"/>
              </w:rPr>
            </w:pPr>
            <w:r w:rsidRPr="00005453">
              <w:rPr>
                <w:b/>
                <w:bCs/>
                <w:color w:val="000000"/>
                <w:sz w:val="16"/>
                <w:szCs w:val="16"/>
              </w:rPr>
              <w:t>158,145,485</w:t>
            </w:r>
          </w:p>
        </w:tc>
        <w:tc>
          <w:tcPr>
            <w:tcW w:w="1276" w:type="dxa"/>
            <w:tcBorders>
              <w:top w:val="single" w:sz="8" w:space="0" w:color="auto"/>
              <w:left w:val="nil"/>
              <w:bottom w:val="double" w:sz="4" w:space="0" w:color="auto"/>
              <w:right w:val="nil"/>
            </w:tcBorders>
            <w:shd w:val="clear" w:color="auto" w:fill="auto"/>
            <w:noWrap/>
            <w:vAlign w:val="center"/>
            <w:hideMark/>
          </w:tcPr>
          <w:p w14:paraId="1341DD06" w14:textId="2F76995E" w:rsidR="004B5302" w:rsidRPr="00005453" w:rsidRDefault="004B5302" w:rsidP="004B5302">
            <w:pPr>
              <w:jc w:val="right"/>
              <w:rPr>
                <w:b/>
                <w:color w:val="000000"/>
                <w:sz w:val="16"/>
                <w:szCs w:val="16"/>
                <w:lang w:eastAsia="tr-TR"/>
              </w:rPr>
            </w:pPr>
            <w:r w:rsidRPr="00005453">
              <w:rPr>
                <w:b/>
                <w:bCs/>
                <w:color w:val="000000"/>
                <w:sz w:val="16"/>
                <w:szCs w:val="16"/>
              </w:rPr>
              <w:t>108,411,005</w:t>
            </w:r>
          </w:p>
        </w:tc>
        <w:tc>
          <w:tcPr>
            <w:tcW w:w="993" w:type="dxa"/>
            <w:tcBorders>
              <w:top w:val="single" w:sz="8" w:space="0" w:color="auto"/>
              <w:left w:val="nil"/>
              <w:bottom w:val="double" w:sz="4" w:space="0" w:color="auto"/>
              <w:right w:val="nil"/>
            </w:tcBorders>
            <w:shd w:val="clear" w:color="auto" w:fill="auto"/>
            <w:noWrap/>
            <w:vAlign w:val="center"/>
            <w:hideMark/>
          </w:tcPr>
          <w:p w14:paraId="60C8E221" w14:textId="6BC843C1" w:rsidR="004B5302" w:rsidRPr="00005453" w:rsidRDefault="004B5302" w:rsidP="004B5302">
            <w:pPr>
              <w:jc w:val="right"/>
              <w:rPr>
                <w:b/>
                <w:color w:val="000000"/>
                <w:sz w:val="16"/>
                <w:szCs w:val="16"/>
                <w:lang w:eastAsia="tr-TR"/>
              </w:rPr>
            </w:pPr>
            <w:r w:rsidRPr="00005453">
              <w:rPr>
                <w:b/>
                <w:bCs/>
                <w:color w:val="000000"/>
                <w:sz w:val="16"/>
                <w:szCs w:val="16"/>
              </w:rPr>
              <w:t>852,120,403</w:t>
            </w:r>
          </w:p>
        </w:tc>
      </w:tr>
      <w:bookmarkEnd w:id="69"/>
    </w:tbl>
    <w:p w14:paraId="24B41BD1" w14:textId="2257EE44" w:rsidR="003A557F" w:rsidRPr="00005453" w:rsidRDefault="003A557F" w:rsidP="00134A72">
      <w:pPr>
        <w:autoSpaceDE w:val="0"/>
        <w:autoSpaceDN w:val="0"/>
        <w:adjustRightInd w:val="0"/>
        <w:rPr>
          <w:lang w:val="en-GB" w:eastAsia="en-GB"/>
        </w:rPr>
      </w:pPr>
    </w:p>
    <w:p w14:paraId="225C6426" w14:textId="77777777" w:rsidR="008F5EF9" w:rsidRPr="00005453" w:rsidRDefault="008F5EF9" w:rsidP="00134A72">
      <w:pPr>
        <w:autoSpaceDE w:val="0"/>
        <w:autoSpaceDN w:val="0"/>
        <w:adjustRightInd w:val="0"/>
        <w:rPr>
          <w:lang w:val="en-GB" w:eastAsia="en-GB"/>
        </w:rPr>
      </w:pPr>
    </w:p>
    <w:tbl>
      <w:tblPr>
        <w:tblW w:w="9923" w:type="dxa"/>
        <w:tblCellMar>
          <w:left w:w="70" w:type="dxa"/>
          <w:right w:w="70" w:type="dxa"/>
        </w:tblCellMar>
        <w:tblLook w:val="04A0" w:firstRow="1" w:lastRow="0" w:firstColumn="1" w:lastColumn="0" w:noHBand="0" w:noVBand="1"/>
      </w:tblPr>
      <w:tblGrid>
        <w:gridCol w:w="4159"/>
        <w:gridCol w:w="1129"/>
        <w:gridCol w:w="1129"/>
        <w:gridCol w:w="1129"/>
        <w:gridCol w:w="1243"/>
        <w:gridCol w:w="1134"/>
      </w:tblGrid>
      <w:tr w:rsidR="003A557F" w:rsidRPr="00005453" w14:paraId="4819A1DA" w14:textId="77777777" w:rsidTr="00E13ED4">
        <w:trPr>
          <w:divId w:val="100417652"/>
          <w:trHeight w:val="184"/>
        </w:trPr>
        <w:tc>
          <w:tcPr>
            <w:tcW w:w="4159" w:type="dxa"/>
            <w:tcBorders>
              <w:top w:val="single" w:sz="8" w:space="0" w:color="auto"/>
              <w:left w:val="nil"/>
              <w:bottom w:val="nil"/>
              <w:right w:val="nil"/>
            </w:tcBorders>
            <w:shd w:val="clear" w:color="auto" w:fill="auto"/>
            <w:noWrap/>
            <w:vAlign w:val="center"/>
            <w:hideMark/>
          </w:tcPr>
          <w:p w14:paraId="46A5C487" w14:textId="05B25002" w:rsidR="003A557F" w:rsidRPr="00005453" w:rsidRDefault="003A557F" w:rsidP="003A557F">
            <w:pPr>
              <w:rPr>
                <w:b/>
                <w:bCs/>
                <w:color w:val="000000"/>
                <w:sz w:val="16"/>
                <w:szCs w:val="16"/>
                <w:lang w:eastAsia="tr-TR"/>
              </w:rPr>
            </w:pPr>
            <w:bookmarkStart w:id="71" w:name="_Hlk156923930"/>
            <w:bookmarkEnd w:id="70"/>
            <w:r w:rsidRPr="00005453">
              <w:rPr>
                <w:b/>
                <w:bCs/>
                <w:color w:val="000000"/>
                <w:sz w:val="16"/>
                <w:szCs w:val="16"/>
                <w:lang w:eastAsia="tr-TR"/>
              </w:rPr>
              <w:t>Önceki Dönem</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60714116" w14:textId="77777777" w:rsidR="003A557F" w:rsidRPr="00005453" w:rsidRDefault="003A557F" w:rsidP="003A557F">
            <w:pPr>
              <w:jc w:val="right"/>
              <w:rPr>
                <w:b/>
                <w:bCs/>
                <w:color w:val="000000"/>
                <w:sz w:val="16"/>
                <w:szCs w:val="16"/>
                <w:lang w:eastAsia="tr-TR"/>
              </w:rPr>
            </w:pPr>
            <w:proofErr w:type="gramStart"/>
            <w:r w:rsidRPr="00005453">
              <w:rPr>
                <w:b/>
                <w:bCs/>
                <w:color w:val="000000"/>
                <w:sz w:val="16"/>
                <w:szCs w:val="16"/>
                <w:lang w:eastAsia="tr-TR"/>
              </w:rPr>
              <w:t>Bireysel  Bankacılık</w:t>
            </w:r>
            <w:proofErr w:type="gramEnd"/>
          </w:p>
        </w:tc>
        <w:tc>
          <w:tcPr>
            <w:tcW w:w="1129" w:type="dxa"/>
            <w:vMerge w:val="restart"/>
            <w:tcBorders>
              <w:top w:val="single" w:sz="8" w:space="0" w:color="auto"/>
              <w:left w:val="nil"/>
              <w:bottom w:val="single" w:sz="8" w:space="0" w:color="000000"/>
              <w:right w:val="nil"/>
            </w:tcBorders>
            <w:shd w:val="clear" w:color="auto" w:fill="auto"/>
            <w:vAlign w:val="center"/>
            <w:hideMark/>
          </w:tcPr>
          <w:p w14:paraId="73DAE538" w14:textId="77777777" w:rsidR="003A557F" w:rsidRPr="00005453" w:rsidRDefault="003A557F" w:rsidP="003A557F">
            <w:pPr>
              <w:jc w:val="right"/>
              <w:rPr>
                <w:b/>
                <w:bCs/>
                <w:color w:val="000000"/>
                <w:sz w:val="16"/>
                <w:szCs w:val="16"/>
                <w:lang w:eastAsia="tr-TR"/>
              </w:rPr>
            </w:pPr>
            <w:r w:rsidRPr="00005453">
              <w:rPr>
                <w:b/>
                <w:bCs/>
                <w:color w:val="000000"/>
                <w:sz w:val="16"/>
                <w:szCs w:val="16"/>
                <w:lang w:eastAsia="tr-TR"/>
              </w:rPr>
              <w:t>Kurumsal ve Ticari Bankacılık</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2F989BB1" w14:textId="77777777" w:rsidR="003A557F" w:rsidRPr="00005453" w:rsidRDefault="003A557F" w:rsidP="003A557F">
            <w:pPr>
              <w:jc w:val="right"/>
              <w:rPr>
                <w:b/>
                <w:bCs/>
                <w:color w:val="000000"/>
                <w:sz w:val="16"/>
                <w:szCs w:val="16"/>
                <w:lang w:eastAsia="tr-TR"/>
              </w:rPr>
            </w:pPr>
            <w:r w:rsidRPr="00005453">
              <w:rPr>
                <w:b/>
                <w:bCs/>
                <w:color w:val="000000"/>
                <w:sz w:val="16"/>
                <w:szCs w:val="16"/>
                <w:lang w:eastAsia="tr-TR"/>
              </w:rPr>
              <w:t>Hazine ve Uluslararası Bankacılık</w:t>
            </w:r>
          </w:p>
        </w:tc>
        <w:tc>
          <w:tcPr>
            <w:tcW w:w="1243" w:type="dxa"/>
            <w:vMerge w:val="restart"/>
            <w:tcBorders>
              <w:top w:val="single" w:sz="8" w:space="0" w:color="auto"/>
              <w:left w:val="nil"/>
              <w:bottom w:val="single" w:sz="8" w:space="0" w:color="000000"/>
              <w:right w:val="nil"/>
            </w:tcBorders>
            <w:shd w:val="clear" w:color="auto" w:fill="auto"/>
            <w:vAlign w:val="center"/>
            <w:hideMark/>
          </w:tcPr>
          <w:p w14:paraId="0C99A301" w14:textId="77777777" w:rsidR="003A557F" w:rsidRPr="00005453" w:rsidRDefault="003A557F" w:rsidP="003A557F">
            <w:pPr>
              <w:jc w:val="right"/>
              <w:rPr>
                <w:b/>
                <w:bCs/>
                <w:color w:val="000000"/>
                <w:sz w:val="16"/>
                <w:szCs w:val="16"/>
                <w:lang w:eastAsia="tr-TR"/>
              </w:rPr>
            </w:pPr>
            <w:r w:rsidRPr="00005453">
              <w:rPr>
                <w:b/>
                <w:bCs/>
                <w:color w:val="000000"/>
                <w:sz w:val="16"/>
                <w:szCs w:val="16"/>
                <w:lang w:eastAsia="tr-TR"/>
              </w:rPr>
              <w:t>Dağıtılamayan</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0119F9B8" w14:textId="77777777" w:rsidR="00615676" w:rsidRPr="00005453" w:rsidRDefault="003A557F" w:rsidP="003A557F">
            <w:pPr>
              <w:jc w:val="right"/>
              <w:rPr>
                <w:b/>
                <w:bCs/>
                <w:color w:val="000000"/>
                <w:sz w:val="16"/>
                <w:szCs w:val="16"/>
                <w:lang w:eastAsia="tr-TR"/>
              </w:rPr>
            </w:pPr>
            <w:r w:rsidRPr="00005453">
              <w:rPr>
                <w:b/>
                <w:bCs/>
                <w:color w:val="000000"/>
                <w:sz w:val="16"/>
                <w:szCs w:val="16"/>
                <w:lang w:eastAsia="tr-TR"/>
              </w:rPr>
              <w:t>Banka’nın toplam</w:t>
            </w:r>
          </w:p>
          <w:p w14:paraId="7D0F1EB3" w14:textId="4B7275B2" w:rsidR="003A557F" w:rsidRPr="00005453" w:rsidRDefault="003A557F" w:rsidP="003A557F">
            <w:pPr>
              <w:jc w:val="right"/>
              <w:rPr>
                <w:b/>
                <w:bCs/>
                <w:color w:val="000000"/>
                <w:sz w:val="16"/>
                <w:szCs w:val="16"/>
                <w:lang w:eastAsia="tr-TR"/>
              </w:rPr>
            </w:pPr>
            <w:proofErr w:type="gramStart"/>
            <w:r w:rsidRPr="00005453">
              <w:rPr>
                <w:b/>
                <w:bCs/>
                <w:color w:val="000000"/>
                <w:sz w:val="16"/>
                <w:szCs w:val="16"/>
                <w:lang w:eastAsia="tr-TR"/>
              </w:rPr>
              <w:t>faaliyeti</w:t>
            </w:r>
            <w:proofErr w:type="gramEnd"/>
          </w:p>
        </w:tc>
      </w:tr>
      <w:tr w:rsidR="003A557F" w:rsidRPr="00005453" w14:paraId="44AF9464" w14:textId="77777777" w:rsidTr="00E13ED4">
        <w:trPr>
          <w:divId w:val="100417652"/>
          <w:trHeight w:val="60"/>
        </w:trPr>
        <w:tc>
          <w:tcPr>
            <w:tcW w:w="4159" w:type="dxa"/>
            <w:tcBorders>
              <w:top w:val="nil"/>
              <w:left w:val="nil"/>
              <w:bottom w:val="single" w:sz="8" w:space="0" w:color="auto"/>
              <w:right w:val="nil"/>
            </w:tcBorders>
            <w:shd w:val="clear" w:color="auto" w:fill="auto"/>
            <w:noWrap/>
            <w:vAlign w:val="center"/>
            <w:hideMark/>
          </w:tcPr>
          <w:p w14:paraId="1A630688" w14:textId="38C2FD98" w:rsidR="003A557F" w:rsidRPr="00005453" w:rsidRDefault="003A557F" w:rsidP="003A557F">
            <w:pPr>
              <w:rPr>
                <w:b/>
                <w:bCs/>
                <w:color w:val="000000"/>
                <w:sz w:val="16"/>
                <w:szCs w:val="16"/>
                <w:lang w:eastAsia="tr-TR"/>
              </w:rPr>
            </w:pPr>
            <w:r w:rsidRPr="00005453">
              <w:rPr>
                <w:b/>
                <w:bCs/>
                <w:color w:val="000000"/>
                <w:sz w:val="16"/>
                <w:szCs w:val="16"/>
                <w:lang w:eastAsia="tr-TR"/>
              </w:rPr>
              <w:t>1 Ocak 202</w:t>
            </w:r>
            <w:r w:rsidR="007F6A49" w:rsidRPr="00005453">
              <w:rPr>
                <w:b/>
                <w:bCs/>
                <w:color w:val="000000"/>
                <w:sz w:val="16"/>
                <w:szCs w:val="16"/>
                <w:lang w:eastAsia="tr-TR"/>
              </w:rPr>
              <w:t>3</w:t>
            </w:r>
            <w:r w:rsidRPr="00005453">
              <w:rPr>
                <w:b/>
                <w:bCs/>
                <w:color w:val="000000"/>
                <w:sz w:val="16"/>
                <w:szCs w:val="16"/>
                <w:lang w:eastAsia="tr-TR"/>
              </w:rPr>
              <w:t>-31 Aralık 202</w:t>
            </w:r>
            <w:r w:rsidR="007F6A49" w:rsidRPr="00005453">
              <w:rPr>
                <w:b/>
                <w:bCs/>
                <w:color w:val="000000"/>
                <w:sz w:val="16"/>
                <w:szCs w:val="16"/>
                <w:lang w:eastAsia="tr-TR"/>
              </w:rPr>
              <w:t>3</w:t>
            </w:r>
          </w:p>
        </w:tc>
        <w:tc>
          <w:tcPr>
            <w:tcW w:w="1129" w:type="dxa"/>
            <w:vMerge/>
            <w:tcBorders>
              <w:top w:val="single" w:sz="8" w:space="0" w:color="auto"/>
              <w:left w:val="nil"/>
              <w:bottom w:val="single" w:sz="8" w:space="0" w:color="000000"/>
              <w:right w:val="nil"/>
            </w:tcBorders>
            <w:vAlign w:val="center"/>
            <w:hideMark/>
          </w:tcPr>
          <w:p w14:paraId="63FE5D2E" w14:textId="77777777" w:rsidR="003A557F" w:rsidRPr="00005453"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30499C62" w14:textId="77777777" w:rsidR="003A557F" w:rsidRPr="00005453"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130119F2" w14:textId="77777777" w:rsidR="003A557F" w:rsidRPr="00005453" w:rsidRDefault="003A557F" w:rsidP="003A557F">
            <w:pPr>
              <w:rPr>
                <w:b/>
                <w:bCs/>
                <w:color w:val="000000"/>
                <w:sz w:val="16"/>
                <w:szCs w:val="16"/>
                <w:lang w:eastAsia="tr-TR"/>
              </w:rPr>
            </w:pPr>
          </w:p>
        </w:tc>
        <w:tc>
          <w:tcPr>
            <w:tcW w:w="1243" w:type="dxa"/>
            <w:vMerge/>
            <w:tcBorders>
              <w:top w:val="single" w:sz="8" w:space="0" w:color="auto"/>
              <w:left w:val="nil"/>
              <w:bottom w:val="single" w:sz="8" w:space="0" w:color="000000"/>
              <w:right w:val="nil"/>
            </w:tcBorders>
            <w:vAlign w:val="center"/>
            <w:hideMark/>
          </w:tcPr>
          <w:p w14:paraId="2C4D1130" w14:textId="77777777" w:rsidR="003A557F" w:rsidRPr="00005453" w:rsidRDefault="003A557F" w:rsidP="003A557F">
            <w:pPr>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239921BA" w14:textId="77777777" w:rsidR="003A557F" w:rsidRPr="00005453" w:rsidRDefault="003A557F" w:rsidP="003A557F">
            <w:pPr>
              <w:rPr>
                <w:b/>
                <w:bCs/>
                <w:color w:val="000000"/>
                <w:sz w:val="16"/>
                <w:szCs w:val="16"/>
                <w:lang w:eastAsia="tr-TR"/>
              </w:rPr>
            </w:pPr>
          </w:p>
        </w:tc>
      </w:tr>
      <w:tr w:rsidR="003A557F" w:rsidRPr="00005453" w14:paraId="1D57DFEF" w14:textId="77777777" w:rsidTr="00E13ED4">
        <w:trPr>
          <w:divId w:val="100417652"/>
          <w:trHeight w:val="37"/>
        </w:trPr>
        <w:tc>
          <w:tcPr>
            <w:tcW w:w="4159" w:type="dxa"/>
            <w:tcBorders>
              <w:top w:val="nil"/>
              <w:left w:val="nil"/>
              <w:bottom w:val="nil"/>
              <w:right w:val="nil"/>
            </w:tcBorders>
            <w:shd w:val="clear" w:color="auto" w:fill="auto"/>
            <w:noWrap/>
            <w:vAlign w:val="bottom"/>
            <w:hideMark/>
          </w:tcPr>
          <w:p w14:paraId="1EDCA688" w14:textId="77777777" w:rsidR="003A557F" w:rsidRPr="00005453" w:rsidRDefault="003A557F" w:rsidP="003A557F">
            <w:pPr>
              <w:rPr>
                <w:b/>
                <w:bCs/>
                <w:color w:val="000000"/>
                <w:sz w:val="6"/>
                <w:szCs w:val="6"/>
                <w:lang w:eastAsia="tr-TR"/>
              </w:rPr>
            </w:pPr>
          </w:p>
        </w:tc>
        <w:tc>
          <w:tcPr>
            <w:tcW w:w="1129" w:type="dxa"/>
            <w:tcBorders>
              <w:top w:val="nil"/>
              <w:left w:val="nil"/>
              <w:bottom w:val="nil"/>
              <w:right w:val="nil"/>
            </w:tcBorders>
            <w:shd w:val="clear" w:color="auto" w:fill="auto"/>
            <w:noWrap/>
            <w:vAlign w:val="bottom"/>
            <w:hideMark/>
          </w:tcPr>
          <w:p w14:paraId="11ED7FF5" w14:textId="77777777" w:rsidR="003A557F" w:rsidRPr="00005453" w:rsidRDefault="003A557F" w:rsidP="003A557F">
            <w:pPr>
              <w:rPr>
                <w:sz w:val="6"/>
                <w:szCs w:val="6"/>
                <w:lang w:eastAsia="tr-TR"/>
              </w:rPr>
            </w:pPr>
          </w:p>
        </w:tc>
        <w:tc>
          <w:tcPr>
            <w:tcW w:w="1129" w:type="dxa"/>
            <w:tcBorders>
              <w:top w:val="nil"/>
              <w:left w:val="nil"/>
              <w:bottom w:val="nil"/>
              <w:right w:val="nil"/>
            </w:tcBorders>
            <w:shd w:val="clear" w:color="auto" w:fill="auto"/>
            <w:vAlign w:val="bottom"/>
            <w:hideMark/>
          </w:tcPr>
          <w:p w14:paraId="5F529798" w14:textId="77777777" w:rsidR="003A557F" w:rsidRPr="00005453" w:rsidRDefault="003A557F" w:rsidP="003A557F">
            <w:pPr>
              <w:rPr>
                <w:sz w:val="6"/>
                <w:szCs w:val="6"/>
                <w:lang w:eastAsia="tr-TR"/>
              </w:rPr>
            </w:pPr>
          </w:p>
        </w:tc>
        <w:tc>
          <w:tcPr>
            <w:tcW w:w="1129" w:type="dxa"/>
            <w:tcBorders>
              <w:top w:val="nil"/>
              <w:left w:val="nil"/>
              <w:bottom w:val="nil"/>
              <w:right w:val="nil"/>
            </w:tcBorders>
            <w:shd w:val="clear" w:color="auto" w:fill="auto"/>
            <w:noWrap/>
            <w:vAlign w:val="bottom"/>
            <w:hideMark/>
          </w:tcPr>
          <w:p w14:paraId="7E8E87E5" w14:textId="77777777" w:rsidR="003A557F" w:rsidRPr="00005453" w:rsidRDefault="003A557F" w:rsidP="003A557F">
            <w:pPr>
              <w:rPr>
                <w:sz w:val="6"/>
                <w:szCs w:val="6"/>
                <w:lang w:eastAsia="tr-TR"/>
              </w:rPr>
            </w:pPr>
          </w:p>
        </w:tc>
        <w:tc>
          <w:tcPr>
            <w:tcW w:w="1243" w:type="dxa"/>
            <w:tcBorders>
              <w:top w:val="nil"/>
              <w:left w:val="nil"/>
              <w:bottom w:val="nil"/>
              <w:right w:val="nil"/>
            </w:tcBorders>
            <w:shd w:val="clear" w:color="auto" w:fill="auto"/>
            <w:vAlign w:val="bottom"/>
            <w:hideMark/>
          </w:tcPr>
          <w:p w14:paraId="3D0048B0" w14:textId="77777777" w:rsidR="003A557F" w:rsidRPr="00005453" w:rsidRDefault="003A557F" w:rsidP="003A557F">
            <w:pPr>
              <w:rPr>
                <w:sz w:val="6"/>
                <w:szCs w:val="6"/>
                <w:lang w:eastAsia="tr-TR"/>
              </w:rPr>
            </w:pPr>
          </w:p>
        </w:tc>
        <w:tc>
          <w:tcPr>
            <w:tcW w:w="1134" w:type="dxa"/>
            <w:tcBorders>
              <w:top w:val="nil"/>
              <w:left w:val="nil"/>
              <w:bottom w:val="nil"/>
              <w:right w:val="nil"/>
            </w:tcBorders>
            <w:shd w:val="clear" w:color="auto" w:fill="auto"/>
            <w:vAlign w:val="bottom"/>
            <w:hideMark/>
          </w:tcPr>
          <w:p w14:paraId="4EF16260" w14:textId="77777777" w:rsidR="003A557F" w:rsidRPr="00005453" w:rsidRDefault="003A557F" w:rsidP="003A557F">
            <w:pPr>
              <w:rPr>
                <w:sz w:val="6"/>
                <w:szCs w:val="6"/>
                <w:lang w:eastAsia="tr-TR"/>
              </w:rPr>
            </w:pPr>
          </w:p>
        </w:tc>
      </w:tr>
      <w:tr w:rsidR="007F6A49" w:rsidRPr="00005453" w14:paraId="1BC168E8"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4F368C3F" w14:textId="77777777" w:rsidR="007F6A49" w:rsidRPr="00005453" w:rsidRDefault="007F6A49" w:rsidP="007F6A49">
            <w:pPr>
              <w:rPr>
                <w:color w:val="000000"/>
                <w:sz w:val="16"/>
                <w:szCs w:val="16"/>
                <w:lang w:eastAsia="tr-TR"/>
              </w:rPr>
            </w:pPr>
            <w:r w:rsidRPr="00005453">
              <w:rPr>
                <w:color w:val="000000"/>
                <w:sz w:val="16"/>
                <w:szCs w:val="16"/>
                <w:lang w:eastAsia="tr-TR"/>
              </w:rPr>
              <w:t>Faaliyet gelirleri</w:t>
            </w:r>
          </w:p>
        </w:tc>
        <w:tc>
          <w:tcPr>
            <w:tcW w:w="1129" w:type="dxa"/>
            <w:tcBorders>
              <w:top w:val="nil"/>
              <w:left w:val="nil"/>
              <w:bottom w:val="nil"/>
              <w:right w:val="nil"/>
            </w:tcBorders>
            <w:shd w:val="clear" w:color="auto" w:fill="auto"/>
            <w:noWrap/>
            <w:vAlign w:val="center"/>
            <w:hideMark/>
          </w:tcPr>
          <w:p w14:paraId="7AAF1E1B" w14:textId="0A2FB264" w:rsidR="007F6A49" w:rsidRPr="00005453" w:rsidRDefault="007F6A49" w:rsidP="007F6A49">
            <w:pPr>
              <w:jc w:val="right"/>
              <w:rPr>
                <w:color w:val="000000"/>
                <w:sz w:val="16"/>
                <w:szCs w:val="16"/>
                <w:lang w:eastAsia="tr-TR"/>
              </w:rPr>
            </w:pPr>
            <w:r w:rsidRPr="00005453">
              <w:rPr>
                <w:color w:val="000000"/>
                <w:sz w:val="16"/>
                <w:szCs w:val="16"/>
                <w:lang w:eastAsia="tr-TR"/>
              </w:rPr>
              <w:t xml:space="preserve">32,307,046 </w:t>
            </w:r>
          </w:p>
        </w:tc>
        <w:tc>
          <w:tcPr>
            <w:tcW w:w="1129" w:type="dxa"/>
            <w:tcBorders>
              <w:top w:val="nil"/>
              <w:left w:val="nil"/>
              <w:bottom w:val="nil"/>
              <w:right w:val="nil"/>
            </w:tcBorders>
            <w:shd w:val="clear" w:color="auto" w:fill="auto"/>
            <w:noWrap/>
            <w:vAlign w:val="center"/>
            <w:hideMark/>
          </w:tcPr>
          <w:p w14:paraId="2B22EE1E" w14:textId="143F0371" w:rsidR="007F6A49" w:rsidRPr="00005453" w:rsidRDefault="007F6A49" w:rsidP="007F6A49">
            <w:pPr>
              <w:jc w:val="right"/>
              <w:rPr>
                <w:color w:val="000000"/>
                <w:sz w:val="16"/>
                <w:szCs w:val="16"/>
                <w:lang w:eastAsia="tr-TR"/>
              </w:rPr>
            </w:pPr>
            <w:r w:rsidRPr="00005453">
              <w:rPr>
                <w:color w:val="000000"/>
                <w:sz w:val="16"/>
                <w:szCs w:val="16"/>
                <w:lang w:eastAsia="tr-TR"/>
              </w:rPr>
              <w:t xml:space="preserve">43,252,980 </w:t>
            </w:r>
          </w:p>
        </w:tc>
        <w:tc>
          <w:tcPr>
            <w:tcW w:w="1129" w:type="dxa"/>
            <w:tcBorders>
              <w:top w:val="nil"/>
              <w:left w:val="nil"/>
              <w:bottom w:val="nil"/>
              <w:right w:val="nil"/>
            </w:tcBorders>
            <w:shd w:val="clear" w:color="auto" w:fill="auto"/>
            <w:noWrap/>
            <w:vAlign w:val="center"/>
            <w:hideMark/>
          </w:tcPr>
          <w:p w14:paraId="7615B58F" w14:textId="042DEFDF" w:rsidR="007F6A49" w:rsidRPr="00005453" w:rsidRDefault="007F6A49" w:rsidP="007F6A49">
            <w:pPr>
              <w:jc w:val="right"/>
              <w:rPr>
                <w:color w:val="000000"/>
                <w:sz w:val="16"/>
                <w:szCs w:val="16"/>
                <w:lang w:eastAsia="tr-TR"/>
              </w:rPr>
            </w:pPr>
            <w:r w:rsidRPr="00005453">
              <w:rPr>
                <w:color w:val="000000"/>
                <w:sz w:val="16"/>
                <w:szCs w:val="16"/>
                <w:lang w:eastAsia="tr-TR"/>
              </w:rPr>
              <w:t xml:space="preserve">7,952,811 </w:t>
            </w:r>
          </w:p>
        </w:tc>
        <w:tc>
          <w:tcPr>
            <w:tcW w:w="1243" w:type="dxa"/>
            <w:tcBorders>
              <w:top w:val="nil"/>
              <w:left w:val="nil"/>
              <w:bottom w:val="nil"/>
              <w:right w:val="nil"/>
            </w:tcBorders>
            <w:shd w:val="clear" w:color="auto" w:fill="auto"/>
            <w:noWrap/>
            <w:vAlign w:val="center"/>
            <w:hideMark/>
          </w:tcPr>
          <w:p w14:paraId="39E325C9" w14:textId="56C98F38" w:rsidR="007F6A49" w:rsidRPr="00005453" w:rsidRDefault="007F6A49" w:rsidP="007F6A49">
            <w:pPr>
              <w:jc w:val="right"/>
              <w:rPr>
                <w:color w:val="000000"/>
                <w:sz w:val="16"/>
                <w:szCs w:val="16"/>
                <w:lang w:eastAsia="tr-TR"/>
              </w:rPr>
            </w:pPr>
            <w:r w:rsidRPr="00005453">
              <w:rPr>
                <w:color w:val="000000"/>
                <w:sz w:val="16"/>
                <w:szCs w:val="16"/>
                <w:lang w:eastAsia="tr-TR"/>
              </w:rPr>
              <w:t xml:space="preserve">-   </w:t>
            </w:r>
          </w:p>
        </w:tc>
        <w:tc>
          <w:tcPr>
            <w:tcW w:w="1134" w:type="dxa"/>
            <w:tcBorders>
              <w:top w:val="nil"/>
              <w:left w:val="nil"/>
              <w:bottom w:val="nil"/>
              <w:right w:val="nil"/>
            </w:tcBorders>
            <w:shd w:val="clear" w:color="auto" w:fill="auto"/>
            <w:noWrap/>
            <w:vAlign w:val="center"/>
            <w:hideMark/>
          </w:tcPr>
          <w:p w14:paraId="5A2D6D27" w14:textId="3CA5ABD1" w:rsidR="007F6A49" w:rsidRPr="00005453" w:rsidRDefault="007F6A49" w:rsidP="007F6A49">
            <w:pPr>
              <w:jc w:val="right"/>
              <w:rPr>
                <w:color w:val="000000"/>
                <w:sz w:val="16"/>
                <w:szCs w:val="16"/>
                <w:lang w:eastAsia="tr-TR"/>
              </w:rPr>
            </w:pPr>
            <w:r w:rsidRPr="00005453">
              <w:rPr>
                <w:color w:val="000000"/>
                <w:sz w:val="16"/>
                <w:szCs w:val="16"/>
                <w:lang w:eastAsia="tr-TR"/>
              </w:rPr>
              <w:t xml:space="preserve">83,512,837 </w:t>
            </w:r>
          </w:p>
        </w:tc>
      </w:tr>
      <w:tr w:rsidR="007F6A49" w:rsidRPr="00005453" w14:paraId="73EF2A8A"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65E249CC" w14:textId="77777777" w:rsidR="007F6A49" w:rsidRPr="00005453" w:rsidRDefault="007F6A49" w:rsidP="007F6A49">
            <w:pPr>
              <w:rPr>
                <w:color w:val="000000"/>
                <w:sz w:val="16"/>
                <w:szCs w:val="16"/>
                <w:lang w:eastAsia="tr-TR"/>
              </w:rPr>
            </w:pPr>
            <w:r w:rsidRPr="00005453">
              <w:rPr>
                <w:color w:val="000000"/>
                <w:sz w:val="16"/>
                <w:szCs w:val="16"/>
                <w:lang w:eastAsia="tr-TR"/>
              </w:rPr>
              <w:t>Faaliyet giderleri (-)</w:t>
            </w:r>
          </w:p>
        </w:tc>
        <w:tc>
          <w:tcPr>
            <w:tcW w:w="1129" w:type="dxa"/>
            <w:tcBorders>
              <w:top w:val="nil"/>
              <w:left w:val="nil"/>
              <w:bottom w:val="nil"/>
              <w:right w:val="nil"/>
            </w:tcBorders>
            <w:shd w:val="clear" w:color="auto" w:fill="auto"/>
            <w:noWrap/>
            <w:vAlign w:val="center"/>
            <w:hideMark/>
          </w:tcPr>
          <w:p w14:paraId="3535F5D2" w14:textId="093AE647" w:rsidR="007F6A49" w:rsidRPr="00005453" w:rsidRDefault="007F6A49" w:rsidP="007F6A49">
            <w:pPr>
              <w:jc w:val="right"/>
              <w:rPr>
                <w:color w:val="000000"/>
                <w:sz w:val="16"/>
                <w:szCs w:val="16"/>
                <w:lang w:eastAsia="tr-TR"/>
              </w:rPr>
            </w:pPr>
            <w:r w:rsidRPr="00005453">
              <w:rPr>
                <w:color w:val="000000"/>
                <w:sz w:val="16"/>
                <w:szCs w:val="16"/>
                <w:lang w:eastAsia="tr-TR"/>
              </w:rPr>
              <w:t xml:space="preserve">30,520,182 </w:t>
            </w:r>
          </w:p>
        </w:tc>
        <w:tc>
          <w:tcPr>
            <w:tcW w:w="1129" w:type="dxa"/>
            <w:tcBorders>
              <w:top w:val="nil"/>
              <w:left w:val="nil"/>
              <w:bottom w:val="nil"/>
              <w:right w:val="nil"/>
            </w:tcBorders>
            <w:shd w:val="clear" w:color="auto" w:fill="auto"/>
            <w:noWrap/>
            <w:vAlign w:val="center"/>
            <w:hideMark/>
          </w:tcPr>
          <w:p w14:paraId="7224438A" w14:textId="3F1DD304" w:rsidR="007F6A49" w:rsidRPr="00005453" w:rsidRDefault="007F6A49" w:rsidP="007F6A49">
            <w:pPr>
              <w:jc w:val="right"/>
              <w:rPr>
                <w:color w:val="000000"/>
                <w:sz w:val="16"/>
                <w:szCs w:val="16"/>
                <w:lang w:eastAsia="tr-TR"/>
              </w:rPr>
            </w:pPr>
            <w:r w:rsidRPr="00005453">
              <w:rPr>
                <w:color w:val="000000"/>
                <w:sz w:val="16"/>
                <w:szCs w:val="16"/>
                <w:lang w:eastAsia="tr-TR"/>
              </w:rPr>
              <w:t xml:space="preserve">7,812,584 </w:t>
            </w:r>
          </w:p>
        </w:tc>
        <w:tc>
          <w:tcPr>
            <w:tcW w:w="1129" w:type="dxa"/>
            <w:tcBorders>
              <w:top w:val="nil"/>
              <w:left w:val="nil"/>
              <w:bottom w:val="nil"/>
              <w:right w:val="nil"/>
            </w:tcBorders>
            <w:shd w:val="clear" w:color="auto" w:fill="auto"/>
            <w:noWrap/>
            <w:vAlign w:val="center"/>
            <w:hideMark/>
          </w:tcPr>
          <w:p w14:paraId="7440058F" w14:textId="6ACEE87D" w:rsidR="007F6A49" w:rsidRPr="00005453" w:rsidRDefault="007F6A49" w:rsidP="007F6A49">
            <w:pPr>
              <w:jc w:val="right"/>
              <w:rPr>
                <w:color w:val="000000"/>
                <w:sz w:val="16"/>
                <w:szCs w:val="16"/>
                <w:lang w:eastAsia="tr-TR"/>
              </w:rPr>
            </w:pPr>
            <w:r w:rsidRPr="00005453">
              <w:rPr>
                <w:color w:val="000000"/>
                <w:sz w:val="16"/>
                <w:szCs w:val="16"/>
                <w:lang w:eastAsia="tr-TR"/>
              </w:rPr>
              <w:t xml:space="preserve">1,475,051 </w:t>
            </w:r>
          </w:p>
        </w:tc>
        <w:tc>
          <w:tcPr>
            <w:tcW w:w="1243" w:type="dxa"/>
            <w:tcBorders>
              <w:top w:val="nil"/>
              <w:left w:val="nil"/>
              <w:bottom w:val="nil"/>
              <w:right w:val="nil"/>
            </w:tcBorders>
            <w:shd w:val="clear" w:color="auto" w:fill="auto"/>
            <w:noWrap/>
            <w:vAlign w:val="center"/>
            <w:hideMark/>
          </w:tcPr>
          <w:p w14:paraId="572225AD" w14:textId="605A7917" w:rsidR="007F6A49" w:rsidRPr="00005453" w:rsidRDefault="007F6A49" w:rsidP="007F6A49">
            <w:pPr>
              <w:jc w:val="right"/>
              <w:rPr>
                <w:color w:val="000000"/>
                <w:sz w:val="16"/>
                <w:szCs w:val="16"/>
                <w:lang w:eastAsia="tr-TR"/>
              </w:rPr>
            </w:pPr>
            <w:r w:rsidRPr="00005453">
              <w:rPr>
                <w:color w:val="000000"/>
                <w:sz w:val="16"/>
                <w:szCs w:val="16"/>
                <w:lang w:eastAsia="tr-TR"/>
              </w:rPr>
              <w:t xml:space="preserve">10,201,612 </w:t>
            </w:r>
          </w:p>
        </w:tc>
        <w:tc>
          <w:tcPr>
            <w:tcW w:w="1134" w:type="dxa"/>
            <w:tcBorders>
              <w:top w:val="nil"/>
              <w:left w:val="nil"/>
              <w:bottom w:val="nil"/>
              <w:right w:val="nil"/>
            </w:tcBorders>
            <w:shd w:val="clear" w:color="auto" w:fill="auto"/>
            <w:noWrap/>
            <w:vAlign w:val="center"/>
            <w:hideMark/>
          </w:tcPr>
          <w:p w14:paraId="540C38E2" w14:textId="19D8D0F6" w:rsidR="007F6A49" w:rsidRPr="00005453" w:rsidRDefault="007F6A49" w:rsidP="007F6A49">
            <w:pPr>
              <w:jc w:val="right"/>
              <w:rPr>
                <w:color w:val="000000"/>
                <w:sz w:val="16"/>
                <w:szCs w:val="16"/>
                <w:lang w:eastAsia="tr-TR"/>
              </w:rPr>
            </w:pPr>
            <w:r w:rsidRPr="00005453">
              <w:rPr>
                <w:color w:val="000000"/>
                <w:sz w:val="16"/>
                <w:szCs w:val="16"/>
                <w:lang w:eastAsia="tr-TR"/>
              </w:rPr>
              <w:t xml:space="preserve">50,009,429 </w:t>
            </w:r>
          </w:p>
        </w:tc>
      </w:tr>
      <w:tr w:rsidR="007F6A49" w:rsidRPr="00005453" w14:paraId="131AE9C9"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393FD450" w14:textId="77777777" w:rsidR="007F6A49" w:rsidRPr="00005453" w:rsidRDefault="007F6A49" w:rsidP="007F6A49">
            <w:pPr>
              <w:rPr>
                <w:color w:val="000000"/>
                <w:sz w:val="16"/>
                <w:szCs w:val="16"/>
                <w:lang w:eastAsia="tr-TR"/>
              </w:rPr>
            </w:pPr>
            <w:r w:rsidRPr="00005453">
              <w:rPr>
                <w:color w:val="000000"/>
                <w:sz w:val="16"/>
                <w:szCs w:val="16"/>
                <w:lang w:eastAsia="tr-TR"/>
              </w:rPr>
              <w:t>Bölümler arası transferler</w:t>
            </w:r>
          </w:p>
        </w:tc>
        <w:tc>
          <w:tcPr>
            <w:tcW w:w="1129" w:type="dxa"/>
            <w:tcBorders>
              <w:top w:val="nil"/>
              <w:left w:val="nil"/>
              <w:bottom w:val="nil"/>
              <w:right w:val="nil"/>
            </w:tcBorders>
            <w:shd w:val="clear" w:color="auto" w:fill="auto"/>
            <w:noWrap/>
            <w:vAlign w:val="center"/>
            <w:hideMark/>
          </w:tcPr>
          <w:p w14:paraId="60C0D55B" w14:textId="65CC9F75" w:rsidR="007F6A49" w:rsidRPr="00005453" w:rsidRDefault="007F6A49" w:rsidP="007F6A49">
            <w:pPr>
              <w:jc w:val="right"/>
              <w:rPr>
                <w:color w:val="000000"/>
                <w:sz w:val="16"/>
                <w:szCs w:val="16"/>
                <w:lang w:eastAsia="tr-TR"/>
              </w:rPr>
            </w:pPr>
            <w:r w:rsidRPr="00005453">
              <w:rPr>
                <w:color w:val="000000"/>
                <w:sz w:val="16"/>
                <w:szCs w:val="16"/>
                <w:lang w:eastAsia="tr-TR"/>
              </w:rPr>
              <w:t xml:space="preserve">18,901,296 </w:t>
            </w:r>
          </w:p>
        </w:tc>
        <w:tc>
          <w:tcPr>
            <w:tcW w:w="1129" w:type="dxa"/>
            <w:tcBorders>
              <w:top w:val="nil"/>
              <w:left w:val="nil"/>
              <w:bottom w:val="nil"/>
              <w:right w:val="nil"/>
            </w:tcBorders>
            <w:shd w:val="clear" w:color="auto" w:fill="auto"/>
            <w:noWrap/>
            <w:vAlign w:val="center"/>
            <w:hideMark/>
          </w:tcPr>
          <w:p w14:paraId="60C5EB29" w14:textId="187C09FA" w:rsidR="007F6A49" w:rsidRPr="00005453" w:rsidRDefault="007F6A49" w:rsidP="007F6A49">
            <w:pPr>
              <w:jc w:val="right"/>
              <w:rPr>
                <w:color w:val="000000"/>
                <w:sz w:val="16"/>
                <w:szCs w:val="16"/>
                <w:lang w:eastAsia="tr-TR"/>
              </w:rPr>
            </w:pPr>
            <w:r w:rsidRPr="00005453">
              <w:rPr>
                <w:color w:val="000000"/>
                <w:sz w:val="16"/>
                <w:szCs w:val="16"/>
                <w:lang w:eastAsia="tr-TR"/>
              </w:rPr>
              <w:t>(12,543,958)</w:t>
            </w:r>
          </w:p>
        </w:tc>
        <w:tc>
          <w:tcPr>
            <w:tcW w:w="1129" w:type="dxa"/>
            <w:tcBorders>
              <w:top w:val="nil"/>
              <w:left w:val="nil"/>
              <w:bottom w:val="nil"/>
              <w:right w:val="nil"/>
            </w:tcBorders>
            <w:shd w:val="clear" w:color="auto" w:fill="auto"/>
            <w:noWrap/>
            <w:vAlign w:val="center"/>
            <w:hideMark/>
          </w:tcPr>
          <w:p w14:paraId="23DB5B57" w14:textId="762493C6" w:rsidR="007F6A49" w:rsidRPr="00005453" w:rsidRDefault="007F6A49" w:rsidP="007F6A49">
            <w:pPr>
              <w:jc w:val="right"/>
              <w:rPr>
                <w:color w:val="000000"/>
                <w:sz w:val="16"/>
                <w:szCs w:val="16"/>
                <w:lang w:eastAsia="tr-TR"/>
              </w:rPr>
            </w:pPr>
            <w:r w:rsidRPr="00005453">
              <w:rPr>
                <w:color w:val="000000"/>
                <w:sz w:val="16"/>
                <w:szCs w:val="16"/>
                <w:lang w:eastAsia="tr-TR"/>
              </w:rPr>
              <w:t>(6,357,338)</w:t>
            </w:r>
          </w:p>
        </w:tc>
        <w:tc>
          <w:tcPr>
            <w:tcW w:w="1243" w:type="dxa"/>
            <w:tcBorders>
              <w:top w:val="nil"/>
              <w:left w:val="nil"/>
              <w:bottom w:val="nil"/>
              <w:right w:val="nil"/>
            </w:tcBorders>
            <w:shd w:val="clear" w:color="auto" w:fill="auto"/>
            <w:noWrap/>
            <w:vAlign w:val="center"/>
            <w:hideMark/>
          </w:tcPr>
          <w:p w14:paraId="314BCB1C" w14:textId="3BC0FA7C" w:rsidR="007F6A49" w:rsidRPr="00005453" w:rsidRDefault="007F6A49" w:rsidP="007F6A49">
            <w:pPr>
              <w:jc w:val="right"/>
              <w:rPr>
                <w:color w:val="000000"/>
                <w:sz w:val="16"/>
                <w:szCs w:val="16"/>
                <w:lang w:eastAsia="tr-TR"/>
              </w:rPr>
            </w:pPr>
            <w:r w:rsidRPr="00005453">
              <w:rPr>
                <w:color w:val="000000"/>
                <w:sz w:val="16"/>
                <w:szCs w:val="16"/>
                <w:lang w:eastAsia="tr-TR"/>
              </w:rPr>
              <w:t xml:space="preserve">-   </w:t>
            </w:r>
          </w:p>
        </w:tc>
        <w:tc>
          <w:tcPr>
            <w:tcW w:w="1134" w:type="dxa"/>
            <w:tcBorders>
              <w:top w:val="nil"/>
              <w:left w:val="nil"/>
              <w:bottom w:val="nil"/>
              <w:right w:val="nil"/>
            </w:tcBorders>
            <w:shd w:val="clear" w:color="auto" w:fill="auto"/>
            <w:noWrap/>
            <w:vAlign w:val="center"/>
            <w:hideMark/>
          </w:tcPr>
          <w:p w14:paraId="43BBB4FB" w14:textId="06693425" w:rsidR="007F6A49" w:rsidRPr="00005453" w:rsidRDefault="007F6A49" w:rsidP="007F6A49">
            <w:pPr>
              <w:jc w:val="right"/>
              <w:rPr>
                <w:color w:val="000000"/>
                <w:sz w:val="16"/>
                <w:szCs w:val="16"/>
                <w:lang w:eastAsia="tr-TR"/>
              </w:rPr>
            </w:pPr>
            <w:r w:rsidRPr="00005453">
              <w:rPr>
                <w:color w:val="000000"/>
                <w:sz w:val="16"/>
                <w:szCs w:val="16"/>
                <w:lang w:eastAsia="tr-TR"/>
              </w:rPr>
              <w:t xml:space="preserve">-   </w:t>
            </w:r>
          </w:p>
        </w:tc>
      </w:tr>
      <w:tr w:rsidR="007F6A49" w:rsidRPr="00005453" w14:paraId="70CB10BF"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0A878D61" w14:textId="77777777" w:rsidR="007F6A49" w:rsidRPr="00005453" w:rsidRDefault="007F6A49" w:rsidP="007F6A49">
            <w:pPr>
              <w:rPr>
                <w:b/>
                <w:bCs/>
                <w:color w:val="000000"/>
                <w:sz w:val="16"/>
                <w:szCs w:val="16"/>
                <w:lang w:eastAsia="tr-TR"/>
              </w:rPr>
            </w:pPr>
            <w:r w:rsidRPr="00005453">
              <w:rPr>
                <w:b/>
                <w:bCs/>
                <w:color w:val="000000"/>
                <w:sz w:val="16"/>
                <w:szCs w:val="16"/>
                <w:lang w:eastAsia="tr-TR"/>
              </w:rPr>
              <w:t>Net faaliyet karı / zararı</w:t>
            </w:r>
          </w:p>
        </w:tc>
        <w:tc>
          <w:tcPr>
            <w:tcW w:w="1129" w:type="dxa"/>
            <w:tcBorders>
              <w:top w:val="nil"/>
              <w:left w:val="nil"/>
              <w:bottom w:val="nil"/>
              <w:right w:val="nil"/>
            </w:tcBorders>
            <w:shd w:val="clear" w:color="auto" w:fill="auto"/>
            <w:noWrap/>
            <w:vAlign w:val="center"/>
            <w:hideMark/>
          </w:tcPr>
          <w:p w14:paraId="0D476F0C" w14:textId="2583E8BC"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20,688,160 </w:t>
            </w:r>
          </w:p>
        </w:tc>
        <w:tc>
          <w:tcPr>
            <w:tcW w:w="1129" w:type="dxa"/>
            <w:tcBorders>
              <w:top w:val="nil"/>
              <w:left w:val="nil"/>
              <w:bottom w:val="nil"/>
              <w:right w:val="nil"/>
            </w:tcBorders>
            <w:shd w:val="clear" w:color="auto" w:fill="auto"/>
            <w:noWrap/>
            <w:vAlign w:val="center"/>
            <w:hideMark/>
          </w:tcPr>
          <w:p w14:paraId="087BEAAB" w14:textId="7D12B944"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22,896,438 </w:t>
            </w:r>
          </w:p>
        </w:tc>
        <w:tc>
          <w:tcPr>
            <w:tcW w:w="1129" w:type="dxa"/>
            <w:tcBorders>
              <w:top w:val="nil"/>
              <w:left w:val="nil"/>
              <w:bottom w:val="nil"/>
              <w:right w:val="nil"/>
            </w:tcBorders>
            <w:shd w:val="clear" w:color="auto" w:fill="auto"/>
            <w:noWrap/>
            <w:vAlign w:val="center"/>
            <w:hideMark/>
          </w:tcPr>
          <w:p w14:paraId="14E6444B" w14:textId="6F215CC1"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120,422 </w:t>
            </w:r>
          </w:p>
        </w:tc>
        <w:tc>
          <w:tcPr>
            <w:tcW w:w="1243" w:type="dxa"/>
            <w:tcBorders>
              <w:top w:val="nil"/>
              <w:left w:val="nil"/>
              <w:bottom w:val="nil"/>
              <w:right w:val="nil"/>
            </w:tcBorders>
            <w:shd w:val="clear" w:color="auto" w:fill="auto"/>
            <w:noWrap/>
            <w:vAlign w:val="center"/>
            <w:hideMark/>
          </w:tcPr>
          <w:p w14:paraId="60D69E20" w14:textId="33F8411C" w:rsidR="007F6A49" w:rsidRPr="00005453" w:rsidRDefault="007F6A49" w:rsidP="007F6A49">
            <w:pPr>
              <w:jc w:val="right"/>
              <w:rPr>
                <w:b/>
                <w:bCs/>
                <w:color w:val="000000"/>
                <w:sz w:val="16"/>
                <w:szCs w:val="16"/>
                <w:lang w:eastAsia="tr-TR"/>
              </w:rPr>
            </w:pPr>
            <w:r w:rsidRPr="00005453">
              <w:rPr>
                <w:b/>
                <w:color w:val="000000"/>
                <w:sz w:val="16"/>
                <w:szCs w:val="16"/>
                <w:lang w:eastAsia="tr-TR"/>
              </w:rPr>
              <w:t>(10,201,612)</w:t>
            </w:r>
          </w:p>
        </w:tc>
        <w:tc>
          <w:tcPr>
            <w:tcW w:w="1134" w:type="dxa"/>
            <w:tcBorders>
              <w:top w:val="nil"/>
              <w:left w:val="nil"/>
              <w:bottom w:val="nil"/>
              <w:right w:val="nil"/>
            </w:tcBorders>
            <w:shd w:val="clear" w:color="auto" w:fill="auto"/>
            <w:noWrap/>
            <w:vAlign w:val="center"/>
            <w:hideMark/>
          </w:tcPr>
          <w:p w14:paraId="247D2A43" w14:textId="09A74F87"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33,503,408 </w:t>
            </w:r>
          </w:p>
        </w:tc>
      </w:tr>
      <w:tr w:rsidR="007F6A49" w:rsidRPr="00005453" w14:paraId="64DF512B"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394E695F" w14:textId="77777777" w:rsidR="007F6A49" w:rsidRPr="00005453" w:rsidRDefault="007F6A49" w:rsidP="007F6A49">
            <w:pPr>
              <w:rPr>
                <w:color w:val="000000"/>
                <w:sz w:val="16"/>
                <w:szCs w:val="16"/>
                <w:lang w:eastAsia="tr-TR"/>
              </w:rPr>
            </w:pPr>
            <w:r w:rsidRPr="00005453">
              <w:rPr>
                <w:color w:val="000000"/>
                <w:sz w:val="16"/>
                <w:szCs w:val="16"/>
                <w:lang w:eastAsia="tr-TR"/>
              </w:rPr>
              <w:t>İştiraklerden elde edilen gelir</w:t>
            </w:r>
          </w:p>
        </w:tc>
        <w:tc>
          <w:tcPr>
            <w:tcW w:w="1129" w:type="dxa"/>
            <w:tcBorders>
              <w:top w:val="nil"/>
              <w:left w:val="nil"/>
              <w:bottom w:val="nil"/>
              <w:right w:val="nil"/>
            </w:tcBorders>
            <w:shd w:val="clear" w:color="auto" w:fill="auto"/>
            <w:noWrap/>
            <w:vAlign w:val="center"/>
            <w:hideMark/>
          </w:tcPr>
          <w:p w14:paraId="102D3044" w14:textId="66266573"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0A15082" w14:textId="566A501A"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79A60B8" w14:textId="72A2BA1A"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243" w:type="dxa"/>
            <w:tcBorders>
              <w:top w:val="nil"/>
              <w:left w:val="nil"/>
              <w:bottom w:val="nil"/>
              <w:right w:val="nil"/>
            </w:tcBorders>
            <w:shd w:val="clear" w:color="auto" w:fill="auto"/>
            <w:noWrap/>
            <w:vAlign w:val="center"/>
            <w:hideMark/>
          </w:tcPr>
          <w:p w14:paraId="387D5659" w14:textId="5DC46865"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3B667690" w14:textId="556EF308" w:rsidR="007F6A49" w:rsidRPr="00005453" w:rsidRDefault="007F6A49" w:rsidP="007F6A49">
            <w:pPr>
              <w:jc w:val="right"/>
              <w:rPr>
                <w:color w:val="000000"/>
                <w:sz w:val="16"/>
                <w:szCs w:val="16"/>
                <w:lang w:eastAsia="tr-TR"/>
              </w:rPr>
            </w:pPr>
            <w:r w:rsidRPr="00005453">
              <w:rPr>
                <w:color w:val="000000"/>
                <w:sz w:val="16"/>
                <w:szCs w:val="16"/>
                <w:lang w:eastAsia="tr-TR"/>
              </w:rPr>
              <w:t>-</w:t>
            </w:r>
          </w:p>
        </w:tc>
      </w:tr>
      <w:tr w:rsidR="007F6A49" w:rsidRPr="00005453" w14:paraId="005BB775"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6639DD2C" w14:textId="77777777" w:rsidR="007F6A49" w:rsidRPr="00005453" w:rsidRDefault="007F6A49" w:rsidP="007F6A49">
            <w:pPr>
              <w:rPr>
                <w:b/>
                <w:bCs/>
                <w:color w:val="000000"/>
                <w:sz w:val="16"/>
                <w:szCs w:val="16"/>
                <w:lang w:eastAsia="tr-TR"/>
              </w:rPr>
            </w:pPr>
            <w:r w:rsidRPr="00005453">
              <w:rPr>
                <w:b/>
                <w:bCs/>
                <w:color w:val="000000"/>
                <w:sz w:val="16"/>
                <w:szCs w:val="16"/>
                <w:lang w:eastAsia="tr-TR"/>
              </w:rPr>
              <w:t>Vergi öncesi kar</w:t>
            </w:r>
          </w:p>
        </w:tc>
        <w:tc>
          <w:tcPr>
            <w:tcW w:w="1129" w:type="dxa"/>
            <w:tcBorders>
              <w:top w:val="nil"/>
              <w:left w:val="nil"/>
              <w:bottom w:val="nil"/>
              <w:right w:val="nil"/>
            </w:tcBorders>
            <w:shd w:val="clear" w:color="auto" w:fill="auto"/>
            <w:noWrap/>
            <w:vAlign w:val="center"/>
            <w:hideMark/>
          </w:tcPr>
          <w:p w14:paraId="54E6D92B" w14:textId="5180E1AF"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20,688,160 </w:t>
            </w:r>
          </w:p>
        </w:tc>
        <w:tc>
          <w:tcPr>
            <w:tcW w:w="1129" w:type="dxa"/>
            <w:tcBorders>
              <w:top w:val="nil"/>
              <w:left w:val="nil"/>
              <w:bottom w:val="nil"/>
              <w:right w:val="nil"/>
            </w:tcBorders>
            <w:shd w:val="clear" w:color="auto" w:fill="auto"/>
            <w:noWrap/>
            <w:vAlign w:val="center"/>
            <w:hideMark/>
          </w:tcPr>
          <w:p w14:paraId="37262DF3" w14:textId="4AC14969"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22,896,438 </w:t>
            </w:r>
          </w:p>
        </w:tc>
        <w:tc>
          <w:tcPr>
            <w:tcW w:w="1129" w:type="dxa"/>
            <w:tcBorders>
              <w:top w:val="nil"/>
              <w:left w:val="nil"/>
              <w:bottom w:val="nil"/>
              <w:right w:val="nil"/>
            </w:tcBorders>
            <w:shd w:val="clear" w:color="auto" w:fill="auto"/>
            <w:noWrap/>
            <w:vAlign w:val="center"/>
            <w:hideMark/>
          </w:tcPr>
          <w:p w14:paraId="4EBD8943" w14:textId="0CECF7A6"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120,422 </w:t>
            </w:r>
          </w:p>
        </w:tc>
        <w:tc>
          <w:tcPr>
            <w:tcW w:w="1243" w:type="dxa"/>
            <w:tcBorders>
              <w:top w:val="nil"/>
              <w:left w:val="nil"/>
              <w:bottom w:val="nil"/>
              <w:right w:val="nil"/>
            </w:tcBorders>
            <w:shd w:val="clear" w:color="auto" w:fill="auto"/>
            <w:noWrap/>
            <w:vAlign w:val="center"/>
            <w:hideMark/>
          </w:tcPr>
          <w:p w14:paraId="58479BD7" w14:textId="6AEFB8A4" w:rsidR="007F6A49" w:rsidRPr="00005453" w:rsidRDefault="007F6A49" w:rsidP="007F6A49">
            <w:pPr>
              <w:jc w:val="right"/>
              <w:rPr>
                <w:b/>
                <w:bCs/>
                <w:color w:val="000000"/>
                <w:sz w:val="16"/>
                <w:szCs w:val="16"/>
                <w:lang w:eastAsia="tr-TR"/>
              </w:rPr>
            </w:pPr>
            <w:r w:rsidRPr="00005453">
              <w:rPr>
                <w:b/>
                <w:color w:val="000000"/>
                <w:sz w:val="16"/>
                <w:szCs w:val="16"/>
                <w:lang w:eastAsia="tr-TR"/>
              </w:rPr>
              <w:t>(10,201,612)</w:t>
            </w:r>
          </w:p>
        </w:tc>
        <w:tc>
          <w:tcPr>
            <w:tcW w:w="1134" w:type="dxa"/>
            <w:tcBorders>
              <w:top w:val="nil"/>
              <w:left w:val="nil"/>
              <w:bottom w:val="nil"/>
              <w:right w:val="nil"/>
            </w:tcBorders>
            <w:shd w:val="clear" w:color="auto" w:fill="auto"/>
            <w:noWrap/>
            <w:vAlign w:val="center"/>
            <w:hideMark/>
          </w:tcPr>
          <w:p w14:paraId="4E327267" w14:textId="4006DF34"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33,503,408 </w:t>
            </w:r>
          </w:p>
        </w:tc>
      </w:tr>
      <w:tr w:rsidR="007F6A49" w:rsidRPr="00005453" w14:paraId="44DC5A1A"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5999B568" w14:textId="77777777" w:rsidR="007F6A49" w:rsidRPr="00005453" w:rsidRDefault="007F6A49" w:rsidP="007F6A49">
            <w:pPr>
              <w:rPr>
                <w:color w:val="000000"/>
                <w:sz w:val="16"/>
                <w:szCs w:val="16"/>
                <w:lang w:eastAsia="tr-TR"/>
              </w:rPr>
            </w:pPr>
            <w:r w:rsidRPr="00005453">
              <w:rPr>
                <w:color w:val="000000"/>
                <w:sz w:val="16"/>
                <w:szCs w:val="16"/>
                <w:lang w:eastAsia="tr-TR"/>
              </w:rPr>
              <w:t>Vergi Karşılığı (-)</w:t>
            </w:r>
          </w:p>
        </w:tc>
        <w:tc>
          <w:tcPr>
            <w:tcW w:w="1129" w:type="dxa"/>
            <w:tcBorders>
              <w:top w:val="nil"/>
              <w:left w:val="nil"/>
              <w:bottom w:val="nil"/>
              <w:right w:val="nil"/>
            </w:tcBorders>
            <w:shd w:val="clear" w:color="auto" w:fill="auto"/>
            <w:noWrap/>
            <w:vAlign w:val="center"/>
            <w:hideMark/>
          </w:tcPr>
          <w:p w14:paraId="78D12F92" w14:textId="3A36AC0C" w:rsidR="007F6A49" w:rsidRPr="00005453" w:rsidRDefault="007F6A49" w:rsidP="007F6A49">
            <w:pPr>
              <w:jc w:val="right"/>
              <w:rPr>
                <w:color w:val="000000"/>
                <w:sz w:val="16"/>
                <w:szCs w:val="16"/>
                <w:lang w:eastAsia="tr-TR"/>
              </w:rPr>
            </w:pPr>
            <w:r w:rsidRPr="00005453">
              <w:rPr>
                <w:color w:val="000000"/>
                <w:sz w:val="16"/>
                <w:szCs w:val="16"/>
                <w:lang w:eastAsia="tr-TR"/>
              </w:rPr>
              <w:t xml:space="preserve">-   </w:t>
            </w:r>
          </w:p>
        </w:tc>
        <w:tc>
          <w:tcPr>
            <w:tcW w:w="1129" w:type="dxa"/>
            <w:tcBorders>
              <w:top w:val="nil"/>
              <w:left w:val="nil"/>
              <w:bottom w:val="nil"/>
              <w:right w:val="nil"/>
            </w:tcBorders>
            <w:shd w:val="clear" w:color="auto" w:fill="auto"/>
            <w:noWrap/>
            <w:vAlign w:val="center"/>
            <w:hideMark/>
          </w:tcPr>
          <w:p w14:paraId="0C1AE5A2" w14:textId="00F9BB74" w:rsidR="007F6A49" w:rsidRPr="00005453" w:rsidRDefault="007F6A49" w:rsidP="007F6A49">
            <w:pPr>
              <w:jc w:val="right"/>
              <w:rPr>
                <w:color w:val="000000"/>
                <w:sz w:val="16"/>
                <w:szCs w:val="16"/>
                <w:lang w:eastAsia="tr-TR"/>
              </w:rPr>
            </w:pPr>
            <w:r w:rsidRPr="00005453">
              <w:rPr>
                <w:color w:val="000000"/>
                <w:sz w:val="16"/>
                <w:szCs w:val="16"/>
                <w:lang w:eastAsia="tr-TR"/>
              </w:rPr>
              <w:t xml:space="preserve">-   </w:t>
            </w:r>
          </w:p>
        </w:tc>
        <w:tc>
          <w:tcPr>
            <w:tcW w:w="1129" w:type="dxa"/>
            <w:tcBorders>
              <w:top w:val="nil"/>
              <w:left w:val="nil"/>
              <w:bottom w:val="nil"/>
              <w:right w:val="nil"/>
            </w:tcBorders>
            <w:shd w:val="clear" w:color="auto" w:fill="auto"/>
            <w:noWrap/>
            <w:vAlign w:val="center"/>
            <w:hideMark/>
          </w:tcPr>
          <w:p w14:paraId="7EE83969" w14:textId="163E7CF6" w:rsidR="007F6A49" w:rsidRPr="00005453" w:rsidRDefault="007F6A49" w:rsidP="007F6A49">
            <w:pPr>
              <w:jc w:val="right"/>
              <w:rPr>
                <w:color w:val="000000"/>
                <w:sz w:val="16"/>
                <w:szCs w:val="16"/>
                <w:lang w:eastAsia="tr-TR"/>
              </w:rPr>
            </w:pPr>
            <w:r w:rsidRPr="00005453">
              <w:rPr>
                <w:color w:val="000000"/>
                <w:sz w:val="16"/>
                <w:szCs w:val="16"/>
                <w:lang w:eastAsia="tr-TR"/>
              </w:rPr>
              <w:t xml:space="preserve">-   </w:t>
            </w:r>
          </w:p>
        </w:tc>
        <w:tc>
          <w:tcPr>
            <w:tcW w:w="1243" w:type="dxa"/>
            <w:tcBorders>
              <w:top w:val="nil"/>
              <w:left w:val="nil"/>
              <w:bottom w:val="nil"/>
              <w:right w:val="nil"/>
            </w:tcBorders>
            <w:shd w:val="clear" w:color="auto" w:fill="auto"/>
            <w:noWrap/>
            <w:vAlign w:val="center"/>
            <w:hideMark/>
          </w:tcPr>
          <w:p w14:paraId="2DEF6EE0" w14:textId="73B29181" w:rsidR="007F6A49" w:rsidRPr="00005453" w:rsidRDefault="007F6A49" w:rsidP="007F6A49">
            <w:pPr>
              <w:jc w:val="right"/>
              <w:rPr>
                <w:color w:val="000000"/>
                <w:sz w:val="16"/>
                <w:szCs w:val="16"/>
                <w:lang w:eastAsia="tr-TR"/>
              </w:rPr>
            </w:pPr>
            <w:r w:rsidRPr="00005453">
              <w:rPr>
                <w:color w:val="000000"/>
                <w:sz w:val="16"/>
                <w:szCs w:val="16"/>
                <w:lang w:eastAsia="tr-TR"/>
              </w:rPr>
              <w:t xml:space="preserve">6,894,037 </w:t>
            </w:r>
          </w:p>
        </w:tc>
        <w:tc>
          <w:tcPr>
            <w:tcW w:w="1134" w:type="dxa"/>
            <w:tcBorders>
              <w:top w:val="nil"/>
              <w:left w:val="nil"/>
              <w:bottom w:val="nil"/>
              <w:right w:val="nil"/>
            </w:tcBorders>
            <w:shd w:val="clear" w:color="auto" w:fill="auto"/>
            <w:noWrap/>
            <w:vAlign w:val="center"/>
            <w:hideMark/>
          </w:tcPr>
          <w:p w14:paraId="557D596C" w14:textId="1D625B4A" w:rsidR="007F6A49" w:rsidRPr="00005453" w:rsidRDefault="007F6A49" w:rsidP="007F6A49">
            <w:pPr>
              <w:jc w:val="right"/>
              <w:rPr>
                <w:color w:val="000000"/>
                <w:sz w:val="16"/>
                <w:szCs w:val="16"/>
                <w:lang w:eastAsia="tr-TR"/>
              </w:rPr>
            </w:pPr>
            <w:r w:rsidRPr="00005453">
              <w:rPr>
                <w:color w:val="000000"/>
                <w:sz w:val="16"/>
                <w:szCs w:val="16"/>
                <w:lang w:eastAsia="tr-TR"/>
              </w:rPr>
              <w:t xml:space="preserve">6,894,037 </w:t>
            </w:r>
          </w:p>
        </w:tc>
      </w:tr>
      <w:tr w:rsidR="007F6A49" w:rsidRPr="00005453" w14:paraId="0B4CF50B"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5479776D" w14:textId="77777777" w:rsidR="007F6A49" w:rsidRPr="00005453" w:rsidRDefault="007F6A49" w:rsidP="007F6A49">
            <w:pPr>
              <w:rPr>
                <w:b/>
                <w:bCs/>
                <w:color w:val="000000"/>
                <w:sz w:val="16"/>
                <w:szCs w:val="16"/>
                <w:lang w:eastAsia="tr-TR"/>
              </w:rPr>
            </w:pPr>
            <w:r w:rsidRPr="00005453">
              <w:rPr>
                <w:b/>
                <w:bCs/>
                <w:color w:val="000000"/>
                <w:sz w:val="16"/>
                <w:szCs w:val="16"/>
                <w:lang w:eastAsia="tr-TR"/>
              </w:rPr>
              <w:t>Dönem net karı</w:t>
            </w:r>
          </w:p>
        </w:tc>
        <w:tc>
          <w:tcPr>
            <w:tcW w:w="1129" w:type="dxa"/>
            <w:tcBorders>
              <w:top w:val="nil"/>
              <w:left w:val="nil"/>
              <w:bottom w:val="nil"/>
              <w:right w:val="nil"/>
            </w:tcBorders>
            <w:shd w:val="clear" w:color="auto" w:fill="auto"/>
            <w:noWrap/>
            <w:vAlign w:val="center"/>
            <w:hideMark/>
          </w:tcPr>
          <w:p w14:paraId="52E78496" w14:textId="0EECD28E"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20,688,160 </w:t>
            </w:r>
          </w:p>
        </w:tc>
        <w:tc>
          <w:tcPr>
            <w:tcW w:w="1129" w:type="dxa"/>
            <w:tcBorders>
              <w:top w:val="nil"/>
              <w:left w:val="nil"/>
              <w:bottom w:val="nil"/>
              <w:right w:val="nil"/>
            </w:tcBorders>
            <w:shd w:val="clear" w:color="auto" w:fill="auto"/>
            <w:noWrap/>
            <w:vAlign w:val="center"/>
            <w:hideMark/>
          </w:tcPr>
          <w:p w14:paraId="16D64F3A" w14:textId="3ECF668B"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22,896,438 </w:t>
            </w:r>
          </w:p>
        </w:tc>
        <w:tc>
          <w:tcPr>
            <w:tcW w:w="1129" w:type="dxa"/>
            <w:tcBorders>
              <w:top w:val="nil"/>
              <w:left w:val="nil"/>
              <w:bottom w:val="nil"/>
              <w:right w:val="nil"/>
            </w:tcBorders>
            <w:shd w:val="clear" w:color="auto" w:fill="auto"/>
            <w:noWrap/>
            <w:vAlign w:val="center"/>
            <w:hideMark/>
          </w:tcPr>
          <w:p w14:paraId="36AA2AA7" w14:textId="0179C7F5"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120,422 </w:t>
            </w:r>
          </w:p>
        </w:tc>
        <w:tc>
          <w:tcPr>
            <w:tcW w:w="1243" w:type="dxa"/>
            <w:tcBorders>
              <w:top w:val="nil"/>
              <w:left w:val="nil"/>
              <w:bottom w:val="nil"/>
              <w:right w:val="nil"/>
            </w:tcBorders>
            <w:shd w:val="clear" w:color="auto" w:fill="auto"/>
            <w:noWrap/>
            <w:vAlign w:val="center"/>
            <w:hideMark/>
          </w:tcPr>
          <w:p w14:paraId="3933268E" w14:textId="5CCF906A" w:rsidR="007F6A49" w:rsidRPr="00005453" w:rsidRDefault="007F6A49" w:rsidP="007F6A49">
            <w:pPr>
              <w:jc w:val="right"/>
              <w:rPr>
                <w:b/>
                <w:bCs/>
                <w:color w:val="000000"/>
                <w:sz w:val="16"/>
                <w:szCs w:val="16"/>
                <w:lang w:eastAsia="tr-TR"/>
              </w:rPr>
            </w:pPr>
            <w:r w:rsidRPr="00005453">
              <w:rPr>
                <w:b/>
                <w:color w:val="000000"/>
                <w:sz w:val="16"/>
                <w:szCs w:val="16"/>
                <w:lang w:eastAsia="tr-TR"/>
              </w:rPr>
              <w:t>(17,095,649)</w:t>
            </w:r>
          </w:p>
        </w:tc>
        <w:tc>
          <w:tcPr>
            <w:tcW w:w="1134" w:type="dxa"/>
            <w:tcBorders>
              <w:top w:val="nil"/>
              <w:left w:val="nil"/>
              <w:bottom w:val="nil"/>
              <w:right w:val="nil"/>
            </w:tcBorders>
            <w:shd w:val="clear" w:color="auto" w:fill="auto"/>
            <w:noWrap/>
            <w:vAlign w:val="center"/>
            <w:hideMark/>
          </w:tcPr>
          <w:p w14:paraId="7A5ADFE9" w14:textId="45F6B5C7" w:rsidR="007F6A49" w:rsidRPr="00005453" w:rsidRDefault="007F6A49" w:rsidP="007F6A49">
            <w:pPr>
              <w:jc w:val="right"/>
              <w:rPr>
                <w:b/>
                <w:bCs/>
                <w:color w:val="000000"/>
                <w:sz w:val="16"/>
                <w:szCs w:val="16"/>
                <w:lang w:eastAsia="tr-TR"/>
              </w:rPr>
            </w:pPr>
            <w:r w:rsidRPr="00005453">
              <w:rPr>
                <w:b/>
                <w:color w:val="000000"/>
                <w:sz w:val="16"/>
                <w:szCs w:val="16"/>
                <w:lang w:eastAsia="tr-TR"/>
              </w:rPr>
              <w:t xml:space="preserve">26,609,371 </w:t>
            </w:r>
          </w:p>
        </w:tc>
      </w:tr>
      <w:tr w:rsidR="00D348FB" w:rsidRPr="00005453" w14:paraId="531B3FFA" w14:textId="77777777" w:rsidTr="00E13ED4">
        <w:trPr>
          <w:divId w:val="100417652"/>
          <w:trHeight w:val="57"/>
        </w:trPr>
        <w:tc>
          <w:tcPr>
            <w:tcW w:w="4159" w:type="dxa"/>
            <w:tcBorders>
              <w:top w:val="nil"/>
              <w:left w:val="nil"/>
              <w:bottom w:val="nil"/>
              <w:right w:val="nil"/>
            </w:tcBorders>
            <w:shd w:val="clear" w:color="auto" w:fill="auto"/>
            <w:noWrap/>
            <w:vAlign w:val="center"/>
            <w:hideMark/>
          </w:tcPr>
          <w:p w14:paraId="2261632A" w14:textId="77777777" w:rsidR="00D348FB" w:rsidRPr="00005453" w:rsidRDefault="00D348FB" w:rsidP="00D348FB">
            <w:pPr>
              <w:jc w:val="right"/>
              <w:rPr>
                <w:b/>
                <w:bCs/>
                <w:color w:val="000000"/>
                <w:sz w:val="6"/>
                <w:szCs w:val="6"/>
                <w:lang w:eastAsia="tr-TR"/>
              </w:rPr>
            </w:pPr>
          </w:p>
        </w:tc>
        <w:tc>
          <w:tcPr>
            <w:tcW w:w="1129" w:type="dxa"/>
            <w:vMerge w:val="restart"/>
            <w:tcBorders>
              <w:top w:val="nil"/>
              <w:left w:val="nil"/>
              <w:bottom w:val="nil"/>
              <w:right w:val="nil"/>
            </w:tcBorders>
            <w:shd w:val="clear" w:color="auto" w:fill="auto"/>
            <w:noWrap/>
            <w:vAlign w:val="bottom"/>
            <w:hideMark/>
          </w:tcPr>
          <w:p w14:paraId="3F3A4691" w14:textId="77777777" w:rsidR="00D348FB" w:rsidRPr="00005453" w:rsidRDefault="00D348FB" w:rsidP="00D348FB">
            <w:pPr>
              <w:rPr>
                <w:sz w:val="6"/>
                <w:szCs w:val="6"/>
                <w:lang w:eastAsia="tr-TR"/>
              </w:rPr>
            </w:pPr>
          </w:p>
          <w:p w14:paraId="0D2616A1" w14:textId="149F52DB" w:rsidR="00D348FB" w:rsidRPr="00005453" w:rsidRDefault="00D348FB" w:rsidP="00D348FB">
            <w:pPr>
              <w:rPr>
                <w:sz w:val="6"/>
                <w:szCs w:val="6"/>
                <w:lang w:eastAsia="tr-TR"/>
              </w:rPr>
            </w:pPr>
          </w:p>
        </w:tc>
        <w:tc>
          <w:tcPr>
            <w:tcW w:w="1129" w:type="dxa"/>
            <w:vMerge w:val="restart"/>
            <w:tcBorders>
              <w:top w:val="nil"/>
              <w:left w:val="nil"/>
              <w:bottom w:val="nil"/>
              <w:right w:val="nil"/>
            </w:tcBorders>
            <w:shd w:val="clear" w:color="auto" w:fill="auto"/>
            <w:vAlign w:val="bottom"/>
            <w:hideMark/>
          </w:tcPr>
          <w:p w14:paraId="7E98824B" w14:textId="77777777" w:rsidR="00D348FB" w:rsidRPr="00005453" w:rsidRDefault="00D348FB" w:rsidP="00D348FB">
            <w:pPr>
              <w:rPr>
                <w:sz w:val="6"/>
                <w:szCs w:val="6"/>
                <w:lang w:eastAsia="tr-TR"/>
              </w:rPr>
            </w:pPr>
          </w:p>
          <w:p w14:paraId="093EE633" w14:textId="39B20C8E" w:rsidR="00D348FB" w:rsidRPr="00005453" w:rsidRDefault="00D348FB" w:rsidP="00D348FB">
            <w:pPr>
              <w:rPr>
                <w:sz w:val="6"/>
                <w:szCs w:val="6"/>
                <w:lang w:eastAsia="tr-TR"/>
              </w:rPr>
            </w:pPr>
          </w:p>
        </w:tc>
        <w:tc>
          <w:tcPr>
            <w:tcW w:w="1129" w:type="dxa"/>
            <w:vMerge w:val="restart"/>
            <w:tcBorders>
              <w:top w:val="nil"/>
              <w:left w:val="nil"/>
              <w:bottom w:val="nil"/>
              <w:right w:val="nil"/>
            </w:tcBorders>
            <w:shd w:val="clear" w:color="auto" w:fill="auto"/>
            <w:noWrap/>
            <w:vAlign w:val="bottom"/>
            <w:hideMark/>
          </w:tcPr>
          <w:p w14:paraId="055C636E" w14:textId="77777777" w:rsidR="00D348FB" w:rsidRPr="00005453" w:rsidRDefault="00D348FB" w:rsidP="00D348FB">
            <w:pPr>
              <w:rPr>
                <w:sz w:val="6"/>
                <w:szCs w:val="6"/>
                <w:lang w:eastAsia="tr-TR"/>
              </w:rPr>
            </w:pPr>
          </w:p>
          <w:p w14:paraId="4D11DF7C" w14:textId="3BCB67DD" w:rsidR="00D348FB" w:rsidRPr="00005453" w:rsidRDefault="00D348FB" w:rsidP="00D348FB">
            <w:pPr>
              <w:rPr>
                <w:sz w:val="6"/>
                <w:szCs w:val="6"/>
                <w:lang w:eastAsia="tr-TR"/>
              </w:rPr>
            </w:pPr>
          </w:p>
        </w:tc>
        <w:tc>
          <w:tcPr>
            <w:tcW w:w="1243" w:type="dxa"/>
            <w:vMerge w:val="restart"/>
            <w:tcBorders>
              <w:top w:val="nil"/>
              <w:left w:val="nil"/>
              <w:bottom w:val="nil"/>
              <w:right w:val="nil"/>
            </w:tcBorders>
            <w:shd w:val="clear" w:color="auto" w:fill="auto"/>
            <w:vAlign w:val="bottom"/>
            <w:hideMark/>
          </w:tcPr>
          <w:p w14:paraId="0E86A891" w14:textId="77777777" w:rsidR="00D348FB" w:rsidRPr="00005453" w:rsidRDefault="00D348FB" w:rsidP="00D348FB">
            <w:pPr>
              <w:rPr>
                <w:sz w:val="6"/>
                <w:szCs w:val="6"/>
                <w:lang w:eastAsia="tr-TR"/>
              </w:rPr>
            </w:pPr>
          </w:p>
          <w:p w14:paraId="41B77149" w14:textId="445F13C8" w:rsidR="00D348FB" w:rsidRPr="00005453" w:rsidRDefault="00D348FB" w:rsidP="00D348FB">
            <w:pPr>
              <w:rPr>
                <w:sz w:val="6"/>
                <w:szCs w:val="6"/>
                <w:lang w:eastAsia="tr-TR"/>
              </w:rPr>
            </w:pPr>
          </w:p>
        </w:tc>
        <w:tc>
          <w:tcPr>
            <w:tcW w:w="1134" w:type="dxa"/>
            <w:vMerge w:val="restart"/>
            <w:tcBorders>
              <w:top w:val="nil"/>
              <w:left w:val="nil"/>
              <w:bottom w:val="nil"/>
              <w:right w:val="nil"/>
            </w:tcBorders>
            <w:shd w:val="clear" w:color="auto" w:fill="auto"/>
            <w:vAlign w:val="bottom"/>
            <w:hideMark/>
          </w:tcPr>
          <w:p w14:paraId="3B26794D" w14:textId="77777777" w:rsidR="00D348FB" w:rsidRPr="00005453" w:rsidRDefault="00D348FB" w:rsidP="00D348FB">
            <w:pPr>
              <w:rPr>
                <w:sz w:val="6"/>
                <w:szCs w:val="6"/>
                <w:lang w:eastAsia="tr-TR"/>
              </w:rPr>
            </w:pPr>
          </w:p>
          <w:p w14:paraId="3581E42C" w14:textId="5EFD6C09" w:rsidR="00D348FB" w:rsidRPr="00005453" w:rsidRDefault="00D348FB" w:rsidP="00D348FB">
            <w:pPr>
              <w:rPr>
                <w:sz w:val="6"/>
                <w:szCs w:val="6"/>
                <w:lang w:eastAsia="tr-TR"/>
              </w:rPr>
            </w:pPr>
          </w:p>
        </w:tc>
      </w:tr>
      <w:tr w:rsidR="00D348FB" w:rsidRPr="00005453" w14:paraId="6B7254B6"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57724B69" w14:textId="77777777" w:rsidR="00D348FB" w:rsidRPr="00005453" w:rsidRDefault="00D348FB" w:rsidP="00D348FB">
            <w:pPr>
              <w:rPr>
                <w:b/>
                <w:bCs/>
                <w:color w:val="000000"/>
                <w:sz w:val="16"/>
                <w:szCs w:val="16"/>
                <w:lang w:eastAsia="tr-TR"/>
              </w:rPr>
            </w:pPr>
            <w:r w:rsidRPr="00005453">
              <w:rPr>
                <w:b/>
                <w:bCs/>
                <w:color w:val="000000"/>
                <w:sz w:val="16"/>
                <w:szCs w:val="16"/>
                <w:lang w:eastAsia="tr-TR"/>
              </w:rPr>
              <w:t>Önceki Dönem</w:t>
            </w:r>
          </w:p>
        </w:tc>
        <w:tc>
          <w:tcPr>
            <w:tcW w:w="1129" w:type="dxa"/>
            <w:vMerge/>
            <w:tcBorders>
              <w:top w:val="nil"/>
              <w:left w:val="nil"/>
              <w:bottom w:val="nil"/>
              <w:right w:val="nil"/>
            </w:tcBorders>
            <w:vAlign w:val="bottom"/>
            <w:hideMark/>
          </w:tcPr>
          <w:p w14:paraId="56C3E312" w14:textId="77777777" w:rsidR="00D348FB" w:rsidRPr="00005453" w:rsidRDefault="00D348FB" w:rsidP="00D348FB">
            <w:pPr>
              <w:rPr>
                <w:lang w:eastAsia="tr-TR"/>
              </w:rPr>
            </w:pPr>
          </w:p>
        </w:tc>
        <w:tc>
          <w:tcPr>
            <w:tcW w:w="1129" w:type="dxa"/>
            <w:vMerge/>
            <w:tcBorders>
              <w:top w:val="nil"/>
              <w:left w:val="nil"/>
              <w:bottom w:val="nil"/>
              <w:right w:val="nil"/>
            </w:tcBorders>
            <w:vAlign w:val="bottom"/>
            <w:hideMark/>
          </w:tcPr>
          <w:p w14:paraId="33EB00E8" w14:textId="77777777" w:rsidR="00D348FB" w:rsidRPr="00005453" w:rsidRDefault="00D348FB" w:rsidP="00D348FB">
            <w:pPr>
              <w:rPr>
                <w:lang w:eastAsia="tr-TR"/>
              </w:rPr>
            </w:pPr>
          </w:p>
        </w:tc>
        <w:tc>
          <w:tcPr>
            <w:tcW w:w="1129" w:type="dxa"/>
            <w:vMerge/>
            <w:tcBorders>
              <w:top w:val="nil"/>
              <w:left w:val="nil"/>
              <w:bottom w:val="nil"/>
              <w:right w:val="nil"/>
            </w:tcBorders>
            <w:vAlign w:val="bottom"/>
            <w:hideMark/>
          </w:tcPr>
          <w:p w14:paraId="598E962D" w14:textId="77777777" w:rsidR="00D348FB" w:rsidRPr="00005453" w:rsidRDefault="00D348FB" w:rsidP="00D348FB">
            <w:pPr>
              <w:rPr>
                <w:lang w:eastAsia="tr-TR"/>
              </w:rPr>
            </w:pPr>
          </w:p>
        </w:tc>
        <w:tc>
          <w:tcPr>
            <w:tcW w:w="1243" w:type="dxa"/>
            <w:vMerge/>
            <w:tcBorders>
              <w:top w:val="nil"/>
              <w:left w:val="nil"/>
              <w:bottom w:val="nil"/>
              <w:right w:val="nil"/>
            </w:tcBorders>
            <w:vAlign w:val="bottom"/>
            <w:hideMark/>
          </w:tcPr>
          <w:p w14:paraId="4E242AA4" w14:textId="77777777" w:rsidR="00D348FB" w:rsidRPr="00005453" w:rsidRDefault="00D348FB" w:rsidP="00D348FB">
            <w:pPr>
              <w:rPr>
                <w:lang w:eastAsia="tr-TR"/>
              </w:rPr>
            </w:pPr>
          </w:p>
        </w:tc>
        <w:tc>
          <w:tcPr>
            <w:tcW w:w="1134" w:type="dxa"/>
            <w:vMerge/>
            <w:tcBorders>
              <w:top w:val="nil"/>
              <w:left w:val="nil"/>
              <w:bottom w:val="nil"/>
              <w:right w:val="nil"/>
            </w:tcBorders>
            <w:vAlign w:val="bottom"/>
            <w:hideMark/>
          </w:tcPr>
          <w:p w14:paraId="5C84BDCD" w14:textId="77777777" w:rsidR="00D348FB" w:rsidRPr="00005453" w:rsidRDefault="00D348FB" w:rsidP="00D348FB">
            <w:pPr>
              <w:rPr>
                <w:lang w:eastAsia="tr-TR"/>
              </w:rPr>
            </w:pPr>
          </w:p>
        </w:tc>
      </w:tr>
      <w:tr w:rsidR="00D348FB" w:rsidRPr="00005453" w14:paraId="10C4FACF"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1C28B1E5" w14:textId="06A35756" w:rsidR="00D348FB" w:rsidRPr="00005453" w:rsidRDefault="00D348FB" w:rsidP="00D348FB">
            <w:pPr>
              <w:rPr>
                <w:b/>
                <w:bCs/>
                <w:color w:val="000000"/>
                <w:sz w:val="16"/>
                <w:szCs w:val="16"/>
                <w:lang w:eastAsia="tr-TR"/>
              </w:rPr>
            </w:pPr>
            <w:r w:rsidRPr="00005453">
              <w:rPr>
                <w:b/>
                <w:bCs/>
                <w:color w:val="000000"/>
                <w:sz w:val="16"/>
                <w:szCs w:val="16"/>
                <w:lang w:eastAsia="tr-TR"/>
              </w:rPr>
              <w:t>31 Aralık 202</w:t>
            </w:r>
            <w:r w:rsidR="007F6A49" w:rsidRPr="00005453">
              <w:rPr>
                <w:b/>
                <w:bCs/>
                <w:color w:val="000000"/>
                <w:sz w:val="16"/>
                <w:szCs w:val="16"/>
                <w:lang w:eastAsia="tr-TR"/>
              </w:rPr>
              <w:t>3</w:t>
            </w:r>
          </w:p>
        </w:tc>
        <w:tc>
          <w:tcPr>
            <w:tcW w:w="1129" w:type="dxa"/>
            <w:tcBorders>
              <w:top w:val="nil"/>
              <w:left w:val="nil"/>
              <w:bottom w:val="nil"/>
              <w:right w:val="nil"/>
            </w:tcBorders>
            <w:shd w:val="clear" w:color="auto" w:fill="auto"/>
            <w:noWrap/>
            <w:vAlign w:val="bottom"/>
            <w:hideMark/>
          </w:tcPr>
          <w:p w14:paraId="603D67B2" w14:textId="77777777" w:rsidR="00D348FB" w:rsidRPr="00005453" w:rsidRDefault="00D348FB" w:rsidP="00D348FB">
            <w:pPr>
              <w:rPr>
                <w:b/>
                <w:bCs/>
                <w:color w:val="000000"/>
                <w:sz w:val="16"/>
                <w:szCs w:val="16"/>
                <w:lang w:eastAsia="tr-TR"/>
              </w:rPr>
            </w:pPr>
          </w:p>
        </w:tc>
        <w:tc>
          <w:tcPr>
            <w:tcW w:w="1129" w:type="dxa"/>
            <w:tcBorders>
              <w:top w:val="nil"/>
              <w:left w:val="nil"/>
              <w:bottom w:val="nil"/>
              <w:right w:val="nil"/>
            </w:tcBorders>
            <w:shd w:val="clear" w:color="auto" w:fill="auto"/>
            <w:vAlign w:val="bottom"/>
            <w:hideMark/>
          </w:tcPr>
          <w:p w14:paraId="2EBFF8C6" w14:textId="77777777" w:rsidR="00D348FB" w:rsidRPr="00005453" w:rsidRDefault="00D348FB" w:rsidP="00D348FB">
            <w:pPr>
              <w:rPr>
                <w:lang w:eastAsia="tr-TR"/>
              </w:rPr>
            </w:pPr>
          </w:p>
        </w:tc>
        <w:tc>
          <w:tcPr>
            <w:tcW w:w="1129" w:type="dxa"/>
            <w:tcBorders>
              <w:top w:val="nil"/>
              <w:left w:val="nil"/>
              <w:bottom w:val="nil"/>
              <w:right w:val="nil"/>
            </w:tcBorders>
            <w:shd w:val="clear" w:color="auto" w:fill="auto"/>
            <w:noWrap/>
            <w:vAlign w:val="bottom"/>
            <w:hideMark/>
          </w:tcPr>
          <w:p w14:paraId="15B786FE" w14:textId="77777777" w:rsidR="00D348FB" w:rsidRPr="00005453" w:rsidRDefault="00D348FB" w:rsidP="00D348FB">
            <w:pPr>
              <w:rPr>
                <w:lang w:eastAsia="tr-TR"/>
              </w:rPr>
            </w:pPr>
          </w:p>
        </w:tc>
        <w:tc>
          <w:tcPr>
            <w:tcW w:w="1243" w:type="dxa"/>
            <w:tcBorders>
              <w:top w:val="nil"/>
              <w:left w:val="nil"/>
              <w:bottom w:val="nil"/>
              <w:right w:val="nil"/>
            </w:tcBorders>
            <w:shd w:val="clear" w:color="auto" w:fill="auto"/>
            <w:vAlign w:val="bottom"/>
            <w:hideMark/>
          </w:tcPr>
          <w:p w14:paraId="3CC2878E" w14:textId="77777777" w:rsidR="00D348FB" w:rsidRPr="00005453" w:rsidRDefault="00D348FB" w:rsidP="00D348FB">
            <w:pPr>
              <w:rPr>
                <w:lang w:eastAsia="tr-TR"/>
              </w:rPr>
            </w:pPr>
          </w:p>
        </w:tc>
        <w:tc>
          <w:tcPr>
            <w:tcW w:w="1134" w:type="dxa"/>
            <w:tcBorders>
              <w:top w:val="nil"/>
              <w:left w:val="nil"/>
              <w:bottom w:val="nil"/>
              <w:right w:val="nil"/>
            </w:tcBorders>
            <w:shd w:val="clear" w:color="auto" w:fill="auto"/>
            <w:vAlign w:val="bottom"/>
            <w:hideMark/>
          </w:tcPr>
          <w:p w14:paraId="0DD71ECB" w14:textId="77777777" w:rsidR="00D348FB" w:rsidRPr="00005453" w:rsidRDefault="00D348FB" w:rsidP="00D348FB">
            <w:pPr>
              <w:rPr>
                <w:lang w:eastAsia="tr-TR"/>
              </w:rPr>
            </w:pPr>
          </w:p>
        </w:tc>
      </w:tr>
      <w:tr w:rsidR="00D348FB" w:rsidRPr="00005453" w14:paraId="0FF4FC83" w14:textId="77777777" w:rsidTr="00E13ED4">
        <w:trPr>
          <w:divId w:val="100417652"/>
          <w:trHeight w:val="57"/>
        </w:trPr>
        <w:tc>
          <w:tcPr>
            <w:tcW w:w="4159" w:type="dxa"/>
            <w:tcBorders>
              <w:top w:val="nil"/>
              <w:left w:val="nil"/>
              <w:bottom w:val="nil"/>
              <w:right w:val="nil"/>
            </w:tcBorders>
            <w:shd w:val="clear" w:color="auto" w:fill="auto"/>
            <w:noWrap/>
            <w:vAlign w:val="center"/>
            <w:hideMark/>
          </w:tcPr>
          <w:p w14:paraId="6FD69F5A" w14:textId="77777777" w:rsidR="00D348FB" w:rsidRPr="00005453" w:rsidRDefault="00D348FB" w:rsidP="00D348FB">
            <w:pPr>
              <w:rPr>
                <w:sz w:val="6"/>
                <w:szCs w:val="6"/>
                <w:lang w:eastAsia="tr-TR"/>
              </w:rPr>
            </w:pPr>
          </w:p>
        </w:tc>
        <w:tc>
          <w:tcPr>
            <w:tcW w:w="1129" w:type="dxa"/>
            <w:tcBorders>
              <w:top w:val="nil"/>
              <w:left w:val="nil"/>
              <w:bottom w:val="nil"/>
              <w:right w:val="nil"/>
            </w:tcBorders>
            <w:shd w:val="clear" w:color="auto" w:fill="auto"/>
            <w:noWrap/>
            <w:vAlign w:val="bottom"/>
            <w:hideMark/>
          </w:tcPr>
          <w:p w14:paraId="17AC3CD4" w14:textId="77777777" w:rsidR="00D348FB" w:rsidRPr="00005453" w:rsidRDefault="00D348FB" w:rsidP="00D348FB">
            <w:pPr>
              <w:rPr>
                <w:sz w:val="6"/>
                <w:szCs w:val="6"/>
                <w:lang w:eastAsia="tr-TR"/>
              </w:rPr>
            </w:pPr>
          </w:p>
        </w:tc>
        <w:tc>
          <w:tcPr>
            <w:tcW w:w="1129" w:type="dxa"/>
            <w:tcBorders>
              <w:top w:val="nil"/>
              <w:left w:val="nil"/>
              <w:bottom w:val="nil"/>
              <w:right w:val="nil"/>
            </w:tcBorders>
            <w:shd w:val="clear" w:color="auto" w:fill="auto"/>
            <w:noWrap/>
            <w:vAlign w:val="bottom"/>
            <w:hideMark/>
          </w:tcPr>
          <w:p w14:paraId="45A651AE" w14:textId="77777777" w:rsidR="00D348FB" w:rsidRPr="00005453" w:rsidRDefault="00D348FB" w:rsidP="00D348FB">
            <w:pPr>
              <w:rPr>
                <w:sz w:val="6"/>
                <w:szCs w:val="6"/>
                <w:lang w:eastAsia="tr-TR"/>
              </w:rPr>
            </w:pPr>
          </w:p>
        </w:tc>
        <w:tc>
          <w:tcPr>
            <w:tcW w:w="1129" w:type="dxa"/>
            <w:tcBorders>
              <w:top w:val="nil"/>
              <w:left w:val="nil"/>
              <w:bottom w:val="nil"/>
              <w:right w:val="nil"/>
            </w:tcBorders>
            <w:shd w:val="clear" w:color="auto" w:fill="auto"/>
            <w:noWrap/>
            <w:vAlign w:val="bottom"/>
            <w:hideMark/>
          </w:tcPr>
          <w:p w14:paraId="189850B0" w14:textId="77777777" w:rsidR="00D348FB" w:rsidRPr="00005453" w:rsidRDefault="00D348FB" w:rsidP="00D348FB">
            <w:pPr>
              <w:rPr>
                <w:sz w:val="6"/>
                <w:szCs w:val="6"/>
                <w:lang w:eastAsia="tr-TR"/>
              </w:rPr>
            </w:pPr>
          </w:p>
        </w:tc>
        <w:tc>
          <w:tcPr>
            <w:tcW w:w="1243" w:type="dxa"/>
            <w:tcBorders>
              <w:top w:val="nil"/>
              <w:left w:val="nil"/>
              <w:bottom w:val="nil"/>
              <w:right w:val="nil"/>
            </w:tcBorders>
            <w:shd w:val="clear" w:color="auto" w:fill="auto"/>
            <w:noWrap/>
            <w:vAlign w:val="bottom"/>
            <w:hideMark/>
          </w:tcPr>
          <w:p w14:paraId="265C2690" w14:textId="77777777" w:rsidR="00D348FB" w:rsidRPr="00005453" w:rsidRDefault="00D348FB" w:rsidP="00D348FB">
            <w:pPr>
              <w:rPr>
                <w:sz w:val="6"/>
                <w:szCs w:val="6"/>
                <w:lang w:eastAsia="tr-TR"/>
              </w:rPr>
            </w:pPr>
          </w:p>
        </w:tc>
        <w:tc>
          <w:tcPr>
            <w:tcW w:w="1134" w:type="dxa"/>
            <w:tcBorders>
              <w:top w:val="nil"/>
              <w:left w:val="nil"/>
              <w:bottom w:val="nil"/>
              <w:right w:val="nil"/>
            </w:tcBorders>
            <w:shd w:val="clear" w:color="auto" w:fill="auto"/>
            <w:noWrap/>
            <w:vAlign w:val="bottom"/>
            <w:hideMark/>
          </w:tcPr>
          <w:p w14:paraId="384025C0" w14:textId="77777777" w:rsidR="00D348FB" w:rsidRPr="00005453" w:rsidRDefault="00D348FB" w:rsidP="00D348FB">
            <w:pPr>
              <w:rPr>
                <w:sz w:val="6"/>
                <w:szCs w:val="6"/>
                <w:lang w:eastAsia="tr-TR"/>
              </w:rPr>
            </w:pPr>
          </w:p>
        </w:tc>
      </w:tr>
      <w:tr w:rsidR="007F6A49" w:rsidRPr="00005453" w14:paraId="2F401B7A"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4487E530" w14:textId="77777777" w:rsidR="007F6A49" w:rsidRPr="00005453" w:rsidRDefault="007F6A49" w:rsidP="007F6A49">
            <w:pPr>
              <w:rPr>
                <w:color w:val="000000"/>
                <w:sz w:val="16"/>
                <w:szCs w:val="16"/>
                <w:lang w:eastAsia="tr-TR"/>
              </w:rPr>
            </w:pPr>
            <w:r w:rsidRPr="00005453">
              <w:rPr>
                <w:color w:val="000000"/>
                <w:sz w:val="16"/>
                <w:szCs w:val="16"/>
                <w:lang w:eastAsia="tr-TR"/>
              </w:rPr>
              <w:t>Bölüm varlıkları</w:t>
            </w:r>
          </w:p>
        </w:tc>
        <w:tc>
          <w:tcPr>
            <w:tcW w:w="1129" w:type="dxa"/>
            <w:tcBorders>
              <w:top w:val="nil"/>
              <w:left w:val="nil"/>
              <w:bottom w:val="nil"/>
              <w:right w:val="nil"/>
            </w:tcBorders>
            <w:shd w:val="clear" w:color="auto" w:fill="auto"/>
            <w:noWrap/>
            <w:vAlign w:val="center"/>
            <w:hideMark/>
          </w:tcPr>
          <w:p w14:paraId="2C7033BC" w14:textId="6C8C6AA7" w:rsidR="007F6A49" w:rsidRPr="00005453" w:rsidRDefault="007F6A49" w:rsidP="007F6A49">
            <w:pPr>
              <w:jc w:val="right"/>
              <w:rPr>
                <w:color w:val="000000"/>
                <w:sz w:val="16"/>
                <w:szCs w:val="16"/>
                <w:lang w:eastAsia="tr-TR"/>
              </w:rPr>
            </w:pPr>
            <w:r w:rsidRPr="00005453">
              <w:rPr>
                <w:color w:val="000000"/>
                <w:sz w:val="16"/>
                <w:szCs w:val="16"/>
                <w:lang w:eastAsia="tr-TR"/>
              </w:rPr>
              <w:t>115,123,175</w:t>
            </w:r>
          </w:p>
        </w:tc>
        <w:tc>
          <w:tcPr>
            <w:tcW w:w="1129" w:type="dxa"/>
            <w:tcBorders>
              <w:top w:val="nil"/>
              <w:left w:val="nil"/>
              <w:bottom w:val="nil"/>
              <w:right w:val="nil"/>
            </w:tcBorders>
            <w:shd w:val="clear" w:color="auto" w:fill="auto"/>
            <w:noWrap/>
            <w:vAlign w:val="center"/>
            <w:hideMark/>
          </w:tcPr>
          <w:p w14:paraId="677D9035" w14:textId="61E4685A" w:rsidR="007F6A49" w:rsidRPr="00005453" w:rsidRDefault="007F6A49" w:rsidP="007F6A49">
            <w:pPr>
              <w:jc w:val="right"/>
              <w:rPr>
                <w:color w:val="000000"/>
                <w:sz w:val="16"/>
                <w:szCs w:val="16"/>
                <w:lang w:eastAsia="tr-TR"/>
              </w:rPr>
            </w:pPr>
            <w:r w:rsidRPr="00005453">
              <w:rPr>
                <w:color w:val="000000"/>
                <w:sz w:val="16"/>
                <w:szCs w:val="16"/>
                <w:lang w:eastAsia="tr-TR"/>
              </w:rPr>
              <w:t>201,740,942</w:t>
            </w:r>
          </w:p>
        </w:tc>
        <w:tc>
          <w:tcPr>
            <w:tcW w:w="1129" w:type="dxa"/>
            <w:tcBorders>
              <w:top w:val="nil"/>
              <w:left w:val="nil"/>
              <w:bottom w:val="nil"/>
              <w:right w:val="nil"/>
            </w:tcBorders>
            <w:shd w:val="clear" w:color="auto" w:fill="auto"/>
            <w:noWrap/>
            <w:vAlign w:val="center"/>
            <w:hideMark/>
          </w:tcPr>
          <w:p w14:paraId="57122415" w14:textId="12841CE4" w:rsidR="007F6A49" w:rsidRPr="00005453" w:rsidRDefault="007F6A49" w:rsidP="007F6A49">
            <w:pPr>
              <w:jc w:val="right"/>
              <w:rPr>
                <w:color w:val="000000"/>
                <w:sz w:val="16"/>
                <w:szCs w:val="16"/>
                <w:lang w:eastAsia="tr-TR"/>
              </w:rPr>
            </w:pPr>
            <w:r w:rsidRPr="00005453">
              <w:rPr>
                <w:color w:val="000000"/>
                <w:sz w:val="16"/>
                <w:szCs w:val="16"/>
                <w:lang w:eastAsia="tr-TR"/>
              </w:rPr>
              <w:t>335,536,661</w:t>
            </w:r>
          </w:p>
        </w:tc>
        <w:tc>
          <w:tcPr>
            <w:tcW w:w="1243" w:type="dxa"/>
            <w:tcBorders>
              <w:top w:val="nil"/>
              <w:left w:val="nil"/>
              <w:bottom w:val="nil"/>
              <w:right w:val="nil"/>
            </w:tcBorders>
            <w:shd w:val="clear" w:color="auto" w:fill="auto"/>
            <w:noWrap/>
            <w:vAlign w:val="center"/>
            <w:hideMark/>
          </w:tcPr>
          <w:p w14:paraId="6DFF29DE" w14:textId="71550249"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70F62D98" w14:textId="654591D8" w:rsidR="007F6A49" w:rsidRPr="00005453" w:rsidRDefault="007F6A49" w:rsidP="007F6A49">
            <w:pPr>
              <w:jc w:val="right"/>
              <w:rPr>
                <w:color w:val="000000"/>
                <w:sz w:val="16"/>
                <w:szCs w:val="16"/>
                <w:lang w:eastAsia="tr-TR"/>
              </w:rPr>
            </w:pPr>
            <w:r w:rsidRPr="00005453">
              <w:rPr>
                <w:color w:val="000000"/>
                <w:sz w:val="16"/>
                <w:szCs w:val="16"/>
                <w:lang w:eastAsia="tr-TR"/>
              </w:rPr>
              <w:t>652,400,778</w:t>
            </w:r>
          </w:p>
        </w:tc>
      </w:tr>
      <w:tr w:rsidR="007F6A49" w:rsidRPr="00005453" w14:paraId="273E557F"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496AE984" w14:textId="77777777" w:rsidR="007F6A49" w:rsidRPr="00005453" w:rsidRDefault="007F6A49" w:rsidP="007F6A49">
            <w:pPr>
              <w:rPr>
                <w:color w:val="000000"/>
                <w:sz w:val="16"/>
                <w:szCs w:val="16"/>
                <w:lang w:eastAsia="tr-TR"/>
              </w:rPr>
            </w:pPr>
            <w:r w:rsidRPr="00005453">
              <w:rPr>
                <w:color w:val="000000"/>
                <w:sz w:val="16"/>
                <w:szCs w:val="16"/>
                <w:lang w:eastAsia="tr-TR"/>
              </w:rPr>
              <w:t>İştirak ve bağlı ortaklık ve birlikte kontrol edilen ortaklıklar</w:t>
            </w:r>
          </w:p>
        </w:tc>
        <w:tc>
          <w:tcPr>
            <w:tcW w:w="1129" w:type="dxa"/>
            <w:tcBorders>
              <w:top w:val="nil"/>
              <w:left w:val="nil"/>
              <w:bottom w:val="nil"/>
              <w:right w:val="nil"/>
            </w:tcBorders>
            <w:shd w:val="clear" w:color="auto" w:fill="auto"/>
            <w:noWrap/>
            <w:vAlign w:val="center"/>
            <w:hideMark/>
          </w:tcPr>
          <w:p w14:paraId="258D50C2" w14:textId="38F8F7E4"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95FFA38" w14:textId="424AB94C"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20F04B8" w14:textId="47B37FC9"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243" w:type="dxa"/>
            <w:tcBorders>
              <w:top w:val="nil"/>
              <w:left w:val="nil"/>
              <w:bottom w:val="nil"/>
              <w:right w:val="nil"/>
            </w:tcBorders>
            <w:shd w:val="clear" w:color="auto" w:fill="auto"/>
            <w:noWrap/>
            <w:vAlign w:val="center"/>
            <w:hideMark/>
          </w:tcPr>
          <w:p w14:paraId="0534E089" w14:textId="4C3A206E" w:rsidR="007F6A49" w:rsidRPr="00005453" w:rsidRDefault="007F6A49" w:rsidP="007F6A49">
            <w:pPr>
              <w:jc w:val="right"/>
              <w:rPr>
                <w:color w:val="000000"/>
                <w:sz w:val="16"/>
                <w:szCs w:val="16"/>
                <w:lang w:eastAsia="tr-TR"/>
              </w:rPr>
            </w:pPr>
            <w:r w:rsidRPr="00005453">
              <w:rPr>
                <w:color w:val="000000"/>
                <w:sz w:val="16"/>
                <w:szCs w:val="16"/>
                <w:lang w:eastAsia="tr-TR"/>
              </w:rPr>
              <w:t>3,212,925</w:t>
            </w:r>
          </w:p>
        </w:tc>
        <w:tc>
          <w:tcPr>
            <w:tcW w:w="1134" w:type="dxa"/>
            <w:tcBorders>
              <w:top w:val="nil"/>
              <w:left w:val="nil"/>
              <w:bottom w:val="nil"/>
              <w:right w:val="nil"/>
            </w:tcBorders>
            <w:shd w:val="clear" w:color="auto" w:fill="auto"/>
            <w:noWrap/>
            <w:vAlign w:val="center"/>
            <w:hideMark/>
          </w:tcPr>
          <w:p w14:paraId="5896AB81" w14:textId="6CFAF0B4" w:rsidR="007F6A49" w:rsidRPr="00005453" w:rsidRDefault="007F6A49" w:rsidP="007F6A49">
            <w:pPr>
              <w:jc w:val="right"/>
              <w:rPr>
                <w:color w:val="000000"/>
                <w:sz w:val="16"/>
                <w:szCs w:val="16"/>
                <w:lang w:eastAsia="tr-TR"/>
              </w:rPr>
            </w:pPr>
            <w:r w:rsidRPr="00005453">
              <w:rPr>
                <w:color w:val="000000"/>
                <w:sz w:val="16"/>
                <w:szCs w:val="16"/>
                <w:lang w:eastAsia="tr-TR"/>
              </w:rPr>
              <w:t>3,212,925</w:t>
            </w:r>
          </w:p>
        </w:tc>
      </w:tr>
      <w:tr w:rsidR="007F6A49" w:rsidRPr="00005453" w14:paraId="7865592C"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1D62B69D" w14:textId="77777777" w:rsidR="007F6A49" w:rsidRPr="00005453" w:rsidRDefault="007F6A49" w:rsidP="007F6A49">
            <w:pPr>
              <w:rPr>
                <w:color w:val="000000"/>
                <w:sz w:val="16"/>
                <w:szCs w:val="16"/>
                <w:lang w:eastAsia="tr-TR"/>
              </w:rPr>
            </w:pPr>
            <w:r w:rsidRPr="00005453">
              <w:rPr>
                <w:color w:val="000000"/>
                <w:sz w:val="16"/>
                <w:szCs w:val="16"/>
                <w:lang w:eastAsia="tr-TR"/>
              </w:rPr>
              <w:t>Dağıtılmamış varlıklar</w:t>
            </w:r>
          </w:p>
        </w:tc>
        <w:tc>
          <w:tcPr>
            <w:tcW w:w="1129" w:type="dxa"/>
            <w:tcBorders>
              <w:top w:val="nil"/>
              <w:left w:val="nil"/>
              <w:bottom w:val="nil"/>
              <w:right w:val="nil"/>
            </w:tcBorders>
            <w:shd w:val="clear" w:color="auto" w:fill="auto"/>
            <w:noWrap/>
            <w:vAlign w:val="center"/>
            <w:hideMark/>
          </w:tcPr>
          <w:p w14:paraId="6F0477D4" w14:textId="71F113F0"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1975F535" w14:textId="4896C36A"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5D4CA906" w14:textId="5AD3A2A2"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243" w:type="dxa"/>
            <w:tcBorders>
              <w:top w:val="nil"/>
              <w:left w:val="nil"/>
              <w:bottom w:val="nil"/>
              <w:right w:val="nil"/>
            </w:tcBorders>
            <w:shd w:val="clear" w:color="auto" w:fill="auto"/>
            <w:noWrap/>
            <w:vAlign w:val="center"/>
            <w:hideMark/>
          </w:tcPr>
          <w:p w14:paraId="60FD42EA" w14:textId="0412F4A0" w:rsidR="007F6A49" w:rsidRPr="00005453" w:rsidRDefault="007F6A49" w:rsidP="007F6A49">
            <w:pPr>
              <w:jc w:val="right"/>
              <w:rPr>
                <w:color w:val="000000"/>
                <w:sz w:val="16"/>
                <w:szCs w:val="16"/>
                <w:lang w:eastAsia="tr-TR"/>
              </w:rPr>
            </w:pPr>
            <w:r w:rsidRPr="00005453">
              <w:rPr>
                <w:color w:val="000000"/>
                <w:sz w:val="16"/>
                <w:szCs w:val="16"/>
                <w:lang w:eastAsia="tr-TR"/>
              </w:rPr>
              <w:t>12,554,512</w:t>
            </w:r>
          </w:p>
        </w:tc>
        <w:tc>
          <w:tcPr>
            <w:tcW w:w="1134" w:type="dxa"/>
            <w:tcBorders>
              <w:top w:val="nil"/>
              <w:left w:val="nil"/>
              <w:bottom w:val="nil"/>
              <w:right w:val="nil"/>
            </w:tcBorders>
            <w:shd w:val="clear" w:color="auto" w:fill="auto"/>
            <w:noWrap/>
            <w:vAlign w:val="center"/>
            <w:hideMark/>
          </w:tcPr>
          <w:p w14:paraId="6EFCEEE2" w14:textId="663F5472" w:rsidR="007F6A49" w:rsidRPr="00005453" w:rsidRDefault="007F6A49" w:rsidP="007F6A49">
            <w:pPr>
              <w:jc w:val="right"/>
              <w:rPr>
                <w:color w:val="000000"/>
                <w:sz w:val="16"/>
                <w:szCs w:val="16"/>
                <w:lang w:eastAsia="tr-TR"/>
              </w:rPr>
            </w:pPr>
            <w:r w:rsidRPr="00005453">
              <w:rPr>
                <w:color w:val="000000"/>
                <w:sz w:val="16"/>
                <w:szCs w:val="16"/>
                <w:lang w:eastAsia="tr-TR"/>
              </w:rPr>
              <w:t>12,554,512</w:t>
            </w:r>
          </w:p>
        </w:tc>
      </w:tr>
      <w:tr w:rsidR="007F6A49" w:rsidRPr="00005453" w14:paraId="7BA554B6" w14:textId="77777777" w:rsidTr="00E13ED4">
        <w:trPr>
          <w:divId w:val="100417652"/>
          <w:trHeight w:val="57"/>
        </w:trPr>
        <w:tc>
          <w:tcPr>
            <w:tcW w:w="4159" w:type="dxa"/>
            <w:tcBorders>
              <w:top w:val="nil"/>
              <w:left w:val="nil"/>
              <w:bottom w:val="nil"/>
              <w:right w:val="nil"/>
            </w:tcBorders>
            <w:shd w:val="clear" w:color="auto" w:fill="auto"/>
            <w:noWrap/>
            <w:vAlign w:val="bottom"/>
            <w:hideMark/>
          </w:tcPr>
          <w:p w14:paraId="631ADD9A" w14:textId="77777777" w:rsidR="007F6A49" w:rsidRPr="00005453" w:rsidRDefault="007F6A49" w:rsidP="007F6A49">
            <w:pPr>
              <w:jc w:val="right"/>
              <w:rPr>
                <w:color w:val="000000"/>
                <w:sz w:val="6"/>
                <w:szCs w:val="6"/>
                <w:lang w:eastAsia="tr-TR"/>
              </w:rPr>
            </w:pPr>
          </w:p>
        </w:tc>
        <w:tc>
          <w:tcPr>
            <w:tcW w:w="1129" w:type="dxa"/>
            <w:tcBorders>
              <w:top w:val="nil"/>
              <w:left w:val="nil"/>
              <w:bottom w:val="nil"/>
              <w:right w:val="nil"/>
            </w:tcBorders>
            <w:shd w:val="clear" w:color="auto" w:fill="auto"/>
            <w:noWrap/>
            <w:vAlign w:val="center"/>
            <w:hideMark/>
          </w:tcPr>
          <w:p w14:paraId="18B43716" w14:textId="77777777" w:rsidR="007F6A49" w:rsidRPr="00005453" w:rsidRDefault="007F6A49" w:rsidP="007F6A49">
            <w:pPr>
              <w:jc w:val="right"/>
              <w:rPr>
                <w:sz w:val="6"/>
                <w:szCs w:val="6"/>
                <w:lang w:eastAsia="tr-TR"/>
              </w:rPr>
            </w:pPr>
          </w:p>
        </w:tc>
        <w:tc>
          <w:tcPr>
            <w:tcW w:w="1129" w:type="dxa"/>
            <w:tcBorders>
              <w:top w:val="nil"/>
              <w:left w:val="nil"/>
              <w:bottom w:val="nil"/>
              <w:right w:val="nil"/>
            </w:tcBorders>
            <w:shd w:val="clear" w:color="auto" w:fill="auto"/>
            <w:vAlign w:val="center"/>
            <w:hideMark/>
          </w:tcPr>
          <w:p w14:paraId="54B20E2C" w14:textId="77777777" w:rsidR="007F6A49" w:rsidRPr="00005453" w:rsidRDefault="007F6A49" w:rsidP="007F6A49">
            <w:pPr>
              <w:jc w:val="right"/>
              <w:rPr>
                <w:sz w:val="6"/>
                <w:szCs w:val="6"/>
                <w:lang w:eastAsia="tr-TR"/>
              </w:rPr>
            </w:pPr>
          </w:p>
        </w:tc>
        <w:tc>
          <w:tcPr>
            <w:tcW w:w="1129" w:type="dxa"/>
            <w:tcBorders>
              <w:top w:val="nil"/>
              <w:left w:val="nil"/>
              <w:bottom w:val="nil"/>
              <w:right w:val="nil"/>
            </w:tcBorders>
            <w:shd w:val="clear" w:color="auto" w:fill="auto"/>
            <w:noWrap/>
            <w:vAlign w:val="center"/>
            <w:hideMark/>
          </w:tcPr>
          <w:p w14:paraId="4DD69D41" w14:textId="77777777" w:rsidR="007F6A49" w:rsidRPr="00005453" w:rsidRDefault="007F6A49" w:rsidP="007F6A49">
            <w:pPr>
              <w:jc w:val="right"/>
              <w:rPr>
                <w:sz w:val="6"/>
                <w:szCs w:val="6"/>
                <w:lang w:eastAsia="tr-TR"/>
              </w:rPr>
            </w:pPr>
          </w:p>
        </w:tc>
        <w:tc>
          <w:tcPr>
            <w:tcW w:w="1243" w:type="dxa"/>
            <w:tcBorders>
              <w:top w:val="nil"/>
              <w:left w:val="nil"/>
              <w:bottom w:val="nil"/>
              <w:right w:val="nil"/>
            </w:tcBorders>
            <w:shd w:val="clear" w:color="auto" w:fill="auto"/>
            <w:vAlign w:val="center"/>
            <w:hideMark/>
          </w:tcPr>
          <w:p w14:paraId="3D5B9656" w14:textId="77777777" w:rsidR="007F6A49" w:rsidRPr="00005453" w:rsidRDefault="007F6A49" w:rsidP="007F6A49">
            <w:pPr>
              <w:jc w:val="right"/>
              <w:rPr>
                <w:sz w:val="6"/>
                <w:szCs w:val="6"/>
                <w:lang w:eastAsia="tr-TR"/>
              </w:rPr>
            </w:pPr>
          </w:p>
        </w:tc>
        <w:tc>
          <w:tcPr>
            <w:tcW w:w="1134" w:type="dxa"/>
            <w:tcBorders>
              <w:top w:val="nil"/>
              <w:left w:val="nil"/>
              <w:bottom w:val="nil"/>
              <w:right w:val="nil"/>
            </w:tcBorders>
            <w:shd w:val="clear" w:color="auto" w:fill="auto"/>
            <w:vAlign w:val="center"/>
            <w:hideMark/>
          </w:tcPr>
          <w:p w14:paraId="7DA34545" w14:textId="77777777" w:rsidR="007F6A49" w:rsidRPr="00005453" w:rsidRDefault="007F6A49" w:rsidP="007F6A49">
            <w:pPr>
              <w:jc w:val="right"/>
              <w:rPr>
                <w:sz w:val="6"/>
                <w:szCs w:val="6"/>
                <w:lang w:eastAsia="tr-TR"/>
              </w:rPr>
            </w:pPr>
          </w:p>
        </w:tc>
      </w:tr>
      <w:tr w:rsidR="007F6A49" w:rsidRPr="00005453" w14:paraId="70C37C6C" w14:textId="77777777" w:rsidTr="00E13ED4">
        <w:trPr>
          <w:divId w:val="100417652"/>
          <w:trHeight w:val="184"/>
        </w:trPr>
        <w:tc>
          <w:tcPr>
            <w:tcW w:w="4159" w:type="dxa"/>
            <w:tcBorders>
              <w:top w:val="single" w:sz="8" w:space="0" w:color="auto"/>
              <w:left w:val="nil"/>
              <w:bottom w:val="single" w:sz="8" w:space="0" w:color="auto"/>
              <w:right w:val="nil"/>
            </w:tcBorders>
            <w:shd w:val="clear" w:color="auto" w:fill="auto"/>
            <w:noWrap/>
            <w:vAlign w:val="center"/>
            <w:hideMark/>
          </w:tcPr>
          <w:p w14:paraId="10AFB2A5" w14:textId="77777777" w:rsidR="007F6A49" w:rsidRPr="00005453" w:rsidRDefault="007F6A49" w:rsidP="007F6A49">
            <w:pPr>
              <w:rPr>
                <w:b/>
                <w:bCs/>
                <w:color w:val="000000"/>
                <w:sz w:val="16"/>
                <w:szCs w:val="16"/>
                <w:lang w:eastAsia="tr-TR"/>
              </w:rPr>
            </w:pPr>
            <w:r w:rsidRPr="00005453">
              <w:rPr>
                <w:b/>
                <w:bCs/>
                <w:color w:val="000000"/>
                <w:sz w:val="16"/>
                <w:szCs w:val="16"/>
                <w:lang w:eastAsia="tr-TR"/>
              </w:rPr>
              <w:t>Toplam varlıklar</w:t>
            </w:r>
          </w:p>
        </w:tc>
        <w:tc>
          <w:tcPr>
            <w:tcW w:w="1129" w:type="dxa"/>
            <w:tcBorders>
              <w:top w:val="single" w:sz="8" w:space="0" w:color="auto"/>
              <w:left w:val="nil"/>
              <w:bottom w:val="single" w:sz="8" w:space="0" w:color="auto"/>
              <w:right w:val="nil"/>
            </w:tcBorders>
            <w:shd w:val="clear" w:color="auto" w:fill="auto"/>
            <w:noWrap/>
            <w:vAlign w:val="center"/>
            <w:hideMark/>
          </w:tcPr>
          <w:p w14:paraId="3F652667" w14:textId="26978DB4" w:rsidR="007F6A49" w:rsidRPr="00005453" w:rsidRDefault="007F6A49" w:rsidP="007F6A49">
            <w:pPr>
              <w:jc w:val="right"/>
              <w:rPr>
                <w:b/>
                <w:bCs/>
                <w:color w:val="000000"/>
                <w:sz w:val="16"/>
                <w:szCs w:val="16"/>
                <w:lang w:eastAsia="tr-TR"/>
              </w:rPr>
            </w:pPr>
            <w:r w:rsidRPr="00005453">
              <w:rPr>
                <w:b/>
                <w:color w:val="000000"/>
                <w:sz w:val="16"/>
                <w:szCs w:val="16"/>
                <w:lang w:eastAsia="tr-TR"/>
              </w:rPr>
              <w:t>115,123,175</w:t>
            </w:r>
          </w:p>
        </w:tc>
        <w:tc>
          <w:tcPr>
            <w:tcW w:w="1129" w:type="dxa"/>
            <w:tcBorders>
              <w:top w:val="single" w:sz="8" w:space="0" w:color="auto"/>
              <w:left w:val="nil"/>
              <w:bottom w:val="single" w:sz="8" w:space="0" w:color="auto"/>
              <w:right w:val="nil"/>
            </w:tcBorders>
            <w:shd w:val="clear" w:color="auto" w:fill="auto"/>
            <w:noWrap/>
            <w:vAlign w:val="center"/>
            <w:hideMark/>
          </w:tcPr>
          <w:p w14:paraId="267F1BAE" w14:textId="1F2408A3" w:rsidR="007F6A49" w:rsidRPr="00005453" w:rsidRDefault="007F6A49" w:rsidP="007F6A49">
            <w:pPr>
              <w:jc w:val="right"/>
              <w:rPr>
                <w:b/>
                <w:bCs/>
                <w:color w:val="000000"/>
                <w:sz w:val="16"/>
                <w:szCs w:val="16"/>
                <w:lang w:eastAsia="tr-TR"/>
              </w:rPr>
            </w:pPr>
            <w:r w:rsidRPr="00005453">
              <w:rPr>
                <w:b/>
                <w:color w:val="000000"/>
                <w:sz w:val="16"/>
                <w:szCs w:val="16"/>
                <w:lang w:eastAsia="tr-TR"/>
              </w:rPr>
              <w:t>201,740,942</w:t>
            </w:r>
          </w:p>
        </w:tc>
        <w:tc>
          <w:tcPr>
            <w:tcW w:w="1129" w:type="dxa"/>
            <w:tcBorders>
              <w:top w:val="single" w:sz="8" w:space="0" w:color="auto"/>
              <w:left w:val="nil"/>
              <w:bottom w:val="single" w:sz="8" w:space="0" w:color="auto"/>
              <w:right w:val="nil"/>
            </w:tcBorders>
            <w:shd w:val="clear" w:color="auto" w:fill="auto"/>
            <w:noWrap/>
            <w:vAlign w:val="center"/>
            <w:hideMark/>
          </w:tcPr>
          <w:p w14:paraId="7555A904" w14:textId="446C0B50" w:rsidR="007F6A49" w:rsidRPr="00005453" w:rsidRDefault="007F6A49" w:rsidP="007F6A49">
            <w:pPr>
              <w:jc w:val="right"/>
              <w:rPr>
                <w:b/>
                <w:bCs/>
                <w:color w:val="000000"/>
                <w:sz w:val="16"/>
                <w:szCs w:val="16"/>
                <w:lang w:eastAsia="tr-TR"/>
              </w:rPr>
            </w:pPr>
            <w:r w:rsidRPr="00005453">
              <w:rPr>
                <w:b/>
                <w:color w:val="000000"/>
                <w:sz w:val="16"/>
                <w:szCs w:val="16"/>
                <w:lang w:eastAsia="tr-TR"/>
              </w:rPr>
              <w:t>335,536,661</w:t>
            </w:r>
          </w:p>
        </w:tc>
        <w:tc>
          <w:tcPr>
            <w:tcW w:w="1243" w:type="dxa"/>
            <w:tcBorders>
              <w:top w:val="single" w:sz="8" w:space="0" w:color="auto"/>
              <w:left w:val="nil"/>
              <w:bottom w:val="single" w:sz="8" w:space="0" w:color="auto"/>
              <w:right w:val="nil"/>
            </w:tcBorders>
            <w:shd w:val="clear" w:color="auto" w:fill="auto"/>
            <w:noWrap/>
            <w:vAlign w:val="center"/>
            <w:hideMark/>
          </w:tcPr>
          <w:p w14:paraId="7241F13E" w14:textId="7FFADB71" w:rsidR="007F6A49" w:rsidRPr="00005453" w:rsidRDefault="007F6A49" w:rsidP="007F6A49">
            <w:pPr>
              <w:jc w:val="right"/>
              <w:rPr>
                <w:b/>
                <w:bCs/>
                <w:color w:val="000000"/>
                <w:sz w:val="16"/>
                <w:szCs w:val="16"/>
                <w:lang w:eastAsia="tr-TR"/>
              </w:rPr>
            </w:pPr>
            <w:r w:rsidRPr="00005453">
              <w:rPr>
                <w:b/>
                <w:color w:val="000000"/>
                <w:sz w:val="16"/>
                <w:szCs w:val="16"/>
                <w:lang w:eastAsia="tr-TR"/>
              </w:rPr>
              <w:t>15,767,437</w:t>
            </w:r>
          </w:p>
        </w:tc>
        <w:tc>
          <w:tcPr>
            <w:tcW w:w="1134" w:type="dxa"/>
            <w:tcBorders>
              <w:top w:val="single" w:sz="8" w:space="0" w:color="auto"/>
              <w:left w:val="nil"/>
              <w:bottom w:val="single" w:sz="8" w:space="0" w:color="auto"/>
              <w:right w:val="nil"/>
            </w:tcBorders>
            <w:shd w:val="clear" w:color="auto" w:fill="auto"/>
            <w:noWrap/>
            <w:vAlign w:val="center"/>
            <w:hideMark/>
          </w:tcPr>
          <w:p w14:paraId="66D0BBDA" w14:textId="55C18705" w:rsidR="007F6A49" w:rsidRPr="00005453" w:rsidRDefault="007F6A49" w:rsidP="007F6A49">
            <w:pPr>
              <w:jc w:val="right"/>
              <w:rPr>
                <w:b/>
                <w:bCs/>
                <w:color w:val="000000"/>
                <w:sz w:val="16"/>
                <w:szCs w:val="16"/>
                <w:lang w:eastAsia="tr-TR"/>
              </w:rPr>
            </w:pPr>
            <w:r w:rsidRPr="00005453">
              <w:rPr>
                <w:b/>
                <w:color w:val="000000"/>
                <w:sz w:val="16"/>
                <w:szCs w:val="16"/>
                <w:lang w:eastAsia="tr-TR"/>
              </w:rPr>
              <w:t>668,168,215</w:t>
            </w:r>
          </w:p>
        </w:tc>
      </w:tr>
      <w:tr w:rsidR="00DF7D3E" w:rsidRPr="00005453" w14:paraId="47EFA658" w14:textId="77777777" w:rsidTr="00E13ED4">
        <w:trPr>
          <w:divId w:val="100417652"/>
          <w:trHeight w:val="37"/>
        </w:trPr>
        <w:tc>
          <w:tcPr>
            <w:tcW w:w="4159" w:type="dxa"/>
            <w:tcBorders>
              <w:top w:val="nil"/>
              <w:left w:val="nil"/>
              <w:bottom w:val="nil"/>
              <w:right w:val="nil"/>
            </w:tcBorders>
            <w:shd w:val="clear" w:color="auto" w:fill="auto"/>
            <w:noWrap/>
            <w:vAlign w:val="center"/>
            <w:hideMark/>
          </w:tcPr>
          <w:p w14:paraId="16894076" w14:textId="77777777" w:rsidR="00DF7D3E" w:rsidRPr="00005453" w:rsidRDefault="00DF7D3E" w:rsidP="00DF7D3E">
            <w:pPr>
              <w:jc w:val="right"/>
              <w:rPr>
                <w:b/>
                <w:bCs/>
                <w:color w:val="000000"/>
                <w:sz w:val="6"/>
                <w:szCs w:val="6"/>
                <w:lang w:eastAsia="tr-TR"/>
              </w:rPr>
            </w:pPr>
          </w:p>
        </w:tc>
        <w:tc>
          <w:tcPr>
            <w:tcW w:w="1129" w:type="dxa"/>
            <w:vMerge w:val="restart"/>
            <w:tcBorders>
              <w:top w:val="nil"/>
              <w:left w:val="nil"/>
              <w:bottom w:val="nil"/>
              <w:right w:val="nil"/>
            </w:tcBorders>
            <w:shd w:val="clear" w:color="auto" w:fill="auto"/>
            <w:noWrap/>
            <w:vAlign w:val="bottom"/>
            <w:hideMark/>
          </w:tcPr>
          <w:p w14:paraId="2A7AA0D9" w14:textId="77777777" w:rsidR="00DF7D3E" w:rsidRPr="00005453" w:rsidRDefault="00DF7D3E" w:rsidP="00DF7D3E">
            <w:pPr>
              <w:rPr>
                <w:color w:val="000000"/>
                <w:sz w:val="6"/>
                <w:szCs w:val="6"/>
                <w:lang w:eastAsia="tr-TR"/>
              </w:rPr>
            </w:pPr>
            <w:r w:rsidRPr="00005453">
              <w:rPr>
                <w:color w:val="000000"/>
                <w:sz w:val="6"/>
                <w:szCs w:val="6"/>
                <w:lang w:eastAsia="tr-TR"/>
              </w:rPr>
              <w:t> </w:t>
            </w:r>
          </w:p>
        </w:tc>
        <w:tc>
          <w:tcPr>
            <w:tcW w:w="1129" w:type="dxa"/>
            <w:vMerge w:val="restart"/>
            <w:tcBorders>
              <w:top w:val="nil"/>
              <w:left w:val="nil"/>
              <w:bottom w:val="nil"/>
              <w:right w:val="nil"/>
            </w:tcBorders>
            <w:shd w:val="clear" w:color="auto" w:fill="auto"/>
            <w:vAlign w:val="bottom"/>
            <w:hideMark/>
          </w:tcPr>
          <w:p w14:paraId="3D795E3A" w14:textId="77777777" w:rsidR="00DF7D3E" w:rsidRPr="00005453" w:rsidRDefault="00DF7D3E" w:rsidP="00DF7D3E">
            <w:pPr>
              <w:rPr>
                <w:color w:val="000000"/>
                <w:sz w:val="6"/>
                <w:szCs w:val="6"/>
                <w:lang w:eastAsia="tr-TR"/>
              </w:rPr>
            </w:pPr>
            <w:r w:rsidRPr="00005453">
              <w:rPr>
                <w:color w:val="000000"/>
                <w:sz w:val="6"/>
                <w:szCs w:val="6"/>
                <w:lang w:eastAsia="tr-TR"/>
              </w:rPr>
              <w:t> </w:t>
            </w:r>
          </w:p>
        </w:tc>
        <w:tc>
          <w:tcPr>
            <w:tcW w:w="1129" w:type="dxa"/>
            <w:vMerge w:val="restart"/>
            <w:tcBorders>
              <w:top w:val="nil"/>
              <w:left w:val="nil"/>
              <w:bottom w:val="nil"/>
              <w:right w:val="nil"/>
            </w:tcBorders>
            <w:shd w:val="clear" w:color="auto" w:fill="auto"/>
            <w:noWrap/>
            <w:vAlign w:val="bottom"/>
            <w:hideMark/>
          </w:tcPr>
          <w:p w14:paraId="7420B627" w14:textId="77777777" w:rsidR="00DF7D3E" w:rsidRPr="00005453" w:rsidRDefault="00DF7D3E" w:rsidP="00DF7D3E">
            <w:pPr>
              <w:rPr>
                <w:color w:val="000000"/>
                <w:sz w:val="6"/>
                <w:szCs w:val="6"/>
                <w:lang w:eastAsia="tr-TR"/>
              </w:rPr>
            </w:pPr>
            <w:r w:rsidRPr="00005453">
              <w:rPr>
                <w:color w:val="000000"/>
                <w:sz w:val="6"/>
                <w:szCs w:val="6"/>
                <w:lang w:eastAsia="tr-TR"/>
              </w:rPr>
              <w:t> </w:t>
            </w:r>
          </w:p>
        </w:tc>
        <w:tc>
          <w:tcPr>
            <w:tcW w:w="1243" w:type="dxa"/>
            <w:vMerge w:val="restart"/>
            <w:tcBorders>
              <w:top w:val="nil"/>
              <w:left w:val="nil"/>
              <w:bottom w:val="nil"/>
              <w:right w:val="nil"/>
            </w:tcBorders>
            <w:shd w:val="clear" w:color="auto" w:fill="auto"/>
            <w:vAlign w:val="bottom"/>
            <w:hideMark/>
          </w:tcPr>
          <w:p w14:paraId="25F8E344" w14:textId="77777777" w:rsidR="00DF7D3E" w:rsidRPr="00005453" w:rsidRDefault="00DF7D3E" w:rsidP="00DF7D3E">
            <w:pPr>
              <w:rPr>
                <w:color w:val="000000"/>
                <w:sz w:val="6"/>
                <w:szCs w:val="6"/>
                <w:lang w:eastAsia="tr-TR"/>
              </w:rPr>
            </w:pPr>
            <w:r w:rsidRPr="00005453">
              <w:rPr>
                <w:color w:val="000000"/>
                <w:sz w:val="6"/>
                <w:szCs w:val="6"/>
                <w:lang w:eastAsia="tr-TR"/>
              </w:rPr>
              <w:t> </w:t>
            </w:r>
          </w:p>
        </w:tc>
        <w:tc>
          <w:tcPr>
            <w:tcW w:w="1134" w:type="dxa"/>
            <w:vMerge w:val="restart"/>
            <w:tcBorders>
              <w:top w:val="nil"/>
              <w:left w:val="nil"/>
              <w:bottom w:val="nil"/>
              <w:right w:val="nil"/>
            </w:tcBorders>
            <w:shd w:val="clear" w:color="auto" w:fill="auto"/>
            <w:vAlign w:val="bottom"/>
            <w:hideMark/>
          </w:tcPr>
          <w:p w14:paraId="58336D29" w14:textId="77777777" w:rsidR="00DF7D3E" w:rsidRPr="00005453" w:rsidRDefault="00DF7D3E" w:rsidP="00DF7D3E">
            <w:pPr>
              <w:rPr>
                <w:color w:val="000000"/>
                <w:sz w:val="6"/>
                <w:szCs w:val="6"/>
                <w:lang w:eastAsia="tr-TR"/>
              </w:rPr>
            </w:pPr>
            <w:r w:rsidRPr="00005453">
              <w:rPr>
                <w:color w:val="000000"/>
                <w:sz w:val="6"/>
                <w:szCs w:val="6"/>
                <w:lang w:eastAsia="tr-TR"/>
              </w:rPr>
              <w:t> </w:t>
            </w:r>
          </w:p>
        </w:tc>
      </w:tr>
      <w:tr w:rsidR="00DF7D3E" w:rsidRPr="00005453" w14:paraId="575B5BD5"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4FCD5FC0" w14:textId="77777777" w:rsidR="00DF7D3E" w:rsidRPr="00005453" w:rsidRDefault="00DF7D3E" w:rsidP="00DF7D3E">
            <w:pPr>
              <w:rPr>
                <w:b/>
                <w:bCs/>
                <w:color w:val="000000"/>
                <w:sz w:val="16"/>
                <w:szCs w:val="16"/>
                <w:lang w:eastAsia="tr-TR"/>
              </w:rPr>
            </w:pPr>
            <w:r w:rsidRPr="00005453">
              <w:rPr>
                <w:b/>
                <w:bCs/>
                <w:color w:val="000000"/>
                <w:sz w:val="16"/>
                <w:szCs w:val="16"/>
                <w:lang w:val="en-US" w:eastAsia="tr-TR"/>
              </w:rPr>
              <w:t>Önceki Dönem</w:t>
            </w:r>
          </w:p>
        </w:tc>
        <w:tc>
          <w:tcPr>
            <w:tcW w:w="1129" w:type="dxa"/>
            <w:vMerge/>
            <w:tcBorders>
              <w:top w:val="nil"/>
              <w:left w:val="nil"/>
              <w:bottom w:val="nil"/>
              <w:right w:val="nil"/>
            </w:tcBorders>
            <w:vAlign w:val="center"/>
            <w:hideMark/>
          </w:tcPr>
          <w:p w14:paraId="14DF242A" w14:textId="77777777" w:rsidR="00DF7D3E" w:rsidRPr="00005453" w:rsidRDefault="00DF7D3E" w:rsidP="00DF7D3E">
            <w:pPr>
              <w:rPr>
                <w:color w:val="000000"/>
                <w:lang w:eastAsia="tr-TR"/>
              </w:rPr>
            </w:pPr>
          </w:p>
        </w:tc>
        <w:tc>
          <w:tcPr>
            <w:tcW w:w="1129" w:type="dxa"/>
            <w:vMerge/>
            <w:tcBorders>
              <w:top w:val="nil"/>
              <w:left w:val="nil"/>
              <w:bottom w:val="nil"/>
              <w:right w:val="nil"/>
            </w:tcBorders>
            <w:vAlign w:val="center"/>
            <w:hideMark/>
          </w:tcPr>
          <w:p w14:paraId="4F7B29D0" w14:textId="77777777" w:rsidR="00DF7D3E" w:rsidRPr="00005453" w:rsidRDefault="00DF7D3E" w:rsidP="00DF7D3E">
            <w:pPr>
              <w:rPr>
                <w:color w:val="000000"/>
                <w:lang w:eastAsia="tr-TR"/>
              </w:rPr>
            </w:pPr>
          </w:p>
        </w:tc>
        <w:tc>
          <w:tcPr>
            <w:tcW w:w="1129" w:type="dxa"/>
            <w:vMerge/>
            <w:tcBorders>
              <w:top w:val="nil"/>
              <w:left w:val="nil"/>
              <w:bottom w:val="nil"/>
              <w:right w:val="nil"/>
            </w:tcBorders>
            <w:vAlign w:val="center"/>
            <w:hideMark/>
          </w:tcPr>
          <w:p w14:paraId="42FFE023" w14:textId="77777777" w:rsidR="00DF7D3E" w:rsidRPr="00005453" w:rsidRDefault="00DF7D3E" w:rsidP="00DF7D3E">
            <w:pPr>
              <w:rPr>
                <w:color w:val="000000"/>
                <w:lang w:eastAsia="tr-TR"/>
              </w:rPr>
            </w:pPr>
          </w:p>
        </w:tc>
        <w:tc>
          <w:tcPr>
            <w:tcW w:w="1243" w:type="dxa"/>
            <w:vMerge/>
            <w:tcBorders>
              <w:top w:val="nil"/>
              <w:left w:val="nil"/>
              <w:bottom w:val="nil"/>
              <w:right w:val="nil"/>
            </w:tcBorders>
            <w:vAlign w:val="center"/>
            <w:hideMark/>
          </w:tcPr>
          <w:p w14:paraId="6D4674CE" w14:textId="77777777" w:rsidR="00DF7D3E" w:rsidRPr="00005453" w:rsidRDefault="00DF7D3E" w:rsidP="00DF7D3E">
            <w:pPr>
              <w:rPr>
                <w:color w:val="000000"/>
                <w:lang w:eastAsia="tr-TR"/>
              </w:rPr>
            </w:pPr>
          </w:p>
        </w:tc>
        <w:tc>
          <w:tcPr>
            <w:tcW w:w="1134" w:type="dxa"/>
            <w:vMerge/>
            <w:tcBorders>
              <w:top w:val="nil"/>
              <w:left w:val="nil"/>
              <w:bottom w:val="nil"/>
              <w:right w:val="nil"/>
            </w:tcBorders>
            <w:vAlign w:val="center"/>
            <w:hideMark/>
          </w:tcPr>
          <w:p w14:paraId="42FBF7B9" w14:textId="77777777" w:rsidR="00DF7D3E" w:rsidRPr="00005453" w:rsidRDefault="00DF7D3E" w:rsidP="00DF7D3E">
            <w:pPr>
              <w:rPr>
                <w:color w:val="000000"/>
                <w:lang w:eastAsia="tr-TR"/>
              </w:rPr>
            </w:pPr>
          </w:p>
        </w:tc>
      </w:tr>
      <w:tr w:rsidR="00DF7D3E" w:rsidRPr="00005453" w14:paraId="16C79252"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66DEDC3C" w14:textId="7693ED1E" w:rsidR="00DF7D3E" w:rsidRPr="00005453" w:rsidRDefault="00DF7D3E" w:rsidP="00DF7D3E">
            <w:pPr>
              <w:rPr>
                <w:b/>
                <w:bCs/>
                <w:color w:val="000000"/>
                <w:sz w:val="16"/>
                <w:szCs w:val="16"/>
                <w:lang w:eastAsia="tr-TR"/>
              </w:rPr>
            </w:pPr>
            <w:r w:rsidRPr="00005453">
              <w:rPr>
                <w:b/>
                <w:bCs/>
                <w:color w:val="000000"/>
                <w:sz w:val="16"/>
                <w:szCs w:val="16"/>
                <w:lang w:eastAsia="tr-TR"/>
              </w:rPr>
              <w:t>31 Aralık 202</w:t>
            </w:r>
            <w:r w:rsidR="007F6A49" w:rsidRPr="00005453">
              <w:rPr>
                <w:b/>
                <w:bCs/>
                <w:color w:val="000000"/>
                <w:sz w:val="16"/>
                <w:szCs w:val="16"/>
                <w:lang w:eastAsia="tr-TR"/>
              </w:rPr>
              <w:t>3</w:t>
            </w:r>
          </w:p>
        </w:tc>
        <w:tc>
          <w:tcPr>
            <w:tcW w:w="1129" w:type="dxa"/>
            <w:vMerge/>
            <w:tcBorders>
              <w:top w:val="nil"/>
              <w:left w:val="nil"/>
              <w:bottom w:val="nil"/>
              <w:right w:val="nil"/>
            </w:tcBorders>
            <w:vAlign w:val="center"/>
            <w:hideMark/>
          </w:tcPr>
          <w:p w14:paraId="0EB3CC2E" w14:textId="77777777" w:rsidR="00DF7D3E" w:rsidRPr="00005453" w:rsidRDefault="00DF7D3E" w:rsidP="00DF7D3E">
            <w:pPr>
              <w:rPr>
                <w:color w:val="000000"/>
                <w:lang w:eastAsia="tr-TR"/>
              </w:rPr>
            </w:pPr>
          </w:p>
        </w:tc>
        <w:tc>
          <w:tcPr>
            <w:tcW w:w="1129" w:type="dxa"/>
            <w:vMerge/>
            <w:tcBorders>
              <w:top w:val="nil"/>
              <w:left w:val="nil"/>
              <w:bottom w:val="nil"/>
              <w:right w:val="nil"/>
            </w:tcBorders>
            <w:vAlign w:val="center"/>
            <w:hideMark/>
          </w:tcPr>
          <w:p w14:paraId="22ACC725" w14:textId="77777777" w:rsidR="00DF7D3E" w:rsidRPr="00005453" w:rsidRDefault="00DF7D3E" w:rsidP="00DF7D3E">
            <w:pPr>
              <w:rPr>
                <w:color w:val="000000"/>
                <w:lang w:eastAsia="tr-TR"/>
              </w:rPr>
            </w:pPr>
          </w:p>
        </w:tc>
        <w:tc>
          <w:tcPr>
            <w:tcW w:w="1129" w:type="dxa"/>
            <w:vMerge/>
            <w:tcBorders>
              <w:top w:val="nil"/>
              <w:left w:val="nil"/>
              <w:bottom w:val="nil"/>
              <w:right w:val="nil"/>
            </w:tcBorders>
            <w:vAlign w:val="center"/>
            <w:hideMark/>
          </w:tcPr>
          <w:p w14:paraId="5960A663" w14:textId="77777777" w:rsidR="00DF7D3E" w:rsidRPr="00005453" w:rsidRDefault="00DF7D3E" w:rsidP="00DF7D3E">
            <w:pPr>
              <w:rPr>
                <w:color w:val="000000"/>
                <w:lang w:eastAsia="tr-TR"/>
              </w:rPr>
            </w:pPr>
          </w:p>
        </w:tc>
        <w:tc>
          <w:tcPr>
            <w:tcW w:w="1243" w:type="dxa"/>
            <w:vMerge/>
            <w:tcBorders>
              <w:top w:val="nil"/>
              <w:left w:val="nil"/>
              <w:bottom w:val="nil"/>
              <w:right w:val="nil"/>
            </w:tcBorders>
            <w:vAlign w:val="center"/>
            <w:hideMark/>
          </w:tcPr>
          <w:p w14:paraId="6BDC1CE6" w14:textId="77777777" w:rsidR="00DF7D3E" w:rsidRPr="00005453" w:rsidRDefault="00DF7D3E" w:rsidP="00DF7D3E">
            <w:pPr>
              <w:rPr>
                <w:color w:val="000000"/>
                <w:lang w:eastAsia="tr-TR"/>
              </w:rPr>
            </w:pPr>
          </w:p>
        </w:tc>
        <w:tc>
          <w:tcPr>
            <w:tcW w:w="1134" w:type="dxa"/>
            <w:vMerge/>
            <w:tcBorders>
              <w:top w:val="nil"/>
              <w:left w:val="nil"/>
              <w:bottom w:val="nil"/>
              <w:right w:val="nil"/>
            </w:tcBorders>
            <w:vAlign w:val="center"/>
            <w:hideMark/>
          </w:tcPr>
          <w:p w14:paraId="764D83D6" w14:textId="77777777" w:rsidR="00DF7D3E" w:rsidRPr="00005453" w:rsidRDefault="00DF7D3E" w:rsidP="00DF7D3E">
            <w:pPr>
              <w:rPr>
                <w:color w:val="000000"/>
                <w:lang w:eastAsia="tr-TR"/>
              </w:rPr>
            </w:pPr>
          </w:p>
        </w:tc>
      </w:tr>
      <w:tr w:rsidR="007F6A49" w:rsidRPr="00005453" w14:paraId="77A667BB"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014504B9" w14:textId="77777777" w:rsidR="007F6A49" w:rsidRPr="00005453" w:rsidRDefault="007F6A49" w:rsidP="007F6A49">
            <w:pPr>
              <w:rPr>
                <w:color w:val="000000"/>
                <w:sz w:val="16"/>
                <w:szCs w:val="16"/>
                <w:lang w:eastAsia="tr-TR"/>
              </w:rPr>
            </w:pPr>
            <w:r w:rsidRPr="00005453">
              <w:rPr>
                <w:color w:val="000000"/>
                <w:sz w:val="16"/>
                <w:szCs w:val="16"/>
                <w:lang w:eastAsia="tr-TR"/>
              </w:rPr>
              <w:t>Bölüm yükümlülükleri</w:t>
            </w:r>
          </w:p>
        </w:tc>
        <w:tc>
          <w:tcPr>
            <w:tcW w:w="1129" w:type="dxa"/>
            <w:tcBorders>
              <w:top w:val="nil"/>
              <w:left w:val="nil"/>
              <w:bottom w:val="nil"/>
              <w:right w:val="nil"/>
            </w:tcBorders>
            <w:shd w:val="clear" w:color="auto" w:fill="auto"/>
            <w:noWrap/>
            <w:vAlign w:val="center"/>
            <w:hideMark/>
          </w:tcPr>
          <w:p w14:paraId="4FD2D1C5" w14:textId="798FD55C" w:rsidR="007F6A49" w:rsidRPr="00005453" w:rsidRDefault="007F6A49" w:rsidP="007F6A49">
            <w:pPr>
              <w:jc w:val="right"/>
              <w:rPr>
                <w:color w:val="000000"/>
                <w:sz w:val="16"/>
                <w:szCs w:val="16"/>
                <w:lang w:eastAsia="tr-TR"/>
              </w:rPr>
            </w:pPr>
            <w:r w:rsidRPr="00005453">
              <w:rPr>
                <w:color w:val="000000"/>
                <w:sz w:val="16"/>
                <w:szCs w:val="16"/>
                <w:lang w:eastAsia="tr-TR"/>
              </w:rPr>
              <w:t>385,565,367</w:t>
            </w:r>
          </w:p>
        </w:tc>
        <w:tc>
          <w:tcPr>
            <w:tcW w:w="1129" w:type="dxa"/>
            <w:tcBorders>
              <w:top w:val="nil"/>
              <w:left w:val="nil"/>
              <w:bottom w:val="nil"/>
              <w:right w:val="nil"/>
            </w:tcBorders>
            <w:shd w:val="clear" w:color="auto" w:fill="auto"/>
            <w:noWrap/>
            <w:vAlign w:val="center"/>
            <w:hideMark/>
          </w:tcPr>
          <w:p w14:paraId="65C664FB" w14:textId="7A5DF3DF" w:rsidR="007F6A49" w:rsidRPr="00005453" w:rsidRDefault="007F6A49" w:rsidP="007F6A49">
            <w:pPr>
              <w:jc w:val="right"/>
              <w:rPr>
                <w:color w:val="000000"/>
                <w:sz w:val="16"/>
                <w:szCs w:val="16"/>
                <w:lang w:eastAsia="tr-TR"/>
              </w:rPr>
            </w:pPr>
            <w:r w:rsidRPr="00005453">
              <w:rPr>
                <w:color w:val="000000"/>
                <w:sz w:val="16"/>
                <w:szCs w:val="16"/>
                <w:lang w:eastAsia="tr-TR"/>
              </w:rPr>
              <w:t>121,945,506</w:t>
            </w:r>
          </w:p>
        </w:tc>
        <w:tc>
          <w:tcPr>
            <w:tcW w:w="1129" w:type="dxa"/>
            <w:tcBorders>
              <w:top w:val="nil"/>
              <w:left w:val="nil"/>
              <w:bottom w:val="nil"/>
              <w:right w:val="nil"/>
            </w:tcBorders>
            <w:shd w:val="clear" w:color="auto" w:fill="auto"/>
            <w:noWrap/>
            <w:vAlign w:val="center"/>
            <w:hideMark/>
          </w:tcPr>
          <w:p w14:paraId="071CE481" w14:textId="1C355759" w:rsidR="007F6A49" w:rsidRPr="00005453" w:rsidRDefault="007F6A49" w:rsidP="007F6A49">
            <w:pPr>
              <w:jc w:val="right"/>
              <w:rPr>
                <w:color w:val="000000"/>
                <w:sz w:val="16"/>
                <w:szCs w:val="16"/>
                <w:lang w:eastAsia="tr-TR"/>
              </w:rPr>
            </w:pPr>
            <w:r w:rsidRPr="00005453">
              <w:rPr>
                <w:color w:val="000000"/>
                <w:sz w:val="16"/>
                <w:szCs w:val="16"/>
                <w:lang w:eastAsia="tr-TR"/>
              </w:rPr>
              <w:t>97,043,082</w:t>
            </w:r>
          </w:p>
        </w:tc>
        <w:tc>
          <w:tcPr>
            <w:tcW w:w="1243" w:type="dxa"/>
            <w:tcBorders>
              <w:top w:val="nil"/>
              <w:left w:val="nil"/>
              <w:bottom w:val="nil"/>
              <w:right w:val="nil"/>
            </w:tcBorders>
            <w:shd w:val="clear" w:color="auto" w:fill="auto"/>
            <w:noWrap/>
            <w:vAlign w:val="center"/>
            <w:hideMark/>
          </w:tcPr>
          <w:p w14:paraId="7A76CAE1" w14:textId="42DC81CF"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3A520569" w14:textId="0822EA0A" w:rsidR="007F6A49" w:rsidRPr="00005453" w:rsidRDefault="007F6A49" w:rsidP="007F6A49">
            <w:pPr>
              <w:jc w:val="right"/>
              <w:rPr>
                <w:color w:val="000000"/>
                <w:sz w:val="16"/>
                <w:szCs w:val="16"/>
                <w:lang w:eastAsia="tr-TR"/>
              </w:rPr>
            </w:pPr>
            <w:r w:rsidRPr="00005453">
              <w:rPr>
                <w:color w:val="000000"/>
                <w:sz w:val="16"/>
                <w:szCs w:val="16"/>
                <w:lang w:eastAsia="tr-TR"/>
              </w:rPr>
              <w:t>604,553,955</w:t>
            </w:r>
          </w:p>
        </w:tc>
      </w:tr>
      <w:tr w:rsidR="007F6A49" w:rsidRPr="00005453" w14:paraId="3B41A634"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45E661ED" w14:textId="77777777" w:rsidR="007F6A49" w:rsidRPr="00005453" w:rsidRDefault="007F6A49" w:rsidP="007F6A49">
            <w:pPr>
              <w:rPr>
                <w:color w:val="000000"/>
                <w:sz w:val="16"/>
                <w:szCs w:val="16"/>
                <w:lang w:eastAsia="tr-TR"/>
              </w:rPr>
            </w:pPr>
            <w:r w:rsidRPr="00005453">
              <w:rPr>
                <w:color w:val="000000"/>
                <w:sz w:val="16"/>
                <w:szCs w:val="16"/>
                <w:lang w:eastAsia="tr-TR"/>
              </w:rPr>
              <w:t>Dağıtılamayan yükümlülükler</w:t>
            </w:r>
          </w:p>
        </w:tc>
        <w:tc>
          <w:tcPr>
            <w:tcW w:w="1129" w:type="dxa"/>
            <w:tcBorders>
              <w:top w:val="nil"/>
              <w:left w:val="nil"/>
              <w:bottom w:val="nil"/>
              <w:right w:val="nil"/>
            </w:tcBorders>
            <w:shd w:val="clear" w:color="auto" w:fill="auto"/>
            <w:noWrap/>
            <w:vAlign w:val="center"/>
            <w:hideMark/>
          </w:tcPr>
          <w:p w14:paraId="324797A4" w14:textId="4ADD6602"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F91408C" w14:textId="386E5353"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02663020" w14:textId="600255C4"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243" w:type="dxa"/>
            <w:tcBorders>
              <w:top w:val="nil"/>
              <w:left w:val="nil"/>
              <w:bottom w:val="nil"/>
              <w:right w:val="nil"/>
            </w:tcBorders>
            <w:shd w:val="clear" w:color="auto" w:fill="auto"/>
            <w:noWrap/>
            <w:vAlign w:val="center"/>
            <w:hideMark/>
          </w:tcPr>
          <w:p w14:paraId="2550F971" w14:textId="47BAF844" w:rsidR="007F6A49" w:rsidRPr="00005453" w:rsidRDefault="007F6A49" w:rsidP="007F6A49">
            <w:pPr>
              <w:jc w:val="right"/>
              <w:rPr>
                <w:color w:val="000000"/>
                <w:sz w:val="16"/>
                <w:szCs w:val="16"/>
                <w:lang w:eastAsia="tr-TR"/>
              </w:rPr>
            </w:pPr>
            <w:r w:rsidRPr="00005453">
              <w:rPr>
                <w:color w:val="000000"/>
                <w:sz w:val="16"/>
                <w:szCs w:val="16"/>
                <w:lang w:eastAsia="tr-TR"/>
              </w:rPr>
              <w:t>15,628,572</w:t>
            </w:r>
          </w:p>
        </w:tc>
        <w:tc>
          <w:tcPr>
            <w:tcW w:w="1134" w:type="dxa"/>
            <w:tcBorders>
              <w:top w:val="nil"/>
              <w:left w:val="nil"/>
              <w:bottom w:val="nil"/>
              <w:right w:val="nil"/>
            </w:tcBorders>
            <w:shd w:val="clear" w:color="auto" w:fill="auto"/>
            <w:noWrap/>
            <w:vAlign w:val="center"/>
            <w:hideMark/>
          </w:tcPr>
          <w:p w14:paraId="2E7E3846" w14:textId="409C0346" w:rsidR="007F6A49" w:rsidRPr="00005453" w:rsidRDefault="007F6A49" w:rsidP="007F6A49">
            <w:pPr>
              <w:jc w:val="right"/>
              <w:rPr>
                <w:color w:val="000000"/>
                <w:sz w:val="16"/>
                <w:szCs w:val="16"/>
                <w:lang w:eastAsia="tr-TR"/>
              </w:rPr>
            </w:pPr>
            <w:r w:rsidRPr="00005453">
              <w:rPr>
                <w:color w:val="000000"/>
                <w:sz w:val="16"/>
                <w:szCs w:val="16"/>
                <w:lang w:eastAsia="tr-TR"/>
              </w:rPr>
              <w:t>15,628,572</w:t>
            </w:r>
          </w:p>
        </w:tc>
      </w:tr>
      <w:tr w:rsidR="007F6A49" w:rsidRPr="00005453" w14:paraId="0D0DF128" w14:textId="77777777" w:rsidTr="00E13ED4">
        <w:trPr>
          <w:divId w:val="100417652"/>
          <w:trHeight w:val="174"/>
        </w:trPr>
        <w:tc>
          <w:tcPr>
            <w:tcW w:w="4159" w:type="dxa"/>
            <w:tcBorders>
              <w:top w:val="nil"/>
              <w:left w:val="nil"/>
              <w:bottom w:val="nil"/>
              <w:right w:val="nil"/>
            </w:tcBorders>
            <w:shd w:val="clear" w:color="auto" w:fill="auto"/>
            <w:noWrap/>
            <w:vAlign w:val="center"/>
            <w:hideMark/>
          </w:tcPr>
          <w:p w14:paraId="6091EB63" w14:textId="77777777" w:rsidR="007F6A49" w:rsidRPr="00005453" w:rsidRDefault="007F6A49" w:rsidP="007F6A49">
            <w:pPr>
              <w:rPr>
                <w:color w:val="000000"/>
                <w:sz w:val="16"/>
                <w:szCs w:val="16"/>
                <w:lang w:eastAsia="tr-TR"/>
              </w:rPr>
            </w:pPr>
            <w:r w:rsidRPr="00005453">
              <w:rPr>
                <w:color w:val="000000"/>
                <w:sz w:val="16"/>
                <w:szCs w:val="16"/>
                <w:lang w:eastAsia="tr-TR"/>
              </w:rPr>
              <w:t>Özkaynaklar</w:t>
            </w:r>
          </w:p>
        </w:tc>
        <w:tc>
          <w:tcPr>
            <w:tcW w:w="1129" w:type="dxa"/>
            <w:tcBorders>
              <w:top w:val="nil"/>
              <w:left w:val="nil"/>
              <w:bottom w:val="nil"/>
              <w:right w:val="nil"/>
            </w:tcBorders>
            <w:shd w:val="clear" w:color="auto" w:fill="auto"/>
            <w:noWrap/>
            <w:vAlign w:val="center"/>
            <w:hideMark/>
          </w:tcPr>
          <w:p w14:paraId="59000E47" w14:textId="0CB8BB32"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230A769" w14:textId="52AD5E57"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4F935D61" w14:textId="54BF3777" w:rsidR="007F6A49" w:rsidRPr="00005453" w:rsidRDefault="007F6A49" w:rsidP="007F6A49">
            <w:pPr>
              <w:jc w:val="right"/>
              <w:rPr>
                <w:color w:val="000000"/>
                <w:sz w:val="16"/>
                <w:szCs w:val="16"/>
                <w:lang w:eastAsia="tr-TR"/>
              </w:rPr>
            </w:pPr>
            <w:r w:rsidRPr="00005453">
              <w:rPr>
                <w:color w:val="000000"/>
                <w:sz w:val="16"/>
                <w:szCs w:val="16"/>
                <w:lang w:eastAsia="tr-TR"/>
              </w:rPr>
              <w:t>-</w:t>
            </w:r>
          </w:p>
        </w:tc>
        <w:tc>
          <w:tcPr>
            <w:tcW w:w="1243" w:type="dxa"/>
            <w:tcBorders>
              <w:top w:val="nil"/>
              <w:left w:val="nil"/>
              <w:bottom w:val="nil"/>
              <w:right w:val="nil"/>
            </w:tcBorders>
            <w:shd w:val="clear" w:color="auto" w:fill="auto"/>
            <w:noWrap/>
            <w:vAlign w:val="center"/>
            <w:hideMark/>
          </w:tcPr>
          <w:p w14:paraId="6372445A" w14:textId="4475E8FC" w:rsidR="007F6A49" w:rsidRPr="00005453" w:rsidRDefault="007F6A49" w:rsidP="007F6A49">
            <w:pPr>
              <w:jc w:val="right"/>
              <w:rPr>
                <w:color w:val="000000"/>
                <w:sz w:val="16"/>
                <w:szCs w:val="16"/>
                <w:lang w:eastAsia="tr-TR"/>
              </w:rPr>
            </w:pPr>
            <w:r w:rsidRPr="00005453">
              <w:rPr>
                <w:color w:val="000000"/>
                <w:sz w:val="16"/>
                <w:szCs w:val="16"/>
                <w:lang w:eastAsia="tr-TR"/>
              </w:rPr>
              <w:t>47,985,688</w:t>
            </w:r>
          </w:p>
        </w:tc>
        <w:tc>
          <w:tcPr>
            <w:tcW w:w="1134" w:type="dxa"/>
            <w:tcBorders>
              <w:top w:val="nil"/>
              <w:left w:val="nil"/>
              <w:bottom w:val="nil"/>
              <w:right w:val="nil"/>
            </w:tcBorders>
            <w:shd w:val="clear" w:color="auto" w:fill="auto"/>
            <w:noWrap/>
            <w:vAlign w:val="center"/>
            <w:hideMark/>
          </w:tcPr>
          <w:p w14:paraId="31B52309" w14:textId="62FE6BC6" w:rsidR="007F6A49" w:rsidRPr="00005453" w:rsidRDefault="007F6A49" w:rsidP="007F6A49">
            <w:pPr>
              <w:jc w:val="right"/>
              <w:rPr>
                <w:color w:val="000000"/>
                <w:sz w:val="16"/>
                <w:szCs w:val="16"/>
                <w:lang w:eastAsia="tr-TR"/>
              </w:rPr>
            </w:pPr>
            <w:r w:rsidRPr="00005453">
              <w:rPr>
                <w:color w:val="000000"/>
                <w:sz w:val="16"/>
                <w:szCs w:val="16"/>
                <w:lang w:eastAsia="tr-TR"/>
              </w:rPr>
              <w:t>47,985,688</w:t>
            </w:r>
          </w:p>
        </w:tc>
      </w:tr>
      <w:tr w:rsidR="00DF7D3E" w:rsidRPr="00005453" w14:paraId="34422FA0" w14:textId="77777777" w:rsidTr="00E13ED4">
        <w:trPr>
          <w:divId w:val="100417652"/>
          <w:trHeight w:val="57"/>
        </w:trPr>
        <w:tc>
          <w:tcPr>
            <w:tcW w:w="4159" w:type="dxa"/>
            <w:tcBorders>
              <w:top w:val="nil"/>
              <w:left w:val="nil"/>
              <w:bottom w:val="nil"/>
              <w:right w:val="nil"/>
            </w:tcBorders>
            <w:shd w:val="clear" w:color="auto" w:fill="auto"/>
            <w:noWrap/>
            <w:vAlign w:val="bottom"/>
            <w:hideMark/>
          </w:tcPr>
          <w:p w14:paraId="6AE939AF" w14:textId="77777777" w:rsidR="00DF7D3E" w:rsidRPr="00005453" w:rsidRDefault="00DF7D3E" w:rsidP="00DF7D3E">
            <w:pPr>
              <w:jc w:val="right"/>
              <w:rPr>
                <w:color w:val="000000"/>
                <w:sz w:val="6"/>
                <w:szCs w:val="6"/>
                <w:lang w:eastAsia="tr-TR"/>
              </w:rPr>
            </w:pPr>
          </w:p>
        </w:tc>
        <w:tc>
          <w:tcPr>
            <w:tcW w:w="1129" w:type="dxa"/>
            <w:tcBorders>
              <w:top w:val="nil"/>
              <w:left w:val="nil"/>
              <w:bottom w:val="nil"/>
              <w:right w:val="nil"/>
            </w:tcBorders>
            <w:shd w:val="clear" w:color="auto" w:fill="auto"/>
            <w:noWrap/>
            <w:vAlign w:val="bottom"/>
            <w:hideMark/>
          </w:tcPr>
          <w:p w14:paraId="1056EA95" w14:textId="77777777" w:rsidR="00DF7D3E" w:rsidRPr="00005453" w:rsidRDefault="00DF7D3E" w:rsidP="00DF7D3E">
            <w:pPr>
              <w:rPr>
                <w:sz w:val="6"/>
                <w:szCs w:val="6"/>
                <w:lang w:eastAsia="tr-TR"/>
              </w:rPr>
            </w:pPr>
          </w:p>
        </w:tc>
        <w:tc>
          <w:tcPr>
            <w:tcW w:w="1129" w:type="dxa"/>
            <w:tcBorders>
              <w:top w:val="nil"/>
              <w:left w:val="nil"/>
              <w:bottom w:val="nil"/>
              <w:right w:val="nil"/>
            </w:tcBorders>
            <w:shd w:val="clear" w:color="auto" w:fill="auto"/>
            <w:vAlign w:val="bottom"/>
            <w:hideMark/>
          </w:tcPr>
          <w:p w14:paraId="71722147" w14:textId="77777777" w:rsidR="00DF7D3E" w:rsidRPr="00005453" w:rsidRDefault="00DF7D3E" w:rsidP="00DF7D3E">
            <w:pPr>
              <w:rPr>
                <w:sz w:val="6"/>
                <w:szCs w:val="6"/>
                <w:lang w:eastAsia="tr-TR"/>
              </w:rPr>
            </w:pPr>
          </w:p>
        </w:tc>
        <w:tc>
          <w:tcPr>
            <w:tcW w:w="1129" w:type="dxa"/>
            <w:tcBorders>
              <w:top w:val="nil"/>
              <w:left w:val="nil"/>
              <w:bottom w:val="nil"/>
              <w:right w:val="nil"/>
            </w:tcBorders>
            <w:shd w:val="clear" w:color="auto" w:fill="auto"/>
            <w:noWrap/>
            <w:vAlign w:val="bottom"/>
            <w:hideMark/>
          </w:tcPr>
          <w:p w14:paraId="4273A81D" w14:textId="77777777" w:rsidR="00DF7D3E" w:rsidRPr="00005453" w:rsidRDefault="00DF7D3E" w:rsidP="00DF7D3E">
            <w:pPr>
              <w:rPr>
                <w:sz w:val="6"/>
                <w:szCs w:val="6"/>
                <w:lang w:eastAsia="tr-TR"/>
              </w:rPr>
            </w:pPr>
          </w:p>
        </w:tc>
        <w:tc>
          <w:tcPr>
            <w:tcW w:w="1243" w:type="dxa"/>
            <w:tcBorders>
              <w:top w:val="nil"/>
              <w:left w:val="nil"/>
              <w:bottom w:val="nil"/>
              <w:right w:val="nil"/>
            </w:tcBorders>
            <w:shd w:val="clear" w:color="auto" w:fill="auto"/>
            <w:vAlign w:val="bottom"/>
            <w:hideMark/>
          </w:tcPr>
          <w:p w14:paraId="6A053C2C" w14:textId="77777777" w:rsidR="00DF7D3E" w:rsidRPr="00005453" w:rsidRDefault="00DF7D3E" w:rsidP="00DF7D3E">
            <w:pPr>
              <w:rPr>
                <w:sz w:val="6"/>
                <w:szCs w:val="6"/>
                <w:lang w:eastAsia="tr-TR"/>
              </w:rPr>
            </w:pPr>
          </w:p>
        </w:tc>
        <w:tc>
          <w:tcPr>
            <w:tcW w:w="1134" w:type="dxa"/>
            <w:tcBorders>
              <w:top w:val="nil"/>
              <w:left w:val="nil"/>
              <w:bottom w:val="nil"/>
              <w:right w:val="nil"/>
            </w:tcBorders>
            <w:shd w:val="clear" w:color="auto" w:fill="auto"/>
            <w:vAlign w:val="bottom"/>
            <w:hideMark/>
          </w:tcPr>
          <w:p w14:paraId="65E24371" w14:textId="77777777" w:rsidR="00DF7D3E" w:rsidRPr="00005453" w:rsidRDefault="00DF7D3E" w:rsidP="00DF7D3E">
            <w:pPr>
              <w:rPr>
                <w:sz w:val="6"/>
                <w:szCs w:val="6"/>
                <w:lang w:eastAsia="tr-TR"/>
              </w:rPr>
            </w:pPr>
          </w:p>
        </w:tc>
      </w:tr>
      <w:tr w:rsidR="007F6A49" w:rsidRPr="00005453" w14:paraId="141000F7" w14:textId="77777777" w:rsidTr="00E13ED4">
        <w:trPr>
          <w:divId w:val="100417652"/>
          <w:trHeight w:val="181"/>
        </w:trPr>
        <w:tc>
          <w:tcPr>
            <w:tcW w:w="4159" w:type="dxa"/>
            <w:tcBorders>
              <w:top w:val="single" w:sz="8" w:space="0" w:color="auto"/>
              <w:left w:val="nil"/>
              <w:bottom w:val="double" w:sz="6" w:space="0" w:color="auto"/>
              <w:right w:val="nil"/>
            </w:tcBorders>
            <w:shd w:val="clear" w:color="auto" w:fill="auto"/>
            <w:noWrap/>
            <w:vAlign w:val="center"/>
            <w:hideMark/>
          </w:tcPr>
          <w:p w14:paraId="6A29E457" w14:textId="77777777" w:rsidR="007F6A49" w:rsidRPr="00005453" w:rsidRDefault="007F6A49" w:rsidP="007F6A49">
            <w:pPr>
              <w:rPr>
                <w:b/>
                <w:bCs/>
                <w:color w:val="000000"/>
                <w:sz w:val="16"/>
                <w:szCs w:val="16"/>
                <w:lang w:eastAsia="tr-TR"/>
              </w:rPr>
            </w:pPr>
            <w:r w:rsidRPr="00005453">
              <w:rPr>
                <w:b/>
                <w:bCs/>
                <w:color w:val="000000"/>
                <w:sz w:val="16"/>
                <w:szCs w:val="16"/>
                <w:lang w:eastAsia="tr-TR"/>
              </w:rPr>
              <w:t>Toplam yükümlülükler</w:t>
            </w:r>
          </w:p>
        </w:tc>
        <w:tc>
          <w:tcPr>
            <w:tcW w:w="1129" w:type="dxa"/>
            <w:tcBorders>
              <w:top w:val="single" w:sz="8" w:space="0" w:color="auto"/>
              <w:left w:val="nil"/>
              <w:bottom w:val="double" w:sz="6" w:space="0" w:color="auto"/>
              <w:right w:val="nil"/>
            </w:tcBorders>
            <w:shd w:val="clear" w:color="auto" w:fill="auto"/>
            <w:noWrap/>
            <w:vAlign w:val="center"/>
            <w:hideMark/>
          </w:tcPr>
          <w:p w14:paraId="6429C7ED" w14:textId="1FCB9DA5" w:rsidR="007F6A49" w:rsidRPr="00005453" w:rsidRDefault="007F6A49" w:rsidP="007F6A49">
            <w:pPr>
              <w:jc w:val="right"/>
              <w:rPr>
                <w:b/>
                <w:bCs/>
                <w:color w:val="000000"/>
                <w:sz w:val="16"/>
                <w:szCs w:val="16"/>
                <w:lang w:eastAsia="tr-TR"/>
              </w:rPr>
            </w:pPr>
            <w:r w:rsidRPr="00005453">
              <w:rPr>
                <w:b/>
                <w:color w:val="000000"/>
                <w:sz w:val="16"/>
                <w:szCs w:val="16"/>
                <w:lang w:eastAsia="tr-TR"/>
              </w:rPr>
              <w:t>385,565,367</w:t>
            </w:r>
          </w:p>
        </w:tc>
        <w:tc>
          <w:tcPr>
            <w:tcW w:w="1129" w:type="dxa"/>
            <w:tcBorders>
              <w:top w:val="single" w:sz="8" w:space="0" w:color="auto"/>
              <w:left w:val="nil"/>
              <w:bottom w:val="double" w:sz="6" w:space="0" w:color="auto"/>
              <w:right w:val="nil"/>
            </w:tcBorders>
            <w:shd w:val="clear" w:color="auto" w:fill="auto"/>
            <w:noWrap/>
            <w:vAlign w:val="center"/>
            <w:hideMark/>
          </w:tcPr>
          <w:p w14:paraId="31E7C5A3" w14:textId="755C9980" w:rsidR="007F6A49" w:rsidRPr="00005453" w:rsidRDefault="007F6A49" w:rsidP="007F6A49">
            <w:pPr>
              <w:jc w:val="right"/>
              <w:rPr>
                <w:b/>
                <w:bCs/>
                <w:color w:val="000000"/>
                <w:sz w:val="16"/>
                <w:szCs w:val="16"/>
                <w:lang w:eastAsia="tr-TR"/>
              </w:rPr>
            </w:pPr>
            <w:r w:rsidRPr="00005453">
              <w:rPr>
                <w:b/>
                <w:color w:val="000000"/>
                <w:sz w:val="16"/>
                <w:szCs w:val="16"/>
                <w:lang w:eastAsia="tr-TR"/>
              </w:rPr>
              <w:t>121,945,506</w:t>
            </w:r>
          </w:p>
        </w:tc>
        <w:tc>
          <w:tcPr>
            <w:tcW w:w="1129" w:type="dxa"/>
            <w:tcBorders>
              <w:top w:val="single" w:sz="8" w:space="0" w:color="auto"/>
              <w:left w:val="nil"/>
              <w:bottom w:val="double" w:sz="6" w:space="0" w:color="auto"/>
              <w:right w:val="nil"/>
            </w:tcBorders>
            <w:shd w:val="clear" w:color="auto" w:fill="auto"/>
            <w:noWrap/>
            <w:vAlign w:val="center"/>
            <w:hideMark/>
          </w:tcPr>
          <w:p w14:paraId="2395BF54" w14:textId="6786546D" w:rsidR="007F6A49" w:rsidRPr="00005453" w:rsidRDefault="007F6A49" w:rsidP="007F6A49">
            <w:pPr>
              <w:jc w:val="right"/>
              <w:rPr>
                <w:b/>
                <w:bCs/>
                <w:color w:val="000000"/>
                <w:sz w:val="16"/>
                <w:szCs w:val="16"/>
                <w:lang w:eastAsia="tr-TR"/>
              </w:rPr>
            </w:pPr>
            <w:r w:rsidRPr="00005453">
              <w:rPr>
                <w:b/>
                <w:color w:val="000000"/>
                <w:sz w:val="16"/>
                <w:szCs w:val="16"/>
                <w:lang w:eastAsia="tr-TR"/>
              </w:rPr>
              <w:t>97,043,082</w:t>
            </w:r>
          </w:p>
        </w:tc>
        <w:tc>
          <w:tcPr>
            <w:tcW w:w="1243" w:type="dxa"/>
            <w:tcBorders>
              <w:top w:val="single" w:sz="8" w:space="0" w:color="auto"/>
              <w:left w:val="nil"/>
              <w:bottom w:val="double" w:sz="6" w:space="0" w:color="auto"/>
              <w:right w:val="nil"/>
            </w:tcBorders>
            <w:shd w:val="clear" w:color="auto" w:fill="auto"/>
            <w:noWrap/>
            <w:vAlign w:val="center"/>
            <w:hideMark/>
          </w:tcPr>
          <w:p w14:paraId="42D9CD6F" w14:textId="6EB12D5E" w:rsidR="007F6A49" w:rsidRPr="00005453" w:rsidRDefault="007F6A49" w:rsidP="007F6A49">
            <w:pPr>
              <w:jc w:val="right"/>
              <w:rPr>
                <w:b/>
                <w:bCs/>
                <w:color w:val="000000"/>
                <w:sz w:val="16"/>
                <w:szCs w:val="16"/>
                <w:lang w:eastAsia="tr-TR"/>
              </w:rPr>
            </w:pPr>
            <w:r w:rsidRPr="00005453">
              <w:rPr>
                <w:b/>
                <w:color w:val="000000"/>
                <w:sz w:val="16"/>
                <w:szCs w:val="16"/>
                <w:lang w:eastAsia="tr-TR"/>
              </w:rPr>
              <w:t>63,614,260</w:t>
            </w:r>
          </w:p>
        </w:tc>
        <w:tc>
          <w:tcPr>
            <w:tcW w:w="1134" w:type="dxa"/>
            <w:tcBorders>
              <w:top w:val="single" w:sz="8" w:space="0" w:color="auto"/>
              <w:left w:val="nil"/>
              <w:bottom w:val="double" w:sz="6" w:space="0" w:color="auto"/>
              <w:right w:val="nil"/>
            </w:tcBorders>
            <w:shd w:val="clear" w:color="auto" w:fill="auto"/>
            <w:noWrap/>
            <w:vAlign w:val="center"/>
            <w:hideMark/>
          </w:tcPr>
          <w:p w14:paraId="38AB05F3" w14:textId="426B2E60" w:rsidR="007F6A49" w:rsidRPr="00005453" w:rsidRDefault="007F6A49" w:rsidP="007F6A49">
            <w:pPr>
              <w:jc w:val="right"/>
              <w:rPr>
                <w:b/>
                <w:bCs/>
                <w:color w:val="000000"/>
                <w:sz w:val="16"/>
                <w:szCs w:val="16"/>
                <w:lang w:eastAsia="tr-TR"/>
              </w:rPr>
            </w:pPr>
            <w:r w:rsidRPr="00005453">
              <w:rPr>
                <w:b/>
                <w:color w:val="000000"/>
                <w:sz w:val="16"/>
                <w:szCs w:val="16"/>
                <w:lang w:eastAsia="tr-TR"/>
              </w:rPr>
              <w:t>668,168,215</w:t>
            </w:r>
          </w:p>
        </w:tc>
      </w:tr>
      <w:bookmarkEnd w:id="71"/>
    </w:tbl>
    <w:p w14:paraId="54BE7576" w14:textId="1B33AE08" w:rsidR="00AD7B41" w:rsidRPr="00005453" w:rsidRDefault="00AD7B41" w:rsidP="00134A72">
      <w:pPr>
        <w:autoSpaceDE w:val="0"/>
        <w:autoSpaceDN w:val="0"/>
        <w:adjustRightInd w:val="0"/>
        <w:rPr>
          <w:rFonts w:eastAsia="Arial Unicode MS"/>
          <w:sz w:val="16"/>
          <w:szCs w:val="16"/>
        </w:rPr>
        <w:sectPr w:rsidR="00AD7B41" w:rsidRPr="00005453" w:rsidSect="00557BAB">
          <w:pgSz w:w="11906" w:h="16838"/>
          <w:pgMar w:top="737" w:right="992" w:bottom="992" w:left="1440" w:header="709" w:footer="709" w:gutter="0"/>
          <w:cols w:space="708"/>
          <w:docGrid w:linePitch="360"/>
        </w:sectPr>
      </w:pPr>
    </w:p>
    <w:p w14:paraId="29AD0AAF" w14:textId="77777777" w:rsidR="00475153" w:rsidRPr="00005453" w:rsidRDefault="00475153" w:rsidP="00CC1FB5">
      <w:pPr>
        <w:pStyle w:val="Heading8"/>
        <w:tabs>
          <w:tab w:val="clear" w:pos="-54"/>
        </w:tabs>
        <w:autoSpaceDE/>
        <w:autoSpaceDN/>
        <w:adjustRightInd/>
        <w:spacing w:line="233" w:lineRule="auto"/>
        <w:ind w:right="48"/>
        <w:jc w:val="center"/>
        <w:rPr>
          <w:noProof/>
          <w:sz w:val="22"/>
          <w:szCs w:val="22"/>
        </w:rPr>
      </w:pPr>
      <w:r w:rsidRPr="00005453">
        <w:rPr>
          <w:sz w:val="22"/>
          <w:szCs w:val="22"/>
        </w:rPr>
        <w:lastRenderedPageBreak/>
        <w:t>BEŞİNCİ BÖLÜM</w:t>
      </w:r>
    </w:p>
    <w:p w14:paraId="6E7F94BE" w14:textId="77777777" w:rsidR="00475153" w:rsidRPr="00005453"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005453" w:rsidRDefault="00475153" w:rsidP="00CC1FB5">
      <w:pPr>
        <w:autoSpaceDE w:val="0"/>
        <w:autoSpaceDN w:val="0"/>
        <w:adjustRightInd w:val="0"/>
        <w:spacing w:line="233" w:lineRule="auto"/>
        <w:ind w:right="-426"/>
        <w:rPr>
          <w:rFonts w:eastAsia="Arial Unicode MS"/>
          <w:b/>
          <w:sz w:val="16"/>
          <w:szCs w:val="16"/>
        </w:rPr>
      </w:pPr>
      <w:r w:rsidRPr="00005453">
        <w:rPr>
          <w:rFonts w:eastAsia="Arial Unicode MS"/>
          <w:b/>
          <w:sz w:val="22"/>
        </w:rPr>
        <w:t>KONSOLİDE OLMAYAN FİNANSAL TABLOLARA İLİŞKİN AÇIKLAMA VE DİPNOTLAR</w:t>
      </w:r>
      <w:r w:rsidR="00980ACE" w:rsidRPr="00005453">
        <w:rPr>
          <w:rFonts w:eastAsia="Arial Unicode MS"/>
          <w:b/>
          <w:sz w:val="22"/>
        </w:rPr>
        <w:br/>
      </w:r>
    </w:p>
    <w:p w14:paraId="7D32E6EB" w14:textId="77777777" w:rsidR="00CD4936" w:rsidRPr="00005453" w:rsidRDefault="00CD4936" w:rsidP="00B70F90">
      <w:pPr>
        <w:autoSpaceDE w:val="0"/>
        <w:autoSpaceDN w:val="0"/>
        <w:adjustRightInd w:val="0"/>
        <w:spacing w:line="233" w:lineRule="auto"/>
        <w:jc w:val="center"/>
        <w:rPr>
          <w:rFonts w:eastAsia="Arial Unicode MS"/>
          <w:b/>
          <w:sz w:val="2"/>
        </w:rPr>
      </w:pPr>
    </w:p>
    <w:p w14:paraId="24D1BE02" w14:textId="786A8F7B" w:rsidR="00CD4936" w:rsidRPr="00005453" w:rsidRDefault="00547C68" w:rsidP="00DE0848">
      <w:pPr>
        <w:tabs>
          <w:tab w:val="left" w:pos="709"/>
        </w:tabs>
        <w:autoSpaceDE w:val="0"/>
        <w:autoSpaceDN w:val="0"/>
        <w:adjustRightInd w:val="0"/>
        <w:ind w:hanging="567"/>
        <w:jc w:val="both"/>
        <w:rPr>
          <w:b/>
          <w:sz w:val="22"/>
        </w:rPr>
      </w:pPr>
      <w:r w:rsidRPr="00005453">
        <w:rPr>
          <w:b/>
          <w:sz w:val="22"/>
        </w:rPr>
        <w:t xml:space="preserve">1.     </w:t>
      </w:r>
      <w:r w:rsidR="00DE0848" w:rsidRPr="00005453">
        <w:rPr>
          <w:b/>
          <w:sz w:val="22"/>
        </w:rPr>
        <w:t xml:space="preserve">   </w:t>
      </w:r>
      <w:r w:rsidR="00CD4936" w:rsidRPr="00005453">
        <w:rPr>
          <w:b/>
          <w:sz w:val="22"/>
        </w:rPr>
        <w:t xml:space="preserve">Bilançonun </w:t>
      </w:r>
      <w:proofErr w:type="gramStart"/>
      <w:r w:rsidR="00A6645B" w:rsidRPr="00005453">
        <w:rPr>
          <w:b/>
          <w:sz w:val="22"/>
        </w:rPr>
        <w:t>aktif  hesaplarına</w:t>
      </w:r>
      <w:proofErr w:type="gramEnd"/>
      <w:r w:rsidR="00A6645B" w:rsidRPr="00005453">
        <w:rPr>
          <w:b/>
          <w:sz w:val="22"/>
        </w:rPr>
        <w:t xml:space="preserve"> ilişkin açıklama ve dipnotlar </w:t>
      </w:r>
    </w:p>
    <w:p w14:paraId="1D73174A" w14:textId="77777777" w:rsidR="005A1EDE" w:rsidRPr="00005453" w:rsidRDefault="005A1EDE" w:rsidP="00134A72">
      <w:pPr>
        <w:autoSpaceDE w:val="0"/>
        <w:autoSpaceDN w:val="0"/>
        <w:adjustRightInd w:val="0"/>
        <w:ind w:left="540" w:hanging="540"/>
        <w:rPr>
          <w:rFonts w:eastAsia="Arial Unicode MS"/>
          <w:b/>
          <w:sz w:val="16"/>
          <w:szCs w:val="16"/>
        </w:rPr>
      </w:pPr>
    </w:p>
    <w:p w14:paraId="63512D13" w14:textId="6F4433C0" w:rsidR="00E17841" w:rsidRPr="00005453" w:rsidRDefault="00547C68" w:rsidP="00DE0848">
      <w:pPr>
        <w:pStyle w:val="BodyTextIndent"/>
        <w:tabs>
          <w:tab w:val="num" w:pos="709"/>
        </w:tabs>
        <w:autoSpaceDE/>
        <w:autoSpaceDN/>
        <w:adjustRightInd/>
        <w:ind w:left="0" w:hanging="567"/>
        <w:jc w:val="left"/>
        <w:rPr>
          <w:b/>
        </w:rPr>
      </w:pPr>
      <w:r w:rsidRPr="00005453">
        <w:rPr>
          <w:b/>
        </w:rPr>
        <w:t xml:space="preserve">1.1    </w:t>
      </w:r>
      <w:r w:rsidR="00DF5E22" w:rsidRPr="00005453">
        <w:rPr>
          <w:b/>
        </w:rPr>
        <w:t xml:space="preserve">   </w:t>
      </w:r>
      <w:r w:rsidR="00E253C8" w:rsidRPr="00005453">
        <w:rPr>
          <w:b/>
        </w:rPr>
        <w:t>Nakit değerler ve TCMB’ye ilişkin bilgiler</w:t>
      </w:r>
    </w:p>
    <w:p w14:paraId="3C3B1EC6" w14:textId="77777777" w:rsidR="004B6561" w:rsidRPr="00005453" w:rsidRDefault="004B6561" w:rsidP="004B6561">
      <w:pPr>
        <w:pStyle w:val="BodyTextIndent"/>
        <w:autoSpaceDE/>
        <w:autoSpaceDN/>
        <w:adjustRightInd/>
        <w:ind w:left="-360" w:firstLine="0"/>
        <w:jc w:val="left"/>
        <w:rPr>
          <w:b/>
          <w:sz w:val="16"/>
          <w:szCs w:val="16"/>
        </w:rPr>
      </w:pPr>
    </w:p>
    <w:p w14:paraId="1A7B1B49" w14:textId="26823EA5" w:rsidR="00FE1D2A" w:rsidRPr="00005453" w:rsidRDefault="00547C68" w:rsidP="00246092">
      <w:pPr>
        <w:pStyle w:val="BodyTextIndent"/>
        <w:autoSpaceDE/>
        <w:autoSpaceDN/>
        <w:adjustRightInd/>
        <w:ind w:left="0" w:hanging="567"/>
        <w:jc w:val="left"/>
        <w:rPr>
          <w:rFonts w:eastAsia="Arial Unicode MS"/>
          <w:b/>
          <w:sz w:val="16"/>
          <w:szCs w:val="16"/>
        </w:rPr>
      </w:pPr>
      <w:r w:rsidRPr="00005453">
        <w:rPr>
          <w:b/>
        </w:rPr>
        <w:t xml:space="preserve">1.1.1 </w:t>
      </w:r>
      <w:r w:rsidR="00DF5E22" w:rsidRPr="00005453">
        <w:rPr>
          <w:b/>
        </w:rPr>
        <w:t xml:space="preserve">   </w:t>
      </w:r>
      <w:r w:rsidR="00E253C8" w:rsidRPr="00005453">
        <w:rPr>
          <w:b/>
        </w:rPr>
        <w:t>Nakit Değerler ve TCMB hesabına ilişkin bilgiler</w:t>
      </w:r>
    </w:p>
    <w:p w14:paraId="3B1365A2" w14:textId="52BC41C3" w:rsidR="0084535B" w:rsidRPr="00005453" w:rsidRDefault="0084535B" w:rsidP="00134A72">
      <w:pPr>
        <w:autoSpaceDE w:val="0"/>
        <w:autoSpaceDN w:val="0"/>
        <w:adjustRightInd w:val="0"/>
        <w:ind w:left="540" w:hanging="540"/>
        <w:rPr>
          <w:lang w:eastAsia="en-GB"/>
        </w:rPr>
      </w:pPr>
    </w:p>
    <w:tbl>
      <w:tblPr>
        <w:tblW w:w="9206" w:type="dxa"/>
        <w:tblCellMar>
          <w:left w:w="70" w:type="dxa"/>
          <w:right w:w="70" w:type="dxa"/>
        </w:tblCellMar>
        <w:tblLook w:val="04A0" w:firstRow="1" w:lastRow="0" w:firstColumn="1" w:lastColumn="0" w:noHBand="0" w:noVBand="1"/>
      </w:tblPr>
      <w:tblGrid>
        <w:gridCol w:w="4004"/>
        <w:gridCol w:w="1300"/>
        <w:gridCol w:w="1301"/>
        <w:gridCol w:w="1300"/>
        <w:gridCol w:w="1301"/>
      </w:tblGrid>
      <w:tr w:rsidR="0084535B" w:rsidRPr="00005453" w14:paraId="74B97F54" w14:textId="77777777" w:rsidTr="00346550">
        <w:trPr>
          <w:divId w:val="2077510347"/>
          <w:trHeight w:val="176"/>
        </w:trPr>
        <w:tc>
          <w:tcPr>
            <w:tcW w:w="4004" w:type="dxa"/>
            <w:tcBorders>
              <w:top w:val="double" w:sz="6" w:space="0" w:color="auto"/>
              <w:left w:val="nil"/>
              <w:bottom w:val="nil"/>
              <w:right w:val="nil"/>
            </w:tcBorders>
            <w:shd w:val="clear" w:color="auto" w:fill="auto"/>
            <w:vAlign w:val="center"/>
            <w:hideMark/>
          </w:tcPr>
          <w:p w14:paraId="5BAF9C01" w14:textId="4E8763FB" w:rsidR="0084535B" w:rsidRPr="00005453" w:rsidRDefault="0084535B" w:rsidP="0084535B">
            <w:pPr>
              <w:jc w:val="center"/>
              <w:rPr>
                <w:sz w:val="18"/>
                <w:szCs w:val="18"/>
                <w:lang w:eastAsia="tr-TR"/>
              </w:rPr>
            </w:pPr>
            <w:r w:rsidRPr="00005453">
              <w:rPr>
                <w:sz w:val="18"/>
                <w:szCs w:val="16"/>
                <w:lang w:eastAsia="tr-TR"/>
              </w:rPr>
              <w:t> </w:t>
            </w:r>
          </w:p>
        </w:tc>
        <w:tc>
          <w:tcPr>
            <w:tcW w:w="2601" w:type="dxa"/>
            <w:gridSpan w:val="2"/>
            <w:tcBorders>
              <w:top w:val="double" w:sz="6" w:space="0" w:color="auto"/>
              <w:left w:val="nil"/>
              <w:bottom w:val="single" w:sz="8" w:space="0" w:color="auto"/>
              <w:right w:val="nil"/>
            </w:tcBorders>
            <w:shd w:val="clear" w:color="auto" w:fill="auto"/>
            <w:vAlign w:val="center"/>
            <w:hideMark/>
          </w:tcPr>
          <w:p w14:paraId="7B00BA36" w14:textId="77777777" w:rsidR="0084535B" w:rsidRPr="00005453" w:rsidRDefault="0084535B" w:rsidP="0084535B">
            <w:pPr>
              <w:jc w:val="right"/>
              <w:rPr>
                <w:b/>
                <w:bCs/>
                <w:sz w:val="18"/>
                <w:szCs w:val="16"/>
                <w:lang w:eastAsia="tr-TR"/>
              </w:rPr>
            </w:pPr>
            <w:r w:rsidRPr="00005453">
              <w:rPr>
                <w:b/>
                <w:bCs/>
                <w:sz w:val="18"/>
                <w:szCs w:val="16"/>
                <w:lang w:eastAsia="tr-TR"/>
              </w:rPr>
              <w:t>Cari Dönem</w:t>
            </w:r>
          </w:p>
        </w:tc>
        <w:tc>
          <w:tcPr>
            <w:tcW w:w="2601" w:type="dxa"/>
            <w:gridSpan w:val="2"/>
            <w:tcBorders>
              <w:top w:val="double" w:sz="6" w:space="0" w:color="auto"/>
              <w:left w:val="nil"/>
              <w:bottom w:val="single" w:sz="8" w:space="0" w:color="auto"/>
              <w:right w:val="nil"/>
            </w:tcBorders>
            <w:shd w:val="clear" w:color="auto" w:fill="auto"/>
            <w:vAlign w:val="center"/>
            <w:hideMark/>
          </w:tcPr>
          <w:p w14:paraId="65F4A060" w14:textId="77777777" w:rsidR="0084535B" w:rsidRPr="00005453" w:rsidRDefault="0084535B" w:rsidP="0084535B">
            <w:pPr>
              <w:jc w:val="right"/>
              <w:rPr>
                <w:b/>
                <w:bCs/>
                <w:sz w:val="18"/>
                <w:szCs w:val="16"/>
                <w:lang w:eastAsia="tr-TR"/>
              </w:rPr>
            </w:pPr>
            <w:r w:rsidRPr="00005453">
              <w:rPr>
                <w:b/>
                <w:bCs/>
                <w:sz w:val="18"/>
                <w:szCs w:val="16"/>
                <w:lang w:eastAsia="tr-TR"/>
              </w:rPr>
              <w:t>Önceki Dönem</w:t>
            </w:r>
          </w:p>
        </w:tc>
      </w:tr>
      <w:tr w:rsidR="0084535B" w:rsidRPr="00005453" w14:paraId="4BC78D7A" w14:textId="77777777" w:rsidTr="00346550">
        <w:trPr>
          <w:divId w:val="2077510347"/>
          <w:trHeight w:val="165"/>
        </w:trPr>
        <w:tc>
          <w:tcPr>
            <w:tcW w:w="4004" w:type="dxa"/>
            <w:tcBorders>
              <w:top w:val="nil"/>
              <w:left w:val="nil"/>
              <w:bottom w:val="single" w:sz="8" w:space="0" w:color="auto"/>
              <w:right w:val="nil"/>
            </w:tcBorders>
            <w:shd w:val="clear" w:color="auto" w:fill="auto"/>
            <w:vAlign w:val="center"/>
            <w:hideMark/>
          </w:tcPr>
          <w:p w14:paraId="0B56AE68" w14:textId="77777777" w:rsidR="0084535B" w:rsidRPr="00005453" w:rsidRDefault="0084535B" w:rsidP="0084535B">
            <w:pPr>
              <w:jc w:val="center"/>
              <w:rPr>
                <w:sz w:val="18"/>
                <w:szCs w:val="18"/>
                <w:lang w:eastAsia="tr-TR"/>
              </w:rPr>
            </w:pPr>
            <w:r w:rsidRPr="00005453">
              <w:rPr>
                <w:sz w:val="18"/>
                <w:szCs w:val="16"/>
                <w:lang w:eastAsia="tr-TR"/>
              </w:rPr>
              <w:t> </w:t>
            </w:r>
          </w:p>
        </w:tc>
        <w:tc>
          <w:tcPr>
            <w:tcW w:w="1300" w:type="dxa"/>
            <w:tcBorders>
              <w:top w:val="nil"/>
              <w:left w:val="nil"/>
              <w:bottom w:val="single" w:sz="8" w:space="0" w:color="auto"/>
              <w:right w:val="nil"/>
            </w:tcBorders>
            <w:shd w:val="clear" w:color="auto" w:fill="auto"/>
            <w:vAlign w:val="center"/>
            <w:hideMark/>
          </w:tcPr>
          <w:p w14:paraId="176D8D0C" w14:textId="77777777" w:rsidR="0084535B" w:rsidRPr="00005453" w:rsidRDefault="0084535B" w:rsidP="0084535B">
            <w:pPr>
              <w:jc w:val="right"/>
              <w:rPr>
                <w:b/>
                <w:bCs/>
                <w:sz w:val="18"/>
                <w:szCs w:val="16"/>
                <w:lang w:eastAsia="tr-TR"/>
              </w:rPr>
            </w:pPr>
            <w:r w:rsidRPr="00005453">
              <w:rPr>
                <w:b/>
                <w:bCs/>
                <w:sz w:val="18"/>
                <w:szCs w:val="16"/>
                <w:lang w:eastAsia="tr-TR"/>
              </w:rPr>
              <w:t>TP</w:t>
            </w:r>
          </w:p>
        </w:tc>
        <w:tc>
          <w:tcPr>
            <w:tcW w:w="1301" w:type="dxa"/>
            <w:tcBorders>
              <w:top w:val="nil"/>
              <w:left w:val="nil"/>
              <w:bottom w:val="single" w:sz="8" w:space="0" w:color="auto"/>
              <w:right w:val="nil"/>
            </w:tcBorders>
            <w:shd w:val="clear" w:color="auto" w:fill="auto"/>
            <w:vAlign w:val="center"/>
            <w:hideMark/>
          </w:tcPr>
          <w:p w14:paraId="60C8C0DA" w14:textId="77777777" w:rsidR="0084535B" w:rsidRPr="00005453" w:rsidRDefault="0084535B" w:rsidP="0084535B">
            <w:pPr>
              <w:jc w:val="right"/>
              <w:rPr>
                <w:b/>
                <w:bCs/>
                <w:sz w:val="18"/>
                <w:szCs w:val="16"/>
                <w:lang w:eastAsia="tr-TR"/>
              </w:rPr>
            </w:pPr>
            <w:r w:rsidRPr="00005453">
              <w:rPr>
                <w:b/>
                <w:bCs/>
                <w:sz w:val="18"/>
                <w:szCs w:val="16"/>
                <w:lang w:eastAsia="tr-TR"/>
              </w:rPr>
              <w:t>YP</w:t>
            </w:r>
          </w:p>
        </w:tc>
        <w:tc>
          <w:tcPr>
            <w:tcW w:w="1300" w:type="dxa"/>
            <w:tcBorders>
              <w:top w:val="nil"/>
              <w:left w:val="nil"/>
              <w:bottom w:val="single" w:sz="8" w:space="0" w:color="auto"/>
              <w:right w:val="nil"/>
            </w:tcBorders>
            <w:shd w:val="clear" w:color="auto" w:fill="auto"/>
            <w:vAlign w:val="center"/>
            <w:hideMark/>
          </w:tcPr>
          <w:p w14:paraId="109B4D94" w14:textId="77777777" w:rsidR="0084535B" w:rsidRPr="00005453" w:rsidRDefault="0084535B" w:rsidP="0084535B">
            <w:pPr>
              <w:jc w:val="right"/>
              <w:rPr>
                <w:b/>
                <w:bCs/>
                <w:sz w:val="18"/>
                <w:szCs w:val="16"/>
                <w:lang w:eastAsia="tr-TR"/>
              </w:rPr>
            </w:pPr>
            <w:r w:rsidRPr="00005453">
              <w:rPr>
                <w:b/>
                <w:bCs/>
                <w:sz w:val="18"/>
                <w:szCs w:val="16"/>
                <w:lang w:eastAsia="tr-TR"/>
              </w:rPr>
              <w:t>TP</w:t>
            </w:r>
          </w:p>
        </w:tc>
        <w:tc>
          <w:tcPr>
            <w:tcW w:w="1301" w:type="dxa"/>
            <w:tcBorders>
              <w:top w:val="nil"/>
              <w:left w:val="nil"/>
              <w:bottom w:val="single" w:sz="8" w:space="0" w:color="auto"/>
              <w:right w:val="nil"/>
            </w:tcBorders>
            <w:shd w:val="clear" w:color="auto" w:fill="auto"/>
            <w:vAlign w:val="center"/>
            <w:hideMark/>
          </w:tcPr>
          <w:p w14:paraId="30FBED33" w14:textId="77777777" w:rsidR="0084535B" w:rsidRPr="00005453" w:rsidRDefault="0084535B" w:rsidP="0084535B">
            <w:pPr>
              <w:jc w:val="right"/>
              <w:rPr>
                <w:b/>
                <w:bCs/>
                <w:sz w:val="18"/>
                <w:szCs w:val="16"/>
                <w:lang w:eastAsia="tr-TR"/>
              </w:rPr>
            </w:pPr>
            <w:r w:rsidRPr="00005453">
              <w:rPr>
                <w:b/>
                <w:bCs/>
                <w:sz w:val="18"/>
                <w:szCs w:val="16"/>
                <w:lang w:eastAsia="tr-TR"/>
              </w:rPr>
              <w:t>YP</w:t>
            </w:r>
          </w:p>
        </w:tc>
      </w:tr>
      <w:tr w:rsidR="004003B4" w:rsidRPr="00005453" w14:paraId="52701C09" w14:textId="77777777" w:rsidTr="004003B4">
        <w:trPr>
          <w:divId w:val="2077510347"/>
          <w:trHeight w:val="154"/>
        </w:trPr>
        <w:tc>
          <w:tcPr>
            <w:tcW w:w="4004" w:type="dxa"/>
            <w:tcBorders>
              <w:top w:val="nil"/>
              <w:left w:val="nil"/>
              <w:bottom w:val="nil"/>
              <w:right w:val="nil"/>
            </w:tcBorders>
            <w:shd w:val="clear" w:color="auto" w:fill="auto"/>
            <w:vAlign w:val="center"/>
            <w:hideMark/>
          </w:tcPr>
          <w:p w14:paraId="418B53E4" w14:textId="77777777" w:rsidR="004003B4" w:rsidRPr="00005453" w:rsidRDefault="004003B4" w:rsidP="004003B4">
            <w:pPr>
              <w:rPr>
                <w:sz w:val="18"/>
                <w:szCs w:val="16"/>
                <w:lang w:eastAsia="tr-TR"/>
              </w:rPr>
            </w:pPr>
            <w:r w:rsidRPr="00005453">
              <w:rPr>
                <w:sz w:val="18"/>
                <w:szCs w:val="16"/>
                <w:lang w:eastAsia="tr-TR"/>
              </w:rPr>
              <w:t>Kasa/Efektif</w:t>
            </w:r>
          </w:p>
        </w:tc>
        <w:tc>
          <w:tcPr>
            <w:tcW w:w="1300" w:type="dxa"/>
            <w:tcBorders>
              <w:top w:val="nil"/>
              <w:left w:val="nil"/>
              <w:bottom w:val="nil"/>
              <w:right w:val="nil"/>
            </w:tcBorders>
            <w:shd w:val="clear" w:color="auto" w:fill="auto"/>
            <w:vAlign w:val="center"/>
            <w:hideMark/>
          </w:tcPr>
          <w:p w14:paraId="191E321D" w14:textId="729BCF5B" w:rsidR="004003B4" w:rsidRPr="00005453" w:rsidRDefault="004003B4" w:rsidP="004003B4">
            <w:pPr>
              <w:jc w:val="right"/>
              <w:rPr>
                <w:sz w:val="18"/>
                <w:szCs w:val="16"/>
                <w:lang w:eastAsia="tr-TR"/>
              </w:rPr>
            </w:pPr>
            <w:r w:rsidRPr="00005453">
              <w:rPr>
                <w:color w:val="000000"/>
                <w:sz w:val="18"/>
                <w:szCs w:val="18"/>
              </w:rPr>
              <w:t>3,622,738</w:t>
            </w:r>
          </w:p>
        </w:tc>
        <w:tc>
          <w:tcPr>
            <w:tcW w:w="1301" w:type="dxa"/>
            <w:tcBorders>
              <w:top w:val="nil"/>
              <w:left w:val="nil"/>
              <w:bottom w:val="nil"/>
              <w:right w:val="nil"/>
            </w:tcBorders>
            <w:shd w:val="clear" w:color="auto" w:fill="auto"/>
            <w:vAlign w:val="center"/>
            <w:hideMark/>
          </w:tcPr>
          <w:p w14:paraId="367545AC" w14:textId="5B558E93" w:rsidR="004003B4" w:rsidRPr="00005453" w:rsidRDefault="004003B4" w:rsidP="004003B4">
            <w:pPr>
              <w:jc w:val="right"/>
              <w:rPr>
                <w:sz w:val="18"/>
                <w:szCs w:val="16"/>
                <w:lang w:eastAsia="tr-TR"/>
              </w:rPr>
            </w:pPr>
            <w:r w:rsidRPr="00005453">
              <w:rPr>
                <w:color w:val="000000"/>
                <w:sz w:val="18"/>
                <w:szCs w:val="18"/>
              </w:rPr>
              <w:t>9,463,215</w:t>
            </w:r>
          </w:p>
        </w:tc>
        <w:tc>
          <w:tcPr>
            <w:tcW w:w="1300" w:type="dxa"/>
            <w:tcBorders>
              <w:top w:val="nil"/>
              <w:left w:val="nil"/>
              <w:bottom w:val="nil"/>
              <w:right w:val="nil"/>
            </w:tcBorders>
            <w:shd w:val="clear" w:color="auto" w:fill="auto"/>
            <w:vAlign w:val="center"/>
            <w:hideMark/>
          </w:tcPr>
          <w:p w14:paraId="4BFEA7BB" w14:textId="0BCAD8B4" w:rsidR="004003B4" w:rsidRPr="00005453" w:rsidRDefault="004003B4" w:rsidP="004003B4">
            <w:pPr>
              <w:jc w:val="right"/>
              <w:rPr>
                <w:sz w:val="18"/>
                <w:szCs w:val="18"/>
                <w:lang w:eastAsia="tr-TR"/>
              </w:rPr>
            </w:pPr>
            <w:r w:rsidRPr="00005453">
              <w:rPr>
                <w:sz w:val="18"/>
                <w:szCs w:val="16"/>
                <w:lang w:eastAsia="tr-TR"/>
              </w:rPr>
              <w:t>2,085,927</w:t>
            </w:r>
          </w:p>
        </w:tc>
        <w:tc>
          <w:tcPr>
            <w:tcW w:w="1301" w:type="dxa"/>
            <w:tcBorders>
              <w:top w:val="nil"/>
              <w:left w:val="nil"/>
              <w:bottom w:val="nil"/>
              <w:right w:val="nil"/>
            </w:tcBorders>
            <w:shd w:val="clear" w:color="auto" w:fill="auto"/>
            <w:vAlign w:val="center"/>
            <w:hideMark/>
          </w:tcPr>
          <w:p w14:paraId="03759F62" w14:textId="0648BC6E" w:rsidR="004003B4" w:rsidRPr="00005453" w:rsidRDefault="004003B4" w:rsidP="004003B4">
            <w:pPr>
              <w:jc w:val="right"/>
              <w:rPr>
                <w:sz w:val="18"/>
                <w:szCs w:val="18"/>
                <w:lang w:eastAsia="tr-TR"/>
              </w:rPr>
            </w:pPr>
            <w:r w:rsidRPr="00005453">
              <w:rPr>
                <w:sz w:val="18"/>
                <w:szCs w:val="16"/>
                <w:lang w:eastAsia="tr-TR"/>
              </w:rPr>
              <w:t>12,814,660</w:t>
            </w:r>
          </w:p>
        </w:tc>
      </w:tr>
      <w:tr w:rsidR="004003B4" w:rsidRPr="00005453" w14:paraId="7FCB3F47" w14:textId="77777777" w:rsidTr="004003B4">
        <w:trPr>
          <w:divId w:val="2077510347"/>
          <w:trHeight w:val="154"/>
        </w:trPr>
        <w:tc>
          <w:tcPr>
            <w:tcW w:w="4004" w:type="dxa"/>
            <w:tcBorders>
              <w:top w:val="nil"/>
              <w:left w:val="nil"/>
              <w:bottom w:val="nil"/>
              <w:right w:val="nil"/>
            </w:tcBorders>
            <w:shd w:val="clear" w:color="auto" w:fill="auto"/>
            <w:vAlign w:val="center"/>
            <w:hideMark/>
          </w:tcPr>
          <w:p w14:paraId="31F07045" w14:textId="77777777" w:rsidR="004003B4" w:rsidRPr="00005453" w:rsidRDefault="004003B4" w:rsidP="004003B4">
            <w:pPr>
              <w:rPr>
                <w:sz w:val="18"/>
                <w:szCs w:val="18"/>
                <w:lang w:eastAsia="tr-TR"/>
              </w:rPr>
            </w:pPr>
            <w:r w:rsidRPr="00005453">
              <w:rPr>
                <w:sz w:val="18"/>
                <w:szCs w:val="16"/>
                <w:lang w:eastAsia="tr-TR"/>
              </w:rPr>
              <w:t xml:space="preserve">TCMB </w:t>
            </w:r>
          </w:p>
        </w:tc>
        <w:tc>
          <w:tcPr>
            <w:tcW w:w="1300" w:type="dxa"/>
            <w:tcBorders>
              <w:top w:val="nil"/>
              <w:left w:val="nil"/>
              <w:bottom w:val="nil"/>
              <w:right w:val="nil"/>
            </w:tcBorders>
            <w:shd w:val="clear" w:color="auto" w:fill="auto"/>
            <w:vAlign w:val="center"/>
            <w:hideMark/>
          </w:tcPr>
          <w:p w14:paraId="700FC93A" w14:textId="768EF2AA" w:rsidR="004003B4" w:rsidRPr="00005453" w:rsidRDefault="004003B4" w:rsidP="004003B4">
            <w:pPr>
              <w:jc w:val="right"/>
              <w:rPr>
                <w:sz w:val="18"/>
                <w:szCs w:val="16"/>
                <w:lang w:eastAsia="tr-TR"/>
              </w:rPr>
            </w:pPr>
            <w:r w:rsidRPr="00005453">
              <w:rPr>
                <w:color w:val="000000"/>
                <w:sz w:val="18"/>
                <w:szCs w:val="18"/>
              </w:rPr>
              <w:t>55,920,535</w:t>
            </w:r>
          </w:p>
        </w:tc>
        <w:tc>
          <w:tcPr>
            <w:tcW w:w="1301" w:type="dxa"/>
            <w:tcBorders>
              <w:top w:val="nil"/>
              <w:left w:val="nil"/>
              <w:bottom w:val="nil"/>
              <w:right w:val="nil"/>
            </w:tcBorders>
            <w:shd w:val="clear" w:color="auto" w:fill="auto"/>
            <w:vAlign w:val="center"/>
            <w:hideMark/>
          </w:tcPr>
          <w:p w14:paraId="28A79ED2" w14:textId="5C5AD6DA" w:rsidR="004003B4" w:rsidRPr="00005453" w:rsidRDefault="004003B4" w:rsidP="004003B4">
            <w:pPr>
              <w:jc w:val="right"/>
              <w:rPr>
                <w:sz w:val="18"/>
                <w:szCs w:val="16"/>
                <w:lang w:eastAsia="tr-TR"/>
              </w:rPr>
            </w:pPr>
            <w:r w:rsidRPr="00005453">
              <w:rPr>
                <w:color w:val="000000"/>
                <w:sz w:val="18"/>
                <w:szCs w:val="18"/>
              </w:rPr>
              <w:t>141,876,397</w:t>
            </w:r>
          </w:p>
        </w:tc>
        <w:tc>
          <w:tcPr>
            <w:tcW w:w="1300" w:type="dxa"/>
            <w:tcBorders>
              <w:top w:val="nil"/>
              <w:left w:val="nil"/>
              <w:bottom w:val="nil"/>
              <w:right w:val="nil"/>
            </w:tcBorders>
            <w:shd w:val="clear" w:color="auto" w:fill="auto"/>
            <w:vAlign w:val="center"/>
            <w:hideMark/>
          </w:tcPr>
          <w:p w14:paraId="4184B5BB" w14:textId="2FC7474B" w:rsidR="004003B4" w:rsidRPr="00005453" w:rsidRDefault="004003B4" w:rsidP="004003B4">
            <w:pPr>
              <w:jc w:val="right"/>
              <w:rPr>
                <w:sz w:val="18"/>
                <w:szCs w:val="18"/>
                <w:lang w:eastAsia="tr-TR"/>
              </w:rPr>
            </w:pPr>
            <w:r w:rsidRPr="00005453">
              <w:rPr>
                <w:sz w:val="18"/>
                <w:szCs w:val="16"/>
                <w:lang w:eastAsia="tr-TR"/>
              </w:rPr>
              <w:t>27,619,499</w:t>
            </w:r>
          </w:p>
        </w:tc>
        <w:tc>
          <w:tcPr>
            <w:tcW w:w="1301" w:type="dxa"/>
            <w:tcBorders>
              <w:top w:val="nil"/>
              <w:left w:val="nil"/>
              <w:bottom w:val="nil"/>
              <w:right w:val="nil"/>
            </w:tcBorders>
            <w:shd w:val="clear" w:color="auto" w:fill="auto"/>
            <w:vAlign w:val="center"/>
            <w:hideMark/>
          </w:tcPr>
          <w:p w14:paraId="1B3C9FCD" w14:textId="1DE92809" w:rsidR="004003B4" w:rsidRPr="00005453" w:rsidRDefault="004003B4" w:rsidP="004003B4">
            <w:pPr>
              <w:jc w:val="right"/>
              <w:rPr>
                <w:sz w:val="18"/>
                <w:szCs w:val="18"/>
                <w:lang w:eastAsia="tr-TR"/>
              </w:rPr>
            </w:pPr>
            <w:r w:rsidRPr="00005453">
              <w:rPr>
                <w:sz w:val="18"/>
                <w:szCs w:val="16"/>
                <w:lang w:eastAsia="tr-TR"/>
              </w:rPr>
              <w:t>91,480,001</w:t>
            </w:r>
          </w:p>
        </w:tc>
      </w:tr>
      <w:tr w:rsidR="004003B4" w:rsidRPr="00005453" w14:paraId="14BD8F99" w14:textId="77777777" w:rsidTr="004003B4">
        <w:trPr>
          <w:divId w:val="2077510347"/>
          <w:trHeight w:val="165"/>
        </w:trPr>
        <w:tc>
          <w:tcPr>
            <w:tcW w:w="4004" w:type="dxa"/>
            <w:tcBorders>
              <w:top w:val="nil"/>
              <w:left w:val="nil"/>
              <w:bottom w:val="single" w:sz="8" w:space="0" w:color="auto"/>
              <w:right w:val="nil"/>
            </w:tcBorders>
            <w:shd w:val="clear" w:color="auto" w:fill="auto"/>
            <w:vAlign w:val="center"/>
            <w:hideMark/>
          </w:tcPr>
          <w:p w14:paraId="334795C2" w14:textId="77777777" w:rsidR="004003B4" w:rsidRPr="00005453" w:rsidRDefault="004003B4" w:rsidP="004003B4">
            <w:pPr>
              <w:rPr>
                <w:sz w:val="18"/>
                <w:szCs w:val="16"/>
                <w:lang w:eastAsia="tr-TR"/>
              </w:rPr>
            </w:pPr>
            <w:r w:rsidRPr="00005453">
              <w:rPr>
                <w:sz w:val="18"/>
                <w:szCs w:val="16"/>
                <w:lang w:eastAsia="tr-TR"/>
              </w:rPr>
              <w:t>Diğer (*)</w:t>
            </w:r>
          </w:p>
        </w:tc>
        <w:tc>
          <w:tcPr>
            <w:tcW w:w="1300" w:type="dxa"/>
            <w:tcBorders>
              <w:top w:val="nil"/>
              <w:left w:val="nil"/>
              <w:bottom w:val="single" w:sz="8" w:space="0" w:color="auto"/>
              <w:right w:val="nil"/>
            </w:tcBorders>
            <w:shd w:val="clear" w:color="auto" w:fill="auto"/>
            <w:vAlign w:val="center"/>
            <w:hideMark/>
          </w:tcPr>
          <w:p w14:paraId="5C48FCD4" w14:textId="7C7CC138" w:rsidR="004003B4" w:rsidRPr="00005453" w:rsidRDefault="004003B4" w:rsidP="004003B4">
            <w:pPr>
              <w:jc w:val="right"/>
              <w:rPr>
                <w:sz w:val="18"/>
                <w:szCs w:val="16"/>
                <w:lang w:eastAsia="tr-TR"/>
              </w:rPr>
            </w:pPr>
            <w:r w:rsidRPr="00005453">
              <w:rPr>
                <w:color w:val="000000"/>
                <w:sz w:val="18"/>
                <w:szCs w:val="18"/>
              </w:rPr>
              <w:t>173</w:t>
            </w:r>
          </w:p>
        </w:tc>
        <w:tc>
          <w:tcPr>
            <w:tcW w:w="1301" w:type="dxa"/>
            <w:tcBorders>
              <w:top w:val="nil"/>
              <w:left w:val="nil"/>
              <w:bottom w:val="single" w:sz="8" w:space="0" w:color="auto"/>
              <w:right w:val="nil"/>
            </w:tcBorders>
            <w:shd w:val="clear" w:color="auto" w:fill="auto"/>
            <w:vAlign w:val="center"/>
            <w:hideMark/>
          </w:tcPr>
          <w:p w14:paraId="77184A8C" w14:textId="7518D639" w:rsidR="004003B4" w:rsidRPr="00005453" w:rsidRDefault="004003B4" w:rsidP="004003B4">
            <w:pPr>
              <w:jc w:val="right"/>
              <w:rPr>
                <w:sz w:val="18"/>
                <w:szCs w:val="16"/>
                <w:lang w:eastAsia="tr-TR"/>
              </w:rPr>
            </w:pPr>
            <w:r w:rsidRPr="00005453">
              <w:rPr>
                <w:color w:val="000000"/>
                <w:sz w:val="18"/>
                <w:szCs w:val="18"/>
              </w:rPr>
              <w:t>12,109,667</w:t>
            </w:r>
          </w:p>
        </w:tc>
        <w:tc>
          <w:tcPr>
            <w:tcW w:w="1300" w:type="dxa"/>
            <w:tcBorders>
              <w:top w:val="nil"/>
              <w:left w:val="nil"/>
              <w:bottom w:val="single" w:sz="8" w:space="0" w:color="auto"/>
              <w:right w:val="nil"/>
            </w:tcBorders>
            <w:shd w:val="clear" w:color="auto" w:fill="auto"/>
            <w:vAlign w:val="center"/>
            <w:hideMark/>
          </w:tcPr>
          <w:p w14:paraId="79F0CE86" w14:textId="7C95AA31" w:rsidR="004003B4" w:rsidRPr="00005453" w:rsidRDefault="004003B4" w:rsidP="004003B4">
            <w:pPr>
              <w:jc w:val="right"/>
              <w:rPr>
                <w:sz w:val="18"/>
                <w:szCs w:val="18"/>
                <w:lang w:eastAsia="tr-TR"/>
              </w:rPr>
            </w:pPr>
            <w:r w:rsidRPr="00005453">
              <w:rPr>
                <w:sz w:val="18"/>
                <w:szCs w:val="16"/>
                <w:lang w:eastAsia="tr-TR"/>
              </w:rPr>
              <w:t>31,270</w:t>
            </w:r>
          </w:p>
        </w:tc>
        <w:tc>
          <w:tcPr>
            <w:tcW w:w="1301" w:type="dxa"/>
            <w:tcBorders>
              <w:top w:val="nil"/>
              <w:left w:val="nil"/>
              <w:bottom w:val="single" w:sz="8" w:space="0" w:color="auto"/>
              <w:right w:val="nil"/>
            </w:tcBorders>
            <w:shd w:val="clear" w:color="auto" w:fill="auto"/>
            <w:vAlign w:val="center"/>
            <w:hideMark/>
          </w:tcPr>
          <w:p w14:paraId="262FD9A7" w14:textId="1C51AC71" w:rsidR="004003B4" w:rsidRPr="00005453" w:rsidRDefault="004003B4" w:rsidP="004003B4">
            <w:pPr>
              <w:jc w:val="right"/>
              <w:rPr>
                <w:sz w:val="18"/>
                <w:szCs w:val="18"/>
                <w:lang w:eastAsia="tr-TR"/>
              </w:rPr>
            </w:pPr>
            <w:r w:rsidRPr="00005453">
              <w:rPr>
                <w:sz w:val="18"/>
                <w:szCs w:val="16"/>
                <w:lang w:eastAsia="tr-TR"/>
              </w:rPr>
              <w:t>6,344,071</w:t>
            </w:r>
          </w:p>
        </w:tc>
      </w:tr>
      <w:tr w:rsidR="00044DF3" w:rsidRPr="00005453" w14:paraId="735993C8" w14:textId="77777777" w:rsidTr="00044DF3">
        <w:trPr>
          <w:divId w:val="2077510347"/>
          <w:trHeight w:val="165"/>
        </w:trPr>
        <w:tc>
          <w:tcPr>
            <w:tcW w:w="4004" w:type="dxa"/>
            <w:tcBorders>
              <w:top w:val="nil"/>
              <w:left w:val="nil"/>
              <w:bottom w:val="double" w:sz="6" w:space="0" w:color="auto"/>
              <w:right w:val="nil"/>
            </w:tcBorders>
            <w:shd w:val="clear" w:color="auto" w:fill="auto"/>
            <w:vAlign w:val="center"/>
            <w:hideMark/>
          </w:tcPr>
          <w:p w14:paraId="473A8F56" w14:textId="77777777" w:rsidR="00044DF3" w:rsidRPr="00005453" w:rsidRDefault="00044DF3" w:rsidP="00044DF3">
            <w:pPr>
              <w:rPr>
                <w:b/>
                <w:bCs/>
                <w:sz w:val="18"/>
                <w:szCs w:val="16"/>
                <w:lang w:eastAsia="tr-TR"/>
              </w:rPr>
            </w:pPr>
            <w:r w:rsidRPr="00005453">
              <w:rPr>
                <w:b/>
                <w:bCs/>
                <w:sz w:val="18"/>
                <w:szCs w:val="16"/>
                <w:lang w:eastAsia="tr-TR"/>
              </w:rPr>
              <w:t>Toplam</w:t>
            </w:r>
          </w:p>
        </w:tc>
        <w:tc>
          <w:tcPr>
            <w:tcW w:w="1300" w:type="dxa"/>
            <w:tcBorders>
              <w:top w:val="nil"/>
              <w:left w:val="nil"/>
              <w:bottom w:val="double" w:sz="6" w:space="0" w:color="auto"/>
              <w:right w:val="nil"/>
            </w:tcBorders>
            <w:shd w:val="clear" w:color="auto" w:fill="auto"/>
            <w:vAlign w:val="center"/>
            <w:hideMark/>
          </w:tcPr>
          <w:p w14:paraId="2C99BD45" w14:textId="4A275DA6" w:rsidR="00044DF3" w:rsidRPr="00005453" w:rsidRDefault="00044DF3" w:rsidP="00044DF3">
            <w:pPr>
              <w:jc w:val="right"/>
              <w:rPr>
                <w:b/>
                <w:bCs/>
                <w:sz w:val="18"/>
                <w:szCs w:val="16"/>
                <w:lang w:eastAsia="tr-TR"/>
              </w:rPr>
            </w:pPr>
            <w:r w:rsidRPr="00005453">
              <w:rPr>
                <w:b/>
                <w:bCs/>
                <w:sz w:val="18"/>
                <w:szCs w:val="18"/>
              </w:rPr>
              <w:t>59,543,446</w:t>
            </w:r>
          </w:p>
        </w:tc>
        <w:tc>
          <w:tcPr>
            <w:tcW w:w="1301" w:type="dxa"/>
            <w:tcBorders>
              <w:top w:val="nil"/>
              <w:left w:val="nil"/>
              <w:bottom w:val="double" w:sz="6" w:space="0" w:color="auto"/>
              <w:right w:val="nil"/>
            </w:tcBorders>
            <w:shd w:val="clear" w:color="auto" w:fill="auto"/>
            <w:vAlign w:val="center"/>
            <w:hideMark/>
          </w:tcPr>
          <w:p w14:paraId="20FED08B" w14:textId="3C980F41" w:rsidR="00044DF3" w:rsidRPr="00005453" w:rsidRDefault="00044DF3" w:rsidP="00044DF3">
            <w:pPr>
              <w:jc w:val="right"/>
              <w:rPr>
                <w:b/>
                <w:bCs/>
                <w:sz w:val="18"/>
                <w:szCs w:val="16"/>
                <w:lang w:eastAsia="tr-TR"/>
              </w:rPr>
            </w:pPr>
            <w:r w:rsidRPr="00005453">
              <w:rPr>
                <w:b/>
                <w:bCs/>
                <w:sz w:val="18"/>
                <w:szCs w:val="18"/>
              </w:rPr>
              <w:t>163,449,279</w:t>
            </w:r>
          </w:p>
        </w:tc>
        <w:tc>
          <w:tcPr>
            <w:tcW w:w="1300" w:type="dxa"/>
            <w:tcBorders>
              <w:top w:val="nil"/>
              <w:left w:val="nil"/>
              <w:bottom w:val="double" w:sz="6" w:space="0" w:color="auto"/>
              <w:right w:val="nil"/>
            </w:tcBorders>
            <w:shd w:val="clear" w:color="auto" w:fill="auto"/>
            <w:vAlign w:val="center"/>
            <w:hideMark/>
          </w:tcPr>
          <w:p w14:paraId="6A931B1E" w14:textId="37A54BDD" w:rsidR="00044DF3" w:rsidRPr="00005453" w:rsidRDefault="00044DF3" w:rsidP="00044DF3">
            <w:pPr>
              <w:jc w:val="right"/>
              <w:rPr>
                <w:b/>
                <w:bCs/>
                <w:sz w:val="18"/>
                <w:szCs w:val="16"/>
                <w:lang w:eastAsia="tr-TR"/>
              </w:rPr>
            </w:pPr>
            <w:r w:rsidRPr="00005453">
              <w:rPr>
                <w:b/>
                <w:bCs/>
                <w:sz w:val="18"/>
                <w:szCs w:val="16"/>
                <w:lang w:eastAsia="tr-TR"/>
              </w:rPr>
              <w:t>29,736,696</w:t>
            </w:r>
          </w:p>
        </w:tc>
        <w:tc>
          <w:tcPr>
            <w:tcW w:w="1301" w:type="dxa"/>
            <w:tcBorders>
              <w:top w:val="nil"/>
              <w:left w:val="nil"/>
              <w:bottom w:val="double" w:sz="6" w:space="0" w:color="auto"/>
              <w:right w:val="nil"/>
            </w:tcBorders>
            <w:shd w:val="clear" w:color="auto" w:fill="auto"/>
            <w:vAlign w:val="center"/>
            <w:hideMark/>
          </w:tcPr>
          <w:p w14:paraId="288437B3" w14:textId="77ADE6FB" w:rsidR="00044DF3" w:rsidRPr="00005453" w:rsidRDefault="00044DF3" w:rsidP="00044DF3">
            <w:pPr>
              <w:jc w:val="right"/>
              <w:rPr>
                <w:b/>
                <w:bCs/>
                <w:sz w:val="18"/>
                <w:szCs w:val="16"/>
                <w:lang w:eastAsia="tr-TR"/>
              </w:rPr>
            </w:pPr>
            <w:r w:rsidRPr="00005453">
              <w:rPr>
                <w:b/>
                <w:bCs/>
                <w:sz w:val="18"/>
                <w:szCs w:val="16"/>
                <w:lang w:eastAsia="tr-TR"/>
              </w:rPr>
              <w:t>110,638,732</w:t>
            </w:r>
          </w:p>
        </w:tc>
      </w:tr>
    </w:tbl>
    <w:p w14:paraId="4DBAD5CE" w14:textId="05421214" w:rsidR="00D97232" w:rsidRPr="00005453" w:rsidRDefault="00D97232" w:rsidP="00134A72">
      <w:pPr>
        <w:autoSpaceDE w:val="0"/>
        <w:autoSpaceDN w:val="0"/>
        <w:adjustRightInd w:val="0"/>
        <w:ind w:left="540" w:hanging="540"/>
        <w:rPr>
          <w:rFonts w:eastAsia="Arial Unicode MS"/>
          <w:sz w:val="4"/>
          <w:szCs w:val="16"/>
        </w:rPr>
      </w:pPr>
    </w:p>
    <w:p w14:paraId="13A928E3" w14:textId="77777777" w:rsidR="006F5E5C" w:rsidRPr="00005453" w:rsidRDefault="006F5E5C" w:rsidP="002069BA">
      <w:pPr>
        <w:autoSpaceDE w:val="0"/>
        <w:autoSpaceDN w:val="0"/>
        <w:adjustRightInd w:val="0"/>
        <w:ind w:left="540" w:hanging="540"/>
        <w:jc w:val="both"/>
        <w:rPr>
          <w:rFonts w:eastAsia="Arial Unicode MS"/>
          <w:sz w:val="6"/>
          <w:szCs w:val="6"/>
        </w:rPr>
      </w:pPr>
    </w:p>
    <w:p w14:paraId="66D45D4D" w14:textId="28882348" w:rsidR="003A557F" w:rsidRPr="00005453" w:rsidRDefault="003A557F" w:rsidP="00346550">
      <w:pPr>
        <w:autoSpaceDE w:val="0"/>
        <w:autoSpaceDN w:val="0"/>
        <w:adjustRightInd w:val="0"/>
        <w:ind w:left="284" w:right="-1" w:hanging="284"/>
        <w:jc w:val="both"/>
        <w:rPr>
          <w:rFonts w:eastAsia="Arial Unicode MS"/>
        </w:rPr>
      </w:pPr>
      <w:r w:rsidRPr="00005453">
        <w:rPr>
          <w:rFonts w:eastAsia="Arial Unicode MS"/>
          <w:sz w:val="16"/>
        </w:rPr>
        <w:t>(*)</w:t>
      </w:r>
      <w:r w:rsidRPr="00005453">
        <w:rPr>
          <w:rFonts w:eastAsia="Arial Unicode MS"/>
        </w:rPr>
        <w:t xml:space="preserve"> </w:t>
      </w:r>
      <w:r w:rsidRPr="00005453">
        <w:rPr>
          <w:rFonts w:eastAsia="Arial Unicode MS"/>
          <w:sz w:val="16"/>
          <w:szCs w:val="16"/>
        </w:rPr>
        <w:t>31 Aralık 202</w:t>
      </w:r>
      <w:r w:rsidR="003A4891" w:rsidRPr="00005453">
        <w:rPr>
          <w:rFonts w:eastAsia="Arial Unicode MS"/>
          <w:sz w:val="16"/>
          <w:szCs w:val="16"/>
        </w:rPr>
        <w:t>4</w:t>
      </w:r>
      <w:r w:rsidRPr="00005453">
        <w:rPr>
          <w:rFonts w:eastAsia="Arial Unicode MS"/>
          <w:sz w:val="16"/>
          <w:szCs w:val="16"/>
        </w:rPr>
        <w:t xml:space="preserve"> tarihi itibarıyla </w:t>
      </w:r>
      <w:r w:rsidR="00BC6C91" w:rsidRPr="00005453">
        <w:rPr>
          <w:rFonts w:eastAsia="Arial Unicode MS"/>
          <w:sz w:val="16"/>
          <w:szCs w:val="16"/>
        </w:rPr>
        <w:t>12</w:t>
      </w:r>
      <w:r w:rsidR="00A814D2" w:rsidRPr="00005453">
        <w:rPr>
          <w:rFonts w:eastAsia="Arial Unicode MS"/>
          <w:sz w:val="16"/>
          <w:szCs w:val="16"/>
        </w:rPr>
        <w:t>,</w:t>
      </w:r>
      <w:r w:rsidR="00E8783D" w:rsidRPr="00005453">
        <w:rPr>
          <w:rFonts w:eastAsia="Arial Unicode MS"/>
          <w:sz w:val="16"/>
          <w:szCs w:val="16"/>
        </w:rPr>
        <w:t>1</w:t>
      </w:r>
      <w:r w:rsidR="00BC6C91" w:rsidRPr="00005453">
        <w:rPr>
          <w:rFonts w:eastAsia="Arial Unicode MS"/>
          <w:sz w:val="16"/>
          <w:szCs w:val="16"/>
        </w:rPr>
        <w:t>09</w:t>
      </w:r>
      <w:r w:rsidR="00A814D2" w:rsidRPr="00005453">
        <w:rPr>
          <w:rFonts w:eastAsia="Arial Unicode MS"/>
          <w:sz w:val="16"/>
          <w:szCs w:val="16"/>
        </w:rPr>
        <w:t>,</w:t>
      </w:r>
      <w:r w:rsidR="00BC6C91" w:rsidRPr="00005453">
        <w:rPr>
          <w:rFonts w:eastAsia="Arial Unicode MS"/>
          <w:sz w:val="16"/>
          <w:szCs w:val="16"/>
        </w:rPr>
        <w:t>667</w:t>
      </w:r>
      <w:r w:rsidRPr="00005453">
        <w:rPr>
          <w:rFonts w:eastAsia="Arial Unicode MS"/>
          <w:sz w:val="16"/>
          <w:szCs w:val="16"/>
        </w:rPr>
        <w:t xml:space="preserve"> TL</w:t>
      </w:r>
      <w:r w:rsidR="006B7835" w:rsidRPr="00005453">
        <w:rPr>
          <w:rFonts w:eastAsia="Arial Unicode MS"/>
          <w:sz w:val="16"/>
          <w:szCs w:val="16"/>
        </w:rPr>
        <w:t xml:space="preserve"> </w:t>
      </w:r>
      <w:r w:rsidRPr="00005453">
        <w:rPr>
          <w:rFonts w:eastAsia="Arial Unicode MS"/>
          <w:sz w:val="16"/>
          <w:szCs w:val="16"/>
        </w:rPr>
        <w:t>(31 Aralık 202</w:t>
      </w:r>
      <w:r w:rsidR="003A4891" w:rsidRPr="00005453">
        <w:rPr>
          <w:rFonts w:eastAsia="Arial Unicode MS"/>
          <w:sz w:val="16"/>
          <w:szCs w:val="16"/>
        </w:rPr>
        <w:t>3</w:t>
      </w:r>
      <w:r w:rsidRPr="00005453">
        <w:rPr>
          <w:rFonts w:eastAsia="Arial Unicode MS"/>
          <w:sz w:val="16"/>
          <w:szCs w:val="16"/>
        </w:rPr>
        <w:t xml:space="preserve"> – </w:t>
      </w:r>
      <w:r w:rsidR="003A4891" w:rsidRPr="00005453">
        <w:rPr>
          <w:rFonts w:eastAsia="Arial Unicode MS"/>
          <w:sz w:val="16"/>
          <w:szCs w:val="16"/>
        </w:rPr>
        <w:t>6</w:t>
      </w:r>
      <w:r w:rsidR="00D348FB" w:rsidRPr="00005453">
        <w:rPr>
          <w:rFonts w:eastAsia="Arial Unicode MS"/>
          <w:sz w:val="16"/>
          <w:szCs w:val="16"/>
        </w:rPr>
        <w:t>,</w:t>
      </w:r>
      <w:r w:rsidR="003A4891" w:rsidRPr="00005453">
        <w:rPr>
          <w:rFonts w:eastAsia="Arial Unicode MS"/>
          <w:sz w:val="16"/>
          <w:szCs w:val="16"/>
        </w:rPr>
        <w:t>141</w:t>
      </w:r>
      <w:r w:rsidR="00D348FB" w:rsidRPr="00005453">
        <w:rPr>
          <w:rFonts w:eastAsia="Arial Unicode MS"/>
          <w:sz w:val="16"/>
          <w:szCs w:val="16"/>
        </w:rPr>
        <w:t>,</w:t>
      </w:r>
      <w:r w:rsidR="003A4891" w:rsidRPr="00005453">
        <w:rPr>
          <w:rFonts w:eastAsia="Arial Unicode MS"/>
          <w:sz w:val="16"/>
          <w:szCs w:val="16"/>
        </w:rPr>
        <w:t>897</w:t>
      </w:r>
      <w:r w:rsidR="006B7835" w:rsidRPr="00005453">
        <w:rPr>
          <w:rFonts w:eastAsia="Arial Unicode MS"/>
          <w:sz w:val="16"/>
          <w:szCs w:val="16"/>
        </w:rPr>
        <w:t xml:space="preserve"> </w:t>
      </w:r>
      <w:r w:rsidR="00DF7D3E" w:rsidRPr="00005453">
        <w:rPr>
          <w:rFonts w:eastAsia="Arial Unicode MS"/>
          <w:sz w:val="16"/>
          <w:szCs w:val="16"/>
        </w:rPr>
        <w:t>TL</w:t>
      </w:r>
      <w:r w:rsidRPr="00005453">
        <w:rPr>
          <w:rFonts w:eastAsia="Arial Unicode MS"/>
          <w:sz w:val="16"/>
          <w:szCs w:val="16"/>
        </w:rPr>
        <w:t xml:space="preserve">) tutarında kıymetli maden depo hesabı ve </w:t>
      </w:r>
      <w:r w:rsidR="00BC6C91" w:rsidRPr="00005453">
        <w:rPr>
          <w:rFonts w:eastAsia="Arial Unicode MS"/>
          <w:sz w:val="16"/>
          <w:szCs w:val="16"/>
        </w:rPr>
        <w:t>173</w:t>
      </w:r>
      <w:r w:rsidRPr="00005453">
        <w:rPr>
          <w:sz w:val="16"/>
          <w:szCs w:val="16"/>
        </w:rPr>
        <w:t xml:space="preserve"> </w:t>
      </w:r>
      <w:proofErr w:type="gramStart"/>
      <w:r w:rsidRPr="00005453">
        <w:rPr>
          <w:rFonts w:eastAsia="Arial Unicode MS"/>
          <w:sz w:val="16"/>
          <w:szCs w:val="16"/>
        </w:rPr>
        <w:t>TL</w:t>
      </w:r>
      <w:r w:rsidRPr="00005453" w:rsidDel="00443D75">
        <w:rPr>
          <w:rFonts w:eastAsia="Arial Unicode MS"/>
          <w:sz w:val="16"/>
          <w:szCs w:val="16"/>
        </w:rPr>
        <w:t xml:space="preserve"> </w:t>
      </w:r>
      <w:r w:rsidRPr="00005453">
        <w:rPr>
          <w:rFonts w:eastAsia="Arial Unicode MS"/>
          <w:sz w:val="16"/>
          <w:szCs w:val="16"/>
        </w:rPr>
        <w:t xml:space="preserve"> tutarındaki</w:t>
      </w:r>
      <w:proofErr w:type="gramEnd"/>
      <w:r w:rsidRPr="00005453">
        <w:rPr>
          <w:rFonts w:eastAsia="Arial Unicode MS"/>
          <w:sz w:val="16"/>
          <w:szCs w:val="16"/>
        </w:rPr>
        <w:t xml:space="preserve"> yoldaki paralar hesabı burada gösterilmektedir </w:t>
      </w:r>
      <w:r w:rsidRPr="00005453">
        <w:rPr>
          <w:rFonts w:eastAsia="Arial Unicode MS"/>
          <w:color w:val="0D0D0D"/>
          <w:sz w:val="16"/>
          <w:szCs w:val="16"/>
        </w:rPr>
        <w:t>(31 Aralık 202</w:t>
      </w:r>
      <w:r w:rsidR="003A4891" w:rsidRPr="00005453">
        <w:rPr>
          <w:rFonts w:eastAsia="Arial Unicode MS"/>
          <w:color w:val="0D0D0D"/>
          <w:sz w:val="16"/>
          <w:szCs w:val="16"/>
        </w:rPr>
        <w:t>3</w:t>
      </w:r>
      <w:r w:rsidRPr="00005453">
        <w:rPr>
          <w:rFonts w:eastAsia="Arial Unicode MS"/>
          <w:color w:val="0D0D0D"/>
          <w:sz w:val="16"/>
          <w:szCs w:val="16"/>
        </w:rPr>
        <w:t xml:space="preserve"> – </w:t>
      </w:r>
      <w:r w:rsidR="003A4891" w:rsidRPr="00005453">
        <w:rPr>
          <w:rFonts w:eastAsia="Arial Unicode MS"/>
          <w:sz w:val="16"/>
          <w:szCs w:val="16"/>
        </w:rPr>
        <w:t>233</w:t>
      </w:r>
      <w:r w:rsidR="00D348FB" w:rsidRPr="00005453">
        <w:rPr>
          <w:rFonts w:eastAsia="Arial Unicode MS"/>
          <w:sz w:val="16"/>
          <w:szCs w:val="16"/>
        </w:rPr>
        <w:t>,</w:t>
      </w:r>
      <w:r w:rsidR="003A4891" w:rsidRPr="00005453">
        <w:rPr>
          <w:rFonts w:eastAsia="Arial Unicode MS"/>
          <w:sz w:val="16"/>
          <w:szCs w:val="16"/>
        </w:rPr>
        <w:t>444</w:t>
      </w:r>
      <w:r w:rsidR="00DF7D3E" w:rsidRPr="00005453">
        <w:rPr>
          <w:sz w:val="16"/>
          <w:szCs w:val="16"/>
        </w:rPr>
        <w:t xml:space="preserve"> </w:t>
      </w:r>
      <w:r w:rsidRPr="00005453">
        <w:rPr>
          <w:rFonts w:eastAsia="Arial Unicode MS"/>
          <w:color w:val="0D0D0D"/>
          <w:sz w:val="16"/>
          <w:szCs w:val="16"/>
        </w:rPr>
        <w:t>TL).</w:t>
      </w:r>
    </w:p>
    <w:p w14:paraId="18776683" w14:textId="77777777" w:rsidR="00F55DAE" w:rsidRPr="00005453" w:rsidRDefault="00F55DAE" w:rsidP="00DE0848">
      <w:pPr>
        <w:autoSpaceDE w:val="0"/>
        <w:autoSpaceDN w:val="0"/>
        <w:adjustRightInd w:val="0"/>
        <w:ind w:hanging="567"/>
        <w:rPr>
          <w:rFonts w:eastAsia="Arial Unicode MS"/>
          <w:b/>
        </w:rPr>
      </w:pPr>
    </w:p>
    <w:p w14:paraId="37A47D24" w14:textId="45D9CE5E" w:rsidR="005A1EDE" w:rsidRPr="00005453" w:rsidRDefault="00547C68" w:rsidP="00DE0848">
      <w:pPr>
        <w:autoSpaceDE w:val="0"/>
        <w:autoSpaceDN w:val="0"/>
        <w:adjustRightInd w:val="0"/>
        <w:ind w:hanging="567"/>
        <w:rPr>
          <w:rFonts w:eastAsia="Arial Unicode MS"/>
          <w:b/>
        </w:rPr>
      </w:pPr>
      <w:r w:rsidRPr="00005453">
        <w:rPr>
          <w:rFonts w:eastAsia="Arial Unicode MS"/>
          <w:b/>
        </w:rPr>
        <w:t>1.1.2</w:t>
      </w:r>
      <w:r w:rsidR="0054580E" w:rsidRPr="00005453">
        <w:rPr>
          <w:rFonts w:eastAsia="Arial Unicode MS"/>
          <w:b/>
        </w:rPr>
        <w:t xml:space="preserve">   </w:t>
      </w:r>
      <w:r w:rsidR="00E253C8" w:rsidRPr="00005453">
        <w:rPr>
          <w:rFonts w:eastAsia="Arial Unicode MS"/>
          <w:b/>
        </w:rPr>
        <w:t xml:space="preserve">T.C. Merkez Bankası hesabına ilişkin </w:t>
      </w:r>
      <w:r w:rsidR="00032F11" w:rsidRPr="00005453">
        <w:rPr>
          <w:rFonts w:eastAsia="Arial Unicode MS"/>
          <w:b/>
        </w:rPr>
        <w:t>bilgiler</w:t>
      </w:r>
    </w:p>
    <w:p w14:paraId="760F857A" w14:textId="240C41B9" w:rsidR="006140B2" w:rsidRPr="00005453" w:rsidRDefault="006140B2" w:rsidP="00246092">
      <w:pPr>
        <w:tabs>
          <w:tab w:val="left" w:pos="3270"/>
        </w:tabs>
        <w:autoSpaceDE w:val="0"/>
        <w:autoSpaceDN w:val="0"/>
        <w:adjustRightInd w:val="0"/>
        <w:rPr>
          <w:lang w:eastAsia="en-GB"/>
        </w:rPr>
      </w:pPr>
    </w:p>
    <w:tbl>
      <w:tblPr>
        <w:tblW w:w="9218" w:type="dxa"/>
        <w:tblCellMar>
          <w:left w:w="70" w:type="dxa"/>
          <w:right w:w="70" w:type="dxa"/>
        </w:tblCellMar>
        <w:tblLook w:val="04A0" w:firstRow="1" w:lastRow="0" w:firstColumn="1" w:lastColumn="0" w:noHBand="0" w:noVBand="1"/>
      </w:tblPr>
      <w:tblGrid>
        <w:gridCol w:w="3962"/>
        <w:gridCol w:w="1313"/>
        <w:gridCol w:w="1315"/>
        <w:gridCol w:w="1313"/>
        <w:gridCol w:w="1315"/>
      </w:tblGrid>
      <w:tr w:rsidR="006140B2" w:rsidRPr="00005453" w14:paraId="789EF64F" w14:textId="77777777" w:rsidTr="00614CD2">
        <w:trPr>
          <w:divId w:val="1280451577"/>
          <w:trHeight w:val="243"/>
        </w:trPr>
        <w:tc>
          <w:tcPr>
            <w:tcW w:w="3962" w:type="dxa"/>
            <w:tcBorders>
              <w:top w:val="double" w:sz="6" w:space="0" w:color="auto"/>
              <w:left w:val="nil"/>
              <w:bottom w:val="nil"/>
              <w:right w:val="nil"/>
            </w:tcBorders>
            <w:shd w:val="clear" w:color="auto" w:fill="auto"/>
            <w:vAlign w:val="center"/>
            <w:hideMark/>
          </w:tcPr>
          <w:p w14:paraId="2D10693E" w14:textId="70688DA9" w:rsidR="006140B2" w:rsidRPr="00005453" w:rsidRDefault="006140B2" w:rsidP="006140B2">
            <w:pPr>
              <w:jc w:val="right"/>
              <w:rPr>
                <w:sz w:val="18"/>
                <w:szCs w:val="16"/>
                <w:lang w:eastAsia="tr-TR"/>
              </w:rPr>
            </w:pPr>
            <w:r w:rsidRPr="00005453">
              <w:rPr>
                <w:sz w:val="18"/>
                <w:szCs w:val="16"/>
                <w:lang w:eastAsia="tr-TR"/>
              </w:rPr>
              <w:t> </w:t>
            </w:r>
          </w:p>
        </w:tc>
        <w:tc>
          <w:tcPr>
            <w:tcW w:w="2628" w:type="dxa"/>
            <w:gridSpan w:val="2"/>
            <w:tcBorders>
              <w:top w:val="double" w:sz="6" w:space="0" w:color="auto"/>
              <w:left w:val="nil"/>
              <w:bottom w:val="single" w:sz="8" w:space="0" w:color="auto"/>
              <w:right w:val="nil"/>
            </w:tcBorders>
            <w:shd w:val="clear" w:color="auto" w:fill="auto"/>
            <w:vAlign w:val="center"/>
            <w:hideMark/>
          </w:tcPr>
          <w:p w14:paraId="69A24397" w14:textId="77777777" w:rsidR="006140B2" w:rsidRPr="00005453" w:rsidRDefault="006140B2" w:rsidP="00614CD2">
            <w:pPr>
              <w:jc w:val="right"/>
              <w:rPr>
                <w:b/>
                <w:bCs/>
                <w:sz w:val="18"/>
                <w:szCs w:val="16"/>
                <w:lang w:eastAsia="tr-TR"/>
              </w:rPr>
            </w:pPr>
            <w:r w:rsidRPr="00005453">
              <w:rPr>
                <w:b/>
                <w:bCs/>
                <w:sz w:val="18"/>
                <w:szCs w:val="16"/>
                <w:lang w:eastAsia="tr-TR"/>
              </w:rPr>
              <w:t>Cari Dönem</w:t>
            </w:r>
          </w:p>
        </w:tc>
        <w:tc>
          <w:tcPr>
            <w:tcW w:w="2628" w:type="dxa"/>
            <w:gridSpan w:val="2"/>
            <w:tcBorders>
              <w:top w:val="double" w:sz="6" w:space="0" w:color="auto"/>
              <w:left w:val="nil"/>
              <w:bottom w:val="single" w:sz="8" w:space="0" w:color="auto"/>
              <w:right w:val="nil"/>
            </w:tcBorders>
            <w:shd w:val="clear" w:color="auto" w:fill="auto"/>
            <w:vAlign w:val="center"/>
            <w:hideMark/>
          </w:tcPr>
          <w:p w14:paraId="1107F06B" w14:textId="77777777" w:rsidR="006140B2" w:rsidRPr="00005453" w:rsidRDefault="006140B2" w:rsidP="00614CD2">
            <w:pPr>
              <w:jc w:val="right"/>
              <w:rPr>
                <w:b/>
                <w:bCs/>
                <w:sz w:val="18"/>
                <w:szCs w:val="16"/>
                <w:lang w:eastAsia="tr-TR"/>
              </w:rPr>
            </w:pPr>
            <w:r w:rsidRPr="00005453">
              <w:rPr>
                <w:b/>
                <w:bCs/>
                <w:sz w:val="18"/>
                <w:szCs w:val="16"/>
                <w:lang w:eastAsia="tr-TR"/>
              </w:rPr>
              <w:t>Önceki Dönem</w:t>
            </w:r>
          </w:p>
        </w:tc>
      </w:tr>
      <w:tr w:rsidR="006140B2" w:rsidRPr="00005453" w14:paraId="420618D9" w14:textId="77777777" w:rsidTr="00346550">
        <w:trPr>
          <w:divId w:val="1280451577"/>
          <w:trHeight w:val="228"/>
        </w:trPr>
        <w:tc>
          <w:tcPr>
            <w:tcW w:w="3962" w:type="dxa"/>
            <w:tcBorders>
              <w:top w:val="nil"/>
              <w:left w:val="nil"/>
              <w:bottom w:val="single" w:sz="8" w:space="0" w:color="auto"/>
              <w:right w:val="nil"/>
            </w:tcBorders>
            <w:shd w:val="clear" w:color="auto" w:fill="auto"/>
            <w:vAlign w:val="center"/>
            <w:hideMark/>
          </w:tcPr>
          <w:p w14:paraId="055C32CF" w14:textId="77777777" w:rsidR="006140B2" w:rsidRPr="00005453" w:rsidRDefault="006140B2" w:rsidP="006140B2">
            <w:pPr>
              <w:jc w:val="right"/>
              <w:rPr>
                <w:sz w:val="18"/>
                <w:szCs w:val="16"/>
                <w:lang w:eastAsia="tr-TR"/>
              </w:rPr>
            </w:pPr>
            <w:r w:rsidRPr="00005453">
              <w:rPr>
                <w:sz w:val="18"/>
                <w:szCs w:val="16"/>
                <w:lang w:eastAsia="tr-TR"/>
              </w:rPr>
              <w:t> </w:t>
            </w:r>
          </w:p>
        </w:tc>
        <w:tc>
          <w:tcPr>
            <w:tcW w:w="1313" w:type="dxa"/>
            <w:tcBorders>
              <w:top w:val="nil"/>
              <w:left w:val="nil"/>
              <w:bottom w:val="single" w:sz="8" w:space="0" w:color="auto"/>
              <w:right w:val="nil"/>
            </w:tcBorders>
            <w:shd w:val="clear" w:color="auto" w:fill="auto"/>
            <w:vAlign w:val="center"/>
            <w:hideMark/>
          </w:tcPr>
          <w:p w14:paraId="3D15D749" w14:textId="77777777" w:rsidR="006140B2" w:rsidRPr="00005453" w:rsidRDefault="006140B2" w:rsidP="006140B2">
            <w:pPr>
              <w:jc w:val="right"/>
              <w:rPr>
                <w:b/>
                <w:bCs/>
                <w:sz w:val="18"/>
                <w:szCs w:val="16"/>
                <w:lang w:eastAsia="tr-TR"/>
              </w:rPr>
            </w:pPr>
            <w:r w:rsidRPr="00005453">
              <w:rPr>
                <w:b/>
                <w:bCs/>
                <w:sz w:val="18"/>
                <w:szCs w:val="16"/>
                <w:lang w:eastAsia="tr-TR"/>
              </w:rPr>
              <w:t>TP</w:t>
            </w:r>
          </w:p>
        </w:tc>
        <w:tc>
          <w:tcPr>
            <w:tcW w:w="1315" w:type="dxa"/>
            <w:tcBorders>
              <w:top w:val="nil"/>
              <w:left w:val="nil"/>
              <w:bottom w:val="single" w:sz="8" w:space="0" w:color="auto"/>
              <w:right w:val="nil"/>
            </w:tcBorders>
            <w:shd w:val="clear" w:color="auto" w:fill="auto"/>
            <w:vAlign w:val="center"/>
            <w:hideMark/>
          </w:tcPr>
          <w:p w14:paraId="09F0EC2E" w14:textId="77777777" w:rsidR="006140B2" w:rsidRPr="00005453" w:rsidRDefault="006140B2" w:rsidP="006140B2">
            <w:pPr>
              <w:jc w:val="right"/>
              <w:rPr>
                <w:b/>
                <w:bCs/>
                <w:sz w:val="18"/>
                <w:szCs w:val="16"/>
                <w:lang w:eastAsia="tr-TR"/>
              </w:rPr>
            </w:pPr>
            <w:r w:rsidRPr="00005453">
              <w:rPr>
                <w:b/>
                <w:bCs/>
                <w:sz w:val="18"/>
                <w:szCs w:val="16"/>
                <w:lang w:eastAsia="tr-TR"/>
              </w:rPr>
              <w:t>YP</w:t>
            </w:r>
          </w:p>
        </w:tc>
        <w:tc>
          <w:tcPr>
            <w:tcW w:w="1313" w:type="dxa"/>
            <w:tcBorders>
              <w:top w:val="nil"/>
              <w:left w:val="nil"/>
              <w:bottom w:val="single" w:sz="8" w:space="0" w:color="auto"/>
              <w:right w:val="nil"/>
            </w:tcBorders>
            <w:shd w:val="clear" w:color="auto" w:fill="auto"/>
            <w:vAlign w:val="center"/>
            <w:hideMark/>
          </w:tcPr>
          <w:p w14:paraId="7AA16052" w14:textId="77777777" w:rsidR="006140B2" w:rsidRPr="00005453" w:rsidRDefault="006140B2" w:rsidP="006140B2">
            <w:pPr>
              <w:jc w:val="right"/>
              <w:rPr>
                <w:b/>
                <w:bCs/>
                <w:sz w:val="18"/>
                <w:szCs w:val="16"/>
                <w:lang w:eastAsia="tr-TR"/>
              </w:rPr>
            </w:pPr>
            <w:r w:rsidRPr="00005453">
              <w:rPr>
                <w:b/>
                <w:bCs/>
                <w:sz w:val="18"/>
                <w:szCs w:val="16"/>
                <w:lang w:eastAsia="tr-TR"/>
              </w:rPr>
              <w:t>TP</w:t>
            </w:r>
          </w:p>
        </w:tc>
        <w:tc>
          <w:tcPr>
            <w:tcW w:w="1315" w:type="dxa"/>
            <w:tcBorders>
              <w:top w:val="nil"/>
              <w:left w:val="nil"/>
              <w:bottom w:val="single" w:sz="8" w:space="0" w:color="auto"/>
              <w:right w:val="nil"/>
            </w:tcBorders>
            <w:shd w:val="clear" w:color="auto" w:fill="auto"/>
            <w:vAlign w:val="center"/>
            <w:hideMark/>
          </w:tcPr>
          <w:p w14:paraId="1BF93229" w14:textId="77777777" w:rsidR="006140B2" w:rsidRPr="00005453" w:rsidRDefault="006140B2" w:rsidP="006140B2">
            <w:pPr>
              <w:jc w:val="right"/>
              <w:rPr>
                <w:b/>
                <w:bCs/>
                <w:sz w:val="18"/>
                <w:szCs w:val="16"/>
                <w:lang w:eastAsia="tr-TR"/>
              </w:rPr>
            </w:pPr>
            <w:r w:rsidRPr="00005453">
              <w:rPr>
                <w:b/>
                <w:bCs/>
                <w:sz w:val="18"/>
                <w:szCs w:val="16"/>
                <w:lang w:eastAsia="tr-TR"/>
              </w:rPr>
              <w:t>YP</w:t>
            </w:r>
          </w:p>
        </w:tc>
      </w:tr>
      <w:tr w:rsidR="00044DF3" w:rsidRPr="00005453" w14:paraId="1D955BF5" w14:textId="77777777" w:rsidTr="00044DF3">
        <w:trPr>
          <w:divId w:val="1280451577"/>
          <w:trHeight w:val="213"/>
        </w:trPr>
        <w:tc>
          <w:tcPr>
            <w:tcW w:w="3962" w:type="dxa"/>
            <w:tcBorders>
              <w:top w:val="nil"/>
              <w:left w:val="nil"/>
              <w:bottom w:val="nil"/>
              <w:right w:val="nil"/>
            </w:tcBorders>
            <w:shd w:val="clear" w:color="auto" w:fill="auto"/>
            <w:vAlign w:val="center"/>
            <w:hideMark/>
          </w:tcPr>
          <w:p w14:paraId="7EF42162" w14:textId="77777777" w:rsidR="00044DF3" w:rsidRPr="00005453" w:rsidRDefault="00044DF3" w:rsidP="00044DF3">
            <w:pPr>
              <w:jc w:val="both"/>
              <w:rPr>
                <w:sz w:val="18"/>
                <w:szCs w:val="16"/>
                <w:lang w:eastAsia="tr-TR"/>
              </w:rPr>
            </w:pPr>
            <w:r w:rsidRPr="00005453">
              <w:rPr>
                <w:sz w:val="18"/>
                <w:szCs w:val="16"/>
                <w:lang w:eastAsia="tr-TR"/>
              </w:rPr>
              <w:t>Vadesiz Serbest Hesap</w:t>
            </w:r>
          </w:p>
        </w:tc>
        <w:tc>
          <w:tcPr>
            <w:tcW w:w="1313" w:type="dxa"/>
            <w:tcBorders>
              <w:top w:val="nil"/>
              <w:left w:val="nil"/>
              <w:bottom w:val="nil"/>
              <w:right w:val="nil"/>
            </w:tcBorders>
            <w:shd w:val="clear" w:color="auto" w:fill="auto"/>
            <w:vAlign w:val="center"/>
            <w:hideMark/>
          </w:tcPr>
          <w:p w14:paraId="76B1A3A9" w14:textId="0F86FAFD" w:rsidR="00044DF3" w:rsidRPr="00005453" w:rsidRDefault="00044DF3" w:rsidP="00044DF3">
            <w:pPr>
              <w:jc w:val="right"/>
              <w:rPr>
                <w:sz w:val="18"/>
                <w:szCs w:val="16"/>
                <w:lang w:eastAsia="tr-TR"/>
              </w:rPr>
            </w:pPr>
            <w:r w:rsidRPr="00005453">
              <w:rPr>
                <w:sz w:val="18"/>
                <w:szCs w:val="18"/>
              </w:rPr>
              <w:t>30,806,892</w:t>
            </w:r>
          </w:p>
        </w:tc>
        <w:tc>
          <w:tcPr>
            <w:tcW w:w="1315" w:type="dxa"/>
            <w:tcBorders>
              <w:top w:val="nil"/>
              <w:left w:val="nil"/>
              <w:bottom w:val="nil"/>
              <w:right w:val="nil"/>
            </w:tcBorders>
            <w:shd w:val="clear" w:color="auto" w:fill="auto"/>
            <w:vAlign w:val="center"/>
            <w:hideMark/>
          </w:tcPr>
          <w:p w14:paraId="17E07C5D" w14:textId="5EDA294E" w:rsidR="00044DF3" w:rsidRPr="00005453" w:rsidRDefault="00044DF3" w:rsidP="00044DF3">
            <w:pPr>
              <w:jc w:val="right"/>
              <w:rPr>
                <w:sz w:val="18"/>
                <w:szCs w:val="16"/>
                <w:lang w:eastAsia="tr-TR"/>
              </w:rPr>
            </w:pPr>
            <w:r w:rsidRPr="00005453">
              <w:rPr>
                <w:color w:val="000000"/>
                <w:sz w:val="18"/>
                <w:szCs w:val="18"/>
              </w:rPr>
              <w:t>54,551,669</w:t>
            </w:r>
          </w:p>
        </w:tc>
        <w:tc>
          <w:tcPr>
            <w:tcW w:w="1313" w:type="dxa"/>
            <w:tcBorders>
              <w:top w:val="nil"/>
              <w:left w:val="nil"/>
              <w:bottom w:val="nil"/>
              <w:right w:val="nil"/>
            </w:tcBorders>
            <w:shd w:val="clear" w:color="auto" w:fill="auto"/>
            <w:vAlign w:val="center"/>
            <w:hideMark/>
          </w:tcPr>
          <w:p w14:paraId="1A0FB9E7" w14:textId="6A1274F6" w:rsidR="00044DF3" w:rsidRPr="00005453" w:rsidRDefault="00044DF3" w:rsidP="00044DF3">
            <w:pPr>
              <w:jc w:val="right"/>
              <w:rPr>
                <w:sz w:val="18"/>
                <w:szCs w:val="16"/>
                <w:lang w:eastAsia="tr-TR"/>
              </w:rPr>
            </w:pPr>
            <w:r w:rsidRPr="00005453">
              <w:rPr>
                <w:sz w:val="18"/>
                <w:szCs w:val="18"/>
              </w:rPr>
              <w:t>21,567,615</w:t>
            </w:r>
          </w:p>
        </w:tc>
        <w:tc>
          <w:tcPr>
            <w:tcW w:w="1315" w:type="dxa"/>
            <w:tcBorders>
              <w:top w:val="nil"/>
              <w:left w:val="nil"/>
              <w:bottom w:val="nil"/>
              <w:right w:val="nil"/>
            </w:tcBorders>
            <w:shd w:val="clear" w:color="auto" w:fill="auto"/>
            <w:vAlign w:val="center"/>
            <w:hideMark/>
          </w:tcPr>
          <w:p w14:paraId="685B9CA5" w14:textId="56A515EB" w:rsidR="00044DF3" w:rsidRPr="00005453" w:rsidRDefault="00044DF3" w:rsidP="00044DF3">
            <w:pPr>
              <w:jc w:val="right"/>
              <w:rPr>
                <w:sz w:val="18"/>
                <w:szCs w:val="16"/>
                <w:lang w:eastAsia="tr-TR"/>
              </w:rPr>
            </w:pPr>
            <w:r w:rsidRPr="00005453">
              <w:rPr>
                <w:color w:val="000000"/>
                <w:sz w:val="18"/>
                <w:szCs w:val="18"/>
              </w:rPr>
              <w:t>16,522,557</w:t>
            </w:r>
          </w:p>
        </w:tc>
      </w:tr>
      <w:tr w:rsidR="00044DF3" w:rsidRPr="00005453" w14:paraId="1C9AFCDB" w14:textId="77777777" w:rsidTr="00044DF3">
        <w:trPr>
          <w:divId w:val="1280451577"/>
          <w:trHeight w:val="213"/>
        </w:trPr>
        <w:tc>
          <w:tcPr>
            <w:tcW w:w="3962" w:type="dxa"/>
            <w:tcBorders>
              <w:top w:val="nil"/>
              <w:left w:val="nil"/>
              <w:bottom w:val="nil"/>
              <w:right w:val="nil"/>
            </w:tcBorders>
            <w:shd w:val="clear" w:color="auto" w:fill="auto"/>
            <w:vAlign w:val="center"/>
            <w:hideMark/>
          </w:tcPr>
          <w:p w14:paraId="05F57CB5" w14:textId="77777777" w:rsidR="00044DF3" w:rsidRPr="00005453" w:rsidRDefault="00044DF3" w:rsidP="00044DF3">
            <w:pPr>
              <w:jc w:val="both"/>
              <w:rPr>
                <w:sz w:val="18"/>
                <w:szCs w:val="16"/>
                <w:lang w:eastAsia="tr-TR"/>
              </w:rPr>
            </w:pPr>
            <w:r w:rsidRPr="00005453">
              <w:rPr>
                <w:sz w:val="18"/>
                <w:szCs w:val="16"/>
                <w:lang w:eastAsia="tr-TR"/>
              </w:rPr>
              <w:t>Vadeli Serbest Hesap</w:t>
            </w:r>
          </w:p>
        </w:tc>
        <w:tc>
          <w:tcPr>
            <w:tcW w:w="1313" w:type="dxa"/>
            <w:tcBorders>
              <w:top w:val="nil"/>
              <w:left w:val="nil"/>
              <w:bottom w:val="nil"/>
              <w:right w:val="nil"/>
            </w:tcBorders>
            <w:shd w:val="clear" w:color="auto" w:fill="auto"/>
            <w:vAlign w:val="center"/>
            <w:hideMark/>
          </w:tcPr>
          <w:p w14:paraId="35BDCFCC" w14:textId="3B72BBB4" w:rsidR="00044DF3" w:rsidRPr="00005453" w:rsidRDefault="00044DF3" w:rsidP="00044DF3">
            <w:pPr>
              <w:jc w:val="right"/>
              <w:rPr>
                <w:sz w:val="18"/>
                <w:szCs w:val="16"/>
                <w:lang w:eastAsia="tr-TR"/>
              </w:rPr>
            </w:pPr>
            <w:r w:rsidRPr="00005453">
              <w:rPr>
                <w:sz w:val="18"/>
                <w:szCs w:val="18"/>
              </w:rPr>
              <w:t>-</w:t>
            </w:r>
          </w:p>
        </w:tc>
        <w:tc>
          <w:tcPr>
            <w:tcW w:w="1315" w:type="dxa"/>
            <w:tcBorders>
              <w:top w:val="nil"/>
              <w:left w:val="nil"/>
              <w:bottom w:val="nil"/>
              <w:right w:val="nil"/>
            </w:tcBorders>
            <w:shd w:val="clear" w:color="auto" w:fill="auto"/>
            <w:vAlign w:val="center"/>
            <w:hideMark/>
          </w:tcPr>
          <w:p w14:paraId="4DD986BF" w14:textId="49F18CDC" w:rsidR="00044DF3" w:rsidRPr="00005453" w:rsidRDefault="00044DF3" w:rsidP="00044DF3">
            <w:pPr>
              <w:jc w:val="right"/>
              <w:rPr>
                <w:sz w:val="18"/>
                <w:szCs w:val="16"/>
                <w:lang w:eastAsia="tr-TR"/>
              </w:rPr>
            </w:pPr>
            <w:r w:rsidRPr="00005453">
              <w:rPr>
                <w:sz w:val="18"/>
                <w:szCs w:val="18"/>
              </w:rPr>
              <w:t>-</w:t>
            </w:r>
          </w:p>
        </w:tc>
        <w:tc>
          <w:tcPr>
            <w:tcW w:w="1313" w:type="dxa"/>
            <w:tcBorders>
              <w:top w:val="nil"/>
              <w:left w:val="nil"/>
              <w:bottom w:val="nil"/>
              <w:right w:val="nil"/>
            </w:tcBorders>
            <w:shd w:val="clear" w:color="auto" w:fill="auto"/>
            <w:vAlign w:val="center"/>
            <w:hideMark/>
          </w:tcPr>
          <w:p w14:paraId="2D132BB9" w14:textId="320449B8" w:rsidR="00044DF3" w:rsidRPr="00005453" w:rsidRDefault="00044DF3" w:rsidP="00044DF3">
            <w:pPr>
              <w:jc w:val="right"/>
              <w:rPr>
                <w:sz w:val="18"/>
                <w:szCs w:val="16"/>
                <w:lang w:eastAsia="tr-TR"/>
              </w:rPr>
            </w:pPr>
            <w:r w:rsidRPr="00005453">
              <w:rPr>
                <w:sz w:val="18"/>
                <w:szCs w:val="16"/>
                <w:lang w:eastAsia="tr-TR"/>
              </w:rPr>
              <w:t>-</w:t>
            </w:r>
          </w:p>
        </w:tc>
        <w:tc>
          <w:tcPr>
            <w:tcW w:w="1315" w:type="dxa"/>
            <w:tcBorders>
              <w:top w:val="nil"/>
              <w:left w:val="nil"/>
              <w:bottom w:val="nil"/>
              <w:right w:val="nil"/>
            </w:tcBorders>
            <w:shd w:val="clear" w:color="auto" w:fill="auto"/>
            <w:vAlign w:val="center"/>
            <w:hideMark/>
          </w:tcPr>
          <w:p w14:paraId="538125FB" w14:textId="5F5A15A8" w:rsidR="00044DF3" w:rsidRPr="00005453" w:rsidRDefault="00044DF3" w:rsidP="00044DF3">
            <w:pPr>
              <w:jc w:val="right"/>
              <w:rPr>
                <w:sz w:val="18"/>
                <w:szCs w:val="16"/>
                <w:lang w:eastAsia="tr-TR"/>
              </w:rPr>
            </w:pPr>
            <w:r w:rsidRPr="00005453">
              <w:rPr>
                <w:sz w:val="18"/>
                <w:szCs w:val="16"/>
                <w:lang w:eastAsia="tr-TR"/>
              </w:rPr>
              <w:t>-</w:t>
            </w:r>
          </w:p>
        </w:tc>
      </w:tr>
      <w:tr w:rsidR="00044DF3" w:rsidRPr="00005453" w14:paraId="6E57B9FC" w14:textId="77777777" w:rsidTr="00044DF3">
        <w:trPr>
          <w:divId w:val="1280451577"/>
          <w:trHeight w:val="254"/>
        </w:trPr>
        <w:tc>
          <w:tcPr>
            <w:tcW w:w="3962" w:type="dxa"/>
            <w:tcBorders>
              <w:top w:val="nil"/>
              <w:left w:val="nil"/>
              <w:bottom w:val="single" w:sz="8" w:space="0" w:color="auto"/>
              <w:right w:val="nil"/>
            </w:tcBorders>
            <w:shd w:val="clear" w:color="auto" w:fill="auto"/>
            <w:vAlign w:val="center"/>
            <w:hideMark/>
          </w:tcPr>
          <w:p w14:paraId="00E31BE7" w14:textId="77777777" w:rsidR="00044DF3" w:rsidRPr="00005453" w:rsidRDefault="00044DF3" w:rsidP="00044DF3">
            <w:pPr>
              <w:jc w:val="both"/>
              <w:rPr>
                <w:sz w:val="18"/>
                <w:szCs w:val="16"/>
                <w:lang w:eastAsia="tr-TR"/>
              </w:rPr>
            </w:pPr>
            <w:r w:rsidRPr="00005453">
              <w:rPr>
                <w:sz w:val="18"/>
                <w:szCs w:val="16"/>
                <w:lang w:eastAsia="tr-TR"/>
              </w:rPr>
              <w:t>Vadeli Serbest Olmayan Hesap</w:t>
            </w:r>
          </w:p>
        </w:tc>
        <w:tc>
          <w:tcPr>
            <w:tcW w:w="1313" w:type="dxa"/>
            <w:tcBorders>
              <w:top w:val="nil"/>
              <w:left w:val="nil"/>
              <w:bottom w:val="single" w:sz="8" w:space="0" w:color="auto"/>
              <w:right w:val="nil"/>
            </w:tcBorders>
            <w:shd w:val="clear" w:color="auto" w:fill="auto"/>
            <w:vAlign w:val="center"/>
            <w:hideMark/>
          </w:tcPr>
          <w:p w14:paraId="23B22531" w14:textId="21C901A1" w:rsidR="00044DF3" w:rsidRPr="00005453" w:rsidRDefault="00044DF3" w:rsidP="00044DF3">
            <w:pPr>
              <w:jc w:val="right"/>
              <w:rPr>
                <w:sz w:val="18"/>
                <w:szCs w:val="18"/>
                <w:lang w:eastAsia="tr-TR"/>
              </w:rPr>
            </w:pPr>
            <w:r w:rsidRPr="00005453">
              <w:rPr>
                <w:sz w:val="18"/>
                <w:szCs w:val="18"/>
              </w:rPr>
              <w:t>25,113,643</w:t>
            </w:r>
          </w:p>
        </w:tc>
        <w:tc>
          <w:tcPr>
            <w:tcW w:w="1315" w:type="dxa"/>
            <w:tcBorders>
              <w:top w:val="nil"/>
              <w:left w:val="nil"/>
              <w:bottom w:val="single" w:sz="8" w:space="0" w:color="auto"/>
              <w:right w:val="nil"/>
            </w:tcBorders>
            <w:shd w:val="clear" w:color="auto" w:fill="auto"/>
            <w:vAlign w:val="center"/>
            <w:hideMark/>
          </w:tcPr>
          <w:p w14:paraId="04498C17" w14:textId="1F4D0D89" w:rsidR="00044DF3" w:rsidRPr="00005453" w:rsidRDefault="00044DF3" w:rsidP="00044DF3">
            <w:pPr>
              <w:jc w:val="right"/>
              <w:rPr>
                <w:sz w:val="18"/>
                <w:szCs w:val="18"/>
                <w:lang w:eastAsia="tr-TR"/>
              </w:rPr>
            </w:pPr>
            <w:r w:rsidRPr="00005453">
              <w:rPr>
                <w:sz w:val="18"/>
                <w:szCs w:val="18"/>
              </w:rPr>
              <w:t>87,324,728</w:t>
            </w:r>
          </w:p>
        </w:tc>
        <w:tc>
          <w:tcPr>
            <w:tcW w:w="1313" w:type="dxa"/>
            <w:tcBorders>
              <w:top w:val="nil"/>
              <w:left w:val="nil"/>
              <w:bottom w:val="single" w:sz="8" w:space="0" w:color="auto"/>
              <w:right w:val="nil"/>
            </w:tcBorders>
            <w:shd w:val="clear" w:color="auto" w:fill="auto"/>
            <w:vAlign w:val="center"/>
            <w:hideMark/>
          </w:tcPr>
          <w:p w14:paraId="149011AE" w14:textId="2BF1F013" w:rsidR="00044DF3" w:rsidRPr="00005453" w:rsidRDefault="00044DF3" w:rsidP="00044DF3">
            <w:pPr>
              <w:jc w:val="right"/>
              <w:rPr>
                <w:sz w:val="18"/>
                <w:szCs w:val="18"/>
                <w:lang w:eastAsia="tr-TR"/>
              </w:rPr>
            </w:pPr>
            <w:r w:rsidRPr="00005453">
              <w:rPr>
                <w:sz w:val="18"/>
                <w:szCs w:val="18"/>
              </w:rPr>
              <w:t>6,051,884</w:t>
            </w:r>
          </w:p>
        </w:tc>
        <w:tc>
          <w:tcPr>
            <w:tcW w:w="1315" w:type="dxa"/>
            <w:tcBorders>
              <w:top w:val="nil"/>
              <w:left w:val="nil"/>
              <w:bottom w:val="single" w:sz="8" w:space="0" w:color="auto"/>
              <w:right w:val="nil"/>
            </w:tcBorders>
            <w:shd w:val="clear" w:color="auto" w:fill="auto"/>
            <w:vAlign w:val="center"/>
            <w:hideMark/>
          </w:tcPr>
          <w:p w14:paraId="76030EB2" w14:textId="72437224" w:rsidR="00044DF3" w:rsidRPr="00005453" w:rsidRDefault="00044DF3" w:rsidP="00044DF3">
            <w:pPr>
              <w:jc w:val="right"/>
              <w:rPr>
                <w:sz w:val="18"/>
                <w:szCs w:val="18"/>
                <w:lang w:eastAsia="tr-TR"/>
              </w:rPr>
            </w:pPr>
            <w:r w:rsidRPr="00005453">
              <w:rPr>
                <w:sz w:val="18"/>
                <w:szCs w:val="18"/>
              </w:rPr>
              <w:t>74,957,444</w:t>
            </w:r>
          </w:p>
        </w:tc>
      </w:tr>
      <w:tr w:rsidR="00044DF3" w:rsidRPr="00005453" w14:paraId="3CBE6D01" w14:textId="77777777" w:rsidTr="00044DF3">
        <w:trPr>
          <w:divId w:val="1280451577"/>
          <w:trHeight w:val="154"/>
        </w:trPr>
        <w:tc>
          <w:tcPr>
            <w:tcW w:w="3962" w:type="dxa"/>
            <w:tcBorders>
              <w:top w:val="nil"/>
              <w:left w:val="nil"/>
              <w:bottom w:val="double" w:sz="6" w:space="0" w:color="auto"/>
              <w:right w:val="nil"/>
            </w:tcBorders>
            <w:shd w:val="clear" w:color="auto" w:fill="auto"/>
            <w:vAlign w:val="center"/>
            <w:hideMark/>
          </w:tcPr>
          <w:p w14:paraId="3686EFC2" w14:textId="77777777" w:rsidR="00044DF3" w:rsidRPr="00005453" w:rsidRDefault="00044DF3" w:rsidP="00044DF3">
            <w:pPr>
              <w:jc w:val="both"/>
              <w:rPr>
                <w:b/>
                <w:bCs/>
                <w:sz w:val="18"/>
                <w:szCs w:val="16"/>
                <w:lang w:eastAsia="tr-TR"/>
              </w:rPr>
            </w:pPr>
            <w:r w:rsidRPr="00005453">
              <w:rPr>
                <w:b/>
                <w:bCs/>
                <w:sz w:val="18"/>
                <w:szCs w:val="16"/>
                <w:lang w:eastAsia="tr-TR"/>
              </w:rPr>
              <w:t>Toplam</w:t>
            </w:r>
          </w:p>
        </w:tc>
        <w:tc>
          <w:tcPr>
            <w:tcW w:w="1313" w:type="dxa"/>
            <w:tcBorders>
              <w:top w:val="nil"/>
              <w:left w:val="nil"/>
              <w:bottom w:val="double" w:sz="6" w:space="0" w:color="auto"/>
              <w:right w:val="nil"/>
            </w:tcBorders>
            <w:shd w:val="clear" w:color="auto" w:fill="auto"/>
            <w:vAlign w:val="center"/>
            <w:hideMark/>
          </w:tcPr>
          <w:p w14:paraId="71A8BF03" w14:textId="0B84A06D" w:rsidR="00044DF3" w:rsidRPr="00005453" w:rsidRDefault="00044DF3" w:rsidP="00044DF3">
            <w:pPr>
              <w:jc w:val="right"/>
              <w:rPr>
                <w:b/>
                <w:bCs/>
                <w:sz w:val="18"/>
                <w:szCs w:val="16"/>
                <w:lang w:eastAsia="tr-TR"/>
              </w:rPr>
            </w:pPr>
            <w:r w:rsidRPr="00005453">
              <w:rPr>
                <w:b/>
                <w:bCs/>
                <w:sz w:val="18"/>
                <w:szCs w:val="18"/>
              </w:rPr>
              <w:t>55,920,535</w:t>
            </w:r>
          </w:p>
        </w:tc>
        <w:tc>
          <w:tcPr>
            <w:tcW w:w="1315" w:type="dxa"/>
            <w:tcBorders>
              <w:top w:val="nil"/>
              <w:left w:val="nil"/>
              <w:bottom w:val="double" w:sz="6" w:space="0" w:color="auto"/>
              <w:right w:val="nil"/>
            </w:tcBorders>
            <w:shd w:val="clear" w:color="auto" w:fill="auto"/>
            <w:vAlign w:val="center"/>
            <w:hideMark/>
          </w:tcPr>
          <w:p w14:paraId="71B4D89D" w14:textId="1C7DC9AF" w:rsidR="00044DF3" w:rsidRPr="00005453" w:rsidRDefault="00044DF3" w:rsidP="00044DF3">
            <w:pPr>
              <w:jc w:val="right"/>
              <w:rPr>
                <w:b/>
                <w:bCs/>
                <w:sz w:val="18"/>
                <w:szCs w:val="16"/>
                <w:lang w:eastAsia="tr-TR"/>
              </w:rPr>
            </w:pPr>
            <w:r w:rsidRPr="00005453">
              <w:rPr>
                <w:b/>
                <w:bCs/>
                <w:sz w:val="18"/>
                <w:szCs w:val="18"/>
              </w:rPr>
              <w:t>141,876,397</w:t>
            </w:r>
          </w:p>
        </w:tc>
        <w:tc>
          <w:tcPr>
            <w:tcW w:w="1313" w:type="dxa"/>
            <w:tcBorders>
              <w:top w:val="nil"/>
              <w:left w:val="nil"/>
              <w:bottom w:val="double" w:sz="6" w:space="0" w:color="auto"/>
              <w:right w:val="nil"/>
            </w:tcBorders>
            <w:shd w:val="clear" w:color="auto" w:fill="auto"/>
            <w:vAlign w:val="center"/>
            <w:hideMark/>
          </w:tcPr>
          <w:p w14:paraId="41E6E90F" w14:textId="3CD4440A" w:rsidR="00044DF3" w:rsidRPr="00005453" w:rsidRDefault="00044DF3" w:rsidP="00044DF3">
            <w:pPr>
              <w:jc w:val="right"/>
              <w:rPr>
                <w:b/>
                <w:bCs/>
                <w:sz w:val="18"/>
                <w:szCs w:val="16"/>
                <w:lang w:eastAsia="tr-TR"/>
              </w:rPr>
            </w:pPr>
            <w:r w:rsidRPr="00005453">
              <w:rPr>
                <w:b/>
                <w:bCs/>
                <w:sz w:val="18"/>
                <w:szCs w:val="18"/>
              </w:rPr>
              <w:t>27,619,499</w:t>
            </w:r>
          </w:p>
        </w:tc>
        <w:tc>
          <w:tcPr>
            <w:tcW w:w="1315" w:type="dxa"/>
            <w:tcBorders>
              <w:top w:val="nil"/>
              <w:left w:val="nil"/>
              <w:bottom w:val="double" w:sz="6" w:space="0" w:color="auto"/>
              <w:right w:val="nil"/>
            </w:tcBorders>
            <w:shd w:val="clear" w:color="auto" w:fill="auto"/>
            <w:vAlign w:val="center"/>
            <w:hideMark/>
          </w:tcPr>
          <w:p w14:paraId="5287BF30" w14:textId="464042EE" w:rsidR="00044DF3" w:rsidRPr="00005453" w:rsidRDefault="00044DF3" w:rsidP="00044DF3">
            <w:pPr>
              <w:jc w:val="right"/>
              <w:rPr>
                <w:b/>
                <w:bCs/>
                <w:sz w:val="18"/>
                <w:szCs w:val="16"/>
                <w:lang w:eastAsia="tr-TR"/>
              </w:rPr>
            </w:pPr>
            <w:r w:rsidRPr="00005453">
              <w:rPr>
                <w:b/>
                <w:bCs/>
                <w:sz w:val="18"/>
                <w:szCs w:val="18"/>
              </w:rPr>
              <w:t>91,480,001</w:t>
            </w:r>
          </w:p>
        </w:tc>
      </w:tr>
    </w:tbl>
    <w:p w14:paraId="052405AE" w14:textId="3411A5A4" w:rsidR="006E4294" w:rsidRPr="00005453" w:rsidRDefault="006E4294" w:rsidP="00246092">
      <w:pPr>
        <w:tabs>
          <w:tab w:val="left" w:pos="3270"/>
        </w:tabs>
        <w:autoSpaceDE w:val="0"/>
        <w:autoSpaceDN w:val="0"/>
        <w:adjustRightInd w:val="0"/>
        <w:rPr>
          <w:rFonts w:eastAsia="Arial Unicode MS"/>
          <w:sz w:val="16"/>
          <w:szCs w:val="16"/>
        </w:rPr>
      </w:pPr>
    </w:p>
    <w:p w14:paraId="1ADCA870" w14:textId="77777777" w:rsidR="003A4891" w:rsidRPr="00005453" w:rsidRDefault="003A4891" w:rsidP="003A4891">
      <w:pPr>
        <w:autoSpaceDE w:val="0"/>
        <w:autoSpaceDN w:val="0"/>
        <w:jc w:val="both"/>
        <w:rPr>
          <w:rFonts w:eastAsia="Arial Unicode MS"/>
        </w:rPr>
      </w:pPr>
      <w:r w:rsidRPr="00005453">
        <w:rPr>
          <w:rFonts w:eastAsia="Arial Unicode MS"/>
        </w:rPr>
        <w:t>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1E368849" w14:textId="77777777" w:rsidR="003A4891" w:rsidRPr="00005453" w:rsidRDefault="003A4891" w:rsidP="003A4891">
      <w:pPr>
        <w:autoSpaceDE w:val="0"/>
        <w:autoSpaceDN w:val="0"/>
        <w:jc w:val="both"/>
        <w:rPr>
          <w:sz w:val="14"/>
        </w:rPr>
      </w:pPr>
    </w:p>
    <w:p w14:paraId="75463548" w14:textId="7A38914B" w:rsidR="00101FEA" w:rsidRPr="00005453" w:rsidRDefault="003A4891" w:rsidP="004B5302">
      <w:pPr>
        <w:autoSpaceDE w:val="0"/>
        <w:autoSpaceDN w:val="0"/>
        <w:jc w:val="both"/>
        <w:rPr>
          <w:lang w:eastAsia="tr-TR"/>
        </w:rPr>
      </w:pPr>
      <w:r w:rsidRPr="00005453">
        <w:t>31 Aralık 2024 tarihi itibarıyla Türk parası katılım fonları ve diğer yükümlülükler için vade yapısına göre %3 ilâ %1</w:t>
      </w:r>
      <w:r w:rsidR="00A52FDD" w:rsidRPr="00005453">
        <w:t>7</w:t>
      </w:r>
      <w:r w:rsidRPr="00005453">
        <w:t xml:space="preserve"> (kur koruma desteği sağlanan hesaplar için %22 ilâ %33), yabancı para katılım fonları ve diğer yükümlülükler için vade yapısına göre %5 ilâ %30, kıymetli maden depo hesapları için vade yapısına göre %22 ilâ %26 zorunlu karşılık tesis etmektedir. Yabancı para cinsinden katılım fonu (yurt dışı bankalar katılım fonu ve kıymetli maden depo hesapları hariç) için ilave zorunlu karşılık oranı %</w:t>
      </w:r>
      <w:r w:rsidR="00380069" w:rsidRPr="00005453">
        <w:t>4</w:t>
      </w:r>
      <w:r w:rsidRPr="00005453">
        <w:t>’</w:t>
      </w:r>
      <w:r w:rsidR="003B6607" w:rsidRPr="00005453">
        <w:t>tür</w:t>
      </w:r>
      <w:r w:rsidRPr="00005453">
        <w:t>.</w:t>
      </w:r>
    </w:p>
    <w:p w14:paraId="54EC1B36" w14:textId="77777777" w:rsidR="00022D3E" w:rsidRPr="00005453" w:rsidRDefault="00022D3E" w:rsidP="00D56BE7">
      <w:pPr>
        <w:autoSpaceDE w:val="0"/>
        <w:autoSpaceDN w:val="0"/>
        <w:adjustRightInd w:val="0"/>
        <w:rPr>
          <w:color w:val="000000"/>
        </w:rPr>
      </w:pPr>
    </w:p>
    <w:p w14:paraId="0D30EA6C" w14:textId="2F3F0328" w:rsidR="00905E02" w:rsidRPr="00005453" w:rsidRDefault="00DF5E22" w:rsidP="00DE0848">
      <w:pPr>
        <w:pStyle w:val="BodyTextIndent"/>
        <w:tabs>
          <w:tab w:val="left" w:pos="709"/>
        </w:tabs>
        <w:autoSpaceDE/>
        <w:autoSpaceDN/>
        <w:adjustRightInd/>
        <w:ind w:left="0" w:hanging="567"/>
        <w:jc w:val="left"/>
        <w:rPr>
          <w:b/>
        </w:rPr>
      </w:pPr>
      <w:r w:rsidRPr="00005453">
        <w:rPr>
          <w:b/>
        </w:rPr>
        <w:t xml:space="preserve">1.2    </w:t>
      </w:r>
      <w:r w:rsidR="00DE0848" w:rsidRPr="00005453">
        <w:rPr>
          <w:b/>
        </w:rPr>
        <w:t xml:space="preserve">  </w:t>
      </w:r>
      <w:r w:rsidR="003D740C" w:rsidRPr="00005453">
        <w:rPr>
          <w:b/>
        </w:rPr>
        <w:t>Gerçeğe uygun değer farkı kar/zarara yansıtılan finansal varlıklara ilişkin bilgiler</w:t>
      </w:r>
    </w:p>
    <w:p w14:paraId="289DE144" w14:textId="77777777" w:rsidR="00C10FE2" w:rsidRPr="00005453" w:rsidRDefault="00C10FE2" w:rsidP="00DE0848">
      <w:pPr>
        <w:autoSpaceDE w:val="0"/>
        <w:autoSpaceDN w:val="0"/>
        <w:adjustRightInd w:val="0"/>
        <w:ind w:hanging="567"/>
        <w:jc w:val="both"/>
        <w:rPr>
          <w:b/>
          <w:sz w:val="16"/>
          <w:szCs w:val="16"/>
          <w:lang w:eastAsia="x-none"/>
        </w:rPr>
      </w:pPr>
    </w:p>
    <w:p w14:paraId="25A95F32" w14:textId="3308C3E1" w:rsidR="003A4891" w:rsidRPr="00005453" w:rsidRDefault="003A4891" w:rsidP="003A4891">
      <w:pPr>
        <w:autoSpaceDE w:val="0"/>
        <w:autoSpaceDN w:val="0"/>
        <w:adjustRightInd w:val="0"/>
        <w:jc w:val="both"/>
        <w:rPr>
          <w:rFonts w:eastAsia="Arial Unicode MS"/>
        </w:rPr>
      </w:pPr>
      <w:bookmarkStart w:id="72" w:name="_Hlk180355124"/>
      <w:r w:rsidRPr="00005453">
        <w:rPr>
          <w:rFonts w:eastAsia="Arial Unicode MS"/>
          <w:color w:val="000000"/>
          <w:spacing w:val="-6"/>
        </w:rPr>
        <w:t>31 Aralık 2024 tarihi</w:t>
      </w:r>
      <w:r w:rsidRPr="00005453">
        <w:rPr>
          <w:rFonts w:eastAsia="Arial Unicode MS"/>
        </w:rPr>
        <w:t xml:space="preserve"> itibari ile gerçeğe uygun değer farkı kar/zarara yansıtılan finansal varlıklardan repo işlemlerine konu olan yoktur (31 Aralık 2023 – Yoktur), teminata verilen, bloke edilen 4,</w:t>
      </w:r>
      <w:r w:rsidR="0085456D" w:rsidRPr="00005453">
        <w:rPr>
          <w:rFonts w:eastAsia="Arial Unicode MS"/>
        </w:rPr>
        <w:t>424</w:t>
      </w:r>
      <w:r w:rsidRPr="00005453">
        <w:rPr>
          <w:rFonts w:eastAsia="Arial Unicode MS"/>
        </w:rPr>
        <w:t>,</w:t>
      </w:r>
      <w:r w:rsidR="0085456D" w:rsidRPr="00005453">
        <w:rPr>
          <w:rFonts w:eastAsia="Arial Unicode MS"/>
        </w:rPr>
        <w:t>962</w:t>
      </w:r>
      <w:r w:rsidRPr="00005453">
        <w:rPr>
          <w:rFonts w:eastAsia="Arial Unicode MS"/>
        </w:rPr>
        <w:t xml:space="preserve"> TL’dir </w:t>
      </w:r>
      <w:r w:rsidRPr="00005453">
        <w:t>(31 Aralık 2023 – 16,953,796 TL).</w:t>
      </w:r>
    </w:p>
    <w:bookmarkEnd w:id="72"/>
    <w:p w14:paraId="7321383C" w14:textId="77777777" w:rsidR="003A4891" w:rsidRPr="00005453" w:rsidRDefault="003A4891" w:rsidP="00DE0848">
      <w:pPr>
        <w:tabs>
          <w:tab w:val="num" w:pos="0"/>
        </w:tabs>
        <w:autoSpaceDE w:val="0"/>
        <w:autoSpaceDN w:val="0"/>
        <w:adjustRightInd w:val="0"/>
        <w:ind w:left="709" w:hanging="1276"/>
        <w:rPr>
          <w:b/>
          <w:lang w:eastAsia="x-none"/>
        </w:rPr>
      </w:pPr>
    </w:p>
    <w:p w14:paraId="6E3C79D3" w14:textId="6DB5D109" w:rsidR="00FE4F14" w:rsidRPr="00005453" w:rsidRDefault="009D678B" w:rsidP="00DE0848">
      <w:pPr>
        <w:tabs>
          <w:tab w:val="num" w:pos="0"/>
        </w:tabs>
        <w:autoSpaceDE w:val="0"/>
        <w:autoSpaceDN w:val="0"/>
        <w:adjustRightInd w:val="0"/>
        <w:ind w:left="709" w:hanging="1276"/>
      </w:pPr>
      <w:r w:rsidRPr="00005453">
        <w:rPr>
          <w:b/>
          <w:lang w:eastAsia="x-none"/>
        </w:rPr>
        <w:tab/>
      </w:r>
      <w:r w:rsidR="00E253C8" w:rsidRPr="00005453">
        <w:t>Alım satım amaçlı türev finansal varlıklara ilişkin pozitif farklar tablosu:</w:t>
      </w:r>
      <w:r w:rsidR="00A57C29" w:rsidRPr="00005453">
        <w:rPr>
          <w:b/>
          <w:sz w:val="18"/>
          <w:szCs w:val="18"/>
        </w:rPr>
        <w:t xml:space="preserve"> </w:t>
      </w:r>
    </w:p>
    <w:p w14:paraId="26C37C68" w14:textId="08D0246A" w:rsidR="0084535B" w:rsidRPr="00005453" w:rsidRDefault="0084535B" w:rsidP="00246092">
      <w:pPr>
        <w:autoSpaceDE w:val="0"/>
        <w:autoSpaceDN w:val="0"/>
        <w:adjustRightInd w:val="0"/>
        <w:jc w:val="both"/>
        <w:rPr>
          <w:lang w:eastAsia="en-GB"/>
        </w:rPr>
      </w:pPr>
    </w:p>
    <w:tbl>
      <w:tblPr>
        <w:tblW w:w="9236" w:type="dxa"/>
        <w:tblLayout w:type="fixed"/>
        <w:tblCellMar>
          <w:left w:w="70" w:type="dxa"/>
          <w:right w:w="70" w:type="dxa"/>
        </w:tblCellMar>
        <w:tblLook w:val="04A0" w:firstRow="1" w:lastRow="0" w:firstColumn="1" w:lastColumn="0" w:noHBand="0" w:noVBand="1"/>
      </w:tblPr>
      <w:tblGrid>
        <w:gridCol w:w="3425"/>
        <w:gridCol w:w="1820"/>
        <w:gridCol w:w="1528"/>
        <w:gridCol w:w="1279"/>
        <w:gridCol w:w="1184"/>
      </w:tblGrid>
      <w:tr w:rsidR="0084535B" w:rsidRPr="00005453" w14:paraId="688F95DD" w14:textId="77777777" w:rsidTr="000E5F12">
        <w:trPr>
          <w:divId w:val="1424959658"/>
          <w:trHeight w:val="266"/>
        </w:trPr>
        <w:tc>
          <w:tcPr>
            <w:tcW w:w="3425" w:type="dxa"/>
            <w:tcBorders>
              <w:top w:val="double" w:sz="6" w:space="0" w:color="auto"/>
              <w:left w:val="nil"/>
              <w:bottom w:val="nil"/>
              <w:right w:val="nil"/>
            </w:tcBorders>
            <w:shd w:val="clear" w:color="auto" w:fill="auto"/>
            <w:vAlign w:val="center"/>
            <w:hideMark/>
          </w:tcPr>
          <w:p w14:paraId="2473FFC4" w14:textId="7F98DF82" w:rsidR="0084535B" w:rsidRPr="00005453" w:rsidRDefault="0084535B" w:rsidP="0084535B">
            <w:pPr>
              <w:jc w:val="right"/>
              <w:rPr>
                <w:sz w:val="18"/>
                <w:szCs w:val="18"/>
                <w:lang w:eastAsia="tr-TR"/>
              </w:rPr>
            </w:pPr>
            <w:r w:rsidRPr="00005453">
              <w:rPr>
                <w:sz w:val="18"/>
                <w:szCs w:val="18"/>
                <w:lang w:eastAsia="tr-TR"/>
              </w:rPr>
              <w:t> </w:t>
            </w:r>
          </w:p>
        </w:tc>
        <w:tc>
          <w:tcPr>
            <w:tcW w:w="3348" w:type="dxa"/>
            <w:gridSpan w:val="2"/>
            <w:tcBorders>
              <w:top w:val="double" w:sz="6" w:space="0" w:color="auto"/>
              <w:left w:val="nil"/>
              <w:bottom w:val="single" w:sz="8" w:space="0" w:color="auto"/>
              <w:right w:val="nil"/>
            </w:tcBorders>
            <w:shd w:val="clear" w:color="auto" w:fill="auto"/>
            <w:vAlign w:val="center"/>
            <w:hideMark/>
          </w:tcPr>
          <w:p w14:paraId="1127B77B" w14:textId="77777777" w:rsidR="0084535B" w:rsidRPr="00005453" w:rsidRDefault="0084535B" w:rsidP="00614CD2">
            <w:pPr>
              <w:jc w:val="right"/>
              <w:rPr>
                <w:b/>
                <w:bCs/>
                <w:sz w:val="18"/>
                <w:szCs w:val="18"/>
                <w:lang w:eastAsia="tr-TR"/>
              </w:rPr>
            </w:pPr>
            <w:r w:rsidRPr="00005453">
              <w:rPr>
                <w:b/>
                <w:bCs/>
                <w:sz w:val="18"/>
                <w:szCs w:val="18"/>
                <w:lang w:eastAsia="tr-TR"/>
              </w:rPr>
              <w:t>Cari Dönem</w:t>
            </w:r>
          </w:p>
        </w:tc>
        <w:tc>
          <w:tcPr>
            <w:tcW w:w="2463" w:type="dxa"/>
            <w:gridSpan w:val="2"/>
            <w:tcBorders>
              <w:top w:val="double" w:sz="6" w:space="0" w:color="auto"/>
              <w:left w:val="nil"/>
              <w:bottom w:val="single" w:sz="8" w:space="0" w:color="auto"/>
              <w:right w:val="nil"/>
            </w:tcBorders>
            <w:shd w:val="clear" w:color="auto" w:fill="auto"/>
            <w:vAlign w:val="center"/>
            <w:hideMark/>
          </w:tcPr>
          <w:p w14:paraId="3BB6A2C8" w14:textId="77777777" w:rsidR="0084535B" w:rsidRPr="00005453" w:rsidRDefault="0084535B" w:rsidP="00614CD2">
            <w:pPr>
              <w:jc w:val="right"/>
              <w:rPr>
                <w:b/>
                <w:bCs/>
                <w:sz w:val="18"/>
                <w:szCs w:val="18"/>
                <w:lang w:eastAsia="tr-TR"/>
              </w:rPr>
            </w:pPr>
            <w:r w:rsidRPr="00005453">
              <w:rPr>
                <w:b/>
                <w:bCs/>
                <w:sz w:val="18"/>
                <w:szCs w:val="18"/>
                <w:lang w:eastAsia="tr-TR"/>
              </w:rPr>
              <w:t>Önceki Dönem</w:t>
            </w:r>
          </w:p>
        </w:tc>
      </w:tr>
      <w:tr w:rsidR="0084535B" w:rsidRPr="00005453" w14:paraId="3D826201" w14:textId="77777777" w:rsidTr="000E5F12">
        <w:trPr>
          <w:divId w:val="1424959658"/>
          <w:trHeight w:val="251"/>
        </w:trPr>
        <w:tc>
          <w:tcPr>
            <w:tcW w:w="3425" w:type="dxa"/>
            <w:tcBorders>
              <w:top w:val="nil"/>
              <w:left w:val="nil"/>
              <w:bottom w:val="single" w:sz="8" w:space="0" w:color="auto"/>
              <w:right w:val="nil"/>
            </w:tcBorders>
            <w:shd w:val="clear" w:color="auto" w:fill="auto"/>
            <w:vAlign w:val="center"/>
            <w:hideMark/>
          </w:tcPr>
          <w:p w14:paraId="67753CDD" w14:textId="77777777" w:rsidR="0084535B" w:rsidRPr="00005453" w:rsidRDefault="0084535B" w:rsidP="0084535B">
            <w:pPr>
              <w:jc w:val="right"/>
              <w:rPr>
                <w:sz w:val="18"/>
                <w:szCs w:val="18"/>
                <w:lang w:eastAsia="tr-TR"/>
              </w:rPr>
            </w:pPr>
            <w:r w:rsidRPr="00005453">
              <w:rPr>
                <w:sz w:val="18"/>
                <w:szCs w:val="18"/>
                <w:lang w:eastAsia="tr-TR"/>
              </w:rPr>
              <w:t> </w:t>
            </w:r>
          </w:p>
        </w:tc>
        <w:tc>
          <w:tcPr>
            <w:tcW w:w="1820" w:type="dxa"/>
            <w:tcBorders>
              <w:top w:val="nil"/>
              <w:left w:val="nil"/>
              <w:bottom w:val="single" w:sz="8" w:space="0" w:color="auto"/>
              <w:right w:val="nil"/>
            </w:tcBorders>
            <w:shd w:val="clear" w:color="auto" w:fill="auto"/>
            <w:vAlign w:val="center"/>
            <w:hideMark/>
          </w:tcPr>
          <w:p w14:paraId="17ACD49C" w14:textId="77777777" w:rsidR="0084535B" w:rsidRPr="00005453" w:rsidRDefault="0084535B" w:rsidP="0084535B">
            <w:pPr>
              <w:jc w:val="right"/>
              <w:rPr>
                <w:b/>
                <w:bCs/>
                <w:sz w:val="18"/>
                <w:szCs w:val="18"/>
                <w:lang w:eastAsia="tr-TR"/>
              </w:rPr>
            </w:pPr>
            <w:r w:rsidRPr="00005453">
              <w:rPr>
                <w:b/>
                <w:bCs/>
                <w:sz w:val="18"/>
                <w:szCs w:val="18"/>
                <w:lang w:eastAsia="tr-TR"/>
              </w:rPr>
              <w:t>TP</w:t>
            </w:r>
          </w:p>
        </w:tc>
        <w:tc>
          <w:tcPr>
            <w:tcW w:w="1528" w:type="dxa"/>
            <w:tcBorders>
              <w:top w:val="nil"/>
              <w:left w:val="nil"/>
              <w:bottom w:val="single" w:sz="8" w:space="0" w:color="auto"/>
              <w:right w:val="nil"/>
            </w:tcBorders>
            <w:shd w:val="clear" w:color="auto" w:fill="auto"/>
            <w:vAlign w:val="center"/>
            <w:hideMark/>
          </w:tcPr>
          <w:p w14:paraId="5C6534D8" w14:textId="77777777" w:rsidR="0084535B" w:rsidRPr="00005453" w:rsidRDefault="0084535B" w:rsidP="0084535B">
            <w:pPr>
              <w:jc w:val="right"/>
              <w:rPr>
                <w:b/>
                <w:bCs/>
                <w:sz w:val="18"/>
                <w:szCs w:val="18"/>
                <w:lang w:eastAsia="tr-TR"/>
              </w:rPr>
            </w:pPr>
            <w:r w:rsidRPr="00005453">
              <w:rPr>
                <w:b/>
                <w:bCs/>
                <w:sz w:val="18"/>
                <w:szCs w:val="18"/>
                <w:lang w:eastAsia="tr-TR"/>
              </w:rPr>
              <w:t>YP</w:t>
            </w:r>
          </w:p>
        </w:tc>
        <w:tc>
          <w:tcPr>
            <w:tcW w:w="1279" w:type="dxa"/>
            <w:tcBorders>
              <w:top w:val="nil"/>
              <w:left w:val="nil"/>
              <w:bottom w:val="single" w:sz="8" w:space="0" w:color="auto"/>
              <w:right w:val="nil"/>
            </w:tcBorders>
            <w:shd w:val="clear" w:color="auto" w:fill="auto"/>
            <w:vAlign w:val="center"/>
            <w:hideMark/>
          </w:tcPr>
          <w:p w14:paraId="31A929F2" w14:textId="77777777" w:rsidR="0084535B" w:rsidRPr="00005453" w:rsidRDefault="0084535B" w:rsidP="0084535B">
            <w:pPr>
              <w:jc w:val="right"/>
              <w:rPr>
                <w:b/>
                <w:bCs/>
                <w:sz w:val="18"/>
                <w:szCs w:val="18"/>
                <w:lang w:eastAsia="tr-TR"/>
              </w:rPr>
            </w:pPr>
            <w:r w:rsidRPr="00005453">
              <w:rPr>
                <w:b/>
                <w:bCs/>
                <w:sz w:val="18"/>
                <w:szCs w:val="18"/>
                <w:lang w:eastAsia="tr-TR"/>
              </w:rPr>
              <w:t>TP</w:t>
            </w:r>
          </w:p>
        </w:tc>
        <w:tc>
          <w:tcPr>
            <w:tcW w:w="1184" w:type="dxa"/>
            <w:tcBorders>
              <w:top w:val="nil"/>
              <w:left w:val="nil"/>
              <w:bottom w:val="single" w:sz="8" w:space="0" w:color="auto"/>
              <w:right w:val="nil"/>
            </w:tcBorders>
            <w:shd w:val="clear" w:color="auto" w:fill="auto"/>
            <w:vAlign w:val="center"/>
            <w:hideMark/>
          </w:tcPr>
          <w:p w14:paraId="41BAFCD5" w14:textId="77777777" w:rsidR="0084535B" w:rsidRPr="00005453" w:rsidRDefault="0084535B" w:rsidP="0084535B">
            <w:pPr>
              <w:jc w:val="right"/>
              <w:rPr>
                <w:b/>
                <w:bCs/>
                <w:sz w:val="18"/>
                <w:szCs w:val="18"/>
                <w:lang w:eastAsia="tr-TR"/>
              </w:rPr>
            </w:pPr>
            <w:r w:rsidRPr="00005453">
              <w:rPr>
                <w:b/>
                <w:bCs/>
                <w:sz w:val="18"/>
                <w:szCs w:val="18"/>
                <w:lang w:eastAsia="tr-TR"/>
              </w:rPr>
              <w:t>YP</w:t>
            </w:r>
          </w:p>
        </w:tc>
      </w:tr>
      <w:tr w:rsidR="00380069" w:rsidRPr="00005453" w14:paraId="13CA9951" w14:textId="77777777" w:rsidTr="00380069">
        <w:trPr>
          <w:divId w:val="1424959658"/>
          <w:trHeight w:val="236"/>
        </w:trPr>
        <w:tc>
          <w:tcPr>
            <w:tcW w:w="3425" w:type="dxa"/>
            <w:tcBorders>
              <w:top w:val="nil"/>
              <w:left w:val="nil"/>
              <w:bottom w:val="nil"/>
              <w:right w:val="nil"/>
            </w:tcBorders>
            <w:shd w:val="clear" w:color="auto" w:fill="auto"/>
            <w:vAlign w:val="center"/>
            <w:hideMark/>
          </w:tcPr>
          <w:p w14:paraId="4DF6860C" w14:textId="77777777" w:rsidR="00380069" w:rsidRPr="00005453" w:rsidRDefault="00380069" w:rsidP="00380069">
            <w:pPr>
              <w:jc w:val="both"/>
              <w:rPr>
                <w:sz w:val="18"/>
                <w:szCs w:val="18"/>
                <w:lang w:eastAsia="tr-TR"/>
              </w:rPr>
            </w:pPr>
            <w:r w:rsidRPr="00005453">
              <w:rPr>
                <w:sz w:val="18"/>
                <w:szCs w:val="18"/>
                <w:lang w:eastAsia="tr-TR"/>
              </w:rPr>
              <w:t>Vadeli İşlemler</w:t>
            </w:r>
          </w:p>
        </w:tc>
        <w:tc>
          <w:tcPr>
            <w:tcW w:w="1820" w:type="dxa"/>
            <w:tcBorders>
              <w:top w:val="nil"/>
              <w:left w:val="nil"/>
              <w:bottom w:val="nil"/>
              <w:right w:val="nil"/>
            </w:tcBorders>
            <w:shd w:val="clear" w:color="auto" w:fill="auto"/>
            <w:vAlign w:val="center"/>
            <w:hideMark/>
          </w:tcPr>
          <w:p w14:paraId="0581515B" w14:textId="6C64D21C" w:rsidR="00380069" w:rsidRPr="00005453" w:rsidRDefault="00380069" w:rsidP="00380069">
            <w:pPr>
              <w:jc w:val="right"/>
              <w:rPr>
                <w:sz w:val="18"/>
                <w:szCs w:val="18"/>
                <w:lang w:eastAsia="tr-TR"/>
              </w:rPr>
            </w:pPr>
            <w:r w:rsidRPr="00005453">
              <w:rPr>
                <w:color w:val="000000"/>
                <w:sz w:val="18"/>
                <w:szCs w:val="18"/>
              </w:rPr>
              <w:t>164,392</w:t>
            </w:r>
          </w:p>
        </w:tc>
        <w:tc>
          <w:tcPr>
            <w:tcW w:w="1528" w:type="dxa"/>
            <w:tcBorders>
              <w:top w:val="nil"/>
              <w:left w:val="nil"/>
              <w:bottom w:val="nil"/>
              <w:right w:val="nil"/>
            </w:tcBorders>
            <w:shd w:val="clear" w:color="auto" w:fill="auto"/>
            <w:vAlign w:val="center"/>
            <w:hideMark/>
          </w:tcPr>
          <w:p w14:paraId="4D1ABF1D" w14:textId="33CE79A8" w:rsidR="00380069" w:rsidRPr="00005453" w:rsidRDefault="00380069" w:rsidP="00380069">
            <w:pPr>
              <w:jc w:val="right"/>
              <w:rPr>
                <w:sz w:val="18"/>
                <w:szCs w:val="18"/>
                <w:lang w:eastAsia="tr-TR"/>
              </w:rPr>
            </w:pPr>
            <w:r w:rsidRPr="00005453">
              <w:rPr>
                <w:color w:val="000000"/>
                <w:sz w:val="18"/>
                <w:szCs w:val="18"/>
              </w:rPr>
              <w:t>103,355</w:t>
            </w:r>
          </w:p>
        </w:tc>
        <w:tc>
          <w:tcPr>
            <w:tcW w:w="1279" w:type="dxa"/>
            <w:tcBorders>
              <w:top w:val="nil"/>
              <w:left w:val="nil"/>
              <w:bottom w:val="nil"/>
              <w:right w:val="nil"/>
            </w:tcBorders>
            <w:shd w:val="clear" w:color="auto" w:fill="auto"/>
            <w:vAlign w:val="center"/>
            <w:hideMark/>
          </w:tcPr>
          <w:p w14:paraId="16229813" w14:textId="756E9766" w:rsidR="00380069" w:rsidRPr="00005453" w:rsidRDefault="00380069" w:rsidP="00380069">
            <w:pPr>
              <w:jc w:val="right"/>
              <w:rPr>
                <w:sz w:val="18"/>
                <w:szCs w:val="18"/>
                <w:lang w:eastAsia="tr-TR"/>
              </w:rPr>
            </w:pPr>
            <w:r w:rsidRPr="00005453">
              <w:rPr>
                <w:color w:val="000000"/>
                <w:sz w:val="18"/>
                <w:szCs w:val="18"/>
              </w:rPr>
              <w:t>68,530</w:t>
            </w:r>
          </w:p>
        </w:tc>
        <w:tc>
          <w:tcPr>
            <w:tcW w:w="1184" w:type="dxa"/>
            <w:tcBorders>
              <w:top w:val="nil"/>
              <w:left w:val="nil"/>
              <w:bottom w:val="nil"/>
              <w:right w:val="nil"/>
            </w:tcBorders>
            <w:shd w:val="clear" w:color="auto" w:fill="auto"/>
            <w:vAlign w:val="center"/>
            <w:hideMark/>
          </w:tcPr>
          <w:p w14:paraId="4830D0E4" w14:textId="2A23C27C" w:rsidR="00380069" w:rsidRPr="00005453" w:rsidRDefault="00380069" w:rsidP="00380069">
            <w:pPr>
              <w:jc w:val="right"/>
              <w:rPr>
                <w:sz w:val="18"/>
                <w:szCs w:val="18"/>
                <w:lang w:eastAsia="tr-TR"/>
              </w:rPr>
            </w:pPr>
            <w:r w:rsidRPr="00005453">
              <w:rPr>
                <w:color w:val="000000"/>
                <w:sz w:val="18"/>
                <w:szCs w:val="18"/>
              </w:rPr>
              <w:t>42,912</w:t>
            </w:r>
          </w:p>
        </w:tc>
      </w:tr>
      <w:tr w:rsidR="00380069" w:rsidRPr="00005453" w14:paraId="03440686" w14:textId="77777777" w:rsidTr="00380069">
        <w:trPr>
          <w:divId w:val="1424959658"/>
          <w:trHeight w:val="236"/>
        </w:trPr>
        <w:tc>
          <w:tcPr>
            <w:tcW w:w="3425" w:type="dxa"/>
            <w:tcBorders>
              <w:top w:val="nil"/>
              <w:left w:val="nil"/>
              <w:bottom w:val="nil"/>
              <w:right w:val="nil"/>
            </w:tcBorders>
            <w:shd w:val="clear" w:color="auto" w:fill="auto"/>
            <w:vAlign w:val="center"/>
            <w:hideMark/>
          </w:tcPr>
          <w:p w14:paraId="5E686DC6" w14:textId="77777777" w:rsidR="00380069" w:rsidRPr="00005453" w:rsidRDefault="00380069" w:rsidP="00380069">
            <w:pPr>
              <w:jc w:val="both"/>
              <w:rPr>
                <w:sz w:val="18"/>
                <w:szCs w:val="18"/>
                <w:lang w:eastAsia="tr-TR"/>
              </w:rPr>
            </w:pPr>
            <w:r w:rsidRPr="00005453">
              <w:rPr>
                <w:sz w:val="18"/>
                <w:szCs w:val="18"/>
                <w:lang w:eastAsia="tr-TR"/>
              </w:rPr>
              <w:t>Swap İşlemleri</w:t>
            </w:r>
          </w:p>
        </w:tc>
        <w:tc>
          <w:tcPr>
            <w:tcW w:w="1820" w:type="dxa"/>
            <w:tcBorders>
              <w:top w:val="nil"/>
              <w:left w:val="nil"/>
              <w:bottom w:val="nil"/>
              <w:right w:val="nil"/>
            </w:tcBorders>
            <w:shd w:val="clear" w:color="auto" w:fill="auto"/>
            <w:vAlign w:val="center"/>
            <w:hideMark/>
          </w:tcPr>
          <w:p w14:paraId="67482B5B" w14:textId="00D2E5FF" w:rsidR="00380069" w:rsidRPr="00005453" w:rsidRDefault="00380069" w:rsidP="00380069">
            <w:pPr>
              <w:jc w:val="right"/>
              <w:rPr>
                <w:sz w:val="18"/>
                <w:szCs w:val="18"/>
                <w:lang w:eastAsia="tr-TR"/>
              </w:rPr>
            </w:pPr>
            <w:r w:rsidRPr="00005453">
              <w:rPr>
                <w:color w:val="000000"/>
                <w:sz w:val="18"/>
                <w:szCs w:val="18"/>
              </w:rPr>
              <w:t>152,842</w:t>
            </w:r>
          </w:p>
        </w:tc>
        <w:tc>
          <w:tcPr>
            <w:tcW w:w="1528" w:type="dxa"/>
            <w:tcBorders>
              <w:top w:val="nil"/>
              <w:left w:val="nil"/>
              <w:bottom w:val="nil"/>
              <w:right w:val="nil"/>
            </w:tcBorders>
            <w:shd w:val="clear" w:color="auto" w:fill="auto"/>
            <w:vAlign w:val="center"/>
            <w:hideMark/>
          </w:tcPr>
          <w:p w14:paraId="56B42783" w14:textId="407427E1" w:rsidR="00380069" w:rsidRPr="00005453" w:rsidRDefault="00380069" w:rsidP="00380069">
            <w:pPr>
              <w:jc w:val="right"/>
              <w:rPr>
                <w:sz w:val="18"/>
                <w:szCs w:val="18"/>
                <w:lang w:eastAsia="tr-TR"/>
              </w:rPr>
            </w:pPr>
            <w:r w:rsidRPr="00005453">
              <w:rPr>
                <w:color w:val="000000"/>
                <w:sz w:val="18"/>
                <w:szCs w:val="18"/>
              </w:rPr>
              <w:t>694,797</w:t>
            </w:r>
          </w:p>
        </w:tc>
        <w:tc>
          <w:tcPr>
            <w:tcW w:w="1279" w:type="dxa"/>
            <w:tcBorders>
              <w:top w:val="nil"/>
              <w:left w:val="nil"/>
              <w:bottom w:val="nil"/>
              <w:right w:val="nil"/>
            </w:tcBorders>
            <w:shd w:val="clear" w:color="auto" w:fill="auto"/>
            <w:vAlign w:val="center"/>
            <w:hideMark/>
          </w:tcPr>
          <w:p w14:paraId="585CA42E" w14:textId="555E7622" w:rsidR="00380069" w:rsidRPr="00005453" w:rsidRDefault="00380069" w:rsidP="00380069">
            <w:pPr>
              <w:jc w:val="right"/>
              <w:rPr>
                <w:sz w:val="18"/>
                <w:szCs w:val="18"/>
                <w:lang w:eastAsia="tr-TR"/>
              </w:rPr>
            </w:pPr>
            <w:r w:rsidRPr="00005453">
              <w:rPr>
                <w:color w:val="000000"/>
                <w:sz w:val="18"/>
                <w:szCs w:val="18"/>
              </w:rPr>
              <w:t>1,345,922</w:t>
            </w:r>
          </w:p>
        </w:tc>
        <w:tc>
          <w:tcPr>
            <w:tcW w:w="1184" w:type="dxa"/>
            <w:tcBorders>
              <w:top w:val="nil"/>
              <w:left w:val="nil"/>
              <w:bottom w:val="nil"/>
              <w:right w:val="nil"/>
            </w:tcBorders>
            <w:shd w:val="clear" w:color="auto" w:fill="auto"/>
            <w:vAlign w:val="center"/>
            <w:hideMark/>
          </w:tcPr>
          <w:p w14:paraId="75135F82" w14:textId="6BB0783C" w:rsidR="00380069" w:rsidRPr="00005453" w:rsidRDefault="00380069" w:rsidP="00380069">
            <w:pPr>
              <w:jc w:val="right"/>
              <w:rPr>
                <w:sz w:val="18"/>
                <w:szCs w:val="18"/>
                <w:lang w:eastAsia="tr-TR"/>
              </w:rPr>
            </w:pPr>
            <w:r w:rsidRPr="00005453">
              <w:rPr>
                <w:color w:val="000000"/>
                <w:sz w:val="18"/>
                <w:szCs w:val="18"/>
              </w:rPr>
              <w:t>420,560</w:t>
            </w:r>
          </w:p>
        </w:tc>
      </w:tr>
      <w:tr w:rsidR="003A4891" w:rsidRPr="00005453" w14:paraId="3D01C2D3" w14:textId="77777777" w:rsidTr="003A4891">
        <w:trPr>
          <w:divId w:val="1424959658"/>
          <w:trHeight w:val="236"/>
        </w:trPr>
        <w:tc>
          <w:tcPr>
            <w:tcW w:w="3425" w:type="dxa"/>
            <w:tcBorders>
              <w:top w:val="nil"/>
              <w:left w:val="nil"/>
              <w:bottom w:val="nil"/>
              <w:right w:val="nil"/>
            </w:tcBorders>
            <w:shd w:val="clear" w:color="auto" w:fill="auto"/>
            <w:vAlign w:val="center"/>
            <w:hideMark/>
          </w:tcPr>
          <w:p w14:paraId="63BB05BD" w14:textId="77777777" w:rsidR="003A4891" w:rsidRPr="00005453" w:rsidRDefault="003A4891" w:rsidP="003A4891">
            <w:pPr>
              <w:jc w:val="both"/>
              <w:rPr>
                <w:sz w:val="18"/>
                <w:szCs w:val="18"/>
                <w:lang w:eastAsia="tr-TR"/>
              </w:rPr>
            </w:pPr>
            <w:r w:rsidRPr="00005453">
              <w:rPr>
                <w:sz w:val="18"/>
                <w:szCs w:val="18"/>
                <w:lang w:eastAsia="tr-TR"/>
              </w:rPr>
              <w:t>Futures İşlemleri</w:t>
            </w:r>
          </w:p>
        </w:tc>
        <w:tc>
          <w:tcPr>
            <w:tcW w:w="1820" w:type="dxa"/>
            <w:tcBorders>
              <w:top w:val="nil"/>
              <w:left w:val="nil"/>
              <w:bottom w:val="nil"/>
              <w:right w:val="nil"/>
            </w:tcBorders>
            <w:shd w:val="clear" w:color="auto" w:fill="auto"/>
            <w:vAlign w:val="center"/>
            <w:hideMark/>
          </w:tcPr>
          <w:p w14:paraId="18D8134F" w14:textId="77777777" w:rsidR="003A4891" w:rsidRPr="00005453" w:rsidRDefault="003A4891" w:rsidP="003A4891">
            <w:pPr>
              <w:jc w:val="right"/>
              <w:rPr>
                <w:sz w:val="18"/>
                <w:szCs w:val="18"/>
                <w:lang w:eastAsia="tr-TR"/>
              </w:rPr>
            </w:pPr>
            <w:r w:rsidRPr="00005453">
              <w:rPr>
                <w:sz w:val="18"/>
                <w:szCs w:val="18"/>
                <w:lang w:eastAsia="tr-TR"/>
              </w:rPr>
              <w:t>-</w:t>
            </w:r>
          </w:p>
        </w:tc>
        <w:tc>
          <w:tcPr>
            <w:tcW w:w="1528" w:type="dxa"/>
            <w:tcBorders>
              <w:top w:val="nil"/>
              <w:left w:val="nil"/>
              <w:bottom w:val="nil"/>
              <w:right w:val="nil"/>
            </w:tcBorders>
            <w:shd w:val="clear" w:color="auto" w:fill="auto"/>
            <w:vAlign w:val="center"/>
            <w:hideMark/>
          </w:tcPr>
          <w:p w14:paraId="34697A8B" w14:textId="77777777" w:rsidR="003A4891" w:rsidRPr="00005453" w:rsidRDefault="003A4891" w:rsidP="003A4891">
            <w:pPr>
              <w:jc w:val="right"/>
              <w:rPr>
                <w:sz w:val="18"/>
                <w:szCs w:val="18"/>
                <w:lang w:eastAsia="tr-TR"/>
              </w:rPr>
            </w:pPr>
            <w:r w:rsidRPr="00005453">
              <w:rPr>
                <w:sz w:val="18"/>
                <w:szCs w:val="18"/>
                <w:lang w:eastAsia="tr-TR"/>
              </w:rPr>
              <w:t>-</w:t>
            </w:r>
          </w:p>
        </w:tc>
        <w:tc>
          <w:tcPr>
            <w:tcW w:w="1279" w:type="dxa"/>
            <w:tcBorders>
              <w:top w:val="nil"/>
              <w:left w:val="nil"/>
              <w:bottom w:val="nil"/>
              <w:right w:val="nil"/>
            </w:tcBorders>
            <w:shd w:val="clear" w:color="auto" w:fill="auto"/>
            <w:vAlign w:val="center"/>
            <w:hideMark/>
          </w:tcPr>
          <w:p w14:paraId="4D8EECDA" w14:textId="105518D2" w:rsidR="003A4891" w:rsidRPr="00005453" w:rsidRDefault="003A4891" w:rsidP="003A4891">
            <w:pPr>
              <w:jc w:val="right"/>
              <w:rPr>
                <w:sz w:val="18"/>
                <w:szCs w:val="18"/>
                <w:lang w:eastAsia="tr-TR"/>
              </w:rPr>
            </w:pPr>
            <w:r w:rsidRPr="00005453">
              <w:rPr>
                <w:sz w:val="18"/>
                <w:szCs w:val="18"/>
                <w:lang w:eastAsia="tr-TR"/>
              </w:rPr>
              <w:t>-</w:t>
            </w:r>
          </w:p>
        </w:tc>
        <w:tc>
          <w:tcPr>
            <w:tcW w:w="1184" w:type="dxa"/>
            <w:tcBorders>
              <w:top w:val="nil"/>
              <w:left w:val="nil"/>
              <w:bottom w:val="nil"/>
              <w:right w:val="nil"/>
            </w:tcBorders>
            <w:shd w:val="clear" w:color="auto" w:fill="auto"/>
            <w:vAlign w:val="center"/>
            <w:hideMark/>
          </w:tcPr>
          <w:p w14:paraId="7F215689" w14:textId="18758CFA" w:rsidR="003A4891" w:rsidRPr="00005453" w:rsidRDefault="003A4891" w:rsidP="003A4891">
            <w:pPr>
              <w:jc w:val="right"/>
              <w:rPr>
                <w:sz w:val="18"/>
                <w:szCs w:val="18"/>
                <w:lang w:eastAsia="tr-TR"/>
              </w:rPr>
            </w:pPr>
            <w:r w:rsidRPr="00005453">
              <w:rPr>
                <w:sz w:val="18"/>
                <w:szCs w:val="18"/>
                <w:lang w:eastAsia="tr-TR"/>
              </w:rPr>
              <w:t>-</w:t>
            </w:r>
          </w:p>
        </w:tc>
      </w:tr>
      <w:tr w:rsidR="003A4891" w:rsidRPr="00005453" w14:paraId="6F3569FB" w14:textId="77777777" w:rsidTr="003A4891">
        <w:trPr>
          <w:divId w:val="1424959658"/>
          <w:trHeight w:val="236"/>
        </w:trPr>
        <w:tc>
          <w:tcPr>
            <w:tcW w:w="3425" w:type="dxa"/>
            <w:tcBorders>
              <w:top w:val="nil"/>
              <w:left w:val="nil"/>
              <w:bottom w:val="nil"/>
              <w:right w:val="nil"/>
            </w:tcBorders>
            <w:shd w:val="clear" w:color="auto" w:fill="auto"/>
            <w:vAlign w:val="center"/>
            <w:hideMark/>
          </w:tcPr>
          <w:p w14:paraId="079BF8A4" w14:textId="77777777" w:rsidR="003A4891" w:rsidRPr="00005453" w:rsidRDefault="003A4891" w:rsidP="003A4891">
            <w:pPr>
              <w:jc w:val="both"/>
              <w:rPr>
                <w:sz w:val="18"/>
                <w:szCs w:val="18"/>
                <w:lang w:eastAsia="tr-TR"/>
              </w:rPr>
            </w:pPr>
            <w:r w:rsidRPr="00005453">
              <w:rPr>
                <w:sz w:val="18"/>
                <w:szCs w:val="18"/>
                <w:lang w:eastAsia="tr-TR"/>
              </w:rPr>
              <w:t>Opsiyonlar</w:t>
            </w:r>
          </w:p>
        </w:tc>
        <w:tc>
          <w:tcPr>
            <w:tcW w:w="1820" w:type="dxa"/>
            <w:tcBorders>
              <w:top w:val="nil"/>
              <w:left w:val="nil"/>
              <w:bottom w:val="nil"/>
              <w:right w:val="nil"/>
            </w:tcBorders>
            <w:shd w:val="clear" w:color="auto" w:fill="auto"/>
            <w:vAlign w:val="center"/>
            <w:hideMark/>
          </w:tcPr>
          <w:p w14:paraId="059E52D8" w14:textId="77777777" w:rsidR="003A4891" w:rsidRPr="00005453" w:rsidRDefault="003A4891" w:rsidP="003A4891">
            <w:pPr>
              <w:jc w:val="right"/>
              <w:rPr>
                <w:sz w:val="18"/>
                <w:szCs w:val="18"/>
                <w:lang w:eastAsia="tr-TR"/>
              </w:rPr>
            </w:pPr>
            <w:r w:rsidRPr="00005453">
              <w:rPr>
                <w:sz w:val="18"/>
                <w:szCs w:val="18"/>
                <w:lang w:eastAsia="tr-TR"/>
              </w:rPr>
              <w:t>-</w:t>
            </w:r>
          </w:p>
        </w:tc>
        <w:tc>
          <w:tcPr>
            <w:tcW w:w="1528" w:type="dxa"/>
            <w:tcBorders>
              <w:top w:val="nil"/>
              <w:left w:val="nil"/>
              <w:bottom w:val="nil"/>
              <w:right w:val="nil"/>
            </w:tcBorders>
            <w:shd w:val="clear" w:color="auto" w:fill="auto"/>
            <w:vAlign w:val="center"/>
            <w:hideMark/>
          </w:tcPr>
          <w:p w14:paraId="25DCE2D7" w14:textId="77777777" w:rsidR="003A4891" w:rsidRPr="00005453" w:rsidRDefault="003A4891" w:rsidP="003A4891">
            <w:pPr>
              <w:jc w:val="right"/>
              <w:rPr>
                <w:sz w:val="18"/>
                <w:szCs w:val="18"/>
                <w:lang w:eastAsia="tr-TR"/>
              </w:rPr>
            </w:pPr>
            <w:r w:rsidRPr="00005453">
              <w:rPr>
                <w:sz w:val="18"/>
                <w:szCs w:val="18"/>
                <w:lang w:eastAsia="tr-TR"/>
              </w:rPr>
              <w:t>-</w:t>
            </w:r>
          </w:p>
        </w:tc>
        <w:tc>
          <w:tcPr>
            <w:tcW w:w="1279" w:type="dxa"/>
            <w:tcBorders>
              <w:top w:val="nil"/>
              <w:left w:val="nil"/>
              <w:bottom w:val="nil"/>
              <w:right w:val="nil"/>
            </w:tcBorders>
            <w:shd w:val="clear" w:color="auto" w:fill="auto"/>
            <w:vAlign w:val="center"/>
            <w:hideMark/>
          </w:tcPr>
          <w:p w14:paraId="25F718B1" w14:textId="62E8F89A" w:rsidR="003A4891" w:rsidRPr="00005453" w:rsidRDefault="003A4891" w:rsidP="003A4891">
            <w:pPr>
              <w:jc w:val="right"/>
              <w:rPr>
                <w:sz w:val="18"/>
                <w:szCs w:val="18"/>
                <w:lang w:eastAsia="tr-TR"/>
              </w:rPr>
            </w:pPr>
            <w:r w:rsidRPr="00005453">
              <w:rPr>
                <w:sz w:val="18"/>
                <w:szCs w:val="18"/>
                <w:lang w:eastAsia="tr-TR"/>
              </w:rPr>
              <w:t>-</w:t>
            </w:r>
          </w:p>
        </w:tc>
        <w:tc>
          <w:tcPr>
            <w:tcW w:w="1184" w:type="dxa"/>
            <w:tcBorders>
              <w:top w:val="nil"/>
              <w:left w:val="nil"/>
              <w:bottom w:val="nil"/>
              <w:right w:val="nil"/>
            </w:tcBorders>
            <w:shd w:val="clear" w:color="auto" w:fill="auto"/>
            <w:vAlign w:val="center"/>
            <w:hideMark/>
          </w:tcPr>
          <w:p w14:paraId="137AF5D3" w14:textId="7F821DFE" w:rsidR="003A4891" w:rsidRPr="00005453" w:rsidRDefault="003A4891" w:rsidP="003A4891">
            <w:pPr>
              <w:jc w:val="right"/>
              <w:rPr>
                <w:sz w:val="18"/>
                <w:szCs w:val="18"/>
                <w:lang w:eastAsia="tr-TR"/>
              </w:rPr>
            </w:pPr>
            <w:r w:rsidRPr="00005453">
              <w:rPr>
                <w:sz w:val="18"/>
                <w:szCs w:val="18"/>
                <w:lang w:eastAsia="tr-TR"/>
              </w:rPr>
              <w:t>-</w:t>
            </w:r>
          </w:p>
        </w:tc>
      </w:tr>
      <w:tr w:rsidR="003A4891" w:rsidRPr="00005453" w14:paraId="055E0D27" w14:textId="77777777" w:rsidTr="003A4891">
        <w:trPr>
          <w:divId w:val="1424959658"/>
          <w:trHeight w:val="251"/>
        </w:trPr>
        <w:tc>
          <w:tcPr>
            <w:tcW w:w="3425" w:type="dxa"/>
            <w:tcBorders>
              <w:top w:val="nil"/>
              <w:left w:val="nil"/>
              <w:bottom w:val="single" w:sz="8" w:space="0" w:color="auto"/>
              <w:right w:val="nil"/>
            </w:tcBorders>
            <w:shd w:val="clear" w:color="auto" w:fill="auto"/>
            <w:vAlign w:val="center"/>
            <w:hideMark/>
          </w:tcPr>
          <w:p w14:paraId="6F2FA337" w14:textId="77777777" w:rsidR="003A4891" w:rsidRPr="00005453" w:rsidRDefault="003A4891" w:rsidP="003A4891">
            <w:pPr>
              <w:jc w:val="both"/>
              <w:rPr>
                <w:sz w:val="18"/>
                <w:szCs w:val="18"/>
                <w:lang w:eastAsia="tr-TR"/>
              </w:rPr>
            </w:pPr>
            <w:r w:rsidRPr="00005453">
              <w:rPr>
                <w:sz w:val="18"/>
                <w:szCs w:val="18"/>
                <w:lang w:eastAsia="tr-TR"/>
              </w:rPr>
              <w:t>Diğer</w:t>
            </w:r>
          </w:p>
        </w:tc>
        <w:tc>
          <w:tcPr>
            <w:tcW w:w="1820" w:type="dxa"/>
            <w:tcBorders>
              <w:top w:val="nil"/>
              <w:left w:val="nil"/>
              <w:bottom w:val="single" w:sz="8" w:space="0" w:color="auto"/>
              <w:right w:val="nil"/>
            </w:tcBorders>
            <w:shd w:val="clear" w:color="auto" w:fill="auto"/>
            <w:vAlign w:val="center"/>
            <w:hideMark/>
          </w:tcPr>
          <w:p w14:paraId="11955784" w14:textId="1F9BF3E0" w:rsidR="003A4891" w:rsidRPr="00005453" w:rsidRDefault="003A4891" w:rsidP="003A4891">
            <w:pPr>
              <w:jc w:val="right"/>
              <w:rPr>
                <w:sz w:val="18"/>
                <w:szCs w:val="18"/>
                <w:lang w:eastAsia="tr-TR"/>
              </w:rPr>
            </w:pPr>
            <w:r w:rsidRPr="00005453">
              <w:rPr>
                <w:sz w:val="18"/>
                <w:szCs w:val="18"/>
                <w:lang w:eastAsia="tr-TR"/>
              </w:rPr>
              <w:t>-</w:t>
            </w:r>
          </w:p>
        </w:tc>
        <w:tc>
          <w:tcPr>
            <w:tcW w:w="1528" w:type="dxa"/>
            <w:tcBorders>
              <w:top w:val="nil"/>
              <w:left w:val="nil"/>
              <w:bottom w:val="single" w:sz="8" w:space="0" w:color="auto"/>
              <w:right w:val="nil"/>
            </w:tcBorders>
            <w:shd w:val="clear" w:color="auto" w:fill="auto"/>
            <w:vAlign w:val="center"/>
            <w:hideMark/>
          </w:tcPr>
          <w:p w14:paraId="294B1109" w14:textId="1B79AA06" w:rsidR="003A4891" w:rsidRPr="00005453" w:rsidRDefault="003A4891" w:rsidP="003A4891">
            <w:pPr>
              <w:jc w:val="right"/>
              <w:rPr>
                <w:sz w:val="18"/>
                <w:szCs w:val="18"/>
                <w:lang w:eastAsia="tr-TR"/>
              </w:rPr>
            </w:pPr>
            <w:r w:rsidRPr="00005453">
              <w:rPr>
                <w:sz w:val="18"/>
                <w:szCs w:val="18"/>
                <w:lang w:eastAsia="tr-TR"/>
              </w:rPr>
              <w:t>-</w:t>
            </w:r>
          </w:p>
        </w:tc>
        <w:tc>
          <w:tcPr>
            <w:tcW w:w="1279" w:type="dxa"/>
            <w:tcBorders>
              <w:top w:val="nil"/>
              <w:left w:val="nil"/>
              <w:bottom w:val="single" w:sz="8" w:space="0" w:color="auto"/>
              <w:right w:val="nil"/>
            </w:tcBorders>
            <w:shd w:val="clear" w:color="auto" w:fill="auto"/>
            <w:vAlign w:val="center"/>
            <w:hideMark/>
          </w:tcPr>
          <w:p w14:paraId="3FD954F2" w14:textId="6291D890" w:rsidR="003A4891" w:rsidRPr="00005453" w:rsidRDefault="003A4891" w:rsidP="003A4891">
            <w:pPr>
              <w:jc w:val="right"/>
              <w:rPr>
                <w:sz w:val="18"/>
                <w:szCs w:val="18"/>
                <w:lang w:eastAsia="tr-TR"/>
              </w:rPr>
            </w:pPr>
            <w:r w:rsidRPr="00005453">
              <w:rPr>
                <w:sz w:val="18"/>
                <w:szCs w:val="18"/>
                <w:lang w:eastAsia="tr-TR"/>
              </w:rPr>
              <w:t>-</w:t>
            </w:r>
          </w:p>
        </w:tc>
        <w:tc>
          <w:tcPr>
            <w:tcW w:w="1184" w:type="dxa"/>
            <w:tcBorders>
              <w:top w:val="nil"/>
              <w:left w:val="nil"/>
              <w:bottom w:val="single" w:sz="8" w:space="0" w:color="auto"/>
              <w:right w:val="nil"/>
            </w:tcBorders>
            <w:shd w:val="clear" w:color="auto" w:fill="auto"/>
            <w:vAlign w:val="center"/>
            <w:hideMark/>
          </w:tcPr>
          <w:p w14:paraId="0F9C971E" w14:textId="4EA37828" w:rsidR="003A4891" w:rsidRPr="00005453" w:rsidRDefault="003A4891" w:rsidP="003A4891">
            <w:pPr>
              <w:jc w:val="right"/>
              <w:rPr>
                <w:sz w:val="18"/>
                <w:szCs w:val="18"/>
                <w:lang w:eastAsia="tr-TR"/>
              </w:rPr>
            </w:pPr>
            <w:r w:rsidRPr="00005453">
              <w:rPr>
                <w:sz w:val="18"/>
                <w:szCs w:val="18"/>
                <w:lang w:eastAsia="tr-TR"/>
              </w:rPr>
              <w:t>-</w:t>
            </w:r>
          </w:p>
        </w:tc>
      </w:tr>
      <w:tr w:rsidR="00380069" w:rsidRPr="00005453" w14:paraId="1E821629" w14:textId="77777777" w:rsidTr="00380069">
        <w:trPr>
          <w:divId w:val="1424959658"/>
          <w:trHeight w:val="251"/>
        </w:trPr>
        <w:tc>
          <w:tcPr>
            <w:tcW w:w="3425" w:type="dxa"/>
            <w:tcBorders>
              <w:top w:val="nil"/>
              <w:left w:val="nil"/>
              <w:bottom w:val="double" w:sz="6" w:space="0" w:color="auto"/>
              <w:right w:val="nil"/>
            </w:tcBorders>
            <w:shd w:val="clear" w:color="auto" w:fill="auto"/>
            <w:vAlign w:val="center"/>
            <w:hideMark/>
          </w:tcPr>
          <w:p w14:paraId="042B4DF0" w14:textId="77777777" w:rsidR="00380069" w:rsidRPr="00005453" w:rsidRDefault="00380069" w:rsidP="00380069">
            <w:pPr>
              <w:jc w:val="both"/>
              <w:rPr>
                <w:b/>
                <w:bCs/>
                <w:sz w:val="18"/>
                <w:szCs w:val="18"/>
                <w:lang w:eastAsia="tr-TR"/>
              </w:rPr>
            </w:pPr>
            <w:r w:rsidRPr="00005453">
              <w:rPr>
                <w:b/>
                <w:bCs/>
                <w:sz w:val="18"/>
                <w:szCs w:val="18"/>
                <w:lang w:eastAsia="tr-TR"/>
              </w:rPr>
              <w:t>Toplam</w:t>
            </w:r>
          </w:p>
        </w:tc>
        <w:tc>
          <w:tcPr>
            <w:tcW w:w="1820" w:type="dxa"/>
            <w:tcBorders>
              <w:top w:val="nil"/>
              <w:left w:val="nil"/>
              <w:bottom w:val="double" w:sz="6" w:space="0" w:color="auto"/>
              <w:right w:val="nil"/>
            </w:tcBorders>
            <w:shd w:val="clear" w:color="auto" w:fill="auto"/>
            <w:vAlign w:val="center"/>
            <w:hideMark/>
          </w:tcPr>
          <w:p w14:paraId="0C59AF95" w14:textId="2C359F23" w:rsidR="00380069" w:rsidRPr="00005453" w:rsidRDefault="00380069" w:rsidP="00380069">
            <w:pPr>
              <w:jc w:val="right"/>
              <w:rPr>
                <w:b/>
                <w:bCs/>
                <w:sz w:val="18"/>
                <w:szCs w:val="18"/>
                <w:lang w:eastAsia="tr-TR"/>
              </w:rPr>
            </w:pPr>
            <w:r w:rsidRPr="00005453">
              <w:rPr>
                <w:b/>
                <w:bCs/>
                <w:sz w:val="18"/>
                <w:szCs w:val="18"/>
              </w:rPr>
              <w:t>317,234</w:t>
            </w:r>
          </w:p>
        </w:tc>
        <w:tc>
          <w:tcPr>
            <w:tcW w:w="1528" w:type="dxa"/>
            <w:tcBorders>
              <w:top w:val="nil"/>
              <w:left w:val="nil"/>
              <w:bottom w:val="double" w:sz="6" w:space="0" w:color="auto"/>
              <w:right w:val="nil"/>
            </w:tcBorders>
            <w:shd w:val="clear" w:color="auto" w:fill="auto"/>
            <w:vAlign w:val="center"/>
            <w:hideMark/>
          </w:tcPr>
          <w:p w14:paraId="67B18DDD" w14:textId="0BEFFD36" w:rsidR="00380069" w:rsidRPr="00005453" w:rsidRDefault="00380069" w:rsidP="00380069">
            <w:pPr>
              <w:jc w:val="right"/>
              <w:rPr>
                <w:b/>
                <w:bCs/>
                <w:sz w:val="18"/>
                <w:szCs w:val="18"/>
                <w:lang w:eastAsia="tr-TR"/>
              </w:rPr>
            </w:pPr>
            <w:r w:rsidRPr="00005453">
              <w:rPr>
                <w:b/>
                <w:bCs/>
                <w:sz w:val="18"/>
                <w:szCs w:val="18"/>
              </w:rPr>
              <w:t>798,152</w:t>
            </w:r>
          </w:p>
        </w:tc>
        <w:tc>
          <w:tcPr>
            <w:tcW w:w="1279" w:type="dxa"/>
            <w:tcBorders>
              <w:top w:val="nil"/>
              <w:left w:val="nil"/>
              <w:bottom w:val="double" w:sz="6" w:space="0" w:color="auto"/>
              <w:right w:val="nil"/>
            </w:tcBorders>
            <w:shd w:val="clear" w:color="auto" w:fill="auto"/>
            <w:vAlign w:val="center"/>
            <w:hideMark/>
          </w:tcPr>
          <w:p w14:paraId="219C53F8" w14:textId="310EF40A" w:rsidR="00380069" w:rsidRPr="00005453" w:rsidRDefault="00380069" w:rsidP="00380069">
            <w:pPr>
              <w:jc w:val="right"/>
              <w:rPr>
                <w:b/>
                <w:bCs/>
                <w:sz w:val="18"/>
                <w:szCs w:val="18"/>
                <w:lang w:eastAsia="tr-TR"/>
              </w:rPr>
            </w:pPr>
            <w:r w:rsidRPr="00005453">
              <w:rPr>
                <w:b/>
                <w:bCs/>
                <w:sz w:val="18"/>
                <w:szCs w:val="18"/>
              </w:rPr>
              <w:t>1,414,452</w:t>
            </w:r>
          </w:p>
        </w:tc>
        <w:tc>
          <w:tcPr>
            <w:tcW w:w="1184" w:type="dxa"/>
            <w:tcBorders>
              <w:top w:val="nil"/>
              <w:left w:val="nil"/>
              <w:bottom w:val="double" w:sz="6" w:space="0" w:color="auto"/>
              <w:right w:val="nil"/>
            </w:tcBorders>
            <w:shd w:val="clear" w:color="auto" w:fill="auto"/>
            <w:vAlign w:val="center"/>
            <w:hideMark/>
          </w:tcPr>
          <w:p w14:paraId="054E0E2A" w14:textId="2C41930F" w:rsidR="00380069" w:rsidRPr="00005453" w:rsidRDefault="00380069" w:rsidP="00380069">
            <w:pPr>
              <w:jc w:val="right"/>
              <w:rPr>
                <w:b/>
                <w:bCs/>
                <w:sz w:val="18"/>
                <w:szCs w:val="18"/>
                <w:lang w:eastAsia="tr-TR"/>
              </w:rPr>
            </w:pPr>
            <w:r w:rsidRPr="00005453">
              <w:rPr>
                <w:b/>
                <w:bCs/>
                <w:sz w:val="18"/>
                <w:szCs w:val="18"/>
              </w:rPr>
              <w:t>463,472</w:t>
            </w:r>
          </w:p>
        </w:tc>
      </w:tr>
    </w:tbl>
    <w:p w14:paraId="3C67BD25" w14:textId="04F36757" w:rsidR="00246092" w:rsidRPr="00005453" w:rsidRDefault="00246092" w:rsidP="00246092">
      <w:pPr>
        <w:autoSpaceDE w:val="0"/>
        <w:autoSpaceDN w:val="0"/>
        <w:adjustRightInd w:val="0"/>
        <w:jc w:val="both"/>
        <w:rPr>
          <w:b/>
        </w:rPr>
      </w:pPr>
    </w:p>
    <w:p w14:paraId="085FFCB2" w14:textId="27003D04" w:rsidR="00346550" w:rsidRPr="00005453" w:rsidRDefault="00346550">
      <w:pPr>
        <w:rPr>
          <w:b/>
          <w:lang w:eastAsia="x-none"/>
        </w:rPr>
      </w:pPr>
      <w:r w:rsidRPr="00005453">
        <w:rPr>
          <w:b/>
        </w:rPr>
        <w:br w:type="page"/>
      </w:r>
    </w:p>
    <w:p w14:paraId="4050A583" w14:textId="286AE02A" w:rsidR="002D7515" w:rsidRPr="00005453" w:rsidRDefault="00DE55FC" w:rsidP="0063702A">
      <w:pPr>
        <w:pStyle w:val="BodyTextIndent"/>
        <w:autoSpaceDE/>
        <w:autoSpaceDN/>
        <w:adjustRightInd/>
        <w:ind w:left="0" w:hanging="567"/>
        <w:jc w:val="left"/>
        <w:rPr>
          <w:b/>
          <w:bCs/>
          <w:iCs/>
        </w:rPr>
      </w:pPr>
      <w:r w:rsidRPr="00005453">
        <w:rPr>
          <w:b/>
        </w:rPr>
        <w:lastRenderedPageBreak/>
        <w:t>1</w:t>
      </w:r>
      <w:r w:rsidR="002D7515" w:rsidRPr="00005453">
        <w:rPr>
          <w:b/>
        </w:rPr>
        <w:t>.</w:t>
      </w:r>
      <w:r w:rsidRPr="00005453">
        <w:rPr>
          <w:b/>
        </w:rPr>
        <w:t>3</w:t>
      </w:r>
      <w:r w:rsidR="002D7515" w:rsidRPr="00005453">
        <w:rPr>
          <w:b/>
        </w:rPr>
        <w:tab/>
        <w:t>Bankalara ilişkin bilgiler</w:t>
      </w:r>
    </w:p>
    <w:p w14:paraId="70EA6C0D" w14:textId="77777777" w:rsidR="00EC1D5D" w:rsidRPr="00005453" w:rsidRDefault="00EC1D5D" w:rsidP="00EC1D5D">
      <w:pPr>
        <w:pStyle w:val="BodyTextIndent"/>
        <w:autoSpaceDE/>
        <w:autoSpaceDN/>
        <w:adjustRightInd/>
        <w:ind w:left="0" w:hanging="567"/>
        <w:jc w:val="left"/>
        <w:rPr>
          <w:b/>
          <w:sz w:val="12"/>
          <w:szCs w:val="12"/>
        </w:rPr>
      </w:pPr>
    </w:p>
    <w:p w14:paraId="6C402A47" w14:textId="7E5B8849" w:rsidR="00EC1D5D" w:rsidRPr="00005453" w:rsidRDefault="00EC1D5D" w:rsidP="00EC1D5D">
      <w:pPr>
        <w:pStyle w:val="BodyTextIndent"/>
        <w:autoSpaceDE/>
        <w:autoSpaceDN/>
        <w:adjustRightInd/>
        <w:ind w:left="0" w:hanging="567"/>
        <w:jc w:val="left"/>
        <w:rPr>
          <w:b/>
        </w:rPr>
      </w:pPr>
      <w:r w:rsidRPr="00005453">
        <w:rPr>
          <w:b/>
        </w:rPr>
        <w:t>1.3.1.</w:t>
      </w:r>
      <w:r w:rsidRPr="00005453">
        <w:rPr>
          <w:b/>
        </w:rPr>
        <w:tab/>
        <w:t>Bankalara ilişkin bilgiler</w:t>
      </w:r>
    </w:p>
    <w:p w14:paraId="4484B8E3" w14:textId="293F858E" w:rsidR="0084535B" w:rsidRPr="00005453" w:rsidRDefault="0084535B" w:rsidP="00EE32B2">
      <w:pPr>
        <w:pStyle w:val="BodyTextIndent"/>
        <w:jc w:val="left"/>
        <w:rPr>
          <w:lang w:val="en-GB" w:eastAsia="en-GB"/>
        </w:rPr>
      </w:pPr>
    </w:p>
    <w:tbl>
      <w:tblPr>
        <w:tblW w:w="9348" w:type="dxa"/>
        <w:tblCellMar>
          <w:left w:w="70" w:type="dxa"/>
          <w:right w:w="70" w:type="dxa"/>
        </w:tblCellMar>
        <w:tblLook w:val="04A0" w:firstRow="1" w:lastRow="0" w:firstColumn="1" w:lastColumn="0" w:noHBand="0" w:noVBand="1"/>
      </w:tblPr>
      <w:tblGrid>
        <w:gridCol w:w="3828"/>
        <w:gridCol w:w="1275"/>
        <w:gridCol w:w="1560"/>
        <w:gridCol w:w="1275"/>
        <w:gridCol w:w="1410"/>
      </w:tblGrid>
      <w:tr w:rsidR="0084535B" w:rsidRPr="00005453" w14:paraId="49FE3045" w14:textId="77777777" w:rsidTr="00BD1BED">
        <w:trPr>
          <w:divId w:val="2141799643"/>
          <w:trHeight w:val="26"/>
        </w:trPr>
        <w:tc>
          <w:tcPr>
            <w:tcW w:w="3828" w:type="dxa"/>
            <w:tcBorders>
              <w:top w:val="double" w:sz="6" w:space="0" w:color="auto"/>
              <w:left w:val="nil"/>
              <w:bottom w:val="nil"/>
              <w:right w:val="nil"/>
            </w:tcBorders>
            <w:shd w:val="clear" w:color="auto" w:fill="auto"/>
            <w:vAlign w:val="center"/>
            <w:hideMark/>
          </w:tcPr>
          <w:p w14:paraId="2E1F6E4E" w14:textId="1A442D26" w:rsidR="0084535B" w:rsidRPr="00005453" w:rsidRDefault="0084535B" w:rsidP="0084535B">
            <w:pPr>
              <w:jc w:val="right"/>
              <w:rPr>
                <w:sz w:val="18"/>
                <w:szCs w:val="18"/>
                <w:lang w:eastAsia="tr-TR"/>
              </w:rPr>
            </w:pPr>
            <w:r w:rsidRPr="00005453">
              <w:rPr>
                <w:sz w:val="18"/>
                <w:szCs w:val="18"/>
                <w:lang w:eastAsia="tr-TR"/>
              </w:rPr>
              <w:t> </w:t>
            </w:r>
          </w:p>
        </w:tc>
        <w:tc>
          <w:tcPr>
            <w:tcW w:w="2835" w:type="dxa"/>
            <w:gridSpan w:val="2"/>
            <w:tcBorders>
              <w:top w:val="double" w:sz="6" w:space="0" w:color="auto"/>
              <w:left w:val="nil"/>
              <w:bottom w:val="single" w:sz="8" w:space="0" w:color="auto"/>
              <w:right w:val="nil"/>
            </w:tcBorders>
            <w:shd w:val="clear" w:color="auto" w:fill="auto"/>
            <w:vAlign w:val="center"/>
            <w:hideMark/>
          </w:tcPr>
          <w:p w14:paraId="06D766C7" w14:textId="77777777" w:rsidR="0084535B" w:rsidRPr="00005453" w:rsidRDefault="0084535B" w:rsidP="00614CD2">
            <w:pPr>
              <w:jc w:val="right"/>
              <w:rPr>
                <w:b/>
                <w:bCs/>
                <w:sz w:val="18"/>
                <w:szCs w:val="18"/>
                <w:lang w:eastAsia="tr-TR"/>
              </w:rPr>
            </w:pPr>
            <w:r w:rsidRPr="00005453">
              <w:rPr>
                <w:b/>
                <w:bCs/>
                <w:sz w:val="18"/>
                <w:szCs w:val="18"/>
                <w:lang w:eastAsia="tr-TR"/>
              </w:rPr>
              <w:t>Cari Dönem</w:t>
            </w:r>
          </w:p>
        </w:tc>
        <w:tc>
          <w:tcPr>
            <w:tcW w:w="2685" w:type="dxa"/>
            <w:gridSpan w:val="2"/>
            <w:tcBorders>
              <w:top w:val="double" w:sz="6" w:space="0" w:color="auto"/>
              <w:left w:val="nil"/>
              <w:bottom w:val="single" w:sz="8" w:space="0" w:color="auto"/>
              <w:right w:val="nil"/>
            </w:tcBorders>
            <w:shd w:val="clear" w:color="auto" w:fill="auto"/>
            <w:vAlign w:val="center"/>
            <w:hideMark/>
          </w:tcPr>
          <w:p w14:paraId="108E9BDD" w14:textId="77777777" w:rsidR="0084535B" w:rsidRPr="00005453" w:rsidRDefault="0084535B" w:rsidP="00614CD2">
            <w:pPr>
              <w:jc w:val="right"/>
              <w:rPr>
                <w:b/>
                <w:bCs/>
                <w:sz w:val="18"/>
                <w:szCs w:val="18"/>
                <w:lang w:eastAsia="tr-TR"/>
              </w:rPr>
            </w:pPr>
            <w:r w:rsidRPr="00005453">
              <w:rPr>
                <w:b/>
                <w:bCs/>
                <w:sz w:val="18"/>
                <w:szCs w:val="18"/>
                <w:lang w:eastAsia="tr-TR"/>
              </w:rPr>
              <w:t>Önceki Dönem</w:t>
            </w:r>
          </w:p>
        </w:tc>
      </w:tr>
      <w:tr w:rsidR="0084535B" w:rsidRPr="00005453" w14:paraId="3D9F7527" w14:textId="77777777" w:rsidTr="00614CD2">
        <w:trPr>
          <w:divId w:val="2141799643"/>
          <w:trHeight w:val="248"/>
        </w:trPr>
        <w:tc>
          <w:tcPr>
            <w:tcW w:w="3828" w:type="dxa"/>
            <w:tcBorders>
              <w:top w:val="nil"/>
              <w:left w:val="nil"/>
              <w:bottom w:val="single" w:sz="8" w:space="0" w:color="auto"/>
              <w:right w:val="nil"/>
            </w:tcBorders>
            <w:shd w:val="clear" w:color="auto" w:fill="auto"/>
            <w:vAlign w:val="center"/>
            <w:hideMark/>
          </w:tcPr>
          <w:p w14:paraId="378EAFBE" w14:textId="77777777" w:rsidR="0084535B" w:rsidRPr="00005453" w:rsidRDefault="0084535B" w:rsidP="0084535B">
            <w:pPr>
              <w:jc w:val="right"/>
              <w:rPr>
                <w:sz w:val="18"/>
                <w:szCs w:val="18"/>
                <w:lang w:eastAsia="tr-TR"/>
              </w:rPr>
            </w:pPr>
            <w:r w:rsidRPr="00005453">
              <w:rPr>
                <w:sz w:val="18"/>
                <w:szCs w:val="18"/>
                <w:lang w:eastAsia="tr-TR"/>
              </w:rPr>
              <w:t> </w:t>
            </w:r>
          </w:p>
        </w:tc>
        <w:tc>
          <w:tcPr>
            <w:tcW w:w="1275" w:type="dxa"/>
            <w:tcBorders>
              <w:top w:val="nil"/>
              <w:left w:val="nil"/>
              <w:bottom w:val="single" w:sz="8" w:space="0" w:color="auto"/>
              <w:right w:val="nil"/>
            </w:tcBorders>
            <w:shd w:val="clear" w:color="auto" w:fill="auto"/>
            <w:vAlign w:val="center"/>
            <w:hideMark/>
          </w:tcPr>
          <w:p w14:paraId="77F8DC58" w14:textId="77777777" w:rsidR="0084535B" w:rsidRPr="00005453" w:rsidRDefault="0084535B" w:rsidP="0084535B">
            <w:pPr>
              <w:jc w:val="right"/>
              <w:rPr>
                <w:b/>
                <w:bCs/>
                <w:sz w:val="18"/>
                <w:szCs w:val="18"/>
                <w:lang w:eastAsia="tr-TR"/>
              </w:rPr>
            </w:pPr>
            <w:r w:rsidRPr="00005453">
              <w:rPr>
                <w:b/>
                <w:bCs/>
                <w:sz w:val="18"/>
                <w:szCs w:val="18"/>
                <w:lang w:eastAsia="tr-TR"/>
              </w:rPr>
              <w:t>TP</w:t>
            </w:r>
          </w:p>
        </w:tc>
        <w:tc>
          <w:tcPr>
            <w:tcW w:w="1560" w:type="dxa"/>
            <w:tcBorders>
              <w:top w:val="nil"/>
              <w:left w:val="nil"/>
              <w:bottom w:val="single" w:sz="8" w:space="0" w:color="auto"/>
              <w:right w:val="nil"/>
            </w:tcBorders>
            <w:shd w:val="clear" w:color="auto" w:fill="auto"/>
            <w:vAlign w:val="center"/>
            <w:hideMark/>
          </w:tcPr>
          <w:p w14:paraId="212A1162" w14:textId="77777777" w:rsidR="0084535B" w:rsidRPr="00005453" w:rsidRDefault="0084535B" w:rsidP="0084535B">
            <w:pPr>
              <w:jc w:val="right"/>
              <w:rPr>
                <w:b/>
                <w:bCs/>
                <w:sz w:val="18"/>
                <w:szCs w:val="18"/>
                <w:lang w:eastAsia="tr-TR"/>
              </w:rPr>
            </w:pPr>
            <w:r w:rsidRPr="00005453">
              <w:rPr>
                <w:b/>
                <w:bCs/>
                <w:sz w:val="18"/>
                <w:szCs w:val="18"/>
                <w:lang w:eastAsia="tr-TR"/>
              </w:rPr>
              <w:t>YP</w:t>
            </w:r>
          </w:p>
        </w:tc>
        <w:tc>
          <w:tcPr>
            <w:tcW w:w="1275" w:type="dxa"/>
            <w:tcBorders>
              <w:top w:val="nil"/>
              <w:left w:val="nil"/>
              <w:bottom w:val="single" w:sz="8" w:space="0" w:color="auto"/>
              <w:right w:val="nil"/>
            </w:tcBorders>
            <w:shd w:val="clear" w:color="auto" w:fill="auto"/>
            <w:vAlign w:val="center"/>
            <w:hideMark/>
          </w:tcPr>
          <w:p w14:paraId="65E9A85A" w14:textId="77777777" w:rsidR="0084535B" w:rsidRPr="00005453" w:rsidRDefault="0084535B" w:rsidP="0084535B">
            <w:pPr>
              <w:jc w:val="right"/>
              <w:rPr>
                <w:b/>
                <w:bCs/>
                <w:sz w:val="18"/>
                <w:szCs w:val="18"/>
                <w:lang w:eastAsia="tr-TR"/>
              </w:rPr>
            </w:pPr>
            <w:r w:rsidRPr="00005453">
              <w:rPr>
                <w:b/>
                <w:bCs/>
                <w:sz w:val="18"/>
                <w:szCs w:val="18"/>
                <w:lang w:eastAsia="tr-TR"/>
              </w:rPr>
              <w:t>TP</w:t>
            </w:r>
          </w:p>
        </w:tc>
        <w:tc>
          <w:tcPr>
            <w:tcW w:w="1410" w:type="dxa"/>
            <w:tcBorders>
              <w:top w:val="nil"/>
              <w:left w:val="nil"/>
              <w:bottom w:val="single" w:sz="8" w:space="0" w:color="auto"/>
              <w:right w:val="nil"/>
            </w:tcBorders>
            <w:shd w:val="clear" w:color="auto" w:fill="auto"/>
            <w:vAlign w:val="center"/>
            <w:hideMark/>
          </w:tcPr>
          <w:p w14:paraId="4FEC7709" w14:textId="77777777" w:rsidR="0084535B" w:rsidRPr="00005453" w:rsidRDefault="0084535B" w:rsidP="0084535B">
            <w:pPr>
              <w:jc w:val="right"/>
              <w:rPr>
                <w:b/>
                <w:bCs/>
                <w:sz w:val="18"/>
                <w:szCs w:val="18"/>
                <w:lang w:eastAsia="tr-TR"/>
              </w:rPr>
            </w:pPr>
            <w:r w:rsidRPr="00005453">
              <w:rPr>
                <w:b/>
                <w:bCs/>
                <w:sz w:val="18"/>
                <w:szCs w:val="18"/>
                <w:lang w:eastAsia="tr-TR"/>
              </w:rPr>
              <w:t>YP</w:t>
            </w:r>
          </w:p>
        </w:tc>
      </w:tr>
      <w:tr w:rsidR="00380069" w:rsidRPr="00005453" w14:paraId="7006177F" w14:textId="77777777" w:rsidTr="00380069">
        <w:trPr>
          <w:divId w:val="2141799643"/>
          <w:trHeight w:val="40"/>
        </w:trPr>
        <w:tc>
          <w:tcPr>
            <w:tcW w:w="3828" w:type="dxa"/>
            <w:tcBorders>
              <w:top w:val="nil"/>
              <w:left w:val="nil"/>
              <w:bottom w:val="nil"/>
              <w:right w:val="nil"/>
            </w:tcBorders>
            <w:shd w:val="clear" w:color="auto" w:fill="auto"/>
            <w:vAlign w:val="center"/>
            <w:hideMark/>
          </w:tcPr>
          <w:p w14:paraId="295E2DB0" w14:textId="77777777" w:rsidR="00380069" w:rsidRPr="00005453" w:rsidRDefault="00380069" w:rsidP="00380069">
            <w:pPr>
              <w:jc w:val="both"/>
              <w:rPr>
                <w:b/>
                <w:bCs/>
                <w:sz w:val="18"/>
                <w:szCs w:val="18"/>
                <w:lang w:eastAsia="tr-TR"/>
              </w:rPr>
            </w:pPr>
            <w:r w:rsidRPr="00005453">
              <w:rPr>
                <w:b/>
                <w:bCs/>
                <w:sz w:val="18"/>
                <w:szCs w:val="18"/>
                <w:lang w:eastAsia="tr-TR"/>
              </w:rPr>
              <w:t>Bankalar</w:t>
            </w:r>
          </w:p>
        </w:tc>
        <w:tc>
          <w:tcPr>
            <w:tcW w:w="1275" w:type="dxa"/>
            <w:tcBorders>
              <w:top w:val="nil"/>
              <w:left w:val="nil"/>
              <w:bottom w:val="nil"/>
              <w:right w:val="nil"/>
            </w:tcBorders>
            <w:shd w:val="clear" w:color="auto" w:fill="auto"/>
            <w:vAlign w:val="center"/>
            <w:hideMark/>
          </w:tcPr>
          <w:p w14:paraId="1D0B8E95" w14:textId="6EC640E5" w:rsidR="00380069" w:rsidRPr="00005453" w:rsidRDefault="00380069" w:rsidP="00380069">
            <w:pPr>
              <w:jc w:val="right"/>
              <w:rPr>
                <w:b/>
                <w:sz w:val="18"/>
                <w:szCs w:val="18"/>
                <w:lang w:eastAsia="tr-TR"/>
              </w:rPr>
            </w:pPr>
            <w:r w:rsidRPr="00005453">
              <w:rPr>
                <w:b/>
                <w:bCs/>
                <w:sz w:val="18"/>
                <w:szCs w:val="18"/>
              </w:rPr>
              <w:t>27,753</w:t>
            </w:r>
          </w:p>
        </w:tc>
        <w:tc>
          <w:tcPr>
            <w:tcW w:w="1560" w:type="dxa"/>
            <w:tcBorders>
              <w:top w:val="nil"/>
              <w:left w:val="nil"/>
              <w:bottom w:val="nil"/>
              <w:right w:val="nil"/>
            </w:tcBorders>
            <w:shd w:val="clear" w:color="auto" w:fill="auto"/>
            <w:vAlign w:val="center"/>
            <w:hideMark/>
          </w:tcPr>
          <w:p w14:paraId="5F69B535" w14:textId="15BC7E27" w:rsidR="00380069" w:rsidRPr="00005453" w:rsidRDefault="00380069" w:rsidP="00380069">
            <w:pPr>
              <w:jc w:val="right"/>
              <w:rPr>
                <w:b/>
                <w:sz w:val="18"/>
                <w:szCs w:val="18"/>
                <w:lang w:eastAsia="tr-TR"/>
              </w:rPr>
            </w:pPr>
            <w:r w:rsidRPr="00005453">
              <w:rPr>
                <w:b/>
                <w:bCs/>
                <w:sz w:val="18"/>
                <w:szCs w:val="18"/>
              </w:rPr>
              <w:t>27,014,929</w:t>
            </w:r>
          </w:p>
        </w:tc>
        <w:tc>
          <w:tcPr>
            <w:tcW w:w="1275" w:type="dxa"/>
            <w:tcBorders>
              <w:top w:val="nil"/>
              <w:left w:val="nil"/>
              <w:bottom w:val="nil"/>
              <w:right w:val="nil"/>
            </w:tcBorders>
            <w:shd w:val="clear" w:color="auto" w:fill="auto"/>
            <w:vAlign w:val="center"/>
            <w:hideMark/>
          </w:tcPr>
          <w:p w14:paraId="75598C3D" w14:textId="4CB715D8" w:rsidR="00380069" w:rsidRPr="00005453" w:rsidRDefault="00380069" w:rsidP="00380069">
            <w:pPr>
              <w:jc w:val="right"/>
              <w:rPr>
                <w:b/>
                <w:bCs/>
                <w:sz w:val="18"/>
                <w:szCs w:val="18"/>
                <w:lang w:eastAsia="tr-TR"/>
              </w:rPr>
            </w:pPr>
            <w:r w:rsidRPr="00005453">
              <w:rPr>
                <w:b/>
                <w:sz w:val="18"/>
                <w:szCs w:val="18"/>
                <w:lang w:eastAsia="tr-TR"/>
              </w:rPr>
              <w:t>22,985</w:t>
            </w:r>
          </w:p>
        </w:tc>
        <w:tc>
          <w:tcPr>
            <w:tcW w:w="1410" w:type="dxa"/>
            <w:tcBorders>
              <w:top w:val="nil"/>
              <w:left w:val="nil"/>
              <w:bottom w:val="nil"/>
              <w:right w:val="nil"/>
            </w:tcBorders>
            <w:shd w:val="clear" w:color="auto" w:fill="auto"/>
            <w:vAlign w:val="center"/>
            <w:hideMark/>
          </w:tcPr>
          <w:p w14:paraId="07660623" w14:textId="41C3211F" w:rsidR="00380069" w:rsidRPr="00005453" w:rsidRDefault="00380069" w:rsidP="00380069">
            <w:pPr>
              <w:jc w:val="right"/>
              <w:rPr>
                <w:b/>
                <w:bCs/>
                <w:sz w:val="18"/>
                <w:szCs w:val="18"/>
                <w:lang w:eastAsia="tr-TR"/>
              </w:rPr>
            </w:pPr>
            <w:r w:rsidRPr="00005453">
              <w:rPr>
                <w:b/>
                <w:sz w:val="18"/>
                <w:szCs w:val="18"/>
                <w:lang w:eastAsia="tr-TR"/>
              </w:rPr>
              <w:t>18,090,427</w:t>
            </w:r>
          </w:p>
        </w:tc>
      </w:tr>
      <w:tr w:rsidR="00380069" w:rsidRPr="00005453" w14:paraId="23E399DB" w14:textId="77777777" w:rsidTr="00380069">
        <w:trPr>
          <w:divId w:val="2141799643"/>
          <w:trHeight w:val="97"/>
        </w:trPr>
        <w:tc>
          <w:tcPr>
            <w:tcW w:w="3828" w:type="dxa"/>
            <w:tcBorders>
              <w:top w:val="nil"/>
              <w:left w:val="nil"/>
              <w:bottom w:val="nil"/>
              <w:right w:val="nil"/>
            </w:tcBorders>
            <w:shd w:val="clear" w:color="auto" w:fill="auto"/>
            <w:vAlign w:val="center"/>
            <w:hideMark/>
          </w:tcPr>
          <w:p w14:paraId="34C0587A" w14:textId="764F5838" w:rsidR="00380069" w:rsidRPr="00005453" w:rsidRDefault="00380069" w:rsidP="00380069">
            <w:pPr>
              <w:jc w:val="both"/>
              <w:rPr>
                <w:sz w:val="18"/>
                <w:szCs w:val="18"/>
                <w:lang w:eastAsia="tr-TR"/>
              </w:rPr>
            </w:pPr>
            <w:r w:rsidRPr="00005453">
              <w:rPr>
                <w:sz w:val="18"/>
                <w:szCs w:val="18"/>
                <w:lang w:eastAsia="tr-TR"/>
              </w:rPr>
              <w:t xml:space="preserve">     Yurt içi</w:t>
            </w:r>
          </w:p>
        </w:tc>
        <w:tc>
          <w:tcPr>
            <w:tcW w:w="1275" w:type="dxa"/>
            <w:tcBorders>
              <w:top w:val="nil"/>
              <w:left w:val="nil"/>
              <w:bottom w:val="nil"/>
              <w:right w:val="nil"/>
            </w:tcBorders>
            <w:shd w:val="clear" w:color="auto" w:fill="auto"/>
            <w:vAlign w:val="center"/>
            <w:hideMark/>
          </w:tcPr>
          <w:p w14:paraId="520F052E" w14:textId="6DA2D772" w:rsidR="00380069" w:rsidRPr="00005453" w:rsidRDefault="00380069" w:rsidP="00380069">
            <w:pPr>
              <w:jc w:val="right"/>
              <w:rPr>
                <w:sz w:val="18"/>
                <w:szCs w:val="18"/>
                <w:lang w:eastAsia="tr-TR"/>
              </w:rPr>
            </w:pPr>
            <w:r w:rsidRPr="00005453">
              <w:rPr>
                <w:sz w:val="18"/>
                <w:szCs w:val="18"/>
              </w:rPr>
              <w:t>27,753</w:t>
            </w:r>
          </w:p>
        </w:tc>
        <w:tc>
          <w:tcPr>
            <w:tcW w:w="1560" w:type="dxa"/>
            <w:tcBorders>
              <w:top w:val="nil"/>
              <w:left w:val="nil"/>
              <w:bottom w:val="nil"/>
              <w:right w:val="nil"/>
            </w:tcBorders>
            <w:shd w:val="clear" w:color="auto" w:fill="auto"/>
            <w:vAlign w:val="center"/>
            <w:hideMark/>
          </w:tcPr>
          <w:p w14:paraId="25468CC8" w14:textId="22E86D98" w:rsidR="00380069" w:rsidRPr="00005453" w:rsidRDefault="00380069" w:rsidP="00380069">
            <w:pPr>
              <w:jc w:val="right"/>
              <w:rPr>
                <w:sz w:val="18"/>
                <w:szCs w:val="18"/>
                <w:lang w:eastAsia="tr-TR"/>
              </w:rPr>
            </w:pPr>
            <w:r w:rsidRPr="00005453">
              <w:rPr>
                <w:color w:val="000000"/>
                <w:sz w:val="18"/>
                <w:szCs w:val="18"/>
              </w:rPr>
              <w:t>512,475</w:t>
            </w:r>
          </w:p>
        </w:tc>
        <w:tc>
          <w:tcPr>
            <w:tcW w:w="1275" w:type="dxa"/>
            <w:tcBorders>
              <w:top w:val="nil"/>
              <w:left w:val="nil"/>
              <w:bottom w:val="nil"/>
              <w:right w:val="nil"/>
            </w:tcBorders>
            <w:shd w:val="clear" w:color="auto" w:fill="auto"/>
            <w:vAlign w:val="center"/>
            <w:hideMark/>
          </w:tcPr>
          <w:p w14:paraId="1E938AAF" w14:textId="5A701C43" w:rsidR="00380069" w:rsidRPr="00005453" w:rsidRDefault="00380069" w:rsidP="00380069">
            <w:pPr>
              <w:jc w:val="right"/>
              <w:rPr>
                <w:sz w:val="18"/>
                <w:szCs w:val="18"/>
                <w:lang w:eastAsia="tr-TR"/>
              </w:rPr>
            </w:pPr>
            <w:r w:rsidRPr="00005453">
              <w:rPr>
                <w:sz w:val="18"/>
                <w:szCs w:val="18"/>
                <w:lang w:eastAsia="tr-TR"/>
              </w:rPr>
              <w:t>22,985</w:t>
            </w:r>
          </w:p>
        </w:tc>
        <w:tc>
          <w:tcPr>
            <w:tcW w:w="1410" w:type="dxa"/>
            <w:tcBorders>
              <w:top w:val="nil"/>
              <w:left w:val="nil"/>
              <w:bottom w:val="nil"/>
              <w:right w:val="nil"/>
            </w:tcBorders>
            <w:shd w:val="clear" w:color="auto" w:fill="auto"/>
            <w:vAlign w:val="center"/>
            <w:hideMark/>
          </w:tcPr>
          <w:p w14:paraId="1D3C0DA1" w14:textId="04A372BB" w:rsidR="00380069" w:rsidRPr="00005453" w:rsidRDefault="00380069" w:rsidP="00380069">
            <w:pPr>
              <w:jc w:val="right"/>
              <w:rPr>
                <w:sz w:val="18"/>
                <w:szCs w:val="18"/>
                <w:lang w:eastAsia="tr-TR"/>
              </w:rPr>
            </w:pPr>
            <w:r w:rsidRPr="00005453">
              <w:rPr>
                <w:sz w:val="18"/>
                <w:szCs w:val="18"/>
                <w:lang w:eastAsia="tr-TR"/>
              </w:rPr>
              <w:t>486,588</w:t>
            </w:r>
          </w:p>
        </w:tc>
      </w:tr>
      <w:tr w:rsidR="00380069" w:rsidRPr="00005453" w14:paraId="5524E723" w14:textId="77777777" w:rsidTr="00380069">
        <w:trPr>
          <w:divId w:val="2141799643"/>
          <w:trHeight w:val="142"/>
        </w:trPr>
        <w:tc>
          <w:tcPr>
            <w:tcW w:w="3828" w:type="dxa"/>
            <w:tcBorders>
              <w:top w:val="nil"/>
              <w:left w:val="nil"/>
              <w:bottom w:val="nil"/>
              <w:right w:val="nil"/>
            </w:tcBorders>
            <w:shd w:val="clear" w:color="auto" w:fill="auto"/>
            <w:vAlign w:val="center"/>
            <w:hideMark/>
          </w:tcPr>
          <w:p w14:paraId="6D921B28" w14:textId="2F3EAA21" w:rsidR="00380069" w:rsidRPr="00005453" w:rsidRDefault="00380069" w:rsidP="00380069">
            <w:pPr>
              <w:jc w:val="both"/>
              <w:rPr>
                <w:sz w:val="18"/>
                <w:szCs w:val="18"/>
                <w:lang w:eastAsia="tr-TR"/>
              </w:rPr>
            </w:pPr>
            <w:r w:rsidRPr="00005453">
              <w:rPr>
                <w:sz w:val="18"/>
                <w:szCs w:val="18"/>
                <w:lang w:eastAsia="tr-TR"/>
              </w:rPr>
              <w:t xml:space="preserve">     Yurt dışı</w:t>
            </w:r>
          </w:p>
        </w:tc>
        <w:tc>
          <w:tcPr>
            <w:tcW w:w="1275" w:type="dxa"/>
            <w:tcBorders>
              <w:top w:val="nil"/>
              <w:left w:val="nil"/>
              <w:bottom w:val="nil"/>
              <w:right w:val="nil"/>
            </w:tcBorders>
            <w:shd w:val="clear" w:color="auto" w:fill="auto"/>
            <w:vAlign w:val="center"/>
            <w:hideMark/>
          </w:tcPr>
          <w:p w14:paraId="1928BB01" w14:textId="142DCB03" w:rsidR="00380069" w:rsidRPr="00005453" w:rsidRDefault="00380069" w:rsidP="00380069">
            <w:pPr>
              <w:jc w:val="right"/>
              <w:rPr>
                <w:sz w:val="18"/>
                <w:szCs w:val="18"/>
                <w:lang w:eastAsia="tr-TR"/>
              </w:rPr>
            </w:pPr>
            <w:r w:rsidRPr="00005453">
              <w:rPr>
                <w:sz w:val="18"/>
                <w:szCs w:val="18"/>
              </w:rPr>
              <w:t>-</w:t>
            </w:r>
          </w:p>
        </w:tc>
        <w:tc>
          <w:tcPr>
            <w:tcW w:w="1560" w:type="dxa"/>
            <w:tcBorders>
              <w:top w:val="nil"/>
              <w:left w:val="nil"/>
              <w:bottom w:val="nil"/>
              <w:right w:val="nil"/>
            </w:tcBorders>
            <w:shd w:val="clear" w:color="auto" w:fill="auto"/>
            <w:vAlign w:val="center"/>
            <w:hideMark/>
          </w:tcPr>
          <w:p w14:paraId="4A9AD760" w14:textId="017CF987" w:rsidR="00380069" w:rsidRPr="00005453" w:rsidRDefault="00380069" w:rsidP="00380069">
            <w:pPr>
              <w:jc w:val="right"/>
              <w:rPr>
                <w:sz w:val="18"/>
                <w:szCs w:val="18"/>
                <w:lang w:eastAsia="tr-TR"/>
              </w:rPr>
            </w:pPr>
            <w:r w:rsidRPr="00005453">
              <w:rPr>
                <w:sz w:val="18"/>
                <w:szCs w:val="18"/>
              </w:rPr>
              <w:t>26,502,454</w:t>
            </w:r>
          </w:p>
        </w:tc>
        <w:tc>
          <w:tcPr>
            <w:tcW w:w="1275" w:type="dxa"/>
            <w:tcBorders>
              <w:top w:val="nil"/>
              <w:left w:val="nil"/>
              <w:bottom w:val="nil"/>
              <w:right w:val="nil"/>
            </w:tcBorders>
            <w:shd w:val="clear" w:color="auto" w:fill="auto"/>
            <w:vAlign w:val="center"/>
            <w:hideMark/>
          </w:tcPr>
          <w:p w14:paraId="314558B0" w14:textId="5FE81B51" w:rsidR="00380069" w:rsidRPr="00005453" w:rsidRDefault="00380069" w:rsidP="00380069">
            <w:pPr>
              <w:jc w:val="right"/>
              <w:rPr>
                <w:sz w:val="18"/>
                <w:szCs w:val="18"/>
                <w:lang w:eastAsia="tr-TR"/>
              </w:rPr>
            </w:pPr>
            <w:r w:rsidRPr="00005453">
              <w:rPr>
                <w:sz w:val="18"/>
                <w:szCs w:val="18"/>
                <w:lang w:eastAsia="tr-TR"/>
              </w:rPr>
              <w:t>-</w:t>
            </w:r>
          </w:p>
        </w:tc>
        <w:tc>
          <w:tcPr>
            <w:tcW w:w="1410" w:type="dxa"/>
            <w:tcBorders>
              <w:top w:val="nil"/>
              <w:left w:val="nil"/>
              <w:bottom w:val="nil"/>
              <w:right w:val="nil"/>
            </w:tcBorders>
            <w:shd w:val="clear" w:color="auto" w:fill="auto"/>
            <w:vAlign w:val="center"/>
            <w:hideMark/>
          </w:tcPr>
          <w:p w14:paraId="4C683778" w14:textId="7ACD715E" w:rsidR="00380069" w:rsidRPr="00005453" w:rsidRDefault="00380069" w:rsidP="00380069">
            <w:pPr>
              <w:jc w:val="right"/>
              <w:rPr>
                <w:sz w:val="18"/>
                <w:szCs w:val="18"/>
                <w:lang w:eastAsia="tr-TR"/>
              </w:rPr>
            </w:pPr>
            <w:r w:rsidRPr="00005453">
              <w:rPr>
                <w:sz w:val="18"/>
                <w:szCs w:val="18"/>
                <w:lang w:eastAsia="tr-TR"/>
              </w:rPr>
              <w:t>17,603,839</w:t>
            </w:r>
          </w:p>
        </w:tc>
      </w:tr>
      <w:tr w:rsidR="003A4891" w:rsidRPr="00005453" w14:paraId="510001F6" w14:textId="77777777" w:rsidTr="00BD1BED">
        <w:trPr>
          <w:divId w:val="2141799643"/>
          <w:trHeight w:val="60"/>
        </w:trPr>
        <w:tc>
          <w:tcPr>
            <w:tcW w:w="3828" w:type="dxa"/>
            <w:tcBorders>
              <w:top w:val="nil"/>
              <w:left w:val="nil"/>
              <w:bottom w:val="nil"/>
              <w:right w:val="nil"/>
            </w:tcBorders>
            <w:shd w:val="clear" w:color="auto" w:fill="auto"/>
            <w:vAlign w:val="center"/>
            <w:hideMark/>
          </w:tcPr>
          <w:p w14:paraId="03C3FCD0" w14:textId="4EEADDD3" w:rsidR="003A4891" w:rsidRPr="00005453" w:rsidRDefault="003A4891" w:rsidP="003A4891">
            <w:pPr>
              <w:ind w:firstLineChars="100" w:firstLine="180"/>
              <w:rPr>
                <w:sz w:val="18"/>
                <w:szCs w:val="18"/>
                <w:lang w:eastAsia="tr-TR"/>
              </w:rPr>
            </w:pPr>
            <w:r w:rsidRPr="00005453">
              <w:rPr>
                <w:sz w:val="18"/>
                <w:szCs w:val="18"/>
                <w:lang w:eastAsia="tr-TR"/>
              </w:rPr>
              <w:t>Yurt dışı merkez ve Şubeler</w:t>
            </w:r>
          </w:p>
        </w:tc>
        <w:tc>
          <w:tcPr>
            <w:tcW w:w="1275" w:type="dxa"/>
            <w:tcBorders>
              <w:top w:val="nil"/>
              <w:left w:val="nil"/>
              <w:bottom w:val="nil"/>
              <w:right w:val="nil"/>
            </w:tcBorders>
            <w:shd w:val="clear" w:color="auto" w:fill="auto"/>
            <w:vAlign w:val="center"/>
            <w:hideMark/>
          </w:tcPr>
          <w:p w14:paraId="10C67BE6" w14:textId="77777777" w:rsidR="003A4891" w:rsidRPr="00005453" w:rsidRDefault="003A4891" w:rsidP="003A4891">
            <w:pPr>
              <w:jc w:val="right"/>
              <w:rPr>
                <w:sz w:val="18"/>
                <w:szCs w:val="18"/>
                <w:lang w:eastAsia="tr-TR"/>
              </w:rPr>
            </w:pPr>
            <w:r w:rsidRPr="00005453">
              <w:rPr>
                <w:sz w:val="18"/>
                <w:szCs w:val="18"/>
                <w:lang w:eastAsia="tr-TR"/>
              </w:rPr>
              <w:t>-</w:t>
            </w:r>
          </w:p>
        </w:tc>
        <w:tc>
          <w:tcPr>
            <w:tcW w:w="1560" w:type="dxa"/>
            <w:tcBorders>
              <w:top w:val="nil"/>
              <w:left w:val="nil"/>
              <w:bottom w:val="nil"/>
              <w:right w:val="nil"/>
            </w:tcBorders>
            <w:shd w:val="clear" w:color="auto" w:fill="auto"/>
            <w:vAlign w:val="center"/>
            <w:hideMark/>
          </w:tcPr>
          <w:p w14:paraId="298BF335" w14:textId="77777777" w:rsidR="003A4891" w:rsidRPr="00005453" w:rsidRDefault="003A4891" w:rsidP="003A4891">
            <w:pPr>
              <w:jc w:val="right"/>
              <w:rPr>
                <w:sz w:val="18"/>
                <w:szCs w:val="18"/>
                <w:lang w:eastAsia="tr-TR"/>
              </w:rPr>
            </w:pPr>
            <w:r w:rsidRPr="00005453">
              <w:rPr>
                <w:sz w:val="18"/>
                <w:szCs w:val="18"/>
                <w:lang w:eastAsia="tr-TR"/>
              </w:rPr>
              <w:t>-</w:t>
            </w:r>
          </w:p>
        </w:tc>
        <w:tc>
          <w:tcPr>
            <w:tcW w:w="1275" w:type="dxa"/>
            <w:tcBorders>
              <w:top w:val="nil"/>
              <w:left w:val="nil"/>
              <w:bottom w:val="nil"/>
              <w:right w:val="nil"/>
            </w:tcBorders>
            <w:shd w:val="clear" w:color="auto" w:fill="auto"/>
            <w:vAlign w:val="center"/>
            <w:hideMark/>
          </w:tcPr>
          <w:p w14:paraId="78FE0B1F" w14:textId="5DAB5F90" w:rsidR="003A4891" w:rsidRPr="00005453" w:rsidRDefault="003A4891" w:rsidP="003A4891">
            <w:pPr>
              <w:jc w:val="right"/>
              <w:rPr>
                <w:sz w:val="18"/>
                <w:szCs w:val="18"/>
                <w:lang w:eastAsia="tr-TR"/>
              </w:rPr>
            </w:pPr>
            <w:r w:rsidRPr="00005453">
              <w:rPr>
                <w:sz w:val="18"/>
                <w:szCs w:val="18"/>
                <w:lang w:eastAsia="tr-TR"/>
              </w:rPr>
              <w:t>-</w:t>
            </w:r>
          </w:p>
        </w:tc>
        <w:tc>
          <w:tcPr>
            <w:tcW w:w="1410" w:type="dxa"/>
            <w:tcBorders>
              <w:top w:val="nil"/>
              <w:left w:val="nil"/>
              <w:bottom w:val="nil"/>
              <w:right w:val="nil"/>
            </w:tcBorders>
            <w:shd w:val="clear" w:color="auto" w:fill="auto"/>
            <w:vAlign w:val="center"/>
            <w:hideMark/>
          </w:tcPr>
          <w:p w14:paraId="44FDA06B" w14:textId="09985D4B" w:rsidR="003A4891" w:rsidRPr="00005453" w:rsidRDefault="003A4891" w:rsidP="003A4891">
            <w:pPr>
              <w:jc w:val="right"/>
              <w:rPr>
                <w:sz w:val="18"/>
                <w:szCs w:val="18"/>
                <w:lang w:eastAsia="tr-TR"/>
              </w:rPr>
            </w:pPr>
            <w:r w:rsidRPr="00005453">
              <w:rPr>
                <w:sz w:val="18"/>
                <w:szCs w:val="18"/>
                <w:lang w:eastAsia="tr-TR"/>
              </w:rPr>
              <w:t>-</w:t>
            </w:r>
          </w:p>
        </w:tc>
      </w:tr>
      <w:tr w:rsidR="003A4891" w:rsidRPr="00005453" w14:paraId="38C5AA7A" w14:textId="77777777" w:rsidTr="00BD1BED">
        <w:trPr>
          <w:divId w:val="2141799643"/>
          <w:trHeight w:val="77"/>
        </w:trPr>
        <w:tc>
          <w:tcPr>
            <w:tcW w:w="3828" w:type="dxa"/>
            <w:tcBorders>
              <w:top w:val="nil"/>
              <w:left w:val="nil"/>
              <w:bottom w:val="single" w:sz="8" w:space="0" w:color="auto"/>
              <w:right w:val="nil"/>
            </w:tcBorders>
            <w:shd w:val="clear" w:color="auto" w:fill="auto"/>
            <w:noWrap/>
            <w:vAlign w:val="bottom"/>
            <w:hideMark/>
          </w:tcPr>
          <w:p w14:paraId="08581316" w14:textId="77777777" w:rsidR="003A4891" w:rsidRPr="00005453" w:rsidRDefault="003A4891" w:rsidP="003A4891">
            <w:pPr>
              <w:rPr>
                <w:sz w:val="18"/>
                <w:szCs w:val="18"/>
                <w:lang w:eastAsia="tr-TR"/>
              </w:rPr>
            </w:pPr>
            <w:r w:rsidRPr="00005453">
              <w:rPr>
                <w:sz w:val="18"/>
                <w:szCs w:val="18"/>
                <w:lang w:eastAsia="tr-TR"/>
              </w:rPr>
              <w:t>Diğer Mali Kuruluşlar</w:t>
            </w:r>
          </w:p>
        </w:tc>
        <w:tc>
          <w:tcPr>
            <w:tcW w:w="1275" w:type="dxa"/>
            <w:tcBorders>
              <w:top w:val="nil"/>
              <w:left w:val="nil"/>
              <w:bottom w:val="single" w:sz="8" w:space="0" w:color="auto"/>
              <w:right w:val="nil"/>
            </w:tcBorders>
            <w:shd w:val="clear" w:color="auto" w:fill="auto"/>
            <w:vAlign w:val="center"/>
            <w:hideMark/>
          </w:tcPr>
          <w:p w14:paraId="35E0E8DE" w14:textId="77777777" w:rsidR="003A4891" w:rsidRPr="00005453" w:rsidRDefault="003A4891" w:rsidP="003A4891">
            <w:pPr>
              <w:jc w:val="right"/>
              <w:rPr>
                <w:sz w:val="18"/>
                <w:szCs w:val="18"/>
                <w:lang w:eastAsia="tr-TR"/>
              </w:rPr>
            </w:pPr>
            <w:r w:rsidRPr="00005453">
              <w:rPr>
                <w:sz w:val="18"/>
                <w:szCs w:val="18"/>
                <w:lang w:eastAsia="tr-TR"/>
              </w:rPr>
              <w:t>-</w:t>
            </w:r>
          </w:p>
        </w:tc>
        <w:tc>
          <w:tcPr>
            <w:tcW w:w="1560" w:type="dxa"/>
            <w:tcBorders>
              <w:top w:val="nil"/>
              <w:left w:val="nil"/>
              <w:bottom w:val="single" w:sz="8" w:space="0" w:color="auto"/>
              <w:right w:val="nil"/>
            </w:tcBorders>
            <w:shd w:val="clear" w:color="auto" w:fill="auto"/>
            <w:vAlign w:val="center"/>
            <w:hideMark/>
          </w:tcPr>
          <w:p w14:paraId="10525721" w14:textId="77777777" w:rsidR="003A4891" w:rsidRPr="00005453" w:rsidRDefault="003A4891" w:rsidP="003A4891">
            <w:pPr>
              <w:jc w:val="right"/>
              <w:rPr>
                <w:sz w:val="18"/>
                <w:szCs w:val="18"/>
                <w:lang w:eastAsia="tr-TR"/>
              </w:rPr>
            </w:pPr>
            <w:r w:rsidRPr="00005453">
              <w:rPr>
                <w:sz w:val="18"/>
                <w:szCs w:val="18"/>
                <w:lang w:eastAsia="tr-TR"/>
              </w:rPr>
              <w:t>-</w:t>
            </w:r>
          </w:p>
        </w:tc>
        <w:tc>
          <w:tcPr>
            <w:tcW w:w="1275" w:type="dxa"/>
            <w:tcBorders>
              <w:top w:val="nil"/>
              <w:left w:val="nil"/>
              <w:bottom w:val="single" w:sz="8" w:space="0" w:color="auto"/>
              <w:right w:val="nil"/>
            </w:tcBorders>
            <w:shd w:val="clear" w:color="auto" w:fill="auto"/>
            <w:vAlign w:val="center"/>
            <w:hideMark/>
          </w:tcPr>
          <w:p w14:paraId="41E55598" w14:textId="69D5D397" w:rsidR="003A4891" w:rsidRPr="00005453" w:rsidRDefault="003A4891" w:rsidP="003A4891">
            <w:pPr>
              <w:jc w:val="right"/>
              <w:rPr>
                <w:sz w:val="18"/>
                <w:szCs w:val="18"/>
                <w:lang w:eastAsia="tr-TR"/>
              </w:rPr>
            </w:pPr>
            <w:r w:rsidRPr="00005453">
              <w:rPr>
                <w:sz w:val="18"/>
                <w:szCs w:val="18"/>
                <w:lang w:eastAsia="tr-TR"/>
              </w:rPr>
              <w:t>-</w:t>
            </w:r>
          </w:p>
        </w:tc>
        <w:tc>
          <w:tcPr>
            <w:tcW w:w="1410" w:type="dxa"/>
            <w:tcBorders>
              <w:top w:val="nil"/>
              <w:left w:val="nil"/>
              <w:bottom w:val="single" w:sz="8" w:space="0" w:color="auto"/>
              <w:right w:val="nil"/>
            </w:tcBorders>
            <w:shd w:val="clear" w:color="auto" w:fill="auto"/>
            <w:vAlign w:val="center"/>
            <w:hideMark/>
          </w:tcPr>
          <w:p w14:paraId="1611826F" w14:textId="2251277A" w:rsidR="003A4891" w:rsidRPr="00005453" w:rsidRDefault="003A4891" w:rsidP="003A4891">
            <w:pPr>
              <w:jc w:val="right"/>
              <w:rPr>
                <w:sz w:val="18"/>
                <w:szCs w:val="18"/>
                <w:lang w:eastAsia="tr-TR"/>
              </w:rPr>
            </w:pPr>
            <w:r w:rsidRPr="00005453">
              <w:rPr>
                <w:sz w:val="18"/>
                <w:szCs w:val="18"/>
                <w:lang w:eastAsia="tr-TR"/>
              </w:rPr>
              <w:t>-</w:t>
            </w:r>
          </w:p>
        </w:tc>
      </w:tr>
      <w:tr w:rsidR="00380069" w:rsidRPr="00005453" w14:paraId="7650F140" w14:textId="77777777" w:rsidTr="00380069">
        <w:trPr>
          <w:divId w:val="2141799643"/>
          <w:trHeight w:val="248"/>
        </w:trPr>
        <w:tc>
          <w:tcPr>
            <w:tcW w:w="3828" w:type="dxa"/>
            <w:tcBorders>
              <w:top w:val="nil"/>
              <w:left w:val="nil"/>
              <w:bottom w:val="double" w:sz="6" w:space="0" w:color="auto"/>
              <w:right w:val="nil"/>
            </w:tcBorders>
            <w:shd w:val="clear" w:color="auto" w:fill="auto"/>
            <w:vAlign w:val="center"/>
            <w:hideMark/>
          </w:tcPr>
          <w:p w14:paraId="1229CF1C" w14:textId="77777777" w:rsidR="00380069" w:rsidRPr="00005453" w:rsidRDefault="00380069" w:rsidP="00380069">
            <w:pPr>
              <w:jc w:val="both"/>
              <w:rPr>
                <w:b/>
                <w:bCs/>
                <w:sz w:val="18"/>
                <w:szCs w:val="18"/>
                <w:lang w:eastAsia="tr-TR"/>
              </w:rPr>
            </w:pPr>
            <w:r w:rsidRPr="00005453">
              <w:rPr>
                <w:b/>
                <w:bCs/>
                <w:sz w:val="18"/>
                <w:szCs w:val="18"/>
                <w:lang w:eastAsia="tr-TR"/>
              </w:rPr>
              <w:t>Toplam</w:t>
            </w:r>
          </w:p>
        </w:tc>
        <w:tc>
          <w:tcPr>
            <w:tcW w:w="1275" w:type="dxa"/>
            <w:tcBorders>
              <w:top w:val="nil"/>
              <w:left w:val="nil"/>
              <w:bottom w:val="double" w:sz="6" w:space="0" w:color="auto"/>
              <w:right w:val="nil"/>
            </w:tcBorders>
            <w:shd w:val="clear" w:color="auto" w:fill="auto"/>
            <w:vAlign w:val="center"/>
            <w:hideMark/>
          </w:tcPr>
          <w:p w14:paraId="68FB0EE8" w14:textId="6012E9D9" w:rsidR="00380069" w:rsidRPr="00005453" w:rsidRDefault="00380069" w:rsidP="00380069">
            <w:pPr>
              <w:jc w:val="right"/>
              <w:rPr>
                <w:b/>
                <w:bCs/>
                <w:sz w:val="18"/>
                <w:szCs w:val="18"/>
                <w:lang w:eastAsia="tr-TR"/>
              </w:rPr>
            </w:pPr>
            <w:r w:rsidRPr="00005453">
              <w:rPr>
                <w:b/>
                <w:bCs/>
                <w:sz w:val="18"/>
                <w:szCs w:val="18"/>
              </w:rPr>
              <w:t>27,753</w:t>
            </w:r>
          </w:p>
        </w:tc>
        <w:tc>
          <w:tcPr>
            <w:tcW w:w="1560" w:type="dxa"/>
            <w:tcBorders>
              <w:top w:val="nil"/>
              <w:left w:val="nil"/>
              <w:bottom w:val="double" w:sz="6" w:space="0" w:color="auto"/>
              <w:right w:val="nil"/>
            </w:tcBorders>
            <w:shd w:val="clear" w:color="auto" w:fill="auto"/>
            <w:vAlign w:val="center"/>
            <w:hideMark/>
          </w:tcPr>
          <w:p w14:paraId="0277BACB" w14:textId="733CE61A" w:rsidR="00380069" w:rsidRPr="00005453" w:rsidRDefault="00380069" w:rsidP="00380069">
            <w:pPr>
              <w:jc w:val="right"/>
              <w:rPr>
                <w:b/>
                <w:bCs/>
                <w:sz w:val="18"/>
                <w:szCs w:val="18"/>
                <w:lang w:eastAsia="tr-TR"/>
              </w:rPr>
            </w:pPr>
            <w:r w:rsidRPr="00005453">
              <w:rPr>
                <w:b/>
                <w:bCs/>
                <w:sz w:val="18"/>
                <w:szCs w:val="18"/>
              </w:rPr>
              <w:t>27,014,929</w:t>
            </w:r>
          </w:p>
        </w:tc>
        <w:tc>
          <w:tcPr>
            <w:tcW w:w="1275" w:type="dxa"/>
            <w:tcBorders>
              <w:top w:val="nil"/>
              <w:left w:val="nil"/>
              <w:bottom w:val="double" w:sz="6" w:space="0" w:color="auto"/>
              <w:right w:val="nil"/>
            </w:tcBorders>
            <w:shd w:val="clear" w:color="auto" w:fill="auto"/>
            <w:vAlign w:val="center"/>
            <w:hideMark/>
          </w:tcPr>
          <w:p w14:paraId="4645AF6C" w14:textId="086F9564" w:rsidR="00380069" w:rsidRPr="00005453" w:rsidRDefault="00380069" w:rsidP="00380069">
            <w:pPr>
              <w:jc w:val="right"/>
              <w:rPr>
                <w:b/>
                <w:bCs/>
                <w:sz w:val="18"/>
                <w:szCs w:val="18"/>
                <w:lang w:eastAsia="tr-TR"/>
              </w:rPr>
            </w:pPr>
            <w:r w:rsidRPr="00005453">
              <w:rPr>
                <w:b/>
                <w:bCs/>
                <w:sz w:val="18"/>
                <w:szCs w:val="18"/>
              </w:rPr>
              <w:t>22,985</w:t>
            </w:r>
          </w:p>
        </w:tc>
        <w:tc>
          <w:tcPr>
            <w:tcW w:w="1410" w:type="dxa"/>
            <w:tcBorders>
              <w:top w:val="nil"/>
              <w:left w:val="nil"/>
              <w:bottom w:val="double" w:sz="6" w:space="0" w:color="auto"/>
              <w:right w:val="nil"/>
            </w:tcBorders>
            <w:shd w:val="clear" w:color="auto" w:fill="auto"/>
            <w:vAlign w:val="center"/>
            <w:hideMark/>
          </w:tcPr>
          <w:p w14:paraId="7A67AC7B" w14:textId="3ACBAC47" w:rsidR="00380069" w:rsidRPr="00005453" w:rsidRDefault="00380069" w:rsidP="00380069">
            <w:pPr>
              <w:jc w:val="right"/>
              <w:rPr>
                <w:b/>
                <w:bCs/>
                <w:sz w:val="18"/>
                <w:szCs w:val="18"/>
                <w:lang w:eastAsia="tr-TR"/>
              </w:rPr>
            </w:pPr>
            <w:r w:rsidRPr="00005453">
              <w:rPr>
                <w:b/>
                <w:bCs/>
                <w:sz w:val="18"/>
                <w:szCs w:val="18"/>
              </w:rPr>
              <w:t>18,090,427</w:t>
            </w:r>
          </w:p>
        </w:tc>
      </w:tr>
    </w:tbl>
    <w:p w14:paraId="20FB46A6" w14:textId="77777777" w:rsidR="005822D7" w:rsidRPr="00005453" w:rsidRDefault="005822D7" w:rsidP="00EE32B2">
      <w:pPr>
        <w:pStyle w:val="BodyTextIndent"/>
        <w:jc w:val="left"/>
        <w:rPr>
          <w:b/>
          <w:sz w:val="16"/>
          <w:szCs w:val="16"/>
        </w:rPr>
      </w:pPr>
    </w:p>
    <w:p w14:paraId="361D1E86" w14:textId="62A667A4" w:rsidR="00EC1D5D" w:rsidRPr="00005453" w:rsidRDefault="00EC1D5D" w:rsidP="00EC1D5D">
      <w:pPr>
        <w:pStyle w:val="BodyTextIndent"/>
        <w:tabs>
          <w:tab w:val="num" w:pos="1260"/>
        </w:tabs>
        <w:autoSpaceDE/>
        <w:autoSpaceDN/>
        <w:adjustRightInd/>
        <w:ind w:left="0" w:hanging="567"/>
        <w:jc w:val="left"/>
        <w:rPr>
          <w:b/>
        </w:rPr>
      </w:pPr>
      <w:r w:rsidRPr="00005453">
        <w:rPr>
          <w:b/>
        </w:rPr>
        <w:t>1.3.2.</w:t>
      </w:r>
      <w:r w:rsidRPr="00005453">
        <w:rPr>
          <w:b/>
        </w:rPr>
        <w:tab/>
        <w:t>Yurt dışı bankalar hesabına ilişkin bilgiler</w:t>
      </w:r>
    </w:p>
    <w:p w14:paraId="00A1B17B" w14:textId="3934D07A" w:rsidR="005822D7" w:rsidRPr="00005453" w:rsidRDefault="005822D7" w:rsidP="006F1E7D">
      <w:pPr>
        <w:autoSpaceDE w:val="0"/>
        <w:autoSpaceDN w:val="0"/>
        <w:adjustRightInd w:val="0"/>
        <w:ind w:left="540" w:hanging="540"/>
        <w:rPr>
          <w:lang w:eastAsia="en-GB"/>
        </w:rPr>
      </w:pPr>
    </w:p>
    <w:tbl>
      <w:tblPr>
        <w:tblW w:w="9323" w:type="dxa"/>
        <w:tblCellMar>
          <w:left w:w="70" w:type="dxa"/>
          <w:right w:w="70" w:type="dxa"/>
        </w:tblCellMar>
        <w:tblLook w:val="04A0" w:firstRow="1" w:lastRow="0" w:firstColumn="1" w:lastColumn="0" w:noHBand="0" w:noVBand="1"/>
      </w:tblPr>
      <w:tblGrid>
        <w:gridCol w:w="3828"/>
        <w:gridCol w:w="141"/>
        <w:gridCol w:w="1134"/>
        <w:gridCol w:w="1560"/>
        <w:gridCol w:w="1275"/>
        <w:gridCol w:w="1385"/>
      </w:tblGrid>
      <w:tr w:rsidR="005822D7" w:rsidRPr="00005453" w14:paraId="2D27A484" w14:textId="77777777" w:rsidTr="00614CD2">
        <w:trPr>
          <w:divId w:val="869411536"/>
          <w:trHeight w:val="217"/>
        </w:trPr>
        <w:tc>
          <w:tcPr>
            <w:tcW w:w="3828" w:type="dxa"/>
            <w:tcBorders>
              <w:top w:val="double" w:sz="6" w:space="0" w:color="auto"/>
              <w:left w:val="nil"/>
              <w:bottom w:val="nil"/>
              <w:right w:val="nil"/>
            </w:tcBorders>
            <w:shd w:val="clear" w:color="auto" w:fill="auto"/>
            <w:vAlign w:val="center"/>
            <w:hideMark/>
          </w:tcPr>
          <w:p w14:paraId="04E861E4" w14:textId="7B8D8E86" w:rsidR="005822D7" w:rsidRPr="00005453" w:rsidRDefault="005822D7" w:rsidP="005822D7">
            <w:pPr>
              <w:jc w:val="right"/>
              <w:rPr>
                <w:sz w:val="18"/>
                <w:szCs w:val="18"/>
                <w:lang w:eastAsia="tr-TR"/>
              </w:rPr>
            </w:pPr>
            <w:r w:rsidRPr="00005453">
              <w:rPr>
                <w:sz w:val="18"/>
                <w:szCs w:val="18"/>
                <w:lang w:eastAsia="tr-TR"/>
              </w:rPr>
              <w:t> </w:t>
            </w:r>
          </w:p>
        </w:tc>
        <w:tc>
          <w:tcPr>
            <w:tcW w:w="2835" w:type="dxa"/>
            <w:gridSpan w:val="3"/>
            <w:tcBorders>
              <w:top w:val="double" w:sz="6" w:space="0" w:color="auto"/>
              <w:left w:val="nil"/>
              <w:bottom w:val="single" w:sz="8" w:space="0" w:color="auto"/>
              <w:right w:val="nil"/>
            </w:tcBorders>
            <w:shd w:val="clear" w:color="auto" w:fill="auto"/>
            <w:vAlign w:val="center"/>
            <w:hideMark/>
          </w:tcPr>
          <w:p w14:paraId="62002C29" w14:textId="77777777" w:rsidR="005822D7" w:rsidRPr="00005453" w:rsidRDefault="005822D7" w:rsidP="003E05EA">
            <w:pPr>
              <w:jc w:val="center"/>
              <w:rPr>
                <w:b/>
                <w:bCs/>
                <w:sz w:val="18"/>
                <w:szCs w:val="18"/>
                <w:lang w:eastAsia="tr-TR"/>
              </w:rPr>
            </w:pPr>
            <w:r w:rsidRPr="00005453">
              <w:rPr>
                <w:b/>
                <w:bCs/>
                <w:sz w:val="18"/>
                <w:szCs w:val="18"/>
                <w:lang w:eastAsia="tr-TR"/>
              </w:rPr>
              <w:t>Serbest Tutar</w:t>
            </w:r>
          </w:p>
        </w:tc>
        <w:tc>
          <w:tcPr>
            <w:tcW w:w="2660" w:type="dxa"/>
            <w:gridSpan w:val="2"/>
            <w:tcBorders>
              <w:top w:val="double" w:sz="6" w:space="0" w:color="auto"/>
              <w:left w:val="nil"/>
              <w:bottom w:val="single" w:sz="8" w:space="0" w:color="auto"/>
              <w:right w:val="nil"/>
            </w:tcBorders>
            <w:shd w:val="clear" w:color="auto" w:fill="auto"/>
            <w:vAlign w:val="center"/>
            <w:hideMark/>
          </w:tcPr>
          <w:p w14:paraId="3BAB13E9" w14:textId="77777777" w:rsidR="005822D7" w:rsidRPr="00005453" w:rsidRDefault="005822D7" w:rsidP="00614CD2">
            <w:pPr>
              <w:jc w:val="right"/>
              <w:rPr>
                <w:b/>
                <w:bCs/>
                <w:sz w:val="18"/>
                <w:szCs w:val="18"/>
                <w:lang w:eastAsia="tr-TR"/>
              </w:rPr>
            </w:pPr>
            <w:r w:rsidRPr="00005453">
              <w:rPr>
                <w:b/>
                <w:bCs/>
                <w:sz w:val="18"/>
                <w:szCs w:val="18"/>
                <w:lang w:eastAsia="tr-TR"/>
              </w:rPr>
              <w:t>Serbest Olmayan Tutar</w:t>
            </w:r>
          </w:p>
        </w:tc>
      </w:tr>
      <w:tr w:rsidR="005822D7" w:rsidRPr="00005453" w14:paraId="00E9B8FF" w14:textId="77777777" w:rsidTr="00614CD2">
        <w:trPr>
          <w:divId w:val="869411536"/>
          <w:trHeight w:val="193"/>
        </w:trPr>
        <w:tc>
          <w:tcPr>
            <w:tcW w:w="3969" w:type="dxa"/>
            <w:gridSpan w:val="2"/>
            <w:tcBorders>
              <w:top w:val="nil"/>
              <w:left w:val="nil"/>
              <w:bottom w:val="single" w:sz="8" w:space="0" w:color="auto"/>
              <w:right w:val="nil"/>
            </w:tcBorders>
            <w:shd w:val="clear" w:color="auto" w:fill="auto"/>
            <w:vAlign w:val="center"/>
            <w:hideMark/>
          </w:tcPr>
          <w:p w14:paraId="64DF31BE" w14:textId="77777777" w:rsidR="005822D7" w:rsidRPr="00005453" w:rsidRDefault="005822D7" w:rsidP="005822D7">
            <w:pPr>
              <w:jc w:val="right"/>
              <w:rPr>
                <w:sz w:val="18"/>
                <w:szCs w:val="18"/>
                <w:lang w:eastAsia="tr-TR"/>
              </w:rPr>
            </w:pPr>
            <w:r w:rsidRPr="00005453">
              <w:rPr>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61844566" w14:textId="77777777" w:rsidR="005822D7" w:rsidRPr="00005453" w:rsidRDefault="005822D7" w:rsidP="005822D7">
            <w:pPr>
              <w:jc w:val="right"/>
              <w:rPr>
                <w:b/>
                <w:bCs/>
                <w:sz w:val="18"/>
                <w:szCs w:val="18"/>
                <w:lang w:eastAsia="tr-TR"/>
              </w:rPr>
            </w:pPr>
            <w:r w:rsidRPr="00005453">
              <w:rPr>
                <w:b/>
                <w:bCs/>
                <w:sz w:val="18"/>
                <w:szCs w:val="18"/>
                <w:lang w:eastAsia="tr-TR"/>
              </w:rPr>
              <w:t>Cari Dönem</w:t>
            </w:r>
          </w:p>
        </w:tc>
        <w:tc>
          <w:tcPr>
            <w:tcW w:w="1560" w:type="dxa"/>
            <w:tcBorders>
              <w:top w:val="nil"/>
              <w:left w:val="nil"/>
              <w:bottom w:val="single" w:sz="8" w:space="0" w:color="auto"/>
              <w:right w:val="nil"/>
            </w:tcBorders>
            <w:shd w:val="clear" w:color="auto" w:fill="auto"/>
            <w:vAlign w:val="center"/>
            <w:hideMark/>
          </w:tcPr>
          <w:p w14:paraId="2A67522B" w14:textId="77777777" w:rsidR="005822D7" w:rsidRPr="00005453" w:rsidRDefault="005822D7" w:rsidP="005822D7">
            <w:pPr>
              <w:jc w:val="right"/>
              <w:rPr>
                <w:b/>
                <w:bCs/>
                <w:sz w:val="18"/>
                <w:szCs w:val="18"/>
                <w:lang w:eastAsia="tr-TR"/>
              </w:rPr>
            </w:pPr>
            <w:r w:rsidRPr="00005453">
              <w:rPr>
                <w:b/>
                <w:bCs/>
                <w:sz w:val="18"/>
                <w:szCs w:val="18"/>
                <w:lang w:eastAsia="tr-TR"/>
              </w:rPr>
              <w:t>Önceki Dönem</w:t>
            </w:r>
          </w:p>
        </w:tc>
        <w:tc>
          <w:tcPr>
            <w:tcW w:w="1275" w:type="dxa"/>
            <w:tcBorders>
              <w:top w:val="nil"/>
              <w:left w:val="nil"/>
              <w:bottom w:val="single" w:sz="8" w:space="0" w:color="auto"/>
              <w:right w:val="nil"/>
            </w:tcBorders>
            <w:shd w:val="clear" w:color="auto" w:fill="auto"/>
            <w:vAlign w:val="center"/>
            <w:hideMark/>
          </w:tcPr>
          <w:p w14:paraId="58C7F59D" w14:textId="77777777" w:rsidR="005822D7" w:rsidRPr="00005453" w:rsidRDefault="005822D7" w:rsidP="005822D7">
            <w:pPr>
              <w:jc w:val="right"/>
              <w:rPr>
                <w:b/>
                <w:bCs/>
                <w:sz w:val="18"/>
                <w:szCs w:val="18"/>
                <w:lang w:eastAsia="tr-TR"/>
              </w:rPr>
            </w:pPr>
            <w:r w:rsidRPr="00005453">
              <w:rPr>
                <w:b/>
                <w:bCs/>
                <w:sz w:val="18"/>
                <w:szCs w:val="18"/>
                <w:lang w:eastAsia="tr-TR"/>
              </w:rPr>
              <w:t>Cari Dönem</w:t>
            </w:r>
          </w:p>
        </w:tc>
        <w:tc>
          <w:tcPr>
            <w:tcW w:w="1385" w:type="dxa"/>
            <w:tcBorders>
              <w:top w:val="nil"/>
              <w:left w:val="nil"/>
              <w:bottom w:val="single" w:sz="8" w:space="0" w:color="auto"/>
              <w:right w:val="nil"/>
            </w:tcBorders>
            <w:shd w:val="clear" w:color="auto" w:fill="auto"/>
            <w:vAlign w:val="center"/>
            <w:hideMark/>
          </w:tcPr>
          <w:p w14:paraId="0A267882" w14:textId="77777777" w:rsidR="005822D7" w:rsidRPr="00005453" w:rsidRDefault="005822D7" w:rsidP="005822D7">
            <w:pPr>
              <w:jc w:val="right"/>
              <w:rPr>
                <w:b/>
                <w:bCs/>
                <w:sz w:val="18"/>
                <w:szCs w:val="18"/>
                <w:lang w:eastAsia="tr-TR"/>
              </w:rPr>
            </w:pPr>
            <w:r w:rsidRPr="00005453">
              <w:rPr>
                <w:b/>
                <w:bCs/>
                <w:sz w:val="18"/>
                <w:szCs w:val="18"/>
                <w:lang w:eastAsia="tr-TR"/>
              </w:rPr>
              <w:t>Önceki Dönem</w:t>
            </w:r>
          </w:p>
        </w:tc>
      </w:tr>
      <w:tr w:rsidR="00380069" w:rsidRPr="00005453" w14:paraId="1E08FAC0" w14:textId="77777777" w:rsidTr="00380069">
        <w:trPr>
          <w:divId w:val="869411536"/>
          <w:trHeight w:val="205"/>
        </w:trPr>
        <w:tc>
          <w:tcPr>
            <w:tcW w:w="3969" w:type="dxa"/>
            <w:gridSpan w:val="2"/>
            <w:tcBorders>
              <w:top w:val="nil"/>
              <w:left w:val="nil"/>
              <w:bottom w:val="nil"/>
              <w:right w:val="nil"/>
            </w:tcBorders>
            <w:shd w:val="clear" w:color="auto" w:fill="auto"/>
            <w:noWrap/>
            <w:vAlign w:val="bottom"/>
            <w:hideMark/>
          </w:tcPr>
          <w:p w14:paraId="216AB0BB" w14:textId="77777777" w:rsidR="00380069" w:rsidRPr="00005453" w:rsidRDefault="00380069" w:rsidP="00380069">
            <w:pPr>
              <w:rPr>
                <w:sz w:val="18"/>
                <w:szCs w:val="18"/>
                <w:lang w:eastAsia="tr-TR"/>
              </w:rPr>
            </w:pPr>
            <w:r w:rsidRPr="00005453">
              <w:rPr>
                <w:sz w:val="18"/>
                <w:szCs w:val="18"/>
                <w:lang w:eastAsia="tr-TR"/>
              </w:rPr>
              <w:t>AB Ülkeleri</w:t>
            </w:r>
          </w:p>
        </w:tc>
        <w:tc>
          <w:tcPr>
            <w:tcW w:w="1134" w:type="dxa"/>
            <w:tcBorders>
              <w:top w:val="nil"/>
              <w:left w:val="nil"/>
              <w:bottom w:val="nil"/>
              <w:right w:val="nil"/>
            </w:tcBorders>
            <w:shd w:val="clear" w:color="auto" w:fill="auto"/>
            <w:vAlign w:val="center"/>
            <w:hideMark/>
          </w:tcPr>
          <w:p w14:paraId="150AC237" w14:textId="1E77BDBE" w:rsidR="00380069" w:rsidRPr="00005453" w:rsidRDefault="00380069" w:rsidP="00380069">
            <w:pPr>
              <w:jc w:val="right"/>
              <w:rPr>
                <w:sz w:val="18"/>
                <w:szCs w:val="18"/>
                <w:lang w:eastAsia="tr-TR"/>
              </w:rPr>
            </w:pPr>
            <w:r w:rsidRPr="00005453">
              <w:rPr>
                <w:sz w:val="18"/>
                <w:szCs w:val="18"/>
              </w:rPr>
              <w:t>10,412,708</w:t>
            </w:r>
          </w:p>
        </w:tc>
        <w:tc>
          <w:tcPr>
            <w:tcW w:w="1560" w:type="dxa"/>
            <w:tcBorders>
              <w:top w:val="nil"/>
              <w:left w:val="nil"/>
              <w:bottom w:val="nil"/>
              <w:right w:val="nil"/>
            </w:tcBorders>
            <w:shd w:val="clear" w:color="auto" w:fill="auto"/>
            <w:vAlign w:val="center"/>
            <w:hideMark/>
          </w:tcPr>
          <w:p w14:paraId="58C97383" w14:textId="391946B7" w:rsidR="00380069" w:rsidRPr="00005453" w:rsidRDefault="00380069" w:rsidP="00380069">
            <w:pPr>
              <w:jc w:val="right"/>
              <w:rPr>
                <w:sz w:val="18"/>
                <w:szCs w:val="18"/>
                <w:lang w:eastAsia="tr-TR"/>
              </w:rPr>
            </w:pPr>
            <w:r w:rsidRPr="00005453">
              <w:rPr>
                <w:sz w:val="18"/>
                <w:szCs w:val="18"/>
                <w:lang w:eastAsia="tr-TR"/>
              </w:rPr>
              <w:t>3,150,531</w:t>
            </w:r>
          </w:p>
        </w:tc>
        <w:tc>
          <w:tcPr>
            <w:tcW w:w="1275" w:type="dxa"/>
            <w:tcBorders>
              <w:top w:val="nil"/>
              <w:left w:val="nil"/>
              <w:bottom w:val="nil"/>
              <w:right w:val="nil"/>
            </w:tcBorders>
            <w:shd w:val="clear" w:color="auto" w:fill="auto"/>
            <w:vAlign w:val="center"/>
            <w:hideMark/>
          </w:tcPr>
          <w:p w14:paraId="43613B46" w14:textId="53325AE5" w:rsidR="00380069" w:rsidRPr="00005453" w:rsidRDefault="00380069" w:rsidP="00380069">
            <w:pPr>
              <w:jc w:val="right"/>
              <w:rPr>
                <w:sz w:val="18"/>
                <w:szCs w:val="18"/>
                <w:lang w:eastAsia="tr-TR"/>
              </w:rPr>
            </w:pPr>
            <w:r w:rsidRPr="00005453">
              <w:rPr>
                <w:sz w:val="18"/>
                <w:szCs w:val="18"/>
                <w:lang w:eastAsia="tr-TR"/>
              </w:rPr>
              <w:t>-</w:t>
            </w:r>
          </w:p>
        </w:tc>
        <w:tc>
          <w:tcPr>
            <w:tcW w:w="1385" w:type="dxa"/>
            <w:tcBorders>
              <w:top w:val="nil"/>
              <w:left w:val="nil"/>
              <w:bottom w:val="nil"/>
              <w:right w:val="nil"/>
            </w:tcBorders>
            <w:shd w:val="clear" w:color="auto" w:fill="auto"/>
            <w:vAlign w:val="center"/>
            <w:hideMark/>
          </w:tcPr>
          <w:p w14:paraId="042BC3F3" w14:textId="22565904" w:rsidR="00380069" w:rsidRPr="00005453" w:rsidRDefault="00380069" w:rsidP="00380069">
            <w:pPr>
              <w:jc w:val="right"/>
              <w:rPr>
                <w:sz w:val="18"/>
                <w:szCs w:val="18"/>
                <w:lang w:eastAsia="tr-TR"/>
              </w:rPr>
            </w:pPr>
            <w:r w:rsidRPr="00005453">
              <w:rPr>
                <w:sz w:val="18"/>
                <w:szCs w:val="18"/>
                <w:lang w:eastAsia="tr-TR"/>
              </w:rPr>
              <w:t>-</w:t>
            </w:r>
          </w:p>
        </w:tc>
      </w:tr>
      <w:tr w:rsidR="00380069" w:rsidRPr="00005453" w14:paraId="4C50CB73" w14:textId="77777777" w:rsidTr="00380069">
        <w:trPr>
          <w:divId w:val="869411536"/>
          <w:trHeight w:val="205"/>
        </w:trPr>
        <w:tc>
          <w:tcPr>
            <w:tcW w:w="3969" w:type="dxa"/>
            <w:gridSpan w:val="2"/>
            <w:tcBorders>
              <w:top w:val="nil"/>
              <w:left w:val="nil"/>
              <w:bottom w:val="nil"/>
              <w:right w:val="nil"/>
            </w:tcBorders>
            <w:shd w:val="clear" w:color="auto" w:fill="auto"/>
            <w:noWrap/>
            <w:vAlign w:val="bottom"/>
            <w:hideMark/>
          </w:tcPr>
          <w:p w14:paraId="59885770" w14:textId="77777777" w:rsidR="00380069" w:rsidRPr="00005453" w:rsidRDefault="00380069" w:rsidP="00380069">
            <w:pPr>
              <w:rPr>
                <w:sz w:val="18"/>
                <w:szCs w:val="18"/>
                <w:lang w:eastAsia="tr-TR"/>
              </w:rPr>
            </w:pPr>
            <w:r w:rsidRPr="00005453">
              <w:rPr>
                <w:sz w:val="18"/>
                <w:szCs w:val="18"/>
                <w:lang w:eastAsia="tr-TR"/>
              </w:rPr>
              <w:t>ABD Kanada</w:t>
            </w:r>
          </w:p>
        </w:tc>
        <w:tc>
          <w:tcPr>
            <w:tcW w:w="1134" w:type="dxa"/>
            <w:tcBorders>
              <w:top w:val="nil"/>
              <w:left w:val="nil"/>
              <w:bottom w:val="nil"/>
              <w:right w:val="nil"/>
            </w:tcBorders>
            <w:shd w:val="clear" w:color="auto" w:fill="auto"/>
            <w:vAlign w:val="center"/>
            <w:hideMark/>
          </w:tcPr>
          <w:p w14:paraId="5E8F4CA9" w14:textId="6D70E6EB" w:rsidR="00380069" w:rsidRPr="00005453" w:rsidRDefault="00380069" w:rsidP="00380069">
            <w:pPr>
              <w:jc w:val="right"/>
              <w:rPr>
                <w:sz w:val="18"/>
                <w:szCs w:val="18"/>
                <w:lang w:eastAsia="tr-TR"/>
              </w:rPr>
            </w:pPr>
            <w:r w:rsidRPr="00005453">
              <w:rPr>
                <w:sz w:val="18"/>
                <w:szCs w:val="18"/>
              </w:rPr>
              <w:t>11,007,771</w:t>
            </w:r>
          </w:p>
        </w:tc>
        <w:tc>
          <w:tcPr>
            <w:tcW w:w="1560" w:type="dxa"/>
            <w:tcBorders>
              <w:top w:val="nil"/>
              <w:left w:val="nil"/>
              <w:bottom w:val="nil"/>
              <w:right w:val="nil"/>
            </w:tcBorders>
            <w:shd w:val="clear" w:color="auto" w:fill="auto"/>
            <w:vAlign w:val="center"/>
            <w:hideMark/>
          </w:tcPr>
          <w:p w14:paraId="3A7CDB97" w14:textId="2AD83D22" w:rsidR="00380069" w:rsidRPr="00005453" w:rsidRDefault="00380069" w:rsidP="00380069">
            <w:pPr>
              <w:jc w:val="right"/>
              <w:rPr>
                <w:sz w:val="18"/>
                <w:szCs w:val="18"/>
                <w:lang w:eastAsia="tr-TR"/>
              </w:rPr>
            </w:pPr>
            <w:r w:rsidRPr="00005453">
              <w:rPr>
                <w:sz w:val="18"/>
                <w:szCs w:val="18"/>
                <w:lang w:eastAsia="tr-TR"/>
              </w:rPr>
              <w:t>10,592,249</w:t>
            </w:r>
          </w:p>
        </w:tc>
        <w:tc>
          <w:tcPr>
            <w:tcW w:w="1275" w:type="dxa"/>
            <w:tcBorders>
              <w:top w:val="nil"/>
              <w:left w:val="nil"/>
              <w:bottom w:val="nil"/>
              <w:right w:val="nil"/>
            </w:tcBorders>
            <w:shd w:val="clear" w:color="auto" w:fill="auto"/>
            <w:vAlign w:val="center"/>
            <w:hideMark/>
          </w:tcPr>
          <w:p w14:paraId="630114C8" w14:textId="0A069D00" w:rsidR="00380069" w:rsidRPr="00005453" w:rsidRDefault="00380069" w:rsidP="00380069">
            <w:pPr>
              <w:jc w:val="right"/>
              <w:rPr>
                <w:sz w:val="18"/>
                <w:szCs w:val="18"/>
                <w:lang w:eastAsia="tr-TR"/>
              </w:rPr>
            </w:pPr>
            <w:r w:rsidRPr="00005453">
              <w:rPr>
                <w:sz w:val="18"/>
                <w:szCs w:val="18"/>
                <w:lang w:eastAsia="tr-TR"/>
              </w:rPr>
              <w:t>-</w:t>
            </w:r>
          </w:p>
        </w:tc>
        <w:tc>
          <w:tcPr>
            <w:tcW w:w="1385" w:type="dxa"/>
            <w:tcBorders>
              <w:top w:val="nil"/>
              <w:left w:val="nil"/>
              <w:bottom w:val="nil"/>
              <w:right w:val="nil"/>
            </w:tcBorders>
            <w:shd w:val="clear" w:color="auto" w:fill="auto"/>
            <w:vAlign w:val="center"/>
            <w:hideMark/>
          </w:tcPr>
          <w:p w14:paraId="3B873032" w14:textId="359F0389" w:rsidR="00380069" w:rsidRPr="00005453" w:rsidRDefault="00380069" w:rsidP="00380069">
            <w:pPr>
              <w:jc w:val="right"/>
              <w:rPr>
                <w:sz w:val="18"/>
                <w:szCs w:val="18"/>
                <w:lang w:eastAsia="tr-TR"/>
              </w:rPr>
            </w:pPr>
            <w:r w:rsidRPr="00005453">
              <w:rPr>
                <w:sz w:val="18"/>
                <w:szCs w:val="18"/>
                <w:lang w:eastAsia="tr-TR"/>
              </w:rPr>
              <w:t>-</w:t>
            </w:r>
          </w:p>
        </w:tc>
      </w:tr>
      <w:tr w:rsidR="00380069" w:rsidRPr="00005453" w14:paraId="71069B19" w14:textId="77777777" w:rsidTr="00380069">
        <w:trPr>
          <w:divId w:val="869411536"/>
          <w:trHeight w:val="205"/>
        </w:trPr>
        <w:tc>
          <w:tcPr>
            <w:tcW w:w="3969" w:type="dxa"/>
            <w:gridSpan w:val="2"/>
            <w:tcBorders>
              <w:top w:val="nil"/>
              <w:left w:val="nil"/>
              <w:bottom w:val="nil"/>
              <w:right w:val="nil"/>
            </w:tcBorders>
            <w:shd w:val="clear" w:color="auto" w:fill="auto"/>
            <w:noWrap/>
            <w:vAlign w:val="bottom"/>
            <w:hideMark/>
          </w:tcPr>
          <w:p w14:paraId="5299DA16" w14:textId="77777777" w:rsidR="00380069" w:rsidRPr="00005453" w:rsidRDefault="00380069" w:rsidP="00380069">
            <w:pPr>
              <w:rPr>
                <w:sz w:val="18"/>
                <w:szCs w:val="18"/>
                <w:lang w:eastAsia="tr-TR"/>
              </w:rPr>
            </w:pPr>
            <w:r w:rsidRPr="00005453">
              <w:rPr>
                <w:sz w:val="18"/>
                <w:szCs w:val="18"/>
                <w:lang w:eastAsia="tr-TR"/>
              </w:rPr>
              <w:t xml:space="preserve">OECD </w:t>
            </w:r>
            <w:proofErr w:type="gramStart"/>
            <w:r w:rsidRPr="00005453">
              <w:rPr>
                <w:sz w:val="18"/>
                <w:szCs w:val="18"/>
                <w:lang w:eastAsia="tr-TR"/>
              </w:rPr>
              <w:t>Ülkeleri(</w:t>
            </w:r>
            <w:proofErr w:type="gramEnd"/>
            <w:r w:rsidRPr="00005453">
              <w:rPr>
                <w:sz w:val="18"/>
                <w:szCs w:val="18"/>
                <w:lang w:eastAsia="tr-TR"/>
              </w:rPr>
              <w:t>*)</w:t>
            </w:r>
          </w:p>
        </w:tc>
        <w:tc>
          <w:tcPr>
            <w:tcW w:w="1134" w:type="dxa"/>
            <w:tcBorders>
              <w:top w:val="nil"/>
              <w:left w:val="nil"/>
              <w:bottom w:val="nil"/>
              <w:right w:val="nil"/>
            </w:tcBorders>
            <w:shd w:val="clear" w:color="auto" w:fill="auto"/>
            <w:vAlign w:val="center"/>
            <w:hideMark/>
          </w:tcPr>
          <w:p w14:paraId="735059A0" w14:textId="0091E036" w:rsidR="00380069" w:rsidRPr="00005453" w:rsidRDefault="00380069" w:rsidP="00380069">
            <w:pPr>
              <w:jc w:val="right"/>
              <w:rPr>
                <w:sz w:val="18"/>
                <w:szCs w:val="18"/>
                <w:lang w:eastAsia="tr-TR"/>
              </w:rPr>
            </w:pPr>
            <w:r w:rsidRPr="00005453">
              <w:rPr>
                <w:sz w:val="18"/>
                <w:szCs w:val="18"/>
              </w:rPr>
              <w:t>177,585</w:t>
            </w:r>
          </w:p>
        </w:tc>
        <w:tc>
          <w:tcPr>
            <w:tcW w:w="1560" w:type="dxa"/>
            <w:tcBorders>
              <w:top w:val="nil"/>
              <w:left w:val="nil"/>
              <w:bottom w:val="nil"/>
              <w:right w:val="nil"/>
            </w:tcBorders>
            <w:shd w:val="clear" w:color="auto" w:fill="auto"/>
            <w:vAlign w:val="center"/>
            <w:hideMark/>
          </w:tcPr>
          <w:p w14:paraId="6C8B54F2" w14:textId="66A674D9" w:rsidR="00380069" w:rsidRPr="00005453" w:rsidRDefault="00380069" w:rsidP="00380069">
            <w:pPr>
              <w:jc w:val="right"/>
              <w:rPr>
                <w:sz w:val="18"/>
                <w:szCs w:val="18"/>
                <w:lang w:eastAsia="tr-TR"/>
              </w:rPr>
            </w:pPr>
            <w:r w:rsidRPr="00005453">
              <w:rPr>
                <w:sz w:val="18"/>
                <w:szCs w:val="18"/>
                <w:lang w:eastAsia="tr-TR"/>
              </w:rPr>
              <w:t>193,049</w:t>
            </w:r>
          </w:p>
        </w:tc>
        <w:tc>
          <w:tcPr>
            <w:tcW w:w="1275" w:type="dxa"/>
            <w:tcBorders>
              <w:top w:val="nil"/>
              <w:left w:val="nil"/>
              <w:bottom w:val="nil"/>
              <w:right w:val="nil"/>
            </w:tcBorders>
            <w:shd w:val="clear" w:color="auto" w:fill="auto"/>
            <w:vAlign w:val="center"/>
            <w:hideMark/>
          </w:tcPr>
          <w:p w14:paraId="3846B1A4" w14:textId="266D2DD6" w:rsidR="00380069" w:rsidRPr="00005453" w:rsidRDefault="00380069" w:rsidP="00380069">
            <w:pPr>
              <w:jc w:val="right"/>
              <w:rPr>
                <w:sz w:val="18"/>
                <w:szCs w:val="18"/>
                <w:lang w:eastAsia="tr-TR"/>
              </w:rPr>
            </w:pPr>
            <w:r w:rsidRPr="00005453">
              <w:rPr>
                <w:sz w:val="18"/>
                <w:szCs w:val="18"/>
                <w:lang w:eastAsia="tr-TR"/>
              </w:rPr>
              <w:t>-</w:t>
            </w:r>
          </w:p>
        </w:tc>
        <w:tc>
          <w:tcPr>
            <w:tcW w:w="1385" w:type="dxa"/>
            <w:tcBorders>
              <w:top w:val="nil"/>
              <w:left w:val="nil"/>
              <w:bottom w:val="nil"/>
              <w:right w:val="nil"/>
            </w:tcBorders>
            <w:shd w:val="clear" w:color="auto" w:fill="auto"/>
            <w:vAlign w:val="center"/>
            <w:hideMark/>
          </w:tcPr>
          <w:p w14:paraId="0B199F72" w14:textId="7DA4012B" w:rsidR="00380069" w:rsidRPr="00005453" w:rsidRDefault="00380069" w:rsidP="00380069">
            <w:pPr>
              <w:jc w:val="right"/>
              <w:rPr>
                <w:sz w:val="18"/>
                <w:szCs w:val="18"/>
                <w:lang w:eastAsia="tr-TR"/>
              </w:rPr>
            </w:pPr>
            <w:r w:rsidRPr="00005453">
              <w:rPr>
                <w:sz w:val="18"/>
                <w:szCs w:val="18"/>
                <w:lang w:eastAsia="tr-TR"/>
              </w:rPr>
              <w:t>-</w:t>
            </w:r>
          </w:p>
        </w:tc>
      </w:tr>
      <w:tr w:rsidR="00380069" w:rsidRPr="00005453" w14:paraId="04A9283D" w14:textId="77777777" w:rsidTr="00380069">
        <w:trPr>
          <w:divId w:val="869411536"/>
          <w:trHeight w:val="205"/>
        </w:trPr>
        <w:tc>
          <w:tcPr>
            <w:tcW w:w="3969" w:type="dxa"/>
            <w:gridSpan w:val="2"/>
            <w:tcBorders>
              <w:top w:val="nil"/>
              <w:left w:val="nil"/>
              <w:bottom w:val="nil"/>
              <w:right w:val="nil"/>
            </w:tcBorders>
            <w:shd w:val="clear" w:color="auto" w:fill="auto"/>
            <w:noWrap/>
            <w:vAlign w:val="bottom"/>
            <w:hideMark/>
          </w:tcPr>
          <w:p w14:paraId="25790140" w14:textId="77777777" w:rsidR="00380069" w:rsidRPr="00005453" w:rsidRDefault="00380069" w:rsidP="00380069">
            <w:pPr>
              <w:rPr>
                <w:sz w:val="18"/>
                <w:szCs w:val="18"/>
                <w:lang w:eastAsia="tr-TR"/>
              </w:rPr>
            </w:pPr>
            <w:r w:rsidRPr="00005453">
              <w:rPr>
                <w:sz w:val="18"/>
                <w:szCs w:val="18"/>
                <w:lang w:eastAsia="tr-TR"/>
              </w:rPr>
              <w:t>Kıyı Bankacılığı Bölgeleri</w:t>
            </w:r>
          </w:p>
        </w:tc>
        <w:tc>
          <w:tcPr>
            <w:tcW w:w="1134" w:type="dxa"/>
            <w:tcBorders>
              <w:top w:val="nil"/>
              <w:left w:val="nil"/>
              <w:bottom w:val="nil"/>
              <w:right w:val="nil"/>
            </w:tcBorders>
            <w:shd w:val="clear" w:color="auto" w:fill="auto"/>
            <w:vAlign w:val="center"/>
            <w:hideMark/>
          </w:tcPr>
          <w:p w14:paraId="2E31AEC5" w14:textId="4D13649B" w:rsidR="00380069" w:rsidRPr="00005453" w:rsidRDefault="00380069" w:rsidP="00380069">
            <w:pPr>
              <w:jc w:val="right"/>
              <w:rPr>
                <w:sz w:val="18"/>
                <w:szCs w:val="18"/>
                <w:lang w:eastAsia="tr-TR"/>
              </w:rPr>
            </w:pPr>
            <w:r w:rsidRPr="00005453">
              <w:rPr>
                <w:sz w:val="18"/>
                <w:szCs w:val="18"/>
              </w:rPr>
              <w:t>2,468</w:t>
            </w:r>
          </w:p>
        </w:tc>
        <w:tc>
          <w:tcPr>
            <w:tcW w:w="1560" w:type="dxa"/>
            <w:tcBorders>
              <w:top w:val="nil"/>
              <w:left w:val="nil"/>
              <w:bottom w:val="nil"/>
              <w:right w:val="nil"/>
            </w:tcBorders>
            <w:shd w:val="clear" w:color="auto" w:fill="auto"/>
            <w:vAlign w:val="center"/>
            <w:hideMark/>
          </w:tcPr>
          <w:p w14:paraId="430A9016" w14:textId="448DD13C" w:rsidR="00380069" w:rsidRPr="00005453" w:rsidRDefault="00380069" w:rsidP="00380069">
            <w:pPr>
              <w:jc w:val="right"/>
              <w:rPr>
                <w:sz w:val="18"/>
                <w:szCs w:val="18"/>
                <w:lang w:eastAsia="tr-TR"/>
              </w:rPr>
            </w:pPr>
            <w:r w:rsidRPr="00005453">
              <w:rPr>
                <w:sz w:val="18"/>
                <w:szCs w:val="18"/>
                <w:lang w:eastAsia="tr-TR"/>
              </w:rPr>
              <w:t>4,635</w:t>
            </w:r>
          </w:p>
        </w:tc>
        <w:tc>
          <w:tcPr>
            <w:tcW w:w="1275" w:type="dxa"/>
            <w:tcBorders>
              <w:top w:val="nil"/>
              <w:left w:val="nil"/>
              <w:bottom w:val="nil"/>
              <w:right w:val="nil"/>
            </w:tcBorders>
            <w:shd w:val="clear" w:color="auto" w:fill="auto"/>
            <w:vAlign w:val="center"/>
            <w:hideMark/>
          </w:tcPr>
          <w:p w14:paraId="074671A4" w14:textId="4E281EF4" w:rsidR="00380069" w:rsidRPr="00005453" w:rsidRDefault="00380069" w:rsidP="00380069">
            <w:pPr>
              <w:jc w:val="right"/>
              <w:rPr>
                <w:sz w:val="18"/>
                <w:szCs w:val="18"/>
                <w:lang w:eastAsia="tr-TR"/>
              </w:rPr>
            </w:pPr>
            <w:r w:rsidRPr="00005453">
              <w:rPr>
                <w:sz w:val="18"/>
                <w:szCs w:val="18"/>
                <w:lang w:eastAsia="tr-TR"/>
              </w:rPr>
              <w:t>-</w:t>
            </w:r>
          </w:p>
        </w:tc>
        <w:tc>
          <w:tcPr>
            <w:tcW w:w="1385" w:type="dxa"/>
            <w:tcBorders>
              <w:top w:val="nil"/>
              <w:left w:val="nil"/>
              <w:bottom w:val="nil"/>
              <w:right w:val="nil"/>
            </w:tcBorders>
            <w:shd w:val="clear" w:color="auto" w:fill="auto"/>
            <w:vAlign w:val="center"/>
            <w:hideMark/>
          </w:tcPr>
          <w:p w14:paraId="3482454B" w14:textId="2EADF948" w:rsidR="00380069" w:rsidRPr="00005453" w:rsidRDefault="00380069" w:rsidP="00380069">
            <w:pPr>
              <w:jc w:val="right"/>
              <w:rPr>
                <w:sz w:val="18"/>
                <w:szCs w:val="18"/>
                <w:lang w:eastAsia="tr-TR"/>
              </w:rPr>
            </w:pPr>
            <w:r w:rsidRPr="00005453">
              <w:rPr>
                <w:sz w:val="18"/>
                <w:szCs w:val="18"/>
                <w:lang w:eastAsia="tr-TR"/>
              </w:rPr>
              <w:t>-</w:t>
            </w:r>
          </w:p>
        </w:tc>
      </w:tr>
      <w:tr w:rsidR="00380069" w:rsidRPr="00005453" w14:paraId="628152B3" w14:textId="77777777" w:rsidTr="00380069">
        <w:trPr>
          <w:divId w:val="869411536"/>
          <w:trHeight w:val="217"/>
        </w:trPr>
        <w:tc>
          <w:tcPr>
            <w:tcW w:w="3969" w:type="dxa"/>
            <w:gridSpan w:val="2"/>
            <w:tcBorders>
              <w:top w:val="nil"/>
              <w:left w:val="nil"/>
              <w:bottom w:val="single" w:sz="12" w:space="0" w:color="auto"/>
              <w:right w:val="nil"/>
            </w:tcBorders>
            <w:shd w:val="clear" w:color="auto" w:fill="auto"/>
            <w:noWrap/>
            <w:vAlign w:val="bottom"/>
            <w:hideMark/>
          </w:tcPr>
          <w:p w14:paraId="68796567" w14:textId="77777777" w:rsidR="00380069" w:rsidRPr="00005453" w:rsidRDefault="00380069" w:rsidP="00380069">
            <w:pPr>
              <w:rPr>
                <w:sz w:val="18"/>
                <w:szCs w:val="18"/>
                <w:lang w:eastAsia="tr-TR"/>
              </w:rPr>
            </w:pPr>
            <w:r w:rsidRPr="00005453">
              <w:rPr>
                <w:sz w:val="18"/>
                <w:szCs w:val="18"/>
                <w:lang w:eastAsia="tr-TR"/>
              </w:rPr>
              <w:t>Diğer</w:t>
            </w:r>
          </w:p>
        </w:tc>
        <w:tc>
          <w:tcPr>
            <w:tcW w:w="1134" w:type="dxa"/>
            <w:tcBorders>
              <w:top w:val="nil"/>
              <w:left w:val="nil"/>
              <w:bottom w:val="single" w:sz="12" w:space="0" w:color="auto"/>
              <w:right w:val="nil"/>
            </w:tcBorders>
            <w:shd w:val="clear" w:color="auto" w:fill="auto"/>
            <w:vAlign w:val="center"/>
            <w:hideMark/>
          </w:tcPr>
          <w:p w14:paraId="143417EE" w14:textId="4504F687" w:rsidR="00380069" w:rsidRPr="00005453" w:rsidRDefault="00380069" w:rsidP="00380069">
            <w:pPr>
              <w:jc w:val="right"/>
              <w:rPr>
                <w:sz w:val="18"/>
                <w:szCs w:val="18"/>
                <w:lang w:eastAsia="tr-TR"/>
              </w:rPr>
            </w:pPr>
            <w:r w:rsidRPr="00005453">
              <w:rPr>
                <w:sz w:val="18"/>
                <w:szCs w:val="18"/>
              </w:rPr>
              <w:t>4,901,922</w:t>
            </w:r>
          </w:p>
        </w:tc>
        <w:tc>
          <w:tcPr>
            <w:tcW w:w="1560" w:type="dxa"/>
            <w:tcBorders>
              <w:top w:val="nil"/>
              <w:left w:val="nil"/>
              <w:bottom w:val="single" w:sz="12" w:space="0" w:color="auto"/>
              <w:right w:val="nil"/>
            </w:tcBorders>
            <w:shd w:val="clear" w:color="auto" w:fill="auto"/>
            <w:vAlign w:val="center"/>
            <w:hideMark/>
          </w:tcPr>
          <w:p w14:paraId="2D86D470" w14:textId="26006EC0" w:rsidR="00380069" w:rsidRPr="00005453" w:rsidRDefault="00380069" w:rsidP="00380069">
            <w:pPr>
              <w:jc w:val="right"/>
              <w:rPr>
                <w:sz w:val="18"/>
                <w:szCs w:val="18"/>
                <w:lang w:eastAsia="tr-TR"/>
              </w:rPr>
            </w:pPr>
            <w:r w:rsidRPr="00005453">
              <w:rPr>
                <w:sz w:val="18"/>
                <w:szCs w:val="18"/>
                <w:lang w:eastAsia="tr-TR"/>
              </w:rPr>
              <w:t>3,663,375</w:t>
            </w:r>
          </w:p>
        </w:tc>
        <w:tc>
          <w:tcPr>
            <w:tcW w:w="1275" w:type="dxa"/>
            <w:tcBorders>
              <w:top w:val="nil"/>
              <w:left w:val="nil"/>
              <w:bottom w:val="single" w:sz="12" w:space="0" w:color="auto"/>
              <w:right w:val="nil"/>
            </w:tcBorders>
            <w:shd w:val="clear" w:color="auto" w:fill="auto"/>
            <w:vAlign w:val="center"/>
            <w:hideMark/>
          </w:tcPr>
          <w:p w14:paraId="28909166" w14:textId="4FF927E2" w:rsidR="00380069" w:rsidRPr="00005453" w:rsidRDefault="00380069" w:rsidP="00380069">
            <w:pPr>
              <w:jc w:val="right"/>
              <w:rPr>
                <w:sz w:val="18"/>
                <w:szCs w:val="18"/>
                <w:lang w:eastAsia="tr-TR"/>
              </w:rPr>
            </w:pPr>
            <w:r w:rsidRPr="00005453">
              <w:rPr>
                <w:sz w:val="18"/>
                <w:szCs w:val="18"/>
                <w:lang w:eastAsia="tr-TR"/>
              </w:rPr>
              <w:t>-</w:t>
            </w:r>
          </w:p>
        </w:tc>
        <w:tc>
          <w:tcPr>
            <w:tcW w:w="1385" w:type="dxa"/>
            <w:tcBorders>
              <w:top w:val="nil"/>
              <w:left w:val="nil"/>
              <w:bottom w:val="single" w:sz="12" w:space="0" w:color="auto"/>
              <w:right w:val="nil"/>
            </w:tcBorders>
            <w:shd w:val="clear" w:color="auto" w:fill="auto"/>
            <w:vAlign w:val="center"/>
            <w:hideMark/>
          </w:tcPr>
          <w:p w14:paraId="4D26BF2F" w14:textId="3EEF1289" w:rsidR="00380069" w:rsidRPr="00005453" w:rsidRDefault="00380069" w:rsidP="00380069">
            <w:pPr>
              <w:jc w:val="right"/>
              <w:rPr>
                <w:sz w:val="18"/>
                <w:szCs w:val="18"/>
                <w:lang w:eastAsia="tr-TR"/>
              </w:rPr>
            </w:pPr>
            <w:r w:rsidRPr="00005453">
              <w:rPr>
                <w:sz w:val="18"/>
                <w:szCs w:val="18"/>
                <w:lang w:eastAsia="tr-TR"/>
              </w:rPr>
              <w:t>-</w:t>
            </w:r>
          </w:p>
        </w:tc>
      </w:tr>
      <w:tr w:rsidR="00380069" w:rsidRPr="00005453" w14:paraId="651F4456" w14:textId="77777777" w:rsidTr="00380069">
        <w:trPr>
          <w:divId w:val="869411536"/>
          <w:trHeight w:val="27"/>
        </w:trPr>
        <w:tc>
          <w:tcPr>
            <w:tcW w:w="3969" w:type="dxa"/>
            <w:gridSpan w:val="2"/>
            <w:tcBorders>
              <w:top w:val="nil"/>
              <w:left w:val="nil"/>
              <w:bottom w:val="double" w:sz="6" w:space="0" w:color="auto"/>
              <w:right w:val="nil"/>
            </w:tcBorders>
            <w:shd w:val="clear" w:color="auto" w:fill="auto"/>
            <w:vAlign w:val="center"/>
            <w:hideMark/>
          </w:tcPr>
          <w:p w14:paraId="164E9B0F" w14:textId="77777777" w:rsidR="00380069" w:rsidRPr="00005453" w:rsidRDefault="00380069" w:rsidP="00380069">
            <w:pPr>
              <w:jc w:val="both"/>
              <w:rPr>
                <w:b/>
                <w:bCs/>
                <w:sz w:val="18"/>
                <w:szCs w:val="18"/>
                <w:lang w:eastAsia="tr-TR"/>
              </w:rPr>
            </w:pPr>
            <w:r w:rsidRPr="00005453">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609F55DB" w14:textId="414CB531" w:rsidR="00380069" w:rsidRPr="00005453" w:rsidRDefault="00380069" w:rsidP="00380069">
            <w:pPr>
              <w:jc w:val="right"/>
              <w:rPr>
                <w:b/>
                <w:bCs/>
                <w:sz w:val="18"/>
                <w:szCs w:val="18"/>
                <w:lang w:eastAsia="tr-TR"/>
              </w:rPr>
            </w:pPr>
            <w:r w:rsidRPr="00005453">
              <w:rPr>
                <w:b/>
                <w:bCs/>
                <w:sz w:val="18"/>
                <w:szCs w:val="18"/>
              </w:rPr>
              <w:t>26,502,454</w:t>
            </w:r>
          </w:p>
        </w:tc>
        <w:tc>
          <w:tcPr>
            <w:tcW w:w="1560" w:type="dxa"/>
            <w:tcBorders>
              <w:top w:val="nil"/>
              <w:left w:val="nil"/>
              <w:bottom w:val="double" w:sz="6" w:space="0" w:color="auto"/>
              <w:right w:val="nil"/>
            </w:tcBorders>
            <w:shd w:val="clear" w:color="auto" w:fill="auto"/>
            <w:vAlign w:val="center"/>
            <w:hideMark/>
          </w:tcPr>
          <w:p w14:paraId="5BAD905E" w14:textId="5DD37145" w:rsidR="00380069" w:rsidRPr="00005453" w:rsidRDefault="00380069" w:rsidP="00380069">
            <w:pPr>
              <w:jc w:val="right"/>
              <w:rPr>
                <w:b/>
                <w:bCs/>
                <w:sz w:val="18"/>
                <w:szCs w:val="18"/>
                <w:lang w:eastAsia="tr-TR"/>
              </w:rPr>
            </w:pPr>
            <w:r w:rsidRPr="00005453">
              <w:rPr>
                <w:b/>
                <w:bCs/>
                <w:sz w:val="18"/>
                <w:szCs w:val="18"/>
              </w:rPr>
              <w:t>17,603,839</w:t>
            </w:r>
          </w:p>
        </w:tc>
        <w:tc>
          <w:tcPr>
            <w:tcW w:w="1275" w:type="dxa"/>
            <w:tcBorders>
              <w:top w:val="nil"/>
              <w:left w:val="nil"/>
              <w:bottom w:val="double" w:sz="6" w:space="0" w:color="auto"/>
              <w:right w:val="nil"/>
            </w:tcBorders>
            <w:shd w:val="clear" w:color="auto" w:fill="auto"/>
            <w:vAlign w:val="center"/>
            <w:hideMark/>
          </w:tcPr>
          <w:p w14:paraId="2C884FE0" w14:textId="411163B5" w:rsidR="00380069" w:rsidRPr="00005453" w:rsidRDefault="00380069" w:rsidP="00380069">
            <w:pPr>
              <w:jc w:val="right"/>
              <w:rPr>
                <w:b/>
                <w:bCs/>
                <w:sz w:val="18"/>
                <w:szCs w:val="18"/>
                <w:lang w:eastAsia="tr-TR"/>
              </w:rPr>
            </w:pPr>
            <w:r w:rsidRPr="00005453">
              <w:rPr>
                <w:b/>
                <w:bCs/>
                <w:sz w:val="18"/>
                <w:szCs w:val="18"/>
                <w:lang w:eastAsia="tr-TR"/>
              </w:rPr>
              <w:t>-</w:t>
            </w:r>
          </w:p>
        </w:tc>
        <w:tc>
          <w:tcPr>
            <w:tcW w:w="1385" w:type="dxa"/>
            <w:tcBorders>
              <w:top w:val="nil"/>
              <w:left w:val="nil"/>
              <w:bottom w:val="double" w:sz="6" w:space="0" w:color="auto"/>
              <w:right w:val="nil"/>
            </w:tcBorders>
            <w:shd w:val="clear" w:color="auto" w:fill="auto"/>
            <w:vAlign w:val="center"/>
            <w:hideMark/>
          </w:tcPr>
          <w:p w14:paraId="046D032B" w14:textId="32C138DB" w:rsidR="00380069" w:rsidRPr="00005453" w:rsidRDefault="00380069" w:rsidP="00380069">
            <w:pPr>
              <w:jc w:val="right"/>
              <w:rPr>
                <w:b/>
                <w:bCs/>
                <w:sz w:val="18"/>
                <w:szCs w:val="18"/>
                <w:lang w:eastAsia="tr-TR"/>
              </w:rPr>
            </w:pPr>
            <w:r w:rsidRPr="00005453">
              <w:rPr>
                <w:b/>
                <w:bCs/>
                <w:sz w:val="18"/>
                <w:szCs w:val="18"/>
                <w:lang w:eastAsia="tr-TR"/>
              </w:rPr>
              <w:t>-</w:t>
            </w:r>
          </w:p>
        </w:tc>
      </w:tr>
    </w:tbl>
    <w:p w14:paraId="3270BF13" w14:textId="77777777" w:rsidR="009D4E64" w:rsidRPr="00005453" w:rsidRDefault="009D4E64" w:rsidP="00D84F4B">
      <w:pPr>
        <w:autoSpaceDE w:val="0"/>
        <w:autoSpaceDN w:val="0"/>
        <w:adjustRightInd w:val="0"/>
        <w:ind w:left="540" w:hanging="540"/>
        <w:rPr>
          <w:rFonts w:eastAsia="Arial Unicode MS"/>
          <w:sz w:val="6"/>
          <w:szCs w:val="6"/>
        </w:rPr>
      </w:pPr>
    </w:p>
    <w:p w14:paraId="09EA3768" w14:textId="4811B27E" w:rsidR="00D84F4B" w:rsidRPr="00005453" w:rsidRDefault="00D84F4B" w:rsidP="00D84F4B">
      <w:pPr>
        <w:autoSpaceDE w:val="0"/>
        <w:autoSpaceDN w:val="0"/>
        <w:adjustRightInd w:val="0"/>
        <w:ind w:left="540" w:hanging="540"/>
        <w:rPr>
          <w:rFonts w:eastAsia="Arial Unicode MS"/>
          <w:sz w:val="16"/>
          <w:szCs w:val="16"/>
        </w:rPr>
      </w:pPr>
      <w:r w:rsidRPr="00005453">
        <w:rPr>
          <w:rFonts w:eastAsia="Arial Unicode MS"/>
          <w:sz w:val="16"/>
          <w:szCs w:val="16"/>
        </w:rPr>
        <w:t>(*)</w:t>
      </w:r>
      <w:r w:rsidR="009D4E64" w:rsidRPr="00005453">
        <w:rPr>
          <w:rFonts w:eastAsia="Arial Unicode MS"/>
          <w:sz w:val="16"/>
          <w:szCs w:val="16"/>
        </w:rPr>
        <w:t xml:space="preserve"> </w:t>
      </w:r>
      <w:r w:rsidRPr="00005453">
        <w:rPr>
          <w:rFonts w:eastAsia="Arial Unicode MS"/>
          <w:sz w:val="16"/>
          <w:szCs w:val="16"/>
        </w:rPr>
        <w:t>AB ülkeleri, ABD ve Kanada dışındaki OECD ülkeleri</w:t>
      </w:r>
      <w:r w:rsidR="006B7835" w:rsidRPr="00005453">
        <w:rPr>
          <w:rFonts w:eastAsia="Arial Unicode MS"/>
          <w:sz w:val="16"/>
          <w:szCs w:val="16"/>
        </w:rPr>
        <w:t>.</w:t>
      </w:r>
    </w:p>
    <w:p w14:paraId="4FA0AF60" w14:textId="77777777" w:rsidR="00EC1D5D" w:rsidRPr="00005453" w:rsidRDefault="00EC1D5D" w:rsidP="002D7515">
      <w:pPr>
        <w:autoSpaceDE w:val="0"/>
        <w:autoSpaceDN w:val="0"/>
        <w:adjustRightInd w:val="0"/>
        <w:ind w:left="540" w:hanging="540"/>
        <w:rPr>
          <w:b/>
          <w:sz w:val="16"/>
          <w:szCs w:val="16"/>
        </w:rPr>
      </w:pPr>
    </w:p>
    <w:p w14:paraId="6274E31E" w14:textId="1DBDC98F" w:rsidR="002D7515" w:rsidRPr="00005453" w:rsidRDefault="00DE55FC" w:rsidP="00333432">
      <w:pPr>
        <w:tabs>
          <w:tab w:val="left" w:pos="709"/>
        </w:tabs>
        <w:autoSpaceDE w:val="0"/>
        <w:autoSpaceDN w:val="0"/>
        <w:adjustRightInd w:val="0"/>
        <w:ind w:hanging="567"/>
        <w:rPr>
          <w:b/>
          <w:bCs/>
          <w:iCs/>
        </w:rPr>
      </w:pPr>
      <w:r w:rsidRPr="00005453">
        <w:rPr>
          <w:b/>
          <w:bCs/>
          <w:iCs/>
        </w:rPr>
        <w:t>1</w:t>
      </w:r>
      <w:r w:rsidR="002D7515" w:rsidRPr="00005453">
        <w:rPr>
          <w:b/>
          <w:bCs/>
          <w:iCs/>
        </w:rPr>
        <w:t>.</w:t>
      </w:r>
      <w:r w:rsidRPr="00005453">
        <w:rPr>
          <w:b/>
          <w:bCs/>
          <w:iCs/>
        </w:rPr>
        <w:t>4</w:t>
      </w:r>
      <w:r w:rsidR="002D7515" w:rsidRPr="00005453">
        <w:rPr>
          <w:b/>
          <w:bCs/>
          <w:iCs/>
        </w:rPr>
        <w:tab/>
      </w:r>
      <w:r w:rsidR="00333432" w:rsidRPr="00005453">
        <w:rPr>
          <w:b/>
          <w:bCs/>
          <w:iCs/>
        </w:rPr>
        <w:t xml:space="preserve">Gerçeğe uygun değer farkı diğer kapsamlı gelire yansıtılan finansal varlıklara </w:t>
      </w:r>
      <w:r w:rsidR="002D7515" w:rsidRPr="00005453">
        <w:rPr>
          <w:b/>
          <w:bCs/>
          <w:iCs/>
        </w:rPr>
        <w:t>ilişkin bilgiler</w:t>
      </w:r>
    </w:p>
    <w:p w14:paraId="40946EA9" w14:textId="4F848849" w:rsidR="001517EC" w:rsidRPr="00005453" w:rsidRDefault="001517EC" w:rsidP="002D7515">
      <w:pPr>
        <w:tabs>
          <w:tab w:val="left" w:pos="540"/>
        </w:tabs>
        <w:autoSpaceDE w:val="0"/>
        <w:autoSpaceDN w:val="0"/>
        <w:adjustRightInd w:val="0"/>
        <w:rPr>
          <w:lang w:eastAsia="en-GB"/>
        </w:rPr>
      </w:pPr>
    </w:p>
    <w:tbl>
      <w:tblPr>
        <w:tblW w:w="9338" w:type="dxa"/>
        <w:tblCellMar>
          <w:left w:w="70" w:type="dxa"/>
          <w:right w:w="70" w:type="dxa"/>
        </w:tblCellMar>
        <w:tblLook w:val="04A0" w:firstRow="1" w:lastRow="0" w:firstColumn="1" w:lastColumn="0" w:noHBand="0" w:noVBand="1"/>
      </w:tblPr>
      <w:tblGrid>
        <w:gridCol w:w="4820"/>
        <w:gridCol w:w="1843"/>
        <w:gridCol w:w="2675"/>
      </w:tblGrid>
      <w:tr w:rsidR="001517EC" w:rsidRPr="00005453" w14:paraId="1EEB05C3" w14:textId="77777777" w:rsidTr="00CB075A">
        <w:trPr>
          <w:divId w:val="383800305"/>
          <w:trHeight w:val="20"/>
        </w:trPr>
        <w:tc>
          <w:tcPr>
            <w:tcW w:w="4820" w:type="dxa"/>
            <w:tcBorders>
              <w:top w:val="double" w:sz="6" w:space="0" w:color="auto"/>
              <w:left w:val="nil"/>
              <w:bottom w:val="single" w:sz="8" w:space="0" w:color="auto"/>
              <w:right w:val="nil"/>
            </w:tcBorders>
            <w:shd w:val="clear" w:color="auto" w:fill="auto"/>
            <w:vAlign w:val="center"/>
            <w:hideMark/>
          </w:tcPr>
          <w:p w14:paraId="7831A0D5" w14:textId="40C0D411" w:rsidR="001517EC" w:rsidRPr="00005453" w:rsidRDefault="001517EC" w:rsidP="001517EC">
            <w:pPr>
              <w:jc w:val="center"/>
              <w:rPr>
                <w:sz w:val="18"/>
                <w:szCs w:val="18"/>
                <w:lang w:eastAsia="tr-TR"/>
              </w:rPr>
            </w:pPr>
            <w:r w:rsidRPr="00005453">
              <w:rPr>
                <w:sz w:val="18"/>
                <w:szCs w:val="18"/>
                <w:lang w:eastAsia="tr-TR"/>
              </w:rPr>
              <w:t> </w:t>
            </w:r>
          </w:p>
        </w:tc>
        <w:tc>
          <w:tcPr>
            <w:tcW w:w="1843" w:type="dxa"/>
            <w:tcBorders>
              <w:top w:val="double" w:sz="6" w:space="0" w:color="auto"/>
              <w:left w:val="nil"/>
              <w:bottom w:val="single" w:sz="8" w:space="0" w:color="auto"/>
              <w:right w:val="nil"/>
            </w:tcBorders>
            <w:shd w:val="clear" w:color="auto" w:fill="auto"/>
            <w:vAlign w:val="center"/>
            <w:hideMark/>
          </w:tcPr>
          <w:p w14:paraId="22F40357" w14:textId="77777777" w:rsidR="001517EC" w:rsidRPr="00005453" w:rsidRDefault="001517EC" w:rsidP="001517EC">
            <w:pPr>
              <w:jc w:val="right"/>
              <w:rPr>
                <w:b/>
                <w:bCs/>
                <w:sz w:val="18"/>
                <w:szCs w:val="18"/>
                <w:lang w:eastAsia="tr-TR"/>
              </w:rPr>
            </w:pPr>
            <w:r w:rsidRPr="00005453">
              <w:rPr>
                <w:b/>
                <w:bCs/>
                <w:sz w:val="18"/>
                <w:szCs w:val="18"/>
                <w:lang w:eastAsia="tr-TR"/>
              </w:rPr>
              <w:t>Cari Dönem</w:t>
            </w:r>
          </w:p>
        </w:tc>
        <w:tc>
          <w:tcPr>
            <w:tcW w:w="2675" w:type="dxa"/>
            <w:tcBorders>
              <w:top w:val="double" w:sz="6" w:space="0" w:color="auto"/>
              <w:left w:val="nil"/>
              <w:bottom w:val="single" w:sz="8" w:space="0" w:color="auto"/>
              <w:right w:val="nil"/>
            </w:tcBorders>
            <w:shd w:val="clear" w:color="auto" w:fill="auto"/>
            <w:vAlign w:val="center"/>
            <w:hideMark/>
          </w:tcPr>
          <w:p w14:paraId="0630F31B" w14:textId="77777777" w:rsidR="001517EC" w:rsidRPr="00005453" w:rsidRDefault="001517EC" w:rsidP="001517EC">
            <w:pPr>
              <w:jc w:val="right"/>
              <w:rPr>
                <w:b/>
                <w:bCs/>
                <w:sz w:val="18"/>
                <w:szCs w:val="18"/>
                <w:lang w:eastAsia="tr-TR"/>
              </w:rPr>
            </w:pPr>
            <w:r w:rsidRPr="00005453">
              <w:rPr>
                <w:b/>
                <w:bCs/>
                <w:sz w:val="18"/>
                <w:szCs w:val="18"/>
                <w:lang w:eastAsia="tr-TR"/>
              </w:rPr>
              <w:t>Önceki Dönem</w:t>
            </w:r>
          </w:p>
        </w:tc>
      </w:tr>
      <w:tr w:rsidR="001517EC" w:rsidRPr="00005453" w14:paraId="04F5EBB7" w14:textId="77777777" w:rsidTr="00CB075A">
        <w:trPr>
          <w:divId w:val="383800305"/>
          <w:trHeight w:val="20"/>
        </w:trPr>
        <w:tc>
          <w:tcPr>
            <w:tcW w:w="4820" w:type="dxa"/>
            <w:tcBorders>
              <w:top w:val="nil"/>
              <w:left w:val="nil"/>
              <w:bottom w:val="nil"/>
              <w:right w:val="nil"/>
            </w:tcBorders>
            <w:shd w:val="clear" w:color="auto" w:fill="auto"/>
            <w:vAlign w:val="center"/>
            <w:hideMark/>
          </w:tcPr>
          <w:p w14:paraId="3948D119" w14:textId="77777777" w:rsidR="001517EC" w:rsidRPr="00005453" w:rsidRDefault="001517EC" w:rsidP="001517EC">
            <w:pPr>
              <w:jc w:val="right"/>
              <w:rPr>
                <w:b/>
                <w:bCs/>
                <w:sz w:val="6"/>
                <w:szCs w:val="6"/>
                <w:lang w:eastAsia="tr-TR"/>
              </w:rPr>
            </w:pPr>
          </w:p>
        </w:tc>
        <w:tc>
          <w:tcPr>
            <w:tcW w:w="1843" w:type="dxa"/>
            <w:tcBorders>
              <w:top w:val="nil"/>
              <w:left w:val="nil"/>
              <w:bottom w:val="nil"/>
              <w:right w:val="nil"/>
            </w:tcBorders>
            <w:shd w:val="clear" w:color="auto" w:fill="auto"/>
            <w:vAlign w:val="center"/>
            <w:hideMark/>
          </w:tcPr>
          <w:p w14:paraId="398A7BF5" w14:textId="77777777" w:rsidR="001517EC" w:rsidRPr="00005453" w:rsidRDefault="001517EC" w:rsidP="001517EC">
            <w:pPr>
              <w:jc w:val="center"/>
              <w:rPr>
                <w:sz w:val="6"/>
                <w:szCs w:val="6"/>
                <w:lang w:eastAsia="tr-TR"/>
              </w:rPr>
            </w:pPr>
          </w:p>
        </w:tc>
        <w:tc>
          <w:tcPr>
            <w:tcW w:w="2675" w:type="dxa"/>
            <w:tcBorders>
              <w:top w:val="nil"/>
              <w:left w:val="nil"/>
              <w:bottom w:val="nil"/>
              <w:right w:val="nil"/>
            </w:tcBorders>
            <w:shd w:val="clear" w:color="auto" w:fill="auto"/>
            <w:vAlign w:val="center"/>
            <w:hideMark/>
          </w:tcPr>
          <w:p w14:paraId="10C2319C" w14:textId="77777777" w:rsidR="001517EC" w:rsidRPr="00005453" w:rsidRDefault="001517EC" w:rsidP="001517EC">
            <w:pPr>
              <w:jc w:val="right"/>
              <w:rPr>
                <w:sz w:val="6"/>
                <w:szCs w:val="6"/>
                <w:lang w:eastAsia="tr-TR"/>
              </w:rPr>
            </w:pPr>
          </w:p>
        </w:tc>
      </w:tr>
      <w:tr w:rsidR="00380069" w:rsidRPr="00005453" w14:paraId="08FE07C1" w14:textId="77777777" w:rsidTr="00380069">
        <w:trPr>
          <w:divId w:val="383800305"/>
          <w:trHeight w:val="20"/>
        </w:trPr>
        <w:tc>
          <w:tcPr>
            <w:tcW w:w="4820" w:type="dxa"/>
            <w:tcBorders>
              <w:top w:val="nil"/>
              <w:left w:val="nil"/>
              <w:bottom w:val="nil"/>
              <w:right w:val="nil"/>
            </w:tcBorders>
            <w:shd w:val="clear" w:color="auto" w:fill="auto"/>
            <w:vAlign w:val="center"/>
            <w:hideMark/>
          </w:tcPr>
          <w:p w14:paraId="69608E3D" w14:textId="77777777" w:rsidR="00380069" w:rsidRPr="00005453" w:rsidRDefault="00380069" w:rsidP="00380069">
            <w:pPr>
              <w:jc w:val="both"/>
              <w:rPr>
                <w:rFonts w:eastAsia="Arial Unicode MS"/>
                <w:b/>
                <w:sz w:val="18"/>
                <w:szCs w:val="18"/>
              </w:rPr>
            </w:pPr>
            <w:r w:rsidRPr="00005453">
              <w:rPr>
                <w:rFonts w:eastAsia="Arial Unicode MS"/>
                <w:b/>
                <w:sz w:val="18"/>
                <w:szCs w:val="18"/>
              </w:rPr>
              <w:t>Borçlanma Senetleri</w:t>
            </w:r>
          </w:p>
        </w:tc>
        <w:tc>
          <w:tcPr>
            <w:tcW w:w="1843" w:type="dxa"/>
            <w:tcBorders>
              <w:top w:val="nil"/>
              <w:left w:val="nil"/>
              <w:bottom w:val="nil"/>
              <w:right w:val="nil"/>
            </w:tcBorders>
            <w:shd w:val="clear" w:color="auto" w:fill="auto"/>
            <w:vAlign w:val="center"/>
            <w:hideMark/>
          </w:tcPr>
          <w:p w14:paraId="383DB44B" w14:textId="531492E8" w:rsidR="00380069" w:rsidRPr="00005453" w:rsidRDefault="00380069" w:rsidP="00380069">
            <w:pPr>
              <w:jc w:val="right"/>
              <w:rPr>
                <w:b/>
                <w:bCs/>
                <w:sz w:val="18"/>
                <w:szCs w:val="18"/>
                <w:lang w:eastAsia="tr-TR"/>
              </w:rPr>
            </w:pPr>
            <w:r w:rsidRPr="00005453">
              <w:rPr>
                <w:b/>
                <w:bCs/>
                <w:sz w:val="18"/>
                <w:szCs w:val="18"/>
              </w:rPr>
              <w:t>67,313,502</w:t>
            </w:r>
          </w:p>
        </w:tc>
        <w:tc>
          <w:tcPr>
            <w:tcW w:w="2675" w:type="dxa"/>
            <w:tcBorders>
              <w:top w:val="nil"/>
              <w:left w:val="nil"/>
              <w:bottom w:val="nil"/>
              <w:right w:val="nil"/>
            </w:tcBorders>
            <w:shd w:val="clear" w:color="auto" w:fill="auto"/>
            <w:vAlign w:val="center"/>
            <w:hideMark/>
          </w:tcPr>
          <w:p w14:paraId="323A7DEF" w14:textId="5C3C98C4" w:rsidR="00380069" w:rsidRPr="00005453" w:rsidRDefault="00380069" w:rsidP="00380069">
            <w:pPr>
              <w:jc w:val="right"/>
              <w:rPr>
                <w:b/>
                <w:bCs/>
                <w:sz w:val="18"/>
                <w:szCs w:val="18"/>
                <w:lang w:eastAsia="tr-TR"/>
              </w:rPr>
            </w:pPr>
            <w:r w:rsidRPr="00005453">
              <w:rPr>
                <w:b/>
                <w:bCs/>
                <w:sz w:val="18"/>
                <w:szCs w:val="18"/>
                <w:lang w:eastAsia="tr-TR"/>
              </w:rPr>
              <w:t>58,316,469</w:t>
            </w:r>
          </w:p>
        </w:tc>
      </w:tr>
      <w:tr w:rsidR="00380069" w:rsidRPr="00005453" w14:paraId="4E05FEE4" w14:textId="77777777" w:rsidTr="00380069">
        <w:trPr>
          <w:divId w:val="383800305"/>
          <w:trHeight w:val="20"/>
        </w:trPr>
        <w:tc>
          <w:tcPr>
            <w:tcW w:w="4820" w:type="dxa"/>
            <w:tcBorders>
              <w:top w:val="nil"/>
              <w:left w:val="nil"/>
              <w:bottom w:val="nil"/>
              <w:right w:val="nil"/>
            </w:tcBorders>
            <w:shd w:val="clear" w:color="auto" w:fill="auto"/>
            <w:vAlign w:val="center"/>
            <w:hideMark/>
          </w:tcPr>
          <w:p w14:paraId="147C26FF" w14:textId="77777777" w:rsidR="00380069" w:rsidRPr="00005453" w:rsidRDefault="00380069" w:rsidP="00380069">
            <w:pPr>
              <w:jc w:val="both"/>
              <w:rPr>
                <w:rFonts w:eastAsia="Arial Unicode MS"/>
                <w:sz w:val="18"/>
                <w:szCs w:val="18"/>
              </w:rPr>
            </w:pPr>
            <w:r w:rsidRPr="00005453">
              <w:rPr>
                <w:rFonts w:eastAsia="Arial Unicode MS"/>
                <w:sz w:val="18"/>
                <w:szCs w:val="18"/>
              </w:rPr>
              <w:t>Borsada İşlem Gören</w:t>
            </w:r>
          </w:p>
        </w:tc>
        <w:tc>
          <w:tcPr>
            <w:tcW w:w="1843" w:type="dxa"/>
            <w:tcBorders>
              <w:top w:val="nil"/>
              <w:left w:val="nil"/>
              <w:bottom w:val="nil"/>
              <w:right w:val="nil"/>
            </w:tcBorders>
            <w:shd w:val="clear" w:color="auto" w:fill="auto"/>
            <w:vAlign w:val="center"/>
            <w:hideMark/>
          </w:tcPr>
          <w:p w14:paraId="79F0BABB" w14:textId="65668312" w:rsidR="00380069" w:rsidRPr="00005453" w:rsidRDefault="00380069" w:rsidP="00380069">
            <w:pPr>
              <w:jc w:val="right"/>
              <w:rPr>
                <w:bCs/>
                <w:sz w:val="18"/>
                <w:szCs w:val="18"/>
                <w:lang w:eastAsia="tr-TR"/>
              </w:rPr>
            </w:pPr>
            <w:r w:rsidRPr="00005453">
              <w:rPr>
                <w:sz w:val="18"/>
                <w:szCs w:val="18"/>
              </w:rPr>
              <w:t>57,564,834</w:t>
            </w:r>
          </w:p>
        </w:tc>
        <w:tc>
          <w:tcPr>
            <w:tcW w:w="2675" w:type="dxa"/>
            <w:tcBorders>
              <w:top w:val="nil"/>
              <w:left w:val="nil"/>
              <w:bottom w:val="nil"/>
              <w:right w:val="nil"/>
            </w:tcBorders>
            <w:shd w:val="clear" w:color="auto" w:fill="auto"/>
            <w:vAlign w:val="center"/>
            <w:hideMark/>
          </w:tcPr>
          <w:p w14:paraId="23389DAF" w14:textId="4F1F13BA" w:rsidR="00380069" w:rsidRPr="00005453" w:rsidRDefault="00380069" w:rsidP="00380069">
            <w:pPr>
              <w:jc w:val="right"/>
              <w:rPr>
                <w:sz w:val="18"/>
                <w:szCs w:val="18"/>
                <w:lang w:eastAsia="tr-TR"/>
              </w:rPr>
            </w:pPr>
            <w:r w:rsidRPr="00005453">
              <w:rPr>
                <w:bCs/>
                <w:sz w:val="18"/>
                <w:szCs w:val="18"/>
                <w:lang w:eastAsia="tr-TR"/>
              </w:rPr>
              <w:t>58,316,469</w:t>
            </w:r>
          </w:p>
        </w:tc>
      </w:tr>
      <w:tr w:rsidR="00380069" w:rsidRPr="00005453" w14:paraId="4774AFDA" w14:textId="77777777" w:rsidTr="00380069">
        <w:trPr>
          <w:divId w:val="383800305"/>
          <w:trHeight w:val="20"/>
        </w:trPr>
        <w:tc>
          <w:tcPr>
            <w:tcW w:w="4820" w:type="dxa"/>
            <w:tcBorders>
              <w:top w:val="nil"/>
              <w:left w:val="nil"/>
              <w:bottom w:val="nil"/>
              <w:right w:val="nil"/>
            </w:tcBorders>
            <w:shd w:val="clear" w:color="auto" w:fill="auto"/>
            <w:vAlign w:val="center"/>
            <w:hideMark/>
          </w:tcPr>
          <w:p w14:paraId="57105322" w14:textId="77777777" w:rsidR="00380069" w:rsidRPr="00005453" w:rsidRDefault="00380069" w:rsidP="00380069">
            <w:pPr>
              <w:jc w:val="both"/>
              <w:rPr>
                <w:rFonts w:eastAsia="Arial Unicode MS"/>
                <w:sz w:val="18"/>
                <w:szCs w:val="18"/>
              </w:rPr>
            </w:pPr>
            <w:r w:rsidRPr="00005453">
              <w:rPr>
                <w:rFonts w:eastAsia="Arial Unicode MS"/>
                <w:sz w:val="18"/>
                <w:szCs w:val="18"/>
              </w:rPr>
              <w:t xml:space="preserve">Borsada İşlem Görmeyen </w:t>
            </w:r>
          </w:p>
        </w:tc>
        <w:tc>
          <w:tcPr>
            <w:tcW w:w="1843" w:type="dxa"/>
            <w:tcBorders>
              <w:top w:val="nil"/>
              <w:left w:val="nil"/>
              <w:bottom w:val="nil"/>
              <w:right w:val="nil"/>
            </w:tcBorders>
            <w:shd w:val="clear" w:color="auto" w:fill="auto"/>
            <w:vAlign w:val="center"/>
            <w:hideMark/>
          </w:tcPr>
          <w:p w14:paraId="2852252E" w14:textId="4A2FB5B7" w:rsidR="00380069" w:rsidRPr="00005453" w:rsidRDefault="00380069" w:rsidP="00380069">
            <w:pPr>
              <w:jc w:val="right"/>
              <w:rPr>
                <w:b/>
                <w:bCs/>
                <w:sz w:val="18"/>
                <w:szCs w:val="18"/>
                <w:lang w:eastAsia="tr-TR"/>
              </w:rPr>
            </w:pPr>
            <w:r w:rsidRPr="00005453">
              <w:rPr>
                <w:sz w:val="18"/>
                <w:szCs w:val="18"/>
              </w:rPr>
              <w:t>9,748,668</w:t>
            </w:r>
          </w:p>
        </w:tc>
        <w:tc>
          <w:tcPr>
            <w:tcW w:w="2675" w:type="dxa"/>
            <w:tcBorders>
              <w:top w:val="nil"/>
              <w:left w:val="nil"/>
              <w:bottom w:val="nil"/>
              <w:right w:val="nil"/>
            </w:tcBorders>
            <w:shd w:val="clear" w:color="auto" w:fill="auto"/>
            <w:vAlign w:val="center"/>
            <w:hideMark/>
          </w:tcPr>
          <w:p w14:paraId="726929C7" w14:textId="414F1361" w:rsidR="00380069" w:rsidRPr="00005453" w:rsidRDefault="00380069" w:rsidP="00380069">
            <w:pPr>
              <w:jc w:val="right"/>
              <w:rPr>
                <w:sz w:val="18"/>
                <w:szCs w:val="18"/>
                <w:lang w:eastAsia="tr-TR"/>
              </w:rPr>
            </w:pPr>
            <w:r w:rsidRPr="00005453">
              <w:rPr>
                <w:b/>
                <w:bCs/>
                <w:sz w:val="18"/>
                <w:szCs w:val="18"/>
                <w:lang w:eastAsia="tr-TR"/>
              </w:rPr>
              <w:t>-</w:t>
            </w:r>
          </w:p>
        </w:tc>
      </w:tr>
      <w:tr w:rsidR="00380069" w:rsidRPr="00005453" w14:paraId="6308B6F2" w14:textId="77777777" w:rsidTr="00380069">
        <w:trPr>
          <w:divId w:val="383800305"/>
          <w:trHeight w:val="20"/>
        </w:trPr>
        <w:tc>
          <w:tcPr>
            <w:tcW w:w="4820" w:type="dxa"/>
            <w:tcBorders>
              <w:top w:val="nil"/>
              <w:left w:val="nil"/>
              <w:bottom w:val="nil"/>
              <w:right w:val="nil"/>
            </w:tcBorders>
            <w:shd w:val="clear" w:color="auto" w:fill="auto"/>
            <w:vAlign w:val="center"/>
            <w:hideMark/>
          </w:tcPr>
          <w:p w14:paraId="628B2213" w14:textId="77777777" w:rsidR="00380069" w:rsidRPr="00005453" w:rsidRDefault="00380069" w:rsidP="00380069">
            <w:pPr>
              <w:jc w:val="both"/>
              <w:rPr>
                <w:b/>
                <w:bCs/>
                <w:sz w:val="18"/>
                <w:szCs w:val="18"/>
                <w:lang w:eastAsia="tr-TR"/>
              </w:rPr>
            </w:pPr>
            <w:r w:rsidRPr="00005453">
              <w:rPr>
                <w:rFonts w:eastAsia="Arial Unicode MS"/>
                <w:b/>
                <w:sz w:val="18"/>
                <w:szCs w:val="18"/>
              </w:rPr>
              <w:t xml:space="preserve">Hisse Senetleri </w:t>
            </w:r>
            <w:r w:rsidRPr="00005453">
              <w:rPr>
                <w:b/>
                <w:bCs/>
                <w:sz w:val="18"/>
                <w:szCs w:val="18"/>
                <w:lang w:eastAsia="tr-TR"/>
              </w:rPr>
              <w:t>/ Yatırım Fonları</w:t>
            </w:r>
          </w:p>
        </w:tc>
        <w:tc>
          <w:tcPr>
            <w:tcW w:w="1843" w:type="dxa"/>
            <w:tcBorders>
              <w:top w:val="nil"/>
              <w:left w:val="nil"/>
              <w:bottom w:val="nil"/>
              <w:right w:val="nil"/>
            </w:tcBorders>
            <w:shd w:val="clear" w:color="auto" w:fill="auto"/>
            <w:vAlign w:val="center"/>
            <w:hideMark/>
          </w:tcPr>
          <w:p w14:paraId="0EA7119D" w14:textId="797C00B2" w:rsidR="00380069" w:rsidRPr="00005453" w:rsidRDefault="00380069" w:rsidP="00380069">
            <w:pPr>
              <w:jc w:val="right"/>
              <w:rPr>
                <w:b/>
                <w:bCs/>
                <w:sz w:val="18"/>
                <w:szCs w:val="18"/>
                <w:lang w:eastAsia="tr-TR"/>
              </w:rPr>
            </w:pPr>
            <w:r w:rsidRPr="00005453">
              <w:rPr>
                <w:b/>
                <w:bCs/>
                <w:sz w:val="18"/>
                <w:szCs w:val="18"/>
              </w:rPr>
              <w:t>172,796</w:t>
            </w:r>
          </w:p>
        </w:tc>
        <w:tc>
          <w:tcPr>
            <w:tcW w:w="2675" w:type="dxa"/>
            <w:tcBorders>
              <w:top w:val="nil"/>
              <w:left w:val="nil"/>
              <w:bottom w:val="nil"/>
              <w:right w:val="nil"/>
            </w:tcBorders>
            <w:shd w:val="clear" w:color="auto" w:fill="auto"/>
            <w:vAlign w:val="center"/>
            <w:hideMark/>
          </w:tcPr>
          <w:p w14:paraId="3A5B7E4A" w14:textId="5792CCCD" w:rsidR="00380069" w:rsidRPr="00005453" w:rsidRDefault="00380069" w:rsidP="00380069">
            <w:pPr>
              <w:jc w:val="right"/>
              <w:rPr>
                <w:b/>
                <w:bCs/>
                <w:sz w:val="18"/>
                <w:szCs w:val="18"/>
                <w:lang w:eastAsia="tr-TR"/>
              </w:rPr>
            </w:pPr>
            <w:r w:rsidRPr="00005453">
              <w:rPr>
                <w:b/>
                <w:bCs/>
                <w:sz w:val="18"/>
                <w:szCs w:val="18"/>
                <w:lang w:eastAsia="tr-TR"/>
              </w:rPr>
              <w:t>109,769</w:t>
            </w:r>
          </w:p>
        </w:tc>
      </w:tr>
      <w:tr w:rsidR="00380069" w:rsidRPr="00005453" w14:paraId="1B7870D8" w14:textId="77777777" w:rsidTr="00380069">
        <w:trPr>
          <w:divId w:val="383800305"/>
          <w:trHeight w:val="20"/>
        </w:trPr>
        <w:tc>
          <w:tcPr>
            <w:tcW w:w="4820" w:type="dxa"/>
            <w:tcBorders>
              <w:top w:val="nil"/>
              <w:left w:val="nil"/>
              <w:bottom w:val="nil"/>
              <w:right w:val="nil"/>
            </w:tcBorders>
            <w:shd w:val="clear" w:color="auto" w:fill="auto"/>
            <w:vAlign w:val="center"/>
            <w:hideMark/>
          </w:tcPr>
          <w:p w14:paraId="605F487D" w14:textId="77777777" w:rsidR="00380069" w:rsidRPr="00005453" w:rsidRDefault="00380069" w:rsidP="00380069">
            <w:pPr>
              <w:jc w:val="both"/>
              <w:rPr>
                <w:rFonts w:eastAsia="Arial Unicode MS"/>
                <w:sz w:val="18"/>
                <w:szCs w:val="18"/>
              </w:rPr>
            </w:pPr>
            <w:r w:rsidRPr="00005453">
              <w:rPr>
                <w:rFonts w:eastAsia="Arial Unicode MS"/>
                <w:sz w:val="18"/>
                <w:szCs w:val="18"/>
              </w:rPr>
              <w:t>Borsada İşlem Gören</w:t>
            </w:r>
          </w:p>
        </w:tc>
        <w:tc>
          <w:tcPr>
            <w:tcW w:w="1843" w:type="dxa"/>
            <w:tcBorders>
              <w:top w:val="nil"/>
              <w:left w:val="nil"/>
              <w:bottom w:val="nil"/>
              <w:right w:val="nil"/>
            </w:tcBorders>
            <w:shd w:val="clear" w:color="auto" w:fill="auto"/>
            <w:vAlign w:val="center"/>
            <w:hideMark/>
          </w:tcPr>
          <w:p w14:paraId="426CD6CD" w14:textId="484DEB7C" w:rsidR="00380069" w:rsidRPr="00005453" w:rsidRDefault="00380069" w:rsidP="00380069">
            <w:pPr>
              <w:jc w:val="right"/>
              <w:rPr>
                <w:b/>
                <w:bCs/>
                <w:sz w:val="18"/>
                <w:szCs w:val="18"/>
                <w:lang w:eastAsia="tr-TR"/>
              </w:rPr>
            </w:pPr>
            <w:r w:rsidRPr="00005453">
              <w:rPr>
                <w:sz w:val="18"/>
                <w:szCs w:val="18"/>
              </w:rPr>
              <w:t>57,759</w:t>
            </w:r>
          </w:p>
        </w:tc>
        <w:tc>
          <w:tcPr>
            <w:tcW w:w="2675" w:type="dxa"/>
            <w:tcBorders>
              <w:top w:val="nil"/>
              <w:left w:val="nil"/>
              <w:bottom w:val="nil"/>
              <w:right w:val="nil"/>
            </w:tcBorders>
            <w:shd w:val="clear" w:color="auto" w:fill="auto"/>
            <w:vAlign w:val="center"/>
            <w:hideMark/>
          </w:tcPr>
          <w:p w14:paraId="647945D2" w14:textId="4B2EA570" w:rsidR="00380069" w:rsidRPr="00005453" w:rsidRDefault="00380069" w:rsidP="00380069">
            <w:pPr>
              <w:jc w:val="right"/>
              <w:rPr>
                <w:sz w:val="18"/>
                <w:szCs w:val="18"/>
                <w:lang w:eastAsia="tr-TR"/>
              </w:rPr>
            </w:pPr>
            <w:r w:rsidRPr="00005453">
              <w:rPr>
                <w:b/>
                <w:bCs/>
                <w:sz w:val="18"/>
                <w:szCs w:val="18"/>
                <w:lang w:eastAsia="tr-TR"/>
              </w:rPr>
              <w:t>-</w:t>
            </w:r>
          </w:p>
        </w:tc>
      </w:tr>
      <w:tr w:rsidR="00380069" w:rsidRPr="00005453" w14:paraId="4719782A" w14:textId="77777777" w:rsidTr="00380069">
        <w:trPr>
          <w:divId w:val="383800305"/>
          <w:trHeight w:val="20"/>
        </w:trPr>
        <w:tc>
          <w:tcPr>
            <w:tcW w:w="4820" w:type="dxa"/>
            <w:tcBorders>
              <w:top w:val="nil"/>
              <w:left w:val="nil"/>
              <w:bottom w:val="nil"/>
              <w:right w:val="nil"/>
            </w:tcBorders>
            <w:shd w:val="clear" w:color="auto" w:fill="auto"/>
            <w:vAlign w:val="center"/>
            <w:hideMark/>
          </w:tcPr>
          <w:p w14:paraId="768DC2FE" w14:textId="77777777" w:rsidR="00380069" w:rsidRPr="00005453" w:rsidRDefault="00380069" w:rsidP="00380069">
            <w:pPr>
              <w:jc w:val="both"/>
              <w:rPr>
                <w:rFonts w:eastAsia="Arial Unicode MS"/>
                <w:sz w:val="18"/>
                <w:szCs w:val="18"/>
              </w:rPr>
            </w:pPr>
            <w:r w:rsidRPr="00005453">
              <w:rPr>
                <w:rFonts w:eastAsia="Arial Unicode MS"/>
                <w:sz w:val="18"/>
                <w:szCs w:val="18"/>
              </w:rPr>
              <w:t>Borsada İşlem Görmeyen</w:t>
            </w:r>
          </w:p>
        </w:tc>
        <w:tc>
          <w:tcPr>
            <w:tcW w:w="1843" w:type="dxa"/>
            <w:tcBorders>
              <w:top w:val="nil"/>
              <w:left w:val="nil"/>
              <w:bottom w:val="nil"/>
              <w:right w:val="nil"/>
            </w:tcBorders>
            <w:shd w:val="clear" w:color="auto" w:fill="auto"/>
            <w:vAlign w:val="center"/>
            <w:hideMark/>
          </w:tcPr>
          <w:p w14:paraId="377E70C7" w14:textId="40A8AE7E" w:rsidR="00380069" w:rsidRPr="00005453" w:rsidRDefault="00380069" w:rsidP="00380069">
            <w:pPr>
              <w:jc w:val="right"/>
              <w:rPr>
                <w:bCs/>
                <w:sz w:val="18"/>
                <w:szCs w:val="18"/>
                <w:lang w:eastAsia="tr-TR"/>
              </w:rPr>
            </w:pPr>
            <w:r w:rsidRPr="00005453">
              <w:rPr>
                <w:sz w:val="18"/>
                <w:szCs w:val="18"/>
              </w:rPr>
              <w:t>115,037</w:t>
            </w:r>
          </w:p>
        </w:tc>
        <w:tc>
          <w:tcPr>
            <w:tcW w:w="2675" w:type="dxa"/>
            <w:tcBorders>
              <w:top w:val="nil"/>
              <w:left w:val="nil"/>
              <w:bottom w:val="nil"/>
              <w:right w:val="nil"/>
            </w:tcBorders>
            <w:shd w:val="clear" w:color="auto" w:fill="auto"/>
            <w:vAlign w:val="center"/>
            <w:hideMark/>
          </w:tcPr>
          <w:p w14:paraId="08B9485B" w14:textId="6D55F43B" w:rsidR="00380069" w:rsidRPr="00005453" w:rsidRDefault="00380069" w:rsidP="00380069">
            <w:pPr>
              <w:jc w:val="right"/>
              <w:rPr>
                <w:sz w:val="18"/>
                <w:szCs w:val="18"/>
                <w:lang w:eastAsia="tr-TR"/>
              </w:rPr>
            </w:pPr>
            <w:r w:rsidRPr="00005453">
              <w:rPr>
                <w:bCs/>
                <w:sz w:val="18"/>
                <w:szCs w:val="18"/>
                <w:lang w:eastAsia="tr-TR"/>
              </w:rPr>
              <w:t>109,769</w:t>
            </w:r>
          </w:p>
        </w:tc>
      </w:tr>
      <w:tr w:rsidR="00380069" w:rsidRPr="00005453" w14:paraId="28463942" w14:textId="77777777" w:rsidTr="00380069">
        <w:trPr>
          <w:divId w:val="383800305"/>
          <w:trHeight w:val="20"/>
        </w:trPr>
        <w:tc>
          <w:tcPr>
            <w:tcW w:w="4820" w:type="dxa"/>
            <w:tcBorders>
              <w:top w:val="nil"/>
              <w:left w:val="nil"/>
              <w:bottom w:val="single" w:sz="8" w:space="0" w:color="auto"/>
              <w:right w:val="nil"/>
            </w:tcBorders>
            <w:shd w:val="clear" w:color="auto" w:fill="auto"/>
            <w:vAlign w:val="center"/>
            <w:hideMark/>
          </w:tcPr>
          <w:p w14:paraId="3723CA6F" w14:textId="77777777" w:rsidR="00380069" w:rsidRPr="00005453" w:rsidRDefault="00380069" w:rsidP="00380069">
            <w:pPr>
              <w:jc w:val="both"/>
              <w:rPr>
                <w:rFonts w:eastAsia="Arial Unicode MS"/>
                <w:b/>
                <w:sz w:val="18"/>
                <w:szCs w:val="18"/>
              </w:rPr>
            </w:pPr>
            <w:r w:rsidRPr="00005453">
              <w:rPr>
                <w:rFonts w:eastAsia="Arial Unicode MS"/>
                <w:b/>
                <w:sz w:val="18"/>
                <w:szCs w:val="18"/>
              </w:rPr>
              <w:t xml:space="preserve">Değer Azalma Karşılığı (-) </w:t>
            </w:r>
          </w:p>
        </w:tc>
        <w:tc>
          <w:tcPr>
            <w:tcW w:w="1843" w:type="dxa"/>
            <w:tcBorders>
              <w:top w:val="nil"/>
              <w:left w:val="nil"/>
              <w:bottom w:val="single" w:sz="8" w:space="0" w:color="auto"/>
              <w:right w:val="nil"/>
            </w:tcBorders>
            <w:shd w:val="clear" w:color="auto" w:fill="auto"/>
            <w:vAlign w:val="center"/>
            <w:hideMark/>
          </w:tcPr>
          <w:p w14:paraId="7319E2BB" w14:textId="5777FF19" w:rsidR="00380069" w:rsidRPr="00005453" w:rsidRDefault="00380069" w:rsidP="00380069">
            <w:pPr>
              <w:jc w:val="right"/>
              <w:rPr>
                <w:b/>
                <w:bCs/>
                <w:color w:val="000000" w:themeColor="text1"/>
                <w:sz w:val="18"/>
                <w:szCs w:val="18"/>
                <w:lang w:eastAsia="tr-TR"/>
              </w:rPr>
            </w:pPr>
            <w:r w:rsidRPr="00005453">
              <w:rPr>
                <w:b/>
                <w:color w:val="000000" w:themeColor="text1"/>
                <w:sz w:val="18"/>
                <w:szCs w:val="18"/>
              </w:rPr>
              <w:t>6,528,031</w:t>
            </w:r>
          </w:p>
        </w:tc>
        <w:tc>
          <w:tcPr>
            <w:tcW w:w="2675" w:type="dxa"/>
            <w:tcBorders>
              <w:top w:val="nil"/>
              <w:left w:val="nil"/>
              <w:bottom w:val="single" w:sz="8" w:space="0" w:color="auto"/>
              <w:right w:val="nil"/>
            </w:tcBorders>
            <w:shd w:val="clear" w:color="auto" w:fill="auto"/>
            <w:vAlign w:val="center"/>
            <w:hideMark/>
          </w:tcPr>
          <w:p w14:paraId="431C1B0A" w14:textId="06465481" w:rsidR="00380069" w:rsidRPr="00005453" w:rsidRDefault="00380069" w:rsidP="00380069">
            <w:pPr>
              <w:jc w:val="right"/>
              <w:rPr>
                <w:b/>
                <w:bCs/>
                <w:sz w:val="18"/>
                <w:szCs w:val="18"/>
                <w:lang w:eastAsia="tr-TR"/>
              </w:rPr>
            </w:pPr>
            <w:r w:rsidRPr="00005453">
              <w:rPr>
                <w:b/>
                <w:bCs/>
                <w:sz w:val="18"/>
                <w:szCs w:val="18"/>
                <w:lang w:eastAsia="tr-TR"/>
              </w:rPr>
              <w:t>3,132,851</w:t>
            </w:r>
          </w:p>
        </w:tc>
      </w:tr>
      <w:tr w:rsidR="00380069" w:rsidRPr="00005453" w14:paraId="2C407B24" w14:textId="77777777" w:rsidTr="00380069">
        <w:trPr>
          <w:divId w:val="383800305"/>
          <w:trHeight w:val="20"/>
        </w:trPr>
        <w:tc>
          <w:tcPr>
            <w:tcW w:w="4820" w:type="dxa"/>
            <w:tcBorders>
              <w:top w:val="nil"/>
              <w:left w:val="nil"/>
              <w:bottom w:val="double" w:sz="6" w:space="0" w:color="auto"/>
              <w:right w:val="nil"/>
            </w:tcBorders>
            <w:shd w:val="clear" w:color="auto" w:fill="auto"/>
            <w:vAlign w:val="center"/>
            <w:hideMark/>
          </w:tcPr>
          <w:p w14:paraId="290F5EA9" w14:textId="77777777" w:rsidR="00380069" w:rsidRPr="00005453" w:rsidRDefault="00380069" w:rsidP="00380069">
            <w:pPr>
              <w:jc w:val="both"/>
              <w:rPr>
                <w:rFonts w:eastAsia="Arial Unicode MS"/>
                <w:b/>
                <w:sz w:val="18"/>
                <w:szCs w:val="18"/>
              </w:rPr>
            </w:pPr>
            <w:r w:rsidRPr="00005453">
              <w:rPr>
                <w:rFonts w:eastAsia="Arial Unicode MS"/>
                <w:b/>
                <w:sz w:val="18"/>
                <w:szCs w:val="18"/>
              </w:rPr>
              <w:t>Toplam</w:t>
            </w:r>
          </w:p>
        </w:tc>
        <w:tc>
          <w:tcPr>
            <w:tcW w:w="1843" w:type="dxa"/>
            <w:tcBorders>
              <w:top w:val="nil"/>
              <w:left w:val="nil"/>
              <w:bottom w:val="double" w:sz="6" w:space="0" w:color="auto"/>
              <w:right w:val="nil"/>
            </w:tcBorders>
            <w:shd w:val="clear" w:color="auto" w:fill="auto"/>
            <w:vAlign w:val="center"/>
            <w:hideMark/>
          </w:tcPr>
          <w:p w14:paraId="4DAF5063" w14:textId="0B0C3200" w:rsidR="00380069" w:rsidRPr="00005453" w:rsidRDefault="00380069" w:rsidP="00380069">
            <w:pPr>
              <w:jc w:val="right"/>
              <w:rPr>
                <w:b/>
                <w:bCs/>
                <w:color w:val="000000" w:themeColor="text1"/>
                <w:sz w:val="18"/>
                <w:szCs w:val="18"/>
                <w:lang w:eastAsia="tr-TR"/>
              </w:rPr>
            </w:pPr>
            <w:r w:rsidRPr="00005453">
              <w:rPr>
                <w:b/>
                <w:bCs/>
                <w:color w:val="000000" w:themeColor="text1"/>
                <w:sz w:val="18"/>
                <w:szCs w:val="18"/>
              </w:rPr>
              <w:t>60,958,267</w:t>
            </w:r>
          </w:p>
        </w:tc>
        <w:tc>
          <w:tcPr>
            <w:tcW w:w="2675" w:type="dxa"/>
            <w:tcBorders>
              <w:top w:val="nil"/>
              <w:left w:val="nil"/>
              <w:bottom w:val="double" w:sz="6" w:space="0" w:color="auto"/>
              <w:right w:val="nil"/>
            </w:tcBorders>
            <w:shd w:val="clear" w:color="auto" w:fill="auto"/>
            <w:vAlign w:val="center"/>
            <w:hideMark/>
          </w:tcPr>
          <w:p w14:paraId="59ABBB62" w14:textId="3D340B40" w:rsidR="00380069" w:rsidRPr="00005453" w:rsidRDefault="00380069" w:rsidP="00380069">
            <w:pPr>
              <w:jc w:val="right"/>
              <w:rPr>
                <w:b/>
                <w:bCs/>
                <w:sz w:val="18"/>
                <w:szCs w:val="18"/>
                <w:lang w:eastAsia="tr-TR"/>
              </w:rPr>
            </w:pPr>
            <w:r w:rsidRPr="00005453">
              <w:rPr>
                <w:b/>
                <w:bCs/>
                <w:sz w:val="18"/>
                <w:szCs w:val="18"/>
                <w:lang w:eastAsia="tr-TR"/>
              </w:rPr>
              <w:t>55,293,387</w:t>
            </w:r>
          </w:p>
        </w:tc>
      </w:tr>
    </w:tbl>
    <w:p w14:paraId="4031F60B" w14:textId="77777777" w:rsidR="00AA1DB2" w:rsidRPr="00005453" w:rsidRDefault="00AA1DB2" w:rsidP="00F27033">
      <w:pPr>
        <w:autoSpaceDE w:val="0"/>
        <w:autoSpaceDN w:val="0"/>
        <w:adjustRightInd w:val="0"/>
        <w:ind w:hanging="567"/>
        <w:jc w:val="both"/>
        <w:rPr>
          <w:b/>
        </w:rPr>
      </w:pPr>
    </w:p>
    <w:p w14:paraId="65D95B34" w14:textId="5324E8BF" w:rsidR="005822D7" w:rsidRPr="00005453" w:rsidRDefault="005822D7" w:rsidP="00346550">
      <w:pPr>
        <w:pStyle w:val="BodyTextIndent"/>
        <w:tabs>
          <w:tab w:val="num" w:pos="1260"/>
        </w:tabs>
        <w:autoSpaceDE/>
        <w:autoSpaceDN/>
        <w:adjustRightInd/>
        <w:ind w:left="0" w:hanging="567"/>
        <w:rPr>
          <w:rFonts w:eastAsia="Arial Unicode MS"/>
          <w:color w:val="000000"/>
          <w:spacing w:val="-6"/>
          <w:lang w:eastAsia="en-US"/>
        </w:rPr>
      </w:pPr>
      <w:r w:rsidRPr="00005453">
        <w:rPr>
          <w:b/>
        </w:rPr>
        <w:t>1.4.1.</w:t>
      </w:r>
      <w:r w:rsidRPr="00005453">
        <w:rPr>
          <w:b/>
        </w:rPr>
        <w:tab/>
      </w:r>
      <w:r w:rsidRPr="00005453">
        <w:rPr>
          <w:b/>
          <w:bCs/>
          <w:iCs/>
          <w:lang w:eastAsia="en-US"/>
        </w:rPr>
        <w:t xml:space="preserve">Teminata </w:t>
      </w:r>
      <w:r w:rsidR="00792BA6" w:rsidRPr="00005453">
        <w:rPr>
          <w:b/>
          <w:bCs/>
          <w:iCs/>
          <w:lang w:eastAsia="en-US"/>
        </w:rPr>
        <w:t>v</w:t>
      </w:r>
      <w:r w:rsidRPr="00005453">
        <w:rPr>
          <w:b/>
          <w:bCs/>
          <w:iCs/>
          <w:lang w:eastAsia="en-US"/>
        </w:rPr>
        <w:t>erilen/</w:t>
      </w:r>
      <w:r w:rsidR="00792BA6" w:rsidRPr="00005453">
        <w:rPr>
          <w:b/>
          <w:bCs/>
          <w:iCs/>
          <w:lang w:eastAsia="en-US"/>
        </w:rPr>
        <w:t>bloke edilen gerçeğe uygun değer farkı diğer kapsamlı gelire yansıtılan finansal varlıklara ilişkin bilgiler</w:t>
      </w:r>
    </w:p>
    <w:p w14:paraId="7954B4E8" w14:textId="77777777" w:rsidR="00AA1DB2" w:rsidRPr="00005453" w:rsidRDefault="00AA1DB2" w:rsidP="00AA1DB2">
      <w:pPr>
        <w:pStyle w:val="BodyTextIndent"/>
        <w:tabs>
          <w:tab w:val="num" w:pos="1260"/>
        </w:tabs>
        <w:autoSpaceDE/>
        <w:autoSpaceDN/>
        <w:adjustRightInd/>
        <w:ind w:left="0" w:hanging="567"/>
        <w:jc w:val="left"/>
        <w:rPr>
          <w:rFonts w:eastAsia="Arial Unicode MS"/>
          <w:color w:val="000000"/>
          <w:spacing w:val="-6"/>
          <w:sz w:val="14"/>
          <w:lang w:eastAsia="en-US"/>
        </w:rPr>
      </w:pPr>
      <w:r w:rsidRPr="00005453">
        <w:rPr>
          <w:rFonts w:eastAsia="Arial Unicode MS"/>
          <w:color w:val="000000"/>
          <w:spacing w:val="-6"/>
          <w:lang w:eastAsia="en-US"/>
        </w:rPr>
        <w:t xml:space="preserve">              </w:t>
      </w:r>
    </w:p>
    <w:p w14:paraId="41AD2EA1" w14:textId="53206943" w:rsidR="00AA1DB2" w:rsidRPr="00005453" w:rsidRDefault="00AA1DB2" w:rsidP="00AA1DB2">
      <w:pPr>
        <w:pStyle w:val="BodyTextIndent"/>
        <w:tabs>
          <w:tab w:val="num" w:pos="1260"/>
        </w:tabs>
        <w:autoSpaceDE/>
        <w:autoSpaceDN/>
        <w:adjustRightInd/>
        <w:ind w:left="0" w:hanging="567"/>
        <w:rPr>
          <w:rFonts w:eastAsia="Arial Unicode MS"/>
          <w:color w:val="000000"/>
          <w:spacing w:val="-6"/>
          <w:lang w:eastAsia="en-US"/>
        </w:rPr>
      </w:pPr>
      <w:r w:rsidRPr="00005453">
        <w:rPr>
          <w:rFonts w:eastAsia="Arial Unicode MS"/>
          <w:color w:val="000000"/>
          <w:spacing w:val="-6"/>
          <w:lang w:eastAsia="en-US"/>
        </w:rPr>
        <w:t xml:space="preserve">             </w:t>
      </w:r>
      <w:r w:rsidR="005822D7" w:rsidRPr="00005453">
        <w:rPr>
          <w:rFonts w:eastAsia="Arial Unicode MS"/>
          <w:color w:val="000000"/>
          <w:spacing w:val="-6"/>
          <w:lang w:eastAsia="en-US"/>
        </w:rPr>
        <w:t xml:space="preserve">Bilanço tarihi itibarıyla teminata verilen </w:t>
      </w:r>
      <w:bookmarkStart w:id="73" w:name="_Hlk93294163"/>
      <w:r w:rsidR="00DE61DD" w:rsidRPr="00005453">
        <w:rPr>
          <w:rFonts w:eastAsia="Arial Unicode MS"/>
          <w:color w:val="000000"/>
          <w:spacing w:val="-6"/>
          <w:lang w:eastAsia="en-US"/>
        </w:rPr>
        <w:t>22</w:t>
      </w:r>
      <w:r w:rsidR="00194268" w:rsidRPr="00005453">
        <w:rPr>
          <w:rFonts w:eastAsia="Arial Unicode MS"/>
          <w:color w:val="000000"/>
          <w:spacing w:val="-6"/>
          <w:lang w:eastAsia="en-US"/>
        </w:rPr>
        <w:t>,</w:t>
      </w:r>
      <w:r w:rsidR="00DE61DD" w:rsidRPr="00005453">
        <w:rPr>
          <w:rFonts w:eastAsia="Arial Unicode MS"/>
          <w:color w:val="000000"/>
          <w:spacing w:val="-6"/>
          <w:lang w:eastAsia="en-US"/>
        </w:rPr>
        <w:t>504</w:t>
      </w:r>
      <w:r w:rsidR="00194268" w:rsidRPr="00005453">
        <w:rPr>
          <w:rFonts w:eastAsia="Arial Unicode MS"/>
          <w:color w:val="000000"/>
          <w:spacing w:val="-6"/>
          <w:lang w:eastAsia="en-US"/>
        </w:rPr>
        <w:t>,</w:t>
      </w:r>
      <w:r w:rsidR="00DE61DD" w:rsidRPr="00005453">
        <w:rPr>
          <w:rFonts w:eastAsia="Arial Unicode MS"/>
          <w:color w:val="000000"/>
          <w:spacing w:val="-6"/>
          <w:lang w:eastAsia="en-US"/>
        </w:rPr>
        <w:t>948</w:t>
      </w:r>
      <w:r w:rsidR="005822D7" w:rsidRPr="00005453">
        <w:rPr>
          <w:rFonts w:eastAsia="Arial Unicode MS"/>
          <w:color w:val="000000"/>
          <w:spacing w:val="-6"/>
          <w:lang w:eastAsia="en-US"/>
        </w:rPr>
        <w:t xml:space="preserve"> TL</w:t>
      </w:r>
      <w:bookmarkEnd w:id="73"/>
      <w:r w:rsidR="005822D7" w:rsidRPr="00005453">
        <w:rPr>
          <w:rFonts w:eastAsia="Arial Unicode MS"/>
          <w:color w:val="000000"/>
          <w:spacing w:val="-6"/>
          <w:lang w:eastAsia="en-US"/>
        </w:rPr>
        <w:t xml:space="preserve"> (31 Aralık 202</w:t>
      </w:r>
      <w:r w:rsidR="00C21FA8" w:rsidRPr="00005453">
        <w:rPr>
          <w:rFonts w:eastAsia="Arial Unicode MS"/>
          <w:color w:val="000000"/>
          <w:spacing w:val="-6"/>
          <w:lang w:eastAsia="en-US"/>
        </w:rPr>
        <w:t>3</w:t>
      </w:r>
      <w:r w:rsidR="005822D7" w:rsidRPr="00005453">
        <w:rPr>
          <w:rFonts w:eastAsia="Arial Unicode MS"/>
          <w:color w:val="000000"/>
          <w:spacing w:val="-6"/>
          <w:lang w:eastAsia="en-US"/>
        </w:rPr>
        <w:t xml:space="preserve">: </w:t>
      </w:r>
      <w:r w:rsidR="00C21FA8" w:rsidRPr="00005453">
        <w:rPr>
          <w:rFonts w:eastAsia="Arial Unicode MS"/>
          <w:color w:val="000000"/>
          <w:spacing w:val="-6"/>
          <w:lang w:eastAsia="en-US"/>
        </w:rPr>
        <w:t>35</w:t>
      </w:r>
      <w:r w:rsidR="00E27D00" w:rsidRPr="00005453">
        <w:rPr>
          <w:rFonts w:eastAsia="Arial Unicode MS"/>
          <w:color w:val="000000"/>
          <w:spacing w:val="-6"/>
          <w:lang w:eastAsia="en-US"/>
        </w:rPr>
        <w:t>,</w:t>
      </w:r>
      <w:r w:rsidR="00C21FA8" w:rsidRPr="00005453">
        <w:rPr>
          <w:rFonts w:eastAsia="Arial Unicode MS"/>
          <w:color w:val="000000"/>
          <w:spacing w:val="-6"/>
          <w:lang w:eastAsia="en-US"/>
        </w:rPr>
        <w:t>980</w:t>
      </w:r>
      <w:r w:rsidR="00E27D00" w:rsidRPr="00005453">
        <w:rPr>
          <w:rFonts w:eastAsia="Arial Unicode MS"/>
          <w:color w:val="000000"/>
          <w:spacing w:val="-6"/>
          <w:lang w:eastAsia="en-US"/>
        </w:rPr>
        <w:t>,</w:t>
      </w:r>
      <w:r w:rsidR="00734687" w:rsidRPr="00005453">
        <w:rPr>
          <w:rFonts w:eastAsia="Arial Unicode MS"/>
          <w:color w:val="000000"/>
          <w:spacing w:val="-6"/>
          <w:lang w:eastAsia="en-US"/>
        </w:rPr>
        <w:t>3</w:t>
      </w:r>
      <w:r w:rsidR="00C21FA8" w:rsidRPr="00005453">
        <w:rPr>
          <w:rFonts w:eastAsia="Arial Unicode MS"/>
          <w:color w:val="000000"/>
          <w:spacing w:val="-6"/>
          <w:lang w:eastAsia="en-US"/>
        </w:rPr>
        <w:t>90</w:t>
      </w:r>
      <w:r w:rsidR="00E27D00" w:rsidRPr="00005453">
        <w:rPr>
          <w:rFonts w:eastAsia="Arial Unicode MS"/>
          <w:color w:val="000000"/>
          <w:spacing w:val="-6"/>
          <w:lang w:eastAsia="en-US"/>
        </w:rPr>
        <w:t xml:space="preserve"> </w:t>
      </w:r>
      <w:r w:rsidR="005822D7" w:rsidRPr="00005453">
        <w:rPr>
          <w:rFonts w:eastAsia="Arial Unicode MS"/>
          <w:color w:val="000000"/>
          <w:spacing w:val="-6"/>
          <w:lang w:eastAsia="en-US"/>
        </w:rPr>
        <w:t>TL) gerçeğe uygun değer farkı diğer kapsamlı gelire yansıtılan finansal varlık bulunmaktadır.</w:t>
      </w:r>
    </w:p>
    <w:p w14:paraId="2BE2A431" w14:textId="77777777" w:rsidR="00AA1DB2" w:rsidRPr="00005453" w:rsidRDefault="00AA1DB2" w:rsidP="00AA1DB2">
      <w:pPr>
        <w:tabs>
          <w:tab w:val="left" w:pos="540"/>
        </w:tabs>
        <w:autoSpaceDE w:val="0"/>
        <w:autoSpaceDN w:val="0"/>
        <w:adjustRightInd w:val="0"/>
        <w:rPr>
          <w:b/>
          <w:bCs/>
          <w:iCs/>
          <w:sz w:val="16"/>
          <w:szCs w:val="16"/>
        </w:rPr>
      </w:pPr>
      <w:r w:rsidRPr="00005453">
        <w:rPr>
          <w:rFonts w:eastAsia="Arial Unicode MS"/>
          <w:color w:val="000000"/>
          <w:spacing w:val="-6"/>
        </w:rPr>
        <w:t> </w:t>
      </w:r>
    </w:p>
    <w:p w14:paraId="3EB423C9" w14:textId="77777777" w:rsidR="00544649" w:rsidRPr="00005453" w:rsidRDefault="00544649" w:rsidP="00346550">
      <w:pPr>
        <w:pStyle w:val="BodyTextIndent"/>
        <w:tabs>
          <w:tab w:val="num" w:pos="1260"/>
        </w:tabs>
        <w:autoSpaceDE/>
        <w:autoSpaceDN/>
        <w:adjustRightInd/>
        <w:ind w:left="0" w:hanging="567"/>
        <w:rPr>
          <w:rFonts w:eastAsia="Arial Unicode MS"/>
          <w:color w:val="000000"/>
          <w:spacing w:val="-6"/>
          <w:lang w:eastAsia="en-US"/>
        </w:rPr>
      </w:pPr>
      <w:r w:rsidRPr="00005453">
        <w:rPr>
          <w:b/>
        </w:rPr>
        <w:t>1.4.2.</w:t>
      </w:r>
      <w:r w:rsidRPr="00005453">
        <w:rPr>
          <w:b/>
        </w:rPr>
        <w:tab/>
      </w:r>
      <w:r w:rsidRPr="00005453">
        <w:rPr>
          <w:b/>
          <w:bCs/>
          <w:iCs/>
        </w:rPr>
        <w:t>Repo işlemine konu edilen gerçeğe uygun değer farkı diğer kapsamlı gelire yansıtılan finansal varlıklara ilişkin bilgiler</w:t>
      </w:r>
    </w:p>
    <w:p w14:paraId="1FCDBBA0" w14:textId="77777777" w:rsidR="00544649" w:rsidRPr="00005453" w:rsidRDefault="00544649" w:rsidP="00544649">
      <w:pPr>
        <w:pStyle w:val="BodyTextIndent"/>
        <w:tabs>
          <w:tab w:val="num" w:pos="1260"/>
        </w:tabs>
        <w:autoSpaceDE/>
        <w:autoSpaceDN/>
        <w:adjustRightInd/>
        <w:ind w:left="0" w:hanging="567"/>
        <w:jc w:val="left"/>
        <w:rPr>
          <w:rFonts w:eastAsia="Arial Unicode MS"/>
          <w:color w:val="000000"/>
          <w:spacing w:val="-6"/>
          <w:sz w:val="12"/>
          <w:lang w:eastAsia="en-US"/>
        </w:rPr>
      </w:pPr>
      <w:r w:rsidRPr="00005453">
        <w:rPr>
          <w:rFonts w:eastAsia="Arial Unicode MS"/>
          <w:color w:val="000000"/>
          <w:spacing w:val="-6"/>
          <w:lang w:eastAsia="en-US"/>
        </w:rPr>
        <w:t xml:space="preserve">             </w:t>
      </w:r>
    </w:p>
    <w:p w14:paraId="32A3A84A" w14:textId="71AB5AF7" w:rsidR="00544649" w:rsidRPr="00005453" w:rsidRDefault="00544649" w:rsidP="00544649">
      <w:pPr>
        <w:pStyle w:val="BodyTextIndent"/>
        <w:tabs>
          <w:tab w:val="num" w:pos="1260"/>
        </w:tabs>
        <w:autoSpaceDE/>
        <w:autoSpaceDN/>
        <w:adjustRightInd/>
        <w:ind w:left="0" w:hanging="567"/>
        <w:rPr>
          <w:b/>
          <w:bCs/>
          <w:iCs/>
          <w:sz w:val="10"/>
          <w:szCs w:val="16"/>
        </w:rPr>
      </w:pPr>
      <w:r w:rsidRPr="00005453">
        <w:rPr>
          <w:rFonts w:eastAsia="Arial Unicode MS"/>
          <w:color w:val="000000"/>
          <w:spacing w:val="-6"/>
          <w:lang w:eastAsia="en-US"/>
        </w:rPr>
        <w:t xml:space="preserve">             Bilanço tarihi itibarıyla geri alım vaadi ile satım işlemlerine konu edilen </w:t>
      </w:r>
      <w:r w:rsidR="00E91415" w:rsidRPr="00005453">
        <w:rPr>
          <w:color w:val="000000"/>
        </w:rPr>
        <w:t>5</w:t>
      </w:r>
      <w:r w:rsidR="00194268" w:rsidRPr="00005453">
        <w:rPr>
          <w:color w:val="000000"/>
        </w:rPr>
        <w:t>,</w:t>
      </w:r>
      <w:r w:rsidR="00E91415" w:rsidRPr="00005453">
        <w:rPr>
          <w:color w:val="000000"/>
        </w:rPr>
        <w:t>781</w:t>
      </w:r>
      <w:r w:rsidR="00714298" w:rsidRPr="00005453">
        <w:rPr>
          <w:color w:val="000000"/>
        </w:rPr>
        <w:t>,1</w:t>
      </w:r>
      <w:r w:rsidR="00E91415" w:rsidRPr="00005453">
        <w:rPr>
          <w:color w:val="000000"/>
        </w:rPr>
        <w:t>19</w:t>
      </w:r>
      <w:r w:rsidR="0025262C" w:rsidRPr="00005453">
        <w:rPr>
          <w:color w:val="000000"/>
        </w:rPr>
        <w:t xml:space="preserve"> </w:t>
      </w:r>
      <w:r w:rsidRPr="00005453">
        <w:rPr>
          <w:rFonts w:eastAsia="Arial Unicode MS"/>
          <w:color w:val="000000"/>
          <w:spacing w:val="-6"/>
          <w:lang w:eastAsia="en-US"/>
        </w:rPr>
        <w:t>TL (31 Aralık 202</w:t>
      </w:r>
      <w:r w:rsidR="00DB302B" w:rsidRPr="00005453">
        <w:rPr>
          <w:rFonts w:eastAsia="Arial Unicode MS"/>
          <w:color w:val="000000"/>
          <w:spacing w:val="-6"/>
          <w:lang w:eastAsia="en-US"/>
        </w:rPr>
        <w:t>3</w:t>
      </w:r>
      <w:r w:rsidRPr="00005453">
        <w:rPr>
          <w:rFonts w:eastAsia="Arial Unicode MS"/>
          <w:color w:val="000000"/>
          <w:spacing w:val="-6"/>
          <w:lang w:eastAsia="en-US"/>
        </w:rPr>
        <w:t xml:space="preserve">: </w:t>
      </w:r>
      <w:r w:rsidR="00DB302B" w:rsidRPr="00005453">
        <w:rPr>
          <w:rFonts w:eastAsia="Arial Unicode MS"/>
          <w:color w:val="000000"/>
          <w:spacing w:val="-6"/>
          <w:lang w:eastAsia="en-US"/>
        </w:rPr>
        <w:t>4,</w:t>
      </w:r>
      <w:r w:rsidR="00DB302B" w:rsidRPr="00005453">
        <w:rPr>
          <w:color w:val="000000"/>
        </w:rPr>
        <w:t>087</w:t>
      </w:r>
      <w:r w:rsidR="00E27D00" w:rsidRPr="00005453">
        <w:rPr>
          <w:color w:val="000000"/>
        </w:rPr>
        <w:t>,</w:t>
      </w:r>
      <w:r w:rsidR="00DB302B" w:rsidRPr="00005453">
        <w:rPr>
          <w:color w:val="000000"/>
        </w:rPr>
        <w:t>162</w:t>
      </w:r>
      <w:r w:rsidR="00E27D00" w:rsidRPr="00005453">
        <w:rPr>
          <w:color w:val="000000"/>
        </w:rPr>
        <w:t xml:space="preserve"> </w:t>
      </w:r>
      <w:r w:rsidRPr="00005453">
        <w:rPr>
          <w:rFonts w:eastAsia="Arial Unicode MS"/>
          <w:color w:val="000000"/>
          <w:spacing w:val="-6"/>
          <w:lang w:eastAsia="en-US"/>
        </w:rPr>
        <w:t>TL) gerçeğe uygun değer farkı diğer kapsamlı gelire yansıtılan finansal varlık bulunmaktadır.</w:t>
      </w:r>
    </w:p>
    <w:p w14:paraId="7CA82C16" w14:textId="77777777" w:rsidR="00AA1DB2" w:rsidRPr="00005453" w:rsidRDefault="00AA1DB2" w:rsidP="00F27033">
      <w:pPr>
        <w:autoSpaceDE w:val="0"/>
        <w:autoSpaceDN w:val="0"/>
        <w:adjustRightInd w:val="0"/>
        <w:ind w:hanging="567"/>
        <w:jc w:val="both"/>
        <w:rPr>
          <w:b/>
        </w:rPr>
      </w:pPr>
    </w:p>
    <w:p w14:paraId="36250B0D" w14:textId="3B996E30" w:rsidR="00346550" w:rsidRPr="00005453" w:rsidRDefault="00346550">
      <w:pPr>
        <w:rPr>
          <w:b/>
        </w:rPr>
      </w:pPr>
      <w:r w:rsidRPr="00005453">
        <w:rPr>
          <w:b/>
        </w:rPr>
        <w:br w:type="page"/>
      </w:r>
    </w:p>
    <w:p w14:paraId="39B15F6A" w14:textId="0827C5D8" w:rsidR="00033391" w:rsidRPr="00005453" w:rsidRDefault="002F6A99" w:rsidP="00F27033">
      <w:pPr>
        <w:autoSpaceDE w:val="0"/>
        <w:autoSpaceDN w:val="0"/>
        <w:adjustRightInd w:val="0"/>
        <w:ind w:hanging="567"/>
        <w:jc w:val="both"/>
        <w:rPr>
          <w:b/>
        </w:rPr>
      </w:pPr>
      <w:r w:rsidRPr="00005453">
        <w:rPr>
          <w:b/>
        </w:rPr>
        <w:lastRenderedPageBreak/>
        <w:t>1</w:t>
      </w:r>
      <w:r w:rsidR="00E253C8" w:rsidRPr="00005453">
        <w:rPr>
          <w:b/>
        </w:rPr>
        <w:t>.</w:t>
      </w:r>
      <w:r w:rsidRPr="00005453">
        <w:rPr>
          <w:b/>
        </w:rPr>
        <w:t>5</w:t>
      </w:r>
      <w:r w:rsidR="00E253C8" w:rsidRPr="00005453">
        <w:rPr>
          <w:b/>
        </w:rPr>
        <w:tab/>
      </w:r>
      <w:r w:rsidR="00990912" w:rsidRPr="00005453">
        <w:rPr>
          <w:b/>
        </w:rPr>
        <w:t xml:space="preserve">İtfa edilmiş maliyeti ile ölçülen finansal varlıklara ilişkin </w:t>
      </w:r>
      <w:r w:rsidR="00E253C8" w:rsidRPr="00005453">
        <w:rPr>
          <w:b/>
        </w:rPr>
        <w:t>açıklamalar</w:t>
      </w:r>
    </w:p>
    <w:p w14:paraId="64A64471" w14:textId="77777777" w:rsidR="005667CD" w:rsidRPr="00005453" w:rsidRDefault="005667CD" w:rsidP="00134A72">
      <w:pPr>
        <w:tabs>
          <w:tab w:val="num" w:pos="540"/>
        </w:tabs>
        <w:autoSpaceDE w:val="0"/>
        <w:autoSpaceDN w:val="0"/>
        <w:adjustRightInd w:val="0"/>
        <w:ind w:left="180"/>
        <w:rPr>
          <w:sz w:val="12"/>
          <w:szCs w:val="12"/>
        </w:rPr>
      </w:pPr>
    </w:p>
    <w:p w14:paraId="599C8235" w14:textId="7CA7101E" w:rsidR="00176D5C" w:rsidRPr="00005453" w:rsidRDefault="00E253C8" w:rsidP="002F6A99">
      <w:pPr>
        <w:tabs>
          <w:tab w:val="num" w:pos="0"/>
        </w:tabs>
        <w:autoSpaceDE w:val="0"/>
        <w:autoSpaceDN w:val="0"/>
        <w:adjustRightInd w:val="0"/>
        <w:ind w:left="709" w:hanging="1276"/>
      </w:pPr>
      <w:r w:rsidRPr="00005453">
        <w:rPr>
          <w:b/>
        </w:rPr>
        <w:t>1.</w:t>
      </w:r>
      <w:r w:rsidR="002F6A99" w:rsidRPr="00005453">
        <w:rPr>
          <w:b/>
        </w:rPr>
        <w:t>5.1</w:t>
      </w:r>
      <w:r w:rsidRPr="00005453">
        <w:tab/>
        <w:t>Banka’nın ortaklarına ve mensuplarına verilen her çeşit kredi veya avansın bakiyesine ilişkin bilgiler</w:t>
      </w:r>
    </w:p>
    <w:p w14:paraId="53A6F222" w14:textId="49AAA693" w:rsidR="0025262C" w:rsidRPr="00005453" w:rsidRDefault="0025262C" w:rsidP="0025262C">
      <w:pPr>
        <w:autoSpaceDE w:val="0"/>
        <w:autoSpaceDN w:val="0"/>
        <w:adjustRightInd w:val="0"/>
        <w:spacing w:after="120"/>
        <w:jc w:val="both"/>
        <w:rPr>
          <w:lang w:eastAsia="en-GB"/>
        </w:rPr>
      </w:pPr>
    </w:p>
    <w:tbl>
      <w:tblPr>
        <w:tblW w:w="9214" w:type="dxa"/>
        <w:tblCellMar>
          <w:left w:w="70" w:type="dxa"/>
          <w:right w:w="70" w:type="dxa"/>
        </w:tblCellMar>
        <w:tblLook w:val="04A0" w:firstRow="1" w:lastRow="0" w:firstColumn="1" w:lastColumn="0" w:noHBand="0" w:noVBand="1"/>
      </w:tblPr>
      <w:tblGrid>
        <w:gridCol w:w="4119"/>
        <w:gridCol w:w="1299"/>
        <w:gridCol w:w="1299"/>
        <w:gridCol w:w="1299"/>
        <w:gridCol w:w="1198"/>
      </w:tblGrid>
      <w:tr w:rsidR="0025262C" w:rsidRPr="00005453" w14:paraId="173031DA" w14:textId="77777777" w:rsidTr="00614CD2">
        <w:trPr>
          <w:divId w:val="1689522570"/>
          <w:trHeight w:val="266"/>
        </w:trPr>
        <w:tc>
          <w:tcPr>
            <w:tcW w:w="4119" w:type="dxa"/>
            <w:tcBorders>
              <w:top w:val="double" w:sz="6" w:space="0" w:color="auto"/>
              <w:left w:val="nil"/>
              <w:bottom w:val="nil"/>
              <w:right w:val="nil"/>
            </w:tcBorders>
            <w:shd w:val="clear" w:color="auto" w:fill="auto"/>
            <w:vAlign w:val="center"/>
            <w:hideMark/>
          </w:tcPr>
          <w:p w14:paraId="57C248F7" w14:textId="22272AF0" w:rsidR="0025262C" w:rsidRPr="00005453" w:rsidRDefault="0025262C" w:rsidP="0025262C">
            <w:pPr>
              <w:jc w:val="right"/>
              <w:rPr>
                <w:sz w:val="18"/>
                <w:szCs w:val="18"/>
                <w:lang w:eastAsia="tr-TR"/>
              </w:rPr>
            </w:pPr>
            <w:r w:rsidRPr="00005453">
              <w:rPr>
                <w:sz w:val="18"/>
                <w:szCs w:val="18"/>
                <w:lang w:eastAsia="tr-TR"/>
              </w:rPr>
              <w:t> </w:t>
            </w:r>
          </w:p>
        </w:tc>
        <w:tc>
          <w:tcPr>
            <w:tcW w:w="2598" w:type="dxa"/>
            <w:gridSpan w:val="2"/>
            <w:tcBorders>
              <w:top w:val="double" w:sz="6" w:space="0" w:color="auto"/>
              <w:left w:val="nil"/>
              <w:bottom w:val="single" w:sz="8" w:space="0" w:color="auto"/>
              <w:right w:val="nil"/>
            </w:tcBorders>
            <w:shd w:val="clear" w:color="auto" w:fill="auto"/>
            <w:vAlign w:val="center"/>
            <w:hideMark/>
          </w:tcPr>
          <w:p w14:paraId="53760605" w14:textId="77777777" w:rsidR="0025262C" w:rsidRPr="00005453" w:rsidRDefault="0025262C" w:rsidP="00614CD2">
            <w:pPr>
              <w:jc w:val="right"/>
              <w:rPr>
                <w:b/>
                <w:bCs/>
                <w:sz w:val="18"/>
                <w:szCs w:val="18"/>
                <w:lang w:eastAsia="tr-TR"/>
              </w:rPr>
            </w:pPr>
            <w:r w:rsidRPr="00005453">
              <w:rPr>
                <w:b/>
                <w:bCs/>
                <w:sz w:val="18"/>
                <w:szCs w:val="18"/>
                <w:lang w:eastAsia="tr-TR"/>
              </w:rPr>
              <w:t>Cari Dönem</w:t>
            </w:r>
          </w:p>
        </w:tc>
        <w:tc>
          <w:tcPr>
            <w:tcW w:w="2497" w:type="dxa"/>
            <w:gridSpan w:val="2"/>
            <w:tcBorders>
              <w:top w:val="double" w:sz="6" w:space="0" w:color="auto"/>
              <w:left w:val="nil"/>
              <w:bottom w:val="single" w:sz="8" w:space="0" w:color="auto"/>
              <w:right w:val="nil"/>
            </w:tcBorders>
            <w:shd w:val="clear" w:color="auto" w:fill="auto"/>
            <w:vAlign w:val="center"/>
            <w:hideMark/>
          </w:tcPr>
          <w:p w14:paraId="71D1C2EF" w14:textId="77777777" w:rsidR="0025262C" w:rsidRPr="00005453" w:rsidRDefault="0025262C" w:rsidP="00614CD2">
            <w:pPr>
              <w:jc w:val="right"/>
              <w:rPr>
                <w:b/>
                <w:bCs/>
                <w:sz w:val="18"/>
                <w:szCs w:val="18"/>
                <w:lang w:eastAsia="tr-TR"/>
              </w:rPr>
            </w:pPr>
            <w:r w:rsidRPr="00005453">
              <w:rPr>
                <w:b/>
                <w:bCs/>
                <w:sz w:val="18"/>
                <w:szCs w:val="18"/>
                <w:lang w:eastAsia="tr-TR"/>
              </w:rPr>
              <w:t>Önceki Dönem</w:t>
            </w:r>
          </w:p>
        </w:tc>
      </w:tr>
      <w:tr w:rsidR="0025262C" w:rsidRPr="00005453" w14:paraId="784D1AEF" w14:textId="77777777" w:rsidTr="00346550">
        <w:trPr>
          <w:divId w:val="1689522570"/>
          <w:trHeight w:val="251"/>
        </w:trPr>
        <w:tc>
          <w:tcPr>
            <w:tcW w:w="4119" w:type="dxa"/>
            <w:tcBorders>
              <w:top w:val="nil"/>
              <w:left w:val="nil"/>
              <w:bottom w:val="single" w:sz="8" w:space="0" w:color="auto"/>
              <w:right w:val="nil"/>
            </w:tcBorders>
            <w:shd w:val="clear" w:color="auto" w:fill="auto"/>
            <w:vAlign w:val="center"/>
            <w:hideMark/>
          </w:tcPr>
          <w:p w14:paraId="2EF548BF" w14:textId="77777777" w:rsidR="0025262C" w:rsidRPr="00005453" w:rsidRDefault="0025262C" w:rsidP="0025262C">
            <w:pPr>
              <w:jc w:val="right"/>
              <w:rPr>
                <w:sz w:val="18"/>
                <w:szCs w:val="18"/>
                <w:lang w:eastAsia="tr-TR"/>
              </w:rPr>
            </w:pPr>
            <w:r w:rsidRPr="00005453">
              <w:rPr>
                <w:sz w:val="18"/>
                <w:szCs w:val="18"/>
                <w:lang w:eastAsia="tr-TR"/>
              </w:rPr>
              <w:t> </w:t>
            </w:r>
          </w:p>
        </w:tc>
        <w:tc>
          <w:tcPr>
            <w:tcW w:w="1299" w:type="dxa"/>
            <w:tcBorders>
              <w:top w:val="nil"/>
              <w:left w:val="nil"/>
              <w:bottom w:val="single" w:sz="8" w:space="0" w:color="auto"/>
              <w:right w:val="nil"/>
            </w:tcBorders>
            <w:shd w:val="clear" w:color="auto" w:fill="auto"/>
            <w:vAlign w:val="center"/>
            <w:hideMark/>
          </w:tcPr>
          <w:p w14:paraId="12F484FB" w14:textId="77777777" w:rsidR="0025262C" w:rsidRPr="00005453" w:rsidRDefault="0025262C" w:rsidP="0025262C">
            <w:pPr>
              <w:jc w:val="right"/>
              <w:rPr>
                <w:b/>
                <w:bCs/>
                <w:sz w:val="18"/>
                <w:szCs w:val="18"/>
                <w:lang w:eastAsia="tr-TR"/>
              </w:rPr>
            </w:pPr>
            <w:r w:rsidRPr="00005453">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499E507F" w14:textId="77777777" w:rsidR="0025262C" w:rsidRPr="00005453" w:rsidRDefault="0025262C" w:rsidP="0025262C">
            <w:pPr>
              <w:jc w:val="right"/>
              <w:rPr>
                <w:b/>
                <w:bCs/>
                <w:sz w:val="18"/>
                <w:szCs w:val="18"/>
                <w:lang w:eastAsia="tr-TR"/>
              </w:rPr>
            </w:pPr>
            <w:r w:rsidRPr="00005453">
              <w:rPr>
                <w:b/>
                <w:bCs/>
                <w:sz w:val="18"/>
                <w:szCs w:val="18"/>
                <w:lang w:eastAsia="tr-TR"/>
              </w:rPr>
              <w:t>Gayrinakdi</w:t>
            </w:r>
          </w:p>
        </w:tc>
        <w:tc>
          <w:tcPr>
            <w:tcW w:w="1299" w:type="dxa"/>
            <w:tcBorders>
              <w:top w:val="nil"/>
              <w:left w:val="nil"/>
              <w:bottom w:val="single" w:sz="8" w:space="0" w:color="auto"/>
              <w:right w:val="nil"/>
            </w:tcBorders>
            <w:shd w:val="clear" w:color="auto" w:fill="auto"/>
            <w:vAlign w:val="center"/>
            <w:hideMark/>
          </w:tcPr>
          <w:p w14:paraId="598304A2" w14:textId="77777777" w:rsidR="0025262C" w:rsidRPr="00005453" w:rsidRDefault="0025262C" w:rsidP="0025262C">
            <w:pPr>
              <w:jc w:val="right"/>
              <w:rPr>
                <w:b/>
                <w:bCs/>
                <w:sz w:val="18"/>
                <w:szCs w:val="18"/>
                <w:lang w:eastAsia="tr-TR"/>
              </w:rPr>
            </w:pPr>
            <w:r w:rsidRPr="00005453">
              <w:rPr>
                <w:b/>
                <w:bCs/>
                <w:sz w:val="18"/>
                <w:szCs w:val="18"/>
                <w:lang w:eastAsia="tr-TR"/>
              </w:rPr>
              <w:t>Nakdi</w:t>
            </w:r>
          </w:p>
        </w:tc>
        <w:tc>
          <w:tcPr>
            <w:tcW w:w="1198" w:type="dxa"/>
            <w:tcBorders>
              <w:top w:val="nil"/>
              <w:left w:val="nil"/>
              <w:bottom w:val="single" w:sz="8" w:space="0" w:color="auto"/>
              <w:right w:val="nil"/>
            </w:tcBorders>
            <w:shd w:val="clear" w:color="auto" w:fill="auto"/>
            <w:vAlign w:val="center"/>
            <w:hideMark/>
          </w:tcPr>
          <w:p w14:paraId="1255954B" w14:textId="77777777" w:rsidR="0025262C" w:rsidRPr="00005453" w:rsidRDefault="0025262C" w:rsidP="0025262C">
            <w:pPr>
              <w:jc w:val="right"/>
              <w:rPr>
                <w:b/>
                <w:bCs/>
                <w:sz w:val="18"/>
                <w:szCs w:val="18"/>
                <w:lang w:eastAsia="tr-TR"/>
              </w:rPr>
            </w:pPr>
            <w:r w:rsidRPr="00005453">
              <w:rPr>
                <w:b/>
                <w:bCs/>
                <w:sz w:val="18"/>
                <w:szCs w:val="18"/>
                <w:lang w:eastAsia="tr-TR"/>
              </w:rPr>
              <w:t>Gayrinakdi</w:t>
            </w:r>
          </w:p>
        </w:tc>
      </w:tr>
      <w:tr w:rsidR="00AE7655" w:rsidRPr="00005453" w14:paraId="57E8B5FA" w14:textId="77777777" w:rsidTr="00AE7655">
        <w:trPr>
          <w:divId w:val="1689522570"/>
          <w:trHeight w:val="236"/>
        </w:trPr>
        <w:tc>
          <w:tcPr>
            <w:tcW w:w="4119" w:type="dxa"/>
            <w:tcBorders>
              <w:top w:val="nil"/>
              <w:left w:val="nil"/>
              <w:bottom w:val="nil"/>
              <w:right w:val="nil"/>
            </w:tcBorders>
            <w:shd w:val="clear" w:color="auto" w:fill="auto"/>
            <w:vAlign w:val="center"/>
            <w:hideMark/>
          </w:tcPr>
          <w:p w14:paraId="410F47F9" w14:textId="77777777" w:rsidR="00AE7655" w:rsidRPr="00005453" w:rsidRDefault="00AE7655" w:rsidP="00AE7655">
            <w:pPr>
              <w:jc w:val="both"/>
              <w:rPr>
                <w:b/>
                <w:bCs/>
                <w:sz w:val="18"/>
                <w:szCs w:val="18"/>
                <w:lang w:eastAsia="tr-TR"/>
              </w:rPr>
            </w:pPr>
            <w:r w:rsidRPr="00005453">
              <w:rPr>
                <w:b/>
                <w:bCs/>
                <w:sz w:val="18"/>
                <w:szCs w:val="18"/>
                <w:lang w:eastAsia="tr-TR"/>
              </w:rPr>
              <w:t>Banka Ortaklarına Verilen Doğrudan Krediler</w:t>
            </w:r>
          </w:p>
        </w:tc>
        <w:tc>
          <w:tcPr>
            <w:tcW w:w="1299" w:type="dxa"/>
            <w:tcBorders>
              <w:top w:val="nil"/>
              <w:left w:val="nil"/>
              <w:bottom w:val="nil"/>
              <w:right w:val="nil"/>
            </w:tcBorders>
            <w:shd w:val="clear" w:color="auto" w:fill="auto"/>
            <w:vAlign w:val="center"/>
            <w:hideMark/>
          </w:tcPr>
          <w:p w14:paraId="0248ECC2" w14:textId="7A31F25A" w:rsidR="00AE7655" w:rsidRPr="00005453" w:rsidRDefault="00AE7655" w:rsidP="00AE7655">
            <w:pPr>
              <w:jc w:val="right"/>
              <w:rPr>
                <w:b/>
                <w:bCs/>
                <w:sz w:val="18"/>
                <w:szCs w:val="18"/>
                <w:lang w:eastAsia="tr-TR"/>
              </w:rPr>
            </w:pPr>
            <w:r w:rsidRPr="00005453">
              <w:rPr>
                <w:b/>
                <w:bCs/>
                <w:sz w:val="18"/>
                <w:szCs w:val="18"/>
              </w:rPr>
              <w:t>31,373</w:t>
            </w:r>
          </w:p>
        </w:tc>
        <w:tc>
          <w:tcPr>
            <w:tcW w:w="1299" w:type="dxa"/>
            <w:tcBorders>
              <w:top w:val="nil"/>
              <w:left w:val="nil"/>
              <w:bottom w:val="nil"/>
              <w:right w:val="nil"/>
            </w:tcBorders>
            <w:shd w:val="clear" w:color="auto" w:fill="auto"/>
            <w:vAlign w:val="center"/>
            <w:hideMark/>
          </w:tcPr>
          <w:p w14:paraId="42AF8506" w14:textId="40879DC5" w:rsidR="00AE7655" w:rsidRPr="00005453" w:rsidRDefault="00AE7655" w:rsidP="00AE7655">
            <w:pPr>
              <w:jc w:val="right"/>
              <w:rPr>
                <w:b/>
                <w:bCs/>
                <w:sz w:val="18"/>
                <w:szCs w:val="18"/>
                <w:lang w:eastAsia="tr-TR"/>
              </w:rPr>
            </w:pPr>
            <w:r w:rsidRPr="00005453">
              <w:rPr>
                <w:b/>
                <w:bCs/>
                <w:sz w:val="18"/>
                <w:szCs w:val="18"/>
              </w:rPr>
              <w:t>104,629</w:t>
            </w:r>
          </w:p>
        </w:tc>
        <w:tc>
          <w:tcPr>
            <w:tcW w:w="1299" w:type="dxa"/>
            <w:tcBorders>
              <w:top w:val="nil"/>
              <w:left w:val="nil"/>
              <w:bottom w:val="nil"/>
              <w:right w:val="nil"/>
            </w:tcBorders>
            <w:shd w:val="clear" w:color="auto" w:fill="auto"/>
            <w:vAlign w:val="center"/>
            <w:hideMark/>
          </w:tcPr>
          <w:p w14:paraId="628F1A03" w14:textId="09FA66AD" w:rsidR="00AE7655" w:rsidRPr="00005453" w:rsidRDefault="00AE7655" w:rsidP="00AE7655">
            <w:pPr>
              <w:jc w:val="right"/>
              <w:rPr>
                <w:b/>
                <w:bCs/>
                <w:sz w:val="18"/>
                <w:szCs w:val="18"/>
                <w:lang w:eastAsia="tr-TR"/>
              </w:rPr>
            </w:pPr>
            <w:r w:rsidRPr="00005453">
              <w:rPr>
                <w:b/>
                <w:bCs/>
                <w:sz w:val="18"/>
                <w:szCs w:val="18"/>
                <w:lang w:eastAsia="tr-TR"/>
              </w:rPr>
              <w:t>29,238</w:t>
            </w:r>
          </w:p>
        </w:tc>
        <w:tc>
          <w:tcPr>
            <w:tcW w:w="1198" w:type="dxa"/>
            <w:tcBorders>
              <w:top w:val="nil"/>
              <w:left w:val="nil"/>
              <w:bottom w:val="nil"/>
              <w:right w:val="nil"/>
            </w:tcBorders>
            <w:shd w:val="clear" w:color="auto" w:fill="auto"/>
            <w:vAlign w:val="center"/>
            <w:hideMark/>
          </w:tcPr>
          <w:p w14:paraId="26E5C5F9" w14:textId="00EBF647" w:rsidR="00AE7655" w:rsidRPr="00005453" w:rsidRDefault="00AE7655" w:rsidP="00AE7655">
            <w:pPr>
              <w:jc w:val="right"/>
              <w:rPr>
                <w:b/>
                <w:bCs/>
                <w:sz w:val="18"/>
                <w:szCs w:val="18"/>
                <w:lang w:eastAsia="tr-TR"/>
              </w:rPr>
            </w:pPr>
            <w:r w:rsidRPr="00005453">
              <w:rPr>
                <w:b/>
                <w:bCs/>
                <w:sz w:val="18"/>
                <w:szCs w:val="18"/>
                <w:lang w:eastAsia="tr-TR"/>
              </w:rPr>
              <w:t>82,280</w:t>
            </w:r>
          </w:p>
        </w:tc>
      </w:tr>
      <w:tr w:rsidR="00AE7655" w:rsidRPr="00005453" w14:paraId="1575C7B4" w14:textId="77777777" w:rsidTr="00AE7655">
        <w:trPr>
          <w:divId w:val="1689522570"/>
          <w:trHeight w:val="236"/>
        </w:trPr>
        <w:tc>
          <w:tcPr>
            <w:tcW w:w="4119" w:type="dxa"/>
            <w:tcBorders>
              <w:top w:val="nil"/>
              <w:left w:val="nil"/>
              <w:bottom w:val="nil"/>
              <w:right w:val="nil"/>
            </w:tcBorders>
            <w:shd w:val="clear" w:color="auto" w:fill="auto"/>
            <w:vAlign w:val="center"/>
            <w:hideMark/>
          </w:tcPr>
          <w:p w14:paraId="159A0D77" w14:textId="77777777" w:rsidR="00AE7655" w:rsidRPr="00005453" w:rsidRDefault="00AE7655" w:rsidP="00AE7655">
            <w:pPr>
              <w:jc w:val="both"/>
              <w:rPr>
                <w:sz w:val="18"/>
                <w:szCs w:val="18"/>
                <w:lang w:eastAsia="tr-TR"/>
              </w:rPr>
            </w:pPr>
            <w:r w:rsidRPr="00005453">
              <w:rPr>
                <w:sz w:val="18"/>
                <w:szCs w:val="18"/>
                <w:lang w:eastAsia="tr-TR"/>
              </w:rPr>
              <w:t>Tüzel Kişi Ortaklara Verilen Krediler</w:t>
            </w:r>
          </w:p>
        </w:tc>
        <w:tc>
          <w:tcPr>
            <w:tcW w:w="1299" w:type="dxa"/>
            <w:tcBorders>
              <w:top w:val="nil"/>
              <w:left w:val="nil"/>
              <w:bottom w:val="nil"/>
              <w:right w:val="nil"/>
            </w:tcBorders>
            <w:shd w:val="clear" w:color="auto" w:fill="auto"/>
            <w:vAlign w:val="center"/>
            <w:hideMark/>
          </w:tcPr>
          <w:p w14:paraId="5203594F" w14:textId="2D5AADD9" w:rsidR="00AE7655" w:rsidRPr="00005453" w:rsidRDefault="00AE7655" w:rsidP="00AE7655">
            <w:pPr>
              <w:jc w:val="right"/>
              <w:rPr>
                <w:bCs/>
                <w:sz w:val="18"/>
                <w:szCs w:val="18"/>
                <w:lang w:eastAsia="tr-TR"/>
              </w:rPr>
            </w:pPr>
            <w:r w:rsidRPr="00005453">
              <w:rPr>
                <w:sz w:val="18"/>
                <w:szCs w:val="18"/>
              </w:rPr>
              <w:t>2,080</w:t>
            </w:r>
          </w:p>
        </w:tc>
        <w:tc>
          <w:tcPr>
            <w:tcW w:w="1299" w:type="dxa"/>
            <w:tcBorders>
              <w:top w:val="nil"/>
              <w:left w:val="nil"/>
              <w:bottom w:val="nil"/>
              <w:right w:val="nil"/>
            </w:tcBorders>
            <w:shd w:val="clear" w:color="auto" w:fill="auto"/>
            <w:vAlign w:val="center"/>
            <w:hideMark/>
          </w:tcPr>
          <w:p w14:paraId="658605B0" w14:textId="5316E5FB" w:rsidR="00AE7655" w:rsidRPr="00005453" w:rsidRDefault="00AE7655" w:rsidP="00AE7655">
            <w:pPr>
              <w:jc w:val="right"/>
              <w:rPr>
                <w:bCs/>
                <w:sz w:val="18"/>
                <w:szCs w:val="18"/>
                <w:lang w:eastAsia="tr-TR"/>
              </w:rPr>
            </w:pPr>
            <w:r w:rsidRPr="00005453">
              <w:rPr>
                <w:sz w:val="18"/>
                <w:szCs w:val="18"/>
              </w:rPr>
              <w:t>104,169</w:t>
            </w:r>
          </w:p>
        </w:tc>
        <w:tc>
          <w:tcPr>
            <w:tcW w:w="1299" w:type="dxa"/>
            <w:tcBorders>
              <w:top w:val="nil"/>
              <w:left w:val="nil"/>
              <w:bottom w:val="nil"/>
              <w:right w:val="nil"/>
            </w:tcBorders>
            <w:shd w:val="clear" w:color="auto" w:fill="auto"/>
            <w:vAlign w:val="center"/>
            <w:hideMark/>
          </w:tcPr>
          <w:p w14:paraId="6195108B" w14:textId="5FA33DA7" w:rsidR="00AE7655" w:rsidRPr="00005453" w:rsidRDefault="00AE7655" w:rsidP="00AE7655">
            <w:pPr>
              <w:jc w:val="right"/>
              <w:rPr>
                <w:sz w:val="18"/>
                <w:szCs w:val="18"/>
                <w:lang w:eastAsia="tr-TR"/>
              </w:rPr>
            </w:pPr>
            <w:r w:rsidRPr="00005453">
              <w:rPr>
                <w:bCs/>
                <w:sz w:val="18"/>
                <w:szCs w:val="18"/>
                <w:lang w:eastAsia="tr-TR"/>
              </w:rPr>
              <w:t>2,156</w:t>
            </w:r>
          </w:p>
        </w:tc>
        <w:tc>
          <w:tcPr>
            <w:tcW w:w="1198" w:type="dxa"/>
            <w:tcBorders>
              <w:top w:val="nil"/>
              <w:left w:val="nil"/>
              <w:bottom w:val="nil"/>
              <w:right w:val="nil"/>
            </w:tcBorders>
            <w:shd w:val="clear" w:color="auto" w:fill="auto"/>
            <w:vAlign w:val="center"/>
            <w:hideMark/>
          </w:tcPr>
          <w:p w14:paraId="2EA89C02" w14:textId="3A1F1ACE" w:rsidR="00AE7655" w:rsidRPr="00005453" w:rsidRDefault="00AE7655" w:rsidP="00AE7655">
            <w:pPr>
              <w:jc w:val="right"/>
              <w:rPr>
                <w:sz w:val="18"/>
                <w:szCs w:val="18"/>
                <w:lang w:eastAsia="tr-TR"/>
              </w:rPr>
            </w:pPr>
            <w:r w:rsidRPr="00005453">
              <w:rPr>
                <w:bCs/>
                <w:sz w:val="18"/>
                <w:szCs w:val="18"/>
                <w:lang w:eastAsia="tr-TR"/>
              </w:rPr>
              <w:t>82,059</w:t>
            </w:r>
          </w:p>
        </w:tc>
      </w:tr>
      <w:tr w:rsidR="00AE7655" w:rsidRPr="00005453" w14:paraId="39FE9216" w14:textId="77777777" w:rsidTr="00AE7655">
        <w:trPr>
          <w:divId w:val="1689522570"/>
          <w:trHeight w:val="236"/>
        </w:trPr>
        <w:tc>
          <w:tcPr>
            <w:tcW w:w="4119" w:type="dxa"/>
            <w:tcBorders>
              <w:top w:val="nil"/>
              <w:left w:val="nil"/>
              <w:bottom w:val="nil"/>
              <w:right w:val="nil"/>
            </w:tcBorders>
            <w:shd w:val="clear" w:color="auto" w:fill="auto"/>
            <w:vAlign w:val="center"/>
            <w:hideMark/>
          </w:tcPr>
          <w:p w14:paraId="627B0919" w14:textId="77777777" w:rsidR="00AE7655" w:rsidRPr="00005453" w:rsidRDefault="00AE7655" w:rsidP="00AE7655">
            <w:pPr>
              <w:jc w:val="both"/>
              <w:rPr>
                <w:sz w:val="18"/>
                <w:szCs w:val="18"/>
                <w:lang w:eastAsia="tr-TR"/>
              </w:rPr>
            </w:pPr>
            <w:r w:rsidRPr="00005453">
              <w:rPr>
                <w:sz w:val="18"/>
                <w:szCs w:val="18"/>
                <w:lang w:eastAsia="tr-TR"/>
              </w:rPr>
              <w:t>Gerçek Kişi Ortaklara Verilen Krediler</w:t>
            </w:r>
          </w:p>
        </w:tc>
        <w:tc>
          <w:tcPr>
            <w:tcW w:w="1299" w:type="dxa"/>
            <w:tcBorders>
              <w:top w:val="nil"/>
              <w:left w:val="nil"/>
              <w:bottom w:val="nil"/>
              <w:right w:val="nil"/>
            </w:tcBorders>
            <w:shd w:val="clear" w:color="auto" w:fill="auto"/>
            <w:vAlign w:val="center"/>
            <w:hideMark/>
          </w:tcPr>
          <w:p w14:paraId="2518F394" w14:textId="7A459245" w:rsidR="00AE7655" w:rsidRPr="00005453" w:rsidRDefault="00AE7655" w:rsidP="00AE7655">
            <w:pPr>
              <w:jc w:val="right"/>
              <w:rPr>
                <w:bCs/>
                <w:sz w:val="18"/>
                <w:szCs w:val="18"/>
                <w:lang w:eastAsia="tr-TR"/>
              </w:rPr>
            </w:pPr>
            <w:r w:rsidRPr="00005453">
              <w:rPr>
                <w:sz w:val="18"/>
                <w:szCs w:val="18"/>
              </w:rPr>
              <w:t>29,293</w:t>
            </w:r>
          </w:p>
        </w:tc>
        <w:tc>
          <w:tcPr>
            <w:tcW w:w="1299" w:type="dxa"/>
            <w:tcBorders>
              <w:top w:val="nil"/>
              <w:left w:val="nil"/>
              <w:bottom w:val="nil"/>
              <w:right w:val="nil"/>
            </w:tcBorders>
            <w:shd w:val="clear" w:color="auto" w:fill="auto"/>
            <w:vAlign w:val="center"/>
            <w:hideMark/>
          </w:tcPr>
          <w:p w14:paraId="49453308" w14:textId="33391929" w:rsidR="00AE7655" w:rsidRPr="00005453" w:rsidRDefault="00AE7655" w:rsidP="00AE7655">
            <w:pPr>
              <w:jc w:val="right"/>
              <w:rPr>
                <w:bCs/>
                <w:sz w:val="18"/>
                <w:szCs w:val="18"/>
                <w:lang w:eastAsia="tr-TR"/>
              </w:rPr>
            </w:pPr>
            <w:r w:rsidRPr="00005453">
              <w:rPr>
                <w:sz w:val="18"/>
                <w:szCs w:val="18"/>
              </w:rPr>
              <w:t>460</w:t>
            </w:r>
          </w:p>
        </w:tc>
        <w:tc>
          <w:tcPr>
            <w:tcW w:w="1299" w:type="dxa"/>
            <w:tcBorders>
              <w:top w:val="nil"/>
              <w:left w:val="nil"/>
              <w:bottom w:val="nil"/>
              <w:right w:val="nil"/>
            </w:tcBorders>
            <w:shd w:val="clear" w:color="auto" w:fill="auto"/>
            <w:vAlign w:val="center"/>
            <w:hideMark/>
          </w:tcPr>
          <w:p w14:paraId="7EC39192" w14:textId="77437184" w:rsidR="00AE7655" w:rsidRPr="00005453" w:rsidRDefault="00AE7655" w:rsidP="00AE7655">
            <w:pPr>
              <w:jc w:val="right"/>
              <w:rPr>
                <w:sz w:val="18"/>
                <w:szCs w:val="18"/>
                <w:lang w:eastAsia="tr-TR"/>
              </w:rPr>
            </w:pPr>
            <w:r w:rsidRPr="00005453">
              <w:rPr>
                <w:bCs/>
                <w:sz w:val="18"/>
                <w:szCs w:val="18"/>
                <w:lang w:eastAsia="tr-TR"/>
              </w:rPr>
              <w:t>27,082</w:t>
            </w:r>
          </w:p>
        </w:tc>
        <w:tc>
          <w:tcPr>
            <w:tcW w:w="1198" w:type="dxa"/>
            <w:tcBorders>
              <w:top w:val="nil"/>
              <w:left w:val="nil"/>
              <w:bottom w:val="nil"/>
              <w:right w:val="nil"/>
            </w:tcBorders>
            <w:shd w:val="clear" w:color="auto" w:fill="auto"/>
            <w:vAlign w:val="center"/>
            <w:hideMark/>
          </w:tcPr>
          <w:p w14:paraId="2FB47BCF" w14:textId="0E549094" w:rsidR="00AE7655" w:rsidRPr="00005453" w:rsidRDefault="00AE7655" w:rsidP="00AE7655">
            <w:pPr>
              <w:jc w:val="right"/>
              <w:rPr>
                <w:sz w:val="18"/>
                <w:szCs w:val="18"/>
                <w:lang w:eastAsia="tr-TR"/>
              </w:rPr>
            </w:pPr>
            <w:r w:rsidRPr="00005453">
              <w:rPr>
                <w:bCs/>
                <w:sz w:val="18"/>
                <w:szCs w:val="18"/>
                <w:lang w:eastAsia="tr-TR"/>
              </w:rPr>
              <w:t>221</w:t>
            </w:r>
          </w:p>
        </w:tc>
      </w:tr>
      <w:tr w:rsidR="00AE7655" w:rsidRPr="00005453" w14:paraId="65F5DFC4" w14:textId="77777777" w:rsidTr="00AE7655">
        <w:trPr>
          <w:divId w:val="1689522570"/>
          <w:trHeight w:val="236"/>
        </w:trPr>
        <w:tc>
          <w:tcPr>
            <w:tcW w:w="4119" w:type="dxa"/>
            <w:tcBorders>
              <w:top w:val="nil"/>
              <w:left w:val="nil"/>
              <w:bottom w:val="nil"/>
              <w:right w:val="nil"/>
            </w:tcBorders>
            <w:shd w:val="clear" w:color="auto" w:fill="auto"/>
            <w:vAlign w:val="center"/>
            <w:hideMark/>
          </w:tcPr>
          <w:p w14:paraId="76372051" w14:textId="77777777" w:rsidR="00AE7655" w:rsidRPr="00005453" w:rsidRDefault="00AE7655" w:rsidP="00AE7655">
            <w:pPr>
              <w:jc w:val="both"/>
              <w:rPr>
                <w:b/>
                <w:bCs/>
                <w:sz w:val="18"/>
                <w:szCs w:val="18"/>
                <w:lang w:eastAsia="tr-TR"/>
              </w:rPr>
            </w:pPr>
            <w:r w:rsidRPr="00005453">
              <w:rPr>
                <w:b/>
                <w:bCs/>
                <w:sz w:val="18"/>
                <w:szCs w:val="18"/>
                <w:lang w:eastAsia="tr-TR"/>
              </w:rPr>
              <w:t>Banka Ortaklarına Verilen Dolaylı Krediler</w:t>
            </w:r>
          </w:p>
        </w:tc>
        <w:tc>
          <w:tcPr>
            <w:tcW w:w="1299" w:type="dxa"/>
            <w:tcBorders>
              <w:top w:val="nil"/>
              <w:left w:val="nil"/>
              <w:bottom w:val="nil"/>
              <w:right w:val="nil"/>
            </w:tcBorders>
            <w:shd w:val="clear" w:color="auto" w:fill="auto"/>
            <w:vAlign w:val="center"/>
            <w:hideMark/>
          </w:tcPr>
          <w:p w14:paraId="3BDFCAD2" w14:textId="455B2F84" w:rsidR="00AE7655" w:rsidRPr="00C41A00" w:rsidRDefault="00AE7655" w:rsidP="00AE7655">
            <w:pPr>
              <w:jc w:val="right"/>
              <w:rPr>
                <w:b/>
                <w:bCs/>
                <w:sz w:val="18"/>
                <w:szCs w:val="18"/>
                <w:lang w:eastAsia="tr-TR"/>
              </w:rPr>
            </w:pPr>
            <w:r w:rsidRPr="00C41A00">
              <w:rPr>
                <w:b/>
                <w:sz w:val="18"/>
                <w:szCs w:val="18"/>
              </w:rPr>
              <w:t>1,117</w:t>
            </w:r>
          </w:p>
        </w:tc>
        <w:tc>
          <w:tcPr>
            <w:tcW w:w="1299" w:type="dxa"/>
            <w:tcBorders>
              <w:top w:val="nil"/>
              <w:left w:val="nil"/>
              <w:bottom w:val="nil"/>
              <w:right w:val="nil"/>
            </w:tcBorders>
            <w:shd w:val="clear" w:color="auto" w:fill="auto"/>
            <w:vAlign w:val="center"/>
            <w:hideMark/>
          </w:tcPr>
          <w:p w14:paraId="1374BCD3" w14:textId="271C6B90" w:rsidR="00AE7655" w:rsidRPr="00C41A00" w:rsidRDefault="00AE7655" w:rsidP="00AE7655">
            <w:pPr>
              <w:jc w:val="right"/>
              <w:rPr>
                <w:b/>
                <w:bCs/>
                <w:sz w:val="18"/>
                <w:szCs w:val="18"/>
                <w:lang w:eastAsia="tr-TR"/>
              </w:rPr>
            </w:pPr>
            <w:r w:rsidRPr="00C41A00">
              <w:rPr>
                <w:b/>
                <w:sz w:val="18"/>
                <w:szCs w:val="18"/>
              </w:rPr>
              <w:t>3,505</w:t>
            </w:r>
          </w:p>
        </w:tc>
        <w:tc>
          <w:tcPr>
            <w:tcW w:w="1299" w:type="dxa"/>
            <w:tcBorders>
              <w:top w:val="nil"/>
              <w:left w:val="nil"/>
              <w:bottom w:val="nil"/>
              <w:right w:val="nil"/>
            </w:tcBorders>
            <w:shd w:val="clear" w:color="auto" w:fill="auto"/>
            <w:vAlign w:val="center"/>
            <w:hideMark/>
          </w:tcPr>
          <w:p w14:paraId="007C98AA" w14:textId="43D41E13" w:rsidR="00AE7655" w:rsidRPr="00005453" w:rsidRDefault="00AE7655" w:rsidP="00AE7655">
            <w:pPr>
              <w:jc w:val="right"/>
              <w:rPr>
                <w:b/>
                <w:bCs/>
                <w:sz w:val="18"/>
                <w:szCs w:val="18"/>
                <w:lang w:eastAsia="tr-TR"/>
              </w:rPr>
            </w:pPr>
            <w:r w:rsidRPr="00005453">
              <w:rPr>
                <w:b/>
                <w:bCs/>
                <w:sz w:val="18"/>
                <w:szCs w:val="18"/>
                <w:lang w:eastAsia="tr-TR"/>
              </w:rPr>
              <w:t>2,974,543</w:t>
            </w:r>
          </w:p>
        </w:tc>
        <w:tc>
          <w:tcPr>
            <w:tcW w:w="1198" w:type="dxa"/>
            <w:tcBorders>
              <w:top w:val="nil"/>
              <w:left w:val="nil"/>
              <w:bottom w:val="nil"/>
              <w:right w:val="nil"/>
            </w:tcBorders>
            <w:shd w:val="clear" w:color="auto" w:fill="auto"/>
            <w:vAlign w:val="center"/>
            <w:hideMark/>
          </w:tcPr>
          <w:p w14:paraId="46F9531A" w14:textId="008A9341" w:rsidR="00AE7655" w:rsidRPr="00005453" w:rsidRDefault="00AE7655" w:rsidP="00AE7655">
            <w:pPr>
              <w:jc w:val="right"/>
              <w:rPr>
                <w:b/>
                <w:bCs/>
                <w:sz w:val="18"/>
                <w:szCs w:val="18"/>
                <w:lang w:eastAsia="tr-TR"/>
              </w:rPr>
            </w:pPr>
            <w:r w:rsidRPr="00005453">
              <w:rPr>
                <w:b/>
                <w:bCs/>
                <w:sz w:val="18"/>
                <w:szCs w:val="18"/>
                <w:lang w:eastAsia="tr-TR"/>
              </w:rPr>
              <w:t>20,322</w:t>
            </w:r>
          </w:p>
        </w:tc>
      </w:tr>
      <w:tr w:rsidR="00AE7655" w:rsidRPr="00005453" w14:paraId="2CF2647F" w14:textId="77777777" w:rsidTr="00AE7655">
        <w:trPr>
          <w:divId w:val="1689522570"/>
          <w:trHeight w:val="251"/>
        </w:trPr>
        <w:tc>
          <w:tcPr>
            <w:tcW w:w="4119" w:type="dxa"/>
            <w:tcBorders>
              <w:top w:val="nil"/>
              <w:left w:val="nil"/>
              <w:bottom w:val="single" w:sz="8" w:space="0" w:color="auto"/>
              <w:right w:val="nil"/>
            </w:tcBorders>
            <w:shd w:val="clear" w:color="auto" w:fill="auto"/>
            <w:vAlign w:val="center"/>
            <w:hideMark/>
          </w:tcPr>
          <w:p w14:paraId="249646E9" w14:textId="77777777" w:rsidR="00AE7655" w:rsidRPr="00005453" w:rsidRDefault="00AE7655" w:rsidP="00AE7655">
            <w:pPr>
              <w:jc w:val="both"/>
              <w:rPr>
                <w:b/>
                <w:bCs/>
                <w:sz w:val="18"/>
                <w:szCs w:val="18"/>
                <w:lang w:eastAsia="tr-TR"/>
              </w:rPr>
            </w:pPr>
            <w:r w:rsidRPr="00005453">
              <w:rPr>
                <w:b/>
                <w:bCs/>
                <w:sz w:val="18"/>
                <w:szCs w:val="18"/>
                <w:lang w:eastAsia="tr-TR"/>
              </w:rPr>
              <w:t>Banka Mensuplarına Verilen Krediler</w:t>
            </w:r>
          </w:p>
        </w:tc>
        <w:tc>
          <w:tcPr>
            <w:tcW w:w="1299" w:type="dxa"/>
            <w:tcBorders>
              <w:top w:val="nil"/>
              <w:left w:val="nil"/>
              <w:bottom w:val="single" w:sz="8" w:space="0" w:color="auto"/>
              <w:right w:val="nil"/>
            </w:tcBorders>
            <w:shd w:val="clear" w:color="auto" w:fill="auto"/>
            <w:vAlign w:val="center"/>
            <w:hideMark/>
          </w:tcPr>
          <w:p w14:paraId="342B10EB" w14:textId="17434DD6" w:rsidR="00AE7655" w:rsidRPr="00C41A00" w:rsidRDefault="00AE7655" w:rsidP="00AE7655">
            <w:pPr>
              <w:jc w:val="right"/>
              <w:rPr>
                <w:b/>
                <w:bCs/>
                <w:sz w:val="18"/>
                <w:szCs w:val="18"/>
                <w:lang w:eastAsia="tr-TR"/>
              </w:rPr>
            </w:pPr>
            <w:r w:rsidRPr="00C41A00">
              <w:rPr>
                <w:b/>
                <w:sz w:val="18"/>
                <w:szCs w:val="18"/>
              </w:rPr>
              <w:t>331,765</w:t>
            </w:r>
          </w:p>
        </w:tc>
        <w:tc>
          <w:tcPr>
            <w:tcW w:w="1299" w:type="dxa"/>
            <w:tcBorders>
              <w:top w:val="nil"/>
              <w:left w:val="nil"/>
              <w:bottom w:val="single" w:sz="8" w:space="0" w:color="auto"/>
              <w:right w:val="nil"/>
            </w:tcBorders>
            <w:shd w:val="clear" w:color="auto" w:fill="auto"/>
            <w:vAlign w:val="center"/>
            <w:hideMark/>
          </w:tcPr>
          <w:p w14:paraId="7334CAA7" w14:textId="06F69421" w:rsidR="00AE7655" w:rsidRPr="00C41A00" w:rsidRDefault="00AE7655" w:rsidP="00AE7655">
            <w:pPr>
              <w:jc w:val="right"/>
              <w:rPr>
                <w:b/>
                <w:bCs/>
                <w:sz w:val="18"/>
                <w:szCs w:val="18"/>
                <w:lang w:eastAsia="tr-TR"/>
              </w:rPr>
            </w:pPr>
            <w:r w:rsidRPr="00C41A00">
              <w:rPr>
                <w:b/>
                <w:sz w:val="18"/>
                <w:szCs w:val="18"/>
              </w:rPr>
              <w:t>5,782</w:t>
            </w:r>
          </w:p>
        </w:tc>
        <w:tc>
          <w:tcPr>
            <w:tcW w:w="1299" w:type="dxa"/>
            <w:tcBorders>
              <w:top w:val="nil"/>
              <w:left w:val="nil"/>
              <w:bottom w:val="single" w:sz="8" w:space="0" w:color="auto"/>
              <w:right w:val="nil"/>
            </w:tcBorders>
            <w:shd w:val="clear" w:color="auto" w:fill="auto"/>
            <w:vAlign w:val="center"/>
            <w:hideMark/>
          </w:tcPr>
          <w:p w14:paraId="4B4F6D37" w14:textId="2DD08D5C" w:rsidR="00AE7655" w:rsidRPr="00005453" w:rsidRDefault="00AE7655" w:rsidP="00AE7655">
            <w:pPr>
              <w:jc w:val="right"/>
              <w:rPr>
                <w:b/>
                <w:bCs/>
                <w:sz w:val="18"/>
                <w:szCs w:val="18"/>
                <w:lang w:eastAsia="tr-TR"/>
              </w:rPr>
            </w:pPr>
            <w:r w:rsidRPr="00005453">
              <w:rPr>
                <w:b/>
                <w:bCs/>
                <w:sz w:val="18"/>
                <w:szCs w:val="18"/>
                <w:lang w:eastAsia="tr-TR"/>
              </w:rPr>
              <w:t>252,314</w:t>
            </w:r>
          </w:p>
        </w:tc>
        <w:tc>
          <w:tcPr>
            <w:tcW w:w="1198" w:type="dxa"/>
            <w:tcBorders>
              <w:top w:val="nil"/>
              <w:left w:val="nil"/>
              <w:bottom w:val="single" w:sz="8" w:space="0" w:color="auto"/>
              <w:right w:val="nil"/>
            </w:tcBorders>
            <w:shd w:val="clear" w:color="auto" w:fill="auto"/>
            <w:vAlign w:val="center"/>
            <w:hideMark/>
          </w:tcPr>
          <w:p w14:paraId="411DBD42" w14:textId="09F93D18" w:rsidR="00AE7655" w:rsidRPr="00005453" w:rsidRDefault="00AE7655" w:rsidP="00AE7655">
            <w:pPr>
              <w:jc w:val="right"/>
              <w:rPr>
                <w:b/>
                <w:bCs/>
                <w:sz w:val="18"/>
                <w:szCs w:val="18"/>
                <w:lang w:eastAsia="tr-TR"/>
              </w:rPr>
            </w:pPr>
            <w:r w:rsidRPr="00005453">
              <w:rPr>
                <w:b/>
                <w:bCs/>
                <w:sz w:val="18"/>
                <w:szCs w:val="18"/>
                <w:lang w:eastAsia="tr-TR"/>
              </w:rPr>
              <w:t>3,139</w:t>
            </w:r>
          </w:p>
        </w:tc>
      </w:tr>
      <w:tr w:rsidR="00AE7655" w:rsidRPr="00005453" w14:paraId="121A9DDF" w14:textId="77777777" w:rsidTr="00AE7655">
        <w:trPr>
          <w:divId w:val="1689522570"/>
          <w:trHeight w:val="251"/>
        </w:trPr>
        <w:tc>
          <w:tcPr>
            <w:tcW w:w="4119" w:type="dxa"/>
            <w:tcBorders>
              <w:top w:val="nil"/>
              <w:left w:val="nil"/>
              <w:bottom w:val="double" w:sz="6" w:space="0" w:color="auto"/>
              <w:right w:val="nil"/>
            </w:tcBorders>
            <w:shd w:val="clear" w:color="auto" w:fill="auto"/>
            <w:vAlign w:val="center"/>
            <w:hideMark/>
          </w:tcPr>
          <w:p w14:paraId="6A06159B" w14:textId="77777777" w:rsidR="00AE7655" w:rsidRPr="00005453" w:rsidRDefault="00AE7655" w:rsidP="00AE7655">
            <w:pPr>
              <w:jc w:val="both"/>
              <w:rPr>
                <w:b/>
                <w:bCs/>
                <w:sz w:val="18"/>
                <w:szCs w:val="18"/>
                <w:lang w:eastAsia="tr-TR"/>
              </w:rPr>
            </w:pPr>
            <w:r w:rsidRPr="00005453">
              <w:rPr>
                <w:b/>
                <w:bCs/>
                <w:sz w:val="18"/>
                <w:szCs w:val="18"/>
                <w:lang w:eastAsia="tr-TR"/>
              </w:rPr>
              <w:t>Toplam</w:t>
            </w:r>
          </w:p>
        </w:tc>
        <w:tc>
          <w:tcPr>
            <w:tcW w:w="1299" w:type="dxa"/>
            <w:tcBorders>
              <w:top w:val="nil"/>
              <w:left w:val="nil"/>
              <w:bottom w:val="double" w:sz="6" w:space="0" w:color="auto"/>
              <w:right w:val="nil"/>
            </w:tcBorders>
            <w:shd w:val="clear" w:color="auto" w:fill="auto"/>
            <w:vAlign w:val="center"/>
            <w:hideMark/>
          </w:tcPr>
          <w:p w14:paraId="0677C15D" w14:textId="67995C28" w:rsidR="00AE7655" w:rsidRPr="00005453" w:rsidRDefault="00AE7655" w:rsidP="00AE7655">
            <w:pPr>
              <w:jc w:val="right"/>
              <w:rPr>
                <w:b/>
                <w:bCs/>
                <w:sz w:val="18"/>
                <w:szCs w:val="18"/>
                <w:lang w:eastAsia="tr-TR"/>
              </w:rPr>
            </w:pPr>
            <w:r w:rsidRPr="00005453">
              <w:rPr>
                <w:b/>
                <w:bCs/>
                <w:sz w:val="18"/>
                <w:szCs w:val="18"/>
              </w:rPr>
              <w:t>364,255</w:t>
            </w:r>
          </w:p>
        </w:tc>
        <w:tc>
          <w:tcPr>
            <w:tcW w:w="1299" w:type="dxa"/>
            <w:tcBorders>
              <w:top w:val="nil"/>
              <w:left w:val="nil"/>
              <w:bottom w:val="double" w:sz="6" w:space="0" w:color="auto"/>
              <w:right w:val="nil"/>
            </w:tcBorders>
            <w:shd w:val="clear" w:color="auto" w:fill="auto"/>
            <w:vAlign w:val="center"/>
            <w:hideMark/>
          </w:tcPr>
          <w:p w14:paraId="3B41CF66" w14:textId="7685E690" w:rsidR="00AE7655" w:rsidRPr="00005453" w:rsidRDefault="00AE7655" w:rsidP="00AE7655">
            <w:pPr>
              <w:jc w:val="right"/>
              <w:rPr>
                <w:b/>
                <w:bCs/>
                <w:sz w:val="18"/>
                <w:szCs w:val="18"/>
                <w:lang w:eastAsia="tr-TR"/>
              </w:rPr>
            </w:pPr>
            <w:r w:rsidRPr="00005453">
              <w:rPr>
                <w:b/>
                <w:bCs/>
                <w:sz w:val="18"/>
                <w:szCs w:val="18"/>
              </w:rPr>
              <w:t>113,916</w:t>
            </w:r>
          </w:p>
        </w:tc>
        <w:tc>
          <w:tcPr>
            <w:tcW w:w="1299" w:type="dxa"/>
            <w:tcBorders>
              <w:top w:val="nil"/>
              <w:left w:val="nil"/>
              <w:bottom w:val="double" w:sz="6" w:space="0" w:color="auto"/>
              <w:right w:val="nil"/>
            </w:tcBorders>
            <w:shd w:val="clear" w:color="auto" w:fill="auto"/>
            <w:vAlign w:val="center"/>
            <w:hideMark/>
          </w:tcPr>
          <w:p w14:paraId="66BE41E3" w14:textId="37DECFDC" w:rsidR="00AE7655" w:rsidRPr="00005453" w:rsidRDefault="00AE7655" w:rsidP="00AE7655">
            <w:pPr>
              <w:jc w:val="right"/>
              <w:rPr>
                <w:b/>
                <w:bCs/>
                <w:sz w:val="18"/>
                <w:szCs w:val="18"/>
                <w:lang w:eastAsia="tr-TR"/>
              </w:rPr>
            </w:pPr>
            <w:r w:rsidRPr="00005453">
              <w:rPr>
                <w:b/>
                <w:bCs/>
                <w:sz w:val="18"/>
                <w:szCs w:val="18"/>
                <w:lang w:eastAsia="tr-TR"/>
              </w:rPr>
              <w:t>3,256,095</w:t>
            </w:r>
          </w:p>
        </w:tc>
        <w:tc>
          <w:tcPr>
            <w:tcW w:w="1198" w:type="dxa"/>
            <w:tcBorders>
              <w:top w:val="nil"/>
              <w:left w:val="nil"/>
              <w:bottom w:val="double" w:sz="6" w:space="0" w:color="auto"/>
              <w:right w:val="nil"/>
            </w:tcBorders>
            <w:shd w:val="clear" w:color="auto" w:fill="auto"/>
            <w:vAlign w:val="center"/>
            <w:hideMark/>
          </w:tcPr>
          <w:p w14:paraId="2BF28665" w14:textId="13457949" w:rsidR="00AE7655" w:rsidRPr="00005453" w:rsidRDefault="00AE7655" w:rsidP="00AE7655">
            <w:pPr>
              <w:jc w:val="right"/>
              <w:rPr>
                <w:b/>
                <w:bCs/>
                <w:sz w:val="18"/>
                <w:szCs w:val="18"/>
                <w:lang w:eastAsia="tr-TR"/>
              </w:rPr>
            </w:pPr>
            <w:r w:rsidRPr="00005453">
              <w:rPr>
                <w:b/>
                <w:bCs/>
                <w:sz w:val="18"/>
                <w:szCs w:val="18"/>
                <w:lang w:eastAsia="tr-TR"/>
              </w:rPr>
              <w:t>105,741</w:t>
            </w:r>
          </w:p>
        </w:tc>
      </w:tr>
    </w:tbl>
    <w:p w14:paraId="2EE3E142" w14:textId="6BE84BA3" w:rsidR="00B3020D" w:rsidRPr="00005453" w:rsidRDefault="00B3020D" w:rsidP="00F80B88">
      <w:pPr>
        <w:tabs>
          <w:tab w:val="left" w:pos="709"/>
        </w:tabs>
        <w:autoSpaceDE w:val="0"/>
        <w:autoSpaceDN w:val="0"/>
        <w:adjustRightInd w:val="0"/>
        <w:ind w:left="-567"/>
        <w:rPr>
          <w:sz w:val="14"/>
          <w:szCs w:val="14"/>
        </w:rPr>
      </w:pPr>
    </w:p>
    <w:p w14:paraId="7E5E3EAE" w14:textId="72F3EF22" w:rsidR="002A0195" w:rsidRPr="00005453" w:rsidRDefault="00D61AFA" w:rsidP="00F80B88">
      <w:pPr>
        <w:tabs>
          <w:tab w:val="left" w:pos="709"/>
        </w:tabs>
        <w:autoSpaceDE w:val="0"/>
        <w:autoSpaceDN w:val="0"/>
        <w:adjustRightInd w:val="0"/>
        <w:ind w:left="-567"/>
        <w:rPr>
          <w:spacing w:val="-6"/>
        </w:rPr>
      </w:pPr>
      <w:r w:rsidRPr="00005453">
        <w:rPr>
          <w:b/>
          <w:bCs/>
          <w:iCs/>
        </w:rPr>
        <w:t>1</w:t>
      </w:r>
      <w:r w:rsidR="00BD3801" w:rsidRPr="00005453">
        <w:rPr>
          <w:b/>
          <w:bCs/>
          <w:iCs/>
        </w:rPr>
        <w:t>.</w:t>
      </w:r>
      <w:r w:rsidRPr="00005453">
        <w:rPr>
          <w:b/>
          <w:bCs/>
          <w:iCs/>
        </w:rPr>
        <w:t>5.2</w:t>
      </w:r>
      <w:r w:rsidR="00F80B88" w:rsidRPr="00005453">
        <w:rPr>
          <w:b/>
          <w:bCs/>
          <w:iCs/>
        </w:rPr>
        <w:t xml:space="preserve">    </w:t>
      </w:r>
      <w:r w:rsidR="00167926" w:rsidRPr="00005453">
        <w:rPr>
          <w:rFonts w:eastAsia="Arial Unicode MS"/>
          <w:color w:val="000000"/>
          <w:spacing w:val="-6"/>
        </w:rPr>
        <w:t>Standart Nitelikli ve Yakın İzlemedeki krediler ile yeniden yapılandırılan Yak</w:t>
      </w:r>
      <w:r w:rsidR="00F80B88" w:rsidRPr="00005453">
        <w:rPr>
          <w:rFonts w:eastAsia="Arial Unicode MS"/>
          <w:color w:val="000000"/>
          <w:spacing w:val="-6"/>
        </w:rPr>
        <w:t>ın İzlemedeki kredilere</w:t>
      </w:r>
      <w:r w:rsidR="00F80B88" w:rsidRPr="00005453">
        <w:rPr>
          <w:bCs/>
          <w:iCs/>
        </w:rPr>
        <w:t xml:space="preserve"> ilişkin</w:t>
      </w:r>
      <w:r w:rsidR="00367DD0" w:rsidRPr="00005453">
        <w:rPr>
          <w:bCs/>
          <w:iCs/>
        </w:rPr>
        <w:t xml:space="preserve"> </w:t>
      </w:r>
      <w:r w:rsidR="00167926" w:rsidRPr="00005453">
        <w:rPr>
          <w:bCs/>
          <w:iCs/>
        </w:rPr>
        <w:t>bilgiler</w:t>
      </w:r>
    </w:p>
    <w:p w14:paraId="4E433B33" w14:textId="11830F22" w:rsidR="00F821EE" w:rsidRPr="00005453" w:rsidRDefault="00F821EE" w:rsidP="00F821EE">
      <w:pPr>
        <w:autoSpaceDE w:val="0"/>
        <w:autoSpaceDN w:val="0"/>
        <w:adjustRightInd w:val="0"/>
        <w:spacing w:after="120"/>
        <w:jc w:val="both"/>
        <w:rPr>
          <w:spacing w:val="-6"/>
        </w:rPr>
      </w:pPr>
    </w:p>
    <w:tbl>
      <w:tblPr>
        <w:tblW w:w="9209" w:type="dxa"/>
        <w:tblCellMar>
          <w:left w:w="70" w:type="dxa"/>
          <w:right w:w="70" w:type="dxa"/>
        </w:tblCellMar>
        <w:tblLook w:val="04A0" w:firstRow="1" w:lastRow="0" w:firstColumn="1" w:lastColumn="0" w:noHBand="0" w:noVBand="1"/>
      </w:tblPr>
      <w:tblGrid>
        <w:gridCol w:w="4136"/>
        <w:gridCol w:w="1306"/>
        <w:gridCol w:w="1306"/>
        <w:gridCol w:w="1306"/>
        <w:gridCol w:w="1155"/>
      </w:tblGrid>
      <w:tr w:rsidR="00F821EE" w:rsidRPr="00005453" w14:paraId="3E79F301" w14:textId="77777777" w:rsidTr="00346550">
        <w:trPr>
          <w:divId w:val="97067516"/>
          <w:trHeight w:val="302"/>
        </w:trPr>
        <w:tc>
          <w:tcPr>
            <w:tcW w:w="4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1F254D" w14:textId="72B96ACD" w:rsidR="00F821EE" w:rsidRPr="00005453" w:rsidRDefault="00F821EE" w:rsidP="00F821EE">
            <w:pPr>
              <w:jc w:val="center"/>
              <w:rPr>
                <w:b/>
                <w:bCs/>
                <w:sz w:val="18"/>
                <w:szCs w:val="18"/>
                <w:lang w:eastAsia="tr-TR"/>
              </w:rPr>
            </w:pPr>
            <w:r w:rsidRPr="00005453">
              <w:rPr>
                <w:b/>
                <w:bCs/>
                <w:sz w:val="18"/>
                <w:szCs w:val="18"/>
                <w:lang w:eastAsia="tr-TR"/>
              </w:rPr>
              <w:t>Cari Dönem-Nakdi Krediler</w:t>
            </w:r>
          </w:p>
        </w:tc>
        <w:tc>
          <w:tcPr>
            <w:tcW w:w="13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6DB1B" w14:textId="77777777" w:rsidR="00F821EE" w:rsidRPr="00005453" w:rsidRDefault="00F821EE" w:rsidP="00F821EE">
            <w:pPr>
              <w:jc w:val="center"/>
              <w:rPr>
                <w:b/>
                <w:bCs/>
                <w:sz w:val="18"/>
                <w:szCs w:val="18"/>
                <w:lang w:eastAsia="tr-TR"/>
              </w:rPr>
            </w:pPr>
            <w:r w:rsidRPr="00005453">
              <w:rPr>
                <w:b/>
                <w:bCs/>
                <w:sz w:val="18"/>
                <w:szCs w:val="18"/>
                <w:lang w:eastAsia="tr-TR"/>
              </w:rPr>
              <w:t>Standart Nitelikli Krediler</w:t>
            </w:r>
          </w:p>
        </w:tc>
        <w:tc>
          <w:tcPr>
            <w:tcW w:w="37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70765F" w14:textId="77777777" w:rsidR="00F821EE" w:rsidRPr="00005453" w:rsidRDefault="00F821EE" w:rsidP="00F821EE">
            <w:pPr>
              <w:jc w:val="center"/>
              <w:rPr>
                <w:b/>
                <w:bCs/>
                <w:sz w:val="18"/>
                <w:szCs w:val="18"/>
                <w:lang w:eastAsia="tr-TR"/>
              </w:rPr>
            </w:pPr>
            <w:r w:rsidRPr="00005453">
              <w:rPr>
                <w:b/>
                <w:bCs/>
                <w:sz w:val="18"/>
                <w:szCs w:val="18"/>
                <w:lang w:eastAsia="tr-TR"/>
              </w:rPr>
              <w:t>Yakın İzlemedeki Krediler</w:t>
            </w:r>
          </w:p>
        </w:tc>
      </w:tr>
      <w:tr w:rsidR="00F821EE" w:rsidRPr="00005453" w14:paraId="1BB09003" w14:textId="77777777" w:rsidTr="00346550">
        <w:trPr>
          <w:divId w:val="97067516"/>
          <w:trHeight w:val="289"/>
        </w:trPr>
        <w:tc>
          <w:tcPr>
            <w:tcW w:w="4136" w:type="dxa"/>
            <w:vMerge/>
            <w:tcBorders>
              <w:top w:val="single" w:sz="4" w:space="0" w:color="auto"/>
              <w:left w:val="single" w:sz="4" w:space="0" w:color="auto"/>
              <w:bottom w:val="single" w:sz="4" w:space="0" w:color="000000"/>
              <w:right w:val="single" w:sz="4" w:space="0" w:color="auto"/>
            </w:tcBorders>
            <w:vAlign w:val="center"/>
            <w:hideMark/>
          </w:tcPr>
          <w:p w14:paraId="676C34B1" w14:textId="77777777" w:rsidR="00F821EE" w:rsidRPr="00005453" w:rsidRDefault="00F821EE" w:rsidP="00F821EE">
            <w:pPr>
              <w:rPr>
                <w:b/>
                <w:bCs/>
                <w:sz w:val="18"/>
                <w:szCs w:val="18"/>
                <w:lang w:eastAsia="tr-TR"/>
              </w:rPr>
            </w:pPr>
          </w:p>
        </w:tc>
        <w:tc>
          <w:tcPr>
            <w:tcW w:w="1306" w:type="dxa"/>
            <w:vMerge/>
            <w:tcBorders>
              <w:top w:val="single" w:sz="4" w:space="0" w:color="auto"/>
              <w:left w:val="single" w:sz="4" w:space="0" w:color="auto"/>
              <w:bottom w:val="single" w:sz="4" w:space="0" w:color="000000"/>
              <w:right w:val="single" w:sz="4" w:space="0" w:color="auto"/>
            </w:tcBorders>
            <w:vAlign w:val="center"/>
            <w:hideMark/>
          </w:tcPr>
          <w:p w14:paraId="3D2E6782" w14:textId="77777777" w:rsidR="00F821EE" w:rsidRPr="00005453" w:rsidRDefault="00F821EE" w:rsidP="00F821EE">
            <w:pPr>
              <w:rPr>
                <w:b/>
                <w:bCs/>
                <w:sz w:val="18"/>
                <w:szCs w:val="18"/>
                <w:lang w:eastAsia="tr-TR"/>
              </w:rPr>
            </w:pPr>
          </w:p>
        </w:tc>
        <w:tc>
          <w:tcPr>
            <w:tcW w:w="1306" w:type="dxa"/>
            <w:vMerge w:val="restart"/>
            <w:tcBorders>
              <w:top w:val="nil"/>
              <w:left w:val="single" w:sz="4" w:space="0" w:color="auto"/>
              <w:bottom w:val="single" w:sz="4" w:space="0" w:color="000000"/>
              <w:right w:val="single" w:sz="4" w:space="0" w:color="auto"/>
            </w:tcBorders>
            <w:shd w:val="clear" w:color="auto" w:fill="auto"/>
            <w:vAlign w:val="center"/>
            <w:hideMark/>
          </w:tcPr>
          <w:p w14:paraId="3845ADB5" w14:textId="77777777" w:rsidR="00F821EE" w:rsidRPr="00005453" w:rsidRDefault="00F821EE" w:rsidP="00F821EE">
            <w:pPr>
              <w:jc w:val="center"/>
              <w:rPr>
                <w:b/>
                <w:bCs/>
                <w:sz w:val="18"/>
                <w:szCs w:val="18"/>
                <w:lang w:eastAsia="tr-TR"/>
              </w:rPr>
            </w:pPr>
            <w:r w:rsidRPr="00005453">
              <w:rPr>
                <w:b/>
                <w:bCs/>
                <w:sz w:val="18"/>
                <w:szCs w:val="18"/>
                <w:lang w:eastAsia="tr-TR"/>
              </w:rPr>
              <w:t>Yeniden Yapılandırma Kapsamında Yer Almayanlar</w:t>
            </w:r>
          </w:p>
        </w:tc>
        <w:tc>
          <w:tcPr>
            <w:tcW w:w="246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425DD88" w14:textId="77777777" w:rsidR="00F821EE" w:rsidRPr="00005453" w:rsidRDefault="00F821EE" w:rsidP="00F821EE">
            <w:pPr>
              <w:jc w:val="center"/>
              <w:rPr>
                <w:b/>
                <w:bCs/>
                <w:sz w:val="18"/>
                <w:szCs w:val="18"/>
                <w:lang w:eastAsia="tr-TR"/>
              </w:rPr>
            </w:pPr>
            <w:r w:rsidRPr="00005453">
              <w:rPr>
                <w:b/>
                <w:bCs/>
                <w:sz w:val="18"/>
                <w:szCs w:val="18"/>
                <w:lang w:eastAsia="tr-TR"/>
              </w:rPr>
              <w:t>Yeniden Yapılandırılanlar</w:t>
            </w:r>
          </w:p>
        </w:tc>
      </w:tr>
      <w:tr w:rsidR="00F821EE" w:rsidRPr="00005453" w14:paraId="1E3E648A" w14:textId="77777777" w:rsidTr="00346550">
        <w:trPr>
          <w:divId w:val="97067516"/>
          <w:trHeight w:val="579"/>
        </w:trPr>
        <w:tc>
          <w:tcPr>
            <w:tcW w:w="4136" w:type="dxa"/>
            <w:vMerge/>
            <w:tcBorders>
              <w:top w:val="single" w:sz="4" w:space="0" w:color="auto"/>
              <w:left w:val="single" w:sz="4" w:space="0" w:color="auto"/>
              <w:bottom w:val="single" w:sz="4" w:space="0" w:color="000000"/>
              <w:right w:val="single" w:sz="4" w:space="0" w:color="auto"/>
            </w:tcBorders>
            <w:vAlign w:val="center"/>
            <w:hideMark/>
          </w:tcPr>
          <w:p w14:paraId="5F918241" w14:textId="77777777" w:rsidR="00F821EE" w:rsidRPr="00005453" w:rsidRDefault="00F821EE" w:rsidP="00F821EE">
            <w:pPr>
              <w:rPr>
                <w:b/>
                <w:bCs/>
                <w:sz w:val="18"/>
                <w:szCs w:val="18"/>
                <w:lang w:eastAsia="tr-TR"/>
              </w:rPr>
            </w:pPr>
          </w:p>
        </w:tc>
        <w:tc>
          <w:tcPr>
            <w:tcW w:w="1306" w:type="dxa"/>
            <w:vMerge/>
            <w:tcBorders>
              <w:top w:val="single" w:sz="4" w:space="0" w:color="auto"/>
              <w:left w:val="single" w:sz="4" w:space="0" w:color="auto"/>
              <w:bottom w:val="single" w:sz="4" w:space="0" w:color="000000"/>
              <w:right w:val="single" w:sz="4" w:space="0" w:color="auto"/>
            </w:tcBorders>
            <w:vAlign w:val="center"/>
            <w:hideMark/>
          </w:tcPr>
          <w:p w14:paraId="6C3ED62C" w14:textId="77777777" w:rsidR="00F821EE" w:rsidRPr="00005453" w:rsidRDefault="00F821EE" w:rsidP="00F821EE">
            <w:pPr>
              <w:rPr>
                <w:b/>
                <w:bCs/>
                <w:sz w:val="18"/>
                <w:szCs w:val="18"/>
                <w:lang w:eastAsia="tr-TR"/>
              </w:rPr>
            </w:pPr>
          </w:p>
        </w:tc>
        <w:tc>
          <w:tcPr>
            <w:tcW w:w="1306" w:type="dxa"/>
            <w:vMerge/>
            <w:tcBorders>
              <w:top w:val="nil"/>
              <w:left w:val="single" w:sz="4" w:space="0" w:color="auto"/>
              <w:bottom w:val="single" w:sz="4" w:space="0" w:color="000000"/>
              <w:right w:val="single" w:sz="4" w:space="0" w:color="auto"/>
            </w:tcBorders>
            <w:vAlign w:val="center"/>
            <w:hideMark/>
          </w:tcPr>
          <w:p w14:paraId="41AB38AA" w14:textId="77777777" w:rsidR="00F821EE" w:rsidRPr="00005453" w:rsidRDefault="00F821EE" w:rsidP="00F821EE">
            <w:pPr>
              <w:rPr>
                <w:b/>
                <w:bCs/>
                <w:sz w:val="18"/>
                <w:szCs w:val="18"/>
                <w:lang w:eastAsia="tr-TR"/>
              </w:rPr>
            </w:pPr>
          </w:p>
        </w:tc>
        <w:tc>
          <w:tcPr>
            <w:tcW w:w="1306" w:type="dxa"/>
            <w:tcBorders>
              <w:top w:val="nil"/>
              <w:left w:val="nil"/>
              <w:bottom w:val="single" w:sz="4" w:space="0" w:color="auto"/>
              <w:right w:val="single" w:sz="4" w:space="0" w:color="auto"/>
            </w:tcBorders>
            <w:shd w:val="clear" w:color="auto" w:fill="auto"/>
            <w:vAlign w:val="center"/>
            <w:hideMark/>
          </w:tcPr>
          <w:p w14:paraId="60A9B423" w14:textId="77777777" w:rsidR="00F821EE" w:rsidRPr="00005453" w:rsidRDefault="00F821EE" w:rsidP="00F821EE">
            <w:pPr>
              <w:jc w:val="center"/>
              <w:rPr>
                <w:b/>
                <w:bCs/>
                <w:sz w:val="18"/>
                <w:szCs w:val="18"/>
                <w:lang w:eastAsia="tr-TR"/>
              </w:rPr>
            </w:pPr>
            <w:r w:rsidRPr="00005453">
              <w:rPr>
                <w:b/>
                <w:bCs/>
                <w:sz w:val="18"/>
                <w:szCs w:val="18"/>
                <w:lang w:eastAsia="tr-TR"/>
              </w:rPr>
              <w:t>Sözleşme Koşullarında Değişiklik</w:t>
            </w:r>
          </w:p>
        </w:tc>
        <w:tc>
          <w:tcPr>
            <w:tcW w:w="1155" w:type="dxa"/>
            <w:tcBorders>
              <w:top w:val="nil"/>
              <w:left w:val="nil"/>
              <w:bottom w:val="single" w:sz="4" w:space="0" w:color="auto"/>
              <w:right w:val="single" w:sz="4" w:space="0" w:color="auto"/>
            </w:tcBorders>
            <w:shd w:val="clear" w:color="auto" w:fill="auto"/>
            <w:vAlign w:val="center"/>
            <w:hideMark/>
          </w:tcPr>
          <w:p w14:paraId="69708F82" w14:textId="77777777" w:rsidR="00F821EE" w:rsidRPr="00005453" w:rsidRDefault="00F821EE" w:rsidP="00F821EE">
            <w:pPr>
              <w:jc w:val="center"/>
              <w:rPr>
                <w:b/>
                <w:bCs/>
                <w:sz w:val="18"/>
                <w:szCs w:val="18"/>
                <w:lang w:eastAsia="tr-TR"/>
              </w:rPr>
            </w:pPr>
            <w:r w:rsidRPr="00005453">
              <w:rPr>
                <w:b/>
                <w:bCs/>
                <w:sz w:val="18"/>
                <w:szCs w:val="18"/>
                <w:lang w:eastAsia="tr-TR"/>
              </w:rPr>
              <w:t>Yeniden Finansman</w:t>
            </w:r>
          </w:p>
        </w:tc>
      </w:tr>
      <w:tr w:rsidR="00AE7655" w:rsidRPr="00005453" w14:paraId="6A181C99"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5AA3D4B4" w14:textId="77777777" w:rsidR="00AE7655" w:rsidRPr="00005453" w:rsidRDefault="00AE7655" w:rsidP="00AE7655">
            <w:pPr>
              <w:jc w:val="both"/>
              <w:rPr>
                <w:b/>
                <w:bCs/>
                <w:sz w:val="18"/>
                <w:szCs w:val="18"/>
                <w:lang w:eastAsia="tr-TR"/>
              </w:rPr>
            </w:pPr>
            <w:r w:rsidRPr="00005453">
              <w:rPr>
                <w:b/>
                <w:bCs/>
                <w:sz w:val="18"/>
                <w:szCs w:val="18"/>
                <w:lang w:eastAsia="tr-TR"/>
              </w:rPr>
              <w:t>Krediler</w:t>
            </w:r>
          </w:p>
        </w:tc>
        <w:tc>
          <w:tcPr>
            <w:tcW w:w="1306" w:type="dxa"/>
            <w:tcBorders>
              <w:top w:val="nil"/>
              <w:left w:val="nil"/>
              <w:bottom w:val="single" w:sz="4" w:space="0" w:color="auto"/>
              <w:right w:val="single" w:sz="4" w:space="0" w:color="auto"/>
            </w:tcBorders>
            <w:shd w:val="clear" w:color="auto" w:fill="auto"/>
            <w:vAlign w:val="center"/>
            <w:hideMark/>
          </w:tcPr>
          <w:p w14:paraId="5A23DDAC" w14:textId="24A7A805" w:rsidR="00AE7655" w:rsidRPr="00005453" w:rsidRDefault="00AE7655" w:rsidP="00AE7655">
            <w:pPr>
              <w:jc w:val="right"/>
              <w:rPr>
                <w:b/>
                <w:bCs/>
                <w:sz w:val="18"/>
                <w:szCs w:val="18"/>
                <w:lang w:eastAsia="tr-TR"/>
              </w:rPr>
            </w:pPr>
            <w:r w:rsidRPr="00005453">
              <w:rPr>
                <w:b/>
                <w:bCs/>
                <w:color w:val="000000"/>
                <w:sz w:val="18"/>
                <w:szCs w:val="18"/>
              </w:rPr>
              <w:t>350,387,220</w:t>
            </w:r>
          </w:p>
        </w:tc>
        <w:tc>
          <w:tcPr>
            <w:tcW w:w="1306" w:type="dxa"/>
            <w:tcBorders>
              <w:top w:val="nil"/>
              <w:left w:val="nil"/>
              <w:bottom w:val="single" w:sz="4" w:space="0" w:color="auto"/>
              <w:right w:val="single" w:sz="4" w:space="0" w:color="auto"/>
            </w:tcBorders>
            <w:shd w:val="clear" w:color="auto" w:fill="auto"/>
            <w:vAlign w:val="center"/>
            <w:hideMark/>
          </w:tcPr>
          <w:p w14:paraId="2CFBF8FC" w14:textId="575B3F86" w:rsidR="00AE7655" w:rsidRPr="00005453" w:rsidRDefault="00AE7655" w:rsidP="00AE7655">
            <w:pPr>
              <w:jc w:val="right"/>
              <w:rPr>
                <w:b/>
                <w:bCs/>
                <w:sz w:val="18"/>
                <w:szCs w:val="18"/>
                <w:lang w:eastAsia="tr-TR"/>
              </w:rPr>
            </w:pPr>
            <w:r w:rsidRPr="00005453">
              <w:rPr>
                <w:b/>
                <w:bCs/>
                <w:color w:val="000000"/>
                <w:sz w:val="18"/>
                <w:szCs w:val="18"/>
              </w:rPr>
              <w:t>22,876,571</w:t>
            </w:r>
          </w:p>
        </w:tc>
        <w:tc>
          <w:tcPr>
            <w:tcW w:w="1306" w:type="dxa"/>
            <w:tcBorders>
              <w:top w:val="nil"/>
              <w:left w:val="nil"/>
              <w:bottom w:val="single" w:sz="4" w:space="0" w:color="auto"/>
              <w:right w:val="single" w:sz="4" w:space="0" w:color="auto"/>
            </w:tcBorders>
            <w:shd w:val="clear" w:color="auto" w:fill="auto"/>
            <w:vAlign w:val="center"/>
            <w:hideMark/>
          </w:tcPr>
          <w:p w14:paraId="598BABCB" w14:textId="52D9DBB7" w:rsidR="00AE7655" w:rsidRPr="00005453" w:rsidRDefault="00AE7655" w:rsidP="00AE7655">
            <w:pPr>
              <w:jc w:val="right"/>
              <w:rPr>
                <w:b/>
                <w:bCs/>
                <w:sz w:val="18"/>
                <w:szCs w:val="18"/>
                <w:lang w:eastAsia="tr-TR"/>
              </w:rPr>
            </w:pPr>
            <w:r w:rsidRPr="00005453">
              <w:rPr>
                <w:b/>
                <w:bCs/>
                <w:color w:val="000000"/>
                <w:sz w:val="18"/>
                <w:szCs w:val="18"/>
              </w:rPr>
              <w:t>3,909,491</w:t>
            </w:r>
          </w:p>
        </w:tc>
        <w:tc>
          <w:tcPr>
            <w:tcW w:w="1155" w:type="dxa"/>
            <w:tcBorders>
              <w:top w:val="nil"/>
              <w:left w:val="nil"/>
              <w:bottom w:val="single" w:sz="4" w:space="0" w:color="auto"/>
              <w:right w:val="single" w:sz="4" w:space="0" w:color="auto"/>
            </w:tcBorders>
            <w:shd w:val="clear" w:color="auto" w:fill="auto"/>
            <w:vAlign w:val="center"/>
            <w:hideMark/>
          </w:tcPr>
          <w:p w14:paraId="5E4A7930" w14:textId="3C339874" w:rsidR="00AE7655" w:rsidRPr="00005453" w:rsidRDefault="00AE7655" w:rsidP="00AE7655">
            <w:pPr>
              <w:jc w:val="right"/>
              <w:rPr>
                <w:b/>
                <w:bCs/>
                <w:sz w:val="18"/>
                <w:szCs w:val="18"/>
                <w:lang w:eastAsia="tr-TR"/>
              </w:rPr>
            </w:pPr>
            <w:r w:rsidRPr="00005453">
              <w:rPr>
                <w:b/>
                <w:bCs/>
                <w:color w:val="000000"/>
                <w:sz w:val="18"/>
                <w:szCs w:val="18"/>
              </w:rPr>
              <w:t>-</w:t>
            </w:r>
          </w:p>
        </w:tc>
      </w:tr>
      <w:tr w:rsidR="00AE7655" w:rsidRPr="00005453" w14:paraId="7DEB798F"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A0E0495" w14:textId="7FE2E695" w:rsidR="00AE7655" w:rsidRPr="00005453" w:rsidRDefault="00AE7655" w:rsidP="00AE7655">
            <w:pPr>
              <w:rPr>
                <w:sz w:val="18"/>
                <w:szCs w:val="18"/>
                <w:lang w:eastAsia="tr-TR"/>
              </w:rPr>
            </w:pPr>
            <w:r w:rsidRPr="00005453">
              <w:rPr>
                <w:sz w:val="18"/>
                <w:szCs w:val="18"/>
                <w:lang w:eastAsia="tr-TR"/>
              </w:rPr>
              <w:t xml:space="preserve">İhracat Kredileri </w:t>
            </w:r>
          </w:p>
        </w:tc>
        <w:tc>
          <w:tcPr>
            <w:tcW w:w="1306" w:type="dxa"/>
            <w:tcBorders>
              <w:top w:val="nil"/>
              <w:left w:val="nil"/>
              <w:bottom w:val="single" w:sz="4" w:space="0" w:color="auto"/>
              <w:right w:val="single" w:sz="4" w:space="0" w:color="auto"/>
            </w:tcBorders>
            <w:shd w:val="clear" w:color="auto" w:fill="auto"/>
            <w:vAlign w:val="center"/>
            <w:hideMark/>
          </w:tcPr>
          <w:p w14:paraId="46D28A4A" w14:textId="33B32C7D" w:rsidR="00AE7655" w:rsidRPr="00005453" w:rsidRDefault="00AE7655" w:rsidP="00AE7655">
            <w:pPr>
              <w:jc w:val="right"/>
              <w:rPr>
                <w:bCs/>
                <w:sz w:val="18"/>
                <w:szCs w:val="18"/>
                <w:lang w:eastAsia="tr-TR"/>
              </w:rPr>
            </w:pPr>
            <w:r w:rsidRPr="00005453">
              <w:rPr>
                <w:color w:val="000000"/>
                <w:sz w:val="18"/>
                <w:szCs w:val="18"/>
              </w:rPr>
              <w:t>56,243,452</w:t>
            </w:r>
          </w:p>
        </w:tc>
        <w:tc>
          <w:tcPr>
            <w:tcW w:w="1306" w:type="dxa"/>
            <w:tcBorders>
              <w:top w:val="nil"/>
              <w:left w:val="nil"/>
              <w:bottom w:val="single" w:sz="4" w:space="0" w:color="auto"/>
              <w:right w:val="single" w:sz="4" w:space="0" w:color="auto"/>
            </w:tcBorders>
            <w:shd w:val="clear" w:color="auto" w:fill="auto"/>
            <w:vAlign w:val="center"/>
            <w:hideMark/>
          </w:tcPr>
          <w:p w14:paraId="161021A3" w14:textId="579DC404" w:rsidR="00AE7655" w:rsidRPr="00005453" w:rsidRDefault="00AE7655" w:rsidP="00AE7655">
            <w:pPr>
              <w:jc w:val="right"/>
              <w:rPr>
                <w:bCs/>
                <w:sz w:val="18"/>
                <w:szCs w:val="18"/>
                <w:lang w:eastAsia="tr-TR"/>
              </w:rPr>
            </w:pPr>
            <w:r w:rsidRPr="00005453">
              <w:rPr>
                <w:color w:val="000000"/>
                <w:sz w:val="18"/>
                <w:szCs w:val="18"/>
              </w:rPr>
              <w:t>1,030,894</w:t>
            </w:r>
          </w:p>
        </w:tc>
        <w:tc>
          <w:tcPr>
            <w:tcW w:w="1306" w:type="dxa"/>
            <w:tcBorders>
              <w:top w:val="nil"/>
              <w:left w:val="nil"/>
              <w:bottom w:val="single" w:sz="4" w:space="0" w:color="auto"/>
              <w:right w:val="single" w:sz="4" w:space="0" w:color="auto"/>
            </w:tcBorders>
            <w:shd w:val="clear" w:color="auto" w:fill="auto"/>
            <w:vAlign w:val="center"/>
            <w:hideMark/>
          </w:tcPr>
          <w:p w14:paraId="03E71B26" w14:textId="72A4CB9E" w:rsidR="00AE7655" w:rsidRPr="00005453" w:rsidRDefault="00AE7655" w:rsidP="00AE7655">
            <w:pPr>
              <w:jc w:val="right"/>
              <w:rPr>
                <w:bCs/>
                <w:sz w:val="18"/>
                <w:szCs w:val="18"/>
                <w:lang w:eastAsia="tr-TR"/>
              </w:rPr>
            </w:pPr>
            <w:r w:rsidRPr="00005453">
              <w:rPr>
                <w:color w:val="000000"/>
                <w:sz w:val="18"/>
                <w:szCs w:val="18"/>
              </w:rPr>
              <w:t>-</w:t>
            </w:r>
          </w:p>
        </w:tc>
        <w:tc>
          <w:tcPr>
            <w:tcW w:w="1155" w:type="dxa"/>
            <w:tcBorders>
              <w:top w:val="nil"/>
              <w:left w:val="nil"/>
              <w:bottom w:val="single" w:sz="4" w:space="0" w:color="auto"/>
              <w:right w:val="single" w:sz="4" w:space="0" w:color="auto"/>
            </w:tcBorders>
            <w:shd w:val="clear" w:color="auto" w:fill="auto"/>
            <w:vAlign w:val="center"/>
            <w:hideMark/>
          </w:tcPr>
          <w:p w14:paraId="5409255E" w14:textId="08B540BC" w:rsidR="00AE7655" w:rsidRPr="00005453" w:rsidRDefault="00AE7655" w:rsidP="00AE7655">
            <w:pPr>
              <w:jc w:val="right"/>
              <w:rPr>
                <w:sz w:val="18"/>
                <w:szCs w:val="18"/>
                <w:lang w:eastAsia="tr-TR"/>
              </w:rPr>
            </w:pPr>
            <w:r w:rsidRPr="00005453">
              <w:rPr>
                <w:color w:val="000000"/>
                <w:sz w:val="18"/>
                <w:szCs w:val="18"/>
              </w:rPr>
              <w:t>-</w:t>
            </w:r>
          </w:p>
        </w:tc>
      </w:tr>
      <w:tr w:rsidR="00AE7655" w:rsidRPr="00005453" w14:paraId="75E5F259"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DA3712A" w14:textId="3EB4E52E" w:rsidR="00AE7655" w:rsidRPr="00005453" w:rsidRDefault="00AE7655" w:rsidP="00AE7655">
            <w:pPr>
              <w:rPr>
                <w:sz w:val="18"/>
                <w:szCs w:val="18"/>
                <w:lang w:eastAsia="tr-TR"/>
              </w:rPr>
            </w:pPr>
            <w:r w:rsidRPr="00005453">
              <w:rPr>
                <w:sz w:val="18"/>
                <w:szCs w:val="18"/>
                <w:lang w:eastAsia="tr-TR"/>
              </w:rPr>
              <w:t xml:space="preserve">İthalat Kredileri </w:t>
            </w:r>
          </w:p>
        </w:tc>
        <w:tc>
          <w:tcPr>
            <w:tcW w:w="1306" w:type="dxa"/>
            <w:tcBorders>
              <w:top w:val="nil"/>
              <w:left w:val="nil"/>
              <w:bottom w:val="single" w:sz="4" w:space="0" w:color="auto"/>
              <w:right w:val="single" w:sz="4" w:space="0" w:color="auto"/>
            </w:tcBorders>
            <w:shd w:val="clear" w:color="auto" w:fill="auto"/>
            <w:vAlign w:val="center"/>
            <w:hideMark/>
          </w:tcPr>
          <w:p w14:paraId="123928CF" w14:textId="7064E3D5" w:rsidR="00AE7655" w:rsidRPr="00005453" w:rsidRDefault="00AE7655" w:rsidP="00AE7655">
            <w:pPr>
              <w:jc w:val="right"/>
              <w:rPr>
                <w:bCs/>
                <w:sz w:val="18"/>
                <w:szCs w:val="18"/>
                <w:lang w:eastAsia="tr-TR"/>
              </w:rPr>
            </w:pPr>
            <w:r w:rsidRPr="00005453">
              <w:rPr>
                <w:color w:val="000000"/>
                <w:sz w:val="18"/>
                <w:szCs w:val="18"/>
              </w:rPr>
              <w:t>18,028,033</w:t>
            </w:r>
          </w:p>
        </w:tc>
        <w:tc>
          <w:tcPr>
            <w:tcW w:w="1306" w:type="dxa"/>
            <w:tcBorders>
              <w:top w:val="nil"/>
              <w:left w:val="nil"/>
              <w:bottom w:val="single" w:sz="4" w:space="0" w:color="auto"/>
              <w:right w:val="single" w:sz="4" w:space="0" w:color="auto"/>
            </w:tcBorders>
            <w:shd w:val="clear" w:color="auto" w:fill="auto"/>
            <w:vAlign w:val="center"/>
            <w:hideMark/>
          </w:tcPr>
          <w:p w14:paraId="35DF4ACB" w14:textId="3B43B566" w:rsidR="00AE7655" w:rsidRPr="00005453" w:rsidRDefault="00AE7655" w:rsidP="00AE7655">
            <w:pPr>
              <w:jc w:val="right"/>
              <w:rPr>
                <w:bCs/>
                <w:sz w:val="18"/>
                <w:szCs w:val="18"/>
                <w:lang w:eastAsia="tr-TR"/>
              </w:rPr>
            </w:pPr>
            <w:r w:rsidRPr="00005453">
              <w:rPr>
                <w:color w:val="000000"/>
                <w:sz w:val="18"/>
                <w:szCs w:val="18"/>
              </w:rPr>
              <w:t>340,620</w:t>
            </w:r>
          </w:p>
        </w:tc>
        <w:tc>
          <w:tcPr>
            <w:tcW w:w="1306" w:type="dxa"/>
            <w:tcBorders>
              <w:top w:val="nil"/>
              <w:left w:val="nil"/>
              <w:bottom w:val="single" w:sz="4" w:space="0" w:color="auto"/>
              <w:right w:val="single" w:sz="4" w:space="0" w:color="auto"/>
            </w:tcBorders>
            <w:shd w:val="clear" w:color="auto" w:fill="auto"/>
            <w:vAlign w:val="center"/>
            <w:hideMark/>
          </w:tcPr>
          <w:p w14:paraId="52450D0F" w14:textId="30D33EA6" w:rsidR="00AE7655" w:rsidRPr="00005453" w:rsidRDefault="00AE7655" w:rsidP="00AE7655">
            <w:pPr>
              <w:jc w:val="right"/>
              <w:rPr>
                <w:bCs/>
                <w:sz w:val="18"/>
                <w:szCs w:val="18"/>
                <w:lang w:eastAsia="tr-TR"/>
              </w:rPr>
            </w:pPr>
            <w:r w:rsidRPr="00005453">
              <w:rPr>
                <w:color w:val="000000"/>
                <w:sz w:val="18"/>
                <w:szCs w:val="18"/>
              </w:rPr>
              <w:t>-</w:t>
            </w:r>
          </w:p>
        </w:tc>
        <w:tc>
          <w:tcPr>
            <w:tcW w:w="1155" w:type="dxa"/>
            <w:tcBorders>
              <w:top w:val="nil"/>
              <w:left w:val="nil"/>
              <w:bottom w:val="single" w:sz="4" w:space="0" w:color="auto"/>
              <w:right w:val="single" w:sz="4" w:space="0" w:color="auto"/>
            </w:tcBorders>
            <w:shd w:val="clear" w:color="auto" w:fill="auto"/>
            <w:vAlign w:val="center"/>
            <w:hideMark/>
          </w:tcPr>
          <w:p w14:paraId="3E12E4F2" w14:textId="1DCDFF93" w:rsidR="00AE7655" w:rsidRPr="00005453" w:rsidRDefault="00AE7655" w:rsidP="00AE7655">
            <w:pPr>
              <w:jc w:val="right"/>
              <w:rPr>
                <w:sz w:val="18"/>
                <w:szCs w:val="18"/>
                <w:lang w:eastAsia="tr-TR"/>
              </w:rPr>
            </w:pPr>
            <w:r w:rsidRPr="00005453">
              <w:rPr>
                <w:color w:val="000000"/>
                <w:sz w:val="18"/>
                <w:szCs w:val="18"/>
              </w:rPr>
              <w:t>-</w:t>
            </w:r>
          </w:p>
        </w:tc>
      </w:tr>
      <w:tr w:rsidR="00AE7655" w:rsidRPr="00005453" w14:paraId="4EE12411"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118F49C1" w14:textId="3CC8E3B6" w:rsidR="00AE7655" w:rsidRPr="00005453" w:rsidRDefault="00AE7655" w:rsidP="00AE7655">
            <w:pPr>
              <w:rPr>
                <w:sz w:val="18"/>
                <w:szCs w:val="18"/>
                <w:lang w:eastAsia="tr-TR"/>
              </w:rPr>
            </w:pPr>
            <w:r w:rsidRPr="00005453">
              <w:rPr>
                <w:sz w:val="18"/>
                <w:szCs w:val="18"/>
                <w:lang w:eastAsia="tr-TR"/>
              </w:rPr>
              <w:t xml:space="preserve">İşletme Kredileri </w:t>
            </w:r>
          </w:p>
        </w:tc>
        <w:tc>
          <w:tcPr>
            <w:tcW w:w="1306" w:type="dxa"/>
            <w:tcBorders>
              <w:top w:val="nil"/>
              <w:left w:val="nil"/>
              <w:bottom w:val="single" w:sz="4" w:space="0" w:color="auto"/>
              <w:right w:val="single" w:sz="4" w:space="0" w:color="auto"/>
            </w:tcBorders>
            <w:shd w:val="clear" w:color="auto" w:fill="auto"/>
            <w:vAlign w:val="center"/>
            <w:hideMark/>
          </w:tcPr>
          <w:p w14:paraId="410D29AF" w14:textId="5B937078" w:rsidR="00AE7655" w:rsidRPr="00005453" w:rsidRDefault="00AE7655" w:rsidP="00AE7655">
            <w:pPr>
              <w:jc w:val="right"/>
              <w:rPr>
                <w:bCs/>
                <w:sz w:val="18"/>
                <w:szCs w:val="18"/>
                <w:lang w:eastAsia="tr-TR"/>
              </w:rPr>
            </w:pPr>
            <w:r w:rsidRPr="00005453">
              <w:rPr>
                <w:color w:val="000000"/>
                <w:sz w:val="18"/>
                <w:szCs w:val="18"/>
              </w:rPr>
              <w:t>176,124,416</w:t>
            </w:r>
          </w:p>
        </w:tc>
        <w:tc>
          <w:tcPr>
            <w:tcW w:w="1306" w:type="dxa"/>
            <w:tcBorders>
              <w:top w:val="nil"/>
              <w:left w:val="nil"/>
              <w:bottom w:val="single" w:sz="4" w:space="0" w:color="auto"/>
              <w:right w:val="single" w:sz="4" w:space="0" w:color="auto"/>
            </w:tcBorders>
            <w:shd w:val="clear" w:color="auto" w:fill="auto"/>
            <w:vAlign w:val="center"/>
            <w:hideMark/>
          </w:tcPr>
          <w:p w14:paraId="3104FDBC" w14:textId="5B8CA30A" w:rsidR="00AE7655" w:rsidRPr="00005453" w:rsidRDefault="00AE7655" w:rsidP="00AE7655">
            <w:pPr>
              <w:jc w:val="right"/>
              <w:rPr>
                <w:bCs/>
                <w:sz w:val="18"/>
                <w:szCs w:val="18"/>
                <w:lang w:eastAsia="tr-TR"/>
              </w:rPr>
            </w:pPr>
            <w:r w:rsidRPr="00005453">
              <w:rPr>
                <w:color w:val="000000"/>
                <w:sz w:val="18"/>
                <w:szCs w:val="18"/>
              </w:rPr>
              <w:t>15,321,535</w:t>
            </w:r>
          </w:p>
        </w:tc>
        <w:tc>
          <w:tcPr>
            <w:tcW w:w="1306" w:type="dxa"/>
            <w:tcBorders>
              <w:top w:val="nil"/>
              <w:left w:val="nil"/>
              <w:bottom w:val="single" w:sz="4" w:space="0" w:color="auto"/>
              <w:right w:val="single" w:sz="4" w:space="0" w:color="auto"/>
            </w:tcBorders>
            <w:shd w:val="clear" w:color="auto" w:fill="auto"/>
            <w:vAlign w:val="center"/>
            <w:hideMark/>
          </w:tcPr>
          <w:p w14:paraId="2786E300" w14:textId="636B0255" w:rsidR="00AE7655" w:rsidRPr="00005453" w:rsidRDefault="00AE7655" w:rsidP="00AE7655">
            <w:pPr>
              <w:jc w:val="right"/>
              <w:rPr>
                <w:bCs/>
                <w:sz w:val="18"/>
                <w:szCs w:val="18"/>
                <w:lang w:eastAsia="tr-TR"/>
              </w:rPr>
            </w:pPr>
            <w:r w:rsidRPr="00005453">
              <w:rPr>
                <w:color w:val="000000"/>
                <w:sz w:val="18"/>
                <w:szCs w:val="18"/>
              </w:rPr>
              <w:t>3,504,424</w:t>
            </w:r>
          </w:p>
        </w:tc>
        <w:tc>
          <w:tcPr>
            <w:tcW w:w="1155" w:type="dxa"/>
            <w:tcBorders>
              <w:top w:val="nil"/>
              <w:left w:val="nil"/>
              <w:bottom w:val="single" w:sz="4" w:space="0" w:color="auto"/>
              <w:right w:val="single" w:sz="4" w:space="0" w:color="auto"/>
            </w:tcBorders>
            <w:shd w:val="clear" w:color="auto" w:fill="auto"/>
            <w:vAlign w:val="center"/>
            <w:hideMark/>
          </w:tcPr>
          <w:p w14:paraId="7CBF3856" w14:textId="5277B7FE" w:rsidR="00AE7655" w:rsidRPr="00005453" w:rsidRDefault="00AE7655" w:rsidP="00AE7655">
            <w:pPr>
              <w:jc w:val="right"/>
              <w:rPr>
                <w:sz w:val="18"/>
                <w:szCs w:val="18"/>
                <w:lang w:eastAsia="tr-TR"/>
              </w:rPr>
            </w:pPr>
            <w:r w:rsidRPr="00005453">
              <w:rPr>
                <w:color w:val="000000"/>
                <w:sz w:val="18"/>
                <w:szCs w:val="18"/>
              </w:rPr>
              <w:t>-</w:t>
            </w:r>
          </w:p>
        </w:tc>
      </w:tr>
      <w:tr w:rsidR="00A70DA0" w:rsidRPr="00005453" w14:paraId="6174892B"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2E317E83" w14:textId="01D49A55" w:rsidR="00A70DA0" w:rsidRPr="00005453" w:rsidRDefault="00A70DA0" w:rsidP="00A70DA0">
            <w:pPr>
              <w:rPr>
                <w:sz w:val="18"/>
                <w:szCs w:val="18"/>
                <w:lang w:eastAsia="tr-TR"/>
              </w:rPr>
            </w:pPr>
            <w:r w:rsidRPr="00005453">
              <w:rPr>
                <w:sz w:val="18"/>
                <w:szCs w:val="18"/>
                <w:lang w:eastAsia="tr-TR"/>
              </w:rPr>
              <w:t xml:space="preserve">Tüketici Kredileri </w:t>
            </w:r>
          </w:p>
        </w:tc>
        <w:tc>
          <w:tcPr>
            <w:tcW w:w="1306" w:type="dxa"/>
            <w:tcBorders>
              <w:top w:val="nil"/>
              <w:left w:val="nil"/>
              <w:bottom w:val="single" w:sz="4" w:space="0" w:color="auto"/>
              <w:right w:val="single" w:sz="4" w:space="0" w:color="auto"/>
            </w:tcBorders>
            <w:shd w:val="clear" w:color="auto" w:fill="auto"/>
            <w:vAlign w:val="center"/>
            <w:hideMark/>
          </w:tcPr>
          <w:p w14:paraId="3BCF355E" w14:textId="47059EAA" w:rsidR="00A70DA0" w:rsidRPr="00005453" w:rsidRDefault="00A70DA0" w:rsidP="00A70DA0">
            <w:pPr>
              <w:jc w:val="right"/>
              <w:rPr>
                <w:bCs/>
                <w:sz w:val="18"/>
                <w:szCs w:val="18"/>
                <w:lang w:eastAsia="tr-TR"/>
              </w:rPr>
            </w:pPr>
            <w:r w:rsidRPr="00005453">
              <w:rPr>
                <w:color w:val="000000"/>
                <w:sz w:val="18"/>
                <w:szCs w:val="18"/>
              </w:rPr>
              <w:t>20,522,31</w:t>
            </w:r>
            <w:r w:rsidR="00BD08A0" w:rsidRPr="00005453">
              <w:rPr>
                <w:color w:val="000000"/>
                <w:sz w:val="18"/>
                <w:szCs w:val="18"/>
              </w:rPr>
              <w:t>1</w:t>
            </w:r>
          </w:p>
        </w:tc>
        <w:tc>
          <w:tcPr>
            <w:tcW w:w="1306" w:type="dxa"/>
            <w:tcBorders>
              <w:top w:val="nil"/>
              <w:left w:val="nil"/>
              <w:bottom w:val="single" w:sz="4" w:space="0" w:color="auto"/>
              <w:right w:val="single" w:sz="4" w:space="0" w:color="auto"/>
            </w:tcBorders>
            <w:shd w:val="clear" w:color="auto" w:fill="auto"/>
            <w:vAlign w:val="center"/>
            <w:hideMark/>
          </w:tcPr>
          <w:p w14:paraId="173F1F75" w14:textId="7773A250" w:rsidR="00A70DA0" w:rsidRPr="00005453" w:rsidRDefault="00A70DA0" w:rsidP="00A70DA0">
            <w:pPr>
              <w:jc w:val="right"/>
              <w:rPr>
                <w:bCs/>
                <w:sz w:val="18"/>
                <w:szCs w:val="18"/>
                <w:lang w:eastAsia="tr-TR"/>
              </w:rPr>
            </w:pPr>
            <w:r w:rsidRPr="00005453">
              <w:rPr>
                <w:color w:val="000000"/>
                <w:sz w:val="18"/>
                <w:szCs w:val="18"/>
              </w:rPr>
              <w:t>799,233</w:t>
            </w:r>
          </w:p>
        </w:tc>
        <w:tc>
          <w:tcPr>
            <w:tcW w:w="1306" w:type="dxa"/>
            <w:tcBorders>
              <w:top w:val="nil"/>
              <w:left w:val="nil"/>
              <w:bottom w:val="single" w:sz="4" w:space="0" w:color="auto"/>
              <w:right w:val="single" w:sz="4" w:space="0" w:color="auto"/>
            </w:tcBorders>
            <w:shd w:val="clear" w:color="auto" w:fill="auto"/>
            <w:vAlign w:val="center"/>
            <w:hideMark/>
          </w:tcPr>
          <w:p w14:paraId="6BA689D8" w14:textId="2DF50AB2" w:rsidR="00A70DA0" w:rsidRPr="00005453" w:rsidRDefault="00A70DA0" w:rsidP="00A70DA0">
            <w:pPr>
              <w:jc w:val="right"/>
              <w:rPr>
                <w:bCs/>
                <w:sz w:val="18"/>
                <w:szCs w:val="18"/>
                <w:lang w:eastAsia="tr-TR"/>
              </w:rPr>
            </w:pPr>
            <w:r w:rsidRPr="00005453">
              <w:rPr>
                <w:color w:val="000000"/>
                <w:sz w:val="18"/>
                <w:szCs w:val="18"/>
              </w:rPr>
              <w:t>3,265</w:t>
            </w:r>
          </w:p>
        </w:tc>
        <w:tc>
          <w:tcPr>
            <w:tcW w:w="1155" w:type="dxa"/>
            <w:tcBorders>
              <w:top w:val="nil"/>
              <w:left w:val="nil"/>
              <w:bottom w:val="single" w:sz="4" w:space="0" w:color="auto"/>
              <w:right w:val="single" w:sz="4" w:space="0" w:color="auto"/>
            </w:tcBorders>
            <w:shd w:val="clear" w:color="auto" w:fill="auto"/>
            <w:vAlign w:val="center"/>
            <w:hideMark/>
          </w:tcPr>
          <w:p w14:paraId="6F03021A" w14:textId="6A6FC234" w:rsidR="00A70DA0" w:rsidRPr="00005453" w:rsidRDefault="00A70DA0" w:rsidP="00A70DA0">
            <w:pPr>
              <w:jc w:val="right"/>
              <w:rPr>
                <w:sz w:val="18"/>
                <w:szCs w:val="18"/>
                <w:lang w:eastAsia="tr-TR"/>
              </w:rPr>
            </w:pPr>
            <w:r w:rsidRPr="00005453">
              <w:rPr>
                <w:color w:val="000000"/>
                <w:sz w:val="18"/>
                <w:szCs w:val="18"/>
              </w:rPr>
              <w:t>-</w:t>
            </w:r>
          </w:p>
        </w:tc>
      </w:tr>
      <w:tr w:rsidR="00AE7655" w:rsidRPr="00005453" w14:paraId="37409407"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EBF1BD9" w14:textId="543160DB" w:rsidR="00AE7655" w:rsidRPr="00005453" w:rsidRDefault="00AE7655" w:rsidP="00AE7655">
            <w:pPr>
              <w:rPr>
                <w:sz w:val="18"/>
                <w:szCs w:val="18"/>
                <w:lang w:eastAsia="tr-TR"/>
              </w:rPr>
            </w:pPr>
            <w:r w:rsidRPr="00005453">
              <w:rPr>
                <w:sz w:val="18"/>
                <w:szCs w:val="18"/>
                <w:lang w:eastAsia="tr-TR"/>
              </w:rPr>
              <w:t xml:space="preserve">Kredi Kartları </w:t>
            </w:r>
          </w:p>
        </w:tc>
        <w:tc>
          <w:tcPr>
            <w:tcW w:w="1306" w:type="dxa"/>
            <w:tcBorders>
              <w:top w:val="nil"/>
              <w:left w:val="nil"/>
              <w:bottom w:val="single" w:sz="4" w:space="0" w:color="auto"/>
              <w:right w:val="single" w:sz="4" w:space="0" w:color="auto"/>
            </w:tcBorders>
            <w:shd w:val="clear" w:color="auto" w:fill="auto"/>
            <w:vAlign w:val="center"/>
            <w:hideMark/>
          </w:tcPr>
          <w:p w14:paraId="149C3CE2" w14:textId="7C1305AA" w:rsidR="00AE7655" w:rsidRPr="00005453" w:rsidRDefault="00AE7655" w:rsidP="00AE7655">
            <w:pPr>
              <w:jc w:val="right"/>
              <w:rPr>
                <w:bCs/>
                <w:sz w:val="18"/>
                <w:szCs w:val="18"/>
                <w:lang w:eastAsia="tr-TR"/>
              </w:rPr>
            </w:pPr>
            <w:r w:rsidRPr="00005453">
              <w:rPr>
                <w:color w:val="000000"/>
                <w:sz w:val="18"/>
                <w:szCs w:val="18"/>
              </w:rPr>
              <w:t>47,479,935</w:t>
            </w:r>
          </w:p>
        </w:tc>
        <w:tc>
          <w:tcPr>
            <w:tcW w:w="1306" w:type="dxa"/>
            <w:tcBorders>
              <w:top w:val="nil"/>
              <w:left w:val="nil"/>
              <w:bottom w:val="single" w:sz="4" w:space="0" w:color="auto"/>
              <w:right w:val="single" w:sz="4" w:space="0" w:color="auto"/>
            </w:tcBorders>
            <w:shd w:val="clear" w:color="auto" w:fill="auto"/>
            <w:vAlign w:val="center"/>
            <w:hideMark/>
          </w:tcPr>
          <w:p w14:paraId="48D876E7" w14:textId="5B6EB765" w:rsidR="00AE7655" w:rsidRPr="00005453" w:rsidRDefault="00AE7655" w:rsidP="00AE7655">
            <w:pPr>
              <w:jc w:val="right"/>
              <w:rPr>
                <w:bCs/>
                <w:sz w:val="18"/>
                <w:szCs w:val="18"/>
                <w:lang w:eastAsia="tr-TR"/>
              </w:rPr>
            </w:pPr>
            <w:r w:rsidRPr="00005453">
              <w:rPr>
                <w:color w:val="000000"/>
                <w:sz w:val="18"/>
                <w:szCs w:val="18"/>
              </w:rPr>
              <w:t>4,906,271</w:t>
            </w:r>
          </w:p>
        </w:tc>
        <w:tc>
          <w:tcPr>
            <w:tcW w:w="1306" w:type="dxa"/>
            <w:tcBorders>
              <w:top w:val="nil"/>
              <w:left w:val="nil"/>
              <w:bottom w:val="single" w:sz="4" w:space="0" w:color="auto"/>
              <w:right w:val="single" w:sz="4" w:space="0" w:color="auto"/>
            </w:tcBorders>
            <w:shd w:val="clear" w:color="auto" w:fill="auto"/>
            <w:vAlign w:val="center"/>
            <w:hideMark/>
          </w:tcPr>
          <w:p w14:paraId="33565CBA" w14:textId="2B8B9BBE" w:rsidR="00AE7655" w:rsidRPr="00005453" w:rsidRDefault="00AE7655" w:rsidP="00AE7655">
            <w:pPr>
              <w:jc w:val="right"/>
              <w:rPr>
                <w:bCs/>
                <w:sz w:val="18"/>
                <w:szCs w:val="18"/>
                <w:lang w:eastAsia="tr-TR"/>
              </w:rPr>
            </w:pPr>
            <w:r w:rsidRPr="00005453">
              <w:rPr>
                <w:color w:val="000000"/>
                <w:sz w:val="18"/>
                <w:szCs w:val="18"/>
              </w:rPr>
              <w:t>136,378</w:t>
            </w:r>
          </w:p>
        </w:tc>
        <w:tc>
          <w:tcPr>
            <w:tcW w:w="1155" w:type="dxa"/>
            <w:tcBorders>
              <w:top w:val="nil"/>
              <w:left w:val="nil"/>
              <w:bottom w:val="single" w:sz="4" w:space="0" w:color="auto"/>
              <w:right w:val="single" w:sz="4" w:space="0" w:color="auto"/>
            </w:tcBorders>
            <w:shd w:val="clear" w:color="auto" w:fill="auto"/>
            <w:vAlign w:val="center"/>
            <w:hideMark/>
          </w:tcPr>
          <w:p w14:paraId="13301920" w14:textId="0023C716" w:rsidR="00AE7655" w:rsidRPr="00005453" w:rsidRDefault="00AE7655" w:rsidP="00AE7655">
            <w:pPr>
              <w:jc w:val="right"/>
              <w:rPr>
                <w:sz w:val="18"/>
                <w:szCs w:val="18"/>
                <w:lang w:eastAsia="tr-TR"/>
              </w:rPr>
            </w:pPr>
            <w:r w:rsidRPr="00005453">
              <w:rPr>
                <w:color w:val="000000"/>
                <w:sz w:val="18"/>
                <w:szCs w:val="18"/>
              </w:rPr>
              <w:t>-</w:t>
            </w:r>
          </w:p>
        </w:tc>
      </w:tr>
      <w:tr w:rsidR="00AE7655" w:rsidRPr="00005453" w14:paraId="262A4886"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37B9B3F" w14:textId="055D9153" w:rsidR="00AE7655" w:rsidRPr="00005453" w:rsidRDefault="00AE7655" w:rsidP="00AE7655">
            <w:pPr>
              <w:rPr>
                <w:sz w:val="18"/>
                <w:szCs w:val="18"/>
                <w:lang w:eastAsia="tr-TR"/>
              </w:rPr>
            </w:pPr>
            <w:r w:rsidRPr="00005453">
              <w:rPr>
                <w:sz w:val="18"/>
                <w:szCs w:val="18"/>
                <w:lang w:eastAsia="tr-TR"/>
              </w:rPr>
              <w:t xml:space="preserve">Mali Kesime Verilen Krediler </w:t>
            </w:r>
          </w:p>
        </w:tc>
        <w:tc>
          <w:tcPr>
            <w:tcW w:w="1306" w:type="dxa"/>
            <w:tcBorders>
              <w:top w:val="nil"/>
              <w:left w:val="nil"/>
              <w:bottom w:val="single" w:sz="4" w:space="0" w:color="auto"/>
              <w:right w:val="single" w:sz="4" w:space="0" w:color="auto"/>
            </w:tcBorders>
            <w:shd w:val="clear" w:color="auto" w:fill="auto"/>
            <w:vAlign w:val="center"/>
            <w:hideMark/>
          </w:tcPr>
          <w:p w14:paraId="77FF9D65" w14:textId="4CFEC3F5" w:rsidR="00AE7655" w:rsidRPr="00005453" w:rsidRDefault="00AE7655" w:rsidP="00AE7655">
            <w:pPr>
              <w:jc w:val="right"/>
              <w:rPr>
                <w:bCs/>
                <w:sz w:val="18"/>
                <w:szCs w:val="18"/>
                <w:lang w:eastAsia="tr-TR"/>
              </w:rPr>
            </w:pPr>
            <w:r w:rsidRPr="00005453">
              <w:rPr>
                <w:color w:val="000000"/>
                <w:sz w:val="18"/>
                <w:szCs w:val="18"/>
              </w:rPr>
              <w:t>3,451,488</w:t>
            </w:r>
          </w:p>
        </w:tc>
        <w:tc>
          <w:tcPr>
            <w:tcW w:w="1306" w:type="dxa"/>
            <w:tcBorders>
              <w:top w:val="nil"/>
              <w:left w:val="nil"/>
              <w:bottom w:val="single" w:sz="4" w:space="0" w:color="auto"/>
              <w:right w:val="single" w:sz="4" w:space="0" w:color="auto"/>
            </w:tcBorders>
            <w:shd w:val="clear" w:color="auto" w:fill="auto"/>
            <w:vAlign w:val="center"/>
            <w:hideMark/>
          </w:tcPr>
          <w:p w14:paraId="24461FE8" w14:textId="61B736AB" w:rsidR="00AE7655" w:rsidRPr="00005453" w:rsidRDefault="00AE7655" w:rsidP="00AE7655">
            <w:pPr>
              <w:jc w:val="right"/>
              <w:rPr>
                <w:bCs/>
                <w:sz w:val="18"/>
                <w:szCs w:val="18"/>
                <w:lang w:eastAsia="tr-TR"/>
              </w:rPr>
            </w:pPr>
            <w:r w:rsidRPr="00005453">
              <w:rPr>
                <w:color w:val="000000"/>
                <w:sz w:val="18"/>
                <w:szCs w:val="18"/>
              </w:rPr>
              <w:t>-</w:t>
            </w:r>
          </w:p>
        </w:tc>
        <w:tc>
          <w:tcPr>
            <w:tcW w:w="1306" w:type="dxa"/>
            <w:tcBorders>
              <w:top w:val="nil"/>
              <w:left w:val="nil"/>
              <w:bottom w:val="single" w:sz="4" w:space="0" w:color="auto"/>
              <w:right w:val="single" w:sz="4" w:space="0" w:color="auto"/>
            </w:tcBorders>
            <w:shd w:val="clear" w:color="auto" w:fill="auto"/>
            <w:vAlign w:val="center"/>
            <w:hideMark/>
          </w:tcPr>
          <w:p w14:paraId="3142D6A2" w14:textId="77D85BFF" w:rsidR="00AE7655" w:rsidRPr="00005453" w:rsidRDefault="00AE7655" w:rsidP="00AE7655">
            <w:pPr>
              <w:jc w:val="right"/>
              <w:rPr>
                <w:bCs/>
                <w:sz w:val="18"/>
                <w:szCs w:val="18"/>
                <w:lang w:eastAsia="tr-TR"/>
              </w:rPr>
            </w:pPr>
            <w:r w:rsidRPr="00005453">
              <w:rPr>
                <w:color w:val="000000"/>
                <w:sz w:val="18"/>
                <w:szCs w:val="18"/>
              </w:rPr>
              <w:t>-</w:t>
            </w:r>
          </w:p>
        </w:tc>
        <w:tc>
          <w:tcPr>
            <w:tcW w:w="1155" w:type="dxa"/>
            <w:tcBorders>
              <w:top w:val="nil"/>
              <w:left w:val="nil"/>
              <w:bottom w:val="single" w:sz="4" w:space="0" w:color="auto"/>
              <w:right w:val="single" w:sz="4" w:space="0" w:color="auto"/>
            </w:tcBorders>
            <w:shd w:val="clear" w:color="auto" w:fill="auto"/>
            <w:vAlign w:val="center"/>
            <w:hideMark/>
          </w:tcPr>
          <w:p w14:paraId="6C30C609" w14:textId="4E646BAA" w:rsidR="00AE7655" w:rsidRPr="00005453" w:rsidRDefault="00AE7655" w:rsidP="00AE7655">
            <w:pPr>
              <w:jc w:val="right"/>
              <w:rPr>
                <w:sz w:val="18"/>
                <w:szCs w:val="18"/>
                <w:lang w:eastAsia="tr-TR"/>
              </w:rPr>
            </w:pPr>
            <w:r w:rsidRPr="00005453">
              <w:rPr>
                <w:color w:val="000000"/>
                <w:sz w:val="18"/>
                <w:szCs w:val="18"/>
              </w:rPr>
              <w:t>-</w:t>
            </w:r>
          </w:p>
        </w:tc>
      </w:tr>
      <w:tr w:rsidR="00AE7655" w:rsidRPr="00005453" w14:paraId="516C1821" w14:textId="77777777" w:rsidTr="00AE7655">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F2CFCE5" w14:textId="719CC683" w:rsidR="00AE7655" w:rsidRPr="00005453" w:rsidRDefault="00AE7655" w:rsidP="00AE7655">
            <w:pPr>
              <w:rPr>
                <w:sz w:val="18"/>
                <w:szCs w:val="18"/>
                <w:lang w:eastAsia="tr-TR"/>
              </w:rPr>
            </w:pPr>
            <w:r w:rsidRPr="00005453">
              <w:rPr>
                <w:sz w:val="18"/>
                <w:szCs w:val="18"/>
                <w:lang w:eastAsia="tr-TR"/>
              </w:rPr>
              <w:t xml:space="preserve">Diğer  </w:t>
            </w:r>
          </w:p>
        </w:tc>
        <w:tc>
          <w:tcPr>
            <w:tcW w:w="1306" w:type="dxa"/>
            <w:tcBorders>
              <w:top w:val="nil"/>
              <w:left w:val="nil"/>
              <w:bottom w:val="single" w:sz="4" w:space="0" w:color="auto"/>
              <w:right w:val="single" w:sz="4" w:space="0" w:color="auto"/>
            </w:tcBorders>
            <w:shd w:val="clear" w:color="auto" w:fill="auto"/>
            <w:vAlign w:val="center"/>
            <w:hideMark/>
          </w:tcPr>
          <w:p w14:paraId="3BEEAA38" w14:textId="2DFF4055" w:rsidR="00AE7655" w:rsidRPr="00005453" w:rsidRDefault="00AE7655" w:rsidP="00AE7655">
            <w:pPr>
              <w:jc w:val="right"/>
              <w:rPr>
                <w:bCs/>
                <w:sz w:val="18"/>
                <w:szCs w:val="18"/>
                <w:lang w:eastAsia="tr-TR"/>
              </w:rPr>
            </w:pPr>
            <w:r w:rsidRPr="00005453">
              <w:rPr>
                <w:color w:val="000000"/>
                <w:sz w:val="18"/>
                <w:szCs w:val="18"/>
              </w:rPr>
              <w:t>28,537,586</w:t>
            </w:r>
          </w:p>
        </w:tc>
        <w:tc>
          <w:tcPr>
            <w:tcW w:w="1306" w:type="dxa"/>
            <w:tcBorders>
              <w:top w:val="nil"/>
              <w:left w:val="nil"/>
              <w:bottom w:val="single" w:sz="4" w:space="0" w:color="auto"/>
              <w:right w:val="single" w:sz="4" w:space="0" w:color="auto"/>
            </w:tcBorders>
            <w:shd w:val="clear" w:color="auto" w:fill="auto"/>
            <w:vAlign w:val="center"/>
            <w:hideMark/>
          </w:tcPr>
          <w:p w14:paraId="4E04F5B1" w14:textId="0CF43E74" w:rsidR="00AE7655" w:rsidRPr="00005453" w:rsidRDefault="00AE7655" w:rsidP="00AE7655">
            <w:pPr>
              <w:jc w:val="right"/>
              <w:rPr>
                <w:bCs/>
                <w:sz w:val="18"/>
                <w:szCs w:val="18"/>
                <w:lang w:eastAsia="tr-TR"/>
              </w:rPr>
            </w:pPr>
            <w:r w:rsidRPr="00005453">
              <w:rPr>
                <w:color w:val="000000"/>
                <w:sz w:val="18"/>
                <w:szCs w:val="18"/>
              </w:rPr>
              <w:t>478,018</w:t>
            </w:r>
          </w:p>
        </w:tc>
        <w:tc>
          <w:tcPr>
            <w:tcW w:w="1306" w:type="dxa"/>
            <w:tcBorders>
              <w:top w:val="nil"/>
              <w:left w:val="nil"/>
              <w:bottom w:val="single" w:sz="4" w:space="0" w:color="auto"/>
              <w:right w:val="single" w:sz="4" w:space="0" w:color="auto"/>
            </w:tcBorders>
            <w:shd w:val="clear" w:color="auto" w:fill="auto"/>
            <w:vAlign w:val="center"/>
            <w:hideMark/>
          </w:tcPr>
          <w:p w14:paraId="2F526EDA" w14:textId="2CD48166" w:rsidR="00AE7655" w:rsidRPr="00005453" w:rsidRDefault="00AE7655" w:rsidP="00AE7655">
            <w:pPr>
              <w:jc w:val="right"/>
              <w:rPr>
                <w:bCs/>
                <w:sz w:val="18"/>
                <w:szCs w:val="18"/>
                <w:lang w:eastAsia="tr-TR"/>
              </w:rPr>
            </w:pPr>
            <w:r w:rsidRPr="00005453">
              <w:rPr>
                <w:color w:val="000000"/>
                <w:sz w:val="18"/>
                <w:szCs w:val="18"/>
              </w:rPr>
              <w:t>265,424</w:t>
            </w:r>
          </w:p>
        </w:tc>
        <w:tc>
          <w:tcPr>
            <w:tcW w:w="1155" w:type="dxa"/>
            <w:tcBorders>
              <w:top w:val="nil"/>
              <w:left w:val="nil"/>
              <w:bottom w:val="single" w:sz="4" w:space="0" w:color="auto"/>
              <w:right w:val="single" w:sz="4" w:space="0" w:color="auto"/>
            </w:tcBorders>
            <w:shd w:val="clear" w:color="auto" w:fill="auto"/>
            <w:vAlign w:val="center"/>
            <w:hideMark/>
          </w:tcPr>
          <w:p w14:paraId="08737C16" w14:textId="7370698E" w:rsidR="00AE7655" w:rsidRPr="00005453" w:rsidRDefault="00AE7655" w:rsidP="00AE7655">
            <w:pPr>
              <w:jc w:val="right"/>
              <w:rPr>
                <w:sz w:val="18"/>
                <w:szCs w:val="18"/>
                <w:lang w:eastAsia="tr-TR"/>
              </w:rPr>
            </w:pPr>
            <w:r w:rsidRPr="00005453">
              <w:rPr>
                <w:color w:val="000000"/>
                <w:sz w:val="18"/>
                <w:szCs w:val="18"/>
              </w:rPr>
              <w:t>-</w:t>
            </w:r>
          </w:p>
        </w:tc>
      </w:tr>
      <w:tr w:rsidR="00AE7655" w:rsidRPr="00005453" w14:paraId="3EBC8111" w14:textId="77777777" w:rsidTr="00AE7655">
        <w:trPr>
          <w:divId w:val="97067516"/>
          <w:trHeight w:val="223"/>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AE69669" w14:textId="77777777" w:rsidR="00AE7655" w:rsidRPr="00005453" w:rsidRDefault="00AE7655" w:rsidP="00AE7655">
            <w:pPr>
              <w:jc w:val="both"/>
              <w:rPr>
                <w:b/>
                <w:bCs/>
                <w:sz w:val="18"/>
                <w:szCs w:val="18"/>
                <w:lang w:eastAsia="tr-TR"/>
              </w:rPr>
            </w:pPr>
            <w:r w:rsidRPr="00005453">
              <w:rPr>
                <w:b/>
                <w:bCs/>
                <w:sz w:val="18"/>
                <w:szCs w:val="18"/>
                <w:lang w:eastAsia="tr-TR"/>
              </w:rPr>
              <w:t>Diğer Alacaklar</w:t>
            </w:r>
          </w:p>
        </w:tc>
        <w:tc>
          <w:tcPr>
            <w:tcW w:w="1306" w:type="dxa"/>
            <w:tcBorders>
              <w:top w:val="nil"/>
              <w:left w:val="nil"/>
              <w:bottom w:val="single" w:sz="4" w:space="0" w:color="auto"/>
              <w:right w:val="single" w:sz="4" w:space="0" w:color="auto"/>
            </w:tcBorders>
            <w:shd w:val="clear" w:color="auto" w:fill="auto"/>
            <w:vAlign w:val="center"/>
            <w:hideMark/>
          </w:tcPr>
          <w:p w14:paraId="3B250D9E" w14:textId="145E5486" w:rsidR="00AE7655" w:rsidRPr="00005453" w:rsidRDefault="00AE7655" w:rsidP="00AE7655">
            <w:pPr>
              <w:jc w:val="right"/>
              <w:rPr>
                <w:b/>
                <w:bCs/>
                <w:sz w:val="18"/>
                <w:szCs w:val="18"/>
                <w:lang w:eastAsia="tr-TR"/>
              </w:rPr>
            </w:pPr>
            <w:r w:rsidRPr="00005453">
              <w:rPr>
                <w:b/>
                <w:color w:val="000000"/>
                <w:sz w:val="18"/>
                <w:szCs w:val="18"/>
              </w:rPr>
              <w:t>3,29</w:t>
            </w:r>
            <w:r w:rsidR="00BD08A0" w:rsidRPr="00005453">
              <w:rPr>
                <w:b/>
                <w:color w:val="000000"/>
                <w:sz w:val="18"/>
                <w:szCs w:val="18"/>
              </w:rPr>
              <w:t>5</w:t>
            </w:r>
          </w:p>
        </w:tc>
        <w:tc>
          <w:tcPr>
            <w:tcW w:w="1306" w:type="dxa"/>
            <w:tcBorders>
              <w:top w:val="nil"/>
              <w:left w:val="nil"/>
              <w:bottom w:val="single" w:sz="4" w:space="0" w:color="auto"/>
              <w:right w:val="single" w:sz="4" w:space="0" w:color="auto"/>
            </w:tcBorders>
            <w:shd w:val="clear" w:color="auto" w:fill="auto"/>
            <w:vAlign w:val="center"/>
            <w:hideMark/>
          </w:tcPr>
          <w:p w14:paraId="17882737" w14:textId="71DDF020" w:rsidR="00AE7655" w:rsidRPr="00005453" w:rsidRDefault="00AE7655" w:rsidP="00AE7655">
            <w:pPr>
              <w:jc w:val="right"/>
              <w:rPr>
                <w:b/>
                <w:bCs/>
                <w:sz w:val="18"/>
                <w:szCs w:val="18"/>
                <w:lang w:eastAsia="tr-TR"/>
              </w:rPr>
            </w:pPr>
            <w:r w:rsidRPr="00005453">
              <w:rPr>
                <w:b/>
                <w:color w:val="000000"/>
                <w:sz w:val="18"/>
                <w:szCs w:val="18"/>
              </w:rPr>
              <w:t>18,305</w:t>
            </w:r>
          </w:p>
        </w:tc>
        <w:tc>
          <w:tcPr>
            <w:tcW w:w="1306" w:type="dxa"/>
            <w:tcBorders>
              <w:top w:val="nil"/>
              <w:left w:val="nil"/>
              <w:bottom w:val="single" w:sz="4" w:space="0" w:color="auto"/>
              <w:right w:val="single" w:sz="4" w:space="0" w:color="auto"/>
            </w:tcBorders>
            <w:shd w:val="clear" w:color="auto" w:fill="auto"/>
            <w:vAlign w:val="center"/>
            <w:hideMark/>
          </w:tcPr>
          <w:p w14:paraId="5D552106" w14:textId="66FA3CF7" w:rsidR="00AE7655" w:rsidRPr="00005453" w:rsidRDefault="00AE7655" w:rsidP="00AE7655">
            <w:pPr>
              <w:jc w:val="right"/>
              <w:rPr>
                <w:b/>
                <w:bCs/>
                <w:sz w:val="18"/>
                <w:szCs w:val="18"/>
                <w:lang w:eastAsia="tr-TR"/>
              </w:rPr>
            </w:pPr>
            <w:r w:rsidRPr="00005453">
              <w:rPr>
                <w:b/>
                <w:color w:val="000000"/>
                <w:sz w:val="18"/>
                <w:szCs w:val="18"/>
              </w:rPr>
              <w:t>-</w:t>
            </w:r>
          </w:p>
        </w:tc>
        <w:tc>
          <w:tcPr>
            <w:tcW w:w="1155" w:type="dxa"/>
            <w:tcBorders>
              <w:top w:val="nil"/>
              <w:left w:val="nil"/>
              <w:bottom w:val="single" w:sz="4" w:space="0" w:color="auto"/>
              <w:right w:val="single" w:sz="4" w:space="0" w:color="auto"/>
            </w:tcBorders>
            <w:shd w:val="clear" w:color="auto" w:fill="auto"/>
            <w:vAlign w:val="center"/>
            <w:hideMark/>
          </w:tcPr>
          <w:p w14:paraId="25E0DE4A" w14:textId="44CC7E6B" w:rsidR="00AE7655" w:rsidRPr="00005453" w:rsidRDefault="00AE7655" w:rsidP="00AE7655">
            <w:pPr>
              <w:jc w:val="right"/>
              <w:rPr>
                <w:b/>
                <w:bCs/>
                <w:sz w:val="18"/>
                <w:szCs w:val="18"/>
                <w:lang w:eastAsia="tr-TR"/>
              </w:rPr>
            </w:pPr>
            <w:r w:rsidRPr="00005453">
              <w:rPr>
                <w:b/>
                <w:color w:val="000000"/>
                <w:sz w:val="18"/>
                <w:szCs w:val="18"/>
              </w:rPr>
              <w:t>-</w:t>
            </w:r>
          </w:p>
        </w:tc>
      </w:tr>
      <w:tr w:rsidR="00AE7655" w:rsidRPr="00005453" w14:paraId="4E6423AC" w14:textId="77777777" w:rsidTr="00AE7655">
        <w:trPr>
          <w:divId w:val="97067516"/>
          <w:trHeight w:val="223"/>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60B04E41" w14:textId="77777777" w:rsidR="00AE7655" w:rsidRPr="00005453" w:rsidRDefault="00AE7655" w:rsidP="00AE7655">
            <w:pPr>
              <w:jc w:val="both"/>
              <w:rPr>
                <w:b/>
                <w:bCs/>
                <w:sz w:val="18"/>
                <w:szCs w:val="18"/>
                <w:lang w:eastAsia="tr-TR"/>
              </w:rPr>
            </w:pPr>
            <w:r w:rsidRPr="00005453">
              <w:rPr>
                <w:b/>
                <w:bCs/>
                <w:sz w:val="18"/>
                <w:szCs w:val="18"/>
                <w:lang w:eastAsia="tr-TR"/>
              </w:rPr>
              <w:t>Toplam</w:t>
            </w:r>
          </w:p>
        </w:tc>
        <w:tc>
          <w:tcPr>
            <w:tcW w:w="1306" w:type="dxa"/>
            <w:tcBorders>
              <w:top w:val="nil"/>
              <w:left w:val="nil"/>
              <w:bottom w:val="single" w:sz="4" w:space="0" w:color="auto"/>
              <w:right w:val="single" w:sz="4" w:space="0" w:color="auto"/>
            </w:tcBorders>
            <w:shd w:val="clear" w:color="auto" w:fill="auto"/>
            <w:vAlign w:val="center"/>
            <w:hideMark/>
          </w:tcPr>
          <w:p w14:paraId="66B6EEB9" w14:textId="1A8887AE" w:rsidR="00AE7655" w:rsidRPr="00005453" w:rsidRDefault="00AE7655" w:rsidP="00AE7655">
            <w:pPr>
              <w:jc w:val="right"/>
              <w:rPr>
                <w:b/>
                <w:bCs/>
                <w:sz w:val="18"/>
                <w:szCs w:val="18"/>
                <w:lang w:eastAsia="tr-TR"/>
              </w:rPr>
            </w:pPr>
            <w:r w:rsidRPr="00005453">
              <w:rPr>
                <w:b/>
                <w:bCs/>
                <w:color w:val="000000"/>
                <w:sz w:val="18"/>
                <w:szCs w:val="18"/>
              </w:rPr>
              <w:t>350,390,51</w:t>
            </w:r>
            <w:r w:rsidR="00BD08A0" w:rsidRPr="00005453">
              <w:rPr>
                <w:b/>
                <w:bCs/>
                <w:color w:val="000000"/>
                <w:sz w:val="18"/>
                <w:szCs w:val="18"/>
              </w:rPr>
              <w:t>6</w:t>
            </w:r>
          </w:p>
        </w:tc>
        <w:tc>
          <w:tcPr>
            <w:tcW w:w="1306" w:type="dxa"/>
            <w:tcBorders>
              <w:top w:val="nil"/>
              <w:left w:val="nil"/>
              <w:bottom w:val="single" w:sz="4" w:space="0" w:color="auto"/>
              <w:right w:val="single" w:sz="4" w:space="0" w:color="auto"/>
            </w:tcBorders>
            <w:shd w:val="clear" w:color="auto" w:fill="auto"/>
            <w:vAlign w:val="center"/>
            <w:hideMark/>
          </w:tcPr>
          <w:p w14:paraId="12F12A9E" w14:textId="28A1D098" w:rsidR="00AE7655" w:rsidRPr="00005453" w:rsidRDefault="00AE7655" w:rsidP="00AE7655">
            <w:pPr>
              <w:jc w:val="right"/>
              <w:rPr>
                <w:b/>
                <w:bCs/>
                <w:sz w:val="18"/>
                <w:szCs w:val="18"/>
                <w:lang w:eastAsia="tr-TR"/>
              </w:rPr>
            </w:pPr>
            <w:r w:rsidRPr="00005453">
              <w:rPr>
                <w:b/>
                <w:bCs/>
                <w:color w:val="000000"/>
                <w:sz w:val="18"/>
                <w:szCs w:val="18"/>
              </w:rPr>
              <w:t>22,894,876</w:t>
            </w:r>
          </w:p>
        </w:tc>
        <w:tc>
          <w:tcPr>
            <w:tcW w:w="1306" w:type="dxa"/>
            <w:tcBorders>
              <w:top w:val="nil"/>
              <w:left w:val="nil"/>
              <w:bottom w:val="single" w:sz="4" w:space="0" w:color="auto"/>
              <w:right w:val="single" w:sz="4" w:space="0" w:color="auto"/>
            </w:tcBorders>
            <w:shd w:val="clear" w:color="auto" w:fill="auto"/>
            <w:vAlign w:val="center"/>
            <w:hideMark/>
          </w:tcPr>
          <w:p w14:paraId="48FCA918" w14:textId="4CD3B185" w:rsidR="00AE7655" w:rsidRPr="00005453" w:rsidRDefault="00AE7655" w:rsidP="00AE7655">
            <w:pPr>
              <w:jc w:val="right"/>
              <w:rPr>
                <w:b/>
                <w:bCs/>
                <w:sz w:val="18"/>
                <w:szCs w:val="18"/>
                <w:lang w:eastAsia="tr-TR"/>
              </w:rPr>
            </w:pPr>
            <w:r w:rsidRPr="00005453">
              <w:rPr>
                <w:b/>
                <w:bCs/>
                <w:color w:val="000000"/>
                <w:sz w:val="18"/>
                <w:szCs w:val="18"/>
              </w:rPr>
              <w:t>3,909,491</w:t>
            </w:r>
          </w:p>
        </w:tc>
        <w:tc>
          <w:tcPr>
            <w:tcW w:w="1155" w:type="dxa"/>
            <w:tcBorders>
              <w:top w:val="nil"/>
              <w:left w:val="nil"/>
              <w:bottom w:val="single" w:sz="4" w:space="0" w:color="auto"/>
              <w:right w:val="single" w:sz="4" w:space="0" w:color="auto"/>
            </w:tcBorders>
            <w:shd w:val="clear" w:color="auto" w:fill="auto"/>
            <w:vAlign w:val="center"/>
            <w:hideMark/>
          </w:tcPr>
          <w:p w14:paraId="1FEFD251" w14:textId="7F23EA7A" w:rsidR="00AE7655" w:rsidRPr="00005453" w:rsidRDefault="00AE7655" w:rsidP="00AE7655">
            <w:pPr>
              <w:jc w:val="right"/>
              <w:rPr>
                <w:b/>
                <w:bCs/>
                <w:sz w:val="18"/>
                <w:szCs w:val="18"/>
                <w:lang w:eastAsia="tr-TR"/>
              </w:rPr>
            </w:pPr>
            <w:r w:rsidRPr="00005453">
              <w:rPr>
                <w:b/>
                <w:bCs/>
                <w:color w:val="000000"/>
                <w:sz w:val="18"/>
                <w:szCs w:val="18"/>
              </w:rPr>
              <w:t>-</w:t>
            </w:r>
          </w:p>
        </w:tc>
      </w:tr>
    </w:tbl>
    <w:p w14:paraId="53F2D7C7" w14:textId="350B6734" w:rsidR="00F821EE" w:rsidRPr="00005453" w:rsidRDefault="00F821EE" w:rsidP="00D22163">
      <w:pPr>
        <w:autoSpaceDE w:val="0"/>
        <w:autoSpaceDN w:val="0"/>
        <w:adjustRightInd w:val="0"/>
        <w:ind w:left="567" w:hanging="567"/>
        <w:jc w:val="both"/>
        <w:rPr>
          <w:lang w:val="en-GB" w:eastAsia="en-GB"/>
        </w:rPr>
      </w:pPr>
    </w:p>
    <w:tbl>
      <w:tblPr>
        <w:tblW w:w="9209" w:type="dxa"/>
        <w:tblCellMar>
          <w:left w:w="70" w:type="dxa"/>
          <w:right w:w="70" w:type="dxa"/>
        </w:tblCellMar>
        <w:tblLook w:val="04A0" w:firstRow="1" w:lastRow="0" w:firstColumn="1" w:lastColumn="0" w:noHBand="0" w:noVBand="1"/>
      </w:tblPr>
      <w:tblGrid>
        <w:gridCol w:w="4147"/>
        <w:gridCol w:w="1308"/>
        <w:gridCol w:w="1308"/>
        <w:gridCol w:w="1308"/>
        <w:gridCol w:w="1138"/>
      </w:tblGrid>
      <w:tr w:rsidR="00F821EE" w:rsidRPr="00005453" w14:paraId="184242FD" w14:textId="77777777" w:rsidTr="00346550">
        <w:trPr>
          <w:divId w:val="63918335"/>
          <w:trHeight w:val="219"/>
        </w:trPr>
        <w:tc>
          <w:tcPr>
            <w:tcW w:w="41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8DDA8E" w14:textId="0B4AE9AA" w:rsidR="00F821EE" w:rsidRPr="00005453" w:rsidRDefault="00F821EE" w:rsidP="00F821EE">
            <w:pPr>
              <w:jc w:val="center"/>
              <w:rPr>
                <w:b/>
                <w:bCs/>
                <w:sz w:val="18"/>
                <w:szCs w:val="18"/>
                <w:lang w:eastAsia="tr-TR"/>
              </w:rPr>
            </w:pPr>
            <w:r w:rsidRPr="00005453">
              <w:rPr>
                <w:b/>
                <w:bCs/>
                <w:sz w:val="18"/>
                <w:szCs w:val="18"/>
                <w:lang w:eastAsia="tr-TR"/>
              </w:rPr>
              <w:t>Önceki Dönem-Nakdi Krediler</w:t>
            </w:r>
          </w:p>
        </w:tc>
        <w:tc>
          <w:tcPr>
            <w:tcW w:w="13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064D94" w14:textId="77777777" w:rsidR="00F821EE" w:rsidRPr="00005453" w:rsidRDefault="00F821EE" w:rsidP="00F821EE">
            <w:pPr>
              <w:jc w:val="center"/>
              <w:rPr>
                <w:b/>
                <w:bCs/>
                <w:sz w:val="18"/>
                <w:szCs w:val="18"/>
                <w:lang w:eastAsia="tr-TR"/>
              </w:rPr>
            </w:pPr>
            <w:r w:rsidRPr="00005453">
              <w:rPr>
                <w:b/>
                <w:bCs/>
                <w:sz w:val="18"/>
                <w:szCs w:val="18"/>
                <w:lang w:eastAsia="tr-TR"/>
              </w:rPr>
              <w:t>Standart Nitelikli Krediler</w:t>
            </w:r>
          </w:p>
        </w:tc>
        <w:tc>
          <w:tcPr>
            <w:tcW w:w="37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DB185B" w14:textId="77777777" w:rsidR="00F821EE" w:rsidRPr="00005453" w:rsidRDefault="00F821EE" w:rsidP="00F821EE">
            <w:pPr>
              <w:jc w:val="center"/>
              <w:rPr>
                <w:b/>
                <w:bCs/>
                <w:sz w:val="18"/>
                <w:szCs w:val="18"/>
                <w:lang w:eastAsia="tr-TR"/>
              </w:rPr>
            </w:pPr>
            <w:r w:rsidRPr="00005453">
              <w:rPr>
                <w:b/>
                <w:bCs/>
                <w:sz w:val="18"/>
                <w:szCs w:val="18"/>
                <w:lang w:eastAsia="tr-TR"/>
              </w:rPr>
              <w:t>Yakın İzlemedeki Krediler</w:t>
            </w:r>
          </w:p>
        </w:tc>
      </w:tr>
      <w:tr w:rsidR="00F821EE" w:rsidRPr="00005453" w14:paraId="76ECF858" w14:textId="77777777" w:rsidTr="00346550">
        <w:trPr>
          <w:divId w:val="63918335"/>
          <w:trHeight w:val="247"/>
        </w:trPr>
        <w:tc>
          <w:tcPr>
            <w:tcW w:w="4147" w:type="dxa"/>
            <w:vMerge/>
            <w:tcBorders>
              <w:top w:val="single" w:sz="4" w:space="0" w:color="auto"/>
              <w:left w:val="single" w:sz="4" w:space="0" w:color="auto"/>
              <w:bottom w:val="single" w:sz="4" w:space="0" w:color="000000"/>
              <w:right w:val="single" w:sz="4" w:space="0" w:color="auto"/>
            </w:tcBorders>
            <w:vAlign w:val="center"/>
            <w:hideMark/>
          </w:tcPr>
          <w:p w14:paraId="411094EA" w14:textId="77777777" w:rsidR="00F821EE" w:rsidRPr="00005453" w:rsidRDefault="00F821EE" w:rsidP="00F821EE">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342DA6E8" w14:textId="77777777" w:rsidR="00F821EE" w:rsidRPr="00005453" w:rsidRDefault="00F821EE" w:rsidP="00F821EE">
            <w:pPr>
              <w:rPr>
                <w:b/>
                <w:bCs/>
                <w:sz w:val="18"/>
                <w:szCs w:val="18"/>
                <w:lang w:eastAsia="tr-TR"/>
              </w:rPr>
            </w:pP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14:paraId="5668DA36" w14:textId="77777777" w:rsidR="00F821EE" w:rsidRPr="00005453" w:rsidRDefault="00F821EE" w:rsidP="00F821EE">
            <w:pPr>
              <w:jc w:val="center"/>
              <w:rPr>
                <w:b/>
                <w:bCs/>
                <w:sz w:val="18"/>
                <w:szCs w:val="18"/>
                <w:lang w:eastAsia="tr-TR"/>
              </w:rPr>
            </w:pPr>
            <w:r w:rsidRPr="00005453">
              <w:rPr>
                <w:b/>
                <w:bCs/>
                <w:sz w:val="18"/>
                <w:szCs w:val="18"/>
                <w:lang w:eastAsia="tr-TR"/>
              </w:rPr>
              <w:t>Yeniden Yapılandırma Kapsamında Yer Almayanlar</w:t>
            </w:r>
          </w:p>
        </w:tc>
        <w:tc>
          <w:tcPr>
            <w:tcW w:w="24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F8831D9" w14:textId="77777777" w:rsidR="00F821EE" w:rsidRPr="00005453" w:rsidRDefault="00F821EE" w:rsidP="00F821EE">
            <w:pPr>
              <w:jc w:val="center"/>
              <w:rPr>
                <w:b/>
                <w:bCs/>
                <w:sz w:val="18"/>
                <w:szCs w:val="18"/>
                <w:lang w:eastAsia="tr-TR"/>
              </w:rPr>
            </w:pPr>
            <w:r w:rsidRPr="00005453">
              <w:rPr>
                <w:b/>
                <w:bCs/>
                <w:sz w:val="18"/>
                <w:szCs w:val="18"/>
                <w:lang w:eastAsia="tr-TR"/>
              </w:rPr>
              <w:t>Yeniden Yapılandırılanlar</w:t>
            </w:r>
          </w:p>
        </w:tc>
      </w:tr>
      <w:tr w:rsidR="00F821EE" w:rsidRPr="00005453" w14:paraId="703B09CF" w14:textId="77777777" w:rsidTr="00346550">
        <w:trPr>
          <w:divId w:val="63918335"/>
          <w:trHeight w:val="659"/>
        </w:trPr>
        <w:tc>
          <w:tcPr>
            <w:tcW w:w="4147" w:type="dxa"/>
            <w:vMerge/>
            <w:tcBorders>
              <w:top w:val="single" w:sz="4" w:space="0" w:color="auto"/>
              <w:left w:val="single" w:sz="4" w:space="0" w:color="auto"/>
              <w:bottom w:val="single" w:sz="4" w:space="0" w:color="000000"/>
              <w:right w:val="single" w:sz="4" w:space="0" w:color="auto"/>
            </w:tcBorders>
            <w:vAlign w:val="center"/>
            <w:hideMark/>
          </w:tcPr>
          <w:p w14:paraId="7C002FBE" w14:textId="77777777" w:rsidR="00F821EE" w:rsidRPr="00005453" w:rsidRDefault="00F821EE" w:rsidP="00F821EE">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2E347BE5" w14:textId="77777777" w:rsidR="00F821EE" w:rsidRPr="00005453" w:rsidRDefault="00F821EE" w:rsidP="00F821EE">
            <w:pPr>
              <w:rPr>
                <w:b/>
                <w:bCs/>
                <w:sz w:val="18"/>
                <w:szCs w:val="18"/>
                <w:lang w:eastAsia="tr-TR"/>
              </w:rPr>
            </w:pPr>
          </w:p>
        </w:tc>
        <w:tc>
          <w:tcPr>
            <w:tcW w:w="1308" w:type="dxa"/>
            <w:vMerge/>
            <w:tcBorders>
              <w:top w:val="nil"/>
              <w:left w:val="single" w:sz="4" w:space="0" w:color="auto"/>
              <w:bottom w:val="single" w:sz="4" w:space="0" w:color="000000"/>
              <w:right w:val="single" w:sz="4" w:space="0" w:color="auto"/>
            </w:tcBorders>
            <w:vAlign w:val="center"/>
            <w:hideMark/>
          </w:tcPr>
          <w:p w14:paraId="2E81BB03" w14:textId="77777777" w:rsidR="00F821EE" w:rsidRPr="00005453" w:rsidRDefault="00F821EE" w:rsidP="00F821EE">
            <w:pPr>
              <w:rPr>
                <w:b/>
                <w:bCs/>
                <w:sz w:val="18"/>
                <w:szCs w:val="18"/>
                <w:lang w:eastAsia="tr-TR"/>
              </w:rPr>
            </w:pPr>
          </w:p>
        </w:tc>
        <w:tc>
          <w:tcPr>
            <w:tcW w:w="1308" w:type="dxa"/>
            <w:tcBorders>
              <w:top w:val="nil"/>
              <w:left w:val="nil"/>
              <w:bottom w:val="single" w:sz="4" w:space="0" w:color="auto"/>
              <w:right w:val="single" w:sz="4" w:space="0" w:color="auto"/>
            </w:tcBorders>
            <w:shd w:val="clear" w:color="auto" w:fill="auto"/>
            <w:vAlign w:val="center"/>
            <w:hideMark/>
          </w:tcPr>
          <w:p w14:paraId="41F02C1F" w14:textId="77777777" w:rsidR="00F821EE" w:rsidRPr="00005453" w:rsidRDefault="00F821EE" w:rsidP="00F821EE">
            <w:pPr>
              <w:jc w:val="center"/>
              <w:rPr>
                <w:b/>
                <w:bCs/>
                <w:sz w:val="18"/>
                <w:szCs w:val="18"/>
                <w:lang w:eastAsia="tr-TR"/>
              </w:rPr>
            </w:pPr>
            <w:r w:rsidRPr="00005453">
              <w:rPr>
                <w:b/>
                <w:bCs/>
                <w:sz w:val="18"/>
                <w:szCs w:val="18"/>
                <w:lang w:eastAsia="tr-TR"/>
              </w:rPr>
              <w:t>Sözleşme Koşullarında Değişiklik</w:t>
            </w:r>
          </w:p>
        </w:tc>
        <w:tc>
          <w:tcPr>
            <w:tcW w:w="1138" w:type="dxa"/>
            <w:tcBorders>
              <w:top w:val="nil"/>
              <w:left w:val="nil"/>
              <w:bottom w:val="single" w:sz="4" w:space="0" w:color="auto"/>
              <w:right w:val="single" w:sz="4" w:space="0" w:color="auto"/>
            </w:tcBorders>
            <w:shd w:val="clear" w:color="auto" w:fill="auto"/>
            <w:vAlign w:val="center"/>
            <w:hideMark/>
          </w:tcPr>
          <w:p w14:paraId="35D9666C" w14:textId="77777777" w:rsidR="00F821EE" w:rsidRPr="00005453" w:rsidRDefault="00F821EE" w:rsidP="00F821EE">
            <w:pPr>
              <w:jc w:val="center"/>
              <w:rPr>
                <w:b/>
                <w:bCs/>
                <w:sz w:val="18"/>
                <w:szCs w:val="18"/>
                <w:lang w:eastAsia="tr-TR"/>
              </w:rPr>
            </w:pPr>
            <w:r w:rsidRPr="00005453">
              <w:rPr>
                <w:b/>
                <w:bCs/>
                <w:sz w:val="18"/>
                <w:szCs w:val="18"/>
                <w:lang w:eastAsia="tr-TR"/>
              </w:rPr>
              <w:t>Yeniden Finansman</w:t>
            </w:r>
          </w:p>
        </w:tc>
      </w:tr>
      <w:tr w:rsidR="00731137" w:rsidRPr="00005453" w14:paraId="327EB522" w14:textId="77777777" w:rsidTr="00346550">
        <w:trPr>
          <w:divId w:val="63918335"/>
          <w:trHeight w:val="192"/>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23F43C78" w14:textId="77777777" w:rsidR="00731137" w:rsidRPr="00005453" w:rsidRDefault="00731137" w:rsidP="00731137">
            <w:pPr>
              <w:jc w:val="both"/>
              <w:rPr>
                <w:b/>
                <w:bCs/>
                <w:sz w:val="18"/>
                <w:szCs w:val="18"/>
                <w:lang w:eastAsia="tr-TR"/>
              </w:rPr>
            </w:pPr>
            <w:r w:rsidRPr="00005453">
              <w:rPr>
                <w:b/>
                <w:bCs/>
                <w:sz w:val="18"/>
                <w:szCs w:val="18"/>
                <w:lang w:eastAsia="tr-TR"/>
              </w:rPr>
              <w:t>Krediler</w:t>
            </w:r>
          </w:p>
        </w:tc>
        <w:tc>
          <w:tcPr>
            <w:tcW w:w="1308" w:type="dxa"/>
            <w:tcBorders>
              <w:top w:val="nil"/>
              <w:left w:val="nil"/>
              <w:bottom w:val="single" w:sz="4" w:space="0" w:color="auto"/>
              <w:right w:val="single" w:sz="4" w:space="0" w:color="auto"/>
            </w:tcBorders>
            <w:shd w:val="clear" w:color="auto" w:fill="auto"/>
            <w:vAlign w:val="center"/>
            <w:hideMark/>
          </w:tcPr>
          <w:p w14:paraId="6BC07B38" w14:textId="4B4065DE" w:rsidR="00731137" w:rsidRPr="00005453" w:rsidRDefault="00731137" w:rsidP="00731137">
            <w:pPr>
              <w:jc w:val="right"/>
              <w:rPr>
                <w:b/>
                <w:bCs/>
                <w:sz w:val="18"/>
                <w:szCs w:val="18"/>
                <w:lang w:eastAsia="tr-TR"/>
              </w:rPr>
            </w:pPr>
            <w:r w:rsidRPr="00005453">
              <w:rPr>
                <w:b/>
                <w:bCs/>
                <w:sz w:val="18"/>
                <w:szCs w:val="18"/>
                <w:lang w:eastAsia="tr-TR"/>
              </w:rPr>
              <w:t>275,139,984</w:t>
            </w:r>
          </w:p>
        </w:tc>
        <w:tc>
          <w:tcPr>
            <w:tcW w:w="1308" w:type="dxa"/>
            <w:tcBorders>
              <w:top w:val="nil"/>
              <w:left w:val="nil"/>
              <w:bottom w:val="single" w:sz="4" w:space="0" w:color="auto"/>
              <w:right w:val="single" w:sz="4" w:space="0" w:color="auto"/>
            </w:tcBorders>
            <w:shd w:val="clear" w:color="auto" w:fill="auto"/>
            <w:vAlign w:val="center"/>
            <w:hideMark/>
          </w:tcPr>
          <w:p w14:paraId="5243F2F4" w14:textId="4E15E459" w:rsidR="00731137" w:rsidRPr="00005453" w:rsidRDefault="00731137" w:rsidP="00731137">
            <w:pPr>
              <w:jc w:val="right"/>
              <w:rPr>
                <w:b/>
                <w:bCs/>
                <w:sz w:val="18"/>
                <w:szCs w:val="18"/>
                <w:lang w:eastAsia="tr-TR"/>
              </w:rPr>
            </w:pPr>
            <w:r w:rsidRPr="00005453">
              <w:rPr>
                <w:b/>
                <w:bCs/>
                <w:sz w:val="18"/>
                <w:szCs w:val="18"/>
                <w:lang w:eastAsia="tr-TR"/>
              </w:rPr>
              <w:t>16,084,305</w:t>
            </w:r>
          </w:p>
        </w:tc>
        <w:tc>
          <w:tcPr>
            <w:tcW w:w="1308" w:type="dxa"/>
            <w:tcBorders>
              <w:top w:val="nil"/>
              <w:left w:val="nil"/>
              <w:bottom w:val="single" w:sz="4" w:space="0" w:color="auto"/>
              <w:right w:val="single" w:sz="4" w:space="0" w:color="auto"/>
            </w:tcBorders>
            <w:shd w:val="clear" w:color="auto" w:fill="auto"/>
            <w:vAlign w:val="center"/>
            <w:hideMark/>
          </w:tcPr>
          <w:p w14:paraId="13CC4BCA" w14:textId="285E0E6C" w:rsidR="00731137" w:rsidRPr="00005453" w:rsidRDefault="00731137" w:rsidP="00731137">
            <w:pPr>
              <w:jc w:val="right"/>
              <w:rPr>
                <w:b/>
                <w:bCs/>
                <w:sz w:val="18"/>
                <w:szCs w:val="18"/>
                <w:lang w:eastAsia="tr-TR"/>
              </w:rPr>
            </w:pPr>
            <w:r w:rsidRPr="00005453">
              <w:rPr>
                <w:b/>
                <w:bCs/>
                <w:sz w:val="18"/>
                <w:szCs w:val="18"/>
                <w:lang w:eastAsia="tr-TR"/>
              </w:rPr>
              <w:t>3,342,12</w:t>
            </w:r>
            <w:r w:rsidR="001F4FDC" w:rsidRPr="00005453">
              <w:rPr>
                <w:b/>
                <w:bCs/>
                <w:sz w:val="18"/>
                <w:szCs w:val="18"/>
                <w:lang w:eastAsia="tr-TR"/>
              </w:rPr>
              <w:t>2</w:t>
            </w:r>
          </w:p>
        </w:tc>
        <w:tc>
          <w:tcPr>
            <w:tcW w:w="1138" w:type="dxa"/>
            <w:tcBorders>
              <w:top w:val="nil"/>
              <w:left w:val="nil"/>
              <w:bottom w:val="single" w:sz="4" w:space="0" w:color="auto"/>
              <w:right w:val="single" w:sz="4" w:space="0" w:color="auto"/>
            </w:tcBorders>
            <w:shd w:val="clear" w:color="auto" w:fill="auto"/>
            <w:vAlign w:val="center"/>
            <w:hideMark/>
          </w:tcPr>
          <w:p w14:paraId="1F84535C" w14:textId="12A8812A" w:rsidR="00731137" w:rsidRPr="00005453" w:rsidRDefault="00731137" w:rsidP="00731137">
            <w:pPr>
              <w:jc w:val="right"/>
              <w:rPr>
                <w:b/>
                <w:bCs/>
                <w:sz w:val="18"/>
                <w:szCs w:val="18"/>
                <w:lang w:eastAsia="tr-TR"/>
              </w:rPr>
            </w:pPr>
            <w:r w:rsidRPr="00005453">
              <w:rPr>
                <w:b/>
                <w:bCs/>
                <w:sz w:val="18"/>
                <w:szCs w:val="18"/>
                <w:lang w:eastAsia="tr-TR"/>
              </w:rPr>
              <w:t>-</w:t>
            </w:r>
          </w:p>
        </w:tc>
      </w:tr>
      <w:tr w:rsidR="00731137" w:rsidRPr="00005453" w14:paraId="027E8D3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1F7A27B" w14:textId="54B2AB3E" w:rsidR="00731137" w:rsidRPr="00005453" w:rsidRDefault="00731137" w:rsidP="00731137">
            <w:pPr>
              <w:rPr>
                <w:sz w:val="18"/>
                <w:szCs w:val="18"/>
                <w:lang w:eastAsia="tr-TR"/>
              </w:rPr>
            </w:pPr>
            <w:r w:rsidRPr="00005453">
              <w:rPr>
                <w:sz w:val="18"/>
                <w:szCs w:val="18"/>
                <w:lang w:eastAsia="tr-TR"/>
              </w:rPr>
              <w:t xml:space="preserve">İhracat Kredileri </w:t>
            </w:r>
          </w:p>
        </w:tc>
        <w:tc>
          <w:tcPr>
            <w:tcW w:w="1308" w:type="dxa"/>
            <w:tcBorders>
              <w:top w:val="nil"/>
              <w:left w:val="nil"/>
              <w:bottom w:val="single" w:sz="4" w:space="0" w:color="auto"/>
              <w:right w:val="single" w:sz="4" w:space="0" w:color="auto"/>
            </w:tcBorders>
            <w:shd w:val="clear" w:color="auto" w:fill="auto"/>
            <w:vAlign w:val="center"/>
            <w:hideMark/>
          </w:tcPr>
          <w:p w14:paraId="54212D50" w14:textId="10BA9C8C" w:rsidR="00731137" w:rsidRPr="00005453" w:rsidRDefault="00731137" w:rsidP="00731137">
            <w:pPr>
              <w:jc w:val="right"/>
              <w:rPr>
                <w:sz w:val="18"/>
                <w:szCs w:val="18"/>
                <w:lang w:eastAsia="tr-TR"/>
              </w:rPr>
            </w:pPr>
            <w:r w:rsidRPr="00005453">
              <w:rPr>
                <w:bCs/>
                <w:sz w:val="18"/>
                <w:szCs w:val="18"/>
                <w:lang w:eastAsia="tr-TR"/>
              </w:rPr>
              <w:t>34,576,357</w:t>
            </w:r>
          </w:p>
        </w:tc>
        <w:tc>
          <w:tcPr>
            <w:tcW w:w="1308" w:type="dxa"/>
            <w:tcBorders>
              <w:top w:val="nil"/>
              <w:left w:val="nil"/>
              <w:bottom w:val="single" w:sz="4" w:space="0" w:color="auto"/>
              <w:right w:val="single" w:sz="4" w:space="0" w:color="auto"/>
            </w:tcBorders>
            <w:shd w:val="clear" w:color="auto" w:fill="auto"/>
            <w:vAlign w:val="center"/>
            <w:hideMark/>
          </w:tcPr>
          <w:p w14:paraId="17D42DBB" w14:textId="43D73006" w:rsidR="00731137" w:rsidRPr="00005453" w:rsidRDefault="00731137" w:rsidP="00731137">
            <w:pPr>
              <w:jc w:val="right"/>
              <w:rPr>
                <w:sz w:val="18"/>
                <w:szCs w:val="18"/>
                <w:lang w:eastAsia="tr-TR"/>
              </w:rPr>
            </w:pPr>
            <w:r w:rsidRPr="00005453">
              <w:rPr>
                <w:bCs/>
                <w:sz w:val="18"/>
                <w:szCs w:val="18"/>
                <w:lang w:eastAsia="tr-TR"/>
              </w:rPr>
              <w:t>935,578</w:t>
            </w:r>
          </w:p>
        </w:tc>
        <w:tc>
          <w:tcPr>
            <w:tcW w:w="1308" w:type="dxa"/>
            <w:tcBorders>
              <w:top w:val="nil"/>
              <w:left w:val="nil"/>
              <w:bottom w:val="single" w:sz="4" w:space="0" w:color="auto"/>
              <w:right w:val="single" w:sz="4" w:space="0" w:color="auto"/>
            </w:tcBorders>
            <w:shd w:val="clear" w:color="auto" w:fill="auto"/>
            <w:vAlign w:val="center"/>
            <w:hideMark/>
          </w:tcPr>
          <w:p w14:paraId="41EB2657" w14:textId="6BCBA32B" w:rsidR="00731137" w:rsidRPr="00005453" w:rsidRDefault="00731137" w:rsidP="00731137">
            <w:pPr>
              <w:jc w:val="right"/>
              <w:rPr>
                <w:sz w:val="18"/>
                <w:szCs w:val="18"/>
                <w:lang w:eastAsia="tr-TR"/>
              </w:rPr>
            </w:pPr>
            <w:r w:rsidRPr="00005453">
              <w:rPr>
                <w:bCs/>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752AB56A" w14:textId="67B3010F"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655C27D6"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BFCF5A9" w14:textId="6560405D" w:rsidR="00731137" w:rsidRPr="00005453" w:rsidRDefault="00731137" w:rsidP="00731137">
            <w:pPr>
              <w:rPr>
                <w:sz w:val="18"/>
                <w:szCs w:val="18"/>
                <w:lang w:eastAsia="tr-TR"/>
              </w:rPr>
            </w:pPr>
            <w:r w:rsidRPr="00005453">
              <w:rPr>
                <w:sz w:val="18"/>
                <w:szCs w:val="18"/>
                <w:lang w:eastAsia="tr-TR"/>
              </w:rPr>
              <w:t xml:space="preserve">İthalat Kredileri </w:t>
            </w:r>
          </w:p>
        </w:tc>
        <w:tc>
          <w:tcPr>
            <w:tcW w:w="1308" w:type="dxa"/>
            <w:tcBorders>
              <w:top w:val="nil"/>
              <w:left w:val="nil"/>
              <w:bottom w:val="single" w:sz="4" w:space="0" w:color="auto"/>
              <w:right w:val="single" w:sz="4" w:space="0" w:color="auto"/>
            </w:tcBorders>
            <w:shd w:val="clear" w:color="auto" w:fill="auto"/>
            <w:vAlign w:val="center"/>
            <w:hideMark/>
          </w:tcPr>
          <w:p w14:paraId="42693D72" w14:textId="04558FB9" w:rsidR="00731137" w:rsidRPr="00005453" w:rsidRDefault="00731137" w:rsidP="00731137">
            <w:pPr>
              <w:jc w:val="right"/>
              <w:rPr>
                <w:sz w:val="18"/>
                <w:szCs w:val="18"/>
                <w:lang w:eastAsia="tr-TR"/>
              </w:rPr>
            </w:pPr>
            <w:r w:rsidRPr="00005453">
              <w:rPr>
                <w:bCs/>
                <w:sz w:val="18"/>
                <w:szCs w:val="18"/>
                <w:lang w:eastAsia="tr-TR"/>
              </w:rPr>
              <w:t>11,094,258</w:t>
            </w:r>
          </w:p>
        </w:tc>
        <w:tc>
          <w:tcPr>
            <w:tcW w:w="1308" w:type="dxa"/>
            <w:tcBorders>
              <w:top w:val="nil"/>
              <w:left w:val="nil"/>
              <w:bottom w:val="single" w:sz="4" w:space="0" w:color="auto"/>
              <w:right w:val="single" w:sz="4" w:space="0" w:color="auto"/>
            </w:tcBorders>
            <w:shd w:val="clear" w:color="auto" w:fill="auto"/>
            <w:vAlign w:val="center"/>
            <w:hideMark/>
          </w:tcPr>
          <w:p w14:paraId="5A672238" w14:textId="3E283105" w:rsidR="00731137" w:rsidRPr="00005453" w:rsidRDefault="00731137" w:rsidP="00731137">
            <w:pPr>
              <w:jc w:val="right"/>
              <w:rPr>
                <w:sz w:val="18"/>
                <w:szCs w:val="18"/>
                <w:lang w:eastAsia="tr-TR"/>
              </w:rPr>
            </w:pPr>
            <w:r w:rsidRPr="00005453">
              <w:rPr>
                <w:bCs/>
                <w:sz w:val="18"/>
                <w:szCs w:val="18"/>
                <w:lang w:eastAsia="tr-TR"/>
              </w:rPr>
              <w:t>417,052</w:t>
            </w:r>
          </w:p>
        </w:tc>
        <w:tc>
          <w:tcPr>
            <w:tcW w:w="1308" w:type="dxa"/>
            <w:tcBorders>
              <w:top w:val="nil"/>
              <w:left w:val="nil"/>
              <w:bottom w:val="single" w:sz="4" w:space="0" w:color="auto"/>
              <w:right w:val="single" w:sz="4" w:space="0" w:color="auto"/>
            </w:tcBorders>
            <w:shd w:val="clear" w:color="auto" w:fill="auto"/>
            <w:vAlign w:val="center"/>
            <w:hideMark/>
          </w:tcPr>
          <w:p w14:paraId="41989616" w14:textId="7ADE9FD7" w:rsidR="00731137" w:rsidRPr="00005453" w:rsidRDefault="00731137" w:rsidP="00731137">
            <w:pPr>
              <w:jc w:val="right"/>
              <w:rPr>
                <w:sz w:val="18"/>
                <w:szCs w:val="18"/>
                <w:lang w:eastAsia="tr-TR"/>
              </w:rPr>
            </w:pPr>
            <w:r w:rsidRPr="00005453">
              <w:rPr>
                <w:bCs/>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15C2985F" w14:textId="255D1EF3"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5E97FFA4"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1B7126D8" w14:textId="38921DA1" w:rsidR="00731137" w:rsidRPr="00005453" w:rsidRDefault="00731137" w:rsidP="00731137">
            <w:pPr>
              <w:rPr>
                <w:sz w:val="18"/>
                <w:szCs w:val="18"/>
                <w:lang w:eastAsia="tr-TR"/>
              </w:rPr>
            </w:pPr>
            <w:r w:rsidRPr="00005453">
              <w:rPr>
                <w:sz w:val="18"/>
                <w:szCs w:val="18"/>
                <w:lang w:eastAsia="tr-TR"/>
              </w:rPr>
              <w:t xml:space="preserve">İşletme Kredileri </w:t>
            </w:r>
          </w:p>
        </w:tc>
        <w:tc>
          <w:tcPr>
            <w:tcW w:w="1308" w:type="dxa"/>
            <w:tcBorders>
              <w:top w:val="nil"/>
              <w:left w:val="nil"/>
              <w:bottom w:val="single" w:sz="4" w:space="0" w:color="auto"/>
              <w:right w:val="single" w:sz="4" w:space="0" w:color="auto"/>
            </w:tcBorders>
            <w:shd w:val="clear" w:color="auto" w:fill="auto"/>
            <w:vAlign w:val="center"/>
            <w:hideMark/>
          </w:tcPr>
          <w:p w14:paraId="5EEBE7BC" w14:textId="3FDF1A46" w:rsidR="00731137" w:rsidRPr="00005453" w:rsidRDefault="00731137" w:rsidP="00731137">
            <w:pPr>
              <w:jc w:val="right"/>
              <w:rPr>
                <w:sz w:val="18"/>
                <w:szCs w:val="18"/>
                <w:lang w:eastAsia="tr-TR"/>
              </w:rPr>
            </w:pPr>
            <w:r w:rsidRPr="00005453">
              <w:rPr>
                <w:bCs/>
                <w:sz w:val="18"/>
                <w:szCs w:val="18"/>
                <w:lang w:eastAsia="tr-TR"/>
              </w:rPr>
              <w:t>156,470,480</w:t>
            </w:r>
          </w:p>
        </w:tc>
        <w:tc>
          <w:tcPr>
            <w:tcW w:w="1308" w:type="dxa"/>
            <w:tcBorders>
              <w:top w:val="nil"/>
              <w:left w:val="nil"/>
              <w:bottom w:val="single" w:sz="4" w:space="0" w:color="auto"/>
              <w:right w:val="single" w:sz="4" w:space="0" w:color="auto"/>
            </w:tcBorders>
            <w:shd w:val="clear" w:color="auto" w:fill="auto"/>
            <w:vAlign w:val="center"/>
            <w:hideMark/>
          </w:tcPr>
          <w:p w14:paraId="1B260B23" w14:textId="2BA85B67" w:rsidR="00731137" w:rsidRPr="00005453" w:rsidRDefault="00731137" w:rsidP="00731137">
            <w:pPr>
              <w:jc w:val="right"/>
              <w:rPr>
                <w:sz w:val="18"/>
                <w:szCs w:val="18"/>
                <w:lang w:eastAsia="tr-TR"/>
              </w:rPr>
            </w:pPr>
            <w:r w:rsidRPr="00005453">
              <w:rPr>
                <w:bCs/>
                <w:sz w:val="18"/>
                <w:szCs w:val="18"/>
                <w:lang w:eastAsia="tr-TR"/>
              </w:rPr>
              <w:t>11,566,448</w:t>
            </w:r>
          </w:p>
        </w:tc>
        <w:tc>
          <w:tcPr>
            <w:tcW w:w="1308" w:type="dxa"/>
            <w:tcBorders>
              <w:top w:val="nil"/>
              <w:left w:val="nil"/>
              <w:bottom w:val="single" w:sz="4" w:space="0" w:color="auto"/>
              <w:right w:val="single" w:sz="4" w:space="0" w:color="auto"/>
            </w:tcBorders>
            <w:shd w:val="clear" w:color="auto" w:fill="auto"/>
            <w:vAlign w:val="center"/>
            <w:hideMark/>
          </w:tcPr>
          <w:p w14:paraId="1D861083" w14:textId="6811914A" w:rsidR="00731137" w:rsidRPr="00005453" w:rsidRDefault="00731137" w:rsidP="00731137">
            <w:pPr>
              <w:jc w:val="right"/>
              <w:rPr>
                <w:sz w:val="18"/>
                <w:szCs w:val="18"/>
                <w:lang w:eastAsia="tr-TR"/>
              </w:rPr>
            </w:pPr>
            <w:r w:rsidRPr="00005453">
              <w:rPr>
                <w:bCs/>
                <w:sz w:val="18"/>
                <w:szCs w:val="18"/>
                <w:lang w:eastAsia="tr-TR"/>
              </w:rPr>
              <w:t>3,316,71</w:t>
            </w:r>
            <w:r w:rsidR="001F4FDC" w:rsidRPr="00005453">
              <w:rPr>
                <w:bCs/>
                <w:sz w:val="18"/>
                <w:szCs w:val="18"/>
                <w:lang w:eastAsia="tr-TR"/>
              </w:rPr>
              <w:t>2</w:t>
            </w:r>
          </w:p>
        </w:tc>
        <w:tc>
          <w:tcPr>
            <w:tcW w:w="1138" w:type="dxa"/>
            <w:tcBorders>
              <w:top w:val="nil"/>
              <w:left w:val="nil"/>
              <w:bottom w:val="single" w:sz="4" w:space="0" w:color="auto"/>
              <w:right w:val="single" w:sz="4" w:space="0" w:color="auto"/>
            </w:tcBorders>
            <w:shd w:val="clear" w:color="auto" w:fill="auto"/>
            <w:vAlign w:val="center"/>
            <w:hideMark/>
          </w:tcPr>
          <w:p w14:paraId="3B34406A" w14:textId="1DD29C14"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138103B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08372E51" w14:textId="58878E44" w:rsidR="00731137" w:rsidRPr="00005453" w:rsidRDefault="00731137" w:rsidP="00731137">
            <w:pPr>
              <w:rPr>
                <w:sz w:val="18"/>
                <w:szCs w:val="18"/>
                <w:lang w:eastAsia="tr-TR"/>
              </w:rPr>
            </w:pPr>
            <w:r w:rsidRPr="00005453">
              <w:rPr>
                <w:sz w:val="18"/>
                <w:szCs w:val="18"/>
                <w:lang w:eastAsia="tr-TR"/>
              </w:rPr>
              <w:t xml:space="preserve">Tüketici Kredileri </w:t>
            </w:r>
          </w:p>
        </w:tc>
        <w:tc>
          <w:tcPr>
            <w:tcW w:w="1308" w:type="dxa"/>
            <w:tcBorders>
              <w:top w:val="nil"/>
              <w:left w:val="nil"/>
              <w:bottom w:val="single" w:sz="4" w:space="0" w:color="auto"/>
              <w:right w:val="single" w:sz="4" w:space="0" w:color="auto"/>
            </w:tcBorders>
            <w:shd w:val="clear" w:color="auto" w:fill="auto"/>
            <w:vAlign w:val="center"/>
            <w:hideMark/>
          </w:tcPr>
          <w:p w14:paraId="47F896F1" w14:textId="14497D3A" w:rsidR="00731137" w:rsidRPr="00005453" w:rsidRDefault="00731137" w:rsidP="00731137">
            <w:pPr>
              <w:jc w:val="right"/>
              <w:rPr>
                <w:sz w:val="18"/>
                <w:szCs w:val="18"/>
                <w:lang w:eastAsia="tr-TR"/>
              </w:rPr>
            </w:pPr>
            <w:r w:rsidRPr="00005453">
              <w:rPr>
                <w:bCs/>
                <w:sz w:val="18"/>
                <w:szCs w:val="18"/>
                <w:lang w:eastAsia="tr-TR"/>
              </w:rPr>
              <w:t>18,026,123</w:t>
            </w:r>
          </w:p>
        </w:tc>
        <w:tc>
          <w:tcPr>
            <w:tcW w:w="1308" w:type="dxa"/>
            <w:tcBorders>
              <w:top w:val="nil"/>
              <w:left w:val="nil"/>
              <w:bottom w:val="single" w:sz="4" w:space="0" w:color="auto"/>
              <w:right w:val="single" w:sz="4" w:space="0" w:color="auto"/>
            </w:tcBorders>
            <w:shd w:val="clear" w:color="auto" w:fill="auto"/>
            <w:vAlign w:val="center"/>
            <w:hideMark/>
          </w:tcPr>
          <w:p w14:paraId="26C37A43" w14:textId="12143604" w:rsidR="00731137" w:rsidRPr="00005453" w:rsidRDefault="00731137" w:rsidP="00731137">
            <w:pPr>
              <w:jc w:val="right"/>
              <w:rPr>
                <w:sz w:val="18"/>
                <w:szCs w:val="18"/>
                <w:lang w:eastAsia="tr-TR"/>
              </w:rPr>
            </w:pPr>
            <w:r w:rsidRPr="00005453">
              <w:rPr>
                <w:bCs/>
                <w:sz w:val="18"/>
                <w:szCs w:val="18"/>
                <w:lang w:eastAsia="tr-TR"/>
              </w:rPr>
              <w:t>541,128</w:t>
            </w:r>
          </w:p>
        </w:tc>
        <w:tc>
          <w:tcPr>
            <w:tcW w:w="1308" w:type="dxa"/>
            <w:tcBorders>
              <w:top w:val="nil"/>
              <w:left w:val="nil"/>
              <w:bottom w:val="single" w:sz="4" w:space="0" w:color="auto"/>
              <w:right w:val="single" w:sz="4" w:space="0" w:color="auto"/>
            </w:tcBorders>
            <w:shd w:val="clear" w:color="auto" w:fill="auto"/>
            <w:vAlign w:val="center"/>
            <w:hideMark/>
          </w:tcPr>
          <w:p w14:paraId="34362698" w14:textId="509937AA" w:rsidR="00731137" w:rsidRPr="00005453" w:rsidRDefault="00731137" w:rsidP="00731137">
            <w:pPr>
              <w:jc w:val="right"/>
              <w:rPr>
                <w:sz w:val="18"/>
                <w:szCs w:val="18"/>
                <w:lang w:eastAsia="tr-TR"/>
              </w:rPr>
            </w:pPr>
            <w:r w:rsidRPr="00005453">
              <w:rPr>
                <w:bCs/>
                <w:sz w:val="18"/>
                <w:szCs w:val="18"/>
                <w:lang w:eastAsia="tr-TR"/>
              </w:rPr>
              <w:t>2,513</w:t>
            </w:r>
          </w:p>
        </w:tc>
        <w:tc>
          <w:tcPr>
            <w:tcW w:w="1138" w:type="dxa"/>
            <w:tcBorders>
              <w:top w:val="nil"/>
              <w:left w:val="nil"/>
              <w:bottom w:val="single" w:sz="4" w:space="0" w:color="auto"/>
              <w:right w:val="single" w:sz="4" w:space="0" w:color="auto"/>
            </w:tcBorders>
            <w:shd w:val="clear" w:color="auto" w:fill="auto"/>
            <w:vAlign w:val="center"/>
            <w:hideMark/>
          </w:tcPr>
          <w:p w14:paraId="1C736F49" w14:textId="1AD56C64"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1E5CF168"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57791052" w14:textId="6369AC4E" w:rsidR="00731137" w:rsidRPr="00005453" w:rsidRDefault="00731137" w:rsidP="00731137">
            <w:pPr>
              <w:rPr>
                <w:sz w:val="18"/>
                <w:szCs w:val="18"/>
                <w:lang w:eastAsia="tr-TR"/>
              </w:rPr>
            </w:pPr>
            <w:r w:rsidRPr="00005453">
              <w:rPr>
                <w:sz w:val="18"/>
                <w:szCs w:val="18"/>
                <w:lang w:eastAsia="tr-TR"/>
              </w:rPr>
              <w:t xml:space="preserve">Kredi Kartları </w:t>
            </w:r>
          </w:p>
        </w:tc>
        <w:tc>
          <w:tcPr>
            <w:tcW w:w="1308" w:type="dxa"/>
            <w:tcBorders>
              <w:top w:val="nil"/>
              <w:left w:val="nil"/>
              <w:bottom w:val="single" w:sz="4" w:space="0" w:color="auto"/>
              <w:right w:val="single" w:sz="4" w:space="0" w:color="auto"/>
            </w:tcBorders>
            <w:shd w:val="clear" w:color="auto" w:fill="auto"/>
            <w:vAlign w:val="center"/>
            <w:hideMark/>
          </w:tcPr>
          <w:p w14:paraId="5A740F80" w14:textId="46C14CAA" w:rsidR="00731137" w:rsidRPr="00005453" w:rsidRDefault="00731137" w:rsidP="00731137">
            <w:pPr>
              <w:jc w:val="right"/>
              <w:rPr>
                <w:sz w:val="18"/>
                <w:szCs w:val="18"/>
                <w:lang w:eastAsia="tr-TR"/>
              </w:rPr>
            </w:pPr>
            <w:r w:rsidRPr="00005453">
              <w:rPr>
                <w:bCs/>
                <w:sz w:val="18"/>
                <w:szCs w:val="18"/>
                <w:lang w:eastAsia="tr-TR"/>
              </w:rPr>
              <w:t>23,068,840</w:t>
            </w:r>
          </w:p>
        </w:tc>
        <w:tc>
          <w:tcPr>
            <w:tcW w:w="1308" w:type="dxa"/>
            <w:tcBorders>
              <w:top w:val="nil"/>
              <w:left w:val="nil"/>
              <w:bottom w:val="single" w:sz="4" w:space="0" w:color="auto"/>
              <w:right w:val="single" w:sz="4" w:space="0" w:color="auto"/>
            </w:tcBorders>
            <w:shd w:val="clear" w:color="auto" w:fill="auto"/>
            <w:vAlign w:val="center"/>
            <w:hideMark/>
          </w:tcPr>
          <w:p w14:paraId="3183890D" w14:textId="1D1AAB16" w:rsidR="00731137" w:rsidRPr="00005453" w:rsidRDefault="00731137" w:rsidP="00731137">
            <w:pPr>
              <w:jc w:val="right"/>
              <w:rPr>
                <w:sz w:val="18"/>
                <w:szCs w:val="18"/>
                <w:lang w:eastAsia="tr-TR"/>
              </w:rPr>
            </w:pPr>
            <w:r w:rsidRPr="00005453">
              <w:rPr>
                <w:bCs/>
                <w:sz w:val="18"/>
                <w:szCs w:val="18"/>
                <w:lang w:eastAsia="tr-TR"/>
              </w:rPr>
              <w:t>2,088,257</w:t>
            </w:r>
          </w:p>
        </w:tc>
        <w:tc>
          <w:tcPr>
            <w:tcW w:w="1308" w:type="dxa"/>
            <w:tcBorders>
              <w:top w:val="nil"/>
              <w:left w:val="nil"/>
              <w:bottom w:val="single" w:sz="4" w:space="0" w:color="auto"/>
              <w:right w:val="single" w:sz="4" w:space="0" w:color="auto"/>
            </w:tcBorders>
            <w:shd w:val="clear" w:color="auto" w:fill="auto"/>
            <w:vAlign w:val="center"/>
            <w:hideMark/>
          </w:tcPr>
          <w:p w14:paraId="1E2D929D" w14:textId="727E5628" w:rsidR="00731137" w:rsidRPr="00005453" w:rsidRDefault="00731137" w:rsidP="00731137">
            <w:pPr>
              <w:jc w:val="right"/>
              <w:rPr>
                <w:sz w:val="18"/>
                <w:szCs w:val="18"/>
                <w:lang w:eastAsia="tr-TR"/>
              </w:rPr>
            </w:pPr>
            <w:r w:rsidRPr="00005453">
              <w:rPr>
                <w:bCs/>
                <w:sz w:val="18"/>
                <w:szCs w:val="18"/>
                <w:lang w:eastAsia="tr-TR"/>
              </w:rPr>
              <w:t>22,366</w:t>
            </w:r>
          </w:p>
        </w:tc>
        <w:tc>
          <w:tcPr>
            <w:tcW w:w="1138" w:type="dxa"/>
            <w:tcBorders>
              <w:top w:val="nil"/>
              <w:left w:val="nil"/>
              <w:bottom w:val="single" w:sz="4" w:space="0" w:color="auto"/>
              <w:right w:val="single" w:sz="4" w:space="0" w:color="auto"/>
            </w:tcBorders>
            <w:shd w:val="clear" w:color="auto" w:fill="auto"/>
            <w:vAlign w:val="center"/>
            <w:hideMark/>
          </w:tcPr>
          <w:p w14:paraId="555E512C" w14:textId="156071F2"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2D3C1B40"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6EA5F640" w14:textId="680411DD" w:rsidR="00731137" w:rsidRPr="00005453" w:rsidRDefault="00731137" w:rsidP="00731137">
            <w:pPr>
              <w:rPr>
                <w:sz w:val="18"/>
                <w:szCs w:val="18"/>
                <w:lang w:eastAsia="tr-TR"/>
              </w:rPr>
            </w:pPr>
            <w:r w:rsidRPr="00005453">
              <w:rPr>
                <w:sz w:val="18"/>
                <w:szCs w:val="18"/>
                <w:lang w:eastAsia="tr-TR"/>
              </w:rPr>
              <w:t xml:space="preserve">Mali Kesime Verilen Krediler </w:t>
            </w:r>
          </w:p>
        </w:tc>
        <w:tc>
          <w:tcPr>
            <w:tcW w:w="1308" w:type="dxa"/>
            <w:tcBorders>
              <w:top w:val="nil"/>
              <w:left w:val="nil"/>
              <w:bottom w:val="single" w:sz="4" w:space="0" w:color="auto"/>
              <w:right w:val="single" w:sz="4" w:space="0" w:color="auto"/>
            </w:tcBorders>
            <w:shd w:val="clear" w:color="auto" w:fill="auto"/>
            <w:vAlign w:val="center"/>
            <w:hideMark/>
          </w:tcPr>
          <w:p w14:paraId="6FE4DC6C" w14:textId="0C2DFC92" w:rsidR="00731137" w:rsidRPr="00005453" w:rsidRDefault="00731137" w:rsidP="00731137">
            <w:pPr>
              <w:jc w:val="right"/>
              <w:rPr>
                <w:sz w:val="18"/>
                <w:szCs w:val="18"/>
                <w:lang w:eastAsia="tr-TR"/>
              </w:rPr>
            </w:pPr>
            <w:r w:rsidRPr="00005453">
              <w:rPr>
                <w:bCs/>
                <w:sz w:val="18"/>
                <w:szCs w:val="18"/>
                <w:lang w:eastAsia="tr-TR"/>
              </w:rPr>
              <w:t>6,438,211</w:t>
            </w:r>
          </w:p>
        </w:tc>
        <w:tc>
          <w:tcPr>
            <w:tcW w:w="1308" w:type="dxa"/>
            <w:tcBorders>
              <w:top w:val="nil"/>
              <w:left w:val="nil"/>
              <w:bottom w:val="single" w:sz="4" w:space="0" w:color="auto"/>
              <w:right w:val="single" w:sz="4" w:space="0" w:color="auto"/>
            </w:tcBorders>
            <w:shd w:val="clear" w:color="auto" w:fill="auto"/>
            <w:vAlign w:val="center"/>
            <w:hideMark/>
          </w:tcPr>
          <w:p w14:paraId="39E92015" w14:textId="228C9A12" w:rsidR="00731137" w:rsidRPr="00005453" w:rsidRDefault="00731137" w:rsidP="00731137">
            <w:pPr>
              <w:jc w:val="right"/>
              <w:rPr>
                <w:sz w:val="18"/>
                <w:szCs w:val="18"/>
                <w:lang w:eastAsia="tr-TR"/>
              </w:rPr>
            </w:pPr>
            <w:r w:rsidRPr="00005453">
              <w:rPr>
                <w:bCs/>
                <w:sz w:val="18"/>
                <w:szCs w:val="18"/>
                <w:lang w:eastAsia="tr-TR"/>
              </w:rPr>
              <w:t>-</w:t>
            </w:r>
          </w:p>
        </w:tc>
        <w:tc>
          <w:tcPr>
            <w:tcW w:w="1308" w:type="dxa"/>
            <w:tcBorders>
              <w:top w:val="nil"/>
              <w:left w:val="nil"/>
              <w:bottom w:val="single" w:sz="4" w:space="0" w:color="auto"/>
              <w:right w:val="single" w:sz="4" w:space="0" w:color="auto"/>
            </w:tcBorders>
            <w:shd w:val="clear" w:color="auto" w:fill="auto"/>
            <w:vAlign w:val="center"/>
            <w:hideMark/>
          </w:tcPr>
          <w:p w14:paraId="3F80A16B" w14:textId="11586FA8" w:rsidR="00731137" w:rsidRPr="00005453" w:rsidRDefault="00731137" w:rsidP="00731137">
            <w:pPr>
              <w:jc w:val="right"/>
              <w:rPr>
                <w:sz w:val="18"/>
                <w:szCs w:val="18"/>
                <w:lang w:eastAsia="tr-TR"/>
              </w:rPr>
            </w:pPr>
            <w:r w:rsidRPr="00005453">
              <w:rPr>
                <w:bCs/>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44BD4CE7" w14:textId="51DDC461"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59EFF5D7"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75EE3E36" w14:textId="7F2E29D7" w:rsidR="00731137" w:rsidRPr="00005453" w:rsidRDefault="00731137" w:rsidP="00731137">
            <w:pPr>
              <w:rPr>
                <w:sz w:val="18"/>
                <w:szCs w:val="18"/>
                <w:lang w:eastAsia="tr-TR"/>
              </w:rPr>
            </w:pPr>
            <w:r w:rsidRPr="00005453">
              <w:rPr>
                <w:sz w:val="18"/>
                <w:szCs w:val="18"/>
                <w:lang w:eastAsia="tr-TR"/>
              </w:rPr>
              <w:t xml:space="preserve">Diğer  </w:t>
            </w:r>
          </w:p>
        </w:tc>
        <w:tc>
          <w:tcPr>
            <w:tcW w:w="1308" w:type="dxa"/>
            <w:tcBorders>
              <w:top w:val="nil"/>
              <w:left w:val="nil"/>
              <w:bottom w:val="single" w:sz="4" w:space="0" w:color="auto"/>
              <w:right w:val="single" w:sz="4" w:space="0" w:color="auto"/>
            </w:tcBorders>
            <w:shd w:val="clear" w:color="auto" w:fill="auto"/>
            <w:vAlign w:val="center"/>
            <w:hideMark/>
          </w:tcPr>
          <w:p w14:paraId="4FD5A743" w14:textId="42176579" w:rsidR="00731137" w:rsidRPr="00005453" w:rsidRDefault="00731137" w:rsidP="00731137">
            <w:pPr>
              <w:jc w:val="right"/>
              <w:rPr>
                <w:sz w:val="18"/>
                <w:szCs w:val="18"/>
                <w:lang w:eastAsia="tr-TR"/>
              </w:rPr>
            </w:pPr>
            <w:r w:rsidRPr="00005453">
              <w:rPr>
                <w:bCs/>
                <w:sz w:val="18"/>
                <w:szCs w:val="18"/>
                <w:lang w:eastAsia="tr-TR"/>
              </w:rPr>
              <w:t>25,465,715</w:t>
            </w:r>
          </w:p>
        </w:tc>
        <w:tc>
          <w:tcPr>
            <w:tcW w:w="1308" w:type="dxa"/>
            <w:tcBorders>
              <w:top w:val="nil"/>
              <w:left w:val="nil"/>
              <w:bottom w:val="single" w:sz="4" w:space="0" w:color="auto"/>
              <w:right w:val="single" w:sz="4" w:space="0" w:color="auto"/>
            </w:tcBorders>
            <w:shd w:val="clear" w:color="auto" w:fill="auto"/>
            <w:vAlign w:val="center"/>
            <w:hideMark/>
          </w:tcPr>
          <w:p w14:paraId="527E82BD" w14:textId="116A7922" w:rsidR="00731137" w:rsidRPr="00005453" w:rsidRDefault="00731137" w:rsidP="00731137">
            <w:pPr>
              <w:jc w:val="right"/>
              <w:rPr>
                <w:sz w:val="18"/>
                <w:szCs w:val="18"/>
                <w:lang w:eastAsia="tr-TR"/>
              </w:rPr>
            </w:pPr>
            <w:r w:rsidRPr="00005453">
              <w:rPr>
                <w:bCs/>
                <w:sz w:val="18"/>
                <w:szCs w:val="18"/>
                <w:lang w:eastAsia="tr-TR"/>
              </w:rPr>
              <w:t>535,842</w:t>
            </w:r>
          </w:p>
        </w:tc>
        <w:tc>
          <w:tcPr>
            <w:tcW w:w="1308" w:type="dxa"/>
            <w:tcBorders>
              <w:top w:val="nil"/>
              <w:left w:val="nil"/>
              <w:bottom w:val="single" w:sz="4" w:space="0" w:color="auto"/>
              <w:right w:val="single" w:sz="4" w:space="0" w:color="auto"/>
            </w:tcBorders>
            <w:shd w:val="clear" w:color="auto" w:fill="auto"/>
            <w:vAlign w:val="center"/>
            <w:hideMark/>
          </w:tcPr>
          <w:p w14:paraId="5A6A7ED9" w14:textId="23F293D8" w:rsidR="00731137" w:rsidRPr="00005453" w:rsidRDefault="00731137" w:rsidP="00731137">
            <w:pPr>
              <w:jc w:val="right"/>
              <w:rPr>
                <w:sz w:val="18"/>
                <w:szCs w:val="18"/>
                <w:lang w:eastAsia="tr-TR"/>
              </w:rPr>
            </w:pPr>
            <w:r w:rsidRPr="00005453">
              <w:rPr>
                <w:bCs/>
                <w:sz w:val="18"/>
                <w:szCs w:val="18"/>
                <w:lang w:eastAsia="tr-TR"/>
              </w:rPr>
              <w:t>531</w:t>
            </w:r>
          </w:p>
        </w:tc>
        <w:tc>
          <w:tcPr>
            <w:tcW w:w="1138" w:type="dxa"/>
            <w:tcBorders>
              <w:top w:val="nil"/>
              <w:left w:val="nil"/>
              <w:bottom w:val="single" w:sz="4" w:space="0" w:color="auto"/>
              <w:right w:val="single" w:sz="4" w:space="0" w:color="auto"/>
            </w:tcBorders>
            <w:shd w:val="clear" w:color="auto" w:fill="auto"/>
            <w:vAlign w:val="center"/>
            <w:hideMark/>
          </w:tcPr>
          <w:p w14:paraId="42914424" w14:textId="2BAA8434"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21E0F74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65B70DFF" w14:textId="77777777" w:rsidR="00731137" w:rsidRPr="00005453" w:rsidRDefault="00731137" w:rsidP="00731137">
            <w:pPr>
              <w:jc w:val="both"/>
              <w:rPr>
                <w:b/>
                <w:bCs/>
                <w:sz w:val="18"/>
                <w:szCs w:val="18"/>
                <w:lang w:eastAsia="tr-TR"/>
              </w:rPr>
            </w:pPr>
            <w:r w:rsidRPr="00005453">
              <w:rPr>
                <w:b/>
                <w:bCs/>
                <w:sz w:val="18"/>
                <w:szCs w:val="18"/>
                <w:lang w:eastAsia="tr-TR"/>
              </w:rPr>
              <w:t>Diğer Alacaklar</w:t>
            </w:r>
          </w:p>
        </w:tc>
        <w:tc>
          <w:tcPr>
            <w:tcW w:w="1308" w:type="dxa"/>
            <w:tcBorders>
              <w:top w:val="nil"/>
              <w:left w:val="nil"/>
              <w:bottom w:val="single" w:sz="4" w:space="0" w:color="auto"/>
              <w:right w:val="single" w:sz="4" w:space="0" w:color="auto"/>
            </w:tcBorders>
            <w:shd w:val="clear" w:color="auto" w:fill="auto"/>
            <w:vAlign w:val="center"/>
            <w:hideMark/>
          </w:tcPr>
          <w:p w14:paraId="3AA0E81F" w14:textId="281CE937" w:rsidR="00731137" w:rsidRPr="00005453" w:rsidRDefault="00731137" w:rsidP="00731137">
            <w:pPr>
              <w:jc w:val="right"/>
              <w:rPr>
                <w:b/>
                <w:bCs/>
                <w:sz w:val="18"/>
                <w:szCs w:val="18"/>
                <w:lang w:eastAsia="tr-TR"/>
              </w:rPr>
            </w:pPr>
            <w:r w:rsidRPr="00005453">
              <w:rPr>
                <w:b/>
                <w:bCs/>
                <w:sz w:val="18"/>
                <w:szCs w:val="18"/>
                <w:lang w:eastAsia="tr-TR"/>
              </w:rPr>
              <w:t>839</w:t>
            </w:r>
          </w:p>
        </w:tc>
        <w:tc>
          <w:tcPr>
            <w:tcW w:w="1308" w:type="dxa"/>
            <w:tcBorders>
              <w:top w:val="nil"/>
              <w:left w:val="nil"/>
              <w:bottom w:val="single" w:sz="4" w:space="0" w:color="auto"/>
              <w:right w:val="single" w:sz="4" w:space="0" w:color="auto"/>
            </w:tcBorders>
            <w:shd w:val="clear" w:color="auto" w:fill="auto"/>
            <w:vAlign w:val="center"/>
            <w:hideMark/>
          </w:tcPr>
          <w:p w14:paraId="49F5CA19" w14:textId="3CB3471B" w:rsidR="00731137" w:rsidRPr="00005453" w:rsidRDefault="00731137" w:rsidP="00731137">
            <w:pPr>
              <w:jc w:val="right"/>
              <w:rPr>
                <w:b/>
                <w:bCs/>
                <w:sz w:val="18"/>
                <w:szCs w:val="18"/>
                <w:lang w:eastAsia="tr-TR"/>
              </w:rPr>
            </w:pPr>
            <w:r w:rsidRPr="00005453">
              <w:rPr>
                <w:b/>
                <w:bCs/>
                <w:sz w:val="18"/>
                <w:szCs w:val="18"/>
                <w:lang w:eastAsia="tr-TR"/>
              </w:rPr>
              <w:t>8,508</w:t>
            </w:r>
          </w:p>
        </w:tc>
        <w:tc>
          <w:tcPr>
            <w:tcW w:w="1308" w:type="dxa"/>
            <w:tcBorders>
              <w:top w:val="nil"/>
              <w:left w:val="nil"/>
              <w:bottom w:val="single" w:sz="4" w:space="0" w:color="auto"/>
              <w:right w:val="single" w:sz="4" w:space="0" w:color="auto"/>
            </w:tcBorders>
            <w:shd w:val="clear" w:color="auto" w:fill="auto"/>
            <w:vAlign w:val="center"/>
            <w:hideMark/>
          </w:tcPr>
          <w:p w14:paraId="7556FCF1" w14:textId="6E60AE64" w:rsidR="00731137" w:rsidRPr="00005453" w:rsidRDefault="00731137" w:rsidP="00731137">
            <w:pPr>
              <w:jc w:val="right"/>
              <w:rPr>
                <w:b/>
                <w:bCs/>
                <w:sz w:val="18"/>
                <w:szCs w:val="18"/>
                <w:lang w:eastAsia="tr-TR"/>
              </w:rPr>
            </w:pPr>
            <w:r w:rsidRPr="00005453">
              <w:rPr>
                <w:b/>
                <w:bCs/>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25329DEB" w14:textId="740D4B73" w:rsidR="00731137" w:rsidRPr="00005453" w:rsidRDefault="00731137" w:rsidP="00731137">
            <w:pPr>
              <w:jc w:val="right"/>
              <w:rPr>
                <w:b/>
                <w:bCs/>
                <w:sz w:val="18"/>
                <w:szCs w:val="18"/>
                <w:lang w:eastAsia="tr-TR"/>
              </w:rPr>
            </w:pPr>
            <w:r w:rsidRPr="00005453">
              <w:rPr>
                <w:b/>
                <w:bCs/>
                <w:sz w:val="18"/>
                <w:szCs w:val="18"/>
                <w:lang w:eastAsia="tr-TR"/>
              </w:rPr>
              <w:t>-</w:t>
            </w:r>
          </w:p>
        </w:tc>
      </w:tr>
      <w:tr w:rsidR="00731137" w:rsidRPr="00005453" w14:paraId="7C70B7DF"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E7BD78E" w14:textId="77777777" w:rsidR="00731137" w:rsidRPr="00005453" w:rsidRDefault="00731137" w:rsidP="00731137">
            <w:pPr>
              <w:jc w:val="both"/>
              <w:rPr>
                <w:b/>
                <w:bCs/>
                <w:sz w:val="18"/>
                <w:szCs w:val="18"/>
                <w:lang w:eastAsia="tr-TR"/>
              </w:rPr>
            </w:pPr>
            <w:r w:rsidRPr="00005453">
              <w:rPr>
                <w:b/>
                <w:bCs/>
                <w:sz w:val="18"/>
                <w:szCs w:val="18"/>
                <w:lang w:eastAsia="tr-TR"/>
              </w:rPr>
              <w:t>Toplam</w:t>
            </w:r>
          </w:p>
        </w:tc>
        <w:tc>
          <w:tcPr>
            <w:tcW w:w="1308" w:type="dxa"/>
            <w:tcBorders>
              <w:top w:val="nil"/>
              <w:left w:val="nil"/>
              <w:bottom w:val="single" w:sz="4" w:space="0" w:color="auto"/>
              <w:right w:val="single" w:sz="4" w:space="0" w:color="auto"/>
            </w:tcBorders>
            <w:shd w:val="clear" w:color="auto" w:fill="auto"/>
            <w:vAlign w:val="center"/>
            <w:hideMark/>
          </w:tcPr>
          <w:p w14:paraId="00093E3A" w14:textId="5399B98E" w:rsidR="00731137" w:rsidRPr="00005453" w:rsidRDefault="00731137" w:rsidP="00731137">
            <w:pPr>
              <w:jc w:val="right"/>
              <w:rPr>
                <w:b/>
                <w:bCs/>
                <w:sz w:val="18"/>
                <w:szCs w:val="18"/>
                <w:lang w:eastAsia="tr-TR"/>
              </w:rPr>
            </w:pPr>
            <w:r w:rsidRPr="00005453">
              <w:rPr>
                <w:b/>
                <w:bCs/>
                <w:sz w:val="18"/>
                <w:szCs w:val="18"/>
                <w:lang w:eastAsia="tr-TR"/>
              </w:rPr>
              <w:t>275,140,823</w:t>
            </w:r>
          </w:p>
        </w:tc>
        <w:tc>
          <w:tcPr>
            <w:tcW w:w="1308" w:type="dxa"/>
            <w:tcBorders>
              <w:top w:val="nil"/>
              <w:left w:val="nil"/>
              <w:bottom w:val="single" w:sz="4" w:space="0" w:color="auto"/>
              <w:right w:val="single" w:sz="4" w:space="0" w:color="auto"/>
            </w:tcBorders>
            <w:shd w:val="clear" w:color="auto" w:fill="auto"/>
            <w:vAlign w:val="center"/>
            <w:hideMark/>
          </w:tcPr>
          <w:p w14:paraId="7DA4F02A" w14:textId="3298E3C6" w:rsidR="00731137" w:rsidRPr="00005453" w:rsidRDefault="00731137" w:rsidP="00731137">
            <w:pPr>
              <w:jc w:val="right"/>
              <w:rPr>
                <w:b/>
                <w:bCs/>
                <w:sz w:val="18"/>
                <w:szCs w:val="18"/>
                <w:lang w:eastAsia="tr-TR"/>
              </w:rPr>
            </w:pPr>
            <w:r w:rsidRPr="00005453">
              <w:rPr>
                <w:b/>
                <w:bCs/>
                <w:sz w:val="18"/>
                <w:szCs w:val="18"/>
                <w:lang w:eastAsia="tr-TR"/>
              </w:rPr>
              <w:t>16,092,813</w:t>
            </w:r>
          </w:p>
        </w:tc>
        <w:tc>
          <w:tcPr>
            <w:tcW w:w="1308" w:type="dxa"/>
            <w:tcBorders>
              <w:top w:val="nil"/>
              <w:left w:val="nil"/>
              <w:bottom w:val="single" w:sz="4" w:space="0" w:color="auto"/>
              <w:right w:val="single" w:sz="4" w:space="0" w:color="auto"/>
            </w:tcBorders>
            <w:shd w:val="clear" w:color="auto" w:fill="auto"/>
            <w:vAlign w:val="center"/>
            <w:hideMark/>
          </w:tcPr>
          <w:p w14:paraId="3B9E64D5" w14:textId="55FBE646" w:rsidR="00731137" w:rsidRPr="00005453" w:rsidRDefault="00731137" w:rsidP="00731137">
            <w:pPr>
              <w:jc w:val="right"/>
              <w:rPr>
                <w:b/>
                <w:bCs/>
                <w:sz w:val="18"/>
                <w:szCs w:val="18"/>
                <w:lang w:eastAsia="tr-TR"/>
              </w:rPr>
            </w:pPr>
            <w:r w:rsidRPr="00005453">
              <w:rPr>
                <w:b/>
                <w:bCs/>
                <w:sz w:val="18"/>
                <w:szCs w:val="18"/>
                <w:lang w:eastAsia="tr-TR"/>
              </w:rPr>
              <w:t>3,342,12</w:t>
            </w:r>
            <w:r w:rsidR="001F4FDC" w:rsidRPr="00005453">
              <w:rPr>
                <w:b/>
                <w:bCs/>
                <w:sz w:val="18"/>
                <w:szCs w:val="18"/>
                <w:lang w:eastAsia="tr-TR"/>
              </w:rPr>
              <w:t>2</w:t>
            </w:r>
          </w:p>
        </w:tc>
        <w:tc>
          <w:tcPr>
            <w:tcW w:w="1138" w:type="dxa"/>
            <w:tcBorders>
              <w:top w:val="nil"/>
              <w:left w:val="nil"/>
              <w:bottom w:val="single" w:sz="4" w:space="0" w:color="auto"/>
              <w:right w:val="single" w:sz="4" w:space="0" w:color="auto"/>
            </w:tcBorders>
            <w:shd w:val="clear" w:color="auto" w:fill="auto"/>
            <w:vAlign w:val="center"/>
            <w:hideMark/>
          </w:tcPr>
          <w:p w14:paraId="468F244F" w14:textId="5E5FB4AE" w:rsidR="00731137" w:rsidRPr="00005453" w:rsidRDefault="00731137" w:rsidP="00731137">
            <w:pPr>
              <w:jc w:val="right"/>
              <w:rPr>
                <w:b/>
                <w:bCs/>
                <w:sz w:val="18"/>
                <w:szCs w:val="18"/>
                <w:lang w:eastAsia="tr-TR"/>
              </w:rPr>
            </w:pPr>
            <w:r w:rsidRPr="00005453">
              <w:rPr>
                <w:b/>
                <w:bCs/>
                <w:sz w:val="18"/>
                <w:szCs w:val="18"/>
                <w:lang w:eastAsia="tr-TR"/>
              </w:rPr>
              <w:t>-</w:t>
            </w:r>
          </w:p>
        </w:tc>
      </w:tr>
    </w:tbl>
    <w:p w14:paraId="0A3DAE28" w14:textId="0BE4DC99" w:rsidR="00D22163" w:rsidRPr="00005453" w:rsidRDefault="00D22163" w:rsidP="00D22163">
      <w:pPr>
        <w:autoSpaceDE w:val="0"/>
        <w:autoSpaceDN w:val="0"/>
        <w:adjustRightInd w:val="0"/>
        <w:ind w:left="567" w:hanging="567"/>
        <w:jc w:val="both"/>
        <w:rPr>
          <w:lang w:val="en-GB" w:eastAsia="en-GB"/>
        </w:rPr>
      </w:pPr>
    </w:p>
    <w:p w14:paraId="632E3F6B" w14:textId="35292742" w:rsidR="00246092" w:rsidRPr="00005453" w:rsidRDefault="00246092" w:rsidP="00605404">
      <w:pPr>
        <w:autoSpaceDE w:val="0"/>
        <w:autoSpaceDN w:val="0"/>
        <w:adjustRightInd w:val="0"/>
        <w:jc w:val="both"/>
        <w:rPr>
          <w:sz w:val="16"/>
          <w:szCs w:val="16"/>
        </w:rPr>
      </w:pPr>
    </w:p>
    <w:p w14:paraId="446918C1" w14:textId="77777777" w:rsidR="00246092" w:rsidRPr="00005453" w:rsidRDefault="00246092" w:rsidP="00605404">
      <w:pPr>
        <w:autoSpaceDE w:val="0"/>
        <w:autoSpaceDN w:val="0"/>
        <w:adjustRightInd w:val="0"/>
        <w:jc w:val="both"/>
      </w:pPr>
    </w:p>
    <w:p w14:paraId="5FEF2FAF" w14:textId="77777777" w:rsidR="00246092" w:rsidRPr="00005453" w:rsidRDefault="00246092" w:rsidP="00605404">
      <w:pPr>
        <w:autoSpaceDE w:val="0"/>
        <w:autoSpaceDN w:val="0"/>
        <w:adjustRightInd w:val="0"/>
        <w:jc w:val="both"/>
      </w:pPr>
    </w:p>
    <w:p w14:paraId="3F5779E7" w14:textId="77777777" w:rsidR="00246092" w:rsidRPr="00005453" w:rsidRDefault="00246092" w:rsidP="00605404">
      <w:pPr>
        <w:autoSpaceDE w:val="0"/>
        <w:autoSpaceDN w:val="0"/>
        <w:adjustRightInd w:val="0"/>
        <w:jc w:val="both"/>
      </w:pPr>
    </w:p>
    <w:p w14:paraId="1EC19864" w14:textId="77777777" w:rsidR="00246092" w:rsidRPr="00005453" w:rsidRDefault="00246092" w:rsidP="00605404">
      <w:pPr>
        <w:autoSpaceDE w:val="0"/>
        <w:autoSpaceDN w:val="0"/>
        <w:adjustRightInd w:val="0"/>
        <w:jc w:val="both"/>
      </w:pPr>
    </w:p>
    <w:p w14:paraId="0E8BB78F" w14:textId="329D23A9" w:rsidR="00346550" w:rsidRPr="00005453" w:rsidRDefault="00346550">
      <w:r w:rsidRPr="00005453">
        <w:br w:type="page"/>
      </w:r>
    </w:p>
    <w:p w14:paraId="521B3B66" w14:textId="2E8E9AF1" w:rsidR="00E029C9" w:rsidRPr="00005453" w:rsidRDefault="008077CC" w:rsidP="00246092">
      <w:pPr>
        <w:autoSpaceDE w:val="0"/>
        <w:autoSpaceDN w:val="0"/>
        <w:adjustRightInd w:val="0"/>
        <w:jc w:val="both"/>
      </w:pPr>
      <w:r w:rsidRPr="00005453">
        <w:lastRenderedPageBreak/>
        <w:t xml:space="preserve">Standart </w:t>
      </w:r>
      <w:r w:rsidR="00911789" w:rsidRPr="00005453">
        <w:t xml:space="preserve">nitelikli </w:t>
      </w:r>
      <w:r w:rsidRPr="00005453">
        <w:t xml:space="preserve">ve </w:t>
      </w:r>
      <w:r w:rsidR="00911789" w:rsidRPr="00005453">
        <w:t xml:space="preserve">yakın izlemedeki </w:t>
      </w:r>
      <w:r w:rsidRPr="00005453">
        <w:t xml:space="preserve">krediler ile yeniden yapılandırılan </w:t>
      </w:r>
      <w:r w:rsidR="00911789" w:rsidRPr="00005453">
        <w:t xml:space="preserve">yakın izlemedeki </w:t>
      </w:r>
      <w:r w:rsidRPr="00005453">
        <w:t>kredilere ilişkin karşılıklara ilişkin bilgiler</w:t>
      </w:r>
    </w:p>
    <w:p w14:paraId="43B3D223" w14:textId="6CA94782" w:rsidR="00297765" w:rsidRPr="00005453" w:rsidRDefault="00297765" w:rsidP="00605404">
      <w:pPr>
        <w:tabs>
          <w:tab w:val="num" w:pos="0"/>
        </w:tabs>
        <w:autoSpaceDE w:val="0"/>
        <w:autoSpaceDN w:val="0"/>
        <w:adjustRightInd w:val="0"/>
        <w:rPr>
          <w:lang w:eastAsia="en-GB"/>
        </w:rPr>
      </w:pPr>
    </w:p>
    <w:tbl>
      <w:tblPr>
        <w:tblW w:w="9205" w:type="dxa"/>
        <w:tblCellMar>
          <w:left w:w="70" w:type="dxa"/>
          <w:right w:w="70" w:type="dxa"/>
        </w:tblCellMar>
        <w:tblLook w:val="04A0" w:firstRow="1" w:lastRow="0" w:firstColumn="1" w:lastColumn="0" w:noHBand="0" w:noVBand="1"/>
      </w:tblPr>
      <w:tblGrid>
        <w:gridCol w:w="5245"/>
        <w:gridCol w:w="992"/>
        <w:gridCol w:w="1128"/>
        <w:gridCol w:w="860"/>
        <w:gridCol w:w="980"/>
      </w:tblGrid>
      <w:tr w:rsidR="00297765" w:rsidRPr="00005453" w14:paraId="1A38C605" w14:textId="77777777" w:rsidTr="00BD1BED">
        <w:trPr>
          <w:divId w:val="1690717808"/>
          <w:trHeight w:val="383"/>
        </w:trPr>
        <w:tc>
          <w:tcPr>
            <w:tcW w:w="5245" w:type="dxa"/>
            <w:tcBorders>
              <w:top w:val="single" w:sz="12" w:space="0" w:color="auto"/>
              <w:left w:val="nil"/>
              <w:bottom w:val="nil"/>
              <w:right w:val="nil"/>
            </w:tcBorders>
            <w:shd w:val="clear" w:color="auto" w:fill="auto"/>
            <w:vAlign w:val="center"/>
            <w:hideMark/>
          </w:tcPr>
          <w:p w14:paraId="416EDAFD" w14:textId="056D0DB7" w:rsidR="00297765" w:rsidRPr="00005453" w:rsidRDefault="00297765" w:rsidP="00297765">
            <w:pPr>
              <w:jc w:val="both"/>
              <w:rPr>
                <w:b/>
                <w:bCs/>
                <w:sz w:val="18"/>
                <w:szCs w:val="18"/>
                <w:lang w:eastAsia="tr-TR"/>
              </w:rPr>
            </w:pPr>
            <w:bookmarkStart w:id="74" w:name="_Hlk126333872"/>
            <w:r w:rsidRPr="00005453">
              <w:rPr>
                <w:b/>
                <w:bCs/>
                <w:sz w:val="18"/>
                <w:szCs w:val="18"/>
                <w:lang w:eastAsia="tr-TR"/>
              </w:rPr>
              <w:t> </w:t>
            </w:r>
          </w:p>
        </w:tc>
        <w:tc>
          <w:tcPr>
            <w:tcW w:w="992" w:type="dxa"/>
            <w:tcBorders>
              <w:top w:val="single" w:sz="12" w:space="0" w:color="auto"/>
              <w:left w:val="nil"/>
              <w:bottom w:val="nil"/>
              <w:right w:val="nil"/>
            </w:tcBorders>
            <w:shd w:val="clear" w:color="auto" w:fill="auto"/>
            <w:vAlign w:val="center"/>
            <w:hideMark/>
          </w:tcPr>
          <w:p w14:paraId="54D3E6D6" w14:textId="77777777" w:rsidR="00297765" w:rsidRPr="00005453" w:rsidRDefault="00297765" w:rsidP="00297765">
            <w:pPr>
              <w:jc w:val="right"/>
              <w:rPr>
                <w:b/>
                <w:bCs/>
                <w:sz w:val="18"/>
                <w:szCs w:val="18"/>
                <w:lang w:eastAsia="tr-TR"/>
              </w:rPr>
            </w:pPr>
            <w:r w:rsidRPr="00005453">
              <w:rPr>
                <w:b/>
                <w:bCs/>
                <w:sz w:val="18"/>
                <w:szCs w:val="18"/>
                <w:lang w:eastAsia="tr-TR"/>
              </w:rPr>
              <w:t>Standart Nitelikli Krediler</w:t>
            </w:r>
          </w:p>
        </w:tc>
        <w:tc>
          <w:tcPr>
            <w:tcW w:w="1128" w:type="dxa"/>
            <w:tcBorders>
              <w:top w:val="single" w:sz="12" w:space="0" w:color="auto"/>
              <w:left w:val="nil"/>
              <w:bottom w:val="nil"/>
              <w:right w:val="nil"/>
            </w:tcBorders>
            <w:shd w:val="clear" w:color="auto" w:fill="auto"/>
            <w:vAlign w:val="center"/>
            <w:hideMark/>
          </w:tcPr>
          <w:p w14:paraId="604B9228" w14:textId="77777777" w:rsidR="00297765" w:rsidRPr="00005453" w:rsidRDefault="00297765" w:rsidP="00297765">
            <w:pPr>
              <w:jc w:val="right"/>
              <w:rPr>
                <w:b/>
                <w:bCs/>
                <w:sz w:val="18"/>
                <w:szCs w:val="18"/>
                <w:lang w:eastAsia="tr-TR"/>
              </w:rPr>
            </w:pPr>
            <w:r w:rsidRPr="00005453">
              <w:rPr>
                <w:b/>
                <w:bCs/>
                <w:sz w:val="18"/>
                <w:szCs w:val="18"/>
                <w:lang w:eastAsia="tr-TR"/>
              </w:rPr>
              <w:t>Yakın İzlemedeki Krediler</w:t>
            </w:r>
          </w:p>
        </w:tc>
        <w:tc>
          <w:tcPr>
            <w:tcW w:w="860" w:type="dxa"/>
            <w:tcBorders>
              <w:top w:val="single" w:sz="12" w:space="0" w:color="auto"/>
              <w:left w:val="nil"/>
              <w:bottom w:val="nil"/>
              <w:right w:val="nil"/>
            </w:tcBorders>
            <w:shd w:val="clear" w:color="auto" w:fill="auto"/>
            <w:vAlign w:val="center"/>
            <w:hideMark/>
          </w:tcPr>
          <w:p w14:paraId="4E32F062" w14:textId="77777777" w:rsidR="00297765" w:rsidRPr="00005453" w:rsidRDefault="00297765" w:rsidP="00297765">
            <w:pPr>
              <w:jc w:val="right"/>
              <w:rPr>
                <w:b/>
                <w:bCs/>
                <w:sz w:val="18"/>
                <w:szCs w:val="18"/>
                <w:lang w:eastAsia="tr-TR"/>
              </w:rPr>
            </w:pPr>
            <w:r w:rsidRPr="00005453">
              <w:rPr>
                <w:b/>
                <w:bCs/>
                <w:sz w:val="18"/>
                <w:szCs w:val="18"/>
                <w:lang w:eastAsia="tr-TR"/>
              </w:rPr>
              <w:t>Standart Nitelikli Krediler</w:t>
            </w:r>
          </w:p>
        </w:tc>
        <w:tc>
          <w:tcPr>
            <w:tcW w:w="980" w:type="dxa"/>
            <w:tcBorders>
              <w:top w:val="single" w:sz="12" w:space="0" w:color="auto"/>
              <w:left w:val="nil"/>
              <w:bottom w:val="nil"/>
              <w:right w:val="nil"/>
            </w:tcBorders>
            <w:shd w:val="clear" w:color="auto" w:fill="auto"/>
            <w:vAlign w:val="center"/>
            <w:hideMark/>
          </w:tcPr>
          <w:p w14:paraId="133CB001" w14:textId="77777777" w:rsidR="00297765" w:rsidRPr="00005453" w:rsidRDefault="00297765" w:rsidP="00297765">
            <w:pPr>
              <w:jc w:val="right"/>
              <w:rPr>
                <w:b/>
                <w:bCs/>
                <w:sz w:val="18"/>
                <w:szCs w:val="18"/>
                <w:lang w:eastAsia="tr-TR"/>
              </w:rPr>
            </w:pPr>
            <w:r w:rsidRPr="00005453">
              <w:rPr>
                <w:b/>
                <w:bCs/>
                <w:sz w:val="18"/>
                <w:szCs w:val="18"/>
                <w:lang w:eastAsia="tr-TR"/>
              </w:rPr>
              <w:t>Yakın İzlemedeki Krediler</w:t>
            </w:r>
          </w:p>
        </w:tc>
      </w:tr>
      <w:tr w:rsidR="00297765" w:rsidRPr="00005453" w14:paraId="0AEE265E" w14:textId="77777777" w:rsidTr="00BD1BED">
        <w:trPr>
          <w:divId w:val="1690717808"/>
          <w:trHeight w:val="176"/>
        </w:trPr>
        <w:tc>
          <w:tcPr>
            <w:tcW w:w="5245" w:type="dxa"/>
            <w:tcBorders>
              <w:top w:val="nil"/>
              <w:left w:val="nil"/>
              <w:bottom w:val="single" w:sz="8" w:space="0" w:color="auto"/>
              <w:right w:val="nil"/>
            </w:tcBorders>
            <w:shd w:val="clear" w:color="auto" w:fill="auto"/>
            <w:noWrap/>
            <w:vAlign w:val="bottom"/>
            <w:hideMark/>
          </w:tcPr>
          <w:p w14:paraId="0F117560" w14:textId="77777777" w:rsidR="00297765" w:rsidRPr="00005453" w:rsidRDefault="00297765" w:rsidP="00297765">
            <w:pPr>
              <w:rPr>
                <w:sz w:val="18"/>
                <w:szCs w:val="18"/>
                <w:lang w:eastAsia="tr-TR"/>
              </w:rPr>
            </w:pPr>
            <w:r w:rsidRPr="00005453">
              <w:rPr>
                <w:sz w:val="18"/>
                <w:szCs w:val="18"/>
                <w:lang w:eastAsia="tr-TR"/>
              </w:rPr>
              <w:t> </w:t>
            </w:r>
          </w:p>
        </w:tc>
        <w:tc>
          <w:tcPr>
            <w:tcW w:w="992" w:type="dxa"/>
            <w:tcBorders>
              <w:top w:val="nil"/>
              <w:left w:val="nil"/>
              <w:bottom w:val="single" w:sz="8" w:space="0" w:color="auto"/>
              <w:right w:val="nil"/>
            </w:tcBorders>
            <w:shd w:val="clear" w:color="auto" w:fill="auto"/>
            <w:noWrap/>
            <w:vAlign w:val="bottom"/>
            <w:hideMark/>
          </w:tcPr>
          <w:p w14:paraId="2BD0A943" w14:textId="77777777" w:rsidR="00297765" w:rsidRPr="00005453" w:rsidRDefault="00297765" w:rsidP="00297765">
            <w:pPr>
              <w:jc w:val="right"/>
              <w:rPr>
                <w:b/>
                <w:bCs/>
                <w:sz w:val="18"/>
                <w:szCs w:val="18"/>
                <w:lang w:eastAsia="tr-TR"/>
              </w:rPr>
            </w:pPr>
            <w:r w:rsidRPr="00005453">
              <w:rPr>
                <w:b/>
                <w:bCs/>
                <w:sz w:val="18"/>
                <w:szCs w:val="18"/>
                <w:lang w:eastAsia="tr-TR"/>
              </w:rPr>
              <w:t xml:space="preserve"> Cari Dönem</w:t>
            </w:r>
          </w:p>
        </w:tc>
        <w:tc>
          <w:tcPr>
            <w:tcW w:w="1128" w:type="dxa"/>
            <w:tcBorders>
              <w:top w:val="nil"/>
              <w:left w:val="nil"/>
              <w:bottom w:val="single" w:sz="8" w:space="0" w:color="auto"/>
              <w:right w:val="nil"/>
            </w:tcBorders>
            <w:shd w:val="clear" w:color="auto" w:fill="auto"/>
            <w:noWrap/>
            <w:vAlign w:val="bottom"/>
            <w:hideMark/>
          </w:tcPr>
          <w:p w14:paraId="7EFA2A74" w14:textId="77777777" w:rsidR="00297765" w:rsidRPr="00005453" w:rsidRDefault="00297765" w:rsidP="00297765">
            <w:pPr>
              <w:jc w:val="right"/>
              <w:rPr>
                <w:b/>
                <w:bCs/>
                <w:sz w:val="18"/>
                <w:szCs w:val="18"/>
                <w:lang w:eastAsia="tr-TR"/>
              </w:rPr>
            </w:pPr>
            <w:r w:rsidRPr="00005453">
              <w:rPr>
                <w:b/>
                <w:bCs/>
                <w:sz w:val="18"/>
                <w:szCs w:val="18"/>
                <w:lang w:eastAsia="tr-TR"/>
              </w:rPr>
              <w:t xml:space="preserve"> Cari Dönem</w:t>
            </w:r>
          </w:p>
        </w:tc>
        <w:tc>
          <w:tcPr>
            <w:tcW w:w="860" w:type="dxa"/>
            <w:tcBorders>
              <w:top w:val="nil"/>
              <w:left w:val="nil"/>
              <w:bottom w:val="single" w:sz="8" w:space="0" w:color="auto"/>
              <w:right w:val="nil"/>
            </w:tcBorders>
            <w:shd w:val="clear" w:color="auto" w:fill="auto"/>
            <w:noWrap/>
            <w:vAlign w:val="bottom"/>
            <w:hideMark/>
          </w:tcPr>
          <w:p w14:paraId="5E3BB068" w14:textId="77777777" w:rsidR="00297765" w:rsidRPr="00005453" w:rsidRDefault="00297765" w:rsidP="00297765">
            <w:pPr>
              <w:jc w:val="right"/>
              <w:rPr>
                <w:b/>
                <w:bCs/>
                <w:sz w:val="18"/>
                <w:szCs w:val="18"/>
                <w:lang w:eastAsia="tr-TR"/>
              </w:rPr>
            </w:pPr>
            <w:r w:rsidRPr="00005453">
              <w:rPr>
                <w:b/>
                <w:bCs/>
                <w:sz w:val="18"/>
                <w:szCs w:val="18"/>
                <w:lang w:eastAsia="tr-TR"/>
              </w:rPr>
              <w:t>Önceki Dönem</w:t>
            </w:r>
          </w:p>
        </w:tc>
        <w:tc>
          <w:tcPr>
            <w:tcW w:w="980" w:type="dxa"/>
            <w:tcBorders>
              <w:top w:val="nil"/>
              <w:left w:val="nil"/>
              <w:bottom w:val="single" w:sz="8" w:space="0" w:color="auto"/>
              <w:right w:val="nil"/>
            </w:tcBorders>
            <w:shd w:val="clear" w:color="auto" w:fill="auto"/>
            <w:noWrap/>
            <w:vAlign w:val="bottom"/>
            <w:hideMark/>
          </w:tcPr>
          <w:p w14:paraId="32EB60D2" w14:textId="77777777" w:rsidR="00297765" w:rsidRPr="00005453" w:rsidRDefault="00297765" w:rsidP="00297765">
            <w:pPr>
              <w:jc w:val="right"/>
              <w:rPr>
                <w:b/>
                <w:bCs/>
                <w:sz w:val="18"/>
                <w:szCs w:val="18"/>
                <w:lang w:eastAsia="tr-TR"/>
              </w:rPr>
            </w:pPr>
            <w:r w:rsidRPr="00005453">
              <w:rPr>
                <w:b/>
                <w:bCs/>
                <w:sz w:val="18"/>
                <w:szCs w:val="18"/>
                <w:lang w:eastAsia="tr-TR"/>
              </w:rPr>
              <w:t>Önceki Dönem</w:t>
            </w:r>
          </w:p>
        </w:tc>
      </w:tr>
      <w:tr w:rsidR="00AE7655" w:rsidRPr="00005453" w14:paraId="2141A4F6" w14:textId="77777777" w:rsidTr="00AE7655">
        <w:trPr>
          <w:divId w:val="1690717808"/>
          <w:trHeight w:val="176"/>
        </w:trPr>
        <w:tc>
          <w:tcPr>
            <w:tcW w:w="5245" w:type="dxa"/>
            <w:tcBorders>
              <w:top w:val="nil"/>
              <w:left w:val="nil"/>
              <w:bottom w:val="nil"/>
              <w:right w:val="nil"/>
            </w:tcBorders>
            <w:shd w:val="clear" w:color="auto" w:fill="auto"/>
            <w:vAlign w:val="center"/>
            <w:hideMark/>
          </w:tcPr>
          <w:p w14:paraId="6D42A1F6" w14:textId="6615DD52" w:rsidR="00AE7655" w:rsidRPr="00005453" w:rsidRDefault="00AE7655" w:rsidP="00AE7655">
            <w:pPr>
              <w:rPr>
                <w:sz w:val="18"/>
                <w:szCs w:val="18"/>
                <w:lang w:eastAsia="tr-TR"/>
              </w:rPr>
            </w:pPr>
            <w:r w:rsidRPr="00005453">
              <w:rPr>
                <w:sz w:val="18"/>
                <w:szCs w:val="18"/>
                <w:lang w:eastAsia="tr-TR"/>
              </w:rPr>
              <w:t>12 Aylık Beklenen Zarar Karşılığı</w:t>
            </w:r>
          </w:p>
        </w:tc>
        <w:tc>
          <w:tcPr>
            <w:tcW w:w="992" w:type="dxa"/>
            <w:tcBorders>
              <w:top w:val="nil"/>
              <w:left w:val="nil"/>
              <w:bottom w:val="nil"/>
              <w:right w:val="nil"/>
            </w:tcBorders>
            <w:shd w:val="clear" w:color="auto" w:fill="auto"/>
            <w:vAlign w:val="center"/>
            <w:hideMark/>
          </w:tcPr>
          <w:p w14:paraId="304C54F3" w14:textId="45C4F3B5" w:rsidR="00AE7655" w:rsidRPr="00005453" w:rsidRDefault="00AE7655" w:rsidP="00AE7655">
            <w:pPr>
              <w:jc w:val="right"/>
              <w:rPr>
                <w:sz w:val="18"/>
                <w:szCs w:val="18"/>
                <w:lang w:eastAsia="tr-TR"/>
              </w:rPr>
            </w:pPr>
            <w:r w:rsidRPr="00005453">
              <w:rPr>
                <w:color w:val="000000"/>
                <w:sz w:val="18"/>
                <w:szCs w:val="18"/>
              </w:rPr>
              <w:t>2,696,490</w:t>
            </w:r>
          </w:p>
        </w:tc>
        <w:tc>
          <w:tcPr>
            <w:tcW w:w="1128" w:type="dxa"/>
            <w:tcBorders>
              <w:top w:val="nil"/>
              <w:left w:val="nil"/>
              <w:bottom w:val="nil"/>
              <w:right w:val="nil"/>
            </w:tcBorders>
            <w:shd w:val="clear" w:color="auto" w:fill="auto"/>
            <w:vAlign w:val="center"/>
            <w:hideMark/>
          </w:tcPr>
          <w:p w14:paraId="7B63CE68" w14:textId="622A8A17" w:rsidR="00AE7655" w:rsidRPr="00005453" w:rsidRDefault="00AE7655" w:rsidP="00AE7655">
            <w:pPr>
              <w:jc w:val="right"/>
              <w:rPr>
                <w:sz w:val="18"/>
                <w:szCs w:val="18"/>
                <w:lang w:eastAsia="tr-TR"/>
              </w:rPr>
            </w:pPr>
            <w:r w:rsidRPr="00005453">
              <w:rPr>
                <w:color w:val="000000"/>
                <w:sz w:val="18"/>
                <w:szCs w:val="18"/>
              </w:rPr>
              <w:t>-</w:t>
            </w:r>
          </w:p>
        </w:tc>
        <w:tc>
          <w:tcPr>
            <w:tcW w:w="860" w:type="dxa"/>
            <w:tcBorders>
              <w:top w:val="nil"/>
              <w:left w:val="nil"/>
              <w:bottom w:val="nil"/>
              <w:right w:val="nil"/>
            </w:tcBorders>
            <w:shd w:val="clear" w:color="auto" w:fill="auto"/>
            <w:vAlign w:val="center"/>
            <w:hideMark/>
          </w:tcPr>
          <w:p w14:paraId="3EF26DB5" w14:textId="0AD58F32" w:rsidR="00AE7655" w:rsidRPr="00005453" w:rsidRDefault="00AE7655" w:rsidP="00AE7655">
            <w:pPr>
              <w:jc w:val="right"/>
              <w:rPr>
                <w:sz w:val="18"/>
                <w:szCs w:val="18"/>
                <w:lang w:eastAsia="tr-TR"/>
              </w:rPr>
            </w:pPr>
            <w:r w:rsidRPr="00005453">
              <w:rPr>
                <w:sz w:val="18"/>
                <w:szCs w:val="18"/>
                <w:lang w:eastAsia="tr-TR"/>
              </w:rPr>
              <w:t xml:space="preserve">8,466,431    </w:t>
            </w:r>
          </w:p>
        </w:tc>
        <w:tc>
          <w:tcPr>
            <w:tcW w:w="980" w:type="dxa"/>
            <w:tcBorders>
              <w:top w:val="nil"/>
              <w:left w:val="nil"/>
              <w:bottom w:val="nil"/>
              <w:right w:val="nil"/>
            </w:tcBorders>
            <w:shd w:val="clear" w:color="auto" w:fill="auto"/>
            <w:vAlign w:val="center"/>
            <w:hideMark/>
          </w:tcPr>
          <w:p w14:paraId="75679164" w14:textId="4F4EEA3F" w:rsidR="00AE7655" w:rsidRPr="00005453" w:rsidRDefault="00AE7655" w:rsidP="00AE7655">
            <w:pPr>
              <w:jc w:val="right"/>
              <w:rPr>
                <w:sz w:val="18"/>
                <w:szCs w:val="18"/>
                <w:lang w:eastAsia="tr-TR"/>
              </w:rPr>
            </w:pPr>
            <w:r w:rsidRPr="00005453">
              <w:rPr>
                <w:sz w:val="18"/>
                <w:szCs w:val="18"/>
                <w:lang w:eastAsia="tr-TR"/>
              </w:rPr>
              <w:t>-</w:t>
            </w:r>
          </w:p>
        </w:tc>
      </w:tr>
      <w:tr w:rsidR="00731137" w:rsidRPr="00005453" w14:paraId="59ECD0B0" w14:textId="77777777" w:rsidTr="00BD1BED">
        <w:trPr>
          <w:divId w:val="1690717808"/>
          <w:trHeight w:val="176"/>
        </w:trPr>
        <w:tc>
          <w:tcPr>
            <w:tcW w:w="5245" w:type="dxa"/>
            <w:tcBorders>
              <w:top w:val="nil"/>
              <w:left w:val="nil"/>
              <w:bottom w:val="nil"/>
              <w:right w:val="nil"/>
            </w:tcBorders>
            <w:shd w:val="clear" w:color="auto" w:fill="auto"/>
            <w:vAlign w:val="center"/>
          </w:tcPr>
          <w:p w14:paraId="2A257452" w14:textId="1B561680" w:rsidR="00731137" w:rsidRPr="00005453" w:rsidRDefault="00731137" w:rsidP="00731137">
            <w:pPr>
              <w:rPr>
                <w:sz w:val="18"/>
                <w:szCs w:val="18"/>
                <w:lang w:eastAsia="tr-TR"/>
              </w:rPr>
            </w:pPr>
            <w:r w:rsidRPr="00005453">
              <w:rPr>
                <w:sz w:val="18"/>
                <w:szCs w:val="18"/>
                <w:lang w:eastAsia="tr-TR"/>
              </w:rPr>
              <w:t>İtfa Edilmiş Maliyeti İle Ölçülen Diğer Finansal Varlıklara İlişkin Beklenen Zarar Karşılığı</w:t>
            </w:r>
          </w:p>
        </w:tc>
        <w:tc>
          <w:tcPr>
            <w:tcW w:w="992" w:type="dxa"/>
            <w:tcBorders>
              <w:top w:val="nil"/>
              <w:left w:val="nil"/>
              <w:bottom w:val="nil"/>
              <w:right w:val="nil"/>
            </w:tcBorders>
            <w:shd w:val="clear" w:color="auto" w:fill="auto"/>
            <w:vAlign w:val="center"/>
          </w:tcPr>
          <w:p w14:paraId="79EC32DF" w14:textId="747A51FE" w:rsidR="00731137" w:rsidRPr="00005453" w:rsidRDefault="00AE7655" w:rsidP="00731137">
            <w:pPr>
              <w:jc w:val="right"/>
              <w:rPr>
                <w:sz w:val="18"/>
                <w:szCs w:val="18"/>
                <w:lang w:eastAsia="tr-TR"/>
              </w:rPr>
            </w:pPr>
            <w:r w:rsidRPr="00005453">
              <w:rPr>
                <w:sz w:val="18"/>
                <w:szCs w:val="18"/>
                <w:lang w:eastAsia="tr-TR"/>
              </w:rPr>
              <w:t>63</w:t>
            </w:r>
            <w:r w:rsidR="00731137" w:rsidRPr="00005453">
              <w:rPr>
                <w:sz w:val="18"/>
                <w:szCs w:val="18"/>
                <w:lang w:eastAsia="tr-TR"/>
              </w:rPr>
              <w:t>,</w:t>
            </w:r>
            <w:r w:rsidRPr="00005453">
              <w:rPr>
                <w:sz w:val="18"/>
                <w:szCs w:val="18"/>
                <w:lang w:eastAsia="tr-TR"/>
              </w:rPr>
              <w:t>024</w:t>
            </w:r>
          </w:p>
        </w:tc>
        <w:tc>
          <w:tcPr>
            <w:tcW w:w="1128" w:type="dxa"/>
            <w:tcBorders>
              <w:top w:val="nil"/>
              <w:left w:val="nil"/>
              <w:bottom w:val="nil"/>
              <w:right w:val="nil"/>
            </w:tcBorders>
            <w:shd w:val="clear" w:color="auto" w:fill="auto"/>
            <w:vAlign w:val="center"/>
          </w:tcPr>
          <w:p w14:paraId="756880FB" w14:textId="0C558CB8" w:rsidR="00731137" w:rsidRPr="00005453" w:rsidRDefault="00731137" w:rsidP="00731137">
            <w:pPr>
              <w:jc w:val="right"/>
              <w:rPr>
                <w:sz w:val="18"/>
                <w:szCs w:val="18"/>
                <w:lang w:eastAsia="tr-TR"/>
              </w:rPr>
            </w:pPr>
            <w:r w:rsidRPr="00005453">
              <w:rPr>
                <w:sz w:val="18"/>
                <w:szCs w:val="18"/>
                <w:lang w:eastAsia="tr-TR"/>
              </w:rPr>
              <w:t>-</w:t>
            </w:r>
          </w:p>
        </w:tc>
        <w:tc>
          <w:tcPr>
            <w:tcW w:w="860" w:type="dxa"/>
            <w:tcBorders>
              <w:top w:val="nil"/>
              <w:left w:val="nil"/>
              <w:bottom w:val="nil"/>
              <w:right w:val="nil"/>
            </w:tcBorders>
            <w:shd w:val="clear" w:color="auto" w:fill="auto"/>
            <w:vAlign w:val="center"/>
          </w:tcPr>
          <w:p w14:paraId="452913A5" w14:textId="61FD6A53" w:rsidR="00731137" w:rsidRPr="00005453" w:rsidRDefault="00731137" w:rsidP="00731137">
            <w:pPr>
              <w:jc w:val="right"/>
              <w:rPr>
                <w:sz w:val="18"/>
                <w:szCs w:val="18"/>
                <w:lang w:eastAsia="tr-TR"/>
              </w:rPr>
            </w:pPr>
            <w:r w:rsidRPr="00005453">
              <w:rPr>
                <w:sz w:val="18"/>
                <w:szCs w:val="18"/>
                <w:lang w:eastAsia="tr-TR"/>
              </w:rPr>
              <w:t>48,306</w:t>
            </w:r>
          </w:p>
        </w:tc>
        <w:tc>
          <w:tcPr>
            <w:tcW w:w="980" w:type="dxa"/>
            <w:tcBorders>
              <w:top w:val="nil"/>
              <w:left w:val="nil"/>
              <w:bottom w:val="nil"/>
              <w:right w:val="nil"/>
            </w:tcBorders>
            <w:shd w:val="clear" w:color="auto" w:fill="auto"/>
            <w:vAlign w:val="center"/>
          </w:tcPr>
          <w:p w14:paraId="53E38186" w14:textId="515BA1FB"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7C1C3310" w14:textId="77777777" w:rsidTr="00BD1BED">
        <w:trPr>
          <w:divId w:val="1690717808"/>
          <w:trHeight w:val="176"/>
        </w:trPr>
        <w:tc>
          <w:tcPr>
            <w:tcW w:w="5245" w:type="dxa"/>
            <w:tcBorders>
              <w:top w:val="nil"/>
              <w:left w:val="nil"/>
              <w:bottom w:val="nil"/>
              <w:right w:val="nil"/>
            </w:tcBorders>
            <w:shd w:val="clear" w:color="auto" w:fill="auto"/>
            <w:vAlign w:val="center"/>
            <w:hideMark/>
          </w:tcPr>
          <w:p w14:paraId="6E62401D" w14:textId="77777777" w:rsidR="00731137" w:rsidRPr="00005453" w:rsidRDefault="00731137" w:rsidP="00731137">
            <w:pPr>
              <w:rPr>
                <w:sz w:val="18"/>
                <w:szCs w:val="18"/>
                <w:lang w:eastAsia="tr-TR"/>
              </w:rPr>
            </w:pPr>
            <w:r w:rsidRPr="00005453">
              <w:rPr>
                <w:sz w:val="18"/>
                <w:szCs w:val="18"/>
                <w:lang w:eastAsia="tr-TR"/>
              </w:rPr>
              <w:t>Kredi Riskinde Önemli Artış</w:t>
            </w:r>
          </w:p>
        </w:tc>
        <w:tc>
          <w:tcPr>
            <w:tcW w:w="992" w:type="dxa"/>
            <w:tcBorders>
              <w:top w:val="nil"/>
              <w:left w:val="nil"/>
              <w:bottom w:val="single" w:sz="8" w:space="0" w:color="auto"/>
              <w:right w:val="nil"/>
            </w:tcBorders>
            <w:shd w:val="clear" w:color="auto" w:fill="auto"/>
            <w:vAlign w:val="center"/>
            <w:hideMark/>
          </w:tcPr>
          <w:p w14:paraId="4A429511" w14:textId="77777777" w:rsidR="00731137" w:rsidRPr="00005453" w:rsidRDefault="00731137" w:rsidP="00731137">
            <w:pPr>
              <w:jc w:val="right"/>
              <w:rPr>
                <w:sz w:val="18"/>
                <w:szCs w:val="18"/>
                <w:lang w:eastAsia="tr-TR"/>
              </w:rPr>
            </w:pPr>
            <w:r w:rsidRPr="00005453">
              <w:rPr>
                <w:sz w:val="18"/>
                <w:szCs w:val="18"/>
                <w:lang w:eastAsia="tr-TR"/>
              </w:rPr>
              <w:t>-</w:t>
            </w:r>
          </w:p>
        </w:tc>
        <w:tc>
          <w:tcPr>
            <w:tcW w:w="1128" w:type="dxa"/>
            <w:tcBorders>
              <w:top w:val="nil"/>
              <w:left w:val="nil"/>
              <w:bottom w:val="single" w:sz="8" w:space="0" w:color="auto"/>
              <w:right w:val="nil"/>
            </w:tcBorders>
            <w:shd w:val="clear" w:color="auto" w:fill="auto"/>
            <w:vAlign w:val="center"/>
            <w:hideMark/>
          </w:tcPr>
          <w:p w14:paraId="775D82D1" w14:textId="4CABAA61" w:rsidR="00731137" w:rsidRPr="00005453" w:rsidRDefault="00AE7655" w:rsidP="00731137">
            <w:pPr>
              <w:jc w:val="right"/>
              <w:rPr>
                <w:sz w:val="18"/>
                <w:szCs w:val="18"/>
                <w:lang w:eastAsia="tr-TR"/>
              </w:rPr>
            </w:pPr>
            <w:r w:rsidRPr="00005453">
              <w:rPr>
                <w:sz w:val="18"/>
                <w:szCs w:val="18"/>
                <w:lang w:eastAsia="tr-TR"/>
              </w:rPr>
              <w:t>4</w:t>
            </w:r>
            <w:r w:rsidR="00731137" w:rsidRPr="00005453">
              <w:rPr>
                <w:sz w:val="18"/>
                <w:szCs w:val="18"/>
                <w:lang w:eastAsia="tr-TR"/>
              </w:rPr>
              <w:t>,</w:t>
            </w:r>
            <w:r w:rsidRPr="00005453">
              <w:rPr>
                <w:sz w:val="18"/>
                <w:szCs w:val="18"/>
                <w:lang w:eastAsia="tr-TR"/>
              </w:rPr>
              <w:t>242</w:t>
            </w:r>
            <w:r w:rsidR="00731137" w:rsidRPr="00005453">
              <w:rPr>
                <w:sz w:val="18"/>
                <w:szCs w:val="18"/>
                <w:lang w:eastAsia="tr-TR"/>
              </w:rPr>
              <w:t>,</w:t>
            </w:r>
            <w:r w:rsidRPr="00005453">
              <w:rPr>
                <w:sz w:val="18"/>
                <w:szCs w:val="18"/>
                <w:lang w:eastAsia="tr-TR"/>
              </w:rPr>
              <w:t>520</w:t>
            </w:r>
            <w:r w:rsidR="00731137" w:rsidRPr="00005453">
              <w:rPr>
                <w:sz w:val="18"/>
                <w:szCs w:val="18"/>
                <w:lang w:eastAsia="tr-TR"/>
              </w:rPr>
              <w:t xml:space="preserve">    </w:t>
            </w:r>
          </w:p>
        </w:tc>
        <w:tc>
          <w:tcPr>
            <w:tcW w:w="860" w:type="dxa"/>
            <w:tcBorders>
              <w:top w:val="nil"/>
              <w:left w:val="nil"/>
              <w:bottom w:val="single" w:sz="8" w:space="0" w:color="auto"/>
              <w:right w:val="nil"/>
            </w:tcBorders>
            <w:shd w:val="clear" w:color="auto" w:fill="auto"/>
            <w:vAlign w:val="center"/>
            <w:hideMark/>
          </w:tcPr>
          <w:p w14:paraId="59707D5E" w14:textId="1EFB25F1" w:rsidR="00731137" w:rsidRPr="00005453" w:rsidRDefault="00731137" w:rsidP="00731137">
            <w:pPr>
              <w:jc w:val="right"/>
              <w:rPr>
                <w:sz w:val="18"/>
                <w:szCs w:val="18"/>
                <w:lang w:eastAsia="tr-TR"/>
              </w:rPr>
            </w:pPr>
            <w:r w:rsidRPr="00005453">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4B865949" w14:textId="156D3FE8" w:rsidR="00731137" w:rsidRPr="00005453" w:rsidRDefault="00731137" w:rsidP="00731137">
            <w:pPr>
              <w:jc w:val="right"/>
              <w:rPr>
                <w:sz w:val="18"/>
                <w:szCs w:val="18"/>
                <w:lang w:eastAsia="tr-TR"/>
              </w:rPr>
            </w:pPr>
            <w:r w:rsidRPr="00005453">
              <w:rPr>
                <w:sz w:val="18"/>
                <w:szCs w:val="18"/>
                <w:lang w:eastAsia="tr-TR"/>
              </w:rPr>
              <w:t xml:space="preserve">5,971,828    </w:t>
            </w:r>
          </w:p>
        </w:tc>
      </w:tr>
      <w:tr w:rsidR="00731137" w:rsidRPr="00005453" w14:paraId="37CB1839" w14:textId="77777777" w:rsidTr="00BD1BED">
        <w:trPr>
          <w:divId w:val="1690717808"/>
          <w:trHeight w:val="176"/>
        </w:trPr>
        <w:tc>
          <w:tcPr>
            <w:tcW w:w="5245" w:type="dxa"/>
            <w:tcBorders>
              <w:top w:val="single" w:sz="8" w:space="0" w:color="auto"/>
              <w:left w:val="nil"/>
              <w:bottom w:val="double" w:sz="6" w:space="0" w:color="auto"/>
              <w:right w:val="nil"/>
            </w:tcBorders>
            <w:shd w:val="clear" w:color="auto" w:fill="auto"/>
            <w:vAlign w:val="center"/>
            <w:hideMark/>
          </w:tcPr>
          <w:p w14:paraId="60DFDC14" w14:textId="77777777" w:rsidR="00731137" w:rsidRPr="00005453" w:rsidRDefault="00731137" w:rsidP="00731137">
            <w:pPr>
              <w:rPr>
                <w:b/>
                <w:bCs/>
                <w:sz w:val="18"/>
                <w:szCs w:val="18"/>
                <w:lang w:eastAsia="tr-TR"/>
              </w:rPr>
            </w:pPr>
            <w:r w:rsidRPr="00005453">
              <w:rPr>
                <w:b/>
                <w:bCs/>
                <w:sz w:val="18"/>
                <w:szCs w:val="18"/>
                <w:lang w:eastAsia="tr-TR"/>
              </w:rPr>
              <w:t>Toplam</w:t>
            </w:r>
          </w:p>
        </w:tc>
        <w:tc>
          <w:tcPr>
            <w:tcW w:w="992" w:type="dxa"/>
            <w:tcBorders>
              <w:top w:val="nil"/>
              <w:left w:val="nil"/>
              <w:bottom w:val="double" w:sz="6" w:space="0" w:color="auto"/>
              <w:right w:val="nil"/>
            </w:tcBorders>
            <w:shd w:val="clear" w:color="auto" w:fill="auto"/>
            <w:vAlign w:val="center"/>
            <w:hideMark/>
          </w:tcPr>
          <w:p w14:paraId="070AE16E" w14:textId="442F5A6F" w:rsidR="00731137" w:rsidRPr="00005453" w:rsidRDefault="00AE7655" w:rsidP="00731137">
            <w:pPr>
              <w:jc w:val="right"/>
              <w:rPr>
                <w:b/>
                <w:bCs/>
                <w:sz w:val="18"/>
                <w:szCs w:val="18"/>
                <w:lang w:eastAsia="tr-TR"/>
              </w:rPr>
            </w:pPr>
            <w:r w:rsidRPr="00005453">
              <w:rPr>
                <w:b/>
                <w:sz w:val="18"/>
                <w:szCs w:val="18"/>
                <w:lang w:eastAsia="tr-TR"/>
              </w:rPr>
              <w:t>2</w:t>
            </w:r>
            <w:r w:rsidR="00731137" w:rsidRPr="00005453">
              <w:rPr>
                <w:b/>
                <w:sz w:val="18"/>
                <w:szCs w:val="18"/>
                <w:lang w:eastAsia="tr-TR"/>
              </w:rPr>
              <w:t>,</w:t>
            </w:r>
            <w:r w:rsidRPr="00005453">
              <w:rPr>
                <w:b/>
                <w:sz w:val="18"/>
                <w:szCs w:val="18"/>
                <w:lang w:eastAsia="tr-TR"/>
              </w:rPr>
              <w:t>759</w:t>
            </w:r>
            <w:r w:rsidR="00731137" w:rsidRPr="00005453">
              <w:rPr>
                <w:b/>
                <w:sz w:val="18"/>
                <w:szCs w:val="18"/>
                <w:lang w:eastAsia="tr-TR"/>
              </w:rPr>
              <w:t>,</w:t>
            </w:r>
            <w:r w:rsidRPr="00005453">
              <w:rPr>
                <w:b/>
                <w:sz w:val="18"/>
                <w:szCs w:val="18"/>
                <w:lang w:eastAsia="tr-TR"/>
              </w:rPr>
              <w:t>514</w:t>
            </w:r>
          </w:p>
        </w:tc>
        <w:tc>
          <w:tcPr>
            <w:tcW w:w="1128" w:type="dxa"/>
            <w:tcBorders>
              <w:top w:val="nil"/>
              <w:left w:val="nil"/>
              <w:bottom w:val="double" w:sz="6" w:space="0" w:color="auto"/>
              <w:right w:val="nil"/>
            </w:tcBorders>
            <w:shd w:val="clear" w:color="auto" w:fill="auto"/>
            <w:vAlign w:val="center"/>
            <w:hideMark/>
          </w:tcPr>
          <w:p w14:paraId="4776FD98" w14:textId="7ED0CA14" w:rsidR="00731137" w:rsidRPr="00005453" w:rsidRDefault="00AE7655" w:rsidP="00731137">
            <w:pPr>
              <w:jc w:val="right"/>
              <w:rPr>
                <w:b/>
                <w:bCs/>
                <w:sz w:val="18"/>
                <w:szCs w:val="18"/>
                <w:lang w:eastAsia="tr-TR"/>
              </w:rPr>
            </w:pPr>
            <w:r w:rsidRPr="00005453">
              <w:rPr>
                <w:b/>
                <w:sz w:val="18"/>
                <w:szCs w:val="18"/>
                <w:lang w:eastAsia="tr-TR"/>
              </w:rPr>
              <w:t>4</w:t>
            </w:r>
            <w:r w:rsidR="00731137" w:rsidRPr="00005453">
              <w:rPr>
                <w:b/>
                <w:sz w:val="18"/>
                <w:szCs w:val="18"/>
                <w:lang w:eastAsia="tr-TR"/>
              </w:rPr>
              <w:t>,</w:t>
            </w:r>
            <w:r w:rsidRPr="00005453">
              <w:rPr>
                <w:b/>
                <w:sz w:val="18"/>
                <w:szCs w:val="18"/>
                <w:lang w:eastAsia="tr-TR"/>
              </w:rPr>
              <w:t>242</w:t>
            </w:r>
            <w:r w:rsidR="00731137" w:rsidRPr="00005453">
              <w:rPr>
                <w:b/>
                <w:sz w:val="18"/>
                <w:szCs w:val="18"/>
                <w:lang w:eastAsia="tr-TR"/>
              </w:rPr>
              <w:t>,</w:t>
            </w:r>
            <w:r w:rsidRPr="00005453">
              <w:rPr>
                <w:b/>
                <w:sz w:val="18"/>
                <w:szCs w:val="18"/>
                <w:lang w:eastAsia="tr-TR"/>
              </w:rPr>
              <w:t>520</w:t>
            </w:r>
            <w:r w:rsidR="00731137" w:rsidRPr="00005453">
              <w:rPr>
                <w:b/>
                <w:sz w:val="18"/>
                <w:szCs w:val="18"/>
                <w:lang w:eastAsia="tr-TR"/>
              </w:rPr>
              <w:t xml:space="preserve">    </w:t>
            </w:r>
          </w:p>
        </w:tc>
        <w:tc>
          <w:tcPr>
            <w:tcW w:w="860" w:type="dxa"/>
            <w:tcBorders>
              <w:top w:val="nil"/>
              <w:left w:val="nil"/>
              <w:bottom w:val="double" w:sz="6" w:space="0" w:color="auto"/>
              <w:right w:val="nil"/>
            </w:tcBorders>
            <w:shd w:val="clear" w:color="auto" w:fill="auto"/>
            <w:vAlign w:val="center"/>
            <w:hideMark/>
          </w:tcPr>
          <w:p w14:paraId="3AEB98BF" w14:textId="012AE3DC" w:rsidR="00731137" w:rsidRPr="00005453" w:rsidRDefault="00731137" w:rsidP="00731137">
            <w:pPr>
              <w:jc w:val="right"/>
              <w:rPr>
                <w:b/>
                <w:bCs/>
                <w:sz w:val="18"/>
                <w:szCs w:val="18"/>
                <w:lang w:eastAsia="tr-TR"/>
              </w:rPr>
            </w:pPr>
            <w:r w:rsidRPr="00005453">
              <w:rPr>
                <w:b/>
                <w:sz w:val="18"/>
                <w:szCs w:val="18"/>
                <w:lang w:eastAsia="tr-TR"/>
              </w:rPr>
              <w:t>8,514,737</w:t>
            </w:r>
          </w:p>
        </w:tc>
        <w:tc>
          <w:tcPr>
            <w:tcW w:w="980" w:type="dxa"/>
            <w:tcBorders>
              <w:top w:val="nil"/>
              <w:left w:val="nil"/>
              <w:bottom w:val="double" w:sz="6" w:space="0" w:color="auto"/>
              <w:right w:val="nil"/>
            </w:tcBorders>
            <w:shd w:val="clear" w:color="auto" w:fill="auto"/>
            <w:vAlign w:val="center"/>
            <w:hideMark/>
          </w:tcPr>
          <w:p w14:paraId="7B4F99C5" w14:textId="35805BE6" w:rsidR="00731137" w:rsidRPr="00005453" w:rsidRDefault="00731137" w:rsidP="00731137">
            <w:pPr>
              <w:jc w:val="right"/>
              <w:rPr>
                <w:b/>
                <w:bCs/>
                <w:sz w:val="18"/>
                <w:szCs w:val="18"/>
                <w:lang w:eastAsia="tr-TR"/>
              </w:rPr>
            </w:pPr>
            <w:r w:rsidRPr="00005453">
              <w:rPr>
                <w:b/>
                <w:sz w:val="18"/>
                <w:szCs w:val="18"/>
                <w:lang w:eastAsia="tr-TR"/>
              </w:rPr>
              <w:t xml:space="preserve">5,971,828    </w:t>
            </w:r>
          </w:p>
        </w:tc>
      </w:tr>
      <w:bookmarkEnd w:id="74"/>
    </w:tbl>
    <w:p w14:paraId="7A8170DD" w14:textId="7F189216" w:rsidR="00605404" w:rsidRPr="00005453" w:rsidRDefault="00605404" w:rsidP="00605404">
      <w:pPr>
        <w:tabs>
          <w:tab w:val="num" w:pos="0"/>
        </w:tabs>
        <w:autoSpaceDE w:val="0"/>
        <w:autoSpaceDN w:val="0"/>
        <w:adjustRightInd w:val="0"/>
        <w:rPr>
          <w:sz w:val="6"/>
          <w:szCs w:val="6"/>
        </w:rPr>
      </w:pPr>
    </w:p>
    <w:p w14:paraId="680E9EE5" w14:textId="4F19704B" w:rsidR="008C4530" w:rsidRPr="00005453" w:rsidRDefault="008C4530" w:rsidP="00605404">
      <w:pPr>
        <w:tabs>
          <w:tab w:val="num" w:pos="0"/>
        </w:tabs>
        <w:autoSpaceDE w:val="0"/>
        <w:autoSpaceDN w:val="0"/>
        <w:adjustRightInd w:val="0"/>
        <w:rPr>
          <w:sz w:val="16"/>
        </w:rPr>
      </w:pPr>
    </w:p>
    <w:p w14:paraId="6724EECA" w14:textId="2B2BB6AE" w:rsidR="00D22163" w:rsidRPr="00005453" w:rsidRDefault="00C95B75" w:rsidP="00A6645B">
      <w:pPr>
        <w:autoSpaceDE w:val="0"/>
        <w:autoSpaceDN w:val="0"/>
        <w:adjustRightInd w:val="0"/>
        <w:ind w:hanging="567"/>
      </w:pPr>
      <w:r w:rsidRPr="00005453">
        <w:rPr>
          <w:b/>
          <w:spacing w:val="-6"/>
        </w:rPr>
        <w:t>1.5.3</w:t>
      </w:r>
      <w:r w:rsidRPr="00005453">
        <w:rPr>
          <w:b/>
          <w:color w:val="000000"/>
          <w:sz w:val="22"/>
        </w:rPr>
        <w:tab/>
      </w:r>
      <w:r w:rsidRPr="00005453">
        <w:t>Vade yapısına göre nakdi kredilerin ve diğer alacakların dağılımı</w:t>
      </w:r>
    </w:p>
    <w:p w14:paraId="470BFC70" w14:textId="31E03C9D" w:rsidR="0030494D" w:rsidRPr="00005453" w:rsidRDefault="0030494D" w:rsidP="00A6645B">
      <w:pPr>
        <w:autoSpaceDE w:val="0"/>
        <w:autoSpaceDN w:val="0"/>
        <w:adjustRightInd w:val="0"/>
        <w:ind w:hanging="567"/>
        <w:rPr>
          <w:lang w:eastAsia="en-GB"/>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7"/>
        <w:gridCol w:w="1635"/>
        <w:gridCol w:w="1830"/>
        <w:gridCol w:w="2102"/>
      </w:tblGrid>
      <w:tr w:rsidR="0030494D" w:rsidRPr="00005453" w14:paraId="415FC6B1" w14:textId="77777777" w:rsidTr="00FD5D84">
        <w:trPr>
          <w:trHeight w:val="176"/>
        </w:trPr>
        <w:tc>
          <w:tcPr>
            <w:tcW w:w="3647" w:type="dxa"/>
            <w:tcBorders>
              <w:right w:val="nil"/>
            </w:tcBorders>
            <w:shd w:val="clear" w:color="auto" w:fill="auto"/>
            <w:vAlign w:val="center"/>
            <w:hideMark/>
          </w:tcPr>
          <w:p w14:paraId="56A18350" w14:textId="77777777" w:rsidR="0030494D" w:rsidRPr="00005453" w:rsidRDefault="0030494D" w:rsidP="00246439">
            <w:pPr>
              <w:jc w:val="right"/>
              <w:rPr>
                <w:sz w:val="18"/>
                <w:szCs w:val="18"/>
                <w:lang w:eastAsia="tr-TR"/>
              </w:rPr>
            </w:pPr>
            <w:r w:rsidRPr="00005453">
              <w:rPr>
                <w:sz w:val="18"/>
                <w:szCs w:val="18"/>
                <w:lang w:eastAsia="tr-TR"/>
              </w:rPr>
              <w:t> </w:t>
            </w:r>
          </w:p>
        </w:tc>
        <w:tc>
          <w:tcPr>
            <w:tcW w:w="1635" w:type="dxa"/>
            <w:tcBorders>
              <w:left w:val="nil"/>
            </w:tcBorders>
            <w:shd w:val="clear" w:color="auto" w:fill="auto"/>
            <w:vAlign w:val="center"/>
            <w:hideMark/>
          </w:tcPr>
          <w:p w14:paraId="0D37825D" w14:textId="77777777" w:rsidR="0030494D" w:rsidRPr="00005453" w:rsidRDefault="0030494D" w:rsidP="00246439">
            <w:pPr>
              <w:jc w:val="right"/>
              <w:rPr>
                <w:sz w:val="18"/>
                <w:szCs w:val="18"/>
                <w:lang w:eastAsia="tr-TR"/>
              </w:rPr>
            </w:pPr>
            <w:r w:rsidRPr="00005453">
              <w:rPr>
                <w:sz w:val="18"/>
                <w:szCs w:val="18"/>
                <w:lang w:eastAsia="tr-TR"/>
              </w:rPr>
              <w:t> </w:t>
            </w:r>
          </w:p>
        </w:tc>
        <w:tc>
          <w:tcPr>
            <w:tcW w:w="3932" w:type="dxa"/>
            <w:gridSpan w:val="2"/>
            <w:shd w:val="clear" w:color="auto" w:fill="auto"/>
            <w:vAlign w:val="center"/>
            <w:hideMark/>
          </w:tcPr>
          <w:p w14:paraId="2590DC4A" w14:textId="77777777" w:rsidR="0030494D" w:rsidRPr="00005453" w:rsidRDefault="0030494D" w:rsidP="00246439">
            <w:pPr>
              <w:jc w:val="center"/>
              <w:rPr>
                <w:b/>
                <w:bCs/>
                <w:sz w:val="18"/>
                <w:szCs w:val="18"/>
                <w:lang w:eastAsia="tr-TR"/>
              </w:rPr>
            </w:pPr>
            <w:r w:rsidRPr="00005453">
              <w:rPr>
                <w:b/>
                <w:bCs/>
                <w:sz w:val="18"/>
                <w:szCs w:val="18"/>
                <w:lang w:eastAsia="tr-TR"/>
              </w:rPr>
              <w:t>Yakın İzlemedeki Krediler</w:t>
            </w:r>
          </w:p>
        </w:tc>
      </w:tr>
      <w:tr w:rsidR="0030494D" w:rsidRPr="00005453" w14:paraId="228051C8" w14:textId="77777777" w:rsidTr="00246439">
        <w:trPr>
          <w:trHeight w:val="796"/>
        </w:trPr>
        <w:tc>
          <w:tcPr>
            <w:tcW w:w="3647" w:type="dxa"/>
            <w:shd w:val="clear" w:color="auto" w:fill="auto"/>
            <w:vAlign w:val="center"/>
            <w:hideMark/>
          </w:tcPr>
          <w:p w14:paraId="12565CE7" w14:textId="65B9778B" w:rsidR="0030494D" w:rsidRPr="00005453" w:rsidRDefault="0030494D" w:rsidP="00246439">
            <w:pPr>
              <w:rPr>
                <w:b/>
                <w:bCs/>
                <w:sz w:val="18"/>
                <w:szCs w:val="18"/>
                <w:lang w:eastAsia="tr-TR"/>
              </w:rPr>
            </w:pPr>
            <w:r w:rsidRPr="00005453">
              <w:rPr>
                <w:b/>
                <w:bCs/>
                <w:sz w:val="18"/>
                <w:szCs w:val="18"/>
                <w:lang w:eastAsia="tr-TR"/>
              </w:rPr>
              <w:t>Cari Dönem</w:t>
            </w:r>
          </w:p>
        </w:tc>
        <w:tc>
          <w:tcPr>
            <w:tcW w:w="1635" w:type="dxa"/>
            <w:shd w:val="clear" w:color="auto" w:fill="auto"/>
            <w:vAlign w:val="center"/>
            <w:hideMark/>
          </w:tcPr>
          <w:p w14:paraId="1636D347" w14:textId="77777777" w:rsidR="0030494D" w:rsidRPr="00005453" w:rsidRDefault="0030494D" w:rsidP="00246439">
            <w:pPr>
              <w:jc w:val="right"/>
              <w:rPr>
                <w:b/>
                <w:bCs/>
                <w:sz w:val="18"/>
                <w:szCs w:val="18"/>
                <w:lang w:eastAsia="tr-TR"/>
              </w:rPr>
            </w:pPr>
            <w:r w:rsidRPr="00005453">
              <w:rPr>
                <w:b/>
                <w:bCs/>
                <w:sz w:val="18"/>
                <w:szCs w:val="18"/>
                <w:lang w:eastAsia="tr-TR"/>
              </w:rPr>
              <w:t>Standart Nitelikli Krediler</w:t>
            </w:r>
          </w:p>
        </w:tc>
        <w:tc>
          <w:tcPr>
            <w:tcW w:w="1830" w:type="dxa"/>
            <w:shd w:val="clear" w:color="auto" w:fill="auto"/>
            <w:vAlign w:val="center"/>
            <w:hideMark/>
          </w:tcPr>
          <w:p w14:paraId="5053F799" w14:textId="77777777" w:rsidR="0030494D" w:rsidRPr="00005453" w:rsidRDefault="0030494D" w:rsidP="00246439">
            <w:pPr>
              <w:jc w:val="right"/>
              <w:rPr>
                <w:b/>
                <w:bCs/>
                <w:sz w:val="18"/>
                <w:szCs w:val="18"/>
                <w:lang w:eastAsia="tr-TR"/>
              </w:rPr>
            </w:pPr>
            <w:r w:rsidRPr="00005453">
              <w:rPr>
                <w:b/>
                <w:bCs/>
                <w:sz w:val="18"/>
                <w:szCs w:val="18"/>
                <w:lang w:eastAsia="tr-TR"/>
              </w:rPr>
              <w:t>Yeniden yapılandırma Kapsamında Yer Almayanlar</w:t>
            </w:r>
          </w:p>
        </w:tc>
        <w:tc>
          <w:tcPr>
            <w:tcW w:w="2102" w:type="dxa"/>
            <w:shd w:val="clear" w:color="auto" w:fill="auto"/>
            <w:vAlign w:val="center"/>
            <w:hideMark/>
          </w:tcPr>
          <w:p w14:paraId="404E9A40" w14:textId="77777777" w:rsidR="0030494D" w:rsidRPr="00005453" w:rsidRDefault="0030494D" w:rsidP="00246439">
            <w:pPr>
              <w:jc w:val="right"/>
              <w:rPr>
                <w:b/>
                <w:bCs/>
                <w:sz w:val="18"/>
                <w:szCs w:val="18"/>
                <w:lang w:eastAsia="tr-TR"/>
              </w:rPr>
            </w:pPr>
            <w:r w:rsidRPr="00005453">
              <w:rPr>
                <w:b/>
                <w:bCs/>
                <w:sz w:val="18"/>
                <w:szCs w:val="18"/>
                <w:lang w:eastAsia="tr-TR"/>
              </w:rPr>
              <w:t>Yeniden Yapılandırılanlar</w:t>
            </w:r>
          </w:p>
        </w:tc>
      </w:tr>
      <w:tr w:rsidR="00F81CD3" w:rsidRPr="00005453" w14:paraId="735835E8" w14:textId="77777777" w:rsidTr="00F81CD3">
        <w:trPr>
          <w:trHeight w:val="160"/>
        </w:trPr>
        <w:tc>
          <w:tcPr>
            <w:tcW w:w="3647" w:type="dxa"/>
            <w:shd w:val="clear" w:color="auto" w:fill="auto"/>
            <w:noWrap/>
            <w:vAlign w:val="center"/>
            <w:hideMark/>
          </w:tcPr>
          <w:p w14:paraId="2FCE38E7" w14:textId="77777777" w:rsidR="00F81CD3" w:rsidRPr="00005453" w:rsidRDefault="00F81CD3" w:rsidP="00F81CD3">
            <w:pPr>
              <w:jc w:val="both"/>
              <w:rPr>
                <w:sz w:val="18"/>
                <w:szCs w:val="18"/>
                <w:lang w:eastAsia="tr-TR"/>
              </w:rPr>
            </w:pPr>
            <w:r w:rsidRPr="00005453">
              <w:rPr>
                <w:sz w:val="18"/>
                <w:szCs w:val="18"/>
                <w:lang w:eastAsia="tr-TR"/>
              </w:rPr>
              <w:t>Kısa Vadeli Krediler</w:t>
            </w:r>
          </w:p>
        </w:tc>
        <w:tc>
          <w:tcPr>
            <w:tcW w:w="1635" w:type="dxa"/>
            <w:shd w:val="clear" w:color="auto" w:fill="auto"/>
            <w:vAlign w:val="center"/>
            <w:hideMark/>
          </w:tcPr>
          <w:p w14:paraId="1569C831" w14:textId="5C3E7473" w:rsidR="00F81CD3" w:rsidRPr="00005453" w:rsidRDefault="00F81CD3" w:rsidP="00F81CD3">
            <w:pPr>
              <w:jc w:val="right"/>
              <w:rPr>
                <w:sz w:val="18"/>
                <w:szCs w:val="18"/>
                <w:lang w:eastAsia="tr-TR"/>
              </w:rPr>
            </w:pPr>
            <w:r w:rsidRPr="00005453">
              <w:rPr>
                <w:sz w:val="18"/>
                <w:szCs w:val="18"/>
              </w:rPr>
              <w:t>182,376,086</w:t>
            </w:r>
          </w:p>
        </w:tc>
        <w:tc>
          <w:tcPr>
            <w:tcW w:w="1830" w:type="dxa"/>
            <w:shd w:val="clear" w:color="auto" w:fill="auto"/>
            <w:vAlign w:val="center"/>
            <w:hideMark/>
          </w:tcPr>
          <w:p w14:paraId="1631C437" w14:textId="0041FB0F" w:rsidR="00F81CD3" w:rsidRPr="00005453" w:rsidRDefault="00F81CD3" w:rsidP="00F81CD3">
            <w:pPr>
              <w:jc w:val="right"/>
              <w:rPr>
                <w:sz w:val="18"/>
                <w:szCs w:val="18"/>
                <w:lang w:eastAsia="tr-TR"/>
              </w:rPr>
            </w:pPr>
            <w:r w:rsidRPr="00005453">
              <w:rPr>
                <w:sz w:val="18"/>
                <w:szCs w:val="18"/>
              </w:rPr>
              <w:t>13,224,521</w:t>
            </w:r>
          </w:p>
        </w:tc>
        <w:tc>
          <w:tcPr>
            <w:tcW w:w="2102" w:type="dxa"/>
            <w:shd w:val="clear" w:color="auto" w:fill="auto"/>
            <w:vAlign w:val="center"/>
            <w:hideMark/>
          </w:tcPr>
          <w:p w14:paraId="0E411F3E" w14:textId="5570E0BD" w:rsidR="00F81CD3" w:rsidRPr="00005453" w:rsidRDefault="00F81CD3" w:rsidP="00F81CD3">
            <w:pPr>
              <w:jc w:val="right"/>
              <w:rPr>
                <w:sz w:val="18"/>
                <w:szCs w:val="18"/>
                <w:lang w:eastAsia="tr-TR"/>
              </w:rPr>
            </w:pPr>
            <w:r w:rsidRPr="00005453">
              <w:rPr>
                <w:sz w:val="18"/>
                <w:szCs w:val="18"/>
              </w:rPr>
              <w:t>1,001,569</w:t>
            </w:r>
          </w:p>
        </w:tc>
      </w:tr>
      <w:tr w:rsidR="00F81CD3" w:rsidRPr="00005453" w14:paraId="4F461442" w14:textId="77777777" w:rsidTr="00F81CD3">
        <w:trPr>
          <w:trHeight w:val="168"/>
        </w:trPr>
        <w:tc>
          <w:tcPr>
            <w:tcW w:w="3647" w:type="dxa"/>
            <w:shd w:val="clear" w:color="auto" w:fill="auto"/>
            <w:vAlign w:val="center"/>
            <w:hideMark/>
          </w:tcPr>
          <w:p w14:paraId="1A1901D1" w14:textId="77777777" w:rsidR="00F81CD3" w:rsidRPr="00005453" w:rsidRDefault="00F81CD3" w:rsidP="00F81CD3">
            <w:pPr>
              <w:jc w:val="both"/>
              <w:rPr>
                <w:sz w:val="18"/>
                <w:szCs w:val="18"/>
                <w:lang w:eastAsia="tr-TR"/>
              </w:rPr>
            </w:pPr>
            <w:r w:rsidRPr="00005453">
              <w:rPr>
                <w:sz w:val="18"/>
                <w:szCs w:val="18"/>
                <w:lang w:eastAsia="tr-TR"/>
              </w:rPr>
              <w:t>Orta ve Uzun Vadeli Krediler</w:t>
            </w:r>
          </w:p>
        </w:tc>
        <w:tc>
          <w:tcPr>
            <w:tcW w:w="1635" w:type="dxa"/>
            <w:shd w:val="clear" w:color="auto" w:fill="auto"/>
            <w:vAlign w:val="center"/>
            <w:hideMark/>
          </w:tcPr>
          <w:p w14:paraId="4C675E35" w14:textId="20691E81" w:rsidR="00F81CD3" w:rsidRPr="00005453" w:rsidRDefault="00F81CD3" w:rsidP="00F81CD3">
            <w:pPr>
              <w:jc w:val="right"/>
              <w:rPr>
                <w:sz w:val="18"/>
                <w:szCs w:val="18"/>
                <w:lang w:eastAsia="tr-TR"/>
              </w:rPr>
            </w:pPr>
            <w:r w:rsidRPr="00005453">
              <w:rPr>
                <w:sz w:val="18"/>
                <w:szCs w:val="18"/>
              </w:rPr>
              <w:t>168,014,430</w:t>
            </w:r>
          </w:p>
        </w:tc>
        <w:tc>
          <w:tcPr>
            <w:tcW w:w="1830" w:type="dxa"/>
            <w:shd w:val="clear" w:color="auto" w:fill="auto"/>
            <w:vAlign w:val="center"/>
            <w:hideMark/>
          </w:tcPr>
          <w:p w14:paraId="3495E255" w14:textId="26285674" w:rsidR="00F81CD3" w:rsidRPr="00005453" w:rsidRDefault="00F81CD3" w:rsidP="00F81CD3">
            <w:pPr>
              <w:jc w:val="right"/>
              <w:rPr>
                <w:sz w:val="18"/>
                <w:szCs w:val="18"/>
                <w:lang w:eastAsia="tr-TR"/>
              </w:rPr>
            </w:pPr>
            <w:r w:rsidRPr="00005453">
              <w:rPr>
                <w:sz w:val="18"/>
                <w:szCs w:val="18"/>
              </w:rPr>
              <w:t>9,670,355</w:t>
            </w:r>
          </w:p>
        </w:tc>
        <w:tc>
          <w:tcPr>
            <w:tcW w:w="2102" w:type="dxa"/>
            <w:shd w:val="clear" w:color="auto" w:fill="auto"/>
            <w:vAlign w:val="center"/>
            <w:hideMark/>
          </w:tcPr>
          <w:p w14:paraId="7518B0DD" w14:textId="550312EE" w:rsidR="00F81CD3" w:rsidRPr="00005453" w:rsidRDefault="00F81CD3" w:rsidP="00F81CD3">
            <w:pPr>
              <w:jc w:val="right"/>
              <w:rPr>
                <w:sz w:val="18"/>
                <w:szCs w:val="18"/>
                <w:lang w:eastAsia="tr-TR"/>
              </w:rPr>
            </w:pPr>
            <w:r w:rsidRPr="00005453">
              <w:rPr>
                <w:sz w:val="18"/>
                <w:szCs w:val="18"/>
              </w:rPr>
              <w:t>2,907,922</w:t>
            </w:r>
          </w:p>
        </w:tc>
      </w:tr>
      <w:tr w:rsidR="00F81CD3" w:rsidRPr="00005453" w14:paraId="10934A87" w14:textId="77777777" w:rsidTr="00F81CD3">
        <w:trPr>
          <w:trHeight w:val="168"/>
        </w:trPr>
        <w:tc>
          <w:tcPr>
            <w:tcW w:w="3647" w:type="dxa"/>
            <w:shd w:val="clear" w:color="auto" w:fill="auto"/>
            <w:vAlign w:val="center"/>
            <w:hideMark/>
          </w:tcPr>
          <w:p w14:paraId="4E83F920" w14:textId="77777777" w:rsidR="00F81CD3" w:rsidRPr="00005453" w:rsidRDefault="00F81CD3" w:rsidP="00F81CD3">
            <w:pPr>
              <w:jc w:val="both"/>
              <w:rPr>
                <w:b/>
                <w:bCs/>
                <w:sz w:val="18"/>
                <w:szCs w:val="18"/>
                <w:lang w:eastAsia="tr-TR"/>
              </w:rPr>
            </w:pPr>
            <w:r w:rsidRPr="00005453">
              <w:rPr>
                <w:b/>
                <w:bCs/>
                <w:sz w:val="18"/>
                <w:szCs w:val="18"/>
                <w:lang w:eastAsia="tr-TR"/>
              </w:rPr>
              <w:t>Toplam</w:t>
            </w:r>
          </w:p>
        </w:tc>
        <w:tc>
          <w:tcPr>
            <w:tcW w:w="1635" w:type="dxa"/>
            <w:shd w:val="clear" w:color="auto" w:fill="auto"/>
            <w:vAlign w:val="center"/>
            <w:hideMark/>
          </w:tcPr>
          <w:p w14:paraId="37F90F9A" w14:textId="218D6B70" w:rsidR="00F81CD3" w:rsidRPr="00005453" w:rsidRDefault="00F81CD3" w:rsidP="00F81CD3">
            <w:pPr>
              <w:jc w:val="right"/>
              <w:rPr>
                <w:b/>
                <w:sz w:val="18"/>
                <w:szCs w:val="18"/>
                <w:lang w:eastAsia="tr-TR"/>
              </w:rPr>
            </w:pPr>
            <w:r w:rsidRPr="00005453">
              <w:rPr>
                <w:b/>
                <w:sz w:val="18"/>
                <w:szCs w:val="18"/>
              </w:rPr>
              <w:t>350,390,516</w:t>
            </w:r>
          </w:p>
        </w:tc>
        <w:tc>
          <w:tcPr>
            <w:tcW w:w="1830" w:type="dxa"/>
            <w:shd w:val="clear" w:color="auto" w:fill="auto"/>
            <w:vAlign w:val="center"/>
            <w:hideMark/>
          </w:tcPr>
          <w:p w14:paraId="68D84BA7" w14:textId="6F077493" w:rsidR="00F81CD3" w:rsidRPr="00005453" w:rsidRDefault="00F81CD3" w:rsidP="00F81CD3">
            <w:pPr>
              <w:jc w:val="right"/>
              <w:rPr>
                <w:b/>
                <w:sz w:val="18"/>
                <w:szCs w:val="18"/>
                <w:lang w:eastAsia="tr-TR"/>
              </w:rPr>
            </w:pPr>
            <w:r w:rsidRPr="00005453">
              <w:rPr>
                <w:b/>
                <w:sz w:val="18"/>
                <w:szCs w:val="18"/>
              </w:rPr>
              <w:t>22,894,876</w:t>
            </w:r>
          </w:p>
        </w:tc>
        <w:tc>
          <w:tcPr>
            <w:tcW w:w="2102" w:type="dxa"/>
            <w:shd w:val="clear" w:color="auto" w:fill="auto"/>
            <w:vAlign w:val="center"/>
            <w:hideMark/>
          </w:tcPr>
          <w:p w14:paraId="4CDB3529" w14:textId="6376EA47" w:rsidR="00F81CD3" w:rsidRPr="00005453" w:rsidRDefault="00F81CD3" w:rsidP="00F81CD3">
            <w:pPr>
              <w:jc w:val="right"/>
              <w:rPr>
                <w:b/>
                <w:sz w:val="18"/>
                <w:szCs w:val="18"/>
                <w:lang w:eastAsia="tr-TR"/>
              </w:rPr>
            </w:pPr>
            <w:r w:rsidRPr="00005453">
              <w:rPr>
                <w:b/>
                <w:color w:val="000000"/>
                <w:sz w:val="18"/>
                <w:szCs w:val="18"/>
              </w:rPr>
              <w:t>3,909,491</w:t>
            </w:r>
          </w:p>
        </w:tc>
      </w:tr>
    </w:tbl>
    <w:p w14:paraId="2CA43C9A" w14:textId="172C0031" w:rsidR="00D22163" w:rsidRPr="00005453" w:rsidRDefault="00D22163" w:rsidP="00C95B75">
      <w:pPr>
        <w:autoSpaceDE w:val="0"/>
        <w:autoSpaceDN w:val="0"/>
        <w:adjustRightInd w:val="0"/>
        <w:rPr>
          <w:lang w:val="en-GB" w:eastAsia="en-GB"/>
        </w:rPr>
      </w:pPr>
    </w:p>
    <w:p w14:paraId="0E101279" w14:textId="77777777" w:rsidR="0030494D" w:rsidRPr="00005453" w:rsidRDefault="0030494D" w:rsidP="00C95B75">
      <w:pPr>
        <w:autoSpaceDE w:val="0"/>
        <w:autoSpaceDN w:val="0"/>
        <w:adjustRightInd w:val="0"/>
        <w:rPr>
          <w:lang w:val="en-GB" w:eastAsia="en-GB"/>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7"/>
        <w:gridCol w:w="1635"/>
        <w:gridCol w:w="1830"/>
        <w:gridCol w:w="2102"/>
      </w:tblGrid>
      <w:tr w:rsidR="0030494D" w:rsidRPr="00005453" w14:paraId="708E4968" w14:textId="77777777" w:rsidTr="00FD5D84">
        <w:trPr>
          <w:trHeight w:val="176"/>
        </w:trPr>
        <w:tc>
          <w:tcPr>
            <w:tcW w:w="3647" w:type="dxa"/>
            <w:tcBorders>
              <w:right w:val="nil"/>
            </w:tcBorders>
            <w:shd w:val="clear" w:color="auto" w:fill="auto"/>
            <w:vAlign w:val="center"/>
            <w:hideMark/>
          </w:tcPr>
          <w:p w14:paraId="6E73B620" w14:textId="77777777" w:rsidR="0030494D" w:rsidRPr="00005453" w:rsidRDefault="0030494D" w:rsidP="00246439">
            <w:pPr>
              <w:jc w:val="right"/>
              <w:rPr>
                <w:sz w:val="18"/>
                <w:szCs w:val="18"/>
                <w:lang w:eastAsia="tr-TR"/>
              </w:rPr>
            </w:pPr>
            <w:r w:rsidRPr="00005453">
              <w:rPr>
                <w:sz w:val="18"/>
                <w:szCs w:val="18"/>
                <w:lang w:eastAsia="tr-TR"/>
              </w:rPr>
              <w:t> </w:t>
            </w:r>
          </w:p>
        </w:tc>
        <w:tc>
          <w:tcPr>
            <w:tcW w:w="1635" w:type="dxa"/>
            <w:tcBorders>
              <w:left w:val="nil"/>
            </w:tcBorders>
            <w:shd w:val="clear" w:color="auto" w:fill="auto"/>
            <w:vAlign w:val="center"/>
            <w:hideMark/>
          </w:tcPr>
          <w:p w14:paraId="681EDB4A" w14:textId="77777777" w:rsidR="0030494D" w:rsidRPr="00005453" w:rsidRDefault="0030494D" w:rsidP="00246439">
            <w:pPr>
              <w:jc w:val="right"/>
              <w:rPr>
                <w:sz w:val="18"/>
                <w:szCs w:val="18"/>
                <w:lang w:eastAsia="tr-TR"/>
              </w:rPr>
            </w:pPr>
            <w:r w:rsidRPr="00005453">
              <w:rPr>
                <w:sz w:val="18"/>
                <w:szCs w:val="18"/>
                <w:lang w:eastAsia="tr-TR"/>
              </w:rPr>
              <w:t> </w:t>
            </w:r>
          </w:p>
        </w:tc>
        <w:tc>
          <w:tcPr>
            <w:tcW w:w="3932" w:type="dxa"/>
            <w:gridSpan w:val="2"/>
            <w:shd w:val="clear" w:color="auto" w:fill="auto"/>
            <w:vAlign w:val="center"/>
            <w:hideMark/>
          </w:tcPr>
          <w:p w14:paraId="02CF94DB" w14:textId="77777777" w:rsidR="0030494D" w:rsidRPr="00005453" w:rsidRDefault="0030494D" w:rsidP="00246439">
            <w:pPr>
              <w:jc w:val="center"/>
              <w:rPr>
                <w:b/>
                <w:bCs/>
                <w:sz w:val="18"/>
                <w:szCs w:val="18"/>
                <w:lang w:eastAsia="tr-TR"/>
              </w:rPr>
            </w:pPr>
            <w:r w:rsidRPr="00005453">
              <w:rPr>
                <w:b/>
                <w:bCs/>
                <w:sz w:val="18"/>
                <w:szCs w:val="18"/>
                <w:lang w:eastAsia="tr-TR"/>
              </w:rPr>
              <w:t>Yakın İzlemedeki Krediler</w:t>
            </w:r>
          </w:p>
        </w:tc>
      </w:tr>
      <w:tr w:rsidR="0030494D" w:rsidRPr="00005453" w14:paraId="5A59AB1E" w14:textId="77777777" w:rsidTr="0030494D">
        <w:trPr>
          <w:trHeight w:val="796"/>
        </w:trPr>
        <w:tc>
          <w:tcPr>
            <w:tcW w:w="3647" w:type="dxa"/>
            <w:shd w:val="clear" w:color="auto" w:fill="auto"/>
            <w:vAlign w:val="center"/>
            <w:hideMark/>
          </w:tcPr>
          <w:p w14:paraId="1DA30F4D" w14:textId="77777777" w:rsidR="0030494D" w:rsidRPr="00005453" w:rsidRDefault="0030494D" w:rsidP="00246439">
            <w:pPr>
              <w:rPr>
                <w:b/>
                <w:bCs/>
                <w:sz w:val="18"/>
                <w:szCs w:val="18"/>
                <w:lang w:eastAsia="tr-TR"/>
              </w:rPr>
            </w:pPr>
            <w:r w:rsidRPr="00005453">
              <w:rPr>
                <w:b/>
                <w:bCs/>
                <w:sz w:val="18"/>
                <w:szCs w:val="18"/>
                <w:lang w:eastAsia="tr-TR"/>
              </w:rPr>
              <w:t>Önceki Dönem</w:t>
            </w:r>
          </w:p>
        </w:tc>
        <w:tc>
          <w:tcPr>
            <w:tcW w:w="1635" w:type="dxa"/>
            <w:shd w:val="clear" w:color="auto" w:fill="auto"/>
            <w:vAlign w:val="center"/>
            <w:hideMark/>
          </w:tcPr>
          <w:p w14:paraId="138EB266" w14:textId="77777777" w:rsidR="0030494D" w:rsidRPr="00005453" w:rsidRDefault="0030494D" w:rsidP="00246439">
            <w:pPr>
              <w:jc w:val="right"/>
              <w:rPr>
                <w:b/>
                <w:bCs/>
                <w:sz w:val="18"/>
                <w:szCs w:val="18"/>
                <w:lang w:eastAsia="tr-TR"/>
              </w:rPr>
            </w:pPr>
            <w:r w:rsidRPr="00005453">
              <w:rPr>
                <w:b/>
                <w:bCs/>
                <w:sz w:val="18"/>
                <w:szCs w:val="18"/>
                <w:lang w:eastAsia="tr-TR"/>
              </w:rPr>
              <w:t>Standart Nitelikli Krediler</w:t>
            </w:r>
          </w:p>
        </w:tc>
        <w:tc>
          <w:tcPr>
            <w:tcW w:w="1830" w:type="dxa"/>
            <w:shd w:val="clear" w:color="auto" w:fill="auto"/>
            <w:vAlign w:val="center"/>
            <w:hideMark/>
          </w:tcPr>
          <w:p w14:paraId="645EBA16" w14:textId="77777777" w:rsidR="0030494D" w:rsidRPr="00005453" w:rsidRDefault="0030494D" w:rsidP="00246439">
            <w:pPr>
              <w:jc w:val="right"/>
              <w:rPr>
                <w:b/>
                <w:bCs/>
                <w:sz w:val="18"/>
                <w:szCs w:val="18"/>
                <w:lang w:eastAsia="tr-TR"/>
              </w:rPr>
            </w:pPr>
            <w:r w:rsidRPr="00005453">
              <w:rPr>
                <w:b/>
                <w:bCs/>
                <w:sz w:val="18"/>
                <w:szCs w:val="18"/>
                <w:lang w:eastAsia="tr-TR"/>
              </w:rPr>
              <w:t>Yeniden yapılandırma Kapsamında Yer Almayanlar</w:t>
            </w:r>
          </w:p>
        </w:tc>
        <w:tc>
          <w:tcPr>
            <w:tcW w:w="2102" w:type="dxa"/>
            <w:shd w:val="clear" w:color="auto" w:fill="auto"/>
            <w:vAlign w:val="center"/>
            <w:hideMark/>
          </w:tcPr>
          <w:p w14:paraId="2115BF54" w14:textId="77777777" w:rsidR="0030494D" w:rsidRPr="00005453" w:rsidRDefault="0030494D" w:rsidP="00246439">
            <w:pPr>
              <w:jc w:val="right"/>
              <w:rPr>
                <w:b/>
                <w:bCs/>
                <w:sz w:val="18"/>
                <w:szCs w:val="18"/>
                <w:lang w:eastAsia="tr-TR"/>
              </w:rPr>
            </w:pPr>
            <w:r w:rsidRPr="00005453">
              <w:rPr>
                <w:b/>
                <w:bCs/>
                <w:sz w:val="18"/>
                <w:szCs w:val="18"/>
                <w:lang w:eastAsia="tr-TR"/>
              </w:rPr>
              <w:t>Yeniden Yapılandırılanlar</w:t>
            </w:r>
          </w:p>
        </w:tc>
      </w:tr>
      <w:tr w:rsidR="00731137" w:rsidRPr="00005453" w14:paraId="5E131B7E" w14:textId="77777777" w:rsidTr="0030494D">
        <w:trPr>
          <w:trHeight w:val="160"/>
        </w:trPr>
        <w:tc>
          <w:tcPr>
            <w:tcW w:w="3647" w:type="dxa"/>
            <w:shd w:val="clear" w:color="auto" w:fill="auto"/>
            <w:noWrap/>
            <w:vAlign w:val="center"/>
            <w:hideMark/>
          </w:tcPr>
          <w:p w14:paraId="3D06812E" w14:textId="77777777" w:rsidR="00731137" w:rsidRPr="00005453" w:rsidRDefault="00731137" w:rsidP="00731137">
            <w:pPr>
              <w:jc w:val="both"/>
              <w:rPr>
                <w:sz w:val="18"/>
                <w:szCs w:val="18"/>
                <w:lang w:eastAsia="tr-TR"/>
              </w:rPr>
            </w:pPr>
            <w:r w:rsidRPr="00005453">
              <w:rPr>
                <w:sz w:val="18"/>
                <w:szCs w:val="18"/>
                <w:lang w:eastAsia="tr-TR"/>
              </w:rPr>
              <w:t>Kısa Vadeli Krediler</w:t>
            </w:r>
          </w:p>
        </w:tc>
        <w:tc>
          <w:tcPr>
            <w:tcW w:w="1635" w:type="dxa"/>
            <w:shd w:val="clear" w:color="auto" w:fill="auto"/>
            <w:vAlign w:val="center"/>
            <w:hideMark/>
          </w:tcPr>
          <w:p w14:paraId="3D968F0A" w14:textId="4790DBCB" w:rsidR="00731137" w:rsidRPr="00005453" w:rsidRDefault="00731137" w:rsidP="00731137">
            <w:pPr>
              <w:jc w:val="right"/>
              <w:rPr>
                <w:sz w:val="18"/>
                <w:szCs w:val="18"/>
                <w:lang w:eastAsia="tr-TR"/>
              </w:rPr>
            </w:pPr>
            <w:r w:rsidRPr="00005453">
              <w:rPr>
                <w:sz w:val="18"/>
                <w:szCs w:val="18"/>
              </w:rPr>
              <w:t>137,318,091</w:t>
            </w:r>
          </w:p>
        </w:tc>
        <w:tc>
          <w:tcPr>
            <w:tcW w:w="1830" w:type="dxa"/>
            <w:shd w:val="clear" w:color="auto" w:fill="auto"/>
            <w:vAlign w:val="center"/>
            <w:hideMark/>
          </w:tcPr>
          <w:p w14:paraId="53FA377E" w14:textId="6E928401" w:rsidR="00731137" w:rsidRPr="00005453" w:rsidRDefault="00731137" w:rsidP="00731137">
            <w:pPr>
              <w:jc w:val="right"/>
              <w:rPr>
                <w:sz w:val="18"/>
                <w:szCs w:val="18"/>
                <w:lang w:eastAsia="tr-TR"/>
              </w:rPr>
            </w:pPr>
            <w:r w:rsidRPr="00005453">
              <w:rPr>
                <w:sz w:val="18"/>
                <w:szCs w:val="18"/>
              </w:rPr>
              <w:t>8,243,387</w:t>
            </w:r>
          </w:p>
        </w:tc>
        <w:tc>
          <w:tcPr>
            <w:tcW w:w="2102" w:type="dxa"/>
            <w:shd w:val="clear" w:color="auto" w:fill="auto"/>
            <w:vAlign w:val="center"/>
            <w:hideMark/>
          </w:tcPr>
          <w:p w14:paraId="412FB3D7" w14:textId="5A6A05AA" w:rsidR="00731137" w:rsidRPr="00005453" w:rsidRDefault="00731137" w:rsidP="00731137">
            <w:pPr>
              <w:jc w:val="right"/>
              <w:rPr>
                <w:sz w:val="18"/>
                <w:szCs w:val="18"/>
                <w:lang w:eastAsia="tr-TR"/>
              </w:rPr>
            </w:pPr>
            <w:r w:rsidRPr="00005453">
              <w:rPr>
                <w:sz w:val="18"/>
                <w:szCs w:val="18"/>
              </w:rPr>
              <w:t>454,262</w:t>
            </w:r>
          </w:p>
        </w:tc>
      </w:tr>
      <w:tr w:rsidR="00731137" w:rsidRPr="00005453" w14:paraId="7F6CA7EF" w14:textId="77777777" w:rsidTr="0030494D">
        <w:trPr>
          <w:trHeight w:val="168"/>
        </w:trPr>
        <w:tc>
          <w:tcPr>
            <w:tcW w:w="3647" w:type="dxa"/>
            <w:shd w:val="clear" w:color="auto" w:fill="auto"/>
            <w:vAlign w:val="center"/>
            <w:hideMark/>
          </w:tcPr>
          <w:p w14:paraId="1E128931" w14:textId="77777777" w:rsidR="00731137" w:rsidRPr="00005453" w:rsidRDefault="00731137" w:rsidP="00731137">
            <w:pPr>
              <w:jc w:val="both"/>
              <w:rPr>
                <w:sz w:val="18"/>
                <w:szCs w:val="18"/>
                <w:lang w:eastAsia="tr-TR"/>
              </w:rPr>
            </w:pPr>
            <w:r w:rsidRPr="00005453">
              <w:rPr>
                <w:sz w:val="18"/>
                <w:szCs w:val="18"/>
                <w:lang w:eastAsia="tr-TR"/>
              </w:rPr>
              <w:t>Orta ve Uzun Vadeli Krediler</w:t>
            </w:r>
          </w:p>
        </w:tc>
        <w:tc>
          <w:tcPr>
            <w:tcW w:w="1635" w:type="dxa"/>
            <w:shd w:val="clear" w:color="auto" w:fill="auto"/>
            <w:vAlign w:val="center"/>
            <w:hideMark/>
          </w:tcPr>
          <w:p w14:paraId="4825DD2A" w14:textId="2761E6F8" w:rsidR="00731137" w:rsidRPr="00005453" w:rsidRDefault="00731137" w:rsidP="00731137">
            <w:pPr>
              <w:jc w:val="right"/>
              <w:rPr>
                <w:sz w:val="18"/>
                <w:szCs w:val="18"/>
                <w:lang w:eastAsia="tr-TR"/>
              </w:rPr>
            </w:pPr>
            <w:r w:rsidRPr="00005453">
              <w:rPr>
                <w:sz w:val="18"/>
                <w:szCs w:val="18"/>
              </w:rPr>
              <w:t>137,822,732</w:t>
            </w:r>
          </w:p>
        </w:tc>
        <w:tc>
          <w:tcPr>
            <w:tcW w:w="1830" w:type="dxa"/>
            <w:shd w:val="clear" w:color="auto" w:fill="auto"/>
            <w:vAlign w:val="center"/>
            <w:hideMark/>
          </w:tcPr>
          <w:p w14:paraId="6FA26F38" w14:textId="343A3DDA" w:rsidR="00731137" w:rsidRPr="00005453" w:rsidRDefault="00731137" w:rsidP="00731137">
            <w:pPr>
              <w:jc w:val="right"/>
              <w:rPr>
                <w:sz w:val="18"/>
                <w:szCs w:val="18"/>
                <w:lang w:eastAsia="tr-TR"/>
              </w:rPr>
            </w:pPr>
            <w:r w:rsidRPr="00005453">
              <w:rPr>
                <w:sz w:val="18"/>
                <w:szCs w:val="18"/>
              </w:rPr>
              <w:t>7,849,425</w:t>
            </w:r>
          </w:p>
        </w:tc>
        <w:tc>
          <w:tcPr>
            <w:tcW w:w="2102" w:type="dxa"/>
            <w:shd w:val="clear" w:color="auto" w:fill="auto"/>
            <w:vAlign w:val="center"/>
            <w:hideMark/>
          </w:tcPr>
          <w:p w14:paraId="4591A4D0" w14:textId="3F99E6A2" w:rsidR="00731137" w:rsidRPr="00005453" w:rsidRDefault="00731137" w:rsidP="00731137">
            <w:pPr>
              <w:jc w:val="right"/>
              <w:rPr>
                <w:sz w:val="18"/>
                <w:szCs w:val="18"/>
                <w:lang w:eastAsia="tr-TR"/>
              </w:rPr>
            </w:pPr>
            <w:r w:rsidRPr="00005453">
              <w:rPr>
                <w:sz w:val="18"/>
                <w:szCs w:val="18"/>
              </w:rPr>
              <w:t>2,887,860</w:t>
            </w:r>
          </w:p>
        </w:tc>
      </w:tr>
      <w:tr w:rsidR="00731137" w:rsidRPr="00005453" w14:paraId="5E0E5148" w14:textId="77777777" w:rsidTr="0030494D">
        <w:trPr>
          <w:trHeight w:val="168"/>
        </w:trPr>
        <w:tc>
          <w:tcPr>
            <w:tcW w:w="3647" w:type="dxa"/>
            <w:shd w:val="clear" w:color="auto" w:fill="auto"/>
            <w:vAlign w:val="center"/>
            <w:hideMark/>
          </w:tcPr>
          <w:p w14:paraId="06737D01" w14:textId="77777777" w:rsidR="00731137" w:rsidRPr="00005453" w:rsidRDefault="00731137" w:rsidP="00731137">
            <w:pPr>
              <w:jc w:val="both"/>
              <w:rPr>
                <w:b/>
                <w:bCs/>
                <w:sz w:val="18"/>
                <w:szCs w:val="18"/>
                <w:lang w:eastAsia="tr-TR"/>
              </w:rPr>
            </w:pPr>
            <w:r w:rsidRPr="00005453">
              <w:rPr>
                <w:b/>
                <w:bCs/>
                <w:sz w:val="18"/>
                <w:szCs w:val="18"/>
                <w:lang w:eastAsia="tr-TR"/>
              </w:rPr>
              <w:t>Toplam</w:t>
            </w:r>
          </w:p>
        </w:tc>
        <w:tc>
          <w:tcPr>
            <w:tcW w:w="1635" w:type="dxa"/>
            <w:shd w:val="clear" w:color="auto" w:fill="auto"/>
            <w:vAlign w:val="center"/>
            <w:hideMark/>
          </w:tcPr>
          <w:p w14:paraId="178F4889" w14:textId="2163E0DB" w:rsidR="00731137" w:rsidRPr="00005453" w:rsidRDefault="00731137" w:rsidP="00731137">
            <w:pPr>
              <w:jc w:val="right"/>
              <w:rPr>
                <w:b/>
                <w:sz w:val="18"/>
                <w:szCs w:val="18"/>
                <w:lang w:eastAsia="tr-TR"/>
              </w:rPr>
            </w:pPr>
            <w:r w:rsidRPr="00005453">
              <w:rPr>
                <w:b/>
                <w:sz w:val="18"/>
                <w:szCs w:val="18"/>
              </w:rPr>
              <w:t>275,140,823</w:t>
            </w:r>
          </w:p>
        </w:tc>
        <w:tc>
          <w:tcPr>
            <w:tcW w:w="1830" w:type="dxa"/>
            <w:shd w:val="clear" w:color="auto" w:fill="auto"/>
            <w:vAlign w:val="center"/>
            <w:hideMark/>
          </w:tcPr>
          <w:p w14:paraId="6EDE79F2" w14:textId="53FD2F74" w:rsidR="00731137" w:rsidRPr="00005453" w:rsidRDefault="00731137" w:rsidP="00731137">
            <w:pPr>
              <w:jc w:val="right"/>
              <w:rPr>
                <w:b/>
                <w:sz w:val="18"/>
                <w:szCs w:val="18"/>
                <w:lang w:eastAsia="tr-TR"/>
              </w:rPr>
            </w:pPr>
            <w:r w:rsidRPr="00005453">
              <w:rPr>
                <w:b/>
                <w:sz w:val="18"/>
                <w:szCs w:val="18"/>
              </w:rPr>
              <w:t>16,092,812</w:t>
            </w:r>
          </w:p>
        </w:tc>
        <w:tc>
          <w:tcPr>
            <w:tcW w:w="2102" w:type="dxa"/>
            <w:shd w:val="clear" w:color="auto" w:fill="auto"/>
            <w:vAlign w:val="center"/>
            <w:hideMark/>
          </w:tcPr>
          <w:p w14:paraId="67F9325F" w14:textId="60A08287" w:rsidR="00731137" w:rsidRPr="00005453" w:rsidRDefault="00731137" w:rsidP="00731137">
            <w:pPr>
              <w:jc w:val="right"/>
              <w:rPr>
                <w:b/>
                <w:sz w:val="18"/>
                <w:szCs w:val="18"/>
                <w:lang w:eastAsia="tr-TR"/>
              </w:rPr>
            </w:pPr>
            <w:r w:rsidRPr="00005453">
              <w:rPr>
                <w:b/>
                <w:color w:val="000000"/>
                <w:sz w:val="18"/>
                <w:szCs w:val="18"/>
              </w:rPr>
              <w:t>3,342,122</w:t>
            </w:r>
          </w:p>
        </w:tc>
      </w:tr>
    </w:tbl>
    <w:p w14:paraId="1E54D571" w14:textId="5CDF9583" w:rsidR="00D22163" w:rsidRPr="00005453" w:rsidRDefault="00D22163" w:rsidP="00C95B75">
      <w:pPr>
        <w:autoSpaceDE w:val="0"/>
        <w:autoSpaceDN w:val="0"/>
        <w:adjustRightInd w:val="0"/>
        <w:rPr>
          <w:lang w:val="en-GB" w:eastAsia="en-GB"/>
        </w:rPr>
      </w:pPr>
    </w:p>
    <w:p w14:paraId="0EC46CDD" w14:textId="32729CAE" w:rsidR="00CD418D" w:rsidRPr="00005453" w:rsidRDefault="00CD418D" w:rsidP="00C95B75">
      <w:pPr>
        <w:autoSpaceDE w:val="0"/>
        <w:autoSpaceDN w:val="0"/>
        <w:adjustRightInd w:val="0"/>
        <w:rPr>
          <w:rFonts w:eastAsia="Arial Unicode MS"/>
          <w:sz w:val="16"/>
          <w:szCs w:val="16"/>
        </w:rPr>
      </w:pPr>
    </w:p>
    <w:p w14:paraId="1F50F563" w14:textId="01BFDF87" w:rsidR="00CD418D" w:rsidRPr="00005453" w:rsidRDefault="00CD418D" w:rsidP="00C95B75">
      <w:pPr>
        <w:autoSpaceDE w:val="0"/>
        <w:autoSpaceDN w:val="0"/>
        <w:adjustRightInd w:val="0"/>
        <w:rPr>
          <w:rFonts w:eastAsia="Arial Unicode MS"/>
          <w:sz w:val="16"/>
          <w:szCs w:val="16"/>
        </w:rPr>
      </w:pPr>
    </w:p>
    <w:p w14:paraId="38EEF7D0" w14:textId="37ABDC19" w:rsidR="00CD418D" w:rsidRPr="00005453" w:rsidRDefault="00CD418D" w:rsidP="00C95B75">
      <w:pPr>
        <w:autoSpaceDE w:val="0"/>
        <w:autoSpaceDN w:val="0"/>
        <w:adjustRightInd w:val="0"/>
        <w:rPr>
          <w:rFonts w:eastAsia="Arial Unicode MS"/>
          <w:sz w:val="16"/>
          <w:szCs w:val="16"/>
        </w:rPr>
      </w:pPr>
    </w:p>
    <w:p w14:paraId="57278838" w14:textId="2C574D29" w:rsidR="00CD418D" w:rsidRPr="00005453" w:rsidRDefault="00CD418D" w:rsidP="00C95B75">
      <w:pPr>
        <w:autoSpaceDE w:val="0"/>
        <w:autoSpaceDN w:val="0"/>
        <w:adjustRightInd w:val="0"/>
        <w:rPr>
          <w:rFonts w:eastAsia="Arial Unicode MS"/>
          <w:sz w:val="16"/>
          <w:szCs w:val="16"/>
        </w:rPr>
      </w:pPr>
    </w:p>
    <w:p w14:paraId="2C37F02B" w14:textId="1412D0AF" w:rsidR="00CD418D" w:rsidRPr="00005453" w:rsidRDefault="00CD418D" w:rsidP="00C95B75">
      <w:pPr>
        <w:autoSpaceDE w:val="0"/>
        <w:autoSpaceDN w:val="0"/>
        <w:adjustRightInd w:val="0"/>
        <w:rPr>
          <w:rFonts w:eastAsia="Arial Unicode MS"/>
          <w:sz w:val="16"/>
          <w:szCs w:val="16"/>
        </w:rPr>
      </w:pPr>
    </w:p>
    <w:p w14:paraId="30DC8C09" w14:textId="52F394AF" w:rsidR="00CD418D" w:rsidRPr="00005453" w:rsidRDefault="00CD418D" w:rsidP="00C95B75">
      <w:pPr>
        <w:autoSpaceDE w:val="0"/>
        <w:autoSpaceDN w:val="0"/>
        <w:adjustRightInd w:val="0"/>
        <w:rPr>
          <w:rFonts w:eastAsia="Arial Unicode MS"/>
          <w:sz w:val="16"/>
          <w:szCs w:val="16"/>
        </w:rPr>
      </w:pPr>
    </w:p>
    <w:p w14:paraId="659BD41D" w14:textId="5B5CF46F" w:rsidR="00CD418D" w:rsidRPr="00005453" w:rsidRDefault="00CD418D" w:rsidP="00C95B75">
      <w:pPr>
        <w:autoSpaceDE w:val="0"/>
        <w:autoSpaceDN w:val="0"/>
        <w:adjustRightInd w:val="0"/>
        <w:rPr>
          <w:rFonts w:eastAsia="Arial Unicode MS"/>
          <w:sz w:val="16"/>
          <w:szCs w:val="16"/>
        </w:rPr>
      </w:pPr>
    </w:p>
    <w:p w14:paraId="181A342C" w14:textId="1612C292" w:rsidR="00CD418D" w:rsidRPr="00005453" w:rsidRDefault="00CD418D" w:rsidP="00C95B75">
      <w:pPr>
        <w:autoSpaceDE w:val="0"/>
        <w:autoSpaceDN w:val="0"/>
        <w:adjustRightInd w:val="0"/>
        <w:rPr>
          <w:rFonts w:eastAsia="Arial Unicode MS"/>
          <w:sz w:val="16"/>
          <w:szCs w:val="16"/>
        </w:rPr>
      </w:pPr>
    </w:p>
    <w:p w14:paraId="68BF0718" w14:textId="265C4605" w:rsidR="00CD418D" w:rsidRPr="00005453" w:rsidRDefault="00CD418D" w:rsidP="00C95B75">
      <w:pPr>
        <w:autoSpaceDE w:val="0"/>
        <w:autoSpaceDN w:val="0"/>
        <w:adjustRightInd w:val="0"/>
        <w:rPr>
          <w:rFonts w:eastAsia="Arial Unicode MS"/>
          <w:sz w:val="16"/>
          <w:szCs w:val="16"/>
        </w:rPr>
      </w:pPr>
    </w:p>
    <w:p w14:paraId="3CF704CF" w14:textId="49DB8A93" w:rsidR="00CD418D" w:rsidRPr="00005453" w:rsidRDefault="00CD418D" w:rsidP="00C95B75">
      <w:pPr>
        <w:autoSpaceDE w:val="0"/>
        <w:autoSpaceDN w:val="0"/>
        <w:adjustRightInd w:val="0"/>
        <w:rPr>
          <w:rFonts w:eastAsia="Arial Unicode MS"/>
          <w:sz w:val="16"/>
          <w:szCs w:val="16"/>
        </w:rPr>
      </w:pPr>
    </w:p>
    <w:p w14:paraId="066017ED" w14:textId="44DD75C6" w:rsidR="00CD418D" w:rsidRPr="00005453" w:rsidRDefault="00CD418D" w:rsidP="00C95B75">
      <w:pPr>
        <w:autoSpaceDE w:val="0"/>
        <w:autoSpaceDN w:val="0"/>
        <w:adjustRightInd w:val="0"/>
        <w:rPr>
          <w:rFonts w:eastAsia="Arial Unicode MS"/>
          <w:sz w:val="16"/>
          <w:szCs w:val="16"/>
        </w:rPr>
      </w:pPr>
    </w:p>
    <w:p w14:paraId="7EFC11B4" w14:textId="2B3A5CB5" w:rsidR="00CD418D" w:rsidRPr="00005453" w:rsidRDefault="00CD418D" w:rsidP="00C95B75">
      <w:pPr>
        <w:autoSpaceDE w:val="0"/>
        <w:autoSpaceDN w:val="0"/>
        <w:adjustRightInd w:val="0"/>
        <w:rPr>
          <w:rFonts w:eastAsia="Arial Unicode MS"/>
          <w:sz w:val="16"/>
          <w:szCs w:val="16"/>
        </w:rPr>
      </w:pPr>
    </w:p>
    <w:p w14:paraId="7903466B" w14:textId="192B9003" w:rsidR="00CD418D" w:rsidRPr="00005453" w:rsidRDefault="00CD418D" w:rsidP="00C95B75">
      <w:pPr>
        <w:autoSpaceDE w:val="0"/>
        <w:autoSpaceDN w:val="0"/>
        <w:adjustRightInd w:val="0"/>
        <w:rPr>
          <w:rFonts w:eastAsia="Arial Unicode MS"/>
          <w:sz w:val="16"/>
          <w:szCs w:val="16"/>
        </w:rPr>
      </w:pPr>
    </w:p>
    <w:p w14:paraId="37406FAC" w14:textId="47D784E2" w:rsidR="00CD418D" w:rsidRPr="00005453" w:rsidRDefault="00CD418D" w:rsidP="00C95B75">
      <w:pPr>
        <w:autoSpaceDE w:val="0"/>
        <w:autoSpaceDN w:val="0"/>
        <w:adjustRightInd w:val="0"/>
        <w:rPr>
          <w:rFonts w:eastAsia="Arial Unicode MS"/>
          <w:sz w:val="16"/>
          <w:szCs w:val="16"/>
        </w:rPr>
      </w:pPr>
    </w:p>
    <w:p w14:paraId="3211B5FB" w14:textId="5B579262" w:rsidR="00CD418D" w:rsidRPr="00005453" w:rsidRDefault="00CD418D" w:rsidP="00C95B75">
      <w:pPr>
        <w:autoSpaceDE w:val="0"/>
        <w:autoSpaceDN w:val="0"/>
        <w:adjustRightInd w:val="0"/>
        <w:rPr>
          <w:rFonts w:eastAsia="Arial Unicode MS"/>
          <w:sz w:val="16"/>
          <w:szCs w:val="16"/>
        </w:rPr>
      </w:pPr>
    </w:p>
    <w:p w14:paraId="4997AC2B" w14:textId="77777777" w:rsidR="00CD418D" w:rsidRPr="00005453" w:rsidRDefault="00CD418D" w:rsidP="00C95B75">
      <w:pPr>
        <w:autoSpaceDE w:val="0"/>
        <w:autoSpaceDN w:val="0"/>
        <w:adjustRightInd w:val="0"/>
        <w:rPr>
          <w:rFonts w:eastAsia="Arial Unicode MS"/>
          <w:sz w:val="16"/>
          <w:szCs w:val="16"/>
        </w:rPr>
      </w:pPr>
    </w:p>
    <w:p w14:paraId="5E585034" w14:textId="7FB1D4B7" w:rsidR="00AF4F24" w:rsidRPr="00005453" w:rsidRDefault="00A023D6" w:rsidP="00297765">
      <w:pPr>
        <w:tabs>
          <w:tab w:val="left" w:pos="567"/>
        </w:tabs>
        <w:autoSpaceDE w:val="0"/>
        <w:autoSpaceDN w:val="0"/>
        <w:adjustRightInd w:val="0"/>
        <w:ind w:hanging="709"/>
        <w:rPr>
          <w:rFonts w:eastAsia="Arial Unicode MS"/>
          <w:sz w:val="16"/>
          <w:szCs w:val="16"/>
        </w:rPr>
      </w:pPr>
      <w:r w:rsidRPr="00005453">
        <w:rPr>
          <w:b/>
        </w:rPr>
        <w:br w:type="page"/>
      </w:r>
      <w:r w:rsidR="00AC676F" w:rsidRPr="00005453">
        <w:rPr>
          <w:b/>
        </w:rPr>
        <w:lastRenderedPageBreak/>
        <w:t>1.5.</w:t>
      </w:r>
      <w:r w:rsidR="00C95B75" w:rsidRPr="00005453">
        <w:rPr>
          <w:b/>
        </w:rPr>
        <w:t>4</w:t>
      </w:r>
      <w:r w:rsidR="00AC676F" w:rsidRPr="00005453">
        <w:tab/>
      </w:r>
      <w:r w:rsidR="00E253C8" w:rsidRPr="00005453">
        <w:t xml:space="preserve">Tüketici kredileri, bireysel kredi kartları, personel kredileri ve personel kredi kartlarına ilişkin </w:t>
      </w:r>
      <w:r w:rsidR="00032F11" w:rsidRPr="00005453">
        <w:t>bilgiler</w:t>
      </w:r>
    </w:p>
    <w:p w14:paraId="44C29D33" w14:textId="7ADE04FF" w:rsidR="00297765" w:rsidRPr="00005453" w:rsidRDefault="00297765" w:rsidP="00356C26">
      <w:pPr>
        <w:tabs>
          <w:tab w:val="left" w:pos="709"/>
        </w:tabs>
        <w:autoSpaceDE w:val="0"/>
        <w:autoSpaceDN w:val="0"/>
        <w:adjustRightInd w:val="0"/>
        <w:ind w:hanging="567"/>
        <w:rPr>
          <w:lang w:eastAsia="en-GB"/>
        </w:rPr>
      </w:pPr>
    </w:p>
    <w:tbl>
      <w:tblPr>
        <w:tblW w:w="9195" w:type="dxa"/>
        <w:tblCellMar>
          <w:left w:w="70" w:type="dxa"/>
          <w:right w:w="70" w:type="dxa"/>
        </w:tblCellMar>
        <w:tblLook w:val="04A0" w:firstRow="1" w:lastRow="0" w:firstColumn="1" w:lastColumn="0" w:noHBand="0" w:noVBand="1"/>
      </w:tblPr>
      <w:tblGrid>
        <w:gridCol w:w="4410"/>
        <w:gridCol w:w="1595"/>
        <w:gridCol w:w="2075"/>
        <w:gridCol w:w="1115"/>
      </w:tblGrid>
      <w:tr w:rsidR="00297765" w:rsidRPr="00005453" w14:paraId="7DF8276E" w14:textId="77777777" w:rsidTr="00FD5D84">
        <w:trPr>
          <w:divId w:val="1520008224"/>
          <w:trHeight w:val="262"/>
        </w:trPr>
        <w:tc>
          <w:tcPr>
            <w:tcW w:w="4410" w:type="dxa"/>
            <w:tcBorders>
              <w:top w:val="double" w:sz="6" w:space="0" w:color="auto"/>
              <w:left w:val="nil"/>
              <w:bottom w:val="single" w:sz="8" w:space="0" w:color="auto"/>
              <w:right w:val="nil"/>
            </w:tcBorders>
            <w:shd w:val="clear" w:color="auto" w:fill="auto"/>
            <w:vAlign w:val="center"/>
            <w:hideMark/>
          </w:tcPr>
          <w:p w14:paraId="01D084F4" w14:textId="0D74613A" w:rsidR="00297765" w:rsidRPr="00005453" w:rsidRDefault="00297765" w:rsidP="00297765">
            <w:pPr>
              <w:jc w:val="both"/>
              <w:rPr>
                <w:b/>
                <w:bCs/>
                <w:sz w:val="18"/>
                <w:szCs w:val="18"/>
                <w:lang w:eastAsia="tr-TR"/>
              </w:rPr>
            </w:pPr>
            <w:r w:rsidRPr="00005453">
              <w:rPr>
                <w:b/>
                <w:bCs/>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37893C2A" w14:textId="77777777" w:rsidR="00297765" w:rsidRPr="00005453" w:rsidRDefault="00297765" w:rsidP="00297765">
            <w:pPr>
              <w:jc w:val="right"/>
              <w:rPr>
                <w:b/>
                <w:bCs/>
                <w:sz w:val="18"/>
                <w:szCs w:val="18"/>
                <w:lang w:eastAsia="tr-TR"/>
              </w:rPr>
            </w:pPr>
            <w:r w:rsidRPr="00005453">
              <w:rPr>
                <w:b/>
                <w:bCs/>
                <w:sz w:val="18"/>
                <w:szCs w:val="18"/>
                <w:lang w:eastAsia="tr-TR"/>
              </w:rPr>
              <w:t>Kısa Vadeli</w:t>
            </w:r>
          </w:p>
        </w:tc>
        <w:tc>
          <w:tcPr>
            <w:tcW w:w="2075" w:type="dxa"/>
            <w:tcBorders>
              <w:top w:val="double" w:sz="6" w:space="0" w:color="auto"/>
              <w:left w:val="nil"/>
              <w:bottom w:val="single" w:sz="8" w:space="0" w:color="auto"/>
              <w:right w:val="nil"/>
            </w:tcBorders>
            <w:shd w:val="clear" w:color="auto" w:fill="auto"/>
            <w:vAlign w:val="center"/>
            <w:hideMark/>
          </w:tcPr>
          <w:p w14:paraId="26D5E197" w14:textId="77777777" w:rsidR="00297765" w:rsidRPr="00005453" w:rsidRDefault="00297765" w:rsidP="00297765">
            <w:pPr>
              <w:jc w:val="right"/>
              <w:rPr>
                <w:b/>
                <w:bCs/>
                <w:sz w:val="18"/>
                <w:szCs w:val="18"/>
                <w:lang w:eastAsia="tr-TR"/>
              </w:rPr>
            </w:pPr>
            <w:r w:rsidRPr="00005453">
              <w:rPr>
                <w:b/>
                <w:bCs/>
                <w:sz w:val="18"/>
                <w:szCs w:val="18"/>
                <w:lang w:eastAsia="tr-TR"/>
              </w:rPr>
              <w:t>Orta ve Uzun Vadeli</w:t>
            </w:r>
          </w:p>
        </w:tc>
        <w:tc>
          <w:tcPr>
            <w:tcW w:w="1115" w:type="dxa"/>
            <w:tcBorders>
              <w:top w:val="double" w:sz="6" w:space="0" w:color="auto"/>
              <w:left w:val="nil"/>
              <w:bottom w:val="single" w:sz="8" w:space="0" w:color="auto"/>
              <w:right w:val="nil"/>
            </w:tcBorders>
            <w:shd w:val="clear" w:color="auto" w:fill="auto"/>
            <w:vAlign w:val="center"/>
            <w:hideMark/>
          </w:tcPr>
          <w:p w14:paraId="763C2F86" w14:textId="77777777" w:rsidR="00297765" w:rsidRPr="00005453" w:rsidRDefault="00297765" w:rsidP="00297765">
            <w:pPr>
              <w:jc w:val="right"/>
              <w:rPr>
                <w:b/>
                <w:bCs/>
                <w:sz w:val="18"/>
                <w:szCs w:val="18"/>
                <w:lang w:eastAsia="tr-TR"/>
              </w:rPr>
            </w:pPr>
            <w:r w:rsidRPr="00005453">
              <w:rPr>
                <w:b/>
                <w:bCs/>
                <w:sz w:val="18"/>
                <w:szCs w:val="18"/>
                <w:lang w:eastAsia="tr-TR"/>
              </w:rPr>
              <w:t>Toplam</w:t>
            </w:r>
          </w:p>
        </w:tc>
      </w:tr>
      <w:tr w:rsidR="0085456D" w:rsidRPr="00005453" w14:paraId="0E866F71"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40D9BA0" w14:textId="77777777" w:rsidR="0085456D" w:rsidRPr="00005453" w:rsidRDefault="0085456D" w:rsidP="0085456D">
            <w:pPr>
              <w:jc w:val="both"/>
              <w:rPr>
                <w:b/>
                <w:bCs/>
                <w:sz w:val="18"/>
                <w:szCs w:val="18"/>
                <w:lang w:eastAsia="tr-TR"/>
              </w:rPr>
            </w:pPr>
            <w:r w:rsidRPr="00005453">
              <w:rPr>
                <w:b/>
                <w:bCs/>
                <w:sz w:val="18"/>
                <w:szCs w:val="18"/>
                <w:lang w:eastAsia="tr-TR"/>
              </w:rPr>
              <w:t>Tüketici Kredileri-TP</w:t>
            </w:r>
          </w:p>
        </w:tc>
        <w:tc>
          <w:tcPr>
            <w:tcW w:w="1595" w:type="dxa"/>
            <w:tcBorders>
              <w:top w:val="nil"/>
              <w:left w:val="nil"/>
              <w:bottom w:val="nil"/>
              <w:right w:val="nil"/>
            </w:tcBorders>
            <w:shd w:val="clear" w:color="auto" w:fill="auto"/>
            <w:vAlign w:val="center"/>
            <w:hideMark/>
          </w:tcPr>
          <w:p w14:paraId="09181BED" w14:textId="19529FA0" w:rsidR="0085456D" w:rsidRPr="00005453" w:rsidRDefault="0085456D" w:rsidP="0085456D">
            <w:pPr>
              <w:jc w:val="right"/>
              <w:rPr>
                <w:b/>
                <w:sz w:val="18"/>
                <w:szCs w:val="18"/>
                <w:lang w:eastAsia="tr-TR"/>
              </w:rPr>
            </w:pPr>
            <w:r w:rsidRPr="00005453">
              <w:rPr>
                <w:b/>
                <w:bCs/>
                <w:sz w:val="18"/>
                <w:szCs w:val="18"/>
              </w:rPr>
              <w:t>1,852,591</w:t>
            </w:r>
          </w:p>
        </w:tc>
        <w:tc>
          <w:tcPr>
            <w:tcW w:w="2075" w:type="dxa"/>
            <w:tcBorders>
              <w:top w:val="nil"/>
              <w:left w:val="nil"/>
              <w:bottom w:val="nil"/>
              <w:right w:val="nil"/>
            </w:tcBorders>
            <w:shd w:val="clear" w:color="auto" w:fill="auto"/>
            <w:vAlign w:val="center"/>
            <w:hideMark/>
          </w:tcPr>
          <w:p w14:paraId="7CF3FB8E" w14:textId="6A75207A" w:rsidR="0085456D" w:rsidRPr="00005453" w:rsidRDefault="0085456D" w:rsidP="0085456D">
            <w:pPr>
              <w:jc w:val="right"/>
              <w:rPr>
                <w:b/>
                <w:sz w:val="18"/>
                <w:szCs w:val="18"/>
                <w:lang w:eastAsia="tr-TR"/>
              </w:rPr>
            </w:pPr>
            <w:r w:rsidRPr="00005453">
              <w:rPr>
                <w:b/>
                <w:bCs/>
                <w:sz w:val="18"/>
                <w:szCs w:val="18"/>
              </w:rPr>
              <w:t>19,262,736</w:t>
            </w:r>
          </w:p>
        </w:tc>
        <w:tc>
          <w:tcPr>
            <w:tcW w:w="1115" w:type="dxa"/>
            <w:tcBorders>
              <w:top w:val="nil"/>
              <w:left w:val="nil"/>
              <w:bottom w:val="nil"/>
              <w:right w:val="nil"/>
            </w:tcBorders>
            <w:shd w:val="clear" w:color="auto" w:fill="auto"/>
            <w:vAlign w:val="center"/>
            <w:hideMark/>
          </w:tcPr>
          <w:p w14:paraId="37067A16" w14:textId="08D56D94" w:rsidR="0085456D" w:rsidRPr="00005453" w:rsidRDefault="0085456D" w:rsidP="0085456D">
            <w:pPr>
              <w:jc w:val="right"/>
              <w:rPr>
                <w:b/>
                <w:sz w:val="18"/>
                <w:szCs w:val="18"/>
                <w:lang w:eastAsia="tr-TR"/>
              </w:rPr>
            </w:pPr>
            <w:r w:rsidRPr="00005453">
              <w:rPr>
                <w:b/>
                <w:bCs/>
                <w:sz w:val="18"/>
                <w:szCs w:val="18"/>
              </w:rPr>
              <w:t>21,115,327</w:t>
            </w:r>
          </w:p>
        </w:tc>
      </w:tr>
      <w:tr w:rsidR="0085456D" w:rsidRPr="00005453" w14:paraId="6AE20BBF"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66E0689" w14:textId="77777777" w:rsidR="0085456D" w:rsidRPr="00005453" w:rsidRDefault="0085456D" w:rsidP="0085456D">
            <w:pPr>
              <w:jc w:val="both"/>
              <w:rPr>
                <w:sz w:val="18"/>
                <w:szCs w:val="18"/>
                <w:lang w:eastAsia="tr-TR"/>
              </w:rPr>
            </w:pPr>
            <w:r w:rsidRPr="00005453">
              <w:rPr>
                <w:sz w:val="18"/>
                <w:szCs w:val="18"/>
                <w:lang w:eastAsia="tr-TR"/>
              </w:rPr>
              <w:t>Konut Kredisi</w:t>
            </w:r>
          </w:p>
        </w:tc>
        <w:tc>
          <w:tcPr>
            <w:tcW w:w="1595" w:type="dxa"/>
            <w:tcBorders>
              <w:top w:val="nil"/>
              <w:left w:val="nil"/>
              <w:bottom w:val="nil"/>
              <w:right w:val="nil"/>
            </w:tcBorders>
            <w:shd w:val="clear" w:color="auto" w:fill="auto"/>
            <w:vAlign w:val="center"/>
            <w:hideMark/>
          </w:tcPr>
          <w:p w14:paraId="55FD905B" w14:textId="7A2D576E" w:rsidR="0085456D" w:rsidRPr="00005453" w:rsidRDefault="0085456D" w:rsidP="0085456D">
            <w:pPr>
              <w:jc w:val="right"/>
              <w:rPr>
                <w:sz w:val="18"/>
                <w:szCs w:val="18"/>
                <w:lang w:eastAsia="tr-TR"/>
              </w:rPr>
            </w:pPr>
            <w:r w:rsidRPr="00005453">
              <w:rPr>
                <w:sz w:val="18"/>
                <w:szCs w:val="18"/>
              </w:rPr>
              <w:t>69,324</w:t>
            </w:r>
          </w:p>
        </w:tc>
        <w:tc>
          <w:tcPr>
            <w:tcW w:w="2075" w:type="dxa"/>
            <w:tcBorders>
              <w:top w:val="nil"/>
              <w:left w:val="nil"/>
              <w:bottom w:val="nil"/>
              <w:right w:val="nil"/>
            </w:tcBorders>
            <w:shd w:val="clear" w:color="auto" w:fill="auto"/>
            <w:vAlign w:val="center"/>
            <w:hideMark/>
          </w:tcPr>
          <w:p w14:paraId="7B97E40C" w14:textId="2583F251" w:rsidR="0085456D" w:rsidRPr="00005453" w:rsidRDefault="0085456D" w:rsidP="0085456D">
            <w:pPr>
              <w:jc w:val="right"/>
              <w:rPr>
                <w:sz w:val="18"/>
                <w:szCs w:val="18"/>
                <w:lang w:eastAsia="tr-TR"/>
              </w:rPr>
            </w:pPr>
            <w:r w:rsidRPr="00005453">
              <w:rPr>
                <w:sz w:val="18"/>
                <w:szCs w:val="18"/>
              </w:rPr>
              <w:t>13,331,667</w:t>
            </w:r>
          </w:p>
        </w:tc>
        <w:tc>
          <w:tcPr>
            <w:tcW w:w="1115" w:type="dxa"/>
            <w:tcBorders>
              <w:top w:val="nil"/>
              <w:left w:val="nil"/>
              <w:bottom w:val="nil"/>
              <w:right w:val="nil"/>
            </w:tcBorders>
            <w:shd w:val="clear" w:color="auto" w:fill="auto"/>
            <w:vAlign w:val="center"/>
            <w:hideMark/>
          </w:tcPr>
          <w:p w14:paraId="0D149D45" w14:textId="11C8B23C" w:rsidR="0085456D" w:rsidRPr="00005453" w:rsidRDefault="0085456D" w:rsidP="0085456D">
            <w:pPr>
              <w:jc w:val="right"/>
              <w:rPr>
                <w:sz w:val="18"/>
                <w:szCs w:val="18"/>
                <w:lang w:eastAsia="tr-TR"/>
              </w:rPr>
            </w:pPr>
            <w:r w:rsidRPr="00005453">
              <w:rPr>
                <w:bCs/>
                <w:sz w:val="18"/>
                <w:szCs w:val="18"/>
              </w:rPr>
              <w:t>13,400,991</w:t>
            </w:r>
          </w:p>
        </w:tc>
      </w:tr>
      <w:tr w:rsidR="0085456D" w:rsidRPr="00005453" w14:paraId="75CFFCB6"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7CE99A9D" w14:textId="77777777" w:rsidR="0085456D" w:rsidRPr="00005453" w:rsidRDefault="0085456D" w:rsidP="0085456D">
            <w:pPr>
              <w:jc w:val="both"/>
              <w:rPr>
                <w:sz w:val="18"/>
                <w:szCs w:val="18"/>
                <w:lang w:eastAsia="tr-TR"/>
              </w:rPr>
            </w:pPr>
            <w:r w:rsidRPr="00005453">
              <w:rPr>
                <w:sz w:val="18"/>
                <w:szCs w:val="18"/>
                <w:lang w:eastAsia="tr-TR"/>
              </w:rPr>
              <w:t>Taşıt Kredisi</w:t>
            </w:r>
          </w:p>
        </w:tc>
        <w:tc>
          <w:tcPr>
            <w:tcW w:w="1595" w:type="dxa"/>
            <w:tcBorders>
              <w:top w:val="nil"/>
              <w:left w:val="nil"/>
              <w:bottom w:val="nil"/>
              <w:right w:val="nil"/>
            </w:tcBorders>
            <w:shd w:val="clear" w:color="auto" w:fill="auto"/>
            <w:vAlign w:val="center"/>
            <w:hideMark/>
          </w:tcPr>
          <w:p w14:paraId="28DD7F88" w14:textId="1DB49624" w:rsidR="0085456D" w:rsidRPr="00005453" w:rsidRDefault="0085456D" w:rsidP="0085456D">
            <w:pPr>
              <w:jc w:val="right"/>
              <w:rPr>
                <w:sz w:val="18"/>
                <w:szCs w:val="18"/>
                <w:lang w:eastAsia="tr-TR"/>
              </w:rPr>
            </w:pPr>
            <w:r w:rsidRPr="00005453">
              <w:rPr>
                <w:sz w:val="18"/>
                <w:szCs w:val="18"/>
              </w:rPr>
              <w:t>616,279</w:t>
            </w:r>
          </w:p>
        </w:tc>
        <w:tc>
          <w:tcPr>
            <w:tcW w:w="2075" w:type="dxa"/>
            <w:tcBorders>
              <w:top w:val="nil"/>
              <w:left w:val="nil"/>
              <w:bottom w:val="nil"/>
              <w:right w:val="nil"/>
            </w:tcBorders>
            <w:shd w:val="clear" w:color="auto" w:fill="auto"/>
            <w:vAlign w:val="center"/>
            <w:hideMark/>
          </w:tcPr>
          <w:p w14:paraId="5472600B" w14:textId="345E82A0" w:rsidR="0085456D" w:rsidRPr="00005453" w:rsidRDefault="0085456D" w:rsidP="0085456D">
            <w:pPr>
              <w:jc w:val="right"/>
              <w:rPr>
                <w:sz w:val="18"/>
                <w:szCs w:val="18"/>
                <w:lang w:eastAsia="tr-TR"/>
              </w:rPr>
            </w:pPr>
            <w:r w:rsidRPr="00005453">
              <w:rPr>
                <w:sz w:val="18"/>
                <w:szCs w:val="18"/>
              </w:rPr>
              <w:t>4,535,322</w:t>
            </w:r>
          </w:p>
        </w:tc>
        <w:tc>
          <w:tcPr>
            <w:tcW w:w="1115" w:type="dxa"/>
            <w:tcBorders>
              <w:top w:val="nil"/>
              <w:left w:val="nil"/>
              <w:bottom w:val="nil"/>
              <w:right w:val="nil"/>
            </w:tcBorders>
            <w:shd w:val="clear" w:color="auto" w:fill="auto"/>
            <w:vAlign w:val="center"/>
            <w:hideMark/>
          </w:tcPr>
          <w:p w14:paraId="42DB6574" w14:textId="4CDC9EE6" w:rsidR="0085456D" w:rsidRPr="00005453" w:rsidRDefault="0085456D" w:rsidP="0085456D">
            <w:pPr>
              <w:jc w:val="right"/>
              <w:rPr>
                <w:sz w:val="18"/>
                <w:szCs w:val="18"/>
                <w:lang w:eastAsia="tr-TR"/>
              </w:rPr>
            </w:pPr>
            <w:r w:rsidRPr="00005453">
              <w:rPr>
                <w:bCs/>
                <w:sz w:val="18"/>
                <w:szCs w:val="18"/>
              </w:rPr>
              <w:t>5,151,601</w:t>
            </w:r>
          </w:p>
        </w:tc>
      </w:tr>
      <w:tr w:rsidR="0085456D" w:rsidRPr="00005453" w14:paraId="525F8FBA"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471ECFB2" w14:textId="77777777" w:rsidR="0085456D" w:rsidRPr="00005453" w:rsidRDefault="0085456D" w:rsidP="0085456D">
            <w:pPr>
              <w:jc w:val="both"/>
              <w:rPr>
                <w:sz w:val="18"/>
                <w:szCs w:val="18"/>
                <w:lang w:eastAsia="tr-TR"/>
              </w:rPr>
            </w:pPr>
            <w:r w:rsidRPr="00005453">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412C9FE" w14:textId="1EBFFD64" w:rsidR="0085456D" w:rsidRPr="00005453" w:rsidRDefault="0085456D" w:rsidP="0085456D">
            <w:pPr>
              <w:jc w:val="right"/>
              <w:rPr>
                <w:sz w:val="18"/>
                <w:szCs w:val="18"/>
                <w:lang w:eastAsia="tr-TR"/>
              </w:rPr>
            </w:pPr>
            <w:r w:rsidRPr="00005453">
              <w:rPr>
                <w:sz w:val="18"/>
                <w:szCs w:val="18"/>
              </w:rPr>
              <w:t>1,149,941</w:t>
            </w:r>
          </w:p>
        </w:tc>
        <w:tc>
          <w:tcPr>
            <w:tcW w:w="2075" w:type="dxa"/>
            <w:tcBorders>
              <w:top w:val="nil"/>
              <w:left w:val="nil"/>
              <w:bottom w:val="nil"/>
              <w:right w:val="nil"/>
            </w:tcBorders>
            <w:shd w:val="clear" w:color="auto" w:fill="auto"/>
            <w:vAlign w:val="center"/>
            <w:hideMark/>
          </w:tcPr>
          <w:p w14:paraId="5FDBBF15" w14:textId="360E44C2" w:rsidR="0085456D" w:rsidRPr="00005453" w:rsidRDefault="0085456D" w:rsidP="0085456D">
            <w:pPr>
              <w:jc w:val="right"/>
              <w:rPr>
                <w:sz w:val="18"/>
                <w:szCs w:val="18"/>
                <w:lang w:eastAsia="tr-TR"/>
              </w:rPr>
            </w:pPr>
            <w:r w:rsidRPr="00005453">
              <w:rPr>
                <w:sz w:val="18"/>
                <w:szCs w:val="18"/>
              </w:rPr>
              <w:t>714,189</w:t>
            </w:r>
          </w:p>
        </w:tc>
        <w:tc>
          <w:tcPr>
            <w:tcW w:w="1115" w:type="dxa"/>
            <w:tcBorders>
              <w:top w:val="nil"/>
              <w:left w:val="nil"/>
              <w:bottom w:val="nil"/>
              <w:right w:val="nil"/>
            </w:tcBorders>
            <w:shd w:val="clear" w:color="auto" w:fill="auto"/>
            <w:vAlign w:val="center"/>
            <w:hideMark/>
          </w:tcPr>
          <w:p w14:paraId="0C3E701C" w14:textId="67083D80" w:rsidR="0085456D" w:rsidRPr="00005453" w:rsidRDefault="0085456D" w:rsidP="0085456D">
            <w:pPr>
              <w:jc w:val="right"/>
              <w:rPr>
                <w:sz w:val="18"/>
                <w:szCs w:val="18"/>
                <w:lang w:eastAsia="tr-TR"/>
              </w:rPr>
            </w:pPr>
            <w:r w:rsidRPr="00005453">
              <w:rPr>
                <w:bCs/>
                <w:sz w:val="18"/>
                <w:szCs w:val="18"/>
              </w:rPr>
              <w:t>1,864,130</w:t>
            </w:r>
          </w:p>
        </w:tc>
      </w:tr>
      <w:tr w:rsidR="0085456D" w:rsidRPr="00005453" w14:paraId="5707A1F2"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719BD32" w14:textId="77777777" w:rsidR="0085456D" w:rsidRPr="00005453" w:rsidRDefault="0085456D" w:rsidP="0085456D">
            <w:pPr>
              <w:jc w:val="both"/>
              <w:rPr>
                <w:sz w:val="18"/>
                <w:szCs w:val="18"/>
                <w:lang w:eastAsia="tr-TR"/>
              </w:rPr>
            </w:pPr>
            <w:r w:rsidRPr="00005453">
              <w:rPr>
                <w:sz w:val="18"/>
                <w:szCs w:val="18"/>
                <w:lang w:eastAsia="tr-TR"/>
              </w:rPr>
              <w:t>Diğer</w:t>
            </w:r>
          </w:p>
        </w:tc>
        <w:tc>
          <w:tcPr>
            <w:tcW w:w="1595" w:type="dxa"/>
            <w:tcBorders>
              <w:top w:val="nil"/>
              <w:left w:val="nil"/>
              <w:bottom w:val="nil"/>
              <w:right w:val="nil"/>
            </w:tcBorders>
            <w:shd w:val="clear" w:color="auto" w:fill="auto"/>
            <w:vAlign w:val="center"/>
            <w:hideMark/>
          </w:tcPr>
          <w:p w14:paraId="717BECD8" w14:textId="3A024801" w:rsidR="0085456D" w:rsidRPr="00005453" w:rsidRDefault="0085456D" w:rsidP="0085456D">
            <w:pPr>
              <w:jc w:val="right"/>
              <w:rPr>
                <w:sz w:val="18"/>
                <w:szCs w:val="18"/>
                <w:lang w:eastAsia="tr-TR"/>
              </w:rPr>
            </w:pPr>
            <w:r w:rsidRPr="00005453">
              <w:rPr>
                <w:sz w:val="18"/>
                <w:szCs w:val="18"/>
              </w:rPr>
              <w:t>17,047</w:t>
            </w:r>
          </w:p>
        </w:tc>
        <w:tc>
          <w:tcPr>
            <w:tcW w:w="2075" w:type="dxa"/>
            <w:tcBorders>
              <w:top w:val="nil"/>
              <w:left w:val="nil"/>
              <w:bottom w:val="nil"/>
              <w:right w:val="nil"/>
            </w:tcBorders>
            <w:shd w:val="clear" w:color="auto" w:fill="auto"/>
            <w:vAlign w:val="center"/>
            <w:hideMark/>
          </w:tcPr>
          <w:p w14:paraId="3A3A17D3" w14:textId="4D72DF13" w:rsidR="0085456D" w:rsidRPr="00005453" w:rsidRDefault="0085456D" w:rsidP="0085456D">
            <w:pPr>
              <w:jc w:val="right"/>
              <w:rPr>
                <w:sz w:val="18"/>
                <w:szCs w:val="18"/>
                <w:lang w:eastAsia="tr-TR"/>
              </w:rPr>
            </w:pPr>
            <w:r w:rsidRPr="00005453">
              <w:rPr>
                <w:sz w:val="18"/>
                <w:szCs w:val="18"/>
              </w:rPr>
              <w:t>681,558</w:t>
            </w:r>
          </w:p>
        </w:tc>
        <w:tc>
          <w:tcPr>
            <w:tcW w:w="1115" w:type="dxa"/>
            <w:tcBorders>
              <w:top w:val="nil"/>
              <w:left w:val="nil"/>
              <w:bottom w:val="nil"/>
              <w:right w:val="nil"/>
            </w:tcBorders>
            <w:shd w:val="clear" w:color="auto" w:fill="auto"/>
            <w:vAlign w:val="center"/>
            <w:hideMark/>
          </w:tcPr>
          <w:p w14:paraId="61B0CF25" w14:textId="432B6B0C" w:rsidR="0085456D" w:rsidRPr="00005453" w:rsidRDefault="0085456D" w:rsidP="0085456D">
            <w:pPr>
              <w:jc w:val="right"/>
              <w:rPr>
                <w:sz w:val="18"/>
                <w:szCs w:val="18"/>
                <w:lang w:eastAsia="tr-TR"/>
              </w:rPr>
            </w:pPr>
            <w:r w:rsidRPr="00005453">
              <w:rPr>
                <w:b/>
                <w:bCs/>
                <w:sz w:val="18"/>
                <w:szCs w:val="18"/>
              </w:rPr>
              <w:t>698,605</w:t>
            </w:r>
          </w:p>
        </w:tc>
      </w:tr>
      <w:tr w:rsidR="0085456D" w:rsidRPr="00005453" w14:paraId="47B08697"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ADCA325" w14:textId="77777777" w:rsidR="0085456D" w:rsidRPr="00005453" w:rsidRDefault="0085456D" w:rsidP="0085456D">
            <w:pPr>
              <w:jc w:val="both"/>
              <w:rPr>
                <w:b/>
                <w:bCs/>
                <w:sz w:val="18"/>
                <w:szCs w:val="18"/>
                <w:lang w:eastAsia="tr-TR"/>
              </w:rPr>
            </w:pPr>
            <w:r w:rsidRPr="00005453">
              <w:rPr>
                <w:b/>
                <w:bCs/>
                <w:sz w:val="18"/>
                <w:szCs w:val="18"/>
                <w:lang w:eastAsia="tr-TR"/>
              </w:rPr>
              <w:t>Tüketici Kredileri-Dövize Endeksli</w:t>
            </w:r>
          </w:p>
        </w:tc>
        <w:tc>
          <w:tcPr>
            <w:tcW w:w="1595" w:type="dxa"/>
            <w:tcBorders>
              <w:top w:val="nil"/>
              <w:left w:val="nil"/>
              <w:bottom w:val="nil"/>
              <w:right w:val="nil"/>
            </w:tcBorders>
            <w:shd w:val="clear" w:color="auto" w:fill="auto"/>
            <w:vAlign w:val="center"/>
            <w:hideMark/>
          </w:tcPr>
          <w:p w14:paraId="5D6BA14D" w14:textId="3EB8C953" w:rsidR="0085456D" w:rsidRPr="00005453" w:rsidRDefault="0085456D" w:rsidP="0085456D">
            <w:pPr>
              <w:jc w:val="right"/>
              <w:rPr>
                <w:b/>
                <w:sz w:val="18"/>
                <w:szCs w:val="18"/>
                <w:lang w:eastAsia="tr-TR"/>
              </w:rPr>
            </w:pPr>
            <w:r w:rsidRPr="00005453">
              <w:rPr>
                <w:b/>
                <w:bCs/>
                <w:sz w:val="18"/>
                <w:szCs w:val="18"/>
              </w:rPr>
              <w:t>-</w:t>
            </w:r>
          </w:p>
        </w:tc>
        <w:tc>
          <w:tcPr>
            <w:tcW w:w="2075" w:type="dxa"/>
            <w:tcBorders>
              <w:top w:val="nil"/>
              <w:left w:val="nil"/>
              <w:bottom w:val="nil"/>
              <w:right w:val="nil"/>
            </w:tcBorders>
            <w:shd w:val="clear" w:color="auto" w:fill="auto"/>
            <w:vAlign w:val="center"/>
            <w:hideMark/>
          </w:tcPr>
          <w:p w14:paraId="0517DF2B" w14:textId="57B5EC4E" w:rsidR="0085456D" w:rsidRPr="00005453" w:rsidRDefault="0085456D" w:rsidP="0085456D">
            <w:pPr>
              <w:jc w:val="right"/>
              <w:rPr>
                <w:b/>
                <w:sz w:val="18"/>
                <w:szCs w:val="18"/>
                <w:lang w:eastAsia="tr-TR"/>
              </w:rPr>
            </w:pPr>
            <w:r w:rsidRPr="00005453">
              <w:rPr>
                <w:b/>
                <w:bCs/>
                <w:sz w:val="18"/>
                <w:szCs w:val="18"/>
              </w:rPr>
              <w:t>-</w:t>
            </w:r>
          </w:p>
        </w:tc>
        <w:tc>
          <w:tcPr>
            <w:tcW w:w="1115" w:type="dxa"/>
            <w:tcBorders>
              <w:top w:val="nil"/>
              <w:left w:val="nil"/>
              <w:bottom w:val="nil"/>
              <w:right w:val="nil"/>
            </w:tcBorders>
            <w:shd w:val="clear" w:color="auto" w:fill="auto"/>
            <w:vAlign w:val="center"/>
            <w:hideMark/>
          </w:tcPr>
          <w:p w14:paraId="7FD92013" w14:textId="5A6368CF" w:rsidR="0085456D" w:rsidRPr="00005453" w:rsidRDefault="0085456D" w:rsidP="0085456D">
            <w:pPr>
              <w:jc w:val="right"/>
              <w:rPr>
                <w:b/>
                <w:sz w:val="18"/>
                <w:szCs w:val="18"/>
                <w:lang w:eastAsia="tr-TR"/>
              </w:rPr>
            </w:pPr>
            <w:r w:rsidRPr="00005453">
              <w:rPr>
                <w:b/>
                <w:bCs/>
                <w:sz w:val="18"/>
                <w:szCs w:val="18"/>
              </w:rPr>
              <w:t>-</w:t>
            </w:r>
          </w:p>
        </w:tc>
      </w:tr>
      <w:tr w:rsidR="0085456D" w:rsidRPr="00005453" w14:paraId="6E8DC987"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A283B47" w14:textId="77777777" w:rsidR="0085456D" w:rsidRPr="00005453" w:rsidRDefault="0085456D" w:rsidP="0085456D">
            <w:pPr>
              <w:jc w:val="both"/>
              <w:rPr>
                <w:sz w:val="18"/>
                <w:szCs w:val="18"/>
                <w:lang w:eastAsia="tr-TR"/>
              </w:rPr>
            </w:pPr>
            <w:r w:rsidRPr="00005453">
              <w:rPr>
                <w:sz w:val="18"/>
                <w:szCs w:val="18"/>
                <w:lang w:eastAsia="tr-TR"/>
              </w:rPr>
              <w:t>Konut Kredisi</w:t>
            </w:r>
          </w:p>
        </w:tc>
        <w:tc>
          <w:tcPr>
            <w:tcW w:w="1595" w:type="dxa"/>
            <w:tcBorders>
              <w:top w:val="nil"/>
              <w:left w:val="nil"/>
              <w:bottom w:val="nil"/>
              <w:right w:val="nil"/>
            </w:tcBorders>
            <w:shd w:val="clear" w:color="auto" w:fill="auto"/>
            <w:vAlign w:val="center"/>
            <w:hideMark/>
          </w:tcPr>
          <w:p w14:paraId="5476E643" w14:textId="7314E379"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706C7F83" w14:textId="34C275CD"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0D64C95E" w14:textId="3ABE8931" w:rsidR="0085456D" w:rsidRPr="00005453" w:rsidRDefault="0085456D" w:rsidP="0085456D">
            <w:pPr>
              <w:jc w:val="right"/>
              <w:rPr>
                <w:sz w:val="18"/>
                <w:szCs w:val="18"/>
                <w:lang w:eastAsia="tr-TR"/>
              </w:rPr>
            </w:pPr>
            <w:r w:rsidRPr="00005453">
              <w:rPr>
                <w:bCs/>
                <w:sz w:val="18"/>
                <w:szCs w:val="18"/>
              </w:rPr>
              <w:t>-</w:t>
            </w:r>
          </w:p>
        </w:tc>
      </w:tr>
      <w:tr w:rsidR="0085456D" w:rsidRPr="00005453" w14:paraId="369099E6"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0792A97" w14:textId="77777777" w:rsidR="0085456D" w:rsidRPr="00005453" w:rsidRDefault="0085456D" w:rsidP="0085456D">
            <w:pPr>
              <w:jc w:val="both"/>
              <w:rPr>
                <w:sz w:val="18"/>
                <w:szCs w:val="18"/>
                <w:lang w:eastAsia="tr-TR"/>
              </w:rPr>
            </w:pPr>
            <w:r w:rsidRPr="00005453">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363C815" w14:textId="70047FD4"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35FFB6AE" w14:textId="2451EFFE"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2E0FFE04" w14:textId="5DA0D861" w:rsidR="0085456D" w:rsidRPr="00005453" w:rsidRDefault="0085456D" w:rsidP="0085456D">
            <w:pPr>
              <w:jc w:val="right"/>
              <w:rPr>
                <w:sz w:val="18"/>
                <w:szCs w:val="18"/>
                <w:lang w:eastAsia="tr-TR"/>
              </w:rPr>
            </w:pPr>
            <w:r w:rsidRPr="00005453">
              <w:rPr>
                <w:bCs/>
                <w:sz w:val="18"/>
                <w:szCs w:val="18"/>
              </w:rPr>
              <w:t>-</w:t>
            </w:r>
          </w:p>
        </w:tc>
      </w:tr>
      <w:tr w:rsidR="0085456D" w:rsidRPr="00005453" w14:paraId="260511A4"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646CDA1B" w14:textId="77777777" w:rsidR="0085456D" w:rsidRPr="00005453" w:rsidRDefault="0085456D" w:rsidP="0085456D">
            <w:pPr>
              <w:jc w:val="both"/>
              <w:rPr>
                <w:sz w:val="18"/>
                <w:szCs w:val="18"/>
                <w:lang w:eastAsia="tr-TR"/>
              </w:rPr>
            </w:pPr>
            <w:r w:rsidRPr="00005453">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3EF81793" w14:textId="711FCCCB"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4EAD2D1B" w14:textId="6BF640D0"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64A84251" w14:textId="5A470EEA" w:rsidR="0085456D" w:rsidRPr="00005453" w:rsidRDefault="0085456D" w:rsidP="0085456D">
            <w:pPr>
              <w:jc w:val="right"/>
              <w:rPr>
                <w:sz w:val="18"/>
                <w:szCs w:val="18"/>
                <w:lang w:eastAsia="tr-TR"/>
              </w:rPr>
            </w:pPr>
            <w:r w:rsidRPr="00005453">
              <w:rPr>
                <w:bCs/>
                <w:sz w:val="18"/>
                <w:szCs w:val="18"/>
              </w:rPr>
              <w:t>-</w:t>
            </w:r>
          </w:p>
        </w:tc>
      </w:tr>
      <w:tr w:rsidR="0085456D" w:rsidRPr="00005453" w14:paraId="165ECE1A"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2B828FDB" w14:textId="77777777" w:rsidR="0085456D" w:rsidRPr="00005453" w:rsidRDefault="0085456D" w:rsidP="0085456D">
            <w:pPr>
              <w:jc w:val="both"/>
              <w:rPr>
                <w:sz w:val="18"/>
                <w:szCs w:val="18"/>
                <w:lang w:eastAsia="tr-TR"/>
              </w:rPr>
            </w:pPr>
            <w:r w:rsidRPr="00005453">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4AD57EC7" w14:textId="633A61F0"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7B6D774C" w14:textId="217E77F3"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3186AB1A" w14:textId="3ECDF83A" w:rsidR="0085456D" w:rsidRPr="00005453" w:rsidRDefault="0085456D" w:rsidP="0085456D">
            <w:pPr>
              <w:jc w:val="right"/>
              <w:rPr>
                <w:sz w:val="18"/>
                <w:szCs w:val="18"/>
                <w:lang w:eastAsia="tr-TR"/>
              </w:rPr>
            </w:pPr>
            <w:r w:rsidRPr="00005453">
              <w:rPr>
                <w:bCs/>
                <w:sz w:val="18"/>
                <w:szCs w:val="18"/>
              </w:rPr>
              <w:t>-</w:t>
            </w:r>
          </w:p>
        </w:tc>
      </w:tr>
      <w:tr w:rsidR="0085456D" w:rsidRPr="00005453" w14:paraId="46C2E6CC"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4E158420" w14:textId="77777777" w:rsidR="0085456D" w:rsidRPr="00005453" w:rsidRDefault="0085456D" w:rsidP="0085456D">
            <w:pPr>
              <w:jc w:val="both"/>
              <w:rPr>
                <w:b/>
                <w:bCs/>
                <w:sz w:val="18"/>
                <w:szCs w:val="18"/>
                <w:lang w:eastAsia="tr-TR"/>
              </w:rPr>
            </w:pPr>
            <w:r w:rsidRPr="00005453">
              <w:rPr>
                <w:b/>
                <w:bCs/>
                <w:sz w:val="18"/>
                <w:szCs w:val="18"/>
                <w:lang w:eastAsia="tr-TR"/>
              </w:rPr>
              <w:t>Tüketici Kredileri-YP</w:t>
            </w:r>
          </w:p>
        </w:tc>
        <w:tc>
          <w:tcPr>
            <w:tcW w:w="1595" w:type="dxa"/>
            <w:tcBorders>
              <w:top w:val="nil"/>
              <w:left w:val="nil"/>
              <w:bottom w:val="nil"/>
              <w:right w:val="nil"/>
            </w:tcBorders>
            <w:shd w:val="clear" w:color="auto" w:fill="auto"/>
            <w:vAlign w:val="center"/>
            <w:hideMark/>
          </w:tcPr>
          <w:p w14:paraId="2A7AA0CF" w14:textId="0B79DFE4" w:rsidR="0085456D" w:rsidRPr="00005453" w:rsidRDefault="0085456D" w:rsidP="0085456D">
            <w:pPr>
              <w:jc w:val="right"/>
              <w:rPr>
                <w:b/>
                <w:sz w:val="18"/>
                <w:szCs w:val="18"/>
                <w:lang w:eastAsia="tr-TR"/>
              </w:rPr>
            </w:pPr>
            <w:r w:rsidRPr="00005453">
              <w:rPr>
                <w:b/>
                <w:bCs/>
                <w:sz w:val="18"/>
                <w:szCs w:val="18"/>
              </w:rPr>
              <w:t>-</w:t>
            </w:r>
          </w:p>
        </w:tc>
        <w:tc>
          <w:tcPr>
            <w:tcW w:w="2075" w:type="dxa"/>
            <w:tcBorders>
              <w:top w:val="nil"/>
              <w:left w:val="nil"/>
              <w:bottom w:val="nil"/>
              <w:right w:val="nil"/>
            </w:tcBorders>
            <w:shd w:val="clear" w:color="auto" w:fill="auto"/>
            <w:vAlign w:val="center"/>
            <w:hideMark/>
          </w:tcPr>
          <w:p w14:paraId="3D77EF3B" w14:textId="4D0A4325" w:rsidR="0085456D" w:rsidRPr="00005453" w:rsidRDefault="0085456D" w:rsidP="0085456D">
            <w:pPr>
              <w:jc w:val="right"/>
              <w:rPr>
                <w:b/>
                <w:sz w:val="18"/>
                <w:szCs w:val="18"/>
                <w:lang w:eastAsia="tr-TR"/>
              </w:rPr>
            </w:pPr>
            <w:r w:rsidRPr="00005453">
              <w:rPr>
                <w:b/>
                <w:bCs/>
                <w:sz w:val="18"/>
                <w:szCs w:val="18"/>
              </w:rPr>
              <w:t>16,396</w:t>
            </w:r>
          </w:p>
        </w:tc>
        <w:tc>
          <w:tcPr>
            <w:tcW w:w="1115" w:type="dxa"/>
            <w:tcBorders>
              <w:top w:val="nil"/>
              <w:left w:val="nil"/>
              <w:bottom w:val="nil"/>
              <w:right w:val="nil"/>
            </w:tcBorders>
            <w:shd w:val="clear" w:color="auto" w:fill="auto"/>
            <w:vAlign w:val="center"/>
            <w:hideMark/>
          </w:tcPr>
          <w:p w14:paraId="3D216F98" w14:textId="3BBC8BA3" w:rsidR="0085456D" w:rsidRPr="00005453" w:rsidRDefault="0085456D" w:rsidP="0085456D">
            <w:pPr>
              <w:jc w:val="right"/>
              <w:rPr>
                <w:b/>
                <w:sz w:val="18"/>
                <w:szCs w:val="18"/>
                <w:lang w:eastAsia="tr-TR"/>
              </w:rPr>
            </w:pPr>
            <w:r w:rsidRPr="00005453">
              <w:rPr>
                <w:b/>
                <w:bCs/>
                <w:sz w:val="18"/>
                <w:szCs w:val="18"/>
              </w:rPr>
              <w:t>16,396</w:t>
            </w:r>
          </w:p>
        </w:tc>
      </w:tr>
      <w:tr w:rsidR="0085456D" w:rsidRPr="00005453" w14:paraId="2D938853"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E1CEC03" w14:textId="77777777" w:rsidR="0085456D" w:rsidRPr="00005453" w:rsidRDefault="0085456D" w:rsidP="0085456D">
            <w:pPr>
              <w:jc w:val="both"/>
              <w:rPr>
                <w:sz w:val="18"/>
                <w:szCs w:val="18"/>
                <w:lang w:eastAsia="tr-TR"/>
              </w:rPr>
            </w:pPr>
            <w:r w:rsidRPr="00005453">
              <w:rPr>
                <w:sz w:val="18"/>
                <w:szCs w:val="18"/>
                <w:lang w:eastAsia="tr-TR"/>
              </w:rPr>
              <w:t>Konut Kredisi</w:t>
            </w:r>
          </w:p>
        </w:tc>
        <w:tc>
          <w:tcPr>
            <w:tcW w:w="1595" w:type="dxa"/>
            <w:tcBorders>
              <w:top w:val="nil"/>
              <w:left w:val="nil"/>
              <w:bottom w:val="nil"/>
              <w:right w:val="nil"/>
            </w:tcBorders>
            <w:shd w:val="clear" w:color="auto" w:fill="auto"/>
            <w:vAlign w:val="center"/>
            <w:hideMark/>
          </w:tcPr>
          <w:p w14:paraId="76970900" w14:textId="4C537536"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1B414402" w14:textId="613A1D43" w:rsidR="0085456D" w:rsidRPr="00005453" w:rsidRDefault="0085456D" w:rsidP="0085456D">
            <w:pPr>
              <w:jc w:val="right"/>
              <w:rPr>
                <w:sz w:val="18"/>
                <w:szCs w:val="18"/>
                <w:lang w:eastAsia="tr-TR"/>
              </w:rPr>
            </w:pPr>
            <w:r w:rsidRPr="00005453">
              <w:rPr>
                <w:sz w:val="18"/>
                <w:szCs w:val="18"/>
              </w:rPr>
              <w:t>16,396</w:t>
            </w:r>
          </w:p>
        </w:tc>
        <w:tc>
          <w:tcPr>
            <w:tcW w:w="1115" w:type="dxa"/>
            <w:tcBorders>
              <w:top w:val="nil"/>
              <w:left w:val="nil"/>
              <w:bottom w:val="nil"/>
              <w:right w:val="nil"/>
            </w:tcBorders>
            <w:shd w:val="clear" w:color="auto" w:fill="auto"/>
            <w:vAlign w:val="center"/>
            <w:hideMark/>
          </w:tcPr>
          <w:p w14:paraId="31DAAFB5" w14:textId="3E09188D" w:rsidR="0085456D" w:rsidRPr="00005453" w:rsidRDefault="0085456D" w:rsidP="0085456D">
            <w:pPr>
              <w:jc w:val="right"/>
              <w:rPr>
                <w:sz w:val="18"/>
                <w:szCs w:val="18"/>
                <w:lang w:eastAsia="tr-TR"/>
              </w:rPr>
            </w:pPr>
            <w:r w:rsidRPr="00005453">
              <w:rPr>
                <w:bCs/>
                <w:sz w:val="18"/>
                <w:szCs w:val="18"/>
              </w:rPr>
              <w:t>16,396</w:t>
            </w:r>
          </w:p>
        </w:tc>
      </w:tr>
      <w:tr w:rsidR="0085456D" w:rsidRPr="00005453" w14:paraId="72BFD80E"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0FE19C44" w14:textId="77777777" w:rsidR="0085456D" w:rsidRPr="00005453" w:rsidRDefault="0085456D" w:rsidP="0085456D">
            <w:pPr>
              <w:jc w:val="both"/>
              <w:rPr>
                <w:sz w:val="18"/>
                <w:szCs w:val="18"/>
                <w:lang w:eastAsia="tr-TR"/>
              </w:rPr>
            </w:pPr>
            <w:r w:rsidRPr="00005453">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D349473" w14:textId="524F2379"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452FDF03" w14:textId="36FEA0EC"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588B4AC2" w14:textId="2D35BB94" w:rsidR="0085456D" w:rsidRPr="00005453" w:rsidRDefault="0085456D" w:rsidP="0085456D">
            <w:pPr>
              <w:jc w:val="right"/>
              <w:rPr>
                <w:sz w:val="18"/>
                <w:szCs w:val="18"/>
                <w:lang w:eastAsia="tr-TR"/>
              </w:rPr>
            </w:pPr>
            <w:r w:rsidRPr="00005453">
              <w:rPr>
                <w:bCs/>
                <w:sz w:val="18"/>
                <w:szCs w:val="18"/>
              </w:rPr>
              <w:t>-</w:t>
            </w:r>
          </w:p>
        </w:tc>
      </w:tr>
      <w:tr w:rsidR="0085456D" w:rsidRPr="00005453" w14:paraId="046D6BE9"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44D07A49" w14:textId="77777777" w:rsidR="0085456D" w:rsidRPr="00005453" w:rsidRDefault="0085456D" w:rsidP="0085456D">
            <w:pPr>
              <w:jc w:val="both"/>
              <w:rPr>
                <w:sz w:val="18"/>
                <w:szCs w:val="18"/>
                <w:lang w:eastAsia="tr-TR"/>
              </w:rPr>
            </w:pPr>
            <w:r w:rsidRPr="00005453">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CF01D43" w14:textId="54A89DB6"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729F458A" w14:textId="046BDEFD"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633BB3CB" w14:textId="3E35D532" w:rsidR="0085456D" w:rsidRPr="00005453" w:rsidRDefault="0085456D" w:rsidP="0085456D">
            <w:pPr>
              <w:jc w:val="right"/>
              <w:rPr>
                <w:sz w:val="18"/>
                <w:szCs w:val="18"/>
                <w:lang w:eastAsia="tr-TR"/>
              </w:rPr>
            </w:pPr>
            <w:r w:rsidRPr="00005453">
              <w:rPr>
                <w:bCs/>
                <w:sz w:val="18"/>
                <w:szCs w:val="18"/>
              </w:rPr>
              <w:t>-</w:t>
            </w:r>
          </w:p>
        </w:tc>
      </w:tr>
      <w:tr w:rsidR="0085456D" w:rsidRPr="00005453" w14:paraId="03FDACA9"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74D1721A" w14:textId="77777777" w:rsidR="0085456D" w:rsidRPr="00005453" w:rsidRDefault="0085456D" w:rsidP="0085456D">
            <w:pPr>
              <w:jc w:val="both"/>
              <w:rPr>
                <w:sz w:val="18"/>
                <w:szCs w:val="18"/>
                <w:lang w:eastAsia="tr-TR"/>
              </w:rPr>
            </w:pPr>
            <w:r w:rsidRPr="00005453">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221352F2" w14:textId="78DDC355"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5A61DF5C" w14:textId="61281FD3"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77C2B744" w14:textId="20CA70C9" w:rsidR="0085456D" w:rsidRPr="00005453" w:rsidRDefault="0085456D" w:rsidP="0085456D">
            <w:pPr>
              <w:jc w:val="right"/>
              <w:rPr>
                <w:sz w:val="18"/>
                <w:szCs w:val="18"/>
                <w:lang w:eastAsia="tr-TR"/>
              </w:rPr>
            </w:pPr>
            <w:r w:rsidRPr="00005453">
              <w:rPr>
                <w:bCs/>
                <w:sz w:val="18"/>
                <w:szCs w:val="18"/>
              </w:rPr>
              <w:t>-</w:t>
            </w:r>
          </w:p>
        </w:tc>
      </w:tr>
      <w:tr w:rsidR="0085456D" w:rsidRPr="00005453" w14:paraId="73C1EF37"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5D573BC" w14:textId="77777777" w:rsidR="0085456D" w:rsidRPr="00005453" w:rsidRDefault="0085456D" w:rsidP="0085456D">
            <w:pPr>
              <w:jc w:val="both"/>
              <w:rPr>
                <w:b/>
                <w:bCs/>
                <w:sz w:val="18"/>
                <w:szCs w:val="18"/>
                <w:lang w:eastAsia="tr-TR"/>
              </w:rPr>
            </w:pPr>
            <w:r w:rsidRPr="00005453">
              <w:rPr>
                <w:b/>
                <w:bCs/>
                <w:sz w:val="18"/>
                <w:szCs w:val="18"/>
                <w:lang w:eastAsia="tr-TR"/>
              </w:rPr>
              <w:t>Bireysel Kredi Kartları-TP</w:t>
            </w:r>
          </w:p>
        </w:tc>
        <w:tc>
          <w:tcPr>
            <w:tcW w:w="1595" w:type="dxa"/>
            <w:tcBorders>
              <w:top w:val="nil"/>
              <w:left w:val="nil"/>
              <w:bottom w:val="nil"/>
              <w:right w:val="nil"/>
            </w:tcBorders>
            <w:shd w:val="clear" w:color="auto" w:fill="auto"/>
            <w:vAlign w:val="center"/>
            <w:hideMark/>
          </w:tcPr>
          <w:p w14:paraId="58C5D0CE" w14:textId="1CBAA2ED" w:rsidR="0085456D" w:rsidRPr="00005453" w:rsidRDefault="0085456D" w:rsidP="0085456D">
            <w:pPr>
              <w:jc w:val="right"/>
              <w:rPr>
                <w:b/>
                <w:sz w:val="18"/>
                <w:szCs w:val="18"/>
                <w:lang w:eastAsia="tr-TR"/>
              </w:rPr>
            </w:pPr>
            <w:r w:rsidRPr="00005453">
              <w:rPr>
                <w:b/>
                <w:bCs/>
                <w:sz w:val="18"/>
                <w:szCs w:val="18"/>
              </w:rPr>
              <w:t>16,193,511</w:t>
            </w:r>
          </w:p>
        </w:tc>
        <w:tc>
          <w:tcPr>
            <w:tcW w:w="2075" w:type="dxa"/>
            <w:tcBorders>
              <w:top w:val="nil"/>
              <w:left w:val="nil"/>
              <w:bottom w:val="nil"/>
              <w:right w:val="nil"/>
            </w:tcBorders>
            <w:shd w:val="clear" w:color="auto" w:fill="auto"/>
            <w:vAlign w:val="center"/>
            <w:hideMark/>
          </w:tcPr>
          <w:p w14:paraId="37E8630D" w14:textId="5C276CBA" w:rsidR="0085456D" w:rsidRPr="00005453" w:rsidRDefault="0085456D" w:rsidP="0085456D">
            <w:pPr>
              <w:jc w:val="right"/>
              <w:rPr>
                <w:b/>
                <w:sz w:val="18"/>
                <w:szCs w:val="18"/>
                <w:lang w:eastAsia="tr-TR"/>
              </w:rPr>
            </w:pPr>
            <w:r w:rsidRPr="00005453">
              <w:rPr>
                <w:b/>
                <w:bCs/>
                <w:sz w:val="18"/>
                <w:szCs w:val="18"/>
              </w:rPr>
              <w:t>24</w:t>
            </w:r>
          </w:p>
        </w:tc>
        <w:tc>
          <w:tcPr>
            <w:tcW w:w="1115" w:type="dxa"/>
            <w:tcBorders>
              <w:top w:val="nil"/>
              <w:left w:val="nil"/>
              <w:bottom w:val="nil"/>
              <w:right w:val="nil"/>
            </w:tcBorders>
            <w:shd w:val="clear" w:color="auto" w:fill="auto"/>
            <w:vAlign w:val="center"/>
            <w:hideMark/>
          </w:tcPr>
          <w:p w14:paraId="692CB8FF" w14:textId="0DABD338" w:rsidR="0085456D" w:rsidRPr="00005453" w:rsidRDefault="0085456D" w:rsidP="0085456D">
            <w:pPr>
              <w:jc w:val="right"/>
              <w:rPr>
                <w:b/>
                <w:sz w:val="18"/>
                <w:szCs w:val="18"/>
                <w:lang w:eastAsia="tr-TR"/>
              </w:rPr>
            </w:pPr>
            <w:r w:rsidRPr="00005453">
              <w:rPr>
                <w:b/>
                <w:bCs/>
                <w:sz w:val="18"/>
                <w:szCs w:val="18"/>
              </w:rPr>
              <w:t>16,193,535</w:t>
            </w:r>
          </w:p>
        </w:tc>
      </w:tr>
      <w:tr w:rsidR="0085456D" w:rsidRPr="00005453" w14:paraId="4DC2954A"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7203165A" w14:textId="77777777" w:rsidR="0085456D" w:rsidRPr="00005453" w:rsidRDefault="0085456D" w:rsidP="0085456D">
            <w:pPr>
              <w:jc w:val="both"/>
              <w:rPr>
                <w:sz w:val="18"/>
                <w:szCs w:val="18"/>
                <w:lang w:eastAsia="tr-TR"/>
              </w:rPr>
            </w:pPr>
            <w:r w:rsidRPr="00005453">
              <w:rPr>
                <w:sz w:val="18"/>
                <w:szCs w:val="18"/>
                <w:lang w:eastAsia="tr-TR"/>
              </w:rPr>
              <w:t>Taksitli</w:t>
            </w:r>
          </w:p>
        </w:tc>
        <w:tc>
          <w:tcPr>
            <w:tcW w:w="1595" w:type="dxa"/>
            <w:tcBorders>
              <w:top w:val="nil"/>
              <w:left w:val="nil"/>
              <w:bottom w:val="nil"/>
              <w:right w:val="nil"/>
            </w:tcBorders>
            <w:shd w:val="clear" w:color="auto" w:fill="auto"/>
            <w:vAlign w:val="center"/>
            <w:hideMark/>
          </w:tcPr>
          <w:p w14:paraId="7B7D60D2" w14:textId="14DE67C3" w:rsidR="0085456D" w:rsidRPr="00005453" w:rsidRDefault="0085456D" w:rsidP="0085456D">
            <w:pPr>
              <w:jc w:val="right"/>
              <w:rPr>
                <w:sz w:val="18"/>
                <w:szCs w:val="18"/>
                <w:lang w:eastAsia="tr-TR"/>
              </w:rPr>
            </w:pPr>
            <w:r w:rsidRPr="00005453">
              <w:rPr>
                <w:sz w:val="18"/>
                <w:szCs w:val="18"/>
              </w:rPr>
              <w:t>4,142,089</w:t>
            </w:r>
          </w:p>
        </w:tc>
        <w:tc>
          <w:tcPr>
            <w:tcW w:w="2075" w:type="dxa"/>
            <w:tcBorders>
              <w:top w:val="nil"/>
              <w:left w:val="nil"/>
              <w:bottom w:val="nil"/>
              <w:right w:val="nil"/>
            </w:tcBorders>
            <w:shd w:val="clear" w:color="auto" w:fill="auto"/>
            <w:vAlign w:val="center"/>
            <w:hideMark/>
          </w:tcPr>
          <w:p w14:paraId="13F8484F" w14:textId="1E9B6065" w:rsidR="0085456D" w:rsidRPr="00005453" w:rsidRDefault="0085456D" w:rsidP="0085456D">
            <w:pPr>
              <w:jc w:val="right"/>
              <w:rPr>
                <w:sz w:val="18"/>
                <w:szCs w:val="18"/>
                <w:lang w:eastAsia="tr-TR"/>
              </w:rPr>
            </w:pPr>
            <w:r w:rsidRPr="00005453">
              <w:rPr>
                <w:sz w:val="18"/>
                <w:szCs w:val="18"/>
              </w:rPr>
              <w:t>24</w:t>
            </w:r>
          </w:p>
        </w:tc>
        <w:tc>
          <w:tcPr>
            <w:tcW w:w="1115" w:type="dxa"/>
            <w:tcBorders>
              <w:top w:val="nil"/>
              <w:left w:val="nil"/>
              <w:bottom w:val="nil"/>
              <w:right w:val="nil"/>
            </w:tcBorders>
            <w:shd w:val="clear" w:color="auto" w:fill="auto"/>
            <w:vAlign w:val="center"/>
            <w:hideMark/>
          </w:tcPr>
          <w:p w14:paraId="36FAC775" w14:textId="76D4BEA1" w:rsidR="0085456D" w:rsidRPr="00005453" w:rsidRDefault="0085456D" w:rsidP="0085456D">
            <w:pPr>
              <w:jc w:val="right"/>
              <w:rPr>
                <w:sz w:val="18"/>
                <w:szCs w:val="18"/>
                <w:lang w:eastAsia="tr-TR"/>
              </w:rPr>
            </w:pPr>
            <w:r w:rsidRPr="00005453">
              <w:rPr>
                <w:bCs/>
                <w:sz w:val="18"/>
                <w:szCs w:val="18"/>
              </w:rPr>
              <w:t>4,142,113</w:t>
            </w:r>
          </w:p>
        </w:tc>
      </w:tr>
      <w:tr w:rsidR="0085456D" w:rsidRPr="00005453" w14:paraId="33792A82"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CE62428" w14:textId="77777777" w:rsidR="0085456D" w:rsidRPr="00005453" w:rsidRDefault="0085456D" w:rsidP="0085456D">
            <w:pPr>
              <w:jc w:val="both"/>
              <w:rPr>
                <w:sz w:val="18"/>
                <w:szCs w:val="18"/>
                <w:lang w:eastAsia="tr-TR"/>
              </w:rPr>
            </w:pPr>
            <w:r w:rsidRPr="00005453">
              <w:rPr>
                <w:sz w:val="18"/>
                <w:szCs w:val="18"/>
                <w:lang w:eastAsia="tr-TR"/>
              </w:rPr>
              <w:t>Taksitsiz</w:t>
            </w:r>
          </w:p>
        </w:tc>
        <w:tc>
          <w:tcPr>
            <w:tcW w:w="1595" w:type="dxa"/>
            <w:tcBorders>
              <w:top w:val="nil"/>
              <w:left w:val="nil"/>
              <w:bottom w:val="nil"/>
              <w:right w:val="nil"/>
            </w:tcBorders>
            <w:shd w:val="clear" w:color="auto" w:fill="auto"/>
            <w:vAlign w:val="center"/>
            <w:hideMark/>
          </w:tcPr>
          <w:p w14:paraId="6405D810" w14:textId="1AD858DC" w:rsidR="0085456D" w:rsidRPr="00005453" w:rsidRDefault="0085456D" w:rsidP="0085456D">
            <w:pPr>
              <w:jc w:val="right"/>
              <w:rPr>
                <w:sz w:val="18"/>
                <w:szCs w:val="18"/>
                <w:lang w:eastAsia="tr-TR"/>
              </w:rPr>
            </w:pPr>
            <w:r w:rsidRPr="00005453">
              <w:rPr>
                <w:sz w:val="18"/>
                <w:szCs w:val="18"/>
              </w:rPr>
              <w:t>12,051,422</w:t>
            </w:r>
          </w:p>
        </w:tc>
        <w:tc>
          <w:tcPr>
            <w:tcW w:w="2075" w:type="dxa"/>
            <w:tcBorders>
              <w:top w:val="nil"/>
              <w:left w:val="nil"/>
              <w:bottom w:val="nil"/>
              <w:right w:val="nil"/>
            </w:tcBorders>
            <w:shd w:val="clear" w:color="auto" w:fill="auto"/>
            <w:vAlign w:val="center"/>
            <w:hideMark/>
          </w:tcPr>
          <w:p w14:paraId="4F3ECD3B" w14:textId="3823A3A1"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37542E18" w14:textId="76942290" w:rsidR="0085456D" w:rsidRPr="00005453" w:rsidRDefault="0085456D" w:rsidP="0085456D">
            <w:pPr>
              <w:jc w:val="right"/>
              <w:rPr>
                <w:sz w:val="18"/>
                <w:szCs w:val="18"/>
                <w:lang w:eastAsia="tr-TR"/>
              </w:rPr>
            </w:pPr>
            <w:r w:rsidRPr="00005453">
              <w:rPr>
                <w:bCs/>
                <w:sz w:val="18"/>
                <w:szCs w:val="18"/>
              </w:rPr>
              <w:t>12,051,422</w:t>
            </w:r>
          </w:p>
        </w:tc>
      </w:tr>
      <w:tr w:rsidR="0085456D" w:rsidRPr="00005453" w14:paraId="38EA10C7"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4A608442" w14:textId="77777777" w:rsidR="0085456D" w:rsidRPr="00005453" w:rsidRDefault="0085456D" w:rsidP="0085456D">
            <w:pPr>
              <w:jc w:val="both"/>
              <w:rPr>
                <w:b/>
                <w:bCs/>
                <w:sz w:val="18"/>
                <w:szCs w:val="18"/>
                <w:lang w:eastAsia="tr-TR"/>
              </w:rPr>
            </w:pPr>
            <w:r w:rsidRPr="00005453">
              <w:rPr>
                <w:b/>
                <w:bCs/>
                <w:sz w:val="18"/>
                <w:szCs w:val="18"/>
                <w:lang w:eastAsia="tr-TR"/>
              </w:rPr>
              <w:t>Bireysel Kredi Kartları-YP</w:t>
            </w:r>
          </w:p>
        </w:tc>
        <w:tc>
          <w:tcPr>
            <w:tcW w:w="1595" w:type="dxa"/>
            <w:tcBorders>
              <w:top w:val="nil"/>
              <w:left w:val="nil"/>
              <w:bottom w:val="nil"/>
              <w:right w:val="nil"/>
            </w:tcBorders>
            <w:shd w:val="clear" w:color="auto" w:fill="auto"/>
            <w:vAlign w:val="center"/>
            <w:hideMark/>
          </w:tcPr>
          <w:p w14:paraId="73BEB94E" w14:textId="6B4DEF83" w:rsidR="0085456D" w:rsidRPr="00005453" w:rsidRDefault="0085456D" w:rsidP="0085456D">
            <w:pPr>
              <w:jc w:val="right"/>
              <w:rPr>
                <w:b/>
                <w:sz w:val="18"/>
                <w:szCs w:val="18"/>
                <w:lang w:eastAsia="tr-TR"/>
              </w:rPr>
            </w:pPr>
            <w:r w:rsidRPr="00005453">
              <w:rPr>
                <w:b/>
                <w:bCs/>
                <w:sz w:val="18"/>
                <w:szCs w:val="18"/>
              </w:rPr>
              <w:t>-</w:t>
            </w:r>
          </w:p>
        </w:tc>
        <w:tc>
          <w:tcPr>
            <w:tcW w:w="2075" w:type="dxa"/>
            <w:tcBorders>
              <w:top w:val="nil"/>
              <w:left w:val="nil"/>
              <w:bottom w:val="nil"/>
              <w:right w:val="nil"/>
            </w:tcBorders>
            <w:shd w:val="clear" w:color="auto" w:fill="auto"/>
            <w:vAlign w:val="center"/>
            <w:hideMark/>
          </w:tcPr>
          <w:p w14:paraId="76D7E3A9" w14:textId="663C5C30" w:rsidR="0085456D" w:rsidRPr="00005453" w:rsidRDefault="0085456D" w:rsidP="0085456D">
            <w:pPr>
              <w:jc w:val="right"/>
              <w:rPr>
                <w:b/>
                <w:sz w:val="18"/>
                <w:szCs w:val="18"/>
                <w:lang w:eastAsia="tr-TR"/>
              </w:rPr>
            </w:pPr>
            <w:r w:rsidRPr="00005453">
              <w:rPr>
                <w:b/>
                <w:bCs/>
                <w:sz w:val="18"/>
                <w:szCs w:val="18"/>
              </w:rPr>
              <w:t>-</w:t>
            </w:r>
          </w:p>
        </w:tc>
        <w:tc>
          <w:tcPr>
            <w:tcW w:w="1115" w:type="dxa"/>
            <w:tcBorders>
              <w:top w:val="nil"/>
              <w:left w:val="nil"/>
              <w:bottom w:val="nil"/>
              <w:right w:val="nil"/>
            </w:tcBorders>
            <w:shd w:val="clear" w:color="auto" w:fill="auto"/>
            <w:vAlign w:val="center"/>
            <w:hideMark/>
          </w:tcPr>
          <w:p w14:paraId="5345D430" w14:textId="659C4197" w:rsidR="0085456D" w:rsidRPr="00005453" w:rsidRDefault="0085456D" w:rsidP="0085456D">
            <w:pPr>
              <w:jc w:val="right"/>
              <w:rPr>
                <w:b/>
                <w:sz w:val="18"/>
                <w:szCs w:val="18"/>
                <w:lang w:eastAsia="tr-TR"/>
              </w:rPr>
            </w:pPr>
            <w:r w:rsidRPr="00005453">
              <w:rPr>
                <w:b/>
                <w:bCs/>
                <w:sz w:val="18"/>
                <w:szCs w:val="18"/>
              </w:rPr>
              <w:t>-</w:t>
            </w:r>
          </w:p>
        </w:tc>
      </w:tr>
      <w:tr w:rsidR="0085456D" w:rsidRPr="00005453" w14:paraId="028377F1"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069265E2" w14:textId="77777777" w:rsidR="0085456D" w:rsidRPr="00005453" w:rsidRDefault="0085456D" w:rsidP="0085456D">
            <w:pPr>
              <w:jc w:val="both"/>
              <w:rPr>
                <w:sz w:val="18"/>
                <w:szCs w:val="18"/>
                <w:lang w:eastAsia="tr-TR"/>
              </w:rPr>
            </w:pPr>
            <w:r w:rsidRPr="00005453">
              <w:rPr>
                <w:sz w:val="18"/>
                <w:szCs w:val="18"/>
                <w:lang w:eastAsia="tr-TR"/>
              </w:rPr>
              <w:t>Taksitli</w:t>
            </w:r>
          </w:p>
        </w:tc>
        <w:tc>
          <w:tcPr>
            <w:tcW w:w="1595" w:type="dxa"/>
            <w:tcBorders>
              <w:top w:val="nil"/>
              <w:left w:val="nil"/>
              <w:bottom w:val="nil"/>
              <w:right w:val="nil"/>
            </w:tcBorders>
            <w:shd w:val="clear" w:color="auto" w:fill="auto"/>
            <w:vAlign w:val="center"/>
            <w:hideMark/>
          </w:tcPr>
          <w:p w14:paraId="395B3C6F" w14:textId="61790F4E"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7C2A440A" w14:textId="310993FA"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7C812C0A" w14:textId="32336D42" w:rsidR="0085456D" w:rsidRPr="00005453" w:rsidRDefault="0085456D" w:rsidP="0085456D">
            <w:pPr>
              <w:jc w:val="right"/>
              <w:rPr>
                <w:sz w:val="18"/>
                <w:szCs w:val="18"/>
                <w:lang w:eastAsia="tr-TR"/>
              </w:rPr>
            </w:pPr>
            <w:r w:rsidRPr="00005453">
              <w:rPr>
                <w:bCs/>
                <w:sz w:val="18"/>
                <w:szCs w:val="18"/>
              </w:rPr>
              <w:t>-</w:t>
            </w:r>
          </w:p>
        </w:tc>
      </w:tr>
      <w:tr w:rsidR="0085456D" w:rsidRPr="00005453" w14:paraId="43FE8D93"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089D1938" w14:textId="77777777" w:rsidR="0085456D" w:rsidRPr="00005453" w:rsidRDefault="0085456D" w:rsidP="0085456D">
            <w:pPr>
              <w:jc w:val="both"/>
              <w:rPr>
                <w:sz w:val="18"/>
                <w:szCs w:val="18"/>
                <w:lang w:eastAsia="tr-TR"/>
              </w:rPr>
            </w:pPr>
            <w:r w:rsidRPr="00005453">
              <w:rPr>
                <w:sz w:val="18"/>
                <w:szCs w:val="18"/>
                <w:lang w:eastAsia="tr-TR"/>
              </w:rPr>
              <w:t>Taksitsiz</w:t>
            </w:r>
          </w:p>
        </w:tc>
        <w:tc>
          <w:tcPr>
            <w:tcW w:w="1595" w:type="dxa"/>
            <w:tcBorders>
              <w:top w:val="nil"/>
              <w:left w:val="nil"/>
              <w:bottom w:val="nil"/>
              <w:right w:val="nil"/>
            </w:tcBorders>
            <w:shd w:val="clear" w:color="auto" w:fill="auto"/>
            <w:vAlign w:val="center"/>
            <w:hideMark/>
          </w:tcPr>
          <w:p w14:paraId="0DDD2376" w14:textId="0705E539"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77A60D1E" w14:textId="51B12FBF"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38522FBF" w14:textId="25DC1F85" w:rsidR="0085456D" w:rsidRPr="00005453" w:rsidRDefault="0085456D" w:rsidP="0085456D">
            <w:pPr>
              <w:jc w:val="right"/>
              <w:rPr>
                <w:sz w:val="18"/>
                <w:szCs w:val="18"/>
                <w:lang w:eastAsia="tr-TR"/>
              </w:rPr>
            </w:pPr>
            <w:r w:rsidRPr="00005453">
              <w:rPr>
                <w:bCs/>
                <w:sz w:val="18"/>
                <w:szCs w:val="18"/>
              </w:rPr>
              <w:t>-</w:t>
            </w:r>
          </w:p>
        </w:tc>
      </w:tr>
      <w:tr w:rsidR="0085456D" w:rsidRPr="00005453" w14:paraId="5F9B1304"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178A1C6B" w14:textId="77777777" w:rsidR="0085456D" w:rsidRPr="00005453" w:rsidRDefault="0085456D" w:rsidP="0085456D">
            <w:pPr>
              <w:jc w:val="both"/>
              <w:rPr>
                <w:b/>
                <w:bCs/>
                <w:sz w:val="18"/>
                <w:szCs w:val="18"/>
                <w:lang w:eastAsia="tr-TR"/>
              </w:rPr>
            </w:pPr>
            <w:r w:rsidRPr="00005453">
              <w:rPr>
                <w:b/>
                <w:bCs/>
                <w:sz w:val="18"/>
                <w:szCs w:val="18"/>
                <w:lang w:eastAsia="tr-TR"/>
              </w:rPr>
              <w:t>Personel Kredileri-TP</w:t>
            </w:r>
          </w:p>
        </w:tc>
        <w:tc>
          <w:tcPr>
            <w:tcW w:w="1595" w:type="dxa"/>
            <w:tcBorders>
              <w:top w:val="nil"/>
              <w:left w:val="nil"/>
              <w:bottom w:val="nil"/>
              <w:right w:val="nil"/>
            </w:tcBorders>
            <w:shd w:val="clear" w:color="auto" w:fill="auto"/>
            <w:vAlign w:val="center"/>
            <w:hideMark/>
          </w:tcPr>
          <w:p w14:paraId="2870EA72" w14:textId="2F466785" w:rsidR="0085456D" w:rsidRPr="00005453" w:rsidRDefault="0085456D" w:rsidP="0085456D">
            <w:pPr>
              <w:jc w:val="right"/>
              <w:rPr>
                <w:b/>
                <w:sz w:val="18"/>
                <w:szCs w:val="18"/>
                <w:lang w:eastAsia="tr-TR"/>
              </w:rPr>
            </w:pPr>
            <w:r w:rsidRPr="00005453">
              <w:rPr>
                <w:b/>
                <w:bCs/>
                <w:sz w:val="18"/>
                <w:szCs w:val="18"/>
              </w:rPr>
              <w:t>81,304</w:t>
            </w:r>
          </w:p>
        </w:tc>
        <w:tc>
          <w:tcPr>
            <w:tcW w:w="2075" w:type="dxa"/>
            <w:tcBorders>
              <w:top w:val="nil"/>
              <w:left w:val="nil"/>
              <w:bottom w:val="nil"/>
              <w:right w:val="nil"/>
            </w:tcBorders>
            <w:shd w:val="clear" w:color="auto" w:fill="auto"/>
            <w:vAlign w:val="center"/>
            <w:hideMark/>
          </w:tcPr>
          <w:p w14:paraId="0EDEEC63" w14:textId="404BCD43" w:rsidR="0085456D" w:rsidRPr="00005453" w:rsidRDefault="0085456D" w:rsidP="0085456D">
            <w:pPr>
              <w:jc w:val="right"/>
              <w:rPr>
                <w:b/>
                <w:sz w:val="18"/>
                <w:szCs w:val="18"/>
                <w:lang w:eastAsia="tr-TR"/>
              </w:rPr>
            </w:pPr>
            <w:r w:rsidRPr="00005453">
              <w:rPr>
                <w:b/>
                <w:bCs/>
                <w:sz w:val="18"/>
                <w:szCs w:val="18"/>
              </w:rPr>
              <w:t>111,782</w:t>
            </w:r>
          </w:p>
        </w:tc>
        <w:tc>
          <w:tcPr>
            <w:tcW w:w="1115" w:type="dxa"/>
            <w:tcBorders>
              <w:top w:val="nil"/>
              <w:left w:val="nil"/>
              <w:bottom w:val="nil"/>
              <w:right w:val="nil"/>
            </w:tcBorders>
            <w:shd w:val="clear" w:color="auto" w:fill="auto"/>
            <w:vAlign w:val="center"/>
            <w:hideMark/>
          </w:tcPr>
          <w:p w14:paraId="191F44B2" w14:textId="024F3698" w:rsidR="0085456D" w:rsidRPr="00005453" w:rsidRDefault="009A2E5C" w:rsidP="0085456D">
            <w:pPr>
              <w:jc w:val="right"/>
              <w:rPr>
                <w:b/>
                <w:sz w:val="18"/>
                <w:szCs w:val="18"/>
                <w:lang w:eastAsia="tr-TR"/>
              </w:rPr>
            </w:pPr>
            <w:r w:rsidRPr="00005453">
              <w:rPr>
                <w:b/>
                <w:bCs/>
                <w:sz w:val="18"/>
                <w:szCs w:val="18"/>
              </w:rPr>
              <w:t>193,08</w:t>
            </w:r>
            <w:r w:rsidR="00E42B0E" w:rsidRPr="00005453">
              <w:rPr>
                <w:b/>
                <w:bCs/>
                <w:sz w:val="18"/>
                <w:szCs w:val="18"/>
              </w:rPr>
              <w:t>6</w:t>
            </w:r>
          </w:p>
        </w:tc>
      </w:tr>
      <w:tr w:rsidR="0085456D" w:rsidRPr="00005453" w14:paraId="59321EBC"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B355CB0" w14:textId="77777777" w:rsidR="0085456D" w:rsidRPr="00005453" w:rsidRDefault="0085456D" w:rsidP="0085456D">
            <w:pPr>
              <w:jc w:val="both"/>
              <w:rPr>
                <w:sz w:val="18"/>
                <w:szCs w:val="18"/>
                <w:lang w:eastAsia="tr-TR"/>
              </w:rPr>
            </w:pPr>
            <w:r w:rsidRPr="00005453">
              <w:rPr>
                <w:sz w:val="18"/>
                <w:szCs w:val="18"/>
                <w:lang w:eastAsia="tr-TR"/>
              </w:rPr>
              <w:t>Konut Kredisi</w:t>
            </w:r>
          </w:p>
        </w:tc>
        <w:tc>
          <w:tcPr>
            <w:tcW w:w="1595" w:type="dxa"/>
            <w:tcBorders>
              <w:top w:val="nil"/>
              <w:left w:val="nil"/>
              <w:bottom w:val="nil"/>
              <w:right w:val="nil"/>
            </w:tcBorders>
            <w:shd w:val="clear" w:color="auto" w:fill="auto"/>
            <w:vAlign w:val="center"/>
            <w:hideMark/>
          </w:tcPr>
          <w:p w14:paraId="2931BCC8" w14:textId="5E797224" w:rsidR="0085456D" w:rsidRPr="00005453" w:rsidRDefault="0085456D" w:rsidP="0085456D">
            <w:pPr>
              <w:jc w:val="right"/>
              <w:rPr>
                <w:sz w:val="18"/>
                <w:szCs w:val="18"/>
                <w:lang w:eastAsia="tr-TR"/>
              </w:rPr>
            </w:pPr>
            <w:r w:rsidRPr="00005453">
              <w:rPr>
                <w:sz w:val="18"/>
                <w:szCs w:val="18"/>
              </w:rPr>
              <w:t>423</w:t>
            </w:r>
          </w:p>
        </w:tc>
        <w:tc>
          <w:tcPr>
            <w:tcW w:w="2075" w:type="dxa"/>
            <w:tcBorders>
              <w:top w:val="nil"/>
              <w:left w:val="nil"/>
              <w:bottom w:val="nil"/>
              <w:right w:val="nil"/>
            </w:tcBorders>
            <w:shd w:val="clear" w:color="auto" w:fill="auto"/>
            <w:vAlign w:val="center"/>
            <w:hideMark/>
          </w:tcPr>
          <w:p w14:paraId="74240D42" w14:textId="0EFB5DD5" w:rsidR="0085456D" w:rsidRPr="00005453" w:rsidRDefault="0085456D" w:rsidP="0085456D">
            <w:pPr>
              <w:jc w:val="right"/>
              <w:rPr>
                <w:sz w:val="18"/>
                <w:szCs w:val="18"/>
                <w:lang w:eastAsia="tr-TR"/>
              </w:rPr>
            </w:pPr>
            <w:r w:rsidRPr="00005453">
              <w:rPr>
                <w:sz w:val="18"/>
                <w:szCs w:val="18"/>
              </w:rPr>
              <w:t>15,521</w:t>
            </w:r>
          </w:p>
        </w:tc>
        <w:tc>
          <w:tcPr>
            <w:tcW w:w="1115" w:type="dxa"/>
            <w:tcBorders>
              <w:top w:val="nil"/>
              <w:left w:val="nil"/>
              <w:bottom w:val="nil"/>
              <w:right w:val="nil"/>
            </w:tcBorders>
            <w:shd w:val="clear" w:color="auto" w:fill="auto"/>
            <w:vAlign w:val="center"/>
            <w:hideMark/>
          </w:tcPr>
          <w:p w14:paraId="261D9D8E" w14:textId="5676F03A" w:rsidR="0085456D" w:rsidRPr="00005453" w:rsidRDefault="0085456D" w:rsidP="0085456D">
            <w:pPr>
              <w:jc w:val="right"/>
              <w:rPr>
                <w:sz w:val="18"/>
                <w:szCs w:val="18"/>
                <w:lang w:eastAsia="tr-TR"/>
              </w:rPr>
            </w:pPr>
            <w:r w:rsidRPr="00005453">
              <w:rPr>
                <w:bCs/>
                <w:sz w:val="18"/>
                <w:szCs w:val="18"/>
              </w:rPr>
              <w:t>15,944</w:t>
            </w:r>
          </w:p>
        </w:tc>
      </w:tr>
      <w:tr w:rsidR="0085456D" w:rsidRPr="00005453" w14:paraId="1B03CC46"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72D1FD71" w14:textId="77777777" w:rsidR="0085456D" w:rsidRPr="00005453" w:rsidRDefault="0085456D" w:rsidP="0085456D">
            <w:pPr>
              <w:jc w:val="both"/>
              <w:rPr>
                <w:sz w:val="18"/>
                <w:szCs w:val="18"/>
                <w:lang w:eastAsia="tr-TR"/>
              </w:rPr>
            </w:pPr>
            <w:r w:rsidRPr="00005453">
              <w:rPr>
                <w:sz w:val="18"/>
                <w:szCs w:val="18"/>
                <w:lang w:eastAsia="tr-TR"/>
              </w:rPr>
              <w:t>Taşıt Kredisi</w:t>
            </w:r>
          </w:p>
        </w:tc>
        <w:tc>
          <w:tcPr>
            <w:tcW w:w="1595" w:type="dxa"/>
            <w:tcBorders>
              <w:top w:val="nil"/>
              <w:left w:val="nil"/>
              <w:bottom w:val="nil"/>
              <w:right w:val="nil"/>
            </w:tcBorders>
            <w:shd w:val="clear" w:color="auto" w:fill="auto"/>
            <w:vAlign w:val="center"/>
            <w:hideMark/>
          </w:tcPr>
          <w:p w14:paraId="7CF4CE82" w14:textId="677309EB" w:rsidR="0085456D" w:rsidRPr="00005453" w:rsidRDefault="0085456D" w:rsidP="0085456D">
            <w:pPr>
              <w:jc w:val="right"/>
              <w:rPr>
                <w:sz w:val="18"/>
                <w:szCs w:val="18"/>
                <w:lang w:eastAsia="tr-TR"/>
              </w:rPr>
            </w:pPr>
            <w:r w:rsidRPr="00005453">
              <w:rPr>
                <w:sz w:val="18"/>
                <w:szCs w:val="18"/>
              </w:rPr>
              <w:t>15,956</w:t>
            </w:r>
          </w:p>
        </w:tc>
        <w:tc>
          <w:tcPr>
            <w:tcW w:w="2075" w:type="dxa"/>
            <w:tcBorders>
              <w:top w:val="nil"/>
              <w:left w:val="nil"/>
              <w:bottom w:val="nil"/>
              <w:right w:val="nil"/>
            </w:tcBorders>
            <w:shd w:val="clear" w:color="auto" w:fill="auto"/>
            <w:vAlign w:val="center"/>
            <w:hideMark/>
          </w:tcPr>
          <w:p w14:paraId="56A3582C" w14:textId="7DF6910B" w:rsidR="0085456D" w:rsidRPr="00005453" w:rsidRDefault="0085456D" w:rsidP="0085456D">
            <w:pPr>
              <w:jc w:val="right"/>
              <w:rPr>
                <w:sz w:val="18"/>
                <w:szCs w:val="18"/>
                <w:lang w:eastAsia="tr-TR"/>
              </w:rPr>
            </w:pPr>
            <w:r w:rsidRPr="00005453">
              <w:rPr>
                <w:sz w:val="18"/>
                <w:szCs w:val="18"/>
              </w:rPr>
              <w:t>41,569</w:t>
            </w:r>
          </w:p>
        </w:tc>
        <w:tc>
          <w:tcPr>
            <w:tcW w:w="1115" w:type="dxa"/>
            <w:tcBorders>
              <w:top w:val="nil"/>
              <w:left w:val="nil"/>
              <w:bottom w:val="nil"/>
              <w:right w:val="nil"/>
            </w:tcBorders>
            <w:shd w:val="clear" w:color="auto" w:fill="auto"/>
            <w:vAlign w:val="center"/>
            <w:hideMark/>
          </w:tcPr>
          <w:p w14:paraId="537A6F11" w14:textId="37E0FD9B" w:rsidR="0085456D" w:rsidRPr="00005453" w:rsidRDefault="0085456D" w:rsidP="0085456D">
            <w:pPr>
              <w:jc w:val="right"/>
              <w:rPr>
                <w:sz w:val="18"/>
                <w:szCs w:val="18"/>
                <w:lang w:eastAsia="tr-TR"/>
              </w:rPr>
            </w:pPr>
            <w:r w:rsidRPr="00005453">
              <w:rPr>
                <w:bCs/>
                <w:sz w:val="18"/>
                <w:szCs w:val="18"/>
              </w:rPr>
              <w:t>57,525</w:t>
            </w:r>
          </w:p>
        </w:tc>
      </w:tr>
      <w:tr w:rsidR="0085456D" w:rsidRPr="00005453" w14:paraId="6B9B2C71"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7BC05EE3" w14:textId="77777777" w:rsidR="0085456D" w:rsidRPr="00005453" w:rsidRDefault="0085456D" w:rsidP="0085456D">
            <w:pPr>
              <w:jc w:val="both"/>
              <w:rPr>
                <w:sz w:val="18"/>
                <w:szCs w:val="18"/>
                <w:lang w:eastAsia="tr-TR"/>
              </w:rPr>
            </w:pPr>
            <w:r w:rsidRPr="00005453">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E0512EB" w14:textId="0FBDAAAB" w:rsidR="0085456D" w:rsidRPr="00005453" w:rsidRDefault="0085456D" w:rsidP="0085456D">
            <w:pPr>
              <w:jc w:val="right"/>
              <w:rPr>
                <w:sz w:val="18"/>
                <w:szCs w:val="18"/>
                <w:lang w:eastAsia="tr-TR"/>
              </w:rPr>
            </w:pPr>
            <w:r w:rsidRPr="00005453">
              <w:rPr>
                <w:sz w:val="18"/>
                <w:szCs w:val="18"/>
              </w:rPr>
              <w:t>64,923</w:t>
            </w:r>
          </w:p>
        </w:tc>
        <w:tc>
          <w:tcPr>
            <w:tcW w:w="2075" w:type="dxa"/>
            <w:tcBorders>
              <w:top w:val="nil"/>
              <w:left w:val="nil"/>
              <w:bottom w:val="nil"/>
              <w:right w:val="nil"/>
            </w:tcBorders>
            <w:shd w:val="clear" w:color="auto" w:fill="auto"/>
            <w:vAlign w:val="center"/>
            <w:hideMark/>
          </w:tcPr>
          <w:p w14:paraId="43B37CF0" w14:textId="6397402E" w:rsidR="0085456D" w:rsidRPr="00005453" w:rsidRDefault="0085456D" w:rsidP="0085456D">
            <w:pPr>
              <w:jc w:val="right"/>
              <w:rPr>
                <w:sz w:val="18"/>
                <w:szCs w:val="18"/>
                <w:lang w:eastAsia="tr-TR"/>
              </w:rPr>
            </w:pPr>
            <w:r w:rsidRPr="00005453">
              <w:rPr>
                <w:sz w:val="18"/>
                <w:szCs w:val="18"/>
              </w:rPr>
              <w:t>54,692</w:t>
            </w:r>
          </w:p>
        </w:tc>
        <w:tc>
          <w:tcPr>
            <w:tcW w:w="1115" w:type="dxa"/>
            <w:tcBorders>
              <w:top w:val="nil"/>
              <w:left w:val="nil"/>
              <w:bottom w:val="nil"/>
              <w:right w:val="nil"/>
            </w:tcBorders>
            <w:shd w:val="clear" w:color="auto" w:fill="auto"/>
            <w:vAlign w:val="center"/>
            <w:hideMark/>
          </w:tcPr>
          <w:p w14:paraId="57CCEC89" w14:textId="7D88A19D" w:rsidR="0085456D" w:rsidRPr="00005453" w:rsidRDefault="0085456D" w:rsidP="0085456D">
            <w:pPr>
              <w:jc w:val="right"/>
              <w:rPr>
                <w:sz w:val="18"/>
                <w:szCs w:val="18"/>
                <w:lang w:eastAsia="tr-TR"/>
              </w:rPr>
            </w:pPr>
            <w:r w:rsidRPr="00005453">
              <w:rPr>
                <w:bCs/>
                <w:sz w:val="18"/>
                <w:szCs w:val="18"/>
              </w:rPr>
              <w:t>119,615</w:t>
            </w:r>
          </w:p>
        </w:tc>
      </w:tr>
      <w:tr w:rsidR="0085456D" w:rsidRPr="00005453" w14:paraId="20D4ADE7"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B04E1BD" w14:textId="77777777" w:rsidR="0085456D" w:rsidRPr="00005453" w:rsidRDefault="0085456D" w:rsidP="0085456D">
            <w:pPr>
              <w:jc w:val="both"/>
              <w:rPr>
                <w:sz w:val="18"/>
                <w:szCs w:val="18"/>
                <w:lang w:eastAsia="tr-TR"/>
              </w:rPr>
            </w:pPr>
            <w:r w:rsidRPr="00005453">
              <w:rPr>
                <w:sz w:val="18"/>
                <w:szCs w:val="18"/>
                <w:lang w:eastAsia="tr-TR"/>
              </w:rPr>
              <w:t>Diğer</w:t>
            </w:r>
          </w:p>
        </w:tc>
        <w:tc>
          <w:tcPr>
            <w:tcW w:w="1595" w:type="dxa"/>
            <w:tcBorders>
              <w:top w:val="nil"/>
              <w:left w:val="nil"/>
              <w:bottom w:val="nil"/>
              <w:right w:val="nil"/>
            </w:tcBorders>
            <w:shd w:val="clear" w:color="auto" w:fill="auto"/>
            <w:vAlign w:val="center"/>
            <w:hideMark/>
          </w:tcPr>
          <w:p w14:paraId="4554DEB6" w14:textId="6F88C0ED" w:rsidR="0085456D" w:rsidRPr="00005453" w:rsidRDefault="0085456D" w:rsidP="0085456D">
            <w:pPr>
              <w:jc w:val="right"/>
              <w:rPr>
                <w:sz w:val="18"/>
                <w:szCs w:val="18"/>
                <w:lang w:eastAsia="tr-TR"/>
              </w:rPr>
            </w:pPr>
            <w:r w:rsidRPr="00005453">
              <w:rPr>
                <w:sz w:val="18"/>
                <w:szCs w:val="18"/>
              </w:rPr>
              <w:t>2</w:t>
            </w:r>
          </w:p>
        </w:tc>
        <w:tc>
          <w:tcPr>
            <w:tcW w:w="2075" w:type="dxa"/>
            <w:tcBorders>
              <w:top w:val="nil"/>
              <w:left w:val="nil"/>
              <w:bottom w:val="nil"/>
              <w:right w:val="nil"/>
            </w:tcBorders>
            <w:shd w:val="clear" w:color="auto" w:fill="auto"/>
            <w:vAlign w:val="center"/>
            <w:hideMark/>
          </w:tcPr>
          <w:p w14:paraId="63F0B7CB" w14:textId="735E7E88"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24C7D21F" w14:textId="4537998A" w:rsidR="0085456D" w:rsidRPr="00005453" w:rsidRDefault="0085456D" w:rsidP="0085456D">
            <w:pPr>
              <w:jc w:val="right"/>
              <w:rPr>
                <w:sz w:val="18"/>
                <w:szCs w:val="18"/>
                <w:lang w:eastAsia="tr-TR"/>
              </w:rPr>
            </w:pPr>
            <w:r w:rsidRPr="00005453">
              <w:rPr>
                <w:sz w:val="18"/>
                <w:szCs w:val="18"/>
              </w:rPr>
              <w:t>2</w:t>
            </w:r>
          </w:p>
        </w:tc>
      </w:tr>
      <w:tr w:rsidR="0085456D" w:rsidRPr="00005453" w14:paraId="26B45B0B"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1A204B11" w14:textId="77777777" w:rsidR="0085456D" w:rsidRPr="00005453" w:rsidRDefault="0085456D" w:rsidP="0085456D">
            <w:pPr>
              <w:jc w:val="both"/>
              <w:rPr>
                <w:b/>
                <w:bCs/>
                <w:sz w:val="18"/>
                <w:szCs w:val="18"/>
                <w:lang w:eastAsia="tr-TR"/>
              </w:rPr>
            </w:pPr>
            <w:r w:rsidRPr="00005453">
              <w:rPr>
                <w:b/>
                <w:bCs/>
                <w:sz w:val="18"/>
                <w:szCs w:val="18"/>
                <w:lang w:eastAsia="tr-TR"/>
              </w:rPr>
              <w:t>Personel Kredileri-Dövize Endeksli</w:t>
            </w:r>
          </w:p>
        </w:tc>
        <w:tc>
          <w:tcPr>
            <w:tcW w:w="1595" w:type="dxa"/>
            <w:tcBorders>
              <w:top w:val="nil"/>
              <w:left w:val="nil"/>
              <w:bottom w:val="nil"/>
              <w:right w:val="nil"/>
            </w:tcBorders>
            <w:shd w:val="clear" w:color="auto" w:fill="auto"/>
            <w:vAlign w:val="center"/>
            <w:hideMark/>
          </w:tcPr>
          <w:p w14:paraId="63EC7DFA" w14:textId="7BB8B19E" w:rsidR="0085456D" w:rsidRPr="00005453" w:rsidRDefault="0085456D" w:rsidP="0085456D">
            <w:pPr>
              <w:jc w:val="right"/>
              <w:rPr>
                <w:sz w:val="18"/>
                <w:szCs w:val="18"/>
                <w:lang w:eastAsia="tr-TR"/>
              </w:rPr>
            </w:pPr>
            <w:r w:rsidRPr="00005453">
              <w:rPr>
                <w:b/>
                <w:bCs/>
                <w:sz w:val="18"/>
                <w:szCs w:val="18"/>
              </w:rPr>
              <w:t>-</w:t>
            </w:r>
          </w:p>
        </w:tc>
        <w:tc>
          <w:tcPr>
            <w:tcW w:w="2075" w:type="dxa"/>
            <w:tcBorders>
              <w:top w:val="nil"/>
              <w:left w:val="nil"/>
              <w:bottom w:val="nil"/>
              <w:right w:val="nil"/>
            </w:tcBorders>
            <w:shd w:val="clear" w:color="auto" w:fill="auto"/>
            <w:vAlign w:val="center"/>
            <w:hideMark/>
          </w:tcPr>
          <w:p w14:paraId="02A9BF82" w14:textId="7630EA86" w:rsidR="0085456D" w:rsidRPr="00005453" w:rsidRDefault="0085456D" w:rsidP="0085456D">
            <w:pPr>
              <w:jc w:val="right"/>
              <w:rPr>
                <w:sz w:val="18"/>
                <w:szCs w:val="18"/>
                <w:lang w:eastAsia="tr-TR"/>
              </w:rPr>
            </w:pPr>
            <w:r w:rsidRPr="00005453">
              <w:rPr>
                <w:b/>
                <w:bCs/>
                <w:sz w:val="18"/>
                <w:szCs w:val="18"/>
              </w:rPr>
              <w:t>-</w:t>
            </w:r>
          </w:p>
        </w:tc>
        <w:tc>
          <w:tcPr>
            <w:tcW w:w="1115" w:type="dxa"/>
            <w:tcBorders>
              <w:top w:val="nil"/>
              <w:left w:val="nil"/>
              <w:bottom w:val="nil"/>
              <w:right w:val="nil"/>
            </w:tcBorders>
            <w:shd w:val="clear" w:color="auto" w:fill="auto"/>
            <w:vAlign w:val="center"/>
            <w:hideMark/>
          </w:tcPr>
          <w:p w14:paraId="45248FFB" w14:textId="5ED32828" w:rsidR="0085456D" w:rsidRPr="00005453" w:rsidRDefault="0085456D" w:rsidP="0085456D">
            <w:pPr>
              <w:jc w:val="right"/>
              <w:rPr>
                <w:sz w:val="18"/>
                <w:szCs w:val="18"/>
                <w:lang w:eastAsia="tr-TR"/>
              </w:rPr>
            </w:pPr>
            <w:r w:rsidRPr="00005453">
              <w:rPr>
                <w:b/>
                <w:bCs/>
                <w:sz w:val="18"/>
                <w:szCs w:val="18"/>
              </w:rPr>
              <w:t>-</w:t>
            </w:r>
          </w:p>
        </w:tc>
      </w:tr>
      <w:tr w:rsidR="0085456D" w:rsidRPr="00005453" w14:paraId="29509105"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70156AB8" w14:textId="77777777" w:rsidR="0085456D" w:rsidRPr="00005453" w:rsidRDefault="0085456D" w:rsidP="0085456D">
            <w:pPr>
              <w:jc w:val="both"/>
              <w:rPr>
                <w:sz w:val="18"/>
                <w:szCs w:val="18"/>
                <w:lang w:eastAsia="tr-TR"/>
              </w:rPr>
            </w:pPr>
            <w:r w:rsidRPr="00005453">
              <w:rPr>
                <w:sz w:val="18"/>
                <w:szCs w:val="18"/>
                <w:lang w:eastAsia="tr-TR"/>
              </w:rPr>
              <w:t>Konut Kredisi</w:t>
            </w:r>
          </w:p>
        </w:tc>
        <w:tc>
          <w:tcPr>
            <w:tcW w:w="1595" w:type="dxa"/>
            <w:tcBorders>
              <w:top w:val="nil"/>
              <w:left w:val="nil"/>
              <w:bottom w:val="nil"/>
              <w:right w:val="nil"/>
            </w:tcBorders>
            <w:shd w:val="clear" w:color="auto" w:fill="auto"/>
            <w:vAlign w:val="center"/>
            <w:hideMark/>
          </w:tcPr>
          <w:p w14:paraId="00ABF7C1" w14:textId="6FE270D3"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604C5199" w14:textId="2D09737C"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6AE3340C" w14:textId="421244B7" w:rsidR="0085456D" w:rsidRPr="00005453" w:rsidRDefault="0085456D" w:rsidP="0085456D">
            <w:pPr>
              <w:jc w:val="right"/>
              <w:rPr>
                <w:sz w:val="18"/>
                <w:szCs w:val="18"/>
                <w:lang w:eastAsia="tr-TR"/>
              </w:rPr>
            </w:pPr>
            <w:r w:rsidRPr="00005453">
              <w:rPr>
                <w:bCs/>
                <w:sz w:val="18"/>
                <w:szCs w:val="18"/>
              </w:rPr>
              <w:t>-</w:t>
            </w:r>
          </w:p>
        </w:tc>
      </w:tr>
      <w:tr w:rsidR="0085456D" w:rsidRPr="00005453" w14:paraId="6DAED171"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12D82C95" w14:textId="77777777" w:rsidR="0085456D" w:rsidRPr="00005453" w:rsidRDefault="0085456D" w:rsidP="0085456D">
            <w:pPr>
              <w:jc w:val="both"/>
              <w:rPr>
                <w:sz w:val="18"/>
                <w:szCs w:val="18"/>
                <w:lang w:eastAsia="tr-TR"/>
              </w:rPr>
            </w:pPr>
            <w:r w:rsidRPr="00005453">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A3319B6" w14:textId="0D33BBBF"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656E1CD4" w14:textId="30991AFB"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4C54D651" w14:textId="10C7B91B" w:rsidR="0085456D" w:rsidRPr="00005453" w:rsidRDefault="0085456D" w:rsidP="0085456D">
            <w:pPr>
              <w:jc w:val="right"/>
              <w:rPr>
                <w:sz w:val="18"/>
                <w:szCs w:val="18"/>
                <w:lang w:eastAsia="tr-TR"/>
              </w:rPr>
            </w:pPr>
            <w:r w:rsidRPr="00005453">
              <w:rPr>
                <w:bCs/>
                <w:sz w:val="18"/>
                <w:szCs w:val="18"/>
              </w:rPr>
              <w:t>-</w:t>
            </w:r>
          </w:p>
        </w:tc>
      </w:tr>
      <w:tr w:rsidR="0085456D" w:rsidRPr="00005453" w14:paraId="02B34B23"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66A5CB18" w14:textId="77777777" w:rsidR="0085456D" w:rsidRPr="00005453" w:rsidRDefault="0085456D" w:rsidP="0085456D">
            <w:pPr>
              <w:jc w:val="both"/>
              <w:rPr>
                <w:sz w:val="18"/>
                <w:szCs w:val="18"/>
                <w:lang w:eastAsia="tr-TR"/>
              </w:rPr>
            </w:pPr>
            <w:r w:rsidRPr="00005453">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16D390E" w14:textId="13346E79"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56327FB0" w14:textId="6385FC0C"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6A596637" w14:textId="3234FE93" w:rsidR="0085456D" w:rsidRPr="00005453" w:rsidRDefault="0085456D" w:rsidP="0085456D">
            <w:pPr>
              <w:jc w:val="right"/>
              <w:rPr>
                <w:sz w:val="18"/>
                <w:szCs w:val="18"/>
                <w:lang w:eastAsia="tr-TR"/>
              </w:rPr>
            </w:pPr>
            <w:r w:rsidRPr="00005453">
              <w:rPr>
                <w:bCs/>
                <w:sz w:val="18"/>
                <w:szCs w:val="18"/>
              </w:rPr>
              <w:t>-</w:t>
            </w:r>
          </w:p>
        </w:tc>
      </w:tr>
      <w:tr w:rsidR="0085456D" w:rsidRPr="00005453" w14:paraId="09175443"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3563A8F" w14:textId="77777777" w:rsidR="0085456D" w:rsidRPr="00005453" w:rsidRDefault="0085456D" w:rsidP="0085456D">
            <w:pPr>
              <w:jc w:val="both"/>
              <w:rPr>
                <w:sz w:val="18"/>
                <w:szCs w:val="18"/>
                <w:lang w:eastAsia="tr-TR"/>
              </w:rPr>
            </w:pPr>
            <w:r w:rsidRPr="00005453">
              <w:rPr>
                <w:sz w:val="18"/>
                <w:szCs w:val="18"/>
                <w:lang w:eastAsia="tr-TR"/>
              </w:rPr>
              <w:t>Diğer</w:t>
            </w:r>
          </w:p>
        </w:tc>
        <w:tc>
          <w:tcPr>
            <w:tcW w:w="1595" w:type="dxa"/>
            <w:tcBorders>
              <w:top w:val="nil"/>
              <w:left w:val="nil"/>
              <w:bottom w:val="nil"/>
              <w:right w:val="nil"/>
            </w:tcBorders>
            <w:shd w:val="clear" w:color="auto" w:fill="auto"/>
            <w:vAlign w:val="center"/>
            <w:hideMark/>
          </w:tcPr>
          <w:p w14:paraId="0E114650" w14:textId="319F8351" w:rsidR="0085456D" w:rsidRPr="00005453" w:rsidRDefault="0085456D" w:rsidP="0085456D">
            <w:pPr>
              <w:jc w:val="right"/>
              <w:rPr>
                <w:sz w:val="18"/>
                <w:szCs w:val="18"/>
                <w:lang w:eastAsia="tr-TR"/>
              </w:rPr>
            </w:pPr>
            <w:r w:rsidRPr="00005453">
              <w:rPr>
                <w:sz w:val="18"/>
                <w:szCs w:val="18"/>
              </w:rPr>
              <w:t>-</w:t>
            </w:r>
          </w:p>
        </w:tc>
        <w:tc>
          <w:tcPr>
            <w:tcW w:w="2075" w:type="dxa"/>
            <w:tcBorders>
              <w:top w:val="nil"/>
              <w:left w:val="nil"/>
              <w:bottom w:val="nil"/>
              <w:right w:val="nil"/>
            </w:tcBorders>
            <w:shd w:val="clear" w:color="auto" w:fill="auto"/>
            <w:vAlign w:val="center"/>
            <w:hideMark/>
          </w:tcPr>
          <w:p w14:paraId="47C324AF" w14:textId="1E54D5E5" w:rsidR="0085456D" w:rsidRPr="00005453" w:rsidRDefault="0085456D" w:rsidP="0085456D">
            <w:pPr>
              <w:jc w:val="right"/>
              <w:rPr>
                <w:sz w:val="18"/>
                <w:szCs w:val="18"/>
                <w:lang w:eastAsia="tr-TR"/>
              </w:rPr>
            </w:pPr>
            <w:r w:rsidRPr="00005453">
              <w:rPr>
                <w:sz w:val="18"/>
                <w:szCs w:val="18"/>
              </w:rPr>
              <w:t>-</w:t>
            </w:r>
          </w:p>
        </w:tc>
        <w:tc>
          <w:tcPr>
            <w:tcW w:w="1115" w:type="dxa"/>
            <w:tcBorders>
              <w:top w:val="nil"/>
              <w:left w:val="nil"/>
              <w:bottom w:val="nil"/>
              <w:right w:val="nil"/>
            </w:tcBorders>
            <w:shd w:val="clear" w:color="auto" w:fill="auto"/>
            <w:vAlign w:val="center"/>
            <w:hideMark/>
          </w:tcPr>
          <w:p w14:paraId="24631B34" w14:textId="57BCA898" w:rsidR="0085456D" w:rsidRPr="00005453" w:rsidRDefault="0085456D" w:rsidP="0085456D">
            <w:pPr>
              <w:jc w:val="right"/>
              <w:rPr>
                <w:sz w:val="18"/>
                <w:szCs w:val="18"/>
                <w:lang w:eastAsia="tr-TR"/>
              </w:rPr>
            </w:pPr>
            <w:r w:rsidRPr="00005453">
              <w:rPr>
                <w:bCs/>
                <w:sz w:val="18"/>
                <w:szCs w:val="18"/>
              </w:rPr>
              <w:t>-</w:t>
            </w:r>
          </w:p>
        </w:tc>
      </w:tr>
      <w:tr w:rsidR="0085456D" w:rsidRPr="00005453" w14:paraId="5D63A86B"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F0854EC" w14:textId="77777777" w:rsidR="0085456D" w:rsidRPr="00005453" w:rsidRDefault="0085456D" w:rsidP="0085456D">
            <w:pPr>
              <w:jc w:val="both"/>
              <w:rPr>
                <w:b/>
                <w:bCs/>
                <w:sz w:val="18"/>
                <w:szCs w:val="18"/>
                <w:lang w:eastAsia="tr-TR"/>
              </w:rPr>
            </w:pPr>
            <w:r w:rsidRPr="00005453">
              <w:rPr>
                <w:b/>
                <w:bCs/>
                <w:sz w:val="18"/>
                <w:szCs w:val="18"/>
                <w:lang w:eastAsia="tr-TR"/>
              </w:rPr>
              <w:t>Personel Kredileri-YP</w:t>
            </w:r>
          </w:p>
        </w:tc>
        <w:tc>
          <w:tcPr>
            <w:tcW w:w="1595" w:type="dxa"/>
            <w:tcBorders>
              <w:top w:val="nil"/>
              <w:left w:val="nil"/>
              <w:bottom w:val="nil"/>
              <w:right w:val="nil"/>
            </w:tcBorders>
            <w:shd w:val="clear" w:color="auto" w:fill="auto"/>
            <w:vAlign w:val="center"/>
            <w:hideMark/>
          </w:tcPr>
          <w:p w14:paraId="5DAEBF9E" w14:textId="47C8CB2F" w:rsidR="0085456D" w:rsidRPr="00005453" w:rsidRDefault="0085456D" w:rsidP="0085456D">
            <w:pPr>
              <w:jc w:val="right"/>
              <w:rPr>
                <w:sz w:val="18"/>
                <w:szCs w:val="18"/>
                <w:lang w:eastAsia="tr-TR"/>
              </w:rPr>
            </w:pPr>
            <w:r w:rsidRPr="00005453">
              <w:rPr>
                <w:b/>
                <w:bCs/>
                <w:sz w:val="18"/>
                <w:szCs w:val="18"/>
              </w:rPr>
              <w:t>-</w:t>
            </w:r>
          </w:p>
        </w:tc>
        <w:tc>
          <w:tcPr>
            <w:tcW w:w="2075" w:type="dxa"/>
            <w:tcBorders>
              <w:top w:val="nil"/>
              <w:left w:val="nil"/>
              <w:bottom w:val="nil"/>
              <w:right w:val="nil"/>
            </w:tcBorders>
            <w:shd w:val="clear" w:color="auto" w:fill="auto"/>
            <w:vAlign w:val="center"/>
            <w:hideMark/>
          </w:tcPr>
          <w:p w14:paraId="13FA0118" w14:textId="76AB03F3" w:rsidR="0085456D" w:rsidRPr="00005453" w:rsidRDefault="0085456D" w:rsidP="0085456D">
            <w:pPr>
              <w:jc w:val="right"/>
              <w:rPr>
                <w:sz w:val="18"/>
                <w:szCs w:val="18"/>
                <w:lang w:eastAsia="tr-TR"/>
              </w:rPr>
            </w:pPr>
            <w:r w:rsidRPr="00005453">
              <w:rPr>
                <w:b/>
                <w:bCs/>
                <w:sz w:val="18"/>
                <w:szCs w:val="18"/>
              </w:rPr>
              <w:t>-</w:t>
            </w:r>
          </w:p>
        </w:tc>
        <w:tc>
          <w:tcPr>
            <w:tcW w:w="1115" w:type="dxa"/>
            <w:tcBorders>
              <w:top w:val="nil"/>
              <w:left w:val="nil"/>
              <w:bottom w:val="nil"/>
              <w:right w:val="nil"/>
            </w:tcBorders>
            <w:shd w:val="clear" w:color="auto" w:fill="auto"/>
            <w:vAlign w:val="center"/>
            <w:hideMark/>
          </w:tcPr>
          <w:p w14:paraId="7908B062" w14:textId="7BFAA10C" w:rsidR="0085456D" w:rsidRPr="00005453" w:rsidRDefault="0085456D" w:rsidP="0085456D">
            <w:pPr>
              <w:jc w:val="right"/>
              <w:rPr>
                <w:sz w:val="18"/>
                <w:szCs w:val="18"/>
                <w:lang w:eastAsia="tr-TR"/>
              </w:rPr>
            </w:pPr>
            <w:r w:rsidRPr="00005453">
              <w:rPr>
                <w:b/>
                <w:bCs/>
                <w:sz w:val="18"/>
                <w:szCs w:val="18"/>
              </w:rPr>
              <w:t>-</w:t>
            </w:r>
          </w:p>
        </w:tc>
      </w:tr>
      <w:tr w:rsidR="0085456D" w:rsidRPr="00005453" w14:paraId="7B27FA14"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534104C9" w14:textId="77777777" w:rsidR="0085456D" w:rsidRPr="00005453" w:rsidRDefault="0085456D" w:rsidP="0085456D">
            <w:pPr>
              <w:jc w:val="both"/>
              <w:rPr>
                <w:sz w:val="18"/>
                <w:szCs w:val="18"/>
                <w:lang w:eastAsia="tr-TR"/>
              </w:rPr>
            </w:pPr>
            <w:r w:rsidRPr="00005453">
              <w:rPr>
                <w:sz w:val="18"/>
                <w:szCs w:val="18"/>
                <w:lang w:eastAsia="tr-TR"/>
              </w:rPr>
              <w:t>Konut Kredisi</w:t>
            </w:r>
          </w:p>
        </w:tc>
        <w:tc>
          <w:tcPr>
            <w:tcW w:w="1595" w:type="dxa"/>
            <w:tcBorders>
              <w:top w:val="nil"/>
              <w:left w:val="nil"/>
              <w:bottom w:val="nil"/>
              <w:right w:val="nil"/>
            </w:tcBorders>
            <w:shd w:val="clear" w:color="auto" w:fill="auto"/>
            <w:vAlign w:val="center"/>
            <w:hideMark/>
          </w:tcPr>
          <w:p w14:paraId="00616CCA" w14:textId="3F85B9C9" w:rsidR="0085456D" w:rsidRPr="00005453" w:rsidRDefault="00DB1DB4" w:rsidP="0085456D">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349725B9" w14:textId="50017453" w:rsidR="0085456D" w:rsidRPr="00005453" w:rsidRDefault="00DB1DB4" w:rsidP="0085456D">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258F07B9" w14:textId="7F0981A4" w:rsidR="0085456D" w:rsidRPr="00005453" w:rsidRDefault="0085456D" w:rsidP="0085456D">
            <w:pPr>
              <w:jc w:val="right"/>
              <w:rPr>
                <w:sz w:val="18"/>
                <w:szCs w:val="18"/>
                <w:lang w:eastAsia="tr-TR"/>
              </w:rPr>
            </w:pPr>
            <w:r w:rsidRPr="00005453">
              <w:rPr>
                <w:bCs/>
                <w:sz w:val="18"/>
                <w:szCs w:val="18"/>
              </w:rPr>
              <w:t>-</w:t>
            </w:r>
          </w:p>
        </w:tc>
      </w:tr>
      <w:tr w:rsidR="0085456D" w:rsidRPr="00005453" w14:paraId="1693C36E"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47B1C21C" w14:textId="77777777" w:rsidR="0085456D" w:rsidRPr="00005453" w:rsidRDefault="0085456D" w:rsidP="0085456D">
            <w:pPr>
              <w:jc w:val="both"/>
              <w:rPr>
                <w:sz w:val="18"/>
                <w:szCs w:val="18"/>
                <w:lang w:eastAsia="tr-TR"/>
              </w:rPr>
            </w:pPr>
            <w:r w:rsidRPr="00005453">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97074EE" w14:textId="08352B9D" w:rsidR="0085456D" w:rsidRPr="00005453" w:rsidRDefault="00DB1DB4" w:rsidP="0085456D">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3A429040" w14:textId="62D870B0" w:rsidR="0085456D" w:rsidRPr="00005453" w:rsidRDefault="00DB1DB4" w:rsidP="0085456D">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26A4AD29" w14:textId="097A9E89" w:rsidR="0085456D" w:rsidRPr="00005453" w:rsidRDefault="0085456D" w:rsidP="0085456D">
            <w:pPr>
              <w:jc w:val="right"/>
              <w:rPr>
                <w:sz w:val="18"/>
                <w:szCs w:val="18"/>
                <w:lang w:eastAsia="tr-TR"/>
              </w:rPr>
            </w:pPr>
            <w:r w:rsidRPr="00005453">
              <w:rPr>
                <w:bCs/>
                <w:sz w:val="18"/>
                <w:szCs w:val="18"/>
              </w:rPr>
              <w:t>-</w:t>
            </w:r>
          </w:p>
        </w:tc>
      </w:tr>
      <w:tr w:rsidR="0085456D" w:rsidRPr="00005453" w14:paraId="102FEA69"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3DBD1C04" w14:textId="77777777" w:rsidR="0085456D" w:rsidRPr="00005453" w:rsidRDefault="0085456D" w:rsidP="0085456D">
            <w:pPr>
              <w:jc w:val="both"/>
              <w:rPr>
                <w:sz w:val="18"/>
                <w:szCs w:val="18"/>
                <w:lang w:eastAsia="tr-TR"/>
              </w:rPr>
            </w:pPr>
            <w:r w:rsidRPr="00005453">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AE8A31E" w14:textId="64A59659" w:rsidR="0085456D" w:rsidRPr="00005453" w:rsidRDefault="00DB1DB4" w:rsidP="0085456D">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69C66B52" w14:textId="2467F64B" w:rsidR="0085456D" w:rsidRPr="00005453" w:rsidRDefault="00DB1DB4" w:rsidP="0085456D">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7C10162E" w14:textId="37D07F0C" w:rsidR="0085456D" w:rsidRPr="00005453" w:rsidRDefault="0085456D" w:rsidP="0085456D">
            <w:pPr>
              <w:jc w:val="right"/>
              <w:rPr>
                <w:sz w:val="18"/>
                <w:szCs w:val="18"/>
                <w:lang w:eastAsia="tr-TR"/>
              </w:rPr>
            </w:pPr>
            <w:r w:rsidRPr="00005453">
              <w:rPr>
                <w:bCs/>
                <w:sz w:val="18"/>
                <w:szCs w:val="18"/>
              </w:rPr>
              <w:t>-</w:t>
            </w:r>
          </w:p>
        </w:tc>
      </w:tr>
      <w:tr w:rsidR="0085456D" w:rsidRPr="00005453" w14:paraId="77F3D9A6"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19406FD3" w14:textId="77777777" w:rsidR="0085456D" w:rsidRPr="00005453" w:rsidRDefault="0085456D" w:rsidP="0085456D">
            <w:pPr>
              <w:jc w:val="both"/>
              <w:rPr>
                <w:sz w:val="18"/>
                <w:szCs w:val="18"/>
                <w:lang w:eastAsia="tr-TR"/>
              </w:rPr>
            </w:pPr>
            <w:r w:rsidRPr="00005453">
              <w:rPr>
                <w:sz w:val="18"/>
                <w:szCs w:val="18"/>
                <w:lang w:eastAsia="tr-TR"/>
              </w:rPr>
              <w:t>Diğer</w:t>
            </w:r>
          </w:p>
        </w:tc>
        <w:tc>
          <w:tcPr>
            <w:tcW w:w="1595" w:type="dxa"/>
            <w:tcBorders>
              <w:top w:val="nil"/>
              <w:left w:val="nil"/>
              <w:bottom w:val="nil"/>
              <w:right w:val="nil"/>
            </w:tcBorders>
            <w:shd w:val="clear" w:color="auto" w:fill="auto"/>
            <w:vAlign w:val="center"/>
            <w:hideMark/>
          </w:tcPr>
          <w:p w14:paraId="580EB589" w14:textId="616B18DC" w:rsidR="0085456D" w:rsidRPr="00005453" w:rsidRDefault="00DB1DB4" w:rsidP="0085456D">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47573856" w14:textId="4360535E" w:rsidR="0085456D" w:rsidRPr="00005453" w:rsidRDefault="00DB1DB4" w:rsidP="0085456D">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781926D6" w14:textId="0A40A201" w:rsidR="0085456D" w:rsidRPr="00005453" w:rsidRDefault="0085456D" w:rsidP="0085456D">
            <w:pPr>
              <w:jc w:val="right"/>
              <w:rPr>
                <w:sz w:val="18"/>
                <w:szCs w:val="18"/>
                <w:lang w:eastAsia="tr-TR"/>
              </w:rPr>
            </w:pPr>
            <w:r w:rsidRPr="00005453">
              <w:rPr>
                <w:bCs/>
                <w:sz w:val="18"/>
                <w:szCs w:val="18"/>
              </w:rPr>
              <w:t>-</w:t>
            </w:r>
          </w:p>
        </w:tc>
      </w:tr>
      <w:tr w:rsidR="0085456D" w:rsidRPr="00005453" w14:paraId="7373338C"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60F1A386" w14:textId="77777777" w:rsidR="0085456D" w:rsidRPr="00005453" w:rsidRDefault="0085456D" w:rsidP="0085456D">
            <w:pPr>
              <w:jc w:val="both"/>
              <w:rPr>
                <w:b/>
                <w:bCs/>
                <w:sz w:val="18"/>
                <w:szCs w:val="18"/>
                <w:lang w:eastAsia="tr-TR"/>
              </w:rPr>
            </w:pPr>
            <w:r w:rsidRPr="00005453">
              <w:rPr>
                <w:b/>
                <w:bCs/>
                <w:sz w:val="18"/>
                <w:szCs w:val="18"/>
                <w:lang w:eastAsia="tr-TR"/>
              </w:rPr>
              <w:t>Personel Kredi Kartları-TP</w:t>
            </w:r>
          </w:p>
        </w:tc>
        <w:tc>
          <w:tcPr>
            <w:tcW w:w="1595" w:type="dxa"/>
            <w:tcBorders>
              <w:top w:val="nil"/>
              <w:left w:val="nil"/>
              <w:bottom w:val="nil"/>
              <w:right w:val="nil"/>
            </w:tcBorders>
            <w:shd w:val="clear" w:color="auto" w:fill="auto"/>
            <w:vAlign w:val="center"/>
            <w:hideMark/>
          </w:tcPr>
          <w:p w14:paraId="311B2D03" w14:textId="7BFC3307" w:rsidR="0085456D" w:rsidRPr="00005453" w:rsidRDefault="0085456D" w:rsidP="0085456D">
            <w:pPr>
              <w:jc w:val="right"/>
              <w:rPr>
                <w:b/>
                <w:sz w:val="18"/>
                <w:szCs w:val="18"/>
                <w:lang w:eastAsia="tr-TR"/>
              </w:rPr>
            </w:pPr>
            <w:r w:rsidRPr="00005453">
              <w:rPr>
                <w:b/>
                <w:bCs/>
                <w:sz w:val="18"/>
                <w:szCs w:val="18"/>
              </w:rPr>
              <w:t>159,943</w:t>
            </w:r>
          </w:p>
        </w:tc>
        <w:tc>
          <w:tcPr>
            <w:tcW w:w="2075" w:type="dxa"/>
            <w:tcBorders>
              <w:top w:val="nil"/>
              <w:left w:val="nil"/>
              <w:bottom w:val="nil"/>
              <w:right w:val="nil"/>
            </w:tcBorders>
            <w:shd w:val="clear" w:color="auto" w:fill="auto"/>
            <w:vAlign w:val="center"/>
            <w:hideMark/>
          </w:tcPr>
          <w:p w14:paraId="7A9AA40D" w14:textId="1E54C583" w:rsidR="0085456D" w:rsidRPr="00005453" w:rsidRDefault="0085456D" w:rsidP="0085456D">
            <w:pPr>
              <w:jc w:val="right"/>
              <w:rPr>
                <w:b/>
                <w:sz w:val="18"/>
                <w:szCs w:val="18"/>
                <w:lang w:eastAsia="tr-TR"/>
              </w:rPr>
            </w:pPr>
            <w:r w:rsidRPr="00005453">
              <w:rPr>
                <w:b/>
                <w:bCs/>
                <w:sz w:val="18"/>
                <w:szCs w:val="18"/>
              </w:rPr>
              <w:t>2</w:t>
            </w:r>
          </w:p>
        </w:tc>
        <w:tc>
          <w:tcPr>
            <w:tcW w:w="1115" w:type="dxa"/>
            <w:tcBorders>
              <w:top w:val="nil"/>
              <w:left w:val="nil"/>
              <w:bottom w:val="nil"/>
              <w:right w:val="nil"/>
            </w:tcBorders>
            <w:shd w:val="clear" w:color="auto" w:fill="auto"/>
            <w:vAlign w:val="center"/>
            <w:hideMark/>
          </w:tcPr>
          <w:p w14:paraId="1994905E" w14:textId="2773DD6C" w:rsidR="0085456D" w:rsidRPr="00005453" w:rsidRDefault="0085456D" w:rsidP="0085456D">
            <w:pPr>
              <w:jc w:val="right"/>
              <w:rPr>
                <w:b/>
                <w:sz w:val="18"/>
                <w:szCs w:val="18"/>
                <w:lang w:eastAsia="tr-TR"/>
              </w:rPr>
            </w:pPr>
            <w:r w:rsidRPr="00005453">
              <w:rPr>
                <w:b/>
                <w:bCs/>
                <w:sz w:val="18"/>
                <w:szCs w:val="18"/>
              </w:rPr>
              <w:t>159,945</w:t>
            </w:r>
          </w:p>
        </w:tc>
      </w:tr>
      <w:tr w:rsidR="0085456D" w:rsidRPr="00005453" w14:paraId="2AB29BC2"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258D740D" w14:textId="77777777" w:rsidR="0085456D" w:rsidRPr="00005453" w:rsidRDefault="0085456D" w:rsidP="0085456D">
            <w:pPr>
              <w:jc w:val="both"/>
              <w:rPr>
                <w:sz w:val="18"/>
                <w:szCs w:val="18"/>
                <w:lang w:eastAsia="tr-TR"/>
              </w:rPr>
            </w:pPr>
            <w:r w:rsidRPr="00005453">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3EA9E9AB" w14:textId="27C37ABA" w:rsidR="0085456D" w:rsidRPr="00005453" w:rsidRDefault="0085456D" w:rsidP="0085456D">
            <w:pPr>
              <w:jc w:val="right"/>
              <w:rPr>
                <w:sz w:val="18"/>
                <w:szCs w:val="18"/>
                <w:lang w:eastAsia="tr-TR"/>
              </w:rPr>
            </w:pPr>
            <w:r w:rsidRPr="00005453">
              <w:rPr>
                <w:sz w:val="18"/>
                <w:szCs w:val="18"/>
              </w:rPr>
              <w:t>66,931</w:t>
            </w:r>
          </w:p>
        </w:tc>
        <w:tc>
          <w:tcPr>
            <w:tcW w:w="2075" w:type="dxa"/>
            <w:tcBorders>
              <w:top w:val="nil"/>
              <w:left w:val="nil"/>
              <w:bottom w:val="nil"/>
              <w:right w:val="nil"/>
            </w:tcBorders>
            <w:shd w:val="clear" w:color="auto" w:fill="auto"/>
            <w:vAlign w:val="center"/>
            <w:hideMark/>
          </w:tcPr>
          <w:p w14:paraId="177621E3" w14:textId="12104229" w:rsidR="0085456D" w:rsidRPr="00005453" w:rsidRDefault="0085456D" w:rsidP="0085456D">
            <w:pPr>
              <w:jc w:val="right"/>
              <w:rPr>
                <w:sz w:val="18"/>
                <w:szCs w:val="18"/>
                <w:lang w:eastAsia="tr-TR"/>
              </w:rPr>
            </w:pPr>
            <w:r w:rsidRPr="00005453">
              <w:rPr>
                <w:sz w:val="18"/>
                <w:szCs w:val="18"/>
              </w:rPr>
              <w:t>2</w:t>
            </w:r>
          </w:p>
        </w:tc>
        <w:tc>
          <w:tcPr>
            <w:tcW w:w="1115" w:type="dxa"/>
            <w:tcBorders>
              <w:top w:val="nil"/>
              <w:left w:val="nil"/>
              <w:bottom w:val="nil"/>
              <w:right w:val="nil"/>
            </w:tcBorders>
            <w:shd w:val="clear" w:color="auto" w:fill="auto"/>
            <w:vAlign w:val="center"/>
            <w:hideMark/>
          </w:tcPr>
          <w:p w14:paraId="29FEAFFF" w14:textId="28DACB32" w:rsidR="0085456D" w:rsidRPr="00005453" w:rsidRDefault="0085456D" w:rsidP="0085456D">
            <w:pPr>
              <w:jc w:val="right"/>
              <w:rPr>
                <w:sz w:val="18"/>
                <w:szCs w:val="18"/>
                <w:lang w:eastAsia="tr-TR"/>
              </w:rPr>
            </w:pPr>
            <w:r w:rsidRPr="00005453">
              <w:rPr>
                <w:bCs/>
                <w:sz w:val="18"/>
                <w:szCs w:val="18"/>
              </w:rPr>
              <w:t>66,933</w:t>
            </w:r>
          </w:p>
        </w:tc>
      </w:tr>
      <w:tr w:rsidR="0085456D" w:rsidRPr="00005453" w14:paraId="0A91F997" w14:textId="77777777" w:rsidTr="0085456D">
        <w:trPr>
          <w:divId w:val="1520008224"/>
          <w:trHeight w:val="260"/>
        </w:trPr>
        <w:tc>
          <w:tcPr>
            <w:tcW w:w="4410" w:type="dxa"/>
            <w:tcBorders>
              <w:top w:val="nil"/>
              <w:left w:val="nil"/>
              <w:bottom w:val="nil"/>
              <w:right w:val="nil"/>
            </w:tcBorders>
            <w:shd w:val="clear" w:color="auto" w:fill="auto"/>
            <w:vAlign w:val="center"/>
            <w:hideMark/>
          </w:tcPr>
          <w:p w14:paraId="210E3E51" w14:textId="77777777" w:rsidR="0085456D" w:rsidRPr="00005453" w:rsidRDefault="0085456D" w:rsidP="0085456D">
            <w:pPr>
              <w:jc w:val="both"/>
              <w:rPr>
                <w:sz w:val="18"/>
                <w:szCs w:val="18"/>
                <w:lang w:eastAsia="tr-TR"/>
              </w:rPr>
            </w:pPr>
            <w:r w:rsidRPr="00005453">
              <w:rPr>
                <w:sz w:val="18"/>
                <w:szCs w:val="18"/>
                <w:lang w:eastAsia="tr-TR"/>
              </w:rPr>
              <w:t>Taksitsiz</w:t>
            </w:r>
          </w:p>
        </w:tc>
        <w:tc>
          <w:tcPr>
            <w:tcW w:w="1595" w:type="dxa"/>
            <w:tcBorders>
              <w:top w:val="nil"/>
              <w:left w:val="nil"/>
              <w:bottom w:val="nil"/>
              <w:right w:val="nil"/>
            </w:tcBorders>
            <w:shd w:val="clear" w:color="auto" w:fill="auto"/>
            <w:vAlign w:val="center"/>
            <w:hideMark/>
          </w:tcPr>
          <w:p w14:paraId="3A795EED" w14:textId="05E481A7" w:rsidR="0085456D" w:rsidRPr="00005453" w:rsidRDefault="0085456D" w:rsidP="0085456D">
            <w:pPr>
              <w:jc w:val="right"/>
              <w:rPr>
                <w:sz w:val="18"/>
                <w:szCs w:val="18"/>
                <w:lang w:eastAsia="tr-TR"/>
              </w:rPr>
            </w:pPr>
            <w:r w:rsidRPr="00005453">
              <w:rPr>
                <w:sz w:val="18"/>
                <w:szCs w:val="18"/>
              </w:rPr>
              <w:t>93,012</w:t>
            </w:r>
          </w:p>
        </w:tc>
        <w:tc>
          <w:tcPr>
            <w:tcW w:w="2075" w:type="dxa"/>
            <w:tcBorders>
              <w:top w:val="nil"/>
              <w:left w:val="nil"/>
              <w:bottom w:val="nil"/>
              <w:right w:val="nil"/>
            </w:tcBorders>
            <w:shd w:val="clear" w:color="auto" w:fill="auto"/>
            <w:vAlign w:val="center"/>
            <w:hideMark/>
          </w:tcPr>
          <w:p w14:paraId="5D3B7819" w14:textId="24C6EF94" w:rsidR="0085456D" w:rsidRPr="00005453" w:rsidRDefault="0085456D" w:rsidP="0085456D">
            <w:pPr>
              <w:jc w:val="right"/>
              <w:rPr>
                <w:sz w:val="18"/>
                <w:szCs w:val="18"/>
                <w:lang w:eastAsia="tr-TR"/>
              </w:rPr>
            </w:pPr>
            <w:r w:rsidRPr="00005453">
              <w:rPr>
                <w:b/>
                <w:bCs/>
                <w:sz w:val="18"/>
                <w:szCs w:val="18"/>
              </w:rPr>
              <w:t>-</w:t>
            </w:r>
          </w:p>
        </w:tc>
        <w:tc>
          <w:tcPr>
            <w:tcW w:w="1115" w:type="dxa"/>
            <w:tcBorders>
              <w:top w:val="nil"/>
              <w:left w:val="nil"/>
              <w:bottom w:val="nil"/>
              <w:right w:val="nil"/>
            </w:tcBorders>
            <w:shd w:val="clear" w:color="auto" w:fill="auto"/>
            <w:vAlign w:val="center"/>
            <w:hideMark/>
          </w:tcPr>
          <w:p w14:paraId="4D7B344B" w14:textId="38F6C4B5" w:rsidR="0085456D" w:rsidRPr="00005453" w:rsidRDefault="0085456D" w:rsidP="0085456D">
            <w:pPr>
              <w:jc w:val="right"/>
              <w:rPr>
                <w:sz w:val="18"/>
                <w:szCs w:val="18"/>
                <w:lang w:eastAsia="tr-TR"/>
              </w:rPr>
            </w:pPr>
            <w:r w:rsidRPr="00005453">
              <w:rPr>
                <w:bCs/>
                <w:sz w:val="18"/>
                <w:szCs w:val="18"/>
              </w:rPr>
              <w:t>93,012</w:t>
            </w:r>
          </w:p>
        </w:tc>
      </w:tr>
      <w:tr w:rsidR="00297765" w:rsidRPr="00005453" w14:paraId="71DC563E"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1D20CF41" w14:textId="77777777" w:rsidR="00297765" w:rsidRPr="00005453" w:rsidRDefault="00297765" w:rsidP="00297765">
            <w:pPr>
              <w:jc w:val="both"/>
              <w:rPr>
                <w:b/>
                <w:bCs/>
                <w:sz w:val="18"/>
                <w:szCs w:val="18"/>
                <w:lang w:eastAsia="tr-TR"/>
              </w:rPr>
            </w:pPr>
            <w:r w:rsidRPr="00005453">
              <w:rPr>
                <w:b/>
                <w:bCs/>
                <w:sz w:val="18"/>
                <w:szCs w:val="18"/>
                <w:lang w:eastAsia="tr-TR"/>
              </w:rPr>
              <w:t>Personel Kredi Kartları-YP</w:t>
            </w:r>
          </w:p>
        </w:tc>
        <w:tc>
          <w:tcPr>
            <w:tcW w:w="1595" w:type="dxa"/>
            <w:tcBorders>
              <w:top w:val="nil"/>
              <w:left w:val="nil"/>
              <w:bottom w:val="nil"/>
              <w:right w:val="nil"/>
            </w:tcBorders>
            <w:shd w:val="clear" w:color="auto" w:fill="auto"/>
            <w:vAlign w:val="center"/>
            <w:hideMark/>
          </w:tcPr>
          <w:p w14:paraId="0EBBA956" w14:textId="77777777" w:rsidR="00297765" w:rsidRPr="00005453" w:rsidRDefault="00297765" w:rsidP="00297765">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505C0EF9" w14:textId="77777777" w:rsidR="00297765" w:rsidRPr="00005453" w:rsidRDefault="00297765" w:rsidP="00297765">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76B75247" w14:textId="77777777" w:rsidR="00297765" w:rsidRPr="00005453" w:rsidRDefault="00297765" w:rsidP="00297765">
            <w:pPr>
              <w:jc w:val="right"/>
              <w:rPr>
                <w:sz w:val="18"/>
                <w:szCs w:val="18"/>
                <w:lang w:eastAsia="tr-TR"/>
              </w:rPr>
            </w:pPr>
            <w:r w:rsidRPr="00005453">
              <w:rPr>
                <w:sz w:val="18"/>
                <w:szCs w:val="18"/>
                <w:lang w:eastAsia="tr-TR"/>
              </w:rPr>
              <w:t>-</w:t>
            </w:r>
          </w:p>
        </w:tc>
      </w:tr>
      <w:tr w:rsidR="00297765" w:rsidRPr="00005453" w14:paraId="1379F36C"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CE56A75" w14:textId="77777777" w:rsidR="00297765" w:rsidRPr="00005453" w:rsidRDefault="00297765" w:rsidP="00297765">
            <w:pPr>
              <w:jc w:val="both"/>
              <w:rPr>
                <w:sz w:val="18"/>
                <w:szCs w:val="18"/>
                <w:lang w:eastAsia="tr-TR"/>
              </w:rPr>
            </w:pPr>
            <w:r w:rsidRPr="00005453">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7831CD90" w14:textId="77777777" w:rsidR="00297765" w:rsidRPr="00005453" w:rsidRDefault="00297765" w:rsidP="00297765">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29A7FCF5" w14:textId="77777777" w:rsidR="00297765" w:rsidRPr="00005453" w:rsidRDefault="00297765" w:rsidP="00297765">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2CA00F5B" w14:textId="77777777" w:rsidR="00297765" w:rsidRPr="00005453" w:rsidRDefault="00297765" w:rsidP="00297765">
            <w:pPr>
              <w:jc w:val="right"/>
              <w:rPr>
                <w:sz w:val="18"/>
                <w:szCs w:val="18"/>
                <w:lang w:eastAsia="tr-TR"/>
              </w:rPr>
            </w:pPr>
            <w:r w:rsidRPr="00005453">
              <w:rPr>
                <w:sz w:val="18"/>
                <w:szCs w:val="18"/>
                <w:lang w:eastAsia="tr-TR"/>
              </w:rPr>
              <w:t>-</w:t>
            </w:r>
          </w:p>
        </w:tc>
      </w:tr>
      <w:tr w:rsidR="00297765" w:rsidRPr="00005453" w14:paraId="30863D8A"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87C3626" w14:textId="77777777" w:rsidR="00297765" w:rsidRPr="00005453" w:rsidRDefault="00297765" w:rsidP="00297765">
            <w:pPr>
              <w:jc w:val="both"/>
              <w:rPr>
                <w:sz w:val="18"/>
                <w:szCs w:val="18"/>
                <w:lang w:eastAsia="tr-TR"/>
              </w:rPr>
            </w:pPr>
            <w:r w:rsidRPr="00005453">
              <w:rPr>
                <w:sz w:val="18"/>
                <w:szCs w:val="18"/>
                <w:lang w:eastAsia="tr-TR"/>
              </w:rPr>
              <w:t>Taksitsiz</w:t>
            </w:r>
          </w:p>
        </w:tc>
        <w:tc>
          <w:tcPr>
            <w:tcW w:w="1595" w:type="dxa"/>
            <w:tcBorders>
              <w:top w:val="nil"/>
              <w:left w:val="nil"/>
              <w:bottom w:val="nil"/>
              <w:right w:val="nil"/>
            </w:tcBorders>
            <w:shd w:val="clear" w:color="auto" w:fill="auto"/>
            <w:vAlign w:val="center"/>
            <w:hideMark/>
          </w:tcPr>
          <w:p w14:paraId="60362752" w14:textId="77777777" w:rsidR="00297765" w:rsidRPr="00005453" w:rsidRDefault="00297765" w:rsidP="00297765">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188F54A0" w14:textId="77777777" w:rsidR="00297765" w:rsidRPr="00005453" w:rsidRDefault="00297765" w:rsidP="00297765">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4DAE3DD0" w14:textId="77777777" w:rsidR="00297765" w:rsidRPr="00005453" w:rsidRDefault="00297765" w:rsidP="00297765">
            <w:pPr>
              <w:jc w:val="right"/>
              <w:rPr>
                <w:sz w:val="18"/>
                <w:szCs w:val="18"/>
                <w:lang w:eastAsia="tr-TR"/>
              </w:rPr>
            </w:pPr>
            <w:r w:rsidRPr="00005453">
              <w:rPr>
                <w:sz w:val="18"/>
                <w:szCs w:val="18"/>
                <w:lang w:eastAsia="tr-TR"/>
              </w:rPr>
              <w:t>-</w:t>
            </w:r>
          </w:p>
        </w:tc>
      </w:tr>
      <w:tr w:rsidR="00297765" w:rsidRPr="00005453" w14:paraId="255B597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8F39CF8" w14:textId="77777777" w:rsidR="00297765" w:rsidRPr="00005453" w:rsidRDefault="00297765" w:rsidP="00297765">
            <w:pPr>
              <w:jc w:val="both"/>
              <w:rPr>
                <w:b/>
                <w:bCs/>
                <w:sz w:val="18"/>
                <w:szCs w:val="18"/>
                <w:lang w:eastAsia="tr-TR"/>
              </w:rPr>
            </w:pPr>
            <w:r w:rsidRPr="00005453">
              <w:rPr>
                <w:b/>
                <w:bCs/>
                <w:sz w:val="18"/>
                <w:szCs w:val="18"/>
                <w:lang w:eastAsia="tr-TR"/>
              </w:rPr>
              <w:t>Kredili Mevduat Hesabı-TP (Gerçek Kişi)</w:t>
            </w:r>
          </w:p>
        </w:tc>
        <w:tc>
          <w:tcPr>
            <w:tcW w:w="1595" w:type="dxa"/>
            <w:tcBorders>
              <w:top w:val="nil"/>
              <w:left w:val="nil"/>
              <w:bottom w:val="nil"/>
              <w:right w:val="nil"/>
            </w:tcBorders>
            <w:shd w:val="clear" w:color="auto" w:fill="auto"/>
            <w:vAlign w:val="center"/>
            <w:hideMark/>
          </w:tcPr>
          <w:p w14:paraId="24D994A9" w14:textId="77777777" w:rsidR="00297765" w:rsidRPr="00005453" w:rsidRDefault="00297765" w:rsidP="00297765">
            <w:pPr>
              <w:jc w:val="right"/>
              <w:rPr>
                <w:sz w:val="18"/>
                <w:szCs w:val="18"/>
                <w:lang w:eastAsia="tr-TR"/>
              </w:rPr>
            </w:pPr>
            <w:r w:rsidRPr="00005453">
              <w:rPr>
                <w:sz w:val="18"/>
                <w:szCs w:val="18"/>
                <w:lang w:eastAsia="tr-TR"/>
              </w:rPr>
              <w:t>-</w:t>
            </w:r>
          </w:p>
        </w:tc>
        <w:tc>
          <w:tcPr>
            <w:tcW w:w="2075" w:type="dxa"/>
            <w:tcBorders>
              <w:top w:val="nil"/>
              <w:left w:val="nil"/>
              <w:bottom w:val="nil"/>
              <w:right w:val="nil"/>
            </w:tcBorders>
            <w:shd w:val="clear" w:color="auto" w:fill="auto"/>
            <w:vAlign w:val="center"/>
            <w:hideMark/>
          </w:tcPr>
          <w:p w14:paraId="4A28E492" w14:textId="77777777" w:rsidR="00297765" w:rsidRPr="00005453" w:rsidRDefault="00297765" w:rsidP="00297765">
            <w:pPr>
              <w:jc w:val="right"/>
              <w:rPr>
                <w:sz w:val="18"/>
                <w:szCs w:val="18"/>
                <w:lang w:eastAsia="tr-TR"/>
              </w:rPr>
            </w:pPr>
            <w:r w:rsidRPr="00005453">
              <w:rPr>
                <w:sz w:val="18"/>
                <w:szCs w:val="18"/>
                <w:lang w:eastAsia="tr-TR"/>
              </w:rPr>
              <w:t>-</w:t>
            </w:r>
          </w:p>
        </w:tc>
        <w:tc>
          <w:tcPr>
            <w:tcW w:w="1115" w:type="dxa"/>
            <w:tcBorders>
              <w:top w:val="nil"/>
              <w:left w:val="nil"/>
              <w:bottom w:val="nil"/>
              <w:right w:val="nil"/>
            </w:tcBorders>
            <w:shd w:val="clear" w:color="auto" w:fill="auto"/>
            <w:vAlign w:val="center"/>
            <w:hideMark/>
          </w:tcPr>
          <w:p w14:paraId="1DD59254" w14:textId="77777777" w:rsidR="00297765" w:rsidRPr="00005453" w:rsidRDefault="00297765" w:rsidP="00297765">
            <w:pPr>
              <w:jc w:val="right"/>
              <w:rPr>
                <w:sz w:val="18"/>
                <w:szCs w:val="18"/>
                <w:lang w:eastAsia="tr-TR"/>
              </w:rPr>
            </w:pPr>
            <w:r w:rsidRPr="00005453">
              <w:rPr>
                <w:sz w:val="18"/>
                <w:szCs w:val="18"/>
                <w:lang w:eastAsia="tr-TR"/>
              </w:rPr>
              <w:t>-</w:t>
            </w:r>
          </w:p>
        </w:tc>
      </w:tr>
      <w:tr w:rsidR="00297765" w:rsidRPr="00005453" w14:paraId="3E645353" w14:textId="77777777" w:rsidTr="00FD5D84">
        <w:trPr>
          <w:divId w:val="1520008224"/>
          <w:trHeight w:val="277"/>
        </w:trPr>
        <w:tc>
          <w:tcPr>
            <w:tcW w:w="4410" w:type="dxa"/>
            <w:tcBorders>
              <w:top w:val="nil"/>
              <w:left w:val="nil"/>
              <w:bottom w:val="single" w:sz="8" w:space="0" w:color="auto"/>
              <w:right w:val="nil"/>
            </w:tcBorders>
            <w:shd w:val="clear" w:color="auto" w:fill="auto"/>
            <w:vAlign w:val="center"/>
            <w:hideMark/>
          </w:tcPr>
          <w:p w14:paraId="3C83DF81" w14:textId="77777777" w:rsidR="00297765" w:rsidRPr="00005453" w:rsidRDefault="00297765" w:rsidP="00297765">
            <w:pPr>
              <w:jc w:val="both"/>
              <w:rPr>
                <w:b/>
                <w:bCs/>
                <w:sz w:val="18"/>
                <w:szCs w:val="18"/>
                <w:lang w:eastAsia="tr-TR"/>
              </w:rPr>
            </w:pPr>
            <w:r w:rsidRPr="00005453">
              <w:rPr>
                <w:b/>
                <w:bCs/>
                <w:sz w:val="18"/>
                <w:szCs w:val="18"/>
                <w:lang w:eastAsia="tr-TR"/>
              </w:rPr>
              <w:t>Kredili Mevduat Hesabı-YP (Gerçek Kişi)</w:t>
            </w:r>
          </w:p>
        </w:tc>
        <w:tc>
          <w:tcPr>
            <w:tcW w:w="1595" w:type="dxa"/>
            <w:tcBorders>
              <w:top w:val="nil"/>
              <w:left w:val="nil"/>
              <w:bottom w:val="single" w:sz="8" w:space="0" w:color="auto"/>
              <w:right w:val="nil"/>
            </w:tcBorders>
            <w:shd w:val="clear" w:color="auto" w:fill="auto"/>
            <w:vAlign w:val="center"/>
            <w:hideMark/>
          </w:tcPr>
          <w:p w14:paraId="2A223753" w14:textId="77777777" w:rsidR="00297765" w:rsidRPr="00005453" w:rsidRDefault="00297765" w:rsidP="00297765">
            <w:pPr>
              <w:jc w:val="right"/>
              <w:rPr>
                <w:sz w:val="18"/>
                <w:szCs w:val="18"/>
                <w:lang w:eastAsia="tr-TR"/>
              </w:rPr>
            </w:pPr>
            <w:r w:rsidRPr="00005453">
              <w:rPr>
                <w:sz w:val="18"/>
                <w:szCs w:val="18"/>
                <w:lang w:eastAsia="tr-TR"/>
              </w:rPr>
              <w:t>-</w:t>
            </w:r>
          </w:p>
        </w:tc>
        <w:tc>
          <w:tcPr>
            <w:tcW w:w="2075" w:type="dxa"/>
            <w:tcBorders>
              <w:top w:val="nil"/>
              <w:left w:val="nil"/>
              <w:bottom w:val="single" w:sz="8" w:space="0" w:color="auto"/>
              <w:right w:val="nil"/>
            </w:tcBorders>
            <w:shd w:val="clear" w:color="auto" w:fill="auto"/>
            <w:vAlign w:val="center"/>
            <w:hideMark/>
          </w:tcPr>
          <w:p w14:paraId="7DB12E5C" w14:textId="77777777" w:rsidR="00297765" w:rsidRPr="00005453" w:rsidRDefault="00297765" w:rsidP="00297765">
            <w:pPr>
              <w:jc w:val="right"/>
              <w:rPr>
                <w:sz w:val="18"/>
                <w:szCs w:val="18"/>
                <w:lang w:eastAsia="tr-TR"/>
              </w:rPr>
            </w:pPr>
            <w:r w:rsidRPr="00005453">
              <w:rPr>
                <w:sz w:val="18"/>
                <w:szCs w:val="18"/>
                <w:lang w:eastAsia="tr-TR"/>
              </w:rPr>
              <w:t>-</w:t>
            </w:r>
          </w:p>
        </w:tc>
        <w:tc>
          <w:tcPr>
            <w:tcW w:w="1115" w:type="dxa"/>
            <w:tcBorders>
              <w:top w:val="nil"/>
              <w:left w:val="nil"/>
              <w:bottom w:val="single" w:sz="8" w:space="0" w:color="auto"/>
              <w:right w:val="nil"/>
            </w:tcBorders>
            <w:shd w:val="clear" w:color="auto" w:fill="auto"/>
            <w:vAlign w:val="center"/>
            <w:hideMark/>
          </w:tcPr>
          <w:p w14:paraId="114C7D01" w14:textId="77777777" w:rsidR="00297765" w:rsidRPr="00005453" w:rsidRDefault="00297765" w:rsidP="00297765">
            <w:pPr>
              <w:jc w:val="right"/>
              <w:rPr>
                <w:sz w:val="18"/>
                <w:szCs w:val="18"/>
                <w:lang w:eastAsia="tr-TR"/>
              </w:rPr>
            </w:pPr>
            <w:r w:rsidRPr="00005453">
              <w:rPr>
                <w:sz w:val="18"/>
                <w:szCs w:val="18"/>
                <w:lang w:eastAsia="tr-TR"/>
              </w:rPr>
              <w:t>-</w:t>
            </w:r>
          </w:p>
        </w:tc>
      </w:tr>
      <w:tr w:rsidR="0085456D" w:rsidRPr="00005453" w14:paraId="7E473976" w14:textId="77777777" w:rsidTr="0085456D">
        <w:trPr>
          <w:divId w:val="1520008224"/>
          <w:trHeight w:val="277"/>
        </w:trPr>
        <w:tc>
          <w:tcPr>
            <w:tcW w:w="4410" w:type="dxa"/>
            <w:tcBorders>
              <w:top w:val="nil"/>
              <w:left w:val="nil"/>
              <w:bottom w:val="double" w:sz="6" w:space="0" w:color="auto"/>
              <w:right w:val="nil"/>
            </w:tcBorders>
            <w:shd w:val="clear" w:color="auto" w:fill="auto"/>
            <w:vAlign w:val="center"/>
            <w:hideMark/>
          </w:tcPr>
          <w:p w14:paraId="29DD6754" w14:textId="77777777" w:rsidR="0085456D" w:rsidRPr="00005453" w:rsidRDefault="0085456D" w:rsidP="0085456D">
            <w:pPr>
              <w:jc w:val="both"/>
              <w:rPr>
                <w:b/>
                <w:bCs/>
                <w:sz w:val="18"/>
                <w:szCs w:val="18"/>
                <w:lang w:eastAsia="tr-TR"/>
              </w:rPr>
            </w:pPr>
            <w:r w:rsidRPr="00005453">
              <w:rPr>
                <w:b/>
                <w:bCs/>
                <w:sz w:val="18"/>
                <w:szCs w:val="18"/>
                <w:lang w:eastAsia="tr-TR"/>
              </w:rPr>
              <w:t>Toplam</w:t>
            </w:r>
          </w:p>
        </w:tc>
        <w:tc>
          <w:tcPr>
            <w:tcW w:w="1595" w:type="dxa"/>
            <w:tcBorders>
              <w:top w:val="nil"/>
              <w:left w:val="nil"/>
              <w:bottom w:val="double" w:sz="6" w:space="0" w:color="auto"/>
              <w:right w:val="nil"/>
            </w:tcBorders>
            <w:shd w:val="clear" w:color="auto" w:fill="auto"/>
            <w:vAlign w:val="center"/>
            <w:hideMark/>
          </w:tcPr>
          <w:p w14:paraId="2DD1C2A1" w14:textId="5A5806FF" w:rsidR="0085456D" w:rsidRPr="00005453" w:rsidRDefault="0085456D" w:rsidP="0085456D">
            <w:pPr>
              <w:jc w:val="right"/>
              <w:rPr>
                <w:b/>
                <w:bCs/>
                <w:sz w:val="18"/>
                <w:szCs w:val="18"/>
                <w:lang w:eastAsia="tr-TR"/>
              </w:rPr>
            </w:pPr>
            <w:r w:rsidRPr="00005453">
              <w:rPr>
                <w:b/>
                <w:bCs/>
                <w:sz w:val="18"/>
                <w:szCs w:val="18"/>
              </w:rPr>
              <w:t>18,287,349</w:t>
            </w:r>
          </w:p>
        </w:tc>
        <w:tc>
          <w:tcPr>
            <w:tcW w:w="2075" w:type="dxa"/>
            <w:tcBorders>
              <w:top w:val="nil"/>
              <w:left w:val="nil"/>
              <w:bottom w:val="double" w:sz="6" w:space="0" w:color="auto"/>
              <w:right w:val="nil"/>
            </w:tcBorders>
            <w:shd w:val="clear" w:color="auto" w:fill="auto"/>
            <w:vAlign w:val="center"/>
            <w:hideMark/>
          </w:tcPr>
          <w:p w14:paraId="63246E68" w14:textId="77C75248" w:rsidR="0085456D" w:rsidRPr="00005453" w:rsidRDefault="0085456D" w:rsidP="0085456D">
            <w:pPr>
              <w:jc w:val="right"/>
              <w:rPr>
                <w:b/>
                <w:bCs/>
                <w:sz w:val="18"/>
                <w:szCs w:val="18"/>
                <w:lang w:eastAsia="tr-TR"/>
              </w:rPr>
            </w:pPr>
            <w:r w:rsidRPr="00005453">
              <w:rPr>
                <w:b/>
                <w:bCs/>
                <w:sz w:val="18"/>
                <w:szCs w:val="18"/>
              </w:rPr>
              <w:t>19,390,940</w:t>
            </w:r>
          </w:p>
        </w:tc>
        <w:tc>
          <w:tcPr>
            <w:tcW w:w="1115" w:type="dxa"/>
            <w:tcBorders>
              <w:top w:val="nil"/>
              <w:left w:val="nil"/>
              <w:bottom w:val="double" w:sz="6" w:space="0" w:color="auto"/>
              <w:right w:val="nil"/>
            </w:tcBorders>
            <w:shd w:val="clear" w:color="auto" w:fill="auto"/>
            <w:vAlign w:val="center"/>
            <w:hideMark/>
          </w:tcPr>
          <w:p w14:paraId="07AC7668" w14:textId="5979F98D" w:rsidR="0085456D" w:rsidRPr="00005453" w:rsidRDefault="0085456D" w:rsidP="0085456D">
            <w:pPr>
              <w:jc w:val="right"/>
              <w:rPr>
                <w:b/>
                <w:bCs/>
                <w:sz w:val="18"/>
                <w:szCs w:val="18"/>
                <w:lang w:eastAsia="tr-TR"/>
              </w:rPr>
            </w:pPr>
            <w:r w:rsidRPr="00005453">
              <w:rPr>
                <w:b/>
                <w:bCs/>
                <w:sz w:val="18"/>
                <w:szCs w:val="18"/>
              </w:rPr>
              <w:t>37,678,289</w:t>
            </w:r>
          </w:p>
        </w:tc>
      </w:tr>
    </w:tbl>
    <w:p w14:paraId="7852CAC0" w14:textId="025E6890" w:rsidR="00AF4F24" w:rsidRPr="00005453" w:rsidRDefault="00AF4F24" w:rsidP="00356C26">
      <w:pPr>
        <w:tabs>
          <w:tab w:val="left" w:pos="709"/>
        </w:tabs>
        <w:autoSpaceDE w:val="0"/>
        <w:autoSpaceDN w:val="0"/>
        <w:adjustRightInd w:val="0"/>
        <w:ind w:hanging="567"/>
        <w:rPr>
          <w:b/>
        </w:rPr>
      </w:pPr>
    </w:p>
    <w:p w14:paraId="4B960F13" w14:textId="31D1E480" w:rsidR="00346550" w:rsidRPr="00005453" w:rsidRDefault="00346550">
      <w:pPr>
        <w:rPr>
          <w:lang w:val="en-GB" w:eastAsia="en-GB"/>
        </w:rPr>
      </w:pPr>
      <w:r w:rsidRPr="00005453">
        <w:rPr>
          <w:lang w:val="en-GB" w:eastAsia="en-GB"/>
        </w:rPr>
        <w:br w:type="page"/>
      </w:r>
    </w:p>
    <w:tbl>
      <w:tblPr>
        <w:tblW w:w="9153" w:type="dxa"/>
        <w:tblCellMar>
          <w:left w:w="70" w:type="dxa"/>
          <w:right w:w="70" w:type="dxa"/>
        </w:tblCellMar>
        <w:tblLook w:val="04A0" w:firstRow="1" w:lastRow="0" w:firstColumn="1" w:lastColumn="0" w:noHBand="0" w:noVBand="1"/>
      </w:tblPr>
      <w:tblGrid>
        <w:gridCol w:w="3828"/>
        <w:gridCol w:w="2126"/>
        <w:gridCol w:w="1984"/>
        <w:gridCol w:w="1215"/>
      </w:tblGrid>
      <w:tr w:rsidR="00297765" w:rsidRPr="00005453" w14:paraId="3A9DCDBA" w14:textId="77777777" w:rsidTr="00FD5D84">
        <w:trPr>
          <w:divId w:val="1260137349"/>
          <w:trHeight w:val="298"/>
        </w:trPr>
        <w:tc>
          <w:tcPr>
            <w:tcW w:w="3828" w:type="dxa"/>
            <w:tcBorders>
              <w:top w:val="double" w:sz="6" w:space="0" w:color="auto"/>
              <w:left w:val="nil"/>
              <w:bottom w:val="single" w:sz="8" w:space="0" w:color="auto"/>
              <w:right w:val="nil"/>
            </w:tcBorders>
            <w:shd w:val="clear" w:color="auto" w:fill="auto"/>
            <w:vAlign w:val="center"/>
            <w:hideMark/>
          </w:tcPr>
          <w:p w14:paraId="10D41F5A" w14:textId="1CAD9E13" w:rsidR="00297765" w:rsidRPr="00005453" w:rsidRDefault="00297765" w:rsidP="00297765">
            <w:pPr>
              <w:jc w:val="both"/>
              <w:rPr>
                <w:b/>
                <w:bCs/>
                <w:sz w:val="18"/>
                <w:szCs w:val="18"/>
                <w:lang w:eastAsia="tr-TR"/>
              </w:rPr>
            </w:pPr>
            <w:r w:rsidRPr="00005453">
              <w:rPr>
                <w:b/>
                <w:bCs/>
                <w:sz w:val="18"/>
                <w:szCs w:val="18"/>
                <w:lang w:eastAsia="tr-TR"/>
              </w:rPr>
              <w:lastRenderedPageBreak/>
              <w:t>Önceki Dönem</w:t>
            </w:r>
          </w:p>
        </w:tc>
        <w:tc>
          <w:tcPr>
            <w:tcW w:w="2126" w:type="dxa"/>
            <w:tcBorders>
              <w:top w:val="double" w:sz="6" w:space="0" w:color="auto"/>
              <w:left w:val="nil"/>
              <w:bottom w:val="single" w:sz="8" w:space="0" w:color="auto"/>
              <w:right w:val="nil"/>
            </w:tcBorders>
            <w:shd w:val="clear" w:color="000000" w:fill="FFFFFF"/>
            <w:vAlign w:val="center"/>
            <w:hideMark/>
          </w:tcPr>
          <w:p w14:paraId="34C37FD6" w14:textId="77777777" w:rsidR="00297765" w:rsidRPr="00005453" w:rsidRDefault="00297765" w:rsidP="00297765">
            <w:pPr>
              <w:jc w:val="right"/>
              <w:rPr>
                <w:b/>
                <w:bCs/>
                <w:sz w:val="18"/>
                <w:szCs w:val="18"/>
                <w:lang w:eastAsia="tr-TR"/>
              </w:rPr>
            </w:pPr>
            <w:r w:rsidRPr="00005453">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4B0BFACD" w14:textId="77777777" w:rsidR="00297765" w:rsidRPr="00005453" w:rsidRDefault="00297765" w:rsidP="00297765">
            <w:pPr>
              <w:jc w:val="right"/>
              <w:rPr>
                <w:b/>
                <w:bCs/>
                <w:sz w:val="18"/>
                <w:szCs w:val="18"/>
                <w:lang w:eastAsia="tr-TR"/>
              </w:rPr>
            </w:pPr>
            <w:r w:rsidRPr="00005453">
              <w:rPr>
                <w:b/>
                <w:bCs/>
                <w:sz w:val="18"/>
                <w:szCs w:val="18"/>
                <w:lang w:eastAsia="tr-TR"/>
              </w:rPr>
              <w:t>Orta ve Uzun Vadeli</w:t>
            </w:r>
          </w:p>
        </w:tc>
        <w:tc>
          <w:tcPr>
            <w:tcW w:w="1215" w:type="dxa"/>
            <w:tcBorders>
              <w:top w:val="double" w:sz="6" w:space="0" w:color="auto"/>
              <w:left w:val="nil"/>
              <w:bottom w:val="single" w:sz="8" w:space="0" w:color="auto"/>
              <w:right w:val="nil"/>
            </w:tcBorders>
            <w:shd w:val="clear" w:color="auto" w:fill="auto"/>
            <w:vAlign w:val="center"/>
            <w:hideMark/>
          </w:tcPr>
          <w:p w14:paraId="25A15DF2" w14:textId="77777777" w:rsidR="00297765" w:rsidRPr="00005453" w:rsidRDefault="00297765" w:rsidP="00297765">
            <w:pPr>
              <w:jc w:val="right"/>
              <w:rPr>
                <w:b/>
                <w:bCs/>
                <w:sz w:val="18"/>
                <w:szCs w:val="18"/>
                <w:lang w:eastAsia="tr-TR"/>
              </w:rPr>
            </w:pPr>
            <w:r w:rsidRPr="00005453">
              <w:rPr>
                <w:b/>
                <w:bCs/>
                <w:sz w:val="18"/>
                <w:szCs w:val="18"/>
                <w:lang w:eastAsia="tr-TR"/>
              </w:rPr>
              <w:t>Toplam</w:t>
            </w:r>
          </w:p>
        </w:tc>
      </w:tr>
      <w:tr w:rsidR="00731137" w:rsidRPr="00005453" w14:paraId="79C8C6AB"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2EA36FB" w14:textId="77777777" w:rsidR="00731137" w:rsidRPr="00005453" w:rsidRDefault="00731137" w:rsidP="00731137">
            <w:pPr>
              <w:jc w:val="both"/>
              <w:rPr>
                <w:b/>
                <w:bCs/>
                <w:sz w:val="18"/>
                <w:szCs w:val="18"/>
                <w:lang w:eastAsia="tr-TR"/>
              </w:rPr>
            </w:pPr>
            <w:r w:rsidRPr="00005453">
              <w:rPr>
                <w:b/>
                <w:bCs/>
                <w:sz w:val="18"/>
                <w:szCs w:val="18"/>
                <w:lang w:eastAsia="tr-TR"/>
              </w:rPr>
              <w:t>Tüketici Kredileri-TP</w:t>
            </w:r>
          </w:p>
        </w:tc>
        <w:tc>
          <w:tcPr>
            <w:tcW w:w="2126" w:type="dxa"/>
            <w:tcBorders>
              <w:top w:val="nil"/>
              <w:left w:val="nil"/>
              <w:bottom w:val="nil"/>
              <w:right w:val="nil"/>
            </w:tcBorders>
            <w:shd w:val="clear" w:color="000000" w:fill="FFFFFF"/>
            <w:vAlign w:val="center"/>
            <w:hideMark/>
          </w:tcPr>
          <w:p w14:paraId="7E4C0FED" w14:textId="1A8ADFA9" w:rsidR="00731137" w:rsidRPr="00005453" w:rsidRDefault="00731137" w:rsidP="00731137">
            <w:pPr>
              <w:jc w:val="right"/>
              <w:rPr>
                <w:b/>
                <w:bCs/>
                <w:sz w:val="18"/>
                <w:szCs w:val="18"/>
                <w:lang w:eastAsia="tr-TR"/>
              </w:rPr>
            </w:pPr>
            <w:r w:rsidRPr="00005453">
              <w:rPr>
                <w:b/>
                <w:sz w:val="18"/>
                <w:szCs w:val="18"/>
                <w:lang w:eastAsia="tr-TR"/>
              </w:rPr>
              <w:t>669,451</w:t>
            </w:r>
          </w:p>
        </w:tc>
        <w:tc>
          <w:tcPr>
            <w:tcW w:w="1984" w:type="dxa"/>
            <w:tcBorders>
              <w:top w:val="nil"/>
              <w:left w:val="nil"/>
              <w:bottom w:val="nil"/>
              <w:right w:val="nil"/>
            </w:tcBorders>
            <w:shd w:val="clear" w:color="auto" w:fill="auto"/>
            <w:vAlign w:val="center"/>
            <w:hideMark/>
          </w:tcPr>
          <w:p w14:paraId="470BE1A5" w14:textId="5E4062A5" w:rsidR="00731137" w:rsidRPr="00005453" w:rsidRDefault="00731137" w:rsidP="00731137">
            <w:pPr>
              <w:jc w:val="right"/>
              <w:rPr>
                <w:b/>
                <w:bCs/>
                <w:sz w:val="18"/>
                <w:szCs w:val="18"/>
                <w:lang w:eastAsia="tr-TR"/>
              </w:rPr>
            </w:pPr>
            <w:r w:rsidRPr="00005453">
              <w:rPr>
                <w:b/>
                <w:sz w:val="18"/>
                <w:szCs w:val="18"/>
                <w:lang w:eastAsia="tr-TR"/>
              </w:rPr>
              <w:t>17,710,802</w:t>
            </w:r>
          </w:p>
        </w:tc>
        <w:tc>
          <w:tcPr>
            <w:tcW w:w="1215" w:type="dxa"/>
            <w:tcBorders>
              <w:top w:val="nil"/>
              <w:left w:val="nil"/>
              <w:bottom w:val="nil"/>
              <w:right w:val="nil"/>
            </w:tcBorders>
            <w:shd w:val="clear" w:color="auto" w:fill="auto"/>
            <w:vAlign w:val="center"/>
            <w:hideMark/>
          </w:tcPr>
          <w:p w14:paraId="2DDC5C2C" w14:textId="33BAD59F" w:rsidR="00731137" w:rsidRPr="00005453" w:rsidRDefault="00731137" w:rsidP="00731137">
            <w:pPr>
              <w:jc w:val="right"/>
              <w:rPr>
                <w:b/>
                <w:bCs/>
                <w:sz w:val="18"/>
                <w:szCs w:val="18"/>
                <w:lang w:eastAsia="tr-TR"/>
              </w:rPr>
            </w:pPr>
            <w:r w:rsidRPr="00005453">
              <w:rPr>
                <w:b/>
                <w:sz w:val="18"/>
                <w:szCs w:val="18"/>
                <w:lang w:eastAsia="tr-TR"/>
              </w:rPr>
              <w:t>18,380,253</w:t>
            </w:r>
          </w:p>
        </w:tc>
      </w:tr>
      <w:tr w:rsidR="00731137" w:rsidRPr="00005453" w14:paraId="177FD376"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267A814A" w14:textId="77777777" w:rsidR="00731137" w:rsidRPr="00005453" w:rsidRDefault="00731137" w:rsidP="00731137">
            <w:pPr>
              <w:jc w:val="both"/>
              <w:rPr>
                <w:sz w:val="18"/>
                <w:szCs w:val="18"/>
                <w:lang w:eastAsia="tr-TR"/>
              </w:rPr>
            </w:pPr>
            <w:r w:rsidRPr="00005453">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44BEAE67" w14:textId="5ECC9600" w:rsidR="00731137" w:rsidRPr="00005453" w:rsidRDefault="00731137" w:rsidP="00731137">
            <w:pPr>
              <w:jc w:val="right"/>
              <w:rPr>
                <w:sz w:val="18"/>
                <w:szCs w:val="18"/>
                <w:lang w:eastAsia="tr-TR"/>
              </w:rPr>
            </w:pPr>
            <w:r w:rsidRPr="00005453">
              <w:rPr>
                <w:sz w:val="18"/>
                <w:szCs w:val="18"/>
                <w:lang w:eastAsia="tr-TR"/>
              </w:rPr>
              <w:t>17,660</w:t>
            </w:r>
          </w:p>
        </w:tc>
        <w:tc>
          <w:tcPr>
            <w:tcW w:w="1984" w:type="dxa"/>
            <w:tcBorders>
              <w:top w:val="nil"/>
              <w:left w:val="nil"/>
              <w:bottom w:val="nil"/>
              <w:right w:val="nil"/>
            </w:tcBorders>
            <w:shd w:val="clear" w:color="auto" w:fill="auto"/>
            <w:vAlign w:val="center"/>
            <w:hideMark/>
          </w:tcPr>
          <w:p w14:paraId="623579EF" w14:textId="39DDEB3F" w:rsidR="00731137" w:rsidRPr="00005453" w:rsidRDefault="00731137" w:rsidP="00731137">
            <w:pPr>
              <w:jc w:val="right"/>
              <w:rPr>
                <w:sz w:val="18"/>
                <w:szCs w:val="18"/>
                <w:lang w:eastAsia="tr-TR"/>
              </w:rPr>
            </w:pPr>
            <w:r w:rsidRPr="00005453">
              <w:rPr>
                <w:sz w:val="18"/>
                <w:szCs w:val="18"/>
                <w:lang w:eastAsia="tr-TR"/>
              </w:rPr>
              <w:t>10,071,872</w:t>
            </w:r>
          </w:p>
        </w:tc>
        <w:tc>
          <w:tcPr>
            <w:tcW w:w="1215" w:type="dxa"/>
            <w:tcBorders>
              <w:top w:val="nil"/>
              <w:left w:val="nil"/>
              <w:bottom w:val="nil"/>
              <w:right w:val="nil"/>
            </w:tcBorders>
            <w:shd w:val="clear" w:color="auto" w:fill="auto"/>
            <w:vAlign w:val="center"/>
            <w:hideMark/>
          </w:tcPr>
          <w:p w14:paraId="3893C1D5" w14:textId="584B40A9" w:rsidR="00731137" w:rsidRPr="00005453" w:rsidRDefault="00731137" w:rsidP="00731137">
            <w:pPr>
              <w:jc w:val="right"/>
              <w:rPr>
                <w:sz w:val="18"/>
                <w:szCs w:val="18"/>
                <w:lang w:eastAsia="tr-TR"/>
              </w:rPr>
            </w:pPr>
            <w:r w:rsidRPr="00005453">
              <w:rPr>
                <w:sz w:val="18"/>
                <w:szCs w:val="18"/>
                <w:lang w:eastAsia="tr-TR"/>
              </w:rPr>
              <w:t>10,089,532</w:t>
            </w:r>
          </w:p>
        </w:tc>
      </w:tr>
      <w:tr w:rsidR="00731137" w:rsidRPr="00005453" w14:paraId="4C400647"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DE0097F" w14:textId="77777777" w:rsidR="00731137" w:rsidRPr="00005453" w:rsidRDefault="00731137" w:rsidP="00731137">
            <w:pPr>
              <w:jc w:val="both"/>
              <w:rPr>
                <w:sz w:val="18"/>
                <w:szCs w:val="18"/>
                <w:lang w:eastAsia="tr-TR"/>
              </w:rPr>
            </w:pPr>
            <w:r w:rsidRPr="00005453">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36D90662" w14:textId="453F19BA" w:rsidR="00731137" w:rsidRPr="00005453" w:rsidRDefault="00731137" w:rsidP="00731137">
            <w:pPr>
              <w:jc w:val="right"/>
              <w:rPr>
                <w:sz w:val="18"/>
                <w:szCs w:val="18"/>
                <w:lang w:eastAsia="tr-TR"/>
              </w:rPr>
            </w:pPr>
            <w:r w:rsidRPr="00005453">
              <w:rPr>
                <w:sz w:val="18"/>
                <w:szCs w:val="18"/>
                <w:lang w:eastAsia="tr-TR"/>
              </w:rPr>
              <w:t>333,734</w:t>
            </w:r>
          </w:p>
        </w:tc>
        <w:tc>
          <w:tcPr>
            <w:tcW w:w="1984" w:type="dxa"/>
            <w:tcBorders>
              <w:top w:val="nil"/>
              <w:left w:val="nil"/>
              <w:bottom w:val="nil"/>
              <w:right w:val="nil"/>
            </w:tcBorders>
            <w:shd w:val="clear" w:color="auto" w:fill="auto"/>
            <w:vAlign w:val="center"/>
            <w:hideMark/>
          </w:tcPr>
          <w:p w14:paraId="3ED6AEC0" w14:textId="1DE1F4E4" w:rsidR="00731137" w:rsidRPr="00005453" w:rsidRDefault="00731137" w:rsidP="00731137">
            <w:pPr>
              <w:jc w:val="right"/>
              <w:rPr>
                <w:sz w:val="18"/>
                <w:szCs w:val="18"/>
                <w:lang w:eastAsia="tr-TR"/>
              </w:rPr>
            </w:pPr>
            <w:r w:rsidRPr="00005453">
              <w:rPr>
                <w:sz w:val="18"/>
                <w:szCs w:val="18"/>
                <w:lang w:eastAsia="tr-TR"/>
              </w:rPr>
              <w:t>5,720,411</w:t>
            </w:r>
          </w:p>
        </w:tc>
        <w:tc>
          <w:tcPr>
            <w:tcW w:w="1215" w:type="dxa"/>
            <w:tcBorders>
              <w:top w:val="nil"/>
              <w:left w:val="nil"/>
              <w:bottom w:val="nil"/>
              <w:right w:val="nil"/>
            </w:tcBorders>
            <w:shd w:val="clear" w:color="auto" w:fill="auto"/>
            <w:vAlign w:val="center"/>
            <w:hideMark/>
          </w:tcPr>
          <w:p w14:paraId="4CFACAB9" w14:textId="4496F0E3" w:rsidR="00731137" w:rsidRPr="00005453" w:rsidRDefault="00731137" w:rsidP="00731137">
            <w:pPr>
              <w:jc w:val="right"/>
              <w:rPr>
                <w:sz w:val="18"/>
                <w:szCs w:val="18"/>
                <w:lang w:eastAsia="tr-TR"/>
              </w:rPr>
            </w:pPr>
            <w:r w:rsidRPr="00005453">
              <w:rPr>
                <w:sz w:val="18"/>
                <w:szCs w:val="18"/>
                <w:lang w:eastAsia="tr-TR"/>
              </w:rPr>
              <w:t>6,054,145</w:t>
            </w:r>
          </w:p>
        </w:tc>
      </w:tr>
      <w:tr w:rsidR="00731137" w:rsidRPr="00005453" w14:paraId="128EBD99"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4F3DC149" w14:textId="77777777" w:rsidR="00731137" w:rsidRPr="00005453" w:rsidRDefault="00731137" w:rsidP="00731137">
            <w:pPr>
              <w:jc w:val="both"/>
              <w:rPr>
                <w:sz w:val="18"/>
                <w:szCs w:val="18"/>
                <w:lang w:eastAsia="tr-TR"/>
              </w:rPr>
            </w:pPr>
            <w:r w:rsidRPr="00005453">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0F2CF227" w14:textId="4855B406" w:rsidR="00731137" w:rsidRPr="00005453" w:rsidRDefault="00731137" w:rsidP="00731137">
            <w:pPr>
              <w:jc w:val="right"/>
              <w:rPr>
                <w:sz w:val="18"/>
                <w:szCs w:val="18"/>
                <w:lang w:eastAsia="tr-TR"/>
              </w:rPr>
            </w:pPr>
            <w:r w:rsidRPr="00005453">
              <w:rPr>
                <w:sz w:val="18"/>
                <w:szCs w:val="18"/>
                <w:lang w:eastAsia="tr-TR"/>
              </w:rPr>
              <w:t>249,854</w:t>
            </w:r>
          </w:p>
        </w:tc>
        <w:tc>
          <w:tcPr>
            <w:tcW w:w="1984" w:type="dxa"/>
            <w:tcBorders>
              <w:top w:val="nil"/>
              <w:left w:val="nil"/>
              <w:bottom w:val="nil"/>
              <w:right w:val="nil"/>
            </w:tcBorders>
            <w:shd w:val="clear" w:color="auto" w:fill="auto"/>
            <w:vAlign w:val="center"/>
            <w:hideMark/>
          </w:tcPr>
          <w:p w14:paraId="4A527378" w14:textId="59C8824F" w:rsidR="00731137" w:rsidRPr="00005453" w:rsidRDefault="00731137" w:rsidP="00731137">
            <w:pPr>
              <w:jc w:val="right"/>
              <w:rPr>
                <w:sz w:val="18"/>
                <w:szCs w:val="18"/>
                <w:lang w:eastAsia="tr-TR"/>
              </w:rPr>
            </w:pPr>
            <w:r w:rsidRPr="00005453">
              <w:rPr>
                <w:sz w:val="18"/>
                <w:szCs w:val="18"/>
                <w:lang w:eastAsia="tr-TR"/>
              </w:rPr>
              <w:t>931,118</w:t>
            </w:r>
          </w:p>
        </w:tc>
        <w:tc>
          <w:tcPr>
            <w:tcW w:w="1215" w:type="dxa"/>
            <w:tcBorders>
              <w:top w:val="nil"/>
              <w:left w:val="nil"/>
              <w:bottom w:val="nil"/>
              <w:right w:val="nil"/>
            </w:tcBorders>
            <w:shd w:val="clear" w:color="auto" w:fill="auto"/>
            <w:vAlign w:val="center"/>
            <w:hideMark/>
          </w:tcPr>
          <w:p w14:paraId="5824B05D" w14:textId="260E0EDA" w:rsidR="00731137" w:rsidRPr="00005453" w:rsidRDefault="00731137" w:rsidP="00731137">
            <w:pPr>
              <w:jc w:val="right"/>
              <w:rPr>
                <w:sz w:val="18"/>
                <w:szCs w:val="18"/>
                <w:lang w:eastAsia="tr-TR"/>
              </w:rPr>
            </w:pPr>
            <w:r w:rsidRPr="00005453">
              <w:rPr>
                <w:sz w:val="18"/>
                <w:szCs w:val="18"/>
                <w:lang w:eastAsia="tr-TR"/>
              </w:rPr>
              <w:t>1,180,972</w:t>
            </w:r>
          </w:p>
        </w:tc>
      </w:tr>
      <w:tr w:rsidR="00731137" w:rsidRPr="00005453" w14:paraId="23BB282C"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90C59F2" w14:textId="77777777" w:rsidR="00731137" w:rsidRPr="00005453" w:rsidRDefault="00731137" w:rsidP="00731137">
            <w:pPr>
              <w:jc w:val="both"/>
              <w:rPr>
                <w:sz w:val="18"/>
                <w:szCs w:val="18"/>
                <w:lang w:eastAsia="tr-TR"/>
              </w:rPr>
            </w:pPr>
            <w:r w:rsidRPr="00005453">
              <w:rPr>
                <w:sz w:val="18"/>
                <w:szCs w:val="18"/>
                <w:lang w:eastAsia="tr-TR"/>
              </w:rPr>
              <w:t>Diğer</w:t>
            </w:r>
          </w:p>
        </w:tc>
        <w:tc>
          <w:tcPr>
            <w:tcW w:w="2126" w:type="dxa"/>
            <w:tcBorders>
              <w:top w:val="nil"/>
              <w:left w:val="nil"/>
              <w:bottom w:val="nil"/>
              <w:right w:val="nil"/>
            </w:tcBorders>
            <w:shd w:val="clear" w:color="000000" w:fill="FFFFFF"/>
            <w:vAlign w:val="center"/>
            <w:hideMark/>
          </w:tcPr>
          <w:p w14:paraId="39E357B4" w14:textId="6DC6102F" w:rsidR="00731137" w:rsidRPr="00005453" w:rsidRDefault="00731137" w:rsidP="00731137">
            <w:pPr>
              <w:jc w:val="right"/>
              <w:rPr>
                <w:sz w:val="18"/>
                <w:szCs w:val="18"/>
                <w:lang w:eastAsia="tr-TR"/>
              </w:rPr>
            </w:pPr>
            <w:r w:rsidRPr="00005453">
              <w:rPr>
                <w:sz w:val="18"/>
                <w:szCs w:val="18"/>
                <w:lang w:eastAsia="tr-TR"/>
              </w:rPr>
              <w:t>68,203</w:t>
            </w:r>
          </w:p>
        </w:tc>
        <w:tc>
          <w:tcPr>
            <w:tcW w:w="1984" w:type="dxa"/>
            <w:tcBorders>
              <w:top w:val="nil"/>
              <w:left w:val="nil"/>
              <w:bottom w:val="nil"/>
              <w:right w:val="nil"/>
            </w:tcBorders>
            <w:shd w:val="clear" w:color="auto" w:fill="auto"/>
            <w:vAlign w:val="center"/>
            <w:hideMark/>
          </w:tcPr>
          <w:p w14:paraId="61A87678" w14:textId="424067FA" w:rsidR="00731137" w:rsidRPr="00005453" w:rsidRDefault="00731137" w:rsidP="00731137">
            <w:pPr>
              <w:jc w:val="right"/>
              <w:rPr>
                <w:sz w:val="18"/>
                <w:szCs w:val="18"/>
                <w:lang w:eastAsia="tr-TR"/>
              </w:rPr>
            </w:pPr>
            <w:r w:rsidRPr="00005453">
              <w:rPr>
                <w:sz w:val="18"/>
                <w:szCs w:val="18"/>
                <w:lang w:eastAsia="tr-TR"/>
              </w:rPr>
              <w:t>987,401</w:t>
            </w:r>
          </w:p>
        </w:tc>
        <w:tc>
          <w:tcPr>
            <w:tcW w:w="1215" w:type="dxa"/>
            <w:tcBorders>
              <w:top w:val="nil"/>
              <w:left w:val="nil"/>
              <w:bottom w:val="nil"/>
              <w:right w:val="nil"/>
            </w:tcBorders>
            <w:shd w:val="clear" w:color="auto" w:fill="auto"/>
            <w:vAlign w:val="center"/>
            <w:hideMark/>
          </w:tcPr>
          <w:p w14:paraId="16D5D0E2" w14:textId="5BA18E51" w:rsidR="00731137" w:rsidRPr="00005453" w:rsidRDefault="00731137" w:rsidP="00731137">
            <w:pPr>
              <w:jc w:val="right"/>
              <w:rPr>
                <w:sz w:val="18"/>
                <w:szCs w:val="18"/>
                <w:lang w:eastAsia="tr-TR"/>
              </w:rPr>
            </w:pPr>
            <w:r w:rsidRPr="00005453">
              <w:rPr>
                <w:sz w:val="18"/>
                <w:szCs w:val="18"/>
                <w:lang w:eastAsia="tr-TR"/>
              </w:rPr>
              <w:t>1,055,604</w:t>
            </w:r>
          </w:p>
        </w:tc>
      </w:tr>
      <w:tr w:rsidR="00731137" w:rsidRPr="00005453" w14:paraId="2801BAD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E00F10E" w14:textId="77777777" w:rsidR="00731137" w:rsidRPr="00005453" w:rsidRDefault="00731137" w:rsidP="00731137">
            <w:pPr>
              <w:jc w:val="both"/>
              <w:rPr>
                <w:b/>
                <w:bCs/>
                <w:sz w:val="18"/>
                <w:szCs w:val="18"/>
                <w:lang w:eastAsia="tr-TR"/>
              </w:rPr>
            </w:pPr>
            <w:r w:rsidRPr="00005453">
              <w:rPr>
                <w:b/>
                <w:bCs/>
                <w:sz w:val="18"/>
                <w:szCs w:val="18"/>
                <w:lang w:eastAsia="tr-TR"/>
              </w:rPr>
              <w:t>Tüketici Kredileri-Dövize Endeksli</w:t>
            </w:r>
          </w:p>
        </w:tc>
        <w:tc>
          <w:tcPr>
            <w:tcW w:w="2126" w:type="dxa"/>
            <w:tcBorders>
              <w:top w:val="nil"/>
              <w:left w:val="nil"/>
              <w:bottom w:val="nil"/>
              <w:right w:val="nil"/>
            </w:tcBorders>
            <w:shd w:val="clear" w:color="000000" w:fill="FFFFFF"/>
            <w:vAlign w:val="center"/>
            <w:hideMark/>
          </w:tcPr>
          <w:p w14:paraId="652C9474" w14:textId="56F954BD" w:rsidR="00731137" w:rsidRPr="00005453" w:rsidRDefault="00731137" w:rsidP="00731137">
            <w:pPr>
              <w:jc w:val="right"/>
              <w:rPr>
                <w:b/>
                <w:bCs/>
                <w:sz w:val="18"/>
                <w:szCs w:val="18"/>
                <w:lang w:eastAsia="tr-TR"/>
              </w:rPr>
            </w:pPr>
            <w:r w:rsidRPr="00005453">
              <w:rPr>
                <w:b/>
                <w:sz w:val="18"/>
                <w:szCs w:val="18"/>
                <w:lang w:eastAsia="tr-TR"/>
              </w:rPr>
              <w:t>-</w:t>
            </w:r>
          </w:p>
        </w:tc>
        <w:tc>
          <w:tcPr>
            <w:tcW w:w="1984" w:type="dxa"/>
            <w:tcBorders>
              <w:top w:val="nil"/>
              <w:left w:val="nil"/>
              <w:bottom w:val="nil"/>
              <w:right w:val="nil"/>
            </w:tcBorders>
            <w:shd w:val="clear" w:color="auto" w:fill="auto"/>
            <w:vAlign w:val="center"/>
            <w:hideMark/>
          </w:tcPr>
          <w:p w14:paraId="7A481555" w14:textId="1FEDBE75" w:rsidR="00731137" w:rsidRPr="00005453" w:rsidRDefault="00731137" w:rsidP="00731137">
            <w:pPr>
              <w:jc w:val="right"/>
              <w:rPr>
                <w:b/>
                <w:bCs/>
                <w:sz w:val="18"/>
                <w:szCs w:val="18"/>
                <w:lang w:eastAsia="tr-TR"/>
              </w:rPr>
            </w:pPr>
            <w:r w:rsidRPr="00005453">
              <w:rPr>
                <w:b/>
                <w:sz w:val="18"/>
                <w:szCs w:val="18"/>
                <w:lang w:eastAsia="tr-TR"/>
              </w:rPr>
              <w:t>-</w:t>
            </w:r>
          </w:p>
        </w:tc>
        <w:tc>
          <w:tcPr>
            <w:tcW w:w="1215" w:type="dxa"/>
            <w:tcBorders>
              <w:top w:val="nil"/>
              <w:left w:val="nil"/>
              <w:bottom w:val="nil"/>
              <w:right w:val="nil"/>
            </w:tcBorders>
            <w:shd w:val="clear" w:color="auto" w:fill="auto"/>
            <w:vAlign w:val="center"/>
            <w:hideMark/>
          </w:tcPr>
          <w:p w14:paraId="3A674D00" w14:textId="4C6F99E1" w:rsidR="00731137" w:rsidRPr="00005453" w:rsidRDefault="00731137" w:rsidP="00731137">
            <w:pPr>
              <w:jc w:val="right"/>
              <w:rPr>
                <w:b/>
                <w:bCs/>
                <w:sz w:val="18"/>
                <w:szCs w:val="18"/>
                <w:lang w:eastAsia="tr-TR"/>
              </w:rPr>
            </w:pPr>
            <w:r w:rsidRPr="00005453">
              <w:rPr>
                <w:b/>
                <w:sz w:val="18"/>
                <w:szCs w:val="18"/>
                <w:lang w:eastAsia="tr-TR"/>
              </w:rPr>
              <w:t>-</w:t>
            </w:r>
          </w:p>
        </w:tc>
      </w:tr>
      <w:tr w:rsidR="00731137" w:rsidRPr="00005453" w14:paraId="233067F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656A7D29" w14:textId="77777777" w:rsidR="00731137" w:rsidRPr="00005453" w:rsidRDefault="00731137" w:rsidP="00731137">
            <w:pPr>
              <w:jc w:val="both"/>
              <w:rPr>
                <w:sz w:val="18"/>
                <w:szCs w:val="18"/>
                <w:lang w:eastAsia="tr-TR"/>
              </w:rPr>
            </w:pPr>
            <w:r w:rsidRPr="00005453">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415075AC" w14:textId="737E098E"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46BF10EA" w14:textId="7D6A02A5"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2AF8BB26" w14:textId="4B719D41"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60FD980E"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3121DD2" w14:textId="77777777" w:rsidR="00731137" w:rsidRPr="00005453" w:rsidRDefault="00731137" w:rsidP="00731137">
            <w:pPr>
              <w:jc w:val="both"/>
              <w:rPr>
                <w:sz w:val="18"/>
                <w:szCs w:val="18"/>
                <w:lang w:eastAsia="tr-TR"/>
              </w:rPr>
            </w:pPr>
            <w:r w:rsidRPr="00005453">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390EAAA6" w14:textId="0CF9F265"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02B58657" w14:textId="5AC07018"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08EF5787" w14:textId="4867703D"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7157E5EB"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7BBF42E4" w14:textId="77777777" w:rsidR="00731137" w:rsidRPr="00005453" w:rsidRDefault="00731137" w:rsidP="00731137">
            <w:pPr>
              <w:jc w:val="both"/>
              <w:rPr>
                <w:sz w:val="18"/>
                <w:szCs w:val="18"/>
                <w:lang w:eastAsia="tr-TR"/>
              </w:rPr>
            </w:pPr>
            <w:r w:rsidRPr="00005453">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7376125F" w14:textId="7A6BE146"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13ABB5EF" w14:textId="13879988"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3D6F4932" w14:textId="7788B56B"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7483B512"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41C51A5" w14:textId="77777777" w:rsidR="00731137" w:rsidRPr="00005453" w:rsidRDefault="00731137" w:rsidP="00731137">
            <w:pPr>
              <w:jc w:val="both"/>
              <w:rPr>
                <w:sz w:val="18"/>
                <w:szCs w:val="18"/>
                <w:lang w:eastAsia="tr-TR"/>
              </w:rPr>
            </w:pPr>
            <w:r w:rsidRPr="00005453">
              <w:rPr>
                <w:sz w:val="18"/>
                <w:szCs w:val="18"/>
                <w:lang w:eastAsia="tr-TR"/>
              </w:rPr>
              <w:t xml:space="preserve">Diğer </w:t>
            </w:r>
          </w:p>
        </w:tc>
        <w:tc>
          <w:tcPr>
            <w:tcW w:w="2126" w:type="dxa"/>
            <w:tcBorders>
              <w:top w:val="nil"/>
              <w:left w:val="nil"/>
              <w:bottom w:val="nil"/>
              <w:right w:val="nil"/>
            </w:tcBorders>
            <w:shd w:val="clear" w:color="000000" w:fill="FFFFFF"/>
            <w:vAlign w:val="center"/>
            <w:hideMark/>
          </w:tcPr>
          <w:p w14:paraId="5D7508B9" w14:textId="142E8C01"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6DDC7C9E" w14:textId="017CE4B4"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3EA5AA51" w14:textId="57297A54"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3E8D75FA"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7BC676F6" w14:textId="77777777" w:rsidR="00731137" w:rsidRPr="00005453" w:rsidRDefault="00731137" w:rsidP="00731137">
            <w:pPr>
              <w:jc w:val="both"/>
              <w:rPr>
                <w:b/>
                <w:bCs/>
                <w:sz w:val="18"/>
                <w:szCs w:val="18"/>
                <w:lang w:eastAsia="tr-TR"/>
              </w:rPr>
            </w:pPr>
            <w:r w:rsidRPr="00005453">
              <w:rPr>
                <w:b/>
                <w:bCs/>
                <w:sz w:val="18"/>
                <w:szCs w:val="18"/>
                <w:lang w:eastAsia="tr-TR"/>
              </w:rPr>
              <w:t>Tüketici Kredileri-YP</w:t>
            </w:r>
          </w:p>
        </w:tc>
        <w:tc>
          <w:tcPr>
            <w:tcW w:w="2126" w:type="dxa"/>
            <w:tcBorders>
              <w:top w:val="nil"/>
              <w:left w:val="nil"/>
              <w:bottom w:val="nil"/>
              <w:right w:val="nil"/>
            </w:tcBorders>
            <w:shd w:val="clear" w:color="000000" w:fill="FFFFFF"/>
            <w:vAlign w:val="center"/>
            <w:hideMark/>
          </w:tcPr>
          <w:p w14:paraId="07CEAC4A" w14:textId="5228B5C3" w:rsidR="00731137" w:rsidRPr="00005453" w:rsidRDefault="00731137" w:rsidP="00731137">
            <w:pPr>
              <w:jc w:val="right"/>
              <w:rPr>
                <w:b/>
                <w:bCs/>
                <w:sz w:val="18"/>
                <w:szCs w:val="18"/>
                <w:lang w:eastAsia="tr-TR"/>
              </w:rPr>
            </w:pPr>
            <w:r w:rsidRPr="00005453">
              <w:rPr>
                <w:b/>
                <w:sz w:val="18"/>
                <w:szCs w:val="18"/>
                <w:lang w:eastAsia="tr-TR"/>
              </w:rPr>
              <w:t>-</w:t>
            </w:r>
          </w:p>
        </w:tc>
        <w:tc>
          <w:tcPr>
            <w:tcW w:w="1984" w:type="dxa"/>
            <w:tcBorders>
              <w:top w:val="nil"/>
              <w:left w:val="nil"/>
              <w:bottom w:val="nil"/>
              <w:right w:val="nil"/>
            </w:tcBorders>
            <w:shd w:val="clear" w:color="auto" w:fill="auto"/>
            <w:vAlign w:val="center"/>
            <w:hideMark/>
          </w:tcPr>
          <w:p w14:paraId="1EB43C2C" w14:textId="521D129B" w:rsidR="00731137" w:rsidRPr="00005453" w:rsidRDefault="00731137" w:rsidP="00731137">
            <w:pPr>
              <w:jc w:val="right"/>
              <w:rPr>
                <w:b/>
                <w:bCs/>
                <w:sz w:val="18"/>
                <w:szCs w:val="18"/>
                <w:lang w:eastAsia="tr-TR"/>
              </w:rPr>
            </w:pPr>
            <w:r w:rsidRPr="00005453">
              <w:rPr>
                <w:b/>
                <w:sz w:val="18"/>
                <w:szCs w:val="18"/>
                <w:lang w:eastAsia="tr-TR"/>
              </w:rPr>
              <w:t>29,922</w:t>
            </w:r>
          </w:p>
        </w:tc>
        <w:tc>
          <w:tcPr>
            <w:tcW w:w="1215" w:type="dxa"/>
            <w:tcBorders>
              <w:top w:val="nil"/>
              <w:left w:val="nil"/>
              <w:bottom w:val="nil"/>
              <w:right w:val="nil"/>
            </w:tcBorders>
            <w:shd w:val="clear" w:color="auto" w:fill="auto"/>
            <w:vAlign w:val="center"/>
            <w:hideMark/>
          </w:tcPr>
          <w:p w14:paraId="03751AB0" w14:textId="3295C332" w:rsidR="00731137" w:rsidRPr="00005453" w:rsidRDefault="00731137" w:rsidP="00731137">
            <w:pPr>
              <w:jc w:val="right"/>
              <w:rPr>
                <w:b/>
                <w:bCs/>
                <w:sz w:val="18"/>
                <w:szCs w:val="18"/>
                <w:lang w:eastAsia="tr-TR"/>
              </w:rPr>
            </w:pPr>
            <w:r w:rsidRPr="00005453">
              <w:rPr>
                <w:b/>
                <w:sz w:val="18"/>
                <w:szCs w:val="18"/>
                <w:lang w:eastAsia="tr-TR"/>
              </w:rPr>
              <w:t>29,922</w:t>
            </w:r>
          </w:p>
        </w:tc>
      </w:tr>
      <w:tr w:rsidR="00731137" w:rsidRPr="00005453" w14:paraId="0A1C796A"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3F3DFD2" w14:textId="77777777" w:rsidR="00731137" w:rsidRPr="00005453" w:rsidRDefault="00731137" w:rsidP="00731137">
            <w:pPr>
              <w:jc w:val="both"/>
              <w:rPr>
                <w:sz w:val="18"/>
                <w:szCs w:val="18"/>
                <w:lang w:eastAsia="tr-TR"/>
              </w:rPr>
            </w:pPr>
            <w:r w:rsidRPr="00005453">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4DDE59A0" w14:textId="3D27BE5D"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66211CE6" w14:textId="0816A27F" w:rsidR="00731137" w:rsidRPr="00005453" w:rsidRDefault="00731137" w:rsidP="00731137">
            <w:pPr>
              <w:jc w:val="right"/>
              <w:rPr>
                <w:sz w:val="18"/>
                <w:szCs w:val="18"/>
                <w:lang w:eastAsia="tr-TR"/>
              </w:rPr>
            </w:pPr>
            <w:r w:rsidRPr="00005453">
              <w:rPr>
                <w:sz w:val="18"/>
                <w:szCs w:val="18"/>
                <w:lang w:eastAsia="tr-TR"/>
              </w:rPr>
              <w:t>29,922</w:t>
            </w:r>
          </w:p>
        </w:tc>
        <w:tc>
          <w:tcPr>
            <w:tcW w:w="1215" w:type="dxa"/>
            <w:tcBorders>
              <w:top w:val="nil"/>
              <w:left w:val="nil"/>
              <w:bottom w:val="nil"/>
              <w:right w:val="nil"/>
            </w:tcBorders>
            <w:shd w:val="clear" w:color="auto" w:fill="auto"/>
            <w:vAlign w:val="center"/>
            <w:hideMark/>
          </w:tcPr>
          <w:p w14:paraId="1F5E923A" w14:textId="16B5D1C4" w:rsidR="00731137" w:rsidRPr="00005453" w:rsidRDefault="00731137" w:rsidP="00731137">
            <w:pPr>
              <w:jc w:val="right"/>
              <w:rPr>
                <w:sz w:val="18"/>
                <w:szCs w:val="18"/>
                <w:lang w:eastAsia="tr-TR"/>
              </w:rPr>
            </w:pPr>
            <w:r w:rsidRPr="00005453">
              <w:rPr>
                <w:sz w:val="18"/>
                <w:szCs w:val="18"/>
                <w:lang w:eastAsia="tr-TR"/>
              </w:rPr>
              <w:t>29,922</w:t>
            </w:r>
          </w:p>
        </w:tc>
      </w:tr>
      <w:tr w:rsidR="00731137" w:rsidRPr="00005453" w14:paraId="4DAE8E00"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16A8FC8" w14:textId="77777777" w:rsidR="00731137" w:rsidRPr="00005453" w:rsidRDefault="00731137" w:rsidP="00731137">
            <w:pPr>
              <w:jc w:val="both"/>
              <w:rPr>
                <w:sz w:val="18"/>
                <w:szCs w:val="18"/>
                <w:lang w:eastAsia="tr-TR"/>
              </w:rPr>
            </w:pPr>
            <w:r w:rsidRPr="00005453">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701AAEF0" w14:textId="36FB89F4"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4AB631BD" w14:textId="66C326C1"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4A9EEB1D" w14:textId="49784296"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7001483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3C8A875E" w14:textId="77777777" w:rsidR="00731137" w:rsidRPr="00005453" w:rsidRDefault="00731137" w:rsidP="00731137">
            <w:pPr>
              <w:jc w:val="both"/>
              <w:rPr>
                <w:sz w:val="18"/>
                <w:szCs w:val="18"/>
                <w:lang w:eastAsia="tr-TR"/>
              </w:rPr>
            </w:pPr>
            <w:r w:rsidRPr="00005453">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2977F42C" w14:textId="6DDD09E8"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79DEF959" w14:textId="3AF3B51B"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7A10C277" w14:textId="32B42651"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03347D37"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7C3D337C" w14:textId="77777777" w:rsidR="00731137" w:rsidRPr="00005453" w:rsidRDefault="00731137" w:rsidP="00731137">
            <w:pPr>
              <w:jc w:val="both"/>
              <w:rPr>
                <w:sz w:val="18"/>
                <w:szCs w:val="18"/>
                <w:lang w:eastAsia="tr-TR"/>
              </w:rPr>
            </w:pPr>
            <w:r w:rsidRPr="00005453">
              <w:rPr>
                <w:sz w:val="18"/>
                <w:szCs w:val="18"/>
                <w:lang w:eastAsia="tr-TR"/>
              </w:rPr>
              <w:t xml:space="preserve">Diğer </w:t>
            </w:r>
          </w:p>
        </w:tc>
        <w:tc>
          <w:tcPr>
            <w:tcW w:w="2126" w:type="dxa"/>
            <w:tcBorders>
              <w:top w:val="nil"/>
              <w:left w:val="nil"/>
              <w:bottom w:val="nil"/>
              <w:right w:val="nil"/>
            </w:tcBorders>
            <w:shd w:val="clear" w:color="000000" w:fill="FFFFFF"/>
            <w:vAlign w:val="center"/>
            <w:hideMark/>
          </w:tcPr>
          <w:p w14:paraId="52ED0878" w14:textId="4DEBD2E8"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6A6AB723" w14:textId="03C45646"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1B00A7DD" w14:textId="7530D9A9"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20F33768"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FB455BD" w14:textId="77777777" w:rsidR="00731137" w:rsidRPr="00005453" w:rsidRDefault="00731137" w:rsidP="00731137">
            <w:pPr>
              <w:jc w:val="both"/>
              <w:rPr>
                <w:b/>
                <w:bCs/>
                <w:sz w:val="18"/>
                <w:szCs w:val="18"/>
                <w:lang w:eastAsia="tr-TR"/>
              </w:rPr>
            </w:pPr>
            <w:r w:rsidRPr="00005453">
              <w:rPr>
                <w:b/>
                <w:bCs/>
                <w:sz w:val="18"/>
                <w:szCs w:val="18"/>
                <w:lang w:eastAsia="tr-TR"/>
              </w:rPr>
              <w:t>Bireysel Kredi Kartları-TP</w:t>
            </w:r>
          </w:p>
        </w:tc>
        <w:tc>
          <w:tcPr>
            <w:tcW w:w="2126" w:type="dxa"/>
            <w:tcBorders>
              <w:top w:val="nil"/>
              <w:left w:val="nil"/>
              <w:bottom w:val="nil"/>
              <w:right w:val="nil"/>
            </w:tcBorders>
            <w:shd w:val="clear" w:color="000000" w:fill="FFFFFF"/>
            <w:vAlign w:val="center"/>
            <w:hideMark/>
          </w:tcPr>
          <w:p w14:paraId="1449F454" w14:textId="1F5970B7" w:rsidR="00731137" w:rsidRPr="00005453" w:rsidRDefault="00731137" w:rsidP="00731137">
            <w:pPr>
              <w:jc w:val="right"/>
              <w:rPr>
                <w:b/>
                <w:bCs/>
                <w:sz w:val="18"/>
                <w:szCs w:val="18"/>
                <w:lang w:eastAsia="tr-TR"/>
              </w:rPr>
            </w:pPr>
            <w:r w:rsidRPr="00005453">
              <w:rPr>
                <w:b/>
                <w:sz w:val="18"/>
                <w:szCs w:val="18"/>
                <w:lang w:eastAsia="tr-TR"/>
              </w:rPr>
              <w:t>7,873,652</w:t>
            </w:r>
          </w:p>
        </w:tc>
        <w:tc>
          <w:tcPr>
            <w:tcW w:w="1984" w:type="dxa"/>
            <w:tcBorders>
              <w:top w:val="nil"/>
              <w:left w:val="nil"/>
              <w:bottom w:val="nil"/>
              <w:right w:val="nil"/>
            </w:tcBorders>
            <w:shd w:val="clear" w:color="auto" w:fill="auto"/>
            <w:vAlign w:val="center"/>
            <w:hideMark/>
          </w:tcPr>
          <w:p w14:paraId="742EFBA0" w14:textId="256C9777" w:rsidR="00731137" w:rsidRPr="00005453" w:rsidRDefault="00731137" w:rsidP="00731137">
            <w:pPr>
              <w:jc w:val="right"/>
              <w:rPr>
                <w:b/>
                <w:bCs/>
                <w:sz w:val="18"/>
                <w:szCs w:val="18"/>
                <w:lang w:eastAsia="tr-TR"/>
              </w:rPr>
            </w:pPr>
            <w:r w:rsidRPr="00005453">
              <w:rPr>
                <w:b/>
                <w:sz w:val="18"/>
                <w:szCs w:val="18"/>
                <w:lang w:eastAsia="tr-TR"/>
              </w:rPr>
              <w:t>24</w:t>
            </w:r>
          </w:p>
        </w:tc>
        <w:tc>
          <w:tcPr>
            <w:tcW w:w="1215" w:type="dxa"/>
            <w:tcBorders>
              <w:top w:val="nil"/>
              <w:left w:val="nil"/>
              <w:bottom w:val="nil"/>
              <w:right w:val="nil"/>
            </w:tcBorders>
            <w:shd w:val="clear" w:color="auto" w:fill="auto"/>
            <w:vAlign w:val="center"/>
            <w:hideMark/>
          </w:tcPr>
          <w:p w14:paraId="49782368" w14:textId="39686C29" w:rsidR="00731137" w:rsidRPr="00005453" w:rsidRDefault="00731137" w:rsidP="00731137">
            <w:pPr>
              <w:jc w:val="right"/>
              <w:rPr>
                <w:b/>
                <w:bCs/>
                <w:sz w:val="18"/>
                <w:szCs w:val="18"/>
                <w:lang w:eastAsia="tr-TR"/>
              </w:rPr>
            </w:pPr>
            <w:r w:rsidRPr="00005453">
              <w:rPr>
                <w:b/>
                <w:sz w:val="18"/>
                <w:szCs w:val="18"/>
                <w:lang w:eastAsia="tr-TR"/>
              </w:rPr>
              <w:t>7,873,676</w:t>
            </w:r>
          </w:p>
        </w:tc>
      </w:tr>
      <w:tr w:rsidR="00731137" w:rsidRPr="00005453" w14:paraId="6760053F"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2DA15677" w14:textId="77777777" w:rsidR="00731137" w:rsidRPr="00005453" w:rsidRDefault="00731137" w:rsidP="00731137">
            <w:pPr>
              <w:jc w:val="both"/>
              <w:rPr>
                <w:sz w:val="18"/>
                <w:szCs w:val="18"/>
                <w:lang w:eastAsia="tr-TR"/>
              </w:rPr>
            </w:pPr>
            <w:r w:rsidRPr="00005453">
              <w:rPr>
                <w:sz w:val="18"/>
                <w:szCs w:val="18"/>
                <w:lang w:eastAsia="tr-TR"/>
              </w:rPr>
              <w:t>Taksitli</w:t>
            </w:r>
          </w:p>
        </w:tc>
        <w:tc>
          <w:tcPr>
            <w:tcW w:w="2126" w:type="dxa"/>
            <w:tcBorders>
              <w:top w:val="nil"/>
              <w:left w:val="nil"/>
              <w:bottom w:val="nil"/>
              <w:right w:val="nil"/>
            </w:tcBorders>
            <w:shd w:val="clear" w:color="000000" w:fill="FFFFFF"/>
            <w:vAlign w:val="center"/>
            <w:hideMark/>
          </w:tcPr>
          <w:p w14:paraId="217EEA39" w14:textId="011494A1" w:rsidR="00731137" w:rsidRPr="00005453" w:rsidRDefault="00731137" w:rsidP="00731137">
            <w:pPr>
              <w:jc w:val="right"/>
              <w:rPr>
                <w:sz w:val="18"/>
                <w:szCs w:val="18"/>
                <w:lang w:eastAsia="tr-TR"/>
              </w:rPr>
            </w:pPr>
            <w:r w:rsidRPr="00005453">
              <w:rPr>
                <w:sz w:val="18"/>
                <w:szCs w:val="18"/>
                <w:lang w:eastAsia="tr-TR"/>
              </w:rPr>
              <w:t>2,429,914</w:t>
            </w:r>
          </w:p>
        </w:tc>
        <w:tc>
          <w:tcPr>
            <w:tcW w:w="1984" w:type="dxa"/>
            <w:tcBorders>
              <w:top w:val="nil"/>
              <w:left w:val="nil"/>
              <w:bottom w:val="nil"/>
              <w:right w:val="nil"/>
            </w:tcBorders>
            <w:shd w:val="clear" w:color="auto" w:fill="auto"/>
            <w:vAlign w:val="center"/>
            <w:hideMark/>
          </w:tcPr>
          <w:p w14:paraId="1CEC6221" w14:textId="6481B9B7" w:rsidR="00731137" w:rsidRPr="00005453" w:rsidRDefault="00731137" w:rsidP="00731137">
            <w:pPr>
              <w:jc w:val="right"/>
              <w:rPr>
                <w:sz w:val="18"/>
                <w:szCs w:val="18"/>
                <w:lang w:eastAsia="tr-TR"/>
              </w:rPr>
            </w:pPr>
            <w:r w:rsidRPr="00005453">
              <w:rPr>
                <w:sz w:val="18"/>
                <w:szCs w:val="18"/>
                <w:lang w:eastAsia="tr-TR"/>
              </w:rPr>
              <w:t>24</w:t>
            </w:r>
          </w:p>
        </w:tc>
        <w:tc>
          <w:tcPr>
            <w:tcW w:w="1215" w:type="dxa"/>
            <w:tcBorders>
              <w:top w:val="nil"/>
              <w:left w:val="nil"/>
              <w:bottom w:val="nil"/>
              <w:right w:val="nil"/>
            </w:tcBorders>
            <w:shd w:val="clear" w:color="auto" w:fill="auto"/>
            <w:vAlign w:val="center"/>
            <w:hideMark/>
          </w:tcPr>
          <w:p w14:paraId="337D422A" w14:textId="29AED903" w:rsidR="00731137" w:rsidRPr="00005453" w:rsidRDefault="00731137" w:rsidP="00731137">
            <w:pPr>
              <w:jc w:val="right"/>
              <w:rPr>
                <w:sz w:val="18"/>
                <w:szCs w:val="18"/>
                <w:lang w:eastAsia="tr-TR"/>
              </w:rPr>
            </w:pPr>
            <w:r w:rsidRPr="00005453">
              <w:rPr>
                <w:sz w:val="18"/>
                <w:szCs w:val="18"/>
                <w:lang w:eastAsia="tr-TR"/>
              </w:rPr>
              <w:t>2,429,938</w:t>
            </w:r>
          </w:p>
        </w:tc>
      </w:tr>
      <w:tr w:rsidR="00731137" w:rsidRPr="00005453" w14:paraId="125CF06E"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69B6205E" w14:textId="77777777" w:rsidR="00731137" w:rsidRPr="00005453" w:rsidRDefault="00731137" w:rsidP="00731137">
            <w:pPr>
              <w:jc w:val="both"/>
              <w:rPr>
                <w:sz w:val="18"/>
                <w:szCs w:val="18"/>
                <w:lang w:eastAsia="tr-TR"/>
              </w:rPr>
            </w:pPr>
            <w:r w:rsidRPr="00005453">
              <w:rPr>
                <w:sz w:val="18"/>
                <w:szCs w:val="18"/>
                <w:lang w:eastAsia="tr-TR"/>
              </w:rPr>
              <w:t>Taksitsiz</w:t>
            </w:r>
          </w:p>
        </w:tc>
        <w:tc>
          <w:tcPr>
            <w:tcW w:w="2126" w:type="dxa"/>
            <w:tcBorders>
              <w:top w:val="nil"/>
              <w:left w:val="nil"/>
              <w:bottom w:val="nil"/>
              <w:right w:val="nil"/>
            </w:tcBorders>
            <w:shd w:val="clear" w:color="000000" w:fill="FFFFFF"/>
            <w:vAlign w:val="center"/>
            <w:hideMark/>
          </w:tcPr>
          <w:p w14:paraId="0B04B83A" w14:textId="1EE4837B" w:rsidR="00731137" w:rsidRPr="00005453" w:rsidRDefault="00731137" w:rsidP="00731137">
            <w:pPr>
              <w:jc w:val="right"/>
              <w:rPr>
                <w:sz w:val="18"/>
                <w:szCs w:val="18"/>
                <w:lang w:eastAsia="tr-TR"/>
              </w:rPr>
            </w:pPr>
            <w:r w:rsidRPr="00005453">
              <w:rPr>
                <w:sz w:val="18"/>
                <w:szCs w:val="18"/>
                <w:lang w:eastAsia="tr-TR"/>
              </w:rPr>
              <w:t>5,443,738</w:t>
            </w:r>
          </w:p>
        </w:tc>
        <w:tc>
          <w:tcPr>
            <w:tcW w:w="1984" w:type="dxa"/>
            <w:tcBorders>
              <w:top w:val="nil"/>
              <w:left w:val="nil"/>
              <w:bottom w:val="nil"/>
              <w:right w:val="nil"/>
            </w:tcBorders>
            <w:shd w:val="clear" w:color="auto" w:fill="auto"/>
            <w:vAlign w:val="center"/>
            <w:hideMark/>
          </w:tcPr>
          <w:p w14:paraId="4F1C4922" w14:textId="4AE8C507"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0B2E82CF" w14:textId="245D3DD4" w:rsidR="00731137" w:rsidRPr="00005453" w:rsidRDefault="00731137" w:rsidP="00731137">
            <w:pPr>
              <w:jc w:val="right"/>
              <w:rPr>
                <w:sz w:val="18"/>
                <w:szCs w:val="18"/>
                <w:lang w:eastAsia="tr-TR"/>
              </w:rPr>
            </w:pPr>
            <w:r w:rsidRPr="00005453">
              <w:rPr>
                <w:sz w:val="18"/>
                <w:szCs w:val="18"/>
                <w:lang w:eastAsia="tr-TR"/>
              </w:rPr>
              <w:t>5,443,738</w:t>
            </w:r>
          </w:p>
        </w:tc>
      </w:tr>
      <w:tr w:rsidR="00731137" w:rsidRPr="00005453" w14:paraId="0239D3FA"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2806C67" w14:textId="77777777" w:rsidR="00731137" w:rsidRPr="00005453" w:rsidRDefault="00731137" w:rsidP="00731137">
            <w:pPr>
              <w:jc w:val="both"/>
              <w:rPr>
                <w:b/>
                <w:bCs/>
                <w:sz w:val="18"/>
                <w:szCs w:val="18"/>
                <w:lang w:eastAsia="tr-TR"/>
              </w:rPr>
            </w:pPr>
            <w:r w:rsidRPr="00005453">
              <w:rPr>
                <w:b/>
                <w:bCs/>
                <w:sz w:val="18"/>
                <w:szCs w:val="18"/>
                <w:lang w:eastAsia="tr-TR"/>
              </w:rPr>
              <w:t>Bireysel Kredi Kartları-YP</w:t>
            </w:r>
          </w:p>
        </w:tc>
        <w:tc>
          <w:tcPr>
            <w:tcW w:w="2126" w:type="dxa"/>
            <w:tcBorders>
              <w:top w:val="nil"/>
              <w:left w:val="nil"/>
              <w:bottom w:val="nil"/>
              <w:right w:val="nil"/>
            </w:tcBorders>
            <w:shd w:val="clear" w:color="000000" w:fill="FFFFFF"/>
            <w:vAlign w:val="center"/>
            <w:hideMark/>
          </w:tcPr>
          <w:p w14:paraId="63CB66FC" w14:textId="7BED5E14" w:rsidR="00731137" w:rsidRPr="00005453" w:rsidRDefault="00731137" w:rsidP="00731137">
            <w:pPr>
              <w:jc w:val="right"/>
              <w:rPr>
                <w:b/>
                <w:bCs/>
                <w:sz w:val="18"/>
                <w:szCs w:val="18"/>
                <w:lang w:eastAsia="tr-TR"/>
              </w:rPr>
            </w:pPr>
            <w:r w:rsidRPr="00005453">
              <w:rPr>
                <w:b/>
                <w:sz w:val="18"/>
                <w:szCs w:val="18"/>
                <w:lang w:eastAsia="tr-TR"/>
              </w:rPr>
              <w:t>-</w:t>
            </w:r>
          </w:p>
        </w:tc>
        <w:tc>
          <w:tcPr>
            <w:tcW w:w="1984" w:type="dxa"/>
            <w:tcBorders>
              <w:top w:val="nil"/>
              <w:left w:val="nil"/>
              <w:bottom w:val="nil"/>
              <w:right w:val="nil"/>
            </w:tcBorders>
            <w:shd w:val="clear" w:color="auto" w:fill="auto"/>
            <w:vAlign w:val="center"/>
            <w:hideMark/>
          </w:tcPr>
          <w:p w14:paraId="0D3ABAE6" w14:textId="7C064FED" w:rsidR="00731137" w:rsidRPr="00005453" w:rsidRDefault="00731137" w:rsidP="00731137">
            <w:pPr>
              <w:jc w:val="right"/>
              <w:rPr>
                <w:b/>
                <w:bCs/>
                <w:sz w:val="18"/>
                <w:szCs w:val="18"/>
                <w:lang w:eastAsia="tr-TR"/>
              </w:rPr>
            </w:pPr>
            <w:r w:rsidRPr="00005453">
              <w:rPr>
                <w:b/>
                <w:sz w:val="18"/>
                <w:szCs w:val="18"/>
                <w:lang w:eastAsia="tr-TR"/>
              </w:rPr>
              <w:t>-</w:t>
            </w:r>
          </w:p>
        </w:tc>
        <w:tc>
          <w:tcPr>
            <w:tcW w:w="1215" w:type="dxa"/>
            <w:tcBorders>
              <w:top w:val="nil"/>
              <w:left w:val="nil"/>
              <w:bottom w:val="nil"/>
              <w:right w:val="nil"/>
            </w:tcBorders>
            <w:shd w:val="clear" w:color="auto" w:fill="auto"/>
            <w:vAlign w:val="center"/>
            <w:hideMark/>
          </w:tcPr>
          <w:p w14:paraId="2120CBDE" w14:textId="28528569" w:rsidR="00731137" w:rsidRPr="00005453" w:rsidRDefault="00731137" w:rsidP="00731137">
            <w:pPr>
              <w:jc w:val="right"/>
              <w:rPr>
                <w:b/>
                <w:bCs/>
                <w:sz w:val="18"/>
                <w:szCs w:val="18"/>
                <w:lang w:eastAsia="tr-TR"/>
              </w:rPr>
            </w:pPr>
            <w:r w:rsidRPr="00005453">
              <w:rPr>
                <w:b/>
                <w:sz w:val="18"/>
                <w:szCs w:val="18"/>
                <w:lang w:eastAsia="tr-TR"/>
              </w:rPr>
              <w:t>-</w:t>
            </w:r>
          </w:p>
        </w:tc>
      </w:tr>
      <w:tr w:rsidR="00731137" w:rsidRPr="00005453" w14:paraId="758802EE"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7F85C681" w14:textId="77777777" w:rsidR="00731137" w:rsidRPr="00005453" w:rsidRDefault="00731137" w:rsidP="00731137">
            <w:pPr>
              <w:jc w:val="both"/>
              <w:rPr>
                <w:sz w:val="18"/>
                <w:szCs w:val="18"/>
                <w:lang w:eastAsia="tr-TR"/>
              </w:rPr>
            </w:pPr>
            <w:r w:rsidRPr="00005453">
              <w:rPr>
                <w:sz w:val="18"/>
                <w:szCs w:val="18"/>
                <w:lang w:eastAsia="tr-TR"/>
              </w:rPr>
              <w:t>Taksitli</w:t>
            </w:r>
          </w:p>
        </w:tc>
        <w:tc>
          <w:tcPr>
            <w:tcW w:w="2126" w:type="dxa"/>
            <w:tcBorders>
              <w:top w:val="nil"/>
              <w:left w:val="nil"/>
              <w:bottom w:val="nil"/>
              <w:right w:val="nil"/>
            </w:tcBorders>
            <w:shd w:val="clear" w:color="000000" w:fill="FFFFFF"/>
            <w:vAlign w:val="center"/>
            <w:hideMark/>
          </w:tcPr>
          <w:p w14:paraId="4A1D34E8" w14:textId="7FBFE4F8"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5D83845E" w14:textId="03B0E525"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1979ED0E" w14:textId="7D7B38C0"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6216B8F0"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7DE56449" w14:textId="77777777" w:rsidR="00731137" w:rsidRPr="00005453" w:rsidRDefault="00731137" w:rsidP="00731137">
            <w:pPr>
              <w:jc w:val="both"/>
              <w:rPr>
                <w:sz w:val="18"/>
                <w:szCs w:val="18"/>
                <w:lang w:eastAsia="tr-TR"/>
              </w:rPr>
            </w:pPr>
            <w:r w:rsidRPr="00005453">
              <w:rPr>
                <w:sz w:val="18"/>
                <w:szCs w:val="18"/>
                <w:lang w:eastAsia="tr-TR"/>
              </w:rPr>
              <w:t>Taksitsiz</w:t>
            </w:r>
          </w:p>
        </w:tc>
        <w:tc>
          <w:tcPr>
            <w:tcW w:w="2126" w:type="dxa"/>
            <w:tcBorders>
              <w:top w:val="nil"/>
              <w:left w:val="nil"/>
              <w:bottom w:val="nil"/>
              <w:right w:val="nil"/>
            </w:tcBorders>
            <w:shd w:val="clear" w:color="000000" w:fill="FFFFFF"/>
            <w:vAlign w:val="center"/>
            <w:hideMark/>
          </w:tcPr>
          <w:p w14:paraId="64454039" w14:textId="71C17640"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4FBDC6B6" w14:textId="77206A2B"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3E7D258F" w14:textId="5D6D7D5D"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5031E5D3"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CC1AECC" w14:textId="77777777" w:rsidR="00731137" w:rsidRPr="00005453" w:rsidRDefault="00731137" w:rsidP="00731137">
            <w:pPr>
              <w:jc w:val="both"/>
              <w:rPr>
                <w:b/>
                <w:bCs/>
                <w:sz w:val="18"/>
                <w:szCs w:val="18"/>
                <w:lang w:eastAsia="tr-TR"/>
              </w:rPr>
            </w:pPr>
            <w:r w:rsidRPr="00005453">
              <w:rPr>
                <w:b/>
                <w:bCs/>
                <w:sz w:val="18"/>
                <w:szCs w:val="18"/>
                <w:lang w:eastAsia="tr-TR"/>
              </w:rPr>
              <w:t>Personel Kredileri-TP</w:t>
            </w:r>
          </w:p>
        </w:tc>
        <w:tc>
          <w:tcPr>
            <w:tcW w:w="2126" w:type="dxa"/>
            <w:tcBorders>
              <w:top w:val="nil"/>
              <w:left w:val="nil"/>
              <w:bottom w:val="nil"/>
              <w:right w:val="nil"/>
            </w:tcBorders>
            <w:shd w:val="clear" w:color="000000" w:fill="FFFFFF"/>
            <w:vAlign w:val="center"/>
            <w:hideMark/>
          </w:tcPr>
          <w:p w14:paraId="4D5B9942" w14:textId="65B5DF17" w:rsidR="00731137" w:rsidRPr="00005453" w:rsidRDefault="00731137" w:rsidP="00731137">
            <w:pPr>
              <w:jc w:val="right"/>
              <w:rPr>
                <w:b/>
                <w:bCs/>
                <w:sz w:val="18"/>
                <w:szCs w:val="18"/>
                <w:lang w:eastAsia="tr-TR"/>
              </w:rPr>
            </w:pPr>
            <w:r w:rsidRPr="00005453">
              <w:rPr>
                <w:b/>
                <w:sz w:val="18"/>
                <w:szCs w:val="18"/>
                <w:lang w:eastAsia="tr-TR"/>
              </w:rPr>
              <w:t>21,406</w:t>
            </w:r>
          </w:p>
        </w:tc>
        <w:tc>
          <w:tcPr>
            <w:tcW w:w="1984" w:type="dxa"/>
            <w:tcBorders>
              <w:top w:val="nil"/>
              <w:left w:val="nil"/>
              <w:bottom w:val="nil"/>
              <w:right w:val="nil"/>
            </w:tcBorders>
            <w:shd w:val="clear" w:color="auto" w:fill="auto"/>
            <w:vAlign w:val="center"/>
            <w:hideMark/>
          </w:tcPr>
          <w:p w14:paraId="4E1347F3" w14:textId="60DEBE7E" w:rsidR="00731137" w:rsidRPr="00005453" w:rsidRDefault="00731137" w:rsidP="00731137">
            <w:pPr>
              <w:jc w:val="right"/>
              <w:rPr>
                <w:b/>
                <w:bCs/>
                <w:sz w:val="18"/>
                <w:szCs w:val="18"/>
                <w:lang w:eastAsia="tr-TR"/>
              </w:rPr>
            </w:pPr>
            <w:r w:rsidRPr="00005453">
              <w:rPr>
                <w:b/>
                <w:sz w:val="18"/>
                <w:szCs w:val="18"/>
                <w:lang w:eastAsia="tr-TR"/>
              </w:rPr>
              <w:t>138,181</w:t>
            </w:r>
          </w:p>
        </w:tc>
        <w:tc>
          <w:tcPr>
            <w:tcW w:w="1215" w:type="dxa"/>
            <w:tcBorders>
              <w:top w:val="nil"/>
              <w:left w:val="nil"/>
              <w:bottom w:val="nil"/>
              <w:right w:val="nil"/>
            </w:tcBorders>
            <w:shd w:val="clear" w:color="auto" w:fill="auto"/>
            <w:vAlign w:val="center"/>
            <w:hideMark/>
          </w:tcPr>
          <w:p w14:paraId="54BC2059" w14:textId="7333E08D" w:rsidR="00731137" w:rsidRPr="00005453" w:rsidRDefault="00731137" w:rsidP="00731137">
            <w:pPr>
              <w:jc w:val="right"/>
              <w:rPr>
                <w:b/>
                <w:bCs/>
                <w:sz w:val="18"/>
                <w:szCs w:val="18"/>
                <w:lang w:eastAsia="tr-TR"/>
              </w:rPr>
            </w:pPr>
            <w:r w:rsidRPr="00005453">
              <w:rPr>
                <w:b/>
                <w:sz w:val="18"/>
                <w:szCs w:val="18"/>
                <w:lang w:eastAsia="tr-TR"/>
              </w:rPr>
              <w:t>159,587</w:t>
            </w:r>
          </w:p>
        </w:tc>
      </w:tr>
      <w:tr w:rsidR="00731137" w:rsidRPr="00005453" w14:paraId="15B385B4"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254AB448" w14:textId="77777777" w:rsidR="00731137" w:rsidRPr="00005453" w:rsidRDefault="00731137" w:rsidP="00731137">
            <w:pPr>
              <w:jc w:val="both"/>
              <w:rPr>
                <w:sz w:val="18"/>
                <w:szCs w:val="18"/>
                <w:lang w:eastAsia="tr-TR"/>
              </w:rPr>
            </w:pPr>
            <w:r w:rsidRPr="00005453">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3DF305D3" w14:textId="66956F00" w:rsidR="00731137" w:rsidRPr="00005453" w:rsidRDefault="00731137" w:rsidP="00731137">
            <w:pPr>
              <w:jc w:val="right"/>
              <w:rPr>
                <w:sz w:val="18"/>
                <w:szCs w:val="18"/>
                <w:lang w:eastAsia="tr-TR"/>
              </w:rPr>
            </w:pPr>
            <w:r w:rsidRPr="00005453">
              <w:rPr>
                <w:sz w:val="18"/>
                <w:szCs w:val="18"/>
                <w:lang w:eastAsia="tr-TR"/>
              </w:rPr>
              <w:t>172</w:t>
            </w:r>
          </w:p>
        </w:tc>
        <w:tc>
          <w:tcPr>
            <w:tcW w:w="1984" w:type="dxa"/>
            <w:tcBorders>
              <w:top w:val="nil"/>
              <w:left w:val="nil"/>
              <w:bottom w:val="nil"/>
              <w:right w:val="nil"/>
            </w:tcBorders>
            <w:shd w:val="clear" w:color="auto" w:fill="auto"/>
            <w:vAlign w:val="center"/>
            <w:hideMark/>
          </w:tcPr>
          <w:p w14:paraId="2F33370F" w14:textId="0B87E9E7" w:rsidR="00731137" w:rsidRPr="00005453" w:rsidRDefault="00731137" w:rsidP="00731137">
            <w:pPr>
              <w:jc w:val="right"/>
              <w:rPr>
                <w:sz w:val="18"/>
                <w:szCs w:val="18"/>
                <w:lang w:eastAsia="tr-TR"/>
              </w:rPr>
            </w:pPr>
            <w:r w:rsidRPr="00005453">
              <w:rPr>
                <w:sz w:val="18"/>
                <w:szCs w:val="18"/>
                <w:lang w:eastAsia="tr-TR"/>
              </w:rPr>
              <w:t>9,686</w:t>
            </w:r>
          </w:p>
        </w:tc>
        <w:tc>
          <w:tcPr>
            <w:tcW w:w="1215" w:type="dxa"/>
            <w:tcBorders>
              <w:top w:val="nil"/>
              <w:left w:val="nil"/>
              <w:bottom w:val="nil"/>
              <w:right w:val="nil"/>
            </w:tcBorders>
            <w:shd w:val="clear" w:color="auto" w:fill="auto"/>
            <w:vAlign w:val="center"/>
            <w:hideMark/>
          </w:tcPr>
          <w:p w14:paraId="5AD41842" w14:textId="3E8021AE" w:rsidR="00731137" w:rsidRPr="00005453" w:rsidRDefault="00731137" w:rsidP="00731137">
            <w:pPr>
              <w:jc w:val="right"/>
              <w:rPr>
                <w:sz w:val="18"/>
                <w:szCs w:val="18"/>
                <w:lang w:eastAsia="tr-TR"/>
              </w:rPr>
            </w:pPr>
            <w:r w:rsidRPr="00005453">
              <w:rPr>
                <w:sz w:val="18"/>
                <w:szCs w:val="18"/>
                <w:lang w:eastAsia="tr-TR"/>
              </w:rPr>
              <w:t>9,858</w:t>
            </w:r>
          </w:p>
        </w:tc>
      </w:tr>
      <w:tr w:rsidR="00731137" w:rsidRPr="00005453" w14:paraId="58C2EBA8"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231D092F" w14:textId="77777777" w:rsidR="00731137" w:rsidRPr="00005453" w:rsidRDefault="00731137" w:rsidP="00731137">
            <w:pPr>
              <w:jc w:val="both"/>
              <w:rPr>
                <w:sz w:val="18"/>
                <w:szCs w:val="18"/>
                <w:lang w:eastAsia="tr-TR"/>
              </w:rPr>
            </w:pPr>
            <w:r w:rsidRPr="00005453">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2BF60BCB" w14:textId="0A1B3D9B" w:rsidR="00731137" w:rsidRPr="00005453" w:rsidRDefault="00731137" w:rsidP="00731137">
            <w:pPr>
              <w:jc w:val="right"/>
              <w:rPr>
                <w:sz w:val="18"/>
                <w:szCs w:val="18"/>
                <w:lang w:eastAsia="tr-TR"/>
              </w:rPr>
            </w:pPr>
            <w:r w:rsidRPr="00005453">
              <w:rPr>
                <w:sz w:val="18"/>
                <w:szCs w:val="18"/>
                <w:lang w:eastAsia="tr-TR"/>
              </w:rPr>
              <w:t>5,821</w:t>
            </w:r>
          </w:p>
        </w:tc>
        <w:tc>
          <w:tcPr>
            <w:tcW w:w="1984" w:type="dxa"/>
            <w:tcBorders>
              <w:top w:val="nil"/>
              <w:left w:val="nil"/>
              <w:bottom w:val="nil"/>
              <w:right w:val="nil"/>
            </w:tcBorders>
            <w:shd w:val="clear" w:color="auto" w:fill="auto"/>
            <w:vAlign w:val="center"/>
            <w:hideMark/>
          </w:tcPr>
          <w:p w14:paraId="192F3BAC" w14:textId="590043A4" w:rsidR="00731137" w:rsidRPr="00005453" w:rsidRDefault="00731137" w:rsidP="00731137">
            <w:pPr>
              <w:jc w:val="right"/>
              <w:rPr>
                <w:sz w:val="18"/>
                <w:szCs w:val="18"/>
                <w:lang w:eastAsia="tr-TR"/>
              </w:rPr>
            </w:pPr>
            <w:r w:rsidRPr="00005453">
              <w:rPr>
                <w:sz w:val="18"/>
                <w:szCs w:val="18"/>
                <w:lang w:eastAsia="tr-TR"/>
              </w:rPr>
              <w:t>40,180</w:t>
            </w:r>
          </w:p>
        </w:tc>
        <w:tc>
          <w:tcPr>
            <w:tcW w:w="1215" w:type="dxa"/>
            <w:tcBorders>
              <w:top w:val="nil"/>
              <w:left w:val="nil"/>
              <w:bottom w:val="nil"/>
              <w:right w:val="nil"/>
            </w:tcBorders>
            <w:shd w:val="clear" w:color="auto" w:fill="auto"/>
            <w:vAlign w:val="center"/>
            <w:hideMark/>
          </w:tcPr>
          <w:p w14:paraId="4410EF8E" w14:textId="17CDF4AE" w:rsidR="00731137" w:rsidRPr="00005453" w:rsidRDefault="00731137" w:rsidP="00731137">
            <w:pPr>
              <w:jc w:val="right"/>
              <w:rPr>
                <w:sz w:val="18"/>
                <w:szCs w:val="18"/>
                <w:lang w:eastAsia="tr-TR"/>
              </w:rPr>
            </w:pPr>
            <w:r w:rsidRPr="00005453">
              <w:rPr>
                <w:sz w:val="18"/>
                <w:szCs w:val="18"/>
                <w:lang w:eastAsia="tr-TR"/>
              </w:rPr>
              <w:t>46,001</w:t>
            </w:r>
          </w:p>
        </w:tc>
      </w:tr>
      <w:tr w:rsidR="00731137" w:rsidRPr="00005453" w14:paraId="6DB1B602"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48D77A67" w14:textId="77777777" w:rsidR="00731137" w:rsidRPr="00005453" w:rsidRDefault="00731137" w:rsidP="00731137">
            <w:pPr>
              <w:jc w:val="both"/>
              <w:rPr>
                <w:sz w:val="18"/>
                <w:szCs w:val="18"/>
                <w:lang w:eastAsia="tr-TR"/>
              </w:rPr>
            </w:pPr>
            <w:r w:rsidRPr="00005453">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0D7F8A40" w14:textId="066511FD" w:rsidR="00731137" w:rsidRPr="00005453" w:rsidRDefault="00731137" w:rsidP="00731137">
            <w:pPr>
              <w:jc w:val="right"/>
              <w:rPr>
                <w:sz w:val="18"/>
                <w:szCs w:val="18"/>
                <w:lang w:eastAsia="tr-TR"/>
              </w:rPr>
            </w:pPr>
            <w:r w:rsidRPr="00005453">
              <w:rPr>
                <w:sz w:val="18"/>
                <w:szCs w:val="18"/>
                <w:lang w:eastAsia="tr-TR"/>
              </w:rPr>
              <w:t>15,413</w:t>
            </w:r>
          </w:p>
        </w:tc>
        <w:tc>
          <w:tcPr>
            <w:tcW w:w="1984" w:type="dxa"/>
            <w:tcBorders>
              <w:top w:val="nil"/>
              <w:left w:val="nil"/>
              <w:bottom w:val="nil"/>
              <w:right w:val="nil"/>
            </w:tcBorders>
            <w:shd w:val="clear" w:color="auto" w:fill="auto"/>
            <w:vAlign w:val="center"/>
            <w:hideMark/>
          </w:tcPr>
          <w:p w14:paraId="70E78201" w14:textId="520A45C2" w:rsidR="00731137" w:rsidRPr="00005453" w:rsidRDefault="00731137" w:rsidP="00731137">
            <w:pPr>
              <w:jc w:val="right"/>
              <w:rPr>
                <w:sz w:val="18"/>
                <w:szCs w:val="18"/>
                <w:lang w:eastAsia="tr-TR"/>
              </w:rPr>
            </w:pPr>
            <w:r w:rsidRPr="00005453">
              <w:rPr>
                <w:sz w:val="18"/>
                <w:szCs w:val="18"/>
                <w:lang w:eastAsia="tr-TR"/>
              </w:rPr>
              <w:t>88,315</w:t>
            </w:r>
          </w:p>
        </w:tc>
        <w:tc>
          <w:tcPr>
            <w:tcW w:w="1215" w:type="dxa"/>
            <w:tcBorders>
              <w:top w:val="nil"/>
              <w:left w:val="nil"/>
              <w:bottom w:val="nil"/>
              <w:right w:val="nil"/>
            </w:tcBorders>
            <w:shd w:val="clear" w:color="auto" w:fill="auto"/>
            <w:vAlign w:val="center"/>
            <w:hideMark/>
          </w:tcPr>
          <w:p w14:paraId="7C734883" w14:textId="2B03ED9E" w:rsidR="00731137" w:rsidRPr="00005453" w:rsidRDefault="00731137" w:rsidP="00731137">
            <w:pPr>
              <w:jc w:val="right"/>
              <w:rPr>
                <w:sz w:val="18"/>
                <w:szCs w:val="18"/>
                <w:lang w:eastAsia="tr-TR"/>
              </w:rPr>
            </w:pPr>
            <w:r w:rsidRPr="00005453">
              <w:rPr>
                <w:sz w:val="18"/>
                <w:szCs w:val="18"/>
                <w:lang w:eastAsia="tr-TR"/>
              </w:rPr>
              <w:t>103,728</w:t>
            </w:r>
          </w:p>
        </w:tc>
      </w:tr>
      <w:tr w:rsidR="00731137" w:rsidRPr="00005453" w14:paraId="0E970237"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5A064A2" w14:textId="77777777" w:rsidR="00731137" w:rsidRPr="00005453" w:rsidRDefault="00731137" w:rsidP="00731137">
            <w:pPr>
              <w:jc w:val="both"/>
              <w:rPr>
                <w:sz w:val="18"/>
                <w:szCs w:val="18"/>
                <w:lang w:eastAsia="tr-TR"/>
              </w:rPr>
            </w:pPr>
            <w:r w:rsidRPr="00005453">
              <w:rPr>
                <w:sz w:val="18"/>
                <w:szCs w:val="18"/>
                <w:lang w:eastAsia="tr-TR"/>
              </w:rPr>
              <w:t>Diğer</w:t>
            </w:r>
          </w:p>
        </w:tc>
        <w:tc>
          <w:tcPr>
            <w:tcW w:w="2126" w:type="dxa"/>
            <w:tcBorders>
              <w:top w:val="nil"/>
              <w:left w:val="nil"/>
              <w:bottom w:val="nil"/>
              <w:right w:val="nil"/>
            </w:tcBorders>
            <w:shd w:val="clear" w:color="000000" w:fill="FFFFFF"/>
            <w:vAlign w:val="center"/>
            <w:hideMark/>
          </w:tcPr>
          <w:p w14:paraId="05418913" w14:textId="61C69D97"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3E3458CC" w14:textId="477F38A0"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793F5B1B" w14:textId="46EE6B17"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59EA889F"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23C9E91" w14:textId="77777777" w:rsidR="00731137" w:rsidRPr="00005453" w:rsidRDefault="00731137" w:rsidP="00731137">
            <w:pPr>
              <w:jc w:val="both"/>
              <w:rPr>
                <w:b/>
                <w:bCs/>
                <w:sz w:val="18"/>
                <w:szCs w:val="18"/>
                <w:lang w:eastAsia="tr-TR"/>
              </w:rPr>
            </w:pPr>
            <w:r w:rsidRPr="00005453">
              <w:rPr>
                <w:b/>
                <w:bCs/>
                <w:sz w:val="18"/>
                <w:szCs w:val="18"/>
                <w:lang w:eastAsia="tr-TR"/>
              </w:rPr>
              <w:t>Personel Kredileri-Dövize Endeksli</w:t>
            </w:r>
          </w:p>
        </w:tc>
        <w:tc>
          <w:tcPr>
            <w:tcW w:w="2126" w:type="dxa"/>
            <w:tcBorders>
              <w:top w:val="nil"/>
              <w:left w:val="nil"/>
              <w:bottom w:val="nil"/>
              <w:right w:val="nil"/>
            </w:tcBorders>
            <w:shd w:val="clear" w:color="000000" w:fill="FFFFFF"/>
            <w:vAlign w:val="center"/>
            <w:hideMark/>
          </w:tcPr>
          <w:p w14:paraId="7A9C0F6B" w14:textId="67F45DC3" w:rsidR="00731137" w:rsidRPr="00005453" w:rsidRDefault="00731137" w:rsidP="00731137">
            <w:pPr>
              <w:jc w:val="right"/>
              <w:rPr>
                <w:b/>
                <w:bCs/>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5008678B" w14:textId="27477E58" w:rsidR="00731137" w:rsidRPr="00005453" w:rsidRDefault="00731137" w:rsidP="00731137">
            <w:pPr>
              <w:jc w:val="right"/>
              <w:rPr>
                <w:b/>
                <w:bCs/>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6D791A15" w14:textId="6F5629F1"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41B9E330"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588124F" w14:textId="77777777" w:rsidR="00731137" w:rsidRPr="00005453" w:rsidRDefault="00731137" w:rsidP="00731137">
            <w:pPr>
              <w:jc w:val="both"/>
              <w:rPr>
                <w:sz w:val="18"/>
                <w:szCs w:val="18"/>
                <w:lang w:eastAsia="tr-TR"/>
              </w:rPr>
            </w:pPr>
            <w:r w:rsidRPr="00005453">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20330C4F" w14:textId="621E102C"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616C0199" w14:textId="01869525"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07862EB1" w14:textId="5F1DF2A3"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3FBB2BF4"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34D8CB2" w14:textId="77777777" w:rsidR="00731137" w:rsidRPr="00005453" w:rsidRDefault="00731137" w:rsidP="00731137">
            <w:pPr>
              <w:jc w:val="both"/>
              <w:rPr>
                <w:sz w:val="18"/>
                <w:szCs w:val="18"/>
                <w:lang w:eastAsia="tr-TR"/>
              </w:rPr>
            </w:pPr>
            <w:r w:rsidRPr="00005453">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211B3D7E" w14:textId="5CB8F4F5"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2D12C06C" w14:textId="4122E384"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436CCB2C" w14:textId="0E96D010"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35F61F6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A9208BC" w14:textId="77777777" w:rsidR="00731137" w:rsidRPr="00005453" w:rsidRDefault="00731137" w:rsidP="00731137">
            <w:pPr>
              <w:jc w:val="both"/>
              <w:rPr>
                <w:sz w:val="18"/>
                <w:szCs w:val="18"/>
                <w:lang w:eastAsia="tr-TR"/>
              </w:rPr>
            </w:pPr>
            <w:r w:rsidRPr="00005453">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1F65C6A7" w14:textId="29EFC5CC"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1E82AA8B" w14:textId="55EB2636"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15D560FA" w14:textId="78E6B4E5"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0E06C0BA"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3E2072D0" w14:textId="77777777" w:rsidR="00731137" w:rsidRPr="00005453" w:rsidRDefault="00731137" w:rsidP="00731137">
            <w:pPr>
              <w:jc w:val="both"/>
              <w:rPr>
                <w:sz w:val="18"/>
                <w:szCs w:val="18"/>
                <w:lang w:eastAsia="tr-TR"/>
              </w:rPr>
            </w:pPr>
            <w:r w:rsidRPr="00005453">
              <w:rPr>
                <w:sz w:val="18"/>
                <w:szCs w:val="18"/>
                <w:lang w:eastAsia="tr-TR"/>
              </w:rPr>
              <w:t>Diğer</w:t>
            </w:r>
          </w:p>
        </w:tc>
        <w:tc>
          <w:tcPr>
            <w:tcW w:w="2126" w:type="dxa"/>
            <w:tcBorders>
              <w:top w:val="nil"/>
              <w:left w:val="nil"/>
              <w:bottom w:val="nil"/>
              <w:right w:val="nil"/>
            </w:tcBorders>
            <w:shd w:val="clear" w:color="000000" w:fill="FFFFFF"/>
            <w:vAlign w:val="center"/>
            <w:hideMark/>
          </w:tcPr>
          <w:p w14:paraId="7DE163B6" w14:textId="0E006DF1"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4ABB2844" w14:textId="5C454439"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090488F4" w14:textId="722A0F73"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202D340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341C4902" w14:textId="77777777" w:rsidR="00731137" w:rsidRPr="00005453" w:rsidRDefault="00731137" w:rsidP="00731137">
            <w:pPr>
              <w:jc w:val="both"/>
              <w:rPr>
                <w:b/>
                <w:bCs/>
                <w:sz w:val="18"/>
                <w:szCs w:val="18"/>
                <w:lang w:eastAsia="tr-TR"/>
              </w:rPr>
            </w:pPr>
            <w:r w:rsidRPr="00005453">
              <w:rPr>
                <w:b/>
                <w:bCs/>
                <w:sz w:val="18"/>
                <w:szCs w:val="18"/>
                <w:lang w:eastAsia="tr-TR"/>
              </w:rPr>
              <w:t>Personel Kredileri-YP</w:t>
            </w:r>
          </w:p>
        </w:tc>
        <w:tc>
          <w:tcPr>
            <w:tcW w:w="2126" w:type="dxa"/>
            <w:tcBorders>
              <w:top w:val="nil"/>
              <w:left w:val="nil"/>
              <w:bottom w:val="nil"/>
              <w:right w:val="nil"/>
            </w:tcBorders>
            <w:shd w:val="clear" w:color="000000" w:fill="FFFFFF"/>
            <w:vAlign w:val="center"/>
            <w:hideMark/>
          </w:tcPr>
          <w:p w14:paraId="3C29965D" w14:textId="50092763" w:rsidR="00731137" w:rsidRPr="00005453" w:rsidRDefault="00731137" w:rsidP="00731137">
            <w:pPr>
              <w:jc w:val="right"/>
              <w:rPr>
                <w:b/>
                <w:bCs/>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227A2FF3" w14:textId="4049185D" w:rsidR="00731137" w:rsidRPr="00005453" w:rsidRDefault="00731137" w:rsidP="00731137">
            <w:pPr>
              <w:jc w:val="right"/>
              <w:rPr>
                <w:b/>
                <w:bCs/>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448E3FAA" w14:textId="46A37F5B"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347235FB"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132A1A8" w14:textId="77777777" w:rsidR="00731137" w:rsidRPr="00005453" w:rsidRDefault="00731137" w:rsidP="00731137">
            <w:pPr>
              <w:jc w:val="both"/>
              <w:rPr>
                <w:sz w:val="18"/>
                <w:szCs w:val="18"/>
                <w:lang w:eastAsia="tr-TR"/>
              </w:rPr>
            </w:pPr>
            <w:r w:rsidRPr="00005453">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0E704FB9" w14:textId="4F2FA287"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05AF2DB3" w14:textId="13C68A4E"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2C78E191" w14:textId="210E5ECA"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5BF95B97"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1C8DA628" w14:textId="77777777" w:rsidR="00731137" w:rsidRPr="00005453" w:rsidRDefault="00731137" w:rsidP="00731137">
            <w:pPr>
              <w:jc w:val="both"/>
              <w:rPr>
                <w:sz w:val="18"/>
                <w:szCs w:val="18"/>
                <w:lang w:eastAsia="tr-TR"/>
              </w:rPr>
            </w:pPr>
            <w:r w:rsidRPr="00005453">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012BFEB3" w14:textId="10863EB6"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0FD6D0AA" w14:textId="40FF228B"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3F0FCB5C" w14:textId="3833E150"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4864BE4E"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83BA187" w14:textId="77777777" w:rsidR="00731137" w:rsidRPr="00005453" w:rsidRDefault="00731137" w:rsidP="00731137">
            <w:pPr>
              <w:jc w:val="both"/>
              <w:rPr>
                <w:sz w:val="18"/>
                <w:szCs w:val="18"/>
                <w:lang w:eastAsia="tr-TR"/>
              </w:rPr>
            </w:pPr>
            <w:r w:rsidRPr="00005453">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72B05A35" w14:textId="6DC0EE62"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72819CDC" w14:textId="3CFAF1E1"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716B9CA1" w14:textId="56D5D8F7"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343C1A34"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5BE58CE0" w14:textId="77777777" w:rsidR="00731137" w:rsidRPr="00005453" w:rsidRDefault="00731137" w:rsidP="00731137">
            <w:pPr>
              <w:jc w:val="both"/>
              <w:rPr>
                <w:sz w:val="18"/>
                <w:szCs w:val="18"/>
                <w:lang w:eastAsia="tr-TR"/>
              </w:rPr>
            </w:pPr>
            <w:r w:rsidRPr="00005453">
              <w:rPr>
                <w:sz w:val="18"/>
                <w:szCs w:val="18"/>
                <w:lang w:eastAsia="tr-TR"/>
              </w:rPr>
              <w:t>Diğer</w:t>
            </w:r>
          </w:p>
        </w:tc>
        <w:tc>
          <w:tcPr>
            <w:tcW w:w="2126" w:type="dxa"/>
            <w:tcBorders>
              <w:top w:val="nil"/>
              <w:left w:val="nil"/>
              <w:bottom w:val="nil"/>
              <w:right w:val="nil"/>
            </w:tcBorders>
            <w:shd w:val="clear" w:color="000000" w:fill="FFFFFF"/>
            <w:vAlign w:val="center"/>
            <w:hideMark/>
          </w:tcPr>
          <w:p w14:paraId="105A65B7" w14:textId="1AA03CE1"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76FCC603" w14:textId="586A7995"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5A456B8E" w14:textId="7C7BA270"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0B7019F2"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0C5FAC9" w14:textId="77777777" w:rsidR="00731137" w:rsidRPr="00005453" w:rsidRDefault="00731137" w:rsidP="00731137">
            <w:pPr>
              <w:jc w:val="both"/>
              <w:rPr>
                <w:b/>
                <w:bCs/>
                <w:sz w:val="18"/>
                <w:szCs w:val="18"/>
                <w:lang w:eastAsia="tr-TR"/>
              </w:rPr>
            </w:pPr>
            <w:r w:rsidRPr="00005453">
              <w:rPr>
                <w:b/>
                <w:bCs/>
                <w:sz w:val="18"/>
                <w:szCs w:val="18"/>
                <w:lang w:eastAsia="tr-TR"/>
              </w:rPr>
              <w:t>Personel Kredi Kartları-TP</w:t>
            </w:r>
          </w:p>
        </w:tc>
        <w:tc>
          <w:tcPr>
            <w:tcW w:w="2126" w:type="dxa"/>
            <w:tcBorders>
              <w:top w:val="nil"/>
              <w:left w:val="nil"/>
              <w:bottom w:val="nil"/>
              <w:right w:val="nil"/>
            </w:tcBorders>
            <w:shd w:val="clear" w:color="000000" w:fill="FFFFFF"/>
            <w:vAlign w:val="center"/>
            <w:hideMark/>
          </w:tcPr>
          <w:p w14:paraId="4632A5D8" w14:textId="3F93F6A6" w:rsidR="00731137" w:rsidRPr="00005453" w:rsidRDefault="00731137" w:rsidP="00731137">
            <w:pPr>
              <w:jc w:val="right"/>
              <w:rPr>
                <w:b/>
                <w:bCs/>
                <w:sz w:val="18"/>
                <w:szCs w:val="18"/>
                <w:lang w:eastAsia="tr-TR"/>
              </w:rPr>
            </w:pPr>
            <w:r w:rsidRPr="00005453">
              <w:rPr>
                <w:b/>
                <w:sz w:val="18"/>
                <w:szCs w:val="18"/>
                <w:lang w:eastAsia="tr-TR"/>
              </w:rPr>
              <w:t>113,146</w:t>
            </w:r>
          </w:p>
        </w:tc>
        <w:tc>
          <w:tcPr>
            <w:tcW w:w="1984" w:type="dxa"/>
            <w:tcBorders>
              <w:top w:val="nil"/>
              <w:left w:val="nil"/>
              <w:bottom w:val="nil"/>
              <w:right w:val="nil"/>
            </w:tcBorders>
            <w:shd w:val="clear" w:color="auto" w:fill="auto"/>
            <w:vAlign w:val="center"/>
            <w:hideMark/>
          </w:tcPr>
          <w:p w14:paraId="20112B7C" w14:textId="421641A8" w:rsidR="00731137" w:rsidRPr="00005453" w:rsidRDefault="00731137" w:rsidP="00731137">
            <w:pPr>
              <w:jc w:val="right"/>
              <w:rPr>
                <w:b/>
                <w:bCs/>
                <w:sz w:val="18"/>
                <w:szCs w:val="18"/>
                <w:lang w:eastAsia="tr-TR"/>
              </w:rPr>
            </w:pPr>
            <w:r w:rsidRPr="00005453">
              <w:rPr>
                <w:b/>
                <w:sz w:val="18"/>
                <w:szCs w:val="18"/>
                <w:lang w:eastAsia="tr-TR"/>
              </w:rPr>
              <w:t>2</w:t>
            </w:r>
          </w:p>
        </w:tc>
        <w:tc>
          <w:tcPr>
            <w:tcW w:w="1215" w:type="dxa"/>
            <w:tcBorders>
              <w:top w:val="nil"/>
              <w:left w:val="nil"/>
              <w:bottom w:val="nil"/>
              <w:right w:val="nil"/>
            </w:tcBorders>
            <w:shd w:val="clear" w:color="auto" w:fill="auto"/>
            <w:vAlign w:val="center"/>
            <w:hideMark/>
          </w:tcPr>
          <w:p w14:paraId="4DBDF516" w14:textId="6FB138A7" w:rsidR="00731137" w:rsidRPr="00005453" w:rsidRDefault="00731137" w:rsidP="00731137">
            <w:pPr>
              <w:jc w:val="right"/>
              <w:rPr>
                <w:b/>
                <w:bCs/>
                <w:sz w:val="18"/>
                <w:szCs w:val="18"/>
                <w:lang w:eastAsia="tr-TR"/>
              </w:rPr>
            </w:pPr>
            <w:r w:rsidRPr="00005453">
              <w:rPr>
                <w:b/>
                <w:sz w:val="18"/>
                <w:szCs w:val="18"/>
                <w:lang w:eastAsia="tr-TR"/>
              </w:rPr>
              <w:t>113,148</w:t>
            </w:r>
          </w:p>
        </w:tc>
      </w:tr>
      <w:tr w:rsidR="00731137" w:rsidRPr="00005453" w14:paraId="25C5605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66A0214B" w14:textId="77777777" w:rsidR="00731137" w:rsidRPr="00005453" w:rsidRDefault="00731137" w:rsidP="00731137">
            <w:pPr>
              <w:jc w:val="both"/>
              <w:rPr>
                <w:sz w:val="18"/>
                <w:szCs w:val="18"/>
                <w:lang w:eastAsia="tr-TR"/>
              </w:rPr>
            </w:pPr>
            <w:r w:rsidRPr="00005453">
              <w:rPr>
                <w:sz w:val="18"/>
                <w:szCs w:val="18"/>
                <w:lang w:eastAsia="tr-TR"/>
              </w:rPr>
              <w:t xml:space="preserve">Taksitli </w:t>
            </w:r>
          </w:p>
        </w:tc>
        <w:tc>
          <w:tcPr>
            <w:tcW w:w="2126" w:type="dxa"/>
            <w:tcBorders>
              <w:top w:val="nil"/>
              <w:left w:val="nil"/>
              <w:bottom w:val="nil"/>
              <w:right w:val="nil"/>
            </w:tcBorders>
            <w:shd w:val="clear" w:color="000000" w:fill="FFFFFF"/>
            <w:vAlign w:val="center"/>
            <w:hideMark/>
          </w:tcPr>
          <w:p w14:paraId="282A25EB" w14:textId="6AB90147" w:rsidR="00731137" w:rsidRPr="00005453" w:rsidRDefault="00731137" w:rsidP="00731137">
            <w:pPr>
              <w:jc w:val="right"/>
              <w:rPr>
                <w:sz w:val="18"/>
                <w:szCs w:val="18"/>
                <w:lang w:eastAsia="tr-TR"/>
              </w:rPr>
            </w:pPr>
            <w:r w:rsidRPr="00005453">
              <w:rPr>
                <w:sz w:val="18"/>
                <w:szCs w:val="18"/>
                <w:lang w:eastAsia="tr-TR"/>
              </w:rPr>
              <w:t>54,858</w:t>
            </w:r>
          </w:p>
        </w:tc>
        <w:tc>
          <w:tcPr>
            <w:tcW w:w="1984" w:type="dxa"/>
            <w:tcBorders>
              <w:top w:val="nil"/>
              <w:left w:val="nil"/>
              <w:bottom w:val="nil"/>
              <w:right w:val="nil"/>
            </w:tcBorders>
            <w:shd w:val="clear" w:color="auto" w:fill="auto"/>
            <w:vAlign w:val="center"/>
            <w:hideMark/>
          </w:tcPr>
          <w:p w14:paraId="73FD82E2" w14:textId="123CA7DE" w:rsidR="00731137" w:rsidRPr="00005453" w:rsidRDefault="00731137" w:rsidP="00731137">
            <w:pPr>
              <w:jc w:val="right"/>
              <w:rPr>
                <w:sz w:val="18"/>
                <w:szCs w:val="18"/>
                <w:lang w:eastAsia="tr-TR"/>
              </w:rPr>
            </w:pPr>
            <w:r w:rsidRPr="00005453">
              <w:rPr>
                <w:sz w:val="18"/>
                <w:szCs w:val="18"/>
                <w:lang w:eastAsia="tr-TR"/>
              </w:rPr>
              <w:t>2</w:t>
            </w:r>
          </w:p>
        </w:tc>
        <w:tc>
          <w:tcPr>
            <w:tcW w:w="1215" w:type="dxa"/>
            <w:tcBorders>
              <w:top w:val="nil"/>
              <w:left w:val="nil"/>
              <w:bottom w:val="nil"/>
              <w:right w:val="nil"/>
            </w:tcBorders>
            <w:shd w:val="clear" w:color="auto" w:fill="auto"/>
            <w:vAlign w:val="center"/>
            <w:hideMark/>
          </w:tcPr>
          <w:p w14:paraId="5F930220" w14:textId="00A4071C" w:rsidR="00731137" w:rsidRPr="00005453" w:rsidRDefault="00731137" w:rsidP="00731137">
            <w:pPr>
              <w:jc w:val="right"/>
              <w:rPr>
                <w:sz w:val="18"/>
                <w:szCs w:val="18"/>
                <w:lang w:eastAsia="tr-TR"/>
              </w:rPr>
            </w:pPr>
            <w:r w:rsidRPr="00005453">
              <w:rPr>
                <w:sz w:val="18"/>
                <w:szCs w:val="18"/>
                <w:lang w:eastAsia="tr-TR"/>
              </w:rPr>
              <w:t>54,860</w:t>
            </w:r>
          </w:p>
        </w:tc>
      </w:tr>
      <w:tr w:rsidR="00731137" w:rsidRPr="00005453" w14:paraId="45DDDD0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200EA85A" w14:textId="77777777" w:rsidR="00731137" w:rsidRPr="00005453" w:rsidRDefault="00731137" w:rsidP="00731137">
            <w:pPr>
              <w:jc w:val="both"/>
              <w:rPr>
                <w:sz w:val="18"/>
                <w:szCs w:val="18"/>
                <w:lang w:eastAsia="tr-TR"/>
              </w:rPr>
            </w:pPr>
            <w:r w:rsidRPr="00005453">
              <w:rPr>
                <w:sz w:val="18"/>
                <w:szCs w:val="18"/>
                <w:lang w:eastAsia="tr-TR"/>
              </w:rPr>
              <w:t>Taksitsiz</w:t>
            </w:r>
          </w:p>
        </w:tc>
        <w:tc>
          <w:tcPr>
            <w:tcW w:w="2126" w:type="dxa"/>
            <w:tcBorders>
              <w:top w:val="nil"/>
              <w:left w:val="nil"/>
              <w:bottom w:val="nil"/>
              <w:right w:val="nil"/>
            </w:tcBorders>
            <w:shd w:val="clear" w:color="000000" w:fill="FFFFFF"/>
            <w:vAlign w:val="center"/>
            <w:hideMark/>
          </w:tcPr>
          <w:p w14:paraId="6D5D52FE" w14:textId="45695FE9" w:rsidR="00731137" w:rsidRPr="00005453" w:rsidRDefault="00731137" w:rsidP="00731137">
            <w:pPr>
              <w:jc w:val="right"/>
              <w:rPr>
                <w:sz w:val="18"/>
                <w:szCs w:val="18"/>
                <w:lang w:eastAsia="tr-TR"/>
              </w:rPr>
            </w:pPr>
            <w:r w:rsidRPr="00005453">
              <w:rPr>
                <w:sz w:val="18"/>
                <w:szCs w:val="18"/>
                <w:lang w:eastAsia="tr-TR"/>
              </w:rPr>
              <w:t>58,288</w:t>
            </w:r>
          </w:p>
        </w:tc>
        <w:tc>
          <w:tcPr>
            <w:tcW w:w="1984" w:type="dxa"/>
            <w:tcBorders>
              <w:top w:val="nil"/>
              <w:left w:val="nil"/>
              <w:bottom w:val="nil"/>
              <w:right w:val="nil"/>
            </w:tcBorders>
            <w:shd w:val="clear" w:color="auto" w:fill="auto"/>
            <w:vAlign w:val="center"/>
            <w:hideMark/>
          </w:tcPr>
          <w:p w14:paraId="3045D35C" w14:textId="3BF65E46"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01CA3848" w14:textId="01F8A143" w:rsidR="00731137" w:rsidRPr="00005453" w:rsidRDefault="00731137" w:rsidP="00731137">
            <w:pPr>
              <w:jc w:val="right"/>
              <w:rPr>
                <w:sz w:val="18"/>
                <w:szCs w:val="18"/>
                <w:lang w:eastAsia="tr-TR"/>
              </w:rPr>
            </w:pPr>
            <w:r w:rsidRPr="00005453">
              <w:rPr>
                <w:sz w:val="18"/>
                <w:szCs w:val="18"/>
                <w:lang w:eastAsia="tr-TR"/>
              </w:rPr>
              <w:t>58,288</w:t>
            </w:r>
          </w:p>
        </w:tc>
      </w:tr>
      <w:tr w:rsidR="00731137" w:rsidRPr="00005453" w14:paraId="2D102C03"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6B760CB8" w14:textId="77777777" w:rsidR="00731137" w:rsidRPr="00005453" w:rsidRDefault="00731137" w:rsidP="00731137">
            <w:pPr>
              <w:jc w:val="both"/>
              <w:rPr>
                <w:b/>
                <w:bCs/>
                <w:sz w:val="18"/>
                <w:szCs w:val="18"/>
                <w:lang w:eastAsia="tr-TR"/>
              </w:rPr>
            </w:pPr>
            <w:r w:rsidRPr="00005453">
              <w:rPr>
                <w:b/>
                <w:bCs/>
                <w:sz w:val="18"/>
                <w:szCs w:val="18"/>
                <w:lang w:eastAsia="tr-TR"/>
              </w:rPr>
              <w:t>Personel Kredi Kartları-YP</w:t>
            </w:r>
          </w:p>
        </w:tc>
        <w:tc>
          <w:tcPr>
            <w:tcW w:w="2126" w:type="dxa"/>
            <w:tcBorders>
              <w:top w:val="nil"/>
              <w:left w:val="nil"/>
              <w:bottom w:val="nil"/>
              <w:right w:val="nil"/>
            </w:tcBorders>
            <w:shd w:val="clear" w:color="000000" w:fill="FFFFFF"/>
            <w:vAlign w:val="center"/>
            <w:hideMark/>
          </w:tcPr>
          <w:p w14:paraId="2AD2ED40" w14:textId="0BE3BD5D" w:rsidR="00731137" w:rsidRPr="00005453" w:rsidRDefault="00731137" w:rsidP="00731137">
            <w:pPr>
              <w:jc w:val="right"/>
              <w:rPr>
                <w:b/>
                <w:bCs/>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78E47435" w14:textId="637F55D0" w:rsidR="00731137" w:rsidRPr="00005453" w:rsidRDefault="00731137" w:rsidP="00731137">
            <w:pPr>
              <w:jc w:val="right"/>
              <w:rPr>
                <w:b/>
                <w:bCs/>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6F4B0BCA" w14:textId="0F81645C"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7F58B9ED"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60752AA8" w14:textId="77777777" w:rsidR="00731137" w:rsidRPr="00005453" w:rsidRDefault="00731137" w:rsidP="00731137">
            <w:pPr>
              <w:jc w:val="both"/>
              <w:rPr>
                <w:sz w:val="18"/>
                <w:szCs w:val="18"/>
                <w:lang w:eastAsia="tr-TR"/>
              </w:rPr>
            </w:pPr>
            <w:r w:rsidRPr="00005453">
              <w:rPr>
                <w:sz w:val="18"/>
                <w:szCs w:val="18"/>
                <w:lang w:eastAsia="tr-TR"/>
              </w:rPr>
              <w:t xml:space="preserve">Taksitli </w:t>
            </w:r>
          </w:p>
        </w:tc>
        <w:tc>
          <w:tcPr>
            <w:tcW w:w="2126" w:type="dxa"/>
            <w:tcBorders>
              <w:top w:val="nil"/>
              <w:left w:val="nil"/>
              <w:bottom w:val="nil"/>
              <w:right w:val="nil"/>
            </w:tcBorders>
            <w:shd w:val="clear" w:color="000000" w:fill="FFFFFF"/>
            <w:vAlign w:val="center"/>
            <w:hideMark/>
          </w:tcPr>
          <w:p w14:paraId="09F25862" w14:textId="320C3471"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313569EA" w14:textId="7AC07776"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692D0654" w14:textId="45E53DC0"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2D24313A"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09E1AB24" w14:textId="77777777" w:rsidR="00731137" w:rsidRPr="00005453" w:rsidRDefault="00731137" w:rsidP="00731137">
            <w:pPr>
              <w:jc w:val="both"/>
              <w:rPr>
                <w:sz w:val="18"/>
                <w:szCs w:val="18"/>
                <w:lang w:eastAsia="tr-TR"/>
              </w:rPr>
            </w:pPr>
            <w:r w:rsidRPr="00005453">
              <w:rPr>
                <w:sz w:val="18"/>
                <w:szCs w:val="18"/>
                <w:lang w:eastAsia="tr-TR"/>
              </w:rPr>
              <w:t>Taksitsiz</w:t>
            </w:r>
          </w:p>
        </w:tc>
        <w:tc>
          <w:tcPr>
            <w:tcW w:w="2126" w:type="dxa"/>
            <w:tcBorders>
              <w:top w:val="nil"/>
              <w:left w:val="nil"/>
              <w:bottom w:val="nil"/>
              <w:right w:val="nil"/>
            </w:tcBorders>
            <w:shd w:val="clear" w:color="000000" w:fill="FFFFFF"/>
            <w:vAlign w:val="center"/>
            <w:hideMark/>
          </w:tcPr>
          <w:p w14:paraId="316F493D" w14:textId="4957F53A" w:rsidR="00731137" w:rsidRPr="00005453" w:rsidRDefault="00731137" w:rsidP="00731137">
            <w:pPr>
              <w:jc w:val="right"/>
              <w:rPr>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155975BD" w14:textId="730AF6DC" w:rsidR="00731137" w:rsidRPr="00005453" w:rsidRDefault="00731137" w:rsidP="00731137">
            <w:pPr>
              <w:jc w:val="right"/>
              <w:rPr>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24069F91" w14:textId="420D43F6" w:rsidR="00731137" w:rsidRPr="00005453" w:rsidRDefault="00731137" w:rsidP="00731137">
            <w:pPr>
              <w:jc w:val="right"/>
              <w:rPr>
                <w:sz w:val="18"/>
                <w:szCs w:val="18"/>
                <w:lang w:eastAsia="tr-TR"/>
              </w:rPr>
            </w:pPr>
            <w:r w:rsidRPr="00005453">
              <w:rPr>
                <w:sz w:val="18"/>
                <w:szCs w:val="18"/>
                <w:lang w:eastAsia="tr-TR"/>
              </w:rPr>
              <w:t>-</w:t>
            </w:r>
          </w:p>
        </w:tc>
      </w:tr>
      <w:tr w:rsidR="00731137" w:rsidRPr="00005453" w14:paraId="53DE5D04" w14:textId="77777777" w:rsidTr="00731137">
        <w:trPr>
          <w:divId w:val="1260137349"/>
          <w:trHeight w:val="253"/>
        </w:trPr>
        <w:tc>
          <w:tcPr>
            <w:tcW w:w="3828" w:type="dxa"/>
            <w:tcBorders>
              <w:top w:val="nil"/>
              <w:left w:val="nil"/>
              <w:bottom w:val="nil"/>
              <w:right w:val="nil"/>
            </w:tcBorders>
            <w:shd w:val="clear" w:color="auto" w:fill="auto"/>
            <w:vAlign w:val="center"/>
            <w:hideMark/>
          </w:tcPr>
          <w:p w14:paraId="608156B5" w14:textId="77777777" w:rsidR="00731137" w:rsidRPr="00005453" w:rsidRDefault="00731137" w:rsidP="00731137">
            <w:pPr>
              <w:jc w:val="both"/>
              <w:rPr>
                <w:b/>
                <w:bCs/>
                <w:sz w:val="18"/>
                <w:szCs w:val="18"/>
                <w:lang w:eastAsia="tr-TR"/>
              </w:rPr>
            </w:pPr>
            <w:r w:rsidRPr="00005453">
              <w:rPr>
                <w:b/>
                <w:bCs/>
                <w:sz w:val="18"/>
                <w:szCs w:val="18"/>
                <w:lang w:eastAsia="tr-TR"/>
              </w:rPr>
              <w:t>Kredili Mevduat Hesabı-TP (Gerçek Kişi)</w:t>
            </w:r>
          </w:p>
        </w:tc>
        <w:tc>
          <w:tcPr>
            <w:tcW w:w="2126" w:type="dxa"/>
            <w:tcBorders>
              <w:top w:val="nil"/>
              <w:left w:val="nil"/>
              <w:bottom w:val="nil"/>
              <w:right w:val="nil"/>
            </w:tcBorders>
            <w:shd w:val="clear" w:color="000000" w:fill="FFFFFF"/>
            <w:vAlign w:val="center"/>
            <w:hideMark/>
          </w:tcPr>
          <w:p w14:paraId="5CE85962" w14:textId="023FECA5" w:rsidR="00731137" w:rsidRPr="00005453" w:rsidRDefault="00731137" w:rsidP="00731137">
            <w:pPr>
              <w:jc w:val="right"/>
              <w:rPr>
                <w:b/>
                <w:bCs/>
                <w:sz w:val="18"/>
                <w:szCs w:val="18"/>
                <w:lang w:eastAsia="tr-TR"/>
              </w:rPr>
            </w:pPr>
            <w:r w:rsidRPr="00005453">
              <w:rPr>
                <w:sz w:val="18"/>
                <w:szCs w:val="18"/>
                <w:lang w:eastAsia="tr-TR"/>
              </w:rPr>
              <w:t>-</w:t>
            </w:r>
          </w:p>
        </w:tc>
        <w:tc>
          <w:tcPr>
            <w:tcW w:w="1984" w:type="dxa"/>
            <w:tcBorders>
              <w:top w:val="nil"/>
              <w:left w:val="nil"/>
              <w:bottom w:val="nil"/>
              <w:right w:val="nil"/>
            </w:tcBorders>
            <w:shd w:val="clear" w:color="auto" w:fill="auto"/>
            <w:vAlign w:val="center"/>
            <w:hideMark/>
          </w:tcPr>
          <w:p w14:paraId="58B9F990" w14:textId="0E10ADE7" w:rsidR="00731137" w:rsidRPr="00005453" w:rsidRDefault="00731137" w:rsidP="00731137">
            <w:pPr>
              <w:jc w:val="right"/>
              <w:rPr>
                <w:b/>
                <w:bCs/>
                <w:sz w:val="18"/>
                <w:szCs w:val="18"/>
                <w:lang w:eastAsia="tr-TR"/>
              </w:rPr>
            </w:pPr>
            <w:r w:rsidRPr="00005453">
              <w:rPr>
                <w:sz w:val="18"/>
                <w:szCs w:val="18"/>
                <w:lang w:eastAsia="tr-TR"/>
              </w:rPr>
              <w:t>-</w:t>
            </w:r>
          </w:p>
        </w:tc>
        <w:tc>
          <w:tcPr>
            <w:tcW w:w="1215" w:type="dxa"/>
            <w:tcBorders>
              <w:top w:val="nil"/>
              <w:left w:val="nil"/>
              <w:bottom w:val="nil"/>
              <w:right w:val="nil"/>
            </w:tcBorders>
            <w:shd w:val="clear" w:color="auto" w:fill="auto"/>
            <w:vAlign w:val="center"/>
            <w:hideMark/>
          </w:tcPr>
          <w:p w14:paraId="71A7F7E7" w14:textId="7214547A"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791FA934" w14:textId="77777777" w:rsidTr="00731137">
        <w:trPr>
          <w:divId w:val="1260137349"/>
          <w:trHeight w:val="270"/>
        </w:trPr>
        <w:tc>
          <w:tcPr>
            <w:tcW w:w="3828" w:type="dxa"/>
            <w:tcBorders>
              <w:top w:val="nil"/>
              <w:left w:val="nil"/>
              <w:bottom w:val="single" w:sz="8" w:space="0" w:color="auto"/>
              <w:right w:val="nil"/>
            </w:tcBorders>
            <w:shd w:val="clear" w:color="auto" w:fill="auto"/>
            <w:vAlign w:val="center"/>
            <w:hideMark/>
          </w:tcPr>
          <w:p w14:paraId="14A34549" w14:textId="77777777" w:rsidR="00731137" w:rsidRPr="00005453" w:rsidRDefault="00731137" w:rsidP="00731137">
            <w:pPr>
              <w:jc w:val="both"/>
              <w:rPr>
                <w:b/>
                <w:bCs/>
                <w:sz w:val="18"/>
                <w:szCs w:val="18"/>
                <w:lang w:eastAsia="tr-TR"/>
              </w:rPr>
            </w:pPr>
            <w:r w:rsidRPr="00005453">
              <w:rPr>
                <w:b/>
                <w:bCs/>
                <w:sz w:val="18"/>
                <w:szCs w:val="18"/>
                <w:lang w:eastAsia="tr-TR"/>
              </w:rPr>
              <w:t>Kredili Mevduat Hesabı-YP (Gerçek Kişi)</w:t>
            </w:r>
          </w:p>
        </w:tc>
        <w:tc>
          <w:tcPr>
            <w:tcW w:w="2126" w:type="dxa"/>
            <w:tcBorders>
              <w:top w:val="nil"/>
              <w:left w:val="nil"/>
              <w:bottom w:val="single" w:sz="8" w:space="0" w:color="auto"/>
              <w:right w:val="nil"/>
            </w:tcBorders>
            <w:shd w:val="clear" w:color="000000" w:fill="FFFFFF"/>
            <w:vAlign w:val="center"/>
            <w:hideMark/>
          </w:tcPr>
          <w:p w14:paraId="56A5CB66" w14:textId="59420CC5" w:rsidR="00731137" w:rsidRPr="00005453" w:rsidRDefault="00731137" w:rsidP="00731137">
            <w:pPr>
              <w:jc w:val="right"/>
              <w:rPr>
                <w:b/>
                <w:bCs/>
                <w:sz w:val="18"/>
                <w:szCs w:val="18"/>
                <w:lang w:eastAsia="tr-TR"/>
              </w:rPr>
            </w:pPr>
            <w:r w:rsidRPr="00005453">
              <w:rPr>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3178E5A4" w14:textId="13B643E4" w:rsidR="00731137" w:rsidRPr="00005453" w:rsidRDefault="00731137" w:rsidP="00731137">
            <w:pPr>
              <w:jc w:val="right"/>
              <w:rPr>
                <w:b/>
                <w:bCs/>
                <w:sz w:val="18"/>
                <w:szCs w:val="18"/>
                <w:lang w:eastAsia="tr-TR"/>
              </w:rPr>
            </w:pPr>
            <w:r w:rsidRPr="00005453">
              <w:rPr>
                <w:sz w:val="18"/>
                <w:szCs w:val="18"/>
                <w:lang w:eastAsia="tr-TR"/>
              </w:rPr>
              <w:t>-</w:t>
            </w:r>
          </w:p>
        </w:tc>
        <w:tc>
          <w:tcPr>
            <w:tcW w:w="1215" w:type="dxa"/>
            <w:tcBorders>
              <w:top w:val="nil"/>
              <w:left w:val="nil"/>
              <w:bottom w:val="single" w:sz="8" w:space="0" w:color="auto"/>
              <w:right w:val="nil"/>
            </w:tcBorders>
            <w:shd w:val="clear" w:color="auto" w:fill="auto"/>
            <w:vAlign w:val="center"/>
            <w:hideMark/>
          </w:tcPr>
          <w:p w14:paraId="060E9967" w14:textId="7690A3E9"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05B8C6C1" w14:textId="77777777" w:rsidTr="00731137">
        <w:trPr>
          <w:divId w:val="1260137349"/>
          <w:trHeight w:val="270"/>
        </w:trPr>
        <w:tc>
          <w:tcPr>
            <w:tcW w:w="3828" w:type="dxa"/>
            <w:tcBorders>
              <w:top w:val="nil"/>
              <w:left w:val="nil"/>
              <w:bottom w:val="double" w:sz="6" w:space="0" w:color="auto"/>
              <w:right w:val="nil"/>
            </w:tcBorders>
            <w:shd w:val="clear" w:color="auto" w:fill="auto"/>
            <w:vAlign w:val="center"/>
            <w:hideMark/>
          </w:tcPr>
          <w:p w14:paraId="4EAB3736" w14:textId="77777777" w:rsidR="00731137" w:rsidRPr="00005453" w:rsidRDefault="00731137" w:rsidP="00731137">
            <w:pPr>
              <w:jc w:val="both"/>
              <w:rPr>
                <w:b/>
                <w:bCs/>
                <w:sz w:val="18"/>
                <w:szCs w:val="18"/>
                <w:lang w:eastAsia="tr-TR"/>
              </w:rPr>
            </w:pPr>
            <w:r w:rsidRPr="00005453">
              <w:rPr>
                <w:b/>
                <w:bCs/>
                <w:sz w:val="18"/>
                <w:szCs w:val="18"/>
                <w:lang w:eastAsia="tr-TR"/>
              </w:rPr>
              <w:t>Toplam</w:t>
            </w:r>
          </w:p>
        </w:tc>
        <w:tc>
          <w:tcPr>
            <w:tcW w:w="2126" w:type="dxa"/>
            <w:tcBorders>
              <w:top w:val="nil"/>
              <w:left w:val="nil"/>
              <w:bottom w:val="double" w:sz="6" w:space="0" w:color="auto"/>
              <w:right w:val="nil"/>
            </w:tcBorders>
            <w:shd w:val="clear" w:color="000000" w:fill="FFFFFF"/>
            <w:vAlign w:val="center"/>
            <w:hideMark/>
          </w:tcPr>
          <w:p w14:paraId="1971EE42" w14:textId="13BA04DB" w:rsidR="00731137" w:rsidRPr="00005453" w:rsidRDefault="00731137" w:rsidP="00731137">
            <w:pPr>
              <w:jc w:val="right"/>
              <w:rPr>
                <w:b/>
                <w:bCs/>
                <w:sz w:val="18"/>
                <w:szCs w:val="18"/>
                <w:lang w:eastAsia="tr-TR"/>
              </w:rPr>
            </w:pPr>
            <w:r w:rsidRPr="00005453">
              <w:rPr>
                <w:b/>
                <w:bCs/>
                <w:sz w:val="18"/>
                <w:szCs w:val="18"/>
                <w:lang w:eastAsia="tr-TR"/>
              </w:rPr>
              <w:t>8,677,655</w:t>
            </w:r>
          </w:p>
        </w:tc>
        <w:tc>
          <w:tcPr>
            <w:tcW w:w="1984" w:type="dxa"/>
            <w:tcBorders>
              <w:top w:val="nil"/>
              <w:left w:val="nil"/>
              <w:bottom w:val="double" w:sz="6" w:space="0" w:color="auto"/>
              <w:right w:val="nil"/>
            </w:tcBorders>
            <w:shd w:val="clear" w:color="auto" w:fill="auto"/>
            <w:vAlign w:val="center"/>
            <w:hideMark/>
          </w:tcPr>
          <w:p w14:paraId="42CE1312" w14:textId="0E0295A8" w:rsidR="00731137" w:rsidRPr="00005453" w:rsidRDefault="00731137" w:rsidP="00731137">
            <w:pPr>
              <w:jc w:val="right"/>
              <w:rPr>
                <w:b/>
                <w:bCs/>
                <w:sz w:val="18"/>
                <w:szCs w:val="18"/>
                <w:lang w:eastAsia="tr-TR"/>
              </w:rPr>
            </w:pPr>
            <w:r w:rsidRPr="00005453">
              <w:rPr>
                <w:b/>
                <w:bCs/>
                <w:sz w:val="18"/>
                <w:szCs w:val="18"/>
                <w:lang w:eastAsia="tr-TR"/>
              </w:rPr>
              <w:t>17,878,931</w:t>
            </w:r>
          </w:p>
        </w:tc>
        <w:tc>
          <w:tcPr>
            <w:tcW w:w="1215" w:type="dxa"/>
            <w:tcBorders>
              <w:top w:val="nil"/>
              <w:left w:val="nil"/>
              <w:bottom w:val="double" w:sz="6" w:space="0" w:color="auto"/>
              <w:right w:val="nil"/>
            </w:tcBorders>
            <w:shd w:val="clear" w:color="auto" w:fill="auto"/>
            <w:vAlign w:val="center"/>
            <w:hideMark/>
          </w:tcPr>
          <w:p w14:paraId="76BE831C" w14:textId="295E9315" w:rsidR="00731137" w:rsidRPr="00005453" w:rsidRDefault="00731137" w:rsidP="00731137">
            <w:pPr>
              <w:jc w:val="right"/>
              <w:rPr>
                <w:b/>
                <w:bCs/>
                <w:sz w:val="18"/>
                <w:szCs w:val="18"/>
                <w:lang w:eastAsia="tr-TR"/>
              </w:rPr>
            </w:pPr>
            <w:r w:rsidRPr="00005453">
              <w:rPr>
                <w:b/>
                <w:bCs/>
                <w:sz w:val="18"/>
                <w:szCs w:val="18"/>
                <w:lang w:eastAsia="tr-TR"/>
              </w:rPr>
              <w:t>26,556,586</w:t>
            </w:r>
          </w:p>
        </w:tc>
      </w:tr>
    </w:tbl>
    <w:p w14:paraId="3380FA29" w14:textId="7057B054" w:rsidR="00D22163" w:rsidRPr="00005453" w:rsidRDefault="00D22163" w:rsidP="0018704C">
      <w:pPr>
        <w:autoSpaceDE w:val="0"/>
        <w:autoSpaceDN w:val="0"/>
        <w:adjustRightInd w:val="0"/>
        <w:ind w:left="720"/>
        <w:jc w:val="both"/>
        <w:rPr>
          <w:lang w:val="en-GB" w:eastAsia="en-GB"/>
        </w:rPr>
      </w:pPr>
    </w:p>
    <w:p w14:paraId="5BAACCBA" w14:textId="709BE084" w:rsidR="0018704C" w:rsidRPr="00005453" w:rsidRDefault="0018704C" w:rsidP="0018704C">
      <w:pPr>
        <w:autoSpaceDE w:val="0"/>
        <w:autoSpaceDN w:val="0"/>
        <w:adjustRightInd w:val="0"/>
        <w:ind w:left="720"/>
        <w:jc w:val="both"/>
        <w:rPr>
          <w:b/>
          <w:sz w:val="22"/>
        </w:rPr>
      </w:pPr>
    </w:p>
    <w:p w14:paraId="5021CC47" w14:textId="2E929EA8" w:rsidR="00356C26" w:rsidRPr="00005453" w:rsidRDefault="00E253C8" w:rsidP="00356C26">
      <w:pPr>
        <w:autoSpaceDE w:val="0"/>
        <w:autoSpaceDN w:val="0"/>
        <w:adjustRightInd w:val="0"/>
        <w:ind w:hanging="567"/>
        <w:jc w:val="both"/>
      </w:pPr>
      <w:r w:rsidRPr="00005453">
        <w:rPr>
          <w:rFonts w:eastAsia="Arial Unicode MS"/>
        </w:rPr>
        <w:br w:type="page"/>
      </w:r>
      <w:r w:rsidR="004478F0" w:rsidRPr="00005453">
        <w:rPr>
          <w:b/>
        </w:rPr>
        <w:lastRenderedPageBreak/>
        <w:t>1.5.</w:t>
      </w:r>
      <w:r w:rsidR="00C95B75" w:rsidRPr="00005453">
        <w:rPr>
          <w:b/>
        </w:rPr>
        <w:t>5</w:t>
      </w:r>
      <w:r w:rsidR="004478F0" w:rsidRPr="00005453">
        <w:tab/>
      </w:r>
      <w:r w:rsidRPr="00005453">
        <w:t>Taksitli ticari krediler ve kurumsal kredi kartlarına ilişkin bilgiler</w:t>
      </w:r>
    </w:p>
    <w:p w14:paraId="1331B614" w14:textId="6CCC31B5" w:rsidR="00297765" w:rsidRPr="00005453" w:rsidRDefault="00297765" w:rsidP="00297765">
      <w:pPr>
        <w:autoSpaceDE w:val="0"/>
        <w:autoSpaceDN w:val="0"/>
        <w:adjustRightInd w:val="0"/>
        <w:ind w:hanging="567"/>
        <w:jc w:val="both"/>
      </w:pPr>
    </w:p>
    <w:tbl>
      <w:tblPr>
        <w:tblW w:w="9072" w:type="dxa"/>
        <w:tblCellMar>
          <w:left w:w="70" w:type="dxa"/>
          <w:right w:w="70" w:type="dxa"/>
        </w:tblCellMar>
        <w:tblLook w:val="04A0" w:firstRow="1" w:lastRow="0" w:firstColumn="1" w:lastColumn="0" w:noHBand="0" w:noVBand="1"/>
      </w:tblPr>
      <w:tblGrid>
        <w:gridCol w:w="4253"/>
        <w:gridCol w:w="1559"/>
        <w:gridCol w:w="2126"/>
        <w:gridCol w:w="1134"/>
      </w:tblGrid>
      <w:tr w:rsidR="00297765" w:rsidRPr="00005453" w14:paraId="11FB4846" w14:textId="77777777" w:rsidTr="00FD5D84">
        <w:trPr>
          <w:divId w:val="1897929277"/>
          <w:trHeight w:val="262"/>
        </w:trPr>
        <w:tc>
          <w:tcPr>
            <w:tcW w:w="4253" w:type="dxa"/>
            <w:tcBorders>
              <w:top w:val="double" w:sz="6" w:space="0" w:color="auto"/>
              <w:left w:val="nil"/>
              <w:bottom w:val="single" w:sz="8" w:space="0" w:color="auto"/>
              <w:right w:val="nil"/>
            </w:tcBorders>
            <w:shd w:val="clear" w:color="auto" w:fill="auto"/>
            <w:vAlign w:val="center"/>
            <w:hideMark/>
          </w:tcPr>
          <w:p w14:paraId="2DA6DF74" w14:textId="4F26810D" w:rsidR="00297765" w:rsidRPr="00005453" w:rsidRDefault="00297765" w:rsidP="00297765">
            <w:pPr>
              <w:jc w:val="both"/>
              <w:rPr>
                <w:b/>
                <w:bCs/>
                <w:sz w:val="18"/>
                <w:szCs w:val="18"/>
                <w:lang w:eastAsia="tr-TR"/>
              </w:rPr>
            </w:pPr>
            <w:r w:rsidRPr="00005453">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75D736CF" w14:textId="77777777" w:rsidR="00297765" w:rsidRPr="00005453" w:rsidRDefault="00297765" w:rsidP="00297765">
            <w:pPr>
              <w:jc w:val="right"/>
              <w:rPr>
                <w:b/>
                <w:bCs/>
                <w:sz w:val="18"/>
                <w:szCs w:val="18"/>
                <w:lang w:eastAsia="tr-TR"/>
              </w:rPr>
            </w:pPr>
            <w:r w:rsidRPr="00005453">
              <w:rPr>
                <w:b/>
                <w:bCs/>
                <w:sz w:val="18"/>
                <w:szCs w:val="18"/>
                <w:lang w:eastAsia="tr-TR"/>
              </w:rPr>
              <w:t>Kısa Vadeli</w:t>
            </w:r>
          </w:p>
        </w:tc>
        <w:tc>
          <w:tcPr>
            <w:tcW w:w="2126" w:type="dxa"/>
            <w:tcBorders>
              <w:top w:val="double" w:sz="6" w:space="0" w:color="auto"/>
              <w:left w:val="nil"/>
              <w:bottom w:val="single" w:sz="8" w:space="0" w:color="auto"/>
              <w:right w:val="nil"/>
            </w:tcBorders>
            <w:shd w:val="clear" w:color="auto" w:fill="auto"/>
            <w:vAlign w:val="center"/>
            <w:hideMark/>
          </w:tcPr>
          <w:p w14:paraId="5C5EA2F3" w14:textId="77777777" w:rsidR="00297765" w:rsidRPr="00005453" w:rsidRDefault="00297765" w:rsidP="00297765">
            <w:pPr>
              <w:jc w:val="right"/>
              <w:rPr>
                <w:b/>
                <w:bCs/>
                <w:sz w:val="18"/>
                <w:szCs w:val="18"/>
                <w:lang w:eastAsia="tr-TR"/>
              </w:rPr>
            </w:pPr>
            <w:r w:rsidRPr="00005453">
              <w:rPr>
                <w:b/>
                <w:bCs/>
                <w:sz w:val="18"/>
                <w:szCs w:val="18"/>
                <w:lang w:eastAsia="tr-TR"/>
              </w:rPr>
              <w:t>Orta ve Uzun Vadeli</w:t>
            </w:r>
          </w:p>
        </w:tc>
        <w:tc>
          <w:tcPr>
            <w:tcW w:w="1134" w:type="dxa"/>
            <w:tcBorders>
              <w:top w:val="double" w:sz="6" w:space="0" w:color="auto"/>
              <w:left w:val="nil"/>
              <w:bottom w:val="single" w:sz="8" w:space="0" w:color="auto"/>
              <w:right w:val="nil"/>
            </w:tcBorders>
            <w:shd w:val="clear" w:color="auto" w:fill="auto"/>
            <w:vAlign w:val="center"/>
            <w:hideMark/>
          </w:tcPr>
          <w:p w14:paraId="359E38F1" w14:textId="77777777" w:rsidR="00297765" w:rsidRPr="00005453" w:rsidRDefault="00297765" w:rsidP="00297765">
            <w:pPr>
              <w:jc w:val="right"/>
              <w:rPr>
                <w:b/>
                <w:bCs/>
                <w:sz w:val="18"/>
                <w:szCs w:val="18"/>
                <w:lang w:eastAsia="tr-TR"/>
              </w:rPr>
            </w:pPr>
            <w:r w:rsidRPr="00005453">
              <w:rPr>
                <w:b/>
                <w:bCs/>
                <w:sz w:val="18"/>
                <w:szCs w:val="18"/>
                <w:lang w:eastAsia="tr-TR"/>
              </w:rPr>
              <w:t>Toplam</w:t>
            </w:r>
          </w:p>
        </w:tc>
      </w:tr>
      <w:tr w:rsidR="0085456D" w:rsidRPr="00005453" w14:paraId="69E3E466"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70106D49" w14:textId="77777777" w:rsidR="0085456D" w:rsidRPr="00005453" w:rsidRDefault="0085456D" w:rsidP="0085456D">
            <w:pPr>
              <w:jc w:val="both"/>
              <w:rPr>
                <w:b/>
                <w:bCs/>
                <w:sz w:val="18"/>
                <w:szCs w:val="18"/>
                <w:lang w:eastAsia="tr-TR"/>
              </w:rPr>
            </w:pPr>
            <w:r w:rsidRPr="00005453">
              <w:rPr>
                <w:b/>
                <w:bCs/>
                <w:sz w:val="18"/>
                <w:szCs w:val="18"/>
                <w:lang w:eastAsia="tr-TR"/>
              </w:rPr>
              <w:t>Taksitli Ticari Krediler-TP</w:t>
            </w:r>
          </w:p>
        </w:tc>
        <w:tc>
          <w:tcPr>
            <w:tcW w:w="1559" w:type="dxa"/>
            <w:tcBorders>
              <w:top w:val="nil"/>
              <w:left w:val="nil"/>
              <w:bottom w:val="nil"/>
              <w:right w:val="nil"/>
            </w:tcBorders>
            <w:shd w:val="clear" w:color="auto" w:fill="auto"/>
            <w:vAlign w:val="center"/>
            <w:hideMark/>
          </w:tcPr>
          <w:p w14:paraId="413D6AC7" w14:textId="3452376D" w:rsidR="0085456D" w:rsidRPr="00005453" w:rsidRDefault="0085456D" w:rsidP="0085456D">
            <w:pPr>
              <w:jc w:val="right"/>
              <w:rPr>
                <w:b/>
                <w:sz w:val="18"/>
                <w:szCs w:val="18"/>
                <w:lang w:eastAsia="tr-TR"/>
              </w:rPr>
            </w:pPr>
            <w:r w:rsidRPr="00005453">
              <w:rPr>
                <w:b/>
                <w:bCs/>
                <w:sz w:val="18"/>
                <w:szCs w:val="18"/>
              </w:rPr>
              <w:t>8,401,563</w:t>
            </w:r>
          </w:p>
        </w:tc>
        <w:tc>
          <w:tcPr>
            <w:tcW w:w="2126" w:type="dxa"/>
            <w:tcBorders>
              <w:top w:val="nil"/>
              <w:left w:val="nil"/>
              <w:bottom w:val="nil"/>
              <w:right w:val="nil"/>
            </w:tcBorders>
            <w:shd w:val="clear" w:color="auto" w:fill="auto"/>
            <w:vAlign w:val="center"/>
            <w:hideMark/>
          </w:tcPr>
          <w:p w14:paraId="6C362570" w14:textId="157E8E8A" w:rsidR="0085456D" w:rsidRPr="00005453" w:rsidRDefault="0085456D" w:rsidP="0085456D">
            <w:pPr>
              <w:jc w:val="right"/>
              <w:rPr>
                <w:b/>
                <w:sz w:val="18"/>
                <w:szCs w:val="18"/>
                <w:lang w:eastAsia="tr-TR"/>
              </w:rPr>
            </w:pPr>
            <w:r w:rsidRPr="00005453">
              <w:rPr>
                <w:b/>
                <w:bCs/>
                <w:sz w:val="18"/>
                <w:szCs w:val="18"/>
              </w:rPr>
              <w:t>41,961,903</w:t>
            </w:r>
          </w:p>
        </w:tc>
        <w:tc>
          <w:tcPr>
            <w:tcW w:w="1134" w:type="dxa"/>
            <w:tcBorders>
              <w:top w:val="nil"/>
              <w:left w:val="nil"/>
              <w:bottom w:val="nil"/>
              <w:right w:val="nil"/>
            </w:tcBorders>
            <w:shd w:val="clear" w:color="auto" w:fill="auto"/>
            <w:vAlign w:val="center"/>
            <w:hideMark/>
          </w:tcPr>
          <w:p w14:paraId="74472F06" w14:textId="2FB5011E" w:rsidR="0085456D" w:rsidRPr="00005453" w:rsidRDefault="0085456D" w:rsidP="0085456D">
            <w:pPr>
              <w:jc w:val="right"/>
              <w:rPr>
                <w:b/>
                <w:sz w:val="18"/>
                <w:szCs w:val="18"/>
                <w:lang w:eastAsia="tr-TR"/>
              </w:rPr>
            </w:pPr>
            <w:r w:rsidRPr="00005453">
              <w:rPr>
                <w:b/>
                <w:bCs/>
                <w:sz w:val="18"/>
                <w:szCs w:val="18"/>
              </w:rPr>
              <w:t>50,363,466</w:t>
            </w:r>
          </w:p>
        </w:tc>
      </w:tr>
      <w:tr w:rsidR="0085456D" w:rsidRPr="00005453" w14:paraId="09F1764D"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66BE1A8F" w14:textId="77777777" w:rsidR="0085456D" w:rsidRPr="00005453" w:rsidRDefault="0085456D" w:rsidP="0085456D">
            <w:pPr>
              <w:jc w:val="both"/>
              <w:rPr>
                <w:sz w:val="18"/>
                <w:szCs w:val="18"/>
                <w:lang w:eastAsia="tr-TR"/>
              </w:rPr>
            </w:pPr>
            <w:r w:rsidRPr="00005453">
              <w:rPr>
                <w:sz w:val="18"/>
                <w:szCs w:val="18"/>
                <w:lang w:eastAsia="tr-TR"/>
              </w:rPr>
              <w:t>İşyeri Kredileri</w:t>
            </w:r>
          </w:p>
        </w:tc>
        <w:tc>
          <w:tcPr>
            <w:tcW w:w="1559" w:type="dxa"/>
            <w:tcBorders>
              <w:top w:val="nil"/>
              <w:left w:val="nil"/>
              <w:bottom w:val="nil"/>
              <w:right w:val="nil"/>
            </w:tcBorders>
            <w:shd w:val="clear" w:color="auto" w:fill="auto"/>
            <w:vAlign w:val="center"/>
            <w:hideMark/>
          </w:tcPr>
          <w:p w14:paraId="260DC34E" w14:textId="551116FE" w:rsidR="0085456D" w:rsidRPr="00005453" w:rsidRDefault="0085456D" w:rsidP="0085456D">
            <w:pPr>
              <w:jc w:val="right"/>
              <w:rPr>
                <w:sz w:val="18"/>
                <w:szCs w:val="18"/>
                <w:lang w:eastAsia="tr-TR"/>
              </w:rPr>
            </w:pPr>
            <w:r w:rsidRPr="00005453">
              <w:rPr>
                <w:sz w:val="18"/>
                <w:szCs w:val="18"/>
              </w:rPr>
              <w:t>204,525</w:t>
            </w:r>
          </w:p>
        </w:tc>
        <w:tc>
          <w:tcPr>
            <w:tcW w:w="2126" w:type="dxa"/>
            <w:tcBorders>
              <w:top w:val="nil"/>
              <w:left w:val="nil"/>
              <w:bottom w:val="nil"/>
              <w:right w:val="nil"/>
            </w:tcBorders>
            <w:shd w:val="clear" w:color="auto" w:fill="auto"/>
            <w:vAlign w:val="center"/>
            <w:hideMark/>
          </w:tcPr>
          <w:p w14:paraId="790A5BA1" w14:textId="5E53226D" w:rsidR="0085456D" w:rsidRPr="00005453" w:rsidRDefault="0085456D" w:rsidP="0085456D">
            <w:pPr>
              <w:jc w:val="right"/>
              <w:rPr>
                <w:sz w:val="18"/>
                <w:szCs w:val="18"/>
                <w:lang w:eastAsia="tr-TR"/>
              </w:rPr>
            </w:pPr>
            <w:r w:rsidRPr="00005453">
              <w:rPr>
                <w:sz w:val="18"/>
                <w:szCs w:val="18"/>
              </w:rPr>
              <w:t>2,959,097</w:t>
            </w:r>
          </w:p>
        </w:tc>
        <w:tc>
          <w:tcPr>
            <w:tcW w:w="1134" w:type="dxa"/>
            <w:tcBorders>
              <w:top w:val="nil"/>
              <w:left w:val="nil"/>
              <w:bottom w:val="nil"/>
              <w:right w:val="nil"/>
            </w:tcBorders>
            <w:shd w:val="clear" w:color="auto" w:fill="auto"/>
            <w:vAlign w:val="center"/>
            <w:hideMark/>
          </w:tcPr>
          <w:p w14:paraId="1D6A1698" w14:textId="1C24A4E8" w:rsidR="0085456D" w:rsidRPr="00005453" w:rsidRDefault="0085456D" w:rsidP="0085456D">
            <w:pPr>
              <w:jc w:val="right"/>
              <w:rPr>
                <w:sz w:val="18"/>
                <w:szCs w:val="18"/>
                <w:lang w:eastAsia="tr-TR"/>
              </w:rPr>
            </w:pPr>
            <w:r w:rsidRPr="00005453">
              <w:rPr>
                <w:sz w:val="18"/>
                <w:szCs w:val="18"/>
              </w:rPr>
              <w:t>3,163,622</w:t>
            </w:r>
          </w:p>
        </w:tc>
      </w:tr>
      <w:tr w:rsidR="0085456D" w:rsidRPr="00005453" w14:paraId="14BF0CCA"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0F541A7A" w14:textId="77777777" w:rsidR="0085456D" w:rsidRPr="00005453" w:rsidRDefault="0085456D" w:rsidP="0085456D">
            <w:pPr>
              <w:jc w:val="both"/>
              <w:rPr>
                <w:sz w:val="18"/>
                <w:szCs w:val="18"/>
                <w:lang w:eastAsia="tr-TR"/>
              </w:rPr>
            </w:pPr>
            <w:r w:rsidRPr="00005453">
              <w:rPr>
                <w:sz w:val="18"/>
                <w:szCs w:val="18"/>
                <w:lang w:eastAsia="tr-TR"/>
              </w:rPr>
              <w:t>Taşıt Kredileri</w:t>
            </w:r>
          </w:p>
        </w:tc>
        <w:tc>
          <w:tcPr>
            <w:tcW w:w="1559" w:type="dxa"/>
            <w:tcBorders>
              <w:top w:val="nil"/>
              <w:left w:val="nil"/>
              <w:bottom w:val="nil"/>
              <w:right w:val="nil"/>
            </w:tcBorders>
            <w:shd w:val="clear" w:color="auto" w:fill="auto"/>
            <w:vAlign w:val="center"/>
            <w:hideMark/>
          </w:tcPr>
          <w:p w14:paraId="28887E22" w14:textId="0B690671" w:rsidR="0085456D" w:rsidRPr="00005453" w:rsidRDefault="0085456D" w:rsidP="0085456D">
            <w:pPr>
              <w:jc w:val="right"/>
              <w:rPr>
                <w:sz w:val="18"/>
                <w:szCs w:val="18"/>
                <w:lang w:eastAsia="tr-TR"/>
              </w:rPr>
            </w:pPr>
            <w:r w:rsidRPr="00005453">
              <w:rPr>
                <w:sz w:val="18"/>
                <w:szCs w:val="18"/>
              </w:rPr>
              <w:t>6,582,599</w:t>
            </w:r>
          </w:p>
        </w:tc>
        <w:tc>
          <w:tcPr>
            <w:tcW w:w="2126" w:type="dxa"/>
            <w:tcBorders>
              <w:top w:val="nil"/>
              <w:left w:val="nil"/>
              <w:bottom w:val="nil"/>
              <w:right w:val="nil"/>
            </w:tcBorders>
            <w:shd w:val="clear" w:color="auto" w:fill="auto"/>
            <w:vAlign w:val="center"/>
            <w:hideMark/>
          </w:tcPr>
          <w:p w14:paraId="175BA097" w14:textId="54A39367" w:rsidR="0085456D" w:rsidRPr="00005453" w:rsidRDefault="0085456D" w:rsidP="0085456D">
            <w:pPr>
              <w:jc w:val="right"/>
              <w:rPr>
                <w:sz w:val="18"/>
                <w:szCs w:val="18"/>
                <w:lang w:eastAsia="tr-TR"/>
              </w:rPr>
            </w:pPr>
            <w:r w:rsidRPr="00005453">
              <w:rPr>
                <w:sz w:val="18"/>
                <w:szCs w:val="18"/>
              </w:rPr>
              <w:t>32,188,908</w:t>
            </w:r>
          </w:p>
        </w:tc>
        <w:tc>
          <w:tcPr>
            <w:tcW w:w="1134" w:type="dxa"/>
            <w:tcBorders>
              <w:top w:val="nil"/>
              <w:left w:val="nil"/>
              <w:bottom w:val="nil"/>
              <w:right w:val="nil"/>
            </w:tcBorders>
            <w:shd w:val="clear" w:color="auto" w:fill="auto"/>
            <w:vAlign w:val="center"/>
            <w:hideMark/>
          </w:tcPr>
          <w:p w14:paraId="312C8A36" w14:textId="0D9E54D7" w:rsidR="0085456D" w:rsidRPr="00005453" w:rsidRDefault="0085456D" w:rsidP="0085456D">
            <w:pPr>
              <w:jc w:val="right"/>
              <w:rPr>
                <w:sz w:val="18"/>
                <w:szCs w:val="18"/>
                <w:lang w:eastAsia="tr-TR"/>
              </w:rPr>
            </w:pPr>
            <w:r w:rsidRPr="00005453">
              <w:rPr>
                <w:sz w:val="18"/>
                <w:szCs w:val="18"/>
              </w:rPr>
              <w:t>38,771,507</w:t>
            </w:r>
          </w:p>
        </w:tc>
      </w:tr>
      <w:tr w:rsidR="0085456D" w:rsidRPr="00005453" w14:paraId="29AB88D2"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005A6CB1" w14:textId="77777777" w:rsidR="0085456D" w:rsidRPr="00005453" w:rsidRDefault="0085456D" w:rsidP="0085456D">
            <w:pPr>
              <w:jc w:val="both"/>
              <w:rPr>
                <w:sz w:val="18"/>
                <w:szCs w:val="18"/>
                <w:lang w:eastAsia="tr-TR"/>
              </w:rPr>
            </w:pPr>
            <w:r w:rsidRPr="00005453">
              <w:rPr>
                <w:sz w:val="18"/>
                <w:szCs w:val="18"/>
                <w:lang w:eastAsia="tr-TR"/>
              </w:rPr>
              <w:t>İhtiyaç Kredileri</w:t>
            </w:r>
          </w:p>
        </w:tc>
        <w:tc>
          <w:tcPr>
            <w:tcW w:w="1559" w:type="dxa"/>
            <w:tcBorders>
              <w:top w:val="nil"/>
              <w:left w:val="nil"/>
              <w:bottom w:val="nil"/>
              <w:right w:val="nil"/>
            </w:tcBorders>
            <w:shd w:val="clear" w:color="auto" w:fill="auto"/>
            <w:vAlign w:val="center"/>
            <w:hideMark/>
          </w:tcPr>
          <w:p w14:paraId="28086478" w14:textId="66CCF73F" w:rsidR="0085456D" w:rsidRPr="00005453" w:rsidRDefault="0085456D" w:rsidP="0085456D">
            <w:pPr>
              <w:jc w:val="right"/>
              <w:rPr>
                <w:sz w:val="18"/>
                <w:szCs w:val="18"/>
                <w:lang w:eastAsia="tr-TR"/>
              </w:rPr>
            </w:pPr>
            <w:r w:rsidRPr="00005453">
              <w:rPr>
                <w:sz w:val="18"/>
                <w:szCs w:val="18"/>
              </w:rPr>
              <w:t>1,614,439</w:t>
            </w:r>
          </w:p>
        </w:tc>
        <w:tc>
          <w:tcPr>
            <w:tcW w:w="2126" w:type="dxa"/>
            <w:tcBorders>
              <w:top w:val="nil"/>
              <w:left w:val="nil"/>
              <w:bottom w:val="nil"/>
              <w:right w:val="nil"/>
            </w:tcBorders>
            <w:shd w:val="clear" w:color="auto" w:fill="auto"/>
            <w:vAlign w:val="center"/>
            <w:hideMark/>
          </w:tcPr>
          <w:p w14:paraId="650322D7" w14:textId="178B93F2" w:rsidR="0085456D" w:rsidRPr="00005453" w:rsidRDefault="0085456D" w:rsidP="0085456D">
            <w:pPr>
              <w:jc w:val="right"/>
              <w:rPr>
                <w:sz w:val="18"/>
                <w:szCs w:val="18"/>
                <w:lang w:eastAsia="tr-TR"/>
              </w:rPr>
            </w:pPr>
            <w:r w:rsidRPr="00005453">
              <w:rPr>
                <w:sz w:val="18"/>
                <w:szCs w:val="18"/>
              </w:rPr>
              <w:t>6,813,898</w:t>
            </w:r>
          </w:p>
        </w:tc>
        <w:tc>
          <w:tcPr>
            <w:tcW w:w="1134" w:type="dxa"/>
            <w:tcBorders>
              <w:top w:val="nil"/>
              <w:left w:val="nil"/>
              <w:bottom w:val="nil"/>
              <w:right w:val="nil"/>
            </w:tcBorders>
            <w:shd w:val="clear" w:color="auto" w:fill="auto"/>
            <w:vAlign w:val="center"/>
            <w:hideMark/>
          </w:tcPr>
          <w:p w14:paraId="445C72C3" w14:textId="78BAD0D2" w:rsidR="0085456D" w:rsidRPr="00005453" w:rsidRDefault="0085456D" w:rsidP="0085456D">
            <w:pPr>
              <w:jc w:val="right"/>
              <w:rPr>
                <w:sz w:val="18"/>
                <w:szCs w:val="18"/>
                <w:lang w:eastAsia="tr-TR"/>
              </w:rPr>
            </w:pPr>
            <w:r w:rsidRPr="00005453">
              <w:rPr>
                <w:sz w:val="18"/>
                <w:szCs w:val="18"/>
              </w:rPr>
              <w:t>8,428,337</w:t>
            </w:r>
          </w:p>
        </w:tc>
      </w:tr>
      <w:tr w:rsidR="0085456D" w:rsidRPr="00005453" w14:paraId="1DA880F0"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34AC9BEF" w14:textId="77777777" w:rsidR="0085456D" w:rsidRPr="00005453" w:rsidRDefault="0085456D" w:rsidP="0085456D">
            <w:pPr>
              <w:jc w:val="both"/>
              <w:rPr>
                <w:sz w:val="18"/>
                <w:szCs w:val="18"/>
                <w:lang w:eastAsia="tr-TR"/>
              </w:rPr>
            </w:pPr>
            <w:r w:rsidRPr="00005453">
              <w:rPr>
                <w:sz w:val="18"/>
                <w:szCs w:val="18"/>
                <w:lang w:eastAsia="tr-TR"/>
              </w:rPr>
              <w:t>Diğer</w:t>
            </w:r>
          </w:p>
        </w:tc>
        <w:tc>
          <w:tcPr>
            <w:tcW w:w="1559" w:type="dxa"/>
            <w:tcBorders>
              <w:top w:val="nil"/>
              <w:left w:val="nil"/>
              <w:bottom w:val="nil"/>
              <w:right w:val="nil"/>
            </w:tcBorders>
            <w:shd w:val="clear" w:color="auto" w:fill="auto"/>
            <w:vAlign w:val="center"/>
            <w:hideMark/>
          </w:tcPr>
          <w:p w14:paraId="5CE6E9C7" w14:textId="79016AC7"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21A35BD9" w14:textId="77554806"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13076488" w14:textId="5C645A36" w:rsidR="0085456D" w:rsidRPr="00005453" w:rsidRDefault="0085456D" w:rsidP="0085456D">
            <w:pPr>
              <w:jc w:val="right"/>
              <w:rPr>
                <w:sz w:val="18"/>
                <w:szCs w:val="18"/>
                <w:lang w:eastAsia="tr-TR"/>
              </w:rPr>
            </w:pPr>
            <w:r w:rsidRPr="00005453">
              <w:rPr>
                <w:sz w:val="18"/>
                <w:szCs w:val="18"/>
              </w:rPr>
              <w:t>-</w:t>
            </w:r>
          </w:p>
        </w:tc>
      </w:tr>
      <w:tr w:rsidR="0085456D" w:rsidRPr="00005453" w14:paraId="7320EB32"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64672E42" w14:textId="77777777" w:rsidR="0085456D" w:rsidRPr="00005453" w:rsidRDefault="0085456D" w:rsidP="0085456D">
            <w:pPr>
              <w:jc w:val="both"/>
              <w:rPr>
                <w:b/>
                <w:bCs/>
                <w:sz w:val="18"/>
                <w:szCs w:val="18"/>
                <w:lang w:eastAsia="tr-TR"/>
              </w:rPr>
            </w:pPr>
            <w:r w:rsidRPr="00005453">
              <w:rPr>
                <w:b/>
                <w:bCs/>
                <w:sz w:val="18"/>
                <w:szCs w:val="18"/>
                <w:lang w:eastAsia="tr-TR"/>
              </w:rPr>
              <w:t>Taksitli Ticari Krediler-Dövize Endeksli</w:t>
            </w:r>
          </w:p>
        </w:tc>
        <w:tc>
          <w:tcPr>
            <w:tcW w:w="1559" w:type="dxa"/>
            <w:tcBorders>
              <w:top w:val="nil"/>
              <w:left w:val="nil"/>
              <w:bottom w:val="nil"/>
              <w:right w:val="nil"/>
            </w:tcBorders>
            <w:shd w:val="clear" w:color="auto" w:fill="auto"/>
            <w:vAlign w:val="center"/>
            <w:hideMark/>
          </w:tcPr>
          <w:p w14:paraId="65668738" w14:textId="5629A0C0" w:rsidR="0085456D" w:rsidRPr="00005453" w:rsidRDefault="0085456D" w:rsidP="0085456D">
            <w:pPr>
              <w:jc w:val="right"/>
              <w:rPr>
                <w:b/>
                <w:sz w:val="18"/>
                <w:szCs w:val="18"/>
                <w:lang w:eastAsia="tr-TR"/>
              </w:rPr>
            </w:pPr>
            <w:r w:rsidRPr="00005453">
              <w:rPr>
                <w:b/>
                <w:bCs/>
                <w:sz w:val="18"/>
                <w:szCs w:val="18"/>
              </w:rPr>
              <w:t>5,489</w:t>
            </w:r>
          </w:p>
        </w:tc>
        <w:tc>
          <w:tcPr>
            <w:tcW w:w="2126" w:type="dxa"/>
            <w:tcBorders>
              <w:top w:val="nil"/>
              <w:left w:val="nil"/>
              <w:bottom w:val="nil"/>
              <w:right w:val="nil"/>
            </w:tcBorders>
            <w:shd w:val="clear" w:color="auto" w:fill="auto"/>
            <w:vAlign w:val="center"/>
            <w:hideMark/>
          </w:tcPr>
          <w:p w14:paraId="295E691B" w14:textId="6AA79EA2" w:rsidR="0085456D" w:rsidRPr="00005453" w:rsidRDefault="0085456D" w:rsidP="0085456D">
            <w:pPr>
              <w:jc w:val="right"/>
              <w:rPr>
                <w:b/>
                <w:sz w:val="18"/>
                <w:szCs w:val="18"/>
                <w:lang w:eastAsia="tr-TR"/>
              </w:rPr>
            </w:pPr>
            <w:r w:rsidRPr="00005453">
              <w:rPr>
                <w:b/>
                <w:bCs/>
                <w:sz w:val="18"/>
                <w:szCs w:val="18"/>
              </w:rPr>
              <w:t>201,814</w:t>
            </w:r>
          </w:p>
        </w:tc>
        <w:tc>
          <w:tcPr>
            <w:tcW w:w="1134" w:type="dxa"/>
            <w:tcBorders>
              <w:top w:val="nil"/>
              <w:left w:val="nil"/>
              <w:bottom w:val="nil"/>
              <w:right w:val="nil"/>
            </w:tcBorders>
            <w:shd w:val="clear" w:color="auto" w:fill="auto"/>
            <w:vAlign w:val="center"/>
            <w:hideMark/>
          </w:tcPr>
          <w:p w14:paraId="25F2EAA8" w14:textId="5F3F6570" w:rsidR="0085456D" w:rsidRPr="00005453" w:rsidRDefault="0085456D" w:rsidP="0085456D">
            <w:pPr>
              <w:jc w:val="right"/>
              <w:rPr>
                <w:b/>
                <w:sz w:val="18"/>
                <w:szCs w:val="18"/>
                <w:lang w:eastAsia="tr-TR"/>
              </w:rPr>
            </w:pPr>
            <w:r w:rsidRPr="00005453">
              <w:rPr>
                <w:b/>
                <w:bCs/>
                <w:sz w:val="18"/>
                <w:szCs w:val="18"/>
              </w:rPr>
              <w:t>207,303</w:t>
            </w:r>
          </w:p>
        </w:tc>
      </w:tr>
      <w:tr w:rsidR="0085456D" w:rsidRPr="00005453" w14:paraId="647027E9"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50EBD7E5" w14:textId="77777777" w:rsidR="0085456D" w:rsidRPr="00005453" w:rsidRDefault="0085456D" w:rsidP="0085456D">
            <w:pPr>
              <w:jc w:val="both"/>
              <w:rPr>
                <w:sz w:val="18"/>
                <w:szCs w:val="18"/>
                <w:lang w:eastAsia="tr-TR"/>
              </w:rPr>
            </w:pPr>
            <w:r w:rsidRPr="00005453">
              <w:rPr>
                <w:sz w:val="18"/>
                <w:szCs w:val="18"/>
                <w:lang w:eastAsia="tr-TR"/>
              </w:rPr>
              <w:t>İşyeri Kredileri</w:t>
            </w:r>
          </w:p>
        </w:tc>
        <w:tc>
          <w:tcPr>
            <w:tcW w:w="1559" w:type="dxa"/>
            <w:tcBorders>
              <w:top w:val="nil"/>
              <w:left w:val="nil"/>
              <w:bottom w:val="nil"/>
              <w:right w:val="nil"/>
            </w:tcBorders>
            <w:shd w:val="clear" w:color="auto" w:fill="auto"/>
            <w:vAlign w:val="center"/>
            <w:hideMark/>
          </w:tcPr>
          <w:p w14:paraId="02C65A6A" w14:textId="4E7E7A3D" w:rsidR="0085456D" w:rsidRPr="00005453" w:rsidRDefault="0085456D" w:rsidP="0085456D">
            <w:pPr>
              <w:jc w:val="right"/>
              <w:rPr>
                <w:sz w:val="18"/>
                <w:szCs w:val="18"/>
                <w:lang w:eastAsia="tr-TR"/>
              </w:rPr>
            </w:pPr>
            <w:r w:rsidRPr="00005453">
              <w:rPr>
                <w:sz w:val="18"/>
                <w:szCs w:val="18"/>
              </w:rPr>
              <w:t>5,489</w:t>
            </w:r>
          </w:p>
        </w:tc>
        <w:tc>
          <w:tcPr>
            <w:tcW w:w="2126" w:type="dxa"/>
            <w:tcBorders>
              <w:top w:val="nil"/>
              <w:left w:val="nil"/>
              <w:bottom w:val="nil"/>
              <w:right w:val="nil"/>
            </w:tcBorders>
            <w:shd w:val="clear" w:color="auto" w:fill="auto"/>
            <w:vAlign w:val="center"/>
            <w:hideMark/>
          </w:tcPr>
          <w:p w14:paraId="0E874F68" w14:textId="3C1E0D2F"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77FDF36A" w14:textId="78DAE98D" w:rsidR="0085456D" w:rsidRPr="00005453" w:rsidRDefault="0085456D" w:rsidP="0085456D">
            <w:pPr>
              <w:jc w:val="right"/>
              <w:rPr>
                <w:sz w:val="18"/>
                <w:szCs w:val="18"/>
                <w:lang w:eastAsia="tr-TR"/>
              </w:rPr>
            </w:pPr>
            <w:r w:rsidRPr="00005453">
              <w:rPr>
                <w:sz w:val="18"/>
                <w:szCs w:val="18"/>
              </w:rPr>
              <w:t>5,489</w:t>
            </w:r>
          </w:p>
        </w:tc>
      </w:tr>
      <w:tr w:rsidR="0085456D" w:rsidRPr="00005453" w14:paraId="0492CC1D"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3DB7FFF8" w14:textId="77777777" w:rsidR="0085456D" w:rsidRPr="00005453" w:rsidRDefault="0085456D" w:rsidP="0085456D">
            <w:pPr>
              <w:jc w:val="both"/>
              <w:rPr>
                <w:sz w:val="18"/>
                <w:szCs w:val="18"/>
                <w:lang w:eastAsia="tr-TR"/>
              </w:rPr>
            </w:pPr>
            <w:r w:rsidRPr="00005453">
              <w:rPr>
                <w:sz w:val="18"/>
                <w:szCs w:val="18"/>
                <w:lang w:eastAsia="tr-TR"/>
              </w:rPr>
              <w:t>Taşıt Kredileri</w:t>
            </w:r>
          </w:p>
        </w:tc>
        <w:tc>
          <w:tcPr>
            <w:tcW w:w="1559" w:type="dxa"/>
            <w:tcBorders>
              <w:top w:val="nil"/>
              <w:left w:val="nil"/>
              <w:bottom w:val="nil"/>
              <w:right w:val="nil"/>
            </w:tcBorders>
            <w:shd w:val="clear" w:color="auto" w:fill="auto"/>
            <w:vAlign w:val="center"/>
            <w:hideMark/>
          </w:tcPr>
          <w:p w14:paraId="56E39D44" w14:textId="5F2CC27B"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7515212D" w14:textId="1EB47E7F"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46A6B5A1" w14:textId="0E464661" w:rsidR="0085456D" w:rsidRPr="00005453" w:rsidRDefault="0085456D" w:rsidP="0085456D">
            <w:pPr>
              <w:jc w:val="right"/>
              <w:rPr>
                <w:sz w:val="18"/>
                <w:szCs w:val="18"/>
                <w:lang w:eastAsia="tr-TR"/>
              </w:rPr>
            </w:pPr>
            <w:r w:rsidRPr="00005453">
              <w:rPr>
                <w:sz w:val="18"/>
                <w:szCs w:val="18"/>
              </w:rPr>
              <w:t>-</w:t>
            </w:r>
          </w:p>
        </w:tc>
      </w:tr>
      <w:tr w:rsidR="0085456D" w:rsidRPr="00005453" w14:paraId="5B579CD0"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0EAD3A39" w14:textId="77777777" w:rsidR="0085456D" w:rsidRPr="00005453" w:rsidRDefault="0085456D" w:rsidP="0085456D">
            <w:pPr>
              <w:jc w:val="both"/>
              <w:rPr>
                <w:sz w:val="18"/>
                <w:szCs w:val="18"/>
                <w:lang w:eastAsia="tr-TR"/>
              </w:rPr>
            </w:pPr>
            <w:r w:rsidRPr="00005453">
              <w:rPr>
                <w:sz w:val="18"/>
                <w:szCs w:val="18"/>
                <w:lang w:eastAsia="tr-TR"/>
              </w:rPr>
              <w:t>İhtiyaç Kredileri</w:t>
            </w:r>
          </w:p>
        </w:tc>
        <w:tc>
          <w:tcPr>
            <w:tcW w:w="1559" w:type="dxa"/>
            <w:tcBorders>
              <w:top w:val="nil"/>
              <w:left w:val="nil"/>
              <w:bottom w:val="nil"/>
              <w:right w:val="nil"/>
            </w:tcBorders>
            <w:shd w:val="clear" w:color="auto" w:fill="auto"/>
            <w:vAlign w:val="center"/>
            <w:hideMark/>
          </w:tcPr>
          <w:p w14:paraId="269F4D56" w14:textId="4DED15E1"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4866B1A9" w14:textId="476DE71C" w:rsidR="0085456D" w:rsidRPr="00005453" w:rsidRDefault="0085456D" w:rsidP="0085456D">
            <w:pPr>
              <w:jc w:val="right"/>
              <w:rPr>
                <w:sz w:val="18"/>
                <w:szCs w:val="18"/>
                <w:lang w:eastAsia="tr-TR"/>
              </w:rPr>
            </w:pPr>
            <w:r w:rsidRPr="00005453">
              <w:rPr>
                <w:sz w:val="18"/>
                <w:szCs w:val="18"/>
              </w:rPr>
              <w:t>201,814</w:t>
            </w:r>
          </w:p>
        </w:tc>
        <w:tc>
          <w:tcPr>
            <w:tcW w:w="1134" w:type="dxa"/>
            <w:tcBorders>
              <w:top w:val="nil"/>
              <w:left w:val="nil"/>
              <w:bottom w:val="nil"/>
              <w:right w:val="nil"/>
            </w:tcBorders>
            <w:shd w:val="clear" w:color="auto" w:fill="auto"/>
            <w:vAlign w:val="center"/>
            <w:hideMark/>
          </w:tcPr>
          <w:p w14:paraId="26BA7CEF" w14:textId="0A2C7C25" w:rsidR="0085456D" w:rsidRPr="00005453" w:rsidRDefault="0085456D" w:rsidP="0085456D">
            <w:pPr>
              <w:jc w:val="right"/>
              <w:rPr>
                <w:sz w:val="18"/>
                <w:szCs w:val="18"/>
                <w:lang w:eastAsia="tr-TR"/>
              </w:rPr>
            </w:pPr>
            <w:r w:rsidRPr="00005453">
              <w:rPr>
                <w:sz w:val="18"/>
                <w:szCs w:val="18"/>
              </w:rPr>
              <w:t>201,814</w:t>
            </w:r>
          </w:p>
        </w:tc>
      </w:tr>
      <w:tr w:rsidR="0085456D" w:rsidRPr="00005453" w14:paraId="1770BDAB"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4B27B60C" w14:textId="77777777" w:rsidR="0085456D" w:rsidRPr="00005453" w:rsidRDefault="0085456D" w:rsidP="0085456D">
            <w:pPr>
              <w:jc w:val="both"/>
              <w:rPr>
                <w:sz w:val="18"/>
                <w:szCs w:val="18"/>
                <w:lang w:eastAsia="tr-TR"/>
              </w:rPr>
            </w:pPr>
            <w:r w:rsidRPr="00005453">
              <w:rPr>
                <w:sz w:val="18"/>
                <w:szCs w:val="18"/>
                <w:lang w:eastAsia="tr-TR"/>
              </w:rPr>
              <w:t>Diğer</w:t>
            </w:r>
          </w:p>
        </w:tc>
        <w:tc>
          <w:tcPr>
            <w:tcW w:w="1559" w:type="dxa"/>
            <w:tcBorders>
              <w:top w:val="nil"/>
              <w:left w:val="nil"/>
              <w:bottom w:val="nil"/>
              <w:right w:val="nil"/>
            </w:tcBorders>
            <w:shd w:val="clear" w:color="auto" w:fill="auto"/>
            <w:vAlign w:val="center"/>
            <w:hideMark/>
          </w:tcPr>
          <w:p w14:paraId="4D7FC612" w14:textId="7E612C55"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39DE86F7" w14:textId="119B283E"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28EC972F" w14:textId="6B919142" w:rsidR="0085456D" w:rsidRPr="00005453" w:rsidRDefault="0085456D" w:rsidP="0085456D">
            <w:pPr>
              <w:jc w:val="right"/>
              <w:rPr>
                <w:sz w:val="18"/>
                <w:szCs w:val="18"/>
                <w:lang w:eastAsia="tr-TR"/>
              </w:rPr>
            </w:pPr>
            <w:r w:rsidRPr="00005453">
              <w:rPr>
                <w:sz w:val="18"/>
                <w:szCs w:val="18"/>
              </w:rPr>
              <w:t>-</w:t>
            </w:r>
          </w:p>
        </w:tc>
      </w:tr>
      <w:tr w:rsidR="0085456D" w:rsidRPr="00005453" w14:paraId="3CBDA172"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5B29098F" w14:textId="77777777" w:rsidR="0085456D" w:rsidRPr="00005453" w:rsidRDefault="0085456D" w:rsidP="0085456D">
            <w:pPr>
              <w:jc w:val="both"/>
              <w:rPr>
                <w:b/>
                <w:bCs/>
                <w:sz w:val="18"/>
                <w:szCs w:val="18"/>
                <w:lang w:eastAsia="tr-TR"/>
              </w:rPr>
            </w:pPr>
            <w:r w:rsidRPr="00005453">
              <w:rPr>
                <w:b/>
                <w:bCs/>
                <w:sz w:val="18"/>
                <w:szCs w:val="18"/>
                <w:lang w:eastAsia="tr-TR"/>
              </w:rPr>
              <w:t>Taksitli Ticari Krediler-YP</w:t>
            </w:r>
          </w:p>
        </w:tc>
        <w:tc>
          <w:tcPr>
            <w:tcW w:w="1559" w:type="dxa"/>
            <w:tcBorders>
              <w:top w:val="nil"/>
              <w:left w:val="nil"/>
              <w:bottom w:val="nil"/>
              <w:right w:val="nil"/>
            </w:tcBorders>
            <w:shd w:val="clear" w:color="auto" w:fill="auto"/>
            <w:vAlign w:val="center"/>
            <w:hideMark/>
          </w:tcPr>
          <w:p w14:paraId="506094E1" w14:textId="72443E19" w:rsidR="0085456D" w:rsidRPr="00005453" w:rsidRDefault="0085456D" w:rsidP="0085456D">
            <w:pPr>
              <w:jc w:val="right"/>
              <w:rPr>
                <w:b/>
                <w:sz w:val="18"/>
                <w:szCs w:val="18"/>
                <w:lang w:eastAsia="tr-TR"/>
              </w:rPr>
            </w:pPr>
            <w:r w:rsidRPr="00005453">
              <w:rPr>
                <w:b/>
                <w:bCs/>
                <w:sz w:val="18"/>
                <w:szCs w:val="18"/>
              </w:rPr>
              <w:t>27,458</w:t>
            </w:r>
          </w:p>
        </w:tc>
        <w:tc>
          <w:tcPr>
            <w:tcW w:w="2126" w:type="dxa"/>
            <w:tcBorders>
              <w:top w:val="nil"/>
              <w:left w:val="nil"/>
              <w:bottom w:val="nil"/>
              <w:right w:val="nil"/>
            </w:tcBorders>
            <w:shd w:val="clear" w:color="auto" w:fill="auto"/>
            <w:vAlign w:val="center"/>
            <w:hideMark/>
          </w:tcPr>
          <w:p w14:paraId="243C6517" w14:textId="43D9E19F" w:rsidR="0085456D" w:rsidRPr="00005453" w:rsidRDefault="0085456D" w:rsidP="0085456D">
            <w:pPr>
              <w:jc w:val="right"/>
              <w:rPr>
                <w:b/>
                <w:sz w:val="18"/>
                <w:szCs w:val="18"/>
                <w:lang w:eastAsia="tr-TR"/>
              </w:rPr>
            </w:pPr>
            <w:r w:rsidRPr="00005453">
              <w:rPr>
                <w:b/>
                <w:bCs/>
                <w:sz w:val="18"/>
                <w:szCs w:val="18"/>
              </w:rPr>
              <w:t>8,876,162</w:t>
            </w:r>
          </w:p>
        </w:tc>
        <w:tc>
          <w:tcPr>
            <w:tcW w:w="1134" w:type="dxa"/>
            <w:tcBorders>
              <w:top w:val="nil"/>
              <w:left w:val="nil"/>
              <w:bottom w:val="nil"/>
              <w:right w:val="nil"/>
            </w:tcBorders>
            <w:shd w:val="clear" w:color="auto" w:fill="auto"/>
            <w:vAlign w:val="center"/>
            <w:hideMark/>
          </w:tcPr>
          <w:p w14:paraId="3BFEE5AB" w14:textId="66C1253B" w:rsidR="0085456D" w:rsidRPr="00005453" w:rsidRDefault="0085456D" w:rsidP="0085456D">
            <w:pPr>
              <w:jc w:val="right"/>
              <w:rPr>
                <w:b/>
                <w:sz w:val="18"/>
                <w:szCs w:val="18"/>
                <w:lang w:eastAsia="tr-TR"/>
              </w:rPr>
            </w:pPr>
            <w:r w:rsidRPr="00005453">
              <w:rPr>
                <w:b/>
                <w:bCs/>
                <w:sz w:val="18"/>
                <w:szCs w:val="18"/>
              </w:rPr>
              <w:t>8,903,620</w:t>
            </w:r>
          </w:p>
        </w:tc>
      </w:tr>
      <w:tr w:rsidR="0085456D" w:rsidRPr="00005453" w14:paraId="20F8B1A2"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51E76176" w14:textId="77777777" w:rsidR="0085456D" w:rsidRPr="00005453" w:rsidRDefault="0085456D" w:rsidP="0085456D">
            <w:pPr>
              <w:jc w:val="both"/>
              <w:rPr>
                <w:sz w:val="18"/>
                <w:szCs w:val="18"/>
                <w:lang w:eastAsia="tr-TR"/>
              </w:rPr>
            </w:pPr>
            <w:r w:rsidRPr="00005453">
              <w:rPr>
                <w:sz w:val="18"/>
                <w:szCs w:val="18"/>
                <w:lang w:eastAsia="tr-TR"/>
              </w:rPr>
              <w:t>İşyeri Kredileri</w:t>
            </w:r>
          </w:p>
        </w:tc>
        <w:tc>
          <w:tcPr>
            <w:tcW w:w="1559" w:type="dxa"/>
            <w:tcBorders>
              <w:top w:val="nil"/>
              <w:left w:val="nil"/>
              <w:bottom w:val="nil"/>
              <w:right w:val="nil"/>
            </w:tcBorders>
            <w:shd w:val="clear" w:color="auto" w:fill="auto"/>
            <w:vAlign w:val="center"/>
            <w:hideMark/>
          </w:tcPr>
          <w:p w14:paraId="3492DDE9" w14:textId="0E96E22E"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0157F8A8" w14:textId="4F16E400" w:rsidR="0085456D" w:rsidRPr="00005453" w:rsidRDefault="0085456D" w:rsidP="0085456D">
            <w:pPr>
              <w:jc w:val="right"/>
              <w:rPr>
                <w:sz w:val="18"/>
                <w:szCs w:val="18"/>
                <w:lang w:eastAsia="tr-TR"/>
              </w:rPr>
            </w:pPr>
            <w:r w:rsidRPr="00005453">
              <w:rPr>
                <w:sz w:val="18"/>
                <w:szCs w:val="18"/>
              </w:rPr>
              <w:t>1,773,606</w:t>
            </w:r>
          </w:p>
        </w:tc>
        <w:tc>
          <w:tcPr>
            <w:tcW w:w="1134" w:type="dxa"/>
            <w:tcBorders>
              <w:top w:val="nil"/>
              <w:left w:val="nil"/>
              <w:bottom w:val="nil"/>
              <w:right w:val="nil"/>
            </w:tcBorders>
            <w:shd w:val="clear" w:color="auto" w:fill="auto"/>
            <w:vAlign w:val="center"/>
            <w:hideMark/>
          </w:tcPr>
          <w:p w14:paraId="26EB03AC" w14:textId="725DC2A5" w:rsidR="0085456D" w:rsidRPr="00005453" w:rsidRDefault="0085456D" w:rsidP="0085456D">
            <w:pPr>
              <w:jc w:val="right"/>
              <w:rPr>
                <w:sz w:val="18"/>
                <w:szCs w:val="18"/>
                <w:lang w:eastAsia="tr-TR"/>
              </w:rPr>
            </w:pPr>
            <w:r w:rsidRPr="00005453">
              <w:rPr>
                <w:sz w:val="18"/>
                <w:szCs w:val="18"/>
              </w:rPr>
              <w:t>1,773,606</w:t>
            </w:r>
          </w:p>
        </w:tc>
      </w:tr>
      <w:tr w:rsidR="0085456D" w:rsidRPr="00005453" w14:paraId="58279D02"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7FC35227" w14:textId="77777777" w:rsidR="0085456D" w:rsidRPr="00005453" w:rsidRDefault="0085456D" w:rsidP="0085456D">
            <w:pPr>
              <w:jc w:val="both"/>
              <w:rPr>
                <w:sz w:val="18"/>
                <w:szCs w:val="18"/>
                <w:lang w:eastAsia="tr-TR"/>
              </w:rPr>
            </w:pPr>
            <w:r w:rsidRPr="00005453">
              <w:rPr>
                <w:sz w:val="18"/>
                <w:szCs w:val="18"/>
                <w:lang w:eastAsia="tr-TR"/>
              </w:rPr>
              <w:t>Taşıt Kredileri</w:t>
            </w:r>
          </w:p>
        </w:tc>
        <w:tc>
          <w:tcPr>
            <w:tcW w:w="1559" w:type="dxa"/>
            <w:tcBorders>
              <w:top w:val="nil"/>
              <w:left w:val="nil"/>
              <w:bottom w:val="nil"/>
              <w:right w:val="nil"/>
            </w:tcBorders>
            <w:shd w:val="clear" w:color="auto" w:fill="auto"/>
            <w:vAlign w:val="center"/>
            <w:hideMark/>
          </w:tcPr>
          <w:p w14:paraId="03339081" w14:textId="528AE927" w:rsidR="0085456D" w:rsidRPr="00005453" w:rsidRDefault="0085456D" w:rsidP="0085456D">
            <w:pPr>
              <w:jc w:val="right"/>
              <w:rPr>
                <w:sz w:val="18"/>
                <w:szCs w:val="18"/>
                <w:lang w:eastAsia="tr-TR"/>
              </w:rPr>
            </w:pPr>
            <w:r w:rsidRPr="00005453">
              <w:rPr>
                <w:sz w:val="18"/>
                <w:szCs w:val="18"/>
              </w:rPr>
              <w:t>27,458</w:t>
            </w:r>
          </w:p>
        </w:tc>
        <w:tc>
          <w:tcPr>
            <w:tcW w:w="2126" w:type="dxa"/>
            <w:tcBorders>
              <w:top w:val="nil"/>
              <w:left w:val="nil"/>
              <w:bottom w:val="nil"/>
              <w:right w:val="nil"/>
            </w:tcBorders>
            <w:shd w:val="clear" w:color="auto" w:fill="auto"/>
            <w:vAlign w:val="center"/>
            <w:hideMark/>
          </w:tcPr>
          <w:p w14:paraId="6C3B5723" w14:textId="6ACCDFBC" w:rsidR="0085456D" w:rsidRPr="00005453" w:rsidRDefault="0085456D" w:rsidP="0085456D">
            <w:pPr>
              <w:jc w:val="right"/>
              <w:rPr>
                <w:sz w:val="18"/>
                <w:szCs w:val="18"/>
                <w:lang w:eastAsia="tr-TR"/>
              </w:rPr>
            </w:pPr>
            <w:r w:rsidRPr="00005453">
              <w:rPr>
                <w:sz w:val="18"/>
                <w:szCs w:val="18"/>
              </w:rPr>
              <w:t>7,102,556</w:t>
            </w:r>
          </w:p>
        </w:tc>
        <w:tc>
          <w:tcPr>
            <w:tcW w:w="1134" w:type="dxa"/>
            <w:tcBorders>
              <w:top w:val="nil"/>
              <w:left w:val="nil"/>
              <w:bottom w:val="nil"/>
              <w:right w:val="nil"/>
            </w:tcBorders>
            <w:shd w:val="clear" w:color="auto" w:fill="auto"/>
            <w:vAlign w:val="center"/>
            <w:hideMark/>
          </w:tcPr>
          <w:p w14:paraId="3B8AD559" w14:textId="0DCE24B5" w:rsidR="0085456D" w:rsidRPr="00005453" w:rsidRDefault="0085456D" w:rsidP="0085456D">
            <w:pPr>
              <w:jc w:val="right"/>
              <w:rPr>
                <w:sz w:val="18"/>
                <w:szCs w:val="18"/>
                <w:lang w:eastAsia="tr-TR"/>
              </w:rPr>
            </w:pPr>
            <w:r w:rsidRPr="00005453">
              <w:rPr>
                <w:sz w:val="18"/>
                <w:szCs w:val="18"/>
              </w:rPr>
              <w:t>7,130,014</w:t>
            </w:r>
          </w:p>
        </w:tc>
      </w:tr>
      <w:tr w:rsidR="0085456D" w:rsidRPr="00005453" w14:paraId="13144E21"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02BF423A" w14:textId="77777777" w:rsidR="0085456D" w:rsidRPr="00005453" w:rsidRDefault="0085456D" w:rsidP="0085456D">
            <w:pPr>
              <w:jc w:val="both"/>
              <w:rPr>
                <w:sz w:val="18"/>
                <w:szCs w:val="18"/>
                <w:lang w:eastAsia="tr-TR"/>
              </w:rPr>
            </w:pPr>
            <w:r w:rsidRPr="00005453">
              <w:rPr>
                <w:sz w:val="18"/>
                <w:szCs w:val="18"/>
                <w:lang w:eastAsia="tr-TR"/>
              </w:rPr>
              <w:t>İhtiyaç Kredileri</w:t>
            </w:r>
          </w:p>
        </w:tc>
        <w:tc>
          <w:tcPr>
            <w:tcW w:w="1559" w:type="dxa"/>
            <w:tcBorders>
              <w:top w:val="nil"/>
              <w:left w:val="nil"/>
              <w:bottom w:val="nil"/>
              <w:right w:val="nil"/>
            </w:tcBorders>
            <w:shd w:val="clear" w:color="auto" w:fill="auto"/>
            <w:vAlign w:val="center"/>
            <w:hideMark/>
          </w:tcPr>
          <w:p w14:paraId="7E5C5F24" w14:textId="460E2B71"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38BAF180" w14:textId="6B5BD556"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76CF8AFF" w14:textId="4A98DD82" w:rsidR="0085456D" w:rsidRPr="00005453" w:rsidRDefault="0085456D" w:rsidP="0085456D">
            <w:pPr>
              <w:jc w:val="right"/>
              <w:rPr>
                <w:sz w:val="18"/>
                <w:szCs w:val="18"/>
                <w:lang w:eastAsia="tr-TR"/>
              </w:rPr>
            </w:pPr>
            <w:r w:rsidRPr="00005453">
              <w:rPr>
                <w:sz w:val="18"/>
                <w:szCs w:val="18"/>
              </w:rPr>
              <w:t>-</w:t>
            </w:r>
          </w:p>
        </w:tc>
      </w:tr>
      <w:tr w:rsidR="0085456D" w:rsidRPr="00005453" w14:paraId="0072B86E"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0D05F446" w14:textId="77777777" w:rsidR="0085456D" w:rsidRPr="00005453" w:rsidRDefault="0085456D" w:rsidP="0085456D">
            <w:pPr>
              <w:jc w:val="both"/>
              <w:rPr>
                <w:sz w:val="18"/>
                <w:szCs w:val="18"/>
                <w:lang w:eastAsia="tr-TR"/>
              </w:rPr>
            </w:pPr>
            <w:r w:rsidRPr="00005453">
              <w:rPr>
                <w:sz w:val="18"/>
                <w:szCs w:val="18"/>
                <w:lang w:eastAsia="tr-TR"/>
              </w:rPr>
              <w:t>Diğer</w:t>
            </w:r>
          </w:p>
        </w:tc>
        <w:tc>
          <w:tcPr>
            <w:tcW w:w="1559" w:type="dxa"/>
            <w:tcBorders>
              <w:top w:val="nil"/>
              <w:left w:val="nil"/>
              <w:bottom w:val="nil"/>
              <w:right w:val="nil"/>
            </w:tcBorders>
            <w:shd w:val="clear" w:color="auto" w:fill="auto"/>
            <w:vAlign w:val="center"/>
            <w:hideMark/>
          </w:tcPr>
          <w:p w14:paraId="3878E252" w14:textId="118F6FE1" w:rsidR="0085456D" w:rsidRPr="00005453" w:rsidRDefault="0085456D" w:rsidP="0085456D">
            <w:pPr>
              <w:jc w:val="right"/>
              <w:rPr>
                <w:sz w:val="18"/>
                <w:szCs w:val="18"/>
                <w:lang w:eastAsia="tr-TR"/>
              </w:rPr>
            </w:pPr>
            <w:r w:rsidRPr="00005453">
              <w:rPr>
                <w:sz w:val="18"/>
                <w:szCs w:val="18"/>
              </w:rPr>
              <w:t>-</w:t>
            </w:r>
          </w:p>
        </w:tc>
        <w:tc>
          <w:tcPr>
            <w:tcW w:w="2126" w:type="dxa"/>
            <w:tcBorders>
              <w:top w:val="nil"/>
              <w:left w:val="nil"/>
              <w:bottom w:val="nil"/>
              <w:right w:val="nil"/>
            </w:tcBorders>
            <w:shd w:val="clear" w:color="auto" w:fill="auto"/>
            <w:vAlign w:val="center"/>
            <w:hideMark/>
          </w:tcPr>
          <w:p w14:paraId="108F22CF" w14:textId="5E457713"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5E370975" w14:textId="5BA87871" w:rsidR="0085456D" w:rsidRPr="00005453" w:rsidRDefault="0085456D" w:rsidP="0085456D">
            <w:pPr>
              <w:jc w:val="right"/>
              <w:rPr>
                <w:sz w:val="18"/>
                <w:szCs w:val="18"/>
                <w:lang w:eastAsia="tr-TR"/>
              </w:rPr>
            </w:pPr>
            <w:r w:rsidRPr="00005453">
              <w:rPr>
                <w:sz w:val="18"/>
                <w:szCs w:val="18"/>
              </w:rPr>
              <w:t>-</w:t>
            </w:r>
          </w:p>
        </w:tc>
      </w:tr>
      <w:tr w:rsidR="0085456D" w:rsidRPr="00005453" w14:paraId="735E6169"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4C1A0F27" w14:textId="77777777" w:rsidR="0085456D" w:rsidRPr="00005453" w:rsidRDefault="0085456D" w:rsidP="0085456D">
            <w:pPr>
              <w:jc w:val="both"/>
              <w:rPr>
                <w:b/>
                <w:bCs/>
                <w:sz w:val="18"/>
                <w:szCs w:val="18"/>
                <w:lang w:eastAsia="tr-TR"/>
              </w:rPr>
            </w:pPr>
            <w:r w:rsidRPr="00005453">
              <w:rPr>
                <w:b/>
                <w:bCs/>
                <w:sz w:val="18"/>
                <w:szCs w:val="18"/>
                <w:lang w:eastAsia="tr-TR"/>
              </w:rPr>
              <w:t>Kurumsal Kredi Kartları-TP</w:t>
            </w:r>
          </w:p>
        </w:tc>
        <w:tc>
          <w:tcPr>
            <w:tcW w:w="1559" w:type="dxa"/>
            <w:tcBorders>
              <w:top w:val="nil"/>
              <w:left w:val="nil"/>
              <w:bottom w:val="nil"/>
              <w:right w:val="nil"/>
            </w:tcBorders>
            <w:shd w:val="clear" w:color="auto" w:fill="auto"/>
            <w:vAlign w:val="center"/>
            <w:hideMark/>
          </w:tcPr>
          <w:p w14:paraId="1EC4380B" w14:textId="444091F4" w:rsidR="0085456D" w:rsidRPr="00005453" w:rsidRDefault="0085456D" w:rsidP="0085456D">
            <w:pPr>
              <w:jc w:val="right"/>
              <w:rPr>
                <w:b/>
                <w:sz w:val="18"/>
                <w:szCs w:val="18"/>
                <w:lang w:eastAsia="tr-TR"/>
              </w:rPr>
            </w:pPr>
            <w:r w:rsidRPr="00005453">
              <w:rPr>
                <w:b/>
                <w:bCs/>
                <w:sz w:val="18"/>
                <w:szCs w:val="18"/>
              </w:rPr>
              <w:t>36,169,104</w:t>
            </w:r>
          </w:p>
        </w:tc>
        <w:tc>
          <w:tcPr>
            <w:tcW w:w="2126" w:type="dxa"/>
            <w:tcBorders>
              <w:top w:val="nil"/>
              <w:left w:val="nil"/>
              <w:bottom w:val="nil"/>
              <w:right w:val="nil"/>
            </w:tcBorders>
            <w:shd w:val="clear" w:color="auto" w:fill="auto"/>
            <w:vAlign w:val="center"/>
            <w:hideMark/>
          </w:tcPr>
          <w:p w14:paraId="68A6BA03" w14:textId="408552C4" w:rsidR="0085456D" w:rsidRPr="00005453" w:rsidRDefault="0085456D" w:rsidP="0085456D">
            <w:pPr>
              <w:jc w:val="right"/>
              <w:rPr>
                <w:b/>
                <w:sz w:val="18"/>
                <w:szCs w:val="18"/>
                <w:lang w:eastAsia="tr-TR"/>
              </w:rPr>
            </w:pPr>
            <w:r w:rsidRPr="00005453">
              <w:rPr>
                <w:b/>
                <w:bCs/>
                <w:sz w:val="18"/>
                <w:szCs w:val="18"/>
              </w:rPr>
              <w:t>-</w:t>
            </w:r>
          </w:p>
        </w:tc>
        <w:tc>
          <w:tcPr>
            <w:tcW w:w="1134" w:type="dxa"/>
            <w:tcBorders>
              <w:top w:val="nil"/>
              <w:left w:val="nil"/>
              <w:bottom w:val="nil"/>
              <w:right w:val="nil"/>
            </w:tcBorders>
            <w:shd w:val="clear" w:color="auto" w:fill="auto"/>
            <w:vAlign w:val="center"/>
            <w:hideMark/>
          </w:tcPr>
          <w:p w14:paraId="5F3AF1E2" w14:textId="7ED0F42B" w:rsidR="0085456D" w:rsidRPr="00005453" w:rsidRDefault="0085456D" w:rsidP="0085456D">
            <w:pPr>
              <w:jc w:val="right"/>
              <w:rPr>
                <w:b/>
                <w:sz w:val="18"/>
                <w:szCs w:val="18"/>
                <w:lang w:eastAsia="tr-TR"/>
              </w:rPr>
            </w:pPr>
            <w:r w:rsidRPr="00005453">
              <w:rPr>
                <w:b/>
                <w:bCs/>
                <w:sz w:val="18"/>
                <w:szCs w:val="18"/>
              </w:rPr>
              <w:t>36,169,104</w:t>
            </w:r>
          </w:p>
        </w:tc>
      </w:tr>
      <w:tr w:rsidR="0085456D" w:rsidRPr="00005453" w14:paraId="7174B4F8"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06CBF215" w14:textId="77777777" w:rsidR="0085456D" w:rsidRPr="00005453" w:rsidRDefault="0085456D" w:rsidP="0085456D">
            <w:pPr>
              <w:jc w:val="both"/>
              <w:rPr>
                <w:sz w:val="18"/>
                <w:szCs w:val="18"/>
                <w:lang w:eastAsia="tr-TR"/>
              </w:rPr>
            </w:pPr>
            <w:r w:rsidRPr="00005453">
              <w:rPr>
                <w:sz w:val="18"/>
                <w:szCs w:val="18"/>
                <w:lang w:eastAsia="tr-TR"/>
              </w:rPr>
              <w:t xml:space="preserve">Taksitli </w:t>
            </w:r>
          </w:p>
        </w:tc>
        <w:tc>
          <w:tcPr>
            <w:tcW w:w="1559" w:type="dxa"/>
            <w:tcBorders>
              <w:top w:val="nil"/>
              <w:left w:val="nil"/>
              <w:bottom w:val="nil"/>
              <w:right w:val="nil"/>
            </w:tcBorders>
            <w:shd w:val="clear" w:color="auto" w:fill="auto"/>
            <w:vAlign w:val="center"/>
            <w:hideMark/>
          </w:tcPr>
          <w:p w14:paraId="5912C9B2" w14:textId="37050817" w:rsidR="0085456D" w:rsidRPr="00005453" w:rsidRDefault="0085456D" w:rsidP="0085456D">
            <w:pPr>
              <w:jc w:val="right"/>
              <w:rPr>
                <w:sz w:val="18"/>
                <w:szCs w:val="18"/>
                <w:lang w:eastAsia="tr-TR"/>
              </w:rPr>
            </w:pPr>
            <w:r w:rsidRPr="00005453">
              <w:rPr>
                <w:sz w:val="18"/>
                <w:szCs w:val="18"/>
              </w:rPr>
              <w:t>15,847,479</w:t>
            </w:r>
          </w:p>
        </w:tc>
        <w:tc>
          <w:tcPr>
            <w:tcW w:w="2126" w:type="dxa"/>
            <w:tcBorders>
              <w:top w:val="nil"/>
              <w:left w:val="nil"/>
              <w:bottom w:val="nil"/>
              <w:right w:val="nil"/>
            </w:tcBorders>
            <w:shd w:val="clear" w:color="auto" w:fill="auto"/>
            <w:vAlign w:val="center"/>
            <w:hideMark/>
          </w:tcPr>
          <w:p w14:paraId="40D0A91A" w14:textId="39E47936"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1FF41274" w14:textId="7668C5F9" w:rsidR="0085456D" w:rsidRPr="00005453" w:rsidRDefault="0085456D" w:rsidP="0085456D">
            <w:pPr>
              <w:jc w:val="right"/>
              <w:rPr>
                <w:sz w:val="18"/>
                <w:szCs w:val="18"/>
                <w:lang w:eastAsia="tr-TR"/>
              </w:rPr>
            </w:pPr>
            <w:r w:rsidRPr="00005453">
              <w:rPr>
                <w:sz w:val="18"/>
                <w:szCs w:val="18"/>
              </w:rPr>
              <w:t>15,847,479</w:t>
            </w:r>
          </w:p>
        </w:tc>
      </w:tr>
      <w:tr w:rsidR="0085456D" w:rsidRPr="00005453" w14:paraId="441A4E8F" w14:textId="77777777" w:rsidTr="0085456D">
        <w:trPr>
          <w:divId w:val="1897929277"/>
          <w:trHeight w:val="240"/>
        </w:trPr>
        <w:tc>
          <w:tcPr>
            <w:tcW w:w="4253" w:type="dxa"/>
            <w:tcBorders>
              <w:top w:val="nil"/>
              <w:left w:val="nil"/>
              <w:bottom w:val="nil"/>
              <w:right w:val="nil"/>
            </w:tcBorders>
            <w:shd w:val="clear" w:color="auto" w:fill="auto"/>
            <w:vAlign w:val="center"/>
            <w:hideMark/>
          </w:tcPr>
          <w:p w14:paraId="254F7D37" w14:textId="77777777" w:rsidR="0085456D" w:rsidRPr="00005453" w:rsidRDefault="0085456D" w:rsidP="0085456D">
            <w:pPr>
              <w:jc w:val="both"/>
              <w:rPr>
                <w:sz w:val="18"/>
                <w:szCs w:val="18"/>
                <w:lang w:eastAsia="tr-TR"/>
              </w:rPr>
            </w:pPr>
            <w:r w:rsidRPr="00005453">
              <w:rPr>
                <w:sz w:val="18"/>
                <w:szCs w:val="18"/>
                <w:lang w:eastAsia="tr-TR"/>
              </w:rPr>
              <w:t>Taksitsiz</w:t>
            </w:r>
          </w:p>
        </w:tc>
        <w:tc>
          <w:tcPr>
            <w:tcW w:w="1559" w:type="dxa"/>
            <w:tcBorders>
              <w:top w:val="nil"/>
              <w:left w:val="nil"/>
              <w:bottom w:val="nil"/>
              <w:right w:val="nil"/>
            </w:tcBorders>
            <w:shd w:val="clear" w:color="auto" w:fill="auto"/>
            <w:vAlign w:val="center"/>
            <w:hideMark/>
          </w:tcPr>
          <w:p w14:paraId="758368D7" w14:textId="41EF777B" w:rsidR="0085456D" w:rsidRPr="00005453" w:rsidRDefault="0085456D" w:rsidP="0085456D">
            <w:pPr>
              <w:jc w:val="right"/>
              <w:rPr>
                <w:sz w:val="18"/>
                <w:szCs w:val="18"/>
                <w:lang w:eastAsia="tr-TR"/>
              </w:rPr>
            </w:pPr>
            <w:r w:rsidRPr="00005453">
              <w:rPr>
                <w:sz w:val="18"/>
                <w:szCs w:val="18"/>
              </w:rPr>
              <w:t>20,321,625</w:t>
            </w:r>
          </w:p>
        </w:tc>
        <w:tc>
          <w:tcPr>
            <w:tcW w:w="2126" w:type="dxa"/>
            <w:tcBorders>
              <w:top w:val="nil"/>
              <w:left w:val="nil"/>
              <w:bottom w:val="nil"/>
              <w:right w:val="nil"/>
            </w:tcBorders>
            <w:shd w:val="clear" w:color="auto" w:fill="auto"/>
            <w:vAlign w:val="center"/>
            <w:hideMark/>
          </w:tcPr>
          <w:p w14:paraId="4D59F358" w14:textId="758E8082" w:rsidR="0085456D" w:rsidRPr="00005453" w:rsidRDefault="0085456D" w:rsidP="0085456D">
            <w:pPr>
              <w:jc w:val="right"/>
              <w:rPr>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0ED95EE6" w14:textId="49BF5A6F" w:rsidR="0085456D" w:rsidRPr="00005453" w:rsidRDefault="0085456D" w:rsidP="0085456D">
            <w:pPr>
              <w:jc w:val="right"/>
              <w:rPr>
                <w:sz w:val="18"/>
                <w:szCs w:val="18"/>
                <w:lang w:eastAsia="tr-TR"/>
              </w:rPr>
            </w:pPr>
            <w:r w:rsidRPr="00005453">
              <w:rPr>
                <w:sz w:val="18"/>
                <w:szCs w:val="18"/>
              </w:rPr>
              <w:t>20,321,625</w:t>
            </w:r>
          </w:p>
        </w:tc>
      </w:tr>
      <w:tr w:rsidR="00297765" w:rsidRPr="00005453" w14:paraId="037C39A7"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04495D9" w14:textId="77777777" w:rsidR="00297765" w:rsidRPr="00005453" w:rsidRDefault="00297765" w:rsidP="00297765">
            <w:pPr>
              <w:jc w:val="both"/>
              <w:rPr>
                <w:b/>
                <w:bCs/>
                <w:sz w:val="18"/>
                <w:szCs w:val="18"/>
                <w:lang w:eastAsia="tr-TR"/>
              </w:rPr>
            </w:pPr>
            <w:r w:rsidRPr="00005453">
              <w:rPr>
                <w:b/>
                <w:bCs/>
                <w:sz w:val="18"/>
                <w:szCs w:val="18"/>
                <w:lang w:eastAsia="tr-TR"/>
              </w:rPr>
              <w:t>Kurumsal Kredi Kartları-YP</w:t>
            </w:r>
          </w:p>
        </w:tc>
        <w:tc>
          <w:tcPr>
            <w:tcW w:w="1559" w:type="dxa"/>
            <w:tcBorders>
              <w:top w:val="nil"/>
              <w:left w:val="nil"/>
              <w:bottom w:val="nil"/>
              <w:right w:val="nil"/>
            </w:tcBorders>
            <w:shd w:val="clear" w:color="auto" w:fill="auto"/>
            <w:vAlign w:val="center"/>
            <w:hideMark/>
          </w:tcPr>
          <w:p w14:paraId="22356DC4" w14:textId="77777777" w:rsidR="00297765" w:rsidRPr="00005453" w:rsidRDefault="00297765" w:rsidP="00297765">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76C0BA10" w14:textId="77777777" w:rsidR="00297765" w:rsidRPr="00005453" w:rsidRDefault="00297765" w:rsidP="00297765">
            <w:pPr>
              <w:jc w:val="right"/>
              <w:rPr>
                <w:sz w:val="18"/>
                <w:szCs w:val="18"/>
                <w:lang w:eastAsia="tr-TR"/>
              </w:rPr>
            </w:pPr>
            <w:r w:rsidRPr="00005453">
              <w:rPr>
                <w:sz w:val="18"/>
                <w:szCs w:val="18"/>
                <w:lang w:eastAsia="tr-TR"/>
              </w:rPr>
              <w:t>-</w:t>
            </w:r>
          </w:p>
        </w:tc>
        <w:tc>
          <w:tcPr>
            <w:tcW w:w="1134" w:type="dxa"/>
            <w:tcBorders>
              <w:top w:val="nil"/>
              <w:left w:val="nil"/>
              <w:bottom w:val="nil"/>
              <w:right w:val="nil"/>
            </w:tcBorders>
            <w:shd w:val="clear" w:color="auto" w:fill="auto"/>
            <w:vAlign w:val="center"/>
            <w:hideMark/>
          </w:tcPr>
          <w:p w14:paraId="5AAEEB0D" w14:textId="77777777" w:rsidR="00297765" w:rsidRPr="00005453" w:rsidRDefault="00297765" w:rsidP="00297765">
            <w:pPr>
              <w:jc w:val="right"/>
              <w:rPr>
                <w:sz w:val="18"/>
                <w:szCs w:val="18"/>
                <w:lang w:eastAsia="tr-TR"/>
              </w:rPr>
            </w:pPr>
            <w:r w:rsidRPr="00005453">
              <w:rPr>
                <w:sz w:val="18"/>
                <w:szCs w:val="18"/>
                <w:lang w:eastAsia="tr-TR"/>
              </w:rPr>
              <w:t>-</w:t>
            </w:r>
          </w:p>
        </w:tc>
      </w:tr>
      <w:tr w:rsidR="00297765" w:rsidRPr="00005453" w14:paraId="1E472BCE"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FBC6CAC" w14:textId="77777777" w:rsidR="00297765" w:rsidRPr="00005453" w:rsidRDefault="00297765" w:rsidP="00297765">
            <w:pPr>
              <w:jc w:val="both"/>
              <w:rPr>
                <w:sz w:val="18"/>
                <w:szCs w:val="18"/>
                <w:lang w:eastAsia="tr-TR"/>
              </w:rPr>
            </w:pPr>
            <w:r w:rsidRPr="00005453">
              <w:rPr>
                <w:sz w:val="18"/>
                <w:szCs w:val="18"/>
                <w:lang w:eastAsia="tr-TR"/>
              </w:rPr>
              <w:t xml:space="preserve">Taksitli </w:t>
            </w:r>
          </w:p>
        </w:tc>
        <w:tc>
          <w:tcPr>
            <w:tcW w:w="1559" w:type="dxa"/>
            <w:tcBorders>
              <w:top w:val="nil"/>
              <w:left w:val="nil"/>
              <w:bottom w:val="nil"/>
              <w:right w:val="nil"/>
            </w:tcBorders>
            <w:shd w:val="clear" w:color="auto" w:fill="auto"/>
            <w:vAlign w:val="center"/>
            <w:hideMark/>
          </w:tcPr>
          <w:p w14:paraId="0AA1D462" w14:textId="77777777" w:rsidR="00297765" w:rsidRPr="00005453" w:rsidRDefault="00297765" w:rsidP="00297765">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7D5D7B88" w14:textId="77777777" w:rsidR="00297765" w:rsidRPr="00005453" w:rsidRDefault="00297765" w:rsidP="00297765">
            <w:pPr>
              <w:jc w:val="right"/>
              <w:rPr>
                <w:sz w:val="18"/>
                <w:szCs w:val="18"/>
                <w:lang w:eastAsia="tr-TR"/>
              </w:rPr>
            </w:pPr>
            <w:r w:rsidRPr="00005453">
              <w:rPr>
                <w:sz w:val="18"/>
                <w:szCs w:val="18"/>
                <w:lang w:eastAsia="tr-TR"/>
              </w:rPr>
              <w:t>-</w:t>
            </w:r>
          </w:p>
        </w:tc>
        <w:tc>
          <w:tcPr>
            <w:tcW w:w="1134" w:type="dxa"/>
            <w:tcBorders>
              <w:top w:val="nil"/>
              <w:left w:val="nil"/>
              <w:bottom w:val="nil"/>
              <w:right w:val="nil"/>
            </w:tcBorders>
            <w:shd w:val="clear" w:color="auto" w:fill="auto"/>
            <w:vAlign w:val="center"/>
            <w:hideMark/>
          </w:tcPr>
          <w:p w14:paraId="0658F8A3" w14:textId="77777777" w:rsidR="00297765" w:rsidRPr="00005453" w:rsidRDefault="00297765" w:rsidP="00297765">
            <w:pPr>
              <w:jc w:val="right"/>
              <w:rPr>
                <w:sz w:val="18"/>
                <w:szCs w:val="18"/>
                <w:lang w:eastAsia="tr-TR"/>
              </w:rPr>
            </w:pPr>
            <w:r w:rsidRPr="00005453">
              <w:rPr>
                <w:sz w:val="18"/>
                <w:szCs w:val="18"/>
                <w:lang w:eastAsia="tr-TR"/>
              </w:rPr>
              <w:t>-</w:t>
            </w:r>
          </w:p>
        </w:tc>
      </w:tr>
      <w:tr w:rsidR="00297765" w:rsidRPr="00005453" w14:paraId="078678F7"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2B684638" w14:textId="77777777" w:rsidR="00297765" w:rsidRPr="00005453" w:rsidRDefault="00297765" w:rsidP="00297765">
            <w:pPr>
              <w:jc w:val="both"/>
              <w:rPr>
                <w:sz w:val="18"/>
                <w:szCs w:val="18"/>
                <w:lang w:eastAsia="tr-TR"/>
              </w:rPr>
            </w:pPr>
            <w:r w:rsidRPr="00005453">
              <w:rPr>
                <w:sz w:val="18"/>
                <w:szCs w:val="18"/>
                <w:lang w:eastAsia="tr-TR"/>
              </w:rPr>
              <w:t>Taksitsiz</w:t>
            </w:r>
          </w:p>
        </w:tc>
        <w:tc>
          <w:tcPr>
            <w:tcW w:w="1559" w:type="dxa"/>
            <w:tcBorders>
              <w:top w:val="nil"/>
              <w:left w:val="nil"/>
              <w:bottom w:val="nil"/>
              <w:right w:val="nil"/>
            </w:tcBorders>
            <w:shd w:val="clear" w:color="auto" w:fill="auto"/>
            <w:vAlign w:val="center"/>
            <w:hideMark/>
          </w:tcPr>
          <w:p w14:paraId="5A5A97A7" w14:textId="77777777" w:rsidR="00297765" w:rsidRPr="00005453" w:rsidRDefault="00297765" w:rsidP="00297765">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6078BC2E" w14:textId="77777777" w:rsidR="00297765" w:rsidRPr="00005453" w:rsidRDefault="00297765" w:rsidP="00297765">
            <w:pPr>
              <w:jc w:val="right"/>
              <w:rPr>
                <w:sz w:val="18"/>
                <w:szCs w:val="18"/>
                <w:lang w:eastAsia="tr-TR"/>
              </w:rPr>
            </w:pPr>
            <w:r w:rsidRPr="00005453">
              <w:rPr>
                <w:sz w:val="18"/>
                <w:szCs w:val="18"/>
                <w:lang w:eastAsia="tr-TR"/>
              </w:rPr>
              <w:t>-</w:t>
            </w:r>
          </w:p>
        </w:tc>
        <w:tc>
          <w:tcPr>
            <w:tcW w:w="1134" w:type="dxa"/>
            <w:tcBorders>
              <w:top w:val="nil"/>
              <w:left w:val="nil"/>
              <w:bottom w:val="nil"/>
              <w:right w:val="nil"/>
            </w:tcBorders>
            <w:shd w:val="clear" w:color="auto" w:fill="auto"/>
            <w:vAlign w:val="center"/>
            <w:hideMark/>
          </w:tcPr>
          <w:p w14:paraId="12D81ABD" w14:textId="77777777" w:rsidR="00297765" w:rsidRPr="00005453" w:rsidRDefault="00297765" w:rsidP="00297765">
            <w:pPr>
              <w:jc w:val="right"/>
              <w:rPr>
                <w:bCs/>
                <w:sz w:val="18"/>
                <w:szCs w:val="18"/>
                <w:lang w:eastAsia="tr-TR"/>
              </w:rPr>
            </w:pPr>
            <w:r w:rsidRPr="00005453">
              <w:rPr>
                <w:bCs/>
                <w:sz w:val="18"/>
                <w:szCs w:val="18"/>
                <w:lang w:eastAsia="tr-TR"/>
              </w:rPr>
              <w:t>-</w:t>
            </w:r>
          </w:p>
        </w:tc>
      </w:tr>
      <w:tr w:rsidR="00297765" w:rsidRPr="00005453" w14:paraId="3C41C161"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CDB46F7" w14:textId="77777777" w:rsidR="00297765" w:rsidRPr="00005453" w:rsidRDefault="00297765" w:rsidP="00297765">
            <w:pPr>
              <w:jc w:val="both"/>
              <w:rPr>
                <w:b/>
                <w:bCs/>
                <w:sz w:val="18"/>
                <w:szCs w:val="18"/>
                <w:lang w:eastAsia="tr-TR"/>
              </w:rPr>
            </w:pPr>
            <w:r w:rsidRPr="00005453">
              <w:rPr>
                <w:b/>
                <w:bCs/>
                <w:sz w:val="18"/>
                <w:szCs w:val="18"/>
                <w:lang w:eastAsia="tr-TR"/>
              </w:rPr>
              <w:t>Kredili Mevduat Hesabı-TP (Tüzel Kişi)</w:t>
            </w:r>
          </w:p>
        </w:tc>
        <w:tc>
          <w:tcPr>
            <w:tcW w:w="1559" w:type="dxa"/>
            <w:tcBorders>
              <w:top w:val="nil"/>
              <w:left w:val="nil"/>
              <w:bottom w:val="nil"/>
              <w:right w:val="nil"/>
            </w:tcBorders>
            <w:shd w:val="clear" w:color="auto" w:fill="auto"/>
            <w:vAlign w:val="center"/>
            <w:hideMark/>
          </w:tcPr>
          <w:p w14:paraId="133E4428" w14:textId="77777777" w:rsidR="00297765" w:rsidRPr="00005453" w:rsidRDefault="00297765" w:rsidP="00297765">
            <w:pPr>
              <w:jc w:val="right"/>
              <w:rPr>
                <w:b/>
                <w:bCs/>
                <w:sz w:val="18"/>
                <w:szCs w:val="18"/>
                <w:lang w:eastAsia="tr-TR"/>
              </w:rPr>
            </w:pPr>
            <w:r w:rsidRPr="00005453">
              <w:rPr>
                <w:b/>
                <w:bCs/>
                <w:sz w:val="18"/>
                <w:szCs w:val="18"/>
                <w:lang w:eastAsia="tr-TR"/>
              </w:rPr>
              <w:t>-</w:t>
            </w:r>
          </w:p>
        </w:tc>
        <w:tc>
          <w:tcPr>
            <w:tcW w:w="2126" w:type="dxa"/>
            <w:tcBorders>
              <w:top w:val="nil"/>
              <w:left w:val="nil"/>
              <w:bottom w:val="nil"/>
              <w:right w:val="nil"/>
            </w:tcBorders>
            <w:shd w:val="clear" w:color="auto" w:fill="auto"/>
            <w:vAlign w:val="center"/>
            <w:hideMark/>
          </w:tcPr>
          <w:p w14:paraId="56C95E83" w14:textId="77777777" w:rsidR="00297765" w:rsidRPr="00005453" w:rsidRDefault="00297765" w:rsidP="00297765">
            <w:pPr>
              <w:jc w:val="right"/>
              <w:rPr>
                <w:b/>
                <w:bCs/>
                <w:sz w:val="18"/>
                <w:szCs w:val="18"/>
                <w:lang w:eastAsia="tr-TR"/>
              </w:rPr>
            </w:pPr>
            <w:r w:rsidRPr="00005453">
              <w:rPr>
                <w:b/>
                <w:bCs/>
                <w:sz w:val="18"/>
                <w:szCs w:val="18"/>
                <w:lang w:eastAsia="tr-TR"/>
              </w:rPr>
              <w:t>-</w:t>
            </w:r>
          </w:p>
        </w:tc>
        <w:tc>
          <w:tcPr>
            <w:tcW w:w="1134" w:type="dxa"/>
            <w:tcBorders>
              <w:top w:val="nil"/>
              <w:left w:val="nil"/>
              <w:bottom w:val="nil"/>
              <w:right w:val="nil"/>
            </w:tcBorders>
            <w:shd w:val="clear" w:color="auto" w:fill="auto"/>
            <w:vAlign w:val="center"/>
            <w:hideMark/>
          </w:tcPr>
          <w:p w14:paraId="063BB956" w14:textId="77777777" w:rsidR="00297765" w:rsidRPr="00005453" w:rsidRDefault="00297765" w:rsidP="00297765">
            <w:pPr>
              <w:jc w:val="right"/>
              <w:rPr>
                <w:b/>
                <w:bCs/>
                <w:sz w:val="18"/>
                <w:szCs w:val="18"/>
                <w:lang w:eastAsia="tr-TR"/>
              </w:rPr>
            </w:pPr>
            <w:r w:rsidRPr="00005453">
              <w:rPr>
                <w:b/>
                <w:bCs/>
                <w:sz w:val="18"/>
                <w:szCs w:val="18"/>
                <w:lang w:eastAsia="tr-TR"/>
              </w:rPr>
              <w:t>-</w:t>
            </w:r>
          </w:p>
        </w:tc>
      </w:tr>
      <w:tr w:rsidR="00297765" w:rsidRPr="00005453" w14:paraId="1FD09D43" w14:textId="77777777" w:rsidTr="00FD5D84">
        <w:trPr>
          <w:divId w:val="1897929277"/>
          <w:trHeight w:val="255"/>
        </w:trPr>
        <w:tc>
          <w:tcPr>
            <w:tcW w:w="4253" w:type="dxa"/>
            <w:tcBorders>
              <w:top w:val="nil"/>
              <w:left w:val="nil"/>
              <w:bottom w:val="single" w:sz="8" w:space="0" w:color="auto"/>
              <w:right w:val="nil"/>
            </w:tcBorders>
            <w:shd w:val="clear" w:color="auto" w:fill="auto"/>
            <w:vAlign w:val="center"/>
            <w:hideMark/>
          </w:tcPr>
          <w:p w14:paraId="41A4755D" w14:textId="77777777" w:rsidR="00297765" w:rsidRPr="00005453" w:rsidRDefault="00297765" w:rsidP="00297765">
            <w:pPr>
              <w:jc w:val="both"/>
              <w:rPr>
                <w:b/>
                <w:bCs/>
                <w:sz w:val="18"/>
                <w:szCs w:val="18"/>
                <w:lang w:eastAsia="tr-TR"/>
              </w:rPr>
            </w:pPr>
            <w:r w:rsidRPr="00005453">
              <w:rPr>
                <w:b/>
                <w:bCs/>
                <w:sz w:val="18"/>
                <w:szCs w:val="18"/>
                <w:lang w:eastAsia="tr-TR"/>
              </w:rPr>
              <w:t>Kredili Mevduat Hesabı-YP (Tüzel Kişi)</w:t>
            </w:r>
          </w:p>
        </w:tc>
        <w:tc>
          <w:tcPr>
            <w:tcW w:w="1559" w:type="dxa"/>
            <w:tcBorders>
              <w:top w:val="nil"/>
              <w:left w:val="nil"/>
              <w:bottom w:val="single" w:sz="8" w:space="0" w:color="auto"/>
              <w:right w:val="nil"/>
            </w:tcBorders>
            <w:shd w:val="clear" w:color="auto" w:fill="auto"/>
            <w:vAlign w:val="center"/>
            <w:hideMark/>
          </w:tcPr>
          <w:p w14:paraId="5D37436E" w14:textId="77777777" w:rsidR="00297765" w:rsidRPr="00005453" w:rsidRDefault="00297765" w:rsidP="00297765">
            <w:pPr>
              <w:jc w:val="right"/>
              <w:rPr>
                <w:b/>
                <w:bCs/>
                <w:sz w:val="18"/>
                <w:szCs w:val="18"/>
                <w:lang w:eastAsia="tr-TR"/>
              </w:rPr>
            </w:pPr>
            <w:r w:rsidRPr="00005453">
              <w:rPr>
                <w:b/>
                <w:bCs/>
                <w:sz w:val="18"/>
                <w:szCs w:val="18"/>
                <w:lang w:eastAsia="tr-TR"/>
              </w:rPr>
              <w:t>-</w:t>
            </w:r>
          </w:p>
        </w:tc>
        <w:tc>
          <w:tcPr>
            <w:tcW w:w="2126" w:type="dxa"/>
            <w:tcBorders>
              <w:top w:val="nil"/>
              <w:left w:val="nil"/>
              <w:bottom w:val="single" w:sz="8" w:space="0" w:color="auto"/>
              <w:right w:val="nil"/>
            </w:tcBorders>
            <w:shd w:val="clear" w:color="auto" w:fill="auto"/>
            <w:vAlign w:val="center"/>
            <w:hideMark/>
          </w:tcPr>
          <w:p w14:paraId="2C22BA37" w14:textId="77777777" w:rsidR="00297765" w:rsidRPr="00005453" w:rsidRDefault="00297765" w:rsidP="00297765">
            <w:pPr>
              <w:jc w:val="right"/>
              <w:rPr>
                <w:b/>
                <w:bCs/>
                <w:sz w:val="18"/>
                <w:szCs w:val="18"/>
                <w:lang w:eastAsia="tr-TR"/>
              </w:rPr>
            </w:pPr>
            <w:r w:rsidRPr="00005453">
              <w:rPr>
                <w:b/>
                <w:bCs/>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4B4E8EFF" w14:textId="77777777" w:rsidR="00297765" w:rsidRPr="00005453" w:rsidRDefault="00297765" w:rsidP="00297765">
            <w:pPr>
              <w:jc w:val="right"/>
              <w:rPr>
                <w:b/>
                <w:bCs/>
                <w:sz w:val="18"/>
                <w:szCs w:val="18"/>
                <w:lang w:eastAsia="tr-TR"/>
              </w:rPr>
            </w:pPr>
            <w:r w:rsidRPr="00005453">
              <w:rPr>
                <w:b/>
                <w:bCs/>
                <w:sz w:val="18"/>
                <w:szCs w:val="18"/>
                <w:lang w:eastAsia="tr-TR"/>
              </w:rPr>
              <w:t>-</w:t>
            </w:r>
          </w:p>
        </w:tc>
      </w:tr>
      <w:tr w:rsidR="0085456D" w:rsidRPr="00005453" w14:paraId="63946654" w14:textId="77777777" w:rsidTr="0085456D">
        <w:trPr>
          <w:divId w:val="1897929277"/>
          <w:trHeight w:val="255"/>
        </w:trPr>
        <w:tc>
          <w:tcPr>
            <w:tcW w:w="4253" w:type="dxa"/>
            <w:tcBorders>
              <w:top w:val="nil"/>
              <w:left w:val="nil"/>
              <w:bottom w:val="double" w:sz="6" w:space="0" w:color="auto"/>
              <w:right w:val="nil"/>
            </w:tcBorders>
            <w:shd w:val="clear" w:color="auto" w:fill="auto"/>
            <w:vAlign w:val="center"/>
            <w:hideMark/>
          </w:tcPr>
          <w:p w14:paraId="212DD7E7" w14:textId="77777777" w:rsidR="0085456D" w:rsidRPr="00005453" w:rsidRDefault="0085456D" w:rsidP="0085456D">
            <w:pPr>
              <w:jc w:val="both"/>
              <w:rPr>
                <w:b/>
                <w:bCs/>
                <w:sz w:val="18"/>
                <w:szCs w:val="18"/>
                <w:lang w:eastAsia="tr-TR"/>
              </w:rPr>
            </w:pPr>
            <w:r w:rsidRPr="00005453">
              <w:rPr>
                <w:b/>
                <w:bCs/>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76C0741C" w14:textId="0878AF55" w:rsidR="0085456D" w:rsidRPr="00005453" w:rsidRDefault="0085456D" w:rsidP="0085456D">
            <w:pPr>
              <w:jc w:val="right"/>
              <w:rPr>
                <w:b/>
                <w:bCs/>
                <w:sz w:val="18"/>
                <w:szCs w:val="18"/>
                <w:lang w:eastAsia="tr-TR"/>
              </w:rPr>
            </w:pPr>
            <w:r w:rsidRPr="00005453">
              <w:rPr>
                <w:b/>
                <w:bCs/>
                <w:sz w:val="18"/>
                <w:szCs w:val="18"/>
              </w:rPr>
              <w:t>44,603,614</w:t>
            </w:r>
          </w:p>
        </w:tc>
        <w:tc>
          <w:tcPr>
            <w:tcW w:w="2126" w:type="dxa"/>
            <w:tcBorders>
              <w:top w:val="nil"/>
              <w:left w:val="nil"/>
              <w:bottom w:val="double" w:sz="6" w:space="0" w:color="auto"/>
              <w:right w:val="nil"/>
            </w:tcBorders>
            <w:shd w:val="clear" w:color="auto" w:fill="auto"/>
            <w:vAlign w:val="center"/>
            <w:hideMark/>
          </w:tcPr>
          <w:p w14:paraId="5033430B" w14:textId="0DC6AAE3" w:rsidR="0085456D" w:rsidRPr="00005453" w:rsidRDefault="0085456D" w:rsidP="0085456D">
            <w:pPr>
              <w:jc w:val="right"/>
              <w:rPr>
                <w:b/>
                <w:bCs/>
                <w:sz w:val="18"/>
                <w:szCs w:val="18"/>
                <w:lang w:eastAsia="tr-TR"/>
              </w:rPr>
            </w:pPr>
            <w:r w:rsidRPr="00005453">
              <w:rPr>
                <w:b/>
                <w:bCs/>
                <w:sz w:val="18"/>
                <w:szCs w:val="18"/>
              </w:rPr>
              <w:t>51,039,879</w:t>
            </w:r>
          </w:p>
        </w:tc>
        <w:tc>
          <w:tcPr>
            <w:tcW w:w="1134" w:type="dxa"/>
            <w:tcBorders>
              <w:top w:val="nil"/>
              <w:left w:val="nil"/>
              <w:bottom w:val="double" w:sz="6" w:space="0" w:color="auto"/>
              <w:right w:val="nil"/>
            </w:tcBorders>
            <w:shd w:val="clear" w:color="auto" w:fill="auto"/>
            <w:vAlign w:val="center"/>
            <w:hideMark/>
          </w:tcPr>
          <w:p w14:paraId="599FD3FD" w14:textId="3B1BF7E1" w:rsidR="0085456D" w:rsidRPr="00005453" w:rsidRDefault="0085456D" w:rsidP="0085456D">
            <w:pPr>
              <w:jc w:val="right"/>
              <w:rPr>
                <w:b/>
                <w:bCs/>
                <w:sz w:val="18"/>
                <w:szCs w:val="18"/>
                <w:lang w:eastAsia="tr-TR"/>
              </w:rPr>
            </w:pPr>
            <w:r w:rsidRPr="00005453">
              <w:rPr>
                <w:b/>
                <w:bCs/>
                <w:sz w:val="18"/>
                <w:szCs w:val="18"/>
              </w:rPr>
              <w:t>95,643,493</w:t>
            </w:r>
          </w:p>
        </w:tc>
      </w:tr>
    </w:tbl>
    <w:p w14:paraId="3666698E" w14:textId="1EA2F636" w:rsidR="00D82FCE" w:rsidRPr="00005453" w:rsidRDefault="00D82FCE" w:rsidP="00D82FCE">
      <w:pPr>
        <w:tabs>
          <w:tab w:val="num" w:pos="3060"/>
        </w:tabs>
        <w:autoSpaceDE w:val="0"/>
        <w:autoSpaceDN w:val="0"/>
        <w:adjustRightInd w:val="0"/>
      </w:pPr>
    </w:p>
    <w:p w14:paraId="70254A64" w14:textId="32771D11" w:rsidR="00297765" w:rsidRPr="00005453" w:rsidRDefault="00297765" w:rsidP="00055FF4">
      <w:pPr>
        <w:tabs>
          <w:tab w:val="num" w:pos="3060"/>
        </w:tabs>
        <w:autoSpaceDE w:val="0"/>
        <w:autoSpaceDN w:val="0"/>
        <w:adjustRightInd w:val="0"/>
        <w:rPr>
          <w:lang w:eastAsia="en-GB"/>
        </w:rPr>
      </w:pPr>
    </w:p>
    <w:tbl>
      <w:tblPr>
        <w:tblW w:w="9131" w:type="dxa"/>
        <w:tblCellMar>
          <w:left w:w="70" w:type="dxa"/>
          <w:right w:w="70" w:type="dxa"/>
        </w:tblCellMar>
        <w:tblLook w:val="04A0" w:firstRow="1" w:lastRow="0" w:firstColumn="1" w:lastColumn="0" w:noHBand="0" w:noVBand="1"/>
      </w:tblPr>
      <w:tblGrid>
        <w:gridCol w:w="4709"/>
        <w:gridCol w:w="1103"/>
        <w:gridCol w:w="2126"/>
        <w:gridCol w:w="1193"/>
      </w:tblGrid>
      <w:tr w:rsidR="00297765" w:rsidRPr="00005453" w14:paraId="51BE7CFE" w14:textId="77777777" w:rsidTr="00FD5D84">
        <w:trPr>
          <w:divId w:val="571502234"/>
          <w:trHeight w:val="532"/>
        </w:trPr>
        <w:tc>
          <w:tcPr>
            <w:tcW w:w="4709" w:type="dxa"/>
            <w:tcBorders>
              <w:top w:val="double" w:sz="6" w:space="0" w:color="auto"/>
              <w:left w:val="nil"/>
              <w:bottom w:val="single" w:sz="8" w:space="0" w:color="auto"/>
              <w:right w:val="nil"/>
            </w:tcBorders>
            <w:shd w:val="clear" w:color="000000" w:fill="FFFFFF"/>
            <w:vAlign w:val="center"/>
            <w:hideMark/>
          </w:tcPr>
          <w:p w14:paraId="22CEC1CE" w14:textId="2AAAA915" w:rsidR="00297765" w:rsidRPr="00005453" w:rsidRDefault="00297765" w:rsidP="00297765">
            <w:pPr>
              <w:rPr>
                <w:b/>
                <w:bCs/>
                <w:sz w:val="18"/>
                <w:szCs w:val="18"/>
                <w:lang w:eastAsia="tr-TR"/>
              </w:rPr>
            </w:pPr>
            <w:r w:rsidRPr="00005453">
              <w:rPr>
                <w:b/>
                <w:bCs/>
                <w:sz w:val="18"/>
                <w:szCs w:val="18"/>
                <w:lang w:eastAsia="tr-TR"/>
              </w:rPr>
              <w:t>Önceki Dönem</w:t>
            </w:r>
          </w:p>
        </w:tc>
        <w:tc>
          <w:tcPr>
            <w:tcW w:w="1103" w:type="dxa"/>
            <w:tcBorders>
              <w:top w:val="double" w:sz="6" w:space="0" w:color="auto"/>
              <w:left w:val="nil"/>
              <w:bottom w:val="single" w:sz="8" w:space="0" w:color="auto"/>
              <w:right w:val="nil"/>
            </w:tcBorders>
            <w:shd w:val="clear" w:color="000000" w:fill="FFFFFF"/>
            <w:vAlign w:val="center"/>
            <w:hideMark/>
          </w:tcPr>
          <w:p w14:paraId="70EDB71A" w14:textId="77777777" w:rsidR="00297765" w:rsidRPr="00005453" w:rsidRDefault="00297765" w:rsidP="00297765">
            <w:pPr>
              <w:jc w:val="right"/>
              <w:rPr>
                <w:b/>
                <w:bCs/>
                <w:sz w:val="18"/>
                <w:szCs w:val="18"/>
                <w:lang w:eastAsia="tr-TR"/>
              </w:rPr>
            </w:pPr>
            <w:r w:rsidRPr="00005453">
              <w:rPr>
                <w:b/>
                <w:bCs/>
                <w:sz w:val="18"/>
                <w:szCs w:val="18"/>
                <w:lang w:eastAsia="tr-TR"/>
              </w:rPr>
              <w:t>Kısa Vadeli</w:t>
            </w:r>
          </w:p>
        </w:tc>
        <w:tc>
          <w:tcPr>
            <w:tcW w:w="2126" w:type="dxa"/>
            <w:tcBorders>
              <w:top w:val="double" w:sz="6" w:space="0" w:color="auto"/>
              <w:left w:val="nil"/>
              <w:bottom w:val="single" w:sz="8" w:space="0" w:color="auto"/>
              <w:right w:val="nil"/>
            </w:tcBorders>
            <w:shd w:val="clear" w:color="auto" w:fill="auto"/>
            <w:vAlign w:val="center"/>
            <w:hideMark/>
          </w:tcPr>
          <w:p w14:paraId="6A965448" w14:textId="77777777" w:rsidR="00297765" w:rsidRPr="00005453" w:rsidRDefault="00297765" w:rsidP="00297765">
            <w:pPr>
              <w:jc w:val="right"/>
              <w:rPr>
                <w:b/>
                <w:bCs/>
                <w:sz w:val="18"/>
                <w:szCs w:val="18"/>
                <w:lang w:eastAsia="tr-TR"/>
              </w:rPr>
            </w:pPr>
            <w:r w:rsidRPr="00005453">
              <w:rPr>
                <w:b/>
                <w:bCs/>
                <w:sz w:val="18"/>
                <w:szCs w:val="18"/>
                <w:lang w:eastAsia="tr-TR"/>
              </w:rPr>
              <w:t>Orta ve Uzun Vadeli</w:t>
            </w:r>
          </w:p>
        </w:tc>
        <w:tc>
          <w:tcPr>
            <w:tcW w:w="1193" w:type="dxa"/>
            <w:tcBorders>
              <w:top w:val="double" w:sz="6" w:space="0" w:color="auto"/>
              <w:left w:val="nil"/>
              <w:bottom w:val="single" w:sz="8" w:space="0" w:color="auto"/>
              <w:right w:val="nil"/>
            </w:tcBorders>
            <w:shd w:val="clear" w:color="auto" w:fill="auto"/>
            <w:vAlign w:val="center"/>
            <w:hideMark/>
          </w:tcPr>
          <w:p w14:paraId="242C4778" w14:textId="77777777" w:rsidR="00297765" w:rsidRPr="00005453" w:rsidRDefault="00297765" w:rsidP="00297765">
            <w:pPr>
              <w:jc w:val="right"/>
              <w:rPr>
                <w:b/>
                <w:bCs/>
                <w:sz w:val="18"/>
                <w:szCs w:val="18"/>
                <w:lang w:eastAsia="tr-TR"/>
              </w:rPr>
            </w:pPr>
            <w:r w:rsidRPr="00005453">
              <w:rPr>
                <w:b/>
                <w:bCs/>
                <w:sz w:val="18"/>
                <w:szCs w:val="18"/>
                <w:lang w:eastAsia="tr-TR"/>
              </w:rPr>
              <w:t>Toplam</w:t>
            </w:r>
          </w:p>
        </w:tc>
      </w:tr>
      <w:tr w:rsidR="00731137" w:rsidRPr="00005453" w14:paraId="7E286104"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13CDF12C" w14:textId="77777777" w:rsidR="00731137" w:rsidRPr="00005453" w:rsidRDefault="00731137" w:rsidP="00731137">
            <w:pPr>
              <w:jc w:val="both"/>
              <w:rPr>
                <w:b/>
                <w:bCs/>
                <w:sz w:val="18"/>
                <w:szCs w:val="18"/>
                <w:lang w:eastAsia="tr-TR"/>
              </w:rPr>
            </w:pPr>
            <w:r w:rsidRPr="00005453">
              <w:rPr>
                <w:b/>
                <w:bCs/>
                <w:sz w:val="18"/>
                <w:szCs w:val="18"/>
                <w:lang w:eastAsia="tr-TR"/>
              </w:rPr>
              <w:t>Taksitli Ticari Krediler-TP</w:t>
            </w:r>
          </w:p>
        </w:tc>
        <w:tc>
          <w:tcPr>
            <w:tcW w:w="1103" w:type="dxa"/>
            <w:tcBorders>
              <w:top w:val="nil"/>
              <w:left w:val="nil"/>
              <w:bottom w:val="nil"/>
              <w:right w:val="nil"/>
            </w:tcBorders>
            <w:shd w:val="clear" w:color="000000" w:fill="FFFFFF"/>
            <w:vAlign w:val="center"/>
            <w:hideMark/>
          </w:tcPr>
          <w:p w14:paraId="5EA9D0BE" w14:textId="0E7B6C22" w:rsidR="00731137" w:rsidRPr="00005453" w:rsidRDefault="00731137" w:rsidP="00731137">
            <w:pPr>
              <w:jc w:val="right"/>
              <w:rPr>
                <w:b/>
                <w:bCs/>
                <w:sz w:val="18"/>
                <w:szCs w:val="18"/>
                <w:lang w:eastAsia="tr-TR"/>
              </w:rPr>
            </w:pPr>
            <w:r w:rsidRPr="00005453">
              <w:rPr>
                <w:b/>
                <w:sz w:val="18"/>
                <w:szCs w:val="18"/>
                <w:lang w:eastAsia="tr-TR"/>
              </w:rPr>
              <w:t>5,777,427</w:t>
            </w:r>
          </w:p>
        </w:tc>
        <w:tc>
          <w:tcPr>
            <w:tcW w:w="2126" w:type="dxa"/>
            <w:tcBorders>
              <w:top w:val="nil"/>
              <w:left w:val="nil"/>
              <w:bottom w:val="nil"/>
              <w:right w:val="nil"/>
            </w:tcBorders>
            <w:shd w:val="clear" w:color="auto" w:fill="auto"/>
            <w:vAlign w:val="center"/>
            <w:hideMark/>
          </w:tcPr>
          <w:p w14:paraId="33B9E5DC" w14:textId="291542E9" w:rsidR="00731137" w:rsidRPr="00005453" w:rsidRDefault="00731137" w:rsidP="00731137">
            <w:pPr>
              <w:jc w:val="right"/>
              <w:rPr>
                <w:b/>
                <w:bCs/>
                <w:sz w:val="18"/>
                <w:szCs w:val="18"/>
                <w:lang w:eastAsia="tr-TR"/>
              </w:rPr>
            </w:pPr>
            <w:r w:rsidRPr="00005453">
              <w:rPr>
                <w:b/>
                <w:sz w:val="18"/>
                <w:szCs w:val="18"/>
                <w:lang w:eastAsia="tr-TR"/>
              </w:rPr>
              <w:t>23,559,600</w:t>
            </w:r>
          </w:p>
        </w:tc>
        <w:tc>
          <w:tcPr>
            <w:tcW w:w="1193" w:type="dxa"/>
            <w:tcBorders>
              <w:top w:val="nil"/>
              <w:left w:val="nil"/>
              <w:bottom w:val="nil"/>
              <w:right w:val="nil"/>
            </w:tcBorders>
            <w:shd w:val="clear" w:color="auto" w:fill="auto"/>
            <w:vAlign w:val="center"/>
            <w:hideMark/>
          </w:tcPr>
          <w:p w14:paraId="7DB404C8" w14:textId="40A99300" w:rsidR="00731137" w:rsidRPr="00005453" w:rsidRDefault="00731137" w:rsidP="00731137">
            <w:pPr>
              <w:jc w:val="right"/>
              <w:rPr>
                <w:b/>
                <w:bCs/>
                <w:sz w:val="18"/>
                <w:szCs w:val="18"/>
                <w:lang w:eastAsia="tr-TR"/>
              </w:rPr>
            </w:pPr>
            <w:r w:rsidRPr="00005453">
              <w:rPr>
                <w:b/>
                <w:sz w:val="18"/>
                <w:szCs w:val="18"/>
                <w:lang w:eastAsia="tr-TR"/>
              </w:rPr>
              <w:t>29,337,027</w:t>
            </w:r>
          </w:p>
        </w:tc>
      </w:tr>
      <w:tr w:rsidR="00731137" w:rsidRPr="00005453" w14:paraId="7B5892EB"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6E1EDA1A" w14:textId="77777777" w:rsidR="00731137" w:rsidRPr="00005453" w:rsidRDefault="00731137" w:rsidP="00731137">
            <w:pPr>
              <w:jc w:val="both"/>
              <w:rPr>
                <w:sz w:val="18"/>
                <w:szCs w:val="18"/>
                <w:lang w:eastAsia="tr-TR"/>
              </w:rPr>
            </w:pPr>
            <w:r w:rsidRPr="00005453">
              <w:rPr>
                <w:sz w:val="18"/>
                <w:szCs w:val="18"/>
                <w:lang w:eastAsia="tr-TR"/>
              </w:rPr>
              <w:t>İşyeri Kredileri</w:t>
            </w:r>
          </w:p>
        </w:tc>
        <w:tc>
          <w:tcPr>
            <w:tcW w:w="1103" w:type="dxa"/>
            <w:tcBorders>
              <w:top w:val="nil"/>
              <w:left w:val="nil"/>
              <w:bottom w:val="nil"/>
              <w:right w:val="nil"/>
            </w:tcBorders>
            <w:shd w:val="clear" w:color="000000" w:fill="FFFFFF"/>
            <w:vAlign w:val="center"/>
            <w:hideMark/>
          </w:tcPr>
          <w:p w14:paraId="30A1F6D5" w14:textId="797D1800" w:rsidR="00731137" w:rsidRPr="00005453" w:rsidRDefault="00731137" w:rsidP="00731137">
            <w:pPr>
              <w:jc w:val="right"/>
              <w:rPr>
                <w:sz w:val="18"/>
                <w:szCs w:val="18"/>
                <w:lang w:eastAsia="tr-TR"/>
              </w:rPr>
            </w:pPr>
            <w:r w:rsidRPr="00005453">
              <w:rPr>
                <w:sz w:val="18"/>
                <w:szCs w:val="18"/>
                <w:lang w:eastAsia="tr-TR"/>
              </w:rPr>
              <w:t>116,664</w:t>
            </w:r>
          </w:p>
        </w:tc>
        <w:tc>
          <w:tcPr>
            <w:tcW w:w="2126" w:type="dxa"/>
            <w:tcBorders>
              <w:top w:val="nil"/>
              <w:left w:val="nil"/>
              <w:bottom w:val="nil"/>
              <w:right w:val="nil"/>
            </w:tcBorders>
            <w:shd w:val="clear" w:color="auto" w:fill="auto"/>
            <w:vAlign w:val="center"/>
            <w:hideMark/>
          </w:tcPr>
          <w:p w14:paraId="508705B2" w14:textId="019E0193" w:rsidR="00731137" w:rsidRPr="00005453" w:rsidRDefault="00731137" w:rsidP="00731137">
            <w:pPr>
              <w:jc w:val="right"/>
              <w:rPr>
                <w:sz w:val="18"/>
                <w:szCs w:val="18"/>
                <w:lang w:eastAsia="tr-TR"/>
              </w:rPr>
            </w:pPr>
            <w:r w:rsidRPr="00005453">
              <w:rPr>
                <w:sz w:val="18"/>
                <w:szCs w:val="18"/>
                <w:lang w:eastAsia="tr-TR"/>
              </w:rPr>
              <w:t>1,784,000</w:t>
            </w:r>
          </w:p>
        </w:tc>
        <w:tc>
          <w:tcPr>
            <w:tcW w:w="1193" w:type="dxa"/>
            <w:tcBorders>
              <w:top w:val="nil"/>
              <w:left w:val="nil"/>
              <w:bottom w:val="nil"/>
              <w:right w:val="nil"/>
            </w:tcBorders>
            <w:shd w:val="clear" w:color="auto" w:fill="auto"/>
            <w:vAlign w:val="center"/>
            <w:hideMark/>
          </w:tcPr>
          <w:p w14:paraId="66F25FF8" w14:textId="48B28A3B" w:rsidR="00731137" w:rsidRPr="00005453" w:rsidRDefault="00731137" w:rsidP="00731137">
            <w:pPr>
              <w:jc w:val="right"/>
              <w:rPr>
                <w:bCs/>
                <w:sz w:val="18"/>
                <w:szCs w:val="18"/>
                <w:lang w:eastAsia="tr-TR"/>
              </w:rPr>
            </w:pPr>
            <w:r w:rsidRPr="00005453">
              <w:rPr>
                <w:sz w:val="18"/>
                <w:szCs w:val="18"/>
                <w:lang w:eastAsia="tr-TR"/>
              </w:rPr>
              <w:t>1,900,664</w:t>
            </w:r>
          </w:p>
        </w:tc>
      </w:tr>
      <w:tr w:rsidR="00731137" w:rsidRPr="00005453" w14:paraId="3D5CD5B4"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10093BCF" w14:textId="77777777" w:rsidR="00731137" w:rsidRPr="00005453" w:rsidRDefault="00731137" w:rsidP="00731137">
            <w:pPr>
              <w:jc w:val="both"/>
              <w:rPr>
                <w:sz w:val="18"/>
                <w:szCs w:val="18"/>
                <w:lang w:eastAsia="tr-TR"/>
              </w:rPr>
            </w:pPr>
            <w:r w:rsidRPr="00005453">
              <w:rPr>
                <w:sz w:val="18"/>
                <w:szCs w:val="18"/>
                <w:lang w:eastAsia="tr-TR"/>
              </w:rPr>
              <w:t>Taşıt Kredileri</w:t>
            </w:r>
          </w:p>
        </w:tc>
        <w:tc>
          <w:tcPr>
            <w:tcW w:w="1103" w:type="dxa"/>
            <w:tcBorders>
              <w:top w:val="nil"/>
              <w:left w:val="nil"/>
              <w:bottom w:val="nil"/>
              <w:right w:val="nil"/>
            </w:tcBorders>
            <w:shd w:val="clear" w:color="000000" w:fill="FFFFFF"/>
            <w:vAlign w:val="center"/>
            <w:hideMark/>
          </w:tcPr>
          <w:p w14:paraId="4D48202F" w14:textId="05029DFC" w:rsidR="00731137" w:rsidRPr="00005453" w:rsidRDefault="00731137" w:rsidP="00731137">
            <w:pPr>
              <w:jc w:val="right"/>
              <w:rPr>
                <w:sz w:val="18"/>
                <w:szCs w:val="18"/>
                <w:lang w:eastAsia="tr-TR"/>
              </w:rPr>
            </w:pPr>
            <w:r w:rsidRPr="00005453">
              <w:rPr>
                <w:sz w:val="18"/>
                <w:szCs w:val="18"/>
                <w:lang w:eastAsia="tr-TR"/>
              </w:rPr>
              <w:t>4,729,616</w:t>
            </w:r>
          </w:p>
        </w:tc>
        <w:tc>
          <w:tcPr>
            <w:tcW w:w="2126" w:type="dxa"/>
            <w:tcBorders>
              <w:top w:val="nil"/>
              <w:left w:val="nil"/>
              <w:bottom w:val="nil"/>
              <w:right w:val="nil"/>
            </w:tcBorders>
            <w:shd w:val="clear" w:color="auto" w:fill="auto"/>
            <w:vAlign w:val="center"/>
            <w:hideMark/>
          </w:tcPr>
          <w:p w14:paraId="63077673" w14:textId="7B116BB1" w:rsidR="00731137" w:rsidRPr="00005453" w:rsidRDefault="00731137" w:rsidP="00731137">
            <w:pPr>
              <w:jc w:val="right"/>
              <w:rPr>
                <w:sz w:val="18"/>
                <w:szCs w:val="18"/>
                <w:lang w:eastAsia="tr-TR"/>
              </w:rPr>
            </w:pPr>
            <w:r w:rsidRPr="00005453">
              <w:rPr>
                <w:sz w:val="18"/>
                <w:szCs w:val="18"/>
                <w:lang w:eastAsia="tr-TR"/>
              </w:rPr>
              <w:t>17,921,768</w:t>
            </w:r>
          </w:p>
        </w:tc>
        <w:tc>
          <w:tcPr>
            <w:tcW w:w="1193" w:type="dxa"/>
            <w:tcBorders>
              <w:top w:val="nil"/>
              <w:left w:val="nil"/>
              <w:bottom w:val="nil"/>
              <w:right w:val="nil"/>
            </w:tcBorders>
            <w:shd w:val="clear" w:color="auto" w:fill="auto"/>
            <w:vAlign w:val="center"/>
            <w:hideMark/>
          </w:tcPr>
          <w:p w14:paraId="30580FA4" w14:textId="276ADEDB" w:rsidR="00731137" w:rsidRPr="00005453" w:rsidRDefault="00731137" w:rsidP="00731137">
            <w:pPr>
              <w:jc w:val="right"/>
              <w:rPr>
                <w:bCs/>
                <w:sz w:val="18"/>
                <w:szCs w:val="18"/>
                <w:lang w:eastAsia="tr-TR"/>
              </w:rPr>
            </w:pPr>
            <w:r w:rsidRPr="00005453">
              <w:rPr>
                <w:sz w:val="18"/>
                <w:szCs w:val="18"/>
                <w:lang w:eastAsia="tr-TR"/>
              </w:rPr>
              <w:t>22,651,384</w:t>
            </w:r>
          </w:p>
        </w:tc>
      </w:tr>
      <w:tr w:rsidR="00731137" w:rsidRPr="00005453" w14:paraId="23C10372"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2D7F2D0A" w14:textId="77777777" w:rsidR="00731137" w:rsidRPr="00005453" w:rsidRDefault="00731137" w:rsidP="00731137">
            <w:pPr>
              <w:jc w:val="both"/>
              <w:rPr>
                <w:sz w:val="18"/>
                <w:szCs w:val="18"/>
                <w:lang w:eastAsia="tr-TR"/>
              </w:rPr>
            </w:pPr>
            <w:r w:rsidRPr="00005453">
              <w:rPr>
                <w:sz w:val="18"/>
                <w:szCs w:val="18"/>
                <w:lang w:eastAsia="tr-TR"/>
              </w:rPr>
              <w:t>İhtiyaç Kredileri</w:t>
            </w:r>
          </w:p>
        </w:tc>
        <w:tc>
          <w:tcPr>
            <w:tcW w:w="1103" w:type="dxa"/>
            <w:tcBorders>
              <w:top w:val="nil"/>
              <w:left w:val="nil"/>
              <w:bottom w:val="nil"/>
              <w:right w:val="nil"/>
            </w:tcBorders>
            <w:shd w:val="clear" w:color="000000" w:fill="FFFFFF"/>
            <w:vAlign w:val="center"/>
            <w:hideMark/>
          </w:tcPr>
          <w:p w14:paraId="02EF9986" w14:textId="3834DDA8" w:rsidR="00731137" w:rsidRPr="00005453" w:rsidRDefault="00731137" w:rsidP="00731137">
            <w:pPr>
              <w:jc w:val="right"/>
              <w:rPr>
                <w:sz w:val="18"/>
                <w:szCs w:val="18"/>
                <w:lang w:eastAsia="tr-TR"/>
              </w:rPr>
            </w:pPr>
            <w:r w:rsidRPr="00005453">
              <w:rPr>
                <w:sz w:val="18"/>
                <w:szCs w:val="18"/>
                <w:lang w:eastAsia="tr-TR"/>
              </w:rPr>
              <w:t>931,147</w:t>
            </w:r>
          </w:p>
        </w:tc>
        <w:tc>
          <w:tcPr>
            <w:tcW w:w="2126" w:type="dxa"/>
            <w:tcBorders>
              <w:top w:val="nil"/>
              <w:left w:val="nil"/>
              <w:bottom w:val="nil"/>
              <w:right w:val="nil"/>
            </w:tcBorders>
            <w:shd w:val="clear" w:color="auto" w:fill="auto"/>
            <w:vAlign w:val="center"/>
            <w:hideMark/>
          </w:tcPr>
          <w:p w14:paraId="3CE168B2" w14:textId="274DDE0A" w:rsidR="00731137" w:rsidRPr="00005453" w:rsidRDefault="00731137" w:rsidP="00731137">
            <w:pPr>
              <w:jc w:val="right"/>
              <w:rPr>
                <w:sz w:val="18"/>
                <w:szCs w:val="18"/>
                <w:lang w:eastAsia="tr-TR"/>
              </w:rPr>
            </w:pPr>
            <w:r w:rsidRPr="00005453">
              <w:rPr>
                <w:sz w:val="18"/>
                <w:szCs w:val="18"/>
                <w:lang w:eastAsia="tr-TR"/>
              </w:rPr>
              <w:t>3,853,832</w:t>
            </w:r>
          </w:p>
        </w:tc>
        <w:tc>
          <w:tcPr>
            <w:tcW w:w="1193" w:type="dxa"/>
            <w:tcBorders>
              <w:top w:val="nil"/>
              <w:left w:val="nil"/>
              <w:bottom w:val="nil"/>
              <w:right w:val="nil"/>
            </w:tcBorders>
            <w:shd w:val="clear" w:color="auto" w:fill="auto"/>
            <w:vAlign w:val="center"/>
            <w:hideMark/>
          </w:tcPr>
          <w:p w14:paraId="2E7A454A" w14:textId="0B133C74" w:rsidR="00731137" w:rsidRPr="00005453" w:rsidRDefault="00731137" w:rsidP="00731137">
            <w:pPr>
              <w:jc w:val="right"/>
              <w:rPr>
                <w:bCs/>
                <w:sz w:val="18"/>
                <w:szCs w:val="18"/>
                <w:lang w:eastAsia="tr-TR"/>
              </w:rPr>
            </w:pPr>
            <w:r w:rsidRPr="00005453">
              <w:rPr>
                <w:sz w:val="18"/>
                <w:szCs w:val="18"/>
                <w:lang w:eastAsia="tr-TR"/>
              </w:rPr>
              <w:t>4,784,979</w:t>
            </w:r>
          </w:p>
        </w:tc>
      </w:tr>
      <w:tr w:rsidR="00731137" w:rsidRPr="00005453" w14:paraId="5A3C6C1F"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3EAE04E8" w14:textId="77777777" w:rsidR="00731137" w:rsidRPr="00005453" w:rsidRDefault="00731137" w:rsidP="00731137">
            <w:pPr>
              <w:jc w:val="both"/>
              <w:rPr>
                <w:sz w:val="18"/>
                <w:szCs w:val="18"/>
                <w:lang w:eastAsia="tr-TR"/>
              </w:rPr>
            </w:pPr>
            <w:r w:rsidRPr="00005453">
              <w:rPr>
                <w:sz w:val="18"/>
                <w:szCs w:val="18"/>
                <w:lang w:eastAsia="tr-TR"/>
              </w:rPr>
              <w:t>Diğer</w:t>
            </w:r>
          </w:p>
        </w:tc>
        <w:tc>
          <w:tcPr>
            <w:tcW w:w="1103" w:type="dxa"/>
            <w:tcBorders>
              <w:top w:val="nil"/>
              <w:left w:val="nil"/>
              <w:bottom w:val="nil"/>
              <w:right w:val="nil"/>
            </w:tcBorders>
            <w:shd w:val="clear" w:color="000000" w:fill="FFFFFF"/>
            <w:vAlign w:val="center"/>
            <w:hideMark/>
          </w:tcPr>
          <w:p w14:paraId="34FEFF9D" w14:textId="149387B6"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35A100E1" w14:textId="36E4E170"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7CAB7F37" w14:textId="4D2D1670" w:rsidR="00731137" w:rsidRPr="00005453" w:rsidRDefault="00731137" w:rsidP="00731137">
            <w:pPr>
              <w:jc w:val="right"/>
              <w:rPr>
                <w:bCs/>
                <w:sz w:val="18"/>
                <w:szCs w:val="18"/>
                <w:lang w:eastAsia="tr-TR"/>
              </w:rPr>
            </w:pPr>
            <w:r w:rsidRPr="00005453">
              <w:rPr>
                <w:sz w:val="18"/>
                <w:szCs w:val="18"/>
                <w:lang w:eastAsia="tr-TR"/>
              </w:rPr>
              <w:t>-</w:t>
            </w:r>
          </w:p>
        </w:tc>
      </w:tr>
      <w:tr w:rsidR="00731137" w:rsidRPr="00005453" w14:paraId="0C85713B"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5B0CC6F0" w14:textId="77777777" w:rsidR="00731137" w:rsidRPr="00005453" w:rsidRDefault="00731137" w:rsidP="00731137">
            <w:pPr>
              <w:jc w:val="both"/>
              <w:rPr>
                <w:b/>
                <w:bCs/>
                <w:sz w:val="18"/>
                <w:szCs w:val="18"/>
                <w:lang w:eastAsia="tr-TR"/>
              </w:rPr>
            </w:pPr>
            <w:r w:rsidRPr="00005453">
              <w:rPr>
                <w:b/>
                <w:bCs/>
                <w:sz w:val="18"/>
                <w:szCs w:val="18"/>
                <w:lang w:eastAsia="tr-TR"/>
              </w:rPr>
              <w:t>Taksitli Ticari Krediler-Dövize Endeksli</w:t>
            </w:r>
          </w:p>
        </w:tc>
        <w:tc>
          <w:tcPr>
            <w:tcW w:w="1103" w:type="dxa"/>
            <w:tcBorders>
              <w:top w:val="nil"/>
              <w:left w:val="nil"/>
              <w:bottom w:val="nil"/>
              <w:right w:val="nil"/>
            </w:tcBorders>
            <w:shd w:val="clear" w:color="000000" w:fill="FFFFFF"/>
            <w:vAlign w:val="center"/>
            <w:hideMark/>
          </w:tcPr>
          <w:p w14:paraId="1438D1B0" w14:textId="29E246B2" w:rsidR="00731137" w:rsidRPr="00005453" w:rsidRDefault="00731137" w:rsidP="00731137">
            <w:pPr>
              <w:jc w:val="right"/>
              <w:rPr>
                <w:b/>
                <w:bCs/>
                <w:sz w:val="18"/>
                <w:szCs w:val="18"/>
                <w:lang w:eastAsia="tr-TR"/>
              </w:rPr>
            </w:pPr>
            <w:r w:rsidRPr="00005453">
              <w:rPr>
                <w:b/>
                <w:sz w:val="18"/>
                <w:szCs w:val="18"/>
                <w:lang w:eastAsia="tr-TR"/>
              </w:rPr>
              <w:t>11,945</w:t>
            </w:r>
          </w:p>
        </w:tc>
        <w:tc>
          <w:tcPr>
            <w:tcW w:w="2126" w:type="dxa"/>
            <w:tcBorders>
              <w:top w:val="nil"/>
              <w:left w:val="nil"/>
              <w:bottom w:val="nil"/>
              <w:right w:val="nil"/>
            </w:tcBorders>
            <w:shd w:val="clear" w:color="auto" w:fill="auto"/>
            <w:vAlign w:val="center"/>
            <w:hideMark/>
          </w:tcPr>
          <w:p w14:paraId="62D10103" w14:textId="7D4CF1D9" w:rsidR="00731137" w:rsidRPr="00005453" w:rsidRDefault="00731137" w:rsidP="00731137">
            <w:pPr>
              <w:jc w:val="right"/>
              <w:rPr>
                <w:b/>
                <w:bCs/>
                <w:sz w:val="18"/>
                <w:szCs w:val="18"/>
                <w:lang w:eastAsia="tr-TR"/>
              </w:rPr>
            </w:pPr>
            <w:r w:rsidRPr="00005453">
              <w:rPr>
                <w:b/>
                <w:sz w:val="18"/>
                <w:szCs w:val="18"/>
                <w:lang w:eastAsia="tr-TR"/>
              </w:rPr>
              <w:t>382,169</w:t>
            </w:r>
          </w:p>
        </w:tc>
        <w:tc>
          <w:tcPr>
            <w:tcW w:w="1193" w:type="dxa"/>
            <w:tcBorders>
              <w:top w:val="nil"/>
              <w:left w:val="nil"/>
              <w:bottom w:val="nil"/>
              <w:right w:val="nil"/>
            </w:tcBorders>
            <w:shd w:val="clear" w:color="auto" w:fill="auto"/>
            <w:vAlign w:val="center"/>
            <w:hideMark/>
          </w:tcPr>
          <w:p w14:paraId="0720B326" w14:textId="38A08C8E" w:rsidR="00731137" w:rsidRPr="00005453" w:rsidRDefault="00731137" w:rsidP="00731137">
            <w:pPr>
              <w:jc w:val="right"/>
              <w:rPr>
                <w:b/>
                <w:bCs/>
                <w:sz w:val="18"/>
                <w:szCs w:val="18"/>
                <w:lang w:eastAsia="tr-TR"/>
              </w:rPr>
            </w:pPr>
            <w:r w:rsidRPr="00005453">
              <w:rPr>
                <w:b/>
                <w:sz w:val="18"/>
                <w:szCs w:val="18"/>
                <w:lang w:eastAsia="tr-TR"/>
              </w:rPr>
              <w:t>394,114</w:t>
            </w:r>
          </w:p>
        </w:tc>
      </w:tr>
      <w:tr w:rsidR="00731137" w:rsidRPr="00005453" w14:paraId="69F9BD60"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76558F4A" w14:textId="77777777" w:rsidR="00731137" w:rsidRPr="00005453" w:rsidRDefault="00731137" w:rsidP="00731137">
            <w:pPr>
              <w:jc w:val="both"/>
              <w:rPr>
                <w:sz w:val="18"/>
                <w:szCs w:val="18"/>
                <w:lang w:eastAsia="tr-TR"/>
              </w:rPr>
            </w:pPr>
            <w:r w:rsidRPr="00005453">
              <w:rPr>
                <w:sz w:val="18"/>
                <w:szCs w:val="18"/>
                <w:lang w:eastAsia="tr-TR"/>
              </w:rPr>
              <w:t>İşyeri Kredileri</w:t>
            </w:r>
          </w:p>
        </w:tc>
        <w:tc>
          <w:tcPr>
            <w:tcW w:w="1103" w:type="dxa"/>
            <w:tcBorders>
              <w:top w:val="nil"/>
              <w:left w:val="nil"/>
              <w:bottom w:val="nil"/>
              <w:right w:val="nil"/>
            </w:tcBorders>
            <w:shd w:val="clear" w:color="000000" w:fill="FFFFFF"/>
            <w:vAlign w:val="center"/>
            <w:hideMark/>
          </w:tcPr>
          <w:p w14:paraId="4B670630" w14:textId="773802C3" w:rsidR="00731137" w:rsidRPr="00005453" w:rsidRDefault="00731137" w:rsidP="00731137">
            <w:pPr>
              <w:jc w:val="right"/>
              <w:rPr>
                <w:sz w:val="18"/>
                <w:szCs w:val="18"/>
                <w:lang w:eastAsia="tr-TR"/>
              </w:rPr>
            </w:pPr>
            <w:r w:rsidRPr="00005453">
              <w:rPr>
                <w:sz w:val="18"/>
                <w:szCs w:val="18"/>
                <w:lang w:eastAsia="tr-TR"/>
              </w:rPr>
              <w:t>11,945</w:t>
            </w:r>
          </w:p>
        </w:tc>
        <w:tc>
          <w:tcPr>
            <w:tcW w:w="2126" w:type="dxa"/>
            <w:tcBorders>
              <w:top w:val="nil"/>
              <w:left w:val="nil"/>
              <w:bottom w:val="nil"/>
              <w:right w:val="nil"/>
            </w:tcBorders>
            <w:shd w:val="clear" w:color="auto" w:fill="auto"/>
            <w:vAlign w:val="center"/>
            <w:hideMark/>
          </w:tcPr>
          <w:p w14:paraId="4A654677" w14:textId="2C91A0D0"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2A4D13B5" w14:textId="629CA59E" w:rsidR="00731137" w:rsidRPr="00005453" w:rsidRDefault="00731137" w:rsidP="00731137">
            <w:pPr>
              <w:jc w:val="right"/>
              <w:rPr>
                <w:bCs/>
                <w:sz w:val="18"/>
                <w:szCs w:val="18"/>
                <w:lang w:eastAsia="tr-TR"/>
              </w:rPr>
            </w:pPr>
            <w:r w:rsidRPr="00005453">
              <w:rPr>
                <w:sz w:val="18"/>
                <w:szCs w:val="18"/>
                <w:lang w:eastAsia="tr-TR"/>
              </w:rPr>
              <w:t>11,945</w:t>
            </w:r>
          </w:p>
        </w:tc>
      </w:tr>
      <w:tr w:rsidR="00731137" w:rsidRPr="00005453" w14:paraId="4E31ABB2"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2CE2F5AD" w14:textId="77777777" w:rsidR="00731137" w:rsidRPr="00005453" w:rsidRDefault="00731137" w:rsidP="00731137">
            <w:pPr>
              <w:jc w:val="both"/>
              <w:rPr>
                <w:sz w:val="18"/>
                <w:szCs w:val="18"/>
                <w:lang w:eastAsia="tr-TR"/>
              </w:rPr>
            </w:pPr>
            <w:r w:rsidRPr="00005453">
              <w:rPr>
                <w:sz w:val="18"/>
                <w:szCs w:val="18"/>
                <w:lang w:eastAsia="tr-TR"/>
              </w:rPr>
              <w:t>Taşıt Kredileri</w:t>
            </w:r>
          </w:p>
        </w:tc>
        <w:tc>
          <w:tcPr>
            <w:tcW w:w="1103" w:type="dxa"/>
            <w:tcBorders>
              <w:top w:val="nil"/>
              <w:left w:val="nil"/>
              <w:bottom w:val="nil"/>
              <w:right w:val="nil"/>
            </w:tcBorders>
            <w:shd w:val="clear" w:color="000000" w:fill="FFFFFF"/>
            <w:vAlign w:val="center"/>
            <w:hideMark/>
          </w:tcPr>
          <w:p w14:paraId="19F7B39C" w14:textId="12671FFF"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4EB21F45" w14:textId="43FDC27D"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22666B5E" w14:textId="1D0E0878" w:rsidR="00731137" w:rsidRPr="00005453" w:rsidRDefault="00731137" w:rsidP="00731137">
            <w:pPr>
              <w:jc w:val="right"/>
              <w:rPr>
                <w:bCs/>
                <w:sz w:val="18"/>
                <w:szCs w:val="18"/>
                <w:lang w:eastAsia="tr-TR"/>
              </w:rPr>
            </w:pPr>
            <w:r w:rsidRPr="00005453">
              <w:rPr>
                <w:sz w:val="18"/>
                <w:szCs w:val="18"/>
                <w:lang w:eastAsia="tr-TR"/>
              </w:rPr>
              <w:t>-</w:t>
            </w:r>
          </w:p>
        </w:tc>
      </w:tr>
      <w:tr w:rsidR="00731137" w:rsidRPr="00005453" w14:paraId="0E4E282B"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6294AE7E" w14:textId="77777777" w:rsidR="00731137" w:rsidRPr="00005453" w:rsidRDefault="00731137" w:rsidP="00731137">
            <w:pPr>
              <w:jc w:val="both"/>
              <w:rPr>
                <w:sz w:val="18"/>
                <w:szCs w:val="18"/>
                <w:lang w:eastAsia="tr-TR"/>
              </w:rPr>
            </w:pPr>
            <w:r w:rsidRPr="00005453">
              <w:rPr>
                <w:sz w:val="18"/>
                <w:szCs w:val="18"/>
                <w:lang w:eastAsia="tr-TR"/>
              </w:rPr>
              <w:t>İhtiyaç Kredileri</w:t>
            </w:r>
          </w:p>
        </w:tc>
        <w:tc>
          <w:tcPr>
            <w:tcW w:w="1103" w:type="dxa"/>
            <w:tcBorders>
              <w:top w:val="nil"/>
              <w:left w:val="nil"/>
              <w:bottom w:val="nil"/>
              <w:right w:val="nil"/>
            </w:tcBorders>
            <w:shd w:val="clear" w:color="000000" w:fill="FFFFFF"/>
            <w:vAlign w:val="center"/>
            <w:hideMark/>
          </w:tcPr>
          <w:p w14:paraId="7CF70803" w14:textId="2977040E"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2BFB5F0A" w14:textId="0CA90989" w:rsidR="00731137" w:rsidRPr="00005453" w:rsidRDefault="00731137" w:rsidP="00731137">
            <w:pPr>
              <w:jc w:val="right"/>
              <w:rPr>
                <w:sz w:val="18"/>
                <w:szCs w:val="18"/>
                <w:lang w:eastAsia="tr-TR"/>
              </w:rPr>
            </w:pPr>
            <w:r w:rsidRPr="00005453">
              <w:rPr>
                <w:sz w:val="18"/>
                <w:szCs w:val="18"/>
                <w:lang w:eastAsia="tr-TR"/>
              </w:rPr>
              <w:t>382,169</w:t>
            </w:r>
          </w:p>
        </w:tc>
        <w:tc>
          <w:tcPr>
            <w:tcW w:w="1193" w:type="dxa"/>
            <w:tcBorders>
              <w:top w:val="nil"/>
              <w:left w:val="nil"/>
              <w:bottom w:val="nil"/>
              <w:right w:val="nil"/>
            </w:tcBorders>
            <w:shd w:val="clear" w:color="auto" w:fill="auto"/>
            <w:vAlign w:val="center"/>
            <w:hideMark/>
          </w:tcPr>
          <w:p w14:paraId="6579D786" w14:textId="5A52EB05" w:rsidR="00731137" w:rsidRPr="00005453" w:rsidRDefault="00731137" w:rsidP="00731137">
            <w:pPr>
              <w:jc w:val="right"/>
              <w:rPr>
                <w:bCs/>
                <w:sz w:val="18"/>
                <w:szCs w:val="18"/>
                <w:lang w:eastAsia="tr-TR"/>
              </w:rPr>
            </w:pPr>
            <w:r w:rsidRPr="00005453">
              <w:rPr>
                <w:sz w:val="18"/>
                <w:szCs w:val="18"/>
                <w:lang w:eastAsia="tr-TR"/>
              </w:rPr>
              <w:t>382,169</w:t>
            </w:r>
          </w:p>
        </w:tc>
      </w:tr>
      <w:tr w:rsidR="00731137" w:rsidRPr="00005453" w14:paraId="535F55DE"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6767B018" w14:textId="77777777" w:rsidR="00731137" w:rsidRPr="00005453" w:rsidRDefault="00731137" w:rsidP="00731137">
            <w:pPr>
              <w:jc w:val="both"/>
              <w:rPr>
                <w:sz w:val="18"/>
                <w:szCs w:val="18"/>
                <w:lang w:eastAsia="tr-TR"/>
              </w:rPr>
            </w:pPr>
            <w:r w:rsidRPr="00005453">
              <w:rPr>
                <w:sz w:val="18"/>
                <w:szCs w:val="18"/>
                <w:lang w:eastAsia="tr-TR"/>
              </w:rPr>
              <w:t>Diğer</w:t>
            </w:r>
          </w:p>
        </w:tc>
        <w:tc>
          <w:tcPr>
            <w:tcW w:w="1103" w:type="dxa"/>
            <w:tcBorders>
              <w:top w:val="nil"/>
              <w:left w:val="nil"/>
              <w:bottom w:val="nil"/>
              <w:right w:val="nil"/>
            </w:tcBorders>
            <w:shd w:val="clear" w:color="000000" w:fill="FFFFFF"/>
            <w:vAlign w:val="center"/>
            <w:hideMark/>
          </w:tcPr>
          <w:p w14:paraId="0FDB6496" w14:textId="6DE9F9BB"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6EAE7620" w14:textId="5FF98460"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35F6AD33" w14:textId="0DC47D79" w:rsidR="00731137" w:rsidRPr="00005453" w:rsidRDefault="00731137" w:rsidP="00731137">
            <w:pPr>
              <w:jc w:val="right"/>
              <w:rPr>
                <w:bCs/>
                <w:sz w:val="18"/>
                <w:szCs w:val="18"/>
                <w:lang w:eastAsia="tr-TR"/>
              </w:rPr>
            </w:pPr>
            <w:r w:rsidRPr="00005453">
              <w:rPr>
                <w:sz w:val="18"/>
                <w:szCs w:val="18"/>
                <w:lang w:eastAsia="tr-TR"/>
              </w:rPr>
              <w:t>-</w:t>
            </w:r>
          </w:p>
        </w:tc>
      </w:tr>
      <w:tr w:rsidR="00731137" w:rsidRPr="00005453" w14:paraId="28AFA4E7"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0B6E0569" w14:textId="77777777" w:rsidR="00731137" w:rsidRPr="00005453" w:rsidRDefault="00731137" w:rsidP="00731137">
            <w:pPr>
              <w:jc w:val="both"/>
              <w:rPr>
                <w:b/>
                <w:bCs/>
                <w:sz w:val="18"/>
                <w:szCs w:val="18"/>
                <w:lang w:eastAsia="tr-TR"/>
              </w:rPr>
            </w:pPr>
            <w:r w:rsidRPr="00005453">
              <w:rPr>
                <w:b/>
                <w:bCs/>
                <w:sz w:val="18"/>
                <w:szCs w:val="18"/>
                <w:lang w:eastAsia="tr-TR"/>
              </w:rPr>
              <w:t>Taksitli Ticari Krediler-YP</w:t>
            </w:r>
          </w:p>
        </w:tc>
        <w:tc>
          <w:tcPr>
            <w:tcW w:w="1103" w:type="dxa"/>
            <w:tcBorders>
              <w:top w:val="nil"/>
              <w:left w:val="nil"/>
              <w:bottom w:val="nil"/>
              <w:right w:val="nil"/>
            </w:tcBorders>
            <w:shd w:val="clear" w:color="000000" w:fill="FFFFFF"/>
            <w:vAlign w:val="center"/>
            <w:hideMark/>
          </w:tcPr>
          <w:p w14:paraId="16D245DE" w14:textId="2C3EA856" w:rsidR="00731137" w:rsidRPr="00005453" w:rsidRDefault="00731137" w:rsidP="00731137">
            <w:pPr>
              <w:jc w:val="right"/>
              <w:rPr>
                <w:b/>
                <w:bCs/>
                <w:sz w:val="18"/>
                <w:szCs w:val="18"/>
                <w:lang w:eastAsia="tr-TR"/>
              </w:rPr>
            </w:pPr>
            <w:r w:rsidRPr="00005453">
              <w:rPr>
                <w:b/>
                <w:sz w:val="18"/>
                <w:szCs w:val="18"/>
                <w:lang w:eastAsia="tr-TR"/>
              </w:rPr>
              <w:t>10,293</w:t>
            </w:r>
          </w:p>
        </w:tc>
        <w:tc>
          <w:tcPr>
            <w:tcW w:w="2126" w:type="dxa"/>
            <w:tcBorders>
              <w:top w:val="nil"/>
              <w:left w:val="nil"/>
              <w:bottom w:val="nil"/>
              <w:right w:val="nil"/>
            </w:tcBorders>
            <w:shd w:val="clear" w:color="auto" w:fill="auto"/>
            <w:vAlign w:val="center"/>
            <w:hideMark/>
          </w:tcPr>
          <w:p w14:paraId="1BCF1C62" w14:textId="1A2225CA" w:rsidR="00731137" w:rsidRPr="00005453" w:rsidRDefault="00731137" w:rsidP="00731137">
            <w:pPr>
              <w:jc w:val="right"/>
              <w:rPr>
                <w:b/>
                <w:bCs/>
                <w:sz w:val="18"/>
                <w:szCs w:val="18"/>
                <w:lang w:eastAsia="tr-TR"/>
              </w:rPr>
            </w:pPr>
            <w:r w:rsidRPr="00005453">
              <w:rPr>
                <w:b/>
                <w:sz w:val="18"/>
                <w:szCs w:val="18"/>
                <w:lang w:eastAsia="tr-TR"/>
              </w:rPr>
              <w:t>3,892,787</w:t>
            </w:r>
          </w:p>
        </w:tc>
        <w:tc>
          <w:tcPr>
            <w:tcW w:w="1193" w:type="dxa"/>
            <w:tcBorders>
              <w:top w:val="nil"/>
              <w:left w:val="nil"/>
              <w:bottom w:val="nil"/>
              <w:right w:val="nil"/>
            </w:tcBorders>
            <w:shd w:val="clear" w:color="auto" w:fill="auto"/>
            <w:vAlign w:val="center"/>
            <w:hideMark/>
          </w:tcPr>
          <w:p w14:paraId="7380A10F" w14:textId="3282CE86" w:rsidR="00731137" w:rsidRPr="00005453" w:rsidRDefault="00731137" w:rsidP="00731137">
            <w:pPr>
              <w:jc w:val="right"/>
              <w:rPr>
                <w:b/>
                <w:bCs/>
                <w:sz w:val="18"/>
                <w:szCs w:val="18"/>
                <w:lang w:eastAsia="tr-TR"/>
              </w:rPr>
            </w:pPr>
            <w:r w:rsidRPr="00005453">
              <w:rPr>
                <w:b/>
                <w:sz w:val="18"/>
                <w:szCs w:val="18"/>
                <w:lang w:eastAsia="tr-TR"/>
              </w:rPr>
              <w:t>3,903,080</w:t>
            </w:r>
          </w:p>
        </w:tc>
      </w:tr>
      <w:tr w:rsidR="00731137" w:rsidRPr="00005453" w14:paraId="7A4AC8A8"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7555ED7C" w14:textId="77777777" w:rsidR="00731137" w:rsidRPr="00005453" w:rsidRDefault="00731137" w:rsidP="00731137">
            <w:pPr>
              <w:jc w:val="both"/>
              <w:rPr>
                <w:sz w:val="18"/>
                <w:szCs w:val="18"/>
                <w:lang w:eastAsia="tr-TR"/>
              </w:rPr>
            </w:pPr>
            <w:r w:rsidRPr="00005453">
              <w:rPr>
                <w:sz w:val="18"/>
                <w:szCs w:val="18"/>
                <w:lang w:eastAsia="tr-TR"/>
              </w:rPr>
              <w:t>İşyeri Kredileri</w:t>
            </w:r>
          </w:p>
        </w:tc>
        <w:tc>
          <w:tcPr>
            <w:tcW w:w="1103" w:type="dxa"/>
            <w:tcBorders>
              <w:top w:val="nil"/>
              <w:left w:val="nil"/>
              <w:bottom w:val="nil"/>
              <w:right w:val="nil"/>
            </w:tcBorders>
            <w:shd w:val="clear" w:color="000000" w:fill="FFFFFF"/>
            <w:vAlign w:val="center"/>
            <w:hideMark/>
          </w:tcPr>
          <w:p w14:paraId="7C849765" w14:textId="4274DF2F"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05B0E685" w14:textId="3BE45679" w:rsidR="00731137" w:rsidRPr="00005453" w:rsidRDefault="00731137" w:rsidP="00731137">
            <w:pPr>
              <w:jc w:val="right"/>
              <w:rPr>
                <w:sz w:val="18"/>
                <w:szCs w:val="18"/>
                <w:lang w:eastAsia="tr-TR"/>
              </w:rPr>
            </w:pPr>
            <w:r w:rsidRPr="00005453">
              <w:rPr>
                <w:sz w:val="18"/>
                <w:szCs w:val="18"/>
                <w:lang w:eastAsia="tr-TR"/>
              </w:rPr>
              <w:t>724,311</w:t>
            </w:r>
          </w:p>
        </w:tc>
        <w:tc>
          <w:tcPr>
            <w:tcW w:w="1193" w:type="dxa"/>
            <w:tcBorders>
              <w:top w:val="nil"/>
              <w:left w:val="nil"/>
              <w:bottom w:val="nil"/>
              <w:right w:val="nil"/>
            </w:tcBorders>
            <w:shd w:val="clear" w:color="auto" w:fill="auto"/>
            <w:vAlign w:val="center"/>
            <w:hideMark/>
          </w:tcPr>
          <w:p w14:paraId="6E883449" w14:textId="54234562" w:rsidR="00731137" w:rsidRPr="00005453" w:rsidRDefault="00731137" w:rsidP="00731137">
            <w:pPr>
              <w:jc w:val="right"/>
              <w:rPr>
                <w:bCs/>
                <w:sz w:val="18"/>
                <w:szCs w:val="18"/>
                <w:lang w:eastAsia="tr-TR"/>
              </w:rPr>
            </w:pPr>
            <w:r w:rsidRPr="00005453">
              <w:rPr>
                <w:sz w:val="18"/>
                <w:szCs w:val="18"/>
                <w:lang w:eastAsia="tr-TR"/>
              </w:rPr>
              <w:t>724,311</w:t>
            </w:r>
          </w:p>
        </w:tc>
      </w:tr>
      <w:tr w:rsidR="00731137" w:rsidRPr="00005453" w14:paraId="1FD6AB5B"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2200C3DA" w14:textId="77777777" w:rsidR="00731137" w:rsidRPr="00005453" w:rsidRDefault="00731137" w:rsidP="00731137">
            <w:pPr>
              <w:jc w:val="both"/>
              <w:rPr>
                <w:sz w:val="18"/>
                <w:szCs w:val="18"/>
                <w:lang w:eastAsia="tr-TR"/>
              </w:rPr>
            </w:pPr>
            <w:r w:rsidRPr="00005453">
              <w:rPr>
                <w:sz w:val="18"/>
                <w:szCs w:val="18"/>
                <w:lang w:eastAsia="tr-TR"/>
              </w:rPr>
              <w:t>Taşıt Kredileri</w:t>
            </w:r>
          </w:p>
        </w:tc>
        <w:tc>
          <w:tcPr>
            <w:tcW w:w="1103" w:type="dxa"/>
            <w:tcBorders>
              <w:top w:val="nil"/>
              <w:left w:val="nil"/>
              <w:bottom w:val="nil"/>
              <w:right w:val="nil"/>
            </w:tcBorders>
            <w:shd w:val="clear" w:color="000000" w:fill="FFFFFF"/>
            <w:vAlign w:val="center"/>
            <w:hideMark/>
          </w:tcPr>
          <w:p w14:paraId="12664E8D" w14:textId="1E5EBB00" w:rsidR="00731137" w:rsidRPr="00005453" w:rsidRDefault="00731137" w:rsidP="00731137">
            <w:pPr>
              <w:jc w:val="right"/>
              <w:rPr>
                <w:sz w:val="18"/>
                <w:szCs w:val="18"/>
                <w:lang w:eastAsia="tr-TR"/>
              </w:rPr>
            </w:pPr>
            <w:r w:rsidRPr="00005453">
              <w:rPr>
                <w:sz w:val="18"/>
                <w:szCs w:val="18"/>
                <w:lang w:eastAsia="tr-TR"/>
              </w:rPr>
              <w:t>10,293</w:t>
            </w:r>
          </w:p>
        </w:tc>
        <w:tc>
          <w:tcPr>
            <w:tcW w:w="2126" w:type="dxa"/>
            <w:tcBorders>
              <w:top w:val="nil"/>
              <w:left w:val="nil"/>
              <w:bottom w:val="nil"/>
              <w:right w:val="nil"/>
            </w:tcBorders>
            <w:shd w:val="clear" w:color="auto" w:fill="auto"/>
            <w:vAlign w:val="center"/>
            <w:hideMark/>
          </w:tcPr>
          <w:p w14:paraId="79E02E38" w14:textId="23B47AD5" w:rsidR="00731137" w:rsidRPr="00005453" w:rsidRDefault="00731137" w:rsidP="00731137">
            <w:pPr>
              <w:jc w:val="right"/>
              <w:rPr>
                <w:sz w:val="18"/>
                <w:szCs w:val="18"/>
                <w:lang w:eastAsia="tr-TR"/>
              </w:rPr>
            </w:pPr>
            <w:r w:rsidRPr="00005453">
              <w:rPr>
                <w:sz w:val="18"/>
                <w:szCs w:val="18"/>
                <w:lang w:eastAsia="tr-TR"/>
              </w:rPr>
              <w:t>3,168,476</w:t>
            </w:r>
          </w:p>
        </w:tc>
        <w:tc>
          <w:tcPr>
            <w:tcW w:w="1193" w:type="dxa"/>
            <w:tcBorders>
              <w:top w:val="nil"/>
              <w:left w:val="nil"/>
              <w:bottom w:val="nil"/>
              <w:right w:val="nil"/>
            </w:tcBorders>
            <w:shd w:val="clear" w:color="auto" w:fill="auto"/>
            <w:vAlign w:val="center"/>
            <w:hideMark/>
          </w:tcPr>
          <w:p w14:paraId="285A009F" w14:textId="6988319A" w:rsidR="00731137" w:rsidRPr="00005453" w:rsidRDefault="00731137" w:rsidP="00731137">
            <w:pPr>
              <w:jc w:val="right"/>
              <w:rPr>
                <w:bCs/>
                <w:sz w:val="18"/>
                <w:szCs w:val="18"/>
                <w:lang w:eastAsia="tr-TR"/>
              </w:rPr>
            </w:pPr>
            <w:r w:rsidRPr="00005453">
              <w:rPr>
                <w:sz w:val="18"/>
                <w:szCs w:val="18"/>
                <w:lang w:eastAsia="tr-TR"/>
              </w:rPr>
              <w:t>3,178,769</w:t>
            </w:r>
          </w:p>
        </w:tc>
      </w:tr>
      <w:tr w:rsidR="00731137" w:rsidRPr="00005453" w14:paraId="1B4DAD20"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09788280" w14:textId="77777777" w:rsidR="00731137" w:rsidRPr="00005453" w:rsidRDefault="00731137" w:rsidP="00731137">
            <w:pPr>
              <w:jc w:val="both"/>
              <w:rPr>
                <w:sz w:val="18"/>
                <w:szCs w:val="18"/>
                <w:lang w:eastAsia="tr-TR"/>
              </w:rPr>
            </w:pPr>
            <w:r w:rsidRPr="00005453">
              <w:rPr>
                <w:sz w:val="18"/>
                <w:szCs w:val="18"/>
                <w:lang w:eastAsia="tr-TR"/>
              </w:rPr>
              <w:t>İhtiyaç Kredileri</w:t>
            </w:r>
          </w:p>
        </w:tc>
        <w:tc>
          <w:tcPr>
            <w:tcW w:w="1103" w:type="dxa"/>
            <w:tcBorders>
              <w:top w:val="nil"/>
              <w:left w:val="nil"/>
              <w:bottom w:val="nil"/>
              <w:right w:val="nil"/>
            </w:tcBorders>
            <w:shd w:val="clear" w:color="000000" w:fill="FFFFFF"/>
            <w:vAlign w:val="center"/>
            <w:hideMark/>
          </w:tcPr>
          <w:p w14:paraId="6F332411" w14:textId="49977C99"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17FB8987" w14:textId="67C9B76C"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27D7C282" w14:textId="3B7B2461" w:rsidR="00731137" w:rsidRPr="00005453" w:rsidRDefault="00731137" w:rsidP="00731137">
            <w:pPr>
              <w:jc w:val="right"/>
              <w:rPr>
                <w:bCs/>
                <w:sz w:val="18"/>
                <w:szCs w:val="18"/>
                <w:lang w:eastAsia="tr-TR"/>
              </w:rPr>
            </w:pPr>
            <w:r w:rsidRPr="00005453">
              <w:rPr>
                <w:sz w:val="18"/>
                <w:szCs w:val="18"/>
                <w:lang w:eastAsia="tr-TR"/>
              </w:rPr>
              <w:t>-</w:t>
            </w:r>
          </w:p>
        </w:tc>
      </w:tr>
      <w:tr w:rsidR="00731137" w:rsidRPr="00005453" w14:paraId="3A0EBF20"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0DF76B70" w14:textId="77777777" w:rsidR="00731137" w:rsidRPr="00005453" w:rsidRDefault="00731137" w:rsidP="00731137">
            <w:pPr>
              <w:jc w:val="both"/>
              <w:rPr>
                <w:sz w:val="18"/>
                <w:szCs w:val="18"/>
                <w:lang w:eastAsia="tr-TR"/>
              </w:rPr>
            </w:pPr>
            <w:r w:rsidRPr="00005453">
              <w:rPr>
                <w:sz w:val="18"/>
                <w:szCs w:val="18"/>
                <w:lang w:eastAsia="tr-TR"/>
              </w:rPr>
              <w:t>Diğer</w:t>
            </w:r>
          </w:p>
        </w:tc>
        <w:tc>
          <w:tcPr>
            <w:tcW w:w="1103" w:type="dxa"/>
            <w:tcBorders>
              <w:top w:val="nil"/>
              <w:left w:val="nil"/>
              <w:bottom w:val="nil"/>
              <w:right w:val="nil"/>
            </w:tcBorders>
            <w:shd w:val="clear" w:color="000000" w:fill="FFFFFF"/>
            <w:vAlign w:val="center"/>
            <w:hideMark/>
          </w:tcPr>
          <w:p w14:paraId="67E14DC0" w14:textId="7BF2A336"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4970A314" w14:textId="25FB8A50"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012D186D" w14:textId="1B4FE1A9" w:rsidR="00731137" w:rsidRPr="00005453" w:rsidRDefault="00731137" w:rsidP="00731137">
            <w:pPr>
              <w:jc w:val="right"/>
              <w:rPr>
                <w:bCs/>
                <w:sz w:val="18"/>
                <w:szCs w:val="18"/>
                <w:lang w:eastAsia="tr-TR"/>
              </w:rPr>
            </w:pPr>
            <w:r w:rsidRPr="00005453">
              <w:rPr>
                <w:sz w:val="18"/>
                <w:szCs w:val="18"/>
                <w:lang w:eastAsia="tr-TR"/>
              </w:rPr>
              <w:t>-</w:t>
            </w:r>
          </w:p>
        </w:tc>
      </w:tr>
      <w:tr w:rsidR="00731137" w:rsidRPr="00005453" w14:paraId="1EF1CB0D"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62C70AF0" w14:textId="77777777" w:rsidR="00731137" w:rsidRPr="00005453" w:rsidRDefault="00731137" w:rsidP="00731137">
            <w:pPr>
              <w:jc w:val="both"/>
              <w:rPr>
                <w:b/>
                <w:bCs/>
                <w:sz w:val="18"/>
                <w:szCs w:val="18"/>
                <w:lang w:eastAsia="tr-TR"/>
              </w:rPr>
            </w:pPr>
            <w:r w:rsidRPr="00005453">
              <w:rPr>
                <w:b/>
                <w:bCs/>
                <w:sz w:val="18"/>
                <w:szCs w:val="18"/>
                <w:lang w:eastAsia="tr-TR"/>
              </w:rPr>
              <w:t>Kurumsal Kredi Kartları-TP</w:t>
            </w:r>
          </w:p>
        </w:tc>
        <w:tc>
          <w:tcPr>
            <w:tcW w:w="1103" w:type="dxa"/>
            <w:tcBorders>
              <w:top w:val="nil"/>
              <w:left w:val="nil"/>
              <w:bottom w:val="nil"/>
              <w:right w:val="nil"/>
            </w:tcBorders>
            <w:shd w:val="clear" w:color="000000" w:fill="FFFFFF"/>
            <w:vAlign w:val="center"/>
            <w:hideMark/>
          </w:tcPr>
          <w:p w14:paraId="08FB761A" w14:textId="67FBE511" w:rsidR="00731137" w:rsidRPr="00005453" w:rsidRDefault="00731137" w:rsidP="00731137">
            <w:pPr>
              <w:jc w:val="right"/>
              <w:rPr>
                <w:b/>
                <w:bCs/>
                <w:sz w:val="18"/>
                <w:szCs w:val="18"/>
                <w:lang w:eastAsia="tr-TR"/>
              </w:rPr>
            </w:pPr>
            <w:r w:rsidRPr="00005453">
              <w:rPr>
                <w:b/>
                <w:sz w:val="18"/>
                <w:szCs w:val="18"/>
                <w:lang w:eastAsia="tr-TR"/>
              </w:rPr>
              <w:t>17,192,639</w:t>
            </w:r>
          </w:p>
        </w:tc>
        <w:tc>
          <w:tcPr>
            <w:tcW w:w="2126" w:type="dxa"/>
            <w:tcBorders>
              <w:top w:val="nil"/>
              <w:left w:val="nil"/>
              <w:bottom w:val="nil"/>
              <w:right w:val="nil"/>
            </w:tcBorders>
            <w:shd w:val="clear" w:color="auto" w:fill="auto"/>
            <w:vAlign w:val="center"/>
            <w:hideMark/>
          </w:tcPr>
          <w:p w14:paraId="31EE7FEA" w14:textId="3583ADDF" w:rsidR="00731137" w:rsidRPr="00005453" w:rsidRDefault="00731137" w:rsidP="00731137">
            <w:pPr>
              <w:jc w:val="right"/>
              <w:rPr>
                <w:b/>
                <w:bCs/>
                <w:sz w:val="18"/>
                <w:szCs w:val="18"/>
                <w:lang w:eastAsia="tr-TR"/>
              </w:rPr>
            </w:pPr>
            <w:r w:rsidRPr="00005453">
              <w:rPr>
                <w:b/>
                <w:sz w:val="18"/>
                <w:szCs w:val="18"/>
                <w:lang w:eastAsia="tr-TR"/>
              </w:rPr>
              <w:t>-</w:t>
            </w:r>
          </w:p>
        </w:tc>
        <w:tc>
          <w:tcPr>
            <w:tcW w:w="1193" w:type="dxa"/>
            <w:tcBorders>
              <w:top w:val="nil"/>
              <w:left w:val="nil"/>
              <w:bottom w:val="nil"/>
              <w:right w:val="nil"/>
            </w:tcBorders>
            <w:shd w:val="clear" w:color="auto" w:fill="auto"/>
            <w:vAlign w:val="center"/>
            <w:hideMark/>
          </w:tcPr>
          <w:p w14:paraId="25ADFDE4" w14:textId="22EE96E2" w:rsidR="00731137" w:rsidRPr="00005453" w:rsidRDefault="00731137" w:rsidP="00731137">
            <w:pPr>
              <w:jc w:val="right"/>
              <w:rPr>
                <w:b/>
                <w:bCs/>
                <w:sz w:val="18"/>
                <w:szCs w:val="18"/>
                <w:lang w:eastAsia="tr-TR"/>
              </w:rPr>
            </w:pPr>
            <w:r w:rsidRPr="00005453">
              <w:rPr>
                <w:b/>
                <w:sz w:val="18"/>
                <w:szCs w:val="18"/>
                <w:lang w:eastAsia="tr-TR"/>
              </w:rPr>
              <w:t>17,192,639</w:t>
            </w:r>
          </w:p>
        </w:tc>
      </w:tr>
      <w:tr w:rsidR="00731137" w:rsidRPr="00005453" w14:paraId="7A8BD189"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3D07868B" w14:textId="77777777" w:rsidR="00731137" w:rsidRPr="00005453" w:rsidRDefault="00731137" w:rsidP="00731137">
            <w:pPr>
              <w:jc w:val="both"/>
              <w:rPr>
                <w:sz w:val="18"/>
                <w:szCs w:val="18"/>
                <w:lang w:eastAsia="tr-TR"/>
              </w:rPr>
            </w:pPr>
            <w:r w:rsidRPr="00005453">
              <w:rPr>
                <w:sz w:val="18"/>
                <w:szCs w:val="18"/>
                <w:lang w:eastAsia="tr-TR"/>
              </w:rPr>
              <w:t xml:space="preserve">Taksitli </w:t>
            </w:r>
          </w:p>
        </w:tc>
        <w:tc>
          <w:tcPr>
            <w:tcW w:w="1103" w:type="dxa"/>
            <w:tcBorders>
              <w:top w:val="nil"/>
              <w:left w:val="nil"/>
              <w:bottom w:val="nil"/>
              <w:right w:val="nil"/>
            </w:tcBorders>
            <w:shd w:val="clear" w:color="000000" w:fill="FFFFFF"/>
            <w:vAlign w:val="center"/>
            <w:hideMark/>
          </w:tcPr>
          <w:p w14:paraId="64C14DA6" w14:textId="64AD6402" w:rsidR="00731137" w:rsidRPr="00005453" w:rsidRDefault="00731137" w:rsidP="00731137">
            <w:pPr>
              <w:jc w:val="right"/>
              <w:rPr>
                <w:sz w:val="18"/>
                <w:szCs w:val="18"/>
                <w:lang w:eastAsia="tr-TR"/>
              </w:rPr>
            </w:pPr>
            <w:r w:rsidRPr="00005453">
              <w:rPr>
                <w:sz w:val="18"/>
                <w:szCs w:val="18"/>
                <w:lang w:eastAsia="tr-TR"/>
              </w:rPr>
              <w:t>8,974,843</w:t>
            </w:r>
          </w:p>
        </w:tc>
        <w:tc>
          <w:tcPr>
            <w:tcW w:w="2126" w:type="dxa"/>
            <w:tcBorders>
              <w:top w:val="nil"/>
              <w:left w:val="nil"/>
              <w:bottom w:val="nil"/>
              <w:right w:val="nil"/>
            </w:tcBorders>
            <w:shd w:val="clear" w:color="auto" w:fill="auto"/>
            <w:vAlign w:val="center"/>
            <w:hideMark/>
          </w:tcPr>
          <w:p w14:paraId="66CCBA43" w14:textId="0FF4A24A"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571277D4" w14:textId="7990C44D" w:rsidR="00731137" w:rsidRPr="00005453" w:rsidRDefault="00731137" w:rsidP="00731137">
            <w:pPr>
              <w:jc w:val="right"/>
              <w:rPr>
                <w:bCs/>
                <w:sz w:val="18"/>
                <w:szCs w:val="18"/>
                <w:lang w:eastAsia="tr-TR"/>
              </w:rPr>
            </w:pPr>
            <w:r w:rsidRPr="00005453">
              <w:rPr>
                <w:sz w:val="18"/>
                <w:szCs w:val="18"/>
                <w:lang w:eastAsia="tr-TR"/>
              </w:rPr>
              <w:t>8,974,843</w:t>
            </w:r>
          </w:p>
        </w:tc>
      </w:tr>
      <w:tr w:rsidR="00731137" w:rsidRPr="00005453" w14:paraId="51A0C656"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60F26695" w14:textId="77777777" w:rsidR="00731137" w:rsidRPr="00005453" w:rsidRDefault="00731137" w:rsidP="00731137">
            <w:pPr>
              <w:jc w:val="both"/>
              <w:rPr>
                <w:sz w:val="18"/>
                <w:szCs w:val="18"/>
                <w:lang w:eastAsia="tr-TR"/>
              </w:rPr>
            </w:pPr>
            <w:r w:rsidRPr="00005453">
              <w:rPr>
                <w:sz w:val="18"/>
                <w:szCs w:val="18"/>
                <w:lang w:eastAsia="tr-TR"/>
              </w:rPr>
              <w:t>Taksitsiz</w:t>
            </w:r>
          </w:p>
        </w:tc>
        <w:tc>
          <w:tcPr>
            <w:tcW w:w="1103" w:type="dxa"/>
            <w:tcBorders>
              <w:top w:val="nil"/>
              <w:left w:val="nil"/>
              <w:bottom w:val="nil"/>
              <w:right w:val="nil"/>
            </w:tcBorders>
            <w:shd w:val="clear" w:color="000000" w:fill="FFFFFF"/>
            <w:vAlign w:val="center"/>
            <w:hideMark/>
          </w:tcPr>
          <w:p w14:paraId="4E565F09" w14:textId="2492F038" w:rsidR="00731137" w:rsidRPr="00005453" w:rsidRDefault="00731137" w:rsidP="00731137">
            <w:pPr>
              <w:jc w:val="right"/>
              <w:rPr>
                <w:sz w:val="18"/>
                <w:szCs w:val="18"/>
                <w:lang w:eastAsia="tr-TR"/>
              </w:rPr>
            </w:pPr>
            <w:r w:rsidRPr="00005453">
              <w:rPr>
                <w:sz w:val="18"/>
                <w:szCs w:val="18"/>
                <w:lang w:eastAsia="tr-TR"/>
              </w:rPr>
              <w:t>8,217,796</w:t>
            </w:r>
          </w:p>
        </w:tc>
        <w:tc>
          <w:tcPr>
            <w:tcW w:w="2126" w:type="dxa"/>
            <w:tcBorders>
              <w:top w:val="nil"/>
              <w:left w:val="nil"/>
              <w:bottom w:val="nil"/>
              <w:right w:val="nil"/>
            </w:tcBorders>
            <w:shd w:val="clear" w:color="auto" w:fill="auto"/>
            <w:vAlign w:val="center"/>
            <w:hideMark/>
          </w:tcPr>
          <w:p w14:paraId="6288AE3D" w14:textId="5ACD3B69"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30914F6D" w14:textId="08761CF0" w:rsidR="00731137" w:rsidRPr="00005453" w:rsidRDefault="00731137" w:rsidP="00731137">
            <w:pPr>
              <w:jc w:val="right"/>
              <w:rPr>
                <w:bCs/>
                <w:sz w:val="18"/>
                <w:szCs w:val="18"/>
                <w:lang w:eastAsia="tr-TR"/>
              </w:rPr>
            </w:pPr>
            <w:r w:rsidRPr="00005453">
              <w:rPr>
                <w:sz w:val="18"/>
                <w:szCs w:val="18"/>
                <w:lang w:eastAsia="tr-TR"/>
              </w:rPr>
              <w:t>8,217,796</w:t>
            </w:r>
          </w:p>
        </w:tc>
      </w:tr>
      <w:tr w:rsidR="00731137" w:rsidRPr="00005453" w14:paraId="5FEBD4C6"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1FE5C4DC" w14:textId="77777777" w:rsidR="00731137" w:rsidRPr="00005453" w:rsidRDefault="00731137" w:rsidP="00731137">
            <w:pPr>
              <w:jc w:val="both"/>
              <w:rPr>
                <w:b/>
                <w:bCs/>
                <w:sz w:val="18"/>
                <w:szCs w:val="18"/>
                <w:lang w:eastAsia="tr-TR"/>
              </w:rPr>
            </w:pPr>
            <w:r w:rsidRPr="00005453">
              <w:rPr>
                <w:b/>
                <w:bCs/>
                <w:sz w:val="18"/>
                <w:szCs w:val="18"/>
                <w:lang w:eastAsia="tr-TR"/>
              </w:rPr>
              <w:t>Kurumsal Kredi Kartları-YP</w:t>
            </w:r>
          </w:p>
        </w:tc>
        <w:tc>
          <w:tcPr>
            <w:tcW w:w="1103" w:type="dxa"/>
            <w:tcBorders>
              <w:top w:val="nil"/>
              <w:left w:val="nil"/>
              <w:bottom w:val="nil"/>
              <w:right w:val="nil"/>
            </w:tcBorders>
            <w:shd w:val="clear" w:color="000000" w:fill="FFFFFF"/>
            <w:vAlign w:val="center"/>
            <w:hideMark/>
          </w:tcPr>
          <w:p w14:paraId="4CBDE9D0" w14:textId="6F38F7C8" w:rsidR="00731137" w:rsidRPr="00005453" w:rsidRDefault="00731137" w:rsidP="00731137">
            <w:pPr>
              <w:jc w:val="right"/>
              <w:rPr>
                <w:b/>
                <w:bCs/>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2CBFABC0" w14:textId="052D7691" w:rsidR="00731137" w:rsidRPr="00005453" w:rsidRDefault="00731137" w:rsidP="00731137">
            <w:pPr>
              <w:jc w:val="right"/>
              <w:rPr>
                <w:b/>
                <w:bCs/>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502CC0C3" w14:textId="3ECC396D" w:rsidR="00731137" w:rsidRPr="00005453" w:rsidRDefault="00731137" w:rsidP="00731137">
            <w:pPr>
              <w:jc w:val="right"/>
              <w:rPr>
                <w:b/>
                <w:bCs/>
                <w:sz w:val="18"/>
                <w:szCs w:val="18"/>
                <w:lang w:eastAsia="tr-TR"/>
              </w:rPr>
            </w:pPr>
            <w:r w:rsidRPr="00005453">
              <w:rPr>
                <w:sz w:val="18"/>
                <w:szCs w:val="18"/>
                <w:lang w:eastAsia="tr-TR"/>
              </w:rPr>
              <w:t>-</w:t>
            </w:r>
          </w:p>
        </w:tc>
      </w:tr>
      <w:tr w:rsidR="00731137" w:rsidRPr="00005453" w14:paraId="131F835D"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754EAB42" w14:textId="77777777" w:rsidR="00731137" w:rsidRPr="00005453" w:rsidRDefault="00731137" w:rsidP="00731137">
            <w:pPr>
              <w:jc w:val="both"/>
              <w:rPr>
                <w:sz w:val="18"/>
                <w:szCs w:val="18"/>
                <w:lang w:eastAsia="tr-TR"/>
              </w:rPr>
            </w:pPr>
            <w:r w:rsidRPr="00005453">
              <w:rPr>
                <w:sz w:val="18"/>
                <w:szCs w:val="18"/>
                <w:lang w:eastAsia="tr-TR"/>
              </w:rPr>
              <w:t xml:space="preserve">Taksitli </w:t>
            </w:r>
          </w:p>
        </w:tc>
        <w:tc>
          <w:tcPr>
            <w:tcW w:w="1103" w:type="dxa"/>
            <w:tcBorders>
              <w:top w:val="nil"/>
              <w:left w:val="nil"/>
              <w:bottom w:val="nil"/>
              <w:right w:val="nil"/>
            </w:tcBorders>
            <w:shd w:val="clear" w:color="000000" w:fill="FFFFFF"/>
            <w:vAlign w:val="center"/>
            <w:hideMark/>
          </w:tcPr>
          <w:p w14:paraId="660D026D" w14:textId="634243D3"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1C230EC1" w14:textId="704C3020"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07F9BEF5" w14:textId="4F495CAF" w:rsidR="00731137" w:rsidRPr="00005453" w:rsidRDefault="00731137" w:rsidP="00731137">
            <w:pPr>
              <w:jc w:val="right"/>
              <w:rPr>
                <w:bCs/>
                <w:sz w:val="18"/>
                <w:szCs w:val="18"/>
                <w:lang w:eastAsia="tr-TR"/>
              </w:rPr>
            </w:pPr>
            <w:r w:rsidRPr="00005453">
              <w:rPr>
                <w:sz w:val="18"/>
                <w:szCs w:val="18"/>
                <w:lang w:eastAsia="tr-TR"/>
              </w:rPr>
              <w:t>-</w:t>
            </w:r>
          </w:p>
        </w:tc>
      </w:tr>
      <w:tr w:rsidR="00731137" w:rsidRPr="00005453" w14:paraId="1B554760"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3AFF4FC4" w14:textId="77777777" w:rsidR="00731137" w:rsidRPr="00005453" w:rsidRDefault="00731137" w:rsidP="00731137">
            <w:pPr>
              <w:jc w:val="both"/>
              <w:rPr>
                <w:sz w:val="18"/>
                <w:szCs w:val="18"/>
                <w:lang w:eastAsia="tr-TR"/>
              </w:rPr>
            </w:pPr>
            <w:r w:rsidRPr="00005453">
              <w:rPr>
                <w:sz w:val="18"/>
                <w:szCs w:val="18"/>
                <w:lang w:eastAsia="tr-TR"/>
              </w:rPr>
              <w:t>Taksitsiz</w:t>
            </w:r>
          </w:p>
        </w:tc>
        <w:tc>
          <w:tcPr>
            <w:tcW w:w="1103" w:type="dxa"/>
            <w:tcBorders>
              <w:top w:val="nil"/>
              <w:left w:val="nil"/>
              <w:bottom w:val="nil"/>
              <w:right w:val="nil"/>
            </w:tcBorders>
            <w:shd w:val="clear" w:color="000000" w:fill="FFFFFF"/>
            <w:vAlign w:val="center"/>
            <w:hideMark/>
          </w:tcPr>
          <w:p w14:paraId="6FA3E8E4" w14:textId="536C2E41" w:rsidR="00731137" w:rsidRPr="00005453" w:rsidRDefault="00731137" w:rsidP="00731137">
            <w:pPr>
              <w:jc w:val="right"/>
              <w:rPr>
                <w:sz w:val="18"/>
                <w:szCs w:val="18"/>
                <w:lang w:eastAsia="tr-TR"/>
              </w:rPr>
            </w:pPr>
            <w:r w:rsidRPr="00005453">
              <w:rPr>
                <w:sz w:val="18"/>
                <w:szCs w:val="18"/>
                <w:lang w:eastAsia="tr-TR"/>
              </w:rPr>
              <w:t>-</w:t>
            </w:r>
          </w:p>
        </w:tc>
        <w:tc>
          <w:tcPr>
            <w:tcW w:w="2126" w:type="dxa"/>
            <w:tcBorders>
              <w:top w:val="nil"/>
              <w:left w:val="nil"/>
              <w:bottom w:val="nil"/>
              <w:right w:val="nil"/>
            </w:tcBorders>
            <w:shd w:val="clear" w:color="auto" w:fill="auto"/>
            <w:vAlign w:val="center"/>
            <w:hideMark/>
          </w:tcPr>
          <w:p w14:paraId="7E2A7919" w14:textId="7FF326A8" w:rsidR="00731137" w:rsidRPr="00005453" w:rsidRDefault="00731137" w:rsidP="00731137">
            <w:pPr>
              <w:jc w:val="right"/>
              <w:rPr>
                <w:sz w:val="18"/>
                <w:szCs w:val="18"/>
                <w:lang w:eastAsia="tr-TR"/>
              </w:rPr>
            </w:pPr>
            <w:r w:rsidRPr="00005453">
              <w:rPr>
                <w:sz w:val="18"/>
                <w:szCs w:val="18"/>
                <w:lang w:eastAsia="tr-TR"/>
              </w:rPr>
              <w:t>-</w:t>
            </w:r>
          </w:p>
        </w:tc>
        <w:tc>
          <w:tcPr>
            <w:tcW w:w="1193" w:type="dxa"/>
            <w:tcBorders>
              <w:top w:val="nil"/>
              <w:left w:val="nil"/>
              <w:bottom w:val="nil"/>
              <w:right w:val="nil"/>
            </w:tcBorders>
            <w:shd w:val="clear" w:color="auto" w:fill="auto"/>
            <w:vAlign w:val="center"/>
            <w:hideMark/>
          </w:tcPr>
          <w:p w14:paraId="3E74A11A" w14:textId="7753AAA0" w:rsidR="00731137" w:rsidRPr="00005453" w:rsidRDefault="00731137" w:rsidP="00731137">
            <w:pPr>
              <w:jc w:val="right"/>
              <w:rPr>
                <w:bCs/>
                <w:sz w:val="18"/>
                <w:szCs w:val="18"/>
                <w:lang w:eastAsia="tr-TR"/>
              </w:rPr>
            </w:pPr>
            <w:r w:rsidRPr="00005453">
              <w:rPr>
                <w:bCs/>
                <w:sz w:val="18"/>
                <w:szCs w:val="18"/>
                <w:lang w:eastAsia="tr-TR"/>
              </w:rPr>
              <w:t>-</w:t>
            </w:r>
          </w:p>
        </w:tc>
      </w:tr>
      <w:tr w:rsidR="00731137" w:rsidRPr="00005453" w14:paraId="21470ED1" w14:textId="77777777" w:rsidTr="00731137">
        <w:trPr>
          <w:divId w:val="571502234"/>
          <w:trHeight w:val="212"/>
        </w:trPr>
        <w:tc>
          <w:tcPr>
            <w:tcW w:w="4709" w:type="dxa"/>
            <w:tcBorders>
              <w:top w:val="nil"/>
              <w:left w:val="nil"/>
              <w:bottom w:val="nil"/>
              <w:right w:val="nil"/>
            </w:tcBorders>
            <w:shd w:val="clear" w:color="auto" w:fill="auto"/>
            <w:vAlign w:val="center"/>
            <w:hideMark/>
          </w:tcPr>
          <w:p w14:paraId="319FFB0D" w14:textId="77777777" w:rsidR="00731137" w:rsidRPr="00005453" w:rsidRDefault="00731137" w:rsidP="00731137">
            <w:pPr>
              <w:jc w:val="both"/>
              <w:rPr>
                <w:b/>
                <w:bCs/>
                <w:sz w:val="18"/>
                <w:szCs w:val="18"/>
                <w:lang w:eastAsia="tr-TR"/>
              </w:rPr>
            </w:pPr>
            <w:r w:rsidRPr="00005453">
              <w:rPr>
                <w:b/>
                <w:bCs/>
                <w:sz w:val="18"/>
                <w:szCs w:val="18"/>
                <w:lang w:eastAsia="tr-TR"/>
              </w:rPr>
              <w:t>Kredili Mevduat Hesabı-TP (Tüzel Kişi)</w:t>
            </w:r>
          </w:p>
        </w:tc>
        <w:tc>
          <w:tcPr>
            <w:tcW w:w="1103" w:type="dxa"/>
            <w:tcBorders>
              <w:top w:val="nil"/>
              <w:left w:val="nil"/>
              <w:bottom w:val="nil"/>
              <w:right w:val="nil"/>
            </w:tcBorders>
            <w:shd w:val="clear" w:color="000000" w:fill="FFFFFF"/>
            <w:vAlign w:val="center"/>
            <w:hideMark/>
          </w:tcPr>
          <w:p w14:paraId="616EFF02" w14:textId="3DB1ACE4" w:rsidR="00731137" w:rsidRPr="00005453" w:rsidRDefault="00731137" w:rsidP="00731137">
            <w:pPr>
              <w:jc w:val="right"/>
              <w:rPr>
                <w:b/>
                <w:bCs/>
                <w:sz w:val="18"/>
                <w:szCs w:val="18"/>
                <w:lang w:eastAsia="tr-TR"/>
              </w:rPr>
            </w:pPr>
            <w:r w:rsidRPr="00005453">
              <w:rPr>
                <w:b/>
                <w:bCs/>
                <w:sz w:val="18"/>
                <w:szCs w:val="18"/>
                <w:lang w:eastAsia="tr-TR"/>
              </w:rPr>
              <w:t>-</w:t>
            </w:r>
          </w:p>
        </w:tc>
        <w:tc>
          <w:tcPr>
            <w:tcW w:w="2126" w:type="dxa"/>
            <w:tcBorders>
              <w:top w:val="nil"/>
              <w:left w:val="nil"/>
              <w:bottom w:val="nil"/>
              <w:right w:val="nil"/>
            </w:tcBorders>
            <w:shd w:val="clear" w:color="auto" w:fill="auto"/>
            <w:vAlign w:val="center"/>
            <w:hideMark/>
          </w:tcPr>
          <w:p w14:paraId="7A39CF08" w14:textId="6377B283" w:rsidR="00731137" w:rsidRPr="00005453" w:rsidRDefault="00731137" w:rsidP="00731137">
            <w:pPr>
              <w:jc w:val="right"/>
              <w:rPr>
                <w:b/>
                <w:bCs/>
                <w:sz w:val="18"/>
                <w:szCs w:val="18"/>
                <w:lang w:eastAsia="tr-TR"/>
              </w:rPr>
            </w:pPr>
            <w:r w:rsidRPr="00005453">
              <w:rPr>
                <w:b/>
                <w:bCs/>
                <w:sz w:val="18"/>
                <w:szCs w:val="18"/>
                <w:lang w:eastAsia="tr-TR"/>
              </w:rPr>
              <w:t>-</w:t>
            </w:r>
          </w:p>
        </w:tc>
        <w:tc>
          <w:tcPr>
            <w:tcW w:w="1193" w:type="dxa"/>
            <w:tcBorders>
              <w:top w:val="nil"/>
              <w:left w:val="nil"/>
              <w:bottom w:val="nil"/>
              <w:right w:val="nil"/>
            </w:tcBorders>
            <w:shd w:val="clear" w:color="auto" w:fill="auto"/>
            <w:vAlign w:val="center"/>
            <w:hideMark/>
          </w:tcPr>
          <w:p w14:paraId="16C867E9" w14:textId="0E8513A5" w:rsidR="00731137" w:rsidRPr="00005453" w:rsidRDefault="00731137" w:rsidP="00731137">
            <w:pPr>
              <w:jc w:val="right"/>
              <w:rPr>
                <w:b/>
                <w:bCs/>
                <w:sz w:val="18"/>
                <w:szCs w:val="18"/>
                <w:lang w:eastAsia="tr-TR"/>
              </w:rPr>
            </w:pPr>
            <w:r w:rsidRPr="00005453">
              <w:rPr>
                <w:b/>
                <w:bCs/>
                <w:sz w:val="18"/>
                <w:szCs w:val="18"/>
                <w:lang w:eastAsia="tr-TR"/>
              </w:rPr>
              <w:t>-</w:t>
            </w:r>
          </w:p>
        </w:tc>
      </w:tr>
      <w:tr w:rsidR="00731137" w:rsidRPr="00005453" w14:paraId="674007AB" w14:textId="77777777" w:rsidTr="00731137">
        <w:trPr>
          <w:divId w:val="571502234"/>
          <w:trHeight w:val="226"/>
        </w:trPr>
        <w:tc>
          <w:tcPr>
            <w:tcW w:w="4709" w:type="dxa"/>
            <w:tcBorders>
              <w:top w:val="nil"/>
              <w:left w:val="nil"/>
              <w:bottom w:val="single" w:sz="8" w:space="0" w:color="auto"/>
              <w:right w:val="nil"/>
            </w:tcBorders>
            <w:shd w:val="clear" w:color="auto" w:fill="auto"/>
            <w:vAlign w:val="center"/>
            <w:hideMark/>
          </w:tcPr>
          <w:p w14:paraId="3E10321B" w14:textId="77777777" w:rsidR="00731137" w:rsidRPr="00005453" w:rsidRDefault="00731137" w:rsidP="00731137">
            <w:pPr>
              <w:jc w:val="both"/>
              <w:rPr>
                <w:b/>
                <w:bCs/>
                <w:sz w:val="18"/>
                <w:szCs w:val="18"/>
                <w:lang w:eastAsia="tr-TR"/>
              </w:rPr>
            </w:pPr>
            <w:r w:rsidRPr="00005453">
              <w:rPr>
                <w:b/>
                <w:bCs/>
                <w:sz w:val="18"/>
                <w:szCs w:val="18"/>
                <w:lang w:eastAsia="tr-TR"/>
              </w:rPr>
              <w:t>Kredili Mevduat Hesabı-YP (Tüzel Kişi)</w:t>
            </w:r>
          </w:p>
        </w:tc>
        <w:tc>
          <w:tcPr>
            <w:tcW w:w="1103" w:type="dxa"/>
            <w:tcBorders>
              <w:top w:val="nil"/>
              <w:left w:val="nil"/>
              <w:bottom w:val="single" w:sz="8" w:space="0" w:color="auto"/>
              <w:right w:val="nil"/>
            </w:tcBorders>
            <w:shd w:val="clear" w:color="000000" w:fill="FFFFFF"/>
            <w:vAlign w:val="center"/>
            <w:hideMark/>
          </w:tcPr>
          <w:p w14:paraId="0E5F08E8" w14:textId="57949EFC" w:rsidR="00731137" w:rsidRPr="00005453" w:rsidRDefault="00731137" w:rsidP="00731137">
            <w:pPr>
              <w:jc w:val="right"/>
              <w:rPr>
                <w:b/>
                <w:bCs/>
                <w:sz w:val="18"/>
                <w:szCs w:val="18"/>
                <w:lang w:eastAsia="tr-TR"/>
              </w:rPr>
            </w:pPr>
            <w:r w:rsidRPr="00005453">
              <w:rPr>
                <w:b/>
                <w:bCs/>
                <w:sz w:val="18"/>
                <w:szCs w:val="18"/>
                <w:lang w:eastAsia="tr-TR"/>
              </w:rPr>
              <w:t>-</w:t>
            </w:r>
          </w:p>
        </w:tc>
        <w:tc>
          <w:tcPr>
            <w:tcW w:w="2126" w:type="dxa"/>
            <w:tcBorders>
              <w:top w:val="nil"/>
              <w:left w:val="nil"/>
              <w:bottom w:val="single" w:sz="8" w:space="0" w:color="auto"/>
              <w:right w:val="nil"/>
            </w:tcBorders>
            <w:shd w:val="clear" w:color="auto" w:fill="auto"/>
            <w:vAlign w:val="center"/>
            <w:hideMark/>
          </w:tcPr>
          <w:p w14:paraId="6EE5709D" w14:textId="618C9752" w:rsidR="00731137" w:rsidRPr="00005453" w:rsidRDefault="00731137" w:rsidP="00731137">
            <w:pPr>
              <w:jc w:val="right"/>
              <w:rPr>
                <w:b/>
                <w:bCs/>
                <w:sz w:val="18"/>
                <w:szCs w:val="18"/>
                <w:lang w:eastAsia="tr-TR"/>
              </w:rPr>
            </w:pPr>
            <w:r w:rsidRPr="00005453">
              <w:rPr>
                <w:b/>
                <w:bCs/>
                <w:sz w:val="18"/>
                <w:szCs w:val="18"/>
                <w:lang w:eastAsia="tr-TR"/>
              </w:rPr>
              <w:t>-</w:t>
            </w:r>
          </w:p>
        </w:tc>
        <w:tc>
          <w:tcPr>
            <w:tcW w:w="1193" w:type="dxa"/>
            <w:tcBorders>
              <w:top w:val="nil"/>
              <w:left w:val="nil"/>
              <w:bottom w:val="single" w:sz="8" w:space="0" w:color="auto"/>
              <w:right w:val="nil"/>
            </w:tcBorders>
            <w:shd w:val="clear" w:color="auto" w:fill="auto"/>
            <w:vAlign w:val="center"/>
            <w:hideMark/>
          </w:tcPr>
          <w:p w14:paraId="731E2A0C" w14:textId="3C44A1EB" w:rsidR="00731137" w:rsidRPr="00005453" w:rsidRDefault="00731137" w:rsidP="00731137">
            <w:pPr>
              <w:jc w:val="right"/>
              <w:rPr>
                <w:b/>
                <w:bCs/>
                <w:sz w:val="18"/>
                <w:szCs w:val="18"/>
                <w:lang w:eastAsia="tr-TR"/>
              </w:rPr>
            </w:pPr>
            <w:r w:rsidRPr="00005453">
              <w:rPr>
                <w:b/>
                <w:bCs/>
                <w:sz w:val="18"/>
                <w:szCs w:val="18"/>
                <w:lang w:eastAsia="tr-TR"/>
              </w:rPr>
              <w:t>-</w:t>
            </w:r>
          </w:p>
        </w:tc>
      </w:tr>
      <w:tr w:rsidR="00731137" w:rsidRPr="00005453" w14:paraId="761BFC4A" w14:textId="77777777" w:rsidTr="00731137">
        <w:trPr>
          <w:divId w:val="571502234"/>
          <w:trHeight w:val="226"/>
        </w:trPr>
        <w:tc>
          <w:tcPr>
            <w:tcW w:w="4709" w:type="dxa"/>
            <w:tcBorders>
              <w:top w:val="nil"/>
              <w:left w:val="nil"/>
              <w:bottom w:val="double" w:sz="6" w:space="0" w:color="auto"/>
              <w:right w:val="nil"/>
            </w:tcBorders>
            <w:shd w:val="clear" w:color="auto" w:fill="auto"/>
            <w:vAlign w:val="center"/>
            <w:hideMark/>
          </w:tcPr>
          <w:p w14:paraId="1E7307F6" w14:textId="77777777" w:rsidR="00731137" w:rsidRPr="00005453" w:rsidRDefault="00731137" w:rsidP="00731137">
            <w:pPr>
              <w:jc w:val="both"/>
              <w:rPr>
                <w:b/>
                <w:bCs/>
                <w:sz w:val="18"/>
                <w:szCs w:val="18"/>
                <w:lang w:eastAsia="tr-TR"/>
              </w:rPr>
            </w:pPr>
            <w:r w:rsidRPr="00005453">
              <w:rPr>
                <w:b/>
                <w:bCs/>
                <w:sz w:val="18"/>
                <w:szCs w:val="18"/>
                <w:lang w:eastAsia="tr-TR"/>
              </w:rPr>
              <w:t>Toplam</w:t>
            </w:r>
          </w:p>
        </w:tc>
        <w:tc>
          <w:tcPr>
            <w:tcW w:w="1103" w:type="dxa"/>
            <w:tcBorders>
              <w:top w:val="nil"/>
              <w:left w:val="nil"/>
              <w:bottom w:val="double" w:sz="6" w:space="0" w:color="auto"/>
              <w:right w:val="nil"/>
            </w:tcBorders>
            <w:shd w:val="clear" w:color="000000" w:fill="FFFFFF"/>
            <w:vAlign w:val="center"/>
            <w:hideMark/>
          </w:tcPr>
          <w:p w14:paraId="3E051DDE" w14:textId="3701DF9F" w:rsidR="00731137" w:rsidRPr="00005453" w:rsidRDefault="00731137" w:rsidP="00731137">
            <w:pPr>
              <w:jc w:val="right"/>
              <w:rPr>
                <w:b/>
                <w:bCs/>
                <w:sz w:val="18"/>
                <w:szCs w:val="18"/>
                <w:lang w:eastAsia="tr-TR"/>
              </w:rPr>
            </w:pPr>
            <w:r w:rsidRPr="00005453">
              <w:rPr>
                <w:b/>
                <w:bCs/>
                <w:sz w:val="18"/>
                <w:szCs w:val="18"/>
                <w:lang w:eastAsia="tr-TR"/>
              </w:rPr>
              <w:t>22,992,304</w:t>
            </w:r>
          </w:p>
        </w:tc>
        <w:tc>
          <w:tcPr>
            <w:tcW w:w="2126" w:type="dxa"/>
            <w:tcBorders>
              <w:top w:val="nil"/>
              <w:left w:val="nil"/>
              <w:bottom w:val="double" w:sz="6" w:space="0" w:color="auto"/>
              <w:right w:val="nil"/>
            </w:tcBorders>
            <w:shd w:val="clear" w:color="auto" w:fill="auto"/>
            <w:vAlign w:val="center"/>
            <w:hideMark/>
          </w:tcPr>
          <w:p w14:paraId="65579BA6" w14:textId="5B59DFF6" w:rsidR="00731137" w:rsidRPr="00005453" w:rsidRDefault="00731137" w:rsidP="00731137">
            <w:pPr>
              <w:jc w:val="right"/>
              <w:rPr>
                <w:b/>
                <w:bCs/>
                <w:sz w:val="18"/>
                <w:szCs w:val="18"/>
                <w:lang w:eastAsia="tr-TR"/>
              </w:rPr>
            </w:pPr>
            <w:r w:rsidRPr="00005453">
              <w:rPr>
                <w:b/>
                <w:bCs/>
                <w:sz w:val="18"/>
                <w:szCs w:val="18"/>
                <w:lang w:eastAsia="tr-TR"/>
              </w:rPr>
              <w:t>27,834,556</w:t>
            </w:r>
          </w:p>
        </w:tc>
        <w:tc>
          <w:tcPr>
            <w:tcW w:w="1193" w:type="dxa"/>
            <w:tcBorders>
              <w:top w:val="nil"/>
              <w:left w:val="nil"/>
              <w:bottom w:val="double" w:sz="6" w:space="0" w:color="auto"/>
              <w:right w:val="nil"/>
            </w:tcBorders>
            <w:shd w:val="clear" w:color="auto" w:fill="auto"/>
            <w:vAlign w:val="center"/>
            <w:hideMark/>
          </w:tcPr>
          <w:p w14:paraId="6CFB0C83" w14:textId="54D9EE63" w:rsidR="00731137" w:rsidRPr="00005453" w:rsidRDefault="00731137" w:rsidP="00731137">
            <w:pPr>
              <w:jc w:val="right"/>
              <w:rPr>
                <w:b/>
                <w:bCs/>
                <w:sz w:val="18"/>
                <w:szCs w:val="18"/>
                <w:lang w:eastAsia="tr-TR"/>
              </w:rPr>
            </w:pPr>
            <w:r w:rsidRPr="00005453">
              <w:rPr>
                <w:b/>
                <w:bCs/>
                <w:sz w:val="18"/>
                <w:szCs w:val="18"/>
                <w:lang w:eastAsia="tr-TR"/>
              </w:rPr>
              <w:t>50,826,860</w:t>
            </w:r>
          </w:p>
        </w:tc>
      </w:tr>
    </w:tbl>
    <w:p w14:paraId="30F02E9F" w14:textId="051529D3" w:rsidR="00346550" w:rsidRPr="00005453" w:rsidRDefault="00346550"/>
    <w:p w14:paraId="1BC3E959" w14:textId="77777777" w:rsidR="00FD5D84" w:rsidRPr="00005453" w:rsidRDefault="00FD5D84" w:rsidP="00F66EF4">
      <w:pPr>
        <w:tabs>
          <w:tab w:val="left" w:pos="709"/>
        </w:tabs>
        <w:autoSpaceDE w:val="0"/>
        <w:autoSpaceDN w:val="0"/>
        <w:adjustRightInd w:val="0"/>
        <w:ind w:hanging="567"/>
        <w:rPr>
          <w:b/>
        </w:rPr>
        <w:sectPr w:rsidR="00FD5D84" w:rsidRPr="00005453" w:rsidSect="00475153">
          <w:headerReference w:type="default" r:id="rId46"/>
          <w:pgSz w:w="11906" w:h="16838"/>
          <w:pgMar w:top="1417" w:right="1133" w:bottom="1438" w:left="1560" w:header="708" w:footer="708" w:gutter="0"/>
          <w:cols w:space="708"/>
          <w:docGrid w:linePitch="360"/>
        </w:sectPr>
      </w:pPr>
    </w:p>
    <w:p w14:paraId="6D811B82" w14:textId="7BCE5F86" w:rsidR="00501C76" w:rsidRPr="00005453" w:rsidRDefault="00501C76" w:rsidP="00F66EF4">
      <w:pPr>
        <w:tabs>
          <w:tab w:val="left" w:pos="709"/>
        </w:tabs>
        <w:autoSpaceDE w:val="0"/>
        <w:autoSpaceDN w:val="0"/>
        <w:adjustRightInd w:val="0"/>
        <w:ind w:hanging="567"/>
        <w:rPr>
          <w:sz w:val="16"/>
          <w:szCs w:val="16"/>
        </w:rPr>
      </w:pPr>
      <w:r w:rsidRPr="00005453">
        <w:rPr>
          <w:b/>
        </w:rPr>
        <w:lastRenderedPageBreak/>
        <w:t>1.5.6</w:t>
      </w:r>
      <w:r w:rsidRPr="00005453">
        <w:t>.</w:t>
      </w:r>
      <w:r w:rsidRPr="00005453">
        <w:tab/>
        <w:t>Kredilerin kullanıcılara göre dağılımı</w:t>
      </w:r>
    </w:p>
    <w:p w14:paraId="423A04CC" w14:textId="1A91EB2A" w:rsidR="005817B9" w:rsidRPr="00005453" w:rsidRDefault="005817B9" w:rsidP="003F569C">
      <w:pPr>
        <w:tabs>
          <w:tab w:val="num" w:pos="3060"/>
        </w:tabs>
        <w:autoSpaceDE w:val="0"/>
        <w:autoSpaceDN w:val="0"/>
        <w:adjustRightInd w:val="0"/>
        <w:ind w:left="709" w:hanging="709"/>
        <w:rPr>
          <w:lang w:val="en-GB" w:eastAsia="en-GB"/>
        </w:rPr>
      </w:pPr>
    </w:p>
    <w:tbl>
      <w:tblPr>
        <w:tblW w:w="9214" w:type="dxa"/>
        <w:tblCellMar>
          <w:left w:w="70" w:type="dxa"/>
          <w:right w:w="70" w:type="dxa"/>
        </w:tblCellMar>
        <w:tblLook w:val="04A0" w:firstRow="1" w:lastRow="0" w:firstColumn="1" w:lastColumn="0" w:noHBand="0" w:noVBand="1"/>
      </w:tblPr>
      <w:tblGrid>
        <w:gridCol w:w="4672"/>
        <w:gridCol w:w="2841"/>
        <w:gridCol w:w="1701"/>
      </w:tblGrid>
      <w:tr w:rsidR="005817B9" w:rsidRPr="00005453" w14:paraId="0A10BC68" w14:textId="77777777" w:rsidTr="00346550">
        <w:trPr>
          <w:divId w:val="925193950"/>
          <w:trHeight w:val="315"/>
        </w:trPr>
        <w:tc>
          <w:tcPr>
            <w:tcW w:w="4672" w:type="dxa"/>
            <w:tcBorders>
              <w:top w:val="double" w:sz="6" w:space="0" w:color="auto"/>
              <w:left w:val="nil"/>
              <w:bottom w:val="single" w:sz="8" w:space="0" w:color="auto"/>
              <w:right w:val="nil"/>
            </w:tcBorders>
            <w:shd w:val="clear" w:color="auto" w:fill="auto"/>
            <w:vAlign w:val="center"/>
            <w:hideMark/>
          </w:tcPr>
          <w:p w14:paraId="1EABB1B8" w14:textId="309E4140" w:rsidR="005817B9" w:rsidRPr="00005453" w:rsidRDefault="005817B9" w:rsidP="005817B9">
            <w:pPr>
              <w:jc w:val="both"/>
              <w:rPr>
                <w:sz w:val="18"/>
                <w:szCs w:val="16"/>
                <w:lang w:eastAsia="tr-TR"/>
              </w:rPr>
            </w:pPr>
            <w:r w:rsidRPr="00005453">
              <w:rPr>
                <w:sz w:val="18"/>
                <w:szCs w:val="16"/>
                <w:lang w:eastAsia="tr-TR"/>
              </w:rPr>
              <w:t> </w:t>
            </w:r>
          </w:p>
        </w:tc>
        <w:tc>
          <w:tcPr>
            <w:tcW w:w="2841" w:type="dxa"/>
            <w:tcBorders>
              <w:top w:val="double" w:sz="6" w:space="0" w:color="auto"/>
              <w:left w:val="nil"/>
              <w:bottom w:val="single" w:sz="8" w:space="0" w:color="auto"/>
              <w:right w:val="nil"/>
            </w:tcBorders>
            <w:shd w:val="clear" w:color="auto" w:fill="auto"/>
            <w:vAlign w:val="center"/>
            <w:hideMark/>
          </w:tcPr>
          <w:p w14:paraId="3BCD9E2F" w14:textId="77777777" w:rsidR="005817B9" w:rsidRPr="00005453" w:rsidRDefault="005817B9" w:rsidP="005817B9">
            <w:pPr>
              <w:jc w:val="right"/>
              <w:rPr>
                <w:b/>
                <w:bCs/>
                <w:sz w:val="18"/>
                <w:szCs w:val="16"/>
                <w:lang w:eastAsia="tr-TR"/>
              </w:rPr>
            </w:pPr>
            <w:r w:rsidRPr="00005453">
              <w:rPr>
                <w:b/>
                <w:bCs/>
                <w:sz w:val="18"/>
                <w:szCs w:val="16"/>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5A3A4FB5" w14:textId="77777777" w:rsidR="005817B9" w:rsidRPr="00005453" w:rsidRDefault="005817B9" w:rsidP="005817B9">
            <w:pPr>
              <w:jc w:val="right"/>
              <w:rPr>
                <w:b/>
                <w:bCs/>
                <w:sz w:val="18"/>
                <w:szCs w:val="16"/>
                <w:lang w:eastAsia="tr-TR"/>
              </w:rPr>
            </w:pPr>
            <w:r w:rsidRPr="00005453">
              <w:rPr>
                <w:b/>
                <w:bCs/>
                <w:sz w:val="18"/>
                <w:szCs w:val="16"/>
                <w:lang w:eastAsia="tr-TR"/>
              </w:rPr>
              <w:t>Önceki Dönem</w:t>
            </w:r>
          </w:p>
        </w:tc>
      </w:tr>
      <w:tr w:rsidR="00F81CD3" w:rsidRPr="00005453" w14:paraId="22F3E1A7" w14:textId="77777777" w:rsidTr="00F81CD3">
        <w:trPr>
          <w:divId w:val="925193950"/>
          <w:trHeight w:val="210"/>
        </w:trPr>
        <w:tc>
          <w:tcPr>
            <w:tcW w:w="4672" w:type="dxa"/>
            <w:tcBorders>
              <w:top w:val="nil"/>
              <w:left w:val="nil"/>
              <w:bottom w:val="nil"/>
              <w:right w:val="nil"/>
            </w:tcBorders>
            <w:shd w:val="clear" w:color="auto" w:fill="auto"/>
            <w:vAlign w:val="center"/>
            <w:hideMark/>
          </w:tcPr>
          <w:p w14:paraId="3F18999A" w14:textId="77777777" w:rsidR="00F81CD3" w:rsidRPr="00005453" w:rsidRDefault="00F81CD3" w:rsidP="00F81CD3">
            <w:pPr>
              <w:jc w:val="both"/>
              <w:rPr>
                <w:sz w:val="18"/>
                <w:szCs w:val="16"/>
                <w:lang w:eastAsia="tr-TR"/>
              </w:rPr>
            </w:pPr>
            <w:r w:rsidRPr="00005453">
              <w:rPr>
                <w:sz w:val="18"/>
                <w:szCs w:val="16"/>
                <w:lang w:eastAsia="tr-TR"/>
              </w:rPr>
              <w:t>Kamu</w:t>
            </w:r>
          </w:p>
        </w:tc>
        <w:tc>
          <w:tcPr>
            <w:tcW w:w="2841" w:type="dxa"/>
            <w:tcBorders>
              <w:top w:val="nil"/>
              <w:left w:val="nil"/>
              <w:bottom w:val="nil"/>
              <w:right w:val="nil"/>
            </w:tcBorders>
            <w:shd w:val="clear" w:color="auto" w:fill="auto"/>
            <w:vAlign w:val="center"/>
            <w:hideMark/>
          </w:tcPr>
          <w:p w14:paraId="2DC98F26" w14:textId="40E3BA2B" w:rsidR="00F81CD3" w:rsidRPr="00005453" w:rsidRDefault="00F81CD3" w:rsidP="00F81CD3">
            <w:pPr>
              <w:jc w:val="right"/>
              <w:rPr>
                <w:sz w:val="18"/>
                <w:szCs w:val="16"/>
                <w:lang w:eastAsia="tr-TR"/>
              </w:rPr>
            </w:pPr>
            <w:r w:rsidRPr="00005453">
              <w:rPr>
                <w:sz w:val="18"/>
                <w:szCs w:val="18"/>
              </w:rPr>
              <w:t>886,721</w:t>
            </w:r>
          </w:p>
        </w:tc>
        <w:tc>
          <w:tcPr>
            <w:tcW w:w="1701" w:type="dxa"/>
            <w:tcBorders>
              <w:top w:val="nil"/>
              <w:left w:val="nil"/>
              <w:bottom w:val="nil"/>
              <w:right w:val="nil"/>
            </w:tcBorders>
            <w:shd w:val="clear" w:color="auto" w:fill="auto"/>
            <w:vAlign w:val="center"/>
            <w:hideMark/>
          </w:tcPr>
          <w:p w14:paraId="2885755B" w14:textId="01DD6BA8" w:rsidR="00F81CD3" w:rsidRPr="00005453" w:rsidRDefault="00F81CD3" w:rsidP="00F81CD3">
            <w:pPr>
              <w:jc w:val="right"/>
              <w:rPr>
                <w:sz w:val="18"/>
                <w:szCs w:val="16"/>
                <w:lang w:eastAsia="tr-TR"/>
              </w:rPr>
            </w:pPr>
            <w:r w:rsidRPr="00005453">
              <w:rPr>
                <w:sz w:val="18"/>
                <w:szCs w:val="16"/>
                <w:lang w:eastAsia="tr-TR"/>
              </w:rPr>
              <w:t>898,560</w:t>
            </w:r>
          </w:p>
        </w:tc>
      </w:tr>
      <w:tr w:rsidR="00F81CD3" w:rsidRPr="00005453" w14:paraId="519102F9" w14:textId="77777777" w:rsidTr="00F81CD3">
        <w:trPr>
          <w:divId w:val="925193950"/>
          <w:trHeight w:val="221"/>
        </w:trPr>
        <w:tc>
          <w:tcPr>
            <w:tcW w:w="4672" w:type="dxa"/>
            <w:tcBorders>
              <w:top w:val="nil"/>
              <w:left w:val="nil"/>
              <w:bottom w:val="single" w:sz="8" w:space="0" w:color="auto"/>
              <w:right w:val="nil"/>
            </w:tcBorders>
            <w:shd w:val="clear" w:color="auto" w:fill="auto"/>
            <w:vAlign w:val="center"/>
            <w:hideMark/>
          </w:tcPr>
          <w:p w14:paraId="012482FD" w14:textId="77777777" w:rsidR="00F81CD3" w:rsidRPr="00005453" w:rsidRDefault="00F81CD3" w:rsidP="00F81CD3">
            <w:pPr>
              <w:jc w:val="both"/>
              <w:rPr>
                <w:sz w:val="18"/>
                <w:szCs w:val="16"/>
                <w:lang w:eastAsia="tr-TR"/>
              </w:rPr>
            </w:pPr>
            <w:r w:rsidRPr="00005453">
              <w:rPr>
                <w:sz w:val="18"/>
                <w:szCs w:val="16"/>
                <w:lang w:eastAsia="tr-TR"/>
              </w:rPr>
              <w:t>Özel</w:t>
            </w:r>
          </w:p>
        </w:tc>
        <w:tc>
          <w:tcPr>
            <w:tcW w:w="2841" w:type="dxa"/>
            <w:tcBorders>
              <w:top w:val="nil"/>
              <w:left w:val="nil"/>
              <w:bottom w:val="single" w:sz="8" w:space="0" w:color="auto"/>
              <w:right w:val="nil"/>
            </w:tcBorders>
            <w:shd w:val="clear" w:color="auto" w:fill="auto"/>
            <w:vAlign w:val="center"/>
            <w:hideMark/>
          </w:tcPr>
          <w:p w14:paraId="70C1C3AD" w14:textId="26C69086" w:rsidR="00F81CD3" w:rsidRPr="00005453" w:rsidRDefault="00F81CD3" w:rsidP="00F81CD3">
            <w:pPr>
              <w:jc w:val="right"/>
              <w:rPr>
                <w:sz w:val="18"/>
                <w:szCs w:val="16"/>
                <w:lang w:eastAsia="tr-TR"/>
              </w:rPr>
            </w:pPr>
            <w:r w:rsidRPr="00005453">
              <w:rPr>
                <w:sz w:val="18"/>
                <w:szCs w:val="18"/>
              </w:rPr>
              <w:t>376,308,162</w:t>
            </w:r>
          </w:p>
        </w:tc>
        <w:tc>
          <w:tcPr>
            <w:tcW w:w="1701" w:type="dxa"/>
            <w:tcBorders>
              <w:top w:val="nil"/>
              <w:left w:val="nil"/>
              <w:bottom w:val="single" w:sz="8" w:space="0" w:color="auto"/>
              <w:right w:val="nil"/>
            </w:tcBorders>
            <w:shd w:val="clear" w:color="auto" w:fill="auto"/>
            <w:vAlign w:val="center"/>
            <w:hideMark/>
          </w:tcPr>
          <w:p w14:paraId="547CC4A6" w14:textId="5D1CD754" w:rsidR="00F81CD3" w:rsidRPr="00005453" w:rsidRDefault="00F81CD3" w:rsidP="00F81CD3">
            <w:pPr>
              <w:jc w:val="right"/>
              <w:rPr>
                <w:sz w:val="18"/>
                <w:szCs w:val="16"/>
                <w:lang w:eastAsia="tr-TR"/>
              </w:rPr>
            </w:pPr>
            <w:r w:rsidRPr="00005453">
              <w:rPr>
                <w:sz w:val="18"/>
                <w:szCs w:val="16"/>
                <w:lang w:eastAsia="tr-TR"/>
              </w:rPr>
              <w:t>293,677,197</w:t>
            </w:r>
          </w:p>
        </w:tc>
      </w:tr>
      <w:tr w:rsidR="00F81CD3" w:rsidRPr="00005453" w14:paraId="09417E7D" w14:textId="77777777" w:rsidTr="00F81CD3">
        <w:trPr>
          <w:divId w:val="925193950"/>
          <w:trHeight w:val="221"/>
        </w:trPr>
        <w:tc>
          <w:tcPr>
            <w:tcW w:w="4672" w:type="dxa"/>
            <w:tcBorders>
              <w:top w:val="nil"/>
              <w:left w:val="nil"/>
              <w:bottom w:val="double" w:sz="6" w:space="0" w:color="auto"/>
              <w:right w:val="nil"/>
            </w:tcBorders>
            <w:shd w:val="clear" w:color="auto" w:fill="auto"/>
            <w:vAlign w:val="center"/>
            <w:hideMark/>
          </w:tcPr>
          <w:p w14:paraId="432BEF29" w14:textId="77777777" w:rsidR="00F81CD3" w:rsidRPr="00005453" w:rsidRDefault="00F81CD3" w:rsidP="00F81CD3">
            <w:pPr>
              <w:jc w:val="both"/>
              <w:rPr>
                <w:b/>
                <w:bCs/>
                <w:sz w:val="18"/>
                <w:szCs w:val="16"/>
                <w:lang w:eastAsia="tr-TR"/>
              </w:rPr>
            </w:pPr>
            <w:r w:rsidRPr="00005453">
              <w:rPr>
                <w:b/>
                <w:bCs/>
                <w:sz w:val="18"/>
                <w:szCs w:val="16"/>
                <w:lang w:eastAsia="tr-TR"/>
              </w:rPr>
              <w:t>Toplam</w:t>
            </w:r>
          </w:p>
        </w:tc>
        <w:tc>
          <w:tcPr>
            <w:tcW w:w="2841" w:type="dxa"/>
            <w:tcBorders>
              <w:top w:val="nil"/>
              <w:left w:val="nil"/>
              <w:bottom w:val="double" w:sz="6" w:space="0" w:color="000000"/>
              <w:right w:val="nil"/>
            </w:tcBorders>
            <w:shd w:val="clear" w:color="auto" w:fill="auto"/>
            <w:vAlign w:val="center"/>
            <w:hideMark/>
          </w:tcPr>
          <w:p w14:paraId="0782D688" w14:textId="526BD3F4" w:rsidR="00F81CD3" w:rsidRPr="00005453" w:rsidRDefault="00F81CD3" w:rsidP="00F81CD3">
            <w:pPr>
              <w:jc w:val="right"/>
              <w:rPr>
                <w:b/>
                <w:bCs/>
                <w:sz w:val="18"/>
                <w:szCs w:val="16"/>
                <w:lang w:eastAsia="tr-TR"/>
              </w:rPr>
            </w:pPr>
            <w:r w:rsidRPr="00005453">
              <w:rPr>
                <w:b/>
                <w:bCs/>
                <w:sz w:val="18"/>
                <w:szCs w:val="18"/>
              </w:rPr>
              <w:t>377,194,883</w:t>
            </w:r>
          </w:p>
        </w:tc>
        <w:tc>
          <w:tcPr>
            <w:tcW w:w="1701" w:type="dxa"/>
            <w:tcBorders>
              <w:top w:val="nil"/>
              <w:left w:val="nil"/>
              <w:bottom w:val="double" w:sz="6" w:space="0" w:color="000000"/>
              <w:right w:val="nil"/>
            </w:tcBorders>
            <w:shd w:val="clear" w:color="auto" w:fill="auto"/>
            <w:vAlign w:val="center"/>
            <w:hideMark/>
          </w:tcPr>
          <w:p w14:paraId="416CE2B1" w14:textId="0A5D87F7" w:rsidR="00F81CD3" w:rsidRPr="00005453" w:rsidRDefault="00F81CD3" w:rsidP="00F81CD3">
            <w:pPr>
              <w:jc w:val="right"/>
              <w:rPr>
                <w:b/>
                <w:bCs/>
                <w:sz w:val="18"/>
                <w:szCs w:val="16"/>
                <w:lang w:eastAsia="tr-TR"/>
              </w:rPr>
            </w:pPr>
            <w:r w:rsidRPr="00005453">
              <w:rPr>
                <w:b/>
                <w:bCs/>
                <w:sz w:val="18"/>
                <w:szCs w:val="18"/>
              </w:rPr>
              <w:t>294,575,757</w:t>
            </w:r>
          </w:p>
        </w:tc>
      </w:tr>
    </w:tbl>
    <w:p w14:paraId="44101EFC" w14:textId="77777777" w:rsidR="00501C76" w:rsidRPr="00005453" w:rsidRDefault="00501C76" w:rsidP="00055FF4">
      <w:pPr>
        <w:autoSpaceDE w:val="0"/>
        <w:autoSpaceDN w:val="0"/>
        <w:adjustRightInd w:val="0"/>
      </w:pPr>
    </w:p>
    <w:p w14:paraId="5CF4DC24" w14:textId="5CF8511E" w:rsidR="00356C26" w:rsidRPr="00005453" w:rsidRDefault="0048609D" w:rsidP="00055FF4">
      <w:pPr>
        <w:autoSpaceDE w:val="0"/>
        <w:autoSpaceDN w:val="0"/>
        <w:adjustRightInd w:val="0"/>
        <w:ind w:hanging="567"/>
      </w:pPr>
      <w:bookmarkStart w:id="75" w:name="_Hlk156827795"/>
      <w:r w:rsidRPr="00005453">
        <w:rPr>
          <w:b/>
        </w:rPr>
        <w:t>1.5.7</w:t>
      </w:r>
      <w:r w:rsidR="00356C26" w:rsidRPr="00005453">
        <w:rPr>
          <w:b/>
        </w:rPr>
        <w:tab/>
      </w:r>
      <w:r w:rsidR="00055FF4" w:rsidRPr="00005453">
        <w:t>Yurt</w:t>
      </w:r>
      <w:r w:rsidR="00714298" w:rsidRPr="00005453">
        <w:t xml:space="preserve"> </w:t>
      </w:r>
      <w:r w:rsidR="00055FF4" w:rsidRPr="00005453">
        <w:t>içi ve yurt</w:t>
      </w:r>
      <w:r w:rsidR="00455FD1" w:rsidRPr="00005453">
        <w:t xml:space="preserve"> </w:t>
      </w:r>
      <w:r w:rsidR="00055FF4" w:rsidRPr="00005453">
        <w:t>dışı kredilerin dağılımı</w:t>
      </w:r>
    </w:p>
    <w:p w14:paraId="4ABE92BE" w14:textId="545571CF" w:rsidR="00CC7300" w:rsidRPr="00005453" w:rsidRDefault="00CC7300" w:rsidP="00134A72">
      <w:pPr>
        <w:autoSpaceDE w:val="0"/>
        <w:autoSpaceDN w:val="0"/>
        <w:adjustRightInd w:val="0"/>
        <w:rPr>
          <w:lang w:eastAsia="en-GB"/>
        </w:rPr>
      </w:pPr>
    </w:p>
    <w:tbl>
      <w:tblPr>
        <w:tblW w:w="9214" w:type="dxa"/>
        <w:tblCellMar>
          <w:left w:w="70" w:type="dxa"/>
          <w:right w:w="70" w:type="dxa"/>
        </w:tblCellMar>
        <w:tblLook w:val="04A0" w:firstRow="1" w:lastRow="0" w:firstColumn="1" w:lastColumn="0" w:noHBand="0" w:noVBand="1"/>
      </w:tblPr>
      <w:tblGrid>
        <w:gridCol w:w="5689"/>
        <w:gridCol w:w="1794"/>
        <w:gridCol w:w="1731"/>
      </w:tblGrid>
      <w:tr w:rsidR="00CC7300" w:rsidRPr="00005453" w14:paraId="780CC3DF" w14:textId="77777777" w:rsidTr="00346550">
        <w:trPr>
          <w:divId w:val="864244945"/>
          <w:trHeight w:val="247"/>
        </w:trPr>
        <w:tc>
          <w:tcPr>
            <w:tcW w:w="5689" w:type="dxa"/>
            <w:tcBorders>
              <w:top w:val="double" w:sz="6" w:space="0" w:color="auto"/>
              <w:left w:val="nil"/>
              <w:bottom w:val="single" w:sz="8" w:space="0" w:color="auto"/>
              <w:right w:val="nil"/>
            </w:tcBorders>
            <w:shd w:val="clear" w:color="auto" w:fill="auto"/>
            <w:vAlign w:val="center"/>
            <w:hideMark/>
          </w:tcPr>
          <w:p w14:paraId="026B5073" w14:textId="76D7AAC1" w:rsidR="00CC7300" w:rsidRPr="00005453" w:rsidRDefault="00CC7300" w:rsidP="00CC7300">
            <w:pPr>
              <w:jc w:val="both"/>
              <w:rPr>
                <w:sz w:val="18"/>
                <w:szCs w:val="18"/>
                <w:lang w:eastAsia="tr-TR"/>
              </w:rPr>
            </w:pPr>
            <w:r w:rsidRPr="00005453">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69FA1069" w14:textId="77777777" w:rsidR="00CC7300" w:rsidRPr="00005453" w:rsidRDefault="00CC7300" w:rsidP="00CC7300">
            <w:pPr>
              <w:jc w:val="right"/>
              <w:rPr>
                <w:b/>
                <w:bCs/>
                <w:sz w:val="18"/>
                <w:szCs w:val="18"/>
                <w:lang w:eastAsia="tr-TR"/>
              </w:rPr>
            </w:pPr>
            <w:r w:rsidRPr="00005453">
              <w:rPr>
                <w:b/>
                <w:bCs/>
                <w:sz w:val="18"/>
                <w:szCs w:val="18"/>
                <w:lang w:eastAsia="tr-TR"/>
              </w:rPr>
              <w:t>Cari Dönem</w:t>
            </w:r>
          </w:p>
        </w:tc>
        <w:tc>
          <w:tcPr>
            <w:tcW w:w="1731" w:type="dxa"/>
            <w:tcBorders>
              <w:top w:val="double" w:sz="6" w:space="0" w:color="auto"/>
              <w:left w:val="nil"/>
              <w:bottom w:val="single" w:sz="8" w:space="0" w:color="auto"/>
              <w:right w:val="nil"/>
            </w:tcBorders>
            <w:shd w:val="clear" w:color="auto" w:fill="auto"/>
            <w:vAlign w:val="center"/>
            <w:hideMark/>
          </w:tcPr>
          <w:p w14:paraId="395474AC" w14:textId="77777777" w:rsidR="00CC7300" w:rsidRPr="00005453" w:rsidRDefault="00CC7300" w:rsidP="00CC7300">
            <w:pPr>
              <w:jc w:val="right"/>
              <w:rPr>
                <w:b/>
                <w:bCs/>
                <w:sz w:val="18"/>
                <w:szCs w:val="18"/>
                <w:lang w:eastAsia="tr-TR"/>
              </w:rPr>
            </w:pPr>
            <w:r w:rsidRPr="00005453">
              <w:rPr>
                <w:b/>
                <w:bCs/>
                <w:sz w:val="18"/>
                <w:szCs w:val="18"/>
                <w:lang w:eastAsia="tr-TR"/>
              </w:rPr>
              <w:t>Önceki Dönem</w:t>
            </w:r>
          </w:p>
        </w:tc>
      </w:tr>
      <w:tr w:rsidR="00F81CD3" w:rsidRPr="00005453" w14:paraId="19D8EF40" w14:textId="77777777" w:rsidTr="00F81CD3">
        <w:trPr>
          <w:divId w:val="864244945"/>
          <w:trHeight w:val="219"/>
        </w:trPr>
        <w:tc>
          <w:tcPr>
            <w:tcW w:w="5689" w:type="dxa"/>
            <w:tcBorders>
              <w:top w:val="nil"/>
              <w:left w:val="nil"/>
              <w:bottom w:val="nil"/>
              <w:right w:val="nil"/>
            </w:tcBorders>
            <w:shd w:val="clear" w:color="auto" w:fill="auto"/>
            <w:vAlign w:val="center"/>
            <w:hideMark/>
          </w:tcPr>
          <w:p w14:paraId="1CC3369A" w14:textId="344E828C" w:rsidR="00F81CD3" w:rsidRPr="00005453" w:rsidRDefault="00F81CD3" w:rsidP="00F81CD3">
            <w:pPr>
              <w:jc w:val="both"/>
              <w:rPr>
                <w:sz w:val="18"/>
                <w:szCs w:val="18"/>
                <w:lang w:eastAsia="tr-TR"/>
              </w:rPr>
            </w:pPr>
            <w:r w:rsidRPr="00005453">
              <w:rPr>
                <w:sz w:val="18"/>
                <w:szCs w:val="18"/>
                <w:lang w:eastAsia="tr-TR"/>
              </w:rPr>
              <w:t>Yurt içi Krediler</w:t>
            </w:r>
          </w:p>
        </w:tc>
        <w:tc>
          <w:tcPr>
            <w:tcW w:w="1794" w:type="dxa"/>
            <w:tcBorders>
              <w:top w:val="nil"/>
              <w:left w:val="nil"/>
              <w:bottom w:val="nil"/>
              <w:right w:val="nil"/>
            </w:tcBorders>
            <w:shd w:val="clear" w:color="auto" w:fill="auto"/>
            <w:vAlign w:val="center"/>
            <w:hideMark/>
          </w:tcPr>
          <w:p w14:paraId="08127DB4" w14:textId="6092BA13" w:rsidR="00F81CD3" w:rsidRPr="00005453" w:rsidRDefault="00F81CD3" w:rsidP="00F81CD3">
            <w:pPr>
              <w:jc w:val="right"/>
              <w:rPr>
                <w:sz w:val="18"/>
                <w:szCs w:val="18"/>
                <w:lang w:eastAsia="tr-TR"/>
              </w:rPr>
            </w:pPr>
            <w:r w:rsidRPr="00005453">
              <w:rPr>
                <w:sz w:val="18"/>
                <w:szCs w:val="18"/>
              </w:rPr>
              <w:t>369,452,118</w:t>
            </w:r>
          </w:p>
        </w:tc>
        <w:tc>
          <w:tcPr>
            <w:tcW w:w="1731" w:type="dxa"/>
            <w:tcBorders>
              <w:top w:val="nil"/>
              <w:left w:val="nil"/>
              <w:bottom w:val="nil"/>
              <w:right w:val="nil"/>
            </w:tcBorders>
            <w:shd w:val="clear" w:color="auto" w:fill="auto"/>
            <w:vAlign w:val="center"/>
            <w:hideMark/>
          </w:tcPr>
          <w:p w14:paraId="486D0801" w14:textId="1C056103" w:rsidR="00F81CD3" w:rsidRPr="00005453" w:rsidRDefault="00F81CD3" w:rsidP="00F81CD3">
            <w:pPr>
              <w:jc w:val="right"/>
              <w:rPr>
                <w:sz w:val="18"/>
                <w:szCs w:val="18"/>
                <w:lang w:eastAsia="tr-TR"/>
              </w:rPr>
            </w:pPr>
            <w:r w:rsidRPr="00005453">
              <w:rPr>
                <w:sz w:val="18"/>
                <w:szCs w:val="18"/>
              </w:rPr>
              <w:t>285,085,242</w:t>
            </w:r>
          </w:p>
        </w:tc>
      </w:tr>
      <w:tr w:rsidR="00F81CD3" w:rsidRPr="00005453" w14:paraId="6F65E1D5" w14:textId="77777777" w:rsidTr="00F81CD3">
        <w:trPr>
          <w:divId w:val="864244945"/>
          <w:trHeight w:val="233"/>
        </w:trPr>
        <w:tc>
          <w:tcPr>
            <w:tcW w:w="5689" w:type="dxa"/>
            <w:tcBorders>
              <w:top w:val="nil"/>
              <w:left w:val="nil"/>
              <w:bottom w:val="nil"/>
              <w:right w:val="nil"/>
            </w:tcBorders>
            <w:shd w:val="clear" w:color="auto" w:fill="auto"/>
            <w:vAlign w:val="center"/>
            <w:hideMark/>
          </w:tcPr>
          <w:p w14:paraId="325F1868" w14:textId="54F7F5CE" w:rsidR="00F81CD3" w:rsidRPr="00005453" w:rsidRDefault="00F81CD3" w:rsidP="00F81CD3">
            <w:pPr>
              <w:jc w:val="both"/>
              <w:rPr>
                <w:sz w:val="18"/>
                <w:szCs w:val="18"/>
                <w:lang w:eastAsia="tr-TR"/>
              </w:rPr>
            </w:pPr>
            <w:r w:rsidRPr="00005453">
              <w:rPr>
                <w:sz w:val="18"/>
                <w:szCs w:val="18"/>
                <w:lang w:eastAsia="tr-TR"/>
              </w:rPr>
              <w:t xml:space="preserve">Yurt dışı Krediler </w:t>
            </w:r>
          </w:p>
        </w:tc>
        <w:tc>
          <w:tcPr>
            <w:tcW w:w="1794" w:type="dxa"/>
            <w:tcBorders>
              <w:top w:val="nil"/>
              <w:left w:val="nil"/>
              <w:bottom w:val="nil"/>
              <w:right w:val="nil"/>
            </w:tcBorders>
            <w:shd w:val="clear" w:color="auto" w:fill="auto"/>
            <w:vAlign w:val="center"/>
            <w:hideMark/>
          </w:tcPr>
          <w:p w14:paraId="0538236E" w14:textId="34BD116F" w:rsidR="00F81CD3" w:rsidRPr="00005453" w:rsidRDefault="00F81CD3" w:rsidP="00F81CD3">
            <w:pPr>
              <w:jc w:val="right"/>
              <w:rPr>
                <w:sz w:val="18"/>
                <w:szCs w:val="18"/>
                <w:lang w:eastAsia="tr-TR"/>
              </w:rPr>
            </w:pPr>
            <w:r w:rsidRPr="00005453">
              <w:rPr>
                <w:sz w:val="18"/>
                <w:szCs w:val="18"/>
              </w:rPr>
              <w:t>7,742,765</w:t>
            </w:r>
          </w:p>
        </w:tc>
        <w:tc>
          <w:tcPr>
            <w:tcW w:w="1731" w:type="dxa"/>
            <w:tcBorders>
              <w:top w:val="nil"/>
              <w:left w:val="nil"/>
              <w:bottom w:val="nil"/>
              <w:right w:val="nil"/>
            </w:tcBorders>
            <w:shd w:val="clear" w:color="auto" w:fill="auto"/>
            <w:vAlign w:val="center"/>
            <w:hideMark/>
          </w:tcPr>
          <w:p w14:paraId="55B3D7AD" w14:textId="3D20E3CB" w:rsidR="00F81CD3" w:rsidRPr="00005453" w:rsidRDefault="00F81CD3" w:rsidP="00F81CD3">
            <w:pPr>
              <w:jc w:val="right"/>
              <w:rPr>
                <w:sz w:val="18"/>
                <w:szCs w:val="18"/>
                <w:lang w:eastAsia="tr-TR"/>
              </w:rPr>
            </w:pPr>
            <w:r w:rsidRPr="00005453">
              <w:rPr>
                <w:sz w:val="18"/>
                <w:szCs w:val="18"/>
              </w:rPr>
              <w:t>9,490,515</w:t>
            </w:r>
          </w:p>
        </w:tc>
      </w:tr>
      <w:tr w:rsidR="00F81CD3" w:rsidRPr="00005453" w14:paraId="2B910E20" w14:textId="77777777" w:rsidTr="00F81CD3">
        <w:trPr>
          <w:divId w:val="864244945"/>
          <w:trHeight w:val="233"/>
        </w:trPr>
        <w:tc>
          <w:tcPr>
            <w:tcW w:w="5689" w:type="dxa"/>
            <w:tcBorders>
              <w:top w:val="single" w:sz="8" w:space="0" w:color="auto"/>
              <w:left w:val="nil"/>
              <w:bottom w:val="double" w:sz="6" w:space="0" w:color="auto"/>
              <w:right w:val="nil"/>
            </w:tcBorders>
            <w:shd w:val="clear" w:color="auto" w:fill="auto"/>
            <w:vAlign w:val="center"/>
            <w:hideMark/>
          </w:tcPr>
          <w:p w14:paraId="3295AE5A" w14:textId="77777777" w:rsidR="00F81CD3" w:rsidRPr="00005453" w:rsidRDefault="00F81CD3" w:rsidP="00F81CD3">
            <w:pPr>
              <w:jc w:val="both"/>
              <w:rPr>
                <w:b/>
                <w:bCs/>
                <w:sz w:val="18"/>
                <w:szCs w:val="18"/>
                <w:lang w:eastAsia="tr-TR"/>
              </w:rPr>
            </w:pPr>
            <w:r w:rsidRPr="00005453">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334E83D8" w14:textId="7EAFAA47" w:rsidR="00F81CD3" w:rsidRPr="00005453" w:rsidRDefault="00F81CD3" w:rsidP="00F81CD3">
            <w:pPr>
              <w:jc w:val="right"/>
              <w:rPr>
                <w:b/>
                <w:bCs/>
                <w:sz w:val="18"/>
                <w:szCs w:val="18"/>
                <w:lang w:eastAsia="tr-TR"/>
              </w:rPr>
            </w:pPr>
            <w:r w:rsidRPr="00005453">
              <w:rPr>
                <w:b/>
                <w:bCs/>
                <w:sz w:val="18"/>
                <w:szCs w:val="18"/>
              </w:rPr>
              <w:t>377,194,883</w:t>
            </w:r>
          </w:p>
        </w:tc>
        <w:tc>
          <w:tcPr>
            <w:tcW w:w="1731" w:type="dxa"/>
            <w:tcBorders>
              <w:top w:val="single" w:sz="8" w:space="0" w:color="auto"/>
              <w:left w:val="nil"/>
              <w:bottom w:val="double" w:sz="6" w:space="0" w:color="auto"/>
              <w:right w:val="nil"/>
            </w:tcBorders>
            <w:shd w:val="clear" w:color="auto" w:fill="auto"/>
            <w:vAlign w:val="center"/>
            <w:hideMark/>
          </w:tcPr>
          <w:p w14:paraId="6624C471" w14:textId="083AE6E9" w:rsidR="00F81CD3" w:rsidRPr="00005453" w:rsidRDefault="00F81CD3" w:rsidP="00F81CD3">
            <w:pPr>
              <w:jc w:val="right"/>
              <w:rPr>
                <w:b/>
                <w:bCs/>
                <w:sz w:val="18"/>
                <w:szCs w:val="18"/>
                <w:lang w:eastAsia="tr-TR"/>
              </w:rPr>
            </w:pPr>
            <w:r w:rsidRPr="00005453">
              <w:rPr>
                <w:b/>
                <w:bCs/>
                <w:sz w:val="18"/>
                <w:szCs w:val="18"/>
              </w:rPr>
              <w:t>294,575,757</w:t>
            </w:r>
          </w:p>
        </w:tc>
      </w:tr>
      <w:bookmarkEnd w:id="75"/>
    </w:tbl>
    <w:p w14:paraId="2050D2B3" w14:textId="77777777" w:rsidR="00A3058E" w:rsidRPr="00005453" w:rsidRDefault="00A3058E" w:rsidP="00014525">
      <w:pPr>
        <w:autoSpaceDE w:val="0"/>
        <w:autoSpaceDN w:val="0"/>
        <w:adjustRightInd w:val="0"/>
        <w:rPr>
          <w:rFonts w:eastAsia="Arial Unicode MS"/>
          <w:sz w:val="16"/>
          <w:szCs w:val="16"/>
        </w:rPr>
      </w:pPr>
    </w:p>
    <w:p w14:paraId="2D8F0BBC" w14:textId="6167F68F" w:rsidR="00D22163" w:rsidRPr="00005453" w:rsidRDefault="004478F0" w:rsidP="00D22163">
      <w:pPr>
        <w:ind w:hanging="567"/>
      </w:pPr>
      <w:r w:rsidRPr="00005453">
        <w:rPr>
          <w:b/>
        </w:rPr>
        <w:t>1.5.</w:t>
      </w:r>
      <w:r w:rsidR="0048609D" w:rsidRPr="00005453">
        <w:rPr>
          <w:b/>
        </w:rPr>
        <w:t>8</w:t>
      </w:r>
      <w:r w:rsidRPr="00005453">
        <w:tab/>
      </w:r>
      <w:r w:rsidR="00E253C8" w:rsidRPr="00005453">
        <w:t xml:space="preserve">Bağlı ortaklık ve iştiraklere verilen </w:t>
      </w:r>
      <w:r w:rsidR="00032F11" w:rsidRPr="00005453">
        <w:t>krediler</w:t>
      </w:r>
    </w:p>
    <w:p w14:paraId="0CF244E7" w14:textId="7BBECA68" w:rsidR="00CC7300" w:rsidRPr="00005453" w:rsidRDefault="00CC7300" w:rsidP="00014525">
      <w:pPr>
        <w:pStyle w:val="BodyTextIndent"/>
        <w:jc w:val="left"/>
        <w:rPr>
          <w:lang w:val="de-DE" w:eastAsia="en-GB"/>
        </w:rPr>
      </w:pPr>
    </w:p>
    <w:tbl>
      <w:tblPr>
        <w:tblW w:w="9245" w:type="dxa"/>
        <w:tblCellMar>
          <w:left w:w="70" w:type="dxa"/>
          <w:right w:w="70" w:type="dxa"/>
        </w:tblCellMar>
        <w:tblLook w:val="04A0" w:firstRow="1" w:lastRow="0" w:firstColumn="1" w:lastColumn="0" w:noHBand="0" w:noVBand="1"/>
      </w:tblPr>
      <w:tblGrid>
        <w:gridCol w:w="5669"/>
        <w:gridCol w:w="1788"/>
        <w:gridCol w:w="1788"/>
      </w:tblGrid>
      <w:tr w:rsidR="00CC7300" w:rsidRPr="00005453" w14:paraId="17E45E04" w14:textId="77777777" w:rsidTr="00CC7300">
        <w:trPr>
          <w:divId w:val="172692292"/>
          <w:trHeight w:val="247"/>
        </w:trPr>
        <w:tc>
          <w:tcPr>
            <w:tcW w:w="5669" w:type="dxa"/>
            <w:tcBorders>
              <w:top w:val="double" w:sz="6" w:space="0" w:color="auto"/>
              <w:left w:val="nil"/>
              <w:bottom w:val="single" w:sz="8" w:space="0" w:color="auto"/>
              <w:right w:val="nil"/>
            </w:tcBorders>
            <w:shd w:val="clear" w:color="auto" w:fill="auto"/>
            <w:vAlign w:val="center"/>
            <w:hideMark/>
          </w:tcPr>
          <w:p w14:paraId="147929C8" w14:textId="31A11D6A" w:rsidR="00CC7300" w:rsidRPr="00005453" w:rsidRDefault="00CC7300" w:rsidP="00CC7300">
            <w:pPr>
              <w:jc w:val="both"/>
              <w:rPr>
                <w:sz w:val="18"/>
                <w:szCs w:val="18"/>
                <w:lang w:eastAsia="tr-TR"/>
              </w:rPr>
            </w:pPr>
            <w:r w:rsidRPr="00005453">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07449F39" w14:textId="77777777" w:rsidR="00CC7300" w:rsidRPr="00005453" w:rsidRDefault="00CC7300" w:rsidP="00CC7300">
            <w:pPr>
              <w:jc w:val="right"/>
              <w:rPr>
                <w:b/>
                <w:bCs/>
                <w:sz w:val="18"/>
                <w:szCs w:val="18"/>
                <w:lang w:eastAsia="tr-TR"/>
              </w:rPr>
            </w:pPr>
            <w:r w:rsidRPr="00005453">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6E9CFEB5" w14:textId="77777777" w:rsidR="00CC7300" w:rsidRPr="00005453" w:rsidRDefault="00CC7300" w:rsidP="00CC7300">
            <w:pPr>
              <w:jc w:val="right"/>
              <w:rPr>
                <w:b/>
                <w:bCs/>
                <w:sz w:val="18"/>
                <w:szCs w:val="18"/>
                <w:lang w:eastAsia="tr-TR"/>
              </w:rPr>
            </w:pPr>
            <w:r w:rsidRPr="00005453">
              <w:rPr>
                <w:b/>
                <w:bCs/>
                <w:sz w:val="18"/>
                <w:szCs w:val="18"/>
                <w:lang w:eastAsia="tr-TR"/>
              </w:rPr>
              <w:t>Önceki Dönem</w:t>
            </w:r>
          </w:p>
        </w:tc>
      </w:tr>
      <w:tr w:rsidR="00F81CD3" w:rsidRPr="00005453" w14:paraId="7CA441CE" w14:textId="77777777" w:rsidTr="00F81CD3">
        <w:trPr>
          <w:divId w:val="172692292"/>
          <w:trHeight w:val="219"/>
        </w:trPr>
        <w:tc>
          <w:tcPr>
            <w:tcW w:w="5669" w:type="dxa"/>
            <w:tcBorders>
              <w:top w:val="nil"/>
              <w:left w:val="nil"/>
              <w:bottom w:val="nil"/>
              <w:right w:val="nil"/>
            </w:tcBorders>
            <w:shd w:val="clear" w:color="auto" w:fill="auto"/>
            <w:vAlign w:val="center"/>
            <w:hideMark/>
          </w:tcPr>
          <w:p w14:paraId="2EF78776" w14:textId="77777777" w:rsidR="00F81CD3" w:rsidRPr="00005453" w:rsidRDefault="00F81CD3" w:rsidP="00F81CD3">
            <w:pPr>
              <w:jc w:val="both"/>
              <w:rPr>
                <w:sz w:val="18"/>
                <w:szCs w:val="18"/>
                <w:lang w:eastAsia="tr-TR"/>
              </w:rPr>
            </w:pPr>
            <w:r w:rsidRPr="00005453">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691482B2" w14:textId="5C71033E" w:rsidR="00F81CD3" w:rsidRPr="00005453" w:rsidRDefault="00F81CD3" w:rsidP="00F81CD3">
            <w:pPr>
              <w:jc w:val="right"/>
              <w:rPr>
                <w:sz w:val="18"/>
                <w:szCs w:val="18"/>
                <w:lang w:eastAsia="tr-TR"/>
              </w:rPr>
            </w:pPr>
            <w:r w:rsidRPr="00005453">
              <w:rPr>
                <w:sz w:val="18"/>
                <w:szCs w:val="18"/>
              </w:rPr>
              <w:t>111,135</w:t>
            </w:r>
          </w:p>
        </w:tc>
        <w:tc>
          <w:tcPr>
            <w:tcW w:w="1788" w:type="dxa"/>
            <w:tcBorders>
              <w:top w:val="nil"/>
              <w:left w:val="nil"/>
              <w:bottom w:val="nil"/>
              <w:right w:val="nil"/>
            </w:tcBorders>
            <w:shd w:val="clear" w:color="auto" w:fill="auto"/>
            <w:vAlign w:val="center"/>
            <w:hideMark/>
          </w:tcPr>
          <w:p w14:paraId="52E6D5C8" w14:textId="2D4CC75E" w:rsidR="00F81CD3" w:rsidRPr="00005453" w:rsidRDefault="00F81CD3" w:rsidP="00F81CD3">
            <w:pPr>
              <w:jc w:val="right"/>
              <w:rPr>
                <w:sz w:val="18"/>
                <w:szCs w:val="18"/>
                <w:lang w:eastAsia="tr-TR"/>
              </w:rPr>
            </w:pPr>
            <w:r w:rsidRPr="00005453">
              <w:rPr>
                <w:sz w:val="18"/>
                <w:szCs w:val="18"/>
                <w:lang w:eastAsia="tr-TR"/>
              </w:rPr>
              <w:t>736,761</w:t>
            </w:r>
          </w:p>
        </w:tc>
      </w:tr>
      <w:tr w:rsidR="00F81CD3" w:rsidRPr="00005453" w14:paraId="6AC18BBF" w14:textId="77777777" w:rsidTr="00F81CD3">
        <w:trPr>
          <w:divId w:val="172692292"/>
          <w:trHeight w:val="233"/>
        </w:trPr>
        <w:tc>
          <w:tcPr>
            <w:tcW w:w="5669" w:type="dxa"/>
            <w:tcBorders>
              <w:top w:val="nil"/>
              <w:left w:val="nil"/>
              <w:bottom w:val="nil"/>
              <w:right w:val="nil"/>
            </w:tcBorders>
            <w:shd w:val="clear" w:color="auto" w:fill="auto"/>
            <w:vAlign w:val="center"/>
            <w:hideMark/>
          </w:tcPr>
          <w:p w14:paraId="447D681B" w14:textId="77777777" w:rsidR="00F81CD3" w:rsidRPr="00005453" w:rsidRDefault="00F81CD3" w:rsidP="00F81CD3">
            <w:pPr>
              <w:jc w:val="both"/>
              <w:rPr>
                <w:sz w:val="18"/>
                <w:szCs w:val="18"/>
                <w:lang w:eastAsia="tr-TR"/>
              </w:rPr>
            </w:pPr>
            <w:r w:rsidRPr="00005453">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1A0FBFC8" w14:textId="03877EAE" w:rsidR="00F81CD3" w:rsidRPr="00005453" w:rsidRDefault="00F81CD3" w:rsidP="00F81CD3">
            <w:pPr>
              <w:jc w:val="right"/>
              <w:rPr>
                <w:sz w:val="18"/>
                <w:szCs w:val="18"/>
                <w:lang w:eastAsia="tr-TR"/>
              </w:rPr>
            </w:pPr>
            <w:r w:rsidRPr="00005453">
              <w:rPr>
                <w:sz w:val="18"/>
                <w:szCs w:val="18"/>
              </w:rPr>
              <w:t>-</w:t>
            </w:r>
          </w:p>
        </w:tc>
        <w:tc>
          <w:tcPr>
            <w:tcW w:w="1788" w:type="dxa"/>
            <w:tcBorders>
              <w:top w:val="nil"/>
              <w:left w:val="nil"/>
              <w:bottom w:val="nil"/>
              <w:right w:val="nil"/>
            </w:tcBorders>
            <w:shd w:val="clear" w:color="auto" w:fill="auto"/>
            <w:vAlign w:val="center"/>
            <w:hideMark/>
          </w:tcPr>
          <w:p w14:paraId="693D2BAD" w14:textId="2AEE2D00" w:rsidR="00F81CD3" w:rsidRPr="00005453" w:rsidRDefault="00F81CD3" w:rsidP="00F81CD3">
            <w:pPr>
              <w:jc w:val="right"/>
              <w:rPr>
                <w:sz w:val="18"/>
                <w:szCs w:val="18"/>
                <w:lang w:eastAsia="tr-TR"/>
              </w:rPr>
            </w:pPr>
            <w:r w:rsidRPr="00005453">
              <w:rPr>
                <w:sz w:val="18"/>
                <w:szCs w:val="18"/>
                <w:lang w:eastAsia="tr-TR"/>
              </w:rPr>
              <w:t>-</w:t>
            </w:r>
          </w:p>
        </w:tc>
      </w:tr>
      <w:tr w:rsidR="00F81CD3" w:rsidRPr="00005453" w14:paraId="4D4D82D6" w14:textId="77777777" w:rsidTr="00F81CD3">
        <w:trPr>
          <w:divId w:val="172692292"/>
          <w:trHeight w:val="233"/>
        </w:trPr>
        <w:tc>
          <w:tcPr>
            <w:tcW w:w="5669" w:type="dxa"/>
            <w:tcBorders>
              <w:top w:val="single" w:sz="8" w:space="0" w:color="auto"/>
              <w:left w:val="nil"/>
              <w:bottom w:val="double" w:sz="6" w:space="0" w:color="auto"/>
              <w:right w:val="nil"/>
            </w:tcBorders>
            <w:shd w:val="clear" w:color="auto" w:fill="auto"/>
            <w:vAlign w:val="center"/>
            <w:hideMark/>
          </w:tcPr>
          <w:p w14:paraId="1E1B20EA" w14:textId="77777777" w:rsidR="00F81CD3" w:rsidRPr="00005453" w:rsidRDefault="00F81CD3" w:rsidP="00F81CD3">
            <w:pPr>
              <w:jc w:val="both"/>
              <w:rPr>
                <w:b/>
                <w:bCs/>
                <w:sz w:val="18"/>
                <w:szCs w:val="18"/>
                <w:lang w:eastAsia="tr-TR"/>
              </w:rPr>
            </w:pPr>
            <w:r w:rsidRPr="00005453">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11CA7485" w14:textId="52BFE2F1" w:rsidR="00F81CD3" w:rsidRPr="00005453" w:rsidRDefault="00F81CD3" w:rsidP="00F81CD3">
            <w:pPr>
              <w:jc w:val="right"/>
              <w:rPr>
                <w:b/>
                <w:bCs/>
                <w:sz w:val="18"/>
                <w:szCs w:val="18"/>
                <w:lang w:eastAsia="tr-TR"/>
              </w:rPr>
            </w:pPr>
            <w:r w:rsidRPr="00005453">
              <w:rPr>
                <w:b/>
                <w:bCs/>
                <w:sz w:val="18"/>
                <w:szCs w:val="18"/>
              </w:rPr>
              <w:t>111,135</w:t>
            </w:r>
          </w:p>
        </w:tc>
        <w:tc>
          <w:tcPr>
            <w:tcW w:w="1788" w:type="dxa"/>
            <w:tcBorders>
              <w:top w:val="single" w:sz="8" w:space="0" w:color="auto"/>
              <w:left w:val="nil"/>
              <w:bottom w:val="double" w:sz="6" w:space="0" w:color="auto"/>
              <w:right w:val="nil"/>
            </w:tcBorders>
            <w:shd w:val="clear" w:color="auto" w:fill="auto"/>
            <w:vAlign w:val="center"/>
            <w:hideMark/>
          </w:tcPr>
          <w:p w14:paraId="1EE4DF0C" w14:textId="75C9B977" w:rsidR="00F81CD3" w:rsidRPr="00005453" w:rsidRDefault="00F81CD3" w:rsidP="00F81CD3">
            <w:pPr>
              <w:jc w:val="right"/>
              <w:rPr>
                <w:b/>
                <w:bCs/>
                <w:sz w:val="18"/>
                <w:szCs w:val="18"/>
                <w:lang w:eastAsia="tr-TR"/>
              </w:rPr>
            </w:pPr>
            <w:r w:rsidRPr="00005453">
              <w:rPr>
                <w:b/>
                <w:bCs/>
                <w:sz w:val="18"/>
                <w:szCs w:val="18"/>
                <w:lang w:eastAsia="tr-TR"/>
              </w:rPr>
              <w:t>736,761</w:t>
            </w:r>
          </w:p>
        </w:tc>
      </w:tr>
    </w:tbl>
    <w:p w14:paraId="1508F968" w14:textId="6D1497A1" w:rsidR="00AC28B2" w:rsidRPr="00005453" w:rsidRDefault="00AC28B2" w:rsidP="00014525">
      <w:pPr>
        <w:pStyle w:val="BodyTextIndent"/>
        <w:jc w:val="left"/>
        <w:rPr>
          <w:sz w:val="16"/>
          <w:szCs w:val="16"/>
        </w:rPr>
      </w:pPr>
    </w:p>
    <w:p w14:paraId="13446DF1" w14:textId="60407087" w:rsidR="00B917D9" w:rsidRPr="00005453" w:rsidRDefault="00E07A34" w:rsidP="00E07A34">
      <w:pPr>
        <w:tabs>
          <w:tab w:val="num" w:pos="3060"/>
        </w:tabs>
        <w:autoSpaceDE w:val="0"/>
        <w:autoSpaceDN w:val="0"/>
        <w:adjustRightInd w:val="0"/>
        <w:ind w:hanging="567"/>
      </w:pPr>
      <w:r w:rsidRPr="00005453">
        <w:rPr>
          <w:b/>
        </w:rPr>
        <w:t>1</w:t>
      </w:r>
      <w:r w:rsidR="00E253C8" w:rsidRPr="00005453">
        <w:rPr>
          <w:b/>
        </w:rPr>
        <w:t>.</w:t>
      </w:r>
      <w:r w:rsidRPr="00005453">
        <w:rPr>
          <w:b/>
        </w:rPr>
        <w:t>5.</w:t>
      </w:r>
      <w:r w:rsidR="0048609D" w:rsidRPr="00005453">
        <w:rPr>
          <w:b/>
        </w:rPr>
        <w:t>9</w:t>
      </w:r>
      <w:r w:rsidR="00E253C8" w:rsidRPr="00005453">
        <w:tab/>
        <w:t xml:space="preserve">Kredilere ilişkin olarak ayrılan özel </w:t>
      </w:r>
      <w:r w:rsidR="00032F11" w:rsidRPr="00005453">
        <w:t>karşılıklar</w:t>
      </w:r>
      <w:r w:rsidR="00B917D9" w:rsidRPr="00005453">
        <w:t xml:space="preserve"> veya temerrüt (</w:t>
      </w:r>
      <w:r w:rsidR="00527651" w:rsidRPr="00005453">
        <w:t>ü</w:t>
      </w:r>
      <w:r w:rsidR="00B917D9" w:rsidRPr="00005453">
        <w:t xml:space="preserve">çüncü </w:t>
      </w:r>
      <w:r w:rsidR="00527651" w:rsidRPr="00005453">
        <w:t>a</w:t>
      </w:r>
      <w:r w:rsidR="00B917D9" w:rsidRPr="00005453">
        <w:t>şama) karşılıkları</w:t>
      </w:r>
    </w:p>
    <w:p w14:paraId="532FF3B3" w14:textId="3744FFC2" w:rsidR="00CC7300" w:rsidRPr="00005453" w:rsidRDefault="00CC7300" w:rsidP="00134A72">
      <w:pPr>
        <w:pStyle w:val="BodyTextIndent"/>
        <w:jc w:val="left"/>
        <w:rPr>
          <w:lang w:eastAsia="en-GB"/>
        </w:rPr>
      </w:pPr>
    </w:p>
    <w:tbl>
      <w:tblPr>
        <w:tblW w:w="9214" w:type="dxa"/>
        <w:tblCellMar>
          <w:left w:w="70" w:type="dxa"/>
          <w:right w:w="70" w:type="dxa"/>
        </w:tblCellMar>
        <w:tblLook w:val="04A0" w:firstRow="1" w:lastRow="0" w:firstColumn="1" w:lastColumn="0" w:noHBand="0" w:noVBand="1"/>
      </w:tblPr>
      <w:tblGrid>
        <w:gridCol w:w="5650"/>
        <w:gridCol w:w="1782"/>
        <w:gridCol w:w="1782"/>
      </w:tblGrid>
      <w:tr w:rsidR="00CC7300" w:rsidRPr="00005453" w14:paraId="00DCA116" w14:textId="77777777" w:rsidTr="00CC7300">
        <w:trPr>
          <w:divId w:val="887453280"/>
          <w:trHeight w:val="256"/>
        </w:trPr>
        <w:tc>
          <w:tcPr>
            <w:tcW w:w="5650" w:type="dxa"/>
            <w:tcBorders>
              <w:top w:val="double" w:sz="6" w:space="0" w:color="auto"/>
              <w:left w:val="nil"/>
              <w:bottom w:val="single" w:sz="8" w:space="0" w:color="auto"/>
              <w:right w:val="nil"/>
            </w:tcBorders>
            <w:shd w:val="clear" w:color="auto" w:fill="auto"/>
            <w:vAlign w:val="center"/>
            <w:hideMark/>
          </w:tcPr>
          <w:p w14:paraId="72792EA4" w14:textId="0036D903" w:rsidR="00CC7300" w:rsidRPr="00005453" w:rsidRDefault="00CC7300" w:rsidP="00CC7300">
            <w:pPr>
              <w:jc w:val="both"/>
              <w:rPr>
                <w:b/>
                <w:bCs/>
                <w:sz w:val="18"/>
                <w:szCs w:val="18"/>
                <w:lang w:eastAsia="tr-TR"/>
              </w:rPr>
            </w:pPr>
            <w:r w:rsidRPr="00005453">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2DFF3A7F" w14:textId="77777777" w:rsidR="00CC7300" w:rsidRPr="00005453" w:rsidRDefault="00CC7300" w:rsidP="00CC7300">
            <w:pPr>
              <w:jc w:val="right"/>
              <w:rPr>
                <w:b/>
                <w:bCs/>
                <w:sz w:val="18"/>
                <w:szCs w:val="18"/>
                <w:lang w:eastAsia="tr-TR"/>
              </w:rPr>
            </w:pPr>
            <w:r w:rsidRPr="00005453">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3373E9C9" w14:textId="77777777" w:rsidR="00CC7300" w:rsidRPr="00005453" w:rsidRDefault="00CC7300" w:rsidP="00CC7300">
            <w:pPr>
              <w:jc w:val="right"/>
              <w:rPr>
                <w:b/>
                <w:bCs/>
                <w:sz w:val="18"/>
                <w:szCs w:val="18"/>
                <w:lang w:eastAsia="tr-TR"/>
              </w:rPr>
            </w:pPr>
            <w:r w:rsidRPr="00005453">
              <w:rPr>
                <w:b/>
                <w:bCs/>
                <w:sz w:val="18"/>
                <w:szCs w:val="18"/>
                <w:lang w:eastAsia="tr-TR"/>
              </w:rPr>
              <w:t>Önceki Dönem</w:t>
            </w:r>
          </w:p>
        </w:tc>
      </w:tr>
      <w:tr w:rsidR="00F81CD3" w:rsidRPr="00005453" w14:paraId="00321C70" w14:textId="77777777" w:rsidTr="00F81CD3">
        <w:trPr>
          <w:divId w:val="887453280"/>
          <w:trHeight w:val="227"/>
        </w:trPr>
        <w:tc>
          <w:tcPr>
            <w:tcW w:w="5650" w:type="dxa"/>
            <w:tcBorders>
              <w:top w:val="nil"/>
              <w:left w:val="nil"/>
              <w:bottom w:val="nil"/>
              <w:right w:val="nil"/>
            </w:tcBorders>
            <w:shd w:val="clear" w:color="auto" w:fill="auto"/>
            <w:vAlign w:val="center"/>
            <w:hideMark/>
          </w:tcPr>
          <w:p w14:paraId="2B1C6D09" w14:textId="77777777" w:rsidR="00F81CD3" w:rsidRPr="00005453" w:rsidRDefault="00F81CD3" w:rsidP="00F81CD3">
            <w:pPr>
              <w:jc w:val="both"/>
              <w:rPr>
                <w:sz w:val="18"/>
                <w:szCs w:val="18"/>
                <w:lang w:eastAsia="tr-TR"/>
              </w:rPr>
            </w:pPr>
            <w:r w:rsidRPr="00005453">
              <w:rPr>
                <w:sz w:val="18"/>
                <w:szCs w:val="18"/>
                <w:lang w:eastAsia="tr-TR"/>
              </w:rPr>
              <w:t xml:space="preserve">Tahsil </w:t>
            </w:r>
            <w:proofErr w:type="gramStart"/>
            <w:r w:rsidRPr="00005453">
              <w:rPr>
                <w:sz w:val="18"/>
                <w:szCs w:val="18"/>
                <w:lang w:eastAsia="tr-TR"/>
              </w:rPr>
              <w:t>İmkanı</w:t>
            </w:r>
            <w:proofErr w:type="gramEnd"/>
            <w:r w:rsidRPr="00005453">
              <w:rPr>
                <w:sz w:val="18"/>
                <w:szCs w:val="18"/>
                <w:lang w:eastAsia="tr-TR"/>
              </w:rPr>
              <w:t xml:space="preserve"> Sınırlı Krediler İçin Ayrılanlar</w:t>
            </w:r>
          </w:p>
        </w:tc>
        <w:tc>
          <w:tcPr>
            <w:tcW w:w="1782" w:type="dxa"/>
            <w:tcBorders>
              <w:top w:val="nil"/>
              <w:left w:val="nil"/>
              <w:bottom w:val="nil"/>
              <w:right w:val="nil"/>
            </w:tcBorders>
            <w:shd w:val="clear" w:color="auto" w:fill="auto"/>
            <w:vAlign w:val="center"/>
            <w:hideMark/>
          </w:tcPr>
          <w:p w14:paraId="7C8FB3E8" w14:textId="66768E02" w:rsidR="00F81CD3" w:rsidRPr="00005453" w:rsidRDefault="00F81CD3" w:rsidP="00F81CD3">
            <w:pPr>
              <w:jc w:val="right"/>
              <w:rPr>
                <w:sz w:val="18"/>
                <w:szCs w:val="18"/>
                <w:lang w:eastAsia="tr-TR"/>
              </w:rPr>
            </w:pPr>
            <w:r w:rsidRPr="00005453">
              <w:rPr>
                <w:sz w:val="18"/>
                <w:szCs w:val="18"/>
              </w:rPr>
              <w:t>1,226,003</w:t>
            </w:r>
          </w:p>
        </w:tc>
        <w:tc>
          <w:tcPr>
            <w:tcW w:w="1782" w:type="dxa"/>
            <w:tcBorders>
              <w:top w:val="nil"/>
              <w:left w:val="nil"/>
              <w:bottom w:val="nil"/>
              <w:right w:val="nil"/>
            </w:tcBorders>
            <w:shd w:val="clear" w:color="auto" w:fill="auto"/>
            <w:vAlign w:val="center"/>
            <w:hideMark/>
          </w:tcPr>
          <w:p w14:paraId="2FF5B51E" w14:textId="1617E11C" w:rsidR="00F81CD3" w:rsidRPr="00005453" w:rsidRDefault="00F81CD3" w:rsidP="00F81CD3">
            <w:pPr>
              <w:jc w:val="right"/>
              <w:rPr>
                <w:sz w:val="18"/>
                <w:szCs w:val="18"/>
                <w:lang w:eastAsia="tr-TR"/>
              </w:rPr>
            </w:pPr>
            <w:r w:rsidRPr="00005453">
              <w:rPr>
                <w:sz w:val="18"/>
                <w:szCs w:val="18"/>
              </w:rPr>
              <w:t>171,423</w:t>
            </w:r>
          </w:p>
        </w:tc>
      </w:tr>
      <w:tr w:rsidR="00F81CD3" w:rsidRPr="00005453" w14:paraId="307C8D74" w14:textId="77777777" w:rsidTr="00F81CD3">
        <w:trPr>
          <w:divId w:val="887453280"/>
          <w:trHeight w:val="227"/>
        </w:trPr>
        <w:tc>
          <w:tcPr>
            <w:tcW w:w="5650" w:type="dxa"/>
            <w:tcBorders>
              <w:top w:val="nil"/>
              <w:left w:val="nil"/>
              <w:bottom w:val="nil"/>
              <w:right w:val="nil"/>
            </w:tcBorders>
            <w:shd w:val="clear" w:color="auto" w:fill="auto"/>
            <w:vAlign w:val="center"/>
            <w:hideMark/>
          </w:tcPr>
          <w:p w14:paraId="1D79B4AE" w14:textId="77777777" w:rsidR="00F81CD3" w:rsidRPr="00005453" w:rsidRDefault="00F81CD3" w:rsidP="00F81CD3">
            <w:pPr>
              <w:jc w:val="both"/>
              <w:rPr>
                <w:sz w:val="18"/>
                <w:szCs w:val="18"/>
                <w:lang w:eastAsia="tr-TR"/>
              </w:rPr>
            </w:pPr>
            <w:r w:rsidRPr="00005453">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61152F55" w14:textId="5152F780" w:rsidR="00F81CD3" w:rsidRPr="00005453" w:rsidRDefault="00F81CD3" w:rsidP="00F81CD3">
            <w:pPr>
              <w:jc w:val="right"/>
              <w:rPr>
                <w:sz w:val="18"/>
                <w:szCs w:val="18"/>
                <w:lang w:eastAsia="tr-TR"/>
              </w:rPr>
            </w:pPr>
            <w:r w:rsidRPr="00005453">
              <w:rPr>
                <w:sz w:val="18"/>
                <w:szCs w:val="18"/>
              </w:rPr>
              <w:t>1,387,051</w:t>
            </w:r>
          </w:p>
        </w:tc>
        <w:tc>
          <w:tcPr>
            <w:tcW w:w="1782" w:type="dxa"/>
            <w:tcBorders>
              <w:top w:val="nil"/>
              <w:left w:val="nil"/>
              <w:bottom w:val="nil"/>
              <w:right w:val="nil"/>
            </w:tcBorders>
            <w:shd w:val="clear" w:color="auto" w:fill="auto"/>
            <w:vAlign w:val="center"/>
            <w:hideMark/>
          </w:tcPr>
          <w:p w14:paraId="04C5B9FB" w14:textId="4CA4BAA5" w:rsidR="00F81CD3" w:rsidRPr="00005453" w:rsidRDefault="00F81CD3" w:rsidP="00F81CD3">
            <w:pPr>
              <w:jc w:val="right"/>
              <w:rPr>
                <w:sz w:val="18"/>
                <w:szCs w:val="18"/>
                <w:lang w:eastAsia="tr-TR"/>
              </w:rPr>
            </w:pPr>
            <w:r w:rsidRPr="00005453">
              <w:rPr>
                <w:sz w:val="18"/>
                <w:szCs w:val="18"/>
              </w:rPr>
              <w:t>373,091</w:t>
            </w:r>
          </w:p>
        </w:tc>
      </w:tr>
      <w:tr w:rsidR="00F81CD3" w:rsidRPr="00005453" w14:paraId="62BBEB0B" w14:textId="77777777" w:rsidTr="00F81CD3">
        <w:trPr>
          <w:divId w:val="887453280"/>
          <w:trHeight w:val="241"/>
        </w:trPr>
        <w:tc>
          <w:tcPr>
            <w:tcW w:w="5650" w:type="dxa"/>
            <w:tcBorders>
              <w:top w:val="nil"/>
              <w:left w:val="nil"/>
              <w:bottom w:val="nil"/>
              <w:right w:val="nil"/>
            </w:tcBorders>
            <w:shd w:val="clear" w:color="auto" w:fill="auto"/>
            <w:vAlign w:val="center"/>
            <w:hideMark/>
          </w:tcPr>
          <w:p w14:paraId="354B689E" w14:textId="77777777" w:rsidR="00F81CD3" w:rsidRPr="00005453" w:rsidRDefault="00F81CD3" w:rsidP="00F81CD3">
            <w:pPr>
              <w:jc w:val="both"/>
              <w:rPr>
                <w:sz w:val="18"/>
                <w:szCs w:val="18"/>
                <w:lang w:eastAsia="tr-TR"/>
              </w:rPr>
            </w:pPr>
            <w:r w:rsidRPr="00005453">
              <w:rPr>
                <w:sz w:val="18"/>
                <w:szCs w:val="18"/>
                <w:lang w:eastAsia="tr-TR"/>
              </w:rPr>
              <w:t>Zarar Niteliğindeki Krediler İçin Ayrılanlar</w:t>
            </w:r>
          </w:p>
        </w:tc>
        <w:tc>
          <w:tcPr>
            <w:tcW w:w="1782" w:type="dxa"/>
            <w:tcBorders>
              <w:top w:val="nil"/>
              <w:left w:val="nil"/>
              <w:bottom w:val="nil"/>
              <w:right w:val="nil"/>
            </w:tcBorders>
            <w:shd w:val="clear" w:color="auto" w:fill="auto"/>
            <w:vAlign w:val="center"/>
            <w:hideMark/>
          </w:tcPr>
          <w:p w14:paraId="28F94832" w14:textId="18B6C5F0" w:rsidR="00F81CD3" w:rsidRPr="00005453" w:rsidRDefault="00F81CD3" w:rsidP="00F81CD3">
            <w:pPr>
              <w:jc w:val="right"/>
              <w:rPr>
                <w:sz w:val="18"/>
                <w:szCs w:val="18"/>
                <w:lang w:eastAsia="tr-TR"/>
              </w:rPr>
            </w:pPr>
            <w:r w:rsidRPr="00005453">
              <w:rPr>
                <w:sz w:val="18"/>
                <w:szCs w:val="18"/>
              </w:rPr>
              <w:t>3,366,684</w:t>
            </w:r>
          </w:p>
        </w:tc>
        <w:tc>
          <w:tcPr>
            <w:tcW w:w="1782" w:type="dxa"/>
            <w:tcBorders>
              <w:top w:val="nil"/>
              <w:left w:val="nil"/>
              <w:bottom w:val="nil"/>
              <w:right w:val="nil"/>
            </w:tcBorders>
            <w:shd w:val="clear" w:color="auto" w:fill="auto"/>
            <w:vAlign w:val="center"/>
            <w:hideMark/>
          </w:tcPr>
          <w:p w14:paraId="7E5374FC" w14:textId="1FB51404" w:rsidR="00F81CD3" w:rsidRPr="00005453" w:rsidRDefault="00F81CD3" w:rsidP="00F81CD3">
            <w:pPr>
              <w:jc w:val="right"/>
              <w:rPr>
                <w:sz w:val="18"/>
                <w:szCs w:val="18"/>
                <w:lang w:eastAsia="tr-TR"/>
              </w:rPr>
            </w:pPr>
            <w:r w:rsidRPr="00005453">
              <w:rPr>
                <w:sz w:val="18"/>
                <w:szCs w:val="18"/>
              </w:rPr>
              <w:t>2,898,911</w:t>
            </w:r>
          </w:p>
        </w:tc>
      </w:tr>
      <w:tr w:rsidR="00731137" w:rsidRPr="00005453" w14:paraId="54EC16E3" w14:textId="77777777" w:rsidTr="00B45314">
        <w:trPr>
          <w:divId w:val="887453280"/>
          <w:trHeight w:val="241"/>
        </w:trPr>
        <w:tc>
          <w:tcPr>
            <w:tcW w:w="5650" w:type="dxa"/>
            <w:tcBorders>
              <w:top w:val="single" w:sz="8" w:space="0" w:color="auto"/>
              <w:left w:val="nil"/>
              <w:bottom w:val="double" w:sz="6" w:space="0" w:color="auto"/>
              <w:right w:val="nil"/>
            </w:tcBorders>
            <w:shd w:val="clear" w:color="auto" w:fill="auto"/>
            <w:vAlign w:val="center"/>
            <w:hideMark/>
          </w:tcPr>
          <w:p w14:paraId="5E34FCCE" w14:textId="77777777" w:rsidR="00731137" w:rsidRPr="00005453" w:rsidRDefault="00731137" w:rsidP="00731137">
            <w:pPr>
              <w:jc w:val="both"/>
              <w:rPr>
                <w:b/>
                <w:bCs/>
                <w:sz w:val="18"/>
                <w:szCs w:val="18"/>
                <w:lang w:eastAsia="tr-TR"/>
              </w:rPr>
            </w:pPr>
            <w:r w:rsidRPr="00005453">
              <w:rPr>
                <w:b/>
                <w:bCs/>
                <w:sz w:val="18"/>
                <w:szCs w:val="18"/>
                <w:lang w:eastAsia="tr-TR"/>
              </w:rPr>
              <w:t>Toplam</w:t>
            </w:r>
          </w:p>
        </w:tc>
        <w:tc>
          <w:tcPr>
            <w:tcW w:w="1782" w:type="dxa"/>
            <w:tcBorders>
              <w:top w:val="single" w:sz="8" w:space="0" w:color="auto"/>
              <w:left w:val="nil"/>
              <w:bottom w:val="double" w:sz="6" w:space="0" w:color="auto"/>
              <w:right w:val="nil"/>
            </w:tcBorders>
            <w:shd w:val="clear" w:color="auto" w:fill="auto"/>
            <w:vAlign w:val="center"/>
            <w:hideMark/>
          </w:tcPr>
          <w:p w14:paraId="31D355AF" w14:textId="59E008AB" w:rsidR="00731137" w:rsidRPr="00005453" w:rsidRDefault="00F81CD3" w:rsidP="00731137">
            <w:pPr>
              <w:jc w:val="right"/>
              <w:rPr>
                <w:b/>
                <w:bCs/>
                <w:sz w:val="18"/>
                <w:szCs w:val="18"/>
                <w:lang w:eastAsia="tr-TR"/>
              </w:rPr>
            </w:pPr>
            <w:r w:rsidRPr="00005453">
              <w:rPr>
                <w:b/>
                <w:bCs/>
                <w:sz w:val="18"/>
                <w:szCs w:val="18"/>
                <w:lang w:eastAsia="tr-TR"/>
              </w:rPr>
              <w:t>5</w:t>
            </w:r>
            <w:r w:rsidR="00731137" w:rsidRPr="00005453">
              <w:rPr>
                <w:b/>
                <w:bCs/>
                <w:sz w:val="18"/>
                <w:szCs w:val="18"/>
                <w:lang w:eastAsia="tr-TR"/>
              </w:rPr>
              <w:t>,</w:t>
            </w:r>
            <w:r w:rsidRPr="00005453">
              <w:rPr>
                <w:b/>
                <w:bCs/>
                <w:sz w:val="18"/>
                <w:szCs w:val="18"/>
                <w:lang w:eastAsia="tr-TR"/>
              </w:rPr>
              <w:t>979</w:t>
            </w:r>
            <w:r w:rsidR="00731137" w:rsidRPr="00005453">
              <w:rPr>
                <w:b/>
                <w:bCs/>
                <w:sz w:val="18"/>
                <w:szCs w:val="18"/>
                <w:lang w:eastAsia="tr-TR"/>
              </w:rPr>
              <w:t>,</w:t>
            </w:r>
            <w:r w:rsidRPr="00005453">
              <w:rPr>
                <w:b/>
                <w:bCs/>
                <w:sz w:val="18"/>
                <w:szCs w:val="18"/>
                <w:lang w:eastAsia="tr-TR"/>
              </w:rPr>
              <w:t>738</w:t>
            </w:r>
          </w:p>
        </w:tc>
        <w:tc>
          <w:tcPr>
            <w:tcW w:w="1782" w:type="dxa"/>
            <w:tcBorders>
              <w:top w:val="single" w:sz="8" w:space="0" w:color="auto"/>
              <w:left w:val="nil"/>
              <w:bottom w:val="double" w:sz="6" w:space="0" w:color="auto"/>
              <w:right w:val="nil"/>
            </w:tcBorders>
            <w:shd w:val="clear" w:color="auto" w:fill="auto"/>
            <w:vAlign w:val="center"/>
            <w:hideMark/>
          </w:tcPr>
          <w:p w14:paraId="138AF52A" w14:textId="6B267625" w:rsidR="00731137" w:rsidRPr="00005453" w:rsidRDefault="00731137" w:rsidP="00731137">
            <w:pPr>
              <w:jc w:val="right"/>
              <w:rPr>
                <w:b/>
                <w:bCs/>
                <w:sz w:val="18"/>
                <w:szCs w:val="18"/>
                <w:lang w:eastAsia="tr-TR"/>
              </w:rPr>
            </w:pPr>
            <w:r w:rsidRPr="00005453">
              <w:rPr>
                <w:b/>
                <w:bCs/>
                <w:sz w:val="18"/>
                <w:szCs w:val="18"/>
                <w:lang w:eastAsia="tr-TR"/>
              </w:rPr>
              <w:t>3,443,425</w:t>
            </w:r>
          </w:p>
        </w:tc>
      </w:tr>
    </w:tbl>
    <w:p w14:paraId="0D48DDD5" w14:textId="370E3646" w:rsidR="00A3058E" w:rsidRPr="00005453" w:rsidRDefault="00A3058E" w:rsidP="00134A72">
      <w:pPr>
        <w:pStyle w:val="BodyTextIndent"/>
        <w:jc w:val="left"/>
        <w:rPr>
          <w:rFonts w:eastAsia="Arial Unicode MS"/>
          <w:sz w:val="16"/>
          <w:szCs w:val="16"/>
        </w:rPr>
      </w:pPr>
    </w:p>
    <w:p w14:paraId="3F72F63E" w14:textId="413BF3F0" w:rsidR="005A1EDE" w:rsidRPr="00005453" w:rsidRDefault="00E07A34" w:rsidP="00E07A34">
      <w:pPr>
        <w:tabs>
          <w:tab w:val="num" w:pos="3060"/>
        </w:tabs>
        <w:autoSpaceDE w:val="0"/>
        <w:autoSpaceDN w:val="0"/>
        <w:adjustRightInd w:val="0"/>
        <w:ind w:hanging="567"/>
      </w:pPr>
      <w:r w:rsidRPr="00005453">
        <w:rPr>
          <w:b/>
        </w:rPr>
        <w:t>1.5.</w:t>
      </w:r>
      <w:r w:rsidR="0048609D" w:rsidRPr="00005453">
        <w:rPr>
          <w:b/>
        </w:rPr>
        <w:t>10.</w:t>
      </w:r>
      <w:r w:rsidR="00E253C8" w:rsidRPr="00005453">
        <w:tab/>
      </w:r>
      <w:r w:rsidR="00B3249B" w:rsidRPr="00005453">
        <w:t xml:space="preserve">   </w:t>
      </w:r>
      <w:r w:rsidR="00E253C8" w:rsidRPr="00005453">
        <w:t xml:space="preserve">Donuk alacaklara ilişkin bilgiler (Net) </w:t>
      </w:r>
    </w:p>
    <w:p w14:paraId="385D7567" w14:textId="77777777" w:rsidR="005A1EDE" w:rsidRPr="00005453" w:rsidRDefault="005A1EDE" w:rsidP="00134A72">
      <w:pPr>
        <w:pStyle w:val="BodyTextIndent"/>
        <w:jc w:val="left"/>
        <w:rPr>
          <w:rFonts w:eastAsia="Arial Unicode MS"/>
          <w:sz w:val="16"/>
          <w:szCs w:val="16"/>
        </w:rPr>
      </w:pPr>
    </w:p>
    <w:p w14:paraId="746DB1D4" w14:textId="4421FE57" w:rsidR="005A1EDE" w:rsidRPr="00005453" w:rsidRDefault="00E07A34" w:rsidP="00A023D6">
      <w:pPr>
        <w:ind w:hanging="567"/>
        <w:jc w:val="both"/>
        <w:rPr>
          <w:iCs/>
        </w:rPr>
      </w:pPr>
      <w:r w:rsidRPr="00005453">
        <w:rPr>
          <w:b/>
          <w:iCs/>
        </w:rPr>
        <w:t>1</w:t>
      </w:r>
      <w:r w:rsidR="00E253C8" w:rsidRPr="00005453">
        <w:rPr>
          <w:b/>
          <w:iCs/>
        </w:rPr>
        <w:t>.</w:t>
      </w:r>
      <w:r w:rsidR="00990912" w:rsidRPr="00005453">
        <w:rPr>
          <w:b/>
          <w:iCs/>
        </w:rPr>
        <w:t>5.</w:t>
      </w:r>
      <w:r w:rsidR="0048609D" w:rsidRPr="00005453">
        <w:rPr>
          <w:b/>
        </w:rPr>
        <w:t>10</w:t>
      </w:r>
      <w:r w:rsidRPr="00005453">
        <w:rPr>
          <w:b/>
          <w:iCs/>
        </w:rPr>
        <w:t>.1</w:t>
      </w:r>
      <w:r w:rsidR="00E97B58" w:rsidRPr="00005453">
        <w:rPr>
          <w:iCs/>
        </w:rPr>
        <w:t xml:space="preserve"> </w:t>
      </w:r>
      <w:r w:rsidR="00E253C8" w:rsidRPr="00005453">
        <w:rPr>
          <w:iCs/>
        </w:rPr>
        <w:t xml:space="preserve">Donuk alacaklardan Bankaca yeniden yapılandırılan ya da yeni bir itfa planına bağlanan krediler ve diğer </w:t>
      </w:r>
      <w:r w:rsidRPr="00005453">
        <w:rPr>
          <w:iCs/>
        </w:rPr>
        <w:t xml:space="preserve"> </w:t>
      </w:r>
      <w:r w:rsidR="008E42CD" w:rsidRPr="00005453">
        <w:rPr>
          <w:iCs/>
        </w:rPr>
        <w:t xml:space="preserve"> </w:t>
      </w:r>
      <w:r w:rsidR="00E253C8" w:rsidRPr="00005453">
        <w:rPr>
          <w:iCs/>
        </w:rPr>
        <w:t>alacaklara ilişkin bilgiler</w:t>
      </w:r>
    </w:p>
    <w:p w14:paraId="691515A3" w14:textId="6873A1AC" w:rsidR="00CC7300" w:rsidRPr="00005453" w:rsidRDefault="00CC7300" w:rsidP="00134A72">
      <w:pPr>
        <w:rPr>
          <w:lang w:eastAsia="en-GB"/>
        </w:rPr>
      </w:pPr>
    </w:p>
    <w:tbl>
      <w:tblPr>
        <w:tblW w:w="9200" w:type="dxa"/>
        <w:tblCellMar>
          <w:left w:w="70" w:type="dxa"/>
          <w:right w:w="70" w:type="dxa"/>
        </w:tblCellMar>
        <w:tblLook w:val="04A0" w:firstRow="1" w:lastRow="0" w:firstColumn="1" w:lastColumn="0" w:noHBand="0" w:noVBand="1"/>
      </w:tblPr>
      <w:tblGrid>
        <w:gridCol w:w="4678"/>
        <w:gridCol w:w="1502"/>
        <w:gridCol w:w="1502"/>
        <w:gridCol w:w="1518"/>
      </w:tblGrid>
      <w:tr w:rsidR="00CC7300" w:rsidRPr="00005453" w14:paraId="2D60E9C6" w14:textId="77777777" w:rsidTr="00346550">
        <w:trPr>
          <w:divId w:val="1924408358"/>
          <w:trHeight w:val="249"/>
        </w:trPr>
        <w:tc>
          <w:tcPr>
            <w:tcW w:w="4678" w:type="dxa"/>
            <w:tcBorders>
              <w:top w:val="double" w:sz="6" w:space="0" w:color="auto"/>
              <w:left w:val="nil"/>
              <w:bottom w:val="nil"/>
              <w:right w:val="nil"/>
            </w:tcBorders>
            <w:shd w:val="clear" w:color="auto" w:fill="auto"/>
            <w:vAlign w:val="center"/>
            <w:hideMark/>
          </w:tcPr>
          <w:p w14:paraId="5E081509" w14:textId="244AEA8E" w:rsidR="00CC7300" w:rsidRPr="00005453" w:rsidRDefault="00CC7300" w:rsidP="00CC7300">
            <w:pPr>
              <w:jc w:val="both"/>
              <w:rPr>
                <w:sz w:val="18"/>
                <w:szCs w:val="18"/>
                <w:lang w:eastAsia="tr-TR"/>
              </w:rPr>
            </w:pPr>
            <w:r w:rsidRPr="00005453">
              <w:rPr>
                <w:sz w:val="18"/>
                <w:szCs w:val="18"/>
                <w:lang w:eastAsia="tr-TR"/>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771BDD9F" w14:textId="77777777" w:rsidR="00CC7300" w:rsidRPr="00005453" w:rsidRDefault="00CC7300" w:rsidP="00CC7300">
            <w:pPr>
              <w:jc w:val="right"/>
              <w:rPr>
                <w:b/>
                <w:bCs/>
                <w:sz w:val="18"/>
                <w:szCs w:val="18"/>
                <w:lang w:eastAsia="tr-TR"/>
              </w:rPr>
            </w:pPr>
            <w:r w:rsidRPr="00005453">
              <w:rPr>
                <w:b/>
                <w:bCs/>
                <w:sz w:val="18"/>
                <w:szCs w:val="18"/>
                <w:lang w:eastAsia="tr-TR"/>
              </w:rPr>
              <w:t>III. Grup</w:t>
            </w:r>
          </w:p>
        </w:tc>
        <w:tc>
          <w:tcPr>
            <w:tcW w:w="1502" w:type="dxa"/>
            <w:tcBorders>
              <w:top w:val="double" w:sz="6" w:space="0" w:color="auto"/>
              <w:left w:val="nil"/>
              <w:bottom w:val="single" w:sz="8" w:space="0" w:color="auto"/>
              <w:right w:val="nil"/>
            </w:tcBorders>
            <w:shd w:val="clear" w:color="auto" w:fill="auto"/>
            <w:vAlign w:val="center"/>
            <w:hideMark/>
          </w:tcPr>
          <w:p w14:paraId="0312176C" w14:textId="77777777" w:rsidR="00CC7300" w:rsidRPr="00005453" w:rsidRDefault="00CC7300" w:rsidP="00CC7300">
            <w:pPr>
              <w:jc w:val="right"/>
              <w:rPr>
                <w:b/>
                <w:bCs/>
                <w:sz w:val="18"/>
                <w:szCs w:val="18"/>
                <w:lang w:eastAsia="tr-TR"/>
              </w:rPr>
            </w:pPr>
            <w:r w:rsidRPr="00005453">
              <w:rPr>
                <w:b/>
                <w:bCs/>
                <w:sz w:val="18"/>
                <w:szCs w:val="18"/>
                <w:lang w:eastAsia="tr-TR"/>
              </w:rPr>
              <w:t>IV. Grup</w:t>
            </w:r>
          </w:p>
        </w:tc>
        <w:tc>
          <w:tcPr>
            <w:tcW w:w="1518" w:type="dxa"/>
            <w:tcBorders>
              <w:top w:val="double" w:sz="6" w:space="0" w:color="auto"/>
              <w:left w:val="nil"/>
              <w:bottom w:val="single" w:sz="8" w:space="0" w:color="auto"/>
              <w:right w:val="nil"/>
            </w:tcBorders>
            <w:shd w:val="clear" w:color="auto" w:fill="auto"/>
            <w:vAlign w:val="center"/>
            <w:hideMark/>
          </w:tcPr>
          <w:p w14:paraId="68194B0C" w14:textId="77777777" w:rsidR="00CC7300" w:rsidRPr="00005453" w:rsidRDefault="00CC7300" w:rsidP="00CC7300">
            <w:pPr>
              <w:jc w:val="right"/>
              <w:rPr>
                <w:b/>
                <w:bCs/>
                <w:sz w:val="18"/>
                <w:szCs w:val="18"/>
                <w:lang w:eastAsia="tr-TR"/>
              </w:rPr>
            </w:pPr>
            <w:r w:rsidRPr="00005453">
              <w:rPr>
                <w:b/>
                <w:bCs/>
                <w:sz w:val="18"/>
                <w:szCs w:val="18"/>
                <w:lang w:eastAsia="tr-TR"/>
              </w:rPr>
              <w:t>V. Grup</w:t>
            </w:r>
          </w:p>
        </w:tc>
      </w:tr>
      <w:tr w:rsidR="00CC7300" w:rsidRPr="00005453" w14:paraId="65923AAF" w14:textId="77777777" w:rsidTr="00346550">
        <w:trPr>
          <w:divId w:val="1924408358"/>
          <w:trHeight w:val="388"/>
        </w:trPr>
        <w:tc>
          <w:tcPr>
            <w:tcW w:w="4678" w:type="dxa"/>
            <w:vMerge w:val="restart"/>
            <w:tcBorders>
              <w:top w:val="nil"/>
              <w:left w:val="nil"/>
              <w:bottom w:val="single" w:sz="8" w:space="0" w:color="000000"/>
              <w:right w:val="nil"/>
            </w:tcBorders>
            <w:shd w:val="clear" w:color="auto" w:fill="auto"/>
            <w:vAlign w:val="center"/>
            <w:hideMark/>
          </w:tcPr>
          <w:p w14:paraId="79F5164F" w14:textId="77777777" w:rsidR="00CC7300" w:rsidRPr="00005453" w:rsidRDefault="00CC7300" w:rsidP="00CC7300">
            <w:pPr>
              <w:jc w:val="right"/>
              <w:rPr>
                <w:b/>
                <w:bCs/>
                <w:sz w:val="18"/>
                <w:szCs w:val="18"/>
                <w:lang w:eastAsia="tr-TR"/>
              </w:rPr>
            </w:pPr>
          </w:p>
        </w:tc>
        <w:tc>
          <w:tcPr>
            <w:tcW w:w="1502" w:type="dxa"/>
            <w:vMerge w:val="restart"/>
            <w:tcBorders>
              <w:top w:val="nil"/>
              <w:left w:val="nil"/>
              <w:bottom w:val="single" w:sz="8" w:space="0" w:color="000000"/>
              <w:right w:val="nil"/>
            </w:tcBorders>
            <w:shd w:val="clear" w:color="auto" w:fill="auto"/>
            <w:vAlign w:val="center"/>
            <w:hideMark/>
          </w:tcPr>
          <w:p w14:paraId="4A65DC8B" w14:textId="77777777" w:rsidR="00CC7300" w:rsidRPr="00005453" w:rsidRDefault="00CC7300" w:rsidP="00CC7300">
            <w:pPr>
              <w:jc w:val="center"/>
              <w:rPr>
                <w:b/>
                <w:bCs/>
                <w:sz w:val="18"/>
                <w:szCs w:val="18"/>
                <w:lang w:eastAsia="tr-TR"/>
              </w:rPr>
            </w:pPr>
            <w:r w:rsidRPr="00005453">
              <w:rPr>
                <w:b/>
                <w:bCs/>
                <w:sz w:val="18"/>
                <w:szCs w:val="18"/>
                <w:lang w:eastAsia="tr-TR"/>
              </w:rPr>
              <w:t xml:space="preserve">Tahsil </w:t>
            </w:r>
            <w:proofErr w:type="gramStart"/>
            <w:r w:rsidRPr="00005453">
              <w:rPr>
                <w:b/>
                <w:bCs/>
                <w:sz w:val="18"/>
                <w:szCs w:val="18"/>
                <w:lang w:eastAsia="tr-TR"/>
              </w:rPr>
              <w:t>imkanı</w:t>
            </w:r>
            <w:proofErr w:type="gramEnd"/>
            <w:r w:rsidRPr="00005453">
              <w:rPr>
                <w:b/>
                <w:bCs/>
                <w:sz w:val="18"/>
                <w:szCs w:val="18"/>
                <w:lang w:eastAsia="tr-TR"/>
              </w:rPr>
              <w:t xml:space="preserve">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40CAA679" w14:textId="77777777" w:rsidR="00CC7300" w:rsidRPr="00005453" w:rsidRDefault="00CC7300" w:rsidP="00CC7300">
            <w:pPr>
              <w:jc w:val="right"/>
              <w:rPr>
                <w:b/>
                <w:bCs/>
                <w:sz w:val="18"/>
                <w:szCs w:val="18"/>
                <w:lang w:eastAsia="tr-TR"/>
              </w:rPr>
            </w:pPr>
            <w:r w:rsidRPr="00005453">
              <w:rPr>
                <w:b/>
                <w:bCs/>
                <w:sz w:val="18"/>
                <w:szCs w:val="18"/>
                <w:lang w:eastAsia="tr-TR"/>
              </w:rPr>
              <w:t xml:space="preserve">Tahsili </w:t>
            </w:r>
            <w:proofErr w:type="gramStart"/>
            <w:r w:rsidRPr="00005453">
              <w:rPr>
                <w:b/>
                <w:bCs/>
                <w:sz w:val="18"/>
                <w:szCs w:val="18"/>
                <w:lang w:eastAsia="tr-TR"/>
              </w:rPr>
              <w:t>imkanı</w:t>
            </w:r>
            <w:proofErr w:type="gramEnd"/>
            <w:r w:rsidRPr="00005453">
              <w:rPr>
                <w:b/>
                <w:bCs/>
                <w:sz w:val="18"/>
                <w:szCs w:val="18"/>
                <w:lang w:eastAsia="tr-TR"/>
              </w:rPr>
              <w:t xml:space="preserve"> şüpheli krediler ve diğer alacaklar</w:t>
            </w:r>
          </w:p>
        </w:tc>
        <w:tc>
          <w:tcPr>
            <w:tcW w:w="1518" w:type="dxa"/>
            <w:vMerge w:val="restart"/>
            <w:tcBorders>
              <w:top w:val="nil"/>
              <w:left w:val="nil"/>
              <w:bottom w:val="single" w:sz="8" w:space="0" w:color="000000"/>
              <w:right w:val="nil"/>
            </w:tcBorders>
            <w:shd w:val="clear" w:color="auto" w:fill="auto"/>
            <w:vAlign w:val="center"/>
            <w:hideMark/>
          </w:tcPr>
          <w:p w14:paraId="396151F7" w14:textId="77777777" w:rsidR="00CC7300" w:rsidRPr="00005453" w:rsidRDefault="00CC7300" w:rsidP="00CC7300">
            <w:pPr>
              <w:jc w:val="right"/>
              <w:rPr>
                <w:b/>
                <w:bCs/>
                <w:sz w:val="18"/>
                <w:szCs w:val="18"/>
                <w:lang w:eastAsia="tr-TR"/>
              </w:rPr>
            </w:pPr>
            <w:r w:rsidRPr="00005453">
              <w:rPr>
                <w:b/>
                <w:bCs/>
                <w:sz w:val="18"/>
                <w:szCs w:val="18"/>
                <w:lang w:eastAsia="tr-TR"/>
              </w:rPr>
              <w:t>Zarar niteliğindeki krediler ve diğer alacaklar</w:t>
            </w:r>
          </w:p>
        </w:tc>
      </w:tr>
      <w:tr w:rsidR="00CC7300" w:rsidRPr="00005453" w14:paraId="211ACE01" w14:textId="77777777" w:rsidTr="00346550">
        <w:trPr>
          <w:divId w:val="1924408358"/>
          <w:trHeight w:val="236"/>
        </w:trPr>
        <w:tc>
          <w:tcPr>
            <w:tcW w:w="4678" w:type="dxa"/>
            <w:vMerge/>
            <w:tcBorders>
              <w:top w:val="nil"/>
              <w:left w:val="nil"/>
              <w:bottom w:val="single" w:sz="8" w:space="0" w:color="000000"/>
              <w:right w:val="nil"/>
            </w:tcBorders>
            <w:vAlign w:val="center"/>
            <w:hideMark/>
          </w:tcPr>
          <w:p w14:paraId="35E23021" w14:textId="77777777" w:rsidR="00CC7300" w:rsidRPr="00005453" w:rsidRDefault="00CC7300" w:rsidP="00CC7300">
            <w:pPr>
              <w:rPr>
                <w:b/>
                <w:bCs/>
                <w:sz w:val="18"/>
                <w:szCs w:val="18"/>
                <w:lang w:eastAsia="tr-TR"/>
              </w:rPr>
            </w:pPr>
          </w:p>
        </w:tc>
        <w:tc>
          <w:tcPr>
            <w:tcW w:w="1502" w:type="dxa"/>
            <w:vMerge/>
            <w:tcBorders>
              <w:top w:val="nil"/>
              <w:left w:val="nil"/>
              <w:bottom w:val="single" w:sz="8" w:space="0" w:color="000000"/>
              <w:right w:val="nil"/>
            </w:tcBorders>
            <w:vAlign w:val="center"/>
            <w:hideMark/>
          </w:tcPr>
          <w:p w14:paraId="415D32B0" w14:textId="77777777" w:rsidR="00CC7300" w:rsidRPr="00005453" w:rsidRDefault="00CC7300" w:rsidP="00CC7300">
            <w:pPr>
              <w:rPr>
                <w:b/>
                <w:bCs/>
                <w:sz w:val="18"/>
                <w:szCs w:val="18"/>
                <w:lang w:eastAsia="tr-TR"/>
              </w:rPr>
            </w:pPr>
          </w:p>
        </w:tc>
        <w:tc>
          <w:tcPr>
            <w:tcW w:w="1502" w:type="dxa"/>
            <w:vMerge/>
            <w:tcBorders>
              <w:top w:val="nil"/>
              <w:left w:val="nil"/>
              <w:bottom w:val="single" w:sz="8" w:space="0" w:color="000000"/>
              <w:right w:val="nil"/>
            </w:tcBorders>
            <w:vAlign w:val="center"/>
            <w:hideMark/>
          </w:tcPr>
          <w:p w14:paraId="2F6E5577" w14:textId="77777777" w:rsidR="00CC7300" w:rsidRPr="00005453" w:rsidRDefault="00CC7300" w:rsidP="00CC7300">
            <w:pPr>
              <w:rPr>
                <w:b/>
                <w:bCs/>
                <w:sz w:val="18"/>
                <w:szCs w:val="18"/>
                <w:lang w:eastAsia="tr-TR"/>
              </w:rPr>
            </w:pPr>
          </w:p>
        </w:tc>
        <w:tc>
          <w:tcPr>
            <w:tcW w:w="1518" w:type="dxa"/>
            <w:vMerge/>
            <w:tcBorders>
              <w:top w:val="nil"/>
              <w:left w:val="nil"/>
              <w:bottom w:val="single" w:sz="8" w:space="0" w:color="000000"/>
              <w:right w:val="nil"/>
            </w:tcBorders>
            <w:vAlign w:val="center"/>
            <w:hideMark/>
          </w:tcPr>
          <w:p w14:paraId="36D193AB" w14:textId="77777777" w:rsidR="00CC7300" w:rsidRPr="00005453" w:rsidRDefault="00CC7300" w:rsidP="00CC7300">
            <w:pPr>
              <w:rPr>
                <w:b/>
                <w:bCs/>
                <w:sz w:val="18"/>
                <w:szCs w:val="18"/>
                <w:lang w:eastAsia="tr-TR"/>
              </w:rPr>
            </w:pPr>
          </w:p>
        </w:tc>
      </w:tr>
      <w:tr w:rsidR="00CC7300" w:rsidRPr="00005453" w14:paraId="1096C16C"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1C5DCFC3" w14:textId="77777777" w:rsidR="00CC7300" w:rsidRPr="00005453" w:rsidRDefault="00CC7300" w:rsidP="00CC7300">
            <w:pPr>
              <w:jc w:val="both"/>
              <w:rPr>
                <w:b/>
                <w:bCs/>
                <w:sz w:val="18"/>
                <w:szCs w:val="18"/>
                <w:lang w:eastAsia="tr-TR"/>
              </w:rPr>
            </w:pPr>
            <w:r w:rsidRPr="00005453">
              <w:rPr>
                <w:b/>
                <w:bCs/>
                <w:sz w:val="18"/>
                <w:szCs w:val="18"/>
                <w:lang w:eastAsia="tr-TR"/>
              </w:rPr>
              <w:t>Cari Dönem</w:t>
            </w:r>
          </w:p>
        </w:tc>
        <w:tc>
          <w:tcPr>
            <w:tcW w:w="1502" w:type="dxa"/>
            <w:tcBorders>
              <w:top w:val="nil"/>
              <w:left w:val="nil"/>
              <w:bottom w:val="nil"/>
              <w:right w:val="nil"/>
            </w:tcBorders>
            <w:shd w:val="clear" w:color="auto" w:fill="auto"/>
            <w:vAlign w:val="center"/>
            <w:hideMark/>
          </w:tcPr>
          <w:p w14:paraId="55F825AF" w14:textId="77777777" w:rsidR="00CC7300" w:rsidRPr="00005453" w:rsidRDefault="00CC7300" w:rsidP="00CC7300">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2BCA8D1B" w14:textId="77777777" w:rsidR="00CC7300" w:rsidRPr="00005453" w:rsidRDefault="00CC7300" w:rsidP="00CC7300">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1494192E" w14:textId="77777777" w:rsidR="00CC7300" w:rsidRPr="00005453" w:rsidRDefault="00CC7300" w:rsidP="00CC7300">
            <w:pPr>
              <w:jc w:val="right"/>
              <w:rPr>
                <w:b/>
                <w:bCs/>
                <w:sz w:val="18"/>
                <w:szCs w:val="18"/>
                <w:lang w:eastAsia="tr-TR"/>
              </w:rPr>
            </w:pPr>
          </w:p>
        </w:tc>
      </w:tr>
      <w:tr w:rsidR="00F81CD3" w:rsidRPr="00005453" w14:paraId="25F6937B" w14:textId="77777777" w:rsidTr="00C07B3E">
        <w:trPr>
          <w:divId w:val="1924408358"/>
          <w:trHeight w:val="222"/>
        </w:trPr>
        <w:tc>
          <w:tcPr>
            <w:tcW w:w="4678" w:type="dxa"/>
            <w:tcBorders>
              <w:top w:val="nil"/>
              <w:left w:val="nil"/>
              <w:bottom w:val="nil"/>
              <w:right w:val="nil"/>
            </w:tcBorders>
            <w:shd w:val="clear" w:color="auto" w:fill="auto"/>
            <w:vAlign w:val="center"/>
            <w:hideMark/>
          </w:tcPr>
          <w:p w14:paraId="0286F932" w14:textId="77777777" w:rsidR="00F81CD3" w:rsidRPr="00005453" w:rsidRDefault="00F81CD3" w:rsidP="00C07B3E">
            <w:pPr>
              <w:rPr>
                <w:sz w:val="18"/>
                <w:szCs w:val="18"/>
                <w:lang w:eastAsia="tr-TR"/>
              </w:rPr>
            </w:pPr>
            <w:r w:rsidRPr="00005453">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0F12A60B" w14:textId="3A133877" w:rsidR="00F81CD3" w:rsidRPr="00005453" w:rsidRDefault="00F81CD3" w:rsidP="00C07B3E">
            <w:pPr>
              <w:jc w:val="right"/>
              <w:rPr>
                <w:sz w:val="18"/>
                <w:szCs w:val="18"/>
                <w:lang w:eastAsia="tr-TR"/>
              </w:rPr>
            </w:pPr>
            <w:r w:rsidRPr="00005453">
              <w:rPr>
                <w:sz w:val="18"/>
                <w:szCs w:val="18"/>
              </w:rPr>
              <w:t>-</w:t>
            </w:r>
          </w:p>
        </w:tc>
        <w:tc>
          <w:tcPr>
            <w:tcW w:w="1502" w:type="dxa"/>
            <w:tcBorders>
              <w:top w:val="nil"/>
              <w:left w:val="nil"/>
              <w:bottom w:val="nil"/>
              <w:right w:val="nil"/>
            </w:tcBorders>
            <w:shd w:val="clear" w:color="auto" w:fill="auto"/>
            <w:vAlign w:val="center"/>
            <w:hideMark/>
          </w:tcPr>
          <w:p w14:paraId="5978B449" w14:textId="1533887D" w:rsidR="00F81CD3" w:rsidRPr="00005453" w:rsidRDefault="00F81CD3" w:rsidP="00C07B3E">
            <w:pPr>
              <w:jc w:val="right"/>
              <w:rPr>
                <w:sz w:val="18"/>
                <w:szCs w:val="18"/>
                <w:lang w:eastAsia="tr-TR"/>
              </w:rPr>
            </w:pPr>
            <w:r w:rsidRPr="00005453">
              <w:rPr>
                <w:sz w:val="18"/>
                <w:szCs w:val="18"/>
              </w:rPr>
              <w:t>-</w:t>
            </w:r>
          </w:p>
        </w:tc>
        <w:tc>
          <w:tcPr>
            <w:tcW w:w="1518" w:type="dxa"/>
            <w:tcBorders>
              <w:top w:val="nil"/>
              <w:left w:val="nil"/>
              <w:bottom w:val="nil"/>
              <w:right w:val="nil"/>
            </w:tcBorders>
            <w:shd w:val="clear" w:color="auto" w:fill="auto"/>
            <w:vAlign w:val="center"/>
            <w:hideMark/>
          </w:tcPr>
          <w:p w14:paraId="06A93F85" w14:textId="4B1BB97F" w:rsidR="00F81CD3" w:rsidRPr="00005453" w:rsidRDefault="00F81CD3" w:rsidP="00C07B3E">
            <w:pPr>
              <w:jc w:val="right"/>
              <w:rPr>
                <w:sz w:val="18"/>
                <w:szCs w:val="18"/>
                <w:lang w:eastAsia="tr-TR"/>
              </w:rPr>
            </w:pPr>
            <w:r w:rsidRPr="00005453">
              <w:rPr>
                <w:sz w:val="18"/>
                <w:szCs w:val="18"/>
              </w:rPr>
              <w:t>2,463</w:t>
            </w:r>
          </w:p>
        </w:tc>
      </w:tr>
      <w:tr w:rsidR="00F81CD3" w:rsidRPr="00005453" w14:paraId="35A59C7E" w14:textId="77777777" w:rsidTr="00C07B3E">
        <w:trPr>
          <w:divId w:val="1924408358"/>
          <w:trHeight w:val="222"/>
        </w:trPr>
        <w:tc>
          <w:tcPr>
            <w:tcW w:w="4678" w:type="dxa"/>
            <w:tcBorders>
              <w:top w:val="nil"/>
              <w:left w:val="nil"/>
              <w:bottom w:val="nil"/>
              <w:right w:val="nil"/>
            </w:tcBorders>
            <w:shd w:val="clear" w:color="auto" w:fill="auto"/>
            <w:vAlign w:val="center"/>
            <w:hideMark/>
          </w:tcPr>
          <w:p w14:paraId="7F849811" w14:textId="77777777" w:rsidR="00F81CD3" w:rsidRPr="00005453" w:rsidRDefault="00F81CD3" w:rsidP="00C07B3E">
            <w:pPr>
              <w:rPr>
                <w:sz w:val="18"/>
                <w:szCs w:val="18"/>
                <w:lang w:eastAsia="tr-TR"/>
              </w:rPr>
            </w:pPr>
            <w:r w:rsidRPr="00005453">
              <w:rPr>
                <w:sz w:val="18"/>
                <w:szCs w:val="18"/>
                <w:lang w:eastAsia="tr-TR"/>
              </w:rPr>
              <w:t>Yeniden Yapılandırılan Krediler</w:t>
            </w:r>
          </w:p>
        </w:tc>
        <w:tc>
          <w:tcPr>
            <w:tcW w:w="1502" w:type="dxa"/>
            <w:tcBorders>
              <w:top w:val="nil"/>
              <w:left w:val="nil"/>
              <w:bottom w:val="nil"/>
              <w:right w:val="nil"/>
            </w:tcBorders>
            <w:shd w:val="clear" w:color="auto" w:fill="auto"/>
            <w:vAlign w:val="center"/>
            <w:hideMark/>
          </w:tcPr>
          <w:p w14:paraId="1CCAC1D5" w14:textId="27B74FCE" w:rsidR="00F81CD3" w:rsidRPr="00005453" w:rsidRDefault="00F81CD3" w:rsidP="00C07B3E">
            <w:pPr>
              <w:jc w:val="right"/>
              <w:rPr>
                <w:sz w:val="18"/>
                <w:szCs w:val="18"/>
                <w:lang w:eastAsia="tr-TR"/>
              </w:rPr>
            </w:pPr>
            <w:r w:rsidRPr="00005453">
              <w:rPr>
                <w:sz w:val="18"/>
                <w:szCs w:val="18"/>
              </w:rPr>
              <w:t>-</w:t>
            </w:r>
          </w:p>
        </w:tc>
        <w:tc>
          <w:tcPr>
            <w:tcW w:w="1502" w:type="dxa"/>
            <w:tcBorders>
              <w:top w:val="nil"/>
              <w:left w:val="nil"/>
              <w:bottom w:val="nil"/>
              <w:right w:val="nil"/>
            </w:tcBorders>
            <w:shd w:val="clear" w:color="auto" w:fill="auto"/>
            <w:vAlign w:val="center"/>
            <w:hideMark/>
          </w:tcPr>
          <w:p w14:paraId="297AD362" w14:textId="6B007B62" w:rsidR="00F81CD3" w:rsidRPr="00005453" w:rsidRDefault="00F81CD3" w:rsidP="00C07B3E">
            <w:pPr>
              <w:jc w:val="right"/>
              <w:rPr>
                <w:sz w:val="18"/>
                <w:szCs w:val="18"/>
                <w:lang w:eastAsia="tr-TR"/>
              </w:rPr>
            </w:pPr>
            <w:r w:rsidRPr="00005453">
              <w:rPr>
                <w:sz w:val="18"/>
                <w:szCs w:val="18"/>
              </w:rPr>
              <w:t>-</w:t>
            </w:r>
          </w:p>
        </w:tc>
        <w:tc>
          <w:tcPr>
            <w:tcW w:w="1518" w:type="dxa"/>
            <w:tcBorders>
              <w:top w:val="nil"/>
              <w:left w:val="nil"/>
              <w:bottom w:val="nil"/>
              <w:right w:val="nil"/>
            </w:tcBorders>
            <w:shd w:val="clear" w:color="auto" w:fill="auto"/>
            <w:vAlign w:val="center"/>
            <w:hideMark/>
          </w:tcPr>
          <w:p w14:paraId="680C299F" w14:textId="31390F9E" w:rsidR="00F81CD3" w:rsidRPr="00005453" w:rsidRDefault="00F81CD3" w:rsidP="00C07B3E">
            <w:pPr>
              <w:jc w:val="right"/>
              <w:rPr>
                <w:sz w:val="18"/>
                <w:szCs w:val="18"/>
                <w:lang w:eastAsia="tr-TR"/>
              </w:rPr>
            </w:pPr>
            <w:r w:rsidRPr="00005453">
              <w:rPr>
                <w:sz w:val="18"/>
                <w:szCs w:val="18"/>
              </w:rPr>
              <w:t>2,463</w:t>
            </w:r>
          </w:p>
        </w:tc>
      </w:tr>
      <w:tr w:rsidR="00CC7300" w:rsidRPr="00005453" w14:paraId="32B4454D" w14:textId="77777777" w:rsidTr="00C07B3E">
        <w:trPr>
          <w:divId w:val="1924408358"/>
          <w:trHeight w:val="222"/>
        </w:trPr>
        <w:tc>
          <w:tcPr>
            <w:tcW w:w="4678" w:type="dxa"/>
            <w:tcBorders>
              <w:top w:val="nil"/>
              <w:left w:val="nil"/>
              <w:bottom w:val="nil"/>
              <w:right w:val="nil"/>
            </w:tcBorders>
            <w:shd w:val="clear" w:color="auto" w:fill="auto"/>
            <w:vAlign w:val="center"/>
            <w:hideMark/>
          </w:tcPr>
          <w:p w14:paraId="2D715E8C" w14:textId="77777777" w:rsidR="00CC7300" w:rsidRPr="00005453" w:rsidRDefault="00CC7300" w:rsidP="00C07B3E">
            <w:pPr>
              <w:rPr>
                <w:b/>
                <w:bCs/>
                <w:sz w:val="18"/>
                <w:szCs w:val="18"/>
                <w:lang w:eastAsia="tr-TR"/>
              </w:rPr>
            </w:pPr>
            <w:r w:rsidRPr="00005453">
              <w:rPr>
                <w:b/>
                <w:bCs/>
                <w:sz w:val="18"/>
                <w:szCs w:val="18"/>
                <w:lang w:eastAsia="tr-TR"/>
              </w:rPr>
              <w:t>Önceki Dönem</w:t>
            </w:r>
          </w:p>
        </w:tc>
        <w:tc>
          <w:tcPr>
            <w:tcW w:w="1502" w:type="dxa"/>
            <w:tcBorders>
              <w:top w:val="nil"/>
              <w:left w:val="nil"/>
              <w:bottom w:val="nil"/>
              <w:right w:val="nil"/>
            </w:tcBorders>
            <w:shd w:val="clear" w:color="auto" w:fill="auto"/>
            <w:vAlign w:val="center"/>
            <w:hideMark/>
          </w:tcPr>
          <w:p w14:paraId="7144F35A" w14:textId="77777777" w:rsidR="00CC7300" w:rsidRPr="00005453" w:rsidRDefault="00CC7300" w:rsidP="00C07B3E">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7D38C35F" w14:textId="77777777" w:rsidR="00CC7300" w:rsidRPr="00005453" w:rsidRDefault="00CC7300" w:rsidP="00C07B3E">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05AC0123" w14:textId="77777777" w:rsidR="00CC7300" w:rsidRPr="00005453" w:rsidRDefault="00CC7300" w:rsidP="00C07B3E">
            <w:pPr>
              <w:jc w:val="right"/>
              <w:rPr>
                <w:b/>
                <w:bCs/>
                <w:sz w:val="18"/>
                <w:szCs w:val="18"/>
                <w:lang w:eastAsia="tr-TR"/>
              </w:rPr>
            </w:pPr>
          </w:p>
        </w:tc>
      </w:tr>
      <w:tr w:rsidR="00731137" w:rsidRPr="00005453" w14:paraId="2804C1B8" w14:textId="77777777" w:rsidTr="00C07B3E">
        <w:trPr>
          <w:divId w:val="1924408358"/>
          <w:trHeight w:val="222"/>
        </w:trPr>
        <w:tc>
          <w:tcPr>
            <w:tcW w:w="4678" w:type="dxa"/>
            <w:tcBorders>
              <w:top w:val="nil"/>
              <w:left w:val="nil"/>
              <w:bottom w:val="nil"/>
              <w:right w:val="nil"/>
            </w:tcBorders>
            <w:shd w:val="clear" w:color="auto" w:fill="auto"/>
            <w:vAlign w:val="center"/>
            <w:hideMark/>
          </w:tcPr>
          <w:p w14:paraId="48D36D8B" w14:textId="77777777" w:rsidR="00731137" w:rsidRPr="00005453" w:rsidRDefault="00731137" w:rsidP="00C07B3E">
            <w:pPr>
              <w:rPr>
                <w:sz w:val="18"/>
                <w:szCs w:val="18"/>
                <w:lang w:eastAsia="tr-TR"/>
              </w:rPr>
            </w:pPr>
            <w:r w:rsidRPr="00005453">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721E4DC7" w14:textId="0252D468" w:rsidR="00731137" w:rsidRPr="00005453" w:rsidRDefault="00731137" w:rsidP="00C07B3E">
            <w:pPr>
              <w:jc w:val="right"/>
              <w:rPr>
                <w:sz w:val="18"/>
                <w:szCs w:val="18"/>
                <w:lang w:eastAsia="tr-TR"/>
              </w:rPr>
            </w:pPr>
            <w:r w:rsidRPr="00005453">
              <w:rPr>
                <w:sz w:val="18"/>
                <w:szCs w:val="18"/>
                <w:lang w:eastAsia="tr-TR"/>
              </w:rPr>
              <w:t>-</w:t>
            </w:r>
          </w:p>
        </w:tc>
        <w:tc>
          <w:tcPr>
            <w:tcW w:w="1502" w:type="dxa"/>
            <w:tcBorders>
              <w:top w:val="nil"/>
              <w:left w:val="nil"/>
              <w:bottom w:val="nil"/>
              <w:right w:val="nil"/>
            </w:tcBorders>
            <w:shd w:val="clear" w:color="auto" w:fill="auto"/>
            <w:vAlign w:val="center"/>
            <w:hideMark/>
          </w:tcPr>
          <w:p w14:paraId="0F9AB4CC" w14:textId="4C527391" w:rsidR="00731137" w:rsidRPr="00005453" w:rsidRDefault="00731137" w:rsidP="00C07B3E">
            <w:pPr>
              <w:jc w:val="right"/>
              <w:rPr>
                <w:sz w:val="18"/>
                <w:szCs w:val="18"/>
                <w:lang w:eastAsia="tr-TR"/>
              </w:rPr>
            </w:pPr>
            <w:r w:rsidRPr="00005453">
              <w:rPr>
                <w:sz w:val="18"/>
                <w:szCs w:val="18"/>
                <w:lang w:eastAsia="tr-TR"/>
              </w:rPr>
              <w:t>-</w:t>
            </w:r>
          </w:p>
        </w:tc>
        <w:tc>
          <w:tcPr>
            <w:tcW w:w="1518" w:type="dxa"/>
            <w:tcBorders>
              <w:top w:val="nil"/>
              <w:left w:val="nil"/>
              <w:bottom w:val="nil"/>
              <w:right w:val="nil"/>
            </w:tcBorders>
            <w:shd w:val="clear" w:color="auto" w:fill="auto"/>
            <w:vAlign w:val="center"/>
            <w:hideMark/>
          </w:tcPr>
          <w:p w14:paraId="3D169FFF" w14:textId="4A9468B5" w:rsidR="00731137" w:rsidRPr="00005453" w:rsidRDefault="00731137" w:rsidP="00C07B3E">
            <w:pPr>
              <w:jc w:val="right"/>
              <w:rPr>
                <w:sz w:val="18"/>
                <w:szCs w:val="18"/>
                <w:lang w:eastAsia="tr-TR"/>
              </w:rPr>
            </w:pPr>
            <w:r w:rsidRPr="00005453">
              <w:rPr>
                <w:sz w:val="18"/>
                <w:szCs w:val="18"/>
                <w:lang w:eastAsia="tr-TR"/>
              </w:rPr>
              <w:t>744,591</w:t>
            </w:r>
          </w:p>
        </w:tc>
      </w:tr>
      <w:tr w:rsidR="00731137" w:rsidRPr="00005453" w14:paraId="25616420" w14:textId="77777777" w:rsidTr="00C07B3E">
        <w:trPr>
          <w:divId w:val="1924408358"/>
          <w:trHeight w:val="236"/>
        </w:trPr>
        <w:tc>
          <w:tcPr>
            <w:tcW w:w="4678" w:type="dxa"/>
            <w:tcBorders>
              <w:top w:val="nil"/>
              <w:left w:val="nil"/>
              <w:bottom w:val="double" w:sz="6" w:space="0" w:color="auto"/>
              <w:right w:val="nil"/>
            </w:tcBorders>
            <w:shd w:val="clear" w:color="auto" w:fill="auto"/>
            <w:vAlign w:val="center"/>
            <w:hideMark/>
          </w:tcPr>
          <w:p w14:paraId="59887FA4" w14:textId="77777777" w:rsidR="00731137" w:rsidRPr="00005453" w:rsidRDefault="00731137" w:rsidP="00C07B3E">
            <w:pPr>
              <w:rPr>
                <w:sz w:val="18"/>
                <w:szCs w:val="18"/>
                <w:lang w:eastAsia="tr-TR"/>
              </w:rPr>
            </w:pPr>
            <w:r w:rsidRPr="00005453">
              <w:rPr>
                <w:sz w:val="18"/>
                <w:szCs w:val="18"/>
                <w:lang w:eastAsia="tr-TR"/>
              </w:rPr>
              <w:t>Yeniden Yapılandırılan Krediler</w:t>
            </w:r>
          </w:p>
        </w:tc>
        <w:tc>
          <w:tcPr>
            <w:tcW w:w="1502" w:type="dxa"/>
            <w:tcBorders>
              <w:top w:val="nil"/>
              <w:left w:val="nil"/>
              <w:bottom w:val="double" w:sz="6" w:space="0" w:color="auto"/>
              <w:right w:val="nil"/>
            </w:tcBorders>
            <w:shd w:val="clear" w:color="auto" w:fill="auto"/>
            <w:vAlign w:val="center"/>
            <w:hideMark/>
          </w:tcPr>
          <w:p w14:paraId="6495A193" w14:textId="28E132EA" w:rsidR="00731137" w:rsidRPr="00005453" w:rsidRDefault="00731137" w:rsidP="00C07B3E">
            <w:pPr>
              <w:jc w:val="right"/>
              <w:rPr>
                <w:sz w:val="18"/>
                <w:szCs w:val="18"/>
                <w:lang w:eastAsia="tr-TR"/>
              </w:rPr>
            </w:pPr>
            <w:r w:rsidRPr="00005453">
              <w:rPr>
                <w:sz w:val="18"/>
                <w:szCs w:val="18"/>
                <w:lang w:eastAsia="tr-TR"/>
              </w:rPr>
              <w:t>-</w:t>
            </w:r>
          </w:p>
        </w:tc>
        <w:tc>
          <w:tcPr>
            <w:tcW w:w="1502" w:type="dxa"/>
            <w:tcBorders>
              <w:top w:val="nil"/>
              <w:left w:val="nil"/>
              <w:bottom w:val="double" w:sz="6" w:space="0" w:color="auto"/>
              <w:right w:val="nil"/>
            </w:tcBorders>
            <w:shd w:val="clear" w:color="auto" w:fill="auto"/>
            <w:vAlign w:val="center"/>
            <w:hideMark/>
          </w:tcPr>
          <w:p w14:paraId="5B646CED" w14:textId="3C2652E4" w:rsidR="00731137" w:rsidRPr="00005453" w:rsidRDefault="00731137" w:rsidP="00C07B3E">
            <w:pPr>
              <w:jc w:val="right"/>
              <w:rPr>
                <w:sz w:val="18"/>
                <w:szCs w:val="18"/>
                <w:lang w:eastAsia="tr-TR"/>
              </w:rPr>
            </w:pPr>
            <w:r w:rsidRPr="00005453">
              <w:rPr>
                <w:sz w:val="18"/>
                <w:szCs w:val="18"/>
                <w:lang w:eastAsia="tr-TR"/>
              </w:rPr>
              <w:t>-</w:t>
            </w:r>
          </w:p>
        </w:tc>
        <w:tc>
          <w:tcPr>
            <w:tcW w:w="1518" w:type="dxa"/>
            <w:tcBorders>
              <w:top w:val="nil"/>
              <w:left w:val="nil"/>
              <w:bottom w:val="double" w:sz="6" w:space="0" w:color="auto"/>
              <w:right w:val="nil"/>
            </w:tcBorders>
            <w:shd w:val="clear" w:color="auto" w:fill="auto"/>
            <w:vAlign w:val="center"/>
            <w:hideMark/>
          </w:tcPr>
          <w:p w14:paraId="36B3A8D9" w14:textId="21DAF424" w:rsidR="00731137" w:rsidRPr="00005453" w:rsidRDefault="00731137" w:rsidP="00C07B3E">
            <w:pPr>
              <w:jc w:val="right"/>
              <w:rPr>
                <w:sz w:val="18"/>
                <w:szCs w:val="18"/>
                <w:lang w:eastAsia="tr-TR"/>
              </w:rPr>
            </w:pPr>
            <w:r w:rsidRPr="00005453">
              <w:rPr>
                <w:sz w:val="18"/>
                <w:szCs w:val="18"/>
                <w:lang w:eastAsia="tr-TR"/>
              </w:rPr>
              <w:t>744,591</w:t>
            </w:r>
          </w:p>
        </w:tc>
      </w:tr>
    </w:tbl>
    <w:p w14:paraId="6FBA2C52" w14:textId="357F1C76" w:rsidR="00E97B58" w:rsidRPr="00005453" w:rsidRDefault="00E97B58" w:rsidP="00134A72">
      <w:pPr>
        <w:rPr>
          <w:iCs/>
          <w:sz w:val="16"/>
          <w:szCs w:val="16"/>
        </w:rPr>
      </w:pPr>
    </w:p>
    <w:p w14:paraId="544327A5" w14:textId="77777777" w:rsidR="0093071A" w:rsidRPr="00005453" w:rsidRDefault="0093071A" w:rsidP="00134A72">
      <w:pPr>
        <w:rPr>
          <w:iCs/>
          <w:sz w:val="16"/>
          <w:szCs w:val="16"/>
        </w:rPr>
      </w:pPr>
    </w:p>
    <w:p w14:paraId="2F54C779" w14:textId="77777777" w:rsidR="003F7875" w:rsidRPr="00005453" w:rsidRDefault="003F7875" w:rsidP="00134A72">
      <w:pPr>
        <w:rPr>
          <w:iCs/>
          <w:sz w:val="16"/>
          <w:szCs w:val="16"/>
        </w:rPr>
      </w:pPr>
    </w:p>
    <w:p w14:paraId="62754153" w14:textId="77777777" w:rsidR="003F7875" w:rsidRPr="00005453" w:rsidRDefault="003F7875" w:rsidP="00134A72">
      <w:pPr>
        <w:rPr>
          <w:iCs/>
          <w:sz w:val="16"/>
          <w:szCs w:val="16"/>
        </w:rPr>
      </w:pPr>
    </w:p>
    <w:p w14:paraId="4757FB39" w14:textId="56162D99" w:rsidR="003F7875" w:rsidRPr="00005453" w:rsidRDefault="003F7875" w:rsidP="00134A72">
      <w:pPr>
        <w:rPr>
          <w:iCs/>
          <w:sz w:val="16"/>
          <w:szCs w:val="16"/>
        </w:rPr>
      </w:pPr>
    </w:p>
    <w:p w14:paraId="2BE02AEA" w14:textId="77777777" w:rsidR="00CC7300" w:rsidRPr="00005453" w:rsidRDefault="00CC7300" w:rsidP="00134A72">
      <w:pPr>
        <w:rPr>
          <w:iCs/>
          <w:sz w:val="16"/>
          <w:szCs w:val="16"/>
        </w:rPr>
      </w:pPr>
    </w:p>
    <w:p w14:paraId="526718F9" w14:textId="12CADB23" w:rsidR="00055FF4" w:rsidRPr="00005453" w:rsidRDefault="00055FF4" w:rsidP="00134A72">
      <w:pPr>
        <w:rPr>
          <w:iCs/>
          <w:sz w:val="16"/>
          <w:szCs w:val="16"/>
        </w:rPr>
      </w:pPr>
    </w:p>
    <w:p w14:paraId="4031A38D" w14:textId="5D3BC067" w:rsidR="003F7875" w:rsidRPr="00005453" w:rsidRDefault="003F7875" w:rsidP="00134A72">
      <w:pPr>
        <w:rPr>
          <w:iCs/>
          <w:sz w:val="16"/>
          <w:szCs w:val="16"/>
        </w:rPr>
      </w:pPr>
    </w:p>
    <w:p w14:paraId="0A4EA803" w14:textId="77777777" w:rsidR="00346550" w:rsidRPr="00005453" w:rsidRDefault="00346550">
      <w:pPr>
        <w:rPr>
          <w:b/>
          <w:iCs/>
        </w:rPr>
      </w:pPr>
      <w:r w:rsidRPr="00005453">
        <w:rPr>
          <w:b/>
          <w:iCs/>
        </w:rPr>
        <w:br w:type="page"/>
      </w:r>
    </w:p>
    <w:p w14:paraId="4B5C2121" w14:textId="2372E883" w:rsidR="005A1EDE" w:rsidRPr="00005453" w:rsidRDefault="00990912" w:rsidP="00055FF4">
      <w:pPr>
        <w:tabs>
          <w:tab w:val="left" w:pos="0"/>
        </w:tabs>
        <w:ind w:left="-567"/>
        <w:rPr>
          <w:b/>
          <w:iCs/>
        </w:rPr>
      </w:pPr>
      <w:r w:rsidRPr="00005453">
        <w:rPr>
          <w:b/>
          <w:iCs/>
        </w:rPr>
        <w:lastRenderedPageBreak/>
        <w:t>1.5.</w:t>
      </w:r>
      <w:r w:rsidR="0048609D" w:rsidRPr="00005453">
        <w:rPr>
          <w:b/>
          <w:iCs/>
        </w:rPr>
        <w:t xml:space="preserve">10.2. </w:t>
      </w:r>
      <w:bookmarkStart w:id="76" w:name="_Hlk188016030"/>
      <w:r w:rsidR="00E253C8" w:rsidRPr="00005453">
        <w:rPr>
          <w:iCs/>
        </w:rPr>
        <w:t xml:space="preserve">Toplam donuk alacak hareketlerine ilişkin </w:t>
      </w:r>
      <w:r w:rsidR="00032F11" w:rsidRPr="00005453">
        <w:rPr>
          <w:iCs/>
        </w:rPr>
        <w:t>bilgiler</w:t>
      </w:r>
      <w:bookmarkEnd w:id="76"/>
    </w:p>
    <w:p w14:paraId="1A7D8C6F" w14:textId="7FB09CDF" w:rsidR="00CC7300" w:rsidRPr="00005453" w:rsidRDefault="00535CF4" w:rsidP="00AC28B2">
      <w:pPr>
        <w:tabs>
          <w:tab w:val="left" w:pos="900"/>
        </w:tabs>
        <w:rPr>
          <w:lang w:val="en-GB" w:eastAsia="en-GB"/>
        </w:rPr>
      </w:pPr>
      <w:r w:rsidRPr="00005453">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FD5D84" w:rsidRPr="00005453" w14:paraId="60A59237" w14:textId="77777777" w:rsidTr="00BC54FD">
        <w:trPr>
          <w:divId w:val="443352122"/>
          <w:trHeight w:val="137"/>
        </w:trPr>
        <w:tc>
          <w:tcPr>
            <w:tcW w:w="4702" w:type="dxa"/>
            <w:vMerge w:val="restart"/>
            <w:tcBorders>
              <w:top w:val="double" w:sz="6" w:space="0" w:color="auto"/>
              <w:left w:val="nil"/>
              <w:right w:val="nil"/>
            </w:tcBorders>
            <w:shd w:val="clear" w:color="auto" w:fill="auto"/>
            <w:vAlign w:val="center"/>
            <w:hideMark/>
          </w:tcPr>
          <w:p w14:paraId="74E4F023" w14:textId="77777777" w:rsidR="00FD5D84" w:rsidRPr="00005453" w:rsidRDefault="00FD5D84" w:rsidP="00CC7300">
            <w:pPr>
              <w:jc w:val="right"/>
              <w:rPr>
                <w:sz w:val="18"/>
                <w:szCs w:val="18"/>
                <w:lang w:eastAsia="tr-TR"/>
              </w:rPr>
            </w:pPr>
            <w:r w:rsidRPr="00005453">
              <w:rPr>
                <w:sz w:val="18"/>
                <w:szCs w:val="18"/>
                <w:lang w:eastAsia="tr-TR"/>
              </w:rPr>
              <w:t xml:space="preserve">  </w:t>
            </w:r>
          </w:p>
          <w:p w14:paraId="257CE7CA" w14:textId="0DDD7776" w:rsidR="00FD5D84" w:rsidRPr="00005453" w:rsidRDefault="00FD5D84" w:rsidP="00CC7300">
            <w:pPr>
              <w:jc w:val="both"/>
              <w:rPr>
                <w:sz w:val="18"/>
                <w:szCs w:val="18"/>
                <w:lang w:eastAsia="tr-TR"/>
              </w:rPr>
            </w:pPr>
            <w:r w:rsidRPr="00005453">
              <w:rPr>
                <w:b/>
                <w:sz w:val="18"/>
                <w:szCs w:val="18"/>
                <w:lang w:eastAsia="tr-TR"/>
              </w:rPr>
              <w:t>Cari Dönem</w:t>
            </w:r>
          </w:p>
        </w:tc>
        <w:tc>
          <w:tcPr>
            <w:tcW w:w="1482" w:type="dxa"/>
            <w:tcBorders>
              <w:top w:val="double" w:sz="6" w:space="0" w:color="auto"/>
              <w:left w:val="nil"/>
              <w:bottom w:val="single" w:sz="8" w:space="0" w:color="auto"/>
              <w:right w:val="nil"/>
            </w:tcBorders>
            <w:shd w:val="clear" w:color="auto" w:fill="auto"/>
            <w:vAlign w:val="center"/>
            <w:hideMark/>
          </w:tcPr>
          <w:p w14:paraId="43D4FCBC" w14:textId="77777777" w:rsidR="00FD5D84" w:rsidRPr="00005453" w:rsidRDefault="00FD5D84" w:rsidP="00CC7300">
            <w:pPr>
              <w:jc w:val="right"/>
              <w:rPr>
                <w:b/>
                <w:bCs/>
                <w:sz w:val="18"/>
                <w:szCs w:val="18"/>
                <w:lang w:eastAsia="tr-TR"/>
              </w:rPr>
            </w:pPr>
            <w:r w:rsidRPr="00005453">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5CF095A8" w14:textId="77777777" w:rsidR="00FD5D84" w:rsidRPr="00005453" w:rsidRDefault="00FD5D84" w:rsidP="00CC7300">
            <w:pPr>
              <w:jc w:val="right"/>
              <w:rPr>
                <w:b/>
                <w:bCs/>
                <w:sz w:val="18"/>
                <w:szCs w:val="18"/>
                <w:lang w:eastAsia="tr-TR"/>
              </w:rPr>
            </w:pPr>
            <w:r w:rsidRPr="00005453">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14AA3450" w14:textId="77777777" w:rsidR="00FD5D84" w:rsidRPr="00005453" w:rsidRDefault="00FD5D84" w:rsidP="00CC7300">
            <w:pPr>
              <w:jc w:val="right"/>
              <w:rPr>
                <w:b/>
                <w:bCs/>
                <w:sz w:val="18"/>
                <w:szCs w:val="18"/>
                <w:lang w:eastAsia="tr-TR"/>
              </w:rPr>
            </w:pPr>
            <w:r w:rsidRPr="00005453">
              <w:rPr>
                <w:b/>
                <w:bCs/>
                <w:sz w:val="18"/>
                <w:szCs w:val="18"/>
                <w:lang w:eastAsia="tr-TR"/>
              </w:rPr>
              <w:t>V. Grup</w:t>
            </w:r>
          </w:p>
        </w:tc>
      </w:tr>
      <w:tr w:rsidR="00FD5D84" w:rsidRPr="00005453" w14:paraId="2B25B6AA" w14:textId="77777777" w:rsidTr="00BC54FD">
        <w:trPr>
          <w:divId w:val="443352122"/>
          <w:trHeight w:val="650"/>
        </w:trPr>
        <w:tc>
          <w:tcPr>
            <w:tcW w:w="4702" w:type="dxa"/>
            <w:vMerge/>
            <w:tcBorders>
              <w:left w:val="nil"/>
              <w:bottom w:val="single" w:sz="8" w:space="0" w:color="auto"/>
              <w:right w:val="nil"/>
            </w:tcBorders>
            <w:shd w:val="clear" w:color="auto" w:fill="auto"/>
            <w:vAlign w:val="center"/>
            <w:hideMark/>
          </w:tcPr>
          <w:p w14:paraId="4AE727D0" w14:textId="3943B0DD" w:rsidR="00FD5D84" w:rsidRPr="00005453" w:rsidRDefault="00FD5D84" w:rsidP="00CC7300">
            <w:pPr>
              <w:jc w:val="both"/>
              <w:rPr>
                <w:b/>
                <w:sz w:val="18"/>
                <w:szCs w:val="18"/>
                <w:lang w:eastAsia="tr-TR"/>
              </w:rPr>
            </w:pPr>
          </w:p>
        </w:tc>
        <w:tc>
          <w:tcPr>
            <w:tcW w:w="1482" w:type="dxa"/>
            <w:tcBorders>
              <w:top w:val="nil"/>
              <w:left w:val="nil"/>
              <w:bottom w:val="single" w:sz="8" w:space="0" w:color="auto"/>
              <w:right w:val="nil"/>
            </w:tcBorders>
            <w:shd w:val="clear" w:color="auto" w:fill="auto"/>
            <w:vAlign w:val="center"/>
            <w:hideMark/>
          </w:tcPr>
          <w:p w14:paraId="20EF3C9E" w14:textId="77777777" w:rsidR="00FD5D84" w:rsidRPr="00005453" w:rsidRDefault="00FD5D84" w:rsidP="00CC7300">
            <w:pPr>
              <w:jc w:val="right"/>
              <w:rPr>
                <w:b/>
                <w:bCs/>
                <w:sz w:val="18"/>
                <w:szCs w:val="18"/>
                <w:lang w:eastAsia="tr-TR"/>
              </w:rPr>
            </w:pPr>
            <w:r w:rsidRPr="00005453">
              <w:rPr>
                <w:b/>
                <w:bCs/>
                <w:sz w:val="18"/>
                <w:szCs w:val="18"/>
                <w:lang w:eastAsia="tr-TR"/>
              </w:rPr>
              <w:t xml:space="preserve">Tahsil </w:t>
            </w:r>
            <w:proofErr w:type="gramStart"/>
            <w:r w:rsidRPr="00005453">
              <w:rPr>
                <w:b/>
                <w:bCs/>
                <w:sz w:val="18"/>
                <w:szCs w:val="18"/>
                <w:lang w:eastAsia="tr-TR"/>
              </w:rPr>
              <w:t>imkanı</w:t>
            </w:r>
            <w:proofErr w:type="gramEnd"/>
            <w:r w:rsidRPr="00005453">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14F53C03" w14:textId="77777777" w:rsidR="00FD5D84" w:rsidRPr="00005453" w:rsidRDefault="00FD5D84" w:rsidP="00CC7300">
            <w:pPr>
              <w:jc w:val="right"/>
              <w:rPr>
                <w:b/>
                <w:bCs/>
                <w:sz w:val="18"/>
                <w:szCs w:val="18"/>
                <w:lang w:eastAsia="tr-TR"/>
              </w:rPr>
            </w:pPr>
            <w:r w:rsidRPr="00005453">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1F0C04ED" w14:textId="77777777" w:rsidR="00FD5D84" w:rsidRPr="00005453" w:rsidRDefault="00FD5D84" w:rsidP="00CC7300">
            <w:pPr>
              <w:jc w:val="right"/>
              <w:rPr>
                <w:b/>
                <w:bCs/>
                <w:sz w:val="18"/>
                <w:szCs w:val="18"/>
                <w:lang w:eastAsia="tr-TR"/>
              </w:rPr>
            </w:pPr>
            <w:r w:rsidRPr="00005453">
              <w:rPr>
                <w:b/>
                <w:bCs/>
                <w:sz w:val="18"/>
                <w:szCs w:val="18"/>
                <w:lang w:eastAsia="tr-TR"/>
              </w:rPr>
              <w:t>Zarar niteliğindeki krediler ve diğer alacaklar</w:t>
            </w:r>
          </w:p>
        </w:tc>
      </w:tr>
      <w:tr w:rsidR="002126DA" w:rsidRPr="00005453" w14:paraId="45446E3F" w14:textId="77777777" w:rsidTr="00B45314">
        <w:trPr>
          <w:divId w:val="443352122"/>
          <w:trHeight w:val="221"/>
        </w:trPr>
        <w:tc>
          <w:tcPr>
            <w:tcW w:w="4702" w:type="dxa"/>
            <w:tcBorders>
              <w:top w:val="nil"/>
              <w:left w:val="nil"/>
              <w:bottom w:val="nil"/>
              <w:right w:val="nil"/>
            </w:tcBorders>
            <w:shd w:val="clear" w:color="auto" w:fill="auto"/>
            <w:vAlign w:val="center"/>
            <w:hideMark/>
          </w:tcPr>
          <w:p w14:paraId="60DD64EF" w14:textId="4D1C8EDB" w:rsidR="002126DA" w:rsidRPr="00005453" w:rsidRDefault="002126DA" w:rsidP="002126DA">
            <w:pPr>
              <w:jc w:val="both"/>
              <w:rPr>
                <w:b/>
                <w:bCs/>
                <w:sz w:val="18"/>
                <w:szCs w:val="18"/>
                <w:lang w:eastAsia="tr-TR"/>
              </w:rPr>
            </w:pPr>
            <w:r w:rsidRPr="00005453">
              <w:rPr>
                <w:b/>
                <w:bCs/>
                <w:sz w:val="18"/>
                <w:szCs w:val="18"/>
                <w:lang w:eastAsia="tr-TR"/>
              </w:rPr>
              <w:t>Önceki dönem sonu bakiyesi 31.12.2023</w:t>
            </w:r>
          </w:p>
        </w:tc>
        <w:tc>
          <w:tcPr>
            <w:tcW w:w="1482" w:type="dxa"/>
            <w:tcBorders>
              <w:top w:val="nil"/>
              <w:left w:val="nil"/>
              <w:bottom w:val="nil"/>
              <w:right w:val="nil"/>
            </w:tcBorders>
            <w:shd w:val="clear" w:color="auto" w:fill="auto"/>
            <w:vAlign w:val="center"/>
            <w:hideMark/>
          </w:tcPr>
          <w:p w14:paraId="2876021D" w14:textId="12D80912" w:rsidR="002126DA" w:rsidRPr="00005453" w:rsidRDefault="002126DA" w:rsidP="002126DA">
            <w:pPr>
              <w:jc w:val="right"/>
              <w:rPr>
                <w:b/>
                <w:bCs/>
                <w:sz w:val="18"/>
                <w:szCs w:val="18"/>
                <w:lang w:eastAsia="tr-TR"/>
              </w:rPr>
            </w:pPr>
            <w:r w:rsidRPr="00005453">
              <w:rPr>
                <w:b/>
                <w:sz w:val="18"/>
                <w:szCs w:val="18"/>
              </w:rPr>
              <w:t>231,744</w:t>
            </w:r>
          </w:p>
        </w:tc>
        <w:tc>
          <w:tcPr>
            <w:tcW w:w="1482" w:type="dxa"/>
            <w:tcBorders>
              <w:top w:val="nil"/>
              <w:left w:val="nil"/>
              <w:bottom w:val="nil"/>
              <w:right w:val="nil"/>
            </w:tcBorders>
            <w:shd w:val="clear" w:color="auto" w:fill="auto"/>
            <w:vAlign w:val="center"/>
            <w:hideMark/>
          </w:tcPr>
          <w:p w14:paraId="523BCB7B" w14:textId="3A528706" w:rsidR="002126DA" w:rsidRPr="00005453" w:rsidRDefault="002126DA" w:rsidP="002126DA">
            <w:pPr>
              <w:jc w:val="right"/>
              <w:rPr>
                <w:b/>
                <w:bCs/>
                <w:sz w:val="18"/>
                <w:szCs w:val="18"/>
                <w:lang w:eastAsia="tr-TR"/>
              </w:rPr>
            </w:pPr>
            <w:r w:rsidRPr="00005453">
              <w:rPr>
                <w:b/>
                <w:sz w:val="18"/>
                <w:szCs w:val="18"/>
              </w:rPr>
              <w:t>434,254</w:t>
            </w:r>
          </w:p>
        </w:tc>
        <w:tc>
          <w:tcPr>
            <w:tcW w:w="1498" w:type="dxa"/>
            <w:tcBorders>
              <w:top w:val="nil"/>
              <w:left w:val="nil"/>
              <w:bottom w:val="nil"/>
              <w:right w:val="nil"/>
            </w:tcBorders>
            <w:shd w:val="clear" w:color="auto" w:fill="auto"/>
            <w:vAlign w:val="center"/>
            <w:hideMark/>
          </w:tcPr>
          <w:p w14:paraId="5AFA0952" w14:textId="679F378B" w:rsidR="002126DA" w:rsidRPr="00005453" w:rsidRDefault="002126DA" w:rsidP="002126DA">
            <w:pPr>
              <w:jc w:val="right"/>
              <w:rPr>
                <w:b/>
                <w:bCs/>
                <w:sz w:val="18"/>
                <w:szCs w:val="18"/>
                <w:lang w:eastAsia="tr-TR"/>
              </w:rPr>
            </w:pPr>
            <w:r w:rsidRPr="00005453">
              <w:rPr>
                <w:b/>
                <w:sz w:val="18"/>
                <w:szCs w:val="18"/>
              </w:rPr>
              <w:t>2,937,343</w:t>
            </w:r>
          </w:p>
        </w:tc>
      </w:tr>
      <w:tr w:rsidR="00BA26DA" w:rsidRPr="00005453" w14:paraId="6EEAA809" w14:textId="77777777" w:rsidTr="00BA26DA">
        <w:trPr>
          <w:divId w:val="443352122"/>
          <w:trHeight w:val="235"/>
        </w:trPr>
        <w:tc>
          <w:tcPr>
            <w:tcW w:w="4702" w:type="dxa"/>
            <w:tcBorders>
              <w:top w:val="nil"/>
              <w:left w:val="nil"/>
              <w:bottom w:val="nil"/>
              <w:right w:val="nil"/>
            </w:tcBorders>
            <w:shd w:val="clear" w:color="auto" w:fill="auto"/>
            <w:vAlign w:val="center"/>
            <w:hideMark/>
          </w:tcPr>
          <w:p w14:paraId="6D465075" w14:textId="77777777" w:rsidR="00BA26DA" w:rsidRPr="00005453" w:rsidRDefault="00BA26DA" w:rsidP="00BA26DA">
            <w:pPr>
              <w:jc w:val="both"/>
              <w:rPr>
                <w:sz w:val="18"/>
                <w:szCs w:val="18"/>
                <w:lang w:eastAsia="tr-TR"/>
              </w:rPr>
            </w:pPr>
            <w:r w:rsidRPr="00005453">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3D899616" w14:textId="735A821C" w:rsidR="00BA26DA" w:rsidRPr="00005453" w:rsidRDefault="00BA26DA" w:rsidP="00BA26DA">
            <w:pPr>
              <w:jc w:val="right"/>
              <w:rPr>
                <w:sz w:val="18"/>
                <w:szCs w:val="18"/>
                <w:lang w:eastAsia="tr-TR"/>
              </w:rPr>
            </w:pPr>
            <w:r w:rsidRPr="00005453">
              <w:rPr>
                <w:sz w:val="18"/>
                <w:szCs w:val="18"/>
              </w:rPr>
              <w:t>1,638,924</w:t>
            </w:r>
          </w:p>
        </w:tc>
        <w:tc>
          <w:tcPr>
            <w:tcW w:w="1482" w:type="dxa"/>
            <w:tcBorders>
              <w:top w:val="nil"/>
              <w:left w:val="nil"/>
              <w:bottom w:val="nil"/>
              <w:right w:val="nil"/>
            </w:tcBorders>
            <w:shd w:val="clear" w:color="auto" w:fill="auto"/>
            <w:vAlign w:val="center"/>
            <w:hideMark/>
          </w:tcPr>
          <w:p w14:paraId="624F8DF3" w14:textId="602F4C47" w:rsidR="00BA26DA" w:rsidRPr="00005453" w:rsidRDefault="00BA26DA" w:rsidP="00BA26DA">
            <w:pPr>
              <w:jc w:val="right"/>
              <w:rPr>
                <w:sz w:val="18"/>
                <w:szCs w:val="18"/>
                <w:lang w:eastAsia="tr-TR"/>
              </w:rPr>
            </w:pPr>
            <w:r w:rsidRPr="00005453">
              <w:rPr>
                <w:sz w:val="18"/>
                <w:szCs w:val="18"/>
              </w:rPr>
              <w:t>1,913,853</w:t>
            </w:r>
          </w:p>
        </w:tc>
        <w:tc>
          <w:tcPr>
            <w:tcW w:w="1498" w:type="dxa"/>
            <w:tcBorders>
              <w:top w:val="nil"/>
              <w:left w:val="nil"/>
              <w:bottom w:val="nil"/>
              <w:right w:val="nil"/>
            </w:tcBorders>
            <w:shd w:val="clear" w:color="auto" w:fill="auto"/>
            <w:vAlign w:val="center"/>
            <w:hideMark/>
          </w:tcPr>
          <w:p w14:paraId="210599D1" w14:textId="1609900A" w:rsidR="00BA26DA" w:rsidRPr="00005453" w:rsidRDefault="00BA26DA" w:rsidP="00BA26DA">
            <w:pPr>
              <w:jc w:val="right"/>
              <w:rPr>
                <w:sz w:val="18"/>
                <w:szCs w:val="18"/>
                <w:lang w:eastAsia="tr-TR"/>
              </w:rPr>
            </w:pPr>
            <w:r w:rsidRPr="00005453">
              <w:rPr>
                <w:sz w:val="18"/>
                <w:szCs w:val="18"/>
              </w:rPr>
              <w:t>3,012,977</w:t>
            </w:r>
          </w:p>
        </w:tc>
      </w:tr>
      <w:tr w:rsidR="00BA26DA" w:rsidRPr="00005453" w14:paraId="67A61B55" w14:textId="77777777" w:rsidTr="00BA26DA">
        <w:trPr>
          <w:divId w:val="443352122"/>
          <w:trHeight w:val="235"/>
        </w:trPr>
        <w:tc>
          <w:tcPr>
            <w:tcW w:w="4702" w:type="dxa"/>
            <w:tcBorders>
              <w:top w:val="nil"/>
              <w:left w:val="nil"/>
              <w:bottom w:val="nil"/>
              <w:right w:val="nil"/>
            </w:tcBorders>
            <w:shd w:val="clear" w:color="auto" w:fill="auto"/>
            <w:vAlign w:val="center"/>
            <w:hideMark/>
          </w:tcPr>
          <w:p w14:paraId="3B3D5B8E" w14:textId="77777777" w:rsidR="00BA26DA" w:rsidRPr="00005453" w:rsidRDefault="00BA26DA" w:rsidP="00BA26DA">
            <w:pPr>
              <w:jc w:val="both"/>
              <w:rPr>
                <w:sz w:val="18"/>
                <w:szCs w:val="18"/>
                <w:lang w:eastAsia="tr-TR"/>
              </w:rPr>
            </w:pPr>
            <w:r w:rsidRPr="00005453">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3BEE1AD9" w14:textId="5A77B9FE" w:rsidR="00BA26DA" w:rsidRPr="00005453" w:rsidRDefault="00BA26DA" w:rsidP="00BA26DA">
            <w:pPr>
              <w:jc w:val="right"/>
              <w:rPr>
                <w:sz w:val="18"/>
                <w:szCs w:val="18"/>
                <w:lang w:eastAsia="tr-TR"/>
              </w:rPr>
            </w:pPr>
            <w:r w:rsidRPr="00005453">
              <w:rPr>
                <w:sz w:val="18"/>
                <w:szCs w:val="18"/>
              </w:rPr>
              <w:t>-</w:t>
            </w:r>
          </w:p>
        </w:tc>
        <w:tc>
          <w:tcPr>
            <w:tcW w:w="1482" w:type="dxa"/>
            <w:tcBorders>
              <w:top w:val="nil"/>
              <w:left w:val="nil"/>
              <w:bottom w:val="nil"/>
              <w:right w:val="nil"/>
            </w:tcBorders>
            <w:shd w:val="clear" w:color="auto" w:fill="auto"/>
            <w:vAlign w:val="center"/>
            <w:hideMark/>
          </w:tcPr>
          <w:p w14:paraId="3888BC84" w14:textId="01EC3EA7" w:rsidR="00BA26DA" w:rsidRPr="00005453" w:rsidRDefault="00BA26DA" w:rsidP="00BA26DA">
            <w:pPr>
              <w:jc w:val="right"/>
              <w:rPr>
                <w:sz w:val="18"/>
                <w:szCs w:val="18"/>
                <w:lang w:eastAsia="tr-TR"/>
              </w:rPr>
            </w:pPr>
            <w:r w:rsidRPr="00005453">
              <w:rPr>
                <w:sz w:val="18"/>
                <w:szCs w:val="18"/>
              </w:rPr>
              <w:t>108,379</w:t>
            </w:r>
          </w:p>
        </w:tc>
        <w:tc>
          <w:tcPr>
            <w:tcW w:w="1498" w:type="dxa"/>
            <w:tcBorders>
              <w:top w:val="nil"/>
              <w:left w:val="nil"/>
              <w:bottom w:val="nil"/>
              <w:right w:val="nil"/>
            </w:tcBorders>
            <w:shd w:val="clear" w:color="auto" w:fill="auto"/>
            <w:vAlign w:val="center"/>
            <w:hideMark/>
          </w:tcPr>
          <w:p w14:paraId="70B4EAF1" w14:textId="4177482A" w:rsidR="00BA26DA" w:rsidRPr="00005453" w:rsidRDefault="00BA26DA" w:rsidP="00BA26DA">
            <w:pPr>
              <w:jc w:val="right"/>
              <w:rPr>
                <w:sz w:val="18"/>
                <w:szCs w:val="18"/>
                <w:lang w:eastAsia="tr-TR"/>
              </w:rPr>
            </w:pPr>
            <w:r w:rsidRPr="00005453">
              <w:rPr>
                <w:sz w:val="18"/>
                <w:szCs w:val="18"/>
              </w:rPr>
              <w:t>721,212</w:t>
            </w:r>
          </w:p>
        </w:tc>
      </w:tr>
      <w:tr w:rsidR="00BA26DA" w:rsidRPr="00005453" w14:paraId="3815AB34" w14:textId="77777777" w:rsidTr="00BA26DA">
        <w:trPr>
          <w:divId w:val="443352122"/>
          <w:trHeight w:val="235"/>
        </w:trPr>
        <w:tc>
          <w:tcPr>
            <w:tcW w:w="4702" w:type="dxa"/>
            <w:tcBorders>
              <w:top w:val="nil"/>
              <w:left w:val="nil"/>
              <w:bottom w:val="nil"/>
              <w:right w:val="nil"/>
            </w:tcBorders>
            <w:shd w:val="clear" w:color="auto" w:fill="auto"/>
            <w:vAlign w:val="center"/>
            <w:hideMark/>
          </w:tcPr>
          <w:p w14:paraId="6A73686A" w14:textId="77777777" w:rsidR="00BA26DA" w:rsidRPr="00005453" w:rsidRDefault="00BA26DA" w:rsidP="00BA26DA">
            <w:pPr>
              <w:jc w:val="both"/>
              <w:rPr>
                <w:sz w:val="18"/>
                <w:szCs w:val="18"/>
                <w:lang w:eastAsia="tr-TR"/>
              </w:rPr>
            </w:pPr>
            <w:r w:rsidRPr="00005453">
              <w:rPr>
                <w:sz w:val="18"/>
                <w:szCs w:val="18"/>
                <w:lang w:eastAsia="tr-TR"/>
              </w:rPr>
              <w:t xml:space="preserve">Diğer donuk alacak hesaplarına </w:t>
            </w:r>
            <w:proofErr w:type="gramStart"/>
            <w:r w:rsidRPr="00005453">
              <w:rPr>
                <w:sz w:val="18"/>
                <w:szCs w:val="18"/>
                <w:lang w:eastAsia="tr-TR"/>
              </w:rPr>
              <w:t>çıkış(</w:t>
            </w:r>
            <w:proofErr w:type="gramEnd"/>
            <w:r w:rsidRPr="00005453">
              <w:rPr>
                <w:sz w:val="18"/>
                <w:szCs w:val="18"/>
                <w:lang w:eastAsia="tr-TR"/>
              </w:rPr>
              <w:t>-)</w:t>
            </w:r>
          </w:p>
        </w:tc>
        <w:tc>
          <w:tcPr>
            <w:tcW w:w="1482" w:type="dxa"/>
            <w:tcBorders>
              <w:top w:val="nil"/>
              <w:left w:val="nil"/>
              <w:bottom w:val="nil"/>
              <w:right w:val="nil"/>
            </w:tcBorders>
            <w:shd w:val="clear" w:color="auto" w:fill="auto"/>
            <w:vAlign w:val="center"/>
            <w:hideMark/>
          </w:tcPr>
          <w:p w14:paraId="687990DC" w14:textId="78639D77" w:rsidR="00BA26DA" w:rsidRPr="00005453" w:rsidRDefault="00BA26DA" w:rsidP="00BA26DA">
            <w:pPr>
              <w:jc w:val="right"/>
              <w:rPr>
                <w:sz w:val="18"/>
                <w:szCs w:val="18"/>
                <w:lang w:eastAsia="tr-TR"/>
              </w:rPr>
            </w:pPr>
            <w:r w:rsidRPr="00005453">
              <w:rPr>
                <w:sz w:val="18"/>
                <w:szCs w:val="18"/>
              </w:rPr>
              <w:t>108,379</w:t>
            </w:r>
          </w:p>
        </w:tc>
        <w:tc>
          <w:tcPr>
            <w:tcW w:w="1482" w:type="dxa"/>
            <w:tcBorders>
              <w:top w:val="nil"/>
              <w:left w:val="nil"/>
              <w:bottom w:val="nil"/>
              <w:right w:val="nil"/>
            </w:tcBorders>
            <w:shd w:val="clear" w:color="auto" w:fill="auto"/>
            <w:vAlign w:val="center"/>
            <w:hideMark/>
          </w:tcPr>
          <w:p w14:paraId="1AB72669" w14:textId="3BCF085A" w:rsidR="00BA26DA" w:rsidRPr="00005453" w:rsidRDefault="00BA26DA" w:rsidP="00BA26DA">
            <w:pPr>
              <w:jc w:val="right"/>
              <w:rPr>
                <w:sz w:val="18"/>
                <w:szCs w:val="18"/>
                <w:lang w:eastAsia="tr-TR"/>
              </w:rPr>
            </w:pPr>
            <w:r w:rsidRPr="00005453">
              <w:rPr>
                <w:sz w:val="18"/>
                <w:szCs w:val="18"/>
              </w:rPr>
              <w:t>721,212</w:t>
            </w:r>
          </w:p>
        </w:tc>
        <w:tc>
          <w:tcPr>
            <w:tcW w:w="1498" w:type="dxa"/>
            <w:tcBorders>
              <w:top w:val="nil"/>
              <w:left w:val="nil"/>
              <w:bottom w:val="nil"/>
              <w:right w:val="nil"/>
            </w:tcBorders>
            <w:shd w:val="clear" w:color="auto" w:fill="auto"/>
            <w:vAlign w:val="center"/>
            <w:hideMark/>
          </w:tcPr>
          <w:p w14:paraId="7F493F7D" w14:textId="226A8543" w:rsidR="00BA26DA" w:rsidRPr="00005453" w:rsidRDefault="00BA26DA" w:rsidP="00BA26DA">
            <w:pPr>
              <w:jc w:val="right"/>
              <w:rPr>
                <w:sz w:val="18"/>
                <w:szCs w:val="18"/>
                <w:lang w:eastAsia="tr-TR"/>
              </w:rPr>
            </w:pPr>
            <w:r w:rsidRPr="00005453">
              <w:rPr>
                <w:sz w:val="18"/>
                <w:szCs w:val="18"/>
              </w:rPr>
              <w:t>-</w:t>
            </w:r>
          </w:p>
        </w:tc>
      </w:tr>
      <w:tr w:rsidR="00BA26DA" w:rsidRPr="00005453" w14:paraId="5F4DD801"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3255A90E" w14:textId="77777777" w:rsidR="00BA26DA" w:rsidRPr="00005453" w:rsidRDefault="00BA26DA" w:rsidP="00BA26DA">
            <w:pPr>
              <w:jc w:val="both"/>
              <w:rPr>
                <w:sz w:val="18"/>
                <w:szCs w:val="18"/>
                <w:lang w:eastAsia="tr-TR"/>
              </w:rPr>
            </w:pPr>
            <w:r w:rsidRPr="00005453">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1B435CA6" w14:textId="3C0A6327" w:rsidR="00BA26DA" w:rsidRPr="00005453" w:rsidRDefault="00BA26DA" w:rsidP="00BA26DA">
            <w:pPr>
              <w:jc w:val="right"/>
              <w:rPr>
                <w:sz w:val="18"/>
                <w:szCs w:val="18"/>
                <w:lang w:eastAsia="tr-TR"/>
              </w:rPr>
            </w:pPr>
            <w:r w:rsidRPr="00005453">
              <w:rPr>
                <w:sz w:val="18"/>
                <w:szCs w:val="18"/>
              </w:rPr>
              <w:t>51,438</w:t>
            </w:r>
          </w:p>
        </w:tc>
        <w:tc>
          <w:tcPr>
            <w:tcW w:w="1482" w:type="dxa"/>
            <w:tcBorders>
              <w:top w:val="nil"/>
              <w:left w:val="nil"/>
              <w:bottom w:val="nil"/>
              <w:right w:val="nil"/>
            </w:tcBorders>
            <w:shd w:val="clear" w:color="auto" w:fill="auto"/>
            <w:vAlign w:val="center"/>
            <w:hideMark/>
          </w:tcPr>
          <w:p w14:paraId="024608A0" w14:textId="622992EA" w:rsidR="00BA26DA" w:rsidRPr="00005453" w:rsidRDefault="00BA26DA" w:rsidP="00BA26DA">
            <w:pPr>
              <w:jc w:val="right"/>
              <w:rPr>
                <w:sz w:val="18"/>
                <w:szCs w:val="18"/>
                <w:lang w:eastAsia="tr-TR"/>
              </w:rPr>
            </w:pPr>
            <w:r w:rsidRPr="00005453">
              <w:rPr>
                <w:sz w:val="18"/>
                <w:szCs w:val="18"/>
              </w:rPr>
              <w:t>38,755</w:t>
            </w:r>
          </w:p>
        </w:tc>
        <w:tc>
          <w:tcPr>
            <w:tcW w:w="1498" w:type="dxa"/>
            <w:tcBorders>
              <w:top w:val="nil"/>
              <w:left w:val="nil"/>
              <w:bottom w:val="nil"/>
              <w:right w:val="nil"/>
            </w:tcBorders>
            <w:shd w:val="clear" w:color="auto" w:fill="auto"/>
            <w:vAlign w:val="center"/>
            <w:hideMark/>
          </w:tcPr>
          <w:p w14:paraId="53C59E11" w14:textId="4ED2400C" w:rsidR="00BA26DA" w:rsidRPr="00005453" w:rsidRDefault="00BA26DA" w:rsidP="00BA26DA">
            <w:pPr>
              <w:jc w:val="right"/>
              <w:rPr>
                <w:sz w:val="18"/>
                <w:szCs w:val="18"/>
                <w:lang w:eastAsia="tr-TR"/>
              </w:rPr>
            </w:pPr>
            <w:r w:rsidRPr="00005453">
              <w:rPr>
                <w:sz w:val="18"/>
                <w:szCs w:val="18"/>
              </w:rPr>
              <w:t>1,646,099</w:t>
            </w:r>
          </w:p>
        </w:tc>
      </w:tr>
      <w:tr w:rsidR="00BA26DA" w:rsidRPr="00005453" w14:paraId="1BB8DC06"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48648970" w14:textId="3845DEC7" w:rsidR="00BA26DA" w:rsidRPr="00005453" w:rsidRDefault="00BA26DA" w:rsidP="00BA26DA">
            <w:pPr>
              <w:jc w:val="both"/>
              <w:rPr>
                <w:sz w:val="18"/>
                <w:szCs w:val="18"/>
                <w:lang w:eastAsia="tr-TR"/>
              </w:rPr>
            </w:pPr>
            <w:r w:rsidRPr="00005453">
              <w:rPr>
                <w:sz w:val="18"/>
                <w:szCs w:val="18"/>
                <w:lang w:eastAsia="tr-TR"/>
              </w:rPr>
              <w:t>Aktiften silinen (</w:t>
            </w:r>
            <w:proofErr w:type="gramStart"/>
            <w:r w:rsidRPr="00005453">
              <w:rPr>
                <w:sz w:val="18"/>
                <w:szCs w:val="18"/>
                <w:lang w:eastAsia="tr-TR"/>
              </w:rPr>
              <w:t>-)(</w:t>
            </w:r>
            <w:proofErr w:type="gramEnd"/>
            <w:r w:rsidRPr="00005453">
              <w:rPr>
                <w:sz w:val="18"/>
                <w:szCs w:val="18"/>
                <w:lang w:eastAsia="tr-TR"/>
              </w:rPr>
              <w:t>*)</w:t>
            </w:r>
          </w:p>
        </w:tc>
        <w:tc>
          <w:tcPr>
            <w:tcW w:w="1482" w:type="dxa"/>
            <w:tcBorders>
              <w:top w:val="nil"/>
              <w:left w:val="nil"/>
              <w:bottom w:val="nil"/>
              <w:right w:val="nil"/>
            </w:tcBorders>
            <w:shd w:val="clear" w:color="auto" w:fill="auto"/>
            <w:vAlign w:val="center"/>
            <w:hideMark/>
          </w:tcPr>
          <w:p w14:paraId="53F956D1" w14:textId="7AE2E73A" w:rsidR="00BA26DA" w:rsidRPr="00005453" w:rsidRDefault="00BA26DA" w:rsidP="00BA26DA">
            <w:pPr>
              <w:jc w:val="right"/>
              <w:rPr>
                <w:sz w:val="18"/>
                <w:szCs w:val="18"/>
                <w:lang w:eastAsia="tr-TR"/>
              </w:rPr>
            </w:pPr>
            <w:r w:rsidRPr="00005453">
              <w:rPr>
                <w:sz w:val="18"/>
                <w:szCs w:val="18"/>
              </w:rPr>
              <w:t>-</w:t>
            </w:r>
          </w:p>
        </w:tc>
        <w:tc>
          <w:tcPr>
            <w:tcW w:w="1482" w:type="dxa"/>
            <w:tcBorders>
              <w:top w:val="nil"/>
              <w:left w:val="nil"/>
              <w:bottom w:val="nil"/>
              <w:right w:val="nil"/>
            </w:tcBorders>
            <w:shd w:val="clear" w:color="auto" w:fill="auto"/>
            <w:vAlign w:val="center"/>
            <w:hideMark/>
          </w:tcPr>
          <w:p w14:paraId="1F84748F" w14:textId="03897FD6" w:rsidR="00BA26DA" w:rsidRPr="00005453" w:rsidRDefault="00BA26DA" w:rsidP="00BA26DA">
            <w:pPr>
              <w:jc w:val="right"/>
              <w:rPr>
                <w:sz w:val="18"/>
                <w:szCs w:val="18"/>
                <w:lang w:eastAsia="tr-TR"/>
              </w:rPr>
            </w:pPr>
            <w:r w:rsidRPr="00005453">
              <w:rPr>
                <w:sz w:val="18"/>
                <w:szCs w:val="18"/>
              </w:rPr>
              <w:t>-</w:t>
            </w:r>
          </w:p>
        </w:tc>
        <w:tc>
          <w:tcPr>
            <w:tcW w:w="1498" w:type="dxa"/>
            <w:tcBorders>
              <w:top w:val="nil"/>
              <w:left w:val="nil"/>
              <w:bottom w:val="nil"/>
              <w:right w:val="nil"/>
            </w:tcBorders>
            <w:shd w:val="clear" w:color="auto" w:fill="auto"/>
            <w:vAlign w:val="center"/>
            <w:hideMark/>
          </w:tcPr>
          <w:p w14:paraId="37784341" w14:textId="2A87FB6E" w:rsidR="00BA26DA" w:rsidRPr="00005453" w:rsidRDefault="00BA26DA" w:rsidP="00BA26DA">
            <w:pPr>
              <w:jc w:val="right"/>
              <w:rPr>
                <w:sz w:val="18"/>
                <w:szCs w:val="18"/>
                <w:lang w:eastAsia="tr-TR"/>
              </w:rPr>
            </w:pPr>
            <w:r w:rsidRPr="00005453">
              <w:rPr>
                <w:sz w:val="18"/>
                <w:szCs w:val="18"/>
              </w:rPr>
              <w:t>1,392,133</w:t>
            </w:r>
          </w:p>
        </w:tc>
      </w:tr>
      <w:tr w:rsidR="00BA26DA" w:rsidRPr="00005453" w14:paraId="4B419B69"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1DDD89A1" w14:textId="77777777" w:rsidR="00BA26DA" w:rsidRPr="00005453" w:rsidRDefault="00BA26DA" w:rsidP="00BA26DA">
            <w:pPr>
              <w:jc w:val="both"/>
              <w:rPr>
                <w:b/>
                <w:bCs/>
                <w:sz w:val="18"/>
                <w:szCs w:val="18"/>
                <w:lang w:eastAsia="tr-TR"/>
              </w:rPr>
            </w:pPr>
            <w:r w:rsidRPr="00005453">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56F5A8D9" w14:textId="5C98C8BF" w:rsidR="00BA26DA" w:rsidRPr="00005453" w:rsidRDefault="00BA26DA" w:rsidP="00BA26DA">
            <w:pPr>
              <w:jc w:val="right"/>
              <w:rPr>
                <w:b/>
                <w:sz w:val="18"/>
                <w:szCs w:val="18"/>
                <w:lang w:eastAsia="tr-TR"/>
              </w:rPr>
            </w:pPr>
            <w:r w:rsidRPr="00005453">
              <w:rPr>
                <w:b/>
                <w:bCs/>
                <w:color w:val="000000"/>
                <w:sz w:val="18"/>
                <w:szCs w:val="18"/>
              </w:rPr>
              <w:t>-</w:t>
            </w:r>
          </w:p>
        </w:tc>
        <w:tc>
          <w:tcPr>
            <w:tcW w:w="1482" w:type="dxa"/>
            <w:tcBorders>
              <w:top w:val="nil"/>
              <w:left w:val="nil"/>
              <w:bottom w:val="nil"/>
              <w:right w:val="nil"/>
            </w:tcBorders>
            <w:shd w:val="clear" w:color="auto" w:fill="auto"/>
            <w:vAlign w:val="center"/>
            <w:hideMark/>
          </w:tcPr>
          <w:p w14:paraId="295B71FD" w14:textId="5D4E4AFA" w:rsidR="00BA26DA" w:rsidRPr="00005453" w:rsidRDefault="00BA26DA" w:rsidP="00BA26DA">
            <w:pPr>
              <w:jc w:val="right"/>
              <w:rPr>
                <w:b/>
                <w:sz w:val="18"/>
                <w:szCs w:val="18"/>
                <w:lang w:eastAsia="tr-TR"/>
              </w:rPr>
            </w:pPr>
            <w:r w:rsidRPr="00005453">
              <w:rPr>
                <w:b/>
                <w:bCs/>
                <w:color w:val="000000"/>
                <w:sz w:val="18"/>
                <w:szCs w:val="18"/>
              </w:rPr>
              <w:t>-</w:t>
            </w:r>
          </w:p>
        </w:tc>
        <w:tc>
          <w:tcPr>
            <w:tcW w:w="1498" w:type="dxa"/>
            <w:tcBorders>
              <w:top w:val="nil"/>
              <w:left w:val="nil"/>
              <w:bottom w:val="nil"/>
              <w:right w:val="nil"/>
            </w:tcBorders>
            <w:shd w:val="clear" w:color="auto" w:fill="auto"/>
            <w:vAlign w:val="center"/>
            <w:hideMark/>
          </w:tcPr>
          <w:p w14:paraId="3430B2A1" w14:textId="3A58C434" w:rsidR="00BA26DA" w:rsidRPr="00005453" w:rsidRDefault="00BA26DA" w:rsidP="00BA26DA">
            <w:pPr>
              <w:jc w:val="right"/>
              <w:rPr>
                <w:b/>
                <w:sz w:val="18"/>
                <w:szCs w:val="18"/>
                <w:lang w:eastAsia="tr-TR"/>
              </w:rPr>
            </w:pPr>
            <w:r w:rsidRPr="00005453">
              <w:rPr>
                <w:b/>
                <w:bCs/>
                <w:color w:val="000000"/>
                <w:sz w:val="18"/>
                <w:szCs w:val="18"/>
              </w:rPr>
              <w:t>-</w:t>
            </w:r>
          </w:p>
        </w:tc>
      </w:tr>
      <w:tr w:rsidR="00BA26DA" w:rsidRPr="00005453" w14:paraId="1B5DACE8"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2EF3EB94" w14:textId="5D95B669" w:rsidR="00BA26DA" w:rsidRPr="00005453" w:rsidRDefault="00BA26DA" w:rsidP="00BA26DA">
            <w:pPr>
              <w:rPr>
                <w:sz w:val="18"/>
                <w:szCs w:val="18"/>
                <w:lang w:eastAsia="tr-TR"/>
              </w:rPr>
            </w:pPr>
            <w:r w:rsidRPr="00005453">
              <w:rPr>
                <w:sz w:val="18"/>
                <w:szCs w:val="18"/>
                <w:lang w:eastAsia="tr-TR"/>
              </w:rPr>
              <w:t>Kurumsal ve ticari krediler</w:t>
            </w:r>
          </w:p>
        </w:tc>
        <w:tc>
          <w:tcPr>
            <w:tcW w:w="1482" w:type="dxa"/>
            <w:tcBorders>
              <w:top w:val="nil"/>
              <w:left w:val="nil"/>
              <w:bottom w:val="nil"/>
              <w:right w:val="nil"/>
            </w:tcBorders>
            <w:shd w:val="clear" w:color="auto" w:fill="auto"/>
            <w:vAlign w:val="center"/>
            <w:hideMark/>
          </w:tcPr>
          <w:p w14:paraId="5EA15DD6" w14:textId="163291F0" w:rsidR="00BA26DA" w:rsidRPr="00005453" w:rsidRDefault="00BA26DA" w:rsidP="00BA26DA">
            <w:pPr>
              <w:jc w:val="right"/>
              <w:rPr>
                <w:sz w:val="18"/>
                <w:szCs w:val="18"/>
                <w:lang w:eastAsia="tr-TR"/>
              </w:rPr>
            </w:pPr>
            <w:r w:rsidRPr="00005453">
              <w:rPr>
                <w:sz w:val="18"/>
                <w:szCs w:val="18"/>
              </w:rPr>
              <w:t>-</w:t>
            </w:r>
          </w:p>
        </w:tc>
        <w:tc>
          <w:tcPr>
            <w:tcW w:w="1482" w:type="dxa"/>
            <w:tcBorders>
              <w:top w:val="nil"/>
              <w:left w:val="nil"/>
              <w:bottom w:val="nil"/>
              <w:right w:val="nil"/>
            </w:tcBorders>
            <w:shd w:val="clear" w:color="auto" w:fill="auto"/>
            <w:vAlign w:val="center"/>
            <w:hideMark/>
          </w:tcPr>
          <w:p w14:paraId="6F99C91C" w14:textId="265DEB9B" w:rsidR="00BA26DA" w:rsidRPr="00005453" w:rsidRDefault="00BA26DA" w:rsidP="00BA26DA">
            <w:pPr>
              <w:jc w:val="right"/>
              <w:rPr>
                <w:sz w:val="18"/>
                <w:szCs w:val="18"/>
                <w:lang w:eastAsia="tr-TR"/>
              </w:rPr>
            </w:pPr>
            <w:r w:rsidRPr="00005453">
              <w:rPr>
                <w:sz w:val="18"/>
                <w:szCs w:val="18"/>
              </w:rPr>
              <w:t>-</w:t>
            </w:r>
          </w:p>
        </w:tc>
        <w:tc>
          <w:tcPr>
            <w:tcW w:w="1498" w:type="dxa"/>
            <w:tcBorders>
              <w:top w:val="nil"/>
              <w:left w:val="nil"/>
              <w:bottom w:val="nil"/>
              <w:right w:val="nil"/>
            </w:tcBorders>
            <w:shd w:val="clear" w:color="auto" w:fill="auto"/>
            <w:vAlign w:val="center"/>
            <w:hideMark/>
          </w:tcPr>
          <w:p w14:paraId="79C5265D" w14:textId="194639D0" w:rsidR="00BA26DA" w:rsidRPr="00005453" w:rsidRDefault="00BA26DA" w:rsidP="00BA26DA">
            <w:pPr>
              <w:jc w:val="right"/>
              <w:rPr>
                <w:sz w:val="18"/>
                <w:szCs w:val="18"/>
                <w:lang w:eastAsia="tr-TR"/>
              </w:rPr>
            </w:pPr>
            <w:r w:rsidRPr="00005453">
              <w:rPr>
                <w:sz w:val="18"/>
                <w:szCs w:val="18"/>
              </w:rPr>
              <w:t>-</w:t>
            </w:r>
          </w:p>
        </w:tc>
      </w:tr>
      <w:tr w:rsidR="00BA26DA" w:rsidRPr="00005453" w14:paraId="51BACFB4"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73BF0224" w14:textId="5383CAB0" w:rsidR="00BA26DA" w:rsidRPr="00005453" w:rsidRDefault="00BA26DA" w:rsidP="00BA26DA">
            <w:pPr>
              <w:rPr>
                <w:sz w:val="18"/>
                <w:szCs w:val="18"/>
                <w:lang w:eastAsia="tr-TR"/>
              </w:rPr>
            </w:pPr>
            <w:r w:rsidRPr="00005453">
              <w:rPr>
                <w:sz w:val="18"/>
                <w:szCs w:val="18"/>
                <w:lang w:eastAsia="tr-TR"/>
              </w:rPr>
              <w:t>Bireysel krediler</w:t>
            </w:r>
            <w:r w:rsidRPr="00005453">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01C21252" w14:textId="36108121" w:rsidR="00BA26DA" w:rsidRPr="00005453" w:rsidRDefault="00BA26DA" w:rsidP="00BA26DA">
            <w:pPr>
              <w:jc w:val="right"/>
              <w:rPr>
                <w:sz w:val="18"/>
                <w:szCs w:val="18"/>
                <w:lang w:eastAsia="tr-TR"/>
              </w:rPr>
            </w:pPr>
            <w:r w:rsidRPr="00005453">
              <w:rPr>
                <w:sz w:val="18"/>
                <w:szCs w:val="18"/>
              </w:rPr>
              <w:t>-</w:t>
            </w:r>
          </w:p>
        </w:tc>
        <w:tc>
          <w:tcPr>
            <w:tcW w:w="1482" w:type="dxa"/>
            <w:tcBorders>
              <w:top w:val="nil"/>
              <w:left w:val="nil"/>
              <w:bottom w:val="nil"/>
              <w:right w:val="nil"/>
            </w:tcBorders>
            <w:shd w:val="clear" w:color="auto" w:fill="auto"/>
            <w:vAlign w:val="center"/>
            <w:hideMark/>
          </w:tcPr>
          <w:p w14:paraId="0D45955B" w14:textId="774ACF6D" w:rsidR="00BA26DA" w:rsidRPr="00005453" w:rsidRDefault="00BA26DA" w:rsidP="00BA26DA">
            <w:pPr>
              <w:jc w:val="right"/>
              <w:rPr>
                <w:sz w:val="18"/>
                <w:szCs w:val="18"/>
                <w:lang w:eastAsia="tr-TR"/>
              </w:rPr>
            </w:pPr>
            <w:r w:rsidRPr="00005453">
              <w:rPr>
                <w:sz w:val="18"/>
                <w:szCs w:val="18"/>
              </w:rPr>
              <w:t>-</w:t>
            </w:r>
          </w:p>
        </w:tc>
        <w:tc>
          <w:tcPr>
            <w:tcW w:w="1498" w:type="dxa"/>
            <w:tcBorders>
              <w:top w:val="nil"/>
              <w:left w:val="nil"/>
              <w:bottom w:val="nil"/>
              <w:right w:val="nil"/>
            </w:tcBorders>
            <w:shd w:val="clear" w:color="auto" w:fill="auto"/>
            <w:vAlign w:val="center"/>
            <w:hideMark/>
          </w:tcPr>
          <w:p w14:paraId="417F7510" w14:textId="210D1FBF" w:rsidR="00BA26DA" w:rsidRPr="00005453" w:rsidRDefault="00BA26DA" w:rsidP="00BA26DA">
            <w:pPr>
              <w:jc w:val="right"/>
              <w:rPr>
                <w:sz w:val="18"/>
                <w:szCs w:val="18"/>
                <w:lang w:eastAsia="tr-TR"/>
              </w:rPr>
            </w:pPr>
            <w:r w:rsidRPr="00005453">
              <w:rPr>
                <w:sz w:val="18"/>
                <w:szCs w:val="18"/>
              </w:rPr>
              <w:t>-</w:t>
            </w:r>
          </w:p>
        </w:tc>
      </w:tr>
      <w:tr w:rsidR="00BA26DA" w:rsidRPr="00005453" w14:paraId="11FE62AE"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06BF0256" w14:textId="02039509" w:rsidR="00BA26DA" w:rsidRPr="00005453" w:rsidRDefault="00BA26DA" w:rsidP="00BA26DA">
            <w:pPr>
              <w:rPr>
                <w:sz w:val="18"/>
                <w:szCs w:val="18"/>
                <w:lang w:eastAsia="tr-TR"/>
              </w:rPr>
            </w:pPr>
            <w:r w:rsidRPr="00005453">
              <w:rPr>
                <w:sz w:val="18"/>
                <w:szCs w:val="18"/>
                <w:lang w:eastAsia="tr-TR"/>
              </w:rPr>
              <w:t>Kredi kartları</w:t>
            </w:r>
          </w:p>
        </w:tc>
        <w:tc>
          <w:tcPr>
            <w:tcW w:w="1482" w:type="dxa"/>
            <w:tcBorders>
              <w:top w:val="nil"/>
              <w:left w:val="nil"/>
              <w:bottom w:val="nil"/>
              <w:right w:val="nil"/>
            </w:tcBorders>
            <w:shd w:val="clear" w:color="auto" w:fill="auto"/>
            <w:vAlign w:val="center"/>
            <w:hideMark/>
          </w:tcPr>
          <w:p w14:paraId="68C95DD4" w14:textId="5F73321F" w:rsidR="00BA26DA" w:rsidRPr="00005453" w:rsidRDefault="00BA26DA" w:rsidP="00BA26DA">
            <w:pPr>
              <w:jc w:val="right"/>
              <w:rPr>
                <w:sz w:val="18"/>
                <w:szCs w:val="18"/>
                <w:lang w:eastAsia="tr-TR"/>
              </w:rPr>
            </w:pPr>
            <w:r w:rsidRPr="00005453">
              <w:rPr>
                <w:sz w:val="18"/>
                <w:szCs w:val="18"/>
              </w:rPr>
              <w:t>-</w:t>
            </w:r>
          </w:p>
        </w:tc>
        <w:tc>
          <w:tcPr>
            <w:tcW w:w="1482" w:type="dxa"/>
            <w:tcBorders>
              <w:top w:val="nil"/>
              <w:left w:val="nil"/>
              <w:bottom w:val="nil"/>
              <w:right w:val="nil"/>
            </w:tcBorders>
            <w:shd w:val="clear" w:color="auto" w:fill="auto"/>
            <w:vAlign w:val="center"/>
            <w:hideMark/>
          </w:tcPr>
          <w:p w14:paraId="10217DE3" w14:textId="545FFF17" w:rsidR="00BA26DA" w:rsidRPr="00005453" w:rsidRDefault="00BA26DA" w:rsidP="00BA26DA">
            <w:pPr>
              <w:jc w:val="right"/>
              <w:rPr>
                <w:sz w:val="18"/>
                <w:szCs w:val="18"/>
                <w:lang w:eastAsia="tr-TR"/>
              </w:rPr>
            </w:pPr>
            <w:r w:rsidRPr="00005453">
              <w:rPr>
                <w:sz w:val="18"/>
                <w:szCs w:val="18"/>
              </w:rPr>
              <w:t>-</w:t>
            </w:r>
          </w:p>
        </w:tc>
        <w:tc>
          <w:tcPr>
            <w:tcW w:w="1498" w:type="dxa"/>
            <w:tcBorders>
              <w:top w:val="nil"/>
              <w:left w:val="nil"/>
              <w:bottom w:val="nil"/>
              <w:right w:val="nil"/>
            </w:tcBorders>
            <w:shd w:val="clear" w:color="auto" w:fill="auto"/>
            <w:vAlign w:val="center"/>
            <w:hideMark/>
          </w:tcPr>
          <w:p w14:paraId="6FE72835" w14:textId="3D8DA472" w:rsidR="00BA26DA" w:rsidRPr="00005453" w:rsidRDefault="00BA26DA" w:rsidP="00BA26DA">
            <w:pPr>
              <w:jc w:val="right"/>
              <w:rPr>
                <w:sz w:val="18"/>
                <w:szCs w:val="18"/>
                <w:lang w:eastAsia="tr-TR"/>
              </w:rPr>
            </w:pPr>
            <w:r w:rsidRPr="00005453">
              <w:rPr>
                <w:sz w:val="18"/>
                <w:szCs w:val="18"/>
              </w:rPr>
              <w:t>-</w:t>
            </w:r>
          </w:p>
        </w:tc>
      </w:tr>
      <w:tr w:rsidR="00BA26DA" w:rsidRPr="00005453" w14:paraId="36DBB622"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671C7690" w14:textId="5E793E9A" w:rsidR="00BA26DA" w:rsidRPr="00005453" w:rsidRDefault="00BA26DA" w:rsidP="00BA26DA">
            <w:pPr>
              <w:rPr>
                <w:sz w:val="18"/>
                <w:szCs w:val="18"/>
                <w:lang w:eastAsia="tr-TR"/>
              </w:rPr>
            </w:pPr>
            <w:r w:rsidRPr="00005453">
              <w:rPr>
                <w:sz w:val="18"/>
                <w:szCs w:val="18"/>
                <w:lang w:eastAsia="tr-TR"/>
              </w:rPr>
              <w:t>Diğer</w:t>
            </w:r>
          </w:p>
        </w:tc>
        <w:tc>
          <w:tcPr>
            <w:tcW w:w="1482" w:type="dxa"/>
            <w:tcBorders>
              <w:top w:val="nil"/>
              <w:left w:val="nil"/>
              <w:bottom w:val="nil"/>
              <w:right w:val="nil"/>
            </w:tcBorders>
            <w:shd w:val="clear" w:color="auto" w:fill="auto"/>
            <w:vAlign w:val="center"/>
            <w:hideMark/>
          </w:tcPr>
          <w:p w14:paraId="49FD6BD9" w14:textId="2741AE3B" w:rsidR="00BA26DA" w:rsidRPr="00005453" w:rsidRDefault="00BA26DA" w:rsidP="00BA26DA">
            <w:pPr>
              <w:jc w:val="right"/>
              <w:rPr>
                <w:sz w:val="18"/>
                <w:szCs w:val="18"/>
                <w:lang w:eastAsia="tr-TR"/>
              </w:rPr>
            </w:pPr>
            <w:r w:rsidRPr="00005453">
              <w:rPr>
                <w:sz w:val="18"/>
                <w:szCs w:val="18"/>
              </w:rPr>
              <w:t>-</w:t>
            </w:r>
          </w:p>
        </w:tc>
        <w:tc>
          <w:tcPr>
            <w:tcW w:w="1482" w:type="dxa"/>
            <w:tcBorders>
              <w:top w:val="nil"/>
              <w:left w:val="nil"/>
              <w:bottom w:val="nil"/>
              <w:right w:val="nil"/>
            </w:tcBorders>
            <w:shd w:val="clear" w:color="auto" w:fill="auto"/>
            <w:vAlign w:val="center"/>
            <w:hideMark/>
          </w:tcPr>
          <w:p w14:paraId="1A1F2F23" w14:textId="4B49457B" w:rsidR="00BA26DA" w:rsidRPr="00005453" w:rsidRDefault="00BA26DA" w:rsidP="00BA26DA">
            <w:pPr>
              <w:jc w:val="right"/>
              <w:rPr>
                <w:sz w:val="18"/>
                <w:szCs w:val="18"/>
                <w:lang w:eastAsia="tr-TR"/>
              </w:rPr>
            </w:pPr>
            <w:r w:rsidRPr="00005453">
              <w:rPr>
                <w:sz w:val="18"/>
                <w:szCs w:val="18"/>
              </w:rPr>
              <w:t>-</w:t>
            </w:r>
          </w:p>
        </w:tc>
        <w:tc>
          <w:tcPr>
            <w:tcW w:w="1498" w:type="dxa"/>
            <w:tcBorders>
              <w:top w:val="nil"/>
              <w:left w:val="nil"/>
              <w:bottom w:val="nil"/>
              <w:right w:val="nil"/>
            </w:tcBorders>
            <w:shd w:val="clear" w:color="auto" w:fill="auto"/>
            <w:vAlign w:val="center"/>
            <w:hideMark/>
          </w:tcPr>
          <w:p w14:paraId="39601A3F" w14:textId="4C2FDE20" w:rsidR="00BA26DA" w:rsidRPr="00005453" w:rsidRDefault="00BA26DA" w:rsidP="00BA26DA">
            <w:pPr>
              <w:jc w:val="right"/>
              <w:rPr>
                <w:sz w:val="18"/>
                <w:szCs w:val="18"/>
                <w:lang w:eastAsia="tr-TR"/>
              </w:rPr>
            </w:pPr>
            <w:r w:rsidRPr="00005453">
              <w:rPr>
                <w:sz w:val="18"/>
                <w:szCs w:val="18"/>
              </w:rPr>
              <w:t>-</w:t>
            </w:r>
          </w:p>
        </w:tc>
      </w:tr>
      <w:tr w:rsidR="00BA26DA" w:rsidRPr="00005453" w14:paraId="22A7456F"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25E708A0" w14:textId="77777777" w:rsidR="00BA26DA" w:rsidRPr="00005453" w:rsidRDefault="00BA26DA" w:rsidP="00BA26DA">
            <w:pPr>
              <w:jc w:val="both"/>
              <w:rPr>
                <w:b/>
                <w:bCs/>
                <w:sz w:val="18"/>
                <w:szCs w:val="18"/>
                <w:lang w:eastAsia="tr-TR"/>
              </w:rPr>
            </w:pPr>
            <w:r w:rsidRPr="00005453">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B42A689" w14:textId="57D7790B" w:rsidR="00BA26DA" w:rsidRPr="00005453" w:rsidRDefault="00BA26DA" w:rsidP="00BA26DA">
            <w:pPr>
              <w:jc w:val="right"/>
              <w:rPr>
                <w:b/>
                <w:bCs/>
                <w:sz w:val="18"/>
                <w:szCs w:val="18"/>
                <w:lang w:eastAsia="tr-TR"/>
              </w:rPr>
            </w:pPr>
            <w:r w:rsidRPr="00005453">
              <w:rPr>
                <w:color w:val="000000"/>
                <w:sz w:val="18"/>
                <w:szCs w:val="18"/>
              </w:rPr>
              <w:t>1,710,851</w:t>
            </w:r>
          </w:p>
        </w:tc>
        <w:tc>
          <w:tcPr>
            <w:tcW w:w="1482" w:type="dxa"/>
            <w:tcBorders>
              <w:top w:val="nil"/>
              <w:left w:val="nil"/>
              <w:bottom w:val="nil"/>
              <w:right w:val="nil"/>
            </w:tcBorders>
            <w:shd w:val="clear" w:color="auto" w:fill="auto"/>
            <w:vAlign w:val="center"/>
            <w:hideMark/>
          </w:tcPr>
          <w:p w14:paraId="36FBA964" w14:textId="69274EEA" w:rsidR="00BA26DA" w:rsidRPr="00005453" w:rsidRDefault="00BA26DA" w:rsidP="00BA26DA">
            <w:pPr>
              <w:jc w:val="right"/>
              <w:rPr>
                <w:b/>
                <w:bCs/>
                <w:sz w:val="18"/>
                <w:szCs w:val="18"/>
                <w:lang w:eastAsia="tr-TR"/>
              </w:rPr>
            </w:pPr>
            <w:r w:rsidRPr="00005453">
              <w:rPr>
                <w:color w:val="000000"/>
                <w:sz w:val="18"/>
                <w:szCs w:val="18"/>
              </w:rPr>
              <w:t>1,696,519</w:t>
            </w:r>
          </w:p>
        </w:tc>
        <w:tc>
          <w:tcPr>
            <w:tcW w:w="1498" w:type="dxa"/>
            <w:tcBorders>
              <w:top w:val="nil"/>
              <w:left w:val="nil"/>
              <w:bottom w:val="nil"/>
              <w:right w:val="nil"/>
            </w:tcBorders>
            <w:shd w:val="clear" w:color="auto" w:fill="auto"/>
            <w:vAlign w:val="center"/>
            <w:hideMark/>
          </w:tcPr>
          <w:p w14:paraId="6F9E3013" w14:textId="60059667" w:rsidR="00BA26DA" w:rsidRPr="00005453" w:rsidRDefault="00BA26DA" w:rsidP="00BA26DA">
            <w:pPr>
              <w:jc w:val="right"/>
              <w:rPr>
                <w:b/>
                <w:bCs/>
                <w:sz w:val="18"/>
                <w:szCs w:val="18"/>
                <w:lang w:eastAsia="tr-TR"/>
              </w:rPr>
            </w:pPr>
            <w:r w:rsidRPr="00005453">
              <w:rPr>
                <w:color w:val="000000"/>
                <w:sz w:val="18"/>
                <w:szCs w:val="18"/>
              </w:rPr>
              <w:t>3,633,300</w:t>
            </w:r>
          </w:p>
        </w:tc>
      </w:tr>
      <w:tr w:rsidR="00BA26DA" w:rsidRPr="00005453" w14:paraId="08F36E68" w14:textId="77777777" w:rsidTr="00BA26DA">
        <w:trPr>
          <w:divId w:val="443352122"/>
          <w:trHeight w:val="221"/>
        </w:trPr>
        <w:tc>
          <w:tcPr>
            <w:tcW w:w="4702" w:type="dxa"/>
            <w:tcBorders>
              <w:top w:val="nil"/>
              <w:left w:val="nil"/>
              <w:bottom w:val="nil"/>
              <w:right w:val="nil"/>
            </w:tcBorders>
            <w:shd w:val="clear" w:color="auto" w:fill="auto"/>
            <w:vAlign w:val="center"/>
            <w:hideMark/>
          </w:tcPr>
          <w:p w14:paraId="061F88F9" w14:textId="77777777" w:rsidR="00BA26DA" w:rsidRPr="00005453" w:rsidRDefault="00BA26DA" w:rsidP="00BA26DA">
            <w:pPr>
              <w:rPr>
                <w:sz w:val="18"/>
                <w:szCs w:val="18"/>
                <w:lang w:eastAsia="tr-TR"/>
              </w:rPr>
            </w:pPr>
            <w:r w:rsidRPr="00005453">
              <w:rPr>
                <w:sz w:val="18"/>
                <w:szCs w:val="18"/>
                <w:lang w:eastAsia="tr-TR"/>
              </w:rPr>
              <w:t>Karşılık (-)</w:t>
            </w:r>
          </w:p>
        </w:tc>
        <w:tc>
          <w:tcPr>
            <w:tcW w:w="1482" w:type="dxa"/>
            <w:tcBorders>
              <w:top w:val="nil"/>
              <w:left w:val="nil"/>
              <w:bottom w:val="nil"/>
              <w:right w:val="nil"/>
            </w:tcBorders>
            <w:shd w:val="clear" w:color="auto" w:fill="auto"/>
            <w:vAlign w:val="center"/>
            <w:hideMark/>
          </w:tcPr>
          <w:p w14:paraId="02D65D2D" w14:textId="1A1C898F" w:rsidR="00BA26DA" w:rsidRPr="00005453" w:rsidRDefault="00BA26DA" w:rsidP="00BA26DA">
            <w:pPr>
              <w:jc w:val="right"/>
              <w:rPr>
                <w:sz w:val="18"/>
                <w:szCs w:val="18"/>
                <w:lang w:eastAsia="tr-TR"/>
              </w:rPr>
            </w:pPr>
            <w:r w:rsidRPr="00005453">
              <w:rPr>
                <w:color w:val="000000"/>
                <w:sz w:val="18"/>
                <w:szCs w:val="18"/>
              </w:rPr>
              <w:t>1,226,003</w:t>
            </w:r>
          </w:p>
        </w:tc>
        <w:tc>
          <w:tcPr>
            <w:tcW w:w="1482" w:type="dxa"/>
            <w:tcBorders>
              <w:top w:val="nil"/>
              <w:left w:val="nil"/>
              <w:bottom w:val="nil"/>
              <w:right w:val="nil"/>
            </w:tcBorders>
            <w:shd w:val="clear" w:color="auto" w:fill="auto"/>
            <w:vAlign w:val="center"/>
            <w:hideMark/>
          </w:tcPr>
          <w:p w14:paraId="74C13AF8" w14:textId="51432644" w:rsidR="00BA26DA" w:rsidRPr="00005453" w:rsidRDefault="00BA26DA" w:rsidP="00BA26DA">
            <w:pPr>
              <w:jc w:val="right"/>
              <w:rPr>
                <w:sz w:val="18"/>
                <w:szCs w:val="18"/>
                <w:lang w:eastAsia="tr-TR"/>
              </w:rPr>
            </w:pPr>
            <w:r w:rsidRPr="00005453">
              <w:rPr>
                <w:color w:val="000000"/>
                <w:sz w:val="18"/>
                <w:szCs w:val="18"/>
              </w:rPr>
              <w:t>1,387,051</w:t>
            </w:r>
          </w:p>
        </w:tc>
        <w:tc>
          <w:tcPr>
            <w:tcW w:w="1498" w:type="dxa"/>
            <w:tcBorders>
              <w:top w:val="nil"/>
              <w:left w:val="nil"/>
              <w:bottom w:val="nil"/>
              <w:right w:val="nil"/>
            </w:tcBorders>
            <w:shd w:val="clear" w:color="auto" w:fill="auto"/>
            <w:vAlign w:val="center"/>
            <w:hideMark/>
          </w:tcPr>
          <w:p w14:paraId="34004212" w14:textId="1BCB3B41" w:rsidR="00BA26DA" w:rsidRPr="00005453" w:rsidRDefault="00BA26DA" w:rsidP="00BA26DA">
            <w:pPr>
              <w:jc w:val="right"/>
              <w:rPr>
                <w:sz w:val="18"/>
                <w:szCs w:val="18"/>
                <w:lang w:eastAsia="tr-TR"/>
              </w:rPr>
            </w:pPr>
            <w:r w:rsidRPr="00005453">
              <w:rPr>
                <w:color w:val="000000"/>
                <w:sz w:val="18"/>
                <w:szCs w:val="18"/>
              </w:rPr>
              <w:t>3,366,684</w:t>
            </w:r>
          </w:p>
        </w:tc>
      </w:tr>
      <w:tr w:rsidR="00BA26DA" w:rsidRPr="00005453" w14:paraId="62E24094" w14:textId="77777777" w:rsidTr="00BA26DA">
        <w:trPr>
          <w:divId w:val="443352122"/>
          <w:trHeight w:val="235"/>
        </w:trPr>
        <w:tc>
          <w:tcPr>
            <w:tcW w:w="4702" w:type="dxa"/>
            <w:tcBorders>
              <w:top w:val="nil"/>
              <w:left w:val="nil"/>
              <w:bottom w:val="double" w:sz="6" w:space="0" w:color="auto"/>
              <w:right w:val="nil"/>
            </w:tcBorders>
            <w:shd w:val="clear" w:color="auto" w:fill="auto"/>
            <w:vAlign w:val="center"/>
            <w:hideMark/>
          </w:tcPr>
          <w:p w14:paraId="7DDF324A" w14:textId="77777777" w:rsidR="00BA26DA" w:rsidRPr="00005453" w:rsidRDefault="00BA26DA" w:rsidP="00BA26DA">
            <w:pPr>
              <w:jc w:val="both"/>
              <w:rPr>
                <w:b/>
                <w:bCs/>
                <w:sz w:val="18"/>
                <w:szCs w:val="18"/>
                <w:lang w:eastAsia="tr-TR"/>
              </w:rPr>
            </w:pPr>
            <w:r w:rsidRPr="00005453">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6994F05" w14:textId="7A68C72F" w:rsidR="00BA26DA" w:rsidRPr="00005453" w:rsidRDefault="00BA26DA" w:rsidP="00BA26DA">
            <w:pPr>
              <w:jc w:val="right"/>
              <w:rPr>
                <w:b/>
                <w:bCs/>
                <w:sz w:val="18"/>
                <w:szCs w:val="18"/>
                <w:lang w:eastAsia="tr-TR"/>
              </w:rPr>
            </w:pPr>
            <w:r w:rsidRPr="00005453">
              <w:rPr>
                <w:b/>
                <w:bCs/>
                <w:sz w:val="18"/>
                <w:szCs w:val="18"/>
              </w:rPr>
              <w:t>484,848</w:t>
            </w:r>
          </w:p>
        </w:tc>
        <w:tc>
          <w:tcPr>
            <w:tcW w:w="1482" w:type="dxa"/>
            <w:tcBorders>
              <w:top w:val="nil"/>
              <w:left w:val="nil"/>
              <w:bottom w:val="double" w:sz="6" w:space="0" w:color="auto"/>
              <w:right w:val="nil"/>
            </w:tcBorders>
            <w:shd w:val="clear" w:color="auto" w:fill="auto"/>
            <w:vAlign w:val="center"/>
            <w:hideMark/>
          </w:tcPr>
          <w:p w14:paraId="727962AE" w14:textId="5D0AFE20" w:rsidR="00BA26DA" w:rsidRPr="00005453" w:rsidRDefault="00BA26DA" w:rsidP="00BA26DA">
            <w:pPr>
              <w:jc w:val="right"/>
              <w:rPr>
                <w:b/>
                <w:bCs/>
                <w:sz w:val="18"/>
                <w:szCs w:val="18"/>
                <w:lang w:eastAsia="tr-TR"/>
              </w:rPr>
            </w:pPr>
            <w:r w:rsidRPr="00005453">
              <w:rPr>
                <w:b/>
                <w:bCs/>
                <w:sz w:val="18"/>
                <w:szCs w:val="18"/>
              </w:rPr>
              <w:t>309,468</w:t>
            </w:r>
          </w:p>
        </w:tc>
        <w:tc>
          <w:tcPr>
            <w:tcW w:w="1498" w:type="dxa"/>
            <w:tcBorders>
              <w:top w:val="nil"/>
              <w:left w:val="nil"/>
              <w:bottom w:val="double" w:sz="6" w:space="0" w:color="auto"/>
              <w:right w:val="nil"/>
            </w:tcBorders>
            <w:shd w:val="clear" w:color="auto" w:fill="auto"/>
            <w:vAlign w:val="center"/>
            <w:hideMark/>
          </w:tcPr>
          <w:p w14:paraId="35CBB4C2" w14:textId="3DB11472" w:rsidR="00BA26DA" w:rsidRPr="00005453" w:rsidRDefault="00BA26DA" w:rsidP="00BA26DA">
            <w:pPr>
              <w:jc w:val="right"/>
              <w:rPr>
                <w:b/>
                <w:bCs/>
                <w:sz w:val="18"/>
                <w:szCs w:val="18"/>
                <w:lang w:eastAsia="tr-TR"/>
              </w:rPr>
            </w:pPr>
            <w:r w:rsidRPr="00005453">
              <w:rPr>
                <w:b/>
                <w:bCs/>
                <w:sz w:val="18"/>
                <w:szCs w:val="18"/>
              </w:rPr>
              <w:t>266,616</w:t>
            </w:r>
          </w:p>
        </w:tc>
      </w:tr>
    </w:tbl>
    <w:p w14:paraId="6C1B6FB8" w14:textId="792AF2C6" w:rsidR="00895CCD" w:rsidRPr="00005453" w:rsidRDefault="00895CCD" w:rsidP="00AC28B2">
      <w:pPr>
        <w:tabs>
          <w:tab w:val="left" w:pos="900"/>
        </w:tabs>
        <w:rPr>
          <w:iCs/>
          <w:sz w:val="2"/>
        </w:rPr>
      </w:pPr>
    </w:p>
    <w:p w14:paraId="5F3D22D5" w14:textId="77777777" w:rsidR="00895CCD" w:rsidRPr="00005453" w:rsidRDefault="00895CCD" w:rsidP="00AC28B2">
      <w:pPr>
        <w:tabs>
          <w:tab w:val="left" w:pos="900"/>
        </w:tabs>
        <w:rPr>
          <w:iCs/>
          <w:sz w:val="2"/>
        </w:rPr>
      </w:pPr>
    </w:p>
    <w:p w14:paraId="015337A3" w14:textId="77777777" w:rsidR="00895CCD" w:rsidRPr="00005453" w:rsidRDefault="00895CCD" w:rsidP="00AC28B2">
      <w:pPr>
        <w:tabs>
          <w:tab w:val="left" w:pos="900"/>
        </w:tabs>
        <w:rPr>
          <w:iCs/>
          <w:sz w:val="2"/>
        </w:rPr>
      </w:pPr>
    </w:p>
    <w:p w14:paraId="798F90F0" w14:textId="412170B6" w:rsidR="00455FD1" w:rsidRPr="00005453" w:rsidRDefault="00455FD1" w:rsidP="00455FD1">
      <w:pPr>
        <w:tabs>
          <w:tab w:val="left" w:pos="540"/>
        </w:tabs>
        <w:autoSpaceDE w:val="0"/>
        <w:autoSpaceDN w:val="0"/>
        <w:adjustRightInd w:val="0"/>
        <w:spacing w:line="230" w:lineRule="auto"/>
        <w:jc w:val="both"/>
        <w:rPr>
          <w:sz w:val="12"/>
          <w:szCs w:val="16"/>
        </w:rPr>
      </w:pPr>
      <w:r w:rsidRPr="00005453">
        <w:rPr>
          <w:iCs/>
          <w:sz w:val="16"/>
        </w:rPr>
        <w:t>(*)</w:t>
      </w:r>
      <w:r w:rsidRPr="00005453">
        <w:t xml:space="preserve"> </w:t>
      </w:r>
      <w:r w:rsidRPr="00005453">
        <w:rPr>
          <w:sz w:val="16"/>
        </w:rPr>
        <w:t>Banka</w:t>
      </w:r>
      <w:r w:rsidRPr="00005453">
        <w:rPr>
          <w:rStyle w:val="ui-provider"/>
          <w:sz w:val="16"/>
        </w:rPr>
        <w:t>, 202</w:t>
      </w:r>
      <w:r w:rsidR="00447B03" w:rsidRPr="00005453">
        <w:rPr>
          <w:rStyle w:val="ui-provider"/>
          <w:sz w:val="16"/>
        </w:rPr>
        <w:t>4</w:t>
      </w:r>
      <w:r w:rsidRPr="00005453">
        <w:rPr>
          <w:rStyle w:val="ui-provider"/>
          <w:sz w:val="16"/>
        </w:rPr>
        <w:t xml:space="preserve"> </w:t>
      </w:r>
      <w:r w:rsidR="00A42940" w:rsidRPr="00005453">
        <w:rPr>
          <w:rStyle w:val="ui-provider"/>
          <w:sz w:val="16"/>
        </w:rPr>
        <w:t>yılında</w:t>
      </w:r>
      <w:r w:rsidRPr="00005453">
        <w:rPr>
          <w:rStyle w:val="ui-provider"/>
          <w:sz w:val="16"/>
        </w:rPr>
        <w:t xml:space="preserve"> </w:t>
      </w:r>
      <w:r w:rsidR="00447B03" w:rsidRPr="00005453">
        <w:rPr>
          <w:rStyle w:val="ui-provider"/>
          <w:sz w:val="16"/>
        </w:rPr>
        <w:t>1,392</w:t>
      </w:r>
      <w:r w:rsidRPr="00005453">
        <w:rPr>
          <w:rStyle w:val="ui-provider"/>
          <w:sz w:val="16"/>
        </w:rPr>
        <w:t>,</w:t>
      </w:r>
      <w:r w:rsidR="00447B03" w:rsidRPr="00005453">
        <w:rPr>
          <w:rStyle w:val="ui-provider"/>
          <w:sz w:val="16"/>
        </w:rPr>
        <w:t>133</w:t>
      </w:r>
      <w:r w:rsidRPr="00005453">
        <w:rPr>
          <w:rStyle w:val="ui-provider"/>
          <w:sz w:val="16"/>
        </w:rPr>
        <w:t xml:space="preserve"> TL tutarındaki alacağını aktifinden silmiştir. Bu işlem sonucu takibe dönüşüm oranında </w:t>
      </w:r>
      <w:r w:rsidR="00447B03" w:rsidRPr="00005453">
        <w:rPr>
          <w:rStyle w:val="ui-provider"/>
          <w:sz w:val="16"/>
        </w:rPr>
        <w:t>31</w:t>
      </w:r>
      <w:r w:rsidRPr="00005453">
        <w:rPr>
          <w:rStyle w:val="ui-provider"/>
          <w:sz w:val="16"/>
        </w:rPr>
        <w:t xml:space="preserve"> baz puan etki olmuştur.</w:t>
      </w:r>
    </w:p>
    <w:p w14:paraId="531A9D34" w14:textId="77777777" w:rsidR="00895CCD" w:rsidRPr="00005453" w:rsidRDefault="00895CCD" w:rsidP="00AC28B2">
      <w:pPr>
        <w:tabs>
          <w:tab w:val="left" w:pos="900"/>
        </w:tabs>
        <w:rPr>
          <w:iCs/>
          <w:sz w:val="2"/>
        </w:rPr>
      </w:pPr>
    </w:p>
    <w:p w14:paraId="6237E853" w14:textId="77777777" w:rsidR="00895CCD" w:rsidRPr="00005453" w:rsidRDefault="00895CCD" w:rsidP="00AC28B2">
      <w:pPr>
        <w:tabs>
          <w:tab w:val="left" w:pos="900"/>
        </w:tabs>
        <w:rPr>
          <w:iCs/>
          <w:sz w:val="2"/>
        </w:rPr>
      </w:pPr>
    </w:p>
    <w:p w14:paraId="757B54E0" w14:textId="77777777" w:rsidR="00895CCD" w:rsidRPr="00005453" w:rsidRDefault="00895CCD" w:rsidP="00AC28B2">
      <w:pPr>
        <w:tabs>
          <w:tab w:val="left" w:pos="900"/>
        </w:tabs>
        <w:rPr>
          <w:iCs/>
          <w:sz w:val="2"/>
        </w:rPr>
      </w:pPr>
    </w:p>
    <w:p w14:paraId="1E633001" w14:textId="77777777" w:rsidR="00895CCD" w:rsidRPr="00005453" w:rsidRDefault="00895CCD" w:rsidP="00AC28B2">
      <w:pPr>
        <w:tabs>
          <w:tab w:val="left" w:pos="900"/>
        </w:tabs>
        <w:rPr>
          <w:iCs/>
          <w:sz w:val="2"/>
        </w:rPr>
      </w:pPr>
    </w:p>
    <w:p w14:paraId="5DCACF2A" w14:textId="77777777" w:rsidR="00895CCD" w:rsidRPr="00005453" w:rsidRDefault="00895CCD" w:rsidP="00AC28B2">
      <w:pPr>
        <w:tabs>
          <w:tab w:val="left" w:pos="900"/>
        </w:tabs>
        <w:rPr>
          <w:iCs/>
          <w:sz w:val="2"/>
        </w:rPr>
      </w:pPr>
    </w:p>
    <w:p w14:paraId="1D41D1BD" w14:textId="1EDF5775" w:rsidR="00CC7300" w:rsidRPr="00005453" w:rsidRDefault="001D6E21" w:rsidP="00AC28B2">
      <w:pPr>
        <w:tabs>
          <w:tab w:val="left" w:pos="900"/>
        </w:tabs>
        <w:rPr>
          <w:lang w:eastAsia="en-GB"/>
        </w:rPr>
      </w:pPr>
      <w:r w:rsidRPr="00005453">
        <w:rPr>
          <w:iCs/>
          <w:sz w:val="14"/>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FD5D84" w:rsidRPr="00005453" w14:paraId="04DC04F9" w14:textId="77777777" w:rsidTr="00BC54FD">
        <w:trPr>
          <w:divId w:val="1212035657"/>
          <w:trHeight w:val="134"/>
        </w:trPr>
        <w:tc>
          <w:tcPr>
            <w:tcW w:w="4738" w:type="dxa"/>
            <w:vMerge w:val="restart"/>
            <w:tcBorders>
              <w:top w:val="double" w:sz="6" w:space="0" w:color="auto"/>
              <w:left w:val="nil"/>
              <w:right w:val="nil"/>
            </w:tcBorders>
            <w:shd w:val="clear" w:color="000000" w:fill="FFFFFF"/>
            <w:vAlign w:val="center"/>
            <w:hideMark/>
          </w:tcPr>
          <w:p w14:paraId="3DB87EB8" w14:textId="77777777" w:rsidR="00FD5D84" w:rsidRPr="00005453" w:rsidRDefault="00FD5D84" w:rsidP="00CC7300">
            <w:pPr>
              <w:jc w:val="right"/>
              <w:rPr>
                <w:b/>
                <w:bCs/>
                <w:sz w:val="18"/>
                <w:szCs w:val="18"/>
                <w:lang w:eastAsia="tr-TR"/>
              </w:rPr>
            </w:pPr>
            <w:r w:rsidRPr="00005453">
              <w:rPr>
                <w:b/>
                <w:bCs/>
                <w:sz w:val="18"/>
                <w:szCs w:val="18"/>
                <w:lang w:eastAsia="tr-TR"/>
              </w:rPr>
              <w:t> </w:t>
            </w:r>
          </w:p>
          <w:p w14:paraId="2B2B0D4C" w14:textId="69E22964" w:rsidR="00FD5D84" w:rsidRPr="00005453" w:rsidRDefault="00FD5D84" w:rsidP="00CC7300">
            <w:pPr>
              <w:rPr>
                <w:b/>
                <w:bCs/>
                <w:sz w:val="18"/>
                <w:szCs w:val="18"/>
                <w:lang w:eastAsia="tr-TR"/>
              </w:rPr>
            </w:pPr>
            <w:r w:rsidRPr="00005453">
              <w:rPr>
                <w:b/>
                <w:bCs/>
                <w:sz w:val="18"/>
                <w:szCs w:val="18"/>
                <w:lang w:eastAsia="tr-TR"/>
              </w:rPr>
              <w:t>Önceki Dönem</w:t>
            </w:r>
          </w:p>
        </w:tc>
        <w:tc>
          <w:tcPr>
            <w:tcW w:w="1494" w:type="dxa"/>
            <w:tcBorders>
              <w:top w:val="double" w:sz="6" w:space="0" w:color="auto"/>
              <w:left w:val="nil"/>
              <w:bottom w:val="single" w:sz="8" w:space="0" w:color="auto"/>
              <w:right w:val="nil"/>
            </w:tcBorders>
            <w:shd w:val="clear" w:color="000000" w:fill="FFFFFF"/>
            <w:vAlign w:val="center"/>
            <w:hideMark/>
          </w:tcPr>
          <w:p w14:paraId="2DA9D94E" w14:textId="77777777" w:rsidR="00FD5D84" w:rsidRPr="00005453" w:rsidRDefault="00FD5D84" w:rsidP="00CC7300">
            <w:pPr>
              <w:jc w:val="right"/>
              <w:rPr>
                <w:b/>
                <w:bCs/>
                <w:sz w:val="18"/>
                <w:szCs w:val="18"/>
                <w:lang w:eastAsia="tr-TR"/>
              </w:rPr>
            </w:pPr>
            <w:r w:rsidRPr="00005453">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68023DC1" w14:textId="77777777" w:rsidR="00FD5D84" w:rsidRPr="00005453" w:rsidRDefault="00FD5D84" w:rsidP="00CC7300">
            <w:pPr>
              <w:jc w:val="right"/>
              <w:rPr>
                <w:b/>
                <w:bCs/>
                <w:sz w:val="18"/>
                <w:szCs w:val="18"/>
                <w:lang w:eastAsia="tr-TR"/>
              </w:rPr>
            </w:pPr>
            <w:r w:rsidRPr="00005453">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39080CB3" w14:textId="77777777" w:rsidR="00FD5D84" w:rsidRPr="00005453" w:rsidRDefault="00FD5D84" w:rsidP="00CC7300">
            <w:pPr>
              <w:jc w:val="right"/>
              <w:rPr>
                <w:b/>
                <w:bCs/>
                <w:sz w:val="18"/>
                <w:szCs w:val="18"/>
                <w:lang w:eastAsia="tr-TR"/>
              </w:rPr>
            </w:pPr>
            <w:r w:rsidRPr="00005453">
              <w:rPr>
                <w:b/>
                <w:bCs/>
                <w:sz w:val="18"/>
                <w:szCs w:val="18"/>
                <w:lang w:eastAsia="tr-TR"/>
              </w:rPr>
              <w:t>V. Grup</w:t>
            </w:r>
          </w:p>
        </w:tc>
      </w:tr>
      <w:tr w:rsidR="00FD5D84" w:rsidRPr="00005453" w14:paraId="23B19B65" w14:textId="77777777" w:rsidTr="00BC54FD">
        <w:trPr>
          <w:divId w:val="1212035657"/>
          <w:trHeight w:val="636"/>
        </w:trPr>
        <w:tc>
          <w:tcPr>
            <w:tcW w:w="4738" w:type="dxa"/>
            <w:vMerge/>
            <w:tcBorders>
              <w:left w:val="nil"/>
              <w:bottom w:val="single" w:sz="8" w:space="0" w:color="auto"/>
              <w:right w:val="nil"/>
            </w:tcBorders>
            <w:shd w:val="clear" w:color="000000" w:fill="FFFFFF"/>
            <w:vAlign w:val="center"/>
            <w:hideMark/>
          </w:tcPr>
          <w:p w14:paraId="07B7850D" w14:textId="28E6EA55" w:rsidR="00FD5D84" w:rsidRPr="00005453" w:rsidRDefault="00FD5D84" w:rsidP="00CC7300">
            <w:pPr>
              <w:rPr>
                <w:b/>
                <w:bCs/>
                <w:sz w:val="18"/>
                <w:szCs w:val="18"/>
                <w:lang w:eastAsia="tr-TR"/>
              </w:rPr>
            </w:pPr>
          </w:p>
        </w:tc>
        <w:tc>
          <w:tcPr>
            <w:tcW w:w="1494" w:type="dxa"/>
            <w:tcBorders>
              <w:top w:val="nil"/>
              <w:left w:val="nil"/>
              <w:bottom w:val="single" w:sz="8" w:space="0" w:color="auto"/>
              <w:right w:val="nil"/>
            </w:tcBorders>
            <w:shd w:val="clear" w:color="auto" w:fill="auto"/>
            <w:vAlign w:val="center"/>
            <w:hideMark/>
          </w:tcPr>
          <w:p w14:paraId="2677E6DE" w14:textId="77777777" w:rsidR="00FD5D84" w:rsidRPr="00005453" w:rsidRDefault="00FD5D84" w:rsidP="00CC7300">
            <w:pPr>
              <w:jc w:val="right"/>
              <w:rPr>
                <w:b/>
                <w:bCs/>
                <w:sz w:val="18"/>
                <w:szCs w:val="18"/>
                <w:lang w:eastAsia="tr-TR"/>
              </w:rPr>
            </w:pPr>
            <w:r w:rsidRPr="00005453">
              <w:rPr>
                <w:b/>
                <w:bCs/>
                <w:sz w:val="18"/>
                <w:szCs w:val="18"/>
                <w:lang w:eastAsia="tr-TR"/>
              </w:rPr>
              <w:t xml:space="preserve">Tahsil </w:t>
            </w:r>
            <w:proofErr w:type="gramStart"/>
            <w:r w:rsidRPr="00005453">
              <w:rPr>
                <w:b/>
                <w:bCs/>
                <w:sz w:val="18"/>
                <w:szCs w:val="18"/>
                <w:lang w:eastAsia="tr-TR"/>
              </w:rPr>
              <w:t>imkanı</w:t>
            </w:r>
            <w:proofErr w:type="gramEnd"/>
            <w:r w:rsidRPr="00005453">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60E08D64" w14:textId="77777777" w:rsidR="00FD5D84" w:rsidRPr="00005453" w:rsidRDefault="00FD5D84" w:rsidP="00CC7300">
            <w:pPr>
              <w:jc w:val="right"/>
              <w:rPr>
                <w:b/>
                <w:bCs/>
                <w:sz w:val="18"/>
                <w:szCs w:val="18"/>
                <w:lang w:eastAsia="tr-TR"/>
              </w:rPr>
            </w:pPr>
            <w:r w:rsidRPr="00005453">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219D1EC1" w14:textId="77777777" w:rsidR="00FD5D84" w:rsidRPr="00005453" w:rsidRDefault="00FD5D84" w:rsidP="00CC7300">
            <w:pPr>
              <w:jc w:val="right"/>
              <w:rPr>
                <w:b/>
                <w:bCs/>
                <w:sz w:val="18"/>
                <w:szCs w:val="18"/>
                <w:lang w:eastAsia="tr-TR"/>
              </w:rPr>
            </w:pPr>
            <w:r w:rsidRPr="00005453">
              <w:rPr>
                <w:b/>
                <w:bCs/>
                <w:sz w:val="18"/>
                <w:szCs w:val="18"/>
                <w:lang w:eastAsia="tr-TR"/>
              </w:rPr>
              <w:t>Zarar niteliğindeki krediler ve diğer alacaklar</w:t>
            </w:r>
          </w:p>
        </w:tc>
      </w:tr>
      <w:tr w:rsidR="002126DA" w:rsidRPr="00005453" w14:paraId="36AF9393"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6FA33DE4" w14:textId="693F7D76" w:rsidR="002126DA" w:rsidRPr="00005453" w:rsidRDefault="002126DA" w:rsidP="002126DA">
            <w:pPr>
              <w:jc w:val="both"/>
              <w:rPr>
                <w:b/>
                <w:bCs/>
                <w:sz w:val="18"/>
                <w:szCs w:val="18"/>
                <w:lang w:eastAsia="tr-TR"/>
              </w:rPr>
            </w:pPr>
            <w:r w:rsidRPr="00005453">
              <w:rPr>
                <w:b/>
                <w:bCs/>
                <w:sz w:val="18"/>
                <w:szCs w:val="18"/>
                <w:lang w:eastAsia="tr-TR"/>
              </w:rPr>
              <w:t>Önceki dönem sonu bakiyesi 31.12.2022</w:t>
            </w:r>
          </w:p>
        </w:tc>
        <w:tc>
          <w:tcPr>
            <w:tcW w:w="1494" w:type="dxa"/>
            <w:tcBorders>
              <w:top w:val="nil"/>
              <w:left w:val="nil"/>
              <w:bottom w:val="nil"/>
              <w:right w:val="nil"/>
            </w:tcBorders>
            <w:shd w:val="clear" w:color="000000" w:fill="FFFFFF"/>
            <w:vAlign w:val="center"/>
            <w:hideMark/>
          </w:tcPr>
          <w:p w14:paraId="648A499D" w14:textId="270E6714" w:rsidR="002126DA" w:rsidRPr="00005453" w:rsidRDefault="002126DA" w:rsidP="002126DA">
            <w:pPr>
              <w:jc w:val="right"/>
              <w:rPr>
                <w:b/>
                <w:bCs/>
                <w:sz w:val="18"/>
                <w:szCs w:val="18"/>
                <w:lang w:eastAsia="tr-TR"/>
              </w:rPr>
            </w:pPr>
            <w:r w:rsidRPr="00005453">
              <w:rPr>
                <w:b/>
                <w:sz w:val="18"/>
                <w:szCs w:val="18"/>
              </w:rPr>
              <w:t>131,936</w:t>
            </w:r>
          </w:p>
        </w:tc>
        <w:tc>
          <w:tcPr>
            <w:tcW w:w="1494" w:type="dxa"/>
            <w:tcBorders>
              <w:top w:val="nil"/>
              <w:left w:val="nil"/>
              <w:bottom w:val="nil"/>
              <w:right w:val="nil"/>
            </w:tcBorders>
            <w:shd w:val="clear" w:color="auto" w:fill="auto"/>
            <w:vAlign w:val="center"/>
            <w:hideMark/>
          </w:tcPr>
          <w:p w14:paraId="2836FA8E" w14:textId="6BB3BBE6" w:rsidR="002126DA" w:rsidRPr="00005453" w:rsidRDefault="002126DA" w:rsidP="002126DA">
            <w:pPr>
              <w:jc w:val="right"/>
              <w:rPr>
                <w:b/>
                <w:bCs/>
                <w:sz w:val="18"/>
                <w:szCs w:val="18"/>
                <w:lang w:eastAsia="tr-TR"/>
              </w:rPr>
            </w:pPr>
            <w:r w:rsidRPr="00005453">
              <w:rPr>
                <w:b/>
                <w:sz w:val="18"/>
                <w:szCs w:val="18"/>
              </w:rPr>
              <w:t>304,959</w:t>
            </w:r>
          </w:p>
        </w:tc>
        <w:tc>
          <w:tcPr>
            <w:tcW w:w="1494" w:type="dxa"/>
            <w:tcBorders>
              <w:top w:val="nil"/>
              <w:left w:val="nil"/>
              <w:bottom w:val="nil"/>
              <w:right w:val="nil"/>
            </w:tcBorders>
            <w:shd w:val="clear" w:color="auto" w:fill="auto"/>
            <w:vAlign w:val="center"/>
            <w:hideMark/>
          </w:tcPr>
          <w:p w14:paraId="6036F05A" w14:textId="48CCA570" w:rsidR="002126DA" w:rsidRPr="00005453" w:rsidRDefault="002126DA" w:rsidP="002126DA">
            <w:pPr>
              <w:jc w:val="right"/>
              <w:rPr>
                <w:b/>
                <w:bCs/>
                <w:sz w:val="18"/>
                <w:szCs w:val="18"/>
                <w:lang w:eastAsia="tr-TR"/>
              </w:rPr>
            </w:pPr>
            <w:r w:rsidRPr="00005453">
              <w:rPr>
                <w:b/>
                <w:sz w:val="18"/>
                <w:szCs w:val="18"/>
              </w:rPr>
              <w:t>2,809,152</w:t>
            </w:r>
          </w:p>
        </w:tc>
      </w:tr>
      <w:tr w:rsidR="002126DA" w:rsidRPr="00005453" w14:paraId="5447978E" w14:textId="77777777" w:rsidTr="00F676AA">
        <w:trPr>
          <w:divId w:val="1212035657"/>
          <w:trHeight w:val="230"/>
        </w:trPr>
        <w:tc>
          <w:tcPr>
            <w:tcW w:w="4738" w:type="dxa"/>
            <w:tcBorders>
              <w:top w:val="nil"/>
              <w:left w:val="nil"/>
              <w:bottom w:val="nil"/>
              <w:right w:val="nil"/>
            </w:tcBorders>
            <w:shd w:val="clear" w:color="auto" w:fill="auto"/>
            <w:vAlign w:val="center"/>
            <w:hideMark/>
          </w:tcPr>
          <w:p w14:paraId="08BD30F1" w14:textId="6710F56B" w:rsidR="002126DA" w:rsidRPr="00005453" w:rsidRDefault="002126DA" w:rsidP="002126DA">
            <w:pPr>
              <w:jc w:val="both"/>
              <w:rPr>
                <w:sz w:val="18"/>
                <w:szCs w:val="18"/>
                <w:lang w:eastAsia="tr-TR"/>
              </w:rPr>
            </w:pPr>
            <w:r w:rsidRPr="00005453">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5D0B4C6A" w14:textId="32C326FC" w:rsidR="002126DA" w:rsidRPr="00005453" w:rsidRDefault="002126DA" w:rsidP="002126DA">
            <w:pPr>
              <w:jc w:val="right"/>
              <w:rPr>
                <w:sz w:val="18"/>
                <w:szCs w:val="18"/>
                <w:lang w:eastAsia="tr-TR"/>
              </w:rPr>
            </w:pPr>
            <w:r w:rsidRPr="00005453">
              <w:rPr>
                <w:sz w:val="18"/>
                <w:szCs w:val="18"/>
              </w:rPr>
              <w:t>264,948</w:t>
            </w:r>
          </w:p>
        </w:tc>
        <w:tc>
          <w:tcPr>
            <w:tcW w:w="1494" w:type="dxa"/>
            <w:tcBorders>
              <w:top w:val="nil"/>
              <w:left w:val="nil"/>
              <w:bottom w:val="nil"/>
              <w:right w:val="nil"/>
            </w:tcBorders>
            <w:shd w:val="clear" w:color="auto" w:fill="auto"/>
            <w:vAlign w:val="center"/>
            <w:hideMark/>
          </w:tcPr>
          <w:p w14:paraId="157F678F" w14:textId="480DC6E5" w:rsidR="002126DA" w:rsidRPr="00005453" w:rsidRDefault="002126DA" w:rsidP="002126DA">
            <w:pPr>
              <w:jc w:val="right"/>
              <w:rPr>
                <w:sz w:val="18"/>
                <w:szCs w:val="18"/>
                <w:lang w:eastAsia="tr-TR"/>
              </w:rPr>
            </w:pPr>
            <w:r w:rsidRPr="00005453">
              <w:rPr>
                <w:sz w:val="18"/>
                <w:szCs w:val="18"/>
              </w:rPr>
              <w:t>585,369</w:t>
            </w:r>
          </w:p>
        </w:tc>
        <w:tc>
          <w:tcPr>
            <w:tcW w:w="1494" w:type="dxa"/>
            <w:tcBorders>
              <w:top w:val="nil"/>
              <w:left w:val="nil"/>
              <w:bottom w:val="nil"/>
              <w:right w:val="nil"/>
            </w:tcBorders>
            <w:shd w:val="clear" w:color="auto" w:fill="auto"/>
            <w:vAlign w:val="center"/>
            <w:hideMark/>
          </w:tcPr>
          <w:p w14:paraId="53B4A5C0" w14:textId="74BC0C20" w:rsidR="002126DA" w:rsidRPr="00005453" w:rsidRDefault="002126DA" w:rsidP="002126DA">
            <w:pPr>
              <w:jc w:val="right"/>
              <w:rPr>
                <w:sz w:val="18"/>
                <w:szCs w:val="18"/>
                <w:lang w:eastAsia="tr-TR"/>
              </w:rPr>
            </w:pPr>
            <w:r w:rsidRPr="00005453">
              <w:rPr>
                <w:sz w:val="18"/>
                <w:szCs w:val="18"/>
              </w:rPr>
              <w:t>1,199,267</w:t>
            </w:r>
          </w:p>
        </w:tc>
      </w:tr>
      <w:tr w:rsidR="002126DA" w:rsidRPr="00005453" w14:paraId="5C940318" w14:textId="77777777" w:rsidTr="00F676AA">
        <w:trPr>
          <w:divId w:val="1212035657"/>
          <w:trHeight w:val="230"/>
        </w:trPr>
        <w:tc>
          <w:tcPr>
            <w:tcW w:w="4738" w:type="dxa"/>
            <w:tcBorders>
              <w:top w:val="nil"/>
              <w:left w:val="nil"/>
              <w:bottom w:val="nil"/>
              <w:right w:val="nil"/>
            </w:tcBorders>
            <w:shd w:val="clear" w:color="auto" w:fill="auto"/>
            <w:vAlign w:val="center"/>
            <w:hideMark/>
          </w:tcPr>
          <w:p w14:paraId="598E1680" w14:textId="0B22CC40" w:rsidR="002126DA" w:rsidRPr="00005453" w:rsidRDefault="002126DA" w:rsidP="002126DA">
            <w:pPr>
              <w:jc w:val="both"/>
              <w:rPr>
                <w:sz w:val="18"/>
                <w:szCs w:val="18"/>
                <w:lang w:eastAsia="tr-TR"/>
              </w:rPr>
            </w:pPr>
            <w:r w:rsidRPr="00005453">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3B020644" w14:textId="04388DEC" w:rsidR="002126DA" w:rsidRPr="00005453" w:rsidRDefault="002126DA" w:rsidP="002126DA">
            <w:pPr>
              <w:jc w:val="right"/>
              <w:rPr>
                <w:sz w:val="18"/>
                <w:szCs w:val="18"/>
                <w:lang w:eastAsia="tr-TR"/>
              </w:rPr>
            </w:pPr>
            <w:r w:rsidRPr="00005453">
              <w:rPr>
                <w:sz w:val="18"/>
                <w:szCs w:val="18"/>
              </w:rPr>
              <w:t>-</w:t>
            </w:r>
          </w:p>
        </w:tc>
        <w:tc>
          <w:tcPr>
            <w:tcW w:w="1494" w:type="dxa"/>
            <w:tcBorders>
              <w:top w:val="nil"/>
              <w:left w:val="nil"/>
              <w:bottom w:val="nil"/>
              <w:right w:val="nil"/>
            </w:tcBorders>
            <w:shd w:val="clear" w:color="auto" w:fill="auto"/>
            <w:vAlign w:val="center"/>
            <w:hideMark/>
          </w:tcPr>
          <w:p w14:paraId="57B72968" w14:textId="631D7971" w:rsidR="002126DA" w:rsidRPr="00005453" w:rsidRDefault="002126DA" w:rsidP="002126DA">
            <w:pPr>
              <w:jc w:val="right"/>
              <w:rPr>
                <w:sz w:val="18"/>
                <w:szCs w:val="18"/>
                <w:lang w:eastAsia="tr-TR"/>
              </w:rPr>
            </w:pPr>
            <w:r w:rsidRPr="00005453">
              <w:rPr>
                <w:sz w:val="18"/>
                <w:szCs w:val="18"/>
              </w:rPr>
              <w:t>137,098</w:t>
            </w:r>
          </w:p>
        </w:tc>
        <w:tc>
          <w:tcPr>
            <w:tcW w:w="1494" w:type="dxa"/>
            <w:tcBorders>
              <w:top w:val="nil"/>
              <w:left w:val="nil"/>
              <w:bottom w:val="nil"/>
              <w:right w:val="nil"/>
            </w:tcBorders>
            <w:shd w:val="clear" w:color="auto" w:fill="auto"/>
            <w:vAlign w:val="center"/>
            <w:hideMark/>
          </w:tcPr>
          <w:p w14:paraId="28BC584B" w14:textId="3D1B1AA3" w:rsidR="002126DA" w:rsidRPr="00005453" w:rsidRDefault="002126DA" w:rsidP="002126DA">
            <w:pPr>
              <w:jc w:val="right"/>
              <w:rPr>
                <w:sz w:val="18"/>
                <w:szCs w:val="18"/>
                <w:lang w:eastAsia="tr-TR"/>
              </w:rPr>
            </w:pPr>
            <w:r w:rsidRPr="00005453">
              <w:rPr>
                <w:sz w:val="18"/>
                <w:szCs w:val="18"/>
              </w:rPr>
              <w:t>478,316</w:t>
            </w:r>
          </w:p>
        </w:tc>
      </w:tr>
      <w:tr w:rsidR="002126DA" w:rsidRPr="00005453" w14:paraId="648C4357" w14:textId="77777777" w:rsidTr="00F676AA">
        <w:trPr>
          <w:divId w:val="1212035657"/>
          <w:trHeight w:val="230"/>
        </w:trPr>
        <w:tc>
          <w:tcPr>
            <w:tcW w:w="4738" w:type="dxa"/>
            <w:tcBorders>
              <w:top w:val="nil"/>
              <w:left w:val="nil"/>
              <w:bottom w:val="nil"/>
              <w:right w:val="nil"/>
            </w:tcBorders>
            <w:shd w:val="clear" w:color="auto" w:fill="auto"/>
            <w:vAlign w:val="center"/>
            <w:hideMark/>
          </w:tcPr>
          <w:p w14:paraId="3547A55B" w14:textId="5FF50ED0" w:rsidR="002126DA" w:rsidRPr="00005453" w:rsidRDefault="002126DA" w:rsidP="002126DA">
            <w:pPr>
              <w:jc w:val="both"/>
              <w:rPr>
                <w:sz w:val="18"/>
                <w:szCs w:val="18"/>
                <w:lang w:eastAsia="tr-TR"/>
              </w:rPr>
            </w:pPr>
            <w:r w:rsidRPr="00005453">
              <w:rPr>
                <w:sz w:val="18"/>
                <w:szCs w:val="18"/>
                <w:lang w:eastAsia="tr-TR"/>
              </w:rPr>
              <w:t xml:space="preserve">Diğer donuk alacak hesaplarına </w:t>
            </w:r>
            <w:proofErr w:type="gramStart"/>
            <w:r w:rsidRPr="00005453">
              <w:rPr>
                <w:sz w:val="18"/>
                <w:szCs w:val="18"/>
                <w:lang w:eastAsia="tr-TR"/>
              </w:rPr>
              <w:t>çıkış(</w:t>
            </w:r>
            <w:proofErr w:type="gramEnd"/>
            <w:r w:rsidRPr="00005453">
              <w:rPr>
                <w:sz w:val="18"/>
                <w:szCs w:val="18"/>
                <w:lang w:eastAsia="tr-TR"/>
              </w:rPr>
              <w:t>-)</w:t>
            </w:r>
          </w:p>
        </w:tc>
        <w:tc>
          <w:tcPr>
            <w:tcW w:w="1494" w:type="dxa"/>
            <w:tcBorders>
              <w:top w:val="nil"/>
              <w:left w:val="nil"/>
              <w:bottom w:val="nil"/>
              <w:right w:val="nil"/>
            </w:tcBorders>
            <w:shd w:val="clear" w:color="000000" w:fill="FFFFFF"/>
            <w:vAlign w:val="center"/>
            <w:hideMark/>
          </w:tcPr>
          <w:p w14:paraId="189F74A5" w14:textId="626F21D3" w:rsidR="002126DA" w:rsidRPr="00005453" w:rsidRDefault="002126DA" w:rsidP="002126DA">
            <w:pPr>
              <w:jc w:val="right"/>
              <w:rPr>
                <w:sz w:val="18"/>
                <w:szCs w:val="18"/>
                <w:lang w:eastAsia="tr-TR"/>
              </w:rPr>
            </w:pPr>
            <w:r w:rsidRPr="00005453">
              <w:rPr>
                <w:sz w:val="18"/>
                <w:szCs w:val="18"/>
              </w:rPr>
              <w:t>137,098</w:t>
            </w:r>
          </w:p>
        </w:tc>
        <w:tc>
          <w:tcPr>
            <w:tcW w:w="1494" w:type="dxa"/>
            <w:tcBorders>
              <w:top w:val="nil"/>
              <w:left w:val="nil"/>
              <w:bottom w:val="nil"/>
              <w:right w:val="nil"/>
            </w:tcBorders>
            <w:shd w:val="clear" w:color="auto" w:fill="auto"/>
            <w:vAlign w:val="center"/>
            <w:hideMark/>
          </w:tcPr>
          <w:p w14:paraId="384A9697" w14:textId="0BC5C5A2" w:rsidR="002126DA" w:rsidRPr="00005453" w:rsidRDefault="002126DA" w:rsidP="002126DA">
            <w:pPr>
              <w:jc w:val="right"/>
              <w:rPr>
                <w:sz w:val="18"/>
                <w:szCs w:val="18"/>
                <w:lang w:eastAsia="tr-TR"/>
              </w:rPr>
            </w:pPr>
            <w:r w:rsidRPr="00005453">
              <w:rPr>
                <w:sz w:val="18"/>
                <w:szCs w:val="18"/>
              </w:rPr>
              <w:t>478,316</w:t>
            </w:r>
          </w:p>
        </w:tc>
        <w:tc>
          <w:tcPr>
            <w:tcW w:w="1494" w:type="dxa"/>
            <w:tcBorders>
              <w:top w:val="nil"/>
              <w:left w:val="nil"/>
              <w:bottom w:val="nil"/>
              <w:right w:val="nil"/>
            </w:tcBorders>
            <w:shd w:val="clear" w:color="auto" w:fill="auto"/>
            <w:vAlign w:val="center"/>
            <w:hideMark/>
          </w:tcPr>
          <w:p w14:paraId="207FDE9F" w14:textId="30F26077" w:rsidR="002126DA" w:rsidRPr="00005453" w:rsidRDefault="002126DA" w:rsidP="002126DA">
            <w:pPr>
              <w:jc w:val="right"/>
              <w:rPr>
                <w:sz w:val="18"/>
                <w:szCs w:val="18"/>
                <w:lang w:eastAsia="tr-TR"/>
              </w:rPr>
            </w:pPr>
            <w:r w:rsidRPr="00005453">
              <w:rPr>
                <w:sz w:val="18"/>
                <w:szCs w:val="18"/>
              </w:rPr>
              <w:t>-</w:t>
            </w:r>
          </w:p>
        </w:tc>
      </w:tr>
      <w:tr w:rsidR="002126DA" w:rsidRPr="00005453" w14:paraId="0EA7BBE1" w14:textId="77777777" w:rsidTr="00F676AA">
        <w:trPr>
          <w:divId w:val="1212035657"/>
          <w:trHeight w:val="216"/>
        </w:trPr>
        <w:tc>
          <w:tcPr>
            <w:tcW w:w="4738" w:type="dxa"/>
            <w:tcBorders>
              <w:top w:val="nil"/>
              <w:left w:val="nil"/>
              <w:bottom w:val="nil"/>
              <w:right w:val="nil"/>
            </w:tcBorders>
            <w:shd w:val="clear" w:color="auto" w:fill="auto"/>
            <w:vAlign w:val="center"/>
            <w:hideMark/>
          </w:tcPr>
          <w:p w14:paraId="740048AE" w14:textId="1DE4353F" w:rsidR="002126DA" w:rsidRPr="00005453" w:rsidRDefault="002126DA" w:rsidP="002126DA">
            <w:pPr>
              <w:jc w:val="both"/>
              <w:rPr>
                <w:sz w:val="18"/>
                <w:szCs w:val="18"/>
                <w:lang w:eastAsia="tr-TR"/>
              </w:rPr>
            </w:pPr>
            <w:r w:rsidRPr="00005453">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49F12084" w14:textId="7EECDEC8" w:rsidR="002126DA" w:rsidRPr="00005453" w:rsidRDefault="002126DA" w:rsidP="002126DA">
            <w:pPr>
              <w:jc w:val="right"/>
              <w:rPr>
                <w:sz w:val="18"/>
                <w:szCs w:val="18"/>
                <w:lang w:eastAsia="tr-TR"/>
              </w:rPr>
            </w:pPr>
            <w:r w:rsidRPr="00005453">
              <w:rPr>
                <w:sz w:val="18"/>
                <w:szCs w:val="18"/>
              </w:rPr>
              <w:t>28,042</w:t>
            </w:r>
          </w:p>
        </w:tc>
        <w:tc>
          <w:tcPr>
            <w:tcW w:w="1494" w:type="dxa"/>
            <w:tcBorders>
              <w:top w:val="nil"/>
              <w:left w:val="nil"/>
              <w:bottom w:val="nil"/>
              <w:right w:val="nil"/>
            </w:tcBorders>
            <w:shd w:val="clear" w:color="auto" w:fill="auto"/>
            <w:vAlign w:val="center"/>
            <w:hideMark/>
          </w:tcPr>
          <w:p w14:paraId="4279319C" w14:textId="03AB38FC" w:rsidR="002126DA" w:rsidRPr="00005453" w:rsidRDefault="002126DA" w:rsidP="002126DA">
            <w:pPr>
              <w:jc w:val="right"/>
              <w:rPr>
                <w:sz w:val="18"/>
                <w:szCs w:val="18"/>
                <w:lang w:eastAsia="tr-TR"/>
              </w:rPr>
            </w:pPr>
            <w:r w:rsidRPr="00005453">
              <w:rPr>
                <w:sz w:val="18"/>
                <w:szCs w:val="18"/>
              </w:rPr>
              <w:t>114,856</w:t>
            </w:r>
          </w:p>
        </w:tc>
        <w:tc>
          <w:tcPr>
            <w:tcW w:w="1494" w:type="dxa"/>
            <w:tcBorders>
              <w:top w:val="nil"/>
              <w:left w:val="nil"/>
              <w:bottom w:val="nil"/>
              <w:right w:val="nil"/>
            </w:tcBorders>
            <w:shd w:val="clear" w:color="auto" w:fill="auto"/>
            <w:vAlign w:val="center"/>
            <w:hideMark/>
          </w:tcPr>
          <w:p w14:paraId="3E70F65A" w14:textId="0B471131" w:rsidR="002126DA" w:rsidRPr="00005453" w:rsidRDefault="002126DA" w:rsidP="002126DA">
            <w:pPr>
              <w:jc w:val="right"/>
              <w:rPr>
                <w:sz w:val="18"/>
                <w:szCs w:val="18"/>
                <w:lang w:eastAsia="tr-TR"/>
              </w:rPr>
            </w:pPr>
            <w:r w:rsidRPr="00005453">
              <w:rPr>
                <w:sz w:val="18"/>
                <w:szCs w:val="18"/>
              </w:rPr>
              <w:t>1,002,147</w:t>
            </w:r>
          </w:p>
        </w:tc>
      </w:tr>
      <w:tr w:rsidR="002126DA" w:rsidRPr="00005453" w14:paraId="4C7650AB"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53DF70C4" w14:textId="4A01BAA2" w:rsidR="002126DA" w:rsidRPr="00005453" w:rsidRDefault="002126DA" w:rsidP="002126DA">
            <w:pPr>
              <w:jc w:val="both"/>
              <w:rPr>
                <w:sz w:val="18"/>
                <w:szCs w:val="18"/>
                <w:lang w:eastAsia="tr-TR"/>
              </w:rPr>
            </w:pPr>
            <w:r w:rsidRPr="00005453">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3DF5FABA" w14:textId="6DCD9CC8"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20A07E26" w14:textId="3C36374B"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481443B5" w14:textId="5D49BD72" w:rsidR="002126DA" w:rsidRPr="00005453" w:rsidRDefault="002126DA" w:rsidP="002126DA">
            <w:pPr>
              <w:jc w:val="right"/>
              <w:rPr>
                <w:sz w:val="18"/>
                <w:szCs w:val="18"/>
                <w:lang w:eastAsia="tr-TR"/>
              </w:rPr>
            </w:pPr>
            <w:r w:rsidRPr="00005453">
              <w:rPr>
                <w:sz w:val="18"/>
                <w:szCs w:val="18"/>
                <w:lang w:eastAsia="tr-TR"/>
              </w:rPr>
              <w:t>547,245</w:t>
            </w:r>
          </w:p>
        </w:tc>
      </w:tr>
      <w:tr w:rsidR="002126DA" w:rsidRPr="00005453" w14:paraId="0E57486A"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720188C2" w14:textId="47DAFAB8" w:rsidR="002126DA" w:rsidRPr="00005453" w:rsidRDefault="002126DA" w:rsidP="002126DA">
            <w:pPr>
              <w:jc w:val="both"/>
              <w:rPr>
                <w:b/>
                <w:bCs/>
                <w:sz w:val="18"/>
                <w:szCs w:val="18"/>
                <w:lang w:eastAsia="tr-TR"/>
              </w:rPr>
            </w:pPr>
            <w:r w:rsidRPr="00005453">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3FE8761C" w14:textId="1BC1860D" w:rsidR="002126DA" w:rsidRPr="00005453" w:rsidRDefault="002126DA" w:rsidP="002126DA">
            <w:pPr>
              <w:jc w:val="right"/>
              <w:rPr>
                <w:sz w:val="18"/>
                <w:szCs w:val="18"/>
                <w:lang w:eastAsia="tr-TR"/>
              </w:rPr>
            </w:pPr>
            <w:r w:rsidRPr="00005453">
              <w:rPr>
                <w:b/>
                <w:sz w:val="18"/>
                <w:szCs w:val="18"/>
                <w:lang w:eastAsia="tr-TR"/>
              </w:rPr>
              <w:t>-</w:t>
            </w:r>
          </w:p>
        </w:tc>
        <w:tc>
          <w:tcPr>
            <w:tcW w:w="1494" w:type="dxa"/>
            <w:tcBorders>
              <w:top w:val="nil"/>
              <w:left w:val="nil"/>
              <w:bottom w:val="nil"/>
              <w:right w:val="nil"/>
            </w:tcBorders>
            <w:shd w:val="clear" w:color="auto" w:fill="auto"/>
            <w:vAlign w:val="center"/>
            <w:hideMark/>
          </w:tcPr>
          <w:p w14:paraId="5407DEEC" w14:textId="431E60DA" w:rsidR="002126DA" w:rsidRPr="00005453" w:rsidRDefault="002126DA" w:rsidP="002126DA">
            <w:pPr>
              <w:jc w:val="right"/>
              <w:rPr>
                <w:b/>
                <w:bCs/>
                <w:sz w:val="18"/>
                <w:szCs w:val="18"/>
                <w:lang w:eastAsia="tr-TR"/>
              </w:rPr>
            </w:pPr>
            <w:r w:rsidRPr="00005453">
              <w:rPr>
                <w:b/>
                <w:sz w:val="18"/>
                <w:szCs w:val="18"/>
                <w:lang w:eastAsia="tr-TR"/>
              </w:rPr>
              <w:t>-</w:t>
            </w:r>
          </w:p>
        </w:tc>
        <w:tc>
          <w:tcPr>
            <w:tcW w:w="1494" w:type="dxa"/>
            <w:tcBorders>
              <w:top w:val="nil"/>
              <w:left w:val="nil"/>
              <w:bottom w:val="nil"/>
              <w:right w:val="nil"/>
            </w:tcBorders>
            <w:shd w:val="clear" w:color="auto" w:fill="auto"/>
            <w:vAlign w:val="center"/>
            <w:hideMark/>
          </w:tcPr>
          <w:p w14:paraId="4CFFD9E7" w14:textId="7BAD2056" w:rsidR="002126DA" w:rsidRPr="00005453" w:rsidRDefault="002126DA" w:rsidP="002126DA">
            <w:pPr>
              <w:jc w:val="right"/>
              <w:rPr>
                <w:b/>
                <w:bCs/>
                <w:sz w:val="18"/>
                <w:szCs w:val="18"/>
                <w:lang w:eastAsia="tr-TR"/>
              </w:rPr>
            </w:pPr>
            <w:r w:rsidRPr="00005453">
              <w:rPr>
                <w:b/>
                <w:sz w:val="18"/>
                <w:szCs w:val="18"/>
                <w:lang w:eastAsia="tr-TR"/>
              </w:rPr>
              <w:t>-</w:t>
            </w:r>
          </w:p>
        </w:tc>
      </w:tr>
      <w:tr w:rsidR="002126DA" w:rsidRPr="00005453" w14:paraId="473D541C"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4581C7A6" w14:textId="6C638CF6" w:rsidR="002126DA" w:rsidRPr="00005453" w:rsidRDefault="002126DA" w:rsidP="002126DA">
            <w:pPr>
              <w:rPr>
                <w:sz w:val="18"/>
                <w:szCs w:val="18"/>
                <w:lang w:eastAsia="tr-TR"/>
              </w:rPr>
            </w:pPr>
            <w:r w:rsidRPr="00005453">
              <w:rPr>
                <w:sz w:val="18"/>
                <w:szCs w:val="18"/>
                <w:lang w:eastAsia="tr-TR"/>
              </w:rPr>
              <w:t>Kurumsal ve ticari krediler</w:t>
            </w:r>
          </w:p>
        </w:tc>
        <w:tc>
          <w:tcPr>
            <w:tcW w:w="1494" w:type="dxa"/>
            <w:tcBorders>
              <w:top w:val="nil"/>
              <w:left w:val="nil"/>
              <w:bottom w:val="nil"/>
              <w:right w:val="nil"/>
            </w:tcBorders>
            <w:shd w:val="clear" w:color="000000" w:fill="FFFFFF"/>
            <w:vAlign w:val="center"/>
            <w:hideMark/>
          </w:tcPr>
          <w:p w14:paraId="1ED50D8A" w14:textId="14B495F6"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6E751FA0" w14:textId="15F9A169"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1E4B3BAE" w14:textId="5BE2FDFF" w:rsidR="002126DA" w:rsidRPr="00005453" w:rsidRDefault="002126DA" w:rsidP="002126DA">
            <w:pPr>
              <w:jc w:val="right"/>
              <w:rPr>
                <w:sz w:val="18"/>
                <w:szCs w:val="18"/>
                <w:lang w:eastAsia="tr-TR"/>
              </w:rPr>
            </w:pPr>
            <w:r w:rsidRPr="00005453">
              <w:rPr>
                <w:sz w:val="18"/>
                <w:szCs w:val="18"/>
                <w:lang w:eastAsia="tr-TR"/>
              </w:rPr>
              <w:t>-</w:t>
            </w:r>
          </w:p>
        </w:tc>
      </w:tr>
      <w:tr w:rsidR="002126DA" w:rsidRPr="00005453" w14:paraId="444204F5"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16D07E1B" w14:textId="4223A33E" w:rsidR="002126DA" w:rsidRPr="00005453" w:rsidRDefault="002126DA" w:rsidP="002126DA">
            <w:pPr>
              <w:rPr>
                <w:sz w:val="18"/>
                <w:szCs w:val="18"/>
                <w:lang w:eastAsia="tr-TR"/>
              </w:rPr>
            </w:pPr>
            <w:r w:rsidRPr="00005453">
              <w:rPr>
                <w:sz w:val="18"/>
                <w:szCs w:val="18"/>
                <w:lang w:eastAsia="tr-TR"/>
              </w:rPr>
              <w:t>Bireysel krediler</w:t>
            </w:r>
            <w:r w:rsidRPr="00005453">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78293AB" w14:textId="113DEA44"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4767FA5C" w14:textId="305E6492"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7AFC8332" w14:textId="61D4BC61" w:rsidR="002126DA" w:rsidRPr="00005453" w:rsidRDefault="002126DA" w:rsidP="002126DA">
            <w:pPr>
              <w:jc w:val="right"/>
              <w:rPr>
                <w:sz w:val="18"/>
                <w:szCs w:val="18"/>
                <w:lang w:eastAsia="tr-TR"/>
              </w:rPr>
            </w:pPr>
            <w:r w:rsidRPr="00005453">
              <w:rPr>
                <w:sz w:val="18"/>
                <w:szCs w:val="18"/>
                <w:lang w:eastAsia="tr-TR"/>
              </w:rPr>
              <w:t>-</w:t>
            </w:r>
          </w:p>
        </w:tc>
      </w:tr>
      <w:tr w:rsidR="002126DA" w:rsidRPr="00005453" w14:paraId="0AA38885"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33C50525" w14:textId="6C3A4E53" w:rsidR="002126DA" w:rsidRPr="00005453" w:rsidRDefault="002126DA" w:rsidP="002126DA">
            <w:pPr>
              <w:rPr>
                <w:sz w:val="18"/>
                <w:szCs w:val="18"/>
                <w:lang w:eastAsia="tr-TR"/>
              </w:rPr>
            </w:pPr>
            <w:r w:rsidRPr="00005453">
              <w:rPr>
                <w:sz w:val="18"/>
                <w:szCs w:val="18"/>
                <w:lang w:eastAsia="tr-TR"/>
              </w:rPr>
              <w:t>Kredi kartları</w:t>
            </w:r>
          </w:p>
        </w:tc>
        <w:tc>
          <w:tcPr>
            <w:tcW w:w="1494" w:type="dxa"/>
            <w:tcBorders>
              <w:top w:val="nil"/>
              <w:left w:val="nil"/>
              <w:bottom w:val="nil"/>
              <w:right w:val="nil"/>
            </w:tcBorders>
            <w:shd w:val="clear" w:color="000000" w:fill="FFFFFF"/>
            <w:vAlign w:val="center"/>
            <w:hideMark/>
          </w:tcPr>
          <w:p w14:paraId="286323A0" w14:textId="27D32094"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7E5A7A07" w14:textId="28AB6C44"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700854A1" w14:textId="6AFA8616" w:rsidR="002126DA" w:rsidRPr="00005453" w:rsidRDefault="002126DA" w:rsidP="002126DA">
            <w:pPr>
              <w:jc w:val="right"/>
              <w:rPr>
                <w:sz w:val="18"/>
                <w:szCs w:val="18"/>
                <w:lang w:eastAsia="tr-TR"/>
              </w:rPr>
            </w:pPr>
            <w:r w:rsidRPr="00005453">
              <w:rPr>
                <w:sz w:val="18"/>
                <w:szCs w:val="18"/>
                <w:lang w:eastAsia="tr-TR"/>
              </w:rPr>
              <w:t>-</w:t>
            </w:r>
          </w:p>
        </w:tc>
      </w:tr>
      <w:tr w:rsidR="002126DA" w:rsidRPr="00005453" w14:paraId="7589FB6A"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3EB91CAD" w14:textId="13DBA6F6" w:rsidR="002126DA" w:rsidRPr="00005453" w:rsidRDefault="002126DA" w:rsidP="002126DA">
            <w:pPr>
              <w:rPr>
                <w:sz w:val="18"/>
                <w:szCs w:val="18"/>
                <w:lang w:eastAsia="tr-TR"/>
              </w:rPr>
            </w:pPr>
            <w:r w:rsidRPr="00005453">
              <w:rPr>
                <w:sz w:val="18"/>
                <w:szCs w:val="18"/>
                <w:lang w:eastAsia="tr-TR"/>
              </w:rPr>
              <w:t>Diğer</w:t>
            </w:r>
          </w:p>
        </w:tc>
        <w:tc>
          <w:tcPr>
            <w:tcW w:w="1494" w:type="dxa"/>
            <w:tcBorders>
              <w:top w:val="nil"/>
              <w:left w:val="nil"/>
              <w:bottom w:val="nil"/>
              <w:right w:val="nil"/>
            </w:tcBorders>
            <w:shd w:val="clear" w:color="000000" w:fill="FFFFFF"/>
            <w:vAlign w:val="center"/>
            <w:hideMark/>
          </w:tcPr>
          <w:p w14:paraId="5E8DE1D4" w14:textId="45C4461F"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041D58B6" w14:textId="737BDFB1" w:rsidR="002126DA" w:rsidRPr="00005453" w:rsidRDefault="002126DA" w:rsidP="002126DA">
            <w:pPr>
              <w:jc w:val="right"/>
              <w:rPr>
                <w:sz w:val="18"/>
                <w:szCs w:val="18"/>
                <w:lang w:eastAsia="tr-TR"/>
              </w:rPr>
            </w:pPr>
            <w:r w:rsidRPr="00005453">
              <w:rPr>
                <w:sz w:val="18"/>
                <w:szCs w:val="18"/>
                <w:lang w:eastAsia="tr-TR"/>
              </w:rPr>
              <w:t>-</w:t>
            </w:r>
          </w:p>
        </w:tc>
        <w:tc>
          <w:tcPr>
            <w:tcW w:w="1494" w:type="dxa"/>
            <w:tcBorders>
              <w:top w:val="nil"/>
              <w:left w:val="nil"/>
              <w:bottom w:val="nil"/>
              <w:right w:val="nil"/>
            </w:tcBorders>
            <w:shd w:val="clear" w:color="auto" w:fill="auto"/>
            <w:vAlign w:val="center"/>
            <w:hideMark/>
          </w:tcPr>
          <w:p w14:paraId="74E0F7A9" w14:textId="5381F6DC" w:rsidR="002126DA" w:rsidRPr="00005453" w:rsidRDefault="002126DA" w:rsidP="002126DA">
            <w:pPr>
              <w:jc w:val="right"/>
              <w:rPr>
                <w:sz w:val="18"/>
                <w:szCs w:val="18"/>
                <w:lang w:eastAsia="tr-TR"/>
              </w:rPr>
            </w:pPr>
            <w:r w:rsidRPr="00005453">
              <w:rPr>
                <w:sz w:val="18"/>
                <w:szCs w:val="18"/>
                <w:lang w:eastAsia="tr-TR"/>
              </w:rPr>
              <w:t>-</w:t>
            </w:r>
          </w:p>
        </w:tc>
      </w:tr>
      <w:tr w:rsidR="002126DA" w:rsidRPr="00005453" w14:paraId="798C142B"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497EF670" w14:textId="3E6CF0A0" w:rsidR="002126DA" w:rsidRPr="00005453" w:rsidRDefault="002126DA" w:rsidP="002126DA">
            <w:pPr>
              <w:jc w:val="both"/>
              <w:rPr>
                <w:b/>
                <w:bCs/>
                <w:sz w:val="18"/>
                <w:szCs w:val="18"/>
                <w:lang w:eastAsia="tr-TR"/>
              </w:rPr>
            </w:pPr>
            <w:r w:rsidRPr="00005453">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26C0F3F1" w14:textId="555A9F10" w:rsidR="002126DA" w:rsidRPr="00005453" w:rsidRDefault="002126DA" w:rsidP="002126DA">
            <w:pPr>
              <w:jc w:val="right"/>
              <w:rPr>
                <w:b/>
                <w:bCs/>
                <w:sz w:val="18"/>
                <w:szCs w:val="18"/>
                <w:lang w:eastAsia="tr-TR"/>
              </w:rPr>
            </w:pPr>
            <w:r w:rsidRPr="00005453">
              <w:rPr>
                <w:b/>
                <w:color w:val="000000"/>
                <w:sz w:val="18"/>
                <w:szCs w:val="18"/>
              </w:rPr>
              <w:t>231,744</w:t>
            </w:r>
          </w:p>
        </w:tc>
        <w:tc>
          <w:tcPr>
            <w:tcW w:w="1494" w:type="dxa"/>
            <w:tcBorders>
              <w:top w:val="nil"/>
              <w:left w:val="nil"/>
              <w:bottom w:val="nil"/>
              <w:right w:val="nil"/>
            </w:tcBorders>
            <w:shd w:val="clear" w:color="auto" w:fill="auto"/>
            <w:vAlign w:val="center"/>
            <w:hideMark/>
          </w:tcPr>
          <w:p w14:paraId="535B2271" w14:textId="412BBFFA" w:rsidR="002126DA" w:rsidRPr="00005453" w:rsidRDefault="002126DA" w:rsidP="002126DA">
            <w:pPr>
              <w:jc w:val="right"/>
              <w:rPr>
                <w:b/>
                <w:bCs/>
                <w:sz w:val="18"/>
                <w:szCs w:val="18"/>
                <w:lang w:eastAsia="tr-TR"/>
              </w:rPr>
            </w:pPr>
            <w:r w:rsidRPr="00005453">
              <w:rPr>
                <w:b/>
                <w:color w:val="000000"/>
                <w:sz w:val="18"/>
                <w:szCs w:val="18"/>
              </w:rPr>
              <w:t>434,254</w:t>
            </w:r>
          </w:p>
        </w:tc>
        <w:tc>
          <w:tcPr>
            <w:tcW w:w="1494" w:type="dxa"/>
            <w:tcBorders>
              <w:top w:val="nil"/>
              <w:left w:val="nil"/>
              <w:bottom w:val="nil"/>
              <w:right w:val="nil"/>
            </w:tcBorders>
            <w:shd w:val="clear" w:color="auto" w:fill="auto"/>
            <w:vAlign w:val="center"/>
            <w:hideMark/>
          </w:tcPr>
          <w:p w14:paraId="6A45243C" w14:textId="6B223DA7" w:rsidR="002126DA" w:rsidRPr="00005453" w:rsidRDefault="002126DA" w:rsidP="002126DA">
            <w:pPr>
              <w:jc w:val="right"/>
              <w:rPr>
                <w:b/>
                <w:bCs/>
                <w:sz w:val="18"/>
                <w:szCs w:val="18"/>
                <w:lang w:eastAsia="tr-TR"/>
              </w:rPr>
            </w:pPr>
            <w:r w:rsidRPr="00005453">
              <w:rPr>
                <w:b/>
                <w:color w:val="000000"/>
                <w:sz w:val="18"/>
                <w:szCs w:val="18"/>
              </w:rPr>
              <w:t>2,937,343</w:t>
            </w:r>
          </w:p>
        </w:tc>
      </w:tr>
      <w:tr w:rsidR="002126DA" w:rsidRPr="00005453" w14:paraId="3422837F"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0DEEB7ED" w14:textId="6D94AAB4" w:rsidR="002126DA" w:rsidRPr="00005453" w:rsidRDefault="002126DA" w:rsidP="002126DA">
            <w:pPr>
              <w:rPr>
                <w:sz w:val="18"/>
                <w:szCs w:val="18"/>
                <w:lang w:eastAsia="tr-TR"/>
              </w:rPr>
            </w:pPr>
            <w:r w:rsidRPr="00005453">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1A12ADC8" w14:textId="027D2A67" w:rsidR="002126DA" w:rsidRPr="00005453" w:rsidRDefault="002126DA" w:rsidP="002126DA">
            <w:pPr>
              <w:jc w:val="right"/>
              <w:rPr>
                <w:sz w:val="18"/>
                <w:szCs w:val="18"/>
                <w:lang w:eastAsia="tr-TR"/>
              </w:rPr>
            </w:pPr>
            <w:r w:rsidRPr="00005453">
              <w:rPr>
                <w:color w:val="000000"/>
                <w:sz w:val="18"/>
                <w:szCs w:val="18"/>
              </w:rPr>
              <w:t>171,423</w:t>
            </w:r>
          </w:p>
        </w:tc>
        <w:tc>
          <w:tcPr>
            <w:tcW w:w="1494" w:type="dxa"/>
            <w:tcBorders>
              <w:top w:val="nil"/>
              <w:left w:val="nil"/>
              <w:bottom w:val="nil"/>
              <w:right w:val="nil"/>
            </w:tcBorders>
            <w:shd w:val="clear" w:color="auto" w:fill="auto"/>
            <w:vAlign w:val="center"/>
            <w:hideMark/>
          </w:tcPr>
          <w:p w14:paraId="59A18B5A" w14:textId="55734314" w:rsidR="002126DA" w:rsidRPr="00005453" w:rsidRDefault="002126DA" w:rsidP="002126DA">
            <w:pPr>
              <w:jc w:val="right"/>
              <w:rPr>
                <w:sz w:val="18"/>
                <w:szCs w:val="18"/>
                <w:lang w:eastAsia="tr-TR"/>
              </w:rPr>
            </w:pPr>
            <w:r w:rsidRPr="00005453">
              <w:rPr>
                <w:color w:val="000000"/>
                <w:sz w:val="18"/>
                <w:szCs w:val="18"/>
              </w:rPr>
              <w:t>373,091</w:t>
            </w:r>
          </w:p>
        </w:tc>
        <w:tc>
          <w:tcPr>
            <w:tcW w:w="1494" w:type="dxa"/>
            <w:tcBorders>
              <w:top w:val="nil"/>
              <w:left w:val="nil"/>
              <w:bottom w:val="nil"/>
              <w:right w:val="nil"/>
            </w:tcBorders>
            <w:shd w:val="clear" w:color="auto" w:fill="auto"/>
            <w:vAlign w:val="center"/>
            <w:hideMark/>
          </w:tcPr>
          <w:p w14:paraId="256BD04B" w14:textId="77DF8364" w:rsidR="002126DA" w:rsidRPr="00005453" w:rsidRDefault="002126DA" w:rsidP="002126DA">
            <w:pPr>
              <w:jc w:val="right"/>
              <w:rPr>
                <w:sz w:val="18"/>
                <w:szCs w:val="18"/>
                <w:lang w:eastAsia="tr-TR"/>
              </w:rPr>
            </w:pPr>
            <w:r w:rsidRPr="00005453">
              <w:rPr>
                <w:color w:val="000000"/>
                <w:sz w:val="18"/>
                <w:szCs w:val="18"/>
              </w:rPr>
              <w:t>2,898,911</w:t>
            </w:r>
          </w:p>
        </w:tc>
      </w:tr>
      <w:tr w:rsidR="002126DA" w:rsidRPr="00005453" w14:paraId="655AA7CF" w14:textId="77777777" w:rsidTr="00CC7300">
        <w:trPr>
          <w:divId w:val="1212035657"/>
          <w:trHeight w:val="230"/>
        </w:trPr>
        <w:tc>
          <w:tcPr>
            <w:tcW w:w="4738" w:type="dxa"/>
            <w:tcBorders>
              <w:top w:val="nil"/>
              <w:left w:val="nil"/>
              <w:bottom w:val="double" w:sz="6" w:space="0" w:color="auto"/>
              <w:right w:val="nil"/>
            </w:tcBorders>
            <w:shd w:val="clear" w:color="auto" w:fill="auto"/>
            <w:vAlign w:val="center"/>
            <w:hideMark/>
          </w:tcPr>
          <w:p w14:paraId="2B1B6618" w14:textId="6D9733FF" w:rsidR="002126DA" w:rsidRPr="00005453" w:rsidRDefault="002126DA" w:rsidP="002126DA">
            <w:pPr>
              <w:jc w:val="both"/>
              <w:rPr>
                <w:b/>
                <w:bCs/>
                <w:sz w:val="18"/>
                <w:szCs w:val="18"/>
                <w:lang w:eastAsia="tr-TR"/>
              </w:rPr>
            </w:pPr>
            <w:r w:rsidRPr="00005453">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55288115" w14:textId="78A9B404" w:rsidR="002126DA" w:rsidRPr="00005453" w:rsidRDefault="002126DA" w:rsidP="002126DA">
            <w:pPr>
              <w:jc w:val="right"/>
              <w:rPr>
                <w:b/>
                <w:bCs/>
                <w:sz w:val="18"/>
                <w:szCs w:val="18"/>
                <w:lang w:eastAsia="tr-TR"/>
              </w:rPr>
            </w:pPr>
            <w:r w:rsidRPr="00005453">
              <w:rPr>
                <w:b/>
                <w:bCs/>
                <w:sz w:val="18"/>
                <w:szCs w:val="18"/>
              </w:rPr>
              <w:t>60,321</w:t>
            </w:r>
          </w:p>
        </w:tc>
        <w:tc>
          <w:tcPr>
            <w:tcW w:w="1494" w:type="dxa"/>
            <w:tcBorders>
              <w:top w:val="nil"/>
              <w:left w:val="nil"/>
              <w:bottom w:val="double" w:sz="6" w:space="0" w:color="auto"/>
              <w:right w:val="nil"/>
            </w:tcBorders>
            <w:shd w:val="clear" w:color="auto" w:fill="auto"/>
            <w:vAlign w:val="center"/>
            <w:hideMark/>
          </w:tcPr>
          <w:p w14:paraId="0DECDEB8" w14:textId="44F21EBE" w:rsidR="002126DA" w:rsidRPr="00005453" w:rsidRDefault="002126DA" w:rsidP="002126DA">
            <w:pPr>
              <w:jc w:val="right"/>
              <w:rPr>
                <w:b/>
                <w:bCs/>
                <w:sz w:val="18"/>
                <w:szCs w:val="18"/>
                <w:lang w:eastAsia="tr-TR"/>
              </w:rPr>
            </w:pPr>
            <w:r w:rsidRPr="00005453">
              <w:rPr>
                <w:b/>
                <w:bCs/>
                <w:sz w:val="18"/>
                <w:szCs w:val="18"/>
              </w:rPr>
              <w:t>61,163</w:t>
            </w:r>
          </w:p>
        </w:tc>
        <w:tc>
          <w:tcPr>
            <w:tcW w:w="1494" w:type="dxa"/>
            <w:tcBorders>
              <w:top w:val="nil"/>
              <w:left w:val="nil"/>
              <w:bottom w:val="double" w:sz="6" w:space="0" w:color="auto"/>
              <w:right w:val="nil"/>
            </w:tcBorders>
            <w:shd w:val="clear" w:color="auto" w:fill="auto"/>
            <w:vAlign w:val="center"/>
            <w:hideMark/>
          </w:tcPr>
          <w:p w14:paraId="5328F563" w14:textId="61B5CFC5" w:rsidR="002126DA" w:rsidRPr="00005453" w:rsidRDefault="002126DA" w:rsidP="002126DA">
            <w:pPr>
              <w:jc w:val="right"/>
              <w:rPr>
                <w:b/>
                <w:bCs/>
                <w:sz w:val="18"/>
                <w:szCs w:val="18"/>
                <w:lang w:eastAsia="tr-TR"/>
              </w:rPr>
            </w:pPr>
            <w:r w:rsidRPr="00005453">
              <w:rPr>
                <w:b/>
                <w:bCs/>
                <w:sz w:val="18"/>
                <w:szCs w:val="18"/>
              </w:rPr>
              <w:t>38,432</w:t>
            </w:r>
          </w:p>
        </w:tc>
      </w:tr>
    </w:tbl>
    <w:p w14:paraId="5EE900F7" w14:textId="1B838057" w:rsidR="00D22163" w:rsidRPr="00005453" w:rsidRDefault="00D22163" w:rsidP="00AC28B2">
      <w:pPr>
        <w:tabs>
          <w:tab w:val="left" w:pos="900"/>
        </w:tabs>
        <w:rPr>
          <w:sz w:val="10"/>
          <w:lang w:val="en-GB" w:eastAsia="en-GB"/>
        </w:rPr>
      </w:pPr>
    </w:p>
    <w:p w14:paraId="7FB2256D" w14:textId="77777777" w:rsidR="00711F83" w:rsidRPr="00005453" w:rsidRDefault="00711F83" w:rsidP="008E42CD">
      <w:pPr>
        <w:tabs>
          <w:tab w:val="left" w:pos="0"/>
        </w:tabs>
        <w:ind w:left="709" w:hanging="1276"/>
        <w:rPr>
          <w:b/>
          <w:iCs/>
          <w:sz w:val="4"/>
        </w:rPr>
      </w:pPr>
    </w:p>
    <w:p w14:paraId="7052C719" w14:textId="5FCD40CF" w:rsidR="00B74DDB" w:rsidRPr="00005453" w:rsidRDefault="00B74DDB" w:rsidP="00985AFC">
      <w:pPr>
        <w:tabs>
          <w:tab w:val="left" w:pos="0"/>
        </w:tabs>
        <w:ind w:left="-567"/>
        <w:rPr>
          <w:b/>
          <w:iCs/>
        </w:rPr>
      </w:pPr>
    </w:p>
    <w:p w14:paraId="603C41E1" w14:textId="5E812F65" w:rsidR="001D6E21" w:rsidRPr="00005453" w:rsidRDefault="001D6E21" w:rsidP="00985AFC">
      <w:pPr>
        <w:tabs>
          <w:tab w:val="left" w:pos="0"/>
        </w:tabs>
        <w:ind w:left="-567"/>
        <w:rPr>
          <w:b/>
          <w:iCs/>
        </w:rPr>
      </w:pPr>
    </w:p>
    <w:p w14:paraId="1D041CA5" w14:textId="223C6BB6" w:rsidR="001D6E21" w:rsidRPr="00005453" w:rsidRDefault="001D6E21" w:rsidP="00985AFC">
      <w:pPr>
        <w:tabs>
          <w:tab w:val="left" w:pos="0"/>
        </w:tabs>
        <w:ind w:left="-567"/>
        <w:rPr>
          <w:b/>
          <w:iCs/>
        </w:rPr>
      </w:pPr>
    </w:p>
    <w:p w14:paraId="02FCE4F6" w14:textId="13308006" w:rsidR="001D6E21" w:rsidRPr="00005453" w:rsidRDefault="001D6E21" w:rsidP="00985AFC">
      <w:pPr>
        <w:tabs>
          <w:tab w:val="left" w:pos="0"/>
        </w:tabs>
        <w:ind w:left="-567"/>
        <w:rPr>
          <w:b/>
          <w:iCs/>
        </w:rPr>
      </w:pPr>
    </w:p>
    <w:p w14:paraId="46AC2365" w14:textId="77777777" w:rsidR="002C2581" w:rsidRPr="00005453" w:rsidRDefault="002C2581" w:rsidP="00985AFC">
      <w:pPr>
        <w:tabs>
          <w:tab w:val="left" w:pos="0"/>
        </w:tabs>
        <w:ind w:left="-567"/>
        <w:rPr>
          <w:b/>
          <w:iCs/>
        </w:rPr>
      </w:pPr>
    </w:p>
    <w:p w14:paraId="037868BD" w14:textId="59AA026A" w:rsidR="001D6E21" w:rsidRPr="00005453" w:rsidRDefault="001D6E21" w:rsidP="00985AFC">
      <w:pPr>
        <w:tabs>
          <w:tab w:val="left" w:pos="0"/>
        </w:tabs>
        <w:ind w:left="-567"/>
        <w:rPr>
          <w:b/>
          <w:iCs/>
        </w:rPr>
      </w:pPr>
    </w:p>
    <w:p w14:paraId="6A2B83D5" w14:textId="4E74D617" w:rsidR="001D6E21" w:rsidRPr="00005453" w:rsidRDefault="001D6E21" w:rsidP="00985AFC">
      <w:pPr>
        <w:tabs>
          <w:tab w:val="left" w:pos="0"/>
        </w:tabs>
        <w:ind w:left="-567"/>
        <w:rPr>
          <w:b/>
          <w:iCs/>
        </w:rPr>
      </w:pPr>
    </w:p>
    <w:p w14:paraId="73460ED6" w14:textId="34A052BE" w:rsidR="001D6E21" w:rsidRPr="00005453" w:rsidRDefault="001D6E21" w:rsidP="00985AFC">
      <w:pPr>
        <w:tabs>
          <w:tab w:val="left" w:pos="0"/>
        </w:tabs>
        <w:ind w:left="-567"/>
        <w:rPr>
          <w:b/>
          <w:iCs/>
        </w:rPr>
      </w:pPr>
    </w:p>
    <w:p w14:paraId="05930557" w14:textId="009B05FE" w:rsidR="001D6E21" w:rsidRPr="00005453" w:rsidRDefault="001D6E21" w:rsidP="00985AFC">
      <w:pPr>
        <w:tabs>
          <w:tab w:val="left" w:pos="0"/>
        </w:tabs>
        <w:ind w:left="-567"/>
        <w:rPr>
          <w:b/>
          <w:iCs/>
        </w:rPr>
      </w:pPr>
    </w:p>
    <w:p w14:paraId="56418324" w14:textId="1B5AE56D" w:rsidR="001D6E21" w:rsidRPr="00005453" w:rsidRDefault="001D6E21" w:rsidP="00985AFC">
      <w:pPr>
        <w:tabs>
          <w:tab w:val="left" w:pos="0"/>
        </w:tabs>
        <w:ind w:left="-567"/>
        <w:rPr>
          <w:b/>
          <w:iCs/>
        </w:rPr>
      </w:pPr>
    </w:p>
    <w:p w14:paraId="09203D13" w14:textId="0690225B" w:rsidR="00346550" w:rsidRPr="00005453" w:rsidRDefault="00346550">
      <w:pPr>
        <w:rPr>
          <w:b/>
          <w:iCs/>
        </w:rPr>
      </w:pPr>
      <w:r w:rsidRPr="00005453">
        <w:rPr>
          <w:b/>
          <w:iCs/>
        </w:rPr>
        <w:br w:type="page"/>
      </w:r>
    </w:p>
    <w:p w14:paraId="32ACF7B4" w14:textId="1A1958E2" w:rsidR="00903D7A" w:rsidRPr="00005453" w:rsidRDefault="00711F83" w:rsidP="00985AFC">
      <w:pPr>
        <w:tabs>
          <w:tab w:val="left" w:pos="0"/>
        </w:tabs>
        <w:ind w:left="-567"/>
        <w:rPr>
          <w:iCs/>
        </w:rPr>
      </w:pPr>
      <w:proofErr w:type="gramStart"/>
      <w:r w:rsidRPr="00005453">
        <w:rPr>
          <w:b/>
          <w:iCs/>
        </w:rPr>
        <w:lastRenderedPageBreak/>
        <w:t>1.5.</w:t>
      </w:r>
      <w:r w:rsidR="0048609D" w:rsidRPr="00005453">
        <w:rPr>
          <w:b/>
          <w:iCs/>
        </w:rPr>
        <w:t>10</w:t>
      </w:r>
      <w:r w:rsidRPr="00005453">
        <w:rPr>
          <w:b/>
          <w:iCs/>
        </w:rPr>
        <w:t>.3</w:t>
      </w:r>
      <w:r w:rsidRPr="00005453">
        <w:rPr>
          <w:iCs/>
        </w:rPr>
        <w:t xml:space="preserve">  Yabancı</w:t>
      </w:r>
      <w:proofErr w:type="gramEnd"/>
      <w:r w:rsidRPr="00005453">
        <w:rPr>
          <w:iCs/>
        </w:rPr>
        <w:t xml:space="preserve"> para olarak kullandırılan kredilerden kaynaklanan donuk alacaklara ilişkin bilgiler</w:t>
      </w:r>
    </w:p>
    <w:p w14:paraId="3BE21922" w14:textId="768E3478" w:rsidR="00CC7300" w:rsidRPr="00005453" w:rsidRDefault="00CC7300" w:rsidP="00CC7300">
      <w:pPr>
        <w:tabs>
          <w:tab w:val="left" w:pos="0"/>
        </w:tabs>
        <w:ind w:left="-567"/>
        <w:rPr>
          <w:lang w:eastAsia="en-GB"/>
        </w:rPr>
      </w:pPr>
    </w:p>
    <w:tbl>
      <w:tblPr>
        <w:tblW w:w="9214" w:type="dxa"/>
        <w:tblCellMar>
          <w:left w:w="70" w:type="dxa"/>
          <w:right w:w="70" w:type="dxa"/>
        </w:tblCellMar>
        <w:tblLook w:val="04A0" w:firstRow="1" w:lastRow="0" w:firstColumn="1" w:lastColumn="0" w:noHBand="0" w:noVBand="1"/>
      </w:tblPr>
      <w:tblGrid>
        <w:gridCol w:w="4772"/>
        <w:gridCol w:w="1324"/>
        <w:gridCol w:w="1559"/>
        <w:gridCol w:w="1559"/>
      </w:tblGrid>
      <w:tr w:rsidR="00CC7300" w:rsidRPr="00005453" w14:paraId="35033CAE" w14:textId="77777777" w:rsidTr="000E5F12">
        <w:trPr>
          <w:divId w:val="2135754514"/>
          <w:trHeight w:val="221"/>
        </w:trPr>
        <w:tc>
          <w:tcPr>
            <w:tcW w:w="4772" w:type="dxa"/>
            <w:tcBorders>
              <w:top w:val="double" w:sz="6" w:space="0" w:color="auto"/>
              <w:left w:val="nil"/>
              <w:bottom w:val="nil"/>
              <w:right w:val="nil"/>
            </w:tcBorders>
            <w:shd w:val="clear" w:color="auto" w:fill="auto"/>
            <w:vAlign w:val="center"/>
            <w:hideMark/>
          </w:tcPr>
          <w:p w14:paraId="51A6BC55" w14:textId="07E6CA0D" w:rsidR="00CC7300" w:rsidRPr="00005453" w:rsidRDefault="00CC7300" w:rsidP="00CC7300">
            <w:pPr>
              <w:jc w:val="both"/>
              <w:rPr>
                <w:sz w:val="18"/>
                <w:szCs w:val="18"/>
                <w:lang w:eastAsia="tr-TR"/>
              </w:rPr>
            </w:pPr>
            <w:r w:rsidRPr="00005453">
              <w:rPr>
                <w:sz w:val="18"/>
                <w:szCs w:val="18"/>
                <w:lang w:eastAsia="tr-TR"/>
              </w:rPr>
              <w:t xml:space="preserve">  </w:t>
            </w:r>
          </w:p>
        </w:tc>
        <w:tc>
          <w:tcPr>
            <w:tcW w:w="1324" w:type="dxa"/>
            <w:vMerge w:val="restart"/>
            <w:tcBorders>
              <w:top w:val="double" w:sz="6" w:space="0" w:color="auto"/>
              <w:left w:val="nil"/>
              <w:bottom w:val="single" w:sz="8" w:space="0" w:color="auto"/>
              <w:right w:val="nil"/>
            </w:tcBorders>
            <w:shd w:val="clear" w:color="auto" w:fill="auto"/>
            <w:vAlign w:val="center"/>
            <w:hideMark/>
          </w:tcPr>
          <w:p w14:paraId="0493EFD6" w14:textId="77777777" w:rsidR="00CC7300" w:rsidRPr="00005453" w:rsidRDefault="00CC7300" w:rsidP="00CC7300">
            <w:pPr>
              <w:jc w:val="right"/>
              <w:rPr>
                <w:b/>
                <w:bCs/>
                <w:sz w:val="18"/>
                <w:szCs w:val="18"/>
                <w:lang w:eastAsia="tr-TR"/>
              </w:rPr>
            </w:pPr>
            <w:r w:rsidRPr="00005453">
              <w:rPr>
                <w:b/>
                <w:bCs/>
                <w:sz w:val="18"/>
                <w:szCs w:val="18"/>
                <w:lang w:eastAsia="tr-TR"/>
              </w:rPr>
              <w:t>III. Grup</w:t>
            </w:r>
          </w:p>
        </w:tc>
        <w:tc>
          <w:tcPr>
            <w:tcW w:w="1559" w:type="dxa"/>
            <w:vMerge w:val="restart"/>
            <w:tcBorders>
              <w:top w:val="double" w:sz="6" w:space="0" w:color="auto"/>
              <w:left w:val="nil"/>
              <w:bottom w:val="single" w:sz="8" w:space="0" w:color="auto"/>
              <w:right w:val="nil"/>
            </w:tcBorders>
            <w:shd w:val="clear" w:color="auto" w:fill="auto"/>
            <w:vAlign w:val="center"/>
            <w:hideMark/>
          </w:tcPr>
          <w:p w14:paraId="3A6487E2" w14:textId="77777777" w:rsidR="00CC7300" w:rsidRPr="00005453" w:rsidRDefault="00CC7300" w:rsidP="00CC7300">
            <w:pPr>
              <w:jc w:val="right"/>
              <w:rPr>
                <w:b/>
                <w:bCs/>
                <w:sz w:val="18"/>
                <w:szCs w:val="18"/>
                <w:lang w:eastAsia="tr-TR"/>
              </w:rPr>
            </w:pPr>
            <w:r w:rsidRPr="00005453">
              <w:rPr>
                <w:b/>
                <w:bCs/>
                <w:sz w:val="18"/>
                <w:szCs w:val="18"/>
                <w:lang w:eastAsia="tr-TR"/>
              </w:rPr>
              <w:t>IV. Grup</w:t>
            </w:r>
          </w:p>
        </w:tc>
        <w:tc>
          <w:tcPr>
            <w:tcW w:w="1559" w:type="dxa"/>
            <w:vMerge w:val="restart"/>
            <w:tcBorders>
              <w:top w:val="double" w:sz="6" w:space="0" w:color="auto"/>
              <w:left w:val="nil"/>
              <w:bottom w:val="single" w:sz="8" w:space="0" w:color="auto"/>
              <w:right w:val="nil"/>
            </w:tcBorders>
            <w:shd w:val="clear" w:color="auto" w:fill="auto"/>
            <w:vAlign w:val="center"/>
            <w:hideMark/>
          </w:tcPr>
          <w:p w14:paraId="3DBDCA36" w14:textId="77777777" w:rsidR="00CC7300" w:rsidRPr="00005453" w:rsidRDefault="00CC7300" w:rsidP="00CC7300">
            <w:pPr>
              <w:jc w:val="right"/>
              <w:rPr>
                <w:b/>
                <w:bCs/>
                <w:sz w:val="18"/>
                <w:szCs w:val="18"/>
                <w:lang w:eastAsia="tr-TR"/>
              </w:rPr>
            </w:pPr>
            <w:r w:rsidRPr="00005453">
              <w:rPr>
                <w:b/>
                <w:bCs/>
                <w:sz w:val="18"/>
                <w:szCs w:val="18"/>
                <w:lang w:eastAsia="tr-TR"/>
              </w:rPr>
              <w:t>V. Grup</w:t>
            </w:r>
          </w:p>
        </w:tc>
      </w:tr>
      <w:tr w:rsidR="00CC7300" w:rsidRPr="00005453" w14:paraId="57D0B0C3" w14:textId="77777777" w:rsidTr="000E5F12">
        <w:trPr>
          <w:divId w:val="2135754514"/>
          <w:trHeight w:val="40"/>
        </w:trPr>
        <w:tc>
          <w:tcPr>
            <w:tcW w:w="4772" w:type="dxa"/>
            <w:tcBorders>
              <w:top w:val="nil"/>
              <w:left w:val="nil"/>
              <w:bottom w:val="single" w:sz="8" w:space="0" w:color="auto"/>
              <w:right w:val="nil"/>
            </w:tcBorders>
            <w:shd w:val="clear" w:color="auto" w:fill="auto"/>
            <w:vAlign w:val="center"/>
            <w:hideMark/>
          </w:tcPr>
          <w:p w14:paraId="583BA87D" w14:textId="77777777" w:rsidR="00CC7300" w:rsidRPr="00005453" w:rsidRDefault="00CC7300" w:rsidP="00CC7300">
            <w:pPr>
              <w:jc w:val="both"/>
              <w:rPr>
                <w:sz w:val="18"/>
                <w:szCs w:val="18"/>
                <w:lang w:eastAsia="tr-TR"/>
              </w:rPr>
            </w:pPr>
            <w:r w:rsidRPr="00005453">
              <w:rPr>
                <w:sz w:val="18"/>
                <w:szCs w:val="18"/>
                <w:lang w:eastAsia="tr-TR"/>
              </w:rPr>
              <w:t> </w:t>
            </w:r>
          </w:p>
        </w:tc>
        <w:tc>
          <w:tcPr>
            <w:tcW w:w="1324" w:type="dxa"/>
            <w:vMerge/>
            <w:tcBorders>
              <w:top w:val="nil"/>
              <w:left w:val="nil"/>
              <w:bottom w:val="single" w:sz="8" w:space="0" w:color="auto"/>
              <w:right w:val="nil"/>
            </w:tcBorders>
            <w:shd w:val="clear" w:color="auto" w:fill="auto"/>
            <w:vAlign w:val="center"/>
            <w:hideMark/>
          </w:tcPr>
          <w:p w14:paraId="03BBB5FB" w14:textId="77777777" w:rsidR="00CC7300" w:rsidRPr="00005453" w:rsidRDefault="00CC7300" w:rsidP="00CC7300">
            <w:pPr>
              <w:jc w:val="right"/>
              <w:rPr>
                <w:b/>
                <w:bCs/>
                <w:sz w:val="18"/>
                <w:szCs w:val="18"/>
                <w:lang w:eastAsia="tr-TR"/>
              </w:rPr>
            </w:pPr>
          </w:p>
        </w:tc>
        <w:tc>
          <w:tcPr>
            <w:tcW w:w="1559" w:type="dxa"/>
            <w:vMerge/>
            <w:tcBorders>
              <w:top w:val="nil"/>
              <w:left w:val="nil"/>
              <w:bottom w:val="single" w:sz="8" w:space="0" w:color="auto"/>
              <w:right w:val="nil"/>
            </w:tcBorders>
            <w:shd w:val="clear" w:color="auto" w:fill="auto"/>
            <w:vAlign w:val="center"/>
            <w:hideMark/>
          </w:tcPr>
          <w:p w14:paraId="5341073E" w14:textId="77777777" w:rsidR="00CC7300" w:rsidRPr="00005453" w:rsidRDefault="00CC7300" w:rsidP="00CC7300">
            <w:pPr>
              <w:jc w:val="right"/>
              <w:rPr>
                <w:b/>
                <w:bCs/>
                <w:sz w:val="18"/>
                <w:szCs w:val="18"/>
                <w:lang w:eastAsia="tr-TR"/>
              </w:rPr>
            </w:pPr>
          </w:p>
        </w:tc>
        <w:tc>
          <w:tcPr>
            <w:tcW w:w="1559" w:type="dxa"/>
            <w:vMerge/>
            <w:tcBorders>
              <w:top w:val="nil"/>
              <w:left w:val="nil"/>
              <w:bottom w:val="single" w:sz="8" w:space="0" w:color="auto"/>
              <w:right w:val="nil"/>
            </w:tcBorders>
            <w:shd w:val="clear" w:color="auto" w:fill="auto"/>
            <w:vAlign w:val="center"/>
            <w:hideMark/>
          </w:tcPr>
          <w:p w14:paraId="00BFC40C" w14:textId="77777777" w:rsidR="00CC7300" w:rsidRPr="00005453" w:rsidRDefault="00CC7300" w:rsidP="00CC7300">
            <w:pPr>
              <w:jc w:val="right"/>
              <w:rPr>
                <w:b/>
                <w:bCs/>
                <w:sz w:val="18"/>
                <w:szCs w:val="18"/>
                <w:lang w:eastAsia="tr-TR"/>
              </w:rPr>
            </w:pPr>
          </w:p>
        </w:tc>
      </w:tr>
      <w:tr w:rsidR="00CC7300" w:rsidRPr="00005453" w14:paraId="4D993BDF" w14:textId="77777777" w:rsidTr="000E5F12">
        <w:trPr>
          <w:divId w:val="2135754514"/>
          <w:trHeight w:val="196"/>
        </w:trPr>
        <w:tc>
          <w:tcPr>
            <w:tcW w:w="4772" w:type="dxa"/>
            <w:tcBorders>
              <w:top w:val="nil"/>
              <w:left w:val="nil"/>
              <w:bottom w:val="nil"/>
              <w:right w:val="nil"/>
            </w:tcBorders>
            <w:shd w:val="clear" w:color="auto" w:fill="auto"/>
            <w:vAlign w:val="center"/>
            <w:hideMark/>
          </w:tcPr>
          <w:p w14:paraId="7C1A0FB7" w14:textId="77777777" w:rsidR="00CC7300" w:rsidRPr="00005453" w:rsidRDefault="00CC7300" w:rsidP="00CC7300">
            <w:pPr>
              <w:jc w:val="both"/>
              <w:rPr>
                <w:b/>
                <w:bCs/>
                <w:sz w:val="18"/>
                <w:szCs w:val="18"/>
                <w:lang w:eastAsia="tr-TR"/>
              </w:rPr>
            </w:pPr>
            <w:r w:rsidRPr="00005453">
              <w:rPr>
                <w:b/>
                <w:bCs/>
                <w:sz w:val="18"/>
                <w:szCs w:val="18"/>
                <w:lang w:eastAsia="tr-TR"/>
              </w:rPr>
              <w:t>Cari Dönem</w:t>
            </w:r>
          </w:p>
        </w:tc>
        <w:tc>
          <w:tcPr>
            <w:tcW w:w="1324" w:type="dxa"/>
            <w:tcBorders>
              <w:top w:val="nil"/>
              <w:left w:val="nil"/>
              <w:bottom w:val="nil"/>
              <w:right w:val="nil"/>
            </w:tcBorders>
            <w:shd w:val="clear" w:color="auto" w:fill="auto"/>
            <w:vAlign w:val="center"/>
            <w:hideMark/>
          </w:tcPr>
          <w:p w14:paraId="0ED9D3D9" w14:textId="77777777" w:rsidR="00CC7300" w:rsidRPr="00005453" w:rsidRDefault="00CC7300" w:rsidP="00CC7300">
            <w:pPr>
              <w:jc w:val="both"/>
              <w:rPr>
                <w:b/>
                <w:bCs/>
                <w:sz w:val="18"/>
                <w:szCs w:val="18"/>
                <w:lang w:eastAsia="tr-TR"/>
              </w:rPr>
            </w:pPr>
          </w:p>
        </w:tc>
        <w:tc>
          <w:tcPr>
            <w:tcW w:w="1559" w:type="dxa"/>
            <w:tcBorders>
              <w:top w:val="nil"/>
              <w:left w:val="nil"/>
              <w:bottom w:val="nil"/>
              <w:right w:val="nil"/>
            </w:tcBorders>
            <w:shd w:val="clear" w:color="auto" w:fill="auto"/>
            <w:vAlign w:val="center"/>
            <w:hideMark/>
          </w:tcPr>
          <w:p w14:paraId="55A0E2C1" w14:textId="77777777" w:rsidR="00CC7300" w:rsidRPr="00005453" w:rsidRDefault="00CC7300" w:rsidP="00CC7300">
            <w:pPr>
              <w:jc w:val="both"/>
              <w:rPr>
                <w:lang w:eastAsia="tr-TR"/>
              </w:rPr>
            </w:pPr>
          </w:p>
        </w:tc>
        <w:tc>
          <w:tcPr>
            <w:tcW w:w="1559" w:type="dxa"/>
            <w:tcBorders>
              <w:top w:val="nil"/>
              <w:left w:val="nil"/>
              <w:bottom w:val="nil"/>
              <w:right w:val="nil"/>
            </w:tcBorders>
            <w:shd w:val="clear" w:color="auto" w:fill="auto"/>
            <w:vAlign w:val="center"/>
            <w:hideMark/>
          </w:tcPr>
          <w:p w14:paraId="1827E56D" w14:textId="77777777" w:rsidR="00CC7300" w:rsidRPr="00005453" w:rsidRDefault="00CC7300" w:rsidP="00CC7300">
            <w:pPr>
              <w:jc w:val="both"/>
              <w:rPr>
                <w:lang w:eastAsia="tr-TR"/>
              </w:rPr>
            </w:pPr>
          </w:p>
        </w:tc>
      </w:tr>
      <w:tr w:rsidR="00447B03" w:rsidRPr="00005453" w14:paraId="505CF259" w14:textId="77777777" w:rsidTr="00447B03">
        <w:trPr>
          <w:divId w:val="2135754514"/>
          <w:trHeight w:val="196"/>
        </w:trPr>
        <w:tc>
          <w:tcPr>
            <w:tcW w:w="4772" w:type="dxa"/>
            <w:tcBorders>
              <w:top w:val="nil"/>
              <w:left w:val="nil"/>
              <w:bottom w:val="nil"/>
              <w:right w:val="nil"/>
            </w:tcBorders>
            <w:shd w:val="clear" w:color="auto" w:fill="auto"/>
            <w:vAlign w:val="center"/>
            <w:hideMark/>
          </w:tcPr>
          <w:p w14:paraId="0A9AB979" w14:textId="77777777" w:rsidR="00447B03" w:rsidRPr="00005453" w:rsidRDefault="00447B03" w:rsidP="00447B03">
            <w:pPr>
              <w:jc w:val="both"/>
              <w:rPr>
                <w:sz w:val="18"/>
                <w:szCs w:val="18"/>
                <w:lang w:eastAsia="tr-TR"/>
              </w:rPr>
            </w:pPr>
            <w:r w:rsidRPr="00005453">
              <w:rPr>
                <w:sz w:val="18"/>
                <w:szCs w:val="18"/>
                <w:lang w:eastAsia="tr-TR"/>
              </w:rPr>
              <w:t>Dönem Sonu Bakiyesi</w:t>
            </w:r>
          </w:p>
        </w:tc>
        <w:tc>
          <w:tcPr>
            <w:tcW w:w="1324" w:type="dxa"/>
            <w:tcBorders>
              <w:top w:val="nil"/>
              <w:left w:val="nil"/>
              <w:bottom w:val="nil"/>
              <w:right w:val="nil"/>
            </w:tcBorders>
            <w:shd w:val="clear" w:color="auto" w:fill="auto"/>
            <w:vAlign w:val="center"/>
            <w:hideMark/>
          </w:tcPr>
          <w:p w14:paraId="6CCA1A2A" w14:textId="77C54DEB" w:rsidR="00447B03" w:rsidRPr="00005453" w:rsidRDefault="00447B03" w:rsidP="00447B03">
            <w:pPr>
              <w:jc w:val="right"/>
              <w:rPr>
                <w:sz w:val="18"/>
                <w:szCs w:val="18"/>
                <w:lang w:eastAsia="tr-TR"/>
              </w:rPr>
            </w:pPr>
            <w:r w:rsidRPr="00005453">
              <w:rPr>
                <w:color w:val="000000"/>
                <w:sz w:val="18"/>
                <w:szCs w:val="18"/>
              </w:rPr>
              <w:t>191,875</w:t>
            </w:r>
          </w:p>
        </w:tc>
        <w:tc>
          <w:tcPr>
            <w:tcW w:w="1559" w:type="dxa"/>
            <w:tcBorders>
              <w:top w:val="nil"/>
              <w:left w:val="nil"/>
              <w:bottom w:val="nil"/>
              <w:right w:val="nil"/>
            </w:tcBorders>
            <w:shd w:val="clear" w:color="auto" w:fill="auto"/>
            <w:vAlign w:val="center"/>
            <w:hideMark/>
          </w:tcPr>
          <w:p w14:paraId="205ABAD7" w14:textId="46A5366A" w:rsidR="00447B03" w:rsidRPr="00005453" w:rsidRDefault="00447B03" w:rsidP="00447B03">
            <w:pPr>
              <w:jc w:val="right"/>
              <w:rPr>
                <w:sz w:val="18"/>
                <w:szCs w:val="18"/>
                <w:lang w:eastAsia="tr-TR"/>
              </w:rPr>
            </w:pPr>
            <w:r w:rsidRPr="00005453">
              <w:rPr>
                <w:color w:val="000000"/>
                <w:sz w:val="18"/>
                <w:szCs w:val="18"/>
              </w:rPr>
              <w:t>99,372</w:t>
            </w:r>
          </w:p>
        </w:tc>
        <w:tc>
          <w:tcPr>
            <w:tcW w:w="1559" w:type="dxa"/>
            <w:tcBorders>
              <w:top w:val="nil"/>
              <w:left w:val="nil"/>
              <w:bottom w:val="nil"/>
              <w:right w:val="nil"/>
            </w:tcBorders>
            <w:shd w:val="clear" w:color="auto" w:fill="auto"/>
            <w:vAlign w:val="center"/>
            <w:hideMark/>
          </w:tcPr>
          <w:p w14:paraId="53BE8E11" w14:textId="71B1C964" w:rsidR="00447B03" w:rsidRPr="00005453" w:rsidRDefault="00447B03" w:rsidP="00447B03">
            <w:pPr>
              <w:jc w:val="right"/>
              <w:rPr>
                <w:sz w:val="18"/>
                <w:szCs w:val="18"/>
                <w:lang w:eastAsia="tr-TR"/>
              </w:rPr>
            </w:pPr>
            <w:r w:rsidRPr="00005453">
              <w:rPr>
                <w:color w:val="000000"/>
                <w:sz w:val="18"/>
                <w:szCs w:val="18"/>
              </w:rPr>
              <w:t>521,991</w:t>
            </w:r>
          </w:p>
        </w:tc>
      </w:tr>
      <w:tr w:rsidR="00447B03" w:rsidRPr="00005453" w14:paraId="5FB47DC6" w14:textId="77777777" w:rsidTr="00447B03">
        <w:trPr>
          <w:divId w:val="2135754514"/>
          <w:trHeight w:val="196"/>
        </w:trPr>
        <w:tc>
          <w:tcPr>
            <w:tcW w:w="4772" w:type="dxa"/>
            <w:tcBorders>
              <w:top w:val="nil"/>
              <w:left w:val="nil"/>
              <w:bottom w:val="nil"/>
              <w:right w:val="nil"/>
            </w:tcBorders>
            <w:shd w:val="clear" w:color="auto" w:fill="auto"/>
            <w:vAlign w:val="center"/>
            <w:hideMark/>
          </w:tcPr>
          <w:p w14:paraId="18CA27D0" w14:textId="77777777" w:rsidR="00447B03" w:rsidRPr="00005453" w:rsidRDefault="00447B03" w:rsidP="00447B03">
            <w:pPr>
              <w:jc w:val="both"/>
              <w:rPr>
                <w:sz w:val="18"/>
                <w:szCs w:val="18"/>
                <w:lang w:eastAsia="tr-TR"/>
              </w:rPr>
            </w:pPr>
            <w:r w:rsidRPr="00005453">
              <w:rPr>
                <w:sz w:val="18"/>
                <w:szCs w:val="18"/>
                <w:lang w:eastAsia="tr-TR"/>
              </w:rPr>
              <w:t xml:space="preserve">Karşılık </w:t>
            </w:r>
            <w:proofErr w:type="gramStart"/>
            <w:r w:rsidRPr="00005453">
              <w:rPr>
                <w:sz w:val="18"/>
                <w:szCs w:val="18"/>
                <w:lang w:eastAsia="tr-TR"/>
              </w:rPr>
              <w:t>Tutarı(</w:t>
            </w:r>
            <w:proofErr w:type="gramEnd"/>
            <w:r w:rsidRPr="00005453">
              <w:rPr>
                <w:sz w:val="18"/>
                <w:szCs w:val="18"/>
                <w:lang w:eastAsia="tr-TR"/>
              </w:rPr>
              <w:t>-)</w:t>
            </w:r>
          </w:p>
        </w:tc>
        <w:tc>
          <w:tcPr>
            <w:tcW w:w="1324" w:type="dxa"/>
            <w:tcBorders>
              <w:top w:val="nil"/>
              <w:left w:val="nil"/>
              <w:bottom w:val="nil"/>
              <w:right w:val="nil"/>
            </w:tcBorders>
            <w:shd w:val="clear" w:color="auto" w:fill="auto"/>
            <w:vAlign w:val="center"/>
            <w:hideMark/>
          </w:tcPr>
          <w:p w14:paraId="1E66041F" w14:textId="175F3F5D" w:rsidR="00447B03" w:rsidRPr="00005453" w:rsidRDefault="00447B03" w:rsidP="00447B03">
            <w:pPr>
              <w:jc w:val="right"/>
              <w:rPr>
                <w:sz w:val="18"/>
                <w:szCs w:val="18"/>
                <w:lang w:eastAsia="tr-TR"/>
              </w:rPr>
            </w:pPr>
            <w:r w:rsidRPr="00005453">
              <w:rPr>
                <w:color w:val="000000"/>
                <w:sz w:val="18"/>
                <w:szCs w:val="18"/>
              </w:rPr>
              <w:t>154,919</w:t>
            </w:r>
          </w:p>
        </w:tc>
        <w:tc>
          <w:tcPr>
            <w:tcW w:w="1559" w:type="dxa"/>
            <w:tcBorders>
              <w:top w:val="nil"/>
              <w:left w:val="nil"/>
              <w:bottom w:val="nil"/>
              <w:right w:val="nil"/>
            </w:tcBorders>
            <w:shd w:val="clear" w:color="auto" w:fill="auto"/>
            <w:vAlign w:val="center"/>
            <w:hideMark/>
          </w:tcPr>
          <w:p w14:paraId="4AB8DD85" w14:textId="13CBAF51" w:rsidR="00447B03" w:rsidRPr="00005453" w:rsidRDefault="00447B03" w:rsidP="00447B03">
            <w:pPr>
              <w:jc w:val="right"/>
              <w:rPr>
                <w:sz w:val="18"/>
                <w:szCs w:val="18"/>
                <w:lang w:eastAsia="tr-TR"/>
              </w:rPr>
            </w:pPr>
            <w:r w:rsidRPr="00005453">
              <w:rPr>
                <w:color w:val="000000"/>
                <w:sz w:val="18"/>
                <w:szCs w:val="18"/>
              </w:rPr>
              <w:t>72,473</w:t>
            </w:r>
          </w:p>
        </w:tc>
        <w:tc>
          <w:tcPr>
            <w:tcW w:w="1559" w:type="dxa"/>
            <w:tcBorders>
              <w:top w:val="nil"/>
              <w:left w:val="nil"/>
              <w:bottom w:val="nil"/>
              <w:right w:val="nil"/>
            </w:tcBorders>
            <w:shd w:val="clear" w:color="auto" w:fill="auto"/>
            <w:vAlign w:val="center"/>
            <w:hideMark/>
          </w:tcPr>
          <w:p w14:paraId="3117235D" w14:textId="7AD6E678" w:rsidR="00447B03" w:rsidRPr="00005453" w:rsidRDefault="00447B03" w:rsidP="00447B03">
            <w:pPr>
              <w:jc w:val="right"/>
              <w:rPr>
                <w:sz w:val="18"/>
                <w:szCs w:val="18"/>
                <w:lang w:eastAsia="tr-TR"/>
              </w:rPr>
            </w:pPr>
            <w:r w:rsidRPr="00005453">
              <w:rPr>
                <w:color w:val="000000"/>
                <w:sz w:val="18"/>
                <w:szCs w:val="18"/>
              </w:rPr>
              <w:t>492,098</w:t>
            </w:r>
            <w:r w:rsidR="00DB1DB4" w:rsidRPr="00005453">
              <w:rPr>
                <w:color w:val="000000"/>
                <w:sz w:val="18"/>
                <w:szCs w:val="18"/>
              </w:rPr>
              <w:t>,</w:t>
            </w:r>
          </w:p>
        </w:tc>
      </w:tr>
      <w:tr w:rsidR="00447B03" w:rsidRPr="00005453" w14:paraId="53845A6D" w14:textId="77777777" w:rsidTr="00447B03">
        <w:trPr>
          <w:divId w:val="2135754514"/>
          <w:trHeight w:val="196"/>
        </w:trPr>
        <w:tc>
          <w:tcPr>
            <w:tcW w:w="4772" w:type="dxa"/>
            <w:tcBorders>
              <w:top w:val="nil"/>
              <w:left w:val="nil"/>
              <w:bottom w:val="nil"/>
              <w:right w:val="nil"/>
            </w:tcBorders>
            <w:shd w:val="clear" w:color="auto" w:fill="auto"/>
            <w:vAlign w:val="center"/>
            <w:hideMark/>
          </w:tcPr>
          <w:p w14:paraId="2A4A10B6" w14:textId="77777777" w:rsidR="00447B03" w:rsidRPr="00005453" w:rsidRDefault="00447B03" w:rsidP="00447B03">
            <w:pPr>
              <w:jc w:val="both"/>
              <w:rPr>
                <w:b/>
                <w:bCs/>
                <w:sz w:val="18"/>
                <w:szCs w:val="18"/>
                <w:lang w:eastAsia="tr-TR"/>
              </w:rPr>
            </w:pPr>
            <w:r w:rsidRPr="00005453">
              <w:rPr>
                <w:b/>
                <w:bCs/>
                <w:sz w:val="18"/>
                <w:szCs w:val="18"/>
                <w:lang w:eastAsia="tr-TR"/>
              </w:rPr>
              <w:t>Bilançodaki Net Bakiyesi</w:t>
            </w:r>
          </w:p>
        </w:tc>
        <w:tc>
          <w:tcPr>
            <w:tcW w:w="1324" w:type="dxa"/>
            <w:tcBorders>
              <w:top w:val="nil"/>
              <w:left w:val="nil"/>
              <w:bottom w:val="nil"/>
              <w:right w:val="nil"/>
            </w:tcBorders>
            <w:shd w:val="clear" w:color="auto" w:fill="auto"/>
            <w:vAlign w:val="center"/>
            <w:hideMark/>
          </w:tcPr>
          <w:p w14:paraId="766FF2A7" w14:textId="4D90BDDE" w:rsidR="00447B03" w:rsidRPr="00005453" w:rsidRDefault="00447B03" w:rsidP="00447B03">
            <w:pPr>
              <w:jc w:val="right"/>
              <w:rPr>
                <w:b/>
                <w:bCs/>
                <w:sz w:val="18"/>
                <w:szCs w:val="18"/>
                <w:lang w:eastAsia="tr-TR"/>
              </w:rPr>
            </w:pPr>
            <w:r w:rsidRPr="00005453">
              <w:rPr>
                <w:b/>
                <w:bCs/>
                <w:sz w:val="18"/>
                <w:szCs w:val="18"/>
              </w:rPr>
              <w:t>36,956</w:t>
            </w:r>
          </w:p>
        </w:tc>
        <w:tc>
          <w:tcPr>
            <w:tcW w:w="1559" w:type="dxa"/>
            <w:tcBorders>
              <w:top w:val="nil"/>
              <w:left w:val="nil"/>
              <w:bottom w:val="nil"/>
              <w:right w:val="nil"/>
            </w:tcBorders>
            <w:shd w:val="clear" w:color="auto" w:fill="auto"/>
            <w:vAlign w:val="center"/>
            <w:hideMark/>
          </w:tcPr>
          <w:p w14:paraId="3FBCD705" w14:textId="198D2C0F" w:rsidR="00447B03" w:rsidRPr="00005453" w:rsidRDefault="00447B03" w:rsidP="00447B03">
            <w:pPr>
              <w:jc w:val="right"/>
              <w:rPr>
                <w:b/>
                <w:bCs/>
                <w:sz w:val="18"/>
                <w:szCs w:val="18"/>
                <w:lang w:eastAsia="tr-TR"/>
              </w:rPr>
            </w:pPr>
            <w:r w:rsidRPr="00005453">
              <w:rPr>
                <w:b/>
                <w:bCs/>
                <w:sz w:val="18"/>
                <w:szCs w:val="18"/>
              </w:rPr>
              <w:t>26,899</w:t>
            </w:r>
          </w:p>
        </w:tc>
        <w:tc>
          <w:tcPr>
            <w:tcW w:w="1559" w:type="dxa"/>
            <w:tcBorders>
              <w:top w:val="nil"/>
              <w:left w:val="nil"/>
              <w:bottom w:val="nil"/>
              <w:right w:val="nil"/>
            </w:tcBorders>
            <w:shd w:val="clear" w:color="auto" w:fill="auto"/>
            <w:vAlign w:val="center"/>
            <w:hideMark/>
          </w:tcPr>
          <w:p w14:paraId="4A91B973" w14:textId="44DAEBE6" w:rsidR="00447B03" w:rsidRPr="00005453" w:rsidRDefault="00447B03" w:rsidP="00447B03">
            <w:pPr>
              <w:jc w:val="right"/>
              <w:rPr>
                <w:b/>
                <w:bCs/>
                <w:sz w:val="18"/>
                <w:szCs w:val="18"/>
                <w:lang w:eastAsia="tr-TR"/>
              </w:rPr>
            </w:pPr>
            <w:r w:rsidRPr="00005453">
              <w:rPr>
                <w:b/>
                <w:bCs/>
                <w:sz w:val="18"/>
                <w:szCs w:val="18"/>
              </w:rPr>
              <w:t>29,893</w:t>
            </w:r>
          </w:p>
        </w:tc>
      </w:tr>
      <w:tr w:rsidR="00CC7300" w:rsidRPr="00005453" w14:paraId="574E36B0" w14:textId="77777777" w:rsidTr="000E5F12">
        <w:trPr>
          <w:divId w:val="2135754514"/>
          <w:trHeight w:val="196"/>
        </w:trPr>
        <w:tc>
          <w:tcPr>
            <w:tcW w:w="4772" w:type="dxa"/>
            <w:tcBorders>
              <w:top w:val="nil"/>
              <w:left w:val="nil"/>
              <w:bottom w:val="nil"/>
              <w:right w:val="nil"/>
            </w:tcBorders>
            <w:shd w:val="clear" w:color="auto" w:fill="auto"/>
            <w:vAlign w:val="center"/>
            <w:hideMark/>
          </w:tcPr>
          <w:p w14:paraId="178DE5C9" w14:textId="77777777" w:rsidR="00CC7300" w:rsidRPr="00005453" w:rsidRDefault="00CC7300" w:rsidP="00CC7300">
            <w:pPr>
              <w:jc w:val="both"/>
              <w:rPr>
                <w:b/>
                <w:bCs/>
                <w:sz w:val="18"/>
                <w:szCs w:val="18"/>
                <w:lang w:eastAsia="tr-TR"/>
              </w:rPr>
            </w:pPr>
            <w:r w:rsidRPr="00005453">
              <w:rPr>
                <w:b/>
                <w:bCs/>
                <w:sz w:val="18"/>
                <w:szCs w:val="18"/>
                <w:lang w:eastAsia="tr-TR"/>
              </w:rPr>
              <w:t>Önceki Dönem</w:t>
            </w:r>
          </w:p>
        </w:tc>
        <w:tc>
          <w:tcPr>
            <w:tcW w:w="1324" w:type="dxa"/>
            <w:tcBorders>
              <w:top w:val="nil"/>
              <w:left w:val="nil"/>
              <w:bottom w:val="nil"/>
              <w:right w:val="nil"/>
            </w:tcBorders>
            <w:shd w:val="clear" w:color="auto" w:fill="auto"/>
            <w:vAlign w:val="center"/>
            <w:hideMark/>
          </w:tcPr>
          <w:p w14:paraId="39B50FDC" w14:textId="77777777" w:rsidR="00CC7300" w:rsidRPr="00005453" w:rsidRDefault="00CC7300" w:rsidP="00B45314">
            <w:pPr>
              <w:jc w:val="right"/>
              <w:rPr>
                <w:b/>
                <w:bCs/>
                <w:sz w:val="18"/>
                <w:szCs w:val="18"/>
                <w:lang w:eastAsia="tr-TR"/>
              </w:rPr>
            </w:pPr>
          </w:p>
        </w:tc>
        <w:tc>
          <w:tcPr>
            <w:tcW w:w="1559" w:type="dxa"/>
            <w:tcBorders>
              <w:top w:val="nil"/>
              <w:left w:val="nil"/>
              <w:bottom w:val="nil"/>
              <w:right w:val="nil"/>
            </w:tcBorders>
            <w:shd w:val="clear" w:color="auto" w:fill="auto"/>
            <w:vAlign w:val="center"/>
            <w:hideMark/>
          </w:tcPr>
          <w:p w14:paraId="722E3B78" w14:textId="77777777" w:rsidR="00CC7300" w:rsidRPr="00005453" w:rsidRDefault="00CC7300" w:rsidP="00B45314">
            <w:pPr>
              <w:jc w:val="right"/>
              <w:rPr>
                <w:lang w:eastAsia="tr-TR"/>
              </w:rPr>
            </w:pPr>
          </w:p>
        </w:tc>
        <w:tc>
          <w:tcPr>
            <w:tcW w:w="1559" w:type="dxa"/>
            <w:tcBorders>
              <w:top w:val="nil"/>
              <w:left w:val="nil"/>
              <w:bottom w:val="nil"/>
              <w:right w:val="nil"/>
            </w:tcBorders>
            <w:shd w:val="clear" w:color="auto" w:fill="auto"/>
            <w:vAlign w:val="center"/>
            <w:hideMark/>
          </w:tcPr>
          <w:p w14:paraId="72AC4E8C" w14:textId="77777777" w:rsidR="00CC7300" w:rsidRPr="00005453" w:rsidRDefault="00CC7300" w:rsidP="00B45314">
            <w:pPr>
              <w:jc w:val="right"/>
              <w:rPr>
                <w:lang w:eastAsia="tr-TR"/>
              </w:rPr>
            </w:pPr>
          </w:p>
        </w:tc>
      </w:tr>
      <w:tr w:rsidR="002126DA" w:rsidRPr="00005453" w14:paraId="33D66CE7" w14:textId="77777777" w:rsidTr="000E5F12">
        <w:trPr>
          <w:divId w:val="2135754514"/>
          <w:trHeight w:val="196"/>
        </w:trPr>
        <w:tc>
          <w:tcPr>
            <w:tcW w:w="4772" w:type="dxa"/>
            <w:tcBorders>
              <w:top w:val="nil"/>
              <w:left w:val="nil"/>
              <w:bottom w:val="nil"/>
              <w:right w:val="nil"/>
            </w:tcBorders>
            <w:shd w:val="clear" w:color="auto" w:fill="auto"/>
            <w:vAlign w:val="center"/>
            <w:hideMark/>
          </w:tcPr>
          <w:p w14:paraId="6E94D214" w14:textId="77777777" w:rsidR="002126DA" w:rsidRPr="00005453" w:rsidRDefault="002126DA" w:rsidP="002126DA">
            <w:pPr>
              <w:jc w:val="both"/>
              <w:rPr>
                <w:sz w:val="18"/>
                <w:szCs w:val="18"/>
                <w:lang w:eastAsia="tr-TR"/>
              </w:rPr>
            </w:pPr>
            <w:r w:rsidRPr="00005453">
              <w:rPr>
                <w:sz w:val="18"/>
                <w:szCs w:val="18"/>
                <w:lang w:eastAsia="tr-TR"/>
              </w:rPr>
              <w:t>Dönem Sonu Bakiyesi</w:t>
            </w:r>
          </w:p>
        </w:tc>
        <w:tc>
          <w:tcPr>
            <w:tcW w:w="1324" w:type="dxa"/>
            <w:tcBorders>
              <w:top w:val="nil"/>
              <w:left w:val="nil"/>
              <w:bottom w:val="nil"/>
              <w:right w:val="nil"/>
            </w:tcBorders>
            <w:shd w:val="clear" w:color="auto" w:fill="auto"/>
            <w:vAlign w:val="center"/>
            <w:hideMark/>
          </w:tcPr>
          <w:p w14:paraId="5E4C48CB" w14:textId="6A22F70E" w:rsidR="002126DA" w:rsidRPr="00005453" w:rsidRDefault="002126DA" w:rsidP="002126DA">
            <w:pPr>
              <w:jc w:val="right"/>
              <w:rPr>
                <w:sz w:val="18"/>
                <w:szCs w:val="18"/>
                <w:lang w:eastAsia="tr-TR"/>
              </w:rPr>
            </w:pPr>
            <w:r w:rsidRPr="00005453">
              <w:rPr>
                <w:color w:val="000000"/>
                <w:sz w:val="18"/>
                <w:szCs w:val="18"/>
              </w:rPr>
              <w:t>26,066</w:t>
            </w:r>
          </w:p>
        </w:tc>
        <w:tc>
          <w:tcPr>
            <w:tcW w:w="1559" w:type="dxa"/>
            <w:tcBorders>
              <w:top w:val="nil"/>
              <w:left w:val="nil"/>
              <w:bottom w:val="nil"/>
              <w:right w:val="nil"/>
            </w:tcBorders>
            <w:shd w:val="clear" w:color="auto" w:fill="auto"/>
            <w:vAlign w:val="center"/>
            <w:hideMark/>
          </w:tcPr>
          <w:p w14:paraId="2F917395" w14:textId="1C5269F8" w:rsidR="002126DA" w:rsidRPr="00005453" w:rsidRDefault="002126DA" w:rsidP="002126DA">
            <w:pPr>
              <w:jc w:val="right"/>
              <w:rPr>
                <w:sz w:val="18"/>
                <w:szCs w:val="18"/>
                <w:lang w:eastAsia="tr-TR"/>
              </w:rPr>
            </w:pPr>
            <w:r w:rsidRPr="00005453">
              <w:rPr>
                <w:color w:val="000000"/>
                <w:sz w:val="18"/>
                <w:szCs w:val="18"/>
              </w:rPr>
              <w:t>69,720</w:t>
            </w:r>
          </w:p>
        </w:tc>
        <w:tc>
          <w:tcPr>
            <w:tcW w:w="1559" w:type="dxa"/>
            <w:tcBorders>
              <w:top w:val="nil"/>
              <w:left w:val="nil"/>
              <w:bottom w:val="nil"/>
              <w:right w:val="nil"/>
            </w:tcBorders>
            <w:shd w:val="clear" w:color="auto" w:fill="auto"/>
            <w:vAlign w:val="center"/>
            <w:hideMark/>
          </w:tcPr>
          <w:p w14:paraId="7A0BDAD1" w14:textId="531B751A" w:rsidR="002126DA" w:rsidRPr="00005453" w:rsidRDefault="002126DA" w:rsidP="002126DA">
            <w:pPr>
              <w:jc w:val="right"/>
              <w:rPr>
                <w:sz w:val="18"/>
                <w:szCs w:val="18"/>
                <w:lang w:eastAsia="tr-TR"/>
              </w:rPr>
            </w:pPr>
            <w:r w:rsidRPr="00005453">
              <w:rPr>
                <w:color w:val="000000"/>
                <w:sz w:val="18"/>
                <w:szCs w:val="18"/>
              </w:rPr>
              <w:t>878,527</w:t>
            </w:r>
          </w:p>
        </w:tc>
      </w:tr>
      <w:tr w:rsidR="002126DA" w:rsidRPr="00005453" w14:paraId="6E3655ED" w14:textId="77777777" w:rsidTr="000E5F12">
        <w:trPr>
          <w:divId w:val="2135754514"/>
          <w:trHeight w:val="196"/>
        </w:trPr>
        <w:tc>
          <w:tcPr>
            <w:tcW w:w="4772" w:type="dxa"/>
            <w:tcBorders>
              <w:top w:val="nil"/>
              <w:left w:val="nil"/>
              <w:bottom w:val="nil"/>
              <w:right w:val="nil"/>
            </w:tcBorders>
            <w:shd w:val="clear" w:color="auto" w:fill="auto"/>
            <w:vAlign w:val="center"/>
            <w:hideMark/>
          </w:tcPr>
          <w:p w14:paraId="441C9FD3" w14:textId="77777777" w:rsidR="002126DA" w:rsidRPr="00005453" w:rsidRDefault="002126DA" w:rsidP="002126DA">
            <w:pPr>
              <w:jc w:val="both"/>
              <w:rPr>
                <w:sz w:val="18"/>
                <w:szCs w:val="18"/>
                <w:lang w:eastAsia="tr-TR"/>
              </w:rPr>
            </w:pPr>
            <w:r w:rsidRPr="00005453">
              <w:rPr>
                <w:sz w:val="18"/>
                <w:szCs w:val="18"/>
                <w:lang w:eastAsia="tr-TR"/>
              </w:rPr>
              <w:t xml:space="preserve">Karşılık </w:t>
            </w:r>
            <w:proofErr w:type="gramStart"/>
            <w:r w:rsidRPr="00005453">
              <w:rPr>
                <w:sz w:val="18"/>
                <w:szCs w:val="18"/>
                <w:lang w:eastAsia="tr-TR"/>
              </w:rPr>
              <w:t>Tutarı(</w:t>
            </w:r>
            <w:proofErr w:type="gramEnd"/>
            <w:r w:rsidRPr="00005453">
              <w:rPr>
                <w:sz w:val="18"/>
                <w:szCs w:val="18"/>
                <w:lang w:eastAsia="tr-TR"/>
              </w:rPr>
              <w:t>-)</w:t>
            </w:r>
          </w:p>
        </w:tc>
        <w:tc>
          <w:tcPr>
            <w:tcW w:w="1324" w:type="dxa"/>
            <w:tcBorders>
              <w:top w:val="nil"/>
              <w:left w:val="nil"/>
              <w:bottom w:val="nil"/>
              <w:right w:val="nil"/>
            </w:tcBorders>
            <w:shd w:val="clear" w:color="auto" w:fill="auto"/>
            <w:vAlign w:val="center"/>
            <w:hideMark/>
          </w:tcPr>
          <w:p w14:paraId="192C4D8D" w14:textId="3C4C0FA4" w:rsidR="002126DA" w:rsidRPr="00005453" w:rsidRDefault="002126DA" w:rsidP="002126DA">
            <w:pPr>
              <w:jc w:val="right"/>
              <w:rPr>
                <w:sz w:val="18"/>
                <w:szCs w:val="18"/>
                <w:lang w:eastAsia="tr-TR"/>
              </w:rPr>
            </w:pPr>
            <w:r w:rsidRPr="00005453">
              <w:rPr>
                <w:color w:val="000000"/>
                <w:sz w:val="18"/>
                <w:szCs w:val="18"/>
              </w:rPr>
              <w:t>19,066</w:t>
            </w:r>
          </w:p>
        </w:tc>
        <w:tc>
          <w:tcPr>
            <w:tcW w:w="1559" w:type="dxa"/>
            <w:tcBorders>
              <w:top w:val="nil"/>
              <w:left w:val="nil"/>
              <w:bottom w:val="nil"/>
              <w:right w:val="nil"/>
            </w:tcBorders>
            <w:shd w:val="clear" w:color="auto" w:fill="auto"/>
            <w:vAlign w:val="center"/>
            <w:hideMark/>
          </w:tcPr>
          <w:p w14:paraId="53A7E347" w14:textId="3699EFF0" w:rsidR="002126DA" w:rsidRPr="00005453" w:rsidRDefault="002126DA" w:rsidP="002126DA">
            <w:pPr>
              <w:jc w:val="right"/>
              <w:rPr>
                <w:sz w:val="18"/>
                <w:szCs w:val="18"/>
                <w:lang w:eastAsia="tr-TR"/>
              </w:rPr>
            </w:pPr>
            <w:r w:rsidRPr="00005453">
              <w:rPr>
                <w:color w:val="000000"/>
                <w:sz w:val="18"/>
                <w:szCs w:val="18"/>
              </w:rPr>
              <w:t>61,499</w:t>
            </w:r>
          </w:p>
        </w:tc>
        <w:tc>
          <w:tcPr>
            <w:tcW w:w="1559" w:type="dxa"/>
            <w:tcBorders>
              <w:top w:val="nil"/>
              <w:left w:val="nil"/>
              <w:bottom w:val="nil"/>
              <w:right w:val="nil"/>
            </w:tcBorders>
            <w:shd w:val="clear" w:color="auto" w:fill="auto"/>
            <w:vAlign w:val="center"/>
            <w:hideMark/>
          </w:tcPr>
          <w:p w14:paraId="6AC6F873" w14:textId="1127E652" w:rsidR="002126DA" w:rsidRPr="00005453" w:rsidRDefault="002126DA" w:rsidP="002126DA">
            <w:pPr>
              <w:jc w:val="right"/>
              <w:rPr>
                <w:sz w:val="18"/>
                <w:szCs w:val="18"/>
                <w:lang w:eastAsia="tr-TR"/>
              </w:rPr>
            </w:pPr>
            <w:r w:rsidRPr="00005453">
              <w:rPr>
                <w:color w:val="000000"/>
                <w:sz w:val="18"/>
                <w:szCs w:val="18"/>
              </w:rPr>
              <w:t>869,672</w:t>
            </w:r>
          </w:p>
        </w:tc>
      </w:tr>
      <w:tr w:rsidR="002126DA" w:rsidRPr="00005453" w14:paraId="7F3DFB83" w14:textId="77777777" w:rsidTr="000E5F12">
        <w:trPr>
          <w:divId w:val="2135754514"/>
          <w:trHeight w:val="209"/>
        </w:trPr>
        <w:tc>
          <w:tcPr>
            <w:tcW w:w="4772" w:type="dxa"/>
            <w:tcBorders>
              <w:top w:val="nil"/>
              <w:left w:val="nil"/>
              <w:bottom w:val="double" w:sz="6" w:space="0" w:color="auto"/>
              <w:right w:val="nil"/>
            </w:tcBorders>
            <w:shd w:val="clear" w:color="auto" w:fill="auto"/>
            <w:vAlign w:val="center"/>
            <w:hideMark/>
          </w:tcPr>
          <w:p w14:paraId="358B5292" w14:textId="77777777" w:rsidR="002126DA" w:rsidRPr="00005453" w:rsidRDefault="002126DA" w:rsidP="002126DA">
            <w:pPr>
              <w:jc w:val="both"/>
              <w:rPr>
                <w:b/>
                <w:bCs/>
                <w:sz w:val="18"/>
                <w:szCs w:val="18"/>
                <w:lang w:eastAsia="tr-TR"/>
              </w:rPr>
            </w:pPr>
            <w:r w:rsidRPr="00005453">
              <w:rPr>
                <w:b/>
                <w:bCs/>
                <w:sz w:val="18"/>
                <w:szCs w:val="18"/>
                <w:lang w:eastAsia="tr-TR"/>
              </w:rPr>
              <w:t>Bilançodaki Net Bakiyesi</w:t>
            </w:r>
          </w:p>
        </w:tc>
        <w:tc>
          <w:tcPr>
            <w:tcW w:w="1324" w:type="dxa"/>
            <w:tcBorders>
              <w:top w:val="nil"/>
              <w:left w:val="nil"/>
              <w:bottom w:val="double" w:sz="6" w:space="0" w:color="auto"/>
              <w:right w:val="nil"/>
            </w:tcBorders>
            <w:shd w:val="clear" w:color="auto" w:fill="auto"/>
            <w:vAlign w:val="center"/>
            <w:hideMark/>
          </w:tcPr>
          <w:p w14:paraId="3CEB6D0D" w14:textId="3075BA65" w:rsidR="002126DA" w:rsidRPr="00005453" w:rsidRDefault="002126DA" w:rsidP="002126DA">
            <w:pPr>
              <w:jc w:val="right"/>
              <w:rPr>
                <w:b/>
                <w:bCs/>
                <w:sz w:val="18"/>
                <w:szCs w:val="18"/>
                <w:lang w:eastAsia="tr-TR"/>
              </w:rPr>
            </w:pPr>
            <w:r w:rsidRPr="00005453">
              <w:rPr>
                <w:b/>
                <w:bCs/>
                <w:sz w:val="18"/>
                <w:szCs w:val="18"/>
              </w:rPr>
              <w:t>7,000</w:t>
            </w:r>
          </w:p>
        </w:tc>
        <w:tc>
          <w:tcPr>
            <w:tcW w:w="1559" w:type="dxa"/>
            <w:tcBorders>
              <w:top w:val="nil"/>
              <w:left w:val="nil"/>
              <w:bottom w:val="double" w:sz="6" w:space="0" w:color="auto"/>
              <w:right w:val="nil"/>
            </w:tcBorders>
            <w:shd w:val="clear" w:color="auto" w:fill="auto"/>
            <w:vAlign w:val="center"/>
            <w:hideMark/>
          </w:tcPr>
          <w:p w14:paraId="2EC3668A" w14:textId="53C8FEE0" w:rsidR="002126DA" w:rsidRPr="00005453" w:rsidRDefault="002126DA" w:rsidP="002126DA">
            <w:pPr>
              <w:jc w:val="right"/>
              <w:rPr>
                <w:b/>
                <w:bCs/>
                <w:sz w:val="18"/>
                <w:szCs w:val="18"/>
                <w:lang w:eastAsia="tr-TR"/>
              </w:rPr>
            </w:pPr>
            <w:r w:rsidRPr="00005453">
              <w:rPr>
                <w:b/>
                <w:bCs/>
                <w:sz w:val="18"/>
                <w:szCs w:val="18"/>
              </w:rPr>
              <w:t>8,221</w:t>
            </w:r>
          </w:p>
        </w:tc>
        <w:tc>
          <w:tcPr>
            <w:tcW w:w="1559" w:type="dxa"/>
            <w:tcBorders>
              <w:top w:val="nil"/>
              <w:left w:val="nil"/>
              <w:bottom w:val="double" w:sz="6" w:space="0" w:color="auto"/>
              <w:right w:val="nil"/>
            </w:tcBorders>
            <w:shd w:val="clear" w:color="auto" w:fill="auto"/>
            <w:vAlign w:val="center"/>
            <w:hideMark/>
          </w:tcPr>
          <w:p w14:paraId="1941754E" w14:textId="110BEFE9" w:rsidR="002126DA" w:rsidRPr="00005453" w:rsidRDefault="002126DA" w:rsidP="002126DA">
            <w:pPr>
              <w:jc w:val="right"/>
              <w:rPr>
                <w:b/>
                <w:bCs/>
                <w:sz w:val="18"/>
                <w:szCs w:val="18"/>
                <w:lang w:eastAsia="tr-TR"/>
              </w:rPr>
            </w:pPr>
            <w:r w:rsidRPr="00005453">
              <w:rPr>
                <w:b/>
                <w:bCs/>
                <w:sz w:val="18"/>
                <w:szCs w:val="18"/>
              </w:rPr>
              <w:t>8,855</w:t>
            </w:r>
          </w:p>
        </w:tc>
      </w:tr>
    </w:tbl>
    <w:p w14:paraId="60EB8474" w14:textId="77777777" w:rsidR="002C69FD" w:rsidRPr="00005453" w:rsidRDefault="002C69FD" w:rsidP="00535CF4">
      <w:pPr>
        <w:tabs>
          <w:tab w:val="left" w:pos="0"/>
        </w:tabs>
        <w:rPr>
          <w:iCs/>
          <w:sz w:val="16"/>
          <w:szCs w:val="16"/>
        </w:rPr>
      </w:pPr>
    </w:p>
    <w:p w14:paraId="55745856" w14:textId="5353DE35" w:rsidR="00356EE0" w:rsidRPr="00005453" w:rsidRDefault="00990912" w:rsidP="00985AFC">
      <w:pPr>
        <w:pStyle w:val="BodyTextIndent"/>
        <w:tabs>
          <w:tab w:val="left" w:pos="0"/>
        </w:tabs>
        <w:ind w:left="0" w:hanging="567"/>
        <w:jc w:val="left"/>
      </w:pPr>
      <w:r w:rsidRPr="00005453">
        <w:rPr>
          <w:b/>
        </w:rPr>
        <w:t>1.5.</w:t>
      </w:r>
      <w:r w:rsidR="0048609D" w:rsidRPr="00005453">
        <w:rPr>
          <w:b/>
        </w:rPr>
        <w:t>10</w:t>
      </w:r>
      <w:r w:rsidR="008E42CD" w:rsidRPr="00005453">
        <w:rPr>
          <w:b/>
        </w:rPr>
        <w:t>.4</w:t>
      </w:r>
      <w:r w:rsidR="0048609D" w:rsidRPr="00005453">
        <w:t>.</w:t>
      </w:r>
      <w:r w:rsidR="008E42CD" w:rsidRPr="00005453">
        <w:t xml:space="preserve"> </w:t>
      </w:r>
      <w:r w:rsidR="00E253C8" w:rsidRPr="00005453">
        <w:t xml:space="preserve">Donuk alacakların kullanıcı gruplarına göre brüt ve net tutarlarının </w:t>
      </w:r>
      <w:r w:rsidR="00032F11" w:rsidRPr="00005453">
        <w:t>gösterimi</w:t>
      </w:r>
    </w:p>
    <w:p w14:paraId="5EB69AD5" w14:textId="6BBCF0C7" w:rsidR="00592DDE" w:rsidRPr="00005453" w:rsidRDefault="00592DDE" w:rsidP="00833BD7">
      <w:pPr>
        <w:pStyle w:val="BodyTextIndent"/>
        <w:tabs>
          <w:tab w:val="left" w:pos="0"/>
        </w:tabs>
        <w:ind w:left="0" w:hanging="567"/>
        <w:jc w:val="left"/>
        <w:rPr>
          <w:lang w:eastAsia="en-GB"/>
        </w:rPr>
      </w:pPr>
    </w:p>
    <w:tbl>
      <w:tblPr>
        <w:tblW w:w="9253" w:type="dxa"/>
        <w:tblCellMar>
          <w:left w:w="70" w:type="dxa"/>
          <w:right w:w="70" w:type="dxa"/>
        </w:tblCellMar>
        <w:tblLook w:val="04A0" w:firstRow="1" w:lastRow="0" w:firstColumn="1" w:lastColumn="0" w:noHBand="0" w:noVBand="1"/>
      </w:tblPr>
      <w:tblGrid>
        <w:gridCol w:w="4746"/>
        <w:gridCol w:w="1497"/>
        <w:gridCol w:w="1497"/>
        <w:gridCol w:w="1513"/>
      </w:tblGrid>
      <w:tr w:rsidR="00592DDE" w:rsidRPr="00005453" w14:paraId="29753F41" w14:textId="77777777" w:rsidTr="00592DDE">
        <w:trPr>
          <w:divId w:val="306789643"/>
          <w:trHeight w:val="269"/>
        </w:trPr>
        <w:tc>
          <w:tcPr>
            <w:tcW w:w="4746" w:type="dxa"/>
            <w:tcBorders>
              <w:top w:val="double" w:sz="6" w:space="0" w:color="auto"/>
              <w:left w:val="nil"/>
              <w:bottom w:val="nil"/>
              <w:right w:val="nil"/>
            </w:tcBorders>
            <w:shd w:val="clear" w:color="auto" w:fill="auto"/>
            <w:vAlign w:val="center"/>
            <w:hideMark/>
          </w:tcPr>
          <w:p w14:paraId="64CB2AA5" w14:textId="1381340D" w:rsidR="00592DDE" w:rsidRPr="00005453" w:rsidRDefault="00592DDE" w:rsidP="00592DDE">
            <w:pPr>
              <w:jc w:val="both"/>
              <w:rPr>
                <w:sz w:val="18"/>
                <w:szCs w:val="18"/>
                <w:lang w:eastAsia="tr-TR"/>
              </w:rPr>
            </w:pPr>
            <w:r w:rsidRPr="00005453">
              <w:rPr>
                <w:sz w:val="18"/>
                <w:szCs w:val="18"/>
                <w:lang w:eastAsia="tr-TR"/>
              </w:rPr>
              <w:t xml:space="preserve">  </w:t>
            </w:r>
          </w:p>
        </w:tc>
        <w:tc>
          <w:tcPr>
            <w:tcW w:w="1497" w:type="dxa"/>
            <w:tcBorders>
              <w:top w:val="double" w:sz="6" w:space="0" w:color="auto"/>
              <w:left w:val="nil"/>
              <w:bottom w:val="single" w:sz="8" w:space="0" w:color="auto"/>
              <w:right w:val="nil"/>
            </w:tcBorders>
            <w:shd w:val="clear" w:color="auto" w:fill="auto"/>
            <w:vAlign w:val="center"/>
            <w:hideMark/>
          </w:tcPr>
          <w:p w14:paraId="612FEA02" w14:textId="77777777" w:rsidR="00592DDE" w:rsidRPr="00005453" w:rsidRDefault="00592DDE" w:rsidP="00592DDE">
            <w:pPr>
              <w:jc w:val="right"/>
              <w:rPr>
                <w:b/>
                <w:bCs/>
                <w:sz w:val="18"/>
                <w:szCs w:val="18"/>
                <w:lang w:eastAsia="tr-TR"/>
              </w:rPr>
            </w:pPr>
            <w:r w:rsidRPr="00005453">
              <w:rPr>
                <w:b/>
                <w:bCs/>
                <w:sz w:val="18"/>
                <w:szCs w:val="18"/>
                <w:lang w:eastAsia="tr-TR"/>
              </w:rPr>
              <w:t>III. Grup</w:t>
            </w:r>
          </w:p>
        </w:tc>
        <w:tc>
          <w:tcPr>
            <w:tcW w:w="1497" w:type="dxa"/>
            <w:tcBorders>
              <w:top w:val="double" w:sz="6" w:space="0" w:color="auto"/>
              <w:left w:val="nil"/>
              <w:bottom w:val="single" w:sz="8" w:space="0" w:color="auto"/>
              <w:right w:val="nil"/>
            </w:tcBorders>
            <w:shd w:val="clear" w:color="auto" w:fill="auto"/>
            <w:vAlign w:val="center"/>
            <w:hideMark/>
          </w:tcPr>
          <w:p w14:paraId="0631486A" w14:textId="77777777" w:rsidR="00592DDE" w:rsidRPr="00005453" w:rsidRDefault="00592DDE" w:rsidP="00592DDE">
            <w:pPr>
              <w:jc w:val="right"/>
              <w:rPr>
                <w:b/>
                <w:bCs/>
                <w:sz w:val="18"/>
                <w:szCs w:val="18"/>
                <w:lang w:eastAsia="tr-TR"/>
              </w:rPr>
            </w:pPr>
            <w:r w:rsidRPr="00005453">
              <w:rPr>
                <w:b/>
                <w:bCs/>
                <w:sz w:val="18"/>
                <w:szCs w:val="18"/>
                <w:lang w:eastAsia="tr-TR"/>
              </w:rPr>
              <w:t>IV. Grup</w:t>
            </w:r>
          </w:p>
        </w:tc>
        <w:tc>
          <w:tcPr>
            <w:tcW w:w="1513" w:type="dxa"/>
            <w:tcBorders>
              <w:top w:val="double" w:sz="6" w:space="0" w:color="auto"/>
              <w:left w:val="nil"/>
              <w:bottom w:val="single" w:sz="8" w:space="0" w:color="auto"/>
              <w:right w:val="nil"/>
            </w:tcBorders>
            <w:shd w:val="clear" w:color="auto" w:fill="auto"/>
            <w:vAlign w:val="center"/>
            <w:hideMark/>
          </w:tcPr>
          <w:p w14:paraId="2BB3BD63" w14:textId="77777777" w:rsidR="00592DDE" w:rsidRPr="00005453" w:rsidRDefault="00592DDE" w:rsidP="00592DDE">
            <w:pPr>
              <w:jc w:val="right"/>
              <w:rPr>
                <w:b/>
                <w:bCs/>
                <w:sz w:val="18"/>
                <w:szCs w:val="18"/>
                <w:lang w:eastAsia="tr-TR"/>
              </w:rPr>
            </w:pPr>
            <w:r w:rsidRPr="00005453">
              <w:rPr>
                <w:b/>
                <w:bCs/>
                <w:sz w:val="18"/>
                <w:szCs w:val="18"/>
                <w:lang w:eastAsia="tr-TR"/>
              </w:rPr>
              <w:t>V. Grup</w:t>
            </w:r>
          </w:p>
        </w:tc>
      </w:tr>
      <w:tr w:rsidR="00592DDE" w:rsidRPr="00005453" w14:paraId="2603549F" w14:textId="77777777" w:rsidTr="00592DDE">
        <w:trPr>
          <w:divId w:val="306789643"/>
          <w:trHeight w:val="568"/>
        </w:trPr>
        <w:tc>
          <w:tcPr>
            <w:tcW w:w="4746" w:type="dxa"/>
            <w:tcBorders>
              <w:top w:val="nil"/>
              <w:left w:val="nil"/>
              <w:bottom w:val="single" w:sz="8" w:space="0" w:color="auto"/>
              <w:right w:val="nil"/>
            </w:tcBorders>
            <w:shd w:val="clear" w:color="auto" w:fill="auto"/>
            <w:vAlign w:val="center"/>
            <w:hideMark/>
          </w:tcPr>
          <w:p w14:paraId="1208749C" w14:textId="77777777" w:rsidR="00592DDE" w:rsidRPr="00005453" w:rsidRDefault="00592DDE" w:rsidP="00592DDE">
            <w:pPr>
              <w:jc w:val="both"/>
              <w:rPr>
                <w:sz w:val="18"/>
                <w:szCs w:val="18"/>
                <w:lang w:eastAsia="tr-TR"/>
              </w:rPr>
            </w:pPr>
            <w:r w:rsidRPr="00005453">
              <w:rPr>
                <w:sz w:val="18"/>
                <w:szCs w:val="18"/>
                <w:lang w:eastAsia="tr-TR"/>
              </w:rPr>
              <w:t> </w:t>
            </w:r>
          </w:p>
        </w:tc>
        <w:tc>
          <w:tcPr>
            <w:tcW w:w="1497" w:type="dxa"/>
            <w:tcBorders>
              <w:top w:val="nil"/>
              <w:left w:val="nil"/>
              <w:bottom w:val="single" w:sz="8" w:space="0" w:color="auto"/>
              <w:right w:val="nil"/>
            </w:tcBorders>
            <w:shd w:val="clear" w:color="auto" w:fill="auto"/>
            <w:vAlign w:val="center"/>
            <w:hideMark/>
          </w:tcPr>
          <w:p w14:paraId="696E4FE6" w14:textId="77777777" w:rsidR="00592DDE" w:rsidRPr="00005453" w:rsidRDefault="00592DDE" w:rsidP="00592DDE">
            <w:pPr>
              <w:jc w:val="right"/>
              <w:rPr>
                <w:b/>
                <w:bCs/>
                <w:sz w:val="18"/>
                <w:szCs w:val="18"/>
                <w:lang w:eastAsia="tr-TR"/>
              </w:rPr>
            </w:pPr>
            <w:r w:rsidRPr="00005453">
              <w:rPr>
                <w:b/>
                <w:bCs/>
                <w:sz w:val="18"/>
                <w:szCs w:val="18"/>
                <w:lang w:eastAsia="tr-TR"/>
              </w:rPr>
              <w:t xml:space="preserve">Tahsil </w:t>
            </w:r>
            <w:proofErr w:type="gramStart"/>
            <w:r w:rsidRPr="00005453">
              <w:rPr>
                <w:b/>
                <w:bCs/>
                <w:sz w:val="18"/>
                <w:szCs w:val="18"/>
                <w:lang w:eastAsia="tr-TR"/>
              </w:rPr>
              <w:t>İmkanı</w:t>
            </w:r>
            <w:proofErr w:type="gramEnd"/>
            <w:r w:rsidRPr="00005453">
              <w:rPr>
                <w:b/>
                <w:bCs/>
                <w:sz w:val="18"/>
                <w:szCs w:val="18"/>
                <w:lang w:eastAsia="tr-TR"/>
              </w:rPr>
              <w:t xml:space="preserve"> Sınırlı Krediler</w:t>
            </w:r>
          </w:p>
        </w:tc>
        <w:tc>
          <w:tcPr>
            <w:tcW w:w="1497" w:type="dxa"/>
            <w:tcBorders>
              <w:top w:val="nil"/>
              <w:left w:val="nil"/>
              <w:bottom w:val="single" w:sz="8" w:space="0" w:color="auto"/>
              <w:right w:val="nil"/>
            </w:tcBorders>
            <w:shd w:val="clear" w:color="auto" w:fill="auto"/>
            <w:vAlign w:val="center"/>
            <w:hideMark/>
          </w:tcPr>
          <w:p w14:paraId="47FC127B" w14:textId="77777777" w:rsidR="00592DDE" w:rsidRPr="00005453" w:rsidRDefault="00592DDE" w:rsidP="00592DDE">
            <w:pPr>
              <w:jc w:val="right"/>
              <w:rPr>
                <w:b/>
                <w:bCs/>
                <w:sz w:val="18"/>
                <w:szCs w:val="18"/>
                <w:lang w:eastAsia="tr-TR"/>
              </w:rPr>
            </w:pPr>
            <w:r w:rsidRPr="00005453">
              <w:rPr>
                <w:b/>
                <w:bCs/>
                <w:sz w:val="18"/>
                <w:szCs w:val="18"/>
                <w:lang w:eastAsia="tr-TR"/>
              </w:rPr>
              <w:t>Tahsili Şüpheli Krediler</w:t>
            </w:r>
          </w:p>
        </w:tc>
        <w:tc>
          <w:tcPr>
            <w:tcW w:w="1513" w:type="dxa"/>
            <w:tcBorders>
              <w:top w:val="nil"/>
              <w:left w:val="nil"/>
              <w:bottom w:val="single" w:sz="8" w:space="0" w:color="auto"/>
              <w:right w:val="nil"/>
            </w:tcBorders>
            <w:shd w:val="clear" w:color="auto" w:fill="auto"/>
            <w:vAlign w:val="center"/>
            <w:hideMark/>
          </w:tcPr>
          <w:p w14:paraId="2C5DD00D" w14:textId="77777777" w:rsidR="00592DDE" w:rsidRPr="00005453" w:rsidRDefault="00592DDE" w:rsidP="00592DDE">
            <w:pPr>
              <w:jc w:val="right"/>
              <w:rPr>
                <w:b/>
                <w:bCs/>
                <w:sz w:val="18"/>
                <w:szCs w:val="18"/>
                <w:lang w:eastAsia="tr-TR"/>
              </w:rPr>
            </w:pPr>
            <w:r w:rsidRPr="00005453">
              <w:rPr>
                <w:b/>
                <w:bCs/>
                <w:sz w:val="18"/>
                <w:szCs w:val="18"/>
                <w:lang w:eastAsia="tr-TR"/>
              </w:rPr>
              <w:t>Zarar Niteliğindeki Krediler</w:t>
            </w:r>
          </w:p>
        </w:tc>
      </w:tr>
      <w:tr w:rsidR="00447B03" w:rsidRPr="00005453" w14:paraId="05FAB23D" w14:textId="77777777" w:rsidTr="00B45314">
        <w:trPr>
          <w:divId w:val="306789643"/>
          <w:trHeight w:val="239"/>
        </w:trPr>
        <w:tc>
          <w:tcPr>
            <w:tcW w:w="4746" w:type="dxa"/>
            <w:tcBorders>
              <w:top w:val="nil"/>
              <w:left w:val="nil"/>
              <w:bottom w:val="nil"/>
              <w:right w:val="nil"/>
            </w:tcBorders>
            <w:shd w:val="clear" w:color="auto" w:fill="auto"/>
            <w:vAlign w:val="center"/>
            <w:hideMark/>
          </w:tcPr>
          <w:p w14:paraId="68D21FB1" w14:textId="77777777" w:rsidR="00447B03" w:rsidRPr="00005453" w:rsidRDefault="00447B03" w:rsidP="00447B03">
            <w:pPr>
              <w:jc w:val="both"/>
              <w:rPr>
                <w:b/>
                <w:bCs/>
                <w:sz w:val="18"/>
                <w:szCs w:val="18"/>
                <w:lang w:eastAsia="tr-TR"/>
              </w:rPr>
            </w:pPr>
            <w:r w:rsidRPr="00005453">
              <w:rPr>
                <w:b/>
                <w:bCs/>
                <w:sz w:val="18"/>
                <w:szCs w:val="18"/>
                <w:lang w:eastAsia="tr-TR"/>
              </w:rPr>
              <w:t>Cari Dönem (Net)</w:t>
            </w:r>
          </w:p>
        </w:tc>
        <w:tc>
          <w:tcPr>
            <w:tcW w:w="1497" w:type="dxa"/>
            <w:tcBorders>
              <w:top w:val="nil"/>
              <w:left w:val="nil"/>
              <w:bottom w:val="nil"/>
              <w:right w:val="nil"/>
            </w:tcBorders>
            <w:shd w:val="clear" w:color="auto" w:fill="auto"/>
            <w:vAlign w:val="center"/>
            <w:hideMark/>
          </w:tcPr>
          <w:p w14:paraId="6016B186" w14:textId="3412CE76" w:rsidR="00447B03" w:rsidRPr="00005453" w:rsidRDefault="00447B03" w:rsidP="00447B03">
            <w:pPr>
              <w:jc w:val="right"/>
              <w:rPr>
                <w:b/>
                <w:bCs/>
                <w:sz w:val="18"/>
                <w:szCs w:val="18"/>
                <w:lang w:eastAsia="tr-TR"/>
              </w:rPr>
            </w:pPr>
            <w:r w:rsidRPr="00005453">
              <w:rPr>
                <w:b/>
                <w:color w:val="000000"/>
                <w:sz w:val="18"/>
                <w:szCs w:val="18"/>
              </w:rPr>
              <w:t>484,848</w:t>
            </w:r>
          </w:p>
        </w:tc>
        <w:tc>
          <w:tcPr>
            <w:tcW w:w="1497" w:type="dxa"/>
            <w:tcBorders>
              <w:top w:val="nil"/>
              <w:left w:val="nil"/>
              <w:bottom w:val="nil"/>
              <w:right w:val="nil"/>
            </w:tcBorders>
            <w:shd w:val="clear" w:color="auto" w:fill="auto"/>
            <w:vAlign w:val="center"/>
            <w:hideMark/>
          </w:tcPr>
          <w:p w14:paraId="61A554EB" w14:textId="719176B8" w:rsidR="00447B03" w:rsidRPr="00005453" w:rsidRDefault="00447B03" w:rsidP="00447B03">
            <w:pPr>
              <w:jc w:val="right"/>
              <w:rPr>
                <w:b/>
                <w:bCs/>
                <w:sz w:val="18"/>
                <w:szCs w:val="18"/>
                <w:lang w:eastAsia="tr-TR"/>
              </w:rPr>
            </w:pPr>
            <w:r w:rsidRPr="00005453">
              <w:rPr>
                <w:b/>
                <w:color w:val="000000"/>
                <w:sz w:val="18"/>
                <w:szCs w:val="18"/>
              </w:rPr>
              <w:t>309,468</w:t>
            </w:r>
          </w:p>
        </w:tc>
        <w:tc>
          <w:tcPr>
            <w:tcW w:w="1513" w:type="dxa"/>
            <w:tcBorders>
              <w:top w:val="nil"/>
              <w:left w:val="nil"/>
              <w:bottom w:val="nil"/>
              <w:right w:val="nil"/>
            </w:tcBorders>
            <w:shd w:val="clear" w:color="auto" w:fill="auto"/>
            <w:vAlign w:val="center"/>
            <w:hideMark/>
          </w:tcPr>
          <w:p w14:paraId="1EB7A326" w14:textId="17DAAC25" w:rsidR="00447B03" w:rsidRPr="00005453" w:rsidRDefault="00447B03" w:rsidP="00447B03">
            <w:pPr>
              <w:jc w:val="right"/>
              <w:rPr>
                <w:b/>
                <w:bCs/>
                <w:sz w:val="18"/>
                <w:szCs w:val="18"/>
                <w:lang w:eastAsia="tr-TR"/>
              </w:rPr>
            </w:pPr>
            <w:r w:rsidRPr="00005453">
              <w:rPr>
                <w:b/>
                <w:color w:val="000000"/>
                <w:sz w:val="18"/>
                <w:szCs w:val="18"/>
              </w:rPr>
              <w:t>266,616</w:t>
            </w:r>
          </w:p>
        </w:tc>
      </w:tr>
      <w:tr w:rsidR="00447B03" w:rsidRPr="00005453" w14:paraId="2BAAEB08" w14:textId="77777777" w:rsidTr="00447B03">
        <w:trPr>
          <w:divId w:val="306789643"/>
          <w:trHeight w:val="239"/>
        </w:trPr>
        <w:tc>
          <w:tcPr>
            <w:tcW w:w="4746" w:type="dxa"/>
            <w:tcBorders>
              <w:top w:val="nil"/>
              <w:left w:val="nil"/>
              <w:bottom w:val="nil"/>
              <w:right w:val="nil"/>
            </w:tcBorders>
            <w:shd w:val="clear" w:color="auto" w:fill="auto"/>
            <w:noWrap/>
            <w:vAlign w:val="center"/>
            <w:hideMark/>
          </w:tcPr>
          <w:p w14:paraId="7D9481EF" w14:textId="77777777" w:rsidR="00447B03" w:rsidRPr="00005453" w:rsidRDefault="00447B03" w:rsidP="00447B03">
            <w:pPr>
              <w:rPr>
                <w:sz w:val="18"/>
                <w:szCs w:val="18"/>
                <w:lang w:eastAsia="tr-TR"/>
              </w:rPr>
            </w:pPr>
            <w:r w:rsidRPr="00005453">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45499B5F" w14:textId="6172DD8C" w:rsidR="00447B03" w:rsidRPr="00005453" w:rsidRDefault="00447B03" w:rsidP="00447B03">
            <w:pPr>
              <w:jc w:val="right"/>
              <w:rPr>
                <w:bCs/>
                <w:sz w:val="18"/>
                <w:szCs w:val="18"/>
                <w:lang w:eastAsia="tr-TR"/>
              </w:rPr>
            </w:pPr>
            <w:r w:rsidRPr="00005453">
              <w:rPr>
                <w:color w:val="000000"/>
                <w:sz w:val="18"/>
                <w:szCs w:val="18"/>
              </w:rPr>
              <w:t>1,710,851</w:t>
            </w:r>
          </w:p>
        </w:tc>
        <w:tc>
          <w:tcPr>
            <w:tcW w:w="1497" w:type="dxa"/>
            <w:tcBorders>
              <w:top w:val="nil"/>
              <w:left w:val="nil"/>
              <w:bottom w:val="nil"/>
              <w:right w:val="nil"/>
            </w:tcBorders>
            <w:shd w:val="clear" w:color="auto" w:fill="auto"/>
            <w:vAlign w:val="center"/>
            <w:hideMark/>
          </w:tcPr>
          <w:p w14:paraId="33DA5491" w14:textId="3286A811" w:rsidR="00447B03" w:rsidRPr="00005453" w:rsidRDefault="00447B03" w:rsidP="00447B03">
            <w:pPr>
              <w:jc w:val="right"/>
              <w:rPr>
                <w:bCs/>
                <w:sz w:val="18"/>
                <w:szCs w:val="18"/>
                <w:lang w:eastAsia="tr-TR"/>
              </w:rPr>
            </w:pPr>
            <w:r w:rsidRPr="00005453">
              <w:rPr>
                <w:color w:val="000000"/>
                <w:sz w:val="18"/>
                <w:szCs w:val="18"/>
              </w:rPr>
              <w:t>1,696,519</w:t>
            </w:r>
          </w:p>
        </w:tc>
        <w:tc>
          <w:tcPr>
            <w:tcW w:w="1513" w:type="dxa"/>
            <w:tcBorders>
              <w:top w:val="nil"/>
              <w:left w:val="nil"/>
              <w:bottom w:val="nil"/>
              <w:right w:val="nil"/>
            </w:tcBorders>
            <w:shd w:val="clear" w:color="auto" w:fill="auto"/>
            <w:vAlign w:val="center"/>
            <w:hideMark/>
          </w:tcPr>
          <w:p w14:paraId="59EB1C56" w14:textId="24FBD31A" w:rsidR="00447B03" w:rsidRPr="00005453" w:rsidRDefault="00447B03" w:rsidP="00447B03">
            <w:pPr>
              <w:jc w:val="right"/>
              <w:rPr>
                <w:bCs/>
                <w:sz w:val="18"/>
                <w:szCs w:val="18"/>
                <w:lang w:eastAsia="tr-TR"/>
              </w:rPr>
            </w:pPr>
            <w:r w:rsidRPr="00005453">
              <w:rPr>
                <w:color w:val="000000"/>
                <w:sz w:val="18"/>
                <w:szCs w:val="18"/>
              </w:rPr>
              <w:t>3,633,300</w:t>
            </w:r>
          </w:p>
        </w:tc>
      </w:tr>
      <w:tr w:rsidR="00447B03" w:rsidRPr="00005453" w14:paraId="6969F503" w14:textId="77777777" w:rsidTr="00447B03">
        <w:trPr>
          <w:divId w:val="306789643"/>
          <w:trHeight w:val="239"/>
        </w:trPr>
        <w:tc>
          <w:tcPr>
            <w:tcW w:w="4746" w:type="dxa"/>
            <w:tcBorders>
              <w:top w:val="nil"/>
              <w:left w:val="nil"/>
              <w:bottom w:val="nil"/>
              <w:right w:val="nil"/>
            </w:tcBorders>
            <w:shd w:val="clear" w:color="auto" w:fill="auto"/>
            <w:noWrap/>
            <w:vAlign w:val="center"/>
            <w:hideMark/>
          </w:tcPr>
          <w:p w14:paraId="570758F0" w14:textId="77777777" w:rsidR="00447B03" w:rsidRPr="00005453" w:rsidRDefault="00447B03" w:rsidP="00447B03">
            <w:pPr>
              <w:rPr>
                <w:sz w:val="18"/>
                <w:szCs w:val="18"/>
                <w:lang w:eastAsia="tr-TR"/>
              </w:rPr>
            </w:pPr>
            <w:r w:rsidRPr="00005453">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4FEBD085" w14:textId="4D93D55D" w:rsidR="00447B03" w:rsidRPr="00005453" w:rsidRDefault="00447B03" w:rsidP="00447B03">
            <w:pPr>
              <w:jc w:val="right"/>
              <w:rPr>
                <w:bCs/>
                <w:sz w:val="18"/>
                <w:szCs w:val="18"/>
                <w:lang w:eastAsia="tr-TR"/>
              </w:rPr>
            </w:pPr>
            <w:r w:rsidRPr="00005453">
              <w:rPr>
                <w:color w:val="000000"/>
                <w:sz w:val="18"/>
                <w:szCs w:val="18"/>
              </w:rPr>
              <w:t>1,226,003</w:t>
            </w:r>
          </w:p>
        </w:tc>
        <w:tc>
          <w:tcPr>
            <w:tcW w:w="1497" w:type="dxa"/>
            <w:tcBorders>
              <w:top w:val="nil"/>
              <w:left w:val="nil"/>
              <w:bottom w:val="nil"/>
              <w:right w:val="nil"/>
            </w:tcBorders>
            <w:shd w:val="clear" w:color="auto" w:fill="auto"/>
            <w:vAlign w:val="center"/>
            <w:hideMark/>
          </w:tcPr>
          <w:p w14:paraId="24AB5649" w14:textId="67B27AA8" w:rsidR="00447B03" w:rsidRPr="00005453" w:rsidRDefault="00447B03" w:rsidP="00447B03">
            <w:pPr>
              <w:jc w:val="right"/>
              <w:rPr>
                <w:bCs/>
                <w:sz w:val="18"/>
                <w:szCs w:val="18"/>
                <w:lang w:eastAsia="tr-TR"/>
              </w:rPr>
            </w:pPr>
            <w:r w:rsidRPr="00005453">
              <w:rPr>
                <w:color w:val="000000"/>
                <w:sz w:val="18"/>
                <w:szCs w:val="18"/>
              </w:rPr>
              <w:t>1,387,051</w:t>
            </w:r>
          </w:p>
        </w:tc>
        <w:tc>
          <w:tcPr>
            <w:tcW w:w="1513" w:type="dxa"/>
            <w:tcBorders>
              <w:top w:val="nil"/>
              <w:left w:val="nil"/>
              <w:bottom w:val="nil"/>
              <w:right w:val="nil"/>
            </w:tcBorders>
            <w:shd w:val="clear" w:color="auto" w:fill="auto"/>
            <w:vAlign w:val="center"/>
            <w:hideMark/>
          </w:tcPr>
          <w:p w14:paraId="5C19EB6F" w14:textId="529A6EBC" w:rsidR="00447B03" w:rsidRPr="00005453" w:rsidRDefault="00447B03" w:rsidP="00447B03">
            <w:pPr>
              <w:jc w:val="right"/>
              <w:rPr>
                <w:bCs/>
                <w:sz w:val="18"/>
                <w:szCs w:val="18"/>
                <w:lang w:eastAsia="tr-TR"/>
              </w:rPr>
            </w:pPr>
            <w:r w:rsidRPr="00005453">
              <w:rPr>
                <w:color w:val="000000"/>
                <w:sz w:val="18"/>
                <w:szCs w:val="18"/>
              </w:rPr>
              <w:t>3,366,684</w:t>
            </w:r>
          </w:p>
        </w:tc>
      </w:tr>
      <w:tr w:rsidR="00447B03" w:rsidRPr="00005453" w14:paraId="63AADD9C" w14:textId="77777777" w:rsidTr="00447B03">
        <w:trPr>
          <w:divId w:val="306789643"/>
          <w:trHeight w:val="239"/>
        </w:trPr>
        <w:tc>
          <w:tcPr>
            <w:tcW w:w="4746" w:type="dxa"/>
            <w:tcBorders>
              <w:top w:val="nil"/>
              <w:left w:val="nil"/>
              <w:bottom w:val="nil"/>
              <w:right w:val="nil"/>
            </w:tcBorders>
            <w:shd w:val="clear" w:color="auto" w:fill="auto"/>
            <w:noWrap/>
            <w:vAlign w:val="center"/>
            <w:hideMark/>
          </w:tcPr>
          <w:p w14:paraId="20E95F50" w14:textId="77777777" w:rsidR="00447B03" w:rsidRPr="00005453" w:rsidRDefault="00447B03" w:rsidP="00447B03">
            <w:pPr>
              <w:rPr>
                <w:b/>
                <w:bCs/>
                <w:sz w:val="18"/>
                <w:szCs w:val="18"/>
                <w:lang w:eastAsia="tr-TR"/>
              </w:rPr>
            </w:pPr>
            <w:r w:rsidRPr="00005453">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33FA5721" w14:textId="00989949" w:rsidR="00447B03" w:rsidRPr="00005453" w:rsidRDefault="00447B03" w:rsidP="00447B03">
            <w:pPr>
              <w:jc w:val="right"/>
              <w:rPr>
                <w:b/>
                <w:bCs/>
                <w:sz w:val="18"/>
                <w:szCs w:val="18"/>
                <w:lang w:eastAsia="tr-TR"/>
              </w:rPr>
            </w:pPr>
            <w:r w:rsidRPr="00005453">
              <w:rPr>
                <w:b/>
                <w:color w:val="000000"/>
                <w:sz w:val="18"/>
                <w:szCs w:val="18"/>
              </w:rPr>
              <w:t>484,848</w:t>
            </w:r>
          </w:p>
        </w:tc>
        <w:tc>
          <w:tcPr>
            <w:tcW w:w="1497" w:type="dxa"/>
            <w:tcBorders>
              <w:top w:val="nil"/>
              <w:left w:val="nil"/>
              <w:bottom w:val="nil"/>
              <w:right w:val="nil"/>
            </w:tcBorders>
            <w:shd w:val="clear" w:color="auto" w:fill="auto"/>
            <w:vAlign w:val="center"/>
            <w:hideMark/>
          </w:tcPr>
          <w:p w14:paraId="25ED6960" w14:textId="3F1C0527" w:rsidR="00447B03" w:rsidRPr="00005453" w:rsidRDefault="00447B03" w:rsidP="00447B03">
            <w:pPr>
              <w:jc w:val="right"/>
              <w:rPr>
                <w:b/>
                <w:bCs/>
                <w:sz w:val="18"/>
                <w:szCs w:val="18"/>
                <w:lang w:eastAsia="tr-TR"/>
              </w:rPr>
            </w:pPr>
            <w:r w:rsidRPr="00005453">
              <w:rPr>
                <w:b/>
                <w:color w:val="000000"/>
                <w:sz w:val="18"/>
                <w:szCs w:val="18"/>
              </w:rPr>
              <w:t>309,468</w:t>
            </w:r>
          </w:p>
        </w:tc>
        <w:tc>
          <w:tcPr>
            <w:tcW w:w="1513" w:type="dxa"/>
            <w:tcBorders>
              <w:top w:val="nil"/>
              <w:left w:val="nil"/>
              <w:bottom w:val="nil"/>
              <w:right w:val="nil"/>
            </w:tcBorders>
            <w:shd w:val="clear" w:color="auto" w:fill="auto"/>
            <w:vAlign w:val="center"/>
            <w:hideMark/>
          </w:tcPr>
          <w:p w14:paraId="1FF0604B" w14:textId="2D68073F" w:rsidR="00447B03" w:rsidRPr="00005453" w:rsidRDefault="00447B03" w:rsidP="00447B03">
            <w:pPr>
              <w:jc w:val="right"/>
              <w:rPr>
                <w:b/>
                <w:bCs/>
                <w:sz w:val="18"/>
                <w:szCs w:val="18"/>
                <w:lang w:eastAsia="tr-TR"/>
              </w:rPr>
            </w:pPr>
            <w:r w:rsidRPr="00005453">
              <w:rPr>
                <w:b/>
                <w:color w:val="000000"/>
                <w:sz w:val="18"/>
                <w:szCs w:val="18"/>
              </w:rPr>
              <w:t>266,616</w:t>
            </w:r>
          </w:p>
        </w:tc>
      </w:tr>
      <w:tr w:rsidR="00592DDE" w:rsidRPr="00005453" w14:paraId="0F3A002F" w14:textId="77777777" w:rsidTr="00B45314">
        <w:trPr>
          <w:divId w:val="306789643"/>
          <w:trHeight w:val="239"/>
        </w:trPr>
        <w:tc>
          <w:tcPr>
            <w:tcW w:w="4746" w:type="dxa"/>
            <w:tcBorders>
              <w:top w:val="nil"/>
              <w:left w:val="nil"/>
              <w:bottom w:val="nil"/>
              <w:right w:val="nil"/>
            </w:tcBorders>
            <w:shd w:val="clear" w:color="auto" w:fill="auto"/>
            <w:noWrap/>
            <w:vAlign w:val="center"/>
            <w:hideMark/>
          </w:tcPr>
          <w:p w14:paraId="2D0484A3" w14:textId="77777777" w:rsidR="00592DDE" w:rsidRPr="00005453" w:rsidRDefault="00592DDE" w:rsidP="00592DDE">
            <w:pPr>
              <w:rPr>
                <w:sz w:val="18"/>
                <w:szCs w:val="18"/>
                <w:lang w:eastAsia="tr-TR"/>
              </w:rPr>
            </w:pPr>
            <w:r w:rsidRPr="00005453">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21612853" w14:textId="77777777" w:rsidR="00592DDE" w:rsidRPr="00005453" w:rsidRDefault="00592DDE" w:rsidP="00B45314">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2754BA17" w14:textId="77777777" w:rsidR="00592DDE" w:rsidRPr="00005453" w:rsidRDefault="00592DDE" w:rsidP="00B45314">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7873D832" w14:textId="77777777" w:rsidR="00592DDE" w:rsidRPr="00005453" w:rsidRDefault="00592DDE" w:rsidP="00B45314">
            <w:pPr>
              <w:jc w:val="right"/>
              <w:rPr>
                <w:sz w:val="18"/>
                <w:szCs w:val="18"/>
                <w:lang w:eastAsia="tr-TR"/>
              </w:rPr>
            </w:pPr>
            <w:r w:rsidRPr="00005453">
              <w:rPr>
                <w:sz w:val="18"/>
                <w:szCs w:val="18"/>
                <w:lang w:eastAsia="tr-TR"/>
              </w:rPr>
              <w:t>-</w:t>
            </w:r>
          </w:p>
        </w:tc>
      </w:tr>
      <w:tr w:rsidR="00592DDE" w:rsidRPr="00005453" w14:paraId="726BFD82" w14:textId="77777777" w:rsidTr="00B45314">
        <w:trPr>
          <w:divId w:val="306789643"/>
          <w:trHeight w:val="239"/>
        </w:trPr>
        <w:tc>
          <w:tcPr>
            <w:tcW w:w="4746" w:type="dxa"/>
            <w:tcBorders>
              <w:top w:val="nil"/>
              <w:left w:val="nil"/>
              <w:bottom w:val="nil"/>
              <w:right w:val="nil"/>
            </w:tcBorders>
            <w:shd w:val="clear" w:color="auto" w:fill="auto"/>
            <w:noWrap/>
            <w:vAlign w:val="center"/>
            <w:hideMark/>
          </w:tcPr>
          <w:p w14:paraId="3F25D507" w14:textId="77777777" w:rsidR="00592DDE" w:rsidRPr="00005453" w:rsidRDefault="00592DDE" w:rsidP="00592DDE">
            <w:pPr>
              <w:rPr>
                <w:sz w:val="18"/>
                <w:szCs w:val="18"/>
                <w:lang w:eastAsia="tr-TR"/>
              </w:rPr>
            </w:pPr>
            <w:r w:rsidRPr="00005453">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296A5219" w14:textId="77777777" w:rsidR="00592DDE" w:rsidRPr="00005453" w:rsidRDefault="00592DDE" w:rsidP="00B45314">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6EDC59C7" w14:textId="77777777" w:rsidR="00592DDE" w:rsidRPr="00005453" w:rsidRDefault="00592DDE" w:rsidP="00B45314">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166D1930" w14:textId="77777777" w:rsidR="00592DDE" w:rsidRPr="00005453" w:rsidRDefault="00592DDE" w:rsidP="00B45314">
            <w:pPr>
              <w:jc w:val="right"/>
              <w:rPr>
                <w:sz w:val="18"/>
                <w:szCs w:val="18"/>
                <w:lang w:eastAsia="tr-TR"/>
              </w:rPr>
            </w:pPr>
            <w:r w:rsidRPr="00005453">
              <w:rPr>
                <w:sz w:val="18"/>
                <w:szCs w:val="18"/>
                <w:lang w:eastAsia="tr-TR"/>
              </w:rPr>
              <w:t>-</w:t>
            </w:r>
          </w:p>
        </w:tc>
      </w:tr>
      <w:tr w:rsidR="00592DDE" w:rsidRPr="00005453" w14:paraId="77AB56A0" w14:textId="77777777" w:rsidTr="00B45314">
        <w:trPr>
          <w:divId w:val="306789643"/>
          <w:trHeight w:val="239"/>
        </w:trPr>
        <w:tc>
          <w:tcPr>
            <w:tcW w:w="4746" w:type="dxa"/>
            <w:tcBorders>
              <w:top w:val="nil"/>
              <w:left w:val="nil"/>
              <w:bottom w:val="nil"/>
              <w:right w:val="nil"/>
            </w:tcBorders>
            <w:shd w:val="clear" w:color="auto" w:fill="auto"/>
            <w:noWrap/>
            <w:vAlign w:val="center"/>
            <w:hideMark/>
          </w:tcPr>
          <w:p w14:paraId="33E95179" w14:textId="77777777" w:rsidR="00592DDE" w:rsidRPr="00005453" w:rsidRDefault="00592DDE" w:rsidP="00592DDE">
            <w:pPr>
              <w:rPr>
                <w:sz w:val="18"/>
                <w:szCs w:val="18"/>
                <w:lang w:eastAsia="tr-TR"/>
              </w:rPr>
            </w:pPr>
            <w:r w:rsidRPr="00005453">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18E76281" w14:textId="77777777" w:rsidR="00592DDE" w:rsidRPr="00005453" w:rsidRDefault="00592DDE" w:rsidP="00B45314">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7FBAB6A4" w14:textId="77777777" w:rsidR="00592DDE" w:rsidRPr="00005453" w:rsidRDefault="00592DDE" w:rsidP="00B45314">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38FDB23B" w14:textId="77777777" w:rsidR="00592DDE" w:rsidRPr="00005453" w:rsidRDefault="00592DDE" w:rsidP="00B45314">
            <w:pPr>
              <w:jc w:val="right"/>
              <w:rPr>
                <w:sz w:val="18"/>
                <w:szCs w:val="18"/>
                <w:lang w:eastAsia="tr-TR"/>
              </w:rPr>
            </w:pPr>
            <w:r w:rsidRPr="00005453">
              <w:rPr>
                <w:sz w:val="18"/>
                <w:szCs w:val="18"/>
                <w:lang w:eastAsia="tr-TR"/>
              </w:rPr>
              <w:t>-</w:t>
            </w:r>
          </w:p>
        </w:tc>
      </w:tr>
      <w:tr w:rsidR="00592DDE" w:rsidRPr="00005453" w14:paraId="484920E8" w14:textId="77777777" w:rsidTr="00B45314">
        <w:trPr>
          <w:divId w:val="306789643"/>
          <w:trHeight w:val="239"/>
        </w:trPr>
        <w:tc>
          <w:tcPr>
            <w:tcW w:w="4746" w:type="dxa"/>
            <w:tcBorders>
              <w:top w:val="nil"/>
              <w:left w:val="nil"/>
              <w:bottom w:val="nil"/>
              <w:right w:val="nil"/>
            </w:tcBorders>
            <w:shd w:val="clear" w:color="auto" w:fill="auto"/>
            <w:noWrap/>
            <w:vAlign w:val="center"/>
            <w:hideMark/>
          </w:tcPr>
          <w:p w14:paraId="03272620" w14:textId="77777777" w:rsidR="00592DDE" w:rsidRPr="00005453" w:rsidRDefault="00592DDE" w:rsidP="00592DDE">
            <w:pPr>
              <w:rPr>
                <w:sz w:val="18"/>
                <w:szCs w:val="18"/>
                <w:lang w:eastAsia="tr-TR"/>
              </w:rPr>
            </w:pPr>
            <w:r w:rsidRPr="00005453">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0FEE3F9E" w14:textId="77777777" w:rsidR="00592DDE" w:rsidRPr="00005453" w:rsidRDefault="00592DDE" w:rsidP="00B45314">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420B4766" w14:textId="77777777" w:rsidR="00592DDE" w:rsidRPr="00005453" w:rsidRDefault="00592DDE" w:rsidP="00B45314">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45BEEAF9" w14:textId="77777777" w:rsidR="00592DDE" w:rsidRPr="00005453" w:rsidRDefault="00592DDE" w:rsidP="00B45314">
            <w:pPr>
              <w:jc w:val="right"/>
              <w:rPr>
                <w:sz w:val="18"/>
                <w:szCs w:val="18"/>
                <w:lang w:eastAsia="tr-TR"/>
              </w:rPr>
            </w:pPr>
            <w:r w:rsidRPr="00005453">
              <w:rPr>
                <w:sz w:val="18"/>
                <w:szCs w:val="18"/>
                <w:lang w:eastAsia="tr-TR"/>
              </w:rPr>
              <w:t>-</w:t>
            </w:r>
          </w:p>
        </w:tc>
      </w:tr>
      <w:tr w:rsidR="00592DDE" w:rsidRPr="00005453" w14:paraId="70920D95" w14:textId="77777777" w:rsidTr="00B45314">
        <w:trPr>
          <w:divId w:val="306789643"/>
          <w:trHeight w:val="239"/>
        </w:trPr>
        <w:tc>
          <w:tcPr>
            <w:tcW w:w="4746" w:type="dxa"/>
            <w:tcBorders>
              <w:top w:val="nil"/>
              <w:left w:val="nil"/>
              <w:bottom w:val="nil"/>
              <w:right w:val="nil"/>
            </w:tcBorders>
            <w:shd w:val="clear" w:color="auto" w:fill="auto"/>
            <w:noWrap/>
            <w:vAlign w:val="center"/>
            <w:hideMark/>
          </w:tcPr>
          <w:p w14:paraId="388044F1" w14:textId="77777777" w:rsidR="00592DDE" w:rsidRPr="00005453" w:rsidRDefault="00592DDE" w:rsidP="00592DDE">
            <w:pPr>
              <w:rPr>
                <w:sz w:val="18"/>
                <w:szCs w:val="18"/>
                <w:lang w:eastAsia="tr-TR"/>
              </w:rPr>
            </w:pPr>
            <w:r w:rsidRPr="00005453">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2BE1912B" w14:textId="77777777" w:rsidR="00592DDE" w:rsidRPr="00005453" w:rsidRDefault="00592DDE" w:rsidP="00B45314">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078ADA45" w14:textId="77777777" w:rsidR="00592DDE" w:rsidRPr="00005453" w:rsidRDefault="00592DDE" w:rsidP="00B45314">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74E42CA8" w14:textId="77777777" w:rsidR="00592DDE" w:rsidRPr="00005453" w:rsidRDefault="00592DDE" w:rsidP="00B45314">
            <w:pPr>
              <w:jc w:val="right"/>
              <w:rPr>
                <w:sz w:val="18"/>
                <w:szCs w:val="18"/>
                <w:lang w:eastAsia="tr-TR"/>
              </w:rPr>
            </w:pPr>
            <w:r w:rsidRPr="00005453">
              <w:rPr>
                <w:sz w:val="18"/>
                <w:szCs w:val="18"/>
                <w:lang w:eastAsia="tr-TR"/>
              </w:rPr>
              <w:t>-</w:t>
            </w:r>
          </w:p>
        </w:tc>
      </w:tr>
      <w:tr w:rsidR="00592DDE" w:rsidRPr="00005453" w14:paraId="62E3C004" w14:textId="77777777" w:rsidTr="00B45314">
        <w:trPr>
          <w:divId w:val="306789643"/>
          <w:trHeight w:val="239"/>
        </w:trPr>
        <w:tc>
          <w:tcPr>
            <w:tcW w:w="4746" w:type="dxa"/>
            <w:tcBorders>
              <w:top w:val="nil"/>
              <w:left w:val="nil"/>
              <w:bottom w:val="nil"/>
              <w:right w:val="nil"/>
            </w:tcBorders>
            <w:shd w:val="clear" w:color="auto" w:fill="auto"/>
            <w:noWrap/>
            <w:vAlign w:val="center"/>
            <w:hideMark/>
          </w:tcPr>
          <w:p w14:paraId="2E200457" w14:textId="77777777" w:rsidR="00592DDE" w:rsidRPr="00005453" w:rsidRDefault="00592DDE" w:rsidP="00592DDE">
            <w:pPr>
              <w:rPr>
                <w:sz w:val="18"/>
                <w:szCs w:val="18"/>
                <w:lang w:eastAsia="tr-TR"/>
              </w:rPr>
            </w:pPr>
            <w:r w:rsidRPr="00005453">
              <w:rPr>
                <w:iCs/>
                <w:sz w:val="18"/>
                <w:szCs w:val="18"/>
                <w:lang w:eastAsia="tr-TR"/>
              </w:rPr>
              <w:t>Diğer kredi ve alacaklar (net)</w:t>
            </w:r>
          </w:p>
        </w:tc>
        <w:tc>
          <w:tcPr>
            <w:tcW w:w="1497" w:type="dxa"/>
            <w:tcBorders>
              <w:top w:val="nil"/>
              <w:left w:val="nil"/>
              <w:bottom w:val="nil"/>
              <w:right w:val="nil"/>
            </w:tcBorders>
            <w:shd w:val="clear" w:color="auto" w:fill="auto"/>
            <w:vAlign w:val="center"/>
            <w:hideMark/>
          </w:tcPr>
          <w:p w14:paraId="1D535726" w14:textId="77777777" w:rsidR="00592DDE" w:rsidRPr="00005453" w:rsidRDefault="00592DDE" w:rsidP="00B45314">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2143029B" w14:textId="77777777" w:rsidR="00592DDE" w:rsidRPr="00005453" w:rsidRDefault="00592DDE" w:rsidP="00B45314">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22C7B7D2" w14:textId="77777777" w:rsidR="00592DDE" w:rsidRPr="00005453" w:rsidRDefault="00592DDE" w:rsidP="00B45314">
            <w:pPr>
              <w:jc w:val="right"/>
              <w:rPr>
                <w:sz w:val="18"/>
                <w:szCs w:val="18"/>
                <w:lang w:eastAsia="tr-TR"/>
              </w:rPr>
            </w:pPr>
            <w:r w:rsidRPr="00005453">
              <w:rPr>
                <w:sz w:val="18"/>
                <w:szCs w:val="18"/>
                <w:lang w:eastAsia="tr-TR"/>
              </w:rPr>
              <w:t>-</w:t>
            </w:r>
          </w:p>
        </w:tc>
      </w:tr>
      <w:tr w:rsidR="00592DDE" w:rsidRPr="00005453" w14:paraId="046E3BCE" w14:textId="77777777" w:rsidTr="00614CD2">
        <w:trPr>
          <w:divId w:val="306789643"/>
          <w:trHeight w:val="60"/>
        </w:trPr>
        <w:tc>
          <w:tcPr>
            <w:tcW w:w="4746" w:type="dxa"/>
            <w:tcBorders>
              <w:top w:val="nil"/>
              <w:left w:val="nil"/>
              <w:bottom w:val="nil"/>
              <w:right w:val="nil"/>
            </w:tcBorders>
            <w:shd w:val="clear" w:color="auto" w:fill="auto"/>
            <w:vAlign w:val="center"/>
            <w:hideMark/>
          </w:tcPr>
          <w:p w14:paraId="564A334B" w14:textId="77777777" w:rsidR="00592DDE" w:rsidRPr="00005453" w:rsidRDefault="00592DDE" w:rsidP="00592DDE">
            <w:pPr>
              <w:jc w:val="right"/>
              <w:rPr>
                <w:sz w:val="10"/>
                <w:szCs w:val="10"/>
                <w:lang w:eastAsia="tr-TR"/>
              </w:rPr>
            </w:pPr>
          </w:p>
        </w:tc>
        <w:tc>
          <w:tcPr>
            <w:tcW w:w="1497" w:type="dxa"/>
            <w:tcBorders>
              <w:top w:val="nil"/>
              <w:left w:val="nil"/>
              <w:bottom w:val="nil"/>
              <w:right w:val="nil"/>
            </w:tcBorders>
            <w:shd w:val="clear" w:color="auto" w:fill="auto"/>
            <w:vAlign w:val="center"/>
            <w:hideMark/>
          </w:tcPr>
          <w:p w14:paraId="779E95EA" w14:textId="77777777" w:rsidR="00592DDE" w:rsidRPr="00005453" w:rsidRDefault="00592DDE" w:rsidP="00592DDE">
            <w:pPr>
              <w:jc w:val="both"/>
              <w:rPr>
                <w:sz w:val="10"/>
                <w:szCs w:val="10"/>
                <w:lang w:eastAsia="tr-TR"/>
              </w:rPr>
            </w:pPr>
          </w:p>
        </w:tc>
        <w:tc>
          <w:tcPr>
            <w:tcW w:w="1497" w:type="dxa"/>
            <w:tcBorders>
              <w:top w:val="nil"/>
              <w:left w:val="nil"/>
              <w:bottom w:val="nil"/>
              <w:right w:val="nil"/>
            </w:tcBorders>
            <w:shd w:val="clear" w:color="auto" w:fill="auto"/>
            <w:vAlign w:val="center"/>
            <w:hideMark/>
          </w:tcPr>
          <w:p w14:paraId="19EA31C3" w14:textId="77777777" w:rsidR="00592DDE" w:rsidRPr="00005453" w:rsidRDefault="00592DDE" w:rsidP="00592DDE">
            <w:pPr>
              <w:jc w:val="right"/>
              <w:rPr>
                <w:sz w:val="10"/>
                <w:szCs w:val="10"/>
                <w:lang w:eastAsia="tr-TR"/>
              </w:rPr>
            </w:pPr>
          </w:p>
        </w:tc>
        <w:tc>
          <w:tcPr>
            <w:tcW w:w="1513" w:type="dxa"/>
            <w:tcBorders>
              <w:top w:val="nil"/>
              <w:left w:val="nil"/>
              <w:bottom w:val="nil"/>
              <w:right w:val="nil"/>
            </w:tcBorders>
            <w:shd w:val="clear" w:color="auto" w:fill="auto"/>
            <w:vAlign w:val="center"/>
            <w:hideMark/>
          </w:tcPr>
          <w:p w14:paraId="4883D424" w14:textId="77777777" w:rsidR="00592DDE" w:rsidRPr="00005453" w:rsidRDefault="00592DDE" w:rsidP="00592DDE">
            <w:pPr>
              <w:jc w:val="right"/>
              <w:rPr>
                <w:sz w:val="10"/>
                <w:szCs w:val="10"/>
                <w:lang w:eastAsia="tr-TR"/>
              </w:rPr>
            </w:pPr>
          </w:p>
        </w:tc>
      </w:tr>
      <w:tr w:rsidR="002126DA" w:rsidRPr="00005453" w14:paraId="395BA874"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13F8EF55" w14:textId="77777777" w:rsidR="002126DA" w:rsidRPr="00005453" w:rsidRDefault="002126DA" w:rsidP="002126DA">
            <w:pPr>
              <w:jc w:val="both"/>
              <w:rPr>
                <w:b/>
                <w:bCs/>
                <w:sz w:val="18"/>
                <w:szCs w:val="18"/>
                <w:lang w:eastAsia="tr-TR"/>
              </w:rPr>
            </w:pPr>
            <w:r w:rsidRPr="00005453">
              <w:rPr>
                <w:b/>
                <w:bCs/>
                <w:sz w:val="18"/>
                <w:szCs w:val="18"/>
                <w:lang w:eastAsia="tr-TR"/>
              </w:rPr>
              <w:t>Önceki Dönem (Net)</w:t>
            </w:r>
          </w:p>
        </w:tc>
        <w:tc>
          <w:tcPr>
            <w:tcW w:w="1497" w:type="dxa"/>
            <w:tcBorders>
              <w:top w:val="nil"/>
              <w:left w:val="nil"/>
              <w:bottom w:val="nil"/>
              <w:right w:val="nil"/>
            </w:tcBorders>
            <w:shd w:val="clear" w:color="auto" w:fill="auto"/>
            <w:vAlign w:val="center"/>
            <w:hideMark/>
          </w:tcPr>
          <w:p w14:paraId="50024AC6" w14:textId="0A54F4F4" w:rsidR="002126DA" w:rsidRPr="00005453" w:rsidRDefault="002126DA" w:rsidP="002126DA">
            <w:pPr>
              <w:jc w:val="right"/>
              <w:rPr>
                <w:b/>
                <w:bCs/>
                <w:sz w:val="18"/>
                <w:szCs w:val="18"/>
                <w:lang w:eastAsia="tr-TR"/>
              </w:rPr>
            </w:pPr>
            <w:r w:rsidRPr="00005453">
              <w:rPr>
                <w:b/>
                <w:color w:val="000000"/>
                <w:sz w:val="18"/>
                <w:szCs w:val="18"/>
              </w:rPr>
              <w:t>60,321</w:t>
            </w:r>
          </w:p>
        </w:tc>
        <w:tc>
          <w:tcPr>
            <w:tcW w:w="1497" w:type="dxa"/>
            <w:tcBorders>
              <w:top w:val="nil"/>
              <w:left w:val="nil"/>
              <w:bottom w:val="nil"/>
              <w:right w:val="nil"/>
            </w:tcBorders>
            <w:shd w:val="clear" w:color="auto" w:fill="auto"/>
            <w:vAlign w:val="center"/>
            <w:hideMark/>
          </w:tcPr>
          <w:p w14:paraId="02FB5EEE" w14:textId="2AC19146" w:rsidR="002126DA" w:rsidRPr="00005453" w:rsidRDefault="002126DA" w:rsidP="002126DA">
            <w:pPr>
              <w:jc w:val="right"/>
              <w:rPr>
                <w:b/>
                <w:bCs/>
                <w:sz w:val="18"/>
                <w:szCs w:val="18"/>
                <w:lang w:eastAsia="tr-TR"/>
              </w:rPr>
            </w:pPr>
            <w:r w:rsidRPr="00005453">
              <w:rPr>
                <w:b/>
                <w:color w:val="000000"/>
                <w:sz w:val="18"/>
                <w:szCs w:val="18"/>
              </w:rPr>
              <w:t>61,163</w:t>
            </w:r>
          </w:p>
        </w:tc>
        <w:tc>
          <w:tcPr>
            <w:tcW w:w="1513" w:type="dxa"/>
            <w:tcBorders>
              <w:top w:val="nil"/>
              <w:left w:val="nil"/>
              <w:bottom w:val="nil"/>
              <w:right w:val="nil"/>
            </w:tcBorders>
            <w:shd w:val="clear" w:color="auto" w:fill="auto"/>
            <w:vAlign w:val="center"/>
            <w:hideMark/>
          </w:tcPr>
          <w:p w14:paraId="00759181" w14:textId="0FAF3D55" w:rsidR="002126DA" w:rsidRPr="00005453" w:rsidRDefault="002126DA" w:rsidP="002126DA">
            <w:pPr>
              <w:jc w:val="right"/>
              <w:rPr>
                <w:b/>
                <w:bCs/>
                <w:sz w:val="18"/>
                <w:szCs w:val="18"/>
                <w:lang w:eastAsia="tr-TR"/>
              </w:rPr>
            </w:pPr>
            <w:r w:rsidRPr="00005453">
              <w:rPr>
                <w:b/>
                <w:color w:val="000000"/>
                <w:sz w:val="18"/>
                <w:szCs w:val="18"/>
              </w:rPr>
              <w:t>38,432</w:t>
            </w:r>
          </w:p>
        </w:tc>
      </w:tr>
      <w:tr w:rsidR="002126DA" w:rsidRPr="00005453" w14:paraId="1519C167"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C5A4986" w14:textId="77777777" w:rsidR="002126DA" w:rsidRPr="00005453" w:rsidRDefault="002126DA" w:rsidP="002126DA">
            <w:pPr>
              <w:rPr>
                <w:sz w:val="18"/>
                <w:szCs w:val="18"/>
                <w:lang w:eastAsia="tr-TR"/>
              </w:rPr>
            </w:pPr>
            <w:r w:rsidRPr="00005453">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7EC342D0" w14:textId="6DEE45D9" w:rsidR="002126DA" w:rsidRPr="00005453" w:rsidRDefault="002126DA" w:rsidP="002126DA">
            <w:pPr>
              <w:jc w:val="right"/>
              <w:rPr>
                <w:sz w:val="18"/>
                <w:szCs w:val="18"/>
                <w:lang w:eastAsia="tr-TR"/>
              </w:rPr>
            </w:pPr>
            <w:r w:rsidRPr="00005453">
              <w:rPr>
                <w:color w:val="000000"/>
                <w:sz w:val="18"/>
                <w:szCs w:val="18"/>
              </w:rPr>
              <w:t>231,744</w:t>
            </w:r>
          </w:p>
        </w:tc>
        <w:tc>
          <w:tcPr>
            <w:tcW w:w="1497" w:type="dxa"/>
            <w:tcBorders>
              <w:top w:val="nil"/>
              <w:left w:val="nil"/>
              <w:bottom w:val="nil"/>
              <w:right w:val="nil"/>
            </w:tcBorders>
            <w:shd w:val="clear" w:color="auto" w:fill="auto"/>
            <w:vAlign w:val="center"/>
            <w:hideMark/>
          </w:tcPr>
          <w:p w14:paraId="23E71B0D" w14:textId="6F01B888" w:rsidR="002126DA" w:rsidRPr="00005453" w:rsidRDefault="002126DA" w:rsidP="002126DA">
            <w:pPr>
              <w:jc w:val="right"/>
              <w:rPr>
                <w:sz w:val="18"/>
                <w:szCs w:val="18"/>
                <w:lang w:eastAsia="tr-TR"/>
              </w:rPr>
            </w:pPr>
            <w:r w:rsidRPr="00005453">
              <w:rPr>
                <w:color w:val="000000"/>
                <w:sz w:val="18"/>
                <w:szCs w:val="18"/>
              </w:rPr>
              <w:t>434,254</w:t>
            </w:r>
          </w:p>
        </w:tc>
        <w:tc>
          <w:tcPr>
            <w:tcW w:w="1513" w:type="dxa"/>
            <w:tcBorders>
              <w:top w:val="nil"/>
              <w:left w:val="nil"/>
              <w:bottom w:val="nil"/>
              <w:right w:val="nil"/>
            </w:tcBorders>
            <w:shd w:val="clear" w:color="auto" w:fill="auto"/>
            <w:vAlign w:val="center"/>
            <w:hideMark/>
          </w:tcPr>
          <w:p w14:paraId="7405945E" w14:textId="2035037D" w:rsidR="002126DA" w:rsidRPr="00005453" w:rsidRDefault="002126DA" w:rsidP="002126DA">
            <w:pPr>
              <w:jc w:val="right"/>
              <w:rPr>
                <w:sz w:val="18"/>
                <w:szCs w:val="18"/>
                <w:lang w:eastAsia="tr-TR"/>
              </w:rPr>
            </w:pPr>
            <w:r w:rsidRPr="00005453">
              <w:rPr>
                <w:color w:val="000000"/>
                <w:sz w:val="18"/>
                <w:szCs w:val="18"/>
              </w:rPr>
              <w:t>2,937,343</w:t>
            </w:r>
          </w:p>
        </w:tc>
      </w:tr>
      <w:tr w:rsidR="002126DA" w:rsidRPr="00005453" w14:paraId="060DD939"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181D4B96" w14:textId="40A2E0DC" w:rsidR="002126DA" w:rsidRPr="00005453" w:rsidRDefault="002126DA" w:rsidP="002126DA">
            <w:pPr>
              <w:rPr>
                <w:sz w:val="18"/>
                <w:szCs w:val="18"/>
                <w:lang w:eastAsia="tr-TR"/>
              </w:rPr>
            </w:pPr>
            <w:r w:rsidRPr="00005453">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36E971B0" w14:textId="49E3C5B7" w:rsidR="002126DA" w:rsidRPr="00005453" w:rsidRDefault="002126DA" w:rsidP="002126DA">
            <w:pPr>
              <w:jc w:val="right"/>
              <w:rPr>
                <w:sz w:val="18"/>
                <w:szCs w:val="18"/>
                <w:lang w:eastAsia="tr-TR"/>
              </w:rPr>
            </w:pPr>
            <w:r w:rsidRPr="00005453">
              <w:rPr>
                <w:color w:val="000000"/>
                <w:sz w:val="18"/>
                <w:szCs w:val="18"/>
              </w:rPr>
              <w:t>171,423</w:t>
            </w:r>
          </w:p>
        </w:tc>
        <w:tc>
          <w:tcPr>
            <w:tcW w:w="1497" w:type="dxa"/>
            <w:tcBorders>
              <w:top w:val="nil"/>
              <w:left w:val="nil"/>
              <w:bottom w:val="nil"/>
              <w:right w:val="nil"/>
            </w:tcBorders>
            <w:shd w:val="clear" w:color="auto" w:fill="auto"/>
            <w:vAlign w:val="center"/>
            <w:hideMark/>
          </w:tcPr>
          <w:p w14:paraId="34BB4F9E" w14:textId="1948A344" w:rsidR="002126DA" w:rsidRPr="00005453" w:rsidRDefault="002126DA" w:rsidP="002126DA">
            <w:pPr>
              <w:jc w:val="right"/>
              <w:rPr>
                <w:sz w:val="18"/>
                <w:szCs w:val="18"/>
                <w:lang w:eastAsia="tr-TR"/>
              </w:rPr>
            </w:pPr>
            <w:r w:rsidRPr="00005453">
              <w:rPr>
                <w:color w:val="000000"/>
                <w:sz w:val="18"/>
                <w:szCs w:val="18"/>
              </w:rPr>
              <w:t>373,091</w:t>
            </w:r>
          </w:p>
        </w:tc>
        <w:tc>
          <w:tcPr>
            <w:tcW w:w="1513" w:type="dxa"/>
            <w:tcBorders>
              <w:top w:val="nil"/>
              <w:left w:val="nil"/>
              <w:bottom w:val="nil"/>
              <w:right w:val="nil"/>
            </w:tcBorders>
            <w:shd w:val="clear" w:color="auto" w:fill="auto"/>
            <w:vAlign w:val="center"/>
            <w:hideMark/>
          </w:tcPr>
          <w:p w14:paraId="10EA42B5" w14:textId="73307C20" w:rsidR="002126DA" w:rsidRPr="00005453" w:rsidRDefault="002126DA" w:rsidP="002126DA">
            <w:pPr>
              <w:jc w:val="right"/>
              <w:rPr>
                <w:sz w:val="18"/>
                <w:szCs w:val="18"/>
                <w:lang w:eastAsia="tr-TR"/>
              </w:rPr>
            </w:pPr>
            <w:r w:rsidRPr="00005453">
              <w:rPr>
                <w:color w:val="000000"/>
                <w:sz w:val="18"/>
                <w:szCs w:val="18"/>
              </w:rPr>
              <w:t>2,898,911</w:t>
            </w:r>
          </w:p>
        </w:tc>
      </w:tr>
      <w:tr w:rsidR="002126DA" w:rsidRPr="00005453" w14:paraId="53DE19A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5C530D69" w14:textId="77777777" w:rsidR="002126DA" w:rsidRPr="00005453" w:rsidRDefault="002126DA" w:rsidP="002126DA">
            <w:pPr>
              <w:rPr>
                <w:b/>
                <w:bCs/>
                <w:sz w:val="18"/>
                <w:szCs w:val="18"/>
                <w:lang w:eastAsia="tr-TR"/>
              </w:rPr>
            </w:pPr>
            <w:r w:rsidRPr="00005453">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79366DB3" w14:textId="53C7A42E" w:rsidR="002126DA" w:rsidRPr="00005453" w:rsidRDefault="002126DA" w:rsidP="002126DA">
            <w:pPr>
              <w:jc w:val="right"/>
              <w:rPr>
                <w:b/>
                <w:bCs/>
                <w:sz w:val="18"/>
                <w:szCs w:val="18"/>
                <w:lang w:eastAsia="tr-TR"/>
              </w:rPr>
            </w:pPr>
            <w:r w:rsidRPr="00005453">
              <w:rPr>
                <w:b/>
                <w:color w:val="000000"/>
                <w:sz w:val="18"/>
                <w:szCs w:val="18"/>
              </w:rPr>
              <w:t>60,321</w:t>
            </w:r>
          </w:p>
        </w:tc>
        <w:tc>
          <w:tcPr>
            <w:tcW w:w="1497" w:type="dxa"/>
            <w:tcBorders>
              <w:top w:val="nil"/>
              <w:left w:val="nil"/>
              <w:bottom w:val="nil"/>
              <w:right w:val="nil"/>
            </w:tcBorders>
            <w:shd w:val="clear" w:color="auto" w:fill="auto"/>
            <w:vAlign w:val="center"/>
            <w:hideMark/>
          </w:tcPr>
          <w:p w14:paraId="381B7632" w14:textId="695845BE" w:rsidR="002126DA" w:rsidRPr="00005453" w:rsidRDefault="002126DA" w:rsidP="002126DA">
            <w:pPr>
              <w:jc w:val="right"/>
              <w:rPr>
                <w:b/>
                <w:bCs/>
                <w:sz w:val="18"/>
                <w:szCs w:val="18"/>
                <w:lang w:eastAsia="tr-TR"/>
              </w:rPr>
            </w:pPr>
            <w:r w:rsidRPr="00005453">
              <w:rPr>
                <w:b/>
                <w:color w:val="000000"/>
                <w:sz w:val="18"/>
                <w:szCs w:val="18"/>
              </w:rPr>
              <w:t>61,163</w:t>
            </w:r>
          </w:p>
        </w:tc>
        <w:tc>
          <w:tcPr>
            <w:tcW w:w="1513" w:type="dxa"/>
            <w:tcBorders>
              <w:top w:val="nil"/>
              <w:left w:val="nil"/>
              <w:bottom w:val="nil"/>
              <w:right w:val="nil"/>
            </w:tcBorders>
            <w:shd w:val="clear" w:color="auto" w:fill="auto"/>
            <w:vAlign w:val="center"/>
            <w:hideMark/>
          </w:tcPr>
          <w:p w14:paraId="109233E9" w14:textId="7BFA14A5" w:rsidR="002126DA" w:rsidRPr="00005453" w:rsidRDefault="002126DA" w:rsidP="002126DA">
            <w:pPr>
              <w:jc w:val="right"/>
              <w:rPr>
                <w:b/>
                <w:bCs/>
                <w:sz w:val="18"/>
                <w:szCs w:val="18"/>
                <w:lang w:eastAsia="tr-TR"/>
              </w:rPr>
            </w:pPr>
            <w:r w:rsidRPr="00005453">
              <w:rPr>
                <w:b/>
                <w:color w:val="000000"/>
                <w:sz w:val="18"/>
                <w:szCs w:val="18"/>
              </w:rPr>
              <w:t>38,432</w:t>
            </w:r>
          </w:p>
        </w:tc>
      </w:tr>
      <w:tr w:rsidR="00700463" w:rsidRPr="00005453" w14:paraId="7A3B1A04"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A8B1BB9" w14:textId="77777777" w:rsidR="00700463" w:rsidRPr="00005453" w:rsidRDefault="00700463" w:rsidP="00700463">
            <w:pPr>
              <w:rPr>
                <w:sz w:val="18"/>
                <w:szCs w:val="18"/>
                <w:lang w:eastAsia="tr-TR"/>
              </w:rPr>
            </w:pPr>
            <w:r w:rsidRPr="00005453">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15B34BF2" w14:textId="05E0813F" w:rsidR="00700463" w:rsidRPr="00005453" w:rsidRDefault="00700463" w:rsidP="00700463">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1A753E2F" w14:textId="5550F1DB" w:rsidR="00700463" w:rsidRPr="00005453" w:rsidRDefault="00700463" w:rsidP="00700463">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1EDF5E8D" w14:textId="5024EC00" w:rsidR="00700463" w:rsidRPr="00005453" w:rsidRDefault="00700463" w:rsidP="00700463">
            <w:pPr>
              <w:jc w:val="right"/>
              <w:rPr>
                <w:sz w:val="18"/>
                <w:szCs w:val="18"/>
                <w:lang w:eastAsia="tr-TR"/>
              </w:rPr>
            </w:pPr>
            <w:r w:rsidRPr="00005453">
              <w:rPr>
                <w:sz w:val="18"/>
                <w:szCs w:val="18"/>
                <w:lang w:eastAsia="tr-TR"/>
              </w:rPr>
              <w:t>-</w:t>
            </w:r>
          </w:p>
        </w:tc>
      </w:tr>
      <w:tr w:rsidR="000A6E43" w:rsidRPr="00005453" w14:paraId="65BA7F5A"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486200A4" w14:textId="288571E6" w:rsidR="000A6E43" w:rsidRPr="00005453" w:rsidRDefault="000A6E43" w:rsidP="000A6E43">
            <w:pPr>
              <w:rPr>
                <w:sz w:val="18"/>
                <w:szCs w:val="18"/>
                <w:lang w:eastAsia="tr-TR"/>
              </w:rPr>
            </w:pPr>
            <w:r w:rsidRPr="00005453">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72BF70B6" w14:textId="1C975023" w:rsidR="000A6E43" w:rsidRPr="00005453" w:rsidRDefault="000A6E43" w:rsidP="000A6E43">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3553EDDB" w14:textId="7853AA91" w:rsidR="000A6E43" w:rsidRPr="00005453" w:rsidRDefault="000A6E43" w:rsidP="000A6E43">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6FD8A839" w14:textId="31082798" w:rsidR="000A6E43" w:rsidRPr="00005453" w:rsidRDefault="000A6E43" w:rsidP="000A6E43">
            <w:pPr>
              <w:jc w:val="right"/>
              <w:rPr>
                <w:sz w:val="18"/>
                <w:szCs w:val="18"/>
                <w:lang w:eastAsia="tr-TR"/>
              </w:rPr>
            </w:pPr>
            <w:r w:rsidRPr="00005453">
              <w:rPr>
                <w:sz w:val="18"/>
                <w:szCs w:val="18"/>
                <w:lang w:eastAsia="tr-TR"/>
              </w:rPr>
              <w:t>-</w:t>
            </w:r>
          </w:p>
        </w:tc>
      </w:tr>
      <w:tr w:rsidR="00700463" w:rsidRPr="00005453" w14:paraId="4F568ADE"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EB48838" w14:textId="77777777" w:rsidR="00700463" w:rsidRPr="00005453" w:rsidRDefault="00700463" w:rsidP="00700463">
            <w:pPr>
              <w:rPr>
                <w:sz w:val="18"/>
                <w:szCs w:val="18"/>
                <w:lang w:eastAsia="tr-TR"/>
              </w:rPr>
            </w:pPr>
            <w:r w:rsidRPr="00005453">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2EDAB518" w14:textId="598C017F" w:rsidR="00700463" w:rsidRPr="00005453" w:rsidRDefault="00700463" w:rsidP="00700463">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17623103" w14:textId="1EAE0DC6" w:rsidR="00700463" w:rsidRPr="00005453" w:rsidRDefault="00700463" w:rsidP="00700463">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2CFF0B05" w14:textId="1187E9A8" w:rsidR="00700463" w:rsidRPr="00005453" w:rsidRDefault="00700463" w:rsidP="00700463">
            <w:pPr>
              <w:jc w:val="right"/>
              <w:rPr>
                <w:sz w:val="18"/>
                <w:szCs w:val="18"/>
                <w:lang w:eastAsia="tr-TR"/>
              </w:rPr>
            </w:pPr>
            <w:r w:rsidRPr="00005453">
              <w:rPr>
                <w:sz w:val="18"/>
                <w:szCs w:val="18"/>
                <w:lang w:eastAsia="tr-TR"/>
              </w:rPr>
              <w:t>-</w:t>
            </w:r>
          </w:p>
        </w:tc>
      </w:tr>
      <w:tr w:rsidR="00700463" w:rsidRPr="00005453" w14:paraId="495291C0"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461A4E80" w14:textId="77777777" w:rsidR="00700463" w:rsidRPr="00005453" w:rsidRDefault="00700463" w:rsidP="00700463">
            <w:pPr>
              <w:rPr>
                <w:sz w:val="18"/>
                <w:szCs w:val="18"/>
                <w:lang w:eastAsia="tr-TR"/>
              </w:rPr>
            </w:pPr>
            <w:r w:rsidRPr="00005453">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7A4254E5" w14:textId="0A9849FC" w:rsidR="00700463" w:rsidRPr="00005453" w:rsidRDefault="00700463" w:rsidP="00700463">
            <w:pPr>
              <w:jc w:val="right"/>
              <w:rPr>
                <w:sz w:val="18"/>
                <w:szCs w:val="18"/>
                <w:lang w:eastAsia="tr-TR"/>
              </w:rPr>
            </w:pPr>
            <w:r w:rsidRPr="00005453">
              <w:rPr>
                <w:sz w:val="18"/>
                <w:szCs w:val="18"/>
                <w:lang w:eastAsia="tr-TR"/>
              </w:rPr>
              <w:t>-</w:t>
            </w:r>
          </w:p>
        </w:tc>
        <w:tc>
          <w:tcPr>
            <w:tcW w:w="1497" w:type="dxa"/>
            <w:tcBorders>
              <w:top w:val="nil"/>
              <w:left w:val="nil"/>
              <w:bottom w:val="nil"/>
              <w:right w:val="nil"/>
            </w:tcBorders>
            <w:shd w:val="clear" w:color="auto" w:fill="auto"/>
            <w:vAlign w:val="center"/>
            <w:hideMark/>
          </w:tcPr>
          <w:p w14:paraId="5DBFD192" w14:textId="3312A65E" w:rsidR="00700463" w:rsidRPr="00005453" w:rsidRDefault="00700463" w:rsidP="00700463">
            <w:pPr>
              <w:jc w:val="right"/>
              <w:rPr>
                <w:sz w:val="18"/>
                <w:szCs w:val="18"/>
                <w:lang w:eastAsia="tr-TR"/>
              </w:rPr>
            </w:pPr>
            <w:r w:rsidRPr="00005453">
              <w:rPr>
                <w:sz w:val="18"/>
                <w:szCs w:val="18"/>
                <w:lang w:eastAsia="tr-TR"/>
              </w:rPr>
              <w:t>-</w:t>
            </w:r>
          </w:p>
        </w:tc>
        <w:tc>
          <w:tcPr>
            <w:tcW w:w="1513" w:type="dxa"/>
            <w:tcBorders>
              <w:top w:val="nil"/>
              <w:left w:val="nil"/>
              <w:bottom w:val="nil"/>
              <w:right w:val="nil"/>
            </w:tcBorders>
            <w:shd w:val="clear" w:color="auto" w:fill="auto"/>
            <w:vAlign w:val="center"/>
            <w:hideMark/>
          </w:tcPr>
          <w:p w14:paraId="22D7BBF6" w14:textId="28C245F3" w:rsidR="00700463" w:rsidRPr="00005453" w:rsidRDefault="00700463" w:rsidP="00700463">
            <w:pPr>
              <w:jc w:val="right"/>
              <w:rPr>
                <w:sz w:val="18"/>
                <w:szCs w:val="18"/>
                <w:lang w:eastAsia="tr-TR"/>
              </w:rPr>
            </w:pPr>
            <w:r w:rsidRPr="00005453">
              <w:rPr>
                <w:sz w:val="18"/>
                <w:szCs w:val="18"/>
                <w:lang w:eastAsia="tr-TR"/>
              </w:rPr>
              <w:t>-</w:t>
            </w:r>
          </w:p>
        </w:tc>
      </w:tr>
      <w:tr w:rsidR="00700463" w:rsidRPr="00005453" w14:paraId="28E7669D" w14:textId="77777777" w:rsidTr="00592DDE">
        <w:trPr>
          <w:divId w:val="306789643"/>
          <w:trHeight w:val="239"/>
        </w:trPr>
        <w:tc>
          <w:tcPr>
            <w:tcW w:w="4746" w:type="dxa"/>
            <w:tcBorders>
              <w:top w:val="nil"/>
              <w:left w:val="nil"/>
              <w:right w:val="nil"/>
            </w:tcBorders>
            <w:shd w:val="clear" w:color="auto" w:fill="auto"/>
            <w:noWrap/>
            <w:vAlign w:val="center"/>
            <w:hideMark/>
          </w:tcPr>
          <w:p w14:paraId="7FAE543A" w14:textId="43993FD9" w:rsidR="00700463" w:rsidRPr="00005453" w:rsidRDefault="00911789" w:rsidP="00700463">
            <w:pPr>
              <w:rPr>
                <w:sz w:val="18"/>
                <w:szCs w:val="18"/>
                <w:lang w:eastAsia="tr-TR"/>
              </w:rPr>
            </w:pPr>
            <w:r w:rsidRPr="00005453">
              <w:rPr>
                <w:iCs/>
                <w:sz w:val="18"/>
                <w:szCs w:val="18"/>
                <w:lang w:eastAsia="tr-TR"/>
              </w:rPr>
              <w:t>K</w:t>
            </w:r>
            <w:r w:rsidR="00700463" w:rsidRPr="00005453">
              <w:rPr>
                <w:iCs/>
                <w:sz w:val="18"/>
                <w:szCs w:val="18"/>
                <w:lang w:eastAsia="tr-TR"/>
              </w:rPr>
              <w:t>arşılık tutarı (-)</w:t>
            </w:r>
          </w:p>
        </w:tc>
        <w:tc>
          <w:tcPr>
            <w:tcW w:w="1497" w:type="dxa"/>
            <w:tcBorders>
              <w:top w:val="nil"/>
              <w:left w:val="nil"/>
              <w:right w:val="nil"/>
            </w:tcBorders>
            <w:shd w:val="clear" w:color="auto" w:fill="auto"/>
            <w:vAlign w:val="center"/>
            <w:hideMark/>
          </w:tcPr>
          <w:p w14:paraId="5DE24156" w14:textId="32D3453B" w:rsidR="00700463" w:rsidRPr="00005453" w:rsidRDefault="00700463" w:rsidP="00700463">
            <w:pPr>
              <w:jc w:val="right"/>
              <w:rPr>
                <w:sz w:val="18"/>
                <w:szCs w:val="18"/>
                <w:lang w:eastAsia="tr-TR"/>
              </w:rPr>
            </w:pPr>
            <w:r w:rsidRPr="00005453">
              <w:rPr>
                <w:sz w:val="18"/>
                <w:szCs w:val="18"/>
                <w:lang w:eastAsia="tr-TR"/>
              </w:rPr>
              <w:t>-</w:t>
            </w:r>
          </w:p>
        </w:tc>
        <w:tc>
          <w:tcPr>
            <w:tcW w:w="1497" w:type="dxa"/>
            <w:tcBorders>
              <w:top w:val="nil"/>
              <w:left w:val="nil"/>
              <w:right w:val="nil"/>
            </w:tcBorders>
            <w:shd w:val="clear" w:color="auto" w:fill="auto"/>
            <w:vAlign w:val="center"/>
            <w:hideMark/>
          </w:tcPr>
          <w:p w14:paraId="4BF15B48" w14:textId="0322B65F" w:rsidR="00700463" w:rsidRPr="00005453" w:rsidRDefault="00700463" w:rsidP="00700463">
            <w:pPr>
              <w:jc w:val="right"/>
              <w:rPr>
                <w:sz w:val="18"/>
                <w:szCs w:val="18"/>
                <w:lang w:eastAsia="tr-TR"/>
              </w:rPr>
            </w:pPr>
            <w:r w:rsidRPr="00005453">
              <w:rPr>
                <w:sz w:val="18"/>
                <w:szCs w:val="18"/>
                <w:lang w:eastAsia="tr-TR"/>
              </w:rPr>
              <w:t>-</w:t>
            </w:r>
          </w:p>
        </w:tc>
        <w:tc>
          <w:tcPr>
            <w:tcW w:w="1513" w:type="dxa"/>
            <w:tcBorders>
              <w:top w:val="nil"/>
              <w:left w:val="nil"/>
              <w:right w:val="nil"/>
            </w:tcBorders>
            <w:shd w:val="clear" w:color="auto" w:fill="auto"/>
            <w:vAlign w:val="center"/>
            <w:hideMark/>
          </w:tcPr>
          <w:p w14:paraId="0547A73C" w14:textId="51B31000" w:rsidR="00700463" w:rsidRPr="00005453" w:rsidRDefault="00700463" w:rsidP="00700463">
            <w:pPr>
              <w:jc w:val="right"/>
              <w:rPr>
                <w:sz w:val="18"/>
                <w:szCs w:val="18"/>
                <w:lang w:eastAsia="tr-TR"/>
              </w:rPr>
            </w:pPr>
            <w:r w:rsidRPr="00005453">
              <w:rPr>
                <w:sz w:val="18"/>
                <w:szCs w:val="18"/>
                <w:lang w:eastAsia="tr-TR"/>
              </w:rPr>
              <w:t>-</w:t>
            </w:r>
          </w:p>
        </w:tc>
      </w:tr>
      <w:tr w:rsidR="00700463" w:rsidRPr="00005453" w14:paraId="28099AB7" w14:textId="77777777" w:rsidTr="00592DDE">
        <w:trPr>
          <w:divId w:val="306789643"/>
          <w:trHeight w:val="254"/>
        </w:trPr>
        <w:tc>
          <w:tcPr>
            <w:tcW w:w="4746" w:type="dxa"/>
            <w:tcBorders>
              <w:top w:val="nil"/>
              <w:left w:val="nil"/>
              <w:bottom w:val="single" w:sz="4" w:space="0" w:color="auto"/>
              <w:right w:val="nil"/>
            </w:tcBorders>
            <w:shd w:val="clear" w:color="auto" w:fill="auto"/>
            <w:noWrap/>
            <w:vAlign w:val="center"/>
            <w:hideMark/>
          </w:tcPr>
          <w:p w14:paraId="50586941" w14:textId="77777777" w:rsidR="00700463" w:rsidRPr="00005453" w:rsidRDefault="00700463" w:rsidP="00700463">
            <w:pPr>
              <w:rPr>
                <w:sz w:val="18"/>
                <w:szCs w:val="18"/>
                <w:lang w:eastAsia="tr-TR"/>
              </w:rPr>
            </w:pPr>
            <w:r w:rsidRPr="00005453">
              <w:rPr>
                <w:iCs/>
                <w:sz w:val="18"/>
                <w:szCs w:val="18"/>
                <w:lang w:eastAsia="tr-TR"/>
              </w:rPr>
              <w:t>Diğer kredi ve alacaklar (net)</w:t>
            </w:r>
          </w:p>
        </w:tc>
        <w:tc>
          <w:tcPr>
            <w:tcW w:w="1497" w:type="dxa"/>
            <w:tcBorders>
              <w:top w:val="nil"/>
              <w:left w:val="nil"/>
              <w:bottom w:val="single" w:sz="4" w:space="0" w:color="auto"/>
              <w:right w:val="nil"/>
            </w:tcBorders>
            <w:shd w:val="clear" w:color="auto" w:fill="auto"/>
            <w:noWrap/>
            <w:vAlign w:val="center"/>
            <w:hideMark/>
          </w:tcPr>
          <w:p w14:paraId="6ACAC2BE" w14:textId="218936DB" w:rsidR="00700463" w:rsidRPr="00005453" w:rsidRDefault="00700463" w:rsidP="00700463">
            <w:pPr>
              <w:jc w:val="right"/>
              <w:rPr>
                <w:sz w:val="18"/>
                <w:szCs w:val="18"/>
                <w:lang w:eastAsia="tr-TR"/>
              </w:rPr>
            </w:pPr>
            <w:r w:rsidRPr="00005453">
              <w:rPr>
                <w:sz w:val="18"/>
                <w:szCs w:val="18"/>
                <w:lang w:eastAsia="tr-TR"/>
              </w:rPr>
              <w:t>-</w:t>
            </w:r>
          </w:p>
        </w:tc>
        <w:tc>
          <w:tcPr>
            <w:tcW w:w="1497" w:type="dxa"/>
            <w:tcBorders>
              <w:top w:val="nil"/>
              <w:left w:val="nil"/>
              <w:bottom w:val="single" w:sz="4" w:space="0" w:color="auto"/>
              <w:right w:val="nil"/>
            </w:tcBorders>
            <w:shd w:val="clear" w:color="auto" w:fill="auto"/>
            <w:noWrap/>
            <w:vAlign w:val="center"/>
            <w:hideMark/>
          </w:tcPr>
          <w:p w14:paraId="7F9DF4F2" w14:textId="28987A50" w:rsidR="00700463" w:rsidRPr="00005453" w:rsidRDefault="00700463" w:rsidP="00700463">
            <w:pPr>
              <w:jc w:val="right"/>
              <w:rPr>
                <w:sz w:val="18"/>
                <w:szCs w:val="18"/>
                <w:lang w:eastAsia="tr-TR"/>
              </w:rPr>
            </w:pPr>
            <w:r w:rsidRPr="00005453">
              <w:rPr>
                <w:sz w:val="18"/>
                <w:szCs w:val="18"/>
                <w:lang w:eastAsia="tr-TR"/>
              </w:rPr>
              <w:t>-</w:t>
            </w:r>
          </w:p>
        </w:tc>
        <w:tc>
          <w:tcPr>
            <w:tcW w:w="1513" w:type="dxa"/>
            <w:tcBorders>
              <w:top w:val="nil"/>
              <w:left w:val="nil"/>
              <w:bottom w:val="single" w:sz="4" w:space="0" w:color="auto"/>
              <w:right w:val="nil"/>
            </w:tcBorders>
            <w:shd w:val="clear" w:color="auto" w:fill="auto"/>
            <w:noWrap/>
            <w:vAlign w:val="center"/>
            <w:hideMark/>
          </w:tcPr>
          <w:p w14:paraId="69CAE6EA" w14:textId="18C06EBE" w:rsidR="00700463" w:rsidRPr="00005453" w:rsidRDefault="00700463" w:rsidP="00700463">
            <w:pPr>
              <w:jc w:val="right"/>
              <w:rPr>
                <w:sz w:val="18"/>
                <w:szCs w:val="18"/>
                <w:lang w:eastAsia="tr-TR"/>
              </w:rPr>
            </w:pPr>
            <w:r w:rsidRPr="00005453">
              <w:rPr>
                <w:sz w:val="18"/>
                <w:szCs w:val="18"/>
                <w:lang w:eastAsia="tr-TR"/>
              </w:rPr>
              <w:t>-</w:t>
            </w:r>
          </w:p>
        </w:tc>
      </w:tr>
    </w:tbl>
    <w:p w14:paraId="3ED213BC" w14:textId="64B76C27" w:rsidR="00D22163" w:rsidRPr="00005453" w:rsidRDefault="00D22163" w:rsidP="00833BD7">
      <w:pPr>
        <w:pStyle w:val="BodyTextIndent"/>
        <w:tabs>
          <w:tab w:val="left" w:pos="0"/>
        </w:tabs>
        <w:ind w:left="0" w:hanging="567"/>
        <w:jc w:val="left"/>
        <w:rPr>
          <w:sz w:val="16"/>
          <w:lang w:val="en-GB" w:eastAsia="en-GB"/>
        </w:rPr>
      </w:pPr>
    </w:p>
    <w:p w14:paraId="284EEC00" w14:textId="480132AD" w:rsidR="00017451" w:rsidRPr="00005453" w:rsidRDefault="00592DDE" w:rsidP="00346550">
      <w:pPr>
        <w:pStyle w:val="BodyTextIndent"/>
        <w:tabs>
          <w:tab w:val="left" w:pos="0"/>
        </w:tabs>
        <w:ind w:left="0" w:firstLine="0"/>
        <w:rPr>
          <w:spacing w:val="-6"/>
        </w:rPr>
      </w:pPr>
      <w:r w:rsidRPr="00005453">
        <w:rPr>
          <w:spacing w:val="-6"/>
        </w:rPr>
        <w:t>Banka’nın donuk alacak niteliğindeki krediler için almış olduğu nakit, ipotek, rehin, müşteri çek senedi gibi teminatları   bulunmaktadır.</w:t>
      </w:r>
    </w:p>
    <w:p w14:paraId="12189D12" w14:textId="036862A0" w:rsidR="001D6E21" w:rsidRPr="00005453" w:rsidRDefault="001D6E21" w:rsidP="00833BD7">
      <w:pPr>
        <w:pStyle w:val="BodyTextIndent"/>
        <w:tabs>
          <w:tab w:val="left" w:pos="0"/>
        </w:tabs>
        <w:ind w:left="0" w:hanging="567"/>
        <w:jc w:val="left"/>
        <w:rPr>
          <w:spacing w:val="-6"/>
        </w:rPr>
      </w:pPr>
    </w:p>
    <w:p w14:paraId="569C4B59" w14:textId="60F55746" w:rsidR="001D6E21" w:rsidRPr="00005453" w:rsidRDefault="001D6E21" w:rsidP="00833BD7">
      <w:pPr>
        <w:pStyle w:val="BodyTextIndent"/>
        <w:tabs>
          <w:tab w:val="left" w:pos="0"/>
        </w:tabs>
        <w:ind w:left="0" w:hanging="567"/>
        <w:jc w:val="left"/>
        <w:rPr>
          <w:spacing w:val="-6"/>
        </w:rPr>
      </w:pPr>
    </w:p>
    <w:p w14:paraId="3F221509" w14:textId="48A2ABBF" w:rsidR="001D6E21" w:rsidRPr="00005453" w:rsidRDefault="001D6E21" w:rsidP="00833BD7">
      <w:pPr>
        <w:pStyle w:val="BodyTextIndent"/>
        <w:tabs>
          <w:tab w:val="left" w:pos="0"/>
        </w:tabs>
        <w:ind w:left="0" w:hanging="567"/>
        <w:jc w:val="left"/>
        <w:rPr>
          <w:spacing w:val="-6"/>
        </w:rPr>
      </w:pPr>
    </w:p>
    <w:p w14:paraId="23A393BB" w14:textId="1D8DC276" w:rsidR="001D6E21" w:rsidRPr="00005453" w:rsidRDefault="001D6E21" w:rsidP="00833BD7">
      <w:pPr>
        <w:pStyle w:val="BodyTextIndent"/>
        <w:tabs>
          <w:tab w:val="left" w:pos="0"/>
        </w:tabs>
        <w:ind w:left="0" w:hanging="567"/>
        <w:jc w:val="left"/>
        <w:rPr>
          <w:spacing w:val="-6"/>
        </w:rPr>
      </w:pPr>
    </w:p>
    <w:p w14:paraId="6269DEBD" w14:textId="3D66A5BC" w:rsidR="001D6E21" w:rsidRPr="00005453" w:rsidRDefault="001D6E21" w:rsidP="00833BD7">
      <w:pPr>
        <w:pStyle w:val="BodyTextIndent"/>
        <w:tabs>
          <w:tab w:val="left" w:pos="0"/>
        </w:tabs>
        <w:ind w:left="0" w:hanging="567"/>
        <w:jc w:val="left"/>
        <w:rPr>
          <w:spacing w:val="-6"/>
        </w:rPr>
      </w:pPr>
    </w:p>
    <w:p w14:paraId="25F0FF88" w14:textId="2347C785" w:rsidR="001D6E21" w:rsidRPr="00005453" w:rsidRDefault="001D6E21" w:rsidP="00833BD7">
      <w:pPr>
        <w:pStyle w:val="BodyTextIndent"/>
        <w:tabs>
          <w:tab w:val="left" w:pos="0"/>
        </w:tabs>
        <w:ind w:left="0" w:hanging="567"/>
        <w:jc w:val="left"/>
        <w:rPr>
          <w:spacing w:val="-6"/>
        </w:rPr>
      </w:pPr>
    </w:p>
    <w:p w14:paraId="13BE07B2" w14:textId="7C39EAFD" w:rsidR="000F044D" w:rsidRPr="00005453" w:rsidRDefault="000F044D" w:rsidP="00833BD7">
      <w:pPr>
        <w:pStyle w:val="BodyTextIndent"/>
        <w:tabs>
          <w:tab w:val="left" w:pos="0"/>
        </w:tabs>
        <w:ind w:left="0" w:hanging="567"/>
        <w:jc w:val="left"/>
        <w:rPr>
          <w:spacing w:val="-6"/>
        </w:rPr>
      </w:pPr>
    </w:p>
    <w:p w14:paraId="54F8D602" w14:textId="6936EC5B" w:rsidR="000F044D" w:rsidRPr="00005453" w:rsidRDefault="000F044D" w:rsidP="00833BD7">
      <w:pPr>
        <w:pStyle w:val="BodyTextIndent"/>
        <w:tabs>
          <w:tab w:val="left" w:pos="0"/>
        </w:tabs>
        <w:ind w:left="0" w:hanging="567"/>
        <w:jc w:val="left"/>
        <w:rPr>
          <w:spacing w:val="-6"/>
        </w:rPr>
      </w:pPr>
    </w:p>
    <w:p w14:paraId="7B1652E5" w14:textId="77777777" w:rsidR="000F044D" w:rsidRPr="00005453" w:rsidRDefault="000F044D" w:rsidP="00833BD7">
      <w:pPr>
        <w:pStyle w:val="BodyTextIndent"/>
        <w:tabs>
          <w:tab w:val="left" w:pos="0"/>
        </w:tabs>
        <w:ind w:left="0" w:hanging="567"/>
        <w:jc w:val="left"/>
        <w:rPr>
          <w:spacing w:val="-6"/>
        </w:rPr>
      </w:pPr>
    </w:p>
    <w:p w14:paraId="6BEE22A9" w14:textId="60D08BFD" w:rsidR="001D6E21" w:rsidRPr="00005453" w:rsidRDefault="001D6E21" w:rsidP="00833BD7">
      <w:pPr>
        <w:pStyle w:val="BodyTextIndent"/>
        <w:tabs>
          <w:tab w:val="left" w:pos="0"/>
        </w:tabs>
        <w:ind w:left="0" w:hanging="567"/>
        <w:jc w:val="left"/>
        <w:rPr>
          <w:spacing w:val="-6"/>
        </w:rPr>
      </w:pPr>
    </w:p>
    <w:p w14:paraId="08386546" w14:textId="77777777" w:rsidR="00346550" w:rsidRPr="00005453" w:rsidRDefault="00346550">
      <w:pPr>
        <w:rPr>
          <w:b/>
          <w:lang w:eastAsia="x-none"/>
        </w:rPr>
      </w:pPr>
      <w:bookmarkStart w:id="77" w:name="_Hlk94532319"/>
      <w:r w:rsidRPr="00005453">
        <w:rPr>
          <w:b/>
        </w:rPr>
        <w:br w:type="page"/>
      </w:r>
    </w:p>
    <w:p w14:paraId="5BB5F547" w14:textId="4A85C08B" w:rsidR="00501C76" w:rsidRPr="00005453" w:rsidRDefault="00501C76" w:rsidP="00501C76">
      <w:pPr>
        <w:pStyle w:val="BodyTextIndent"/>
        <w:ind w:left="142" w:hanging="709"/>
      </w:pPr>
      <w:r w:rsidRPr="00005453">
        <w:rPr>
          <w:b/>
        </w:rPr>
        <w:lastRenderedPageBreak/>
        <w:t>1.5.10.5.</w:t>
      </w:r>
      <w:r w:rsidRPr="00005453">
        <w:t xml:space="preserve"> Finansal araç sınıfları itibarıyla, vadesi geçmiş ancak değer düşüklüğüne uğramamış finansal va</w:t>
      </w:r>
      <w:r w:rsidR="00DE4629" w:rsidRPr="00005453">
        <w:t xml:space="preserve">rlıkların yaşlandırma </w:t>
      </w:r>
      <w:r w:rsidRPr="00005453">
        <w:t>analizi aşağıdaki gibidir</w:t>
      </w:r>
    </w:p>
    <w:p w14:paraId="124A5AE8" w14:textId="77777777" w:rsidR="00501C76" w:rsidRPr="00005453" w:rsidRDefault="00501C76" w:rsidP="00501C76">
      <w:pPr>
        <w:pStyle w:val="BodyTextIndent"/>
        <w:numPr>
          <w:ilvl w:val="0"/>
          <w:numId w:val="10"/>
        </w:numPr>
        <w:jc w:val="left"/>
        <w:rPr>
          <w:sz w:val="2"/>
        </w:rPr>
      </w:pPr>
    </w:p>
    <w:p w14:paraId="13BC4058" w14:textId="0B4FB429" w:rsidR="00592DDE" w:rsidRPr="00005453" w:rsidRDefault="00592DDE" w:rsidP="00501C76">
      <w:pPr>
        <w:pStyle w:val="BodyTextIndent"/>
        <w:ind w:left="360" w:firstLine="0"/>
        <w:jc w:val="left"/>
        <w:rPr>
          <w:lang w:eastAsia="en-GB"/>
        </w:rPr>
      </w:pPr>
    </w:p>
    <w:tbl>
      <w:tblPr>
        <w:tblW w:w="9201" w:type="dxa"/>
        <w:tblCellMar>
          <w:left w:w="70" w:type="dxa"/>
          <w:right w:w="70" w:type="dxa"/>
        </w:tblCellMar>
        <w:tblLook w:val="04A0" w:firstRow="1" w:lastRow="0" w:firstColumn="1" w:lastColumn="0" w:noHBand="0" w:noVBand="1"/>
      </w:tblPr>
      <w:tblGrid>
        <w:gridCol w:w="2984"/>
        <w:gridCol w:w="1479"/>
        <w:gridCol w:w="1552"/>
        <w:gridCol w:w="1632"/>
        <w:gridCol w:w="1554"/>
      </w:tblGrid>
      <w:tr w:rsidR="00EB2FE0" w:rsidRPr="00005453" w14:paraId="157D0B1A" w14:textId="77777777" w:rsidTr="00FD5D84">
        <w:trPr>
          <w:divId w:val="1749882375"/>
          <w:trHeight w:val="241"/>
        </w:trPr>
        <w:tc>
          <w:tcPr>
            <w:tcW w:w="2984" w:type="dxa"/>
            <w:tcBorders>
              <w:top w:val="single" w:sz="8" w:space="0" w:color="auto"/>
              <w:left w:val="nil"/>
              <w:bottom w:val="single" w:sz="8" w:space="0" w:color="auto"/>
              <w:right w:val="nil"/>
            </w:tcBorders>
            <w:shd w:val="clear" w:color="000000" w:fill="FFFFFF"/>
            <w:noWrap/>
            <w:vAlign w:val="center"/>
            <w:hideMark/>
          </w:tcPr>
          <w:p w14:paraId="0D900BD8" w14:textId="69CDB597" w:rsidR="00EB2FE0" w:rsidRPr="00005453" w:rsidRDefault="00EB2FE0" w:rsidP="00592DDE">
            <w:pPr>
              <w:rPr>
                <w:b/>
                <w:bCs/>
                <w:color w:val="0D0D0D"/>
                <w:sz w:val="18"/>
                <w:szCs w:val="18"/>
                <w:lang w:eastAsia="tr-TR"/>
              </w:rPr>
            </w:pPr>
            <w:r w:rsidRPr="00005453">
              <w:rPr>
                <w:b/>
                <w:bCs/>
                <w:iCs/>
                <w:color w:val="0D0D0D"/>
                <w:sz w:val="18"/>
                <w:szCs w:val="18"/>
                <w:lang w:eastAsia="tr-TR"/>
              </w:rPr>
              <w:t>Cari dönem</w:t>
            </w:r>
          </w:p>
        </w:tc>
        <w:tc>
          <w:tcPr>
            <w:tcW w:w="1479" w:type="dxa"/>
            <w:tcBorders>
              <w:top w:val="single" w:sz="8" w:space="0" w:color="auto"/>
              <w:left w:val="nil"/>
              <w:bottom w:val="single" w:sz="8" w:space="0" w:color="auto"/>
              <w:right w:val="nil"/>
            </w:tcBorders>
            <w:shd w:val="clear" w:color="000000" w:fill="FFFFFF"/>
            <w:vAlign w:val="center"/>
            <w:hideMark/>
          </w:tcPr>
          <w:p w14:paraId="6A231B35" w14:textId="661419CA" w:rsidR="00EB2FE0" w:rsidRPr="00005453" w:rsidRDefault="00FD5D84" w:rsidP="00592DDE">
            <w:pPr>
              <w:jc w:val="right"/>
              <w:rPr>
                <w:b/>
                <w:bCs/>
                <w:color w:val="0D0D0D"/>
                <w:sz w:val="18"/>
                <w:szCs w:val="18"/>
                <w:lang w:eastAsia="tr-TR"/>
              </w:rPr>
            </w:pPr>
            <w:r w:rsidRPr="00005453">
              <w:rPr>
                <w:b/>
                <w:bCs/>
                <w:iCs/>
                <w:color w:val="0D0D0D"/>
                <w:sz w:val="18"/>
                <w:szCs w:val="18"/>
                <w:lang w:eastAsia="tr-TR"/>
              </w:rPr>
              <w:t>30 günden az</w:t>
            </w:r>
            <w:r w:rsidR="00EB2FE0" w:rsidRPr="00005453">
              <w:rPr>
                <w:b/>
                <w:bCs/>
                <w:iCs/>
                <w:color w:val="0D0D0D"/>
                <w:sz w:val="18"/>
                <w:szCs w:val="18"/>
                <w:lang w:eastAsia="tr-TR"/>
              </w:rPr>
              <w:t> </w:t>
            </w:r>
          </w:p>
        </w:tc>
        <w:tc>
          <w:tcPr>
            <w:tcW w:w="1552" w:type="dxa"/>
            <w:tcBorders>
              <w:top w:val="single" w:sz="8" w:space="0" w:color="auto"/>
              <w:left w:val="nil"/>
              <w:bottom w:val="single" w:sz="8" w:space="0" w:color="auto"/>
              <w:right w:val="nil"/>
            </w:tcBorders>
            <w:shd w:val="clear" w:color="000000" w:fill="FFFFFF"/>
            <w:vAlign w:val="center"/>
            <w:hideMark/>
          </w:tcPr>
          <w:p w14:paraId="5FD7B3DE" w14:textId="43871769" w:rsidR="00EB2FE0" w:rsidRPr="00005453" w:rsidRDefault="00EB2FE0" w:rsidP="00592DDE">
            <w:pPr>
              <w:jc w:val="right"/>
              <w:rPr>
                <w:b/>
                <w:bCs/>
                <w:color w:val="0D0D0D"/>
                <w:sz w:val="18"/>
                <w:szCs w:val="18"/>
                <w:lang w:eastAsia="tr-TR"/>
              </w:rPr>
            </w:pPr>
            <w:r w:rsidRPr="00005453">
              <w:rPr>
                <w:b/>
                <w:bCs/>
                <w:iCs/>
                <w:color w:val="0D0D0D"/>
                <w:sz w:val="18"/>
                <w:szCs w:val="18"/>
                <w:lang w:eastAsia="tr-TR"/>
              </w:rPr>
              <w:t>31-60</w:t>
            </w:r>
            <w:r w:rsidR="00FD5D84" w:rsidRPr="00005453">
              <w:rPr>
                <w:b/>
                <w:bCs/>
                <w:iCs/>
                <w:color w:val="0D0D0D"/>
                <w:sz w:val="18"/>
                <w:szCs w:val="18"/>
                <w:lang w:eastAsia="tr-TR"/>
              </w:rPr>
              <w:t xml:space="preserve"> gün</w:t>
            </w:r>
            <w:r w:rsidRPr="00005453">
              <w:rPr>
                <w:b/>
                <w:bCs/>
                <w:iCs/>
                <w:color w:val="0D0D0D"/>
                <w:sz w:val="18"/>
                <w:szCs w:val="18"/>
                <w:lang w:eastAsia="tr-TR"/>
              </w:rPr>
              <w:t xml:space="preserve"> </w:t>
            </w:r>
            <w:r w:rsidR="00FD5D84" w:rsidRPr="00005453">
              <w:rPr>
                <w:b/>
                <w:bCs/>
                <w:iCs/>
                <w:color w:val="0D0D0D"/>
                <w:sz w:val="18"/>
                <w:szCs w:val="18"/>
                <w:lang w:eastAsia="tr-TR"/>
              </w:rPr>
              <w:t xml:space="preserve"> </w:t>
            </w:r>
          </w:p>
        </w:tc>
        <w:tc>
          <w:tcPr>
            <w:tcW w:w="1632" w:type="dxa"/>
            <w:tcBorders>
              <w:top w:val="single" w:sz="8" w:space="0" w:color="auto"/>
              <w:left w:val="nil"/>
              <w:bottom w:val="single" w:sz="8" w:space="0" w:color="auto"/>
              <w:right w:val="nil"/>
            </w:tcBorders>
            <w:shd w:val="clear" w:color="000000" w:fill="FFFFFF"/>
            <w:noWrap/>
            <w:vAlign w:val="center"/>
            <w:hideMark/>
          </w:tcPr>
          <w:p w14:paraId="711C2FE6" w14:textId="434DA9D0" w:rsidR="00EB2FE0" w:rsidRPr="00005453" w:rsidRDefault="00EB2FE0" w:rsidP="00592DDE">
            <w:pPr>
              <w:jc w:val="right"/>
              <w:rPr>
                <w:b/>
                <w:bCs/>
                <w:color w:val="0D0D0D"/>
                <w:sz w:val="18"/>
                <w:szCs w:val="18"/>
                <w:lang w:eastAsia="tr-TR"/>
              </w:rPr>
            </w:pPr>
            <w:r w:rsidRPr="00005453">
              <w:rPr>
                <w:b/>
                <w:bCs/>
                <w:iCs/>
                <w:color w:val="0D0D0D"/>
                <w:sz w:val="18"/>
                <w:szCs w:val="18"/>
                <w:lang w:eastAsia="tr-TR"/>
              </w:rPr>
              <w:t>61</w:t>
            </w:r>
            <w:r w:rsidR="00C70A6F" w:rsidRPr="00005453">
              <w:rPr>
                <w:b/>
                <w:bCs/>
                <w:iCs/>
                <w:color w:val="0D0D0D"/>
                <w:sz w:val="18"/>
                <w:szCs w:val="18"/>
                <w:lang w:eastAsia="tr-TR"/>
              </w:rPr>
              <w:t xml:space="preserve"> günden</w:t>
            </w:r>
            <w:r w:rsidR="00FD5D84" w:rsidRPr="00005453">
              <w:rPr>
                <w:b/>
                <w:bCs/>
                <w:iCs/>
                <w:color w:val="0D0D0D"/>
                <w:sz w:val="18"/>
                <w:szCs w:val="18"/>
                <w:lang w:eastAsia="tr-TR"/>
              </w:rPr>
              <w:t xml:space="preserve"> fazla</w:t>
            </w:r>
            <w:r w:rsidRPr="00005453">
              <w:rPr>
                <w:b/>
                <w:bCs/>
                <w:iCs/>
                <w:color w:val="0D0D0D"/>
                <w:sz w:val="18"/>
                <w:szCs w:val="18"/>
                <w:lang w:eastAsia="tr-TR"/>
              </w:rPr>
              <w:t xml:space="preserve"> </w:t>
            </w:r>
          </w:p>
        </w:tc>
        <w:tc>
          <w:tcPr>
            <w:tcW w:w="1554" w:type="dxa"/>
            <w:tcBorders>
              <w:top w:val="single" w:sz="8" w:space="0" w:color="auto"/>
              <w:left w:val="nil"/>
              <w:bottom w:val="single" w:sz="8" w:space="0" w:color="auto"/>
              <w:right w:val="nil"/>
            </w:tcBorders>
            <w:shd w:val="clear" w:color="000000" w:fill="FFFFFF"/>
            <w:vAlign w:val="center"/>
            <w:hideMark/>
          </w:tcPr>
          <w:p w14:paraId="3619C3E5" w14:textId="3450DB01" w:rsidR="00EB2FE0" w:rsidRPr="00005453" w:rsidRDefault="00FD5D84" w:rsidP="00592DDE">
            <w:pPr>
              <w:jc w:val="right"/>
              <w:rPr>
                <w:b/>
                <w:bCs/>
                <w:color w:val="0D0D0D"/>
                <w:sz w:val="18"/>
                <w:szCs w:val="18"/>
                <w:lang w:eastAsia="tr-TR"/>
              </w:rPr>
            </w:pPr>
            <w:r w:rsidRPr="00005453">
              <w:rPr>
                <w:b/>
                <w:bCs/>
                <w:iCs/>
                <w:color w:val="0D0D0D"/>
                <w:sz w:val="18"/>
                <w:szCs w:val="18"/>
                <w:lang w:eastAsia="tr-TR"/>
              </w:rPr>
              <w:t>Toplam</w:t>
            </w:r>
            <w:r w:rsidR="00EB2FE0" w:rsidRPr="00005453">
              <w:rPr>
                <w:b/>
                <w:bCs/>
                <w:iCs/>
                <w:color w:val="0D0D0D"/>
                <w:sz w:val="18"/>
                <w:szCs w:val="18"/>
                <w:lang w:eastAsia="tr-TR"/>
              </w:rPr>
              <w:t> </w:t>
            </w:r>
          </w:p>
        </w:tc>
      </w:tr>
      <w:tr w:rsidR="00EB2FE0" w:rsidRPr="00005453" w14:paraId="5B00F128" w14:textId="77777777" w:rsidTr="00E20B8B">
        <w:trPr>
          <w:divId w:val="1749882375"/>
          <w:trHeight w:val="241"/>
        </w:trPr>
        <w:tc>
          <w:tcPr>
            <w:tcW w:w="2984" w:type="dxa"/>
            <w:tcBorders>
              <w:top w:val="single" w:sz="8" w:space="0" w:color="auto"/>
              <w:left w:val="nil"/>
              <w:bottom w:val="nil"/>
              <w:right w:val="nil"/>
            </w:tcBorders>
            <w:shd w:val="clear" w:color="000000" w:fill="FFFFFF"/>
            <w:noWrap/>
            <w:vAlign w:val="center"/>
            <w:hideMark/>
          </w:tcPr>
          <w:p w14:paraId="2CDCEEE2" w14:textId="77777777" w:rsidR="00EB2FE0" w:rsidRPr="00005453" w:rsidRDefault="00EB2FE0" w:rsidP="00592DDE">
            <w:pPr>
              <w:rPr>
                <w:color w:val="0D0D0D"/>
                <w:sz w:val="18"/>
                <w:szCs w:val="18"/>
                <w:lang w:eastAsia="tr-TR"/>
              </w:rPr>
            </w:pPr>
            <w:r w:rsidRPr="00005453">
              <w:rPr>
                <w:iCs/>
                <w:color w:val="0D0D0D"/>
                <w:sz w:val="18"/>
                <w:szCs w:val="18"/>
                <w:lang w:eastAsia="tr-TR"/>
              </w:rPr>
              <w:t>Krediler ve alacaklar</w:t>
            </w:r>
          </w:p>
        </w:tc>
        <w:tc>
          <w:tcPr>
            <w:tcW w:w="1479" w:type="dxa"/>
            <w:tcBorders>
              <w:top w:val="single" w:sz="8" w:space="0" w:color="auto"/>
              <w:left w:val="nil"/>
              <w:bottom w:val="nil"/>
              <w:right w:val="nil"/>
            </w:tcBorders>
            <w:shd w:val="clear" w:color="000000" w:fill="FFFFFF"/>
            <w:vAlign w:val="center"/>
            <w:hideMark/>
          </w:tcPr>
          <w:p w14:paraId="32C5184A" w14:textId="0B1E3585" w:rsidR="00EB2FE0" w:rsidRPr="00005453" w:rsidRDefault="00EB2FE0" w:rsidP="00E20B8B">
            <w:pPr>
              <w:jc w:val="right"/>
              <w:rPr>
                <w:color w:val="0D0D0D"/>
                <w:lang w:eastAsia="tr-TR"/>
              </w:rPr>
            </w:pPr>
          </w:p>
        </w:tc>
        <w:tc>
          <w:tcPr>
            <w:tcW w:w="1552" w:type="dxa"/>
            <w:tcBorders>
              <w:top w:val="single" w:sz="8" w:space="0" w:color="auto"/>
              <w:left w:val="nil"/>
              <w:bottom w:val="nil"/>
              <w:right w:val="nil"/>
            </w:tcBorders>
            <w:shd w:val="clear" w:color="000000" w:fill="FFFFFF"/>
            <w:vAlign w:val="center"/>
            <w:hideMark/>
          </w:tcPr>
          <w:p w14:paraId="4E418D99" w14:textId="20F7DD06" w:rsidR="00EB2FE0" w:rsidRPr="00005453" w:rsidRDefault="00EB2FE0" w:rsidP="00E20B8B">
            <w:pPr>
              <w:jc w:val="right"/>
              <w:rPr>
                <w:color w:val="0D0D0D"/>
                <w:lang w:eastAsia="tr-TR"/>
              </w:rPr>
            </w:pPr>
          </w:p>
        </w:tc>
        <w:tc>
          <w:tcPr>
            <w:tcW w:w="1632" w:type="dxa"/>
            <w:tcBorders>
              <w:top w:val="single" w:sz="8" w:space="0" w:color="auto"/>
              <w:left w:val="nil"/>
              <w:bottom w:val="nil"/>
              <w:right w:val="nil"/>
            </w:tcBorders>
            <w:shd w:val="clear" w:color="000000" w:fill="FFFFFF"/>
            <w:noWrap/>
            <w:vAlign w:val="center"/>
            <w:hideMark/>
          </w:tcPr>
          <w:p w14:paraId="43E201B2" w14:textId="5FE70160" w:rsidR="00EB2FE0" w:rsidRPr="00005453" w:rsidRDefault="00EB2FE0" w:rsidP="00E20B8B">
            <w:pPr>
              <w:jc w:val="right"/>
              <w:rPr>
                <w:color w:val="0D0D0D"/>
                <w:lang w:eastAsia="tr-TR"/>
              </w:rPr>
            </w:pPr>
          </w:p>
        </w:tc>
        <w:tc>
          <w:tcPr>
            <w:tcW w:w="1554" w:type="dxa"/>
            <w:tcBorders>
              <w:top w:val="single" w:sz="8" w:space="0" w:color="auto"/>
              <w:left w:val="nil"/>
              <w:bottom w:val="nil"/>
              <w:right w:val="nil"/>
            </w:tcBorders>
            <w:shd w:val="clear" w:color="000000" w:fill="FFFFFF"/>
            <w:vAlign w:val="center"/>
            <w:hideMark/>
          </w:tcPr>
          <w:p w14:paraId="3BD7A5D0" w14:textId="3C2CA3AE" w:rsidR="00EB2FE0" w:rsidRPr="00005453" w:rsidRDefault="00EB2FE0" w:rsidP="00E20B8B">
            <w:pPr>
              <w:jc w:val="right"/>
              <w:rPr>
                <w:color w:val="0D0D0D"/>
                <w:lang w:eastAsia="tr-TR"/>
              </w:rPr>
            </w:pPr>
          </w:p>
        </w:tc>
      </w:tr>
      <w:tr w:rsidR="00B34EC3" w:rsidRPr="00005453" w14:paraId="4944E43D" w14:textId="77777777" w:rsidTr="002A684D">
        <w:trPr>
          <w:divId w:val="1749882375"/>
          <w:trHeight w:val="241"/>
        </w:trPr>
        <w:tc>
          <w:tcPr>
            <w:tcW w:w="2984" w:type="dxa"/>
            <w:tcBorders>
              <w:top w:val="nil"/>
              <w:left w:val="nil"/>
              <w:bottom w:val="nil"/>
              <w:right w:val="nil"/>
            </w:tcBorders>
            <w:shd w:val="clear" w:color="000000" w:fill="FFFFFF"/>
            <w:noWrap/>
            <w:vAlign w:val="center"/>
            <w:hideMark/>
          </w:tcPr>
          <w:p w14:paraId="4E306824" w14:textId="77777777" w:rsidR="00B34EC3" w:rsidRPr="00005453" w:rsidRDefault="00B34EC3" w:rsidP="00B34EC3">
            <w:pPr>
              <w:ind w:firstLineChars="300" w:firstLine="540"/>
              <w:rPr>
                <w:color w:val="0D0D0D"/>
                <w:sz w:val="18"/>
                <w:szCs w:val="18"/>
                <w:lang w:eastAsia="tr-TR"/>
              </w:rPr>
            </w:pPr>
            <w:r w:rsidRPr="00005453">
              <w:rPr>
                <w:color w:val="0D0D0D"/>
                <w:sz w:val="18"/>
                <w:szCs w:val="18"/>
                <w:lang w:eastAsia="tr-TR"/>
              </w:rPr>
              <w:t>Kurumsal krediler</w:t>
            </w:r>
          </w:p>
        </w:tc>
        <w:tc>
          <w:tcPr>
            <w:tcW w:w="1479" w:type="dxa"/>
            <w:tcBorders>
              <w:top w:val="nil"/>
              <w:left w:val="nil"/>
              <w:bottom w:val="nil"/>
              <w:right w:val="nil"/>
            </w:tcBorders>
            <w:shd w:val="clear" w:color="000000" w:fill="FFFFFF"/>
            <w:vAlign w:val="center"/>
            <w:hideMark/>
          </w:tcPr>
          <w:p w14:paraId="32181A66" w14:textId="0733FE05" w:rsidR="00B34EC3" w:rsidRPr="00005453" w:rsidRDefault="00B34EC3" w:rsidP="00B34EC3">
            <w:pPr>
              <w:jc w:val="right"/>
              <w:rPr>
                <w:color w:val="000000"/>
                <w:sz w:val="18"/>
                <w:szCs w:val="18"/>
              </w:rPr>
            </w:pPr>
            <w:r w:rsidRPr="00005453">
              <w:rPr>
                <w:color w:val="000000"/>
                <w:sz w:val="18"/>
                <w:szCs w:val="18"/>
              </w:rPr>
              <w:t>18,983,004</w:t>
            </w:r>
          </w:p>
        </w:tc>
        <w:tc>
          <w:tcPr>
            <w:tcW w:w="1552" w:type="dxa"/>
            <w:tcBorders>
              <w:top w:val="nil"/>
              <w:left w:val="nil"/>
              <w:bottom w:val="nil"/>
              <w:right w:val="nil"/>
            </w:tcBorders>
            <w:shd w:val="clear" w:color="000000" w:fill="FFFFFF"/>
            <w:vAlign w:val="center"/>
            <w:hideMark/>
          </w:tcPr>
          <w:p w14:paraId="61B9956B" w14:textId="7903B3D2" w:rsidR="00B34EC3" w:rsidRPr="00005453" w:rsidRDefault="00B34EC3" w:rsidP="00B34EC3">
            <w:pPr>
              <w:jc w:val="right"/>
              <w:rPr>
                <w:color w:val="000000"/>
                <w:sz w:val="18"/>
                <w:szCs w:val="18"/>
              </w:rPr>
            </w:pPr>
            <w:r w:rsidRPr="00005453">
              <w:rPr>
                <w:color w:val="000000"/>
                <w:sz w:val="18"/>
                <w:szCs w:val="18"/>
              </w:rPr>
              <w:t>722,696</w:t>
            </w:r>
          </w:p>
        </w:tc>
        <w:tc>
          <w:tcPr>
            <w:tcW w:w="1632" w:type="dxa"/>
            <w:tcBorders>
              <w:top w:val="nil"/>
              <w:left w:val="nil"/>
              <w:bottom w:val="nil"/>
              <w:right w:val="nil"/>
            </w:tcBorders>
            <w:shd w:val="clear" w:color="000000" w:fill="FFFFFF"/>
            <w:vAlign w:val="center"/>
            <w:hideMark/>
          </w:tcPr>
          <w:p w14:paraId="27A605F6" w14:textId="386E1BD9" w:rsidR="00B34EC3" w:rsidRPr="00005453" w:rsidRDefault="00B34EC3" w:rsidP="00B34EC3">
            <w:pPr>
              <w:jc w:val="right"/>
              <w:rPr>
                <w:color w:val="000000"/>
                <w:sz w:val="18"/>
                <w:szCs w:val="18"/>
              </w:rPr>
            </w:pPr>
            <w:r w:rsidRPr="00005453">
              <w:rPr>
                <w:color w:val="000000"/>
                <w:sz w:val="18"/>
                <w:szCs w:val="18"/>
              </w:rPr>
              <w:t>1,253,521</w:t>
            </w:r>
          </w:p>
        </w:tc>
        <w:tc>
          <w:tcPr>
            <w:tcW w:w="1554" w:type="dxa"/>
            <w:tcBorders>
              <w:top w:val="nil"/>
              <w:left w:val="nil"/>
              <w:bottom w:val="nil"/>
              <w:right w:val="nil"/>
            </w:tcBorders>
            <w:shd w:val="clear" w:color="000000" w:fill="FFFFFF"/>
            <w:vAlign w:val="bottom"/>
            <w:hideMark/>
          </w:tcPr>
          <w:p w14:paraId="46F53D7E" w14:textId="1930E44A" w:rsidR="00B34EC3" w:rsidRPr="00005453" w:rsidRDefault="00B34EC3" w:rsidP="00B34EC3">
            <w:pPr>
              <w:jc w:val="right"/>
              <w:rPr>
                <w:color w:val="000000"/>
                <w:sz w:val="18"/>
                <w:szCs w:val="18"/>
              </w:rPr>
            </w:pPr>
            <w:r w:rsidRPr="00005453">
              <w:rPr>
                <w:bCs/>
                <w:color w:val="000000"/>
                <w:sz w:val="18"/>
                <w:szCs w:val="18"/>
              </w:rPr>
              <w:t>20,959,221</w:t>
            </w:r>
          </w:p>
        </w:tc>
      </w:tr>
      <w:tr w:rsidR="00B34EC3" w:rsidRPr="00005453" w14:paraId="1B5500AC" w14:textId="77777777" w:rsidTr="002A684D">
        <w:trPr>
          <w:divId w:val="1749882375"/>
          <w:trHeight w:val="241"/>
        </w:trPr>
        <w:tc>
          <w:tcPr>
            <w:tcW w:w="2984" w:type="dxa"/>
            <w:tcBorders>
              <w:top w:val="nil"/>
              <w:left w:val="nil"/>
              <w:bottom w:val="nil"/>
              <w:right w:val="nil"/>
            </w:tcBorders>
            <w:shd w:val="clear" w:color="000000" w:fill="FFFFFF"/>
            <w:noWrap/>
            <w:vAlign w:val="center"/>
            <w:hideMark/>
          </w:tcPr>
          <w:p w14:paraId="72F4CD5A" w14:textId="77777777" w:rsidR="00B34EC3" w:rsidRPr="00005453" w:rsidRDefault="00B34EC3" w:rsidP="00B34EC3">
            <w:pPr>
              <w:ind w:firstLineChars="300" w:firstLine="540"/>
              <w:rPr>
                <w:color w:val="0D0D0D"/>
                <w:sz w:val="18"/>
                <w:szCs w:val="18"/>
                <w:lang w:eastAsia="tr-TR"/>
              </w:rPr>
            </w:pPr>
            <w:r w:rsidRPr="00005453">
              <w:rPr>
                <w:color w:val="0D0D0D"/>
                <w:sz w:val="18"/>
                <w:szCs w:val="18"/>
                <w:lang w:eastAsia="tr-TR"/>
              </w:rPr>
              <w:t>Tüketici kredileri</w:t>
            </w:r>
          </w:p>
        </w:tc>
        <w:tc>
          <w:tcPr>
            <w:tcW w:w="1479" w:type="dxa"/>
            <w:tcBorders>
              <w:top w:val="nil"/>
              <w:left w:val="nil"/>
              <w:bottom w:val="nil"/>
              <w:right w:val="nil"/>
            </w:tcBorders>
            <w:shd w:val="clear" w:color="000000" w:fill="FFFFFF"/>
            <w:vAlign w:val="center"/>
            <w:hideMark/>
          </w:tcPr>
          <w:p w14:paraId="3476E3B1" w14:textId="53A36A29" w:rsidR="00B34EC3" w:rsidRPr="00005453" w:rsidRDefault="00B34EC3" w:rsidP="00B34EC3">
            <w:pPr>
              <w:jc w:val="right"/>
              <w:rPr>
                <w:color w:val="000000"/>
                <w:sz w:val="18"/>
                <w:szCs w:val="18"/>
              </w:rPr>
            </w:pPr>
            <w:r w:rsidRPr="00005453">
              <w:rPr>
                <w:color w:val="000000"/>
                <w:sz w:val="18"/>
                <w:szCs w:val="18"/>
              </w:rPr>
              <w:t>725,229</w:t>
            </w:r>
          </w:p>
        </w:tc>
        <w:tc>
          <w:tcPr>
            <w:tcW w:w="1552" w:type="dxa"/>
            <w:tcBorders>
              <w:top w:val="nil"/>
              <w:left w:val="nil"/>
              <w:bottom w:val="nil"/>
              <w:right w:val="nil"/>
            </w:tcBorders>
            <w:shd w:val="clear" w:color="000000" w:fill="FFFFFF"/>
            <w:vAlign w:val="center"/>
            <w:hideMark/>
          </w:tcPr>
          <w:p w14:paraId="5009C9A7" w14:textId="2CDFD51A" w:rsidR="00B34EC3" w:rsidRPr="00005453" w:rsidRDefault="00B34EC3" w:rsidP="00B34EC3">
            <w:pPr>
              <w:jc w:val="right"/>
              <w:rPr>
                <w:color w:val="000000"/>
                <w:sz w:val="18"/>
                <w:szCs w:val="18"/>
              </w:rPr>
            </w:pPr>
            <w:r w:rsidRPr="00005453">
              <w:rPr>
                <w:color w:val="000000"/>
                <w:sz w:val="18"/>
                <w:szCs w:val="18"/>
              </w:rPr>
              <w:t>53,036</w:t>
            </w:r>
          </w:p>
        </w:tc>
        <w:tc>
          <w:tcPr>
            <w:tcW w:w="1632" w:type="dxa"/>
            <w:tcBorders>
              <w:top w:val="nil"/>
              <w:left w:val="nil"/>
              <w:bottom w:val="nil"/>
              <w:right w:val="nil"/>
            </w:tcBorders>
            <w:shd w:val="clear" w:color="000000" w:fill="FFFFFF"/>
            <w:vAlign w:val="center"/>
            <w:hideMark/>
          </w:tcPr>
          <w:p w14:paraId="2289E908" w14:textId="1FC698C4" w:rsidR="00B34EC3" w:rsidRPr="00005453" w:rsidRDefault="00B34EC3" w:rsidP="00B34EC3">
            <w:pPr>
              <w:jc w:val="right"/>
              <w:rPr>
                <w:color w:val="000000"/>
                <w:sz w:val="18"/>
                <w:szCs w:val="18"/>
              </w:rPr>
            </w:pPr>
            <w:r w:rsidRPr="00005453">
              <w:rPr>
                <w:color w:val="000000"/>
                <w:sz w:val="18"/>
                <w:szCs w:val="18"/>
              </w:rPr>
              <w:t>24,233</w:t>
            </w:r>
          </w:p>
        </w:tc>
        <w:tc>
          <w:tcPr>
            <w:tcW w:w="1554" w:type="dxa"/>
            <w:tcBorders>
              <w:top w:val="nil"/>
              <w:left w:val="nil"/>
              <w:bottom w:val="nil"/>
              <w:right w:val="nil"/>
            </w:tcBorders>
            <w:shd w:val="clear" w:color="000000" w:fill="FFFFFF"/>
            <w:vAlign w:val="bottom"/>
            <w:hideMark/>
          </w:tcPr>
          <w:p w14:paraId="47762ACE" w14:textId="7746B785" w:rsidR="00B34EC3" w:rsidRPr="00005453" w:rsidRDefault="00B34EC3" w:rsidP="00B34EC3">
            <w:pPr>
              <w:jc w:val="right"/>
              <w:rPr>
                <w:color w:val="000000"/>
                <w:sz w:val="18"/>
                <w:szCs w:val="18"/>
              </w:rPr>
            </w:pPr>
            <w:r w:rsidRPr="00005453">
              <w:rPr>
                <w:bCs/>
                <w:color w:val="000000"/>
                <w:sz w:val="18"/>
                <w:szCs w:val="18"/>
              </w:rPr>
              <w:t>802,498</w:t>
            </w:r>
          </w:p>
        </w:tc>
      </w:tr>
      <w:tr w:rsidR="00B34EC3" w:rsidRPr="00005453" w14:paraId="551CA2BE" w14:textId="77777777" w:rsidTr="002A684D">
        <w:trPr>
          <w:divId w:val="1749882375"/>
          <w:trHeight w:val="253"/>
        </w:trPr>
        <w:tc>
          <w:tcPr>
            <w:tcW w:w="2984" w:type="dxa"/>
            <w:tcBorders>
              <w:top w:val="nil"/>
              <w:left w:val="nil"/>
              <w:bottom w:val="single" w:sz="8" w:space="0" w:color="auto"/>
              <w:right w:val="nil"/>
            </w:tcBorders>
            <w:shd w:val="clear" w:color="000000" w:fill="FFFFFF"/>
            <w:noWrap/>
            <w:vAlign w:val="center"/>
            <w:hideMark/>
          </w:tcPr>
          <w:p w14:paraId="2707862D" w14:textId="77777777" w:rsidR="00B34EC3" w:rsidRPr="00005453" w:rsidRDefault="00B34EC3" w:rsidP="00B34EC3">
            <w:pPr>
              <w:ind w:firstLineChars="300" w:firstLine="540"/>
              <w:rPr>
                <w:color w:val="0D0D0D"/>
                <w:sz w:val="18"/>
                <w:szCs w:val="18"/>
                <w:lang w:eastAsia="tr-TR"/>
              </w:rPr>
            </w:pPr>
            <w:r w:rsidRPr="00005453">
              <w:rPr>
                <w:color w:val="0D0D0D"/>
                <w:sz w:val="18"/>
                <w:szCs w:val="18"/>
                <w:lang w:eastAsia="tr-TR"/>
              </w:rPr>
              <w:t>Kredi kartları</w:t>
            </w:r>
          </w:p>
        </w:tc>
        <w:tc>
          <w:tcPr>
            <w:tcW w:w="1479" w:type="dxa"/>
            <w:tcBorders>
              <w:top w:val="nil"/>
              <w:left w:val="nil"/>
              <w:bottom w:val="single" w:sz="8" w:space="0" w:color="auto"/>
              <w:right w:val="nil"/>
            </w:tcBorders>
            <w:shd w:val="clear" w:color="000000" w:fill="FFFFFF"/>
            <w:vAlign w:val="center"/>
            <w:hideMark/>
          </w:tcPr>
          <w:p w14:paraId="66B32EF5" w14:textId="65AA3487" w:rsidR="00B34EC3" w:rsidRPr="00005453" w:rsidRDefault="00B34EC3" w:rsidP="00B34EC3">
            <w:pPr>
              <w:jc w:val="right"/>
              <w:rPr>
                <w:color w:val="000000"/>
                <w:sz w:val="18"/>
                <w:szCs w:val="18"/>
              </w:rPr>
            </w:pPr>
            <w:r w:rsidRPr="00005453">
              <w:rPr>
                <w:color w:val="000000"/>
                <w:sz w:val="18"/>
                <w:szCs w:val="18"/>
              </w:rPr>
              <w:t>4,561,593</w:t>
            </w:r>
          </w:p>
        </w:tc>
        <w:tc>
          <w:tcPr>
            <w:tcW w:w="1552" w:type="dxa"/>
            <w:tcBorders>
              <w:top w:val="nil"/>
              <w:left w:val="nil"/>
              <w:bottom w:val="single" w:sz="8" w:space="0" w:color="auto"/>
              <w:right w:val="nil"/>
            </w:tcBorders>
            <w:shd w:val="clear" w:color="000000" w:fill="FFFFFF"/>
            <w:vAlign w:val="center"/>
            <w:hideMark/>
          </w:tcPr>
          <w:p w14:paraId="031D5934" w14:textId="27AD36B4" w:rsidR="00B34EC3" w:rsidRPr="00005453" w:rsidRDefault="00B34EC3" w:rsidP="00B34EC3">
            <w:pPr>
              <w:jc w:val="right"/>
              <w:rPr>
                <w:color w:val="000000"/>
                <w:sz w:val="18"/>
                <w:szCs w:val="18"/>
              </w:rPr>
            </w:pPr>
            <w:r w:rsidRPr="00005453">
              <w:rPr>
                <w:color w:val="000000"/>
                <w:sz w:val="18"/>
                <w:szCs w:val="18"/>
              </w:rPr>
              <w:t>342,209</w:t>
            </w:r>
          </w:p>
        </w:tc>
        <w:tc>
          <w:tcPr>
            <w:tcW w:w="1632" w:type="dxa"/>
            <w:tcBorders>
              <w:top w:val="nil"/>
              <w:left w:val="nil"/>
              <w:bottom w:val="single" w:sz="8" w:space="0" w:color="auto"/>
              <w:right w:val="nil"/>
            </w:tcBorders>
            <w:shd w:val="clear" w:color="000000" w:fill="FFFFFF"/>
            <w:vAlign w:val="center"/>
            <w:hideMark/>
          </w:tcPr>
          <w:p w14:paraId="17F3DE75" w14:textId="4B601082" w:rsidR="00B34EC3" w:rsidRPr="00005453" w:rsidRDefault="00B34EC3" w:rsidP="00B34EC3">
            <w:pPr>
              <w:jc w:val="right"/>
              <w:rPr>
                <w:color w:val="000000"/>
                <w:sz w:val="18"/>
                <w:szCs w:val="18"/>
              </w:rPr>
            </w:pPr>
            <w:r w:rsidRPr="00005453">
              <w:rPr>
                <w:color w:val="000000"/>
                <w:sz w:val="18"/>
                <w:szCs w:val="18"/>
              </w:rPr>
              <w:t>138,846</w:t>
            </w:r>
          </w:p>
        </w:tc>
        <w:tc>
          <w:tcPr>
            <w:tcW w:w="1554" w:type="dxa"/>
            <w:tcBorders>
              <w:top w:val="nil"/>
              <w:left w:val="nil"/>
              <w:bottom w:val="single" w:sz="8" w:space="0" w:color="auto"/>
              <w:right w:val="nil"/>
            </w:tcBorders>
            <w:shd w:val="clear" w:color="000000" w:fill="FFFFFF"/>
            <w:vAlign w:val="bottom"/>
            <w:hideMark/>
          </w:tcPr>
          <w:p w14:paraId="7129367F" w14:textId="3E45627A" w:rsidR="00B34EC3" w:rsidRPr="00005453" w:rsidRDefault="00B34EC3" w:rsidP="00B34EC3">
            <w:pPr>
              <w:jc w:val="right"/>
              <w:rPr>
                <w:color w:val="000000"/>
                <w:sz w:val="18"/>
                <w:szCs w:val="18"/>
              </w:rPr>
            </w:pPr>
            <w:r w:rsidRPr="00005453">
              <w:rPr>
                <w:bCs/>
                <w:color w:val="000000"/>
                <w:sz w:val="18"/>
                <w:szCs w:val="18"/>
              </w:rPr>
              <w:t>5,042,648</w:t>
            </w:r>
          </w:p>
        </w:tc>
      </w:tr>
      <w:tr w:rsidR="00B34EC3" w:rsidRPr="00005453" w14:paraId="3D0AFE61" w14:textId="77777777" w:rsidTr="002A684D">
        <w:trPr>
          <w:divId w:val="1749882375"/>
          <w:trHeight w:val="40"/>
        </w:trPr>
        <w:tc>
          <w:tcPr>
            <w:tcW w:w="2984" w:type="dxa"/>
            <w:tcBorders>
              <w:top w:val="single" w:sz="8" w:space="0" w:color="auto"/>
              <w:left w:val="nil"/>
              <w:bottom w:val="double" w:sz="4" w:space="0" w:color="auto"/>
              <w:right w:val="nil"/>
            </w:tcBorders>
            <w:shd w:val="clear" w:color="000000" w:fill="FFFFFF"/>
            <w:noWrap/>
            <w:vAlign w:val="center"/>
            <w:hideMark/>
          </w:tcPr>
          <w:p w14:paraId="469C3B19" w14:textId="77777777" w:rsidR="00B34EC3" w:rsidRPr="00005453" w:rsidRDefault="00B34EC3" w:rsidP="00B34EC3">
            <w:pPr>
              <w:rPr>
                <w:b/>
                <w:bCs/>
                <w:color w:val="0D0D0D"/>
                <w:sz w:val="18"/>
                <w:szCs w:val="18"/>
                <w:lang w:eastAsia="tr-TR"/>
              </w:rPr>
            </w:pPr>
            <w:r w:rsidRPr="00005453">
              <w:rPr>
                <w:b/>
                <w:bCs/>
                <w:iCs/>
                <w:color w:val="0D0D0D"/>
                <w:sz w:val="18"/>
                <w:szCs w:val="18"/>
                <w:lang w:eastAsia="tr-TR"/>
              </w:rPr>
              <w:t>Toplam</w:t>
            </w:r>
          </w:p>
        </w:tc>
        <w:tc>
          <w:tcPr>
            <w:tcW w:w="1479" w:type="dxa"/>
            <w:tcBorders>
              <w:top w:val="single" w:sz="8" w:space="0" w:color="auto"/>
              <w:left w:val="nil"/>
              <w:bottom w:val="double" w:sz="4" w:space="0" w:color="auto"/>
              <w:right w:val="nil"/>
            </w:tcBorders>
            <w:shd w:val="clear" w:color="000000" w:fill="FFFFFF"/>
            <w:vAlign w:val="center"/>
            <w:hideMark/>
          </w:tcPr>
          <w:p w14:paraId="72941362" w14:textId="40187FCB" w:rsidR="00B34EC3" w:rsidRPr="00005453" w:rsidRDefault="00B34EC3" w:rsidP="00B34EC3">
            <w:pPr>
              <w:jc w:val="right"/>
              <w:rPr>
                <w:b/>
                <w:bCs/>
                <w:color w:val="000000"/>
                <w:sz w:val="18"/>
                <w:szCs w:val="18"/>
                <w:lang w:eastAsia="tr-TR"/>
              </w:rPr>
            </w:pPr>
            <w:r w:rsidRPr="00005453">
              <w:rPr>
                <w:b/>
                <w:bCs/>
                <w:color w:val="000000"/>
                <w:sz w:val="18"/>
                <w:szCs w:val="18"/>
              </w:rPr>
              <w:t>24,269,826</w:t>
            </w:r>
          </w:p>
        </w:tc>
        <w:tc>
          <w:tcPr>
            <w:tcW w:w="1552" w:type="dxa"/>
            <w:tcBorders>
              <w:top w:val="single" w:sz="8" w:space="0" w:color="auto"/>
              <w:left w:val="nil"/>
              <w:bottom w:val="double" w:sz="4" w:space="0" w:color="auto"/>
              <w:right w:val="nil"/>
            </w:tcBorders>
            <w:shd w:val="clear" w:color="000000" w:fill="FFFFFF"/>
            <w:vAlign w:val="center"/>
            <w:hideMark/>
          </w:tcPr>
          <w:p w14:paraId="35B8869F" w14:textId="126279C9" w:rsidR="00B34EC3" w:rsidRPr="00005453" w:rsidRDefault="00B34EC3" w:rsidP="00B34EC3">
            <w:pPr>
              <w:jc w:val="right"/>
              <w:rPr>
                <w:b/>
                <w:bCs/>
                <w:color w:val="000000"/>
                <w:sz w:val="18"/>
                <w:szCs w:val="18"/>
                <w:lang w:eastAsia="tr-TR"/>
              </w:rPr>
            </w:pPr>
            <w:r w:rsidRPr="00005453">
              <w:rPr>
                <w:b/>
                <w:bCs/>
                <w:color w:val="000000"/>
                <w:sz w:val="18"/>
                <w:szCs w:val="18"/>
              </w:rPr>
              <w:t>1,117,941</w:t>
            </w:r>
          </w:p>
        </w:tc>
        <w:tc>
          <w:tcPr>
            <w:tcW w:w="1632" w:type="dxa"/>
            <w:tcBorders>
              <w:top w:val="single" w:sz="8" w:space="0" w:color="auto"/>
              <w:left w:val="nil"/>
              <w:bottom w:val="double" w:sz="4" w:space="0" w:color="auto"/>
              <w:right w:val="nil"/>
            </w:tcBorders>
            <w:shd w:val="clear" w:color="000000" w:fill="FFFFFF"/>
            <w:vAlign w:val="center"/>
            <w:hideMark/>
          </w:tcPr>
          <w:p w14:paraId="03114A85" w14:textId="131AD8AA" w:rsidR="00B34EC3" w:rsidRPr="00005453" w:rsidRDefault="00B34EC3" w:rsidP="00B34EC3">
            <w:pPr>
              <w:jc w:val="right"/>
              <w:rPr>
                <w:b/>
                <w:bCs/>
                <w:color w:val="000000"/>
                <w:sz w:val="18"/>
                <w:szCs w:val="18"/>
                <w:lang w:eastAsia="tr-TR"/>
              </w:rPr>
            </w:pPr>
            <w:r w:rsidRPr="00005453">
              <w:rPr>
                <w:b/>
                <w:bCs/>
                <w:color w:val="000000"/>
                <w:sz w:val="18"/>
                <w:szCs w:val="18"/>
              </w:rPr>
              <w:t>1,416,600</w:t>
            </w:r>
          </w:p>
        </w:tc>
        <w:tc>
          <w:tcPr>
            <w:tcW w:w="1554" w:type="dxa"/>
            <w:tcBorders>
              <w:top w:val="single" w:sz="8" w:space="0" w:color="auto"/>
              <w:left w:val="nil"/>
              <w:bottom w:val="double" w:sz="4" w:space="0" w:color="auto"/>
              <w:right w:val="nil"/>
            </w:tcBorders>
            <w:shd w:val="clear" w:color="000000" w:fill="FFFFFF"/>
            <w:vAlign w:val="bottom"/>
            <w:hideMark/>
          </w:tcPr>
          <w:p w14:paraId="3245DBB8" w14:textId="5064C104" w:rsidR="00B34EC3" w:rsidRPr="00005453" w:rsidRDefault="00B34EC3" w:rsidP="00B34EC3">
            <w:pPr>
              <w:jc w:val="right"/>
              <w:rPr>
                <w:b/>
                <w:bCs/>
                <w:color w:val="000000"/>
                <w:sz w:val="18"/>
                <w:szCs w:val="18"/>
                <w:lang w:eastAsia="tr-TR"/>
              </w:rPr>
            </w:pPr>
            <w:r w:rsidRPr="00005453">
              <w:rPr>
                <w:b/>
                <w:bCs/>
                <w:color w:val="000000"/>
                <w:sz w:val="18"/>
                <w:szCs w:val="18"/>
              </w:rPr>
              <w:t>26,804,367</w:t>
            </w:r>
          </w:p>
        </w:tc>
      </w:tr>
    </w:tbl>
    <w:p w14:paraId="5A982D2F" w14:textId="171E5164" w:rsidR="00592DDE" w:rsidRPr="00005453" w:rsidRDefault="00592DDE" w:rsidP="00833BD7">
      <w:pPr>
        <w:pStyle w:val="BodyTextIndent"/>
        <w:tabs>
          <w:tab w:val="left" w:pos="0"/>
        </w:tabs>
        <w:ind w:left="0" w:hanging="567"/>
        <w:jc w:val="left"/>
        <w:rPr>
          <w:lang w:val="en-GB" w:eastAsia="en-GB"/>
        </w:rPr>
      </w:pPr>
    </w:p>
    <w:tbl>
      <w:tblPr>
        <w:tblW w:w="9160" w:type="dxa"/>
        <w:tblCellMar>
          <w:left w:w="70" w:type="dxa"/>
          <w:right w:w="70" w:type="dxa"/>
        </w:tblCellMar>
        <w:tblLook w:val="04A0" w:firstRow="1" w:lastRow="0" w:firstColumn="1" w:lastColumn="0" w:noHBand="0" w:noVBand="1"/>
      </w:tblPr>
      <w:tblGrid>
        <w:gridCol w:w="2966"/>
        <w:gridCol w:w="1402"/>
        <w:gridCol w:w="1617"/>
        <w:gridCol w:w="1618"/>
        <w:gridCol w:w="1557"/>
      </w:tblGrid>
      <w:tr w:rsidR="00EB2FE0" w:rsidRPr="00005453" w14:paraId="1BD818DC" w14:textId="77777777" w:rsidTr="00FD5D84">
        <w:trPr>
          <w:divId w:val="2122601256"/>
          <w:trHeight w:val="247"/>
        </w:trPr>
        <w:tc>
          <w:tcPr>
            <w:tcW w:w="2966" w:type="dxa"/>
            <w:tcBorders>
              <w:top w:val="single" w:sz="8" w:space="0" w:color="auto"/>
              <w:left w:val="nil"/>
              <w:bottom w:val="single" w:sz="8" w:space="0" w:color="auto"/>
              <w:right w:val="nil"/>
            </w:tcBorders>
            <w:shd w:val="clear" w:color="000000" w:fill="FFFFFF"/>
            <w:noWrap/>
            <w:vAlign w:val="center"/>
            <w:hideMark/>
          </w:tcPr>
          <w:p w14:paraId="3F96115E" w14:textId="14995D2C" w:rsidR="00EB2FE0" w:rsidRPr="00005453" w:rsidRDefault="00EB2FE0" w:rsidP="00592DDE">
            <w:pPr>
              <w:rPr>
                <w:b/>
                <w:bCs/>
                <w:color w:val="000000"/>
                <w:sz w:val="18"/>
                <w:szCs w:val="18"/>
                <w:lang w:eastAsia="tr-TR"/>
              </w:rPr>
            </w:pPr>
            <w:r w:rsidRPr="00005453">
              <w:rPr>
                <w:b/>
                <w:bCs/>
                <w:color w:val="000000"/>
                <w:sz w:val="18"/>
                <w:szCs w:val="18"/>
                <w:lang w:eastAsia="tr-TR"/>
              </w:rPr>
              <w:t>Önceki dönem</w:t>
            </w:r>
          </w:p>
        </w:tc>
        <w:tc>
          <w:tcPr>
            <w:tcW w:w="1402" w:type="dxa"/>
            <w:tcBorders>
              <w:top w:val="single" w:sz="8" w:space="0" w:color="auto"/>
              <w:left w:val="nil"/>
              <w:bottom w:val="single" w:sz="8" w:space="0" w:color="auto"/>
              <w:right w:val="nil"/>
            </w:tcBorders>
            <w:shd w:val="clear" w:color="000000" w:fill="FFFFFF"/>
            <w:vAlign w:val="center"/>
            <w:hideMark/>
          </w:tcPr>
          <w:p w14:paraId="7B251FE8" w14:textId="6395BECF" w:rsidR="00EB2FE0" w:rsidRPr="00005453" w:rsidRDefault="00EB2FE0" w:rsidP="00592DDE">
            <w:pPr>
              <w:jc w:val="center"/>
              <w:rPr>
                <w:b/>
                <w:bCs/>
                <w:color w:val="000000"/>
                <w:sz w:val="18"/>
                <w:szCs w:val="18"/>
                <w:lang w:eastAsia="tr-TR"/>
              </w:rPr>
            </w:pPr>
            <w:r w:rsidRPr="00005453">
              <w:rPr>
                <w:b/>
                <w:bCs/>
                <w:color w:val="000000"/>
                <w:sz w:val="18"/>
                <w:szCs w:val="18"/>
                <w:lang w:eastAsia="tr-TR"/>
              </w:rPr>
              <w:t> </w:t>
            </w:r>
            <w:r w:rsidR="00FD5D84" w:rsidRPr="00005453">
              <w:rPr>
                <w:b/>
                <w:bCs/>
                <w:color w:val="000000"/>
                <w:sz w:val="18"/>
                <w:szCs w:val="18"/>
                <w:lang w:eastAsia="tr-TR"/>
              </w:rPr>
              <w:t>30 günden az</w:t>
            </w:r>
          </w:p>
        </w:tc>
        <w:tc>
          <w:tcPr>
            <w:tcW w:w="1617" w:type="dxa"/>
            <w:tcBorders>
              <w:top w:val="single" w:sz="8" w:space="0" w:color="auto"/>
              <w:left w:val="nil"/>
              <w:bottom w:val="single" w:sz="8" w:space="0" w:color="auto"/>
              <w:right w:val="nil"/>
            </w:tcBorders>
            <w:shd w:val="clear" w:color="000000" w:fill="FFFFFF"/>
            <w:vAlign w:val="center"/>
            <w:hideMark/>
          </w:tcPr>
          <w:p w14:paraId="5A460289" w14:textId="36A78B21" w:rsidR="00EB2FE0" w:rsidRPr="00005453" w:rsidRDefault="00EB2FE0" w:rsidP="00592DDE">
            <w:pPr>
              <w:jc w:val="right"/>
              <w:rPr>
                <w:b/>
                <w:bCs/>
                <w:color w:val="000000"/>
                <w:sz w:val="18"/>
                <w:szCs w:val="18"/>
                <w:lang w:eastAsia="tr-TR"/>
              </w:rPr>
            </w:pPr>
            <w:r w:rsidRPr="00005453">
              <w:rPr>
                <w:b/>
                <w:bCs/>
                <w:color w:val="000000"/>
                <w:sz w:val="18"/>
                <w:szCs w:val="18"/>
                <w:lang w:eastAsia="tr-TR"/>
              </w:rPr>
              <w:t>31-60</w:t>
            </w:r>
            <w:r w:rsidR="00FD5D84" w:rsidRPr="00005453">
              <w:rPr>
                <w:b/>
                <w:bCs/>
                <w:color w:val="000000"/>
                <w:sz w:val="18"/>
                <w:szCs w:val="18"/>
                <w:lang w:eastAsia="tr-TR"/>
              </w:rPr>
              <w:t xml:space="preserve"> gün</w:t>
            </w:r>
            <w:r w:rsidRPr="00005453">
              <w:rPr>
                <w:b/>
                <w:bCs/>
                <w:color w:val="000000"/>
                <w:sz w:val="18"/>
                <w:szCs w:val="18"/>
                <w:lang w:eastAsia="tr-TR"/>
              </w:rPr>
              <w:t xml:space="preserve"> </w:t>
            </w:r>
          </w:p>
        </w:tc>
        <w:tc>
          <w:tcPr>
            <w:tcW w:w="1618" w:type="dxa"/>
            <w:tcBorders>
              <w:top w:val="single" w:sz="8" w:space="0" w:color="auto"/>
              <w:left w:val="nil"/>
              <w:bottom w:val="single" w:sz="8" w:space="0" w:color="auto"/>
              <w:right w:val="nil"/>
            </w:tcBorders>
            <w:shd w:val="clear" w:color="000000" w:fill="FFFFFF"/>
            <w:noWrap/>
            <w:vAlign w:val="center"/>
            <w:hideMark/>
          </w:tcPr>
          <w:p w14:paraId="4ADC3A54" w14:textId="6441B3C0" w:rsidR="00EB2FE0" w:rsidRPr="00005453" w:rsidRDefault="00EB2FE0" w:rsidP="00592DDE">
            <w:pPr>
              <w:jc w:val="right"/>
              <w:rPr>
                <w:b/>
                <w:bCs/>
                <w:color w:val="000000"/>
                <w:sz w:val="18"/>
                <w:szCs w:val="18"/>
                <w:lang w:eastAsia="tr-TR"/>
              </w:rPr>
            </w:pPr>
            <w:r w:rsidRPr="00005453">
              <w:rPr>
                <w:b/>
                <w:bCs/>
                <w:color w:val="000000"/>
                <w:sz w:val="18"/>
                <w:szCs w:val="18"/>
                <w:lang w:eastAsia="tr-TR"/>
              </w:rPr>
              <w:t>61</w:t>
            </w:r>
            <w:r w:rsidR="00C70A6F" w:rsidRPr="00005453">
              <w:rPr>
                <w:b/>
                <w:bCs/>
                <w:color w:val="000000"/>
                <w:sz w:val="18"/>
                <w:szCs w:val="18"/>
                <w:lang w:eastAsia="tr-TR"/>
              </w:rPr>
              <w:t xml:space="preserve"> günden</w:t>
            </w:r>
            <w:r w:rsidRPr="00005453">
              <w:rPr>
                <w:b/>
                <w:bCs/>
                <w:color w:val="000000"/>
                <w:sz w:val="18"/>
                <w:szCs w:val="18"/>
                <w:lang w:eastAsia="tr-TR"/>
              </w:rPr>
              <w:t xml:space="preserve"> </w:t>
            </w:r>
            <w:r w:rsidR="00FD5D84" w:rsidRPr="00005453">
              <w:rPr>
                <w:b/>
                <w:bCs/>
                <w:color w:val="000000"/>
                <w:sz w:val="18"/>
                <w:szCs w:val="18"/>
                <w:lang w:eastAsia="tr-TR"/>
              </w:rPr>
              <w:t>fazla</w:t>
            </w:r>
          </w:p>
        </w:tc>
        <w:tc>
          <w:tcPr>
            <w:tcW w:w="1557" w:type="dxa"/>
            <w:tcBorders>
              <w:top w:val="single" w:sz="8" w:space="0" w:color="auto"/>
              <w:left w:val="nil"/>
              <w:bottom w:val="single" w:sz="8" w:space="0" w:color="auto"/>
              <w:right w:val="nil"/>
            </w:tcBorders>
            <w:shd w:val="clear" w:color="000000" w:fill="FFFFFF"/>
            <w:vAlign w:val="center"/>
            <w:hideMark/>
          </w:tcPr>
          <w:p w14:paraId="5F31FD87" w14:textId="5B15131F" w:rsidR="00EB2FE0" w:rsidRPr="00005453" w:rsidRDefault="00FD5D84" w:rsidP="00592DDE">
            <w:pPr>
              <w:jc w:val="right"/>
              <w:rPr>
                <w:b/>
                <w:bCs/>
                <w:color w:val="000000"/>
                <w:sz w:val="18"/>
                <w:szCs w:val="18"/>
                <w:lang w:eastAsia="tr-TR"/>
              </w:rPr>
            </w:pPr>
            <w:r w:rsidRPr="00005453">
              <w:rPr>
                <w:b/>
                <w:bCs/>
                <w:color w:val="000000"/>
                <w:sz w:val="18"/>
                <w:szCs w:val="18"/>
                <w:lang w:eastAsia="tr-TR"/>
              </w:rPr>
              <w:t>Toplam</w:t>
            </w:r>
            <w:r w:rsidR="00EB2FE0" w:rsidRPr="00005453">
              <w:rPr>
                <w:b/>
                <w:bCs/>
                <w:color w:val="000000"/>
                <w:sz w:val="18"/>
                <w:szCs w:val="18"/>
                <w:lang w:eastAsia="tr-TR"/>
              </w:rPr>
              <w:t> </w:t>
            </w:r>
          </w:p>
        </w:tc>
      </w:tr>
      <w:tr w:rsidR="00EB2FE0" w:rsidRPr="00005453" w14:paraId="6DA86554" w14:textId="77777777" w:rsidTr="00FD5D84">
        <w:trPr>
          <w:divId w:val="2122601256"/>
          <w:trHeight w:val="247"/>
        </w:trPr>
        <w:tc>
          <w:tcPr>
            <w:tcW w:w="2966" w:type="dxa"/>
            <w:tcBorders>
              <w:top w:val="single" w:sz="8" w:space="0" w:color="auto"/>
              <w:left w:val="nil"/>
              <w:bottom w:val="nil"/>
              <w:right w:val="nil"/>
            </w:tcBorders>
            <w:shd w:val="clear" w:color="000000" w:fill="FFFFFF"/>
            <w:noWrap/>
            <w:vAlign w:val="center"/>
            <w:hideMark/>
          </w:tcPr>
          <w:p w14:paraId="6FDA1AB4" w14:textId="77777777" w:rsidR="00EB2FE0" w:rsidRPr="00005453" w:rsidRDefault="00EB2FE0" w:rsidP="00592DDE">
            <w:pPr>
              <w:rPr>
                <w:color w:val="000000"/>
                <w:sz w:val="18"/>
                <w:szCs w:val="18"/>
                <w:lang w:eastAsia="tr-TR"/>
              </w:rPr>
            </w:pPr>
            <w:r w:rsidRPr="00005453">
              <w:rPr>
                <w:color w:val="000000"/>
                <w:sz w:val="18"/>
                <w:szCs w:val="18"/>
                <w:lang w:eastAsia="tr-TR"/>
              </w:rPr>
              <w:t>Krediler ve alacaklar</w:t>
            </w:r>
          </w:p>
        </w:tc>
        <w:tc>
          <w:tcPr>
            <w:tcW w:w="1402" w:type="dxa"/>
            <w:tcBorders>
              <w:top w:val="single" w:sz="8" w:space="0" w:color="auto"/>
              <w:left w:val="nil"/>
              <w:bottom w:val="nil"/>
              <w:right w:val="nil"/>
            </w:tcBorders>
            <w:shd w:val="clear" w:color="000000" w:fill="FFFFFF"/>
            <w:vAlign w:val="center"/>
            <w:hideMark/>
          </w:tcPr>
          <w:p w14:paraId="1D3F6766" w14:textId="77777777" w:rsidR="00EB2FE0" w:rsidRPr="00005453" w:rsidRDefault="00EB2FE0" w:rsidP="00592DDE">
            <w:pPr>
              <w:jc w:val="right"/>
              <w:rPr>
                <w:color w:val="000000"/>
                <w:sz w:val="18"/>
                <w:szCs w:val="18"/>
                <w:lang w:eastAsia="tr-TR"/>
              </w:rPr>
            </w:pPr>
            <w:r w:rsidRPr="00005453">
              <w:rPr>
                <w:iCs/>
                <w:color w:val="000000"/>
                <w:sz w:val="18"/>
                <w:szCs w:val="18"/>
                <w:lang w:eastAsia="tr-TR"/>
              </w:rPr>
              <w:t> </w:t>
            </w:r>
          </w:p>
        </w:tc>
        <w:tc>
          <w:tcPr>
            <w:tcW w:w="1617" w:type="dxa"/>
            <w:tcBorders>
              <w:top w:val="single" w:sz="8" w:space="0" w:color="auto"/>
              <w:left w:val="nil"/>
              <w:bottom w:val="nil"/>
              <w:right w:val="nil"/>
            </w:tcBorders>
            <w:shd w:val="clear" w:color="000000" w:fill="FFFFFF"/>
            <w:vAlign w:val="center"/>
            <w:hideMark/>
          </w:tcPr>
          <w:p w14:paraId="246E7F36" w14:textId="77777777" w:rsidR="00EB2FE0" w:rsidRPr="00005453" w:rsidRDefault="00EB2FE0" w:rsidP="00592DDE">
            <w:pPr>
              <w:jc w:val="right"/>
              <w:rPr>
                <w:color w:val="000000"/>
                <w:sz w:val="18"/>
                <w:szCs w:val="18"/>
                <w:lang w:eastAsia="tr-TR"/>
              </w:rPr>
            </w:pPr>
            <w:r w:rsidRPr="00005453">
              <w:rPr>
                <w:iCs/>
                <w:color w:val="000000"/>
                <w:sz w:val="18"/>
                <w:szCs w:val="18"/>
                <w:lang w:eastAsia="tr-TR"/>
              </w:rPr>
              <w:t> </w:t>
            </w:r>
          </w:p>
        </w:tc>
        <w:tc>
          <w:tcPr>
            <w:tcW w:w="1618" w:type="dxa"/>
            <w:tcBorders>
              <w:top w:val="single" w:sz="8" w:space="0" w:color="auto"/>
              <w:left w:val="nil"/>
              <w:bottom w:val="nil"/>
              <w:right w:val="nil"/>
            </w:tcBorders>
            <w:shd w:val="clear" w:color="000000" w:fill="FFFFFF"/>
            <w:noWrap/>
            <w:vAlign w:val="center"/>
            <w:hideMark/>
          </w:tcPr>
          <w:p w14:paraId="3E12F536" w14:textId="77777777" w:rsidR="00EB2FE0" w:rsidRPr="00005453" w:rsidRDefault="00EB2FE0" w:rsidP="00592DDE">
            <w:pPr>
              <w:jc w:val="right"/>
              <w:rPr>
                <w:color w:val="000000"/>
                <w:sz w:val="18"/>
                <w:szCs w:val="18"/>
                <w:lang w:eastAsia="tr-TR"/>
              </w:rPr>
            </w:pPr>
            <w:r w:rsidRPr="00005453">
              <w:rPr>
                <w:iCs/>
                <w:color w:val="000000"/>
                <w:sz w:val="18"/>
                <w:szCs w:val="18"/>
                <w:lang w:eastAsia="tr-TR"/>
              </w:rPr>
              <w:t> </w:t>
            </w:r>
          </w:p>
        </w:tc>
        <w:tc>
          <w:tcPr>
            <w:tcW w:w="1557" w:type="dxa"/>
            <w:tcBorders>
              <w:top w:val="single" w:sz="8" w:space="0" w:color="auto"/>
              <w:left w:val="nil"/>
              <w:bottom w:val="nil"/>
              <w:right w:val="nil"/>
            </w:tcBorders>
            <w:shd w:val="clear" w:color="000000" w:fill="FFFFFF"/>
            <w:vAlign w:val="center"/>
            <w:hideMark/>
          </w:tcPr>
          <w:p w14:paraId="14828155" w14:textId="77777777" w:rsidR="00EB2FE0" w:rsidRPr="00005453" w:rsidRDefault="00EB2FE0" w:rsidP="00592DDE">
            <w:pPr>
              <w:jc w:val="right"/>
              <w:rPr>
                <w:color w:val="000000"/>
                <w:sz w:val="18"/>
                <w:szCs w:val="18"/>
                <w:lang w:eastAsia="tr-TR"/>
              </w:rPr>
            </w:pPr>
            <w:r w:rsidRPr="00005453">
              <w:rPr>
                <w:iCs/>
                <w:color w:val="000000"/>
                <w:sz w:val="18"/>
                <w:szCs w:val="18"/>
                <w:lang w:eastAsia="tr-TR"/>
              </w:rPr>
              <w:t> </w:t>
            </w:r>
          </w:p>
        </w:tc>
      </w:tr>
      <w:tr w:rsidR="00F676AA" w:rsidRPr="00005453" w14:paraId="74231F71" w14:textId="77777777" w:rsidTr="00F676AA">
        <w:trPr>
          <w:divId w:val="2122601256"/>
          <w:trHeight w:val="247"/>
        </w:trPr>
        <w:tc>
          <w:tcPr>
            <w:tcW w:w="2966" w:type="dxa"/>
            <w:tcBorders>
              <w:top w:val="nil"/>
              <w:left w:val="nil"/>
              <w:bottom w:val="nil"/>
              <w:right w:val="nil"/>
            </w:tcBorders>
            <w:shd w:val="clear" w:color="000000" w:fill="FFFFFF"/>
            <w:noWrap/>
            <w:vAlign w:val="center"/>
            <w:hideMark/>
          </w:tcPr>
          <w:p w14:paraId="70444458" w14:textId="77777777" w:rsidR="00F676AA" w:rsidRPr="00005453" w:rsidRDefault="00F676AA" w:rsidP="00F676AA">
            <w:pPr>
              <w:ind w:firstLineChars="300" w:firstLine="540"/>
              <w:rPr>
                <w:color w:val="000000"/>
                <w:sz w:val="18"/>
                <w:szCs w:val="18"/>
                <w:lang w:eastAsia="tr-TR"/>
              </w:rPr>
            </w:pPr>
            <w:r w:rsidRPr="00005453">
              <w:rPr>
                <w:color w:val="000000"/>
                <w:sz w:val="18"/>
                <w:szCs w:val="18"/>
                <w:lang w:eastAsia="tr-TR"/>
              </w:rPr>
              <w:t>Kurumsal krediler</w:t>
            </w:r>
          </w:p>
        </w:tc>
        <w:tc>
          <w:tcPr>
            <w:tcW w:w="1402" w:type="dxa"/>
            <w:tcBorders>
              <w:top w:val="nil"/>
              <w:left w:val="nil"/>
              <w:bottom w:val="nil"/>
              <w:right w:val="nil"/>
            </w:tcBorders>
            <w:shd w:val="clear" w:color="000000" w:fill="FFFFFF"/>
            <w:vAlign w:val="center"/>
            <w:hideMark/>
          </w:tcPr>
          <w:p w14:paraId="05FED57D" w14:textId="481AA1BF" w:rsidR="00F676AA" w:rsidRPr="00005453" w:rsidRDefault="00F676AA" w:rsidP="00F676AA">
            <w:pPr>
              <w:jc w:val="right"/>
              <w:rPr>
                <w:color w:val="000000"/>
                <w:sz w:val="18"/>
                <w:szCs w:val="18"/>
                <w:lang w:eastAsia="tr-TR"/>
              </w:rPr>
            </w:pPr>
            <w:r w:rsidRPr="00005453">
              <w:rPr>
                <w:color w:val="000000"/>
                <w:sz w:val="18"/>
                <w:szCs w:val="18"/>
              </w:rPr>
              <w:t>15,238,725</w:t>
            </w:r>
          </w:p>
        </w:tc>
        <w:tc>
          <w:tcPr>
            <w:tcW w:w="1617" w:type="dxa"/>
            <w:tcBorders>
              <w:top w:val="nil"/>
              <w:left w:val="nil"/>
              <w:bottom w:val="nil"/>
              <w:right w:val="nil"/>
            </w:tcBorders>
            <w:shd w:val="clear" w:color="000000" w:fill="FFFFFF"/>
            <w:vAlign w:val="center"/>
            <w:hideMark/>
          </w:tcPr>
          <w:p w14:paraId="1C50D715" w14:textId="04DF2C63" w:rsidR="00F676AA" w:rsidRPr="00005453" w:rsidRDefault="00F676AA" w:rsidP="00F676AA">
            <w:pPr>
              <w:jc w:val="right"/>
              <w:rPr>
                <w:color w:val="000000"/>
                <w:sz w:val="18"/>
                <w:szCs w:val="18"/>
                <w:lang w:eastAsia="tr-TR"/>
              </w:rPr>
            </w:pPr>
            <w:r w:rsidRPr="00005453">
              <w:rPr>
                <w:color w:val="000000"/>
                <w:sz w:val="18"/>
                <w:szCs w:val="18"/>
              </w:rPr>
              <w:t>1,216,042</w:t>
            </w:r>
          </w:p>
        </w:tc>
        <w:tc>
          <w:tcPr>
            <w:tcW w:w="1618" w:type="dxa"/>
            <w:tcBorders>
              <w:top w:val="nil"/>
              <w:left w:val="nil"/>
              <w:bottom w:val="nil"/>
              <w:right w:val="nil"/>
            </w:tcBorders>
            <w:shd w:val="clear" w:color="000000" w:fill="FFFFFF"/>
            <w:vAlign w:val="center"/>
            <w:hideMark/>
          </w:tcPr>
          <w:p w14:paraId="6457FCB8" w14:textId="7330287B" w:rsidR="00F676AA" w:rsidRPr="00005453" w:rsidRDefault="00F676AA" w:rsidP="00F676AA">
            <w:pPr>
              <w:jc w:val="right"/>
              <w:rPr>
                <w:color w:val="000000"/>
                <w:sz w:val="18"/>
                <w:szCs w:val="18"/>
                <w:lang w:eastAsia="tr-TR"/>
              </w:rPr>
            </w:pPr>
            <w:r w:rsidRPr="00005453">
              <w:rPr>
                <w:color w:val="000000"/>
                <w:sz w:val="18"/>
                <w:szCs w:val="18"/>
              </w:rPr>
              <w:t>325,902</w:t>
            </w:r>
          </w:p>
        </w:tc>
        <w:tc>
          <w:tcPr>
            <w:tcW w:w="1557" w:type="dxa"/>
            <w:tcBorders>
              <w:top w:val="nil"/>
              <w:left w:val="nil"/>
              <w:bottom w:val="nil"/>
              <w:right w:val="nil"/>
            </w:tcBorders>
            <w:shd w:val="clear" w:color="000000" w:fill="FFFFFF"/>
            <w:vAlign w:val="center"/>
            <w:hideMark/>
          </w:tcPr>
          <w:p w14:paraId="3EE1B680" w14:textId="75AA06BB" w:rsidR="00F676AA" w:rsidRPr="00005453" w:rsidRDefault="00F676AA" w:rsidP="00F676AA">
            <w:pPr>
              <w:jc w:val="right"/>
              <w:rPr>
                <w:color w:val="000000"/>
                <w:sz w:val="18"/>
                <w:szCs w:val="18"/>
                <w:lang w:eastAsia="tr-TR"/>
              </w:rPr>
            </w:pPr>
            <w:r w:rsidRPr="00005453">
              <w:rPr>
                <w:color w:val="000000"/>
                <w:sz w:val="18"/>
                <w:szCs w:val="18"/>
              </w:rPr>
              <w:t>16,780,669</w:t>
            </w:r>
          </w:p>
        </w:tc>
      </w:tr>
      <w:tr w:rsidR="00F676AA" w:rsidRPr="00005453" w14:paraId="5FD5BAAD" w14:textId="77777777" w:rsidTr="00F676AA">
        <w:trPr>
          <w:divId w:val="2122601256"/>
          <w:trHeight w:val="247"/>
        </w:trPr>
        <w:tc>
          <w:tcPr>
            <w:tcW w:w="2966" w:type="dxa"/>
            <w:tcBorders>
              <w:top w:val="nil"/>
              <w:left w:val="nil"/>
              <w:bottom w:val="nil"/>
              <w:right w:val="nil"/>
            </w:tcBorders>
            <w:shd w:val="clear" w:color="000000" w:fill="FFFFFF"/>
            <w:noWrap/>
            <w:vAlign w:val="center"/>
            <w:hideMark/>
          </w:tcPr>
          <w:p w14:paraId="027A352E" w14:textId="77777777" w:rsidR="00F676AA" w:rsidRPr="00005453" w:rsidRDefault="00F676AA" w:rsidP="00F676AA">
            <w:pPr>
              <w:ind w:firstLineChars="300" w:firstLine="540"/>
              <w:rPr>
                <w:color w:val="000000"/>
                <w:sz w:val="18"/>
                <w:szCs w:val="18"/>
                <w:lang w:eastAsia="tr-TR"/>
              </w:rPr>
            </w:pPr>
            <w:r w:rsidRPr="00005453">
              <w:rPr>
                <w:color w:val="000000"/>
                <w:sz w:val="18"/>
                <w:szCs w:val="18"/>
                <w:lang w:eastAsia="tr-TR"/>
              </w:rPr>
              <w:t>Tüketici kredileri</w:t>
            </w:r>
          </w:p>
        </w:tc>
        <w:tc>
          <w:tcPr>
            <w:tcW w:w="1402" w:type="dxa"/>
            <w:tcBorders>
              <w:top w:val="nil"/>
              <w:left w:val="nil"/>
              <w:bottom w:val="nil"/>
              <w:right w:val="nil"/>
            </w:tcBorders>
            <w:shd w:val="clear" w:color="000000" w:fill="FFFFFF"/>
            <w:vAlign w:val="center"/>
            <w:hideMark/>
          </w:tcPr>
          <w:p w14:paraId="2556D465" w14:textId="72769849" w:rsidR="00F676AA" w:rsidRPr="00005453" w:rsidRDefault="00F676AA" w:rsidP="00F676AA">
            <w:pPr>
              <w:jc w:val="right"/>
              <w:rPr>
                <w:color w:val="000000"/>
                <w:sz w:val="18"/>
                <w:szCs w:val="18"/>
                <w:lang w:eastAsia="tr-TR"/>
              </w:rPr>
            </w:pPr>
            <w:r w:rsidRPr="00005453">
              <w:rPr>
                <w:color w:val="000000"/>
                <w:sz w:val="18"/>
                <w:szCs w:val="18"/>
              </w:rPr>
              <w:t>456,961</w:t>
            </w:r>
          </w:p>
        </w:tc>
        <w:tc>
          <w:tcPr>
            <w:tcW w:w="1617" w:type="dxa"/>
            <w:tcBorders>
              <w:top w:val="nil"/>
              <w:left w:val="nil"/>
              <w:bottom w:val="nil"/>
              <w:right w:val="nil"/>
            </w:tcBorders>
            <w:shd w:val="clear" w:color="000000" w:fill="FFFFFF"/>
            <w:vAlign w:val="center"/>
            <w:hideMark/>
          </w:tcPr>
          <w:p w14:paraId="0F1EE064" w14:textId="52BF5655" w:rsidR="00F676AA" w:rsidRPr="00005453" w:rsidRDefault="00F676AA" w:rsidP="00F676AA">
            <w:pPr>
              <w:jc w:val="right"/>
              <w:rPr>
                <w:color w:val="000000"/>
                <w:sz w:val="18"/>
                <w:szCs w:val="18"/>
                <w:lang w:eastAsia="tr-TR"/>
              </w:rPr>
            </w:pPr>
            <w:r w:rsidRPr="00005453">
              <w:rPr>
                <w:color w:val="000000"/>
                <w:sz w:val="18"/>
                <w:szCs w:val="18"/>
              </w:rPr>
              <w:t>64,665</w:t>
            </w:r>
          </w:p>
        </w:tc>
        <w:tc>
          <w:tcPr>
            <w:tcW w:w="1618" w:type="dxa"/>
            <w:tcBorders>
              <w:top w:val="nil"/>
              <w:left w:val="nil"/>
              <w:bottom w:val="nil"/>
              <w:right w:val="nil"/>
            </w:tcBorders>
            <w:shd w:val="clear" w:color="000000" w:fill="FFFFFF"/>
            <w:vAlign w:val="center"/>
            <w:hideMark/>
          </w:tcPr>
          <w:p w14:paraId="2E932190" w14:textId="2855DBA4" w:rsidR="00F676AA" w:rsidRPr="00005453" w:rsidRDefault="00F676AA" w:rsidP="00F676AA">
            <w:pPr>
              <w:jc w:val="right"/>
              <w:rPr>
                <w:color w:val="000000"/>
                <w:sz w:val="18"/>
                <w:szCs w:val="18"/>
                <w:lang w:eastAsia="tr-TR"/>
              </w:rPr>
            </w:pPr>
            <w:r w:rsidRPr="00005453">
              <w:rPr>
                <w:color w:val="000000"/>
                <w:sz w:val="18"/>
                <w:szCs w:val="18"/>
              </w:rPr>
              <w:t>22,015</w:t>
            </w:r>
          </w:p>
        </w:tc>
        <w:tc>
          <w:tcPr>
            <w:tcW w:w="1557" w:type="dxa"/>
            <w:tcBorders>
              <w:top w:val="nil"/>
              <w:left w:val="nil"/>
              <w:bottom w:val="nil"/>
              <w:right w:val="nil"/>
            </w:tcBorders>
            <w:shd w:val="clear" w:color="000000" w:fill="FFFFFF"/>
            <w:vAlign w:val="center"/>
            <w:hideMark/>
          </w:tcPr>
          <w:p w14:paraId="61D913B4" w14:textId="7754D98D" w:rsidR="00F676AA" w:rsidRPr="00005453" w:rsidRDefault="00F676AA" w:rsidP="00F676AA">
            <w:pPr>
              <w:jc w:val="right"/>
              <w:rPr>
                <w:color w:val="000000"/>
                <w:sz w:val="18"/>
                <w:szCs w:val="18"/>
                <w:lang w:eastAsia="tr-TR"/>
              </w:rPr>
            </w:pPr>
            <w:r w:rsidRPr="00005453">
              <w:rPr>
                <w:color w:val="000000"/>
                <w:sz w:val="18"/>
                <w:szCs w:val="18"/>
              </w:rPr>
              <w:t>543,641</w:t>
            </w:r>
          </w:p>
        </w:tc>
      </w:tr>
      <w:tr w:rsidR="00F676AA" w:rsidRPr="00005453" w14:paraId="7DCEB6C8" w14:textId="77777777" w:rsidTr="00F676AA">
        <w:trPr>
          <w:divId w:val="2122601256"/>
          <w:trHeight w:val="259"/>
        </w:trPr>
        <w:tc>
          <w:tcPr>
            <w:tcW w:w="2966" w:type="dxa"/>
            <w:tcBorders>
              <w:top w:val="nil"/>
              <w:left w:val="nil"/>
              <w:bottom w:val="single" w:sz="8" w:space="0" w:color="auto"/>
              <w:right w:val="nil"/>
            </w:tcBorders>
            <w:shd w:val="clear" w:color="000000" w:fill="FFFFFF"/>
            <w:noWrap/>
            <w:vAlign w:val="center"/>
            <w:hideMark/>
          </w:tcPr>
          <w:p w14:paraId="25677A55" w14:textId="77777777" w:rsidR="00F676AA" w:rsidRPr="00005453" w:rsidRDefault="00F676AA" w:rsidP="00F676AA">
            <w:pPr>
              <w:ind w:firstLineChars="300" w:firstLine="540"/>
              <w:rPr>
                <w:color w:val="000000"/>
                <w:sz w:val="18"/>
                <w:szCs w:val="18"/>
                <w:lang w:eastAsia="tr-TR"/>
              </w:rPr>
            </w:pPr>
            <w:r w:rsidRPr="00005453">
              <w:rPr>
                <w:color w:val="000000"/>
                <w:sz w:val="18"/>
                <w:szCs w:val="18"/>
                <w:lang w:eastAsia="tr-TR"/>
              </w:rPr>
              <w:t>Kredi kartları</w:t>
            </w:r>
          </w:p>
        </w:tc>
        <w:tc>
          <w:tcPr>
            <w:tcW w:w="1402" w:type="dxa"/>
            <w:tcBorders>
              <w:top w:val="nil"/>
              <w:left w:val="nil"/>
              <w:bottom w:val="single" w:sz="8" w:space="0" w:color="auto"/>
              <w:right w:val="nil"/>
            </w:tcBorders>
            <w:shd w:val="clear" w:color="000000" w:fill="FFFFFF"/>
            <w:vAlign w:val="center"/>
            <w:hideMark/>
          </w:tcPr>
          <w:p w14:paraId="0DCCCF8C" w14:textId="42F7BF6C" w:rsidR="00F676AA" w:rsidRPr="00005453" w:rsidRDefault="00F676AA" w:rsidP="00F676AA">
            <w:pPr>
              <w:jc w:val="right"/>
              <w:rPr>
                <w:color w:val="000000"/>
                <w:sz w:val="18"/>
                <w:szCs w:val="18"/>
                <w:lang w:eastAsia="tr-TR"/>
              </w:rPr>
            </w:pPr>
            <w:r w:rsidRPr="00005453">
              <w:rPr>
                <w:color w:val="000000"/>
                <w:sz w:val="18"/>
                <w:szCs w:val="18"/>
              </w:rPr>
              <w:t>1,967,205</w:t>
            </w:r>
          </w:p>
        </w:tc>
        <w:tc>
          <w:tcPr>
            <w:tcW w:w="1617" w:type="dxa"/>
            <w:tcBorders>
              <w:top w:val="nil"/>
              <w:left w:val="nil"/>
              <w:bottom w:val="single" w:sz="8" w:space="0" w:color="auto"/>
              <w:right w:val="nil"/>
            </w:tcBorders>
            <w:shd w:val="clear" w:color="000000" w:fill="FFFFFF"/>
            <w:vAlign w:val="center"/>
            <w:hideMark/>
          </w:tcPr>
          <w:p w14:paraId="0542D7F9" w14:textId="420C7FFB" w:rsidR="00F676AA" w:rsidRPr="00005453" w:rsidRDefault="00F676AA" w:rsidP="00F676AA">
            <w:pPr>
              <w:jc w:val="right"/>
              <w:rPr>
                <w:color w:val="000000"/>
                <w:sz w:val="18"/>
                <w:szCs w:val="18"/>
                <w:lang w:eastAsia="tr-TR"/>
              </w:rPr>
            </w:pPr>
            <w:r w:rsidRPr="00005453">
              <w:rPr>
                <w:color w:val="000000"/>
                <w:sz w:val="18"/>
                <w:szCs w:val="18"/>
              </w:rPr>
              <w:t>107,521</w:t>
            </w:r>
          </w:p>
        </w:tc>
        <w:tc>
          <w:tcPr>
            <w:tcW w:w="1618" w:type="dxa"/>
            <w:tcBorders>
              <w:top w:val="nil"/>
              <w:left w:val="nil"/>
              <w:bottom w:val="single" w:sz="8" w:space="0" w:color="auto"/>
              <w:right w:val="nil"/>
            </w:tcBorders>
            <w:shd w:val="clear" w:color="000000" w:fill="FFFFFF"/>
            <w:vAlign w:val="center"/>
            <w:hideMark/>
          </w:tcPr>
          <w:p w14:paraId="70642214" w14:textId="4DCE2A50" w:rsidR="00F676AA" w:rsidRPr="00005453" w:rsidRDefault="00F676AA" w:rsidP="00F676AA">
            <w:pPr>
              <w:jc w:val="right"/>
              <w:rPr>
                <w:color w:val="000000"/>
                <w:sz w:val="18"/>
                <w:szCs w:val="18"/>
                <w:lang w:eastAsia="tr-TR"/>
              </w:rPr>
            </w:pPr>
            <w:r w:rsidRPr="00005453">
              <w:rPr>
                <w:color w:val="000000"/>
                <w:sz w:val="18"/>
                <w:szCs w:val="18"/>
              </w:rPr>
              <w:t>35,898</w:t>
            </w:r>
          </w:p>
        </w:tc>
        <w:tc>
          <w:tcPr>
            <w:tcW w:w="1557" w:type="dxa"/>
            <w:tcBorders>
              <w:top w:val="nil"/>
              <w:left w:val="nil"/>
              <w:bottom w:val="single" w:sz="8" w:space="0" w:color="auto"/>
              <w:right w:val="nil"/>
            </w:tcBorders>
            <w:shd w:val="clear" w:color="000000" w:fill="FFFFFF"/>
            <w:vAlign w:val="center"/>
            <w:hideMark/>
          </w:tcPr>
          <w:p w14:paraId="5625A8EF" w14:textId="44952AB2" w:rsidR="00F676AA" w:rsidRPr="00005453" w:rsidRDefault="00F676AA" w:rsidP="00F676AA">
            <w:pPr>
              <w:jc w:val="right"/>
              <w:rPr>
                <w:color w:val="000000"/>
                <w:sz w:val="18"/>
                <w:szCs w:val="18"/>
                <w:lang w:eastAsia="tr-TR"/>
              </w:rPr>
            </w:pPr>
            <w:r w:rsidRPr="00005453">
              <w:rPr>
                <w:color w:val="000000"/>
                <w:sz w:val="18"/>
                <w:szCs w:val="18"/>
              </w:rPr>
              <w:t>2,110,624</w:t>
            </w:r>
          </w:p>
        </w:tc>
      </w:tr>
      <w:tr w:rsidR="00F676AA" w:rsidRPr="00005453" w14:paraId="736F6C44" w14:textId="77777777" w:rsidTr="00F676AA">
        <w:trPr>
          <w:divId w:val="2122601256"/>
          <w:trHeight w:val="134"/>
        </w:trPr>
        <w:tc>
          <w:tcPr>
            <w:tcW w:w="2966" w:type="dxa"/>
            <w:tcBorders>
              <w:top w:val="single" w:sz="8" w:space="0" w:color="auto"/>
              <w:left w:val="nil"/>
              <w:bottom w:val="double" w:sz="4" w:space="0" w:color="auto"/>
              <w:right w:val="nil"/>
            </w:tcBorders>
            <w:shd w:val="clear" w:color="000000" w:fill="FFFFFF"/>
            <w:noWrap/>
            <w:vAlign w:val="center"/>
            <w:hideMark/>
          </w:tcPr>
          <w:p w14:paraId="7E470E50" w14:textId="77777777" w:rsidR="00F676AA" w:rsidRPr="00005453" w:rsidRDefault="00F676AA" w:rsidP="00F676AA">
            <w:pPr>
              <w:rPr>
                <w:b/>
                <w:bCs/>
                <w:color w:val="000000"/>
                <w:sz w:val="18"/>
                <w:szCs w:val="18"/>
                <w:lang w:eastAsia="tr-TR"/>
              </w:rPr>
            </w:pPr>
            <w:r w:rsidRPr="00005453">
              <w:rPr>
                <w:b/>
                <w:bCs/>
                <w:color w:val="000000"/>
                <w:sz w:val="18"/>
                <w:szCs w:val="18"/>
                <w:lang w:eastAsia="tr-TR"/>
              </w:rPr>
              <w:t>Toplam</w:t>
            </w:r>
          </w:p>
        </w:tc>
        <w:tc>
          <w:tcPr>
            <w:tcW w:w="1402" w:type="dxa"/>
            <w:tcBorders>
              <w:top w:val="single" w:sz="8" w:space="0" w:color="auto"/>
              <w:left w:val="nil"/>
              <w:bottom w:val="double" w:sz="4" w:space="0" w:color="auto"/>
              <w:right w:val="nil"/>
            </w:tcBorders>
            <w:shd w:val="clear" w:color="000000" w:fill="FFFFFF"/>
            <w:vAlign w:val="center"/>
            <w:hideMark/>
          </w:tcPr>
          <w:p w14:paraId="06FD166A" w14:textId="23076AFD" w:rsidR="00F676AA" w:rsidRPr="00005453" w:rsidRDefault="00F676AA" w:rsidP="00F676AA">
            <w:pPr>
              <w:jc w:val="right"/>
              <w:rPr>
                <w:b/>
                <w:bCs/>
                <w:color w:val="000000"/>
                <w:sz w:val="18"/>
                <w:szCs w:val="18"/>
                <w:lang w:eastAsia="tr-TR"/>
              </w:rPr>
            </w:pPr>
            <w:r w:rsidRPr="00005453">
              <w:rPr>
                <w:b/>
                <w:bCs/>
                <w:color w:val="000000"/>
                <w:sz w:val="18"/>
                <w:szCs w:val="18"/>
              </w:rPr>
              <w:t>17,662,891</w:t>
            </w:r>
          </w:p>
        </w:tc>
        <w:tc>
          <w:tcPr>
            <w:tcW w:w="1617" w:type="dxa"/>
            <w:tcBorders>
              <w:top w:val="single" w:sz="8" w:space="0" w:color="auto"/>
              <w:left w:val="nil"/>
              <w:bottom w:val="double" w:sz="4" w:space="0" w:color="auto"/>
              <w:right w:val="nil"/>
            </w:tcBorders>
            <w:shd w:val="clear" w:color="000000" w:fill="FFFFFF"/>
            <w:vAlign w:val="center"/>
            <w:hideMark/>
          </w:tcPr>
          <w:p w14:paraId="3651A405" w14:textId="13730184" w:rsidR="00F676AA" w:rsidRPr="00005453" w:rsidRDefault="00F676AA" w:rsidP="00F676AA">
            <w:pPr>
              <w:jc w:val="right"/>
              <w:rPr>
                <w:b/>
                <w:bCs/>
                <w:color w:val="000000"/>
                <w:sz w:val="18"/>
                <w:szCs w:val="18"/>
                <w:lang w:eastAsia="tr-TR"/>
              </w:rPr>
            </w:pPr>
            <w:r w:rsidRPr="00005453">
              <w:rPr>
                <w:b/>
                <w:bCs/>
                <w:color w:val="000000"/>
                <w:sz w:val="18"/>
                <w:szCs w:val="18"/>
              </w:rPr>
              <w:t>1,388,228</w:t>
            </w:r>
          </w:p>
        </w:tc>
        <w:tc>
          <w:tcPr>
            <w:tcW w:w="1618" w:type="dxa"/>
            <w:tcBorders>
              <w:top w:val="single" w:sz="8" w:space="0" w:color="auto"/>
              <w:left w:val="nil"/>
              <w:bottom w:val="double" w:sz="4" w:space="0" w:color="auto"/>
              <w:right w:val="nil"/>
            </w:tcBorders>
            <w:shd w:val="clear" w:color="000000" w:fill="FFFFFF"/>
            <w:vAlign w:val="center"/>
            <w:hideMark/>
          </w:tcPr>
          <w:p w14:paraId="750E208A" w14:textId="3337D104" w:rsidR="00F676AA" w:rsidRPr="00005453" w:rsidRDefault="00F676AA" w:rsidP="00F676AA">
            <w:pPr>
              <w:jc w:val="right"/>
              <w:rPr>
                <w:b/>
                <w:bCs/>
                <w:color w:val="000000"/>
                <w:sz w:val="18"/>
                <w:szCs w:val="18"/>
                <w:lang w:eastAsia="tr-TR"/>
              </w:rPr>
            </w:pPr>
            <w:r w:rsidRPr="00005453">
              <w:rPr>
                <w:b/>
                <w:bCs/>
                <w:sz w:val="18"/>
                <w:szCs w:val="18"/>
              </w:rPr>
              <w:t>383,815</w:t>
            </w:r>
          </w:p>
        </w:tc>
        <w:tc>
          <w:tcPr>
            <w:tcW w:w="1557" w:type="dxa"/>
            <w:tcBorders>
              <w:top w:val="single" w:sz="8" w:space="0" w:color="auto"/>
              <w:left w:val="nil"/>
              <w:bottom w:val="double" w:sz="4" w:space="0" w:color="auto"/>
              <w:right w:val="nil"/>
            </w:tcBorders>
            <w:shd w:val="clear" w:color="000000" w:fill="FFFFFF"/>
            <w:vAlign w:val="center"/>
            <w:hideMark/>
          </w:tcPr>
          <w:p w14:paraId="2BE10AFE" w14:textId="45F6D3E8" w:rsidR="00F676AA" w:rsidRPr="00005453" w:rsidRDefault="00F676AA" w:rsidP="00F676AA">
            <w:pPr>
              <w:jc w:val="right"/>
              <w:rPr>
                <w:b/>
                <w:bCs/>
                <w:color w:val="000000"/>
                <w:sz w:val="18"/>
                <w:szCs w:val="18"/>
                <w:lang w:eastAsia="tr-TR"/>
              </w:rPr>
            </w:pPr>
            <w:r w:rsidRPr="00005453">
              <w:rPr>
                <w:b/>
                <w:bCs/>
                <w:color w:val="000000"/>
                <w:sz w:val="18"/>
                <w:szCs w:val="18"/>
              </w:rPr>
              <w:t>19,434,934</w:t>
            </w:r>
          </w:p>
        </w:tc>
      </w:tr>
    </w:tbl>
    <w:p w14:paraId="512153B0" w14:textId="77C68D0E" w:rsidR="00501C76" w:rsidRPr="00005453" w:rsidRDefault="00501C76" w:rsidP="00833BD7">
      <w:pPr>
        <w:pStyle w:val="BodyTextIndent"/>
        <w:tabs>
          <w:tab w:val="left" w:pos="0"/>
        </w:tabs>
        <w:ind w:left="0" w:hanging="567"/>
        <w:jc w:val="left"/>
        <w:rPr>
          <w:spacing w:val="-6"/>
        </w:rPr>
      </w:pPr>
    </w:p>
    <w:bookmarkEnd w:id="77"/>
    <w:p w14:paraId="65CA555C" w14:textId="55D0BDFE" w:rsidR="00926F0C" w:rsidRPr="00005453" w:rsidRDefault="00990912" w:rsidP="00592DDE">
      <w:pPr>
        <w:pStyle w:val="BodyTextIndent"/>
        <w:tabs>
          <w:tab w:val="left" w:pos="709"/>
        </w:tabs>
        <w:ind w:left="93" w:hanging="660"/>
        <w:rPr>
          <w:b/>
        </w:rPr>
      </w:pPr>
      <w:r w:rsidRPr="00005453">
        <w:rPr>
          <w:b/>
        </w:rPr>
        <w:t>1.5.</w:t>
      </w:r>
      <w:r w:rsidR="0048609D" w:rsidRPr="00005453">
        <w:rPr>
          <w:b/>
        </w:rPr>
        <w:t>10</w:t>
      </w:r>
      <w:r w:rsidR="00926F0C" w:rsidRPr="00005453">
        <w:rPr>
          <w:b/>
        </w:rPr>
        <w:t>.</w:t>
      </w:r>
      <w:r w:rsidR="0048609D" w:rsidRPr="00005453">
        <w:rPr>
          <w:b/>
        </w:rPr>
        <w:t xml:space="preserve">6 </w:t>
      </w:r>
      <w:r w:rsidR="00926F0C" w:rsidRPr="00005453">
        <w:rPr>
          <w:spacing w:val="-8"/>
        </w:rPr>
        <w:t>Donuk alacaklar için hesaplanan kâr payı tahakkukları, reeskontları ve değerleme farkları ile bunların ka</w:t>
      </w:r>
      <w:r w:rsidR="00911789" w:rsidRPr="00005453">
        <w:rPr>
          <w:spacing w:val="-8"/>
        </w:rPr>
        <w:t>r</w:t>
      </w:r>
      <w:r w:rsidR="00926F0C" w:rsidRPr="00005453">
        <w:rPr>
          <w:spacing w:val="-8"/>
        </w:rPr>
        <w:t xml:space="preserve">şılıklarına </w:t>
      </w:r>
      <w:r w:rsidR="001D6FD9" w:rsidRPr="00005453">
        <w:rPr>
          <w:spacing w:val="-8"/>
        </w:rPr>
        <w:t>ilişkin     bilgiler</w:t>
      </w:r>
      <w:r w:rsidR="00926F0C" w:rsidRPr="00005453">
        <w:rPr>
          <w:spacing w:val="-8"/>
        </w:rPr>
        <w:t xml:space="preserve"> </w:t>
      </w:r>
    </w:p>
    <w:p w14:paraId="1CF35441" w14:textId="0C8C2726" w:rsidR="00592DDE" w:rsidRPr="00005453" w:rsidRDefault="00592DDE" w:rsidP="00932FED">
      <w:pPr>
        <w:pStyle w:val="BodyTextIndent"/>
        <w:tabs>
          <w:tab w:val="left" w:pos="709"/>
        </w:tabs>
        <w:ind w:left="0" w:firstLine="0"/>
        <w:rPr>
          <w:lang w:eastAsia="en-GB"/>
        </w:rPr>
      </w:pPr>
    </w:p>
    <w:tbl>
      <w:tblPr>
        <w:tblW w:w="92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526"/>
        <w:gridCol w:w="1555"/>
        <w:gridCol w:w="1555"/>
        <w:gridCol w:w="1571"/>
      </w:tblGrid>
      <w:tr w:rsidR="00DB63BA" w:rsidRPr="00005453" w14:paraId="74D00D9E" w14:textId="77777777" w:rsidTr="00614CD2">
        <w:trPr>
          <w:divId w:val="619917577"/>
          <w:trHeight w:val="234"/>
        </w:trPr>
        <w:tc>
          <w:tcPr>
            <w:tcW w:w="4526" w:type="dxa"/>
            <w:vMerge w:val="restart"/>
            <w:shd w:val="clear" w:color="auto" w:fill="auto"/>
            <w:vAlign w:val="center"/>
            <w:hideMark/>
          </w:tcPr>
          <w:p w14:paraId="443257BA" w14:textId="77777777" w:rsidR="00DB63BA" w:rsidRPr="00005453" w:rsidRDefault="00DB63BA" w:rsidP="00592DDE">
            <w:pPr>
              <w:jc w:val="both"/>
              <w:rPr>
                <w:sz w:val="18"/>
                <w:szCs w:val="18"/>
                <w:lang w:eastAsia="tr-TR"/>
              </w:rPr>
            </w:pPr>
            <w:r w:rsidRPr="00005453">
              <w:rPr>
                <w:sz w:val="18"/>
                <w:szCs w:val="18"/>
                <w:lang w:eastAsia="tr-TR"/>
              </w:rPr>
              <w:t xml:space="preserve">  </w:t>
            </w:r>
          </w:p>
          <w:p w14:paraId="30B70B60" w14:textId="5A5C5203" w:rsidR="00DB63BA" w:rsidRPr="00005453" w:rsidRDefault="00DB63BA" w:rsidP="00592DDE">
            <w:pPr>
              <w:jc w:val="both"/>
              <w:rPr>
                <w:sz w:val="18"/>
                <w:szCs w:val="18"/>
                <w:lang w:eastAsia="tr-TR"/>
              </w:rPr>
            </w:pPr>
            <w:r w:rsidRPr="00005453">
              <w:rPr>
                <w:sz w:val="18"/>
                <w:szCs w:val="18"/>
                <w:lang w:eastAsia="tr-TR"/>
              </w:rPr>
              <w:t> </w:t>
            </w:r>
          </w:p>
        </w:tc>
        <w:tc>
          <w:tcPr>
            <w:tcW w:w="1555" w:type="dxa"/>
            <w:shd w:val="clear" w:color="auto" w:fill="auto"/>
            <w:vAlign w:val="center"/>
            <w:hideMark/>
          </w:tcPr>
          <w:p w14:paraId="793C1E0A" w14:textId="77777777" w:rsidR="00DB63BA" w:rsidRPr="00005453" w:rsidRDefault="00DB63BA" w:rsidP="00592DDE">
            <w:pPr>
              <w:jc w:val="right"/>
              <w:rPr>
                <w:b/>
                <w:bCs/>
                <w:sz w:val="18"/>
                <w:szCs w:val="18"/>
                <w:lang w:eastAsia="tr-TR"/>
              </w:rPr>
            </w:pPr>
            <w:r w:rsidRPr="00005453">
              <w:rPr>
                <w:b/>
                <w:bCs/>
                <w:sz w:val="18"/>
                <w:szCs w:val="18"/>
                <w:lang w:eastAsia="tr-TR"/>
              </w:rPr>
              <w:t>III. Grup</w:t>
            </w:r>
          </w:p>
        </w:tc>
        <w:tc>
          <w:tcPr>
            <w:tcW w:w="1555" w:type="dxa"/>
            <w:shd w:val="clear" w:color="auto" w:fill="auto"/>
            <w:vAlign w:val="center"/>
            <w:hideMark/>
          </w:tcPr>
          <w:p w14:paraId="1259605E" w14:textId="77777777" w:rsidR="00DB63BA" w:rsidRPr="00005453" w:rsidRDefault="00DB63BA" w:rsidP="00592DDE">
            <w:pPr>
              <w:jc w:val="right"/>
              <w:rPr>
                <w:b/>
                <w:bCs/>
                <w:sz w:val="18"/>
                <w:szCs w:val="18"/>
                <w:lang w:eastAsia="tr-TR"/>
              </w:rPr>
            </w:pPr>
            <w:r w:rsidRPr="00005453">
              <w:rPr>
                <w:b/>
                <w:bCs/>
                <w:sz w:val="18"/>
                <w:szCs w:val="18"/>
                <w:lang w:eastAsia="tr-TR"/>
              </w:rPr>
              <w:t>IV. Grup</w:t>
            </w:r>
          </w:p>
        </w:tc>
        <w:tc>
          <w:tcPr>
            <w:tcW w:w="1571" w:type="dxa"/>
            <w:shd w:val="clear" w:color="auto" w:fill="auto"/>
            <w:vAlign w:val="center"/>
            <w:hideMark/>
          </w:tcPr>
          <w:p w14:paraId="09D2BE02" w14:textId="77777777" w:rsidR="00DB63BA" w:rsidRPr="00005453" w:rsidRDefault="00DB63BA" w:rsidP="00592DDE">
            <w:pPr>
              <w:jc w:val="right"/>
              <w:rPr>
                <w:b/>
                <w:bCs/>
                <w:sz w:val="18"/>
                <w:szCs w:val="18"/>
                <w:lang w:eastAsia="tr-TR"/>
              </w:rPr>
            </w:pPr>
            <w:r w:rsidRPr="00005453">
              <w:rPr>
                <w:b/>
                <w:bCs/>
                <w:sz w:val="18"/>
                <w:szCs w:val="18"/>
                <w:lang w:eastAsia="tr-TR"/>
              </w:rPr>
              <w:t>V. Grup</w:t>
            </w:r>
          </w:p>
        </w:tc>
      </w:tr>
      <w:tr w:rsidR="00DB63BA" w:rsidRPr="00005453" w14:paraId="22F95CED" w14:textId="77777777" w:rsidTr="00614CD2">
        <w:trPr>
          <w:divId w:val="619917577"/>
          <w:trHeight w:val="364"/>
        </w:trPr>
        <w:tc>
          <w:tcPr>
            <w:tcW w:w="4526" w:type="dxa"/>
            <w:vMerge/>
            <w:shd w:val="clear" w:color="auto" w:fill="auto"/>
            <w:vAlign w:val="center"/>
            <w:hideMark/>
          </w:tcPr>
          <w:p w14:paraId="6CA75DC2" w14:textId="0FAEE921" w:rsidR="00DB63BA" w:rsidRPr="00005453" w:rsidRDefault="00DB63BA" w:rsidP="00592DDE">
            <w:pPr>
              <w:jc w:val="both"/>
              <w:rPr>
                <w:sz w:val="18"/>
                <w:szCs w:val="18"/>
                <w:lang w:eastAsia="tr-TR"/>
              </w:rPr>
            </w:pPr>
          </w:p>
        </w:tc>
        <w:tc>
          <w:tcPr>
            <w:tcW w:w="1555" w:type="dxa"/>
            <w:shd w:val="clear" w:color="auto" w:fill="auto"/>
            <w:vAlign w:val="center"/>
            <w:hideMark/>
          </w:tcPr>
          <w:p w14:paraId="6BC4C2F3" w14:textId="77777777" w:rsidR="00DB63BA" w:rsidRPr="00005453" w:rsidRDefault="00DB63BA" w:rsidP="00592DDE">
            <w:pPr>
              <w:jc w:val="right"/>
              <w:rPr>
                <w:b/>
                <w:bCs/>
                <w:sz w:val="18"/>
                <w:szCs w:val="18"/>
                <w:lang w:eastAsia="tr-TR"/>
              </w:rPr>
            </w:pPr>
            <w:r w:rsidRPr="00005453">
              <w:rPr>
                <w:b/>
                <w:bCs/>
                <w:sz w:val="18"/>
                <w:szCs w:val="18"/>
                <w:lang w:eastAsia="tr-TR"/>
              </w:rPr>
              <w:t xml:space="preserve">Tahsil </w:t>
            </w:r>
            <w:proofErr w:type="gramStart"/>
            <w:r w:rsidRPr="00005453">
              <w:rPr>
                <w:b/>
                <w:bCs/>
                <w:sz w:val="18"/>
                <w:szCs w:val="18"/>
                <w:lang w:eastAsia="tr-TR"/>
              </w:rPr>
              <w:t>İmkanı</w:t>
            </w:r>
            <w:proofErr w:type="gramEnd"/>
            <w:r w:rsidRPr="00005453">
              <w:rPr>
                <w:b/>
                <w:bCs/>
                <w:sz w:val="18"/>
                <w:szCs w:val="18"/>
                <w:lang w:eastAsia="tr-TR"/>
              </w:rPr>
              <w:t xml:space="preserve"> Sınırlı Krediler </w:t>
            </w:r>
          </w:p>
        </w:tc>
        <w:tc>
          <w:tcPr>
            <w:tcW w:w="1555" w:type="dxa"/>
            <w:shd w:val="clear" w:color="auto" w:fill="auto"/>
            <w:vAlign w:val="center"/>
            <w:hideMark/>
          </w:tcPr>
          <w:p w14:paraId="7677DEA2" w14:textId="77777777" w:rsidR="00DB63BA" w:rsidRPr="00005453" w:rsidRDefault="00DB63BA" w:rsidP="00592DDE">
            <w:pPr>
              <w:jc w:val="right"/>
              <w:rPr>
                <w:b/>
                <w:bCs/>
                <w:sz w:val="18"/>
                <w:szCs w:val="18"/>
                <w:lang w:eastAsia="tr-TR"/>
              </w:rPr>
            </w:pPr>
            <w:r w:rsidRPr="00005453">
              <w:rPr>
                <w:b/>
                <w:bCs/>
                <w:sz w:val="18"/>
                <w:szCs w:val="18"/>
                <w:lang w:eastAsia="tr-TR"/>
              </w:rPr>
              <w:t xml:space="preserve">Tahsili Şüpheli Krediler </w:t>
            </w:r>
          </w:p>
        </w:tc>
        <w:tc>
          <w:tcPr>
            <w:tcW w:w="1571" w:type="dxa"/>
            <w:shd w:val="clear" w:color="auto" w:fill="auto"/>
            <w:vAlign w:val="center"/>
            <w:hideMark/>
          </w:tcPr>
          <w:p w14:paraId="6FA4DE84" w14:textId="77777777" w:rsidR="00DB63BA" w:rsidRPr="00005453" w:rsidRDefault="00DB63BA" w:rsidP="00592DDE">
            <w:pPr>
              <w:jc w:val="right"/>
              <w:rPr>
                <w:b/>
                <w:bCs/>
                <w:sz w:val="18"/>
                <w:szCs w:val="18"/>
                <w:lang w:eastAsia="tr-TR"/>
              </w:rPr>
            </w:pPr>
            <w:r w:rsidRPr="00005453">
              <w:rPr>
                <w:b/>
                <w:bCs/>
                <w:sz w:val="18"/>
                <w:szCs w:val="18"/>
                <w:lang w:eastAsia="tr-TR"/>
              </w:rPr>
              <w:t xml:space="preserve">Zarar Niteliğindeki Krediler </w:t>
            </w:r>
          </w:p>
        </w:tc>
      </w:tr>
      <w:tr w:rsidR="00011A88" w:rsidRPr="00005453" w14:paraId="6D1D0AEC" w14:textId="77777777" w:rsidTr="00011A88">
        <w:trPr>
          <w:divId w:val="619917577"/>
          <w:trHeight w:val="208"/>
        </w:trPr>
        <w:tc>
          <w:tcPr>
            <w:tcW w:w="4526" w:type="dxa"/>
            <w:shd w:val="clear" w:color="auto" w:fill="auto"/>
            <w:vAlign w:val="center"/>
            <w:hideMark/>
          </w:tcPr>
          <w:p w14:paraId="536EA406" w14:textId="77777777" w:rsidR="00011A88" w:rsidRPr="00005453" w:rsidRDefault="00011A88" w:rsidP="00011A88">
            <w:pPr>
              <w:jc w:val="both"/>
              <w:rPr>
                <w:b/>
                <w:bCs/>
                <w:sz w:val="18"/>
                <w:szCs w:val="18"/>
                <w:lang w:eastAsia="tr-TR"/>
              </w:rPr>
            </w:pPr>
            <w:r w:rsidRPr="00005453">
              <w:rPr>
                <w:b/>
                <w:bCs/>
                <w:sz w:val="18"/>
                <w:szCs w:val="18"/>
                <w:lang w:eastAsia="tr-TR"/>
              </w:rPr>
              <w:t>Cari Dönem (Net)</w:t>
            </w:r>
          </w:p>
        </w:tc>
        <w:tc>
          <w:tcPr>
            <w:tcW w:w="1555" w:type="dxa"/>
            <w:shd w:val="clear" w:color="auto" w:fill="auto"/>
            <w:vAlign w:val="center"/>
            <w:hideMark/>
          </w:tcPr>
          <w:p w14:paraId="56974F4C" w14:textId="51400A14" w:rsidR="00011A88" w:rsidRPr="00005453" w:rsidRDefault="00011A88" w:rsidP="00011A88">
            <w:pPr>
              <w:jc w:val="right"/>
              <w:rPr>
                <w:b/>
                <w:bCs/>
                <w:sz w:val="18"/>
                <w:szCs w:val="18"/>
                <w:lang w:eastAsia="tr-TR"/>
              </w:rPr>
            </w:pPr>
            <w:r w:rsidRPr="00005453">
              <w:rPr>
                <w:b/>
                <w:color w:val="000000"/>
                <w:sz w:val="18"/>
                <w:lang w:eastAsia="tr-TR"/>
              </w:rPr>
              <w:t>48,71</w:t>
            </w:r>
            <w:r w:rsidR="00BC57D9" w:rsidRPr="00005453">
              <w:rPr>
                <w:b/>
                <w:color w:val="000000"/>
                <w:sz w:val="18"/>
                <w:lang w:eastAsia="tr-TR"/>
              </w:rPr>
              <w:t>8</w:t>
            </w:r>
          </w:p>
        </w:tc>
        <w:tc>
          <w:tcPr>
            <w:tcW w:w="1555" w:type="dxa"/>
            <w:shd w:val="clear" w:color="auto" w:fill="auto"/>
            <w:vAlign w:val="center"/>
            <w:hideMark/>
          </w:tcPr>
          <w:p w14:paraId="05C9FDA4" w14:textId="2433CCAD" w:rsidR="00011A88" w:rsidRPr="00005453" w:rsidRDefault="00011A88" w:rsidP="00011A88">
            <w:pPr>
              <w:jc w:val="right"/>
              <w:rPr>
                <w:b/>
                <w:bCs/>
                <w:sz w:val="18"/>
                <w:szCs w:val="18"/>
                <w:lang w:eastAsia="tr-TR"/>
              </w:rPr>
            </w:pPr>
            <w:r w:rsidRPr="00005453">
              <w:rPr>
                <w:b/>
                <w:color w:val="000000"/>
                <w:sz w:val="18"/>
                <w:lang w:eastAsia="tr-TR"/>
              </w:rPr>
              <w:t>32,16</w:t>
            </w:r>
            <w:r w:rsidR="008F1D06" w:rsidRPr="00005453">
              <w:rPr>
                <w:b/>
                <w:color w:val="000000"/>
                <w:sz w:val="18"/>
                <w:lang w:eastAsia="tr-TR"/>
              </w:rPr>
              <w:t>8</w:t>
            </w:r>
          </w:p>
        </w:tc>
        <w:tc>
          <w:tcPr>
            <w:tcW w:w="1571" w:type="dxa"/>
            <w:shd w:val="clear" w:color="auto" w:fill="auto"/>
            <w:vAlign w:val="center"/>
            <w:hideMark/>
          </w:tcPr>
          <w:p w14:paraId="311426B0" w14:textId="45CC9CB3" w:rsidR="00011A88" w:rsidRPr="00005453" w:rsidRDefault="00011A88" w:rsidP="00011A88">
            <w:pPr>
              <w:jc w:val="right"/>
              <w:rPr>
                <w:b/>
                <w:bCs/>
                <w:sz w:val="18"/>
                <w:szCs w:val="18"/>
                <w:lang w:eastAsia="tr-TR"/>
              </w:rPr>
            </w:pPr>
            <w:r w:rsidRPr="00005453">
              <w:rPr>
                <w:b/>
                <w:color w:val="000000"/>
                <w:sz w:val="18"/>
                <w:lang w:eastAsia="tr-TR"/>
              </w:rPr>
              <w:t>18,05</w:t>
            </w:r>
            <w:r w:rsidR="00BC57D9" w:rsidRPr="00005453">
              <w:rPr>
                <w:b/>
                <w:color w:val="000000"/>
                <w:sz w:val="18"/>
                <w:lang w:eastAsia="tr-TR"/>
              </w:rPr>
              <w:t>9</w:t>
            </w:r>
          </w:p>
        </w:tc>
      </w:tr>
      <w:tr w:rsidR="00011A88" w:rsidRPr="00005453" w14:paraId="63FB4661" w14:textId="77777777" w:rsidTr="00011A88">
        <w:trPr>
          <w:divId w:val="619917577"/>
          <w:trHeight w:val="208"/>
        </w:trPr>
        <w:tc>
          <w:tcPr>
            <w:tcW w:w="4526" w:type="dxa"/>
            <w:shd w:val="clear" w:color="auto" w:fill="auto"/>
            <w:vAlign w:val="center"/>
            <w:hideMark/>
          </w:tcPr>
          <w:p w14:paraId="0E38E989" w14:textId="77777777" w:rsidR="00011A88" w:rsidRPr="00005453" w:rsidRDefault="00011A88" w:rsidP="00011A88">
            <w:pPr>
              <w:jc w:val="both"/>
              <w:rPr>
                <w:sz w:val="18"/>
                <w:szCs w:val="18"/>
                <w:lang w:eastAsia="tr-TR"/>
              </w:rPr>
            </w:pPr>
            <w:r w:rsidRPr="00005453">
              <w:rPr>
                <w:sz w:val="18"/>
                <w:szCs w:val="18"/>
                <w:lang w:eastAsia="tr-TR"/>
              </w:rPr>
              <w:t>Kar Payı Tahakkuk ve Reeskontları ile Değerleme Farkları</w:t>
            </w:r>
          </w:p>
        </w:tc>
        <w:tc>
          <w:tcPr>
            <w:tcW w:w="1555" w:type="dxa"/>
            <w:shd w:val="clear" w:color="auto" w:fill="auto"/>
            <w:vAlign w:val="center"/>
            <w:hideMark/>
          </w:tcPr>
          <w:p w14:paraId="3863F287" w14:textId="37142E4A" w:rsidR="00011A88" w:rsidRPr="00005453" w:rsidRDefault="00011A88" w:rsidP="00011A88">
            <w:pPr>
              <w:jc w:val="right"/>
              <w:rPr>
                <w:sz w:val="18"/>
                <w:szCs w:val="18"/>
                <w:lang w:eastAsia="tr-TR"/>
              </w:rPr>
            </w:pPr>
            <w:r w:rsidRPr="00005453">
              <w:rPr>
                <w:color w:val="000000"/>
                <w:sz w:val="18"/>
                <w:lang w:eastAsia="tr-TR"/>
              </w:rPr>
              <w:t>16</w:t>
            </w:r>
            <w:r w:rsidR="00BC57D9" w:rsidRPr="00005453">
              <w:rPr>
                <w:color w:val="000000"/>
                <w:sz w:val="18"/>
                <w:lang w:eastAsia="tr-TR"/>
              </w:rPr>
              <w:t>1,000</w:t>
            </w:r>
          </w:p>
        </w:tc>
        <w:tc>
          <w:tcPr>
            <w:tcW w:w="1555" w:type="dxa"/>
            <w:shd w:val="clear" w:color="auto" w:fill="auto"/>
            <w:vAlign w:val="center"/>
            <w:hideMark/>
          </w:tcPr>
          <w:p w14:paraId="6D5C0300" w14:textId="27358190" w:rsidR="00011A88" w:rsidRPr="00005453" w:rsidRDefault="00011A88" w:rsidP="00011A88">
            <w:pPr>
              <w:jc w:val="right"/>
              <w:rPr>
                <w:sz w:val="18"/>
                <w:szCs w:val="18"/>
                <w:lang w:eastAsia="tr-TR"/>
              </w:rPr>
            </w:pPr>
            <w:r w:rsidRPr="00005453">
              <w:rPr>
                <w:color w:val="000000"/>
                <w:sz w:val="18"/>
                <w:lang w:eastAsia="tr-TR"/>
              </w:rPr>
              <w:t>130,529</w:t>
            </w:r>
          </w:p>
        </w:tc>
        <w:tc>
          <w:tcPr>
            <w:tcW w:w="1571" w:type="dxa"/>
            <w:shd w:val="clear" w:color="auto" w:fill="auto"/>
            <w:vAlign w:val="center"/>
            <w:hideMark/>
          </w:tcPr>
          <w:p w14:paraId="7DEC0EA8" w14:textId="3FBA1353" w:rsidR="00011A88" w:rsidRPr="00005453" w:rsidRDefault="00011A88" w:rsidP="00011A88">
            <w:pPr>
              <w:jc w:val="right"/>
              <w:rPr>
                <w:sz w:val="18"/>
                <w:szCs w:val="18"/>
                <w:lang w:eastAsia="tr-TR"/>
              </w:rPr>
            </w:pPr>
            <w:r w:rsidRPr="00005453">
              <w:rPr>
                <w:color w:val="000000"/>
                <w:sz w:val="18"/>
                <w:lang w:eastAsia="tr-TR"/>
              </w:rPr>
              <w:t>380,00</w:t>
            </w:r>
            <w:r w:rsidR="00BC57D9" w:rsidRPr="00005453">
              <w:rPr>
                <w:color w:val="000000"/>
                <w:sz w:val="18"/>
                <w:lang w:eastAsia="tr-TR"/>
              </w:rPr>
              <w:t>9</w:t>
            </w:r>
          </w:p>
        </w:tc>
      </w:tr>
      <w:tr w:rsidR="00011A88" w:rsidRPr="00005453" w14:paraId="488914FE" w14:textId="77777777" w:rsidTr="00011A88">
        <w:trPr>
          <w:divId w:val="619917577"/>
          <w:trHeight w:val="208"/>
        </w:trPr>
        <w:tc>
          <w:tcPr>
            <w:tcW w:w="4526" w:type="dxa"/>
            <w:shd w:val="clear" w:color="auto" w:fill="auto"/>
            <w:vAlign w:val="center"/>
            <w:hideMark/>
          </w:tcPr>
          <w:p w14:paraId="39C7E11D" w14:textId="77777777" w:rsidR="00011A88" w:rsidRPr="00005453" w:rsidRDefault="00011A88" w:rsidP="00011A88">
            <w:pPr>
              <w:jc w:val="both"/>
              <w:rPr>
                <w:sz w:val="18"/>
                <w:szCs w:val="18"/>
                <w:lang w:eastAsia="tr-TR"/>
              </w:rPr>
            </w:pPr>
            <w:r w:rsidRPr="00005453">
              <w:rPr>
                <w:sz w:val="18"/>
                <w:szCs w:val="18"/>
                <w:lang w:eastAsia="tr-TR"/>
              </w:rPr>
              <w:t>Karşılık Tutarı (-)</w:t>
            </w:r>
          </w:p>
        </w:tc>
        <w:tc>
          <w:tcPr>
            <w:tcW w:w="1555" w:type="dxa"/>
            <w:shd w:val="clear" w:color="auto" w:fill="auto"/>
            <w:vAlign w:val="center"/>
            <w:hideMark/>
          </w:tcPr>
          <w:p w14:paraId="4413E243" w14:textId="3BCCA260" w:rsidR="00011A88" w:rsidRPr="00005453" w:rsidRDefault="00011A88" w:rsidP="00011A88">
            <w:pPr>
              <w:jc w:val="right"/>
              <w:rPr>
                <w:sz w:val="18"/>
                <w:szCs w:val="18"/>
                <w:lang w:eastAsia="tr-TR"/>
              </w:rPr>
            </w:pPr>
            <w:r w:rsidRPr="00005453">
              <w:rPr>
                <w:color w:val="000000"/>
                <w:sz w:val="18"/>
                <w:lang w:eastAsia="tr-TR"/>
              </w:rPr>
              <w:t>112,282</w:t>
            </w:r>
          </w:p>
        </w:tc>
        <w:tc>
          <w:tcPr>
            <w:tcW w:w="1555" w:type="dxa"/>
            <w:shd w:val="clear" w:color="auto" w:fill="auto"/>
            <w:vAlign w:val="center"/>
            <w:hideMark/>
          </w:tcPr>
          <w:p w14:paraId="49DBFE2E" w14:textId="586040FB" w:rsidR="00011A88" w:rsidRPr="00005453" w:rsidRDefault="00011A88" w:rsidP="00011A88">
            <w:pPr>
              <w:jc w:val="right"/>
              <w:rPr>
                <w:sz w:val="18"/>
                <w:szCs w:val="18"/>
                <w:lang w:eastAsia="tr-TR"/>
              </w:rPr>
            </w:pPr>
            <w:r w:rsidRPr="00005453">
              <w:rPr>
                <w:color w:val="000000"/>
                <w:sz w:val="18"/>
                <w:lang w:eastAsia="tr-TR"/>
              </w:rPr>
              <w:t>98,36</w:t>
            </w:r>
            <w:r w:rsidR="00BC57D9" w:rsidRPr="00005453">
              <w:rPr>
                <w:color w:val="000000"/>
                <w:sz w:val="18"/>
                <w:lang w:eastAsia="tr-TR"/>
              </w:rPr>
              <w:t>1</w:t>
            </w:r>
          </w:p>
        </w:tc>
        <w:tc>
          <w:tcPr>
            <w:tcW w:w="1571" w:type="dxa"/>
            <w:shd w:val="clear" w:color="auto" w:fill="auto"/>
            <w:vAlign w:val="center"/>
            <w:hideMark/>
          </w:tcPr>
          <w:p w14:paraId="17B2FC63" w14:textId="044AD91D" w:rsidR="00011A88" w:rsidRPr="00005453" w:rsidRDefault="00011A88" w:rsidP="00011A88">
            <w:pPr>
              <w:jc w:val="right"/>
              <w:rPr>
                <w:sz w:val="18"/>
                <w:szCs w:val="18"/>
                <w:lang w:eastAsia="tr-TR"/>
              </w:rPr>
            </w:pPr>
            <w:r w:rsidRPr="00005453">
              <w:rPr>
                <w:color w:val="000000"/>
                <w:sz w:val="18"/>
                <w:lang w:eastAsia="tr-TR"/>
              </w:rPr>
              <w:t>361,9</w:t>
            </w:r>
            <w:r w:rsidR="00BC57D9" w:rsidRPr="00005453">
              <w:rPr>
                <w:color w:val="000000"/>
                <w:sz w:val="18"/>
                <w:lang w:eastAsia="tr-TR"/>
              </w:rPr>
              <w:t>50</w:t>
            </w:r>
          </w:p>
        </w:tc>
      </w:tr>
    </w:tbl>
    <w:p w14:paraId="3B24C09A" w14:textId="50EF6F42" w:rsidR="00986221" w:rsidRPr="00005453" w:rsidRDefault="00986221" w:rsidP="00932FED">
      <w:pPr>
        <w:pStyle w:val="BodyTextIndent"/>
        <w:tabs>
          <w:tab w:val="left" w:pos="709"/>
        </w:tabs>
        <w:ind w:left="0" w:firstLine="0"/>
        <w:rPr>
          <w:b/>
        </w:rPr>
      </w:pPr>
    </w:p>
    <w:tbl>
      <w:tblPr>
        <w:tblW w:w="9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526"/>
        <w:gridCol w:w="1564"/>
        <w:gridCol w:w="1559"/>
        <w:gridCol w:w="1559"/>
      </w:tblGrid>
      <w:tr w:rsidR="00DB63BA" w:rsidRPr="00005453" w14:paraId="394D35D3" w14:textId="77777777" w:rsidTr="007F20C5">
        <w:trPr>
          <w:trHeight w:val="112"/>
        </w:trPr>
        <w:tc>
          <w:tcPr>
            <w:tcW w:w="4526" w:type="dxa"/>
            <w:vMerge w:val="restart"/>
            <w:shd w:val="clear" w:color="auto" w:fill="auto"/>
            <w:vAlign w:val="center"/>
            <w:hideMark/>
          </w:tcPr>
          <w:p w14:paraId="3254B4CE" w14:textId="77777777" w:rsidR="007F20C5" w:rsidRPr="00005453" w:rsidRDefault="00DB63BA" w:rsidP="007F20C5">
            <w:pPr>
              <w:jc w:val="both"/>
              <w:rPr>
                <w:sz w:val="18"/>
                <w:szCs w:val="18"/>
                <w:lang w:eastAsia="tr-TR"/>
              </w:rPr>
            </w:pPr>
            <w:r w:rsidRPr="00005453">
              <w:rPr>
                <w:sz w:val="18"/>
                <w:szCs w:val="18"/>
                <w:lang w:eastAsia="tr-TR"/>
              </w:rPr>
              <w:t xml:space="preserve">   </w:t>
            </w:r>
          </w:p>
          <w:p w14:paraId="4CC5693C" w14:textId="164363B4" w:rsidR="00DB63BA" w:rsidRPr="00005453" w:rsidRDefault="00DB63BA" w:rsidP="007F20C5">
            <w:pPr>
              <w:jc w:val="both"/>
              <w:rPr>
                <w:sz w:val="18"/>
                <w:szCs w:val="18"/>
                <w:lang w:eastAsia="tr-TR"/>
              </w:rPr>
            </w:pPr>
          </w:p>
        </w:tc>
        <w:tc>
          <w:tcPr>
            <w:tcW w:w="1564" w:type="dxa"/>
            <w:shd w:val="clear" w:color="auto" w:fill="auto"/>
            <w:vAlign w:val="center"/>
            <w:hideMark/>
          </w:tcPr>
          <w:p w14:paraId="4C62FDC2" w14:textId="77777777" w:rsidR="00DB63BA" w:rsidRPr="00005453" w:rsidRDefault="00DB63BA" w:rsidP="00BD329B">
            <w:pPr>
              <w:jc w:val="right"/>
              <w:rPr>
                <w:sz w:val="18"/>
                <w:szCs w:val="18"/>
                <w:lang w:eastAsia="tr-TR"/>
              </w:rPr>
            </w:pPr>
            <w:r w:rsidRPr="00005453">
              <w:rPr>
                <w:sz w:val="18"/>
                <w:szCs w:val="18"/>
                <w:lang w:eastAsia="tr-TR"/>
              </w:rPr>
              <w:t>III. Grup</w:t>
            </w:r>
          </w:p>
        </w:tc>
        <w:tc>
          <w:tcPr>
            <w:tcW w:w="1559" w:type="dxa"/>
            <w:shd w:val="clear" w:color="auto" w:fill="auto"/>
            <w:vAlign w:val="center"/>
            <w:hideMark/>
          </w:tcPr>
          <w:p w14:paraId="0CADE8F3" w14:textId="77777777" w:rsidR="00DB63BA" w:rsidRPr="00005453" w:rsidRDefault="00DB63BA" w:rsidP="00BD329B">
            <w:pPr>
              <w:jc w:val="right"/>
              <w:rPr>
                <w:sz w:val="18"/>
                <w:szCs w:val="18"/>
                <w:lang w:eastAsia="tr-TR"/>
              </w:rPr>
            </w:pPr>
            <w:r w:rsidRPr="00005453">
              <w:rPr>
                <w:sz w:val="18"/>
                <w:szCs w:val="18"/>
                <w:lang w:eastAsia="tr-TR"/>
              </w:rPr>
              <w:t>IV. Grup</w:t>
            </w:r>
          </w:p>
        </w:tc>
        <w:tc>
          <w:tcPr>
            <w:tcW w:w="1559" w:type="dxa"/>
            <w:shd w:val="clear" w:color="auto" w:fill="auto"/>
            <w:vAlign w:val="center"/>
            <w:hideMark/>
          </w:tcPr>
          <w:p w14:paraId="06CE7438" w14:textId="77777777" w:rsidR="00DB63BA" w:rsidRPr="00005453" w:rsidRDefault="00DB63BA" w:rsidP="00BD329B">
            <w:pPr>
              <w:jc w:val="right"/>
              <w:rPr>
                <w:sz w:val="18"/>
                <w:szCs w:val="18"/>
                <w:lang w:eastAsia="tr-TR"/>
              </w:rPr>
            </w:pPr>
            <w:r w:rsidRPr="00005453">
              <w:rPr>
                <w:sz w:val="18"/>
                <w:szCs w:val="18"/>
                <w:lang w:eastAsia="tr-TR"/>
              </w:rPr>
              <w:t>V. Grup</w:t>
            </w:r>
          </w:p>
        </w:tc>
      </w:tr>
      <w:tr w:rsidR="00DB63BA" w:rsidRPr="00005453" w14:paraId="7C91A5E6" w14:textId="77777777" w:rsidTr="00986D1C">
        <w:trPr>
          <w:trHeight w:val="175"/>
        </w:trPr>
        <w:tc>
          <w:tcPr>
            <w:tcW w:w="4526" w:type="dxa"/>
            <w:vMerge/>
            <w:tcBorders>
              <w:bottom w:val="single" w:sz="8" w:space="0" w:color="auto"/>
            </w:tcBorders>
            <w:shd w:val="clear" w:color="auto" w:fill="auto"/>
            <w:vAlign w:val="center"/>
            <w:hideMark/>
          </w:tcPr>
          <w:p w14:paraId="6216C34E" w14:textId="2B1D0EF2" w:rsidR="00DB63BA" w:rsidRPr="00005453" w:rsidRDefault="00DB63BA" w:rsidP="00BD329B">
            <w:pPr>
              <w:jc w:val="both"/>
              <w:rPr>
                <w:sz w:val="18"/>
                <w:szCs w:val="18"/>
                <w:lang w:eastAsia="tr-TR"/>
              </w:rPr>
            </w:pPr>
          </w:p>
        </w:tc>
        <w:tc>
          <w:tcPr>
            <w:tcW w:w="1564" w:type="dxa"/>
            <w:tcBorders>
              <w:bottom w:val="single" w:sz="8" w:space="0" w:color="auto"/>
            </w:tcBorders>
            <w:shd w:val="clear" w:color="auto" w:fill="auto"/>
            <w:vAlign w:val="center"/>
            <w:hideMark/>
          </w:tcPr>
          <w:p w14:paraId="1E4F7782" w14:textId="77777777" w:rsidR="00DB63BA" w:rsidRPr="00005453" w:rsidRDefault="00DB63BA" w:rsidP="00BD329B">
            <w:pPr>
              <w:jc w:val="right"/>
              <w:rPr>
                <w:sz w:val="18"/>
                <w:szCs w:val="18"/>
                <w:lang w:eastAsia="tr-TR"/>
              </w:rPr>
            </w:pPr>
            <w:r w:rsidRPr="00005453">
              <w:rPr>
                <w:sz w:val="18"/>
                <w:szCs w:val="18"/>
                <w:lang w:eastAsia="tr-TR"/>
              </w:rPr>
              <w:t xml:space="preserve">Tahsil </w:t>
            </w:r>
            <w:proofErr w:type="gramStart"/>
            <w:r w:rsidRPr="00005453">
              <w:rPr>
                <w:sz w:val="18"/>
                <w:szCs w:val="18"/>
                <w:lang w:eastAsia="tr-TR"/>
              </w:rPr>
              <w:t>İmkanı</w:t>
            </w:r>
            <w:proofErr w:type="gramEnd"/>
            <w:r w:rsidRPr="00005453">
              <w:rPr>
                <w:sz w:val="18"/>
                <w:szCs w:val="18"/>
                <w:lang w:eastAsia="tr-TR"/>
              </w:rPr>
              <w:t xml:space="preserve"> Sınırlı Krediler </w:t>
            </w:r>
          </w:p>
        </w:tc>
        <w:tc>
          <w:tcPr>
            <w:tcW w:w="1559" w:type="dxa"/>
            <w:tcBorders>
              <w:bottom w:val="single" w:sz="8" w:space="0" w:color="auto"/>
            </w:tcBorders>
            <w:shd w:val="clear" w:color="auto" w:fill="auto"/>
            <w:vAlign w:val="center"/>
            <w:hideMark/>
          </w:tcPr>
          <w:p w14:paraId="69A8667A" w14:textId="77777777" w:rsidR="00DB63BA" w:rsidRPr="00005453" w:rsidRDefault="00DB63BA" w:rsidP="00BD329B">
            <w:pPr>
              <w:jc w:val="right"/>
              <w:rPr>
                <w:sz w:val="18"/>
                <w:szCs w:val="18"/>
                <w:lang w:eastAsia="tr-TR"/>
              </w:rPr>
            </w:pPr>
            <w:r w:rsidRPr="00005453">
              <w:rPr>
                <w:sz w:val="18"/>
                <w:szCs w:val="18"/>
                <w:lang w:eastAsia="tr-TR"/>
              </w:rPr>
              <w:t xml:space="preserve">Tahsili Şüpheli Krediler </w:t>
            </w:r>
          </w:p>
        </w:tc>
        <w:tc>
          <w:tcPr>
            <w:tcW w:w="1559" w:type="dxa"/>
            <w:tcBorders>
              <w:bottom w:val="single" w:sz="8" w:space="0" w:color="auto"/>
            </w:tcBorders>
            <w:shd w:val="clear" w:color="auto" w:fill="auto"/>
            <w:vAlign w:val="center"/>
            <w:hideMark/>
          </w:tcPr>
          <w:p w14:paraId="7C70559F" w14:textId="77777777" w:rsidR="00DB63BA" w:rsidRPr="00005453" w:rsidRDefault="00DB63BA" w:rsidP="00BD329B">
            <w:pPr>
              <w:jc w:val="right"/>
              <w:rPr>
                <w:sz w:val="18"/>
                <w:szCs w:val="18"/>
                <w:lang w:eastAsia="tr-TR"/>
              </w:rPr>
            </w:pPr>
            <w:r w:rsidRPr="00005453">
              <w:rPr>
                <w:sz w:val="18"/>
                <w:szCs w:val="18"/>
                <w:lang w:eastAsia="tr-TR"/>
              </w:rPr>
              <w:t xml:space="preserve">Zarar Niteliğindeki Krediler </w:t>
            </w:r>
          </w:p>
        </w:tc>
      </w:tr>
      <w:tr w:rsidR="00F676AA" w:rsidRPr="00005453" w14:paraId="0E94A22F" w14:textId="77777777" w:rsidTr="00986D1C">
        <w:trPr>
          <w:trHeight w:val="206"/>
        </w:trPr>
        <w:tc>
          <w:tcPr>
            <w:tcW w:w="4526" w:type="dxa"/>
            <w:tcBorders>
              <w:left w:val="single" w:sz="8" w:space="0" w:color="auto"/>
            </w:tcBorders>
            <w:shd w:val="clear" w:color="auto" w:fill="auto"/>
            <w:vAlign w:val="center"/>
            <w:hideMark/>
          </w:tcPr>
          <w:p w14:paraId="7A96738B" w14:textId="77777777" w:rsidR="00F676AA" w:rsidRPr="00005453" w:rsidRDefault="00F676AA" w:rsidP="00F676AA">
            <w:pPr>
              <w:jc w:val="both"/>
              <w:rPr>
                <w:b/>
                <w:sz w:val="18"/>
                <w:szCs w:val="18"/>
                <w:lang w:eastAsia="tr-TR"/>
              </w:rPr>
            </w:pPr>
            <w:r w:rsidRPr="00005453">
              <w:rPr>
                <w:b/>
                <w:sz w:val="18"/>
                <w:szCs w:val="18"/>
                <w:lang w:eastAsia="tr-TR"/>
              </w:rPr>
              <w:t>Önceki Dönem (Net)</w:t>
            </w:r>
          </w:p>
        </w:tc>
        <w:tc>
          <w:tcPr>
            <w:tcW w:w="1564" w:type="dxa"/>
            <w:shd w:val="clear" w:color="auto" w:fill="auto"/>
            <w:vAlign w:val="center"/>
            <w:hideMark/>
          </w:tcPr>
          <w:p w14:paraId="78DB9999" w14:textId="3261B0A1" w:rsidR="00F676AA" w:rsidRPr="00005453" w:rsidRDefault="00F676AA" w:rsidP="00F676AA">
            <w:pPr>
              <w:jc w:val="right"/>
              <w:rPr>
                <w:b/>
                <w:sz w:val="18"/>
                <w:szCs w:val="18"/>
                <w:lang w:eastAsia="tr-TR"/>
              </w:rPr>
            </w:pPr>
            <w:r w:rsidRPr="00005453">
              <w:rPr>
                <w:b/>
                <w:sz w:val="18"/>
                <w:szCs w:val="18"/>
                <w:lang w:eastAsia="tr-TR"/>
              </w:rPr>
              <w:t>1,890</w:t>
            </w:r>
          </w:p>
        </w:tc>
        <w:tc>
          <w:tcPr>
            <w:tcW w:w="1559" w:type="dxa"/>
            <w:shd w:val="clear" w:color="auto" w:fill="auto"/>
            <w:vAlign w:val="center"/>
            <w:hideMark/>
          </w:tcPr>
          <w:p w14:paraId="1BA07766" w14:textId="6FBDC76A" w:rsidR="00F676AA" w:rsidRPr="00005453" w:rsidRDefault="00F676AA" w:rsidP="00F676AA">
            <w:pPr>
              <w:jc w:val="right"/>
              <w:rPr>
                <w:b/>
                <w:sz w:val="18"/>
                <w:szCs w:val="18"/>
                <w:lang w:eastAsia="tr-TR"/>
              </w:rPr>
            </w:pPr>
            <w:r w:rsidRPr="00005453">
              <w:rPr>
                <w:b/>
                <w:sz w:val="18"/>
                <w:szCs w:val="18"/>
                <w:lang w:eastAsia="tr-TR"/>
              </w:rPr>
              <w:t>2,924</w:t>
            </w:r>
          </w:p>
        </w:tc>
        <w:tc>
          <w:tcPr>
            <w:tcW w:w="1559" w:type="dxa"/>
            <w:shd w:val="clear" w:color="auto" w:fill="auto"/>
            <w:vAlign w:val="center"/>
            <w:hideMark/>
          </w:tcPr>
          <w:p w14:paraId="76113E6C" w14:textId="0AE5A17E" w:rsidR="00F676AA" w:rsidRPr="00005453" w:rsidRDefault="00F676AA" w:rsidP="00F676AA">
            <w:pPr>
              <w:jc w:val="right"/>
              <w:rPr>
                <w:b/>
                <w:sz w:val="18"/>
                <w:szCs w:val="18"/>
                <w:lang w:eastAsia="tr-TR"/>
              </w:rPr>
            </w:pPr>
            <w:r w:rsidRPr="00005453">
              <w:rPr>
                <w:b/>
                <w:sz w:val="18"/>
                <w:szCs w:val="18"/>
                <w:lang w:eastAsia="tr-TR"/>
              </w:rPr>
              <w:t>2,171</w:t>
            </w:r>
          </w:p>
        </w:tc>
      </w:tr>
      <w:tr w:rsidR="00F676AA" w:rsidRPr="00005453" w14:paraId="0F8E6521" w14:textId="77777777" w:rsidTr="00986D1C">
        <w:trPr>
          <w:trHeight w:val="252"/>
        </w:trPr>
        <w:tc>
          <w:tcPr>
            <w:tcW w:w="4526" w:type="dxa"/>
            <w:tcBorders>
              <w:left w:val="single" w:sz="8" w:space="0" w:color="auto"/>
            </w:tcBorders>
            <w:shd w:val="clear" w:color="auto" w:fill="auto"/>
            <w:vAlign w:val="center"/>
            <w:hideMark/>
          </w:tcPr>
          <w:p w14:paraId="771E9CBE" w14:textId="77777777" w:rsidR="00F676AA" w:rsidRPr="00005453" w:rsidRDefault="00F676AA" w:rsidP="00F676AA">
            <w:pPr>
              <w:jc w:val="both"/>
              <w:rPr>
                <w:sz w:val="18"/>
                <w:szCs w:val="18"/>
                <w:lang w:eastAsia="tr-TR"/>
              </w:rPr>
            </w:pPr>
            <w:r w:rsidRPr="00005453">
              <w:rPr>
                <w:sz w:val="18"/>
                <w:szCs w:val="18"/>
                <w:lang w:eastAsia="tr-TR"/>
              </w:rPr>
              <w:t>Kar Payı Tahakkuk ve Reeskontları ile Değerleme Farkları</w:t>
            </w:r>
          </w:p>
        </w:tc>
        <w:tc>
          <w:tcPr>
            <w:tcW w:w="1564" w:type="dxa"/>
            <w:shd w:val="clear" w:color="auto" w:fill="auto"/>
            <w:vAlign w:val="center"/>
            <w:hideMark/>
          </w:tcPr>
          <w:p w14:paraId="6C7023A6" w14:textId="5E0EEDCE" w:rsidR="00F676AA" w:rsidRPr="00005453" w:rsidRDefault="00F676AA" w:rsidP="00F676AA">
            <w:pPr>
              <w:jc w:val="right"/>
              <w:rPr>
                <w:sz w:val="18"/>
                <w:szCs w:val="18"/>
                <w:lang w:eastAsia="tr-TR"/>
              </w:rPr>
            </w:pPr>
            <w:r w:rsidRPr="00005453">
              <w:rPr>
                <w:sz w:val="18"/>
                <w:szCs w:val="18"/>
                <w:lang w:eastAsia="tr-TR"/>
              </w:rPr>
              <w:t>6,698</w:t>
            </w:r>
          </w:p>
        </w:tc>
        <w:tc>
          <w:tcPr>
            <w:tcW w:w="1559" w:type="dxa"/>
            <w:shd w:val="clear" w:color="auto" w:fill="auto"/>
            <w:vAlign w:val="center"/>
            <w:hideMark/>
          </w:tcPr>
          <w:p w14:paraId="2514969C" w14:textId="29F2810C" w:rsidR="00F676AA" w:rsidRPr="00005453" w:rsidRDefault="00F676AA" w:rsidP="00F676AA">
            <w:pPr>
              <w:jc w:val="right"/>
              <w:rPr>
                <w:sz w:val="18"/>
                <w:szCs w:val="18"/>
                <w:lang w:eastAsia="tr-TR"/>
              </w:rPr>
            </w:pPr>
            <w:r w:rsidRPr="00005453">
              <w:rPr>
                <w:sz w:val="18"/>
                <w:szCs w:val="18"/>
                <w:lang w:eastAsia="tr-TR"/>
              </w:rPr>
              <w:t>17,502</w:t>
            </w:r>
          </w:p>
        </w:tc>
        <w:tc>
          <w:tcPr>
            <w:tcW w:w="1559" w:type="dxa"/>
            <w:shd w:val="clear" w:color="auto" w:fill="auto"/>
            <w:vAlign w:val="center"/>
            <w:hideMark/>
          </w:tcPr>
          <w:p w14:paraId="21E2A987" w14:textId="4F98BC46" w:rsidR="00F676AA" w:rsidRPr="00005453" w:rsidRDefault="00F676AA" w:rsidP="00F676AA">
            <w:pPr>
              <w:jc w:val="right"/>
              <w:rPr>
                <w:sz w:val="18"/>
                <w:szCs w:val="18"/>
                <w:lang w:eastAsia="tr-TR"/>
              </w:rPr>
            </w:pPr>
            <w:r w:rsidRPr="00005453">
              <w:rPr>
                <w:sz w:val="18"/>
                <w:szCs w:val="18"/>
                <w:lang w:eastAsia="tr-TR"/>
              </w:rPr>
              <w:t>324,809</w:t>
            </w:r>
          </w:p>
        </w:tc>
      </w:tr>
      <w:tr w:rsidR="00F676AA" w:rsidRPr="00005453" w14:paraId="48BA5E4C" w14:textId="77777777" w:rsidTr="00986D1C">
        <w:trPr>
          <w:trHeight w:val="206"/>
        </w:trPr>
        <w:tc>
          <w:tcPr>
            <w:tcW w:w="4526" w:type="dxa"/>
            <w:tcBorders>
              <w:left w:val="single" w:sz="8" w:space="0" w:color="auto"/>
            </w:tcBorders>
            <w:shd w:val="clear" w:color="auto" w:fill="auto"/>
            <w:vAlign w:val="center"/>
            <w:hideMark/>
          </w:tcPr>
          <w:p w14:paraId="64CA6898" w14:textId="77777777" w:rsidR="00F676AA" w:rsidRPr="00005453" w:rsidRDefault="00F676AA" w:rsidP="00F676AA">
            <w:pPr>
              <w:jc w:val="both"/>
              <w:rPr>
                <w:sz w:val="18"/>
                <w:szCs w:val="18"/>
                <w:lang w:eastAsia="tr-TR"/>
              </w:rPr>
            </w:pPr>
            <w:r w:rsidRPr="00005453">
              <w:rPr>
                <w:sz w:val="18"/>
                <w:szCs w:val="18"/>
                <w:lang w:eastAsia="tr-TR"/>
              </w:rPr>
              <w:t>Karşılık Tutarı (-)</w:t>
            </w:r>
          </w:p>
        </w:tc>
        <w:tc>
          <w:tcPr>
            <w:tcW w:w="1564" w:type="dxa"/>
            <w:shd w:val="clear" w:color="auto" w:fill="auto"/>
            <w:vAlign w:val="center"/>
            <w:hideMark/>
          </w:tcPr>
          <w:p w14:paraId="441B859B" w14:textId="6FB799C9" w:rsidR="00F676AA" w:rsidRPr="00005453" w:rsidRDefault="00F676AA" w:rsidP="00F676AA">
            <w:pPr>
              <w:jc w:val="right"/>
              <w:rPr>
                <w:sz w:val="18"/>
                <w:szCs w:val="18"/>
                <w:lang w:eastAsia="tr-TR"/>
              </w:rPr>
            </w:pPr>
            <w:r w:rsidRPr="00005453">
              <w:rPr>
                <w:sz w:val="18"/>
                <w:szCs w:val="18"/>
                <w:lang w:eastAsia="tr-TR"/>
              </w:rPr>
              <w:t>4,808</w:t>
            </w:r>
          </w:p>
        </w:tc>
        <w:tc>
          <w:tcPr>
            <w:tcW w:w="1559" w:type="dxa"/>
            <w:shd w:val="clear" w:color="auto" w:fill="auto"/>
            <w:vAlign w:val="center"/>
            <w:hideMark/>
          </w:tcPr>
          <w:p w14:paraId="6EE164D8" w14:textId="4ABABD5A" w:rsidR="00F676AA" w:rsidRPr="00005453" w:rsidRDefault="00F676AA" w:rsidP="00F676AA">
            <w:pPr>
              <w:jc w:val="right"/>
              <w:rPr>
                <w:sz w:val="18"/>
                <w:szCs w:val="18"/>
                <w:lang w:eastAsia="tr-TR"/>
              </w:rPr>
            </w:pPr>
            <w:r w:rsidRPr="00005453">
              <w:rPr>
                <w:sz w:val="18"/>
                <w:szCs w:val="18"/>
                <w:lang w:eastAsia="tr-TR"/>
              </w:rPr>
              <w:t>14,578</w:t>
            </w:r>
          </w:p>
        </w:tc>
        <w:tc>
          <w:tcPr>
            <w:tcW w:w="1559" w:type="dxa"/>
            <w:shd w:val="clear" w:color="auto" w:fill="auto"/>
            <w:vAlign w:val="center"/>
            <w:hideMark/>
          </w:tcPr>
          <w:p w14:paraId="57E6B4FE" w14:textId="67481757" w:rsidR="00F676AA" w:rsidRPr="00005453" w:rsidRDefault="00F676AA" w:rsidP="00F676AA">
            <w:pPr>
              <w:jc w:val="right"/>
              <w:rPr>
                <w:sz w:val="18"/>
                <w:szCs w:val="18"/>
                <w:lang w:eastAsia="tr-TR"/>
              </w:rPr>
            </w:pPr>
            <w:r w:rsidRPr="00005453">
              <w:rPr>
                <w:sz w:val="18"/>
                <w:szCs w:val="18"/>
                <w:lang w:eastAsia="tr-TR"/>
              </w:rPr>
              <w:t>322,638</w:t>
            </w:r>
          </w:p>
        </w:tc>
      </w:tr>
    </w:tbl>
    <w:p w14:paraId="4D548F98" w14:textId="4C84AA8B" w:rsidR="000F044D" w:rsidRPr="00005453" w:rsidRDefault="000F044D" w:rsidP="00932FED">
      <w:pPr>
        <w:pStyle w:val="BodyTextIndent"/>
        <w:tabs>
          <w:tab w:val="left" w:pos="709"/>
        </w:tabs>
        <w:ind w:left="0" w:firstLine="0"/>
        <w:rPr>
          <w:b/>
        </w:rPr>
      </w:pPr>
    </w:p>
    <w:p w14:paraId="0BFDA865" w14:textId="7B4AC2D5" w:rsidR="00BD26C1" w:rsidRPr="00005453" w:rsidRDefault="00B43D83" w:rsidP="00A023D6">
      <w:pPr>
        <w:pStyle w:val="BodyTextIndent"/>
        <w:tabs>
          <w:tab w:val="left" w:pos="709"/>
        </w:tabs>
        <w:ind w:left="0" w:hanging="567"/>
      </w:pPr>
      <w:r w:rsidRPr="00005453">
        <w:rPr>
          <w:b/>
        </w:rPr>
        <w:t>1.5.</w:t>
      </w:r>
      <w:r w:rsidR="00C95B75" w:rsidRPr="00005453">
        <w:rPr>
          <w:b/>
        </w:rPr>
        <w:t>10</w:t>
      </w:r>
      <w:r w:rsidR="0048609D" w:rsidRPr="00005453">
        <w:rPr>
          <w:b/>
        </w:rPr>
        <w:t>.7.</w:t>
      </w:r>
      <w:r w:rsidR="0048609D" w:rsidRPr="00005453">
        <w:t xml:space="preserve"> </w:t>
      </w:r>
      <w:r w:rsidRPr="00005453">
        <w:t>Zarar niteliğindeki krediler ve diğer alacaklar için tasfiye politikasının ana hatları</w:t>
      </w:r>
    </w:p>
    <w:p w14:paraId="1D31D301" w14:textId="77777777" w:rsidR="007E73EB" w:rsidRPr="00005453" w:rsidRDefault="007E73EB" w:rsidP="00B17EF5">
      <w:pPr>
        <w:autoSpaceDE w:val="0"/>
        <w:autoSpaceDN w:val="0"/>
        <w:adjustRightInd w:val="0"/>
        <w:ind w:left="540"/>
        <w:jc w:val="both"/>
        <w:rPr>
          <w:rFonts w:eastAsia="Arial Unicode MS"/>
          <w:sz w:val="16"/>
          <w:szCs w:val="16"/>
        </w:rPr>
      </w:pPr>
    </w:p>
    <w:p w14:paraId="4D14440E" w14:textId="63A0DF72" w:rsidR="00501C76" w:rsidRPr="00005453" w:rsidRDefault="00501C76" w:rsidP="00501C76">
      <w:pPr>
        <w:autoSpaceDE w:val="0"/>
        <w:autoSpaceDN w:val="0"/>
        <w:adjustRightInd w:val="0"/>
        <w:jc w:val="both"/>
        <w:rPr>
          <w:rFonts w:eastAsia="Arial Unicode MS"/>
          <w:spacing w:val="-4"/>
        </w:rPr>
      </w:pPr>
      <w:r w:rsidRPr="00005453">
        <w:rPr>
          <w:rFonts w:eastAsia="Arial Unicode MS"/>
          <w:spacing w:val="-4"/>
        </w:rPr>
        <w:t xml:space="preserve">1 Kasım 2006 tarih 26333 sayılı </w:t>
      </w:r>
      <w:proofErr w:type="gramStart"/>
      <w:r w:rsidRPr="00005453">
        <w:rPr>
          <w:rFonts w:eastAsia="Arial Unicode MS"/>
          <w:spacing w:val="-4"/>
        </w:rPr>
        <w:t>Resmi</w:t>
      </w:r>
      <w:proofErr w:type="gramEnd"/>
      <w:r w:rsidRPr="00005453">
        <w:rPr>
          <w:rFonts w:eastAsia="Arial Unicode MS"/>
          <w:spacing w:val="-4"/>
        </w:rPr>
        <w:t xml:space="preserve"> Gazete’de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w:t>
      </w:r>
      <w:r w:rsidR="0057313A" w:rsidRPr="00005453">
        <w:rPr>
          <w:rFonts w:eastAsia="Arial Unicode MS"/>
          <w:spacing w:val="-4"/>
        </w:rPr>
        <w:t>kin edilmektedir. Banka’nın 20</w:t>
      </w:r>
      <w:r w:rsidR="00E52F8F" w:rsidRPr="00005453">
        <w:rPr>
          <w:rFonts w:eastAsia="Arial Unicode MS"/>
          <w:spacing w:val="-4"/>
        </w:rPr>
        <w:t>2</w:t>
      </w:r>
      <w:r w:rsidR="00F676AA" w:rsidRPr="00005453">
        <w:rPr>
          <w:rFonts w:eastAsia="Arial Unicode MS"/>
          <w:spacing w:val="-4"/>
        </w:rPr>
        <w:t>4</w:t>
      </w:r>
      <w:r w:rsidRPr="00005453">
        <w:rPr>
          <w:rFonts w:eastAsia="Arial Unicode MS"/>
          <w:spacing w:val="-4"/>
        </w:rPr>
        <w:t xml:space="preserve"> yılı içerisinde kayıtlardan silinen alacağı </w:t>
      </w:r>
      <w:r w:rsidR="00C93A73" w:rsidRPr="00005453">
        <w:rPr>
          <w:rFonts w:eastAsia="Arial Unicode MS"/>
          <w:spacing w:val="-4"/>
        </w:rPr>
        <w:t>1,392</w:t>
      </w:r>
      <w:r w:rsidR="00402081" w:rsidRPr="00005453">
        <w:rPr>
          <w:rFonts w:eastAsia="Arial Unicode MS"/>
          <w:spacing w:val="-4"/>
        </w:rPr>
        <w:t>,</w:t>
      </w:r>
      <w:r w:rsidR="00C93A73" w:rsidRPr="00005453">
        <w:rPr>
          <w:rFonts w:eastAsia="Arial Unicode MS"/>
          <w:spacing w:val="-4"/>
        </w:rPr>
        <w:t>133</w:t>
      </w:r>
      <w:r w:rsidR="00402081" w:rsidRPr="00005453">
        <w:rPr>
          <w:rFonts w:eastAsia="Arial Unicode MS"/>
          <w:spacing w:val="-4"/>
        </w:rPr>
        <w:t xml:space="preserve"> TL’dir</w:t>
      </w:r>
      <w:r w:rsidRPr="00005453">
        <w:rPr>
          <w:rFonts w:eastAsia="Arial Unicode MS"/>
          <w:spacing w:val="-4"/>
        </w:rPr>
        <w:t xml:space="preserve"> (31 Aralık 20</w:t>
      </w:r>
      <w:r w:rsidR="00592DDE" w:rsidRPr="00005453">
        <w:rPr>
          <w:rFonts w:eastAsia="Arial Unicode MS"/>
          <w:spacing w:val="-4"/>
        </w:rPr>
        <w:t>2</w:t>
      </w:r>
      <w:r w:rsidR="00F676AA" w:rsidRPr="00005453">
        <w:rPr>
          <w:rFonts w:eastAsia="Arial Unicode MS"/>
          <w:spacing w:val="-4"/>
        </w:rPr>
        <w:t>3</w:t>
      </w:r>
      <w:r w:rsidRPr="00005453">
        <w:rPr>
          <w:rFonts w:eastAsia="Arial Unicode MS"/>
          <w:spacing w:val="-4"/>
        </w:rPr>
        <w:t xml:space="preserve"> –</w:t>
      </w:r>
      <w:r w:rsidR="00402081" w:rsidRPr="00005453">
        <w:rPr>
          <w:rFonts w:eastAsia="Arial Unicode MS"/>
          <w:spacing w:val="-4"/>
        </w:rPr>
        <w:t xml:space="preserve"> </w:t>
      </w:r>
      <w:r w:rsidR="00F676AA" w:rsidRPr="00005453">
        <w:rPr>
          <w:rFonts w:eastAsia="Arial Unicode MS"/>
          <w:spacing w:val="-4"/>
        </w:rPr>
        <w:t>547,245 TL)</w:t>
      </w:r>
      <w:r w:rsidR="001D00C5">
        <w:rPr>
          <w:rFonts w:eastAsia="Arial Unicode MS"/>
          <w:spacing w:val="-4"/>
        </w:rPr>
        <w:t>.</w:t>
      </w:r>
    </w:p>
    <w:p w14:paraId="7D1B19EC" w14:textId="60879963" w:rsidR="006B4EDA" w:rsidRPr="00005453" w:rsidRDefault="00501C76" w:rsidP="00501C76">
      <w:pPr>
        <w:autoSpaceDE w:val="0"/>
        <w:autoSpaceDN w:val="0"/>
        <w:adjustRightInd w:val="0"/>
        <w:jc w:val="both"/>
        <w:rPr>
          <w:rFonts w:eastAsia="Arial Unicode MS"/>
          <w:sz w:val="16"/>
          <w:szCs w:val="16"/>
        </w:rPr>
      </w:pPr>
      <w:r w:rsidRPr="00005453">
        <w:rPr>
          <w:rFonts w:eastAsia="Arial Unicode MS"/>
        </w:rPr>
        <w:tab/>
      </w:r>
    </w:p>
    <w:p w14:paraId="13BE7C3B" w14:textId="56AAAFF4" w:rsidR="006B4EDA" w:rsidRPr="00005453" w:rsidRDefault="008E42CD" w:rsidP="008E42CD">
      <w:pPr>
        <w:tabs>
          <w:tab w:val="num" w:pos="3060"/>
        </w:tabs>
        <w:autoSpaceDE w:val="0"/>
        <w:autoSpaceDN w:val="0"/>
        <w:adjustRightInd w:val="0"/>
        <w:ind w:hanging="567"/>
      </w:pPr>
      <w:r w:rsidRPr="00005453">
        <w:rPr>
          <w:b/>
        </w:rPr>
        <w:t>1</w:t>
      </w:r>
      <w:r w:rsidR="00E253C8" w:rsidRPr="00005453">
        <w:rPr>
          <w:b/>
        </w:rPr>
        <w:t>.</w:t>
      </w:r>
      <w:r w:rsidRPr="00005453">
        <w:rPr>
          <w:b/>
        </w:rPr>
        <w:t>5.1</w:t>
      </w:r>
      <w:r w:rsidR="00C95B75" w:rsidRPr="00005453">
        <w:rPr>
          <w:b/>
        </w:rPr>
        <w:t>1</w:t>
      </w:r>
      <w:r w:rsidR="0048609D" w:rsidRPr="00005453">
        <w:rPr>
          <w:b/>
        </w:rPr>
        <w:t>.</w:t>
      </w:r>
      <w:r w:rsidR="00E253C8" w:rsidRPr="00005453">
        <w:tab/>
      </w:r>
      <w:r w:rsidR="0048609D" w:rsidRPr="00005453">
        <w:t xml:space="preserve"> </w:t>
      </w:r>
      <w:r w:rsidR="00E253C8" w:rsidRPr="00005453">
        <w:t xml:space="preserve">Aktiften silme politikasına ilişkin </w:t>
      </w:r>
      <w:r w:rsidR="00032F11" w:rsidRPr="00005453">
        <w:t>açıklamalar</w:t>
      </w:r>
    </w:p>
    <w:p w14:paraId="2E57F714" w14:textId="77777777" w:rsidR="001E4705" w:rsidRPr="00005453" w:rsidRDefault="001E4705" w:rsidP="008E42CD">
      <w:pPr>
        <w:tabs>
          <w:tab w:val="num" w:pos="3060"/>
        </w:tabs>
        <w:autoSpaceDE w:val="0"/>
        <w:autoSpaceDN w:val="0"/>
        <w:adjustRightInd w:val="0"/>
        <w:ind w:hanging="567"/>
        <w:rPr>
          <w:sz w:val="10"/>
          <w:szCs w:val="10"/>
        </w:rPr>
      </w:pPr>
    </w:p>
    <w:p w14:paraId="3A9709E4" w14:textId="77777777" w:rsidR="001E4705" w:rsidRPr="00005453" w:rsidRDefault="001E4705" w:rsidP="001E4705">
      <w:pPr>
        <w:autoSpaceDE w:val="0"/>
        <w:autoSpaceDN w:val="0"/>
        <w:adjustRightInd w:val="0"/>
        <w:jc w:val="both"/>
        <w:rPr>
          <w:rFonts w:eastAsia="Arial Unicode MS"/>
        </w:rPr>
      </w:pPr>
      <w:r w:rsidRPr="00005453">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05BE3D53" w14:textId="77777777" w:rsidR="00AC28B2" w:rsidRPr="00005453" w:rsidRDefault="00AC28B2" w:rsidP="004C4FA7">
      <w:pPr>
        <w:autoSpaceDE w:val="0"/>
        <w:autoSpaceDN w:val="0"/>
        <w:adjustRightInd w:val="0"/>
        <w:rPr>
          <w:rFonts w:eastAsia="Arial Unicode MS"/>
          <w:sz w:val="14"/>
        </w:rPr>
      </w:pPr>
    </w:p>
    <w:p w14:paraId="74E62E2B" w14:textId="77777777" w:rsidR="00346550" w:rsidRPr="00005453" w:rsidRDefault="00346550">
      <w:pPr>
        <w:rPr>
          <w:b/>
          <w:bCs/>
          <w:iCs/>
        </w:rPr>
      </w:pPr>
      <w:r w:rsidRPr="00005453">
        <w:rPr>
          <w:b/>
          <w:bCs/>
          <w:iCs/>
        </w:rPr>
        <w:br w:type="page"/>
      </w:r>
    </w:p>
    <w:p w14:paraId="0A0716F7" w14:textId="37C753CA" w:rsidR="00AC28B2" w:rsidRPr="00005453" w:rsidRDefault="005E4E22" w:rsidP="00B74DDB">
      <w:pPr>
        <w:autoSpaceDE w:val="0"/>
        <w:autoSpaceDN w:val="0"/>
        <w:adjustRightInd w:val="0"/>
        <w:ind w:hanging="567"/>
        <w:rPr>
          <w:b/>
          <w:bCs/>
          <w:iCs/>
        </w:rPr>
      </w:pPr>
      <w:r w:rsidRPr="00005453">
        <w:rPr>
          <w:b/>
          <w:bCs/>
          <w:iCs/>
        </w:rPr>
        <w:lastRenderedPageBreak/>
        <w:t>1.6</w:t>
      </w:r>
      <w:r w:rsidRPr="00005453">
        <w:rPr>
          <w:b/>
          <w:bCs/>
          <w:iCs/>
        </w:rPr>
        <w:tab/>
      </w:r>
      <w:r w:rsidR="00343017" w:rsidRPr="00005453">
        <w:rPr>
          <w:b/>
          <w:bCs/>
          <w:iCs/>
        </w:rPr>
        <w:t>İtfa edilmiş maliyeti ile ölçülen</w:t>
      </w:r>
      <w:r w:rsidR="00413077" w:rsidRPr="00005453">
        <w:rPr>
          <w:b/>
          <w:bCs/>
          <w:iCs/>
        </w:rPr>
        <w:t xml:space="preserve"> diğer</w:t>
      </w:r>
      <w:r w:rsidR="00343017" w:rsidRPr="00005453">
        <w:rPr>
          <w:b/>
          <w:bCs/>
          <w:iCs/>
        </w:rPr>
        <w:t xml:space="preserve"> finansal varlıklar</w:t>
      </w:r>
    </w:p>
    <w:p w14:paraId="4D08B222" w14:textId="77777777" w:rsidR="0030639E" w:rsidRPr="00005453" w:rsidRDefault="0030639E" w:rsidP="00B74DDB">
      <w:pPr>
        <w:autoSpaceDE w:val="0"/>
        <w:autoSpaceDN w:val="0"/>
        <w:adjustRightInd w:val="0"/>
        <w:ind w:hanging="567"/>
        <w:rPr>
          <w:b/>
          <w:bCs/>
          <w:iCs/>
          <w:sz w:val="16"/>
        </w:rPr>
      </w:pPr>
    </w:p>
    <w:p w14:paraId="61A6A93A" w14:textId="3EABD8D0" w:rsidR="0055403E" w:rsidRPr="00005453" w:rsidRDefault="0055403E" w:rsidP="0055403E">
      <w:pPr>
        <w:autoSpaceDE w:val="0"/>
        <w:autoSpaceDN w:val="0"/>
        <w:adjustRightInd w:val="0"/>
        <w:ind w:hanging="567"/>
        <w:rPr>
          <w:b/>
          <w:bCs/>
          <w:iCs/>
        </w:rPr>
      </w:pPr>
      <w:r w:rsidRPr="00005453">
        <w:rPr>
          <w:b/>
          <w:bCs/>
          <w:iCs/>
        </w:rPr>
        <w:t>1.6.1</w:t>
      </w:r>
      <w:r w:rsidRPr="00005453">
        <w:rPr>
          <w:b/>
          <w:bCs/>
          <w:iCs/>
        </w:rPr>
        <w:tab/>
        <w:t xml:space="preserve">İtfa </w:t>
      </w:r>
      <w:r w:rsidR="00A6645B" w:rsidRPr="00005453">
        <w:rPr>
          <w:b/>
          <w:bCs/>
          <w:iCs/>
        </w:rPr>
        <w:t>edilmiş maliyeti ile ölçülen diğer finansal varlıklara ilişkin bilgiler</w:t>
      </w:r>
    </w:p>
    <w:p w14:paraId="0A787D7F" w14:textId="0CCA6B57" w:rsidR="00592DDE" w:rsidRPr="00005453" w:rsidRDefault="00592DDE" w:rsidP="00592DDE">
      <w:pPr>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5631"/>
        <w:gridCol w:w="1776"/>
        <w:gridCol w:w="1776"/>
      </w:tblGrid>
      <w:tr w:rsidR="00592DDE" w:rsidRPr="00005453" w14:paraId="6D711BE7" w14:textId="77777777" w:rsidTr="00592DDE">
        <w:trPr>
          <w:divId w:val="118035665"/>
          <w:trHeight w:val="261"/>
        </w:trPr>
        <w:tc>
          <w:tcPr>
            <w:tcW w:w="5631" w:type="dxa"/>
            <w:tcBorders>
              <w:top w:val="double" w:sz="6" w:space="0" w:color="auto"/>
              <w:left w:val="nil"/>
              <w:bottom w:val="single" w:sz="8" w:space="0" w:color="auto"/>
              <w:right w:val="nil"/>
            </w:tcBorders>
            <w:shd w:val="clear" w:color="auto" w:fill="auto"/>
            <w:vAlign w:val="center"/>
            <w:hideMark/>
          </w:tcPr>
          <w:p w14:paraId="137A89AF" w14:textId="062D1482" w:rsidR="00592DDE" w:rsidRPr="00005453" w:rsidRDefault="00592DDE" w:rsidP="00592DDE">
            <w:pPr>
              <w:jc w:val="both"/>
              <w:rPr>
                <w:sz w:val="18"/>
                <w:szCs w:val="18"/>
                <w:lang w:eastAsia="tr-TR"/>
              </w:rPr>
            </w:pPr>
            <w:r w:rsidRPr="00005453">
              <w:rPr>
                <w:sz w:val="18"/>
                <w:szCs w:val="18"/>
                <w:lang w:eastAsia="tr-TR"/>
              </w:rPr>
              <w:t> </w:t>
            </w:r>
          </w:p>
        </w:tc>
        <w:tc>
          <w:tcPr>
            <w:tcW w:w="1776" w:type="dxa"/>
            <w:tcBorders>
              <w:top w:val="double" w:sz="6" w:space="0" w:color="auto"/>
              <w:left w:val="nil"/>
              <w:bottom w:val="single" w:sz="8" w:space="0" w:color="auto"/>
              <w:right w:val="nil"/>
            </w:tcBorders>
            <w:shd w:val="clear" w:color="auto" w:fill="auto"/>
            <w:vAlign w:val="center"/>
            <w:hideMark/>
          </w:tcPr>
          <w:p w14:paraId="5F00C6BB" w14:textId="77777777" w:rsidR="00592DDE" w:rsidRPr="00005453" w:rsidRDefault="00592DDE" w:rsidP="00592DDE">
            <w:pPr>
              <w:jc w:val="right"/>
              <w:rPr>
                <w:b/>
                <w:bCs/>
                <w:sz w:val="18"/>
                <w:szCs w:val="18"/>
                <w:lang w:eastAsia="tr-TR"/>
              </w:rPr>
            </w:pPr>
            <w:r w:rsidRPr="00005453">
              <w:rPr>
                <w:b/>
                <w:bCs/>
                <w:sz w:val="18"/>
                <w:szCs w:val="18"/>
                <w:lang w:eastAsia="tr-TR"/>
              </w:rPr>
              <w:t>Cari Dönem</w:t>
            </w:r>
          </w:p>
        </w:tc>
        <w:tc>
          <w:tcPr>
            <w:tcW w:w="1776" w:type="dxa"/>
            <w:tcBorders>
              <w:top w:val="double" w:sz="6" w:space="0" w:color="auto"/>
              <w:left w:val="nil"/>
              <w:bottom w:val="single" w:sz="8" w:space="0" w:color="auto"/>
              <w:right w:val="nil"/>
            </w:tcBorders>
            <w:shd w:val="clear" w:color="auto" w:fill="auto"/>
            <w:vAlign w:val="center"/>
            <w:hideMark/>
          </w:tcPr>
          <w:p w14:paraId="3BD4CAB3" w14:textId="77777777" w:rsidR="00592DDE" w:rsidRPr="00005453" w:rsidRDefault="00592DDE" w:rsidP="00592DDE">
            <w:pPr>
              <w:jc w:val="right"/>
              <w:rPr>
                <w:b/>
                <w:bCs/>
                <w:sz w:val="18"/>
                <w:szCs w:val="18"/>
                <w:lang w:eastAsia="tr-TR"/>
              </w:rPr>
            </w:pPr>
            <w:r w:rsidRPr="00005453">
              <w:rPr>
                <w:b/>
                <w:bCs/>
                <w:sz w:val="18"/>
                <w:szCs w:val="18"/>
                <w:lang w:eastAsia="tr-TR"/>
              </w:rPr>
              <w:t>Önceki Dönem</w:t>
            </w:r>
          </w:p>
        </w:tc>
      </w:tr>
      <w:tr w:rsidR="00126698" w:rsidRPr="00005453" w14:paraId="12AF2626" w14:textId="77777777" w:rsidTr="00126698">
        <w:trPr>
          <w:divId w:val="118035665"/>
          <w:trHeight w:val="232"/>
        </w:trPr>
        <w:tc>
          <w:tcPr>
            <w:tcW w:w="5631" w:type="dxa"/>
            <w:tcBorders>
              <w:top w:val="nil"/>
              <w:left w:val="nil"/>
              <w:bottom w:val="nil"/>
              <w:right w:val="nil"/>
            </w:tcBorders>
            <w:shd w:val="clear" w:color="auto" w:fill="auto"/>
            <w:vAlign w:val="center"/>
            <w:hideMark/>
          </w:tcPr>
          <w:p w14:paraId="274855D2" w14:textId="77777777" w:rsidR="00126698" w:rsidRPr="00005453" w:rsidRDefault="00126698" w:rsidP="00126698">
            <w:pPr>
              <w:jc w:val="both"/>
              <w:rPr>
                <w:b/>
                <w:bCs/>
                <w:sz w:val="18"/>
                <w:szCs w:val="18"/>
                <w:lang w:eastAsia="tr-TR"/>
              </w:rPr>
            </w:pPr>
            <w:r w:rsidRPr="00005453">
              <w:rPr>
                <w:b/>
                <w:bCs/>
                <w:sz w:val="18"/>
                <w:szCs w:val="18"/>
                <w:lang w:eastAsia="tr-TR"/>
              </w:rPr>
              <w:t>Borçlanma Senetleri</w:t>
            </w:r>
          </w:p>
        </w:tc>
        <w:tc>
          <w:tcPr>
            <w:tcW w:w="1776" w:type="dxa"/>
            <w:tcBorders>
              <w:top w:val="nil"/>
              <w:left w:val="nil"/>
              <w:bottom w:val="nil"/>
              <w:right w:val="nil"/>
            </w:tcBorders>
            <w:shd w:val="clear" w:color="auto" w:fill="auto"/>
            <w:vAlign w:val="center"/>
            <w:hideMark/>
          </w:tcPr>
          <w:p w14:paraId="1D111828" w14:textId="15029E9E" w:rsidR="00126698" w:rsidRPr="00005453" w:rsidRDefault="00126698" w:rsidP="00126698">
            <w:pPr>
              <w:jc w:val="right"/>
              <w:rPr>
                <w:b/>
                <w:bCs/>
                <w:sz w:val="18"/>
                <w:szCs w:val="18"/>
                <w:lang w:eastAsia="tr-TR"/>
              </w:rPr>
            </w:pPr>
            <w:r>
              <w:rPr>
                <w:b/>
                <w:bCs/>
                <w:sz w:val="18"/>
                <w:szCs w:val="18"/>
              </w:rPr>
              <w:t>56,023,875</w:t>
            </w:r>
          </w:p>
        </w:tc>
        <w:tc>
          <w:tcPr>
            <w:tcW w:w="1776" w:type="dxa"/>
            <w:tcBorders>
              <w:top w:val="nil"/>
              <w:left w:val="nil"/>
              <w:bottom w:val="nil"/>
              <w:right w:val="nil"/>
            </w:tcBorders>
            <w:shd w:val="clear" w:color="auto" w:fill="auto"/>
            <w:vAlign w:val="center"/>
            <w:hideMark/>
          </w:tcPr>
          <w:p w14:paraId="33D87938" w14:textId="40BF7CFC" w:rsidR="00126698" w:rsidRPr="00005453" w:rsidRDefault="00126698" w:rsidP="00126698">
            <w:pPr>
              <w:jc w:val="right"/>
              <w:rPr>
                <w:b/>
                <w:bCs/>
                <w:sz w:val="18"/>
                <w:szCs w:val="18"/>
                <w:lang w:eastAsia="tr-TR"/>
              </w:rPr>
            </w:pPr>
            <w:r w:rsidRPr="00005453">
              <w:rPr>
                <w:b/>
                <w:bCs/>
                <w:sz w:val="18"/>
                <w:szCs w:val="18"/>
              </w:rPr>
              <w:t>63,203,644</w:t>
            </w:r>
          </w:p>
        </w:tc>
      </w:tr>
      <w:tr w:rsidR="00126698" w:rsidRPr="00005453" w14:paraId="43029EDD" w14:textId="77777777" w:rsidTr="00126698">
        <w:trPr>
          <w:divId w:val="118035665"/>
          <w:trHeight w:val="232"/>
        </w:trPr>
        <w:tc>
          <w:tcPr>
            <w:tcW w:w="5631" w:type="dxa"/>
            <w:tcBorders>
              <w:top w:val="nil"/>
              <w:left w:val="nil"/>
              <w:bottom w:val="nil"/>
              <w:right w:val="nil"/>
            </w:tcBorders>
            <w:shd w:val="clear" w:color="auto" w:fill="auto"/>
            <w:vAlign w:val="center"/>
            <w:hideMark/>
          </w:tcPr>
          <w:p w14:paraId="64573A3F" w14:textId="46DA3FE6" w:rsidR="00126698" w:rsidRPr="00005453" w:rsidRDefault="00126698" w:rsidP="00126698">
            <w:pPr>
              <w:jc w:val="both"/>
              <w:rPr>
                <w:sz w:val="18"/>
                <w:szCs w:val="18"/>
                <w:lang w:eastAsia="tr-TR"/>
              </w:rPr>
            </w:pPr>
            <w:r w:rsidRPr="00005453">
              <w:rPr>
                <w:sz w:val="18"/>
                <w:szCs w:val="18"/>
                <w:lang w:eastAsia="tr-TR"/>
              </w:rPr>
              <w:t>Borsada İşlem Görenler</w:t>
            </w:r>
          </w:p>
        </w:tc>
        <w:tc>
          <w:tcPr>
            <w:tcW w:w="1776" w:type="dxa"/>
            <w:tcBorders>
              <w:top w:val="nil"/>
              <w:left w:val="nil"/>
              <w:bottom w:val="nil"/>
              <w:right w:val="nil"/>
            </w:tcBorders>
            <w:shd w:val="clear" w:color="auto" w:fill="auto"/>
            <w:vAlign w:val="center"/>
            <w:hideMark/>
          </w:tcPr>
          <w:p w14:paraId="016276CE" w14:textId="2FDD3414" w:rsidR="00126698" w:rsidRPr="00005453" w:rsidRDefault="00126698" w:rsidP="00126698">
            <w:pPr>
              <w:jc w:val="right"/>
              <w:rPr>
                <w:sz w:val="18"/>
                <w:szCs w:val="18"/>
                <w:lang w:eastAsia="tr-TR"/>
              </w:rPr>
            </w:pPr>
            <w:r>
              <w:rPr>
                <w:sz w:val="18"/>
                <w:szCs w:val="18"/>
              </w:rPr>
              <w:t>56,023,875</w:t>
            </w:r>
          </w:p>
        </w:tc>
        <w:tc>
          <w:tcPr>
            <w:tcW w:w="1776" w:type="dxa"/>
            <w:tcBorders>
              <w:top w:val="nil"/>
              <w:left w:val="nil"/>
              <w:bottom w:val="nil"/>
              <w:right w:val="nil"/>
            </w:tcBorders>
            <w:shd w:val="clear" w:color="auto" w:fill="auto"/>
            <w:vAlign w:val="center"/>
            <w:hideMark/>
          </w:tcPr>
          <w:p w14:paraId="3974703D" w14:textId="38FEA925" w:rsidR="00126698" w:rsidRPr="00005453" w:rsidRDefault="00126698" w:rsidP="00126698">
            <w:pPr>
              <w:jc w:val="right"/>
              <w:rPr>
                <w:sz w:val="18"/>
                <w:szCs w:val="18"/>
                <w:lang w:eastAsia="tr-TR"/>
              </w:rPr>
            </w:pPr>
            <w:r w:rsidRPr="00005453">
              <w:rPr>
                <w:sz w:val="18"/>
                <w:szCs w:val="18"/>
              </w:rPr>
              <w:t>63,203,644</w:t>
            </w:r>
          </w:p>
        </w:tc>
      </w:tr>
      <w:tr w:rsidR="00823D41" w:rsidRPr="00005453" w14:paraId="67385B2F" w14:textId="77777777" w:rsidTr="00823D41">
        <w:trPr>
          <w:divId w:val="118035665"/>
          <w:trHeight w:val="232"/>
        </w:trPr>
        <w:tc>
          <w:tcPr>
            <w:tcW w:w="5631" w:type="dxa"/>
            <w:tcBorders>
              <w:top w:val="nil"/>
              <w:left w:val="nil"/>
              <w:bottom w:val="nil"/>
              <w:right w:val="nil"/>
            </w:tcBorders>
            <w:shd w:val="clear" w:color="auto" w:fill="auto"/>
            <w:vAlign w:val="center"/>
            <w:hideMark/>
          </w:tcPr>
          <w:p w14:paraId="56956D42" w14:textId="77777777" w:rsidR="00823D41" w:rsidRPr="00005453" w:rsidRDefault="00823D41" w:rsidP="00823D41">
            <w:pPr>
              <w:jc w:val="both"/>
              <w:rPr>
                <w:sz w:val="18"/>
                <w:szCs w:val="18"/>
                <w:lang w:eastAsia="tr-TR"/>
              </w:rPr>
            </w:pPr>
            <w:r w:rsidRPr="00005453">
              <w:rPr>
                <w:sz w:val="18"/>
                <w:szCs w:val="18"/>
                <w:lang w:eastAsia="tr-TR"/>
              </w:rPr>
              <w:t>Borsada İşlem Görmeyenler</w:t>
            </w:r>
          </w:p>
        </w:tc>
        <w:tc>
          <w:tcPr>
            <w:tcW w:w="1776" w:type="dxa"/>
            <w:tcBorders>
              <w:top w:val="nil"/>
              <w:left w:val="nil"/>
              <w:bottom w:val="nil"/>
              <w:right w:val="nil"/>
            </w:tcBorders>
            <w:shd w:val="clear" w:color="auto" w:fill="auto"/>
            <w:vAlign w:val="center"/>
            <w:hideMark/>
          </w:tcPr>
          <w:p w14:paraId="3D8D692C" w14:textId="1E77C379" w:rsidR="00823D41" w:rsidRPr="00005453" w:rsidRDefault="00823D41" w:rsidP="00823D41">
            <w:pPr>
              <w:jc w:val="right"/>
              <w:rPr>
                <w:sz w:val="18"/>
                <w:szCs w:val="18"/>
                <w:lang w:eastAsia="tr-TR"/>
              </w:rPr>
            </w:pPr>
            <w:r w:rsidRPr="00005453">
              <w:rPr>
                <w:sz w:val="18"/>
                <w:szCs w:val="18"/>
              </w:rPr>
              <w:t>-</w:t>
            </w:r>
          </w:p>
        </w:tc>
        <w:tc>
          <w:tcPr>
            <w:tcW w:w="1776" w:type="dxa"/>
            <w:tcBorders>
              <w:top w:val="nil"/>
              <w:left w:val="nil"/>
              <w:bottom w:val="nil"/>
              <w:right w:val="nil"/>
            </w:tcBorders>
            <w:shd w:val="clear" w:color="auto" w:fill="auto"/>
            <w:vAlign w:val="center"/>
            <w:hideMark/>
          </w:tcPr>
          <w:p w14:paraId="7508A1E9" w14:textId="05FD5803" w:rsidR="00823D41" w:rsidRPr="00005453" w:rsidRDefault="00823D41" w:rsidP="00823D41">
            <w:pPr>
              <w:jc w:val="right"/>
              <w:rPr>
                <w:sz w:val="18"/>
                <w:szCs w:val="18"/>
                <w:lang w:eastAsia="tr-TR"/>
              </w:rPr>
            </w:pPr>
            <w:r w:rsidRPr="00005453">
              <w:rPr>
                <w:sz w:val="18"/>
                <w:szCs w:val="18"/>
              </w:rPr>
              <w:t>-</w:t>
            </w:r>
          </w:p>
        </w:tc>
      </w:tr>
      <w:tr w:rsidR="00823D41" w:rsidRPr="00005453" w14:paraId="465A02E0" w14:textId="77777777" w:rsidTr="00126698">
        <w:trPr>
          <w:divId w:val="118035665"/>
          <w:trHeight w:val="247"/>
        </w:trPr>
        <w:tc>
          <w:tcPr>
            <w:tcW w:w="5631" w:type="dxa"/>
            <w:tcBorders>
              <w:top w:val="single" w:sz="8" w:space="0" w:color="auto"/>
              <w:left w:val="nil"/>
              <w:bottom w:val="double" w:sz="6" w:space="0" w:color="auto"/>
              <w:right w:val="nil"/>
            </w:tcBorders>
            <w:shd w:val="clear" w:color="auto" w:fill="auto"/>
            <w:vAlign w:val="center"/>
            <w:hideMark/>
          </w:tcPr>
          <w:p w14:paraId="25A4AC1A" w14:textId="77777777" w:rsidR="00823D41" w:rsidRPr="00005453" w:rsidRDefault="00823D41" w:rsidP="00823D41">
            <w:pPr>
              <w:jc w:val="both"/>
              <w:rPr>
                <w:b/>
                <w:bCs/>
                <w:sz w:val="18"/>
                <w:szCs w:val="18"/>
                <w:lang w:eastAsia="tr-TR"/>
              </w:rPr>
            </w:pPr>
            <w:r w:rsidRPr="00005453">
              <w:rPr>
                <w:b/>
                <w:bCs/>
                <w:sz w:val="18"/>
                <w:szCs w:val="18"/>
                <w:lang w:eastAsia="tr-TR"/>
              </w:rPr>
              <w:t>Toplam</w:t>
            </w:r>
          </w:p>
        </w:tc>
        <w:tc>
          <w:tcPr>
            <w:tcW w:w="1776" w:type="dxa"/>
            <w:tcBorders>
              <w:top w:val="single" w:sz="8" w:space="0" w:color="auto"/>
              <w:left w:val="nil"/>
              <w:bottom w:val="double" w:sz="6" w:space="0" w:color="auto"/>
              <w:right w:val="nil"/>
            </w:tcBorders>
            <w:shd w:val="clear" w:color="auto" w:fill="auto"/>
            <w:vAlign w:val="center"/>
            <w:hideMark/>
          </w:tcPr>
          <w:p w14:paraId="396B3298" w14:textId="170CB567" w:rsidR="00823D41" w:rsidRPr="00005453" w:rsidRDefault="00126698" w:rsidP="00126698">
            <w:pPr>
              <w:jc w:val="right"/>
              <w:rPr>
                <w:b/>
                <w:bCs/>
                <w:sz w:val="18"/>
                <w:szCs w:val="18"/>
                <w:lang w:eastAsia="tr-TR"/>
              </w:rPr>
            </w:pPr>
            <w:r>
              <w:rPr>
                <w:b/>
                <w:bCs/>
                <w:sz w:val="18"/>
                <w:szCs w:val="18"/>
              </w:rPr>
              <w:t>56,023,875</w:t>
            </w:r>
          </w:p>
        </w:tc>
        <w:tc>
          <w:tcPr>
            <w:tcW w:w="1776" w:type="dxa"/>
            <w:tcBorders>
              <w:top w:val="single" w:sz="8" w:space="0" w:color="auto"/>
              <w:left w:val="nil"/>
              <w:bottom w:val="double" w:sz="6" w:space="0" w:color="auto"/>
              <w:right w:val="nil"/>
            </w:tcBorders>
            <w:shd w:val="clear" w:color="auto" w:fill="auto"/>
            <w:vAlign w:val="center"/>
            <w:hideMark/>
          </w:tcPr>
          <w:p w14:paraId="6080C031" w14:textId="0FDCDC74" w:rsidR="00823D41" w:rsidRPr="00005453" w:rsidRDefault="00823D41" w:rsidP="00823D41">
            <w:pPr>
              <w:jc w:val="right"/>
              <w:rPr>
                <w:b/>
                <w:bCs/>
                <w:sz w:val="18"/>
                <w:szCs w:val="18"/>
                <w:lang w:eastAsia="tr-TR"/>
              </w:rPr>
            </w:pPr>
            <w:r w:rsidRPr="00005453">
              <w:rPr>
                <w:b/>
                <w:bCs/>
                <w:sz w:val="18"/>
                <w:szCs w:val="18"/>
              </w:rPr>
              <w:t>63,155,338</w:t>
            </w:r>
          </w:p>
        </w:tc>
      </w:tr>
    </w:tbl>
    <w:p w14:paraId="789CEF4B" w14:textId="0A201B77" w:rsidR="0055403E" w:rsidRPr="00005453" w:rsidRDefault="0055403E" w:rsidP="0055403E">
      <w:pPr>
        <w:autoSpaceDE w:val="0"/>
        <w:autoSpaceDN w:val="0"/>
        <w:adjustRightInd w:val="0"/>
        <w:ind w:hanging="567"/>
        <w:rPr>
          <w:b/>
          <w:bCs/>
          <w:iCs/>
          <w:sz w:val="16"/>
        </w:rPr>
      </w:pPr>
    </w:p>
    <w:p w14:paraId="36B7182C" w14:textId="3B96489C" w:rsidR="00592DDE" w:rsidRPr="00005453" w:rsidRDefault="00211AAF" w:rsidP="00592DDE">
      <w:pPr>
        <w:autoSpaceDE w:val="0"/>
        <w:autoSpaceDN w:val="0"/>
        <w:adjustRightInd w:val="0"/>
        <w:ind w:hanging="567"/>
        <w:rPr>
          <w:sz w:val="12"/>
          <w:lang w:eastAsia="en-GB"/>
        </w:rPr>
      </w:pPr>
      <w:bookmarkStart w:id="78" w:name="_Hlk157185185"/>
      <w:r w:rsidRPr="00005453">
        <w:rPr>
          <w:b/>
          <w:bCs/>
          <w:iCs/>
        </w:rPr>
        <w:t>1.6.2</w:t>
      </w:r>
      <w:r w:rsidRPr="00005453">
        <w:rPr>
          <w:b/>
          <w:bCs/>
          <w:iCs/>
        </w:rPr>
        <w:tab/>
        <w:t xml:space="preserve">İtfa </w:t>
      </w:r>
      <w:r w:rsidR="00A6645B" w:rsidRPr="00005453">
        <w:rPr>
          <w:b/>
          <w:bCs/>
          <w:iCs/>
        </w:rPr>
        <w:t>edilmiş maliyeti ile ölçülen diğer finansal varlıkların yıl içerisindeki hareketleri</w:t>
      </w:r>
      <w:r w:rsidRPr="00005453">
        <w:rPr>
          <w:b/>
          <w:bCs/>
          <w:iCs/>
        </w:rPr>
        <w:br/>
      </w:r>
    </w:p>
    <w:tbl>
      <w:tblPr>
        <w:tblW w:w="9194" w:type="dxa"/>
        <w:tblCellMar>
          <w:left w:w="70" w:type="dxa"/>
          <w:right w:w="70" w:type="dxa"/>
        </w:tblCellMar>
        <w:tblLook w:val="04A0" w:firstRow="1" w:lastRow="0" w:firstColumn="1" w:lastColumn="0" w:noHBand="0" w:noVBand="1"/>
      </w:tblPr>
      <w:tblGrid>
        <w:gridCol w:w="5611"/>
        <w:gridCol w:w="1810"/>
        <w:gridCol w:w="1773"/>
      </w:tblGrid>
      <w:tr w:rsidR="00592DDE" w:rsidRPr="00005453" w14:paraId="4F511927" w14:textId="77777777" w:rsidTr="00844A96">
        <w:trPr>
          <w:divId w:val="628240449"/>
          <w:trHeight w:val="267"/>
        </w:trPr>
        <w:tc>
          <w:tcPr>
            <w:tcW w:w="5611" w:type="dxa"/>
            <w:tcBorders>
              <w:top w:val="double" w:sz="6" w:space="0" w:color="auto"/>
              <w:left w:val="nil"/>
              <w:bottom w:val="single" w:sz="8" w:space="0" w:color="auto"/>
              <w:right w:val="nil"/>
            </w:tcBorders>
            <w:shd w:val="clear" w:color="auto" w:fill="auto"/>
            <w:vAlign w:val="center"/>
            <w:hideMark/>
          </w:tcPr>
          <w:p w14:paraId="3824DCE7" w14:textId="4C8573C5" w:rsidR="00592DDE" w:rsidRPr="00005453" w:rsidRDefault="00592DDE" w:rsidP="00592DDE">
            <w:pPr>
              <w:jc w:val="both"/>
              <w:rPr>
                <w:sz w:val="18"/>
                <w:szCs w:val="18"/>
                <w:lang w:eastAsia="tr-TR"/>
              </w:rPr>
            </w:pPr>
            <w:r w:rsidRPr="00005453">
              <w:rPr>
                <w:sz w:val="18"/>
                <w:szCs w:val="18"/>
                <w:lang w:eastAsia="tr-TR"/>
              </w:rPr>
              <w:t> </w:t>
            </w:r>
          </w:p>
        </w:tc>
        <w:tc>
          <w:tcPr>
            <w:tcW w:w="1810" w:type="dxa"/>
            <w:tcBorders>
              <w:top w:val="double" w:sz="6" w:space="0" w:color="auto"/>
              <w:left w:val="nil"/>
              <w:bottom w:val="single" w:sz="8" w:space="0" w:color="auto"/>
              <w:right w:val="nil"/>
            </w:tcBorders>
            <w:shd w:val="clear" w:color="auto" w:fill="auto"/>
            <w:vAlign w:val="center"/>
            <w:hideMark/>
          </w:tcPr>
          <w:p w14:paraId="793B5571" w14:textId="77777777" w:rsidR="00592DDE" w:rsidRPr="00005453" w:rsidRDefault="00592DDE" w:rsidP="00592DDE">
            <w:pPr>
              <w:jc w:val="right"/>
              <w:rPr>
                <w:b/>
                <w:bCs/>
                <w:sz w:val="18"/>
                <w:szCs w:val="18"/>
                <w:lang w:eastAsia="tr-TR"/>
              </w:rPr>
            </w:pPr>
            <w:r w:rsidRPr="00005453">
              <w:rPr>
                <w:b/>
                <w:bCs/>
                <w:sz w:val="18"/>
                <w:szCs w:val="18"/>
                <w:lang w:eastAsia="tr-TR"/>
              </w:rPr>
              <w:t>Cari Dönem</w:t>
            </w:r>
          </w:p>
        </w:tc>
        <w:tc>
          <w:tcPr>
            <w:tcW w:w="1773" w:type="dxa"/>
            <w:tcBorders>
              <w:top w:val="double" w:sz="6" w:space="0" w:color="auto"/>
              <w:left w:val="nil"/>
              <w:bottom w:val="single" w:sz="8" w:space="0" w:color="auto"/>
              <w:right w:val="nil"/>
            </w:tcBorders>
            <w:shd w:val="clear" w:color="auto" w:fill="auto"/>
            <w:vAlign w:val="center"/>
            <w:hideMark/>
          </w:tcPr>
          <w:p w14:paraId="7449D3D9" w14:textId="77777777" w:rsidR="00592DDE" w:rsidRPr="00005453" w:rsidRDefault="00592DDE" w:rsidP="00592DDE">
            <w:pPr>
              <w:jc w:val="right"/>
              <w:rPr>
                <w:b/>
                <w:bCs/>
                <w:sz w:val="18"/>
                <w:szCs w:val="18"/>
                <w:lang w:eastAsia="tr-TR"/>
              </w:rPr>
            </w:pPr>
            <w:r w:rsidRPr="00005453">
              <w:rPr>
                <w:b/>
                <w:bCs/>
                <w:sz w:val="18"/>
                <w:szCs w:val="18"/>
                <w:lang w:eastAsia="tr-TR"/>
              </w:rPr>
              <w:t>Önceki Dönem</w:t>
            </w:r>
          </w:p>
        </w:tc>
      </w:tr>
      <w:tr w:rsidR="00823D41" w:rsidRPr="00005453" w14:paraId="64EEF000" w14:textId="77777777" w:rsidTr="006A7F64">
        <w:trPr>
          <w:divId w:val="628240449"/>
          <w:trHeight w:val="237"/>
        </w:trPr>
        <w:tc>
          <w:tcPr>
            <w:tcW w:w="5611" w:type="dxa"/>
            <w:tcBorders>
              <w:top w:val="nil"/>
              <w:left w:val="nil"/>
              <w:bottom w:val="nil"/>
              <w:right w:val="nil"/>
            </w:tcBorders>
            <w:shd w:val="clear" w:color="auto" w:fill="auto"/>
            <w:vAlign w:val="center"/>
            <w:hideMark/>
          </w:tcPr>
          <w:p w14:paraId="753EC79A" w14:textId="30DC5253" w:rsidR="00823D41" w:rsidRPr="00005453" w:rsidRDefault="00823D41" w:rsidP="00823D41">
            <w:pPr>
              <w:rPr>
                <w:b/>
                <w:bCs/>
                <w:sz w:val="18"/>
                <w:szCs w:val="18"/>
                <w:lang w:eastAsia="tr-TR"/>
              </w:rPr>
            </w:pPr>
            <w:r w:rsidRPr="00005453">
              <w:rPr>
                <w:b/>
                <w:sz w:val="18"/>
                <w:szCs w:val="18"/>
              </w:rPr>
              <w:t>Dönem Başındaki Değer</w:t>
            </w:r>
          </w:p>
        </w:tc>
        <w:tc>
          <w:tcPr>
            <w:tcW w:w="1810" w:type="dxa"/>
            <w:tcBorders>
              <w:top w:val="nil"/>
              <w:left w:val="nil"/>
              <w:bottom w:val="nil"/>
              <w:right w:val="nil"/>
            </w:tcBorders>
            <w:shd w:val="clear" w:color="auto" w:fill="auto"/>
            <w:vAlign w:val="center"/>
            <w:hideMark/>
          </w:tcPr>
          <w:p w14:paraId="047C685E" w14:textId="6767D38A" w:rsidR="00823D41" w:rsidRPr="00005453" w:rsidRDefault="00823D41" w:rsidP="006A7F64">
            <w:pPr>
              <w:jc w:val="right"/>
              <w:rPr>
                <w:b/>
                <w:bCs/>
                <w:sz w:val="18"/>
                <w:szCs w:val="18"/>
                <w:lang w:eastAsia="tr-TR"/>
              </w:rPr>
            </w:pPr>
            <w:r w:rsidRPr="00005453">
              <w:rPr>
                <w:b/>
                <w:sz w:val="18"/>
                <w:szCs w:val="18"/>
              </w:rPr>
              <w:t>63,203,644</w:t>
            </w:r>
          </w:p>
        </w:tc>
        <w:tc>
          <w:tcPr>
            <w:tcW w:w="1773" w:type="dxa"/>
            <w:tcBorders>
              <w:top w:val="nil"/>
              <w:left w:val="nil"/>
              <w:bottom w:val="nil"/>
              <w:right w:val="nil"/>
            </w:tcBorders>
            <w:shd w:val="clear" w:color="auto" w:fill="auto"/>
            <w:vAlign w:val="center"/>
            <w:hideMark/>
          </w:tcPr>
          <w:p w14:paraId="33BC96B8" w14:textId="2AD52F07" w:rsidR="00823D41" w:rsidRPr="00005453" w:rsidRDefault="00823D41" w:rsidP="006A7F64">
            <w:pPr>
              <w:jc w:val="right"/>
              <w:rPr>
                <w:b/>
                <w:bCs/>
                <w:sz w:val="18"/>
                <w:szCs w:val="18"/>
                <w:lang w:eastAsia="tr-TR"/>
              </w:rPr>
            </w:pPr>
            <w:r w:rsidRPr="00005453">
              <w:rPr>
                <w:b/>
                <w:sz w:val="18"/>
                <w:szCs w:val="18"/>
              </w:rPr>
              <w:t>21,678,735</w:t>
            </w:r>
          </w:p>
        </w:tc>
      </w:tr>
      <w:tr w:rsidR="00823D41" w:rsidRPr="00005453" w14:paraId="13CA0BC5" w14:textId="77777777" w:rsidTr="006A7F64">
        <w:trPr>
          <w:divId w:val="628240449"/>
          <w:trHeight w:val="237"/>
        </w:trPr>
        <w:tc>
          <w:tcPr>
            <w:tcW w:w="5611" w:type="dxa"/>
            <w:tcBorders>
              <w:top w:val="nil"/>
              <w:left w:val="nil"/>
              <w:bottom w:val="nil"/>
              <w:right w:val="nil"/>
            </w:tcBorders>
            <w:shd w:val="clear" w:color="auto" w:fill="auto"/>
            <w:vAlign w:val="center"/>
            <w:hideMark/>
          </w:tcPr>
          <w:p w14:paraId="3D7A2410" w14:textId="65B6805A" w:rsidR="00823D41" w:rsidRPr="00005453" w:rsidRDefault="00823D41" w:rsidP="00823D41">
            <w:pPr>
              <w:rPr>
                <w:sz w:val="18"/>
                <w:szCs w:val="18"/>
                <w:lang w:eastAsia="tr-TR"/>
              </w:rPr>
            </w:pPr>
            <w:r w:rsidRPr="00005453">
              <w:rPr>
                <w:sz w:val="18"/>
                <w:szCs w:val="18"/>
              </w:rPr>
              <w:t>Parasal Varlıklarda Meydana Gelen Kur Farkları</w:t>
            </w:r>
          </w:p>
        </w:tc>
        <w:tc>
          <w:tcPr>
            <w:tcW w:w="1810" w:type="dxa"/>
            <w:tcBorders>
              <w:top w:val="nil"/>
              <w:left w:val="nil"/>
              <w:bottom w:val="nil"/>
              <w:right w:val="nil"/>
            </w:tcBorders>
            <w:shd w:val="clear" w:color="auto" w:fill="auto"/>
            <w:vAlign w:val="center"/>
            <w:hideMark/>
          </w:tcPr>
          <w:p w14:paraId="11C66184" w14:textId="355C90A1" w:rsidR="00823D41" w:rsidRPr="00005453" w:rsidRDefault="00823D41" w:rsidP="006A7F64">
            <w:pPr>
              <w:jc w:val="right"/>
              <w:rPr>
                <w:sz w:val="18"/>
                <w:szCs w:val="18"/>
                <w:lang w:eastAsia="tr-TR"/>
              </w:rPr>
            </w:pPr>
            <w:r w:rsidRPr="00005453">
              <w:rPr>
                <w:sz w:val="18"/>
                <w:szCs w:val="18"/>
              </w:rPr>
              <w:t>4,127,728</w:t>
            </w:r>
          </w:p>
        </w:tc>
        <w:tc>
          <w:tcPr>
            <w:tcW w:w="1773" w:type="dxa"/>
            <w:tcBorders>
              <w:top w:val="nil"/>
              <w:left w:val="nil"/>
              <w:bottom w:val="nil"/>
              <w:right w:val="nil"/>
            </w:tcBorders>
            <w:shd w:val="clear" w:color="auto" w:fill="auto"/>
            <w:vAlign w:val="center"/>
            <w:hideMark/>
          </w:tcPr>
          <w:p w14:paraId="0297C76B" w14:textId="155E1668" w:rsidR="00823D41" w:rsidRPr="00005453" w:rsidRDefault="00823D41" w:rsidP="006A7F64">
            <w:pPr>
              <w:jc w:val="right"/>
              <w:rPr>
                <w:sz w:val="18"/>
                <w:szCs w:val="18"/>
                <w:lang w:eastAsia="tr-TR"/>
              </w:rPr>
            </w:pPr>
            <w:r w:rsidRPr="00005453">
              <w:rPr>
                <w:sz w:val="18"/>
                <w:szCs w:val="18"/>
              </w:rPr>
              <w:t>6,872,911</w:t>
            </w:r>
          </w:p>
        </w:tc>
      </w:tr>
      <w:tr w:rsidR="00823D41" w:rsidRPr="00005453" w14:paraId="465BBC90" w14:textId="77777777" w:rsidTr="006A7F64">
        <w:trPr>
          <w:divId w:val="628240449"/>
          <w:trHeight w:val="237"/>
        </w:trPr>
        <w:tc>
          <w:tcPr>
            <w:tcW w:w="5611" w:type="dxa"/>
            <w:tcBorders>
              <w:top w:val="nil"/>
              <w:left w:val="nil"/>
              <w:bottom w:val="nil"/>
              <w:right w:val="nil"/>
            </w:tcBorders>
            <w:shd w:val="clear" w:color="auto" w:fill="auto"/>
            <w:vAlign w:val="center"/>
            <w:hideMark/>
          </w:tcPr>
          <w:p w14:paraId="49324B60" w14:textId="77BC5ADB" w:rsidR="00823D41" w:rsidRPr="00005453" w:rsidRDefault="00823D41" w:rsidP="00823D41">
            <w:pPr>
              <w:rPr>
                <w:sz w:val="18"/>
                <w:szCs w:val="18"/>
                <w:lang w:eastAsia="tr-TR"/>
              </w:rPr>
            </w:pPr>
            <w:r w:rsidRPr="00005453">
              <w:rPr>
                <w:sz w:val="18"/>
                <w:szCs w:val="18"/>
              </w:rPr>
              <w:t>Yıl içindeki Alımlar</w:t>
            </w:r>
          </w:p>
        </w:tc>
        <w:tc>
          <w:tcPr>
            <w:tcW w:w="1810" w:type="dxa"/>
            <w:tcBorders>
              <w:top w:val="nil"/>
              <w:left w:val="nil"/>
              <w:bottom w:val="nil"/>
              <w:right w:val="nil"/>
            </w:tcBorders>
            <w:shd w:val="clear" w:color="auto" w:fill="auto"/>
            <w:vAlign w:val="center"/>
            <w:hideMark/>
          </w:tcPr>
          <w:p w14:paraId="2982854E" w14:textId="1F3CDA3A" w:rsidR="00823D41" w:rsidRPr="00005453" w:rsidRDefault="00823D41" w:rsidP="006A7F64">
            <w:pPr>
              <w:jc w:val="right"/>
              <w:rPr>
                <w:sz w:val="18"/>
                <w:szCs w:val="18"/>
                <w:lang w:eastAsia="tr-TR"/>
              </w:rPr>
            </w:pPr>
            <w:r w:rsidRPr="00005453">
              <w:rPr>
                <w:sz w:val="18"/>
                <w:szCs w:val="18"/>
              </w:rPr>
              <w:t>3,660,000</w:t>
            </w:r>
          </w:p>
        </w:tc>
        <w:tc>
          <w:tcPr>
            <w:tcW w:w="1773" w:type="dxa"/>
            <w:tcBorders>
              <w:top w:val="nil"/>
              <w:left w:val="nil"/>
              <w:bottom w:val="nil"/>
              <w:right w:val="nil"/>
            </w:tcBorders>
            <w:shd w:val="clear" w:color="auto" w:fill="auto"/>
            <w:vAlign w:val="center"/>
            <w:hideMark/>
          </w:tcPr>
          <w:p w14:paraId="0F40DC9A" w14:textId="4EDD5A50" w:rsidR="00823D41" w:rsidRPr="00005453" w:rsidRDefault="00823D41" w:rsidP="006A7F64">
            <w:pPr>
              <w:jc w:val="right"/>
              <w:rPr>
                <w:sz w:val="18"/>
                <w:szCs w:val="18"/>
                <w:lang w:eastAsia="tr-TR"/>
              </w:rPr>
            </w:pPr>
            <w:r w:rsidRPr="00005453">
              <w:rPr>
                <w:sz w:val="18"/>
                <w:szCs w:val="18"/>
              </w:rPr>
              <w:t>33,590,663</w:t>
            </w:r>
          </w:p>
        </w:tc>
      </w:tr>
      <w:tr w:rsidR="00823D41" w:rsidRPr="00005453" w14:paraId="6288E0E3" w14:textId="77777777" w:rsidTr="006A7F64">
        <w:trPr>
          <w:divId w:val="628240449"/>
          <w:trHeight w:val="237"/>
        </w:trPr>
        <w:tc>
          <w:tcPr>
            <w:tcW w:w="5611" w:type="dxa"/>
            <w:tcBorders>
              <w:top w:val="nil"/>
              <w:left w:val="nil"/>
              <w:bottom w:val="nil"/>
              <w:right w:val="nil"/>
            </w:tcBorders>
            <w:shd w:val="clear" w:color="auto" w:fill="auto"/>
            <w:vAlign w:val="center"/>
            <w:hideMark/>
          </w:tcPr>
          <w:p w14:paraId="485DB821" w14:textId="0096B13E" w:rsidR="00823D41" w:rsidRPr="00005453" w:rsidRDefault="00823D41" w:rsidP="00823D41">
            <w:pPr>
              <w:rPr>
                <w:sz w:val="18"/>
                <w:szCs w:val="18"/>
                <w:lang w:eastAsia="tr-TR"/>
              </w:rPr>
            </w:pPr>
            <w:r w:rsidRPr="00005453">
              <w:rPr>
                <w:sz w:val="18"/>
                <w:szCs w:val="18"/>
              </w:rPr>
              <w:t>Satış ve İtfa Yolu İle Elden Çıkarılanlar (-)</w:t>
            </w:r>
          </w:p>
        </w:tc>
        <w:tc>
          <w:tcPr>
            <w:tcW w:w="1810" w:type="dxa"/>
            <w:tcBorders>
              <w:top w:val="nil"/>
              <w:left w:val="nil"/>
              <w:bottom w:val="nil"/>
              <w:right w:val="nil"/>
            </w:tcBorders>
            <w:shd w:val="clear" w:color="auto" w:fill="auto"/>
            <w:vAlign w:val="center"/>
            <w:hideMark/>
          </w:tcPr>
          <w:p w14:paraId="4E6D9F55" w14:textId="3A3E7619" w:rsidR="00823D41" w:rsidRPr="00005453" w:rsidRDefault="00823D41" w:rsidP="006A7F64">
            <w:pPr>
              <w:jc w:val="right"/>
              <w:rPr>
                <w:sz w:val="18"/>
                <w:szCs w:val="18"/>
                <w:lang w:eastAsia="tr-TR"/>
              </w:rPr>
            </w:pPr>
            <w:r w:rsidRPr="00005453">
              <w:rPr>
                <w:sz w:val="18"/>
                <w:szCs w:val="18"/>
              </w:rPr>
              <w:t>8,560,000</w:t>
            </w:r>
          </w:p>
        </w:tc>
        <w:tc>
          <w:tcPr>
            <w:tcW w:w="1773" w:type="dxa"/>
            <w:tcBorders>
              <w:top w:val="nil"/>
              <w:left w:val="nil"/>
              <w:bottom w:val="nil"/>
              <w:right w:val="nil"/>
            </w:tcBorders>
            <w:shd w:val="clear" w:color="auto" w:fill="auto"/>
            <w:vAlign w:val="center"/>
            <w:hideMark/>
          </w:tcPr>
          <w:p w14:paraId="5E865572" w14:textId="1EA189D4" w:rsidR="00823D41" w:rsidRPr="00005453" w:rsidRDefault="00823D41" w:rsidP="006A7F64">
            <w:pPr>
              <w:jc w:val="right"/>
              <w:rPr>
                <w:sz w:val="18"/>
                <w:szCs w:val="18"/>
                <w:lang w:eastAsia="tr-TR"/>
              </w:rPr>
            </w:pPr>
            <w:r w:rsidRPr="00005453">
              <w:rPr>
                <w:sz w:val="18"/>
                <w:szCs w:val="18"/>
              </w:rPr>
              <w:t>692,130</w:t>
            </w:r>
          </w:p>
        </w:tc>
      </w:tr>
      <w:tr w:rsidR="00823D41" w:rsidRPr="00005453" w14:paraId="1DEB3ED5" w14:textId="77777777" w:rsidTr="006A7F64">
        <w:trPr>
          <w:divId w:val="628240449"/>
          <w:trHeight w:val="252"/>
        </w:trPr>
        <w:tc>
          <w:tcPr>
            <w:tcW w:w="5611" w:type="dxa"/>
            <w:tcBorders>
              <w:top w:val="nil"/>
              <w:left w:val="nil"/>
              <w:bottom w:val="nil"/>
              <w:right w:val="nil"/>
            </w:tcBorders>
            <w:shd w:val="clear" w:color="auto" w:fill="auto"/>
            <w:vAlign w:val="center"/>
            <w:hideMark/>
          </w:tcPr>
          <w:p w14:paraId="38284293" w14:textId="7A0FC3F0" w:rsidR="00823D41" w:rsidRPr="00005453" w:rsidRDefault="00823D41" w:rsidP="00823D41">
            <w:pPr>
              <w:rPr>
                <w:b/>
                <w:bCs/>
                <w:sz w:val="18"/>
                <w:szCs w:val="18"/>
                <w:lang w:eastAsia="tr-TR"/>
              </w:rPr>
            </w:pPr>
            <w:r w:rsidRPr="00005453">
              <w:rPr>
                <w:sz w:val="18"/>
                <w:szCs w:val="18"/>
              </w:rPr>
              <w:t>Transferler</w:t>
            </w:r>
          </w:p>
        </w:tc>
        <w:tc>
          <w:tcPr>
            <w:tcW w:w="1810" w:type="dxa"/>
            <w:tcBorders>
              <w:top w:val="nil"/>
              <w:left w:val="nil"/>
              <w:bottom w:val="nil"/>
              <w:right w:val="nil"/>
            </w:tcBorders>
            <w:shd w:val="clear" w:color="auto" w:fill="auto"/>
            <w:vAlign w:val="center"/>
            <w:hideMark/>
          </w:tcPr>
          <w:p w14:paraId="7B8EE0A2" w14:textId="09457786" w:rsidR="00823D41" w:rsidRPr="00005453" w:rsidRDefault="00F56D39" w:rsidP="006A7F64">
            <w:pPr>
              <w:jc w:val="right"/>
              <w:rPr>
                <w:b/>
                <w:bCs/>
                <w:sz w:val="18"/>
                <w:szCs w:val="18"/>
                <w:lang w:eastAsia="tr-TR"/>
              </w:rPr>
            </w:pPr>
            <w:r w:rsidRPr="00005453">
              <w:rPr>
                <w:sz w:val="18"/>
                <w:szCs w:val="18"/>
              </w:rPr>
              <w:t>(</w:t>
            </w:r>
            <w:r w:rsidR="00823D41" w:rsidRPr="00005453">
              <w:rPr>
                <w:sz w:val="18"/>
                <w:szCs w:val="18"/>
              </w:rPr>
              <w:t>6,325,000</w:t>
            </w:r>
            <w:r w:rsidRPr="00005453">
              <w:rPr>
                <w:sz w:val="18"/>
                <w:szCs w:val="18"/>
              </w:rPr>
              <w:t>)</w:t>
            </w:r>
          </w:p>
        </w:tc>
        <w:tc>
          <w:tcPr>
            <w:tcW w:w="1773" w:type="dxa"/>
            <w:tcBorders>
              <w:top w:val="nil"/>
              <w:left w:val="nil"/>
              <w:bottom w:val="nil"/>
              <w:right w:val="nil"/>
            </w:tcBorders>
            <w:shd w:val="clear" w:color="auto" w:fill="auto"/>
            <w:vAlign w:val="center"/>
            <w:hideMark/>
          </w:tcPr>
          <w:p w14:paraId="334CA1E3" w14:textId="1AD73386" w:rsidR="00823D41" w:rsidRPr="00005453" w:rsidRDefault="00823D41" w:rsidP="006A7F64">
            <w:pPr>
              <w:jc w:val="right"/>
              <w:rPr>
                <w:b/>
                <w:bCs/>
                <w:sz w:val="18"/>
                <w:szCs w:val="18"/>
                <w:lang w:eastAsia="tr-TR"/>
              </w:rPr>
            </w:pPr>
            <w:r w:rsidRPr="00005453">
              <w:rPr>
                <w:sz w:val="18"/>
                <w:szCs w:val="18"/>
              </w:rPr>
              <w:t>-</w:t>
            </w:r>
          </w:p>
        </w:tc>
      </w:tr>
      <w:tr w:rsidR="00823D41" w:rsidRPr="00005453" w14:paraId="456546C9" w14:textId="77777777" w:rsidTr="006A7F64">
        <w:trPr>
          <w:divId w:val="628240449"/>
          <w:trHeight w:val="252"/>
        </w:trPr>
        <w:tc>
          <w:tcPr>
            <w:tcW w:w="5611" w:type="dxa"/>
            <w:tcBorders>
              <w:top w:val="nil"/>
              <w:left w:val="nil"/>
              <w:bottom w:val="nil"/>
              <w:right w:val="nil"/>
            </w:tcBorders>
            <w:shd w:val="clear" w:color="auto" w:fill="auto"/>
            <w:vAlign w:val="center"/>
          </w:tcPr>
          <w:p w14:paraId="5E9CDCFF" w14:textId="49DCD9AB" w:rsidR="00823D41" w:rsidRPr="00005453" w:rsidRDefault="00823D41" w:rsidP="00823D41">
            <w:pPr>
              <w:rPr>
                <w:b/>
                <w:bCs/>
                <w:sz w:val="18"/>
                <w:szCs w:val="18"/>
                <w:lang w:eastAsia="tr-TR"/>
              </w:rPr>
            </w:pPr>
            <w:bookmarkStart w:id="79" w:name="OLE_LINK175"/>
            <w:r w:rsidRPr="00005453">
              <w:rPr>
                <w:sz w:val="18"/>
                <w:szCs w:val="18"/>
              </w:rPr>
              <w:t>Gelir Tahakkuk ve Reeskontları</w:t>
            </w:r>
            <w:bookmarkEnd w:id="79"/>
          </w:p>
        </w:tc>
        <w:tc>
          <w:tcPr>
            <w:tcW w:w="1810" w:type="dxa"/>
            <w:tcBorders>
              <w:top w:val="nil"/>
              <w:left w:val="nil"/>
              <w:bottom w:val="nil"/>
              <w:right w:val="nil"/>
            </w:tcBorders>
            <w:shd w:val="clear" w:color="auto" w:fill="auto"/>
            <w:vAlign w:val="center"/>
          </w:tcPr>
          <w:p w14:paraId="42D7192C" w14:textId="2E72774C" w:rsidR="00823D41" w:rsidRPr="00005453" w:rsidRDefault="00F56D39" w:rsidP="006A7F64">
            <w:pPr>
              <w:jc w:val="right"/>
              <w:rPr>
                <w:b/>
                <w:sz w:val="18"/>
                <w:szCs w:val="18"/>
              </w:rPr>
            </w:pPr>
            <w:r w:rsidRPr="00005453">
              <w:rPr>
                <w:sz w:val="18"/>
                <w:szCs w:val="18"/>
              </w:rPr>
              <w:t>(</w:t>
            </w:r>
            <w:r w:rsidR="00823D41" w:rsidRPr="00005453">
              <w:rPr>
                <w:sz w:val="18"/>
                <w:szCs w:val="18"/>
              </w:rPr>
              <w:t>82,497</w:t>
            </w:r>
            <w:r w:rsidRPr="00005453">
              <w:rPr>
                <w:sz w:val="18"/>
                <w:szCs w:val="18"/>
              </w:rPr>
              <w:t>)</w:t>
            </w:r>
          </w:p>
        </w:tc>
        <w:tc>
          <w:tcPr>
            <w:tcW w:w="1773" w:type="dxa"/>
            <w:tcBorders>
              <w:top w:val="nil"/>
              <w:left w:val="nil"/>
              <w:bottom w:val="nil"/>
              <w:right w:val="nil"/>
            </w:tcBorders>
            <w:shd w:val="clear" w:color="auto" w:fill="auto"/>
            <w:vAlign w:val="center"/>
          </w:tcPr>
          <w:p w14:paraId="50ED9476" w14:textId="4CE06542" w:rsidR="00823D41" w:rsidRPr="00005453" w:rsidRDefault="00823D41" w:rsidP="006A7F64">
            <w:pPr>
              <w:jc w:val="right"/>
              <w:rPr>
                <w:b/>
                <w:sz w:val="18"/>
                <w:szCs w:val="18"/>
              </w:rPr>
            </w:pPr>
            <w:r w:rsidRPr="00005453">
              <w:rPr>
                <w:sz w:val="18"/>
                <w:szCs w:val="18"/>
              </w:rPr>
              <w:t>1,753,465</w:t>
            </w:r>
          </w:p>
        </w:tc>
      </w:tr>
      <w:tr w:rsidR="00823D41" w:rsidRPr="00005453" w14:paraId="49368B29" w14:textId="77777777" w:rsidTr="006A7F64">
        <w:trPr>
          <w:divId w:val="628240449"/>
          <w:trHeight w:val="252"/>
        </w:trPr>
        <w:tc>
          <w:tcPr>
            <w:tcW w:w="5611" w:type="dxa"/>
            <w:tcBorders>
              <w:top w:val="single" w:sz="8" w:space="0" w:color="auto"/>
              <w:left w:val="nil"/>
              <w:bottom w:val="double" w:sz="6" w:space="0" w:color="auto"/>
              <w:right w:val="nil"/>
            </w:tcBorders>
            <w:shd w:val="clear" w:color="auto" w:fill="auto"/>
            <w:vAlign w:val="center"/>
            <w:hideMark/>
          </w:tcPr>
          <w:p w14:paraId="64D64226" w14:textId="77777777" w:rsidR="00823D41" w:rsidRPr="00005453" w:rsidRDefault="00823D41" w:rsidP="00823D41">
            <w:pPr>
              <w:jc w:val="both"/>
              <w:rPr>
                <w:b/>
                <w:bCs/>
                <w:sz w:val="18"/>
                <w:szCs w:val="18"/>
                <w:lang w:eastAsia="tr-TR"/>
              </w:rPr>
            </w:pPr>
            <w:r w:rsidRPr="00005453">
              <w:rPr>
                <w:b/>
                <w:bCs/>
                <w:sz w:val="18"/>
                <w:szCs w:val="18"/>
                <w:lang w:eastAsia="tr-TR"/>
              </w:rPr>
              <w:t>Toplam</w:t>
            </w:r>
          </w:p>
        </w:tc>
        <w:tc>
          <w:tcPr>
            <w:tcW w:w="1810" w:type="dxa"/>
            <w:tcBorders>
              <w:top w:val="single" w:sz="8" w:space="0" w:color="auto"/>
              <w:left w:val="nil"/>
              <w:bottom w:val="double" w:sz="6" w:space="0" w:color="auto"/>
              <w:right w:val="nil"/>
            </w:tcBorders>
            <w:shd w:val="clear" w:color="auto" w:fill="auto"/>
            <w:vAlign w:val="center"/>
            <w:hideMark/>
          </w:tcPr>
          <w:p w14:paraId="0AB4A4AB" w14:textId="35804666" w:rsidR="00823D41" w:rsidRPr="00005453" w:rsidRDefault="00823D41" w:rsidP="006A7F64">
            <w:pPr>
              <w:jc w:val="right"/>
              <w:rPr>
                <w:b/>
                <w:bCs/>
                <w:sz w:val="18"/>
                <w:szCs w:val="18"/>
                <w:lang w:eastAsia="tr-TR"/>
              </w:rPr>
            </w:pPr>
            <w:r w:rsidRPr="00005453">
              <w:rPr>
                <w:b/>
                <w:bCs/>
                <w:sz w:val="18"/>
                <w:szCs w:val="18"/>
              </w:rPr>
              <w:t>5</w:t>
            </w:r>
            <w:r w:rsidR="00C302FC">
              <w:rPr>
                <w:b/>
                <w:bCs/>
                <w:sz w:val="18"/>
                <w:szCs w:val="18"/>
              </w:rPr>
              <w:t>6</w:t>
            </w:r>
            <w:r w:rsidRPr="00005453">
              <w:rPr>
                <w:b/>
                <w:bCs/>
                <w:sz w:val="18"/>
                <w:szCs w:val="18"/>
              </w:rPr>
              <w:t>,</w:t>
            </w:r>
            <w:r w:rsidR="00C302FC">
              <w:rPr>
                <w:b/>
                <w:bCs/>
                <w:sz w:val="18"/>
                <w:szCs w:val="18"/>
              </w:rPr>
              <w:t>023</w:t>
            </w:r>
            <w:r w:rsidRPr="00005453">
              <w:rPr>
                <w:b/>
                <w:bCs/>
                <w:sz w:val="18"/>
                <w:szCs w:val="18"/>
              </w:rPr>
              <w:t>,8</w:t>
            </w:r>
            <w:r w:rsidR="00C302FC">
              <w:rPr>
                <w:b/>
                <w:bCs/>
                <w:sz w:val="18"/>
                <w:szCs w:val="18"/>
              </w:rPr>
              <w:t>75</w:t>
            </w:r>
          </w:p>
        </w:tc>
        <w:tc>
          <w:tcPr>
            <w:tcW w:w="1773" w:type="dxa"/>
            <w:tcBorders>
              <w:top w:val="single" w:sz="8" w:space="0" w:color="auto"/>
              <w:left w:val="nil"/>
              <w:bottom w:val="double" w:sz="6" w:space="0" w:color="auto"/>
              <w:right w:val="nil"/>
            </w:tcBorders>
            <w:shd w:val="clear" w:color="auto" w:fill="auto"/>
            <w:vAlign w:val="center"/>
            <w:hideMark/>
          </w:tcPr>
          <w:p w14:paraId="4F1DE712" w14:textId="63016AD0" w:rsidR="00823D41" w:rsidRPr="00005453" w:rsidRDefault="00823D41" w:rsidP="006A7F64">
            <w:pPr>
              <w:jc w:val="right"/>
              <w:rPr>
                <w:b/>
                <w:bCs/>
                <w:sz w:val="18"/>
                <w:szCs w:val="18"/>
                <w:lang w:eastAsia="tr-TR"/>
              </w:rPr>
            </w:pPr>
            <w:r w:rsidRPr="00005453">
              <w:rPr>
                <w:b/>
                <w:bCs/>
                <w:sz w:val="18"/>
                <w:szCs w:val="18"/>
              </w:rPr>
              <w:t>63,</w:t>
            </w:r>
            <w:r w:rsidR="00C302FC">
              <w:rPr>
                <w:b/>
                <w:bCs/>
                <w:sz w:val="18"/>
                <w:szCs w:val="18"/>
              </w:rPr>
              <w:t>203</w:t>
            </w:r>
            <w:r w:rsidRPr="00005453">
              <w:rPr>
                <w:b/>
                <w:bCs/>
                <w:sz w:val="18"/>
                <w:szCs w:val="18"/>
              </w:rPr>
              <w:t>,</w:t>
            </w:r>
            <w:r w:rsidR="00C302FC">
              <w:rPr>
                <w:b/>
                <w:bCs/>
                <w:sz w:val="18"/>
                <w:szCs w:val="18"/>
              </w:rPr>
              <w:t>644</w:t>
            </w:r>
          </w:p>
        </w:tc>
      </w:tr>
    </w:tbl>
    <w:p w14:paraId="309A29CA" w14:textId="2E8E1A7F" w:rsidR="00356EE0" w:rsidRPr="00005453" w:rsidRDefault="00356EE0" w:rsidP="00206622">
      <w:pPr>
        <w:autoSpaceDE w:val="0"/>
        <w:autoSpaceDN w:val="0"/>
        <w:adjustRightInd w:val="0"/>
        <w:rPr>
          <w:b/>
          <w:bCs/>
          <w:iCs/>
          <w:sz w:val="16"/>
          <w:szCs w:val="16"/>
        </w:rPr>
      </w:pPr>
    </w:p>
    <w:p w14:paraId="2541FFE1" w14:textId="016AF760" w:rsidR="006B4EDA" w:rsidRPr="00005453" w:rsidRDefault="005E4E22" w:rsidP="005E4E22">
      <w:pPr>
        <w:autoSpaceDE w:val="0"/>
        <w:autoSpaceDN w:val="0"/>
        <w:adjustRightInd w:val="0"/>
        <w:ind w:hanging="567"/>
        <w:rPr>
          <w:b/>
          <w:bCs/>
          <w:iCs/>
        </w:rPr>
      </w:pPr>
      <w:bookmarkStart w:id="80" w:name="_Hlk125131101"/>
      <w:bookmarkEnd w:id="78"/>
      <w:r w:rsidRPr="00005453">
        <w:rPr>
          <w:b/>
          <w:bCs/>
          <w:iCs/>
        </w:rPr>
        <w:t>1.7</w:t>
      </w:r>
      <w:r w:rsidRPr="00005453">
        <w:rPr>
          <w:b/>
          <w:bCs/>
          <w:iCs/>
        </w:rPr>
        <w:tab/>
      </w:r>
      <w:r w:rsidR="00C15591" w:rsidRPr="00005453">
        <w:rPr>
          <w:b/>
          <w:bCs/>
          <w:iCs/>
        </w:rPr>
        <w:t>İ</w:t>
      </w:r>
      <w:r w:rsidR="00E253C8" w:rsidRPr="00005453">
        <w:rPr>
          <w:b/>
          <w:bCs/>
          <w:iCs/>
        </w:rPr>
        <w:t>ştiraklere ilişkin bilgiler (Net)</w:t>
      </w:r>
    </w:p>
    <w:p w14:paraId="700217E1" w14:textId="77777777" w:rsidR="006B4EDA" w:rsidRPr="00005453" w:rsidRDefault="006B4EDA">
      <w:pPr>
        <w:tabs>
          <w:tab w:val="num" w:pos="720"/>
        </w:tabs>
        <w:autoSpaceDE w:val="0"/>
        <w:autoSpaceDN w:val="0"/>
        <w:adjustRightInd w:val="0"/>
        <w:ind w:left="180"/>
        <w:rPr>
          <w:sz w:val="16"/>
          <w:szCs w:val="16"/>
        </w:rPr>
      </w:pPr>
    </w:p>
    <w:p w14:paraId="1B5AF4F9" w14:textId="7D2F1F54" w:rsidR="00B74DDB" w:rsidRPr="00005453" w:rsidRDefault="00E253C8" w:rsidP="00B74DDB">
      <w:pPr>
        <w:tabs>
          <w:tab w:val="left" w:pos="0"/>
        </w:tabs>
        <w:ind w:hanging="567"/>
        <w:jc w:val="both"/>
        <w:rPr>
          <w:bCs/>
        </w:rPr>
      </w:pPr>
      <w:r w:rsidRPr="00005453">
        <w:rPr>
          <w:b/>
          <w:iCs/>
        </w:rPr>
        <w:t>1.</w:t>
      </w:r>
      <w:r w:rsidR="005E4E22" w:rsidRPr="00005453">
        <w:rPr>
          <w:b/>
          <w:iCs/>
        </w:rPr>
        <w:t>7.1</w:t>
      </w:r>
      <w:r w:rsidRPr="00005453">
        <w:rPr>
          <w:iCs/>
        </w:rPr>
        <w:tab/>
      </w:r>
      <w:r w:rsidR="00F71805" w:rsidRPr="00005453">
        <w:t>Banka, Kredi Garanti Fonu A.Ş.’deki %1.49 oranında sahipliğe denk gelen 4,897 TL (31 Aralık 202</w:t>
      </w:r>
      <w:r w:rsidR="00646E21" w:rsidRPr="00005453">
        <w:t>3</w:t>
      </w:r>
      <w:r w:rsidR="00F71805" w:rsidRPr="00005453">
        <w:t xml:space="preserve"> – 4,897 TL) tutarındaki hisseyi, Katılım Finans Kefalet A.Ş.’deki %15’e denk gelen </w:t>
      </w:r>
      <w:r w:rsidR="003B14E4" w:rsidRPr="00005453">
        <w:t>67</w:t>
      </w:r>
      <w:r w:rsidR="00F71805" w:rsidRPr="00005453">
        <w:t>,500 TL (31 Aralık 202</w:t>
      </w:r>
      <w:r w:rsidR="00646E21" w:rsidRPr="00005453">
        <w:t xml:space="preserve">3 </w:t>
      </w:r>
      <w:r w:rsidR="00F71805" w:rsidRPr="00005453">
        <w:t xml:space="preserve">– </w:t>
      </w:r>
      <w:r w:rsidR="00646E21" w:rsidRPr="00005453">
        <w:t>22,500 TL</w:t>
      </w:r>
      <w:r w:rsidR="00F71805" w:rsidRPr="00005453">
        <w:t xml:space="preserve">) tutarındaki hisseyi, </w:t>
      </w:r>
      <w:r w:rsidR="008115A9" w:rsidRPr="00005453">
        <w:t>8</w:t>
      </w:r>
      <w:r w:rsidR="00F71805" w:rsidRPr="00005453">
        <w:t>,</w:t>
      </w:r>
      <w:r w:rsidR="008115A9" w:rsidRPr="00005453">
        <w:t>713</w:t>
      </w:r>
      <w:r w:rsidR="00F71805" w:rsidRPr="00005453">
        <w:t xml:space="preserve"> TL (31 Aralık 202</w:t>
      </w:r>
      <w:r w:rsidR="00646E21" w:rsidRPr="00005453">
        <w:t>3</w:t>
      </w:r>
      <w:r w:rsidR="00F71805" w:rsidRPr="00005453">
        <w:t xml:space="preserve"> – </w:t>
      </w:r>
      <w:r w:rsidR="00646E21" w:rsidRPr="00005453">
        <w:t>7</w:t>
      </w:r>
      <w:r w:rsidR="00F71805" w:rsidRPr="00005453">
        <w:t>,73</w:t>
      </w:r>
      <w:r w:rsidR="00646E21" w:rsidRPr="00005453">
        <w:t>2</w:t>
      </w:r>
      <w:r w:rsidR="00F71805" w:rsidRPr="00005453">
        <w:t xml:space="preserve"> TL) tutarında Swift hissesini, Borsa İstanbul A.Ş’deki % 0.0035 oranında sahipliğe denk gelen 15 TL (31 Aralık 202</w:t>
      </w:r>
      <w:r w:rsidR="00646E21" w:rsidRPr="00005453">
        <w:t>3 –</w:t>
      </w:r>
      <w:r w:rsidR="00F71805" w:rsidRPr="00005453">
        <w:t xml:space="preserve"> 15 TL) tutarındaki hissesini ve JCR Avrasya Derecelendirme A.Ş. deki %2.86 oranında sahipliğe denk gelen 2,755 TL (31 Aralık 202</w:t>
      </w:r>
      <w:r w:rsidR="00646E21" w:rsidRPr="00005453">
        <w:t>3</w:t>
      </w:r>
      <w:r w:rsidR="00F71805" w:rsidRPr="00005453">
        <w:t xml:space="preserve"> – 2,755 TL) tutarındaki hissesini, İhracatı Geliştirme A.Ş. deki %0.44 oranında sahipliğe denk gelen 30,420 TL (31 Aralık 202</w:t>
      </w:r>
      <w:r w:rsidR="00646E21" w:rsidRPr="00005453">
        <w:t>3</w:t>
      </w:r>
      <w:r w:rsidR="00F71805" w:rsidRPr="00005453">
        <w:t xml:space="preserve"> – 30,420 TL) tutarındaki hissesini, </w:t>
      </w:r>
      <w:r w:rsidR="008115A9" w:rsidRPr="00005453">
        <w:t>374</w:t>
      </w:r>
      <w:r w:rsidR="00F71805" w:rsidRPr="00005453">
        <w:t>,</w:t>
      </w:r>
      <w:r w:rsidR="008115A9" w:rsidRPr="00005453">
        <w:t>14</w:t>
      </w:r>
      <w:r w:rsidR="008F1D06" w:rsidRPr="00005453">
        <w:t>0</w:t>
      </w:r>
      <w:r w:rsidR="00F71805" w:rsidRPr="00005453">
        <w:t xml:space="preserve"> TL (31 Aralık 202</w:t>
      </w:r>
      <w:r w:rsidR="00646E21" w:rsidRPr="00005453">
        <w:t>3</w:t>
      </w:r>
      <w:r w:rsidR="00F71805" w:rsidRPr="00005453">
        <w:t xml:space="preserve"> – </w:t>
      </w:r>
      <w:r w:rsidR="00646E21" w:rsidRPr="00005453">
        <w:t>2</w:t>
      </w:r>
      <w:r w:rsidR="008115A9" w:rsidRPr="00005453">
        <w:t>33</w:t>
      </w:r>
      <w:r w:rsidR="00F71805" w:rsidRPr="00005453">
        <w:t>,</w:t>
      </w:r>
      <w:r w:rsidR="008115A9" w:rsidRPr="00005453">
        <w:t>440</w:t>
      </w:r>
      <w:r w:rsidR="00F71805" w:rsidRPr="00005453">
        <w:t xml:space="preserve"> TL) tutarında VISA INC. </w:t>
      </w:r>
      <w:proofErr w:type="gramStart"/>
      <w:r w:rsidR="00F71805" w:rsidRPr="00005453">
        <w:t>hissesini</w:t>
      </w:r>
      <w:proofErr w:type="gramEnd"/>
      <w:r w:rsidR="00F71805" w:rsidRPr="00005453">
        <w:t xml:space="preserve"> söz konusu ortaklıklardaki hisse oranları %10`un altında olduğundan ve önemli etkinliğe sahip olunmadığından, gerçeğe uygun değer farkı diğer kapsamlı gelire yansıtılan finansal varlıklar hesabında takip etmektedir.</w:t>
      </w:r>
    </w:p>
    <w:bookmarkEnd w:id="80"/>
    <w:p w14:paraId="0B74AD08" w14:textId="77777777" w:rsidR="00740B7E" w:rsidRPr="00005453" w:rsidRDefault="00740B7E" w:rsidP="00B74DDB">
      <w:pPr>
        <w:tabs>
          <w:tab w:val="left" w:pos="0"/>
        </w:tabs>
        <w:ind w:hanging="567"/>
        <w:jc w:val="both"/>
        <w:rPr>
          <w:color w:val="0D0D0D"/>
          <w:spacing w:val="-4"/>
          <w:sz w:val="14"/>
        </w:rPr>
      </w:pPr>
    </w:p>
    <w:p w14:paraId="54426AE7" w14:textId="195069D5" w:rsidR="00117483" w:rsidRPr="00005453" w:rsidRDefault="00117483" w:rsidP="00117483">
      <w:pPr>
        <w:tabs>
          <w:tab w:val="num" w:pos="0"/>
        </w:tabs>
        <w:ind w:left="709" w:hanging="1276"/>
        <w:rPr>
          <w:iCs/>
        </w:rPr>
      </w:pPr>
      <w:r w:rsidRPr="00005453">
        <w:rPr>
          <w:b/>
          <w:iCs/>
        </w:rPr>
        <w:t>1.7.2</w:t>
      </w:r>
      <w:r w:rsidRPr="00005453">
        <w:rPr>
          <w:iCs/>
        </w:rPr>
        <w:tab/>
        <w:t xml:space="preserve">Konsolide edilmeyen iştiraklere ilişkin bilgiler: Yoktur (31 Aralık </w:t>
      </w:r>
      <w:proofErr w:type="gramStart"/>
      <w:r w:rsidRPr="00005453">
        <w:rPr>
          <w:iCs/>
        </w:rPr>
        <w:t>202</w:t>
      </w:r>
      <w:r w:rsidR="00646E21" w:rsidRPr="00005453">
        <w:rPr>
          <w:iCs/>
        </w:rPr>
        <w:t>3</w:t>
      </w:r>
      <w:r w:rsidRPr="00005453">
        <w:rPr>
          <w:iCs/>
        </w:rPr>
        <w:t xml:space="preserve"> -</w:t>
      </w:r>
      <w:proofErr w:type="gramEnd"/>
      <w:r w:rsidRPr="00005453">
        <w:rPr>
          <w:iCs/>
        </w:rPr>
        <w:t xml:space="preserve"> Yoktur).</w:t>
      </w:r>
    </w:p>
    <w:p w14:paraId="130C13C3" w14:textId="77777777" w:rsidR="00117483" w:rsidRPr="00005453" w:rsidRDefault="00117483" w:rsidP="00117483">
      <w:pPr>
        <w:ind w:hanging="567"/>
        <w:rPr>
          <w:b/>
          <w:bCs/>
          <w:iCs/>
          <w:sz w:val="14"/>
        </w:rPr>
      </w:pPr>
    </w:p>
    <w:p w14:paraId="515ECC46" w14:textId="30B1E0E2" w:rsidR="00117483" w:rsidRPr="00005453" w:rsidRDefault="00117483" w:rsidP="00117483">
      <w:pPr>
        <w:ind w:hanging="567"/>
        <w:rPr>
          <w:iCs/>
        </w:rPr>
      </w:pPr>
      <w:r w:rsidRPr="00005453">
        <w:rPr>
          <w:b/>
          <w:bCs/>
          <w:iCs/>
        </w:rPr>
        <w:t>1.7.3</w:t>
      </w:r>
      <w:r w:rsidRPr="00005453">
        <w:rPr>
          <w:bCs/>
          <w:iCs/>
        </w:rPr>
        <w:tab/>
        <w:t>Konsolide edilen</w:t>
      </w:r>
      <w:r w:rsidRPr="00005453">
        <w:rPr>
          <w:bCs/>
        </w:rPr>
        <w:t xml:space="preserve"> iştiraklere ilişkin bilgiler</w:t>
      </w:r>
      <w:r w:rsidRPr="00005453">
        <w:rPr>
          <w:iCs/>
        </w:rPr>
        <w:t xml:space="preserve">: Yoktur (31 Aralık </w:t>
      </w:r>
      <w:proofErr w:type="gramStart"/>
      <w:r w:rsidRPr="00005453">
        <w:rPr>
          <w:iCs/>
        </w:rPr>
        <w:t>202</w:t>
      </w:r>
      <w:r w:rsidR="00646E21" w:rsidRPr="00005453">
        <w:rPr>
          <w:iCs/>
        </w:rPr>
        <w:t>3</w:t>
      </w:r>
      <w:r w:rsidRPr="00005453">
        <w:rPr>
          <w:iCs/>
        </w:rPr>
        <w:t xml:space="preserve"> -</w:t>
      </w:r>
      <w:proofErr w:type="gramEnd"/>
      <w:r w:rsidRPr="00005453">
        <w:rPr>
          <w:iCs/>
        </w:rPr>
        <w:t xml:space="preserve"> Yoktur).</w:t>
      </w:r>
    </w:p>
    <w:p w14:paraId="64C0B013" w14:textId="6A497D0B" w:rsidR="003F7875" w:rsidRPr="00005453" w:rsidRDefault="003F7875" w:rsidP="00B420B8">
      <w:pPr>
        <w:rPr>
          <w:b/>
          <w:bCs/>
          <w:iCs/>
          <w:sz w:val="14"/>
        </w:rPr>
      </w:pPr>
    </w:p>
    <w:p w14:paraId="4F2FBDB7" w14:textId="3CCF6841" w:rsidR="00B43D83" w:rsidRPr="00005453" w:rsidRDefault="00B43D83" w:rsidP="00B43D83">
      <w:pPr>
        <w:ind w:hanging="567"/>
        <w:rPr>
          <w:iCs/>
        </w:rPr>
      </w:pPr>
      <w:r w:rsidRPr="00005453">
        <w:rPr>
          <w:b/>
          <w:bCs/>
          <w:iCs/>
        </w:rPr>
        <w:t>1.8</w:t>
      </w:r>
      <w:r w:rsidRPr="00005453">
        <w:rPr>
          <w:b/>
          <w:bCs/>
          <w:iCs/>
        </w:rPr>
        <w:tab/>
        <w:t>Bağlı ortaklıklara ilişkin bilgiler (Net)</w:t>
      </w:r>
    </w:p>
    <w:p w14:paraId="758DF623" w14:textId="7B622786" w:rsidR="006B4EDA" w:rsidRPr="00005453" w:rsidRDefault="006B4EDA">
      <w:pPr>
        <w:rPr>
          <w:sz w:val="14"/>
          <w:szCs w:val="16"/>
        </w:rPr>
      </w:pPr>
    </w:p>
    <w:p w14:paraId="3A8763A1" w14:textId="645CF0ED" w:rsidR="00575714" w:rsidRPr="00005453" w:rsidRDefault="00DC1240" w:rsidP="00D227A9">
      <w:pPr>
        <w:autoSpaceDE w:val="0"/>
        <w:autoSpaceDN w:val="0"/>
        <w:adjustRightInd w:val="0"/>
        <w:ind w:hanging="567"/>
        <w:jc w:val="both"/>
        <w:rPr>
          <w:bCs/>
        </w:rPr>
      </w:pPr>
      <w:r w:rsidRPr="00005453">
        <w:rPr>
          <w:b/>
        </w:rPr>
        <w:t>1.8.1</w:t>
      </w:r>
      <w:r w:rsidR="00E253C8" w:rsidRPr="00005453">
        <w:tab/>
      </w:r>
      <w:r w:rsidR="00117483" w:rsidRPr="00005453">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49FDC645" w14:textId="36A2C1EC" w:rsidR="00714B98" w:rsidRPr="00005453" w:rsidRDefault="00714B98" w:rsidP="00714B98">
      <w:pPr>
        <w:autoSpaceDE w:val="0"/>
        <w:autoSpaceDN w:val="0"/>
        <w:adjustRightInd w:val="0"/>
        <w:jc w:val="both"/>
        <w:rPr>
          <w:bCs/>
          <w:sz w:val="16"/>
        </w:rPr>
      </w:pPr>
    </w:p>
    <w:p w14:paraId="1CF645D1" w14:textId="2EE12D8E" w:rsidR="001F4FDC" w:rsidRPr="00005453" w:rsidRDefault="001F4FDC" w:rsidP="00714B98">
      <w:pPr>
        <w:autoSpaceDE w:val="0"/>
        <w:autoSpaceDN w:val="0"/>
        <w:adjustRightInd w:val="0"/>
        <w:jc w:val="both"/>
        <w:rPr>
          <w:bCs/>
          <w:sz w:val="16"/>
        </w:rPr>
      </w:pPr>
    </w:p>
    <w:p w14:paraId="0F9D7722" w14:textId="26EFFEF6" w:rsidR="001F4FDC" w:rsidRPr="00005453" w:rsidRDefault="001F4FDC" w:rsidP="00714B98">
      <w:pPr>
        <w:autoSpaceDE w:val="0"/>
        <w:autoSpaceDN w:val="0"/>
        <w:adjustRightInd w:val="0"/>
        <w:jc w:val="both"/>
        <w:rPr>
          <w:bCs/>
          <w:sz w:val="16"/>
        </w:rPr>
      </w:pPr>
    </w:p>
    <w:p w14:paraId="6014F244" w14:textId="1E9EFECF" w:rsidR="001F4FDC" w:rsidRPr="00005453" w:rsidRDefault="001F4FDC" w:rsidP="00714B98">
      <w:pPr>
        <w:autoSpaceDE w:val="0"/>
        <w:autoSpaceDN w:val="0"/>
        <w:adjustRightInd w:val="0"/>
        <w:jc w:val="both"/>
        <w:rPr>
          <w:bCs/>
          <w:sz w:val="16"/>
        </w:rPr>
      </w:pPr>
    </w:p>
    <w:p w14:paraId="54A21873" w14:textId="6990D807" w:rsidR="001F4FDC" w:rsidRPr="00005453" w:rsidRDefault="001F4FDC" w:rsidP="00714B98">
      <w:pPr>
        <w:autoSpaceDE w:val="0"/>
        <w:autoSpaceDN w:val="0"/>
        <w:adjustRightInd w:val="0"/>
        <w:jc w:val="both"/>
        <w:rPr>
          <w:bCs/>
          <w:sz w:val="16"/>
        </w:rPr>
      </w:pPr>
    </w:p>
    <w:p w14:paraId="74BC8617" w14:textId="7F7122BA" w:rsidR="001F4FDC" w:rsidRPr="00005453" w:rsidRDefault="001F4FDC" w:rsidP="00714B98">
      <w:pPr>
        <w:autoSpaceDE w:val="0"/>
        <w:autoSpaceDN w:val="0"/>
        <w:adjustRightInd w:val="0"/>
        <w:jc w:val="both"/>
        <w:rPr>
          <w:bCs/>
          <w:sz w:val="16"/>
        </w:rPr>
      </w:pPr>
    </w:p>
    <w:p w14:paraId="324E3BDF" w14:textId="7E5BAF0D" w:rsidR="001F4FDC" w:rsidRPr="00005453" w:rsidRDefault="001F4FDC" w:rsidP="00714B98">
      <w:pPr>
        <w:autoSpaceDE w:val="0"/>
        <w:autoSpaceDN w:val="0"/>
        <w:adjustRightInd w:val="0"/>
        <w:jc w:val="both"/>
        <w:rPr>
          <w:bCs/>
          <w:sz w:val="16"/>
        </w:rPr>
      </w:pPr>
    </w:p>
    <w:p w14:paraId="1E578C25" w14:textId="1FA83C30" w:rsidR="001F4FDC" w:rsidRPr="00005453" w:rsidRDefault="001F4FDC" w:rsidP="00714B98">
      <w:pPr>
        <w:autoSpaceDE w:val="0"/>
        <w:autoSpaceDN w:val="0"/>
        <w:adjustRightInd w:val="0"/>
        <w:jc w:val="both"/>
        <w:rPr>
          <w:bCs/>
          <w:sz w:val="16"/>
        </w:rPr>
      </w:pPr>
    </w:p>
    <w:p w14:paraId="1419C1A0" w14:textId="3B25D5D7" w:rsidR="001F4FDC" w:rsidRPr="00005453" w:rsidRDefault="001F4FDC" w:rsidP="00714B98">
      <w:pPr>
        <w:autoSpaceDE w:val="0"/>
        <w:autoSpaceDN w:val="0"/>
        <w:adjustRightInd w:val="0"/>
        <w:jc w:val="both"/>
        <w:rPr>
          <w:bCs/>
          <w:sz w:val="16"/>
        </w:rPr>
      </w:pPr>
    </w:p>
    <w:p w14:paraId="35897438" w14:textId="753C5D62" w:rsidR="001F4FDC" w:rsidRPr="00005453" w:rsidRDefault="001F4FDC" w:rsidP="00714B98">
      <w:pPr>
        <w:autoSpaceDE w:val="0"/>
        <w:autoSpaceDN w:val="0"/>
        <w:adjustRightInd w:val="0"/>
        <w:jc w:val="both"/>
        <w:rPr>
          <w:bCs/>
          <w:sz w:val="16"/>
        </w:rPr>
      </w:pPr>
    </w:p>
    <w:p w14:paraId="27D77F06" w14:textId="1130DDED" w:rsidR="001F4FDC" w:rsidRPr="00005453" w:rsidRDefault="001F4FDC" w:rsidP="00714B98">
      <w:pPr>
        <w:autoSpaceDE w:val="0"/>
        <w:autoSpaceDN w:val="0"/>
        <w:adjustRightInd w:val="0"/>
        <w:jc w:val="both"/>
        <w:rPr>
          <w:bCs/>
          <w:sz w:val="16"/>
        </w:rPr>
      </w:pPr>
    </w:p>
    <w:p w14:paraId="1ABE9149" w14:textId="1BD85C3D" w:rsidR="001F4FDC" w:rsidRPr="00005453" w:rsidRDefault="001F4FDC" w:rsidP="00714B98">
      <w:pPr>
        <w:autoSpaceDE w:val="0"/>
        <w:autoSpaceDN w:val="0"/>
        <w:adjustRightInd w:val="0"/>
        <w:jc w:val="both"/>
        <w:rPr>
          <w:bCs/>
          <w:sz w:val="16"/>
        </w:rPr>
      </w:pPr>
    </w:p>
    <w:p w14:paraId="565744E9" w14:textId="6CFB73B0" w:rsidR="001F4FDC" w:rsidRPr="00005453" w:rsidRDefault="001F4FDC" w:rsidP="00714B98">
      <w:pPr>
        <w:autoSpaceDE w:val="0"/>
        <w:autoSpaceDN w:val="0"/>
        <w:adjustRightInd w:val="0"/>
        <w:jc w:val="both"/>
        <w:rPr>
          <w:bCs/>
          <w:sz w:val="16"/>
        </w:rPr>
      </w:pPr>
    </w:p>
    <w:p w14:paraId="05920700" w14:textId="59C10224" w:rsidR="001F4FDC" w:rsidRDefault="001F4FDC" w:rsidP="00714B98">
      <w:pPr>
        <w:autoSpaceDE w:val="0"/>
        <w:autoSpaceDN w:val="0"/>
        <w:adjustRightInd w:val="0"/>
        <w:jc w:val="both"/>
        <w:rPr>
          <w:bCs/>
          <w:sz w:val="16"/>
        </w:rPr>
      </w:pPr>
    </w:p>
    <w:p w14:paraId="5C7BFC23" w14:textId="1B84BB7C" w:rsidR="004738AC" w:rsidRDefault="004738AC" w:rsidP="00714B98">
      <w:pPr>
        <w:autoSpaceDE w:val="0"/>
        <w:autoSpaceDN w:val="0"/>
        <w:adjustRightInd w:val="0"/>
        <w:jc w:val="both"/>
        <w:rPr>
          <w:bCs/>
          <w:sz w:val="16"/>
        </w:rPr>
      </w:pPr>
    </w:p>
    <w:p w14:paraId="4E1945AF" w14:textId="3A9328E9" w:rsidR="004738AC" w:rsidRDefault="004738AC" w:rsidP="00714B98">
      <w:pPr>
        <w:autoSpaceDE w:val="0"/>
        <w:autoSpaceDN w:val="0"/>
        <w:adjustRightInd w:val="0"/>
        <w:jc w:val="both"/>
        <w:rPr>
          <w:bCs/>
          <w:sz w:val="16"/>
        </w:rPr>
      </w:pPr>
    </w:p>
    <w:p w14:paraId="3A95406C" w14:textId="77777777" w:rsidR="004738AC" w:rsidRPr="00005453" w:rsidRDefault="004738AC" w:rsidP="00714B98">
      <w:pPr>
        <w:autoSpaceDE w:val="0"/>
        <w:autoSpaceDN w:val="0"/>
        <w:adjustRightInd w:val="0"/>
        <w:jc w:val="both"/>
        <w:rPr>
          <w:bCs/>
          <w:sz w:val="16"/>
        </w:rPr>
      </w:pPr>
    </w:p>
    <w:p w14:paraId="385D28C9" w14:textId="68F28C18" w:rsidR="001F4FDC" w:rsidRPr="00005453" w:rsidRDefault="001F4FDC" w:rsidP="00714B98">
      <w:pPr>
        <w:autoSpaceDE w:val="0"/>
        <w:autoSpaceDN w:val="0"/>
        <w:adjustRightInd w:val="0"/>
        <w:jc w:val="both"/>
        <w:rPr>
          <w:bCs/>
          <w:sz w:val="16"/>
        </w:rPr>
      </w:pPr>
    </w:p>
    <w:p w14:paraId="3F343BC4" w14:textId="77777777" w:rsidR="00575714" w:rsidRPr="00005453" w:rsidRDefault="00575714" w:rsidP="001F4FDC">
      <w:pPr>
        <w:autoSpaceDE w:val="0"/>
        <w:autoSpaceDN w:val="0"/>
        <w:adjustRightInd w:val="0"/>
        <w:jc w:val="both"/>
        <w:rPr>
          <w:bCs/>
          <w:sz w:val="2"/>
        </w:rPr>
      </w:pPr>
    </w:p>
    <w:p w14:paraId="49A5522E" w14:textId="340A22E4" w:rsidR="006D628E" w:rsidRPr="00005453" w:rsidRDefault="00575714" w:rsidP="00D22163">
      <w:pPr>
        <w:tabs>
          <w:tab w:val="left" w:pos="720"/>
          <w:tab w:val="left" w:pos="1440"/>
          <w:tab w:val="left" w:pos="2160"/>
          <w:tab w:val="left" w:pos="3070"/>
        </w:tabs>
        <w:autoSpaceDE w:val="0"/>
        <w:autoSpaceDN w:val="0"/>
        <w:adjustRightInd w:val="0"/>
        <w:ind w:hanging="567"/>
        <w:jc w:val="both"/>
        <w:rPr>
          <w:iCs/>
        </w:rPr>
      </w:pPr>
      <w:r w:rsidRPr="00005453">
        <w:rPr>
          <w:b/>
          <w:bCs/>
          <w:iCs/>
        </w:rPr>
        <w:lastRenderedPageBreak/>
        <w:t>1.8</w:t>
      </w:r>
      <w:r w:rsidRPr="00005453">
        <w:rPr>
          <w:b/>
        </w:rPr>
        <w:t>.</w:t>
      </w:r>
      <w:r w:rsidRPr="00005453">
        <w:rPr>
          <w:b/>
          <w:iCs/>
        </w:rPr>
        <w:t>2</w:t>
      </w:r>
      <w:r w:rsidRPr="00005453">
        <w:rPr>
          <w:iCs/>
        </w:rPr>
        <w:tab/>
        <w:t>Bağlı ortaklıklara ilişkin bilgiler</w:t>
      </w:r>
    </w:p>
    <w:p w14:paraId="6B8E442F" w14:textId="77777777" w:rsidR="00566981" w:rsidRPr="00005453" w:rsidRDefault="00566981" w:rsidP="002500D0">
      <w:pPr>
        <w:autoSpaceDE w:val="0"/>
        <w:autoSpaceDN w:val="0"/>
        <w:adjustRightInd w:val="0"/>
        <w:jc w:val="both"/>
        <w:rPr>
          <w:iCs/>
          <w:sz w:val="12"/>
        </w:rPr>
      </w:pPr>
    </w:p>
    <w:tbl>
      <w:tblPr>
        <w:tblStyle w:val="TableGrid"/>
        <w:tblW w:w="9223" w:type="dxa"/>
        <w:tblLook w:val="04A0" w:firstRow="1" w:lastRow="0" w:firstColumn="1" w:lastColumn="0" w:noHBand="0" w:noVBand="1"/>
      </w:tblPr>
      <w:tblGrid>
        <w:gridCol w:w="421"/>
        <w:gridCol w:w="4358"/>
        <w:gridCol w:w="1606"/>
        <w:gridCol w:w="1407"/>
        <w:gridCol w:w="1431"/>
      </w:tblGrid>
      <w:tr w:rsidR="00566981" w:rsidRPr="00005453" w14:paraId="2D2CD006" w14:textId="77777777" w:rsidTr="00714B98">
        <w:trPr>
          <w:trHeight w:val="605"/>
        </w:trPr>
        <w:tc>
          <w:tcPr>
            <w:tcW w:w="421" w:type="dxa"/>
            <w:noWrap/>
            <w:hideMark/>
          </w:tcPr>
          <w:p w14:paraId="6AB33F61" w14:textId="77777777" w:rsidR="00566981" w:rsidRPr="00005453" w:rsidRDefault="00566981" w:rsidP="00C71456">
            <w:pPr>
              <w:rPr>
                <w:bCs/>
                <w:iCs/>
                <w:sz w:val="18"/>
                <w:szCs w:val="18"/>
              </w:rPr>
            </w:pPr>
            <w:r w:rsidRPr="00005453">
              <w:rPr>
                <w:bCs/>
                <w:iCs/>
                <w:sz w:val="18"/>
                <w:szCs w:val="18"/>
              </w:rPr>
              <w:t> </w:t>
            </w:r>
          </w:p>
        </w:tc>
        <w:tc>
          <w:tcPr>
            <w:tcW w:w="4358" w:type="dxa"/>
            <w:hideMark/>
          </w:tcPr>
          <w:p w14:paraId="50EDE329" w14:textId="77777777" w:rsidR="00DB63BA" w:rsidRPr="00005453" w:rsidRDefault="00DB63BA" w:rsidP="00C71456">
            <w:pPr>
              <w:rPr>
                <w:b/>
                <w:bCs/>
                <w:iCs/>
                <w:sz w:val="18"/>
                <w:szCs w:val="18"/>
              </w:rPr>
            </w:pPr>
          </w:p>
          <w:p w14:paraId="7993689E" w14:textId="312E1BD1" w:rsidR="00566981" w:rsidRPr="00005453" w:rsidRDefault="00566981" w:rsidP="00C71456">
            <w:pPr>
              <w:rPr>
                <w:b/>
                <w:bCs/>
                <w:iCs/>
                <w:sz w:val="18"/>
                <w:szCs w:val="18"/>
              </w:rPr>
            </w:pPr>
            <w:r w:rsidRPr="00005453">
              <w:rPr>
                <w:b/>
                <w:bCs/>
                <w:iCs/>
                <w:sz w:val="18"/>
                <w:szCs w:val="18"/>
              </w:rPr>
              <w:t>Unvanı</w:t>
            </w:r>
          </w:p>
        </w:tc>
        <w:tc>
          <w:tcPr>
            <w:tcW w:w="1606" w:type="dxa"/>
            <w:hideMark/>
          </w:tcPr>
          <w:p w14:paraId="27216352" w14:textId="51308B9D" w:rsidR="00566981" w:rsidRPr="00005453" w:rsidRDefault="00566981" w:rsidP="00C71456">
            <w:pPr>
              <w:jc w:val="right"/>
              <w:rPr>
                <w:b/>
                <w:bCs/>
                <w:iCs/>
                <w:sz w:val="18"/>
                <w:szCs w:val="18"/>
              </w:rPr>
            </w:pPr>
            <w:r w:rsidRPr="00005453">
              <w:rPr>
                <w:b/>
                <w:bCs/>
                <w:iCs/>
                <w:sz w:val="18"/>
                <w:szCs w:val="18"/>
              </w:rPr>
              <w:t>Adres (Şehir/Ülke)</w:t>
            </w:r>
          </w:p>
        </w:tc>
        <w:tc>
          <w:tcPr>
            <w:tcW w:w="1407" w:type="dxa"/>
            <w:hideMark/>
          </w:tcPr>
          <w:p w14:paraId="46EC063F" w14:textId="77777777" w:rsidR="00566981" w:rsidRPr="00005453" w:rsidRDefault="00566981" w:rsidP="00C71456">
            <w:pPr>
              <w:jc w:val="right"/>
              <w:rPr>
                <w:b/>
                <w:bCs/>
                <w:iCs/>
                <w:sz w:val="18"/>
                <w:szCs w:val="18"/>
              </w:rPr>
            </w:pPr>
            <w:r w:rsidRPr="00005453">
              <w:rPr>
                <w:b/>
                <w:bCs/>
                <w:iCs/>
                <w:sz w:val="18"/>
                <w:szCs w:val="18"/>
              </w:rPr>
              <w:t xml:space="preserve">Banka'nın pay oranı-farklıysa oy </w:t>
            </w:r>
            <w:proofErr w:type="gramStart"/>
            <w:r w:rsidRPr="00005453">
              <w:rPr>
                <w:b/>
                <w:bCs/>
                <w:iCs/>
                <w:sz w:val="18"/>
                <w:szCs w:val="18"/>
              </w:rPr>
              <w:t>oranı(</w:t>
            </w:r>
            <w:proofErr w:type="gramEnd"/>
            <w:r w:rsidRPr="00005453">
              <w:rPr>
                <w:b/>
                <w:bCs/>
                <w:iCs/>
                <w:sz w:val="18"/>
                <w:szCs w:val="18"/>
              </w:rPr>
              <w:t>%)</w:t>
            </w:r>
          </w:p>
        </w:tc>
        <w:tc>
          <w:tcPr>
            <w:tcW w:w="1431" w:type="dxa"/>
            <w:hideMark/>
          </w:tcPr>
          <w:p w14:paraId="67B88756" w14:textId="77777777" w:rsidR="00566981" w:rsidRPr="00005453" w:rsidRDefault="00566981" w:rsidP="00C71456">
            <w:pPr>
              <w:jc w:val="right"/>
              <w:rPr>
                <w:b/>
                <w:bCs/>
                <w:iCs/>
                <w:sz w:val="18"/>
                <w:szCs w:val="18"/>
              </w:rPr>
            </w:pPr>
            <w:r w:rsidRPr="00005453">
              <w:rPr>
                <w:b/>
                <w:bCs/>
                <w:iCs/>
                <w:sz w:val="18"/>
                <w:szCs w:val="18"/>
              </w:rPr>
              <w:t>Banka risk grubu pay oranı (%)</w:t>
            </w:r>
          </w:p>
        </w:tc>
      </w:tr>
      <w:tr w:rsidR="00566981" w:rsidRPr="00005453" w14:paraId="1D47128B" w14:textId="77777777" w:rsidTr="00BD1BED">
        <w:trPr>
          <w:trHeight w:val="265"/>
        </w:trPr>
        <w:tc>
          <w:tcPr>
            <w:tcW w:w="421" w:type="dxa"/>
            <w:noWrap/>
            <w:hideMark/>
          </w:tcPr>
          <w:p w14:paraId="2B355198" w14:textId="77777777" w:rsidR="00566981" w:rsidRPr="00005453" w:rsidRDefault="00566981" w:rsidP="00C71456">
            <w:pPr>
              <w:rPr>
                <w:bCs/>
                <w:iCs/>
                <w:sz w:val="18"/>
                <w:szCs w:val="18"/>
              </w:rPr>
            </w:pPr>
            <w:r w:rsidRPr="00005453">
              <w:rPr>
                <w:bCs/>
                <w:iCs/>
                <w:sz w:val="18"/>
                <w:szCs w:val="18"/>
              </w:rPr>
              <w:t>1</w:t>
            </w:r>
          </w:p>
        </w:tc>
        <w:tc>
          <w:tcPr>
            <w:tcW w:w="4358" w:type="dxa"/>
            <w:vAlign w:val="center"/>
            <w:hideMark/>
          </w:tcPr>
          <w:p w14:paraId="3787FEC6" w14:textId="77777777" w:rsidR="00566981" w:rsidRPr="00005453" w:rsidRDefault="00566981" w:rsidP="0063588F">
            <w:pPr>
              <w:rPr>
                <w:bCs/>
                <w:iCs/>
                <w:sz w:val="18"/>
                <w:szCs w:val="18"/>
              </w:rPr>
            </w:pPr>
            <w:r w:rsidRPr="00005453">
              <w:rPr>
                <w:bCs/>
                <w:iCs/>
                <w:sz w:val="18"/>
                <w:szCs w:val="18"/>
              </w:rPr>
              <w:t xml:space="preserve">KT Bank </w:t>
            </w:r>
            <w:proofErr w:type="gramStart"/>
            <w:r w:rsidRPr="00005453">
              <w:rPr>
                <w:bCs/>
                <w:iCs/>
                <w:sz w:val="18"/>
                <w:szCs w:val="18"/>
              </w:rPr>
              <w:t>AG(</w:t>
            </w:r>
            <w:proofErr w:type="gramEnd"/>
            <w:r w:rsidRPr="00005453">
              <w:rPr>
                <w:bCs/>
                <w:iCs/>
                <w:sz w:val="18"/>
                <w:szCs w:val="18"/>
              </w:rPr>
              <w:t>*)</w:t>
            </w:r>
          </w:p>
        </w:tc>
        <w:tc>
          <w:tcPr>
            <w:tcW w:w="1606" w:type="dxa"/>
            <w:vAlign w:val="center"/>
            <w:hideMark/>
          </w:tcPr>
          <w:p w14:paraId="7745C180" w14:textId="77777777" w:rsidR="00566981" w:rsidRPr="00005453" w:rsidRDefault="00566981" w:rsidP="00B04851">
            <w:pPr>
              <w:jc w:val="right"/>
              <w:rPr>
                <w:bCs/>
                <w:iCs/>
                <w:sz w:val="18"/>
                <w:szCs w:val="18"/>
              </w:rPr>
            </w:pPr>
            <w:r w:rsidRPr="00005453">
              <w:rPr>
                <w:bCs/>
                <w:iCs/>
                <w:sz w:val="18"/>
                <w:szCs w:val="18"/>
              </w:rPr>
              <w:t>Frankfurt/Almanya</w:t>
            </w:r>
          </w:p>
        </w:tc>
        <w:tc>
          <w:tcPr>
            <w:tcW w:w="1407" w:type="dxa"/>
            <w:shd w:val="clear" w:color="auto" w:fill="auto"/>
            <w:vAlign w:val="center"/>
            <w:hideMark/>
          </w:tcPr>
          <w:p w14:paraId="4A1D47F5" w14:textId="77777777" w:rsidR="00566981" w:rsidRPr="00005453" w:rsidRDefault="00566981" w:rsidP="00B04851">
            <w:pPr>
              <w:jc w:val="right"/>
              <w:rPr>
                <w:bCs/>
                <w:iCs/>
                <w:sz w:val="18"/>
                <w:szCs w:val="18"/>
              </w:rPr>
            </w:pPr>
            <w:r w:rsidRPr="00005453">
              <w:rPr>
                <w:bCs/>
                <w:iCs/>
                <w:sz w:val="18"/>
                <w:szCs w:val="18"/>
              </w:rPr>
              <w:t>100</w:t>
            </w:r>
          </w:p>
        </w:tc>
        <w:tc>
          <w:tcPr>
            <w:tcW w:w="1431" w:type="dxa"/>
            <w:shd w:val="clear" w:color="auto" w:fill="auto"/>
            <w:vAlign w:val="center"/>
            <w:hideMark/>
          </w:tcPr>
          <w:p w14:paraId="605E509A" w14:textId="77777777" w:rsidR="00566981" w:rsidRPr="00005453" w:rsidRDefault="00566981" w:rsidP="00B04851">
            <w:pPr>
              <w:jc w:val="right"/>
              <w:rPr>
                <w:bCs/>
                <w:iCs/>
                <w:sz w:val="18"/>
                <w:szCs w:val="18"/>
              </w:rPr>
            </w:pPr>
            <w:r w:rsidRPr="00005453">
              <w:rPr>
                <w:bCs/>
                <w:iCs/>
                <w:sz w:val="18"/>
                <w:szCs w:val="18"/>
              </w:rPr>
              <w:t>100</w:t>
            </w:r>
          </w:p>
        </w:tc>
      </w:tr>
      <w:tr w:rsidR="00566981" w:rsidRPr="00005453" w14:paraId="68D60BA8" w14:textId="77777777" w:rsidTr="00BD1BED">
        <w:trPr>
          <w:trHeight w:val="265"/>
        </w:trPr>
        <w:tc>
          <w:tcPr>
            <w:tcW w:w="421" w:type="dxa"/>
            <w:noWrap/>
            <w:hideMark/>
          </w:tcPr>
          <w:p w14:paraId="4A9F15DE" w14:textId="77777777" w:rsidR="00566981" w:rsidRPr="00005453" w:rsidRDefault="00566981" w:rsidP="00C71456">
            <w:pPr>
              <w:rPr>
                <w:bCs/>
                <w:iCs/>
                <w:sz w:val="18"/>
                <w:szCs w:val="18"/>
              </w:rPr>
            </w:pPr>
            <w:r w:rsidRPr="00005453">
              <w:rPr>
                <w:bCs/>
                <w:iCs/>
                <w:sz w:val="18"/>
                <w:szCs w:val="18"/>
              </w:rPr>
              <w:t>2</w:t>
            </w:r>
          </w:p>
        </w:tc>
        <w:tc>
          <w:tcPr>
            <w:tcW w:w="4358" w:type="dxa"/>
            <w:vAlign w:val="center"/>
            <w:hideMark/>
          </w:tcPr>
          <w:p w14:paraId="5416C867" w14:textId="77777777" w:rsidR="00566981" w:rsidRPr="00005453" w:rsidRDefault="00566981" w:rsidP="0063588F">
            <w:pPr>
              <w:rPr>
                <w:bCs/>
                <w:iCs/>
                <w:sz w:val="18"/>
                <w:szCs w:val="18"/>
              </w:rPr>
            </w:pPr>
            <w:r w:rsidRPr="00005453">
              <w:rPr>
                <w:bCs/>
                <w:iCs/>
                <w:sz w:val="18"/>
                <w:szCs w:val="18"/>
              </w:rPr>
              <w:t xml:space="preserve">Neova Katılım Sigorta </w:t>
            </w:r>
            <w:proofErr w:type="gramStart"/>
            <w:r w:rsidRPr="00005453">
              <w:rPr>
                <w:bCs/>
                <w:iCs/>
                <w:sz w:val="18"/>
                <w:szCs w:val="18"/>
              </w:rPr>
              <w:t>A.Ş.(</w:t>
            </w:r>
            <w:proofErr w:type="gramEnd"/>
            <w:r w:rsidRPr="00005453">
              <w:rPr>
                <w:bCs/>
                <w:iCs/>
                <w:sz w:val="18"/>
                <w:szCs w:val="18"/>
              </w:rPr>
              <w:t>***)</w:t>
            </w:r>
          </w:p>
        </w:tc>
        <w:tc>
          <w:tcPr>
            <w:tcW w:w="1606" w:type="dxa"/>
            <w:vAlign w:val="center"/>
            <w:hideMark/>
          </w:tcPr>
          <w:p w14:paraId="091300B2"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390E6802" w14:textId="77777777" w:rsidR="00566981" w:rsidRPr="00005453" w:rsidRDefault="00566981" w:rsidP="00B04851">
            <w:pPr>
              <w:jc w:val="right"/>
              <w:rPr>
                <w:bCs/>
                <w:iCs/>
                <w:sz w:val="18"/>
                <w:szCs w:val="18"/>
              </w:rPr>
            </w:pPr>
            <w:r w:rsidRPr="00005453">
              <w:rPr>
                <w:bCs/>
                <w:iCs/>
                <w:sz w:val="18"/>
                <w:szCs w:val="18"/>
              </w:rPr>
              <w:t>100</w:t>
            </w:r>
          </w:p>
        </w:tc>
        <w:tc>
          <w:tcPr>
            <w:tcW w:w="1431" w:type="dxa"/>
            <w:shd w:val="clear" w:color="auto" w:fill="auto"/>
            <w:vAlign w:val="center"/>
            <w:hideMark/>
          </w:tcPr>
          <w:p w14:paraId="78B8E92B" w14:textId="77777777" w:rsidR="00566981" w:rsidRPr="00005453" w:rsidRDefault="00566981" w:rsidP="00B04851">
            <w:pPr>
              <w:jc w:val="right"/>
              <w:rPr>
                <w:bCs/>
                <w:iCs/>
                <w:sz w:val="18"/>
                <w:szCs w:val="18"/>
              </w:rPr>
            </w:pPr>
            <w:r w:rsidRPr="00005453">
              <w:rPr>
                <w:bCs/>
                <w:iCs/>
                <w:sz w:val="18"/>
                <w:szCs w:val="18"/>
              </w:rPr>
              <w:t>100</w:t>
            </w:r>
          </w:p>
        </w:tc>
      </w:tr>
      <w:tr w:rsidR="00566981" w:rsidRPr="00005453" w14:paraId="4F37020E" w14:textId="77777777" w:rsidTr="00BD1BED">
        <w:trPr>
          <w:trHeight w:val="265"/>
        </w:trPr>
        <w:tc>
          <w:tcPr>
            <w:tcW w:w="421" w:type="dxa"/>
            <w:noWrap/>
            <w:hideMark/>
          </w:tcPr>
          <w:p w14:paraId="768A21BE" w14:textId="77777777" w:rsidR="00566981" w:rsidRPr="00005453" w:rsidRDefault="00566981" w:rsidP="00C71456">
            <w:pPr>
              <w:rPr>
                <w:bCs/>
                <w:iCs/>
                <w:sz w:val="18"/>
                <w:szCs w:val="18"/>
              </w:rPr>
            </w:pPr>
            <w:r w:rsidRPr="00005453">
              <w:rPr>
                <w:bCs/>
                <w:iCs/>
                <w:sz w:val="18"/>
                <w:szCs w:val="18"/>
              </w:rPr>
              <w:t>3</w:t>
            </w:r>
          </w:p>
        </w:tc>
        <w:tc>
          <w:tcPr>
            <w:tcW w:w="4358" w:type="dxa"/>
            <w:vAlign w:val="center"/>
            <w:hideMark/>
          </w:tcPr>
          <w:p w14:paraId="2C3D5D93" w14:textId="77777777" w:rsidR="00566981" w:rsidRPr="00005453" w:rsidRDefault="00566981" w:rsidP="0063588F">
            <w:pPr>
              <w:rPr>
                <w:bCs/>
                <w:iCs/>
                <w:sz w:val="18"/>
                <w:szCs w:val="18"/>
              </w:rPr>
            </w:pPr>
            <w:r w:rsidRPr="00005453">
              <w:rPr>
                <w:bCs/>
                <w:iCs/>
                <w:sz w:val="18"/>
                <w:szCs w:val="18"/>
              </w:rPr>
              <w:t>KT Kira Sertifikaları Varlık Kiralama A.Ş.</w:t>
            </w:r>
          </w:p>
        </w:tc>
        <w:tc>
          <w:tcPr>
            <w:tcW w:w="1606" w:type="dxa"/>
            <w:vAlign w:val="center"/>
            <w:hideMark/>
          </w:tcPr>
          <w:p w14:paraId="493BAB71"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112CDC21" w14:textId="77777777" w:rsidR="00566981" w:rsidRPr="00005453" w:rsidRDefault="00566981" w:rsidP="00B04851">
            <w:pPr>
              <w:jc w:val="right"/>
              <w:rPr>
                <w:bCs/>
                <w:iCs/>
                <w:sz w:val="18"/>
                <w:szCs w:val="18"/>
              </w:rPr>
            </w:pPr>
            <w:r w:rsidRPr="00005453">
              <w:rPr>
                <w:bCs/>
                <w:iCs/>
                <w:sz w:val="18"/>
                <w:szCs w:val="18"/>
              </w:rPr>
              <w:t>100</w:t>
            </w:r>
          </w:p>
        </w:tc>
        <w:tc>
          <w:tcPr>
            <w:tcW w:w="1431" w:type="dxa"/>
            <w:shd w:val="clear" w:color="auto" w:fill="auto"/>
            <w:vAlign w:val="center"/>
            <w:hideMark/>
          </w:tcPr>
          <w:p w14:paraId="01059BCF" w14:textId="77777777" w:rsidR="00566981" w:rsidRPr="00005453" w:rsidRDefault="00566981" w:rsidP="00B04851">
            <w:pPr>
              <w:jc w:val="right"/>
              <w:rPr>
                <w:bCs/>
                <w:iCs/>
                <w:sz w:val="18"/>
                <w:szCs w:val="18"/>
              </w:rPr>
            </w:pPr>
            <w:r w:rsidRPr="00005453">
              <w:rPr>
                <w:bCs/>
                <w:iCs/>
                <w:sz w:val="18"/>
                <w:szCs w:val="18"/>
              </w:rPr>
              <w:t>100</w:t>
            </w:r>
          </w:p>
        </w:tc>
      </w:tr>
      <w:tr w:rsidR="00566981" w:rsidRPr="00005453" w14:paraId="3AE997F2" w14:textId="77777777" w:rsidTr="00BD1BED">
        <w:trPr>
          <w:trHeight w:val="265"/>
        </w:trPr>
        <w:tc>
          <w:tcPr>
            <w:tcW w:w="421" w:type="dxa"/>
            <w:noWrap/>
            <w:hideMark/>
          </w:tcPr>
          <w:p w14:paraId="0C56B339" w14:textId="77777777" w:rsidR="00566981" w:rsidRPr="00005453" w:rsidRDefault="00566981" w:rsidP="00C71456">
            <w:pPr>
              <w:rPr>
                <w:bCs/>
                <w:iCs/>
                <w:sz w:val="18"/>
                <w:szCs w:val="18"/>
              </w:rPr>
            </w:pPr>
            <w:r w:rsidRPr="00005453">
              <w:rPr>
                <w:bCs/>
                <w:iCs/>
                <w:sz w:val="18"/>
                <w:szCs w:val="18"/>
              </w:rPr>
              <w:t>4</w:t>
            </w:r>
          </w:p>
        </w:tc>
        <w:tc>
          <w:tcPr>
            <w:tcW w:w="4358" w:type="dxa"/>
            <w:vAlign w:val="center"/>
            <w:hideMark/>
          </w:tcPr>
          <w:p w14:paraId="7526525E" w14:textId="77777777" w:rsidR="00566981" w:rsidRPr="00005453" w:rsidRDefault="00566981" w:rsidP="0063588F">
            <w:pPr>
              <w:rPr>
                <w:bCs/>
                <w:iCs/>
                <w:sz w:val="18"/>
                <w:szCs w:val="18"/>
              </w:rPr>
            </w:pPr>
            <w:r w:rsidRPr="00005453">
              <w:rPr>
                <w:bCs/>
                <w:iCs/>
                <w:sz w:val="18"/>
                <w:szCs w:val="18"/>
              </w:rPr>
              <w:t>KT Sukuk Varlık Kiralama A.Ş.</w:t>
            </w:r>
          </w:p>
        </w:tc>
        <w:tc>
          <w:tcPr>
            <w:tcW w:w="1606" w:type="dxa"/>
            <w:vAlign w:val="center"/>
            <w:hideMark/>
          </w:tcPr>
          <w:p w14:paraId="5A32D6FC"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6B6E5EAE" w14:textId="77777777" w:rsidR="00566981" w:rsidRPr="00005453" w:rsidRDefault="00566981" w:rsidP="00B04851">
            <w:pPr>
              <w:jc w:val="right"/>
              <w:rPr>
                <w:bCs/>
                <w:iCs/>
                <w:sz w:val="18"/>
                <w:szCs w:val="18"/>
              </w:rPr>
            </w:pPr>
            <w:r w:rsidRPr="00005453">
              <w:rPr>
                <w:bCs/>
                <w:iCs/>
                <w:sz w:val="18"/>
                <w:szCs w:val="18"/>
              </w:rPr>
              <w:t>100</w:t>
            </w:r>
          </w:p>
        </w:tc>
        <w:tc>
          <w:tcPr>
            <w:tcW w:w="1431" w:type="dxa"/>
            <w:shd w:val="clear" w:color="auto" w:fill="auto"/>
            <w:vAlign w:val="center"/>
            <w:hideMark/>
          </w:tcPr>
          <w:p w14:paraId="043330F3" w14:textId="77777777" w:rsidR="00566981" w:rsidRPr="00005453" w:rsidRDefault="00566981" w:rsidP="00B04851">
            <w:pPr>
              <w:jc w:val="right"/>
              <w:rPr>
                <w:bCs/>
                <w:iCs/>
                <w:sz w:val="18"/>
                <w:szCs w:val="18"/>
              </w:rPr>
            </w:pPr>
            <w:r w:rsidRPr="00005453">
              <w:rPr>
                <w:bCs/>
                <w:iCs/>
                <w:sz w:val="18"/>
                <w:szCs w:val="18"/>
              </w:rPr>
              <w:t>100</w:t>
            </w:r>
          </w:p>
        </w:tc>
      </w:tr>
      <w:tr w:rsidR="00566981" w:rsidRPr="00005453" w14:paraId="0419C51A" w14:textId="77777777" w:rsidTr="00BD1BED">
        <w:trPr>
          <w:trHeight w:val="265"/>
        </w:trPr>
        <w:tc>
          <w:tcPr>
            <w:tcW w:w="421" w:type="dxa"/>
            <w:noWrap/>
            <w:hideMark/>
          </w:tcPr>
          <w:p w14:paraId="2E76E533" w14:textId="77777777" w:rsidR="00566981" w:rsidRPr="00005453" w:rsidRDefault="00566981" w:rsidP="00C71456">
            <w:pPr>
              <w:rPr>
                <w:bCs/>
                <w:iCs/>
                <w:sz w:val="18"/>
                <w:szCs w:val="18"/>
              </w:rPr>
            </w:pPr>
            <w:r w:rsidRPr="00005453">
              <w:rPr>
                <w:bCs/>
                <w:iCs/>
                <w:sz w:val="18"/>
                <w:szCs w:val="18"/>
              </w:rPr>
              <w:t>5</w:t>
            </w:r>
          </w:p>
        </w:tc>
        <w:tc>
          <w:tcPr>
            <w:tcW w:w="4358" w:type="dxa"/>
            <w:vAlign w:val="center"/>
            <w:hideMark/>
          </w:tcPr>
          <w:p w14:paraId="2243978B" w14:textId="2478E7B9" w:rsidR="00566981" w:rsidRPr="00005453" w:rsidRDefault="00566981" w:rsidP="0063588F">
            <w:pPr>
              <w:rPr>
                <w:bCs/>
                <w:iCs/>
                <w:sz w:val="18"/>
                <w:szCs w:val="18"/>
              </w:rPr>
            </w:pPr>
            <w:r w:rsidRPr="00005453">
              <w:rPr>
                <w:bCs/>
                <w:iCs/>
                <w:sz w:val="18"/>
                <w:szCs w:val="18"/>
              </w:rPr>
              <w:t>K</w:t>
            </w:r>
            <w:r w:rsidR="005D3149" w:rsidRPr="00005453">
              <w:rPr>
                <w:bCs/>
                <w:iCs/>
                <w:sz w:val="18"/>
                <w:szCs w:val="18"/>
              </w:rPr>
              <w:t>uveyt Türk</w:t>
            </w:r>
            <w:r w:rsidRPr="00005453">
              <w:rPr>
                <w:bCs/>
                <w:iCs/>
                <w:sz w:val="18"/>
                <w:szCs w:val="18"/>
              </w:rPr>
              <w:t xml:space="preserve"> Portföy Yönetimi A.Ş. </w:t>
            </w:r>
          </w:p>
        </w:tc>
        <w:tc>
          <w:tcPr>
            <w:tcW w:w="1606" w:type="dxa"/>
            <w:vAlign w:val="center"/>
            <w:hideMark/>
          </w:tcPr>
          <w:p w14:paraId="161963F3"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671C1A72" w14:textId="77777777" w:rsidR="00566981" w:rsidRPr="00005453" w:rsidRDefault="00566981" w:rsidP="00B04851">
            <w:pPr>
              <w:jc w:val="right"/>
              <w:rPr>
                <w:bCs/>
                <w:iCs/>
                <w:sz w:val="18"/>
                <w:szCs w:val="18"/>
              </w:rPr>
            </w:pPr>
            <w:r w:rsidRPr="00005453">
              <w:rPr>
                <w:bCs/>
                <w:iCs/>
                <w:sz w:val="18"/>
                <w:szCs w:val="18"/>
              </w:rPr>
              <w:t>100</w:t>
            </w:r>
          </w:p>
        </w:tc>
        <w:tc>
          <w:tcPr>
            <w:tcW w:w="1431" w:type="dxa"/>
            <w:shd w:val="clear" w:color="auto" w:fill="auto"/>
            <w:vAlign w:val="center"/>
            <w:hideMark/>
          </w:tcPr>
          <w:p w14:paraId="3C2F77F5" w14:textId="77777777" w:rsidR="00566981" w:rsidRPr="00005453" w:rsidRDefault="00566981" w:rsidP="00B04851">
            <w:pPr>
              <w:jc w:val="right"/>
              <w:rPr>
                <w:bCs/>
                <w:iCs/>
                <w:sz w:val="18"/>
                <w:szCs w:val="18"/>
              </w:rPr>
            </w:pPr>
            <w:r w:rsidRPr="00005453">
              <w:rPr>
                <w:bCs/>
                <w:iCs/>
                <w:sz w:val="18"/>
                <w:szCs w:val="18"/>
              </w:rPr>
              <w:t>100</w:t>
            </w:r>
          </w:p>
        </w:tc>
      </w:tr>
      <w:tr w:rsidR="00566981" w:rsidRPr="00005453" w14:paraId="4D3032A4" w14:textId="77777777" w:rsidTr="00BD1BED">
        <w:trPr>
          <w:trHeight w:val="265"/>
        </w:trPr>
        <w:tc>
          <w:tcPr>
            <w:tcW w:w="421" w:type="dxa"/>
            <w:noWrap/>
            <w:hideMark/>
          </w:tcPr>
          <w:p w14:paraId="6BAB3AC7" w14:textId="77777777" w:rsidR="00566981" w:rsidRPr="00005453" w:rsidRDefault="00566981" w:rsidP="00C71456">
            <w:pPr>
              <w:rPr>
                <w:bCs/>
                <w:iCs/>
                <w:sz w:val="18"/>
                <w:szCs w:val="18"/>
              </w:rPr>
            </w:pPr>
            <w:r w:rsidRPr="00005453">
              <w:rPr>
                <w:bCs/>
                <w:iCs/>
                <w:sz w:val="18"/>
                <w:szCs w:val="18"/>
              </w:rPr>
              <w:t>6</w:t>
            </w:r>
          </w:p>
        </w:tc>
        <w:tc>
          <w:tcPr>
            <w:tcW w:w="4358" w:type="dxa"/>
            <w:vAlign w:val="center"/>
            <w:hideMark/>
          </w:tcPr>
          <w:p w14:paraId="22FAD74F" w14:textId="77777777" w:rsidR="00566981" w:rsidRPr="00005453" w:rsidRDefault="00566981" w:rsidP="0063588F">
            <w:pPr>
              <w:rPr>
                <w:bCs/>
                <w:iCs/>
                <w:sz w:val="18"/>
                <w:szCs w:val="18"/>
              </w:rPr>
            </w:pPr>
            <w:r w:rsidRPr="00005453">
              <w:rPr>
                <w:bCs/>
                <w:iCs/>
                <w:sz w:val="18"/>
                <w:szCs w:val="18"/>
              </w:rPr>
              <w:t>Körfez Gayrimenkul Yatırım Ortaklığı A.Ş.</w:t>
            </w:r>
          </w:p>
        </w:tc>
        <w:tc>
          <w:tcPr>
            <w:tcW w:w="1606" w:type="dxa"/>
            <w:vAlign w:val="center"/>
            <w:hideMark/>
          </w:tcPr>
          <w:p w14:paraId="0C22C4A6"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2CDECAB4" w14:textId="77777777" w:rsidR="00566981" w:rsidRPr="00005453" w:rsidRDefault="00566981" w:rsidP="00B04851">
            <w:pPr>
              <w:jc w:val="right"/>
              <w:rPr>
                <w:bCs/>
                <w:iCs/>
                <w:sz w:val="18"/>
                <w:szCs w:val="18"/>
              </w:rPr>
            </w:pPr>
            <w:r w:rsidRPr="00005453">
              <w:rPr>
                <w:bCs/>
                <w:iCs/>
                <w:sz w:val="18"/>
                <w:szCs w:val="18"/>
              </w:rPr>
              <w:t>75</w:t>
            </w:r>
          </w:p>
        </w:tc>
        <w:tc>
          <w:tcPr>
            <w:tcW w:w="1431" w:type="dxa"/>
            <w:shd w:val="clear" w:color="auto" w:fill="auto"/>
            <w:vAlign w:val="center"/>
            <w:hideMark/>
          </w:tcPr>
          <w:p w14:paraId="7A133048" w14:textId="082DA785" w:rsidR="00566981" w:rsidRPr="00005453" w:rsidRDefault="00566981" w:rsidP="00B04851">
            <w:pPr>
              <w:jc w:val="right"/>
              <w:rPr>
                <w:bCs/>
                <w:iCs/>
                <w:sz w:val="18"/>
                <w:szCs w:val="18"/>
              </w:rPr>
            </w:pPr>
            <w:r w:rsidRPr="00005453">
              <w:rPr>
                <w:bCs/>
                <w:iCs/>
                <w:sz w:val="18"/>
                <w:szCs w:val="18"/>
              </w:rPr>
              <w:t>7</w:t>
            </w:r>
            <w:r w:rsidR="005D3149" w:rsidRPr="00005453">
              <w:rPr>
                <w:bCs/>
                <w:iCs/>
                <w:sz w:val="18"/>
                <w:szCs w:val="18"/>
              </w:rPr>
              <w:t>5</w:t>
            </w:r>
          </w:p>
        </w:tc>
      </w:tr>
      <w:tr w:rsidR="00566981" w:rsidRPr="00005453" w14:paraId="01662B66" w14:textId="77777777" w:rsidTr="00BD1BED">
        <w:trPr>
          <w:trHeight w:val="265"/>
        </w:trPr>
        <w:tc>
          <w:tcPr>
            <w:tcW w:w="421" w:type="dxa"/>
            <w:noWrap/>
            <w:hideMark/>
          </w:tcPr>
          <w:p w14:paraId="4D139A6A" w14:textId="77777777" w:rsidR="00566981" w:rsidRPr="00005453" w:rsidRDefault="00566981" w:rsidP="00C71456">
            <w:pPr>
              <w:rPr>
                <w:bCs/>
                <w:iCs/>
                <w:sz w:val="18"/>
                <w:szCs w:val="18"/>
              </w:rPr>
            </w:pPr>
            <w:r w:rsidRPr="00005453">
              <w:rPr>
                <w:bCs/>
                <w:iCs/>
                <w:sz w:val="18"/>
                <w:szCs w:val="18"/>
              </w:rPr>
              <w:t>7</w:t>
            </w:r>
          </w:p>
        </w:tc>
        <w:tc>
          <w:tcPr>
            <w:tcW w:w="4358" w:type="dxa"/>
            <w:vAlign w:val="center"/>
            <w:hideMark/>
          </w:tcPr>
          <w:p w14:paraId="0417B060" w14:textId="77777777" w:rsidR="00566981" w:rsidRPr="00005453" w:rsidRDefault="00566981" w:rsidP="0063588F">
            <w:pPr>
              <w:rPr>
                <w:bCs/>
                <w:iCs/>
                <w:sz w:val="18"/>
                <w:szCs w:val="18"/>
              </w:rPr>
            </w:pPr>
            <w:r w:rsidRPr="00005453">
              <w:rPr>
                <w:bCs/>
                <w:iCs/>
                <w:sz w:val="18"/>
                <w:szCs w:val="18"/>
              </w:rPr>
              <w:t xml:space="preserve">Architecht Bilişim Sistemleri ve Pazarlama Tic </w:t>
            </w:r>
            <w:proofErr w:type="gramStart"/>
            <w:r w:rsidRPr="00005453">
              <w:rPr>
                <w:bCs/>
                <w:iCs/>
                <w:sz w:val="18"/>
                <w:szCs w:val="18"/>
              </w:rPr>
              <w:t>A.Ş.(</w:t>
            </w:r>
            <w:proofErr w:type="gramEnd"/>
            <w:r w:rsidRPr="00005453">
              <w:rPr>
                <w:bCs/>
                <w:iCs/>
                <w:sz w:val="18"/>
                <w:szCs w:val="18"/>
              </w:rPr>
              <w:t>**)</w:t>
            </w:r>
          </w:p>
        </w:tc>
        <w:tc>
          <w:tcPr>
            <w:tcW w:w="1606" w:type="dxa"/>
            <w:vAlign w:val="center"/>
            <w:hideMark/>
          </w:tcPr>
          <w:p w14:paraId="1BD5FA84"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7AF850CC" w14:textId="77777777" w:rsidR="00566981" w:rsidRPr="00005453" w:rsidRDefault="00566981" w:rsidP="00B04851">
            <w:pPr>
              <w:jc w:val="right"/>
              <w:rPr>
                <w:bCs/>
                <w:iCs/>
                <w:sz w:val="18"/>
                <w:szCs w:val="18"/>
              </w:rPr>
            </w:pPr>
            <w:r w:rsidRPr="00005453">
              <w:rPr>
                <w:bCs/>
                <w:iCs/>
                <w:sz w:val="18"/>
                <w:szCs w:val="18"/>
              </w:rPr>
              <w:t>100</w:t>
            </w:r>
          </w:p>
        </w:tc>
        <w:tc>
          <w:tcPr>
            <w:tcW w:w="1431" w:type="dxa"/>
            <w:shd w:val="clear" w:color="auto" w:fill="auto"/>
            <w:vAlign w:val="center"/>
            <w:hideMark/>
          </w:tcPr>
          <w:p w14:paraId="2340A0D1" w14:textId="77777777" w:rsidR="00566981" w:rsidRPr="00005453" w:rsidRDefault="00566981" w:rsidP="00B04851">
            <w:pPr>
              <w:jc w:val="right"/>
              <w:rPr>
                <w:bCs/>
                <w:iCs/>
                <w:sz w:val="18"/>
                <w:szCs w:val="18"/>
              </w:rPr>
            </w:pPr>
            <w:r w:rsidRPr="00005453">
              <w:rPr>
                <w:bCs/>
                <w:iCs/>
                <w:sz w:val="18"/>
                <w:szCs w:val="18"/>
              </w:rPr>
              <w:t>100</w:t>
            </w:r>
          </w:p>
        </w:tc>
      </w:tr>
      <w:tr w:rsidR="00566981" w:rsidRPr="00005453" w14:paraId="3ECB5AC2" w14:textId="77777777" w:rsidTr="00BD1BED">
        <w:trPr>
          <w:trHeight w:val="265"/>
        </w:trPr>
        <w:tc>
          <w:tcPr>
            <w:tcW w:w="421" w:type="dxa"/>
            <w:noWrap/>
            <w:hideMark/>
          </w:tcPr>
          <w:p w14:paraId="479BA7BE" w14:textId="77777777" w:rsidR="00566981" w:rsidRPr="00005453" w:rsidRDefault="00566981" w:rsidP="00C71456">
            <w:pPr>
              <w:rPr>
                <w:bCs/>
                <w:iCs/>
                <w:sz w:val="18"/>
                <w:szCs w:val="18"/>
              </w:rPr>
            </w:pPr>
            <w:r w:rsidRPr="00005453">
              <w:rPr>
                <w:bCs/>
                <w:iCs/>
                <w:sz w:val="18"/>
                <w:szCs w:val="18"/>
              </w:rPr>
              <w:t>8</w:t>
            </w:r>
          </w:p>
        </w:tc>
        <w:tc>
          <w:tcPr>
            <w:tcW w:w="4358" w:type="dxa"/>
            <w:vAlign w:val="center"/>
            <w:hideMark/>
          </w:tcPr>
          <w:p w14:paraId="397F0D00" w14:textId="77777777" w:rsidR="00566981" w:rsidRPr="00005453" w:rsidRDefault="00566981" w:rsidP="0063588F">
            <w:pPr>
              <w:rPr>
                <w:bCs/>
                <w:iCs/>
                <w:sz w:val="18"/>
                <w:szCs w:val="18"/>
              </w:rPr>
            </w:pPr>
            <w:r w:rsidRPr="00005453">
              <w:rPr>
                <w:bCs/>
                <w:iCs/>
                <w:sz w:val="18"/>
                <w:szCs w:val="18"/>
              </w:rPr>
              <w:t xml:space="preserve">Körfez Tatil Beldesi Turistik Tesisler ve Devremülk İşletmeciliği San.ve Tic. </w:t>
            </w:r>
            <w:proofErr w:type="gramStart"/>
            <w:r w:rsidRPr="00005453">
              <w:rPr>
                <w:bCs/>
                <w:iCs/>
                <w:sz w:val="18"/>
                <w:szCs w:val="18"/>
              </w:rPr>
              <w:t>A.Ş.(</w:t>
            </w:r>
            <w:proofErr w:type="gramEnd"/>
            <w:r w:rsidRPr="00005453">
              <w:rPr>
                <w:bCs/>
                <w:iCs/>
                <w:sz w:val="18"/>
                <w:szCs w:val="18"/>
              </w:rPr>
              <w:t>**)</w:t>
            </w:r>
          </w:p>
        </w:tc>
        <w:tc>
          <w:tcPr>
            <w:tcW w:w="1606" w:type="dxa"/>
            <w:vAlign w:val="center"/>
            <w:hideMark/>
          </w:tcPr>
          <w:p w14:paraId="5A228A4C" w14:textId="77777777" w:rsidR="00566981" w:rsidRPr="00005453" w:rsidRDefault="00566981" w:rsidP="00B04851">
            <w:pPr>
              <w:jc w:val="right"/>
              <w:rPr>
                <w:bCs/>
                <w:iCs/>
                <w:sz w:val="18"/>
                <w:szCs w:val="18"/>
              </w:rPr>
            </w:pPr>
            <w:r w:rsidRPr="00005453">
              <w:rPr>
                <w:bCs/>
                <w:iCs/>
                <w:sz w:val="18"/>
                <w:szCs w:val="18"/>
              </w:rPr>
              <w:t>İstanbul/Türkiye</w:t>
            </w:r>
          </w:p>
        </w:tc>
        <w:tc>
          <w:tcPr>
            <w:tcW w:w="1407" w:type="dxa"/>
            <w:shd w:val="clear" w:color="auto" w:fill="auto"/>
            <w:vAlign w:val="center"/>
            <w:hideMark/>
          </w:tcPr>
          <w:p w14:paraId="7A206284" w14:textId="77777777" w:rsidR="00566981" w:rsidRPr="00005453" w:rsidRDefault="00566981" w:rsidP="00B04851">
            <w:pPr>
              <w:jc w:val="right"/>
              <w:rPr>
                <w:bCs/>
                <w:iCs/>
                <w:sz w:val="18"/>
                <w:szCs w:val="18"/>
              </w:rPr>
            </w:pPr>
            <w:r w:rsidRPr="00005453">
              <w:rPr>
                <w:bCs/>
                <w:iCs/>
                <w:sz w:val="18"/>
                <w:szCs w:val="18"/>
              </w:rPr>
              <w:t>99.99</w:t>
            </w:r>
          </w:p>
        </w:tc>
        <w:tc>
          <w:tcPr>
            <w:tcW w:w="1431" w:type="dxa"/>
            <w:shd w:val="clear" w:color="auto" w:fill="auto"/>
            <w:vAlign w:val="center"/>
            <w:hideMark/>
          </w:tcPr>
          <w:p w14:paraId="47706B26" w14:textId="77777777" w:rsidR="00566981" w:rsidRPr="00005453" w:rsidRDefault="00566981" w:rsidP="00B04851">
            <w:pPr>
              <w:jc w:val="right"/>
              <w:rPr>
                <w:bCs/>
                <w:iCs/>
                <w:sz w:val="18"/>
                <w:szCs w:val="18"/>
              </w:rPr>
            </w:pPr>
            <w:r w:rsidRPr="00005453">
              <w:rPr>
                <w:bCs/>
                <w:iCs/>
                <w:sz w:val="18"/>
                <w:szCs w:val="18"/>
              </w:rPr>
              <w:t>99.99</w:t>
            </w:r>
          </w:p>
        </w:tc>
      </w:tr>
      <w:tr w:rsidR="00B04851" w:rsidRPr="00005453" w14:paraId="5A399199" w14:textId="77777777" w:rsidTr="00BD1BED">
        <w:trPr>
          <w:trHeight w:val="265"/>
        </w:trPr>
        <w:tc>
          <w:tcPr>
            <w:tcW w:w="421" w:type="dxa"/>
            <w:noWrap/>
          </w:tcPr>
          <w:p w14:paraId="15685E17" w14:textId="7ED618CB" w:rsidR="00B04851" w:rsidRPr="00005453" w:rsidRDefault="00B04851" w:rsidP="00B04851">
            <w:pPr>
              <w:rPr>
                <w:bCs/>
                <w:iCs/>
                <w:sz w:val="18"/>
                <w:szCs w:val="18"/>
              </w:rPr>
            </w:pPr>
            <w:r w:rsidRPr="00005453">
              <w:rPr>
                <w:bCs/>
                <w:iCs/>
                <w:sz w:val="18"/>
                <w:szCs w:val="18"/>
              </w:rPr>
              <w:t>9</w:t>
            </w:r>
          </w:p>
        </w:tc>
        <w:tc>
          <w:tcPr>
            <w:tcW w:w="4358" w:type="dxa"/>
            <w:vAlign w:val="center"/>
          </w:tcPr>
          <w:p w14:paraId="5FEE538C" w14:textId="6A7814B7" w:rsidR="00B04851" w:rsidRPr="00005453" w:rsidRDefault="00B04851" w:rsidP="0063588F">
            <w:pPr>
              <w:rPr>
                <w:bCs/>
                <w:iCs/>
                <w:sz w:val="18"/>
                <w:szCs w:val="18"/>
              </w:rPr>
            </w:pPr>
            <w:r w:rsidRPr="00005453">
              <w:rPr>
                <w:bCs/>
                <w:iCs/>
                <w:sz w:val="18"/>
                <w:szCs w:val="18"/>
              </w:rPr>
              <w:t>Kuveyt Türk Yatırım Menkul Değerler A.Ş.</w:t>
            </w:r>
          </w:p>
        </w:tc>
        <w:tc>
          <w:tcPr>
            <w:tcW w:w="1606" w:type="dxa"/>
            <w:vAlign w:val="center"/>
          </w:tcPr>
          <w:p w14:paraId="55080EBB" w14:textId="3096FC1E" w:rsidR="00B04851" w:rsidRPr="00005453" w:rsidRDefault="00B04851" w:rsidP="00B04851">
            <w:pPr>
              <w:jc w:val="right"/>
              <w:rPr>
                <w:bCs/>
                <w:iCs/>
                <w:sz w:val="18"/>
                <w:szCs w:val="18"/>
              </w:rPr>
            </w:pPr>
            <w:r w:rsidRPr="00005453">
              <w:rPr>
                <w:bCs/>
                <w:iCs/>
                <w:sz w:val="18"/>
                <w:szCs w:val="18"/>
              </w:rPr>
              <w:t>İstanbul/Türkiye</w:t>
            </w:r>
          </w:p>
        </w:tc>
        <w:tc>
          <w:tcPr>
            <w:tcW w:w="1407" w:type="dxa"/>
            <w:shd w:val="clear" w:color="auto" w:fill="auto"/>
            <w:vAlign w:val="center"/>
          </w:tcPr>
          <w:p w14:paraId="3129F2DA" w14:textId="2B52CC2A" w:rsidR="00B04851" w:rsidRPr="00005453" w:rsidRDefault="00B04851" w:rsidP="00B04851">
            <w:pPr>
              <w:jc w:val="right"/>
              <w:rPr>
                <w:bCs/>
                <w:iCs/>
                <w:sz w:val="18"/>
                <w:szCs w:val="18"/>
              </w:rPr>
            </w:pPr>
            <w:r w:rsidRPr="00005453">
              <w:rPr>
                <w:bCs/>
                <w:iCs/>
                <w:sz w:val="18"/>
                <w:szCs w:val="18"/>
              </w:rPr>
              <w:t>100</w:t>
            </w:r>
          </w:p>
        </w:tc>
        <w:tc>
          <w:tcPr>
            <w:tcW w:w="1431" w:type="dxa"/>
            <w:shd w:val="clear" w:color="auto" w:fill="auto"/>
            <w:vAlign w:val="center"/>
          </w:tcPr>
          <w:p w14:paraId="315663A5" w14:textId="226F22C1" w:rsidR="00B04851" w:rsidRPr="00005453" w:rsidRDefault="00B04851" w:rsidP="00B04851">
            <w:pPr>
              <w:jc w:val="right"/>
              <w:rPr>
                <w:bCs/>
                <w:iCs/>
                <w:sz w:val="18"/>
                <w:szCs w:val="18"/>
              </w:rPr>
            </w:pPr>
            <w:r w:rsidRPr="00005453">
              <w:rPr>
                <w:bCs/>
                <w:iCs/>
                <w:sz w:val="18"/>
                <w:szCs w:val="18"/>
              </w:rPr>
              <w:t>100</w:t>
            </w:r>
          </w:p>
        </w:tc>
      </w:tr>
      <w:tr w:rsidR="00714B98" w:rsidRPr="00005453" w14:paraId="3A0384DA" w14:textId="77777777" w:rsidTr="00BD1BED">
        <w:trPr>
          <w:trHeight w:val="265"/>
        </w:trPr>
        <w:tc>
          <w:tcPr>
            <w:tcW w:w="421" w:type="dxa"/>
            <w:noWrap/>
          </w:tcPr>
          <w:p w14:paraId="4DCA5530" w14:textId="5BDFD336" w:rsidR="00714B98" w:rsidRPr="00005453" w:rsidRDefault="00714B98" w:rsidP="00B04851">
            <w:pPr>
              <w:rPr>
                <w:bCs/>
                <w:iCs/>
                <w:sz w:val="18"/>
                <w:szCs w:val="18"/>
              </w:rPr>
            </w:pPr>
            <w:r w:rsidRPr="00005453">
              <w:rPr>
                <w:bCs/>
                <w:iCs/>
                <w:sz w:val="18"/>
                <w:szCs w:val="18"/>
              </w:rPr>
              <w:t>10</w:t>
            </w:r>
          </w:p>
        </w:tc>
        <w:tc>
          <w:tcPr>
            <w:tcW w:w="4358" w:type="dxa"/>
            <w:vAlign w:val="center"/>
          </w:tcPr>
          <w:p w14:paraId="6632F02C" w14:textId="428ED1C9" w:rsidR="00714B98" w:rsidRPr="00005453" w:rsidRDefault="00714B98" w:rsidP="0063588F">
            <w:pPr>
              <w:rPr>
                <w:bCs/>
                <w:iCs/>
                <w:sz w:val="18"/>
                <w:szCs w:val="18"/>
              </w:rPr>
            </w:pPr>
            <w:r w:rsidRPr="00005453">
              <w:rPr>
                <w:bCs/>
                <w:iCs/>
                <w:sz w:val="18"/>
                <w:szCs w:val="18"/>
              </w:rPr>
              <w:t>Sağlam Finansal Teknolojiler A.Ş.</w:t>
            </w:r>
          </w:p>
        </w:tc>
        <w:tc>
          <w:tcPr>
            <w:tcW w:w="1606" w:type="dxa"/>
            <w:vAlign w:val="center"/>
          </w:tcPr>
          <w:p w14:paraId="4B34AABD" w14:textId="79B294F3" w:rsidR="00714B98" w:rsidRPr="00005453" w:rsidRDefault="00714B98" w:rsidP="00B04851">
            <w:pPr>
              <w:jc w:val="right"/>
              <w:rPr>
                <w:bCs/>
                <w:iCs/>
                <w:sz w:val="18"/>
                <w:szCs w:val="18"/>
              </w:rPr>
            </w:pPr>
            <w:r w:rsidRPr="00005453">
              <w:rPr>
                <w:bCs/>
                <w:iCs/>
                <w:sz w:val="18"/>
                <w:szCs w:val="18"/>
              </w:rPr>
              <w:t>İstanbul/Türkiye</w:t>
            </w:r>
          </w:p>
        </w:tc>
        <w:tc>
          <w:tcPr>
            <w:tcW w:w="1407" w:type="dxa"/>
            <w:shd w:val="clear" w:color="auto" w:fill="auto"/>
            <w:vAlign w:val="center"/>
          </w:tcPr>
          <w:p w14:paraId="3E86FDEF" w14:textId="7046C157" w:rsidR="00714B98" w:rsidRPr="00005453" w:rsidRDefault="00714B98" w:rsidP="00B04851">
            <w:pPr>
              <w:jc w:val="right"/>
              <w:rPr>
                <w:bCs/>
                <w:iCs/>
                <w:sz w:val="18"/>
                <w:szCs w:val="18"/>
              </w:rPr>
            </w:pPr>
            <w:r w:rsidRPr="00005453">
              <w:rPr>
                <w:bCs/>
                <w:iCs/>
                <w:sz w:val="18"/>
                <w:szCs w:val="18"/>
              </w:rPr>
              <w:t>100</w:t>
            </w:r>
          </w:p>
        </w:tc>
        <w:tc>
          <w:tcPr>
            <w:tcW w:w="1431" w:type="dxa"/>
            <w:shd w:val="clear" w:color="auto" w:fill="auto"/>
            <w:vAlign w:val="center"/>
          </w:tcPr>
          <w:p w14:paraId="5BC89B88" w14:textId="1EBA8E66" w:rsidR="00714B98" w:rsidRPr="00005453" w:rsidRDefault="00714B98" w:rsidP="00B04851">
            <w:pPr>
              <w:jc w:val="right"/>
              <w:rPr>
                <w:bCs/>
                <w:iCs/>
                <w:sz w:val="18"/>
                <w:szCs w:val="18"/>
              </w:rPr>
            </w:pPr>
            <w:r w:rsidRPr="00005453">
              <w:rPr>
                <w:bCs/>
                <w:iCs/>
                <w:sz w:val="18"/>
                <w:szCs w:val="18"/>
              </w:rPr>
              <w:t>100</w:t>
            </w:r>
          </w:p>
        </w:tc>
      </w:tr>
    </w:tbl>
    <w:p w14:paraId="069EDD6D" w14:textId="77777777" w:rsidR="003D740C" w:rsidRPr="00005453" w:rsidRDefault="003D740C" w:rsidP="00960253">
      <w:pPr>
        <w:rPr>
          <w:bCs/>
        </w:rPr>
      </w:pPr>
    </w:p>
    <w:p w14:paraId="43D805F5" w14:textId="639C84C8" w:rsidR="006B4EDA" w:rsidRPr="00005453" w:rsidRDefault="00E253C8" w:rsidP="00960253">
      <w:pPr>
        <w:rPr>
          <w:bCs/>
        </w:rPr>
      </w:pPr>
      <w:r w:rsidRPr="00005453">
        <w:rPr>
          <w:bCs/>
        </w:rPr>
        <w:t>Yukarıda yer alan sıraya göre bağlı ortaklıklara ilişkin bilgiler</w:t>
      </w:r>
    </w:p>
    <w:p w14:paraId="3F99A393" w14:textId="54875B11" w:rsidR="00327C3D" w:rsidRPr="00005453" w:rsidRDefault="00327C3D" w:rsidP="00C34D48">
      <w:pPr>
        <w:rPr>
          <w:lang w:eastAsia="en-GB"/>
        </w:rPr>
      </w:pPr>
    </w:p>
    <w:tbl>
      <w:tblPr>
        <w:tblW w:w="9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1"/>
        <w:gridCol w:w="1134"/>
        <w:gridCol w:w="1072"/>
        <w:gridCol w:w="934"/>
        <w:gridCol w:w="860"/>
        <w:gridCol w:w="957"/>
        <w:gridCol w:w="1076"/>
        <w:gridCol w:w="1735"/>
        <w:gridCol w:w="844"/>
      </w:tblGrid>
      <w:tr w:rsidR="00DB63BA" w:rsidRPr="00005453" w14:paraId="7BC8C554" w14:textId="77777777" w:rsidTr="001D00C5">
        <w:trPr>
          <w:divId w:val="633948249"/>
          <w:trHeight w:val="721"/>
        </w:trPr>
        <w:tc>
          <w:tcPr>
            <w:tcW w:w="591" w:type="dxa"/>
            <w:shd w:val="clear" w:color="auto" w:fill="auto"/>
            <w:vAlign w:val="center"/>
            <w:hideMark/>
          </w:tcPr>
          <w:p w14:paraId="0F201774" w14:textId="77777777" w:rsidR="00DB63BA" w:rsidRPr="00005453" w:rsidRDefault="00DB63BA" w:rsidP="00327C3D">
            <w:pPr>
              <w:jc w:val="center"/>
              <w:rPr>
                <w:b/>
                <w:bCs/>
                <w:sz w:val="18"/>
                <w:szCs w:val="18"/>
                <w:lang w:eastAsia="tr-TR"/>
              </w:rPr>
            </w:pPr>
            <w:r w:rsidRPr="00005453">
              <w:rPr>
                <w:b/>
                <w:bCs/>
                <w:sz w:val="18"/>
                <w:szCs w:val="18"/>
                <w:lang w:eastAsia="tr-TR"/>
              </w:rPr>
              <w:t> </w:t>
            </w:r>
          </w:p>
          <w:p w14:paraId="1D223BF9" w14:textId="5D306C7E" w:rsidR="00DB63BA" w:rsidRPr="00005453" w:rsidRDefault="00DB63BA" w:rsidP="00327C3D">
            <w:pPr>
              <w:jc w:val="center"/>
              <w:rPr>
                <w:b/>
                <w:bCs/>
                <w:sz w:val="18"/>
                <w:szCs w:val="18"/>
                <w:lang w:eastAsia="tr-TR"/>
              </w:rPr>
            </w:pPr>
            <w:r w:rsidRPr="00005453">
              <w:rPr>
                <w:b/>
                <w:bCs/>
                <w:sz w:val="18"/>
                <w:szCs w:val="18"/>
                <w:lang w:eastAsia="tr-TR"/>
              </w:rPr>
              <w:t> </w:t>
            </w:r>
          </w:p>
        </w:tc>
        <w:tc>
          <w:tcPr>
            <w:tcW w:w="1134" w:type="dxa"/>
            <w:shd w:val="clear" w:color="auto" w:fill="auto"/>
            <w:vAlign w:val="center"/>
            <w:hideMark/>
          </w:tcPr>
          <w:p w14:paraId="456380CB" w14:textId="77777777" w:rsidR="00DB63BA" w:rsidRPr="00005453" w:rsidRDefault="00DB63BA" w:rsidP="00327C3D">
            <w:pPr>
              <w:jc w:val="right"/>
              <w:rPr>
                <w:b/>
                <w:bCs/>
                <w:sz w:val="18"/>
                <w:szCs w:val="18"/>
                <w:lang w:eastAsia="tr-TR"/>
              </w:rPr>
            </w:pPr>
            <w:r w:rsidRPr="00005453">
              <w:rPr>
                <w:b/>
                <w:bCs/>
                <w:sz w:val="18"/>
                <w:szCs w:val="18"/>
                <w:lang w:eastAsia="tr-TR"/>
              </w:rPr>
              <w:t>Aktif Toplamı</w:t>
            </w:r>
          </w:p>
        </w:tc>
        <w:tc>
          <w:tcPr>
            <w:tcW w:w="1072" w:type="dxa"/>
            <w:shd w:val="clear" w:color="auto" w:fill="auto"/>
            <w:vAlign w:val="center"/>
            <w:hideMark/>
          </w:tcPr>
          <w:p w14:paraId="1550D493" w14:textId="77777777" w:rsidR="00DB63BA" w:rsidRPr="00005453" w:rsidRDefault="00DB63BA" w:rsidP="00327C3D">
            <w:pPr>
              <w:jc w:val="right"/>
              <w:rPr>
                <w:b/>
                <w:bCs/>
                <w:sz w:val="18"/>
                <w:szCs w:val="18"/>
                <w:lang w:eastAsia="tr-TR"/>
              </w:rPr>
            </w:pPr>
            <w:r w:rsidRPr="00005453">
              <w:rPr>
                <w:b/>
                <w:bCs/>
                <w:sz w:val="18"/>
                <w:szCs w:val="18"/>
                <w:lang w:eastAsia="tr-TR"/>
              </w:rPr>
              <w:t>Özkaynak</w:t>
            </w:r>
          </w:p>
        </w:tc>
        <w:tc>
          <w:tcPr>
            <w:tcW w:w="934" w:type="dxa"/>
            <w:shd w:val="clear" w:color="auto" w:fill="auto"/>
            <w:vAlign w:val="center"/>
            <w:hideMark/>
          </w:tcPr>
          <w:p w14:paraId="58F7C34C" w14:textId="77777777" w:rsidR="00DB63BA" w:rsidRPr="00005453" w:rsidRDefault="00DB63BA" w:rsidP="00327C3D">
            <w:pPr>
              <w:jc w:val="right"/>
              <w:rPr>
                <w:b/>
                <w:bCs/>
                <w:sz w:val="18"/>
                <w:szCs w:val="18"/>
                <w:lang w:eastAsia="tr-TR"/>
              </w:rPr>
            </w:pPr>
            <w:r w:rsidRPr="00005453">
              <w:rPr>
                <w:b/>
                <w:bCs/>
                <w:sz w:val="18"/>
                <w:szCs w:val="18"/>
                <w:lang w:eastAsia="tr-TR"/>
              </w:rPr>
              <w:t>Sabit Varlık Toplamı</w:t>
            </w:r>
          </w:p>
        </w:tc>
        <w:tc>
          <w:tcPr>
            <w:tcW w:w="860" w:type="dxa"/>
            <w:shd w:val="clear" w:color="auto" w:fill="auto"/>
            <w:vAlign w:val="center"/>
            <w:hideMark/>
          </w:tcPr>
          <w:p w14:paraId="340C27C8" w14:textId="77777777" w:rsidR="00DB63BA" w:rsidRPr="00005453" w:rsidRDefault="00DB63BA" w:rsidP="00327C3D">
            <w:pPr>
              <w:jc w:val="center"/>
              <w:rPr>
                <w:b/>
                <w:bCs/>
                <w:sz w:val="18"/>
                <w:szCs w:val="18"/>
                <w:lang w:eastAsia="tr-TR"/>
              </w:rPr>
            </w:pPr>
            <w:r w:rsidRPr="00005453">
              <w:rPr>
                <w:b/>
                <w:bCs/>
                <w:sz w:val="18"/>
                <w:szCs w:val="18"/>
                <w:lang w:eastAsia="tr-TR"/>
              </w:rPr>
              <w:t>Kar Payı Gelirleri</w:t>
            </w:r>
          </w:p>
        </w:tc>
        <w:tc>
          <w:tcPr>
            <w:tcW w:w="957" w:type="dxa"/>
            <w:shd w:val="clear" w:color="auto" w:fill="auto"/>
            <w:vAlign w:val="center"/>
            <w:hideMark/>
          </w:tcPr>
          <w:p w14:paraId="515EF015" w14:textId="77777777" w:rsidR="00DB63BA" w:rsidRPr="00005453" w:rsidRDefault="00DB63BA" w:rsidP="00327C3D">
            <w:pPr>
              <w:jc w:val="right"/>
              <w:rPr>
                <w:b/>
                <w:bCs/>
                <w:sz w:val="18"/>
                <w:szCs w:val="18"/>
                <w:lang w:eastAsia="tr-TR"/>
              </w:rPr>
            </w:pPr>
            <w:r w:rsidRPr="00005453">
              <w:rPr>
                <w:b/>
                <w:bCs/>
                <w:sz w:val="18"/>
                <w:szCs w:val="18"/>
                <w:lang w:eastAsia="tr-TR"/>
              </w:rPr>
              <w:t>Menkul Değer Gelirleri</w:t>
            </w:r>
          </w:p>
        </w:tc>
        <w:tc>
          <w:tcPr>
            <w:tcW w:w="1076" w:type="dxa"/>
            <w:shd w:val="clear" w:color="000000" w:fill="FFFFFF"/>
            <w:vAlign w:val="center"/>
            <w:hideMark/>
          </w:tcPr>
          <w:p w14:paraId="422D39F5" w14:textId="77777777" w:rsidR="00DB63BA" w:rsidRPr="00005453" w:rsidRDefault="00DB63BA" w:rsidP="00327C3D">
            <w:pPr>
              <w:jc w:val="right"/>
              <w:rPr>
                <w:b/>
                <w:bCs/>
                <w:sz w:val="18"/>
                <w:szCs w:val="18"/>
                <w:lang w:eastAsia="tr-TR"/>
              </w:rPr>
            </w:pPr>
            <w:r w:rsidRPr="00005453">
              <w:rPr>
                <w:b/>
                <w:bCs/>
                <w:sz w:val="18"/>
                <w:szCs w:val="18"/>
                <w:lang w:eastAsia="tr-TR"/>
              </w:rPr>
              <w:t>Cari Dönem Kar/Zararı</w:t>
            </w:r>
          </w:p>
        </w:tc>
        <w:tc>
          <w:tcPr>
            <w:tcW w:w="1735" w:type="dxa"/>
            <w:shd w:val="clear" w:color="auto" w:fill="auto"/>
            <w:vAlign w:val="center"/>
            <w:hideMark/>
          </w:tcPr>
          <w:p w14:paraId="5C154E29" w14:textId="77777777" w:rsidR="00DB63BA" w:rsidRPr="00005453" w:rsidRDefault="00DB63BA" w:rsidP="00327C3D">
            <w:pPr>
              <w:jc w:val="right"/>
              <w:rPr>
                <w:b/>
                <w:bCs/>
                <w:sz w:val="18"/>
                <w:szCs w:val="18"/>
                <w:lang w:eastAsia="tr-TR"/>
              </w:rPr>
            </w:pPr>
            <w:r w:rsidRPr="00005453">
              <w:rPr>
                <w:b/>
                <w:bCs/>
                <w:sz w:val="18"/>
                <w:szCs w:val="18"/>
                <w:lang w:eastAsia="tr-TR"/>
              </w:rPr>
              <w:t>Önceki Dönem Kar/Zararı</w:t>
            </w:r>
          </w:p>
        </w:tc>
        <w:tc>
          <w:tcPr>
            <w:tcW w:w="844" w:type="dxa"/>
            <w:shd w:val="clear" w:color="auto" w:fill="auto"/>
            <w:vAlign w:val="center"/>
            <w:hideMark/>
          </w:tcPr>
          <w:p w14:paraId="386452C9" w14:textId="77777777" w:rsidR="00DB63BA" w:rsidRPr="00005453" w:rsidRDefault="00DB63BA" w:rsidP="00327C3D">
            <w:pPr>
              <w:jc w:val="right"/>
              <w:rPr>
                <w:b/>
                <w:bCs/>
                <w:sz w:val="18"/>
                <w:szCs w:val="18"/>
                <w:lang w:eastAsia="tr-TR"/>
              </w:rPr>
            </w:pPr>
            <w:r w:rsidRPr="00005453">
              <w:rPr>
                <w:b/>
                <w:bCs/>
                <w:sz w:val="18"/>
                <w:szCs w:val="18"/>
                <w:lang w:eastAsia="tr-TR"/>
              </w:rPr>
              <w:t>Gerçeğe Uygun Değer</w:t>
            </w:r>
          </w:p>
        </w:tc>
      </w:tr>
      <w:tr w:rsidR="00FA6669" w:rsidRPr="00005453" w14:paraId="0846D548" w14:textId="77777777" w:rsidTr="001D00C5">
        <w:trPr>
          <w:divId w:val="633948249"/>
          <w:trHeight w:val="165"/>
        </w:trPr>
        <w:tc>
          <w:tcPr>
            <w:tcW w:w="591" w:type="dxa"/>
            <w:shd w:val="clear" w:color="auto" w:fill="auto"/>
            <w:vAlign w:val="center"/>
            <w:hideMark/>
          </w:tcPr>
          <w:p w14:paraId="7DB2518A" w14:textId="059E0F6D" w:rsidR="00FA6669" w:rsidRPr="00005453" w:rsidRDefault="00FA6669" w:rsidP="00FA6669">
            <w:pPr>
              <w:jc w:val="center"/>
              <w:rPr>
                <w:sz w:val="18"/>
                <w:szCs w:val="18"/>
                <w:lang w:eastAsia="tr-TR"/>
              </w:rPr>
            </w:pPr>
            <w:r w:rsidRPr="00005453">
              <w:rPr>
                <w:sz w:val="18"/>
                <w:szCs w:val="18"/>
                <w:lang w:eastAsia="tr-TR"/>
              </w:rPr>
              <w:t>1(*)</w:t>
            </w:r>
          </w:p>
        </w:tc>
        <w:tc>
          <w:tcPr>
            <w:tcW w:w="1134" w:type="dxa"/>
            <w:shd w:val="clear" w:color="auto" w:fill="auto"/>
            <w:vAlign w:val="center"/>
            <w:hideMark/>
          </w:tcPr>
          <w:p w14:paraId="3CEF27C6" w14:textId="2477B989" w:rsidR="00FA6669" w:rsidRPr="00005453" w:rsidRDefault="00FA6669" w:rsidP="00FA6669">
            <w:pPr>
              <w:jc w:val="right"/>
              <w:rPr>
                <w:sz w:val="18"/>
                <w:szCs w:val="18"/>
              </w:rPr>
            </w:pPr>
            <w:r w:rsidRPr="00005453">
              <w:rPr>
                <w:color w:val="000000"/>
                <w:sz w:val="18"/>
                <w:szCs w:val="18"/>
              </w:rPr>
              <w:t>30,756,109</w:t>
            </w:r>
          </w:p>
        </w:tc>
        <w:tc>
          <w:tcPr>
            <w:tcW w:w="1072" w:type="dxa"/>
            <w:shd w:val="clear" w:color="auto" w:fill="auto"/>
            <w:vAlign w:val="center"/>
            <w:hideMark/>
          </w:tcPr>
          <w:p w14:paraId="3DD5AE85" w14:textId="75E6BFDC" w:rsidR="00FA6669" w:rsidRPr="00005453" w:rsidRDefault="00FA6669" w:rsidP="00FA6669">
            <w:pPr>
              <w:jc w:val="right"/>
              <w:rPr>
                <w:sz w:val="18"/>
                <w:szCs w:val="18"/>
              </w:rPr>
            </w:pPr>
            <w:r w:rsidRPr="00005453">
              <w:rPr>
                <w:color w:val="000000"/>
                <w:sz w:val="18"/>
                <w:szCs w:val="18"/>
              </w:rPr>
              <w:t>5,828,991</w:t>
            </w:r>
          </w:p>
        </w:tc>
        <w:tc>
          <w:tcPr>
            <w:tcW w:w="934" w:type="dxa"/>
            <w:shd w:val="clear" w:color="auto" w:fill="auto"/>
            <w:vAlign w:val="center"/>
            <w:hideMark/>
          </w:tcPr>
          <w:p w14:paraId="49950B1E" w14:textId="3B117464" w:rsidR="00FA6669" w:rsidRPr="00005453" w:rsidRDefault="00FA6669" w:rsidP="00FA6669">
            <w:pPr>
              <w:jc w:val="right"/>
              <w:rPr>
                <w:sz w:val="18"/>
                <w:szCs w:val="18"/>
              </w:rPr>
            </w:pPr>
            <w:r w:rsidRPr="00005453">
              <w:rPr>
                <w:color w:val="000000"/>
                <w:sz w:val="18"/>
                <w:szCs w:val="18"/>
              </w:rPr>
              <w:t>355,477</w:t>
            </w:r>
          </w:p>
        </w:tc>
        <w:tc>
          <w:tcPr>
            <w:tcW w:w="860" w:type="dxa"/>
            <w:shd w:val="clear" w:color="auto" w:fill="auto"/>
            <w:vAlign w:val="center"/>
            <w:hideMark/>
          </w:tcPr>
          <w:p w14:paraId="75D85FD4" w14:textId="19A3ECC4" w:rsidR="00FA6669" w:rsidRPr="00005453" w:rsidRDefault="00FA6669" w:rsidP="00FA6669">
            <w:pPr>
              <w:jc w:val="right"/>
              <w:rPr>
                <w:sz w:val="18"/>
                <w:szCs w:val="18"/>
              </w:rPr>
            </w:pPr>
            <w:r w:rsidRPr="00005453">
              <w:rPr>
                <w:color w:val="000000"/>
                <w:sz w:val="18"/>
                <w:szCs w:val="18"/>
              </w:rPr>
              <w:t>1,039,902</w:t>
            </w:r>
          </w:p>
        </w:tc>
        <w:tc>
          <w:tcPr>
            <w:tcW w:w="957" w:type="dxa"/>
            <w:shd w:val="clear" w:color="auto" w:fill="auto"/>
            <w:vAlign w:val="center"/>
            <w:hideMark/>
          </w:tcPr>
          <w:p w14:paraId="08E1315E" w14:textId="7511239A" w:rsidR="00FA6669" w:rsidRPr="00005453" w:rsidRDefault="00FA6669" w:rsidP="00FA6669">
            <w:pPr>
              <w:jc w:val="right"/>
              <w:rPr>
                <w:sz w:val="18"/>
                <w:szCs w:val="18"/>
              </w:rPr>
            </w:pPr>
            <w:r w:rsidRPr="00005453">
              <w:rPr>
                <w:color w:val="000000"/>
                <w:sz w:val="18"/>
                <w:szCs w:val="18"/>
              </w:rPr>
              <w:t>92,684</w:t>
            </w:r>
          </w:p>
        </w:tc>
        <w:tc>
          <w:tcPr>
            <w:tcW w:w="1076" w:type="dxa"/>
            <w:shd w:val="clear" w:color="auto" w:fill="auto"/>
            <w:vAlign w:val="center"/>
            <w:hideMark/>
          </w:tcPr>
          <w:p w14:paraId="422FA59C" w14:textId="2D8FBDD0" w:rsidR="00FA6669" w:rsidRPr="00005453" w:rsidRDefault="00FA6669" w:rsidP="00FA6669">
            <w:pPr>
              <w:jc w:val="right"/>
              <w:rPr>
                <w:sz w:val="18"/>
                <w:szCs w:val="18"/>
              </w:rPr>
            </w:pPr>
            <w:r w:rsidRPr="00005453">
              <w:rPr>
                <w:color w:val="000000"/>
                <w:sz w:val="18"/>
                <w:szCs w:val="18"/>
              </w:rPr>
              <w:t>(123,180)</w:t>
            </w:r>
          </w:p>
        </w:tc>
        <w:tc>
          <w:tcPr>
            <w:tcW w:w="1735" w:type="dxa"/>
            <w:shd w:val="clear" w:color="auto" w:fill="auto"/>
            <w:vAlign w:val="center"/>
            <w:hideMark/>
          </w:tcPr>
          <w:p w14:paraId="38F12FEF" w14:textId="30386994" w:rsidR="00FA6669" w:rsidRPr="00005453" w:rsidRDefault="00FA6669" w:rsidP="00FA6669">
            <w:pPr>
              <w:jc w:val="right"/>
              <w:rPr>
                <w:sz w:val="18"/>
                <w:szCs w:val="18"/>
                <w:lang w:eastAsia="tr-TR"/>
              </w:rPr>
            </w:pPr>
            <w:r w:rsidRPr="00005453">
              <w:rPr>
                <w:color w:val="000000"/>
                <w:sz w:val="18"/>
                <w:szCs w:val="18"/>
              </w:rPr>
              <w:t>73,182</w:t>
            </w:r>
          </w:p>
        </w:tc>
        <w:tc>
          <w:tcPr>
            <w:tcW w:w="844" w:type="dxa"/>
            <w:shd w:val="clear" w:color="auto" w:fill="auto"/>
            <w:vAlign w:val="center"/>
            <w:hideMark/>
          </w:tcPr>
          <w:p w14:paraId="17C8AAA2" w14:textId="0BE2E7F9" w:rsidR="00FA6669" w:rsidRPr="00005453" w:rsidRDefault="00FA6669" w:rsidP="00FA6669">
            <w:pPr>
              <w:jc w:val="right"/>
              <w:rPr>
                <w:sz w:val="18"/>
                <w:szCs w:val="18"/>
                <w:lang w:eastAsia="tr-TR"/>
              </w:rPr>
            </w:pPr>
            <w:r w:rsidRPr="00005453">
              <w:rPr>
                <w:sz w:val="18"/>
                <w:szCs w:val="18"/>
              </w:rPr>
              <w:t>-</w:t>
            </w:r>
          </w:p>
        </w:tc>
      </w:tr>
      <w:tr w:rsidR="00FA6669" w:rsidRPr="00005453" w14:paraId="48ADACBD" w14:textId="77777777" w:rsidTr="001D00C5">
        <w:trPr>
          <w:divId w:val="633948249"/>
          <w:trHeight w:val="260"/>
        </w:trPr>
        <w:tc>
          <w:tcPr>
            <w:tcW w:w="591" w:type="dxa"/>
            <w:shd w:val="clear" w:color="auto" w:fill="auto"/>
            <w:vAlign w:val="center"/>
            <w:hideMark/>
          </w:tcPr>
          <w:p w14:paraId="2070E920" w14:textId="0C55D6A7" w:rsidR="00FA6669" w:rsidRPr="00005453" w:rsidRDefault="00FA6669" w:rsidP="00FA6669">
            <w:pPr>
              <w:jc w:val="center"/>
              <w:rPr>
                <w:sz w:val="18"/>
                <w:szCs w:val="18"/>
                <w:lang w:eastAsia="tr-TR"/>
              </w:rPr>
            </w:pPr>
            <w:r w:rsidRPr="00005453">
              <w:rPr>
                <w:sz w:val="18"/>
                <w:szCs w:val="18"/>
                <w:lang w:eastAsia="tr-TR"/>
              </w:rPr>
              <w:t>2 (***)</w:t>
            </w:r>
          </w:p>
        </w:tc>
        <w:tc>
          <w:tcPr>
            <w:tcW w:w="1134" w:type="dxa"/>
            <w:shd w:val="clear" w:color="auto" w:fill="auto"/>
            <w:vAlign w:val="center"/>
            <w:hideMark/>
          </w:tcPr>
          <w:p w14:paraId="26AC2C6B" w14:textId="671D5B0A" w:rsidR="00FA6669" w:rsidRPr="00005453" w:rsidRDefault="00FA6669" w:rsidP="00FA6669">
            <w:pPr>
              <w:jc w:val="right"/>
              <w:rPr>
                <w:sz w:val="18"/>
                <w:szCs w:val="18"/>
              </w:rPr>
            </w:pPr>
            <w:r w:rsidRPr="00005453">
              <w:rPr>
                <w:color w:val="000000"/>
                <w:sz w:val="18"/>
                <w:szCs w:val="18"/>
              </w:rPr>
              <w:t>26,129,379</w:t>
            </w:r>
          </w:p>
        </w:tc>
        <w:tc>
          <w:tcPr>
            <w:tcW w:w="1072" w:type="dxa"/>
            <w:shd w:val="clear" w:color="auto" w:fill="auto"/>
            <w:vAlign w:val="center"/>
            <w:hideMark/>
          </w:tcPr>
          <w:p w14:paraId="3630DCC3" w14:textId="1CAC033F" w:rsidR="00FA6669" w:rsidRPr="00005453" w:rsidRDefault="00FA6669" w:rsidP="00FA6669">
            <w:pPr>
              <w:jc w:val="right"/>
              <w:rPr>
                <w:sz w:val="18"/>
                <w:szCs w:val="18"/>
              </w:rPr>
            </w:pPr>
            <w:r w:rsidRPr="00005453">
              <w:rPr>
                <w:color w:val="000000"/>
                <w:sz w:val="18"/>
                <w:szCs w:val="18"/>
              </w:rPr>
              <w:t>4,316,913</w:t>
            </w:r>
          </w:p>
        </w:tc>
        <w:tc>
          <w:tcPr>
            <w:tcW w:w="934" w:type="dxa"/>
            <w:shd w:val="clear" w:color="auto" w:fill="auto"/>
            <w:vAlign w:val="center"/>
            <w:hideMark/>
          </w:tcPr>
          <w:p w14:paraId="0B920128" w14:textId="7AA9261C" w:rsidR="00FA6669" w:rsidRPr="00005453" w:rsidRDefault="00FA6669" w:rsidP="00FA6669">
            <w:pPr>
              <w:jc w:val="right"/>
              <w:rPr>
                <w:sz w:val="18"/>
                <w:szCs w:val="18"/>
              </w:rPr>
            </w:pPr>
            <w:r w:rsidRPr="00005453">
              <w:rPr>
                <w:color w:val="000000"/>
                <w:sz w:val="18"/>
                <w:szCs w:val="18"/>
              </w:rPr>
              <w:t>583,414</w:t>
            </w:r>
          </w:p>
        </w:tc>
        <w:tc>
          <w:tcPr>
            <w:tcW w:w="860" w:type="dxa"/>
            <w:shd w:val="clear" w:color="auto" w:fill="auto"/>
            <w:vAlign w:val="center"/>
            <w:hideMark/>
          </w:tcPr>
          <w:p w14:paraId="7B43069D" w14:textId="04281CB7" w:rsidR="00FA6669" w:rsidRPr="00005453" w:rsidRDefault="00FA6669" w:rsidP="00FA6669">
            <w:pPr>
              <w:jc w:val="right"/>
              <w:rPr>
                <w:sz w:val="18"/>
                <w:szCs w:val="18"/>
              </w:rPr>
            </w:pPr>
            <w:r w:rsidRPr="00005453">
              <w:rPr>
                <w:color w:val="000000"/>
                <w:sz w:val="18"/>
                <w:szCs w:val="18"/>
              </w:rPr>
              <w:t>4,925,719</w:t>
            </w:r>
          </w:p>
        </w:tc>
        <w:tc>
          <w:tcPr>
            <w:tcW w:w="957" w:type="dxa"/>
            <w:shd w:val="clear" w:color="auto" w:fill="auto"/>
            <w:vAlign w:val="center"/>
            <w:hideMark/>
          </w:tcPr>
          <w:p w14:paraId="55619FE2" w14:textId="343D8882" w:rsidR="00FA6669" w:rsidRPr="00005453" w:rsidRDefault="00FA6669" w:rsidP="00FA6669">
            <w:pPr>
              <w:jc w:val="right"/>
              <w:rPr>
                <w:sz w:val="18"/>
                <w:szCs w:val="18"/>
              </w:rPr>
            </w:pPr>
            <w:r w:rsidRPr="00005453">
              <w:rPr>
                <w:color w:val="000000"/>
                <w:sz w:val="18"/>
                <w:szCs w:val="18"/>
              </w:rPr>
              <w:t>3,673,241</w:t>
            </w:r>
          </w:p>
        </w:tc>
        <w:tc>
          <w:tcPr>
            <w:tcW w:w="1076" w:type="dxa"/>
            <w:shd w:val="clear" w:color="auto" w:fill="auto"/>
            <w:vAlign w:val="center"/>
            <w:hideMark/>
          </w:tcPr>
          <w:p w14:paraId="1D3F7BD8" w14:textId="2CB6A041" w:rsidR="00FA6669" w:rsidRPr="00005453" w:rsidRDefault="00FA6669" w:rsidP="00FA6669">
            <w:pPr>
              <w:jc w:val="right"/>
              <w:rPr>
                <w:sz w:val="18"/>
                <w:szCs w:val="18"/>
              </w:rPr>
            </w:pPr>
            <w:r w:rsidRPr="00005453">
              <w:rPr>
                <w:color w:val="000000"/>
                <w:sz w:val="18"/>
                <w:szCs w:val="18"/>
              </w:rPr>
              <w:t>1,107,496</w:t>
            </w:r>
          </w:p>
        </w:tc>
        <w:tc>
          <w:tcPr>
            <w:tcW w:w="1735" w:type="dxa"/>
            <w:shd w:val="clear" w:color="auto" w:fill="auto"/>
            <w:vAlign w:val="center"/>
            <w:hideMark/>
          </w:tcPr>
          <w:p w14:paraId="277EBFAC" w14:textId="0166B71E" w:rsidR="00FA6669" w:rsidRPr="00005453" w:rsidRDefault="00FA6669" w:rsidP="00FA6669">
            <w:pPr>
              <w:jc w:val="right"/>
              <w:rPr>
                <w:sz w:val="18"/>
                <w:szCs w:val="18"/>
                <w:lang w:eastAsia="tr-TR"/>
              </w:rPr>
            </w:pPr>
            <w:r w:rsidRPr="00005453">
              <w:rPr>
                <w:color w:val="000000"/>
                <w:sz w:val="18"/>
                <w:szCs w:val="18"/>
              </w:rPr>
              <w:t>432,619</w:t>
            </w:r>
          </w:p>
        </w:tc>
        <w:tc>
          <w:tcPr>
            <w:tcW w:w="844" w:type="dxa"/>
            <w:shd w:val="clear" w:color="auto" w:fill="auto"/>
            <w:vAlign w:val="center"/>
            <w:hideMark/>
          </w:tcPr>
          <w:p w14:paraId="448BF7C9" w14:textId="7390985D" w:rsidR="00FA6669" w:rsidRPr="00005453" w:rsidRDefault="00FA6669" w:rsidP="00FA6669">
            <w:pPr>
              <w:jc w:val="right"/>
              <w:rPr>
                <w:sz w:val="18"/>
                <w:szCs w:val="18"/>
                <w:lang w:eastAsia="tr-TR"/>
              </w:rPr>
            </w:pPr>
            <w:r w:rsidRPr="00005453">
              <w:t>-</w:t>
            </w:r>
          </w:p>
        </w:tc>
      </w:tr>
      <w:tr w:rsidR="00FA6669" w:rsidRPr="00005453" w14:paraId="08616DF4" w14:textId="77777777" w:rsidTr="001D00C5">
        <w:trPr>
          <w:divId w:val="633948249"/>
          <w:trHeight w:val="165"/>
        </w:trPr>
        <w:tc>
          <w:tcPr>
            <w:tcW w:w="591" w:type="dxa"/>
            <w:shd w:val="clear" w:color="auto" w:fill="auto"/>
            <w:vAlign w:val="center"/>
            <w:hideMark/>
          </w:tcPr>
          <w:p w14:paraId="49C8BCE1" w14:textId="77777777" w:rsidR="00FA6669" w:rsidRPr="00005453" w:rsidRDefault="00FA6669" w:rsidP="00FA6669">
            <w:pPr>
              <w:jc w:val="center"/>
              <w:rPr>
                <w:sz w:val="18"/>
                <w:szCs w:val="18"/>
                <w:lang w:eastAsia="tr-TR"/>
              </w:rPr>
            </w:pPr>
            <w:r w:rsidRPr="00005453">
              <w:rPr>
                <w:sz w:val="18"/>
                <w:szCs w:val="18"/>
                <w:lang w:eastAsia="tr-TR"/>
              </w:rPr>
              <w:t>3</w:t>
            </w:r>
          </w:p>
        </w:tc>
        <w:tc>
          <w:tcPr>
            <w:tcW w:w="1134" w:type="dxa"/>
            <w:shd w:val="clear" w:color="auto" w:fill="auto"/>
            <w:vAlign w:val="center"/>
            <w:hideMark/>
          </w:tcPr>
          <w:p w14:paraId="3502E4FF" w14:textId="196F2F47" w:rsidR="00FA6669" w:rsidRPr="00005453" w:rsidRDefault="00FA6669" w:rsidP="00FA6669">
            <w:pPr>
              <w:jc w:val="right"/>
              <w:rPr>
                <w:sz w:val="18"/>
                <w:szCs w:val="18"/>
              </w:rPr>
            </w:pPr>
            <w:r w:rsidRPr="00005453">
              <w:rPr>
                <w:color w:val="000000"/>
                <w:sz w:val="18"/>
                <w:szCs w:val="18"/>
              </w:rPr>
              <w:t>598,785</w:t>
            </w:r>
          </w:p>
        </w:tc>
        <w:tc>
          <w:tcPr>
            <w:tcW w:w="1072" w:type="dxa"/>
            <w:shd w:val="clear" w:color="auto" w:fill="auto"/>
            <w:vAlign w:val="center"/>
            <w:hideMark/>
          </w:tcPr>
          <w:p w14:paraId="4B17DBA2" w14:textId="0835ADD9" w:rsidR="00FA6669" w:rsidRPr="00005453" w:rsidRDefault="00FA6669" w:rsidP="00FA6669">
            <w:pPr>
              <w:jc w:val="right"/>
              <w:rPr>
                <w:sz w:val="18"/>
                <w:szCs w:val="18"/>
              </w:rPr>
            </w:pPr>
            <w:r w:rsidRPr="00005453">
              <w:rPr>
                <w:color w:val="000000"/>
                <w:sz w:val="18"/>
                <w:szCs w:val="18"/>
              </w:rPr>
              <w:t>1,014</w:t>
            </w:r>
          </w:p>
        </w:tc>
        <w:tc>
          <w:tcPr>
            <w:tcW w:w="934" w:type="dxa"/>
            <w:shd w:val="clear" w:color="auto" w:fill="auto"/>
            <w:vAlign w:val="center"/>
            <w:hideMark/>
          </w:tcPr>
          <w:p w14:paraId="6D51BD40" w14:textId="5435B215" w:rsidR="00FA6669" w:rsidRPr="00005453" w:rsidRDefault="00FA6669" w:rsidP="00FA6669">
            <w:pPr>
              <w:jc w:val="right"/>
              <w:rPr>
                <w:sz w:val="18"/>
                <w:szCs w:val="18"/>
              </w:rPr>
            </w:pPr>
            <w:r w:rsidRPr="00005453">
              <w:rPr>
                <w:color w:val="000000"/>
                <w:sz w:val="18"/>
                <w:szCs w:val="18"/>
              </w:rPr>
              <w:t>-</w:t>
            </w:r>
          </w:p>
        </w:tc>
        <w:tc>
          <w:tcPr>
            <w:tcW w:w="860" w:type="dxa"/>
            <w:shd w:val="clear" w:color="auto" w:fill="auto"/>
            <w:vAlign w:val="center"/>
            <w:hideMark/>
          </w:tcPr>
          <w:p w14:paraId="73D63390" w14:textId="5F69BD21" w:rsidR="00FA6669" w:rsidRPr="00005453" w:rsidRDefault="00FA6669" w:rsidP="00FA6669">
            <w:pPr>
              <w:jc w:val="right"/>
              <w:rPr>
                <w:sz w:val="18"/>
                <w:szCs w:val="18"/>
              </w:rPr>
            </w:pPr>
            <w:r w:rsidRPr="00005453">
              <w:rPr>
                <w:color w:val="000000"/>
                <w:sz w:val="18"/>
                <w:szCs w:val="18"/>
              </w:rPr>
              <w:t>-</w:t>
            </w:r>
          </w:p>
        </w:tc>
        <w:tc>
          <w:tcPr>
            <w:tcW w:w="957" w:type="dxa"/>
            <w:shd w:val="clear" w:color="auto" w:fill="auto"/>
            <w:vAlign w:val="center"/>
            <w:hideMark/>
          </w:tcPr>
          <w:p w14:paraId="7B850A21" w14:textId="1264F9EA" w:rsidR="00FA6669" w:rsidRPr="00005453" w:rsidRDefault="00FA6669" w:rsidP="00FA6669">
            <w:pPr>
              <w:jc w:val="right"/>
              <w:rPr>
                <w:sz w:val="18"/>
                <w:szCs w:val="18"/>
              </w:rPr>
            </w:pPr>
            <w:r w:rsidRPr="00005453">
              <w:rPr>
                <w:color w:val="000000"/>
                <w:sz w:val="18"/>
                <w:szCs w:val="18"/>
              </w:rPr>
              <w:t>-</w:t>
            </w:r>
          </w:p>
        </w:tc>
        <w:tc>
          <w:tcPr>
            <w:tcW w:w="1076" w:type="dxa"/>
            <w:shd w:val="clear" w:color="auto" w:fill="auto"/>
            <w:vAlign w:val="center"/>
            <w:hideMark/>
          </w:tcPr>
          <w:p w14:paraId="39E286B4" w14:textId="58A804F5" w:rsidR="00FA6669" w:rsidRPr="00005453" w:rsidRDefault="00FA6669" w:rsidP="00FA6669">
            <w:pPr>
              <w:jc w:val="right"/>
              <w:rPr>
                <w:sz w:val="18"/>
                <w:szCs w:val="18"/>
              </w:rPr>
            </w:pPr>
            <w:r w:rsidRPr="00005453">
              <w:rPr>
                <w:color w:val="000000"/>
                <w:sz w:val="18"/>
                <w:szCs w:val="18"/>
              </w:rPr>
              <w:t>394</w:t>
            </w:r>
          </w:p>
        </w:tc>
        <w:tc>
          <w:tcPr>
            <w:tcW w:w="1735" w:type="dxa"/>
            <w:shd w:val="clear" w:color="auto" w:fill="auto"/>
            <w:vAlign w:val="center"/>
            <w:hideMark/>
          </w:tcPr>
          <w:p w14:paraId="425684D4" w14:textId="72FD6AC6" w:rsidR="00FA6669" w:rsidRPr="00005453" w:rsidRDefault="00FA6669" w:rsidP="00FA6669">
            <w:pPr>
              <w:jc w:val="right"/>
              <w:rPr>
                <w:sz w:val="18"/>
                <w:szCs w:val="18"/>
                <w:lang w:eastAsia="tr-TR"/>
              </w:rPr>
            </w:pPr>
            <w:r w:rsidRPr="00005453">
              <w:rPr>
                <w:color w:val="000000"/>
                <w:sz w:val="18"/>
                <w:szCs w:val="18"/>
              </w:rPr>
              <w:t>111</w:t>
            </w:r>
          </w:p>
        </w:tc>
        <w:tc>
          <w:tcPr>
            <w:tcW w:w="844" w:type="dxa"/>
            <w:shd w:val="clear" w:color="auto" w:fill="auto"/>
            <w:vAlign w:val="center"/>
            <w:hideMark/>
          </w:tcPr>
          <w:p w14:paraId="0C327FE7" w14:textId="7EF5AC2D" w:rsidR="00FA6669" w:rsidRPr="00005453" w:rsidRDefault="00FA6669" w:rsidP="00FA6669">
            <w:pPr>
              <w:jc w:val="right"/>
              <w:rPr>
                <w:sz w:val="18"/>
                <w:szCs w:val="18"/>
                <w:lang w:eastAsia="tr-TR"/>
              </w:rPr>
            </w:pPr>
            <w:r w:rsidRPr="00005453">
              <w:rPr>
                <w:sz w:val="18"/>
                <w:szCs w:val="18"/>
              </w:rPr>
              <w:t>-</w:t>
            </w:r>
          </w:p>
        </w:tc>
      </w:tr>
      <w:tr w:rsidR="00FA6669" w:rsidRPr="00005453" w14:paraId="71D000BB" w14:textId="77777777" w:rsidTr="001D00C5">
        <w:trPr>
          <w:divId w:val="633948249"/>
          <w:trHeight w:val="165"/>
        </w:trPr>
        <w:tc>
          <w:tcPr>
            <w:tcW w:w="591" w:type="dxa"/>
            <w:shd w:val="clear" w:color="auto" w:fill="auto"/>
            <w:vAlign w:val="center"/>
            <w:hideMark/>
          </w:tcPr>
          <w:p w14:paraId="1CC3E37D" w14:textId="77777777" w:rsidR="00FA6669" w:rsidRPr="00005453" w:rsidRDefault="00FA6669" w:rsidP="00FA6669">
            <w:pPr>
              <w:jc w:val="center"/>
              <w:rPr>
                <w:sz w:val="18"/>
                <w:szCs w:val="18"/>
                <w:lang w:eastAsia="tr-TR"/>
              </w:rPr>
            </w:pPr>
            <w:r w:rsidRPr="00005453">
              <w:rPr>
                <w:sz w:val="18"/>
                <w:szCs w:val="18"/>
                <w:lang w:eastAsia="tr-TR"/>
              </w:rPr>
              <w:t>4</w:t>
            </w:r>
          </w:p>
        </w:tc>
        <w:tc>
          <w:tcPr>
            <w:tcW w:w="1134" w:type="dxa"/>
            <w:shd w:val="clear" w:color="auto" w:fill="auto"/>
            <w:vAlign w:val="center"/>
            <w:hideMark/>
          </w:tcPr>
          <w:p w14:paraId="21FAEE94" w14:textId="7AE65EB5" w:rsidR="00FA6669" w:rsidRPr="00005453" w:rsidRDefault="00FA6669" w:rsidP="00FA6669">
            <w:pPr>
              <w:jc w:val="right"/>
              <w:rPr>
                <w:sz w:val="18"/>
                <w:szCs w:val="18"/>
              </w:rPr>
            </w:pPr>
            <w:r w:rsidRPr="00005453">
              <w:rPr>
                <w:color w:val="000000"/>
                <w:sz w:val="18"/>
                <w:szCs w:val="18"/>
              </w:rPr>
              <w:t>404,425</w:t>
            </w:r>
          </w:p>
        </w:tc>
        <w:tc>
          <w:tcPr>
            <w:tcW w:w="1072" w:type="dxa"/>
            <w:shd w:val="clear" w:color="auto" w:fill="auto"/>
            <w:vAlign w:val="center"/>
            <w:hideMark/>
          </w:tcPr>
          <w:p w14:paraId="329F7823" w14:textId="1EA23C6A" w:rsidR="00FA6669" w:rsidRPr="00005453" w:rsidRDefault="00FA6669" w:rsidP="00FA6669">
            <w:pPr>
              <w:jc w:val="right"/>
              <w:rPr>
                <w:sz w:val="18"/>
                <w:szCs w:val="18"/>
              </w:rPr>
            </w:pPr>
            <w:r w:rsidRPr="00005453">
              <w:rPr>
                <w:color w:val="000000"/>
                <w:sz w:val="18"/>
                <w:szCs w:val="18"/>
              </w:rPr>
              <w:t>1,187</w:t>
            </w:r>
          </w:p>
        </w:tc>
        <w:tc>
          <w:tcPr>
            <w:tcW w:w="934" w:type="dxa"/>
            <w:shd w:val="clear" w:color="auto" w:fill="auto"/>
            <w:vAlign w:val="center"/>
            <w:hideMark/>
          </w:tcPr>
          <w:p w14:paraId="2AD09E6C" w14:textId="4A2654CE" w:rsidR="00FA6669" w:rsidRPr="00005453" w:rsidRDefault="00FA6669" w:rsidP="00FA6669">
            <w:pPr>
              <w:jc w:val="right"/>
              <w:rPr>
                <w:sz w:val="18"/>
                <w:szCs w:val="18"/>
              </w:rPr>
            </w:pPr>
            <w:r w:rsidRPr="00005453">
              <w:rPr>
                <w:color w:val="000000"/>
                <w:sz w:val="18"/>
                <w:szCs w:val="18"/>
              </w:rPr>
              <w:t>-</w:t>
            </w:r>
          </w:p>
        </w:tc>
        <w:tc>
          <w:tcPr>
            <w:tcW w:w="860" w:type="dxa"/>
            <w:shd w:val="clear" w:color="auto" w:fill="auto"/>
            <w:vAlign w:val="center"/>
            <w:hideMark/>
          </w:tcPr>
          <w:p w14:paraId="205A688F" w14:textId="283DC178" w:rsidR="00FA6669" w:rsidRPr="00005453" w:rsidRDefault="00FA6669" w:rsidP="00FA6669">
            <w:pPr>
              <w:jc w:val="right"/>
              <w:rPr>
                <w:sz w:val="18"/>
                <w:szCs w:val="18"/>
              </w:rPr>
            </w:pPr>
            <w:r w:rsidRPr="00005453">
              <w:rPr>
                <w:color w:val="000000"/>
                <w:sz w:val="18"/>
                <w:szCs w:val="18"/>
              </w:rPr>
              <w:t>-</w:t>
            </w:r>
          </w:p>
        </w:tc>
        <w:tc>
          <w:tcPr>
            <w:tcW w:w="957" w:type="dxa"/>
            <w:shd w:val="clear" w:color="auto" w:fill="auto"/>
            <w:vAlign w:val="center"/>
            <w:hideMark/>
          </w:tcPr>
          <w:p w14:paraId="4769E8D3" w14:textId="34DA812C" w:rsidR="00FA6669" w:rsidRPr="00005453" w:rsidRDefault="00FA6669" w:rsidP="00FA6669">
            <w:pPr>
              <w:jc w:val="right"/>
              <w:rPr>
                <w:sz w:val="18"/>
                <w:szCs w:val="18"/>
              </w:rPr>
            </w:pPr>
            <w:r w:rsidRPr="00005453">
              <w:rPr>
                <w:color w:val="000000"/>
                <w:sz w:val="18"/>
                <w:szCs w:val="18"/>
              </w:rPr>
              <w:t>-</w:t>
            </w:r>
          </w:p>
        </w:tc>
        <w:tc>
          <w:tcPr>
            <w:tcW w:w="1076" w:type="dxa"/>
            <w:shd w:val="clear" w:color="auto" w:fill="auto"/>
            <w:vAlign w:val="center"/>
            <w:hideMark/>
          </w:tcPr>
          <w:p w14:paraId="4515CD4E" w14:textId="64FF789D" w:rsidR="00FA6669" w:rsidRPr="00005453" w:rsidRDefault="00FA6669" w:rsidP="00FA6669">
            <w:pPr>
              <w:jc w:val="right"/>
              <w:rPr>
                <w:sz w:val="18"/>
                <w:szCs w:val="18"/>
              </w:rPr>
            </w:pPr>
            <w:r w:rsidRPr="00005453">
              <w:rPr>
                <w:color w:val="000000"/>
                <w:sz w:val="18"/>
                <w:szCs w:val="18"/>
              </w:rPr>
              <w:t>312</w:t>
            </w:r>
          </w:p>
        </w:tc>
        <w:tc>
          <w:tcPr>
            <w:tcW w:w="1735" w:type="dxa"/>
            <w:shd w:val="clear" w:color="auto" w:fill="auto"/>
            <w:vAlign w:val="center"/>
            <w:hideMark/>
          </w:tcPr>
          <w:p w14:paraId="7071FD54" w14:textId="42D39CDD" w:rsidR="00FA6669" w:rsidRPr="00005453" w:rsidRDefault="00FA6669" w:rsidP="00FA6669">
            <w:pPr>
              <w:jc w:val="right"/>
              <w:rPr>
                <w:sz w:val="18"/>
                <w:szCs w:val="18"/>
                <w:lang w:eastAsia="tr-TR"/>
              </w:rPr>
            </w:pPr>
            <w:r w:rsidRPr="00005453">
              <w:rPr>
                <w:color w:val="000000"/>
                <w:sz w:val="18"/>
                <w:szCs w:val="18"/>
              </w:rPr>
              <w:t>130</w:t>
            </w:r>
          </w:p>
        </w:tc>
        <w:tc>
          <w:tcPr>
            <w:tcW w:w="844" w:type="dxa"/>
            <w:shd w:val="clear" w:color="auto" w:fill="auto"/>
            <w:vAlign w:val="center"/>
            <w:hideMark/>
          </w:tcPr>
          <w:p w14:paraId="6010711B" w14:textId="55033615" w:rsidR="00FA6669" w:rsidRPr="00005453" w:rsidRDefault="00FA6669" w:rsidP="00FA6669">
            <w:pPr>
              <w:jc w:val="right"/>
              <w:rPr>
                <w:sz w:val="18"/>
                <w:szCs w:val="18"/>
                <w:lang w:eastAsia="tr-TR"/>
              </w:rPr>
            </w:pPr>
            <w:r w:rsidRPr="00005453">
              <w:rPr>
                <w:sz w:val="18"/>
                <w:szCs w:val="18"/>
              </w:rPr>
              <w:t>-</w:t>
            </w:r>
          </w:p>
        </w:tc>
      </w:tr>
      <w:tr w:rsidR="00FA6669" w:rsidRPr="00005453" w14:paraId="1B6CEBDB" w14:textId="77777777" w:rsidTr="001D00C5">
        <w:trPr>
          <w:divId w:val="633948249"/>
          <w:trHeight w:val="165"/>
        </w:trPr>
        <w:tc>
          <w:tcPr>
            <w:tcW w:w="591" w:type="dxa"/>
            <w:shd w:val="clear" w:color="auto" w:fill="auto"/>
            <w:vAlign w:val="center"/>
            <w:hideMark/>
          </w:tcPr>
          <w:p w14:paraId="53B903AA" w14:textId="77777777" w:rsidR="00FA6669" w:rsidRPr="00005453" w:rsidRDefault="00FA6669" w:rsidP="00FA6669">
            <w:pPr>
              <w:jc w:val="center"/>
              <w:rPr>
                <w:sz w:val="18"/>
                <w:szCs w:val="18"/>
                <w:lang w:eastAsia="tr-TR"/>
              </w:rPr>
            </w:pPr>
            <w:r w:rsidRPr="00005453">
              <w:rPr>
                <w:sz w:val="18"/>
                <w:szCs w:val="18"/>
                <w:lang w:eastAsia="tr-TR"/>
              </w:rPr>
              <w:t>5</w:t>
            </w:r>
          </w:p>
        </w:tc>
        <w:tc>
          <w:tcPr>
            <w:tcW w:w="1134" w:type="dxa"/>
            <w:shd w:val="clear" w:color="auto" w:fill="auto"/>
            <w:vAlign w:val="center"/>
            <w:hideMark/>
          </w:tcPr>
          <w:p w14:paraId="7BCE62CD" w14:textId="5147D337" w:rsidR="00FA6669" w:rsidRPr="00005453" w:rsidRDefault="00FA6669" w:rsidP="00FA6669">
            <w:pPr>
              <w:jc w:val="right"/>
              <w:rPr>
                <w:sz w:val="18"/>
                <w:szCs w:val="18"/>
              </w:rPr>
            </w:pPr>
            <w:r w:rsidRPr="00005453">
              <w:rPr>
                <w:color w:val="000000"/>
                <w:sz w:val="18"/>
                <w:szCs w:val="18"/>
              </w:rPr>
              <w:t>1,036,549</w:t>
            </w:r>
          </w:p>
        </w:tc>
        <w:tc>
          <w:tcPr>
            <w:tcW w:w="1072" w:type="dxa"/>
            <w:shd w:val="clear" w:color="auto" w:fill="auto"/>
            <w:vAlign w:val="center"/>
            <w:hideMark/>
          </w:tcPr>
          <w:p w14:paraId="37B14EB4" w14:textId="57DB966D" w:rsidR="00FA6669" w:rsidRPr="00005453" w:rsidRDefault="00FA6669" w:rsidP="00FA6669">
            <w:pPr>
              <w:jc w:val="right"/>
              <w:rPr>
                <w:sz w:val="18"/>
                <w:szCs w:val="18"/>
              </w:rPr>
            </w:pPr>
            <w:r w:rsidRPr="00005453">
              <w:rPr>
                <w:color w:val="000000"/>
                <w:sz w:val="18"/>
                <w:szCs w:val="18"/>
              </w:rPr>
              <w:t>870,913</w:t>
            </w:r>
          </w:p>
        </w:tc>
        <w:tc>
          <w:tcPr>
            <w:tcW w:w="934" w:type="dxa"/>
            <w:shd w:val="clear" w:color="auto" w:fill="auto"/>
            <w:vAlign w:val="center"/>
            <w:hideMark/>
          </w:tcPr>
          <w:p w14:paraId="28252F87" w14:textId="4EE95B90" w:rsidR="00FA6669" w:rsidRPr="00005453" w:rsidRDefault="00FA6669" w:rsidP="00FA6669">
            <w:pPr>
              <w:jc w:val="right"/>
              <w:rPr>
                <w:sz w:val="18"/>
                <w:szCs w:val="18"/>
              </w:rPr>
            </w:pPr>
            <w:r w:rsidRPr="00005453">
              <w:rPr>
                <w:color w:val="000000"/>
                <w:sz w:val="18"/>
                <w:szCs w:val="18"/>
              </w:rPr>
              <w:t>30,404</w:t>
            </w:r>
          </w:p>
        </w:tc>
        <w:tc>
          <w:tcPr>
            <w:tcW w:w="860" w:type="dxa"/>
            <w:shd w:val="clear" w:color="auto" w:fill="auto"/>
            <w:vAlign w:val="center"/>
            <w:hideMark/>
          </w:tcPr>
          <w:p w14:paraId="359D033E" w14:textId="3697C419" w:rsidR="00FA6669" w:rsidRPr="00005453" w:rsidRDefault="00FA6669" w:rsidP="00FA6669">
            <w:pPr>
              <w:jc w:val="right"/>
              <w:rPr>
                <w:sz w:val="18"/>
                <w:szCs w:val="18"/>
              </w:rPr>
            </w:pPr>
            <w:r w:rsidRPr="00005453">
              <w:rPr>
                <w:color w:val="000000"/>
                <w:sz w:val="18"/>
                <w:szCs w:val="18"/>
              </w:rPr>
              <w:t>-</w:t>
            </w:r>
          </w:p>
        </w:tc>
        <w:tc>
          <w:tcPr>
            <w:tcW w:w="957" w:type="dxa"/>
            <w:shd w:val="clear" w:color="auto" w:fill="auto"/>
            <w:vAlign w:val="center"/>
            <w:hideMark/>
          </w:tcPr>
          <w:p w14:paraId="63923A03" w14:textId="0A28DC7B" w:rsidR="00FA6669" w:rsidRPr="00005453" w:rsidRDefault="00FA6669" w:rsidP="00FA6669">
            <w:pPr>
              <w:jc w:val="right"/>
              <w:rPr>
                <w:sz w:val="18"/>
                <w:szCs w:val="18"/>
              </w:rPr>
            </w:pPr>
            <w:r w:rsidRPr="00005453">
              <w:rPr>
                <w:color w:val="000000"/>
                <w:sz w:val="18"/>
                <w:szCs w:val="18"/>
              </w:rPr>
              <w:t>-</w:t>
            </w:r>
          </w:p>
        </w:tc>
        <w:tc>
          <w:tcPr>
            <w:tcW w:w="1076" w:type="dxa"/>
            <w:shd w:val="clear" w:color="auto" w:fill="auto"/>
            <w:vAlign w:val="center"/>
            <w:hideMark/>
          </w:tcPr>
          <w:p w14:paraId="7BC872C8" w14:textId="5DEC012F" w:rsidR="00FA6669" w:rsidRPr="00005453" w:rsidRDefault="00FA6669" w:rsidP="00FA6669">
            <w:pPr>
              <w:jc w:val="right"/>
              <w:rPr>
                <w:sz w:val="18"/>
                <w:szCs w:val="18"/>
              </w:rPr>
            </w:pPr>
            <w:r w:rsidRPr="00005453">
              <w:rPr>
                <w:color w:val="000000"/>
                <w:sz w:val="18"/>
                <w:szCs w:val="18"/>
              </w:rPr>
              <w:t>589,960</w:t>
            </w:r>
          </w:p>
        </w:tc>
        <w:tc>
          <w:tcPr>
            <w:tcW w:w="1735" w:type="dxa"/>
            <w:shd w:val="clear" w:color="auto" w:fill="auto"/>
            <w:vAlign w:val="center"/>
            <w:hideMark/>
          </w:tcPr>
          <w:p w14:paraId="53E85FDC" w14:textId="6395B4EB" w:rsidR="00FA6669" w:rsidRPr="00005453" w:rsidRDefault="00FA6669" w:rsidP="00FA6669">
            <w:pPr>
              <w:jc w:val="right"/>
              <w:rPr>
                <w:sz w:val="18"/>
                <w:szCs w:val="18"/>
                <w:lang w:eastAsia="tr-TR"/>
              </w:rPr>
            </w:pPr>
            <w:r w:rsidRPr="00005453">
              <w:rPr>
                <w:color w:val="000000"/>
                <w:sz w:val="18"/>
                <w:szCs w:val="18"/>
              </w:rPr>
              <w:t>167,591</w:t>
            </w:r>
          </w:p>
        </w:tc>
        <w:tc>
          <w:tcPr>
            <w:tcW w:w="844" w:type="dxa"/>
            <w:shd w:val="clear" w:color="auto" w:fill="auto"/>
            <w:vAlign w:val="center"/>
            <w:hideMark/>
          </w:tcPr>
          <w:p w14:paraId="14B268D8" w14:textId="3602D2FD" w:rsidR="00FA6669" w:rsidRPr="00005453" w:rsidRDefault="00FA6669" w:rsidP="00FA6669">
            <w:pPr>
              <w:jc w:val="right"/>
              <w:rPr>
                <w:sz w:val="18"/>
                <w:szCs w:val="18"/>
                <w:lang w:eastAsia="tr-TR"/>
              </w:rPr>
            </w:pPr>
            <w:r w:rsidRPr="00005453">
              <w:rPr>
                <w:sz w:val="18"/>
                <w:szCs w:val="18"/>
              </w:rPr>
              <w:t>-</w:t>
            </w:r>
          </w:p>
        </w:tc>
      </w:tr>
      <w:tr w:rsidR="00FA6669" w:rsidRPr="00005453" w14:paraId="7E96035F" w14:textId="77777777" w:rsidTr="001D00C5">
        <w:trPr>
          <w:divId w:val="633948249"/>
          <w:trHeight w:val="165"/>
        </w:trPr>
        <w:tc>
          <w:tcPr>
            <w:tcW w:w="591" w:type="dxa"/>
            <w:shd w:val="clear" w:color="auto" w:fill="auto"/>
            <w:vAlign w:val="center"/>
            <w:hideMark/>
          </w:tcPr>
          <w:p w14:paraId="3CA0EBAD" w14:textId="77777777" w:rsidR="00FA6669" w:rsidRPr="00005453" w:rsidRDefault="00FA6669" w:rsidP="00FA6669">
            <w:pPr>
              <w:jc w:val="center"/>
              <w:rPr>
                <w:sz w:val="18"/>
                <w:szCs w:val="18"/>
                <w:lang w:eastAsia="tr-TR"/>
              </w:rPr>
            </w:pPr>
            <w:r w:rsidRPr="00005453">
              <w:rPr>
                <w:sz w:val="18"/>
                <w:szCs w:val="18"/>
                <w:lang w:eastAsia="tr-TR"/>
              </w:rPr>
              <w:t>6</w:t>
            </w:r>
          </w:p>
        </w:tc>
        <w:tc>
          <w:tcPr>
            <w:tcW w:w="1134" w:type="dxa"/>
            <w:shd w:val="clear" w:color="auto" w:fill="auto"/>
            <w:vAlign w:val="center"/>
            <w:hideMark/>
          </w:tcPr>
          <w:p w14:paraId="047E31C1" w14:textId="225F1C3F" w:rsidR="00FA6669" w:rsidRPr="00005453" w:rsidRDefault="00FA6669" w:rsidP="00FA6669">
            <w:pPr>
              <w:jc w:val="right"/>
              <w:rPr>
                <w:sz w:val="18"/>
                <w:szCs w:val="18"/>
              </w:rPr>
            </w:pPr>
            <w:r w:rsidRPr="00005453">
              <w:rPr>
                <w:color w:val="000000"/>
                <w:sz w:val="18"/>
                <w:szCs w:val="18"/>
              </w:rPr>
              <w:t>521,718</w:t>
            </w:r>
          </w:p>
        </w:tc>
        <w:tc>
          <w:tcPr>
            <w:tcW w:w="1072" w:type="dxa"/>
            <w:shd w:val="clear" w:color="auto" w:fill="auto"/>
            <w:vAlign w:val="center"/>
            <w:hideMark/>
          </w:tcPr>
          <w:p w14:paraId="78476DC9" w14:textId="57072CBA" w:rsidR="00FA6669" w:rsidRPr="00005453" w:rsidRDefault="00FA6669" w:rsidP="00FA6669">
            <w:pPr>
              <w:jc w:val="right"/>
              <w:rPr>
                <w:sz w:val="18"/>
                <w:szCs w:val="18"/>
              </w:rPr>
            </w:pPr>
            <w:r w:rsidRPr="00005453">
              <w:rPr>
                <w:color w:val="000000"/>
                <w:sz w:val="18"/>
                <w:szCs w:val="18"/>
              </w:rPr>
              <w:t>339,816</w:t>
            </w:r>
          </w:p>
        </w:tc>
        <w:tc>
          <w:tcPr>
            <w:tcW w:w="934" w:type="dxa"/>
            <w:shd w:val="clear" w:color="auto" w:fill="auto"/>
            <w:vAlign w:val="center"/>
            <w:hideMark/>
          </w:tcPr>
          <w:p w14:paraId="674BAC75" w14:textId="7B3E6F00" w:rsidR="00FA6669" w:rsidRPr="00005453" w:rsidRDefault="00FA6669" w:rsidP="00FA6669">
            <w:pPr>
              <w:jc w:val="right"/>
              <w:rPr>
                <w:sz w:val="18"/>
                <w:szCs w:val="18"/>
              </w:rPr>
            </w:pPr>
            <w:r w:rsidRPr="00005453">
              <w:rPr>
                <w:color w:val="000000"/>
                <w:sz w:val="18"/>
                <w:szCs w:val="18"/>
              </w:rPr>
              <w:t>10,574</w:t>
            </w:r>
          </w:p>
        </w:tc>
        <w:tc>
          <w:tcPr>
            <w:tcW w:w="860" w:type="dxa"/>
            <w:shd w:val="clear" w:color="auto" w:fill="auto"/>
            <w:vAlign w:val="center"/>
            <w:hideMark/>
          </w:tcPr>
          <w:p w14:paraId="5D23E8D5" w14:textId="0741E09C" w:rsidR="00FA6669" w:rsidRPr="00005453" w:rsidRDefault="00FA6669" w:rsidP="00FA6669">
            <w:pPr>
              <w:jc w:val="right"/>
              <w:rPr>
                <w:sz w:val="18"/>
                <w:szCs w:val="18"/>
              </w:rPr>
            </w:pPr>
            <w:r w:rsidRPr="00005453">
              <w:rPr>
                <w:color w:val="000000"/>
                <w:sz w:val="18"/>
                <w:szCs w:val="18"/>
              </w:rPr>
              <w:t>32,426</w:t>
            </w:r>
          </w:p>
        </w:tc>
        <w:tc>
          <w:tcPr>
            <w:tcW w:w="957" w:type="dxa"/>
            <w:shd w:val="clear" w:color="auto" w:fill="auto"/>
            <w:vAlign w:val="center"/>
            <w:hideMark/>
          </w:tcPr>
          <w:p w14:paraId="45A81589" w14:textId="4894B816" w:rsidR="00FA6669" w:rsidRPr="00005453" w:rsidRDefault="00FA6669" w:rsidP="00FA6669">
            <w:pPr>
              <w:jc w:val="right"/>
              <w:rPr>
                <w:sz w:val="18"/>
                <w:szCs w:val="18"/>
              </w:rPr>
            </w:pPr>
            <w:r w:rsidRPr="00005453">
              <w:rPr>
                <w:color w:val="000000"/>
                <w:sz w:val="18"/>
                <w:szCs w:val="18"/>
              </w:rPr>
              <w:t>17,643</w:t>
            </w:r>
          </w:p>
        </w:tc>
        <w:tc>
          <w:tcPr>
            <w:tcW w:w="1076" w:type="dxa"/>
            <w:shd w:val="clear" w:color="auto" w:fill="auto"/>
            <w:vAlign w:val="center"/>
            <w:hideMark/>
          </w:tcPr>
          <w:p w14:paraId="5C4F00A9" w14:textId="67527878" w:rsidR="00FA6669" w:rsidRPr="00005453" w:rsidRDefault="00FA6669" w:rsidP="00FA6669">
            <w:pPr>
              <w:jc w:val="right"/>
              <w:rPr>
                <w:sz w:val="18"/>
                <w:szCs w:val="18"/>
              </w:rPr>
            </w:pPr>
            <w:r w:rsidRPr="00005453">
              <w:rPr>
                <w:color w:val="000000"/>
                <w:sz w:val="18"/>
                <w:szCs w:val="18"/>
              </w:rPr>
              <w:t>115,561</w:t>
            </w:r>
          </w:p>
        </w:tc>
        <w:tc>
          <w:tcPr>
            <w:tcW w:w="1735" w:type="dxa"/>
            <w:shd w:val="clear" w:color="auto" w:fill="auto"/>
            <w:vAlign w:val="center"/>
            <w:hideMark/>
          </w:tcPr>
          <w:p w14:paraId="5DD92FB4" w14:textId="2079AA8D" w:rsidR="00FA6669" w:rsidRPr="00005453" w:rsidRDefault="00FA6669" w:rsidP="00FA6669">
            <w:pPr>
              <w:jc w:val="right"/>
              <w:rPr>
                <w:sz w:val="18"/>
                <w:szCs w:val="18"/>
                <w:lang w:eastAsia="tr-TR"/>
              </w:rPr>
            </w:pPr>
            <w:r w:rsidRPr="00005453">
              <w:rPr>
                <w:color w:val="000000"/>
                <w:sz w:val="18"/>
                <w:szCs w:val="18"/>
              </w:rPr>
              <w:t>75,890</w:t>
            </w:r>
          </w:p>
        </w:tc>
        <w:tc>
          <w:tcPr>
            <w:tcW w:w="844" w:type="dxa"/>
            <w:shd w:val="clear" w:color="auto" w:fill="auto"/>
            <w:vAlign w:val="center"/>
            <w:hideMark/>
          </w:tcPr>
          <w:p w14:paraId="70080433" w14:textId="7AA1B7EE" w:rsidR="00FA6669" w:rsidRPr="00005453" w:rsidRDefault="00FA6669" w:rsidP="00FA6669">
            <w:pPr>
              <w:jc w:val="right"/>
              <w:rPr>
                <w:sz w:val="18"/>
                <w:szCs w:val="18"/>
                <w:lang w:eastAsia="tr-TR"/>
              </w:rPr>
            </w:pPr>
            <w:r w:rsidRPr="00005453">
              <w:rPr>
                <w:sz w:val="18"/>
                <w:szCs w:val="18"/>
              </w:rPr>
              <w:t>-</w:t>
            </w:r>
          </w:p>
        </w:tc>
      </w:tr>
      <w:tr w:rsidR="00FA6669" w:rsidRPr="00005453" w14:paraId="362C2C51" w14:textId="77777777" w:rsidTr="001D00C5">
        <w:trPr>
          <w:divId w:val="633948249"/>
          <w:trHeight w:val="165"/>
        </w:trPr>
        <w:tc>
          <w:tcPr>
            <w:tcW w:w="591" w:type="dxa"/>
            <w:shd w:val="clear" w:color="auto" w:fill="auto"/>
            <w:vAlign w:val="center"/>
            <w:hideMark/>
          </w:tcPr>
          <w:p w14:paraId="5C0C549D" w14:textId="56584D83" w:rsidR="00FA6669" w:rsidRPr="00005453" w:rsidRDefault="00FA6669" w:rsidP="00FA6669">
            <w:pPr>
              <w:jc w:val="center"/>
              <w:rPr>
                <w:sz w:val="18"/>
                <w:szCs w:val="18"/>
                <w:lang w:eastAsia="tr-TR"/>
              </w:rPr>
            </w:pPr>
            <w:r w:rsidRPr="00005453">
              <w:rPr>
                <w:sz w:val="18"/>
                <w:szCs w:val="18"/>
                <w:lang w:eastAsia="tr-TR"/>
              </w:rPr>
              <w:t>7(**)</w:t>
            </w:r>
          </w:p>
        </w:tc>
        <w:tc>
          <w:tcPr>
            <w:tcW w:w="1134" w:type="dxa"/>
            <w:shd w:val="clear" w:color="auto" w:fill="auto"/>
            <w:vAlign w:val="center"/>
            <w:hideMark/>
          </w:tcPr>
          <w:p w14:paraId="6016E3AC" w14:textId="175A7E0E" w:rsidR="00FA6669" w:rsidRPr="00005453" w:rsidRDefault="00FA6669" w:rsidP="00FA6669">
            <w:pPr>
              <w:jc w:val="right"/>
              <w:rPr>
                <w:sz w:val="18"/>
                <w:szCs w:val="18"/>
              </w:rPr>
            </w:pPr>
            <w:r w:rsidRPr="00005453">
              <w:rPr>
                <w:color w:val="000000"/>
                <w:sz w:val="18"/>
                <w:szCs w:val="18"/>
              </w:rPr>
              <w:t>1,056,713</w:t>
            </w:r>
          </w:p>
        </w:tc>
        <w:tc>
          <w:tcPr>
            <w:tcW w:w="1072" w:type="dxa"/>
            <w:shd w:val="clear" w:color="auto" w:fill="auto"/>
            <w:vAlign w:val="center"/>
            <w:hideMark/>
          </w:tcPr>
          <w:p w14:paraId="6929391D" w14:textId="48D4D05F" w:rsidR="00FA6669" w:rsidRPr="00005453" w:rsidRDefault="00FA6669" w:rsidP="00FA6669">
            <w:pPr>
              <w:jc w:val="right"/>
              <w:rPr>
                <w:sz w:val="18"/>
                <w:szCs w:val="18"/>
              </w:rPr>
            </w:pPr>
            <w:r w:rsidRPr="00005453">
              <w:rPr>
                <w:color w:val="000000"/>
                <w:sz w:val="18"/>
                <w:szCs w:val="18"/>
              </w:rPr>
              <w:t>835,248</w:t>
            </w:r>
          </w:p>
        </w:tc>
        <w:tc>
          <w:tcPr>
            <w:tcW w:w="934" w:type="dxa"/>
            <w:shd w:val="clear" w:color="auto" w:fill="auto"/>
            <w:vAlign w:val="center"/>
            <w:hideMark/>
          </w:tcPr>
          <w:p w14:paraId="6D81027F" w14:textId="77A5A7CD" w:rsidR="00FA6669" w:rsidRPr="00005453" w:rsidRDefault="00FA6669" w:rsidP="00FA6669">
            <w:pPr>
              <w:jc w:val="right"/>
              <w:rPr>
                <w:sz w:val="18"/>
                <w:szCs w:val="18"/>
              </w:rPr>
            </w:pPr>
            <w:r w:rsidRPr="00005453">
              <w:rPr>
                <w:color w:val="000000"/>
                <w:sz w:val="18"/>
                <w:szCs w:val="18"/>
              </w:rPr>
              <w:t>91,030</w:t>
            </w:r>
          </w:p>
        </w:tc>
        <w:tc>
          <w:tcPr>
            <w:tcW w:w="860" w:type="dxa"/>
            <w:shd w:val="clear" w:color="auto" w:fill="auto"/>
            <w:vAlign w:val="center"/>
            <w:hideMark/>
          </w:tcPr>
          <w:p w14:paraId="0949B0BC" w14:textId="4D2C9B99" w:rsidR="00FA6669" w:rsidRPr="00005453" w:rsidRDefault="00FA6669" w:rsidP="00FA6669">
            <w:pPr>
              <w:jc w:val="right"/>
              <w:rPr>
                <w:sz w:val="18"/>
                <w:szCs w:val="18"/>
              </w:rPr>
            </w:pPr>
            <w:r w:rsidRPr="00005453">
              <w:rPr>
                <w:color w:val="000000"/>
                <w:sz w:val="18"/>
                <w:szCs w:val="18"/>
              </w:rPr>
              <w:t>61,190</w:t>
            </w:r>
          </w:p>
        </w:tc>
        <w:tc>
          <w:tcPr>
            <w:tcW w:w="957" w:type="dxa"/>
            <w:shd w:val="clear" w:color="auto" w:fill="auto"/>
            <w:vAlign w:val="center"/>
            <w:hideMark/>
          </w:tcPr>
          <w:p w14:paraId="6B0DD3AB" w14:textId="72519C72" w:rsidR="00FA6669" w:rsidRPr="00005453" w:rsidRDefault="00FA6669" w:rsidP="00FA6669">
            <w:pPr>
              <w:jc w:val="right"/>
              <w:rPr>
                <w:sz w:val="18"/>
                <w:szCs w:val="18"/>
              </w:rPr>
            </w:pPr>
            <w:r w:rsidRPr="00005453">
              <w:rPr>
                <w:color w:val="000000"/>
                <w:sz w:val="18"/>
                <w:szCs w:val="18"/>
              </w:rPr>
              <w:t>60,837,329</w:t>
            </w:r>
          </w:p>
        </w:tc>
        <w:tc>
          <w:tcPr>
            <w:tcW w:w="1076" w:type="dxa"/>
            <w:shd w:val="clear" w:color="auto" w:fill="auto"/>
            <w:vAlign w:val="center"/>
            <w:hideMark/>
          </w:tcPr>
          <w:p w14:paraId="0C7E29E1" w14:textId="5221FF90" w:rsidR="00FA6669" w:rsidRPr="00005453" w:rsidRDefault="00FA6669" w:rsidP="00FA6669">
            <w:pPr>
              <w:jc w:val="right"/>
              <w:rPr>
                <w:sz w:val="18"/>
                <w:szCs w:val="18"/>
              </w:rPr>
            </w:pPr>
            <w:r w:rsidRPr="00005453">
              <w:rPr>
                <w:color w:val="000000"/>
                <w:sz w:val="18"/>
                <w:szCs w:val="18"/>
              </w:rPr>
              <w:t>319,563</w:t>
            </w:r>
          </w:p>
        </w:tc>
        <w:tc>
          <w:tcPr>
            <w:tcW w:w="1735" w:type="dxa"/>
            <w:shd w:val="clear" w:color="auto" w:fill="auto"/>
            <w:vAlign w:val="center"/>
            <w:hideMark/>
          </w:tcPr>
          <w:p w14:paraId="5F195FCC" w14:textId="251D20C1" w:rsidR="00FA6669" w:rsidRPr="00005453" w:rsidRDefault="00FA6669" w:rsidP="00FA6669">
            <w:pPr>
              <w:jc w:val="right"/>
              <w:rPr>
                <w:sz w:val="18"/>
                <w:szCs w:val="18"/>
                <w:lang w:eastAsia="tr-TR"/>
              </w:rPr>
            </w:pPr>
            <w:r w:rsidRPr="00005453">
              <w:rPr>
                <w:color w:val="000000"/>
                <w:sz w:val="18"/>
                <w:szCs w:val="18"/>
              </w:rPr>
              <w:t>143,266</w:t>
            </w:r>
          </w:p>
        </w:tc>
        <w:tc>
          <w:tcPr>
            <w:tcW w:w="844" w:type="dxa"/>
            <w:shd w:val="clear" w:color="auto" w:fill="auto"/>
            <w:vAlign w:val="center"/>
            <w:hideMark/>
          </w:tcPr>
          <w:p w14:paraId="6B7D04C0" w14:textId="7812A432" w:rsidR="00FA6669" w:rsidRPr="00005453" w:rsidRDefault="00FA6669" w:rsidP="00FA6669">
            <w:pPr>
              <w:jc w:val="right"/>
              <w:rPr>
                <w:sz w:val="18"/>
                <w:szCs w:val="18"/>
                <w:lang w:eastAsia="tr-TR"/>
              </w:rPr>
            </w:pPr>
            <w:r w:rsidRPr="00005453">
              <w:rPr>
                <w:sz w:val="18"/>
                <w:szCs w:val="18"/>
              </w:rPr>
              <w:t>-</w:t>
            </w:r>
          </w:p>
        </w:tc>
      </w:tr>
      <w:tr w:rsidR="00FA6669" w:rsidRPr="00005453" w14:paraId="2A043159" w14:textId="77777777" w:rsidTr="001D00C5">
        <w:trPr>
          <w:divId w:val="633948249"/>
          <w:trHeight w:val="165"/>
        </w:trPr>
        <w:tc>
          <w:tcPr>
            <w:tcW w:w="591" w:type="dxa"/>
            <w:shd w:val="clear" w:color="auto" w:fill="auto"/>
            <w:vAlign w:val="center"/>
            <w:hideMark/>
          </w:tcPr>
          <w:p w14:paraId="57ACEEEC" w14:textId="312534FF" w:rsidR="00FA6669" w:rsidRPr="00005453" w:rsidRDefault="00FA6669" w:rsidP="00FA6669">
            <w:pPr>
              <w:jc w:val="center"/>
              <w:rPr>
                <w:sz w:val="18"/>
                <w:szCs w:val="18"/>
                <w:lang w:eastAsia="tr-TR"/>
              </w:rPr>
            </w:pPr>
            <w:r w:rsidRPr="00005453">
              <w:rPr>
                <w:sz w:val="18"/>
                <w:szCs w:val="18"/>
                <w:lang w:eastAsia="tr-TR"/>
              </w:rPr>
              <w:t>8(**)</w:t>
            </w:r>
          </w:p>
        </w:tc>
        <w:tc>
          <w:tcPr>
            <w:tcW w:w="1134" w:type="dxa"/>
            <w:shd w:val="clear" w:color="auto" w:fill="auto"/>
            <w:vAlign w:val="center"/>
            <w:hideMark/>
          </w:tcPr>
          <w:p w14:paraId="2056C939" w14:textId="6938FE36" w:rsidR="00FA6669" w:rsidRPr="00005453" w:rsidRDefault="00FA6669" w:rsidP="00FA6669">
            <w:pPr>
              <w:jc w:val="right"/>
              <w:rPr>
                <w:sz w:val="18"/>
                <w:szCs w:val="18"/>
              </w:rPr>
            </w:pPr>
            <w:r w:rsidRPr="00005453">
              <w:rPr>
                <w:color w:val="000000"/>
                <w:sz w:val="18"/>
                <w:szCs w:val="18"/>
              </w:rPr>
              <w:t>295,865</w:t>
            </w:r>
          </w:p>
        </w:tc>
        <w:tc>
          <w:tcPr>
            <w:tcW w:w="1072" w:type="dxa"/>
            <w:shd w:val="clear" w:color="auto" w:fill="auto"/>
            <w:vAlign w:val="center"/>
            <w:hideMark/>
          </w:tcPr>
          <w:p w14:paraId="3C72625A" w14:textId="416C0DAD" w:rsidR="00FA6669" w:rsidRPr="00005453" w:rsidRDefault="00FA6669" w:rsidP="00FA6669">
            <w:pPr>
              <w:jc w:val="right"/>
              <w:rPr>
                <w:sz w:val="18"/>
                <w:szCs w:val="18"/>
              </w:rPr>
            </w:pPr>
            <w:r w:rsidRPr="00005453">
              <w:rPr>
                <w:color w:val="000000"/>
                <w:sz w:val="18"/>
                <w:szCs w:val="18"/>
              </w:rPr>
              <w:t>214,065</w:t>
            </w:r>
          </w:p>
        </w:tc>
        <w:tc>
          <w:tcPr>
            <w:tcW w:w="934" w:type="dxa"/>
            <w:shd w:val="clear" w:color="auto" w:fill="auto"/>
            <w:vAlign w:val="center"/>
            <w:hideMark/>
          </w:tcPr>
          <w:p w14:paraId="0B33FDF3" w14:textId="0EABE4A6" w:rsidR="00FA6669" w:rsidRPr="00005453" w:rsidRDefault="00FA6669" w:rsidP="00FA6669">
            <w:pPr>
              <w:jc w:val="right"/>
              <w:rPr>
                <w:sz w:val="18"/>
                <w:szCs w:val="18"/>
              </w:rPr>
            </w:pPr>
            <w:r w:rsidRPr="00005453">
              <w:rPr>
                <w:color w:val="000000"/>
                <w:sz w:val="18"/>
                <w:szCs w:val="18"/>
              </w:rPr>
              <w:t>617</w:t>
            </w:r>
          </w:p>
        </w:tc>
        <w:tc>
          <w:tcPr>
            <w:tcW w:w="860" w:type="dxa"/>
            <w:shd w:val="clear" w:color="auto" w:fill="auto"/>
            <w:vAlign w:val="center"/>
            <w:hideMark/>
          </w:tcPr>
          <w:p w14:paraId="64A2124A" w14:textId="15B360E6" w:rsidR="00FA6669" w:rsidRPr="00005453" w:rsidRDefault="00FA6669" w:rsidP="00FA6669">
            <w:pPr>
              <w:jc w:val="right"/>
              <w:rPr>
                <w:sz w:val="18"/>
                <w:szCs w:val="18"/>
              </w:rPr>
            </w:pPr>
            <w:r w:rsidRPr="00005453">
              <w:rPr>
                <w:color w:val="000000"/>
                <w:sz w:val="18"/>
                <w:szCs w:val="18"/>
              </w:rPr>
              <w:t>-</w:t>
            </w:r>
          </w:p>
        </w:tc>
        <w:tc>
          <w:tcPr>
            <w:tcW w:w="957" w:type="dxa"/>
            <w:shd w:val="clear" w:color="auto" w:fill="auto"/>
            <w:vAlign w:val="center"/>
            <w:hideMark/>
          </w:tcPr>
          <w:p w14:paraId="38A497DF" w14:textId="1360028C" w:rsidR="00FA6669" w:rsidRPr="00005453" w:rsidRDefault="00FA6669" w:rsidP="00FA6669">
            <w:pPr>
              <w:jc w:val="right"/>
              <w:rPr>
                <w:sz w:val="18"/>
                <w:szCs w:val="18"/>
              </w:rPr>
            </w:pPr>
            <w:r w:rsidRPr="00005453">
              <w:rPr>
                <w:color w:val="000000"/>
                <w:sz w:val="18"/>
                <w:szCs w:val="18"/>
              </w:rPr>
              <w:t>-</w:t>
            </w:r>
          </w:p>
        </w:tc>
        <w:tc>
          <w:tcPr>
            <w:tcW w:w="1076" w:type="dxa"/>
            <w:shd w:val="clear" w:color="auto" w:fill="auto"/>
            <w:vAlign w:val="center"/>
            <w:hideMark/>
          </w:tcPr>
          <w:p w14:paraId="1D630A93" w14:textId="0CC33462" w:rsidR="00FA6669" w:rsidRPr="00005453" w:rsidRDefault="00FA6669" w:rsidP="00FA6669">
            <w:pPr>
              <w:jc w:val="right"/>
              <w:rPr>
                <w:sz w:val="18"/>
                <w:szCs w:val="18"/>
              </w:rPr>
            </w:pPr>
            <w:r w:rsidRPr="00005453">
              <w:rPr>
                <w:color w:val="000000"/>
                <w:sz w:val="18"/>
                <w:szCs w:val="18"/>
              </w:rPr>
              <w:t>35,270</w:t>
            </w:r>
          </w:p>
        </w:tc>
        <w:tc>
          <w:tcPr>
            <w:tcW w:w="1735" w:type="dxa"/>
            <w:shd w:val="clear" w:color="auto" w:fill="auto"/>
            <w:vAlign w:val="center"/>
            <w:hideMark/>
          </w:tcPr>
          <w:p w14:paraId="7B996498" w14:textId="2C7F8856" w:rsidR="00FA6669" w:rsidRPr="00005453" w:rsidRDefault="00FA6669" w:rsidP="00FA6669">
            <w:pPr>
              <w:jc w:val="right"/>
              <w:rPr>
                <w:sz w:val="18"/>
                <w:szCs w:val="18"/>
                <w:lang w:eastAsia="tr-TR"/>
              </w:rPr>
            </w:pPr>
            <w:r w:rsidRPr="00005453">
              <w:rPr>
                <w:color w:val="000000"/>
                <w:sz w:val="18"/>
                <w:szCs w:val="18"/>
              </w:rPr>
              <w:t>47,490</w:t>
            </w:r>
          </w:p>
        </w:tc>
        <w:tc>
          <w:tcPr>
            <w:tcW w:w="844" w:type="dxa"/>
            <w:shd w:val="clear" w:color="auto" w:fill="auto"/>
            <w:vAlign w:val="center"/>
            <w:hideMark/>
          </w:tcPr>
          <w:p w14:paraId="46B50817" w14:textId="1F99CFE0" w:rsidR="00FA6669" w:rsidRPr="00005453" w:rsidRDefault="00FA6669" w:rsidP="00FA6669">
            <w:pPr>
              <w:jc w:val="right"/>
              <w:rPr>
                <w:sz w:val="18"/>
                <w:szCs w:val="18"/>
                <w:lang w:eastAsia="tr-TR"/>
              </w:rPr>
            </w:pPr>
            <w:r w:rsidRPr="00005453">
              <w:rPr>
                <w:sz w:val="18"/>
                <w:szCs w:val="18"/>
              </w:rPr>
              <w:t>-</w:t>
            </w:r>
          </w:p>
        </w:tc>
      </w:tr>
      <w:tr w:rsidR="00FA6669" w:rsidRPr="00005453" w14:paraId="13F353A0" w14:textId="77777777" w:rsidTr="001D00C5">
        <w:trPr>
          <w:divId w:val="633948249"/>
          <w:trHeight w:val="165"/>
        </w:trPr>
        <w:tc>
          <w:tcPr>
            <w:tcW w:w="591" w:type="dxa"/>
            <w:shd w:val="clear" w:color="auto" w:fill="auto"/>
            <w:vAlign w:val="center"/>
          </w:tcPr>
          <w:p w14:paraId="56D24A8D" w14:textId="78DBEF46" w:rsidR="00FA6669" w:rsidRPr="00005453" w:rsidRDefault="00FA6669" w:rsidP="00FA6669">
            <w:pPr>
              <w:jc w:val="center"/>
              <w:rPr>
                <w:sz w:val="18"/>
                <w:szCs w:val="18"/>
                <w:lang w:eastAsia="tr-TR"/>
              </w:rPr>
            </w:pPr>
            <w:r w:rsidRPr="00005453">
              <w:rPr>
                <w:sz w:val="18"/>
                <w:szCs w:val="18"/>
                <w:lang w:eastAsia="tr-TR"/>
              </w:rPr>
              <w:t>9</w:t>
            </w:r>
          </w:p>
        </w:tc>
        <w:tc>
          <w:tcPr>
            <w:tcW w:w="1134" w:type="dxa"/>
            <w:shd w:val="clear" w:color="auto" w:fill="auto"/>
            <w:vAlign w:val="center"/>
          </w:tcPr>
          <w:p w14:paraId="5C82DF3C" w14:textId="72C722A9" w:rsidR="00FA6669" w:rsidRPr="00005453" w:rsidRDefault="00FA6669" w:rsidP="00FA6669">
            <w:pPr>
              <w:jc w:val="right"/>
              <w:rPr>
                <w:sz w:val="18"/>
                <w:szCs w:val="18"/>
              </w:rPr>
            </w:pPr>
            <w:r w:rsidRPr="00005453">
              <w:rPr>
                <w:color w:val="000000"/>
                <w:sz w:val="18"/>
                <w:szCs w:val="18"/>
              </w:rPr>
              <w:t>744,945</w:t>
            </w:r>
          </w:p>
        </w:tc>
        <w:tc>
          <w:tcPr>
            <w:tcW w:w="1072" w:type="dxa"/>
            <w:shd w:val="clear" w:color="auto" w:fill="auto"/>
            <w:vAlign w:val="center"/>
          </w:tcPr>
          <w:p w14:paraId="23BADCBC" w14:textId="2662F486" w:rsidR="00FA6669" w:rsidRPr="00005453" w:rsidRDefault="00FA6669" w:rsidP="00FA6669">
            <w:pPr>
              <w:jc w:val="right"/>
              <w:rPr>
                <w:sz w:val="18"/>
                <w:szCs w:val="18"/>
              </w:rPr>
            </w:pPr>
            <w:r w:rsidRPr="00005453">
              <w:rPr>
                <w:color w:val="000000"/>
                <w:sz w:val="18"/>
                <w:szCs w:val="18"/>
              </w:rPr>
              <w:t>402,785</w:t>
            </w:r>
          </w:p>
        </w:tc>
        <w:tc>
          <w:tcPr>
            <w:tcW w:w="934" w:type="dxa"/>
            <w:shd w:val="clear" w:color="auto" w:fill="auto"/>
            <w:vAlign w:val="center"/>
          </w:tcPr>
          <w:p w14:paraId="52B2ED44" w14:textId="14E24547" w:rsidR="00FA6669" w:rsidRPr="00005453" w:rsidRDefault="00FA6669" w:rsidP="00FA6669">
            <w:pPr>
              <w:jc w:val="right"/>
              <w:rPr>
                <w:sz w:val="18"/>
                <w:szCs w:val="18"/>
              </w:rPr>
            </w:pPr>
            <w:r w:rsidRPr="00005453">
              <w:rPr>
                <w:color w:val="000000"/>
                <w:sz w:val="18"/>
                <w:szCs w:val="18"/>
              </w:rPr>
              <w:t>24,042</w:t>
            </w:r>
          </w:p>
        </w:tc>
        <w:tc>
          <w:tcPr>
            <w:tcW w:w="860" w:type="dxa"/>
            <w:shd w:val="clear" w:color="auto" w:fill="auto"/>
            <w:vAlign w:val="center"/>
          </w:tcPr>
          <w:p w14:paraId="354522CB" w14:textId="5AD7E56A" w:rsidR="00FA6669" w:rsidRPr="00005453" w:rsidRDefault="00FA6669" w:rsidP="00FA6669">
            <w:pPr>
              <w:jc w:val="right"/>
              <w:rPr>
                <w:sz w:val="18"/>
                <w:szCs w:val="18"/>
              </w:rPr>
            </w:pPr>
            <w:r w:rsidRPr="00005453">
              <w:rPr>
                <w:color w:val="000000"/>
                <w:sz w:val="18"/>
                <w:szCs w:val="18"/>
              </w:rPr>
              <w:t>83,757</w:t>
            </w:r>
          </w:p>
        </w:tc>
        <w:tc>
          <w:tcPr>
            <w:tcW w:w="957" w:type="dxa"/>
            <w:shd w:val="clear" w:color="auto" w:fill="auto"/>
            <w:vAlign w:val="center"/>
          </w:tcPr>
          <w:p w14:paraId="38549E76" w14:textId="4B0920E0" w:rsidR="00FA6669" w:rsidRPr="00005453" w:rsidRDefault="00FA6669" w:rsidP="00FA6669">
            <w:pPr>
              <w:jc w:val="right"/>
              <w:rPr>
                <w:sz w:val="18"/>
                <w:szCs w:val="18"/>
              </w:rPr>
            </w:pPr>
            <w:r w:rsidRPr="00005453">
              <w:rPr>
                <w:color w:val="000000"/>
                <w:sz w:val="18"/>
                <w:szCs w:val="18"/>
              </w:rPr>
              <w:t>-</w:t>
            </w:r>
          </w:p>
        </w:tc>
        <w:tc>
          <w:tcPr>
            <w:tcW w:w="1076" w:type="dxa"/>
            <w:shd w:val="clear" w:color="auto" w:fill="auto"/>
            <w:vAlign w:val="center"/>
          </w:tcPr>
          <w:p w14:paraId="214FF11B" w14:textId="383F06A5" w:rsidR="00FA6669" w:rsidRPr="00005453" w:rsidRDefault="00FA6669" w:rsidP="00FA6669">
            <w:pPr>
              <w:jc w:val="right"/>
              <w:rPr>
                <w:sz w:val="18"/>
                <w:szCs w:val="18"/>
              </w:rPr>
            </w:pPr>
            <w:r w:rsidRPr="00005453">
              <w:rPr>
                <w:color w:val="000000"/>
                <w:sz w:val="18"/>
                <w:szCs w:val="18"/>
              </w:rPr>
              <w:t>(54,863)</w:t>
            </w:r>
          </w:p>
        </w:tc>
        <w:tc>
          <w:tcPr>
            <w:tcW w:w="1735" w:type="dxa"/>
            <w:shd w:val="clear" w:color="auto" w:fill="auto"/>
            <w:vAlign w:val="center"/>
          </w:tcPr>
          <w:p w14:paraId="12E1634A" w14:textId="552F663B" w:rsidR="00FA6669" w:rsidRPr="00005453" w:rsidRDefault="00FA6669" w:rsidP="00FA6669">
            <w:pPr>
              <w:jc w:val="right"/>
              <w:rPr>
                <w:sz w:val="18"/>
                <w:szCs w:val="18"/>
              </w:rPr>
            </w:pPr>
            <w:r w:rsidRPr="00005453">
              <w:rPr>
                <w:color w:val="000000"/>
                <w:sz w:val="18"/>
                <w:szCs w:val="18"/>
              </w:rPr>
              <w:t>6,103</w:t>
            </w:r>
          </w:p>
        </w:tc>
        <w:tc>
          <w:tcPr>
            <w:tcW w:w="844" w:type="dxa"/>
            <w:shd w:val="clear" w:color="auto" w:fill="auto"/>
            <w:vAlign w:val="center"/>
          </w:tcPr>
          <w:p w14:paraId="6BAAD67C" w14:textId="07871CE7" w:rsidR="00FA6669" w:rsidRPr="00005453" w:rsidRDefault="00FA6669" w:rsidP="00FA6669">
            <w:pPr>
              <w:jc w:val="right"/>
              <w:rPr>
                <w:sz w:val="18"/>
                <w:szCs w:val="18"/>
              </w:rPr>
            </w:pPr>
            <w:r w:rsidRPr="00005453">
              <w:rPr>
                <w:sz w:val="18"/>
                <w:szCs w:val="18"/>
              </w:rPr>
              <w:t>-</w:t>
            </w:r>
          </w:p>
        </w:tc>
      </w:tr>
      <w:tr w:rsidR="00FA291A" w:rsidRPr="00005453" w14:paraId="78BEE222" w14:textId="77777777" w:rsidTr="001D00C5">
        <w:trPr>
          <w:divId w:val="633948249"/>
          <w:trHeight w:val="165"/>
        </w:trPr>
        <w:tc>
          <w:tcPr>
            <w:tcW w:w="591" w:type="dxa"/>
            <w:shd w:val="clear" w:color="auto" w:fill="auto"/>
            <w:vAlign w:val="center"/>
          </w:tcPr>
          <w:p w14:paraId="3369B283" w14:textId="77B97205" w:rsidR="00FA291A" w:rsidRPr="00005453" w:rsidRDefault="00FA291A" w:rsidP="00FA291A">
            <w:pPr>
              <w:jc w:val="center"/>
              <w:rPr>
                <w:sz w:val="18"/>
                <w:szCs w:val="18"/>
                <w:lang w:eastAsia="tr-TR"/>
              </w:rPr>
            </w:pPr>
            <w:r w:rsidRPr="00005453">
              <w:rPr>
                <w:sz w:val="18"/>
                <w:szCs w:val="18"/>
                <w:lang w:eastAsia="tr-TR"/>
              </w:rPr>
              <w:t>10</w:t>
            </w:r>
          </w:p>
        </w:tc>
        <w:tc>
          <w:tcPr>
            <w:tcW w:w="1134" w:type="dxa"/>
            <w:shd w:val="clear" w:color="auto" w:fill="auto"/>
            <w:vAlign w:val="center"/>
          </w:tcPr>
          <w:p w14:paraId="78F2237A" w14:textId="0DEF2123" w:rsidR="00FA291A" w:rsidRPr="00005453" w:rsidRDefault="00FA291A" w:rsidP="0034598B">
            <w:pPr>
              <w:jc w:val="right"/>
              <w:rPr>
                <w:color w:val="000000"/>
                <w:sz w:val="18"/>
                <w:szCs w:val="18"/>
              </w:rPr>
            </w:pPr>
            <w:r w:rsidRPr="00005453">
              <w:rPr>
                <w:color w:val="000000"/>
                <w:sz w:val="18"/>
                <w:szCs w:val="18"/>
              </w:rPr>
              <w:t>200,000</w:t>
            </w:r>
          </w:p>
        </w:tc>
        <w:tc>
          <w:tcPr>
            <w:tcW w:w="1072" w:type="dxa"/>
            <w:shd w:val="clear" w:color="auto" w:fill="auto"/>
            <w:vAlign w:val="center"/>
          </w:tcPr>
          <w:p w14:paraId="7C4801FE" w14:textId="37ED6217" w:rsidR="00FA291A" w:rsidRPr="00005453" w:rsidRDefault="00FA291A" w:rsidP="0034598B">
            <w:pPr>
              <w:jc w:val="right"/>
              <w:rPr>
                <w:color w:val="000000"/>
                <w:sz w:val="18"/>
                <w:szCs w:val="18"/>
              </w:rPr>
            </w:pPr>
            <w:r w:rsidRPr="00005453">
              <w:rPr>
                <w:color w:val="000000"/>
                <w:sz w:val="18"/>
                <w:szCs w:val="18"/>
              </w:rPr>
              <w:t>200,000</w:t>
            </w:r>
          </w:p>
        </w:tc>
        <w:tc>
          <w:tcPr>
            <w:tcW w:w="934" w:type="dxa"/>
            <w:shd w:val="clear" w:color="auto" w:fill="auto"/>
            <w:vAlign w:val="center"/>
          </w:tcPr>
          <w:p w14:paraId="71816515" w14:textId="247118EC" w:rsidR="00FA291A" w:rsidRPr="00005453" w:rsidRDefault="00FA291A" w:rsidP="0034598B">
            <w:pPr>
              <w:jc w:val="right"/>
              <w:rPr>
                <w:color w:val="000000"/>
                <w:sz w:val="18"/>
                <w:szCs w:val="18"/>
              </w:rPr>
            </w:pPr>
            <w:r w:rsidRPr="00005453">
              <w:rPr>
                <w:color w:val="000000"/>
                <w:sz w:val="18"/>
                <w:szCs w:val="18"/>
              </w:rPr>
              <w:t>-</w:t>
            </w:r>
          </w:p>
        </w:tc>
        <w:tc>
          <w:tcPr>
            <w:tcW w:w="860" w:type="dxa"/>
            <w:shd w:val="clear" w:color="auto" w:fill="auto"/>
            <w:vAlign w:val="center"/>
          </w:tcPr>
          <w:p w14:paraId="0C0FC18E" w14:textId="26CAB249" w:rsidR="00FA291A" w:rsidRPr="00005453" w:rsidRDefault="00FA291A" w:rsidP="0034598B">
            <w:pPr>
              <w:jc w:val="right"/>
              <w:rPr>
                <w:color w:val="000000"/>
                <w:sz w:val="18"/>
                <w:szCs w:val="18"/>
              </w:rPr>
            </w:pPr>
            <w:r w:rsidRPr="00005453">
              <w:rPr>
                <w:color w:val="000000"/>
                <w:sz w:val="18"/>
                <w:szCs w:val="18"/>
              </w:rPr>
              <w:t>-</w:t>
            </w:r>
          </w:p>
        </w:tc>
        <w:tc>
          <w:tcPr>
            <w:tcW w:w="957" w:type="dxa"/>
            <w:shd w:val="clear" w:color="auto" w:fill="auto"/>
            <w:vAlign w:val="center"/>
          </w:tcPr>
          <w:p w14:paraId="53811FDA" w14:textId="5E5FB7BD" w:rsidR="00FA291A" w:rsidRPr="00005453" w:rsidRDefault="00FA291A" w:rsidP="0034598B">
            <w:pPr>
              <w:jc w:val="right"/>
              <w:rPr>
                <w:color w:val="000000"/>
                <w:sz w:val="18"/>
                <w:szCs w:val="18"/>
              </w:rPr>
            </w:pPr>
            <w:r w:rsidRPr="00005453">
              <w:rPr>
                <w:color w:val="000000"/>
                <w:sz w:val="18"/>
                <w:szCs w:val="18"/>
              </w:rPr>
              <w:t>-</w:t>
            </w:r>
          </w:p>
        </w:tc>
        <w:tc>
          <w:tcPr>
            <w:tcW w:w="1076" w:type="dxa"/>
            <w:shd w:val="clear" w:color="auto" w:fill="auto"/>
            <w:vAlign w:val="center"/>
          </w:tcPr>
          <w:p w14:paraId="1BAFE209" w14:textId="62182895" w:rsidR="00FA291A" w:rsidRPr="00005453" w:rsidRDefault="00FA291A" w:rsidP="0034598B">
            <w:pPr>
              <w:jc w:val="right"/>
              <w:rPr>
                <w:color w:val="000000"/>
                <w:sz w:val="18"/>
                <w:szCs w:val="18"/>
              </w:rPr>
            </w:pPr>
            <w:r w:rsidRPr="00005453">
              <w:rPr>
                <w:color w:val="000000"/>
                <w:sz w:val="18"/>
                <w:szCs w:val="18"/>
              </w:rPr>
              <w:t>-</w:t>
            </w:r>
          </w:p>
        </w:tc>
        <w:tc>
          <w:tcPr>
            <w:tcW w:w="1735" w:type="dxa"/>
            <w:shd w:val="clear" w:color="auto" w:fill="auto"/>
            <w:vAlign w:val="center"/>
          </w:tcPr>
          <w:p w14:paraId="457F4611" w14:textId="66FAC527" w:rsidR="00FA291A" w:rsidRPr="00005453" w:rsidRDefault="00FA291A" w:rsidP="0034598B">
            <w:pPr>
              <w:jc w:val="right"/>
              <w:rPr>
                <w:color w:val="000000"/>
                <w:sz w:val="18"/>
                <w:szCs w:val="18"/>
              </w:rPr>
            </w:pPr>
            <w:r w:rsidRPr="00005453">
              <w:rPr>
                <w:color w:val="000000"/>
                <w:sz w:val="18"/>
                <w:szCs w:val="18"/>
              </w:rPr>
              <w:t>-</w:t>
            </w:r>
          </w:p>
        </w:tc>
        <w:tc>
          <w:tcPr>
            <w:tcW w:w="844" w:type="dxa"/>
            <w:shd w:val="clear" w:color="auto" w:fill="auto"/>
            <w:vAlign w:val="center"/>
          </w:tcPr>
          <w:p w14:paraId="3EAFC900" w14:textId="3D6A6194" w:rsidR="00FA291A" w:rsidRPr="00005453" w:rsidRDefault="00FA291A" w:rsidP="0034598B">
            <w:pPr>
              <w:jc w:val="right"/>
              <w:rPr>
                <w:sz w:val="18"/>
                <w:szCs w:val="18"/>
              </w:rPr>
            </w:pPr>
          </w:p>
        </w:tc>
      </w:tr>
    </w:tbl>
    <w:p w14:paraId="32196515" w14:textId="245C4F60" w:rsidR="00D22163" w:rsidRPr="00005453" w:rsidRDefault="00D22163" w:rsidP="00C34D48">
      <w:pPr>
        <w:rPr>
          <w:sz w:val="12"/>
          <w:szCs w:val="12"/>
          <w:lang w:val="en-GB" w:eastAsia="en-GB"/>
        </w:rPr>
      </w:pPr>
    </w:p>
    <w:p w14:paraId="5E3C682D" w14:textId="2E5213D9" w:rsidR="00566981" w:rsidRPr="00005453" w:rsidRDefault="00566981" w:rsidP="00566981">
      <w:pPr>
        <w:spacing w:line="214" w:lineRule="auto"/>
        <w:ind w:left="540" w:hanging="540"/>
        <w:jc w:val="both"/>
        <w:rPr>
          <w:sz w:val="16"/>
          <w:szCs w:val="16"/>
        </w:rPr>
      </w:pPr>
      <w:r w:rsidRPr="00005453">
        <w:rPr>
          <w:sz w:val="16"/>
          <w:szCs w:val="16"/>
        </w:rPr>
        <w:t>(*)</w:t>
      </w:r>
      <w:r w:rsidRPr="00005453">
        <w:rPr>
          <w:sz w:val="16"/>
          <w:szCs w:val="16"/>
        </w:rPr>
        <w:tab/>
        <w:t>Söz konusu bağlı ortaklığın 31 Aralık 202</w:t>
      </w:r>
      <w:r w:rsidR="00646E21" w:rsidRPr="00005453">
        <w:rPr>
          <w:sz w:val="16"/>
          <w:szCs w:val="16"/>
        </w:rPr>
        <w:t>4</w:t>
      </w:r>
      <w:r w:rsidRPr="00005453">
        <w:rPr>
          <w:sz w:val="16"/>
          <w:szCs w:val="16"/>
        </w:rPr>
        <w:t xml:space="preserve"> tarihli finansal tabloları bulunduğu ülkedeki yasal mevzuata uygun olarak düzenlenmiştir.</w:t>
      </w:r>
    </w:p>
    <w:p w14:paraId="4E757398" w14:textId="5522A1CD" w:rsidR="00566981" w:rsidRPr="00005453" w:rsidRDefault="00566981" w:rsidP="00566981">
      <w:pPr>
        <w:spacing w:line="214" w:lineRule="auto"/>
        <w:ind w:left="540" w:hanging="540"/>
        <w:jc w:val="both"/>
        <w:rPr>
          <w:sz w:val="16"/>
          <w:szCs w:val="16"/>
        </w:rPr>
      </w:pPr>
      <w:r w:rsidRPr="00005453">
        <w:rPr>
          <w:sz w:val="16"/>
          <w:szCs w:val="16"/>
        </w:rPr>
        <w:t>(**)</w:t>
      </w:r>
      <w:r w:rsidRPr="00005453">
        <w:rPr>
          <w:sz w:val="16"/>
          <w:szCs w:val="16"/>
        </w:rPr>
        <w:tab/>
        <w:t>Türk Ticaret Kanunu’na göre düzenlenmiş 31 Aralık 202</w:t>
      </w:r>
      <w:r w:rsidR="00646E21" w:rsidRPr="00005453">
        <w:rPr>
          <w:sz w:val="16"/>
          <w:szCs w:val="16"/>
        </w:rPr>
        <w:t>4</w:t>
      </w:r>
      <w:r w:rsidRPr="00005453">
        <w:rPr>
          <w:sz w:val="16"/>
          <w:szCs w:val="16"/>
        </w:rPr>
        <w:t xml:space="preserve"> tarihli yasal finansal tablolardaki tutarlardır.</w:t>
      </w:r>
    </w:p>
    <w:p w14:paraId="538C2662" w14:textId="13378F13" w:rsidR="00864F67" w:rsidRPr="00005453" w:rsidRDefault="00566981" w:rsidP="00566981">
      <w:pPr>
        <w:spacing w:line="214" w:lineRule="auto"/>
        <w:ind w:left="540" w:hanging="540"/>
        <w:jc w:val="both"/>
        <w:rPr>
          <w:sz w:val="16"/>
          <w:szCs w:val="16"/>
        </w:rPr>
      </w:pPr>
      <w:bookmarkStart w:id="81" w:name="_Hlk110899810"/>
      <w:r w:rsidRPr="00005453">
        <w:rPr>
          <w:sz w:val="16"/>
          <w:szCs w:val="16"/>
        </w:rPr>
        <w:t>(***)</w:t>
      </w:r>
      <w:r w:rsidRPr="00005453">
        <w:rPr>
          <w:sz w:val="16"/>
          <w:szCs w:val="16"/>
        </w:rPr>
        <w:tab/>
      </w:r>
      <w:bookmarkStart w:id="82" w:name="_Hlk125049314"/>
      <w:r w:rsidR="00CE22F8" w:rsidRPr="00005453">
        <w:rPr>
          <w:sz w:val="16"/>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31 Aralık 202</w:t>
      </w:r>
      <w:r w:rsidR="00646E21" w:rsidRPr="00005453">
        <w:rPr>
          <w:sz w:val="16"/>
          <w:szCs w:val="16"/>
        </w:rPr>
        <w:t>4</w:t>
      </w:r>
      <w:r w:rsidR="00CE22F8" w:rsidRPr="00005453">
        <w:rPr>
          <w:sz w:val="16"/>
          <w:szCs w:val="16"/>
        </w:rPr>
        <w:t xml:space="preserve"> tarihinde sermaye </w:t>
      </w:r>
      <w:r w:rsidR="00E84D06" w:rsidRPr="00005453">
        <w:rPr>
          <w:sz w:val="16"/>
          <w:szCs w:val="16"/>
        </w:rPr>
        <w:t>fazlası</w:t>
      </w:r>
      <w:r w:rsidR="00CE22F8" w:rsidRPr="00005453">
        <w:rPr>
          <w:sz w:val="16"/>
          <w:szCs w:val="16"/>
        </w:rPr>
        <w:t xml:space="preserve"> </w:t>
      </w:r>
      <w:r w:rsidR="00E84D06" w:rsidRPr="00005453">
        <w:rPr>
          <w:sz w:val="16"/>
          <w:szCs w:val="16"/>
        </w:rPr>
        <w:t>738</w:t>
      </w:r>
      <w:r w:rsidR="00E20B8B" w:rsidRPr="00005453">
        <w:rPr>
          <w:sz w:val="16"/>
          <w:szCs w:val="16"/>
        </w:rPr>
        <w:t>,</w:t>
      </w:r>
      <w:r w:rsidR="00E84D06" w:rsidRPr="00005453">
        <w:rPr>
          <w:sz w:val="16"/>
          <w:szCs w:val="16"/>
        </w:rPr>
        <w:t>368</w:t>
      </w:r>
      <w:r w:rsidR="00E20B8B" w:rsidRPr="00005453">
        <w:rPr>
          <w:sz w:val="16"/>
          <w:szCs w:val="16"/>
        </w:rPr>
        <w:t xml:space="preserve"> TL’dir</w:t>
      </w:r>
      <w:r w:rsidR="00CE22F8" w:rsidRPr="00005453">
        <w:rPr>
          <w:sz w:val="16"/>
          <w:szCs w:val="16"/>
        </w:rPr>
        <w:t xml:space="preserve"> (31 Aralık 202</w:t>
      </w:r>
      <w:r w:rsidR="00646E21" w:rsidRPr="00005453">
        <w:rPr>
          <w:sz w:val="16"/>
          <w:szCs w:val="16"/>
        </w:rPr>
        <w:t>3</w:t>
      </w:r>
      <w:r w:rsidR="00CE22F8" w:rsidRPr="00005453">
        <w:rPr>
          <w:sz w:val="16"/>
          <w:szCs w:val="16"/>
        </w:rPr>
        <w:t xml:space="preserve"> Sermaye eksiği 2</w:t>
      </w:r>
      <w:r w:rsidR="00646E21" w:rsidRPr="00005453">
        <w:rPr>
          <w:sz w:val="16"/>
          <w:szCs w:val="16"/>
        </w:rPr>
        <w:t>51</w:t>
      </w:r>
      <w:r w:rsidR="00CE22F8" w:rsidRPr="00005453">
        <w:rPr>
          <w:sz w:val="16"/>
          <w:szCs w:val="16"/>
        </w:rPr>
        <w:t>,</w:t>
      </w:r>
      <w:r w:rsidR="00646E21" w:rsidRPr="00005453">
        <w:rPr>
          <w:sz w:val="16"/>
          <w:szCs w:val="16"/>
        </w:rPr>
        <w:t>493</w:t>
      </w:r>
      <w:r w:rsidR="00CE22F8" w:rsidRPr="00005453">
        <w:rPr>
          <w:sz w:val="16"/>
          <w:szCs w:val="16"/>
        </w:rPr>
        <w:t xml:space="preserve"> TL). </w:t>
      </w:r>
      <w:r w:rsidR="00D50435" w:rsidRPr="00005453">
        <w:t xml:space="preserve"> </w:t>
      </w:r>
      <w:r w:rsidR="00D50435" w:rsidRPr="00005453">
        <w:rPr>
          <w:sz w:val="16"/>
          <w:szCs w:val="16"/>
        </w:rPr>
        <w:t xml:space="preserve">Şirket, ortaya çıkan sermaye açığının 2024 yılı iş planında yer alan sermaye </w:t>
      </w:r>
      <w:proofErr w:type="gramStart"/>
      <w:r w:rsidR="00D50435" w:rsidRPr="00005453">
        <w:rPr>
          <w:sz w:val="16"/>
          <w:szCs w:val="16"/>
        </w:rPr>
        <w:t>artışı,  tahmin</w:t>
      </w:r>
      <w:proofErr w:type="gramEnd"/>
      <w:r w:rsidR="00D50435" w:rsidRPr="00005453">
        <w:rPr>
          <w:sz w:val="16"/>
          <w:szCs w:val="16"/>
        </w:rPr>
        <w:t xml:space="preserve"> ve beklentiler doğrultusunda 2024 yılı ilk çeyreğinde yasal düzenlemelere tam ve zamanında uyum çerçevesinde kapanacağını öngörmektedir. </w:t>
      </w:r>
      <w:r w:rsidR="00CE22F8" w:rsidRPr="00005453">
        <w:rPr>
          <w:sz w:val="16"/>
          <w:szCs w:val="16"/>
        </w:rPr>
        <w:t>Neova Katılım Sigorta A.Ş. sermayedarı finansal olarak oluşabilecek her türlü riski bertaraf edebilecek finansal güç ve yönetim anlayışına sahiptir.</w:t>
      </w:r>
    </w:p>
    <w:bookmarkEnd w:id="81"/>
    <w:bookmarkEnd w:id="82"/>
    <w:p w14:paraId="0A7C5E18" w14:textId="77777777" w:rsidR="0072712E" w:rsidRPr="00005453" w:rsidRDefault="0072712E" w:rsidP="00EA239C">
      <w:pPr>
        <w:spacing w:line="214" w:lineRule="auto"/>
        <w:ind w:left="540" w:hanging="540"/>
        <w:jc w:val="both"/>
        <w:rPr>
          <w:sz w:val="16"/>
          <w:szCs w:val="16"/>
        </w:rPr>
      </w:pPr>
    </w:p>
    <w:p w14:paraId="56BB6DE5" w14:textId="77777777" w:rsidR="00D73082" w:rsidRPr="00005453" w:rsidRDefault="00D73082" w:rsidP="00EA239C">
      <w:pPr>
        <w:spacing w:line="214" w:lineRule="auto"/>
        <w:ind w:left="540" w:hanging="540"/>
        <w:jc w:val="both"/>
        <w:rPr>
          <w:sz w:val="2"/>
          <w:szCs w:val="16"/>
        </w:rPr>
      </w:pPr>
    </w:p>
    <w:p w14:paraId="6F73CF1E" w14:textId="114C608F" w:rsidR="006B4EDA" w:rsidRPr="00005453" w:rsidRDefault="00E253C8" w:rsidP="00670EF3">
      <w:pPr>
        <w:rPr>
          <w:bCs/>
          <w:iCs/>
          <w:sz w:val="18"/>
          <w:szCs w:val="18"/>
        </w:rPr>
      </w:pPr>
      <w:r w:rsidRPr="00005453">
        <w:rPr>
          <w:bCs/>
          <w:iCs/>
          <w:sz w:val="18"/>
          <w:szCs w:val="18"/>
        </w:rPr>
        <w:t>Bağlı ortaklıklara ilişkin hareket tablosu</w:t>
      </w:r>
    </w:p>
    <w:p w14:paraId="24E5C665" w14:textId="66EDB707" w:rsidR="00117483" w:rsidRPr="00005453" w:rsidRDefault="00117483" w:rsidP="004F702F">
      <w:pPr>
        <w:pStyle w:val="Heading1"/>
        <w:rPr>
          <w:b w:val="0"/>
          <w:bCs w:val="0"/>
          <w:sz w:val="20"/>
          <w:szCs w:val="20"/>
          <w:lang w:val="en-GB" w:eastAsia="en-GB"/>
        </w:rPr>
      </w:pPr>
    </w:p>
    <w:tbl>
      <w:tblPr>
        <w:tblW w:w="9245" w:type="dxa"/>
        <w:tblCellMar>
          <w:left w:w="70" w:type="dxa"/>
          <w:right w:w="70" w:type="dxa"/>
        </w:tblCellMar>
        <w:tblLook w:val="04A0" w:firstRow="1" w:lastRow="0" w:firstColumn="1" w:lastColumn="0" w:noHBand="0" w:noVBand="1"/>
      </w:tblPr>
      <w:tblGrid>
        <w:gridCol w:w="6237"/>
        <w:gridCol w:w="1473"/>
        <w:gridCol w:w="1535"/>
      </w:tblGrid>
      <w:tr w:rsidR="00117483" w:rsidRPr="00005453" w14:paraId="35E0611F" w14:textId="77777777" w:rsidTr="00614CD2">
        <w:trPr>
          <w:divId w:val="224723578"/>
          <w:trHeight w:val="222"/>
        </w:trPr>
        <w:tc>
          <w:tcPr>
            <w:tcW w:w="6237" w:type="dxa"/>
            <w:tcBorders>
              <w:top w:val="double" w:sz="6" w:space="0" w:color="auto"/>
              <w:left w:val="nil"/>
              <w:bottom w:val="single" w:sz="8" w:space="0" w:color="auto"/>
              <w:right w:val="nil"/>
            </w:tcBorders>
            <w:shd w:val="clear" w:color="auto" w:fill="auto"/>
            <w:vAlign w:val="center"/>
            <w:hideMark/>
          </w:tcPr>
          <w:p w14:paraId="19FB801D" w14:textId="331417E7" w:rsidR="00117483" w:rsidRPr="00005453" w:rsidRDefault="00117483" w:rsidP="00117483">
            <w:pPr>
              <w:jc w:val="center"/>
              <w:rPr>
                <w:sz w:val="18"/>
                <w:szCs w:val="18"/>
                <w:lang w:eastAsia="tr-TR"/>
              </w:rPr>
            </w:pPr>
            <w:r w:rsidRPr="00005453">
              <w:rPr>
                <w:sz w:val="18"/>
                <w:szCs w:val="18"/>
                <w:lang w:eastAsia="tr-TR"/>
              </w:rPr>
              <w:t> </w:t>
            </w:r>
          </w:p>
        </w:tc>
        <w:tc>
          <w:tcPr>
            <w:tcW w:w="1473" w:type="dxa"/>
            <w:tcBorders>
              <w:top w:val="double" w:sz="6" w:space="0" w:color="auto"/>
              <w:left w:val="nil"/>
              <w:bottom w:val="single" w:sz="8" w:space="0" w:color="auto"/>
              <w:right w:val="nil"/>
            </w:tcBorders>
            <w:shd w:val="clear" w:color="auto" w:fill="auto"/>
            <w:vAlign w:val="center"/>
            <w:hideMark/>
          </w:tcPr>
          <w:p w14:paraId="606EA9C2" w14:textId="77777777" w:rsidR="00117483" w:rsidRPr="00005453" w:rsidRDefault="00117483" w:rsidP="00117483">
            <w:pPr>
              <w:jc w:val="right"/>
              <w:rPr>
                <w:b/>
                <w:bCs/>
                <w:sz w:val="18"/>
                <w:szCs w:val="18"/>
                <w:lang w:eastAsia="tr-TR"/>
              </w:rPr>
            </w:pPr>
            <w:r w:rsidRPr="00005453">
              <w:rPr>
                <w:b/>
                <w:bCs/>
                <w:sz w:val="18"/>
                <w:szCs w:val="18"/>
                <w:lang w:eastAsia="tr-TR"/>
              </w:rPr>
              <w:t>Cari Dönem</w:t>
            </w:r>
          </w:p>
        </w:tc>
        <w:tc>
          <w:tcPr>
            <w:tcW w:w="1535" w:type="dxa"/>
            <w:tcBorders>
              <w:top w:val="double" w:sz="6" w:space="0" w:color="auto"/>
              <w:left w:val="nil"/>
              <w:bottom w:val="single" w:sz="8" w:space="0" w:color="auto"/>
              <w:right w:val="nil"/>
            </w:tcBorders>
            <w:shd w:val="clear" w:color="auto" w:fill="auto"/>
            <w:vAlign w:val="center"/>
            <w:hideMark/>
          </w:tcPr>
          <w:p w14:paraId="1073646D" w14:textId="77777777" w:rsidR="00117483" w:rsidRPr="00005453" w:rsidRDefault="00117483" w:rsidP="00117483">
            <w:pPr>
              <w:jc w:val="right"/>
              <w:rPr>
                <w:b/>
                <w:bCs/>
                <w:sz w:val="18"/>
                <w:szCs w:val="18"/>
                <w:lang w:eastAsia="tr-TR"/>
              </w:rPr>
            </w:pPr>
            <w:r w:rsidRPr="00005453">
              <w:rPr>
                <w:b/>
                <w:bCs/>
                <w:sz w:val="18"/>
                <w:szCs w:val="18"/>
                <w:lang w:eastAsia="tr-TR"/>
              </w:rPr>
              <w:t>Önceki Dönem</w:t>
            </w:r>
          </w:p>
        </w:tc>
      </w:tr>
      <w:tr w:rsidR="00785463" w:rsidRPr="00005453" w14:paraId="3BC33E02" w14:textId="77777777" w:rsidTr="00785463">
        <w:trPr>
          <w:divId w:val="224723578"/>
          <w:trHeight w:val="185"/>
        </w:trPr>
        <w:tc>
          <w:tcPr>
            <w:tcW w:w="6237" w:type="dxa"/>
            <w:tcBorders>
              <w:top w:val="nil"/>
              <w:left w:val="nil"/>
              <w:bottom w:val="nil"/>
              <w:right w:val="nil"/>
            </w:tcBorders>
            <w:shd w:val="clear" w:color="auto" w:fill="auto"/>
            <w:noWrap/>
            <w:vAlign w:val="center"/>
            <w:hideMark/>
          </w:tcPr>
          <w:p w14:paraId="7BFAAC96" w14:textId="77777777" w:rsidR="00785463" w:rsidRPr="00005453" w:rsidRDefault="00785463" w:rsidP="00785463">
            <w:pPr>
              <w:rPr>
                <w:b/>
                <w:bCs/>
                <w:sz w:val="18"/>
                <w:szCs w:val="18"/>
                <w:lang w:eastAsia="tr-TR"/>
              </w:rPr>
            </w:pPr>
            <w:r w:rsidRPr="00005453">
              <w:rPr>
                <w:b/>
                <w:bCs/>
                <w:sz w:val="18"/>
                <w:szCs w:val="18"/>
                <w:lang w:eastAsia="tr-TR"/>
              </w:rPr>
              <w:t>Dönem başı değeri</w:t>
            </w:r>
          </w:p>
        </w:tc>
        <w:tc>
          <w:tcPr>
            <w:tcW w:w="1473" w:type="dxa"/>
            <w:tcBorders>
              <w:top w:val="nil"/>
              <w:left w:val="nil"/>
              <w:bottom w:val="nil"/>
              <w:right w:val="nil"/>
            </w:tcBorders>
            <w:shd w:val="clear" w:color="auto" w:fill="auto"/>
            <w:vAlign w:val="center"/>
            <w:hideMark/>
          </w:tcPr>
          <w:p w14:paraId="5ABBFDE3" w14:textId="004224D7" w:rsidR="00785463" w:rsidRPr="00005453" w:rsidRDefault="00785463" w:rsidP="00785463">
            <w:pPr>
              <w:jc w:val="right"/>
              <w:rPr>
                <w:b/>
                <w:bCs/>
                <w:sz w:val="18"/>
                <w:szCs w:val="18"/>
                <w:lang w:eastAsia="tr-TR"/>
              </w:rPr>
            </w:pPr>
            <w:r w:rsidRPr="00005453">
              <w:rPr>
                <w:b/>
                <w:sz w:val="18"/>
                <w:szCs w:val="18"/>
              </w:rPr>
              <w:t>3,192,925</w:t>
            </w:r>
          </w:p>
        </w:tc>
        <w:tc>
          <w:tcPr>
            <w:tcW w:w="1535" w:type="dxa"/>
            <w:tcBorders>
              <w:top w:val="nil"/>
              <w:left w:val="nil"/>
              <w:bottom w:val="nil"/>
              <w:right w:val="nil"/>
            </w:tcBorders>
            <w:shd w:val="clear" w:color="auto" w:fill="auto"/>
            <w:vAlign w:val="center"/>
            <w:hideMark/>
          </w:tcPr>
          <w:p w14:paraId="7907CFFE" w14:textId="77EB9260" w:rsidR="00785463" w:rsidRPr="00005453" w:rsidRDefault="00785463" w:rsidP="00785463">
            <w:pPr>
              <w:jc w:val="right"/>
              <w:rPr>
                <w:b/>
                <w:bCs/>
                <w:sz w:val="18"/>
                <w:szCs w:val="18"/>
                <w:lang w:eastAsia="tr-TR"/>
              </w:rPr>
            </w:pPr>
            <w:r w:rsidRPr="00005453">
              <w:rPr>
                <w:b/>
                <w:bCs/>
                <w:sz w:val="18"/>
                <w:szCs w:val="18"/>
                <w:lang w:eastAsia="tr-TR"/>
              </w:rPr>
              <w:t>2,442,925</w:t>
            </w:r>
          </w:p>
        </w:tc>
      </w:tr>
      <w:tr w:rsidR="00785463" w:rsidRPr="00005453" w14:paraId="39DFB1C5" w14:textId="77777777" w:rsidTr="00785463">
        <w:trPr>
          <w:divId w:val="224723578"/>
          <w:trHeight w:val="185"/>
        </w:trPr>
        <w:tc>
          <w:tcPr>
            <w:tcW w:w="6237" w:type="dxa"/>
            <w:tcBorders>
              <w:top w:val="nil"/>
              <w:left w:val="nil"/>
              <w:bottom w:val="nil"/>
              <w:right w:val="nil"/>
            </w:tcBorders>
            <w:shd w:val="clear" w:color="auto" w:fill="auto"/>
            <w:noWrap/>
            <w:vAlign w:val="center"/>
            <w:hideMark/>
          </w:tcPr>
          <w:p w14:paraId="4C2E9A95" w14:textId="77777777" w:rsidR="00785463" w:rsidRPr="00005453" w:rsidRDefault="00785463" w:rsidP="00785463">
            <w:pPr>
              <w:rPr>
                <w:sz w:val="18"/>
                <w:szCs w:val="18"/>
                <w:lang w:eastAsia="tr-TR"/>
              </w:rPr>
            </w:pPr>
            <w:r w:rsidRPr="00005453">
              <w:rPr>
                <w:sz w:val="18"/>
                <w:szCs w:val="18"/>
                <w:lang w:eastAsia="tr-TR"/>
              </w:rPr>
              <w:t>Dönem içi hareketler</w:t>
            </w:r>
          </w:p>
        </w:tc>
        <w:tc>
          <w:tcPr>
            <w:tcW w:w="1473" w:type="dxa"/>
            <w:tcBorders>
              <w:top w:val="nil"/>
              <w:left w:val="nil"/>
              <w:bottom w:val="nil"/>
              <w:right w:val="nil"/>
            </w:tcBorders>
            <w:shd w:val="clear" w:color="auto" w:fill="auto"/>
            <w:vAlign w:val="center"/>
            <w:hideMark/>
          </w:tcPr>
          <w:p w14:paraId="32ED2763" w14:textId="069A0E2E" w:rsidR="00785463" w:rsidRPr="00005453" w:rsidRDefault="00785463" w:rsidP="00785463">
            <w:pPr>
              <w:jc w:val="right"/>
              <w:rPr>
                <w:bCs/>
                <w:sz w:val="18"/>
                <w:szCs w:val="18"/>
                <w:lang w:eastAsia="tr-TR"/>
              </w:rPr>
            </w:pPr>
            <w:r w:rsidRPr="00005453">
              <w:rPr>
                <w:sz w:val="18"/>
                <w:szCs w:val="18"/>
              </w:rPr>
              <w:t>929,287</w:t>
            </w:r>
          </w:p>
        </w:tc>
        <w:tc>
          <w:tcPr>
            <w:tcW w:w="1535" w:type="dxa"/>
            <w:tcBorders>
              <w:top w:val="nil"/>
              <w:left w:val="nil"/>
              <w:bottom w:val="nil"/>
              <w:right w:val="nil"/>
            </w:tcBorders>
            <w:shd w:val="clear" w:color="auto" w:fill="auto"/>
            <w:vAlign w:val="center"/>
            <w:hideMark/>
          </w:tcPr>
          <w:p w14:paraId="4F0CD1F6" w14:textId="0499F3D8" w:rsidR="00785463" w:rsidRPr="00005453" w:rsidRDefault="00785463" w:rsidP="00785463">
            <w:pPr>
              <w:jc w:val="right"/>
              <w:rPr>
                <w:sz w:val="18"/>
                <w:szCs w:val="18"/>
                <w:lang w:eastAsia="tr-TR"/>
              </w:rPr>
            </w:pPr>
            <w:r w:rsidRPr="00005453">
              <w:rPr>
                <w:bCs/>
                <w:sz w:val="18"/>
                <w:szCs w:val="18"/>
                <w:lang w:eastAsia="tr-TR"/>
              </w:rPr>
              <w:t>750,000</w:t>
            </w:r>
          </w:p>
        </w:tc>
      </w:tr>
      <w:tr w:rsidR="00785463" w:rsidRPr="00005453" w14:paraId="23D2F6C2" w14:textId="77777777" w:rsidTr="00785463">
        <w:trPr>
          <w:divId w:val="224723578"/>
          <w:trHeight w:val="185"/>
        </w:trPr>
        <w:tc>
          <w:tcPr>
            <w:tcW w:w="6237" w:type="dxa"/>
            <w:tcBorders>
              <w:top w:val="nil"/>
              <w:left w:val="nil"/>
              <w:bottom w:val="nil"/>
              <w:right w:val="nil"/>
            </w:tcBorders>
            <w:shd w:val="clear" w:color="auto" w:fill="auto"/>
            <w:noWrap/>
            <w:vAlign w:val="center"/>
            <w:hideMark/>
          </w:tcPr>
          <w:p w14:paraId="55B39F84" w14:textId="77777777" w:rsidR="00785463" w:rsidRPr="00005453" w:rsidRDefault="00785463" w:rsidP="00785463">
            <w:pPr>
              <w:ind w:firstLineChars="100" w:firstLine="180"/>
              <w:rPr>
                <w:sz w:val="18"/>
                <w:szCs w:val="18"/>
                <w:lang w:eastAsia="tr-TR"/>
              </w:rPr>
            </w:pPr>
            <w:r w:rsidRPr="00005453">
              <w:rPr>
                <w:sz w:val="18"/>
                <w:szCs w:val="18"/>
                <w:lang w:eastAsia="tr-TR"/>
              </w:rPr>
              <w:t>Alışlar (*)</w:t>
            </w:r>
          </w:p>
        </w:tc>
        <w:tc>
          <w:tcPr>
            <w:tcW w:w="1473" w:type="dxa"/>
            <w:tcBorders>
              <w:top w:val="nil"/>
              <w:left w:val="nil"/>
              <w:bottom w:val="nil"/>
              <w:right w:val="nil"/>
            </w:tcBorders>
            <w:shd w:val="clear" w:color="auto" w:fill="auto"/>
            <w:vAlign w:val="center"/>
            <w:hideMark/>
          </w:tcPr>
          <w:p w14:paraId="66FB79B2" w14:textId="3965741B" w:rsidR="00785463" w:rsidRPr="00005453" w:rsidRDefault="00785463" w:rsidP="00785463">
            <w:pPr>
              <w:jc w:val="right"/>
              <w:rPr>
                <w:bCs/>
                <w:sz w:val="18"/>
                <w:szCs w:val="18"/>
                <w:lang w:eastAsia="tr-TR"/>
              </w:rPr>
            </w:pPr>
            <w:r w:rsidRPr="00005453">
              <w:rPr>
                <w:sz w:val="18"/>
                <w:szCs w:val="18"/>
              </w:rPr>
              <w:t>929,287</w:t>
            </w:r>
          </w:p>
        </w:tc>
        <w:tc>
          <w:tcPr>
            <w:tcW w:w="1535" w:type="dxa"/>
            <w:tcBorders>
              <w:top w:val="nil"/>
              <w:left w:val="nil"/>
              <w:bottom w:val="nil"/>
              <w:right w:val="nil"/>
            </w:tcBorders>
            <w:shd w:val="clear" w:color="auto" w:fill="auto"/>
            <w:vAlign w:val="center"/>
            <w:hideMark/>
          </w:tcPr>
          <w:p w14:paraId="58788D56" w14:textId="3F489779" w:rsidR="00785463" w:rsidRPr="00005453" w:rsidRDefault="00785463" w:rsidP="00785463">
            <w:pPr>
              <w:jc w:val="right"/>
              <w:rPr>
                <w:sz w:val="18"/>
                <w:szCs w:val="18"/>
                <w:lang w:eastAsia="tr-TR"/>
              </w:rPr>
            </w:pPr>
            <w:r w:rsidRPr="00005453">
              <w:rPr>
                <w:bCs/>
                <w:sz w:val="18"/>
                <w:szCs w:val="18"/>
                <w:lang w:eastAsia="tr-TR"/>
              </w:rPr>
              <w:t>750,000</w:t>
            </w:r>
          </w:p>
        </w:tc>
      </w:tr>
      <w:tr w:rsidR="00412107" w:rsidRPr="00005453" w14:paraId="415EFAE8"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6F513422" w14:textId="77777777" w:rsidR="00412107" w:rsidRPr="00005453" w:rsidRDefault="00412107" w:rsidP="00412107">
            <w:pPr>
              <w:ind w:firstLineChars="100" w:firstLine="180"/>
              <w:rPr>
                <w:sz w:val="18"/>
                <w:szCs w:val="18"/>
                <w:lang w:eastAsia="tr-TR"/>
              </w:rPr>
            </w:pPr>
            <w:r w:rsidRPr="00005453">
              <w:rPr>
                <w:sz w:val="18"/>
                <w:szCs w:val="18"/>
                <w:lang w:eastAsia="tr-TR"/>
              </w:rPr>
              <w:t xml:space="preserve">İştiraklerden transferler (net) </w:t>
            </w:r>
          </w:p>
        </w:tc>
        <w:tc>
          <w:tcPr>
            <w:tcW w:w="1473" w:type="dxa"/>
            <w:tcBorders>
              <w:top w:val="nil"/>
              <w:left w:val="nil"/>
              <w:bottom w:val="nil"/>
              <w:right w:val="nil"/>
            </w:tcBorders>
            <w:shd w:val="clear" w:color="auto" w:fill="auto"/>
            <w:vAlign w:val="center"/>
            <w:hideMark/>
          </w:tcPr>
          <w:p w14:paraId="1949FD61"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468A43FC" w14:textId="7CF79AFF"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79B6D9A0"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73CC6062" w14:textId="77777777" w:rsidR="00412107" w:rsidRPr="00005453" w:rsidRDefault="00412107" w:rsidP="00412107">
            <w:pPr>
              <w:ind w:firstLineChars="100" w:firstLine="180"/>
              <w:rPr>
                <w:sz w:val="18"/>
                <w:szCs w:val="18"/>
                <w:lang w:eastAsia="tr-TR"/>
              </w:rPr>
            </w:pPr>
            <w:r w:rsidRPr="00005453">
              <w:rPr>
                <w:sz w:val="18"/>
                <w:szCs w:val="18"/>
                <w:lang w:eastAsia="tr-TR"/>
              </w:rPr>
              <w:t>Bedelsiz edinilen hisse senetleri</w:t>
            </w:r>
          </w:p>
        </w:tc>
        <w:tc>
          <w:tcPr>
            <w:tcW w:w="1473" w:type="dxa"/>
            <w:tcBorders>
              <w:top w:val="nil"/>
              <w:left w:val="nil"/>
              <w:bottom w:val="nil"/>
              <w:right w:val="nil"/>
            </w:tcBorders>
            <w:shd w:val="clear" w:color="auto" w:fill="auto"/>
            <w:vAlign w:val="center"/>
            <w:hideMark/>
          </w:tcPr>
          <w:p w14:paraId="029A8219"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7C7D9B2C" w14:textId="6786B631"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4A0CDF4F"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76C7BC98" w14:textId="77777777" w:rsidR="00412107" w:rsidRPr="00005453" w:rsidRDefault="00412107" w:rsidP="00412107">
            <w:pPr>
              <w:ind w:firstLineChars="100" w:firstLine="180"/>
              <w:rPr>
                <w:sz w:val="18"/>
                <w:szCs w:val="18"/>
                <w:lang w:eastAsia="tr-TR"/>
              </w:rPr>
            </w:pPr>
            <w:r w:rsidRPr="00005453">
              <w:rPr>
                <w:sz w:val="18"/>
                <w:szCs w:val="18"/>
                <w:lang w:eastAsia="tr-TR"/>
              </w:rPr>
              <w:t>Cari yıl payından alınan kar</w:t>
            </w:r>
          </w:p>
        </w:tc>
        <w:tc>
          <w:tcPr>
            <w:tcW w:w="1473" w:type="dxa"/>
            <w:tcBorders>
              <w:top w:val="nil"/>
              <w:left w:val="nil"/>
              <w:bottom w:val="nil"/>
              <w:right w:val="nil"/>
            </w:tcBorders>
            <w:shd w:val="clear" w:color="auto" w:fill="auto"/>
            <w:vAlign w:val="center"/>
            <w:hideMark/>
          </w:tcPr>
          <w:p w14:paraId="679AFB97"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3FB2D11B" w14:textId="7D0B7CE3"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5580FF52"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6ADFC61E" w14:textId="77777777" w:rsidR="00412107" w:rsidRPr="00005453" w:rsidRDefault="00412107" w:rsidP="00412107">
            <w:pPr>
              <w:ind w:firstLineChars="100" w:firstLine="180"/>
              <w:rPr>
                <w:sz w:val="18"/>
                <w:szCs w:val="18"/>
                <w:lang w:eastAsia="tr-TR"/>
              </w:rPr>
            </w:pPr>
            <w:r w:rsidRPr="00005453">
              <w:rPr>
                <w:sz w:val="18"/>
                <w:szCs w:val="18"/>
                <w:lang w:eastAsia="tr-TR"/>
              </w:rPr>
              <w:t xml:space="preserve">Satışlar </w:t>
            </w:r>
          </w:p>
        </w:tc>
        <w:tc>
          <w:tcPr>
            <w:tcW w:w="1473" w:type="dxa"/>
            <w:tcBorders>
              <w:top w:val="nil"/>
              <w:left w:val="nil"/>
              <w:bottom w:val="nil"/>
              <w:right w:val="nil"/>
            </w:tcBorders>
            <w:shd w:val="clear" w:color="auto" w:fill="auto"/>
            <w:vAlign w:val="center"/>
            <w:hideMark/>
          </w:tcPr>
          <w:p w14:paraId="25C066BC"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6131FB42" w14:textId="208EB6E0"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4DAD8878"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50CFDFA7" w14:textId="77777777" w:rsidR="00412107" w:rsidRPr="00005453" w:rsidRDefault="00412107" w:rsidP="00412107">
            <w:pPr>
              <w:ind w:firstLineChars="100" w:firstLine="180"/>
              <w:rPr>
                <w:sz w:val="18"/>
                <w:szCs w:val="18"/>
                <w:lang w:eastAsia="tr-TR"/>
              </w:rPr>
            </w:pPr>
            <w:r w:rsidRPr="00005453">
              <w:rPr>
                <w:sz w:val="18"/>
                <w:szCs w:val="18"/>
                <w:lang w:eastAsia="tr-TR"/>
              </w:rPr>
              <w:t>Yeniden değerleme artışı</w:t>
            </w:r>
          </w:p>
        </w:tc>
        <w:tc>
          <w:tcPr>
            <w:tcW w:w="1473" w:type="dxa"/>
            <w:tcBorders>
              <w:top w:val="nil"/>
              <w:left w:val="nil"/>
              <w:bottom w:val="nil"/>
              <w:right w:val="nil"/>
            </w:tcBorders>
            <w:shd w:val="clear" w:color="auto" w:fill="auto"/>
            <w:vAlign w:val="center"/>
            <w:hideMark/>
          </w:tcPr>
          <w:p w14:paraId="51C3F4F7"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659985C3" w14:textId="125C15E4"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213AC3EE"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15593C63" w14:textId="77777777" w:rsidR="00412107" w:rsidRPr="00005453" w:rsidRDefault="00412107" w:rsidP="00412107">
            <w:pPr>
              <w:ind w:firstLineChars="100" w:firstLine="180"/>
              <w:rPr>
                <w:sz w:val="18"/>
                <w:szCs w:val="18"/>
                <w:lang w:eastAsia="tr-TR"/>
              </w:rPr>
            </w:pPr>
            <w:r w:rsidRPr="00005453">
              <w:rPr>
                <w:sz w:val="18"/>
                <w:szCs w:val="18"/>
                <w:lang w:eastAsia="tr-TR"/>
              </w:rPr>
              <w:t xml:space="preserve">Değer azalma karşılıkları </w:t>
            </w:r>
          </w:p>
        </w:tc>
        <w:tc>
          <w:tcPr>
            <w:tcW w:w="1473" w:type="dxa"/>
            <w:tcBorders>
              <w:top w:val="nil"/>
              <w:left w:val="nil"/>
              <w:bottom w:val="nil"/>
              <w:right w:val="nil"/>
            </w:tcBorders>
            <w:shd w:val="clear" w:color="auto" w:fill="auto"/>
            <w:vAlign w:val="center"/>
            <w:hideMark/>
          </w:tcPr>
          <w:p w14:paraId="1B6E5ECF"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7437F18E" w14:textId="044D5D91"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0E74A3FF"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667B584D" w14:textId="77777777" w:rsidR="00412107" w:rsidRPr="00005453" w:rsidRDefault="00412107" w:rsidP="00412107">
            <w:pPr>
              <w:ind w:firstLineChars="100" w:firstLine="180"/>
              <w:rPr>
                <w:sz w:val="18"/>
                <w:szCs w:val="18"/>
                <w:lang w:eastAsia="tr-TR"/>
              </w:rPr>
            </w:pPr>
            <w:r w:rsidRPr="00005453">
              <w:rPr>
                <w:sz w:val="18"/>
                <w:szCs w:val="18"/>
                <w:lang w:eastAsia="tr-TR"/>
              </w:rPr>
              <w:t>Sermaye taahhüt ödemeleri</w:t>
            </w:r>
          </w:p>
        </w:tc>
        <w:tc>
          <w:tcPr>
            <w:tcW w:w="1473" w:type="dxa"/>
            <w:tcBorders>
              <w:top w:val="nil"/>
              <w:left w:val="nil"/>
              <w:bottom w:val="nil"/>
              <w:right w:val="nil"/>
            </w:tcBorders>
            <w:shd w:val="clear" w:color="auto" w:fill="auto"/>
            <w:vAlign w:val="center"/>
            <w:hideMark/>
          </w:tcPr>
          <w:p w14:paraId="24F76FD2"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nil"/>
              <w:right w:val="nil"/>
            </w:tcBorders>
            <w:shd w:val="clear" w:color="auto" w:fill="auto"/>
            <w:vAlign w:val="center"/>
            <w:hideMark/>
          </w:tcPr>
          <w:p w14:paraId="438989B4" w14:textId="759D15D6"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144868CD" w14:textId="77777777" w:rsidTr="00614CD2">
        <w:trPr>
          <w:divId w:val="224723578"/>
          <w:trHeight w:val="185"/>
        </w:trPr>
        <w:tc>
          <w:tcPr>
            <w:tcW w:w="6237" w:type="dxa"/>
            <w:tcBorders>
              <w:top w:val="nil"/>
              <w:left w:val="nil"/>
              <w:bottom w:val="nil"/>
              <w:right w:val="nil"/>
            </w:tcBorders>
            <w:shd w:val="clear" w:color="auto" w:fill="auto"/>
            <w:noWrap/>
            <w:vAlign w:val="center"/>
            <w:hideMark/>
          </w:tcPr>
          <w:p w14:paraId="2BC42CCE" w14:textId="77777777" w:rsidR="00412107" w:rsidRPr="00005453" w:rsidRDefault="00412107" w:rsidP="00412107">
            <w:pPr>
              <w:rPr>
                <w:b/>
                <w:bCs/>
                <w:sz w:val="18"/>
                <w:szCs w:val="18"/>
                <w:lang w:eastAsia="tr-TR"/>
              </w:rPr>
            </w:pPr>
            <w:r w:rsidRPr="00005453">
              <w:rPr>
                <w:b/>
                <w:bCs/>
                <w:sz w:val="18"/>
                <w:szCs w:val="18"/>
                <w:lang w:eastAsia="tr-TR"/>
              </w:rPr>
              <w:t>Dönem sonu değeri</w:t>
            </w:r>
          </w:p>
        </w:tc>
        <w:tc>
          <w:tcPr>
            <w:tcW w:w="1473" w:type="dxa"/>
            <w:tcBorders>
              <w:top w:val="nil"/>
              <w:left w:val="nil"/>
              <w:bottom w:val="nil"/>
              <w:right w:val="nil"/>
            </w:tcBorders>
            <w:shd w:val="clear" w:color="auto" w:fill="auto"/>
            <w:vAlign w:val="center"/>
            <w:hideMark/>
          </w:tcPr>
          <w:p w14:paraId="1FF79309" w14:textId="09947940" w:rsidR="00412107" w:rsidRPr="00005453" w:rsidRDefault="00785463" w:rsidP="00412107">
            <w:pPr>
              <w:jc w:val="right"/>
              <w:rPr>
                <w:b/>
                <w:bCs/>
                <w:sz w:val="18"/>
                <w:szCs w:val="18"/>
                <w:lang w:eastAsia="tr-TR"/>
              </w:rPr>
            </w:pPr>
            <w:r w:rsidRPr="00005453">
              <w:rPr>
                <w:b/>
                <w:bCs/>
                <w:sz w:val="18"/>
                <w:szCs w:val="18"/>
                <w:lang w:eastAsia="tr-TR"/>
              </w:rPr>
              <w:t>4</w:t>
            </w:r>
            <w:r w:rsidR="00412107" w:rsidRPr="00005453">
              <w:rPr>
                <w:b/>
                <w:bCs/>
                <w:sz w:val="18"/>
                <w:szCs w:val="18"/>
                <w:lang w:eastAsia="tr-TR"/>
              </w:rPr>
              <w:t>,</w:t>
            </w:r>
            <w:r w:rsidRPr="00005453">
              <w:rPr>
                <w:b/>
                <w:bCs/>
                <w:sz w:val="18"/>
                <w:szCs w:val="18"/>
                <w:lang w:eastAsia="tr-TR"/>
              </w:rPr>
              <w:t>12</w:t>
            </w:r>
            <w:r w:rsidR="00412107" w:rsidRPr="00005453">
              <w:rPr>
                <w:b/>
                <w:bCs/>
                <w:sz w:val="18"/>
                <w:szCs w:val="18"/>
                <w:lang w:eastAsia="tr-TR"/>
              </w:rPr>
              <w:t>2,</w:t>
            </w:r>
            <w:r w:rsidRPr="00005453">
              <w:rPr>
                <w:b/>
                <w:bCs/>
                <w:sz w:val="18"/>
                <w:szCs w:val="18"/>
                <w:lang w:eastAsia="tr-TR"/>
              </w:rPr>
              <w:t>212</w:t>
            </w:r>
          </w:p>
        </w:tc>
        <w:tc>
          <w:tcPr>
            <w:tcW w:w="1535" w:type="dxa"/>
            <w:tcBorders>
              <w:top w:val="nil"/>
              <w:left w:val="nil"/>
              <w:bottom w:val="nil"/>
              <w:right w:val="nil"/>
            </w:tcBorders>
            <w:shd w:val="clear" w:color="auto" w:fill="auto"/>
            <w:vAlign w:val="center"/>
            <w:hideMark/>
          </w:tcPr>
          <w:p w14:paraId="77D07C95" w14:textId="24351EF6" w:rsidR="00412107" w:rsidRPr="00005453" w:rsidRDefault="00412107" w:rsidP="00412107">
            <w:pPr>
              <w:jc w:val="right"/>
              <w:rPr>
                <w:b/>
                <w:bCs/>
                <w:sz w:val="18"/>
                <w:szCs w:val="18"/>
                <w:lang w:eastAsia="tr-TR"/>
              </w:rPr>
            </w:pPr>
            <w:r w:rsidRPr="00005453">
              <w:rPr>
                <w:b/>
                <w:bCs/>
                <w:sz w:val="18"/>
                <w:szCs w:val="18"/>
                <w:lang w:eastAsia="tr-TR"/>
              </w:rPr>
              <w:t>3,192,925</w:t>
            </w:r>
          </w:p>
        </w:tc>
      </w:tr>
      <w:tr w:rsidR="00412107" w:rsidRPr="00005453" w14:paraId="684C37C9" w14:textId="77777777" w:rsidTr="00614CD2">
        <w:trPr>
          <w:divId w:val="224723578"/>
          <w:trHeight w:val="185"/>
        </w:trPr>
        <w:tc>
          <w:tcPr>
            <w:tcW w:w="6237" w:type="dxa"/>
            <w:tcBorders>
              <w:top w:val="nil"/>
              <w:left w:val="nil"/>
              <w:right w:val="nil"/>
            </w:tcBorders>
            <w:shd w:val="clear" w:color="auto" w:fill="auto"/>
            <w:noWrap/>
            <w:vAlign w:val="center"/>
            <w:hideMark/>
          </w:tcPr>
          <w:p w14:paraId="38E93FF0" w14:textId="77777777" w:rsidR="00412107" w:rsidRPr="00005453" w:rsidRDefault="00412107" w:rsidP="00412107">
            <w:pPr>
              <w:rPr>
                <w:sz w:val="18"/>
                <w:szCs w:val="18"/>
                <w:lang w:eastAsia="tr-TR"/>
              </w:rPr>
            </w:pPr>
            <w:r w:rsidRPr="00005453">
              <w:rPr>
                <w:sz w:val="18"/>
                <w:szCs w:val="18"/>
                <w:lang w:eastAsia="tr-TR"/>
              </w:rPr>
              <w:t xml:space="preserve">Sermaye taahhütleri </w:t>
            </w:r>
          </w:p>
        </w:tc>
        <w:tc>
          <w:tcPr>
            <w:tcW w:w="1473" w:type="dxa"/>
            <w:tcBorders>
              <w:top w:val="nil"/>
              <w:left w:val="nil"/>
              <w:right w:val="nil"/>
            </w:tcBorders>
            <w:shd w:val="clear" w:color="auto" w:fill="auto"/>
            <w:vAlign w:val="center"/>
            <w:hideMark/>
          </w:tcPr>
          <w:p w14:paraId="6746AE41" w14:textId="5F28A360" w:rsidR="00412107" w:rsidRPr="00005453" w:rsidRDefault="00785463" w:rsidP="00412107">
            <w:pPr>
              <w:jc w:val="right"/>
              <w:rPr>
                <w:sz w:val="18"/>
                <w:szCs w:val="18"/>
                <w:lang w:eastAsia="tr-TR"/>
              </w:rPr>
            </w:pPr>
            <w:r w:rsidRPr="00005453">
              <w:rPr>
                <w:sz w:val="18"/>
                <w:szCs w:val="18"/>
                <w:lang w:eastAsia="tr-TR"/>
              </w:rPr>
              <w:t>22</w:t>
            </w:r>
            <w:r w:rsidR="00412107" w:rsidRPr="00005453">
              <w:rPr>
                <w:sz w:val="18"/>
                <w:szCs w:val="18"/>
                <w:lang w:eastAsia="tr-TR"/>
              </w:rPr>
              <w:t>,500</w:t>
            </w:r>
          </w:p>
        </w:tc>
        <w:tc>
          <w:tcPr>
            <w:tcW w:w="1535" w:type="dxa"/>
            <w:tcBorders>
              <w:top w:val="nil"/>
              <w:left w:val="nil"/>
              <w:right w:val="nil"/>
            </w:tcBorders>
            <w:shd w:val="clear" w:color="auto" w:fill="auto"/>
            <w:vAlign w:val="center"/>
            <w:hideMark/>
          </w:tcPr>
          <w:p w14:paraId="1D97EC2D" w14:textId="5F5D6325" w:rsidR="00412107" w:rsidRPr="00005453" w:rsidRDefault="00412107" w:rsidP="00412107">
            <w:pPr>
              <w:jc w:val="right"/>
              <w:rPr>
                <w:sz w:val="18"/>
                <w:szCs w:val="18"/>
                <w:lang w:eastAsia="tr-TR"/>
              </w:rPr>
            </w:pPr>
            <w:r w:rsidRPr="00005453">
              <w:rPr>
                <w:sz w:val="18"/>
                <w:szCs w:val="18"/>
                <w:lang w:eastAsia="tr-TR"/>
              </w:rPr>
              <w:t>67,500</w:t>
            </w:r>
          </w:p>
        </w:tc>
      </w:tr>
      <w:tr w:rsidR="00412107" w:rsidRPr="00005453" w14:paraId="4A658109" w14:textId="77777777" w:rsidTr="00614CD2">
        <w:trPr>
          <w:divId w:val="224723578"/>
          <w:trHeight w:val="185"/>
        </w:trPr>
        <w:tc>
          <w:tcPr>
            <w:tcW w:w="6237" w:type="dxa"/>
            <w:tcBorders>
              <w:top w:val="nil"/>
              <w:left w:val="nil"/>
              <w:bottom w:val="single" w:sz="4" w:space="0" w:color="auto"/>
              <w:right w:val="nil"/>
            </w:tcBorders>
            <w:shd w:val="clear" w:color="auto" w:fill="auto"/>
            <w:noWrap/>
            <w:vAlign w:val="center"/>
            <w:hideMark/>
          </w:tcPr>
          <w:p w14:paraId="4F051820" w14:textId="77777777" w:rsidR="00412107" w:rsidRPr="00005453" w:rsidRDefault="00412107" w:rsidP="00412107">
            <w:pPr>
              <w:rPr>
                <w:sz w:val="18"/>
                <w:szCs w:val="18"/>
                <w:lang w:eastAsia="tr-TR"/>
              </w:rPr>
            </w:pPr>
            <w:r w:rsidRPr="00005453">
              <w:rPr>
                <w:sz w:val="18"/>
                <w:szCs w:val="18"/>
                <w:lang w:eastAsia="tr-TR"/>
              </w:rPr>
              <w:t>Dönem sonu sermaye katılma payı (%)</w:t>
            </w:r>
          </w:p>
        </w:tc>
        <w:tc>
          <w:tcPr>
            <w:tcW w:w="1473" w:type="dxa"/>
            <w:tcBorders>
              <w:top w:val="nil"/>
              <w:left w:val="nil"/>
              <w:bottom w:val="single" w:sz="4" w:space="0" w:color="auto"/>
              <w:right w:val="nil"/>
            </w:tcBorders>
            <w:shd w:val="clear" w:color="auto" w:fill="auto"/>
            <w:vAlign w:val="center"/>
            <w:hideMark/>
          </w:tcPr>
          <w:p w14:paraId="117B5201" w14:textId="77777777" w:rsidR="00412107" w:rsidRPr="00005453" w:rsidRDefault="00412107" w:rsidP="00412107">
            <w:pPr>
              <w:jc w:val="right"/>
              <w:rPr>
                <w:sz w:val="18"/>
                <w:szCs w:val="18"/>
                <w:lang w:eastAsia="tr-TR"/>
              </w:rPr>
            </w:pPr>
            <w:r w:rsidRPr="00005453">
              <w:rPr>
                <w:sz w:val="18"/>
                <w:szCs w:val="18"/>
                <w:lang w:eastAsia="tr-TR"/>
              </w:rPr>
              <w:t>-</w:t>
            </w:r>
          </w:p>
        </w:tc>
        <w:tc>
          <w:tcPr>
            <w:tcW w:w="1535" w:type="dxa"/>
            <w:tcBorders>
              <w:top w:val="nil"/>
              <w:left w:val="nil"/>
              <w:bottom w:val="single" w:sz="4" w:space="0" w:color="auto"/>
              <w:right w:val="nil"/>
            </w:tcBorders>
            <w:shd w:val="clear" w:color="auto" w:fill="auto"/>
            <w:vAlign w:val="center"/>
            <w:hideMark/>
          </w:tcPr>
          <w:p w14:paraId="4305A3B0" w14:textId="601BEF0D" w:rsidR="00412107" w:rsidRPr="00005453" w:rsidRDefault="00412107" w:rsidP="00412107">
            <w:pPr>
              <w:jc w:val="right"/>
              <w:rPr>
                <w:sz w:val="18"/>
                <w:szCs w:val="18"/>
                <w:lang w:eastAsia="tr-TR"/>
              </w:rPr>
            </w:pPr>
            <w:r w:rsidRPr="00005453">
              <w:rPr>
                <w:sz w:val="18"/>
                <w:szCs w:val="18"/>
                <w:lang w:eastAsia="tr-TR"/>
              </w:rPr>
              <w:t>-</w:t>
            </w:r>
          </w:p>
        </w:tc>
      </w:tr>
    </w:tbl>
    <w:p w14:paraId="15A51FB4" w14:textId="25F5EF65" w:rsidR="004F702F" w:rsidRPr="00005453" w:rsidRDefault="004F702F" w:rsidP="001A491C">
      <w:pPr>
        <w:pStyle w:val="Heading1"/>
        <w:jc w:val="left"/>
        <w:rPr>
          <w:sz w:val="6"/>
          <w:szCs w:val="6"/>
          <w:lang w:val="en-GB" w:eastAsia="en-GB"/>
        </w:rPr>
      </w:pPr>
    </w:p>
    <w:p w14:paraId="457C15FD" w14:textId="2839216D" w:rsidR="00932FED" w:rsidRPr="00005453" w:rsidRDefault="00932FED">
      <w:pPr>
        <w:spacing w:line="214" w:lineRule="auto"/>
        <w:ind w:left="540" w:hanging="540"/>
        <w:rPr>
          <w:bCs/>
          <w:iCs/>
          <w:sz w:val="2"/>
          <w:szCs w:val="16"/>
        </w:rPr>
      </w:pPr>
    </w:p>
    <w:p w14:paraId="660E2960" w14:textId="77777777" w:rsidR="004738AC" w:rsidRDefault="00117483" w:rsidP="004738AC">
      <w:pPr>
        <w:jc w:val="both"/>
        <w:rPr>
          <w:sz w:val="18"/>
          <w:szCs w:val="18"/>
        </w:rPr>
      </w:pPr>
      <w:r w:rsidRPr="00005453">
        <w:rPr>
          <w:sz w:val="16"/>
          <w:szCs w:val="16"/>
        </w:rPr>
        <w:t>(*)</w:t>
      </w:r>
      <w:r w:rsidR="00714B98" w:rsidRPr="00005453">
        <w:rPr>
          <w:sz w:val="18"/>
          <w:szCs w:val="18"/>
        </w:rPr>
        <w:t xml:space="preserve"> </w:t>
      </w:r>
      <w:r w:rsidR="006F7AD6" w:rsidRPr="00005453">
        <w:rPr>
          <w:sz w:val="18"/>
          <w:szCs w:val="18"/>
        </w:rPr>
        <w:t>Banka, 2</w:t>
      </w:r>
      <w:r w:rsidR="00A50ABC" w:rsidRPr="00005453">
        <w:rPr>
          <w:sz w:val="18"/>
          <w:szCs w:val="18"/>
        </w:rPr>
        <w:t>1</w:t>
      </w:r>
      <w:r w:rsidR="006F7AD6" w:rsidRPr="00005453">
        <w:rPr>
          <w:sz w:val="18"/>
          <w:szCs w:val="18"/>
        </w:rPr>
        <w:t xml:space="preserve"> Kasım 202</w:t>
      </w:r>
      <w:r w:rsidR="00A50ABC" w:rsidRPr="00005453">
        <w:rPr>
          <w:sz w:val="18"/>
          <w:szCs w:val="18"/>
        </w:rPr>
        <w:t>4</w:t>
      </w:r>
      <w:r w:rsidR="006F7AD6" w:rsidRPr="00005453">
        <w:rPr>
          <w:sz w:val="18"/>
          <w:szCs w:val="18"/>
        </w:rPr>
        <w:t xml:space="preserve"> tarihinde 2</w:t>
      </w:r>
      <w:r w:rsidR="00C42C04" w:rsidRPr="00005453">
        <w:rPr>
          <w:sz w:val="18"/>
          <w:szCs w:val="18"/>
        </w:rPr>
        <w:t>0</w:t>
      </w:r>
      <w:r w:rsidR="006F7AD6" w:rsidRPr="00005453">
        <w:rPr>
          <w:sz w:val="18"/>
          <w:szCs w:val="18"/>
        </w:rPr>
        <w:t xml:space="preserve">0,000,000 TL (tam tutar) sermaye ile </w:t>
      </w:r>
      <w:r w:rsidR="00A50ABC" w:rsidRPr="00005453">
        <w:rPr>
          <w:sz w:val="18"/>
          <w:szCs w:val="18"/>
        </w:rPr>
        <w:t>Sağlam Finansal Teknolojiler</w:t>
      </w:r>
      <w:r w:rsidR="006F7AD6" w:rsidRPr="00005453">
        <w:rPr>
          <w:sz w:val="18"/>
          <w:szCs w:val="18"/>
        </w:rPr>
        <w:t xml:space="preserve"> A.Ş bağlı ortaklığını kurmuştur.</w:t>
      </w:r>
    </w:p>
    <w:p w14:paraId="68798329" w14:textId="30C08DD6" w:rsidR="001025E0" w:rsidRPr="004738AC" w:rsidRDefault="00E253C8" w:rsidP="004738AC">
      <w:pPr>
        <w:jc w:val="both"/>
        <w:rPr>
          <w:sz w:val="18"/>
          <w:szCs w:val="18"/>
        </w:rPr>
      </w:pPr>
      <w:r w:rsidRPr="00005453">
        <w:rPr>
          <w:bCs/>
        </w:rPr>
        <w:lastRenderedPageBreak/>
        <w:t>Konsolide edilen bağlı ortaklıklara ilişkin sektör bilgileri ve bunlara ilişkin kayıtlı tutarlar</w:t>
      </w:r>
    </w:p>
    <w:p w14:paraId="58401C14" w14:textId="479E8AA1" w:rsidR="00117483" w:rsidRPr="00005453" w:rsidRDefault="00117483" w:rsidP="00117483">
      <w:pPr>
        <w:rPr>
          <w:sz w:val="8"/>
          <w:lang w:eastAsia="en-GB"/>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117483" w:rsidRPr="00005453" w14:paraId="561D331D" w14:textId="77777777" w:rsidTr="00346550">
        <w:trPr>
          <w:divId w:val="1749157614"/>
          <w:trHeight w:val="246"/>
        </w:trPr>
        <w:tc>
          <w:tcPr>
            <w:tcW w:w="6237" w:type="dxa"/>
            <w:tcBorders>
              <w:top w:val="double" w:sz="6" w:space="0" w:color="auto"/>
              <w:left w:val="nil"/>
              <w:bottom w:val="single" w:sz="8" w:space="0" w:color="auto"/>
              <w:right w:val="nil"/>
            </w:tcBorders>
            <w:shd w:val="clear" w:color="auto" w:fill="auto"/>
            <w:vAlign w:val="center"/>
            <w:hideMark/>
          </w:tcPr>
          <w:p w14:paraId="73764EC9" w14:textId="76A2A27A" w:rsidR="00117483" w:rsidRPr="00005453" w:rsidRDefault="00117483" w:rsidP="00117483">
            <w:pPr>
              <w:jc w:val="both"/>
              <w:rPr>
                <w:b/>
                <w:bCs/>
                <w:sz w:val="18"/>
                <w:szCs w:val="18"/>
                <w:lang w:eastAsia="tr-TR"/>
              </w:rPr>
            </w:pPr>
            <w:r w:rsidRPr="00005453">
              <w:rPr>
                <w:b/>
                <w:bCs/>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1CB9650A" w14:textId="77777777" w:rsidR="00117483" w:rsidRPr="00005453" w:rsidRDefault="00117483" w:rsidP="00117483">
            <w:pPr>
              <w:jc w:val="right"/>
              <w:rPr>
                <w:b/>
                <w:bCs/>
                <w:sz w:val="18"/>
                <w:szCs w:val="18"/>
                <w:lang w:eastAsia="tr-TR"/>
              </w:rPr>
            </w:pPr>
            <w:r w:rsidRPr="00005453">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0F65F964" w14:textId="77777777" w:rsidR="00117483" w:rsidRPr="00005453" w:rsidRDefault="00117483" w:rsidP="00117483">
            <w:pPr>
              <w:jc w:val="right"/>
              <w:rPr>
                <w:b/>
                <w:bCs/>
                <w:sz w:val="18"/>
                <w:szCs w:val="18"/>
                <w:lang w:eastAsia="tr-TR"/>
              </w:rPr>
            </w:pPr>
            <w:r w:rsidRPr="00005453">
              <w:rPr>
                <w:b/>
                <w:bCs/>
                <w:sz w:val="18"/>
                <w:szCs w:val="18"/>
                <w:lang w:eastAsia="tr-TR"/>
              </w:rPr>
              <w:t>Önceki Dönem</w:t>
            </w:r>
          </w:p>
        </w:tc>
      </w:tr>
      <w:tr w:rsidR="00F56D39" w:rsidRPr="00005453" w14:paraId="6AAEEC5A" w14:textId="77777777" w:rsidTr="00F56D39">
        <w:trPr>
          <w:divId w:val="1749157614"/>
          <w:trHeight w:val="219"/>
        </w:trPr>
        <w:tc>
          <w:tcPr>
            <w:tcW w:w="6237" w:type="dxa"/>
            <w:tcBorders>
              <w:top w:val="nil"/>
              <w:left w:val="nil"/>
              <w:bottom w:val="nil"/>
              <w:right w:val="nil"/>
            </w:tcBorders>
            <w:shd w:val="clear" w:color="auto" w:fill="auto"/>
            <w:vAlign w:val="center"/>
            <w:hideMark/>
          </w:tcPr>
          <w:p w14:paraId="393ECBCF" w14:textId="77777777" w:rsidR="00F56D39" w:rsidRPr="00005453" w:rsidRDefault="00F56D39" w:rsidP="00F56D39">
            <w:pPr>
              <w:jc w:val="both"/>
              <w:rPr>
                <w:sz w:val="18"/>
                <w:szCs w:val="18"/>
                <w:lang w:eastAsia="tr-TR"/>
              </w:rPr>
            </w:pPr>
            <w:r w:rsidRPr="00005453">
              <w:rPr>
                <w:sz w:val="18"/>
                <w:szCs w:val="18"/>
                <w:lang w:eastAsia="tr-TR"/>
              </w:rPr>
              <w:t xml:space="preserve">Bankalar </w:t>
            </w:r>
          </w:p>
        </w:tc>
        <w:tc>
          <w:tcPr>
            <w:tcW w:w="1418" w:type="dxa"/>
            <w:tcBorders>
              <w:top w:val="nil"/>
              <w:left w:val="nil"/>
              <w:bottom w:val="nil"/>
              <w:right w:val="nil"/>
            </w:tcBorders>
            <w:shd w:val="clear" w:color="auto" w:fill="auto"/>
            <w:vAlign w:val="bottom"/>
            <w:hideMark/>
          </w:tcPr>
          <w:p w14:paraId="391D89BC" w14:textId="7E26623D" w:rsidR="00F56D39" w:rsidRPr="00005453" w:rsidRDefault="00F56D39" w:rsidP="00F56D39">
            <w:pPr>
              <w:jc w:val="right"/>
              <w:rPr>
                <w:sz w:val="18"/>
                <w:szCs w:val="18"/>
                <w:lang w:eastAsia="tr-TR"/>
              </w:rPr>
            </w:pPr>
            <w:r w:rsidRPr="00005453">
              <w:rPr>
                <w:sz w:val="18"/>
                <w:szCs w:val="18"/>
              </w:rPr>
              <w:t xml:space="preserve"> 1,592,030    </w:t>
            </w:r>
          </w:p>
        </w:tc>
        <w:tc>
          <w:tcPr>
            <w:tcW w:w="1559" w:type="dxa"/>
            <w:tcBorders>
              <w:top w:val="nil"/>
              <w:left w:val="nil"/>
              <w:bottom w:val="nil"/>
              <w:right w:val="nil"/>
            </w:tcBorders>
            <w:shd w:val="clear" w:color="auto" w:fill="auto"/>
            <w:vAlign w:val="center"/>
            <w:hideMark/>
          </w:tcPr>
          <w:p w14:paraId="3D39BA5A" w14:textId="29A7DFC6" w:rsidR="00F56D39" w:rsidRPr="00005453" w:rsidRDefault="00F56D39" w:rsidP="00F56D39">
            <w:pPr>
              <w:jc w:val="right"/>
              <w:rPr>
                <w:sz w:val="18"/>
                <w:szCs w:val="18"/>
                <w:lang w:eastAsia="tr-TR"/>
              </w:rPr>
            </w:pPr>
            <w:r w:rsidRPr="00005453">
              <w:rPr>
                <w:sz w:val="18"/>
                <w:szCs w:val="18"/>
              </w:rPr>
              <w:t>1,592,030</w:t>
            </w:r>
          </w:p>
        </w:tc>
      </w:tr>
      <w:tr w:rsidR="00F56D39" w:rsidRPr="00005453" w14:paraId="185A2D5E" w14:textId="77777777" w:rsidTr="00F56D39">
        <w:trPr>
          <w:divId w:val="1749157614"/>
          <w:trHeight w:val="219"/>
        </w:trPr>
        <w:tc>
          <w:tcPr>
            <w:tcW w:w="6237" w:type="dxa"/>
            <w:tcBorders>
              <w:top w:val="nil"/>
              <w:left w:val="nil"/>
              <w:bottom w:val="nil"/>
              <w:right w:val="nil"/>
            </w:tcBorders>
            <w:shd w:val="clear" w:color="auto" w:fill="auto"/>
            <w:vAlign w:val="center"/>
            <w:hideMark/>
          </w:tcPr>
          <w:p w14:paraId="53AE3AD8" w14:textId="77777777" w:rsidR="00F56D39" w:rsidRPr="00005453" w:rsidRDefault="00F56D39" w:rsidP="00F56D39">
            <w:pPr>
              <w:jc w:val="both"/>
              <w:rPr>
                <w:sz w:val="18"/>
                <w:szCs w:val="18"/>
                <w:lang w:eastAsia="tr-TR"/>
              </w:rPr>
            </w:pPr>
            <w:r w:rsidRPr="00005453">
              <w:rPr>
                <w:sz w:val="18"/>
                <w:szCs w:val="18"/>
                <w:lang w:eastAsia="tr-TR"/>
              </w:rPr>
              <w:t>Sigorta Şirketleri</w:t>
            </w:r>
          </w:p>
        </w:tc>
        <w:tc>
          <w:tcPr>
            <w:tcW w:w="1418" w:type="dxa"/>
            <w:tcBorders>
              <w:top w:val="nil"/>
              <w:left w:val="nil"/>
              <w:bottom w:val="nil"/>
              <w:right w:val="nil"/>
            </w:tcBorders>
            <w:shd w:val="clear" w:color="auto" w:fill="auto"/>
            <w:vAlign w:val="bottom"/>
            <w:hideMark/>
          </w:tcPr>
          <w:p w14:paraId="5E145DDD" w14:textId="3C2E8534" w:rsidR="00F56D39" w:rsidRPr="00005453" w:rsidRDefault="00F56D39" w:rsidP="00F56D39">
            <w:pPr>
              <w:jc w:val="right"/>
              <w:rPr>
                <w:sz w:val="18"/>
                <w:szCs w:val="18"/>
                <w:lang w:eastAsia="tr-TR"/>
              </w:rPr>
            </w:pPr>
            <w:r w:rsidRPr="00005453">
              <w:rPr>
                <w:sz w:val="18"/>
                <w:szCs w:val="18"/>
              </w:rPr>
              <w:t xml:space="preserve"> 1,651,796    </w:t>
            </w:r>
          </w:p>
        </w:tc>
        <w:tc>
          <w:tcPr>
            <w:tcW w:w="1559" w:type="dxa"/>
            <w:tcBorders>
              <w:top w:val="nil"/>
              <w:left w:val="nil"/>
              <w:bottom w:val="nil"/>
              <w:right w:val="nil"/>
            </w:tcBorders>
            <w:shd w:val="clear" w:color="auto" w:fill="auto"/>
            <w:vAlign w:val="center"/>
            <w:hideMark/>
          </w:tcPr>
          <w:p w14:paraId="4E61C89E" w14:textId="4BFFFF71" w:rsidR="00F56D39" w:rsidRPr="00005453" w:rsidRDefault="00F56D39" w:rsidP="00F56D39">
            <w:pPr>
              <w:jc w:val="right"/>
              <w:rPr>
                <w:sz w:val="18"/>
                <w:szCs w:val="18"/>
                <w:lang w:eastAsia="tr-TR"/>
              </w:rPr>
            </w:pPr>
            <w:r w:rsidRPr="00005453">
              <w:rPr>
                <w:sz w:val="18"/>
                <w:szCs w:val="18"/>
              </w:rPr>
              <w:t>1,151,796</w:t>
            </w:r>
          </w:p>
        </w:tc>
      </w:tr>
      <w:tr w:rsidR="00412107" w:rsidRPr="00005453" w14:paraId="63616246" w14:textId="77777777" w:rsidTr="00412107">
        <w:trPr>
          <w:divId w:val="1749157614"/>
          <w:trHeight w:val="219"/>
        </w:trPr>
        <w:tc>
          <w:tcPr>
            <w:tcW w:w="6237" w:type="dxa"/>
            <w:tcBorders>
              <w:top w:val="nil"/>
              <w:left w:val="nil"/>
              <w:bottom w:val="nil"/>
              <w:right w:val="nil"/>
            </w:tcBorders>
            <w:shd w:val="clear" w:color="auto" w:fill="auto"/>
            <w:vAlign w:val="center"/>
            <w:hideMark/>
          </w:tcPr>
          <w:p w14:paraId="568B2C10" w14:textId="77777777" w:rsidR="00412107" w:rsidRPr="00005453" w:rsidRDefault="00412107" w:rsidP="00412107">
            <w:pPr>
              <w:jc w:val="both"/>
              <w:rPr>
                <w:sz w:val="18"/>
                <w:szCs w:val="18"/>
                <w:lang w:eastAsia="tr-TR"/>
              </w:rPr>
            </w:pPr>
            <w:r w:rsidRPr="00005453">
              <w:rPr>
                <w:sz w:val="18"/>
                <w:szCs w:val="18"/>
                <w:lang w:eastAsia="tr-TR"/>
              </w:rPr>
              <w:t>Faktoring Şirketleri</w:t>
            </w:r>
          </w:p>
        </w:tc>
        <w:tc>
          <w:tcPr>
            <w:tcW w:w="1418" w:type="dxa"/>
            <w:tcBorders>
              <w:top w:val="nil"/>
              <w:left w:val="nil"/>
              <w:bottom w:val="nil"/>
              <w:right w:val="nil"/>
            </w:tcBorders>
            <w:shd w:val="clear" w:color="auto" w:fill="auto"/>
            <w:vAlign w:val="center"/>
            <w:hideMark/>
          </w:tcPr>
          <w:p w14:paraId="34265581" w14:textId="77777777" w:rsidR="00412107" w:rsidRPr="00005453" w:rsidRDefault="00412107" w:rsidP="00412107">
            <w:pPr>
              <w:jc w:val="right"/>
              <w:rPr>
                <w:sz w:val="18"/>
                <w:szCs w:val="18"/>
                <w:lang w:eastAsia="tr-TR"/>
              </w:rPr>
            </w:pPr>
            <w:r w:rsidRPr="00005453">
              <w:rPr>
                <w:sz w:val="18"/>
                <w:szCs w:val="18"/>
                <w:lang w:eastAsia="tr-TR"/>
              </w:rPr>
              <w:t>-</w:t>
            </w:r>
          </w:p>
        </w:tc>
        <w:tc>
          <w:tcPr>
            <w:tcW w:w="1559" w:type="dxa"/>
            <w:tcBorders>
              <w:top w:val="nil"/>
              <w:left w:val="nil"/>
              <w:bottom w:val="nil"/>
              <w:right w:val="nil"/>
            </w:tcBorders>
            <w:shd w:val="clear" w:color="auto" w:fill="auto"/>
            <w:vAlign w:val="center"/>
            <w:hideMark/>
          </w:tcPr>
          <w:p w14:paraId="3DAAFAB9" w14:textId="6FF1A523"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44C080EB" w14:textId="77777777" w:rsidTr="00412107">
        <w:trPr>
          <w:divId w:val="1749157614"/>
          <w:trHeight w:val="219"/>
        </w:trPr>
        <w:tc>
          <w:tcPr>
            <w:tcW w:w="6237" w:type="dxa"/>
            <w:tcBorders>
              <w:top w:val="nil"/>
              <w:left w:val="nil"/>
              <w:bottom w:val="nil"/>
              <w:right w:val="nil"/>
            </w:tcBorders>
            <w:shd w:val="clear" w:color="auto" w:fill="auto"/>
            <w:vAlign w:val="center"/>
            <w:hideMark/>
          </w:tcPr>
          <w:p w14:paraId="2A03F3D1" w14:textId="77777777" w:rsidR="00412107" w:rsidRPr="00005453" w:rsidRDefault="00412107" w:rsidP="00412107">
            <w:pPr>
              <w:jc w:val="both"/>
              <w:rPr>
                <w:sz w:val="18"/>
                <w:szCs w:val="18"/>
                <w:lang w:eastAsia="tr-TR"/>
              </w:rPr>
            </w:pPr>
            <w:r w:rsidRPr="00005453">
              <w:rPr>
                <w:sz w:val="18"/>
                <w:szCs w:val="18"/>
                <w:lang w:eastAsia="tr-TR"/>
              </w:rPr>
              <w:t>Leasing Şirketleri</w:t>
            </w:r>
          </w:p>
        </w:tc>
        <w:tc>
          <w:tcPr>
            <w:tcW w:w="1418" w:type="dxa"/>
            <w:tcBorders>
              <w:top w:val="nil"/>
              <w:left w:val="nil"/>
              <w:bottom w:val="nil"/>
              <w:right w:val="nil"/>
            </w:tcBorders>
            <w:shd w:val="clear" w:color="auto" w:fill="auto"/>
            <w:vAlign w:val="center"/>
            <w:hideMark/>
          </w:tcPr>
          <w:p w14:paraId="74AD7157" w14:textId="77777777" w:rsidR="00412107" w:rsidRPr="00005453" w:rsidRDefault="00412107" w:rsidP="00412107">
            <w:pPr>
              <w:jc w:val="right"/>
              <w:rPr>
                <w:sz w:val="18"/>
                <w:szCs w:val="18"/>
                <w:lang w:eastAsia="tr-TR"/>
              </w:rPr>
            </w:pPr>
            <w:r w:rsidRPr="00005453">
              <w:rPr>
                <w:sz w:val="18"/>
                <w:szCs w:val="18"/>
                <w:lang w:eastAsia="tr-TR"/>
              </w:rPr>
              <w:t>-</w:t>
            </w:r>
          </w:p>
        </w:tc>
        <w:tc>
          <w:tcPr>
            <w:tcW w:w="1559" w:type="dxa"/>
            <w:tcBorders>
              <w:top w:val="nil"/>
              <w:left w:val="nil"/>
              <w:bottom w:val="nil"/>
              <w:right w:val="nil"/>
            </w:tcBorders>
            <w:shd w:val="clear" w:color="auto" w:fill="auto"/>
            <w:vAlign w:val="center"/>
            <w:hideMark/>
          </w:tcPr>
          <w:p w14:paraId="3CE1FD55" w14:textId="0A9ED292"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31ED11D2" w14:textId="77777777" w:rsidTr="00412107">
        <w:trPr>
          <w:divId w:val="1749157614"/>
          <w:trHeight w:val="219"/>
        </w:trPr>
        <w:tc>
          <w:tcPr>
            <w:tcW w:w="6237" w:type="dxa"/>
            <w:tcBorders>
              <w:top w:val="nil"/>
              <w:left w:val="nil"/>
              <w:bottom w:val="nil"/>
              <w:right w:val="nil"/>
            </w:tcBorders>
            <w:shd w:val="clear" w:color="auto" w:fill="auto"/>
            <w:vAlign w:val="center"/>
            <w:hideMark/>
          </w:tcPr>
          <w:p w14:paraId="281E8573" w14:textId="77777777" w:rsidR="00412107" w:rsidRPr="00005453" w:rsidRDefault="00412107" w:rsidP="00412107">
            <w:pPr>
              <w:jc w:val="both"/>
              <w:rPr>
                <w:sz w:val="18"/>
                <w:szCs w:val="18"/>
                <w:lang w:eastAsia="tr-TR"/>
              </w:rPr>
            </w:pPr>
            <w:r w:rsidRPr="00005453">
              <w:rPr>
                <w:sz w:val="18"/>
                <w:szCs w:val="18"/>
                <w:lang w:eastAsia="tr-TR"/>
              </w:rPr>
              <w:t>Finansman Şirketleri</w:t>
            </w:r>
          </w:p>
        </w:tc>
        <w:tc>
          <w:tcPr>
            <w:tcW w:w="1418" w:type="dxa"/>
            <w:tcBorders>
              <w:top w:val="nil"/>
              <w:left w:val="nil"/>
              <w:bottom w:val="nil"/>
              <w:right w:val="nil"/>
            </w:tcBorders>
            <w:shd w:val="clear" w:color="auto" w:fill="auto"/>
            <w:vAlign w:val="center"/>
            <w:hideMark/>
          </w:tcPr>
          <w:p w14:paraId="35F24A98" w14:textId="77777777" w:rsidR="00412107" w:rsidRPr="00005453" w:rsidRDefault="00412107" w:rsidP="00412107">
            <w:pPr>
              <w:jc w:val="right"/>
              <w:rPr>
                <w:sz w:val="18"/>
                <w:szCs w:val="18"/>
                <w:lang w:eastAsia="tr-TR"/>
              </w:rPr>
            </w:pPr>
            <w:r w:rsidRPr="00005453">
              <w:rPr>
                <w:sz w:val="18"/>
                <w:szCs w:val="18"/>
                <w:lang w:eastAsia="tr-TR"/>
              </w:rPr>
              <w:t>-</w:t>
            </w:r>
          </w:p>
        </w:tc>
        <w:tc>
          <w:tcPr>
            <w:tcW w:w="1559" w:type="dxa"/>
            <w:tcBorders>
              <w:top w:val="nil"/>
              <w:left w:val="nil"/>
              <w:bottom w:val="nil"/>
              <w:right w:val="nil"/>
            </w:tcBorders>
            <w:shd w:val="clear" w:color="auto" w:fill="auto"/>
            <w:vAlign w:val="center"/>
            <w:hideMark/>
          </w:tcPr>
          <w:p w14:paraId="2B247D71" w14:textId="5E0663E4"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4BA793DA" w14:textId="77777777" w:rsidTr="00412107">
        <w:trPr>
          <w:divId w:val="1749157614"/>
          <w:trHeight w:val="232"/>
        </w:trPr>
        <w:tc>
          <w:tcPr>
            <w:tcW w:w="6237" w:type="dxa"/>
            <w:tcBorders>
              <w:top w:val="nil"/>
              <w:left w:val="nil"/>
              <w:bottom w:val="single" w:sz="8" w:space="0" w:color="auto"/>
              <w:right w:val="nil"/>
            </w:tcBorders>
            <w:shd w:val="clear" w:color="auto" w:fill="auto"/>
            <w:vAlign w:val="center"/>
            <w:hideMark/>
          </w:tcPr>
          <w:p w14:paraId="6ED180D9" w14:textId="77777777" w:rsidR="00412107" w:rsidRPr="00005453" w:rsidRDefault="00412107" w:rsidP="00412107">
            <w:pPr>
              <w:jc w:val="both"/>
              <w:rPr>
                <w:sz w:val="18"/>
                <w:szCs w:val="18"/>
                <w:lang w:eastAsia="tr-TR"/>
              </w:rPr>
            </w:pPr>
            <w:r w:rsidRPr="00005453">
              <w:rPr>
                <w:sz w:val="18"/>
                <w:szCs w:val="18"/>
                <w:lang w:eastAsia="tr-TR"/>
              </w:rPr>
              <w:t>Diğer Bağlı Ortaklıklar</w:t>
            </w:r>
          </w:p>
        </w:tc>
        <w:tc>
          <w:tcPr>
            <w:tcW w:w="1418" w:type="dxa"/>
            <w:tcBorders>
              <w:top w:val="nil"/>
              <w:left w:val="nil"/>
              <w:bottom w:val="single" w:sz="8" w:space="0" w:color="auto"/>
              <w:right w:val="nil"/>
            </w:tcBorders>
            <w:shd w:val="clear" w:color="auto" w:fill="auto"/>
            <w:vAlign w:val="center"/>
            <w:hideMark/>
          </w:tcPr>
          <w:p w14:paraId="764903AF" w14:textId="375B660B" w:rsidR="00412107" w:rsidRPr="00005453" w:rsidRDefault="00F56D39" w:rsidP="00412107">
            <w:pPr>
              <w:jc w:val="right"/>
              <w:rPr>
                <w:sz w:val="18"/>
                <w:szCs w:val="18"/>
                <w:lang w:eastAsia="tr-TR"/>
              </w:rPr>
            </w:pPr>
            <w:r w:rsidRPr="00005453">
              <w:rPr>
                <w:sz w:val="18"/>
                <w:szCs w:val="18"/>
                <w:lang w:eastAsia="tr-TR"/>
              </w:rPr>
              <w:t>754</w:t>
            </w:r>
            <w:r w:rsidR="00412107" w:rsidRPr="00005453">
              <w:rPr>
                <w:sz w:val="18"/>
                <w:szCs w:val="18"/>
                <w:lang w:eastAsia="tr-TR"/>
              </w:rPr>
              <w:t>,</w:t>
            </w:r>
            <w:r w:rsidRPr="00005453">
              <w:rPr>
                <w:sz w:val="18"/>
                <w:szCs w:val="18"/>
                <w:lang w:eastAsia="tr-TR"/>
              </w:rPr>
              <w:t>706</w:t>
            </w:r>
          </w:p>
        </w:tc>
        <w:tc>
          <w:tcPr>
            <w:tcW w:w="1559" w:type="dxa"/>
            <w:tcBorders>
              <w:top w:val="nil"/>
              <w:left w:val="nil"/>
              <w:bottom w:val="single" w:sz="8" w:space="0" w:color="auto"/>
              <w:right w:val="nil"/>
            </w:tcBorders>
            <w:shd w:val="clear" w:color="auto" w:fill="auto"/>
            <w:vAlign w:val="center"/>
            <w:hideMark/>
          </w:tcPr>
          <w:p w14:paraId="6A1F3E58" w14:textId="5FFE5D7C" w:rsidR="00412107" w:rsidRPr="00005453" w:rsidRDefault="00412107" w:rsidP="00412107">
            <w:pPr>
              <w:jc w:val="right"/>
              <w:rPr>
                <w:sz w:val="18"/>
                <w:szCs w:val="18"/>
                <w:lang w:eastAsia="tr-TR"/>
              </w:rPr>
            </w:pPr>
            <w:r w:rsidRPr="00005453">
              <w:rPr>
                <w:sz w:val="18"/>
                <w:szCs w:val="18"/>
                <w:lang w:eastAsia="tr-TR"/>
              </w:rPr>
              <w:t>325,419</w:t>
            </w:r>
          </w:p>
        </w:tc>
      </w:tr>
      <w:tr w:rsidR="00412107" w:rsidRPr="00005453" w14:paraId="7E4D4D7D" w14:textId="77777777" w:rsidTr="00412107">
        <w:trPr>
          <w:divId w:val="1749157614"/>
          <w:trHeight w:val="232"/>
        </w:trPr>
        <w:tc>
          <w:tcPr>
            <w:tcW w:w="6237" w:type="dxa"/>
            <w:tcBorders>
              <w:top w:val="single" w:sz="8" w:space="0" w:color="auto"/>
              <w:left w:val="nil"/>
              <w:bottom w:val="single" w:sz="8" w:space="0" w:color="auto"/>
              <w:right w:val="nil"/>
            </w:tcBorders>
            <w:shd w:val="clear" w:color="auto" w:fill="auto"/>
            <w:vAlign w:val="center"/>
            <w:hideMark/>
          </w:tcPr>
          <w:p w14:paraId="76E002E2" w14:textId="77777777" w:rsidR="00412107" w:rsidRPr="00005453" w:rsidRDefault="00412107" w:rsidP="00412107">
            <w:pPr>
              <w:jc w:val="both"/>
              <w:rPr>
                <w:b/>
                <w:bCs/>
                <w:sz w:val="18"/>
                <w:szCs w:val="18"/>
                <w:lang w:eastAsia="tr-TR"/>
              </w:rPr>
            </w:pPr>
            <w:r w:rsidRPr="00005453">
              <w:rPr>
                <w:b/>
                <w:bCs/>
                <w:sz w:val="18"/>
                <w:szCs w:val="18"/>
                <w:lang w:eastAsia="tr-TR"/>
              </w:rPr>
              <w:t>Toplam</w:t>
            </w:r>
          </w:p>
        </w:tc>
        <w:tc>
          <w:tcPr>
            <w:tcW w:w="1418" w:type="dxa"/>
            <w:tcBorders>
              <w:top w:val="single" w:sz="8" w:space="0" w:color="auto"/>
              <w:left w:val="nil"/>
              <w:bottom w:val="single" w:sz="8" w:space="0" w:color="auto"/>
              <w:right w:val="nil"/>
            </w:tcBorders>
            <w:shd w:val="clear" w:color="auto" w:fill="auto"/>
            <w:vAlign w:val="center"/>
            <w:hideMark/>
          </w:tcPr>
          <w:p w14:paraId="0ADB9F80" w14:textId="7734298C" w:rsidR="00412107" w:rsidRPr="00005453" w:rsidRDefault="00412107" w:rsidP="00412107">
            <w:pPr>
              <w:jc w:val="right"/>
              <w:rPr>
                <w:b/>
                <w:bCs/>
                <w:sz w:val="18"/>
                <w:szCs w:val="18"/>
                <w:lang w:eastAsia="tr-TR"/>
              </w:rPr>
            </w:pPr>
            <w:r w:rsidRPr="00005453">
              <w:rPr>
                <w:b/>
                <w:bCs/>
                <w:sz w:val="18"/>
                <w:szCs w:val="18"/>
                <w:lang w:eastAsia="tr-TR"/>
              </w:rPr>
              <w:t>3,</w:t>
            </w:r>
            <w:r w:rsidR="00F56D39" w:rsidRPr="00005453">
              <w:rPr>
                <w:b/>
                <w:bCs/>
                <w:sz w:val="18"/>
                <w:szCs w:val="18"/>
                <w:lang w:eastAsia="tr-TR"/>
              </w:rPr>
              <w:t>998</w:t>
            </w:r>
            <w:r w:rsidRPr="00005453">
              <w:rPr>
                <w:b/>
                <w:bCs/>
                <w:sz w:val="18"/>
                <w:szCs w:val="18"/>
                <w:lang w:eastAsia="tr-TR"/>
              </w:rPr>
              <w:t>,</w:t>
            </w:r>
            <w:r w:rsidR="00F56D39" w:rsidRPr="00005453">
              <w:rPr>
                <w:b/>
                <w:bCs/>
                <w:sz w:val="18"/>
                <w:szCs w:val="18"/>
                <w:lang w:eastAsia="tr-TR"/>
              </w:rPr>
              <w:t>532</w:t>
            </w:r>
          </w:p>
        </w:tc>
        <w:tc>
          <w:tcPr>
            <w:tcW w:w="1559" w:type="dxa"/>
            <w:tcBorders>
              <w:top w:val="single" w:sz="8" w:space="0" w:color="auto"/>
              <w:left w:val="nil"/>
              <w:bottom w:val="single" w:sz="8" w:space="0" w:color="auto"/>
              <w:right w:val="nil"/>
            </w:tcBorders>
            <w:shd w:val="clear" w:color="auto" w:fill="auto"/>
            <w:vAlign w:val="center"/>
            <w:hideMark/>
          </w:tcPr>
          <w:p w14:paraId="2682ADAB" w14:textId="301C454C" w:rsidR="00412107" w:rsidRPr="00005453" w:rsidRDefault="00412107" w:rsidP="00412107">
            <w:pPr>
              <w:jc w:val="right"/>
              <w:rPr>
                <w:b/>
                <w:bCs/>
                <w:sz w:val="18"/>
                <w:szCs w:val="18"/>
                <w:lang w:eastAsia="tr-TR"/>
              </w:rPr>
            </w:pPr>
            <w:r w:rsidRPr="00005453">
              <w:rPr>
                <w:b/>
                <w:bCs/>
                <w:sz w:val="18"/>
                <w:szCs w:val="18"/>
                <w:lang w:eastAsia="tr-TR"/>
              </w:rPr>
              <w:t>3,069,245</w:t>
            </w:r>
          </w:p>
        </w:tc>
      </w:tr>
    </w:tbl>
    <w:p w14:paraId="22F75D43" w14:textId="77777777" w:rsidR="007E6597" w:rsidRPr="004E7AE2" w:rsidRDefault="007E6597" w:rsidP="003F30A2">
      <w:pPr>
        <w:rPr>
          <w:bCs/>
          <w:sz w:val="10"/>
        </w:rPr>
      </w:pPr>
    </w:p>
    <w:p w14:paraId="01E9E9AE" w14:textId="7ABC4030" w:rsidR="003F30A2" w:rsidRPr="00005453" w:rsidRDefault="003F30A2" w:rsidP="003F30A2">
      <w:pPr>
        <w:rPr>
          <w:bCs/>
        </w:rPr>
      </w:pPr>
      <w:r w:rsidRPr="00005453">
        <w:rPr>
          <w:bCs/>
        </w:rPr>
        <w:t>Borsaya kote olan konsolide edilen bağlı ortaklıklar</w:t>
      </w:r>
    </w:p>
    <w:p w14:paraId="682ED157" w14:textId="09B91638" w:rsidR="00117483" w:rsidRPr="00005453" w:rsidRDefault="00117483" w:rsidP="00117483">
      <w:pPr>
        <w:tabs>
          <w:tab w:val="left" w:pos="709"/>
        </w:tabs>
        <w:rPr>
          <w:sz w:val="10"/>
          <w:lang w:val="de-DE" w:eastAsia="en-GB"/>
        </w:rPr>
      </w:pPr>
    </w:p>
    <w:tbl>
      <w:tblPr>
        <w:tblW w:w="9197" w:type="dxa"/>
        <w:tblCellMar>
          <w:left w:w="70" w:type="dxa"/>
          <w:right w:w="70" w:type="dxa"/>
        </w:tblCellMar>
        <w:tblLook w:val="04A0" w:firstRow="1" w:lastRow="0" w:firstColumn="1" w:lastColumn="0" w:noHBand="0" w:noVBand="1"/>
      </w:tblPr>
      <w:tblGrid>
        <w:gridCol w:w="6379"/>
        <w:gridCol w:w="1292"/>
        <w:gridCol w:w="1526"/>
      </w:tblGrid>
      <w:tr w:rsidR="00117483" w:rsidRPr="00005453" w14:paraId="0B603FE2" w14:textId="77777777" w:rsidTr="00346550">
        <w:trPr>
          <w:divId w:val="1563059676"/>
          <w:trHeight w:val="276"/>
        </w:trPr>
        <w:tc>
          <w:tcPr>
            <w:tcW w:w="6379" w:type="dxa"/>
            <w:tcBorders>
              <w:top w:val="double" w:sz="6" w:space="0" w:color="auto"/>
              <w:left w:val="nil"/>
              <w:bottom w:val="single" w:sz="8" w:space="0" w:color="auto"/>
              <w:right w:val="nil"/>
            </w:tcBorders>
            <w:shd w:val="clear" w:color="auto" w:fill="auto"/>
            <w:vAlign w:val="center"/>
            <w:hideMark/>
          </w:tcPr>
          <w:p w14:paraId="47652F31" w14:textId="7FBBF18E" w:rsidR="00117483" w:rsidRPr="00005453" w:rsidRDefault="00117483" w:rsidP="00117483">
            <w:pPr>
              <w:jc w:val="both"/>
              <w:rPr>
                <w:b/>
                <w:bCs/>
                <w:sz w:val="18"/>
                <w:szCs w:val="18"/>
                <w:lang w:eastAsia="tr-TR"/>
              </w:rPr>
            </w:pPr>
            <w:r w:rsidRPr="00005453">
              <w:rPr>
                <w:b/>
                <w:bCs/>
                <w:sz w:val="18"/>
                <w:szCs w:val="18"/>
                <w:lang w:eastAsia="tr-TR"/>
              </w:rPr>
              <w:t> </w:t>
            </w:r>
          </w:p>
        </w:tc>
        <w:tc>
          <w:tcPr>
            <w:tcW w:w="1292" w:type="dxa"/>
            <w:tcBorders>
              <w:top w:val="double" w:sz="6" w:space="0" w:color="auto"/>
              <w:left w:val="nil"/>
              <w:bottom w:val="single" w:sz="8" w:space="0" w:color="auto"/>
              <w:right w:val="nil"/>
            </w:tcBorders>
            <w:shd w:val="clear" w:color="auto" w:fill="auto"/>
            <w:vAlign w:val="center"/>
            <w:hideMark/>
          </w:tcPr>
          <w:p w14:paraId="0FD032A9" w14:textId="77777777" w:rsidR="00117483" w:rsidRPr="00005453" w:rsidRDefault="00117483" w:rsidP="00117483">
            <w:pPr>
              <w:jc w:val="right"/>
              <w:rPr>
                <w:b/>
                <w:bCs/>
                <w:sz w:val="18"/>
                <w:szCs w:val="18"/>
                <w:lang w:eastAsia="tr-TR"/>
              </w:rPr>
            </w:pPr>
            <w:r w:rsidRPr="00005453">
              <w:rPr>
                <w:b/>
                <w:bCs/>
                <w:sz w:val="18"/>
                <w:szCs w:val="18"/>
                <w:lang w:eastAsia="tr-TR"/>
              </w:rPr>
              <w:t>Cari Dönem</w:t>
            </w:r>
          </w:p>
        </w:tc>
        <w:tc>
          <w:tcPr>
            <w:tcW w:w="1526" w:type="dxa"/>
            <w:tcBorders>
              <w:top w:val="double" w:sz="6" w:space="0" w:color="auto"/>
              <w:left w:val="nil"/>
              <w:bottom w:val="single" w:sz="8" w:space="0" w:color="auto"/>
              <w:right w:val="nil"/>
            </w:tcBorders>
            <w:shd w:val="clear" w:color="auto" w:fill="auto"/>
            <w:vAlign w:val="center"/>
            <w:hideMark/>
          </w:tcPr>
          <w:p w14:paraId="4134384A" w14:textId="77777777" w:rsidR="00117483" w:rsidRPr="00005453" w:rsidRDefault="00117483" w:rsidP="00117483">
            <w:pPr>
              <w:jc w:val="right"/>
              <w:rPr>
                <w:b/>
                <w:bCs/>
                <w:sz w:val="18"/>
                <w:szCs w:val="18"/>
                <w:lang w:eastAsia="tr-TR"/>
              </w:rPr>
            </w:pPr>
            <w:r w:rsidRPr="00005453">
              <w:rPr>
                <w:b/>
                <w:bCs/>
                <w:sz w:val="18"/>
                <w:szCs w:val="18"/>
                <w:lang w:eastAsia="tr-TR"/>
              </w:rPr>
              <w:t>Önceki Dönem</w:t>
            </w:r>
          </w:p>
        </w:tc>
      </w:tr>
      <w:tr w:rsidR="00412107" w:rsidRPr="00005453" w14:paraId="64AED731" w14:textId="77777777" w:rsidTr="00346550">
        <w:trPr>
          <w:divId w:val="1563059676"/>
          <w:trHeight w:val="200"/>
        </w:trPr>
        <w:tc>
          <w:tcPr>
            <w:tcW w:w="6379" w:type="dxa"/>
            <w:tcBorders>
              <w:top w:val="nil"/>
              <w:left w:val="nil"/>
              <w:bottom w:val="nil"/>
              <w:right w:val="nil"/>
            </w:tcBorders>
            <w:shd w:val="clear" w:color="auto" w:fill="auto"/>
            <w:noWrap/>
            <w:vAlign w:val="center"/>
            <w:hideMark/>
          </w:tcPr>
          <w:p w14:paraId="067F8225" w14:textId="2F6EDA96" w:rsidR="00412107" w:rsidRPr="00005453" w:rsidRDefault="00412107" w:rsidP="00412107">
            <w:pPr>
              <w:rPr>
                <w:sz w:val="18"/>
                <w:szCs w:val="18"/>
                <w:lang w:eastAsia="tr-TR"/>
              </w:rPr>
            </w:pPr>
            <w:r w:rsidRPr="00005453">
              <w:rPr>
                <w:iCs/>
                <w:sz w:val="18"/>
                <w:szCs w:val="18"/>
                <w:lang w:eastAsia="tr-TR"/>
              </w:rPr>
              <w:t xml:space="preserve">Yurt içi </w:t>
            </w:r>
            <w:r w:rsidRPr="00005453">
              <w:rPr>
                <w:sz w:val="18"/>
                <w:szCs w:val="18"/>
                <w:lang w:eastAsia="tr-TR"/>
              </w:rPr>
              <w:t>Borsalara Kote Edilenler</w:t>
            </w:r>
          </w:p>
        </w:tc>
        <w:tc>
          <w:tcPr>
            <w:tcW w:w="1292" w:type="dxa"/>
            <w:tcBorders>
              <w:top w:val="nil"/>
              <w:left w:val="nil"/>
              <w:bottom w:val="nil"/>
              <w:right w:val="nil"/>
            </w:tcBorders>
            <w:shd w:val="clear" w:color="auto" w:fill="auto"/>
            <w:vAlign w:val="center"/>
            <w:hideMark/>
          </w:tcPr>
          <w:p w14:paraId="64B06C07" w14:textId="5F8EBDBB" w:rsidR="00412107" w:rsidRPr="00005453" w:rsidRDefault="00412107" w:rsidP="00412107">
            <w:pPr>
              <w:jc w:val="right"/>
              <w:rPr>
                <w:sz w:val="18"/>
                <w:szCs w:val="18"/>
                <w:lang w:eastAsia="tr-TR"/>
              </w:rPr>
            </w:pPr>
            <w:r w:rsidRPr="00005453">
              <w:rPr>
                <w:sz w:val="18"/>
                <w:szCs w:val="18"/>
                <w:lang w:eastAsia="tr-TR"/>
              </w:rPr>
              <w:t>5</w:t>
            </w:r>
            <w:r w:rsidR="00F56D39" w:rsidRPr="00005453">
              <w:rPr>
                <w:sz w:val="18"/>
                <w:szCs w:val="18"/>
                <w:lang w:eastAsia="tr-TR"/>
              </w:rPr>
              <w:t>2</w:t>
            </w:r>
            <w:r w:rsidRPr="00005453">
              <w:rPr>
                <w:sz w:val="18"/>
                <w:szCs w:val="18"/>
                <w:lang w:eastAsia="tr-TR"/>
              </w:rPr>
              <w:t>,</w:t>
            </w:r>
            <w:r w:rsidR="00F56D39" w:rsidRPr="00005453">
              <w:rPr>
                <w:sz w:val="18"/>
                <w:szCs w:val="18"/>
                <w:lang w:eastAsia="tr-TR"/>
              </w:rPr>
              <w:t>706</w:t>
            </w:r>
          </w:p>
        </w:tc>
        <w:tc>
          <w:tcPr>
            <w:tcW w:w="1526" w:type="dxa"/>
            <w:tcBorders>
              <w:top w:val="nil"/>
              <w:left w:val="nil"/>
              <w:bottom w:val="nil"/>
              <w:right w:val="nil"/>
            </w:tcBorders>
            <w:shd w:val="clear" w:color="auto" w:fill="auto"/>
            <w:vAlign w:val="center"/>
            <w:hideMark/>
          </w:tcPr>
          <w:p w14:paraId="5F2D3749" w14:textId="39412403" w:rsidR="00412107" w:rsidRPr="00005453" w:rsidRDefault="00412107" w:rsidP="00412107">
            <w:pPr>
              <w:jc w:val="right"/>
              <w:rPr>
                <w:sz w:val="18"/>
                <w:szCs w:val="18"/>
                <w:lang w:eastAsia="tr-TR"/>
              </w:rPr>
            </w:pPr>
            <w:r w:rsidRPr="00005453">
              <w:rPr>
                <w:sz w:val="18"/>
                <w:szCs w:val="18"/>
                <w:lang w:eastAsia="tr-TR"/>
              </w:rPr>
              <w:t>53,418</w:t>
            </w:r>
          </w:p>
        </w:tc>
      </w:tr>
      <w:tr w:rsidR="00412107" w:rsidRPr="00005453" w14:paraId="4773ACC7" w14:textId="77777777" w:rsidTr="00DB63BA">
        <w:trPr>
          <w:divId w:val="1563059676"/>
          <w:trHeight w:val="200"/>
        </w:trPr>
        <w:tc>
          <w:tcPr>
            <w:tcW w:w="6379" w:type="dxa"/>
            <w:tcBorders>
              <w:top w:val="nil"/>
              <w:left w:val="nil"/>
              <w:bottom w:val="single" w:sz="8" w:space="0" w:color="auto"/>
              <w:right w:val="nil"/>
            </w:tcBorders>
            <w:shd w:val="clear" w:color="auto" w:fill="auto"/>
            <w:noWrap/>
            <w:vAlign w:val="center"/>
            <w:hideMark/>
          </w:tcPr>
          <w:p w14:paraId="22824D51" w14:textId="479DB448" w:rsidR="00412107" w:rsidRPr="00005453" w:rsidRDefault="00412107" w:rsidP="00412107">
            <w:pPr>
              <w:rPr>
                <w:sz w:val="18"/>
                <w:szCs w:val="18"/>
                <w:lang w:eastAsia="tr-TR"/>
              </w:rPr>
            </w:pPr>
            <w:r w:rsidRPr="00005453">
              <w:rPr>
                <w:iCs/>
                <w:sz w:val="18"/>
                <w:szCs w:val="18"/>
                <w:lang w:eastAsia="tr-TR"/>
              </w:rPr>
              <w:t>Yurt dışı Borsalara Kote Edilenler</w:t>
            </w:r>
          </w:p>
        </w:tc>
        <w:tc>
          <w:tcPr>
            <w:tcW w:w="1292" w:type="dxa"/>
            <w:tcBorders>
              <w:top w:val="nil"/>
              <w:left w:val="nil"/>
              <w:bottom w:val="single" w:sz="8" w:space="0" w:color="auto"/>
              <w:right w:val="nil"/>
            </w:tcBorders>
            <w:shd w:val="clear" w:color="auto" w:fill="auto"/>
            <w:vAlign w:val="center"/>
            <w:hideMark/>
          </w:tcPr>
          <w:p w14:paraId="7BDCE015" w14:textId="77777777" w:rsidR="00412107" w:rsidRPr="00005453" w:rsidRDefault="00412107" w:rsidP="00412107">
            <w:pPr>
              <w:jc w:val="right"/>
              <w:rPr>
                <w:sz w:val="18"/>
                <w:szCs w:val="18"/>
                <w:lang w:eastAsia="tr-TR"/>
              </w:rPr>
            </w:pPr>
            <w:r w:rsidRPr="00005453">
              <w:rPr>
                <w:sz w:val="18"/>
                <w:szCs w:val="18"/>
                <w:lang w:eastAsia="tr-TR"/>
              </w:rPr>
              <w:t>-</w:t>
            </w:r>
          </w:p>
        </w:tc>
        <w:tc>
          <w:tcPr>
            <w:tcW w:w="1526" w:type="dxa"/>
            <w:tcBorders>
              <w:top w:val="nil"/>
              <w:left w:val="nil"/>
              <w:bottom w:val="single" w:sz="8" w:space="0" w:color="auto"/>
              <w:right w:val="nil"/>
            </w:tcBorders>
            <w:shd w:val="clear" w:color="auto" w:fill="auto"/>
            <w:vAlign w:val="center"/>
            <w:hideMark/>
          </w:tcPr>
          <w:p w14:paraId="638D86A7" w14:textId="515F4C9D" w:rsidR="00412107" w:rsidRPr="00005453" w:rsidRDefault="00412107" w:rsidP="00412107">
            <w:pPr>
              <w:jc w:val="right"/>
              <w:rPr>
                <w:sz w:val="18"/>
                <w:szCs w:val="18"/>
                <w:lang w:eastAsia="tr-TR"/>
              </w:rPr>
            </w:pPr>
            <w:r w:rsidRPr="00005453">
              <w:rPr>
                <w:sz w:val="18"/>
                <w:szCs w:val="18"/>
                <w:lang w:eastAsia="tr-TR"/>
              </w:rPr>
              <w:t>-</w:t>
            </w:r>
          </w:p>
        </w:tc>
      </w:tr>
      <w:tr w:rsidR="00412107" w:rsidRPr="00005453" w14:paraId="2B15D5E8" w14:textId="77777777" w:rsidTr="00DB63BA">
        <w:trPr>
          <w:divId w:val="1563059676"/>
          <w:trHeight w:val="213"/>
        </w:trPr>
        <w:tc>
          <w:tcPr>
            <w:tcW w:w="6379" w:type="dxa"/>
            <w:tcBorders>
              <w:top w:val="single" w:sz="8" w:space="0" w:color="auto"/>
              <w:left w:val="nil"/>
              <w:bottom w:val="single" w:sz="8" w:space="0" w:color="auto"/>
              <w:right w:val="nil"/>
            </w:tcBorders>
            <w:shd w:val="clear" w:color="auto" w:fill="auto"/>
            <w:vAlign w:val="center"/>
            <w:hideMark/>
          </w:tcPr>
          <w:p w14:paraId="3BB82EA7" w14:textId="77777777" w:rsidR="00412107" w:rsidRPr="00005453" w:rsidRDefault="00412107" w:rsidP="00412107">
            <w:pPr>
              <w:jc w:val="both"/>
              <w:rPr>
                <w:b/>
                <w:bCs/>
                <w:sz w:val="18"/>
                <w:szCs w:val="18"/>
                <w:lang w:eastAsia="tr-TR"/>
              </w:rPr>
            </w:pPr>
            <w:r w:rsidRPr="00005453">
              <w:rPr>
                <w:b/>
                <w:bCs/>
                <w:sz w:val="18"/>
                <w:szCs w:val="18"/>
                <w:lang w:eastAsia="tr-TR"/>
              </w:rPr>
              <w:t>Toplam</w:t>
            </w:r>
          </w:p>
        </w:tc>
        <w:tc>
          <w:tcPr>
            <w:tcW w:w="1292" w:type="dxa"/>
            <w:tcBorders>
              <w:top w:val="single" w:sz="8" w:space="0" w:color="auto"/>
              <w:left w:val="nil"/>
              <w:bottom w:val="single" w:sz="8" w:space="0" w:color="auto"/>
              <w:right w:val="nil"/>
            </w:tcBorders>
            <w:shd w:val="clear" w:color="auto" w:fill="auto"/>
            <w:vAlign w:val="center"/>
            <w:hideMark/>
          </w:tcPr>
          <w:p w14:paraId="23E286C6" w14:textId="1CA6168A" w:rsidR="00412107" w:rsidRPr="00005453" w:rsidRDefault="00412107" w:rsidP="00412107">
            <w:pPr>
              <w:jc w:val="right"/>
              <w:rPr>
                <w:b/>
                <w:bCs/>
                <w:sz w:val="18"/>
                <w:szCs w:val="18"/>
                <w:lang w:eastAsia="tr-TR"/>
              </w:rPr>
            </w:pPr>
            <w:r w:rsidRPr="00005453">
              <w:rPr>
                <w:b/>
                <w:bCs/>
                <w:sz w:val="18"/>
                <w:szCs w:val="18"/>
                <w:lang w:eastAsia="tr-TR"/>
              </w:rPr>
              <w:t>5</w:t>
            </w:r>
            <w:r w:rsidR="00F56D39" w:rsidRPr="00005453">
              <w:rPr>
                <w:b/>
                <w:bCs/>
                <w:sz w:val="18"/>
                <w:szCs w:val="18"/>
                <w:lang w:eastAsia="tr-TR"/>
              </w:rPr>
              <w:t>2</w:t>
            </w:r>
            <w:r w:rsidRPr="00005453">
              <w:rPr>
                <w:b/>
                <w:bCs/>
                <w:sz w:val="18"/>
                <w:szCs w:val="18"/>
                <w:lang w:eastAsia="tr-TR"/>
              </w:rPr>
              <w:t>,</w:t>
            </w:r>
            <w:r w:rsidR="00F56D39" w:rsidRPr="00005453">
              <w:rPr>
                <w:b/>
                <w:bCs/>
                <w:sz w:val="18"/>
                <w:szCs w:val="18"/>
                <w:lang w:eastAsia="tr-TR"/>
              </w:rPr>
              <w:t>706</w:t>
            </w:r>
          </w:p>
        </w:tc>
        <w:tc>
          <w:tcPr>
            <w:tcW w:w="1526" w:type="dxa"/>
            <w:tcBorders>
              <w:top w:val="single" w:sz="8" w:space="0" w:color="auto"/>
              <w:left w:val="nil"/>
              <w:bottom w:val="single" w:sz="8" w:space="0" w:color="auto"/>
              <w:right w:val="nil"/>
            </w:tcBorders>
            <w:shd w:val="clear" w:color="auto" w:fill="auto"/>
            <w:vAlign w:val="center"/>
            <w:hideMark/>
          </w:tcPr>
          <w:p w14:paraId="4459260F" w14:textId="5123A894" w:rsidR="00412107" w:rsidRPr="00005453" w:rsidRDefault="00412107" w:rsidP="00412107">
            <w:pPr>
              <w:jc w:val="right"/>
              <w:rPr>
                <w:b/>
                <w:bCs/>
                <w:sz w:val="18"/>
                <w:szCs w:val="18"/>
                <w:lang w:eastAsia="tr-TR"/>
              </w:rPr>
            </w:pPr>
            <w:r w:rsidRPr="00005453">
              <w:rPr>
                <w:b/>
                <w:bCs/>
                <w:sz w:val="18"/>
                <w:szCs w:val="18"/>
                <w:lang w:eastAsia="tr-TR"/>
              </w:rPr>
              <w:t>53,418</w:t>
            </w:r>
          </w:p>
        </w:tc>
      </w:tr>
    </w:tbl>
    <w:p w14:paraId="13517342" w14:textId="77777777" w:rsidR="0090684F" w:rsidRPr="004E7AE2" w:rsidRDefault="0090684F" w:rsidP="006F7EEC">
      <w:pPr>
        <w:tabs>
          <w:tab w:val="left" w:pos="709"/>
        </w:tabs>
        <w:ind w:hanging="567"/>
        <w:rPr>
          <w:b/>
          <w:iCs/>
          <w:sz w:val="12"/>
        </w:rPr>
      </w:pPr>
    </w:p>
    <w:p w14:paraId="4D0F6C95" w14:textId="744EEFC6" w:rsidR="00CD5FEF" w:rsidRPr="00005453" w:rsidRDefault="006F7EEC" w:rsidP="006F7EEC">
      <w:pPr>
        <w:tabs>
          <w:tab w:val="left" w:pos="709"/>
        </w:tabs>
        <w:ind w:hanging="567"/>
        <w:rPr>
          <w:iCs/>
        </w:rPr>
      </w:pPr>
      <w:r w:rsidRPr="00005453">
        <w:rPr>
          <w:b/>
          <w:iCs/>
        </w:rPr>
        <w:t>1.8.3</w:t>
      </w:r>
      <w:r w:rsidR="00CD5FEF" w:rsidRPr="00005453">
        <w:rPr>
          <w:iCs/>
        </w:rPr>
        <w:tab/>
      </w:r>
      <w:r w:rsidR="00CD797F" w:rsidRPr="00005453">
        <w:rPr>
          <w:iCs/>
        </w:rPr>
        <w:t>Önemli büyüklükteki bağlı ortaklıkların sermaye yeterlilik durumu</w:t>
      </w:r>
    </w:p>
    <w:p w14:paraId="63C56FA9" w14:textId="77777777" w:rsidR="00CD797F" w:rsidRPr="004E7AE2" w:rsidRDefault="00CD797F" w:rsidP="00CD5FEF">
      <w:pPr>
        <w:tabs>
          <w:tab w:val="left" w:pos="567"/>
        </w:tabs>
        <w:rPr>
          <w:iCs/>
          <w:sz w:val="10"/>
          <w:szCs w:val="16"/>
        </w:rPr>
      </w:pPr>
    </w:p>
    <w:p w14:paraId="285996F0" w14:textId="131AD412" w:rsidR="004A4715" w:rsidRPr="00005453" w:rsidRDefault="00231E24" w:rsidP="00C46728">
      <w:pPr>
        <w:autoSpaceDE w:val="0"/>
        <w:autoSpaceDN w:val="0"/>
        <w:adjustRightInd w:val="0"/>
        <w:jc w:val="both"/>
        <w:rPr>
          <w:rFonts w:eastAsia="Arial Unicode MS"/>
        </w:rPr>
      </w:pPr>
      <w:r w:rsidRPr="00005453">
        <w:rPr>
          <w:rFonts w:eastAsia="Arial Unicode MS"/>
        </w:rPr>
        <w:t xml:space="preserve">Banka’nın Almanya’da mukim bağlı ortaklığı KT Bank AG’nin </w:t>
      </w:r>
      <w:r w:rsidR="0057313A" w:rsidRPr="00005453">
        <w:rPr>
          <w:rFonts w:eastAsia="Arial Unicode MS"/>
        </w:rPr>
        <w:t>31 Aralık 20</w:t>
      </w:r>
      <w:r w:rsidR="00467F16" w:rsidRPr="00005453">
        <w:rPr>
          <w:rFonts w:eastAsia="Arial Unicode MS"/>
        </w:rPr>
        <w:t>2</w:t>
      </w:r>
      <w:r w:rsidR="00412107" w:rsidRPr="00005453">
        <w:rPr>
          <w:rFonts w:eastAsia="Arial Unicode MS"/>
        </w:rPr>
        <w:t>4</w:t>
      </w:r>
      <w:r w:rsidRPr="00005453">
        <w:rPr>
          <w:rFonts w:eastAsia="Arial Unicode MS"/>
        </w:rPr>
        <w:t xml:space="preserve"> </w:t>
      </w:r>
      <w:r w:rsidR="002C78B0" w:rsidRPr="00005453">
        <w:rPr>
          <w:rFonts w:eastAsia="Arial Unicode MS"/>
        </w:rPr>
        <w:t>itibarıyla</w:t>
      </w:r>
      <w:r w:rsidRPr="00005453">
        <w:rPr>
          <w:rFonts w:eastAsia="Arial Unicode MS"/>
        </w:rPr>
        <w:t xml:space="preserve"> hesaplanan özkaynak tutarı </w:t>
      </w:r>
      <w:r w:rsidR="00467F16" w:rsidRPr="00005453">
        <w:rPr>
          <w:rFonts w:eastAsia="Arial Unicode MS"/>
        </w:rPr>
        <w:t>1</w:t>
      </w:r>
      <w:r w:rsidR="008115A9" w:rsidRPr="00005453">
        <w:rPr>
          <w:rFonts w:eastAsia="Arial Unicode MS"/>
        </w:rPr>
        <w:t>59</w:t>
      </w:r>
      <w:r w:rsidR="0006009B" w:rsidRPr="00005453">
        <w:rPr>
          <w:rFonts w:eastAsia="Arial Unicode MS"/>
        </w:rPr>
        <w:t>,</w:t>
      </w:r>
      <w:r w:rsidR="008115A9" w:rsidRPr="00005453">
        <w:rPr>
          <w:rFonts w:eastAsia="Arial Unicode MS"/>
        </w:rPr>
        <w:t>110</w:t>
      </w:r>
      <w:r w:rsidR="0006009B" w:rsidRPr="00005453">
        <w:rPr>
          <w:rFonts w:eastAsia="Arial Unicode MS"/>
        </w:rPr>
        <w:t>,</w:t>
      </w:r>
      <w:r w:rsidR="008115A9" w:rsidRPr="00005453">
        <w:rPr>
          <w:rFonts w:eastAsia="Arial Unicode MS"/>
        </w:rPr>
        <w:t>961</w:t>
      </w:r>
      <w:r w:rsidRPr="00005453">
        <w:rPr>
          <w:rFonts w:eastAsia="Arial Unicode MS"/>
        </w:rPr>
        <w:t xml:space="preserve"> EUR</w:t>
      </w:r>
      <w:r w:rsidR="00345004" w:rsidRPr="00005453">
        <w:rPr>
          <w:rFonts w:eastAsia="Arial Unicode MS"/>
        </w:rPr>
        <w:t xml:space="preserve"> (tam </w:t>
      </w:r>
      <w:r w:rsidR="00911789" w:rsidRPr="00005453">
        <w:rPr>
          <w:rFonts w:eastAsia="Arial Unicode MS"/>
        </w:rPr>
        <w:t xml:space="preserve">EUR </w:t>
      </w:r>
      <w:r w:rsidR="00345004" w:rsidRPr="00005453">
        <w:rPr>
          <w:rFonts w:eastAsia="Arial Unicode MS"/>
        </w:rPr>
        <w:t>tutar</w:t>
      </w:r>
      <w:r w:rsidR="00911789" w:rsidRPr="00005453">
        <w:rPr>
          <w:rFonts w:eastAsia="Arial Unicode MS"/>
        </w:rPr>
        <w:t>dır</w:t>
      </w:r>
      <w:r w:rsidR="00345004" w:rsidRPr="00005453">
        <w:rPr>
          <w:rFonts w:eastAsia="Arial Unicode MS"/>
        </w:rPr>
        <w:t>)</w:t>
      </w:r>
      <w:r w:rsidRPr="00005453">
        <w:rPr>
          <w:rFonts w:eastAsia="Arial Unicode MS"/>
        </w:rPr>
        <w:t xml:space="preserve"> ve sermaye yeterlilik oranı </w:t>
      </w:r>
      <w:proofErr w:type="gramStart"/>
      <w:r w:rsidRPr="00005453">
        <w:rPr>
          <w:rFonts w:eastAsia="Arial Unicode MS"/>
        </w:rPr>
        <w:t>%</w:t>
      </w:r>
      <w:r w:rsidR="00AC7380" w:rsidRPr="00005453">
        <w:rPr>
          <w:rFonts w:eastAsia="Arial Unicode MS"/>
        </w:rPr>
        <w:t>2</w:t>
      </w:r>
      <w:r w:rsidR="008115A9" w:rsidRPr="00005453">
        <w:rPr>
          <w:rFonts w:eastAsia="Arial Unicode MS"/>
        </w:rPr>
        <w:t>5</w:t>
      </w:r>
      <w:r w:rsidRPr="00005453">
        <w:rPr>
          <w:rFonts w:eastAsia="Arial Unicode MS"/>
        </w:rPr>
        <w:t>.</w:t>
      </w:r>
      <w:r w:rsidR="008115A9" w:rsidRPr="00005453">
        <w:rPr>
          <w:rFonts w:eastAsia="Arial Unicode MS"/>
        </w:rPr>
        <w:t>8</w:t>
      </w:r>
      <w:proofErr w:type="gramEnd"/>
      <w:r w:rsidR="008E0FFB" w:rsidRPr="00005453">
        <w:rPr>
          <w:rFonts w:eastAsia="Arial Unicode MS"/>
        </w:rPr>
        <w:t>’</w:t>
      </w:r>
      <w:r w:rsidR="008115A9" w:rsidRPr="00005453">
        <w:rPr>
          <w:rFonts w:eastAsia="Arial Unicode MS"/>
        </w:rPr>
        <w:t>dir</w:t>
      </w:r>
      <w:r w:rsidRPr="00005453">
        <w:rPr>
          <w:rFonts w:eastAsia="Arial Unicode MS"/>
        </w:rPr>
        <w:t>.</w:t>
      </w:r>
    </w:p>
    <w:p w14:paraId="10004849" w14:textId="77777777" w:rsidR="004A4715" w:rsidRPr="004E7AE2" w:rsidRDefault="004A4715" w:rsidP="00CD5FEF">
      <w:pPr>
        <w:tabs>
          <w:tab w:val="left" w:pos="567"/>
        </w:tabs>
        <w:rPr>
          <w:iCs/>
          <w:sz w:val="10"/>
          <w:szCs w:val="16"/>
        </w:rPr>
      </w:pPr>
    </w:p>
    <w:p w14:paraId="75E1DCDA" w14:textId="569571C5" w:rsidR="00C4164E" w:rsidRPr="00005453" w:rsidRDefault="000C6E76" w:rsidP="001240D7">
      <w:pPr>
        <w:autoSpaceDE w:val="0"/>
        <w:autoSpaceDN w:val="0"/>
        <w:adjustRightInd w:val="0"/>
        <w:ind w:hanging="567"/>
        <w:rPr>
          <w:b/>
          <w:bCs/>
          <w:iCs/>
        </w:rPr>
      </w:pPr>
      <w:r w:rsidRPr="00005453">
        <w:rPr>
          <w:b/>
          <w:bCs/>
          <w:iCs/>
        </w:rPr>
        <w:t>1.9</w:t>
      </w:r>
      <w:r w:rsidRPr="00005453">
        <w:rPr>
          <w:b/>
          <w:bCs/>
          <w:iCs/>
        </w:rPr>
        <w:tab/>
      </w:r>
      <w:r w:rsidR="00E253C8" w:rsidRPr="00005453">
        <w:rPr>
          <w:b/>
          <w:bCs/>
          <w:iCs/>
        </w:rPr>
        <w:t>Birlikte kontrol edilen ortaklıklara (iş ortaklıklarına) ilişkin bilgiler (Net)</w:t>
      </w:r>
    </w:p>
    <w:p w14:paraId="4FC59551" w14:textId="46925CB6" w:rsidR="003F59B4" w:rsidRPr="004E7AE2" w:rsidRDefault="003F59B4" w:rsidP="003F59B4">
      <w:pPr>
        <w:spacing w:line="214" w:lineRule="auto"/>
        <w:ind w:right="-1"/>
        <w:rPr>
          <w:sz w:val="14"/>
          <w:lang w:val="de-DE" w:eastAsia="en-GB"/>
        </w:rPr>
      </w:pPr>
    </w:p>
    <w:tbl>
      <w:tblPr>
        <w:tblW w:w="9214" w:type="dxa"/>
        <w:tblLayout w:type="fixed"/>
        <w:tblCellMar>
          <w:left w:w="70" w:type="dxa"/>
          <w:right w:w="70" w:type="dxa"/>
        </w:tblCellMar>
        <w:tblLook w:val="04A0" w:firstRow="1" w:lastRow="0" w:firstColumn="1" w:lastColumn="0" w:noHBand="0" w:noVBand="1"/>
      </w:tblPr>
      <w:tblGrid>
        <w:gridCol w:w="2971"/>
        <w:gridCol w:w="1135"/>
        <w:gridCol w:w="1174"/>
        <w:gridCol w:w="931"/>
        <w:gridCol w:w="925"/>
        <w:gridCol w:w="1076"/>
        <w:gridCol w:w="1002"/>
      </w:tblGrid>
      <w:tr w:rsidR="003F59B4" w:rsidRPr="00005453" w14:paraId="7D940672" w14:textId="77777777" w:rsidTr="00614CD2">
        <w:trPr>
          <w:divId w:val="1984655372"/>
          <w:trHeight w:val="489"/>
        </w:trPr>
        <w:tc>
          <w:tcPr>
            <w:tcW w:w="2971" w:type="dxa"/>
            <w:tcBorders>
              <w:top w:val="double" w:sz="6" w:space="0" w:color="auto"/>
              <w:left w:val="nil"/>
              <w:right w:val="nil"/>
            </w:tcBorders>
            <w:shd w:val="clear" w:color="auto" w:fill="auto"/>
            <w:vAlign w:val="center"/>
            <w:hideMark/>
          </w:tcPr>
          <w:p w14:paraId="1EB5CB9A" w14:textId="2C443582" w:rsidR="003F59B4" w:rsidRPr="00005453" w:rsidRDefault="003F59B4" w:rsidP="003F59B4">
            <w:pPr>
              <w:jc w:val="both"/>
              <w:rPr>
                <w:b/>
                <w:bCs/>
                <w:sz w:val="18"/>
                <w:szCs w:val="18"/>
                <w:lang w:eastAsia="tr-TR"/>
              </w:rPr>
            </w:pPr>
            <w:r w:rsidRPr="00005453">
              <w:rPr>
                <w:b/>
                <w:bCs/>
                <w:sz w:val="18"/>
                <w:szCs w:val="18"/>
                <w:lang w:eastAsia="tr-TR"/>
              </w:rPr>
              <w:t> </w:t>
            </w:r>
          </w:p>
        </w:tc>
        <w:tc>
          <w:tcPr>
            <w:tcW w:w="1135" w:type="dxa"/>
            <w:tcBorders>
              <w:top w:val="double" w:sz="6" w:space="0" w:color="auto"/>
              <w:left w:val="nil"/>
              <w:right w:val="nil"/>
            </w:tcBorders>
            <w:shd w:val="clear" w:color="auto" w:fill="auto"/>
            <w:vAlign w:val="center"/>
            <w:hideMark/>
          </w:tcPr>
          <w:p w14:paraId="3F5094CF" w14:textId="77777777" w:rsidR="003F59B4" w:rsidRPr="00005453" w:rsidRDefault="003F59B4" w:rsidP="00614CD2">
            <w:pPr>
              <w:jc w:val="right"/>
              <w:rPr>
                <w:b/>
                <w:bCs/>
                <w:sz w:val="18"/>
                <w:szCs w:val="18"/>
                <w:lang w:eastAsia="tr-TR"/>
              </w:rPr>
            </w:pPr>
            <w:r w:rsidRPr="00005453">
              <w:rPr>
                <w:b/>
                <w:bCs/>
                <w:sz w:val="18"/>
                <w:szCs w:val="18"/>
                <w:lang w:eastAsia="tr-TR"/>
              </w:rPr>
              <w:t>Banka'nın payı</w:t>
            </w:r>
          </w:p>
        </w:tc>
        <w:tc>
          <w:tcPr>
            <w:tcW w:w="1174" w:type="dxa"/>
            <w:tcBorders>
              <w:top w:val="double" w:sz="6" w:space="0" w:color="auto"/>
              <w:left w:val="nil"/>
              <w:right w:val="nil"/>
            </w:tcBorders>
            <w:shd w:val="clear" w:color="auto" w:fill="auto"/>
            <w:vAlign w:val="center"/>
            <w:hideMark/>
          </w:tcPr>
          <w:p w14:paraId="11699614" w14:textId="77777777" w:rsidR="003F59B4" w:rsidRPr="00005453" w:rsidRDefault="003F59B4" w:rsidP="00614CD2">
            <w:pPr>
              <w:jc w:val="right"/>
              <w:rPr>
                <w:b/>
                <w:bCs/>
                <w:sz w:val="18"/>
                <w:szCs w:val="18"/>
                <w:lang w:eastAsia="tr-TR"/>
              </w:rPr>
            </w:pPr>
            <w:r w:rsidRPr="00005453">
              <w:rPr>
                <w:b/>
                <w:bCs/>
                <w:sz w:val="18"/>
                <w:szCs w:val="18"/>
                <w:lang w:eastAsia="tr-TR"/>
              </w:rPr>
              <w:t>Aktif toplamı</w:t>
            </w:r>
          </w:p>
        </w:tc>
        <w:tc>
          <w:tcPr>
            <w:tcW w:w="931" w:type="dxa"/>
            <w:tcBorders>
              <w:top w:val="double" w:sz="6" w:space="0" w:color="auto"/>
              <w:left w:val="nil"/>
              <w:right w:val="nil"/>
            </w:tcBorders>
            <w:shd w:val="clear" w:color="auto" w:fill="auto"/>
            <w:vAlign w:val="center"/>
            <w:hideMark/>
          </w:tcPr>
          <w:p w14:paraId="1AAF3EAE" w14:textId="77777777" w:rsidR="003F59B4" w:rsidRPr="00005453" w:rsidRDefault="003F59B4" w:rsidP="00614CD2">
            <w:pPr>
              <w:jc w:val="right"/>
              <w:rPr>
                <w:b/>
                <w:bCs/>
                <w:sz w:val="18"/>
                <w:szCs w:val="18"/>
                <w:lang w:eastAsia="tr-TR"/>
              </w:rPr>
            </w:pPr>
            <w:r w:rsidRPr="00005453">
              <w:rPr>
                <w:b/>
                <w:bCs/>
                <w:sz w:val="18"/>
                <w:szCs w:val="18"/>
                <w:lang w:eastAsia="tr-TR"/>
              </w:rPr>
              <w:t>Özkaynak</w:t>
            </w:r>
          </w:p>
        </w:tc>
        <w:tc>
          <w:tcPr>
            <w:tcW w:w="925" w:type="dxa"/>
            <w:tcBorders>
              <w:top w:val="double" w:sz="6" w:space="0" w:color="auto"/>
              <w:left w:val="nil"/>
              <w:right w:val="nil"/>
            </w:tcBorders>
            <w:shd w:val="clear" w:color="auto" w:fill="auto"/>
            <w:vAlign w:val="center"/>
            <w:hideMark/>
          </w:tcPr>
          <w:p w14:paraId="500462A4" w14:textId="77777777" w:rsidR="003F59B4" w:rsidRPr="00005453" w:rsidRDefault="003F59B4" w:rsidP="00614CD2">
            <w:pPr>
              <w:jc w:val="right"/>
              <w:rPr>
                <w:b/>
                <w:bCs/>
                <w:sz w:val="18"/>
                <w:szCs w:val="18"/>
                <w:lang w:eastAsia="tr-TR"/>
              </w:rPr>
            </w:pPr>
            <w:r w:rsidRPr="00005453">
              <w:rPr>
                <w:b/>
                <w:bCs/>
                <w:sz w:val="18"/>
                <w:szCs w:val="18"/>
                <w:lang w:eastAsia="tr-TR"/>
              </w:rPr>
              <w:t>Sabit varlık toplamı</w:t>
            </w:r>
          </w:p>
        </w:tc>
        <w:tc>
          <w:tcPr>
            <w:tcW w:w="1076" w:type="dxa"/>
            <w:tcBorders>
              <w:top w:val="double" w:sz="6" w:space="0" w:color="auto"/>
              <w:left w:val="nil"/>
              <w:right w:val="nil"/>
            </w:tcBorders>
            <w:shd w:val="clear" w:color="auto" w:fill="auto"/>
            <w:vAlign w:val="center"/>
            <w:hideMark/>
          </w:tcPr>
          <w:p w14:paraId="534907B7" w14:textId="77777777" w:rsidR="003F59B4" w:rsidRPr="00005453" w:rsidRDefault="003F59B4" w:rsidP="00614CD2">
            <w:pPr>
              <w:jc w:val="right"/>
              <w:rPr>
                <w:b/>
                <w:bCs/>
                <w:sz w:val="18"/>
                <w:szCs w:val="18"/>
                <w:lang w:eastAsia="tr-TR"/>
              </w:rPr>
            </w:pPr>
            <w:r w:rsidRPr="00005453">
              <w:rPr>
                <w:b/>
                <w:bCs/>
                <w:sz w:val="18"/>
                <w:szCs w:val="18"/>
                <w:lang w:eastAsia="tr-TR"/>
              </w:rPr>
              <w:t>Cari dönem kar/zararı</w:t>
            </w:r>
          </w:p>
        </w:tc>
        <w:tc>
          <w:tcPr>
            <w:tcW w:w="1002" w:type="dxa"/>
            <w:tcBorders>
              <w:top w:val="double" w:sz="6" w:space="0" w:color="auto"/>
              <w:left w:val="nil"/>
              <w:right w:val="nil"/>
            </w:tcBorders>
            <w:shd w:val="clear" w:color="000000" w:fill="FFFFFF"/>
            <w:vAlign w:val="center"/>
            <w:hideMark/>
          </w:tcPr>
          <w:p w14:paraId="33B9E507" w14:textId="77777777" w:rsidR="003F59B4" w:rsidRPr="00005453" w:rsidRDefault="003F59B4" w:rsidP="00614CD2">
            <w:pPr>
              <w:jc w:val="right"/>
              <w:rPr>
                <w:b/>
                <w:bCs/>
                <w:sz w:val="18"/>
                <w:szCs w:val="18"/>
                <w:lang w:eastAsia="tr-TR"/>
              </w:rPr>
            </w:pPr>
            <w:r w:rsidRPr="00005453">
              <w:rPr>
                <w:b/>
                <w:bCs/>
                <w:sz w:val="18"/>
                <w:szCs w:val="18"/>
                <w:lang w:eastAsia="tr-TR"/>
              </w:rPr>
              <w:t>Önceki dönem kar/zararı</w:t>
            </w:r>
          </w:p>
        </w:tc>
      </w:tr>
      <w:tr w:rsidR="0046162A" w:rsidRPr="00005453" w14:paraId="5FA08611" w14:textId="77777777" w:rsidTr="0046162A">
        <w:trPr>
          <w:divId w:val="1984655372"/>
          <w:trHeight w:val="322"/>
        </w:trPr>
        <w:tc>
          <w:tcPr>
            <w:tcW w:w="2971" w:type="dxa"/>
            <w:tcBorders>
              <w:top w:val="single" w:sz="4" w:space="0" w:color="auto"/>
              <w:left w:val="nil"/>
              <w:bottom w:val="double" w:sz="6" w:space="0" w:color="auto"/>
              <w:right w:val="nil"/>
            </w:tcBorders>
            <w:shd w:val="clear" w:color="auto" w:fill="auto"/>
            <w:vAlign w:val="center"/>
            <w:hideMark/>
          </w:tcPr>
          <w:p w14:paraId="289C4375" w14:textId="77777777" w:rsidR="0046162A" w:rsidRPr="00005453" w:rsidRDefault="0046162A" w:rsidP="0046162A">
            <w:pPr>
              <w:jc w:val="both"/>
              <w:rPr>
                <w:sz w:val="18"/>
                <w:szCs w:val="18"/>
                <w:lang w:eastAsia="tr-TR"/>
              </w:rPr>
            </w:pPr>
            <w:r w:rsidRPr="00005453">
              <w:rPr>
                <w:sz w:val="18"/>
                <w:szCs w:val="18"/>
                <w:lang w:eastAsia="tr-TR"/>
              </w:rPr>
              <w:t>Katılım Emeklilik ve Hayat A.Ş. (*)</w:t>
            </w:r>
          </w:p>
        </w:tc>
        <w:tc>
          <w:tcPr>
            <w:tcW w:w="1135" w:type="dxa"/>
            <w:tcBorders>
              <w:top w:val="single" w:sz="4" w:space="0" w:color="auto"/>
              <w:left w:val="nil"/>
              <w:bottom w:val="double" w:sz="6" w:space="0" w:color="auto"/>
              <w:right w:val="nil"/>
            </w:tcBorders>
            <w:shd w:val="clear" w:color="auto" w:fill="auto"/>
            <w:vAlign w:val="center"/>
            <w:hideMark/>
          </w:tcPr>
          <w:p w14:paraId="0DD4978E" w14:textId="036A564B" w:rsidR="0046162A" w:rsidRPr="00005453" w:rsidRDefault="0046162A" w:rsidP="0046162A">
            <w:pPr>
              <w:jc w:val="right"/>
              <w:rPr>
                <w:sz w:val="18"/>
                <w:szCs w:val="18"/>
                <w:lang w:eastAsia="tr-TR"/>
              </w:rPr>
            </w:pPr>
            <w:r w:rsidRPr="00005453">
              <w:rPr>
                <w:sz w:val="18"/>
                <w:szCs w:val="18"/>
                <w:lang w:eastAsia="tr-TR"/>
              </w:rPr>
              <w:t>%50</w:t>
            </w:r>
          </w:p>
        </w:tc>
        <w:tc>
          <w:tcPr>
            <w:tcW w:w="1174" w:type="dxa"/>
            <w:tcBorders>
              <w:top w:val="single" w:sz="4" w:space="0" w:color="auto"/>
              <w:left w:val="nil"/>
              <w:bottom w:val="double" w:sz="6" w:space="0" w:color="auto"/>
              <w:right w:val="nil"/>
            </w:tcBorders>
            <w:shd w:val="clear" w:color="auto" w:fill="auto"/>
            <w:vAlign w:val="center"/>
            <w:hideMark/>
          </w:tcPr>
          <w:p w14:paraId="2FC6D0F8" w14:textId="5278D694" w:rsidR="0046162A" w:rsidRPr="00005453" w:rsidRDefault="0046162A" w:rsidP="0046162A">
            <w:pPr>
              <w:jc w:val="right"/>
              <w:rPr>
                <w:sz w:val="18"/>
                <w:szCs w:val="18"/>
              </w:rPr>
            </w:pPr>
            <w:r w:rsidRPr="00005453">
              <w:rPr>
                <w:color w:val="000000"/>
                <w:sz w:val="18"/>
                <w:szCs w:val="18"/>
              </w:rPr>
              <w:t>36,535,954</w:t>
            </w:r>
          </w:p>
        </w:tc>
        <w:tc>
          <w:tcPr>
            <w:tcW w:w="931" w:type="dxa"/>
            <w:tcBorders>
              <w:top w:val="single" w:sz="4" w:space="0" w:color="auto"/>
              <w:left w:val="nil"/>
              <w:bottom w:val="double" w:sz="6" w:space="0" w:color="auto"/>
              <w:right w:val="nil"/>
            </w:tcBorders>
            <w:shd w:val="clear" w:color="auto" w:fill="auto"/>
            <w:vAlign w:val="center"/>
            <w:hideMark/>
          </w:tcPr>
          <w:p w14:paraId="794B7E46" w14:textId="4A2D43D6" w:rsidR="0046162A" w:rsidRPr="00005453" w:rsidRDefault="0046162A" w:rsidP="0046162A">
            <w:pPr>
              <w:jc w:val="right"/>
              <w:rPr>
                <w:sz w:val="18"/>
                <w:szCs w:val="18"/>
              </w:rPr>
            </w:pPr>
            <w:r w:rsidRPr="00005453">
              <w:rPr>
                <w:color w:val="000000"/>
                <w:sz w:val="18"/>
                <w:szCs w:val="18"/>
              </w:rPr>
              <w:t>1,277,663</w:t>
            </w:r>
          </w:p>
        </w:tc>
        <w:tc>
          <w:tcPr>
            <w:tcW w:w="925" w:type="dxa"/>
            <w:tcBorders>
              <w:top w:val="single" w:sz="4" w:space="0" w:color="auto"/>
              <w:left w:val="nil"/>
              <w:bottom w:val="double" w:sz="6" w:space="0" w:color="auto"/>
              <w:right w:val="nil"/>
            </w:tcBorders>
            <w:shd w:val="clear" w:color="auto" w:fill="auto"/>
            <w:vAlign w:val="center"/>
            <w:hideMark/>
          </w:tcPr>
          <w:p w14:paraId="60384EDF" w14:textId="4882A058" w:rsidR="0046162A" w:rsidRPr="00005453" w:rsidRDefault="0046162A" w:rsidP="0046162A">
            <w:pPr>
              <w:jc w:val="right"/>
              <w:rPr>
                <w:sz w:val="18"/>
                <w:szCs w:val="18"/>
              </w:rPr>
            </w:pPr>
            <w:r w:rsidRPr="00005453">
              <w:rPr>
                <w:color w:val="000000"/>
                <w:sz w:val="18"/>
                <w:szCs w:val="18"/>
              </w:rPr>
              <w:t>132,284</w:t>
            </w:r>
          </w:p>
        </w:tc>
        <w:tc>
          <w:tcPr>
            <w:tcW w:w="1076" w:type="dxa"/>
            <w:tcBorders>
              <w:top w:val="single" w:sz="4" w:space="0" w:color="auto"/>
              <w:left w:val="nil"/>
              <w:bottom w:val="double" w:sz="6" w:space="0" w:color="auto"/>
              <w:right w:val="nil"/>
            </w:tcBorders>
            <w:shd w:val="clear" w:color="auto" w:fill="auto"/>
            <w:vAlign w:val="center"/>
            <w:hideMark/>
          </w:tcPr>
          <w:p w14:paraId="7D8B232F" w14:textId="115028BC" w:rsidR="0046162A" w:rsidRPr="00005453" w:rsidRDefault="0046162A" w:rsidP="0046162A">
            <w:pPr>
              <w:jc w:val="right"/>
              <w:rPr>
                <w:color w:val="000000"/>
                <w:sz w:val="18"/>
                <w:szCs w:val="18"/>
                <w:lang w:eastAsia="tr-TR"/>
              </w:rPr>
            </w:pPr>
            <w:r w:rsidRPr="00005453">
              <w:rPr>
                <w:color w:val="000000"/>
                <w:sz w:val="18"/>
                <w:szCs w:val="18"/>
              </w:rPr>
              <w:t>686,249</w:t>
            </w:r>
          </w:p>
          <w:p w14:paraId="6B369C32" w14:textId="371A4ABF" w:rsidR="0046162A" w:rsidRPr="00005453" w:rsidRDefault="0046162A" w:rsidP="0046162A">
            <w:pPr>
              <w:jc w:val="right"/>
              <w:rPr>
                <w:sz w:val="18"/>
                <w:szCs w:val="18"/>
              </w:rPr>
            </w:pPr>
          </w:p>
        </w:tc>
        <w:tc>
          <w:tcPr>
            <w:tcW w:w="1002" w:type="dxa"/>
            <w:tcBorders>
              <w:top w:val="single" w:sz="4" w:space="0" w:color="auto"/>
              <w:left w:val="nil"/>
              <w:bottom w:val="double" w:sz="6" w:space="0" w:color="auto"/>
              <w:right w:val="nil"/>
            </w:tcBorders>
            <w:shd w:val="clear" w:color="000000" w:fill="FFFFFF"/>
            <w:vAlign w:val="center"/>
            <w:hideMark/>
          </w:tcPr>
          <w:p w14:paraId="29132C8A" w14:textId="0F81553A" w:rsidR="0046162A" w:rsidRPr="00005453" w:rsidRDefault="0046162A" w:rsidP="0046162A">
            <w:pPr>
              <w:jc w:val="right"/>
              <w:rPr>
                <w:sz w:val="18"/>
                <w:szCs w:val="18"/>
              </w:rPr>
            </w:pPr>
            <w:r w:rsidRPr="00005453">
              <w:rPr>
                <w:sz w:val="18"/>
                <w:szCs w:val="18"/>
              </w:rPr>
              <w:t>341,295</w:t>
            </w:r>
          </w:p>
        </w:tc>
      </w:tr>
    </w:tbl>
    <w:p w14:paraId="38BF0B5A" w14:textId="3FB96632" w:rsidR="004A4715" w:rsidRPr="00005453" w:rsidRDefault="004A4715" w:rsidP="0069328A">
      <w:pPr>
        <w:spacing w:line="214" w:lineRule="auto"/>
        <w:ind w:right="-1" w:hanging="426"/>
        <w:rPr>
          <w:spacing w:val="8"/>
          <w:sz w:val="6"/>
          <w:szCs w:val="6"/>
        </w:rPr>
      </w:pPr>
    </w:p>
    <w:p w14:paraId="125D3ADA" w14:textId="3AB0C07E" w:rsidR="003F59B4" w:rsidRPr="00005453" w:rsidRDefault="003F59B4" w:rsidP="00614CD2">
      <w:pPr>
        <w:spacing w:line="214" w:lineRule="auto"/>
        <w:ind w:left="142" w:hanging="426"/>
        <w:jc w:val="both"/>
        <w:rPr>
          <w:sz w:val="16"/>
          <w:szCs w:val="16"/>
        </w:rPr>
      </w:pPr>
      <w:r w:rsidRPr="00005453">
        <w:rPr>
          <w:sz w:val="16"/>
          <w:szCs w:val="16"/>
        </w:rPr>
        <w:t>(*)</w:t>
      </w:r>
      <w:r w:rsidR="00DB63BA" w:rsidRPr="00005453">
        <w:rPr>
          <w:sz w:val="16"/>
          <w:szCs w:val="16"/>
        </w:rPr>
        <w:tab/>
      </w:r>
      <w:r w:rsidRPr="00005453">
        <w:rPr>
          <w:sz w:val="16"/>
          <w:szCs w:val="16"/>
        </w:rPr>
        <w:t>25 Nisan 2013 tarihinde yönetim kurulu kararı ile Kuveyt Türk Katılım Bankası</w:t>
      </w:r>
      <w:r w:rsidR="00A42940" w:rsidRPr="00005453">
        <w:rPr>
          <w:sz w:val="16"/>
          <w:szCs w:val="16"/>
        </w:rPr>
        <w:t xml:space="preserve"> A.Ş.</w:t>
      </w:r>
      <w:r w:rsidRPr="00005453">
        <w:rPr>
          <w:sz w:val="16"/>
          <w:szCs w:val="16"/>
        </w:rPr>
        <w:t xml:space="preserve"> ve Albaraka Türk Katılım Bankası</w:t>
      </w:r>
      <w:r w:rsidR="00A42940" w:rsidRPr="00005453">
        <w:rPr>
          <w:sz w:val="16"/>
          <w:szCs w:val="16"/>
        </w:rPr>
        <w:t xml:space="preserve"> A.Ş.</w:t>
      </w:r>
      <w:r w:rsidRPr="00005453">
        <w:rPr>
          <w:sz w:val="16"/>
          <w:szCs w:val="16"/>
        </w:rPr>
        <w:t>’n</w:t>
      </w:r>
      <w:r w:rsidR="00A42940" w:rsidRPr="00005453">
        <w:rPr>
          <w:sz w:val="16"/>
          <w:szCs w:val="16"/>
        </w:rPr>
        <w:t>i</w:t>
      </w:r>
      <w:r w:rsidRPr="00005453">
        <w:rPr>
          <w:sz w:val="16"/>
          <w:szCs w:val="16"/>
        </w:rPr>
        <w:t>n ana pay sahipliklerinde</w:t>
      </w:r>
      <w:r w:rsidR="00A42940" w:rsidRPr="00005453">
        <w:rPr>
          <w:sz w:val="16"/>
          <w:szCs w:val="16"/>
        </w:rPr>
        <w:t xml:space="preserve"> </w:t>
      </w:r>
      <w:r w:rsidRPr="00005453">
        <w:rPr>
          <w:sz w:val="16"/>
          <w:szCs w:val="16"/>
        </w:rPr>
        <w:t>bir bireysel emeklilik şirketi kurulmasına karar verilmiştir. Banka’nın, Albaraka Türk Katılım Bankası</w:t>
      </w:r>
      <w:r w:rsidR="00A42940" w:rsidRPr="00005453">
        <w:rPr>
          <w:sz w:val="16"/>
          <w:szCs w:val="16"/>
        </w:rPr>
        <w:t xml:space="preserve"> A.Ş.</w:t>
      </w:r>
      <w:r w:rsidRPr="00005453">
        <w:rPr>
          <w:sz w:val="16"/>
          <w:szCs w:val="16"/>
        </w:rPr>
        <w:t xml:space="preserve"> ile eşit </w:t>
      </w:r>
      <w:r w:rsidRPr="00005453">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0FAAE2CD" w14:textId="497C3006" w:rsidR="00DE4629" w:rsidRPr="004E7AE2" w:rsidRDefault="00DE4629" w:rsidP="00670EF3">
      <w:pPr>
        <w:spacing w:line="214" w:lineRule="auto"/>
        <w:ind w:left="720" w:hanging="720"/>
        <w:jc w:val="both"/>
        <w:rPr>
          <w:sz w:val="10"/>
          <w:szCs w:val="16"/>
        </w:rPr>
      </w:pPr>
    </w:p>
    <w:p w14:paraId="5811E8C9" w14:textId="1DA77385" w:rsidR="005A1EDE" w:rsidRPr="00005453" w:rsidRDefault="000C6E76" w:rsidP="000C6E76">
      <w:pPr>
        <w:tabs>
          <w:tab w:val="left" w:pos="0"/>
        </w:tabs>
        <w:autoSpaceDE w:val="0"/>
        <w:autoSpaceDN w:val="0"/>
        <w:adjustRightInd w:val="0"/>
        <w:ind w:hanging="567"/>
        <w:rPr>
          <w:b/>
          <w:bCs/>
          <w:iCs/>
        </w:rPr>
      </w:pPr>
      <w:r w:rsidRPr="00005453">
        <w:rPr>
          <w:b/>
          <w:bCs/>
          <w:iCs/>
        </w:rPr>
        <w:t xml:space="preserve">1.10 </w:t>
      </w:r>
      <w:r w:rsidRPr="00005453">
        <w:rPr>
          <w:b/>
          <w:bCs/>
          <w:iCs/>
        </w:rPr>
        <w:tab/>
      </w:r>
      <w:r w:rsidR="00C4164E" w:rsidRPr="00005453">
        <w:rPr>
          <w:b/>
          <w:bCs/>
          <w:iCs/>
        </w:rPr>
        <w:t>Kiralama işlemlerinden alacaklara ilişkin bilgiler (Net)</w:t>
      </w:r>
    </w:p>
    <w:p w14:paraId="421C56BD" w14:textId="77777777" w:rsidR="00C4164E" w:rsidRPr="004E7AE2" w:rsidRDefault="00C4164E" w:rsidP="00C4164E">
      <w:pPr>
        <w:autoSpaceDE w:val="0"/>
        <w:autoSpaceDN w:val="0"/>
        <w:adjustRightInd w:val="0"/>
        <w:ind w:left="720"/>
        <w:rPr>
          <w:rFonts w:eastAsia="Arial Unicode MS"/>
          <w:sz w:val="8"/>
          <w:szCs w:val="16"/>
        </w:rPr>
      </w:pPr>
    </w:p>
    <w:p w14:paraId="543863D4" w14:textId="3C07833E" w:rsidR="005A1EDE" w:rsidRPr="00005453" w:rsidRDefault="000C6E76" w:rsidP="001240D7">
      <w:pPr>
        <w:autoSpaceDE w:val="0"/>
        <w:autoSpaceDN w:val="0"/>
        <w:adjustRightInd w:val="0"/>
        <w:ind w:hanging="567"/>
      </w:pPr>
      <w:r w:rsidRPr="00005453">
        <w:rPr>
          <w:b/>
        </w:rPr>
        <w:t>1.10.1</w:t>
      </w:r>
      <w:r w:rsidRPr="00005453">
        <w:tab/>
      </w:r>
      <w:r w:rsidR="00E253C8" w:rsidRPr="00005453">
        <w:t>Finansal kiralama yöntemiyle kullandırılan fonların kalan vadelerine göre gösterimi</w:t>
      </w:r>
    </w:p>
    <w:p w14:paraId="2834C785" w14:textId="5BD2C416" w:rsidR="00B010F7" w:rsidRPr="00005453" w:rsidRDefault="00B010F7" w:rsidP="00A3530B">
      <w:pPr>
        <w:autoSpaceDE w:val="0"/>
        <w:autoSpaceDN w:val="0"/>
        <w:adjustRightInd w:val="0"/>
        <w:ind w:hanging="567"/>
        <w:rPr>
          <w:lang w:val="de-DE" w:eastAsia="en-GB"/>
        </w:rPr>
      </w:pPr>
    </w:p>
    <w:tbl>
      <w:tblPr>
        <w:tblW w:w="9214" w:type="dxa"/>
        <w:tblCellMar>
          <w:left w:w="70" w:type="dxa"/>
          <w:right w:w="70" w:type="dxa"/>
        </w:tblCellMar>
        <w:tblLook w:val="04A0" w:firstRow="1" w:lastRow="0" w:firstColumn="1" w:lastColumn="0" w:noHBand="0" w:noVBand="1"/>
      </w:tblPr>
      <w:tblGrid>
        <w:gridCol w:w="4329"/>
        <w:gridCol w:w="950"/>
        <w:gridCol w:w="1398"/>
        <w:gridCol w:w="1403"/>
        <w:gridCol w:w="1134"/>
      </w:tblGrid>
      <w:tr w:rsidR="00B010F7" w:rsidRPr="00005453" w14:paraId="45B6D9CC" w14:textId="77777777" w:rsidTr="000E5F12">
        <w:trPr>
          <w:divId w:val="1070075482"/>
          <w:trHeight w:val="251"/>
        </w:trPr>
        <w:tc>
          <w:tcPr>
            <w:tcW w:w="4329" w:type="dxa"/>
            <w:tcBorders>
              <w:top w:val="double" w:sz="6" w:space="0" w:color="auto"/>
              <w:left w:val="nil"/>
              <w:bottom w:val="nil"/>
              <w:right w:val="nil"/>
            </w:tcBorders>
            <w:shd w:val="clear" w:color="auto" w:fill="auto"/>
            <w:vAlign w:val="center"/>
            <w:hideMark/>
          </w:tcPr>
          <w:p w14:paraId="0C622A0F" w14:textId="39B9CE86" w:rsidR="00B010F7" w:rsidRPr="00005453" w:rsidRDefault="00B010F7" w:rsidP="00B010F7">
            <w:pPr>
              <w:jc w:val="both"/>
              <w:rPr>
                <w:sz w:val="18"/>
                <w:szCs w:val="18"/>
                <w:lang w:eastAsia="tr-TR"/>
              </w:rPr>
            </w:pPr>
            <w:r w:rsidRPr="00005453">
              <w:rPr>
                <w:sz w:val="18"/>
                <w:szCs w:val="18"/>
                <w:lang w:eastAsia="tr-TR"/>
              </w:rPr>
              <w:t> </w:t>
            </w:r>
          </w:p>
        </w:tc>
        <w:tc>
          <w:tcPr>
            <w:tcW w:w="2348" w:type="dxa"/>
            <w:gridSpan w:val="2"/>
            <w:tcBorders>
              <w:top w:val="double" w:sz="6" w:space="0" w:color="auto"/>
              <w:left w:val="nil"/>
              <w:bottom w:val="single" w:sz="8" w:space="0" w:color="auto"/>
              <w:right w:val="nil"/>
            </w:tcBorders>
            <w:shd w:val="clear" w:color="auto" w:fill="auto"/>
            <w:vAlign w:val="center"/>
            <w:hideMark/>
          </w:tcPr>
          <w:p w14:paraId="2CF42E2F" w14:textId="77777777" w:rsidR="00B010F7" w:rsidRPr="00005453" w:rsidRDefault="00B010F7" w:rsidP="00614CD2">
            <w:pPr>
              <w:jc w:val="right"/>
              <w:rPr>
                <w:b/>
                <w:bCs/>
                <w:sz w:val="18"/>
                <w:szCs w:val="18"/>
                <w:lang w:eastAsia="tr-TR"/>
              </w:rPr>
            </w:pPr>
            <w:r w:rsidRPr="00005453">
              <w:rPr>
                <w:b/>
                <w:bCs/>
                <w:sz w:val="18"/>
                <w:szCs w:val="18"/>
                <w:lang w:eastAsia="tr-TR"/>
              </w:rPr>
              <w:t>Cari Dönem</w:t>
            </w:r>
          </w:p>
        </w:tc>
        <w:tc>
          <w:tcPr>
            <w:tcW w:w="2537" w:type="dxa"/>
            <w:gridSpan w:val="2"/>
            <w:tcBorders>
              <w:top w:val="double" w:sz="6" w:space="0" w:color="auto"/>
              <w:left w:val="nil"/>
              <w:bottom w:val="single" w:sz="8" w:space="0" w:color="auto"/>
              <w:right w:val="nil"/>
            </w:tcBorders>
            <w:shd w:val="clear" w:color="auto" w:fill="auto"/>
            <w:vAlign w:val="center"/>
            <w:hideMark/>
          </w:tcPr>
          <w:p w14:paraId="2E9C8569" w14:textId="77777777" w:rsidR="00B010F7" w:rsidRPr="00005453" w:rsidRDefault="00B010F7" w:rsidP="00614CD2">
            <w:pPr>
              <w:jc w:val="right"/>
              <w:rPr>
                <w:b/>
                <w:bCs/>
                <w:sz w:val="18"/>
                <w:szCs w:val="18"/>
                <w:lang w:eastAsia="tr-TR"/>
              </w:rPr>
            </w:pPr>
            <w:r w:rsidRPr="00005453">
              <w:rPr>
                <w:b/>
                <w:bCs/>
                <w:sz w:val="18"/>
                <w:szCs w:val="18"/>
                <w:lang w:eastAsia="tr-TR"/>
              </w:rPr>
              <w:t>Önceki Dönem</w:t>
            </w:r>
          </w:p>
        </w:tc>
      </w:tr>
      <w:tr w:rsidR="00B010F7" w:rsidRPr="00005453" w14:paraId="49043BAC" w14:textId="77777777" w:rsidTr="000E5F12">
        <w:trPr>
          <w:divId w:val="1070075482"/>
          <w:trHeight w:val="237"/>
        </w:trPr>
        <w:tc>
          <w:tcPr>
            <w:tcW w:w="4329" w:type="dxa"/>
            <w:tcBorders>
              <w:top w:val="nil"/>
              <w:left w:val="nil"/>
              <w:bottom w:val="single" w:sz="8" w:space="0" w:color="auto"/>
              <w:right w:val="nil"/>
            </w:tcBorders>
            <w:shd w:val="clear" w:color="auto" w:fill="auto"/>
            <w:vAlign w:val="center"/>
            <w:hideMark/>
          </w:tcPr>
          <w:p w14:paraId="12CE39FC" w14:textId="77777777" w:rsidR="00B010F7" w:rsidRPr="00005453" w:rsidRDefault="00B010F7" w:rsidP="00B010F7">
            <w:pPr>
              <w:jc w:val="both"/>
              <w:rPr>
                <w:sz w:val="18"/>
                <w:szCs w:val="18"/>
                <w:lang w:eastAsia="tr-TR"/>
              </w:rPr>
            </w:pPr>
            <w:r w:rsidRPr="00005453">
              <w:rPr>
                <w:sz w:val="18"/>
                <w:szCs w:val="18"/>
                <w:lang w:eastAsia="tr-TR"/>
              </w:rPr>
              <w:t> </w:t>
            </w:r>
          </w:p>
        </w:tc>
        <w:tc>
          <w:tcPr>
            <w:tcW w:w="950" w:type="dxa"/>
            <w:tcBorders>
              <w:top w:val="nil"/>
              <w:left w:val="nil"/>
              <w:bottom w:val="single" w:sz="8" w:space="0" w:color="auto"/>
              <w:right w:val="nil"/>
            </w:tcBorders>
            <w:shd w:val="clear" w:color="auto" w:fill="auto"/>
            <w:vAlign w:val="center"/>
            <w:hideMark/>
          </w:tcPr>
          <w:p w14:paraId="0C9327FB" w14:textId="77777777" w:rsidR="00B010F7" w:rsidRPr="00005453" w:rsidRDefault="00B010F7" w:rsidP="00B010F7">
            <w:pPr>
              <w:jc w:val="right"/>
              <w:rPr>
                <w:b/>
                <w:bCs/>
                <w:sz w:val="18"/>
                <w:szCs w:val="18"/>
                <w:lang w:eastAsia="tr-TR"/>
              </w:rPr>
            </w:pPr>
            <w:r w:rsidRPr="00005453">
              <w:rPr>
                <w:b/>
                <w:bCs/>
                <w:sz w:val="18"/>
                <w:szCs w:val="18"/>
                <w:lang w:eastAsia="tr-TR"/>
              </w:rPr>
              <w:t>Brüt</w:t>
            </w:r>
          </w:p>
        </w:tc>
        <w:tc>
          <w:tcPr>
            <w:tcW w:w="1398" w:type="dxa"/>
            <w:tcBorders>
              <w:top w:val="nil"/>
              <w:left w:val="nil"/>
              <w:bottom w:val="single" w:sz="8" w:space="0" w:color="auto"/>
              <w:right w:val="nil"/>
            </w:tcBorders>
            <w:shd w:val="clear" w:color="auto" w:fill="auto"/>
            <w:vAlign w:val="center"/>
            <w:hideMark/>
          </w:tcPr>
          <w:p w14:paraId="04717AD7" w14:textId="77777777" w:rsidR="00B010F7" w:rsidRPr="00005453" w:rsidRDefault="00B010F7" w:rsidP="00B010F7">
            <w:pPr>
              <w:jc w:val="right"/>
              <w:rPr>
                <w:b/>
                <w:bCs/>
                <w:sz w:val="18"/>
                <w:szCs w:val="18"/>
                <w:lang w:eastAsia="tr-TR"/>
              </w:rPr>
            </w:pPr>
            <w:r w:rsidRPr="00005453">
              <w:rPr>
                <w:b/>
                <w:bCs/>
                <w:sz w:val="18"/>
                <w:szCs w:val="18"/>
                <w:lang w:eastAsia="tr-TR"/>
              </w:rPr>
              <w:t>Net</w:t>
            </w:r>
          </w:p>
        </w:tc>
        <w:tc>
          <w:tcPr>
            <w:tcW w:w="1403" w:type="dxa"/>
            <w:tcBorders>
              <w:top w:val="nil"/>
              <w:left w:val="nil"/>
              <w:bottom w:val="single" w:sz="8" w:space="0" w:color="auto"/>
              <w:right w:val="nil"/>
            </w:tcBorders>
            <w:shd w:val="clear" w:color="auto" w:fill="auto"/>
            <w:vAlign w:val="center"/>
            <w:hideMark/>
          </w:tcPr>
          <w:p w14:paraId="1082357E" w14:textId="77777777" w:rsidR="00B010F7" w:rsidRPr="00005453" w:rsidRDefault="00B010F7" w:rsidP="00B010F7">
            <w:pPr>
              <w:jc w:val="right"/>
              <w:rPr>
                <w:b/>
                <w:bCs/>
                <w:sz w:val="18"/>
                <w:szCs w:val="18"/>
                <w:lang w:eastAsia="tr-TR"/>
              </w:rPr>
            </w:pPr>
            <w:r w:rsidRPr="00005453">
              <w:rPr>
                <w:b/>
                <w:bCs/>
                <w:sz w:val="18"/>
                <w:szCs w:val="18"/>
                <w:lang w:eastAsia="tr-TR"/>
              </w:rPr>
              <w:t>Brüt</w:t>
            </w:r>
          </w:p>
        </w:tc>
        <w:tc>
          <w:tcPr>
            <w:tcW w:w="1134" w:type="dxa"/>
            <w:tcBorders>
              <w:top w:val="nil"/>
              <w:left w:val="nil"/>
              <w:bottom w:val="single" w:sz="8" w:space="0" w:color="auto"/>
              <w:right w:val="nil"/>
            </w:tcBorders>
            <w:shd w:val="clear" w:color="auto" w:fill="auto"/>
            <w:vAlign w:val="center"/>
            <w:hideMark/>
          </w:tcPr>
          <w:p w14:paraId="6E4ADCC4" w14:textId="77777777" w:rsidR="00B010F7" w:rsidRPr="00005453" w:rsidRDefault="00B010F7" w:rsidP="00B010F7">
            <w:pPr>
              <w:jc w:val="right"/>
              <w:rPr>
                <w:b/>
                <w:bCs/>
                <w:sz w:val="18"/>
                <w:szCs w:val="18"/>
                <w:lang w:eastAsia="tr-TR"/>
              </w:rPr>
            </w:pPr>
            <w:r w:rsidRPr="00005453">
              <w:rPr>
                <w:b/>
                <w:bCs/>
                <w:sz w:val="18"/>
                <w:szCs w:val="18"/>
                <w:lang w:eastAsia="tr-TR"/>
              </w:rPr>
              <w:t>Net</w:t>
            </w:r>
          </w:p>
        </w:tc>
      </w:tr>
      <w:tr w:rsidR="00F56D39" w:rsidRPr="00005453" w14:paraId="28EB87F3" w14:textId="77777777" w:rsidTr="00F56D39">
        <w:trPr>
          <w:divId w:val="1070075482"/>
          <w:trHeight w:val="223"/>
        </w:trPr>
        <w:tc>
          <w:tcPr>
            <w:tcW w:w="4329" w:type="dxa"/>
            <w:tcBorders>
              <w:top w:val="nil"/>
              <w:left w:val="nil"/>
              <w:bottom w:val="nil"/>
              <w:right w:val="nil"/>
            </w:tcBorders>
            <w:shd w:val="clear" w:color="auto" w:fill="auto"/>
            <w:vAlign w:val="center"/>
            <w:hideMark/>
          </w:tcPr>
          <w:p w14:paraId="427201B0" w14:textId="77777777" w:rsidR="00F56D39" w:rsidRPr="00005453" w:rsidRDefault="00F56D39" w:rsidP="00F56D39">
            <w:pPr>
              <w:jc w:val="both"/>
              <w:rPr>
                <w:sz w:val="18"/>
                <w:szCs w:val="18"/>
                <w:lang w:eastAsia="tr-TR"/>
              </w:rPr>
            </w:pPr>
            <w:r w:rsidRPr="00005453">
              <w:rPr>
                <w:sz w:val="18"/>
                <w:szCs w:val="18"/>
                <w:lang w:eastAsia="tr-TR"/>
              </w:rPr>
              <w:t>1 Yıldan Az</w:t>
            </w:r>
          </w:p>
        </w:tc>
        <w:tc>
          <w:tcPr>
            <w:tcW w:w="950" w:type="dxa"/>
            <w:tcBorders>
              <w:top w:val="nil"/>
              <w:left w:val="nil"/>
              <w:bottom w:val="nil"/>
              <w:right w:val="nil"/>
            </w:tcBorders>
            <w:shd w:val="clear" w:color="auto" w:fill="auto"/>
            <w:vAlign w:val="center"/>
            <w:hideMark/>
          </w:tcPr>
          <w:p w14:paraId="2AB78C5D" w14:textId="08ACED41" w:rsidR="00F56D39" w:rsidRPr="00005453" w:rsidRDefault="00F56D39" w:rsidP="00F56D39">
            <w:pPr>
              <w:jc w:val="right"/>
              <w:rPr>
                <w:sz w:val="18"/>
                <w:szCs w:val="18"/>
                <w:lang w:eastAsia="tr-TR"/>
              </w:rPr>
            </w:pPr>
            <w:r w:rsidRPr="00005453">
              <w:rPr>
                <w:sz w:val="18"/>
                <w:szCs w:val="18"/>
              </w:rPr>
              <w:t>34,908,399</w:t>
            </w:r>
          </w:p>
        </w:tc>
        <w:tc>
          <w:tcPr>
            <w:tcW w:w="1398" w:type="dxa"/>
            <w:tcBorders>
              <w:top w:val="nil"/>
              <w:left w:val="nil"/>
              <w:bottom w:val="nil"/>
              <w:right w:val="nil"/>
            </w:tcBorders>
            <w:shd w:val="clear" w:color="auto" w:fill="auto"/>
            <w:vAlign w:val="center"/>
            <w:hideMark/>
          </w:tcPr>
          <w:p w14:paraId="5E9093F1" w14:textId="15B0BB0A" w:rsidR="00F56D39" w:rsidRPr="00005453" w:rsidRDefault="00F56D39" w:rsidP="00F56D39">
            <w:pPr>
              <w:jc w:val="right"/>
              <w:rPr>
                <w:sz w:val="18"/>
                <w:szCs w:val="18"/>
                <w:lang w:eastAsia="tr-TR"/>
              </w:rPr>
            </w:pPr>
            <w:r w:rsidRPr="00005453">
              <w:rPr>
                <w:sz w:val="18"/>
                <w:szCs w:val="18"/>
              </w:rPr>
              <w:t>27,101,903</w:t>
            </w:r>
          </w:p>
        </w:tc>
        <w:tc>
          <w:tcPr>
            <w:tcW w:w="1403" w:type="dxa"/>
            <w:tcBorders>
              <w:top w:val="nil"/>
              <w:left w:val="nil"/>
              <w:bottom w:val="nil"/>
              <w:right w:val="nil"/>
            </w:tcBorders>
            <w:shd w:val="clear" w:color="auto" w:fill="auto"/>
            <w:vAlign w:val="center"/>
            <w:hideMark/>
          </w:tcPr>
          <w:p w14:paraId="6B885B51" w14:textId="740EB47A" w:rsidR="00F56D39" w:rsidRPr="00005453" w:rsidRDefault="00F56D39" w:rsidP="00F56D39">
            <w:pPr>
              <w:jc w:val="right"/>
              <w:rPr>
                <w:sz w:val="18"/>
                <w:szCs w:val="18"/>
                <w:lang w:eastAsia="tr-TR"/>
              </w:rPr>
            </w:pPr>
            <w:r w:rsidRPr="00005453">
              <w:rPr>
                <w:sz w:val="18"/>
                <w:szCs w:val="18"/>
              </w:rPr>
              <w:t>25,525,713</w:t>
            </w:r>
          </w:p>
        </w:tc>
        <w:tc>
          <w:tcPr>
            <w:tcW w:w="1134" w:type="dxa"/>
            <w:tcBorders>
              <w:top w:val="nil"/>
              <w:left w:val="nil"/>
              <w:bottom w:val="nil"/>
              <w:right w:val="nil"/>
            </w:tcBorders>
            <w:shd w:val="clear" w:color="auto" w:fill="auto"/>
            <w:vAlign w:val="center"/>
            <w:hideMark/>
          </w:tcPr>
          <w:p w14:paraId="6924194D" w14:textId="5C5BF35D" w:rsidR="00F56D39" w:rsidRPr="00005453" w:rsidRDefault="00F56D39" w:rsidP="00F56D39">
            <w:pPr>
              <w:jc w:val="right"/>
              <w:rPr>
                <w:sz w:val="18"/>
                <w:szCs w:val="18"/>
                <w:lang w:eastAsia="tr-TR"/>
              </w:rPr>
            </w:pPr>
            <w:r w:rsidRPr="00005453">
              <w:rPr>
                <w:sz w:val="18"/>
                <w:szCs w:val="18"/>
              </w:rPr>
              <w:t>19,042,090</w:t>
            </w:r>
          </w:p>
        </w:tc>
      </w:tr>
      <w:tr w:rsidR="00F56D39" w:rsidRPr="00005453" w14:paraId="22B6C3F7" w14:textId="77777777" w:rsidTr="00F56D39">
        <w:trPr>
          <w:divId w:val="1070075482"/>
          <w:trHeight w:val="223"/>
        </w:trPr>
        <w:tc>
          <w:tcPr>
            <w:tcW w:w="4329" w:type="dxa"/>
            <w:tcBorders>
              <w:top w:val="nil"/>
              <w:left w:val="nil"/>
              <w:bottom w:val="nil"/>
              <w:right w:val="nil"/>
            </w:tcBorders>
            <w:shd w:val="clear" w:color="auto" w:fill="auto"/>
            <w:vAlign w:val="center"/>
            <w:hideMark/>
          </w:tcPr>
          <w:p w14:paraId="6ECB3B1C" w14:textId="77777777" w:rsidR="00F56D39" w:rsidRPr="00005453" w:rsidRDefault="00F56D39" w:rsidP="00F56D39">
            <w:pPr>
              <w:jc w:val="both"/>
              <w:rPr>
                <w:sz w:val="18"/>
                <w:szCs w:val="18"/>
                <w:lang w:eastAsia="tr-TR"/>
              </w:rPr>
            </w:pPr>
            <w:r w:rsidRPr="00005453">
              <w:rPr>
                <w:sz w:val="18"/>
                <w:szCs w:val="18"/>
                <w:lang w:eastAsia="tr-TR"/>
              </w:rPr>
              <w:t>1-4 Yıl Arası</w:t>
            </w:r>
          </w:p>
        </w:tc>
        <w:tc>
          <w:tcPr>
            <w:tcW w:w="950" w:type="dxa"/>
            <w:tcBorders>
              <w:top w:val="nil"/>
              <w:left w:val="nil"/>
              <w:bottom w:val="nil"/>
              <w:right w:val="nil"/>
            </w:tcBorders>
            <w:shd w:val="clear" w:color="auto" w:fill="auto"/>
            <w:vAlign w:val="center"/>
            <w:hideMark/>
          </w:tcPr>
          <w:p w14:paraId="05A7861B" w14:textId="10CE6729" w:rsidR="00F56D39" w:rsidRPr="00005453" w:rsidRDefault="00F56D39" w:rsidP="00F56D39">
            <w:pPr>
              <w:jc w:val="right"/>
              <w:rPr>
                <w:sz w:val="18"/>
                <w:szCs w:val="18"/>
                <w:lang w:eastAsia="tr-TR"/>
              </w:rPr>
            </w:pPr>
            <w:r w:rsidRPr="00005453">
              <w:rPr>
                <w:sz w:val="18"/>
                <w:szCs w:val="18"/>
              </w:rPr>
              <w:t>24,424,789</w:t>
            </w:r>
          </w:p>
        </w:tc>
        <w:tc>
          <w:tcPr>
            <w:tcW w:w="1398" w:type="dxa"/>
            <w:tcBorders>
              <w:top w:val="nil"/>
              <w:left w:val="nil"/>
              <w:bottom w:val="nil"/>
              <w:right w:val="nil"/>
            </w:tcBorders>
            <w:shd w:val="clear" w:color="auto" w:fill="auto"/>
            <w:vAlign w:val="center"/>
            <w:hideMark/>
          </w:tcPr>
          <w:p w14:paraId="06D060B3" w14:textId="2885378D" w:rsidR="00F56D39" w:rsidRPr="00005453" w:rsidRDefault="00F56D39" w:rsidP="00F56D39">
            <w:pPr>
              <w:jc w:val="right"/>
              <w:rPr>
                <w:sz w:val="18"/>
                <w:szCs w:val="18"/>
                <w:lang w:eastAsia="tr-TR"/>
              </w:rPr>
            </w:pPr>
            <w:r w:rsidRPr="00005453">
              <w:rPr>
                <w:sz w:val="18"/>
                <w:szCs w:val="18"/>
              </w:rPr>
              <w:t>22,145,023</w:t>
            </w:r>
          </w:p>
        </w:tc>
        <w:tc>
          <w:tcPr>
            <w:tcW w:w="1403" w:type="dxa"/>
            <w:tcBorders>
              <w:top w:val="nil"/>
              <w:left w:val="nil"/>
              <w:bottom w:val="nil"/>
              <w:right w:val="nil"/>
            </w:tcBorders>
            <w:shd w:val="clear" w:color="auto" w:fill="auto"/>
            <w:vAlign w:val="center"/>
            <w:hideMark/>
          </w:tcPr>
          <w:p w14:paraId="031A70EC" w14:textId="25596D3E" w:rsidR="00F56D39" w:rsidRPr="00005453" w:rsidRDefault="00F56D39" w:rsidP="00F56D39">
            <w:pPr>
              <w:jc w:val="right"/>
              <w:rPr>
                <w:sz w:val="18"/>
                <w:szCs w:val="18"/>
                <w:lang w:eastAsia="tr-TR"/>
              </w:rPr>
            </w:pPr>
            <w:r w:rsidRPr="00005453">
              <w:rPr>
                <w:sz w:val="18"/>
                <w:szCs w:val="18"/>
              </w:rPr>
              <w:t>20,095,599</w:t>
            </w:r>
          </w:p>
        </w:tc>
        <w:tc>
          <w:tcPr>
            <w:tcW w:w="1134" w:type="dxa"/>
            <w:tcBorders>
              <w:top w:val="nil"/>
              <w:left w:val="nil"/>
              <w:bottom w:val="nil"/>
              <w:right w:val="nil"/>
            </w:tcBorders>
            <w:shd w:val="clear" w:color="auto" w:fill="auto"/>
            <w:vAlign w:val="center"/>
            <w:hideMark/>
          </w:tcPr>
          <w:p w14:paraId="286AC290" w14:textId="633F57B8" w:rsidR="00F56D39" w:rsidRPr="00005453" w:rsidRDefault="00F56D39" w:rsidP="00F56D39">
            <w:pPr>
              <w:jc w:val="right"/>
              <w:rPr>
                <w:sz w:val="18"/>
                <w:szCs w:val="18"/>
                <w:lang w:eastAsia="tr-TR"/>
              </w:rPr>
            </w:pPr>
            <w:r w:rsidRPr="00005453">
              <w:rPr>
                <w:sz w:val="18"/>
                <w:szCs w:val="18"/>
              </w:rPr>
              <w:t>17,156,342</w:t>
            </w:r>
          </w:p>
        </w:tc>
      </w:tr>
      <w:tr w:rsidR="00F56D39" w:rsidRPr="00005453" w14:paraId="770E15BA" w14:textId="77777777" w:rsidTr="00F56D39">
        <w:trPr>
          <w:divId w:val="1070075482"/>
          <w:trHeight w:val="237"/>
        </w:trPr>
        <w:tc>
          <w:tcPr>
            <w:tcW w:w="4329" w:type="dxa"/>
            <w:tcBorders>
              <w:top w:val="nil"/>
              <w:left w:val="nil"/>
              <w:bottom w:val="single" w:sz="8" w:space="0" w:color="auto"/>
              <w:right w:val="nil"/>
            </w:tcBorders>
            <w:shd w:val="clear" w:color="auto" w:fill="auto"/>
            <w:vAlign w:val="center"/>
            <w:hideMark/>
          </w:tcPr>
          <w:p w14:paraId="5888A74E" w14:textId="77777777" w:rsidR="00F56D39" w:rsidRPr="00005453" w:rsidRDefault="00F56D39" w:rsidP="00F56D39">
            <w:pPr>
              <w:jc w:val="both"/>
              <w:rPr>
                <w:sz w:val="18"/>
                <w:szCs w:val="18"/>
                <w:lang w:eastAsia="tr-TR"/>
              </w:rPr>
            </w:pPr>
            <w:r w:rsidRPr="00005453">
              <w:rPr>
                <w:sz w:val="18"/>
                <w:szCs w:val="18"/>
                <w:lang w:eastAsia="tr-TR"/>
              </w:rPr>
              <w:t>4 Yıldan Fazla</w:t>
            </w:r>
          </w:p>
        </w:tc>
        <w:tc>
          <w:tcPr>
            <w:tcW w:w="950" w:type="dxa"/>
            <w:tcBorders>
              <w:top w:val="nil"/>
              <w:left w:val="nil"/>
              <w:bottom w:val="single" w:sz="8" w:space="0" w:color="auto"/>
              <w:right w:val="nil"/>
            </w:tcBorders>
            <w:shd w:val="clear" w:color="auto" w:fill="auto"/>
            <w:vAlign w:val="center"/>
            <w:hideMark/>
          </w:tcPr>
          <w:p w14:paraId="0D874D9B" w14:textId="308147AA" w:rsidR="00F56D39" w:rsidRPr="00005453" w:rsidRDefault="00F56D39" w:rsidP="00F56D39">
            <w:pPr>
              <w:jc w:val="right"/>
              <w:rPr>
                <w:sz w:val="18"/>
                <w:szCs w:val="18"/>
                <w:lang w:eastAsia="tr-TR"/>
              </w:rPr>
            </w:pPr>
            <w:r w:rsidRPr="00005453">
              <w:rPr>
                <w:sz w:val="18"/>
                <w:szCs w:val="18"/>
              </w:rPr>
              <w:t>1,270,489</w:t>
            </w:r>
          </w:p>
        </w:tc>
        <w:tc>
          <w:tcPr>
            <w:tcW w:w="1398" w:type="dxa"/>
            <w:tcBorders>
              <w:top w:val="nil"/>
              <w:left w:val="nil"/>
              <w:bottom w:val="single" w:sz="8" w:space="0" w:color="auto"/>
              <w:right w:val="nil"/>
            </w:tcBorders>
            <w:shd w:val="clear" w:color="auto" w:fill="auto"/>
            <w:vAlign w:val="center"/>
            <w:hideMark/>
          </w:tcPr>
          <w:p w14:paraId="1AB8E6DD" w14:textId="2664FB3E" w:rsidR="00F56D39" w:rsidRPr="00005453" w:rsidRDefault="00F56D39" w:rsidP="00F56D39">
            <w:pPr>
              <w:jc w:val="right"/>
              <w:rPr>
                <w:sz w:val="18"/>
                <w:szCs w:val="18"/>
                <w:lang w:eastAsia="tr-TR"/>
              </w:rPr>
            </w:pPr>
            <w:r w:rsidRPr="00005453">
              <w:rPr>
                <w:sz w:val="18"/>
                <w:szCs w:val="18"/>
              </w:rPr>
              <w:t>1,259,696</w:t>
            </w:r>
          </w:p>
        </w:tc>
        <w:tc>
          <w:tcPr>
            <w:tcW w:w="1403" w:type="dxa"/>
            <w:tcBorders>
              <w:top w:val="nil"/>
              <w:left w:val="nil"/>
              <w:bottom w:val="single" w:sz="8" w:space="0" w:color="auto"/>
              <w:right w:val="nil"/>
            </w:tcBorders>
            <w:shd w:val="clear" w:color="auto" w:fill="auto"/>
            <w:vAlign w:val="center"/>
            <w:hideMark/>
          </w:tcPr>
          <w:p w14:paraId="427D5E90" w14:textId="1532EF74" w:rsidR="00F56D39" w:rsidRPr="00005453" w:rsidRDefault="00F56D39" w:rsidP="00F56D39">
            <w:pPr>
              <w:jc w:val="right"/>
              <w:rPr>
                <w:sz w:val="18"/>
                <w:szCs w:val="18"/>
                <w:lang w:eastAsia="tr-TR"/>
              </w:rPr>
            </w:pPr>
            <w:r w:rsidRPr="00005453">
              <w:rPr>
                <w:sz w:val="18"/>
                <w:szCs w:val="18"/>
              </w:rPr>
              <w:t>951,303</w:t>
            </w:r>
          </w:p>
        </w:tc>
        <w:tc>
          <w:tcPr>
            <w:tcW w:w="1134" w:type="dxa"/>
            <w:tcBorders>
              <w:top w:val="nil"/>
              <w:left w:val="nil"/>
              <w:bottom w:val="single" w:sz="8" w:space="0" w:color="auto"/>
              <w:right w:val="nil"/>
            </w:tcBorders>
            <w:shd w:val="clear" w:color="auto" w:fill="auto"/>
            <w:vAlign w:val="center"/>
            <w:hideMark/>
          </w:tcPr>
          <w:p w14:paraId="5EA18F94" w14:textId="7B4216D8" w:rsidR="00F56D39" w:rsidRPr="00005453" w:rsidRDefault="00F56D39" w:rsidP="00F56D39">
            <w:pPr>
              <w:jc w:val="right"/>
              <w:rPr>
                <w:sz w:val="18"/>
                <w:szCs w:val="18"/>
                <w:lang w:eastAsia="tr-TR"/>
              </w:rPr>
            </w:pPr>
            <w:r w:rsidRPr="00005453">
              <w:rPr>
                <w:sz w:val="18"/>
                <w:szCs w:val="18"/>
              </w:rPr>
              <w:t>921,351</w:t>
            </w:r>
          </w:p>
        </w:tc>
      </w:tr>
      <w:tr w:rsidR="00F56D39" w:rsidRPr="00005453" w14:paraId="6CF97992" w14:textId="77777777" w:rsidTr="00F56D39">
        <w:trPr>
          <w:divId w:val="1070075482"/>
          <w:trHeight w:val="237"/>
        </w:trPr>
        <w:tc>
          <w:tcPr>
            <w:tcW w:w="4329" w:type="dxa"/>
            <w:tcBorders>
              <w:top w:val="nil"/>
              <w:left w:val="nil"/>
              <w:bottom w:val="double" w:sz="6" w:space="0" w:color="auto"/>
              <w:right w:val="nil"/>
            </w:tcBorders>
            <w:shd w:val="clear" w:color="auto" w:fill="auto"/>
            <w:vAlign w:val="center"/>
            <w:hideMark/>
          </w:tcPr>
          <w:p w14:paraId="72646F29" w14:textId="77777777" w:rsidR="00F56D39" w:rsidRPr="00005453" w:rsidRDefault="00F56D39" w:rsidP="00F56D39">
            <w:pPr>
              <w:jc w:val="both"/>
              <w:rPr>
                <w:b/>
                <w:bCs/>
                <w:sz w:val="18"/>
                <w:szCs w:val="18"/>
                <w:lang w:eastAsia="tr-TR"/>
              </w:rPr>
            </w:pPr>
            <w:r w:rsidRPr="00005453">
              <w:rPr>
                <w:b/>
                <w:bCs/>
                <w:sz w:val="18"/>
                <w:szCs w:val="18"/>
                <w:lang w:eastAsia="tr-TR"/>
              </w:rPr>
              <w:t>Toplam</w:t>
            </w:r>
          </w:p>
        </w:tc>
        <w:tc>
          <w:tcPr>
            <w:tcW w:w="950" w:type="dxa"/>
            <w:tcBorders>
              <w:top w:val="nil"/>
              <w:left w:val="nil"/>
              <w:bottom w:val="double" w:sz="6" w:space="0" w:color="auto"/>
              <w:right w:val="nil"/>
            </w:tcBorders>
            <w:shd w:val="clear" w:color="auto" w:fill="auto"/>
            <w:vAlign w:val="center"/>
            <w:hideMark/>
          </w:tcPr>
          <w:p w14:paraId="12097BFF" w14:textId="2EC61A1F" w:rsidR="00F56D39" w:rsidRPr="00005453" w:rsidRDefault="00F56D39" w:rsidP="00F56D39">
            <w:pPr>
              <w:jc w:val="right"/>
              <w:rPr>
                <w:b/>
                <w:bCs/>
                <w:sz w:val="18"/>
                <w:szCs w:val="18"/>
                <w:lang w:eastAsia="tr-TR"/>
              </w:rPr>
            </w:pPr>
            <w:r w:rsidRPr="00005453">
              <w:rPr>
                <w:b/>
                <w:bCs/>
                <w:sz w:val="18"/>
                <w:szCs w:val="18"/>
              </w:rPr>
              <w:t>60,603,677</w:t>
            </w:r>
          </w:p>
        </w:tc>
        <w:tc>
          <w:tcPr>
            <w:tcW w:w="1398" w:type="dxa"/>
            <w:tcBorders>
              <w:top w:val="nil"/>
              <w:left w:val="nil"/>
              <w:bottom w:val="double" w:sz="6" w:space="0" w:color="auto"/>
              <w:right w:val="nil"/>
            </w:tcBorders>
            <w:shd w:val="clear" w:color="auto" w:fill="auto"/>
            <w:vAlign w:val="center"/>
            <w:hideMark/>
          </w:tcPr>
          <w:p w14:paraId="10E6A21B" w14:textId="65A1368D" w:rsidR="00F56D39" w:rsidRPr="00005453" w:rsidRDefault="00F56D39" w:rsidP="00F56D39">
            <w:pPr>
              <w:jc w:val="right"/>
              <w:rPr>
                <w:b/>
                <w:bCs/>
                <w:sz w:val="18"/>
                <w:szCs w:val="18"/>
                <w:lang w:eastAsia="tr-TR"/>
              </w:rPr>
            </w:pPr>
            <w:r w:rsidRPr="00005453">
              <w:rPr>
                <w:b/>
                <w:bCs/>
                <w:sz w:val="18"/>
                <w:szCs w:val="18"/>
              </w:rPr>
              <w:t>50,506,622</w:t>
            </w:r>
          </w:p>
        </w:tc>
        <w:tc>
          <w:tcPr>
            <w:tcW w:w="1403" w:type="dxa"/>
            <w:tcBorders>
              <w:top w:val="nil"/>
              <w:left w:val="nil"/>
              <w:bottom w:val="double" w:sz="6" w:space="0" w:color="auto"/>
              <w:right w:val="nil"/>
            </w:tcBorders>
            <w:shd w:val="clear" w:color="auto" w:fill="auto"/>
            <w:vAlign w:val="center"/>
            <w:hideMark/>
          </w:tcPr>
          <w:p w14:paraId="7AE5AFAF" w14:textId="3240FE06" w:rsidR="00F56D39" w:rsidRPr="00005453" w:rsidRDefault="00F56D39" w:rsidP="00F56D39">
            <w:pPr>
              <w:jc w:val="right"/>
              <w:rPr>
                <w:b/>
                <w:bCs/>
                <w:sz w:val="18"/>
                <w:szCs w:val="18"/>
                <w:lang w:eastAsia="tr-TR"/>
              </w:rPr>
            </w:pPr>
            <w:r w:rsidRPr="00005453">
              <w:rPr>
                <w:b/>
                <w:bCs/>
                <w:sz w:val="18"/>
                <w:szCs w:val="18"/>
              </w:rPr>
              <w:t>46,572,615</w:t>
            </w:r>
          </w:p>
        </w:tc>
        <w:tc>
          <w:tcPr>
            <w:tcW w:w="1134" w:type="dxa"/>
            <w:tcBorders>
              <w:top w:val="nil"/>
              <w:left w:val="nil"/>
              <w:bottom w:val="double" w:sz="6" w:space="0" w:color="auto"/>
              <w:right w:val="nil"/>
            </w:tcBorders>
            <w:shd w:val="clear" w:color="auto" w:fill="auto"/>
            <w:vAlign w:val="center"/>
            <w:hideMark/>
          </w:tcPr>
          <w:p w14:paraId="5891D086" w14:textId="6C2DDE95" w:rsidR="00F56D39" w:rsidRPr="00005453" w:rsidRDefault="00F56D39" w:rsidP="00F56D39">
            <w:pPr>
              <w:jc w:val="right"/>
              <w:rPr>
                <w:b/>
                <w:bCs/>
                <w:sz w:val="18"/>
                <w:szCs w:val="18"/>
                <w:lang w:eastAsia="tr-TR"/>
              </w:rPr>
            </w:pPr>
            <w:r w:rsidRPr="00005453">
              <w:rPr>
                <w:b/>
                <w:bCs/>
                <w:sz w:val="18"/>
                <w:szCs w:val="18"/>
              </w:rPr>
              <w:t>37,119,783</w:t>
            </w:r>
          </w:p>
        </w:tc>
      </w:tr>
    </w:tbl>
    <w:p w14:paraId="28757197" w14:textId="77777777" w:rsidR="00A3530B" w:rsidRPr="004E7AE2" w:rsidRDefault="00A3530B" w:rsidP="00A3530B">
      <w:pPr>
        <w:autoSpaceDE w:val="0"/>
        <w:autoSpaceDN w:val="0"/>
        <w:adjustRightInd w:val="0"/>
        <w:ind w:hanging="567"/>
        <w:rPr>
          <w:sz w:val="10"/>
          <w:szCs w:val="16"/>
        </w:rPr>
      </w:pPr>
    </w:p>
    <w:p w14:paraId="2FFE38F5" w14:textId="79B555EE" w:rsidR="00A90757" w:rsidRPr="00005453" w:rsidRDefault="00C1120C" w:rsidP="001240D7">
      <w:pPr>
        <w:tabs>
          <w:tab w:val="left" w:pos="709"/>
        </w:tabs>
        <w:autoSpaceDE w:val="0"/>
        <w:autoSpaceDN w:val="0"/>
        <w:adjustRightInd w:val="0"/>
        <w:spacing w:line="230" w:lineRule="auto"/>
        <w:ind w:hanging="567"/>
      </w:pPr>
      <w:r w:rsidRPr="00005453">
        <w:rPr>
          <w:b/>
        </w:rPr>
        <w:t>1.10.2</w:t>
      </w:r>
      <w:r w:rsidRPr="00005453">
        <w:tab/>
        <w:t>Finansal kiralamaya yapılan net yatırımlara ilişkin bilgiler</w:t>
      </w:r>
    </w:p>
    <w:p w14:paraId="1FB7C41A" w14:textId="02980F88" w:rsidR="00B010F7" w:rsidRPr="004E7AE2" w:rsidRDefault="00B010F7" w:rsidP="00B010F7">
      <w:pPr>
        <w:autoSpaceDE w:val="0"/>
        <w:autoSpaceDN w:val="0"/>
        <w:adjustRightInd w:val="0"/>
        <w:spacing w:line="230" w:lineRule="auto"/>
        <w:ind w:hanging="567"/>
        <w:rPr>
          <w:sz w:val="14"/>
          <w:lang w:eastAsia="en-GB"/>
        </w:rPr>
      </w:pPr>
    </w:p>
    <w:tbl>
      <w:tblPr>
        <w:tblW w:w="9214" w:type="dxa"/>
        <w:tblCellMar>
          <w:left w:w="70" w:type="dxa"/>
          <w:right w:w="70" w:type="dxa"/>
        </w:tblCellMar>
        <w:tblLook w:val="04A0" w:firstRow="1" w:lastRow="0" w:firstColumn="1" w:lastColumn="0" w:noHBand="0" w:noVBand="1"/>
      </w:tblPr>
      <w:tblGrid>
        <w:gridCol w:w="4678"/>
        <w:gridCol w:w="1985"/>
        <w:gridCol w:w="2551"/>
      </w:tblGrid>
      <w:tr w:rsidR="00B010F7" w:rsidRPr="00005453" w14:paraId="639E4161" w14:textId="77777777" w:rsidTr="000E5F12">
        <w:trPr>
          <w:divId w:val="108207384"/>
          <w:trHeight w:val="245"/>
        </w:trPr>
        <w:tc>
          <w:tcPr>
            <w:tcW w:w="4678" w:type="dxa"/>
            <w:tcBorders>
              <w:top w:val="double" w:sz="6" w:space="0" w:color="auto"/>
              <w:left w:val="nil"/>
              <w:bottom w:val="single" w:sz="8" w:space="0" w:color="auto"/>
              <w:right w:val="nil"/>
            </w:tcBorders>
            <w:shd w:val="clear" w:color="auto" w:fill="auto"/>
            <w:vAlign w:val="center"/>
            <w:hideMark/>
          </w:tcPr>
          <w:p w14:paraId="3D89520D" w14:textId="47D70A6D" w:rsidR="00B010F7" w:rsidRPr="00005453" w:rsidRDefault="00B010F7" w:rsidP="00B010F7">
            <w:pPr>
              <w:jc w:val="center"/>
              <w:rPr>
                <w:sz w:val="18"/>
                <w:szCs w:val="18"/>
                <w:lang w:eastAsia="tr-TR"/>
              </w:rPr>
            </w:pPr>
            <w:r w:rsidRPr="00005453">
              <w:rPr>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581D83C1" w14:textId="77777777" w:rsidR="00B010F7" w:rsidRPr="00005453" w:rsidRDefault="00B010F7" w:rsidP="00B010F7">
            <w:pPr>
              <w:jc w:val="right"/>
              <w:rPr>
                <w:b/>
                <w:bCs/>
                <w:sz w:val="18"/>
                <w:szCs w:val="18"/>
                <w:lang w:eastAsia="tr-TR"/>
              </w:rPr>
            </w:pPr>
            <w:r w:rsidRPr="00005453">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7F546471" w14:textId="77777777" w:rsidR="00B010F7" w:rsidRPr="00005453" w:rsidRDefault="00B010F7" w:rsidP="00B010F7">
            <w:pPr>
              <w:jc w:val="right"/>
              <w:rPr>
                <w:b/>
                <w:bCs/>
                <w:sz w:val="18"/>
                <w:szCs w:val="18"/>
                <w:lang w:eastAsia="tr-TR"/>
              </w:rPr>
            </w:pPr>
            <w:r w:rsidRPr="00005453">
              <w:rPr>
                <w:b/>
                <w:bCs/>
                <w:sz w:val="18"/>
                <w:szCs w:val="18"/>
                <w:lang w:eastAsia="tr-TR"/>
              </w:rPr>
              <w:t>Önceki Dönem</w:t>
            </w:r>
          </w:p>
        </w:tc>
      </w:tr>
      <w:tr w:rsidR="00F56D39" w:rsidRPr="00005453" w14:paraId="231BF5F2" w14:textId="77777777" w:rsidTr="00F56D39">
        <w:trPr>
          <w:divId w:val="108207384"/>
          <w:trHeight w:val="231"/>
        </w:trPr>
        <w:tc>
          <w:tcPr>
            <w:tcW w:w="4678" w:type="dxa"/>
            <w:tcBorders>
              <w:top w:val="nil"/>
              <w:left w:val="nil"/>
              <w:bottom w:val="nil"/>
              <w:right w:val="nil"/>
            </w:tcBorders>
            <w:shd w:val="clear" w:color="auto" w:fill="auto"/>
            <w:vAlign w:val="center"/>
            <w:hideMark/>
          </w:tcPr>
          <w:p w14:paraId="493F09AB" w14:textId="77777777" w:rsidR="00F56D39" w:rsidRPr="00005453" w:rsidRDefault="00F56D39" w:rsidP="00F56D39">
            <w:pPr>
              <w:jc w:val="both"/>
              <w:rPr>
                <w:sz w:val="18"/>
                <w:szCs w:val="18"/>
                <w:lang w:eastAsia="tr-TR"/>
              </w:rPr>
            </w:pPr>
            <w:r w:rsidRPr="00005453">
              <w:rPr>
                <w:sz w:val="18"/>
                <w:szCs w:val="18"/>
                <w:lang w:eastAsia="tr-TR"/>
              </w:rPr>
              <w:t>Brüt Finansal Kiralama Yatırımı</w:t>
            </w:r>
          </w:p>
        </w:tc>
        <w:tc>
          <w:tcPr>
            <w:tcW w:w="1985" w:type="dxa"/>
            <w:tcBorders>
              <w:top w:val="nil"/>
              <w:left w:val="nil"/>
              <w:bottom w:val="nil"/>
              <w:right w:val="nil"/>
            </w:tcBorders>
            <w:shd w:val="clear" w:color="auto" w:fill="auto"/>
            <w:vAlign w:val="center"/>
            <w:hideMark/>
          </w:tcPr>
          <w:p w14:paraId="1262C063" w14:textId="3F26DB00" w:rsidR="00F56D39" w:rsidRPr="00005453" w:rsidRDefault="00F56D39" w:rsidP="00F56D39">
            <w:pPr>
              <w:jc w:val="right"/>
              <w:rPr>
                <w:sz w:val="18"/>
                <w:szCs w:val="18"/>
                <w:lang w:eastAsia="tr-TR"/>
              </w:rPr>
            </w:pPr>
            <w:r w:rsidRPr="00005453">
              <w:rPr>
                <w:sz w:val="18"/>
                <w:szCs w:val="18"/>
              </w:rPr>
              <w:t>60,603,677</w:t>
            </w:r>
          </w:p>
        </w:tc>
        <w:tc>
          <w:tcPr>
            <w:tcW w:w="2551" w:type="dxa"/>
            <w:tcBorders>
              <w:top w:val="nil"/>
              <w:left w:val="nil"/>
              <w:bottom w:val="nil"/>
              <w:right w:val="nil"/>
            </w:tcBorders>
            <w:shd w:val="clear" w:color="auto" w:fill="auto"/>
            <w:vAlign w:val="center"/>
            <w:hideMark/>
          </w:tcPr>
          <w:p w14:paraId="717B5294" w14:textId="176A02A4" w:rsidR="00F56D39" w:rsidRPr="00005453" w:rsidRDefault="00F56D39" w:rsidP="00F56D39">
            <w:pPr>
              <w:jc w:val="right"/>
              <w:rPr>
                <w:sz w:val="18"/>
                <w:szCs w:val="18"/>
                <w:lang w:eastAsia="tr-TR"/>
              </w:rPr>
            </w:pPr>
            <w:r w:rsidRPr="00005453">
              <w:rPr>
                <w:sz w:val="18"/>
                <w:szCs w:val="18"/>
                <w:lang w:eastAsia="tr-TR"/>
              </w:rPr>
              <w:t>46,572,615</w:t>
            </w:r>
          </w:p>
        </w:tc>
      </w:tr>
      <w:tr w:rsidR="00F56D39" w:rsidRPr="00005453" w14:paraId="12F7E836" w14:textId="77777777" w:rsidTr="00F56D39">
        <w:trPr>
          <w:divId w:val="108207384"/>
          <w:trHeight w:val="231"/>
        </w:trPr>
        <w:tc>
          <w:tcPr>
            <w:tcW w:w="4678" w:type="dxa"/>
            <w:tcBorders>
              <w:top w:val="nil"/>
              <w:left w:val="nil"/>
              <w:bottom w:val="nil"/>
              <w:right w:val="nil"/>
            </w:tcBorders>
            <w:shd w:val="clear" w:color="auto" w:fill="auto"/>
            <w:vAlign w:val="center"/>
            <w:hideMark/>
          </w:tcPr>
          <w:p w14:paraId="02B71A43" w14:textId="77777777" w:rsidR="00F56D39" w:rsidRPr="00005453" w:rsidRDefault="00F56D39" w:rsidP="00F56D39">
            <w:pPr>
              <w:jc w:val="both"/>
              <w:rPr>
                <w:sz w:val="18"/>
                <w:szCs w:val="18"/>
                <w:lang w:eastAsia="tr-TR"/>
              </w:rPr>
            </w:pPr>
            <w:r w:rsidRPr="00005453">
              <w:rPr>
                <w:sz w:val="18"/>
                <w:szCs w:val="18"/>
                <w:lang w:eastAsia="tr-TR"/>
              </w:rPr>
              <w:t>Finansal Kiralamadan Kazanılmamış Finansal Gelirler (-)</w:t>
            </w:r>
          </w:p>
        </w:tc>
        <w:tc>
          <w:tcPr>
            <w:tcW w:w="1985" w:type="dxa"/>
            <w:tcBorders>
              <w:top w:val="nil"/>
              <w:left w:val="nil"/>
              <w:bottom w:val="nil"/>
              <w:right w:val="nil"/>
            </w:tcBorders>
            <w:shd w:val="clear" w:color="auto" w:fill="auto"/>
            <w:vAlign w:val="center"/>
            <w:hideMark/>
          </w:tcPr>
          <w:p w14:paraId="45772B8B" w14:textId="4339E16D" w:rsidR="00F56D39" w:rsidRPr="00005453" w:rsidRDefault="00F56D39" w:rsidP="00F56D39">
            <w:pPr>
              <w:jc w:val="right"/>
              <w:rPr>
                <w:sz w:val="18"/>
                <w:szCs w:val="18"/>
                <w:lang w:eastAsia="tr-TR"/>
              </w:rPr>
            </w:pPr>
            <w:r w:rsidRPr="00005453">
              <w:rPr>
                <w:sz w:val="18"/>
                <w:szCs w:val="18"/>
              </w:rPr>
              <w:t>10,097,055</w:t>
            </w:r>
          </w:p>
        </w:tc>
        <w:tc>
          <w:tcPr>
            <w:tcW w:w="2551" w:type="dxa"/>
            <w:tcBorders>
              <w:top w:val="nil"/>
              <w:left w:val="nil"/>
              <w:bottom w:val="nil"/>
              <w:right w:val="nil"/>
            </w:tcBorders>
            <w:shd w:val="clear" w:color="auto" w:fill="auto"/>
            <w:vAlign w:val="center"/>
            <w:hideMark/>
          </w:tcPr>
          <w:p w14:paraId="07CE5DFA" w14:textId="274BC00E" w:rsidR="00F56D39" w:rsidRPr="00005453" w:rsidRDefault="00F56D39" w:rsidP="00F56D39">
            <w:pPr>
              <w:jc w:val="right"/>
              <w:rPr>
                <w:sz w:val="18"/>
                <w:szCs w:val="18"/>
                <w:lang w:eastAsia="tr-TR"/>
              </w:rPr>
            </w:pPr>
            <w:r w:rsidRPr="00005453">
              <w:rPr>
                <w:sz w:val="18"/>
                <w:szCs w:val="18"/>
                <w:lang w:eastAsia="tr-TR"/>
              </w:rPr>
              <w:t>9,452,832</w:t>
            </w:r>
          </w:p>
        </w:tc>
      </w:tr>
      <w:tr w:rsidR="00F56D39" w:rsidRPr="00005453" w14:paraId="3A290122" w14:textId="77777777" w:rsidTr="00F56D39">
        <w:trPr>
          <w:divId w:val="108207384"/>
          <w:trHeight w:val="231"/>
        </w:trPr>
        <w:tc>
          <w:tcPr>
            <w:tcW w:w="4678" w:type="dxa"/>
            <w:tcBorders>
              <w:top w:val="nil"/>
              <w:left w:val="nil"/>
              <w:bottom w:val="nil"/>
              <w:right w:val="nil"/>
            </w:tcBorders>
            <w:shd w:val="clear" w:color="auto" w:fill="auto"/>
            <w:vAlign w:val="center"/>
            <w:hideMark/>
          </w:tcPr>
          <w:p w14:paraId="4B940F6C" w14:textId="77777777" w:rsidR="00F56D39" w:rsidRPr="00005453" w:rsidRDefault="00F56D39" w:rsidP="00F56D39">
            <w:pPr>
              <w:jc w:val="both"/>
              <w:rPr>
                <w:sz w:val="18"/>
                <w:szCs w:val="18"/>
                <w:lang w:eastAsia="tr-TR"/>
              </w:rPr>
            </w:pPr>
            <w:r w:rsidRPr="00005453">
              <w:rPr>
                <w:sz w:val="18"/>
                <w:szCs w:val="18"/>
                <w:lang w:eastAsia="tr-TR"/>
              </w:rPr>
              <w:t xml:space="preserve">İptal Edilen Kiralama Tutarları (-) </w:t>
            </w:r>
          </w:p>
        </w:tc>
        <w:tc>
          <w:tcPr>
            <w:tcW w:w="1985" w:type="dxa"/>
            <w:tcBorders>
              <w:top w:val="nil"/>
              <w:left w:val="nil"/>
              <w:bottom w:val="nil"/>
              <w:right w:val="nil"/>
            </w:tcBorders>
            <w:shd w:val="clear" w:color="auto" w:fill="auto"/>
            <w:vAlign w:val="center"/>
            <w:hideMark/>
          </w:tcPr>
          <w:p w14:paraId="0A2077BB" w14:textId="0D115529" w:rsidR="00F56D39" w:rsidRPr="00005453" w:rsidRDefault="00F56D39" w:rsidP="00F56D39">
            <w:pPr>
              <w:jc w:val="right"/>
              <w:rPr>
                <w:sz w:val="18"/>
                <w:szCs w:val="18"/>
                <w:lang w:eastAsia="tr-TR"/>
              </w:rPr>
            </w:pPr>
            <w:r w:rsidRPr="00005453">
              <w:rPr>
                <w:sz w:val="18"/>
                <w:szCs w:val="18"/>
              </w:rPr>
              <w:t>-</w:t>
            </w:r>
          </w:p>
        </w:tc>
        <w:tc>
          <w:tcPr>
            <w:tcW w:w="2551" w:type="dxa"/>
            <w:tcBorders>
              <w:top w:val="nil"/>
              <w:left w:val="nil"/>
              <w:bottom w:val="nil"/>
              <w:right w:val="nil"/>
            </w:tcBorders>
            <w:shd w:val="clear" w:color="auto" w:fill="auto"/>
            <w:vAlign w:val="center"/>
            <w:hideMark/>
          </w:tcPr>
          <w:p w14:paraId="1A9DFE14" w14:textId="2ED25F20" w:rsidR="00F56D39" w:rsidRPr="00005453" w:rsidRDefault="00F56D39" w:rsidP="00F56D39">
            <w:pPr>
              <w:jc w:val="right"/>
              <w:rPr>
                <w:sz w:val="18"/>
                <w:szCs w:val="18"/>
                <w:lang w:eastAsia="tr-TR"/>
              </w:rPr>
            </w:pPr>
            <w:r w:rsidRPr="00005453">
              <w:rPr>
                <w:sz w:val="18"/>
                <w:szCs w:val="18"/>
                <w:lang w:eastAsia="tr-TR"/>
              </w:rPr>
              <w:t>-</w:t>
            </w:r>
          </w:p>
        </w:tc>
      </w:tr>
      <w:tr w:rsidR="00F56D39" w:rsidRPr="00005453" w14:paraId="44FA0D24" w14:textId="77777777" w:rsidTr="00F56D39">
        <w:trPr>
          <w:divId w:val="108207384"/>
          <w:trHeight w:val="231"/>
        </w:trPr>
        <w:tc>
          <w:tcPr>
            <w:tcW w:w="4678" w:type="dxa"/>
            <w:tcBorders>
              <w:top w:val="single" w:sz="8" w:space="0" w:color="auto"/>
              <w:left w:val="nil"/>
              <w:bottom w:val="double" w:sz="6" w:space="0" w:color="auto"/>
              <w:right w:val="nil"/>
            </w:tcBorders>
            <w:shd w:val="clear" w:color="auto" w:fill="auto"/>
            <w:vAlign w:val="center"/>
            <w:hideMark/>
          </w:tcPr>
          <w:p w14:paraId="521D5436" w14:textId="77777777" w:rsidR="00F56D39" w:rsidRPr="00005453" w:rsidRDefault="00F56D39" w:rsidP="00F56D39">
            <w:pPr>
              <w:jc w:val="both"/>
              <w:rPr>
                <w:b/>
                <w:bCs/>
                <w:sz w:val="18"/>
                <w:szCs w:val="18"/>
                <w:lang w:eastAsia="tr-TR"/>
              </w:rPr>
            </w:pPr>
            <w:r w:rsidRPr="00005453">
              <w:rPr>
                <w:b/>
                <w:bCs/>
                <w:sz w:val="18"/>
                <w:szCs w:val="18"/>
                <w:lang w:eastAsia="tr-TR"/>
              </w:rPr>
              <w:t>Net Finansal Kiralama Yatırımı</w:t>
            </w:r>
          </w:p>
        </w:tc>
        <w:tc>
          <w:tcPr>
            <w:tcW w:w="1985" w:type="dxa"/>
            <w:tcBorders>
              <w:top w:val="single" w:sz="8" w:space="0" w:color="auto"/>
              <w:left w:val="nil"/>
              <w:bottom w:val="double" w:sz="6" w:space="0" w:color="auto"/>
              <w:right w:val="nil"/>
            </w:tcBorders>
            <w:shd w:val="clear" w:color="auto" w:fill="auto"/>
            <w:vAlign w:val="center"/>
            <w:hideMark/>
          </w:tcPr>
          <w:p w14:paraId="4A3473CF" w14:textId="36DBF49E" w:rsidR="00F56D39" w:rsidRPr="00005453" w:rsidRDefault="00F56D39" w:rsidP="00F56D39">
            <w:pPr>
              <w:jc w:val="right"/>
              <w:rPr>
                <w:b/>
                <w:sz w:val="18"/>
                <w:szCs w:val="18"/>
                <w:lang w:eastAsia="tr-TR"/>
              </w:rPr>
            </w:pPr>
            <w:r w:rsidRPr="00005453">
              <w:rPr>
                <w:b/>
                <w:bCs/>
                <w:sz w:val="18"/>
                <w:szCs w:val="18"/>
              </w:rPr>
              <w:t>50,506,622</w:t>
            </w:r>
          </w:p>
        </w:tc>
        <w:tc>
          <w:tcPr>
            <w:tcW w:w="2551" w:type="dxa"/>
            <w:tcBorders>
              <w:top w:val="single" w:sz="8" w:space="0" w:color="auto"/>
              <w:left w:val="nil"/>
              <w:bottom w:val="double" w:sz="6" w:space="0" w:color="auto"/>
              <w:right w:val="nil"/>
            </w:tcBorders>
            <w:shd w:val="clear" w:color="auto" w:fill="auto"/>
            <w:vAlign w:val="center"/>
            <w:hideMark/>
          </w:tcPr>
          <w:p w14:paraId="594B9E05" w14:textId="002D733F" w:rsidR="00F56D39" w:rsidRPr="00005453" w:rsidRDefault="00F56D39" w:rsidP="00F56D39">
            <w:pPr>
              <w:jc w:val="right"/>
              <w:rPr>
                <w:b/>
                <w:bCs/>
                <w:sz w:val="18"/>
                <w:szCs w:val="18"/>
                <w:lang w:eastAsia="tr-TR"/>
              </w:rPr>
            </w:pPr>
            <w:r w:rsidRPr="00005453">
              <w:rPr>
                <w:b/>
                <w:sz w:val="18"/>
                <w:szCs w:val="18"/>
                <w:lang w:eastAsia="tr-TR"/>
              </w:rPr>
              <w:t>37,119,783</w:t>
            </w:r>
          </w:p>
        </w:tc>
      </w:tr>
    </w:tbl>
    <w:p w14:paraId="5A0FF472" w14:textId="77777777" w:rsidR="007E6597" w:rsidRPr="004E7AE2" w:rsidRDefault="007E6597" w:rsidP="004F702F">
      <w:pPr>
        <w:autoSpaceDE w:val="0"/>
        <w:autoSpaceDN w:val="0"/>
        <w:adjustRightInd w:val="0"/>
        <w:spacing w:line="230" w:lineRule="auto"/>
        <w:rPr>
          <w:b/>
          <w:sz w:val="12"/>
        </w:rPr>
      </w:pPr>
    </w:p>
    <w:p w14:paraId="572C2ABD" w14:textId="67B26BAD" w:rsidR="006B4EDA" w:rsidRPr="00005453" w:rsidRDefault="000C6E76" w:rsidP="00A023D6">
      <w:pPr>
        <w:autoSpaceDE w:val="0"/>
        <w:autoSpaceDN w:val="0"/>
        <w:adjustRightInd w:val="0"/>
        <w:spacing w:line="230" w:lineRule="auto"/>
        <w:ind w:hanging="567"/>
      </w:pPr>
      <w:r w:rsidRPr="00005453">
        <w:rPr>
          <w:b/>
        </w:rPr>
        <w:t>1.10.3</w:t>
      </w:r>
      <w:r w:rsidRPr="00005453">
        <w:rPr>
          <w:b/>
        </w:rPr>
        <w:tab/>
      </w:r>
      <w:r w:rsidR="00E253C8" w:rsidRPr="00005453">
        <w:t>Yapılan finansal kiralama sözleşmeleri ile ilgili genel açıklamalar</w:t>
      </w:r>
    </w:p>
    <w:p w14:paraId="54708829" w14:textId="77777777" w:rsidR="008D19CD" w:rsidRPr="00005453" w:rsidRDefault="008D19CD" w:rsidP="00A023D6">
      <w:pPr>
        <w:pStyle w:val="BodyTextIndent"/>
        <w:spacing w:line="230" w:lineRule="auto"/>
        <w:ind w:left="0" w:firstLine="0"/>
        <w:rPr>
          <w:sz w:val="8"/>
          <w:szCs w:val="10"/>
          <w:lang w:eastAsia="en-US"/>
        </w:rPr>
      </w:pPr>
    </w:p>
    <w:p w14:paraId="5C4D544A" w14:textId="7C4733A5" w:rsidR="00401BFB" w:rsidRPr="00005453" w:rsidRDefault="00401BFB" w:rsidP="00401BFB">
      <w:pPr>
        <w:pStyle w:val="BodyTextIndent"/>
        <w:spacing w:line="230" w:lineRule="auto"/>
        <w:ind w:left="0" w:firstLine="0"/>
        <w:rPr>
          <w:spacing w:val="-6"/>
        </w:rPr>
      </w:pPr>
      <w:r w:rsidRPr="00005453">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w:t>
      </w:r>
      <w:bookmarkStart w:id="83" w:name="_Hlk188968443"/>
      <w:r w:rsidRPr="00005453">
        <w:rPr>
          <w:spacing w:val="-6"/>
        </w:rPr>
        <w:t xml:space="preserve">Bilançoda donuk alacaklar içerisinde izlenen hareketsiz hale gelmiş olan finansal kiralama alacakları </w:t>
      </w:r>
      <w:r w:rsidR="0046162A" w:rsidRPr="00005453">
        <w:rPr>
          <w:spacing w:val="-6"/>
        </w:rPr>
        <w:t>652</w:t>
      </w:r>
      <w:r w:rsidRPr="00005453">
        <w:rPr>
          <w:spacing w:val="-6"/>
        </w:rPr>
        <w:t>,</w:t>
      </w:r>
      <w:r w:rsidR="0046162A" w:rsidRPr="00005453">
        <w:rPr>
          <w:spacing w:val="-6"/>
        </w:rPr>
        <w:t>739</w:t>
      </w:r>
      <w:r w:rsidRPr="00005453">
        <w:rPr>
          <w:spacing w:val="-6"/>
        </w:rPr>
        <w:t xml:space="preserve"> TL’dir (31 Aralık 202</w:t>
      </w:r>
      <w:r w:rsidR="00412107" w:rsidRPr="00005453">
        <w:rPr>
          <w:spacing w:val="-6"/>
        </w:rPr>
        <w:t>3</w:t>
      </w:r>
      <w:r w:rsidRPr="00005453">
        <w:rPr>
          <w:spacing w:val="-6"/>
        </w:rPr>
        <w:t xml:space="preserve"> – </w:t>
      </w:r>
      <w:r w:rsidR="00412107" w:rsidRPr="00005453">
        <w:rPr>
          <w:spacing w:val="-6"/>
        </w:rPr>
        <w:t>131</w:t>
      </w:r>
      <w:r w:rsidR="008600CF" w:rsidRPr="00005453">
        <w:rPr>
          <w:spacing w:val="-6"/>
        </w:rPr>
        <w:t>,</w:t>
      </w:r>
      <w:r w:rsidR="00412107" w:rsidRPr="00005453">
        <w:rPr>
          <w:spacing w:val="-6"/>
        </w:rPr>
        <w:t>812</w:t>
      </w:r>
      <w:r w:rsidR="008600CF" w:rsidRPr="00005453">
        <w:rPr>
          <w:spacing w:val="-6"/>
        </w:rPr>
        <w:t xml:space="preserve"> </w:t>
      </w:r>
      <w:r w:rsidRPr="00005453">
        <w:rPr>
          <w:spacing w:val="-6"/>
        </w:rPr>
        <w:t xml:space="preserve">TL). </w:t>
      </w:r>
    </w:p>
    <w:p w14:paraId="1E630AFE" w14:textId="1BAE9AAB" w:rsidR="006B4EDA" w:rsidRDefault="006B4EDA" w:rsidP="00A023D6">
      <w:pPr>
        <w:pStyle w:val="BodyTextIndent"/>
        <w:spacing w:line="230" w:lineRule="auto"/>
        <w:ind w:left="0" w:firstLine="0"/>
        <w:jc w:val="left"/>
        <w:rPr>
          <w:sz w:val="14"/>
          <w:szCs w:val="12"/>
        </w:rPr>
      </w:pPr>
    </w:p>
    <w:p w14:paraId="7766A8DC" w14:textId="77777777" w:rsidR="004738AC" w:rsidRPr="007E6597" w:rsidRDefault="004738AC" w:rsidP="00A023D6">
      <w:pPr>
        <w:pStyle w:val="BodyTextIndent"/>
        <w:spacing w:line="230" w:lineRule="auto"/>
        <w:ind w:left="0" w:firstLine="0"/>
        <w:jc w:val="left"/>
        <w:rPr>
          <w:sz w:val="14"/>
          <w:szCs w:val="12"/>
        </w:rPr>
      </w:pPr>
    </w:p>
    <w:bookmarkEnd w:id="83"/>
    <w:p w14:paraId="4EDD188B" w14:textId="77777777" w:rsidR="00401BFB" w:rsidRPr="00005453" w:rsidRDefault="00401BFB" w:rsidP="00401BFB">
      <w:pPr>
        <w:tabs>
          <w:tab w:val="left" w:pos="709"/>
        </w:tabs>
        <w:autoSpaceDE w:val="0"/>
        <w:autoSpaceDN w:val="0"/>
        <w:adjustRightInd w:val="0"/>
        <w:spacing w:line="230" w:lineRule="auto"/>
        <w:ind w:hanging="567"/>
        <w:jc w:val="both"/>
        <w:rPr>
          <w:b/>
          <w:bCs/>
          <w:iCs/>
        </w:rPr>
      </w:pPr>
      <w:r w:rsidRPr="00005453">
        <w:rPr>
          <w:b/>
          <w:bCs/>
          <w:iCs/>
        </w:rPr>
        <w:lastRenderedPageBreak/>
        <w:t>1.11</w:t>
      </w:r>
      <w:r w:rsidRPr="00005453">
        <w:rPr>
          <w:b/>
          <w:bCs/>
          <w:iCs/>
        </w:rPr>
        <w:tab/>
        <w:t>Riskten korunma amaçlı türev finansal araçlara ilişkin açıklamalar</w:t>
      </w:r>
    </w:p>
    <w:p w14:paraId="130376F9" w14:textId="77777777" w:rsidR="00401BFB" w:rsidRPr="00005453" w:rsidRDefault="00401BFB" w:rsidP="00401BFB">
      <w:pPr>
        <w:tabs>
          <w:tab w:val="left" w:pos="709"/>
        </w:tabs>
        <w:autoSpaceDE w:val="0"/>
        <w:autoSpaceDN w:val="0"/>
        <w:adjustRightInd w:val="0"/>
        <w:spacing w:line="230" w:lineRule="auto"/>
        <w:ind w:hanging="567"/>
        <w:jc w:val="both"/>
        <w:rPr>
          <w:b/>
          <w:bCs/>
          <w:iCs/>
          <w:sz w:val="12"/>
        </w:rPr>
      </w:pPr>
    </w:p>
    <w:p w14:paraId="06F7E635" w14:textId="707E3DD0" w:rsidR="00401BFB" w:rsidRPr="00005453" w:rsidRDefault="00401BFB" w:rsidP="00401BFB">
      <w:pPr>
        <w:tabs>
          <w:tab w:val="left" w:pos="709"/>
        </w:tabs>
        <w:autoSpaceDE w:val="0"/>
        <w:autoSpaceDN w:val="0"/>
        <w:adjustRightInd w:val="0"/>
        <w:spacing w:line="230" w:lineRule="auto"/>
        <w:ind w:hanging="567"/>
        <w:jc w:val="both"/>
        <w:rPr>
          <w:bCs/>
          <w:iCs/>
        </w:rPr>
      </w:pPr>
      <w:r w:rsidRPr="00005453">
        <w:rPr>
          <w:b/>
          <w:bCs/>
          <w:iCs/>
        </w:rPr>
        <w:tab/>
      </w:r>
      <w:r w:rsidRPr="00005453">
        <w:rPr>
          <w:bCs/>
          <w:iCs/>
        </w:rPr>
        <w:t>Yoktur (31 Aralık 202</w:t>
      </w:r>
      <w:r w:rsidR="00412107" w:rsidRPr="00005453">
        <w:rPr>
          <w:bCs/>
          <w:iCs/>
        </w:rPr>
        <w:t>3</w:t>
      </w:r>
      <w:r w:rsidRPr="00005453">
        <w:rPr>
          <w:bCs/>
          <w:iCs/>
        </w:rPr>
        <w:t xml:space="preserve"> – Yoktur).</w:t>
      </w:r>
    </w:p>
    <w:p w14:paraId="57527B9C" w14:textId="77777777" w:rsidR="00921084" w:rsidRPr="007E6597" w:rsidRDefault="00921084" w:rsidP="007E6597">
      <w:pPr>
        <w:tabs>
          <w:tab w:val="left" w:pos="709"/>
        </w:tabs>
        <w:autoSpaceDE w:val="0"/>
        <w:autoSpaceDN w:val="0"/>
        <w:adjustRightInd w:val="0"/>
        <w:spacing w:line="230" w:lineRule="auto"/>
        <w:jc w:val="both"/>
        <w:rPr>
          <w:bCs/>
          <w:iCs/>
          <w:sz w:val="16"/>
        </w:rPr>
      </w:pPr>
    </w:p>
    <w:p w14:paraId="110693B5" w14:textId="4F9D76B4" w:rsidR="005B6992" w:rsidRPr="00005453" w:rsidRDefault="001E4705" w:rsidP="00C4058F">
      <w:pPr>
        <w:tabs>
          <w:tab w:val="left" w:pos="709"/>
        </w:tabs>
        <w:autoSpaceDE w:val="0"/>
        <w:autoSpaceDN w:val="0"/>
        <w:adjustRightInd w:val="0"/>
        <w:spacing w:line="230" w:lineRule="auto"/>
        <w:ind w:hanging="567"/>
        <w:jc w:val="both"/>
        <w:rPr>
          <w:b/>
          <w:bCs/>
          <w:iCs/>
        </w:rPr>
      </w:pPr>
      <w:r w:rsidRPr="00005453">
        <w:rPr>
          <w:b/>
          <w:bCs/>
          <w:iCs/>
        </w:rPr>
        <w:t>1.12.</w:t>
      </w:r>
      <w:r w:rsidRPr="00005453">
        <w:rPr>
          <w:b/>
          <w:bCs/>
          <w:iCs/>
        </w:rPr>
        <w:tab/>
      </w:r>
      <w:bookmarkStart w:id="84" w:name="OLE_LINK15"/>
      <w:r w:rsidRPr="00005453">
        <w:rPr>
          <w:b/>
          <w:bCs/>
          <w:iCs/>
        </w:rPr>
        <w:t>Maddi duran varlıklara ilişkin bilgiler</w:t>
      </w:r>
      <w:bookmarkEnd w:id="84"/>
    </w:p>
    <w:p w14:paraId="2A41DF94" w14:textId="4AB404CE" w:rsidR="005B6992" w:rsidRPr="00005453" w:rsidRDefault="005B6992" w:rsidP="001E4705">
      <w:pPr>
        <w:autoSpaceDE w:val="0"/>
        <w:autoSpaceDN w:val="0"/>
        <w:adjustRightInd w:val="0"/>
        <w:ind w:left="540" w:hanging="540"/>
        <w:rPr>
          <w:sz w:val="12"/>
          <w:lang w:eastAsia="en-GB"/>
        </w:rPr>
      </w:pPr>
    </w:p>
    <w:tbl>
      <w:tblPr>
        <w:tblW w:w="9214" w:type="dxa"/>
        <w:tblCellMar>
          <w:left w:w="70" w:type="dxa"/>
          <w:right w:w="70" w:type="dxa"/>
        </w:tblCellMar>
        <w:tblLook w:val="04A0" w:firstRow="1" w:lastRow="0" w:firstColumn="1" w:lastColumn="0" w:noHBand="0" w:noVBand="1"/>
      </w:tblPr>
      <w:tblGrid>
        <w:gridCol w:w="2911"/>
        <w:gridCol w:w="1139"/>
        <w:gridCol w:w="1745"/>
        <w:gridCol w:w="1233"/>
        <w:gridCol w:w="1116"/>
        <w:gridCol w:w="1070"/>
      </w:tblGrid>
      <w:tr w:rsidR="005B6992" w:rsidRPr="00005453" w14:paraId="42CFC298" w14:textId="77777777" w:rsidTr="00B8656D">
        <w:trPr>
          <w:trHeight w:val="120"/>
        </w:trPr>
        <w:tc>
          <w:tcPr>
            <w:tcW w:w="2911" w:type="dxa"/>
            <w:tcBorders>
              <w:top w:val="double" w:sz="6" w:space="0" w:color="auto"/>
              <w:left w:val="nil"/>
              <w:bottom w:val="single" w:sz="8" w:space="0" w:color="auto"/>
              <w:right w:val="nil"/>
            </w:tcBorders>
            <w:shd w:val="clear" w:color="auto" w:fill="auto"/>
            <w:vAlign w:val="center"/>
            <w:hideMark/>
          </w:tcPr>
          <w:p w14:paraId="015D1AE1" w14:textId="501E020F" w:rsidR="005B6992" w:rsidRPr="00005453" w:rsidRDefault="005B6992" w:rsidP="005B6992">
            <w:pPr>
              <w:rPr>
                <w:b/>
                <w:bCs/>
                <w:sz w:val="16"/>
                <w:szCs w:val="16"/>
                <w:lang w:eastAsia="tr-TR"/>
              </w:rPr>
            </w:pPr>
            <w:r w:rsidRPr="00005453">
              <w:rPr>
                <w:b/>
                <w:bCs/>
                <w:sz w:val="16"/>
                <w:szCs w:val="16"/>
                <w:lang w:eastAsia="tr-TR"/>
              </w:rPr>
              <w:t>Cari Dönem</w:t>
            </w:r>
          </w:p>
        </w:tc>
        <w:tc>
          <w:tcPr>
            <w:tcW w:w="1139" w:type="dxa"/>
            <w:tcBorders>
              <w:top w:val="double" w:sz="6" w:space="0" w:color="auto"/>
              <w:left w:val="nil"/>
              <w:bottom w:val="single" w:sz="8" w:space="0" w:color="auto"/>
              <w:right w:val="nil"/>
            </w:tcBorders>
            <w:shd w:val="clear" w:color="auto" w:fill="auto"/>
            <w:vAlign w:val="center"/>
            <w:hideMark/>
          </w:tcPr>
          <w:p w14:paraId="6BDCE5D4" w14:textId="77777777" w:rsidR="005B6992" w:rsidRPr="00005453" w:rsidRDefault="005B6992" w:rsidP="005B6992">
            <w:pPr>
              <w:jc w:val="right"/>
              <w:rPr>
                <w:b/>
                <w:bCs/>
                <w:sz w:val="16"/>
                <w:szCs w:val="16"/>
                <w:lang w:eastAsia="tr-TR"/>
              </w:rPr>
            </w:pPr>
            <w:proofErr w:type="gramStart"/>
            <w:r w:rsidRPr="00005453">
              <w:rPr>
                <w:b/>
                <w:bCs/>
                <w:sz w:val="16"/>
                <w:szCs w:val="16"/>
                <w:lang w:eastAsia="tr-TR"/>
              </w:rPr>
              <w:t>G.Menkul</w:t>
            </w:r>
            <w:proofErr w:type="gramEnd"/>
          </w:p>
        </w:tc>
        <w:tc>
          <w:tcPr>
            <w:tcW w:w="1745" w:type="dxa"/>
            <w:tcBorders>
              <w:top w:val="double" w:sz="6" w:space="0" w:color="auto"/>
              <w:left w:val="nil"/>
              <w:bottom w:val="single" w:sz="8" w:space="0" w:color="auto"/>
              <w:right w:val="nil"/>
            </w:tcBorders>
            <w:shd w:val="clear" w:color="auto" w:fill="auto"/>
            <w:vAlign w:val="center"/>
            <w:hideMark/>
          </w:tcPr>
          <w:p w14:paraId="1469E9C9" w14:textId="77777777" w:rsidR="005B6992" w:rsidRPr="00005453" w:rsidRDefault="005B6992" w:rsidP="005B6992">
            <w:pPr>
              <w:jc w:val="right"/>
              <w:rPr>
                <w:b/>
                <w:bCs/>
                <w:sz w:val="16"/>
                <w:szCs w:val="16"/>
                <w:lang w:eastAsia="tr-TR"/>
              </w:rPr>
            </w:pPr>
            <w:r w:rsidRPr="00005453">
              <w:rPr>
                <w:b/>
                <w:bCs/>
                <w:sz w:val="16"/>
                <w:szCs w:val="16"/>
                <w:lang w:eastAsia="tr-TR"/>
              </w:rPr>
              <w:t>Finansal Kiralama İle Edinilen MDV</w:t>
            </w:r>
          </w:p>
        </w:tc>
        <w:tc>
          <w:tcPr>
            <w:tcW w:w="1233" w:type="dxa"/>
            <w:tcBorders>
              <w:top w:val="double" w:sz="6" w:space="0" w:color="auto"/>
              <w:left w:val="nil"/>
              <w:bottom w:val="single" w:sz="8" w:space="0" w:color="auto"/>
              <w:right w:val="nil"/>
            </w:tcBorders>
            <w:shd w:val="clear" w:color="auto" w:fill="auto"/>
            <w:vAlign w:val="center"/>
            <w:hideMark/>
          </w:tcPr>
          <w:p w14:paraId="3E3A7519" w14:textId="77777777" w:rsidR="005B6992" w:rsidRPr="00005453" w:rsidRDefault="005B6992" w:rsidP="005B6992">
            <w:pPr>
              <w:jc w:val="right"/>
              <w:rPr>
                <w:b/>
                <w:bCs/>
                <w:sz w:val="16"/>
                <w:szCs w:val="16"/>
                <w:lang w:eastAsia="tr-TR"/>
              </w:rPr>
            </w:pPr>
            <w:r w:rsidRPr="00005453">
              <w:rPr>
                <w:b/>
                <w:bCs/>
                <w:sz w:val="16"/>
                <w:szCs w:val="16"/>
                <w:lang w:eastAsia="tr-TR"/>
              </w:rPr>
              <w:t>Araçlar</w:t>
            </w:r>
          </w:p>
        </w:tc>
        <w:tc>
          <w:tcPr>
            <w:tcW w:w="1116" w:type="dxa"/>
            <w:tcBorders>
              <w:top w:val="double" w:sz="6" w:space="0" w:color="auto"/>
              <w:left w:val="nil"/>
              <w:bottom w:val="single" w:sz="8" w:space="0" w:color="auto"/>
              <w:right w:val="nil"/>
            </w:tcBorders>
            <w:shd w:val="clear" w:color="auto" w:fill="auto"/>
            <w:vAlign w:val="center"/>
            <w:hideMark/>
          </w:tcPr>
          <w:p w14:paraId="63AB18F2" w14:textId="77777777" w:rsidR="005B6992" w:rsidRPr="00005453" w:rsidRDefault="005B6992" w:rsidP="005B6992">
            <w:pPr>
              <w:jc w:val="right"/>
              <w:rPr>
                <w:b/>
                <w:bCs/>
                <w:sz w:val="16"/>
                <w:szCs w:val="16"/>
                <w:lang w:eastAsia="tr-TR"/>
              </w:rPr>
            </w:pPr>
            <w:r w:rsidRPr="00005453">
              <w:rPr>
                <w:b/>
                <w:bCs/>
                <w:sz w:val="16"/>
                <w:szCs w:val="16"/>
                <w:lang w:eastAsia="tr-TR"/>
              </w:rPr>
              <w:t>Diğer MDV</w:t>
            </w:r>
          </w:p>
        </w:tc>
        <w:tc>
          <w:tcPr>
            <w:tcW w:w="1070" w:type="dxa"/>
            <w:tcBorders>
              <w:top w:val="double" w:sz="6" w:space="0" w:color="auto"/>
              <w:left w:val="nil"/>
              <w:bottom w:val="single" w:sz="8" w:space="0" w:color="auto"/>
              <w:right w:val="nil"/>
            </w:tcBorders>
            <w:shd w:val="clear" w:color="auto" w:fill="auto"/>
            <w:vAlign w:val="center"/>
            <w:hideMark/>
          </w:tcPr>
          <w:p w14:paraId="35E8E617" w14:textId="77777777" w:rsidR="005B6992" w:rsidRPr="00005453" w:rsidRDefault="005B6992" w:rsidP="005B6992">
            <w:pPr>
              <w:jc w:val="right"/>
              <w:rPr>
                <w:b/>
                <w:bCs/>
                <w:sz w:val="16"/>
                <w:szCs w:val="16"/>
                <w:lang w:eastAsia="tr-TR"/>
              </w:rPr>
            </w:pPr>
            <w:r w:rsidRPr="00005453">
              <w:rPr>
                <w:b/>
                <w:bCs/>
                <w:sz w:val="16"/>
                <w:szCs w:val="16"/>
                <w:lang w:eastAsia="tr-TR"/>
              </w:rPr>
              <w:t>Toplam</w:t>
            </w:r>
          </w:p>
        </w:tc>
      </w:tr>
      <w:tr w:rsidR="005B6992" w:rsidRPr="00005453" w14:paraId="3808BABB" w14:textId="77777777" w:rsidTr="00B8656D">
        <w:trPr>
          <w:trHeight w:val="237"/>
        </w:trPr>
        <w:tc>
          <w:tcPr>
            <w:tcW w:w="2911" w:type="dxa"/>
            <w:tcBorders>
              <w:top w:val="nil"/>
              <w:left w:val="nil"/>
              <w:bottom w:val="nil"/>
              <w:right w:val="nil"/>
            </w:tcBorders>
            <w:shd w:val="clear" w:color="auto" w:fill="auto"/>
            <w:vAlign w:val="center"/>
            <w:hideMark/>
          </w:tcPr>
          <w:p w14:paraId="37690A93" w14:textId="77777777" w:rsidR="005B6992" w:rsidRPr="00005453" w:rsidRDefault="005B6992" w:rsidP="005B6992">
            <w:pPr>
              <w:rPr>
                <w:b/>
                <w:bCs/>
                <w:sz w:val="16"/>
                <w:szCs w:val="16"/>
                <w:lang w:eastAsia="tr-TR"/>
              </w:rPr>
            </w:pPr>
            <w:r w:rsidRPr="00005453">
              <w:rPr>
                <w:b/>
                <w:bCs/>
                <w:sz w:val="16"/>
                <w:szCs w:val="16"/>
                <w:lang w:eastAsia="tr-TR"/>
              </w:rPr>
              <w:t>Maliyet</w:t>
            </w:r>
          </w:p>
        </w:tc>
        <w:tc>
          <w:tcPr>
            <w:tcW w:w="1139" w:type="dxa"/>
            <w:tcBorders>
              <w:top w:val="nil"/>
              <w:left w:val="nil"/>
              <w:bottom w:val="nil"/>
              <w:right w:val="nil"/>
            </w:tcBorders>
            <w:shd w:val="clear" w:color="auto" w:fill="auto"/>
            <w:vAlign w:val="center"/>
            <w:hideMark/>
          </w:tcPr>
          <w:p w14:paraId="53C77C92" w14:textId="77777777" w:rsidR="005B6992" w:rsidRPr="00005453" w:rsidRDefault="005B6992" w:rsidP="005B6992">
            <w:pPr>
              <w:rPr>
                <w:b/>
                <w:bCs/>
                <w:sz w:val="16"/>
                <w:szCs w:val="16"/>
                <w:lang w:eastAsia="tr-TR"/>
              </w:rPr>
            </w:pPr>
          </w:p>
        </w:tc>
        <w:tc>
          <w:tcPr>
            <w:tcW w:w="1745" w:type="dxa"/>
            <w:tcBorders>
              <w:top w:val="nil"/>
              <w:left w:val="nil"/>
              <w:bottom w:val="nil"/>
              <w:right w:val="nil"/>
            </w:tcBorders>
            <w:shd w:val="clear" w:color="auto" w:fill="auto"/>
            <w:vAlign w:val="center"/>
            <w:hideMark/>
          </w:tcPr>
          <w:p w14:paraId="2702DEB5" w14:textId="77777777" w:rsidR="005B6992" w:rsidRPr="00005453" w:rsidRDefault="005B6992" w:rsidP="005B6992">
            <w:pPr>
              <w:jc w:val="right"/>
              <w:rPr>
                <w:lang w:eastAsia="tr-TR"/>
              </w:rPr>
            </w:pPr>
          </w:p>
        </w:tc>
        <w:tc>
          <w:tcPr>
            <w:tcW w:w="1233" w:type="dxa"/>
            <w:tcBorders>
              <w:top w:val="nil"/>
              <w:left w:val="nil"/>
              <w:bottom w:val="nil"/>
              <w:right w:val="nil"/>
            </w:tcBorders>
            <w:shd w:val="clear" w:color="auto" w:fill="auto"/>
            <w:vAlign w:val="center"/>
            <w:hideMark/>
          </w:tcPr>
          <w:p w14:paraId="34268E49" w14:textId="77777777" w:rsidR="005B6992" w:rsidRPr="00005453" w:rsidRDefault="005B6992" w:rsidP="005B6992">
            <w:pPr>
              <w:jc w:val="right"/>
              <w:rPr>
                <w:lang w:eastAsia="tr-TR"/>
              </w:rPr>
            </w:pPr>
          </w:p>
        </w:tc>
        <w:tc>
          <w:tcPr>
            <w:tcW w:w="1116" w:type="dxa"/>
            <w:tcBorders>
              <w:top w:val="nil"/>
              <w:left w:val="nil"/>
              <w:bottom w:val="nil"/>
              <w:right w:val="nil"/>
            </w:tcBorders>
            <w:shd w:val="clear" w:color="auto" w:fill="auto"/>
            <w:vAlign w:val="center"/>
            <w:hideMark/>
          </w:tcPr>
          <w:p w14:paraId="462D59C4" w14:textId="77777777" w:rsidR="005B6992" w:rsidRPr="00005453" w:rsidRDefault="005B6992" w:rsidP="005B6992">
            <w:pPr>
              <w:jc w:val="right"/>
              <w:rPr>
                <w:lang w:eastAsia="tr-TR"/>
              </w:rPr>
            </w:pPr>
          </w:p>
        </w:tc>
        <w:tc>
          <w:tcPr>
            <w:tcW w:w="1070" w:type="dxa"/>
            <w:tcBorders>
              <w:top w:val="nil"/>
              <w:left w:val="nil"/>
              <w:bottom w:val="nil"/>
              <w:right w:val="nil"/>
            </w:tcBorders>
            <w:shd w:val="clear" w:color="auto" w:fill="auto"/>
            <w:vAlign w:val="center"/>
            <w:hideMark/>
          </w:tcPr>
          <w:p w14:paraId="54D98679" w14:textId="77777777" w:rsidR="005B6992" w:rsidRPr="00005453" w:rsidRDefault="005B6992" w:rsidP="005B6992">
            <w:pPr>
              <w:jc w:val="right"/>
              <w:rPr>
                <w:lang w:eastAsia="tr-TR"/>
              </w:rPr>
            </w:pPr>
          </w:p>
        </w:tc>
      </w:tr>
      <w:tr w:rsidR="00252443" w:rsidRPr="00005453" w14:paraId="74E2B7C2" w14:textId="77777777" w:rsidTr="00252443">
        <w:trPr>
          <w:trHeight w:val="356"/>
        </w:trPr>
        <w:tc>
          <w:tcPr>
            <w:tcW w:w="2911" w:type="dxa"/>
            <w:tcBorders>
              <w:top w:val="nil"/>
              <w:left w:val="nil"/>
              <w:bottom w:val="nil"/>
              <w:right w:val="nil"/>
            </w:tcBorders>
            <w:shd w:val="clear" w:color="auto" w:fill="auto"/>
            <w:vAlign w:val="center"/>
            <w:hideMark/>
          </w:tcPr>
          <w:p w14:paraId="41F06B8E" w14:textId="0FCD6B67" w:rsidR="00252443" w:rsidRPr="00005453" w:rsidRDefault="00252443" w:rsidP="00252443">
            <w:pPr>
              <w:rPr>
                <w:sz w:val="16"/>
                <w:szCs w:val="16"/>
                <w:lang w:eastAsia="tr-TR"/>
              </w:rPr>
            </w:pPr>
            <w:r w:rsidRPr="00005453">
              <w:rPr>
                <w:sz w:val="16"/>
                <w:szCs w:val="16"/>
                <w:lang w:eastAsia="tr-TR"/>
              </w:rPr>
              <w:t>Dönem başı bakiyesi, 1 Ocak 2024</w:t>
            </w:r>
          </w:p>
        </w:tc>
        <w:tc>
          <w:tcPr>
            <w:tcW w:w="1139" w:type="dxa"/>
            <w:tcBorders>
              <w:top w:val="nil"/>
              <w:left w:val="nil"/>
              <w:bottom w:val="nil"/>
              <w:right w:val="nil"/>
            </w:tcBorders>
            <w:shd w:val="clear" w:color="auto" w:fill="auto"/>
            <w:vAlign w:val="center"/>
            <w:hideMark/>
          </w:tcPr>
          <w:p w14:paraId="3F5AF556" w14:textId="1F44E0AB" w:rsidR="00252443" w:rsidRPr="00005453" w:rsidRDefault="00252443" w:rsidP="00252443">
            <w:pPr>
              <w:jc w:val="right"/>
              <w:rPr>
                <w:sz w:val="18"/>
                <w:szCs w:val="22"/>
              </w:rPr>
            </w:pPr>
            <w:r w:rsidRPr="00005453">
              <w:rPr>
                <w:sz w:val="18"/>
                <w:szCs w:val="22"/>
              </w:rPr>
              <w:t>1,176,076</w:t>
            </w:r>
          </w:p>
        </w:tc>
        <w:tc>
          <w:tcPr>
            <w:tcW w:w="1745" w:type="dxa"/>
            <w:tcBorders>
              <w:top w:val="nil"/>
              <w:left w:val="nil"/>
              <w:bottom w:val="nil"/>
              <w:right w:val="nil"/>
            </w:tcBorders>
            <w:shd w:val="clear" w:color="auto" w:fill="auto"/>
            <w:vAlign w:val="center"/>
            <w:hideMark/>
          </w:tcPr>
          <w:p w14:paraId="1F82BA69" w14:textId="324B1E6C" w:rsidR="00252443" w:rsidRPr="00005453" w:rsidRDefault="00252443" w:rsidP="00252443">
            <w:pPr>
              <w:jc w:val="right"/>
              <w:rPr>
                <w:sz w:val="18"/>
                <w:szCs w:val="22"/>
              </w:rPr>
            </w:pPr>
            <w:r w:rsidRPr="00005453">
              <w:rPr>
                <w:sz w:val="18"/>
                <w:szCs w:val="22"/>
              </w:rPr>
              <w:t>1,566,381</w:t>
            </w:r>
          </w:p>
        </w:tc>
        <w:tc>
          <w:tcPr>
            <w:tcW w:w="1233" w:type="dxa"/>
            <w:tcBorders>
              <w:top w:val="nil"/>
              <w:left w:val="nil"/>
              <w:bottom w:val="nil"/>
              <w:right w:val="nil"/>
            </w:tcBorders>
            <w:shd w:val="clear" w:color="auto" w:fill="auto"/>
            <w:vAlign w:val="center"/>
            <w:hideMark/>
          </w:tcPr>
          <w:p w14:paraId="753623A3" w14:textId="1782C40B" w:rsidR="00252443" w:rsidRPr="00005453" w:rsidRDefault="00252443" w:rsidP="00252443">
            <w:pPr>
              <w:jc w:val="right"/>
              <w:rPr>
                <w:sz w:val="18"/>
                <w:szCs w:val="22"/>
              </w:rPr>
            </w:pPr>
            <w:r w:rsidRPr="00005453">
              <w:rPr>
                <w:sz w:val="18"/>
                <w:szCs w:val="22"/>
              </w:rPr>
              <w:t>718,482</w:t>
            </w:r>
          </w:p>
        </w:tc>
        <w:tc>
          <w:tcPr>
            <w:tcW w:w="1116" w:type="dxa"/>
            <w:tcBorders>
              <w:top w:val="nil"/>
              <w:left w:val="nil"/>
              <w:bottom w:val="nil"/>
              <w:right w:val="nil"/>
            </w:tcBorders>
            <w:shd w:val="clear" w:color="auto" w:fill="auto"/>
            <w:vAlign w:val="center"/>
            <w:hideMark/>
          </w:tcPr>
          <w:p w14:paraId="390207B8" w14:textId="4EFC14D5" w:rsidR="00252443" w:rsidRPr="00005453" w:rsidRDefault="00252443" w:rsidP="00252443">
            <w:pPr>
              <w:jc w:val="right"/>
              <w:rPr>
                <w:sz w:val="18"/>
                <w:szCs w:val="22"/>
              </w:rPr>
            </w:pPr>
            <w:r w:rsidRPr="00005453">
              <w:rPr>
                <w:sz w:val="18"/>
                <w:szCs w:val="22"/>
              </w:rPr>
              <w:t>1,171,031</w:t>
            </w:r>
          </w:p>
        </w:tc>
        <w:tc>
          <w:tcPr>
            <w:tcW w:w="1070" w:type="dxa"/>
            <w:tcBorders>
              <w:top w:val="nil"/>
              <w:left w:val="nil"/>
              <w:bottom w:val="nil"/>
              <w:right w:val="nil"/>
            </w:tcBorders>
            <w:shd w:val="clear" w:color="auto" w:fill="auto"/>
            <w:vAlign w:val="center"/>
            <w:hideMark/>
          </w:tcPr>
          <w:p w14:paraId="1DEF0014" w14:textId="2B8E2C46" w:rsidR="00252443" w:rsidRPr="00005453" w:rsidRDefault="00252443" w:rsidP="00252443">
            <w:pPr>
              <w:jc w:val="right"/>
              <w:rPr>
                <w:sz w:val="18"/>
                <w:szCs w:val="22"/>
              </w:rPr>
            </w:pPr>
            <w:r w:rsidRPr="00005453">
              <w:rPr>
                <w:sz w:val="18"/>
                <w:szCs w:val="22"/>
              </w:rPr>
              <w:t>4,631,970</w:t>
            </w:r>
          </w:p>
        </w:tc>
      </w:tr>
      <w:tr w:rsidR="00252443" w:rsidRPr="00005453" w14:paraId="2037BD7D" w14:textId="77777777" w:rsidTr="00252443">
        <w:trPr>
          <w:trHeight w:val="60"/>
        </w:trPr>
        <w:tc>
          <w:tcPr>
            <w:tcW w:w="2911" w:type="dxa"/>
            <w:tcBorders>
              <w:top w:val="nil"/>
              <w:left w:val="nil"/>
              <w:bottom w:val="nil"/>
              <w:right w:val="nil"/>
            </w:tcBorders>
            <w:shd w:val="clear" w:color="auto" w:fill="auto"/>
            <w:vAlign w:val="center"/>
            <w:hideMark/>
          </w:tcPr>
          <w:p w14:paraId="38B08C08" w14:textId="77777777" w:rsidR="00252443" w:rsidRPr="00005453" w:rsidRDefault="00252443" w:rsidP="00252443">
            <w:pPr>
              <w:rPr>
                <w:sz w:val="16"/>
                <w:szCs w:val="16"/>
                <w:lang w:eastAsia="tr-TR"/>
              </w:rPr>
            </w:pPr>
            <w:r w:rsidRPr="00005453">
              <w:rPr>
                <w:sz w:val="16"/>
                <w:szCs w:val="16"/>
                <w:lang w:eastAsia="tr-TR"/>
              </w:rPr>
              <w:t>İktisap edilenler</w:t>
            </w:r>
          </w:p>
        </w:tc>
        <w:tc>
          <w:tcPr>
            <w:tcW w:w="1139" w:type="dxa"/>
            <w:tcBorders>
              <w:top w:val="nil"/>
              <w:left w:val="nil"/>
              <w:bottom w:val="nil"/>
              <w:right w:val="nil"/>
            </w:tcBorders>
            <w:shd w:val="clear" w:color="auto" w:fill="auto"/>
            <w:vAlign w:val="center"/>
            <w:hideMark/>
          </w:tcPr>
          <w:p w14:paraId="67F8E0CD" w14:textId="651CE0CF" w:rsidR="00252443" w:rsidRPr="00005453" w:rsidRDefault="00252443" w:rsidP="00252443">
            <w:pPr>
              <w:jc w:val="right"/>
              <w:rPr>
                <w:sz w:val="18"/>
                <w:szCs w:val="22"/>
              </w:rPr>
            </w:pPr>
            <w:r w:rsidRPr="00005453">
              <w:rPr>
                <w:sz w:val="18"/>
                <w:szCs w:val="22"/>
              </w:rPr>
              <w:t>295,900</w:t>
            </w:r>
          </w:p>
        </w:tc>
        <w:tc>
          <w:tcPr>
            <w:tcW w:w="1745" w:type="dxa"/>
            <w:tcBorders>
              <w:top w:val="nil"/>
              <w:left w:val="nil"/>
              <w:bottom w:val="nil"/>
              <w:right w:val="nil"/>
            </w:tcBorders>
            <w:shd w:val="clear" w:color="auto" w:fill="auto"/>
            <w:vAlign w:val="center"/>
            <w:hideMark/>
          </w:tcPr>
          <w:p w14:paraId="51D506C4" w14:textId="531B692F" w:rsidR="00252443" w:rsidRPr="00005453" w:rsidRDefault="00252443" w:rsidP="00252443">
            <w:pPr>
              <w:jc w:val="right"/>
              <w:rPr>
                <w:sz w:val="18"/>
                <w:szCs w:val="22"/>
              </w:rPr>
            </w:pPr>
            <w:r w:rsidRPr="00005453">
              <w:rPr>
                <w:sz w:val="18"/>
                <w:szCs w:val="22"/>
              </w:rPr>
              <w:t>1,298,538</w:t>
            </w:r>
          </w:p>
        </w:tc>
        <w:tc>
          <w:tcPr>
            <w:tcW w:w="1233" w:type="dxa"/>
            <w:tcBorders>
              <w:top w:val="nil"/>
              <w:left w:val="nil"/>
              <w:bottom w:val="nil"/>
              <w:right w:val="nil"/>
            </w:tcBorders>
            <w:shd w:val="clear" w:color="auto" w:fill="auto"/>
            <w:vAlign w:val="center"/>
            <w:hideMark/>
          </w:tcPr>
          <w:p w14:paraId="7471756D" w14:textId="37DC383C" w:rsidR="00252443" w:rsidRPr="00005453" w:rsidRDefault="00252443" w:rsidP="00252443">
            <w:pPr>
              <w:jc w:val="right"/>
              <w:rPr>
                <w:sz w:val="18"/>
                <w:szCs w:val="22"/>
              </w:rPr>
            </w:pPr>
            <w:r w:rsidRPr="00005453">
              <w:rPr>
                <w:sz w:val="18"/>
                <w:szCs w:val="22"/>
              </w:rPr>
              <w:t>291,487</w:t>
            </w:r>
          </w:p>
        </w:tc>
        <w:tc>
          <w:tcPr>
            <w:tcW w:w="1116" w:type="dxa"/>
            <w:tcBorders>
              <w:top w:val="nil"/>
              <w:left w:val="nil"/>
              <w:bottom w:val="nil"/>
              <w:right w:val="nil"/>
            </w:tcBorders>
            <w:shd w:val="clear" w:color="auto" w:fill="auto"/>
            <w:vAlign w:val="center"/>
            <w:hideMark/>
          </w:tcPr>
          <w:p w14:paraId="3FB2C9D6" w14:textId="67BD2337" w:rsidR="00252443" w:rsidRPr="00005453" w:rsidRDefault="00252443" w:rsidP="00252443">
            <w:pPr>
              <w:jc w:val="right"/>
              <w:rPr>
                <w:sz w:val="18"/>
                <w:szCs w:val="22"/>
              </w:rPr>
            </w:pPr>
            <w:r w:rsidRPr="00005453">
              <w:rPr>
                <w:sz w:val="18"/>
                <w:szCs w:val="22"/>
              </w:rPr>
              <w:t>1,046,659</w:t>
            </w:r>
          </w:p>
        </w:tc>
        <w:tc>
          <w:tcPr>
            <w:tcW w:w="1070" w:type="dxa"/>
            <w:tcBorders>
              <w:top w:val="nil"/>
              <w:left w:val="nil"/>
              <w:bottom w:val="nil"/>
              <w:right w:val="nil"/>
            </w:tcBorders>
            <w:shd w:val="clear" w:color="auto" w:fill="auto"/>
            <w:vAlign w:val="center"/>
            <w:hideMark/>
          </w:tcPr>
          <w:p w14:paraId="48F5FEAB" w14:textId="48CA869D" w:rsidR="00252443" w:rsidRPr="00005453" w:rsidRDefault="00252443" w:rsidP="00252443">
            <w:pPr>
              <w:jc w:val="right"/>
              <w:rPr>
                <w:sz w:val="18"/>
                <w:szCs w:val="22"/>
              </w:rPr>
            </w:pPr>
            <w:r w:rsidRPr="00005453">
              <w:rPr>
                <w:sz w:val="18"/>
                <w:szCs w:val="22"/>
              </w:rPr>
              <w:t>2,932,584</w:t>
            </w:r>
          </w:p>
        </w:tc>
      </w:tr>
      <w:tr w:rsidR="00252443" w:rsidRPr="00005453" w14:paraId="66BA8C1F" w14:textId="77777777" w:rsidTr="00252443">
        <w:trPr>
          <w:trHeight w:val="249"/>
        </w:trPr>
        <w:tc>
          <w:tcPr>
            <w:tcW w:w="2911" w:type="dxa"/>
            <w:tcBorders>
              <w:top w:val="nil"/>
              <w:left w:val="nil"/>
              <w:bottom w:val="nil"/>
              <w:right w:val="nil"/>
            </w:tcBorders>
            <w:shd w:val="clear" w:color="auto" w:fill="auto"/>
            <w:vAlign w:val="center"/>
            <w:hideMark/>
          </w:tcPr>
          <w:p w14:paraId="156D364F" w14:textId="77777777" w:rsidR="00252443" w:rsidRPr="00005453" w:rsidRDefault="00252443" w:rsidP="00252443">
            <w:pPr>
              <w:rPr>
                <w:sz w:val="16"/>
                <w:szCs w:val="16"/>
                <w:lang w:eastAsia="tr-TR"/>
              </w:rPr>
            </w:pPr>
            <w:r w:rsidRPr="00005453">
              <w:rPr>
                <w:sz w:val="16"/>
                <w:szCs w:val="16"/>
                <w:lang w:eastAsia="tr-TR"/>
              </w:rPr>
              <w:t>Elden çıkarılanlar</w:t>
            </w:r>
          </w:p>
        </w:tc>
        <w:tc>
          <w:tcPr>
            <w:tcW w:w="1139" w:type="dxa"/>
            <w:tcBorders>
              <w:top w:val="nil"/>
              <w:left w:val="nil"/>
              <w:bottom w:val="nil"/>
              <w:right w:val="nil"/>
            </w:tcBorders>
            <w:shd w:val="clear" w:color="auto" w:fill="auto"/>
            <w:vAlign w:val="center"/>
            <w:hideMark/>
          </w:tcPr>
          <w:p w14:paraId="19C93CA2" w14:textId="1C9B0C54" w:rsidR="00252443" w:rsidRPr="00005453" w:rsidRDefault="00252443" w:rsidP="00252443">
            <w:pPr>
              <w:jc w:val="right"/>
              <w:rPr>
                <w:sz w:val="18"/>
                <w:szCs w:val="22"/>
              </w:rPr>
            </w:pPr>
            <w:r w:rsidRPr="00005453">
              <w:rPr>
                <w:sz w:val="18"/>
                <w:szCs w:val="22"/>
              </w:rPr>
              <w:t>(7)</w:t>
            </w:r>
          </w:p>
        </w:tc>
        <w:tc>
          <w:tcPr>
            <w:tcW w:w="1745" w:type="dxa"/>
            <w:tcBorders>
              <w:top w:val="nil"/>
              <w:left w:val="nil"/>
              <w:bottom w:val="nil"/>
              <w:right w:val="nil"/>
            </w:tcBorders>
            <w:shd w:val="clear" w:color="auto" w:fill="auto"/>
            <w:vAlign w:val="center"/>
            <w:hideMark/>
          </w:tcPr>
          <w:p w14:paraId="5827D4B6" w14:textId="0334BD73" w:rsidR="00252443" w:rsidRPr="00005453" w:rsidRDefault="00252443" w:rsidP="00252443">
            <w:pPr>
              <w:jc w:val="right"/>
              <w:rPr>
                <w:sz w:val="18"/>
                <w:szCs w:val="22"/>
              </w:rPr>
            </w:pPr>
            <w:r w:rsidRPr="00005453">
              <w:rPr>
                <w:sz w:val="18"/>
                <w:szCs w:val="22"/>
              </w:rPr>
              <w:t>(297,298)</w:t>
            </w:r>
          </w:p>
        </w:tc>
        <w:tc>
          <w:tcPr>
            <w:tcW w:w="1233" w:type="dxa"/>
            <w:tcBorders>
              <w:top w:val="nil"/>
              <w:left w:val="nil"/>
              <w:bottom w:val="nil"/>
              <w:right w:val="nil"/>
            </w:tcBorders>
            <w:shd w:val="clear" w:color="auto" w:fill="auto"/>
            <w:vAlign w:val="center"/>
            <w:hideMark/>
          </w:tcPr>
          <w:p w14:paraId="0B183D5C" w14:textId="19548A78" w:rsidR="00252443" w:rsidRPr="00005453" w:rsidRDefault="00252443" w:rsidP="00252443">
            <w:pPr>
              <w:jc w:val="right"/>
              <w:rPr>
                <w:sz w:val="18"/>
                <w:szCs w:val="22"/>
              </w:rPr>
            </w:pPr>
            <w:r w:rsidRPr="00005453">
              <w:rPr>
                <w:sz w:val="18"/>
                <w:szCs w:val="22"/>
              </w:rPr>
              <w:t>(71,776)</w:t>
            </w:r>
          </w:p>
        </w:tc>
        <w:tc>
          <w:tcPr>
            <w:tcW w:w="1116" w:type="dxa"/>
            <w:tcBorders>
              <w:top w:val="nil"/>
              <w:left w:val="nil"/>
              <w:bottom w:val="nil"/>
              <w:right w:val="nil"/>
            </w:tcBorders>
            <w:shd w:val="clear" w:color="auto" w:fill="auto"/>
            <w:vAlign w:val="center"/>
            <w:hideMark/>
          </w:tcPr>
          <w:p w14:paraId="3BF6B3D6" w14:textId="5B50DF15" w:rsidR="00252443" w:rsidRPr="00005453" w:rsidRDefault="00252443" w:rsidP="00252443">
            <w:pPr>
              <w:jc w:val="right"/>
              <w:rPr>
                <w:sz w:val="18"/>
                <w:szCs w:val="22"/>
              </w:rPr>
            </w:pPr>
            <w:r w:rsidRPr="00005453">
              <w:rPr>
                <w:sz w:val="18"/>
                <w:szCs w:val="22"/>
              </w:rPr>
              <w:t>(19,102)</w:t>
            </w:r>
          </w:p>
        </w:tc>
        <w:tc>
          <w:tcPr>
            <w:tcW w:w="1070" w:type="dxa"/>
            <w:tcBorders>
              <w:top w:val="nil"/>
              <w:left w:val="nil"/>
              <w:bottom w:val="nil"/>
              <w:right w:val="nil"/>
            </w:tcBorders>
            <w:shd w:val="clear" w:color="auto" w:fill="auto"/>
            <w:vAlign w:val="center"/>
            <w:hideMark/>
          </w:tcPr>
          <w:p w14:paraId="025DE22D" w14:textId="488B1008" w:rsidR="00252443" w:rsidRPr="00005453" w:rsidRDefault="00252443" w:rsidP="00252443">
            <w:pPr>
              <w:jc w:val="right"/>
              <w:rPr>
                <w:sz w:val="18"/>
                <w:szCs w:val="22"/>
              </w:rPr>
            </w:pPr>
            <w:r w:rsidRPr="00005453">
              <w:rPr>
                <w:sz w:val="18"/>
                <w:szCs w:val="22"/>
              </w:rPr>
              <w:t>(388,183)</w:t>
            </w:r>
          </w:p>
        </w:tc>
      </w:tr>
      <w:tr w:rsidR="00252443" w:rsidRPr="00005453" w14:paraId="0BC4B2B0" w14:textId="77777777" w:rsidTr="00252443">
        <w:trPr>
          <w:trHeight w:val="237"/>
        </w:trPr>
        <w:tc>
          <w:tcPr>
            <w:tcW w:w="2911" w:type="dxa"/>
            <w:tcBorders>
              <w:top w:val="nil"/>
              <w:left w:val="nil"/>
              <w:bottom w:val="nil"/>
              <w:right w:val="nil"/>
            </w:tcBorders>
            <w:shd w:val="clear" w:color="auto" w:fill="auto"/>
            <w:vAlign w:val="center"/>
            <w:hideMark/>
          </w:tcPr>
          <w:p w14:paraId="1D9E6ED0" w14:textId="77777777" w:rsidR="00252443" w:rsidRPr="00005453" w:rsidRDefault="00252443" w:rsidP="00252443">
            <w:pPr>
              <w:rPr>
                <w:sz w:val="16"/>
                <w:szCs w:val="16"/>
                <w:lang w:eastAsia="tr-TR"/>
              </w:rPr>
            </w:pPr>
            <w:r w:rsidRPr="00005453">
              <w:rPr>
                <w:sz w:val="16"/>
                <w:szCs w:val="16"/>
                <w:lang w:eastAsia="tr-TR"/>
              </w:rPr>
              <w:t>Transferler</w:t>
            </w:r>
          </w:p>
        </w:tc>
        <w:tc>
          <w:tcPr>
            <w:tcW w:w="1139" w:type="dxa"/>
            <w:tcBorders>
              <w:top w:val="nil"/>
              <w:left w:val="nil"/>
              <w:bottom w:val="nil"/>
              <w:right w:val="nil"/>
            </w:tcBorders>
            <w:shd w:val="clear" w:color="auto" w:fill="auto"/>
            <w:vAlign w:val="center"/>
            <w:hideMark/>
          </w:tcPr>
          <w:p w14:paraId="620DDB1B" w14:textId="19F2CFDC" w:rsidR="00252443" w:rsidRPr="00005453" w:rsidRDefault="00252443" w:rsidP="00252443">
            <w:pPr>
              <w:jc w:val="right"/>
              <w:rPr>
                <w:sz w:val="18"/>
                <w:szCs w:val="22"/>
              </w:rPr>
            </w:pPr>
            <w:r w:rsidRPr="00005453">
              <w:rPr>
                <w:sz w:val="18"/>
                <w:szCs w:val="22"/>
              </w:rPr>
              <w:t>(191)</w:t>
            </w:r>
          </w:p>
        </w:tc>
        <w:tc>
          <w:tcPr>
            <w:tcW w:w="1745" w:type="dxa"/>
            <w:tcBorders>
              <w:top w:val="nil"/>
              <w:left w:val="nil"/>
              <w:bottom w:val="nil"/>
              <w:right w:val="nil"/>
            </w:tcBorders>
            <w:shd w:val="clear" w:color="auto" w:fill="auto"/>
            <w:vAlign w:val="center"/>
            <w:hideMark/>
          </w:tcPr>
          <w:p w14:paraId="489B87D4" w14:textId="58AEBCA5" w:rsidR="00252443" w:rsidRPr="00005453" w:rsidRDefault="00252443" w:rsidP="00252443">
            <w:pPr>
              <w:jc w:val="right"/>
              <w:rPr>
                <w:sz w:val="18"/>
                <w:szCs w:val="22"/>
              </w:rPr>
            </w:pPr>
            <w:r w:rsidRPr="00005453">
              <w:rPr>
                <w:sz w:val="18"/>
                <w:szCs w:val="22"/>
              </w:rPr>
              <w:t>-</w:t>
            </w:r>
          </w:p>
        </w:tc>
        <w:tc>
          <w:tcPr>
            <w:tcW w:w="1233" w:type="dxa"/>
            <w:tcBorders>
              <w:top w:val="nil"/>
              <w:left w:val="nil"/>
              <w:bottom w:val="nil"/>
              <w:right w:val="nil"/>
            </w:tcBorders>
            <w:shd w:val="clear" w:color="auto" w:fill="auto"/>
            <w:vAlign w:val="center"/>
            <w:hideMark/>
          </w:tcPr>
          <w:p w14:paraId="11B6B4DF" w14:textId="71BAAC29" w:rsidR="00252443" w:rsidRPr="00005453" w:rsidRDefault="00252443" w:rsidP="00252443">
            <w:pPr>
              <w:jc w:val="right"/>
              <w:rPr>
                <w:sz w:val="18"/>
                <w:szCs w:val="22"/>
              </w:rPr>
            </w:pPr>
            <w:r w:rsidRPr="00005453">
              <w:rPr>
                <w:sz w:val="18"/>
                <w:szCs w:val="22"/>
              </w:rPr>
              <w:t>-</w:t>
            </w:r>
          </w:p>
        </w:tc>
        <w:tc>
          <w:tcPr>
            <w:tcW w:w="1116" w:type="dxa"/>
            <w:tcBorders>
              <w:top w:val="nil"/>
              <w:left w:val="nil"/>
              <w:bottom w:val="nil"/>
              <w:right w:val="nil"/>
            </w:tcBorders>
            <w:shd w:val="clear" w:color="auto" w:fill="auto"/>
            <w:vAlign w:val="center"/>
            <w:hideMark/>
          </w:tcPr>
          <w:p w14:paraId="29459539" w14:textId="392FAC7B" w:rsidR="00252443" w:rsidRPr="00005453" w:rsidRDefault="00252443" w:rsidP="00252443">
            <w:pPr>
              <w:jc w:val="right"/>
              <w:rPr>
                <w:sz w:val="18"/>
                <w:szCs w:val="22"/>
              </w:rPr>
            </w:pPr>
            <w:r w:rsidRPr="00005453">
              <w:rPr>
                <w:sz w:val="18"/>
                <w:szCs w:val="22"/>
              </w:rPr>
              <w:t>-</w:t>
            </w:r>
          </w:p>
        </w:tc>
        <w:tc>
          <w:tcPr>
            <w:tcW w:w="1070" w:type="dxa"/>
            <w:tcBorders>
              <w:top w:val="nil"/>
              <w:left w:val="nil"/>
              <w:bottom w:val="nil"/>
              <w:right w:val="nil"/>
            </w:tcBorders>
            <w:shd w:val="clear" w:color="auto" w:fill="auto"/>
            <w:vAlign w:val="center"/>
            <w:hideMark/>
          </w:tcPr>
          <w:p w14:paraId="6D7A66C0" w14:textId="74F8CB0A" w:rsidR="00252443" w:rsidRPr="00005453" w:rsidRDefault="00252443" w:rsidP="00252443">
            <w:pPr>
              <w:jc w:val="right"/>
              <w:rPr>
                <w:sz w:val="18"/>
                <w:szCs w:val="22"/>
              </w:rPr>
            </w:pPr>
            <w:r w:rsidRPr="00005453">
              <w:rPr>
                <w:sz w:val="18"/>
                <w:szCs w:val="22"/>
              </w:rPr>
              <w:t>(191)</w:t>
            </w:r>
          </w:p>
        </w:tc>
      </w:tr>
      <w:tr w:rsidR="00252443" w:rsidRPr="00005453" w14:paraId="78E03DF8" w14:textId="77777777" w:rsidTr="00252443">
        <w:trPr>
          <w:trHeight w:val="237"/>
        </w:trPr>
        <w:tc>
          <w:tcPr>
            <w:tcW w:w="2911" w:type="dxa"/>
            <w:tcBorders>
              <w:top w:val="nil"/>
              <w:left w:val="nil"/>
              <w:bottom w:val="nil"/>
              <w:right w:val="nil"/>
            </w:tcBorders>
            <w:shd w:val="clear" w:color="auto" w:fill="auto"/>
            <w:noWrap/>
            <w:vAlign w:val="center"/>
          </w:tcPr>
          <w:p w14:paraId="657F18ED" w14:textId="71057040" w:rsidR="00252443" w:rsidRPr="00005453" w:rsidRDefault="00252443" w:rsidP="00252443">
            <w:pPr>
              <w:rPr>
                <w:sz w:val="16"/>
                <w:szCs w:val="16"/>
                <w:lang w:eastAsia="tr-TR"/>
              </w:rPr>
            </w:pPr>
            <w:r w:rsidRPr="00005453">
              <w:rPr>
                <w:sz w:val="16"/>
                <w:szCs w:val="16"/>
                <w:lang w:eastAsia="tr-TR"/>
              </w:rPr>
              <w:t>Kur farkları</w:t>
            </w:r>
          </w:p>
        </w:tc>
        <w:tc>
          <w:tcPr>
            <w:tcW w:w="1139" w:type="dxa"/>
            <w:tcBorders>
              <w:top w:val="nil"/>
              <w:left w:val="nil"/>
              <w:bottom w:val="nil"/>
              <w:right w:val="nil"/>
            </w:tcBorders>
            <w:shd w:val="clear" w:color="auto" w:fill="auto"/>
            <w:vAlign w:val="center"/>
          </w:tcPr>
          <w:p w14:paraId="57EC2153" w14:textId="07922F1B" w:rsidR="00252443" w:rsidRPr="00005453" w:rsidRDefault="00252443" w:rsidP="00252443">
            <w:pPr>
              <w:jc w:val="right"/>
              <w:rPr>
                <w:sz w:val="18"/>
                <w:szCs w:val="22"/>
              </w:rPr>
            </w:pPr>
          </w:p>
        </w:tc>
        <w:tc>
          <w:tcPr>
            <w:tcW w:w="1745" w:type="dxa"/>
            <w:tcBorders>
              <w:top w:val="nil"/>
              <w:left w:val="nil"/>
              <w:bottom w:val="nil"/>
              <w:right w:val="nil"/>
            </w:tcBorders>
            <w:shd w:val="clear" w:color="auto" w:fill="auto"/>
            <w:vAlign w:val="center"/>
          </w:tcPr>
          <w:p w14:paraId="18C75634" w14:textId="59F5E3BA" w:rsidR="00252443" w:rsidRPr="00005453" w:rsidRDefault="00252443" w:rsidP="00252443">
            <w:pPr>
              <w:jc w:val="right"/>
              <w:rPr>
                <w:sz w:val="18"/>
                <w:szCs w:val="22"/>
              </w:rPr>
            </w:pPr>
            <w:r w:rsidRPr="00005453">
              <w:rPr>
                <w:sz w:val="18"/>
                <w:szCs w:val="22"/>
              </w:rPr>
              <w:t>776</w:t>
            </w:r>
          </w:p>
        </w:tc>
        <w:tc>
          <w:tcPr>
            <w:tcW w:w="1233" w:type="dxa"/>
            <w:tcBorders>
              <w:top w:val="nil"/>
              <w:left w:val="nil"/>
              <w:bottom w:val="nil"/>
              <w:right w:val="nil"/>
            </w:tcBorders>
            <w:shd w:val="clear" w:color="auto" w:fill="auto"/>
            <w:vAlign w:val="center"/>
          </w:tcPr>
          <w:p w14:paraId="3242D5B1" w14:textId="0F1D5A20" w:rsidR="00252443" w:rsidRPr="00005453" w:rsidRDefault="00252443" w:rsidP="00252443">
            <w:pPr>
              <w:jc w:val="right"/>
              <w:rPr>
                <w:sz w:val="18"/>
                <w:szCs w:val="22"/>
              </w:rPr>
            </w:pPr>
            <w:r w:rsidRPr="00005453">
              <w:rPr>
                <w:sz w:val="18"/>
                <w:szCs w:val="22"/>
              </w:rPr>
              <w:t>224</w:t>
            </w:r>
          </w:p>
        </w:tc>
        <w:tc>
          <w:tcPr>
            <w:tcW w:w="1116" w:type="dxa"/>
            <w:tcBorders>
              <w:top w:val="nil"/>
              <w:left w:val="nil"/>
              <w:bottom w:val="nil"/>
              <w:right w:val="nil"/>
            </w:tcBorders>
            <w:shd w:val="clear" w:color="auto" w:fill="auto"/>
            <w:vAlign w:val="center"/>
          </w:tcPr>
          <w:p w14:paraId="490CC81C" w14:textId="3AB7AD9D" w:rsidR="00252443" w:rsidRPr="00005453" w:rsidRDefault="00252443" w:rsidP="00252443">
            <w:pPr>
              <w:jc w:val="right"/>
              <w:rPr>
                <w:sz w:val="18"/>
                <w:szCs w:val="22"/>
              </w:rPr>
            </w:pPr>
            <w:r w:rsidRPr="00005453">
              <w:rPr>
                <w:sz w:val="18"/>
                <w:szCs w:val="22"/>
              </w:rPr>
              <w:t>478</w:t>
            </w:r>
          </w:p>
        </w:tc>
        <w:tc>
          <w:tcPr>
            <w:tcW w:w="1070" w:type="dxa"/>
            <w:tcBorders>
              <w:top w:val="nil"/>
              <w:left w:val="nil"/>
              <w:bottom w:val="nil"/>
              <w:right w:val="nil"/>
            </w:tcBorders>
            <w:shd w:val="clear" w:color="auto" w:fill="auto"/>
            <w:vAlign w:val="center"/>
          </w:tcPr>
          <w:p w14:paraId="0A65A7BA" w14:textId="274A0464" w:rsidR="00252443" w:rsidRPr="00005453" w:rsidRDefault="00252443" w:rsidP="00252443">
            <w:pPr>
              <w:jc w:val="right"/>
              <w:rPr>
                <w:sz w:val="18"/>
                <w:szCs w:val="22"/>
              </w:rPr>
            </w:pPr>
            <w:r w:rsidRPr="00005453">
              <w:rPr>
                <w:sz w:val="18"/>
                <w:szCs w:val="22"/>
              </w:rPr>
              <w:t>1,478</w:t>
            </w:r>
          </w:p>
        </w:tc>
      </w:tr>
      <w:tr w:rsidR="00252443" w:rsidRPr="00005453" w14:paraId="6862B2B7" w14:textId="77777777" w:rsidTr="00252443">
        <w:trPr>
          <w:trHeight w:val="237"/>
        </w:trPr>
        <w:tc>
          <w:tcPr>
            <w:tcW w:w="2911" w:type="dxa"/>
            <w:tcBorders>
              <w:top w:val="nil"/>
              <w:left w:val="nil"/>
              <w:bottom w:val="nil"/>
              <w:right w:val="nil"/>
            </w:tcBorders>
            <w:shd w:val="clear" w:color="auto" w:fill="auto"/>
            <w:noWrap/>
            <w:vAlign w:val="center"/>
            <w:hideMark/>
          </w:tcPr>
          <w:p w14:paraId="1407C2D0" w14:textId="77777777" w:rsidR="00252443" w:rsidRPr="00005453" w:rsidRDefault="00252443" w:rsidP="00252443">
            <w:pPr>
              <w:rPr>
                <w:sz w:val="16"/>
                <w:szCs w:val="16"/>
                <w:lang w:eastAsia="tr-TR"/>
              </w:rPr>
            </w:pPr>
            <w:r w:rsidRPr="00005453">
              <w:rPr>
                <w:sz w:val="16"/>
                <w:szCs w:val="16"/>
                <w:lang w:eastAsia="tr-TR"/>
              </w:rPr>
              <w:t>Değer düşüşü/ iptali</w:t>
            </w:r>
          </w:p>
        </w:tc>
        <w:tc>
          <w:tcPr>
            <w:tcW w:w="1139" w:type="dxa"/>
            <w:tcBorders>
              <w:top w:val="nil"/>
              <w:left w:val="nil"/>
              <w:bottom w:val="nil"/>
              <w:right w:val="nil"/>
            </w:tcBorders>
            <w:shd w:val="clear" w:color="auto" w:fill="auto"/>
            <w:vAlign w:val="center"/>
            <w:hideMark/>
          </w:tcPr>
          <w:p w14:paraId="08C953DF" w14:textId="0E10FBCD" w:rsidR="00252443" w:rsidRPr="00005453" w:rsidRDefault="00252443" w:rsidP="00252443">
            <w:pPr>
              <w:jc w:val="right"/>
              <w:rPr>
                <w:sz w:val="18"/>
                <w:szCs w:val="22"/>
              </w:rPr>
            </w:pPr>
            <w:r w:rsidRPr="00005453">
              <w:rPr>
                <w:sz w:val="18"/>
                <w:szCs w:val="22"/>
              </w:rPr>
              <w:t>-</w:t>
            </w:r>
          </w:p>
        </w:tc>
        <w:tc>
          <w:tcPr>
            <w:tcW w:w="1745" w:type="dxa"/>
            <w:tcBorders>
              <w:top w:val="nil"/>
              <w:left w:val="nil"/>
              <w:bottom w:val="nil"/>
              <w:right w:val="nil"/>
            </w:tcBorders>
            <w:shd w:val="clear" w:color="auto" w:fill="auto"/>
            <w:vAlign w:val="center"/>
            <w:hideMark/>
          </w:tcPr>
          <w:p w14:paraId="2EA34F3B" w14:textId="43A5C329" w:rsidR="00252443" w:rsidRPr="00005453" w:rsidRDefault="00252443" w:rsidP="00252443">
            <w:pPr>
              <w:jc w:val="right"/>
              <w:rPr>
                <w:sz w:val="18"/>
                <w:szCs w:val="22"/>
              </w:rPr>
            </w:pPr>
            <w:r w:rsidRPr="00005453">
              <w:rPr>
                <w:sz w:val="18"/>
                <w:szCs w:val="22"/>
              </w:rPr>
              <w:t>-</w:t>
            </w:r>
          </w:p>
        </w:tc>
        <w:tc>
          <w:tcPr>
            <w:tcW w:w="1233" w:type="dxa"/>
            <w:tcBorders>
              <w:top w:val="nil"/>
              <w:left w:val="nil"/>
              <w:bottom w:val="nil"/>
              <w:right w:val="nil"/>
            </w:tcBorders>
            <w:shd w:val="clear" w:color="auto" w:fill="auto"/>
            <w:vAlign w:val="center"/>
            <w:hideMark/>
          </w:tcPr>
          <w:p w14:paraId="4A234D45" w14:textId="3B9BB918" w:rsidR="00252443" w:rsidRPr="00005453" w:rsidRDefault="00252443" w:rsidP="00252443">
            <w:pPr>
              <w:jc w:val="right"/>
              <w:rPr>
                <w:sz w:val="18"/>
                <w:szCs w:val="22"/>
              </w:rPr>
            </w:pPr>
            <w:r w:rsidRPr="00005453">
              <w:rPr>
                <w:sz w:val="18"/>
                <w:szCs w:val="22"/>
              </w:rPr>
              <w:t>-</w:t>
            </w:r>
          </w:p>
        </w:tc>
        <w:tc>
          <w:tcPr>
            <w:tcW w:w="1116" w:type="dxa"/>
            <w:tcBorders>
              <w:top w:val="nil"/>
              <w:left w:val="nil"/>
              <w:bottom w:val="nil"/>
              <w:right w:val="nil"/>
            </w:tcBorders>
            <w:shd w:val="clear" w:color="auto" w:fill="auto"/>
            <w:vAlign w:val="center"/>
            <w:hideMark/>
          </w:tcPr>
          <w:p w14:paraId="47582ACE" w14:textId="2B14FF51" w:rsidR="00252443" w:rsidRPr="00005453" w:rsidRDefault="00252443" w:rsidP="00252443">
            <w:pPr>
              <w:jc w:val="right"/>
              <w:rPr>
                <w:sz w:val="18"/>
                <w:szCs w:val="22"/>
              </w:rPr>
            </w:pPr>
            <w:r w:rsidRPr="00005453">
              <w:rPr>
                <w:sz w:val="18"/>
                <w:szCs w:val="22"/>
              </w:rPr>
              <w:t>-</w:t>
            </w:r>
          </w:p>
        </w:tc>
        <w:tc>
          <w:tcPr>
            <w:tcW w:w="1070" w:type="dxa"/>
            <w:tcBorders>
              <w:top w:val="nil"/>
              <w:left w:val="nil"/>
              <w:bottom w:val="nil"/>
              <w:right w:val="nil"/>
            </w:tcBorders>
            <w:shd w:val="clear" w:color="auto" w:fill="auto"/>
            <w:vAlign w:val="center"/>
            <w:hideMark/>
          </w:tcPr>
          <w:p w14:paraId="1C6EF967" w14:textId="38BB18F4" w:rsidR="00252443" w:rsidRPr="00005453" w:rsidRDefault="00252443" w:rsidP="00252443">
            <w:pPr>
              <w:jc w:val="right"/>
              <w:rPr>
                <w:sz w:val="18"/>
                <w:szCs w:val="22"/>
              </w:rPr>
            </w:pPr>
            <w:r w:rsidRPr="00005453">
              <w:rPr>
                <w:sz w:val="18"/>
                <w:szCs w:val="22"/>
              </w:rPr>
              <w:t>-</w:t>
            </w:r>
          </w:p>
        </w:tc>
      </w:tr>
      <w:tr w:rsidR="00252443" w:rsidRPr="00005453" w14:paraId="5C988A8D" w14:textId="77777777" w:rsidTr="00252443">
        <w:trPr>
          <w:trHeight w:val="237"/>
        </w:trPr>
        <w:tc>
          <w:tcPr>
            <w:tcW w:w="2911" w:type="dxa"/>
            <w:tcBorders>
              <w:top w:val="nil"/>
              <w:left w:val="nil"/>
              <w:bottom w:val="nil"/>
              <w:right w:val="nil"/>
            </w:tcBorders>
            <w:shd w:val="clear" w:color="auto" w:fill="auto"/>
            <w:noWrap/>
            <w:vAlign w:val="center"/>
            <w:hideMark/>
          </w:tcPr>
          <w:p w14:paraId="2D6F0F91" w14:textId="065CA423" w:rsidR="00252443" w:rsidRPr="00005453" w:rsidRDefault="00252443" w:rsidP="00252443">
            <w:pPr>
              <w:rPr>
                <w:sz w:val="16"/>
                <w:szCs w:val="16"/>
                <w:lang w:eastAsia="tr-TR"/>
              </w:rPr>
            </w:pPr>
            <w:r w:rsidRPr="00005453">
              <w:rPr>
                <w:sz w:val="16"/>
                <w:szCs w:val="16"/>
                <w:lang w:eastAsia="tr-TR"/>
              </w:rPr>
              <w:t>Dönem sonu bakiyesi, 31 Aralık 2024</w:t>
            </w:r>
          </w:p>
        </w:tc>
        <w:tc>
          <w:tcPr>
            <w:tcW w:w="1139" w:type="dxa"/>
            <w:tcBorders>
              <w:top w:val="nil"/>
              <w:left w:val="nil"/>
              <w:bottom w:val="nil"/>
              <w:right w:val="nil"/>
            </w:tcBorders>
            <w:shd w:val="clear" w:color="auto" w:fill="auto"/>
            <w:vAlign w:val="center"/>
            <w:hideMark/>
          </w:tcPr>
          <w:p w14:paraId="18B4F589" w14:textId="6184475C" w:rsidR="00252443" w:rsidRPr="00005453" w:rsidRDefault="00252443" w:rsidP="00252443">
            <w:pPr>
              <w:jc w:val="right"/>
              <w:rPr>
                <w:sz w:val="18"/>
                <w:szCs w:val="22"/>
              </w:rPr>
            </w:pPr>
            <w:r w:rsidRPr="00005453">
              <w:rPr>
                <w:sz w:val="18"/>
                <w:szCs w:val="22"/>
              </w:rPr>
              <w:t>1,471,778</w:t>
            </w:r>
          </w:p>
        </w:tc>
        <w:tc>
          <w:tcPr>
            <w:tcW w:w="1745" w:type="dxa"/>
            <w:tcBorders>
              <w:top w:val="nil"/>
              <w:left w:val="nil"/>
              <w:bottom w:val="nil"/>
              <w:right w:val="nil"/>
            </w:tcBorders>
            <w:shd w:val="clear" w:color="auto" w:fill="auto"/>
            <w:vAlign w:val="center"/>
            <w:hideMark/>
          </w:tcPr>
          <w:p w14:paraId="713C43A9" w14:textId="1C64B92F" w:rsidR="00252443" w:rsidRPr="00005453" w:rsidRDefault="00252443" w:rsidP="00252443">
            <w:pPr>
              <w:jc w:val="right"/>
              <w:rPr>
                <w:sz w:val="18"/>
                <w:szCs w:val="22"/>
              </w:rPr>
            </w:pPr>
            <w:r w:rsidRPr="00005453">
              <w:rPr>
                <w:sz w:val="18"/>
                <w:szCs w:val="22"/>
              </w:rPr>
              <w:t>2,568,397</w:t>
            </w:r>
          </w:p>
        </w:tc>
        <w:tc>
          <w:tcPr>
            <w:tcW w:w="1233" w:type="dxa"/>
            <w:tcBorders>
              <w:top w:val="nil"/>
              <w:left w:val="nil"/>
              <w:bottom w:val="nil"/>
              <w:right w:val="nil"/>
            </w:tcBorders>
            <w:shd w:val="clear" w:color="auto" w:fill="auto"/>
            <w:vAlign w:val="center"/>
            <w:hideMark/>
          </w:tcPr>
          <w:p w14:paraId="2FFCA1C2" w14:textId="1042E1D8" w:rsidR="00252443" w:rsidRPr="00005453" w:rsidRDefault="00252443" w:rsidP="00252443">
            <w:pPr>
              <w:jc w:val="right"/>
              <w:rPr>
                <w:sz w:val="18"/>
                <w:szCs w:val="22"/>
              </w:rPr>
            </w:pPr>
            <w:r w:rsidRPr="00005453">
              <w:rPr>
                <w:sz w:val="18"/>
                <w:szCs w:val="22"/>
              </w:rPr>
              <w:t>938,417</w:t>
            </w:r>
          </w:p>
        </w:tc>
        <w:tc>
          <w:tcPr>
            <w:tcW w:w="1116" w:type="dxa"/>
            <w:tcBorders>
              <w:top w:val="nil"/>
              <w:left w:val="nil"/>
              <w:bottom w:val="nil"/>
              <w:right w:val="nil"/>
            </w:tcBorders>
            <w:shd w:val="clear" w:color="auto" w:fill="auto"/>
            <w:vAlign w:val="center"/>
            <w:hideMark/>
          </w:tcPr>
          <w:p w14:paraId="09D65098" w14:textId="2EC16B12" w:rsidR="00252443" w:rsidRPr="00005453" w:rsidRDefault="00252443" w:rsidP="00252443">
            <w:pPr>
              <w:jc w:val="right"/>
              <w:rPr>
                <w:sz w:val="18"/>
                <w:szCs w:val="22"/>
              </w:rPr>
            </w:pPr>
            <w:r w:rsidRPr="00005453">
              <w:rPr>
                <w:sz w:val="18"/>
                <w:szCs w:val="22"/>
              </w:rPr>
              <w:t>2,199,066</w:t>
            </w:r>
          </w:p>
        </w:tc>
        <w:tc>
          <w:tcPr>
            <w:tcW w:w="1070" w:type="dxa"/>
            <w:tcBorders>
              <w:top w:val="nil"/>
              <w:left w:val="nil"/>
              <w:bottom w:val="nil"/>
              <w:right w:val="nil"/>
            </w:tcBorders>
            <w:shd w:val="clear" w:color="auto" w:fill="auto"/>
            <w:vAlign w:val="center"/>
            <w:hideMark/>
          </w:tcPr>
          <w:p w14:paraId="7DDE84C6" w14:textId="12E156E2" w:rsidR="00252443" w:rsidRPr="00005453" w:rsidRDefault="00252443" w:rsidP="00252443">
            <w:pPr>
              <w:jc w:val="right"/>
              <w:rPr>
                <w:sz w:val="18"/>
                <w:szCs w:val="22"/>
              </w:rPr>
            </w:pPr>
            <w:r w:rsidRPr="00005453">
              <w:rPr>
                <w:sz w:val="18"/>
                <w:szCs w:val="22"/>
              </w:rPr>
              <w:t>7,177,658</w:t>
            </w:r>
          </w:p>
        </w:tc>
      </w:tr>
      <w:tr w:rsidR="005B6992" w:rsidRPr="00005453" w14:paraId="1854E45E" w14:textId="77777777" w:rsidTr="003227FA">
        <w:trPr>
          <w:trHeight w:val="74"/>
        </w:trPr>
        <w:tc>
          <w:tcPr>
            <w:tcW w:w="2911" w:type="dxa"/>
            <w:tcBorders>
              <w:top w:val="nil"/>
              <w:left w:val="nil"/>
              <w:bottom w:val="nil"/>
              <w:right w:val="nil"/>
            </w:tcBorders>
            <w:shd w:val="clear" w:color="auto" w:fill="auto"/>
            <w:noWrap/>
            <w:vAlign w:val="center"/>
            <w:hideMark/>
          </w:tcPr>
          <w:p w14:paraId="63082F58" w14:textId="77777777" w:rsidR="005B6992" w:rsidRPr="00005453" w:rsidRDefault="005B6992" w:rsidP="005B6992">
            <w:pPr>
              <w:jc w:val="right"/>
              <w:rPr>
                <w:sz w:val="12"/>
                <w:szCs w:val="16"/>
                <w:lang w:eastAsia="tr-TR"/>
              </w:rPr>
            </w:pPr>
          </w:p>
        </w:tc>
        <w:tc>
          <w:tcPr>
            <w:tcW w:w="1139" w:type="dxa"/>
            <w:tcBorders>
              <w:top w:val="nil"/>
              <w:left w:val="nil"/>
              <w:bottom w:val="nil"/>
              <w:right w:val="nil"/>
            </w:tcBorders>
            <w:shd w:val="clear" w:color="auto" w:fill="auto"/>
            <w:vAlign w:val="center"/>
            <w:hideMark/>
          </w:tcPr>
          <w:p w14:paraId="4C0D20EE" w14:textId="77777777" w:rsidR="005B6992" w:rsidRPr="00005453" w:rsidRDefault="005B6992" w:rsidP="003227FA">
            <w:pPr>
              <w:ind w:firstLineChars="100" w:firstLine="120"/>
              <w:jc w:val="right"/>
              <w:rPr>
                <w:sz w:val="12"/>
                <w:lang w:eastAsia="tr-TR"/>
              </w:rPr>
            </w:pPr>
          </w:p>
        </w:tc>
        <w:tc>
          <w:tcPr>
            <w:tcW w:w="1745" w:type="dxa"/>
            <w:tcBorders>
              <w:top w:val="nil"/>
              <w:left w:val="nil"/>
              <w:bottom w:val="nil"/>
              <w:right w:val="nil"/>
            </w:tcBorders>
            <w:shd w:val="clear" w:color="auto" w:fill="auto"/>
            <w:vAlign w:val="center"/>
            <w:hideMark/>
          </w:tcPr>
          <w:p w14:paraId="2EB51BC2" w14:textId="77777777" w:rsidR="005B6992" w:rsidRPr="00005453" w:rsidRDefault="005B6992" w:rsidP="003227FA">
            <w:pPr>
              <w:jc w:val="right"/>
              <w:rPr>
                <w:sz w:val="12"/>
                <w:lang w:eastAsia="tr-TR"/>
              </w:rPr>
            </w:pPr>
          </w:p>
        </w:tc>
        <w:tc>
          <w:tcPr>
            <w:tcW w:w="1233" w:type="dxa"/>
            <w:tcBorders>
              <w:top w:val="nil"/>
              <w:left w:val="nil"/>
              <w:bottom w:val="nil"/>
              <w:right w:val="nil"/>
            </w:tcBorders>
            <w:shd w:val="clear" w:color="auto" w:fill="auto"/>
            <w:vAlign w:val="center"/>
            <w:hideMark/>
          </w:tcPr>
          <w:p w14:paraId="74F6BE62" w14:textId="77777777" w:rsidR="005B6992" w:rsidRPr="00005453" w:rsidRDefault="005B6992" w:rsidP="003227FA">
            <w:pPr>
              <w:jc w:val="right"/>
              <w:rPr>
                <w:sz w:val="12"/>
                <w:lang w:eastAsia="tr-TR"/>
              </w:rPr>
            </w:pPr>
          </w:p>
        </w:tc>
        <w:tc>
          <w:tcPr>
            <w:tcW w:w="1116" w:type="dxa"/>
            <w:tcBorders>
              <w:top w:val="nil"/>
              <w:left w:val="nil"/>
              <w:bottom w:val="nil"/>
              <w:right w:val="nil"/>
            </w:tcBorders>
            <w:shd w:val="clear" w:color="auto" w:fill="auto"/>
            <w:vAlign w:val="center"/>
            <w:hideMark/>
          </w:tcPr>
          <w:p w14:paraId="38F2BECC" w14:textId="77777777" w:rsidR="005B6992" w:rsidRPr="00005453" w:rsidRDefault="005B6992" w:rsidP="003227FA">
            <w:pPr>
              <w:jc w:val="right"/>
              <w:rPr>
                <w:sz w:val="12"/>
                <w:lang w:eastAsia="tr-TR"/>
              </w:rPr>
            </w:pPr>
          </w:p>
        </w:tc>
        <w:tc>
          <w:tcPr>
            <w:tcW w:w="1070" w:type="dxa"/>
            <w:tcBorders>
              <w:top w:val="nil"/>
              <w:left w:val="nil"/>
              <w:bottom w:val="nil"/>
              <w:right w:val="nil"/>
            </w:tcBorders>
            <w:shd w:val="clear" w:color="auto" w:fill="auto"/>
            <w:vAlign w:val="center"/>
            <w:hideMark/>
          </w:tcPr>
          <w:p w14:paraId="538E6210" w14:textId="77777777" w:rsidR="005B6992" w:rsidRPr="00005453" w:rsidRDefault="005B6992" w:rsidP="003227FA">
            <w:pPr>
              <w:jc w:val="right"/>
              <w:rPr>
                <w:sz w:val="12"/>
                <w:lang w:eastAsia="tr-TR"/>
              </w:rPr>
            </w:pPr>
          </w:p>
        </w:tc>
      </w:tr>
      <w:tr w:rsidR="005B6992" w:rsidRPr="00005453" w14:paraId="0852291D" w14:textId="77777777" w:rsidTr="003227FA">
        <w:trPr>
          <w:trHeight w:val="237"/>
        </w:trPr>
        <w:tc>
          <w:tcPr>
            <w:tcW w:w="2911" w:type="dxa"/>
            <w:tcBorders>
              <w:top w:val="nil"/>
              <w:left w:val="nil"/>
              <w:bottom w:val="nil"/>
              <w:right w:val="nil"/>
            </w:tcBorders>
            <w:shd w:val="clear" w:color="auto" w:fill="auto"/>
            <w:noWrap/>
            <w:vAlign w:val="center"/>
            <w:hideMark/>
          </w:tcPr>
          <w:p w14:paraId="0BC9BADA" w14:textId="77777777" w:rsidR="005B6992" w:rsidRPr="00005453" w:rsidRDefault="005B6992" w:rsidP="00614CD2">
            <w:pPr>
              <w:rPr>
                <w:b/>
                <w:bCs/>
                <w:sz w:val="16"/>
                <w:szCs w:val="16"/>
                <w:lang w:eastAsia="tr-TR"/>
              </w:rPr>
            </w:pPr>
            <w:r w:rsidRPr="00005453">
              <w:rPr>
                <w:b/>
                <w:bCs/>
                <w:sz w:val="16"/>
                <w:szCs w:val="16"/>
                <w:lang w:eastAsia="tr-TR"/>
              </w:rPr>
              <w:t>Birikmiş Amortisman (-)</w:t>
            </w:r>
          </w:p>
        </w:tc>
        <w:tc>
          <w:tcPr>
            <w:tcW w:w="1139" w:type="dxa"/>
            <w:tcBorders>
              <w:top w:val="nil"/>
              <w:left w:val="nil"/>
              <w:bottom w:val="nil"/>
              <w:right w:val="nil"/>
            </w:tcBorders>
            <w:shd w:val="clear" w:color="auto" w:fill="auto"/>
            <w:vAlign w:val="center"/>
            <w:hideMark/>
          </w:tcPr>
          <w:p w14:paraId="5511E25C" w14:textId="77777777" w:rsidR="005B6992" w:rsidRPr="00005453" w:rsidRDefault="005B6992" w:rsidP="003227FA">
            <w:pPr>
              <w:ind w:firstLineChars="100" w:firstLine="161"/>
              <w:jc w:val="right"/>
              <w:rPr>
                <w:b/>
                <w:bCs/>
                <w:sz w:val="16"/>
                <w:szCs w:val="16"/>
                <w:lang w:eastAsia="tr-TR"/>
              </w:rPr>
            </w:pPr>
          </w:p>
        </w:tc>
        <w:tc>
          <w:tcPr>
            <w:tcW w:w="1745" w:type="dxa"/>
            <w:tcBorders>
              <w:top w:val="nil"/>
              <w:left w:val="nil"/>
              <w:bottom w:val="nil"/>
              <w:right w:val="nil"/>
            </w:tcBorders>
            <w:shd w:val="clear" w:color="auto" w:fill="auto"/>
            <w:vAlign w:val="center"/>
            <w:hideMark/>
          </w:tcPr>
          <w:p w14:paraId="2A25C0DC" w14:textId="77777777" w:rsidR="005B6992" w:rsidRPr="00005453" w:rsidRDefault="005B6992" w:rsidP="003227FA">
            <w:pPr>
              <w:jc w:val="right"/>
              <w:rPr>
                <w:lang w:eastAsia="tr-TR"/>
              </w:rPr>
            </w:pPr>
          </w:p>
        </w:tc>
        <w:tc>
          <w:tcPr>
            <w:tcW w:w="1233" w:type="dxa"/>
            <w:tcBorders>
              <w:top w:val="nil"/>
              <w:left w:val="nil"/>
              <w:bottom w:val="nil"/>
              <w:right w:val="nil"/>
            </w:tcBorders>
            <w:shd w:val="clear" w:color="auto" w:fill="auto"/>
            <w:vAlign w:val="center"/>
            <w:hideMark/>
          </w:tcPr>
          <w:p w14:paraId="05647ECF" w14:textId="77777777" w:rsidR="005B6992" w:rsidRPr="00005453" w:rsidRDefault="005B6992" w:rsidP="003227FA">
            <w:pPr>
              <w:jc w:val="right"/>
              <w:rPr>
                <w:lang w:eastAsia="tr-TR"/>
              </w:rPr>
            </w:pPr>
          </w:p>
        </w:tc>
        <w:tc>
          <w:tcPr>
            <w:tcW w:w="1116" w:type="dxa"/>
            <w:tcBorders>
              <w:top w:val="nil"/>
              <w:left w:val="nil"/>
              <w:bottom w:val="nil"/>
              <w:right w:val="nil"/>
            </w:tcBorders>
            <w:shd w:val="clear" w:color="auto" w:fill="auto"/>
            <w:vAlign w:val="center"/>
            <w:hideMark/>
          </w:tcPr>
          <w:p w14:paraId="7B61783A" w14:textId="77777777" w:rsidR="005B6992" w:rsidRPr="00005453" w:rsidRDefault="005B6992" w:rsidP="003227FA">
            <w:pPr>
              <w:jc w:val="right"/>
              <w:rPr>
                <w:lang w:eastAsia="tr-TR"/>
              </w:rPr>
            </w:pPr>
          </w:p>
        </w:tc>
        <w:tc>
          <w:tcPr>
            <w:tcW w:w="1070" w:type="dxa"/>
            <w:tcBorders>
              <w:top w:val="nil"/>
              <w:left w:val="nil"/>
              <w:bottom w:val="nil"/>
              <w:right w:val="nil"/>
            </w:tcBorders>
            <w:shd w:val="clear" w:color="auto" w:fill="auto"/>
            <w:vAlign w:val="center"/>
            <w:hideMark/>
          </w:tcPr>
          <w:p w14:paraId="654E4FA4" w14:textId="77777777" w:rsidR="005B6992" w:rsidRPr="00005453" w:rsidRDefault="005B6992" w:rsidP="003227FA">
            <w:pPr>
              <w:jc w:val="right"/>
              <w:rPr>
                <w:lang w:eastAsia="tr-TR"/>
              </w:rPr>
            </w:pPr>
          </w:p>
        </w:tc>
      </w:tr>
      <w:tr w:rsidR="00252443" w:rsidRPr="00005453" w14:paraId="3C483644" w14:textId="77777777" w:rsidTr="00252443">
        <w:trPr>
          <w:trHeight w:val="237"/>
        </w:trPr>
        <w:tc>
          <w:tcPr>
            <w:tcW w:w="2911" w:type="dxa"/>
            <w:tcBorders>
              <w:top w:val="nil"/>
              <w:left w:val="nil"/>
              <w:bottom w:val="nil"/>
              <w:right w:val="nil"/>
            </w:tcBorders>
            <w:shd w:val="clear" w:color="auto" w:fill="auto"/>
            <w:noWrap/>
            <w:vAlign w:val="center"/>
            <w:hideMark/>
          </w:tcPr>
          <w:p w14:paraId="52FFEB8A" w14:textId="57A6D661" w:rsidR="00252443" w:rsidRPr="00005453" w:rsidRDefault="00252443" w:rsidP="00252443">
            <w:pPr>
              <w:rPr>
                <w:sz w:val="16"/>
                <w:szCs w:val="16"/>
                <w:lang w:eastAsia="tr-TR"/>
              </w:rPr>
            </w:pPr>
            <w:r w:rsidRPr="00005453">
              <w:rPr>
                <w:sz w:val="16"/>
                <w:szCs w:val="16"/>
                <w:lang w:eastAsia="tr-TR"/>
              </w:rPr>
              <w:t>Dönem başı bakiyesi, 1 Ocak 2024</w:t>
            </w:r>
          </w:p>
        </w:tc>
        <w:tc>
          <w:tcPr>
            <w:tcW w:w="1139" w:type="dxa"/>
            <w:tcBorders>
              <w:top w:val="nil"/>
              <w:left w:val="nil"/>
              <w:bottom w:val="nil"/>
              <w:right w:val="nil"/>
            </w:tcBorders>
            <w:shd w:val="clear" w:color="auto" w:fill="auto"/>
            <w:vAlign w:val="center"/>
            <w:hideMark/>
          </w:tcPr>
          <w:p w14:paraId="3EFBFB34" w14:textId="4725E631" w:rsidR="00252443" w:rsidRPr="00005453" w:rsidRDefault="00252443" w:rsidP="00252443">
            <w:pPr>
              <w:jc w:val="right"/>
              <w:rPr>
                <w:sz w:val="18"/>
                <w:szCs w:val="22"/>
              </w:rPr>
            </w:pPr>
            <w:r w:rsidRPr="00005453">
              <w:rPr>
                <w:sz w:val="18"/>
                <w:szCs w:val="22"/>
              </w:rPr>
              <w:t>64,057</w:t>
            </w:r>
          </w:p>
        </w:tc>
        <w:tc>
          <w:tcPr>
            <w:tcW w:w="1745" w:type="dxa"/>
            <w:tcBorders>
              <w:top w:val="nil"/>
              <w:left w:val="nil"/>
              <w:bottom w:val="nil"/>
              <w:right w:val="nil"/>
            </w:tcBorders>
            <w:shd w:val="clear" w:color="auto" w:fill="auto"/>
            <w:vAlign w:val="center"/>
            <w:hideMark/>
          </w:tcPr>
          <w:p w14:paraId="63E0CD36" w14:textId="6308BFF9" w:rsidR="00252443" w:rsidRPr="00005453" w:rsidRDefault="00252443" w:rsidP="00252443">
            <w:pPr>
              <w:jc w:val="right"/>
              <w:rPr>
                <w:sz w:val="18"/>
                <w:szCs w:val="22"/>
              </w:rPr>
            </w:pPr>
            <w:r w:rsidRPr="00005453">
              <w:rPr>
                <w:sz w:val="18"/>
                <w:szCs w:val="22"/>
              </w:rPr>
              <w:t>522,495</w:t>
            </w:r>
          </w:p>
        </w:tc>
        <w:tc>
          <w:tcPr>
            <w:tcW w:w="1233" w:type="dxa"/>
            <w:tcBorders>
              <w:top w:val="nil"/>
              <w:left w:val="nil"/>
              <w:bottom w:val="nil"/>
              <w:right w:val="nil"/>
            </w:tcBorders>
            <w:shd w:val="clear" w:color="auto" w:fill="auto"/>
            <w:vAlign w:val="center"/>
            <w:hideMark/>
          </w:tcPr>
          <w:p w14:paraId="422D69DB" w14:textId="271526C8" w:rsidR="00252443" w:rsidRPr="00005453" w:rsidRDefault="00252443" w:rsidP="00252443">
            <w:pPr>
              <w:jc w:val="right"/>
              <w:rPr>
                <w:sz w:val="18"/>
                <w:szCs w:val="22"/>
              </w:rPr>
            </w:pPr>
            <w:r w:rsidRPr="00005453">
              <w:rPr>
                <w:sz w:val="18"/>
                <w:szCs w:val="22"/>
              </w:rPr>
              <w:t>156,848</w:t>
            </w:r>
          </w:p>
        </w:tc>
        <w:tc>
          <w:tcPr>
            <w:tcW w:w="1116" w:type="dxa"/>
            <w:tcBorders>
              <w:top w:val="nil"/>
              <w:left w:val="nil"/>
              <w:bottom w:val="nil"/>
              <w:right w:val="nil"/>
            </w:tcBorders>
            <w:shd w:val="clear" w:color="auto" w:fill="auto"/>
            <w:vAlign w:val="center"/>
            <w:hideMark/>
          </w:tcPr>
          <w:p w14:paraId="6342DD35" w14:textId="7A1E89D7" w:rsidR="00252443" w:rsidRPr="00005453" w:rsidRDefault="00252443" w:rsidP="00252443">
            <w:pPr>
              <w:jc w:val="right"/>
              <w:rPr>
                <w:sz w:val="18"/>
                <w:szCs w:val="22"/>
              </w:rPr>
            </w:pPr>
            <w:r w:rsidRPr="00005453">
              <w:rPr>
                <w:sz w:val="18"/>
                <w:szCs w:val="22"/>
              </w:rPr>
              <w:t>422,342</w:t>
            </w:r>
          </w:p>
        </w:tc>
        <w:tc>
          <w:tcPr>
            <w:tcW w:w="1070" w:type="dxa"/>
            <w:tcBorders>
              <w:top w:val="nil"/>
              <w:left w:val="nil"/>
              <w:bottom w:val="nil"/>
              <w:right w:val="nil"/>
            </w:tcBorders>
            <w:shd w:val="clear" w:color="auto" w:fill="auto"/>
            <w:vAlign w:val="center"/>
            <w:hideMark/>
          </w:tcPr>
          <w:p w14:paraId="172D349D" w14:textId="56C07CC1" w:rsidR="00252443" w:rsidRPr="00005453" w:rsidRDefault="00252443" w:rsidP="00252443">
            <w:pPr>
              <w:jc w:val="right"/>
              <w:rPr>
                <w:sz w:val="18"/>
                <w:szCs w:val="22"/>
              </w:rPr>
            </w:pPr>
            <w:r w:rsidRPr="00005453">
              <w:rPr>
                <w:sz w:val="18"/>
                <w:szCs w:val="22"/>
              </w:rPr>
              <w:t>1,165,742</w:t>
            </w:r>
          </w:p>
        </w:tc>
      </w:tr>
      <w:tr w:rsidR="00252443" w:rsidRPr="00005453" w14:paraId="3C2E3BC7" w14:textId="77777777" w:rsidTr="00252443">
        <w:trPr>
          <w:trHeight w:val="249"/>
        </w:trPr>
        <w:tc>
          <w:tcPr>
            <w:tcW w:w="2911" w:type="dxa"/>
            <w:tcBorders>
              <w:top w:val="nil"/>
              <w:left w:val="nil"/>
              <w:bottom w:val="nil"/>
              <w:right w:val="nil"/>
            </w:tcBorders>
            <w:shd w:val="clear" w:color="auto" w:fill="auto"/>
            <w:noWrap/>
            <w:vAlign w:val="center"/>
            <w:hideMark/>
          </w:tcPr>
          <w:p w14:paraId="39569044" w14:textId="77777777" w:rsidR="00252443" w:rsidRPr="00005453" w:rsidRDefault="00252443" w:rsidP="00252443">
            <w:pPr>
              <w:rPr>
                <w:sz w:val="16"/>
                <w:szCs w:val="16"/>
                <w:lang w:eastAsia="tr-TR"/>
              </w:rPr>
            </w:pPr>
            <w:r w:rsidRPr="00005453">
              <w:rPr>
                <w:sz w:val="16"/>
                <w:szCs w:val="16"/>
                <w:lang w:eastAsia="tr-TR"/>
              </w:rPr>
              <w:t>Amortisman bedeli</w:t>
            </w:r>
          </w:p>
        </w:tc>
        <w:tc>
          <w:tcPr>
            <w:tcW w:w="1139" w:type="dxa"/>
            <w:tcBorders>
              <w:top w:val="nil"/>
              <w:left w:val="nil"/>
              <w:bottom w:val="nil"/>
              <w:right w:val="nil"/>
            </w:tcBorders>
            <w:shd w:val="clear" w:color="auto" w:fill="auto"/>
            <w:vAlign w:val="center"/>
            <w:hideMark/>
          </w:tcPr>
          <w:p w14:paraId="48E95812" w14:textId="692F7BF0" w:rsidR="00252443" w:rsidRPr="00005453" w:rsidRDefault="00252443" w:rsidP="00252443">
            <w:pPr>
              <w:jc w:val="right"/>
              <w:rPr>
                <w:sz w:val="18"/>
                <w:szCs w:val="22"/>
              </w:rPr>
            </w:pPr>
            <w:r w:rsidRPr="00005453">
              <w:rPr>
                <w:sz w:val="18"/>
                <w:szCs w:val="22"/>
              </w:rPr>
              <w:t>18,915</w:t>
            </w:r>
          </w:p>
        </w:tc>
        <w:tc>
          <w:tcPr>
            <w:tcW w:w="1745" w:type="dxa"/>
            <w:tcBorders>
              <w:top w:val="nil"/>
              <w:left w:val="nil"/>
              <w:bottom w:val="nil"/>
              <w:right w:val="nil"/>
            </w:tcBorders>
            <w:shd w:val="clear" w:color="auto" w:fill="auto"/>
            <w:vAlign w:val="center"/>
            <w:hideMark/>
          </w:tcPr>
          <w:p w14:paraId="3AE47C70" w14:textId="28306CD0" w:rsidR="00252443" w:rsidRPr="00005453" w:rsidRDefault="00252443" w:rsidP="00252443">
            <w:pPr>
              <w:jc w:val="right"/>
              <w:rPr>
                <w:sz w:val="18"/>
                <w:szCs w:val="22"/>
              </w:rPr>
            </w:pPr>
            <w:r w:rsidRPr="00005453">
              <w:rPr>
                <w:sz w:val="18"/>
                <w:szCs w:val="22"/>
              </w:rPr>
              <w:t>497,447</w:t>
            </w:r>
          </w:p>
        </w:tc>
        <w:tc>
          <w:tcPr>
            <w:tcW w:w="1233" w:type="dxa"/>
            <w:tcBorders>
              <w:top w:val="nil"/>
              <w:left w:val="nil"/>
              <w:bottom w:val="nil"/>
              <w:right w:val="nil"/>
            </w:tcBorders>
            <w:shd w:val="clear" w:color="auto" w:fill="auto"/>
            <w:vAlign w:val="center"/>
            <w:hideMark/>
          </w:tcPr>
          <w:p w14:paraId="6A869C9E" w14:textId="6453E131" w:rsidR="00252443" w:rsidRPr="00005453" w:rsidRDefault="00252443" w:rsidP="00252443">
            <w:pPr>
              <w:jc w:val="right"/>
              <w:rPr>
                <w:sz w:val="18"/>
                <w:szCs w:val="22"/>
              </w:rPr>
            </w:pPr>
            <w:r w:rsidRPr="00005453">
              <w:rPr>
                <w:sz w:val="18"/>
                <w:szCs w:val="22"/>
              </w:rPr>
              <w:t>162,006</w:t>
            </w:r>
          </w:p>
        </w:tc>
        <w:tc>
          <w:tcPr>
            <w:tcW w:w="1116" w:type="dxa"/>
            <w:tcBorders>
              <w:top w:val="nil"/>
              <w:left w:val="nil"/>
              <w:bottom w:val="nil"/>
              <w:right w:val="nil"/>
            </w:tcBorders>
            <w:shd w:val="clear" w:color="auto" w:fill="auto"/>
            <w:vAlign w:val="center"/>
            <w:hideMark/>
          </w:tcPr>
          <w:p w14:paraId="493341A0" w14:textId="05FB75C0" w:rsidR="00252443" w:rsidRPr="00005453" w:rsidRDefault="00252443" w:rsidP="00252443">
            <w:pPr>
              <w:jc w:val="right"/>
              <w:rPr>
                <w:sz w:val="18"/>
                <w:szCs w:val="22"/>
              </w:rPr>
            </w:pPr>
            <w:r w:rsidRPr="00005453">
              <w:rPr>
                <w:sz w:val="18"/>
                <w:szCs w:val="22"/>
              </w:rPr>
              <w:t>265,354</w:t>
            </w:r>
          </w:p>
        </w:tc>
        <w:tc>
          <w:tcPr>
            <w:tcW w:w="1070" w:type="dxa"/>
            <w:tcBorders>
              <w:top w:val="nil"/>
              <w:left w:val="nil"/>
              <w:bottom w:val="nil"/>
              <w:right w:val="nil"/>
            </w:tcBorders>
            <w:shd w:val="clear" w:color="auto" w:fill="auto"/>
            <w:vAlign w:val="center"/>
            <w:hideMark/>
          </w:tcPr>
          <w:p w14:paraId="4E696400" w14:textId="42FAEB1A" w:rsidR="00252443" w:rsidRPr="00005453" w:rsidRDefault="00252443" w:rsidP="00252443">
            <w:pPr>
              <w:jc w:val="right"/>
              <w:rPr>
                <w:sz w:val="18"/>
                <w:szCs w:val="22"/>
              </w:rPr>
            </w:pPr>
            <w:r w:rsidRPr="00005453">
              <w:rPr>
                <w:sz w:val="18"/>
                <w:szCs w:val="22"/>
              </w:rPr>
              <w:t>943,722</w:t>
            </w:r>
          </w:p>
        </w:tc>
      </w:tr>
      <w:tr w:rsidR="00252443" w:rsidRPr="00005453" w14:paraId="6DC2ECBD" w14:textId="77777777" w:rsidTr="00252443">
        <w:trPr>
          <w:trHeight w:val="249"/>
        </w:trPr>
        <w:tc>
          <w:tcPr>
            <w:tcW w:w="2911" w:type="dxa"/>
            <w:tcBorders>
              <w:top w:val="nil"/>
              <w:left w:val="nil"/>
              <w:bottom w:val="nil"/>
              <w:right w:val="nil"/>
            </w:tcBorders>
            <w:shd w:val="clear" w:color="auto" w:fill="auto"/>
            <w:noWrap/>
            <w:vAlign w:val="center"/>
            <w:hideMark/>
          </w:tcPr>
          <w:p w14:paraId="54B80AB9" w14:textId="77777777" w:rsidR="00252443" w:rsidRPr="00005453" w:rsidRDefault="00252443" w:rsidP="00252443">
            <w:pPr>
              <w:rPr>
                <w:sz w:val="16"/>
                <w:szCs w:val="16"/>
                <w:lang w:eastAsia="tr-TR"/>
              </w:rPr>
            </w:pPr>
            <w:r w:rsidRPr="00005453">
              <w:rPr>
                <w:sz w:val="16"/>
                <w:szCs w:val="16"/>
                <w:lang w:eastAsia="tr-TR"/>
              </w:rPr>
              <w:t>Elden çıkarılanlar</w:t>
            </w:r>
          </w:p>
        </w:tc>
        <w:tc>
          <w:tcPr>
            <w:tcW w:w="1139" w:type="dxa"/>
            <w:tcBorders>
              <w:top w:val="nil"/>
              <w:left w:val="nil"/>
              <w:bottom w:val="nil"/>
              <w:right w:val="nil"/>
            </w:tcBorders>
            <w:shd w:val="clear" w:color="auto" w:fill="auto"/>
            <w:vAlign w:val="center"/>
            <w:hideMark/>
          </w:tcPr>
          <w:p w14:paraId="33803559" w14:textId="1926AB5D" w:rsidR="00252443" w:rsidRPr="00005453" w:rsidRDefault="00252443" w:rsidP="00252443">
            <w:pPr>
              <w:jc w:val="right"/>
              <w:rPr>
                <w:sz w:val="18"/>
                <w:szCs w:val="22"/>
              </w:rPr>
            </w:pPr>
            <w:r w:rsidRPr="00005453">
              <w:rPr>
                <w:sz w:val="18"/>
                <w:szCs w:val="22"/>
              </w:rPr>
              <w:t>-</w:t>
            </w:r>
          </w:p>
        </w:tc>
        <w:tc>
          <w:tcPr>
            <w:tcW w:w="1745" w:type="dxa"/>
            <w:tcBorders>
              <w:top w:val="nil"/>
              <w:left w:val="nil"/>
              <w:bottom w:val="nil"/>
              <w:right w:val="nil"/>
            </w:tcBorders>
            <w:shd w:val="clear" w:color="auto" w:fill="auto"/>
            <w:vAlign w:val="center"/>
            <w:hideMark/>
          </w:tcPr>
          <w:p w14:paraId="588B5E83" w14:textId="7B88D13E" w:rsidR="00252443" w:rsidRPr="00005453" w:rsidRDefault="00252443" w:rsidP="00252443">
            <w:pPr>
              <w:jc w:val="right"/>
              <w:rPr>
                <w:sz w:val="18"/>
                <w:szCs w:val="22"/>
              </w:rPr>
            </w:pPr>
            <w:r w:rsidRPr="00005453">
              <w:rPr>
                <w:sz w:val="18"/>
                <w:szCs w:val="22"/>
              </w:rPr>
              <w:t>(235,827)</w:t>
            </w:r>
          </w:p>
        </w:tc>
        <w:tc>
          <w:tcPr>
            <w:tcW w:w="1233" w:type="dxa"/>
            <w:tcBorders>
              <w:top w:val="nil"/>
              <w:left w:val="nil"/>
              <w:bottom w:val="nil"/>
              <w:right w:val="nil"/>
            </w:tcBorders>
            <w:shd w:val="clear" w:color="auto" w:fill="auto"/>
            <w:vAlign w:val="center"/>
            <w:hideMark/>
          </w:tcPr>
          <w:p w14:paraId="75B5B6DB" w14:textId="4AD03C25" w:rsidR="00252443" w:rsidRPr="00005453" w:rsidRDefault="00252443" w:rsidP="00252443">
            <w:pPr>
              <w:jc w:val="right"/>
              <w:rPr>
                <w:sz w:val="18"/>
                <w:szCs w:val="22"/>
              </w:rPr>
            </w:pPr>
            <w:r w:rsidRPr="00005453">
              <w:rPr>
                <w:sz w:val="18"/>
                <w:szCs w:val="22"/>
              </w:rPr>
              <w:t>(44,783)</w:t>
            </w:r>
          </w:p>
        </w:tc>
        <w:tc>
          <w:tcPr>
            <w:tcW w:w="1116" w:type="dxa"/>
            <w:tcBorders>
              <w:top w:val="nil"/>
              <w:left w:val="nil"/>
              <w:bottom w:val="nil"/>
              <w:right w:val="nil"/>
            </w:tcBorders>
            <w:shd w:val="clear" w:color="auto" w:fill="auto"/>
            <w:vAlign w:val="center"/>
            <w:hideMark/>
          </w:tcPr>
          <w:p w14:paraId="5734E5A5" w14:textId="31A044C3" w:rsidR="00252443" w:rsidRPr="00005453" w:rsidRDefault="00252443" w:rsidP="00252443">
            <w:pPr>
              <w:jc w:val="right"/>
              <w:rPr>
                <w:sz w:val="18"/>
                <w:szCs w:val="22"/>
              </w:rPr>
            </w:pPr>
            <w:r w:rsidRPr="00005453">
              <w:rPr>
                <w:sz w:val="18"/>
                <w:szCs w:val="22"/>
              </w:rPr>
              <w:t>(16,115)</w:t>
            </w:r>
          </w:p>
        </w:tc>
        <w:tc>
          <w:tcPr>
            <w:tcW w:w="1070" w:type="dxa"/>
            <w:tcBorders>
              <w:top w:val="nil"/>
              <w:left w:val="nil"/>
              <w:bottom w:val="nil"/>
              <w:right w:val="nil"/>
            </w:tcBorders>
            <w:shd w:val="clear" w:color="auto" w:fill="auto"/>
            <w:vAlign w:val="center"/>
            <w:hideMark/>
          </w:tcPr>
          <w:p w14:paraId="235ACEF9" w14:textId="6C7AC733" w:rsidR="00252443" w:rsidRPr="00005453" w:rsidRDefault="00252443" w:rsidP="00252443">
            <w:pPr>
              <w:jc w:val="right"/>
              <w:rPr>
                <w:sz w:val="18"/>
                <w:szCs w:val="22"/>
              </w:rPr>
            </w:pPr>
            <w:r w:rsidRPr="00005453">
              <w:rPr>
                <w:sz w:val="18"/>
                <w:szCs w:val="22"/>
              </w:rPr>
              <w:t>(296,725)</w:t>
            </w:r>
          </w:p>
        </w:tc>
      </w:tr>
      <w:tr w:rsidR="00252443" w:rsidRPr="00005453" w14:paraId="231DF116" w14:textId="77777777" w:rsidTr="00252443">
        <w:trPr>
          <w:trHeight w:val="249"/>
        </w:trPr>
        <w:tc>
          <w:tcPr>
            <w:tcW w:w="2911" w:type="dxa"/>
            <w:tcBorders>
              <w:top w:val="nil"/>
              <w:left w:val="nil"/>
              <w:bottom w:val="nil"/>
              <w:right w:val="nil"/>
            </w:tcBorders>
            <w:shd w:val="clear" w:color="auto" w:fill="auto"/>
            <w:noWrap/>
            <w:vAlign w:val="center"/>
          </w:tcPr>
          <w:p w14:paraId="0C765582" w14:textId="43AC24B4" w:rsidR="00252443" w:rsidRPr="00005453" w:rsidRDefault="00252443" w:rsidP="00252443">
            <w:pPr>
              <w:rPr>
                <w:sz w:val="16"/>
                <w:szCs w:val="16"/>
                <w:lang w:eastAsia="tr-TR"/>
              </w:rPr>
            </w:pPr>
            <w:r w:rsidRPr="00005453">
              <w:rPr>
                <w:sz w:val="16"/>
                <w:szCs w:val="16"/>
                <w:lang w:eastAsia="tr-TR"/>
              </w:rPr>
              <w:t>Kur farkları</w:t>
            </w:r>
          </w:p>
        </w:tc>
        <w:tc>
          <w:tcPr>
            <w:tcW w:w="1139" w:type="dxa"/>
            <w:tcBorders>
              <w:top w:val="nil"/>
              <w:left w:val="nil"/>
              <w:bottom w:val="nil"/>
              <w:right w:val="nil"/>
            </w:tcBorders>
            <w:shd w:val="clear" w:color="auto" w:fill="auto"/>
            <w:vAlign w:val="center"/>
          </w:tcPr>
          <w:p w14:paraId="32BB1CF7" w14:textId="4CA7E6CD" w:rsidR="00252443" w:rsidRPr="00005453" w:rsidRDefault="00252443" w:rsidP="00252443">
            <w:pPr>
              <w:jc w:val="right"/>
              <w:rPr>
                <w:sz w:val="18"/>
                <w:szCs w:val="22"/>
              </w:rPr>
            </w:pPr>
            <w:r w:rsidRPr="00005453">
              <w:rPr>
                <w:sz w:val="18"/>
                <w:szCs w:val="22"/>
              </w:rPr>
              <w:t>1,433</w:t>
            </w:r>
          </w:p>
        </w:tc>
        <w:tc>
          <w:tcPr>
            <w:tcW w:w="1745" w:type="dxa"/>
            <w:tcBorders>
              <w:top w:val="nil"/>
              <w:left w:val="nil"/>
              <w:bottom w:val="nil"/>
              <w:right w:val="nil"/>
            </w:tcBorders>
            <w:shd w:val="clear" w:color="auto" w:fill="auto"/>
            <w:vAlign w:val="center"/>
          </w:tcPr>
          <w:p w14:paraId="4F53072C" w14:textId="2FECD23A" w:rsidR="00252443" w:rsidRPr="00005453" w:rsidRDefault="00252443" w:rsidP="00252443">
            <w:pPr>
              <w:jc w:val="right"/>
              <w:rPr>
                <w:sz w:val="18"/>
                <w:szCs w:val="22"/>
              </w:rPr>
            </w:pPr>
            <w:r w:rsidRPr="00005453">
              <w:rPr>
                <w:sz w:val="18"/>
                <w:szCs w:val="22"/>
              </w:rPr>
              <w:t>-</w:t>
            </w:r>
          </w:p>
        </w:tc>
        <w:tc>
          <w:tcPr>
            <w:tcW w:w="1233" w:type="dxa"/>
            <w:tcBorders>
              <w:top w:val="nil"/>
              <w:left w:val="nil"/>
              <w:bottom w:val="nil"/>
              <w:right w:val="nil"/>
            </w:tcBorders>
            <w:shd w:val="clear" w:color="auto" w:fill="auto"/>
            <w:vAlign w:val="center"/>
          </w:tcPr>
          <w:p w14:paraId="3F46FBDA" w14:textId="49D5E7B0" w:rsidR="00252443" w:rsidRPr="00005453" w:rsidRDefault="00252443" w:rsidP="00252443">
            <w:pPr>
              <w:jc w:val="right"/>
              <w:rPr>
                <w:sz w:val="18"/>
                <w:szCs w:val="22"/>
              </w:rPr>
            </w:pPr>
            <w:r w:rsidRPr="00005453">
              <w:rPr>
                <w:sz w:val="18"/>
                <w:szCs w:val="22"/>
              </w:rPr>
              <w:t>-</w:t>
            </w:r>
          </w:p>
        </w:tc>
        <w:tc>
          <w:tcPr>
            <w:tcW w:w="1116" w:type="dxa"/>
            <w:tcBorders>
              <w:top w:val="nil"/>
              <w:left w:val="nil"/>
              <w:bottom w:val="nil"/>
              <w:right w:val="nil"/>
            </w:tcBorders>
            <w:shd w:val="clear" w:color="auto" w:fill="auto"/>
            <w:vAlign w:val="center"/>
          </w:tcPr>
          <w:p w14:paraId="21389E02" w14:textId="09019099" w:rsidR="00252443" w:rsidRPr="00005453" w:rsidRDefault="00252443" w:rsidP="00252443">
            <w:pPr>
              <w:jc w:val="right"/>
              <w:rPr>
                <w:sz w:val="18"/>
                <w:szCs w:val="22"/>
              </w:rPr>
            </w:pPr>
            <w:r w:rsidRPr="00005453">
              <w:rPr>
                <w:sz w:val="18"/>
                <w:szCs w:val="22"/>
              </w:rPr>
              <w:t>-</w:t>
            </w:r>
          </w:p>
        </w:tc>
        <w:tc>
          <w:tcPr>
            <w:tcW w:w="1070" w:type="dxa"/>
            <w:tcBorders>
              <w:top w:val="nil"/>
              <w:left w:val="nil"/>
              <w:bottom w:val="nil"/>
              <w:right w:val="nil"/>
            </w:tcBorders>
            <w:shd w:val="clear" w:color="auto" w:fill="auto"/>
            <w:vAlign w:val="center"/>
          </w:tcPr>
          <w:p w14:paraId="141274F7" w14:textId="69AA470B" w:rsidR="00252443" w:rsidRPr="00005453" w:rsidRDefault="00252443" w:rsidP="00252443">
            <w:pPr>
              <w:jc w:val="right"/>
              <w:rPr>
                <w:sz w:val="18"/>
                <w:szCs w:val="22"/>
              </w:rPr>
            </w:pPr>
            <w:r w:rsidRPr="00005453">
              <w:rPr>
                <w:sz w:val="18"/>
                <w:szCs w:val="22"/>
              </w:rPr>
              <w:t>1,433</w:t>
            </w:r>
          </w:p>
        </w:tc>
      </w:tr>
      <w:tr w:rsidR="00252443" w:rsidRPr="00005453" w14:paraId="1B719D9F" w14:textId="77777777" w:rsidTr="00252443">
        <w:trPr>
          <w:trHeight w:val="249"/>
        </w:trPr>
        <w:tc>
          <w:tcPr>
            <w:tcW w:w="2911" w:type="dxa"/>
            <w:tcBorders>
              <w:top w:val="nil"/>
              <w:left w:val="nil"/>
              <w:bottom w:val="nil"/>
              <w:right w:val="nil"/>
            </w:tcBorders>
            <w:shd w:val="clear" w:color="auto" w:fill="auto"/>
            <w:noWrap/>
            <w:vAlign w:val="center"/>
            <w:hideMark/>
          </w:tcPr>
          <w:p w14:paraId="6A00F708" w14:textId="77777777" w:rsidR="00252443" w:rsidRPr="00005453" w:rsidRDefault="00252443" w:rsidP="00252443">
            <w:pPr>
              <w:rPr>
                <w:sz w:val="16"/>
                <w:szCs w:val="16"/>
                <w:lang w:eastAsia="tr-TR"/>
              </w:rPr>
            </w:pPr>
            <w:r w:rsidRPr="00005453">
              <w:rPr>
                <w:sz w:val="16"/>
                <w:szCs w:val="16"/>
                <w:lang w:eastAsia="tr-TR"/>
              </w:rPr>
              <w:t>Transferler</w:t>
            </w:r>
          </w:p>
        </w:tc>
        <w:tc>
          <w:tcPr>
            <w:tcW w:w="1139" w:type="dxa"/>
            <w:tcBorders>
              <w:top w:val="nil"/>
              <w:left w:val="nil"/>
              <w:bottom w:val="nil"/>
              <w:right w:val="nil"/>
            </w:tcBorders>
            <w:shd w:val="clear" w:color="auto" w:fill="auto"/>
            <w:vAlign w:val="center"/>
            <w:hideMark/>
          </w:tcPr>
          <w:p w14:paraId="4211EF28" w14:textId="44745A32" w:rsidR="00252443" w:rsidRPr="00005453" w:rsidRDefault="00252443" w:rsidP="00252443">
            <w:pPr>
              <w:jc w:val="right"/>
              <w:rPr>
                <w:sz w:val="18"/>
                <w:szCs w:val="22"/>
              </w:rPr>
            </w:pPr>
          </w:p>
        </w:tc>
        <w:tc>
          <w:tcPr>
            <w:tcW w:w="1745" w:type="dxa"/>
            <w:tcBorders>
              <w:top w:val="nil"/>
              <w:left w:val="nil"/>
              <w:bottom w:val="nil"/>
              <w:right w:val="nil"/>
            </w:tcBorders>
            <w:shd w:val="clear" w:color="auto" w:fill="auto"/>
            <w:vAlign w:val="center"/>
            <w:hideMark/>
          </w:tcPr>
          <w:p w14:paraId="4510B808" w14:textId="4270187C" w:rsidR="00252443" w:rsidRPr="00005453" w:rsidRDefault="00252443" w:rsidP="00252443">
            <w:pPr>
              <w:jc w:val="right"/>
              <w:rPr>
                <w:sz w:val="18"/>
                <w:szCs w:val="22"/>
              </w:rPr>
            </w:pPr>
            <w:r w:rsidRPr="00005453">
              <w:rPr>
                <w:sz w:val="18"/>
                <w:szCs w:val="22"/>
              </w:rPr>
              <w:t>522</w:t>
            </w:r>
          </w:p>
        </w:tc>
        <w:tc>
          <w:tcPr>
            <w:tcW w:w="1233" w:type="dxa"/>
            <w:tcBorders>
              <w:top w:val="nil"/>
              <w:left w:val="nil"/>
              <w:bottom w:val="nil"/>
              <w:right w:val="nil"/>
            </w:tcBorders>
            <w:shd w:val="clear" w:color="auto" w:fill="auto"/>
            <w:vAlign w:val="center"/>
            <w:hideMark/>
          </w:tcPr>
          <w:p w14:paraId="2D70F754" w14:textId="71EDF80D" w:rsidR="00252443" w:rsidRPr="00005453" w:rsidRDefault="00252443" w:rsidP="00252443">
            <w:pPr>
              <w:jc w:val="right"/>
              <w:rPr>
                <w:sz w:val="18"/>
                <w:szCs w:val="22"/>
              </w:rPr>
            </w:pPr>
            <w:r w:rsidRPr="00005453">
              <w:rPr>
                <w:sz w:val="18"/>
                <w:szCs w:val="22"/>
              </w:rPr>
              <w:t>94</w:t>
            </w:r>
          </w:p>
        </w:tc>
        <w:tc>
          <w:tcPr>
            <w:tcW w:w="1116" w:type="dxa"/>
            <w:tcBorders>
              <w:top w:val="nil"/>
              <w:left w:val="nil"/>
              <w:bottom w:val="nil"/>
              <w:right w:val="nil"/>
            </w:tcBorders>
            <w:shd w:val="clear" w:color="auto" w:fill="auto"/>
            <w:vAlign w:val="center"/>
            <w:hideMark/>
          </w:tcPr>
          <w:p w14:paraId="61CD24FC" w14:textId="50C816E2" w:rsidR="00252443" w:rsidRPr="00005453" w:rsidRDefault="00252443" w:rsidP="00252443">
            <w:pPr>
              <w:jc w:val="right"/>
              <w:rPr>
                <w:sz w:val="18"/>
                <w:szCs w:val="22"/>
              </w:rPr>
            </w:pPr>
            <w:r w:rsidRPr="00005453">
              <w:rPr>
                <w:sz w:val="18"/>
                <w:szCs w:val="22"/>
              </w:rPr>
              <w:t>440</w:t>
            </w:r>
          </w:p>
        </w:tc>
        <w:tc>
          <w:tcPr>
            <w:tcW w:w="1070" w:type="dxa"/>
            <w:tcBorders>
              <w:top w:val="nil"/>
              <w:left w:val="nil"/>
              <w:bottom w:val="nil"/>
              <w:right w:val="nil"/>
            </w:tcBorders>
            <w:shd w:val="clear" w:color="auto" w:fill="auto"/>
            <w:vAlign w:val="center"/>
            <w:hideMark/>
          </w:tcPr>
          <w:p w14:paraId="1610BEBA" w14:textId="7962D374" w:rsidR="00252443" w:rsidRPr="00005453" w:rsidRDefault="00252443" w:rsidP="00252443">
            <w:pPr>
              <w:jc w:val="right"/>
              <w:rPr>
                <w:sz w:val="18"/>
                <w:szCs w:val="22"/>
              </w:rPr>
            </w:pPr>
            <w:r w:rsidRPr="00005453">
              <w:rPr>
                <w:sz w:val="18"/>
                <w:szCs w:val="22"/>
              </w:rPr>
              <w:t>1,056</w:t>
            </w:r>
          </w:p>
        </w:tc>
      </w:tr>
      <w:tr w:rsidR="00252443" w:rsidRPr="00005453" w14:paraId="0DC6A2A5" w14:textId="77777777" w:rsidTr="00252443">
        <w:trPr>
          <w:trHeight w:val="237"/>
        </w:trPr>
        <w:tc>
          <w:tcPr>
            <w:tcW w:w="2911" w:type="dxa"/>
            <w:tcBorders>
              <w:top w:val="nil"/>
              <w:left w:val="nil"/>
              <w:bottom w:val="nil"/>
              <w:right w:val="nil"/>
            </w:tcBorders>
            <w:shd w:val="clear" w:color="auto" w:fill="auto"/>
            <w:noWrap/>
            <w:vAlign w:val="center"/>
            <w:hideMark/>
          </w:tcPr>
          <w:p w14:paraId="70B88B24" w14:textId="307F4219" w:rsidR="00252443" w:rsidRPr="00005453" w:rsidRDefault="00252443" w:rsidP="00252443">
            <w:pPr>
              <w:rPr>
                <w:sz w:val="16"/>
                <w:szCs w:val="16"/>
                <w:lang w:eastAsia="tr-TR"/>
              </w:rPr>
            </w:pPr>
            <w:r w:rsidRPr="00005453">
              <w:rPr>
                <w:sz w:val="16"/>
                <w:szCs w:val="16"/>
                <w:lang w:eastAsia="tr-TR"/>
              </w:rPr>
              <w:t>Dönem sonu bakiyesi, 31 Aralık 2024</w:t>
            </w:r>
          </w:p>
        </w:tc>
        <w:tc>
          <w:tcPr>
            <w:tcW w:w="1139" w:type="dxa"/>
            <w:tcBorders>
              <w:top w:val="nil"/>
              <w:left w:val="nil"/>
              <w:bottom w:val="nil"/>
              <w:right w:val="nil"/>
            </w:tcBorders>
            <w:shd w:val="clear" w:color="auto" w:fill="auto"/>
            <w:vAlign w:val="center"/>
            <w:hideMark/>
          </w:tcPr>
          <w:p w14:paraId="72BECEA0" w14:textId="272E3C3D" w:rsidR="00252443" w:rsidRPr="00005453" w:rsidRDefault="00252443" w:rsidP="00252443">
            <w:pPr>
              <w:jc w:val="right"/>
              <w:rPr>
                <w:sz w:val="18"/>
                <w:szCs w:val="22"/>
              </w:rPr>
            </w:pPr>
            <w:r w:rsidRPr="00005453">
              <w:rPr>
                <w:sz w:val="18"/>
                <w:szCs w:val="22"/>
              </w:rPr>
              <w:t>84,405</w:t>
            </w:r>
          </w:p>
        </w:tc>
        <w:tc>
          <w:tcPr>
            <w:tcW w:w="1745" w:type="dxa"/>
            <w:tcBorders>
              <w:top w:val="nil"/>
              <w:left w:val="nil"/>
              <w:bottom w:val="nil"/>
              <w:right w:val="nil"/>
            </w:tcBorders>
            <w:shd w:val="clear" w:color="auto" w:fill="auto"/>
            <w:vAlign w:val="center"/>
            <w:hideMark/>
          </w:tcPr>
          <w:p w14:paraId="1D09B55B" w14:textId="5EECD875" w:rsidR="00252443" w:rsidRPr="00005453" w:rsidRDefault="00252443" w:rsidP="00252443">
            <w:pPr>
              <w:jc w:val="right"/>
              <w:rPr>
                <w:sz w:val="18"/>
                <w:szCs w:val="22"/>
              </w:rPr>
            </w:pPr>
            <w:r w:rsidRPr="00005453">
              <w:rPr>
                <w:sz w:val="18"/>
                <w:szCs w:val="22"/>
              </w:rPr>
              <w:t>784,637</w:t>
            </w:r>
          </w:p>
        </w:tc>
        <w:tc>
          <w:tcPr>
            <w:tcW w:w="1233" w:type="dxa"/>
            <w:tcBorders>
              <w:top w:val="nil"/>
              <w:left w:val="nil"/>
              <w:bottom w:val="nil"/>
              <w:right w:val="nil"/>
            </w:tcBorders>
            <w:shd w:val="clear" w:color="auto" w:fill="auto"/>
            <w:vAlign w:val="center"/>
            <w:hideMark/>
          </w:tcPr>
          <w:p w14:paraId="187F26D3" w14:textId="02E6961A" w:rsidR="00252443" w:rsidRPr="00005453" w:rsidRDefault="00252443" w:rsidP="00252443">
            <w:pPr>
              <w:jc w:val="right"/>
              <w:rPr>
                <w:sz w:val="18"/>
                <w:szCs w:val="22"/>
              </w:rPr>
            </w:pPr>
            <w:r w:rsidRPr="00005453">
              <w:rPr>
                <w:sz w:val="18"/>
                <w:szCs w:val="22"/>
              </w:rPr>
              <w:t>274,165</w:t>
            </w:r>
          </w:p>
        </w:tc>
        <w:tc>
          <w:tcPr>
            <w:tcW w:w="1116" w:type="dxa"/>
            <w:tcBorders>
              <w:top w:val="nil"/>
              <w:left w:val="nil"/>
              <w:bottom w:val="nil"/>
              <w:right w:val="nil"/>
            </w:tcBorders>
            <w:shd w:val="clear" w:color="auto" w:fill="auto"/>
            <w:vAlign w:val="center"/>
            <w:hideMark/>
          </w:tcPr>
          <w:p w14:paraId="61011A0F" w14:textId="54BC4B78" w:rsidR="00252443" w:rsidRPr="00005453" w:rsidRDefault="00252443" w:rsidP="00252443">
            <w:pPr>
              <w:jc w:val="right"/>
              <w:rPr>
                <w:sz w:val="18"/>
                <w:szCs w:val="22"/>
              </w:rPr>
            </w:pPr>
            <w:r w:rsidRPr="00005453">
              <w:rPr>
                <w:sz w:val="18"/>
                <w:szCs w:val="22"/>
              </w:rPr>
              <w:t>672,021</w:t>
            </w:r>
          </w:p>
        </w:tc>
        <w:tc>
          <w:tcPr>
            <w:tcW w:w="1070" w:type="dxa"/>
            <w:tcBorders>
              <w:top w:val="nil"/>
              <w:left w:val="nil"/>
              <w:bottom w:val="nil"/>
              <w:right w:val="nil"/>
            </w:tcBorders>
            <w:shd w:val="clear" w:color="auto" w:fill="auto"/>
            <w:vAlign w:val="center"/>
            <w:hideMark/>
          </w:tcPr>
          <w:p w14:paraId="02518E24" w14:textId="0902398D" w:rsidR="00252443" w:rsidRPr="00005453" w:rsidRDefault="00252443" w:rsidP="00252443">
            <w:pPr>
              <w:jc w:val="right"/>
              <w:rPr>
                <w:sz w:val="18"/>
                <w:szCs w:val="22"/>
              </w:rPr>
            </w:pPr>
            <w:r w:rsidRPr="00005453">
              <w:rPr>
                <w:sz w:val="18"/>
                <w:szCs w:val="22"/>
              </w:rPr>
              <w:t>1,815,228</w:t>
            </w:r>
          </w:p>
        </w:tc>
      </w:tr>
      <w:tr w:rsidR="005B6992" w:rsidRPr="00005453" w14:paraId="04002690" w14:textId="77777777" w:rsidTr="00C71456">
        <w:trPr>
          <w:trHeight w:val="84"/>
        </w:trPr>
        <w:tc>
          <w:tcPr>
            <w:tcW w:w="2911" w:type="dxa"/>
            <w:tcBorders>
              <w:top w:val="nil"/>
              <w:left w:val="nil"/>
              <w:bottom w:val="nil"/>
              <w:right w:val="nil"/>
            </w:tcBorders>
            <w:shd w:val="clear" w:color="auto" w:fill="auto"/>
            <w:noWrap/>
            <w:vAlign w:val="center"/>
            <w:hideMark/>
          </w:tcPr>
          <w:p w14:paraId="185A43D3" w14:textId="77777777" w:rsidR="005B6992" w:rsidRPr="00005453" w:rsidRDefault="005B6992" w:rsidP="005B6992">
            <w:pPr>
              <w:jc w:val="right"/>
              <w:rPr>
                <w:sz w:val="6"/>
                <w:szCs w:val="6"/>
                <w:lang w:eastAsia="tr-TR"/>
              </w:rPr>
            </w:pPr>
          </w:p>
        </w:tc>
        <w:tc>
          <w:tcPr>
            <w:tcW w:w="1139" w:type="dxa"/>
            <w:tcBorders>
              <w:top w:val="nil"/>
              <w:left w:val="nil"/>
              <w:bottom w:val="nil"/>
              <w:right w:val="nil"/>
            </w:tcBorders>
            <w:shd w:val="clear" w:color="auto" w:fill="auto"/>
            <w:vAlign w:val="center"/>
            <w:hideMark/>
          </w:tcPr>
          <w:p w14:paraId="59E8C2C1" w14:textId="77777777" w:rsidR="005B6992" w:rsidRPr="00005453" w:rsidRDefault="005B6992" w:rsidP="005B6992">
            <w:pPr>
              <w:ind w:firstLineChars="100" w:firstLine="60"/>
              <w:rPr>
                <w:sz w:val="6"/>
                <w:szCs w:val="6"/>
                <w:lang w:eastAsia="tr-TR"/>
              </w:rPr>
            </w:pPr>
          </w:p>
        </w:tc>
        <w:tc>
          <w:tcPr>
            <w:tcW w:w="1745" w:type="dxa"/>
            <w:tcBorders>
              <w:top w:val="nil"/>
              <w:left w:val="nil"/>
              <w:bottom w:val="nil"/>
              <w:right w:val="nil"/>
            </w:tcBorders>
            <w:shd w:val="clear" w:color="auto" w:fill="auto"/>
            <w:vAlign w:val="center"/>
            <w:hideMark/>
          </w:tcPr>
          <w:p w14:paraId="51843C6E" w14:textId="77777777" w:rsidR="005B6992" w:rsidRPr="00005453" w:rsidRDefault="005B6992" w:rsidP="005B6992">
            <w:pPr>
              <w:jc w:val="right"/>
              <w:rPr>
                <w:sz w:val="6"/>
                <w:szCs w:val="6"/>
                <w:lang w:eastAsia="tr-TR"/>
              </w:rPr>
            </w:pPr>
          </w:p>
        </w:tc>
        <w:tc>
          <w:tcPr>
            <w:tcW w:w="1233" w:type="dxa"/>
            <w:tcBorders>
              <w:top w:val="nil"/>
              <w:left w:val="nil"/>
              <w:bottom w:val="nil"/>
              <w:right w:val="nil"/>
            </w:tcBorders>
            <w:shd w:val="clear" w:color="auto" w:fill="auto"/>
            <w:vAlign w:val="center"/>
            <w:hideMark/>
          </w:tcPr>
          <w:p w14:paraId="590F2B64" w14:textId="77777777" w:rsidR="005B6992" w:rsidRPr="00005453" w:rsidRDefault="005B6992" w:rsidP="005B6992">
            <w:pPr>
              <w:jc w:val="right"/>
              <w:rPr>
                <w:sz w:val="6"/>
                <w:szCs w:val="6"/>
                <w:lang w:eastAsia="tr-TR"/>
              </w:rPr>
            </w:pPr>
          </w:p>
        </w:tc>
        <w:tc>
          <w:tcPr>
            <w:tcW w:w="1116" w:type="dxa"/>
            <w:tcBorders>
              <w:top w:val="nil"/>
              <w:left w:val="nil"/>
              <w:bottom w:val="nil"/>
              <w:right w:val="nil"/>
            </w:tcBorders>
            <w:shd w:val="clear" w:color="auto" w:fill="auto"/>
            <w:vAlign w:val="center"/>
            <w:hideMark/>
          </w:tcPr>
          <w:p w14:paraId="36007697" w14:textId="77777777" w:rsidR="005B6992" w:rsidRPr="00005453" w:rsidRDefault="005B6992" w:rsidP="005B6992">
            <w:pPr>
              <w:jc w:val="right"/>
              <w:rPr>
                <w:sz w:val="6"/>
                <w:szCs w:val="6"/>
                <w:lang w:eastAsia="tr-TR"/>
              </w:rPr>
            </w:pPr>
          </w:p>
        </w:tc>
        <w:tc>
          <w:tcPr>
            <w:tcW w:w="1070" w:type="dxa"/>
            <w:tcBorders>
              <w:top w:val="nil"/>
              <w:left w:val="nil"/>
              <w:bottom w:val="nil"/>
              <w:right w:val="nil"/>
            </w:tcBorders>
            <w:shd w:val="clear" w:color="auto" w:fill="auto"/>
            <w:vAlign w:val="center"/>
            <w:hideMark/>
          </w:tcPr>
          <w:p w14:paraId="4AD261D6" w14:textId="77777777" w:rsidR="005B6992" w:rsidRPr="00005453" w:rsidRDefault="005B6992" w:rsidP="005B6992">
            <w:pPr>
              <w:jc w:val="right"/>
              <w:rPr>
                <w:sz w:val="6"/>
                <w:szCs w:val="6"/>
                <w:lang w:eastAsia="tr-TR"/>
              </w:rPr>
            </w:pPr>
          </w:p>
        </w:tc>
      </w:tr>
      <w:tr w:rsidR="00252443" w:rsidRPr="00005453" w14:paraId="77523FDA" w14:textId="77777777" w:rsidTr="00252443">
        <w:trPr>
          <w:trHeight w:val="249"/>
        </w:trPr>
        <w:tc>
          <w:tcPr>
            <w:tcW w:w="2911" w:type="dxa"/>
            <w:tcBorders>
              <w:top w:val="nil"/>
              <w:left w:val="nil"/>
              <w:bottom w:val="nil"/>
              <w:right w:val="nil"/>
            </w:tcBorders>
            <w:shd w:val="clear" w:color="auto" w:fill="auto"/>
            <w:noWrap/>
            <w:vAlign w:val="center"/>
            <w:hideMark/>
          </w:tcPr>
          <w:p w14:paraId="14D4114C" w14:textId="77777777" w:rsidR="00252443" w:rsidRPr="00005453" w:rsidRDefault="00252443" w:rsidP="00252443">
            <w:pPr>
              <w:rPr>
                <w:b/>
                <w:bCs/>
                <w:sz w:val="16"/>
                <w:szCs w:val="16"/>
                <w:lang w:eastAsia="tr-TR"/>
              </w:rPr>
            </w:pPr>
            <w:r w:rsidRPr="00005453">
              <w:rPr>
                <w:b/>
                <w:bCs/>
                <w:sz w:val="16"/>
                <w:szCs w:val="16"/>
                <w:lang w:eastAsia="tr-TR"/>
              </w:rPr>
              <w:t>Dönem sonu maliyet</w:t>
            </w:r>
          </w:p>
        </w:tc>
        <w:tc>
          <w:tcPr>
            <w:tcW w:w="1139" w:type="dxa"/>
            <w:tcBorders>
              <w:top w:val="nil"/>
              <w:left w:val="nil"/>
              <w:bottom w:val="nil"/>
              <w:right w:val="nil"/>
            </w:tcBorders>
            <w:shd w:val="clear" w:color="auto" w:fill="auto"/>
            <w:vAlign w:val="center"/>
            <w:hideMark/>
          </w:tcPr>
          <w:p w14:paraId="26A83FD1" w14:textId="017FDBFB" w:rsidR="00252443" w:rsidRPr="00005453" w:rsidRDefault="00252443" w:rsidP="00252443">
            <w:pPr>
              <w:jc w:val="right"/>
              <w:rPr>
                <w:b/>
                <w:bCs/>
                <w:sz w:val="18"/>
                <w:szCs w:val="22"/>
              </w:rPr>
            </w:pPr>
            <w:r w:rsidRPr="00005453">
              <w:rPr>
                <w:b/>
                <w:bCs/>
                <w:sz w:val="18"/>
                <w:szCs w:val="22"/>
              </w:rPr>
              <w:t>1,471,778</w:t>
            </w:r>
          </w:p>
        </w:tc>
        <w:tc>
          <w:tcPr>
            <w:tcW w:w="1745" w:type="dxa"/>
            <w:tcBorders>
              <w:top w:val="nil"/>
              <w:left w:val="nil"/>
              <w:bottom w:val="nil"/>
              <w:right w:val="nil"/>
            </w:tcBorders>
            <w:shd w:val="clear" w:color="auto" w:fill="auto"/>
            <w:vAlign w:val="center"/>
            <w:hideMark/>
          </w:tcPr>
          <w:p w14:paraId="1FA4F90A" w14:textId="6942C061" w:rsidR="00252443" w:rsidRPr="00005453" w:rsidRDefault="00252443" w:rsidP="00252443">
            <w:pPr>
              <w:jc w:val="right"/>
              <w:rPr>
                <w:b/>
                <w:bCs/>
                <w:sz w:val="18"/>
                <w:szCs w:val="22"/>
              </w:rPr>
            </w:pPr>
            <w:r w:rsidRPr="00005453">
              <w:rPr>
                <w:b/>
                <w:bCs/>
                <w:sz w:val="18"/>
                <w:szCs w:val="22"/>
              </w:rPr>
              <w:t>2,568,397</w:t>
            </w:r>
          </w:p>
        </w:tc>
        <w:tc>
          <w:tcPr>
            <w:tcW w:w="1233" w:type="dxa"/>
            <w:tcBorders>
              <w:top w:val="nil"/>
              <w:left w:val="nil"/>
              <w:bottom w:val="nil"/>
              <w:right w:val="nil"/>
            </w:tcBorders>
            <w:shd w:val="clear" w:color="auto" w:fill="auto"/>
            <w:vAlign w:val="center"/>
            <w:hideMark/>
          </w:tcPr>
          <w:p w14:paraId="16F2AC62" w14:textId="34A4F7F8" w:rsidR="00252443" w:rsidRPr="00005453" w:rsidRDefault="00252443" w:rsidP="00252443">
            <w:pPr>
              <w:jc w:val="right"/>
              <w:rPr>
                <w:b/>
                <w:bCs/>
                <w:sz w:val="18"/>
                <w:szCs w:val="22"/>
              </w:rPr>
            </w:pPr>
            <w:r w:rsidRPr="00005453">
              <w:rPr>
                <w:b/>
                <w:bCs/>
                <w:sz w:val="18"/>
                <w:szCs w:val="22"/>
              </w:rPr>
              <w:t>938,417</w:t>
            </w:r>
          </w:p>
        </w:tc>
        <w:tc>
          <w:tcPr>
            <w:tcW w:w="1116" w:type="dxa"/>
            <w:tcBorders>
              <w:top w:val="nil"/>
              <w:left w:val="nil"/>
              <w:bottom w:val="nil"/>
              <w:right w:val="nil"/>
            </w:tcBorders>
            <w:shd w:val="clear" w:color="auto" w:fill="auto"/>
            <w:vAlign w:val="center"/>
            <w:hideMark/>
          </w:tcPr>
          <w:p w14:paraId="76CBE478" w14:textId="4EC34A1F" w:rsidR="00252443" w:rsidRPr="00005453" w:rsidRDefault="00252443" w:rsidP="00252443">
            <w:pPr>
              <w:jc w:val="right"/>
              <w:rPr>
                <w:b/>
                <w:bCs/>
                <w:sz w:val="18"/>
                <w:szCs w:val="22"/>
              </w:rPr>
            </w:pPr>
            <w:r w:rsidRPr="00005453">
              <w:rPr>
                <w:b/>
                <w:bCs/>
                <w:sz w:val="18"/>
                <w:szCs w:val="22"/>
              </w:rPr>
              <w:t>2,199,066</w:t>
            </w:r>
          </w:p>
        </w:tc>
        <w:tc>
          <w:tcPr>
            <w:tcW w:w="1070" w:type="dxa"/>
            <w:tcBorders>
              <w:top w:val="nil"/>
              <w:left w:val="nil"/>
              <w:bottom w:val="nil"/>
              <w:right w:val="nil"/>
            </w:tcBorders>
            <w:shd w:val="clear" w:color="auto" w:fill="auto"/>
            <w:vAlign w:val="center"/>
            <w:hideMark/>
          </w:tcPr>
          <w:p w14:paraId="0708CAA1" w14:textId="43C4398D" w:rsidR="00252443" w:rsidRPr="00005453" w:rsidRDefault="00252443" w:rsidP="00252443">
            <w:pPr>
              <w:jc w:val="right"/>
              <w:rPr>
                <w:b/>
                <w:bCs/>
                <w:sz w:val="18"/>
                <w:szCs w:val="22"/>
              </w:rPr>
            </w:pPr>
            <w:r w:rsidRPr="00005453">
              <w:rPr>
                <w:b/>
                <w:bCs/>
                <w:sz w:val="18"/>
                <w:szCs w:val="22"/>
              </w:rPr>
              <w:t>7,177,658</w:t>
            </w:r>
          </w:p>
        </w:tc>
      </w:tr>
      <w:tr w:rsidR="00252443" w:rsidRPr="00005453" w14:paraId="51B78367" w14:textId="77777777" w:rsidTr="00252443">
        <w:trPr>
          <w:trHeight w:val="344"/>
        </w:trPr>
        <w:tc>
          <w:tcPr>
            <w:tcW w:w="2911" w:type="dxa"/>
            <w:tcBorders>
              <w:top w:val="nil"/>
              <w:left w:val="nil"/>
              <w:bottom w:val="nil"/>
              <w:right w:val="nil"/>
            </w:tcBorders>
            <w:shd w:val="clear" w:color="auto" w:fill="auto"/>
            <w:vAlign w:val="center"/>
            <w:hideMark/>
          </w:tcPr>
          <w:p w14:paraId="29688555" w14:textId="77777777" w:rsidR="00252443" w:rsidRPr="00005453" w:rsidRDefault="00252443" w:rsidP="00252443">
            <w:pPr>
              <w:rPr>
                <w:b/>
                <w:bCs/>
                <w:sz w:val="16"/>
                <w:szCs w:val="16"/>
                <w:lang w:eastAsia="tr-TR"/>
              </w:rPr>
            </w:pPr>
            <w:r w:rsidRPr="00005453">
              <w:rPr>
                <w:b/>
                <w:bCs/>
                <w:sz w:val="16"/>
                <w:szCs w:val="16"/>
                <w:lang w:eastAsia="tr-TR"/>
              </w:rPr>
              <w:t>Dönem sonu birikmiş amortisman (-)</w:t>
            </w:r>
          </w:p>
        </w:tc>
        <w:tc>
          <w:tcPr>
            <w:tcW w:w="1139" w:type="dxa"/>
            <w:tcBorders>
              <w:top w:val="nil"/>
              <w:left w:val="nil"/>
              <w:bottom w:val="nil"/>
              <w:right w:val="nil"/>
            </w:tcBorders>
            <w:shd w:val="clear" w:color="auto" w:fill="auto"/>
            <w:vAlign w:val="center"/>
            <w:hideMark/>
          </w:tcPr>
          <w:p w14:paraId="29CFE087" w14:textId="18EF4898" w:rsidR="00252443" w:rsidRPr="00005453" w:rsidRDefault="00252443" w:rsidP="00252443">
            <w:pPr>
              <w:jc w:val="right"/>
              <w:rPr>
                <w:b/>
                <w:bCs/>
                <w:sz w:val="18"/>
                <w:szCs w:val="22"/>
              </w:rPr>
            </w:pPr>
            <w:r w:rsidRPr="00005453">
              <w:rPr>
                <w:b/>
                <w:bCs/>
                <w:sz w:val="18"/>
                <w:szCs w:val="22"/>
              </w:rPr>
              <w:t>84,405</w:t>
            </w:r>
          </w:p>
        </w:tc>
        <w:tc>
          <w:tcPr>
            <w:tcW w:w="1745" w:type="dxa"/>
            <w:tcBorders>
              <w:top w:val="nil"/>
              <w:left w:val="nil"/>
              <w:bottom w:val="nil"/>
              <w:right w:val="nil"/>
            </w:tcBorders>
            <w:shd w:val="clear" w:color="auto" w:fill="auto"/>
            <w:vAlign w:val="center"/>
            <w:hideMark/>
          </w:tcPr>
          <w:p w14:paraId="26E55BEF" w14:textId="31FCF801" w:rsidR="00252443" w:rsidRPr="00005453" w:rsidRDefault="00252443" w:rsidP="00252443">
            <w:pPr>
              <w:jc w:val="right"/>
              <w:rPr>
                <w:b/>
                <w:bCs/>
                <w:sz w:val="18"/>
                <w:szCs w:val="22"/>
              </w:rPr>
            </w:pPr>
            <w:r w:rsidRPr="00005453">
              <w:rPr>
                <w:b/>
                <w:bCs/>
                <w:sz w:val="18"/>
                <w:szCs w:val="22"/>
              </w:rPr>
              <w:t>784,637</w:t>
            </w:r>
          </w:p>
        </w:tc>
        <w:tc>
          <w:tcPr>
            <w:tcW w:w="1233" w:type="dxa"/>
            <w:tcBorders>
              <w:top w:val="nil"/>
              <w:left w:val="nil"/>
              <w:bottom w:val="nil"/>
              <w:right w:val="nil"/>
            </w:tcBorders>
            <w:shd w:val="clear" w:color="auto" w:fill="auto"/>
            <w:vAlign w:val="center"/>
            <w:hideMark/>
          </w:tcPr>
          <w:p w14:paraId="48049ED7" w14:textId="6847CBC4" w:rsidR="00252443" w:rsidRPr="00005453" w:rsidRDefault="00252443" w:rsidP="00252443">
            <w:pPr>
              <w:jc w:val="right"/>
              <w:rPr>
                <w:b/>
                <w:bCs/>
                <w:sz w:val="18"/>
                <w:szCs w:val="22"/>
              </w:rPr>
            </w:pPr>
            <w:r w:rsidRPr="00005453">
              <w:rPr>
                <w:b/>
                <w:bCs/>
                <w:sz w:val="18"/>
                <w:szCs w:val="22"/>
              </w:rPr>
              <w:t>274,165</w:t>
            </w:r>
          </w:p>
        </w:tc>
        <w:tc>
          <w:tcPr>
            <w:tcW w:w="1116" w:type="dxa"/>
            <w:tcBorders>
              <w:top w:val="nil"/>
              <w:left w:val="nil"/>
              <w:bottom w:val="nil"/>
              <w:right w:val="nil"/>
            </w:tcBorders>
            <w:shd w:val="clear" w:color="auto" w:fill="auto"/>
            <w:vAlign w:val="center"/>
            <w:hideMark/>
          </w:tcPr>
          <w:p w14:paraId="744E6EBA" w14:textId="1806A268" w:rsidR="00252443" w:rsidRPr="00005453" w:rsidRDefault="00252443" w:rsidP="00252443">
            <w:pPr>
              <w:jc w:val="right"/>
              <w:rPr>
                <w:b/>
                <w:bCs/>
                <w:sz w:val="18"/>
                <w:szCs w:val="22"/>
              </w:rPr>
            </w:pPr>
            <w:r w:rsidRPr="00005453">
              <w:rPr>
                <w:b/>
                <w:bCs/>
                <w:sz w:val="18"/>
                <w:szCs w:val="22"/>
              </w:rPr>
              <w:t>672,021</w:t>
            </w:r>
          </w:p>
        </w:tc>
        <w:tc>
          <w:tcPr>
            <w:tcW w:w="1070" w:type="dxa"/>
            <w:tcBorders>
              <w:top w:val="nil"/>
              <w:left w:val="nil"/>
              <w:bottom w:val="nil"/>
              <w:right w:val="nil"/>
            </w:tcBorders>
            <w:shd w:val="clear" w:color="auto" w:fill="auto"/>
            <w:vAlign w:val="center"/>
            <w:hideMark/>
          </w:tcPr>
          <w:p w14:paraId="7FFAC07D" w14:textId="4A4152C8" w:rsidR="00252443" w:rsidRPr="00005453" w:rsidRDefault="00252443" w:rsidP="00252443">
            <w:pPr>
              <w:jc w:val="right"/>
              <w:rPr>
                <w:b/>
                <w:bCs/>
                <w:sz w:val="18"/>
                <w:szCs w:val="22"/>
              </w:rPr>
            </w:pPr>
            <w:r w:rsidRPr="00005453">
              <w:rPr>
                <w:b/>
                <w:bCs/>
                <w:sz w:val="18"/>
                <w:szCs w:val="22"/>
              </w:rPr>
              <w:t>1,815,228</w:t>
            </w:r>
          </w:p>
        </w:tc>
      </w:tr>
      <w:tr w:rsidR="00252443" w:rsidRPr="00005453" w14:paraId="1A15C472" w14:textId="77777777" w:rsidTr="00252443">
        <w:trPr>
          <w:trHeight w:val="249"/>
        </w:trPr>
        <w:tc>
          <w:tcPr>
            <w:tcW w:w="2911" w:type="dxa"/>
            <w:tcBorders>
              <w:top w:val="single" w:sz="8" w:space="0" w:color="auto"/>
              <w:left w:val="nil"/>
              <w:bottom w:val="double" w:sz="6" w:space="0" w:color="auto"/>
              <w:right w:val="nil"/>
            </w:tcBorders>
            <w:shd w:val="clear" w:color="auto" w:fill="auto"/>
            <w:noWrap/>
            <w:vAlign w:val="center"/>
            <w:hideMark/>
          </w:tcPr>
          <w:p w14:paraId="0838FA56" w14:textId="77777777" w:rsidR="00252443" w:rsidRPr="00005453" w:rsidRDefault="00252443" w:rsidP="00252443">
            <w:pPr>
              <w:jc w:val="both"/>
              <w:rPr>
                <w:b/>
                <w:bCs/>
                <w:sz w:val="16"/>
                <w:szCs w:val="16"/>
                <w:lang w:eastAsia="tr-TR"/>
              </w:rPr>
            </w:pPr>
            <w:r w:rsidRPr="00005453">
              <w:rPr>
                <w:b/>
                <w:bCs/>
                <w:sz w:val="16"/>
                <w:szCs w:val="16"/>
                <w:lang w:eastAsia="tr-TR"/>
              </w:rPr>
              <w:t>Kapanış net defter değeri</w:t>
            </w:r>
          </w:p>
        </w:tc>
        <w:tc>
          <w:tcPr>
            <w:tcW w:w="1139" w:type="dxa"/>
            <w:tcBorders>
              <w:top w:val="single" w:sz="8" w:space="0" w:color="auto"/>
              <w:left w:val="nil"/>
              <w:bottom w:val="double" w:sz="6" w:space="0" w:color="auto"/>
              <w:right w:val="nil"/>
            </w:tcBorders>
            <w:shd w:val="clear" w:color="auto" w:fill="auto"/>
            <w:vAlign w:val="center"/>
            <w:hideMark/>
          </w:tcPr>
          <w:p w14:paraId="0CE868A5" w14:textId="0C932472" w:rsidR="00252443" w:rsidRPr="00005453" w:rsidRDefault="00252443" w:rsidP="00252443">
            <w:pPr>
              <w:jc w:val="right"/>
              <w:rPr>
                <w:b/>
                <w:bCs/>
                <w:sz w:val="18"/>
                <w:szCs w:val="22"/>
              </w:rPr>
            </w:pPr>
            <w:r w:rsidRPr="00005453">
              <w:rPr>
                <w:b/>
                <w:bCs/>
                <w:sz w:val="18"/>
                <w:szCs w:val="22"/>
              </w:rPr>
              <w:t>1,387,373</w:t>
            </w:r>
          </w:p>
        </w:tc>
        <w:tc>
          <w:tcPr>
            <w:tcW w:w="1745" w:type="dxa"/>
            <w:tcBorders>
              <w:top w:val="single" w:sz="8" w:space="0" w:color="auto"/>
              <w:left w:val="nil"/>
              <w:bottom w:val="double" w:sz="6" w:space="0" w:color="auto"/>
              <w:right w:val="nil"/>
            </w:tcBorders>
            <w:shd w:val="clear" w:color="auto" w:fill="auto"/>
            <w:vAlign w:val="center"/>
            <w:hideMark/>
          </w:tcPr>
          <w:p w14:paraId="4B034CA5" w14:textId="3F5E5665" w:rsidR="00252443" w:rsidRPr="00005453" w:rsidRDefault="00252443" w:rsidP="00252443">
            <w:pPr>
              <w:jc w:val="right"/>
              <w:rPr>
                <w:b/>
                <w:bCs/>
                <w:sz w:val="18"/>
                <w:szCs w:val="22"/>
              </w:rPr>
            </w:pPr>
            <w:r w:rsidRPr="00005453">
              <w:rPr>
                <w:b/>
                <w:bCs/>
                <w:sz w:val="18"/>
                <w:szCs w:val="22"/>
              </w:rPr>
              <w:t>1,783,760</w:t>
            </w:r>
          </w:p>
        </w:tc>
        <w:tc>
          <w:tcPr>
            <w:tcW w:w="1233" w:type="dxa"/>
            <w:tcBorders>
              <w:top w:val="single" w:sz="8" w:space="0" w:color="auto"/>
              <w:left w:val="nil"/>
              <w:bottom w:val="double" w:sz="6" w:space="0" w:color="auto"/>
              <w:right w:val="nil"/>
            </w:tcBorders>
            <w:shd w:val="clear" w:color="auto" w:fill="auto"/>
            <w:vAlign w:val="center"/>
            <w:hideMark/>
          </w:tcPr>
          <w:p w14:paraId="58A03373" w14:textId="2BF88871" w:rsidR="00252443" w:rsidRPr="00005453" w:rsidRDefault="00252443" w:rsidP="00252443">
            <w:pPr>
              <w:jc w:val="right"/>
              <w:rPr>
                <w:b/>
                <w:bCs/>
                <w:sz w:val="18"/>
                <w:szCs w:val="22"/>
              </w:rPr>
            </w:pPr>
            <w:r w:rsidRPr="00005453">
              <w:rPr>
                <w:b/>
                <w:bCs/>
                <w:sz w:val="18"/>
                <w:szCs w:val="22"/>
              </w:rPr>
              <w:t>664,252</w:t>
            </w:r>
          </w:p>
        </w:tc>
        <w:tc>
          <w:tcPr>
            <w:tcW w:w="1116" w:type="dxa"/>
            <w:tcBorders>
              <w:top w:val="single" w:sz="8" w:space="0" w:color="auto"/>
              <w:left w:val="nil"/>
              <w:bottom w:val="double" w:sz="6" w:space="0" w:color="auto"/>
              <w:right w:val="nil"/>
            </w:tcBorders>
            <w:shd w:val="clear" w:color="auto" w:fill="auto"/>
            <w:vAlign w:val="center"/>
            <w:hideMark/>
          </w:tcPr>
          <w:p w14:paraId="14E2B6FE" w14:textId="59F97AFC" w:rsidR="00252443" w:rsidRPr="00005453" w:rsidRDefault="00252443" w:rsidP="00252443">
            <w:pPr>
              <w:jc w:val="right"/>
              <w:rPr>
                <w:b/>
                <w:bCs/>
                <w:sz w:val="18"/>
                <w:szCs w:val="22"/>
              </w:rPr>
            </w:pPr>
            <w:r w:rsidRPr="00005453">
              <w:rPr>
                <w:b/>
                <w:bCs/>
                <w:sz w:val="18"/>
                <w:szCs w:val="22"/>
              </w:rPr>
              <w:t>1,527,045</w:t>
            </w:r>
          </w:p>
        </w:tc>
        <w:tc>
          <w:tcPr>
            <w:tcW w:w="1070" w:type="dxa"/>
            <w:tcBorders>
              <w:top w:val="single" w:sz="8" w:space="0" w:color="auto"/>
              <w:left w:val="nil"/>
              <w:bottom w:val="double" w:sz="6" w:space="0" w:color="auto"/>
              <w:right w:val="nil"/>
            </w:tcBorders>
            <w:shd w:val="clear" w:color="auto" w:fill="auto"/>
            <w:vAlign w:val="center"/>
            <w:hideMark/>
          </w:tcPr>
          <w:p w14:paraId="5892FD8C" w14:textId="59E1F915" w:rsidR="00252443" w:rsidRPr="00005453" w:rsidRDefault="00252443" w:rsidP="00252443">
            <w:pPr>
              <w:jc w:val="right"/>
              <w:rPr>
                <w:b/>
                <w:bCs/>
                <w:sz w:val="18"/>
                <w:szCs w:val="22"/>
              </w:rPr>
            </w:pPr>
            <w:r w:rsidRPr="00005453">
              <w:rPr>
                <w:b/>
                <w:bCs/>
                <w:sz w:val="18"/>
                <w:szCs w:val="22"/>
              </w:rPr>
              <w:t>5,362,430</w:t>
            </w:r>
          </w:p>
        </w:tc>
      </w:tr>
    </w:tbl>
    <w:p w14:paraId="58A841E0" w14:textId="68F2EE7C" w:rsidR="005B6992" w:rsidRPr="007E6597" w:rsidRDefault="005B6992" w:rsidP="007E6597">
      <w:pPr>
        <w:autoSpaceDE w:val="0"/>
        <w:autoSpaceDN w:val="0"/>
        <w:adjustRightInd w:val="0"/>
        <w:rPr>
          <w:sz w:val="16"/>
        </w:rPr>
      </w:pPr>
    </w:p>
    <w:p w14:paraId="6201F1F8" w14:textId="4DAFB656" w:rsidR="005B6992" w:rsidRPr="007E6597" w:rsidRDefault="005B6992" w:rsidP="001E4705">
      <w:pPr>
        <w:autoSpaceDE w:val="0"/>
        <w:autoSpaceDN w:val="0"/>
        <w:adjustRightInd w:val="0"/>
        <w:ind w:left="540" w:hanging="540"/>
        <w:rPr>
          <w:sz w:val="16"/>
          <w:lang w:val="en-GB" w:eastAsia="en-GB"/>
        </w:rPr>
      </w:pPr>
    </w:p>
    <w:tbl>
      <w:tblPr>
        <w:tblW w:w="9214" w:type="dxa"/>
        <w:tblCellMar>
          <w:left w:w="70" w:type="dxa"/>
          <w:right w:w="70" w:type="dxa"/>
        </w:tblCellMar>
        <w:tblLook w:val="04A0" w:firstRow="1" w:lastRow="0" w:firstColumn="1" w:lastColumn="0" w:noHBand="0" w:noVBand="1"/>
      </w:tblPr>
      <w:tblGrid>
        <w:gridCol w:w="3048"/>
        <w:gridCol w:w="1059"/>
        <w:gridCol w:w="1705"/>
        <w:gridCol w:w="846"/>
        <w:gridCol w:w="1268"/>
        <w:gridCol w:w="1288"/>
      </w:tblGrid>
      <w:tr w:rsidR="005B6992" w:rsidRPr="00005453" w14:paraId="0B537E3E" w14:textId="77777777" w:rsidTr="00614CD2">
        <w:trPr>
          <w:trHeight w:val="671"/>
        </w:trPr>
        <w:tc>
          <w:tcPr>
            <w:tcW w:w="3048" w:type="dxa"/>
            <w:tcBorders>
              <w:top w:val="double" w:sz="6" w:space="0" w:color="auto"/>
              <w:left w:val="nil"/>
              <w:bottom w:val="single" w:sz="8" w:space="0" w:color="auto"/>
              <w:right w:val="nil"/>
            </w:tcBorders>
            <w:shd w:val="clear" w:color="auto" w:fill="auto"/>
            <w:vAlign w:val="center"/>
            <w:hideMark/>
          </w:tcPr>
          <w:p w14:paraId="71C3E0AF" w14:textId="7F4054CB" w:rsidR="005B6992" w:rsidRPr="00005453" w:rsidRDefault="005B6992" w:rsidP="005B6992">
            <w:pPr>
              <w:rPr>
                <w:b/>
                <w:bCs/>
                <w:sz w:val="16"/>
                <w:szCs w:val="16"/>
                <w:lang w:eastAsia="tr-TR"/>
              </w:rPr>
            </w:pPr>
            <w:r w:rsidRPr="00005453">
              <w:rPr>
                <w:b/>
                <w:bCs/>
                <w:sz w:val="16"/>
                <w:szCs w:val="16"/>
                <w:lang w:eastAsia="tr-TR"/>
              </w:rPr>
              <w:t>Önceki Dönem</w:t>
            </w:r>
          </w:p>
        </w:tc>
        <w:tc>
          <w:tcPr>
            <w:tcW w:w="1059" w:type="dxa"/>
            <w:tcBorders>
              <w:top w:val="double" w:sz="6" w:space="0" w:color="auto"/>
              <w:left w:val="nil"/>
              <w:bottom w:val="single" w:sz="8" w:space="0" w:color="auto"/>
              <w:right w:val="nil"/>
            </w:tcBorders>
            <w:shd w:val="clear" w:color="auto" w:fill="auto"/>
            <w:vAlign w:val="center"/>
            <w:hideMark/>
          </w:tcPr>
          <w:p w14:paraId="028F9E6D" w14:textId="77777777" w:rsidR="005B6992" w:rsidRPr="00005453" w:rsidRDefault="005B6992" w:rsidP="005B6992">
            <w:pPr>
              <w:jc w:val="right"/>
              <w:rPr>
                <w:b/>
                <w:bCs/>
                <w:sz w:val="16"/>
                <w:szCs w:val="16"/>
                <w:lang w:eastAsia="tr-TR"/>
              </w:rPr>
            </w:pPr>
            <w:proofErr w:type="gramStart"/>
            <w:r w:rsidRPr="00005453">
              <w:rPr>
                <w:b/>
                <w:bCs/>
                <w:sz w:val="16"/>
                <w:szCs w:val="16"/>
                <w:lang w:eastAsia="tr-TR"/>
              </w:rPr>
              <w:t>G.Menkul</w:t>
            </w:r>
            <w:proofErr w:type="gramEnd"/>
          </w:p>
        </w:tc>
        <w:tc>
          <w:tcPr>
            <w:tcW w:w="1705" w:type="dxa"/>
            <w:tcBorders>
              <w:top w:val="double" w:sz="6" w:space="0" w:color="auto"/>
              <w:left w:val="nil"/>
              <w:bottom w:val="single" w:sz="8" w:space="0" w:color="auto"/>
              <w:right w:val="nil"/>
            </w:tcBorders>
            <w:shd w:val="clear" w:color="auto" w:fill="auto"/>
            <w:vAlign w:val="center"/>
            <w:hideMark/>
          </w:tcPr>
          <w:p w14:paraId="5ABD7105" w14:textId="77777777" w:rsidR="005B6992" w:rsidRPr="00005453" w:rsidRDefault="005B6992" w:rsidP="005B6992">
            <w:pPr>
              <w:jc w:val="right"/>
              <w:rPr>
                <w:b/>
                <w:bCs/>
                <w:sz w:val="16"/>
                <w:szCs w:val="16"/>
                <w:lang w:eastAsia="tr-TR"/>
              </w:rPr>
            </w:pPr>
            <w:r w:rsidRPr="00005453">
              <w:rPr>
                <w:b/>
                <w:bCs/>
                <w:sz w:val="16"/>
                <w:szCs w:val="16"/>
                <w:lang w:eastAsia="tr-TR"/>
              </w:rPr>
              <w:t>Finansal Kiralama İle Edinilen MDV</w:t>
            </w:r>
          </w:p>
        </w:tc>
        <w:tc>
          <w:tcPr>
            <w:tcW w:w="846" w:type="dxa"/>
            <w:tcBorders>
              <w:top w:val="double" w:sz="6" w:space="0" w:color="auto"/>
              <w:left w:val="nil"/>
              <w:bottom w:val="single" w:sz="8" w:space="0" w:color="auto"/>
              <w:right w:val="nil"/>
            </w:tcBorders>
            <w:shd w:val="clear" w:color="auto" w:fill="auto"/>
            <w:vAlign w:val="center"/>
            <w:hideMark/>
          </w:tcPr>
          <w:p w14:paraId="30A5BA37" w14:textId="77777777" w:rsidR="005B6992" w:rsidRPr="00005453" w:rsidRDefault="005B6992" w:rsidP="005B6992">
            <w:pPr>
              <w:jc w:val="right"/>
              <w:rPr>
                <w:b/>
                <w:bCs/>
                <w:sz w:val="16"/>
                <w:szCs w:val="16"/>
                <w:lang w:eastAsia="tr-TR"/>
              </w:rPr>
            </w:pPr>
            <w:r w:rsidRPr="00005453">
              <w:rPr>
                <w:b/>
                <w:bCs/>
                <w:sz w:val="16"/>
                <w:szCs w:val="16"/>
                <w:lang w:eastAsia="tr-TR"/>
              </w:rPr>
              <w:t>Araçlar</w:t>
            </w:r>
          </w:p>
        </w:tc>
        <w:tc>
          <w:tcPr>
            <w:tcW w:w="1268" w:type="dxa"/>
            <w:tcBorders>
              <w:top w:val="double" w:sz="6" w:space="0" w:color="auto"/>
              <w:left w:val="nil"/>
              <w:bottom w:val="single" w:sz="8" w:space="0" w:color="auto"/>
              <w:right w:val="nil"/>
            </w:tcBorders>
            <w:shd w:val="clear" w:color="auto" w:fill="auto"/>
            <w:vAlign w:val="center"/>
            <w:hideMark/>
          </w:tcPr>
          <w:p w14:paraId="60E5A1F3" w14:textId="77777777" w:rsidR="005B6992" w:rsidRPr="00005453" w:rsidRDefault="005B6992" w:rsidP="005B6992">
            <w:pPr>
              <w:jc w:val="right"/>
              <w:rPr>
                <w:b/>
                <w:bCs/>
                <w:sz w:val="16"/>
                <w:szCs w:val="16"/>
                <w:lang w:eastAsia="tr-TR"/>
              </w:rPr>
            </w:pPr>
            <w:r w:rsidRPr="00005453">
              <w:rPr>
                <w:b/>
                <w:bCs/>
                <w:sz w:val="16"/>
                <w:szCs w:val="16"/>
                <w:lang w:eastAsia="tr-TR"/>
              </w:rPr>
              <w:t>Diğer MDV</w:t>
            </w:r>
          </w:p>
        </w:tc>
        <w:tc>
          <w:tcPr>
            <w:tcW w:w="1288" w:type="dxa"/>
            <w:tcBorders>
              <w:top w:val="double" w:sz="6" w:space="0" w:color="auto"/>
              <w:left w:val="nil"/>
              <w:bottom w:val="single" w:sz="8" w:space="0" w:color="auto"/>
              <w:right w:val="nil"/>
            </w:tcBorders>
            <w:shd w:val="clear" w:color="auto" w:fill="auto"/>
            <w:vAlign w:val="center"/>
            <w:hideMark/>
          </w:tcPr>
          <w:p w14:paraId="6482DC8A" w14:textId="77777777" w:rsidR="005B6992" w:rsidRPr="00005453" w:rsidRDefault="005B6992" w:rsidP="005B6992">
            <w:pPr>
              <w:jc w:val="right"/>
              <w:rPr>
                <w:b/>
                <w:bCs/>
                <w:sz w:val="16"/>
                <w:szCs w:val="16"/>
                <w:lang w:eastAsia="tr-TR"/>
              </w:rPr>
            </w:pPr>
            <w:r w:rsidRPr="00005453">
              <w:rPr>
                <w:b/>
                <w:bCs/>
                <w:sz w:val="16"/>
                <w:szCs w:val="16"/>
                <w:lang w:eastAsia="tr-TR"/>
              </w:rPr>
              <w:t>Toplam</w:t>
            </w:r>
          </w:p>
        </w:tc>
      </w:tr>
      <w:tr w:rsidR="00CE5493" w:rsidRPr="00005453" w14:paraId="11761273" w14:textId="77777777" w:rsidTr="00614CD2">
        <w:trPr>
          <w:trHeight w:val="230"/>
        </w:trPr>
        <w:tc>
          <w:tcPr>
            <w:tcW w:w="3048" w:type="dxa"/>
            <w:tcBorders>
              <w:top w:val="nil"/>
              <w:left w:val="nil"/>
              <w:bottom w:val="nil"/>
              <w:right w:val="nil"/>
            </w:tcBorders>
            <w:shd w:val="clear" w:color="auto" w:fill="auto"/>
            <w:vAlign w:val="center"/>
            <w:hideMark/>
          </w:tcPr>
          <w:p w14:paraId="1D1EB76A" w14:textId="79792956" w:rsidR="00CE5493" w:rsidRPr="00005453" w:rsidRDefault="00CE5493" w:rsidP="00CE5493">
            <w:pPr>
              <w:rPr>
                <w:b/>
                <w:bCs/>
                <w:sz w:val="16"/>
                <w:szCs w:val="16"/>
                <w:lang w:eastAsia="tr-TR"/>
              </w:rPr>
            </w:pPr>
            <w:r w:rsidRPr="00005453">
              <w:rPr>
                <w:b/>
                <w:bCs/>
                <w:sz w:val="16"/>
                <w:szCs w:val="16"/>
                <w:lang w:eastAsia="tr-TR"/>
              </w:rPr>
              <w:t>Maliyet</w:t>
            </w:r>
          </w:p>
        </w:tc>
        <w:tc>
          <w:tcPr>
            <w:tcW w:w="1059" w:type="dxa"/>
            <w:tcBorders>
              <w:top w:val="nil"/>
              <w:left w:val="nil"/>
              <w:bottom w:val="nil"/>
              <w:right w:val="nil"/>
            </w:tcBorders>
            <w:shd w:val="clear" w:color="auto" w:fill="auto"/>
            <w:vAlign w:val="center"/>
            <w:hideMark/>
          </w:tcPr>
          <w:p w14:paraId="3E6F1B66" w14:textId="77777777" w:rsidR="00CE5493" w:rsidRPr="00005453" w:rsidRDefault="00CE5493" w:rsidP="00CE5493">
            <w:pPr>
              <w:rPr>
                <w:b/>
                <w:bCs/>
                <w:sz w:val="16"/>
                <w:szCs w:val="16"/>
                <w:lang w:eastAsia="tr-TR"/>
              </w:rPr>
            </w:pPr>
          </w:p>
        </w:tc>
        <w:tc>
          <w:tcPr>
            <w:tcW w:w="1705" w:type="dxa"/>
            <w:tcBorders>
              <w:top w:val="nil"/>
              <w:left w:val="nil"/>
              <w:bottom w:val="nil"/>
              <w:right w:val="nil"/>
            </w:tcBorders>
            <w:shd w:val="clear" w:color="auto" w:fill="auto"/>
            <w:vAlign w:val="center"/>
            <w:hideMark/>
          </w:tcPr>
          <w:p w14:paraId="477AF33E" w14:textId="77777777" w:rsidR="00CE5493" w:rsidRPr="00005453" w:rsidRDefault="00CE5493" w:rsidP="00CE5493">
            <w:pPr>
              <w:jc w:val="right"/>
              <w:rPr>
                <w:lang w:eastAsia="tr-TR"/>
              </w:rPr>
            </w:pPr>
          </w:p>
        </w:tc>
        <w:tc>
          <w:tcPr>
            <w:tcW w:w="846" w:type="dxa"/>
            <w:tcBorders>
              <w:top w:val="nil"/>
              <w:left w:val="nil"/>
              <w:bottom w:val="nil"/>
              <w:right w:val="nil"/>
            </w:tcBorders>
            <w:shd w:val="clear" w:color="auto" w:fill="auto"/>
            <w:vAlign w:val="center"/>
            <w:hideMark/>
          </w:tcPr>
          <w:p w14:paraId="52D26D89" w14:textId="77777777" w:rsidR="00CE5493" w:rsidRPr="00005453" w:rsidRDefault="00CE5493" w:rsidP="00CE5493">
            <w:pPr>
              <w:jc w:val="right"/>
              <w:rPr>
                <w:lang w:eastAsia="tr-TR"/>
              </w:rPr>
            </w:pPr>
          </w:p>
        </w:tc>
        <w:tc>
          <w:tcPr>
            <w:tcW w:w="1268" w:type="dxa"/>
            <w:tcBorders>
              <w:top w:val="nil"/>
              <w:left w:val="nil"/>
              <w:bottom w:val="nil"/>
              <w:right w:val="nil"/>
            </w:tcBorders>
            <w:shd w:val="clear" w:color="auto" w:fill="auto"/>
            <w:vAlign w:val="center"/>
            <w:hideMark/>
          </w:tcPr>
          <w:p w14:paraId="6DC0FCB4" w14:textId="77777777" w:rsidR="00CE5493" w:rsidRPr="00005453" w:rsidRDefault="00CE5493" w:rsidP="00CE5493">
            <w:pPr>
              <w:jc w:val="right"/>
              <w:rPr>
                <w:lang w:eastAsia="tr-TR"/>
              </w:rPr>
            </w:pPr>
          </w:p>
        </w:tc>
        <w:tc>
          <w:tcPr>
            <w:tcW w:w="1288" w:type="dxa"/>
            <w:tcBorders>
              <w:top w:val="nil"/>
              <w:left w:val="nil"/>
              <w:bottom w:val="nil"/>
              <w:right w:val="nil"/>
            </w:tcBorders>
            <w:shd w:val="clear" w:color="auto" w:fill="auto"/>
            <w:vAlign w:val="center"/>
            <w:hideMark/>
          </w:tcPr>
          <w:p w14:paraId="1FAB80BA" w14:textId="77777777" w:rsidR="00CE5493" w:rsidRPr="00005453" w:rsidRDefault="00CE5493" w:rsidP="00CE5493">
            <w:pPr>
              <w:jc w:val="right"/>
              <w:rPr>
                <w:lang w:eastAsia="tr-TR"/>
              </w:rPr>
            </w:pPr>
          </w:p>
        </w:tc>
      </w:tr>
      <w:tr w:rsidR="00412107" w:rsidRPr="00005453" w14:paraId="58A3E160" w14:textId="77777777" w:rsidTr="00F26D69">
        <w:trPr>
          <w:trHeight w:val="177"/>
        </w:trPr>
        <w:tc>
          <w:tcPr>
            <w:tcW w:w="3048" w:type="dxa"/>
            <w:tcBorders>
              <w:top w:val="nil"/>
              <w:left w:val="nil"/>
              <w:bottom w:val="nil"/>
              <w:right w:val="nil"/>
            </w:tcBorders>
            <w:shd w:val="clear" w:color="auto" w:fill="auto"/>
            <w:vAlign w:val="center"/>
            <w:hideMark/>
          </w:tcPr>
          <w:p w14:paraId="79AE8610" w14:textId="29F6B5BB" w:rsidR="00412107" w:rsidRPr="00005453" w:rsidRDefault="00412107" w:rsidP="00412107">
            <w:pPr>
              <w:rPr>
                <w:sz w:val="16"/>
                <w:szCs w:val="16"/>
                <w:lang w:eastAsia="tr-TR"/>
              </w:rPr>
            </w:pPr>
            <w:r w:rsidRPr="00005453">
              <w:rPr>
                <w:sz w:val="16"/>
                <w:szCs w:val="16"/>
                <w:lang w:eastAsia="tr-TR"/>
              </w:rPr>
              <w:t>Dönem başı bakiyesi, 1 Ocak 2023</w:t>
            </w:r>
          </w:p>
        </w:tc>
        <w:tc>
          <w:tcPr>
            <w:tcW w:w="1059" w:type="dxa"/>
            <w:tcBorders>
              <w:top w:val="nil"/>
              <w:left w:val="nil"/>
              <w:bottom w:val="nil"/>
              <w:right w:val="nil"/>
            </w:tcBorders>
            <w:shd w:val="clear" w:color="auto" w:fill="auto"/>
            <w:vAlign w:val="center"/>
            <w:hideMark/>
          </w:tcPr>
          <w:p w14:paraId="375A0E2C" w14:textId="43AF47AD" w:rsidR="00412107" w:rsidRPr="00005453" w:rsidRDefault="00412107" w:rsidP="00412107">
            <w:pPr>
              <w:jc w:val="right"/>
              <w:rPr>
                <w:sz w:val="16"/>
                <w:szCs w:val="22"/>
              </w:rPr>
            </w:pPr>
            <w:r w:rsidRPr="00005453">
              <w:rPr>
                <w:sz w:val="16"/>
                <w:szCs w:val="22"/>
              </w:rPr>
              <w:t>502,574</w:t>
            </w:r>
          </w:p>
        </w:tc>
        <w:tc>
          <w:tcPr>
            <w:tcW w:w="1705" w:type="dxa"/>
            <w:tcBorders>
              <w:top w:val="nil"/>
              <w:left w:val="nil"/>
              <w:bottom w:val="nil"/>
              <w:right w:val="nil"/>
            </w:tcBorders>
            <w:shd w:val="clear" w:color="auto" w:fill="auto"/>
            <w:vAlign w:val="center"/>
            <w:hideMark/>
          </w:tcPr>
          <w:p w14:paraId="14DE794A" w14:textId="4076C9EB" w:rsidR="00412107" w:rsidRPr="00005453" w:rsidRDefault="00412107" w:rsidP="00412107">
            <w:pPr>
              <w:jc w:val="right"/>
              <w:rPr>
                <w:sz w:val="16"/>
                <w:szCs w:val="22"/>
              </w:rPr>
            </w:pPr>
            <w:r w:rsidRPr="00005453">
              <w:rPr>
                <w:sz w:val="16"/>
                <w:szCs w:val="22"/>
              </w:rPr>
              <w:t>951,785</w:t>
            </w:r>
          </w:p>
        </w:tc>
        <w:tc>
          <w:tcPr>
            <w:tcW w:w="846" w:type="dxa"/>
            <w:tcBorders>
              <w:top w:val="nil"/>
              <w:left w:val="nil"/>
              <w:bottom w:val="nil"/>
              <w:right w:val="nil"/>
            </w:tcBorders>
            <w:shd w:val="clear" w:color="auto" w:fill="auto"/>
            <w:vAlign w:val="center"/>
            <w:hideMark/>
          </w:tcPr>
          <w:p w14:paraId="35DFD46A" w14:textId="6394B47A" w:rsidR="00412107" w:rsidRPr="00005453" w:rsidRDefault="00412107" w:rsidP="00412107">
            <w:pPr>
              <w:jc w:val="right"/>
              <w:rPr>
                <w:sz w:val="16"/>
                <w:szCs w:val="22"/>
              </w:rPr>
            </w:pPr>
            <w:r w:rsidRPr="00005453">
              <w:rPr>
                <w:sz w:val="16"/>
                <w:szCs w:val="22"/>
              </w:rPr>
              <w:t>350,671</w:t>
            </w:r>
          </w:p>
        </w:tc>
        <w:tc>
          <w:tcPr>
            <w:tcW w:w="1268" w:type="dxa"/>
            <w:tcBorders>
              <w:top w:val="nil"/>
              <w:left w:val="nil"/>
              <w:bottom w:val="nil"/>
              <w:right w:val="nil"/>
            </w:tcBorders>
            <w:shd w:val="clear" w:color="auto" w:fill="auto"/>
            <w:vAlign w:val="center"/>
            <w:hideMark/>
          </w:tcPr>
          <w:p w14:paraId="66E4B9C0" w14:textId="5E82E5F9" w:rsidR="00412107" w:rsidRPr="00005453" w:rsidRDefault="00412107" w:rsidP="00412107">
            <w:pPr>
              <w:jc w:val="right"/>
              <w:rPr>
                <w:sz w:val="16"/>
                <w:szCs w:val="22"/>
              </w:rPr>
            </w:pPr>
            <w:r w:rsidRPr="00005453">
              <w:rPr>
                <w:sz w:val="16"/>
                <w:szCs w:val="22"/>
              </w:rPr>
              <w:t>762,370</w:t>
            </w:r>
          </w:p>
        </w:tc>
        <w:tc>
          <w:tcPr>
            <w:tcW w:w="1288" w:type="dxa"/>
            <w:tcBorders>
              <w:top w:val="nil"/>
              <w:left w:val="nil"/>
              <w:bottom w:val="nil"/>
              <w:right w:val="nil"/>
            </w:tcBorders>
            <w:shd w:val="clear" w:color="auto" w:fill="auto"/>
            <w:vAlign w:val="center"/>
            <w:hideMark/>
          </w:tcPr>
          <w:p w14:paraId="6FB6F362" w14:textId="215E848B" w:rsidR="00412107" w:rsidRPr="00005453" w:rsidRDefault="00412107" w:rsidP="00412107">
            <w:pPr>
              <w:jc w:val="right"/>
              <w:rPr>
                <w:sz w:val="16"/>
                <w:szCs w:val="22"/>
              </w:rPr>
            </w:pPr>
            <w:r w:rsidRPr="00005453">
              <w:rPr>
                <w:sz w:val="16"/>
                <w:szCs w:val="22"/>
              </w:rPr>
              <w:t>2,567,400</w:t>
            </w:r>
          </w:p>
        </w:tc>
      </w:tr>
      <w:tr w:rsidR="00412107" w:rsidRPr="00005453" w14:paraId="2EB1488C" w14:textId="77777777" w:rsidTr="00614CD2">
        <w:trPr>
          <w:trHeight w:val="242"/>
        </w:trPr>
        <w:tc>
          <w:tcPr>
            <w:tcW w:w="3048" w:type="dxa"/>
            <w:tcBorders>
              <w:top w:val="nil"/>
              <w:left w:val="nil"/>
              <w:bottom w:val="nil"/>
              <w:right w:val="nil"/>
            </w:tcBorders>
            <w:shd w:val="clear" w:color="auto" w:fill="auto"/>
            <w:vAlign w:val="center"/>
            <w:hideMark/>
          </w:tcPr>
          <w:p w14:paraId="2209F392" w14:textId="293C4BB8" w:rsidR="00412107" w:rsidRPr="00005453" w:rsidRDefault="00412107" w:rsidP="00412107">
            <w:pPr>
              <w:rPr>
                <w:sz w:val="16"/>
                <w:szCs w:val="16"/>
                <w:lang w:eastAsia="tr-TR"/>
              </w:rPr>
            </w:pPr>
            <w:r w:rsidRPr="00005453">
              <w:rPr>
                <w:sz w:val="16"/>
                <w:szCs w:val="16"/>
                <w:lang w:eastAsia="tr-TR"/>
              </w:rPr>
              <w:t>İktisap edilenler</w:t>
            </w:r>
          </w:p>
        </w:tc>
        <w:tc>
          <w:tcPr>
            <w:tcW w:w="1059" w:type="dxa"/>
            <w:tcBorders>
              <w:top w:val="nil"/>
              <w:left w:val="nil"/>
              <w:bottom w:val="nil"/>
              <w:right w:val="nil"/>
            </w:tcBorders>
            <w:shd w:val="clear" w:color="auto" w:fill="auto"/>
            <w:vAlign w:val="center"/>
            <w:hideMark/>
          </w:tcPr>
          <w:p w14:paraId="72D1FDC1" w14:textId="683EC3AD" w:rsidR="00412107" w:rsidRPr="00005453" w:rsidRDefault="00412107" w:rsidP="00412107">
            <w:pPr>
              <w:jc w:val="right"/>
              <w:rPr>
                <w:sz w:val="16"/>
                <w:szCs w:val="22"/>
              </w:rPr>
            </w:pPr>
            <w:r w:rsidRPr="00005453">
              <w:rPr>
                <w:sz w:val="16"/>
                <w:szCs w:val="22"/>
              </w:rPr>
              <w:t>673,502</w:t>
            </w:r>
          </w:p>
        </w:tc>
        <w:tc>
          <w:tcPr>
            <w:tcW w:w="1705" w:type="dxa"/>
            <w:tcBorders>
              <w:top w:val="nil"/>
              <w:left w:val="nil"/>
              <w:bottom w:val="nil"/>
              <w:right w:val="nil"/>
            </w:tcBorders>
            <w:shd w:val="clear" w:color="auto" w:fill="auto"/>
            <w:vAlign w:val="center"/>
            <w:hideMark/>
          </w:tcPr>
          <w:p w14:paraId="7D00CD85" w14:textId="6A90C48D" w:rsidR="00412107" w:rsidRPr="00005453" w:rsidRDefault="00412107" w:rsidP="00412107">
            <w:pPr>
              <w:jc w:val="right"/>
              <w:rPr>
                <w:sz w:val="16"/>
                <w:szCs w:val="22"/>
              </w:rPr>
            </w:pPr>
            <w:r w:rsidRPr="00005453">
              <w:rPr>
                <w:sz w:val="16"/>
                <w:szCs w:val="22"/>
              </w:rPr>
              <w:t>755,934</w:t>
            </w:r>
          </w:p>
        </w:tc>
        <w:tc>
          <w:tcPr>
            <w:tcW w:w="846" w:type="dxa"/>
            <w:tcBorders>
              <w:top w:val="nil"/>
              <w:left w:val="nil"/>
              <w:bottom w:val="nil"/>
              <w:right w:val="nil"/>
            </w:tcBorders>
            <w:shd w:val="clear" w:color="auto" w:fill="auto"/>
            <w:vAlign w:val="center"/>
            <w:hideMark/>
          </w:tcPr>
          <w:p w14:paraId="22D963A0" w14:textId="4A85C4CB" w:rsidR="00412107" w:rsidRPr="00005453" w:rsidRDefault="00412107" w:rsidP="00412107">
            <w:pPr>
              <w:jc w:val="right"/>
              <w:rPr>
                <w:sz w:val="16"/>
                <w:szCs w:val="22"/>
              </w:rPr>
            </w:pPr>
            <w:r w:rsidRPr="00005453">
              <w:rPr>
                <w:sz w:val="16"/>
                <w:szCs w:val="22"/>
              </w:rPr>
              <w:t>418,595</w:t>
            </w:r>
          </w:p>
        </w:tc>
        <w:tc>
          <w:tcPr>
            <w:tcW w:w="1268" w:type="dxa"/>
            <w:tcBorders>
              <w:top w:val="nil"/>
              <w:left w:val="nil"/>
              <w:bottom w:val="nil"/>
              <w:right w:val="nil"/>
            </w:tcBorders>
            <w:shd w:val="clear" w:color="auto" w:fill="auto"/>
            <w:vAlign w:val="center"/>
            <w:hideMark/>
          </w:tcPr>
          <w:p w14:paraId="08CFB1CB" w14:textId="68556FD5" w:rsidR="00412107" w:rsidRPr="00005453" w:rsidRDefault="00412107" w:rsidP="00412107">
            <w:pPr>
              <w:jc w:val="right"/>
              <w:rPr>
                <w:sz w:val="16"/>
                <w:szCs w:val="22"/>
              </w:rPr>
            </w:pPr>
            <w:r w:rsidRPr="00005453">
              <w:rPr>
                <w:sz w:val="16"/>
                <w:szCs w:val="22"/>
              </w:rPr>
              <w:t>436,182</w:t>
            </w:r>
          </w:p>
        </w:tc>
        <w:tc>
          <w:tcPr>
            <w:tcW w:w="1288" w:type="dxa"/>
            <w:tcBorders>
              <w:top w:val="nil"/>
              <w:left w:val="nil"/>
              <w:bottom w:val="nil"/>
              <w:right w:val="nil"/>
            </w:tcBorders>
            <w:shd w:val="clear" w:color="auto" w:fill="auto"/>
            <w:vAlign w:val="center"/>
            <w:hideMark/>
          </w:tcPr>
          <w:p w14:paraId="22E462DC" w14:textId="7207C6B3" w:rsidR="00412107" w:rsidRPr="00005453" w:rsidRDefault="00412107" w:rsidP="00412107">
            <w:pPr>
              <w:jc w:val="right"/>
              <w:rPr>
                <w:sz w:val="16"/>
                <w:szCs w:val="22"/>
              </w:rPr>
            </w:pPr>
            <w:r w:rsidRPr="00005453">
              <w:rPr>
                <w:sz w:val="16"/>
                <w:szCs w:val="22"/>
              </w:rPr>
              <w:t>2,284,213</w:t>
            </w:r>
          </w:p>
        </w:tc>
      </w:tr>
      <w:tr w:rsidR="00412107" w:rsidRPr="00005453" w14:paraId="3C77B78B" w14:textId="77777777" w:rsidTr="00614CD2">
        <w:trPr>
          <w:trHeight w:val="242"/>
        </w:trPr>
        <w:tc>
          <w:tcPr>
            <w:tcW w:w="3048" w:type="dxa"/>
            <w:tcBorders>
              <w:top w:val="nil"/>
              <w:left w:val="nil"/>
              <w:bottom w:val="nil"/>
              <w:right w:val="nil"/>
            </w:tcBorders>
            <w:shd w:val="clear" w:color="auto" w:fill="auto"/>
            <w:vAlign w:val="center"/>
            <w:hideMark/>
          </w:tcPr>
          <w:p w14:paraId="6238E64B" w14:textId="38C25EAF" w:rsidR="00412107" w:rsidRPr="00005453" w:rsidRDefault="00412107" w:rsidP="00412107">
            <w:pPr>
              <w:rPr>
                <w:sz w:val="16"/>
                <w:szCs w:val="16"/>
                <w:lang w:eastAsia="tr-TR"/>
              </w:rPr>
            </w:pPr>
            <w:r w:rsidRPr="00005453">
              <w:rPr>
                <w:sz w:val="16"/>
                <w:szCs w:val="16"/>
                <w:lang w:eastAsia="tr-TR"/>
              </w:rPr>
              <w:t>Elden çıkarılanlar</w:t>
            </w:r>
          </w:p>
        </w:tc>
        <w:tc>
          <w:tcPr>
            <w:tcW w:w="1059" w:type="dxa"/>
            <w:tcBorders>
              <w:top w:val="nil"/>
              <w:left w:val="nil"/>
              <w:bottom w:val="nil"/>
              <w:right w:val="nil"/>
            </w:tcBorders>
            <w:shd w:val="clear" w:color="auto" w:fill="auto"/>
            <w:vAlign w:val="center"/>
            <w:hideMark/>
          </w:tcPr>
          <w:p w14:paraId="3BE7B75E" w14:textId="5D50B269" w:rsidR="00412107" w:rsidRPr="00005453" w:rsidRDefault="00412107" w:rsidP="00412107">
            <w:pPr>
              <w:jc w:val="right"/>
              <w:rPr>
                <w:sz w:val="16"/>
                <w:szCs w:val="22"/>
              </w:rPr>
            </w:pPr>
            <w:r w:rsidRPr="00005453">
              <w:rPr>
                <w:sz w:val="16"/>
                <w:szCs w:val="22"/>
              </w:rPr>
              <w:t>-</w:t>
            </w:r>
          </w:p>
        </w:tc>
        <w:tc>
          <w:tcPr>
            <w:tcW w:w="1705" w:type="dxa"/>
            <w:tcBorders>
              <w:top w:val="nil"/>
              <w:left w:val="nil"/>
              <w:bottom w:val="nil"/>
              <w:right w:val="nil"/>
            </w:tcBorders>
            <w:shd w:val="clear" w:color="auto" w:fill="auto"/>
            <w:vAlign w:val="center"/>
            <w:hideMark/>
          </w:tcPr>
          <w:p w14:paraId="43726F1C" w14:textId="57F15E4C" w:rsidR="00412107" w:rsidRPr="00005453" w:rsidRDefault="00412107" w:rsidP="00412107">
            <w:pPr>
              <w:jc w:val="right"/>
              <w:rPr>
                <w:sz w:val="16"/>
                <w:szCs w:val="22"/>
              </w:rPr>
            </w:pPr>
            <w:r w:rsidRPr="00005453">
              <w:rPr>
                <w:sz w:val="16"/>
                <w:szCs w:val="22"/>
              </w:rPr>
              <w:t>(143,134)</w:t>
            </w:r>
          </w:p>
        </w:tc>
        <w:tc>
          <w:tcPr>
            <w:tcW w:w="846" w:type="dxa"/>
            <w:tcBorders>
              <w:top w:val="nil"/>
              <w:left w:val="nil"/>
              <w:bottom w:val="nil"/>
              <w:right w:val="nil"/>
            </w:tcBorders>
            <w:shd w:val="clear" w:color="auto" w:fill="auto"/>
            <w:vAlign w:val="center"/>
            <w:hideMark/>
          </w:tcPr>
          <w:p w14:paraId="181D5679" w14:textId="6D1C81DC" w:rsidR="00412107" w:rsidRPr="00005453" w:rsidRDefault="00412107" w:rsidP="00412107">
            <w:pPr>
              <w:jc w:val="right"/>
              <w:rPr>
                <w:sz w:val="16"/>
                <w:szCs w:val="22"/>
              </w:rPr>
            </w:pPr>
            <w:r w:rsidRPr="00005453">
              <w:rPr>
                <w:sz w:val="16"/>
                <w:szCs w:val="22"/>
              </w:rPr>
              <w:t>(51,358)</w:t>
            </w:r>
          </w:p>
        </w:tc>
        <w:tc>
          <w:tcPr>
            <w:tcW w:w="1268" w:type="dxa"/>
            <w:tcBorders>
              <w:top w:val="nil"/>
              <w:left w:val="nil"/>
              <w:bottom w:val="nil"/>
              <w:right w:val="nil"/>
            </w:tcBorders>
            <w:shd w:val="clear" w:color="auto" w:fill="auto"/>
            <w:vAlign w:val="center"/>
            <w:hideMark/>
          </w:tcPr>
          <w:p w14:paraId="388B1681" w14:textId="424748FA" w:rsidR="00412107" w:rsidRPr="00005453" w:rsidRDefault="00412107" w:rsidP="00412107">
            <w:pPr>
              <w:jc w:val="right"/>
              <w:rPr>
                <w:sz w:val="16"/>
                <w:szCs w:val="22"/>
              </w:rPr>
            </w:pPr>
            <w:r w:rsidRPr="00005453">
              <w:rPr>
                <w:sz w:val="16"/>
                <w:szCs w:val="22"/>
              </w:rPr>
              <w:t>(28,974)</w:t>
            </w:r>
          </w:p>
        </w:tc>
        <w:tc>
          <w:tcPr>
            <w:tcW w:w="1288" w:type="dxa"/>
            <w:tcBorders>
              <w:top w:val="nil"/>
              <w:left w:val="nil"/>
              <w:bottom w:val="nil"/>
              <w:right w:val="nil"/>
            </w:tcBorders>
            <w:shd w:val="clear" w:color="auto" w:fill="auto"/>
            <w:vAlign w:val="center"/>
            <w:hideMark/>
          </w:tcPr>
          <w:p w14:paraId="4AEB35B1" w14:textId="564FFE5C" w:rsidR="00412107" w:rsidRPr="00005453" w:rsidRDefault="00412107" w:rsidP="00412107">
            <w:pPr>
              <w:jc w:val="right"/>
              <w:rPr>
                <w:sz w:val="16"/>
                <w:szCs w:val="22"/>
              </w:rPr>
            </w:pPr>
            <w:r w:rsidRPr="00005453">
              <w:rPr>
                <w:sz w:val="16"/>
                <w:szCs w:val="22"/>
              </w:rPr>
              <w:t>(223,466)</w:t>
            </w:r>
          </w:p>
        </w:tc>
      </w:tr>
      <w:tr w:rsidR="00412107" w:rsidRPr="00005453" w14:paraId="60758B38" w14:textId="77777777" w:rsidTr="00614CD2">
        <w:trPr>
          <w:trHeight w:val="230"/>
        </w:trPr>
        <w:tc>
          <w:tcPr>
            <w:tcW w:w="3048" w:type="dxa"/>
            <w:tcBorders>
              <w:top w:val="nil"/>
              <w:left w:val="nil"/>
              <w:bottom w:val="nil"/>
              <w:right w:val="nil"/>
            </w:tcBorders>
            <w:shd w:val="clear" w:color="auto" w:fill="auto"/>
            <w:vAlign w:val="center"/>
          </w:tcPr>
          <w:p w14:paraId="0B935FBE" w14:textId="04A8D707" w:rsidR="00412107" w:rsidRPr="00005453" w:rsidRDefault="00412107" w:rsidP="00412107">
            <w:pPr>
              <w:rPr>
                <w:sz w:val="16"/>
                <w:szCs w:val="16"/>
                <w:lang w:eastAsia="tr-TR"/>
              </w:rPr>
            </w:pPr>
            <w:r w:rsidRPr="00005453">
              <w:rPr>
                <w:sz w:val="16"/>
                <w:szCs w:val="16"/>
                <w:lang w:eastAsia="tr-TR"/>
              </w:rPr>
              <w:t>Kur farkları</w:t>
            </w:r>
          </w:p>
        </w:tc>
        <w:tc>
          <w:tcPr>
            <w:tcW w:w="1059" w:type="dxa"/>
            <w:tcBorders>
              <w:top w:val="nil"/>
              <w:left w:val="nil"/>
              <w:bottom w:val="nil"/>
              <w:right w:val="nil"/>
            </w:tcBorders>
            <w:shd w:val="clear" w:color="auto" w:fill="auto"/>
            <w:vAlign w:val="center"/>
          </w:tcPr>
          <w:p w14:paraId="2FCCBA24" w14:textId="3DA67CE0" w:rsidR="00412107" w:rsidRPr="00005453" w:rsidRDefault="00412107" w:rsidP="00412107">
            <w:pPr>
              <w:jc w:val="right"/>
              <w:rPr>
                <w:sz w:val="16"/>
                <w:szCs w:val="22"/>
              </w:rPr>
            </w:pPr>
            <w:r w:rsidRPr="00005453">
              <w:rPr>
                <w:sz w:val="16"/>
                <w:szCs w:val="22"/>
              </w:rPr>
              <w:t>-</w:t>
            </w:r>
          </w:p>
        </w:tc>
        <w:tc>
          <w:tcPr>
            <w:tcW w:w="1705" w:type="dxa"/>
            <w:tcBorders>
              <w:top w:val="nil"/>
              <w:left w:val="nil"/>
              <w:bottom w:val="nil"/>
              <w:right w:val="nil"/>
            </w:tcBorders>
            <w:shd w:val="clear" w:color="auto" w:fill="auto"/>
            <w:vAlign w:val="center"/>
          </w:tcPr>
          <w:p w14:paraId="5C0DC0CE" w14:textId="31822866" w:rsidR="00412107" w:rsidRPr="00005453" w:rsidRDefault="00412107" w:rsidP="00412107">
            <w:pPr>
              <w:jc w:val="right"/>
              <w:rPr>
                <w:sz w:val="16"/>
                <w:szCs w:val="22"/>
              </w:rPr>
            </w:pPr>
            <w:r w:rsidRPr="00005453">
              <w:rPr>
                <w:sz w:val="16"/>
                <w:szCs w:val="22"/>
              </w:rPr>
              <w:t>-</w:t>
            </w:r>
          </w:p>
        </w:tc>
        <w:tc>
          <w:tcPr>
            <w:tcW w:w="846" w:type="dxa"/>
            <w:tcBorders>
              <w:top w:val="nil"/>
              <w:left w:val="nil"/>
              <w:bottom w:val="nil"/>
              <w:right w:val="nil"/>
            </w:tcBorders>
            <w:shd w:val="clear" w:color="auto" w:fill="auto"/>
            <w:vAlign w:val="center"/>
          </w:tcPr>
          <w:p w14:paraId="16AA94DA" w14:textId="6E6C7909" w:rsidR="00412107" w:rsidRPr="00005453" w:rsidRDefault="00412107" w:rsidP="00412107">
            <w:pPr>
              <w:jc w:val="right"/>
              <w:rPr>
                <w:sz w:val="16"/>
                <w:szCs w:val="22"/>
              </w:rPr>
            </w:pPr>
            <w:r w:rsidRPr="00005453">
              <w:rPr>
                <w:sz w:val="16"/>
                <w:szCs w:val="22"/>
              </w:rPr>
              <w:t>-</w:t>
            </w:r>
          </w:p>
        </w:tc>
        <w:tc>
          <w:tcPr>
            <w:tcW w:w="1268" w:type="dxa"/>
            <w:tcBorders>
              <w:top w:val="nil"/>
              <w:left w:val="nil"/>
              <w:bottom w:val="nil"/>
              <w:right w:val="nil"/>
            </w:tcBorders>
            <w:shd w:val="clear" w:color="auto" w:fill="auto"/>
            <w:vAlign w:val="center"/>
          </w:tcPr>
          <w:p w14:paraId="291D25E5" w14:textId="1E959A85" w:rsidR="00412107" w:rsidRPr="00005453" w:rsidRDefault="00412107" w:rsidP="00412107">
            <w:pPr>
              <w:jc w:val="right"/>
              <w:rPr>
                <w:sz w:val="16"/>
                <w:szCs w:val="22"/>
              </w:rPr>
            </w:pPr>
            <w:r w:rsidRPr="00005453">
              <w:rPr>
                <w:sz w:val="16"/>
                <w:szCs w:val="22"/>
              </w:rPr>
              <w:t>-</w:t>
            </w:r>
          </w:p>
        </w:tc>
        <w:tc>
          <w:tcPr>
            <w:tcW w:w="1288" w:type="dxa"/>
            <w:tcBorders>
              <w:top w:val="nil"/>
              <w:left w:val="nil"/>
              <w:bottom w:val="nil"/>
              <w:right w:val="nil"/>
            </w:tcBorders>
            <w:shd w:val="clear" w:color="auto" w:fill="auto"/>
            <w:vAlign w:val="center"/>
          </w:tcPr>
          <w:p w14:paraId="5E438C98" w14:textId="2AD9FB7F" w:rsidR="00412107" w:rsidRPr="00005453" w:rsidRDefault="00412107" w:rsidP="00412107">
            <w:pPr>
              <w:jc w:val="right"/>
              <w:rPr>
                <w:sz w:val="16"/>
                <w:szCs w:val="22"/>
              </w:rPr>
            </w:pPr>
            <w:r w:rsidRPr="00005453">
              <w:rPr>
                <w:sz w:val="16"/>
                <w:szCs w:val="22"/>
              </w:rPr>
              <w:t>-</w:t>
            </w:r>
          </w:p>
        </w:tc>
      </w:tr>
      <w:tr w:rsidR="00412107" w:rsidRPr="00005453" w14:paraId="3BCC5950" w14:textId="77777777" w:rsidTr="00614CD2">
        <w:trPr>
          <w:trHeight w:val="230"/>
        </w:trPr>
        <w:tc>
          <w:tcPr>
            <w:tcW w:w="3048" w:type="dxa"/>
            <w:tcBorders>
              <w:top w:val="nil"/>
              <w:left w:val="nil"/>
              <w:bottom w:val="nil"/>
              <w:right w:val="nil"/>
            </w:tcBorders>
            <w:shd w:val="clear" w:color="auto" w:fill="auto"/>
            <w:vAlign w:val="center"/>
            <w:hideMark/>
          </w:tcPr>
          <w:p w14:paraId="57C92D15" w14:textId="0F2B0D3D" w:rsidR="00412107" w:rsidRPr="00005453" w:rsidRDefault="00412107" w:rsidP="00412107">
            <w:pPr>
              <w:rPr>
                <w:sz w:val="16"/>
                <w:szCs w:val="16"/>
                <w:lang w:eastAsia="tr-TR"/>
              </w:rPr>
            </w:pPr>
            <w:r w:rsidRPr="00005453">
              <w:rPr>
                <w:sz w:val="16"/>
                <w:szCs w:val="16"/>
                <w:lang w:eastAsia="tr-TR"/>
              </w:rPr>
              <w:t>Transferler</w:t>
            </w:r>
          </w:p>
        </w:tc>
        <w:tc>
          <w:tcPr>
            <w:tcW w:w="1059" w:type="dxa"/>
            <w:tcBorders>
              <w:top w:val="nil"/>
              <w:left w:val="nil"/>
              <w:bottom w:val="nil"/>
              <w:right w:val="nil"/>
            </w:tcBorders>
            <w:shd w:val="clear" w:color="auto" w:fill="auto"/>
            <w:vAlign w:val="center"/>
            <w:hideMark/>
          </w:tcPr>
          <w:p w14:paraId="5BD35372" w14:textId="0735346E" w:rsidR="00412107" w:rsidRPr="00005453" w:rsidRDefault="00412107" w:rsidP="00412107">
            <w:pPr>
              <w:jc w:val="right"/>
              <w:rPr>
                <w:sz w:val="16"/>
                <w:szCs w:val="22"/>
              </w:rPr>
            </w:pPr>
            <w:r w:rsidRPr="00005453">
              <w:rPr>
                <w:sz w:val="16"/>
                <w:szCs w:val="22"/>
              </w:rPr>
              <w:t>-</w:t>
            </w:r>
          </w:p>
        </w:tc>
        <w:tc>
          <w:tcPr>
            <w:tcW w:w="1705" w:type="dxa"/>
            <w:tcBorders>
              <w:top w:val="nil"/>
              <w:left w:val="nil"/>
              <w:bottom w:val="nil"/>
              <w:right w:val="nil"/>
            </w:tcBorders>
            <w:shd w:val="clear" w:color="auto" w:fill="auto"/>
            <w:vAlign w:val="center"/>
            <w:hideMark/>
          </w:tcPr>
          <w:p w14:paraId="55352DEE" w14:textId="06F534B0" w:rsidR="00412107" w:rsidRPr="00005453" w:rsidRDefault="00412107" w:rsidP="00412107">
            <w:pPr>
              <w:jc w:val="right"/>
              <w:rPr>
                <w:sz w:val="16"/>
                <w:szCs w:val="22"/>
              </w:rPr>
            </w:pPr>
            <w:r w:rsidRPr="00005453">
              <w:rPr>
                <w:sz w:val="16"/>
                <w:szCs w:val="22"/>
              </w:rPr>
              <w:t>1,796</w:t>
            </w:r>
          </w:p>
        </w:tc>
        <w:tc>
          <w:tcPr>
            <w:tcW w:w="846" w:type="dxa"/>
            <w:tcBorders>
              <w:top w:val="nil"/>
              <w:left w:val="nil"/>
              <w:bottom w:val="nil"/>
              <w:right w:val="nil"/>
            </w:tcBorders>
            <w:shd w:val="clear" w:color="auto" w:fill="auto"/>
            <w:vAlign w:val="center"/>
            <w:hideMark/>
          </w:tcPr>
          <w:p w14:paraId="742FE46A" w14:textId="11B0D0A9" w:rsidR="00412107" w:rsidRPr="00005453" w:rsidRDefault="00412107" w:rsidP="00412107">
            <w:pPr>
              <w:jc w:val="right"/>
              <w:rPr>
                <w:sz w:val="16"/>
                <w:szCs w:val="22"/>
              </w:rPr>
            </w:pPr>
            <w:r w:rsidRPr="00005453">
              <w:rPr>
                <w:sz w:val="16"/>
                <w:szCs w:val="22"/>
              </w:rPr>
              <w:t>574</w:t>
            </w:r>
          </w:p>
        </w:tc>
        <w:tc>
          <w:tcPr>
            <w:tcW w:w="1268" w:type="dxa"/>
            <w:tcBorders>
              <w:top w:val="nil"/>
              <w:left w:val="nil"/>
              <w:bottom w:val="nil"/>
              <w:right w:val="nil"/>
            </w:tcBorders>
            <w:shd w:val="clear" w:color="auto" w:fill="auto"/>
            <w:vAlign w:val="center"/>
            <w:hideMark/>
          </w:tcPr>
          <w:p w14:paraId="6C5AB85B" w14:textId="3DEED086" w:rsidR="00412107" w:rsidRPr="00005453" w:rsidRDefault="00412107" w:rsidP="00412107">
            <w:pPr>
              <w:jc w:val="right"/>
              <w:rPr>
                <w:sz w:val="16"/>
                <w:szCs w:val="22"/>
              </w:rPr>
            </w:pPr>
            <w:r w:rsidRPr="00005453">
              <w:rPr>
                <w:sz w:val="16"/>
                <w:szCs w:val="22"/>
              </w:rPr>
              <w:t>1,453</w:t>
            </w:r>
          </w:p>
        </w:tc>
        <w:tc>
          <w:tcPr>
            <w:tcW w:w="1288" w:type="dxa"/>
            <w:tcBorders>
              <w:top w:val="nil"/>
              <w:left w:val="nil"/>
              <w:bottom w:val="nil"/>
              <w:right w:val="nil"/>
            </w:tcBorders>
            <w:shd w:val="clear" w:color="auto" w:fill="auto"/>
            <w:vAlign w:val="center"/>
            <w:hideMark/>
          </w:tcPr>
          <w:p w14:paraId="6F5F7304" w14:textId="794E880E" w:rsidR="00412107" w:rsidRPr="00005453" w:rsidRDefault="00412107" w:rsidP="00412107">
            <w:pPr>
              <w:jc w:val="right"/>
              <w:rPr>
                <w:sz w:val="16"/>
                <w:szCs w:val="22"/>
              </w:rPr>
            </w:pPr>
            <w:r w:rsidRPr="00005453">
              <w:rPr>
                <w:sz w:val="16"/>
                <w:szCs w:val="22"/>
              </w:rPr>
              <w:t>3,823</w:t>
            </w:r>
          </w:p>
        </w:tc>
      </w:tr>
      <w:tr w:rsidR="00412107" w:rsidRPr="00005453" w14:paraId="4E9C80E0" w14:textId="77777777" w:rsidTr="00614CD2">
        <w:trPr>
          <w:trHeight w:val="230"/>
        </w:trPr>
        <w:tc>
          <w:tcPr>
            <w:tcW w:w="3048" w:type="dxa"/>
            <w:tcBorders>
              <w:top w:val="nil"/>
              <w:left w:val="nil"/>
              <w:bottom w:val="nil"/>
              <w:right w:val="nil"/>
            </w:tcBorders>
            <w:shd w:val="clear" w:color="auto" w:fill="auto"/>
            <w:noWrap/>
            <w:vAlign w:val="center"/>
            <w:hideMark/>
          </w:tcPr>
          <w:p w14:paraId="298B2B74" w14:textId="5228906C" w:rsidR="00412107" w:rsidRPr="00005453" w:rsidRDefault="00412107" w:rsidP="00412107">
            <w:pPr>
              <w:rPr>
                <w:sz w:val="16"/>
                <w:szCs w:val="16"/>
                <w:lang w:eastAsia="tr-TR"/>
              </w:rPr>
            </w:pPr>
            <w:r w:rsidRPr="00005453">
              <w:rPr>
                <w:sz w:val="16"/>
                <w:szCs w:val="16"/>
                <w:lang w:eastAsia="tr-TR"/>
              </w:rPr>
              <w:t>Değer düşüşü/ iptali</w:t>
            </w:r>
          </w:p>
        </w:tc>
        <w:tc>
          <w:tcPr>
            <w:tcW w:w="1059" w:type="dxa"/>
            <w:tcBorders>
              <w:top w:val="nil"/>
              <w:left w:val="nil"/>
              <w:bottom w:val="nil"/>
              <w:right w:val="nil"/>
            </w:tcBorders>
            <w:shd w:val="clear" w:color="auto" w:fill="auto"/>
            <w:vAlign w:val="center"/>
            <w:hideMark/>
          </w:tcPr>
          <w:p w14:paraId="5B0ECF5D" w14:textId="5CAB9907" w:rsidR="00412107" w:rsidRPr="00005453" w:rsidRDefault="00412107" w:rsidP="00412107">
            <w:pPr>
              <w:jc w:val="right"/>
              <w:rPr>
                <w:sz w:val="16"/>
                <w:szCs w:val="22"/>
              </w:rPr>
            </w:pPr>
            <w:r w:rsidRPr="00005453">
              <w:rPr>
                <w:sz w:val="16"/>
                <w:szCs w:val="22"/>
              </w:rPr>
              <w:t>-</w:t>
            </w:r>
          </w:p>
        </w:tc>
        <w:tc>
          <w:tcPr>
            <w:tcW w:w="1705" w:type="dxa"/>
            <w:tcBorders>
              <w:top w:val="nil"/>
              <w:left w:val="nil"/>
              <w:bottom w:val="nil"/>
              <w:right w:val="nil"/>
            </w:tcBorders>
            <w:shd w:val="clear" w:color="auto" w:fill="auto"/>
            <w:vAlign w:val="center"/>
            <w:hideMark/>
          </w:tcPr>
          <w:p w14:paraId="623614E6" w14:textId="1A9CFD86" w:rsidR="00412107" w:rsidRPr="00005453" w:rsidRDefault="00412107" w:rsidP="00412107">
            <w:pPr>
              <w:jc w:val="right"/>
              <w:rPr>
                <w:sz w:val="16"/>
                <w:szCs w:val="22"/>
              </w:rPr>
            </w:pPr>
            <w:r w:rsidRPr="00005453">
              <w:rPr>
                <w:sz w:val="16"/>
                <w:szCs w:val="22"/>
              </w:rPr>
              <w:t>-</w:t>
            </w:r>
          </w:p>
        </w:tc>
        <w:tc>
          <w:tcPr>
            <w:tcW w:w="846" w:type="dxa"/>
            <w:tcBorders>
              <w:top w:val="nil"/>
              <w:left w:val="nil"/>
              <w:bottom w:val="nil"/>
              <w:right w:val="nil"/>
            </w:tcBorders>
            <w:shd w:val="clear" w:color="auto" w:fill="auto"/>
            <w:vAlign w:val="center"/>
            <w:hideMark/>
          </w:tcPr>
          <w:p w14:paraId="4FCCADE5" w14:textId="6515A1EA" w:rsidR="00412107" w:rsidRPr="00005453" w:rsidRDefault="00412107" w:rsidP="00412107">
            <w:pPr>
              <w:jc w:val="right"/>
              <w:rPr>
                <w:sz w:val="16"/>
                <w:szCs w:val="22"/>
              </w:rPr>
            </w:pPr>
            <w:r w:rsidRPr="00005453">
              <w:rPr>
                <w:sz w:val="16"/>
                <w:szCs w:val="22"/>
              </w:rPr>
              <w:t>-</w:t>
            </w:r>
          </w:p>
        </w:tc>
        <w:tc>
          <w:tcPr>
            <w:tcW w:w="1268" w:type="dxa"/>
            <w:tcBorders>
              <w:top w:val="nil"/>
              <w:left w:val="nil"/>
              <w:bottom w:val="nil"/>
              <w:right w:val="nil"/>
            </w:tcBorders>
            <w:shd w:val="clear" w:color="auto" w:fill="auto"/>
            <w:vAlign w:val="center"/>
            <w:hideMark/>
          </w:tcPr>
          <w:p w14:paraId="7A380B12" w14:textId="0F040C2B" w:rsidR="00412107" w:rsidRPr="00005453" w:rsidRDefault="00412107" w:rsidP="00412107">
            <w:pPr>
              <w:jc w:val="right"/>
              <w:rPr>
                <w:sz w:val="16"/>
                <w:szCs w:val="22"/>
              </w:rPr>
            </w:pPr>
            <w:r w:rsidRPr="00005453">
              <w:rPr>
                <w:sz w:val="16"/>
                <w:szCs w:val="22"/>
              </w:rPr>
              <w:t>-</w:t>
            </w:r>
          </w:p>
        </w:tc>
        <w:tc>
          <w:tcPr>
            <w:tcW w:w="1288" w:type="dxa"/>
            <w:tcBorders>
              <w:top w:val="nil"/>
              <w:left w:val="nil"/>
              <w:bottom w:val="nil"/>
              <w:right w:val="nil"/>
            </w:tcBorders>
            <w:shd w:val="clear" w:color="auto" w:fill="auto"/>
            <w:vAlign w:val="center"/>
            <w:hideMark/>
          </w:tcPr>
          <w:p w14:paraId="530DAC6C" w14:textId="05107C4C" w:rsidR="00412107" w:rsidRPr="00005453" w:rsidRDefault="00412107" w:rsidP="00412107">
            <w:pPr>
              <w:jc w:val="right"/>
              <w:rPr>
                <w:sz w:val="16"/>
                <w:szCs w:val="22"/>
              </w:rPr>
            </w:pPr>
            <w:r w:rsidRPr="00005453">
              <w:rPr>
                <w:sz w:val="16"/>
                <w:szCs w:val="22"/>
              </w:rPr>
              <w:t>-</w:t>
            </w:r>
          </w:p>
        </w:tc>
      </w:tr>
      <w:tr w:rsidR="00412107" w:rsidRPr="00005453" w14:paraId="44A1ED7C" w14:textId="77777777" w:rsidTr="00614CD2">
        <w:trPr>
          <w:trHeight w:val="230"/>
        </w:trPr>
        <w:tc>
          <w:tcPr>
            <w:tcW w:w="3048" w:type="dxa"/>
            <w:tcBorders>
              <w:top w:val="nil"/>
              <w:left w:val="nil"/>
              <w:bottom w:val="nil"/>
              <w:right w:val="nil"/>
            </w:tcBorders>
            <w:shd w:val="clear" w:color="auto" w:fill="auto"/>
            <w:noWrap/>
            <w:vAlign w:val="center"/>
            <w:hideMark/>
          </w:tcPr>
          <w:p w14:paraId="650902D1" w14:textId="28A6DDCE" w:rsidR="00412107" w:rsidRPr="00005453" w:rsidRDefault="00412107" w:rsidP="00412107">
            <w:pPr>
              <w:rPr>
                <w:sz w:val="16"/>
                <w:szCs w:val="16"/>
                <w:lang w:eastAsia="tr-TR"/>
              </w:rPr>
            </w:pPr>
            <w:r w:rsidRPr="00005453">
              <w:rPr>
                <w:sz w:val="16"/>
                <w:szCs w:val="16"/>
                <w:lang w:eastAsia="tr-TR"/>
              </w:rPr>
              <w:t>Dönem sonu bakiyesi, 31 Aralık 2023</w:t>
            </w:r>
          </w:p>
        </w:tc>
        <w:tc>
          <w:tcPr>
            <w:tcW w:w="1059" w:type="dxa"/>
            <w:tcBorders>
              <w:top w:val="nil"/>
              <w:left w:val="nil"/>
              <w:bottom w:val="nil"/>
              <w:right w:val="nil"/>
            </w:tcBorders>
            <w:shd w:val="clear" w:color="auto" w:fill="auto"/>
            <w:vAlign w:val="center"/>
            <w:hideMark/>
          </w:tcPr>
          <w:p w14:paraId="25BDE5EB" w14:textId="32839477" w:rsidR="00412107" w:rsidRPr="00005453" w:rsidRDefault="00412107" w:rsidP="00412107">
            <w:pPr>
              <w:jc w:val="right"/>
              <w:rPr>
                <w:sz w:val="16"/>
                <w:szCs w:val="22"/>
              </w:rPr>
            </w:pPr>
            <w:r w:rsidRPr="00005453">
              <w:rPr>
                <w:sz w:val="16"/>
                <w:szCs w:val="22"/>
              </w:rPr>
              <w:t>1,176,076</w:t>
            </w:r>
          </w:p>
        </w:tc>
        <w:tc>
          <w:tcPr>
            <w:tcW w:w="1705" w:type="dxa"/>
            <w:tcBorders>
              <w:top w:val="nil"/>
              <w:left w:val="nil"/>
              <w:bottom w:val="nil"/>
              <w:right w:val="nil"/>
            </w:tcBorders>
            <w:shd w:val="clear" w:color="auto" w:fill="auto"/>
            <w:vAlign w:val="center"/>
            <w:hideMark/>
          </w:tcPr>
          <w:p w14:paraId="012A219F" w14:textId="38641D85" w:rsidR="00412107" w:rsidRPr="00005453" w:rsidRDefault="00412107" w:rsidP="00412107">
            <w:pPr>
              <w:jc w:val="right"/>
              <w:rPr>
                <w:sz w:val="16"/>
                <w:szCs w:val="22"/>
              </w:rPr>
            </w:pPr>
            <w:r w:rsidRPr="00005453">
              <w:rPr>
                <w:sz w:val="16"/>
                <w:szCs w:val="22"/>
              </w:rPr>
              <w:t>1,566,381</w:t>
            </w:r>
          </w:p>
        </w:tc>
        <w:tc>
          <w:tcPr>
            <w:tcW w:w="846" w:type="dxa"/>
            <w:tcBorders>
              <w:top w:val="nil"/>
              <w:left w:val="nil"/>
              <w:bottom w:val="nil"/>
              <w:right w:val="nil"/>
            </w:tcBorders>
            <w:shd w:val="clear" w:color="auto" w:fill="auto"/>
            <w:vAlign w:val="center"/>
            <w:hideMark/>
          </w:tcPr>
          <w:p w14:paraId="48587B8C" w14:textId="25678BF3" w:rsidR="00412107" w:rsidRPr="00005453" w:rsidRDefault="00412107" w:rsidP="00412107">
            <w:pPr>
              <w:jc w:val="right"/>
              <w:rPr>
                <w:sz w:val="16"/>
                <w:szCs w:val="22"/>
              </w:rPr>
            </w:pPr>
            <w:r w:rsidRPr="00005453">
              <w:rPr>
                <w:sz w:val="16"/>
                <w:szCs w:val="22"/>
              </w:rPr>
              <w:t>718,482</w:t>
            </w:r>
          </w:p>
        </w:tc>
        <w:tc>
          <w:tcPr>
            <w:tcW w:w="1268" w:type="dxa"/>
            <w:tcBorders>
              <w:top w:val="nil"/>
              <w:left w:val="nil"/>
              <w:bottom w:val="nil"/>
              <w:right w:val="nil"/>
            </w:tcBorders>
            <w:shd w:val="clear" w:color="auto" w:fill="auto"/>
            <w:vAlign w:val="center"/>
            <w:hideMark/>
          </w:tcPr>
          <w:p w14:paraId="058878D7" w14:textId="4C935A44" w:rsidR="00412107" w:rsidRPr="00005453" w:rsidRDefault="00412107" w:rsidP="00412107">
            <w:pPr>
              <w:jc w:val="right"/>
              <w:rPr>
                <w:sz w:val="16"/>
                <w:szCs w:val="22"/>
              </w:rPr>
            </w:pPr>
            <w:r w:rsidRPr="00005453">
              <w:rPr>
                <w:sz w:val="16"/>
                <w:szCs w:val="22"/>
              </w:rPr>
              <w:t>1,171,031</w:t>
            </w:r>
          </w:p>
        </w:tc>
        <w:tc>
          <w:tcPr>
            <w:tcW w:w="1288" w:type="dxa"/>
            <w:tcBorders>
              <w:top w:val="nil"/>
              <w:left w:val="nil"/>
              <w:bottom w:val="nil"/>
              <w:right w:val="nil"/>
            </w:tcBorders>
            <w:shd w:val="clear" w:color="auto" w:fill="auto"/>
            <w:vAlign w:val="center"/>
            <w:hideMark/>
          </w:tcPr>
          <w:p w14:paraId="5F9079EA" w14:textId="6DAFABB3" w:rsidR="00412107" w:rsidRPr="00005453" w:rsidRDefault="00412107" w:rsidP="00412107">
            <w:pPr>
              <w:jc w:val="right"/>
              <w:rPr>
                <w:sz w:val="16"/>
                <w:szCs w:val="22"/>
              </w:rPr>
            </w:pPr>
            <w:r w:rsidRPr="00005453">
              <w:rPr>
                <w:sz w:val="16"/>
                <w:szCs w:val="22"/>
              </w:rPr>
              <w:t>4,631,970</w:t>
            </w:r>
          </w:p>
        </w:tc>
      </w:tr>
      <w:tr w:rsidR="008600CF" w:rsidRPr="00005453" w14:paraId="79F07148" w14:textId="77777777" w:rsidTr="00F26D69">
        <w:trPr>
          <w:trHeight w:val="57"/>
        </w:trPr>
        <w:tc>
          <w:tcPr>
            <w:tcW w:w="3048" w:type="dxa"/>
            <w:tcBorders>
              <w:top w:val="nil"/>
              <w:left w:val="nil"/>
              <w:bottom w:val="nil"/>
              <w:right w:val="nil"/>
            </w:tcBorders>
            <w:shd w:val="clear" w:color="auto" w:fill="auto"/>
            <w:noWrap/>
            <w:vAlign w:val="center"/>
            <w:hideMark/>
          </w:tcPr>
          <w:p w14:paraId="132081F8" w14:textId="77777777" w:rsidR="008600CF" w:rsidRPr="00005453" w:rsidRDefault="008600CF" w:rsidP="00614CD2">
            <w:pPr>
              <w:jc w:val="center"/>
              <w:rPr>
                <w:sz w:val="6"/>
                <w:szCs w:val="10"/>
                <w:lang w:eastAsia="tr-TR"/>
              </w:rPr>
            </w:pPr>
          </w:p>
        </w:tc>
        <w:tc>
          <w:tcPr>
            <w:tcW w:w="1059" w:type="dxa"/>
            <w:tcBorders>
              <w:top w:val="nil"/>
              <w:left w:val="nil"/>
              <w:bottom w:val="nil"/>
              <w:right w:val="nil"/>
            </w:tcBorders>
            <w:shd w:val="clear" w:color="auto" w:fill="auto"/>
            <w:vAlign w:val="center"/>
            <w:hideMark/>
          </w:tcPr>
          <w:p w14:paraId="6126CB5A" w14:textId="77777777" w:rsidR="008600CF" w:rsidRPr="00005453" w:rsidRDefault="008600CF" w:rsidP="00957BD1">
            <w:pPr>
              <w:jc w:val="right"/>
              <w:rPr>
                <w:sz w:val="6"/>
                <w:szCs w:val="10"/>
              </w:rPr>
            </w:pPr>
          </w:p>
        </w:tc>
        <w:tc>
          <w:tcPr>
            <w:tcW w:w="1705" w:type="dxa"/>
            <w:tcBorders>
              <w:top w:val="nil"/>
              <w:left w:val="nil"/>
              <w:bottom w:val="nil"/>
              <w:right w:val="nil"/>
            </w:tcBorders>
            <w:shd w:val="clear" w:color="auto" w:fill="auto"/>
            <w:vAlign w:val="center"/>
            <w:hideMark/>
          </w:tcPr>
          <w:p w14:paraId="285427BE" w14:textId="77777777" w:rsidR="008600CF" w:rsidRPr="00005453" w:rsidRDefault="008600CF" w:rsidP="00957BD1">
            <w:pPr>
              <w:jc w:val="right"/>
              <w:rPr>
                <w:sz w:val="6"/>
                <w:szCs w:val="10"/>
              </w:rPr>
            </w:pPr>
          </w:p>
        </w:tc>
        <w:tc>
          <w:tcPr>
            <w:tcW w:w="846" w:type="dxa"/>
            <w:tcBorders>
              <w:top w:val="nil"/>
              <w:left w:val="nil"/>
              <w:bottom w:val="nil"/>
              <w:right w:val="nil"/>
            </w:tcBorders>
            <w:shd w:val="clear" w:color="auto" w:fill="auto"/>
            <w:vAlign w:val="center"/>
            <w:hideMark/>
          </w:tcPr>
          <w:p w14:paraId="3F857B04" w14:textId="77777777" w:rsidR="008600CF" w:rsidRPr="00005453" w:rsidRDefault="008600CF" w:rsidP="00957BD1">
            <w:pPr>
              <w:jc w:val="right"/>
              <w:rPr>
                <w:sz w:val="6"/>
                <w:szCs w:val="10"/>
              </w:rPr>
            </w:pPr>
          </w:p>
        </w:tc>
        <w:tc>
          <w:tcPr>
            <w:tcW w:w="1268" w:type="dxa"/>
            <w:tcBorders>
              <w:top w:val="nil"/>
              <w:left w:val="nil"/>
              <w:bottom w:val="nil"/>
              <w:right w:val="nil"/>
            </w:tcBorders>
            <w:shd w:val="clear" w:color="auto" w:fill="auto"/>
            <w:vAlign w:val="center"/>
            <w:hideMark/>
          </w:tcPr>
          <w:p w14:paraId="7ECD1DDE" w14:textId="77777777" w:rsidR="008600CF" w:rsidRPr="00005453" w:rsidRDefault="008600CF" w:rsidP="00957BD1">
            <w:pPr>
              <w:jc w:val="right"/>
              <w:rPr>
                <w:sz w:val="6"/>
                <w:szCs w:val="10"/>
              </w:rPr>
            </w:pPr>
          </w:p>
        </w:tc>
        <w:tc>
          <w:tcPr>
            <w:tcW w:w="1288" w:type="dxa"/>
            <w:tcBorders>
              <w:top w:val="nil"/>
              <w:left w:val="nil"/>
              <w:bottom w:val="nil"/>
              <w:right w:val="nil"/>
            </w:tcBorders>
            <w:shd w:val="clear" w:color="auto" w:fill="auto"/>
            <w:vAlign w:val="center"/>
            <w:hideMark/>
          </w:tcPr>
          <w:p w14:paraId="1DFFD08D" w14:textId="77777777" w:rsidR="008600CF" w:rsidRPr="00005453" w:rsidRDefault="008600CF" w:rsidP="00957BD1">
            <w:pPr>
              <w:jc w:val="right"/>
              <w:rPr>
                <w:sz w:val="6"/>
                <w:szCs w:val="10"/>
              </w:rPr>
            </w:pPr>
          </w:p>
        </w:tc>
      </w:tr>
      <w:tr w:rsidR="008600CF" w:rsidRPr="00005453" w14:paraId="6151ADFB" w14:textId="77777777" w:rsidTr="00614CD2">
        <w:trPr>
          <w:trHeight w:val="230"/>
        </w:trPr>
        <w:tc>
          <w:tcPr>
            <w:tcW w:w="3048" w:type="dxa"/>
            <w:tcBorders>
              <w:top w:val="nil"/>
              <w:left w:val="nil"/>
              <w:bottom w:val="nil"/>
              <w:right w:val="nil"/>
            </w:tcBorders>
            <w:shd w:val="clear" w:color="auto" w:fill="auto"/>
            <w:noWrap/>
            <w:vAlign w:val="center"/>
            <w:hideMark/>
          </w:tcPr>
          <w:p w14:paraId="1836E2FA" w14:textId="577F2182" w:rsidR="008600CF" w:rsidRPr="00005453" w:rsidRDefault="008600CF" w:rsidP="00614CD2">
            <w:pPr>
              <w:rPr>
                <w:b/>
                <w:bCs/>
                <w:sz w:val="16"/>
                <w:szCs w:val="16"/>
                <w:lang w:eastAsia="tr-TR"/>
              </w:rPr>
            </w:pPr>
            <w:r w:rsidRPr="00005453">
              <w:rPr>
                <w:b/>
                <w:bCs/>
                <w:sz w:val="16"/>
                <w:szCs w:val="16"/>
                <w:lang w:eastAsia="tr-TR"/>
              </w:rPr>
              <w:t>Birikmiş Amortisman (-)</w:t>
            </w:r>
          </w:p>
        </w:tc>
        <w:tc>
          <w:tcPr>
            <w:tcW w:w="1059" w:type="dxa"/>
            <w:tcBorders>
              <w:top w:val="nil"/>
              <w:left w:val="nil"/>
              <w:bottom w:val="nil"/>
              <w:right w:val="nil"/>
            </w:tcBorders>
            <w:shd w:val="clear" w:color="auto" w:fill="auto"/>
            <w:vAlign w:val="center"/>
            <w:hideMark/>
          </w:tcPr>
          <w:p w14:paraId="0CAE4234" w14:textId="77777777" w:rsidR="008600CF" w:rsidRPr="00005453" w:rsidRDefault="008600CF" w:rsidP="00957BD1">
            <w:pPr>
              <w:jc w:val="right"/>
              <w:rPr>
                <w:sz w:val="16"/>
                <w:szCs w:val="22"/>
              </w:rPr>
            </w:pPr>
          </w:p>
        </w:tc>
        <w:tc>
          <w:tcPr>
            <w:tcW w:w="1705" w:type="dxa"/>
            <w:tcBorders>
              <w:top w:val="nil"/>
              <w:left w:val="nil"/>
              <w:bottom w:val="nil"/>
              <w:right w:val="nil"/>
            </w:tcBorders>
            <w:shd w:val="clear" w:color="auto" w:fill="auto"/>
            <w:vAlign w:val="center"/>
            <w:hideMark/>
          </w:tcPr>
          <w:p w14:paraId="142E6CE8" w14:textId="77777777" w:rsidR="008600CF" w:rsidRPr="00005453" w:rsidRDefault="008600CF" w:rsidP="00957BD1">
            <w:pPr>
              <w:jc w:val="right"/>
              <w:rPr>
                <w:sz w:val="16"/>
                <w:szCs w:val="22"/>
              </w:rPr>
            </w:pPr>
          </w:p>
        </w:tc>
        <w:tc>
          <w:tcPr>
            <w:tcW w:w="846" w:type="dxa"/>
            <w:tcBorders>
              <w:top w:val="nil"/>
              <w:left w:val="nil"/>
              <w:bottom w:val="nil"/>
              <w:right w:val="nil"/>
            </w:tcBorders>
            <w:shd w:val="clear" w:color="auto" w:fill="auto"/>
            <w:vAlign w:val="center"/>
            <w:hideMark/>
          </w:tcPr>
          <w:p w14:paraId="5414B39B" w14:textId="77777777" w:rsidR="008600CF" w:rsidRPr="00005453" w:rsidRDefault="008600CF" w:rsidP="00957BD1">
            <w:pPr>
              <w:jc w:val="right"/>
              <w:rPr>
                <w:sz w:val="16"/>
                <w:szCs w:val="22"/>
              </w:rPr>
            </w:pPr>
          </w:p>
        </w:tc>
        <w:tc>
          <w:tcPr>
            <w:tcW w:w="1268" w:type="dxa"/>
            <w:tcBorders>
              <w:top w:val="nil"/>
              <w:left w:val="nil"/>
              <w:bottom w:val="nil"/>
              <w:right w:val="nil"/>
            </w:tcBorders>
            <w:shd w:val="clear" w:color="auto" w:fill="auto"/>
            <w:vAlign w:val="center"/>
            <w:hideMark/>
          </w:tcPr>
          <w:p w14:paraId="393B2B68" w14:textId="77777777" w:rsidR="008600CF" w:rsidRPr="00005453" w:rsidRDefault="008600CF" w:rsidP="00957BD1">
            <w:pPr>
              <w:jc w:val="right"/>
              <w:rPr>
                <w:sz w:val="16"/>
                <w:szCs w:val="22"/>
              </w:rPr>
            </w:pPr>
          </w:p>
        </w:tc>
        <w:tc>
          <w:tcPr>
            <w:tcW w:w="1288" w:type="dxa"/>
            <w:tcBorders>
              <w:top w:val="nil"/>
              <w:left w:val="nil"/>
              <w:bottom w:val="nil"/>
              <w:right w:val="nil"/>
            </w:tcBorders>
            <w:shd w:val="clear" w:color="auto" w:fill="auto"/>
            <w:vAlign w:val="center"/>
            <w:hideMark/>
          </w:tcPr>
          <w:p w14:paraId="2DFD166A" w14:textId="77777777" w:rsidR="008600CF" w:rsidRPr="00005453" w:rsidRDefault="008600CF" w:rsidP="00957BD1">
            <w:pPr>
              <w:jc w:val="right"/>
              <w:rPr>
                <w:sz w:val="16"/>
                <w:szCs w:val="22"/>
              </w:rPr>
            </w:pPr>
          </w:p>
        </w:tc>
      </w:tr>
      <w:tr w:rsidR="00412107" w:rsidRPr="00005453" w14:paraId="1A8E5945" w14:textId="77777777" w:rsidTr="00614CD2">
        <w:trPr>
          <w:trHeight w:val="230"/>
        </w:trPr>
        <w:tc>
          <w:tcPr>
            <w:tcW w:w="3048" w:type="dxa"/>
            <w:tcBorders>
              <w:top w:val="nil"/>
              <w:left w:val="nil"/>
              <w:bottom w:val="nil"/>
              <w:right w:val="nil"/>
            </w:tcBorders>
            <w:shd w:val="clear" w:color="auto" w:fill="auto"/>
            <w:noWrap/>
            <w:vAlign w:val="center"/>
            <w:hideMark/>
          </w:tcPr>
          <w:p w14:paraId="158C6F58" w14:textId="7503ECD9" w:rsidR="00412107" w:rsidRPr="00005453" w:rsidRDefault="00412107" w:rsidP="00412107">
            <w:pPr>
              <w:rPr>
                <w:sz w:val="16"/>
                <w:szCs w:val="16"/>
                <w:lang w:eastAsia="tr-TR"/>
              </w:rPr>
            </w:pPr>
            <w:r w:rsidRPr="00005453">
              <w:rPr>
                <w:sz w:val="16"/>
                <w:szCs w:val="16"/>
                <w:lang w:eastAsia="tr-TR"/>
              </w:rPr>
              <w:t>Dönem başı bakiyesi, 1 Ocak 2023</w:t>
            </w:r>
          </w:p>
        </w:tc>
        <w:tc>
          <w:tcPr>
            <w:tcW w:w="1059" w:type="dxa"/>
            <w:tcBorders>
              <w:top w:val="nil"/>
              <w:left w:val="nil"/>
              <w:bottom w:val="nil"/>
              <w:right w:val="nil"/>
            </w:tcBorders>
            <w:shd w:val="clear" w:color="auto" w:fill="auto"/>
            <w:vAlign w:val="center"/>
            <w:hideMark/>
          </w:tcPr>
          <w:p w14:paraId="479851CB" w14:textId="7889A455" w:rsidR="00412107" w:rsidRPr="00005453" w:rsidRDefault="00412107" w:rsidP="00412107">
            <w:pPr>
              <w:jc w:val="right"/>
              <w:rPr>
                <w:sz w:val="16"/>
                <w:szCs w:val="22"/>
              </w:rPr>
            </w:pPr>
            <w:r w:rsidRPr="00005453">
              <w:rPr>
                <w:sz w:val="16"/>
                <w:szCs w:val="22"/>
              </w:rPr>
              <w:t>54,096</w:t>
            </w:r>
          </w:p>
        </w:tc>
        <w:tc>
          <w:tcPr>
            <w:tcW w:w="1705" w:type="dxa"/>
            <w:tcBorders>
              <w:top w:val="nil"/>
              <w:left w:val="nil"/>
              <w:bottom w:val="nil"/>
              <w:right w:val="nil"/>
            </w:tcBorders>
            <w:shd w:val="clear" w:color="auto" w:fill="auto"/>
            <w:vAlign w:val="center"/>
            <w:hideMark/>
          </w:tcPr>
          <w:p w14:paraId="3986B5E2" w14:textId="60366B7C" w:rsidR="00412107" w:rsidRPr="00005453" w:rsidRDefault="00412107" w:rsidP="00412107">
            <w:pPr>
              <w:jc w:val="right"/>
              <w:rPr>
                <w:sz w:val="16"/>
                <w:szCs w:val="22"/>
              </w:rPr>
            </w:pPr>
            <w:r w:rsidRPr="00005453">
              <w:rPr>
                <w:sz w:val="16"/>
                <w:szCs w:val="22"/>
              </w:rPr>
              <w:t>356,178</w:t>
            </w:r>
          </w:p>
        </w:tc>
        <w:tc>
          <w:tcPr>
            <w:tcW w:w="846" w:type="dxa"/>
            <w:tcBorders>
              <w:top w:val="nil"/>
              <w:left w:val="nil"/>
              <w:bottom w:val="nil"/>
              <w:right w:val="nil"/>
            </w:tcBorders>
            <w:shd w:val="clear" w:color="auto" w:fill="auto"/>
            <w:vAlign w:val="center"/>
            <w:hideMark/>
          </w:tcPr>
          <w:p w14:paraId="7FFC7078" w14:textId="2FBD4B93" w:rsidR="00412107" w:rsidRPr="00005453" w:rsidRDefault="00412107" w:rsidP="00412107">
            <w:pPr>
              <w:jc w:val="right"/>
              <w:rPr>
                <w:sz w:val="16"/>
                <w:szCs w:val="22"/>
              </w:rPr>
            </w:pPr>
            <w:r w:rsidRPr="00005453">
              <w:rPr>
                <w:sz w:val="16"/>
                <w:szCs w:val="22"/>
              </w:rPr>
              <w:t>95,939</w:t>
            </w:r>
          </w:p>
        </w:tc>
        <w:tc>
          <w:tcPr>
            <w:tcW w:w="1268" w:type="dxa"/>
            <w:tcBorders>
              <w:top w:val="nil"/>
              <w:left w:val="nil"/>
              <w:bottom w:val="nil"/>
              <w:right w:val="nil"/>
            </w:tcBorders>
            <w:shd w:val="clear" w:color="auto" w:fill="auto"/>
            <w:vAlign w:val="center"/>
            <w:hideMark/>
          </w:tcPr>
          <w:p w14:paraId="1273B5D7" w14:textId="51F940CB" w:rsidR="00412107" w:rsidRPr="00005453" w:rsidRDefault="00412107" w:rsidP="00412107">
            <w:pPr>
              <w:jc w:val="right"/>
              <w:rPr>
                <w:sz w:val="16"/>
                <w:szCs w:val="22"/>
              </w:rPr>
            </w:pPr>
            <w:r w:rsidRPr="00005453">
              <w:rPr>
                <w:sz w:val="16"/>
                <w:szCs w:val="22"/>
              </w:rPr>
              <w:t>294,122</w:t>
            </w:r>
          </w:p>
        </w:tc>
        <w:tc>
          <w:tcPr>
            <w:tcW w:w="1288" w:type="dxa"/>
            <w:tcBorders>
              <w:top w:val="nil"/>
              <w:left w:val="nil"/>
              <w:bottom w:val="nil"/>
              <w:right w:val="nil"/>
            </w:tcBorders>
            <w:shd w:val="clear" w:color="auto" w:fill="auto"/>
            <w:vAlign w:val="center"/>
            <w:hideMark/>
          </w:tcPr>
          <w:p w14:paraId="7C13B186" w14:textId="0948A36F" w:rsidR="00412107" w:rsidRPr="00005453" w:rsidRDefault="00412107" w:rsidP="00412107">
            <w:pPr>
              <w:jc w:val="right"/>
              <w:rPr>
                <w:sz w:val="16"/>
                <w:szCs w:val="22"/>
              </w:rPr>
            </w:pPr>
            <w:r w:rsidRPr="00005453">
              <w:rPr>
                <w:sz w:val="16"/>
                <w:szCs w:val="22"/>
              </w:rPr>
              <w:t>800,335</w:t>
            </w:r>
          </w:p>
        </w:tc>
      </w:tr>
      <w:tr w:rsidR="00412107" w:rsidRPr="00005453" w14:paraId="62CB24A8" w14:textId="77777777" w:rsidTr="00614CD2">
        <w:trPr>
          <w:trHeight w:val="242"/>
        </w:trPr>
        <w:tc>
          <w:tcPr>
            <w:tcW w:w="3048" w:type="dxa"/>
            <w:tcBorders>
              <w:top w:val="nil"/>
              <w:left w:val="nil"/>
              <w:bottom w:val="nil"/>
              <w:right w:val="nil"/>
            </w:tcBorders>
            <w:shd w:val="clear" w:color="auto" w:fill="auto"/>
            <w:noWrap/>
            <w:vAlign w:val="center"/>
            <w:hideMark/>
          </w:tcPr>
          <w:p w14:paraId="62035BA5" w14:textId="66747C34" w:rsidR="00412107" w:rsidRPr="00005453" w:rsidRDefault="00412107" w:rsidP="00412107">
            <w:pPr>
              <w:rPr>
                <w:sz w:val="16"/>
                <w:szCs w:val="16"/>
                <w:lang w:eastAsia="tr-TR"/>
              </w:rPr>
            </w:pPr>
            <w:r w:rsidRPr="00005453">
              <w:rPr>
                <w:sz w:val="16"/>
                <w:szCs w:val="16"/>
                <w:lang w:eastAsia="tr-TR"/>
              </w:rPr>
              <w:t>Amortisman bedeli</w:t>
            </w:r>
          </w:p>
        </w:tc>
        <w:tc>
          <w:tcPr>
            <w:tcW w:w="1059" w:type="dxa"/>
            <w:tcBorders>
              <w:top w:val="nil"/>
              <w:left w:val="nil"/>
              <w:bottom w:val="nil"/>
              <w:right w:val="nil"/>
            </w:tcBorders>
            <w:shd w:val="clear" w:color="auto" w:fill="auto"/>
            <w:vAlign w:val="center"/>
            <w:hideMark/>
          </w:tcPr>
          <w:p w14:paraId="35DFAFE5" w14:textId="54945FE1" w:rsidR="00412107" w:rsidRPr="00005453" w:rsidRDefault="00412107" w:rsidP="00412107">
            <w:pPr>
              <w:jc w:val="right"/>
              <w:rPr>
                <w:sz w:val="16"/>
                <w:szCs w:val="22"/>
              </w:rPr>
            </w:pPr>
            <w:r w:rsidRPr="00005453">
              <w:rPr>
                <w:sz w:val="16"/>
                <w:szCs w:val="22"/>
              </w:rPr>
              <w:t>8,525</w:t>
            </w:r>
          </w:p>
        </w:tc>
        <w:tc>
          <w:tcPr>
            <w:tcW w:w="1705" w:type="dxa"/>
            <w:tcBorders>
              <w:top w:val="nil"/>
              <w:left w:val="nil"/>
              <w:bottom w:val="nil"/>
              <w:right w:val="nil"/>
            </w:tcBorders>
            <w:shd w:val="clear" w:color="auto" w:fill="auto"/>
            <w:vAlign w:val="center"/>
            <w:hideMark/>
          </w:tcPr>
          <w:p w14:paraId="616BADB2" w14:textId="3A4ECB41" w:rsidR="00412107" w:rsidRPr="00005453" w:rsidRDefault="00412107" w:rsidP="00412107">
            <w:pPr>
              <w:jc w:val="right"/>
              <w:rPr>
                <w:sz w:val="16"/>
                <w:szCs w:val="22"/>
              </w:rPr>
            </w:pPr>
            <w:r w:rsidRPr="00005453">
              <w:rPr>
                <w:sz w:val="16"/>
                <w:szCs w:val="22"/>
              </w:rPr>
              <w:t>293,728</w:t>
            </w:r>
          </w:p>
        </w:tc>
        <w:tc>
          <w:tcPr>
            <w:tcW w:w="846" w:type="dxa"/>
            <w:tcBorders>
              <w:top w:val="nil"/>
              <w:left w:val="nil"/>
              <w:bottom w:val="nil"/>
              <w:right w:val="nil"/>
            </w:tcBorders>
            <w:shd w:val="clear" w:color="auto" w:fill="auto"/>
            <w:vAlign w:val="center"/>
            <w:hideMark/>
          </w:tcPr>
          <w:p w14:paraId="7AF366C5" w14:textId="34E6D869" w:rsidR="00412107" w:rsidRPr="00005453" w:rsidRDefault="00412107" w:rsidP="00412107">
            <w:pPr>
              <w:jc w:val="right"/>
              <w:rPr>
                <w:sz w:val="16"/>
                <w:szCs w:val="22"/>
              </w:rPr>
            </w:pPr>
            <w:r w:rsidRPr="00005453">
              <w:rPr>
                <w:sz w:val="16"/>
                <w:szCs w:val="22"/>
              </w:rPr>
              <w:t>92,671</w:t>
            </w:r>
          </w:p>
        </w:tc>
        <w:tc>
          <w:tcPr>
            <w:tcW w:w="1268" w:type="dxa"/>
            <w:tcBorders>
              <w:top w:val="nil"/>
              <w:left w:val="nil"/>
              <w:bottom w:val="nil"/>
              <w:right w:val="nil"/>
            </w:tcBorders>
            <w:shd w:val="clear" w:color="auto" w:fill="auto"/>
            <w:vAlign w:val="center"/>
            <w:hideMark/>
          </w:tcPr>
          <w:p w14:paraId="66BA7CFD" w14:textId="4E5C7165" w:rsidR="00412107" w:rsidRPr="00005453" w:rsidRDefault="00412107" w:rsidP="00412107">
            <w:pPr>
              <w:jc w:val="right"/>
              <w:rPr>
                <w:sz w:val="16"/>
                <w:szCs w:val="22"/>
              </w:rPr>
            </w:pPr>
            <w:r w:rsidRPr="00005453">
              <w:rPr>
                <w:sz w:val="16"/>
                <w:szCs w:val="22"/>
              </w:rPr>
              <w:t>152,400</w:t>
            </w:r>
          </w:p>
        </w:tc>
        <w:tc>
          <w:tcPr>
            <w:tcW w:w="1288" w:type="dxa"/>
            <w:tcBorders>
              <w:top w:val="nil"/>
              <w:left w:val="nil"/>
              <w:bottom w:val="nil"/>
              <w:right w:val="nil"/>
            </w:tcBorders>
            <w:shd w:val="clear" w:color="auto" w:fill="auto"/>
            <w:vAlign w:val="center"/>
            <w:hideMark/>
          </w:tcPr>
          <w:p w14:paraId="1B59E5A1" w14:textId="31E62A5F" w:rsidR="00412107" w:rsidRPr="00005453" w:rsidRDefault="00412107" w:rsidP="00412107">
            <w:pPr>
              <w:jc w:val="right"/>
              <w:rPr>
                <w:sz w:val="16"/>
                <w:szCs w:val="22"/>
              </w:rPr>
            </w:pPr>
            <w:r w:rsidRPr="00005453">
              <w:rPr>
                <w:sz w:val="16"/>
                <w:szCs w:val="22"/>
              </w:rPr>
              <w:t>547,324</w:t>
            </w:r>
          </w:p>
        </w:tc>
      </w:tr>
      <w:tr w:rsidR="00412107" w:rsidRPr="00005453" w14:paraId="09135CED" w14:textId="77777777" w:rsidTr="00614CD2">
        <w:trPr>
          <w:trHeight w:val="242"/>
        </w:trPr>
        <w:tc>
          <w:tcPr>
            <w:tcW w:w="3048" w:type="dxa"/>
            <w:tcBorders>
              <w:top w:val="nil"/>
              <w:left w:val="nil"/>
              <w:bottom w:val="nil"/>
              <w:right w:val="nil"/>
            </w:tcBorders>
            <w:shd w:val="clear" w:color="auto" w:fill="auto"/>
            <w:noWrap/>
            <w:vAlign w:val="center"/>
            <w:hideMark/>
          </w:tcPr>
          <w:p w14:paraId="264A32B3" w14:textId="2816594C" w:rsidR="00412107" w:rsidRPr="00005453" w:rsidRDefault="00412107" w:rsidP="00412107">
            <w:pPr>
              <w:rPr>
                <w:sz w:val="16"/>
                <w:szCs w:val="16"/>
                <w:lang w:eastAsia="tr-TR"/>
              </w:rPr>
            </w:pPr>
            <w:r w:rsidRPr="00005453">
              <w:rPr>
                <w:sz w:val="16"/>
                <w:szCs w:val="16"/>
                <w:lang w:eastAsia="tr-TR"/>
              </w:rPr>
              <w:t>Elden çıkarılanlar</w:t>
            </w:r>
          </w:p>
        </w:tc>
        <w:tc>
          <w:tcPr>
            <w:tcW w:w="1059" w:type="dxa"/>
            <w:tcBorders>
              <w:top w:val="nil"/>
              <w:left w:val="nil"/>
              <w:bottom w:val="nil"/>
              <w:right w:val="nil"/>
            </w:tcBorders>
            <w:shd w:val="clear" w:color="auto" w:fill="auto"/>
            <w:vAlign w:val="center"/>
            <w:hideMark/>
          </w:tcPr>
          <w:p w14:paraId="0787C590" w14:textId="67A3E0BF" w:rsidR="00412107" w:rsidRPr="00005453" w:rsidRDefault="00412107" w:rsidP="00412107">
            <w:pPr>
              <w:jc w:val="right"/>
              <w:rPr>
                <w:sz w:val="16"/>
                <w:szCs w:val="22"/>
              </w:rPr>
            </w:pPr>
            <w:r w:rsidRPr="00005453">
              <w:rPr>
                <w:sz w:val="16"/>
                <w:szCs w:val="22"/>
              </w:rPr>
              <w:t>-</w:t>
            </w:r>
          </w:p>
        </w:tc>
        <w:tc>
          <w:tcPr>
            <w:tcW w:w="1705" w:type="dxa"/>
            <w:tcBorders>
              <w:top w:val="nil"/>
              <w:left w:val="nil"/>
              <w:bottom w:val="nil"/>
              <w:right w:val="nil"/>
            </w:tcBorders>
            <w:shd w:val="clear" w:color="auto" w:fill="auto"/>
            <w:vAlign w:val="center"/>
            <w:hideMark/>
          </w:tcPr>
          <w:p w14:paraId="7EB2D231" w14:textId="22575BFF" w:rsidR="00412107" w:rsidRPr="00005453" w:rsidRDefault="00412107" w:rsidP="00412107">
            <w:pPr>
              <w:jc w:val="right"/>
              <w:rPr>
                <w:sz w:val="16"/>
                <w:szCs w:val="22"/>
              </w:rPr>
            </w:pPr>
            <w:r w:rsidRPr="00005453">
              <w:rPr>
                <w:sz w:val="16"/>
                <w:szCs w:val="22"/>
              </w:rPr>
              <w:t>(130,206)</w:t>
            </w:r>
          </w:p>
        </w:tc>
        <w:tc>
          <w:tcPr>
            <w:tcW w:w="846" w:type="dxa"/>
            <w:tcBorders>
              <w:top w:val="nil"/>
              <w:left w:val="nil"/>
              <w:bottom w:val="nil"/>
              <w:right w:val="nil"/>
            </w:tcBorders>
            <w:shd w:val="clear" w:color="auto" w:fill="auto"/>
            <w:vAlign w:val="center"/>
            <w:hideMark/>
          </w:tcPr>
          <w:p w14:paraId="2D369A70" w14:textId="67228769" w:rsidR="00412107" w:rsidRPr="00005453" w:rsidRDefault="00412107" w:rsidP="00412107">
            <w:pPr>
              <w:jc w:val="right"/>
              <w:rPr>
                <w:sz w:val="16"/>
                <w:szCs w:val="22"/>
              </w:rPr>
            </w:pPr>
            <w:r w:rsidRPr="00005453">
              <w:rPr>
                <w:sz w:val="16"/>
                <w:szCs w:val="22"/>
              </w:rPr>
              <w:t>(32,308)</w:t>
            </w:r>
          </w:p>
        </w:tc>
        <w:tc>
          <w:tcPr>
            <w:tcW w:w="1268" w:type="dxa"/>
            <w:tcBorders>
              <w:top w:val="nil"/>
              <w:left w:val="nil"/>
              <w:bottom w:val="nil"/>
              <w:right w:val="nil"/>
            </w:tcBorders>
            <w:shd w:val="clear" w:color="auto" w:fill="auto"/>
            <w:vAlign w:val="center"/>
            <w:hideMark/>
          </w:tcPr>
          <w:p w14:paraId="22CF7F40" w14:textId="64C16679" w:rsidR="00412107" w:rsidRPr="00005453" w:rsidRDefault="00412107" w:rsidP="00412107">
            <w:pPr>
              <w:jc w:val="right"/>
              <w:rPr>
                <w:sz w:val="16"/>
                <w:szCs w:val="22"/>
              </w:rPr>
            </w:pPr>
            <w:r w:rsidRPr="00005453">
              <w:rPr>
                <w:sz w:val="16"/>
                <w:szCs w:val="22"/>
              </w:rPr>
              <w:t>(25,256)</w:t>
            </w:r>
          </w:p>
        </w:tc>
        <w:tc>
          <w:tcPr>
            <w:tcW w:w="1288" w:type="dxa"/>
            <w:tcBorders>
              <w:top w:val="nil"/>
              <w:left w:val="nil"/>
              <w:bottom w:val="nil"/>
              <w:right w:val="nil"/>
            </w:tcBorders>
            <w:shd w:val="clear" w:color="auto" w:fill="auto"/>
            <w:vAlign w:val="center"/>
            <w:hideMark/>
          </w:tcPr>
          <w:p w14:paraId="0D517572" w14:textId="1119F7A4" w:rsidR="00412107" w:rsidRPr="00005453" w:rsidRDefault="00412107" w:rsidP="00412107">
            <w:pPr>
              <w:jc w:val="right"/>
              <w:rPr>
                <w:sz w:val="16"/>
                <w:szCs w:val="22"/>
              </w:rPr>
            </w:pPr>
            <w:r w:rsidRPr="00005453">
              <w:rPr>
                <w:sz w:val="16"/>
                <w:szCs w:val="22"/>
              </w:rPr>
              <w:t>(187,770)</w:t>
            </w:r>
          </w:p>
        </w:tc>
      </w:tr>
      <w:tr w:rsidR="00412107" w:rsidRPr="00005453" w14:paraId="0A2A07B6" w14:textId="77777777" w:rsidTr="00614CD2">
        <w:trPr>
          <w:trHeight w:val="242"/>
        </w:trPr>
        <w:tc>
          <w:tcPr>
            <w:tcW w:w="3048" w:type="dxa"/>
            <w:tcBorders>
              <w:top w:val="nil"/>
              <w:left w:val="nil"/>
              <w:bottom w:val="nil"/>
              <w:right w:val="nil"/>
            </w:tcBorders>
            <w:shd w:val="clear" w:color="auto" w:fill="auto"/>
            <w:noWrap/>
            <w:vAlign w:val="center"/>
          </w:tcPr>
          <w:p w14:paraId="5E3DBB1A" w14:textId="0A557325" w:rsidR="00412107" w:rsidRPr="00005453" w:rsidRDefault="00412107" w:rsidP="00412107">
            <w:pPr>
              <w:rPr>
                <w:sz w:val="16"/>
                <w:szCs w:val="16"/>
                <w:lang w:eastAsia="tr-TR"/>
              </w:rPr>
            </w:pPr>
            <w:r w:rsidRPr="00005453">
              <w:rPr>
                <w:sz w:val="16"/>
                <w:szCs w:val="16"/>
                <w:lang w:eastAsia="tr-TR"/>
              </w:rPr>
              <w:t>Kur farkları</w:t>
            </w:r>
          </w:p>
        </w:tc>
        <w:tc>
          <w:tcPr>
            <w:tcW w:w="1059" w:type="dxa"/>
            <w:tcBorders>
              <w:top w:val="nil"/>
              <w:left w:val="nil"/>
              <w:bottom w:val="nil"/>
              <w:right w:val="nil"/>
            </w:tcBorders>
            <w:shd w:val="clear" w:color="auto" w:fill="auto"/>
            <w:vAlign w:val="center"/>
          </w:tcPr>
          <w:p w14:paraId="013FBAA7" w14:textId="62D8D9A2" w:rsidR="00412107" w:rsidRPr="00005453" w:rsidRDefault="00412107" w:rsidP="00412107">
            <w:pPr>
              <w:jc w:val="right"/>
              <w:rPr>
                <w:sz w:val="16"/>
                <w:szCs w:val="22"/>
              </w:rPr>
            </w:pPr>
            <w:r w:rsidRPr="00005453">
              <w:rPr>
                <w:sz w:val="16"/>
                <w:szCs w:val="22"/>
              </w:rPr>
              <w:t>-</w:t>
            </w:r>
          </w:p>
        </w:tc>
        <w:tc>
          <w:tcPr>
            <w:tcW w:w="1705" w:type="dxa"/>
            <w:tcBorders>
              <w:top w:val="nil"/>
              <w:left w:val="nil"/>
              <w:bottom w:val="nil"/>
              <w:right w:val="nil"/>
            </w:tcBorders>
            <w:shd w:val="clear" w:color="auto" w:fill="auto"/>
            <w:vAlign w:val="center"/>
          </w:tcPr>
          <w:p w14:paraId="04E842DB" w14:textId="1A2B2750" w:rsidR="00412107" w:rsidRPr="00005453" w:rsidRDefault="00412107" w:rsidP="00412107">
            <w:pPr>
              <w:jc w:val="right"/>
              <w:rPr>
                <w:sz w:val="16"/>
                <w:szCs w:val="22"/>
              </w:rPr>
            </w:pPr>
            <w:r w:rsidRPr="00005453">
              <w:rPr>
                <w:sz w:val="16"/>
                <w:szCs w:val="22"/>
              </w:rPr>
              <w:t>2,795</w:t>
            </w:r>
          </w:p>
        </w:tc>
        <w:tc>
          <w:tcPr>
            <w:tcW w:w="846" w:type="dxa"/>
            <w:tcBorders>
              <w:top w:val="nil"/>
              <w:left w:val="nil"/>
              <w:bottom w:val="nil"/>
              <w:right w:val="nil"/>
            </w:tcBorders>
            <w:shd w:val="clear" w:color="auto" w:fill="auto"/>
            <w:vAlign w:val="center"/>
          </w:tcPr>
          <w:p w14:paraId="5D598926" w14:textId="22249DEC" w:rsidR="00412107" w:rsidRPr="00005453" w:rsidRDefault="00412107" w:rsidP="00412107">
            <w:pPr>
              <w:jc w:val="right"/>
              <w:rPr>
                <w:sz w:val="16"/>
                <w:szCs w:val="22"/>
              </w:rPr>
            </w:pPr>
            <w:r w:rsidRPr="00005453">
              <w:rPr>
                <w:sz w:val="16"/>
                <w:szCs w:val="22"/>
              </w:rPr>
              <w:t>546</w:t>
            </w:r>
          </w:p>
        </w:tc>
        <w:tc>
          <w:tcPr>
            <w:tcW w:w="1268" w:type="dxa"/>
            <w:tcBorders>
              <w:top w:val="nil"/>
              <w:left w:val="nil"/>
              <w:bottom w:val="nil"/>
              <w:right w:val="nil"/>
            </w:tcBorders>
            <w:shd w:val="clear" w:color="auto" w:fill="auto"/>
            <w:vAlign w:val="center"/>
          </w:tcPr>
          <w:p w14:paraId="4EEF67FB" w14:textId="19ECC1F2" w:rsidR="00412107" w:rsidRPr="00005453" w:rsidRDefault="00412107" w:rsidP="00412107">
            <w:pPr>
              <w:jc w:val="right"/>
              <w:rPr>
                <w:sz w:val="16"/>
                <w:szCs w:val="22"/>
              </w:rPr>
            </w:pPr>
            <w:r w:rsidRPr="00005453">
              <w:rPr>
                <w:sz w:val="16"/>
                <w:szCs w:val="22"/>
              </w:rPr>
              <w:t>1,076</w:t>
            </w:r>
          </w:p>
        </w:tc>
        <w:tc>
          <w:tcPr>
            <w:tcW w:w="1288" w:type="dxa"/>
            <w:tcBorders>
              <w:top w:val="nil"/>
              <w:left w:val="nil"/>
              <w:bottom w:val="nil"/>
              <w:right w:val="nil"/>
            </w:tcBorders>
            <w:shd w:val="clear" w:color="auto" w:fill="auto"/>
            <w:vAlign w:val="center"/>
          </w:tcPr>
          <w:p w14:paraId="5174D55C" w14:textId="64941623" w:rsidR="00412107" w:rsidRPr="00005453" w:rsidRDefault="00412107" w:rsidP="00412107">
            <w:pPr>
              <w:jc w:val="right"/>
              <w:rPr>
                <w:sz w:val="16"/>
                <w:szCs w:val="22"/>
              </w:rPr>
            </w:pPr>
            <w:r w:rsidRPr="00005453">
              <w:rPr>
                <w:sz w:val="16"/>
                <w:szCs w:val="22"/>
              </w:rPr>
              <w:t>4,417</w:t>
            </w:r>
          </w:p>
        </w:tc>
      </w:tr>
      <w:tr w:rsidR="00412107" w:rsidRPr="00005453" w14:paraId="6A297556" w14:textId="77777777" w:rsidTr="00614CD2">
        <w:trPr>
          <w:trHeight w:val="242"/>
        </w:trPr>
        <w:tc>
          <w:tcPr>
            <w:tcW w:w="3048" w:type="dxa"/>
            <w:tcBorders>
              <w:top w:val="nil"/>
              <w:left w:val="nil"/>
              <w:bottom w:val="nil"/>
              <w:right w:val="nil"/>
            </w:tcBorders>
            <w:shd w:val="clear" w:color="auto" w:fill="auto"/>
            <w:noWrap/>
            <w:vAlign w:val="center"/>
            <w:hideMark/>
          </w:tcPr>
          <w:p w14:paraId="46E0A0A7" w14:textId="237425B9" w:rsidR="00412107" w:rsidRPr="00005453" w:rsidRDefault="00412107" w:rsidP="00412107">
            <w:pPr>
              <w:rPr>
                <w:sz w:val="16"/>
                <w:szCs w:val="16"/>
                <w:lang w:eastAsia="tr-TR"/>
              </w:rPr>
            </w:pPr>
            <w:r w:rsidRPr="00005453">
              <w:rPr>
                <w:sz w:val="16"/>
                <w:szCs w:val="16"/>
                <w:lang w:eastAsia="tr-TR"/>
              </w:rPr>
              <w:t>Transferler</w:t>
            </w:r>
          </w:p>
        </w:tc>
        <w:tc>
          <w:tcPr>
            <w:tcW w:w="1059" w:type="dxa"/>
            <w:tcBorders>
              <w:top w:val="nil"/>
              <w:left w:val="nil"/>
              <w:bottom w:val="nil"/>
              <w:right w:val="nil"/>
            </w:tcBorders>
            <w:shd w:val="clear" w:color="auto" w:fill="auto"/>
            <w:vAlign w:val="center"/>
            <w:hideMark/>
          </w:tcPr>
          <w:p w14:paraId="327FF51E" w14:textId="593ABB10" w:rsidR="00412107" w:rsidRPr="00005453" w:rsidRDefault="00412107" w:rsidP="00412107">
            <w:pPr>
              <w:jc w:val="right"/>
              <w:rPr>
                <w:sz w:val="16"/>
                <w:szCs w:val="22"/>
              </w:rPr>
            </w:pPr>
            <w:r w:rsidRPr="00005453">
              <w:rPr>
                <w:sz w:val="16"/>
                <w:szCs w:val="22"/>
              </w:rPr>
              <w:t>1,436</w:t>
            </w:r>
          </w:p>
        </w:tc>
        <w:tc>
          <w:tcPr>
            <w:tcW w:w="1705" w:type="dxa"/>
            <w:tcBorders>
              <w:top w:val="nil"/>
              <w:left w:val="nil"/>
              <w:bottom w:val="nil"/>
              <w:right w:val="nil"/>
            </w:tcBorders>
            <w:shd w:val="clear" w:color="auto" w:fill="auto"/>
            <w:vAlign w:val="center"/>
            <w:hideMark/>
          </w:tcPr>
          <w:p w14:paraId="71EB608E" w14:textId="267CE894" w:rsidR="00412107" w:rsidRPr="00005453" w:rsidRDefault="00412107" w:rsidP="00412107">
            <w:pPr>
              <w:jc w:val="right"/>
              <w:rPr>
                <w:sz w:val="16"/>
                <w:szCs w:val="22"/>
              </w:rPr>
            </w:pPr>
            <w:r w:rsidRPr="00005453">
              <w:rPr>
                <w:sz w:val="16"/>
                <w:szCs w:val="22"/>
              </w:rPr>
              <w:t>-</w:t>
            </w:r>
          </w:p>
        </w:tc>
        <w:tc>
          <w:tcPr>
            <w:tcW w:w="846" w:type="dxa"/>
            <w:tcBorders>
              <w:top w:val="nil"/>
              <w:left w:val="nil"/>
              <w:bottom w:val="nil"/>
              <w:right w:val="nil"/>
            </w:tcBorders>
            <w:shd w:val="clear" w:color="auto" w:fill="auto"/>
            <w:vAlign w:val="center"/>
            <w:hideMark/>
          </w:tcPr>
          <w:p w14:paraId="6DE40D90" w14:textId="2F141812" w:rsidR="00412107" w:rsidRPr="00005453" w:rsidRDefault="00412107" w:rsidP="00412107">
            <w:pPr>
              <w:jc w:val="right"/>
              <w:rPr>
                <w:sz w:val="16"/>
                <w:szCs w:val="22"/>
              </w:rPr>
            </w:pPr>
            <w:r w:rsidRPr="00005453">
              <w:rPr>
                <w:sz w:val="16"/>
                <w:szCs w:val="22"/>
              </w:rPr>
              <w:t>-</w:t>
            </w:r>
          </w:p>
        </w:tc>
        <w:tc>
          <w:tcPr>
            <w:tcW w:w="1268" w:type="dxa"/>
            <w:tcBorders>
              <w:top w:val="nil"/>
              <w:left w:val="nil"/>
              <w:bottom w:val="nil"/>
              <w:right w:val="nil"/>
            </w:tcBorders>
            <w:shd w:val="clear" w:color="auto" w:fill="auto"/>
            <w:vAlign w:val="center"/>
            <w:hideMark/>
          </w:tcPr>
          <w:p w14:paraId="60E92F64" w14:textId="720B1A4A" w:rsidR="00412107" w:rsidRPr="00005453" w:rsidRDefault="00412107" w:rsidP="00412107">
            <w:pPr>
              <w:jc w:val="right"/>
              <w:rPr>
                <w:sz w:val="16"/>
                <w:szCs w:val="22"/>
              </w:rPr>
            </w:pPr>
            <w:r w:rsidRPr="00005453">
              <w:rPr>
                <w:sz w:val="16"/>
                <w:szCs w:val="22"/>
              </w:rPr>
              <w:t>-</w:t>
            </w:r>
          </w:p>
        </w:tc>
        <w:tc>
          <w:tcPr>
            <w:tcW w:w="1288" w:type="dxa"/>
            <w:tcBorders>
              <w:top w:val="nil"/>
              <w:left w:val="nil"/>
              <w:bottom w:val="nil"/>
              <w:right w:val="nil"/>
            </w:tcBorders>
            <w:shd w:val="clear" w:color="auto" w:fill="auto"/>
            <w:vAlign w:val="center"/>
            <w:hideMark/>
          </w:tcPr>
          <w:p w14:paraId="6CCC06B0" w14:textId="25EDC7BA" w:rsidR="00412107" w:rsidRPr="00005453" w:rsidRDefault="00412107" w:rsidP="00412107">
            <w:pPr>
              <w:jc w:val="right"/>
              <w:rPr>
                <w:sz w:val="16"/>
                <w:szCs w:val="22"/>
              </w:rPr>
            </w:pPr>
            <w:r w:rsidRPr="00005453">
              <w:rPr>
                <w:sz w:val="16"/>
                <w:szCs w:val="22"/>
              </w:rPr>
              <w:t>1,436</w:t>
            </w:r>
          </w:p>
        </w:tc>
      </w:tr>
      <w:tr w:rsidR="00412107" w:rsidRPr="00005453" w14:paraId="2AF15CD0" w14:textId="77777777" w:rsidTr="00614CD2">
        <w:trPr>
          <w:trHeight w:val="230"/>
        </w:trPr>
        <w:tc>
          <w:tcPr>
            <w:tcW w:w="3048" w:type="dxa"/>
            <w:tcBorders>
              <w:top w:val="nil"/>
              <w:left w:val="nil"/>
              <w:bottom w:val="nil"/>
              <w:right w:val="nil"/>
            </w:tcBorders>
            <w:shd w:val="clear" w:color="auto" w:fill="auto"/>
            <w:noWrap/>
            <w:vAlign w:val="center"/>
            <w:hideMark/>
          </w:tcPr>
          <w:p w14:paraId="5387578E" w14:textId="121970E3" w:rsidR="00412107" w:rsidRPr="00005453" w:rsidRDefault="00412107" w:rsidP="00412107">
            <w:pPr>
              <w:rPr>
                <w:sz w:val="16"/>
                <w:szCs w:val="16"/>
                <w:lang w:eastAsia="tr-TR"/>
              </w:rPr>
            </w:pPr>
            <w:r w:rsidRPr="00005453">
              <w:rPr>
                <w:sz w:val="16"/>
                <w:szCs w:val="16"/>
                <w:lang w:eastAsia="tr-TR"/>
              </w:rPr>
              <w:t>Dönem sonu bakiyesi, 31 Aralık 2023</w:t>
            </w:r>
          </w:p>
        </w:tc>
        <w:tc>
          <w:tcPr>
            <w:tcW w:w="1059" w:type="dxa"/>
            <w:tcBorders>
              <w:top w:val="nil"/>
              <w:left w:val="nil"/>
              <w:bottom w:val="nil"/>
              <w:right w:val="nil"/>
            </w:tcBorders>
            <w:shd w:val="clear" w:color="auto" w:fill="auto"/>
            <w:vAlign w:val="center"/>
            <w:hideMark/>
          </w:tcPr>
          <w:p w14:paraId="0A36D155" w14:textId="505BE8EE" w:rsidR="00412107" w:rsidRPr="00005453" w:rsidRDefault="00412107" w:rsidP="00412107">
            <w:pPr>
              <w:jc w:val="right"/>
              <w:rPr>
                <w:sz w:val="16"/>
                <w:szCs w:val="22"/>
              </w:rPr>
            </w:pPr>
            <w:r w:rsidRPr="00005453">
              <w:rPr>
                <w:sz w:val="16"/>
                <w:szCs w:val="22"/>
              </w:rPr>
              <w:t>64,057</w:t>
            </w:r>
          </w:p>
        </w:tc>
        <w:tc>
          <w:tcPr>
            <w:tcW w:w="1705" w:type="dxa"/>
            <w:tcBorders>
              <w:top w:val="nil"/>
              <w:left w:val="nil"/>
              <w:bottom w:val="nil"/>
              <w:right w:val="nil"/>
            </w:tcBorders>
            <w:shd w:val="clear" w:color="auto" w:fill="auto"/>
            <w:vAlign w:val="center"/>
            <w:hideMark/>
          </w:tcPr>
          <w:p w14:paraId="74096F2F" w14:textId="39291E80" w:rsidR="00412107" w:rsidRPr="00005453" w:rsidRDefault="00412107" w:rsidP="00412107">
            <w:pPr>
              <w:jc w:val="right"/>
              <w:rPr>
                <w:sz w:val="16"/>
                <w:szCs w:val="22"/>
              </w:rPr>
            </w:pPr>
            <w:r w:rsidRPr="00005453">
              <w:rPr>
                <w:sz w:val="16"/>
                <w:szCs w:val="22"/>
              </w:rPr>
              <w:t>522,495</w:t>
            </w:r>
          </w:p>
        </w:tc>
        <w:tc>
          <w:tcPr>
            <w:tcW w:w="846" w:type="dxa"/>
            <w:tcBorders>
              <w:top w:val="nil"/>
              <w:left w:val="nil"/>
              <w:bottom w:val="nil"/>
              <w:right w:val="nil"/>
            </w:tcBorders>
            <w:shd w:val="clear" w:color="auto" w:fill="auto"/>
            <w:vAlign w:val="center"/>
            <w:hideMark/>
          </w:tcPr>
          <w:p w14:paraId="28FB5EF4" w14:textId="5389A63A" w:rsidR="00412107" w:rsidRPr="00005453" w:rsidRDefault="00412107" w:rsidP="00412107">
            <w:pPr>
              <w:jc w:val="right"/>
              <w:rPr>
                <w:sz w:val="16"/>
                <w:szCs w:val="22"/>
              </w:rPr>
            </w:pPr>
            <w:r w:rsidRPr="00005453">
              <w:rPr>
                <w:sz w:val="16"/>
                <w:szCs w:val="22"/>
              </w:rPr>
              <w:t>156,848</w:t>
            </w:r>
          </w:p>
        </w:tc>
        <w:tc>
          <w:tcPr>
            <w:tcW w:w="1268" w:type="dxa"/>
            <w:tcBorders>
              <w:top w:val="nil"/>
              <w:left w:val="nil"/>
              <w:bottom w:val="nil"/>
              <w:right w:val="nil"/>
            </w:tcBorders>
            <w:shd w:val="clear" w:color="auto" w:fill="auto"/>
            <w:vAlign w:val="center"/>
            <w:hideMark/>
          </w:tcPr>
          <w:p w14:paraId="4E767A4D" w14:textId="375F1A74" w:rsidR="00412107" w:rsidRPr="00005453" w:rsidRDefault="00412107" w:rsidP="00412107">
            <w:pPr>
              <w:jc w:val="right"/>
              <w:rPr>
                <w:sz w:val="16"/>
                <w:szCs w:val="22"/>
              </w:rPr>
            </w:pPr>
            <w:r w:rsidRPr="00005453">
              <w:rPr>
                <w:sz w:val="16"/>
                <w:szCs w:val="22"/>
              </w:rPr>
              <w:t>422,342</w:t>
            </w:r>
          </w:p>
        </w:tc>
        <w:tc>
          <w:tcPr>
            <w:tcW w:w="1288" w:type="dxa"/>
            <w:tcBorders>
              <w:top w:val="nil"/>
              <w:left w:val="nil"/>
              <w:bottom w:val="nil"/>
              <w:right w:val="nil"/>
            </w:tcBorders>
            <w:shd w:val="clear" w:color="auto" w:fill="auto"/>
            <w:vAlign w:val="center"/>
            <w:hideMark/>
          </w:tcPr>
          <w:p w14:paraId="323EB6A3" w14:textId="04F328B5" w:rsidR="00412107" w:rsidRPr="00005453" w:rsidRDefault="00412107" w:rsidP="00412107">
            <w:pPr>
              <w:jc w:val="right"/>
              <w:rPr>
                <w:sz w:val="16"/>
                <w:szCs w:val="22"/>
              </w:rPr>
            </w:pPr>
            <w:r w:rsidRPr="00005453">
              <w:rPr>
                <w:sz w:val="16"/>
                <w:szCs w:val="22"/>
              </w:rPr>
              <w:t>1,165,742</w:t>
            </w:r>
          </w:p>
        </w:tc>
      </w:tr>
      <w:tr w:rsidR="00412107" w:rsidRPr="00005453" w14:paraId="62307C03" w14:textId="77777777" w:rsidTr="00F26D69">
        <w:trPr>
          <w:trHeight w:val="57"/>
        </w:trPr>
        <w:tc>
          <w:tcPr>
            <w:tcW w:w="3048" w:type="dxa"/>
            <w:tcBorders>
              <w:top w:val="nil"/>
              <w:left w:val="nil"/>
              <w:bottom w:val="nil"/>
              <w:right w:val="nil"/>
            </w:tcBorders>
            <w:shd w:val="clear" w:color="auto" w:fill="auto"/>
            <w:noWrap/>
            <w:vAlign w:val="center"/>
            <w:hideMark/>
          </w:tcPr>
          <w:p w14:paraId="088269FD" w14:textId="77777777" w:rsidR="00412107" w:rsidRPr="00005453" w:rsidRDefault="00412107" w:rsidP="00412107">
            <w:pPr>
              <w:jc w:val="right"/>
              <w:rPr>
                <w:sz w:val="10"/>
                <w:szCs w:val="10"/>
                <w:lang w:eastAsia="tr-TR"/>
              </w:rPr>
            </w:pPr>
          </w:p>
        </w:tc>
        <w:tc>
          <w:tcPr>
            <w:tcW w:w="1059" w:type="dxa"/>
            <w:tcBorders>
              <w:top w:val="nil"/>
              <w:left w:val="nil"/>
              <w:bottom w:val="nil"/>
              <w:right w:val="nil"/>
            </w:tcBorders>
            <w:shd w:val="clear" w:color="auto" w:fill="auto"/>
            <w:vAlign w:val="center"/>
            <w:hideMark/>
          </w:tcPr>
          <w:p w14:paraId="0E28BAE5" w14:textId="77777777" w:rsidR="00412107" w:rsidRPr="00005453" w:rsidRDefault="00412107" w:rsidP="00412107">
            <w:pPr>
              <w:jc w:val="right"/>
              <w:rPr>
                <w:sz w:val="10"/>
                <w:szCs w:val="10"/>
              </w:rPr>
            </w:pPr>
          </w:p>
        </w:tc>
        <w:tc>
          <w:tcPr>
            <w:tcW w:w="1705" w:type="dxa"/>
            <w:tcBorders>
              <w:top w:val="nil"/>
              <w:left w:val="nil"/>
              <w:bottom w:val="nil"/>
              <w:right w:val="nil"/>
            </w:tcBorders>
            <w:shd w:val="clear" w:color="auto" w:fill="auto"/>
            <w:vAlign w:val="center"/>
            <w:hideMark/>
          </w:tcPr>
          <w:p w14:paraId="4B96AE92" w14:textId="77777777" w:rsidR="00412107" w:rsidRPr="00005453" w:rsidRDefault="00412107" w:rsidP="00412107">
            <w:pPr>
              <w:jc w:val="right"/>
              <w:rPr>
                <w:sz w:val="10"/>
                <w:szCs w:val="10"/>
              </w:rPr>
            </w:pPr>
          </w:p>
        </w:tc>
        <w:tc>
          <w:tcPr>
            <w:tcW w:w="846" w:type="dxa"/>
            <w:tcBorders>
              <w:top w:val="nil"/>
              <w:left w:val="nil"/>
              <w:bottom w:val="nil"/>
              <w:right w:val="nil"/>
            </w:tcBorders>
            <w:shd w:val="clear" w:color="auto" w:fill="auto"/>
            <w:vAlign w:val="center"/>
            <w:hideMark/>
          </w:tcPr>
          <w:p w14:paraId="6EB3E689" w14:textId="77777777" w:rsidR="00412107" w:rsidRPr="00005453" w:rsidRDefault="00412107" w:rsidP="00412107">
            <w:pPr>
              <w:jc w:val="right"/>
              <w:rPr>
                <w:sz w:val="10"/>
                <w:szCs w:val="10"/>
              </w:rPr>
            </w:pPr>
          </w:p>
        </w:tc>
        <w:tc>
          <w:tcPr>
            <w:tcW w:w="1268" w:type="dxa"/>
            <w:tcBorders>
              <w:top w:val="nil"/>
              <w:left w:val="nil"/>
              <w:bottom w:val="nil"/>
              <w:right w:val="nil"/>
            </w:tcBorders>
            <w:shd w:val="clear" w:color="auto" w:fill="auto"/>
            <w:vAlign w:val="center"/>
            <w:hideMark/>
          </w:tcPr>
          <w:p w14:paraId="06A00B43" w14:textId="77777777" w:rsidR="00412107" w:rsidRPr="00005453" w:rsidRDefault="00412107" w:rsidP="00412107">
            <w:pPr>
              <w:jc w:val="right"/>
              <w:rPr>
                <w:sz w:val="10"/>
                <w:szCs w:val="10"/>
              </w:rPr>
            </w:pPr>
          </w:p>
        </w:tc>
        <w:tc>
          <w:tcPr>
            <w:tcW w:w="1288" w:type="dxa"/>
            <w:tcBorders>
              <w:top w:val="nil"/>
              <w:left w:val="nil"/>
              <w:bottom w:val="nil"/>
              <w:right w:val="nil"/>
            </w:tcBorders>
            <w:shd w:val="clear" w:color="auto" w:fill="auto"/>
            <w:vAlign w:val="center"/>
            <w:hideMark/>
          </w:tcPr>
          <w:p w14:paraId="44DCB59F" w14:textId="77777777" w:rsidR="00412107" w:rsidRPr="00005453" w:rsidRDefault="00412107" w:rsidP="00412107">
            <w:pPr>
              <w:jc w:val="right"/>
              <w:rPr>
                <w:sz w:val="10"/>
                <w:szCs w:val="10"/>
              </w:rPr>
            </w:pPr>
          </w:p>
        </w:tc>
      </w:tr>
      <w:tr w:rsidR="00412107" w:rsidRPr="00005453" w14:paraId="4D038F25" w14:textId="77777777" w:rsidTr="00614CD2">
        <w:trPr>
          <w:trHeight w:val="242"/>
        </w:trPr>
        <w:tc>
          <w:tcPr>
            <w:tcW w:w="3048" w:type="dxa"/>
            <w:tcBorders>
              <w:top w:val="nil"/>
              <w:left w:val="nil"/>
              <w:bottom w:val="nil"/>
              <w:right w:val="nil"/>
            </w:tcBorders>
            <w:shd w:val="clear" w:color="auto" w:fill="auto"/>
            <w:noWrap/>
            <w:vAlign w:val="center"/>
            <w:hideMark/>
          </w:tcPr>
          <w:p w14:paraId="79126477" w14:textId="128364B7" w:rsidR="00412107" w:rsidRPr="00005453" w:rsidRDefault="00412107" w:rsidP="00412107">
            <w:pPr>
              <w:rPr>
                <w:b/>
                <w:bCs/>
                <w:sz w:val="16"/>
                <w:szCs w:val="16"/>
                <w:lang w:eastAsia="tr-TR"/>
              </w:rPr>
            </w:pPr>
            <w:r w:rsidRPr="00005453">
              <w:rPr>
                <w:b/>
                <w:bCs/>
                <w:sz w:val="16"/>
                <w:szCs w:val="16"/>
                <w:lang w:eastAsia="tr-TR"/>
              </w:rPr>
              <w:t>Dönem sonu maliyet</w:t>
            </w:r>
          </w:p>
        </w:tc>
        <w:tc>
          <w:tcPr>
            <w:tcW w:w="1059" w:type="dxa"/>
            <w:tcBorders>
              <w:top w:val="nil"/>
              <w:left w:val="nil"/>
              <w:bottom w:val="nil"/>
              <w:right w:val="nil"/>
            </w:tcBorders>
            <w:shd w:val="clear" w:color="auto" w:fill="auto"/>
            <w:vAlign w:val="center"/>
            <w:hideMark/>
          </w:tcPr>
          <w:p w14:paraId="51A52037" w14:textId="22E42600" w:rsidR="00412107" w:rsidRPr="00005453" w:rsidRDefault="00412107" w:rsidP="00412107">
            <w:pPr>
              <w:jc w:val="right"/>
              <w:rPr>
                <w:b/>
                <w:sz w:val="16"/>
                <w:szCs w:val="22"/>
              </w:rPr>
            </w:pPr>
            <w:r w:rsidRPr="00005453">
              <w:rPr>
                <w:b/>
                <w:bCs/>
                <w:sz w:val="16"/>
                <w:szCs w:val="22"/>
              </w:rPr>
              <w:t>1,176,076</w:t>
            </w:r>
          </w:p>
        </w:tc>
        <w:tc>
          <w:tcPr>
            <w:tcW w:w="1705" w:type="dxa"/>
            <w:tcBorders>
              <w:top w:val="nil"/>
              <w:left w:val="nil"/>
              <w:bottom w:val="nil"/>
              <w:right w:val="nil"/>
            </w:tcBorders>
            <w:shd w:val="clear" w:color="auto" w:fill="auto"/>
            <w:vAlign w:val="center"/>
            <w:hideMark/>
          </w:tcPr>
          <w:p w14:paraId="46D1C8E7" w14:textId="05F8B7E3" w:rsidR="00412107" w:rsidRPr="00005453" w:rsidRDefault="00412107" w:rsidP="00412107">
            <w:pPr>
              <w:jc w:val="right"/>
              <w:rPr>
                <w:b/>
                <w:sz w:val="16"/>
                <w:szCs w:val="22"/>
              </w:rPr>
            </w:pPr>
            <w:r w:rsidRPr="00005453">
              <w:rPr>
                <w:b/>
                <w:bCs/>
                <w:sz w:val="16"/>
                <w:szCs w:val="22"/>
              </w:rPr>
              <w:t>1,566,381</w:t>
            </w:r>
          </w:p>
        </w:tc>
        <w:tc>
          <w:tcPr>
            <w:tcW w:w="846" w:type="dxa"/>
            <w:tcBorders>
              <w:top w:val="nil"/>
              <w:left w:val="nil"/>
              <w:bottom w:val="nil"/>
              <w:right w:val="nil"/>
            </w:tcBorders>
            <w:shd w:val="clear" w:color="auto" w:fill="auto"/>
            <w:vAlign w:val="center"/>
            <w:hideMark/>
          </w:tcPr>
          <w:p w14:paraId="79152779" w14:textId="4037F5EF" w:rsidR="00412107" w:rsidRPr="00005453" w:rsidRDefault="00412107" w:rsidP="00412107">
            <w:pPr>
              <w:jc w:val="right"/>
              <w:rPr>
                <w:b/>
                <w:sz w:val="16"/>
                <w:szCs w:val="22"/>
              </w:rPr>
            </w:pPr>
            <w:r w:rsidRPr="00005453">
              <w:rPr>
                <w:b/>
                <w:bCs/>
                <w:sz w:val="16"/>
                <w:szCs w:val="22"/>
              </w:rPr>
              <w:t>718,482</w:t>
            </w:r>
          </w:p>
        </w:tc>
        <w:tc>
          <w:tcPr>
            <w:tcW w:w="1268" w:type="dxa"/>
            <w:tcBorders>
              <w:top w:val="nil"/>
              <w:left w:val="nil"/>
              <w:bottom w:val="nil"/>
              <w:right w:val="nil"/>
            </w:tcBorders>
            <w:shd w:val="clear" w:color="auto" w:fill="auto"/>
            <w:vAlign w:val="center"/>
            <w:hideMark/>
          </w:tcPr>
          <w:p w14:paraId="3B9839D4" w14:textId="3AEEF54B" w:rsidR="00412107" w:rsidRPr="00005453" w:rsidRDefault="00412107" w:rsidP="00412107">
            <w:pPr>
              <w:jc w:val="right"/>
              <w:rPr>
                <w:b/>
                <w:sz w:val="16"/>
                <w:szCs w:val="22"/>
              </w:rPr>
            </w:pPr>
            <w:r w:rsidRPr="00005453">
              <w:rPr>
                <w:b/>
                <w:bCs/>
                <w:sz w:val="16"/>
                <w:szCs w:val="22"/>
              </w:rPr>
              <w:t>1,171,031</w:t>
            </w:r>
          </w:p>
        </w:tc>
        <w:tc>
          <w:tcPr>
            <w:tcW w:w="1288" w:type="dxa"/>
            <w:tcBorders>
              <w:top w:val="nil"/>
              <w:left w:val="nil"/>
              <w:bottom w:val="nil"/>
              <w:right w:val="nil"/>
            </w:tcBorders>
            <w:shd w:val="clear" w:color="auto" w:fill="auto"/>
            <w:vAlign w:val="center"/>
            <w:hideMark/>
          </w:tcPr>
          <w:p w14:paraId="59EF5102" w14:textId="01CB14E4" w:rsidR="00412107" w:rsidRPr="00005453" w:rsidRDefault="00412107" w:rsidP="00412107">
            <w:pPr>
              <w:jc w:val="right"/>
              <w:rPr>
                <w:b/>
                <w:sz w:val="16"/>
                <w:szCs w:val="22"/>
              </w:rPr>
            </w:pPr>
            <w:r w:rsidRPr="00005453">
              <w:rPr>
                <w:b/>
                <w:bCs/>
                <w:sz w:val="16"/>
                <w:szCs w:val="22"/>
              </w:rPr>
              <w:t>4,631,970</w:t>
            </w:r>
          </w:p>
        </w:tc>
      </w:tr>
      <w:tr w:rsidR="00412107" w:rsidRPr="00005453" w14:paraId="7DF47D09" w14:textId="77777777" w:rsidTr="00614CD2">
        <w:trPr>
          <w:trHeight w:val="335"/>
        </w:trPr>
        <w:tc>
          <w:tcPr>
            <w:tcW w:w="3048" w:type="dxa"/>
            <w:tcBorders>
              <w:top w:val="nil"/>
              <w:left w:val="nil"/>
              <w:bottom w:val="nil"/>
              <w:right w:val="nil"/>
            </w:tcBorders>
            <w:shd w:val="clear" w:color="auto" w:fill="auto"/>
            <w:vAlign w:val="center"/>
            <w:hideMark/>
          </w:tcPr>
          <w:p w14:paraId="1C975AFB" w14:textId="23CACBB1" w:rsidR="00412107" w:rsidRPr="00005453" w:rsidRDefault="00412107" w:rsidP="00412107">
            <w:pPr>
              <w:rPr>
                <w:b/>
                <w:bCs/>
                <w:sz w:val="16"/>
                <w:szCs w:val="16"/>
                <w:lang w:eastAsia="tr-TR"/>
              </w:rPr>
            </w:pPr>
            <w:r w:rsidRPr="00005453">
              <w:rPr>
                <w:b/>
                <w:bCs/>
                <w:sz w:val="16"/>
                <w:szCs w:val="16"/>
                <w:lang w:eastAsia="tr-TR"/>
              </w:rPr>
              <w:t>Dönem sonu birikmiş amortisman (-)</w:t>
            </w:r>
          </w:p>
        </w:tc>
        <w:tc>
          <w:tcPr>
            <w:tcW w:w="1059" w:type="dxa"/>
            <w:tcBorders>
              <w:top w:val="nil"/>
              <w:left w:val="nil"/>
              <w:bottom w:val="nil"/>
              <w:right w:val="nil"/>
            </w:tcBorders>
            <w:shd w:val="clear" w:color="auto" w:fill="auto"/>
            <w:vAlign w:val="center"/>
            <w:hideMark/>
          </w:tcPr>
          <w:p w14:paraId="758A0F2B" w14:textId="3443C540" w:rsidR="00412107" w:rsidRPr="00005453" w:rsidRDefault="00412107" w:rsidP="00412107">
            <w:pPr>
              <w:jc w:val="right"/>
              <w:rPr>
                <w:b/>
                <w:sz w:val="16"/>
                <w:szCs w:val="22"/>
              </w:rPr>
            </w:pPr>
            <w:r w:rsidRPr="00005453">
              <w:rPr>
                <w:b/>
                <w:bCs/>
                <w:sz w:val="16"/>
                <w:szCs w:val="22"/>
              </w:rPr>
              <w:t>64,057</w:t>
            </w:r>
          </w:p>
        </w:tc>
        <w:tc>
          <w:tcPr>
            <w:tcW w:w="1705" w:type="dxa"/>
            <w:tcBorders>
              <w:top w:val="nil"/>
              <w:left w:val="nil"/>
              <w:bottom w:val="nil"/>
              <w:right w:val="nil"/>
            </w:tcBorders>
            <w:shd w:val="clear" w:color="auto" w:fill="auto"/>
            <w:vAlign w:val="center"/>
            <w:hideMark/>
          </w:tcPr>
          <w:p w14:paraId="4C74E978" w14:textId="51CF731B" w:rsidR="00412107" w:rsidRPr="00005453" w:rsidRDefault="00412107" w:rsidP="00412107">
            <w:pPr>
              <w:jc w:val="right"/>
              <w:rPr>
                <w:b/>
                <w:sz w:val="16"/>
                <w:szCs w:val="22"/>
              </w:rPr>
            </w:pPr>
            <w:r w:rsidRPr="00005453">
              <w:rPr>
                <w:b/>
                <w:bCs/>
                <w:sz w:val="16"/>
                <w:szCs w:val="22"/>
              </w:rPr>
              <w:t>522,495</w:t>
            </w:r>
          </w:p>
        </w:tc>
        <w:tc>
          <w:tcPr>
            <w:tcW w:w="846" w:type="dxa"/>
            <w:tcBorders>
              <w:top w:val="nil"/>
              <w:left w:val="nil"/>
              <w:bottom w:val="nil"/>
              <w:right w:val="nil"/>
            </w:tcBorders>
            <w:shd w:val="clear" w:color="auto" w:fill="auto"/>
            <w:vAlign w:val="center"/>
            <w:hideMark/>
          </w:tcPr>
          <w:p w14:paraId="3C2D7C62" w14:textId="25EC2D00" w:rsidR="00412107" w:rsidRPr="00005453" w:rsidRDefault="00412107" w:rsidP="00412107">
            <w:pPr>
              <w:jc w:val="right"/>
              <w:rPr>
                <w:b/>
                <w:sz w:val="16"/>
                <w:szCs w:val="22"/>
              </w:rPr>
            </w:pPr>
            <w:r w:rsidRPr="00005453">
              <w:rPr>
                <w:b/>
                <w:bCs/>
                <w:sz w:val="16"/>
                <w:szCs w:val="22"/>
              </w:rPr>
              <w:t>156,848</w:t>
            </w:r>
          </w:p>
        </w:tc>
        <w:tc>
          <w:tcPr>
            <w:tcW w:w="1268" w:type="dxa"/>
            <w:tcBorders>
              <w:top w:val="nil"/>
              <w:left w:val="nil"/>
              <w:bottom w:val="nil"/>
              <w:right w:val="nil"/>
            </w:tcBorders>
            <w:shd w:val="clear" w:color="auto" w:fill="auto"/>
            <w:vAlign w:val="center"/>
            <w:hideMark/>
          </w:tcPr>
          <w:p w14:paraId="380982A2" w14:textId="0B632E8D" w:rsidR="00412107" w:rsidRPr="00005453" w:rsidRDefault="00412107" w:rsidP="00412107">
            <w:pPr>
              <w:jc w:val="right"/>
              <w:rPr>
                <w:b/>
                <w:sz w:val="16"/>
                <w:szCs w:val="22"/>
              </w:rPr>
            </w:pPr>
            <w:r w:rsidRPr="00005453">
              <w:rPr>
                <w:b/>
                <w:bCs/>
                <w:sz w:val="16"/>
                <w:szCs w:val="22"/>
              </w:rPr>
              <w:t>422,342</w:t>
            </w:r>
          </w:p>
        </w:tc>
        <w:tc>
          <w:tcPr>
            <w:tcW w:w="1288" w:type="dxa"/>
            <w:tcBorders>
              <w:top w:val="nil"/>
              <w:left w:val="nil"/>
              <w:bottom w:val="nil"/>
              <w:right w:val="nil"/>
            </w:tcBorders>
            <w:shd w:val="clear" w:color="auto" w:fill="auto"/>
            <w:vAlign w:val="center"/>
            <w:hideMark/>
          </w:tcPr>
          <w:p w14:paraId="5FE5622F" w14:textId="790C37B2" w:rsidR="00412107" w:rsidRPr="00005453" w:rsidRDefault="00412107" w:rsidP="00412107">
            <w:pPr>
              <w:jc w:val="right"/>
              <w:rPr>
                <w:b/>
                <w:sz w:val="16"/>
                <w:szCs w:val="22"/>
              </w:rPr>
            </w:pPr>
            <w:r w:rsidRPr="00005453">
              <w:rPr>
                <w:b/>
                <w:bCs/>
                <w:sz w:val="16"/>
                <w:szCs w:val="22"/>
              </w:rPr>
              <w:t>1,165,742</w:t>
            </w:r>
          </w:p>
        </w:tc>
      </w:tr>
      <w:tr w:rsidR="00412107" w:rsidRPr="00005453" w14:paraId="05072C6F" w14:textId="77777777" w:rsidTr="00614CD2">
        <w:trPr>
          <w:trHeight w:val="242"/>
        </w:trPr>
        <w:tc>
          <w:tcPr>
            <w:tcW w:w="3048" w:type="dxa"/>
            <w:tcBorders>
              <w:top w:val="single" w:sz="8" w:space="0" w:color="auto"/>
              <w:left w:val="nil"/>
              <w:bottom w:val="double" w:sz="6" w:space="0" w:color="auto"/>
              <w:right w:val="nil"/>
            </w:tcBorders>
            <w:shd w:val="clear" w:color="auto" w:fill="auto"/>
            <w:noWrap/>
            <w:vAlign w:val="center"/>
            <w:hideMark/>
          </w:tcPr>
          <w:p w14:paraId="276DCBEA" w14:textId="24303A74" w:rsidR="00412107" w:rsidRPr="00005453" w:rsidRDefault="00412107" w:rsidP="00412107">
            <w:pPr>
              <w:jc w:val="both"/>
              <w:rPr>
                <w:b/>
                <w:bCs/>
                <w:sz w:val="16"/>
                <w:szCs w:val="16"/>
                <w:lang w:eastAsia="tr-TR"/>
              </w:rPr>
            </w:pPr>
            <w:r w:rsidRPr="00005453">
              <w:rPr>
                <w:b/>
                <w:bCs/>
                <w:sz w:val="16"/>
                <w:szCs w:val="16"/>
                <w:lang w:eastAsia="tr-TR"/>
              </w:rPr>
              <w:t>Kapanış net defter değeri</w:t>
            </w:r>
          </w:p>
        </w:tc>
        <w:tc>
          <w:tcPr>
            <w:tcW w:w="1059" w:type="dxa"/>
            <w:tcBorders>
              <w:top w:val="single" w:sz="8" w:space="0" w:color="auto"/>
              <w:left w:val="nil"/>
              <w:bottom w:val="double" w:sz="6" w:space="0" w:color="auto"/>
              <w:right w:val="nil"/>
            </w:tcBorders>
            <w:shd w:val="clear" w:color="auto" w:fill="auto"/>
            <w:vAlign w:val="center"/>
            <w:hideMark/>
          </w:tcPr>
          <w:p w14:paraId="3A349D69" w14:textId="719FE06E" w:rsidR="00412107" w:rsidRPr="00005453" w:rsidRDefault="00412107" w:rsidP="00412107">
            <w:pPr>
              <w:jc w:val="right"/>
              <w:rPr>
                <w:b/>
                <w:sz w:val="16"/>
                <w:szCs w:val="22"/>
              </w:rPr>
            </w:pPr>
            <w:r w:rsidRPr="00005453">
              <w:rPr>
                <w:b/>
                <w:bCs/>
                <w:sz w:val="16"/>
                <w:szCs w:val="22"/>
              </w:rPr>
              <w:t>1,112,019</w:t>
            </w:r>
          </w:p>
        </w:tc>
        <w:tc>
          <w:tcPr>
            <w:tcW w:w="1705" w:type="dxa"/>
            <w:tcBorders>
              <w:top w:val="single" w:sz="8" w:space="0" w:color="auto"/>
              <w:left w:val="nil"/>
              <w:bottom w:val="double" w:sz="6" w:space="0" w:color="auto"/>
              <w:right w:val="nil"/>
            </w:tcBorders>
            <w:shd w:val="clear" w:color="auto" w:fill="auto"/>
            <w:vAlign w:val="center"/>
            <w:hideMark/>
          </w:tcPr>
          <w:p w14:paraId="0F8790FA" w14:textId="33D02C50" w:rsidR="00412107" w:rsidRPr="00005453" w:rsidRDefault="00412107" w:rsidP="00412107">
            <w:pPr>
              <w:jc w:val="right"/>
              <w:rPr>
                <w:b/>
                <w:sz w:val="16"/>
                <w:szCs w:val="22"/>
              </w:rPr>
            </w:pPr>
            <w:r w:rsidRPr="00005453">
              <w:rPr>
                <w:b/>
                <w:bCs/>
                <w:sz w:val="16"/>
                <w:szCs w:val="22"/>
              </w:rPr>
              <w:t>1,043,886</w:t>
            </w:r>
          </w:p>
        </w:tc>
        <w:tc>
          <w:tcPr>
            <w:tcW w:w="846" w:type="dxa"/>
            <w:tcBorders>
              <w:top w:val="single" w:sz="8" w:space="0" w:color="auto"/>
              <w:left w:val="nil"/>
              <w:bottom w:val="double" w:sz="6" w:space="0" w:color="auto"/>
              <w:right w:val="nil"/>
            </w:tcBorders>
            <w:shd w:val="clear" w:color="auto" w:fill="auto"/>
            <w:vAlign w:val="center"/>
            <w:hideMark/>
          </w:tcPr>
          <w:p w14:paraId="5ED17367" w14:textId="561E5722" w:rsidR="00412107" w:rsidRPr="00005453" w:rsidRDefault="00412107" w:rsidP="00412107">
            <w:pPr>
              <w:jc w:val="right"/>
              <w:rPr>
                <w:b/>
                <w:sz w:val="16"/>
                <w:szCs w:val="22"/>
              </w:rPr>
            </w:pPr>
            <w:r w:rsidRPr="00005453">
              <w:rPr>
                <w:b/>
                <w:bCs/>
                <w:sz w:val="16"/>
                <w:szCs w:val="22"/>
              </w:rPr>
              <w:t>561,634</w:t>
            </w:r>
          </w:p>
        </w:tc>
        <w:tc>
          <w:tcPr>
            <w:tcW w:w="1268" w:type="dxa"/>
            <w:tcBorders>
              <w:top w:val="single" w:sz="8" w:space="0" w:color="auto"/>
              <w:left w:val="nil"/>
              <w:bottom w:val="double" w:sz="6" w:space="0" w:color="auto"/>
              <w:right w:val="nil"/>
            </w:tcBorders>
            <w:shd w:val="clear" w:color="auto" w:fill="auto"/>
            <w:vAlign w:val="center"/>
            <w:hideMark/>
          </w:tcPr>
          <w:p w14:paraId="2445132E" w14:textId="0744C5F8" w:rsidR="00412107" w:rsidRPr="00005453" w:rsidRDefault="00412107" w:rsidP="00412107">
            <w:pPr>
              <w:jc w:val="right"/>
              <w:rPr>
                <w:b/>
                <w:sz w:val="16"/>
                <w:szCs w:val="22"/>
              </w:rPr>
            </w:pPr>
            <w:r w:rsidRPr="00005453">
              <w:rPr>
                <w:b/>
                <w:bCs/>
                <w:sz w:val="16"/>
                <w:szCs w:val="22"/>
              </w:rPr>
              <w:t>748,689</w:t>
            </w:r>
          </w:p>
        </w:tc>
        <w:tc>
          <w:tcPr>
            <w:tcW w:w="1288" w:type="dxa"/>
            <w:tcBorders>
              <w:top w:val="single" w:sz="8" w:space="0" w:color="auto"/>
              <w:left w:val="nil"/>
              <w:bottom w:val="double" w:sz="6" w:space="0" w:color="auto"/>
              <w:right w:val="nil"/>
            </w:tcBorders>
            <w:shd w:val="clear" w:color="auto" w:fill="auto"/>
            <w:vAlign w:val="center"/>
            <w:hideMark/>
          </w:tcPr>
          <w:p w14:paraId="08FDA09C" w14:textId="57D9D015" w:rsidR="00412107" w:rsidRPr="00005453" w:rsidRDefault="00412107" w:rsidP="00412107">
            <w:pPr>
              <w:jc w:val="right"/>
              <w:rPr>
                <w:b/>
                <w:sz w:val="16"/>
                <w:szCs w:val="22"/>
              </w:rPr>
            </w:pPr>
            <w:r w:rsidRPr="00005453">
              <w:rPr>
                <w:b/>
                <w:bCs/>
                <w:sz w:val="16"/>
                <w:szCs w:val="22"/>
              </w:rPr>
              <w:t>3,466,228</w:t>
            </w:r>
          </w:p>
        </w:tc>
      </w:tr>
    </w:tbl>
    <w:p w14:paraId="293E9B21" w14:textId="61D20E76" w:rsidR="00C71456" w:rsidRPr="00005453" w:rsidRDefault="00C71456" w:rsidP="001E4705">
      <w:pPr>
        <w:autoSpaceDE w:val="0"/>
        <w:autoSpaceDN w:val="0"/>
        <w:adjustRightInd w:val="0"/>
        <w:jc w:val="both"/>
        <w:rPr>
          <w:bCs/>
          <w:iCs/>
          <w:sz w:val="10"/>
        </w:rPr>
      </w:pPr>
    </w:p>
    <w:p w14:paraId="69D7368C" w14:textId="77777777" w:rsidR="00DB63BA" w:rsidRPr="00005453" w:rsidRDefault="00DB63BA" w:rsidP="001E4705">
      <w:pPr>
        <w:autoSpaceDE w:val="0"/>
        <w:autoSpaceDN w:val="0"/>
        <w:adjustRightInd w:val="0"/>
        <w:ind w:hanging="567"/>
        <w:rPr>
          <w:b/>
          <w:bCs/>
          <w:iCs/>
        </w:rPr>
        <w:sectPr w:rsidR="00DB63BA" w:rsidRPr="00005453" w:rsidSect="00475153">
          <w:pgSz w:w="11906" w:h="16838"/>
          <w:pgMar w:top="1417" w:right="1133" w:bottom="1438" w:left="1560" w:header="708" w:footer="708" w:gutter="0"/>
          <w:cols w:space="708"/>
          <w:docGrid w:linePitch="360"/>
        </w:sectPr>
      </w:pPr>
    </w:p>
    <w:p w14:paraId="49415F1E" w14:textId="2C88166E" w:rsidR="001E4705" w:rsidRPr="00005453" w:rsidRDefault="001E4705" w:rsidP="001E4705">
      <w:pPr>
        <w:autoSpaceDE w:val="0"/>
        <w:autoSpaceDN w:val="0"/>
        <w:adjustRightInd w:val="0"/>
        <w:ind w:hanging="567"/>
        <w:rPr>
          <w:b/>
          <w:bCs/>
          <w:iCs/>
        </w:rPr>
      </w:pPr>
      <w:r w:rsidRPr="00005453">
        <w:rPr>
          <w:b/>
          <w:bCs/>
          <w:iCs/>
        </w:rPr>
        <w:lastRenderedPageBreak/>
        <w:t>1.13.</w:t>
      </w:r>
      <w:r w:rsidRPr="00005453">
        <w:rPr>
          <w:b/>
          <w:bCs/>
          <w:iCs/>
        </w:rPr>
        <w:tab/>
        <w:t>Maddi olmayan duran varlıklara ilişkin açıklamalar</w:t>
      </w:r>
    </w:p>
    <w:p w14:paraId="6BEAD537" w14:textId="77777777" w:rsidR="001E4705" w:rsidRPr="007E6597" w:rsidRDefault="001E4705" w:rsidP="001E4705">
      <w:pPr>
        <w:tabs>
          <w:tab w:val="num" w:pos="2340"/>
          <w:tab w:val="num" w:pos="3060"/>
        </w:tabs>
        <w:autoSpaceDE w:val="0"/>
        <w:autoSpaceDN w:val="0"/>
        <w:adjustRightInd w:val="0"/>
        <w:rPr>
          <w:rFonts w:eastAsia="Arial Unicode MS"/>
          <w:b/>
          <w:sz w:val="16"/>
          <w:szCs w:val="16"/>
        </w:rPr>
      </w:pPr>
    </w:p>
    <w:p w14:paraId="2B029E96" w14:textId="7BD1420A" w:rsidR="001E4705" w:rsidRPr="00005453" w:rsidRDefault="001E4705" w:rsidP="001E4705">
      <w:pPr>
        <w:autoSpaceDE w:val="0"/>
        <w:autoSpaceDN w:val="0"/>
        <w:adjustRightInd w:val="0"/>
        <w:ind w:hanging="567"/>
      </w:pPr>
      <w:r w:rsidRPr="00005453">
        <w:rPr>
          <w:b/>
        </w:rPr>
        <w:t>1.13.1.</w:t>
      </w:r>
      <w:r w:rsidRPr="00005453">
        <w:tab/>
        <w:t xml:space="preserve"> Dönem başı ve dönem sonundaki brüt defter değeri ile birikmiş amortisman tutarları </w:t>
      </w:r>
    </w:p>
    <w:p w14:paraId="22B97EFA" w14:textId="2313499C" w:rsidR="008351A1" w:rsidRPr="007E6597" w:rsidRDefault="008351A1" w:rsidP="008351A1">
      <w:pPr>
        <w:pStyle w:val="BodyTextIndent"/>
        <w:jc w:val="left"/>
        <w:rPr>
          <w:sz w:val="18"/>
          <w:lang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8351A1" w:rsidRPr="00005453" w14:paraId="4793BF99" w14:textId="77777777" w:rsidTr="008351A1">
        <w:trPr>
          <w:divId w:val="1658457059"/>
          <w:trHeight w:val="240"/>
        </w:trPr>
        <w:tc>
          <w:tcPr>
            <w:tcW w:w="4591" w:type="dxa"/>
            <w:tcBorders>
              <w:top w:val="single" w:sz="8" w:space="0" w:color="auto"/>
              <w:left w:val="nil"/>
              <w:bottom w:val="single" w:sz="8" w:space="0" w:color="auto"/>
              <w:right w:val="nil"/>
            </w:tcBorders>
            <w:shd w:val="clear" w:color="auto" w:fill="auto"/>
            <w:vAlign w:val="center"/>
            <w:hideMark/>
          </w:tcPr>
          <w:p w14:paraId="0E93E2A4" w14:textId="3144428A" w:rsidR="008351A1" w:rsidRPr="00005453" w:rsidRDefault="008351A1" w:rsidP="008351A1">
            <w:pPr>
              <w:rPr>
                <w:b/>
                <w:bCs/>
                <w:color w:val="000000"/>
                <w:sz w:val="18"/>
                <w:szCs w:val="18"/>
                <w:lang w:eastAsia="tr-TR"/>
              </w:rPr>
            </w:pPr>
            <w:r w:rsidRPr="00005453">
              <w:rPr>
                <w:b/>
                <w:bCs/>
                <w:color w:val="000000"/>
                <w:sz w:val="18"/>
                <w:szCs w:val="18"/>
                <w:lang w:eastAsia="tr-TR"/>
              </w:rPr>
              <w:t> </w:t>
            </w:r>
          </w:p>
        </w:tc>
        <w:tc>
          <w:tcPr>
            <w:tcW w:w="2276" w:type="dxa"/>
            <w:tcBorders>
              <w:top w:val="single" w:sz="8" w:space="0" w:color="auto"/>
              <w:left w:val="nil"/>
              <w:bottom w:val="single" w:sz="8" w:space="0" w:color="auto"/>
              <w:right w:val="nil"/>
            </w:tcBorders>
            <w:shd w:val="clear" w:color="auto" w:fill="auto"/>
            <w:vAlign w:val="center"/>
            <w:hideMark/>
          </w:tcPr>
          <w:p w14:paraId="5A6A5F2E" w14:textId="77777777" w:rsidR="008351A1" w:rsidRPr="00005453" w:rsidRDefault="008351A1" w:rsidP="008351A1">
            <w:pPr>
              <w:jc w:val="right"/>
              <w:rPr>
                <w:b/>
                <w:bCs/>
                <w:color w:val="000000"/>
                <w:sz w:val="18"/>
                <w:szCs w:val="18"/>
                <w:lang w:eastAsia="tr-TR"/>
              </w:rPr>
            </w:pPr>
            <w:r w:rsidRPr="00005453">
              <w:rPr>
                <w:b/>
                <w:bCs/>
                <w:color w:val="000000"/>
                <w:sz w:val="18"/>
                <w:szCs w:val="18"/>
                <w:lang w:eastAsia="tr-TR"/>
              </w:rPr>
              <w:t>Cari Dönem</w:t>
            </w:r>
          </w:p>
        </w:tc>
        <w:tc>
          <w:tcPr>
            <w:tcW w:w="2276" w:type="dxa"/>
            <w:tcBorders>
              <w:top w:val="single" w:sz="8" w:space="0" w:color="auto"/>
              <w:left w:val="nil"/>
              <w:bottom w:val="single" w:sz="8" w:space="0" w:color="auto"/>
              <w:right w:val="nil"/>
            </w:tcBorders>
            <w:shd w:val="clear" w:color="auto" w:fill="auto"/>
            <w:noWrap/>
            <w:vAlign w:val="center"/>
            <w:hideMark/>
          </w:tcPr>
          <w:p w14:paraId="3DD24AFE" w14:textId="77777777" w:rsidR="008351A1" w:rsidRPr="00005453" w:rsidRDefault="008351A1" w:rsidP="008351A1">
            <w:pPr>
              <w:jc w:val="right"/>
              <w:rPr>
                <w:b/>
                <w:bCs/>
                <w:color w:val="000000"/>
                <w:sz w:val="18"/>
                <w:szCs w:val="18"/>
                <w:lang w:eastAsia="tr-TR"/>
              </w:rPr>
            </w:pPr>
            <w:r w:rsidRPr="00005453">
              <w:rPr>
                <w:b/>
                <w:bCs/>
                <w:color w:val="000000"/>
                <w:sz w:val="18"/>
                <w:szCs w:val="18"/>
                <w:lang w:eastAsia="tr-TR"/>
              </w:rPr>
              <w:t>Önceki Dönem</w:t>
            </w:r>
          </w:p>
        </w:tc>
      </w:tr>
      <w:tr w:rsidR="00252443" w:rsidRPr="00005453" w14:paraId="7E511EBF" w14:textId="77777777" w:rsidTr="00252443">
        <w:trPr>
          <w:divId w:val="1658457059"/>
          <w:trHeight w:val="229"/>
        </w:trPr>
        <w:tc>
          <w:tcPr>
            <w:tcW w:w="4591" w:type="dxa"/>
            <w:tcBorders>
              <w:top w:val="nil"/>
              <w:left w:val="nil"/>
              <w:bottom w:val="nil"/>
              <w:right w:val="nil"/>
            </w:tcBorders>
            <w:shd w:val="clear" w:color="auto" w:fill="auto"/>
            <w:vAlign w:val="center"/>
            <w:hideMark/>
          </w:tcPr>
          <w:p w14:paraId="0A2A3BCF" w14:textId="77777777" w:rsidR="00252443" w:rsidRPr="00005453" w:rsidRDefault="00252443" w:rsidP="00252443">
            <w:pPr>
              <w:rPr>
                <w:color w:val="0D0D0D"/>
                <w:sz w:val="18"/>
                <w:szCs w:val="18"/>
                <w:lang w:eastAsia="tr-TR"/>
              </w:rPr>
            </w:pPr>
            <w:r w:rsidRPr="00005453">
              <w:rPr>
                <w:color w:val="0D0D0D"/>
                <w:sz w:val="18"/>
                <w:szCs w:val="18"/>
                <w:lang w:eastAsia="tr-TR"/>
              </w:rPr>
              <w:t>Brüt Defter Değeri</w:t>
            </w:r>
          </w:p>
        </w:tc>
        <w:tc>
          <w:tcPr>
            <w:tcW w:w="2276" w:type="dxa"/>
            <w:tcBorders>
              <w:top w:val="nil"/>
              <w:left w:val="nil"/>
              <w:bottom w:val="nil"/>
              <w:right w:val="nil"/>
            </w:tcBorders>
            <w:shd w:val="clear" w:color="auto" w:fill="auto"/>
            <w:vAlign w:val="center"/>
            <w:hideMark/>
          </w:tcPr>
          <w:p w14:paraId="114524E8" w14:textId="24E21DBC" w:rsidR="00252443" w:rsidRPr="00005453" w:rsidRDefault="00252443" w:rsidP="00252443">
            <w:pPr>
              <w:jc w:val="right"/>
              <w:rPr>
                <w:color w:val="000000" w:themeColor="text1"/>
                <w:sz w:val="18"/>
                <w:szCs w:val="18"/>
                <w:lang w:eastAsia="tr-TR"/>
              </w:rPr>
            </w:pPr>
            <w:r w:rsidRPr="00005453">
              <w:rPr>
                <w:color w:val="000000" w:themeColor="text1"/>
                <w:sz w:val="18"/>
                <w:szCs w:val="18"/>
              </w:rPr>
              <w:t>3,406,614</w:t>
            </w:r>
          </w:p>
        </w:tc>
        <w:tc>
          <w:tcPr>
            <w:tcW w:w="2276" w:type="dxa"/>
            <w:tcBorders>
              <w:top w:val="nil"/>
              <w:left w:val="nil"/>
              <w:bottom w:val="nil"/>
              <w:right w:val="nil"/>
            </w:tcBorders>
            <w:shd w:val="clear" w:color="auto" w:fill="auto"/>
            <w:vAlign w:val="center"/>
            <w:hideMark/>
          </w:tcPr>
          <w:p w14:paraId="24A58E4E" w14:textId="5A60510D" w:rsidR="00252443" w:rsidRPr="00005453" w:rsidRDefault="00252443" w:rsidP="00252443">
            <w:pPr>
              <w:jc w:val="right"/>
              <w:rPr>
                <w:color w:val="000000"/>
                <w:sz w:val="18"/>
                <w:szCs w:val="18"/>
                <w:lang w:eastAsia="tr-TR"/>
              </w:rPr>
            </w:pPr>
            <w:r w:rsidRPr="00005453">
              <w:rPr>
                <w:color w:val="000000"/>
                <w:sz w:val="18"/>
                <w:szCs w:val="18"/>
                <w:lang w:eastAsia="tr-TR"/>
              </w:rPr>
              <w:t>1,395,635</w:t>
            </w:r>
          </w:p>
        </w:tc>
      </w:tr>
      <w:tr w:rsidR="00252443" w:rsidRPr="00005453" w14:paraId="28F81C51" w14:textId="77777777" w:rsidTr="00252443">
        <w:trPr>
          <w:divId w:val="1658457059"/>
          <w:trHeight w:val="240"/>
        </w:trPr>
        <w:tc>
          <w:tcPr>
            <w:tcW w:w="4591" w:type="dxa"/>
            <w:tcBorders>
              <w:top w:val="nil"/>
              <w:left w:val="nil"/>
              <w:bottom w:val="single" w:sz="8" w:space="0" w:color="auto"/>
              <w:right w:val="nil"/>
            </w:tcBorders>
            <w:shd w:val="clear" w:color="auto" w:fill="auto"/>
            <w:vAlign w:val="center"/>
            <w:hideMark/>
          </w:tcPr>
          <w:p w14:paraId="0915927B" w14:textId="77777777" w:rsidR="00252443" w:rsidRPr="00005453" w:rsidRDefault="00252443" w:rsidP="00252443">
            <w:pPr>
              <w:rPr>
                <w:color w:val="0D0D0D"/>
                <w:sz w:val="18"/>
                <w:szCs w:val="18"/>
                <w:lang w:eastAsia="tr-TR"/>
              </w:rPr>
            </w:pPr>
            <w:r w:rsidRPr="00005453">
              <w:rPr>
                <w:color w:val="0D0D0D"/>
                <w:sz w:val="18"/>
                <w:szCs w:val="18"/>
                <w:lang w:eastAsia="tr-TR"/>
              </w:rPr>
              <w:t>Birikmiş Amortisman</w:t>
            </w:r>
          </w:p>
        </w:tc>
        <w:tc>
          <w:tcPr>
            <w:tcW w:w="2276" w:type="dxa"/>
            <w:tcBorders>
              <w:top w:val="nil"/>
              <w:left w:val="nil"/>
              <w:bottom w:val="single" w:sz="8" w:space="0" w:color="auto"/>
              <w:right w:val="nil"/>
            </w:tcBorders>
            <w:shd w:val="clear" w:color="auto" w:fill="auto"/>
            <w:vAlign w:val="center"/>
            <w:hideMark/>
          </w:tcPr>
          <w:p w14:paraId="1BA12D5C" w14:textId="119B8001" w:rsidR="00252443" w:rsidRPr="00005453" w:rsidRDefault="00252443" w:rsidP="00252443">
            <w:pPr>
              <w:jc w:val="right"/>
              <w:rPr>
                <w:color w:val="000000" w:themeColor="text1"/>
                <w:sz w:val="18"/>
                <w:szCs w:val="18"/>
                <w:lang w:eastAsia="tr-TR"/>
              </w:rPr>
            </w:pPr>
            <w:r w:rsidRPr="00005453">
              <w:rPr>
                <w:color w:val="000000" w:themeColor="text1"/>
                <w:sz w:val="18"/>
                <w:szCs w:val="18"/>
              </w:rPr>
              <w:t>(1,091,765)</w:t>
            </w:r>
          </w:p>
        </w:tc>
        <w:tc>
          <w:tcPr>
            <w:tcW w:w="2276" w:type="dxa"/>
            <w:tcBorders>
              <w:top w:val="nil"/>
              <w:left w:val="nil"/>
              <w:bottom w:val="single" w:sz="8" w:space="0" w:color="auto"/>
              <w:right w:val="nil"/>
            </w:tcBorders>
            <w:shd w:val="clear" w:color="auto" w:fill="auto"/>
            <w:vAlign w:val="center"/>
            <w:hideMark/>
          </w:tcPr>
          <w:p w14:paraId="1155F080" w14:textId="2589F4B5" w:rsidR="00252443" w:rsidRPr="00005453" w:rsidRDefault="00252443" w:rsidP="00252443">
            <w:pPr>
              <w:jc w:val="right"/>
              <w:rPr>
                <w:color w:val="000000"/>
                <w:sz w:val="18"/>
                <w:szCs w:val="18"/>
                <w:lang w:eastAsia="tr-TR"/>
              </w:rPr>
            </w:pPr>
            <w:r w:rsidRPr="00005453">
              <w:rPr>
                <w:color w:val="000000"/>
                <w:sz w:val="18"/>
                <w:szCs w:val="18"/>
                <w:lang w:eastAsia="tr-TR"/>
              </w:rPr>
              <w:t>(411,475)</w:t>
            </w:r>
          </w:p>
        </w:tc>
      </w:tr>
      <w:tr w:rsidR="00252443" w:rsidRPr="00005453" w14:paraId="210AAAB9" w14:textId="77777777" w:rsidTr="00252443">
        <w:trPr>
          <w:divId w:val="1658457059"/>
          <w:trHeight w:val="104"/>
        </w:trPr>
        <w:tc>
          <w:tcPr>
            <w:tcW w:w="4591" w:type="dxa"/>
            <w:tcBorders>
              <w:top w:val="nil"/>
              <w:left w:val="nil"/>
              <w:bottom w:val="double" w:sz="6" w:space="0" w:color="auto"/>
              <w:right w:val="nil"/>
            </w:tcBorders>
            <w:shd w:val="clear" w:color="auto" w:fill="auto"/>
            <w:vAlign w:val="center"/>
            <w:hideMark/>
          </w:tcPr>
          <w:p w14:paraId="516323A5" w14:textId="77777777" w:rsidR="00252443" w:rsidRPr="00005453" w:rsidRDefault="00252443" w:rsidP="00252443">
            <w:pPr>
              <w:rPr>
                <w:b/>
                <w:bCs/>
                <w:color w:val="000000"/>
                <w:sz w:val="18"/>
                <w:szCs w:val="18"/>
                <w:lang w:eastAsia="tr-TR"/>
              </w:rPr>
            </w:pPr>
            <w:r w:rsidRPr="00005453">
              <w:rPr>
                <w:b/>
                <w:bCs/>
                <w:color w:val="000000"/>
                <w:sz w:val="18"/>
                <w:szCs w:val="18"/>
                <w:lang w:eastAsia="tr-TR"/>
              </w:rPr>
              <w:t>Toplam (net)</w:t>
            </w:r>
          </w:p>
        </w:tc>
        <w:tc>
          <w:tcPr>
            <w:tcW w:w="2276" w:type="dxa"/>
            <w:tcBorders>
              <w:top w:val="nil"/>
              <w:left w:val="nil"/>
              <w:bottom w:val="double" w:sz="6" w:space="0" w:color="auto"/>
              <w:right w:val="nil"/>
            </w:tcBorders>
            <w:shd w:val="clear" w:color="auto" w:fill="auto"/>
            <w:vAlign w:val="center"/>
            <w:hideMark/>
          </w:tcPr>
          <w:p w14:paraId="635B5113" w14:textId="78323870" w:rsidR="00252443" w:rsidRPr="00005453" w:rsidRDefault="00252443" w:rsidP="00252443">
            <w:pPr>
              <w:jc w:val="right"/>
              <w:rPr>
                <w:b/>
                <w:color w:val="000000" w:themeColor="text1"/>
                <w:sz w:val="18"/>
                <w:szCs w:val="18"/>
                <w:lang w:eastAsia="tr-TR"/>
              </w:rPr>
            </w:pPr>
            <w:r w:rsidRPr="00005453">
              <w:rPr>
                <w:b/>
                <w:color w:val="000000" w:themeColor="text1"/>
                <w:sz w:val="18"/>
                <w:szCs w:val="18"/>
              </w:rPr>
              <w:t>2,314,849</w:t>
            </w:r>
          </w:p>
        </w:tc>
        <w:tc>
          <w:tcPr>
            <w:tcW w:w="2276" w:type="dxa"/>
            <w:tcBorders>
              <w:top w:val="nil"/>
              <w:left w:val="nil"/>
              <w:bottom w:val="double" w:sz="6" w:space="0" w:color="auto"/>
              <w:right w:val="nil"/>
            </w:tcBorders>
            <w:shd w:val="clear" w:color="auto" w:fill="auto"/>
            <w:vAlign w:val="center"/>
            <w:hideMark/>
          </w:tcPr>
          <w:p w14:paraId="41422177" w14:textId="416D976F" w:rsidR="00252443" w:rsidRPr="00005453" w:rsidRDefault="00252443" w:rsidP="00252443">
            <w:pPr>
              <w:jc w:val="right"/>
              <w:rPr>
                <w:b/>
                <w:bCs/>
                <w:color w:val="000000"/>
                <w:sz w:val="18"/>
                <w:szCs w:val="18"/>
                <w:lang w:eastAsia="tr-TR"/>
              </w:rPr>
            </w:pPr>
            <w:r w:rsidRPr="00005453">
              <w:rPr>
                <w:b/>
                <w:color w:val="000000"/>
                <w:sz w:val="18"/>
                <w:szCs w:val="18"/>
                <w:lang w:eastAsia="tr-TR"/>
              </w:rPr>
              <w:t>984,160</w:t>
            </w:r>
          </w:p>
        </w:tc>
      </w:tr>
    </w:tbl>
    <w:p w14:paraId="76C8FB15" w14:textId="77777777" w:rsidR="00DB652D" w:rsidRPr="007E6597" w:rsidRDefault="00DB652D" w:rsidP="00DB63BA">
      <w:pPr>
        <w:autoSpaceDE w:val="0"/>
        <w:autoSpaceDN w:val="0"/>
        <w:adjustRightInd w:val="0"/>
        <w:rPr>
          <w:b/>
          <w:sz w:val="16"/>
        </w:rPr>
      </w:pPr>
    </w:p>
    <w:p w14:paraId="785E31D9" w14:textId="2C233294" w:rsidR="001E4705" w:rsidRPr="00005453" w:rsidRDefault="001E4705" w:rsidP="001E4705">
      <w:pPr>
        <w:autoSpaceDE w:val="0"/>
        <w:autoSpaceDN w:val="0"/>
        <w:adjustRightInd w:val="0"/>
        <w:ind w:hanging="567"/>
      </w:pPr>
      <w:r w:rsidRPr="00005453">
        <w:rPr>
          <w:b/>
        </w:rPr>
        <w:t>1.13.2.</w:t>
      </w:r>
      <w:r w:rsidRPr="00005453">
        <w:tab/>
        <w:t xml:space="preserve"> Dönem başı ve dönem sonu arasındaki hareket tablosu </w:t>
      </w:r>
    </w:p>
    <w:p w14:paraId="06869C4C" w14:textId="7E306226" w:rsidR="00F71E1B" w:rsidRPr="007E6597" w:rsidRDefault="00F71E1B" w:rsidP="001E4705">
      <w:pPr>
        <w:pStyle w:val="BodyTextIndent"/>
        <w:jc w:val="left"/>
        <w:rPr>
          <w:sz w:val="16"/>
          <w:lang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F71E1B" w:rsidRPr="00005453" w14:paraId="1B89A8F1" w14:textId="77777777" w:rsidTr="00F71E1B">
        <w:trPr>
          <w:divId w:val="1407261525"/>
          <w:trHeight w:val="243"/>
        </w:trPr>
        <w:tc>
          <w:tcPr>
            <w:tcW w:w="4591" w:type="dxa"/>
            <w:tcBorders>
              <w:top w:val="single" w:sz="8" w:space="0" w:color="000000"/>
              <w:left w:val="nil"/>
              <w:bottom w:val="single" w:sz="8" w:space="0" w:color="000000"/>
              <w:right w:val="nil"/>
            </w:tcBorders>
            <w:shd w:val="clear" w:color="auto" w:fill="auto"/>
            <w:vAlign w:val="center"/>
            <w:hideMark/>
          </w:tcPr>
          <w:p w14:paraId="27511946" w14:textId="5FDEEF13" w:rsidR="00F71E1B" w:rsidRPr="00005453" w:rsidRDefault="00F71E1B" w:rsidP="00F71E1B">
            <w:pPr>
              <w:rPr>
                <w:color w:val="000000"/>
                <w:sz w:val="18"/>
                <w:szCs w:val="18"/>
                <w:lang w:eastAsia="tr-TR"/>
              </w:rPr>
            </w:pPr>
            <w:r w:rsidRPr="00005453">
              <w:rPr>
                <w:color w:val="000000"/>
                <w:sz w:val="18"/>
                <w:szCs w:val="18"/>
                <w:lang w:eastAsia="tr-TR"/>
              </w:rPr>
              <w:t xml:space="preserve"> </w:t>
            </w:r>
          </w:p>
        </w:tc>
        <w:tc>
          <w:tcPr>
            <w:tcW w:w="2276" w:type="dxa"/>
            <w:tcBorders>
              <w:top w:val="single" w:sz="8" w:space="0" w:color="000000"/>
              <w:left w:val="nil"/>
              <w:bottom w:val="single" w:sz="8" w:space="0" w:color="000000"/>
              <w:right w:val="nil"/>
            </w:tcBorders>
            <w:shd w:val="clear" w:color="auto" w:fill="auto"/>
            <w:vAlign w:val="center"/>
            <w:hideMark/>
          </w:tcPr>
          <w:p w14:paraId="6D4351AB" w14:textId="4AB58BE5" w:rsidR="00F71E1B" w:rsidRPr="00005453" w:rsidRDefault="00F71E1B" w:rsidP="00F71E1B">
            <w:pPr>
              <w:jc w:val="right"/>
              <w:rPr>
                <w:b/>
                <w:bCs/>
                <w:color w:val="000000"/>
                <w:sz w:val="18"/>
                <w:szCs w:val="18"/>
                <w:lang w:eastAsia="tr-TR"/>
              </w:rPr>
            </w:pPr>
            <w:r w:rsidRPr="00005453">
              <w:rPr>
                <w:b/>
                <w:bCs/>
                <w:color w:val="000000"/>
                <w:sz w:val="18"/>
                <w:szCs w:val="18"/>
                <w:lang w:eastAsia="tr-TR"/>
              </w:rPr>
              <w:t xml:space="preserve">Cari </w:t>
            </w:r>
            <w:r w:rsidR="0090684F" w:rsidRPr="00005453">
              <w:rPr>
                <w:b/>
                <w:bCs/>
                <w:color w:val="000000"/>
                <w:sz w:val="18"/>
                <w:szCs w:val="18"/>
                <w:lang w:eastAsia="tr-TR"/>
              </w:rPr>
              <w:t>Dönem</w:t>
            </w:r>
          </w:p>
        </w:tc>
        <w:tc>
          <w:tcPr>
            <w:tcW w:w="2276" w:type="dxa"/>
            <w:tcBorders>
              <w:top w:val="single" w:sz="8" w:space="0" w:color="000000"/>
              <w:left w:val="nil"/>
              <w:bottom w:val="single" w:sz="8" w:space="0" w:color="000000"/>
              <w:right w:val="nil"/>
            </w:tcBorders>
            <w:shd w:val="clear" w:color="auto" w:fill="auto"/>
            <w:noWrap/>
            <w:vAlign w:val="center"/>
            <w:hideMark/>
          </w:tcPr>
          <w:p w14:paraId="4AA0F2A6" w14:textId="31C4AB88" w:rsidR="00F71E1B" w:rsidRPr="00005453" w:rsidRDefault="00F71E1B" w:rsidP="00F71E1B">
            <w:pPr>
              <w:jc w:val="right"/>
              <w:rPr>
                <w:b/>
                <w:bCs/>
                <w:color w:val="000000"/>
                <w:sz w:val="18"/>
                <w:szCs w:val="18"/>
                <w:lang w:eastAsia="tr-TR"/>
              </w:rPr>
            </w:pPr>
            <w:r w:rsidRPr="00005453">
              <w:rPr>
                <w:b/>
                <w:bCs/>
                <w:color w:val="000000"/>
                <w:sz w:val="18"/>
                <w:szCs w:val="18"/>
                <w:lang w:eastAsia="tr-TR"/>
              </w:rPr>
              <w:t xml:space="preserve">Önceki </w:t>
            </w:r>
            <w:r w:rsidR="0090684F" w:rsidRPr="00005453">
              <w:rPr>
                <w:b/>
                <w:bCs/>
                <w:color w:val="000000"/>
                <w:sz w:val="18"/>
                <w:szCs w:val="18"/>
                <w:lang w:eastAsia="tr-TR"/>
              </w:rPr>
              <w:t>Dönem</w:t>
            </w:r>
          </w:p>
        </w:tc>
      </w:tr>
      <w:tr w:rsidR="00252443" w:rsidRPr="00005453" w14:paraId="34140B86" w14:textId="77777777" w:rsidTr="00252443">
        <w:trPr>
          <w:divId w:val="1407261525"/>
          <w:trHeight w:val="232"/>
        </w:trPr>
        <w:tc>
          <w:tcPr>
            <w:tcW w:w="4591" w:type="dxa"/>
            <w:tcBorders>
              <w:top w:val="nil"/>
              <w:left w:val="nil"/>
              <w:bottom w:val="nil"/>
              <w:right w:val="nil"/>
            </w:tcBorders>
            <w:shd w:val="clear" w:color="auto" w:fill="auto"/>
            <w:vAlign w:val="center"/>
            <w:hideMark/>
          </w:tcPr>
          <w:p w14:paraId="0B22E8D7" w14:textId="77777777" w:rsidR="00252443" w:rsidRPr="00005453" w:rsidRDefault="00252443" w:rsidP="00252443">
            <w:pPr>
              <w:rPr>
                <w:color w:val="000000"/>
                <w:sz w:val="18"/>
                <w:szCs w:val="18"/>
                <w:lang w:eastAsia="tr-TR"/>
              </w:rPr>
            </w:pPr>
            <w:r w:rsidRPr="00005453">
              <w:rPr>
                <w:color w:val="000000"/>
                <w:sz w:val="18"/>
                <w:szCs w:val="18"/>
                <w:lang w:eastAsia="tr-TR"/>
              </w:rPr>
              <w:t>Açılış Bakiyesi</w:t>
            </w:r>
          </w:p>
        </w:tc>
        <w:tc>
          <w:tcPr>
            <w:tcW w:w="2276" w:type="dxa"/>
            <w:tcBorders>
              <w:top w:val="nil"/>
              <w:left w:val="nil"/>
              <w:bottom w:val="nil"/>
              <w:right w:val="nil"/>
            </w:tcBorders>
            <w:shd w:val="clear" w:color="auto" w:fill="auto"/>
            <w:vAlign w:val="center"/>
            <w:hideMark/>
          </w:tcPr>
          <w:p w14:paraId="554B37ED" w14:textId="567B6C6D" w:rsidR="00252443" w:rsidRPr="00005453" w:rsidRDefault="00252443" w:rsidP="00252443">
            <w:pPr>
              <w:jc w:val="right"/>
              <w:rPr>
                <w:color w:val="000000"/>
                <w:sz w:val="18"/>
                <w:szCs w:val="18"/>
                <w:lang w:eastAsia="tr-TR"/>
              </w:rPr>
            </w:pPr>
            <w:r w:rsidRPr="00005453">
              <w:rPr>
                <w:color w:val="000000"/>
                <w:sz w:val="18"/>
                <w:szCs w:val="18"/>
              </w:rPr>
              <w:t>984,160</w:t>
            </w:r>
          </w:p>
        </w:tc>
        <w:tc>
          <w:tcPr>
            <w:tcW w:w="2276" w:type="dxa"/>
            <w:tcBorders>
              <w:top w:val="nil"/>
              <w:left w:val="nil"/>
              <w:bottom w:val="nil"/>
              <w:right w:val="nil"/>
            </w:tcBorders>
            <w:shd w:val="clear" w:color="auto" w:fill="auto"/>
            <w:vAlign w:val="bottom"/>
            <w:hideMark/>
          </w:tcPr>
          <w:p w14:paraId="41AD654D" w14:textId="1437860A" w:rsidR="00252443" w:rsidRPr="00005453" w:rsidRDefault="00252443" w:rsidP="00252443">
            <w:pPr>
              <w:jc w:val="right"/>
              <w:rPr>
                <w:color w:val="000000"/>
                <w:sz w:val="18"/>
                <w:szCs w:val="18"/>
                <w:lang w:eastAsia="tr-TR"/>
              </w:rPr>
            </w:pPr>
            <w:r w:rsidRPr="00005453">
              <w:rPr>
                <w:color w:val="000000"/>
                <w:sz w:val="18"/>
                <w:szCs w:val="18"/>
              </w:rPr>
              <w:t>397,403</w:t>
            </w:r>
          </w:p>
        </w:tc>
      </w:tr>
      <w:tr w:rsidR="00252443" w:rsidRPr="00005453" w14:paraId="0530B865" w14:textId="77777777" w:rsidTr="00252443">
        <w:trPr>
          <w:divId w:val="1407261525"/>
          <w:trHeight w:val="232"/>
        </w:trPr>
        <w:tc>
          <w:tcPr>
            <w:tcW w:w="4591" w:type="dxa"/>
            <w:tcBorders>
              <w:top w:val="nil"/>
              <w:left w:val="nil"/>
              <w:bottom w:val="nil"/>
              <w:right w:val="nil"/>
            </w:tcBorders>
            <w:shd w:val="clear" w:color="auto" w:fill="auto"/>
            <w:vAlign w:val="center"/>
            <w:hideMark/>
          </w:tcPr>
          <w:p w14:paraId="000AD146" w14:textId="77777777" w:rsidR="00252443" w:rsidRPr="00005453" w:rsidRDefault="00252443" w:rsidP="00252443">
            <w:pPr>
              <w:rPr>
                <w:color w:val="000000"/>
                <w:sz w:val="18"/>
                <w:szCs w:val="18"/>
                <w:lang w:eastAsia="tr-TR"/>
              </w:rPr>
            </w:pPr>
            <w:r w:rsidRPr="00005453">
              <w:rPr>
                <w:color w:val="000000"/>
                <w:sz w:val="18"/>
                <w:szCs w:val="18"/>
                <w:lang w:eastAsia="tr-TR"/>
              </w:rPr>
              <w:t>İktisap Edilenler</w:t>
            </w:r>
          </w:p>
        </w:tc>
        <w:tc>
          <w:tcPr>
            <w:tcW w:w="2276" w:type="dxa"/>
            <w:tcBorders>
              <w:top w:val="nil"/>
              <w:left w:val="nil"/>
              <w:bottom w:val="nil"/>
              <w:right w:val="nil"/>
            </w:tcBorders>
            <w:shd w:val="clear" w:color="auto" w:fill="auto"/>
            <w:vAlign w:val="center"/>
            <w:hideMark/>
          </w:tcPr>
          <w:p w14:paraId="3A0B29BF" w14:textId="351ED68A" w:rsidR="00252443" w:rsidRPr="00005453" w:rsidRDefault="00252443" w:rsidP="00252443">
            <w:pPr>
              <w:jc w:val="right"/>
              <w:rPr>
                <w:color w:val="000000"/>
                <w:sz w:val="18"/>
                <w:szCs w:val="18"/>
                <w:lang w:eastAsia="tr-TR"/>
              </w:rPr>
            </w:pPr>
            <w:r w:rsidRPr="00005453">
              <w:rPr>
                <w:color w:val="000000"/>
                <w:sz w:val="18"/>
                <w:szCs w:val="18"/>
              </w:rPr>
              <w:t>2,010,579</w:t>
            </w:r>
          </w:p>
        </w:tc>
        <w:tc>
          <w:tcPr>
            <w:tcW w:w="2276" w:type="dxa"/>
            <w:tcBorders>
              <w:top w:val="nil"/>
              <w:left w:val="nil"/>
              <w:bottom w:val="nil"/>
              <w:right w:val="nil"/>
            </w:tcBorders>
            <w:shd w:val="clear" w:color="auto" w:fill="auto"/>
            <w:vAlign w:val="bottom"/>
            <w:hideMark/>
          </w:tcPr>
          <w:p w14:paraId="594D4A85" w14:textId="61324DC6" w:rsidR="00252443" w:rsidRPr="00005453" w:rsidRDefault="00252443" w:rsidP="00252443">
            <w:pPr>
              <w:jc w:val="right"/>
              <w:rPr>
                <w:color w:val="000000"/>
                <w:sz w:val="18"/>
                <w:szCs w:val="18"/>
                <w:lang w:eastAsia="tr-TR"/>
              </w:rPr>
            </w:pPr>
            <w:r w:rsidRPr="00005453">
              <w:rPr>
                <w:color w:val="000000"/>
                <w:sz w:val="18"/>
                <w:szCs w:val="18"/>
              </w:rPr>
              <w:t xml:space="preserve"> 812,919    </w:t>
            </w:r>
          </w:p>
        </w:tc>
      </w:tr>
      <w:tr w:rsidR="00252443" w:rsidRPr="00005453" w14:paraId="75E52976" w14:textId="77777777" w:rsidTr="00252443">
        <w:trPr>
          <w:divId w:val="1407261525"/>
          <w:trHeight w:val="232"/>
        </w:trPr>
        <w:tc>
          <w:tcPr>
            <w:tcW w:w="4591" w:type="dxa"/>
            <w:tcBorders>
              <w:top w:val="nil"/>
              <w:left w:val="nil"/>
              <w:bottom w:val="nil"/>
              <w:right w:val="nil"/>
            </w:tcBorders>
            <w:shd w:val="clear" w:color="auto" w:fill="auto"/>
            <w:vAlign w:val="center"/>
            <w:hideMark/>
          </w:tcPr>
          <w:p w14:paraId="391EB9A2" w14:textId="77777777" w:rsidR="00252443" w:rsidRPr="00005453" w:rsidRDefault="00252443" w:rsidP="00252443">
            <w:pPr>
              <w:rPr>
                <w:color w:val="000000"/>
                <w:sz w:val="18"/>
                <w:szCs w:val="18"/>
                <w:lang w:eastAsia="tr-TR"/>
              </w:rPr>
            </w:pPr>
            <w:r w:rsidRPr="00005453">
              <w:rPr>
                <w:color w:val="000000"/>
                <w:sz w:val="18"/>
                <w:szCs w:val="18"/>
                <w:lang w:eastAsia="tr-TR"/>
              </w:rPr>
              <w:t>Elden Çıkarılanlar (-), Net</w:t>
            </w:r>
          </w:p>
        </w:tc>
        <w:tc>
          <w:tcPr>
            <w:tcW w:w="2276" w:type="dxa"/>
            <w:tcBorders>
              <w:top w:val="nil"/>
              <w:left w:val="nil"/>
              <w:bottom w:val="nil"/>
              <w:right w:val="nil"/>
            </w:tcBorders>
            <w:shd w:val="clear" w:color="auto" w:fill="auto"/>
            <w:vAlign w:val="center"/>
            <w:hideMark/>
          </w:tcPr>
          <w:p w14:paraId="6AC44581" w14:textId="109BD5CB" w:rsidR="00252443" w:rsidRPr="00005453" w:rsidRDefault="00252443" w:rsidP="00252443">
            <w:pPr>
              <w:jc w:val="right"/>
              <w:rPr>
                <w:color w:val="000000"/>
                <w:sz w:val="18"/>
                <w:szCs w:val="18"/>
                <w:lang w:eastAsia="tr-TR"/>
              </w:rPr>
            </w:pPr>
            <w:r w:rsidRPr="00005453">
              <w:rPr>
                <w:color w:val="000000"/>
                <w:sz w:val="18"/>
                <w:szCs w:val="18"/>
              </w:rPr>
              <w:t>-</w:t>
            </w:r>
          </w:p>
        </w:tc>
        <w:tc>
          <w:tcPr>
            <w:tcW w:w="2276" w:type="dxa"/>
            <w:tcBorders>
              <w:top w:val="nil"/>
              <w:left w:val="nil"/>
              <w:bottom w:val="nil"/>
              <w:right w:val="nil"/>
            </w:tcBorders>
            <w:shd w:val="clear" w:color="auto" w:fill="auto"/>
            <w:vAlign w:val="bottom"/>
            <w:hideMark/>
          </w:tcPr>
          <w:p w14:paraId="06AB54E9" w14:textId="33E52CDF" w:rsidR="00252443" w:rsidRPr="00005453" w:rsidRDefault="00252443" w:rsidP="00252443">
            <w:pPr>
              <w:jc w:val="right"/>
              <w:rPr>
                <w:color w:val="000000"/>
                <w:sz w:val="18"/>
                <w:szCs w:val="18"/>
                <w:lang w:eastAsia="tr-TR"/>
              </w:rPr>
            </w:pPr>
            <w:r w:rsidRPr="00005453">
              <w:rPr>
                <w:color w:val="000000"/>
                <w:sz w:val="18"/>
                <w:szCs w:val="18"/>
              </w:rPr>
              <w:t xml:space="preserve"> 1,240    </w:t>
            </w:r>
          </w:p>
        </w:tc>
      </w:tr>
      <w:tr w:rsidR="00252443" w:rsidRPr="00005453" w14:paraId="16F6CDA8" w14:textId="77777777" w:rsidTr="00252443">
        <w:trPr>
          <w:divId w:val="1407261525"/>
          <w:trHeight w:val="232"/>
        </w:trPr>
        <w:tc>
          <w:tcPr>
            <w:tcW w:w="4591" w:type="dxa"/>
            <w:tcBorders>
              <w:top w:val="nil"/>
              <w:left w:val="nil"/>
              <w:bottom w:val="nil"/>
              <w:right w:val="nil"/>
            </w:tcBorders>
            <w:shd w:val="clear" w:color="auto" w:fill="auto"/>
            <w:vAlign w:val="center"/>
          </w:tcPr>
          <w:p w14:paraId="093CFE88" w14:textId="29A93BDD" w:rsidR="00252443" w:rsidRPr="00005453" w:rsidRDefault="00252443" w:rsidP="00252443">
            <w:pPr>
              <w:rPr>
                <w:color w:val="000000"/>
                <w:sz w:val="18"/>
                <w:szCs w:val="18"/>
                <w:lang w:eastAsia="tr-TR"/>
              </w:rPr>
            </w:pPr>
            <w:r w:rsidRPr="00005453">
              <w:rPr>
                <w:color w:val="000000"/>
                <w:sz w:val="18"/>
                <w:szCs w:val="18"/>
                <w:lang w:eastAsia="tr-TR"/>
              </w:rPr>
              <w:t>Amortisman Bedeli (-)</w:t>
            </w:r>
          </w:p>
        </w:tc>
        <w:tc>
          <w:tcPr>
            <w:tcW w:w="2276" w:type="dxa"/>
            <w:tcBorders>
              <w:top w:val="nil"/>
              <w:left w:val="nil"/>
              <w:bottom w:val="nil"/>
              <w:right w:val="nil"/>
            </w:tcBorders>
            <w:shd w:val="clear" w:color="auto" w:fill="auto"/>
            <w:vAlign w:val="center"/>
          </w:tcPr>
          <w:p w14:paraId="03FD5E6D" w14:textId="60B2EADD" w:rsidR="00252443" w:rsidRPr="00005453" w:rsidRDefault="00252443" w:rsidP="00252443">
            <w:pPr>
              <w:jc w:val="right"/>
              <w:rPr>
                <w:color w:val="000000"/>
                <w:sz w:val="18"/>
                <w:szCs w:val="18"/>
              </w:rPr>
            </w:pPr>
            <w:r w:rsidRPr="00005453">
              <w:rPr>
                <w:color w:val="000000"/>
                <w:sz w:val="18"/>
                <w:szCs w:val="18"/>
              </w:rPr>
              <w:t>680,190</w:t>
            </w:r>
          </w:p>
        </w:tc>
        <w:tc>
          <w:tcPr>
            <w:tcW w:w="2276" w:type="dxa"/>
            <w:tcBorders>
              <w:top w:val="nil"/>
              <w:left w:val="nil"/>
              <w:bottom w:val="nil"/>
              <w:right w:val="nil"/>
            </w:tcBorders>
            <w:shd w:val="clear" w:color="auto" w:fill="auto"/>
            <w:vAlign w:val="bottom"/>
          </w:tcPr>
          <w:p w14:paraId="2A1C33AA" w14:textId="1C6BC949" w:rsidR="00252443" w:rsidRPr="00005453" w:rsidRDefault="00252443" w:rsidP="00252443">
            <w:pPr>
              <w:jc w:val="right"/>
              <w:rPr>
                <w:color w:val="000000"/>
                <w:sz w:val="18"/>
                <w:szCs w:val="18"/>
              </w:rPr>
            </w:pPr>
            <w:r w:rsidRPr="00005453">
              <w:rPr>
                <w:color w:val="000000"/>
                <w:sz w:val="18"/>
                <w:szCs w:val="18"/>
              </w:rPr>
              <w:t xml:space="preserve"> 224,854    </w:t>
            </w:r>
          </w:p>
        </w:tc>
      </w:tr>
      <w:tr w:rsidR="00252443" w:rsidRPr="00005453" w14:paraId="5614F50A" w14:textId="77777777" w:rsidTr="00252443">
        <w:trPr>
          <w:divId w:val="1407261525"/>
          <w:trHeight w:val="243"/>
        </w:trPr>
        <w:tc>
          <w:tcPr>
            <w:tcW w:w="4591" w:type="dxa"/>
            <w:tcBorders>
              <w:top w:val="nil"/>
              <w:left w:val="nil"/>
              <w:bottom w:val="single" w:sz="8" w:space="0" w:color="auto"/>
              <w:right w:val="nil"/>
            </w:tcBorders>
            <w:shd w:val="clear" w:color="auto" w:fill="auto"/>
            <w:vAlign w:val="center"/>
            <w:hideMark/>
          </w:tcPr>
          <w:p w14:paraId="73748442" w14:textId="5D72A5C5" w:rsidR="00252443" w:rsidRPr="00005453" w:rsidRDefault="00252443" w:rsidP="00252443">
            <w:pPr>
              <w:rPr>
                <w:color w:val="000000"/>
                <w:sz w:val="18"/>
                <w:szCs w:val="18"/>
                <w:lang w:eastAsia="tr-TR"/>
              </w:rPr>
            </w:pPr>
            <w:r w:rsidRPr="00005453">
              <w:rPr>
                <w:color w:val="000000"/>
                <w:sz w:val="18"/>
                <w:szCs w:val="18"/>
                <w:lang w:eastAsia="tr-TR"/>
              </w:rPr>
              <w:t>Kur Farkları</w:t>
            </w:r>
          </w:p>
        </w:tc>
        <w:tc>
          <w:tcPr>
            <w:tcW w:w="2276" w:type="dxa"/>
            <w:tcBorders>
              <w:top w:val="nil"/>
              <w:left w:val="nil"/>
              <w:bottom w:val="single" w:sz="8" w:space="0" w:color="auto"/>
              <w:right w:val="nil"/>
            </w:tcBorders>
            <w:shd w:val="clear" w:color="auto" w:fill="auto"/>
            <w:vAlign w:val="center"/>
            <w:hideMark/>
          </w:tcPr>
          <w:p w14:paraId="5802C37F" w14:textId="66ED2E00" w:rsidR="00252443" w:rsidRPr="00005453" w:rsidRDefault="00252443" w:rsidP="00252443">
            <w:pPr>
              <w:jc w:val="right"/>
              <w:rPr>
                <w:color w:val="000000"/>
                <w:sz w:val="18"/>
                <w:szCs w:val="18"/>
                <w:lang w:eastAsia="tr-TR"/>
              </w:rPr>
            </w:pPr>
            <w:r w:rsidRPr="00005453">
              <w:rPr>
                <w:color w:val="000000"/>
                <w:sz w:val="18"/>
                <w:szCs w:val="18"/>
              </w:rPr>
              <w:t>300</w:t>
            </w:r>
          </w:p>
        </w:tc>
        <w:tc>
          <w:tcPr>
            <w:tcW w:w="2276" w:type="dxa"/>
            <w:tcBorders>
              <w:top w:val="nil"/>
              <w:left w:val="nil"/>
              <w:bottom w:val="single" w:sz="8" w:space="0" w:color="auto"/>
              <w:right w:val="nil"/>
            </w:tcBorders>
            <w:shd w:val="clear" w:color="auto" w:fill="auto"/>
            <w:vAlign w:val="bottom"/>
            <w:hideMark/>
          </w:tcPr>
          <w:p w14:paraId="7D12D226" w14:textId="51C17C22" w:rsidR="00252443" w:rsidRPr="00005453" w:rsidRDefault="00252443" w:rsidP="00252443">
            <w:pPr>
              <w:jc w:val="right"/>
              <w:rPr>
                <w:color w:val="000000"/>
                <w:sz w:val="18"/>
                <w:szCs w:val="18"/>
                <w:lang w:eastAsia="tr-TR"/>
              </w:rPr>
            </w:pPr>
            <w:r w:rsidRPr="00005453">
              <w:rPr>
                <w:color w:val="000000"/>
                <w:sz w:val="18"/>
                <w:szCs w:val="18"/>
              </w:rPr>
              <w:t xml:space="preserve">(68)    </w:t>
            </w:r>
          </w:p>
        </w:tc>
      </w:tr>
      <w:tr w:rsidR="00252443" w:rsidRPr="00005453" w14:paraId="284AFD2A" w14:textId="77777777" w:rsidTr="00252443">
        <w:trPr>
          <w:divId w:val="1407261525"/>
          <w:trHeight w:val="243"/>
        </w:trPr>
        <w:tc>
          <w:tcPr>
            <w:tcW w:w="4591" w:type="dxa"/>
            <w:tcBorders>
              <w:top w:val="single" w:sz="8" w:space="0" w:color="auto"/>
              <w:left w:val="nil"/>
              <w:bottom w:val="single" w:sz="8" w:space="0" w:color="auto"/>
              <w:right w:val="nil"/>
            </w:tcBorders>
            <w:shd w:val="clear" w:color="auto" w:fill="auto"/>
            <w:vAlign w:val="center"/>
            <w:hideMark/>
          </w:tcPr>
          <w:p w14:paraId="7D095692" w14:textId="77777777" w:rsidR="00252443" w:rsidRPr="00005453" w:rsidRDefault="00252443" w:rsidP="00252443">
            <w:pPr>
              <w:rPr>
                <w:b/>
                <w:bCs/>
                <w:color w:val="000000"/>
                <w:sz w:val="18"/>
                <w:szCs w:val="18"/>
                <w:lang w:eastAsia="tr-TR"/>
              </w:rPr>
            </w:pPr>
            <w:r w:rsidRPr="00005453">
              <w:rPr>
                <w:b/>
                <w:bCs/>
                <w:color w:val="000000"/>
                <w:sz w:val="18"/>
                <w:szCs w:val="18"/>
                <w:lang w:eastAsia="tr-TR"/>
              </w:rPr>
              <w:t xml:space="preserve">Kapanış Net Defter Değeri </w:t>
            </w:r>
          </w:p>
        </w:tc>
        <w:tc>
          <w:tcPr>
            <w:tcW w:w="2276" w:type="dxa"/>
            <w:tcBorders>
              <w:top w:val="single" w:sz="8" w:space="0" w:color="auto"/>
              <w:left w:val="nil"/>
              <w:bottom w:val="single" w:sz="8" w:space="0" w:color="auto"/>
              <w:right w:val="nil"/>
            </w:tcBorders>
            <w:shd w:val="clear" w:color="auto" w:fill="auto"/>
            <w:vAlign w:val="center"/>
            <w:hideMark/>
          </w:tcPr>
          <w:p w14:paraId="6A4B2C5A" w14:textId="197E4041" w:rsidR="00252443" w:rsidRPr="00005453" w:rsidRDefault="00252443" w:rsidP="00252443">
            <w:pPr>
              <w:jc w:val="right"/>
              <w:rPr>
                <w:b/>
                <w:bCs/>
                <w:sz w:val="18"/>
                <w:szCs w:val="18"/>
                <w:lang w:eastAsia="tr-TR"/>
              </w:rPr>
            </w:pPr>
            <w:r w:rsidRPr="00005453">
              <w:rPr>
                <w:b/>
                <w:bCs/>
                <w:sz w:val="18"/>
                <w:szCs w:val="18"/>
              </w:rPr>
              <w:t>2,314,849</w:t>
            </w:r>
          </w:p>
        </w:tc>
        <w:tc>
          <w:tcPr>
            <w:tcW w:w="2276" w:type="dxa"/>
            <w:tcBorders>
              <w:top w:val="single" w:sz="8" w:space="0" w:color="auto"/>
              <w:left w:val="nil"/>
              <w:bottom w:val="single" w:sz="8" w:space="0" w:color="auto"/>
              <w:right w:val="nil"/>
            </w:tcBorders>
            <w:shd w:val="clear" w:color="auto" w:fill="auto"/>
            <w:vAlign w:val="center"/>
            <w:hideMark/>
          </w:tcPr>
          <w:p w14:paraId="60F168B6" w14:textId="29545FF5" w:rsidR="00252443" w:rsidRPr="00005453" w:rsidRDefault="00252443" w:rsidP="00252443">
            <w:pPr>
              <w:jc w:val="right"/>
              <w:rPr>
                <w:b/>
                <w:color w:val="000000"/>
                <w:sz w:val="18"/>
                <w:szCs w:val="18"/>
                <w:lang w:eastAsia="tr-TR"/>
              </w:rPr>
            </w:pPr>
            <w:r w:rsidRPr="00005453">
              <w:rPr>
                <w:b/>
                <w:bCs/>
                <w:sz w:val="18"/>
                <w:szCs w:val="18"/>
              </w:rPr>
              <w:t>984,160</w:t>
            </w:r>
          </w:p>
        </w:tc>
      </w:tr>
    </w:tbl>
    <w:p w14:paraId="758F2BFC" w14:textId="4350649B" w:rsidR="001E4705" w:rsidRPr="00005453" w:rsidRDefault="001E4705" w:rsidP="001E4705">
      <w:pPr>
        <w:pStyle w:val="BodyTextIndent"/>
        <w:jc w:val="left"/>
        <w:rPr>
          <w:rFonts w:eastAsia="Arial Unicode MS"/>
          <w:sz w:val="6"/>
          <w:szCs w:val="16"/>
        </w:rPr>
      </w:pPr>
    </w:p>
    <w:p w14:paraId="10975DE2" w14:textId="5AC8CF57" w:rsidR="001E4705" w:rsidRPr="00005453" w:rsidRDefault="001E4705" w:rsidP="001E4705">
      <w:pPr>
        <w:pStyle w:val="BodyTextIndent"/>
        <w:ind w:left="0" w:firstLine="0"/>
        <w:rPr>
          <w:rFonts w:eastAsia="Arial Unicode MS"/>
          <w:spacing w:val="-4"/>
        </w:rPr>
      </w:pPr>
      <w:r w:rsidRPr="00005453">
        <w:rPr>
          <w:rFonts w:eastAsia="Arial Unicode MS"/>
          <w:spacing w:val="-4"/>
        </w:rPr>
        <w:t xml:space="preserve">Maddi olmayan duran varlıklar bilgiyasar yazılımları, bankacılık sistemleri için alınan program lisanslarını içermektedir. </w:t>
      </w:r>
    </w:p>
    <w:p w14:paraId="6483329C" w14:textId="5A47F6C3" w:rsidR="00D000CD" w:rsidRPr="007E6597" w:rsidRDefault="00D000CD" w:rsidP="001E4705">
      <w:pPr>
        <w:pStyle w:val="BodyTextIndent"/>
        <w:ind w:left="0" w:firstLine="0"/>
        <w:rPr>
          <w:rFonts w:eastAsia="Arial Unicode MS"/>
          <w:spacing w:val="-4"/>
          <w:sz w:val="12"/>
        </w:rPr>
      </w:pPr>
    </w:p>
    <w:p w14:paraId="0DFDB27A" w14:textId="46B4E12D" w:rsidR="001E4705" w:rsidRPr="00005453" w:rsidRDefault="001E4705" w:rsidP="001E4705">
      <w:pPr>
        <w:autoSpaceDE w:val="0"/>
        <w:autoSpaceDN w:val="0"/>
        <w:adjustRightInd w:val="0"/>
        <w:ind w:hanging="567"/>
        <w:rPr>
          <w:b/>
          <w:bCs/>
          <w:iCs/>
        </w:rPr>
      </w:pPr>
      <w:r w:rsidRPr="00005453">
        <w:rPr>
          <w:b/>
          <w:bCs/>
          <w:iCs/>
        </w:rPr>
        <w:t>1.14.   Yatırım amaçlı gayrimenkullere ilişkin açıklamalar</w:t>
      </w:r>
    </w:p>
    <w:p w14:paraId="1D16BC75" w14:textId="55734CA6" w:rsidR="002A13CE" w:rsidRPr="007E6597" w:rsidRDefault="002A13CE" w:rsidP="00087C0B">
      <w:pPr>
        <w:autoSpaceDE w:val="0"/>
        <w:autoSpaceDN w:val="0"/>
        <w:adjustRightInd w:val="0"/>
        <w:ind w:left="567" w:hanging="567"/>
        <w:jc w:val="both"/>
        <w:rPr>
          <w:sz w:val="16"/>
          <w:lang w:eastAsia="en-GB"/>
        </w:rPr>
      </w:pPr>
    </w:p>
    <w:p w14:paraId="6C4225A3" w14:textId="3638690A" w:rsidR="001E4705" w:rsidRPr="007E6597" w:rsidRDefault="000A6E43" w:rsidP="007E6597">
      <w:pPr>
        <w:autoSpaceDE w:val="0"/>
        <w:autoSpaceDN w:val="0"/>
        <w:adjustRightInd w:val="0"/>
        <w:ind w:left="567" w:hanging="567"/>
        <w:jc w:val="both"/>
        <w:rPr>
          <w:b/>
          <w:bCs/>
          <w:iCs/>
          <w:sz w:val="2"/>
          <w:szCs w:val="10"/>
        </w:rPr>
      </w:pPr>
      <w:r w:rsidRPr="00005453">
        <w:rPr>
          <w:bCs/>
          <w:iCs/>
        </w:rPr>
        <w:t>Yoktur (31 Aralık 202</w:t>
      </w:r>
      <w:r w:rsidR="00412107" w:rsidRPr="00005453">
        <w:rPr>
          <w:bCs/>
          <w:iCs/>
        </w:rPr>
        <w:t>3</w:t>
      </w:r>
      <w:r w:rsidRPr="00005453">
        <w:rPr>
          <w:bCs/>
          <w:iCs/>
        </w:rPr>
        <w:t xml:space="preserve"> – Yoktur).</w:t>
      </w:r>
      <w:r w:rsidRPr="00005453">
        <w:rPr>
          <w:bCs/>
          <w:iCs/>
          <w:sz w:val="16"/>
          <w:szCs w:val="16"/>
        </w:rPr>
        <w:t xml:space="preserve"> </w:t>
      </w:r>
      <w:r w:rsidR="001E4705" w:rsidRPr="00005453">
        <w:rPr>
          <w:bCs/>
          <w:iCs/>
          <w:sz w:val="16"/>
          <w:szCs w:val="16"/>
        </w:rPr>
        <w:t xml:space="preserve"> </w:t>
      </w:r>
    </w:p>
    <w:p w14:paraId="67F558CB" w14:textId="77777777" w:rsidR="00BE32D9" w:rsidRPr="007E6597" w:rsidRDefault="00BE32D9" w:rsidP="00A023D6">
      <w:pPr>
        <w:tabs>
          <w:tab w:val="left" w:pos="709"/>
        </w:tabs>
        <w:autoSpaceDE w:val="0"/>
        <w:autoSpaceDN w:val="0"/>
        <w:adjustRightInd w:val="0"/>
        <w:spacing w:line="230" w:lineRule="auto"/>
        <w:jc w:val="both"/>
        <w:rPr>
          <w:b/>
          <w:bCs/>
          <w:iCs/>
          <w:sz w:val="18"/>
          <w:szCs w:val="10"/>
        </w:rPr>
      </w:pPr>
    </w:p>
    <w:p w14:paraId="7D5EC32A" w14:textId="74526A07" w:rsidR="008B1E20" w:rsidRPr="00005453" w:rsidRDefault="0048609D" w:rsidP="00A023D6">
      <w:pPr>
        <w:tabs>
          <w:tab w:val="left" w:pos="709"/>
        </w:tabs>
        <w:autoSpaceDE w:val="0"/>
        <w:autoSpaceDN w:val="0"/>
        <w:adjustRightInd w:val="0"/>
        <w:spacing w:line="230" w:lineRule="auto"/>
        <w:ind w:hanging="567"/>
        <w:jc w:val="both"/>
        <w:rPr>
          <w:b/>
          <w:bCs/>
          <w:iCs/>
        </w:rPr>
      </w:pPr>
      <w:r w:rsidRPr="00005453">
        <w:rPr>
          <w:b/>
          <w:bCs/>
          <w:iCs/>
        </w:rPr>
        <w:t>1.15.</w:t>
      </w:r>
      <w:r w:rsidR="007959C0" w:rsidRPr="00005453">
        <w:rPr>
          <w:b/>
          <w:bCs/>
          <w:iCs/>
        </w:rPr>
        <w:tab/>
      </w:r>
      <w:r w:rsidR="00E253C8" w:rsidRPr="00005453">
        <w:rPr>
          <w:b/>
          <w:bCs/>
          <w:iCs/>
        </w:rPr>
        <w:t xml:space="preserve">Ertelenmiş vergi </w:t>
      </w:r>
      <w:r w:rsidR="00AE0BAA" w:rsidRPr="00005453">
        <w:rPr>
          <w:b/>
          <w:bCs/>
          <w:iCs/>
        </w:rPr>
        <w:t xml:space="preserve">varlığına </w:t>
      </w:r>
      <w:r w:rsidR="00E253C8" w:rsidRPr="00005453">
        <w:rPr>
          <w:b/>
          <w:bCs/>
          <w:iCs/>
        </w:rPr>
        <w:t>ilişkin bilgiler</w:t>
      </w:r>
    </w:p>
    <w:p w14:paraId="37721679" w14:textId="77777777" w:rsidR="00E041AE" w:rsidRPr="007E6597" w:rsidRDefault="00E041AE" w:rsidP="00A023D6">
      <w:pPr>
        <w:autoSpaceDE w:val="0"/>
        <w:autoSpaceDN w:val="0"/>
        <w:adjustRightInd w:val="0"/>
        <w:spacing w:line="230" w:lineRule="auto"/>
        <w:ind w:left="-180"/>
        <w:rPr>
          <w:b/>
          <w:bCs/>
          <w:iCs/>
          <w:sz w:val="10"/>
          <w:szCs w:val="12"/>
        </w:rPr>
      </w:pPr>
    </w:p>
    <w:p w14:paraId="05C2D24F" w14:textId="2835E36D" w:rsidR="002A13CE" w:rsidRPr="00005453" w:rsidRDefault="002A13CE" w:rsidP="002A13CE">
      <w:pPr>
        <w:tabs>
          <w:tab w:val="num" w:pos="2340"/>
          <w:tab w:val="num" w:pos="3060"/>
        </w:tabs>
        <w:autoSpaceDE w:val="0"/>
        <w:autoSpaceDN w:val="0"/>
        <w:adjustRightInd w:val="0"/>
        <w:spacing w:line="230" w:lineRule="auto"/>
        <w:jc w:val="both"/>
      </w:pPr>
      <w:r w:rsidRPr="00005453">
        <w:rPr>
          <w:color w:val="000000"/>
        </w:rPr>
        <w:t>İlgili düzenlemeler kapsamında</w:t>
      </w:r>
      <w:r w:rsidRPr="00005453">
        <w:t xml:space="preserve"> </w:t>
      </w:r>
      <w:r w:rsidRPr="00005453">
        <w:rPr>
          <w:rFonts w:eastAsia="Arial Unicode MS"/>
          <w:color w:val="000000"/>
        </w:rPr>
        <w:t>31 Aralık 202</w:t>
      </w:r>
      <w:r w:rsidR="00412107" w:rsidRPr="00005453">
        <w:rPr>
          <w:rFonts w:eastAsia="Arial Unicode MS"/>
          <w:color w:val="000000"/>
        </w:rPr>
        <w:t>4</w:t>
      </w:r>
      <w:r w:rsidRPr="00005453">
        <w:t xml:space="preserve"> tarihi itibarıyla ertelenmiş vergi bilançoda </w:t>
      </w:r>
      <w:r w:rsidR="00B940A5" w:rsidRPr="00005453">
        <w:t>8</w:t>
      </w:r>
      <w:r w:rsidR="001B1634" w:rsidRPr="00005453">
        <w:t>,</w:t>
      </w:r>
      <w:r w:rsidR="00B940A5" w:rsidRPr="00005453">
        <w:t>340</w:t>
      </w:r>
      <w:r w:rsidR="001B1634" w:rsidRPr="00005453">
        <w:t>,</w:t>
      </w:r>
      <w:r w:rsidR="00B940A5" w:rsidRPr="00005453">
        <w:t>450</w:t>
      </w:r>
      <w:r w:rsidRPr="00005453">
        <w:t xml:space="preserve"> TL</w:t>
      </w:r>
      <w:r w:rsidR="004E3580" w:rsidRPr="00005453">
        <w:t xml:space="preserve"> </w:t>
      </w:r>
      <w:bookmarkStart w:id="85" w:name="_Hlk188019667"/>
      <w:r w:rsidR="004E3580" w:rsidRPr="00005453">
        <w:t>(31 Aralık 202</w:t>
      </w:r>
      <w:r w:rsidR="00412107" w:rsidRPr="00005453">
        <w:t>3</w:t>
      </w:r>
      <w:r w:rsidR="004E3580" w:rsidRPr="00005453">
        <w:t xml:space="preserve"> – </w:t>
      </w:r>
      <w:r w:rsidR="00412107" w:rsidRPr="00005453">
        <w:t>5</w:t>
      </w:r>
      <w:r w:rsidR="004E3580" w:rsidRPr="00005453">
        <w:t>,</w:t>
      </w:r>
      <w:r w:rsidR="00412107" w:rsidRPr="00005453">
        <w:t>747</w:t>
      </w:r>
      <w:r w:rsidR="004E3580" w:rsidRPr="00005453">
        <w:t>,</w:t>
      </w:r>
      <w:r w:rsidR="00412107" w:rsidRPr="00005453">
        <w:t>818</w:t>
      </w:r>
      <w:r w:rsidR="004E3580" w:rsidRPr="00005453">
        <w:t xml:space="preserve"> TL)</w:t>
      </w:r>
      <w:bookmarkEnd w:id="85"/>
      <w:r w:rsidRPr="00005453">
        <w:t xml:space="preserve"> olarak netleştirilmiştir. Ertelenmiş vergi varlığı </w:t>
      </w:r>
      <w:r w:rsidR="00B940A5" w:rsidRPr="00005453">
        <w:t>9</w:t>
      </w:r>
      <w:r w:rsidR="001B1634" w:rsidRPr="00005453">
        <w:t>,</w:t>
      </w:r>
      <w:r w:rsidR="00B940A5" w:rsidRPr="00005453">
        <w:t>115</w:t>
      </w:r>
      <w:r w:rsidR="001B1634" w:rsidRPr="00005453">
        <w:t>,</w:t>
      </w:r>
      <w:r w:rsidR="00B940A5" w:rsidRPr="00005453">
        <w:t>487</w:t>
      </w:r>
      <w:r w:rsidRPr="00005453">
        <w:t xml:space="preserve"> TL (31 Aralık 202</w:t>
      </w:r>
      <w:r w:rsidR="00442255" w:rsidRPr="00005453">
        <w:t>3</w:t>
      </w:r>
      <w:r w:rsidRPr="00005453">
        <w:t xml:space="preserve"> – </w:t>
      </w:r>
      <w:r w:rsidR="00442255" w:rsidRPr="00005453">
        <w:t>6</w:t>
      </w:r>
      <w:r w:rsidR="000716F2" w:rsidRPr="00005453">
        <w:t>,</w:t>
      </w:r>
      <w:r w:rsidR="00442255" w:rsidRPr="00005453">
        <w:t>477</w:t>
      </w:r>
      <w:r w:rsidR="000716F2" w:rsidRPr="00005453">
        <w:t>,</w:t>
      </w:r>
      <w:r w:rsidR="00442255" w:rsidRPr="00005453">
        <w:t>294</w:t>
      </w:r>
      <w:r w:rsidR="000716F2" w:rsidRPr="00005453">
        <w:t xml:space="preserve"> </w:t>
      </w:r>
      <w:r w:rsidRPr="00005453">
        <w:rPr>
          <w:spacing w:val="-10"/>
        </w:rPr>
        <w:t>TL</w:t>
      </w:r>
      <w:r w:rsidRPr="00005453">
        <w:t xml:space="preserve">) ertelenmiş vergi borcu ise </w:t>
      </w:r>
      <w:r w:rsidR="0048395F" w:rsidRPr="00005453">
        <w:t>7</w:t>
      </w:r>
      <w:r w:rsidR="00B940A5" w:rsidRPr="00005453">
        <w:t>75</w:t>
      </w:r>
      <w:r w:rsidR="001B1634" w:rsidRPr="00005453">
        <w:t>,</w:t>
      </w:r>
      <w:r w:rsidR="00B940A5" w:rsidRPr="00005453">
        <w:t>037</w:t>
      </w:r>
      <w:r w:rsidRPr="00005453">
        <w:t xml:space="preserve"> TL (31 Aralık 202</w:t>
      </w:r>
      <w:r w:rsidR="00442255" w:rsidRPr="00005453">
        <w:t>3</w:t>
      </w:r>
      <w:r w:rsidRPr="00005453">
        <w:t xml:space="preserve"> – </w:t>
      </w:r>
      <w:r w:rsidR="00442255" w:rsidRPr="00005453">
        <w:t>72</w:t>
      </w:r>
      <w:r w:rsidR="000716F2" w:rsidRPr="00005453">
        <w:t>9,4</w:t>
      </w:r>
      <w:r w:rsidR="00442255" w:rsidRPr="00005453">
        <w:t>7</w:t>
      </w:r>
      <w:r w:rsidR="000716F2" w:rsidRPr="00005453">
        <w:t>6</w:t>
      </w:r>
      <w:r w:rsidR="00911789" w:rsidRPr="00005453">
        <w:t xml:space="preserve"> </w:t>
      </w:r>
      <w:r w:rsidRPr="00005453">
        <w:rPr>
          <w:spacing w:val="-10"/>
        </w:rPr>
        <w:t>TL</w:t>
      </w:r>
      <w:r w:rsidRPr="00005453">
        <w:t>) hesaplanmıştır.</w:t>
      </w:r>
    </w:p>
    <w:p w14:paraId="5E24DCBB" w14:textId="36437950" w:rsidR="002A13CE" w:rsidRPr="00005453" w:rsidRDefault="002A13CE" w:rsidP="00A3530B">
      <w:pPr>
        <w:autoSpaceDE w:val="0"/>
        <w:autoSpaceDN w:val="0"/>
        <w:adjustRightInd w:val="0"/>
        <w:spacing w:line="230" w:lineRule="auto"/>
        <w:jc w:val="both"/>
        <w:rPr>
          <w:lang w:eastAsia="en-GB"/>
        </w:rPr>
      </w:pPr>
    </w:p>
    <w:tbl>
      <w:tblPr>
        <w:tblW w:w="9213" w:type="dxa"/>
        <w:tblCellMar>
          <w:left w:w="70" w:type="dxa"/>
          <w:right w:w="70" w:type="dxa"/>
        </w:tblCellMar>
        <w:tblLook w:val="04A0" w:firstRow="1" w:lastRow="0" w:firstColumn="1" w:lastColumn="0" w:noHBand="0" w:noVBand="1"/>
      </w:tblPr>
      <w:tblGrid>
        <w:gridCol w:w="5262"/>
        <w:gridCol w:w="29"/>
        <w:gridCol w:w="20"/>
        <w:gridCol w:w="1563"/>
        <w:gridCol w:w="2339"/>
      </w:tblGrid>
      <w:tr w:rsidR="002A13CE" w:rsidRPr="00005453" w14:paraId="72DF97C8" w14:textId="77777777" w:rsidTr="00BD1BED">
        <w:trPr>
          <w:divId w:val="1703285976"/>
          <w:trHeight w:val="227"/>
        </w:trPr>
        <w:tc>
          <w:tcPr>
            <w:tcW w:w="5311" w:type="dxa"/>
            <w:gridSpan w:val="3"/>
            <w:tcBorders>
              <w:top w:val="double" w:sz="6" w:space="0" w:color="auto"/>
              <w:left w:val="nil"/>
              <w:bottom w:val="single" w:sz="8" w:space="0" w:color="auto"/>
              <w:right w:val="nil"/>
            </w:tcBorders>
            <w:shd w:val="clear" w:color="auto" w:fill="auto"/>
            <w:vAlign w:val="center"/>
            <w:hideMark/>
          </w:tcPr>
          <w:p w14:paraId="22401616" w14:textId="2A06B39A" w:rsidR="002A13CE" w:rsidRPr="007E6597" w:rsidRDefault="002A13CE" w:rsidP="002A13CE">
            <w:pPr>
              <w:rPr>
                <w:szCs w:val="18"/>
                <w:lang w:eastAsia="tr-TR"/>
              </w:rPr>
            </w:pPr>
            <w:r w:rsidRPr="00005453">
              <w:rPr>
                <w:sz w:val="18"/>
                <w:szCs w:val="18"/>
                <w:lang w:eastAsia="tr-TR"/>
              </w:rPr>
              <w:t> </w:t>
            </w:r>
          </w:p>
        </w:tc>
        <w:tc>
          <w:tcPr>
            <w:tcW w:w="1563" w:type="dxa"/>
            <w:tcBorders>
              <w:top w:val="double" w:sz="6" w:space="0" w:color="auto"/>
              <w:left w:val="nil"/>
              <w:bottom w:val="single" w:sz="8" w:space="0" w:color="auto"/>
              <w:right w:val="nil"/>
            </w:tcBorders>
            <w:shd w:val="clear" w:color="auto" w:fill="auto"/>
            <w:vAlign w:val="center"/>
            <w:hideMark/>
          </w:tcPr>
          <w:p w14:paraId="0F9C032A" w14:textId="77777777" w:rsidR="002A13CE" w:rsidRPr="00005453" w:rsidRDefault="002A13CE" w:rsidP="002A13CE">
            <w:pPr>
              <w:jc w:val="right"/>
              <w:rPr>
                <w:b/>
                <w:bCs/>
                <w:sz w:val="18"/>
                <w:szCs w:val="18"/>
                <w:lang w:eastAsia="tr-TR"/>
              </w:rPr>
            </w:pPr>
            <w:r w:rsidRPr="00005453">
              <w:rPr>
                <w:b/>
                <w:bCs/>
                <w:sz w:val="18"/>
                <w:szCs w:val="18"/>
                <w:lang w:eastAsia="tr-TR"/>
              </w:rPr>
              <w:t>Cari Dönem</w:t>
            </w:r>
          </w:p>
        </w:tc>
        <w:tc>
          <w:tcPr>
            <w:tcW w:w="2339" w:type="dxa"/>
            <w:tcBorders>
              <w:top w:val="double" w:sz="6" w:space="0" w:color="auto"/>
              <w:left w:val="nil"/>
              <w:bottom w:val="single" w:sz="8" w:space="0" w:color="auto"/>
              <w:right w:val="nil"/>
            </w:tcBorders>
            <w:shd w:val="clear" w:color="auto" w:fill="auto"/>
            <w:vAlign w:val="center"/>
            <w:hideMark/>
          </w:tcPr>
          <w:p w14:paraId="6F322C6F" w14:textId="77777777" w:rsidR="002A13CE" w:rsidRPr="00005453" w:rsidRDefault="002A13CE" w:rsidP="002A13CE">
            <w:pPr>
              <w:jc w:val="right"/>
              <w:rPr>
                <w:b/>
                <w:bCs/>
                <w:sz w:val="18"/>
                <w:szCs w:val="18"/>
                <w:lang w:eastAsia="tr-TR"/>
              </w:rPr>
            </w:pPr>
            <w:r w:rsidRPr="00005453">
              <w:rPr>
                <w:b/>
                <w:bCs/>
                <w:sz w:val="18"/>
                <w:szCs w:val="18"/>
                <w:lang w:eastAsia="tr-TR"/>
              </w:rPr>
              <w:t>Önceki Dönem</w:t>
            </w:r>
          </w:p>
        </w:tc>
      </w:tr>
      <w:tr w:rsidR="00D134F6" w:rsidRPr="00005453" w14:paraId="05DA029A" w14:textId="77777777" w:rsidTr="00D134F6">
        <w:trPr>
          <w:divId w:val="1703285976"/>
          <w:trHeight w:val="60"/>
        </w:trPr>
        <w:tc>
          <w:tcPr>
            <w:tcW w:w="5291" w:type="dxa"/>
            <w:gridSpan w:val="2"/>
            <w:tcBorders>
              <w:top w:val="nil"/>
              <w:left w:val="nil"/>
              <w:bottom w:val="nil"/>
              <w:right w:val="nil"/>
            </w:tcBorders>
            <w:shd w:val="clear" w:color="auto" w:fill="auto"/>
            <w:vAlign w:val="center"/>
            <w:hideMark/>
          </w:tcPr>
          <w:p w14:paraId="0B887DFB" w14:textId="18A3F4CC" w:rsidR="00D134F6" w:rsidRPr="00005453" w:rsidRDefault="00D134F6" w:rsidP="00D134F6">
            <w:pPr>
              <w:rPr>
                <w:sz w:val="18"/>
                <w:szCs w:val="18"/>
                <w:lang w:eastAsia="tr-TR"/>
              </w:rPr>
            </w:pPr>
            <w:r w:rsidRPr="00005453">
              <w:rPr>
                <w:sz w:val="18"/>
                <w:szCs w:val="18"/>
                <w:lang w:eastAsia="tr-TR"/>
              </w:rPr>
              <w:t>TFRS 9 Karşılıkları</w:t>
            </w:r>
          </w:p>
        </w:tc>
        <w:tc>
          <w:tcPr>
            <w:tcW w:w="1583" w:type="dxa"/>
            <w:gridSpan w:val="2"/>
            <w:tcBorders>
              <w:top w:val="nil"/>
              <w:left w:val="nil"/>
              <w:bottom w:val="nil"/>
              <w:right w:val="nil"/>
            </w:tcBorders>
            <w:shd w:val="clear" w:color="auto" w:fill="auto"/>
            <w:vAlign w:val="center"/>
            <w:hideMark/>
          </w:tcPr>
          <w:p w14:paraId="0E55BFCF" w14:textId="66A8EF00" w:rsidR="00D134F6" w:rsidRPr="00005453" w:rsidRDefault="00D134F6" w:rsidP="00D134F6">
            <w:pPr>
              <w:jc w:val="right"/>
              <w:rPr>
                <w:sz w:val="18"/>
                <w:szCs w:val="18"/>
                <w:lang w:eastAsia="tr-TR"/>
              </w:rPr>
            </w:pPr>
            <w:r w:rsidRPr="00005453">
              <w:rPr>
                <w:color w:val="000000"/>
                <w:sz w:val="18"/>
                <w:szCs w:val="22"/>
                <w:lang w:eastAsia="en-GB"/>
              </w:rPr>
              <w:t>1,794,065</w:t>
            </w:r>
          </w:p>
        </w:tc>
        <w:tc>
          <w:tcPr>
            <w:tcW w:w="2339" w:type="dxa"/>
            <w:tcBorders>
              <w:top w:val="nil"/>
              <w:left w:val="nil"/>
              <w:bottom w:val="nil"/>
              <w:right w:val="nil"/>
            </w:tcBorders>
            <w:shd w:val="clear" w:color="auto" w:fill="auto"/>
            <w:vAlign w:val="center"/>
            <w:hideMark/>
          </w:tcPr>
          <w:p w14:paraId="0AAC0F77" w14:textId="662EC1CF" w:rsidR="00D134F6" w:rsidRPr="00005453" w:rsidRDefault="00D134F6" w:rsidP="00D134F6">
            <w:pPr>
              <w:jc w:val="right"/>
              <w:rPr>
                <w:sz w:val="18"/>
                <w:szCs w:val="18"/>
                <w:lang w:eastAsia="tr-TR"/>
              </w:rPr>
            </w:pPr>
            <w:r w:rsidRPr="00005453">
              <w:rPr>
                <w:color w:val="000000"/>
                <w:sz w:val="18"/>
                <w:szCs w:val="22"/>
              </w:rPr>
              <w:t>2,612,011</w:t>
            </w:r>
          </w:p>
        </w:tc>
      </w:tr>
      <w:tr w:rsidR="00D134F6" w:rsidRPr="00005453" w14:paraId="467E066A" w14:textId="77777777" w:rsidTr="00D134F6">
        <w:trPr>
          <w:divId w:val="1703285976"/>
          <w:trHeight w:val="214"/>
        </w:trPr>
        <w:tc>
          <w:tcPr>
            <w:tcW w:w="5291" w:type="dxa"/>
            <w:gridSpan w:val="2"/>
            <w:tcBorders>
              <w:top w:val="nil"/>
              <w:left w:val="nil"/>
              <w:bottom w:val="nil"/>
              <w:right w:val="nil"/>
            </w:tcBorders>
            <w:shd w:val="clear" w:color="auto" w:fill="auto"/>
            <w:vAlign w:val="center"/>
            <w:hideMark/>
          </w:tcPr>
          <w:p w14:paraId="17A29488" w14:textId="564E2D49" w:rsidR="00D134F6" w:rsidRPr="00005453" w:rsidRDefault="00D134F6" w:rsidP="00D134F6">
            <w:pPr>
              <w:rPr>
                <w:sz w:val="18"/>
                <w:szCs w:val="18"/>
                <w:lang w:eastAsia="tr-TR"/>
              </w:rPr>
            </w:pPr>
            <w:r w:rsidRPr="00005453">
              <w:rPr>
                <w:sz w:val="18"/>
                <w:szCs w:val="18"/>
                <w:lang w:eastAsia="tr-TR"/>
              </w:rPr>
              <w:t>Maddi Duran Varlıklar Değerleme Farkları</w:t>
            </w:r>
          </w:p>
        </w:tc>
        <w:tc>
          <w:tcPr>
            <w:tcW w:w="1583" w:type="dxa"/>
            <w:gridSpan w:val="2"/>
            <w:tcBorders>
              <w:top w:val="nil"/>
              <w:left w:val="nil"/>
              <w:bottom w:val="nil"/>
              <w:right w:val="nil"/>
            </w:tcBorders>
            <w:shd w:val="clear" w:color="auto" w:fill="auto"/>
            <w:vAlign w:val="center"/>
            <w:hideMark/>
          </w:tcPr>
          <w:p w14:paraId="5328DCED" w14:textId="7FE74EF1" w:rsidR="00D134F6" w:rsidRPr="00005453" w:rsidRDefault="00D134F6" w:rsidP="00D134F6">
            <w:pPr>
              <w:jc w:val="right"/>
              <w:rPr>
                <w:sz w:val="18"/>
                <w:szCs w:val="18"/>
                <w:lang w:eastAsia="tr-TR"/>
              </w:rPr>
            </w:pPr>
            <w:r w:rsidRPr="00005453">
              <w:rPr>
                <w:color w:val="000000"/>
                <w:sz w:val="18"/>
                <w:szCs w:val="22"/>
                <w:lang w:eastAsia="en-GB"/>
              </w:rPr>
              <w:t>1,997,385</w:t>
            </w:r>
          </w:p>
        </w:tc>
        <w:tc>
          <w:tcPr>
            <w:tcW w:w="2339" w:type="dxa"/>
            <w:tcBorders>
              <w:top w:val="nil"/>
              <w:left w:val="nil"/>
              <w:bottom w:val="nil"/>
              <w:right w:val="nil"/>
            </w:tcBorders>
            <w:shd w:val="clear" w:color="auto" w:fill="auto"/>
            <w:vAlign w:val="center"/>
            <w:hideMark/>
          </w:tcPr>
          <w:p w14:paraId="61B060CA" w14:textId="3D5BC582" w:rsidR="00D134F6" w:rsidRPr="00005453" w:rsidRDefault="00D134F6" w:rsidP="00D134F6">
            <w:pPr>
              <w:jc w:val="right"/>
              <w:rPr>
                <w:sz w:val="18"/>
                <w:szCs w:val="18"/>
                <w:lang w:eastAsia="tr-TR"/>
              </w:rPr>
            </w:pPr>
            <w:r w:rsidRPr="00005453">
              <w:rPr>
                <w:color w:val="000000"/>
                <w:sz w:val="18"/>
                <w:szCs w:val="22"/>
              </w:rPr>
              <w:t>1,608,654</w:t>
            </w:r>
          </w:p>
        </w:tc>
      </w:tr>
      <w:tr w:rsidR="00D134F6" w:rsidRPr="00005453" w14:paraId="7328C703" w14:textId="77777777" w:rsidTr="00D134F6">
        <w:trPr>
          <w:divId w:val="1703285976"/>
          <w:trHeight w:val="187"/>
        </w:trPr>
        <w:tc>
          <w:tcPr>
            <w:tcW w:w="5262" w:type="dxa"/>
            <w:tcBorders>
              <w:top w:val="nil"/>
              <w:left w:val="nil"/>
              <w:bottom w:val="nil"/>
              <w:right w:val="nil"/>
            </w:tcBorders>
            <w:shd w:val="clear" w:color="auto" w:fill="auto"/>
            <w:vAlign w:val="center"/>
            <w:hideMark/>
          </w:tcPr>
          <w:p w14:paraId="0F2A7FCC" w14:textId="06FC619E" w:rsidR="00D134F6" w:rsidRPr="00005453" w:rsidRDefault="00D134F6" w:rsidP="00D134F6">
            <w:pPr>
              <w:rPr>
                <w:sz w:val="18"/>
                <w:szCs w:val="18"/>
                <w:lang w:eastAsia="tr-TR"/>
              </w:rPr>
            </w:pPr>
            <w:r w:rsidRPr="00005453">
              <w:rPr>
                <w:sz w:val="18"/>
                <w:szCs w:val="18"/>
                <w:lang w:eastAsia="tr-TR"/>
              </w:rPr>
              <w:t>Çalışan Hakları Yükümlülüğü</w:t>
            </w:r>
          </w:p>
        </w:tc>
        <w:tc>
          <w:tcPr>
            <w:tcW w:w="1612" w:type="dxa"/>
            <w:gridSpan w:val="3"/>
            <w:tcBorders>
              <w:top w:val="nil"/>
              <w:left w:val="nil"/>
              <w:bottom w:val="nil"/>
              <w:right w:val="nil"/>
            </w:tcBorders>
            <w:shd w:val="clear" w:color="auto" w:fill="auto"/>
            <w:vAlign w:val="center"/>
            <w:hideMark/>
          </w:tcPr>
          <w:p w14:paraId="6C755D6B" w14:textId="26512997" w:rsidR="00D134F6" w:rsidRPr="00005453" w:rsidRDefault="00D134F6" w:rsidP="00D134F6">
            <w:pPr>
              <w:jc w:val="right"/>
              <w:rPr>
                <w:sz w:val="18"/>
                <w:szCs w:val="18"/>
                <w:lang w:eastAsia="tr-TR"/>
              </w:rPr>
            </w:pPr>
            <w:r w:rsidRPr="00005453">
              <w:rPr>
                <w:color w:val="000000"/>
                <w:sz w:val="18"/>
                <w:szCs w:val="22"/>
                <w:lang w:eastAsia="en-GB"/>
              </w:rPr>
              <w:t>730,910</w:t>
            </w:r>
          </w:p>
        </w:tc>
        <w:tc>
          <w:tcPr>
            <w:tcW w:w="2339" w:type="dxa"/>
            <w:tcBorders>
              <w:top w:val="nil"/>
              <w:left w:val="nil"/>
              <w:bottom w:val="nil"/>
              <w:right w:val="nil"/>
            </w:tcBorders>
            <w:shd w:val="clear" w:color="auto" w:fill="auto"/>
            <w:vAlign w:val="center"/>
            <w:hideMark/>
          </w:tcPr>
          <w:p w14:paraId="6D8DC76E" w14:textId="2C329D1B" w:rsidR="00D134F6" w:rsidRPr="00005453" w:rsidRDefault="00D134F6" w:rsidP="00D134F6">
            <w:pPr>
              <w:jc w:val="right"/>
              <w:rPr>
                <w:sz w:val="18"/>
                <w:szCs w:val="18"/>
                <w:lang w:eastAsia="tr-TR"/>
              </w:rPr>
            </w:pPr>
            <w:r w:rsidRPr="00005453">
              <w:rPr>
                <w:color w:val="000000"/>
                <w:sz w:val="18"/>
                <w:szCs w:val="22"/>
              </w:rPr>
              <w:t>468,236</w:t>
            </w:r>
          </w:p>
        </w:tc>
      </w:tr>
      <w:tr w:rsidR="00D134F6" w:rsidRPr="00005453" w14:paraId="5B54B936" w14:textId="77777777" w:rsidTr="00D134F6">
        <w:trPr>
          <w:divId w:val="1703285976"/>
          <w:trHeight w:val="214"/>
        </w:trPr>
        <w:tc>
          <w:tcPr>
            <w:tcW w:w="5262" w:type="dxa"/>
            <w:tcBorders>
              <w:top w:val="nil"/>
              <w:left w:val="nil"/>
              <w:bottom w:val="nil"/>
              <w:right w:val="nil"/>
            </w:tcBorders>
            <w:shd w:val="clear" w:color="auto" w:fill="auto"/>
            <w:noWrap/>
            <w:vAlign w:val="center"/>
            <w:hideMark/>
          </w:tcPr>
          <w:p w14:paraId="7E67A842" w14:textId="0BB83412" w:rsidR="00D134F6" w:rsidRPr="00005453" w:rsidRDefault="00D134F6" w:rsidP="00D134F6">
            <w:pPr>
              <w:rPr>
                <w:sz w:val="18"/>
                <w:szCs w:val="18"/>
                <w:lang w:eastAsia="tr-TR"/>
              </w:rPr>
            </w:pPr>
            <w:r w:rsidRPr="00005453">
              <w:rPr>
                <w:sz w:val="18"/>
                <w:szCs w:val="18"/>
                <w:lang w:eastAsia="tr-TR"/>
              </w:rPr>
              <w:t>Ertelenmiş Gelirler</w:t>
            </w:r>
          </w:p>
        </w:tc>
        <w:tc>
          <w:tcPr>
            <w:tcW w:w="1612" w:type="dxa"/>
            <w:gridSpan w:val="3"/>
            <w:tcBorders>
              <w:top w:val="nil"/>
              <w:left w:val="nil"/>
              <w:bottom w:val="nil"/>
              <w:right w:val="nil"/>
            </w:tcBorders>
            <w:shd w:val="clear" w:color="auto" w:fill="auto"/>
            <w:vAlign w:val="center"/>
            <w:hideMark/>
          </w:tcPr>
          <w:p w14:paraId="69AEFB03" w14:textId="514AB6AD" w:rsidR="00D134F6" w:rsidRPr="00005453" w:rsidRDefault="00D134F6" w:rsidP="00D134F6">
            <w:pPr>
              <w:jc w:val="right"/>
              <w:rPr>
                <w:sz w:val="18"/>
                <w:szCs w:val="18"/>
                <w:lang w:eastAsia="tr-TR"/>
              </w:rPr>
            </w:pPr>
            <w:r w:rsidRPr="00005453">
              <w:rPr>
                <w:color w:val="000000"/>
                <w:sz w:val="18"/>
                <w:szCs w:val="22"/>
                <w:lang w:eastAsia="en-GB"/>
              </w:rPr>
              <w:t>612,715</w:t>
            </w:r>
          </w:p>
        </w:tc>
        <w:tc>
          <w:tcPr>
            <w:tcW w:w="2339" w:type="dxa"/>
            <w:tcBorders>
              <w:top w:val="nil"/>
              <w:left w:val="nil"/>
              <w:bottom w:val="nil"/>
              <w:right w:val="nil"/>
            </w:tcBorders>
            <w:shd w:val="clear" w:color="auto" w:fill="auto"/>
            <w:vAlign w:val="center"/>
            <w:hideMark/>
          </w:tcPr>
          <w:p w14:paraId="78E098D9" w14:textId="2571B90D" w:rsidR="00D134F6" w:rsidRPr="00005453" w:rsidRDefault="00D134F6" w:rsidP="00D134F6">
            <w:pPr>
              <w:jc w:val="right"/>
              <w:rPr>
                <w:sz w:val="18"/>
                <w:szCs w:val="18"/>
                <w:lang w:eastAsia="tr-TR"/>
              </w:rPr>
            </w:pPr>
            <w:r w:rsidRPr="00005453">
              <w:rPr>
                <w:color w:val="000000"/>
                <w:sz w:val="18"/>
                <w:szCs w:val="22"/>
              </w:rPr>
              <w:t>394,378</w:t>
            </w:r>
          </w:p>
        </w:tc>
      </w:tr>
      <w:tr w:rsidR="00D134F6" w:rsidRPr="00005453" w14:paraId="564004FE" w14:textId="77777777" w:rsidTr="00D134F6">
        <w:trPr>
          <w:divId w:val="1703285976"/>
          <w:trHeight w:val="90"/>
        </w:trPr>
        <w:tc>
          <w:tcPr>
            <w:tcW w:w="5262" w:type="dxa"/>
            <w:tcBorders>
              <w:top w:val="nil"/>
              <w:left w:val="nil"/>
              <w:bottom w:val="nil"/>
              <w:right w:val="nil"/>
            </w:tcBorders>
            <w:shd w:val="clear" w:color="auto" w:fill="auto"/>
            <w:vAlign w:val="center"/>
          </w:tcPr>
          <w:p w14:paraId="294F366F" w14:textId="34C8E468" w:rsidR="00D134F6" w:rsidRPr="00005453" w:rsidRDefault="00D134F6" w:rsidP="00D134F6">
            <w:pPr>
              <w:rPr>
                <w:sz w:val="18"/>
                <w:szCs w:val="18"/>
                <w:lang w:eastAsia="tr-TR"/>
              </w:rPr>
            </w:pPr>
            <w:r w:rsidRPr="00005453">
              <w:rPr>
                <w:sz w:val="18"/>
                <w:szCs w:val="18"/>
                <w:lang w:eastAsia="tr-TR"/>
              </w:rPr>
              <w:t>Kıdem Tazminatı Yükümlülüğü</w:t>
            </w:r>
          </w:p>
        </w:tc>
        <w:tc>
          <w:tcPr>
            <w:tcW w:w="1612" w:type="dxa"/>
            <w:gridSpan w:val="3"/>
            <w:tcBorders>
              <w:top w:val="nil"/>
              <w:left w:val="nil"/>
              <w:bottom w:val="nil"/>
              <w:right w:val="nil"/>
            </w:tcBorders>
            <w:shd w:val="clear" w:color="auto" w:fill="auto"/>
            <w:vAlign w:val="center"/>
          </w:tcPr>
          <w:p w14:paraId="5EE7FF56" w14:textId="7E01789E" w:rsidR="00D134F6" w:rsidRPr="00005453" w:rsidRDefault="00D134F6" w:rsidP="00D134F6">
            <w:pPr>
              <w:jc w:val="right"/>
              <w:rPr>
                <w:sz w:val="18"/>
                <w:szCs w:val="18"/>
                <w:lang w:eastAsia="tr-TR"/>
              </w:rPr>
            </w:pPr>
            <w:r w:rsidRPr="00005453">
              <w:rPr>
                <w:color w:val="000000"/>
                <w:sz w:val="18"/>
                <w:szCs w:val="22"/>
                <w:lang w:eastAsia="en-GB"/>
              </w:rPr>
              <w:t>429,630</w:t>
            </w:r>
          </w:p>
        </w:tc>
        <w:tc>
          <w:tcPr>
            <w:tcW w:w="2339" w:type="dxa"/>
            <w:tcBorders>
              <w:top w:val="nil"/>
              <w:left w:val="nil"/>
              <w:bottom w:val="nil"/>
              <w:right w:val="nil"/>
            </w:tcBorders>
            <w:shd w:val="clear" w:color="auto" w:fill="auto"/>
            <w:vAlign w:val="center"/>
          </w:tcPr>
          <w:p w14:paraId="053B7D3B" w14:textId="7FE13A13" w:rsidR="00D134F6" w:rsidRPr="00005453" w:rsidRDefault="00D134F6" w:rsidP="00D134F6">
            <w:pPr>
              <w:jc w:val="right"/>
              <w:rPr>
                <w:sz w:val="18"/>
                <w:szCs w:val="18"/>
                <w:lang w:eastAsia="tr-TR"/>
              </w:rPr>
            </w:pPr>
            <w:r w:rsidRPr="00005453">
              <w:rPr>
                <w:color w:val="000000"/>
                <w:sz w:val="18"/>
                <w:szCs w:val="22"/>
              </w:rPr>
              <w:t>328,616</w:t>
            </w:r>
          </w:p>
        </w:tc>
      </w:tr>
      <w:tr w:rsidR="00D134F6" w:rsidRPr="00005453" w14:paraId="0CB29B8C" w14:textId="77777777" w:rsidTr="00D134F6">
        <w:trPr>
          <w:divId w:val="1703285976"/>
          <w:trHeight w:val="90"/>
        </w:trPr>
        <w:tc>
          <w:tcPr>
            <w:tcW w:w="5262" w:type="dxa"/>
            <w:tcBorders>
              <w:top w:val="nil"/>
              <w:left w:val="nil"/>
              <w:bottom w:val="nil"/>
              <w:right w:val="nil"/>
            </w:tcBorders>
            <w:shd w:val="clear" w:color="auto" w:fill="auto"/>
            <w:vAlign w:val="center"/>
          </w:tcPr>
          <w:p w14:paraId="44A8F556" w14:textId="5B12E98B" w:rsidR="00D134F6" w:rsidRPr="00005453" w:rsidRDefault="00D134F6" w:rsidP="00D134F6">
            <w:pPr>
              <w:rPr>
                <w:sz w:val="18"/>
                <w:szCs w:val="18"/>
                <w:lang w:eastAsia="tr-TR"/>
              </w:rPr>
            </w:pPr>
            <w:r w:rsidRPr="00005453">
              <w:rPr>
                <w:sz w:val="18"/>
                <w:szCs w:val="18"/>
                <w:lang w:eastAsia="tr-TR"/>
              </w:rPr>
              <w:t>Kıymetli madenler değerleme farkları</w:t>
            </w:r>
          </w:p>
        </w:tc>
        <w:tc>
          <w:tcPr>
            <w:tcW w:w="1612" w:type="dxa"/>
            <w:gridSpan w:val="3"/>
            <w:tcBorders>
              <w:top w:val="nil"/>
              <w:left w:val="nil"/>
              <w:bottom w:val="nil"/>
              <w:right w:val="nil"/>
            </w:tcBorders>
            <w:shd w:val="clear" w:color="auto" w:fill="auto"/>
            <w:vAlign w:val="center"/>
          </w:tcPr>
          <w:p w14:paraId="20D8AE33" w14:textId="31CB54A1" w:rsidR="00D134F6" w:rsidRPr="00005453" w:rsidRDefault="00D134F6" w:rsidP="00D134F6">
            <w:pPr>
              <w:jc w:val="right"/>
              <w:rPr>
                <w:color w:val="000000"/>
                <w:sz w:val="18"/>
                <w:szCs w:val="22"/>
              </w:rPr>
            </w:pPr>
            <w:r w:rsidRPr="00005453">
              <w:rPr>
                <w:color w:val="000000"/>
                <w:sz w:val="18"/>
                <w:szCs w:val="22"/>
                <w:lang w:eastAsia="en-GB"/>
              </w:rPr>
              <w:t>-</w:t>
            </w:r>
          </w:p>
        </w:tc>
        <w:tc>
          <w:tcPr>
            <w:tcW w:w="2339" w:type="dxa"/>
            <w:tcBorders>
              <w:top w:val="nil"/>
              <w:left w:val="nil"/>
              <w:bottom w:val="nil"/>
              <w:right w:val="nil"/>
            </w:tcBorders>
            <w:shd w:val="clear" w:color="auto" w:fill="auto"/>
            <w:vAlign w:val="center"/>
          </w:tcPr>
          <w:p w14:paraId="339F98B8" w14:textId="6A380203" w:rsidR="00D134F6" w:rsidRPr="00005453" w:rsidRDefault="00D134F6" w:rsidP="00D134F6">
            <w:pPr>
              <w:jc w:val="right"/>
              <w:rPr>
                <w:color w:val="000000"/>
                <w:sz w:val="18"/>
                <w:szCs w:val="22"/>
              </w:rPr>
            </w:pPr>
            <w:r w:rsidRPr="00005453">
              <w:rPr>
                <w:color w:val="000000"/>
                <w:sz w:val="18"/>
                <w:szCs w:val="22"/>
              </w:rPr>
              <w:t>283,950</w:t>
            </w:r>
          </w:p>
        </w:tc>
      </w:tr>
      <w:tr w:rsidR="00D134F6" w:rsidRPr="00005453" w14:paraId="2509E88D" w14:textId="77777777" w:rsidTr="00D134F6">
        <w:trPr>
          <w:divId w:val="1703285976"/>
          <w:trHeight w:val="90"/>
        </w:trPr>
        <w:tc>
          <w:tcPr>
            <w:tcW w:w="5262" w:type="dxa"/>
            <w:tcBorders>
              <w:top w:val="nil"/>
              <w:left w:val="nil"/>
              <w:bottom w:val="nil"/>
              <w:right w:val="nil"/>
            </w:tcBorders>
            <w:shd w:val="clear" w:color="auto" w:fill="auto"/>
            <w:vAlign w:val="center"/>
          </w:tcPr>
          <w:p w14:paraId="0B2887B4" w14:textId="7F965F8B" w:rsidR="00D134F6" w:rsidRPr="00005453" w:rsidRDefault="00D134F6" w:rsidP="00D134F6">
            <w:pPr>
              <w:rPr>
                <w:sz w:val="18"/>
                <w:szCs w:val="18"/>
                <w:lang w:eastAsia="tr-TR"/>
              </w:rPr>
            </w:pPr>
            <w:r w:rsidRPr="00005453">
              <w:rPr>
                <w:sz w:val="18"/>
                <w:szCs w:val="18"/>
                <w:lang w:eastAsia="tr-TR"/>
              </w:rPr>
              <w:t>Menkul Değerler Değerleme Farkı</w:t>
            </w:r>
          </w:p>
        </w:tc>
        <w:tc>
          <w:tcPr>
            <w:tcW w:w="1612" w:type="dxa"/>
            <w:gridSpan w:val="3"/>
            <w:tcBorders>
              <w:top w:val="nil"/>
              <w:left w:val="nil"/>
              <w:bottom w:val="nil"/>
              <w:right w:val="nil"/>
            </w:tcBorders>
            <w:shd w:val="clear" w:color="auto" w:fill="auto"/>
            <w:vAlign w:val="center"/>
          </w:tcPr>
          <w:p w14:paraId="2CEACC2C" w14:textId="52C976AA" w:rsidR="00D134F6" w:rsidRPr="00005453" w:rsidRDefault="00D134F6" w:rsidP="00D134F6">
            <w:pPr>
              <w:jc w:val="right"/>
              <w:rPr>
                <w:color w:val="000000"/>
                <w:sz w:val="18"/>
                <w:szCs w:val="22"/>
              </w:rPr>
            </w:pPr>
            <w:r w:rsidRPr="00005453">
              <w:rPr>
                <w:color w:val="000000"/>
                <w:sz w:val="18"/>
                <w:szCs w:val="22"/>
                <w:lang w:eastAsia="en-GB"/>
              </w:rPr>
              <w:t>2,303,149</w:t>
            </w:r>
          </w:p>
        </w:tc>
        <w:tc>
          <w:tcPr>
            <w:tcW w:w="2339" w:type="dxa"/>
            <w:tcBorders>
              <w:top w:val="nil"/>
              <w:left w:val="nil"/>
              <w:bottom w:val="nil"/>
              <w:right w:val="nil"/>
            </w:tcBorders>
            <w:shd w:val="clear" w:color="auto" w:fill="auto"/>
            <w:vAlign w:val="center"/>
          </w:tcPr>
          <w:p w14:paraId="46A78E46" w14:textId="01B21AF0" w:rsidR="00D134F6" w:rsidRPr="00005453" w:rsidRDefault="00D134F6" w:rsidP="00D134F6">
            <w:pPr>
              <w:jc w:val="right"/>
              <w:rPr>
                <w:color w:val="000000"/>
                <w:sz w:val="18"/>
                <w:szCs w:val="22"/>
              </w:rPr>
            </w:pPr>
            <w:r w:rsidRPr="00005453">
              <w:rPr>
                <w:color w:val="000000"/>
                <w:sz w:val="18"/>
                <w:szCs w:val="22"/>
              </w:rPr>
              <w:t>45,342</w:t>
            </w:r>
          </w:p>
        </w:tc>
      </w:tr>
      <w:tr w:rsidR="00D134F6" w:rsidRPr="00005453" w14:paraId="74265A39" w14:textId="77777777" w:rsidTr="00D134F6">
        <w:trPr>
          <w:divId w:val="1703285976"/>
          <w:trHeight w:val="90"/>
        </w:trPr>
        <w:tc>
          <w:tcPr>
            <w:tcW w:w="5262" w:type="dxa"/>
            <w:tcBorders>
              <w:top w:val="nil"/>
              <w:left w:val="nil"/>
              <w:bottom w:val="nil"/>
              <w:right w:val="nil"/>
            </w:tcBorders>
            <w:shd w:val="clear" w:color="auto" w:fill="auto"/>
            <w:vAlign w:val="center"/>
            <w:hideMark/>
          </w:tcPr>
          <w:p w14:paraId="5C523A89" w14:textId="1061E5A7" w:rsidR="00D134F6" w:rsidRPr="00005453" w:rsidRDefault="00D134F6" w:rsidP="00D134F6">
            <w:pPr>
              <w:rPr>
                <w:sz w:val="18"/>
                <w:szCs w:val="18"/>
                <w:lang w:eastAsia="tr-TR"/>
              </w:rPr>
            </w:pPr>
            <w:r w:rsidRPr="00005453">
              <w:rPr>
                <w:sz w:val="18"/>
                <w:szCs w:val="18"/>
                <w:lang w:eastAsia="tr-TR"/>
              </w:rPr>
              <w:t>Diğer</w:t>
            </w:r>
          </w:p>
        </w:tc>
        <w:tc>
          <w:tcPr>
            <w:tcW w:w="1612" w:type="dxa"/>
            <w:gridSpan w:val="3"/>
            <w:tcBorders>
              <w:top w:val="nil"/>
              <w:left w:val="nil"/>
              <w:bottom w:val="nil"/>
              <w:right w:val="nil"/>
            </w:tcBorders>
            <w:shd w:val="clear" w:color="auto" w:fill="auto"/>
            <w:vAlign w:val="center"/>
            <w:hideMark/>
          </w:tcPr>
          <w:p w14:paraId="599C8584" w14:textId="723143C6" w:rsidR="00D134F6" w:rsidRPr="00005453" w:rsidRDefault="00D134F6" w:rsidP="00D134F6">
            <w:pPr>
              <w:jc w:val="right"/>
              <w:rPr>
                <w:sz w:val="18"/>
                <w:szCs w:val="18"/>
                <w:lang w:eastAsia="tr-TR"/>
              </w:rPr>
            </w:pPr>
            <w:r w:rsidRPr="00005453">
              <w:rPr>
                <w:color w:val="000000"/>
                <w:sz w:val="18"/>
                <w:szCs w:val="22"/>
                <w:lang w:eastAsia="en-GB"/>
              </w:rPr>
              <w:t>472,596</w:t>
            </w:r>
          </w:p>
        </w:tc>
        <w:tc>
          <w:tcPr>
            <w:tcW w:w="2339" w:type="dxa"/>
            <w:tcBorders>
              <w:top w:val="nil"/>
              <w:left w:val="nil"/>
              <w:bottom w:val="nil"/>
              <w:right w:val="nil"/>
            </w:tcBorders>
            <w:shd w:val="clear" w:color="auto" w:fill="auto"/>
            <w:vAlign w:val="center"/>
            <w:hideMark/>
          </w:tcPr>
          <w:p w14:paraId="64BAFA6F" w14:textId="6EBC248C" w:rsidR="00D134F6" w:rsidRPr="00005453" w:rsidRDefault="00D134F6" w:rsidP="00D134F6">
            <w:pPr>
              <w:jc w:val="right"/>
              <w:rPr>
                <w:sz w:val="18"/>
                <w:szCs w:val="18"/>
                <w:lang w:eastAsia="tr-TR"/>
              </w:rPr>
            </w:pPr>
            <w:r w:rsidRPr="00005453">
              <w:rPr>
                <w:color w:val="000000"/>
                <w:sz w:val="18"/>
                <w:szCs w:val="22"/>
              </w:rPr>
              <w:t>6,631</w:t>
            </w:r>
          </w:p>
        </w:tc>
      </w:tr>
      <w:tr w:rsidR="00D134F6" w:rsidRPr="00005453" w14:paraId="40BDC128" w14:textId="77777777" w:rsidTr="00D134F6">
        <w:trPr>
          <w:divId w:val="1703285976"/>
          <w:trHeight w:val="113"/>
        </w:trPr>
        <w:tc>
          <w:tcPr>
            <w:tcW w:w="5262" w:type="dxa"/>
            <w:tcBorders>
              <w:top w:val="single" w:sz="8" w:space="0" w:color="auto"/>
              <w:left w:val="nil"/>
              <w:bottom w:val="single" w:sz="8" w:space="0" w:color="auto"/>
              <w:right w:val="nil"/>
            </w:tcBorders>
            <w:shd w:val="clear" w:color="auto" w:fill="auto"/>
            <w:vAlign w:val="center"/>
            <w:hideMark/>
          </w:tcPr>
          <w:p w14:paraId="7E603E1B" w14:textId="12057CF3" w:rsidR="00D134F6" w:rsidRPr="00005453" w:rsidRDefault="00D134F6" w:rsidP="00D134F6">
            <w:pPr>
              <w:rPr>
                <w:sz w:val="18"/>
                <w:szCs w:val="18"/>
                <w:lang w:eastAsia="tr-TR"/>
              </w:rPr>
            </w:pPr>
            <w:r w:rsidRPr="00005453">
              <w:rPr>
                <w:b/>
                <w:bCs/>
                <w:sz w:val="18"/>
                <w:szCs w:val="18"/>
                <w:lang w:eastAsia="tr-TR"/>
              </w:rPr>
              <w:t>Net Ertelenmiş Vergi Varlığı</w:t>
            </w:r>
          </w:p>
        </w:tc>
        <w:tc>
          <w:tcPr>
            <w:tcW w:w="1612" w:type="dxa"/>
            <w:gridSpan w:val="3"/>
            <w:tcBorders>
              <w:top w:val="single" w:sz="8" w:space="0" w:color="auto"/>
              <w:left w:val="nil"/>
              <w:bottom w:val="single" w:sz="8" w:space="0" w:color="auto"/>
              <w:right w:val="nil"/>
            </w:tcBorders>
            <w:shd w:val="clear" w:color="auto" w:fill="auto"/>
            <w:vAlign w:val="center"/>
            <w:hideMark/>
          </w:tcPr>
          <w:p w14:paraId="4D3B8652" w14:textId="4F98CB34" w:rsidR="00D134F6" w:rsidRPr="00005453" w:rsidRDefault="00D134F6" w:rsidP="00D134F6">
            <w:pPr>
              <w:jc w:val="right"/>
              <w:rPr>
                <w:b/>
                <w:bCs/>
                <w:sz w:val="18"/>
                <w:szCs w:val="18"/>
                <w:lang w:eastAsia="tr-TR"/>
              </w:rPr>
            </w:pPr>
            <w:r w:rsidRPr="00005453">
              <w:rPr>
                <w:b/>
                <w:bCs/>
                <w:color w:val="000000"/>
                <w:sz w:val="18"/>
                <w:szCs w:val="22"/>
                <w:lang w:eastAsia="en-GB"/>
              </w:rPr>
              <w:t>8,340,450</w:t>
            </w:r>
          </w:p>
        </w:tc>
        <w:tc>
          <w:tcPr>
            <w:tcW w:w="2339" w:type="dxa"/>
            <w:tcBorders>
              <w:top w:val="single" w:sz="8" w:space="0" w:color="auto"/>
              <w:left w:val="nil"/>
              <w:bottom w:val="single" w:sz="8" w:space="0" w:color="auto"/>
              <w:right w:val="nil"/>
            </w:tcBorders>
            <w:shd w:val="clear" w:color="auto" w:fill="auto"/>
            <w:vAlign w:val="center"/>
            <w:hideMark/>
          </w:tcPr>
          <w:p w14:paraId="7F9CE302" w14:textId="3568D0F9" w:rsidR="00D134F6" w:rsidRPr="00005453" w:rsidRDefault="00D134F6" w:rsidP="00D134F6">
            <w:pPr>
              <w:jc w:val="right"/>
              <w:rPr>
                <w:sz w:val="18"/>
                <w:szCs w:val="18"/>
                <w:lang w:eastAsia="tr-TR"/>
              </w:rPr>
            </w:pPr>
            <w:r w:rsidRPr="00005453">
              <w:rPr>
                <w:b/>
                <w:bCs/>
                <w:color w:val="000000"/>
                <w:sz w:val="18"/>
                <w:szCs w:val="22"/>
              </w:rPr>
              <w:t>5,747,818</w:t>
            </w:r>
          </w:p>
        </w:tc>
      </w:tr>
    </w:tbl>
    <w:p w14:paraId="5B9D2244" w14:textId="77777777" w:rsidR="007E6597" w:rsidRDefault="007E6597" w:rsidP="007E6597">
      <w:pPr>
        <w:divId w:val="1703285976"/>
      </w:pPr>
    </w:p>
    <w:p w14:paraId="734C497E" w14:textId="6AEE8625" w:rsidR="00BF26A4" w:rsidRPr="007E6597" w:rsidRDefault="00BF26A4" w:rsidP="007E6597">
      <w:pPr>
        <w:divId w:val="1703285976"/>
      </w:pPr>
      <w:r w:rsidRPr="00005453">
        <w:t>Ertelenmiş vergi varlığı hareket tablosu</w:t>
      </w:r>
    </w:p>
    <w:p w14:paraId="11497486" w14:textId="032E5B18" w:rsidR="00906BF9" w:rsidRPr="007E6597" w:rsidRDefault="00906BF9" w:rsidP="00A023D6">
      <w:pPr>
        <w:autoSpaceDE w:val="0"/>
        <w:autoSpaceDN w:val="0"/>
        <w:adjustRightInd w:val="0"/>
        <w:spacing w:line="230" w:lineRule="auto"/>
        <w:rPr>
          <w:lang w:val="en-GB" w:eastAsia="en-GB"/>
        </w:rPr>
      </w:pPr>
    </w:p>
    <w:tbl>
      <w:tblPr>
        <w:tblW w:w="9206" w:type="dxa"/>
        <w:tblCellMar>
          <w:left w:w="70" w:type="dxa"/>
          <w:right w:w="70" w:type="dxa"/>
        </w:tblCellMar>
        <w:tblLook w:val="04A0" w:firstRow="1" w:lastRow="0" w:firstColumn="1" w:lastColumn="0" w:noHBand="0" w:noVBand="1"/>
      </w:tblPr>
      <w:tblGrid>
        <w:gridCol w:w="4536"/>
        <w:gridCol w:w="2268"/>
        <w:gridCol w:w="2402"/>
      </w:tblGrid>
      <w:tr w:rsidR="00906BF9" w:rsidRPr="00005453" w14:paraId="766A1BC4" w14:textId="77777777" w:rsidTr="00614CD2">
        <w:trPr>
          <w:divId w:val="694430438"/>
          <w:trHeight w:val="201"/>
        </w:trPr>
        <w:tc>
          <w:tcPr>
            <w:tcW w:w="4536" w:type="dxa"/>
            <w:tcBorders>
              <w:top w:val="single" w:sz="8" w:space="0" w:color="auto"/>
              <w:left w:val="nil"/>
              <w:bottom w:val="single" w:sz="8" w:space="0" w:color="auto"/>
              <w:right w:val="nil"/>
            </w:tcBorders>
            <w:shd w:val="clear" w:color="auto" w:fill="auto"/>
            <w:vAlign w:val="center"/>
            <w:hideMark/>
          </w:tcPr>
          <w:p w14:paraId="4A35AAD3" w14:textId="2971E420" w:rsidR="00906BF9" w:rsidRPr="00005453" w:rsidRDefault="00906BF9" w:rsidP="00906BF9">
            <w:pPr>
              <w:rPr>
                <w:b/>
                <w:bCs/>
                <w:sz w:val="18"/>
                <w:szCs w:val="18"/>
                <w:lang w:eastAsia="tr-TR"/>
              </w:rPr>
            </w:pPr>
            <w:r w:rsidRPr="00005453">
              <w:rPr>
                <w:b/>
                <w:bCs/>
                <w:sz w:val="18"/>
                <w:szCs w:val="18"/>
                <w:lang w:eastAsia="tr-TR"/>
              </w:rPr>
              <w:t> </w:t>
            </w:r>
          </w:p>
        </w:tc>
        <w:tc>
          <w:tcPr>
            <w:tcW w:w="2268" w:type="dxa"/>
            <w:tcBorders>
              <w:top w:val="single" w:sz="8" w:space="0" w:color="auto"/>
              <w:left w:val="nil"/>
              <w:bottom w:val="single" w:sz="8" w:space="0" w:color="auto"/>
              <w:right w:val="nil"/>
            </w:tcBorders>
            <w:shd w:val="clear" w:color="auto" w:fill="auto"/>
            <w:vAlign w:val="center"/>
            <w:hideMark/>
          </w:tcPr>
          <w:p w14:paraId="07E72F8E" w14:textId="77777777" w:rsidR="00906BF9" w:rsidRPr="00005453" w:rsidRDefault="00906BF9" w:rsidP="00906BF9">
            <w:pPr>
              <w:ind w:firstLineChars="100" w:firstLine="181"/>
              <w:jc w:val="right"/>
              <w:rPr>
                <w:b/>
                <w:bCs/>
                <w:sz w:val="18"/>
                <w:szCs w:val="18"/>
                <w:lang w:eastAsia="tr-TR"/>
              </w:rPr>
            </w:pPr>
            <w:r w:rsidRPr="00005453">
              <w:rPr>
                <w:b/>
                <w:bCs/>
                <w:sz w:val="18"/>
                <w:szCs w:val="18"/>
                <w:lang w:eastAsia="tr-TR"/>
              </w:rPr>
              <w:t>Cari Dönem</w:t>
            </w:r>
          </w:p>
        </w:tc>
        <w:tc>
          <w:tcPr>
            <w:tcW w:w="2402" w:type="dxa"/>
            <w:tcBorders>
              <w:top w:val="single" w:sz="8" w:space="0" w:color="auto"/>
              <w:left w:val="nil"/>
              <w:bottom w:val="single" w:sz="8" w:space="0" w:color="auto"/>
              <w:right w:val="nil"/>
            </w:tcBorders>
            <w:shd w:val="clear" w:color="auto" w:fill="auto"/>
            <w:vAlign w:val="center"/>
            <w:hideMark/>
          </w:tcPr>
          <w:p w14:paraId="4B181854" w14:textId="77777777" w:rsidR="00906BF9" w:rsidRPr="00005453" w:rsidRDefault="00906BF9" w:rsidP="00906BF9">
            <w:pPr>
              <w:ind w:firstLineChars="100" w:firstLine="181"/>
              <w:jc w:val="right"/>
              <w:rPr>
                <w:b/>
                <w:bCs/>
                <w:sz w:val="18"/>
                <w:szCs w:val="18"/>
                <w:lang w:eastAsia="tr-TR"/>
              </w:rPr>
            </w:pPr>
            <w:r w:rsidRPr="00005453">
              <w:rPr>
                <w:b/>
                <w:bCs/>
                <w:sz w:val="18"/>
                <w:szCs w:val="18"/>
                <w:lang w:eastAsia="tr-TR"/>
              </w:rPr>
              <w:t>Önceki Dönem</w:t>
            </w:r>
          </w:p>
        </w:tc>
      </w:tr>
      <w:tr w:rsidR="00442255" w:rsidRPr="00005453" w14:paraId="471B5BC8" w14:textId="77777777" w:rsidTr="00B940A5">
        <w:trPr>
          <w:divId w:val="694430438"/>
          <w:trHeight w:val="189"/>
        </w:trPr>
        <w:tc>
          <w:tcPr>
            <w:tcW w:w="4536" w:type="dxa"/>
            <w:tcBorders>
              <w:top w:val="nil"/>
              <w:left w:val="nil"/>
              <w:bottom w:val="nil"/>
              <w:right w:val="nil"/>
            </w:tcBorders>
            <w:shd w:val="clear" w:color="auto" w:fill="auto"/>
            <w:noWrap/>
            <w:vAlign w:val="center"/>
            <w:hideMark/>
          </w:tcPr>
          <w:p w14:paraId="5FB81275" w14:textId="77777777" w:rsidR="00442255" w:rsidRPr="00005453" w:rsidRDefault="00442255" w:rsidP="00442255">
            <w:pPr>
              <w:rPr>
                <w:sz w:val="18"/>
                <w:szCs w:val="18"/>
                <w:lang w:eastAsia="tr-TR"/>
              </w:rPr>
            </w:pPr>
            <w:r w:rsidRPr="00005453">
              <w:rPr>
                <w:sz w:val="18"/>
                <w:szCs w:val="18"/>
                <w:lang w:eastAsia="tr-TR"/>
              </w:rPr>
              <w:t>1 Ocak İtibarıyla</w:t>
            </w:r>
          </w:p>
        </w:tc>
        <w:tc>
          <w:tcPr>
            <w:tcW w:w="2268" w:type="dxa"/>
            <w:tcBorders>
              <w:top w:val="nil"/>
              <w:left w:val="nil"/>
              <w:bottom w:val="nil"/>
              <w:right w:val="nil"/>
            </w:tcBorders>
            <w:shd w:val="clear" w:color="auto" w:fill="auto"/>
            <w:vAlign w:val="center"/>
            <w:hideMark/>
          </w:tcPr>
          <w:p w14:paraId="1EBF892F" w14:textId="677EA9C2" w:rsidR="00B940A5" w:rsidRPr="00005453" w:rsidRDefault="00B940A5" w:rsidP="00B940A5">
            <w:pPr>
              <w:jc w:val="right"/>
              <w:rPr>
                <w:sz w:val="18"/>
                <w:szCs w:val="18"/>
                <w:lang w:eastAsia="tr-TR"/>
              </w:rPr>
            </w:pPr>
            <w:r w:rsidRPr="00005453">
              <w:rPr>
                <w:sz w:val="18"/>
                <w:szCs w:val="18"/>
              </w:rPr>
              <w:t>5,747,818</w:t>
            </w:r>
          </w:p>
          <w:p w14:paraId="33A8EDD8" w14:textId="44C10420" w:rsidR="00442255" w:rsidRPr="00005453" w:rsidRDefault="00442255" w:rsidP="00B940A5">
            <w:pPr>
              <w:jc w:val="right"/>
              <w:rPr>
                <w:sz w:val="18"/>
                <w:szCs w:val="18"/>
                <w:lang w:eastAsia="tr-TR"/>
              </w:rPr>
            </w:pPr>
          </w:p>
        </w:tc>
        <w:tc>
          <w:tcPr>
            <w:tcW w:w="2402" w:type="dxa"/>
            <w:tcBorders>
              <w:top w:val="nil"/>
              <w:left w:val="nil"/>
              <w:bottom w:val="nil"/>
              <w:right w:val="nil"/>
            </w:tcBorders>
            <w:shd w:val="clear" w:color="auto" w:fill="auto"/>
            <w:vAlign w:val="center"/>
            <w:hideMark/>
          </w:tcPr>
          <w:p w14:paraId="72B93B0D" w14:textId="433ECEC6" w:rsidR="00442255" w:rsidRPr="00005453" w:rsidRDefault="00442255" w:rsidP="00442255">
            <w:pPr>
              <w:jc w:val="right"/>
              <w:rPr>
                <w:sz w:val="18"/>
                <w:szCs w:val="18"/>
                <w:lang w:eastAsia="tr-TR"/>
              </w:rPr>
            </w:pPr>
            <w:r w:rsidRPr="00005453">
              <w:rPr>
                <w:sz w:val="18"/>
                <w:szCs w:val="18"/>
                <w:lang w:eastAsia="tr-TR"/>
              </w:rPr>
              <w:t>1,083,223</w:t>
            </w:r>
          </w:p>
        </w:tc>
      </w:tr>
      <w:tr w:rsidR="00B940A5" w:rsidRPr="00005453" w14:paraId="01FCF023" w14:textId="77777777" w:rsidTr="00B940A5">
        <w:trPr>
          <w:divId w:val="694430438"/>
          <w:trHeight w:val="189"/>
        </w:trPr>
        <w:tc>
          <w:tcPr>
            <w:tcW w:w="4536" w:type="dxa"/>
            <w:tcBorders>
              <w:top w:val="nil"/>
              <w:left w:val="nil"/>
              <w:bottom w:val="nil"/>
              <w:right w:val="nil"/>
            </w:tcBorders>
            <w:shd w:val="clear" w:color="auto" w:fill="auto"/>
            <w:noWrap/>
            <w:vAlign w:val="center"/>
            <w:hideMark/>
          </w:tcPr>
          <w:p w14:paraId="7F9CDD72" w14:textId="77777777" w:rsidR="00B940A5" w:rsidRPr="00005453" w:rsidRDefault="00B940A5" w:rsidP="00B940A5">
            <w:pPr>
              <w:rPr>
                <w:sz w:val="18"/>
                <w:szCs w:val="18"/>
                <w:lang w:eastAsia="tr-TR"/>
              </w:rPr>
            </w:pPr>
            <w:r w:rsidRPr="00005453">
              <w:rPr>
                <w:sz w:val="18"/>
                <w:szCs w:val="18"/>
                <w:lang w:eastAsia="tr-TR"/>
              </w:rPr>
              <w:t xml:space="preserve">Ertelenmiş Vergi (Gideri)/Geliri </w:t>
            </w:r>
          </w:p>
        </w:tc>
        <w:tc>
          <w:tcPr>
            <w:tcW w:w="2268" w:type="dxa"/>
            <w:tcBorders>
              <w:top w:val="nil"/>
              <w:left w:val="nil"/>
              <w:bottom w:val="nil"/>
              <w:right w:val="nil"/>
            </w:tcBorders>
            <w:shd w:val="clear" w:color="auto" w:fill="auto"/>
            <w:vAlign w:val="center"/>
            <w:hideMark/>
          </w:tcPr>
          <w:p w14:paraId="3FE85DCB" w14:textId="10A44A4E" w:rsidR="00B940A5" w:rsidRPr="00005453" w:rsidRDefault="00B940A5" w:rsidP="00B940A5">
            <w:pPr>
              <w:jc w:val="right"/>
              <w:rPr>
                <w:sz w:val="18"/>
                <w:szCs w:val="18"/>
                <w:lang w:eastAsia="tr-TR"/>
              </w:rPr>
            </w:pPr>
            <w:r w:rsidRPr="00005453">
              <w:rPr>
                <w:sz w:val="18"/>
                <w:szCs w:val="18"/>
              </w:rPr>
              <w:t>683,538</w:t>
            </w:r>
          </w:p>
        </w:tc>
        <w:tc>
          <w:tcPr>
            <w:tcW w:w="2402" w:type="dxa"/>
            <w:tcBorders>
              <w:top w:val="nil"/>
              <w:left w:val="nil"/>
              <w:bottom w:val="nil"/>
              <w:right w:val="nil"/>
            </w:tcBorders>
            <w:shd w:val="clear" w:color="auto" w:fill="auto"/>
            <w:vAlign w:val="center"/>
            <w:hideMark/>
          </w:tcPr>
          <w:p w14:paraId="5063067E" w14:textId="2769D31A" w:rsidR="00B940A5" w:rsidRPr="00005453" w:rsidRDefault="00B940A5" w:rsidP="00B940A5">
            <w:pPr>
              <w:jc w:val="right"/>
              <w:rPr>
                <w:sz w:val="18"/>
                <w:szCs w:val="18"/>
                <w:lang w:eastAsia="tr-TR"/>
              </w:rPr>
            </w:pPr>
            <w:r w:rsidRPr="00005453">
              <w:rPr>
                <w:sz w:val="18"/>
                <w:szCs w:val="18"/>
                <w:lang w:eastAsia="tr-TR"/>
              </w:rPr>
              <w:t>2,525,984</w:t>
            </w:r>
          </w:p>
        </w:tc>
      </w:tr>
      <w:tr w:rsidR="00B940A5" w:rsidRPr="00005453" w14:paraId="0008DC6D" w14:textId="77777777" w:rsidTr="00B940A5">
        <w:trPr>
          <w:divId w:val="694430438"/>
          <w:trHeight w:val="216"/>
        </w:trPr>
        <w:tc>
          <w:tcPr>
            <w:tcW w:w="4536" w:type="dxa"/>
            <w:tcBorders>
              <w:top w:val="nil"/>
              <w:left w:val="nil"/>
              <w:bottom w:val="single" w:sz="8" w:space="0" w:color="auto"/>
              <w:right w:val="nil"/>
            </w:tcBorders>
            <w:shd w:val="clear" w:color="auto" w:fill="auto"/>
            <w:noWrap/>
            <w:vAlign w:val="center"/>
            <w:hideMark/>
          </w:tcPr>
          <w:p w14:paraId="5F951274" w14:textId="77777777" w:rsidR="00B940A5" w:rsidRPr="00005453" w:rsidRDefault="00B940A5" w:rsidP="00B940A5">
            <w:pPr>
              <w:rPr>
                <w:sz w:val="18"/>
                <w:szCs w:val="18"/>
                <w:lang w:eastAsia="tr-TR"/>
              </w:rPr>
            </w:pPr>
            <w:r w:rsidRPr="00005453">
              <w:rPr>
                <w:sz w:val="18"/>
                <w:szCs w:val="18"/>
                <w:lang w:eastAsia="tr-TR"/>
              </w:rPr>
              <w:t>Özkaynak Altında Muhasebeleşen Ertelenmiş Vergi</w:t>
            </w:r>
          </w:p>
        </w:tc>
        <w:tc>
          <w:tcPr>
            <w:tcW w:w="2268" w:type="dxa"/>
            <w:tcBorders>
              <w:top w:val="nil"/>
              <w:left w:val="nil"/>
              <w:bottom w:val="single" w:sz="8" w:space="0" w:color="auto"/>
              <w:right w:val="nil"/>
            </w:tcBorders>
            <w:shd w:val="clear" w:color="auto" w:fill="auto"/>
            <w:vAlign w:val="center"/>
            <w:hideMark/>
          </w:tcPr>
          <w:p w14:paraId="74F1DEA1" w14:textId="24A1CAFF" w:rsidR="00B940A5" w:rsidRPr="00005453" w:rsidRDefault="00B940A5" w:rsidP="00B940A5">
            <w:pPr>
              <w:jc w:val="right"/>
              <w:rPr>
                <w:sz w:val="18"/>
                <w:szCs w:val="18"/>
                <w:lang w:eastAsia="tr-TR"/>
              </w:rPr>
            </w:pPr>
            <w:r w:rsidRPr="00005453">
              <w:rPr>
                <w:sz w:val="18"/>
                <w:szCs w:val="18"/>
              </w:rPr>
              <w:t>1,909,094</w:t>
            </w:r>
          </w:p>
        </w:tc>
        <w:tc>
          <w:tcPr>
            <w:tcW w:w="2402" w:type="dxa"/>
            <w:tcBorders>
              <w:top w:val="nil"/>
              <w:left w:val="nil"/>
              <w:bottom w:val="single" w:sz="8" w:space="0" w:color="auto"/>
              <w:right w:val="nil"/>
            </w:tcBorders>
            <w:shd w:val="clear" w:color="auto" w:fill="auto"/>
            <w:vAlign w:val="center"/>
            <w:hideMark/>
          </w:tcPr>
          <w:p w14:paraId="7DF6CC4F" w14:textId="67294C75" w:rsidR="00B940A5" w:rsidRPr="00005453" w:rsidRDefault="00B940A5" w:rsidP="00B940A5">
            <w:pPr>
              <w:jc w:val="right"/>
              <w:rPr>
                <w:sz w:val="18"/>
                <w:szCs w:val="18"/>
                <w:lang w:eastAsia="tr-TR"/>
              </w:rPr>
            </w:pPr>
            <w:r w:rsidRPr="00005453">
              <w:rPr>
                <w:sz w:val="18"/>
                <w:szCs w:val="18"/>
                <w:lang w:eastAsia="tr-TR"/>
              </w:rPr>
              <w:t>2,138,611</w:t>
            </w:r>
          </w:p>
        </w:tc>
      </w:tr>
      <w:tr w:rsidR="00442255" w:rsidRPr="00005453" w14:paraId="7A9E6411" w14:textId="77777777" w:rsidTr="00B940A5">
        <w:trPr>
          <w:divId w:val="694430438"/>
          <w:trHeight w:val="262"/>
        </w:trPr>
        <w:tc>
          <w:tcPr>
            <w:tcW w:w="4536" w:type="dxa"/>
            <w:tcBorders>
              <w:top w:val="nil"/>
              <w:left w:val="nil"/>
              <w:bottom w:val="double" w:sz="6" w:space="0" w:color="auto"/>
              <w:right w:val="nil"/>
            </w:tcBorders>
            <w:shd w:val="clear" w:color="auto" w:fill="auto"/>
            <w:vAlign w:val="center"/>
            <w:hideMark/>
          </w:tcPr>
          <w:p w14:paraId="6EFD0076" w14:textId="77777777" w:rsidR="00442255" w:rsidRPr="00005453" w:rsidRDefault="00442255" w:rsidP="00442255">
            <w:pPr>
              <w:rPr>
                <w:b/>
                <w:bCs/>
                <w:sz w:val="18"/>
                <w:szCs w:val="18"/>
                <w:lang w:eastAsia="tr-TR"/>
              </w:rPr>
            </w:pPr>
            <w:r w:rsidRPr="00005453">
              <w:rPr>
                <w:b/>
                <w:bCs/>
                <w:sz w:val="18"/>
                <w:szCs w:val="18"/>
                <w:lang w:eastAsia="tr-TR"/>
              </w:rPr>
              <w:t>Ertelenmiş vergi varlığı</w:t>
            </w:r>
          </w:p>
        </w:tc>
        <w:tc>
          <w:tcPr>
            <w:tcW w:w="2268" w:type="dxa"/>
            <w:tcBorders>
              <w:top w:val="nil"/>
              <w:left w:val="nil"/>
              <w:bottom w:val="double" w:sz="6" w:space="0" w:color="auto"/>
              <w:right w:val="nil"/>
            </w:tcBorders>
            <w:shd w:val="clear" w:color="auto" w:fill="auto"/>
            <w:vAlign w:val="center"/>
            <w:hideMark/>
          </w:tcPr>
          <w:p w14:paraId="7B0797EA" w14:textId="73CBAB7C" w:rsidR="00442255" w:rsidRPr="00005453" w:rsidRDefault="00B940A5" w:rsidP="00B940A5">
            <w:pPr>
              <w:jc w:val="right"/>
              <w:rPr>
                <w:b/>
                <w:bCs/>
                <w:sz w:val="18"/>
                <w:szCs w:val="18"/>
                <w:lang w:eastAsia="tr-TR"/>
              </w:rPr>
            </w:pPr>
            <w:r w:rsidRPr="00005453">
              <w:rPr>
                <w:b/>
                <w:bCs/>
                <w:sz w:val="18"/>
                <w:szCs w:val="18"/>
                <w:lang w:eastAsia="tr-TR"/>
              </w:rPr>
              <w:t>8</w:t>
            </w:r>
            <w:r w:rsidR="00442255" w:rsidRPr="00005453">
              <w:rPr>
                <w:b/>
                <w:bCs/>
                <w:sz w:val="18"/>
                <w:szCs w:val="18"/>
                <w:lang w:eastAsia="tr-TR"/>
              </w:rPr>
              <w:t>,</w:t>
            </w:r>
            <w:r w:rsidRPr="00005453">
              <w:rPr>
                <w:b/>
                <w:bCs/>
                <w:sz w:val="18"/>
                <w:szCs w:val="18"/>
                <w:lang w:eastAsia="tr-TR"/>
              </w:rPr>
              <w:t>340</w:t>
            </w:r>
            <w:r w:rsidR="00442255" w:rsidRPr="00005453">
              <w:rPr>
                <w:b/>
                <w:bCs/>
                <w:sz w:val="18"/>
                <w:szCs w:val="18"/>
                <w:lang w:eastAsia="tr-TR"/>
              </w:rPr>
              <w:t>,</w:t>
            </w:r>
            <w:r w:rsidRPr="00005453">
              <w:rPr>
                <w:b/>
                <w:bCs/>
                <w:sz w:val="18"/>
                <w:szCs w:val="18"/>
                <w:lang w:eastAsia="tr-TR"/>
              </w:rPr>
              <w:t>450</w:t>
            </w:r>
          </w:p>
        </w:tc>
        <w:tc>
          <w:tcPr>
            <w:tcW w:w="2402" w:type="dxa"/>
            <w:tcBorders>
              <w:top w:val="nil"/>
              <w:left w:val="nil"/>
              <w:bottom w:val="double" w:sz="6" w:space="0" w:color="auto"/>
              <w:right w:val="nil"/>
            </w:tcBorders>
            <w:shd w:val="clear" w:color="auto" w:fill="auto"/>
            <w:vAlign w:val="center"/>
            <w:hideMark/>
          </w:tcPr>
          <w:p w14:paraId="6D5BECF5" w14:textId="287D448A" w:rsidR="00442255" w:rsidRPr="00005453" w:rsidRDefault="00442255" w:rsidP="00442255">
            <w:pPr>
              <w:jc w:val="right"/>
              <w:rPr>
                <w:b/>
                <w:bCs/>
                <w:sz w:val="18"/>
                <w:szCs w:val="18"/>
                <w:lang w:eastAsia="tr-TR"/>
              </w:rPr>
            </w:pPr>
            <w:r w:rsidRPr="00005453">
              <w:rPr>
                <w:b/>
                <w:bCs/>
                <w:sz w:val="18"/>
                <w:szCs w:val="18"/>
                <w:lang w:eastAsia="tr-TR"/>
              </w:rPr>
              <w:t>5,747,818</w:t>
            </w:r>
          </w:p>
        </w:tc>
      </w:tr>
    </w:tbl>
    <w:p w14:paraId="3ABE27C2" w14:textId="2D227269" w:rsidR="00835EEC" w:rsidRDefault="00835EEC" w:rsidP="00906BF9">
      <w:pPr>
        <w:autoSpaceDE w:val="0"/>
        <w:autoSpaceDN w:val="0"/>
        <w:adjustRightInd w:val="0"/>
        <w:ind w:hanging="567"/>
        <w:rPr>
          <w:b/>
          <w:bCs/>
          <w:iCs/>
        </w:rPr>
      </w:pPr>
    </w:p>
    <w:p w14:paraId="1D8BEE74" w14:textId="1C47967C" w:rsidR="007E6597" w:rsidRDefault="007E6597" w:rsidP="00906BF9">
      <w:pPr>
        <w:autoSpaceDE w:val="0"/>
        <w:autoSpaceDN w:val="0"/>
        <w:adjustRightInd w:val="0"/>
        <w:ind w:hanging="567"/>
        <w:rPr>
          <w:b/>
          <w:bCs/>
          <w:iCs/>
        </w:rPr>
      </w:pPr>
    </w:p>
    <w:p w14:paraId="0164CB52" w14:textId="12D8CC14" w:rsidR="007E6597" w:rsidRDefault="007E6597" w:rsidP="00906BF9">
      <w:pPr>
        <w:autoSpaceDE w:val="0"/>
        <w:autoSpaceDN w:val="0"/>
        <w:adjustRightInd w:val="0"/>
        <w:ind w:hanging="567"/>
        <w:rPr>
          <w:b/>
          <w:bCs/>
          <w:iCs/>
        </w:rPr>
      </w:pPr>
    </w:p>
    <w:p w14:paraId="2219D317" w14:textId="53C3E4B2" w:rsidR="007E6597" w:rsidRDefault="007E6597" w:rsidP="00906BF9">
      <w:pPr>
        <w:autoSpaceDE w:val="0"/>
        <w:autoSpaceDN w:val="0"/>
        <w:adjustRightInd w:val="0"/>
        <w:ind w:hanging="567"/>
        <w:rPr>
          <w:b/>
          <w:bCs/>
          <w:iCs/>
        </w:rPr>
      </w:pPr>
    </w:p>
    <w:p w14:paraId="1D295FDD" w14:textId="574F5F53" w:rsidR="007E6597" w:rsidRDefault="007E6597" w:rsidP="00906BF9">
      <w:pPr>
        <w:autoSpaceDE w:val="0"/>
        <w:autoSpaceDN w:val="0"/>
        <w:adjustRightInd w:val="0"/>
        <w:ind w:hanging="567"/>
        <w:rPr>
          <w:b/>
          <w:bCs/>
          <w:iCs/>
        </w:rPr>
      </w:pPr>
    </w:p>
    <w:p w14:paraId="1B08DC48" w14:textId="3DF76390" w:rsidR="007E6597" w:rsidRDefault="007E6597" w:rsidP="00906BF9">
      <w:pPr>
        <w:autoSpaceDE w:val="0"/>
        <w:autoSpaceDN w:val="0"/>
        <w:adjustRightInd w:val="0"/>
        <w:ind w:hanging="567"/>
        <w:rPr>
          <w:b/>
          <w:bCs/>
          <w:iCs/>
        </w:rPr>
      </w:pPr>
    </w:p>
    <w:p w14:paraId="56B367FF" w14:textId="3BA995ED" w:rsidR="007E6597" w:rsidRDefault="007E6597" w:rsidP="00906BF9">
      <w:pPr>
        <w:autoSpaceDE w:val="0"/>
        <w:autoSpaceDN w:val="0"/>
        <w:adjustRightInd w:val="0"/>
        <w:ind w:hanging="567"/>
        <w:rPr>
          <w:b/>
          <w:bCs/>
          <w:iCs/>
        </w:rPr>
      </w:pPr>
    </w:p>
    <w:p w14:paraId="73E97B56" w14:textId="5F2D9511" w:rsidR="007E6597" w:rsidRDefault="007E6597" w:rsidP="00906BF9">
      <w:pPr>
        <w:autoSpaceDE w:val="0"/>
        <w:autoSpaceDN w:val="0"/>
        <w:adjustRightInd w:val="0"/>
        <w:ind w:hanging="567"/>
        <w:rPr>
          <w:b/>
          <w:bCs/>
          <w:iCs/>
        </w:rPr>
      </w:pPr>
    </w:p>
    <w:p w14:paraId="72BC8CB5" w14:textId="466EEC4C" w:rsidR="007E6597" w:rsidRDefault="007E6597" w:rsidP="00906BF9">
      <w:pPr>
        <w:autoSpaceDE w:val="0"/>
        <w:autoSpaceDN w:val="0"/>
        <w:adjustRightInd w:val="0"/>
        <w:ind w:hanging="567"/>
        <w:rPr>
          <w:b/>
          <w:bCs/>
          <w:iCs/>
        </w:rPr>
      </w:pPr>
    </w:p>
    <w:p w14:paraId="286BF2DB" w14:textId="50508DD4" w:rsidR="007E6597" w:rsidRDefault="007E6597" w:rsidP="00906BF9">
      <w:pPr>
        <w:autoSpaceDE w:val="0"/>
        <w:autoSpaceDN w:val="0"/>
        <w:adjustRightInd w:val="0"/>
        <w:ind w:hanging="567"/>
        <w:rPr>
          <w:b/>
          <w:bCs/>
          <w:iCs/>
        </w:rPr>
      </w:pPr>
    </w:p>
    <w:p w14:paraId="3D5DE8CA" w14:textId="77777777" w:rsidR="007E6597" w:rsidRPr="00005453" w:rsidRDefault="007E6597" w:rsidP="00906BF9">
      <w:pPr>
        <w:autoSpaceDE w:val="0"/>
        <w:autoSpaceDN w:val="0"/>
        <w:adjustRightInd w:val="0"/>
        <w:ind w:hanging="567"/>
        <w:rPr>
          <w:b/>
          <w:bCs/>
          <w:iCs/>
        </w:rPr>
      </w:pPr>
    </w:p>
    <w:p w14:paraId="53CCD50B" w14:textId="4DE08E41" w:rsidR="001E4705" w:rsidRPr="00005453" w:rsidRDefault="001E4705" w:rsidP="00906BF9">
      <w:pPr>
        <w:autoSpaceDE w:val="0"/>
        <w:autoSpaceDN w:val="0"/>
        <w:adjustRightInd w:val="0"/>
        <w:ind w:hanging="567"/>
        <w:rPr>
          <w:b/>
          <w:bCs/>
          <w:iCs/>
          <w:sz w:val="16"/>
          <w:szCs w:val="16"/>
        </w:rPr>
      </w:pPr>
      <w:r w:rsidRPr="00005453">
        <w:rPr>
          <w:b/>
          <w:bCs/>
          <w:iCs/>
        </w:rPr>
        <w:lastRenderedPageBreak/>
        <w:t>1.16.   Satış amaçlı elde tutulan ve durdurulan faaliyetlere ilişkin duran varlıklar hakkında açıklamalar</w:t>
      </w:r>
    </w:p>
    <w:p w14:paraId="4C42D3F4" w14:textId="735BA394" w:rsidR="00906BF9" w:rsidRPr="007E6597" w:rsidRDefault="00906BF9" w:rsidP="001E4705">
      <w:pPr>
        <w:tabs>
          <w:tab w:val="left" w:pos="709"/>
        </w:tabs>
        <w:autoSpaceDE w:val="0"/>
        <w:autoSpaceDN w:val="0"/>
        <w:adjustRightInd w:val="0"/>
        <w:rPr>
          <w:lang w:eastAsia="en-GB"/>
        </w:rPr>
      </w:pPr>
    </w:p>
    <w:tbl>
      <w:tblPr>
        <w:tblW w:w="9229" w:type="dxa"/>
        <w:tblCellMar>
          <w:left w:w="70" w:type="dxa"/>
          <w:right w:w="70" w:type="dxa"/>
        </w:tblCellMar>
        <w:tblLook w:val="04A0" w:firstRow="1" w:lastRow="0" w:firstColumn="1" w:lastColumn="0" w:noHBand="0" w:noVBand="1"/>
      </w:tblPr>
      <w:tblGrid>
        <w:gridCol w:w="4635"/>
        <w:gridCol w:w="2169"/>
        <w:gridCol w:w="2425"/>
      </w:tblGrid>
      <w:tr w:rsidR="00906BF9" w:rsidRPr="00005453" w14:paraId="31DC3C6A" w14:textId="77777777" w:rsidTr="00614CD2">
        <w:trPr>
          <w:divId w:val="271591459"/>
          <w:trHeight w:val="210"/>
        </w:trPr>
        <w:tc>
          <w:tcPr>
            <w:tcW w:w="4635" w:type="dxa"/>
            <w:tcBorders>
              <w:top w:val="single" w:sz="8" w:space="0" w:color="000000"/>
              <w:left w:val="nil"/>
              <w:bottom w:val="single" w:sz="8" w:space="0" w:color="000000"/>
              <w:right w:val="nil"/>
            </w:tcBorders>
            <w:shd w:val="clear" w:color="auto" w:fill="auto"/>
            <w:vAlign w:val="center"/>
            <w:hideMark/>
          </w:tcPr>
          <w:p w14:paraId="52E19D52" w14:textId="1A125490" w:rsidR="00906BF9" w:rsidRPr="00005453" w:rsidRDefault="00906BF9" w:rsidP="00906BF9">
            <w:pPr>
              <w:rPr>
                <w:color w:val="000000"/>
                <w:sz w:val="18"/>
                <w:szCs w:val="18"/>
                <w:lang w:eastAsia="tr-TR"/>
              </w:rPr>
            </w:pPr>
            <w:r w:rsidRPr="00005453">
              <w:rPr>
                <w:rFonts w:eastAsia="Arial Unicode MS"/>
                <w:color w:val="000000"/>
                <w:sz w:val="18"/>
                <w:szCs w:val="18"/>
                <w:lang w:eastAsia="tr-TR"/>
              </w:rPr>
              <w:t> </w:t>
            </w:r>
          </w:p>
        </w:tc>
        <w:tc>
          <w:tcPr>
            <w:tcW w:w="2169" w:type="dxa"/>
            <w:tcBorders>
              <w:top w:val="single" w:sz="8" w:space="0" w:color="000000"/>
              <w:left w:val="nil"/>
              <w:bottom w:val="single" w:sz="8" w:space="0" w:color="000000"/>
              <w:right w:val="nil"/>
            </w:tcBorders>
            <w:shd w:val="clear" w:color="auto" w:fill="auto"/>
            <w:vAlign w:val="center"/>
            <w:hideMark/>
          </w:tcPr>
          <w:p w14:paraId="345D3206" w14:textId="2100E212" w:rsidR="00906BF9" w:rsidRPr="00005453" w:rsidRDefault="00906BF9" w:rsidP="00906BF9">
            <w:pPr>
              <w:jc w:val="right"/>
              <w:rPr>
                <w:b/>
                <w:bCs/>
                <w:color w:val="000000"/>
                <w:sz w:val="18"/>
                <w:szCs w:val="18"/>
                <w:lang w:eastAsia="tr-TR"/>
              </w:rPr>
            </w:pPr>
            <w:r w:rsidRPr="00005453">
              <w:rPr>
                <w:rFonts w:eastAsia="Arial Unicode MS"/>
                <w:b/>
                <w:bCs/>
                <w:color w:val="000000"/>
                <w:sz w:val="18"/>
                <w:szCs w:val="18"/>
                <w:lang w:eastAsia="tr-TR"/>
              </w:rPr>
              <w:t xml:space="preserve">Cari </w:t>
            </w:r>
            <w:r w:rsidR="000A665D" w:rsidRPr="00005453">
              <w:rPr>
                <w:rFonts w:eastAsia="Arial Unicode MS"/>
                <w:b/>
                <w:bCs/>
                <w:color w:val="000000"/>
                <w:sz w:val="18"/>
                <w:szCs w:val="18"/>
                <w:lang w:eastAsia="tr-TR"/>
              </w:rPr>
              <w:t>Dönem</w:t>
            </w:r>
          </w:p>
        </w:tc>
        <w:tc>
          <w:tcPr>
            <w:tcW w:w="2425" w:type="dxa"/>
            <w:tcBorders>
              <w:top w:val="single" w:sz="8" w:space="0" w:color="000000"/>
              <w:left w:val="nil"/>
              <w:bottom w:val="single" w:sz="8" w:space="0" w:color="000000"/>
              <w:right w:val="nil"/>
            </w:tcBorders>
            <w:shd w:val="clear" w:color="auto" w:fill="auto"/>
            <w:noWrap/>
            <w:vAlign w:val="center"/>
            <w:hideMark/>
          </w:tcPr>
          <w:p w14:paraId="7654E4D8" w14:textId="39ED9F09" w:rsidR="00906BF9" w:rsidRPr="00005453" w:rsidRDefault="00906BF9" w:rsidP="00906BF9">
            <w:pPr>
              <w:jc w:val="right"/>
              <w:rPr>
                <w:b/>
                <w:bCs/>
                <w:color w:val="000000"/>
                <w:sz w:val="18"/>
                <w:szCs w:val="18"/>
                <w:lang w:eastAsia="tr-TR"/>
              </w:rPr>
            </w:pPr>
            <w:r w:rsidRPr="00005453">
              <w:rPr>
                <w:rFonts w:eastAsia="Arial Unicode MS"/>
                <w:b/>
                <w:bCs/>
                <w:color w:val="000000"/>
                <w:sz w:val="18"/>
                <w:szCs w:val="18"/>
                <w:lang w:eastAsia="tr-TR"/>
              </w:rPr>
              <w:t xml:space="preserve">Önceki </w:t>
            </w:r>
            <w:r w:rsidR="000A665D" w:rsidRPr="00005453">
              <w:rPr>
                <w:rFonts w:eastAsia="Arial Unicode MS"/>
                <w:b/>
                <w:bCs/>
                <w:color w:val="000000"/>
                <w:sz w:val="18"/>
                <w:szCs w:val="18"/>
                <w:lang w:eastAsia="tr-TR"/>
              </w:rPr>
              <w:t>Dönem</w:t>
            </w:r>
          </w:p>
        </w:tc>
      </w:tr>
      <w:tr w:rsidR="00C93543" w:rsidRPr="00005453" w14:paraId="19F68F4B" w14:textId="77777777" w:rsidTr="00C93543">
        <w:trPr>
          <w:divId w:val="271591459"/>
          <w:trHeight w:val="200"/>
        </w:trPr>
        <w:tc>
          <w:tcPr>
            <w:tcW w:w="4635" w:type="dxa"/>
            <w:tcBorders>
              <w:top w:val="nil"/>
              <w:left w:val="nil"/>
              <w:bottom w:val="nil"/>
              <w:right w:val="nil"/>
            </w:tcBorders>
            <w:shd w:val="clear" w:color="auto" w:fill="auto"/>
            <w:vAlign w:val="center"/>
            <w:hideMark/>
          </w:tcPr>
          <w:p w14:paraId="6906716B" w14:textId="77777777" w:rsidR="00C93543" w:rsidRPr="00005453" w:rsidRDefault="00C93543" w:rsidP="00C93543">
            <w:pPr>
              <w:rPr>
                <w:color w:val="000000"/>
                <w:sz w:val="18"/>
                <w:szCs w:val="18"/>
                <w:lang w:eastAsia="tr-TR"/>
              </w:rPr>
            </w:pPr>
            <w:r w:rsidRPr="00005453">
              <w:rPr>
                <w:color w:val="000000"/>
                <w:sz w:val="18"/>
                <w:szCs w:val="18"/>
                <w:lang w:eastAsia="tr-TR"/>
              </w:rPr>
              <w:t>Açılış Bakiyesi</w:t>
            </w:r>
          </w:p>
        </w:tc>
        <w:tc>
          <w:tcPr>
            <w:tcW w:w="2169" w:type="dxa"/>
            <w:tcBorders>
              <w:top w:val="nil"/>
              <w:left w:val="nil"/>
              <w:bottom w:val="nil"/>
              <w:right w:val="nil"/>
            </w:tcBorders>
            <w:shd w:val="clear" w:color="auto" w:fill="auto"/>
            <w:vAlign w:val="center"/>
            <w:hideMark/>
          </w:tcPr>
          <w:p w14:paraId="3739F794" w14:textId="4A0899F7" w:rsidR="00C93543" w:rsidRPr="00005453" w:rsidRDefault="00C93543" w:rsidP="00C93543">
            <w:pPr>
              <w:jc w:val="right"/>
              <w:rPr>
                <w:color w:val="000000"/>
                <w:sz w:val="18"/>
                <w:szCs w:val="18"/>
              </w:rPr>
            </w:pPr>
            <w:r w:rsidRPr="00005453">
              <w:rPr>
                <w:color w:val="000000"/>
                <w:sz w:val="18"/>
                <w:szCs w:val="18"/>
              </w:rPr>
              <w:t>428,585</w:t>
            </w:r>
          </w:p>
        </w:tc>
        <w:tc>
          <w:tcPr>
            <w:tcW w:w="2425" w:type="dxa"/>
            <w:tcBorders>
              <w:top w:val="nil"/>
              <w:left w:val="nil"/>
              <w:bottom w:val="nil"/>
              <w:right w:val="nil"/>
            </w:tcBorders>
            <w:shd w:val="clear" w:color="auto" w:fill="auto"/>
            <w:vAlign w:val="bottom"/>
            <w:hideMark/>
          </w:tcPr>
          <w:p w14:paraId="45DBBD36" w14:textId="631E9B81" w:rsidR="00C93543" w:rsidRPr="00005453" w:rsidRDefault="00C93543" w:rsidP="00C93543">
            <w:pPr>
              <w:jc w:val="right"/>
              <w:rPr>
                <w:color w:val="000000"/>
                <w:sz w:val="18"/>
                <w:szCs w:val="18"/>
                <w:lang w:eastAsia="tr-TR"/>
              </w:rPr>
            </w:pPr>
            <w:r w:rsidRPr="00005453">
              <w:rPr>
                <w:color w:val="000000"/>
                <w:sz w:val="18"/>
                <w:szCs w:val="18"/>
              </w:rPr>
              <w:t xml:space="preserve"> 117,719    </w:t>
            </w:r>
          </w:p>
        </w:tc>
      </w:tr>
      <w:tr w:rsidR="00C93543" w:rsidRPr="00005453" w14:paraId="3050213D" w14:textId="77777777" w:rsidTr="00C93543">
        <w:trPr>
          <w:divId w:val="271591459"/>
          <w:trHeight w:val="200"/>
        </w:trPr>
        <w:tc>
          <w:tcPr>
            <w:tcW w:w="4635" w:type="dxa"/>
            <w:tcBorders>
              <w:top w:val="nil"/>
              <w:left w:val="nil"/>
              <w:bottom w:val="nil"/>
              <w:right w:val="nil"/>
            </w:tcBorders>
            <w:shd w:val="clear" w:color="auto" w:fill="auto"/>
            <w:vAlign w:val="center"/>
            <w:hideMark/>
          </w:tcPr>
          <w:p w14:paraId="22E3FF73" w14:textId="77777777" w:rsidR="00C93543" w:rsidRPr="00005453" w:rsidRDefault="00C93543" w:rsidP="00C93543">
            <w:pPr>
              <w:rPr>
                <w:color w:val="000000"/>
                <w:sz w:val="18"/>
                <w:szCs w:val="18"/>
                <w:lang w:eastAsia="tr-TR"/>
              </w:rPr>
            </w:pPr>
            <w:r w:rsidRPr="00005453">
              <w:rPr>
                <w:color w:val="000000"/>
                <w:sz w:val="18"/>
                <w:szCs w:val="18"/>
                <w:lang w:eastAsia="tr-TR"/>
              </w:rPr>
              <w:t>İktisap Edilenler</w:t>
            </w:r>
          </w:p>
        </w:tc>
        <w:tc>
          <w:tcPr>
            <w:tcW w:w="2169" w:type="dxa"/>
            <w:tcBorders>
              <w:top w:val="nil"/>
              <w:left w:val="nil"/>
              <w:bottom w:val="nil"/>
              <w:right w:val="nil"/>
            </w:tcBorders>
            <w:shd w:val="clear" w:color="auto" w:fill="auto"/>
            <w:vAlign w:val="center"/>
            <w:hideMark/>
          </w:tcPr>
          <w:p w14:paraId="1FCB9208" w14:textId="068BFCA4" w:rsidR="00C93543" w:rsidRPr="00005453" w:rsidRDefault="00C93543" w:rsidP="00C93543">
            <w:pPr>
              <w:jc w:val="right"/>
              <w:rPr>
                <w:color w:val="000000"/>
                <w:sz w:val="18"/>
                <w:szCs w:val="18"/>
              </w:rPr>
            </w:pPr>
            <w:r w:rsidRPr="00005453">
              <w:rPr>
                <w:color w:val="000000"/>
                <w:sz w:val="18"/>
                <w:szCs w:val="18"/>
              </w:rPr>
              <w:t>212,519</w:t>
            </w:r>
          </w:p>
        </w:tc>
        <w:tc>
          <w:tcPr>
            <w:tcW w:w="2425" w:type="dxa"/>
            <w:tcBorders>
              <w:top w:val="nil"/>
              <w:left w:val="nil"/>
              <w:bottom w:val="nil"/>
              <w:right w:val="nil"/>
            </w:tcBorders>
            <w:shd w:val="clear" w:color="auto" w:fill="auto"/>
            <w:vAlign w:val="bottom"/>
            <w:hideMark/>
          </w:tcPr>
          <w:p w14:paraId="5FADF9AC" w14:textId="5017320D" w:rsidR="00C93543" w:rsidRPr="00005453" w:rsidRDefault="00C93543" w:rsidP="00C93543">
            <w:pPr>
              <w:jc w:val="right"/>
              <w:rPr>
                <w:color w:val="000000"/>
                <w:sz w:val="18"/>
                <w:szCs w:val="18"/>
                <w:lang w:eastAsia="tr-TR"/>
              </w:rPr>
            </w:pPr>
            <w:r w:rsidRPr="00005453">
              <w:rPr>
                <w:color w:val="000000"/>
                <w:sz w:val="18"/>
                <w:szCs w:val="18"/>
              </w:rPr>
              <w:t xml:space="preserve"> 350,438    </w:t>
            </w:r>
          </w:p>
        </w:tc>
      </w:tr>
      <w:tr w:rsidR="00C93543" w:rsidRPr="00005453" w14:paraId="040FE022" w14:textId="77777777" w:rsidTr="00C93543">
        <w:trPr>
          <w:divId w:val="271591459"/>
          <w:trHeight w:val="149"/>
        </w:trPr>
        <w:tc>
          <w:tcPr>
            <w:tcW w:w="4635" w:type="dxa"/>
            <w:tcBorders>
              <w:top w:val="nil"/>
              <w:left w:val="nil"/>
              <w:bottom w:val="nil"/>
              <w:right w:val="nil"/>
            </w:tcBorders>
            <w:shd w:val="clear" w:color="auto" w:fill="auto"/>
            <w:vAlign w:val="center"/>
            <w:hideMark/>
          </w:tcPr>
          <w:p w14:paraId="0D17EE44" w14:textId="77777777" w:rsidR="00C93543" w:rsidRPr="00005453" w:rsidRDefault="00C93543" w:rsidP="00C93543">
            <w:pPr>
              <w:rPr>
                <w:bCs/>
                <w:color w:val="000000"/>
                <w:sz w:val="18"/>
                <w:szCs w:val="18"/>
                <w:lang w:eastAsia="tr-TR"/>
              </w:rPr>
            </w:pPr>
            <w:r w:rsidRPr="00005453">
              <w:rPr>
                <w:bCs/>
                <w:color w:val="000000"/>
                <w:sz w:val="18"/>
                <w:szCs w:val="18"/>
                <w:lang w:eastAsia="tr-TR"/>
              </w:rPr>
              <w:t xml:space="preserve">Maddi Duran Varlıklardan Transferler </w:t>
            </w:r>
          </w:p>
        </w:tc>
        <w:tc>
          <w:tcPr>
            <w:tcW w:w="2169" w:type="dxa"/>
            <w:tcBorders>
              <w:top w:val="nil"/>
              <w:left w:val="nil"/>
              <w:bottom w:val="nil"/>
              <w:right w:val="nil"/>
            </w:tcBorders>
            <w:shd w:val="clear" w:color="auto" w:fill="auto"/>
            <w:vAlign w:val="center"/>
            <w:hideMark/>
          </w:tcPr>
          <w:p w14:paraId="6A1C56A8" w14:textId="3D757817" w:rsidR="00C93543" w:rsidRPr="00005453" w:rsidRDefault="00C93543" w:rsidP="00C93543">
            <w:pPr>
              <w:jc w:val="right"/>
              <w:rPr>
                <w:color w:val="000000"/>
                <w:sz w:val="18"/>
                <w:szCs w:val="18"/>
              </w:rPr>
            </w:pPr>
            <w:r w:rsidRPr="00005453">
              <w:rPr>
                <w:color w:val="000000"/>
                <w:sz w:val="18"/>
                <w:szCs w:val="18"/>
              </w:rPr>
              <w:t>-</w:t>
            </w:r>
          </w:p>
        </w:tc>
        <w:tc>
          <w:tcPr>
            <w:tcW w:w="2425" w:type="dxa"/>
            <w:tcBorders>
              <w:top w:val="nil"/>
              <w:left w:val="nil"/>
              <w:bottom w:val="nil"/>
              <w:right w:val="nil"/>
            </w:tcBorders>
            <w:shd w:val="clear" w:color="auto" w:fill="auto"/>
            <w:vAlign w:val="bottom"/>
            <w:hideMark/>
          </w:tcPr>
          <w:p w14:paraId="5C354E76" w14:textId="7066B571" w:rsidR="00C93543" w:rsidRPr="00005453" w:rsidRDefault="00C93543" w:rsidP="00C93543">
            <w:pPr>
              <w:jc w:val="right"/>
              <w:rPr>
                <w:color w:val="000000"/>
                <w:sz w:val="18"/>
                <w:szCs w:val="18"/>
                <w:lang w:eastAsia="tr-TR"/>
              </w:rPr>
            </w:pPr>
            <w:r w:rsidRPr="00005453">
              <w:rPr>
                <w:color w:val="000000"/>
                <w:sz w:val="18"/>
                <w:szCs w:val="18"/>
              </w:rPr>
              <w:t>- </w:t>
            </w:r>
          </w:p>
        </w:tc>
      </w:tr>
      <w:tr w:rsidR="00C93543" w:rsidRPr="00005453" w14:paraId="7AF3EF7A" w14:textId="77777777" w:rsidTr="00C93543">
        <w:trPr>
          <w:divId w:val="271591459"/>
          <w:trHeight w:val="200"/>
        </w:trPr>
        <w:tc>
          <w:tcPr>
            <w:tcW w:w="4635" w:type="dxa"/>
            <w:tcBorders>
              <w:top w:val="nil"/>
              <w:left w:val="nil"/>
              <w:bottom w:val="nil"/>
              <w:right w:val="nil"/>
            </w:tcBorders>
            <w:shd w:val="clear" w:color="auto" w:fill="auto"/>
            <w:vAlign w:val="center"/>
            <w:hideMark/>
          </w:tcPr>
          <w:p w14:paraId="701634F7" w14:textId="77777777" w:rsidR="00C93543" w:rsidRPr="00005453" w:rsidRDefault="00C93543" w:rsidP="00C93543">
            <w:pPr>
              <w:rPr>
                <w:color w:val="000000"/>
                <w:sz w:val="18"/>
                <w:szCs w:val="18"/>
                <w:lang w:eastAsia="tr-TR"/>
              </w:rPr>
            </w:pPr>
            <w:r w:rsidRPr="00005453">
              <w:rPr>
                <w:color w:val="000000"/>
                <w:sz w:val="18"/>
                <w:szCs w:val="18"/>
                <w:lang w:eastAsia="tr-TR"/>
              </w:rPr>
              <w:t>Elden Çıkarılanlar (-), Net</w:t>
            </w:r>
          </w:p>
        </w:tc>
        <w:tc>
          <w:tcPr>
            <w:tcW w:w="2169" w:type="dxa"/>
            <w:tcBorders>
              <w:top w:val="nil"/>
              <w:left w:val="nil"/>
              <w:bottom w:val="nil"/>
              <w:right w:val="nil"/>
            </w:tcBorders>
            <w:shd w:val="clear" w:color="auto" w:fill="auto"/>
            <w:vAlign w:val="center"/>
            <w:hideMark/>
          </w:tcPr>
          <w:p w14:paraId="1EFAE5E9" w14:textId="53923967" w:rsidR="00C93543" w:rsidRPr="00005453" w:rsidRDefault="00C93543" w:rsidP="00C93543">
            <w:pPr>
              <w:jc w:val="right"/>
              <w:rPr>
                <w:color w:val="000000"/>
                <w:sz w:val="18"/>
                <w:szCs w:val="18"/>
              </w:rPr>
            </w:pPr>
            <w:r w:rsidRPr="00005453">
              <w:rPr>
                <w:color w:val="000000"/>
                <w:sz w:val="18"/>
                <w:szCs w:val="18"/>
              </w:rPr>
              <w:t>118,361</w:t>
            </w:r>
          </w:p>
        </w:tc>
        <w:tc>
          <w:tcPr>
            <w:tcW w:w="2425" w:type="dxa"/>
            <w:tcBorders>
              <w:top w:val="nil"/>
              <w:left w:val="nil"/>
              <w:bottom w:val="nil"/>
              <w:right w:val="nil"/>
            </w:tcBorders>
            <w:shd w:val="clear" w:color="auto" w:fill="auto"/>
            <w:vAlign w:val="center"/>
            <w:hideMark/>
          </w:tcPr>
          <w:p w14:paraId="1A52F0FE" w14:textId="02C74131" w:rsidR="00C93543" w:rsidRPr="00005453" w:rsidRDefault="00C93543" w:rsidP="00C93543">
            <w:pPr>
              <w:jc w:val="right"/>
              <w:rPr>
                <w:color w:val="000000"/>
                <w:sz w:val="18"/>
                <w:szCs w:val="18"/>
                <w:lang w:eastAsia="tr-TR"/>
              </w:rPr>
            </w:pPr>
            <w:r w:rsidRPr="00005453">
              <w:rPr>
                <w:color w:val="000000"/>
                <w:sz w:val="18"/>
                <w:szCs w:val="18"/>
              </w:rPr>
              <w:t>39,572</w:t>
            </w:r>
          </w:p>
        </w:tc>
      </w:tr>
      <w:tr w:rsidR="00C93543" w:rsidRPr="00005453" w14:paraId="7509E42C" w14:textId="77777777" w:rsidTr="00C93543">
        <w:trPr>
          <w:divId w:val="271591459"/>
          <w:trHeight w:val="168"/>
        </w:trPr>
        <w:tc>
          <w:tcPr>
            <w:tcW w:w="4635" w:type="dxa"/>
            <w:tcBorders>
              <w:top w:val="nil"/>
              <w:left w:val="nil"/>
              <w:bottom w:val="nil"/>
              <w:right w:val="nil"/>
            </w:tcBorders>
            <w:shd w:val="clear" w:color="auto" w:fill="auto"/>
            <w:vAlign w:val="center"/>
            <w:hideMark/>
          </w:tcPr>
          <w:p w14:paraId="7B3705CA" w14:textId="77777777" w:rsidR="00C93543" w:rsidRPr="00005453" w:rsidRDefault="00C93543" w:rsidP="00C93543">
            <w:pPr>
              <w:rPr>
                <w:bCs/>
                <w:color w:val="000000"/>
                <w:sz w:val="18"/>
                <w:szCs w:val="18"/>
                <w:lang w:eastAsia="tr-TR"/>
              </w:rPr>
            </w:pPr>
            <w:r w:rsidRPr="00005453">
              <w:rPr>
                <w:bCs/>
                <w:color w:val="000000"/>
                <w:sz w:val="18"/>
                <w:szCs w:val="18"/>
                <w:lang w:eastAsia="tr-TR"/>
              </w:rPr>
              <w:t>Maddi Duran Varlıklara Transfer</w:t>
            </w:r>
          </w:p>
        </w:tc>
        <w:tc>
          <w:tcPr>
            <w:tcW w:w="2169" w:type="dxa"/>
            <w:tcBorders>
              <w:top w:val="nil"/>
              <w:left w:val="nil"/>
              <w:bottom w:val="nil"/>
              <w:right w:val="nil"/>
            </w:tcBorders>
            <w:shd w:val="clear" w:color="auto" w:fill="auto"/>
            <w:vAlign w:val="center"/>
            <w:hideMark/>
          </w:tcPr>
          <w:p w14:paraId="08E61AEF" w14:textId="5E8CE864" w:rsidR="00C93543" w:rsidRPr="00005453" w:rsidRDefault="00C93543" w:rsidP="00C93543">
            <w:pPr>
              <w:jc w:val="right"/>
              <w:rPr>
                <w:color w:val="000000"/>
                <w:sz w:val="18"/>
                <w:szCs w:val="18"/>
              </w:rPr>
            </w:pPr>
            <w:r w:rsidRPr="00005453">
              <w:rPr>
                <w:color w:val="000000"/>
                <w:sz w:val="18"/>
                <w:szCs w:val="18"/>
              </w:rPr>
              <w:t>-</w:t>
            </w:r>
          </w:p>
        </w:tc>
        <w:tc>
          <w:tcPr>
            <w:tcW w:w="2425" w:type="dxa"/>
            <w:tcBorders>
              <w:top w:val="nil"/>
              <w:left w:val="nil"/>
              <w:bottom w:val="nil"/>
              <w:right w:val="nil"/>
            </w:tcBorders>
            <w:shd w:val="clear" w:color="auto" w:fill="auto"/>
            <w:vAlign w:val="bottom"/>
            <w:hideMark/>
          </w:tcPr>
          <w:p w14:paraId="7EA402BC" w14:textId="35AC83BB" w:rsidR="00C93543" w:rsidRPr="00005453" w:rsidRDefault="00C93543" w:rsidP="00C93543">
            <w:pPr>
              <w:jc w:val="right"/>
              <w:rPr>
                <w:color w:val="000000"/>
                <w:sz w:val="18"/>
                <w:szCs w:val="18"/>
                <w:lang w:eastAsia="tr-TR"/>
              </w:rPr>
            </w:pPr>
            <w:r w:rsidRPr="00005453">
              <w:rPr>
                <w:color w:val="000000"/>
                <w:sz w:val="18"/>
                <w:szCs w:val="18"/>
              </w:rPr>
              <w:t>- </w:t>
            </w:r>
          </w:p>
        </w:tc>
      </w:tr>
      <w:tr w:rsidR="00C93543" w:rsidRPr="00005453" w14:paraId="59F352A6" w14:textId="77777777" w:rsidTr="00C93543">
        <w:trPr>
          <w:divId w:val="271591459"/>
          <w:trHeight w:val="86"/>
        </w:trPr>
        <w:tc>
          <w:tcPr>
            <w:tcW w:w="4635" w:type="dxa"/>
            <w:tcBorders>
              <w:top w:val="nil"/>
              <w:left w:val="nil"/>
              <w:bottom w:val="nil"/>
              <w:right w:val="nil"/>
            </w:tcBorders>
            <w:shd w:val="clear" w:color="auto" w:fill="auto"/>
            <w:vAlign w:val="center"/>
            <w:hideMark/>
          </w:tcPr>
          <w:p w14:paraId="1783722F" w14:textId="77777777" w:rsidR="00C93543" w:rsidRPr="00005453" w:rsidRDefault="00C93543" w:rsidP="00C93543">
            <w:pPr>
              <w:rPr>
                <w:color w:val="000000"/>
                <w:sz w:val="18"/>
                <w:szCs w:val="18"/>
                <w:lang w:eastAsia="tr-TR"/>
              </w:rPr>
            </w:pPr>
            <w:r w:rsidRPr="00005453">
              <w:rPr>
                <w:color w:val="000000"/>
                <w:sz w:val="18"/>
                <w:szCs w:val="18"/>
                <w:lang w:eastAsia="tr-TR"/>
              </w:rPr>
              <w:t>Amortisman Bedeli (-)</w:t>
            </w:r>
          </w:p>
        </w:tc>
        <w:tc>
          <w:tcPr>
            <w:tcW w:w="2169" w:type="dxa"/>
            <w:tcBorders>
              <w:top w:val="nil"/>
              <w:left w:val="nil"/>
              <w:bottom w:val="nil"/>
              <w:right w:val="nil"/>
            </w:tcBorders>
            <w:shd w:val="clear" w:color="auto" w:fill="auto"/>
            <w:vAlign w:val="center"/>
            <w:hideMark/>
          </w:tcPr>
          <w:p w14:paraId="28C034D7" w14:textId="5F899E9B" w:rsidR="00C93543" w:rsidRPr="00005453" w:rsidRDefault="00C93543" w:rsidP="00C93543">
            <w:pPr>
              <w:jc w:val="right"/>
              <w:rPr>
                <w:color w:val="000000"/>
                <w:sz w:val="18"/>
                <w:szCs w:val="18"/>
              </w:rPr>
            </w:pPr>
            <w:r w:rsidRPr="00005453">
              <w:rPr>
                <w:sz w:val="18"/>
                <w:szCs w:val="18"/>
              </w:rPr>
              <w:t>-</w:t>
            </w:r>
          </w:p>
        </w:tc>
        <w:tc>
          <w:tcPr>
            <w:tcW w:w="2425" w:type="dxa"/>
            <w:tcBorders>
              <w:top w:val="nil"/>
              <w:left w:val="nil"/>
              <w:bottom w:val="nil"/>
              <w:right w:val="nil"/>
            </w:tcBorders>
            <w:shd w:val="clear" w:color="auto" w:fill="auto"/>
            <w:vAlign w:val="bottom"/>
            <w:hideMark/>
          </w:tcPr>
          <w:p w14:paraId="70B7E5AF" w14:textId="497DCDA2" w:rsidR="00C93543" w:rsidRPr="00005453" w:rsidRDefault="00C93543" w:rsidP="00C93543">
            <w:pPr>
              <w:jc w:val="right"/>
              <w:rPr>
                <w:color w:val="000000"/>
                <w:sz w:val="18"/>
                <w:szCs w:val="18"/>
                <w:lang w:eastAsia="tr-TR"/>
              </w:rPr>
            </w:pPr>
            <w:r w:rsidRPr="00005453">
              <w:rPr>
                <w:color w:val="000000"/>
                <w:sz w:val="18"/>
                <w:szCs w:val="18"/>
              </w:rPr>
              <w:t xml:space="preserve"> -      </w:t>
            </w:r>
          </w:p>
        </w:tc>
      </w:tr>
      <w:tr w:rsidR="00C93543" w:rsidRPr="00005453" w14:paraId="1161F78D" w14:textId="77777777" w:rsidTr="00C93543">
        <w:trPr>
          <w:divId w:val="271591459"/>
          <w:trHeight w:val="210"/>
        </w:trPr>
        <w:tc>
          <w:tcPr>
            <w:tcW w:w="4635" w:type="dxa"/>
            <w:tcBorders>
              <w:top w:val="nil"/>
              <w:left w:val="nil"/>
              <w:bottom w:val="single" w:sz="8" w:space="0" w:color="auto"/>
              <w:right w:val="nil"/>
            </w:tcBorders>
            <w:shd w:val="clear" w:color="auto" w:fill="auto"/>
            <w:vAlign w:val="center"/>
            <w:hideMark/>
          </w:tcPr>
          <w:p w14:paraId="66B68FAE" w14:textId="77777777" w:rsidR="00C93543" w:rsidRPr="00005453" w:rsidRDefault="00C93543" w:rsidP="00C93543">
            <w:pPr>
              <w:rPr>
                <w:color w:val="000000"/>
                <w:sz w:val="18"/>
                <w:szCs w:val="18"/>
                <w:lang w:eastAsia="tr-TR"/>
              </w:rPr>
            </w:pPr>
            <w:r w:rsidRPr="00005453">
              <w:rPr>
                <w:color w:val="000000"/>
                <w:sz w:val="18"/>
                <w:szCs w:val="18"/>
                <w:lang w:eastAsia="tr-TR"/>
              </w:rPr>
              <w:t>Değer Düşüş Karşılığı (-)</w:t>
            </w:r>
          </w:p>
        </w:tc>
        <w:tc>
          <w:tcPr>
            <w:tcW w:w="2169" w:type="dxa"/>
            <w:tcBorders>
              <w:top w:val="nil"/>
              <w:left w:val="nil"/>
              <w:bottom w:val="single" w:sz="8" w:space="0" w:color="auto"/>
              <w:right w:val="nil"/>
            </w:tcBorders>
            <w:shd w:val="clear" w:color="auto" w:fill="auto"/>
            <w:vAlign w:val="center"/>
            <w:hideMark/>
          </w:tcPr>
          <w:p w14:paraId="04B2FD33" w14:textId="56003A1D" w:rsidR="00C93543" w:rsidRPr="00005453" w:rsidRDefault="00C93543" w:rsidP="00C93543">
            <w:pPr>
              <w:jc w:val="right"/>
              <w:rPr>
                <w:color w:val="000000"/>
                <w:sz w:val="18"/>
                <w:szCs w:val="18"/>
              </w:rPr>
            </w:pPr>
            <w:r w:rsidRPr="00005453">
              <w:rPr>
                <w:color w:val="000000"/>
                <w:sz w:val="18"/>
                <w:szCs w:val="18"/>
              </w:rPr>
              <w:t>-</w:t>
            </w:r>
          </w:p>
        </w:tc>
        <w:tc>
          <w:tcPr>
            <w:tcW w:w="2425" w:type="dxa"/>
            <w:tcBorders>
              <w:top w:val="nil"/>
              <w:left w:val="nil"/>
              <w:bottom w:val="single" w:sz="8" w:space="0" w:color="auto"/>
              <w:right w:val="nil"/>
            </w:tcBorders>
            <w:shd w:val="clear" w:color="auto" w:fill="auto"/>
            <w:vAlign w:val="bottom"/>
            <w:hideMark/>
          </w:tcPr>
          <w:p w14:paraId="61A85216" w14:textId="03BC135F" w:rsidR="00C93543" w:rsidRPr="00005453" w:rsidRDefault="00C93543" w:rsidP="00C93543">
            <w:pPr>
              <w:jc w:val="right"/>
              <w:rPr>
                <w:color w:val="000000"/>
                <w:sz w:val="18"/>
                <w:szCs w:val="18"/>
                <w:lang w:eastAsia="tr-TR"/>
              </w:rPr>
            </w:pPr>
            <w:r w:rsidRPr="00005453">
              <w:rPr>
                <w:color w:val="000000"/>
                <w:sz w:val="18"/>
                <w:szCs w:val="18"/>
              </w:rPr>
              <w:t xml:space="preserve"> -      </w:t>
            </w:r>
          </w:p>
        </w:tc>
      </w:tr>
      <w:tr w:rsidR="00C93543" w:rsidRPr="00005453" w14:paraId="409E7599" w14:textId="77777777" w:rsidTr="00C93543">
        <w:trPr>
          <w:divId w:val="271591459"/>
          <w:trHeight w:val="210"/>
        </w:trPr>
        <w:tc>
          <w:tcPr>
            <w:tcW w:w="4635" w:type="dxa"/>
            <w:tcBorders>
              <w:top w:val="nil"/>
              <w:left w:val="nil"/>
              <w:bottom w:val="double" w:sz="6" w:space="0" w:color="auto"/>
              <w:right w:val="nil"/>
            </w:tcBorders>
            <w:shd w:val="clear" w:color="auto" w:fill="auto"/>
            <w:vAlign w:val="center"/>
            <w:hideMark/>
          </w:tcPr>
          <w:p w14:paraId="7662A2BA" w14:textId="77777777" w:rsidR="00C93543" w:rsidRPr="00005453" w:rsidRDefault="00C93543" w:rsidP="00C93543">
            <w:pPr>
              <w:rPr>
                <w:b/>
                <w:bCs/>
                <w:color w:val="000000"/>
                <w:sz w:val="18"/>
                <w:szCs w:val="18"/>
                <w:lang w:eastAsia="tr-TR"/>
              </w:rPr>
            </w:pPr>
            <w:r w:rsidRPr="00005453">
              <w:rPr>
                <w:rFonts w:eastAsia="Arial Unicode MS"/>
                <w:b/>
                <w:bCs/>
                <w:color w:val="000000"/>
                <w:sz w:val="18"/>
                <w:szCs w:val="18"/>
                <w:lang w:eastAsia="tr-TR"/>
              </w:rPr>
              <w:t xml:space="preserve">Kapanış Net Defter Değeri </w:t>
            </w:r>
          </w:p>
        </w:tc>
        <w:tc>
          <w:tcPr>
            <w:tcW w:w="2169" w:type="dxa"/>
            <w:tcBorders>
              <w:top w:val="nil"/>
              <w:left w:val="nil"/>
              <w:bottom w:val="double" w:sz="6" w:space="0" w:color="auto"/>
              <w:right w:val="nil"/>
            </w:tcBorders>
            <w:shd w:val="clear" w:color="auto" w:fill="auto"/>
            <w:vAlign w:val="center"/>
            <w:hideMark/>
          </w:tcPr>
          <w:p w14:paraId="4109B6DA" w14:textId="78B11B69" w:rsidR="00C93543" w:rsidRPr="00005453" w:rsidRDefault="00C93543" w:rsidP="00C93543">
            <w:pPr>
              <w:jc w:val="right"/>
              <w:rPr>
                <w:b/>
                <w:bCs/>
                <w:color w:val="000000"/>
                <w:sz w:val="18"/>
                <w:szCs w:val="18"/>
                <w:lang w:eastAsia="tr-TR"/>
              </w:rPr>
            </w:pPr>
            <w:r w:rsidRPr="00005453">
              <w:rPr>
                <w:b/>
                <w:bCs/>
                <w:sz w:val="18"/>
                <w:szCs w:val="18"/>
              </w:rPr>
              <w:t>522,743</w:t>
            </w:r>
          </w:p>
        </w:tc>
        <w:tc>
          <w:tcPr>
            <w:tcW w:w="2425" w:type="dxa"/>
            <w:tcBorders>
              <w:top w:val="nil"/>
              <w:left w:val="nil"/>
              <w:bottom w:val="double" w:sz="6" w:space="0" w:color="auto"/>
              <w:right w:val="nil"/>
            </w:tcBorders>
            <w:shd w:val="clear" w:color="auto" w:fill="auto"/>
            <w:vAlign w:val="center"/>
            <w:hideMark/>
          </w:tcPr>
          <w:p w14:paraId="2CB897A6" w14:textId="67898C34" w:rsidR="00C93543" w:rsidRPr="00005453" w:rsidRDefault="00C93543" w:rsidP="00C93543">
            <w:pPr>
              <w:jc w:val="right"/>
              <w:rPr>
                <w:b/>
                <w:bCs/>
                <w:color w:val="000000"/>
                <w:sz w:val="18"/>
                <w:szCs w:val="18"/>
                <w:lang w:eastAsia="tr-TR"/>
              </w:rPr>
            </w:pPr>
            <w:r w:rsidRPr="00005453">
              <w:rPr>
                <w:b/>
                <w:bCs/>
                <w:color w:val="000000"/>
                <w:sz w:val="18"/>
                <w:szCs w:val="18"/>
                <w:lang w:eastAsia="tr-TR"/>
              </w:rPr>
              <w:t>428,585</w:t>
            </w:r>
          </w:p>
        </w:tc>
      </w:tr>
    </w:tbl>
    <w:p w14:paraId="7433C622" w14:textId="77777777" w:rsidR="00D06CF3" w:rsidRPr="00005453" w:rsidRDefault="00D06CF3" w:rsidP="00A023D6">
      <w:pPr>
        <w:autoSpaceDE w:val="0"/>
        <w:autoSpaceDN w:val="0"/>
        <w:adjustRightInd w:val="0"/>
        <w:spacing w:line="230" w:lineRule="auto"/>
        <w:rPr>
          <w:b/>
          <w:bCs/>
          <w:iCs/>
          <w:sz w:val="16"/>
          <w:szCs w:val="16"/>
        </w:rPr>
      </w:pPr>
    </w:p>
    <w:p w14:paraId="0144F254" w14:textId="32105A13" w:rsidR="00C923B1" w:rsidRPr="00005453" w:rsidRDefault="007959C0" w:rsidP="00A023D6">
      <w:pPr>
        <w:tabs>
          <w:tab w:val="left" w:pos="709"/>
        </w:tabs>
        <w:autoSpaceDE w:val="0"/>
        <w:autoSpaceDN w:val="0"/>
        <w:adjustRightInd w:val="0"/>
        <w:spacing w:line="230" w:lineRule="auto"/>
        <w:ind w:hanging="567"/>
        <w:rPr>
          <w:b/>
          <w:bCs/>
          <w:iCs/>
        </w:rPr>
      </w:pPr>
      <w:r w:rsidRPr="00005453">
        <w:rPr>
          <w:b/>
          <w:bCs/>
          <w:iCs/>
        </w:rPr>
        <w:t>1</w:t>
      </w:r>
      <w:r w:rsidR="000F4462" w:rsidRPr="00005453">
        <w:rPr>
          <w:b/>
          <w:bCs/>
          <w:iCs/>
        </w:rPr>
        <w:t>.</w:t>
      </w:r>
      <w:r w:rsidRPr="00005453">
        <w:rPr>
          <w:b/>
          <w:bCs/>
          <w:iCs/>
        </w:rPr>
        <w:t>1</w:t>
      </w:r>
      <w:r w:rsidR="0048609D" w:rsidRPr="00005453">
        <w:rPr>
          <w:b/>
          <w:bCs/>
          <w:iCs/>
        </w:rPr>
        <w:t>7.</w:t>
      </w:r>
      <w:r w:rsidR="00E253C8" w:rsidRPr="00005453">
        <w:rPr>
          <w:b/>
          <w:bCs/>
        </w:rPr>
        <w:tab/>
        <w:t>Diğer aktiflere ilişkin bilgiler</w:t>
      </w:r>
    </w:p>
    <w:p w14:paraId="4D112A40" w14:textId="77777777" w:rsidR="00C923B1" w:rsidRPr="00005453" w:rsidRDefault="00C923B1" w:rsidP="00A023D6">
      <w:pPr>
        <w:autoSpaceDE w:val="0"/>
        <w:autoSpaceDN w:val="0"/>
        <w:adjustRightInd w:val="0"/>
        <w:spacing w:line="230" w:lineRule="auto"/>
        <w:ind w:left="540"/>
        <w:rPr>
          <w:bCs/>
          <w:sz w:val="16"/>
          <w:szCs w:val="16"/>
        </w:rPr>
      </w:pPr>
    </w:p>
    <w:p w14:paraId="0266FFC6" w14:textId="64E991F7" w:rsidR="00906BF9" w:rsidRPr="00005453" w:rsidRDefault="00906BF9" w:rsidP="00906BF9">
      <w:pPr>
        <w:spacing w:line="230" w:lineRule="auto"/>
        <w:jc w:val="both"/>
        <w:rPr>
          <w:bCs/>
        </w:rPr>
      </w:pPr>
      <w:r w:rsidRPr="00005453">
        <w:rPr>
          <w:bCs/>
        </w:rPr>
        <w:t xml:space="preserve">Bilanço tarihi itibarıyla, Banka’nın diğer aktifler toplamı </w:t>
      </w:r>
      <w:r w:rsidR="00AB6D25" w:rsidRPr="00005453">
        <w:rPr>
          <w:bCs/>
        </w:rPr>
        <w:t>9</w:t>
      </w:r>
      <w:r w:rsidRPr="00005453">
        <w:rPr>
          <w:bCs/>
        </w:rPr>
        <w:t>,</w:t>
      </w:r>
      <w:r w:rsidR="00AB6D25" w:rsidRPr="00005453">
        <w:rPr>
          <w:bCs/>
        </w:rPr>
        <w:t>209</w:t>
      </w:r>
      <w:r w:rsidRPr="00005453">
        <w:rPr>
          <w:bCs/>
        </w:rPr>
        <w:t>,</w:t>
      </w:r>
      <w:r w:rsidR="00AB6D25" w:rsidRPr="00005453">
        <w:rPr>
          <w:bCs/>
        </w:rPr>
        <w:t>753</w:t>
      </w:r>
      <w:r w:rsidRPr="00005453">
        <w:rPr>
          <w:bCs/>
        </w:rPr>
        <w:t xml:space="preserve"> TL (31 Aralık 202</w:t>
      </w:r>
      <w:r w:rsidR="00442255" w:rsidRPr="00005453">
        <w:rPr>
          <w:bCs/>
        </w:rPr>
        <w:t>3</w:t>
      </w:r>
      <w:r w:rsidRPr="00005453">
        <w:rPr>
          <w:bCs/>
        </w:rPr>
        <w:t xml:space="preserve"> – </w:t>
      </w:r>
      <w:r w:rsidR="00442255" w:rsidRPr="00005453">
        <w:rPr>
          <w:bCs/>
        </w:rPr>
        <w:t>2</w:t>
      </w:r>
      <w:r w:rsidR="000716F2" w:rsidRPr="00005453">
        <w:rPr>
          <w:bCs/>
        </w:rPr>
        <w:t>,3</w:t>
      </w:r>
      <w:r w:rsidR="00442255" w:rsidRPr="00005453">
        <w:rPr>
          <w:bCs/>
        </w:rPr>
        <w:t>56</w:t>
      </w:r>
      <w:r w:rsidR="000716F2" w:rsidRPr="00005453">
        <w:rPr>
          <w:bCs/>
        </w:rPr>
        <w:t>,</w:t>
      </w:r>
      <w:r w:rsidR="00442255" w:rsidRPr="00005453">
        <w:rPr>
          <w:bCs/>
        </w:rPr>
        <w:t>306</w:t>
      </w:r>
      <w:r w:rsidR="000716F2" w:rsidRPr="00005453">
        <w:rPr>
          <w:bCs/>
        </w:rPr>
        <w:t xml:space="preserve"> </w:t>
      </w:r>
      <w:r w:rsidRPr="00005453">
        <w:rPr>
          <w:bCs/>
        </w:rPr>
        <w:t xml:space="preserve">TL) olup, bilanço dışı taahhütler hariç bilanço toplamının %10’unu aşmamaktadır. </w:t>
      </w:r>
    </w:p>
    <w:p w14:paraId="4C792AFB" w14:textId="77777777" w:rsidR="00196B1B" w:rsidRPr="00005453" w:rsidRDefault="00196B1B" w:rsidP="00134A72">
      <w:pPr>
        <w:autoSpaceDE w:val="0"/>
        <w:autoSpaceDN w:val="0"/>
        <w:adjustRightInd w:val="0"/>
        <w:rPr>
          <w:bCs/>
        </w:rPr>
      </w:pPr>
    </w:p>
    <w:p w14:paraId="5F72C16A" w14:textId="0C898FB4" w:rsidR="00967B81" w:rsidRPr="00005453" w:rsidRDefault="00A023D6" w:rsidP="00967B81">
      <w:pPr>
        <w:autoSpaceDE w:val="0"/>
        <w:autoSpaceDN w:val="0"/>
        <w:adjustRightInd w:val="0"/>
        <w:ind w:left="3600" w:hanging="3600"/>
        <w:jc w:val="center"/>
        <w:rPr>
          <w:rFonts w:eastAsia="Arial Unicode MS"/>
          <w:b/>
          <w:sz w:val="24"/>
        </w:rPr>
      </w:pPr>
      <w:r w:rsidRPr="00005453">
        <w:rPr>
          <w:rFonts w:eastAsia="Arial Unicode MS"/>
          <w:b/>
          <w:sz w:val="24"/>
        </w:rPr>
        <w:br w:type="page"/>
      </w:r>
    </w:p>
    <w:p w14:paraId="5072DE5E" w14:textId="77777777" w:rsidR="00967B81" w:rsidRPr="00005453" w:rsidRDefault="00967B81" w:rsidP="00614CD2">
      <w:pPr>
        <w:autoSpaceDE w:val="0"/>
        <w:autoSpaceDN w:val="0"/>
        <w:adjustRightInd w:val="0"/>
        <w:ind w:left="3600" w:hanging="3600"/>
        <w:jc w:val="center"/>
        <w:rPr>
          <w:b/>
          <w:sz w:val="4"/>
          <w:szCs w:val="16"/>
        </w:rPr>
      </w:pPr>
    </w:p>
    <w:p w14:paraId="61C99456" w14:textId="517F6079" w:rsidR="00967B81" w:rsidRPr="00005453" w:rsidRDefault="00D12DB1" w:rsidP="00D12DB1">
      <w:pPr>
        <w:autoSpaceDE w:val="0"/>
        <w:autoSpaceDN w:val="0"/>
        <w:adjustRightInd w:val="0"/>
        <w:spacing w:line="235" w:lineRule="auto"/>
        <w:ind w:hanging="567"/>
        <w:jc w:val="both"/>
        <w:rPr>
          <w:rFonts w:eastAsia="Arial Unicode MS"/>
          <w:b/>
          <w:sz w:val="22"/>
          <w:szCs w:val="22"/>
        </w:rPr>
      </w:pPr>
      <w:r w:rsidRPr="00005453">
        <w:rPr>
          <w:b/>
          <w:sz w:val="22"/>
          <w:szCs w:val="22"/>
        </w:rPr>
        <w:t>2</w:t>
      </w:r>
      <w:r w:rsidR="00967B81" w:rsidRPr="00005453">
        <w:rPr>
          <w:b/>
          <w:sz w:val="22"/>
          <w:szCs w:val="22"/>
        </w:rPr>
        <w:t>.</w:t>
      </w:r>
      <w:r w:rsidR="00967B81" w:rsidRPr="00005453">
        <w:rPr>
          <w:b/>
          <w:sz w:val="22"/>
          <w:szCs w:val="22"/>
        </w:rPr>
        <w:tab/>
        <w:t xml:space="preserve">Bilançonun </w:t>
      </w:r>
      <w:r w:rsidR="00BE32D9" w:rsidRPr="00005453">
        <w:rPr>
          <w:b/>
          <w:sz w:val="22"/>
          <w:szCs w:val="22"/>
        </w:rPr>
        <w:t>pasif hesaplarına ilişkin açıklama ve dipnotlar</w:t>
      </w:r>
    </w:p>
    <w:p w14:paraId="0D4C9F6E" w14:textId="77777777" w:rsidR="000F096F" w:rsidRPr="00005453" w:rsidRDefault="000F096F" w:rsidP="000F096F">
      <w:pPr>
        <w:autoSpaceDE w:val="0"/>
        <w:autoSpaceDN w:val="0"/>
        <w:adjustRightInd w:val="0"/>
        <w:rPr>
          <w:rFonts w:eastAsia="Arial Unicode MS"/>
          <w:b/>
          <w:sz w:val="8"/>
          <w:szCs w:val="16"/>
        </w:rPr>
      </w:pPr>
    </w:p>
    <w:p w14:paraId="4F8CFFEC" w14:textId="4213E693" w:rsidR="000F096F" w:rsidRPr="00005453" w:rsidRDefault="00D12DB1" w:rsidP="00D12DB1">
      <w:pPr>
        <w:tabs>
          <w:tab w:val="left" w:pos="0"/>
        </w:tabs>
        <w:autoSpaceDE w:val="0"/>
        <w:autoSpaceDN w:val="0"/>
        <w:adjustRightInd w:val="0"/>
        <w:ind w:left="709" w:hanging="1276"/>
      </w:pPr>
      <w:bookmarkStart w:id="86" w:name="_Hlk125384511"/>
      <w:r w:rsidRPr="00005453">
        <w:rPr>
          <w:b/>
          <w:bCs/>
          <w:iCs/>
        </w:rPr>
        <w:t>2</w:t>
      </w:r>
      <w:r w:rsidR="00E253C8" w:rsidRPr="00005453">
        <w:rPr>
          <w:b/>
          <w:bCs/>
          <w:iCs/>
        </w:rPr>
        <w:t>.</w:t>
      </w:r>
      <w:r w:rsidRPr="00005453">
        <w:rPr>
          <w:b/>
          <w:bCs/>
          <w:iCs/>
        </w:rPr>
        <w:t>1</w:t>
      </w:r>
      <w:r w:rsidR="00E253C8" w:rsidRPr="00005453">
        <w:rPr>
          <w:b/>
          <w:bCs/>
          <w:iCs/>
        </w:rPr>
        <w:tab/>
        <w:t>T</w:t>
      </w:r>
      <w:r w:rsidR="00E253C8" w:rsidRPr="00005453">
        <w:rPr>
          <w:b/>
        </w:rPr>
        <w:t>oplanan fonlara ilişkin bilgiler</w:t>
      </w:r>
    </w:p>
    <w:p w14:paraId="6F42ED14" w14:textId="77777777" w:rsidR="000F096F" w:rsidRPr="00005453" w:rsidRDefault="000F096F" w:rsidP="000F096F">
      <w:pPr>
        <w:autoSpaceDE w:val="0"/>
        <w:autoSpaceDN w:val="0"/>
        <w:adjustRightInd w:val="0"/>
        <w:ind w:left="360" w:hanging="360"/>
        <w:rPr>
          <w:b/>
          <w:bCs/>
          <w:iCs/>
          <w:sz w:val="8"/>
          <w:szCs w:val="16"/>
        </w:rPr>
      </w:pPr>
    </w:p>
    <w:p w14:paraId="185A670A" w14:textId="592B206A" w:rsidR="00D22163" w:rsidRPr="00005453" w:rsidRDefault="00D12DB1" w:rsidP="00906BF9">
      <w:pPr>
        <w:tabs>
          <w:tab w:val="left" w:pos="709"/>
        </w:tabs>
        <w:autoSpaceDE w:val="0"/>
        <w:autoSpaceDN w:val="0"/>
        <w:adjustRightInd w:val="0"/>
        <w:ind w:hanging="567"/>
        <w:rPr>
          <w:lang w:eastAsia="en-GB"/>
        </w:rPr>
      </w:pPr>
      <w:r w:rsidRPr="00005453">
        <w:rPr>
          <w:rFonts w:eastAsia="Arial Unicode MS"/>
          <w:b/>
        </w:rPr>
        <w:t>2.</w:t>
      </w:r>
      <w:r w:rsidR="00E253C8" w:rsidRPr="00005453">
        <w:rPr>
          <w:rFonts w:eastAsia="Arial Unicode MS"/>
          <w:b/>
        </w:rPr>
        <w:t>1.</w:t>
      </w:r>
      <w:r w:rsidRPr="00005453">
        <w:rPr>
          <w:rFonts w:eastAsia="Arial Unicode MS"/>
          <w:b/>
        </w:rPr>
        <w:t>1</w:t>
      </w:r>
      <w:r w:rsidR="00E253C8" w:rsidRPr="00005453">
        <w:rPr>
          <w:rFonts w:eastAsia="Arial Unicode MS"/>
        </w:rPr>
        <w:tab/>
        <w:t>Toplanan fonların vade yapısına ilişkin bilgiler</w:t>
      </w:r>
    </w:p>
    <w:p w14:paraId="2B302936" w14:textId="30C38DFE" w:rsidR="00906BF9" w:rsidRPr="00005453" w:rsidRDefault="00906BF9" w:rsidP="000F096F">
      <w:pPr>
        <w:pStyle w:val="EndnoteText"/>
        <w:autoSpaceDE w:val="0"/>
        <w:autoSpaceDN w:val="0"/>
        <w:adjustRightInd w:val="0"/>
        <w:rPr>
          <w:lang w:eastAsia="en-GB"/>
        </w:rPr>
      </w:pPr>
    </w:p>
    <w:tbl>
      <w:tblPr>
        <w:tblW w:w="9902" w:type="dxa"/>
        <w:tblInd w:w="-685" w:type="dxa"/>
        <w:tblCellMar>
          <w:left w:w="70" w:type="dxa"/>
          <w:right w:w="70" w:type="dxa"/>
        </w:tblCellMar>
        <w:tblLook w:val="04A0" w:firstRow="1" w:lastRow="0" w:firstColumn="1" w:lastColumn="0" w:noHBand="0" w:noVBand="1"/>
      </w:tblPr>
      <w:tblGrid>
        <w:gridCol w:w="2654"/>
        <w:gridCol w:w="845"/>
        <w:gridCol w:w="790"/>
        <w:gridCol w:w="840"/>
        <w:gridCol w:w="770"/>
        <w:gridCol w:w="634"/>
        <w:gridCol w:w="1098"/>
        <w:gridCol w:w="727"/>
        <w:gridCol w:w="699"/>
        <w:gridCol w:w="845"/>
      </w:tblGrid>
      <w:tr w:rsidR="00F56D39" w:rsidRPr="00005453" w14:paraId="261B4BAC" w14:textId="77777777" w:rsidTr="00B43506">
        <w:trPr>
          <w:divId w:val="617109764"/>
          <w:trHeight w:val="230"/>
        </w:trPr>
        <w:tc>
          <w:tcPr>
            <w:tcW w:w="2654" w:type="dxa"/>
            <w:vMerge w:val="restart"/>
            <w:tcBorders>
              <w:top w:val="single" w:sz="8" w:space="0" w:color="000000"/>
              <w:left w:val="nil"/>
              <w:bottom w:val="single" w:sz="8" w:space="0" w:color="000000"/>
              <w:right w:val="nil"/>
            </w:tcBorders>
            <w:shd w:val="clear" w:color="auto" w:fill="auto"/>
            <w:vAlign w:val="center"/>
            <w:hideMark/>
          </w:tcPr>
          <w:p w14:paraId="0EB82F30" w14:textId="156738C9" w:rsidR="00906BF9" w:rsidRPr="00005453" w:rsidRDefault="00906BF9" w:rsidP="00906BF9">
            <w:pPr>
              <w:rPr>
                <w:b/>
                <w:bCs/>
                <w:color w:val="000000"/>
                <w:sz w:val="14"/>
                <w:szCs w:val="14"/>
                <w:lang w:eastAsia="tr-TR"/>
              </w:rPr>
            </w:pPr>
            <w:bookmarkStart w:id="87" w:name="_Hlk93308798"/>
            <w:r w:rsidRPr="00005453">
              <w:rPr>
                <w:b/>
                <w:bCs/>
                <w:iCs/>
                <w:color w:val="000000"/>
                <w:sz w:val="14"/>
                <w:szCs w:val="14"/>
                <w:lang w:eastAsia="tr-TR"/>
              </w:rPr>
              <w:t xml:space="preserve">Cari </w:t>
            </w:r>
            <w:r w:rsidR="00527651" w:rsidRPr="00005453">
              <w:rPr>
                <w:b/>
                <w:bCs/>
                <w:iCs/>
                <w:color w:val="000000"/>
                <w:sz w:val="14"/>
                <w:szCs w:val="14"/>
                <w:lang w:eastAsia="tr-TR"/>
              </w:rPr>
              <w:t>D</w:t>
            </w:r>
            <w:r w:rsidRPr="00005453">
              <w:rPr>
                <w:b/>
                <w:bCs/>
                <w:iCs/>
                <w:color w:val="000000"/>
                <w:sz w:val="14"/>
                <w:szCs w:val="14"/>
                <w:lang w:eastAsia="tr-TR"/>
              </w:rPr>
              <w:t>önem</w:t>
            </w:r>
          </w:p>
        </w:tc>
        <w:tc>
          <w:tcPr>
            <w:tcW w:w="845" w:type="dxa"/>
            <w:vMerge w:val="restart"/>
            <w:tcBorders>
              <w:top w:val="single" w:sz="8" w:space="0" w:color="000000"/>
              <w:left w:val="nil"/>
              <w:bottom w:val="single" w:sz="8" w:space="0" w:color="000000"/>
              <w:right w:val="nil"/>
            </w:tcBorders>
            <w:shd w:val="clear" w:color="auto" w:fill="auto"/>
            <w:vAlign w:val="center"/>
            <w:hideMark/>
          </w:tcPr>
          <w:p w14:paraId="4AF70746"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Vadesiz</w:t>
            </w:r>
          </w:p>
        </w:tc>
        <w:tc>
          <w:tcPr>
            <w:tcW w:w="790" w:type="dxa"/>
            <w:vMerge w:val="restart"/>
            <w:tcBorders>
              <w:top w:val="single" w:sz="8" w:space="0" w:color="000000"/>
              <w:left w:val="nil"/>
              <w:bottom w:val="single" w:sz="8" w:space="0" w:color="000000"/>
              <w:right w:val="nil"/>
            </w:tcBorders>
            <w:shd w:val="clear" w:color="auto" w:fill="auto"/>
            <w:vAlign w:val="center"/>
            <w:hideMark/>
          </w:tcPr>
          <w:p w14:paraId="01DEE32C"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1 aya kadar</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5EBDC12F"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3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0A91CBE"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6 aya kadar</w:t>
            </w:r>
          </w:p>
        </w:tc>
        <w:tc>
          <w:tcPr>
            <w:tcW w:w="634" w:type="dxa"/>
            <w:vMerge w:val="restart"/>
            <w:tcBorders>
              <w:top w:val="single" w:sz="8" w:space="0" w:color="000000"/>
              <w:left w:val="nil"/>
              <w:bottom w:val="single" w:sz="8" w:space="0" w:color="000000"/>
              <w:right w:val="nil"/>
            </w:tcBorders>
            <w:shd w:val="clear" w:color="auto" w:fill="auto"/>
            <w:vAlign w:val="center"/>
            <w:hideMark/>
          </w:tcPr>
          <w:p w14:paraId="62C06862"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9 aya kadar</w:t>
            </w:r>
          </w:p>
        </w:tc>
        <w:tc>
          <w:tcPr>
            <w:tcW w:w="1098" w:type="dxa"/>
            <w:vMerge w:val="restart"/>
            <w:tcBorders>
              <w:top w:val="single" w:sz="8" w:space="0" w:color="000000"/>
              <w:left w:val="nil"/>
              <w:bottom w:val="single" w:sz="8" w:space="0" w:color="000000"/>
              <w:right w:val="nil"/>
            </w:tcBorders>
            <w:shd w:val="clear" w:color="auto" w:fill="auto"/>
            <w:vAlign w:val="center"/>
            <w:hideMark/>
          </w:tcPr>
          <w:p w14:paraId="0A715CC2"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1 yıla kadar</w:t>
            </w:r>
          </w:p>
        </w:tc>
        <w:tc>
          <w:tcPr>
            <w:tcW w:w="727" w:type="dxa"/>
            <w:vMerge w:val="restart"/>
            <w:tcBorders>
              <w:top w:val="single" w:sz="8" w:space="0" w:color="000000"/>
              <w:left w:val="nil"/>
              <w:bottom w:val="single" w:sz="8" w:space="0" w:color="000000"/>
              <w:right w:val="nil"/>
            </w:tcBorders>
            <w:shd w:val="clear" w:color="auto" w:fill="auto"/>
            <w:vAlign w:val="center"/>
            <w:hideMark/>
          </w:tcPr>
          <w:p w14:paraId="3A003A32"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1 yıl ve üstü</w:t>
            </w:r>
          </w:p>
        </w:tc>
        <w:tc>
          <w:tcPr>
            <w:tcW w:w="699" w:type="dxa"/>
            <w:vMerge w:val="restart"/>
            <w:tcBorders>
              <w:top w:val="single" w:sz="8" w:space="0" w:color="000000"/>
              <w:left w:val="nil"/>
              <w:bottom w:val="single" w:sz="8" w:space="0" w:color="000000"/>
              <w:right w:val="nil"/>
            </w:tcBorders>
            <w:shd w:val="clear" w:color="auto" w:fill="auto"/>
            <w:vAlign w:val="center"/>
            <w:hideMark/>
          </w:tcPr>
          <w:p w14:paraId="35C56116" w14:textId="77777777" w:rsidR="00906BF9" w:rsidRPr="00005453" w:rsidRDefault="00906BF9" w:rsidP="003161D5">
            <w:pPr>
              <w:jc w:val="right"/>
              <w:rPr>
                <w:b/>
                <w:bCs/>
                <w:color w:val="000000"/>
                <w:sz w:val="14"/>
                <w:szCs w:val="14"/>
                <w:lang w:eastAsia="tr-TR"/>
              </w:rPr>
            </w:pPr>
            <w:r w:rsidRPr="00005453">
              <w:rPr>
                <w:b/>
                <w:bCs/>
                <w:color w:val="000000"/>
                <w:sz w:val="14"/>
                <w:szCs w:val="14"/>
                <w:lang w:eastAsia="tr-TR"/>
              </w:rPr>
              <w:t>Birikimli katılma hesabı</w:t>
            </w:r>
          </w:p>
        </w:tc>
        <w:tc>
          <w:tcPr>
            <w:tcW w:w="845" w:type="dxa"/>
            <w:vMerge w:val="restart"/>
            <w:tcBorders>
              <w:top w:val="single" w:sz="8" w:space="0" w:color="000000"/>
              <w:left w:val="nil"/>
              <w:bottom w:val="single" w:sz="8" w:space="0" w:color="000000"/>
              <w:right w:val="nil"/>
            </w:tcBorders>
            <w:shd w:val="clear" w:color="auto" w:fill="auto"/>
            <w:vAlign w:val="center"/>
            <w:hideMark/>
          </w:tcPr>
          <w:p w14:paraId="702A696C" w14:textId="49742262" w:rsidR="00906BF9" w:rsidRPr="00005453" w:rsidRDefault="00906BF9" w:rsidP="003161D5">
            <w:pPr>
              <w:jc w:val="right"/>
              <w:rPr>
                <w:b/>
                <w:bCs/>
                <w:color w:val="000000"/>
                <w:sz w:val="14"/>
                <w:szCs w:val="14"/>
                <w:lang w:eastAsia="tr-TR"/>
              </w:rPr>
            </w:pPr>
            <w:r w:rsidRPr="00005453">
              <w:rPr>
                <w:b/>
                <w:bCs/>
                <w:color w:val="000000"/>
                <w:sz w:val="14"/>
                <w:szCs w:val="14"/>
                <w:lang w:eastAsia="tr-TR"/>
              </w:rPr>
              <w:t>Toplam</w:t>
            </w:r>
            <w:r w:rsidR="003873E6" w:rsidRPr="00005453">
              <w:rPr>
                <w:b/>
                <w:bCs/>
                <w:color w:val="000000"/>
                <w:sz w:val="14"/>
                <w:szCs w:val="14"/>
                <w:lang w:eastAsia="tr-TR"/>
              </w:rPr>
              <w:t xml:space="preserve"> (*)</w:t>
            </w:r>
          </w:p>
        </w:tc>
      </w:tr>
      <w:tr w:rsidR="00F56D39" w:rsidRPr="00005453" w14:paraId="243F3F69" w14:textId="77777777" w:rsidTr="00B43506">
        <w:trPr>
          <w:divId w:val="617109764"/>
          <w:trHeight w:val="230"/>
        </w:trPr>
        <w:tc>
          <w:tcPr>
            <w:tcW w:w="2654" w:type="dxa"/>
            <w:vMerge/>
            <w:tcBorders>
              <w:top w:val="single" w:sz="8" w:space="0" w:color="000000"/>
              <w:left w:val="nil"/>
              <w:bottom w:val="single" w:sz="8" w:space="0" w:color="000000"/>
              <w:right w:val="nil"/>
            </w:tcBorders>
            <w:vAlign w:val="center"/>
            <w:hideMark/>
          </w:tcPr>
          <w:p w14:paraId="0032CDA5" w14:textId="77777777" w:rsidR="00906BF9" w:rsidRPr="00005453" w:rsidRDefault="00906BF9" w:rsidP="00906BF9">
            <w:pPr>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3807E359" w14:textId="77777777" w:rsidR="00906BF9" w:rsidRPr="00005453" w:rsidRDefault="00906BF9" w:rsidP="00906BF9">
            <w:pPr>
              <w:rPr>
                <w:b/>
                <w:bCs/>
                <w:color w:val="000000"/>
                <w:sz w:val="14"/>
                <w:szCs w:val="14"/>
                <w:lang w:eastAsia="tr-TR"/>
              </w:rPr>
            </w:pPr>
          </w:p>
        </w:tc>
        <w:tc>
          <w:tcPr>
            <w:tcW w:w="790" w:type="dxa"/>
            <w:vMerge/>
            <w:tcBorders>
              <w:top w:val="single" w:sz="8" w:space="0" w:color="000000"/>
              <w:left w:val="nil"/>
              <w:bottom w:val="single" w:sz="8" w:space="0" w:color="000000"/>
              <w:right w:val="nil"/>
            </w:tcBorders>
            <w:vAlign w:val="center"/>
            <w:hideMark/>
          </w:tcPr>
          <w:p w14:paraId="21A98DD9" w14:textId="77777777" w:rsidR="00906BF9" w:rsidRPr="00005453"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00B38EC2" w14:textId="77777777" w:rsidR="00906BF9" w:rsidRPr="00005453" w:rsidRDefault="00906BF9" w:rsidP="00906BF9">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378628D" w14:textId="77777777" w:rsidR="00906BF9" w:rsidRPr="00005453" w:rsidRDefault="00906BF9" w:rsidP="00906BF9">
            <w:pPr>
              <w:rPr>
                <w:b/>
                <w:bCs/>
                <w:color w:val="000000"/>
                <w:sz w:val="14"/>
                <w:szCs w:val="14"/>
                <w:lang w:eastAsia="tr-TR"/>
              </w:rPr>
            </w:pPr>
          </w:p>
        </w:tc>
        <w:tc>
          <w:tcPr>
            <w:tcW w:w="634" w:type="dxa"/>
            <w:vMerge/>
            <w:tcBorders>
              <w:top w:val="single" w:sz="8" w:space="0" w:color="000000"/>
              <w:left w:val="nil"/>
              <w:bottom w:val="single" w:sz="8" w:space="0" w:color="000000"/>
              <w:right w:val="nil"/>
            </w:tcBorders>
            <w:vAlign w:val="center"/>
            <w:hideMark/>
          </w:tcPr>
          <w:p w14:paraId="3C6965EF" w14:textId="77777777" w:rsidR="00906BF9" w:rsidRPr="00005453" w:rsidRDefault="00906BF9" w:rsidP="00906BF9">
            <w:pPr>
              <w:rPr>
                <w:b/>
                <w:bCs/>
                <w:color w:val="000000"/>
                <w:sz w:val="14"/>
                <w:szCs w:val="14"/>
                <w:lang w:eastAsia="tr-TR"/>
              </w:rPr>
            </w:pPr>
          </w:p>
        </w:tc>
        <w:tc>
          <w:tcPr>
            <w:tcW w:w="1098" w:type="dxa"/>
            <w:vMerge/>
            <w:tcBorders>
              <w:top w:val="single" w:sz="8" w:space="0" w:color="000000"/>
              <w:left w:val="nil"/>
              <w:bottom w:val="single" w:sz="8" w:space="0" w:color="000000"/>
              <w:right w:val="nil"/>
            </w:tcBorders>
            <w:vAlign w:val="center"/>
            <w:hideMark/>
          </w:tcPr>
          <w:p w14:paraId="32785554" w14:textId="77777777" w:rsidR="00906BF9" w:rsidRPr="00005453" w:rsidRDefault="00906BF9" w:rsidP="00906BF9">
            <w:pPr>
              <w:rPr>
                <w:b/>
                <w:bCs/>
                <w:color w:val="000000"/>
                <w:sz w:val="14"/>
                <w:szCs w:val="14"/>
                <w:lang w:eastAsia="tr-TR"/>
              </w:rPr>
            </w:pPr>
          </w:p>
        </w:tc>
        <w:tc>
          <w:tcPr>
            <w:tcW w:w="727" w:type="dxa"/>
            <w:vMerge/>
            <w:tcBorders>
              <w:top w:val="single" w:sz="8" w:space="0" w:color="000000"/>
              <w:left w:val="nil"/>
              <w:bottom w:val="single" w:sz="8" w:space="0" w:color="000000"/>
              <w:right w:val="nil"/>
            </w:tcBorders>
            <w:vAlign w:val="center"/>
            <w:hideMark/>
          </w:tcPr>
          <w:p w14:paraId="4D6E4764" w14:textId="77777777" w:rsidR="00906BF9" w:rsidRPr="00005453" w:rsidRDefault="00906BF9" w:rsidP="00906BF9">
            <w:pPr>
              <w:rPr>
                <w:b/>
                <w:bCs/>
                <w:color w:val="000000"/>
                <w:sz w:val="14"/>
                <w:szCs w:val="14"/>
                <w:lang w:eastAsia="tr-TR"/>
              </w:rPr>
            </w:pPr>
          </w:p>
        </w:tc>
        <w:tc>
          <w:tcPr>
            <w:tcW w:w="699" w:type="dxa"/>
            <w:vMerge/>
            <w:tcBorders>
              <w:top w:val="single" w:sz="8" w:space="0" w:color="000000"/>
              <w:left w:val="nil"/>
              <w:bottom w:val="single" w:sz="8" w:space="0" w:color="000000"/>
              <w:right w:val="nil"/>
            </w:tcBorders>
            <w:vAlign w:val="center"/>
            <w:hideMark/>
          </w:tcPr>
          <w:p w14:paraId="1AB592EF" w14:textId="77777777" w:rsidR="00906BF9" w:rsidRPr="00005453" w:rsidRDefault="00906BF9" w:rsidP="00906BF9">
            <w:pPr>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42D298DD" w14:textId="77777777" w:rsidR="00906BF9" w:rsidRPr="00005453" w:rsidRDefault="00906BF9" w:rsidP="00906BF9">
            <w:pPr>
              <w:rPr>
                <w:b/>
                <w:bCs/>
                <w:color w:val="000000"/>
                <w:sz w:val="14"/>
                <w:szCs w:val="14"/>
                <w:lang w:eastAsia="tr-TR"/>
              </w:rPr>
            </w:pPr>
          </w:p>
        </w:tc>
      </w:tr>
      <w:tr w:rsidR="00F56D39" w:rsidRPr="00005453" w14:paraId="271DAC28" w14:textId="77777777" w:rsidTr="00B43506">
        <w:trPr>
          <w:divId w:val="617109764"/>
          <w:trHeight w:val="230"/>
        </w:trPr>
        <w:tc>
          <w:tcPr>
            <w:tcW w:w="2654" w:type="dxa"/>
            <w:vMerge/>
            <w:tcBorders>
              <w:top w:val="single" w:sz="8" w:space="0" w:color="000000"/>
              <w:left w:val="nil"/>
              <w:bottom w:val="single" w:sz="8" w:space="0" w:color="000000"/>
              <w:right w:val="nil"/>
            </w:tcBorders>
            <w:vAlign w:val="center"/>
            <w:hideMark/>
          </w:tcPr>
          <w:p w14:paraId="297072EB" w14:textId="77777777" w:rsidR="00906BF9" w:rsidRPr="00005453" w:rsidRDefault="00906BF9" w:rsidP="00906BF9">
            <w:pPr>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59F557B1" w14:textId="77777777" w:rsidR="00906BF9" w:rsidRPr="00005453" w:rsidRDefault="00906BF9" w:rsidP="00906BF9">
            <w:pPr>
              <w:rPr>
                <w:b/>
                <w:bCs/>
                <w:color w:val="000000"/>
                <w:sz w:val="14"/>
                <w:szCs w:val="14"/>
                <w:lang w:eastAsia="tr-TR"/>
              </w:rPr>
            </w:pPr>
          </w:p>
        </w:tc>
        <w:tc>
          <w:tcPr>
            <w:tcW w:w="790" w:type="dxa"/>
            <w:vMerge/>
            <w:tcBorders>
              <w:top w:val="single" w:sz="8" w:space="0" w:color="000000"/>
              <w:left w:val="nil"/>
              <w:bottom w:val="single" w:sz="8" w:space="0" w:color="000000"/>
              <w:right w:val="nil"/>
            </w:tcBorders>
            <w:vAlign w:val="center"/>
            <w:hideMark/>
          </w:tcPr>
          <w:p w14:paraId="34321597" w14:textId="77777777" w:rsidR="00906BF9" w:rsidRPr="00005453"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0073181A" w14:textId="77777777" w:rsidR="00906BF9" w:rsidRPr="00005453" w:rsidRDefault="00906BF9" w:rsidP="00906BF9">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5A70538B" w14:textId="77777777" w:rsidR="00906BF9" w:rsidRPr="00005453" w:rsidRDefault="00906BF9" w:rsidP="00906BF9">
            <w:pPr>
              <w:rPr>
                <w:b/>
                <w:bCs/>
                <w:color w:val="000000"/>
                <w:sz w:val="14"/>
                <w:szCs w:val="14"/>
                <w:lang w:eastAsia="tr-TR"/>
              </w:rPr>
            </w:pPr>
          </w:p>
        </w:tc>
        <w:tc>
          <w:tcPr>
            <w:tcW w:w="634" w:type="dxa"/>
            <w:vMerge/>
            <w:tcBorders>
              <w:top w:val="single" w:sz="8" w:space="0" w:color="000000"/>
              <w:left w:val="nil"/>
              <w:bottom w:val="single" w:sz="8" w:space="0" w:color="000000"/>
              <w:right w:val="nil"/>
            </w:tcBorders>
            <w:vAlign w:val="center"/>
            <w:hideMark/>
          </w:tcPr>
          <w:p w14:paraId="2241DAE2" w14:textId="77777777" w:rsidR="00906BF9" w:rsidRPr="00005453" w:rsidRDefault="00906BF9" w:rsidP="00906BF9">
            <w:pPr>
              <w:rPr>
                <w:b/>
                <w:bCs/>
                <w:color w:val="000000"/>
                <w:sz w:val="14"/>
                <w:szCs w:val="14"/>
                <w:lang w:eastAsia="tr-TR"/>
              </w:rPr>
            </w:pPr>
          </w:p>
        </w:tc>
        <w:tc>
          <w:tcPr>
            <w:tcW w:w="1098" w:type="dxa"/>
            <w:vMerge/>
            <w:tcBorders>
              <w:top w:val="single" w:sz="8" w:space="0" w:color="000000"/>
              <w:left w:val="nil"/>
              <w:bottom w:val="single" w:sz="8" w:space="0" w:color="000000"/>
              <w:right w:val="nil"/>
            </w:tcBorders>
            <w:vAlign w:val="center"/>
            <w:hideMark/>
          </w:tcPr>
          <w:p w14:paraId="5376D7CF" w14:textId="77777777" w:rsidR="00906BF9" w:rsidRPr="00005453" w:rsidRDefault="00906BF9" w:rsidP="00906BF9">
            <w:pPr>
              <w:rPr>
                <w:b/>
                <w:bCs/>
                <w:color w:val="000000"/>
                <w:sz w:val="14"/>
                <w:szCs w:val="14"/>
                <w:lang w:eastAsia="tr-TR"/>
              </w:rPr>
            </w:pPr>
          </w:p>
        </w:tc>
        <w:tc>
          <w:tcPr>
            <w:tcW w:w="727" w:type="dxa"/>
            <w:vMerge/>
            <w:tcBorders>
              <w:top w:val="single" w:sz="8" w:space="0" w:color="000000"/>
              <w:left w:val="nil"/>
              <w:bottom w:val="single" w:sz="8" w:space="0" w:color="000000"/>
              <w:right w:val="nil"/>
            </w:tcBorders>
            <w:vAlign w:val="center"/>
            <w:hideMark/>
          </w:tcPr>
          <w:p w14:paraId="1141F386" w14:textId="77777777" w:rsidR="00906BF9" w:rsidRPr="00005453" w:rsidRDefault="00906BF9" w:rsidP="00906BF9">
            <w:pPr>
              <w:rPr>
                <w:b/>
                <w:bCs/>
                <w:color w:val="000000"/>
                <w:sz w:val="14"/>
                <w:szCs w:val="14"/>
                <w:lang w:eastAsia="tr-TR"/>
              </w:rPr>
            </w:pPr>
          </w:p>
        </w:tc>
        <w:tc>
          <w:tcPr>
            <w:tcW w:w="699" w:type="dxa"/>
            <w:vMerge/>
            <w:tcBorders>
              <w:top w:val="single" w:sz="8" w:space="0" w:color="000000"/>
              <w:left w:val="nil"/>
              <w:bottom w:val="single" w:sz="8" w:space="0" w:color="000000"/>
              <w:right w:val="nil"/>
            </w:tcBorders>
            <w:vAlign w:val="center"/>
            <w:hideMark/>
          </w:tcPr>
          <w:p w14:paraId="2A280E8F" w14:textId="77777777" w:rsidR="00906BF9" w:rsidRPr="00005453" w:rsidRDefault="00906BF9" w:rsidP="00906BF9">
            <w:pPr>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5DC3443C" w14:textId="77777777" w:rsidR="00906BF9" w:rsidRPr="00005453" w:rsidRDefault="00906BF9" w:rsidP="00906BF9">
            <w:pPr>
              <w:rPr>
                <w:b/>
                <w:bCs/>
                <w:color w:val="000000"/>
                <w:sz w:val="14"/>
                <w:szCs w:val="14"/>
                <w:lang w:eastAsia="tr-TR"/>
              </w:rPr>
            </w:pPr>
          </w:p>
        </w:tc>
      </w:tr>
      <w:tr w:rsidR="00F56D39" w:rsidRPr="00005453" w14:paraId="3D7A2329" w14:textId="77777777" w:rsidTr="00B43506">
        <w:trPr>
          <w:divId w:val="617109764"/>
          <w:trHeight w:val="37"/>
        </w:trPr>
        <w:tc>
          <w:tcPr>
            <w:tcW w:w="2654" w:type="dxa"/>
            <w:tcBorders>
              <w:top w:val="nil"/>
              <w:left w:val="nil"/>
              <w:bottom w:val="nil"/>
              <w:right w:val="nil"/>
            </w:tcBorders>
            <w:shd w:val="clear" w:color="auto" w:fill="auto"/>
            <w:vAlign w:val="center"/>
            <w:hideMark/>
          </w:tcPr>
          <w:p w14:paraId="386245C3" w14:textId="77777777" w:rsidR="00906BF9" w:rsidRPr="00005453" w:rsidRDefault="00906BF9" w:rsidP="00906BF9">
            <w:pPr>
              <w:rPr>
                <w:b/>
                <w:bCs/>
                <w:color w:val="000000"/>
                <w:sz w:val="10"/>
                <w:szCs w:val="10"/>
                <w:lang w:eastAsia="tr-TR"/>
              </w:rPr>
            </w:pPr>
          </w:p>
        </w:tc>
        <w:tc>
          <w:tcPr>
            <w:tcW w:w="845" w:type="dxa"/>
            <w:tcBorders>
              <w:top w:val="nil"/>
              <w:left w:val="nil"/>
              <w:bottom w:val="nil"/>
              <w:right w:val="nil"/>
            </w:tcBorders>
            <w:shd w:val="clear" w:color="auto" w:fill="auto"/>
            <w:vAlign w:val="center"/>
            <w:hideMark/>
          </w:tcPr>
          <w:p w14:paraId="2D1B0B67" w14:textId="77777777" w:rsidR="00906BF9" w:rsidRPr="00005453" w:rsidRDefault="00906BF9" w:rsidP="00906BF9">
            <w:pPr>
              <w:rPr>
                <w:sz w:val="10"/>
                <w:szCs w:val="10"/>
                <w:lang w:eastAsia="tr-TR"/>
              </w:rPr>
            </w:pPr>
          </w:p>
        </w:tc>
        <w:tc>
          <w:tcPr>
            <w:tcW w:w="790" w:type="dxa"/>
            <w:tcBorders>
              <w:top w:val="nil"/>
              <w:left w:val="nil"/>
              <w:bottom w:val="nil"/>
              <w:right w:val="nil"/>
            </w:tcBorders>
            <w:shd w:val="clear" w:color="auto" w:fill="auto"/>
            <w:vAlign w:val="center"/>
            <w:hideMark/>
          </w:tcPr>
          <w:p w14:paraId="019145CA" w14:textId="77777777" w:rsidR="00906BF9" w:rsidRPr="00005453" w:rsidRDefault="00906BF9" w:rsidP="00906BF9">
            <w:pPr>
              <w:rPr>
                <w:sz w:val="10"/>
                <w:szCs w:val="10"/>
                <w:lang w:eastAsia="tr-TR"/>
              </w:rPr>
            </w:pPr>
          </w:p>
        </w:tc>
        <w:tc>
          <w:tcPr>
            <w:tcW w:w="840" w:type="dxa"/>
            <w:tcBorders>
              <w:top w:val="nil"/>
              <w:left w:val="nil"/>
              <w:bottom w:val="nil"/>
              <w:right w:val="nil"/>
            </w:tcBorders>
            <w:shd w:val="clear" w:color="auto" w:fill="auto"/>
            <w:vAlign w:val="center"/>
            <w:hideMark/>
          </w:tcPr>
          <w:p w14:paraId="3D2F01EB" w14:textId="77777777" w:rsidR="00906BF9" w:rsidRPr="00005453" w:rsidRDefault="00906BF9" w:rsidP="00906BF9">
            <w:pPr>
              <w:rPr>
                <w:sz w:val="10"/>
                <w:szCs w:val="10"/>
                <w:lang w:eastAsia="tr-TR"/>
              </w:rPr>
            </w:pPr>
          </w:p>
        </w:tc>
        <w:tc>
          <w:tcPr>
            <w:tcW w:w="770" w:type="dxa"/>
            <w:tcBorders>
              <w:top w:val="nil"/>
              <w:left w:val="nil"/>
              <w:bottom w:val="nil"/>
              <w:right w:val="nil"/>
            </w:tcBorders>
            <w:shd w:val="clear" w:color="auto" w:fill="auto"/>
            <w:vAlign w:val="center"/>
            <w:hideMark/>
          </w:tcPr>
          <w:p w14:paraId="4F695C4E" w14:textId="77777777" w:rsidR="00906BF9" w:rsidRPr="00005453" w:rsidRDefault="00906BF9" w:rsidP="00906BF9">
            <w:pPr>
              <w:rPr>
                <w:sz w:val="10"/>
                <w:szCs w:val="10"/>
                <w:lang w:eastAsia="tr-TR"/>
              </w:rPr>
            </w:pPr>
          </w:p>
        </w:tc>
        <w:tc>
          <w:tcPr>
            <w:tcW w:w="634" w:type="dxa"/>
            <w:tcBorders>
              <w:top w:val="nil"/>
              <w:left w:val="nil"/>
              <w:bottom w:val="nil"/>
              <w:right w:val="nil"/>
            </w:tcBorders>
            <w:shd w:val="clear" w:color="auto" w:fill="auto"/>
            <w:vAlign w:val="center"/>
            <w:hideMark/>
          </w:tcPr>
          <w:p w14:paraId="1806E9AA" w14:textId="77777777" w:rsidR="00906BF9" w:rsidRPr="00005453" w:rsidRDefault="00906BF9" w:rsidP="00906BF9">
            <w:pPr>
              <w:rPr>
                <w:sz w:val="10"/>
                <w:szCs w:val="10"/>
                <w:lang w:eastAsia="tr-TR"/>
              </w:rPr>
            </w:pPr>
          </w:p>
        </w:tc>
        <w:tc>
          <w:tcPr>
            <w:tcW w:w="1098" w:type="dxa"/>
            <w:tcBorders>
              <w:top w:val="nil"/>
              <w:left w:val="nil"/>
              <w:bottom w:val="nil"/>
              <w:right w:val="nil"/>
            </w:tcBorders>
            <w:shd w:val="clear" w:color="auto" w:fill="auto"/>
            <w:vAlign w:val="center"/>
            <w:hideMark/>
          </w:tcPr>
          <w:p w14:paraId="5C3EE39E" w14:textId="77777777" w:rsidR="00906BF9" w:rsidRPr="00005453" w:rsidRDefault="00906BF9" w:rsidP="00906BF9">
            <w:pPr>
              <w:rPr>
                <w:sz w:val="10"/>
                <w:szCs w:val="10"/>
                <w:lang w:eastAsia="tr-TR"/>
              </w:rPr>
            </w:pPr>
          </w:p>
        </w:tc>
        <w:tc>
          <w:tcPr>
            <w:tcW w:w="727" w:type="dxa"/>
            <w:tcBorders>
              <w:top w:val="nil"/>
              <w:left w:val="nil"/>
              <w:bottom w:val="nil"/>
              <w:right w:val="nil"/>
            </w:tcBorders>
            <w:shd w:val="clear" w:color="auto" w:fill="auto"/>
            <w:vAlign w:val="center"/>
            <w:hideMark/>
          </w:tcPr>
          <w:p w14:paraId="73AEFB76" w14:textId="77777777" w:rsidR="00906BF9" w:rsidRPr="00005453" w:rsidRDefault="00906BF9" w:rsidP="00906BF9">
            <w:pPr>
              <w:rPr>
                <w:sz w:val="10"/>
                <w:szCs w:val="10"/>
                <w:lang w:eastAsia="tr-TR"/>
              </w:rPr>
            </w:pPr>
          </w:p>
        </w:tc>
        <w:tc>
          <w:tcPr>
            <w:tcW w:w="699" w:type="dxa"/>
            <w:tcBorders>
              <w:top w:val="nil"/>
              <w:left w:val="nil"/>
              <w:bottom w:val="nil"/>
              <w:right w:val="nil"/>
            </w:tcBorders>
            <w:shd w:val="clear" w:color="auto" w:fill="auto"/>
            <w:vAlign w:val="center"/>
            <w:hideMark/>
          </w:tcPr>
          <w:p w14:paraId="1AF1E09F" w14:textId="77777777" w:rsidR="00906BF9" w:rsidRPr="00005453" w:rsidRDefault="00906BF9" w:rsidP="00906BF9">
            <w:pPr>
              <w:rPr>
                <w:sz w:val="10"/>
                <w:szCs w:val="10"/>
                <w:lang w:eastAsia="tr-TR"/>
              </w:rPr>
            </w:pPr>
          </w:p>
        </w:tc>
        <w:tc>
          <w:tcPr>
            <w:tcW w:w="845" w:type="dxa"/>
            <w:tcBorders>
              <w:top w:val="nil"/>
              <w:left w:val="nil"/>
              <w:bottom w:val="nil"/>
              <w:right w:val="nil"/>
            </w:tcBorders>
            <w:shd w:val="clear" w:color="auto" w:fill="auto"/>
            <w:vAlign w:val="center"/>
            <w:hideMark/>
          </w:tcPr>
          <w:p w14:paraId="4C42E5E3" w14:textId="77777777" w:rsidR="00906BF9" w:rsidRPr="00005453" w:rsidRDefault="00906BF9" w:rsidP="00906BF9">
            <w:pPr>
              <w:rPr>
                <w:sz w:val="10"/>
                <w:szCs w:val="10"/>
                <w:lang w:eastAsia="tr-TR"/>
              </w:rPr>
            </w:pPr>
          </w:p>
        </w:tc>
      </w:tr>
      <w:tr w:rsidR="00F56D39" w:rsidRPr="00005453" w14:paraId="29E460B4" w14:textId="77777777" w:rsidTr="00B43506">
        <w:trPr>
          <w:divId w:val="617109764"/>
          <w:trHeight w:val="163"/>
        </w:trPr>
        <w:tc>
          <w:tcPr>
            <w:tcW w:w="2654" w:type="dxa"/>
            <w:tcBorders>
              <w:top w:val="nil"/>
              <w:left w:val="nil"/>
              <w:bottom w:val="nil"/>
              <w:right w:val="nil"/>
            </w:tcBorders>
            <w:shd w:val="clear" w:color="auto" w:fill="auto"/>
            <w:vAlign w:val="center"/>
            <w:hideMark/>
          </w:tcPr>
          <w:p w14:paraId="11A3B2BD" w14:textId="77777777" w:rsidR="00F56D39" w:rsidRPr="00005453" w:rsidRDefault="00F56D39" w:rsidP="00F56D39">
            <w:pPr>
              <w:ind w:firstLineChars="100" w:firstLine="141"/>
              <w:rPr>
                <w:b/>
                <w:bCs/>
                <w:color w:val="000000"/>
                <w:sz w:val="14"/>
                <w:szCs w:val="14"/>
                <w:lang w:eastAsia="tr-TR"/>
              </w:rPr>
            </w:pPr>
            <w:r w:rsidRPr="00005453">
              <w:rPr>
                <w:b/>
                <w:bCs/>
                <w:color w:val="000000"/>
                <w:sz w:val="14"/>
                <w:szCs w:val="14"/>
                <w:lang w:eastAsia="tr-TR"/>
              </w:rPr>
              <w:t>I. Özel cari hesabı gerçek kişi ticari olmayan-TP</w:t>
            </w:r>
          </w:p>
        </w:tc>
        <w:tc>
          <w:tcPr>
            <w:tcW w:w="845" w:type="dxa"/>
            <w:tcBorders>
              <w:top w:val="nil"/>
              <w:left w:val="nil"/>
              <w:bottom w:val="nil"/>
              <w:right w:val="nil"/>
            </w:tcBorders>
            <w:shd w:val="clear" w:color="auto" w:fill="auto"/>
            <w:vAlign w:val="center"/>
            <w:hideMark/>
          </w:tcPr>
          <w:p w14:paraId="500CC424" w14:textId="0778EF99" w:rsidR="00F56D39" w:rsidRPr="00005453" w:rsidRDefault="00F56D39" w:rsidP="00F56D39">
            <w:pPr>
              <w:jc w:val="right"/>
              <w:rPr>
                <w:b/>
                <w:sz w:val="14"/>
                <w:szCs w:val="14"/>
                <w:lang w:eastAsia="tr-TR"/>
              </w:rPr>
            </w:pPr>
            <w:r w:rsidRPr="00005453">
              <w:rPr>
                <w:b/>
                <w:bCs/>
                <w:sz w:val="14"/>
                <w:szCs w:val="22"/>
              </w:rPr>
              <w:t>39,469,231</w:t>
            </w:r>
          </w:p>
        </w:tc>
        <w:tc>
          <w:tcPr>
            <w:tcW w:w="790" w:type="dxa"/>
            <w:tcBorders>
              <w:top w:val="nil"/>
              <w:left w:val="nil"/>
              <w:bottom w:val="nil"/>
              <w:right w:val="nil"/>
            </w:tcBorders>
            <w:shd w:val="clear" w:color="auto" w:fill="auto"/>
            <w:vAlign w:val="center"/>
            <w:hideMark/>
          </w:tcPr>
          <w:p w14:paraId="14CD7DDC" w14:textId="3A0DA0F2" w:rsidR="00F56D39" w:rsidRPr="00005453" w:rsidRDefault="00F56D39" w:rsidP="00F56D39">
            <w:pPr>
              <w:jc w:val="right"/>
              <w:rPr>
                <w:b/>
                <w:sz w:val="14"/>
                <w:szCs w:val="14"/>
                <w:lang w:eastAsia="tr-TR"/>
              </w:rPr>
            </w:pPr>
            <w:r w:rsidRPr="00005453">
              <w:rPr>
                <w:b/>
                <w:bCs/>
                <w:sz w:val="14"/>
                <w:szCs w:val="22"/>
              </w:rPr>
              <w:t>-</w:t>
            </w:r>
          </w:p>
        </w:tc>
        <w:tc>
          <w:tcPr>
            <w:tcW w:w="840" w:type="dxa"/>
            <w:tcBorders>
              <w:top w:val="nil"/>
              <w:left w:val="nil"/>
              <w:bottom w:val="nil"/>
              <w:right w:val="nil"/>
            </w:tcBorders>
            <w:shd w:val="clear" w:color="auto" w:fill="auto"/>
            <w:vAlign w:val="center"/>
            <w:hideMark/>
          </w:tcPr>
          <w:p w14:paraId="2A62202A" w14:textId="4B751786" w:rsidR="00F56D39" w:rsidRPr="00005453" w:rsidRDefault="00F56D39" w:rsidP="00F56D39">
            <w:pPr>
              <w:jc w:val="right"/>
              <w:rPr>
                <w:b/>
                <w:sz w:val="14"/>
                <w:szCs w:val="14"/>
                <w:lang w:eastAsia="tr-TR"/>
              </w:rPr>
            </w:pPr>
            <w:r w:rsidRPr="00005453">
              <w:rPr>
                <w:b/>
                <w:bCs/>
                <w:sz w:val="14"/>
                <w:szCs w:val="22"/>
              </w:rPr>
              <w:t>-</w:t>
            </w:r>
          </w:p>
        </w:tc>
        <w:tc>
          <w:tcPr>
            <w:tcW w:w="770" w:type="dxa"/>
            <w:tcBorders>
              <w:top w:val="nil"/>
              <w:left w:val="nil"/>
              <w:bottom w:val="nil"/>
              <w:right w:val="nil"/>
            </w:tcBorders>
            <w:shd w:val="clear" w:color="auto" w:fill="auto"/>
            <w:vAlign w:val="center"/>
            <w:hideMark/>
          </w:tcPr>
          <w:p w14:paraId="1178AA6D" w14:textId="3521304C" w:rsidR="00F56D39" w:rsidRPr="00005453" w:rsidRDefault="00F56D39" w:rsidP="00F56D39">
            <w:pPr>
              <w:jc w:val="right"/>
              <w:rPr>
                <w:b/>
                <w:sz w:val="14"/>
                <w:szCs w:val="14"/>
                <w:lang w:eastAsia="tr-TR"/>
              </w:rPr>
            </w:pPr>
            <w:r w:rsidRPr="00005453">
              <w:rPr>
                <w:b/>
                <w:bCs/>
                <w:sz w:val="14"/>
                <w:szCs w:val="22"/>
              </w:rPr>
              <w:t>-</w:t>
            </w:r>
          </w:p>
        </w:tc>
        <w:tc>
          <w:tcPr>
            <w:tcW w:w="634" w:type="dxa"/>
            <w:tcBorders>
              <w:top w:val="nil"/>
              <w:left w:val="nil"/>
              <w:bottom w:val="nil"/>
              <w:right w:val="nil"/>
            </w:tcBorders>
            <w:shd w:val="clear" w:color="auto" w:fill="auto"/>
            <w:vAlign w:val="center"/>
            <w:hideMark/>
          </w:tcPr>
          <w:p w14:paraId="5D2ECFCB" w14:textId="1253B3A5"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67E6816D" w14:textId="4171822A" w:rsidR="00F56D39" w:rsidRPr="00005453" w:rsidRDefault="00F56D39" w:rsidP="00F56D39">
            <w:pPr>
              <w:jc w:val="right"/>
              <w:rPr>
                <w:b/>
                <w:sz w:val="14"/>
                <w:szCs w:val="14"/>
                <w:lang w:eastAsia="tr-TR"/>
              </w:rPr>
            </w:pPr>
            <w:r w:rsidRPr="00005453">
              <w:rPr>
                <w:b/>
                <w:bCs/>
                <w:sz w:val="14"/>
                <w:szCs w:val="22"/>
              </w:rPr>
              <w:t>-</w:t>
            </w:r>
          </w:p>
        </w:tc>
        <w:tc>
          <w:tcPr>
            <w:tcW w:w="727" w:type="dxa"/>
            <w:tcBorders>
              <w:top w:val="nil"/>
              <w:left w:val="nil"/>
              <w:bottom w:val="nil"/>
              <w:right w:val="nil"/>
            </w:tcBorders>
            <w:shd w:val="clear" w:color="auto" w:fill="auto"/>
            <w:vAlign w:val="center"/>
            <w:hideMark/>
          </w:tcPr>
          <w:p w14:paraId="110014E8" w14:textId="75965402" w:rsidR="00F56D39" w:rsidRPr="00005453" w:rsidRDefault="00F56D39" w:rsidP="00F56D39">
            <w:pPr>
              <w:jc w:val="right"/>
              <w:rPr>
                <w:b/>
                <w:sz w:val="14"/>
                <w:szCs w:val="14"/>
                <w:lang w:eastAsia="tr-TR"/>
              </w:rPr>
            </w:pPr>
            <w:r w:rsidRPr="00005453">
              <w:rPr>
                <w:b/>
                <w:bCs/>
                <w:sz w:val="14"/>
                <w:szCs w:val="22"/>
              </w:rPr>
              <w:t>-</w:t>
            </w:r>
          </w:p>
        </w:tc>
        <w:tc>
          <w:tcPr>
            <w:tcW w:w="699" w:type="dxa"/>
            <w:tcBorders>
              <w:top w:val="nil"/>
              <w:left w:val="nil"/>
              <w:bottom w:val="nil"/>
              <w:right w:val="nil"/>
            </w:tcBorders>
            <w:shd w:val="clear" w:color="auto" w:fill="auto"/>
            <w:vAlign w:val="center"/>
            <w:hideMark/>
          </w:tcPr>
          <w:p w14:paraId="4B2EC7BF" w14:textId="6483FEC2" w:rsidR="00F56D39" w:rsidRPr="00005453" w:rsidRDefault="00F56D39" w:rsidP="00F56D39">
            <w:pPr>
              <w:jc w:val="right"/>
              <w:rPr>
                <w:b/>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5CB1BE74" w14:textId="12813F3B" w:rsidR="00F56D39" w:rsidRPr="00005453" w:rsidRDefault="00F56D39" w:rsidP="00F56D39">
            <w:pPr>
              <w:jc w:val="right"/>
              <w:rPr>
                <w:b/>
                <w:sz w:val="14"/>
                <w:szCs w:val="14"/>
                <w:lang w:eastAsia="tr-TR"/>
              </w:rPr>
            </w:pPr>
            <w:r w:rsidRPr="00005453">
              <w:rPr>
                <w:b/>
                <w:bCs/>
                <w:sz w:val="14"/>
                <w:szCs w:val="22"/>
              </w:rPr>
              <w:t>39,469,231</w:t>
            </w:r>
          </w:p>
        </w:tc>
      </w:tr>
      <w:tr w:rsidR="00F56D39" w:rsidRPr="00005453" w14:paraId="6DBE638D" w14:textId="77777777" w:rsidTr="00B43506">
        <w:trPr>
          <w:divId w:val="617109764"/>
          <w:trHeight w:val="225"/>
        </w:trPr>
        <w:tc>
          <w:tcPr>
            <w:tcW w:w="2654" w:type="dxa"/>
            <w:tcBorders>
              <w:top w:val="nil"/>
              <w:left w:val="nil"/>
              <w:bottom w:val="nil"/>
              <w:right w:val="nil"/>
            </w:tcBorders>
            <w:shd w:val="clear" w:color="auto" w:fill="auto"/>
            <w:vAlign w:val="center"/>
            <w:hideMark/>
          </w:tcPr>
          <w:p w14:paraId="395E96D5" w14:textId="2246F024"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II. Katılma hesapları gerçek kişi ticari olmayan-TP</w:t>
            </w:r>
          </w:p>
        </w:tc>
        <w:tc>
          <w:tcPr>
            <w:tcW w:w="845" w:type="dxa"/>
            <w:tcBorders>
              <w:top w:val="nil"/>
              <w:left w:val="nil"/>
              <w:bottom w:val="nil"/>
              <w:right w:val="nil"/>
            </w:tcBorders>
            <w:shd w:val="clear" w:color="auto" w:fill="auto"/>
            <w:vAlign w:val="center"/>
            <w:hideMark/>
          </w:tcPr>
          <w:p w14:paraId="7CCD411E" w14:textId="19092EFB" w:rsidR="00F56D39" w:rsidRPr="00005453" w:rsidRDefault="00F56D39" w:rsidP="00F56D39">
            <w:pPr>
              <w:jc w:val="right"/>
              <w:rPr>
                <w:b/>
                <w:sz w:val="14"/>
                <w:szCs w:val="14"/>
                <w:lang w:eastAsia="tr-TR"/>
              </w:rPr>
            </w:pPr>
            <w:r w:rsidRPr="00005453">
              <w:rPr>
                <w:b/>
                <w:bCs/>
                <w:sz w:val="14"/>
                <w:szCs w:val="22"/>
              </w:rPr>
              <w:t>-</w:t>
            </w:r>
          </w:p>
        </w:tc>
        <w:tc>
          <w:tcPr>
            <w:tcW w:w="790" w:type="dxa"/>
            <w:tcBorders>
              <w:top w:val="nil"/>
              <w:left w:val="nil"/>
              <w:bottom w:val="nil"/>
              <w:right w:val="nil"/>
            </w:tcBorders>
            <w:shd w:val="clear" w:color="auto" w:fill="auto"/>
            <w:vAlign w:val="center"/>
            <w:hideMark/>
          </w:tcPr>
          <w:p w14:paraId="694810A2" w14:textId="39A2C316" w:rsidR="00F56D39" w:rsidRPr="00005453" w:rsidRDefault="00F56D39" w:rsidP="00F56D39">
            <w:pPr>
              <w:jc w:val="right"/>
              <w:rPr>
                <w:b/>
                <w:sz w:val="14"/>
                <w:szCs w:val="14"/>
                <w:lang w:eastAsia="tr-TR"/>
              </w:rPr>
            </w:pPr>
            <w:r w:rsidRPr="00005453">
              <w:rPr>
                <w:b/>
                <w:bCs/>
                <w:sz w:val="14"/>
                <w:szCs w:val="22"/>
              </w:rPr>
              <w:t>19,259,653</w:t>
            </w:r>
          </w:p>
        </w:tc>
        <w:tc>
          <w:tcPr>
            <w:tcW w:w="840" w:type="dxa"/>
            <w:tcBorders>
              <w:top w:val="nil"/>
              <w:left w:val="nil"/>
              <w:bottom w:val="nil"/>
              <w:right w:val="nil"/>
            </w:tcBorders>
            <w:shd w:val="clear" w:color="auto" w:fill="auto"/>
            <w:vAlign w:val="center"/>
            <w:hideMark/>
          </w:tcPr>
          <w:p w14:paraId="0CB3170F" w14:textId="3E10A021" w:rsidR="00F56D39" w:rsidRPr="00005453" w:rsidRDefault="00F56D39" w:rsidP="00F56D39">
            <w:pPr>
              <w:jc w:val="right"/>
              <w:rPr>
                <w:b/>
                <w:sz w:val="14"/>
                <w:szCs w:val="14"/>
                <w:lang w:eastAsia="tr-TR"/>
              </w:rPr>
            </w:pPr>
            <w:r w:rsidRPr="00005453">
              <w:rPr>
                <w:b/>
                <w:bCs/>
                <w:sz w:val="14"/>
                <w:szCs w:val="22"/>
              </w:rPr>
              <w:t>97,658,069</w:t>
            </w:r>
          </w:p>
        </w:tc>
        <w:tc>
          <w:tcPr>
            <w:tcW w:w="770" w:type="dxa"/>
            <w:tcBorders>
              <w:top w:val="nil"/>
              <w:left w:val="nil"/>
              <w:bottom w:val="nil"/>
              <w:right w:val="nil"/>
            </w:tcBorders>
            <w:shd w:val="clear" w:color="auto" w:fill="auto"/>
            <w:vAlign w:val="center"/>
            <w:hideMark/>
          </w:tcPr>
          <w:p w14:paraId="4D8845C2" w14:textId="738331C0" w:rsidR="00F56D39" w:rsidRPr="00005453" w:rsidRDefault="00F56D39" w:rsidP="00F56D39">
            <w:pPr>
              <w:jc w:val="right"/>
              <w:rPr>
                <w:b/>
                <w:sz w:val="14"/>
                <w:szCs w:val="14"/>
                <w:lang w:eastAsia="tr-TR"/>
              </w:rPr>
            </w:pPr>
            <w:r w:rsidRPr="00005453">
              <w:rPr>
                <w:b/>
                <w:bCs/>
                <w:sz w:val="14"/>
                <w:szCs w:val="22"/>
              </w:rPr>
              <w:t>6,770,505</w:t>
            </w:r>
          </w:p>
        </w:tc>
        <w:tc>
          <w:tcPr>
            <w:tcW w:w="634" w:type="dxa"/>
            <w:tcBorders>
              <w:top w:val="nil"/>
              <w:left w:val="nil"/>
              <w:bottom w:val="nil"/>
              <w:right w:val="nil"/>
            </w:tcBorders>
            <w:shd w:val="clear" w:color="auto" w:fill="auto"/>
            <w:vAlign w:val="center"/>
            <w:hideMark/>
          </w:tcPr>
          <w:p w14:paraId="7FE8FCDD" w14:textId="44C27ABE"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28399EE0" w14:textId="2F8E4193" w:rsidR="00F56D39" w:rsidRPr="00005453" w:rsidRDefault="00F56D39" w:rsidP="00F56D39">
            <w:pPr>
              <w:jc w:val="right"/>
              <w:rPr>
                <w:b/>
                <w:sz w:val="14"/>
                <w:szCs w:val="14"/>
                <w:lang w:eastAsia="tr-TR"/>
              </w:rPr>
            </w:pPr>
            <w:r w:rsidRPr="00005453">
              <w:rPr>
                <w:b/>
                <w:bCs/>
                <w:sz w:val="14"/>
                <w:szCs w:val="22"/>
              </w:rPr>
              <w:t>18,974,493</w:t>
            </w:r>
          </w:p>
        </w:tc>
        <w:tc>
          <w:tcPr>
            <w:tcW w:w="727" w:type="dxa"/>
            <w:tcBorders>
              <w:top w:val="nil"/>
              <w:left w:val="nil"/>
              <w:bottom w:val="nil"/>
              <w:right w:val="nil"/>
            </w:tcBorders>
            <w:shd w:val="clear" w:color="auto" w:fill="auto"/>
            <w:vAlign w:val="center"/>
            <w:hideMark/>
          </w:tcPr>
          <w:p w14:paraId="4590C321" w14:textId="7D7A3D5A" w:rsidR="00F56D39" w:rsidRPr="00005453" w:rsidRDefault="00F56D39" w:rsidP="00F56D39">
            <w:pPr>
              <w:jc w:val="right"/>
              <w:rPr>
                <w:b/>
                <w:sz w:val="14"/>
                <w:szCs w:val="14"/>
                <w:lang w:eastAsia="tr-TR"/>
              </w:rPr>
            </w:pPr>
            <w:r w:rsidRPr="00005453">
              <w:rPr>
                <w:b/>
                <w:bCs/>
                <w:sz w:val="14"/>
                <w:szCs w:val="22"/>
              </w:rPr>
              <w:t>6,249,835</w:t>
            </w:r>
          </w:p>
        </w:tc>
        <w:tc>
          <w:tcPr>
            <w:tcW w:w="699" w:type="dxa"/>
            <w:tcBorders>
              <w:top w:val="nil"/>
              <w:left w:val="nil"/>
              <w:bottom w:val="nil"/>
              <w:right w:val="nil"/>
            </w:tcBorders>
            <w:shd w:val="clear" w:color="auto" w:fill="auto"/>
            <w:vAlign w:val="center"/>
            <w:hideMark/>
          </w:tcPr>
          <w:p w14:paraId="5D9A94F7" w14:textId="269E584F" w:rsidR="00F56D39" w:rsidRPr="00005453" w:rsidRDefault="00F56D39" w:rsidP="00F56D39">
            <w:pPr>
              <w:jc w:val="right"/>
              <w:rPr>
                <w:b/>
                <w:sz w:val="14"/>
                <w:szCs w:val="14"/>
                <w:lang w:eastAsia="tr-TR"/>
              </w:rPr>
            </w:pPr>
            <w:r w:rsidRPr="00005453">
              <w:rPr>
                <w:b/>
                <w:bCs/>
                <w:sz w:val="14"/>
                <w:szCs w:val="22"/>
              </w:rPr>
              <w:t>13,526</w:t>
            </w:r>
          </w:p>
        </w:tc>
        <w:tc>
          <w:tcPr>
            <w:tcW w:w="845" w:type="dxa"/>
            <w:tcBorders>
              <w:top w:val="nil"/>
              <w:left w:val="nil"/>
              <w:bottom w:val="nil"/>
              <w:right w:val="nil"/>
            </w:tcBorders>
            <w:shd w:val="clear" w:color="auto" w:fill="auto"/>
            <w:vAlign w:val="center"/>
            <w:hideMark/>
          </w:tcPr>
          <w:p w14:paraId="0E51A89E" w14:textId="794BE3F0" w:rsidR="00F56D39" w:rsidRPr="00005453" w:rsidRDefault="00F56D39" w:rsidP="00F56D39">
            <w:pPr>
              <w:jc w:val="right"/>
              <w:rPr>
                <w:b/>
                <w:sz w:val="14"/>
                <w:szCs w:val="14"/>
                <w:lang w:eastAsia="tr-TR"/>
              </w:rPr>
            </w:pPr>
            <w:r w:rsidRPr="00005453">
              <w:rPr>
                <w:b/>
                <w:bCs/>
                <w:sz w:val="14"/>
                <w:szCs w:val="22"/>
              </w:rPr>
              <w:t>148,926,081</w:t>
            </w:r>
          </w:p>
        </w:tc>
      </w:tr>
      <w:tr w:rsidR="00F56D39" w:rsidRPr="00005453" w14:paraId="2BFBBB15"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3BFE143B"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III. Özel cari hesap diğer-TP</w:t>
            </w:r>
          </w:p>
        </w:tc>
        <w:tc>
          <w:tcPr>
            <w:tcW w:w="845" w:type="dxa"/>
            <w:tcBorders>
              <w:top w:val="nil"/>
              <w:left w:val="nil"/>
              <w:bottom w:val="nil"/>
              <w:right w:val="nil"/>
            </w:tcBorders>
            <w:shd w:val="clear" w:color="auto" w:fill="auto"/>
            <w:vAlign w:val="center"/>
            <w:hideMark/>
          </w:tcPr>
          <w:p w14:paraId="1D5AE697" w14:textId="6062A802" w:rsidR="00F56D39" w:rsidRPr="00005453" w:rsidRDefault="00F56D39" w:rsidP="00F56D39">
            <w:pPr>
              <w:jc w:val="right"/>
              <w:rPr>
                <w:b/>
                <w:sz w:val="14"/>
                <w:szCs w:val="14"/>
                <w:lang w:eastAsia="tr-TR"/>
              </w:rPr>
            </w:pPr>
            <w:r w:rsidRPr="00005453">
              <w:rPr>
                <w:b/>
                <w:bCs/>
                <w:sz w:val="14"/>
                <w:szCs w:val="22"/>
              </w:rPr>
              <w:t>37,528,225</w:t>
            </w:r>
          </w:p>
        </w:tc>
        <w:tc>
          <w:tcPr>
            <w:tcW w:w="790" w:type="dxa"/>
            <w:tcBorders>
              <w:top w:val="nil"/>
              <w:left w:val="nil"/>
              <w:bottom w:val="nil"/>
              <w:right w:val="nil"/>
            </w:tcBorders>
            <w:shd w:val="clear" w:color="auto" w:fill="auto"/>
            <w:vAlign w:val="center"/>
            <w:hideMark/>
          </w:tcPr>
          <w:p w14:paraId="434CE973" w14:textId="3FE2AD23" w:rsidR="00F56D39" w:rsidRPr="00005453" w:rsidRDefault="00F56D39" w:rsidP="00F56D39">
            <w:pPr>
              <w:jc w:val="right"/>
              <w:rPr>
                <w:b/>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78A4BC43" w14:textId="3819CDB0" w:rsidR="00F56D39" w:rsidRPr="00005453" w:rsidRDefault="00F56D39" w:rsidP="00F56D39">
            <w:pPr>
              <w:jc w:val="right"/>
              <w:rPr>
                <w:b/>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62D74E39" w14:textId="540E69E6" w:rsidR="00F56D39" w:rsidRPr="00005453" w:rsidRDefault="00F56D39" w:rsidP="00F56D39">
            <w:pPr>
              <w:jc w:val="right"/>
              <w:rPr>
                <w:b/>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78E0D285" w14:textId="7C4185B0" w:rsidR="00F56D39" w:rsidRPr="00005453" w:rsidRDefault="00F56D39" w:rsidP="00F56D39">
            <w:pPr>
              <w:jc w:val="right"/>
              <w:rPr>
                <w:b/>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3F93525" w14:textId="77292784" w:rsidR="00F56D39" w:rsidRPr="00005453" w:rsidRDefault="00F56D39" w:rsidP="00F56D39">
            <w:pPr>
              <w:jc w:val="right"/>
              <w:rPr>
                <w:b/>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6A78BDF5" w14:textId="5CBDA32D" w:rsidR="00F56D39" w:rsidRPr="00005453" w:rsidRDefault="00F56D39" w:rsidP="00F56D39">
            <w:pPr>
              <w:jc w:val="right"/>
              <w:rPr>
                <w:b/>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351C40F6" w14:textId="494BDE15" w:rsidR="00F56D39" w:rsidRPr="00005453" w:rsidRDefault="00F56D39" w:rsidP="00F56D39">
            <w:pPr>
              <w:jc w:val="right"/>
              <w:rPr>
                <w:b/>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17F4F8DB" w14:textId="00934608" w:rsidR="00F56D39" w:rsidRPr="00005453" w:rsidRDefault="00F56D39" w:rsidP="00F56D39">
            <w:pPr>
              <w:jc w:val="right"/>
              <w:rPr>
                <w:b/>
                <w:sz w:val="14"/>
                <w:szCs w:val="14"/>
                <w:lang w:eastAsia="tr-TR"/>
              </w:rPr>
            </w:pPr>
            <w:r w:rsidRPr="00005453">
              <w:rPr>
                <w:b/>
                <w:bCs/>
                <w:sz w:val="14"/>
                <w:szCs w:val="22"/>
              </w:rPr>
              <w:t>37,528,225</w:t>
            </w:r>
          </w:p>
        </w:tc>
      </w:tr>
      <w:tr w:rsidR="00F56D39" w:rsidRPr="00005453" w14:paraId="3F085CAD" w14:textId="77777777" w:rsidTr="00B43506">
        <w:trPr>
          <w:divId w:val="617109764"/>
          <w:trHeight w:val="66"/>
        </w:trPr>
        <w:tc>
          <w:tcPr>
            <w:tcW w:w="2654" w:type="dxa"/>
            <w:tcBorders>
              <w:top w:val="nil"/>
              <w:left w:val="nil"/>
              <w:bottom w:val="nil"/>
              <w:right w:val="nil"/>
            </w:tcBorders>
            <w:shd w:val="clear" w:color="auto" w:fill="auto"/>
            <w:vAlign w:val="center"/>
            <w:hideMark/>
          </w:tcPr>
          <w:p w14:paraId="7344E014"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Resmi kuruluşlar</w:t>
            </w:r>
          </w:p>
        </w:tc>
        <w:tc>
          <w:tcPr>
            <w:tcW w:w="845" w:type="dxa"/>
            <w:tcBorders>
              <w:top w:val="nil"/>
              <w:left w:val="nil"/>
              <w:bottom w:val="nil"/>
              <w:right w:val="nil"/>
            </w:tcBorders>
            <w:shd w:val="clear" w:color="auto" w:fill="auto"/>
            <w:vAlign w:val="center"/>
            <w:hideMark/>
          </w:tcPr>
          <w:p w14:paraId="34555C19" w14:textId="64602A85" w:rsidR="00F56D39" w:rsidRPr="00005453" w:rsidRDefault="00F56D39" w:rsidP="00F56D39">
            <w:pPr>
              <w:jc w:val="right"/>
              <w:rPr>
                <w:sz w:val="14"/>
                <w:szCs w:val="14"/>
                <w:lang w:eastAsia="tr-TR"/>
              </w:rPr>
            </w:pPr>
            <w:r w:rsidRPr="00005453">
              <w:rPr>
                <w:sz w:val="14"/>
                <w:szCs w:val="22"/>
              </w:rPr>
              <w:t>2,424,752</w:t>
            </w:r>
          </w:p>
        </w:tc>
        <w:tc>
          <w:tcPr>
            <w:tcW w:w="790" w:type="dxa"/>
            <w:tcBorders>
              <w:top w:val="nil"/>
              <w:left w:val="nil"/>
              <w:bottom w:val="nil"/>
              <w:right w:val="nil"/>
            </w:tcBorders>
            <w:shd w:val="clear" w:color="auto" w:fill="auto"/>
            <w:vAlign w:val="center"/>
            <w:hideMark/>
          </w:tcPr>
          <w:p w14:paraId="49BAF63C" w14:textId="797A734D"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24853CC2" w14:textId="2AA212D3"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2678939A" w14:textId="1E20C14F"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7AC34C77" w14:textId="6D0D16C0"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3159630C" w14:textId="5BECFE52"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4D3999E7" w14:textId="54E1395C"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35D204E4" w14:textId="59CFC04C"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55126DBA" w14:textId="31F489A6" w:rsidR="00F56D39" w:rsidRPr="00005453" w:rsidRDefault="00F56D39" w:rsidP="00F56D39">
            <w:pPr>
              <w:jc w:val="right"/>
              <w:rPr>
                <w:sz w:val="14"/>
                <w:szCs w:val="14"/>
                <w:lang w:eastAsia="tr-TR"/>
              </w:rPr>
            </w:pPr>
            <w:r w:rsidRPr="00005453">
              <w:rPr>
                <w:sz w:val="14"/>
                <w:szCs w:val="22"/>
              </w:rPr>
              <w:t>2,424,752</w:t>
            </w:r>
          </w:p>
        </w:tc>
      </w:tr>
      <w:tr w:rsidR="00F56D39" w:rsidRPr="00005453" w14:paraId="0D870C33"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3ED82619"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Ticari kuruluşlar</w:t>
            </w:r>
          </w:p>
        </w:tc>
        <w:tc>
          <w:tcPr>
            <w:tcW w:w="845" w:type="dxa"/>
            <w:tcBorders>
              <w:top w:val="nil"/>
              <w:left w:val="nil"/>
              <w:bottom w:val="nil"/>
              <w:right w:val="nil"/>
            </w:tcBorders>
            <w:shd w:val="clear" w:color="auto" w:fill="auto"/>
            <w:vAlign w:val="center"/>
            <w:hideMark/>
          </w:tcPr>
          <w:p w14:paraId="053A7157" w14:textId="06D00AED" w:rsidR="00F56D39" w:rsidRPr="00005453" w:rsidRDefault="00F56D39" w:rsidP="00F56D39">
            <w:pPr>
              <w:jc w:val="right"/>
              <w:rPr>
                <w:sz w:val="14"/>
                <w:szCs w:val="14"/>
                <w:lang w:eastAsia="tr-TR"/>
              </w:rPr>
            </w:pPr>
            <w:r w:rsidRPr="00005453">
              <w:rPr>
                <w:sz w:val="14"/>
                <w:szCs w:val="22"/>
              </w:rPr>
              <w:t>34,262,863</w:t>
            </w:r>
          </w:p>
        </w:tc>
        <w:tc>
          <w:tcPr>
            <w:tcW w:w="790" w:type="dxa"/>
            <w:tcBorders>
              <w:top w:val="nil"/>
              <w:left w:val="nil"/>
              <w:bottom w:val="nil"/>
              <w:right w:val="nil"/>
            </w:tcBorders>
            <w:shd w:val="clear" w:color="auto" w:fill="auto"/>
            <w:vAlign w:val="center"/>
            <w:hideMark/>
          </w:tcPr>
          <w:p w14:paraId="2E1ACB6E" w14:textId="07ECEC36"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54FB16F9" w14:textId="3F1E3419"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3FAD2A65" w14:textId="0D63C11A"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714039A8" w14:textId="0CF3434B"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47F0E17C" w14:textId="3F0E6B9B"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7F072AD5" w14:textId="4EB047E4"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510336F2" w14:textId="5AB9EF65"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035FCEA4" w14:textId="72B8314F" w:rsidR="00F56D39" w:rsidRPr="00005453" w:rsidRDefault="00F56D39" w:rsidP="00F56D39">
            <w:pPr>
              <w:jc w:val="right"/>
              <w:rPr>
                <w:sz w:val="14"/>
                <w:szCs w:val="14"/>
                <w:lang w:eastAsia="tr-TR"/>
              </w:rPr>
            </w:pPr>
            <w:r w:rsidRPr="00005453">
              <w:rPr>
                <w:sz w:val="14"/>
                <w:szCs w:val="22"/>
              </w:rPr>
              <w:t>34,262,863</w:t>
            </w:r>
          </w:p>
        </w:tc>
      </w:tr>
      <w:tr w:rsidR="00F56D39" w:rsidRPr="00005453" w14:paraId="0EE54BC6" w14:textId="77777777" w:rsidTr="00B43506">
        <w:trPr>
          <w:divId w:val="617109764"/>
          <w:trHeight w:val="66"/>
        </w:trPr>
        <w:tc>
          <w:tcPr>
            <w:tcW w:w="2654" w:type="dxa"/>
            <w:tcBorders>
              <w:top w:val="nil"/>
              <w:left w:val="nil"/>
              <w:bottom w:val="nil"/>
              <w:right w:val="nil"/>
            </w:tcBorders>
            <w:shd w:val="clear" w:color="auto" w:fill="auto"/>
            <w:vAlign w:val="center"/>
            <w:hideMark/>
          </w:tcPr>
          <w:p w14:paraId="10EBB0DC"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Diğer kuruluşlar</w:t>
            </w:r>
          </w:p>
        </w:tc>
        <w:tc>
          <w:tcPr>
            <w:tcW w:w="845" w:type="dxa"/>
            <w:tcBorders>
              <w:top w:val="nil"/>
              <w:left w:val="nil"/>
              <w:bottom w:val="nil"/>
              <w:right w:val="nil"/>
            </w:tcBorders>
            <w:shd w:val="clear" w:color="auto" w:fill="auto"/>
            <w:vAlign w:val="center"/>
            <w:hideMark/>
          </w:tcPr>
          <w:p w14:paraId="3CECA178" w14:textId="41B05C0F" w:rsidR="00F56D39" w:rsidRPr="00005453" w:rsidRDefault="00F56D39" w:rsidP="00F56D39">
            <w:pPr>
              <w:jc w:val="right"/>
              <w:rPr>
                <w:sz w:val="14"/>
                <w:szCs w:val="14"/>
                <w:lang w:eastAsia="tr-TR"/>
              </w:rPr>
            </w:pPr>
            <w:r w:rsidRPr="00005453">
              <w:rPr>
                <w:sz w:val="14"/>
                <w:szCs w:val="22"/>
              </w:rPr>
              <w:t>569,795</w:t>
            </w:r>
          </w:p>
        </w:tc>
        <w:tc>
          <w:tcPr>
            <w:tcW w:w="790" w:type="dxa"/>
            <w:tcBorders>
              <w:top w:val="nil"/>
              <w:left w:val="nil"/>
              <w:bottom w:val="nil"/>
              <w:right w:val="nil"/>
            </w:tcBorders>
            <w:shd w:val="clear" w:color="auto" w:fill="auto"/>
            <w:vAlign w:val="center"/>
            <w:hideMark/>
          </w:tcPr>
          <w:p w14:paraId="5CFB3F40" w14:textId="1AC201A2"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2DB65F1B" w14:textId="715D9B8E"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486B5504" w14:textId="4E140C34"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8A95BDC" w14:textId="11D8E941"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7435E5DA" w14:textId="45B2FDA1"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52BFE1B7" w14:textId="17E448F2"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26431DB2" w14:textId="46EAEEDC"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77D704EF" w14:textId="77DDAE15" w:rsidR="00F56D39" w:rsidRPr="00005453" w:rsidRDefault="00F56D39" w:rsidP="00F56D39">
            <w:pPr>
              <w:jc w:val="right"/>
              <w:rPr>
                <w:sz w:val="14"/>
                <w:szCs w:val="14"/>
                <w:lang w:eastAsia="tr-TR"/>
              </w:rPr>
            </w:pPr>
            <w:r w:rsidRPr="00005453">
              <w:rPr>
                <w:sz w:val="14"/>
                <w:szCs w:val="22"/>
              </w:rPr>
              <w:t>569,795</w:t>
            </w:r>
          </w:p>
        </w:tc>
      </w:tr>
      <w:tr w:rsidR="00F56D39" w:rsidRPr="00005453" w14:paraId="6C6631CA" w14:textId="77777777" w:rsidTr="00B43506">
        <w:trPr>
          <w:divId w:val="617109764"/>
          <w:trHeight w:val="66"/>
        </w:trPr>
        <w:tc>
          <w:tcPr>
            <w:tcW w:w="2654" w:type="dxa"/>
            <w:tcBorders>
              <w:top w:val="nil"/>
              <w:left w:val="nil"/>
              <w:bottom w:val="nil"/>
              <w:right w:val="nil"/>
            </w:tcBorders>
            <w:shd w:val="clear" w:color="auto" w:fill="auto"/>
            <w:vAlign w:val="center"/>
            <w:hideMark/>
          </w:tcPr>
          <w:p w14:paraId="0D98A3A7"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Ticari ve diğer kuruluşlar</w:t>
            </w:r>
          </w:p>
        </w:tc>
        <w:tc>
          <w:tcPr>
            <w:tcW w:w="845" w:type="dxa"/>
            <w:tcBorders>
              <w:top w:val="nil"/>
              <w:left w:val="nil"/>
              <w:bottom w:val="nil"/>
              <w:right w:val="nil"/>
            </w:tcBorders>
            <w:shd w:val="clear" w:color="auto" w:fill="auto"/>
            <w:vAlign w:val="center"/>
            <w:hideMark/>
          </w:tcPr>
          <w:p w14:paraId="33CB0467" w14:textId="6A9673F5"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0E74A8E1" w14:textId="690E5A32"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2C7F81D4" w14:textId="367BBD62"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32A45D6F" w14:textId="2CE324B8"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66A146BC" w14:textId="425F870D"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54238B37" w14:textId="7EF21B6B"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72A08C8D" w14:textId="55176A21"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143CF9AE" w14:textId="475A824B"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024356D1" w14:textId="5DE837C8" w:rsidR="00F56D39" w:rsidRPr="00005453" w:rsidRDefault="00F56D39" w:rsidP="00F56D39">
            <w:pPr>
              <w:jc w:val="right"/>
              <w:rPr>
                <w:sz w:val="14"/>
                <w:szCs w:val="14"/>
                <w:lang w:eastAsia="tr-TR"/>
              </w:rPr>
            </w:pPr>
            <w:r w:rsidRPr="00005453">
              <w:rPr>
                <w:sz w:val="14"/>
                <w:szCs w:val="22"/>
              </w:rPr>
              <w:t>-</w:t>
            </w:r>
          </w:p>
        </w:tc>
      </w:tr>
      <w:tr w:rsidR="00F56D39" w:rsidRPr="00005453" w14:paraId="74230085"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2791167C"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04186672" w14:textId="0B88BEA3" w:rsidR="00F56D39" w:rsidRPr="00005453" w:rsidRDefault="00F56D39" w:rsidP="00F56D39">
            <w:pPr>
              <w:jc w:val="right"/>
              <w:rPr>
                <w:sz w:val="14"/>
                <w:szCs w:val="14"/>
                <w:lang w:eastAsia="tr-TR"/>
              </w:rPr>
            </w:pPr>
            <w:r w:rsidRPr="00005453">
              <w:rPr>
                <w:b/>
                <w:bCs/>
                <w:sz w:val="14"/>
                <w:szCs w:val="22"/>
              </w:rPr>
              <w:t>270,815</w:t>
            </w:r>
          </w:p>
        </w:tc>
        <w:tc>
          <w:tcPr>
            <w:tcW w:w="790" w:type="dxa"/>
            <w:tcBorders>
              <w:top w:val="nil"/>
              <w:left w:val="nil"/>
              <w:bottom w:val="nil"/>
              <w:right w:val="nil"/>
            </w:tcBorders>
            <w:shd w:val="clear" w:color="auto" w:fill="auto"/>
            <w:vAlign w:val="center"/>
            <w:hideMark/>
          </w:tcPr>
          <w:p w14:paraId="371EDD42" w14:textId="405A56B6"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361B0F82" w14:textId="51963CFC"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472EC299" w14:textId="3BE899D4"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67EC2F49" w14:textId="031BADDB"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ADEFD33" w14:textId="2EC39134"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07A48D22" w14:textId="4977F1AB"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4EC711B7" w14:textId="384C47C6"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45FF7472" w14:textId="461C8D93" w:rsidR="00F56D39" w:rsidRPr="00005453" w:rsidRDefault="00F56D39" w:rsidP="00F56D39">
            <w:pPr>
              <w:jc w:val="right"/>
              <w:rPr>
                <w:sz w:val="14"/>
                <w:szCs w:val="14"/>
                <w:lang w:eastAsia="tr-TR"/>
              </w:rPr>
            </w:pPr>
            <w:r w:rsidRPr="00005453">
              <w:rPr>
                <w:b/>
                <w:bCs/>
                <w:sz w:val="14"/>
                <w:szCs w:val="22"/>
              </w:rPr>
              <w:t>270,815</w:t>
            </w:r>
          </w:p>
        </w:tc>
      </w:tr>
      <w:tr w:rsidR="00F56D39" w:rsidRPr="00005453" w14:paraId="3F822F02" w14:textId="77777777" w:rsidTr="00B43506">
        <w:trPr>
          <w:divId w:val="617109764"/>
          <w:trHeight w:val="66"/>
        </w:trPr>
        <w:tc>
          <w:tcPr>
            <w:tcW w:w="2654" w:type="dxa"/>
            <w:tcBorders>
              <w:top w:val="nil"/>
              <w:left w:val="nil"/>
              <w:bottom w:val="nil"/>
              <w:right w:val="nil"/>
            </w:tcBorders>
            <w:shd w:val="clear" w:color="auto" w:fill="auto"/>
            <w:vAlign w:val="center"/>
            <w:hideMark/>
          </w:tcPr>
          <w:p w14:paraId="7DD7D69D" w14:textId="729D05DD"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T.C. Merkez Bankası</w:t>
            </w:r>
          </w:p>
        </w:tc>
        <w:tc>
          <w:tcPr>
            <w:tcW w:w="845" w:type="dxa"/>
            <w:tcBorders>
              <w:top w:val="nil"/>
              <w:left w:val="nil"/>
              <w:bottom w:val="nil"/>
              <w:right w:val="nil"/>
            </w:tcBorders>
            <w:shd w:val="clear" w:color="auto" w:fill="auto"/>
            <w:vAlign w:val="center"/>
            <w:hideMark/>
          </w:tcPr>
          <w:p w14:paraId="5C513F3E" w14:textId="791E5D82"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33F41141" w14:textId="2F6C991E"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3546BB63" w14:textId="14A2531E"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758F9775" w14:textId="7866282D"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20B2632F" w14:textId="2CD1CEDE"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7693C954" w14:textId="162621A3"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1E9F91C1" w14:textId="26E13C3F"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6AA764DD" w14:textId="526511A4"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2D564A0" w14:textId="0706A74D" w:rsidR="00F56D39" w:rsidRPr="00005453" w:rsidRDefault="00F56D39" w:rsidP="00F56D39">
            <w:pPr>
              <w:jc w:val="right"/>
              <w:rPr>
                <w:sz w:val="14"/>
                <w:szCs w:val="14"/>
                <w:lang w:eastAsia="tr-TR"/>
              </w:rPr>
            </w:pPr>
            <w:r w:rsidRPr="00005453">
              <w:rPr>
                <w:sz w:val="14"/>
                <w:szCs w:val="22"/>
              </w:rPr>
              <w:t>-</w:t>
            </w:r>
          </w:p>
        </w:tc>
      </w:tr>
      <w:tr w:rsidR="00F56D39" w:rsidRPr="00005453" w14:paraId="47B52C22"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00523440"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Yurt içi bankalar</w:t>
            </w:r>
          </w:p>
        </w:tc>
        <w:tc>
          <w:tcPr>
            <w:tcW w:w="845" w:type="dxa"/>
            <w:tcBorders>
              <w:top w:val="nil"/>
              <w:left w:val="nil"/>
              <w:bottom w:val="nil"/>
              <w:right w:val="nil"/>
            </w:tcBorders>
            <w:shd w:val="clear" w:color="auto" w:fill="auto"/>
            <w:vAlign w:val="center"/>
            <w:hideMark/>
          </w:tcPr>
          <w:p w14:paraId="6CAB2A87" w14:textId="12C91217"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7D8B6E7C" w14:textId="76D0C31D"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691A736B" w14:textId="6BD0671C"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36CAD120" w14:textId="5758B5BB"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1DC578C4" w14:textId="27D4B88F"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3BB6BD43" w14:textId="25DD52E1"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6C8786CF" w14:textId="2FA2E3E1"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264B9A61" w14:textId="67B062B9"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D6E335C" w14:textId="4237EBB5" w:rsidR="00F56D39" w:rsidRPr="00005453" w:rsidRDefault="00F56D39" w:rsidP="00F56D39">
            <w:pPr>
              <w:jc w:val="right"/>
              <w:rPr>
                <w:sz w:val="14"/>
                <w:szCs w:val="14"/>
                <w:lang w:eastAsia="tr-TR"/>
              </w:rPr>
            </w:pPr>
            <w:r w:rsidRPr="00005453">
              <w:rPr>
                <w:sz w:val="14"/>
                <w:szCs w:val="22"/>
              </w:rPr>
              <w:t>-</w:t>
            </w:r>
          </w:p>
        </w:tc>
      </w:tr>
      <w:tr w:rsidR="00F56D39" w:rsidRPr="00005453" w14:paraId="6D7195F6" w14:textId="77777777" w:rsidTr="00B43506">
        <w:trPr>
          <w:divId w:val="617109764"/>
          <w:trHeight w:val="66"/>
        </w:trPr>
        <w:tc>
          <w:tcPr>
            <w:tcW w:w="2654" w:type="dxa"/>
            <w:tcBorders>
              <w:top w:val="nil"/>
              <w:left w:val="nil"/>
              <w:bottom w:val="nil"/>
              <w:right w:val="nil"/>
            </w:tcBorders>
            <w:shd w:val="clear" w:color="auto" w:fill="auto"/>
            <w:vAlign w:val="center"/>
            <w:hideMark/>
          </w:tcPr>
          <w:p w14:paraId="0C6AFAC8"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Yurt dışı bankalar</w:t>
            </w:r>
          </w:p>
        </w:tc>
        <w:tc>
          <w:tcPr>
            <w:tcW w:w="845" w:type="dxa"/>
            <w:tcBorders>
              <w:top w:val="nil"/>
              <w:left w:val="nil"/>
              <w:bottom w:val="nil"/>
              <w:right w:val="nil"/>
            </w:tcBorders>
            <w:shd w:val="clear" w:color="auto" w:fill="auto"/>
            <w:vAlign w:val="center"/>
            <w:hideMark/>
          </w:tcPr>
          <w:p w14:paraId="7F2389BE" w14:textId="030B50A3" w:rsidR="00F56D39" w:rsidRPr="00005453" w:rsidRDefault="00F56D39" w:rsidP="00F56D39">
            <w:pPr>
              <w:jc w:val="right"/>
              <w:rPr>
                <w:sz w:val="14"/>
                <w:szCs w:val="14"/>
                <w:lang w:eastAsia="tr-TR"/>
              </w:rPr>
            </w:pPr>
            <w:r w:rsidRPr="00005453">
              <w:rPr>
                <w:sz w:val="14"/>
                <w:szCs w:val="22"/>
              </w:rPr>
              <w:t>270,641</w:t>
            </w:r>
          </w:p>
        </w:tc>
        <w:tc>
          <w:tcPr>
            <w:tcW w:w="790" w:type="dxa"/>
            <w:tcBorders>
              <w:top w:val="nil"/>
              <w:left w:val="nil"/>
              <w:bottom w:val="nil"/>
              <w:right w:val="nil"/>
            </w:tcBorders>
            <w:shd w:val="clear" w:color="auto" w:fill="auto"/>
            <w:vAlign w:val="center"/>
            <w:hideMark/>
          </w:tcPr>
          <w:p w14:paraId="11683BFB" w14:textId="670856FA"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66D1CCB2" w14:textId="2B9E97D6"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19A6B191" w14:textId="1F53E1F9"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2AF6C68B" w14:textId="4FBA8BFE"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582B852E" w14:textId="14173B8D"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18A128E1" w14:textId="71818FFC"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79A9FA2E" w14:textId="7A014AB4"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08EFAAA1" w14:textId="5B0AD623" w:rsidR="00F56D39" w:rsidRPr="00005453" w:rsidRDefault="00F56D39" w:rsidP="00F56D39">
            <w:pPr>
              <w:jc w:val="right"/>
              <w:rPr>
                <w:sz w:val="14"/>
                <w:szCs w:val="14"/>
                <w:lang w:eastAsia="tr-TR"/>
              </w:rPr>
            </w:pPr>
            <w:r w:rsidRPr="00005453">
              <w:rPr>
                <w:sz w:val="14"/>
                <w:szCs w:val="22"/>
              </w:rPr>
              <w:t>270,641</w:t>
            </w:r>
          </w:p>
        </w:tc>
      </w:tr>
      <w:tr w:rsidR="00F56D39" w:rsidRPr="00005453" w14:paraId="11FC084D"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3992F667"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Katılım bankaları</w:t>
            </w:r>
          </w:p>
        </w:tc>
        <w:tc>
          <w:tcPr>
            <w:tcW w:w="845" w:type="dxa"/>
            <w:tcBorders>
              <w:top w:val="nil"/>
              <w:left w:val="nil"/>
              <w:bottom w:val="nil"/>
              <w:right w:val="nil"/>
            </w:tcBorders>
            <w:shd w:val="clear" w:color="auto" w:fill="auto"/>
            <w:vAlign w:val="center"/>
            <w:hideMark/>
          </w:tcPr>
          <w:p w14:paraId="5603A6F5" w14:textId="461DF340" w:rsidR="00F56D39" w:rsidRPr="00005453" w:rsidRDefault="00F56D39" w:rsidP="00F56D39">
            <w:pPr>
              <w:jc w:val="right"/>
              <w:rPr>
                <w:sz w:val="14"/>
                <w:szCs w:val="14"/>
                <w:lang w:eastAsia="tr-TR"/>
              </w:rPr>
            </w:pPr>
            <w:r w:rsidRPr="00005453">
              <w:rPr>
                <w:sz w:val="14"/>
                <w:szCs w:val="22"/>
              </w:rPr>
              <w:t>144</w:t>
            </w:r>
          </w:p>
        </w:tc>
        <w:tc>
          <w:tcPr>
            <w:tcW w:w="790" w:type="dxa"/>
            <w:tcBorders>
              <w:top w:val="nil"/>
              <w:left w:val="nil"/>
              <w:bottom w:val="nil"/>
              <w:right w:val="nil"/>
            </w:tcBorders>
            <w:shd w:val="clear" w:color="auto" w:fill="auto"/>
            <w:vAlign w:val="center"/>
            <w:hideMark/>
          </w:tcPr>
          <w:p w14:paraId="6528E12A" w14:textId="3BF112A9"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6C52F221" w14:textId="19F9F891"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451FCF14" w14:textId="104689AC"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70580C1A" w14:textId="43542AC0"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7CD5397A" w14:textId="7C29F894"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1B0AFD3A" w14:textId="2DDEAD6F"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0FA14FF2" w14:textId="4D64B01C"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A84C165" w14:textId="601C26BF" w:rsidR="00F56D39" w:rsidRPr="00005453" w:rsidRDefault="00F56D39" w:rsidP="00F56D39">
            <w:pPr>
              <w:jc w:val="right"/>
              <w:rPr>
                <w:sz w:val="14"/>
                <w:szCs w:val="14"/>
                <w:lang w:eastAsia="tr-TR"/>
              </w:rPr>
            </w:pPr>
            <w:r w:rsidRPr="00005453">
              <w:rPr>
                <w:sz w:val="14"/>
                <w:szCs w:val="22"/>
              </w:rPr>
              <w:t>144</w:t>
            </w:r>
          </w:p>
        </w:tc>
      </w:tr>
      <w:tr w:rsidR="00F56D39" w:rsidRPr="00005453" w14:paraId="15576468" w14:textId="77777777" w:rsidTr="00B43506">
        <w:trPr>
          <w:divId w:val="617109764"/>
          <w:trHeight w:val="66"/>
        </w:trPr>
        <w:tc>
          <w:tcPr>
            <w:tcW w:w="2654" w:type="dxa"/>
            <w:tcBorders>
              <w:top w:val="nil"/>
              <w:left w:val="nil"/>
              <w:bottom w:val="nil"/>
              <w:right w:val="nil"/>
            </w:tcBorders>
            <w:shd w:val="clear" w:color="auto" w:fill="auto"/>
            <w:vAlign w:val="center"/>
            <w:hideMark/>
          </w:tcPr>
          <w:p w14:paraId="0CD725D4"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Diğer</w:t>
            </w:r>
          </w:p>
        </w:tc>
        <w:tc>
          <w:tcPr>
            <w:tcW w:w="845" w:type="dxa"/>
            <w:tcBorders>
              <w:top w:val="nil"/>
              <w:left w:val="nil"/>
              <w:bottom w:val="nil"/>
              <w:right w:val="nil"/>
            </w:tcBorders>
            <w:shd w:val="clear" w:color="auto" w:fill="auto"/>
            <w:vAlign w:val="center"/>
            <w:hideMark/>
          </w:tcPr>
          <w:p w14:paraId="34D2DDCE" w14:textId="3AB43D30" w:rsidR="00F56D39" w:rsidRPr="00005453" w:rsidRDefault="00F56D39" w:rsidP="00F56D39">
            <w:pPr>
              <w:jc w:val="right"/>
              <w:rPr>
                <w:sz w:val="14"/>
                <w:szCs w:val="14"/>
                <w:lang w:eastAsia="tr-TR"/>
              </w:rPr>
            </w:pPr>
            <w:r w:rsidRPr="00005453">
              <w:rPr>
                <w:sz w:val="14"/>
                <w:szCs w:val="22"/>
              </w:rPr>
              <w:t>30</w:t>
            </w:r>
          </w:p>
        </w:tc>
        <w:tc>
          <w:tcPr>
            <w:tcW w:w="790" w:type="dxa"/>
            <w:tcBorders>
              <w:top w:val="nil"/>
              <w:left w:val="nil"/>
              <w:bottom w:val="nil"/>
              <w:right w:val="nil"/>
            </w:tcBorders>
            <w:shd w:val="clear" w:color="auto" w:fill="auto"/>
            <w:vAlign w:val="center"/>
            <w:hideMark/>
          </w:tcPr>
          <w:p w14:paraId="1893EC9F" w14:textId="17ED09B1"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7DE95FDB" w14:textId="49F4F1B9"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7D0F5B6D" w14:textId="37602110"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1336300" w14:textId="44736941"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3B69E153" w14:textId="1746FB29"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67F5FD53" w14:textId="30BFD12B"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630440A0" w14:textId="1D4E0508"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5303469" w14:textId="55E8C027" w:rsidR="00F56D39" w:rsidRPr="00005453" w:rsidRDefault="00F56D39" w:rsidP="00F56D39">
            <w:pPr>
              <w:jc w:val="right"/>
              <w:rPr>
                <w:sz w:val="14"/>
                <w:szCs w:val="14"/>
                <w:lang w:eastAsia="tr-TR"/>
              </w:rPr>
            </w:pPr>
            <w:r w:rsidRPr="00005453">
              <w:rPr>
                <w:sz w:val="14"/>
                <w:szCs w:val="22"/>
              </w:rPr>
              <w:t>30</w:t>
            </w:r>
          </w:p>
        </w:tc>
      </w:tr>
      <w:tr w:rsidR="00F56D39" w:rsidRPr="00005453" w14:paraId="5D3B298C"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54B3AF77"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IV. Katılma hesapları-TP</w:t>
            </w:r>
          </w:p>
        </w:tc>
        <w:tc>
          <w:tcPr>
            <w:tcW w:w="845" w:type="dxa"/>
            <w:tcBorders>
              <w:top w:val="nil"/>
              <w:left w:val="nil"/>
              <w:bottom w:val="nil"/>
              <w:right w:val="nil"/>
            </w:tcBorders>
            <w:shd w:val="clear" w:color="auto" w:fill="auto"/>
            <w:vAlign w:val="center"/>
            <w:hideMark/>
          </w:tcPr>
          <w:p w14:paraId="0C5F3F3A" w14:textId="41F8FA6E" w:rsidR="00F56D39" w:rsidRPr="00005453" w:rsidRDefault="00F56D39" w:rsidP="00F56D39">
            <w:pPr>
              <w:jc w:val="right"/>
              <w:rPr>
                <w:b/>
                <w:sz w:val="14"/>
                <w:szCs w:val="14"/>
                <w:lang w:eastAsia="tr-TR"/>
              </w:rPr>
            </w:pPr>
            <w:r w:rsidRPr="00005453">
              <w:rPr>
                <w:b/>
                <w:bCs/>
                <w:sz w:val="14"/>
                <w:szCs w:val="22"/>
              </w:rPr>
              <w:t>-</w:t>
            </w:r>
          </w:p>
        </w:tc>
        <w:tc>
          <w:tcPr>
            <w:tcW w:w="790" w:type="dxa"/>
            <w:tcBorders>
              <w:top w:val="nil"/>
              <w:left w:val="nil"/>
              <w:bottom w:val="nil"/>
              <w:right w:val="nil"/>
            </w:tcBorders>
            <w:shd w:val="clear" w:color="auto" w:fill="auto"/>
            <w:vAlign w:val="center"/>
            <w:hideMark/>
          </w:tcPr>
          <w:p w14:paraId="3D094320" w14:textId="74B8DB89" w:rsidR="00F56D39" w:rsidRPr="00005453" w:rsidRDefault="00F56D39" w:rsidP="00F56D39">
            <w:pPr>
              <w:jc w:val="right"/>
              <w:rPr>
                <w:b/>
                <w:sz w:val="14"/>
                <w:szCs w:val="14"/>
                <w:lang w:eastAsia="tr-TR"/>
              </w:rPr>
            </w:pPr>
            <w:r w:rsidRPr="00005453">
              <w:rPr>
                <w:b/>
                <w:bCs/>
                <w:sz w:val="14"/>
                <w:szCs w:val="22"/>
              </w:rPr>
              <w:t>18,852,846</w:t>
            </w:r>
          </w:p>
        </w:tc>
        <w:tc>
          <w:tcPr>
            <w:tcW w:w="840" w:type="dxa"/>
            <w:tcBorders>
              <w:top w:val="nil"/>
              <w:left w:val="nil"/>
              <w:bottom w:val="nil"/>
              <w:right w:val="nil"/>
            </w:tcBorders>
            <w:shd w:val="clear" w:color="auto" w:fill="auto"/>
            <w:vAlign w:val="center"/>
            <w:hideMark/>
          </w:tcPr>
          <w:p w14:paraId="2760FF2A" w14:textId="729F32D3" w:rsidR="00F56D39" w:rsidRPr="00005453" w:rsidRDefault="00F56D39" w:rsidP="00F56D39">
            <w:pPr>
              <w:jc w:val="right"/>
              <w:rPr>
                <w:b/>
                <w:sz w:val="14"/>
                <w:szCs w:val="14"/>
                <w:lang w:eastAsia="tr-TR"/>
              </w:rPr>
            </w:pPr>
            <w:r w:rsidRPr="00005453">
              <w:rPr>
                <w:b/>
                <w:bCs/>
                <w:sz w:val="14"/>
                <w:szCs w:val="22"/>
              </w:rPr>
              <w:t>18,339,504</w:t>
            </w:r>
          </w:p>
        </w:tc>
        <w:tc>
          <w:tcPr>
            <w:tcW w:w="770" w:type="dxa"/>
            <w:tcBorders>
              <w:top w:val="nil"/>
              <w:left w:val="nil"/>
              <w:bottom w:val="nil"/>
              <w:right w:val="nil"/>
            </w:tcBorders>
            <w:shd w:val="clear" w:color="auto" w:fill="auto"/>
            <w:vAlign w:val="center"/>
            <w:hideMark/>
          </w:tcPr>
          <w:p w14:paraId="4F29AE3F" w14:textId="6CAE6319" w:rsidR="00F56D39" w:rsidRPr="00005453" w:rsidRDefault="00F56D39" w:rsidP="00F56D39">
            <w:pPr>
              <w:jc w:val="right"/>
              <w:rPr>
                <w:b/>
                <w:sz w:val="14"/>
                <w:szCs w:val="14"/>
                <w:lang w:eastAsia="tr-TR"/>
              </w:rPr>
            </w:pPr>
            <w:r w:rsidRPr="00005453">
              <w:rPr>
                <w:b/>
                <w:bCs/>
                <w:sz w:val="14"/>
                <w:szCs w:val="22"/>
              </w:rPr>
              <w:t>961,192</w:t>
            </w:r>
          </w:p>
        </w:tc>
        <w:tc>
          <w:tcPr>
            <w:tcW w:w="634" w:type="dxa"/>
            <w:tcBorders>
              <w:top w:val="nil"/>
              <w:left w:val="nil"/>
              <w:bottom w:val="nil"/>
              <w:right w:val="nil"/>
            </w:tcBorders>
            <w:shd w:val="clear" w:color="auto" w:fill="auto"/>
            <w:vAlign w:val="center"/>
            <w:hideMark/>
          </w:tcPr>
          <w:p w14:paraId="0D0E8560" w14:textId="5D2B049C"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011F693A" w14:textId="3C0A2FFD" w:rsidR="00F56D39" w:rsidRPr="00005453" w:rsidRDefault="00F56D39" w:rsidP="00F56D39">
            <w:pPr>
              <w:jc w:val="right"/>
              <w:rPr>
                <w:b/>
                <w:sz w:val="14"/>
                <w:szCs w:val="14"/>
                <w:lang w:eastAsia="tr-TR"/>
              </w:rPr>
            </w:pPr>
            <w:r w:rsidRPr="00005453">
              <w:rPr>
                <w:b/>
                <w:bCs/>
                <w:sz w:val="14"/>
                <w:szCs w:val="22"/>
              </w:rPr>
              <w:t>11,529,332</w:t>
            </w:r>
          </w:p>
        </w:tc>
        <w:tc>
          <w:tcPr>
            <w:tcW w:w="727" w:type="dxa"/>
            <w:tcBorders>
              <w:top w:val="nil"/>
              <w:left w:val="nil"/>
              <w:bottom w:val="nil"/>
              <w:right w:val="nil"/>
            </w:tcBorders>
            <w:shd w:val="clear" w:color="auto" w:fill="auto"/>
            <w:vAlign w:val="center"/>
            <w:hideMark/>
          </w:tcPr>
          <w:p w14:paraId="2D149623" w14:textId="3CCBB19E" w:rsidR="00F56D39" w:rsidRPr="00005453" w:rsidRDefault="00F56D39" w:rsidP="00F56D39">
            <w:pPr>
              <w:jc w:val="right"/>
              <w:rPr>
                <w:b/>
                <w:sz w:val="14"/>
                <w:szCs w:val="14"/>
                <w:lang w:eastAsia="tr-TR"/>
              </w:rPr>
            </w:pPr>
            <w:r w:rsidRPr="00005453">
              <w:rPr>
                <w:b/>
                <w:bCs/>
                <w:sz w:val="14"/>
                <w:szCs w:val="22"/>
              </w:rPr>
              <w:t>172,697</w:t>
            </w:r>
          </w:p>
        </w:tc>
        <w:tc>
          <w:tcPr>
            <w:tcW w:w="699" w:type="dxa"/>
            <w:tcBorders>
              <w:top w:val="nil"/>
              <w:left w:val="nil"/>
              <w:bottom w:val="nil"/>
              <w:right w:val="nil"/>
            </w:tcBorders>
            <w:shd w:val="clear" w:color="auto" w:fill="auto"/>
            <w:vAlign w:val="center"/>
            <w:hideMark/>
          </w:tcPr>
          <w:p w14:paraId="09D07BCF" w14:textId="0C962127" w:rsidR="00F56D39" w:rsidRPr="00005453" w:rsidRDefault="00F56D39" w:rsidP="00F56D39">
            <w:pPr>
              <w:jc w:val="right"/>
              <w:rPr>
                <w:b/>
                <w:sz w:val="14"/>
                <w:szCs w:val="14"/>
                <w:lang w:eastAsia="tr-TR"/>
              </w:rPr>
            </w:pPr>
            <w:r w:rsidRPr="00005453">
              <w:rPr>
                <w:b/>
                <w:bCs/>
                <w:sz w:val="14"/>
                <w:szCs w:val="22"/>
              </w:rPr>
              <w:t>22</w:t>
            </w:r>
          </w:p>
        </w:tc>
        <w:tc>
          <w:tcPr>
            <w:tcW w:w="845" w:type="dxa"/>
            <w:tcBorders>
              <w:top w:val="nil"/>
              <w:left w:val="nil"/>
              <w:bottom w:val="nil"/>
              <w:right w:val="nil"/>
            </w:tcBorders>
            <w:shd w:val="clear" w:color="auto" w:fill="auto"/>
            <w:vAlign w:val="center"/>
            <w:hideMark/>
          </w:tcPr>
          <w:p w14:paraId="1E2A70EE" w14:textId="06BB8AE5" w:rsidR="00F56D39" w:rsidRPr="00005453" w:rsidRDefault="00F56D39" w:rsidP="00F56D39">
            <w:pPr>
              <w:jc w:val="right"/>
              <w:rPr>
                <w:b/>
                <w:sz w:val="14"/>
                <w:szCs w:val="14"/>
                <w:lang w:eastAsia="tr-TR"/>
              </w:rPr>
            </w:pPr>
            <w:r w:rsidRPr="00005453">
              <w:rPr>
                <w:b/>
                <w:bCs/>
                <w:sz w:val="14"/>
                <w:szCs w:val="22"/>
              </w:rPr>
              <w:t>49,855,593</w:t>
            </w:r>
          </w:p>
        </w:tc>
      </w:tr>
      <w:tr w:rsidR="00F56D39" w:rsidRPr="00005453" w14:paraId="0B9BBEFC"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41B5C234"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Resmi kuruluşlar</w:t>
            </w:r>
          </w:p>
        </w:tc>
        <w:tc>
          <w:tcPr>
            <w:tcW w:w="845" w:type="dxa"/>
            <w:tcBorders>
              <w:top w:val="nil"/>
              <w:left w:val="nil"/>
              <w:bottom w:val="nil"/>
              <w:right w:val="nil"/>
            </w:tcBorders>
            <w:shd w:val="clear" w:color="auto" w:fill="auto"/>
            <w:vAlign w:val="center"/>
            <w:hideMark/>
          </w:tcPr>
          <w:p w14:paraId="74E81B0E" w14:textId="2BD72A11"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0762E3F2" w14:textId="54653701" w:rsidR="00F56D39" w:rsidRPr="00005453" w:rsidRDefault="00F56D39" w:rsidP="00F56D39">
            <w:pPr>
              <w:jc w:val="right"/>
              <w:rPr>
                <w:sz w:val="14"/>
                <w:szCs w:val="14"/>
                <w:lang w:eastAsia="tr-TR"/>
              </w:rPr>
            </w:pPr>
            <w:r w:rsidRPr="00005453">
              <w:rPr>
                <w:sz w:val="14"/>
                <w:szCs w:val="22"/>
              </w:rPr>
              <w:t>6,948</w:t>
            </w:r>
          </w:p>
        </w:tc>
        <w:tc>
          <w:tcPr>
            <w:tcW w:w="840" w:type="dxa"/>
            <w:tcBorders>
              <w:top w:val="nil"/>
              <w:left w:val="nil"/>
              <w:bottom w:val="nil"/>
              <w:right w:val="nil"/>
            </w:tcBorders>
            <w:shd w:val="clear" w:color="auto" w:fill="auto"/>
            <w:vAlign w:val="center"/>
            <w:hideMark/>
          </w:tcPr>
          <w:p w14:paraId="77CF7821" w14:textId="64173D98" w:rsidR="00F56D39" w:rsidRPr="00005453" w:rsidRDefault="00F56D39" w:rsidP="00F56D39">
            <w:pPr>
              <w:jc w:val="right"/>
              <w:rPr>
                <w:sz w:val="14"/>
                <w:szCs w:val="14"/>
                <w:lang w:eastAsia="tr-TR"/>
              </w:rPr>
            </w:pPr>
            <w:r w:rsidRPr="00005453">
              <w:rPr>
                <w:sz w:val="14"/>
                <w:szCs w:val="22"/>
              </w:rPr>
              <w:t>52,425</w:t>
            </w:r>
          </w:p>
        </w:tc>
        <w:tc>
          <w:tcPr>
            <w:tcW w:w="770" w:type="dxa"/>
            <w:tcBorders>
              <w:top w:val="nil"/>
              <w:left w:val="nil"/>
              <w:bottom w:val="nil"/>
              <w:right w:val="nil"/>
            </w:tcBorders>
            <w:shd w:val="clear" w:color="auto" w:fill="auto"/>
            <w:vAlign w:val="center"/>
            <w:hideMark/>
          </w:tcPr>
          <w:p w14:paraId="6D40732F" w14:textId="04679985"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C8FD32D" w14:textId="6499EE0A"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14A53DFE" w14:textId="46BDC85E" w:rsidR="00F56D39" w:rsidRPr="00005453" w:rsidRDefault="00F56D39" w:rsidP="00F56D39">
            <w:pPr>
              <w:jc w:val="right"/>
              <w:rPr>
                <w:sz w:val="14"/>
                <w:szCs w:val="14"/>
                <w:lang w:eastAsia="tr-TR"/>
              </w:rPr>
            </w:pPr>
            <w:r w:rsidRPr="00005453">
              <w:rPr>
                <w:sz w:val="14"/>
                <w:szCs w:val="22"/>
              </w:rPr>
              <w:t>789,834</w:t>
            </w:r>
          </w:p>
        </w:tc>
        <w:tc>
          <w:tcPr>
            <w:tcW w:w="727" w:type="dxa"/>
            <w:tcBorders>
              <w:top w:val="nil"/>
              <w:left w:val="nil"/>
              <w:bottom w:val="nil"/>
              <w:right w:val="nil"/>
            </w:tcBorders>
            <w:shd w:val="clear" w:color="auto" w:fill="auto"/>
            <w:vAlign w:val="center"/>
            <w:hideMark/>
          </w:tcPr>
          <w:p w14:paraId="2247E82E" w14:textId="52452ECC"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3BA2FB50" w14:textId="694E36E1"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768FF44A" w14:textId="1C66C098" w:rsidR="00F56D39" w:rsidRPr="00005453" w:rsidRDefault="00F56D39" w:rsidP="00F56D39">
            <w:pPr>
              <w:jc w:val="right"/>
              <w:rPr>
                <w:sz w:val="14"/>
                <w:szCs w:val="14"/>
                <w:lang w:eastAsia="tr-TR"/>
              </w:rPr>
            </w:pPr>
            <w:r w:rsidRPr="00005453">
              <w:rPr>
                <w:sz w:val="14"/>
                <w:szCs w:val="22"/>
              </w:rPr>
              <w:t>849,207</w:t>
            </w:r>
          </w:p>
        </w:tc>
      </w:tr>
      <w:tr w:rsidR="00F56D39" w:rsidRPr="00005453" w14:paraId="0E68C8A2" w14:textId="77777777" w:rsidTr="00B43506">
        <w:trPr>
          <w:divId w:val="617109764"/>
          <w:trHeight w:val="66"/>
        </w:trPr>
        <w:tc>
          <w:tcPr>
            <w:tcW w:w="2654" w:type="dxa"/>
            <w:tcBorders>
              <w:top w:val="nil"/>
              <w:left w:val="nil"/>
              <w:bottom w:val="nil"/>
              <w:right w:val="nil"/>
            </w:tcBorders>
            <w:shd w:val="clear" w:color="auto" w:fill="auto"/>
            <w:vAlign w:val="center"/>
            <w:hideMark/>
          </w:tcPr>
          <w:p w14:paraId="70FA8603"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Ticari kuruluşlar</w:t>
            </w:r>
          </w:p>
        </w:tc>
        <w:tc>
          <w:tcPr>
            <w:tcW w:w="845" w:type="dxa"/>
            <w:tcBorders>
              <w:top w:val="nil"/>
              <w:left w:val="nil"/>
              <w:bottom w:val="nil"/>
              <w:right w:val="nil"/>
            </w:tcBorders>
            <w:shd w:val="clear" w:color="auto" w:fill="auto"/>
            <w:vAlign w:val="center"/>
            <w:hideMark/>
          </w:tcPr>
          <w:p w14:paraId="55F41155" w14:textId="24850579"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0F49C79E" w14:textId="2A9CC21C" w:rsidR="00F56D39" w:rsidRPr="00005453" w:rsidRDefault="00F56D39" w:rsidP="00F56D39">
            <w:pPr>
              <w:jc w:val="right"/>
              <w:rPr>
                <w:sz w:val="14"/>
                <w:szCs w:val="14"/>
                <w:lang w:eastAsia="tr-TR"/>
              </w:rPr>
            </w:pPr>
            <w:r w:rsidRPr="00005453">
              <w:rPr>
                <w:sz w:val="14"/>
                <w:szCs w:val="22"/>
              </w:rPr>
              <w:t>18,485,757</w:t>
            </w:r>
          </w:p>
        </w:tc>
        <w:tc>
          <w:tcPr>
            <w:tcW w:w="840" w:type="dxa"/>
            <w:tcBorders>
              <w:top w:val="nil"/>
              <w:left w:val="nil"/>
              <w:bottom w:val="nil"/>
              <w:right w:val="nil"/>
            </w:tcBorders>
            <w:shd w:val="clear" w:color="auto" w:fill="auto"/>
            <w:vAlign w:val="center"/>
            <w:hideMark/>
          </w:tcPr>
          <w:p w14:paraId="1C7BB4CB" w14:textId="65E1F7EF" w:rsidR="00F56D39" w:rsidRPr="00005453" w:rsidRDefault="00F56D39" w:rsidP="00F56D39">
            <w:pPr>
              <w:jc w:val="right"/>
              <w:rPr>
                <w:sz w:val="14"/>
                <w:szCs w:val="14"/>
                <w:lang w:eastAsia="tr-TR"/>
              </w:rPr>
            </w:pPr>
            <w:r w:rsidRPr="00005453">
              <w:rPr>
                <w:sz w:val="14"/>
                <w:szCs w:val="22"/>
              </w:rPr>
              <w:t>16,825,843</w:t>
            </w:r>
          </w:p>
        </w:tc>
        <w:tc>
          <w:tcPr>
            <w:tcW w:w="770" w:type="dxa"/>
            <w:tcBorders>
              <w:top w:val="nil"/>
              <w:left w:val="nil"/>
              <w:bottom w:val="nil"/>
              <w:right w:val="nil"/>
            </w:tcBorders>
            <w:shd w:val="clear" w:color="auto" w:fill="auto"/>
            <w:vAlign w:val="center"/>
            <w:hideMark/>
          </w:tcPr>
          <w:p w14:paraId="50D392A8" w14:textId="5179A98C" w:rsidR="00F56D39" w:rsidRPr="00005453" w:rsidRDefault="00F56D39" w:rsidP="00F56D39">
            <w:pPr>
              <w:jc w:val="right"/>
              <w:rPr>
                <w:sz w:val="14"/>
                <w:szCs w:val="14"/>
                <w:lang w:eastAsia="tr-TR"/>
              </w:rPr>
            </w:pPr>
            <w:r w:rsidRPr="00005453">
              <w:rPr>
                <w:sz w:val="14"/>
                <w:szCs w:val="22"/>
              </w:rPr>
              <w:t>887,174</w:t>
            </w:r>
          </w:p>
        </w:tc>
        <w:tc>
          <w:tcPr>
            <w:tcW w:w="634" w:type="dxa"/>
            <w:tcBorders>
              <w:top w:val="nil"/>
              <w:left w:val="nil"/>
              <w:bottom w:val="nil"/>
              <w:right w:val="nil"/>
            </w:tcBorders>
            <w:shd w:val="clear" w:color="auto" w:fill="auto"/>
            <w:vAlign w:val="center"/>
            <w:hideMark/>
          </w:tcPr>
          <w:p w14:paraId="5FAE18BC" w14:textId="5EF4C586"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34F7DF1B" w14:textId="195E13BB" w:rsidR="00F56D39" w:rsidRPr="00005453" w:rsidRDefault="00F56D39" w:rsidP="00F56D39">
            <w:pPr>
              <w:jc w:val="right"/>
              <w:rPr>
                <w:sz w:val="14"/>
                <w:szCs w:val="14"/>
                <w:lang w:eastAsia="tr-TR"/>
              </w:rPr>
            </w:pPr>
            <w:r w:rsidRPr="00005453">
              <w:rPr>
                <w:sz w:val="14"/>
                <w:szCs w:val="22"/>
              </w:rPr>
              <w:t>10,497,176</w:t>
            </w:r>
          </w:p>
        </w:tc>
        <w:tc>
          <w:tcPr>
            <w:tcW w:w="727" w:type="dxa"/>
            <w:tcBorders>
              <w:top w:val="nil"/>
              <w:left w:val="nil"/>
              <w:bottom w:val="nil"/>
              <w:right w:val="nil"/>
            </w:tcBorders>
            <w:shd w:val="clear" w:color="auto" w:fill="auto"/>
            <w:vAlign w:val="center"/>
            <w:hideMark/>
          </w:tcPr>
          <w:p w14:paraId="2436DD7C" w14:textId="120D9921" w:rsidR="00F56D39" w:rsidRPr="00005453" w:rsidRDefault="00F56D39" w:rsidP="00F56D39">
            <w:pPr>
              <w:jc w:val="right"/>
              <w:rPr>
                <w:sz w:val="14"/>
                <w:szCs w:val="14"/>
                <w:lang w:eastAsia="tr-TR"/>
              </w:rPr>
            </w:pPr>
            <w:r w:rsidRPr="00005453">
              <w:rPr>
                <w:sz w:val="14"/>
                <w:szCs w:val="22"/>
              </w:rPr>
              <w:t>172,257</w:t>
            </w:r>
          </w:p>
        </w:tc>
        <w:tc>
          <w:tcPr>
            <w:tcW w:w="699" w:type="dxa"/>
            <w:tcBorders>
              <w:top w:val="nil"/>
              <w:left w:val="nil"/>
              <w:bottom w:val="nil"/>
              <w:right w:val="nil"/>
            </w:tcBorders>
            <w:shd w:val="clear" w:color="auto" w:fill="auto"/>
            <w:vAlign w:val="center"/>
            <w:hideMark/>
          </w:tcPr>
          <w:p w14:paraId="67DBAD3E" w14:textId="6B828617" w:rsidR="00F56D39" w:rsidRPr="00005453" w:rsidRDefault="00F56D39" w:rsidP="00F56D39">
            <w:pPr>
              <w:jc w:val="right"/>
              <w:rPr>
                <w:sz w:val="14"/>
                <w:szCs w:val="14"/>
                <w:lang w:eastAsia="tr-TR"/>
              </w:rPr>
            </w:pPr>
            <w:r w:rsidRPr="00005453">
              <w:rPr>
                <w:sz w:val="14"/>
                <w:szCs w:val="22"/>
              </w:rPr>
              <w:t>22</w:t>
            </w:r>
          </w:p>
        </w:tc>
        <w:tc>
          <w:tcPr>
            <w:tcW w:w="845" w:type="dxa"/>
            <w:tcBorders>
              <w:top w:val="nil"/>
              <w:left w:val="nil"/>
              <w:bottom w:val="nil"/>
              <w:right w:val="nil"/>
            </w:tcBorders>
            <w:shd w:val="clear" w:color="auto" w:fill="auto"/>
            <w:vAlign w:val="center"/>
            <w:hideMark/>
          </w:tcPr>
          <w:p w14:paraId="71922380" w14:textId="21206352" w:rsidR="00F56D39" w:rsidRPr="00005453" w:rsidRDefault="00F56D39" w:rsidP="00F56D39">
            <w:pPr>
              <w:jc w:val="right"/>
              <w:rPr>
                <w:sz w:val="14"/>
                <w:szCs w:val="14"/>
                <w:lang w:eastAsia="tr-TR"/>
              </w:rPr>
            </w:pPr>
            <w:r w:rsidRPr="00005453">
              <w:rPr>
                <w:sz w:val="14"/>
                <w:szCs w:val="22"/>
              </w:rPr>
              <w:t>46,868,229</w:t>
            </w:r>
          </w:p>
        </w:tc>
      </w:tr>
      <w:tr w:rsidR="00F56D39" w:rsidRPr="00005453" w14:paraId="1E81C31F" w14:textId="77777777" w:rsidTr="00B43506">
        <w:trPr>
          <w:divId w:val="617109764"/>
          <w:trHeight w:val="66"/>
        </w:trPr>
        <w:tc>
          <w:tcPr>
            <w:tcW w:w="2654" w:type="dxa"/>
            <w:tcBorders>
              <w:top w:val="nil"/>
              <w:left w:val="nil"/>
              <w:bottom w:val="nil"/>
              <w:right w:val="nil"/>
            </w:tcBorders>
            <w:shd w:val="clear" w:color="auto" w:fill="auto"/>
            <w:vAlign w:val="center"/>
            <w:hideMark/>
          </w:tcPr>
          <w:p w14:paraId="64E5AE50"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Diğer kuruluşlar</w:t>
            </w:r>
          </w:p>
        </w:tc>
        <w:tc>
          <w:tcPr>
            <w:tcW w:w="845" w:type="dxa"/>
            <w:tcBorders>
              <w:top w:val="nil"/>
              <w:left w:val="nil"/>
              <w:bottom w:val="nil"/>
              <w:right w:val="nil"/>
            </w:tcBorders>
            <w:shd w:val="clear" w:color="auto" w:fill="auto"/>
            <w:vAlign w:val="center"/>
            <w:hideMark/>
          </w:tcPr>
          <w:p w14:paraId="5A5D2D7E" w14:textId="72433A9B"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43A73355" w14:textId="71FC8353" w:rsidR="00F56D39" w:rsidRPr="00005453" w:rsidRDefault="00F56D39" w:rsidP="00F56D39">
            <w:pPr>
              <w:jc w:val="right"/>
              <w:rPr>
                <w:sz w:val="14"/>
                <w:szCs w:val="14"/>
                <w:lang w:eastAsia="tr-TR"/>
              </w:rPr>
            </w:pPr>
            <w:r w:rsidRPr="00005453">
              <w:rPr>
                <w:sz w:val="14"/>
                <w:szCs w:val="22"/>
              </w:rPr>
              <w:t>331,633</w:t>
            </w:r>
          </w:p>
        </w:tc>
        <w:tc>
          <w:tcPr>
            <w:tcW w:w="840" w:type="dxa"/>
            <w:tcBorders>
              <w:top w:val="nil"/>
              <w:left w:val="nil"/>
              <w:bottom w:val="nil"/>
              <w:right w:val="nil"/>
            </w:tcBorders>
            <w:shd w:val="clear" w:color="auto" w:fill="auto"/>
            <w:vAlign w:val="center"/>
            <w:hideMark/>
          </w:tcPr>
          <w:p w14:paraId="006927B0" w14:textId="5F3A8A89" w:rsidR="00F56D39" w:rsidRPr="00005453" w:rsidRDefault="00F56D39" w:rsidP="00F56D39">
            <w:pPr>
              <w:jc w:val="right"/>
              <w:rPr>
                <w:sz w:val="14"/>
                <w:szCs w:val="14"/>
                <w:lang w:eastAsia="tr-TR"/>
              </w:rPr>
            </w:pPr>
            <w:r w:rsidRPr="00005453">
              <w:rPr>
                <w:sz w:val="14"/>
                <w:szCs w:val="22"/>
              </w:rPr>
              <w:t>950,468</w:t>
            </w:r>
          </w:p>
        </w:tc>
        <w:tc>
          <w:tcPr>
            <w:tcW w:w="770" w:type="dxa"/>
            <w:tcBorders>
              <w:top w:val="nil"/>
              <w:left w:val="nil"/>
              <w:bottom w:val="nil"/>
              <w:right w:val="nil"/>
            </w:tcBorders>
            <w:shd w:val="clear" w:color="auto" w:fill="auto"/>
            <w:vAlign w:val="center"/>
            <w:hideMark/>
          </w:tcPr>
          <w:p w14:paraId="5D243C50" w14:textId="60A7A521" w:rsidR="00F56D39" w:rsidRPr="00005453" w:rsidRDefault="00F56D39" w:rsidP="00F56D39">
            <w:pPr>
              <w:jc w:val="right"/>
              <w:rPr>
                <w:sz w:val="14"/>
                <w:szCs w:val="14"/>
                <w:lang w:eastAsia="tr-TR"/>
              </w:rPr>
            </w:pPr>
            <w:r w:rsidRPr="00005453">
              <w:rPr>
                <w:sz w:val="14"/>
                <w:szCs w:val="22"/>
              </w:rPr>
              <w:t>43,231</w:t>
            </w:r>
          </w:p>
        </w:tc>
        <w:tc>
          <w:tcPr>
            <w:tcW w:w="634" w:type="dxa"/>
            <w:tcBorders>
              <w:top w:val="nil"/>
              <w:left w:val="nil"/>
              <w:bottom w:val="nil"/>
              <w:right w:val="nil"/>
            </w:tcBorders>
            <w:shd w:val="clear" w:color="auto" w:fill="auto"/>
            <w:vAlign w:val="center"/>
            <w:hideMark/>
          </w:tcPr>
          <w:p w14:paraId="522ABDCD" w14:textId="5D72666C"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4CC0498C" w14:textId="31AA8A3B" w:rsidR="00F56D39" w:rsidRPr="00005453" w:rsidRDefault="00F56D39" w:rsidP="00F56D39">
            <w:pPr>
              <w:jc w:val="right"/>
              <w:rPr>
                <w:sz w:val="14"/>
                <w:szCs w:val="14"/>
                <w:lang w:eastAsia="tr-TR"/>
              </w:rPr>
            </w:pPr>
            <w:r w:rsidRPr="00005453">
              <w:rPr>
                <w:sz w:val="14"/>
                <w:szCs w:val="22"/>
              </w:rPr>
              <w:t>172,935</w:t>
            </w:r>
          </w:p>
        </w:tc>
        <w:tc>
          <w:tcPr>
            <w:tcW w:w="727" w:type="dxa"/>
            <w:tcBorders>
              <w:top w:val="nil"/>
              <w:left w:val="nil"/>
              <w:bottom w:val="nil"/>
              <w:right w:val="nil"/>
            </w:tcBorders>
            <w:shd w:val="clear" w:color="auto" w:fill="auto"/>
            <w:vAlign w:val="center"/>
            <w:hideMark/>
          </w:tcPr>
          <w:p w14:paraId="07D2652B" w14:textId="06323FAD" w:rsidR="00F56D39" w:rsidRPr="00005453" w:rsidRDefault="00F56D39" w:rsidP="00F56D39">
            <w:pPr>
              <w:jc w:val="right"/>
              <w:rPr>
                <w:sz w:val="14"/>
                <w:szCs w:val="14"/>
                <w:lang w:eastAsia="tr-TR"/>
              </w:rPr>
            </w:pPr>
            <w:r w:rsidRPr="00005453">
              <w:rPr>
                <w:sz w:val="14"/>
                <w:szCs w:val="22"/>
              </w:rPr>
              <w:t>440</w:t>
            </w:r>
          </w:p>
        </w:tc>
        <w:tc>
          <w:tcPr>
            <w:tcW w:w="699" w:type="dxa"/>
            <w:tcBorders>
              <w:top w:val="nil"/>
              <w:left w:val="nil"/>
              <w:bottom w:val="nil"/>
              <w:right w:val="nil"/>
            </w:tcBorders>
            <w:shd w:val="clear" w:color="auto" w:fill="auto"/>
            <w:vAlign w:val="center"/>
            <w:hideMark/>
          </w:tcPr>
          <w:p w14:paraId="2D7FC5EA" w14:textId="2A7BDCF7"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19D86AB1" w14:textId="506C9DBB" w:rsidR="00F56D39" w:rsidRPr="00005453" w:rsidRDefault="00F56D39" w:rsidP="00F56D39">
            <w:pPr>
              <w:jc w:val="right"/>
              <w:rPr>
                <w:sz w:val="14"/>
                <w:szCs w:val="14"/>
                <w:lang w:eastAsia="tr-TR"/>
              </w:rPr>
            </w:pPr>
            <w:r w:rsidRPr="00005453">
              <w:rPr>
                <w:sz w:val="14"/>
                <w:szCs w:val="22"/>
              </w:rPr>
              <w:t>1,498,707</w:t>
            </w:r>
          </w:p>
        </w:tc>
      </w:tr>
      <w:tr w:rsidR="00F56D39" w:rsidRPr="00005453" w14:paraId="6CFAD300" w14:textId="77777777" w:rsidTr="00B43506">
        <w:trPr>
          <w:divId w:val="617109764"/>
          <w:trHeight w:val="66"/>
        </w:trPr>
        <w:tc>
          <w:tcPr>
            <w:tcW w:w="2654" w:type="dxa"/>
            <w:tcBorders>
              <w:top w:val="nil"/>
              <w:left w:val="nil"/>
              <w:bottom w:val="nil"/>
              <w:right w:val="nil"/>
            </w:tcBorders>
            <w:shd w:val="clear" w:color="auto" w:fill="auto"/>
            <w:vAlign w:val="center"/>
            <w:hideMark/>
          </w:tcPr>
          <w:p w14:paraId="7327464A"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Ticari ve diğer kuruluşlar</w:t>
            </w:r>
          </w:p>
        </w:tc>
        <w:tc>
          <w:tcPr>
            <w:tcW w:w="845" w:type="dxa"/>
            <w:tcBorders>
              <w:top w:val="nil"/>
              <w:left w:val="nil"/>
              <w:bottom w:val="nil"/>
              <w:right w:val="nil"/>
            </w:tcBorders>
            <w:shd w:val="clear" w:color="auto" w:fill="auto"/>
            <w:vAlign w:val="center"/>
            <w:hideMark/>
          </w:tcPr>
          <w:p w14:paraId="44C07068" w14:textId="05951FD8"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25A5126F" w14:textId="43E6B26B" w:rsidR="00F56D39" w:rsidRPr="00005453" w:rsidRDefault="00F56D39" w:rsidP="00F56D39">
            <w:pPr>
              <w:jc w:val="right"/>
              <w:rPr>
                <w:sz w:val="14"/>
                <w:szCs w:val="14"/>
                <w:lang w:eastAsia="tr-TR"/>
              </w:rPr>
            </w:pPr>
            <w:r w:rsidRPr="00005453">
              <w:rPr>
                <w:sz w:val="14"/>
                <w:szCs w:val="22"/>
              </w:rPr>
              <w:t>28,508</w:t>
            </w:r>
          </w:p>
        </w:tc>
        <w:tc>
          <w:tcPr>
            <w:tcW w:w="840" w:type="dxa"/>
            <w:tcBorders>
              <w:top w:val="nil"/>
              <w:left w:val="nil"/>
              <w:bottom w:val="nil"/>
              <w:right w:val="nil"/>
            </w:tcBorders>
            <w:shd w:val="clear" w:color="auto" w:fill="auto"/>
            <w:vAlign w:val="center"/>
            <w:hideMark/>
          </w:tcPr>
          <w:p w14:paraId="48C0FF32" w14:textId="2B84CD66" w:rsidR="00F56D39" w:rsidRPr="00005453" w:rsidRDefault="00F56D39" w:rsidP="00F56D39">
            <w:pPr>
              <w:jc w:val="right"/>
              <w:rPr>
                <w:sz w:val="14"/>
                <w:szCs w:val="14"/>
                <w:lang w:eastAsia="tr-TR"/>
              </w:rPr>
            </w:pPr>
            <w:r w:rsidRPr="00005453">
              <w:rPr>
                <w:sz w:val="14"/>
                <w:szCs w:val="22"/>
              </w:rPr>
              <w:t>510,724</w:t>
            </w:r>
          </w:p>
        </w:tc>
        <w:tc>
          <w:tcPr>
            <w:tcW w:w="770" w:type="dxa"/>
            <w:tcBorders>
              <w:top w:val="nil"/>
              <w:left w:val="nil"/>
              <w:bottom w:val="nil"/>
              <w:right w:val="nil"/>
            </w:tcBorders>
            <w:shd w:val="clear" w:color="auto" w:fill="auto"/>
            <w:vAlign w:val="center"/>
            <w:hideMark/>
          </w:tcPr>
          <w:p w14:paraId="2F0AF6F5" w14:textId="46CD2302" w:rsidR="00F56D39" w:rsidRPr="00005453" w:rsidRDefault="00F56D39" w:rsidP="00F56D39">
            <w:pPr>
              <w:jc w:val="right"/>
              <w:rPr>
                <w:sz w:val="14"/>
                <w:szCs w:val="14"/>
                <w:lang w:eastAsia="tr-TR"/>
              </w:rPr>
            </w:pPr>
            <w:r w:rsidRPr="00005453">
              <w:rPr>
                <w:sz w:val="14"/>
                <w:szCs w:val="22"/>
              </w:rPr>
              <w:t>30,787</w:t>
            </w:r>
          </w:p>
        </w:tc>
        <w:tc>
          <w:tcPr>
            <w:tcW w:w="634" w:type="dxa"/>
            <w:tcBorders>
              <w:top w:val="nil"/>
              <w:left w:val="nil"/>
              <w:bottom w:val="nil"/>
              <w:right w:val="nil"/>
            </w:tcBorders>
            <w:shd w:val="clear" w:color="auto" w:fill="auto"/>
            <w:vAlign w:val="center"/>
            <w:hideMark/>
          </w:tcPr>
          <w:p w14:paraId="52B0EE05" w14:textId="085B2206"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8A80790" w14:textId="2C6B2390" w:rsidR="00F56D39" w:rsidRPr="00005453" w:rsidRDefault="00F56D39" w:rsidP="00F56D39">
            <w:pPr>
              <w:jc w:val="right"/>
              <w:rPr>
                <w:sz w:val="14"/>
                <w:szCs w:val="14"/>
                <w:lang w:eastAsia="tr-TR"/>
              </w:rPr>
            </w:pPr>
            <w:r w:rsidRPr="00005453">
              <w:rPr>
                <w:sz w:val="14"/>
                <w:szCs w:val="22"/>
              </w:rPr>
              <w:t>69,387</w:t>
            </w:r>
          </w:p>
        </w:tc>
        <w:tc>
          <w:tcPr>
            <w:tcW w:w="727" w:type="dxa"/>
            <w:tcBorders>
              <w:top w:val="nil"/>
              <w:left w:val="nil"/>
              <w:bottom w:val="nil"/>
              <w:right w:val="nil"/>
            </w:tcBorders>
            <w:shd w:val="clear" w:color="auto" w:fill="auto"/>
            <w:vAlign w:val="center"/>
            <w:hideMark/>
          </w:tcPr>
          <w:p w14:paraId="1136FFAC" w14:textId="26BBF36A"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05FB3398" w14:textId="2DF5E6D6"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10F6F3FC" w14:textId="60A355E2" w:rsidR="00F56D39" w:rsidRPr="00005453" w:rsidRDefault="00F56D39" w:rsidP="00F56D39">
            <w:pPr>
              <w:jc w:val="right"/>
              <w:rPr>
                <w:sz w:val="14"/>
                <w:szCs w:val="14"/>
                <w:lang w:eastAsia="tr-TR"/>
              </w:rPr>
            </w:pPr>
            <w:r w:rsidRPr="00005453">
              <w:rPr>
                <w:sz w:val="14"/>
                <w:szCs w:val="22"/>
              </w:rPr>
              <w:t>639,406</w:t>
            </w:r>
          </w:p>
        </w:tc>
      </w:tr>
      <w:tr w:rsidR="00F56D39" w:rsidRPr="00005453" w14:paraId="6EF00EB5"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6D7D99A3"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067BFF20" w14:textId="5087EB37"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5DF71A4F" w14:textId="7C509E21"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6BB91E91" w14:textId="1B746D30" w:rsidR="00F56D39" w:rsidRPr="00005453" w:rsidRDefault="00F56D39" w:rsidP="00F56D39">
            <w:pPr>
              <w:jc w:val="right"/>
              <w:rPr>
                <w:sz w:val="14"/>
                <w:szCs w:val="14"/>
                <w:lang w:eastAsia="tr-TR"/>
              </w:rPr>
            </w:pPr>
            <w:r w:rsidRPr="00005453">
              <w:rPr>
                <w:sz w:val="14"/>
                <w:szCs w:val="22"/>
              </w:rPr>
              <w:t>44</w:t>
            </w:r>
          </w:p>
        </w:tc>
        <w:tc>
          <w:tcPr>
            <w:tcW w:w="770" w:type="dxa"/>
            <w:tcBorders>
              <w:top w:val="nil"/>
              <w:left w:val="nil"/>
              <w:bottom w:val="nil"/>
              <w:right w:val="nil"/>
            </w:tcBorders>
            <w:shd w:val="clear" w:color="auto" w:fill="auto"/>
            <w:vAlign w:val="center"/>
            <w:hideMark/>
          </w:tcPr>
          <w:p w14:paraId="37D680A9" w14:textId="3FF57433"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3B12A119" w14:textId="760FE827"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54BAFD6B" w14:textId="473B7D80"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2498DAB3" w14:textId="53AB7F9D"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170ABCED" w14:textId="6BDB67E2"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11FE96E8" w14:textId="706B2939" w:rsidR="00F56D39" w:rsidRPr="00005453" w:rsidRDefault="00F56D39" w:rsidP="00F56D39">
            <w:pPr>
              <w:jc w:val="right"/>
              <w:rPr>
                <w:sz w:val="14"/>
                <w:szCs w:val="14"/>
                <w:lang w:eastAsia="tr-TR"/>
              </w:rPr>
            </w:pPr>
            <w:r w:rsidRPr="00005453">
              <w:rPr>
                <w:sz w:val="14"/>
                <w:szCs w:val="22"/>
              </w:rPr>
              <w:t>44</w:t>
            </w:r>
          </w:p>
        </w:tc>
      </w:tr>
      <w:tr w:rsidR="00F56D39" w:rsidRPr="00005453" w14:paraId="75007183" w14:textId="77777777" w:rsidTr="00B43506">
        <w:trPr>
          <w:divId w:val="617109764"/>
          <w:trHeight w:val="142"/>
        </w:trPr>
        <w:tc>
          <w:tcPr>
            <w:tcW w:w="2654" w:type="dxa"/>
            <w:tcBorders>
              <w:top w:val="nil"/>
              <w:left w:val="nil"/>
              <w:bottom w:val="nil"/>
              <w:right w:val="nil"/>
            </w:tcBorders>
            <w:shd w:val="clear" w:color="auto" w:fill="auto"/>
            <w:vAlign w:val="center"/>
            <w:hideMark/>
          </w:tcPr>
          <w:p w14:paraId="0A711A16"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V.Özel cari hesabı gerçek kişi ticari olmayan-YP</w:t>
            </w:r>
          </w:p>
        </w:tc>
        <w:tc>
          <w:tcPr>
            <w:tcW w:w="845" w:type="dxa"/>
            <w:tcBorders>
              <w:top w:val="nil"/>
              <w:left w:val="nil"/>
              <w:bottom w:val="nil"/>
              <w:right w:val="nil"/>
            </w:tcBorders>
            <w:shd w:val="clear" w:color="auto" w:fill="auto"/>
            <w:vAlign w:val="center"/>
            <w:hideMark/>
          </w:tcPr>
          <w:p w14:paraId="300279DC" w14:textId="1A324EA3" w:rsidR="00F56D39" w:rsidRPr="00005453" w:rsidRDefault="00F56D39" w:rsidP="00F56D39">
            <w:pPr>
              <w:jc w:val="right"/>
              <w:rPr>
                <w:b/>
                <w:sz w:val="14"/>
                <w:szCs w:val="14"/>
                <w:lang w:eastAsia="tr-TR"/>
              </w:rPr>
            </w:pPr>
            <w:r w:rsidRPr="00005453">
              <w:rPr>
                <w:b/>
                <w:bCs/>
                <w:sz w:val="14"/>
                <w:szCs w:val="22"/>
              </w:rPr>
              <w:t>95,969,664</w:t>
            </w:r>
          </w:p>
        </w:tc>
        <w:tc>
          <w:tcPr>
            <w:tcW w:w="790" w:type="dxa"/>
            <w:tcBorders>
              <w:top w:val="nil"/>
              <w:left w:val="nil"/>
              <w:bottom w:val="nil"/>
              <w:right w:val="nil"/>
            </w:tcBorders>
            <w:shd w:val="clear" w:color="auto" w:fill="auto"/>
            <w:vAlign w:val="center"/>
            <w:hideMark/>
          </w:tcPr>
          <w:p w14:paraId="6A09CBC7" w14:textId="62DAC610" w:rsidR="00F56D39" w:rsidRPr="00005453" w:rsidRDefault="00F56D39" w:rsidP="00F56D39">
            <w:pPr>
              <w:jc w:val="right"/>
              <w:rPr>
                <w:b/>
                <w:sz w:val="14"/>
                <w:szCs w:val="14"/>
                <w:lang w:eastAsia="tr-TR"/>
              </w:rPr>
            </w:pPr>
            <w:r w:rsidRPr="00005453">
              <w:rPr>
                <w:b/>
                <w:bCs/>
                <w:sz w:val="14"/>
                <w:szCs w:val="22"/>
              </w:rPr>
              <w:t>-</w:t>
            </w:r>
          </w:p>
        </w:tc>
        <w:tc>
          <w:tcPr>
            <w:tcW w:w="840" w:type="dxa"/>
            <w:tcBorders>
              <w:top w:val="nil"/>
              <w:left w:val="nil"/>
              <w:bottom w:val="nil"/>
              <w:right w:val="nil"/>
            </w:tcBorders>
            <w:shd w:val="clear" w:color="auto" w:fill="auto"/>
            <w:vAlign w:val="center"/>
            <w:hideMark/>
          </w:tcPr>
          <w:p w14:paraId="14DB8FDA" w14:textId="13725E00" w:rsidR="00F56D39" w:rsidRPr="00005453" w:rsidRDefault="00F56D39" w:rsidP="00F56D39">
            <w:pPr>
              <w:jc w:val="right"/>
              <w:rPr>
                <w:b/>
                <w:sz w:val="14"/>
                <w:szCs w:val="14"/>
                <w:lang w:eastAsia="tr-TR"/>
              </w:rPr>
            </w:pPr>
            <w:r w:rsidRPr="00005453">
              <w:rPr>
                <w:b/>
                <w:bCs/>
                <w:sz w:val="14"/>
                <w:szCs w:val="22"/>
              </w:rPr>
              <w:t>-</w:t>
            </w:r>
          </w:p>
        </w:tc>
        <w:tc>
          <w:tcPr>
            <w:tcW w:w="770" w:type="dxa"/>
            <w:tcBorders>
              <w:top w:val="nil"/>
              <w:left w:val="nil"/>
              <w:bottom w:val="nil"/>
              <w:right w:val="nil"/>
            </w:tcBorders>
            <w:shd w:val="clear" w:color="auto" w:fill="auto"/>
            <w:vAlign w:val="center"/>
            <w:hideMark/>
          </w:tcPr>
          <w:p w14:paraId="462A49A7" w14:textId="2979D83C" w:rsidR="00F56D39" w:rsidRPr="00005453" w:rsidRDefault="00F56D39" w:rsidP="00F56D39">
            <w:pPr>
              <w:jc w:val="right"/>
              <w:rPr>
                <w:b/>
                <w:sz w:val="14"/>
                <w:szCs w:val="14"/>
                <w:lang w:eastAsia="tr-TR"/>
              </w:rPr>
            </w:pPr>
            <w:r w:rsidRPr="00005453">
              <w:rPr>
                <w:b/>
                <w:bCs/>
                <w:sz w:val="14"/>
                <w:szCs w:val="22"/>
              </w:rPr>
              <w:t>-</w:t>
            </w:r>
          </w:p>
        </w:tc>
        <w:tc>
          <w:tcPr>
            <w:tcW w:w="634" w:type="dxa"/>
            <w:tcBorders>
              <w:top w:val="nil"/>
              <w:left w:val="nil"/>
              <w:bottom w:val="nil"/>
              <w:right w:val="nil"/>
            </w:tcBorders>
            <w:shd w:val="clear" w:color="auto" w:fill="auto"/>
            <w:vAlign w:val="center"/>
            <w:hideMark/>
          </w:tcPr>
          <w:p w14:paraId="5F5872FE" w14:textId="57D9EEAB"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5F40669E" w14:textId="21B0E27C" w:rsidR="00F56D39" w:rsidRPr="00005453" w:rsidRDefault="00F56D39" w:rsidP="00F56D39">
            <w:pPr>
              <w:jc w:val="right"/>
              <w:rPr>
                <w:b/>
                <w:sz w:val="14"/>
                <w:szCs w:val="14"/>
                <w:lang w:eastAsia="tr-TR"/>
              </w:rPr>
            </w:pPr>
            <w:r w:rsidRPr="00005453">
              <w:rPr>
                <w:b/>
                <w:bCs/>
                <w:sz w:val="14"/>
                <w:szCs w:val="22"/>
              </w:rPr>
              <w:t>-</w:t>
            </w:r>
          </w:p>
        </w:tc>
        <w:tc>
          <w:tcPr>
            <w:tcW w:w="727" w:type="dxa"/>
            <w:tcBorders>
              <w:top w:val="nil"/>
              <w:left w:val="nil"/>
              <w:bottom w:val="nil"/>
              <w:right w:val="nil"/>
            </w:tcBorders>
            <w:shd w:val="clear" w:color="auto" w:fill="auto"/>
            <w:vAlign w:val="center"/>
            <w:hideMark/>
          </w:tcPr>
          <w:p w14:paraId="44ADAE43" w14:textId="47618CE1" w:rsidR="00F56D39" w:rsidRPr="00005453" w:rsidRDefault="00F56D39" w:rsidP="00F56D39">
            <w:pPr>
              <w:jc w:val="right"/>
              <w:rPr>
                <w:b/>
                <w:sz w:val="14"/>
                <w:szCs w:val="14"/>
                <w:lang w:eastAsia="tr-TR"/>
              </w:rPr>
            </w:pPr>
            <w:r w:rsidRPr="00005453">
              <w:rPr>
                <w:b/>
                <w:bCs/>
                <w:sz w:val="14"/>
                <w:szCs w:val="22"/>
              </w:rPr>
              <w:t>-</w:t>
            </w:r>
          </w:p>
        </w:tc>
        <w:tc>
          <w:tcPr>
            <w:tcW w:w="699" w:type="dxa"/>
            <w:tcBorders>
              <w:top w:val="nil"/>
              <w:left w:val="nil"/>
              <w:bottom w:val="nil"/>
              <w:right w:val="nil"/>
            </w:tcBorders>
            <w:shd w:val="clear" w:color="auto" w:fill="auto"/>
            <w:vAlign w:val="center"/>
            <w:hideMark/>
          </w:tcPr>
          <w:p w14:paraId="56032BA3" w14:textId="69DF88EB" w:rsidR="00F56D39" w:rsidRPr="00005453" w:rsidRDefault="00F56D39" w:rsidP="00F56D39">
            <w:pPr>
              <w:jc w:val="right"/>
              <w:rPr>
                <w:b/>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52ADEA40" w14:textId="3E8A97D3" w:rsidR="00F56D39" w:rsidRPr="00005453" w:rsidRDefault="00F56D39" w:rsidP="00F56D39">
            <w:pPr>
              <w:jc w:val="right"/>
              <w:rPr>
                <w:b/>
                <w:sz w:val="14"/>
                <w:szCs w:val="14"/>
                <w:lang w:eastAsia="tr-TR"/>
              </w:rPr>
            </w:pPr>
            <w:r w:rsidRPr="00005453">
              <w:rPr>
                <w:b/>
                <w:bCs/>
                <w:sz w:val="14"/>
                <w:szCs w:val="22"/>
              </w:rPr>
              <w:t>95,969,664</w:t>
            </w:r>
          </w:p>
        </w:tc>
      </w:tr>
      <w:tr w:rsidR="00F56D39" w:rsidRPr="00005453" w14:paraId="5E0297EB" w14:textId="77777777" w:rsidTr="00B43506">
        <w:trPr>
          <w:divId w:val="617109764"/>
          <w:trHeight w:val="142"/>
        </w:trPr>
        <w:tc>
          <w:tcPr>
            <w:tcW w:w="2654" w:type="dxa"/>
            <w:tcBorders>
              <w:top w:val="nil"/>
              <w:left w:val="nil"/>
              <w:bottom w:val="nil"/>
              <w:right w:val="nil"/>
            </w:tcBorders>
            <w:shd w:val="clear" w:color="auto" w:fill="auto"/>
            <w:vAlign w:val="center"/>
            <w:hideMark/>
          </w:tcPr>
          <w:p w14:paraId="2D0FADBF"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VI. Katılma hesabı gerçek kişi ticari olmayan-YP</w:t>
            </w:r>
          </w:p>
        </w:tc>
        <w:tc>
          <w:tcPr>
            <w:tcW w:w="845" w:type="dxa"/>
            <w:tcBorders>
              <w:top w:val="nil"/>
              <w:left w:val="nil"/>
              <w:bottom w:val="nil"/>
              <w:right w:val="nil"/>
            </w:tcBorders>
            <w:shd w:val="clear" w:color="auto" w:fill="auto"/>
            <w:vAlign w:val="center"/>
            <w:hideMark/>
          </w:tcPr>
          <w:p w14:paraId="4D89354E" w14:textId="272F73CC" w:rsidR="00F56D39" w:rsidRPr="00005453" w:rsidRDefault="00F56D39" w:rsidP="00F56D39">
            <w:pPr>
              <w:jc w:val="right"/>
              <w:rPr>
                <w:b/>
                <w:sz w:val="14"/>
                <w:szCs w:val="14"/>
                <w:lang w:eastAsia="tr-TR"/>
              </w:rPr>
            </w:pPr>
            <w:r w:rsidRPr="00005453">
              <w:rPr>
                <w:b/>
                <w:bCs/>
                <w:sz w:val="14"/>
                <w:szCs w:val="22"/>
              </w:rPr>
              <w:t>-</w:t>
            </w:r>
          </w:p>
        </w:tc>
        <w:tc>
          <w:tcPr>
            <w:tcW w:w="790" w:type="dxa"/>
            <w:tcBorders>
              <w:top w:val="nil"/>
              <w:left w:val="nil"/>
              <w:bottom w:val="nil"/>
              <w:right w:val="nil"/>
            </w:tcBorders>
            <w:shd w:val="clear" w:color="auto" w:fill="auto"/>
            <w:vAlign w:val="center"/>
            <w:hideMark/>
          </w:tcPr>
          <w:p w14:paraId="23CEBEAA" w14:textId="7F80E551" w:rsidR="00F56D39" w:rsidRPr="00005453" w:rsidRDefault="00F56D39" w:rsidP="00F56D39">
            <w:pPr>
              <w:jc w:val="right"/>
              <w:rPr>
                <w:b/>
                <w:sz w:val="14"/>
                <w:szCs w:val="14"/>
                <w:lang w:eastAsia="tr-TR"/>
              </w:rPr>
            </w:pPr>
            <w:r w:rsidRPr="00005453">
              <w:rPr>
                <w:b/>
                <w:bCs/>
                <w:sz w:val="14"/>
                <w:szCs w:val="22"/>
              </w:rPr>
              <w:t>13,469,602</w:t>
            </w:r>
          </w:p>
        </w:tc>
        <w:tc>
          <w:tcPr>
            <w:tcW w:w="840" w:type="dxa"/>
            <w:tcBorders>
              <w:top w:val="nil"/>
              <w:left w:val="nil"/>
              <w:bottom w:val="nil"/>
              <w:right w:val="nil"/>
            </w:tcBorders>
            <w:shd w:val="clear" w:color="auto" w:fill="auto"/>
            <w:vAlign w:val="center"/>
            <w:hideMark/>
          </w:tcPr>
          <w:p w14:paraId="4D75449E" w14:textId="4C958F11" w:rsidR="00F56D39" w:rsidRPr="00005453" w:rsidRDefault="00F56D39" w:rsidP="00F56D39">
            <w:pPr>
              <w:jc w:val="right"/>
              <w:rPr>
                <w:b/>
                <w:sz w:val="14"/>
                <w:szCs w:val="14"/>
                <w:lang w:eastAsia="tr-TR"/>
              </w:rPr>
            </w:pPr>
            <w:r w:rsidRPr="00005453">
              <w:rPr>
                <w:b/>
                <w:bCs/>
                <w:sz w:val="14"/>
                <w:szCs w:val="22"/>
              </w:rPr>
              <w:t>15,553,725</w:t>
            </w:r>
          </w:p>
        </w:tc>
        <w:tc>
          <w:tcPr>
            <w:tcW w:w="770" w:type="dxa"/>
            <w:tcBorders>
              <w:top w:val="nil"/>
              <w:left w:val="nil"/>
              <w:bottom w:val="nil"/>
              <w:right w:val="nil"/>
            </w:tcBorders>
            <w:shd w:val="clear" w:color="auto" w:fill="auto"/>
            <w:vAlign w:val="center"/>
            <w:hideMark/>
          </w:tcPr>
          <w:p w14:paraId="26D63878" w14:textId="749BEDB4" w:rsidR="00F56D39" w:rsidRPr="00005453" w:rsidRDefault="00F56D39" w:rsidP="00F56D39">
            <w:pPr>
              <w:jc w:val="right"/>
              <w:rPr>
                <w:b/>
                <w:sz w:val="14"/>
                <w:szCs w:val="14"/>
                <w:lang w:eastAsia="tr-TR"/>
              </w:rPr>
            </w:pPr>
            <w:r w:rsidRPr="00005453">
              <w:rPr>
                <w:b/>
                <w:bCs/>
                <w:sz w:val="14"/>
                <w:szCs w:val="22"/>
              </w:rPr>
              <w:t>1,495,889</w:t>
            </w:r>
          </w:p>
        </w:tc>
        <w:tc>
          <w:tcPr>
            <w:tcW w:w="634" w:type="dxa"/>
            <w:tcBorders>
              <w:top w:val="nil"/>
              <w:left w:val="nil"/>
              <w:bottom w:val="nil"/>
              <w:right w:val="nil"/>
            </w:tcBorders>
            <w:shd w:val="clear" w:color="auto" w:fill="auto"/>
            <w:vAlign w:val="center"/>
            <w:hideMark/>
          </w:tcPr>
          <w:p w14:paraId="0341099F" w14:textId="62CF3363"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711ACAD0" w14:textId="2C19DC88" w:rsidR="00F56D39" w:rsidRPr="00005453" w:rsidRDefault="00F56D39" w:rsidP="00F56D39">
            <w:pPr>
              <w:jc w:val="right"/>
              <w:rPr>
                <w:b/>
                <w:sz w:val="14"/>
                <w:szCs w:val="14"/>
                <w:lang w:eastAsia="tr-TR"/>
              </w:rPr>
            </w:pPr>
            <w:r w:rsidRPr="00005453">
              <w:rPr>
                <w:b/>
                <w:bCs/>
                <w:sz w:val="14"/>
                <w:szCs w:val="22"/>
              </w:rPr>
              <w:t>1,753,498</w:t>
            </w:r>
          </w:p>
        </w:tc>
        <w:tc>
          <w:tcPr>
            <w:tcW w:w="727" w:type="dxa"/>
            <w:tcBorders>
              <w:top w:val="nil"/>
              <w:left w:val="nil"/>
              <w:bottom w:val="nil"/>
              <w:right w:val="nil"/>
            </w:tcBorders>
            <w:shd w:val="clear" w:color="auto" w:fill="auto"/>
            <w:vAlign w:val="center"/>
            <w:hideMark/>
          </w:tcPr>
          <w:p w14:paraId="2BE3744B" w14:textId="40F7C9CF" w:rsidR="00F56D39" w:rsidRPr="00005453" w:rsidRDefault="00F56D39" w:rsidP="00F56D39">
            <w:pPr>
              <w:jc w:val="right"/>
              <w:rPr>
                <w:b/>
                <w:sz w:val="14"/>
                <w:szCs w:val="14"/>
                <w:lang w:eastAsia="tr-TR"/>
              </w:rPr>
            </w:pPr>
            <w:r w:rsidRPr="00005453">
              <w:rPr>
                <w:b/>
                <w:bCs/>
                <w:sz w:val="14"/>
                <w:szCs w:val="22"/>
              </w:rPr>
              <w:t>1,753,540</w:t>
            </w:r>
          </w:p>
        </w:tc>
        <w:tc>
          <w:tcPr>
            <w:tcW w:w="699" w:type="dxa"/>
            <w:tcBorders>
              <w:top w:val="nil"/>
              <w:left w:val="nil"/>
              <w:bottom w:val="nil"/>
              <w:right w:val="nil"/>
            </w:tcBorders>
            <w:shd w:val="clear" w:color="auto" w:fill="auto"/>
            <w:vAlign w:val="center"/>
            <w:hideMark/>
          </w:tcPr>
          <w:p w14:paraId="4FF12CD9" w14:textId="65522D94" w:rsidR="00F56D39" w:rsidRPr="00005453" w:rsidRDefault="00F56D39" w:rsidP="00F56D39">
            <w:pPr>
              <w:jc w:val="right"/>
              <w:rPr>
                <w:b/>
                <w:sz w:val="14"/>
                <w:szCs w:val="14"/>
                <w:lang w:eastAsia="tr-TR"/>
              </w:rPr>
            </w:pPr>
            <w:r w:rsidRPr="00005453">
              <w:rPr>
                <w:b/>
                <w:bCs/>
                <w:sz w:val="14"/>
                <w:szCs w:val="22"/>
              </w:rPr>
              <w:t>21,015</w:t>
            </w:r>
          </w:p>
        </w:tc>
        <w:tc>
          <w:tcPr>
            <w:tcW w:w="845" w:type="dxa"/>
            <w:tcBorders>
              <w:top w:val="nil"/>
              <w:left w:val="nil"/>
              <w:bottom w:val="nil"/>
              <w:right w:val="nil"/>
            </w:tcBorders>
            <w:shd w:val="clear" w:color="auto" w:fill="auto"/>
            <w:vAlign w:val="center"/>
            <w:hideMark/>
          </w:tcPr>
          <w:p w14:paraId="7252653C" w14:textId="7AA2328E" w:rsidR="00F56D39" w:rsidRPr="00005453" w:rsidRDefault="00F56D39" w:rsidP="00F56D39">
            <w:pPr>
              <w:jc w:val="right"/>
              <w:rPr>
                <w:b/>
                <w:sz w:val="14"/>
                <w:szCs w:val="14"/>
                <w:lang w:eastAsia="tr-TR"/>
              </w:rPr>
            </w:pPr>
            <w:r w:rsidRPr="00005453">
              <w:rPr>
                <w:b/>
                <w:bCs/>
                <w:sz w:val="14"/>
                <w:szCs w:val="22"/>
              </w:rPr>
              <w:t>34,047,269</w:t>
            </w:r>
          </w:p>
        </w:tc>
      </w:tr>
      <w:tr w:rsidR="00F56D39" w:rsidRPr="00005453" w14:paraId="388BA1A4"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248B0C95"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VII. Özel cari hesaplar diğer-YP</w:t>
            </w:r>
          </w:p>
        </w:tc>
        <w:tc>
          <w:tcPr>
            <w:tcW w:w="845" w:type="dxa"/>
            <w:tcBorders>
              <w:top w:val="nil"/>
              <w:left w:val="nil"/>
              <w:bottom w:val="nil"/>
              <w:right w:val="nil"/>
            </w:tcBorders>
            <w:shd w:val="clear" w:color="auto" w:fill="auto"/>
            <w:vAlign w:val="center"/>
            <w:hideMark/>
          </w:tcPr>
          <w:p w14:paraId="056E6D6D" w14:textId="651B50BB" w:rsidR="00F56D39" w:rsidRPr="00005453" w:rsidRDefault="00F56D39" w:rsidP="00F56D39">
            <w:pPr>
              <w:jc w:val="right"/>
              <w:rPr>
                <w:b/>
                <w:sz w:val="14"/>
                <w:szCs w:val="14"/>
                <w:lang w:eastAsia="tr-TR"/>
              </w:rPr>
            </w:pPr>
            <w:r w:rsidRPr="00005453">
              <w:rPr>
                <w:b/>
                <w:bCs/>
                <w:sz w:val="14"/>
                <w:szCs w:val="22"/>
              </w:rPr>
              <w:t>36,154,741</w:t>
            </w:r>
          </w:p>
        </w:tc>
        <w:tc>
          <w:tcPr>
            <w:tcW w:w="790" w:type="dxa"/>
            <w:tcBorders>
              <w:top w:val="nil"/>
              <w:left w:val="nil"/>
              <w:bottom w:val="nil"/>
              <w:right w:val="nil"/>
            </w:tcBorders>
            <w:shd w:val="clear" w:color="auto" w:fill="auto"/>
            <w:vAlign w:val="center"/>
            <w:hideMark/>
          </w:tcPr>
          <w:p w14:paraId="78689209" w14:textId="46F2ACDA" w:rsidR="00F56D39" w:rsidRPr="00005453" w:rsidRDefault="00F56D39" w:rsidP="00F56D39">
            <w:pPr>
              <w:jc w:val="right"/>
              <w:rPr>
                <w:b/>
                <w:sz w:val="14"/>
                <w:szCs w:val="14"/>
                <w:lang w:eastAsia="tr-TR"/>
              </w:rPr>
            </w:pPr>
            <w:r w:rsidRPr="00005453">
              <w:rPr>
                <w:b/>
                <w:bCs/>
                <w:sz w:val="14"/>
                <w:szCs w:val="22"/>
              </w:rPr>
              <w:t>-</w:t>
            </w:r>
          </w:p>
        </w:tc>
        <w:tc>
          <w:tcPr>
            <w:tcW w:w="840" w:type="dxa"/>
            <w:tcBorders>
              <w:top w:val="nil"/>
              <w:left w:val="nil"/>
              <w:bottom w:val="nil"/>
              <w:right w:val="nil"/>
            </w:tcBorders>
            <w:shd w:val="clear" w:color="auto" w:fill="auto"/>
            <w:vAlign w:val="center"/>
            <w:hideMark/>
          </w:tcPr>
          <w:p w14:paraId="5EB76040" w14:textId="6D1FB058" w:rsidR="00F56D39" w:rsidRPr="00005453" w:rsidRDefault="00F56D39" w:rsidP="00F56D39">
            <w:pPr>
              <w:jc w:val="right"/>
              <w:rPr>
                <w:b/>
                <w:sz w:val="14"/>
                <w:szCs w:val="14"/>
                <w:lang w:eastAsia="tr-TR"/>
              </w:rPr>
            </w:pPr>
            <w:r w:rsidRPr="00005453">
              <w:rPr>
                <w:b/>
                <w:bCs/>
                <w:sz w:val="14"/>
                <w:szCs w:val="22"/>
              </w:rPr>
              <w:t>-</w:t>
            </w:r>
          </w:p>
        </w:tc>
        <w:tc>
          <w:tcPr>
            <w:tcW w:w="770" w:type="dxa"/>
            <w:tcBorders>
              <w:top w:val="nil"/>
              <w:left w:val="nil"/>
              <w:bottom w:val="nil"/>
              <w:right w:val="nil"/>
            </w:tcBorders>
            <w:shd w:val="clear" w:color="auto" w:fill="auto"/>
            <w:vAlign w:val="center"/>
            <w:hideMark/>
          </w:tcPr>
          <w:p w14:paraId="3BF45031" w14:textId="395CEB99" w:rsidR="00F56D39" w:rsidRPr="00005453" w:rsidRDefault="00F56D39" w:rsidP="00F56D39">
            <w:pPr>
              <w:jc w:val="right"/>
              <w:rPr>
                <w:b/>
                <w:sz w:val="14"/>
                <w:szCs w:val="14"/>
                <w:lang w:eastAsia="tr-TR"/>
              </w:rPr>
            </w:pPr>
            <w:r w:rsidRPr="00005453">
              <w:rPr>
                <w:b/>
                <w:bCs/>
                <w:sz w:val="14"/>
                <w:szCs w:val="22"/>
              </w:rPr>
              <w:t>-</w:t>
            </w:r>
          </w:p>
        </w:tc>
        <w:tc>
          <w:tcPr>
            <w:tcW w:w="634" w:type="dxa"/>
            <w:tcBorders>
              <w:top w:val="nil"/>
              <w:left w:val="nil"/>
              <w:bottom w:val="nil"/>
              <w:right w:val="nil"/>
            </w:tcBorders>
            <w:shd w:val="clear" w:color="auto" w:fill="auto"/>
            <w:vAlign w:val="center"/>
            <w:hideMark/>
          </w:tcPr>
          <w:p w14:paraId="26B53295" w14:textId="3CCF694A"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10623C3F" w14:textId="36497259" w:rsidR="00F56D39" w:rsidRPr="00005453" w:rsidRDefault="00F56D39" w:rsidP="00F56D39">
            <w:pPr>
              <w:jc w:val="right"/>
              <w:rPr>
                <w:b/>
                <w:sz w:val="14"/>
                <w:szCs w:val="14"/>
                <w:lang w:eastAsia="tr-TR"/>
              </w:rPr>
            </w:pPr>
            <w:r w:rsidRPr="00005453">
              <w:rPr>
                <w:b/>
                <w:bCs/>
                <w:sz w:val="14"/>
                <w:szCs w:val="22"/>
              </w:rPr>
              <w:t>-</w:t>
            </w:r>
          </w:p>
        </w:tc>
        <w:tc>
          <w:tcPr>
            <w:tcW w:w="727" w:type="dxa"/>
            <w:tcBorders>
              <w:top w:val="nil"/>
              <w:left w:val="nil"/>
              <w:bottom w:val="nil"/>
              <w:right w:val="nil"/>
            </w:tcBorders>
            <w:shd w:val="clear" w:color="auto" w:fill="auto"/>
            <w:vAlign w:val="center"/>
            <w:hideMark/>
          </w:tcPr>
          <w:p w14:paraId="23AE069E" w14:textId="39DC8613" w:rsidR="00F56D39" w:rsidRPr="00005453" w:rsidRDefault="00F56D39" w:rsidP="00F56D39">
            <w:pPr>
              <w:jc w:val="right"/>
              <w:rPr>
                <w:b/>
                <w:sz w:val="14"/>
                <w:szCs w:val="14"/>
                <w:lang w:eastAsia="tr-TR"/>
              </w:rPr>
            </w:pPr>
            <w:r w:rsidRPr="00005453">
              <w:rPr>
                <w:b/>
                <w:bCs/>
                <w:sz w:val="14"/>
                <w:szCs w:val="22"/>
              </w:rPr>
              <w:t>-</w:t>
            </w:r>
          </w:p>
        </w:tc>
        <w:tc>
          <w:tcPr>
            <w:tcW w:w="699" w:type="dxa"/>
            <w:tcBorders>
              <w:top w:val="nil"/>
              <w:left w:val="nil"/>
              <w:bottom w:val="nil"/>
              <w:right w:val="nil"/>
            </w:tcBorders>
            <w:shd w:val="clear" w:color="auto" w:fill="auto"/>
            <w:vAlign w:val="center"/>
            <w:hideMark/>
          </w:tcPr>
          <w:p w14:paraId="6640AB0C" w14:textId="7CA3DBF3" w:rsidR="00F56D39" w:rsidRPr="00005453" w:rsidRDefault="00F56D39" w:rsidP="00F56D39">
            <w:pPr>
              <w:jc w:val="right"/>
              <w:rPr>
                <w:b/>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59EEC86B" w14:textId="0AA94681" w:rsidR="00F56D39" w:rsidRPr="00005453" w:rsidRDefault="00F56D39" w:rsidP="00F56D39">
            <w:pPr>
              <w:jc w:val="right"/>
              <w:rPr>
                <w:b/>
                <w:sz w:val="14"/>
                <w:szCs w:val="14"/>
                <w:lang w:eastAsia="tr-TR"/>
              </w:rPr>
            </w:pPr>
            <w:r w:rsidRPr="00005453">
              <w:rPr>
                <w:b/>
                <w:bCs/>
                <w:sz w:val="14"/>
                <w:szCs w:val="22"/>
              </w:rPr>
              <w:t>36,154,741</w:t>
            </w:r>
          </w:p>
        </w:tc>
      </w:tr>
      <w:tr w:rsidR="00F56D39" w:rsidRPr="00005453" w14:paraId="45A9B4BD" w14:textId="77777777" w:rsidTr="00B43506">
        <w:trPr>
          <w:divId w:val="617109764"/>
          <w:trHeight w:val="66"/>
        </w:trPr>
        <w:tc>
          <w:tcPr>
            <w:tcW w:w="2654" w:type="dxa"/>
            <w:tcBorders>
              <w:top w:val="nil"/>
              <w:left w:val="nil"/>
              <w:bottom w:val="nil"/>
              <w:right w:val="nil"/>
            </w:tcBorders>
            <w:shd w:val="clear" w:color="auto" w:fill="auto"/>
            <w:vAlign w:val="center"/>
            <w:hideMark/>
          </w:tcPr>
          <w:p w14:paraId="5FC4D237" w14:textId="77777777" w:rsidR="00F56D39" w:rsidRPr="00005453" w:rsidRDefault="00F56D39" w:rsidP="00F56D39">
            <w:pPr>
              <w:ind w:firstLineChars="100" w:firstLine="140"/>
              <w:rPr>
                <w:color w:val="000000"/>
                <w:sz w:val="14"/>
                <w:szCs w:val="14"/>
                <w:lang w:eastAsia="tr-TR"/>
              </w:rPr>
            </w:pPr>
            <w:r w:rsidRPr="00005453">
              <w:rPr>
                <w:color w:val="000000"/>
                <w:sz w:val="14"/>
                <w:szCs w:val="14"/>
                <w:lang w:eastAsia="tr-TR"/>
              </w:rPr>
              <w:t>Yurt içinde yer. Tüzel</w:t>
            </w:r>
          </w:p>
        </w:tc>
        <w:tc>
          <w:tcPr>
            <w:tcW w:w="845" w:type="dxa"/>
            <w:tcBorders>
              <w:top w:val="nil"/>
              <w:left w:val="nil"/>
              <w:bottom w:val="nil"/>
              <w:right w:val="nil"/>
            </w:tcBorders>
            <w:shd w:val="clear" w:color="auto" w:fill="auto"/>
            <w:vAlign w:val="center"/>
            <w:hideMark/>
          </w:tcPr>
          <w:p w14:paraId="1CC16651" w14:textId="4A854221" w:rsidR="00F56D39" w:rsidRPr="00005453" w:rsidRDefault="00F56D39" w:rsidP="00F56D39">
            <w:pPr>
              <w:jc w:val="right"/>
              <w:rPr>
                <w:sz w:val="14"/>
                <w:szCs w:val="14"/>
                <w:lang w:eastAsia="tr-TR"/>
              </w:rPr>
            </w:pPr>
            <w:r w:rsidRPr="00005453">
              <w:rPr>
                <w:sz w:val="14"/>
                <w:szCs w:val="22"/>
              </w:rPr>
              <w:t>31,932,443</w:t>
            </w:r>
          </w:p>
        </w:tc>
        <w:tc>
          <w:tcPr>
            <w:tcW w:w="790" w:type="dxa"/>
            <w:tcBorders>
              <w:top w:val="nil"/>
              <w:left w:val="nil"/>
              <w:bottom w:val="nil"/>
              <w:right w:val="nil"/>
            </w:tcBorders>
            <w:shd w:val="clear" w:color="auto" w:fill="auto"/>
            <w:vAlign w:val="center"/>
            <w:hideMark/>
          </w:tcPr>
          <w:p w14:paraId="427EFF34" w14:textId="35BE9798"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1D113633" w14:textId="53310FAC"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385900DE" w14:textId="6D70B4B8"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49832348" w14:textId="6C41A1A4"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46ED6ACE" w14:textId="19C62B58"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1D273F06" w14:textId="6E9612A8"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05A98906" w14:textId="2C70509F"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53FA555D" w14:textId="668943F4" w:rsidR="00F56D39" w:rsidRPr="00005453" w:rsidRDefault="00F56D39" w:rsidP="00F56D39">
            <w:pPr>
              <w:jc w:val="right"/>
              <w:rPr>
                <w:sz w:val="14"/>
                <w:szCs w:val="14"/>
                <w:lang w:eastAsia="tr-TR"/>
              </w:rPr>
            </w:pPr>
            <w:r w:rsidRPr="00005453">
              <w:rPr>
                <w:sz w:val="14"/>
                <w:szCs w:val="22"/>
              </w:rPr>
              <w:t>31,932,443</w:t>
            </w:r>
          </w:p>
        </w:tc>
      </w:tr>
      <w:tr w:rsidR="00F56D39" w:rsidRPr="00005453" w14:paraId="46A7B1F5" w14:textId="77777777" w:rsidTr="00B43506">
        <w:trPr>
          <w:divId w:val="617109764"/>
          <w:trHeight w:val="66"/>
        </w:trPr>
        <w:tc>
          <w:tcPr>
            <w:tcW w:w="2654" w:type="dxa"/>
            <w:tcBorders>
              <w:top w:val="nil"/>
              <w:left w:val="nil"/>
              <w:bottom w:val="nil"/>
              <w:right w:val="nil"/>
            </w:tcBorders>
            <w:shd w:val="clear" w:color="auto" w:fill="auto"/>
            <w:vAlign w:val="center"/>
            <w:hideMark/>
          </w:tcPr>
          <w:p w14:paraId="1A879C57" w14:textId="77777777" w:rsidR="00F56D39" w:rsidRPr="00005453" w:rsidRDefault="00F56D39" w:rsidP="00F56D39">
            <w:pPr>
              <w:ind w:firstLineChars="100" w:firstLine="140"/>
              <w:rPr>
                <w:color w:val="000000"/>
                <w:sz w:val="14"/>
                <w:szCs w:val="14"/>
                <w:lang w:eastAsia="tr-TR"/>
              </w:rPr>
            </w:pPr>
            <w:r w:rsidRPr="00005453">
              <w:rPr>
                <w:color w:val="000000"/>
                <w:sz w:val="14"/>
                <w:szCs w:val="14"/>
                <w:lang w:eastAsia="tr-TR"/>
              </w:rPr>
              <w:t>Yurt dışında yer. Tüzel</w:t>
            </w:r>
          </w:p>
        </w:tc>
        <w:tc>
          <w:tcPr>
            <w:tcW w:w="845" w:type="dxa"/>
            <w:tcBorders>
              <w:top w:val="nil"/>
              <w:left w:val="nil"/>
              <w:bottom w:val="nil"/>
              <w:right w:val="nil"/>
            </w:tcBorders>
            <w:shd w:val="clear" w:color="auto" w:fill="auto"/>
            <w:vAlign w:val="center"/>
            <w:hideMark/>
          </w:tcPr>
          <w:p w14:paraId="5F857BBD" w14:textId="2B276E06" w:rsidR="00F56D39" w:rsidRPr="00005453" w:rsidRDefault="00F56D39" w:rsidP="00F56D39">
            <w:pPr>
              <w:jc w:val="right"/>
              <w:rPr>
                <w:sz w:val="14"/>
                <w:szCs w:val="14"/>
                <w:lang w:eastAsia="tr-TR"/>
              </w:rPr>
            </w:pPr>
            <w:r w:rsidRPr="00005453">
              <w:rPr>
                <w:sz w:val="14"/>
                <w:szCs w:val="22"/>
              </w:rPr>
              <w:t>3,888,380</w:t>
            </w:r>
          </w:p>
        </w:tc>
        <w:tc>
          <w:tcPr>
            <w:tcW w:w="790" w:type="dxa"/>
            <w:tcBorders>
              <w:top w:val="nil"/>
              <w:left w:val="nil"/>
              <w:bottom w:val="nil"/>
              <w:right w:val="nil"/>
            </w:tcBorders>
            <w:shd w:val="clear" w:color="auto" w:fill="auto"/>
            <w:vAlign w:val="center"/>
            <w:hideMark/>
          </w:tcPr>
          <w:p w14:paraId="1EE8DC1A" w14:textId="07D4C538"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66508E23" w14:textId="49F30FA2"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3B69B380" w14:textId="2D9E3B5A"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611806B8" w14:textId="04252BBD"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71C6BD26" w14:textId="5726FD3F"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705341C1" w14:textId="3DCDD3C6"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450E7922" w14:textId="2FFBE76A"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5749D61B" w14:textId="365023D1" w:rsidR="00F56D39" w:rsidRPr="00005453" w:rsidRDefault="00F56D39" w:rsidP="00F56D39">
            <w:pPr>
              <w:jc w:val="right"/>
              <w:rPr>
                <w:sz w:val="14"/>
                <w:szCs w:val="14"/>
                <w:lang w:eastAsia="tr-TR"/>
              </w:rPr>
            </w:pPr>
            <w:r w:rsidRPr="00005453">
              <w:rPr>
                <w:sz w:val="14"/>
                <w:szCs w:val="22"/>
              </w:rPr>
              <w:t>3,888,380</w:t>
            </w:r>
          </w:p>
        </w:tc>
      </w:tr>
      <w:tr w:rsidR="00F56D39" w:rsidRPr="00005453" w14:paraId="635EB7CF" w14:textId="77777777" w:rsidTr="00B43506">
        <w:trPr>
          <w:divId w:val="617109764"/>
          <w:trHeight w:val="66"/>
        </w:trPr>
        <w:tc>
          <w:tcPr>
            <w:tcW w:w="2654" w:type="dxa"/>
            <w:tcBorders>
              <w:top w:val="nil"/>
              <w:left w:val="nil"/>
              <w:bottom w:val="nil"/>
              <w:right w:val="nil"/>
            </w:tcBorders>
            <w:shd w:val="clear" w:color="auto" w:fill="auto"/>
            <w:vAlign w:val="center"/>
            <w:hideMark/>
          </w:tcPr>
          <w:p w14:paraId="2A62F047"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30A89954" w14:textId="74154DFA" w:rsidR="00F56D39" w:rsidRPr="00005453" w:rsidRDefault="00F56D39" w:rsidP="00F56D39">
            <w:pPr>
              <w:jc w:val="right"/>
              <w:rPr>
                <w:sz w:val="14"/>
                <w:szCs w:val="14"/>
                <w:lang w:eastAsia="tr-TR"/>
              </w:rPr>
            </w:pPr>
            <w:r w:rsidRPr="00005453">
              <w:rPr>
                <w:b/>
                <w:bCs/>
                <w:sz w:val="14"/>
                <w:szCs w:val="22"/>
              </w:rPr>
              <w:t>333,918</w:t>
            </w:r>
          </w:p>
        </w:tc>
        <w:tc>
          <w:tcPr>
            <w:tcW w:w="790" w:type="dxa"/>
            <w:tcBorders>
              <w:top w:val="nil"/>
              <w:left w:val="nil"/>
              <w:bottom w:val="nil"/>
              <w:right w:val="nil"/>
            </w:tcBorders>
            <w:shd w:val="clear" w:color="auto" w:fill="auto"/>
            <w:vAlign w:val="center"/>
            <w:hideMark/>
          </w:tcPr>
          <w:p w14:paraId="4F0EF492" w14:textId="492144A3" w:rsidR="00F56D39" w:rsidRPr="00005453" w:rsidRDefault="00F56D39" w:rsidP="00F56D39">
            <w:pPr>
              <w:jc w:val="right"/>
              <w:rPr>
                <w:sz w:val="14"/>
                <w:szCs w:val="14"/>
                <w:lang w:eastAsia="tr-TR"/>
              </w:rPr>
            </w:pPr>
            <w:r w:rsidRPr="00005453">
              <w:rPr>
                <w:b/>
                <w:bCs/>
                <w:sz w:val="14"/>
                <w:szCs w:val="22"/>
              </w:rPr>
              <w:t>-</w:t>
            </w:r>
          </w:p>
        </w:tc>
        <w:tc>
          <w:tcPr>
            <w:tcW w:w="840" w:type="dxa"/>
            <w:tcBorders>
              <w:top w:val="nil"/>
              <w:left w:val="nil"/>
              <w:bottom w:val="nil"/>
              <w:right w:val="nil"/>
            </w:tcBorders>
            <w:shd w:val="clear" w:color="auto" w:fill="auto"/>
            <w:vAlign w:val="center"/>
            <w:hideMark/>
          </w:tcPr>
          <w:p w14:paraId="0BC962B4" w14:textId="3692D877" w:rsidR="00F56D39" w:rsidRPr="00005453" w:rsidRDefault="00F56D39" w:rsidP="00F56D39">
            <w:pPr>
              <w:jc w:val="right"/>
              <w:rPr>
                <w:sz w:val="14"/>
                <w:szCs w:val="14"/>
                <w:lang w:eastAsia="tr-TR"/>
              </w:rPr>
            </w:pPr>
            <w:r w:rsidRPr="00005453">
              <w:rPr>
                <w:b/>
                <w:bCs/>
                <w:sz w:val="14"/>
                <w:szCs w:val="22"/>
              </w:rPr>
              <w:t>-</w:t>
            </w:r>
          </w:p>
        </w:tc>
        <w:tc>
          <w:tcPr>
            <w:tcW w:w="770" w:type="dxa"/>
            <w:tcBorders>
              <w:top w:val="nil"/>
              <w:left w:val="nil"/>
              <w:bottom w:val="nil"/>
              <w:right w:val="nil"/>
            </w:tcBorders>
            <w:shd w:val="clear" w:color="auto" w:fill="auto"/>
            <w:vAlign w:val="center"/>
            <w:hideMark/>
          </w:tcPr>
          <w:p w14:paraId="47DC48D0" w14:textId="6D7434E6" w:rsidR="00F56D39" w:rsidRPr="00005453" w:rsidRDefault="00F56D39" w:rsidP="00F56D39">
            <w:pPr>
              <w:jc w:val="right"/>
              <w:rPr>
                <w:sz w:val="14"/>
                <w:szCs w:val="14"/>
                <w:lang w:eastAsia="tr-TR"/>
              </w:rPr>
            </w:pPr>
            <w:r w:rsidRPr="00005453">
              <w:rPr>
                <w:b/>
                <w:bCs/>
                <w:sz w:val="14"/>
                <w:szCs w:val="22"/>
              </w:rPr>
              <w:t>-</w:t>
            </w:r>
          </w:p>
        </w:tc>
        <w:tc>
          <w:tcPr>
            <w:tcW w:w="634" w:type="dxa"/>
            <w:tcBorders>
              <w:top w:val="nil"/>
              <w:left w:val="nil"/>
              <w:bottom w:val="nil"/>
              <w:right w:val="nil"/>
            </w:tcBorders>
            <w:shd w:val="clear" w:color="auto" w:fill="auto"/>
            <w:vAlign w:val="center"/>
            <w:hideMark/>
          </w:tcPr>
          <w:p w14:paraId="68E240F5" w14:textId="0C0F461C" w:rsidR="00F56D39" w:rsidRPr="00005453" w:rsidRDefault="00F56D39" w:rsidP="00F56D39">
            <w:pPr>
              <w:jc w:val="right"/>
              <w:rPr>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4AE2D856" w14:textId="6A1B42AC" w:rsidR="00F56D39" w:rsidRPr="00005453" w:rsidRDefault="00F56D39" w:rsidP="00F56D39">
            <w:pPr>
              <w:jc w:val="right"/>
              <w:rPr>
                <w:sz w:val="14"/>
                <w:szCs w:val="14"/>
                <w:lang w:eastAsia="tr-TR"/>
              </w:rPr>
            </w:pPr>
            <w:r w:rsidRPr="00005453">
              <w:rPr>
                <w:b/>
                <w:bCs/>
                <w:sz w:val="14"/>
                <w:szCs w:val="22"/>
              </w:rPr>
              <w:t>-</w:t>
            </w:r>
          </w:p>
        </w:tc>
        <w:tc>
          <w:tcPr>
            <w:tcW w:w="727" w:type="dxa"/>
            <w:tcBorders>
              <w:top w:val="nil"/>
              <w:left w:val="nil"/>
              <w:bottom w:val="nil"/>
              <w:right w:val="nil"/>
            </w:tcBorders>
            <w:shd w:val="clear" w:color="auto" w:fill="auto"/>
            <w:vAlign w:val="center"/>
            <w:hideMark/>
          </w:tcPr>
          <w:p w14:paraId="7B923334" w14:textId="67040EA2" w:rsidR="00F56D39" w:rsidRPr="00005453" w:rsidRDefault="00F56D39" w:rsidP="00F56D39">
            <w:pPr>
              <w:jc w:val="right"/>
              <w:rPr>
                <w:sz w:val="14"/>
                <w:szCs w:val="14"/>
                <w:lang w:eastAsia="tr-TR"/>
              </w:rPr>
            </w:pPr>
            <w:r w:rsidRPr="00005453">
              <w:rPr>
                <w:b/>
                <w:bCs/>
                <w:sz w:val="14"/>
                <w:szCs w:val="22"/>
              </w:rPr>
              <w:t>-</w:t>
            </w:r>
          </w:p>
        </w:tc>
        <w:tc>
          <w:tcPr>
            <w:tcW w:w="699" w:type="dxa"/>
            <w:tcBorders>
              <w:top w:val="nil"/>
              <w:left w:val="nil"/>
              <w:bottom w:val="nil"/>
              <w:right w:val="nil"/>
            </w:tcBorders>
            <w:shd w:val="clear" w:color="auto" w:fill="auto"/>
            <w:vAlign w:val="center"/>
            <w:hideMark/>
          </w:tcPr>
          <w:p w14:paraId="32C35B89" w14:textId="4FE2B3B3" w:rsidR="00F56D39" w:rsidRPr="00005453" w:rsidRDefault="00F56D39" w:rsidP="00F56D39">
            <w:pPr>
              <w:jc w:val="right"/>
              <w:rPr>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0B9B642D" w14:textId="03449ACB" w:rsidR="00F56D39" w:rsidRPr="00005453" w:rsidRDefault="00F56D39" w:rsidP="00F56D39">
            <w:pPr>
              <w:jc w:val="right"/>
              <w:rPr>
                <w:sz w:val="14"/>
                <w:szCs w:val="14"/>
                <w:lang w:eastAsia="tr-TR"/>
              </w:rPr>
            </w:pPr>
            <w:r w:rsidRPr="00005453">
              <w:rPr>
                <w:b/>
                <w:bCs/>
                <w:sz w:val="14"/>
                <w:szCs w:val="22"/>
              </w:rPr>
              <w:t>333,918</w:t>
            </w:r>
          </w:p>
        </w:tc>
      </w:tr>
      <w:tr w:rsidR="00F56D39" w:rsidRPr="00005453" w14:paraId="0C6B6A72" w14:textId="77777777" w:rsidTr="00B43506">
        <w:trPr>
          <w:divId w:val="617109764"/>
          <w:trHeight w:val="66"/>
        </w:trPr>
        <w:tc>
          <w:tcPr>
            <w:tcW w:w="2654" w:type="dxa"/>
            <w:tcBorders>
              <w:top w:val="nil"/>
              <w:left w:val="nil"/>
              <w:bottom w:val="nil"/>
              <w:right w:val="nil"/>
            </w:tcBorders>
            <w:shd w:val="clear" w:color="auto" w:fill="auto"/>
            <w:vAlign w:val="center"/>
            <w:hideMark/>
          </w:tcPr>
          <w:p w14:paraId="43BE7982"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T.C. Merkez Bankası</w:t>
            </w:r>
          </w:p>
        </w:tc>
        <w:tc>
          <w:tcPr>
            <w:tcW w:w="845" w:type="dxa"/>
            <w:tcBorders>
              <w:top w:val="nil"/>
              <w:left w:val="nil"/>
              <w:bottom w:val="nil"/>
              <w:right w:val="nil"/>
            </w:tcBorders>
            <w:shd w:val="clear" w:color="auto" w:fill="auto"/>
            <w:vAlign w:val="center"/>
            <w:hideMark/>
          </w:tcPr>
          <w:p w14:paraId="7D484CFC" w14:textId="7EABD513"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59BE5ACD" w14:textId="049BC1EC"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76AE6307" w14:textId="3B48633A"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1B1A0DB7" w14:textId="7C914EA7"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18CD6DC" w14:textId="61E81BB1"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231B844D" w14:textId="354A1605"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71AF314C" w14:textId="67529868"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69031AB5" w14:textId="344593E9"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7247363" w14:textId="2615589A" w:rsidR="00F56D39" w:rsidRPr="00005453" w:rsidRDefault="00F56D39" w:rsidP="00F56D39">
            <w:pPr>
              <w:jc w:val="right"/>
              <w:rPr>
                <w:sz w:val="14"/>
                <w:szCs w:val="14"/>
                <w:lang w:eastAsia="tr-TR"/>
              </w:rPr>
            </w:pPr>
            <w:r w:rsidRPr="00005453">
              <w:rPr>
                <w:sz w:val="14"/>
                <w:szCs w:val="22"/>
              </w:rPr>
              <w:t>-</w:t>
            </w:r>
          </w:p>
        </w:tc>
      </w:tr>
      <w:tr w:rsidR="00F56D39" w:rsidRPr="00005453" w14:paraId="76CECF4A" w14:textId="77777777" w:rsidTr="00B43506">
        <w:trPr>
          <w:divId w:val="617109764"/>
          <w:trHeight w:val="66"/>
        </w:trPr>
        <w:tc>
          <w:tcPr>
            <w:tcW w:w="2654" w:type="dxa"/>
            <w:tcBorders>
              <w:top w:val="nil"/>
              <w:left w:val="nil"/>
              <w:bottom w:val="nil"/>
              <w:right w:val="nil"/>
            </w:tcBorders>
            <w:shd w:val="clear" w:color="auto" w:fill="auto"/>
            <w:vAlign w:val="center"/>
            <w:hideMark/>
          </w:tcPr>
          <w:p w14:paraId="0FDF43DA"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Yurt içi bankalar</w:t>
            </w:r>
          </w:p>
        </w:tc>
        <w:tc>
          <w:tcPr>
            <w:tcW w:w="845" w:type="dxa"/>
            <w:tcBorders>
              <w:top w:val="nil"/>
              <w:left w:val="nil"/>
              <w:bottom w:val="nil"/>
              <w:right w:val="nil"/>
            </w:tcBorders>
            <w:shd w:val="clear" w:color="auto" w:fill="auto"/>
            <w:vAlign w:val="center"/>
            <w:hideMark/>
          </w:tcPr>
          <w:p w14:paraId="033AAAA9" w14:textId="1B3D376C"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7CB1CC2A" w14:textId="5C111E76"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4BF25EFF" w14:textId="4C5663CE"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2C33313B" w14:textId="0B2692D1"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42F4810C" w14:textId="2C46AFF4"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39077051" w14:textId="52EC0719"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6D6CADC9" w14:textId="0043385F"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7D53FA77" w14:textId="0F1ED766"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19BCB094" w14:textId="2A88785A" w:rsidR="00F56D39" w:rsidRPr="00005453" w:rsidRDefault="00F56D39" w:rsidP="00F56D39">
            <w:pPr>
              <w:jc w:val="right"/>
              <w:rPr>
                <w:sz w:val="14"/>
                <w:szCs w:val="14"/>
                <w:lang w:eastAsia="tr-TR"/>
              </w:rPr>
            </w:pPr>
            <w:r w:rsidRPr="00005453">
              <w:rPr>
                <w:sz w:val="14"/>
                <w:szCs w:val="22"/>
              </w:rPr>
              <w:t>-</w:t>
            </w:r>
          </w:p>
        </w:tc>
      </w:tr>
      <w:tr w:rsidR="00F56D39" w:rsidRPr="00005453" w14:paraId="3DDA9BC9" w14:textId="77777777" w:rsidTr="00B43506">
        <w:trPr>
          <w:divId w:val="617109764"/>
          <w:trHeight w:val="66"/>
        </w:trPr>
        <w:tc>
          <w:tcPr>
            <w:tcW w:w="2654" w:type="dxa"/>
            <w:tcBorders>
              <w:top w:val="nil"/>
              <w:left w:val="nil"/>
              <w:bottom w:val="nil"/>
              <w:right w:val="nil"/>
            </w:tcBorders>
            <w:shd w:val="clear" w:color="auto" w:fill="auto"/>
            <w:vAlign w:val="center"/>
            <w:hideMark/>
          </w:tcPr>
          <w:p w14:paraId="76F34C8E"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Yurt dışı bankalar</w:t>
            </w:r>
          </w:p>
        </w:tc>
        <w:tc>
          <w:tcPr>
            <w:tcW w:w="845" w:type="dxa"/>
            <w:tcBorders>
              <w:top w:val="nil"/>
              <w:left w:val="nil"/>
              <w:bottom w:val="nil"/>
              <w:right w:val="nil"/>
            </w:tcBorders>
            <w:shd w:val="clear" w:color="auto" w:fill="auto"/>
            <w:vAlign w:val="center"/>
            <w:hideMark/>
          </w:tcPr>
          <w:p w14:paraId="6ECCDB65" w14:textId="09DE9353" w:rsidR="00F56D39" w:rsidRPr="00005453" w:rsidRDefault="00F56D39" w:rsidP="00F56D39">
            <w:pPr>
              <w:jc w:val="right"/>
              <w:rPr>
                <w:sz w:val="14"/>
                <w:szCs w:val="14"/>
                <w:lang w:eastAsia="tr-TR"/>
              </w:rPr>
            </w:pPr>
            <w:r w:rsidRPr="00005453">
              <w:rPr>
                <w:sz w:val="14"/>
                <w:szCs w:val="22"/>
              </w:rPr>
              <w:t>329,317</w:t>
            </w:r>
          </w:p>
        </w:tc>
        <w:tc>
          <w:tcPr>
            <w:tcW w:w="790" w:type="dxa"/>
            <w:tcBorders>
              <w:top w:val="nil"/>
              <w:left w:val="nil"/>
              <w:bottom w:val="nil"/>
              <w:right w:val="nil"/>
            </w:tcBorders>
            <w:shd w:val="clear" w:color="auto" w:fill="auto"/>
            <w:vAlign w:val="center"/>
            <w:hideMark/>
          </w:tcPr>
          <w:p w14:paraId="44099C9D" w14:textId="6EF78631"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3FCA14AB" w14:textId="4B408EB8"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4687B199" w14:textId="28D12BD8"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EB50D60" w14:textId="3BBF06AD"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2CF1110" w14:textId="25DC80A9"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3CCE6FF3" w14:textId="24E143E3"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56A98EA6" w14:textId="2F0912C9"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41D25A2F" w14:textId="698CFD62" w:rsidR="00F56D39" w:rsidRPr="00005453" w:rsidRDefault="00F56D39" w:rsidP="00F56D39">
            <w:pPr>
              <w:jc w:val="right"/>
              <w:rPr>
                <w:sz w:val="14"/>
                <w:szCs w:val="14"/>
                <w:lang w:eastAsia="tr-TR"/>
              </w:rPr>
            </w:pPr>
            <w:r w:rsidRPr="00005453">
              <w:rPr>
                <w:sz w:val="14"/>
                <w:szCs w:val="22"/>
              </w:rPr>
              <w:t>329,317</w:t>
            </w:r>
          </w:p>
        </w:tc>
      </w:tr>
      <w:tr w:rsidR="00F56D39" w:rsidRPr="00005453" w14:paraId="03E1B17A" w14:textId="77777777" w:rsidTr="00B43506">
        <w:trPr>
          <w:divId w:val="617109764"/>
          <w:trHeight w:val="66"/>
        </w:trPr>
        <w:tc>
          <w:tcPr>
            <w:tcW w:w="2654" w:type="dxa"/>
            <w:tcBorders>
              <w:top w:val="nil"/>
              <w:left w:val="nil"/>
              <w:bottom w:val="nil"/>
              <w:right w:val="nil"/>
            </w:tcBorders>
            <w:shd w:val="clear" w:color="auto" w:fill="auto"/>
            <w:vAlign w:val="center"/>
            <w:hideMark/>
          </w:tcPr>
          <w:p w14:paraId="06973847"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Katılım bankaları</w:t>
            </w:r>
          </w:p>
        </w:tc>
        <w:tc>
          <w:tcPr>
            <w:tcW w:w="845" w:type="dxa"/>
            <w:tcBorders>
              <w:top w:val="nil"/>
              <w:left w:val="nil"/>
              <w:bottom w:val="nil"/>
              <w:right w:val="nil"/>
            </w:tcBorders>
            <w:shd w:val="clear" w:color="auto" w:fill="auto"/>
            <w:vAlign w:val="center"/>
            <w:hideMark/>
          </w:tcPr>
          <w:p w14:paraId="7256AF7E" w14:textId="48B8B3A1" w:rsidR="00F56D39" w:rsidRPr="00005453" w:rsidRDefault="00F56D39" w:rsidP="00F56D39">
            <w:pPr>
              <w:jc w:val="right"/>
              <w:rPr>
                <w:sz w:val="14"/>
                <w:szCs w:val="14"/>
                <w:lang w:eastAsia="tr-TR"/>
              </w:rPr>
            </w:pPr>
            <w:r w:rsidRPr="00005453">
              <w:rPr>
                <w:sz w:val="14"/>
                <w:szCs w:val="22"/>
              </w:rPr>
              <w:t>4,601</w:t>
            </w:r>
          </w:p>
        </w:tc>
        <w:tc>
          <w:tcPr>
            <w:tcW w:w="790" w:type="dxa"/>
            <w:tcBorders>
              <w:top w:val="nil"/>
              <w:left w:val="nil"/>
              <w:bottom w:val="nil"/>
              <w:right w:val="nil"/>
            </w:tcBorders>
            <w:shd w:val="clear" w:color="auto" w:fill="auto"/>
            <w:vAlign w:val="center"/>
            <w:hideMark/>
          </w:tcPr>
          <w:p w14:paraId="02975B5B" w14:textId="781D362F"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039858CD" w14:textId="121CF995"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0693606F" w14:textId="0D343B38"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EE73005" w14:textId="03F3CD6F"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62A191E" w14:textId="5A2DEC0B"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78127D05" w14:textId="5ED79AF3"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785322F2" w14:textId="567BE965"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2870A11E" w14:textId="58FC424C" w:rsidR="00F56D39" w:rsidRPr="00005453" w:rsidRDefault="00F56D39" w:rsidP="00F56D39">
            <w:pPr>
              <w:jc w:val="right"/>
              <w:rPr>
                <w:sz w:val="14"/>
                <w:szCs w:val="14"/>
                <w:lang w:eastAsia="tr-TR"/>
              </w:rPr>
            </w:pPr>
            <w:r w:rsidRPr="00005453">
              <w:rPr>
                <w:sz w:val="14"/>
                <w:szCs w:val="22"/>
              </w:rPr>
              <w:t>4,601</w:t>
            </w:r>
          </w:p>
        </w:tc>
      </w:tr>
      <w:tr w:rsidR="00F56D39" w:rsidRPr="00005453" w14:paraId="24885768" w14:textId="77777777" w:rsidTr="00B43506">
        <w:trPr>
          <w:divId w:val="617109764"/>
          <w:trHeight w:val="66"/>
        </w:trPr>
        <w:tc>
          <w:tcPr>
            <w:tcW w:w="2654" w:type="dxa"/>
            <w:tcBorders>
              <w:top w:val="nil"/>
              <w:left w:val="nil"/>
              <w:bottom w:val="nil"/>
              <w:right w:val="nil"/>
            </w:tcBorders>
            <w:shd w:val="clear" w:color="auto" w:fill="auto"/>
            <w:vAlign w:val="center"/>
            <w:hideMark/>
          </w:tcPr>
          <w:p w14:paraId="046243EE" w14:textId="77777777" w:rsidR="00F56D39" w:rsidRPr="00005453" w:rsidRDefault="00F56D39" w:rsidP="00F56D39">
            <w:pPr>
              <w:ind w:firstLineChars="200" w:firstLine="280"/>
              <w:rPr>
                <w:color w:val="000000"/>
                <w:sz w:val="14"/>
                <w:szCs w:val="14"/>
                <w:lang w:eastAsia="tr-TR"/>
              </w:rPr>
            </w:pPr>
            <w:r w:rsidRPr="00005453">
              <w:rPr>
                <w:bCs/>
                <w:color w:val="000000"/>
                <w:sz w:val="14"/>
                <w:szCs w:val="14"/>
                <w:lang w:eastAsia="tr-TR"/>
              </w:rPr>
              <w:t>Diğer</w:t>
            </w:r>
          </w:p>
        </w:tc>
        <w:tc>
          <w:tcPr>
            <w:tcW w:w="845" w:type="dxa"/>
            <w:tcBorders>
              <w:top w:val="nil"/>
              <w:left w:val="nil"/>
              <w:bottom w:val="nil"/>
              <w:right w:val="nil"/>
            </w:tcBorders>
            <w:shd w:val="clear" w:color="auto" w:fill="auto"/>
            <w:vAlign w:val="center"/>
            <w:hideMark/>
          </w:tcPr>
          <w:p w14:paraId="48D4B430" w14:textId="648A8B09"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23116E28" w14:textId="79FAE4CA"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6EBBAA67" w14:textId="7F5C8469"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30852243" w14:textId="03C61E6C"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7E802D17" w14:textId="5AC06178"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164ED9DF" w14:textId="32CE4485"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6A090611" w14:textId="3AD307B7"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773AB402" w14:textId="25620656"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221897E8" w14:textId="76BA035C" w:rsidR="00F56D39" w:rsidRPr="00005453" w:rsidRDefault="00F56D39" w:rsidP="00F56D39">
            <w:pPr>
              <w:jc w:val="right"/>
              <w:rPr>
                <w:sz w:val="14"/>
                <w:szCs w:val="14"/>
                <w:lang w:eastAsia="tr-TR"/>
              </w:rPr>
            </w:pPr>
            <w:r w:rsidRPr="00005453">
              <w:rPr>
                <w:sz w:val="14"/>
                <w:szCs w:val="22"/>
              </w:rPr>
              <w:t>-</w:t>
            </w:r>
          </w:p>
        </w:tc>
      </w:tr>
      <w:tr w:rsidR="00F56D39" w:rsidRPr="00005453" w14:paraId="34B44123"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1D8DE622"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VIII. Katılma hesapları diğer-YP</w:t>
            </w:r>
          </w:p>
        </w:tc>
        <w:tc>
          <w:tcPr>
            <w:tcW w:w="845" w:type="dxa"/>
            <w:tcBorders>
              <w:top w:val="nil"/>
              <w:left w:val="nil"/>
              <w:bottom w:val="nil"/>
              <w:right w:val="nil"/>
            </w:tcBorders>
            <w:shd w:val="clear" w:color="auto" w:fill="auto"/>
            <w:vAlign w:val="center"/>
            <w:hideMark/>
          </w:tcPr>
          <w:p w14:paraId="67C2666A" w14:textId="360A9688" w:rsidR="00F56D39" w:rsidRPr="00005453" w:rsidRDefault="00F56D39" w:rsidP="00F56D39">
            <w:pPr>
              <w:jc w:val="right"/>
              <w:rPr>
                <w:b/>
                <w:sz w:val="14"/>
                <w:szCs w:val="14"/>
                <w:lang w:eastAsia="tr-TR"/>
              </w:rPr>
            </w:pPr>
            <w:r w:rsidRPr="00005453">
              <w:rPr>
                <w:b/>
                <w:bCs/>
                <w:sz w:val="14"/>
                <w:szCs w:val="22"/>
              </w:rPr>
              <w:t>-</w:t>
            </w:r>
          </w:p>
        </w:tc>
        <w:tc>
          <w:tcPr>
            <w:tcW w:w="790" w:type="dxa"/>
            <w:tcBorders>
              <w:top w:val="nil"/>
              <w:left w:val="nil"/>
              <w:bottom w:val="nil"/>
              <w:right w:val="nil"/>
            </w:tcBorders>
            <w:shd w:val="clear" w:color="auto" w:fill="auto"/>
            <w:vAlign w:val="center"/>
            <w:hideMark/>
          </w:tcPr>
          <w:p w14:paraId="27DFD5F6" w14:textId="0D6B9DE6" w:rsidR="00F56D39" w:rsidRPr="00005453" w:rsidRDefault="00F56D39" w:rsidP="00F56D39">
            <w:pPr>
              <w:jc w:val="right"/>
              <w:rPr>
                <w:b/>
                <w:sz w:val="14"/>
                <w:szCs w:val="14"/>
                <w:lang w:eastAsia="tr-TR"/>
              </w:rPr>
            </w:pPr>
            <w:r w:rsidRPr="00005453">
              <w:rPr>
                <w:b/>
                <w:bCs/>
                <w:sz w:val="14"/>
                <w:szCs w:val="22"/>
              </w:rPr>
              <w:t>459,009</w:t>
            </w:r>
          </w:p>
        </w:tc>
        <w:tc>
          <w:tcPr>
            <w:tcW w:w="840" w:type="dxa"/>
            <w:tcBorders>
              <w:top w:val="nil"/>
              <w:left w:val="nil"/>
              <w:bottom w:val="nil"/>
              <w:right w:val="nil"/>
            </w:tcBorders>
            <w:shd w:val="clear" w:color="auto" w:fill="auto"/>
            <w:vAlign w:val="center"/>
            <w:hideMark/>
          </w:tcPr>
          <w:p w14:paraId="512015F5" w14:textId="1C6CB7E6" w:rsidR="00F56D39" w:rsidRPr="00005453" w:rsidRDefault="00F56D39" w:rsidP="00F56D39">
            <w:pPr>
              <w:jc w:val="right"/>
              <w:rPr>
                <w:b/>
                <w:sz w:val="14"/>
                <w:szCs w:val="14"/>
                <w:lang w:eastAsia="tr-TR"/>
              </w:rPr>
            </w:pPr>
            <w:r w:rsidRPr="00005453">
              <w:rPr>
                <w:b/>
                <w:bCs/>
                <w:sz w:val="14"/>
                <w:szCs w:val="22"/>
              </w:rPr>
              <w:t>1,004,573</w:t>
            </w:r>
          </w:p>
        </w:tc>
        <w:tc>
          <w:tcPr>
            <w:tcW w:w="770" w:type="dxa"/>
            <w:tcBorders>
              <w:top w:val="nil"/>
              <w:left w:val="nil"/>
              <w:bottom w:val="nil"/>
              <w:right w:val="nil"/>
            </w:tcBorders>
            <w:shd w:val="clear" w:color="auto" w:fill="auto"/>
            <w:vAlign w:val="center"/>
            <w:hideMark/>
          </w:tcPr>
          <w:p w14:paraId="56F73ECE" w14:textId="19CCC9C9" w:rsidR="00F56D39" w:rsidRPr="00005453" w:rsidRDefault="00F56D39" w:rsidP="00F56D39">
            <w:pPr>
              <w:jc w:val="right"/>
              <w:rPr>
                <w:b/>
                <w:sz w:val="14"/>
                <w:szCs w:val="14"/>
                <w:lang w:eastAsia="tr-TR"/>
              </w:rPr>
            </w:pPr>
            <w:r w:rsidRPr="00005453">
              <w:rPr>
                <w:b/>
                <w:bCs/>
                <w:sz w:val="14"/>
                <w:szCs w:val="22"/>
              </w:rPr>
              <w:t>38,849</w:t>
            </w:r>
          </w:p>
        </w:tc>
        <w:tc>
          <w:tcPr>
            <w:tcW w:w="634" w:type="dxa"/>
            <w:tcBorders>
              <w:top w:val="nil"/>
              <w:left w:val="nil"/>
              <w:bottom w:val="nil"/>
              <w:right w:val="nil"/>
            </w:tcBorders>
            <w:shd w:val="clear" w:color="auto" w:fill="auto"/>
            <w:vAlign w:val="center"/>
            <w:hideMark/>
          </w:tcPr>
          <w:p w14:paraId="663146C4" w14:textId="41F7078B"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0B74B68E" w14:textId="5C88500C" w:rsidR="00F56D39" w:rsidRPr="00005453" w:rsidRDefault="00F56D39" w:rsidP="00F56D39">
            <w:pPr>
              <w:jc w:val="right"/>
              <w:rPr>
                <w:b/>
                <w:sz w:val="14"/>
                <w:szCs w:val="14"/>
                <w:lang w:eastAsia="tr-TR"/>
              </w:rPr>
            </w:pPr>
            <w:r w:rsidRPr="00005453">
              <w:rPr>
                <w:b/>
                <w:bCs/>
                <w:sz w:val="14"/>
                <w:szCs w:val="22"/>
              </w:rPr>
              <w:t>195,514</w:t>
            </w:r>
          </w:p>
        </w:tc>
        <w:tc>
          <w:tcPr>
            <w:tcW w:w="727" w:type="dxa"/>
            <w:tcBorders>
              <w:top w:val="nil"/>
              <w:left w:val="nil"/>
              <w:bottom w:val="nil"/>
              <w:right w:val="nil"/>
            </w:tcBorders>
            <w:shd w:val="clear" w:color="auto" w:fill="auto"/>
            <w:vAlign w:val="center"/>
            <w:hideMark/>
          </w:tcPr>
          <w:p w14:paraId="178C27E6" w14:textId="190732D6" w:rsidR="00F56D39" w:rsidRPr="00005453" w:rsidRDefault="00F56D39" w:rsidP="00F56D39">
            <w:pPr>
              <w:jc w:val="right"/>
              <w:rPr>
                <w:b/>
                <w:sz w:val="14"/>
                <w:szCs w:val="14"/>
                <w:lang w:eastAsia="tr-TR"/>
              </w:rPr>
            </w:pPr>
            <w:r w:rsidRPr="00005453">
              <w:rPr>
                <w:b/>
                <w:bCs/>
                <w:sz w:val="14"/>
                <w:szCs w:val="22"/>
              </w:rPr>
              <w:t>160,402</w:t>
            </w:r>
          </w:p>
        </w:tc>
        <w:tc>
          <w:tcPr>
            <w:tcW w:w="699" w:type="dxa"/>
            <w:tcBorders>
              <w:top w:val="nil"/>
              <w:left w:val="nil"/>
              <w:bottom w:val="nil"/>
              <w:right w:val="nil"/>
            </w:tcBorders>
            <w:shd w:val="clear" w:color="auto" w:fill="auto"/>
            <w:vAlign w:val="center"/>
            <w:hideMark/>
          </w:tcPr>
          <w:p w14:paraId="76E372E0" w14:textId="65B976E8" w:rsidR="00F56D39" w:rsidRPr="00005453" w:rsidRDefault="00F56D39" w:rsidP="00F56D39">
            <w:pPr>
              <w:jc w:val="right"/>
              <w:rPr>
                <w:b/>
                <w:sz w:val="14"/>
                <w:szCs w:val="14"/>
                <w:lang w:eastAsia="tr-TR"/>
              </w:rPr>
            </w:pPr>
            <w:r w:rsidRPr="00005453">
              <w:rPr>
                <w:b/>
                <w:bCs/>
                <w:sz w:val="14"/>
                <w:szCs w:val="22"/>
              </w:rPr>
              <w:t>249</w:t>
            </w:r>
          </w:p>
        </w:tc>
        <w:tc>
          <w:tcPr>
            <w:tcW w:w="845" w:type="dxa"/>
            <w:tcBorders>
              <w:top w:val="nil"/>
              <w:left w:val="nil"/>
              <w:bottom w:val="nil"/>
              <w:right w:val="nil"/>
            </w:tcBorders>
            <w:shd w:val="clear" w:color="auto" w:fill="auto"/>
            <w:vAlign w:val="center"/>
            <w:hideMark/>
          </w:tcPr>
          <w:p w14:paraId="0EBAF0CA" w14:textId="67028414" w:rsidR="00F56D39" w:rsidRPr="00005453" w:rsidRDefault="00F56D39" w:rsidP="00F56D39">
            <w:pPr>
              <w:jc w:val="right"/>
              <w:rPr>
                <w:b/>
                <w:sz w:val="14"/>
                <w:szCs w:val="14"/>
                <w:lang w:eastAsia="tr-TR"/>
              </w:rPr>
            </w:pPr>
            <w:r w:rsidRPr="00005453">
              <w:rPr>
                <w:b/>
                <w:bCs/>
                <w:sz w:val="14"/>
                <w:szCs w:val="22"/>
              </w:rPr>
              <w:t>1,858,596</w:t>
            </w:r>
          </w:p>
        </w:tc>
      </w:tr>
      <w:tr w:rsidR="00F56D39" w:rsidRPr="00005453" w14:paraId="572F9956"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0233A7B2"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Resmi kuruluşlar</w:t>
            </w:r>
          </w:p>
        </w:tc>
        <w:tc>
          <w:tcPr>
            <w:tcW w:w="845" w:type="dxa"/>
            <w:tcBorders>
              <w:top w:val="nil"/>
              <w:left w:val="nil"/>
              <w:bottom w:val="nil"/>
              <w:right w:val="nil"/>
            </w:tcBorders>
            <w:shd w:val="clear" w:color="auto" w:fill="auto"/>
            <w:vAlign w:val="center"/>
            <w:hideMark/>
          </w:tcPr>
          <w:p w14:paraId="12B51230" w14:textId="06F422C1"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47876998" w14:textId="37C1A63C" w:rsidR="00F56D39" w:rsidRPr="00005453" w:rsidRDefault="00F56D39" w:rsidP="00F56D39">
            <w:pPr>
              <w:jc w:val="right"/>
              <w:rPr>
                <w:sz w:val="14"/>
                <w:szCs w:val="14"/>
                <w:lang w:eastAsia="tr-TR"/>
              </w:rPr>
            </w:pPr>
            <w:r w:rsidRPr="00005453">
              <w:rPr>
                <w:sz w:val="14"/>
                <w:szCs w:val="22"/>
              </w:rPr>
              <w:t>17</w:t>
            </w:r>
          </w:p>
        </w:tc>
        <w:tc>
          <w:tcPr>
            <w:tcW w:w="840" w:type="dxa"/>
            <w:tcBorders>
              <w:top w:val="nil"/>
              <w:left w:val="nil"/>
              <w:bottom w:val="nil"/>
              <w:right w:val="nil"/>
            </w:tcBorders>
            <w:shd w:val="clear" w:color="auto" w:fill="auto"/>
            <w:vAlign w:val="center"/>
            <w:hideMark/>
          </w:tcPr>
          <w:p w14:paraId="30EAD8DE" w14:textId="48193594" w:rsidR="00F56D39" w:rsidRPr="00005453" w:rsidRDefault="00F56D39" w:rsidP="00F56D39">
            <w:pPr>
              <w:jc w:val="right"/>
              <w:rPr>
                <w:sz w:val="14"/>
                <w:szCs w:val="14"/>
                <w:lang w:eastAsia="tr-TR"/>
              </w:rPr>
            </w:pPr>
            <w:r w:rsidRPr="00005453">
              <w:rPr>
                <w:sz w:val="14"/>
                <w:szCs w:val="22"/>
              </w:rPr>
              <w:t>113,739</w:t>
            </w:r>
          </w:p>
        </w:tc>
        <w:tc>
          <w:tcPr>
            <w:tcW w:w="770" w:type="dxa"/>
            <w:tcBorders>
              <w:top w:val="nil"/>
              <w:left w:val="nil"/>
              <w:bottom w:val="nil"/>
              <w:right w:val="nil"/>
            </w:tcBorders>
            <w:shd w:val="clear" w:color="auto" w:fill="auto"/>
            <w:vAlign w:val="center"/>
            <w:hideMark/>
          </w:tcPr>
          <w:p w14:paraId="3C8E7EA9" w14:textId="6B2F86DC"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419DF435" w14:textId="03F0011A"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3AE74C9" w14:textId="6F34420C"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36C33390" w14:textId="44EB2FB7"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799DEE68" w14:textId="4505F31B"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ACFF67B" w14:textId="5312283B" w:rsidR="00F56D39" w:rsidRPr="00005453" w:rsidRDefault="00F56D39" w:rsidP="00F56D39">
            <w:pPr>
              <w:jc w:val="right"/>
              <w:rPr>
                <w:sz w:val="14"/>
                <w:szCs w:val="14"/>
                <w:lang w:eastAsia="tr-TR"/>
              </w:rPr>
            </w:pPr>
            <w:r w:rsidRPr="00005453">
              <w:rPr>
                <w:sz w:val="14"/>
                <w:szCs w:val="22"/>
              </w:rPr>
              <w:t>113,756</w:t>
            </w:r>
          </w:p>
        </w:tc>
      </w:tr>
      <w:tr w:rsidR="00F56D39" w:rsidRPr="00005453" w14:paraId="6E8EDAF2" w14:textId="77777777" w:rsidTr="00B43506">
        <w:trPr>
          <w:divId w:val="617109764"/>
          <w:trHeight w:val="66"/>
        </w:trPr>
        <w:tc>
          <w:tcPr>
            <w:tcW w:w="2654" w:type="dxa"/>
            <w:tcBorders>
              <w:top w:val="nil"/>
              <w:left w:val="nil"/>
              <w:bottom w:val="nil"/>
              <w:right w:val="nil"/>
            </w:tcBorders>
            <w:shd w:val="clear" w:color="auto" w:fill="auto"/>
            <w:vAlign w:val="center"/>
            <w:hideMark/>
          </w:tcPr>
          <w:p w14:paraId="581A4B1D"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Ticari kuruluşlar</w:t>
            </w:r>
          </w:p>
        </w:tc>
        <w:tc>
          <w:tcPr>
            <w:tcW w:w="845" w:type="dxa"/>
            <w:tcBorders>
              <w:top w:val="nil"/>
              <w:left w:val="nil"/>
              <w:bottom w:val="nil"/>
              <w:right w:val="nil"/>
            </w:tcBorders>
            <w:shd w:val="clear" w:color="auto" w:fill="auto"/>
            <w:vAlign w:val="center"/>
            <w:hideMark/>
          </w:tcPr>
          <w:p w14:paraId="03C06D55" w14:textId="21DA31AF"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082F0889" w14:textId="7A6B048B" w:rsidR="00F56D39" w:rsidRPr="00005453" w:rsidRDefault="00F56D39" w:rsidP="00F56D39">
            <w:pPr>
              <w:jc w:val="right"/>
              <w:rPr>
                <w:sz w:val="14"/>
                <w:szCs w:val="14"/>
                <w:lang w:eastAsia="tr-TR"/>
              </w:rPr>
            </w:pPr>
            <w:r w:rsidRPr="00005453">
              <w:rPr>
                <w:sz w:val="14"/>
                <w:szCs w:val="22"/>
              </w:rPr>
              <w:t>402,718</w:t>
            </w:r>
          </w:p>
        </w:tc>
        <w:tc>
          <w:tcPr>
            <w:tcW w:w="840" w:type="dxa"/>
            <w:tcBorders>
              <w:top w:val="nil"/>
              <w:left w:val="nil"/>
              <w:bottom w:val="nil"/>
              <w:right w:val="nil"/>
            </w:tcBorders>
            <w:shd w:val="clear" w:color="auto" w:fill="auto"/>
            <w:vAlign w:val="center"/>
            <w:hideMark/>
          </w:tcPr>
          <w:p w14:paraId="0F671B28" w14:textId="18D541EA" w:rsidR="00F56D39" w:rsidRPr="00005453" w:rsidRDefault="00F56D39" w:rsidP="00F56D39">
            <w:pPr>
              <w:jc w:val="right"/>
              <w:rPr>
                <w:sz w:val="14"/>
                <w:szCs w:val="14"/>
                <w:lang w:eastAsia="tr-TR"/>
              </w:rPr>
            </w:pPr>
            <w:r w:rsidRPr="00005453">
              <w:rPr>
                <w:sz w:val="14"/>
                <w:szCs w:val="22"/>
              </w:rPr>
              <w:t>767,263</w:t>
            </w:r>
          </w:p>
        </w:tc>
        <w:tc>
          <w:tcPr>
            <w:tcW w:w="770" w:type="dxa"/>
            <w:tcBorders>
              <w:top w:val="nil"/>
              <w:left w:val="nil"/>
              <w:bottom w:val="nil"/>
              <w:right w:val="nil"/>
            </w:tcBorders>
            <w:shd w:val="clear" w:color="auto" w:fill="auto"/>
            <w:vAlign w:val="center"/>
            <w:hideMark/>
          </w:tcPr>
          <w:p w14:paraId="01898788" w14:textId="02D919E5" w:rsidR="00F56D39" w:rsidRPr="00005453" w:rsidRDefault="00F56D39" w:rsidP="00F56D39">
            <w:pPr>
              <w:jc w:val="right"/>
              <w:rPr>
                <w:sz w:val="14"/>
                <w:szCs w:val="14"/>
                <w:lang w:eastAsia="tr-TR"/>
              </w:rPr>
            </w:pPr>
            <w:r w:rsidRPr="00005453">
              <w:rPr>
                <w:sz w:val="14"/>
                <w:szCs w:val="22"/>
              </w:rPr>
              <w:t>34,679</w:t>
            </w:r>
          </w:p>
        </w:tc>
        <w:tc>
          <w:tcPr>
            <w:tcW w:w="634" w:type="dxa"/>
            <w:tcBorders>
              <w:top w:val="nil"/>
              <w:left w:val="nil"/>
              <w:bottom w:val="nil"/>
              <w:right w:val="nil"/>
            </w:tcBorders>
            <w:shd w:val="clear" w:color="auto" w:fill="auto"/>
            <w:vAlign w:val="center"/>
            <w:hideMark/>
          </w:tcPr>
          <w:p w14:paraId="14211026" w14:textId="1FB9D270"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53754DEF" w14:textId="1D9999FE" w:rsidR="00F56D39" w:rsidRPr="00005453" w:rsidRDefault="00F56D39" w:rsidP="00F56D39">
            <w:pPr>
              <w:jc w:val="right"/>
              <w:rPr>
                <w:sz w:val="14"/>
                <w:szCs w:val="14"/>
                <w:lang w:eastAsia="tr-TR"/>
              </w:rPr>
            </w:pPr>
            <w:r w:rsidRPr="00005453">
              <w:rPr>
                <w:sz w:val="14"/>
                <w:szCs w:val="22"/>
              </w:rPr>
              <w:t>195,349</w:t>
            </w:r>
          </w:p>
        </w:tc>
        <w:tc>
          <w:tcPr>
            <w:tcW w:w="727" w:type="dxa"/>
            <w:tcBorders>
              <w:top w:val="nil"/>
              <w:left w:val="nil"/>
              <w:bottom w:val="nil"/>
              <w:right w:val="nil"/>
            </w:tcBorders>
            <w:shd w:val="clear" w:color="auto" w:fill="auto"/>
            <w:vAlign w:val="center"/>
            <w:hideMark/>
          </w:tcPr>
          <w:p w14:paraId="563B9DC8" w14:textId="4F9EF4FB" w:rsidR="00F56D39" w:rsidRPr="00005453" w:rsidRDefault="00F56D39" w:rsidP="00F56D39">
            <w:pPr>
              <w:jc w:val="right"/>
              <w:rPr>
                <w:sz w:val="14"/>
                <w:szCs w:val="14"/>
                <w:lang w:eastAsia="tr-TR"/>
              </w:rPr>
            </w:pPr>
            <w:r w:rsidRPr="00005453">
              <w:rPr>
                <w:sz w:val="14"/>
                <w:szCs w:val="22"/>
              </w:rPr>
              <w:t>160,402</w:t>
            </w:r>
          </w:p>
        </w:tc>
        <w:tc>
          <w:tcPr>
            <w:tcW w:w="699" w:type="dxa"/>
            <w:tcBorders>
              <w:top w:val="nil"/>
              <w:left w:val="nil"/>
              <w:bottom w:val="nil"/>
              <w:right w:val="nil"/>
            </w:tcBorders>
            <w:shd w:val="clear" w:color="auto" w:fill="auto"/>
            <w:vAlign w:val="center"/>
            <w:hideMark/>
          </w:tcPr>
          <w:p w14:paraId="4820DC9E" w14:textId="677C7EA1" w:rsidR="00F56D39" w:rsidRPr="00005453" w:rsidRDefault="00F56D39" w:rsidP="00F56D39">
            <w:pPr>
              <w:jc w:val="right"/>
              <w:rPr>
                <w:sz w:val="14"/>
                <w:szCs w:val="14"/>
                <w:lang w:eastAsia="tr-TR"/>
              </w:rPr>
            </w:pPr>
            <w:r w:rsidRPr="00005453">
              <w:rPr>
                <w:sz w:val="14"/>
                <w:szCs w:val="22"/>
              </w:rPr>
              <w:t>249</w:t>
            </w:r>
          </w:p>
        </w:tc>
        <w:tc>
          <w:tcPr>
            <w:tcW w:w="845" w:type="dxa"/>
            <w:tcBorders>
              <w:top w:val="nil"/>
              <w:left w:val="nil"/>
              <w:bottom w:val="nil"/>
              <w:right w:val="nil"/>
            </w:tcBorders>
            <w:shd w:val="clear" w:color="auto" w:fill="auto"/>
            <w:vAlign w:val="center"/>
            <w:hideMark/>
          </w:tcPr>
          <w:p w14:paraId="2FBC86DF" w14:textId="23BEE1C8" w:rsidR="00F56D39" w:rsidRPr="00005453" w:rsidRDefault="00F56D39" w:rsidP="00F56D39">
            <w:pPr>
              <w:jc w:val="right"/>
              <w:rPr>
                <w:sz w:val="14"/>
                <w:szCs w:val="14"/>
                <w:lang w:eastAsia="tr-TR"/>
              </w:rPr>
            </w:pPr>
            <w:r w:rsidRPr="00005453">
              <w:rPr>
                <w:sz w:val="14"/>
                <w:szCs w:val="22"/>
              </w:rPr>
              <w:t>1,560,660</w:t>
            </w:r>
          </w:p>
        </w:tc>
      </w:tr>
      <w:tr w:rsidR="00F56D39" w:rsidRPr="00005453" w14:paraId="5C4D1187" w14:textId="77777777" w:rsidTr="00B43506">
        <w:trPr>
          <w:divId w:val="617109764"/>
          <w:trHeight w:val="66"/>
        </w:trPr>
        <w:tc>
          <w:tcPr>
            <w:tcW w:w="2654" w:type="dxa"/>
            <w:tcBorders>
              <w:top w:val="nil"/>
              <w:left w:val="nil"/>
              <w:bottom w:val="nil"/>
              <w:right w:val="nil"/>
            </w:tcBorders>
            <w:shd w:val="clear" w:color="auto" w:fill="auto"/>
            <w:vAlign w:val="center"/>
            <w:hideMark/>
          </w:tcPr>
          <w:p w14:paraId="7972701E"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Diğer kuruluşlar</w:t>
            </w:r>
          </w:p>
        </w:tc>
        <w:tc>
          <w:tcPr>
            <w:tcW w:w="845" w:type="dxa"/>
            <w:tcBorders>
              <w:top w:val="nil"/>
              <w:left w:val="nil"/>
              <w:bottom w:val="nil"/>
              <w:right w:val="nil"/>
            </w:tcBorders>
            <w:shd w:val="clear" w:color="auto" w:fill="auto"/>
            <w:vAlign w:val="center"/>
            <w:hideMark/>
          </w:tcPr>
          <w:p w14:paraId="364438FE" w14:textId="2B91A977"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724B391E" w14:textId="55B431DA" w:rsidR="00F56D39" w:rsidRPr="00005453" w:rsidRDefault="00F56D39" w:rsidP="00F56D39">
            <w:pPr>
              <w:jc w:val="right"/>
              <w:rPr>
                <w:sz w:val="14"/>
                <w:szCs w:val="14"/>
                <w:lang w:eastAsia="tr-TR"/>
              </w:rPr>
            </w:pPr>
            <w:r w:rsidRPr="00005453">
              <w:rPr>
                <w:sz w:val="14"/>
                <w:szCs w:val="22"/>
              </w:rPr>
              <w:t>16,702</w:t>
            </w:r>
          </w:p>
        </w:tc>
        <w:tc>
          <w:tcPr>
            <w:tcW w:w="840" w:type="dxa"/>
            <w:tcBorders>
              <w:top w:val="nil"/>
              <w:left w:val="nil"/>
              <w:bottom w:val="nil"/>
              <w:right w:val="nil"/>
            </w:tcBorders>
            <w:shd w:val="clear" w:color="auto" w:fill="auto"/>
            <w:vAlign w:val="center"/>
            <w:hideMark/>
          </w:tcPr>
          <w:p w14:paraId="4ADB33BA" w14:textId="214FCEAA" w:rsidR="00F56D39" w:rsidRPr="00005453" w:rsidRDefault="00F56D39" w:rsidP="00F56D39">
            <w:pPr>
              <w:jc w:val="right"/>
              <w:rPr>
                <w:sz w:val="14"/>
                <w:szCs w:val="14"/>
                <w:lang w:eastAsia="tr-TR"/>
              </w:rPr>
            </w:pPr>
            <w:r w:rsidRPr="00005453">
              <w:rPr>
                <w:sz w:val="14"/>
                <w:szCs w:val="22"/>
              </w:rPr>
              <w:t>32,416</w:t>
            </w:r>
          </w:p>
        </w:tc>
        <w:tc>
          <w:tcPr>
            <w:tcW w:w="770" w:type="dxa"/>
            <w:tcBorders>
              <w:top w:val="nil"/>
              <w:left w:val="nil"/>
              <w:bottom w:val="nil"/>
              <w:right w:val="nil"/>
            </w:tcBorders>
            <w:shd w:val="clear" w:color="auto" w:fill="auto"/>
            <w:vAlign w:val="center"/>
            <w:hideMark/>
          </w:tcPr>
          <w:p w14:paraId="565C3BEA" w14:textId="68805989" w:rsidR="00F56D39" w:rsidRPr="00005453" w:rsidRDefault="00F56D39" w:rsidP="00F56D39">
            <w:pPr>
              <w:jc w:val="right"/>
              <w:rPr>
                <w:sz w:val="14"/>
                <w:szCs w:val="14"/>
                <w:lang w:eastAsia="tr-TR"/>
              </w:rPr>
            </w:pPr>
            <w:r w:rsidRPr="00005453">
              <w:rPr>
                <w:sz w:val="14"/>
                <w:szCs w:val="22"/>
              </w:rPr>
              <w:t>2,395</w:t>
            </w:r>
          </w:p>
        </w:tc>
        <w:tc>
          <w:tcPr>
            <w:tcW w:w="634" w:type="dxa"/>
            <w:tcBorders>
              <w:top w:val="nil"/>
              <w:left w:val="nil"/>
              <w:bottom w:val="nil"/>
              <w:right w:val="nil"/>
            </w:tcBorders>
            <w:shd w:val="clear" w:color="auto" w:fill="auto"/>
            <w:vAlign w:val="center"/>
            <w:hideMark/>
          </w:tcPr>
          <w:p w14:paraId="2B735594" w14:textId="218F800D"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02A6D2E1" w14:textId="69D12631" w:rsidR="00F56D39" w:rsidRPr="00005453" w:rsidRDefault="00F56D39" w:rsidP="00F56D39">
            <w:pPr>
              <w:jc w:val="right"/>
              <w:rPr>
                <w:sz w:val="14"/>
                <w:szCs w:val="14"/>
                <w:lang w:eastAsia="tr-TR"/>
              </w:rPr>
            </w:pPr>
            <w:r w:rsidRPr="00005453">
              <w:rPr>
                <w:sz w:val="14"/>
                <w:szCs w:val="22"/>
              </w:rPr>
              <w:t>165</w:t>
            </w:r>
          </w:p>
        </w:tc>
        <w:tc>
          <w:tcPr>
            <w:tcW w:w="727" w:type="dxa"/>
            <w:tcBorders>
              <w:top w:val="nil"/>
              <w:left w:val="nil"/>
              <w:bottom w:val="nil"/>
              <w:right w:val="nil"/>
            </w:tcBorders>
            <w:shd w:val="clear" w:color="auto" w:fill="auto"/>
            <w:vAlign w:val="center"/>
            <w:hideMark/>
          </w:tcPr>
          <w:p w14:paraId="54F4B97C" w14:textId="4F2781A3"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4B7CA948" w14:textId="11536884"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08771AD5" w14:textId="1161C2C1" w:rsidR="00F56D39" w:rsidRPr="00005453" w:rsidRDefault="00F56D39" w:rsidP="00F56D39">
            <w:pPr>
              <w:jc w:val="right"/>
              <w:rPr>
                <w:sz w:val="14"/>
                <w:szCs w:val="14"/>
                <w:lang w:eastAsia="tr-TR"/>
              </w:rPr>
            </w:pPr>
            <w:r w:rsidRPr="00005453">
              <w:rPr>
                <w:sz w:val="14"/>
                <w:szCs w:val="22"/>
              </w:rPr>
              <w:t>51,678</w:t>
            </w:r>
          </w:p>
        </w:tc>
      </w:tr>
      <w:tr w:rsidR="00F56D39" w:rsidRPr="00005453" w14:paraId="46F09CC8" w14:textId="77777777" w:rsidTr="00B43506">
        <w:trPr>
          <w:divId w:val="617109764"/>
          <w:trHeight w:val="66"/>
        </w:trPr>
        <w:tc>
          <w:tcPr>
            <w:tcW w:w="2654" w:type="dxa"/>
            <w:tcBorders>
              <w:top w:val="nil"/>
              <w:left w:val="nil"/>
              <w:bottom w:val="nil"/>
              <w:right w:val="nil"/>
            </w:tcBorders>
            <w:shd w:val="clear" w:color="auto" w:fill="auto"/>
            <w:vAlign w:val="center"/>
            <w:hideMark/>
          </w:tcPr>
          <w:p w14:paraId="13A65212"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Ticari ve diğer kuruluşlar</w:t>
            </w:r>
          </w:p>
        </w:tc>
        <w:tc>
          <w:tcPr>
            <w:tcW w:w="845" w:type="dxa"/>
            <w:tcBorders>
              <w:top w:val="nil"/>
              <w:left w:val="nil"/>
              <w:bottom w:val="nil"/>
              <w:right w:val="nil"/>
            </w:tcBorders>
            <w:shd w:val="clear" w:color="auto" w:fill="auto"/>
            <w:vAlign w:val="center"/>
            <w:hideMark/>
          </w:tcPr>
          <w:p w14:paraId="6EA730D6" w14:textId="35F191E0"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1F0979B4" w14:textId="3E2A6312" w:rsidR="00F56D39" w:rsidRPr="00005453" w:rsidRDefault="00F56D39" w:rsidP="00F56D39">
            <w:pPr>
              <w:jc w:val="right"/>
              <w:rPr>
                <w:sz w:val="14"/>
                <w:szCs w:val="14"/>
                <w:lang w:eastAsia="tr-TR"/>
              </w:rPr>
            </w:pPr>
            <w:r w:rsidRPr="00005453">
              <w:rPr>
                <w:sz w:val="14"/>
                <w:szCs w:val="22"/>
              </w:rPr>
              <w:t>39,572</w:t>
            </w:r>
          </w:p>
        </w:tc>
        <w:tc>
          <w:tcPr>
            <w:tcW w:w="840" w:type="dxa"/>
            <w:tcBorders>
              <w:top w:val="nil"/>
              <w:left w:val="nil"/>
              <w:bottom w:val="nil"/>
              <w:right w:val="nil"/>
            </w:tcBorders>
            <w:shd w:val="clear" w:color="auto" w:fill="auto"/>
            <w:vAlign w:val="center"/>
            <w:hideMark/>
          </w:tcPr>
          <w:p w14:paraId="498EC0E3" w14:textId="348941B0" w:rsidR="00F56D39" w:rsidRPr="00005453" w:rsidRDefault="00F56D39" w:rsidP="00F56D39">
            <w:pPr>
              <w:jc w:val="right"/>
              <w:rPr>
                <w:sz w:val="14"/>
                <w:szCs w:val="14"/>
                <w:lang w:eastAsia="tr-TR"/>
              </w:rPr>
            </w:pPr>
            <w:r w:rsidRPr="00005453">
              <w:rPr>
                <w:sz w:val="14"/>
                <w:szCs w:val="22"/>
              </w:rPr>
              <w:t>91,155</w:t>
            </w:r>
          </w:p>
        </w:tc>
        <w:tc>
          <w:tcPr>
            <w:tcW w:w="770" w:type="dxa"/>
            <w:tcBorders>
              <w:top w:val="nil"/>
              <w:left w:val="nil"/>
              <w:bottom w:val="nil"/>
              <w:right w:val="nil"/>
            </w:tcBorders>
            <w:shd w:val="clear" w:color="auto" w:fill="auto"/>
            <w:vAlign w:val="center"/>
            <w:hideMark/>
          </w:tcPr>
          <w:p w14:paraId="048A9DC9" w14:textId="5F2B5BC1" w:rsidR="00F56D39" w:rsidRPr="00005453" w:rsidRDefault="00F56D39" w:rsidP="00F56D39">
            <w:pPr>
              <w:jc w:val="right"/>
              <w:rPr>
                <w:sz w:val="14"/>
                <w:szCs w:val="14"/>
                <w:lang w:eastAsia="tr-TR"/>
              </w:rPr>
            </w:pPr>
            <w:r w:rsidRPr="00005453">
              <w:rPr>
                <w:sz w:val="14"/>
                <w:szCs w:val="22"/>
              </w:rPr>
              <w:t>1,775</w:t>
            </w:r>
          </w:p>
        </w:tc>
        <w:tc>
          <w:tcPr>
            <w:tcW w:w="634" w:type="dxa"/>
            <w:tcBorders>
              <w:top w:val="nil"/>
              <w:left w:val="nil"/>
              <w:bottom w:val="nil"/>
              <w:right w:val="nil"/>
            </w:tcBorders>
            <w:shd w:val="clear" w:color="auto" w:fill="auto"/>
            <w:vAlign w:val="center"/>
            <w:hideMark/>
          </w:tcPr>
          <w:p w14:paraId="54D3C8EA" w14:textId="519DEF38"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5BCF88E1" w14:textId="19C07ABF"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43C311B4" w14:textId="7696A109"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2D8B0ACC" w14:textId="0095B2BE"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4A29F6DF" w14:textId="5DBADC3B" w:rsidR="00F56D39" w:rsidRPr="00005453" w:rsidRDefault="00F56D39" w:rsidP="00F56D39">
            <w:pPr>
              <w:jc w:val="right"/>
              <w:rPr>
                <w:sz w:val="14"/>
                <w:szCs w:val="14"/>
                <w:lang w:eastAsia="tr-TR"/>
              </w:rPr>
            </w:pPr>
            <w:r w:rsidRPr="00005453">
              <w:rPr>
                <w:sz w:val="14"/>
                <w:szCs w:val="22"/>
              </w:rPr>
              <w:t>132,502</w:t>
            </w:r>
          </w:p>
        </w:tc>
      </w:tr>
      <w:tr w:rsidR="00F56D39" w:rsidRPr="00005453" w14:paraId="100A3312"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17BB8158" w14:textId="77777777" w:rsidR="00F56D39" w:rsidRPr="00005453" w:rsidRDefault="00F56D39" w:rsidP="00F56D39">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0F5DDAE6" w14:textId="5E455B40"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1EA35970" w14:textId="68835747"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7BAAD3C8" w14:textId="634D1A34"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638BA567" w14:textId="50BDDBED"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7F554318" w14:textId="1EC37FB0"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04FBF864" w14:textId="065BE467"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5174D3CB" w14:textId="12B40374"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09EDE6D2" w14:textId="3F86B205"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06BCB220" w14:textId="10EA78E2" w:rsidR="00F56D39" w:rsidRPr="00005453" w:rsidRDefault="00F56D39" w:rsidP="00F56D39">
            <w:pPr>
              <w:jc w:val="right"/>
              <w:rPr>
                <w:sz w:val="14"/>
                <w:szCs w:val="14"/>
                <w:lang w:eastAsia="tr-TR"/>
              </w:rPr>
            </w:pPr>
            <w:r w:rsidRPr="00005453">
              <w:rPr>
                <w:sz w:val="14"/>
                <w:szCs w:val="22"/>
              </w:rPr>
              <w:t>-</w:t>
            </w:r>
          </w:p>
        </w:tc>
      </w:tr>
      <w:tr w:rsidR="00F56D39" w:rsidRPr="00005453" w14:paraId="4F585CE6"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7255EAEA" w14:textId="77777777" w:rsidR="00F56D39" w:rsidRPr="00005453" w:rsidRDefault="00F56D39" w:rsidP="00F56D39">
            <w:pPr>
              <w:ind w:firstLineChars="100" w:firstLine="141"/>
              <w:rPr>
                <w:b/>
                <w:bCs/>
                <w:color w:val="000000"/>
                <w:sz w:val="14"/>
                <w:szCs w:val="14"/>
                <w:lang w:eastAsia="tr-TR"/>
              </w:rPr>
            </w:pPr>
            <w:r w:rsidRPr="00005453">
              <w:rPr>
                <w:b/>
                <w:bCs/>
                <w:color w:val="000000"/>
                <w:sz w:val="14"/>
                <w:szCs w:val="14"/>
                <w:lang w:eastAsia="tr-TR"/>
              </w:rPr>
              <w:t>IX. Kıymetli maden DH</w:t>
            </w:r>
          </w:p>
        </w:tc>
        <w:tc>
          <w:tcPr>
            <w:tcW w:w="845" w:type="dxa"/>
            <w:tcBorders>
              <w:top w:val="nil"/>
              <w:left w:val="nil"/>
              <w:bottom w:val="nil"/>
              <w:right w:val="nil"/>
            </w:tcBorders>
            <w:shd w:val="clear" w:color="auto" w:fill="auto"/>
            <w:vAlign w:val="center"/>
            <w:hideMark/>
          </w:tcPr>
          <w:p w14:paraId="652207BF" w14:textId="507496BA" w:rsidR="00F56D39" w:rsidRPr="00005453" w:rsidRDefault="00F56D39" w:rsidP="00F56D39">
            <w:pPr>
              <w:jc w:val="right"/>
              <w:rPr>
                <w:b/>
                <w:sz w:val="14"/>
                <w:szCs w:val="14"/>
                <w:lang w:eastAsia="tr-TR"/>
              </w:rPr>
            </w:pPr>
            <w:r w:rsidRPr="00005453">
              <w:rPr>
                <w:b/>
                <w:bCs/>
                <w:sz w:val="14"/>
                <w:szCs w:val="22"/>
              </w:rPr>
              <w:t>111,405,414</w:t>
            </w:r>
          </w:p>
        </w:tc>
        <w:tc>
          <w:tcPr>
            <w:tcW w:w="790" w:type="dxa"/>
            <w:tcBorders>
              <w:top w:val="nil"/>
              <w:left w:val="nil"/>
              <w:bottom w:val="nil"/>
              <w:right w:val="nil"/>
            </w:tcBorders>
            <w:shd w:val="clear" w:color="auto" w:fill="auto"/>
            <w:vAlign w:val="center"/>
            <w:hideMark/>
          </w:tcPr>
          <w:p w14:paraId="65900439" w14:textId="301AE0FC" w:rsidR="00F56D39" w:rsidRPr="00005453" w:rsidRDefault="00F56D39" w:rsidP="00F56D39">
            <w:pPr>
              <w:jc w:val="right"/>
              <w:rPr>
                <w:b/>
                <w:sz w:val="14"/>
                <w:szCs w:val="14"/>
                <w:lang w:eastAsia="tr-TR"/>
              </w:rPr>
            </w:pPr>
            <w:r w:rsidRPr="00005453">
              <w:rPr>
                <w:b/>
                <w:bCs/>
                <w:sz w:val="14"/>
                <w:szCs w:val="22"/>
              </w:rPr>
              <w:t>13,520,895</w:t>
            </w:r>
          </w:p>
        </w:tc>
        <w:tc>
          <w:tcPr>
            <w:tcW w:w="840" w:type="dxa"/>
            <w:tcBorders>
              <w:top w:val="nil"/>
              <w:left w:val="nil"/>
              <w:bottom w:val="nil"/>
              <w:right w:val="nil"/>
            </w:tcBorders>
            <w:shd w:val="clear" w:color="auto" w:fill="auto"/>
            <w:vAlign w:val="center"/>
            <w:hideMark/>
          </w:tcPr>
          <w:p w14:paraId="60FEF6BE" w14:textId="3BB6D71B" w:rsidR="00F56D39" w:rsidRPr="00005453" w:rsidRDefault="00F56D39" w:rsidP="00F56D39">
            <w:pPr>
              <w:jc w:val="right"/>
              <w:rPr>
                <w:b/>
                <w:sz w:val="14"/>
                <w:szCs w:val="14"/>
                <w:lang w:eastAsia="tr-TR"/>
              </w:rPr>
            </w:pPr>
            <w:r w:rsidRPr="00005453">
              <w:rPr>
                <w:b/>
                <w:bCs/>
                <w:sz w:val="14"/>
                <w:szCs w:val="22"/>
              </w:rPr>
              <w:t>6,368,941</w:t>
            </w:r>
          </w:p>
        </w:tc>
        <w:tc>
          <w:tcPr>
            <w:tcW w:w="770" w:type="dxa"/>
            <w:tcBorders>
              <w:top w:val="nil"/>
              <w:left w:val="nil"/>
              <w:bottom w:val="nil"/>
              <w:right w:val="nil"/>
            </w:tcBorders>
            <w:shd w:val="clear" w:color="auto" w:fill="auto"/>
            <w:vAlign w:val="center"/>
            <w:hideMark/>
          </w:tcPr>
          <w:p w14:paraId="304CB06A" w14:textId="36E1DC65" w:rsidR="00F56D39" w:rsidRPr="00005453" w:rsidRDefault="00F56D39" w:rsidP="00F56D39">
            <w:pPr>
              <w:jc w:val="right"/>
              <w:rPr>
                <w:b/>
                <w:sz w:val="14"/>
                <w:szCs w:val="14"/>
                <w:lang w:eastAsia="tr-TR"/>
              </w:rPr>
            </w:pPr>
            <w:r w:rsidRPr="00005453">
              <w:rPr>
                <w:b/>
                <w:bCs/>
                <w:sz w:val="14"/>
                <w:szCs w:val="22"/>
              </w:rPr>
              <w:t>1,206,213</w:t>
            </w:r>
          </w:p>
        </w:tc>
        <w:tc>
          <w:tcPr>
            <w:tcW w:w="634" w:type="dxa"/>
            <w:tcBorders>
              <w:top w:val="nil"/>
              <w:left w:val="nil"/>
              <w:bottom w:val="nil"/>
              <w:right w:val="nil"/>
            </w:tcBorders>
            <w:shd w:val="clear" w:color="auto" w:fill="auto"/>
            <w:vAlign w:val="center"/>
            <w:hideMark/>
          </w:tcPr>
          <w:p w14:paraId="0918A0BD" w14:textId="17C2EC14"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10DB180D" w14:textId="6B985DC6" w:rsidR="00F56D39" w:rsidRPr="00005453" w:rsidRDefault="00F56D39" w:rsidP="00F56D39">
            <w:pPr>
              <w:jc w:val="right"/>
              <w:rPr>
                <w:b/>
                <w:sz w:val="14"/>
                <w:szCs w:val="14"/>
                <w:lang w:eastAsia="tr-TR"/>
              </w:rPr>
            </w:pPr>
            <w:r w:rsidRPr="00005453">
              <w:rPr>
                <w:b/>
                <w:bCs/>
                <w:sz w:val="14"/>
                <w:szCs w:val="22"/>
              </w:rPr>
              <w:t>786,663</w:t>
            </w:r>
          </w:p>
        </w:tc>
        <w:tc>
          <w:tcPr>
            <w:tcW w:w="727" w:type="dxa"/>
            <w:tcBorders>
              <w:top w:val="nil"/>
              <w:left w:val="nil"/>
              <w:bottom w:val="nil"/>
              <w:right w:val="nil"/>
            </w:tcBorders>
            <w:shd w:val="clear" w:color="auto" w:fill="auto"/>
            <w:vAlign w:val="center"/>
            <w:hideMark/>
          </w:tcPr>
          <w:p w14:paraId="403676B3" w14:textId="294D6C22" w:rsidR="00F56D39" w:rsidRPr="00005453" w:rsidRDefault="00F56D39" w:rsidP="00F56D39">
            <w:pPr>
              <w:jc w:val="right"/>
              <w:rPr>
                <w:b/>
                <w:sz w:val="14"/>
                <w:szCs w:val="14"/>
                <w:lang w:eastAsia="tr-TR"/>
              </w:rPr>
            </w:pPr>
            <w:r w:rsidRPr="00005453">
              <w:rPr>
                <w:b/>
                <w:bCs/>
                <w:sz w:val="14"/>
                <w:szCs w:val="22"/>
              </w:rPr>
              <w:t>52,997</w:t>
            </w:r>
          </w:p>
        </w:tc>
        <w:tc>
          <w:tcPr>
            <w:tcW w:w="699" w:type="dxa"/>
            <w:tcBorders>
              <w:top w:val="nil"/>
              <w:left w:val="nil"/>
              <w:bottom w:val="nil"/>
              <w:right w:val="nil"/>
            </w:tcBorders>
            <w:shd w:val="clear" w:color="auto" w:fill="auto"/>
            <w:vAlign w:val="center"/>
            <w:hideMark/>
          </w:tcPr>
          <w:p w14:paraId="047491EA" w14:textId="4535FD88" w:rsidR="00F56D39" w:rsidRPr="00005453" w:rsidRDefault="00F56D39" w:rsidP="00F56D39">
            <w:pPr>
              <w:jc w:val="right"/>
              <w:rPr>
                <w:b/>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070E6C2B" w14:textId="5D421D99" w:rsidR="00F56D39" w:rsidRPr="00005453" w:rsidRDefault="00F56D39" w:rsidP="00F56D39">
            <w:pPr>
              <w:jc w:val="right"/>
              <w:rPr>
                <w:b/>
                <w:sz w:val="14"/>
                <w:szCs w:val="14"/>
                <w:lang w:eastAsia="tr-TR"/>
              </w:rPr>
            </w:pPr>
            <w:r w:rsidRPr="00005453">
              <w:rPr>
                <w:b/>
                <w:bCs/>
                <w:sz w:val="14"/>
                <w:szCs w:val="22"/>
              </w:rPr>
              <w:t>133,341,123</w:t>
            </w:r>
          </w:p>
        </w:tc>
      </w:tr>
      <w:tr w:rsidR="00F56D39" w:rsidRPr="00005453" w14:paraId="294E5D33" w14:textId="77777777" w:rsidTr="00B43506">
        <w:trPr>
          <w:divId w:val="617109764"/>
          <w:trHeight w:val="142"/>
        </w:trPr>
        <w:tc>
          <w:tcPr>
            <w:tcW w:w="2654" w:type="dxa"/>
            <w:tcBorders>
              <w:top w:val="nil"/>
              <w:left w:val="nil"/>
              <w:bottom w:val="nil"/>
              <w:right w:val="nil"/>
            </w:tcBorders>
            <w:shd w:val="clear" w:color="auto" w:fill="auto"/>
            <w:vAlign w:val="center"/>
            <w:hideMark/>
          </w:tcPr>
          <w:p w14:paraId="0BF0D500"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X. Katılma hesapları özel fon havuzları TP</w:t>
            </w:r>
          </w:p>
        </w:tc>
        <w:tc>
          <w:tcPr>
            <w:tcW w:w="845" w:type="dxa"/>
            <w:tcBorders>
              <w:top w:val="nil"/>
              <w:left w:val="nil"/>
              <w:bottom w:val="nil"/>
              <w:right w:val="nil"/>
            </w:tcBorders>
            <w:shd w:val="clear" w:color="auto" w:fill="auto"/>
            <w:vAlign w:val="center"/>
            <w:hideMark/>
          </w:tcPr>
          <w:p w14:paraId="312814A0" w14:textId="73709FF6" w:rsidR="00F56D39" w:rsidRPr="00005453" w:rsidRDefault="00F56D39" w:rsidP="00F56D39">
            <w:pPr>
              <w:jc w:val="right"/>
              <w:rPr>
                <w:b/>
                <w:sz w:val="14"/>
                <w:szCs w:val="14"/>
                <w:lang w:eastAsia="tr-TR"/>
              </w:rPr>
            </w:pPr>
            <w:r w:rsidRPr="00005453">
              <w:rPr>
                <w:b/>
                <w:bCs/>
                <w:sz w:val="14"/>
                <w:szCs w:val="22"/>
              </w:rPr>
              <w:t>-</w:t>
            </w:r>
          </w:p>
        </w:tc>
        <w:tc>
          <w:tcPr>
            <w:tcW w:w="790" w:type="dxa"/>
            <w:tcBorders>
              <w:top w:val="nil"/>
              <w:left w:val="nil"/>
              <w:bottom w:val="nil"/>
              <w:right w:val="nil"/>
            </w:tcBorders>
            <w:shd w:val="clear" w:color="auto" w:fill="auto"/>
            <w:vAlign w:val="center"/>
            <w:hideMark/>
          </w:tcPr>
          <w:p w14:paraId="69AC1DBB" w14:textId="4C623845" w:rsidR="00F56D39" w:rsidRPr="00005453" w:rsidRDefault="00F56D39" w:rsidP="00F56D39">
            <w:pPr>
              <w:jc w:val="right"/>
              <w:rPr>
                <w:b/>
                <w:sz w:val="14"/>
                <w:szCs w:val="14"/>
                <w:lang w:eastAsia="tr-TR"/>
              </w:rPr>
            </w:pPr>
            <w:r w:rsidRPr="00005453">
              <w:rPr>
                <w:b/>
                <w:bCs/>
                <w:sz w:val="14"/>
                <w:szCs w:val="22"/>
              </w:rPr>
              <w:t>-</w:t>
            </w:r>
          </w:p>
        </w:tc>
        <w:tc>
          <w:tcPr>
            <w:tcW w:w="840" w:type="dxa"/>
            <w:tcBorders>
              <w:top w:val="nil"/>
              <w:left w:val="nil"/>
              <w:bottom w:val="nil"/>
              <w:right w:val="nil"/>
            </w:tcBorders>
            <w:shd w:val="clear" w:color="auto" w:fill="auto"/>
            <w:vAlign w:val="center"/>
            <w:hideMark/>
          </w:tcPr>
          <w:p w14:paraId="0AFD8673" w14:textId="2BAFF5BC" w:rsidR="00F56D39" w:rsidRPr="00005453" w:rsidRDefault="00F56D39" w:rsidP="00F56D39">
            <w:pPr>
              <w:jc w:val="right"/>
              <w:rPr>
                <w:b/>
                <w:sz w:val="14"/>
                <w:szCs w:val="14"/>
                <w:lang w:eastAsia="tr-TR"/>
              </w:rPr>
            </w:pPr>
            <w:r w:rsidRPr="00005453">
              <w:rPr>
                <w:b/>
                <w:bCs/>
                <w:sz w:val="14"/>
                <w:szCs w:val="22"/>
              </w:rPr>
              <w:t>39,624</w:t>
            </w:r>
          </w:p>
        </w:tc>
        <w:tc>
          <w:tcPr>
            <w:tcW w:w="770" w:type="dxa"/>
            <w:tcBorders>
              <w:top w:val="nil"/>
              <w:left w:val="nil"/>
              <w:bottom w:val="nil"/>
              <w:right w:val="nil"/>
            </w:tcBorders>
            <w:shd w:val="clear" w:color="auto" w:fill="auto"/>
            <w:vAlign w:val="center"/>
            <w:hideMark/>
          </w:tcPr>
          <w:p w14:paraId="3B1B9264" w14:textId="0D7E7711" w:rsidR="00F56D39" w:rsidRPr="00005453" w:rsidRDefault="00F56D39" w:rsidP="00F56D39">
            <w:pPr>
              <w:jc w:val="right"/>
              <w:rPr>
                <w:b/>
                <w:sz w:val="14"/>
                <w:szCs w:val="14"/>
                <w:lang w:eastAsia="tr-TR"/>
              </w:rPr>
            </w:pPr>
            <w:r w:rsidRPr="00005453">
              <w:rPr>
                <w:b/>
                <w:bCs/>
                <w:sz w:val="14"/>
                <w:szCs w:val="22"/>
              </w:rPr>
              <w:t>47,875</w:t>
            </w:r>
          </w:p>
        </w:tc>
        <w:tc>
          <w:tcPr>
            <w:tcW w:w="634" w:type="dxa"/>
            <w:tcBorders>
              <w:top w:val="nil"/>
              <w:left w:val="nil"/>
              <w:bottom w:val="nil"/>
              <w:right w:val="nil"/>
            </w:tcBorders>
            <w:shd w:val="clear" w:color="auto" w:fill="auto"/>
            <w:vAlign w:val="center"/>
            <w:hideMark/>
          </w:tcPr>
          <w:p w14:paraId="2BCBCB0A" w14:textId="720DABE4" w:rsidR="00F56D39" w:rsidRPr="00005453" w:rsidRDefault="00F56D39" w:rsidP="00F56D39">
            <w:pPr>
              <w:jc w:val="right"/>
              <w:rPr>
                <w:b/>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443907C3" w14:textId="30655681" w:rsidR="00F56D39" w:rsidRPr="00005453" w:rsidRDefault="00F56D39" w:rsidP="00F56D39">
            <w:pPr>
              <w:jc w:val="right"/>
              <w:rPr>
                <w:b/>
                <w:sz w:val="14"/>
                <w:szCs w:val="14"/>
                <w:lang w:eastAsia="tr-TR"/>
              </w:rPr>
            </w:pPr>
            <w:r w:rsidRPr="00005453">
              <w:rPr>
                <w:b/>
                <w:bCs/>
                <w:sz w:val="14"/>
                <w:szCs w:val="22"/>
              </w:rPr>
              <w:t>7,199,963</w:t>
            </w:r>
          </w:p>
        </w:tc>
        <w:tc>
          <w:tcPr>
            <w:tcW w:w="727" w:type="dxa"/>
            <w:tcBorders>
              <w:top w:val="nil"/>
              <w:left w:val="nil"/>
              <w:bottom w:val="nil"/>
              <w:right w:val="nil"/>
            </w:tcBorders>
            <w:shd w:val="clear" w:color="auto" w:fill="auto"/>
            <w:vAlign w:val="center"/>
            <w:hideMark/>
          </w:tcPr>
          <w:p w14:paraId="5AEBA878" w14:textId="363F6CA0" w:rsidR="00F56D39" w:rsidRPr="00005453" w:rsidRDefault="00F56D39" w:rsidP="00F56D39">
            <w:pPr>
              <w:jc w:val="right"/>
              <w:rPr>
                <w:b/>
                <w:sz w:val="14"/>
                <w:szCs w:val="14"/>
                <w:lang w:eastAsia="tr-TR"/>
              </w:rPr>
            </w:pPr>
            <w:r w:rsidRPr="00005453">
              <w:rPr>
                <w:b/>
                <w:bCs/>
                <w:sz w:val="14"/>
                <w:szCs w:val="22"/>
              </w:rPr>
              <w:t>1,125,928</w:t>
            </w:r>
          </w:p>
        </w:tc>
        <w:tc>
          <w:tcPr>
            <w:tcW w:w="699" w:type="dxa"/>
            <w:tcBorders>
              <w:top w:val="nil"/>
              <w:left w:val="nil"/>
              <w:bottom w:val="nil"/>
              <w:right w:val="nil"/>
            </w:tcBorders>
            <w:shd w:val="clear" w:color="auto" w:fill="auto"/>
            <w:vAlign w:val="center"/>
            <w:hideMark/>
          </w:tcPr>
          <w:p w14:paraId="1DAADB43" w14:textId="6B2A8265" w:rsidR="00F56D39" w:rsidRPr="00005453" w:rsidRDefault="00F56D39" w:rsidP="00F56D39">
            <w:pPr>
              <w:jc w:val="right"/>
              <w:rPr>
                <w:b/>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3EAA60BF" w14:textId="23638AAC" w:rsidR="00F56D39" w:rsidRPr="00005453" w:rsidRDefault="00F56D39" w:rsidP="00F56D39">
            <w:pPr>
              <w:jc w:val="right"/>
              <w:rPr>
                <w:b/>
                <w:sz w:val="14"/>
                <w:szCs w:val="14"/>
                <w:lang w:eastAsia="tr-TR"/>
              </w:rPr>
            </w:pPr>
            <w:r w:rsidRPr="00005453">
              <w:rPr>
                <w:b/>
                <w:bCs/>
                <w:sz w:val="14"/>
                <w:szCs w:val="22"/>
              </w:rPr>
              <w:t>8,413,390</w:t>
            </w:r>
          </w:p>
        </w:tc>
      </w:tr>
      <w:tr w:rsidR="00F56D39" w:rsidRPr="00005453" w14:paraId="075AFEC3" w14:textId="77777777" w:rsidTr="00B43506">
        <w:trPr>
          <w:divId w:val="617109764"/>
          <w:trHeight w:val="173"/>
        </w:trPr>
        <w:tc>
          <w:tcPr>
            <w:tcW w:w="2654" w:type="dxa"/>
            <w:tcBorders>
              <w:top w:val="nil"/>
              <w:left w:val="nil"/>
              <w:bottom w:val="nil"/>
              <w:right w:val="nil"/>
            </w:tcBorders>
            <w:shd w:val="clear" w:color="auto" w:fill="auto"/>
            <w:vAlign w:val="center"/>
            <w:hideMark/>
          </w:tcPr>
          <w:p w14:paraId="3E5A30E3" w14:textId="77777777" w:rsidR="00F56D39" w:rsidRPr="00005453" w:rsidRDefault="00F56D39" w:rsidP="00F56D39">
            <w:pPr>
              <w:ind w:firstLineChars="100" w:firstLine="140"/>
              <w:rPr>
                <w:color w:val="000000"/>
                <w:sz w:val="14"/>
                <w:szCs w:val="14"/>
                <w:lang w:eastAsia="tr-TR"/>
              </w:rPr>
            </w:pPr>
            <w:r w:rsidRPr="00005453">
              <w:rPr>
                <w:color w:val="000000"/>
                <w:sz w:val="14"/>
                <w:szCs w:val="14"/>
                <w:lang w:eastAsia="tr-TR"/>
              </w:rPr>
              <w:t>Yurt içinde yer. K</w:t>
            </w:r>
          </w:p>
        </w:tc>
        <w:tc>
          <w:tcPr>
            <w:tcW w:w="845" w:type="dxa"/>
            <w:tcBorders>
              <w:top w:val="nil"/>
              <w:left w:val="nil"/>
              <w:bottom w:val="nil"/>
              <w:right w:val="nil"/>
            </w:tcBorders>
            <w:shd w:val="clear" w:color="auto" w:fill="auto"/>
            <w:vAlign w:val="center"/>
            <w:hideMark/>
          </w:tcPr>
          <w:p w14:paraId="2512599F" w14:textId="6AA6987A"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4C04E47B" w14:textId="3992F020"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72BE139A" w14:textId="4CC53CB9" w:rsidR="00F56D39" w:rsidRPr="00005453" w:rsidRDefault="00F56D39" w:rsidP="00F56D39">
            <w:pPr>
              <w:jc w:val="right"/>
              <w:rPr>
                <w:sz w:val="14"/>
                <w:szCs w:val="14"/>
                <w:lang w:eastAsia="tr-TR"/>
              </w:rPr>
            </w:pPr>
            <w:r w:rsidRPr="00005453">
              <w:rPr>
                <w:sz w:val="14"/>
                <w:szCs w:val="22"/>
              </w:rPr>
              <w:t>39,624</w:t>
            </w:r>
          </w:p>
        </w:tc>
        <w:tc>
          <w:tcPr>
            <w:tcW w:w="770" w:type="dxa"/>
            <w:tcBorders>
              <w:top w:val="nil"/>
              <w:left w:val="nil"/>
              <w:bottom w:val="nil"/>
              <w:right w:val="nil"/>
            </w:tcBorders>
            <w:shd w:val="clear" w:color="auto" w:fill="auto"/>
            <w:vAlign w:val="center"/>
            <w:hideMark/>
          </w:tcPr>
          <w:p w14:paraId="010301BF" w14:textId="2866EE48" w:rsidR="00F56D39" w:rsidRPr="00005453" w:rsidRDefault="00F56D39" w:rsidP="00F56D39">
            <w:pPr>
              <w:jc w:val="right"/>
              <w:rPr>
                <w:sz w:val="14"/>
                <w:szCs w:val="14"/>
                <w:lang w:eastAsia="tr-TR"/>
              </w:rPr>
            </w:pPr>
            <w:r w:rsidRPr="00005453">
              <w:rPr>
                <w:sz w:val="14"/>
                <w:szCs w:val="22"/>
              </w:rPr>
              <w:t>47,875</w:t>
            </w:r>
          </w:p>
        </w:tc>
        <w:tc>
          <w:tcPr>
            <w:tcW w:w="634" w:type="dxa"/>
            <w:tcBorders>
              <w:top w:val="nil"/>
              <w:left w:val="nil"/>
              <w:bottom w:val="nil"/>
              <w:right w:val="nil"/>
            </w:tcBorders>
            <w:shd w:val="clear" w:color="auto" w:fill="auto"/>
            <w:vAlign w:val="center"/>
            <w:hideMark/>
          </w:tcPr>
          <w:p w14:paraId="6B66A72B" w14:textId="3A20E43C"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5C2811F5" w14:textId="39FFA88C" w:rsidR="00F56D39" w:rsidRPr="00005453" w:rsidRDefault="00F56D39" w:rsidP="00F56D39">
            <w:pPr>
              <w:jc w:val="right"/>
              <w:rPr>
                <w:sz w:val="14"/>
                <w:szCs w:val="14"/>
                <w:lang w:eastAsia="tr-TR"/>
              </w:rPr>
            </w:pPr>
            <w:r w:rsidRPr="00005453">
              <w:rPr>
                <w:sz w:val="14"/>
                <w:szCs w:val="22"/>
              </w:rPr>
              <w:t>6,549,974</w:t>
            </w:r>
          </w:p>
        </w:tc>
        <w:tc>
          <w:tcPr>
            <w:tcW w:w="727" w:type="dxa"/>
            <w:tcBorders>
              <w:top w:val="nil"/>
              <w:left w:val="nil"/>
              <w:bottom w:val="nil"/>
              <w:right w:val="nil"/>
            </w:tcBorders>
            <w:shd w:val="clear" w:color="auto" w:fill="auto"/>
            <w:vAlign w:val="center"/>
            <w:hideMark/>
          </w:tcPr>
          <w:p w14:paraId="0845DA9E" w14:textId="1E309F3E" w:rsidR="00F56D39" w:rsidRPr="00005453" w:rsidRDefault="00F56D39" w:rsidP="00F56D39">
            <w:pPr>
              <w:jc w:val="right"/>
              <w:rPr>
                <w:sz w:val="14"/>
                <w:szCs w:val="14"/>
                <w:lang w:eastAsia="tr-TR"/>
              </w:rPr>
            </w:pPr>
            <w:r w:rsidRPr="00005453">
              <w:rPr>
                <w:sz w:val="14"/>
                <w:szCs w:val="22"/>
              </w:rPr>
              <w:t>377,937</w:t>
            </w:r>
          </w:p>
        </w:tc>
        <w:tc>
          <w:tcPr>
            <w:tcW w:w="699" w:type="dxa"/>
            <w:tcBorders>
              <w:top w:val="nil"/>
              <w:left w:val="nil"/>
              <w:bottom w:val="nil"/>
              <w:right w:val="nil"/>
            </w:tcBorders>
            <w:shd w:val="clear" w:color="auto" w:fill="auto"/>
            <w:vAlign w:val="center"/>
            <w:hideMark/>
          </w:tcPr>
          <w:p w14:paraId="7AE0A77A" w14:textId="7319AE78"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1785E97C" w14:textId="30F0033D" w:rsidR="00F56D39" w:rsidRPr="00005453" w:rsidRDefault="00F56D39" w:rsidP="00F56D39">
            <w:pPr>
              <w:jc w:val="right"/>
              <w:rPr>
                <w:sz w:val="14"/>
                <w:szCs w:val="14"/>
                <w:lang w:eastAsia="tr-TR"/>
              </w:rPr>
            </w:pPr>
            <w:r w:rsidRPr="00005453">
              <w:rPr>
                <w:sz w:val="14"/>
                <w:szCs w:val="22"/>
              </w:rPr>
              <w:t>7,015,410</w:t>
            </w:r>
          </w:p>
        </w:tc>
      </w:tr>
      <w:tr w:rsidR="00F56D39" w:rsidRPr="00005453" w14:paraId="2147FFEE" w14:textId="77777777" w:rsidTr="00B43506">
        <w:trPr>
          <w:divId w:val="617109764"/>
          <w:trHeight w:val="66"/>
        </w:trPr>
        <w:tc>
          <w:tcPr>
            <w:tcW w:w="2654" w:type="dxa"/>
            <w:tcBorders>
              <w:top w:val="nil"/>
              <w:left w:val="nil"/>
              <w:bottom w:val="nil"/>
              <w:right w:val="nil"/>
            </w:tcBorders>
            <w:shd w:val="clear" w:color="auto" w:fill="auto"/>
            <w:vAlign w:val="center"/>
            <w:hideMark/>
          </w:tcPr>
          <w:p w14:paraId="48EC219B" w14:textId="77777777" w:rsidR="00F56D39" w:rsidRPr="00005453" w:rsidRDefault="00F56D39" w:rsidP="00F56D39">
            <w:pPr>
              <w:ind w:firstLineChars="100" w:firstLine="140"/>
              <w:rPr>
                <w:color w:val="000000"/>
                <w:sz w:val="14"/>
                <w:szCs w:val="14"/>
                <w:lang w:eastAsia="tr-TR"/>
              </w:rPr>
            </w:pPr>
            <w:r w:rsidRPr="00005453">
              <w:rPr>
                <w:color w:val="000000"/>
                <w:sz w:val="14"/>
                <w:szCs w:val="14"/>
                <w:lang w:eastAsia="tr-TR"/>
              </w:rPr>
              <w:t xml:space="preserve">Yurt dışında </w:t>
            </w:r>
            <w:proofErr w:type="gramStart"/>
            <w:r w:rsidRPr="00005453">
              <w:rPr>
                <w:color w:val="000000"/>
                <w:sz w:val="14"/>
                <w:szCs w:val="14"/>
                <w:lang w:eastAsia="tr-TR"/>
              </w:rPr>
              <w:t>yer.K</w:t>
            </w:r>
            <w:proofErr w:type="gramEnd"/>
          </w:p>
        </w:tc>
        <w:tc>
          <w:tcPr>
            <w:tcW w:w="845" w:type="dxa"/>
            <w:tcBorders>
              <w:top w:val="nil"/>
              <w:left w:val="nil"/>
              <w:bottom w:val="nil"/>
              <w:right w:val="nil"/>
            </w:tcBorders>
            <w:shd w:val="clear" w:color="auto" w:fill="auto"/>
            <w:vAlign w:val="center"/>
            <w:hideMark/>
          </w:tcPr>
          <w:p w14:paraId="25D21BF0" w14:textId="1233897E"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08869DDB" w14:textId="355CFA00"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2F62A1F7" w14:textId="66EDF0CB"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75EC5E8A" w14:textId="15AEA889" w:rsidR="00F56D39" w:rsidRPr="00005453" w:rsidRDefault="00F56D39" w:rsidP="00F56D39">
            <w:pPr>
              <w:jc w:val="right"/>
              <w:rPr>
                <w:sz w:val="14"/>
                <w:szCs w:val="14"/>
                <w:lang w:eastAsia="tr-TR"/>
              </w:rPr>
            </w:pPr>
          </w:p>
        </w:tc>
        <w:tc>
          <w:tcPr>
            <w:tcW w:w="634" w:type="dxa"/>
            <w:tcBorders>
              <w:top w:val="nil"/>
              <w:left w:val="nil"/>
              <w:bottom w:val="nil"/>
              <w:right w:val="nil"/>
            </w:tcBorders>
            <w:shd w:val="clear" w:color="auto" w:fill="auto"/>
            <w:vAlign w:val="center"/>
            <w:hideMark/>
          </w:tcPr>
          <w:p w14:paraId="07F3BDDC" w14:textId="74D5223A"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2CC75FCA" w14:textId="19CDBAED" w:rsidR="00F56D39" w:rsidRPr="00005453" w:rsidRDefault="00F56D39" w:rsidP="00F56D39">
            <w:pPr>
              <w:jc w:val="right"/>
              <w:rPr>
                <w:sz w:val="14"/>
                <w:szCs w:val="14"/>
                <w:lang w:eastAsia="tr-TR"/>
              </w:rPr>
            </w:pPr>
            <w:r w:rsidRPr="00005453">
              <w:rPr>
                <w:sz w:val="14"/>
                <w:szCs w:val="22"/>
              </w:rPr>
              <w:t>649,989</w:t>
            </w:r>
          </w:p>
        </w:tc>
        <w:tc>
          <w:tcPr>
            <w:tcW w:w="727" w:type="dxa"/>
            <w:tcBorders>
              <w:top w:val="nil"/>
              <w:left w:val="nil"/>
              <w:bottom w:val="nil"/>
              <w:right w:val="nil"/>
            </w:tcBorders>
            <w:shd w:val="clear" w:color="auto" w:fill="auto"/>
            <w:vAlign w:val="center"/>
            <w:hideMark/>
          </w:tcPr>
          <w:p w14:paraId="77B28B11" w14:textId="109B27B4" w:rsidR="00F56D39" w:rsidRPr="00005453" w:rsidRDefault="00F56D39" w:rsidP="00F56D39">
            <w:pPr>
              <w:jc w:val="right"/>
              <w:rPr>
                <w:sz w:val="14"/>
                <w:szCs w:val="14"/>
                <w:lang w:eastAsia="tr-TR"/>
              </w:rPr>
            </w:pPr>
            <w:r w:rsidRPr="00005453">
              <w:rPr>
                <w:sz w:val="14"/>
                <w:szCs w:val="22"/>
              </w:rPr>
              <w:t>747,991</w:t>
            </w:r>
          </w:p>
        </w:tc>
        <w:tc>
          <w:tcPr>
            <w:tcW w:w="699" w:type="dxa"/>
            <w:tcBorders>
              <w:top w:val="nil"/>
              <w:left w:val="nil"/>
              <w:bottom w:val="nil"/>
              <w:right w:val="nil"/>
            </w:tcBorders>
            <w:shd w:val="clear" w:color="auto" w:fill="auto"/>
            <w:vAlign w:val="center"/>
            <w:hideMark/>
          </w:tcPr>
          <w:p w14:paraId="178DFE58" w14:textId="0D0F368E"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D63307D" w14:textId="460BBCE9" w:rsidR="00F56D39" w:rsidRPr="00005453" w:rsidRDefault="00F56D39" w:rsidP="00F56D39">
            <w:pPr>
              <w:jc w:val="right"/>
              <w:rPr>
                <w:sz w:val="14"/>
                <w:szCs w:val="14"/>
                <w:lang w:eastAsia="tr-TR"/>
              </w:rPr>
            </w:pPr>
            <w:r w:rsidRPr="00005453">
              <w:rPr>
                <w:sz w:val="14"/>
                <w:szCs w:val="22"/>
              </w:rPr>
              <w:t>1,397,980</w:t>
            </w:r>
          </w:p>
        </w:tc>
      </w:tr>
      <w:tr w:rsidR="00F56D39" w:rsidRPr="00005453" w14:paraId="0C02E7F3" w14:textId="77777777" w:rsidTr="00B43506">
        <w:trPr>
          <w:divId w:val="617109764"/>
          <w:trHeight w:val="142"/>
        </w:trPr>
        <w:tc>
          <w:tcPr>
            <w:tcW w:w="2654" w:type="dxa"/>
            <w:tcBorders>
              <w:top w:val="nil"/>
              <w:left w:val="nil"/>
              <w:bottom w:val="nil"/>
              <w:right w:val="nil"/>
            </w:tcBorders>
            <w:shd w:val="clear" w:color="auto" w:fill="auto"/>
            <w:vAlign w:val="center"/>
            <w:hideMark/>
          </w:tcPr>
          <w:p w14:paraId="6232231A" w14:textId="77777777" w:rsidR="00F56D39" w:rsidRPr="00005453" w:rsidRDefault="00F56D39" w:rsidP="00F56D39">
            <w:pPr>
              <w:ind w:firstLineChars="100" w:firstLine="140"/>
              <w:rPr>
                <w:b/>
                <w:bCs/>
                <w:color w:val="000000"/>
                <w:sz w:val="14"/>
                <w:szCs w:val="14"/>
                <w:lang w:eastAsia="tr-TR"/>
              </w:rPr>
            </w:pPr>
            <w:r w:rsidRPr="00005453">
              <w:rPr>
                <w:rFonts w:eastAsia="Arial Unicode MS"/>
                <w:b/>
                <w:bCs/>
                <w:color w:val="000000"/>
                <w:sz w:val="14"/>
                <w:szCs w:val="14"/>
                <w:lang w:eastAsia="tr-TR"/>
              </w:rPr>
              <w:t>XI. Katılma hesapları özel fon havuzları-YP</w:t>
            </w:r>
          </w:p>
        </w:tc>
        <w:tc>
          <w:tcPr>
            <w:tcW w:w="845" w:type="dxa"/>
            <w:tcBorders>
              <w:top w:val="nil"/>
              <w:left w:val="nil"/>
              <w:bottom w:val="nil"/>
              <w:right w:val="nil"/>
            </w:tcBorders>
            <w:shd w:val="clear" w:color="auto" w:fill="auto"/>
            <w:vAlign w:val="center"/>
            <w:hideMark/>
          </w:tcPr>
          <w:p w14:paraId="38798DE3" w14:textId="7D74EF28" w:rsidR="00F56D39" w:rsidRPr="00005453" w:rsidRDefault="00F56D39" w:rsidP="00F56D39">
            <w:pPr>
              <w:jc w:val="right"/>
              <w:rPr>
                <w:b/>
                <w:bCs/>
                <w:sz w:val="14"/>
                <w:szCs w:val="14"/>
                <w:lang w:eastAsia="tr-TR"/>
              </w:rPr>
            </w:pPr>
            <w:r w:rsidRPr="00005453">
              <w:rPr>
                <w:b/>
                <w:bCs/>
                <w:sz w:val="14"/>
                <w:szCs w:val="22"/>
              </w:rPr>
              <w:t>-</w:t>
            </w:r>
          </w:p>
        </w:tc>
        <w:tc>
          <w:tcPr>
            <w:tcW w:w="790" w:type="dxa"/>
            <w:tcBorders>
              <w:top w:val="nil"/>
              <w:left w:val="nil"/>
              <w:bottom w:val="nil"/>
              <w:right w:val="nil"/>
            </w:tcBorders>
            <w:shd w:val="clear" w:color="auto" w:fill="auto"/>
            <w:vAlign w:val="center"/>
            <w:hideMark/>
          </w:tcPr>
          <w:p w14:paraId="2A451775" w14:textId="6AB237B2" w:rsidR="00F56D39" w:rsidRPr="00005453" w:rsidRDefault="00F56D39" w:rsidP="00F56D39">
            <w:pPr>
              <w:jc w:val="right"/>
              <w:rPr>
                <w:b/>
                <w:bCs/>
                <w:sz w:val="14"/>
                <w:szCs w:val="14"/>
                <w:lang w:eastAsia="tr-TR"/>
              </w:rPr>
            </w:pPr>
            <w:r w:rsidRPr="00005453">
              <w:rPr>
                <w:b/>
                <w:bCs/>
                <w:sz w:val="14"/>
                <w:szCs w:val="22"/>
              </w:rPr>
              <w:t>-</w:t>
            </w:r>
          </w:p>
        </w:tc>
        <w:tc>
          <w:tcPr>
            <w:tcW w:w="840" w:type="dxa"/>
            <w:tcBorders>
              <w:top w:val="nil"/>
              <w:left w:val="nil"/>
              <w:bottom w:val="nil"/>
              <w:right w:val="nil"/>
            </w:tcBorders>
            <w:shd w:val="clear" w:color="auto" w:fill="auto"/>
            <w:vAlign w:val="center"/>
            <w:hideMark/>
          </w:tcPr>
          <w:p w14:paraId="37A19CC0" w14:textId="3D8DE27C" w:rsidR="00F56D39" w:rsidRPr="00005453" w:rsidRDefault="00F56D39" w:rsidP="00F56D39">
            <w:pPr>
              <w:jc w:val="right"/>
              <w:rPr>
                <w:b/>
                <w:bCs/>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4E0742E6" w14:textId="51EC211C" w:rsidR="00F56D39" w:rsidRPr="00005453" w:rsidRDefault="00F56D39" w:rsidP="00F56D39">
            <w:pPr>
              <w:jc w:val="right"/>
              <w:rPr>
                <w:b/>
                <w:bCs/>
                <w:sz w:val="14"/>
                <w:szCs w:val="14"/>
                <w:lang w:eastAsia="tr-TR"/>
              </w:rPr>
            </w:pPr>
            <w:r w:rsidRPr="00005453">
              <w:rPr>
                <w:b/>
                <w:bCs/>
                <w:sz w:val="14"/>
                <w:szCs w:val="22"/>
              </w:rPr>
              <w:t>-</w:t>
            </w:r>
          </w:p>
        </w:tc>
        <w:tc>
          <w:tcPr>
            <w:tcW w:w="634" w:type="dxa"/>
            <w:tcBorders>
              <w:top w:val="nil"/>
              <w:left w:val="nil"/>
              <w:bottom w:val="nil"/>
              <w:right w:val="nil"/>
            </w:tcBorders>
            <w:shd w:val="clear" w:color="auto" w:fill="auto"/>
            <w:vAlign w:val="center"/>
            <w:hideMark/>
          </w:tcPr>
          <w:p w14:paraId="079E4088" w14:textId="406D0B5F" w:rsidR="00F56D39" w:rsidRPr="00005453" w:rsidRDefault="00F56D39" w:rsidP="00F56D39">
            <w:pPr>
              <w:jc w:val="right"/>
              <w:rPr>
                <w:b/>
                <w:bCs/>
                <w:sz w:val="14"/>
                <w:szCs w:val="14"/>
                <w:lang w:eastAsia="tr-TR"/>
              </w:rPr>
            </w:pPr>
            <w:r w:rsidRPr="00005453">
              <w:rPr>
                <w:b/>
                <w:bCs/>
                <w:sz w:val="14"/>
                <w:szCs w:val="22"/>
              </w:rPr>
              <w:t>-</w:t>
            </w:r>
          </w:p>
        </w:tc>
        <w:tc>
          <w:tcPr>
            <w:tcW w:w="1098" w:type="dxa"/>
            <w:tcBorders>
              <w:top w:val="nil"/>
              <w:left w:val="nil"/>
              <w:bottom w:val="nil"/>
              <w:right w:val="nil"/>
            </w:tcBorders>
            <w:shd w:val="clear" w:color="auto" w:fill="auto"/>
            <w:vAlign w:val="center"/>
            <w:hideMark/>
          </w:tcPr>
          <w:p w14:paraId="5D1E661D" w14:textId="4379604F" w:rsidR="00F56D39" w:rsidRPr="00005453" w:rsidRDefault="00F56D39" w:rsidP="00F56D39">
            <w:pPr>
              <w:jc w:val="right"/>
              <w:rPr>
                <w:b/>
                <w:bCs/>
                <w:sz w:val="14"/>
                <w:szCs w:val="14"/>
                <w:lang w:eastAsia="tr-TR"/>
              </w:rPr>
            </w:pPr>
            <w:r w:rsidRPr="00005453">
              <w:rPr>
                <w:b/>
                <w:bCs/>
                <w:sz w:val="14"/>
                <w:szCs w:val="22"/>
              </w:rPr>
              <w:t>-</w:t>
            </w:r>
          </w:p>
        </w:tc>
        <w:tc>
          <w:tcPr>
            <w:tcW w:w="727" w:type="dxa"/>
            <w:tcBorders>
              <w:top w:val="nil"/>
              <w:left w:val="nil"/>
              <w:bottom w:val="nil"/>
              <w:right w:val="nil"/>
            </w:tcBorders>
            <w:shd w:val="clear" w:color="auto" w:fill="auto"/>
            <w:vAlign w:val="center"/>
            <w:hideMark/>
          </w:tcPr>
          <w:p w14:paraId="72405607" w14:textId="53BEEBCB" w:rsidR="00F56D39" w:rsidRPr="00005453" w:rsidRDefault="00F56D39" w:rsidP="00F56D39">
            <w:pPr>
              <w:jc w:val="right"/>
              <w:rPr>
                <w:b/>
                <w:bCs/>
                <w:sz w:val="14"/>
                <w:szCs w:val="14"/>
                <w:lang w:eastAsia="tr-TR"/>
              </w:rPr>
            </w:pPr>
            <w:r w:rsidRPr="00005453">
              <w:rPr>
                <w:b/>
                <w:bCs/>
                <w:sz w:val="14"/>
                <w:szCs w:val="22"/>
              </w:rPr>
              <w:t>-</w:t>
            </w:r>
          </w:p>
        </w:tc>
        <w:tc>
          <w:tcPr>
            <w:tcW w:w="699" w:type="dxa"/>
            <w:tcBorders>
              <w:top w:val="nil"/>
              <w:left w:val="nil"/>
              <w:bottom w:val="nil"/>
              <w:right w:val="nil"/>
            </w:tcBorders>
            <w:shd w:val="clear" w:color="auto" w:fill="auto"/>
            <w:vAlign w:val="center"/>
            <w:hideMark/>
          </w:tcPr>
          <w:p w14:paraId="29312F2C" w14:textId="73479494" w:rsidR="00F56D39" w:rsidRPr="00005453" w:rsidRDefault="00F56D39" w:rsidP="00F56D39">
            <w:pPr>
              <w:jc w:val="right"/>
              <w:rPr>
                <w:b/>
                <w:bCs/>
                <w:sz w:val="14"/>
                <w:szCs w:val="14"/>
                <w:lang w:eastAsia="tr-TR"/>
              </w:rPr>
            </w:pPr>
            <w:r w:rsidRPr="00005453">
              <w:rPr>
                <w:b/>
                <w:bCs/>
                <w:sz w:val="14"/>
                <w:szCs w:val="22"/>
              </w:rPr>
              <w:t>-</w:t>
            </w:r>
          </w:p>
        </w:tc>
        <w:tc>
          <w:tcPr>
            <w:tcW w:w="845" w:type="dxa"/>
            <w:tcBorders>
              <w:top w:val="nil"/>
              <w:left w:val="nil"/>
              <w:bottom w:val="nil"/>
              <w:right w:val="nil"/>
            </w:tcBorders>
            <w:shd w:val="clear" w:color="auto" w:fill="auto"/>
            <w:vAlign w:val="center"/>
            <w:hideMark/>
          </w:tcPr>
          <w:p w14:paraId="5EEB82B9" w14:textId="75E53702" w:rsidR="00F56D39" w:rsidRPr="00005453" w:rsidRDefault="00F56D39" w:rsidP="00F56D39">
            <w:pPr>
              <w:jc w:val="right"/>
              <w:rPr>
                <w:b/>
                <w:bCs/>
                <w:sz w:val="14"/>
                <w:szCs w:val="14"/>
                <w:lang w:eastAsia="tr-TR"/>
              </w:rPr>
            </w:pPr>
            <w:r w:rsidRPr="00005453">
              <w:rPr>
                <w:sz w:val="14"/>
                <w:szCs w:val="22"/>
              </w:rPr>
              <w:t>-</w:t>
            </w:r>
          </w:p>
        </w:tc>
      </w:tr>
      <w:tr w:rsidR="00F56D39" w:rsidRPr="00005453" w14:paraId="5CC39208" w14:textId="77777777" w:rsidTr="00B43506">
        <w:trPr>
          <w:divId w:val="617109764"/>
          <w:trHeight w:val="142"/>
        </w:trPr>
        <w:tc>
          <w:tcPr>
            <w:tcW w:w="2654" w:type="dxa"/>
            <w:tcBorders>
              <w:top w:val="nil"/>
              <w:left w:val="nil"/>
              <w:bottom w:val="nil"/>
              <w:right w:val="nil"/>
            </w:tcBorders>
            <w:shd w:val="clear" w:color="auto" w:fill="auto"/>
            <w:vAlign w:val="center"/>
            <w:hideMark/>
          </w:tcPr>
          <w:p w14:paraId="6689089A" w14:textId="77777777" w:rsidR="00F56D39" w:rsidRPr="00005453" w:rsidRDefault="00F56D39" w:rsidP="00F56D39">
            <w:pPr>
              <w:ind w:firstLineChars="100" w:firstLine="140"/>
              <w:rPr>
                <w:color w:val="000000"/>
                <w:sz w:val="14"/>
                <w:szCs w:val="14"/>
                <w:lang w:eastAsia="tr-TR"/>
              </w:rPr>
            </w:pPr>
            <w:r w:rsidRPr="00005453">
              <w:rPr>
                <w:color w:val="000000"/>
                <w:sz w:val="14"/>
                <w:szCs w:val="14"/>
                <w:lang w:eastAsia="tr-TR"/>
              </w:rPr>
              <w:t>Yurt içinde yer. K</w:t>
            </w:r>
          </w:p>
        </w:tc>
        <w:tc>
          <w:tcPr>
            <w:tcW w:w="845" w:type="dxa"/>
            <w:tcBorders>
              <w:top w:val="nil"/>
              <w:left w:val="nil"/>
              <w:bottom w:val="nil"/>
              <w:right w:val="nil"/>
            </w:tcBorders>
            <w:shd w:val="clear" w:color="auto" w:fill="auto"/>
            <w:vAlign w:val="center"/>
            <w:hideMark/>
          </w:tcPr>
          <w:p w14:paraId="321BE60C" w14:textId="3C396346"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735515A0" w14:textId="6DC3FD2F"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222B8EF7" w14:textId="0CF17900"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7C186CAC" w14:textId="066C56D1"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500E059C" w14:textId="35066557"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44FA06B7" w14:textId="7D6C7202"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46E07A8A" w14:textId="0276E4CC"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2CC9D4BA" w14:textId="394A6FB5"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55F2C02E" w14:textId="2881AF34" w:rsidR="00F56D39" w:rsidRPr="00005453" w:rsidRDefault="00F56D39" w:rsidP="00F56D39">
            <w:pPr>
              <w:jc w:val="right"/>
              <w:rPr>
                <w:sz w:val="14"/>
                <w:szCs w:val="14"/>
                <w:lang w:eastAsia="tr-TR"/>
              </w:rPr>
            </w:pPr>
            <w:r w:rsidRPr="00005453">
              <w:rPr>
                <w:sz w:val="14"/>
                <w:szCs w:val="22"/>
              </w:rPr>
              <w:t>-</w:t>
            </w:r>
          </w:p>
        </w:tc>
      </w:tr>
      <w:tr w:rsidR="00F56D39" w:rsidRPr="00005453" w14:paraId="2F495B39" w14:textId="77777777" w:rsidTr="00B43506">
        <w:trPr>
          <w:divId w:val="617109764"/>
          <w:trHeight w:val="142"/>
        </w:trPr>
        <w:tc>
          <w:tcPr>
            <w:tcW w:w="2654" w:type="dxa"/>
            <w:tcBorders>
              <w:top w:val="nil"/>
              <w:left w:val="nil"/>
              <w:bottom w:val="nil"/>
              <w:right w:val="nil"/>
            </w:tcBorders>
            <w:shd w:val="clear" w:color="auto" w:fill="auto"/>
            <w:vAlign w:val="center"/>
            <w:hideMark/>
          </w:tcPr>
          <w:p w14:paraId="55C61745" w14:textId="77777777" w:rsidR="00F56D39" w:rsidRPr="00005453" w:rsidRDefault="00F56D39" w:rsidP="00F56D39">
            <w:pPr>
              <w:ind w:firstLineChars="100" w:firstLine="140"/>
              <w:rPr>
                <w:color w:val="000000"/>
                <w:sz w:val="14"/>
                <w:szCs w:val="14"/>
                <w:lang w:eastAsia="tr-TR"/>
              </w:rPr>
            </w:pPr>
            <w:r w:rsidRPr="00005453">
              <w:rPr>
                <w:color w:val="000000"/>
                <w:sz w:val="14"/>
                <w:szCs w:val="14"/>
                <w:lang w:eastAsia="tr-TR"/>
              </w:rPr>
              <w:t xml:space="preserve">Yurt dışında </w:t>
            </w:r>
            <w:proofErr w:type="gramStart"/>
            <w:r w:rsidRPr="00005453">
              <w:rPr>
                <w:color w:val="000000"/>
                <w:sz w:val="14"/>
                <w:szCs w:val="14"/>
                <w:lang w:eastAsia="tr-TR"/>
              </w:rPr>
              <w:t>yer.K</w:t>
            </w:r>
            <w:proofErr w:type="gramEnd"/>
          </w:p>
        </w:tc>
        <w:tc>
          <w:tcPr>
            <w:tcW w:w="845" w:type="dxa"/>
            <w:tcBorders>
              <w:top w:val="nil"/>
              <w:left w:val="nil"/>
              <w:bottom w:val="nil"/>
              <w:right w:val="nil"/>
            </w:tcBorders>
            <w:shd w:val="clear" w:color="auto" w:fill="auto"/>
            <w:vAlign w:val="center"/>
            <w:hideMark/>
          </w:tcPr>
          <w:p w14:paraId="2B778E28" w14:textId="1ACD033C" w:rsidR="00F56D39" w:rsidRPr="00005453" w:rsidRDefault="00F56D39" w:rsidP="00F56D39">
            <w:pPr>
              <w:jc w:val="right"/>
              <w:rPr>
                <w:sz w:val="14"/>
                <w:szCs w:val="14"/>
                <w:lang w:eastAsia="tr-TR"/>
              </w:rPr>
            </w:pPr>
            <w:r w:rsidRPr="00005453">
              <w:rPr>
                <w:sz w:val="14"/>
                <w:szCs w:val="22"/>
              </w:rPr>
              <w:t>-</w:t>
            </w:r>
          </w:p>
        </w:tc>
        <w:tc>
          <w:tcPr>
            <w:tcW w:w="790" w:type="dxa"/>
            <w:tcBorders>
              <w:top w:val="nil"/>
              <w:left w:val="nil"/>
              <w:bottom w:val="nil"/>
              <w:right w:val="nil"/>
            </w:tcBorders>
            <w:shd w:val="clear" w:color="auto" w:fill="auto"/>
            <w:vAlign w:val="center"/>
            <w:hideMark/>
          </w:tcPr>
          <w:p w14:paraId="24955113" w14:textId="4F9A9E03" w:rsidR="00F56D39" w:rsidRPr="00005453" w:rsidRDefault="00F56D39" w:rsidP="00F56D39">
            <w:pPr>
              <w:jc w:val="right"/>
              <w:rPr>
                <w:sz w:val="14"/>
                <w:szCs w:val="14"/>
                <w:lang w:eastAsia="tr-TR"/>
              </w:rPr>
            </w:pPr>
            <w:r w:rsidRPr="00005453">
              <w:rPr>
                <w:sz w:val="14"/>
                <w:szCs w:val="22"/>
              </w:rPr>
              <w:t>-</w:t>
            </w:r>
          </w:p>
        </w:tc>
        <w:tc>
          <w:tcPr>
            <w:tcW w:w="840" w:type="dxa"/>
            <w:tcBorders>
              <w:top w:val="nil"/>
              <w:left w:val="nil"/>
              <w:bottom w:val="nil"/>
              <w:right w:val="nil"/>
            </w:tcBorders>
            <w:shd w:val="clear" w:color="auto" w:fill="auto"/>
            <w:vAlign w:val="center"/>
            <w:hideMark/>
          </w:tcPr>
          <w:p w14:paraId="0F5416C1" w14:textId="72339C4D" w:rsidR="00F56D39" w:rsidRPr="00005453" w:rsidRDefault="00F56D39" w:rsidP="00F56D39">
            <w:pPr>
              <w:jc w:val="right"/>
              <w:rPr>
                <w:sz w:val="14"/>
                <w:szCs w:val="14"/>
                <w:lang w:eastAsia="tr-TR"/>
              </w:rPr>
            </w:pPr>
            <w:r w:rsidRPr="00005453">
              <w:rPr>
                <w:sz w:val="14"/>
                <w:szCs w:val="22"/>
              </w:rPr>
              <w:t>-</w:t>
            </w:r>
          </w:p>
        </w:tc>
        <w:tc>
          <w:tcPr>
            <w:tcW w:w="770" w:type="dxa"/>
            <w:tcBorders>
              <w:top w:val="nil"/>
              <w:left w:val="nil"/>
              <w:bottom w:val="nil"/>
              <w:right w:val="nil"/>
            </w:tcBorders>
            <w:shd w:val="clear" w:color="auto" w:fill="auto"/>
            <w:vAlign w:val="center"/>
            <w:hideMark/>
          </w:tcPr>
          <w:p w14:paraId="27F99D37" w14:textId="3F2E397A" w:rsidR="00F56D39" w:rsidRPr="00005453" w:rsidRDefault="00F56D39" w:rsidP="00F56D39">
            <w:pPr>
              <w:jc w:val="right"/>
              <w:rPr>
                <w:sz w:val="14"/>
                <w:szCs w:val="14"/>
                <w:lang w:eastAsia="tr-TR"/>
              </w:rPr>
            </w:pPr>
            <w:r w:rsidRPr="00005453">
              <w:rPr>
                <w:sz w:val="14"/>
                <w:szCs w:val="22"/>
              </w:rPr>
              <w:t>-</w:t>
            </w:r>
          </w:p>
        </w:tc>
        <w:tc>
          <w:tcPr>
            <w:tcW w:w="634" w:type="dxa"/>
            <w:tcBorders>
              <w:top w:val="nil"/>
              <w:left w:val="nil"/>
              <w:bottom w:val="nil"/>
              <w:right w:val="nil"/>
            </w:tcBorders>
            <w:shd w:val="clear" w:color="auto" w:fill="auto"/>
            <w:vAlign w:val="center"/>
            <w:hideMark/>
          </w:tcPr>
          <w:p w14:paraId="2E111C2D" w14:textId="54A34A86" w:rsidR="00F56D39" w:rsidRPr="00005453" w:rsidRDefault="00F56D39" w:rsidP="00F56D39">
            <w:pPr>
              <w:jc w:val="right"/>
              <w:rPr>
                <w:sz w:val="14"/>
                <w:szCs w:val="14"/>
                <w:lang w:eastAsia="tr-TR"/>
              </w:rPr>
            </w:pPr>
            <w:r w:rsidRPr="00005453">
              <w:rPr>
                <w:sz w:val="14"/>
                <w:szCs w:val="22"/>
              </w:rPr>
              <w:t>-</w:t>
            </w:r>
          </w:p>
        </w:tc>
        <w:tc>
          <w:tcPr>
            <w:tcW w:w="1098" w:type="dxa"/>
            <w:tcBorders>
              <w:top w:val="nil"/>
              <w:left w:val="nil"/>
              <w:bottom w:val="nil"/>
              <w:right w:val="nil"/>
            </w:tcBorders>
            <w:shd w:val="clear" w:color="auto" w:fill="auto"/>
            <w:vAlign w:val="center"/>
            <w:hideMark/>
          </w:tcPr>
          <w:p w14:paraId="6172B1FA" w14:textId="1569E024" w:rsidR="00F56D39" w:rsidRPr="00005453" w:rsidRDefault="00F56D39" w:rsidP="00F56D39">
            <w:pPr>
              <w:jc w:val="right"/>
              <w:rPr>
                <w:sz w:val="14"/>
                <w:szCs w:val="14"/>
                <w:lang w:eastAsia="tr-TR"/>
              </w:rPr>
            </w:pPr>
            <w:r w:rsidRPr="00005453">
              <w:rPr>
                <w:sz w:val="14"/>
                <w:szCs w:val="22"/>
              </w:rPr>
              <w:t>-</w:t>
            </w:r>
          </w:p>
        </w:tc>
        <w:tc>
          <w:tcPr>
            <w:tcW w:w="727" w:type="dxa"/>
            <w:tcBorders>
              <w:top w:val="nil"/>
              <w:left w:val="nil"/>
              <w:bottom w:val="nil"/>
              <w:right w:val="nil"/>
            </w:tcBorders>
            <w:shd w:val="clear" w:color="auto" w:fill="auto"/>
            <w:vAlign w:val="center"/>
            <w:hideMark/>
          </w:tcPr>
          <w:p w14:paraId="0822B68A" w14:textId="3C2A2139" w:rsidR="00F56D39" w:rsidRPr="00005453" w:rsidRDefault="00F56D39" w:rsidP="00F56D39">
            <w:pPr>
              <w:jc w:val="right"/>
              <w:rPr>
                <w:sz w:val="14"/>
                <w:szCs w:val="14"/>
                <w:lang w:eastAsia="tr-TR"/>
              </w:rPr>
            </w:pPr>
            <w:r w:rsidRPr="00005453">
              <w:rPr>
                <w:sz w:val="14"/>
                <w:szCs w:val="22"/>
              </w:rPr>
              <w:t>-</w:t>
            </w:r>
          </w:p>
        </w:tc>
        <w:tc>
          <w:tcPr>
            <w:tcW w:w="699" w:type="dxa"/>
            <w:tcBorders>
              <w:top w:val="nil"/>
              <w:left w:val="nil"/>
              <w:bottom w:val="nil"/>
              <w:right w:val="nil"/>
            </w:tcBorders>
            <w:shd w:val="clear" w:color="auto" w:fill="auto"/>
            <w:vAlign w:val="center"/>
            <w:hideMark/>
          </w:tcPr>
          <w:p w14:paraId="36C18322" w14:textId="13475F85" w:rsidR="00F56D39" w:rsidRPr="00005453" w:rsidRDefault="00F56D39" w:rsidP="00F56D39">
            <w:pPr>
              <w:jc w:val="right"/>
              <w:rPr>
                <w:sz w:val="14"/>
                <w:szCs w:val="14"/>
                <w:lang w:eastAsia="tr-TR"/>
              </w:rPr>
            </w:pPr>
            <w:r w:rsidRPr="00005453">
              <w:rPr>
                <w:sz w:val="14"/>
                <w:szCs w:val="22"/>
              </w:rPr>
              <w:t>-</w:t>
            </w:r>
          </w:p>
        </w:tc>
        <w:tc>
          <w:tcPr>
            <w:tcW w:w="845" w:type="dxa"/>
            <w:tcBorders>
              <w:top w:val="nil"/>
              <w:left w:val="nil"/>
              <w:bottom w:val="nil"/>
              <w:right w:val="nil"/>
            </w:tcBorders>
            <w:shd w:val="clear" w:color="auto" w:fill="auto"/>
            <w:vAlign w:val="center"/>
            <w:hideMark/>
          </w:tcPr>
          <w:p w14:paraId="38D06F44" w14:textId="048840DE" w:rsidR="00F56D39" w:rsidRPr="00005453" w:rsidRDefault="00F56D39" w:rsidP="00F56D39">
            <w:pPr>
              <w:jc w:val="right"/>
              <w:rPr>
                <w:sz w:val="14"/>
                <w:szCs w:val="14"/>
                <w:lang w:eastAsia="tr-TR"/>
              </w:rPr>
            </w:pPr>
            <w:r w:rsidRPr="00005453">
              <w:rPr>
                <w:sz w:val="14"/>
                <w:szCs w:val="22"/>
              </w:rPr>
              <w:t>-</w:t>
            </w:r>
          </w:p>
        </w:tc>
      </w:tr>
      <w:tr w:rsidR="00F56D39" w:rsidRPr="00005453" w14:paraId="2765A383" w14:textId="77777777" w:rsidTr="00B43506">
        <w:trPr>
          <w:divId w:val="617109764"/>
          <w:trHeight w:val="153"/>
        </w:trPr>
        <w:tc>
          <w:tcPr>
            <w:tcW w:w="2654" w:type="dxa"/>
            <w:tcBorders>
              <w:top w:val="nil"/>
              <w:left w:val="nil"/>
              <w:bottom w:val="single" w:sz="8" w:space="0" w:color="000000"/>
              <w:right w:val="nil"/>
            </w:tcBorders>
            <w:shd w:val="clear" w:color="auto" w:fill="auto"/>
            <w:vAlign w:val="center"/>
            <w:hideMark/>
          </w:tcPr>
          <w:p w14:paraId="2C3D532E" w14:textId="6DC39B34" w:rsidR="00906BF9" w:rsidRPr="00005453" w:rsidRDefault="00906BF9" w:rsidP="00835EEC">
            <w:pPr>
              <w:ind w:firstLineChars="100" w:firstLine="60"/>
              <w:rPr>
                <w:color w:val="000000"/>
                <w:sz w:val="6"/>
                <w:szCs w:val="6"/>
                <w:lang w:eastAsia="tr-TR"/>
              </w:rPr>
            </w:pPr>
          </w:p>
        </w:tc>
        <w:tc>
          <w:tcPr>
            <w:tcW w:w="845" w:type="dxa"/>
            <w:tcBorders>
              <w:top w:val="nil"/>
              <w:left w:val="nil"/>
              <w:bottom w:val="single" w:sz="8" w:space="0" w:color="000000"/>
              <w:right w:val="nil"/>
            </w:tcBorders>
            <w:shd w:val="clear" w:color="auto" w:fill="auto"/>
            <w:vAlign w:val="center"/>
            <w:hideMark/>
          </w:tcPr>
          <w:p w14:paraId="47ACCB66" w14:textId="04261647" w:rsidR="00906BF9" w:rsidRPr="00005453" w:rsidRDefault="00906BF9" w:rsidP="00835EEC">
            <w:pPr>
              <w:jc w:val="right"/>
              <w:rPr>
                <w:sz w:val="6"/>
                <w:szCs w:val="6"/>
                <w:lang w:eastAsia="tr-TR"/>
              </w:rPr>
            </w:pPr>
          </w:p>
        </w:tc>
        <w:tc>
          <w:tcPr>
            <w:tcW w:w="790" w:type="dxa"/>
            <w:tcBorders>
              <w:top w:val="nil"/>
              <w:left w:val="nil"/>
              <w:bottom w:val="single" w:sz="8" w:space="0" w:color="000000"/>
              <w:right w:val="nil"/>
            </w:tcBorders>
            <w:shd w:val="clear" w:color="auto" w:fill="auto"/>
            <w:vAlign w:val="center"/>
            <w:hideMark/>
          </w:tcPr>
          <w:p w14:paraId="4B03F107" w14:textId="443142FC" w:rsidR="00906BF9" w:rsidRPr="00005453" w:rsidRDefault="00906BF9" w:rsidP="00835EEC">
            <w:pPr>
              <w:jc w:val="right"/>
              <w:rPr>
                <w:sz w:val="6"/>
                <w:szCs w:val="6"/>
                <w:lang w:eastAsia="tr-TR"/>
              </w:rPr>
            </w:pPr>
          </w:p>
        </w:tc>
        <w:tc>
          <w:tcPr>
            <w:tcW w:w="840" w:type="dxa"/>
            <w:tcBorders>
              <w:top w:val="nil"/>
              <w:left w:val="nil"/>
              <w:bottom w:val="nil"/>
              <w:right w:val="nil"/>
            </w:tcBorders>
            <w:shd w:val="clear" w:color="auto" w:fill="auto"/>
            <w:vAlign w:val="center"/>
            <w:hideMark/>
          </w:tcPr>
          <w:p w14:paraId="714285BD" w14:textId="30E3A94C" w:rsidR="00906BF9" w:rsidRPr="00005453" w:rsidRDefault="00906BF9" w:rsidP="00835EEC">
            <w:pPr>
              <w:jc w:val="right"/>
              <w:rPr>
                <w:sz w:val="6"/>
                <w:szCs w:val="6"/>
                <w:lang w:eastAsia="tr-TR"/>
              </w:rPr>
            </w:pPr>
          </w:p>
        </w:tc>
        <w:tc>
          <w:tcPr>
            <w:tcW w:w="770" w:type="dxa"/>
            <w:tcBorders>
              <w:top w:val="nil"/>
              <w:left w:val="nil"/>
              <w:bottom w:val="single" w:sz="8" w:space="0" w:color="auto"/>
              <w:right w:val="nil"/>
            </w:tcBorders>
            <w:shd w:val="clear" w:color="auto" w:fill="auto"/>
            <w:vAlign w:val="center"/>
            <w:hideMark/>
          </w:tcPr>
          <w:p w14:paraId="20118897" w14:textId="28E283BB" w:rsidR="00906BF9" w:rsidRPr="00005453" w:rsidRDefault="00906BF9" w:rsidP="00835EEC">
            <w:pPr>
              <w:jc w:val="right"/>
              <w:rPr>
                <w:sz w:val="6"/>
                <w:szCs w:val="6"/>
                <w:lang w:eastAsia="tr-TR"/>
              </w:rPr>
            </w:pPr>
          </w:p>
        </w:tc>
        <w:tc>
          <w:tcPr>
            <w:tcW w:w="634" w:type="dxa"/>
            <w:tcBorders>
              <w:top w:val="nil"/>
              <w:left w:val="nil"/>
              <w:bottom w:val="nil"/>
              <w:right w:val="nil"/>
            </w:tcBorders>
            <w:shd w:val="clear" w:color="auto" w:fill="auto"/>
            <w:vAlign w:val="center"/>
            <w:hideMark/>
          </w:tcPr>
          <w:p w14:paraId="5BB1D61B" w14:textId="77777777" w:rsidR="00906BF9" w:rsidRPr="00005453" w:rsidRDefault="00906BF9" w:rsidP="00835EEC">
            <w:pPr>
              <w:jc w:val="right"/>
              <w:rPr>
                <w:sz w:val="6"/>
                <w:szCs w:val="6"/>
                <w:lang w:eastAsia="tr-TR"/>
              </w:rPr>
            </w:pPr>
          </w:p>
        </w:tc>
        <w:tc>
          <w:tcPr>
            <w:tcW w:w="1098" w:type="dxa"/>
            <w:tcBorders>
              <w:top w:val="nil"/>
              <w:left w:val="nil"/>
              <w:bottom w:val="nil"/>
              <w:right w:val="nil"/>
            </w:tcBorders>
            <w:shd w:val="clear" w:color="auto" w:fill="auto"/>
            <w:vAlign w:val="center"/>
            <w:hideMark/>
          </w:tcPr>
          <w:p w14:paraId="506FAE10" w14:textId="77777777" w:rsidR="00906BF9" w:rsidRPr="00005453" w:rsidRDefault="00906BF9" w:rsidP="00614CD2">
            <w:pPr>
              <w:rPr>
                <w:sz w:val="6"/>
                <w:szCs w:val="6"/>
                <w:lang w:eastAsia="tr-TR"/>
              </w:rPr>
            </w:pPr>
          </w:p>
        </w:tc>
        <w:tc>
          <w:tcPr>
            <w:tcW w:w="727" w:type="dxa"/>
            <w:tcBorders>
              <w:top w:val="nil"/>
              <w:left w:val="nil"/>
              <w:bottom w:val="nil"/>
              <w:right w:val="nil"/>
            </w:tcBorders>
            <w:shd w:val="clear" w:color="auto" w:fill="auto"/>
            <w:vAlign w:val="center"/>
            <w:hideMark/>
          </w:tcPr>
          <w:p w14:paraId="67757700" w14:textId="77777777" w:rsidR="00906BF9" w:rsidRPr="00005453" w:rsidRDefault="00906BF9" w:rsidP="00835EEC">
            <w:pPr>
              <w:jc w:val="right"/>
              <w:rPr>
                <w:sz w:val="6"/>
                <w:szCs w:val="6"/>
                <w:lang w:eastAsia="tr-TR"/>
              </w:rPr>
            </w:pPr>
          </w:p>
        </w:tc>
        <w:tc>
          <w:tcPr>
            <w:tcW w:w="699" w:type="dxa"/>
            <w:tcBorders>
              <w:top w:val="nil"/>
              <w:left w:val="nil"/>
              <w:bottom w:val="nil"/>
              <w:right w:val="nil"/>
            </w:tcBorders>
            <w:shd w:val="clear" w:color="auto" w:fill="auto"/>
            <w:vAlign w:val="center"/>
          </w:tcPr>
          <w:p w14:paraId="20631704" w14:textId="7B6ECCFA" w:rsidR="00906BF9" w:rsidRPr="00005453" w:rsidRDefault="00906BF9" w:rsidP="00835EEC">
            <w:pPr>
              <w:jc w:val="right"/>
              <w:rPr>
                <w:sz w:val="6"/>
                <w:szCs w:val="6"/>
                <w:lang w:eastAsia="tr-TR"/>
              </w:rPr>
            </w:pPr>
          </w:p>
        </w:tc>
        <w:tc>
          <w:tcPr>
            <w:tcW w:w="845" w:type="dxa"/>
            <w:tcBorders>
              <w:top w:val="nil"/>
              <w:left w:val="nil"/>
              <w:bottom w:val="single" w:sz="8" w:space="0" w:color="000000"/>
              <w:right w:val="nil"/>
            </w:tcBorders>
            <w:shd w:val="clear" w:color="auto" w:fill="auto"/>
            <w:vAlign w:val="center"/>
          </w:tcPr>
          <w:p w14:paraId="1476AA08" w14:textId="4183E180" w:rsidR="00906BF9" w:rsidRPr="00005453" w:rsidRDefault="00906BF9" w:rsidP="00835EEC">
            <w:pPr>
              <w:jc w:val="right"/>
              <w:rPr>
                <w:sz w:val="6"/>
                <w:szCs w:val="6"/>
                <w:lang w:eastAsia="tr-TR"/>
              </w:rPr>
            </w:pPr>
          </w:p>
        </w:tc>
      </w:tr>
      <w:tr w:rsidR="00F56D39" w:rsidRPr="00005453" w14:paraId="61D3204F" w14:textId="77777777" w:rsidTr="00B43506">
        <w:trPr>
          <w:divId w:val="617109764"/>
          <w:trHeight w:val="153"/>
        </w:trPr>
        <w:tc>
          <w:tcPr>
            <w:tcW w:w="2654" w:type="dxa"/>
            <w:tcBorders>
              <w:top w:val="nil"/>
              <w:left w:val="nil"/>
              <w:bottom w:val="single" w:sz="8" w:space="0" w:color="auto"/>
              <w:right w:val="nil"/>
            </w:tcBorders>
            <w:shd w:val="clear" w:color="auto" w:fill="auto"/>
            <w:vAlign w:val="center"/>
            <w:hideMark/>
          </w:tcPr>
          <w:p w14:paraId="013EB1AF" w14:textId="49DFE0C2" w:rsidR="00F56D39" w:rsidRPr="00005453" w:rsidRDefault="00F56D39" w:rsidP="00F56D39">
            <w:pPr>
              <w:ind w:firstLineChars="100" w:firstLine="141"/>
              <w:rPr>
                <w:b/>
                <w:bCs/>
                <w:color w:val="000000"/>
                <w:sz w:val="14"/>
                <w:szCs w:val="14"/>
                <w:lang w:eastAsia="tr-TR"/>
              </w:rPr>
            </w:pPr>
            <w:r w:rsidRPr="00005453">
              <w:rPr>
                <w:b/>
                <w:bCs/>
                <w:color w:val="000000"/>
                <w:sz w:val="14"/>
                <w:szCs w:val="14"/>
                <w:lang w:eastAsia="tr-TR"/>
              </w:rPr>
              <w:t>Toplam (**)</w:t>
            </w:r>
          </w:p>
        </w:tc>
        <w:tc>
          <w:tcPr>
            <w:tcW w:w="845" w:type="dxa"/>
            <w:tcBorders>
              <w:top w:val="nil"/>
              <w:left w:val="nil"/>
              <w:bottom w:val="single" w:sz="8" w:space="0" w:color="auto"/>
              <w:right w:val="nil"/>
            </w:tcBorders>
            <w:shd w:val="clear" w:color="auto" w:fill="auto"/>
            <w:vAlign w:val="center"/>
            <w:hideMark/>
          </w:tcPr>
          <w:p w14:paraId="5D3338ED" w14:textId="75929E73" w:rsidR="00F56D39" w:rsidRPr="00005453" w:rsidRDefault="00F56D39" w:rsidP="00F56D39">
            <w:pPr>
              <w:jc w:val="right"/>
              <w:rPr>
                <w:b/>
                <w:bCs/>
                <w:sz w:val="14"/>
                <w:szCs w:val="14"/>
                <w:lang w:eastAsia="tr-TR"/>
              </w:rPr>
            </w:pPr>
            <w:r w:rsidRPr="00005453">
              <w:rPr>
                <w:b/>
                <w:sz w:val="14"/>
                <w:szCs w:val="22"/>
              </w:rPr>
              <w:t>320,527,275</w:t>
            </w:r>
          </w:p>
        </w:tc>
        <w:tc>
          <w:tcPr>
            <w:tcW w:w="790" w:type="dxa"/>
            <w:tcBorders>
              <w:top w:val="nil"/>
              <w:left w:val="nil"/>
              <w:bottom w:val="single" w:sz="8" w:space="0" w:color="auto"/>
              <w:right w:val="nil"/>
            </w:tcBorders>
            <w:shd w:val="clear" w:color="auto" w:fill="auto"/>
            <w:vAlign w:val="center"/>
            <w:hideMark/>
          </w:tcPr>
          <w:p w14:paraId="111BB857" w14:textId="600AAAA7" w:rsidR="00F56D39" w:rsidRPr="00005453" w:rsidRDefault="00F56D39" w:rsidP="00F56D39">
            <w:pPr>
              <w:jc w:val="right"/>
              <w:rPr>
                <w:b/>
                <w:bCs/>
                <w:sz w:val="14"/>
                <w:szCs w:val="14"/>
                <w:lang w:eastAsia="tr-TR"/>
              </w:rPr>
            </w:pPr>
            <w:r w:rsidRPr="00005453">
              <w:rPr>
                <w:b/>
                <w:sz w:val="14"/>
                <w:szCs w:val="22"/>
              </w:rPr>
              <w:t>65,562,005</w:t>
            </w:r>
          </w:p>
        </w:tc>
        <w:tc>
          <w:tcPr>
            <w:tcW w:w="840" w:type="dxa"/>
            <w:tcBorders>
              <w:top w:val="single" w:sz="8" w:space="0" w:color="auto"/>
              <w:left w:val="nil"/>
              <w:bottom w:val="single" w:sz="8" w:space="0" w:color="auto"/>
              <w:right w:val="nil"/>
            </w:tcBorders>
            <w:shd w:val="clear" w:color="auto" w:fill="auto"/>
            <w:vAlign w:val="center"/>
            <w:hideMark/>
          </w:tcPr>
          <w:p w14:paraId="6F7B912F" w14:textId="39AD113B" w:rsidR="00F56D39" w:rsidRPr="00005453" w:rsidRDefault="00F56D39" w:rsidP="00F56D39">
            <w:pPr>
              <w:jc w:val="right"/>
              <w:rPr>
                <w:b/>
                <w:bCs/>
                <w:sz w:val="14"/>
                <w:szCs w:val="14"/>
                <w:lang w:eastAsia="tr-TR"/>
              </w:rPr>
            </w:pPr>
            <w:r w:rsidRPr="00005453">
              <w:rPr>
                <w:b/>
                <w:sz w:val="14"/>
                <w:szCs w:val="22"/>
              </w:rPr>
              <w:t>138,964,436</w:t>
            </w:r>
          </w:p>
        </w:tc>
        <w:tc>
          <w:tcPr>
            <w:tcW w:w="770" w:type="dxa"/>
            <w:tcBorders>
              <w:top w:val="nil"/>
              <w:left w:val="nil"/>
              <w:bottom w:val="single" w:sz="8" w:space="0" w:color="auto"/>
              <w:right w:val="nil"/>
            </w:tcBorders>
            <w:shd w:val="clear" w:color="auto" w:fill="auto"/>
            <w:vAlign w:val="center"/>
            <w:hideMark/>
          </w:tcPr>
          <w:p w14:paraId="727D9F06" w14:textId="6446FC49" w:rsidR="00F56D39" w:rsidRPr="00005453" w:rsidRDefault="00F56D39" w:rsidP="00F56D39">
            <w:pPr>
              <w:jc w:val="right"/>
              <w:rPr>
                <w:b/>
                <w:bCs/>
                <w:sz w:val="14"/>
                <w:szCs w:val="14"/>
                <w:lang w:eastAsia="tr-TR"/>
              </w:rPr>
            </w:pPr>
            <w:r w:rsidRPr="00005453">
              <w:rPr>
                <w:b/>
                <w:sz w:val="14"/>
                <w:szCs w:val="22"/>
              </w:rPr>
              <w:t>10,520,523</w:t>
            </w:r>
          </w:p>
        </w:tc>
        <w:tc>
          <w:tcPr>
            <w:tcW w:w="634" w:type="dxa"/>
            <w:tcBorders>
              <w:top w:val="single" w:sz="8" w:space="0" w:color="auto"/>
              <w:left w:val="nil"/>
              <w:bottom w:val="single" w:sz="8" w:space="0" w:color="auto"/>
              <w:right w:val="nil"/>
            </w:tcBorders>
            <w:shd w:val="clear" w:color="auto" w:fill="auto"/>
            <w:vAlign w:val="center"/>
            <w:hideMark/>
          </w:tcPr>
          <w:p w14:paraId="584A9932" w14:textId="795ECD19" w:rsidR="00F56D39" w:rsidRPr="00005453" w:rsidRDefault="00F56D39" w:rsidP="00F56D39">
            <w:pPr>
              <w:jc w:val="right"/>
              <w:rPr>
                <w:b/>
                <w:bCs/>
                <w:sz w:val="14"/>
                <w:szCs w:val="14"/>
                <w:lang w:eastAsia="tr-TR"/>
              </w:rPr>
            </w:pPr>
            <w:r w:rsidRPr="00005453">
              <w:rPr>
                <w:b/>
                <w:bCs/>
                <w:sz w:val="14"/>
                <w:szCs w:val="14"/>
                <w:lang w:eastAsia="tr-TR"/>
              </w:rPr>
              <w:t>-</w:t>
            </w:r>
          </w:p>
        </w:tc>
        <w:tc>
          <w:tcPr>
            <w:tcW w:w="1098" w:type="dxa"/>
            <w:tcBorders>
              <w:top w:val="single" w:sz="8" w:space="0" w:color="auto"/>
              <w:left w:val="nil"/>
              <w:bottom w:val="single" w:sz="8" w:space="0" w:color="auto"/>
              <w:right w:val="nil"/>
            </w:tcBorders>
            <w:shd w:val="clear" w:color="auto" w:fill="auto"/>
            <w:vAlign w:val="center"/>
            <w:hideMark/>
          </w:tcPr>
          <w:p w14:paraId="40E40248" w14:textId="05E1F329" w:rsidR="00F56D39" w:rsidRPr="00005453" w:rsidRDefault="00F56D39" w:rsidP="00F56D39">
            <w:pPr>
              <w:jc w:val="right"/>
              <w:rPr>
                <w:b/>
                <w:bCs/>
                <w:sz w:val="14"/>
                <w:szCs w:val="14"/>
                <w:lang w:eastAsia="tr-TR"/>
              </w:rPr>
            </w:pPr>
            <w:r w:rsidRPr="00005453">
              <w:rPr>
                <w:b/>
                <w:sz w:val="14"/>
                <w:szCs w:val="22"/>
              </w:rPr>
              <w:t>40,439,463</w:t>
            </w:r>
          </w:p>
        </w:tc>
        <w:tc>
          <w:tcPr>
            <w:tcW w:w="727" w:type="dxa"/>
            <w:tcBorders>
              <w:top w:val="single" w:sz="8" w:space="0" w:color="auto"/>
              <w:left w:val="nil"/>
              <w:bottom w:val="single" w:sz="8" w:space="0" w:color="auto"/>
              <w:right w:val="nil"/>
            </w:tcBorders>
            <w:shd w:val="clear" w:color="auto" w:fill="auto"/>
            <w:vAlign w:val="center"/>
            <w:hideMark/>
          </w:tcPr>
          <w:p w14:paraId="06386C4F" w14:textId="7B0E5772" w:rsidR="00F56D39" w:rsidRPr="00005453" w:rsidRDefault="00F56D39" w:rsidP="00F56D39">
            <w:pPr>
              <w:jc w:val="right"/>
              <w:rPr>
                <w:b/>
                <w:bCs/>
                <w:sz w:val="14"/>
                <w:szCs w:val="14"/>
                <w:lang w:eastAsia="tr-TR"/>
              </w:rPr>
            </w:pPr>
            <w:r w:rsidRPr="00005453">
              <w:rPr>
                <w:b/>
                <w:sz w:val="14"/>
                <w:szCs w:val="22"/>
              </w:rPr>
              <w:t>9,515,399</w:t>
            </w:r>
          </w:p>
        </w:tc>
        <w:tc>
          <w:tcPr>
            <w:tcW w:w="699" w:type="dxa"/>
            <w:tcBorders>
              <w:top w:val="single" w:sz="8" w:space="0" w:color="auto"/>
              <w:left w:val="nil"/>
              <w:bottom w:val="single" w:sz="8" w:space="0" w:color="auto"/>
              <w:right w:val="nil"/>
            </w:tcBorders>
            <w:shd w:val="clear" w:color="auto" w:fill="auto"/>
            <w:vAlign w:val="center"/>
            <w:hideMark/>
          </w:tcPr>
          <w:p w14:paraId="3D9FD89C" w14:textId="077168CF" w:rsidR="00F56D39" w:rsidRPr="00005453" w:rsidRDefault="00F56D39" w:rsidP="00F56D39">
            <w:pPr>
              <w:jc w:val="right"/>
              <w:rPr>
                <w:b/>
                <w:bCs/>
                <w:sz w:val="14"/>
                <w:szCs w:val="14"/>
                <w:lang w:eastAsia="tr-TR"/>
              </w:rPr>
            </w:pPr>
            <w:r w:rsidRPr="00005453">
              <w:rPr>
                <w:b/>
                <w:sz w:val="14"/>
                <w:szCs w:val="22"/>
              </w:rPr>
              <w:t>34,812</w:t>
            </w:r>
          </w:p>
        </w:tc>
        <w:tc>
          <w:tcPr>
            <w:tcW w:w="845" w:type="dxa"/>
            <w:tcBorders>
              <w:top w:val="nil"/>
              <w:left w:val="nil"/>
              <w:bottom w:val="single" w:sz="8" w:space="0" w:color="auto"/>
              <w:right w:val="nil"/>
            </w:tcBorders>
            <w:shd w:val="clear" w:color="auto" w:fill="auto"/>
            <w:vAlign w:val="center"/>
            <w:hideMark/>
          </w:tcPr>
          <w:p w14:paraId="38459E35" w14:textId="2347A635" w:rsidR="00F56D39" w:rsidRPr="00005453" w:rsidRDefault="00F56D39" w:rsidP="00F56D39">
            <w:pPr>
              <w:jc w:val="right"/>
              <w:rPr>
                <w:b/>
                <w:bCs/>
                <w:sz w:val="14"/>
                <w:szCs w:val="14"/>
                <w:lang w:eastAsia="tr-TR"/>
              </w:rPr>
            </w:pPr>
            <w:r w:rsidRPr="00005453">
              <w:rPr>
                <w:b/>
                <w:sz w:val="14"/>
                <w:szCs w:val="22"/>
              </w:rPr>
              <w:t>585,563,913</w:t>
            </w:r>
          </w:p>
        </w:tc>
      </w:tr>
      <w:bookmarkEnd w:id="87"/>
    </w:tbl>
    <w:p w14:paraId="6013A940" w14:textId="07FE4F7D" w:rsidR="00C12AF5" w:rsidRPr="00005453" w:rsidRDefault="00C12AF5" w:rsidP="000F096F">
      <w:pPr>
        <w:pStyle w:val="EndnoteText"/>
        <w:autoSpaceDE w:val="0"/>
        <w:autoSpaceDN w:val="0"/>
        <w:adjustRightInd w:val="0"/>
        <w:rPr>
          <w:rFonts w:eastAsia="Arial Unicode MS"/>
          <w:sz w:val="6"/>
          <w:szCs w:val="6"/>
        </w:rPr>
      </w:pPr>
    </w:p>
    <w:p w14:paraId="233B7663" w14:textId="66B5515B" w:rsidR="00DB63BA" w:rsidRPr="00005453" w:rsidRDefault="00DB63BA" w:rsidP="00DB63BA">
      <w:pPr>
        <w:pStyle w:val="EndnoteText"/>
        <w:autoSpaceDE w:val="0"/>
        <w:autoSpaceDN w:val="0"/>
        <w:adjustRightInd w:val="0"/>
        <w:ind w:left="-709"/>
        <w:rPr>
          <w:rFonts w:eastAsia="Arial Unicode MS"/>
          <w:sz w:val="16"/>
          <w:szCs w:val="16"/>
        </w:rPr>
      </w:pPr>
      <w:r w:rsidRPr="00005453">
        <w:rPr>
          <w:rFonts w:eastAsia="Arial Unicode MS"/>
          <w:sz w:val="16"/>
          <w:szCs w:val="16"/>
        </w:rPr>
        <w:t xml:space="preserve">(*) </w:t>
      </w:r>
      <w:r w:rsidR="00482DED" w:rsidRPr="00005453">
        <w:rPr>
          <w:rFonts w:eastAsia="Arial Unicode MS"/>
          <w:sz w:val="16"/>
          <w:szCs w:val="16"/>
        </w:rPr>
        <w:t xml:space="preserve">         </w:t>
      </w:r>
      <w:r w:rsidRPr="00005453">
        <w:rPr>
          <w:rFonts w:eastAsia="Arial Unicode MS"/>
          <w:sz w:val="16"/>
          <w:szCs w:val="16"/>
        </w:rPr>
        <w:t>Banka’nın 7 gün ihbarlı hesabı bulunmamaktadır.</w:t>
      </w:r>
    </w:p>
    <w:p w14:paraId="0BD74242" w14:textId="055DEB7F" w:rsidR="00906BF9" w:rsidRPr="00005453" w:rsidRDefault="00DB63BA" w:rsidP="00B940A5">
      <w:pPr>
        <w:spacing w:line="214" w:lineRule="auto"/>
        <w:ind w:left="-142" w:hanging="567"/>
        <w:jc w:val="both"/>
        <w:rPr>
          <w:rFonts w:eastAsia="Arial Unicode MS"/>
        </w:rPr>
      </w:pPr>
      <w:r w:rsidRPr="00005453">
        <w:rPr>
          <w:rFonts w:eastAsia="Arial Unicode MS"/>
          <w:sz w:val="16"/>
          <w:szCs w:val="16"/>
        </w:rPr>
        <w:t>(**)</w:t>
      </w:r>
      <w:r w:rsidRPr="00005453">
        <w:rPr>
          <w:rFonts w:eastAsia="Arial Unicode MS"/>
          <w:sz w:val="16"/>
          <w:szCs w:val="16"/>
        </w:rPr>
        <w:tab/>
      </w:r>
      <w:r w:rsidR="00482DED" w:rsidRPr="00005453">
        <w:rPr>
          <w:sz w:val="16"/>
          <w:szCs w:val="16"/>
        </w:rPr>
        <w:t>31 Aralık 202</w:t>
      </w:r>
      <w:r w:rsidR="00476466" w:rsidRPr="00005453">
        <w:rPr>
          <w:sz w:val="16"/>
          <w:szCs w:val="16"/>
        </w:rPr>
        <w:t>4</w:t>
      </w:r>
      <w:r w:rsidR="00482DED" w:rsidRPr="00005453">
        <w:rPr>
          <w:sz w:val="16"/>
          <w:szCs w:val="16"/>
        </w:rPr>
        <w:t xml:space="preserve"> </w:t>
      </w:r>
      <w:r w:rsidR="002F5480" w:rsidRPr="00005453">
        <w:rPr>
          <w:sz w:val="16"/>
          <w:szCs w:val="16"/>
        </w:rPr>
        <w:t xml:space="preserve">itibarıyla </w:t>
      </w:r>
      <w:r w:rsidR="00482DED" w:rsidRPr="00005453">
        <w:rPr>
          <w:sz w:val="16"/>
          <w:szCs w:val="16"/>
        </w:rPr>
        <w:t xml:space="preserve">Banka'nın, 21 Aralık 2021 tarih ve 31696 sayılı Resmi Gazete'de TCMB tarafından yayınlanan "Türk Lirası Mevduat ve Katılma Hesaplarına Dönüşümün Desteklenmesi Hakkında Tebliğ" kapsamında açılan </w:t>
      </w:r>
      <w:r w:rsidR="00B940A5" w:rsidRPr="00005453">
        <w:rPr>
          <w:sz w:val="16"/>
          <w:szCs w:val="16"/>
        </w:rPr>
        <w:t>62</w:t>
      </w:r>
      <w:r w:rsidR="00482DED" w:rsidRPr="00005453">
        <w:rPr>
          <w:sz w:val="16"/>
          <w:szCs w:val="16"/>
        </w:rPr>
        <w:t>,</w:t>
      </w:r>
      <w:r w:rsidR="00B940A5" w:rsidRPr="00005453">
        <w:rPr>
          <w:sz w:val="16"/>
          <w:szCs w:val="16"/>
        </w:rPr>
        <w:t>001</w:t>
      </w:r>
      <w:r w:rsidR="00482DED" w:rsidRPr="00005453">
        <w:rPr>
          <w:sz w:val="16"/>
          <w:szCs w:val="16"/>
        </w:rPr>
        <w:t>,</w:t>
      </w:r>
      <w:r w:rsidR="00B940A5" w:rsidRPr="00005453">
        <w:rPr>
          <w:sz w:val="16"/>
          <w:szCs w:val="16"/>
        </w:rPr>
        <w:t>875</w:t>
      </w:r>
      <w:r w:rsidR="00482DED" w:rsidRPr="00005453">
        <w:rPr>
          <w:sz w:val="16"/>
          <w:szCs w:val="16"/>
        </w:rPr>
        <w:t xml:space="preserve"> TL (31 Aralık 202</w:t>
      </w:r>
      <w:r w:rsidR="004956A6" w:rsidRPr="00005453">
        <w:rPr>
          <w:sz w:val="16"/>
          <w:szCs w:val="16"/>
        </w:rPr>
        <w:t>3</w:t>
      </w:r>
      <w:r w:rsidR="00482DED" w:rsidRPr="00005453">
        <w:rPr>
          <w:sz w:val="16"/>
          <w:szCs w:val="16"/>
        </w:rPr>
        <w:t xml:space="preserve">; </w:t>
      </w:r>
      <w:r w:rsidR="004956A6" w:rsidRPr="00005453">
        <w:rPr>
          <w:sz w:val="16"/>
          <w:szCs w:val="16"/>
        </w:rPr>
        <w:t>85</w:t>
      </w:r>
      <w:r w:rsidR="00B32D02" w:rsidRPr="00005453">
        <w:rPr>
          <w:sz w:val="16"/>
          <w:szCs w:val="16"/>
        </w:rPr>
        <w:t>,2</w:t>
      </w:r>
      <w:r w:rsidR="004956A6" w:rsidRPr="00005453">
        <w:rPr>
          <w:sz w:val="16"/>
          <w:szCs w:val="16"/>
        </w:rPr>
        <w:t>58</w:t>
      </w:r>
      <w:r w:rsidR="00B32D02" w:rsidRPr="00005453">
        <w:rPr>
          <w:sz w:val="16"/>
          <w:szCs w:val="16"/>
        </w:rPr>
        <w:t>,</w:t>
      </w:r>
      <w:r w:rsidR="004956A6" w:rsidRPr="00005453">
        <w:rPr>
          <w:sz w:val="16"/>
          <w:szCs w:val="16"/>
        </w:rPr>
        <w:t>512</w:t>
      </w:r>
      <w:r w:rsidR="00B32D02" w:rsidRPr="00005453">
        <w:rPr>
          <w:sz w:val="16"/>
          <w:szCs w:val="16"/>
        </w:rPr>
        <w:t xml:space="preserve"> </w:t>
      </w:r>
      <w:r w:rsidR="00482DED" w:rsidRPr="00005453">
        <w:rPr>
          <w:sz w:val="16"/>
          <w:szCs w:val="16"/>
        </w:rPr>
        <w:t xml:space="preserve">TL) ve </w:t>
      </w:r>
      <w:r w:rsidR="00B940A5" w:rsidRPr="00005453">
        <w:rPr>
          <w:sz w:val="16"/>
          <w:szCs w:val="16"/>
        </w:rPr>
        <w:t>24 Aralık 2021 tarihli TC Hazine ve Maliye Bakanlığı ("Hazine") duyurusu kapsamında açılan 4,</w:t>
      </w:r>
      <w:r w:rsidR="004A0844" w:rsidRPr="00005453">
        <w:rPr>
          <w:sz w:val="16"/>
          <w:szCs w:val="16"/>
        </w:rPr>
        <w:t>810</w:t>
      </w:r>
      <w:r w:rsidR="00B940A5" w:rsidRPr="00005453">
        <w:rPr>
          <w:sz w:val="16"/>
          <w:szCs w:val="16"/>
        </w:rPr>
        <w:t xml:space="preserve"> TL (31 Aralık 2023; 31,237,123 TL) olmak üzere toplam </w:t>
      </w:r>
      <w:r w:rsidR="004A0844" w:rsidRPr="00005453">
        <w:rPr>
          <w:sz w:val="16"/>
          <w:szCs w:val="16"/>
        </w:rPr>
        <w:t>62</w:t>
      </w:r>
      <w:r w:rsidR="00B940A5" w:rsidRPr="00005453">
        <w:rPr>
          <w:sz w:val="16"/>
          <w:szCs w:val="16"/>
        </w:rPr>
        <w:t>,</w:t>
      </w:r>
      <w:r w:rsidR="004A0844" w:rsidRPr="00005453">
        <w:rPr>
          <w:sz w:val="16"/>
          <w:szCs w:val="16"/>
        </w:rPr>
        <w:t>006</w:t>
      </w:r>
      <w:r w:rsidR="00B940A5" w:rsidRPr="00005453">
        <w:rPr>
          <w:sz w:val="16"/>
          <w:szCs w:val="16"/>
        </w:rPr>
        <w:t>,</w:t>
      </w:r>
      <w:r w:rsidR="004A0844" w:rsidRPr="00005453">
        <w:rPr>
          <w:sz w:val="16"/>
          <w:szCs w:val="16"/>
        </w:rPr>
        <w:t>685</w:t>
      </w:r>
      <w:r w:rsidR="00B940A5" w:rsidRPr="00005453">
        <w:rPr>
          <w:sz w:val="16"/>
          <w:szCs w:val="16"/>
        </w:rPr>
        <w:t xml:space="preserve"> TL (31 Aralık 2023; 116,495,635 TL) kur korumalı TL vadeli mevduat hesaplarına ilişkin bilanço tarihi itibarıyla hesaplanan </w:t>
      </w:r>
      <w:r w:rsidR="004A0844" w:rsidRPr="00005453">
        <w:rPr>
          <w:sz w:val="16"/>
          <w:szCs w:val="16"/>
        </w:rPr>
        <w:t>632</w:t>
      </w:r>
      <w:r w:rsidR="00B940A5" w:rsidRPr="00005453">
        <w:rPr>
          <w:sz w:val="16"/>
          <w:szCs w:val="16"/>
        </w:rPr>
        <w:t>,</w:t>
      </w:r>
      <w:r w:rsidR="004A0844" w:rsidRPr="00005453">
        <w:rPr>
          <w:sz w:val="16"/>
          <w:szCs w:val="16"/>
        </w:rPr>
        <w:t>624</w:t>
      </w:r>
      <w:r w:rsidR="00B940A5" w:rsidRPr="00005453">
        <w:rPr>
          <w:sz w:val="16"/>
          <w:szCs w:val="16"/>
        </w:rPr>
        <w:t xml:space="preserve"> TL'lik (31 Aralık 2023; 19,428,176 TL) kur değerleme farkları aktifte diğer aktiflerle, pasifte diğer yükümlülükler bakiyelerine dahil edilmiştir.</w:t>
      </w:r>
    </w:p>
    <w:p w14:paraId="04727E2B" w14:textId="77777777" w:rsidR="00906BF9" w:rsidRPr="00005453" w:rsidRDefault="00906BF9" w:rsidP="000F096F">
      <w:pPr>
        <w:pStyle w:val="EndnoteText"/>
        <w:autoSpaceDE w:val="0"/>
        <w:autoSpaceDN w:val="0"/>
        <w:adjustRightInd w:val="0"/>
        <w:rPr>
          <w:rFonts w:eastAsia="Arial Unicode MS"/>
        </w:rPr>
      </w:pPr>
    </w:p>
    <w:p w14:paraId="4E76BAE0" w14:textId="77777777" w:rsidR="00906BF9" w:rsidRPr="00005453" w:rsidRDefault="00906BF9" w:rsidP="000F096F">
      <w:pPr>
        <w:pStyle w:val="EndnoteText"/>
        <w:autoSpaceDE w:val="0"/>
        <w:autoSpaceDN w:val="0"/>
        <w:adjustRightInd w:val="0"/>
        <w:rPr>
          <w:rFonts w:eastAsia="Arial Unicode MS"/>
        </w:rPr>
      </w:pPr>
    </w:p>
    <w:p w14:paraId="68AB69A6" w14:textId="77777777" w:rsidR="00906BF9" w:rsidRPr="00005453" w:rsidRDefault="00906BF9" w:rsidP="000F096F">
      <w:pPr>
        <w:pStyle w:val="EndnoteText"/>
        <w:autoSpaceDE w:val="0"/>
        <w:autoSpaceDN w:val="0"/>
        <w:adjustRightInd w:val="0"/>
        <w:rPr>
          <w:rFonts w:eastAsia="Arial Unicode MS"/>
        </w:rPr>
      </w:pPr>
    </w:p>
    <w:p w14:paraId="26857D32" w14:textId="77777777" w:rsidR="00906BF9" w:rsidRPr="00005453" w:rsidRDefault="00906BF9" w:rsidP="000F096F">
      <w:pPr>
        <w:pStyle w:val="EndnoteText"/>
        <w:autoSpaceDE w:val="0"/>
        <w:autoSpaceDN w:val="0"/>
        <w:adjustRightInd w:val="0"/>
        <w:rPr>
          <w:rFonts w:eastAsia="Arial Unicode MS"/>
        </w:rPr>
      </w:pPr>
    </w:p>
    <w:p w14:paraId="1988D6E3" w14:textId="6F2F6338" w:rsidR="00D22163" w:rsidRPr="00005453" w:rsidRDefault="00D22163" w:rsidP="000F096F">
      <w:pPr>
        <w:pStyle w:val="EndnoteText"/>
        <w:autoSpaceDE w:val="0"/>
        <w:autoSpaceDN w:val="0"/>
        <w:adjustRightInd w:val="0"/>
        <w:rPr>
          <w:lang w:eastAsia="en-GB"/>
        </w:rPr>
      </w:pPr>
    </w:p>
    <w:p w14:paraId="2507BD1E" w14:textId="3644243F" w:rsidR="000F096F" w:rsidRPr="00005453" w:rsidRDefault="000F096F" w:rsidP="000F096F">
      <w:pPr>
        <w:pStyle w:val="EndnoteText"/>
        <w:autoSpaceDE w:val="0"/>
        <w:autoSpaceDN w:val="0"/>
        <w:adjustRightInd w:val="0"/>
        <w:rPr>
          <w:rFonts w:eastAsia="Arial Unicode MS"/>
          <w:sz w:val="16"/>
          <w:szCs w:val="16"/>
        </w:rPr>
      </w:pPr>
    </w:p>
    <w:p w14:paraId="5B705944" w14:textId="6F63AF4B" w:rsidR="007F1884" w:rsidRPr="00005453" w:rsidRDefault="007F1884">
      <w:pPr>
        <w:rPr>
          <w:lang w:eastAsia="x-none"/>
        </w:rPr>
      </w:pPr>
      <w:r w:rsidRPr="00005453">
        <w:br w:type="page"/>
      </w:r>
    </w:p>
    <w:tbl>
      <w:tblPr>
        <w:tblW w:w="10227" w:type="dxa"/>
        <w:tblInd w:w="-716" w:type="dxa"/>
        <w:tblCellMar>
          <w:left w:w="70" w:type="dxa"/>
          <w:right w:w="70" w:type="dxa"/>
        </w:tblCellMar>
        <w:tblLook w:val="04A0" w:firstRow="1" w:lastRow="0" w:firstColumn="1" w:lastColumn="0" w:noHBand="0" w:noVBand="1"/>
      </w:tblPr>
      <w:tblGrid>
        <w:gridCol w:w="3415"/>
        <w:gridCol w:w="840"/>
        <w:gridCol w:w="803"/>
        <w:gridCol w:w="840"/>
        <w:gridCol w:w="770"/>
        <w:gridCol w:w="498"/>
        <w:gridCol w:w="770"/>
        <w:gridCol w:w="744"/>
        <w:gridCol w:w="707"/>
        <w:gridCol w:w="840"/>
      </w:tblGrid>
      <w:tr w:rsidR="00906BF9" w:rsidRPr="00005453" w14:paraId="54103268" w14:textId="77777777" w:rsidTr="00442255">
        <w:trPr>
          <w:divId w:val="243074251"/>
          <w:trHeight w:val="260"/>
        </w:trPr>
        <w:tc>
          <w:tcPr>
            <w:tcW w:w="3472" w:type="dxa"/>
            <w:vMerge w:val="restart"/>
            <w:tcBorders>
              <w:top w:val="single" w:sz="8" w:space="0" w:color="000000"/>
              <w:left w:val="nil"/>
              <w:bottom w:val="single" w:sz="8" w:space="0" w:color="000000"/>
              <w:right w:val="nil"/>
            </w:tcBorders>
            <w:shd w:val="clear" w:color="auto" w:fill="auto"/>
            <w:vAlign w:val="center"/>
            <w:hideMark/>
          </w:tcPr>
          <w:p w14:paraId="6A701FC3" w14:textId="0F160952" w:rsidR="00906BF9" w:rsidRPr="00005453" w:rsidRDefault="00906BF9" w:rsidP="00906BF9">
            <w:pPr>
              <w:rPr>
                <w:b/>
                <w:bCs/>
                <w:color w:val="000000"/>
                <w:sz w:val="14"/>
                <w:szCs w:val="14"/>
                <w:lang w:eastAsia="tr-TR"/>
              </w:rPr>
            </w:pPr>
            <w:r w:rsidRPr="00005453">
              <w:rPr>
                <w:b/>
                <w:bCs/>
                <w:iCs/>
                <w:color w:val="000000"/>
                <w:sz w:val="14"/>
                <w:szCs w:val="14"/>
                <w:lang w:eastAsia="tr-TR"/>
              </w:rPr>
              <w:lastRenderedPageBreak/>
              <w:t>Önceki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A7F7DFD"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Vadesiz</w:t>
            </w:r>
          </w:p>
        </w:tc>
        <w:tc>
          <w:tcPr>
            <w:tcW w:w="804" w:type="dxa"/>
            <w:vMerge w:val="restart"/>
            <w:tcBorders>
              <w:top w:val="single" w:sz="8" w:space="0" w:color="000000"/>
              <w:left w:val="nil"/>
              <w:bottom w:val="single" w:sz="8" w:space="0" w:color="000000"/>
              <w:right w:val="nil"/>
            </w:tcBorders>
            <w:shd w:val="clear" w:color="auto" w:fill="auto"/>
            <w:vAlign w:val="center"/>
            <w:hideMark/>
          </w:tcPr>
          <w:p w14:paraId="3811404E"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1 aya kadar</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08DCD1AC"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3 aya kadar</w:t>
            </w:r>
          </w:p>
        </w:tc>
        <w:tc>
          <w:tcPr>
            <w:tcW w:w="745" w:type="dxa"/>
            <w:vMerge w:val="restart"/>
            <w:tcBorders>
              <w:top w:val="single" w:sz="8" w:space="0" w:color="000000"/>
              <w:left w:val="nil"/>
              <w:bottom w:val="single" w:sz="8" w:space="0" w:color="000000"/>
              <w:right w:val="nil"/>
            </w:tcBorders>
            <w:shd w:val="clear" w:color="auto" w:fill="auto"/>
            <w:vAlign w:val="center"/>
            <w:hideMark/>
          </w:tcPr>
          <w:p w14:paraId="1A646517"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1886E046"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9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0956AAC2"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1 yıla kadar</w:t>
            </w:r>
          </w:p>
        </w:tc>
        <w:tc>
          <w:tcPr>
            <w:tcW w:w="745" w:type="dxa"/>
            <w:vMerge w:val="restart"/>
            <w:tcBorders>
              <w:top w:val="single" w:sz="8" w:space="0" w:color="000000"/>
              <w:left w:val="nil"/>
              <w:bottom w:val="single" w:sz="8" w:space="0" w:color="000000"/>
              <w:right w:val="nil"/>
            </w:tcBorders>
            <w:shd w:val="clear" w:color="auto" w:fill="auto"/>
            <w:vAlign w:val="center"/>
            <w:hideMark/>
          </w:tcPr>
          <w:p w14:paraId="5CE19956"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1 yıl ve üstü</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55C44F4F" w14:textId="77777777" w:rsidR="00906BF9" w:rsidRPr="00005453" w:rsidRDefault="00906BF9" w:rsidP="001A491C">
            <w:pPr>
              <w:jc w:val="right"/>
              <w:rPr>
                <w:b/>
                <w:bCs/>
                <w:color w:val="000000"/>
                <w:sz w:val="14"/>
                <w:szCs w:val="14"/>
                <w:lang w:eastAsia="tr-TR"/>
              </w:rPr>
            </w:pPr>
            <w:r w:rsidRPr="00005453">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7236615" w14:textId="5F87665C" w:rsidR="00906BF9" w:rsidRPr="00005453" w:rsidRDefault="00906BF9" w:rsidP="001A491C">
            <w:pPr>
              <w:jc w:val="right"/>
              <w:rPr>
                <w:b/>
                <w:bCs/>
                <w:color w:val="000000"/>
                <w:sz w:val="14"/>
                <w:szCs w:val="14"/>
                <w:lang w:eastAsia="tr-TR"/>
              </w:rPr>
            </w:pPr>
            <w:r w:rsidRPr="00005453">
              <w:rPr>
                <w:b/>
                <w:bCs/>
                <w:color w:val="000000"/>
                <w:sz w:val="14"/>
                <w:szCs w:val="14"/>
                <w:lang w:eastAsia="tr-TR"/>
              </w:rPr>
              <w:t>Toplam</w:t>
            </w:r>
            <w:r w:rsidR="003873E6" w:rsidRPr="00005453">
              <w:rPr>
                <w:b/>
                <w:bCs/>
                <w:color w:val="000000"/>
                <w:sz w:val="14"/>
                <w:szCs w:val="14"/>
                <w:lang w:eastAsia="tr-TR"/>
              </w:rPr>
              <w:t xml:space="preserve"> (*)</w:t>
            </w:r>
          </w:p>
        </w:tc>
      </w:tr>
      <w:tr w:rsidR="00906BF9" w:rsidRPr="00005453" w14:paraId="0D3DDD40" w14:textId="77777777" w:rsidTr="00442255">
        <w:trPr>
          <w:divId w:val="243074251"/>
          <w:trHeight w:val="285"/>
        </w:trPr>
        <w:tc>
          <w:tcPr>
            <w:tcW w:w="3472" w:type="dxa"/>
            <w:vMerge/>
            <w:tcBorders>
              <w:top w:val="single" w:sz="8" w:space="0" w:color="000000"/>
              <w:left w:val="nil"/>
              <w:bottom w:val="single" w:sz="8" w:space="0" w:color="000000"/>
              <w:right w:val="nil"/>
            </w:tcBorders>
            <w:vAlign w:val="center"/>
            <w:hideMark/>
          </w:tcPr>
          <w:p w14:paraId="0C6AA683" w14:textId="77777777" w:rsidR="00906BF9" w:rsidRPr="00005453"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282A430" w14:textId="77777777" w:rsidR="00906BF9" w:rsidRPr="00005453" w:rsidRDefault="00906BF9" w:rsidP="00906BF9">
            <w:pPr>
              <w:rPr>
                <w:b/>
                <w:bCs/>
                <w:color w:val="000000"/>
                <w:sz w:val="14"/>
                <w:szCs w:val="14"/>
                <w:lang w:eastAsia="tr-TR"/>
              </w:rPr>
            </w:pPr>
          </w:p>
        </w:tc>
        <w:tc>
          <w:tcPr>
            <w:tcW w:w="804" w:type="dxa"/>
            <w:vMerge/>
            <w:tcBorders>
              <w:top w:val="single" w:sz="8" w:space="0" w:color="000000"/>
              <w:left w:val="nil"/>
              <w:bottom w:val="single" w:sz="8" w:space="0" w:color="000000"/>
              <w:right w:val="nil"/>
            </w:tcBorders>
            <w:vAlign w:val="center"/>
            <w:hideMark/>
          </w:tcPr>
          <w:p w14:paraId="18E1B2E9" w14:textId="77777777" w:rsidR="00906BF9" w:rsidRPr="00005453"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259956A9" w14:textId="77777777" w:rsidR="00906BF9" w:rsidRPr="00005453" w:rsidRDefault="00906BF9" w:rsidP="00906BF9">
            <w:pPr>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069E45D9" w14:textId="77777777" w:rsidR="00906BF9" w:rsidRPr="00005453" w:rsidRDefault="00906BF9" w:rsidP="00906BF9">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00EA4F02" w14:textId="77777777" w:rsidR="00906BF9" w:rsidRPr="00005453" w:rsidRDefault="00906BF9" w:rsidP="00906BF9">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37E5A38B" w14:textId="77777777" w:rsidR="00906BF9" w:rsidRPr="00005453" w:rsidRDefault="00906BF9" w:rsidP="00906BF9">
            <w:pPr>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7FBFDE97" w14:textId="77777777" w:rsidR="00906BF9" w:rsidRPr="00005453" w:rsidRDefault="00906BF9" w:rsidP="00906BF9">
            <w:pPr>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7ECB3D04" w14:textId="77777777" w:rsidR="00906BF9" w:rsidRPr="00005453"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55F0AD86" w14:textId="77777777" w:rsidR="00906BF9" w:rsidRPr="00005453" w:rsidRDefault="00906BF9" w:rsidP="00906BF9">
            <w:pPr>
              <w:rPr>
                <w:b/>
                <w:bCs/>
                <w:color w:val="000000"/>
                <w:sz w:val="14"/>
                <w:szCs w:val="14"/>
                <w:lang w:eastAsia="tr-TR"/>
              </w:rPr>
            </w:pPr>
          </w:p>
        </w:tc>
      </w:tr>
      <w:tr w:rsidR="00906BF9" w:rsidRPr="00005453" w14:paraId="0E37D696" w14:textId="77777777" w:rsidTr="00442255">
        <w:trPr>
          <w:divId w:val="243074251"/>
          <w:trHeight w:val="230"/>
        </w:trPr>
        <w:tc>
          <w:tcPr>
            <w:tcW w:w="3472" w:type="dxa"/>
            <w:vMerge/>
            <w:tcBorders>
              <w:top w:val="single" w:sz="8" w:space="0" w:color="000000"/>
              <w:left w:val="nil"/>
              <w:bottom w:val="single" w:sz="8" w:space="0" w:color="000000"/>
              <w:right w:val="nil"/>
            </w:tcBorders>
            <w:vAlign w:val="center"/>
            <w:hideMark/>
          </w:tcPr>
          <w:p w14:paraId="195DA57D" w14:textId="77777777" w:rsidR="00906BF9" w:rsidRPr="00005453"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8A25998" w14:textId="77777777" w:rsidR="00906BF9" w:rsidRPr="00005453" w:rsidRDefault="00906BF9" w:rsidP="00906BF9">
            <w:pPr>
              <w:rPr>
                <w:b/>
                <w:bCs/>
                <w:color w:val="000000"/>
                <w:sz w:val="14"/>
                <w:szCs w:val="14"/>
                <w:lang w:eastAsia="tr-TR"/>
              </w:rPr>
            </w:pPr>
          </w:p>
        </w:tc>
        <w:tc>
          <w:tcPr>
            <w:tcW w:w="804" w:type="dxa"/>
            <w:vMerge/>
            <w:tcBorders>
              <w:top w:val="single" w:sz="8" w:space="0" w:color="000000"/>
              <w:left w:val="nil"/>
              <w:bottom w:val="single" w:sz="8" w:space="0" w:color="000000"/>
              <w:right w:val="nil"/>
            </w:tcBorders>
            <w:vAlign w:val="center"/>
            <w:hideMark/>
          </w:tcPr>
          <w:p w14:paraId="4753E400" w14:textId="77777777" w:rsidR="00906BF9" w:rsidRPr="00005453"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785EAE49" w14:textId="77777777" w:rsidR="00906BF9" w:rsidRPr="00005453" w:rsidRDefault="00906BF9" w:rsidP="00906BF9">
            <w:pPr>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63512200" w14:textId="77777777" w:rsidR="00906BF9" w:rsidRPr="00005453" w:rsidRDefault="00906BF9" w:rsidP="00906BF9">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3A924107" w14:textId="77777777" w:rsidR="00906BF9" w:rsidRPr="00005453" w:rsidRDefault="00906BF9" w:rsidP="00906BF9">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7D57A05" w14:textId="77777777" w:rsidR="00906BF9" w:rsidRPr="00005453" w:rsidRDefault="00906BF9" w:rsidP="00906BF9">
            <w:pPr>
              <w:rPr>
                <w:b/>
                <w:bCs/>
                <w:color w:val="000000"/>
                <w:sz w:val="14"/>
                <w:szCs w:val="14"/>
                <w:lang w:eastAsia="tr-TR"/>
              </w:rPr>
            </w:pPr>
          </w:p>
        </w:tc>
        <w:tc>
          <w:tcPr>
            <w:tcW w:w="745" w:type="dxa"/>
            <w:vMerge/>
            <w:tcBorders>
              <w:top w:val="single" w:sz="8" w:space="0" w:color="000000"/>
              <w:left w:val="nil"/>
              <w:bottom w:val="single" w:sz="8" w:space="0" w:color="000000"/>
              <w:right w:val="nil"/>
            </w:tcBorders>
            <w:vAlign w:val="center"/>
            <w:hideMark/>
          </w:tcPr>
          <w:p w14:paraId="73B6C870" w14:textId="77777777" w:rsidR="00906BF9" w:rsidRPr="00005453" w:rsidRDefault="00906BF9" w:rsidP="00906BF9">
            <w:pPr>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46345A7C" w14:textId="77777777" w:rsidR="00906BF9" w:rsidRPr="00005453"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6180332B" w14:textId="77777777" w:rsidR="00906BF9" w:rsidRPr="00005453" w:rsidRDefault="00906BF9" w:rsidP="00906BF9">
            <w:pPr>
              <w:rPr>
                <w:b/>
                <w:bCs/>
                <w:color w:val="000000"/>
                <w:sz w:val="14"/>
                <w:szCs w:val="14"/>
                <w:lang w:eastAsia="tr-TR"/>
              </w:rPr>
            </w:pPr>
          </w:p>
        </w:tc>
      </w:tr>
      <w:tr w:rsidR="00906BF9" w:rsidRPr="00005453" w14:paraId="78D35929" w14:textId="77777777" w:rsidTr="00442255">
        <w:trPr>
          <w:divId w:val="243074251"/>
          <w:trHeight w:val="37"/>
        </w:trPr>
        <w:tc>
          <w:tcPr>
            <w:tcW w:w="3472" w:type="dxa"/>
            <w:tcBorders>
              <w:top w:val="nil"/>
              <w:left w:val="nil"/>
              <w:bottom w:val="nil"/>
              <w:right w:val="nil"/>
            </w:tcBorders>
            <w:shd w:val="clear" w:color="auto" w:fill="auto"/>
            <w:vAlign w:val="center"/>
            <w:hideMark/>
          </w:tcPr>
          <w:p w14:paraId="0F2FE36E" w14:textId="77777777" w:rsidR="00906BF9" w:rsidRPr="00005453" w:rsidRDefault="00906BF9" w:rsidP="00906BF9">
            <w:pPr>
              <w:rPr>
                <w:b/>
                <w:bCs/>
                <w:color w:val="000000"/>
                <w:sz w:val="10"/>
                <w:szCs w:val="10"/>
                <w:lang w:eastAsia="tr-TR"/>
              </w:rPr>
            </w:pPr>
          </w:p>
        </w:tc>
        <w:tc>
          <w:tcPr>
            <w:tcW w:w="840" w:type="dxa"/>
            <w:tcBorders>
              <w:top w:val="nil"/>
              <w:left w:val="nil"/>
              <w:bottom w:val="nil"/>
              <w:right w:val="nil"/>
            </w:tcBorders>
            <w:shd w:val="clear" w:color="auto" w:fill="auto"/>
            <w:vAlign w:val="center"/>
            <w:hideMark/>
          </w:tcPr>
          <w:p w14:paraId="3B34A982" w14:textId="77777777" w:rsidR="00906BF9" w:rsidRPr="00005453" w:rsidRDefault="00906BF9" w:rsidP="00906BF9">
            <w:pPr>
              <w:rPr>
                <w:sz w:val="10"/>
                <w:szCs w:val="10"/>
                <w:lang w:eastAsia="tr-TR"/>
              </w:rPr>
            </w:pPr>
          </w:p>
        </w:tc>
        <w:tc>
          <w:tcPr>
            <w:tcW w:w="804" w:type="dxa"/>
            <w:tcBorders>
              <w:top w:val="nil"/>
              <w:left w:val="nil"/>
              <w:bottom w:val="nil"/>
              <w:right w:val="nil"/>
            </w:tcBorders>
            <w:shd w:val="clear" w:color="auto" w:fill="auto"/>
            <w:vAlign w:val="center"/>
            <w:hideMark/>
          </w:tcPr>
          <w:p w14:paraId="6E57C30E" w14:textId="77777777" w:rsidR="00906BF9" w:rsidRPr="00005453" w:rsidRDefault="00906BF9" w:rsidP="00906BF9">
            <w:pPr>
              <w:rPr>
                <w:sz w:val="10"/>
                <w:szCs w:val="10"/>
                <w:lang w:eastAsia="tr-TR"/>
              </w:rPr>
            </w:pPr>
          </w:p>
        </w:tc>
        <w:tc>
          <w:tcPr>
            <w:tcW w:w="805" w:type="dxa"/>
            <w:tcBorders>
              <w:top w:val="nil"/>
              <w:left w:val="nil"/>
              <w:bottom w:val="nil"/>
              <w:right w:val="nil"/>
            </w:tcBorders>
            <w:shd w:val="clear" w:color="auto" w:fill="auto"/>
            <w:vAlign w:val="center"/>
            <w:hideMark/>
          </w:tcPr>
          <w:p w14:paraId="37E2E054" w14:textId="77777777" w:rsidR="00906BF9" w:rsidRPr="00005453" w:rsidRDefault="00906BF9" w:rsidP="00906BF9">
            <w:pPr>
              <w:rPr>
                <w:sz w:val="10"/>
                <w:szCs w:val="10"/>
                <w:lang w:eastAsia="tr-TR"/>
              </w:rPr>
            </w:pPr>
          </w:p>
        </w:tc>
        <w:tc>
          <w:tcPr>
            <w:tcW w:w="745" w:type="dxa"/>
            <w:tcBorders>
              <w:top w:val="nil"/>
              <w:left w:val="nil"/>
              <w:bottom w:val="nil"/>
              <w:right w:val="nil"/>
            </w:tcBorders>
            <w:shd w:val="clear" w:color="auto" w:fill="auto"/>
            <w:vAlign w:val="center"/>
            <w:hideMark/>
          </w:tcPr>
          <w:p w14:paraId="15C4D441" w14:textId="77777777" w:rsidR="00906BF9" w:rsidRPr="00005453" w:rsidRDefault="00906BF9" w:rsidP="00906BF9">
            <w:pPr>
              <w:rPr>
                <w:sz w:val="10"/>
                <w:szCs w:val="10"/>
                <w:lang w:eastAsia="tr-TR"/>
              </w:rPr>
            </w:pPr>
          </w:p>
        </w:tc>
        <w:tc>
          <w:tcPr>
            <w:tcW w:w="498" w:type="dxa"/>
            <w:tcBorders>
              <w:top w:val="nil"/>
              <w:left w:val="nil"/>
              <w:bottom w:val="nil"/>
              <w:right w:val="nil"/>
            </w:tcBorders>
            <w:shd w:val="clear" w:color="auto" w:fill="auto"/>
            <w:vAlign w:val="center"/>
            <w:hideMark/>
          </w:tcPr>
          <w:p w14:paraId="3B0F7E02" w14:textId="77777777" w:rsidR="00906BF9" w:rsidRPr="00005453" w:rsidRDefault="00906BF9" w:rsidP="00906BF9">
            <w:pPr>
              <w:rPr>
                <w:sz w:val="10"/>
                <w:szCs w:val="10"/>
                <w:lang w:eastAsia="tr-TR"/>
              </w:rPr>
            </w:pPr>
          </w:p>
        </w:tc>
        <w:tc>
          <w:tcPr>
            <w:tcW w:w="770" w:type="dxa"/>
            <w:tcBorders>
              <w:top w:val="nil"/>
              <w:left w:val="nil"/>
              <w:bottom w:val="nil"/>
              <w:right w:val="nil"/>
            </w:tcBorders>
            <w:shd w:val="clear" w:color="auto" w:fill="auto"/>
            <w:vAlign w:val="center"/>
            <w:hideMark/>
          </w:tcPr>
          <w:p w14:paraId="5C61D5A3" w14:textId="77777777" w:rsidR="00906BF9" w:rsidRPr="00005453" w:rsidRDefault="00906BF9" w:rsidP="00906BF9">
            <w:pPr>
              <w:rPr>
                <w:sz w:val="10"/>
                <w:szCs w:val="10"/>
                <w:lang w:eastAsia="tr-TR"/>
              </w:rPr>
            </w:pPr>
          </w:p>
        </w:tc>
        <w:tc>
          <w:tcPr>
            <w:tcW w:w="745" w:type="dxa"/>
            <w:tcBorders>
              <w:top w:val="nil"/>
              <w:left w:val="nil"/>
              <w:bottom w:val="nil"/>
              <w:right w:val="nil"/>
            </w:tcBorders>
            <w:shd w:val="clear" w:color="auto" w:fill="auto"/>
            <w:vAlign w:val="center"/>
            <w:hideMark/>
          </w:tcPr>
          <w:p w14:paraId="304DAFEC" w14:textId="77777777" w:rsidR="00906BF9" w:rsidRPr="00005453" w:rsidRDefault="00906BF9" w:rsidP="00906BF9">
            <w:pPr>
              <w:rPr>
                <w:sz w:val="10"/>
                <w:szCs w:val="10"/>
                <w:lang w:eastAsia="tr-TR"/>
              </w:rPr>
            </w:pPr>
          </w:p>
        </w:tc>
        <w:tc>
          <w:tcPr>
            <w:tcW w:w="708" w:type="dxa"/>
            <w:tcBorders>
              <w:top w:val="nil"/>
              <w:left w:val="nil"/>
              <w:bottom w:val="nil"/>
              <w:right w:val="nil"/>
            </w:tcBorders>
            <w:shd w:val="clear" w:color="auto" w:fill="auto"/>
            <w:vAlign w:val="center"/>
            <w:hideMark/>
          </w:tcPr>
          <w:p w14:paraId="2F62C52E" w14:textId="77777777" w:rsidR="00906BF9" w:rsidRPr="00005453" w:rsidRDefault="00906BF9" w:rsidP="00906BF9">
            <w:pPr>
              <w:rPr>
                <w:sz w:val="10"/>
                <w:szCs w:val="10"/>
                <w:lang w:eastAsia="tr-TR"/>
              </w:rPr>
            </w:pPr>
          </w:p>
        </w:tc>
        <w:tc>
          <w:tcPr>
            <w:tcW w:w="840" w:type="dxa"/>
            <w:tcBorders>
              <w:top w:val="nil"/>
              <w:left w:val="nil"/>
              <w:bottom w:val="nil"/>
              <w:right w:val="nil"/>
            </w:tcBorders>
            <w:shd w:val="clear" w:color="auto" w:fill="auto"/>
            <w:vAlign w:val="center"/>
            <w:hideMark/>
          </w:tcPr>
          <w:p w14:paraId="7B334462" w14:textId="77777777" w:rsidR="00906BF9" w:rsidRPr="00005453" w:rsidRDefault="00906BF9" w:rsidP="00906BF9">
            <w:pPr>
              <w:rPr>
                <w:sz w:val="10"/>
                <w:szCs w:val="10"/>
                <w:lang w:eastAsia="tr-TR"/>
              </w:rPr>
            </w:pPr>
          </w:p>
        </w:tc>
      </w:tr>
      <w:tr w:rsidR="00442255" w:rsidRPr="00005453" w14:paraId="38390BEC" w14:textId="77777777" w:rsidTr="00442255">
        <w:trPr>
          <w:divId w:val="243074251"/>
          <w:trHeight w:val="57"/>
        </w:trPr>
        <w:tc>
          <w:tcPr>
            <w:tcW w:w="3472" w:type="dxa"/>
            <w:tcBorders>
              <w:top w:val="nil"/>
              <w:left w:val="nil"/>
              <w:bottom w:val="nil"/>
              <w:right w:val="nil"/>
            </w:tcBorders>
            <w:shd w:val="clear" w:color="auto" w:fill="auto"/>
            <w:vAlign w:val="center"/>
            <w:hideMark/>
          </w:tcPr>
          <w:p w14:paraId="5F1079F2" w14:textId="77777777" w:rsidR="00442255" w:rsidRPr="00005453" w:rsidRDefault="00442255" w:rsidP="00442255">
            <w:pPr>
              <w:ind w:firstLineChars="100" w:firstLine="141"/>
              <w:rPr>
                <w:b/>
                <w:bCs/>
                <w:color w:val="000000"/>
                <w:sz w:val="14"/>
                <w:szCs w:val="14"/>
                <w:lang w:eastAsia="tr-TR"/>
              </w:rPr>
            </w:pPr>
            <w:r w:rsidRPr="00005453">
              <w:rPr>
                <w:b/>
                <w:bCs/>
                <w:color w:val="000000"/>
                <w:sz w:val="14"/>
                <w:szCs w:val="14"/>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16232317" w14:textId="4E716131" w:rsidR="00442255" w:rsidRPr="00005453" w:rsidRDefault="00442255" w:rsidP="00442255">
            <w:pPr>
              <w:jc w:val="right"/>
              <w:rPr>
                <w:b/>
                <w:bCs/>
                <w:color w:val="000000"/>
                <w:sz w:val="14"/>
                <w:szCs w:val="14"/>
                <w:lang w:eastAsia="tr-TR"/>
              </w:rPr>
            </w:pPr>
            <w:r w:rsidRPr="00005453">
              <w:rPr>
                <w:b/>
                <w:sz w:val="14"/>
                <w:szCs w:val="14"/>
                <w:lang w:eastAsia="tr-TR"/>
              </w:rPr>
              <w:t>28,237,630</w:t>
            </w:r>
          </w:p>
        </w:tc>
        <w:tc>
          <w:tcPr>
            <w:tcW w:w="804" w:type="dxa"/>
            <w:tcBorders>
              <w:top w:val="nil"/>
              <w:left w:val="nil"/>
              <w:bottom w:val="nil"/>
              <w:right w:val="nil"/>
            </w:tcBorders>
            <w:shd w:val="clear" w:color="auto" w:fill="auto"/>
            <w:vAlign w:val="center"/>
            <w:hideMark/>
          </w:tcPr>
          <w:p w14:paraId="5D05EB97" w14:textId="1E85572C"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5" w:type="dxa"/>
            <w:tcBorders>
              <w:top w:val="nil"/>
              <w:left w:val="nil"/>
              <w:bottom w:val="nil"/>
              <w:right w:val="nil"/>
            </w:tcBorders>
            <w:shd w:val="clear" w:color="auto" w:fill="auto"/>
            <w:vAlign w:val="center"/>
            <w:hideMark/>
          </w:tcPr>
          <w:p w14:paraId="472BEF93" w14:textId="1F4BCD40"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7B92AD92" w14:textId="3C9C0DEF"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498" w:type="dxa"/>
            <w:tcBorders>
              <w:top w:val="nil"/>
              <w:left w:val="nil"/>
              <w:bottom w:val="nil"/>
              <w:right w:val="nil"/>
            </w:tcBorders>
            <w:shd w:val="clear" w:color="auto" w:fill="auto"/>
            <w:vAlign w:val="center"/>
            <w:hideMark/>
          </w:tcPr>
          <w:p w14:paraId="4519ABB5" w14:textId="328B9550"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04DD075D" w14:textId="08AF4052"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2E702EA3" w14:textId="1CC5E90D"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08" w:type="dxa"/>
            <w:tcBorders>
              <w:top w:val="nil"/>
              <w:left w:val="nil"/>
              <w:bottom w:val="nil"/>
              <w:right w:val="nil"/>
            </w:tcBorders>
            <w:shd w:val="clear" w:color="auto" w:fill="auto"/>
            <w:vAlign w:val="center"/>
            <w:hideMark/>
          </w:tcPr>
          <w:p w14:paraId="20B9F15E" w14:textId="27C43194"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40" w:type="dxa"/>
            <w:tcBorders>
              <w:top w:val="nil"/>
              <w:left w:val="nil"/>
              <w:bottom w:val="nil"/>
              <w:right w:val="nil"/>
            </w:tcBorders>
            <w:shd w:val="clear" w:color="auto" w:fill="auto"/>
            <w:vAlign w:val="center"/>
            <w:hideMark/>
          </w:tcPr>
          <w:p w14:paraId="186D67EF" w14:textId="4A081104" w:rsidR="00442255" w:rsidRPr="00005453" w:rsidRDefault="00442255" w:rsidP="00442255">
            <w:pPr>
              <w:jc w:val="right"/>
              <w:rPr>
                <w:b/>
                <w:bCs/>
                <w:color w:val="000000"/>
                <w:sz w:val="14"/>
                <w:szCs w:val="14"/>
                <w:lang w:eastAsia="tr-TR"/>
              </w:rPr>
            </w:pPr>
            <w:r w:rsidRPr="00005453">
              <w:rPr>
                <w:b/>
                <w:sz w:val="14"/>
                <w:szCs w:val="14"/>
                <w:lang w:eastAsia="tr-TR"/>
              </w:rPr>
              <w:t>28,237,630</w:t>
            </w:r>
          </w:p>
        </w:tc>
      </w:tr>
      <w:tr w:rsidR="00442255" w:rsidRPr="00005453" w14:paraId="070BED59" w14:textId="77777777" w:rsidTr="00442255">
        <w:trPr>
          <w:divId w:val="243074251"/>
          <w:trHeight w:val="57"/>
        </w:trPr>
        <w:tc>
          <w:tcPr>
            <w:tcW w:w="3472" w:type="dxa"/>
            <w:tcBorders>
              <w:top w:val="nil"/>
              <w:left w:val="nil"/>
              <w:bottom w:val="nil"/>
              <w:right w:val="nil"/>
            </w:tcBorders>
            <w:shd w:val="clear" w:color="auto" w:fill="auto"/>
            <w:vAlign w:val="center"/>
            <w:hideMark/>
          </w:tcPr>
          <w:p w14:paraId="7F8B3D3D" w14:textId="08D80456"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II. Katılma hesapları gerçek kişi ticari olmayan-TP</w:t>
            </w:r>
          </w:p>
        </w:tc>
        <w:tc>
          <w:tcPr>
            <w:tcW w:w="840" w:type="dxa"/>
            <w:tcBorders>
              <w:top w:val="nil"/>
              <w:left w:val="nil"/>
              <w:bottom w:val="nil"/>
              <w:right w:val="nil"/>
            </w:tcBorders>
            <w:shd w:val="clear" w:color="auto" w:fill="auto"/>
            <w:vAlign w:val="center"/>
            <w:hideMark/>
          </w:tcPr>
          <w:p w14:paraId="1BB94B91" w14:textId="310EF902"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4" w:type="dxa"/>
            <w:tcBorders>
              <w:top w:val="nil"/>
              <w:left w:val="nil"/>
              <w:bottom w:val="nil"/>
              <w:right w:val="nil"/>
            </w:tcBorders>
            <w:shd w:val="clear" w:color="auto" w:fill="auto"/>
            <w:vAlign w:val="center"/>
            <w:hideMark/>
          </w:tcPr>
          <w:p w14:paraId="2E94BDA3" w14:textId="38808540" w:rsidR="00442255" w:rsidRPr="00005453" w:rsidRDefault="00442255" w:rsidP="00442255">
            <w:pPr>
              <w:jc w:val="right"/>
              <w:rPr>
                <w:b/>
                <w:bCs/>
                <w:color w:val="000000"/>
                <w:sz w:val="14"/>
                <w:szCs w:val="14"/>
                <w:lang w:eastAsia="tr-TR"/>
              </w:rPr>
            </w:pPr>
            <w:r w:rsidRPr="00005453">
              <w:rPr>
                <w:b/>
                <w:sz w:val="14"/>
                <w:szCs w:val="14"/>
                <w:lang w:eastAsia="tr-TR"/>
              </w:rPr>
              <w:t>11,540,673</w:t>
            </w:r>
          </w:p>
        </w:tc>
        <w:tc>
          <w:tcPr>
            <w:tcW w:w="805" w:type="dxa"/>
            <w:tcBorders>
              <w:top w:val="nil"/>
              <w:left w:val="nil"/>
              <w:bottom w:val="nil"/>
              <w:right w:val="nil"/>
            </w:tcBorders>
            <w:shd w:val="clear" w:color="auto" w:fill="auto"/>
            <w:vAlign w:val="center"/>
            <w:hideMark/>
          </w:tcPr>
          <w:p w14:paraId="1B3BE664" w14:textId="3FE60BBC" w:rsidR="00442255" w:rsidRPr="00005453" w:rsidRDefault="00442255" w:rsidP="00442255">
            <w:pPr>
              <w:jc w:val="right"/>
              <w:rPr>
                <w:b/>
                <w:bCs/>
                <w:color w:val="000000"/>
                <w:sz w:val="14"/>
                <w:szCs w:val="14"/>
                <w:lang w:eastAsia="tr-TR"/>
              </w:rPr>
            </w:pPr>
            <w:r w:rsidRPr="00005453">
              <w:rPr>
                <w:b/>
                <w:sz w:val="14"/>
                <w:szCs w:val="14"/>
                <w:lang w:eastAsia="tr-TR"/>
              </w:rPr>
              <w:t>71,351,967</w:t>
            </w:r>
          </w:p>
        </w:tc>
        <w:tc>
          <w:tcPr>
            <w:tcW w:w="745" w:type="dxa"/>
            <w:tcBorders>
              <w:top w:val="nil"/>
              <w:left w:val="nil"/>
              <w:bottom w:val="nil"/>
              <w:right w:val="nil"/>
            </w:tcBorders>
            <w:shd w:val="clear" w:color="auto" w:fill="auto"/>
            <w:vAlign w:val="center"/>
            <w:hideMark/>
          </w:tcPr>
          <w:p w14:paraId="64024B70" w14:textId="48C2C88E" w:rsidR="00442255" w:rsidRPr="00005453" w:rsidRDefault="00442255" w:rsidP="00442255">
            <w:pPr>
              <w:jc w:val="right"/>
              <w:rPr>
                <w:b/>
                <w:bCs/>
                <w:color w:val="000000"/>
                <w:sz w:val="14"/>
                <w:szCs w:val="14"/>
                <w:lang w:eastAsia="tr-TR"/>
              </w:rPr>
            </w:pPr>
            <w:r w:rsidRPr="00005453">
              <w:rPr>
                <w:b/>
                <w:sz w:val="14"/>
                <w:szCs w:val="14"/>
                <w:lang w:eastAsia="tr-TR"/>
              </w:rPr>
              <w:t>5,388,093</w:t>
            </w:r>
          </w:p>
        </w:tc>
        <w:tc>
          <w:tcPr>
            <w:tcW w:w="498" w:type="dxa"/>
            <w:tcBorders>
              <w:top w:val="nil"/>
              <w:left w:val="nil"/>
              <w:bottom w:val="nil"/>
              <w:right w:val="nil"/>
            </w:tcBorders>
            <w:shd w:val="clear" w:color="auto" w:fill="auto"/>
            <w:vAlign w:val="center"/>
            <w:hideMark/>
          </w:tcPr>
          <w:p w14:paraId="471501F8" w14:textId="301C93F5"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0BF971B8" w14:textId="6259F897" w:rsidR="00442255" w:rsidRPr="00005453" w:rsidRDefault="00442255" w:rsidP="00442255">
            <w:pPr>
              <w:jc w:val="right"/>
              <w:rPr>
                <w:b/>
                <w:bCs/>
                <w:color w:val="000000"/>
                <w:sz w:val="14"/>
                <w:szCs w:val="14"/>
                <w:lang w:eastAsia="tr-TR"/>
              </w:rPr>
            </w:pPr>
            <w:r w:rsidRPr="00005453">
              <w:rPr>
                <w:b/>
                <w:sz w:val="14"/>
                <w:szCs w:val="14"/>
                <w:lang w:eastAsia="tr-TR"/>
              </w:rPr>
              <w:t>12,050,702</w:t>
            </w:r>
          </w:p>
        </w:tc>
        <w:tc>
          <w:tcPr>
            <w:tcW w:w="745" w:type="dxa"/>
            <w:tcBorders>
              <w:top w:val="nil"/>
              <w:left w:val="nil"/>
              <w:bottom w:val="nil"/>
              <w:right w:val="nil"/>
            </w:tcBorders>
            <w:shd w:val="clear" w:color="auto" w:fill="auto"/>
            <w:vAlign w:val="center"/>
            <w:hideMark/>
          </w:tcPr>
          <w:p w14:paraId="7B8C6586" w14:textId="68CE3DBB" w:rsidR="00442255" w:rsidRPr="00005453" w:rsidRDefault="00442255" w:rsidP="00442255">
            <w:pPr>
              <w:jc w:val="right"/>
              <w:rPr>
                <w:b/>
                <w:bCs/>
                <w:color w:val="000000"/>
                <w:sz w:val="14"/>
                <w:szCs w:val="14"/>
                <w:lang w:eastAsia="tr-TR"/>
              </w:rPr>
            </w:pPr>
            <w:r w:rsidRPr="00005453">
              <w:rPr>
                <w:b/>
                <w:sz w:val="14"/>
                <w:szCs w:val="14"/>
                <w:lang w:eastAsia="tr-TR"/>
              </w:rPr>
              <w:t>3,090,927</w:t>
            </w:r>
          </w:p>
        </w:tc>
        <w:tc>
          <w:tcPr>
            <w:tcW w:w="708" w:type="dxa"/>
            <w:tcBorders>
              <w:top w:val="nil"/>
              <w:left w:val="nil"/>
              <w:bottom w:val="nil"/>
              <w:right w:val="nil"/>
            </w:tcBorders>
            <w:shd w:val="clear" w:color="auto" w:fill="auto"/>
            <w:vAlign w:val="center"/>
            <w:hideMark/>
          </w:tcPr>
          <w:p w14:paraId="541FC309" w14:textId="1B1CD9B5" w:rsidR="00442255" w:rsidRPr="00005453" w:rsidRDefault="00442255" w:rsidP="00442255">
            <w:pPr>
              <w:jc w:val="right"/>
              <w:rPr>
                <w:b/>
                <w:bCs/>
                <w:color w:val="000000"/>
                <w:sz w:val="14"/>
                <w:szCs w:val="14"/>
                <w:lang w:eastAsia="tr-TR"/>
              </w:rPr>
            </w:pPr>
            <w:r w:rsidRPr="00005453">
              <w:rPr>
                <w:b/>
                <w:sz w:val="14"/>
                <w:szCs w:val="14"/>
                <w:lang w:eastAsia="tr-TR"/>
              </w:rPr>
              <w:t>14,651</w:t>
            </w:r>
          </w:p>
        </w:tc>
        <w:tc>
          <w:tcPr>
            <w:tcW w:w="840" w:type="dxa"/>
            <w:tcBorders>
              <w:top w:val="nil"/>
              <w:left w:val="nil"/>
              <w:bottom w:val="nil"/>
              <w:right w:val="nil"/>
            </w:tcBorders>
            <w:shd w:val="clear" w:color="auto" w:fill="auto"/>
            <w:vAlign w:val="center"/>
            <w:hideMark/>
          </w:tcPr>
          <w:p w14:paraId="618A05C3" w14:textId="5F55EA1F" w:rsidR="00442255" w:rsidRPr="00005453" w:rsidRDefault="00442255" w:rsidP="00442255">
            <w:pPr>
              <w:jc w:val="right"/>
              <w:rPr>
                <w:b/>
                <w:bCs/>
                <w:color w:val="000000"/>
                <w:sz w:val="14"/>
                <w:szCs w:val="14"/>
                <w:lang w:eastAsia="tr-TR"/>
              </w:rPr>
            </w:pPr>
            <w:r w:rsidRPr="00005453">
              <w:rPr>
                <w:b/>
                <w:sz w:val="14"/>
                <w:szCs w:val="14"/>
                <w:lang w:eastAsia="tr-TR"/>
              </w:rPr>
              <w:t>103,437,013</w:t>
            </w:r>
          </w:p>
        </w:tc>
      </w:tr>
      <w:tr w:rsidR="00442255" w:rsidRPr="00005453" w14:paraId="124F37B1" w14:textId="77777777" w:rsidTr="00442255">
        <w:trPr>
          <w:divId w:val="243074251"/>
          <w:trHeight w:val="57"/>
        </w:trPr>
        <w:tc>
          <w:tcPr>
            <w:tcW w:w="3472" w:type="dxa"/>
            <w:tcBorders>
              <w:top w:val="nil"/>
              <w:left w:val="nil"/>
              <w:bottom w:val="nil"/>
              <w:right w:val="nil"/>
            </w:tcBorders>
            <w:shd w:val="clear" w:color="auto" w:fill="auto"/>
            <w:vAlign w:val="center"/>
            <w:hideMark/>
          </w:tcPr>
          <w:p w14:paraId="6F9D2B32"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III. Özel cari hesap diğer-TP</w:t>
            </w:r>
          </w:p>
        </w:tc>
        <w:tc>
          <w:tcPr>
            <w:tcW w:w="840" w:type="dxa"/>
            <w:tcBorders>
              <w:top w:val="nil"/>
              <w:left w:val="nil"/>
              <w:bottom w:val="nil"/>
              <w:right w:val="nil"/>
            </w:tcBorders>
            <w:shd w:val="clear" w:color="auto" w:fill="auto"/>
            <w:vAlign w:val="center"/>
            <w:hideMark/>
          </w:tcPr>
          <w:p w14:paraId="7B8F2262" w14:textId="689087B3" w:rsidR="00442255" w:rsidRPr="00005453" w:rsidRDefault="00442255" w:rsidP="00442255">
            <w:pPr>
              <w:jc w:val="right"/>
              <w:rPr>
                <w:b/>
                <w:bCs/>
                <w:color w:val="000000"/>
                <w:sz w:val="14"/>
                <w:szCs w:val="14"/>
                <w:lang w:eastAsia="tr-TR"/>
              </w:rPr>
            </w:pPr>
            <w:r w:rsidRPr="00005453">
              <w:rPr>
                <w:b/>
                <w:sz w:val="14"/>
                <w:szCs w:val="14"/>
                <w:lang w:eastAsia="tr-TR"/>
              </w:rPr>
              <w:t>25,691,962</w:t>
            </w:r>
          </w:p>
        </w:tc>
        <w:tc>
          <w:tcPr>
            <w:tcW w:w="804" w:type="dxa"/>
            <w:tcBorders>
              <w:top w:val="nil"/>
              <w:left w:val="nil"/>
              <w:bottom w:val="nil"/>
              <w:right w:val="nil"/>
            </w:tcBorders>
            <w:shd w:val="clear" w:color="auto" w:fill="auto"/>
            <w:vAlign w:val="center"/>
            <w:hideMark/>
          </w:tcPr>
          <w:p w14:paraId="3D27084E" w14:textId="662CE450"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5" w:type="dxa"/>
            <w:tcBorders>
              <w:top w:val="nil"/>
              <w:left w:val="nil"/>
              <w:bottom w:val="nil"/>
              <w:right w:val="nil"/>
            </w:tcBorders>
            <w:shd w:val="clear" w:color="auto" w:fill="auto"/>
            <w:vAlign w:val="center"/>
            <w:hideMark/>
          </w:tcPr>
          <w:p w14:paraId="1D76782C" w14:textId="20074980"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64ECEFAC" w14:textId="32BE28F8"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498" w:type="dxa"/>
            <w:tcBorders>
              <w:top w:val="nil"/>
              <w:left w:val="nil"/>
              <w:bottom w:val="nil"/>
              <w:right w:val="nil"/>
            </w:tcBorders>
            <w:shd w:val="clear" w:color="auto" w:fill="auto"/>
            <w:vAlign w:val="center"/>
            <w:hideMark/>
          </w:tcPr>
          <w:p w14:paraId="70B38275" w14:textId="7CA5D5DA"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31A0AEB4" w14:textId="7B61E197"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7C5AEDF4" w14:textId="404B0047"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08" w:type="dxa"/>
            <w:tcBorders>
              <w:top w:val="nil"/>
              <w:left w:val="nil"/>
              <w:bottom w:val="nil"/>
              <w:right w:val="nil"/>
            </w:tcBorders>
            <w:shd w:val="clear" w:color="auto" w:fill="auto"/>
            <w:vAlign w:val="center"/>
            <w:hideMark/>
          </w:tcPr>
          <w:p w14:paraId="47679D2E" w14:textId="469A9E7E"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40" w:type="dxa"/>
            <w:tcBorders>
              <w:top w:val="nil"/>
              <w:left w:val="nil"/>
              <w:bottom w:val="nil"/>
              <w:right w:val="nil"/>
            </w:tcBorders>
            <w:shd w:val="clear" w:color="auto" w:fill="auto"/>
            <w:vAlign w:val="center"/>
            <w:hideMark/>
          </w:tcPr>
          <w:p w14:paraId="6D05CB25" w14:textId="23C41259" w:rsidR="00442255" w:rsidRPr="00005453" w:rsidRDefault="00442255" w:rsidP="00442255">
            <w:pPr>
              <w:jc w:val="right"/>
              <w:rPr>
                <w:b/>
                <w:bCs/>
                <w:color w:val="000000"/>
                <w:sz w:val="14"/>
                <w:szCs w:val="14"/>
                <w:lang w:eastAsia="tr-TR"/>
              </w:rPr>
            </w:pPr>
            <w:r w:rsidRPr="00005453">
              <w:rPr>
                <w:b/>
                <w:sz w:val="14"/>
                <w:szCs w:val="14"/>
                <w:lang w:eastAsia="tr-TR"/>
              </w:rPr>
              <w:t>25,691,962</w:t>
            </w:r>
          </w:p>
        </w:tc>
      </w:tr>
      <w:tr w:rsidR="00442255" w:rsidRPr="00005453" w14:paraId="7B397417" w14:textId="77777777" w:rsidTr="00442255">
        <w:trPr>
          <w:divId w:val="243074251"/>
          <w:trHeight w:val="66"/>
        </w:trPr>
        <w:tc>
          <w:tcPr>
            <w:tcW w:w="3472" w:type="dxa"/>
            <w:tcBorders>
              <w:top w:val="nil"/>
              <w:left w:val="nil"/>
              <w:bottom w:val="nil"/>
              <w:right w:val="nil"/>
            </w:tcBorders>
            <w:shd w:val="clear" w:color="auto" w:fill="auto"/>
            <w:vAlign w:val="center"/>
            <w:hideMark/>
          </w:tcPr>
          <w:p w14:paraId="04182E7D"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2EBC12D4" w14:textId="1652B0F1" w:rsidR="00442255" w:rsidRPr="00005453" w:rsidRDefault="00442255" w:rsidP="00442255">
            <w:pPr>
              <w:jc w:val="right"/>
              <w:rPr>
                <w:color w:val="000000"/>
                <w:sz w:val="14"/>
                <w:szCs w:val="14"/>
                <w:lang w:eastAsia="tr-TR"/>
              </w:rPr>
            </w:pPr>
            <w:r w:rsidRPr="00005453">
              <w:rPr>
                <w:sz w:val="14"/>
                <w:szCs w:val="14"/>
                <w:lang w:eastAsia="tr-TR"/>
              </w:rPr>
              <w:t>597,601</w:t>
            </w:r>
          </w:p>
        </w:tc>
        <w:tc>
          <w:tcPr>
            <w:tcW w:w="804" w:type="dxa"/>
            <w:tcBorders>
              <w:top w:val="nil"/>
              <w:left w:val="nil"/>
              <w:bottom w:val="nil"/>
              <w:right w:val="nil"/>
            </w:tcBorders>
            <w:shd w:val="clear" w:color="auto" w:fill="auto"/>
            <w:vAlign w:val="center"/>
            <w:hideMark/>
          </w:tcPr>
          <w:p w14:paraId="002B294F" w14:textId="1F162AEC"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12DC6A75" w14:textId="3C14F249"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2CECCB2C" w14:textId="2C38BAB3"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133B0F77" w14:textId="382A484B"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5BCD01ED" w14:textId="0BC66100"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2CFB5B1" w14:textId="63C75456"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557A23E9" w14:textId="75552DC2"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9C08EF7" w14:textId="4D124582" w:rsidR="00442255" w:rsidRPr="00005453" w:rsidRDefault="00442255" w:rsidP="00442255">
            <w:pPr>
              <w:jc w:val="right"/>
              <w:rPr>
                <w:color w:val="000000"/>
                <w:sz w:val="14"/>
                <w:szCs w:val="14"/>
                <w:lang w:eastAsia="tr-TR"/>
              </w:rPr>
            </w:pPr>
            <w:r w:rsidRPr="00005453">
              <w:rPr>
                <w:sz w:val="14"/>
                <w:szCs w:val="14"/>
                <w:lang w:eastAsia="tr-TR"/>
              </w:rPr>
              <w:t>597,601</w:t>
            </w:r>
          </w:p>
        </w:tc>
      </w:tr>
      <w:tr w:rsidR="00442255" w:rsidRPr="00005453" w14:paraId="30920326" w14:textId="77777777" w:rsidTr="00442255">
        <w:trPr>
          <w:divId w:val="243074251"/>
          <w:trHeight w:val="66"/>
        </w:trPr>
        <w:tc>
          <w:tcPr>
            <w:tcW w:w="3472" w:type="dxa"/>
            <w:tcBorders>
              <w:top w:val="nil"/>
              <w:left w:val="nil"/>
              <w:bottom w:val="nil"/>
              <w:right w:val="nil"/>
            </w:tcBorders>
            <w:shd w:val="clear" w:color="auto" w:fill="auto"/>
            <w:vAlign w:val="center"/>
            <w:hideMark/>
          </w:tcPr>
          <w:p w14:paraId="662798CE"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181DF9D2" w14:textId="4058ED75" w:rsidR="00442255" w:rsidRPr="00005453" w:rsidRDefault="00442255" w:rsidP="00442255">
            <w:pPr>
              <w:jc w:val="right"/>
              <w:rPr>
                <w:color w:val="000000"/>
                <w:sz w:val="14"/>
                <w:szCs w:val="14"/>
                <w:lang w:eastAsia="tr-TR"/>
              </w:rPr>
            </w:pPr>
            <w:r w:rsidRPr="00005453">
              <w:rPr>
                <w:sz w:val="14"/>
                <w:szCs w:val="14"/>
                <w:lang w:eastAsia="tr-TR"/>
              </w:rPr>
              <w:t>24,626,713</w:t>
            </w:r>
          </w:p>
        </w:tc>
        <w:tc>
          <w:tcPr>
            <w:tcW w:w="804" w:type="dxa"/>
            <w:tcBorders>
              <w:top w:val="nil"/>
              <w:left w:val="nil"/>
              <w:bottom w:val="nil"/>
              <w:right w:val="nil"/>
            </w:tcBorders>
            <w:shd w:val="clear" w:color="auto" w:fill="auto"/>
            <w:vAlign w:val="center"/>
            <w:hideMark/>
          </w:tcPr>
          <w:p w14:paraId="51059EBE" w14:textId="76022194"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5FA7B45D" w14:textId="090959E9"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3FBF4FB8" w14:textId="72FD5C82"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296209F5" w14:textId="40E8A570"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124B3C0" w14:textId="2C438C8C"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810ABFB" w14:textId="0D156E4F"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62A2B737" w14:textId="42FE7EF3"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175B9C90" w14:textId="49CC3F3E" w:rsidR="00442255" w:rsidRPr="00005453" w:rsidRDefault="00442255" w:rsidP="00442255">
            <w:pPr>
              <w:jc w:val="right"/>
              <w:rPr>
                <w:color w:val="000000"/>
                <w:sz w:val="14"/>
                <w:szCs w:val="14"/>
                <w:lang w:eastAsia="tr-TR"/>
              </w:rPr>
            </w:pPr>
            <w:r w:rsidRPr="00005453">
              <w:rPr>
                <w:sz w:val="14"/>
                <w:szCs w:val="14"/>
                <w:lang w:eastAsia="tr-TR"/>
              </w:rPr>
              <w:t>24,626,713</w:t>
            </w:r>
          </w:p>
        </w:tc>
      </w:tr>
      <w:tr w:rsidR="00442255" w:rsidRPr="00005453" w14:paraId="4709972E" w14:textId="77777777" w:rsidTr="00442255">
        <w:trPr>
          <w:divId w:val="243074251"/>
          <w:trHeight w:val="105"/>
        </w:trPr>
        <w:tc>
          <w:tcPr>
            <w:tcW w:w="3472" w:type="dxa"/>
            <w:tcBorders>
              <w:top w:val="nil"/>
              <w:left w:val="nil"/>
              <w:bottom w:val="nil"/>
              <w:right w:val="nil"/>
            </w:tcBorders>
            <w:shd w:val="clear" w:color="auto" w:fill="auto"/>
            <w:vAlign w:val="center"/>
            <w:hideMark/>
          </w:tcPr>
          <w:p w14:paraId="6C8FA38A"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5D81E40F" w14:textId="7B552A50" w:rsidR="00442255" w:rsidRPr="00005453" w:rsidRDefault="00442255" w:rsidP="00442255">
            <w:pPr>
              <w:jc w:val="right"/>
              <w:rPr>
                <w:color w:val="000000"/>
                <w:sz w:val="14"/>
                <w:szCs w:val="14"/>
                <w:lang w:eastAsia="tr-TR"/>
              </w:rPr>
            </w:pPr>
            <w:r w:rsidRPr="00005453">
              <w:rPr>
                <w:sz w:val="14"/>
                <w:szCs w:val="14"/>
                <w:lang w:eastAsia="tr-TR"/>
              </w:rPr>
              <w:t>320,272</w:t>
            </w:r>
          </w:p>
        </w:tc>
        <w:tc>
          <w:tcPr>
            <w:tcW w:w="804" w:type="dxa"/>
            <w:tcBorders>
              <w:top w:val="nil"/>
              <w:left w:val="nil"/>
              <w:bottom w:val="nil"/>
              <w:right w:val="nil"/>
            </w:tcBorders>
            <w:shd w:val="clear" w:color="auto" w:fill="auto"/>
            <w:vAlign w:val="center"/>
            <w:hideMark/>
          </w:tcPr>
          <w:p w14:paraId="5B170843" w14:textId="3276BE06"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1DA4D300" w14:textId="02A37B4C"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573F669D" w14:textId="0FE0A61C"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3650770B" w14:textId="1E093B0C"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47F3AAF3" w14:textId="0529EA9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9F210D4" w14:textId="5CE67F2E"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067C8C15" w14:textId="3F8ED541"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7316A6CA" w14:textId="11545521" w:rsidR="00442255" w:rsidRPr="00005453" w:rsidRDefault="00442255" w:rsidP="00442255">
            <w:pPr>
              <w:jc w:val="right"/>
              <w:rPr>
                <w:color w:val="000000"/>
                <w:sz w:val="14"/>
                <w:szCs w:val="14"/>
                <w:lang w:eastAsia="tr-TR"/>
              </w:rPr>
            </w:pPr>
            <w:r w:rsidRPr="00005453">
              <w:rPr>
                <w:sz w:val="14"/>
                <w:szCs w:val="14"/>
                <w:lang w:eastAsia="tr-TR"/>
              </w:rPr>
              <w:t>320,272</w:t>
            </w:r>
          </w:p>
        </w:tc>
      </w:tr>
      <w:tr w:rsidR="00442255" w:rsidRPr="00005453" w14:paraId="58A7E0A6" w14:textId="77777777" w:rsidTr="00442255">
        <w:trPr>
          <w:divId w:val="243074251"/>
          <w:trHeight w:val="66"/>
        </w:trPr>
        <w:tc>
          <w:tcPr>
            <w:tcW w:w="3472" w:type="dxa"/>
            <w:tcBorders>
              <w:top w:val="nil"/>
              <w:left w:val="nil"/>
              <w:bottom w:val="nil"/>
              <w:right w:val="nil"/>
            </w:tcBorders>
            <w:shd w:val="clear" w:color="auto" w:fill="auto"/>
            <w:vAlign w:val="center"/>
            <w:hideMark/>
          </w:tcPr>
          <w:p w14:paraId="55F9AD08"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666FE645" w14:textId="56652744"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6DE1C127" w14:textId="7B975721"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08BBD814" w14:textId="46AAC412"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295D21C0" w14:textId="0BA70004"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4E49C36" w14:textId="5760EFAB"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0149BF2E" w14:textId="2DC9A759"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0537E90F" w14:textId="3F8A645E"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4CF49168" w14:textId="20A6FEED"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5D7B2784" w14:textId="163FD65D" w:rsidR="00442255" w:rsidRPr="00005453" w:rsidRDefault="00442255" w:rsidP="00442255">
            <w:pPr>
              <w:jc w:val="right"/>
              <w:rPr>
                <w:color w:val="000000"/>
                <w:sz w:val="14"/>
                <w:szCs w:val="14"/>
                <w:lang w:eastAsia="tr-TR"/>
              </w:rPr>
            </w:pPr>
            <w:r w:rsidRPr="00005453">
              <w:rPr>
                <w:sz w:val="14"/>
                <w:szCs w:val="14"/>
                <w:lang w:eastAsia="tr-TR"/>
              </w:rPr>
              <w:t>-</w:t>
            </w:r>
          </w:p>
        </w:tc>
      </w:tr>
      <w:tr w:rsidR="00442255" w:rsidRPr="00005453" w14:paraId="2FA33AC5" w14:textId="77777777" w:rsidTr="00442255">
        <w:trPr>
          <w:divId w:val="243074251"/>
          <w:trHeight w:val="111"/>
        </w:trPr>
        <w:tc>
          <w:tcPr>
            <w:tcW w:w="3472" w:type="dxa"/>
            <w:tcBorders>
              <w:top w:val="nil"/>
              <w:left w:val="nil"/>
              <w:bottom w:val="nil"/>
              <w:right w:val="nil"/>
            </w:tcBorders>
            <w:shd w:val="clear" w:color="auto" w:fill="auto"/>
            <w:vAlign w:val="center"/>
            <w:hideMark/>
          </w:tcPr>
          <w:p w14:paraId="3B621726"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3D1ED449" w14:textId="2EFB6C02" w:rsidR="00442255" w:rsidRPr="00005453" w:rsidRDefault="00442255" w:rsidP="00442255">
            <w:pPr>
              <w:jc w:val="right"/>
              <w:rPr>
                <w:color w:val="000000"/>
                <w:sz w:val="14"/>
                <w:szCs w:val="14"/>
                <w:lang w:eastAsia="tr-TR"/>
              </w:rPr>
            </w:pPr>
            <w:r w:rsidRPr="00005453">
              <w:rPr>
                <w:sz w:val="14"/>
                <w:szCs w:val="14"/>
                <w:lang w:eastAsia="tr-TR"/>
              </w:rPr>
              <w:t>147,376</w:t>
            </w:r>
          </w:p>
        </w:tc>
        <w:tc>
          <w:tcPr>
            <w:tcW w:w="804" w:type="dxa"/>
            <w:tcBorders>
              <w:top w:val="nil"/>
              <w:left w:val="nil"/>
              <w:bottom w:val="nil"/>
              <w:right w:val="nil"/>
            </w:tcBorders>
            <w:shd w:val="clear" w:color="auto" w:fill="auto"/>
            <w:vAlign w:val="center"/>
            <w:hideMark/>
          </w:tcPr>
          <w:p w14:paraId="62C2D94C" w14:textId="766C8078"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68171E36" w14:textId="2293278D"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59EEE325" w14:textId="604C5008"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3C8CE100" w14:textId="29EC7E35"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03A09FAF" w14:textId="0B24F209"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41AB884" w14:textId="1A64474D"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502585C8" w14:textId="4940117F"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A8A1DBA" w14:textId="30BF5637" w:rsidR="00442255" w:rsidRPr="00005453" w:rsidRDefault="00442255" w:rsidP="00442255">
            <w:pPr>
              <w:jc w:val="right"/>
              <w:rPr>
                <w:color w:val="000000"/>
                <w:sz w:val="14"/>
                <w:szCs w:val="14"/>
                <w:lang w:eastAsia="tr-TR"/>
              </w:rPr>
            </w:pPr>
            <w:r w:rsidRPr="00005453">
              <w:rPr>
                <w:sz w:val="14"/>
                <w:szCs w:val="14"/>
                <w:lang w:eastAsia="tr-TR"/>
              </w:rPr>
              <w:t>147,376</w:t>
            </w:r>
          </w:p>
        </w:tc>
      </w:tr>
      <w:tr w:rsidR="00442255" w:rsidRPr="00005453" w14:paraId="64B41B02" w14:textId="77777777" w:rsidTr="00442255">
        <w:trPr>
          <w:divId w:val="243074251"/>
          <w:trHeight w:val="66"/>
        </w:trPr>
        <w:tc>
          <w:tcPr>
            <w:tcW w:w="3472" w:type="dxa"/>
            <w:tcBorders>
              <w:top w:val="nil"/>
              <w:left w:val="nil"/>
              <w:bottom w:val="nil"/>
              <w:right w:val="nil"/>
            </w:tcBorders>
            <w:shd w:val="clear" w:color="auto" w:fill="auto"/>
            <w:vAlign w:val="center"/>
            <w:hideMark/>
          </w:tcPr>
          <w:p w14:paraId="24125502" w14:textId="77777777" w:rsidR="00442255" w:rsidRPr="00005453" w:rsidRDefault="00442255" w:rsidP="00442255">
            <w:pPr>
              <w:ind w:firstLineChars="200" w:firstLine="280"/>
              <w:rPr>
                <w:color w:val="000000"/>
                <w:sz w:val="14"/>
                <w:szCs w:val="14"/>
                <w:lang w:eastAsia="tr-TR"/>
              </w:rPr>
            </w:pPr>
            <w:proofErr w:type="gramStart"/>
            <w:r w:rsidRPr="00005453">
              <w:rPr>
                <w:bCs/>
                <w:color w:val="000000"/>
                <w:sz w:val="14"/>
                <w:szCs w:val="14"/>
                <w:lang w:eastAsia="tr-TR"/>
              </w:rPr>
              <w:t>T,C</w:t>
            </w:r>
            <w:proofErr w:type="gramEnd"/>
            <w:r w:rsidRPr="00005453">
              <w:rPr>
                <w:bCs/>
                <w:color w:val="000000"/>
                <w:sz w:val="14"/>
                <w:szCs w:val="14"/>
                <w:lang w:eastAsia="tr-TR"/>
              </w:rPr>
              <w:t>, Merkez Bankası</w:t>
            </w:r>
          </w:p>
        </w:tc>
        <w:tc>
          <w:tcPr>
            <w:tcW w:w="840" w:type="dxa"/>
            <w:tcBorders>
              <w:top w:val="nil"/>
              <w:left w:val="nil"/>
              <w:bottom w:val="nil"/>
              <w:right w:val="nil"/>
            </w:tcBorders>
            <w:shd w:val="clear" w:color="auto" w:fill="auto"/>
            <w:vAlign w:val="center"/>
            <w:hideMark/>
          </w:tcPr>
          <w:p w14:paraId="6E540577" w14:textId="469EE376"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28629AF8" w14:textId="19622477"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69DFF5EE" w14:textId="3DD7C8FE"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FEAA37F" w14:textId="2077332D"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78F1886" w14:textId="5FFE3FC9"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47ACC145" w14:textId="73E69D1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97F3FD2" w14:textId="54CE843E"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31C02744" w14:textId="487B9267"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33AF3C96" w14:textId="3667FAA7" w:rsidR="00442255" w:rsidRPr="00005453" w:rsidRDefault="00442255" w:rsidP="00442255">
            <w:pPr>
              <w:jc w:val="right"/>
              <w:rPr>
                <w:color w:val="000000"/>
                <w:sz w:val="14"/>
                <w:szCs w:val="14"/>
                <w:lang w:eastAsia="tr-TR"/>
              </w:rPr>
            </w:pPr>
            <w:r w:rsidRPr="00005453">
              <w:rPr>
                <w:sz w:val="14"/>
                <w:szCs w:val="14"/>
                <w:lang w:eastAsia="tr-TR"/>
              </w:rPr>
              <w:t>-</w:t>
            </w:r>
          </w:p>
        </w:tc>
      </w:tr>
      <w:tr w:rsidR="00442255" w:rsidRPr="00005453" w14:paraId="7244FCB4" w14:textId="77777777" w:rsidTr="00442255">
        <w:trPr>
          <w:divId w:val="243074251"/>
          <w:trHeight w:val="66"/>
        </w:trPr>
        <w:tc>
          <w:tcPr>
            <w:tcW w:w="3472" w:type="dxa"/>
            <w:tcBorders>
              <w:top w:val="nil"/>
              <w:left w:val="nil"/>
              <w:bottom w:val="nil"/>
              <w:right w:val="nil"/>
            </w:tcBorders>
            <w:shd w:val="clear" w:color="auto" w:fill="auto"/>
            <w:vAlign w:val="center"/>
            <w:hideMark/>
          </w:tcPr>
          <w:p w14:paraId="6C7D17BB"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16045261" w14:textId="17D3BCDA" w:rsidR="00442255" w:rsidRPr="00005453" w:rsidRDefault="00442255" w:rsidP="00442255">
            <w:pPr>
              <w:jc w:val="right"/>
              <w:rPr>
                <w:color w:val="000000"/>
                <w:sz w:val="14"/>
                <w:szCs w:val="14"/>
                <w:lang w:eastAsia="tr-TR"/>
              </w:rPr>
            </w:pPr>
            <w:r w:rsidRPr="00005453">
              <w:rPr>
                <w:sz w:val="14"/>
                <w:szCs w:val="14"/>
                <w:lang w:eastAsia="tr-TR"/>
              </w:rPr>
              <w:t>24</w:t>
            </w:r>
          </w:p>
        </w:tc>
        <w:tc>
          <w:tcPr>
            <w:tcW w:w="804" w:type="dxa"/>
            <w:tcBorders>
              <w:top w:val="nil"/>
              <w:left w:val="nil"/>
              <w:bottom w:val="nil"/>
              <w:right w:val="nil"/>
            </w:tcBorders>
            <w:shd w:val="clear" w:color="auto" w:fill="auto"/>
            <w:vAlign w:val="center"/>
            <w:hideMark/>
          </w:tcPr>
          <w:p w14:paraId="3ED90704" w14:textId="0138DED1"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26EEEBA3" w14:textId="158FA9A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36D2951F" w14:textId="389189B1"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47AF95FC" w14:textId="635D2F82"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619C894" w14:textId="25C74924"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6309C0D" w14:textId="627118F2"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61DF60BC" w14:textId="7948CDF8"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518EE71C" w14:textId="5B31EACE" w:rsidR="00442255" w:rsidRPr="00005453" w:rsidRDefault="00442255" w:rsidP="00442255">
            <w:pPr>
              <w:jc w:val="right"/>
              <w:rPr>
                <w:color w:val="000000"/>
                <w:sz w:val="14"/>
                <w:szCs w:val="14"/>
                <w:lang w:eastAsia="tr-TR"/>
              </w:rPr>
            </w:pPr>
            <w:r w:rsidRPr="00005453">
              <w:rPr>
                <w:sz w:val="14"/>
                <w:szCs w:val="14"/>
                <w:lang w:eastAsia="tr-TR"/>
              </w:rPr>
              <w:t>24</w:t>
            </w:r>
          </w:p>
        </w:tc>
      </w:tr>
      <w:tr w:rsidR="00442255" w:rsidRPr="00005453" w14:paraId="248D2438" w14:textId="77777777" w:rsidTr="00442255">
        <w:trPr>
          <w:divId w:val="243074251"/>
          <w:trHeight w:val="66"/>
        </w:trPr>
        <w:tc>
          <w:tcPr>
            <w:tcW w:w="3472" w:type="dxa"/>
            <w:tcBorders>
              <w:top w:val="nil"/>
              <w:left w:val="nil"/>
              <w:bottom w:val="nil"/>
              <w:right w:val="nil"/>
            </w:tcBorders>
            <w:shd w:val="clear" w:color="auto" w:fill="auto"/>
            <w:vAlign w:val="center"/>
            <w:hideMark/>
          </w:tcPr>
          <w:p w14:paraId="5B9F75EE"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0F7C2513" w14:textId="009ED849" w:rsidR="00442255" w:rsidRPr="00005453" w:rsidRDefault="00442255" w:rsidP="00442255">
            <w:pPr>
              <w:jc w:val="right"/>
              <w:rPr>
                <w:color w:val="000000"/>
                <w:sz w:val="14"/>
                <w:szCs w:val="14"/>
                <w:lang w:eastAsia="tr-TR"/>
              </w:rPr>
            </w:pPr>
            <w:r w:rsidRPr="00005453">
              <w:rPr>
                <w:sz w:val="14"/>
                <w:szCs w:val="14"/>
                <w:lang w:eastAsia="tr-TR"/>
              </w:rPr>
              <w:t>147,336</w:t>
            </w:r>
          </w:p>
        </w:tc>
        <w:tc>
          <w:tcPr>
            <w:tcW w:w="804" w:type="dxa"/>
            <w:tcBorders>
              <w:top w:val="nil"/>
              <w:left w:val="nil"/>
              <w:bottom w:val="nil"/>
              <w:right w:val="nil"/>
            </w:tcBorders>
            <w:shd w:val="clear" w:color="auto" w:fill="auto"/>
            <w:vAlign w:val="center"/>
            <w:hideMark/>
          </w:tcPr>
          <w:p w14:paraId="28A6F5D0" w14:textId="5BE93CD0"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2830F0F9" w14:textId="24CAF0FE"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78995413" w14:textId="50C7483C"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2D3B5204" w14:textId="747E434E"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57C639B2" w14:textId="49CD1FB4"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AA03E20" w14:textId="64D846B7"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207C3103" w14:textId="0A6FB35D"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5770FC55" w14:textId="1FDEA659" w:rsidR="00442255" w:rsidRPr="00005453" w:rsidRDefault="00442255" w:rsidP="00442255">
            <w:pPr>
              <w:jc w:val="right"/>
              <w:rPr>
                <w:color w:val="000000"/>
                <w:sz w:val="14"/>
                <w:szCs w:val="14"/>
                <w:lang w:eastAsia="tr-TR"/>
              </w:rPr>
            </w:pPr>
            <w:r w:rsidRPr="00005453">
              <w:rPr>
                <w:sz w:val="14"/>
                <w:szCs w:val="14"/>
                <w:lang w:eastAsia="tr-TR"/>
              </w:rPr>
              <w:t>147,336</w:t>
            </w:r>
          </w:p>
        </w:tc>
      </w:tr>
      <w:tr w:rsidR="00442255" w:rsidRPr="00005453" w14:paraId="24885A4B" w14:textId="77777777" w:rsidTr="00442255">
        <w:trPr>
          <w:divId w:val="243074251"/>
          <w:trHeight w:val="66"/>
        </w:trPr>
        <w:tc>
          <w:tcPr>
            <w:tcW w:w="3472" w:type="dxa"/>
            <w:tcBorders>
              <w:top w:val="nil"/>
              <w:left w:val="nil"/>
              <w:bottom w:val="nil"/>
              <w:right w:val="nil"/>
            </w:tcBorders>
            <w:shd w:val="clear" w:color="auto" w:fill="auto"/>
            <w:vAlign w:val="center"/>
            <w:hideMark/>
          </w:tcPr>
          <w:p w14:paraId="55B33BEE"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580EED28" w14:textId="133E1BE4" w:rsidR="00442255" w:rsidRPr="00005453" w:rsidRDefault="00442255" w:rsidP="00442255">
            <w:pPr>
              <w:jc w:val="right"/>
              <w:rPr>
                <w:color w:val="000000"/>
                <w:sz w:val="14"/>
                <w:szCs w:val="14"/>
                <w:lang w:eastAsia="tr-TR"/>
              </w:rPr>
            </w:pPr>
            <w:r w:rsidRPr="00005453">
              <w:rPr>
                <w:sz w:val="14"/>
                <w:szCs w:val="14"/>
                <w:lang w:eastAsia="tr-TR"/>
              </w:rPr>
              <w:t>13</w:t>
            </w:r>
          </w:p>
        </w:tc>
        <w:tc>
          <w:tcPr>
            <w:tcW w:w="804" w:type="dxa"/>
            <w:tcBorders>
              <w:top w:val="nil"/>
              <w:left w:val="nil"/>
              <w:bottom w:val="nil"/>
              <w:right w:val="nil"/>
            </w:tcBorders>
            <w:shd w:val="clear" w:color="auto" w:fill="auto"/>
            <w:vAlign w:val="center"/>
            <w:hideMark/>
          </w:tcPr>
          <w:p w14:paraId="4FACED40" w14:textId="0932ED1E"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3816824C" w14:textId="22E3B1BD"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5291737A" w14:textId="20192E52"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3107EF4E" w14:textId="4617E201"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187450F7" w14:textId="24A1C2F4"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152CE1A" w14:textId="3A6409E6"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20B98208" w14:textId="6869160E"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07BE246F" w14:textId="24F39B9C" w:rsidR="00442255" w:rsidRPr="00005453" w:rsidRDefault="00442255" w:rsidP="00442255">
            <w:pPr>
              <w:jc w:val="right"/>
              <w:rPr>
                <w:color w:val="000000"/>
                <w:sz w:val="14"/>
                <w:szCs w:val="14"/>
                <w:lang w:eastAsia="tr-TR"/>
              </w:rPr>
            </w:pPr>
            <w:r w:rsidRPr="00005453">
              <w:rPr>
                <w:sz w:val="14"/>
                <w:szCs w:val="14"/>
                <w:lang w:eastAsia="tr-TR"/>
              </w:rPr>
              <w:t>13</w:t>
            </w:r>
          </w:p>
        </w:tc>
      </w:tr>
      <w:tr w:rsidR="00442255" w:rsidRPr="00005453" w14:paraId="1737DBF1" w14:textId="77777777" w:rsidTr="00442255">
        <w:trPr>
          <w:divId w:val="243074251"/>
          <w:trHeight w:val="57"/>
        </w:trPr>
        <w:tc>
          <w:tcPr>
            <w:tcW w:w="3472" w:type="dxa"/>
            <w:tcBorders>
              <w:top w:val="nil"/>
              <w:left w:val="nil"/>
              <w:bottom w:val="nil"/>
              <w:right w:val="nil"/>
            </w:tcBorders>
            <w:shd w:val="clear" w:color="auto" w:fill="auto"/>
            <w:vAlign w:val="center"/>
            <w:hideMark/>
          </w:tcPr>
          <w:p w14:paraId="1DFCA9EB"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010F5878" w14:textId="596B3A54" w:rsidR="00442255" w:rsidRPr="00005453" w:rsidRDefault="00442255" w:rsidP="00442255">
            <w:pPr>
              <w:jc w:val="right"/>
              <w:rPr>
                <w:color w:val="000000"/>
                <w:sz w:val="14"/>
                <w:szCs w:val="14"/>
                <w:lang w:eastAsia="tr-TR"/>
              </w:rPr>
            </w:pPr>
            <w:r w:rsidRPr="00005453">
              <w:rPr>
                <w:sz w:val="14"/>
                <w:szCs w:val="14"/>
                <w:lang w:eastAsia="tr-TR"/>
              </w:rPr>
              <w:t>3</w:t>
            </w:r>
          </w:p>
        </w:tc>
        <w:tc>
          <w:tcPr>
            <w:tcW w:w="804" w:type="dxa"/>
            <w:tcBorders>
              <w:top w:val="nil"/>
              <w:left w:val="nil"/>
              <w:bottom w:val="nil"/>
              <w:right w:val="nil"/>
            </w:tcBorders>
            <w:shd w:val="clear" w:color="auto" w:fill="auto"/>
            <w:vAlign w:val="center"/>
            <w:hideMark/>
          </w:tcPr>
          <w:p w14:paraId="44C19AA2" w14:textId="630B3FEA"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525604AE" w14:textId="2B3E543F"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8FE659F" w14:textId="608E5CA7"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628D5981" w14:textId="26DD317E"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63AF9469" w14:textId="08A7FED8"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1DD6539" w14:textId="7F9C8F6B"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058116D3" w14:textId="3C90D54D"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4554B55" w14:textId="78AC45FB" w:rsidR="00442255" w:rsidRPr="00005453" w:rsidRDefault="00442255" w:rsidP="00442255">
            <w:pPr>
              <w:jc w:val="right"/>
              <w:rPr>
                <w:color w:val="000000"/>
                <w:sz w:val="14"/>
                <w:szCs w:val="14"/>
                <w:lang w:eastAsia="tr-TR"/>
              </w:rPr>
            </w:pPr>
            <w:r w:rsidRPr="00005453">
              <w:rPr>
                <w:sz w:val="14"/>
                <w:szCs w:val="14"/>
                <w:lang w:eastAsia="tr-TR"/>
              </w:rPr>
              <w:t>3</w:t>
            </w:r>
          </w:p>
        </w:tc>
      </w:tr>
      <w:tr w:rsidR="00442255" w:rsidRPr="00005453" w14:paraId="07D3FC48" w14:textId="77777777" w:rsidTr="00442255">
        <w:trPr>
          <w:divId w:val="243074251"/>
          <w:trHeight w:val="102"/>
        </w:trPr>
        <w:tc>
          <w:tcPr>
            <w:tcW w:w="3472" w:type="dxa"/>
            <w:tcBorders>
              <w:top w:val="nil"/>
              <w:left w:val="nil"/>
              <w:bottom w:val="nil"/>
              <w:right w:val="nil"/>
            </w:tcBorders>
            <w:shd w:val="clear" w:color="auto" w:fill="auto"/>
            <w:vAlign w:val="center"/>
            <w:hideMark/>
          </w:tcPr>
          <w:p w14:paraId="54FD5AC8"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IV. Katılma hesapları-TP</w:t>
            </w:r>
          </w:p>
        </w:tc>
        <w:tc>
          <w:tcPr>
            <w:tcW w:w="840" w:type="dxa"/>
            <w:tcBorders>
              <w:top w:val="nil"/>
              <w:left w:val="nil"/>
              <w:bottom w:val="nil"/>
              <w:right w:val="nil"/>
            </w:tcBorders>
            <w:shd w:val="clear" w:color="auto" w:fill="auto"/>
            <w:vAlign w:val="center"/>
            <w:hideMark/>
          </w:tcPr>
          <w:p w14:paraId="16908745" w14:textId="66F1D54D"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4" w:type="dxa"/>
            <w:tcBorders>
              <w:top w:val="nil"/>
              <w:left w:val="nil"/>
              <w:bottom w:val="nil"/>
              <w:right w:val="nil"/>
            </w:tcBorders>
            <w:shd w:val="clear" w:color="auto" w:fill="auto"/>
            <w:vAlign w:val="center"/>
            <w:hideMark/>
          </w:tcPr>
          <w:p w14:paraId="41A22906" w14:textId="5E92A66D" w:rsidR="00442255" w:rsidRPr="00005453" w:rsidRDefault="00442255" w:rsidP="00442255">
            <w:pPr>
              <w:jc w:val="right"/>
              <w:rPr>
                <w:b/>
                <w:bCs/>
                <w:color w:val="000000"/>
                <w:sz w:val="14"/>
                <w:szCs w:val="14"/>
                <w:lang w:eastAsia="tr-TR"/>
              </w:rPr>
            </w:pPr>
            <w:r w:rsidRPr="00005453">
              <w:rPr>
                <w:b/>
                <w:sz w:val="14"/>
                <w:szCs w:val="14"/>
                <w:lang w:eastAsia="tr-TR"/>
              </w:rPr>
              <w:t>14,769,092</w:t>
            </w:r>
          </w:p>
        </w:tc>
        <w:tc>
          <w:tcPr>
            <w:tcW w:w="805" w:type="dxa"/>
            <w:tcBorders>
              <w:top w:val="nil"/>
              <w:left w:val="nil"/>
              <w:bottom w:val="nil"/>
              <w:right w:val="nil"/>
            </w:tcBorders>
            <w:shd w:val="clear" w:color="auto" w:fill="auto"/>
            <w:vAlign w:val="center"/>
            <w:hideMark/>
          </w:tcPr>
          <w:p w14:paraId="050CA58C" w14:textId="2BDF46C8" w:rsidR="00442255" w:rsidRPr="00005453" w:rsidRDefault="00442255" w:rsidP="00442255">
            <w:pPr>
              <w:jc w:val="right"/>
              <w:rPr>
                <w:b/>
                <w:bCs/>
                <w:color w:val="000000"/>
                <w:sz w:val="14"/>
                <w:szCs w:val="14"/>
                <w:lang w:eastAsia="tr-TR"/>
              </w:rPr>
            </w:pPr>
            <w:r w:rsidRPr="00005453">
              <w:rPr>
                <w:b/>
                <w:sz w:val="14"/>
                <w:szCs w:val="14"/>
                <w:lang w:eastAsia="tr-TR"/>
              </w:rPr>
              <w:t>8,585,515</w:t>
            </w:r>
          </w:p>
        </w:tc>
        <w:tc>
          <w:tcPr>
            <w:tcW w:w="745" w:type="dxa"/>
            <w:tcBorders>
              <w:top w:val="nil"/>
              <w:left w:val="nil"/>
              <w:bottom w:val="nil"/>
              <w:right w:val="nil"/>
            </w:tcBorders>
            <w:shd w:val="clear" w:color="auto" w:fill="auto"/>
            <w:vAlign w:val="center"/>
            <w:hideMark/>
          </w:tcPr>
          <w:p w14:paraId="5137A195" w14:textId="53836B99" w:rsidR="00442255" w:rsidRPr="00005453" w:rsidRDefault="00442255" w:rsidP="00442255">
            <w:pPr>
              <w:jc w:val="right"/>
              <w:rPr>
                <w:b/>
                <w:bCs/>
                <w:color w:val="000000"/>
                <w:sz w:val="14"/>
                <w:szCs w:val="14"/>
                <w:lang w:eastAsia="tr-TR"/>
              </w:rPr>
            </w:pPr>
            <w:r w:rsidRPr="00005453">
              <w:rPr>
                <w:b/>
                <w:sz w:val="14"/>
                <w:szCs w:val="14"/>
                <w:lang w:eastAsia="tr-TR"/>
              </w:rPr>
              <w:t>1,884,335</w:t>
            </w:r>
          </w:p>
        </w:tc>
        <w:tc>
          <w:tcPr>
            <w:tcW w:w="498" w:type="dxa"/>
            <w:tcBorders>
              <w:top w:val="nil"/>
              <w:left w:val="nil"/>
              <w:bottom w:val="nil"/>
              <w:right w:val="nil"/>
            </w:tcBorders>
            <w:shd w:val="clear" w:color="auto" w:fill="auto"/>
            <w:vAlign w:val="center"/>
            <w:hideMark/>
          </w:tcPr>
          <w:p w14:paraId="5E3EB408" w14:textId="35D11804"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268D8E1E" w14:textId="75CE2F78" w:rsidR="00442255" w:rsidRPr="00005453" w:rsidRDefault="00442255" w:rsidP="00442255">
            <w:pPr>
              <w:jc w:val="right"/>
              <w:rPr>
                <w:b/>
                <w:bCs/>
                <w:color w:val="000000"/>
                <w:sz w:val="14"/>
                <w:szCs w:val="14"/>
                <w:lang w:eastAsia="tr-TR"/>
              </w:rPr>
            </w:pPr>
            <w:r w:rsidRPr="00005453">
              <w:rPr>
                <w:b/>
                <w:sz w:val="14"/>
                <w:szCs w:val="14"/>
                <w:lang w:eastAsia="tr-TR"/>
              </w:rPr>
              <w:t>5,794,661</w:t>
            </w:r>
          </w:p>
        </w:tc>
        <w:tc>
          <w:tcPr>
            <w:tcW w:w="745" w:type="dxa"/>
            <w:tcBorders>
              <w:top w:val="nil"/>
              <w:left w:val="nil"/>
              <w:bottom w:val="nil"/>
              <w:right w:val="nil"/>
            </w:tcBorders>
            <w:shd w:val="clear" w:color="auto" w:fill="auto"/>
            <w:vAlign w:val="center"/>
            <w:hideMark/>
          </w:tcPr>
          <w:p w14:paraId="1F91EE5D" w14:textId="531CE9B5" w:rsidR="00442255" w:rsidRPr="00005453" w:rsidRDefault="00442255" w:rsidP="00442255">
            <w:pPr>
              <w:jc w:val="right"/>
              <w:rPr>
                <w:b/>
                <w:bCs/>
                <w:color w:val="000000"/>
                <w:sz w:val="14"/>
                <w:szCs w:val="14"/>
                <w:lang w:eastAsia="tr-TR"/>
              </w:rPr>
            </w:pPr>
            <w:r w:rsidRPr="00005453">
              <w:rPr>
                <w:b/>
                <w:sz w:val="14"/>
                <w:szCs w:val="14"/>
                <w:lang w:eastAsia="tr-TR"/>
              </w:rPr>
              <w:t>81,730</w:t>
            </w:r>
          </w:p>
        </w:tc>
        <w:tc>
          <w:tcPr>
            <w:tcW w:w="708" w:type="dxa"/>
            <w:tcBorders>
              <w:top w:val="nil"/>
              <w:left w:val="nil"/>
              <w:bottom w:val="nil"/>
              <w:right w:val="nil"/>
            </w:tcBorders>
            <w:shd w:val="clear" w:color="auto" w:fill="auto"/>
            <w:vAlign w:val="center"/>
            <w:hideMark/>
          </w:tcPr>
          <w:p w14:paraId="3C723AFB" w14:textId="57DB7B74" w:rsidR="00442255" w:rsidRPr="00005453" w:rsidRDefault="00442255" w:rsidP="00442255">
            <w:pPr>
              <w:jc w:val="right"/>
              <w:rPr>
                <w:b/>
                <w:bCs/>
                <w:color w:val="000000"/>
                <w:sz w:val="14"/>
                <w:szCs w:val="14"/>
                <w:lang w:eastAsia="tr-TR"/>
              </w:rPr>
            </w:pPr>
            <w:r w:rsidRPr="00005453">
              <w:rPr>
                <w:b/>
                <w:sz w:val="14"/>
                <w:szCs w:val="14"/>
                <w:lang w:eastAsia="tr-TR"/>
              </w:rPr>
              <w:t>74</w:t>
            </w:r>
          </w:p>
        </w:tc>
        <w:tc>
          <w:tcPr>
            <w:tcW w:w="840" w:type="dxa"/>
            <w:tcBorders>
              <w:top w:val="nil"/>
              <w:left w:val="nil"/>
              <w:bottom w:val="nil"/>
              <w:right w:val="nil"/>
            </w:tcBorders>
            <w:shd w:val="clear" w:color="auto" w:fill="auto"/>
            <w:vAlign w:val="center"/>
            <w:hideMark/>
          </w:tcPr>
          <w:p w14:paraId="054D76D2" w14:textId="3E349849" w:rsidR="00442255" w:rsidRPr="00005453" w:rsidRDefault="00442255" w:rsidP="00442255">
            <w:pPr>
              <w:jc w:val="right"/>
              <w:rPr>
                <w:b/>
                <w:bCs/>
                <w:color w:val="000000"/>
                <w:sz w:val="14"/>
                <w:szCs w:val="14"/>
                <w:lang w:eastAsia="tr-TR"/>
              </w:rPr>
            </w:pPr>
            <w:r w:rsidRPr="00005453">
              <w:rPr>
                <w:b/>
                <w:sz w:val="14"/>
                <w:szCs w:val="14"/>
                <w:lang w:eastAsia="tr-TR"/>
              </w:rPr>
              <w:t>31,115,407</w:t>
            </w:r>
          </w:p>
        </w:tc>
      </w:tr>
      <w:tr w:rsidR="00442255" w:rsidRPr="00005453" w14:paraId="2201C577" w14:textId="77777777" w:rsidTr="00442255">
        <w:trPr>
          <w:divId w:val="243074251"/>
          <w:trHeight w:val="113"/>
        </w:trPr>
        <w:tc>
          <w:tcPr>
            <w:tcW w:w="3472" w:type="dxa"/>
            <w:tcBorders>
              <w:top w:val="nil"/>
              <w:left w:val="nil"/>
              <w:bottom w:val="nil"/>
              <w:right w:val="nil"/>
            </w:tcBorders>
            <w:shd w:val="clear" w:color="auto" w:fill="auto"/>
            <w:vAlign w:val="center"/>
            <w:hideMark/>
          </w:tcPr>
          <w:p w14:paraId="6A820D27"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1A3F7773" w14:textId="0BD17108"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0FD627EF" w14:textId="37449298" w:rsidR="00442255" w:rsidRPr="00005453" w:rsidRDefault="00442255" w:rsidP="00442255">
            <w:pPr>
              <w:jc w:val="right"/>
              <w:rPr>
                <w:color w:val="000000"/>
                <w:sz w:val="14"/>
                <w:szCs w:val="14"/>
                <w:lang w:eastAsia="tr-TR"/>
              </w:rPr>
            </w:pPr>
            <w:r w:rsidRPr="00005453">
              <w:rPr>
                <w:sz w:val="14"/>
                <w:szCs w:val="14"/>
                <w:lang w:eastAsia="tr-TR"/>
              </w:rPr>
              <w:t>224</w:t>
            </w:r>
          </w:p>
        </w:tc>
        <w:tc>
          <w:tcPr>
            <w:tcW w:w="805" w:type="dxa"/>
            <w:tcBorders>
              <w:top w:val="nil"/>
              <w:left w:val="nil"/>
              <w:bottom w:val="nil"/>
              <w:right w:val="nil"/>
            </w:tcBorders>
            <w:shd w:val="clear" w:color="auto" w:fill="auto"/>
            <w:vAlign w:val="center"/>
            <w:hideMark/>
          </w:tcPr>
          <w:p w14:paraId="25C6B54C" w14:textId="328A3B81" w:rsidR="00442255" w:rsidRPr="00005453" w:rsidRDefault="00442255" w:rsidP="00442255">
            <w:pPr>
              <w:jc w:val="right"/>
              <w:rPr>
                <w:color w:val="000000"/>
                <w:sz w:val="14"/>
                <w:szCs w:val="14"/>
                <w:lang w:eastAsia="tr-TR"/>
              </w:rPr>
            </w:pPr>
            <w:r w:rsidRPr="00005453">
              <w:rPr>
                <w:sz w:val="14"/>
                <w:szCs w:val="14"/>
                <w:lang w:eastAsia="tr-TR"/>
              </w:rPr>
              <w:t>5,188</w:t>
            </w:r>
          </w:p>
        </w:tc>
        <w:tc>
          <w:tcPr>
            <w:tcW w:w="745" w:type="dxa"/>
            <w:tcBorders>
              <w:top w:val="nil"/>
              <w:left w:val="nil"/>
              <w:bottom w:val="nil"/>
              <w:right w:val="nil"/>
            </w:tcBorders>
            <w:shd w:val="clear" w:color="auto" w:fill="auto"/>
            <w:vAlign w:val="center"/>
            <w:hideMark/>
          </w:tcPr>
          <w:p w14:paraId="5325E44C" w14:textId="7A8DB90C"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6FB42095" w14:textId="01FC5634"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6C52E053" w14:textId="0142CF4D" w:rsidR="00442255" w:rsidRPr="00005453" w:rsidRDefault="00442255" w:rsidP="00442255">
            <w:pPr>
              <w:jc w:val="right"/>
              <w:rPr>
                <w:color w:val="000000"/>
                <w:sz w:val="14"/>
                <w:szCs w:val="14"/>
                <w:lang w:eastAsia="tr-TR"/>
              </w:rPr>
            </w:pPr>
            <w:r w:rsidRPr="00005453">
              <w:rPr>
                <w:sz w:val="14"/>
                <w:szCs w:val="14"/>
                <w:lang w:eastAsia="tr-TR"/>
              </w:rPr>
              <w:t>273,294</w:t>
            </w:r>
          </w:p>
        </w:tc>
        <w:tc>
          <w:tcPr>
            <w:tcW w:w="745" w:type="dxa"/>
            <w:tcBorders>
              <w:top w:val="nil"/>
              <w:left w:val="nil"/>
              <w:bottom w:val="nil"/>
              <w:right w:val="nil"/>
            </w:tcBorders>
            <w:shd w:val="clear" w:color="auto" w:fill="auto"/>
            <w:vAlign w:val="center"/>
            <w:hideMark/>
          </w:tcPr>
          <w:p w14:paraId="4274B515" w14:textId="4C44C8D5" w:rsidR="00442255" w:rsidRPr="00005453" w:rsidRDefault="00442255" w:rsidP="00442255">
            <w:pPr>
              <w:jc w:val="right"/>
              <w:rPr>
                <w:color w:val="000000"/>
                <w:sz w:val="14"/>
                <w:szCs w:val="14"/>
                <w:lang w:eastAsia="tr-TR"/>
              </w:rPr>
            </w:pPr>
            <w:r w:rsidRPr="00005453">
              <w:rPr>
                <w:sz w:val="14"/>
                <w:szCs w:val="14"/>
                <w:lang w:eastAsia="tr-TR"/>
              </w:rPr>
              <w:t>284</w:t>
            </w:r>
          </w:p>
        </w:tc>
        <w:tc>
          <w:tcPr>
            <w:tcW w:w="708" w:type="dxa"/>
            <w:tcBorders>
              <w:top w:val="nil"/>
              <w:left w:val="nil"/>
              <w:bottom w:val="nil"/>
              <w:right w:val="nil"/>
            </w:tcBorders>
            <w:shd w:val="clear" w:color="auto" w:fill="auto"/>
            <w:vAlign w:val="center"/>
            <w:hideMark/>
          </w:tcPr>
          <w:p w14:paraId="1253B3E2" w14:textId="7FC46015"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3028A2FE" w14:textId="428EC301" w:rsidR="00442255" w:rsidRPr="00005453" w:rsidRDefault="00442255" w:rsidP="00442255">
            <w:pPr>
              <w:jc w:val="right"/>
              <w:rPr>
                <w:color w:val="000000"/>
                <w:sz w:val="14"/>
                <w:szCs w:val="14"/>
                <w:lang w:eastAsia="tr-TR"/>
              </w:rPr>
            </w:pPr>
            <w:r w:rsidRPr="00005453">
              <w:rPr>
                <w:sz w:val="14"/>
                <w:szCs w:val="14"/>
                <w:lang w:eastAsia="tr-TR"/>
              </w:rPr>
              <w:t>278,990</w:t>
            </w:r>
          </w:p>
        </w:tc>
      </w:tr>
      <w:tr w:rsidR="00442255" w:rsidRPr="00005453" w14:paraId="76E61419" w14:textId="77777777" w:rsidTr="00442255">
        <w:trPr>
          <w:divId w:val="243074251"/>
          <w:trHeight w:val="66"/>
        </w:trPr>
        <w:tc>
          <w:tcPr>
            <w:tcW w:w="3472" w:type="dxa"/>
            <w:tcBorders>
              <w:top w:val="nil"/>
              <w:left w:val="nil"/>
              <w:bottom w:val="nil"/>
              <w:right w:val="nil"/>
            </w:tcBorders>
            <w:shd w:val="clear" w:color="auto" w:fill="auto"/>
            <w:vAlign w:val="center"/>
            <w:hideMark/>
          </w:tcPr>
          <w:p w14:paraId="39011BE1"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7A9762AC" w14:textId="01771C18"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1CB15BD2" w14:textId="5408F864" w:rsidR="00442255" w:rsidRPr="00005453" w:rsidRDefault="00442255" w:rsidP="00442255">
            <w:pPr>
              <w:jc w:val="right"/>
              <w:rPr>
                <w:color w:val="000000"/>
                <w:sz w:val="14"/>
                <w:szCs w:val="14"/>
                <w:lang w:eastAsia="tr-TR"/>
              </w:rPr>
            </w:pPr>
            <w:r w:rsidRPr="00005453">
              <w:rPr>
                <w:sz w:val="14"/>
                <w:szCs w:val="14"/>
                <w:lang w:eastAsia="tr-TR"/>
              </w:rPr>
              <w:t>14,515,707</w:t>
            </w:r>
          </w:p>
        </w:tc>
        <w:tc>
          <w:tcPr>
            <w:tcW w:w="805" w:type="dxa"/>
            <w:tcBorders>
              <w:top w:val="nil"/>
              <w:left w:val="nil"/>
              <w:bottom w:val="nil"/>
              <w:right w:val="nil"/>
            </w:tcBorders>
            <w:shd w:val="clear" w:color="auto" w:fill="auto"/>
            <w:vAlign w:val="center"/>
            <w:hideMark/>
          </w:tcPr>
          <w:p w14:paraId="5B1C3A2A" w14:textId="384D56D6" w:rsidR="00442255" w:rsidRPr="00005453" w:rsidRDefault="00442255" w:rsidP="00442255">
            <w:pPr>
              <w:jc w:val="right"/>
              <w:rPr>
                <w:color w:val="000000"/>
                <w:sz w:val="14"/>
                <w:szCs w:val="14"/>
                <w:lang w:eastAsia="tr-TR"/>
              </w:rPr>
            </w:pPr>
            <w:r w:rsidRPr="00005453">
              <w:rPr>
                <w:sz w:val="14"/>
                <w:szCs w:val="14"/>
                <w:lang w:eastAsia="tr-TR"/>
              </w:rPr>
              <w:t>7,379,274</w:t>
            </w:r>
          </w:p>
        </w:tc>
        <w:tc>
          <w:tcPr>
            <w:tcW w:w="745" w:type="dxa"/>
            <w:tcBorders>
              <w:top w:val="nil"/>
              <w:left w:val="nil"/>
              <w:bottom w:val="nil"/>
              <w:right w:val="nil"/>
            </w:tcBorders>
            <w:shd w:val="clear" w:color="auto" w:fill="auto"/>
            <w:vAlign w:val="center"/>
            <w:hideMark/>
          </w:tcPr>
          <w:p w14:paraId="64F043E8" w14:textId="1C424E2A" w:rsidR="00442255" w:rsidRPr="00005453" w:rsidRDefault="00442255" w:rsidP="00442255">
            <w:pPr>
              <w:jc w:val="right"/>
              <w:rPr>
                <w:color w:val="000000"/>
                <w:sz w:val="14"/>
                <w:szCs w:val="14"/>
                <w:lang w:eastAsia="tr-TR"/>
              </w:rPr>
            </w:pPr>
            <w:r w:rsidRPr="00005453">
              <w:rPr>
                <w:sz w:val="14"/>
                <w:szCs w:val="14"/>
                <w:lang w:eastAsia="tr-TR"/>
              </w:rPr>
              <w:t>1,752,982</w:t>
            </w:r>
          </w:p>
        </w:tc>
        <w:tc>
          <w:tcPr>
            <w:tcW w:w="498" w:type="dxa"/>
            <w:tcBorders>
              <w:top w:val="nil"/>
              <w:left w:val="nil"/>
              <w:bottom w:val="nil"/>
              <w:right w:val="nil"/>
            </w:tcBorders>
            <w:shd w:val="clear" w:color="auto" w:fill="auto"/>
            <w:vAlign w:val="center"/>
            <w:hideMark/>
          </w:tcPr>
          <w:p w14:paraId="706A15A3" w14:textId="1CE64E3E"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0CCFFCF" w14:textId="20441461" w:rsidR="00442255" w:rsidRPr="00005453" w:rsidRDefault="00442255" w:rsidP="00442255">
            <w:pPr>
              <w:jc w:val="right"/>
              <w:rPr>
                <w:color w:val="000000"/>
                <w:sz w:val="14"/>
                <w:szCs w:val="14"/>
                <w:lang w:eastAsia="tr-TR"/>
              </w:rPr>
            </w:pPr>
            <w:r w:rsidRPr="00005453">
              <w:rPr>
                <w:sz w:val="14"/>
                <w:szCs w:val="14"/>
                <w:lang w:eastAsia="tr-TR"/>
              </w:rPr>
              <w:t>5,316,871</w:t>
            </w:r>
          </w:p>
        </w:tc>
        <w:tc>
          <w:tcPr>
            <w:tcW w:w="745" w:type="dxa"/>
            <w:tcBorders>
              <w:top w:val="nil"/>
              <w:left w:val="nil"/>
              <w:bottom w:val="nil"/>
              <w:right w:val="nil"/>
            </w:tcBorders>
            <w:shd w:val="clear" w:color="auto" w:fill="auto"/>
            <w:vAlign w:val="center"/>
            <w:hideMark/>
          </w:tcPr>
          <w:p w14:paraId="437E69C3" w14:textId="086E01A2" w:rsidR="00442255" w:rsidRPr="00005453" w:rsidRDefault="00442255" w:rsidP="00442255">
            <w:pPr>
              <w:jc w:val="right"/>
              <w:rPr>
                <w:color w:val="000000"/>
                <w:sz w:val="14"/>
                <w:szCs w:val="14"/>
                <w:lang w:eastAsia="tr-TR"/>
              </w:rPr>
            </w:pPr>
            <w:r w:rsidRPr="00005453">
              <w:rPr>
                <w:sz w:val="14"/>
                <w:szCs w:val="14"/>
                <w:lang w:eastAsia="tr-TR"/>
              </w:rPr>
              <w:t>80,864</w:t>
            </w:r>
          </w:p>
        </w:tc>
        <w:tc>
          <w:tcPr>
            <w:tcW w:w="708" w:type="dxa"/>
            <w:tcBorders>
              <w:top w:val="nil"/>
              <w:left w:val="nil"/>
              <w:bottom w:val="nil"/>
              <w:right w:val="nil"/>
            </w:tcBorders>
            <w:shd w:val="clear" w:color="auto" w:fill="auto"/>
            <w:vAlign w:val="center"/>
            <w:hideMark/>
          </w:tcPr>
          <w:p w14:paraId="63AC3534" w14:textId="072215D0" w:rsidR="00442255" w:rsidRPr="00005453" w:rsidRDefault="00442255" w:rsidP="00442255">
            <w:pPr>
              <w:jc w:val="right"/>
              <w:rPr>
                <w:color w:val="000000"/>
                <w:sz w:val="14"/>
                <w:szCs w:val="14"/>
                <w:lang w:eastAsia="tr-TR"/>
              </w:rPr>
            </w:pPr>
            <w:r w:rsidRPr="00005453">
              <w:rPr>
                <w:sz w:val="14"/>
                <w:szCs w:val="14"/>
                <w:lang w:eastAsia="tr-TR"/>
              </w:rPr>
              <w:t>74</w:t>
            </w:r>
          </w:p>
        </w:tc>
        <w:tc>
          <w:tcPr>
            <w:tcW w:w="840" w:type="dxa"/>
            <w:tcBorders>
              <w:top w:val="nil"/>
              <w:left w:val="nil"/>
              <w:bottom w:val="nil"/>
              <w:right w:val="nil"/>
            </w:tcBorders>
            <w:shd w:val="clear" w:color="auto" w:fill="auto"/>
            <w:vAlign w:val="center"/>
            <w:hideMark/>
          </w:tcPr>
          <w:p w14:paraId="60820426" w14:textId="6E0232C8" w:rsidR="00442255" w:rsidRPr="00005453" w:rsidRDefault="00442255" w:rsidP="00442255">
            <w:pPr>
              <w:jc w:val="right"/>
              <w:rPr>
                <w:color w:val="000000"/>
                <w:sz w:val="14"/>
                <w:szCs w:val="14"/>
                <w:lang w:eastAsia="tr-TR"/>
              </w:rPr>
            </w:pPr>
            <w:r w:rsidRPr="00005453">
              <w:rPr>
                <w:sz w:val="14"/>
                <w:szCs w:val="14"/>
                <w:lang w:eastAsia="tr-TR"/>
              </w:rPr>
              <w:t>29,045,772</w:t>
            </w:r>
          </w:p>
        </w:tc>
      </w:tr>
      <w:tr w:rsidR="00442255" w:rsidRPr="00005453" w14:paraId="6C58A1FD" w14:textId="77777777" w:rsidTr="00442255">
        <w:trPr>
          <w:divId w:val="243074251"/>
          <w:trHeight w:val="66"/>
        </w:trPr>
        <w:tc>
          <w:tcPr>
            <w:tcW w:w="3472" w:type="dxa"/>
            <w:tcBorders>
              <w:top w:val="nil"/>
              <w:left w:val="nil"/>
              <w:bottom w:val="nil"/>
              <w:right w:val="nil"/>
            </w:tcBorders>
            <w:shd w:val="clear" w:color="auto" w:fill="auto"/>
            <w:vAlign w:val="center"/>
            <w:hideMark/>
          </w:tcPr>
          <w:p w14:paraId="739DEB4E"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0C5902A7" w14:textId="25267BBA"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4DC78920" w14:textId="5880EE12" w:rsidR="00442255" w:rsidRPr="00005453" w:rsidRDefault="00442255" w:rsidP="00442255">
            <w:pPr>
              <w:jc w:val="right"/>
              <w:rPr>
                <w:color w:val="000000"/>
                <w:sz w:val="14"/>
                <w:szCs w:val="14"/>
                <w:lang w:eastAsia="tr-TR"/>
              </w:rPr>
            </w:pPr>
            <w:r w:rsidRPr="00005453">
              <w:rPr>
                <w:sz w:val="14"/>
                <w:szCs w:val="14"/>
                <w:lang w:eastAsia="tr-TR"/>
              </w:rPr>
              <w:t>246,208</w:t>
            </w:r>
          </w:p>
        </w:tc>
        <w:tc>
          <w:tcPr>
            <w:tcW w:w="805" w:type="dxa"/>
            <w:tcBorders>
              <w:top w:val="nil"/>
              <w:left w:val="nil"/>
              <w:bottom w:val="nil"/>
              <w:right w:val="nil"/>
            </w:tcBorders>
            <w:shd w:val="clear" w:color="auto" w:fill="auto"/>
            <w:vAlign w:val="center"/>
            <w:hideMark/>
          </w:tcPr>
          <w:p w14:paraId="7AE45CE6" w14:textId="01990574" w:rsidR="00442255" w:rsidRPr="00005453" w:rsidRDefault="00442255" w:rsidP="00442255">
            <w:pPr>
              <w:jc w:val="right"/>
              <w:rPr>
                <w:color w:val="000000"/>
                <w:sz w:val="14"/>
                <w:szCs w:val="14"/>
                <w:lang w:eastAsia="tr-TR"/>
              </w:rPr>
            </w:pPr>
            <w:r w:rsidRPr="00005453">
              <w:rPr>
                <w:sz w:val="14"/>
                <w:szCs w:val="14"/>
                <w:lang w:eastAsia="tr-TR"/>
              </w:rPr>
              <w:t>799,173</w:t>
            </w:r>
          </w:p>
        </w:tc>
        <w:tc>
          <w:tcPr>
            <w:tcW w:w="745" w:type="dxa"/>
            <w:tcBorders>
              <w:top w:val="nil"/>
              <w:left w:val="nil"/>
              <w:bottom w:val="nil"/>
              <w:right w:val="nil"/>
            </w:tcBorders>
            <w:shd w:val="clear" w:color="auto" w:fill="auto"/>
            <w:vAlign w:val="center"/>
            <w:hideMark/>
          </w:tcPr>
          <w:p w14:paraId="25CCE050" w14:textId="5E8509E9" w:rsidR="00442255" w:rsidRPr="00005453" w:rsidRDefault="00442255" w:rsidP="00442255">
            <w:pPr>
              <w:jc w:val="right"/>
              <w:rPr>
                <w:color w:val="000000"/>
                <w:sz w:val="14"/>
                <w:szCs w:val="14"/>
                <w:lang w:eastAsia="tr-TR"/>
              </w:rPr>
            </w:pPr>
            <w:r w:rsidRPr="00005453">
              <w:rPr>
                <w:sz w:val="14"/>
                <w:szCs w:val="14"/>
                <w:lang w:eastAsia="tr-TR"/>
              </w:rPr>
              <w:t>28,027</w:t>
            </w:r>
          </w:p>
        </w:tc>
        <w:tc>
          <w:tcPr>
            <w:tcW w:w="498" w:type="dxa"/>
            <w:tcBorders>
              <w:top w:val="nil"/>
              <w:left w:val="nil"/>
              <w:bottom w:val="nil"/>
              <w:right w:val="nil"/>
            </w:tcBorders>
            <w:shd w:val="clear" w:color="auto" w:fill="auto"/>
            <w:vAlign w:val="center"/>
            <w:hideMark/>
          </w:tcPr>
          <w:p w14:paraId="3FC6212C" w14:textId="390F1BAF"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2EF37318" w14:textId="5C03242A" w:rsidR="00442255" w:rsidRPr="00005453" w:rsidRDefault="00442255" w:rsidP="00442255">
            <w:pPr>
              <w:jc w:val="right"/>
              <w:rPr>
                <w:color w:val="000000"/>
                <w:sz w:val="14"/>
                <w:szCs w:val="14"/>
                <w:lang w:eastAsia="tr-TR"/>
              </w:rPr>
            </w:pPr>
            <w:r w:rsidRPr="00005453">
              <w:rPr>
                <w:sz w:val="14"/>
                <w:szCs w:val="14"/>
                <w:lang w:eastAsia="tr-TR"/>
              </w:rPr>
              <w:t>82,063</w:t>
            </w:r>
          </w:p>
        </w:tc>
        <w:tc>
          <w:tcPr>
            <w:tcW w:w="745" w:type="dxa"/>
            <w:tcBorders>
              <w:top w:val="nil"/>
              <w:left w:val="nil"/>
              <w:bottom w:val="nil"/>
              <w:right w:val="nil"/>
            </w:tcBorders>
            <w:shd w:val="clear" w:color="auto" w:fill="auto"/>
            <w:vAlign w:val="center"/>
            <w:hideMark/>
          </w:tcPr>
          <w:p w14:paraId="4C933EF4" w14:textId="35FE3533" w:rsidR="00442255" w:rsidRPr="00005453" w:rsidRDefault="00442255" w:rsidP="00442255">
            <w:pPr>
              <w:jc w:val="right"/>
              <w:rPr>
                <w:color w:val="000000"/>
                <w:sz w:val="14"/>
                <w:szCs w:val="14"/>
                <w:lang w:eastAsia="tr-TR"/>
              </w:rPr>
            </w:pPr>
            <w:r w:rsidRPr="00005453">
              <w:rPr>
                <w:sz w:val="14"/>
                <w:szCs w:val="14"/>
                <w:lang w:eastAsia="tr-TR"/>
              </w:rPr>
              <w:t>582</w:t>
            </w:r>
          </w:p>
        </w:tc>
        <w:tc>
          <w:tcPr>
            <w:tcW w:w="708" w:type="dxa"/>
            <w:tcBorders>
              <w:top w:val="nil"/>
              <w:left w:val="nil"/>
              <w:bottom w:val="nil"/>
              <w:right w:val="nil"/>
            </w:tcBorders>
            <w:shd w:val="clear" w:color="auto" w:fill="auto"/>
            <w:vAlign w:val="center"/>
            <w:hideMark/>
          </w:tcPr>
          <w:p w14:paraId="47E2EB4F" w14:textId="1A5DBAC9"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676A1947" w14:textId="04A00153" w:rsidR="00442255" w:rsidRPr="00005453" w:rsidRDefault="00442255" w:rsidP="00442255">
            <w:pPr>
              <w:jc w:val="right"/>
              <w:rPr>
                <w:color w:val="000000"/>
                <w:sz w:val="14"/>
                <w:szCs w:val="14"/>
                <w:lang w:eastAsia="tr-TR"/>
              </w:rPr>
            </w:pPr>
            <w:r w:rsidRPr="00005453">
              <w:rPr>
                <w:sz w:val="14"/>
                <w:szCs w:val="14"/>
                <w:lang w:eastAsia="tr-TR"/>
              </w:rPr>
              <w:t>1,156,053</w:t>
            </w:r>
          </w:p>
        </w:tc>
      </w:tr>
      <w:tr w:rsidR="00442255" w:rsidRPr="00005453" w14:paraId="27E7C2A3" w14:textId="77777777" w:rsidTr="00442255">
        <w:trPr>
          <w:divId w:val="243074251"/>
          <w:trHeight w:val="66"/>
        </w:trPr>
        <w:tc>
          <w:tcPr>
            <w:tcW w:w="3472" w:type="dxa"/>
            <w:tcBorders>
              <w:top w:val="nil"/>
              <w:left w:val="nil"/>
              <w:bottom w:val="nil"/>
              <w:right w:val="nil"/>
            </w:tcBorders>
            <w:shd w:val="clear" w:color="auto" w:fill="auto"/>
            <w:vAlign w:val="center"/>
            <w:hideMark/>
          </w:tcPr>
          <w:p w14:paraId="1F4B6804"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2AE213BB" w14:textId="300A2FD5"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3E1BC234" w14:textId="6D992A64" w:rsidR="00442255" w:rsidRPr="00005453" w:rsidRDefault="00442255" w:rsidP="00442255">
            <w:pPr>
              <w:jc w:val="right"/>
              <w:rPr>
                <w:color w:val="000000"/>
                <w:sz w:val="14"/>
                <w:szCs w:val="14"/>
                <w:lang w:eastAsia="tr-TR"/>
              </w:rPr>
            </w:pPr>
            <w:r w:rsidRPr="00005453">
              <w:rPr>
                <w:sz w:val="14"/>
                <w:szCs w:val="14"/>
                <w:lang w:eastAsia="tr-TR"/>
              </w:rPr>
              <w:t>6,953</w:t>
            </w:r>
          </w:p>
        </w:tc>
        <w:tc>
          <w:tcPr>
            <w:tcW w:w="805" w:type="dxa"/>
            <w:tcBorders>
              <w:top w:val="nil"/>
              <w:left w:val="nil"/>
              <w:bottom w:val="nil"/>
              <w:right w:val="nil"/>
            </w:tcBorders>
            <w:shd w:val="clear" w:color="auto" w:fill="auto"/>
            <w:vAlign w:val="center"/>
            <w:hideMark/>
          </w:tcPr>
          <w:p w14:paraId="49F6137D" w14:textId="12DAFA73" w:rsidR="00442255" w:rsidRPr="00005453" w:rsidRDefault="00442255" w:rsidP="00442255">
            <w:pPr>
              <w:jc w:val="right"/>
              <w:rPr>
                <w:color w:val="000000"/>
                <w:sz w:val="14"/>
                <w:szCs w:val="14"/>
                <w:lang w:eastAsia="tr-TR"/>
              </w:rPr>
            </w:pPr>
            <w:r w:rsidRPr="00005453">
              <w:rPr>
                <w:sz w:val="14"/>
                <w:szCs w:val="14"/>
                <w:lang w:eastAsia="tr-TR"/>
              </w:rPr>
              <w:t>401,848</w:t>
            </w:r>
          </w:p>
        </w:tc>
        <w:tc>
          <w:tcPr>
            <w:tcW w:w="745" w:type="dxa"/>
            <w:tcBorders>
              <w:top w:val="nil"/>
              <w:left w:val="nil"/>
              <w:bottom w:val="nil"/>
              <w:right w:val="nil"/>
            </w:tcBorders>
            <w:shd w:val="clear" w:color="auto" w:fill="auto"/>
            <w:vAlign w:val="center"/>
            <w:hideMark/>
          </w:tcPr>
          <w:p w14:paraId="00569102" w14:textId="6657FC1E" w:rsidR="00442255" w:rsidRPr="00005453" w:rsidRDefault="00442255" w:rsidP="00442255">
            <w:pPr>
              <w:jc w:val="right"/>
              <w:rPr>
                <w:color w:val="000000"/>
                <w:sz w:val="14"/>
                <w:szCs w:val="14"/>
                <w:lang w:eastAsia="tr-TR"/>
              </w:rPr>
            </w:pPr>
            <w:r w:rsidRPr="00005453">
              <w:rPr>
                <w:sz w:val="14"/>
                <w:szCs w:val="14"/>
                <w:lang w:eastAsia="tr-TR"/>
              </w:rPr>
              <w:t>103,326</w:t>
            </w:r>
          </w:p>
        </w:tc>
        <w:tc>
          <w:tcPr>
            <w:tcW w:w="498" w:type="dxa"/>
            <w:tcBorders>
              <w:top w:val="nil"/>
              <w:left w:val="nil"/>
              <w:bottom w:val="nil"/>
              <w:right w:val="nil"/>
            </w:tcBorders>
            <w:shd w:val="clear" w:color="auto" w:fill="auto"/>
            <w:vAlign w:val="center"/>
            <w:hideMark/>
          </w:tcPr>
          <w:p w14:paraId="1405B11A" w14:textId="5AE2D316"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967EED7" w14:textId="14B195B1" w:rsidR="00442255" w:rsidRPr="00005453" w:rsidRDefault="00442255" w:rsidP="00442255">
            <w:pPr>
              <w:jc w:val="right"/>
              <w:rPr>
                <w:color w:val="000000"/>
                <w:sz w:val="14"/>
                <w:szCs w:val="14"/>
                <w:lang w:eastAsia="tr-TR"/>
              </w:rPr>
            </w:pPr>
            <w:r w:rsidRPr="00005453">
              <w:rPr>
                <w:sz w:val="14"/>
                <w:szCs w:val="14"/>
                <w:lang w:eastAsia="tr-TR"/>
              </w:rPr>
              <w:t>122,433</w:t>
            </w:r>
          </w:p>
        </w:tc>
        <w:tc>
          <w:tcPr>
            <w:tcW w:w="745" w:type="dxa"/>
            <w:tcBorders>
              <w:top w:val="nil"/>
              <w:left w:val="nil"/>
              <w:bottom w:val="nil"/>
              <w:right w:val="nil"/>
            </w:tcBorders>
            <w:shd w:val="clear" w:color="auto" w:fill="auto"/>
            <w:vAlign w:val="center"/>
            <w:hideMark/>
          </w:tcPr>
          <w:p w14:paraId="63427F62" w14:textId="516EC908"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091DB762" w14:textId="37DC8D81"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5410E9D7" w14:textId="214EE649" w:rsidR="00442255" w:rsidRPr="00005453" w:rsidRDefault="00442255" w:rsidP="00442255">
            <w:pPr>
              <w:jc w:val="right"/>
              <w:rPr>
                <w:color w:val="000000"/>
                <w:sz w:val="14"/>
                <w:szCs w:val="14"/>
                <w:lang w:eastAsia="tr-TR"/>
              </w:rPr>
            </w:pPr>
            <w:r w:rsidRPr="00005453">
              <w:rPr>
                <w:sz w:val="14"/>
                <w:szCs w:val="14"/>
                <w:lang w:eastAsia="tr-TR"/>
              </w:rPr>
              <w:t>634,560</w:t>
            </w:r>
          </w:p>
        </w:tc>
      </w:tr>
      <w:tr w:rsidR="00442255" w:rsidRPr="00005453" w14:paraId="2A77BE72" w14:textId="77777777" w:rsidTr="00442255">
        <w:trPr>
          <w:divId w:val="243074251"/>
          <w:trHeight w:val="179"/>
        </w:trPr>
        <w:tc>
          <w:tcPr>
            <w:tcW w:w="3472" w:type="dxa"/>
            <w:tcBorders>
              <w:top w:val="nil"/>
              <w:left w:val="nil"/>
              <w:bottom w:val="nil"/>
              <w:right w:val="nil"/>
            </w:tcBorders>
            <w:shd w:val="clear" w:color="auto" w:fill="auto"/>
            <w:vAlign w:val="center"/>
            <w:hideMark/>
          </w:tcPr>
          <w:p w14:paraId="01229F6A"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284A61D4" w14:textId="7ACF1ADA"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4897BDF6" w14:textId="77A6C90B"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005F5156" w14:textId="28048E09" w:rsidR="00442255" w:rsidRPr="00005453" w:rsidRDefault="00442255" w:rsidP="00442255">
            <w:pPr>
              <w:jc w:val="right"/>
              <w:rPr>
                <w:color w:val="000000"/>
                <w:sz w:val="14"/>
                <w:szCs w:val="14"/>
                <w:lang w:eastAsia="tr-TR"/>
              </w:rPr>
            </w:pPr>
            <w:r w:rsidRPr="00005453">
              <w:rPr>
                <w:sz w:val="14"/>
                <w:szCs w:val="14"/>
                <w:lang w:eastAsia="tr-TR"/>
              </w:rPr>
              <w:t>32</w:t>
            </w:r>
          </w:p>
        </w:tc>
        <w:tc>
          <w:tcPr>
            <w:tcW w:w="745" w:type="dxa"/>
            <w:tcBorders>
              <w:top w:val="nil"/>
              <w:left w:val="nil"/>
              <w:bottom w:val="nil"/>
              <w:right w:val="nil"/>
            </w:tcBorders>
            <w:shd w:val="clear" w:color="auto" w:fill="auto"/>
            <w:vAlign w:val="center"/>
            <w:hideMark/>
          </w:tcPr>
          <w:p w14:paraId="63C00CA2" w14:textId="405860D8"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59B18C20" w14:textId="123C615A"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0B5997B9" w14:textId="1CEC8971"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071E3D7F" w14:textId="6909D4FF"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2E29E7D6" w14:textId="7B7D4D7E"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18AFC726" w14:textId="19B56E06" w:rsidR="00442255" w:rsidRPr="00005453" w:rsidRDefault="00442255" w:rsidP="00442255">
            <w:pPr>
              <w:jc w:val="right"/>
              <w:rPr>
                <w:color w:val="000000"/>
                <w:sz w:val="14"/>
                <w:szCs w:val="14"/>
                <w:lang w:eastAsia="tr-TR"/>
              </w:rPr>
            </w:pPr>
            <w:r w:rsidRPr="00005453">
              <w:rPr>
                <w:sz w:val="14"/>
                <w:szCs w:val="14"/>
                <w:lang w:eastAsia="tr-TR"/>
              </w:rPr>
              <w:t>32</w:t>
            </w:r>
          </w:p>
        </w:tc>
      </w:tr>
      <w:tr w:rsidR="00442255" w:rsidRPr="00005453" w14:paraId="5B7C6EB8" w14:textId="77777777" w:rsidTr="00442255">
        <w:trPr>
          <w:divId w:val="243074251"/>
          <w:trHeight w:val="57"/>
        </w:trPr>
        <w:tc>
          <w:tcPr>
            <w:tcW w:w="3472" w:type="dxa"/>
            <w:tcBorders>
              <w:top w:val="nil"/>
              <w:left w:val="nil"/>
              <w:bottom w:val="nil"/>
              <w:right w:val="nil"/>
            </w:tcBorders>
            <w:shd w:val="clear" w:color="auto" w:fill="auto"/>
            <w:vAlign w:val="center"/>
            <w:hideMark/>
          </w:tcPr>
          <w:p w14:paraId="4ED1D363"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V.Özel cari hesabı gerçek kişi ticari olmayan-YP</w:t>
            </w:r>
          </w:p>
        </w:tc>
        <w:tc>
          <w:tcPr>
            <w:tcW w:w="840" w:type="dxa"/>
            <w:tcBorders>
              <w:top w:val="nil"/>
              <w:left w:val="nil"/>
              <w:bottom w:val="nil"/>
              <w:right w:val="nil"/>
            </w:tcBorders>
            <w:shd w:val="clear" w:color="auto" w:fill="auto"/>
            <w:vAlign w:val="center"/>
            <w:hideMark/>
          </w:tcPr>
          <w:p w14:paraId="62A74ABD" w14:textId="28A983DE" w:rsidR="00442255" w:rsidRPr="00005453" w:rsidRDefault="00442255" w:rsidP="00442255">
            <w:pPr>
              <w:jc w:val="right"/>
              <w:rPr>
                <w:b/>
                <w:bCs/>
                <w:color w:val="000000"/>
                <w:sz w:val="14"/>
                <w:szCs w:val="14"/>
                <w:lang w:eastAsia="tr-TR"/>
              </w:rPr>
            </w:pPr>
            <w:r w:rsidRPr="00005453">
              <w:rPr>
                <w:b/>
                <w:sz w:val="14"/>
                <w:szCs w:val="14"/>
                <w:lang w:eastAsia="tr-TR"/>
              </w:rPr>
              <w:t>88,598,190</w:t>
            </w:r>
          </w:p>
        </w:tc>
        <w:tc>
          <w:tcPr>
            <w:tcW w:w="804" w:type="dxa"/>
            <w:tcBorders>
              <w:top w:val="nil"/>
              <w:left w:val="nil"/>
              <w:bottom w:val="nil"/>
              <w:right w:val="nil"/>
            </w:tcBorders>
            <w:shd w:val="clear" w:color="auto" w:fill="auto"/>
            <w:vAlign w:val="center"/>
            <w:hideMark/>
          </w:tcPr>
          <w:p w14:paraId="46EB2354" w14:textId="203ACF94"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5" w:type="dxa"/>
            <w:tcBorders>
              <w:top w:val="nil"/>
              <w:left w:val="nil"/>
              <w:bottom w:val="nil"/>
              <w:right w:val="nil"/>
            </w:tcBorders>
            <w:shd w:val="clear" w:color="auto" w:fill="auto"/>
            <w:vAlign w:val="center"/>
            <w:hideMark/>
          </w:tcPr>
          <w:p w14:paraId="45B73238" w14:textId="52D04A86"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200E6CFB" w14:textId="5DF014F5"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498" w:type="dxa"/>
            <w:tcBorders>
              <w:top w:val="nil"/>
              <w:left w:val="nil"/>
              <w:bottom w:val="nil"/>
              <w:right w:val="nil"/>
            </w:tcBorders>
            <w:shd w:val="clear" w:color="auto" w:fill="auto"/>
            <w:vAlign w:val="center"/>
            <w:hideMark/>
          </w:tcPr>
          <w:p w14:paraId="64779C78" w14:textId="46E8B093"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5BBA85C7" w14:textId="6D5C4B94"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1DAB097F" w14:textId="21F98066"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08" w:type="dxa"/>
            <w:tcBorders>
              <w:top w:val="nil"/>
              <w:left w:val="nil"/>
              <w:bottom w:val="nil"/>
              <w:right w:val="nil"/>
            </w:tcBorders>
            <w:shd w:val="clear" w:color="auto" w:fill="auto"/>
            <w:vAlign w:val="center"/>
            <w:hideMark/>
          </w:tcPr>
          <w:p w14:paraId="45981DAF" w14:textId="7BF3E0C2"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40" w:type="dxa"/>
            <w:tcBorders>
              <w:top w:val="nil"/>
              <w:left w:val="nil"/>
              <w:bottom w:val="nil"/>
              <w:right w:val="nil"/>
            </w:tcBorders>
            <w:shd w:val="clear" w:color="auto" w:fill="auto"/>
            <w:vAlign w:val="center"/>
            <w:hideMark/>
          </w:tcPr>
          <w:p w14:paraId="77B7A687" w14:textId="336FB791" w:rsidR="00442255" w:rsidRPr="00005453" w:rsidRDefault="00442255" w:rsidP="00442255">
            <w:pPr>
              <w:jc w:val="right"/>
              <w:rPr>
                <w:b/>
                <w:bCs/>
                <w:color w:val="000000"/>
                <w:sz w:val="14"/>
                <w:szCs w:val="14"/>
                <w:lang w:eastAsia="tr-TR"/>
              </w:rPr>
            </w:pPr>
            <w:r w:rsidRPr="00005453">
              <w:rPr>
                <w:b/>
                <w:sz w:val="14"/>
                <w:szCs w:val="14"/>
                <w:lang w:eastAsia="tr-TR"/>
              </w:rPr>
              <w:t>88,598,190</w:t>
            </w:r>
          </w:p>
        </w:tc>
      </w:tr>
      <w:tr w:rsidR="00442255" w:rsidRPr="00005453" w14:paraId="3B20CFCC" w14:textId="77777777" w:rsidTr="00442255">
        <w:trPr>
          <w:divId w:val="243074251"/>
          <w:trHeight w:val="57"/>
        </w:trPr>
        <w:tc>
          <w:tcPr>
            <w:tcW w:w="3472" w:type="dxa"/>
            <w:tcBorders>
              <w:top w:val="nil"/>
              <w:left w:val="nil"/>
              <w:bottom w:val="nil"/>
              <w:right w:val="nil"/>
            </w:tcBorders>
            <w:shd w:val="clear" w:color="auto" w:fill="auto"/>
            <w:vAlign w:val="center"/>
            <w:hideMark/>
          </w:tcPr>
          <w:p w14:paraId="4FB0756A"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3F9544EA" w14:textId="7DE77338"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4" w:type="dxa"/>
            <w:tcBorders>
              <w:top w:val="nil"/>
              <w:left w:val="nil"/>
              <w:bottom w:val="nil"/>
              <w:right w:val="nil"/>
            </w:tcBorders>
            <w:shd w:val="clear" w:color="auto" w:fill="auto"/>
            <w:vAlign w:val="center"/>
            <w:hideMark/>
          </w:tcPr>
          <w:p w14:paraId="5C81A3F1" w14:textId="234EAEFD" w:rsidR="00442255" w:rsidRPr="00005453" w:rsidRDefault="00442255" w:rsidP="00442255">
            <w:pPr>
              <w:jc w:val="right"/>
              <w:rPr>
                <w:b/>
                <w:bCs/>
                <w:color w:val="000000"/>
                <w:sz w:val="14"/>
                <w:szCs w:val="14"/>
                <w:lang w:eastAsia="tr-TR"/>
              </w:rPr>
            </w:pPr>
            <w:r w:rsidRPr="00005453">
              <w:rPr>
                <w:b/>
                <w:sz w:val="14"/>
                <w:szCs w:val="14"/>
                <w:lang w:eastAsia="tr-TR"/>
              </w:rPr>
              <w:t>15,876,483</w:t>
            </w:r>
          </w:p>
        </w:tc>
        <w:tc>
          <w:tcPr>
            <w:tcW w:w="805" w:type="dxa"/>
            <w:tcBorders>
              <w:top w:val="nil"/>
              <w:left w:val="nil"/>
              <w:bottom w:val="nil"/>
              <w:right w:val="nil"/>
            </w:tcBorders>
            <w:shd w:val="clear" w:color="auto" w:fill="auto"/>
            <w:vAlign w:val="center"/>
            <w:hideMark/>
          </w:tcPr>
          <w:p w14:paraId="747B33B5" w14:textId="24EEC1C3" w:rsidR="00442255" w:rsidRPr="00005453" w:rsidRDefault="00442255" w:rsidP="00442255">
            <w:pPr>
              <w:jc w:val="right"/>
              <w:rPr>
                <w:b/>
                <w:bCs/>
                <w:color w:val="000000"/>
                <w:sz w:val="14"/>
                <w:szCs w:val="14"/>
                <w:lang w:eastAsia="tr-TR"/>
              </w:rPr>
            </w:pPr>
            <w:r w:rsidRPr="00005453">
              <w:rPr>
                <w:b/>
                <w:sz w:val="14"/>
                <w:szCs w:val="14"/>
                <w:lang w:eastAsia="tr-TR"/>
              </w:rPr>
              <w:t>13,162,188</w:t>
            </w:r>
          </w:p>
        </w:tc>
        <w:tc>
          <w:tcPr>
            <w:tcW w:w="745" w:type="dxa"/>
            <w:tcBorders>
              <w:top w:val="nil"/>
              <w:left w:val="nil"/>
              <w:bottom w:val="nil"/>
              <w:right w:val="nil"/>
            </w:tcBorders>
            <w:shd w:val="clear" w:color="auto" w:fill="auto"/>
            <w:vAlign w:val="center"/>
            <w:hideMark/>
          </w:tcPr>
          <w:p w14:paraId="357B9AD2" w14:textId="79676AE4" w:rsidR="00442255" w:rsidRPr="00005453" w:rsidRDefault="00442255" w:rsidP="00442255">
            <w:pPr>
              <w:jc w:val="right"/>
              <w:rPr>
                <w:b/>
                <w:bCs/>
                <w:color w:val="000000"/>
                <w:sz w:val="14"/>
                <w:szCs w:val="14"/>
                <w:lang w:eastAsia="tr-TR"/>
              </w:rPr>
            </w:pPr>
            <w:r w:rsidRPr="00005453">
              <w:rPr>
                <w:b/>
                <w:sz w:val="14"/>
                <w:szCs w:val="14"/>
                <w:lang w:eastAsia="tr-TR"/>
              </w:rPr>
              <w:t>1,566,496</w:t>
            </w:r>
          </w:p>
        </w:tc>
        <w:tc>
          <w:tcPr>
            <w:tcW w:w="498" w:type="dxa"/>
            <w:tcBorders>
              <w:top w:val="nil"/>
              <w:left w:val="nil"/>
              <w:bottom w:val="nil"/>
              <w:right w:val="nil"/>
            </w:tcBorders>
            <w:shd w:val="clear" w:color="auto" w:fill="auto"/>
            <w:vAlign w:val="center"/>
            <w:hideMark/>
          </w:tcPr>
          <w:p w14:paraId="61EF2BB3" w14:textId="3BC4EC23"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2F6C61D2" w14:textId="05462FF1" w:rsidR="00442255" w:rsidRPr="00005453" w:rsidRDefault="00442255" w:rsidP="00442255">
            <w:pPr>
              <w:jc w:val="right"/>
              <w:rPr>
                <w:b/>
                <w:bCs/>
                <w:color w:val="000000"/>
                <w:sz w:val="14"/>
                <w:szCs w:val="14"/>
                <w:lang w:eastAsia="tr-TR"/>
              </w:rPr>
            </w:pPr>
            <w:r w:rsidRPr="00005453">
              <w:rPr>
                <w:b/>
                <w:sz w:val="14"/>
                <w:szCs w:val="14"/>
                <w:lang w:eastAsia="tr-TR"/>
              </w:rPr>
              <w:t>2,560,758</w:t>
            </w:r>
          </w:p>
        </w:tc>
        <w:tc>
          <w:tcPr>
            <w:tcW w:w="745" w:type="dxa"/>
            <w:tcBorders>
              <w:top w:val="nil"/>
              <w:left w:val="nil"/>
              <w:bottom w:val="nil"/>
              <w:right w:val="nil"/>
            </w:tcBorders>
            <w:shd w:val="clear" w:color="auto" w:fill="auto"/>
            <w:vAlign w:val="center"/>
            <w:hideMark/>
          </w:tcPr>
          <w:p w14:paraId="6BF18F6D" w14:textId="402D9742" w:rsidR="00442255" w:rsidRPr="00005453" w:rsidRDefault="00442255" w:rsidP="00442255">
            <w:pPr>
              <w:jc w:val="right"/>
              <w:rPr>
                <w:b/>
                <w:bCs/>
                <w:color w:val="000000"/>
                <w:sz w:val="14"/>
                <w:szCs w:val="14"/>
                <w:lang w:eastAsia="tr-TR"/>
              </w:rPr>
            </w:pPr>
            <w:r w:rsidRPr="00005453">
              <w:rPr>
                <w:b/>
                <w:sz w:val="14"/>
                <w:szCs w:val="14"/>
                <w:lang w:eastAsia="tr-TR"/>
              </w:rPr>
              <w:t>2,087,729</w:t>
            </w:r>
          </w:p>
        </w:tc>
        <w:tc>
          <w:tcPr>
            <w:tcW w:w="708" w:type="dxa"/>
            <w:tcBorders>
              <w:top w:val="nil"/>
              <w:left w:val="nil"/>
              <w:bottom w:val="nil"/>
              <w:right w:val="nil"/>
            </w:tcBorders>
            <w:shd w:val="clear" w:color="auto" w:fill="auto"/>
            <w:vAlign w:val="center"/>
            <w:hideMark/>
          </w:tcPr>
          <w:p w14:paraId="2D183625" w14:textId="08CBCFB4" w:rsidR="00442255" w:rsidRPr="00005453" w:rsidRDefault="00442255" w:rsidP="00442255">
            <w:pPr>
              <w:jc w:val="right"/>
              <w:rPr>
                <w:b/>
                <w:bCs/>
                <w:color w:val="000000"/>
                <w:sz w:val="14"/>
                <w:szCs w:val="14"/>
                <w:lang w:eastAsia="tr-TR"/>
              </w:rPr>
            </w:pPr>
            <w:r w:rsidRPr="00005453">
              <w:rPr>
                <w:b/>
                <w:sz w:val="14"/>
                <w:szCs w:val="14"/>
                <w:lang w:eastAsia="tr-TR"/>
              </w:rPr>
              <w:t>19,860</w:t>
            </w:r>
          </w:p>
        </w:tc>
        <w:tc>
          <w:tcPr>
            <w:tcW w:w="840" w:type="dxa"/>
            <w:tcBorders>
              <w:top w:val="nil"/>
              <w:left w:val="nil"/>
              <w:bottom w:val="nil"/>
              <w:right w:val="nil"/>
            </w:tcBorders>
            <w:shd w:val="clear" w:color="auto" w:fill="auto"/>
            <w:vAlign w:val="center"/>
            <w:hideMark/>
          </w:tcPr>
          <w:p w14:paraId="14E1F280" w14:textId="2D935257" w:rsidR="00442255" w:rsidRPr="00005453" w:rsidRDefault="00442255" w:rsidP="00442255">
            <w:pPr>
              <w:jc w:val="right"/>
              <w:rPr>
                <w:b/>
                <w:bCs/>
                <w:color w:val="000000"/>
                <w:sz w:val="14"/>
                <w:szCs w:val="14"/>
                <w:lang w:eastAsia="tr-TR"/>
              </w:rPr>
            </w:pPr>
            <w:r w:rsidRPr="00005453">
              <w:rPr>
                <w:b/>
                <w:sz w:val="14"/>
                <w:szCs w:val="14"/>
                <w:lang w:eastAsia="tr-TR"/>
              </w:rPr>
              <w:t>35,273,514</w:t>
            </w:r>
          </w:p>
        </w:tc>
      </w:tr>
      <w:tr w:rsidR="00442255" w:rsidRPr="00005453" w14:paraId="77769F14" w14:textId="77777777" w:rsidTr="00442255">
        <w:trPr>
          <w:divId w:val="243074251"/>
          <w:trHeight w:val="57"/>
        </w:trPr>
        <w:tc>
          <w:tcPr>
            <w:tcW w:w="3472" w:type="dxa"/>
            <w:tcBorders>
              <w:top w:val="nil"/>
              <w:left w:val="nil"/>
              <w:bottom w:val="nil"/>
              <w:right w:val="nil"/>
            </w:tcBorders>
            <w:shd w:val="clear" w:color="auto" w:fill="auto"/>
            <w:vAlign w:val="center"/>
            <w:hideMark/>
          </w:tcPr>
          <w:p w14:paraId="74D0A0E5"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VII. Özel cari hesaplar diğer-YP</w:t>
            </w:r>
          </w:p>
        </w:tc>
        <w:tc>
          <w:tcPr>
            <w:tcW w:w="840" w:type="dxa"/>
            <w:tcBorders>
              <w:top w:val="nil"/>
              <w:left w:val="nil"/>
              <w:bottom w:val="nil"/>
              <w:right w:val="nil"/>
            </w:tcBorders>
            <w:shd w:val="clear" w:color="auto" w:fill="auto"/>
            <w:vAlign w:val="center"/>
            <w:hideMark/>
          </w:tcPr>
          <w:p w14:paraId="02B95E97" w14:textId="00C0F5E4" w:rsidR="00442255" w:rsidRPr="00005453" w:rsidRDefault="00442255" w:rsidP="00442255">
            <w:pPr>
              <w:jc w:val="right"/>
              <w:rPr>
                <w:b/>
                <w:bCs/>
                <w:color w:val="000000"/>
                <w:sz w:val="14"/>
                <w:szCs w:val="14"/>
                <w:lang w:eastAsia="tr-TR"/>
              </w:rPr>
            </w:pPr>
            <w:r w:rsidRPr="00005453">
              <w:rPr>
                <w:b/>
                <w:sz w:val="14"/>
                <w:szCs w:val="14"/>
                <w:lang w:eastAsia="tr-TR"/>
              </w:rPr>
              <w:t>30,214,741</w:t>
            </w:r>
          </w:p>
        </w:tc>
        <w:tc>
          <w:tcPr>
            <w:tcW w:w="804" w:type="dxa"/>
            <w:tcBorders>
              <w:top w:val="nil"/>
              <w:left w:val="nil"/>
              <w:bottom w:val="nil"/>
              <w:right w:val="nil"/>
            </w:tcBorders>
            <w:shd w:val="clear" w:color="auto" w:fill="auto"/>
            <w:vAlign w:val="center"/>
            <w:hideMark/>
          </w:tcPr>
          <w:p w14:paraId="1C6E81D4" w14:textId="45975A7A"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5" w:type="dxa"/>
            <w:tcBorders>
              <w:top w:val="nil"/>
              <w:left w:val="nil"/>
              <w:bottom w:val="nil"/>
              <w:right w:val="nil"/>
            </w:tcBorders>
            <w:shd w:val="clear" w:color="auto" w:fill="auto"/>
            <w:vAlign w:val="center"/>
            <w:hideMark/>
          </w:tcPr>
          <w:p w14:paraId="5677539F" w14:textId="1C6694A6"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3ACFCEAF" w14:textId="7F20E8F2"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498" w:type="dxa"/>
            <w:tcBorders>
              <w:top w:val="nil"/>
              <w:left w:val="nil"/>
              <w:bottom w:val="nil"/>
              <w:right w:val="nil"/>
            </w:tcBorders>
            <w:shd w:val="clear" w:color="auto" w:fill="auto"/>
            <w:vAlign w:val="center"/>
            <w:hideMark/>
          </w:tcPr>
          <w:p w14:paraId="5138D3D5" w14:textId="00276CE8"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0C237E6E" w14:textId="56F831AC"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45" w:type="dxa"/>
            <w:tcBorders>
              <w:top w:val="nil"/>
              <w:left w:val="nil"/>
              <w:bottom w:val="nil"/>
              <w:right w:val="nil"/>
            </w:tcBorders>
            <w:shd w:val="clear" w:color="auto" w:fill="auto"/>
            <w:vAlign w:val="center"/>
            <w:hideMark/>
          </w:tcPr>
          <w:p w14:paraId="48B5F297" w14:textId="4914638F"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08" w:type="dxa"/>
            <w:tcBorders>
              <w:top w:val="nil"/>
              <w:left w:val="nil"/>
              <w:bottom w:val="nil"/>
              <w:right w:val="nil"/>
            </w:tcBorders>
            <w:shd w:val="clear" w:color="auto" w:fill="auto"/>
            <w:vAlign w:val="center"/>
            <w:hideMark/>
          </w:tcPr>
          <w:p w14:paraId="07286047" w14:textId="5B43FA65"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40" w:type="dxa"/>
            <w:tcBorders>
              <w:top w:val="nil"/>
              <w:left w:val="nil"/>
              <w:bottom w:val="nil"/>
              <w:right w:val="nil"/>
            </w:tcBorders>
            <w:shd w:val="clear" w:color="auto" w:fill="auto"/>
            <w:vAlign w:val="center"/>
            <w:hideMark/>
          </w:tcPr>
          <w:p w14:paraId="330239F8" w14:textId="7ACA3BE2" w:rsidR="00442255" w:rsidRPr="00005453" w:rsidRDefault="00442255" w:rsidP="00442255">
            <w:pPr>
              <w:jc w:val="right"/>
              <w:rPr>
                <w:b/>
                <w:bCs/>
                <w:color w:val="000000"/>
                <w:sz w:val="14"/>
                <w:szCs w:val="14"/>
                <w:lang w:eastAsia="tr-TR"/>
              </w:rPr>
            </w:pPr>
            <w:r w:rsidRPr="00005453">
              <w:rPr>
                <w:b/>
                <w:sz w:val="14"/>
                <w:szCs w:val="14"/>
                <w:lang w:eastAsia="tr-TR"/>
              </w:rPr>
              <w:t>30,214,741</w:t>
            </w:r>
          </w:p>
        </w:tc>
      </w:tr>
      <w:tr w:rsidR="00442255" w:rsidRPr="00005453" w14:paraId="7F2C787B" w14:textId="77777777" w:rsidTr="00442255">
        <w:trPr>
          <w:divId w:val="243074251"/>
          <w:trHeight w:val="66"/>
        </w:trPr>
        <w:tc>
          <w:tcPr>
            <w:tcW w:w="3472" w:type="dxa"/>
            <w:tcBorders>
              <w:top w:val="nil"/>
              <w:left w:val="nil"/>
              <w:bottom w:val="nil"/>
              <w:right w:val="nil"/>
            </w:tcBorders>
            <w:shd w:val="clear" w:color="auto" w:fill="auto"/>
            <w:vAlign w:val="center"/>
            <w:hideMark/>
          </w:tcPr>
          <w:p w14:paraId="1CC1C71E" w14:textId="77777777" w:rsidR="00442255" w:rsidRPr="00005453" w:rsidRDefault="00442255" w:rsidP="00442255">
            <w:pPr>
              <w:ind w:firstLineChars="100" w:firstLine="140"/>
              <w:rPr>
                <w:color w:val="000000"/>
                <w:sz w:val="14"/>
                <w:szCs w:val="14"/>
                <w:lang w:eastAsia="tr-TR"/>
              </w:rPr>
            </w:pPr>
            <w:r w:rsidRPr="00005453">
              <w:rPr>
                <w:color w:val="000000"/>
                <w:sz w:val="14"/>
                <w:szCs w:val="14"/>
                <w:lang w:eastAsia="tr-TR"/>
              </w:rPr>
              <w:t>Yurt içinde yer. Tüzel</w:t>
            </w:r>
          </w:p>
        </w:tc>
        <w:tc>
          <w:tcPr>
            <w:tcW w:w="840" w:type="dxa"/>
            <w:tcBorders>
              <w:top w:val="nil"/>
              <w:left w:val="nil"/>
              <w:bottom w:val="nil"/>
              <w:right w:val="nil"/>
            </w:tcBorders>
            <w:shd w:val="clear" w:color="auto" w:fill="auto"/>
            <w:vAlign w:val="center"/>
            <w:hideMark/>
          </w:tcPr>
          <w:p w14:paraId="51007F52" w14:textId="2B987904" w:rsidR="00442255" w:rsidRPr="00005453" w:rsidRDefault="00442255" w:rsidP="00442255">
            <w:pPr>
              <w:jc w:val="right"/>
              <w:rPr>
                <w:color w:val="000000"/>
                <w:sz w:val="14"/>
                <w:szCs w:val="14"/>
                <w:lang w:eastAsia="tr-TR"/>
              </w:rPr>
            </w:pPr>
            <w:r w:rsidRPr="00005453">
              <w:rPr>
                <w:sz w:val="14"/>
                <w:szCs w:val="14"/>
                <w:lang w:eastAsia="tr-TR"/>
              </w:rPr>
              <w:t>25,977,273</w:t>
            </w:r>
          </w:p>
        </w:tc>
        <w:tc>
          <w:tcPr>
            <w:tcW w:w="804" w:type="dxa"/>
            <w:tcBorders>
              <w:top w:val="nil"/>
              <w:left w:val="nil"/>
              <w:bottom w:val="nil"/>
              <w:right w:val="nil"/>
            </w:tcBorders>
            <w:shd w:val="clear" w:color="auto" w:fill="auto"/>
            <w:vAlign w:val="center"/>
            <w:hideMark/>
          </w:tcPr>
          <w:p w14:paraId="1B215A30" w14:textId="7DF11B41"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698D9E67" w14:textId="5BB9D416"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7902D3BE" w14:textId="3A6925BB"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C8229AA" w14:textId="1EE6282C"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28855286" w14:textId="563513E1"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DBBAA96" w14:textId="7417EB77"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438BF00B" w14:textId="2A21BB82"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6A84AEA2" w14:textId="40AF8C1A" w:rsidR="00442255" w:rsidRPr="00005453" w:rsidRDefault="00442255" w:rsidP="00442255">
            <w:pPr>
              <w:jc w:val="right"/>
              <w:rPr>
                <w:color w:val="000000"/>
                <w:sz w:val="14"/>
                <w:szCs w:val="14"/>
                <w:lang w:eastAsia="tr-TR"/>
              </w:rPr>
            </w:pPr>
            <w:r w:rsidRPr="00005453">
              <w:rPr>
                <w:sz w:val="14"/>
                <w:szCs w:val="14"/>
                <w:lang w:eastAsia="tr-TR"/>
              </w:rPr>
              <w:t>25,977,273</w:t>
            </w:r>
          </w:p>
        </w:tc>
      </w:tr>
      <w:tr w:rsidR="00442255" w:rsidRPr="00005453" w14:paraId="712C3C7E" w14:textId="77777777" w:rsidTr="00442255">
        <w:trPr>
          <w:divId w:val="243074251"/>
          <w:trHeight w:val="66"/>
        </w:trPr>
        <w:tc>
          <w:tcPr>
            <w:tcW w:w="3472" w:type="dxa"/>
            <w:tcBorders>
              <w:top w:val="nil"/>
              <w:left w:val="nil"/>
              <w:bottom w:val="nil"/>
              <w:right w:val="nil"/>
            </w:tcBorders>
            <w:shd w:val="clear" w:color="auto" w:fill="auto"/>
            <w:vAlign w:val="center"/>
            <w:hideMark/>
          </w:tcPr>
          <w:p w14:paraId="6816FBA5" w14:textId="77777777" w:rsidR="00442255" w:rsidRPr="00005453" w:rsidRDefault="00442255" w:rsidP="00442255">
            <w:pPr>
              <w:ind w:firstLineChars="100" w:firstLine="140"/>
              <w:rPr>
                <w:color w:val="000000"/>
                <w:sz w:val="14"/>
                <w:szCs w:val="14"/>
                <w:lang w:eastAsia="tr-TR"/>
              </w:rPr>
            </w:pPr>
            <w:r w:rsidRPr="00005453">
              <w:rPr>
                <w:color w:val="000000"/>
                <w:sz w:val="14"/>
                <w:szCs w:val="14"/>
                <w:lang w:eastAsia="tr-TR"/>
              </w:rPr>
              <w:t>Yurt dışında yer. Tüzel</w:t>
            </w:r>
          </w:p>
        </w:tc>
        <w:tc>
          <w:tcPr>
            <w:tcW w:w="840" w:type="dxa"/>
            <w:tcBorders>
              <w:top w:val="nil"/>
              <w:left w:val="nil"/>
              <w:bottom w:val="nil"/>
              <w:right w:val="nil"/>
            </w:tcBorders>
            <w:shd w:val="clear" w:color="auto" w:fill="auto"/>
            <w:vAlign w:val="center"/>
            <w:hideMark/>
          </w:tcPr>
          <w:p w14:paraId="54C0D79C" w14:textId="438D1EA4" w:rsidR="00442255" w:rsidRPr="00005453" w:rsidRDefault="00442255" w:rsidP="00442255">
            <w:pPr>
              <w:jc w:val="right"/>
              <w:rPr>
                <w:color w:val="000000"/>
                <w:sz w:val="14"/>
                <w:szCs w:val="14"/>
                <w:lang w:eastAsia="tr-TR"/>
              </w:rPr>
            </w:pPr>
            <w:r w:rsidRPr="00005453">
              <w:rPr>
                <w:sz w:val="14"/>
                <w:szCs w:val="14"/>
                <w:lang w:eastAsia="tr-TR"/>
              </w:rPr>
              <w:t>3,781,821</w:t>
            </w:r>
          </w:p>
        </w:tc>
        <w:tc>
          <w:tcPr>
            <w:tcW w:w="804" w:type="dxa"/>
            <w:tcBorders>
              <w:top w:val="nil"/>
              <w:left w:val="nil"/>
              <w:bottom w:val="nil"/>
              <w:right w:val="nil"/>
            </w:tcBorders>
            <w:shd w:val="clear" w:color="auto" w:fill="auto"/>
            <w:vAlign w:val="center"/>
            <w:hideMark/>
          </w:tcPr>
          <w:p w14:paraId="051C6061" w14:textId="21C1B6F1"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2CAA2183" w14:textId="0A4E2552"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5D461E1" w14:textId="0D003165"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0FBBAC90" w14:textId="7F5B6DE0"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2DD7D027" w14:textId="33F816FB"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B5938B7" w14:textId="5A19F897"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38E1A870" w14:textId="3214D520"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4079001" w14:textId="2A773960" w:rsidR="00442255" w:rsidRPr="00005453" w:rsidRDefault="00442255" w:rsidP="00442255">
            <w:pPr>
              <w:jc w:val="right"/>
              <w:rPr>
                <w:color w:val="000000"/>
                <w:sz w:val="14"/>
                <w:szCs w:val="14"/>
                <w:lang w:eastAsia="tr-TR"/>
              </w:rPr>
            </w:pPr>
            <w:r w:rsidRPr="00005453">
              <w:rPr>
                <w:sz w:val="14"/>
                <w:szCs w:val="14"/>
                <w:lang w:eastAsia="tr-TR"/>
              </w:rPr>
              <w:t>3,781,821</w:t>
            </w:r>
          </w:p>
        </w:tc>
      </w:tr>
      <w:tr w:rsidR="00442255" w:rsidRPr="00005453" w14:paraId="2D68D274" w14:textId="77777777" w:rsidTr="00442255">
        <w:trPr>
          <w:divId w:val="243074251"/>
          <w:trHeight w:val="66"/>
        </w:trPr>
        <w:tc>
          <w:tcPr>
            <w:tcW w:w="3472" w:type="dxa"/>
            <w:tcBorders>
              <w:top w:val="nil"/>
              <w:left w:val="nil"/>
              <w:bottom w:val="nil"/>
              <w:right w:val="nil"/>
            </w:tcBorders>
            <w:shd w:val="clear" w:color="auto" w:fill="auto"/>
            <w:vAlign w:val="center"/>
            <w:hideMark/>
          </w:tcPr>
          <w:p w14:paraId="4919AE93"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794B2088" w14:textId="5E83FABE" w:rsidR="00442255" w:rsidRPr="00005453" w:rsidRDefault="00442255" w:rsidP="00442255">
            <w:pPr>
              <w:jc w:val="right"/>
              <w:rPr>
                <w:color w:val="000000"/>
                <w:sz w:val="14"/>
                <w:szCs w:val="14"/>
                <w:lang w:eastAsia="tr-TR"/>
              </w:rPr>
            </w:pPr>
            <w:r w:rsidRPr="00005453">
              <w:rPr>
                <w:sz w:val="14"/>
                <w:szCs w:val="14"/>
                <w:lang w:eastAsia="tr-TR"/>
              </w:rPr>
              <w:t>455,647</w:t>
            </w:r>
          </w:p>
        </w:tc>
        <w:tc>
          <w:tcPr>
            <w:tcW w:w="804" w:type="dxa"/>
            <w:tcBorders>
              <w:top w:val="nil"/>
              <w:left w:val="nil"/>
              <w:bottom w:val="nil"/>
              <w:right w:val="nil"/>
            </w:tcBorders>
            <w:shd w:val="clear" w:color="auto" w:fill="auto"/>
            <w:vAlign w:val="center"/>
            <w:hideMark/>
          </w:tcPr>
          <w:p w14:paraId="522BE728" w14:textId="498AA18E"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794FDD24" w14:textId="3F7FF1D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07E3B8B3" w14:textId="5CF2E6B7"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46316000" w14:textId="5CA01414"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6F3CC9F2" w14:textId="2195C2C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0A1C42FA" w14:textId="095D5D18"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7942203F" w14:textId="07F3DD2F"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78DC1043" w14:textId="092F5467" w:rsidR="00442255" w:rsidRPr="00005453" w:rsidRDefault="00442255" w:rsidP="00442255">
            <w:pPr>
              <w:jc w:val="right"/>
              <w:rPr>
                <w:color w:val="000000"/>
                <w:sz w:val="14"/>
                <w:szCs w:val="14"/>
                <w:lang w:eastAsia="tr-TR"/>
              </w:rPr>
            </w:pPr>
            <w:r w:rsidRPr="00005453">
              <w:rPr>
                <w:sz w:val="14"/>
                <w:szCs w:val="14"/>
                <w:lang w:eastAsia="tr-TR"/>
              </w:rPr>
              <w:t>455,647</w:t>
            </w:r>
          </w:p>
        </w:tc>
      </w:tr>
      <w:tr w:rsidR="00442255" w:rsidRPr="00005453" w14:paraId="1DDE6563" w14:textId="77777777" w:rsidTr="00442255">
        <w:trPr>
          <w:divId w:val="243074251"/>
          <w:trHeight w:val="66"/>
        </w:trPr>
        <w:tc>
          <w:tcPr>
            <w:tcW w:w="3472" w:type="dxa"/>
            <w:tcBorders>
              <w:top w:val="nil"/>
              <w:left w:val="nil"/>
              <w:bottom w:val="nil"/>
              <w:right w:val="nil"/>
            </w:tcBorders>
            <w:shd w:val="clear" w:color="auto" w:fill="auto"/>
            <w:vAlign w:val="center"/>
            <w:hideMark/>
          </w:tcPr>
          <w:p w14:paraId="295E6636"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2583F6B1" w14:textId="72C90612"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529BAC4E" w14:textId="454DC4A3"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392E1B88" w14:textId="0DE9D0A7"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38E2F92A" w14:textId="4C8A1EFC"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67D820B" w14:textId="71B4E686"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47F2CC44" w14:textId="4B5E082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89338AD" w14:textId="5A955A5D"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52F214DF" w14:textId="779C2D16"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2C17888D" w14:textId="22D5DB4C" w:rsidR="00442255" w:rsidRPr="00005453" w:rsidRDefault="00442255" w:rsidP="00442255">
            <w:pPr>
              <w:jc w:val="right"/>
              <w:rPr>
                <w:color w:val="000000"/>
                <w:sz w:val="14"/>
                <w:szCs w:val="14"/>
                <w:lang w:eastAsia="tr-TR"/>
              </w:rPr>
            </w:pPr>
            <w:r w:rsidRPr="00005453">
              <w:rPr>
                <w:sz w:val="14"/>
                <w:szCs w:val="14"/>
                <w:lang w:eastAsia="tr-TR"/>
              </w:rPr>
              <w:t>-</w:t>
            </w:r>
          </w:p>
        </w:tc>
      </w:tr>
      <w:tr w:rsidR="00442255" w:rsidRPr="00005453" w14:paraId="4BB4F054" w14:textId="77777777" w:rsidTr="00442255">
        <w:trPr>
          <w:divId w:val="243074251"/>
          <w:trHeight w:val="66"/>
        </w:trPr>
        <w:tc>
          <w:tcPr>
            <w:tcW w:w="3472" w:type="dxa"/>
            <w:tcBorders>
              <w:top w:val="nil"/>
              <w:left w:val="nil"/>
              <w:bottom w:val="nil"/>
              <w:right w:val="nil"/>
            </w:tcBorders>
            <w:shd w:val="clear" w:color="auto" w:fill="auto"/>
            <w:vAlign w:val="center"/>
            <w:hideMark/>
          </w:tcPr>
          <w:p w14:paraId="77E44A79"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0C09F70D" w14:textId="284E061B" w:rsidR="00442255" w:rsidRPr="00005453" w:rsidRDefault="00442255" w:rsidP="00442255">
            <w:pPr>
              <w:jc w:val="right"/>
              <w:rPr>
                <w:color w:val="000000"/>
                <w:sz w:val="14"/>
                <w:szCs w:val="14"/>
                <w:lang w:eastAsia="tr-TR"/>
              </w:rPr>
            </w:pPr>
            <w:r w:rsidRPr="00005453">
              <w:rPr>
                <w:sz w:val="14"/>
                <w:szCs w:val="14"/>
                <w:lang w:eastAsia="tr-TR"/>
              </w:rPr>
              <w:t>629</w:t>
            </w:r>
          </w:p>
        </w:tc>
        <w:tc>
          <w:tcPr>
            <w:tcW w:w="804" w:type="dxa"/>
            <w:tcBorders>
              <w:top w:val="nil"/>
              <w:left w:val="nil"/>
              <w:bottom w:val="nil"/>
              <w:right w:val="nil"/>
            </w:tcBorders>
            <w:shd w:val="clear" w:color="auto" w:fill="auto"/>
            <w:vAlign w:val="center"/>
            <w:hideMark/>
          </w:tcPr>
          <w:p w14:paraId="75576132" w14:textId="28572E41"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3438B333" w14:textId="22CB0A81"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7E3F8510" w14:textId="6609EE25"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65E0B956" w14:textId="32B02F06"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79330243" w14:textId="68F61F99"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34EAC55E" w14:textId="0AEF078D"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2DA278E6" w14:textId="40EC9CC8"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D04C98C" w14:textId="5EE9E10B" w:rsidR="00442255" w:rsidRPr="00005453" w:rsidRDefault="00442255" w:rsidP="00442255">
            <w:pPr>
              <w:jc w:val="right"/>
              <w:rPr>
                <w:color w:val="000000"/>
                <w:sz w:val="14"/>
                <w:szCs w:val="14"/>
                <w:lang w:eastAsia="tr-TR"/>
              </w:rPr>
            </w:pPr>
            <w:r w:rsidRPr="00005453">
              <w:rPr>
                <w:sz w:val="14"/>
                <w:szCs w:val="14"/>
                <w:lang w:eastAsia="tr-TR"/>
              </w:rPr>
              <w:t>629</w:t>
            </w:r>
          </w:p>
        </w:tc>
      </w:tr>
      <w:tr w:rsidR="00442255" w:rsidRPr="00005453" w14:paraId="56F270ED" w14:textId="77777777" w:rsidTr="00442255">
        <w:trPr>
          <w:divId w:val="243074251"/>
          <w:trHeight w:val="66"/>
        </w:trPr>
        <w:tc>
          <w:tcPr>
            <w:tcW w:w="3472" w:type="dxa"/>
            <w:tcBorders>
              <w:top w:val="nil"/>
              <w:left w:val="nil"/>
              <w:bottom w:val="nil"/>
              <w:right w:val="nil"/>
            </w:tcBorders>
            <w:shd w:val="clear" w:color="auto" w:fill="auto"/>
            <w:vAlign w:val="center"/>
            <w:hideMark/>
          </w:tcPr>
          <w:p w14:paraId="777492A4"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4E2A8C66" w14:textId="297667F9" w:rsidR="00442255" w:rsidRPr="00005453" w:rsidRDefault="00442255" w:rsidP="00442255">
            <w:pPr>
              <w:jc w:val="right"/>
              <w:rPr>
                <w:color w:val="000000"/>
                <w:sz w:val="14"/>
                <w:szCs w:val="14"/>
                <w:lang w:eastAsia="tr-TR"/>
              </w:rPr>
            </w:pPr>
            <w:r w:rsidRPr="00005453">
              <w:rPr>
                <w:sz w:val="14"/>
                <w:szCs w:val="14"/>
                <w:lang w:eastAsia="tr-TR"/>
              </w:rPr>
              <w:t>448,379</w:t>
            </w:r>
          </w:p>
        </w:tc>
        <w:tc>
          <w:tcPr>
            <w:tcW w:w="804" w:type="dxa"/>
            <w:tcBorders>
              <w:top w:val="nil"/>
              <w:left w:val="nil"/>
              <w:bottom w:val="nil"/>
              <w:right w:val="nil"/>
            </w:tcBorders>
            <w:shd w:val="clear" w:color="auto" w:fill="auto"/>
            <w:vAlign w:val="center"/>
            <w:hideMark/>
          </w:tcPr>
          <w:p w14:paraId="5158F168" w14:textId="3B1A29A0"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5C320024" w14:textId="3B9A2596"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053C4B5C" w14:textId="6A321A60"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523B992" w14:textId="4777065F"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76931C3C" w14:textId="6EDD84F3"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04AF0FEE" w14:textId="64F89D60"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4B02C0C0" w14:textId="78CE8415"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3A974CB" w14:textId="2460E3D9" w:rsidR="00442255" w:rsidRPr="00005453" w:rsidRDefault="00442255" w:rsidP="00442255">
            <w:pPr>
              <w:jc w:val="right"/>
              <w:rPr>
                <w:color w:val="000000"/>
                <w:sz w:val="14"/>
                <w:szCs w:val="14"/>
                <w:lang w:eastAsia="tr-TR"/>
              </w:rPr>
            </w:pPr>
            <w:r w:rsidRPr="00005453">
              <w:rPr>
                <w:sz w:val="14"/>
                <w:szCs w:val="14"/>
                <w:lang w:eastAsia="tr-TR"/>
              </w:rPr>
              <w:t>448,379</w:t>
            </w:r>
          </w:p>
        </w:tc>
      </w:tr>
      <w:tr w:rsidR="00442255" w:rsidRPr="00005453" w14:paraId="42EAFA8A" w14:textId="77777777" w:rsidTr="00442255">
        <w:trPr>
          <w:divId w:val="243074251"/>
          <w:trHeight w:val="66"/>
        </w:trPr>
        <w:tc>
          <w:tcPr>
            <w:tcW w:w="3472" w:type="dxa"/>
            <w:tcBorders>
              <w:top w:val="nil"/>
              <w:left w:val="nil"/>
              <w:bottom w:val="nil"/>
              <w:right w:val="nil"/>
            </w:tcBorders>
            <w:shd w:val="clear" w:color="auto" w:fill="auto"/>
            <w:vAlign w:val="center"/>
            <w:hideMark/>
          </w:tcPr>
          <w:p w14:paraId="2DE3247E"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7DFBBAEE" w14:textId="27F4BF0D" w:rsidR="00442255" w:rsidRPr="00005453" w:rsidRDefault="00442255" w:rsidP="00442255">
            <w:pPr>
              <w:jc w:val="right"/>
              <w:rPr>
                <w:color w:val="000000"/>
                <w:sz w:val="14"/>
                <w:szCs w:val="14"/>
                <w:lang w:eastAsia="tr-TR"/>
              </w:rPr>
            </w:pPr>
            <w:r w:rsidRPr="00005453">
              <w:rPr>
                <w:sz w:val="14"/>
                <w:szCs w:val="14"/>
                <w:lang w:eastAsia="tr-TR"/>
              </w:rPr>
              <w:t>6,639</w:t>
            </w:r>
          </w:p>
        </w:tc>
        <w:tc>
          <w:tcPr>
            <w:tcW w:w="804" w:type="dxa"/>
            <w:tcBorders>
              <w:top w:val="nil"/>
              <w:left w:val="nil"/>
              <w:bottom w:val="nil"/>
              <w:right w:val="nil"/>
            </w:tcBorders>
            <w:shd w:val="clear" w:color="auto" w:fill="auto"/>
            <w:vAlign w:val="center"/>
            <w:hideMark/>
          </w:tcPr>
          <w:p w14:paraId="3D3F2F67" w14:textId="2FE0FC8D"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3C0A4E79" w14:textId="34A96186"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72713971" w14:textId="1CB22E40"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CB59ACF" w14:textId="2AEB0546"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5E00F3A7" w14:textId="56A5D3E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59042A1" w14:textId="7B7BB5CB"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6A590915" w14:textId="3D50D268"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74BE485C" w14:textId="2AED74E0" w:rsidR="00442255" w:rsidRPr="00005453" w:rsidRDefault="00442255" w:rsidP="00442255">
            <w:pPr>
              <w:jc w:val="right"/>
              <w:rPr>
                <w:color w:val="000000"/>
                <w:sz w:val="14"/>
                <w:szCs w:val="14"/>
                <w:lang w:eastAsia="tr-TR"/>
              </w:rPr>
            </w:pPr>
            <w:r w:rsidRPr="00005453">
              <w:rPr>
                <w:sz w:val="14"/>
                <w:szCs w:val="14"/>
                <w:lang w:eastAsia="tr-TR"/>
              </w:rPr>
              <w:t>6,639</w:t>
            </w:r>
          </w:p>
        </w:tc>
      </w:tr>
      <w:tr w:rsidR="00442255" w:rsidRPr="00005453" w14:paraId="71F98B2A" w14:textId="77777777" w:rsidTr="00442255">
        <w:trPr>
          <w:divId w:val="243074251"/>
          <w:trHeight w:val="66"/>
        </w:trPr>
        <w:tc>
          <w:tcPr>
            <w:tcW w:w="3472" w:type="dxa"/>
            <w:tcBorders>
              <w:top w:val="nil"/>
              <w:left w:val="nil"/>
              <w:bottom w:val="nil"/>
              <w:right w:val="nil"/>
            </w:tcBorders>
            <w:shd w:val="clear" w:color="auto" w:fill="auto"/>
            <w:vAlign w:val="center"/>
            <w:hideMark/>
          </w:tcPr>
          <w:p w14:paraId="4B9A698E" w14:textId="77777777" w:rsidR="00442255" w:rsidRPr="00005453" w:rsidRDefault="00442255" w:rsidP="00442255">
            <w:pPr>
              <w:ind w:firstLineChars="200" w:firstLine="280"/>
              <w:rPr>
                <w:color w:val="000000"/>
                <w:sz w:val="14"/>
                <w:szCs w:val="14"/>
                <w:lang w:eastAsia="tr-TR"/>
              </w:rPr>
            </w:pPr>
            <w:r w:rsidRPr="00005453">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7DD05C3A" w14:textId="6A478C6C"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3D6F0FA3" w14:textId="006EAE0E"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68B7AFB6" w14:textId="0229D45A"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9DCCE9A" w14:textId="14E336D1"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56EEE2F4" w14:textId="72002951"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258591E5" w14:textId="630F3A91"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03ABD36" w14:textId="639445F1"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38796AE1" w14:textId="6551AED0"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2505FE4D" w14:textId="31F672FE" w:rsidR="00442255" w:rsidRPr="00005453" w:rsidRDefault="00442255" w:rsidP="00442255">
            <w:pPr>
              <w:jc w:val="right"/>
              <w:rPr>
                <w:color w:val="000000"/>
                <w:sz w:val="14"/>
                <w:szCs w:val="14"/>
                <w:lang w:eastAsia="tr-TR"/>
              </w:rPr>
            </w:pPr>
            <w:r w:rsidRPr="00005453">
              <w:rPr>
                <w:sz w:val="14"/>
                <w:szCs w:val="14"/>
                <w:lang w:eastAsia="tr-TR"/>
              </w:rPr>
              <w:t>-</w:t>
            </w:r>
          </w:p>
        </w:tc>
      </w:tr>
      <w:tr w:rsidR="00442255" w:rsidRPr="00005453" w14:paraId="5C7D6C8F" w14:textId="77777777" w:rsidTr="00442255">
        <w:trPr>
          <w:divId w:val="243074251"/>
          <w:trHeight w:val="57"/>
        </w:trPr>
        <w:tc>
          <w:tcPr>
            <w:tcW w:w="3472" w:type="dxa"/>
            <w:tcBorders>
              <w:top w:val="nil"/>
              <w:left w:val="nil"/>
              <w:bottom w:val="nil"/>
              <w:right w:val="nil"/>
            </w:tcBorders>
            <w:shd w:val="clear" w:color="auto" w:fill="auto"/>
            <w:vAlign w:val="center"/>
            <w:hideMark/>
          </w:tcPr>
          <w:p w14:paraId="0D5CB722"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VIII. Katılma hesapları diğer-YP</w:t>
            </w:r>
          </w:p>
        </w:tc>
        <w:tc>
          <w:tcPr>
            <w:tcW w:w="840" w:type="dxa"/>
            <w:tcBorders>
              <w:top w:val="nil"/>
              <w:left w:val="nil"/>
              <w:bottom w:val="nil"/>
              <w:right w:val="nil"/>
            </w:tcBorders>
            <w:shd w:val="clear" w:color="auto" w:fill="auto"/>
            <w:vAlign w:val="center"/>
            <w:hideMark/>
          </w:tcPr>
          <w:p w14:paraId="38EA43FB" w14:textId="44EA5A3C"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4" w:type="dxa"/>
            <w:tcBorders>
              <w:top w:val="nil"/>
              <w:left w:val="nil"/>
              <w:bottom w:val="nil"/>
              <w:right w:val="nil"/>
            </w:tcBorders>
            <w:shd w:val="clear" w:color="auto" w:fill="auto"/>
            <w:vAlign w:val="center"/>
            <w:hideMark/>
          </w:tcPr>
          <w:p w14:paraId="0E3EC99B" w14:textId="7651654E" w:rsidR="00442255" w:rsidRPr="00005453" w:rsidRDefault="00442255" w:rsidP="00442255">
            <w:pPr>
              <w:jc w:val="right"/>
              <w:rPr>
                <w:b/>
                <w:bCs/>
                <w:color w:val="000000"/>
                <w:sz w:val="14"/>
                <w:szCs w:val="14"/>
                <w:lang w:eastAsia="tr-TR"/>
              </w:rPr>
            </w:pPr>
            <w:r w:rsidRPr="00005453">
              <w:rPr>
                <w:b/>
                <w:sz w:val="14"/>
                <w:szCs w:val="14"/>
                <w:lang w:eastAsia="tr-TR"/>
              </w:rPr>
              <w:t>18,285,304</w:t>
            </w:r>
          </w:p>
        </w:tc>
        <w:tc>
          <w:tcPr>
            <w:tcW w:w="805" w:type="dxa"/>
            <w:tcBorders>
              <w:top w:val="nil"/>
              <w:left w:val="nil"/>
              <w:bottom w:val="nil"/>
              <w:right w:val="nil"/>
            </w:tcBorders>
            <w:shd w:val="clear" w:color="auto" w:fill="auto"/>
            <w:vAlign w:val="center"/>
            <w:hideMark/>
          </w:tcPr>
          <w:p w14:paraId="19C8F57C" w14:textId="76AFB17F" w:rsidR="00442255" w:rsidRPr="00005453" w:rsidRDefault="00442255" w:rsidP="00442255">
            <w:pPr>
              <w:jc w:val="right"/>
              <w:rPr>
                <w:b/>
                <w:bCs/>
                <w:color w:val="000000"/>
                <w:sz w:val="14"/>
                <w:szCs w:val="14"/>
                <w:lang w:eastAsia="tr-TR"/>
              </w:rPr>
            </w:pPr>
            <w:r w:rsidRPr="00005453">
              <w:rPr>
                <w:b/>
                <w:sz w:val="14"/>
                <w:szCs w:val="14"/>
                <w:lang w:eastAsia="tr-TR"/>
              </w:rPr>
              <w:t>1,409,534</w:t>
            </w:r>
          </w:p>
        </w:tc>
        <w:tc>
          <w:tcPr>
            <w:tcW w:w="745" w:type="dxa"/>
            <w:tcBorders>
              <w:top w:val="nil"/>
              <w:left w:val="nil"/>
              <w:bottom w:val="nil"/>
              <w:right w:val="nil"/>
            </w:tcBorders>
            <w:shd w:val="clear" w:color="auto" w:fill="auto"/>
            <w:vAlign w:val="center"/>
            <w:hideMark/>
          </w:tcPr>
          <w:p w14:paraId="4D7E5609" w14:textId="29EAEF2E" w:rsidR="00442255" w:rsidRPr="00005453" w:rsidRDefault="00442255" w:rsidP="00442255">
            <w:pPr>
              <w:jc w:val="right"/>
              <w:rPr>
                <w:b/>
                <w:bCs/>
                <w:color w:val="000000"/>
                <w:sz w:val="14"/>
                <w:szCs w:val="14"/>
                <w:lang w:eastAsia="tr-TR"/>
              </w:rPr>
            </w:pPr>
            <w:r w:rsidRPr="00005453">
              <w:rPr>
                <w:b/>
                <w:sz w:val="14"/>
                <w:szCs w:val="14"/>
                <w:lang w:eastAsia="tr-TR"/>
              </w:rPr>
              <w:t>48,836</w:t>
            </w:r>
          </w:p>
        </w:tc>
        <w:tc>
          <w:tcPr>
            <w:tcW w:w="498" w:type="dxa"/>
            <w:tcBorders>
              <w:top w:val="nil"/>
              <w:left w:val="nil"/>
              <w:bottom w:val="nil"/>
              <w:right w:val="nil"/>
            </w:tcBorders>
            <w:shd w:val="clear" w:color="auto" w:fill="auto"/>
            <w:vAlign w:val="center"/>
            <w:hideMark/>
          </w:tcPr>
          <w:p w14:paraId="02B775C2" w14:textId="0C0044AF"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532D48D3" w14:textId="1993A3DB" w:rsidR="00442255" w:rsidRPr="00005453" w:rsidRDefault="00442255" w:rsidP="00442255">
            <w:pPr>
              <w:jc w:val="right"/>
              <w:rPr>
                <w:b/>
                <w:bCs/>
                <w:color w:val="000000"/>
                <w:sz w:val="14"/>
                <w:szCs w:val="14"/>
                <w:lang w:eastAsia="tr-TR"/>
              </w:rPr>
            </w:pPr>
            <w:r w:rsidRPr="00005453">
              <w:rPr>
                <w:b/>
                <w:sz w:val="14"/>
                <w:szCs w:val="14"/>
                <w:lang w:eastAsia="tr-TR"/>
              </w:rPr>
              <w:t>104,774</w:t>
            </w:r>
          </w:p>
        </w:tc>
        <w:tc>
          <w:tcPr>
            <w:tcW w:w="745" w:type="dxa"/>
            <w:tcBorders>
              <w:top w:val="nil"/>
              <w:left w:val="nil"/>
              <w:bottom w:val="nil"/>
              <w:right w:val="nil"/>
            </w:tcBorders>
            <w:shd w:val="clear" w:color="auto" w:fill="auto"/>
            <w:vAlign w:val="center"/>
            <w:hideMark/>
          </w:tcPr>
          <w:p w14:paraId="0B4FAD16" w14:textId="6DC2A080" w:rsidR="00442255" w:rsidRPr="00005453" w:rsidRDefault="00442255" w:rsidP="00442255">
            <w:pPr>
              <w:jc w:val="right"/>
              <w:rPr>
                <w:b/>
                <w:bCs/>
                <w:color w:val="000000"/>
                <w:sz w:val="14"/>
                <w:szCs w:val="14"/>
                <w:lang w:eastAsia="tr-TR"/>
              </w:rPr>
            </w:pPr>
            <w:r w:rsidRPr="00005453">
              <w:rPr>
                <w:b/>
                <w:sz w:val="14"/>
                <w:szCs w:val="14"/>
                <w:lang w:eastAsia="tr-TR"/>
              </w:rPr>
              <w:t>13,720</w:t>
            </w:r>
          </w:p>
        </w:tc>
        <w:tc>
          <w:tcPr>
            <w:tcW w:w="708" w:type="dxa"/>
            <w:tcBorders>
              <w:top w:val="nil"/>
              <w:left w:val="nil"/>
              <w:bottom w:val="nil"/>
              <w:right w:val="nil"/>
            </w:tcBorders>
            <w:shd w:val="clear" w:color="auto" w:fill="auto"/>
            <w:vAlign w:val="center"/>
            <w:hideMark/>
          </w:tcPr>
          <w:p w14:paraId="0AAFD4BA" w14:textId="793A90F7" w:rsidR="00442255" w:rsidRPr="00005453" w:rsidRDefault="00442255" w:rsidP="00442255">
            <w:pPr>
              <w:jc w:val="right"/>
              <w:rPr>
                <w:b/>
                <w:bCs/>
                <w:color w:val="000000"/>
                <w:sz w:val="14"/>
                <w:szCs w:val="14"/>
                <w:lang w:eastAsia="tr-TR"/>
              </w:rPr>
            </w:pPr>
            <w:r w:rsidRPr="00005453">
              <w:rPr>
                <w:b/>
                <w:sz w:val="14"/>
                <w:szCs w:val="14"/>
                <w:lang w:eastAsia="tr-TR"/>
              </w:rPr>
              <w:t>138</w:t>
            </w:r>
          </w:p>
        </w:tc>
        <w:tc>
          <w:tcPr>
            <w:tcW w:w="840" w:type="dxa"/>
            <w:tcBorders>
              <w:top w:val="nil"/>
              <w:left w:val="nil"/>
              <w:bottom w:val="nil"/>
              <w:right w:val="nil"/>
            </w:tcBorders>
            <w:shd w:val="clear" w:color="auto" w:fill="auto"/>
            <w:vAlign w:val="center"/>
            <w:hideMark/>
          </w:tcPr>
          <w:p w14:paraId="16808BBC" w14:textId="4540DC53" w:rsidR="00442255" w:rsidRPr="00005453" w:rsidRDefault="00442255" w:rsidP="00442255">
            <w:pPr>
              <w:jc w:val="right"/>
              <w:rPr>
                <w:b/>
                <w:bCs/>
                <w:color w:val="000000"/>
                <w:sz w:val="14"/>
                <w:szCs w:val="14"/>
                <w:lang w:eastAsia="tr-TR"/>
              </w:rPr>
            </w:pPr>
            <w:r w:rsidRPr="00005453">
              <w:rPr>
                <w:b/>
                <w:sz w:val="14"/>
                <w:szCs w:val="14"/>
                <w:lang w:eastAsia="tr-TR"/>
              </w:rPr>
              <w:t>19,862,306</w:t>
            </w:r>
          </w:p>
        </w:tc>
      </w:tr>
      <w:tr w:rsidR="00442255" w:rsidRPr="00005453" w14:paraId="5EA24A58" w14:textId="77777777" w:rsidTr="00442255">
        <w:trPr>
          <w:divId w:val="243074251"/>
          <w:trHeight w:val="86"/>
        </w:trPr>
        <w:tc>
          <w:tcPr>
            <w:tcW w:w="3472" w:type="dxa"/>
            <w:tcBorders>
              <w:top w:val="nil"/>
              <w:left w:val="nil"/>
              <w:bottom w:val="nil"/>
              <w:right w:val="nil"/>
            </w:tcBorders>
            <w:shd w:val="clear" w:color="auto" w:fill="auto"/>
            <w:vAlign w:val="center"/>
            <w:hideMark/>
          </w:tcPr>
          <w:p w14:paraId="52BA8BCE"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59924037" w14:textId="1C37AFF0"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5AB66AC6" w14:textId="0B1DC75F" w:rsidR="00442255" w:rsidRPr="00005453" w:rsidRDefault="00442255" w:rsidP="00442255">
            <w:pPr>
              <w:jc w:val="right"/>
              <w:rPr>
                <w:color w:val="000000"/>
                <w:sz w:val="14"/>
                <w:szCs w:val="14"/>
                <w:lang w:eastAsia="tr-TR"/>
              </w:rPr>
            </w:pPr>
            <w:r w:rsidRPr="00005453">
              <w:rPr>
                <w:sz w:val="14"/>
                <w:szCs w:val="14"/>
                <w:lang w:eastAsia="tr-TR"/>
              </w:rPr>
              <w:t>30</w:t>
            </w:r>
          </w:p>
        </w:tc>
        <w:tc>
          <w:tcPr>
            <w:tcW w:w="805" w:type="dxa"/>
            <w:tcBorders>
              <w:top w:val="nil"/>
              <w:left w:val="nil"/>
              <w:bottom w:val="nil"/>
              <w:right w:val="nil"/>
            </w:tcBorders>
            <w:shd w:val="clear" w:color="auto" w:fill="auto"/>
            <w:vAlign w:val="center"/>
            <w:hideMark/>
          </w:tcPr>
          <w:p w14:paraId="232B243E" w14:textId="238DE467" w:rsidR="00442255" w:rsidRPr="00005453" w:rsidRDefault="00442255" w:rsidP="00442255">
            <w:pPr>
              <w:jc w:val="right"/>
              <w:rPr>
                <w:color w:val="000000"/>
                <w:sz w:val="14"/>
                <w:szCs w:val="14"/>
                <w:lang w:eastAsia="tr-TR"/>
              </w:rPr>
            </w:pPr>
            <w:r w:rsidRPr="00005453">
              <w:rPr>
                <w:sz w:val="14"/>
                <w:szCs w:val="14"/>
                <w:lang w:eastAsia="tr-TR"/>
              </w:rPr>
              <w:t>94,311</w:t>
            </w:r>
          </w:p>
        </w:tc>
        <w:tc>
          <w:tcPr>
            <w:tcW w:w="745" w:type="dxa"/>
            <w:tcBorders>
              <w:top w:val="nil"/>
              <w:left w:val="nil"/>
              <w:bottom w:val="nil"/>
              <w:right w:val="nil"/>
            </w:tcBorders>
            <w:shd w:val="clear" w:color="auto" w:fill="auto"/>
            <w:vAlign w:val="center"/>
            <w:hideMark/>
          </w:tcPr>
          <w:p w14:paraId="491A3118" w14:textId="6B4348F0"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0CDA4601" w14:textId="5774EBBC"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2CBC5780" w14:textId="613CE07B"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507599BF" w14:textId="05B5BEB5"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4A9822D5" w14:textId="4CCBFE9F"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497D152D" w14:textId="543C50F1" w:rsidR="00442255" w:rsidRPr="00005453" w:rsidRDefault="00442255" w:rsidP="00442255">
            <w:pPr>
              <w:jc w:val="right"/>
              <w:rPr>
                <w:color w:val="000000"/>
                <w:sz w:val="14"/>
                <w:szCs w:val="14"/>
                <w:lang w:eastAsia="tr-TR"/>
              </w:rPr>
            </w:pPr>
            <w:r w:rsidRPr="00005453">
              <w:rPr>
                <w:sz w:val="14"/>
                <w:szCs w:val="14"/>
                <w:lang w:eastAsia="tr-TR"/>
              </w:rPr>
              <w:t>94,341</w:t>
            </w:r>
          </w:p>
        </w:tc>
      </w:tr>
      <w:tr w:rsidR="00442255" w:rsidRPr="00005453" w14:paraId="166D53AF" w14:textId="77777777" w:rsidTr="00442255">
        <w:trPr>
          <w:divId w:val="243074251"/>
          <w:trHeight w:val="66"/>
        </w:trPr>
        <w:tc>
          <w:tcPr>
            <w:tcW w:w="3472" w:type="dxa"/>
            <w:tcBorders>
              <w:top w:val="nil"/>
              <w:left w:val="nil"/>
              <w:bottom w:val="nil"/>
              <w:right w:val="nil"/>
            </w:tcBorders>
            <w:shd w:val="clear" w:color="auto" w:fill="auto"/>
            <w:vAlign w:val="center"/>
            <w:hideMark/>
          </w:tcPr>
          <w:p w14:paraId="130AFA7F"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27389C86" w14:textId="1AFA5901"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41D997F9" w14:textId="4041808E" w:rsidR="00442255" w:rsidRPr="00005453" w:rsidRDefault="00442255" w:rsidP="00442255">
            <w:pPr>
              <w:jc w:val="right"/>
              <w:rPr>
                <w:color w:val="000000"/>
                <w:sz w:val="14"/>
                <w:szCs w:val="14"/>
                <w:lang w:eastAsia="tr-TR"/>
              </w:rPr>
            </w:pPr>
            <w:r w:rsidRPr="00005453">
              <w:rPr>
                <w:sz w:val="14"/>
                <w:szCs w:val="14"/>
                <w:lang w:eastAsia="tr-TR"/>
              </w:rPr>
              <w:t>11,663,322</w:t>
            </w:r>
          </w:p>
        </w:tc>
        <w:tc>
          <w:tcPr>
            <w:tcW w:w="805" w:type="dxa"/>
            <w:tcBorders>
              <w:top w:val="nil"/>
              <w:left w:val="nil"/>
              <w:bottom w:val="nil"/>
              <w:right w:val="nil"/>
            </w:tcBorders>
            <w:shd w:val="clear" w:color="auto" w:fill="auto"/>
            <w:vAlign w:val="center"/>
            <w:hideMark/>
          </w:tcPr>
          <w:p w14:paraId="53A7F662" w14:textId="543A3C95" w:rsidR="00442255" w:rsidRPr="00005453" w:rsidRDefault="00442255" w:rsidP="00442255">
            <w:pPr>
              <w:jc w:val="right"/>
              <w:rPr>
                <w:color w:val="000000"/>
                <w:sz w:val="14"/>
                <w:szCs w:val="14"/>
                <w:lang w:eastAsia="tr-TR"/>
              </w:rPr>
            </w:pPr>
            <w:r w:rsidRPr="00005453">
              <w:rPr>
                <w:sz w:val="14"/>
                <w:szCs w:val="14"/>
                <w:lang w:eastAsia="tr-TR"/>
              </w:rPr>
              <w:t>898,196</w:t>
            </w:r>
          </w:p>
        </w:tc>
        <w:tc>
          <w:tcPr>
            <w:tcW w:w="745" w:type="dxa"/>
            <w:tcBorders>
              <w:top w:val="nil"/>
              <w:left w:val="nil"/>
              <w:bottom w:val="nil"/>
              <w:right w:val="nil"/>
            </w:tcBorders>
            <w:shd w:val="clear" w:color="auto" w:fill="auto"/>
            <w:vAlign w:val="center"/>
            <w:hideMark/>
          </w:tcPr>
          <w:p w14:paraId="6DA40004" w14:textId="14BAA49D" w:rsidR="00442255" w:rsidRPr="00005453" w:rsidRDefault="00442255" w:rsidP="00442255">
            <w:pPr>
              <w:jc w:val="right"/>
              <w:rPr>
                <w:color w:val="000000"/>
                <w:sz w:val="14"/>
                <w:szCs w:val="14"/>
                <w:lang w:eastAsia="tr-TR"/>
              </w:rPr>
            </w:pPr>
            <w:r w:rsidRPr="00005453">
              <w:rPr>
                <w:sz w:val="14"/>
                <w:szCs w:val="14"/>
                <w:lang w:eastAsia="tr-TR"/>
              </w:rPr>
              <w:t>46,620</w:t>
            </w:r>
          </w:p>
        </w:tc>
        <w:tc>
          <w:tcPr>
            <w:tcW w:w="498" w:type="dxa"/>
            <w:tcBorders>
              <w:top w:val="nil"/>
              <w:left w:val="nil"/>
              <w:bottom w:val="nil"/>
              <w:right w:val="nil"/>
            </w:tcBorders>
            <w:shd w:val="clear" w:color="auto" w:fill="auto"/>
            <w:vAlign w:val="center"/>
            <w:hideMark/>
          </w:tcPr>
          <w:p w14:paraId="47A1814E" w14:textId="44E35081"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19EA5DE3" w14:textId="553C10CE" w:rsidR="00442255" w:rsidRPr="00005453" w:rsidRDefault="00442255" w:rsidP="00442255">
            <w:pPr>
              <w:jc w:val="right"/>
              <w:rPr>
                <w:color w:val="000000"/>
                <w:sz w:val="14"/>
                <w:szCs w:val="14"/>
                <w:lang w:eastAsia="tr-TR"/>
              </w:rPr>
            </w:pPr>
            <w:r w:rsidRPr="00005453">
              <w:rPr>
                <w:sz w:val="14"/>
                <w:szCs w:val="14"/>
                <w:lang w:eastAsia="tr-TR"/>
              </w:rPr>
              <w:t>104,752</w:t>
            </w:r>
          </w:p>
        </w:tc>
        <w:tc>
          <w:tcPr>
            <w:tcW w:w="745" w:type="dxa"/>
            <w:tcBorders>
              <w:top w:val="nil"/>
              <w:left w:val="nil"/>
              <w:bottom w:val="nil"/>
              <w:right w:val="nil"/>
            </w:tcBorders>
            <w:shd w:val="clear" w:color="auto" w:fill="auto"/>
            <w:vAlign w:val="center"/>
            <w:hideMark/>
          </w:tcPr>
          <w:p w14:paraId="4F208B0E" w14:textId="2A03B586" w:rsidR="00442255" w:rsidRPr="00005453" w:rsidRDefault="00442255" w:rsidP="00442255">
            <w:pPr>
              <w:jc w:val="right"/>
              <w:rPr>
                <w:color w:val="000000"/>
                <w:sz w:val="14"/>
                <w:szCs w:val="14"/>
                <w:lang w:eastAsia="tr-TR"/>
              </w:rPr>
            </w:pPr>
            <w:r w:rsidRPr="00005453">
              <w:rPr>
                <w:sz w:val="14"/>
                <w:szCs w:val="14"/>
                <w:lang w:eastAsia="tr-TR"/>
              </w:rPr>
              <w:t>13,720</w:t>
            </w:r>
          </w:p>
        </w:tc>
        <w:tc>
          <w:tcPr>
            <w:tcW w:w="708" w:type="dxa"/>
            <w:tcBorders>
              <w:top w:val="nil"/>
              <w:left w:val="nil"/>
              <w:bottom w:val="nil"/>
              <w:right w:val="nil"/>
            </w:tcBorders>
            <w:shd w:val="clear" w:color="auto" w:fill="auto"/>
            <w:vAlign w:val="center"/>
            <w:hideMark/>
          </w:tcPr>
          <w:p w14:paraId="2E837DC4" w14:textId="1AD07734" w:rsidR="00442255" w:rsidRPr="00005453" w:rsidRDefault="00442255" w:rsidP="00442255">
            <w:pPr>
              <w:jc w:val="right"/>
              <w:rPr>
                <w:color w:val="000000"/>
                <w:sz w:val="14"/>
                <w:szCs w:val="14"/>
                <w:lang w:eastAsia="tr-TR"/>
              </w:rPr>
            </w:pPr>
            <w:r w:rsidRPr="00005453">
              <w:rPr>
                <w:sz w:val="14"/>
                <w:szCs w:val="14"/>
                <w:lang w:eastAsia="tr-TR"/>
              </w:rPr>
              <w:t>138</w:t>
            </w:r>
          </w:p>
        </w:tc>
        <w:tc>
          <w:tcPr>
            <w:tcW w:w="840" w:type="dxa"/>
            <w:tcBorders>
              <w:top w:val="nil"/>
              <w:left w:val="nil"/>
              <w:bottom w:val="nil"/>
              <w:right w:val="nil"/>
            </w:tcBorders>
            <w:shd w:val="clear" w:color="auto" w:fill="auto"/>
            <w:vAlign w:val="center"/>
            <w:hideMark/>
          </w:tcPr>
          <w:p w14:paraId="057C8E57" w14:textId="3B30982A" w:rsidR="00442255" w:rsidRPr="00005453" w:rsidRDefault="00442255" w:rsidP="00442255">
            <w:pPr>
              <w:jc w:val="right"/>
              <w:rPr>
                <w:color w:val="000000"/>
                <w:sz w:val="14"/>
                <w:szCs w:val="14"/>
                <w:lang w:eastAsia="tr-TR"/>
              </w:rPr>
            </w:pPr>
            <w:r w:rsidRPr="00005453">
              <w:rPr>
                <w:sz w:val="14"/>
                <w:szCs w:val="14"/>
                <w:lang w:eastAsia="tr-TR"/>
              </w:rPr>
              <w:t>12,726,748</w:t>
            </w:r>
          </w:p>
        </w:tc>
      </w:tr>
      <w:tr w:rsidR="00442255" w:rsidRPr="00005453" w14:paraId="723431B8" w14:textId="77777777" w:rsidTr="00442255">
        <w:trPr>
          <w:divId w:val="243074251"/>
          <w:trHeight w:val="66"/>
        </w:trPr>
        <w:tc>
          <w:tcPr>
            <w:tcW w:w="3472" w:type="dxa"/>
            <w:tcBorders>
              <w:top w:val="nil"/>
              <w:left w:val="nil"/>
              <w:bottom w:val="nil"/>
              <w:right w:val="nil"/>
            </w:tcBorders>
            <w:shd w:val="clear" w:color="auto" w:fill="auto"/>
            <w:vAlign w:val="center"/>
            <w:hideMark/>
          </w:tcPr>
          <w:p w14:paraId="7B301D43"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7FDF987C" w14:textId="0A9491BD"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3FE9C4B5" w14:textId="3E7301A9" w:rsidR="00442255" w:rsidRPr="00005453" w:rsidRDefault="00442255" w:rsidP="00442255">
            <w:pPr>
              <w:jc w:val="right"/>
              <w:rPr>
                <w:color w:val="000000"/>
                <w:sz w:val="14"/>
                <w:szCs w:val="14"/>
                <w:lang w:eastAsia="tr-TR"/>
              </w:rPr>
            </w:pPr>
            <w:r w:rsidRPr="00005453">
              <w:rPr>
                <w:sz w:val="14"/>
                <w:szCs w:val="14"/>
                <w:lang w:eastAsia="tr-TR"/>
              </w:rPr>
              <w:t>6,517,503</w:t>
            </w:r>
          </w:p>
        </w:tc>
        <w:tc>
          <w:tcPr>
            <w:tcW w:w="805" w:type="dxa"/>
            <w:tcBorders>
              <w:top w:val="nil"/>
              <w:left w:val="nil"/>
              <w:bottom w:val="nil"/>
              <w:right w:val="nil"/>
            </w:tcBorders>
            <w:shd w:val="clear" w:color="auto" w:fill="auto"/>
            <w:vAlign w:val="center"/>
            <w:hideMark/>
          </w:tcPr>
          <w:p w14:paraId="062C30BE" w14:textId="5154C0D0" w:rsidR="00442255" w:rsidRPr="00005453" w:rsidRDefault="00442255" w:rsidP="00442255">
            <w:pPr>
              <w:jc w:val="right"/>
              <w:rPr>
                <w:color w:val="000000"/>
                <w:sz w:val="14"/>
                <w:szCs w:val="14"/>
                <w:lang w:eastAsia="tr-TR"/>
              </w:rPr>
            </w:pPr>
            <w:r w:rsidRPr="00005453">
              <w:rPr>
                <w:sz w:val="14"/>
                <w:szCs w:val="14"/>
                <w:lang w:eastAsia="tr-TR"/>
              </w:rPr>
              <w:t>32,110</w:t>
            </w:r>
          </w:p>
        </w:tc>
        <w:tc>
          <w:tcPr>
            <w:tcW w:w="745" w:type="dxa"/>
            <w:tcBorders>
              <w:top w:val="nil"/>
              <w:left w:val="nil"/>
              <w:bottom w:val="nil"/>
              <w:right w:val="nil"/>
            </w:tcBorders>
            <w:shd w:val="clear" w:color="auto" w:fill="auto"/>
            <w:vAlign w:val="center"/>
            <w:hideMark/>
          </w:tcPr>
          <w:p w14:paraId="6856AC75" w14:textId="3025B1F6" w:rsidR="00442255" w:rsidRPr="00005453" w:rsidRDefault="00442255" w:rsidP="00442255">
            <w:pPr>
              <w:jc w:val="right"/>
              <w:rPr>
                <w:color w:val="000000"/>
                <w:sz w:val="14"/>
                <w:szCs w:val="14"/>
                <w:lang w:eastAsia="tr-TR"/>
              </w:rPr>
            </w:pPr>
            <w:r w:rsidRPr="00005453">
              <w:rPr>
                <w:sz w:val="14"/>
                <w:szCs w:val="14"/>
                <w:lang w:eastAsia="tr-TR"/>
              </w:rPr>
              <w:t>2,172</w:t>
            </w:r>
          </w:p>
        </w:tc>
        <w:tc>
          <w:tcPr>
            <w:tcW w:w="498" w:type="dxa"/>
            <w:tcBorders>
              <w:top w:val="nil"/>
              <w:left w:val="nil"/>
              <w:bottom w:val="nil"/>
              <w:right w:val="nil"/>
            </w:tcBorders>
            <w:shd w:val="clear" w:color="auto" w:fill="auto"/>
            <w:vAlign w:val="center"/>
            <w:hideMark/>
          </w:tcPr>
          <w:p w14:paraId="6022F0A0" w14:textId="0CE3DED1"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7760816" w14:textId="01C39C45" w:rsidR="00442255" w:rsidRPr="00005453" w:rsidRDefault="00442255" w:rsidP="00442255">
            <w:pPr>
              <w:jc w:val="right"/>
              <w:rPr>
                <w:color w:val="000000"/>
                <w:sz w:val="14"/>
                <w:szCs w:val="14"/>
                <w:lang w:eastAsia="tr-TR"/>
              </w:rPr>
            </w:pPr>
            <w:r w:rsidRPr="00005453">
              <w:rPr>
                <w:sz w:val="14"/>
                <w:szCs w:val="14"/>
                <w:lang w:eastAsia="tr-TR"/>
              </w:rPr>
              <w:t>22</w:t>
            </w:r>
          </w:p>
        </w:tc>
        <w:tc>
          <w:tcPr>
            <w:tcW w:w="745" w:type="dxa"/>
            <w:tcBorders>
              <w:top w:val="nil"/>
              <w:left w:val="nil"/>
              <w:bottom w:val="nil"/>
              <w:right w:val="nil"/>
            </w:tcBorders>
            <w:shd w:val="clear" w:color="auto" w:fill="auto"/>
            <w:vAlign w:val="center"/>
            <w:hideMark/>
          </w:tcPr>
          <w:p w14:paraId="4621054A" w14:textId="1013D4C9"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7BD4C4CA" w14:textId="42D024BE"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2C8E8294" w14:textId="15D04FCF" w:rsidR="00442255" w:rsidRPr="00005453" w:rsidRDefault="00442255" w:rsidP="00442255">
            <w:pPr>
              <w:jc w:val="right"/>
              <w:rPr>
                <w:color w:val="000000"/>
                <w:sz w:val="14"/>
                <w:szCs w:val="14"/>
                <w:lang w:eastAsia="tr-TR"/>
              </w:rPr>
            </w:pPr>
            <w:r w:rsidRPr="00005453">
              <w:rPr>
                <w:sz w:val="14"/>
                <w:szCs w:val="14"/>
                <w:lang w:eastAsia="tr-TR"/>
              </w:rPr>
              <w:t>6,551,807</w:t>
            </w:r>
          </w:p>
        </w:tc>
      </w:tr>
      <w:tr w:rsidR="00442255" w:rsidRPr="00005453" w14:paraId="1B93C638" w14:textId="77777777" w:rsidTr="00442255">
        <w:trPr>
          <w:divId w:val="243074251"/>
          <w:trHeight w:val="66"/>
        </w:trPr>
        <w:tc>
          <w:tcPr>
            <w:tcW w:w="3472" w:type="dxa"/>
            <w:tcBorders>
              <w:top w:val="nil"/>
              <w:left w:val="nil"/>
              <w:bottom w:val="nil"/>
              <w:right w:val="nil"/>
            </w:tcBorders>
            <w:shd w:val="clear" w:color="auto" w:fill="auto"/>
            <w:vAlign w:val="center"/>
            <w:hideMark/>
          </w:tcPr>
          <w:p w14:paraId="57644465"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3CA0CDE7" w14:textId="5225A9EF"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0007F063" w14:textId="1B272A42" w:rsidR="00442255" w:rsidRPr="00005453" w:rsidRDefault="00442255" w:rsidP="00442255">
            <w:pPr>
              <w:jc w:val="right"/>
              <w:rPr>
                <w:color w:val="000000"/>
                <w:sz w:val="14"/>
                <w:szCs w:val="14"/>
                <w:lang w:eastAsia="tr-TR"/>
              </w:rPr>
            </w:pPr>
            <w:r w:rsidRPr="00005453">
              <w:rPr>
                <w:sz w:val="14"/>
                <w:szCs w:val="14"/>
                <w:lang w:eastAsia="tr-TR"/>
              </w:rPr>
              <w:t>104,449</w:t>
            </w:r>
          </w:p>
        </w:tc>
        <w:tc>
          <w:tcPr>
            <w:tcW w:w="805" w:type="dxa"/>
            <w:tcBorders>
              <w:top w:val="nil"/>
              <w:left w:val="nil"/>
              <w:bottom w:val="nil"/>
              <w:right w:val="nil"/>
            </w:tcBorders>
            <w:shd w:val="clear" w:color="auto" w:fill="auto"/>
            <w:vAlign w:val="center"/>
            <w:hideMark/>
          </w:tcPr>
          <w:p w14:paraId="4B9DB4CB" w14:textId="5FD2398D" w:rsidR="00442255" w:rsidRPr="00005453" w:rsidRDefault="00442255" w:rsidP="00442255">
            <w:pPr>
              <w:jc w:val="right"/>
              <w:rPr>
                <w:color w:val="000000"/>
                <w:sz w:val="14"/>
                <w:szCs w:val="14"/>
                <w:lang w:eastAsia="tr-TR"/>
              </w:rPr>
            </w:pPr>
            <w:r w:rsidRPr="00005453">
              <w:rPr>
                <w:sz w:val="14"/>
                <w:szCs w:val="14"/>
                <w:lang w:eastAsia="tr-TR"/>
              </w:rPr>
              <w:t>384,917</w:t>
            </w:r>
          </w:p>
        </w:tc>
        <w:tc>
          <w:tcPr>
            <w:tcW w:w="745" w:type="dxa"/>
            <w:tcBorders>
              <w:top w:val="nil"/>
              <w:left w:val="nil"/>
              <w:bottom w:val="nil"/>
              <w:right w:val="nil"/>
            </w:tcBorders>
            <w:shd w:val="clear" w:color="auto" w:fill="auto"/>
            <w:vAlign w:val="center"/>
            <w:hideMark/>
          </w:tcPr>
          <w:p w14:paraId="7C2DBDBD" w14:textId="7A9912CA" w:rsidR="00442255" w:rsidRPr="00005453" w:rsidRDefault="00442255" w:rsidP="00442255">
            <w:pPr>
              <w:jc w:val="right"/>
              <w:rPr>
                <w:color w:val="000000"/>
                <w:sz w:val="14"/>
                <w:szCs w:val="14"/>
                <w:lang w:eastAsia="tr-TR"/>
              </w:rPr>
            </w:pPr>
            <w:r w:rsidRPr="00005453">
              <w:rPr>
                <w:sz w:val="14"/>
                <w:szCs w:val="14"/>
                <w:lang w:eastAsia="tr-TR"/>
              </w:rPr>
              <w:t>44</w:t>
            </w:r>
          </w:p>
        </w:tc>
        <w:tc>
          <w:tcPr>
            <w:tcW w:w="498" w:type="dxa"/>
            <w:tcBorders>
              <w:top w:val="nil"/>
              <w:left w:val="nil"/>
              <w:bottom w:val="nil"/>
              <w:right w:val="nil"/>
            </w:tcBorders>
            <w:shd w:val="clear" w:color="auto" w:fill="auto"/>
            <w:vAlign w:val="center"/>
            <w:hideMark/>
          </w:tcPr>
          <w:p w14:paraId="01D4FC04" w14:textId="176D4C6F"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62D4DEC5" w14:textId="1A18EEBE"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B732A0D" w14:textId="0CEE79CA"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2C20F038" w14:textId="564058B5"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06AC505D" w14:textId="4B2A2E39" w:rsidR="00442255" w:rsidRPr="00005453" w:rsidRDefault="00442255" w:rsidP="00442255">
            <w:pPr>
              <w:jc w:val="right"/>
              <w:rPr>
                <w:color w:val="000000"/>
                <w:sz w:val="14"/>
                <w:szCs w:val="14"/>
                <w:lang w:eastAsia="tr-TR"/>
              </w:rPr>
            </w:pPr>
            <w:r w:rsidRPr="00005453">
              <w:rPr>
                <w:sz w:val="14"/>
                <w:szCs w:val="14"/>
                <w:lang w:eastAsia="tr-TR"/>
              </w:rPr>
              <w:t>489,410</w:t>
            </w:r>
          </w:p>
        </w:tc>
      </w:tr>
      <w:tr w:rsidR="00442255" w:rsidRPr="00005453" w14:paraId="1CE26536" w14:textId="77777777" w:rsidTr="00442255">
        <w:trPr>
          <w:divId w:val="243074251"/>
          <w:trHeight w:val="66"/>
        </w:trPr>
        <w:tc>
          <w:tcPr>
            <w:tcW w:w="3472" w:type="dxa"/>
            <w:tcBorders>
              <w:top w:val="nil"/>
              <w:left w:val="nil"/>
              <w:bottom w:val="nil"/>
              <w:right w:val="nil"/>
            </w:tcBorders>
            <w:shd w:val="clear" w:color="auto" w:fill="auto"/>
            <w:vAlign w:val="center"/>
            <w:hideMark/>
          </w:tcPr>
          <w:p w14:paraId="0F28224C" w14:textId="77777777" w:rsidR="00442255" w:rsidRPr="00005453" w:rsidRDefault="00442255" w:rsidP="00442255">
            <w:pPr>
              <w:ind w:firstLineChars="100" w:firstLine="140"/>
              <w:rPr>
                <w:color w:val="000000"/>
                <w:sz w:val="14"/>
                <w:szCs w:val="14"/>
                <w:lang w:eastAsia="tr-TR"/>
              </w:rPr>
            </w:pPr>
            <w:r w:rsidRPr="00005453">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11B869D2" w14:textId="1ABBE88C"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6AC05735" w14:textId="4A2862CE"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6FDE75C0" w14:textId="1F8FC6B6"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44583D5D" w14:textId="117863D2"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0836E0F2" w14:textId="003433DC"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C605451" w14:textId="00F4CD87"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568F8E4D" w14:textId="461080FA"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5C5308DF" w14:textId="2329B2F1"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7888383D" w14:textId="71940F10" w:rsidR="00442255" w:rsidRPr="00005453" w:rsidRDefault="00442255" w:rsidP="00442255">
            <w:pPr>
              <w:jc w:val="right"/>
              <w:rPr>
                <w:color w:val="000000"/>
                <w:sz w:val="14"/>
                <w:szCs w:val="14"/>
                <w:lang w:eastAsia="tr-TR"/>
              </w:rPr>
            </w:pPr>
            <w:r w:rsidRPr="00005453">
              <w:rPr>
                <w:sz w:val="14"/>
                <w:szCs w:val="14"/>
                <w:lang w:eastAsia="tr-TR"/>
              </w:rPr>
              <w:t>-</w:t>
            </w:r>
          </w:p>
        </w:tc>
      </w:tr>
      <w:tr w:rsidR="00442255" w:rsidRPr="00005453" w14:paraId="114C2EEC" w14:textId="77777777" w:rsidTr="00442255">
        <w:trPr>
          <w:divId w:val="243074251"/>
          <w:trHeight w:val="57"/>
        </w:trPr>
        <w:tc>
          <w:tcPr>
            <w:tcW w:w="3472" w:type="dxa"/>
            <w:tcBorders>
              <w:top w:val="nil"/>
              <w:left w:val="nil"/>
              <w:bottom w:val="nil"/>
              <w:right w:val="nil"/>
            </w:tcBorders>
            <w:shd w:val="clear" w:color="auto" w:fill="auto"/>
            <w:vAlign w:val="center"/>
            <w:hideMark/>
          </w:tcPr>
          <w:p w14:paraId="34519592" w14:textId="622B07F2" w:rsidR="00442255" w:rsidRPr="00005453" w:rsidRDefault="00442255" w:rsidP="00442255">
            <w:pPr>
              <w:ind w:firstLineChars="100" w:firstLine="141"/>
              <w:rPr>
                <w:b/>
                <w:bCs/>
                <w:color w:val="000000"/>
                <w:sz w:val="14"/>
                <w:szCs w:val="14"/>
                <w:lang w:eastAsia="tr-TR"/>
              </w:rPr>
            </w:pPr>
            <w:r w:rsidRPr="00005453">
              <w:rPr>
                <w:b/>
                <w:bCs/>
                <w:color w:val="000000"/>
                <w:sz w:val="14"/>
                <w:szCs w:val="14"/>
                <w:lang w:eastAsia="tr-TR"/>
              </w:rPr>
              <w:t xml:space="preserve">IX. Kıymetli </w:t>
            </w:r>
            <w:proofErr w:type="gramStart"/>
            <w:r w:rsidRPr="00005453">
              <w:rPr>
                <w:b/>
                <w:bCs/>
                <w:color w:val="000000"/>
                <w:sz w:val="14"/>
                <w:szCs w:val="14"/>
                <w:lang w:eastAsia="tr-TR"/>
              </w:rPr>
              <w:t>maden -</w:t>
            </w:r>
            <w:proofErr w:type="gramEnd"/>
            <w:r w:rsidRPr="00005453">
              <w:rPr>
                <w:b/>
                <w:bCs/>
                <w:color w:val="000000"/>
                <w:sz w:val="14"/>
                <w:szCs w:val="14"/>
                <w:lang w:eastAsia="tr-TR"/>
              </w:rPr>
              <w:t xml:space="preserve"> DH</w:t>
            </w:r>
          </w:p>
        </w:tc>
        <w:tc>
          <w:tcPr>
            <w:tcW w:w="840" w:type="dxa"/>
            <w:tcBorders>
              <w:top w:val="nil"/>
              <w:left w:val="nil"/>
              <w:bottom w:val="nil"/>
              <w:right w:val="nil"/>
            </w:tcBorders>
            <w:shd w:val="clear" w:color="auto" w:fill="auto"/>
            <w:vAlign w:val="center"/>
            <w:hideMark/>
          </w:tcPr>
          <w:p w14:paraId="38E3CA6C" w14:textId="63D1DA95" w:rsidR="00442255" w:rsidRPr="00005453" w:rsidRDefault="00442255" w:rsidP="00442255">
            <w:pPr>
              <w:jc w:val="right"/>
              <w:rPr>
                <w:b/>
                <w:bCs/>
                <w:color w:val="000000"/>
                <w:sz w:val="14"/>
                <w:szCs w:val="14"/>
                <w:lang w:eastAsia="tr-TR"/>
              </w:rPr>
            </w:pPr>
            <w:r w:rsidRPr="00005453">
              <w:rPr>
                <w:b/>
                <w:sz w:val="14"/>
                <w:szCs w:val="14"/>
                <w:lang w:eastAsia="tr-TR"/>
              </w:rPr>
              <w:t>70,915,059</w:t>
            </w:r>
          </w:p>
        </w:tc>
        <w:tc>
          <w:tcPr>
            <w:tcW w:w="804" w:type="dxa"/>
            <w:tcBorders>
              <w:top w:val="nil"/>
              <w:left w:val="nil"/>
              <w:bottom w:val="nil"/>
              <w:right w:val="nil"/>
            </w:tcBorders>
            <w:shd w:val="clear" w:color="auto" w:fill="auto"/>
            <w:vAlign w:val="center"/>
            <w:hideMark/>
          </w:tcPr>
          <w:p w14:paraId="15D9568C" w14:textId="23D91935" w:rsidR="00442255" w:rsidRPr="00005453" w:rsidRDefault="00442255" w:rsidP="00442255">
            <w:pPr>
              <w:jc w:val="right"/>
              <w:rPr>
                <w:b/>
                <w:bCs/>
                <w:color w:val="000000"/>
                <w:sz w:val="14"/>
                <w:szCs w:val="14"/>
                <w:lang w:eastAsia="tr-TR"/>
              </w:rPr>
            </w:pPr>
            <w:r w:rsidRPr="00005453">
              <w:rPr>
                <w:b/>
                <w:sz w:val="14"/>
                <w:szCs w:val="14"/>
                <w:lang w:eastAsia="tr-TR"/>
              </w:rPr>
              <w:t>9,454,219</w:t>
            </w:r>
          </w:p>
        </w:tc>
        <w:tc>
          <w:tcPr>
            <w:tcW w:w="805" w:type="dxa"/>
            <w:tcBorders>
              <w:top w:val="nil"/>
              <w:left w:val="nil"/>
              <w:bottom w:val="nil"/>
              <w:right w:val="nil"/>
            </w:tcBorders>
            <w:shd w:val="clear" w:color="auto" w:fill="auto"/>
            <w:vAlign w:val="center"/>
            <w:hideMark/>
          </w:tcPr>
          <w:p w14:paraId="4DD9ED02" w14:textId="1809542A" w:rsidR="00442255" w:rsidRPr="00005453" w:rsidRDefault="00442255" w:rsidP="00442255">
            <w:pPr>
              <w:jc w:val="right"/>
              <w:rPr>
                <w:b/>
                <w:bCs/>
                <w:color w:val="000000"/>
                <w:sz w:val="14"/>
                <w:szCs w:val="14"/>
                <w:lang w:eastAsia="tr-TR"/>
              </w:rPr>
            </w:pPr>
            <w:r w:rsidRPr="00005453">
              <w:rPr>
                <w:b/>
                <w:sz w:val="14"/>
                <w:szCs w:val="14"/>
                <w:lang w:eastAsia="tr-TR"/>
              </w:rPr>
              <w:t>4,872,520</w:t>
            </w:r>
          </w:p>
        </w:tc>
        <w:tc>
          <w:tcPr>
            <w:tcW w:w="745" w:type="dxa"/>
            <w:tcBorders>
              <w:top w:val="nil"/>
              <w:left w:val="nil"/>
              <w:bottom w:val="nil"/>
              <w:right w:val="nil"/>
            </w:tcBorders>
            <w:shd w:val="clear" w:color="auto" w:fill="auto"/>
            <w:vAlign w:val="center"/>
            <w:hideMark/>
          </w:tcPr>
          <w:p w14:paraId="3C664FC0" w14:textId="350B2A94" w:rsidR="00442255" w:rsidRPr="00005453" w:rsidRDefault="00442255" w:rsidP="00442255">
            <w:pPr>
              <w:jc w:val="right"/>
              <w:rPr>
                <w:b/>
                <w:bCs/>
                <w:color w:val="000000"/>
                <w:sz w:val="14"/>
                <w:szCs w:val="14"/>
                <w:lang w:eastAsia="tr-TR"/>
              </w:rPr>
            </w:pPr>
            <w:r w:rsidRPr="00005453">
              <w:rPr>
                <w:b/>
                <w:sz w:val="14"/>
                <w:szCs w:val="14"/>
                <w:lang w:eastAsia="tr-TR"/>
              </w:rPr>
              <w:t>777,226</w:t>
            </w:r>
          </w:p>
        </w:tc>
        <w:tc>
          <w:tcPr>
            <w:tcW w:w="498" w:type="dxa"/>
            <w:tcBorders>
              <w:top w:val="nil"/>
              <w:left w:val="nil"/>
              <w:bottom w:val="nil"/>
              <w:right w:val="nil"/>
            </w:tcBorders>
            <w:shd w:val="clear" w:color="auto" w:fill="auto"/>
            <w:vAlign w:val="center"/>
            <w:hideMark/>
          </w:tcPr>
          <w:p w14:paraId="3C0E536A" w14:textId="5F8EA071"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0CA2DB1C" w14:textId="162AC937" w:rsidR="00442255" w:rsidRPr="00005453" w:rsidRDefault="00442255" w:rsidP="00442255">
            <w:pPr>
              <w:jc w:val="right"/>
              <w:rPr>
                <w:b/>
                <w:bCs/>
                <w:color w:val="000000"/>
                <w:sz w:val="14"/>
                <w:szCs w:val="14"/>
                <w:lang w:eastAsia="tr-TR"/>
              </w:rPr>
            </w:pPr>
            <w:r w:rsidRPr="00005453">
              <w:rPr>
                <w:b/>
                <w:sz w:val="14"/>
                <w:szCs w:val="14"/>
                <w:lang w:eastAsia="tr-TR"/>
              </w:rPr>
              <w:t>558,685</w:t>
            </w:r>
          </w:p>
        </w:tc>
        <w:tc>
          <w:tcPr>
            <w:tcW w:w="745" w:type="dxa"/>
            <w:tcBorders>
              <w:top w:val="nil"/>
              <w:left w:val="nil"/>
              <w:bottom w:val="nil"/>
              <w:right w:val="nil"/>
            </w:tcBorders>
            <w:shd w:val="clear" w:color="auto" w:fill="auto"/>
            <w:vAlign w:val="center"/>
            <w:hideMark/>
          </w:tcPr>
          <w:p w14:paraId="5EBC6D3A" w14:textId="0459E2B6" w:rsidR="00442255" w:rsidRPr="00005453" w:rsidRDefault="00442255" w:rsidP="00442255">
            <w:pPr>
              <w:jc w:val="right"/>
              <w:rPr>
                <w:b/>
                <w:bCs/>
                <w:color w:val="000000"/>
                <w:sz w:val="14"/>
                <w:szCs w:val="14"/>
                <w:lang w:eastAsia="tr-TR"/>
              </w:rPr>
            </w:pPr>
            <w:r w:rsidRPr="00005453">
              <w:rPr>
                <w:b/>
                <w:sz w:val="14"/>
                <w:szCs w:val="14"/>
                <w:lang w:eastAsia="tr-TR"/>
              </w:rPr>
              <w:t>36,080</w:t>
            </w:r>
          </w:p>
        </w:tc>
        <w:tc>
          <w:tcPr>
            <w:tcW w:w="708" w:type="dxa"/>
            <w:tcBorders>
              <w:top w:val="nil"/>
              <w:left w:val="nil"/>
              <w:bottom w:val="nil"/>
              <w:right w:val="nil"/>
            </w:tcBorders>
            <w:shd w:val="clear" w:color="auto" w:fill="auto"/>
            <w:vAlign w:val="center"/>
            <w:hideMark/>
          </w:tcPr>
          <w:p w14:paraId="7DB742C7" w14:textId="4CF18C8A"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40" w:type="dxa"/>
            <w:tcBorders>
              <w:top w:val="nil"/>
              <w:left w:val="nil"/>
              <w:bottom w:val="nil"/>
              <w:right w:val="nil"/>
            </w:tcBorders>
            <w:shd w:val="clear" w:color="auto" w:fill="auto"/>
            <w:vAlign w:val="center"/>
            <w:hideMark/>
          </w:tcPr>
          <w:p w14:paraId="7A89BE08" w14:textId="210C9D00" w:rsidR="00442255" w:rsidRPr="00005453" w:rsidRDefault="00442255" w:rsidP="00442255">
            <w:pPr>
              <w:jc w:val="right"/>
              <w:rPr>
                <w:b/>
                <w:bCs/>
                <w:color w:val="000000"/>
                <w:sz w:val="14"/>
                <w:szCs w:val="14"/>
                <w:lang w:eastAsia="tr-TR"/>
              </w:rPr>
            </w:pPr>
            <w:r w:rsidRPr="00005453">
              <w:rPr>
                <w:b/>
                <w:sz w:val="14"/>
                <w:szCs w:val="14"/>
                <w:lang w:eastAsia="tr-TR"/>
              </w:rPr>
              <w:t>86,613,789</w:t>
            </w:r>
          </w:p>
        </w:tc>
      </w:tr>
      <w:tr w:rsidR="00442255" w:rsidRPr="00005453" w14:paraId="13208E68" w14:textId="77777777" w:rsidTr="00442255">
        <w:trPr>
          <w:divId w:val="243074251"/>
          <w:trHeight w:val="57"/>
        </w:trPr>
        <w:tc>
          <w:tcPr>
            <w:tcW w:w="3472" w:type="dxa"/>
            <w:tcBorders>
              <w:top w:val="nil"/>
              <w:left w:val="nil"/>
              <w:bottom w:val="nil"/>
              <w:right w:val="nil"/>
            </w:tcBorders>
            <w:shd w:val="clear" w:color="auto" w:fill="auto"/>
            <w:vAlign w:val="center"/>
            <w:hideMark/>
          </w:tcPr>
          <w:p w14:paraId="32B0CA82" w14:textId="57A48163"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 xml:space="preserve">X. Katılma hesapları özel fon </w:t>
            </w:r>
            <w:proofErr w:type="gramStart"/>
            <w:r w:rsidRPr="00005453">
              <w:rPr>
                <w:rFonts w:eastAsia="Arial Unicode MS"/>
                <w:b/>
                <w:bCs/>
                <w:color w:val="000000"/>
                <w:sz w:val="14"/>
                <w:szCs w:val="14"/>
                <w:lang w:eastAsia="tr-TR"/>
              </w:rPr>
              <w:t>havuzları -</w:t>
            </w:r>
            <w:proofErr w:type="gramEnd"/>
            <w:r w:rsidRPr="00005453">
              <w:rPr>
                <w:rFonts w:eastAsia="Arial Unicode MS"/>
                <w:b/>
                <w:bCs/>
                <w:color w:val="000000"/>
                <w:sz w:val="14"/>
                <w:szCs w:val="14"/>
                <w:lang w:eastAsia="tr-TR"/>
              </w:rPr>
              <w:t xml:space="preserve"> TP</w:t>
            </w:r>
          </w:p>
        </w:tc>
        <w:tc>
          <w:tcPr>
            <w:tcW w:w="840" w:type="dxa"/>
            <w:tcBorders>
              <w:top w:val="nil"/>
              <w:left w:val="nil"/>
              <w:bottom w:val="nil"/>
              <w:right w:val="nil"/>
            </w:tcBorders>
            <w:shd w:val="clear" w:color="auto" w:fill="auto"/>
            <w:vAlign w:val="center"/>
            <w:hideMark/>
          </w:tcPr>
          <w:p w14:paraId="4355AE99" w14:textId="382C99D6"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4" w:type="dxa"/>
            <w:tcBorders>
              <w:top w:val="nil"/>
              <w:left w:val="nil"/>
              <w:bottom w:val="nil"/>
              <w:right w:val="nil"/>
            </w:tcBorders>
            <w:shd w:val="clear" w:color="auto" w:fill="auto"/>
            <w:vAlign w:val="center"/>
            <w:hideMark/>
          </w:tcPr>
          <w:p w14:paraId="49180776" w14:textId="53AEAD0B"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05" w:type="dxa"/>
            <w:tcBorders>
              <w:top w:val="nil"/>
              <w:left w:val="nil"/>
              <w:bottom w:val="nil"/>
              <w:right w:val="nil"/>
            </w:tcBorders>
            <w:shd w:val="clear" w:color="auto" w:fill="auto"/>
            <w:vAlign w:val="center"/>
            <w:hideMark/>
          </w:tcPr>
          <w:p w14:paraId="39E31894" w14:textId="532F9B28" w:rsidR="00442255" w:rsidRPr="00005453" w:rsidRDefault="00442255" w:rsidP="00442255">
            <w:pPr>
              <w:jc w:val="right"/>
              <w:rPr>
                <w:b/>
                <w:bCs/>
                <w:color w:val="000000"/>
                <w:sz w:val="14"/>
                <w:szCs w:val="14"/>
                <w:lang w:eastAsia="tr-TR"/>
              </w:rPr>
            </w:pPr>
            <w:r w:rsidRPr="00005453">
              <w:rPr>
                <w:b/>
                <w:sz w:val="14"/>
                <w:szCs w:val="14"/>
                <w:lang w:eastAsia="tr-TR"/>
              </w:rPr>
              <w:t>1,563,263</w:t>
            </w:r>
          </w:p>
        </w:tc>
        <w:tc>
          <w:tcPr>
            <w:tcW w:w="745" w:type="dxa"/>
            <w:tcBorders>
              <w:top w:val="nil"/>
              <w:left w:val="nil"/>
              <w:bottom w:val="nil"/>
              <w:right w:val="nil"/>
            </w:tcBorders>
            <w:shd w:val="clear" w:color="auto" w:fill="auto"/>
            <w:vAlign w:val="center"/>
            <w:hideMark/>
          </w:tcPr>
          <w:p w14:paraId="5832B005" w14:textId="5685C82F" w:rsidR="00442255" w:rsidRPr="00005453" w:rsidRDefault="00442255" w:rsidP="00442255">
            <w:pPr>
              <w:jc w:val="right"/>
              <w:rPr>
                <w:b/>
                <w:bCs/>
                <w:color w:val="000000"/>
                <w:sz w:val="14"/>
                <w:szCs w:val="14"/>
                <w:lang w:eastAsia="tr-TR"/>
              </w:rPr>
            </w:pPr>
            <w:r w:rsidRPr="00005453">
              <w:rPr>
                <w:b/>
                <w:sz w:val="14"/>
                <w:szCs w:val="14"/>
                <w:lang w:eastAsia="tr-TR"/>
              </w:rPr>
              <w:t>4,050,088</w:t>
            </w:r>
          </w:p>
        </w:tc>
        <w:tc>
          <w:tcPr>
            <w:tcW w:w="498" w:type="dxa"/>
            <w:tcBorders>
              <w:top w:val="nil"/>
              <w:left w:val="nil"/>
              <w:bottom w:val="nil"/>
              <w:right w:val="nil"/>
            </w:tcBorders>
            <w:shd w:val="clear" w:color="auto" w:fill="auto"/>
            <w:vAlign w:val="center"/>
            <w:hideMark/>
          </w:tcPr>
          <w:p w14:paraId="2B9789E2" w14:textId="5388E0EF"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770" w:type="dxa"/>
            <w:tcBorders>
              <w:top w:val="nil"/>
              <w:left w:val="nil"/>
              <w:bottom w:val="nil"/>
              <w:right w:val="nil"/>
            </w:tcBorders>
            <w:shd w:val="clear" w:color="auto" w:fill="auto"/>
            <w:vAlign w:val="center"/>
            <w:hideMark/>
          </w:tcPr>
          <w:p w14:paraId="6F916350" w14:textId="7A85DACE" w:rsidR="00442255" w:rsidRPr="00005453" w:rsidRDefault="00442255" w:rsidP="00442255">
            <w:pPr>
              <w:jc w:val="right"/>
              <w:rPr>
                <w:b/>
                <w:bCs/>
                <w:color w:val="000000"/>
                <w:sz w:val="14"/>
                <w:szCs w:val="14"/>
                <w:lang w:eastAsia="tr-TR"/>
              </w:rPr>
            </w:pPr>
            <w:r w:rsidRPr="00005453">
              <w:rPr>
                <w:b/>
                <w:sz w:val="14"/>
                <w:szCs w:val="14"/>
                <w:lang w:eastAsia="tr-TR"/>
              </w:rPr>
              <w:t>49,028,063</w:t>
            </w:r>
          </w:p>
        </w:tc>
        <w:tc>
          <w:tcPr>
            <w:tcW w:w="745" w:type="dxa"/>
            <w:tcBorders>
              <w:top w:val="nil"/>
              <w:left w:val="nil"/>
              <w:bottom w:val="nil"/>
              <w:right w:val="nil"/>
            </w:tcBorders>
            <w:shd w:val="clear" w:color="auto" w:fill="auto"/>
            <w:vAlign w:val="center"/>
            <w:hideMark/>
          </w:tcPr>
          <w:p w14:paraId="379BE774" w14:textId="255F5E32" w:rsidR="00442255" w:rsidRPr="00005453" w:rsidRDefault="00442255" w:rsidP="00442255">
            <w:pPr>
              <w:jc w:val="right"/>
              <w:rPr>
                <w:b/>
                <w:bCs/>
                <w:color w:val="000000"/>
                <w:sz w:val="14"/>
                <w:szCs w:val="14"/>
                <w:lang w:eastAsia="tr-TR"/>
              </w:rPr>
            </w:pPr>
            <w:r w:rsidRPr="00005453">
              <w:rPr>
                <w:b/>
                <w:sz w:val="14"/>
                <w:szCs w:val="14"/>
                <w:lang w:eastAsia="tr-TR"/>
              </w:rPr>
              <w:t>3,824,907</w:t>
            </w:r>
          </w:p>
        </w:tc>
        <w:tc>
          <w:tcPr>
            <w:tcW w:w="708" w:type="dxa"/>
            <w:tcBorders>
              <w:top w:val="nil"/>
              <w:left w:val="nil"/>
              <w:bottom w:val="nil"/>
              <w:right w:val="nil"/>
            </w:tcBorders>
            <w:shd w:val="clear" w:color="auto" w:fill="auto"/>
            <w:vAlign w:val="center"/>
            <w:hideMark/>
          </w:tcPr>
          <w:p w14:paraId="730B1C7D" w14:textId="567798AD" w:rsidR="00442255" w:rsidRPr="00005453" w:rsidRDefault="00442255" w:rsidP="00442255">
            <w:pPr>
              <w:jc w:val="right"/>
              <w:rPr>
                <w:b/>
                <w:bCs/>
                <w:color w:val="000000"/>
                <w:sz w:val="14"/>
                <w:szCs w:val="14"/>
                <w:lang w:eastAsia="tr-TR"/>
              </w:rPr>
            </w:pPr>
            <w:r w:rsidRPr="00005453">
              <w:rPr>
                <w:b/>
                <w:sz w:val="14"/>
                <w:szCs w:val="14"/>
                <w:lang w:eastAsia="tr-TR"/>
              </w:rPr>
              <w:t>-</w:t>
            </w:r>
          </w:p>
        </w:tc>
        <w:tc>
          <w:tcPr>
            <w:tcW w:w="840" w:type="dxa"/>
            <w:tcBorders>
              <w:top w:val="nil"/>
              <w:left w:val="nil"/>
              <w:bottom w:val="nil"/>
              <w:right w:val="nil"/>
            </w:tcBorders>
            <w:shd w:val="clear" w:color="auto" w:fill="auto"/>
            <w:vAlign w:val="center"/>
            <w:hideMark/>
          </w:tcPr>
          <w:p w14:paraId="0C50CEF7" w14:textId="516BEFD9" w:rsidR="00442255" w:rsidRPr="00005453" w:rsidRDefault="00442255" w:rsidP="00442255">
            <w:pPr>
              <w:jc w:val="right"/>
              <w:rPr>
                <w:b/>
                <w:bCs/>
                <w:color w:val="000000"/>
                <w:sz w:val="14"/>
                <w:szCs w:val="14"/>
                <w:lang w:eastAsia="tr-TR"/>
              </w:rPr>
            </w:pPr>
            <w:r w:rsidRPr="00005453">
              <w:rPr>
                <w:b/>
                <w:sz w:val="14"/>
                <w:szCs w:val="14"/>
                <w:lang w:eastAsia="tr-TR"/>
              </w:rPr>
              <w:t>58,466,321</w:t>
            </w:r>
          </w:p>
        </w:tc>
      </w:tr>
      <w:tr w:rsidR="00442255" w:rsidRPr="00005453" w14:paraId="56F74D45" w14:textId="77777777" w:rsidTr="00442255">
        <w:trPr>
          <w:divId w:val="243074251"/>
          <w:trHeight w:val="204"/>
        </w:trPr>
        <w:tc>
          <w:tcPr>
            <w:tcW w:w="3472" w:type="dxa"/>
            <w:tcBorders>
              <w:top w:val="nil"/>
              <w:left w:val="nil"/>
              <w:bottom w:val="nil"/>
              <w:right w:val="nil"/>
            </w:tcBorders>
            <w:shd w:val="clear" w:color="auto" w:fill="auto"/>
            <w:vAlign w:val="center"/>
            <w:hideMark/>
          </w:tcPr>
          <w:p w14:paraId="6303F9DB" w14:textId="77777777" w:rsidR="00442255" w:rsidRPr="00005453" w:rsidRDefault="00442255" w:rsidP="00442255">
            <w:pPr>
              <w:ind w:firstLineChars="100" w:firstLine="140"/>
              <w:rPr>
                <w:color w:val="000000"/>
                <w:sz w:val="14"/>
                <w:szCs w:val="14"/>
                <w:lang w:eastAsia="tr-TR"/>
              </w:rPr>
            </w:pPr>
            <w:r w:rsidRPr="00005453">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2A952ABD" w14:textId="27E68135"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379568E1" w14:textId="42F0AC54"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79E55FDE" w14:textId="4C91E93B" w:rsidR="00442255" w:rsidRPr="00005453" w:rsidRDefault="00442255" w:rsidP="00442255">
            <w:pPr>
              <w:jc w:val="right"/>
              <w:rPr>
                <w:color w:val="000000"/>
                <w:sz w:val="14"/>
                <w:szCs w:val="14"/>
                <w:lang w:eastAsia="tr-TR"/>
              </w:rPr>
            </w:pPr>
            <w:r w:rsidRPr="00005453">
              <w:rPr>
                <w:sz w:val="14"/>
                <w:szCs w:val="14"/>
                <w:lang w:eastAsia="tr-TR"/>
              </w:rPr>
              <w:t>1,563,263</w:t>
            </w:r>
          </w:p>
        </w:tc>
        <w:tc>
          <w:tcPr>
            <w:tcW w:w="745" w:type="dxa"/>
            <w:tcBorders>
              <w:top w:val="nil"/>
              <w:left w:val="nil"/>
              <w:bottom w:val="nil"/>
              <w:right w:val="nil"/>
            </w:tcBorders>
            <w:shd w:val="clear" w:color="auto" w:fill="auto"/>
            <w:vAlign w:val="center"/>
            <w:hideMark/>
          </w:tcPr>
          <w:p w14:paraId="6F9BC992" w14:textId="576F1D23" w:rsidR="00442255" w:rsidRPr="00005453" w:rsidRDefault="00442255" w:rsidP="00442255">
            <w:pPr>
              <w:jc w:val="right"/>
              <w:rPr>
                <w:color w:val="000000"/>
                <w:sz w:val="14"/>
                <w:szCs w:val="14"/>
                <w:lang w:eastAsia="tr-TR"/>
              </w:rPr>
            </w:pPr>
            <w:r w:rsidRPr="00005453">
              <w:rPr>
                <w:sz w:val="14"/>
                <w:szCs w:val="14"/>
                <w:lang w:eastAsia="tr-TR"/>
              </w:rPr>
              <w:t>4,050,088</w:t>
            </w:r>
          </w:p>
        </w:tc>
        <w:tc>
          <w:tcPr>
            <w:tcW w:w="498" w:type="dxa"/>
            <w:tcBorders>
              <w:top w:val="nil"/>
              <w:left w:val="nil"/>
              <w:bottom w:val="nil"/>
              <w:right w:val="nil"/>
            </w:tcBorders>
            <w:shd w:val="clear" w:color="auto" w:fill="auto"/>
            <w:vAlign w:val="center"/>
            <w:hideMark/>
          </w:tcPr>
          <w:p w14:paraId="4690E50B" w14:textId="73B1C1D2"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FAFAC57" w14:textId="253BD37D" w:rsidR="00442255" w:rsidRPr="00005453" w:rsidRDefault="00442255" w:rsidP="00442255">
            <w:pPr>
              <w:jc w:val="right"/>
              <w:rPr>
                <w:color w:val="000000"/>
                <w:sz w:val="14"/>
                <w:szCs w:val="14"/>
                <w:lang w:eastAsia="tr-TR"/>
              </w:rPr>
            </w:pPr>
            <w:r w:rsidRPr="00005453">
              <w:rPr>
                <w:sz w:val="14"/>
                <w:szCs w:val="14"/>
                <w:lang w:eastAsia="tr-TR"/>
              </w:rPr>
              <w:t>48,266,714</w:t>
            </w:r>
          </w:p>
        </w:tc>
        <w:tc>
          <w:tcPr>
            <w:tcW w:w="745" w:type="dxa"/>
            <w:tcBorders>
              <w:top w:val="nil"/>
              <w:left w:val="nil"/>
              <w:bottom w:val="nil"/>
              <w:right w:val="nil"/>
            </w:tcBorders>
            <w:shd w:val="clear" w:color="auto" w:fill="auto"/>
            <w:vAlign w:val="center"/>
            <w:hideMark/>
          </w:tcPr>
          <w:p w14:paraId="51735B2C" w14:textId="75768292" w:rsidR="00442255" w:rsidRPr="00005453" w:rsidRDefault="00442255" w:rsidP="00442255">
            <w:pPr>
              <w:jc w:val="right"/>
              <w:rPr>
                <w:color w:val="000000"/>
                <w:sz w:val="14"/>
                <w:szCs w:val="14"/>
                <w:lang w:eastAsia="tr-TR"/>
              </w:rPr>
            </w:pPr>
            <w:r w:rsidRPr="00005453">
              <w:rPr>
                <w:sz w:val="14"/>
                <w:szCs w:val="14"/>
                <w:lang w:eastAsia="tr-TR"/>
              </w:rPr>
              <w:t>3,309,678</w:t>
            </w:r>
          </w:p>
        </w:tc>
        <w:tc>
          <w:tcPr>
            <w:tcW w:w="708" w:type="dxa"/>
            <w:tcBorders>
              <w:top w:val="nil"/>
              <w:left w:val="nil"/>
              <w:bottom w:val="nil"/>
              <w:right w:val="nil"/>
            </w:tcBorders>
            <w:shd w:val="clear" w:color="auto" w:fill="auto"/>
            <w:vAlign w:val="center"/>
            <w:hideMark/>
          </w:tcPr>
          <w:p w14:paraId="517D9175" w14:textId="59A6E85A"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5942139D" w14:textId="11B0E09C" w:rsidR="00442255" w:rsidRPr="00005453" w:rsidRDefault="00442255" w:rsidP="00442255">
            <w:pPr>
              <w:jc w:val="right"/>
              <w:rPr>
                <w:color w:val="000000"/>
                <w:sz w:val="14"/>
                <w:szCs w:val="14"/>
                <w:lang w:eastAsia="tr-TR"/>
              </w:rPr>
            </w:pPr>
            <w:r w:rsidRPr="00005453">
              <w:rPr>
                <w:sz w:val="14"/>
                <w:szCs w:val="14"/>
                <w:lang w:eastAsia="tr-TR"/>
              </w:rPr>
              <w:t>57,189,743</w:t>
            </w:r>
          </w:p>
        </w:tc>
      </w:tr>
      <w:tr w:rsidR="00442255" w:rsidRPr="00005453" w14:paraId="4F20B5A5" w14:textId="77777777" w:rsidTr="00442255">
        <w:trPr>
          <w:divId w:val="243074251"/>
          <w:trHeight w:val="66"/>
        </w:trPr>
        <w:tc>
          <w:tcPr>
            <w:tcW w:w="3472" w:type="dxa"/>
            <w:tcBorders>
              <w:top w:val="nil"/>
              <w:left w:val="nil"/>
              <w:bottom w:val="nil"/>
              <w:right w:val="nil"/>
            </w:tcBorders>
            <w:shd w:val="clear" w:color="auto" w:fill="auto"/>
            <w:vAlign w:val="center"/>
            <w:hideMark/>
          </w:tcPr>
          <w:p w14:paraId="685C24BC" w14:textId="77777777" w:rsidR="00442255" w:rsidRPr="00005453" w:rsidRDefault="00442255" w:rsidP="00442255">
            <w:pPr>
              <w:ind w:firstLineChars="100" w:firstLine="140"/>
              <w:rPr>
                <w:color w:val="000000"/>
                <w:sz w:val="14"/>
                <w:szCs w:val="14"/>
                <w:lang w:eastAsia="tr-TR"/>
              </w:rPr>
            </w:pPr>
            <w:r w:rsidRPr="00005453">
              <w:rPr>
                <w:color w:val="000000"/>
                <w:sz w:val="14"/>
                <w:szCs w:val="14"/>
                <w:lang w:eastAsia="tr-TR"/>
              </w:rPr>
              <w:t xml:space="preserve">Yurt dışında </w:t>
            </w:r>
            <w:proofErr w:type="gramStart"/>
            <w:r w:rsidRPr="00005453">
              <w:rPr>
                <w:color w:val="000000"/>
                <w:sz w:val="14"/>
                <w:szCs w:val="14"/>
                <w:lang w:eastAsia="tr-TR"/>
              </w:rPr>
              <w:t>yer.K</w:t>
            </w:r>
            <w:proofErr w:type="gramEnd"/>
          </w:p>
        </w:tc>
        <w:tc>
          <w:tcPr>
            <w:tcW w:w="840" w:type="dxa"/>
            <w:tcBorders>
              <w:top w:val="nil"/>
              <w:left w:val="nil"/>
              <w:bottom w:val="nil"/>
              <w:right w:val="nil"/>
            </w:tcBorders>
            <w:shd w:val="clear" w:color="auto" w:fill="auto"/>
            <w:vAlign w:val="center"/>
            <w:hideMark/>
          </w:tcPr>
          <w:p w14:paraId="31FA23E1" w14:textId="6B266A52"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643F3193" w14:textId="43E94BF5"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675DAF23" w14:textId="5A250E22"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014D0A6" w14:textId="2FA26996"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0995183F" w14:textId="5731C8ED"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37CFD53F" w14:textId="187F77AA" w:rsidR="00442255" w:rsidRPr="00005453" w:rsidRDefault="00442255" w:rsidP="00442255">
            <w:pPr>
              <w:jc w:val="right"/>
              <w:rPr>
                <w:color w:val="000000"/>
                <w:sz w:val="14"/>
                <w:szCs w:val="14"/>
                <w:lang w:eastAsia="tr-TR"/>
              </w:rPr>
            </w:pPr>
            <w:r w:rsidRPr="00005453">
              <w:rPr>
                <w:sz w:val="14"/>
                <w:szCs w:val="14"/>
                <w:lang w:eastAsia="tr-TR"/>
              </w:rPr>
              <w:t>761,349</w:t>
            </w:r>
          </w:p>
        </w:tc>
        <w:tc>
          <w:tcPr>
            <w:tcW w:w="745" w:type="dxa"/>
            <w:tcBorders>
              <w:top w:val="nil"/>
              <w:left w:val="nil"/>
              <w:bottom w:val="nil"/>
              <w:right w:val="nil"/>
            </w:tcBorders>
            <w:shd w:val="clear" w:color="auto" w:fill="auto"/>
            <w:vAlign w:val="center"/>
            <w:hideMark/>
          </w:tcPr>
          <w:p w14:paraId="3B3499BE" w14:textId="43802CBC" w:rsidR="00442255" w:rsidRPr="00005453" w:rsidRDefault="00442255" w:rsidP="00442255">
            <w:pPr>
              <w:jc w:val="right"/>
              <w:rPr>
                <w:color w:val="000000"/>
                <w:sz w:val="14"/>
                <w:szCs w:val="14"/>
                <w:lang w:eastAsia="tr-TR"/>
              </w:rPr>
            </w:pPr>
            <w:r w:rsidRPr="00005453">
              <w:rPr>
                <w:sz w:val="14"/>
                <w:szCs w:val="14"/>
                <w:lang w:eastAsia="tr-TR"/>
              </w:rPr>
              <w:t>515,229</w:t>
            </w:r>
          </w:p>
        </w:tc>
        <w:tc>
          <w:tcPr>
            <w:tcW w:w="708" w:type="dxa"/>
            <w:tcBorders>
              <w:top w:val="nil"/>
              <w:left w:val="nil"/>
              <w:bottom w:val="nil"/>
              <w:right w:val="nil"/>
            </w:tcBorders>
            <w:shd w:val="clear" w:color="auto" w:fill="auto"/>
            <w:vAlign w:val="center"/>
            <w:hideMark/>
          </w:tcPr>
          <w:p w14:paraId="6BFAEF47" w14:textId="0469057A"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14BA6E28" w14:textId="484A85FD" w:rsidR="00442255" w:rsidRPr="00005453" w:rsidRDefault="00442255" w:rsidP="00442255">
            <w:pPr>
              <w:jc w:val="right"/>
              <w:rPr>
                <w:color w:val="000000"/>
                <w:sz w:val="14"/>
                <w:szCs w:val="14"/>
                <w:lang w:eastAsia="tr-TR"/>
              </w:rPr>
            </w:pPr>
            <w:r w:rsidRPr="00005453">
              <w:rPr>
                <w:sz w:val="14"/>
                <w:szCs w:val="14"/>
                <w:lang w:eastAsia="tr-TR"/>
              </w:rPr>
              <w:t>1,276,578</w:t>
            </w:r>
          </w:p>
        </w:tc>
      </w:tr>
      <w:tr w:rsidR="00442255" w:rsidRPr="00005453" w14:paraId="74147161" w14:textId="77777777" w:rsidTr="00442255">
        <w:trPr>
          <w:divId w:val="243074251"/>
          <w:trHeight w:val="152"/>
        </w:trPr>
        <w:tc>
          <w:tcPr>
            <w:tcW w:w="3472" w:type="dxa"/>
            <w:tcBorders>
              <w:top w:val="nil"/>
              <w:left w:val="nil"/>
              <w:bottom w:val="nil"/>
              <w:right w:val="nil"/>
            </w:tcBorders>
            <w:shd w:val="clear" w:color="auto" w:fill="auto"/>
            <w:vAlign w:val="center"/>
            <w:hideMark/>
          </w:tcPr>
          <w:p w14:paraId="34E54EDD" w14:textId="77777777" w:rsidR="00442255" w:rsidRPr="00005453" w:rsidRDefault="00442255" w:rsidP="00442255">
            <w:pPr>
              <w:ind w:firstLineChars="100" w:firstLine="140"/>
              <w:rPr>
                <w:b/>
                <w:bCs/>
                <w:color w:val="000000"/>
                <w:sz w:val="14"/>
                <w:szCs w:val="14"/>
                <w:lang w:eastAsia="tr-TR"/>
              </w:rPr>
            </w:pPr>
            <w:r w:rsidRPr="00005453">
              <w:rPr>
                <w:rFonts w:eastAsia="Arial Unicode MS"/>
                <w:b/>
                <w:bCs/>
                <w:color w:val="000000"/>
                <w:sz w:val="14"/>
                <w:szCs w:val="14"/>
                <w:lang w:eastAsia="tr-TR"/>
              </w:rPr>
              <w:t>XI. Katılma hesapları özel fon havuzları-YP</w:t>
            </w:r>
          </w:p>
        </w:tc>
        <w:tc>
          <w:tcPr>
            <w:tcW w:w="840" w:type="dxa"/>
            <w:tcBorders>
              <w:top w:val="nil"/>
              <w:left w:val="nil"/>
              <w:bottom w:val="nil"/>
              <w:right w:val="nil"/>
            </w:tcBorders>
            <w:shd w:val="clear" w:color="auto" w:fill="auto"/>
            <w:vAlign w:val="center"/>
            <w:hideMark/>
          </w:tcPr>
          <w:p w14:paraId="5C0F388B" w14:textId="081491DB"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804" w:type="dxa"/>
            <w:tcBorders>
              <w:top w:val="nil"/>
              <w:left w:val="nil"/>
              <w:bottom w:val="nil"/>
              <w:right w:val="nil"/>
            </w:tcBorders>
            <w:shd w:val="clear" w:color="auto" w:fill="auto"/>
            <w:vAlign w:val="center"/>
            <w:hideMark/>
          </w:tcPr>
          <w:p w14:paraId="4EF9188B" w14:textId="72C1D25A"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805" w:type="dxa"/>
            <w:tcBorders>
              <w:top w:val="nil"/>
              <w:left w:val="nil"/>
              <w:bottom w:val="nil"/>
              <w:right w:val="nil"/>
            </w:tcBorders>
            <w:shd w:val="clear" w:color="auto" w:fill="auto"/>
            <w:vAlign w:val="center"/>
            <w:hideMark/>
          </w:tcPr>
          <w:p w14:paraId="452F637D" w14:textId="418281E8"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745" w:type="dxa"/>
            <w:tcBorders>
              <w:top w:val="nil"/>
              <w:left w:val="nil"/>
              <w:bottom w:val="nil"/>
              <w:right w:val="nil"/>
            </w:tcBorders>
            <w:shd w:val="clear" w:color="auto" w:fill="auto"/>
            <w:vAlign w:val="center"/>
            <w:hideMark/>
          </w:tcPr>
          <w:p w14:paraId="460887D4" w14:textId="1466875C"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498" w:type="dxa"/>
            <w:tcBorders>
              <w:top w:val="nil"/>
              <w:left w:val="nil"/>
              <w:bottom w:val="nil"/>
              <w:right w:val="nil"/>
            </w:tcBorders>
            <w:shd w:val="clear" w:color="auto" w:fill="auto"/>
            <w:vAlign w:val="center"/>
            <w:hideMark/>
          </w:tcPr>
          <w:p w14:paraId="504FAC8D" w14:textId="525B68F9"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770" w:type="dxa"/>
            <w:tcBorders>
              <w:top w:val="nil"/>
              <w:left w:val="nil"/>
              <w:bottom w:val="nil"/>
              <w:right w:val="nil"/>
            </w:tcBorders>
            <w:shd w:val="clear" w:color="auto" w:fill="auto"/>
            <w:vAlign w:val="center"/>
            <w:hideMark/>
          </w:tcPr>
          <w:p w14:paraId="1B9B8394" w14:textId="2FCBD4BC"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745" w:type="dxa"/>
            <w:tcBorders>
              <w:top w:val="nil"/>
              <w:left w:val="nil"/>
              <w:bottom w:val="nil"/>
              <w:right w:val="nil"/>
            </w:tcBorders>
            <w:shd w:val="clear" w:color="auto" w:fill="auto"/>
            <w:vAlign w:val="center"/>
            <w:hideMark/>
          </w:tcPr>
          <w:p w14:paraId="38137CE3" w14:textId="3C6269CC"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708" w:type="dxa"/>
            <w:tcBorders>
              <w:top w:val="nil"/>
              <w:left w:val="nil"/>
              <w:bottom w:val="nil"/>
              <w:right w:val="nil"/>
            </w:tcBorders>
            <w:shd w:val="clear" w:color="auto" w:fill="auto"/>
            <w:vAlign w:val="center"/>
            <w:hideMark/>
          </w:tcPr>
          <w:p w14:paraId="5EAAEC2D" w14:textId="505E1195"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840" w:type="dxa"/>
            <w:tcBorders>
              <w:top w:val="nil"/>
              <w:left w:val="nil"/>
              <w:bottom w:val="nil"/>
              <w:right w:val="nil"/>
            </w:tcBorders>
            <w:shd w:val="clear" w:color="auto" w:fill="auto"/>
            <w:vAlign w:val="center"/>
            <w:hideMark/>
          </w:tcPr>
          <w:p w14:paraId="5E3360C6" w14:textId="6C7CBD57" w:rsidR="00442255" w:rsidRPr="00005453" w:rsidRDefault="00442255" w:rsidP="00442255">
            <w:pPr>
              <w:jc w:val="right"/>
              <w:rPr>
                <w:b/>
                <w:bCs/>
                <w:color w:val="000000"/>
                <w:sz w:val="14"/>
                <w:szCs w:val="14"/>
                <w:lang w:eastAsia="tr-TR"/>
              </w:rPr>
            </w:pPr>
            <w:r w:rsidRPr="00005453">
              <w:rPr>
                <w:b/>
                <w:bCs/>
                <w:sz w:val="14"/>
                <w:szCs w:val="14"/>
              </w:rPr>
              <w:t>-</w:t>
            </w:r>
          </w:p>
        </w:tc>
      </w:tr>
      <w:tr w:rsidR="00442255" w:rsidRPr="00005453" w14:paraId="229BA07A" w14:textId="77777777" w:rsidTr="00442255">
        <w:trPr>
          <w:divId w:val="243074251"/>
          <w:trHeight w:val="204"/>
        </w:trPr>
        <w:tc>
          <w:tcPr>
            <w:tcW w:w="3472" w:type="dxa"/>
            <w:tcBorders>
              <w:top w:val="nil"/>
              <w:left w:val="nil"/>
              <w:bottom w:val="nil"/>
              <w:right w:val="nil"/>
            </w:tcBorders>
            <w:shd w:val="clear" w:color="auto" w:fill="auto"/>
            <w:vAlign w:val="center"/>
            <w:hideMark/>
          </w:tcPr>
          <w:p w14:paraId="4F4E9431" w14:textId="77777777" w:rsidR="00442255" w:rsidRPr="00005453" w:rsidRDefault="00442255" w:rsidP="00442255">
            <w:pPr>
              <w:ind w:firstLineChars="100" w:firstLine="140"/>
              <w:rPr>
                <w:color w:val="000000"/>
                <w:sz w:val="14"/>
                <w:szCs w:val="14"/>
                <w:lang w:eastAsia="tr-TR"/>
              </w:rPr>
            </w:pPr>
            <w:r w:rsidRPr="00005453">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149802AE" w14:textId="15AD8C33"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26AB8FC0" w14:textId="0FFA7DB8"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1EB6779E" w14:textId="3249F4FC"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5917AB15" w14:textId="20017026"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7C0B37CA" w14:textId="6FBCF87C"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5568478D" w14:textId="6B04CEED"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C8DE024" w14:textId="73AAB39C"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09DC787C" w14:textId="42E3E1E9"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6A06D163" w14:textId="3474B9E4" w:rsidR="00442255" w:rsidRPr="00005453" w:rsidRDefault="00442255" w:rsidP="00442255">
            <w:pPr>
              <w:jc w:val="right"/>
              <w:rPr>
                <w:color w:val="000000"/>
                <w:sz w:val="14"/>
                <w:szCs w:val="14"/>
                <w:lang w:eastAsia="tr-TR"/>
              </w:rPr>
            </w:pPr>
            <w:r w:rsidRPr="00005453">
              <w:rPr>
                <w:sz w:val="14"/>
                <w:szCs w:val="14"/>
              </w:rPr>
              <w:t>-</w:t>
            </w:r>
          </w:p>
        </w:tc>
      </w:tr>
      <w:tr w:rsidR="00442255" w:rsidRPr="00005453" w14:paraId="1E423A31" w14:textId="77777777" w:rsidTr="00442255">
        <w:trPr>
          <w:divId w:val="243074251"/>
          <w:trHeight w:val="66"/>
        </w:trPr>
        <w:tc>
          <w:tcPr>
            <w:tcW w:w="3472" w:type="dxa"/>
            <w:tcBorders>
              <w:top w:val="nil"/>
              <w:left w:val="nil"/>
              <w:bottom w:val="nil"/>
              <w:right w:val="nil"/>
            </w:tcBorders>
            <w:shd w:val="clear" w:color="auto" w:fill="auto"/>
            <w:vAlign w:val="center"/>
            <w:hideMark/>
          </w:tcPr>
          <w:p w14:paraId="4768362C" w14:textId="77777777" w:rsidR="00442255" w:rsidRPr="00005453" w:rsidRDefault="00442255" w:rsidP="00442255">
            <w:pPr>
              <w:ind w:firstLineChars="100" w:firstLine="140"/>
              <w:rPr>
                <w:color w:val="000000"/>
                <w:sz w:val="14"/>
                <w:szCs w:val="14"/>
                <w:lang w:eastAsia="tr-TR"/>
              </w:rPr>
            </w:pPr>
            <w:r w:rsidRPr="00005453">
              <w:rPr>
                <w:color w:val="000000"/>
                <w:sz w:val="14"/>
                <w:szCs w:val="14"/>
                <w:lang w:eastAsia="tr-TR"/>
              </w:rPr>
              <w:t xml:space="preserve">Yurt dışında </w:t>
            </w:r>
            <w:proofErr w:type="gramStart"/>
            <w:r w:rsidRPr="00005453">
              <w:rPr>
                <w:color w:val="000000"/>
                <w:sz w:val="14"/>
                <w:szCs w:val="14"/>
                <w:lang w:eastAsia="tr-TR"/>
              </w:rPr>
              <w:t>yer.K</w:t>
            </w:r>
            <w:proofErr w:type="gramEnd"/>
          </w:p>
        </w:tc>
        <w:tc>
          <w:tcPr>
            <w:tcW w:w="840" w:type="dxa"/>
            <w:tcBorders>
              <w:top w:val="nil"/>
              <w:left w:val="nil"/>
              <w:bottom w:val="nil"/>
              <w:right w:val="nil"/>
            </w:tcBorders>
            <w:shd w:val="clear" w:color="auto" w:fill="auto"/>
            <w:vAlign w:val="center"/>
            <w:hideMark/>
          </w:tcPr>
          <w:p w14:paraId="03F30543" w14:textId="580A726E" w:rsidR="00442255" w:rsidRPr="00005453" w:rsidRDefault="00442255" w:rsidP="00442255">
            <w:pPr>
              <w:jc w:val="right"/>
              <w:rPr>
                <w:color w:val="000000"/>
                <w:sz w:val="14"/>
                <w:szCs w:val="14"/>
                <w:lang w:eastAsia="tr-TR"/>
              </w:rPr>
            </w:pPr>
            <w:r w:rsidRPr="00005453">
              <w:rPr>
                <w:sz w:val="14"/>
                <w:szCs w:val="14"/>
                <w:lang w:eastAsia="tr-TR"/>
              </w:rPr>
              <w:t>-</w:t>
            </w:r>
          </w:p>
        </w:tc>
        <w:tc>
          <w:tcPr>
            <w:tcW w:w="804" w:type="dxa"/>
            <w:tcBorders>
              <w:top w:val="nil"/>
              <w:left w:val="nil"/>
              <w:bottom w:val="nil"/>
              <w:right w:val="nil"/>
            </w:tcBorders>
            <w:shd w:val="clear" w:color="auto" w:fill="auto"/>
            <w:vAlign w:val="center"/>
            <w:hideMark/>
          </w:tcPr>
          <w:p w14:paraId="1D1D9590" w14:textId="3794C1B1" w:rsidR="00442255" w:rsidRPr="00005453" w:rsidRDefault="00442255" w:rsidP="00442255">
            <w:pPr>
              <w:jc w:val="right"/>
              <w:rPr>
                <w:color w:val="000000"/>
                <w:sz w:val="14"/>
                <w:szCs w:val="14"/>
                <w:lang w:eastAsia="tr-TR"/>
              </w:rPr>
            </w:pPr>
            <w:r w:rsidRPr="00005453">
              <w:rPr>
                <w:sz w:val="14"/>
                <w:szCs w:val="14"/>
                <w:lang w:eastAsia="tr-TR"/>
              </w:rPr>
              <w:t>-</w:t>
            </w:r>
          </w:p>
        </w:tc>
        <w:tc>
          <w:tcPr>
            <w:tcW w:w="805" w:type="dxa"/>
            <w:tcBorders>
              <w:top w:val="nil"/>
              <w:left w:val="nil"/>
              <w:bottom w:val="nil"/>
              <w:right w:val="nil"/>
            </w:tcBorders>
            <w:shd w:val="clear" w:color="auto" w:fill="auto"/>
            <w:vAlign w:val="center"/>
            <w:hideMark/>
          </w:tcPr>
          <w:p w14:paraId="12FF6DF6" w14:textId="454D66BC"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6C2A3621" w14:textId="36B9E25B" w:rsidR="00442255" w:rsidRPr="00005453" w:rsidRDefault="00442255" w:rsidP="00442255">
            <w:pPr>
              <w:jc w:val="right"/>
              <w:rPr>
                <w:color w:val="000000"/>
                <w:sz w:val="14"/>
                <w:szCs w:val="14"/>
                <w:lang w:eastAsia="tr-TR"/>
              </w:rPr>
            </w:pPr>
            <w:r w:rsidRPr="00005453">
              <w:rPr>
                <w:sz w:val="14"/>
                <w:szCs w:val="14"/>
                <w:lang w:eastAsia="tr-TR"/>
              </w:rPr>
              <w:t>-</w:t>
            </w:r>
          </w:p>
        </w:tc>
        <w:tc>
          <w:tcPr>
            <w:tcW w:w="498" w:type="dxa"/>
            <w:tcBorders>
              <w:top w:val="nil"/>
              <w:left w:val="nil"/>
              <w:bottom w:val="nil"/>
              <w:right w:val="nil"/>
            </w:tcBorders>
            <w:shd w:val="clear" w:color="auto" w:fill="auto"/>
            <w:vAlign w:val="center"/>
            <w:hideMark/>
          </w:tcPr>
          <w:p w14:paraId="2A6B7FEF" w14:textId="31A72263" w:rsidR="00442255" w:rsidRPr="00005453" w:rsidRDefault="00442255" w:rsidP="00442255">
            <w:pPr>
              <w:jc w:val="right"/>
              <w:rPr>
                <w:color w:val="000000"/>
                <w:sz w:val="14"/>
                <w:szCs w:val="14"/>
                <w:lang w:eastAsia="tr-TR"/>
              </w:rPr>
            </w:pPr>
            <w:r w:rsidRPr="00005453">
              <w:rPr>
                <w:sz w:val="14"/>
                <w:szCs w:val="14"/>
                <w:lang w:eastAsia="tr-TR"/>
              </w:rPr>
              <w:t>-</w:t>
            </w:r>
          </w:p>
        </w:tc>
        <w:tc>
          <w:tcPr>
            <w:tcW w:w="770" w:type="dxa"/>
            <w:tcBorders>
              <w:top w:val="nil"/>
              <w:left w:val="nil"/>
              <w:bottom w:val="nil"/>
              <w:right w:val="nil"/>
            </w:tcBorders>
            <w:shd w:val="clear" w:color="auto" w:fill="auto"/>
            <w:vAlign w:val="center"/>
            <w:hideMark/>
          </w:tcPr>
          <w:p w14:paraId="7917B5AF" w14:textId="4BED1383" w:rsidR="00442255" w:rsidRPr="00005453" w:rsidRDefault="00442255" w:rsidP="00442255">
            <w:pPr>
              <w:jc w:val="right"/>
              <w:rPr>
                <w:color w:val="000000"/>
                <w:sz w:val="14"/>
                <w:szCs w:val="14"/>
                <w:lang w:eastAsia="tr-TR"/>
              </w:rPr>
            </w:pPr>
            <w:r w:rsidRPr="00005453">
              <w:rPr>
                <w:sz w:val="14"/>
                <w:szCs w:val="14"/>
                <w:lang w:eastAsia="tr-TR"/>
              </w:rPr>
              <w:t>-</w:t>
            </w:r>
          </w:p>
        </w:tc>
        <w:tc>
          <w:tcPr>
            <w:tcW w:w="745" w:type="dxa"/>
            <w:tcBorders>
              <w:top w:val="nil"/>
              <w:left w:val="nil"/>
              <w:bottom w:val="nil"/>
              <w:right w:val="nil"/>
            </w:tcBorders>
            <w:shd w:val="clear" w:color="auto" w:fill="auto"/>
            <w:vAlign w:val="center"/>
            <w:hideMark/>
          </w:tcPr>
          <w:p w14:paraId="1DA1EDD1" w14:textId="18D86D53" w:rsidR="00442255" w:rsidRPr="00005453" w:rsidRDefault="00442255" w:rsidP="00442255">
            <w:pPr>
              <w:jc w:val="right"/>
              <w:rPr>
                <w:color w:val="000000"/>
                <w:sz w:val="14"/>
                <w:szCs w:val="14"/>
                <w:lang w:eastAsia="tr-TR"/>
              </w:rPr>
            </w:pPr>
            <w:r w:rsidRPr="00005453">
              <w:rPr>
                <w:sz w:val="14"/>
                <w:szCs w:val="14"/>
                <w:lang w:eastAsia="tr-TR"/>
              </w:rPr>
              <w:t>-</w:t>
            </w:r>
          </w:p>
        </w:tc>
        <w:tc>
          <w:tcPr>
            <w:tcW w:w="708" w:type="dxa"/>
            <w:tcBorders>
              <w:top w:val="nil"/>
              <w:left w:val="nil"/>
              <w:bottom w:val="nil"/>
              <w:right w:val="nil"/>
            </w:tcBorders>
            <w:shd w:val="clear" w:color="auto" w:fill="auto"/>
            <w:vAlign w:val="center"/>
            <w:hideMark/>
          </w:tcPr>
          <w:p w14:paraId="682D2C7C" w14:textId="4FFB4ED4" w:rsidR="00442255" w:rsidRPr="00005453" w:rsidRDefault="00442255" w:rsidP="00442255">
            <w:pPr>
              <w:jc w:val="right"/>
              <w:rPr>
                <w:color w:val="000000"/>
                <w:sz w:val="14"/>
                <w:szCs w:val="14"/>
                <w:lang w:eastAsia="tr-TR"/>
              </w:rPr>
            </w:pPr>
            <w:r w:rsidRPr="00005453">
              <w:rPr>
                <w:sz w:val="14"/>
                <w:szCs w:val="14"/>
                <w:lang w:eastAsia="tr-TR"/>
              </w:rPr>
              <w:t>-</w:t>
            </w:r>
          </w:p>
        </w:tc>
        <w:tc>
          <w:tcPr>
            <w:tcW w:w="840" w:type="dxa"/>
            <w:tcBorders>
              <w:top w:val="nil"/>
              <w:left w:val="nil"/>
              <w:bottom w:val="nil"/>
              <w:right w:val="nil"/>
            </w:tcBorders>
            <w:shd w:val="clear" w:color="auto" w:fill="auto"/>
            <w:vAlign w:val="center"/>
            <w:hideMark/>
          </w:tcPr>
          <w:p w14:paraId="28108EC7" w14:textId="1EDA5CF6" w:rsidR="00442255" w:rsidRPr="00005453" w:rsidRDefault="00442255" w:rsidP="00442255">
            <w:pPr>
              <w:jc w:val="right"/>
              <w:rPr>
                <w:color w:val="000000"/>
                <w:sz w:val="14"/>
                <w:szCs w:val="14"/>
                <w:lang w:eastAsia="tr-TR"/>
              </w:rPr>
            </w:pPr>
            <w:r w:rsidRPr="00005453">
              <w:rPr>
                <w:sz w:val="14"/>
                <w:szCs w:val="14"/>
              </w:rPr>
              <w:t>-</w:t>
            </w:r>
          </w:p>
        </w:tc>
      </w:tr>
      <w:tr w:rsidR="00B32D02" w:rsidRPr="00005453" w14:paraId="4B8D5305" w14:textId="77777777" w:rsidTr="00442255">
        <w:trPr>
          <w:divId w:val="243074251"/>
          <w:trHeight w:val="57"/>
        </w:trPr>
        <w:tc>
          <w:tcPr>
            <w:tcW w:w="3472" w:type="dxa"/>
            <w:tcBorders>
              <w:top w:val="nil"/>
              <w:left w:val="nil"/>
              <w:bottom w:val="single" w:sz="8" w:space="0" w:color="000000"/>
              <w:right w:val="nil"/>
            </w:tcBorders>
            <w:shd w:val="clear" w:color="auto" w:fill="auto"/>
            <w:vAlign w:val="center"/>
            <w:hideMark/>
          </w:tcPr>
          <w:p w14:paraId="6DBF31BB" w14:textId="12776C7F" w:rsidR="00B32D02" w:rsidRPr="00005453" w:rsidRDefault="00B32D02" w:rsidP="00B32D02">
            <w:pPr>
              <w:ind w:firstLineChars="100" w:firstLine="60"/>
              <w:rPr>
                <w:color w:val="000000"/>
                <w:sz w:val="6"/>
                <w:szCs w:val="6"/>
                <w:lang w:eastAsia="tr-TR"/>
              </w:rPr>
            </w:pPr>
          </w:p>
        </w:tc>
        <w:tc>
          <w:tcPr>
            <w:tcW w:w="840" w:type="dxa"/>
            <w:tcBorders>
              <w:top w:val="nil"/>
              <w:left w:val="nil"/>
              <w:bottom w:val="single" w:sz="8" w:space="0" w:color="000000"/>
              <w:right w:val="nil"/>
            </w:tcBorders>
            <w:shd w:val="clear" w:color="auto" w:fill="auto"/>
            <w:vAlign w:val="center"/>
            <w:hideMark/>
          </w:tcPr>
          <w:p w14:paraId="5AE3BB28" w14:textId="0A89EE96" w:rsidR="00B32D02" w:rsidRPr="00005453" w:rsidRDefault="00B32D02" w:rsidP="00B32D02">
            <w:pPr>
              <w:jc w:val="right"/>
              <w:rPr>
                <w:color w:val="000000"/>
                <w:sz w:val="6"/>
                <w:szCs w:val="6"/>
                <w:lang w:eastAsia="tr-TR"/>
              </w:rPr>
            </w:pPr>
          </w:p>
        </w:tc>
        <w:tc>
          <w:tcPr>
            <w:tcW w:w="804" w:type="dxa"/>
            <w:tcBorders>
              <w:top w:val="nil"/>
              <w:left w:val="nil"/>
              <w:bottom w:val="single" w:sz="8" w:space="0" w:color="000000"/>
              <w:right w:val="nil"/>
            </w:tcBorders>
            <w:shd w:val="clear" w:color="auto" w:fill="auto"/>
            <w:vAlign w:val="center"/>
            <w:hideMark/>
          </w:tcPr>
          <w:p w14:paraId="6D8FE0D8" w14:textId="6892B34A" w:rsidR="00B32D02" w:rsidRPr="00005453" w:rsidRDefault="00B32D02" w:rsidP="00B32D02">
            <w:pPr>
              <w:jc w:val="right"/>
              <w:rPr>
                <w:color w:val="000000"/>
                <w:sz w:val="6"/>
                <w:szCs w:val="6"/>
                <w:lang w:eastAsia="tr-TR"/>
              </w:rPr>
            </w:pPr>
          </w:p>
        </w:tc>
        <w:tc>
          <w:tcPr>
            <w:tcW w:w="805" w:type="dxa"/>
            <w:tcBorders>
              <w:top w:val="nil"/>
              <w:left w:val="nil"/>
              <w:bottom w:val="nil"/>
              <w:right w:val="nil"/>
            </w:tcBorders>
            <w:shd w:val="clear" w:color="auto" w:fill="auto"/>
            <w:vAlign w:val="center"/>
            <w:hideMark/>
          </w:tcPr>
          <w:p w14:paraId="43B1AD36" w14:textId="5EF50851" w:rsidR="00B32D02" w:rsidRPr="00005453" w:rsidRDefault="00B32D02" w:rsidP="00B32D02">
            <w:pPr>
              <w:jc w:val="right"/>
              <w:rPr>
                <w:color w:val="000000"/>
                <w:sz w:val="6"/>
                <w:szCs w:val="6"/>
                <w:lang w:eastAsia="tr-TR"/>
              </w:rPr>
            </w:pPr>
          </w:p>
        </w:tc>
        <w:tc>
          <w:tcPr>
            <w:tcW w:w="745" w:type="dxa"/>
            <w:tcBorders>
              <w:top w:val="nil"/>
              <w:left w:val="nil"/>
              <w:bottom w:val="single" w:sz="8" w:space="0" w:color="auto"/>
              <w:right w:val="nil"/>
            </w:tcBorders>
            <w:shd w:val="clear" w:color="auto" w:fill="auto"/>
            <w:vAlign w:val="center"/>
            <w:hideMark/>
          </w:tcPr>
          <w:p w14:paraId="124EDC71" w14:textId="794CF944" w:rsidR="00B32D02" w:rsidRPr="00005453" w:rsidRDefault="00B32D02" w:rsidP="00B32D02">
            <w:pPr>
              <w:jc w:val="right"/>
              <w:rPr>
                <w:color w:val="000000"/>
                <w:sz w:val="6"/>
                <w:szCs w:val="6"/>
                <w:lang w:eastAsia="tr-TR"/>
              </w:rPr>
            </w:pPr>
          </w:p>
        </w:tc>
        <w:tc>
          <w:tcPr>
            <w:tcW w:w="498" w:type="dxa"/>
            <w:tcBorders>
              <w:top w:val="nil"/>
              <w:left w:val="nil"/>
              <w:bottom w:val="nil"/>
              <w:right w:val="nil"/>
            </w:tcBorders>
            <w:shd w:val="clear" w:color="auto" w:fill="auto"/>
            <w:vAlign w:val="center"/>
            <w:hideMark/>
          </w:tcPr>
          <w:p w14:paraId="766B9D22" w14:textId="77777777" w:rsidR="00B32D02" w:rsidRPr="00005453" w:rsidRDefault="00B32D02" w:rsidP="00B32D02">
            <w:pPr>
              <w:jc w:val="right"/>
              <w:rPr>
                <w:color w:val="000000"/>
                <w:sz w:val="6"/>
                <w:szCs w:val="6"/>
                <w:lang w:eastAsia="tr-TR"/>
              </w:rPr>
            </w:pPr>
          </w:p>
        </w:tc>
        <w:tc>
          <w:tcPr>
            <w:tcW w:w="770" w:type="dxa"/>
            <w:tcBorders>
              <w:top w:val="nil"/>
              <w:left w:val="nil"/>
              <w:bottom w:val="nil"/>
              <w:right w:val="nil"/>
            </w:tcBorders>
            <w:shd w:val="clear" w:color="auto" w:fill="auto"/>
            <w:vAlign w:val="center"/>
            <w:hideMark/>
          </w:tcPr>
          <w:p w14:paraId="19782980" w14:textId="77777777" w:rsidR="00B32D02" w:rsidRPr="00005453" w:rsidRDefault="00B32D02" w:rsidP="00B32D02">
            <w:pPr>
              <w:jc w:val="right"/>
              <w:rPr>
                <w:color w:val="000000"/>
                <w:sz w:val="6"/>
                <w:szCs w:val="6"/>
                <w:lang w:eastAsia="tr-TR"/>
              </w:rPr>
            </w:pPr>
          </w:p>
        </w:tc>
        <w:tc>
          <w:tcPr>
            <w:tcW w:w="745" w:type="dxa"/>
            <w:tcBorders>
              <w:top w:val="nil"/>
              <w:left w:val="nil"/>
              <w:bottom w:val="nil"/>
              <w:right w:val="nil"/>
            </w:tcBorders>
            <w:shd w:val="clear" w:color="auto" w:fill="auto"/>
            <w:vAlign w:val="center"/>
            <w:hideMark/>
          </w:tcPr>
          <w:p w14:paraId="31DCC8A0" w14:textId="77777777" w:rsidR="00B32D02" w:rsidRPr="00005453" w:rsidRDefault="00B32D02" w:rsidP="00B32D02">
            <w:pPr>
              <w:jc w:val="right"/>
              <w:rPr>
                <w:color w:val="000000"/>
                <w:sz w:val="6"/>
                <w:szCs w:val="6"/>
                <w:lang w:eastAsia="tr-TR"/>
              </w:rPr>
            </w:pPr>
          </w:p>
        </w:tc>
        <w:tc>
          <w:tcPr>
            <w:tcW w:w="708" w:type="dxa"/>
            <w:tcBorders>
              <w:top w:val="nil"/>
              <w:left w:val="nil"/>
              <w:bottom w:val="nil"/>
              <w:right w:val="nil"/>
            </w:tcBorders>
            <w:shd w:val="clear" w:color="auto" w:fill="auto"/>
            <w:vAlign w:val="center"/>
            <w:hideMark/>
          </w:tcPr>
          <w:p w14:paraId="7E0973A5" w14:textId="77777777" w:rsidR="00B32D02" w:rsidRPr="00005453" w:rsidRDefault="00B32D02" w:rsidP="00B32D02">
            <w:pPr>
              <w:jc w:val="right"/>
              <w:rPr>
                <w:color w:val="000000"/>
                <w:sz w:val="6"/>
                <w:szCs w:val="6"/>
                <w:lang w:eastAsia="tr-TR"/>
              </w:rPr>
            </w:pPr>
          </w:p>
        </w:tc>
        <w:tc>
          <w:tcPr>
            <w:tcW w:w="840" w:type="dxa"/>
            <w:tcBorders>
              <w:top w:val="nil"/>
              <w:left w:val="nil"/>
              <w:bottom w:val="single" w:sz="8" w:space="0" w:color="000000"/>
              <w:right w:val="nil"/>
            </w:tcBorders>
            <w:shd w:val="clear" w:color="auto" w:fill="auto"/>
            <w:vAlign w:val="center"/>
            <w:hideMark/>
          </w:tcPr>
          <w:p w14:paraId="4BA672C2" w14:textId="1903B0D9" w:rsidR="00B32D02" w:rsidRPr="00005453" w:rsidRDefault="00B32D02" w:rsidP="00B32D02">
            <w:pPr>
              <w:jc w:val="right"/>
              <w:rPr>
                <w:color w:val="000000"/>
                <w:sz w:val="6"/>
                <w:szCs w:val="6"/>
                <w:lang w:eastAsia="tr-TR"/>
              </w:rPr>
            </w:pPr>
          </w:p>
        </w:tc>
      </w:tr>
      <w:tr w:rsidR="00442255" w:rsidRPr="00005453" w14:paraId="67284619" w14:textId="77777777" w:rsidTr="00442255">
        <w:trPr>
          <w:divId w:val="243074251"/>
          <w:trHeight w:val="103"/>
        </w:trPr>
        <w:tc>
          <w:tcPr>
            <w:tcW w:w="3472" w:type="dxa"/>
            <w:tcBorders>
              <w:top w:val="nil"/>
              <w:left w:val="nil"/>
              <w:bottom w:val="single" w:sz="8" w:space="0" w:color="auto"/>
              <w:right w:val="nil"/>
            </w:tcBorders>
            <w:shd w:val="clear" w:color="auto" w:fill="auto"/>
            <w:vAlign w:val="center"/>
            <w:hideMark/>
          </w:tcPr>
          <w:p w14:paraId="07B6B8CB" w14:textId="3DA43426" w:rsidR="00442255" w:rsidRPr="00005453" w:rsidRDefault="00442255" w:rsidP="00442255">
            <w:pPr>
              <w:ind w:firstLineChars="100" w:firstLine="141"/>
              <w:rPr>
                <w:b/>
                <w:bCs/>
                <w:color w:val="000000"/>
                <w:sz w:val="14"/>
                <w:szCs w:val="14"/>
                <w:lang w:eastAsia="tr-TR"/>
              </w:rPr>
            </w:pPr>
            <w:r w:rsidRPr="00005453">
              <w:rPr>
                <w:b/>
                <w:bCs/>
                <w:color w:val="000000"/>
                <w:sz w:val="14"/>
                <w:szCs w:val="14"/>
                <w:lang w:eastAsia="tr-TR"/>
              </w:rPr>
              <w:t>Toplam</w:t>
            </w:r>
          </w:p>
        </w:tc>
        <w:tc>
          <w:tcPr>
            <w:tcW w:w="840" w:type="dxa"/>
            <w:tcBorders>
              <w:top w:val="nil"/>
              <w:left w:val="nil"/>
              <w:bottom w:val="single" w:sz="8" w:space="0" w:color="auto"/>
              <w:right w:val="nil"/>
            </w:tcBorders>
            <w:shd w:val="clear" w:color="auto" w:fill="auto"/>
            <w:vAlign w:val="center"/>
            <w:hideMark/>
          </w:tcPr>
          <w:p w14:paraId="07DBEC49" w14:textId="3FB2D302" w:rsidR="00442255" w:rsidRPr="00005453" w:rsidRDefault="00442255" w:rsidP="00442255">
            <w:pPr>
              <w:jc w:val="right"/>
              <w:rPr>
                <w:b/>
                <w:bCs/>
                <w:color w:val="000000"/>
                <w:sz w:val="14"/>
                <w:szCs w:val="14"/>
                <w:lang w:eastAsia="tr-TR"/>
              </w:rPr>
            </w:pPr>
            <w:r w:rsidRPr="00005453">
              <w:rPr>
                <w:b/>
                <w:sz w:val="14"/>
                <w:szCs w:val="14"/>
              </w:rPr>
              <w:t>243,657,582</w:t>
            </w:r>
          </w:p>
        </w:tc>
        <w:tc>
          <w:tcPr>
            <w:tcW w:w="804" w:type="dxa"/>
            <w:tcBorders>
              <w:top w:val="nil"/>
              <w:left w:val="nil"/>
              <w:bottom w:val="single" w:sz="8" w:space="0" w:color="auto"/>
              <w:right w:val="nil"/>
            </w:tcBorders>
            <w:shd w:val="clear" w:color="auto" w:fill="auto"/>
            <w:vAlign w:val="center"/>
            <w:hideMark/>
          </w:tcPr>
          <w:p w14:paraId="1B046A43" w14:textId="5723D7B6" w:rsidR="00442255" w:rsidRPr="00005453" w:rsidRDefault="00442255" w:rsidP="00442255">
            <w:pPr>
              <w:jc w:val="right"/>
              <w:rPr>
                <w:b/>
                <w:bCs/>
                <w:color w:val="000000"/>
                <w:sz w:val="14"/>
                <w:szCs w:val="14"/>
                <w:lang w:eastAsia="tr-TR"/>
              </w:rPr>
            </w:pPr>
            <w:r w:rsidRPr="00005453">
              <w:rPr>
                <w:b/>
                <w:sz w:val="14"/>
                <w:szCs w:val="14"/>
              </w:rPr>
              <w:t>69,925,771</w:t>
            </w:r>
          </w:p>
        </w:tc>
        <w:tc>
          <w:tcPr>
            <w:tcW w:w="805" w:type="dxa"/>
            <w:tcBorders>
              <w:top w:val="single" w:sz="8" w:space="0" w:color="auto"/>
              <w:left w:val="nil"/>
              <w:bottom w:val="single" w:sz="8" w:space="0" w:color="auto"/>
              <w:right w:val="nil"/>
            </w:tcBorders>
            <w:shd w:val="clear" w:color="auto" w:fill="auto"/>
            <w:vAlign w:val="center"/>
            <w:hideMark/>
          </w:tcPr>
          <w:p w14:paraId="136D5998" w14:textId="38A20AA4" w:rsidR="00442255" w:rsidRPr="00005453" w:rsidRDefault="00442255" w:rsidP="00442255">
            <w:pPr>
              <w:jc w:val="right"/>
              <w:rPr>
                <w:b/>
                <w:bCs/>
                <w:color w:val="000000"/>
                <w:sz w:val="14"/>
                <w:szCs w:val="14"/>
                <w:lang w:eastAsia="tr-TR"/>
              </w:rPr>
            </w:pPr>
            <w:r w:rsidRPr="00005453">
              <w:rPr>
                <w:b/>
                <w:sz w:val="14"/>
                <w:szCs w:val="14"/>
              </w:rPr>
              <w:t>100,944,987</w:t>
            </w:r>
          </w:p>
        </w:tc>
        <w:tc>
          <w:tcPr>
            <w:tcW w:w="745" w:type="dxa"/>
            <w:tcBorders>
              <w:top w:val="nil"/>
              <w:left w:val="nil"/>
              <w:bottom w:val="single" w:sz="8" w:space="0" w:color="auto"/>
              <w:right w:val="nil"/>
            </w:tcBorders>
            <w:shd w:val="clear" w:color="auto" w:fill="auto"/>
            <w:vAlign w:val="center"/>
            <w:hideMark/>
          </w:tcPr>
          <w:p w14:paraId="6512DA1C" w14:textId="1296A388" w:rsidR="00442255" w:rsidRPr="00005453" w:rsidRDefault="00442255" w:rsidP="00442255">
            <w:pPr>
              <w:jc w:val="right"/>
              <w:rPr>
                <w:b/>
                <w:bCs/>
                <w:color w:val="000000"/>
                <w:sz w:val="14"/>
                <w:szCs w:val="14"/>
                <w:lang w:eastAsia="tr-TR"/>
              </w:rPr>
            </w:pPr>
            <w:r w:rsidRPr="00005453">
              <w:rPr>
                <w:b/>
                <w:sz w:val="14"/>
                <w:szCs w:val="14"/>
              </w:rPr>
              <w:t>13,715,074</w:t>
            </w:r>
          </w:p>
        </w:tc>
        <w:tc>
          <w:tcPr>
            <w:tcW w:w="498" w:type="dxa"/>
            <w:tcBorders>
              <w:top w:val="single" w:sz="8" w:space="0" w:color="auto"/>
              <w:left w:val="nil"/>
              <w:bottom w:val="single" w:sz="8" w:space="0" w:color="auto"/>
              <w:right w:val="nil"/>
            </w:tcBorders>
            <w:shd w:val="clear" w:color="auto" w:fill="auto"/>
            <w:vAlign w:val="center"/>
            <w:hideMark/>
          </w:tcPr>
          <w:p w14:paraId="1F463F5D" w14:textId="380C5579" w:rsidR="00442255" w:rsidRPr="00005453" w:rsidRDefault="00442255" w:rsidP="00442255">
            <w:pPr>
              <w:jc w:val="right"/>
              <w:rPr>
                <w:b/>
                <w:bCs/>
                <w:color w:val="000000"/>
                <w:sz w:val="14"/>
                <w:szCs w:val="14"/>
                <w:lang w:eastAsia="tr-TR"/>
              </w:rPr>
            </w:pPr>
            <w:r w:rsidRPr="00005453">
              <w:rPr>
                <w:b/>
                <w:bCs/>
                <w:sz w:val="14"/>
                <w:szCs w:val="14"/>
                <w:lang w:eastAsia="tr-TR"/>
              </w:rPr>
              <w:t>-</w:t>
            </w:r>
          </w:p>
        </w:tc>
        <w:tc>
          <w:tcPr>
            <w:tcW w:w="770" w:type="dxa"/>
            <w:tcBorders>
              <w:top w:val="single" w:sz="8" w:space="0" w:color="auto"/>
              <w:left w:val="nil"/>
              <w:bottom w:val="single" w:sz="8" w:space="0" w:color="auto"/>
              <w:right w:val="nil"/>
            </w:tcBorders>
            <w:shd w:val="clear" w:color="auto" w:fill="auto"/>
            <w:vAlign w:val="center"/>
            <w:hideMark/>
          </w:tcPr>
          <w:p w14:paraId="64F9886F" w14:textId="1654ED54" w:rsidR="00442255" w:rsidRPr="00005453" w:rsidRDefault="00442255" w:rsidP="00442255">
            <w:pPr>
              <w:jc w:val="right"/>
              <w:rPr>
                <w:b/>
                <w:bCs/>
                <w:color w:val="000000"/>
                <w:sz w:val="14"/>
                <w:szCs w:val="14"/>
                <w:lang w:eastAsia="tr-TR"/>
              </w:rPr>
            </w:pPr>
            <w:r w:rsidRPr="00005453">
              <w:rPr>
                <w:b/>
                <w:sz w:val="14"/>
                <w:szCs w:val="14"/>
              </w:rPr>
              <w:t>70,097,643</w:t>
            </w:r>
          </w:p>
        </w:tc>
        <w:tc>
          <w:tcPr>
            <w:tcW w:w="745" w:type="dxa"/>
            <w:tcBorders>
              <w:top w:val="single" w:sz="8" w:space="0" w:color="auto"/>
              <w:left w:val="nil"/>
              <w:bottom w:val="single" w:sz="8" w:space="0" w:color="auto"/>
              <w:right w:val="nil"/>
            </w:tcBorders>
            <w:shd w:val="clear" w:color="auto" w:fill="auto"/>
            <w:vAlign w:val="center"/>
            <w:hideMark/>
          </w:tcPr>
          <w:p w14:paraId="53F3E643" w14:textId="4291DF70" w:rsidR="00442255" w:rsidRPr="00005453" w:rsidRDefault="00442255" w:rsidP="00442255">
            <w:pPr>
              <w:jc w:val="right"/>
              <w:rPr>
                <w:b/>
                <w:bCs/>
                <w:color w:val="000000"/>
                <w:sz w:val="14"/>
                <w:szCs w:val="14"/>
                <w:lang w:eastAsia="tr-TR"/>
              </w:rPr>
            </w:pPr>
            <w:r w:rsidRPr="00005453">
              <w:rPr>
                <w:b/>
                <w:sz w:val="14"/>
                <w:szCs w:val="14"/>
              </w:rPr>
              <w:t>9,135,093</w:t>
            </w:r>
          </w:p>
        </w:tc>
        <w:tc>
          <w:tcPr>
            <w:tcW w:w="708" w:type="dxa"/>
            <w:tcBorders>
              <w:top w:val="single" w:sz="8" w:space="0" w:color="auto"/>
              <w:left w:val="nil"/>
              <w:bottom w:val="single" w:sz="8" w:space="0" w:color="auto"/>
              <w:right w:val="nil"/>
            </w:tcBorders>
            <w:shd w:val="clear" w:color="auto" w:fill="auto"/>
            <w:vAlign w:val="center"/>
            <w:hideMark/>
          </w:tcPr>
          <w:p w14:paraId="4ED56D4F" w14:textId="31782516" w:rsidR="00442255" w:rsidRPr="00005453" w:rsidRDefault="00442255" w:rsidP="00442255">
            <w:pPr>
              <w:jc w:val="right"/>
              <w:rPr>
                <w:b/>
                <w:bCs/>
                <w:color w:val="000000"/>
                <w:sz w:val="14"/>
                <w:szCs w:val="14"/>
                <w:lang w:eastAsia="tr-TR"/>
              </w:rPr>
            </w:pPr>
            <w:r w:rsidRPr="00005453">
              <w:rPr>
                <w:b/>
                <w:sz w:val="14"/>
                <w:szCs w:val="14"/>
              </w:rPr>
              <w:t>34,723</w:t>
            </w:r>
          </w:p>
        </w:tc>
        <w:tc>
          <w:tcPr>
            <w:tcW w:w="840" w:type="dxa"/>
            <w:tcBorders>
              <w:top w:val="nil"/>
              <w:left w:val="nil"/>
              <w:bottom w:val="single" w:sz="8" w:space="0" w:color="auto"/>
              <w:right w:val="nil"/>
            </w:tcBorders>
            <w:shd w:val="clear" w:color="auto" w:fill="auto"/>
            <w:vAlign w:val="center"/>
            <w:hideMark/>
          </w:tcPr>
          <w:p w14:paraId="6CCF48C9" w14:textId="7BD4F38C" w:rsidR="00442255" w:rsidRPr="00005453" w:rsidRDefault="00442255" w:rsidP="00442255">
            <w:pPr>
              <w:jc w:val="right"/>
              <w:rPr>
                <w:b/>
                <w:bCs/>
                <w:color w:val="000000"/>
                <w:sz w:val="14"/>
                <w:szCs w:val="14"/>
                <w:lang w:eastAsia="tr-TR"/>
              </w:rPr>
            </w:pPr>
            <w:r w:rsidRPr="00005453">
              <w:rPr>
                <w:b/>
                <w:sz w:val="14"/>
                <w:szCs w:val="14"/>
              </w:rPr>
              <w:t>507,510,873</w:t>
            </w:r>
          </w:p>
        </w:tc>
      </w:tr>
    </w:tbl>
    <w:p w14:paraId="6F18E346" w14:textId="6CFE6FCE" w:rsidR="00431F4D" w:rsidRPr="00005453" w:rsidRDefault="00431F4D" w:rsidP="00431F4D">
      <w:pPr>
        <w:pStyle w:val="EndnoteText"/>
        <w:autoSpaceDE w:val="0"/>
        <w:autoSpaceDN w:val="0"/>
        <w:adjustRightInd w:val="0"/>
        <w:rPr>
          <w:sz w:val="6"/>
          <w:szCs w:val="6"/>
        </w:rPr>
      </w:pPr>
    </w:p>
    <w:p w14:paraId="1B22AE69" w14:textId="04FF2A04" w:rsidR="000F096F" w:rsidRPr="00005453" w:rsidRDefault="00DB63BA" w:rsidP="00DB63BA">
      <w:pPr>
        <w:pStyle w:val="EndnoteText"/>
        <w:autoSpaceDE w:val="0"/>
        <w:autoSpaceDN w:val="0"/>
        <w:adjustRightInd w:val="0"/>
        <w:ind w:left="-709"/>
        <w:rPr>
          <w:rFonts w:eastAsia="Arial Unicode MS"/>
          <w:sz w:val="16"/>
          <w:szCs w:val="16"/>
        </w:rPr>
      </w:pPr>
      <w:r w:rsidRPr="00005453">
        <w:rPr>
          <w:rFonts w:eastAsia="Arial Unicode MS"/>
          <w:sz w:val="16"/>
          <w:szCs w:val="16"/>
        </w:rPr>
        <w:t xml:space="preserve">(*) </w:t>
      </w:r>
      <w:r w:rsidR="00E016F0" w:rsidRPr="00005453">
        <w:rPr>
          <w:rFonts w:eastAsia="Arial Unicode MS"/>
          <w:sz w:val="16"/>
          <w:szCs w:val="16"/>
        </w:rPr>
        <w:t>Banka’nın 7 gün ihbarlı hesabı bulunmamaktadır.</w:t>
      </w:r>
    </w:p>
    <w:bookmarkEnd w:id="86"/>
    <w:p w14:paraId="1C89C505" w14:textId="59E54C28" w:rsidR="008B1E20" w:rsidRPr="00005453" w:rsidRDefault="00783B2F" w:rsidP="00991C20">
      <w:pPr>
        <w:tabs>
          <w:tab w:val="left" w:pos="709"/>
        </w:tabs>
        <w:ind w:hanging="567"/>
        <w:jc w:val="both"/>
      </w:pPr>
      <w:r w:rsidRPr="00005453">
        <w:rPr>
          <w:rFonts w:eastAsia="Arial Unicode MS"/>
        </w:rPr>
        <w:br w:type="page"/>
      </w:r>
      <w:r w:rsidR="0003142E" w:rsidRPr="00005453">
        <w:rPr>
          <w:b/>
        </w:rPr>
        <w:lastRenderedPageBreak/>
        <w:t>2.1.2</w:t>
      </w:r>
      <w:r w:rsidR="0003142E" w:rsidRPr="00005453">
        <w:tab/>
      </w:r>
      <w:r w:rsidR="00E253C8" w:rsidRPr="00005453">
        <w:rPr>
          <w:spacing w:val="-6"/>
        </w:rPr>
        <w:t>Tasarruf mevduatına</w:t>
      </w:r>
      <w:r w:rsidR="00A42898" w:rsidRPr="00005453">
        <w:rPr>
          <w:spacing w:val="-6"/>
        </w:rPr>
        <w:t xml:space="preserve"> </w:t>
      </w:r>
      <w:r w:rsidR="00E253C8" w:rsidRPr="00005453">
        <w:rPr>
          <w:spacing w:val="-6"/>
        </w:rPr>
        <w:t>/</w:t>
      </w:r>
      <w:r w:rsidR="00A42898" w:rsidRPr="00005453">
        <w:rPr>
          <w:spacing w:val="-6"/>
        </w:rPr>
        <w:t xml:space="preserve"> </w:t>
      </w:r>
      <w:r w:rsidR="00E253C8" w:rsidRPr="00005453">
        <w:rPr>
          <w:spacing w:val="-6"/>
        </w:rPr>
        <w:t>Tasarruf Mevduatı Sigorta Fonu kapsamın</w:t>
      </w:r>
      <w:r w:rsidR="00991C20" w:rsidRPr="00005453">
        <w:rPr>
          <w:spacing w:val="-6"/>
        </w:rPr>
        <w:t xml:space="preserve">da bulunan özel cari ve katılma </w:t>
      </w:r>
      <w:r w:rsidR="00E253C8" w:rsidRPr="00005453">
        <w:rPr>
          <w:spacing w:val="-6"/>
        </w:rPr>
        <w:t>hesaplarına ilişkin bilgiler</w:t>
      </w:r>
      <w:r w:rsidR="00E253C8" w:rsidRPr="00005453">
        <w:t xml:space="preserve"> </w:t>
      </w:r>
    </w:p>
    <w:p w14:paraId="6C58003E" w14:textId="77777777" w:rsidR="000F096F" w:rsidRPr="00005453" w:rsidRDefault="000F096F" w:rsidP="001D18C1">
      <w:pPr>
        <w:tabs>
          <w:tab w:val="num" w:pos="2340"/>
          <w:tab w:val="num" w:pos="3060"/>
        </w:tabs>
        <w:autoSpaceDE w:val="0"/>
        <w:autoSpaceDN w:val="0"/>
        <w:adjustRightInd w:val="0"/>
        <w:jc w:val="both"/>
        <w:rPr>
          <w:sz w:val="16"/>
          <w:szCs w:val="16"/>
        </w:rPr>
      </w:pPr>
    </w:p>
    <w:p w14:paraId="070E49E8" w14:textId="4ADE5054" w:rsidR="000F096F" w:rsidRPr="00005453" w:rsidRDefault="0003142E" w:rsidP="0003142E">
      <w:pPr>
        <w:tabs>
          <w:tab w:val="num" w:pos="0"/>
          <w:tab w:val="num" w:pos="3060"/>
        </w:tabs>
        <w:autoSpaceDE w:val="0"/>
        <w:autoSpaceDN w:val="0"/>
        <w:adjustRightInd w:val="0"/>
        <w:ind w:left="93" w:hanging="660"/>
        <w:jc w:val="both"/>
      </w:pPr>
      <w:r w:rsidRPr="00005453">
        <w:rPr>
          <w:b/>
        </w:rPr>
        <w:t>2.1.2</w:t>
      </w:r>
      <w:r w:rsidR="00E253C8" w:rsidRPr="00005453">
        <w:rPr>
          <w:b/>
        </w:rPr>
        <w:t>.</w:t>
      </w:r>
      <w:r w:rsidRPr="00005453">
        <w:rPr>
          <w:b/>
        </w:rPr>
        <w:t>1</w:t>
      </w:r>
      <w:proofErr w:type="gramStart"/>
      <w:r w:rsidR="00E253C8" w:rsidRPr="00005453">
        <w:rPr>
          <w:b/>
        </w:rPr>
        <w:tab/>
      </w:r>
      <w:r w:rsidRPr="00005453">
        <w:t xml:space="preserve">  </w:t>
      </w:r>
      <w:r w:rsidR="00E253C8" w:rsidRPr="00005453">
        <w:t>Tasarruf</w:t>
      </w:r>
      <w:proofErr w:type="gramEnd"/>
      <w:r w:rsidR="00E253C8" w:rsidRPr="00005453">
        <w:t xml:space="preserve"> Mevduatı Sigorta Fonu kapsamında bulunan ve güvence limitini aşan ge</w:t>
      </w:r>
      <w:r w:rsidRPr="00005453">
        <w:t>rçek</w:t>
      </w:r>
      <w:r w:rsidR="003746E7" w:rsidRPr="00005453">
        <w:t xml:space="preserve"> ve tüzel</w:t>
      </w:r>
      <w:r w:rsidRPr="00005453">
        <w:t xml:space="preserve"> kişilerin ticari</w:t>
      </w:r>
      <w:r w:rsidR="00482DED" w:rsidRPr="00005453">
        <w:t xml:space="preserve"> </w:t>
      </w:r>
      <w:r w:rsidRPr="00005453">
        <w:t xml:space="preserve">işlemlere </w:t>
      </w:r>
      <w:r w:rsidR="00E253C8" w:rsidRPr="00005453">
        <w:t>konu olmayan özel cari ve katılma hesaplarına ilişkin bilgiler</w:t>
      </w:r>
    </w:p>
    <w:p w14:paraId="6BA565B2" w14:textId="7C65EB3D" w:rsidR="00906BF9" w:rsidRPr="00005453" w:rsidRDefault="00906BF9" w:rsidP="0003142E">
      <w:pPr>
        <w:tabs>
          <w:tab w:val="num" w:pos="0"/>
          <w:tab w:val="num" w:pos="3060"/>
        </w:tabs>
        <w:autoSpaceDE w:val="0"/>
        <w:autoSpaceDN w:val="0"/>
        <w:adjustRightInd w:val="0"/>
        <w:ind w:left="93" w:hanging="660"/>
        <w:jc w:val="both"/>
        <w:rPr>
          <w:lang w:eastAsia="en-GB"/>
        </w:rPr>
      </w:pPr>
    </w:p>
    <w:tbl>
      <w:tblPr>
        <w:tblW w:w="9546" w:type="dxa"/>
        <w:tblCellMar>
          <w:left w:w="70" w:type="dxa"/>
          <w:right w:w="70" w:type="dxa"/>
        </w:tblCellMar>
        <w:tblLook w:val="04A0" w:firstRow="1" w:lastRow="0" w:firstColumn="1" w:lastColumn="0" w:noHBand="0" w:noVBand="1"/>
      </w:tblPr>
      <w:tblGrid>
        <w:gridCol w:w="5665"/>
        <w:gridCol w:w="934"/>
        <w:gridCol w:w="6"/>
        <w:gridCol w:w="955"/>
        <w:gridCol w:w="6"/>
        <w:gridCol w:w="934"/>
        <w:gridCol w:w="6"/>
        <w:gridCol w:w="1034"/>
        <w:gridCol w:w="6"/>
      </w:tblGrid>
      <w:tr w:rsidR="00906BF9" w:rsidRPr="00005453" w14:paraId="21105F42" w14:textId="77777777" w:rsidTr="00B43506">
        <w:trPr>
          <w:divId w:val="1625193558"/>
          <w:trHeight w:val="184"/>
        </w:trPr>
        <w:tc>
          <w:tcPr>
            <w:tcW w:w="5665" w:type="dxa"/>
            <w:tcBorders>
              <w:top w:val="single" w:sz="4" w:space="0" w:color="auto"/>
              <w:left w:val="single" w:sz="4" w:space="0" w:color="auto"/>
              <w:bottom w:val="single" w:sz="4" w:space="0" w:color="auto"/>
              <w:right w:val="nil"/>
            </w:tcBorders>
            <w:shd w:val="clear" w:color="auto" w:fill="auto"/>
            <w:vAlign w:val="center"/>
            <w:hideMark/>
          </w:tcPr>
          <w:p w14:paraId="1EE14FB7" w14:textId="66126B25" w:rsidR="00906BF9" w:rsidRPr="00005453" w:rsidRDefault="00906BF9" w:rsidP="00B3249B">
            <w:pPr>
              <w:ind w:left="-217" w:firstLine="217"/>
              <w:jc w:val="both"/>
              <w:rPr>
                <w:color w:val="000000"/>
                <w:sz w:val="16"/>
                <w:szCs w:val="16"/>
                <w:lang w:eastAsia="tr-TR"/>
              </w:rPr>
            </w:pPr>
            <w:r w:rsidRPr="00005453">
              <w:rPr>
                <w:color w:val="000000"/>
                <w:sz w:val="16"/>
                <w:szCs w:val="16"/>
                <w:lang w:eastAsia="tr-TR"/>
              </w:rPr>
              <w:t> </w:t>
            </w:r>
          </w:p>
        </w:tc>
        <w:tc>
          <w:tcPr>
            <w:tcW w:w="1901" w:type="dxa"/>
            <w:gridSpan w:val="4"/>
            <w:tcBorders>
              <w:top w:val="single" w:sz="4" w:space="0" w:color="auto"/>
              <w:left w:val="nil"/>
              <w:bottom w:val="single" w:sz="4" w:space="0" w:color="auto"/>
              <w:right w:val="nil"/>
            </w:tcBorders>
            <w:shd w:val="clear" w:color="auto" w:fill="auto"/>
            <w:vAlign w:val="center"/>
            <w:hideMark/>
          </w:tcPr>
          <w:p w14:paraId="44BBF486" w14:textId="77777777" w:rsidR="00906BF9" w:rsidRPr="00005453" w:rsidRDefault="00906BF9" w:rsidP="00906BF9">
            <w:pPr>
              <w:jc w:val="center"/>
              <w:rPr>
                <w:b/>
                <w:bCs/>
                <w:color w:val="000000"/>
                <w:sz w:val="16"/>
                <w:szCs w:val="16"/>
                <w:lang w:eastAsia="tr-TR"/>
              </w:rPr>
            </w:pPr>
            <w:r w:rsidRPr="00005453">
              <w:rPr>
                <w:b/>
                <w:bCs/>
                <w:color w:val="000000"/>
                <w:sz w:val="16"/>
                <w:szCs w:val="16"/>
                <w:lang w:eastAsia="tr-TR"/>
              </w:rPr>
              <w:t>Tasarruf mevduat sigorta fonu kapsamında bulunan</w:t>
            </w:r>
          </w:p>
        </w:tc>
        <w:tc>
          <w:tcPr>
            <w:tcW w:w="1980" w:type="dxa"/>
            <w:gridSpan w:val="4"/>
            <w:tcBorders>
              <w:top w:val="single" w:sz="4" w:space="0" w:color="auto"/>
              <w:left w:val="nil"/>
              <w:bottom w:val="single" w:sz="4" w:space="0" w:color="auto"/>
              <w:right w:val="single" w:sz="4" w:space="0" w:color="auto"/>
            </w:tcBorders>
            <w:shd w:val="clear" w:color="auto" w:fill="auto"/>
            <w:vAlign w:val="center"/>
            <w:hideMark/>
          </w:tcPr>
          <w:p w14:paraId="79A098BC" w14:textId="77777777" w:rsidR="00906BF9" w:rsidRPr="00005453" w:rsidRDefault="00906BF9" w:rsidP="00906BF9">
            <w:pPr>
              <w:jc w:val="center"/>
              <w:rPr>
                <w:b/>
                <w:bCs/>
                <w:color w:val="000000"/>
                <w:sz w:val="16"/>
                <w:szCs w:val="16"/>
                <w:lang w:eastAsia="tr-TR"/>
              </w:rPr>
            </w:pPr>
            <w:r w:rsidRPr="00005453">
              <w:rPr>
                <w:b/>
                <w:bCs/>
                <w:color w:val="000000"/>
                <w:sz w:val="16"/>
                <w:szCs w:val="16"/>
                <w:lang w:eastAsia="tr-TR"/>
              </w:rPr>
              <w:t>Güvence limitini aşan</w:t>
            </w:r>
          </w:p>
        </w:tc>
      </w:tr>
      <w:tr w:rsidR="00906BF9" w:rsidRPr="00005453" w14:paraId="0F4E90D8" w14:textId="77777777" w:rsidTr="00B43506">
        <w:trPr>
          <w:divId w:val="1625193558"/>
          <w:trHeight w:val="322"/>
        </w:trPr>
        <w:tc>
          <w:tcPr>
            <w:tcW w:w="5665" w:type="dxa"/>
            <w:tcBorders>
              <w:top w:val="single" w:sz="4" w:space="0" w:color="auto"/>
              <w:left w:val="single" w:sz="4" w:space="0" w:color="auto"/>
              <w:bottom w:val="nil"/>
              <w:right w:val="nil"/>
            </w:tcBorders>
            <w:shd w:val="clear" w:color="auto" w:fill="auto"/>
            <w:vAlign w:val="center"/>
            <w:hideMark/>
          </w:tcPr>
          <w:p w14:paraId="0C231D4E" w14:textId="77777777" w:rsidR="00906BF9" w:rsidRPr="00005453" w:rsidRDefault="00906BF9" w:rsidP="00906BF9">
            <w:pPr>
              <w:jc w:val="center"/>
              <w:rPr>
                <w:b/>
                <w:bCs/>
                <w:color w:val="000000"/>
                <w:sz w:val="16"/>
                <w:szCs w:val="16"/>
                <w:lang w:eastAsia="tr-TR"/>
              </w:rPr>
            </w:pPr>
          </w:p>
        </w:tc>
        <w:tc>
          <w:tcPr>
            <w:tcW w:w="940" w:type="dxa"/>
            <w:gridSpan w:val="2"/>
            <w:tcBorders>
              <w:top w:val="single" w:sz="4" w:space="0" w:color="auto"/>
              <w:left w:val="nil"/>
              <w:bottom w:val="nil"/>
              <w:right w:val="nil"/>
            </w:tcBorders>
            <w:shd w:val="clear" w:color="auto" w:fill="auto"/>
            <w:vAlign w:val="center"/>
            <w:hideMark/>
          </w:tcPr>
          <w:p w14:paraId="3A27E0E6" w14:textId="77777777" w:rsidR="00906BF9" w:rsidRPr="00005453" w:rsidRDefault="00906BF9" w:rsidP="00906BF9">
            <w:pPr>
              <w:jc w:val="right"/>
              <w:rPr>
                <w:b/>
                <w:bCs/>
                <w:color w:val="000000"/>
                <w:sz w:val="16"/>
                <w:szCs w:val="16"/>
                <w:lang w:eastAsia="tr-TR"/>
              </w:rPr>
            </w:pPr>
            <w:r w:rsidRPr="00005453">
              <w:rPr>
                <w:b/>
                <w:bCs/>
                <w:color w:val="000000"/>
                <w:sz w:val="16"/>
                <w:szCs w:val="16"/>
                <w:lang w:eastAsia="tr-TR"/>
              </w:rPr>
              <w:t>Cari Dönem</w:t>
            </w:r>
          </w:p>
        </w:tc>
        <w:tc>
          <w:tcPr>
            <w:tcW w:w="961" w:type="dxa"/>
            <w:gridSpan w:val="2"/>
            <w:tcBorders>
              <w:top w:val="single" w:sz="4" w:space="0" w:color="auto"/>
              <w:left w:val="nil"/>
              <w:bottom w:val="nil"/>
              <w:right w:val="nil"/>
            </w:tcBorders>
            <w:shd w:val="clear" w:color="auto" w:fill="auto"/>
            <w:vAlign w:val="center"/>
            <w:hideMark/>
          </w:tcPr>
          <w:p w14:paraId="26EBADCD" w14:textId="77777777" w:rsidR="00906BF9" w:rsidRPr="00005453" w:rsidRDefault="00906BF9" w:rsidP="00906BF9">
            <w:pPr>
              <w:jc w:val="right"/>
              <w:rPr>
                <w:b/>
                <w:bCs/>
                <w:color w:val="000000"/>
                <w:sz w:val="16"/>
                <w:szCs w:val="16"/>
                <w:lang w:eastAsia="tr-TR"/>
              </w:rPr>
            </w:pPr>
            <w:r w:rsidRPr="00005453">
              <w:rPr>
                <w:b/>
                <w:bCs/>
                <w:color w:val="000000"/>
                <w:sz w:val="16"/>
                <w:szCs w:val="16"/>
                <w:lang w:eastAsia="tr-TR"/>
              </w:rPr>
              <w:t>Önceki Dönem</w:t>
            </w:r>
          </w:p>
        </w:tc>
        <w:tc>
          <w:tcPr>
            <w:tcW w:w="940" w:type="dxa"/>
            <w:gridSpan w:val="2"/>
            <w:tcBorders>
              <w:top w:val="single" w:sz="4" w:space="0" w:color="auto"/>
              <w:left w:val="nil"/>
              <w:bottom w:val="nil"/>
              <w:right w:val="nil"/>
            </w:tcBorders>
            <w:shd w:val="clear" w:color="auto" w:fill="auto"/>
            <w:vAlign w:val="center"/>
            <w:hideMark/>
          </w:tcPr>
          <w:p w14:paraId="3A774792" w14:textId="77777777" w:rsidR="00906BF9" w:rsidRPr="00005453" w:rsidRDefault="00906BF9" w:rsidP="00906BF9">
            <w:pPr>
              <w:jc w:val="right"/>
              <w:rPr>
                <w:b/>
                <w:bCs/>
                <w:color w:val="000000"/>
                <w:sz w:val="16"/>
                <w:szCs w:val="16"/>
                <w:lang w:eastAsia="tr-TR"/>
              </w:rPr>
            </w:pPr>
            <w:proofErr w:type="gramStart"/>
            <w:r w:rsidRPr="00005453">
              <w:rPr>
                <w:b/>
                <w:bCs/>
                <w:color w:val="000000"/>
                <w:sz w:val="16"/>
                <w:szCs w:val="16"/>
                <w:lang w:eastAsia="tr-TR"/>
              </w:rPr>
              <w:t>Cari  Dönem</w:t>
            </w:r>
            <w:proofErr w:type="gramEnd"/>
          </w:p>
        </w:tc>
        <w:tc>
          <w:tcPr>
            <w:tcW w:w="1040" w:type="dxa"/>
            <w:gridSpan w:val="2"/>
            <w:tcBorders>
              <w:top w:val="single" w:sz="4" w:space="0" w:color="auto"/>
              <w:left w:val="nil"/>
              <w:bottom w:val="nil"/>
              <w:right w:val="single" w:sz="4" w:space="0" w:color="auto"/>
            </w:tcBorders>
            <w:shd w:val="clear" w:color="auto" w:fill="auto"/>
            <w:vAlign w:val="center"/>
            <w:hideMark/>
          </w:tcPr>
          <w:p w14:paraId="0D018B6D" w14:textId="77777777" w:rsidR="00906BF9" w:rsidRPr="00005453" w:rsidRDefault="00906BF9" w:rsidP="00906BF9">
            <w:pPr>
              <w:jc w:val="right"/>
              <w:rPr>
                <w:b/>
                <w:bCs/>
                <w:color w:val="000000"/>
                <w:sz w:val="16"/>
                <w:szCs w:val="16"/>
                <w:lang w:eastAsia="tr-TR"/>
              </w:rPr>
            </w:pPr>
            <w:r w:rsidRPr="00005453">
              <w:rPr>
                <w:b/>
                <w:bCs/>
                <w:color w:val="000000"/>
                <w:sz w:val="16"/>
                <w:szCs w:val="16"/>
                <w:lang w:eastAsia="tr-TR"/>
              </w:rPr>
              <w:t>Önceki Dönem</w:t>
            </w:r>
          </w:p>
        </w:tc>
      </w:tr>
      <w:tr w:rsidR="00906BF9" w:rsidRPr="00005453" w14:paraId="1BA476A7" w14:textId="77777777" w:rsidTr="00B43506">
        <w:trPr>
          <w:gridAfter w:val="1"/>
          <w:divId w:val="1625193558"/>
          <w:wAfter w:w="6" w:type="dxa"/>
          <w:trHeight w:val="184"/>
        </w:trPr>
        <w:tc>
          <w:tcPr>
            <w:tcW w:w="6599" w:type="dxa"/>
            <w:gridSpan w:val="2"/>
            <w:tcBorders>
              <w:top w:val="nil"/>
              <w:left w:val="single" w:sz="4" w:space="0" w:color="auto"/>
              <w:bottom w:val="nil"/>
              <w:right w:val="nil"/>
            </w:tcBorders>
            <w:shd w:val="clear" w:color="auto" w:fill="auto"/>
            <w:noWrap/>
            <w:hideMark/>
          </w:tcPr>
          <w:p w14:paraId="54176371" w14:textId="4DBC8C58" w:rsidR="00906BF9" w:rsidRPr="00005453" w:rsidRDefault="00906BF9" w:rsidP="00906BF9">
            <w:pPr>
              <w:rPr>
                <w:color w:val="000000"/>
                <w:sz w:val="16"/>
                <w:szCs w:val="16"/>
                <w:lang w:eastAsia="tr-TR"/>
              </w:rPr>
            </w:pPr>
            <w:r w:rsidRPr="00005453">
              <w:rPr>
                <w:color w:val="000000"/>
                <w:sz w:val="16"/>
                <w:szCs w:val="16"/>
                <w:lang w:eastAsia="tr-TR"/>
              </w:rPr>
              <w:t>Gerçek</w:t>
            </w:r>
            <w:r w:rsidR="003746E7" w:rsidRPr="00005453">
              <w:rPr>
                <w:color w:val="000000"/>
                <w:sz w:val="16"/>
                <w:szCs w:val="16"/>
                <w:lang w:eastAsia="tr-TR"/>
              </w:rPr>
              <w:t xml:space="preserve"> ve tüz</w:t>
            </w:r>
            <w:r w:rsidR="0000738C" w:rsidRPr="00005453">
              <w:rPr>
                <w:color w:val="000000"/>
                <w:sz w:val="16"/>
                <w:szCs w:val="16"/>
                <w:lang w:eastAsia="tr-TR"/>
              </w:rPr>
              <w:t>e</w:t>
            </w:r>
            <w:r w:rsidR="003746E7" w:rsidRPr="00005453">
              <w:rPr>
                <w:color w:val="000000"/>
                <w:sz w:val="16"/>
                <w:szCs w:val="16"/>
                <w:lang w:eastAsia="tr-TR"/>
              </w:rPr>
              <w:t>l</w:t>
            </w:r>
            <w:r w:rsidRPr="00005453">
              <w:rPr>
                <w:color w:val="000000"/>
                <w:sz w:val="16"/>
                <w:szCs w:val="16"/>
                <w:lang w:eastAsia="tr-TR"/>
              </w:rPr>
              <w:t xml:space="preserve"> kişilerin ticari işlemlere konu olmayan özel cari ve katılma hesapları</w:t>
            </w:r>
          </w:p>
        </w:tc>
        <w:tc>
          <w:tcPr>
            <w:tcW w:w="961" w:type="dxa"/>
            <w:gridSpan w:val="2"/>
            <w:tcBorders>
              <w:top w:val="nil"/>
              <w:left w:val="nil"/>
              <w:bottom w:val="nil"/>
              <w:right w:val="nil"/>
            </w:tcBorders>
            <w:shd w:val="clear" w:color="auto" w:fill="auto"/>
            <w:vAlign w:val="center"/>
            <w:hideMark/>
          </w:tcPr>
          <w:p w14:paraId="204ED000" w14:textId="77777777" w:rsidR="00906BF9" w:rsidRPr="00005453" w:rsidRDefault="00906BF9" w:rsidP="00906BF9">
            <w:pPr>
              <w:rPr>
                <w:color w:val="000000"/>
                <w:sz w:val="16"/>
                <w:szCs w:val="16"/>
                <w:lang w:eastAsia="tr-TR"/>
              </w:rPr>
            </w:pPr>
          </w:p>
        </w:tc>
        <w:tc>
          <w:tcPr>
            <w:tcW w:w="940" w:type="dxa"/>
            <w:gridSpan w:val="2"/>
            <w:tcBorders>
              <w:top w:val="nil"/>
              <w:left w:val="nil"/>
              <w:bottom w:val="nil"/>
              <w:right w:val="nil"/>
            </w:tcBorders>
            <w:shd w:val="clear" w:color="auto" w:fill="auto"/>
            <w:noWrap/>
            <w:vAlign w:val="center"/>
            <w:hideMark/>
          </w:tcPr>
          <w:p w14:paraId="0A8E63B3" w14:textId="77777777" w:rsidR="00906BF9" w:rsidRPr="00005453" w:rsidRDefault="00906BF9" w:rsidP="00906BF9">
            <w:pPr>
              <w:jc w:val="right"/>
              <w:rPr>
                <w:sz w:val="16"/>
                <w:szCs w:val="16"/>
                <w:lang w:eastAsia="tr-TR"/>
              </w:rPr>
            </w:pPr>
          </w:p>
        </w:tc>
        <w:tc>
          <w:tcPr>
            <w:tcW w:w="1040" w:type="dxa"/>
            <w:gridSpan w:val="2"/>
            <w:tcBorders>
              <w:top w:val="nil"/>
              <w:left w:val="nil"/>
              <w:bottom w:val="nil"/>
              <w:right w:val="single" w:sz="4" w:space="0" w:color="auto"/>
            </w:tcBorders>
            <w:shd w:val="clear" w:color="auto" w:fill="auto"/>
            <w:noWrap/>
            <w:vAlign w:val="center"/>
            <w:hideMark/>
          </w:tcPr>
          <w:p w14:paraId="13937963" w14:textId="77777777" w:rsidR="00906BF9" w:rsidRPr="00005453" w:rsidRDefault="00906BF9" w:rsidP="00906BF9">
            <w:pPr>
              <w:jc w:val="right"/>
              <w:rPr>
                <w:sz w:val="16"/>
                <w:szCs w:val="16"/>
                <w:lang w:eastAsia="tr-TR"/>
              </w:rPr>
            </w:pPr>
          </w:p>
        </w:tc>
      </w:tr>
      <w:tr w:rsidR="00AA31DF" w:rsidRPr="00005453" w14:paraId="41E62138" w14:textId="77777777" w:rsidTr="00B43506">
        <w:trPr>
          <w:divId w:val="1625193558"/>
          <w:trHeight w:val="184"/>
        </w:trPr>
        <w:tc>
          <w:tcPr>
            <w:tcW w:w="5665" w:type="dxa"/>
            <w:tcBorders>
              <w:top w:val="nil"/>
              <w:left w:val="single" w:sz="4" w:space="0" w:color="auto"/>
              <w:bottom w:val="nil"/>
              <w:right w:val="nil"/>
            </w:tcBorders>
            <w:shd w:val="clear" w:color="auto" w:fill="auto"/>
            <w:noWrap/>
            <w:hideMark/>
          </w:tcPr>
          <w:p w14:paraId="0F68942D" w14:textId="77777777" w:rsidR="00AA31DF" w:rsidRPr="00005453" w:rsidRDefault="00AA31DF" w:rsidP="00AA31DF">
            <w:pPr>
              <w:ind w:firstLineChars="100" w:firstLine="160"/>
              <w:rPr>
                <w:color w:val="000000"/>
                <w:sz w:val="16"/>
                <w:szCs w:val="16"/>
                <w:lang w:eastAsia="tr-TR"/>
              </w:rPr>
            </w:pPr>
            <w:r w:rsidRPr="00005453">
              <w:rPr>
                <w:color w:val="000000"/>
                <w:sz w:val="16"/>
                <w:szCs w:val="16"/>
                <w:lang w:eastAsia="tr-TR"/>
              </w:rPr>
              <w:t>Türk parası cinsinden hesaplar</w:t>
            </w:r>
          </w:p>
        </w:tc>
        <w:tc>
          <w:tcPr>
            <w:tcW w:w="940" w:type="dxa"/>
            <w:gridSpan w:val="2"/>
            <w:tcBorders>
              <w:top w:val="nil"/>
              <w:left w:val="nil"/>
              <w:bottom w:val="nil"/>
              <w:right w:val="nil"/>
            </w:tcBorders>
            <w:shd w:val="clear" w:color="auto" w:fill="auto"/>
            <w:vAlign w:val="center"/>
            <w:hideMark/>
          </w:tcPr>
          <w:p w14:paraId="3A093BF8" w14:textId="5E7E1DBD" w:rsidR="00AA31DF" w:rsidRPr="00005453" w:rsidRDefault="00AA31DF" w:rsidP="00AA31DF">
            <w:pPr>
              <w:jc w:val="right"/>
              <w:rPr>
                <w:color w:val="000000"/>
                <w:sz w:val="16"/>
                <w:szCs w:val="16"/>
                <w:lang w:eastAsia="tr-TR"/>
              </w:rPr>
            </w:pPr>
            <w:r w:rsidRPr="00005453">
              <w:rPr>
                <w:bCs/>
                <w:sz w:val="16"/>
                <w:szCs w:val="18"/>
              </w:rPr>
              <w:t>96,653,891</w:t>
            </w:r>
          </w:p>
        </w:tc>
        <w:tc>
          <w:tcPr>
            <w:tcW w:w="961" w:type="dxa"/>
            <w:gridSpan w:val="2"/>
            <w:tcBorders>
              <w:top w:val="nil"/>
              <w:left w:val="nil"/>
              <w:bottom w:val="nil"/>
              <w:right w:val="nil"/>
            </w:tcBorders>
            <w:shd w:val="clear" w:color="auto" w:fill="auto"/>
            <w:vAlign w:val="center"/>
            <w:hideMark/>
          </w:tcPr>
          <w:p w14:paraId="0F4E66B9" w14:textId="62E50A56" w:rsidR="00AA31DF" w:rsidRPr="00005453" w:rsidRDefault="00AA31DF" w:rsidP="00AA31DF">
            <w:pPr>
              <w:jc w:val="right"/>
              <w:rPr>
                <w:color w:val="000000"/>
                <w:sz w:val="16"/>
                <w:szCs w:val="16"/>
                <w:lang w:eastAsia="tr-TR"/>
              </w:rPr>
            </w:pPr>
            <w:r w:rsidRPr="00005453">
              <w:rPr>
                <w:color w:val="000000"/>
                <w:sz w:val="16"/>
                <w:szCs w:val="16"/>
                <w:lang w:eastAsia="tr-TR"/>
              </w:rPr>
              <w:t>69,519,844</w:t>
            </w:r>
          </w:p>
        </w:tc>
        <w:tc>
          <w:tcPr>
            <w:tcW w:w="940" w:type="dxa"/>
            <w:gridSpan w:val="2"/>
            <w:tcBorders>
              <w:top w:val="nil"/>
              <w:left w:val="nil"/>
              <w:bottom w:val="nil"/>
              <w:right w:val="nil"/>
            </w:tcBorders>
            <w:shd w:val="clear" w:color="auto" w:fill="auto"/>
            <w:vAlign w:val="center"/>
            <w:hideMark/>
          </w:tcPr>
          <w:p w14:paraId="4DC78193" w14:textId="68FFB33A" w:rsidR="00AA31DF" w:rsidRPr="00005453" w:rsidRDefault="00AA31DF" w:rsidP="00AA31DF">
            <w:pPr>
              <w:jc w:val="right"/>
              <w:rPr>
                <w:color w:val="000000"/>
                <w:sz w:val="16"/>
                <w:szCs w:val="16"/>
                <w:lang w:eastAsia="tr-TR"/>
              </w:rPr>
            </w:pPr>
            <w:r w:rsidRPr="00005453">
              <w:rPr>
                <w:bCs/>
                <w:sz w:val="16"/>
                <w:szCs w:val="18"/>
              </w:rPr>
              <w:t>185,753,070</w:t>
            </w:r>
          </w:p>
        </w:tc>
        <w:tc>
          <w:tcPr>
            <w:tcW w:w="1040" w:type="dxa"/>
            <w:gridSpan w:val="2"/>
            <w:tcBorders>
              <w:top w:val="nil"/>
              <w:left w:val="nil"/>
              <w:bottom w:val="nil"/>
              <w:right w:val="single" w:sz="4" w:space="0" w:color="auto"/>
            </w:tcBorders>
            <w:shd w:val="clear" w:color="auto" w:fill="auto"/>
            <w:vAlign w:val="center"/>
            <w:hideMark/>
          </w:tcPr>
          <w:p w14:paraId="79C2D158" w14:textId="5B902534" w:rsidR="00AA31DF" w:rsidRPr="00005453" w:rsidRDefault="00AA31DF" w:rsidP="00AA31DF">
            <w:pPr>
              <w:jc w:val="right"/>
              <w:rPr>
                <w:color w:val="000000"/>
                <w:sz w:val="16"/>
                <w:szCs w:val="16"/>
                <w:lang w:eastAsia="tr-TR"/>
              </w:rPr>
            </w:pPr>
            <w:r w:rsidRPr="00005453">
              <w:rPr>
                <w:color w:val="000000"/>
                <w:sz w:val="16"/>
                <w:szCs w:val="16"/>
                <w:lang w:eastAsia="tr-TR"/>
              </w:rPr>
              <w:t>176,376,582</w:t>
            </w:r>
          </w:p>
        </w:tc>
      </w:tr>
      <w:tr w:rsidR="00AA31DF" w:rsidRPr="00005453" w14:paraId="09A26CCB" w14:textId="77777777" w:rsidTr="00B43506">
        <w:trPr>
          <w:divId w:val="1625193558"/>
          <w:trHeight w:val="184"/>
        </w:trPr>
        <w:tc>
          <w:tcPr>
            <w:tcW w:w="5665" w:type="dxa"/>
            <w:tcBorders>
              <w:top w:val="nil"/>
              <w:left w:val="single" w:sz="4" w:space="0" w:color="auto"/>
              <w:bottom w:val="nil"/>
              <w:right w:val="nil"/>
            </w:tcBorders>
            <w:shd w:val="clear" w:color="auto" w:fill="auto"/>
            <w:noWrap/>
            <w:hideMark/>
          </w:tcPr>
          <w:p w14:paraId="34952BC0" w14:textId="77777777" w:rsidR="00AA31DF" w:rsidRPr="00005453" w:rsidRDefault="00AA31DF" w:rsidP="00AA31DF">
            <w:pPr>
              <w:ind w:firstLineChars="100" w:firstLine="160"/>
              <w:rPr>
                <w:color w:val="000000"/>
                <w:sz w:val="16"/>
                <w:szCs w:val="16"/>
                <w:lang w:eastAsia="tr-TR"/>
              </w:rPr>
            </w:pPr>
            <w:r w:rsidRPr="00005453">
              <w:rPr>
                <w:color w:val="000000"/>
                <w:sz w:val="16"/>
                <w:szCs w:val="16"/>
                <w:lang w:eastAsia="tr-TR"/>
              </w:rPr>
              <w:t>Yabancı para cinsinden hesaplar</w:t>
            </w:r>
          </w:p>
        </w:tc>
        <w:tc>
          <w:tcPr>
            <w:tcW w:w="940" w:type="dxa"/>
            <w:gridSpan w:val="2"/>
            <w:tcBorders>
              <w:top w:val="nil"/>
              <w:left w:val="nil"/>
              <w:bottom w:val="nil"/>
              <w:right w:val="nil"/>
            </w:tcBorders>
            <w:shd w:val="clear" w:color="auto" w:fill="auto"/>
            <w:vAlign w:val="center"/>
            <w:hideMark/>
          </w:tcPr>
          <w:p w14:paraId="59BC2663" w14:textId="092C9195" w:rsidR="00AA31DF" w:rsidRPr="00005453" w:rsidRDefault="00AA31DF" w:rsidP="00AA31DF">
            <w:pPr>
              <w:jc w:val="right"/>
              <w:rPr>
                <w:color w:val="000000"/>
                <w:sz w:val="16"/>
                <w:szCs w:val="16"/>
                <w:lang w:eastAsia="tr-TR"/>
              </w:rPr>
            </w:pPr>
            <w:r w:rsidRPr="00005453">
              <w:rPr>
                <w:bCs/>
                <w:sz w:val="16"/>
                <w:szCs w:val="18"/>
              </w:rPr>
              <w:t>130,301,005</w:t>
            </w:r>
          </w:p>
        </w:tc>
        <w:tc>
          <w:tcPr>
            <w:tcW w:w="961" w:type="dxa"/>
            <w:gridSpan w:val="2"/>
            <w:tcBorders>
              <w:top w:val="nil"/>
              <w:left w:val="nil"/>
              <w:bottom w:val="nil"/>
              <w:right w:val="nil"/>
            </w:tcBorders>
            <w:shd w:val="clear" w:color="auto" w:fill="auto"/>
            <w:vAlign w:val="center"/>
            <w:hideMark/>
          </w:tcPr>
          <w:p w14:paraId="2219824D" w14:textId="79BCD9A7" w:rsidR="00AA31DF" w:rsidRPr="00005453" w:rsidRDefault="00AA31DF" w:rsidP="00AA31DF">
            <w:pPr>
              <w:jc w:val="right"/>
              <w:rPr>
                <w:color w:val="000000"/>
                <w:sz w:val="16"/>
                <w:szCs w:val="16"/>
                <w:lang w:eastAsia="tr-TR"/>
              </w:rPr>
            </w:pPr>
            <w:r w:rsidRPr="00005453">
              <w:rPr>
                <w:color w:val="000000"/>
                <w:sz w:val="16"/>
                <w:szCs w:val="16"/>
                <w:lang w:eastAsia="tr-TR"/>
              </w:rPr>
              <w:t>95,973,791</w:t>
            </w:r>
          </w:p>
        </w:tc>
        <w:tc>
          <w:tcPr>
            <w:tcW w:w="940" w:type="dxa"/>
            <w:gridSpan w:val="2"/>
            <w:tcBorders>
              <w:top w:val="nil"/>
              <w:left w:val="nil"/>
              <w:bottom w:val="nil"/>
              <w:right w:val="nil"/>
            </w:tcBorders>
            <w:shd w:val="clear" w:color="auto" w:fill="auto"/>
            <w:vAlign w:val="center"/>
            <w:hideMark/>
          </w:tcPr>
          <w:p w14:paraId="47A891C0" w14:textId="6A9CFB7A" w:rsidR="00AA31DF" w:rsidRPr="00005453" w:rsidRDefault="00AA31DF" w:rsidP="00AA31DF">
            <w:pPr>
              <w:jc w:val="right"/>
              <w:rPr>
                <w:color w:val="000000"/>
                <w:sz w:val="16"/>
                <w:szCs w:val="16"/>
                <w:lang w:eastAsia="tr-TR"/>
              </w:rPr>
            </w:pPr>
            <w:r w:rsidRPr="00005453">
              <w:rPr>
                <w:bCs/>
                <w:sz w:val="16"/>
                <w:szCs w:val="18"/>
              </w:rPr>
              <w:t>170,350,795</w:t>
            </w:r>
          </w:p>
        </w:tc>
        <w:tc>
          <w:tcPr>
            <w:tcW w:w="1040" w:type="dxa"/>
            <w:gridSpan w:val="2"/>
            <w:tcBorders>
              <w:top w:val="nil"/>
              <w:left w:val="nil"/>
              <w:bottom w:val="nil"/>
              <w:right w:val="single" w:sz="4" w:space="0" w:color="auto"/>
            </w:tcBorders>
            <w:shd w:val="clear" w:color="auto" w:fill="auto"/>
            <w:vAlign w:val="center"/>
            <w:hideMark/>
          </w:tcPr>
          <w:p w14:paraId="28EC3B0F" w14:textId="6FF3D0C5" w:rsidR="00AA31DF" w:rsidRPr="00005453" w:rsidRDefault="00AA31DF" w:rsidP="00AA31DF">
            <w:pPr>
              <w:jc w:val="right"/>
              <w:rPr>
                <w:color w:val="000000"/>
                <w:sz w:val="16"/>
                <w:szCs w:val="16"/>
                <w:lang w:eastAsia="tr-TR"/>
              </w:rPr>
            </w:pPr>
            <w:r w:rsidRPr="00005453">
              <w:rPr>
                <w:color w:val="000000"/>
                <w:sz w:val="16"/>
                <w:szCs w:val="16"/>
                <w:lang w:eastAsia="tr-TR"/>
              </w:rPr>
              <w:t>164,268,235</w:t>
            </w:r>
          </w:p>
        </w:tc>
      </w:tr>
      <w:tr w:rsidR="00442255" w:rsidRPr="00005453" w14:paraId="6D6768AD" w14:textId="77777777" w:rsidTr="00B43506">
        <w:trPr>
          <w:divId w:val="1625193558"/>
          <w:trHeight w:val="160"/>
        </w:trPr>
        <w:tc>
          <w:tcPr>
            <w:tcW w:w="5665" w:type="dxa"/>
            <w:tcBorders>
              <w:top w:val="nil"/>
              <w:left w:val="single" w:sz="4" w:space="0" w:color="auto"/>
              <w:bottom w:val="nil"/>
              <w:right w:val="nil"/>
            </w:tcBorders>
            <w:shd w:val="clear" w:color="auto" w:fill="auto"/>
            <w:noWrap/>
            <w:hideMark/>
          </w:tcPr>
          <w:p w14:paraId="37346005" w14:textId="77777777" w:rsidR="00442255" w:rsidRPr="00005453" w:rsidRDefault="00442255" w:rsidP="00442255">
            <w:pPr>
              <w:ind w:firstLineChars="100" w:firstLine="160"/>
              <w:rPr>
                <w:color w:val="000000"/>
                <w:sz w:val="16"/>
                <w:szCs w:val="16"/>
                <w:lang w:eastAsia="tr-TR"/>
              </w:rPr>
            </w:pPr>
            <w:r w:rsidRPr="00005453">
              <w:rPr>
                <w:color w:val="000000"/>
                <w:sz w:val="16"/>
                <w:szCs w:val="16"/>
                <w:lang w:eastAsia="tr-TR"/>
              </w:rPr>
              <w:t>Yurt dışı şubelerde bulunan yabancı Mercilerin sigortasına tabi hesaplar</w:t>
            </w:r>
          </w:p>
        </w:tc>
        <w:tc>
          <w:tcPr>
            <w:tcW w:w="940" w:type="dxa"/>
            <w:gridSpan w:val="2"/>
            <w:tcBorders>
              <w:top w:val="nil"/>
              <w:left w:val="nil"/>
              <w:bottom w:val="nil"/>
              <w:right w:val="nil"/>
            </w:tcBorders>
            <w:shd w:val="clear" w:color="auto" w:fill="auto"/>
            <w:vAlign w:val="center"/>
            <w:hideMark/>
          </w:tcPr>
          <w:p w14:paraId="6F546319" w14:textId="77777777" w:rsidR="00442255" w:rsidRPr="00005453" w:rsidRDefault="00442255" w:rsidP="00442255">
            <w:pPr>
              <w:jc w:val="right"/>
              <w:rPr>
                <w:color w:val="000000"/>
                <w:sz w:val="16"/>
                <w:szCs w:val="16"/>
                <w:lang w:eastAsia="tr-TR"/>
              </w:rPr>
            </w:pPr>
            <w:r w:rsidRPr="00005453">
              <w:rPr>
                <w:color w:val="000000"/>
                <w:sz w:val="16"/>
                <w:szCs w:val="16"/>
                <w:lang w:eastAsia="tr-TR"/>
              </w:rPr>
              <w:t>-</w:t>
            </w:r>
          </w:p>
        </w:tc>
        <w:tc>
          <w:tcPr>
            <w:tcW w:w="961" w:type="dxa"/>
            <w:gridSpan w:val="2"/>
            <w:tcBorders>
              <w:top w:val="nil"/>
              <w:left w:val="nil"/>
              <w:bottom w:val="nil"/>
              <w:right w:val="nil"/>
            </w:tcBorders>
            <w:shd w:val="clear" w:color="auto" w:fill="auto"/>
            <w:vAlign w:val="center"/>
            <w:hideMark/>
          </w:tcPr>
          <w:p w14:paraId="136ABAA2" w14:textId="0236102E" w:rsidR="00442255" w:rsidRPr="00005453" w:rsidRDefault="00442255" w:rsidP="00442255">
            <w:pPr>
              <w:jc w:val="right"/>
              <w:rPr>
                <w:color w:val="000000"/>
                <w:sz w:val="16"/>
                <w:szCs w:val="16"/>
                <w:lang w:eastAsia="tr-TR"/>
              </w:rPr>
            </w:pPr>
            <w:r w:rsidRPr="00005453">
              <w:rPr>
                <w:color w:val="000000"/>
                <w:sz w:val="16"/>
                <w:szCs w:val="16"/>
                <w:lang w:eastAsia="tr-TR"/>
              </w:rPr>
              <w:t>-</w:t>
            </w:r>
          </w:p>
        </w:tc>
        <w:tc>
          <w:tcPr>
            <w:tcW w:w="940" w:type="dxa"/>
            <w:gridSpan w:val="2"/>
            <w:tcBorders>
              <w:top w:val="nil"/>
              <w:left w:val="nil"/>
              <w:bottom w:val="nil"/>
              <w:right w:val="nil"/>
            </w:tcBorders>
            <w:shd w:val="clear" w:color="auto" w:fill="auto"/>
            <w:vAlign w:val="center"/>
            <w:hideMark/>
          </w:tcPr>
          <w:p w14:paraId="008698C5" w14:textId="77777777" w:rsidR="00442255" w:rsidRPr="00005453" w:rsidRDefault="00442255" w:rsidP="00442255">
            <w:pPr>
              <w:jc w:val="right"/>
              <w:rPr>
                <w:color w:val="000000"/>
                <w:sz w:val="16"/>
                <w:szCs w:val="16"/>
                <w:lang w:eastAsia="tr-TR"/>
              </w:rPr>
            </w:pPr>
            <w:r w:rsidRPr="00005453">
              <w:rPr>
                <w:color w:val="000000"/>
                <w:sz w:val="16"/>
                <w:szCs w:val="16"/>
                <w:lang w:eastAsia="tr-TR"/>
              </w:rPr>
              <w:t>-</w:t>
            </w:r>
          </w:p>
        </w:tc>
        <w:tc>
          <w:tcPr>
            <w:tcW w:w="1040" w:type="dxa"/>
            <w:gridSpan w:val="2"/>
            <w:tcBorders>
              <w:top w:val="nil"/>
              <w:left w:val="nil"/>
              <w:bottom w:val="nil"/>
              <w:right w:val="single" w:sz="4" w:space="0" w:color="auto"/>
            </w:tcBorders>
            <w:shd w:val="clear" w:color="auto" w:fill="auto"/>
            <w:vAlign w:val="center"/>
            <w:hideMark/>
          </w:tcPr>
          <w:p w14:paraId="469F6EB8" w14:textId="5FC93EC7" w:rsidR="00442255" w:rsidRPr="00005453" w:rsidRDefault="00442255" w:rsidP="00442255">
            <w:pPr>
              <w:jc w:val="right"/>
              <w:rPr>
                <w:color w:val="000000"/>
                <w:sz w:val="16"/>
                <w:szCs w:val="16"/>
                <w:lang w:eastAsia="tr-TR"/>
              </w:rPr>
            </w:pPr>
            <w:r w:rsidRPr="00005453">
              <w:rPr>
                <w:color w:val="000000"/>
                <w:sz w:val="16"/>
                <w:szCs w:val="16"/>
                <w:lang w:eastAsia="tr-TR"/>
              </w:rPr>
              <w:t>-</w:t>
            </w:r>
          </w:p>
        </w:tc>
      </w:tr>
      <w:tr w:rsidR="00442255" w:rsidRPr="00005453" w14:paraId="563FBBBF" w14:textId="77777777" w:rsidTr="00B43506">
        <w:trPr>
          <w:divId w:val="1625193558"/>
          <w:trHeight w:val="172"/>
        </w:trPr>
        <w:tc>
          <w:tcPr>
            <w:tcW w:w="5665" w:type="dxa"/>
            <w:tcBorders>
              <w:top w:val="nil"/>
              <w:left w:val="single" w:sz="4" w:space="0" w:color="auto"/>
              <w:bottom w:val="single" w:sz="4" w:space="0" w:color="auto"/>
              <w:right w:val="nil"/>
            </w:tcBorders>
            <w:shd w:val="clear" w:color="auto" w:fill="auto"/>
            <w:noWrap/>
            <w:hideMark/>
          </w:tcPr>
          <w:p w14:paraId="3327A65D" w14:textId="77777777" w:rsidR="00442255" w:rsidRPr="00005453" w:rsidRDefault="00442255" w:rsidP="00442255">
            <w:pPr>
              <w:ind w:firstLineChars="100" w:firstLine="160"/>
              <w:rPr>
                <w:color w:val="000000"/>
                <w:sz w:val="16"/>
                <w:szCs w:val="16"/>
                <w:lang w:eastAsia="tr-TR"/>
              </w:rPr>
            </w:pPr>
            <w:r w:rsidRPr="00005453">
              <w:rPr>
                <w:color w:val="000000"/>
                <w:sz w:val="16"/>
                <w:szCs w:val="16"/>
                <w:lang w:eastAsia="tr-TR"/>
              </w:rPr>
              <w:t xml:space="preserve">Kıyı bnk. Blg. </w:t>
            </w:r>
            <w:proofErr w:type="gramStart"/>
            <w:r w:rsidRPr="00005453">
              <w:rPr>
                <w:color w:val="000000"/>
                <w:sz w:val="16"/>
                <w:szCs w:val="16"/>
                <w:lang w:eastAsia="tr-TR"/>
              </w:rPr>
              <w:t>şubelerde</w:t>
            </w:r>
            <w:proofErr w:type="gramEnd"/>
            <w:r w:rsidRPr="00005453">
              <w:rPr>
                <w:color w:val="000000"/>
                <w:sz w:val="16"/>
                <w:szCs w:val="16"/>
                <w:lang w:eastAsia="tr-TR"/>
              </w:rPr>
              <w:t xml:space="preserve"> bulunan yabancı merci, sigorta tabi hesap</w:t>
            </w:r>
          </w:p>
        </w:tc>
        <w:tc>
          <w:tcPr>
            <w:tcW w:w="940" w:type="dxa"/>
            <w:gridSpan w:val="2"/>
            <w:tcBorders>
              <w:top w:val="nil"/>
              <w:left w:val="nil"/>
              <w:bottom w:val="single" w:sz="4" w:space="0" w:color="auto"/>
              <w:right w:val="nil"/>
            </w:tcBorders>
            <w:shd w:val="clear" w:color="auto" w:fill="auto"/>
            <w:vAlign w:val="center"/>
            <w:hideMark/>
          </w:tcPr>
          <w:p w14:paraId="13261ED2" w14:textId="77777777" w:rsidR="00442255" w:rsidRPr="00005453" w:rsidRDefault="00442255" w:rsidP="00442255">
            <w:pPr>
              <w:jc w:val="right"/>
              <w:rPr>
                <w:color w:val="000000"/>
                <w:sz w:val="16"/>
                <w:szCs w:val="16"/>
                <w:lang w:eastAsia="tr-TR"/>
              </w:rPr>
            </w:pPr>
            <w:r w:rsidRPr="00005453">
              <w:rPr>
                <w:color w:val="000000"/>
                <w:sz w:val="16"/>
                <w:szCs w:val="16"/>
                <w:lang w:eastAsia="tr-TR"/>
              </w:rPr>
              <w:t>-</w:t>
            </w:r>
          </w:p>
        </w:tc>
        <w:tc>
          <w:tcPr>
            <w:tcW w:w="961" w:type="dxa"/>
            <w:gridSpan w:val="2"/>
            <w:tcBorders>
              <w:top w:val="nil"/>
              <w:left w:val="nil"/>
              <w:bottom w:val="single" w:sz="4" w:space="0" w:color="auto"/>
              <w:right w:val="nil"/>
            </w:tcBorders>
            <w:shd w:val="clear" w:color="auto" w:fill="auto"/>
            <w:vAlign w:val="center"/>
            <w:hideMark/>
          </w:tcPr>
          <w:p w14:paraId="38791A62" w14:textId="6D5B89C2" w:rsidR="00442255" w:rsidRPr="00005453" w:rsidRDefault="00442255" w:rsidP="00442255">
            <w:pPr>
              <w:jc w:val="right"/>
              <w:rPr>
                <w:color w:val="000000"/>
                <w:sz w:val="16"/>
                <w:szCs w:val="16"/>
                <w:lang w:eastAsia="tr-TR"/>
              </w:rPr>
            </w:pPr>
            <w:r w:rsidRPr="00005453">
              <w:rPr>
                <w:color w:val="000000"/>
                <w:sz w:val="16"/>
                <w:szCs w:val="16"/>
                <w:lang w:eastAsia="tr-TR"/>
              </w:rPr>
              <w:t>-</w:t>
            </w:r>
          </w:p>
        </w:tc>
        <w:tc>
          <w:tcPr>
            <w:tcW w:w="940" w:type="dxa"/>
            <w:gridSpan w:val="2"/>
            <w:tcBorders>
              <w:top w:val="nil"/>
              <w:left w:val="nil"/>
              <w:bottom w:val="single" w:sz="4" w:space="0" w:color="auto"/>
              <w:right w:val="nil"/>
            </w:tcBorders>
            <w:shd w:val="clear" w:color="auto" w:fill="auto"/>
            <w:vAlign w:val="center"/>
            <w:hideMark/>
          </w:tcPr>
          <w:p w14:paraId="18F5EF01" w14:textId="77777777" w:rsidR="00442255" w:rsidRPr="00005453" w:rsidRDefault="00442255" w:rsidP="00442255">
            <w:pPr>
              <w:jc w:val="right"/>
              <w:rPr>
                <w:color w:val="000000"/>
                <w:sz w:val="16"/>
                <w:szCs w:val="16"/>
                <w:lang w:eastAsia="tr-TR"/>
              </w:rPr>
            </w:pPr>
            <w:r w:rsidRPr="00005453">
              <w:rPr>
                <w:color w:val="000000"/>
                <w:sz w:val="16"/>
                <w:szCs w:val="16"/>
                <w:lang w:eastAsia="tr-TR"/>
              </w:rPr>
              <w:t>-</w:t>
            </w:r>
          </w:p>
        </w:tc>
        <w:tc>
          <w:tcPr>
            <w:tcW w:w="1040" w:type="dxa"/>
            <w:gridSpan w:val="2"/>
            <w:tcBorders>
              <w:top w:val="nil"/>
              <w:left w:val="nil"/>
              <w:bottom w:val="single" w:sz="4" w:space="0" w:color="auto"/>
              <w:right w:val="single" w:sz="4" w:space="0" w:color="auto"/>
            </w:tcBorders>
            <w:shd w:val="clear" w:color="auto" w:fill="auto"/>
            <w:vAlign w:val="center"/>
            <w:hideMark/>
          </w:tcPr>
          <w:p w14:paraId="2DDEC531" w14:textId="5C013012" w:rsidR="00442255" w:rsidRPr="00005453" w:rsidRDefault="00442255" w:rsidP="00442255">
            <w:pPr>
              <w:jc w:val="right"/>
              <w:rPr>
                <w:color w:val="000000"/>
                <w:sz w:val="16"/>
                <w:szCs w:val="16"/>
                <w:lang w:eastAsia="tr-TR"/>
              </w:rPr>
            </w:pPr>
            <w:r w:rsidRPr="00005453">
              <w:rPr>
                <w:color w:val="000000"/>
                <w:sz w:val="16"/>
                <w:szCs w:val="16"/>
                <w:lang w:eastAsia="tr-TR"/>
              </w:rPr>
              <w:t>-</w:t>
            </w:r>
          </w:p>
        </w:tc>
      </w:tr>
    </w:tbl>
    <w:p w14:paraId="4C1DA7E3" w14:textId="5DE384AE" w:rsidR="00B73A72" w:rsidRPr="00005453" w:rsidRDefault="00B73A72" w:rsidP="0003142E">
      <w:pPr>
        <w:tabs>
          <w:tab w:val="num" w:pos="0"/>
          <w:tab w:val="num" w:pos="3060"/>
        </w:tabs>
        <w:autoSpaceDE w:val="0"/>
        <w:autoSpaceDN w:val="0"/>
        <w:adjustRightInd w:val="0"/>
        <w:ind w:left="93" w:hanging="660"/>
        <w:jc w:val="both"/>
      </w:pPr>
    </w:p>
    <w:p w14:paraId="5664CCA4" w14:textId="52FDFD06" w:rsidR="00906BF9" w:rsidRPr="00005453" w:rsidRDefault="00906BF9" w:rsidP="00906BF9">
      <w:pPr>
        <w:tabs>
          <w:tab w:val="left" w:pos="2410"/>
        </w:tabs>
        <w:jc w:val="both"/>
        <w:rPr>
          <w:rFonts w:eastAsia="Arial Unicode MS"/>
          <w:spacing w:val="-6"/>
        </w:rPr>
      </w:pPr>
      <w:r w:rsidRPr="00005453">
        <w:rPr>
          <w:rFonts w:eastAsia="Arial Unicode MS"/>
          <w:spacing w:val="-6"/>
        </w:rPr>
        <w:t>Katılım Bankalarında (yurt dışı şubelerinde açılanlar hariç), gerçek</w:t>
      </w:r>
      <w:r w:rsidR="003746E7" w:rsidRPr="00005453">
        <w:rPr>
          <w:rFonts w:eastAsia="Arial Unicode MS"/>
          <w:spacing w:val="-6"/>
        </w:rPr>
        <w:t xml:space="preserve"> ve tüzel</w:t>
      </w:r>
      <w:r w:rsidRPr="00005453">
        <w:rPr>
          <w:rFonts w:eastAsia="Arial Unicode MS"/>
          <w:spacing w:val="-6"/>
        </w:rPr>
        <w:t xml:space="preserve"> kişiler adına Türk Lirası veya döviz üzerinden açılan özel cari hesaplarda ve katılma hesaplarında toplanan fonlar, bir kişiye ait hesapların anapara ve kar payları toplamının </w:t>
      </w:r>
      <w:r w:rsidR="00335736" w:rsidRPr="00005453">
        <w:rPr>
          <w:rFonts w:eastAsia="Arial Unicode MS"/>
          <w:spacing w:val="-6"/>
        </w:rPr>
        <w:t>650</w:t>
      </w:r>
      <w:r w:rsidRPr="00005453">
        <w:rPr>
          <w:rFonts w:eastAsia="Arial Unicode MS"/>
          <w:spacing w:val="-6"/>
        </w:rPr>
        <w:t xml:space="preserve"> TL’yi geçmemesi şartıyla, 1 Kasım 2005 tarih ve 25983 mükerrer sayılı </w:t>
      </w:r>
      <w:proofErr w:type="gramStart"/>
      <w:r w:rsidRPr="00005453">
        <w:rPr>
          <w:rFonts w:eastAsia="Arial Unicode MS"/>
          <w:spacing w:val="-6"/>
        </w:rPr>
        <w:t>resmi</w:t>
      </w:r>
      <w:proofErr w:type="gramEnd"/>
      <w:r w:rsidRPr="00005453">
        <w:rPr>
          <w:rFonts w:eastAsia="Arial Unicode MS"/>
          <w:spacing w:val="-6"/>
        </w:rPr>
        <w:t xml:space="preserve"> gazetede yayımlanan 5411 sayılı Bankacılık Kanunu kapsamında Tasarruf Mevduat Sigorta Fonu güvencesi altındadır.</w:t>
      </w:r>
    </w:p>
    <w:p w14:paraId="72AC545A" w14:textId="77777777" w:rsidR="00EA4623" w:rsidRPr="00005453" w:rsidRDefault="00EA4623" w:rsidP="00EA4623">
      <w:pPr>
        <w:tabs>
          <w:tab w:val="left" w:pos="2410"/>
        </w:tabs>
        <w:jc w:val="both"/>
        <w:rPr>
          <w:rFonts w:eastAsia="Arial Unicode MS"/>
          <w:sz w:val="16"/>
          <w:szCs w:val="16"/>
        </w:rPr>
      </w:pPr>
    </w:p>
    <w:p w14:paraId="0078CF89" w14:textId="40F724A3" w:rsidR="00906BF9" w:rsidRPr="00005453" w:rsidRDefault="00906BF9" w:rsidP="00906BF9">
      <w:pPr>
        <w:ind w:left="142" w:hanging="709"/>
        <w:jc w:val="both"/>
        <w:rPr>
          <w:iCs/>
        </w:rPr>
      </w:pPr>
      <w:proofErr w:type="gramStart"/>
      <w:r w:rsidRPr="00005453">
        <w:rPr>
          <w:b/>
        </w:rPr>
        <w:t xml:space="preserve">2.1.2.2  </w:t>
      </w:r>
      <w:r w:rsidRPr="00005453">
        <w:t>Merkezi</w:t>
      </w:r>
      <w:proofErr w:type="gramEnd"/>
      <w:r w:rsidRPr="00005453">
        <w:t xml:space="preserve"> yurt dışında bulunan Banka’nın Türkiye’deki şubesinde bulunan gerçek kişilerin ticari işlemlere konu  olmayan özel cari hesapları, merkezin bulunduğu ülkede sigorta kapsamında ise bu durum açıklanması</w:t>
      </w:r>
      <w:r w:rsidR="0017516B" w:rsidRPr="00005453">
        <w:t>:</w:t>
      </w:r>
    </w:p>
    <w:p w14:paraId="35BE7810" w14:textId="77777777" w:rsidR="00906BF9" w:rsidRPr="00005453" w:rsidRDefault="00906BF9" w:rsidP="00906BF9">
      <w:pPr>
        <w:ind w:left="142" w:hanging="709"/>
        <w:jc w:val="both"/>
        <w:rPr>
          <w:iCs/>
        </w:rPr>
      </w:pPr>
    </w:p>
    <w:p w14:paraId="6710C79E" w14:textId="77777777" w:rsidR="00906BF9" w:rsidRPr="00005453" w:rsidRDefault="00906BF9" w:rsidP="00906BF9">
      <w:pPr>
        <w:autoSpaceDE w:val="0"/>
        <w:autoSpaceDN w:val="0"/>
        <w:adjustRightInd w:val="0"/>
      </w:pPr>
      <w:r w:rsidRPr="00005453">
        <w:t xml:space="preserve">  Banka’nın merkezi Türkiye’dedir.</w:t>
      </w:r>
    </w:p>
    <w:p w14:paraId="09C6DA7C" w14:textId="77777777" w:rsidR="00906BF9" w:rsidRPr="00005453" w:rsidRDefault="00906BF9" w:rsidP="00906BF9">
      <w:pPr>
        <w:autoSpaceDE w:val="0"/>
        <w:autoSpaceDN w:val="0"/>
        <w:adjustRightInd w:val="0"/>
        <w:ind w:left="900" w:hanging="360"/>
        <w:rPr>
          <w:rFonts w:eastAsia="Arial Unicode MS"/>
          <w:sz w:val="16"/>
          <w:szCs w:val="16"/>
        </w:rPr>
      </w:pPr>
    </w:p>
    <w:p w14:paraId="2CB8719C" w14:textId="40420CF0" w:rsidR="00906BF9" w:rsidRPr="00005453" w:rsidRDefault="00906BF9" w:rsidP="00906BF9">
      <w:pPr>
        <w:tabs>
          <w:tab w:val="left" w:pos="0"/>
        </w:tabs>
        <w:ind w:left="709" w:hanging="1276"/>
      </w:pPr>
      <w:r w:rsidRPr="00005453">
        <w:rPr>
          <w:b/>
          <w:iCs/>
        </w:rPr>
        <w:t>2.1.2.3</w:t>
      </w:r>
      <w:r w:rsidRPr="00005453">
        <w:rPr>
          <w:iCs/>
        </w:rPr>
        <w:tab/>
        <w:t xml:space="preserve"> Tasarruf Mevduatı Sigorta fonu kapsamında bulunmayan gerçek kişilerin özel cari ve katılma</w:t>
      </w:r>
      <w:r w:rsidRPr="00005453">
        <w:t xml:space="preserve"> hesapları</w:t>
      </w:r>
      <w:r w:rsidR="0017516B" w:rsidRPr="00005453">
        <w:t>:</w:t>
      </w:r>
    </w:p>
    <w:p w14:paraId="3AEB27BE" w14:textId="77777777" w:rsidR="00906BF9" w:rsidRPr="00005453" w:rsidRDefault="00906BF9" w:rsidP="00906BF9">
      <w:pPr>
        <w:tabs>
          <w:tab w:val="left" w:pos="540"/>
        </w:tabs>
        <w:ind w:left="540" w:hanging="540"/>
        <w:rPr>
          <w:sz w:val="16"/>
          <w:szCs w:val="16"/>
        </w:rPr>
      </w:pPr>
    </w:p>
    <w:p w14:paraId="6A607518" w14:textId="77777777" w:rsidR="00906BF9" w:rsidRPr="00005453" w:rsidRDefault="00906BF9" w:rsidP="00906BF9">
      <w:pPr>
        <w:tabs>
          <w:tab w:val="left" w:pos="851"/>
        </w:tabs>
        <w:ind w:hanging="567"/>
        <w:jc w:val="both"/>
        <w:rPr>
          <w:iCs/>
        </w:rPr>
      </w:pPr>
      <w:r w:rsidRPr="00005453">
        <w:tab/>
      </w:r>
      <w:r w:rsidRPr="00005453">
        <w:rPr>
          <w:iCs/>
        </w:rPr>
        <w:t xml:space="preserve">Banka’nın hakim ortakları ile yönetim kurulu üyeleri, genel müdür ve genel müdür yardımcıları </w:t>
      </w:r>
      <w:proofErr w:type="gramStart"/>
      <w:r w:rsidRPr="00005453">
        <w:rPr>
          <w:iCs/>
        </w:rPr>
        <w:t>ile  bunların</w:t>
      </w:r>
      <w:proofErr w:type="gramEnd"/>
      <w:r w:rsidRPr="00005453">
        <w:rPr>
          <w:iCs/>
        </w:rPr>
        <w:t xml:space="preserve"> birinci dereceden yakınlarının katılım fonları dışında Tasarruf Mevduatı Sigorta Fonu kapsamında bulunmayan gerçek kişilere ait özel cari ve katılma hesabı bulunmamaktadır.</w:t>
      </w:r>
    </w:p>
    <w:p w14:paraId="73A9B6D0" w14:textId="77777777" w:rsidR="000F096F" w:rsidRPr="00005453" w:rsidRDefault="000F096F" w:rsidP="000F096F">
      <w:pPr>
        <w:tabs>
          <w:tab w:val="left" w:pos="540"/>
        </w:tabs>
        <w:ind w:left="540" w:hanging="540"/>
        <w:rPr>
          <w:iCs/>
          <w:sz w:val="16"/>
          <w:szCs w:val="16"/>
        </w:rPr>
      </w:pPr>
    </w:p>
    <w:tbl>
      <w:tblPr>
        <w:tblW w:w="9188" w:type="dxa"/>
        <w:tblCellMar>
          <w:left w:w="70" w:type="dxa"/>
          <w:right w:w="70" w:type="dxa"/>
        </w:tblCellMar>
        <w:tblLook w:val="04A0" w:firstRow="1" w:lastRow="0" w:firstColumn="1" w:lastColumn="0" w:noHBand="0" w:noVBand="1"/>
      </w:tblPr>
      <w:tblGrid>
        <w:gridCol w:w="7285"/>
        <w:gridCol w:w="851"/>
        <w:gridCol w:w="1052"/>
      </w:tblGrid>
      <w:tr w:rsidR="00EC581E" w:rsidRPr="00005453" w14:paraId="1DB2BFAF" w14:textId="77777777" w:rsidTr="00DB63BA">
        <w:trPr>
          <w:divId w:val="1627546807"/>
          <w:trHeight w:val="108"/>
        </w:trPr>
        <w:tc>
          <w:tcPr>
            <w:tcW w:w="7285" w:type="dxa"/>
            <w:tcBorders>
              <w:top w:val="single" w:sz="4" w:space="0" w:color="auto"/>
              <w:left w:val="nil"/>
              <w:bottom w:val="single" w:sz="4" w:space="0" w:color="auto"/>
              <w:right w:val="nil"/>
            </w:tcBorders>
            <w:shd w:val="clear" w:color="auto" w:fill="auto"/>
            <w:noWrap/>
            <w:vAlign w:val="center"/>
            <w:hideMark/>
          </w:tcPr>
          <w:p w14:paraId="5C0F9F6C" w14:textId="565E3A77" w:rsidR="00EC581E" w:rsidRPr="00005453" w:rsidRDefault="00EC581E" w:rsidP="00EC581E">
            <w:pPr>
              <w:ind w:firstLineChars="100" w:firstLine="180"/>
              <w:rPr>
                <w:color w:val="000000"/>
                <w:sz w:val="18"/>
                <w:szCs w:val="18"/>
                <w:lang w:eastAsia="tr-TR"/>
              </w:rPr>
            </w:pPr>
            <w:r w:rsidRPr="00005453">
              <w:rPr>
                <w:color w:val="000000"/>
                <w:sz w:val="18"/>
                <w:szCs w:val="18"/>
                <w:lang w:eastAsia="tr-TR"/>
              </w:rPr>
              <w:t> </w:t>
            </w:r>
          </w:p>
        </w:tc>
        <w:tc>
          <w:tcPr>
            <w:tcW w:w="851" w:type="dxa"/>
            <w:tcBorders>
              <w:top w:val="single" w:sz="4" w:space="0" w:color="auto"/>
              <w:left w:val="nil"/>
              <w:bottom w:val="single" w:sz="4" w:space="0" w:color="auto"/>
              <w:right w:val="nil"/>
            </w:tcBorders>
            <w:shd w:val="clear" w:color="auto" w:fill="auto"/>
            <w:vAlign w:val="center"/>
            <w:hideMark/>
          </w:tcPr>
          <w:p w14:paraId="5E63C75A" w14:textId="77777777" w:rsidR="00EC581E" w:rsidRPr="00005453" w:rsidRDefault="00EC581E" w:rsidP="00EC581E">
            <w:pPr>
              <w:ind w:firstLineChars="200" w:firstLine="361"/>
              <w:jc w:val="right"/>
              <w:rPr>
                <w:b/>
                <w:bCs/>
                <w:color w:val="000000"/>
                <w:sz w:val="18"/>
                <w:szCs w:val="18"/>
                <w:lang w:eastAsia="tr-TR"/>
              </w:rPr>
            </w:pPr>
            <w:r w:rsidRPr="00005453">
              <w:rPr>
                <w:b/>
                <w:bCs/>
                <w:color w:val="000000"/>
                <w:sz w:val="18"/>
                <w:szCs w:val="18"/>
                <w:lang w:eastAsia="tr-TR"/>
              </w:rPr>
              <w:t>Cari Dönem</w:t>
            </w:r>
          </w:p>
        </w:tc>
        <w:tc>
          <w:tcPr>
            <w:tcW w:w="1052" w:type="dxa"/>
            <w:tcBorders>
              <w:top w:val="single" w:sz="4" w:space="0" w:color="auto"/>
              <w:left w:val="nil"/>
              <w:bottom w:val="single" w:sz="4" w:space="0" w:color="auto"/>
              <w:right w:val="nil"/>
            </w:tcBorders>
            <w:shd w:val="clear" w:color="auto" w:fill="auto"/>
            <w:noWrap/>
            <w:vAlign w:val="center"/>
            <w:hideMark/>
          </w:tcPr>
          <w:p w14:paraId="34E3AEB9" w14:textId="77777777" w:rsidR="00EC581E" w:rsidRPr="00005453" w:rsidRDefault="00EC581E" w:rsidP="00EC581E">
            <w:pPr>
              <w:ind w:firstLineChars="200" w:firstLine="361"/>
              <w:jc w:val="right"/>
              <w:rPr>
                <w:b/>
                <w:bCs/>
                <w:color w:val="000000"/>
                <w:sz w:val="18"/>
                <w:szCs w:val="18"/>
                <w:lang w:eastAsia="tr-TR"/>
              </w:rPr>
            </w:pPr>
            <w:r w:rsidRPr="00005453">
              <w:rPr>
                <w:b/>
                <w:bCs/>
                <w:color w:val="000000"/>
                <w:sz w:val="18"/>
                <w:szCs w:val="18"/>
                <w:lang w:eastAsia="tr-TR"/>
              </w:rPr>
              <w:t>Önceki Dönem</w:t>
            </w:r>
          </w:p>
        </w:tc>
      </w:tr>
      <w:tr w:rsidR="00EC581E" w:rsidRPr="00005453" w14:paraId="59251C5E" w14:textId="77777777" w:rsidTr="00DB63BA">
        <w:trPr>
          <w:divId w:val="1627546807"/>
          <w:trHeight w:val="95"/>
        </w:trPr>
        <w:tc>
          <w:tcPr>
            <w:tcW w:w="7285" w:type="dxa"/>
            <w:tcBorders>
              <w:top w:val="single" w:sz="4" w:space="0" w:color="auto"/>
              <w:left w:val="nil"/>
              <w:bottom w:val="nil"/>
              <w:right w:val="nil"/>
            </w:tcBorders>
            <w:shd w:val="clear" w:color="auto" w:fill="auto"/>
            <w:noWrap/>
            <w:vAlign w:val="center"/>
            <w:hideMark/>
          </w:tcPr>
          <w:p w14:paraId="6D705332" w14:textId="77777777" w:rsidR="00EC581E" w:rsidRPr="00005453" w:rsidRDefault="00EC581E" w:rsidP="00EC581E">
            <w:pPr>
              <w:ind w:firstLineChars="200" w:firstLine="201"/>
              <w:jc w:val="right"/>
              <w:rPr>
                <w:b/>
                <w:bCs/>
                <w:color w:val="000000"/>
                <w:sz w:val="10"/>
                <w:szCs w:val="10"/>
                <w:lang w:eastAsia="tr-TR"/>
              </w:rPr>
            </w:pPr>
          </w:p>
        </w:tc>
        <w:tc>
          <w:tcPr>
            <w:tcW w:w="851" w:type="dxa"/>
            <w:tcBorders>
              <w:top w:val="single" w:sz="4" w:space="0" w:color="auto"/>
              <w:left w:val="nil"/>
              <w:bottom w:val="nil"/>
              <w:right w:val="nil"/>
            </w:tcBorders>
            <w:shd w:val="clear" w:color="auto" w:fill="auto"/>
            <w:vAlign w:val="center"/>
            <w:hideMark/>
          </w:tcPr>
          <w:p w14:paraId="09348EF7" w14:textId="77777777" w:rsidR="00EC581E" w:rsidRPr="00005453" w:rsidRDefault="00EC581E" w:rsidP="00EC581E">
            <w:pPr>
              <w:ind w:firstLineChars="100" w:firstLine="100"/>
              <w:rPr>
                <w:sz w:val="10"/>
                <w:szCs w:val="10"/>
                <w:lang w:eastAsia="tr-TR"/>
              </w:rPr>
            </w:pPr>
          </w:p>
        </w:tc>
        <w:tc>
          <w:tcPr>
            <w:tcW w:w="1052" w:type="dxa"/>
            <w:tcBorders>
              <w:top w:val="single" w:sz="4" w:space="0" w:color="auto"/>
              <w:left w:val="nil"/>
              <w:bottom w:val="nil"/>
              <w:right w:val="nil"/>
            </w:tcBorders>
            <w:shd w:val="clear" w:color="auto" w:fill="auto"/>
            <w:noWrap/>
            <w:vAlign w:val="center"/>
            <w:hideMark/>
          </w:tcPr>
          <w:p w14:paraId="405D5F7D" w14:textId="77777777" w:rsidR="00EC581E" w:rsidRPr="00005453" w:rsidRDefault="00EC581E" w:rsidP="00EC581E">
            <w:pPr>
              <w:ind w:firstLineChars="200" w:firstLine="200"/>
              <w:jc w:val="right"/>
              <w:rPr>
                <w:sz w:val="10"/>
                <w:szCs w:val="10"/>
                <w:lang w:eastAsia="tr-TR"/>
              </w:rPr>
            </w:pPr>
          </w:p>
        </w:tc>
      </w:tr>
      <w:tr w:rsidR="00EC581E" w:rsidRPr="00005453" w14:paraId="68ED203E" w14:textId="77777777" w:rsidTr="007F1884">
        <w:trPr>
          <w:divId w:val="1627546807"/>
          <w:trHeight w:val="190"/>
        </w:trPr>
        <w:tc>
          <w:tcPr>
            <w:tcW w:w="7285" w:type="dxa"/>
            <w:tcBorders>
              <w:top w:val="nil"/>
              <w:left w:val="nil"/>
              <w:bottom w:val="nil"/>
              <w:right w:val="nil"/>
            </w:tcBorders>
            <w:shd w:val="clear" w:color="auto" w:fill="auto"/>
            <w:noWrap/>
            <w:vAlign w:val="center"/>
            <w:hideMark/>
          </w:tcPr>
          <w:p w14:paraId="7FBE39CE" w14:textId="77777777" w:rsidR="00EC581E" w:rsidRPr="00005453" w:rsidRDefault="00EC581E" w:rsidP="00EC581E">
            <w:pPr>
              <w:jc w:val="both"/>
              <w:rPr>
                <w:color w:val="000000"/>
                <w:sz w:val="18"/>
                <w:szCs w:val="18"/>
                <w:lang w:eastAsia="tr-TR"/>
              </w:rPr>
            </w:pPr>
            <w:r w:rsidRPr="00005453">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3FBC971C" w14:textId="77777777" w:rsidR="00EC581E" w:rsidRPr="00005453" w:rsidRDefault="00EC581E" w:rsidP="00EC581E">
            <w:pPr>
              <w:jc w:val="right"/>
              <w:rPr>
                <w:color w:val="000000"/>
                <w:sz w:val="18"/>
                <w:szCs w:val="18"/>
                <w:lang w:eastAsia="tr-TR"/>
              </w:rPr>
            </w:pPr>
            <w:r w:rsidRPr="00005453">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40FDF001" w14:textId="77777777" w:rsidR="00EC581E" w:rsidRPr="00005453" w:rsidRDefault="00EC581E" w:rsidP="00EC581E">
            <w:pPr>
              <w:jc w:val="right"/>
              <w:rPr>
                <w:color w:val="000000"/>
                <w:sz w:val="18"/>
                <w:szCs w:val="18"/>
                <w:lang w:eastAsia="tr-TR"/>
              </w:rPr>
            </w:pPr>
            <w:r w:rsidRPr="00005453">
              <w:rPr>
                <w:color w:val="000000"/>
                <w:sz w:val="18"/>
                <w:szCs w:val="18"/>
                <w:lang w:eastAsia="tr-TR"/>
              </w:rPr>
              <w:t>-</w:t>
            </w:r>
          </w:p>
        </w:tc>
      </w:tr>
      <w:tr w:rsidR="00EC581E" w:rsidRPr="00005453" w14:paraId="350A638E" w14:textId="77777777" w:rsidTr="007F1884">
        <w:trPr>
          <w:divId w:val="1627546807"/>
          <w:trHeight w:val="286"/>
        </w:trPr>
        <w:tc>
          <w:tcPr>
            <w:tcW w:w="7285" w:type="dxa"/>
            <w:tcBorders>
              <w:top w:val="nil"/>
              <w:left w:val="nil"/>
              <w:bottom w:val="nil"/>
              <w:right w:val="nil"/>
            </w:tcBorders>
            <w:shd w:val="clear" w:color="auto" w:fill="auto"/>
            <w:noWrap/>
            <w:vAlign w:val="center"/>
            <w:hideMark/>
          </w:tcPr>
          <w:p w14:paraId="6BFAC81B" w14:textId="77777777" w:rsidR="00EC581E" w:rsidRPr="00005453" w:rsidRDefault="00EC581E" w:rsidP="00EC581E">
            <w:pPr>
              <w:jc w:val="both"/>
              <w:rPr>
                <w:color w:val="000000"/>
                <w:sz w:val="18"/>
                <w:szCs w:val="18"/>
                <w:lang w:eastAsia="tr-TR"/>
              </w:rPr>
            </w:pPr>
            <w:proofErr w:type="gramStart"/>
            <w:r w:rsidRPr="00005453">
              <w:rPr>
                <w:color w:val="000000"/>
                <w:sz w:val="18"/>
                <w:szCs w:val="18"/>
                <w:lang w:eastAsia="tr-TR"/>
              </w:rPr>
              <w:t>Hakim</w:t>
            </w:r>
            <w:proofErr w:type="gramEnd"/>
            <w:r w:rsidRPr="00005453">
              <w:rPr>
                <w:color w:val="000000"/>
                <w:sz w:val="18"/>
                <w:szCs w:val="18"/>
                <w:lang w:eastAsia="tr-TR"/>
              </w:rPr>
              <w:t xml:space="preserve">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0EDBAEFE" w14:textId="77777777" w:rsidR="00EC581E" w:rsidRPr="00005453" w:rsidRDefault="00EC581E" w:rsidP="00EC581E">
            <w:pPr>
              <w:jc w:val="right"/>
              <w:rPr>
                <w:color w:val="000000"/>
                <w:sz w:val="18"/>
                <w:szCs w:val="18"/>
                <w:lang w:eastAsia="tr-TR"/>
              </w:rPr>
            </w:pPr>
            <w:r w:rsidRPr="00005453">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1CD5116E" w14:textId="77777777" w:rsidR="00EC581E" w:rsidRPr="00005453" w:rsidRDefault="00EC581E" w:rsidP="00EC581E">
            <w:pPr>
              <w:jc w:val="right"/>
              <w:rPr>
                <w:color w:val="000000"/>
                <w:sz w:val="18"/>
                <w:szCs w:val="18"/>
                <w:lang w:eastAsia="tr-TR"/>
              </w:rPr>
            </w:pPr>
            <w:r w:rsidRPr="00005453">
              <w:rPr>
                <w:color w:val="000000"/>
                <w:sz w:val="18"/>
                <w:szCs w:val="18"/>
                <w:lang w:eastAsia="tr-TR"/>
              </w:rPr>
              <w:t>-</w:t>
            </w:r>
          </w:p>
        </w:tc>
      </w:tr>
      <w:tr w:rsidR="00B32D02" w:rsidRPr="00005453" w14:paraId="54AAC230" w14:textId="77777777" w:rsidTr="007F1884">
        <w:trPr>
          <w:divId w:val="1627546807"/>
          <w:trHeight w:val="197"/>
        </w:trPr>
        <w:tc>
          <w:tcPr>
            <w:tcW w:w="7285" w:type="dxa"/>
            <w:tcBorders>
              <w:top w:val="nil"/>
              <w:left w:val="nil"/>
              <w:bottom w:val="nil"/>
              <w:right w:val="nil"/>
            </w:tcBorders>
            <w:shd w:val="clear" w:color="auto" w:fill="auto"/>
            <w:noWrap/>
            <w:vAlign w:val="center"/>
            <w:hideMark/>
          </w:tcPr>
          <w:p w14:paraId="6A9A1A12" w14:textId="77777777" w:rsidR="00B32D02" w:rsidRPr="00005453" w:rsidRDefault="00B32D02" w:rsidP="00B32D02">
            <w:pPr>
              <w:jc w:val="both"/>
              <w:rPr>
                <w:color w:val="000000"/>
                <w:sz w:val="18"/>
                <w:szCs w:val="18"/>
                <w:lang w:eastAsia="tr-TR"/>
              </w:rPr>
            </w:pPr>
            <w:r w:rsidRPr="00005453">
              <w:rPr>
                <w:color w:val="000000"/>
                <w:sz w:val="18"/>
                <w:szCs w:val="18"/>
                <w:lang w:eastAsia="tr-TR"/>
              </w:rPr>
              <w:t xml:space="preserve">Yönetim veya müdürler kurulu başkan ve üyeler, genel müdür ve yardımcıları </w:t>
            </w:r>
            <w:proofErr w:type="gramStart"/>
            <w:r w:rsidRPr="00005453">
              <w:rPr>
                <w:color w:val="000000"/>
                <w:sz w:val="18"/>
                <w:szCs w:val="18"/>
                <w:lang w:eastAsia="tr-TR"/>
              </w:rPr>
              <w:t>ile  bunların</w:t>
            </w:r>
            <w:proofErr w:type="gramEnd"/>
            <w:r w:rsidRPr="00005453">
              <w:rPr>
                <w:color w:val="000000"/>
                <w:sz w:val="18"/>
                <w:szCs w:val="18"/>
                <w:lang w:eastAsia="tr-TR"/>
              </w:rPr>
              <w:t xml:space="preserve">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34E71C6D" w14:textId="138A2531" w:rsidR="00B32D02" w:rsidRPr="00005453" w:rsidRDefault="00AA31DF" w:rsidP="00B32D02">
            <w:pPr>
              <w:jc w:val="right"/>
              <w:rPr>
                <w:color w:val="000000"/>
                <w:sz w:val="18"/>
                <w:szCs w:val="18"/>
                <w:lang w:eastAsia="tr-TR"/>
              </w:rPr>
            </w:pPr>
            <w:r w:rsidRPr="00005453">
              <w:rPr>
                <w:color w:val="000000"/>
                <w:sz w:val="18"/>
                <w:szCs w:val="18"/>
                <w:lang w:eastAsia="tr-TR"/>
              </w:rPr>
              <w:t>57</w:t>
            </w:r>
            <w:r w:rsidR="00B32D02" w:rsidRPr="00005453">
              <w:rPr>
                <w:color w:val="000000"/>
                <w:sz w:val="18"/>
                <w:szCs w:val="18"/>
                <w:lang w:eastAsia="tr-TR"/>
              </w:rPr>
              <w:t>,</w:t>
            </w:r>
            <w:r w:rsidRPr="00005453">
              <w:rPr>
                <w:color w:val="000000"/>
                <w:sz w:val="18"/>
                <w:szCs w:val="18"/>
                <w:lang w:eastAsia="tr-TR"/>
              </w:rPr>
              <w:t>044</w:t>
            </w:r>
          </w:p>
        </w:tc>
        <w:tc>
          <w:tcPr>
            <w:tcW w:w="1052" w:type="dxa"/>
            <w:tcBorders>
              <w:top w:val="nil"/>
              <w:left w:val="nil"/>
              <w:bottom w:val="nil"/>
              <w:right w:val="nil"/>
            </w:tcBorders>
            <w:shd w:val="clear" w:color="auto" w:fill="auto"/>
            <w:vAlign w:val="center"/>
            <w:hideMark/>
          </w:tcPr>
          <w:p w14:paraId="213A4D0D" w14:textId="5D7490D1" w:rsidR="00B32D02" w:rsidRPr="00005453" w:rsidRDefault="00B32D02" w:rsidP="00B32D02">
            <w:pPr>
              <w:jc w:val="right"/>
              <w:rPr>
                <w:color w:val="000000"/>
                <w:sz w:val="18"/>
                <w:szCs w:val="18"/>
                <w:lang w:eastAsia="tr-TR"/>
              </w:rPr>
            </w:pPr>
            <w:r w:rsidRPr="00005453">
              <w:rPr>
                <w:color w:val="000000"/>
                <w:sz w:val="18"/>
                <w:szCs w:val="18"/>
                <w:lang w:eastAsia="tr-TR"/>
              </w:rPr>
              <w:t>15,</w:t>
            </w:r>
            <w:r w:rsidR="00442255" w:rsidRPr="00005453">
              <w:rPr>
                <w:color w:val="000000"/>
                <w:sz w:val="18"/>
                <w:szCs w:val="18"/>
                <w:lang w:eastAsia="tr-TR"/>
              </w:rPr>
              <w:t>167</w:t>
            </w:r>
          </w:p>
        </w:tc>
      </w:tr>
      <w:tr w:rsidR="00B32D02" w:rsidRPr="00005453" w14:paraId="44F6ADA8" w14:textId="77777777" w:rsidTr="00DB63BA">
        <w:trPr>
          <w:divId w:val="1627546807"/>
          <w:trHeight w:val="327"/>
        </w:trPr>
        <w:tc>
          <w:tcPr>
            <w:tcW w:w="7285" w:type="dxa"/>
            <w:tcBorders>
              <w:top w:val="nil"/>
              <w:left w:val="nil"/>
              <w:right w:val="nil"/>
            </w:tcBorders>
            <w:shd w:val="clear" w:color="auto" w:fill="auto"/>
            <w:noWrap/>
            <w:vAlign w:val="center"/>
            <w:hideMark/>
          </w:tcPr>
          <w:p w14:paraId="35E89CCE" w14:textId="77777777" w:rsidR="00B32D02" w:rsidRPr="00005453" w:rsidRDefault="00B32D02" w:rsidP="00B32D02">
            <w:pPr>
              <w:jc w:val="both"/>
              <w:rPr>
                <w:color w:val="000000"/>
                <w:sz w:val="18"/>
                <w:szCs w:val="18"/>
                <w:lang w:eastAsia="tr-TR"/>
              </w:rPr>
            </w:pPr>
            <w:r w:rsidRPr="00005453">
              <w:rPr>
                <w:color w:val="000000"/>
                <w:sz w:val="18"/>
                <w:szCs w:val="18"/>
                <w:lang w:eastAsia="tr-TR"/>
              </w:rPr>
              <w:t xml:space="preserve">26 Eylül 2004 tarihli ve 5237 sayılı TCK’nın 282 nci maddesindeki suçtan </w:t>
            </w:r>
            <w:proofErr w:type="gramStart"/>
            <w:r w:rsidRPr="00005453">
              <w:rPr>
                <w:color w:val="000000"/>
                <w:sz w:val="18"/>
                <w:szCs w:val="18"/>
                <w:lang w:eastAsia="tr-TR"/>
              </w:rPr>
              <w:t>kaynaklanan  mal</w:t>
            </w:r>
            <w:proofErr w:type="gramEnd"/>
            <w:r w:rsidRPr="00005453">
              <w:rPr>
                <w:color w:val="000000"/>
                <w:sz w:val="18"/>
                <w:szCs w:val="18"/>
                <w:lang w:eastAsia="tr-TR"/>
              </w:rPr>
              <w:t xml:space="preserve"> varlığı değerleri kapsamına giren katılım fonu ile diğer hesaplar</w:t>
            </w:r>
          </w:p>
        </w:tc>
        <w:tc>
          <w:tcPr>
            <w:tcW w:w="851" w:type="dxa"/>
            <w:tcBorders>
              <w:top w:val="nil"/>
              <w:left w:val="nil"/>
              <w:right w:val="nil"/>
            </w:tcBorders>
            <w:shd w:val="clear" w:color="auto" w:fill="auto"/>
            <w:vAlign w:val="center"/>
            <w:hideMark/>
          </w:tcPr>
          <w:p w14:paraId="37D45DDB" w14:textId="77777777" w:rsidR="00B32D02" w:rsidRPr="00005453" w:rsidRDefault="00B32D02" w:rsidP="00B32D02">
            <w:pPr>
              <w:jc w:val="right"/>
              <w:rPr>
                <w:color w:val="000000"/>
                <w:sz w:val="18"/>
                <w:szCs w:val="18"/>
                <w:lang w:eastAsia="tr-TR"/>
              </w:rPr>
            </w:pPr>
            <w:r w:rsidRPr="00005453">
              <w:rPr>
                <w:color w:val="000000"/>
                <w:sz w:val="18"/>
                <w:szCs w:val="18"/>
                <w:lang w:eastAsia="tr-TR"/>
              </w:rPr>
              <w:t>-</w:t>
            </w:r>
          </w:p>
        </w:tc>
        <w:tc>
          <w:tcPr>
            <w:tcW w:w="1052" w:type="dxa"/>
            <w:tcBorders>
              <w:top w:val="nil"/>
              <w:left w:val="nil"/>
              <w:right w:val="nil"/>
            </w:tcBorders>
            <w:shd w:val="clear" w:color="auto" w:fill="auto"/>
            <w:vAlign w:val="center"/>
            <w:hideMark/>
          </w:tcPr>
          <w:p w14:paraId="69217E49" w14:textId="77777777" w:rsidR="00B32D02" w:rsidRPr="00005453" w:rsidRDefault="00B32D02" w:rsidP="00B32D02">
            <w:pPr>
              <w:jc w:val="right"/>
              <w:rPr>
                <w:color w:val="000000"/>
                <w:sz w:val="18"/>
                <w:szCs w:val="18"/>
                <w:lang w:eastAsia="tr-TR"/>
              </w:rPr>
            </w:pPr>
            <w:r w:rsidRPr="00005453">
              <w:rPr>
                <w:color w:val="000000"/>
                <w:sz w:val="18"/>
                <w:szCs w:val="18"/>
                <w:lang w:eastAsia="tr-TR"/>
              </w:rPr>
              <w:t>-</w:t>
            </w:r>
          </w:p>
        </w:tc>
      </w:tr>
      <w:tr w:rsidR="00B32D02" w:rsidRPr="00005453" w14:paraId="1ADE1F29" w14:textId="77777777" w:rsidTr="00DB63BA">
        <w:trPr>
          <w:divId w:val="1627546807"/>
          <w:trHeight w:val="217"/>
        </w:trPr>
        <w:tc>
          <w:tcPr>
            <w:tcW w:w="7285" w:type="dxa"/>
            <w:tcBorders>
              <w:top w:val="nil"/>
              <w:left w:val="nil"/>
              <w:bottom w:val="single" w:sz="4" w:space="0" w:color="auto"/>
              <w:right w:val="nil"/>
            </w:tcBorders>
            <w:shd w:val="clear" w:color="auto" w:fill="auto"/>
            <w:noWrap/>
            <w:vAlign w:val="center"/>
            <w:hideMark/>
          </w:tcPr>
          <w:p w14:paraId="4670D887" w14:textId="77777777" w:rsidR="00B32D02" w:rsidRPr="00005453" w:rsidRDefault="00B32D02" w:rsidP="00B32D02">
            <w:pPr>
              <w:jc w:val="both"/>
              <w:rPr>
                <w:color w:val="000000"/>
                <w:sz w:val="18"/>
                <w:szCs w:val="18"/>
                <w:lang w:eastAsia="tr-TR"/>
              </w:rPr>
            </w:pPr>
            <w:r w:rsidRPr="00005453">
              <w:rPr>
                <w:color w:val="000000"/>
                <w:sz w:val="18"/>
                <w:szCs w:val="18"/>
                <w:lang w:eastAsia="tr-TR"/>
              </w:rPr>
              <w:t xml:space="preserve">Türkiye’de münhasıran kıyı bankacılığı faaliyeti göstermek üzere kurulan </w:t>
            </w:r>
            <w:proofErr w:type="gramStart"/>
            <w:r w:rsidRPr="00005453">
              <w:rPr>
                <w:color w:val="000000"/>
                <w:sz w:val="18"/>
                <w:szCs w:val="18"/>
                <w:lang w:eastAsia="tr-TR"/>
              </w:rPr>
              <w:t>katılım  bankalarında</w:t>
            </w:r>
            <w:proofErr w:type="gramEnd"/>
            <w:r w:rsidRPr="00005453">
              <w:rPr>
                <w:color w:val="000000"/>
                <w:sz w:val="18"/>
                <w:szCs w:val="18"/>
                <w:lang w:eastAsia="tr-TR"/>
              </w:rPr>
              <w:t xml:space="preserve"> bulunan katılım fonları</w:t>
            </w:r>
          </w:p>
        </w:tc>
        <w:tc>
          <w:tcPr>
            <w:tcW w:w="851" w:type="dxa"/>
            <w:tcBorders>
              <w:top w:val="nil"/>
              <w:left w:val="nil"/>
              <w:bottom w:val="single" w:sz="4" w:space="0" w:color="auto"/>
              <w:right w:val="nil"/>
            </w:tcBorders>
            <w:shd w:val="clear" w:color="auto" w:fill="auto"/>
            <w:vAlign w:val="center"/>
            <w:hideMark/>
          </w:tcPr>
          <w:p w14:paraId="722F8C5B" w14:textId="77777777" w:rsidR="00B32D02" w:rsidRPr="00005453" w:rsidRDefault="00B32D02" w:rsidP="00B32D02">
            <w:pPr>
              <w:jc w:val="right"/>
              <w:rPr>
                <w:color w:val="000000"/>
                <w:sz w:val="18"/>
                <w:szCs w:val="18"/>
                <w:lang w:eastAsia="tr-TR"/>
              </w:rPr>
            </w:pPr>
            <w:r w:rsidRPr="00005453">
              <w:rPr>
                <w:color w:val="000000"/>
                <w:sz w:val="18"/>
                <w:szCs w:val="18"/>
                <w:lang w:eastAsia="tr-TR"/>
              </w:rPr>
              <w:t>-</w:t>
            </w:r>
          </w:p>
        </w:tc>
        <w:tc>
          <w:tcPr>
            <w:tcW w:w="1052" w:type="dxa"/>
            <w:tcBorders>
              <w:top w:val="nil"/>
              <w:left w:val="nil"/>
              <w:bottom w:val="single" w:sz="4" w:space="0" w:color="auto"/>
              <w:right w:val="nil"/>
            </w:tcBorders>
            <w:shd w:val="clear" w:color="auto" w:fill="auto"/>
            <w:vAlign w:val="center"/>
            <w:hideMark/>
          </w:tcPr>
          <w:p w14:paraId="25286CAE" w14:textId="77777777" w:rsidR="00B32D02" w:rsidRPr="00005453" w:rsidRDefault="00B32D02" w:rsidP="00B32D02">
            <w:pPr>
              <w:jc w:val="right"/>
              <w:rPr>
                <w:color w:val="000000"/>
                <w:sz w:val="18"/>
                <w:szCs w:val="18"/>
                <w:lang w:eastAsia="tr-TR"/>
              </w:rPr>
            </w:pPr>
            <w:r w:rsidRPr="00005453">
              <w:rPr>
                <w:color w:val="000000"/>
                <w:sz w:val="18"/>
                <w:szCs w:val="18"/>
                <w:lang w:eastAsia="tr-TR"/>
              </w:rPr>
              <w:t>-</w:t>
            </w:r>
          </w:p>
        </w:tc>
      </w:tr>
    </w:tbl>
    <w:p w14:paraId="28D2F482" w14:textId="032EAFA8" w:rsidR="00285240" w:rsidRPr="00005453" w:rsidRDefault="00285240" w:rsidP="002959A6">
      <w:pPr>
        <w:ind w:hanging="567"/>
        <w:rPr>
          <w:b/>
          <w:bCs/>
          <w:iCs/>
        </w:rPr>
      </w:pPr>
    </w:p>
    <w:p w14:paraId="3FFADB18" w14:textId="77777777" w:rsidR="00285240" w:rsidRPr="00005453" w:rsidRDefault="00285240" w:rsidP="002959A6">
      <w:pPr>
        <w:ind w:hanging="567"/>
        <w:rPr>
          <w:b/>
          <w:bCs/>
          <w:iCs/>
        </w:rPr>
      </w:pPr>
    </w:p>
    <w:p w14:paraId="15B40695" w14:textId="77777777" w:rsidR="00285240" w:rsidRPr="00005453" w:rsidRDefault="00285240" w:rsidP="002959A6">
      <w:pPr>
        <w:ind w:hanging="567"/>
        <w:rPr>
          <w:b/>
          <w:bCs/>
          <w:iCs/>
        </w:rPr>
      </w:pPr>
    </w:p>
    <w:p w14:paraId="366D33F5" w14:textId="77777777" w:rsidR="00285240" w:rsidRPr="00005453" w:rsidRDefault="00285240" w:rsidP="002959A6">
      <w:pPr>
        <w:ind w:hanging="567"/>
        <w:rPr>
          <w:b/>
          <w:bCs/>
          <w:iCs/>
        </w:rPr>
      </w:pPr>
    </w:p>
    <w:p w14:paraId="166F0FD4" w14:textId="77777777" w:rsidR="00285240" w:rsidRPr="00005453" w:rsidRDefault="00285240" w:rsidP="002959A6">
      <w:pPr>
        <w:ind w:hanging="567"/>
        <w:rPr>
          <w:b/>
          <w:bCs/>
          <w:iCs/>
        </w:rPr>
      </w:pPr>
    </w:p>
    <w:p w14:paraId="3DBEF8FB" w14:textId="77777777" w:rsidR="00285240" w:rsidRPr="00005453" w:rsidRDefault="00285240" w:rsidP="002959A6">
      <w:pPr>
        <w:ind w:hanging="567"/>
        <w:rPr>
          <w:b/>
          <w:bCs/>
          <w:iCs/>
        </w:rPr>
      </w:pPr>
    </w:p>
    <w:p w14:paraId="62627B2A" w14:textId="1755E350" w:rsidR="000F096F" w:rsidRPr="00005453" w:rsidRDefault="00A023D6" w:rsidP="002959A6">
      <w:pPr>
        <w:ind w:hanging="567"/>
        <w:rPr>
          <w:b/>
          <w:bCs/>
          <w:iCs/>
        </w:rPr>
      </w:pPr>
      <w:r w:rsidRPr="00005453">
        <w:rPr>
          <w:b/>
          <w:bCs/>
          <w:iCs/>
        </w:rPr>
        <w:br w:type="page"/>
      </w:r>
      <w:r w:rsidR="00D512E0" w:rsidRPr="00005453">
        <w:rPr>
          <w:b/>
          <w:bCs/>
          <w:iCs/>
        </w:rPr>
        <w:lastRenderedPageBreak/>
        <w:t>2</w:t>
      </w:r>
      <w:r w:rsidR="00E253C8" w:rsidRPr="00005453">
        <w:rPr>
          <w:b/>
          <w:bCs/>
          <w:iCs/>
        </w:rPr>
        <w:t>.</w:t>
      </w:r>
      <w:r w:rsidR="00D512E0" w:rsidRPr="00005453">
        <w:rPr>
          <w:b/>
          <w:bCs/>
          <w:iCs/>
        </w:rPr>
        <w:t>2</w:t>
      </w:r>
      <w:r w:rsidR="00E253C8" w:rsidRPr="00005453">
        <w:rPr>
          <w:b/>
          <w:bCs/>
          <w:iCs/>
        </w:rPr>
        <w:tab/>
        <w:t>Alım satım amaçlı türev finansal borçlara ilişkin bilgiler</w:t>
      </w:r>
    </w:p>
    <w:p w14:paraId="771BED1F" w14:textId="77777777" w:rsidR="000F096F" w:rsidRPr="00005453" w:rsidRDefault="000F096F" w:rsidP="002959A6">
      <w:pPr>
        <w:rPr>
          <w:sz w:val="16"/>
          <w:szCs w:val="16"/>
        </w:rPr>
      </w:pPr>
    </w:p>
    <w:p w14:paraId="0564A990" w14:textId="54FE2344" w:rsidR="000F096F" w:rsidRPr="00005453" w:rsidRDefault="00E253C8" w:rsidP="00D512E0">
      <w:pPr>
        <w:tabs>
          <w:tab w:val="num" w:pos="2340"/>
          <w:tab w:val="num" w:pos="3060"/>
        </w:tabs>
        <w:autoSpaceDE w:val="0"/>
        <w:autoSpaceDN w:val="0"/>
        <w:adjustRightInd w:val="0"/>
      </w:pPr>
      <w:r w:rsidRPr="00005453">
        <w:t>Alım satım amaçlı türev finansal borçlara ilişkin negatif farklar tablosu</w:t>
      </w:r>
    </w:p>
    <w:p w14:paraId="5E0F9862" w14:textId="33CE0F53" w:rsidR="00EC581E" w:rsidRPr="00005453" w:rsidRDefault="00EC581E" w:rsidP="00FB7B40">
      <w:pPr>
        <w:autoSpaceDE w:val="0"/>
        <w:autoSpaceDN w:val="0"/>
        <w:adjustRightInd w:val="0"/>
        <w:ind w:left="540" w:hanging="540"/>
        <w:rPr>
          <w:sz w:val="10"/>
          <w:lang w:val="en-GB" w:eastAsia="en-GB"/>
        </w:rPr>
      </w:pPr>
    </w:p>
    <w:tbl>
      <w:tblPr>
        <w:tblW w:w="9425" w:type="dxa"/>
        <w:tblCellMar>
          <w:left w:w="70" w:type="dxa"/>
          <w:right w:w="70" w:type="dxa"/>
        </w:tblCellMar>
        <w:tblLook w:val="04A0" w:firstRow="1" w:lastRow="0" w:firstColumn="1" w:lastColumn="0" w:noHBand="0" w:noVBand="1"/>
      </w:tblPr>
      <w:tblGrid>
        <w:gridCol w:w="4780"/>
        <w:gridCol w:w="1242"/>
        <w:gridCol w:w="1205"/>
        <w:gridCol w:w="1064"/>
        <w:gridCol w:w="1134"/>
      </w:tblGrid>
      <w:tr w:rsidR="00DB63BA" w:rsidRPr="00005453" w14:paraId="2F66D591" w14:textId="77777777" w:rsidTr="00614CD2">
        <w:trPr>
          <w:divId w:val="1986078350"/>
          <w:trHeight w:val="251"/>
        </w:trPr>
        <w:tc>
          <w:tcPr>
            <w:tcW w:w="4780" w:type="dxa"/>
            <w:vMerge w:val="restart"/>
            <w:tcBorders>
              <w:top w:val="double" w:sz="6" w:space="0" w:color="auto"/>
              <w:left w:val="nil"/>
              <w:right w:val="nil"/>
            </w:tcBorders>
            <w:shd w:val="clear" w:color="auto" w:fill="auto"/>
            <w:vAlign w:val="center"/>
            <w:hideMark/>
          </w:tcPr>
          <w:p w14:paraId="4187B4FD" w14:textId="77777777" w:rsidR="00DB63BA" w:rsidRPr="00005453" w:rsidRDefault="00DB63BA" w:rsidP="00EC581E">
            <w:pPr>
              <w:jc w:val="both"/>
              <w:rPr>
                <w:b/>
                <w:bCs/>
                <w:color w:val="000000"/>
                <w:sz w:val="18"/>
                <w:szCs w:val="18"/>
                <w:lang w:eastAsia="tr-TR"/>
              </w:rPr>
            </w:pPr>
            <w:r w:rsidRPr="00005453">
              <w:rPr>
                <w:b/>
                <w:bCs/>
                <w:color w:val="000000"/>
                <w:sz w:val="18"/>
                <w:szCs w:val="18"/>
                <w:lang w:eastAsia="tr-TR"/>
              </w:rPr>
              <w:t> </w:t>
            </w:r>
          </w:p>
          <w:p w14:paraId="29FD65A4" w14:textId="0E372282" w:rsidR="00DB63BA" w:rsidRPr="00005453" w:rsidRDefault="00DB63BA" w:rsidP="00EC581E">
            <w:pPr>
              <w:jc w:val="both"/>
              <w:rPr>
                <w:b/>
                <w:bCs/>
                <w:color w:val="000000"/>
                <w:sz w:val="18"/>
                <w:szCs w:val="18"/>
                <w:lang w:eastAsia="tr-TR"/>
              </w:rPr>
            </w:pPr>
            <w:r w:rsidRPr="00005453">
              <w:rPr>
                <w:b/>
                <w:bCs/>
                <w:color w:val="000000"/>
                <w:sz w:val="18"/>
                <w:szCs w:val="18"/>
                <w:lang w:eastAsia="tr-TR"/>
              </w:rPr>
              <w:t> </w:t>
            </w:r>
          </w:p>
        </w:tc>
        <w:tc>
          <w:tcPr>
            <w:tcW w:w="2447" w:type="dxa"/>
            <w:gridSpan w:val="2"/>
            <w:tcBorders>
              <w:top w:val="double" w:sz="6" w:space="0" w:color="auto"/>
              <w:left w:val="nil"/>
              <w:bottom w:val="single" w:sz="8" w:space="0" w:color="auto"/>
              <w:right w:val="nil"/>
            </w:tcBorders>
            <w:shd w:val="clear" w:color="auto" w:fill="auto"/>
            <w:vAlign w:val="center"/>
            <w:hideMark/>
          </w:tcPr>
          <w:p w14:paraId="7931125A" w14:textId="77777777" w:rsidR="00DB63BA" w:rsidRPr="00005453" w:rsidRDefault="00DB63BA" w:rsidP="00614CD2">
            <w:pPr>
              <w:ind w:left="1044" w:hanging="284"/>
              <w:jc w:val="right"/>
              <w:rPr>
                <w:b/>
                <w:bCs/>
                <w:color w:val="000000"/>
                <w:sz w:val="18"/>
                <w:szCs w:val="18"/>
                <w:lang w:eastAsia="tr-TR"/>
              </w:rPr>
            </w:pPr>
            <w:r w:rsidRPr="00005453">
              <w:rPr>
                <w:b/>
                <w:bCs/>
                <w:color w:val="000000"/>
                <w:sz w:val="18"/>
                <w:szCs w:val="18"/>
                <w:lang w:eastAsia="tr-TR"/>
              </w:rPr>
              <w:t>Cari Dönem</w:t>
            </w:r>
          </w:p>
        </w:tc>
        <w:tc>
          <w:tcPr>
            <w:tcW w:w="2198" w:type="dxa"/>
            <w:gridSpan w:val="2"/>
            <w:tcBorders>
              <w:top w:val="double" w:sz="6" w:space="0" w:color="auto"/>
              <w:left w:val="nil"/>
              <w:bottom w:val="single" w:sz="8" w:space="0" w:color="auto"/>
              <w:right w:val="nil"/>
            </w:tcBorders>
            <w:shd w:val="clear" w:color="auto" w:fill="auto"/>
            <w:vAlign w:val="center"/>
            <w:hideMark/>
          </w:tcPr>
          <w:p w14:paraId="6A99F55D" w14:textId="77777777" w:rsidR="00DB63BA" w:rsidRPr="00005453" w:rsidRDefault="00DB63BA" w:rsidP="00614CD2">
            <w:pPr>
              <w:jc w:val="right"/>
              <w:rPr>
                <w:b/>
                <w:bCs/>
                <w:color w:val="000000"/>
                <w:sz w:val="18"/>
                <w:szCs w:val="18"/>
                <w:lang w:eastAsia="tr-TR"/>
              </w:rPr>
            </w:pPr>
            <w:r w:rsidRPr="00005453">
              <w:rPr>
                <w:b/>
                <w:bCs/>
                <w:color w:val="000000"/>
                <w:sz w:val="18"/>
                <w:szCs w:val="18"/>
                <w:lang w:eastAsia="tr-TR"/>
              </w:rPr>
              <w:t>Önceki Dönem</w:t>
            </w:r>
          </w:p>
        </w:tc>
      </w:tr>
      <w:tr w:rsidR="00DB63BA" w:rsidRPr="00005453" w14:paraId="4877484B" w14:textId="77777777" w:rsidTr="00773992">
        <w:trPr>
          <w:divId w:val="1986078350"/>
          <w:trHeight w:val="236"/>
        </w:trPr>
        <w:tc>
          <w:tcPr>
            <w:tcW w:w="4780" w:type="dxa"/>
            <w:vMerge/>
            <w:tcBorders>
              <w:left w:val="nil"/>
              <w:bottom w:val="single" w:sz="8" w:space="0" w:color="auto"/>
              <w:right w:val="nil"/>
            </w:tcBorders>
            <w:shd w:val="clear" w:color="auto" w:fill="auto"/>
            <w:vAlign w:val="center"/>
            <w:hideMark/>
          </w:tcPr>
          <w:p w14:paraId="171BDAEB" w14:textId="2C8D3DC7" w:rsidR="00DB63BA" w:rsidRPr="00005453" w:rsidRDefault="00DB63BA" w:rsidP="00EC581E">
            <w:pPr>
              <w:jc w:val="both"/>
              <w:rPr>
                <w:b/>
                <w:bCs/>
                <w:color w:val="000000"/>
                <w:sz w:val="18"/>
                <w:szCs w:val="18"/>
                <w:lang w:eastAsia="tr-TR"/>
              </w:rPr>
            </w:pPr>
          </w:p>
        </w:tc>
        <w:tc>
          <w:tcPr>
            <w:tcW w:w="1242" w:type="dxa"/>
            <w:tcBorders>
              <w:top w:val="nil"/>
              <w:left w:val="nil"/>
              <w:bottom w:val="single" w:sz="8" w:space="0" w:color="auto"/>
              <w:right w:val="nil"/>
            </w:tcBorders>
            <w:shd w:val="clear" w:color="auto" w:fill="auto"/>
            <w:vAlign w:val="center"/>
            <w:hideMark/>
          </w:tcPr>
          <w:p w14:paraId="22AA288A"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TP</w:t>
            </w:r>
          </w:p>
        </w:tc>
        <w:tc>
          <w:tcPr>
            <w:tcW w:w="1205" w:type="dxa"/>
            <w:tcBorders>
              <w:top w:val="nil"/>
              <w:left w:val="nil"/>
              <w:bottom w:val="single" w:sz="8" w:space="0" w:color="auto"/>
              <w:right w:val="nil"/>
            </w:tcBorders>
            <w:shd w:val="clear" w:color="auto" w:fill="auto"/>
            <w:vAlign w:val="center"/>
            <w:hideMark/>
          </w:tcPr>
          <w:p w14:paraId="74E1EE53"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YP</w:t>
            </w:r>
          </w:p>
        </w:tc>
        <w:tc>
          <w:tcPr>
            <w:tcW w:w="1064" w:type="dxa"/>
            <w:tcBorders>
              <w:top w:val="nil"/>
              <w:left w:val="nil"/>
              <w:bottom w:val="single" w:sz="8" w:space="0" w:color="auto"/>
              <w:right w:val="nil"/>
            </w:tcBorders>
            <w:shd w:val="clear" w:color="auto" w:fill="auto"/>
            <w:vAlign w:val="center"/>
            <w:hideMark/>
          </w:tcPr>
          <w:p w14:paraId="1A80EF33"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5F65338B"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YP</w:t>
            </w:r>
          </w:p>
        </w:tc>
      </w:tr>
      <w:tr w:rsidR="00824786" w:rsidRPr="00005453" w14:paraId="7BFD04B8" w14:textId="77777777" w:rsidTr="00824786">
        <w:trPr>
          <w:divId w:val="1986078350"/>
          <w:trHeight w:val="236"/>
        </w:trPr>
        <w:tc>
          <w:tcPr>
            <w:tcW w:w="4780" w:type="dxa"/>
            <w:tcBorders>
              <w:top w:val="nil"/>
              <w:left w:val="nil"/>
              <w:bottom w:val="nil"/>
              <w:right w:val="nil"/>
            </w:tcBorders>
            <w:shd w:val="clear" w:color="auto" w:fill="auto"/>
            <w:vAlign w:val="center"/>
            <w:hideMark/>
          </w:tcPr>
          <w:p w14:paraId="231D3532" w14:textId="77777777" w:rsidR="00824786" w:rsidRPr="00005453" w:rsidRDefault="00824786" w:rsidP="00824786">
            <w:pPr>
              <w:jc w:val="both"/>
              <w:rPr>
                <w:color w:val="000000"/>
                <w:sz w:val="18"/>
                <w:szCs w:val="18"/>
                <w:lang w:eastAsia="tr-TR"/>
              </w:rPr>
            </w:pPr>
            <w:r w:rsidRPr="00005453">
              <w:rPr>
                <w:color w:val="000000"/>
                <w:sz w:val="18"/>
                <w:szCs w:val="18"/>
                <w:lang w:eastAsia="tr-TR"/>
              </w:rPr>
              <w:t>Vadeli İşlemler</w:t>
            </w:r>
          </w:p>
        </w:tc>
        <w:tc>
          <w:tcPr>
            <w:tcW w:w="1242" w:type="dxa"/>
            <w:tcBorders>
              <w:top w:val="nil"/>
              <w:left w:val="nil"/>
              <w:bottom w:val="nil"/>
              <w:right w:val="nil"/>
            </w:tcBorders>
            <w:shd w:val="clear" w:color="auto" w:fill="auto"/>
            <w:vAlign w:val="center"/>
            <w:hideMark/>
          </w:tcPr>
          <w:p w14:paraId="328E91BC" w14:textId="5B61AE7F" w:rsidR="00824786" w:rsidRPr="00005453" w:rsidRDefault="00824786" w:rsidP="00824786">
            <w:pPr>
              <w:jc w:val="right"/>
              <w:rPr>
                <w:color w:val="000000"/>
                <w:sz w:val="18"/>
                <w:szCs w:val="18"/>
                <w:lang w:eastAsia="tr-TR"/>
              </w:rPr>
            </w:pPr>
            <w:r w:rsidRPr="00005453">
              <w:rPr>
                <w:sz w:val="18"/>
                <w:szCs w:val="18"/>
              </w:rPr>
              <w:t>214,508</w:t>
            </w:r>
          </w:p>
        </w:tc>
        <w:tc>
          <w:tcPr>
            <w:tcW w:w="1205" w:type="dxa"/>
            <w:tcBorders>
              <w:top w:val="nil"/>
              <w:left w:val="nil"/>
              <w:bottom w:val="nil"/>
              <w:right w:val="nil"/>
            </w:tcBorders>
            <w:shd w:val="clear" w:color="auto" w:fill="auto"/>
            <w:vAlign w:val="center"/>
            <w:hideMark/>
          </w:tcPr>
          <w:p w14:paraId="2279B995" w14:textId="63797F47" w:rsidR="00824786" w:rsidRPr="00005453" w:rsidRDefault="00824786" w:rsidP="00824786">
            <w:pPr>
              <w:jc w:val="right"/>
              <w:rPr>
                <w:color w:val="000000"/>
                <w:sz w:val="18"/>
                <w:szCs w:val="18"/>
                <w:lang w:eastAsia="tr-TR"/>
              </w:rPr>
            </w:pPr>
            <w:r w:rsidRPr="00005453">
              <w:rPr>
                <w:sz w:val="18"/>
                <w:szCs w:val="18"/>
              </w:rPr>
              <w:t>51,249</w:t>
            </w:r>
          </w:p>
        </w:tc>
        <w:tc>
          <w:tcPr>
            <w:tcW w:w="1064" w:type="dxa"/>
            <w:tcBorders>
              <w:top w:val="nil"/>
              <w:left w:val="nil"/>
              <w:bottom w:val="nil"/>
              <w:right w:val="nil"/>
            </w:tcBorders>
            <w:shd w:val="clear" w:color="auto" w:fill="auto"/>
            <w:vAlign w:val="center"/>
            <w:hideMark/>
          </w:tcPr>
          <w:p w14:paraId="32D14C44" w14:textId="3D592799" w:rsidR="00824786" w:rsidRPr="00005453" w:rsidRDefault="00824786" w:rsidP="00824786">
            <w:pPr>
              <w:jc w:val="right"/>
              <w:rPr>
                <w:color w:val="000000"/>
                <w:sz w:val="18"/>
                <w:szCs w:val="18"/>
                <w:lang w:eastAsia="tr-TR"/>
              </w:rPr>
            </w:pPr>
            <w:r w:rsidRPr="00005453">
              <w:rPr>
                <w:sz w:val="18"/>
                <w:szCs w:val="18"/>
              </w:rPr>
              <w:t>69,460</w:t>
            </w:r>
          </w:p>
        </w:tc>
        <w:tc>
          <w:tcPr>
            <w:tcW w:w="1134" w:type="dxa"/>
            <w:tcBorders>
              <w:top w:val="nil"/>
              <w:left w:val="nil"/>
              <w:bottom w:val="nil"/>
              <w:right w:val="nil"/>
            </w:tcBorders>
            <w:shd w:val="clear" w:color="auto" w:fill="auto"/>
            <w:vAlign w:val="center"/>
            <w:hideMark/>
          </w:tcPr>
          <w:p w14:paraId="22679CF4" w14:textId="5E202E82" w:rsidR="00824786" w:rsidRPr="00005453" w:rsidRDefault="00824786" w:rsidP="00824786">
            <w:pPr>
              <w:jc w:val="right"/>
              <w:rPr>
                <w:color w:val="000000"/>
                <w:sz w:val="18"/>
                <w:szCs w:val="18"/>
                <w:lang w:eastAsia="tr-TR"/>
              </w:rPr>
            </w:pPr>
            <w:r w:rsidRPr="00005453">
              <w:rPr>
                <w:sz w:val="18"/>
                <w:szCs w:val="18"/>
              </w:rPr>
              <w:t>17,654</w:t>
            </w:r>
          </w:p>
        </w:tc>
      </w:tr>
      <w:tr w:rsidR="00824786" w:rsidRPr="00005453" w14:paraId="30201D05" w14:textId="77777777" w:rsidTr="00824786">
        <w:trPr>
          <w:divId w:val="1986078350"/>
          <w:trHeight w:val="236"/>
        </w:trPr>
        <w:tc>
          <w:tcPr>
            <w:tcW w:w="4780" w:type="dxa"/>
            <w:tcBorders>
              <w:top w:val="nil"/>
              <w:left w:val="nil"/>
              <w:bottom w:val="nil"/>
              <w:right w:val="nil"/>
            </w:tcBorders>
            <w:shd w:val="clear" w:color="auto" w:fill="auto"/>
            <w:vAlign w:val="center"/>
            <w:hideMark/>
          </w:tcPr>
          <w:p w14:paraId="34AAFD02" w14:textId="77777777" w:rsidR="00824786" w:rsidRPr="00005453" w:rsidRDefault="00824786" w:rsidP="00824786">
            <w:pPr>
              <w:jc w:val="both"/>
              <w:rPr>
                <w:color w:val="000000"/>
                <w:sz w:val="18"/>
                <w:szCs w:val="18"/>
                <w:lang w:eastAsia="tr-TR"/>
              </w:rPr>
            </w:pPr>
            <w:r w:rsidRPr="00005453">
              <w:rPr>
                <w:color w:val="000000"/>
                <w:sz w:val="18"/>
                <w:szCs w:val="18"/>
                <w:lang w:eastAsia="tr-TR"/>
              </w:rPr>
              <w:t>Swap İşlemleri</w:t>
            </w:r>
          </w:p>
        </w:tc>
        <w:tc>
          <w:tcPr>
            <w:tcW w:w="1242" w:type="dxa"/>
            <w:tcBorders>
              <w:top w:val="nil"/>
              <w:left w:val="nil"/>
              <w:bottom w:val="nil"/>
              <w:right w:val="nil"/>
            </w:tcBorders>
            <w:shd w:val="clear" w:color="auto" w:fill="auto"/>
            <w:vAlign w:val="center"/>
            <w:hideMark/>
          </w:tcPr>
          <w:p w14:paraId="1EB8FA70" w14:textId="029EBC43" w:rsidR="00824786" w:rsidRPr="00005453" w:rsidRDefault="00824786" w:rsidP="00824786">
            <w:pPr>
              <w:jc w:val="right"/>
              <w:rPr>
                <w:color w:val="000000"/>
                <w:sz w:val="18"/>
                <w:szCs w:val="18"/>
                <w:lang w:eastAsia="tr-TR"/>
              </w:rPr>
            </w:pPr>
            <w:r w:rsidRPr="00005453">
              <w:rPr>
                <w:sz w:val="18"/>
                <w:szCs w:val="18"/>
              </w:rPr>
              <w:t>1,185,402</w:t>
            </w:r>
          </w:p>
        </w:tc>
        <w:tc>
          <w:tcPr>
            <w:tcW w:w="1205" w:type="dxa"/>
            <w:tcBorders>
              <w:top w:val="nil"/>
              <w:left w:val="nil"/>
              <w:bottom w:val="nil"/>
              <w:right w:val="nil"/>
            </w:tcBorders>
            <w:shd w:val="clear" w:color="auto" w:fill="auto"/>
            <w:vAlign w:val="center"/>
            <w:hideMark/>
          </w:tcPr>
          <w:p w14:paraId="396C63D1" w14:textId="5582ED41" w:rsidR="00824786" w:rsidRPr="00005453" w:rsidRDefault="00824786" w:rsidP="00824786">
            <w:pPr>
              <w:jc w:val="right"/>
              <w:rPr>
                <w:color w:val="000000"/>
                <w:sz w:val="18"/>
                <w:szCs w:val="18"/>
                <w:lang w:eastAsia="tr-TR"/>
              </w:rPr>
            </w:pPr>
            <w:r w:rsidRPr="00005453">
              <w:rPr>
                <w:color w:val="000000"/>
                <w:sz w:val="18"/>
                <w:szCs w:val="18"/>
              </w:rPr>
              <w:t>1,401,774</w:t>
            </w:r>
          </w:p>
        </w:tc>
        <w:tc>
          <w:tcPr>
            <w:tcW w:w="1064" w:type="dxa"/>
            <w:tcBorders>
              <w:top w:val="nil"/>
              <w:left w:val="nil"/>
              <w:bottom w:val="nil"/>
              <w:right w:val="nil"/>
            </w:tcBorders>
            <w:shd w:val="clear" w:color="auto" w:fill="auto"/>
            <w:vAlign w:val="center"/>
            <w:hideMark/>
          </w:tcPr>
          <w:p w14:paraId="0E3E2D8F" w14:textId="4152528F" w:rsidR="00824786" w:rsidRPr="00005453" w:rsidRDefault="00824786" w:rsidP="00824786">
            <w:pPr>
              <w:jc w:val="right"/>
              <w:rPr>
                <w:color w:val="000000"/>
                <w:sz w:val="18"/>
                <w:szCs w:val="18"/>
                <w:lang w:eastAsia="tr-TR"/>
              </w:rPr>
            </w:pPr>
            <w:r w:rsidRPr="00005453">
              <w:rPr>
                <w:sz w:val="18"/>
                <w:szCs w:val="18"/>
              </w:rPr>
              <w:t>30,382</w:t>
            </w:r>
          </w:p>
        </w:tc>
        <w:tc>
          <w:tcPr>
            <w:tcW w:w="1134" w:type="dxa"/>
            <w:tcBorders>
              <w:top w:val="nil"/>
              <w:left w:val="nil"/>
              <w:bottom w:val="nil"/>
              <w:right w:val="nil"/>
            </w:tcBorders>
            <w:shd w:val="clear" w:color="auto" w:fill="auto"/>
            <w:vAlign w:val="center"/>
            <w:hideMark/>
          </w:tcPr>
          <w:p w14:paraId="02667842" w14:textId="4A892D3D" w:rsidR="00824786" w:rsidRPr="00005453" w:rsidRDefault="00824786" w:rsidP="00824786">
            <w:pPr>
              <w:jc w:val="right"/>
              <w:rPr>
                <w:color w:val="000000"/>
                <w:sz w:val="18"/>
                <w:szCs w:val="18"/>
                <w:lang w:eastAsia="tr-TR"/>
              </w:rPr>
            </w:pPr>
            <w:r w:rsidRPr="00005453">
              <w:rPr>
                <w:color w:val="000000"/>
                <w:sz w:val="18"/>
                <w:szCs w:val="18"/>
              </w:rPr>
              <w:t>860,303</w:t>
            </w:r>
          </w:p>
        </w:tc>
      </w:tr>
      <w:tr w:rsidR="00824786" w:rsidRPr="00005453" w14:paraId="49BB8ADC" w14:textId="77777777" w:rsidTr="00824786">
        <w:trPr>
          <w:divId w:val="1986078350"/>
          <w:trHeight w:val="236"/>
        </w:trPr>
        <w:tc>
          <w:tcPr>
            <w:tcW w:w="4780" w:type="dxa"/>
            <w:tcBorders>
              <w:top w:val="nil"/>
              <w:left w:val="nil"/>
              <w:bottom w:val="nil"/>
              <w:right w:val="nil"/>
            </w:tcBorders>
            <w:shd w:val="clear" w:color="auto" w:fill="auto"/>
            <w:vAlign w:val="center"/>
            <w:hideMark/>
          </w:tcPr>
          <w:p w14:paraId="5B0626A1" w14:textId="61C696F2" w:rsidR="00824786" w:rsidRPr="00005453" w:rsidRDefault="00824786" w:rsidP="00824786">
            <w:pPr>
              <w:jc w:val="both"/>
              <w:rPr>
                <w:color w:val="000000"/>
                <w:sz w:val="18"/>
                <w:szCs w:val="18"/>
                <w:lang w:eastAsia="tr-TR"/>
              </w:rPr>
            </w:pPr>
            <w:r w:rsidRPr="00005453">
              <w:rPr>
                <w:color w:val="000000"/>
                <w:sz w:val="18"/>
                <w:szCs w:val="18"/>
                <w:lang w:eastAsia="tr-TR"/>
              </w:rPr>
              <w:t>Futures İşlemler</w:t>
            </w:r>
          </w:p>
        </w:tc>
        <w:tc>
          <w:tcPr>
            <w:tcW w:w="1242" w:type="dxa"/>
            <w:tcBorders>
              <w:top w:val="nil"/>
              <w:left w:val="nil"/>
              <w:bottom w:val="nil"/>
              <w:right w:val="nil"/>
            </w:tcBorders>
            <w:shd w:val="clear" w:color="auto" w:fill="auto"/>
            <w:vAlign w:val="center"/>
            <w:hideMark/>
          </w:tcPr>
          <w:p w14:paraId="1604C8DB" w14:textId="6F1FE5AD" w:rsidR="00824786" w:rsidRPr="00005453" w:rsidRDefault="00824786" w:rsidP="00824786">
            <w:pPr>
              <w:jc w:val="right"/>
              <w:rPr>
                <w:color w:val="000000"/>
                <w:sz w:val="18"/>
                <w:szCs w:val="18"/>
                <w:lang w:eastAsia="tr-TR"/>
              </w:rPr>
            </w:pPr>
            <w:r w:rsidRPr="00005453">
              <w:rPr>
                <w:sz w:val="18"/>
                <w:szCs w:val="18"/>
              </w:rPr>
              <w:t>-</w:t>
            </w:r>
          </w:p>
        </w:tc>
        <w:tc>
          <w:tcPr>
            <w:tcW w:w="1205" w:type="dxa"/>
            <w:tcBorders>
              <w:top w:val="nil"/>
              <w:left w:val="nil"/>
              <w:bottom w:val="nil"/>
              <w:right w:val="nil"/>
            </w:tcBorders>
            <w:shd w:val="clear" w:color="auto" w:fill="auto"/>
            <w:vAlign w:val="center"/>
            <w:hideMark/>
          </w:tcPr>
          <w:p w14:paraId="509A2F48" w14:textId="66404D42" w:rsidR="00824786" w:rsidRPr="00005453" w:rsidRDefault="00824786" w:rsidP="00824786">
            <w:pPr>
              <w:jc w:val="right"/>
              <w:rPr>
                <w:color w:val="000000"/>
                <w:sz w:val="18"/>
                <w:szCs w:val="18"/>
                <w:lang w:eastAsia="tr-TR"/>
              </w:rPr>
            </w:pPr>
            <w:r w:rsidRPr="00005453">
              <w:rPr>
                <w:sz w:val="18"/>
                <w:szCs w:val="18"/>
              </w:rPr>
              <w:t>-</w:t>
            </w:r>
          </w:p>
        </w:tc>
        <w:tc>
          <w:tcPr>
            <w:tcW w:w="1064" w:type="dxa"/>
            <w:tcBorders>
              <w:top w:val="nil"/>
              <w:left w:val="nil"/>
              <w:bottom w:val="nil"/>
              <w:right w:val="nil"/>
            </w:tcBorders>
            <w:shd w:val="clear" w:color="auto" w:fill="auto"/>
            <w:vAlign w:val="center"/>
            <w:hideMark/>
          </w:tcPr>
          <w:p w14:paraId="4614C010" w14:textId="12752627" w:rsidR="00824786" w:rsidRPr="00005453" w:rsidRDefault="00824786" w:rsidP="00824786">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2518F6A9" w14:textId="076A36A9" w:rsidR="00824786" w:rsidRPr="00005453" w:rsidRDefault="00824786" w:rsidP="00824786">
            <w:pPr>
              <w:jc w:val="right"/>
              <w:rPr>
                <w:color w:val="000000"/>
                <w:sz w:val="18"/>
                <w:szCs w:val="18"/>
                <w:lang w:eastAsia="tr-TR"/>
              </w:rPr>
            </w:pPr>
            <w:r w:rsidRPr="00005453">
              <w:rPr>
                <w:color w:val="000000"/>
                <w:sz w:val="18"/>
                <w:szCs w:val="18"/>
                <w:lang w:eastAsia="tr-TR"/>
              </w:rPr>
              <w:t>-</w:t>
            </w:r>
          </w:p>
        </w:tc>
      </w:tr>
      <w:tr w:rsidR="00824786" w:rsidRPr="00005453" w14:paraId="7F08A054" w14:textId="77777777" w:rsidTr="00824786">
        <w:trPr>
          <w:divId w:val="1986078350"/>
          <w:trHeight w:val="236"/>
        </w:trPr>
        <w:tc>
          <w:tcPr>
            <w:tcW w:w="4780" w:type="dxa"/>
            <w:tcBorders>
              <w:top w:val="nil"/>
              <w:left w:val="nil"/>
              <w:bottom w:val="nil"/>
              <w:right w:val="nil"/>
            </w:tcBorders>
            <w:shd w:val="clear" w:color="auto" w:fill="auto"/>
            <w:vAlign w:val="center"/>
            <w:hideMark/>
          </w:tcPr>
          <w:p w14:paraId="3ACAEF1E" w14:textId="77777777" w:rsidR="00824786" w:rsidRPr="00005453" w:rsidRDefault="00824786" w:rsidP="00824786">
            <w:pPr>
              <w:jc w:val="both"/>
              <w:rPr>
                <w:color w:val="000000"/>
                <w:sz w:val="18"/>
                <w:szCs w:val="18"/>
                <w:lang w:eastAsia="tr-TR"/>
              </w:rPr>
            </w:pPr>
            <w:r w:rsidRPr="00005453">
              <w:rPr>
                <w:color w:val="000000"/>
                <w:sz w:val="18"/>
                <w:szCs w:val="18"/>
                <w:lang w:eastAsia="tr-TR"/>
              </w:rPr>
              <w:t>Opsiyonlar</w:t>
            </w:r>
          </w:p>
        </w:tc>
        <w:tc>
          <w:tcPr>
            <w:tcW w:w="1242" w:type="dxa"/>
            <w:tcBorders>
              <w:top w:val="nil"/>
              <w:left w:val="nil"/>
              <w:bottom w:val="nil"/>
              <w:right w:val="nil"/>
            </w:tcBorders>
            <w:shd w:val="clear" w:color="auto" w:fill="auto"/>
            <w:vAlign w:val="center"/>
            <w:hideMark/>
          </w:tcPr>
          <w:p w14:paraId="16441988" w14:textId="0A503962" w:rsidR="00824786" w:rsidRPr="00005453" w:rsidRDefault="00824786" w:rsidP="00824786">
            <w:pPr>
              <w:jc w:val="right"/>
              <w:rPr>
                <w:color w:val="000000"/>
                <w:sz w:val="18"/>
                <w:szCs w:val="18"/>
                <w:lang w:eastAsia="tr-TR"/>
              </w:rPr>
            </w:pPr>
            <w:r w:rsidRPr="00005453">
              <w:rPr>
                <w:sz w:val="18"/>
                <w:szCs w:val="18"/>
              </w:rPr>
              <w:t>-</w:t>
            </w:r>
          </w:p>
        </w:tc>
        <w:tc>
          <w:tcPr>
            <w:tcW w:w="1205" w:type="dxa"/>
            <w:tcBorders>
              <w:top w:val="nil"/>
              <w:left w:val="nil"/>
              <w:bottom w:val="nil"/>
              <w:right w:val="nil"/>
            </w:tcBorders>
            <w:shd w:val="clear" w:color="auto" w:fill="auto"/>
            <w:vAlign w:val="center"/>
            <w:hideMark/>
          </w:tcPr>
          <w:p w14:paraId="4D9442C2" w14:textId="5C5C84BE" w:rsidR="00824786" w:rsidRPr="00005453" w:rsidRDefault="00824786" w:rsidP="00824786">
            <w:pPr>
              <w:jc w:val="right"/>
              <w:rPr>
                <w:color w:val="000000"/>
                <w:sz w:val="18"/>
                <w:szCs w:val="18"/>
                <w:lang w:eastAsia="tr-TR"/>
              </w:rPr>
            </w:pPr>
            <w:r w:rsidRPr="00005453">
              <w:rPr>
                <w:sz w:val="18"/>
                <w:szCs w:val="18"/>
              </w:rPr>
              <w:t>-</w:t>
            </w:r>
          </w:p>
        </w:tc>
        <w:tc>
          <w:tcPr>
            <w:tcW w:w="1064" w:type="dxa"/>
            <w:tcBorders>
              <w:top w:val="nil"/>
              <w:left w:val="nil"/>
              <w:bottom w:val="nil"/>
              <w:right w:val="nil"/>
            </w:tcBorders>
            <w:shd w:val="clear" w:color="auto" w:fill="auto"/>
            <w:vAlign w:val="center"/>
            <w:hideMark/>
          </w:tcPr>
          <w:p w14:paraId="4BD1E9D6" w14:textId="21840370" w:rsidR="00824786" w:rsidRPr="00005453" w:rsidRDefault="00824786" w:rsidP="00824786">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4F049D05" w14:textId="5C4D3E8E" w:rsidR="00824786" w:rsidRPr="00005453" w:rsidRDefault="00824786" w:rsidP="00824786">
            <w:pPr>
              <w:jc w:val="right"/>
              <w:rPr>
                <w:color w:val="000000"/>
                <w:sz w:val="18"/>
                <w:szCs w:val="18"/>
                <w:lang w:eastAsia="tr-TR"/>
              </w:rPr>
            </w:pPr>
            <w:r w:rsidRPr="00005453">
              <w:rPr>
                <w:color w:val="000000"/>
                <w:sz w:val="18"/>
                <w:szCs w:val="18"/>
                <w:lang w:eastAsia="tr-TR"/>
              </w:rPr>
              <w:t>-</w:t>
            </w:r>
          </w:p>
        </w:tc>
      </w:tr>
      <w:tr w:rsidR="00824786" w:rsidRPr="00005453" w14:paraId="1838FD3C" w14:textId="77777777" w:rsidTr="00824786">
        <w:trPr>
          <w:divId w:val="1986078350"/>
          <w:trHeight w:val="251"/>
        </w:trPr>
        <w:tc>
          <w:tcPr>
            <w:tcW w:w="4780" w:type="dxa"/>
            <w:tcBorders>
              <w:top w:val="nil"/>
              <w:left w:val="nil"/>
              <w:bottom w:val="single" w:sz="8" w:space="0" w:color="auto"/>
              <w:right w:val="nil"/>
            </w:tcBorders>
            <w:shd w:val="clear" w:color="auto" w:fill="auto"/>
            <w:vAlign w:val="center"/>
            <w:hideMark/>
          </w:tcPr>
          <w:p w14:paraId="08FBBCB7" w14:textId="77777777" w:rsidR="00824786" w:rsidRPr="00005453" w:rsidRDefault="00824786" w:rsidP="00824786">
            <w:pPr>
              <w:jc w:val="both"/>
              <w:rPr>
                <w:color w:val="000000"/>
                <w:sz w:val="18"/>
                <w:szCs w:val="18"/>
                <w:lang w:eastAsia="tr-TR"/>
              </w:rPr>
            </w:pPr>
            <w:r w:rsidRPr="00005453">
              <w:rPr>
                <w:color w:val="000000"/>
                <w:sz w:val="18"/>
                <w:szCs w:val="18"/>
                <w:lang w:eastAsia="tr-TR"/>
              </w:rPr>
              <w:t>Diğer</w:t>
            </w:r>
          </w:p>
        </w:tc>
        <w:tc>
          <w:tcPr>
            <w:tcW w:w="1242" w:type="dxa"/>
            <w:tcBorders>
              <w:top w:val="nil"/>
              <w:left w:val="nil"/>
              <w:bottom w:val="single" w:sz="8" w:space="0" w:color="auto"/>
              <w:right w:val="nil"/>
            </w:tcBorders>
            <w:shd w:val="clear" w:color="auto" w:fill="auto"/>
            <w:vAlign w:val="center"/>
            <w:hideMark/>
          </w:tcPr>
          <w:p w14:paraId="3C83783F" w14:textId="69EFF865" w:rsidR="00824786" w:rsidRPr="00005453" w:rsidRDefault="00824786" w:rsidP="00824786">
            <w:pPr>
              <w:jc w:val="right"/>
              <w:rPr>
                <w:color w:val="000000"/>
                <w:sz w:val="18"/>
                <w:szCs w:val="18"/>
                <w:lang w:eastAsia="tr-TR"/>
              </w:rPr>
            </w:pPr>
            <w:r w:rsidRPr="00005453">
              <w:rPr>
                <w:sz w:val="18"/>
                <w:szCs w:val="18"/>
              </w:rPr>
              <w:t>-</w:t>
            </w:r>
          </w:p>
        </w:tc>
        <w:tc>
          <w:tcPr>
            <w:tcW w:w="1205" w:type="dxa"/>
            <w:tcBorders>
              <w:top w:val="nil"/>
              <w:left w:val="nil"/>
              <w:bottom w:val="single" w:sz="8" w:space="0" w:color="auto"/>
              <w:right w:val="nil"/>
            </w:tcBorders>
            <w:shd w:val="clear" w:color="auto" w:fill="auto"/>
            <w:vAlign w:val="center"/>
            <w:hideMark/>
          </w:tcPr>
          <w:p w14:paraId="1AA8D278" w14:textId="7D54BEA2" w:rsidR="00824786" w:rsidRPr="00005453" w:rsidRDefault="00824786" w:rsidP="00824786">
            <w:pPr>
              <w:jc w:val="right"/>
              <w:rPr>
                <w:color w:val="000000"/>
                <w:sz w:val="18"/>
                <w:szCs w:val="18"/>
                <w:lang w:eastAsia="tr-TR"/>
              </w:rPr>
            </w:pPr>
            <w:r w:rsidRPr="00005453">
              <w:rPr>
                <w:sz w:val="18"/>
                <w:szCs w:val="18"/>
              </w:rPr>
              <w:t>-</w:t>
            </w:r>
          </w:p>
        </w:tc>
        <w:tc>
          <w:tcPr>
            <w:tcW w:w="1064" w:type="dxa"/>
            <w:tcBorders>
              <w:top w:val="nil"/>
              <w:left w:val="nil"/>
              <w:bottom w:val="single" w:sz="8" w:space="0" w:color="auto"/>
              <w:right w:val="nil"/>
            </w:tcBorders>
            <w:shd w:val="clear" w:color="auto" w:fill="auto"/>
            <w:vAlign w:val="center"/>
            <w:hideMark/>
          </w:tcPr>
          <w:p w14:paraId="599F074E" w14:textId="48817605" w:rsidR="00824786" w:rsidRPr="00005453" w:rsidRDefault="00824786" w:rsidP="00824786">
            <w:pPr>
              <w:jc w:val="right"/>
              <w:rPr>
                <w:color w:val="000000"/>
                <w:sz w:val="18"/>
                <w:szCs w:val="18"/>
                <w:lang w:eastAsia="tr-TR"/>
              </w:rPr>
            </w:pPr>
            <w:r w:rsidRPr="00005453">
              <w:rPr>
                <w:color w:val="000000"/>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44E820A4" w14:textId="002892DA" w:rsidR="00824786" w:rsidRPr="00005453" w:rsidRDefault="00824786" w:rsidP="00824786">
            <w:pPr>
              <w:jc w:val="right"/>
              <w:rPr>
                <w:color w:val="000000"/>
                <w:sz w:val="18"/>
                <w:szCs w:val="18"/>
                <w:lang w:eastAsia="tr-TR"/>
              </w:rPr>
            </w:pPr>
            <w:r w:rsidRPr="00005453">
              <w:rPr>
                <w:color w:val="000000"/>
                <w:sz w:val="18"/>
                <w:szCs w:val="18"/>
                <w:lang w:eastAsia="tr-TR"/>
              </w:rPr>
              <w:t>-</w:t>
            </w:r>
          </w:p>
        </w:tc>
      </w:tr>
      <w:tr w:rsidR="00824786" w:rsidRPr="00005453" w14:paraId="47612655" w14:textId="77777777" w:rsidTr="00824786">
        <w:trPr>
          <w:divId w:val="1986078350"/>
          <w:trHeight w:val="60"/>
        </w:trPr>
        <w:tc>
          <w:tcPr>
            <w:tcW w:w="4780" w:type="dxa"/>
            <w:tcBorders>
              <w:top w:val="nil"/>
              <w:left w:val="nil"/>
              <w:bottom w:val="double" w:sz="6" w:space="0" w:color="auto"/>
              <w:right w:val="nil"/>
            </w:tcBorders>
            <w:shd w:val="clear" w:color="auto" w:fill="auto"/>
            <w:vAlign w:val="bottom"/>
            <w:hideMark/>
          </w:tcPr>
          <w:p w14:paraId="5D57AF7A" w14:textId="77777777" w:rsidR="00824786" w:rsidRPr="00005453" w:rsidRDefault="00824786" w:rsidP="00824786">
            <w:pPr>
              <w:rPr>
                <w:b/>
                <w:bCs/>
                <w:color w:val="000000"/>
                <w:sz w:val="18"/>
                <w:szCs w:val="18"/>
                <w:lang w:eastAsia="tr-TR"/>
              </w:rPr>
            </w:pPr>
            <w:r w:rsidRPr="00005453">
              <w:rPr>
                <w:b/>
                <w:bCs/>
                <w:color w:val="000000"/>
                <w:sz w:val="18"/>
                <w:szCs w:val="18"/>
                <w:lang w:eastAsia="tr-TR"/>
              </w:rPr>
              <w:t>Toplam</w:t>
            </w:r>
          </w:p>
        </w:tc>
        <w:tc>
          <w:tcPr>
            <w:tcW w:w="1242" w:type="dxa"/>
            <w:tcBorders>
              <w:top w:val="nil"/>
              <w:left w:val="nil"/>
              <w:bottom w:val="double" w:sz="6" w:space="0" w:color="auto"/>
              <w:right w:val="nil"/>
            </w:tcBorders>
            <w:shd w:val="clear" w:color="auto" w:fill="auto"/>
            <w:vAlign w:val="center"/>
            <w:hideMark/>
          </w:tcPr>
          <w:p w14:paraId="07F3BC82" w14:textId="382418BB" w:rsidR="00824786" w:rsidRPr="00005453" w:rsidRDefault="00824786" w:rsidP="00824786">
            <w:pPr>
              <w:jc w:val="right"/>
              <w:rPr>
                <w:b/>
                <w:bCs/>
                <w:color w:val="000000"/>
                <w:sz w:val="18"/>
                <w:szCs w:val="18"/>
                <w:lang w:eastAsia="tr-TR"/>
              </w:rPr>
            </w:pPr>
            <w:r w:rsidRPr="00005453">
              <w:rPr>
                <w:b/>
                <w:bCs/>
                <w:sz w:val="18"/>
                <w:szCs w:val="18"/>
              </w:rPr>
              <w:t>1,399,910</w:t>
            </w:r>
          </w:p>
        </w:tc>
        <w:tc>
          <w:tcPr>
            <w:tcW w:w="1205" w:type="dxa"/>
            <w:tcBorders>
              <w:top w:val="nil"/>
              <w:left w:val="nil"/>
              <w:bottom w:val="double" w:sz="6" w:space="0" w:color="auto"/>
              <w:right w:val="nil"/>
            </w:tcBorders>
            <w:shd w:val="clear" w:color="auto" w:fill="auto"/>
            <w:vAlign w:val="center"/>
            <w:hideMark/>
          </w:tcPr>
          <w:p w14:paraId="2C936AE5" w14:textId="2A241003" w:rsidR="00824786" w:rsidRPr="00005453" w:rsidRDefault="00824786" w:rsidP="00824786">
            <w:pPr>
              <w:jc w:val="right"/>
              <w:rPr>
                <w:b/>
                <w:bCs/>
                <w:color w:val="000000"/>
                <w:sz w:val="18"/>
                <w:szCs w:val="18"/>
                <w:lang w:eastAsia="tr-TR"/>
              </w:rPr>
            </w:pPr>
            <w:r w:rsidRPr="00005453">
              <w:rPr>
                <w:b/>
                <w:bCs/>
                <w:sz w:val="18"/>
                <w:szCs w:val="18"/>
              </w:rPr>
              <w:t>1,453,023</w:t>
            </w:r>
          </w:p>
        </w:tc>
        <w:tc>
          <w:tcPr>
            <w:tcW w:w="1064" w:type="dxa"/>
            <w:tcBorders>
              <w:top w:val="nil"/>
              <w:left w:val="nil"/>
              <w:bottom w:val="double" w:sz="6" w:space="0" w:color="auto"/>
              <w:right w:val="nil"/>
            </w:tcBorders>
            <w:shd w:val="clear" w:color="auto" w:fill="auto"/>
            <w:vAlign w:val="bottom"/>
            <w:hideMark/>
          </w:tcPr>
          <w:p w14:paraId="2E78985A" w14:textId="39EC6CA1" w:rsidR="00824786" w:rsidRPr="00005453" w:rsidRDefault="00824786" w:rsidP="00824786">
            <w:pPr>
              <w:jc w:val="right"/>
              <w:rPr>
                <w:b/>
                <w:bCs/>
                <w:color w:val="000000"/>
                <w:sz w:val="18"/>
                <w:szCs w:val="18"/>
                <w:lang w:eastAsia="tr-TR"/>
              </w:rPr>
            </w:pPr>
            <w:r w:rsidRPr="00005453">
              <w:rPr>
                <w:b/>
                <w:bCs/>
                <w:sz w:val="18"/>
                <w:szCs w:val="18"/>
              </w:rPr>
              <w:t>99,842</w:t>
            </w:r>
          </w:p>
        </w:tc>
        <w:tc>
          <w:tcPr>
            <w:tcW w:w="1134" w:type="dxa"/>
            <w:tcBorders>
              <w:top w:val="nil"/>
              <w:left w:val="nil"/>
              <w:bottom w:val="double" w:sz="6" w:space="0" w:color="auto"/>
              <w:right w:val="nil"/>
            </w:tcBorders>
            <w:shd w:val="clear" w:color="auto" w:fill="auto"/>
            <w:vAlign w:val="bottom"/>
            <w:hideMark/>
          </w:tcPr>
          <w:p w14:paraId="63798145" w14:textId="0FD2DCC0" w:rsidR="00824786" w:rsidRPr="00005453" w:rsidRDefault="00824786" w:rsidP="00824786">
            <w:pPr>
              <w:jc w:val="right"/>
              <w:rPr>
                <w:b/>
                <w:bCs/>
                <w:color w:val="000000"/>
                <w:sz w:val="18"/>
                <w:szCs w:val="18"/>
                <w:lang w:eastAsia="tr-TR"/>
              </w:rPr>
            </w:pPr>
            <w:r w:rsidRPr="00005453">
              <w:rPr>
                <w:b/>
                <w:bCs/>
                <w:sz w:val="18"/>
                <w:szCs w:val="18"/>
              </w:rPr>
              <w:t>877,957</w:t>
            </w:r>
          </w:p>
        </w:tc>
      </w:tr>
    </w:tbl>
    <w:p w14:paraId="62DDDCC5" w14:textId="37C24B43" w:rsidR="009A0A9F" w:rsidRPr="00005453" w:rsidRDefault="009A0A9F" w:rsidP="00FB7B40">
      <w:pPr>
        <w:autoSpaceDE w:val="0"/>
        <w:autoSpaceDN w:val="0"/>
        <w:adjustRightInd w:val="0"/>
        <w:ind w:left="540" w:hanging="540"/>
        <w:rPr>
          <w:b/>
          <w:bCs/>
          <w:iCs/>
          <w:sz w:val="16"/>
          <w:szCs w:val="16"/>
        </w:rPr>
      </w:pPr>
    </w:p>
    <w:p w14:paraId="746B6733" w14:textId="349BD22D" w:rsidR="000F096F" w:rsidRPr="00005453" w:rsidRDefault="00BE60A5" w:rsidP="00BE60A5">
      <w:pPr>
        <w:autoSpaceDE w:val="0"/>
        <w:autoSpaceDN w:val="0"/>
        <w:adjustRightInd w:val="0"/>
        <w:ind w:hanging="567"/>
        <w:rPr>
          <w:b/>
          <w:bCs/>
          <w:iCs/>
        </w:rPr>
      </w:pPr>
      <w:r w:rsidRPr="00005453">
        <w:rPr>
          <w:b/>
          <w:bCs/>
          <w:iCs/>
        </w:rPr>
        <w:t>2</w:t>
      </w:r>
      <w:r w:rsidR="00E253C8" w:rsidRPr="00005453">
        <w:rPr>
          <w:b/>
          <w:bCs/>
          <w:iCs/>
        </w:rPr>
        <w:t>.</w:t>
      </w:r>
      <w:r w:rsidRPr="00005453">
        <w:rPr>
          <w:b/>
          <w:bCs/>
          <w:iCs/>
        </w:rPr>
        <w:t>3</w:t>
      </w:r>
      <w:r w:rsidR="00E253C8" w:rsidRPr="00005453">
        <w:rPr>
          <w:b/>
          <w:bCs/>
          <w:iCs/>
        </w:rPr>
        <w:tab/>
        <w:t>Alınan kredilere ilişkin bilgiler</w:t>
      </w:r>
    </w:p>
    <w:p w14:paraId="57631679" w14:textId="77777777" w:rsidR="000F096F" w:rsidRPr="00005453" w:rsidRDefault="000F096F" w:rsidP="000F096F">
      <w:pPr>
        <w:autoSpaceDE w:val="0"/>
        <w:autoSpaceDN w:val="0"/>
        <w:adjustRightInd w:val="0"/>
        <w:ind w:left="540" w:hanging="540"/>
        <w:rPr>
          <w:b/>
          <w:bCs/>
          <w:iCs/>
          <w:sz w:val="16"/>
          <w:szCs w:val="16"/>
        </w:rPr>
      </w:pPr>
    </w:p>
    <w:p w14:paraId="0F61FF0B" w14:textId="58DAE675" w:rsidR="000F096F" w:rsidRPr="00005453" w:rsidRDefault="003975AB" w:rsidP="003975AB">
      <w:pPr>
        <w:tabs>
          <w:tab w:val="num" w:pos="2340"/>
          <w:tab w:val="num" w:pos="3060"/>
        </w:tabs>
        <w:autoSpaceDE w:val="0"/>
        <w:autoSpaceDN w:val="0"/>
        <w:adjustRightInd w:val="0"/>
        <w:ind w:hanging="567"/>
      </w:pPr>
      <w:r w:rsidRPr="00005453">
        <w:rPr>
          <w:b/>
        </w:rPr>
        <w:t>2.3.1</w:t>
      </w:r>
      <w:r w:rsidRPr="00005453">
        <w:tab/>
      </w:r>
      <w:r w:rsidR="00E253C8" w:rsidRPr="00005453">
        <w:t>Bankalar ve diğer mali kuruluşlara ilişkin bilgiler</w:t>
      </w:r>
    </w:p>
    <w:p w14:paraId="36F3D57F" w14:textId="62ECF6BB" w:rsidR="00EC581E" w:rsidRPr="00005453" w:rsidRDefault="00EC581E" w:rsidP="00EC581E">
      <w:pPr>
        <w:rPr>
          <w:sz w:val="10"/>
          <w:lang w:val="de-DE" w:eastAsia="en-GB"/>
        </w:rPr>
      </w:pPr>
    </w:p>
    <w:tbl>
      <w:tblPr>
        <w:tblW w:w="9397" w:type="dxa"/>
        <w:tblLayout w:type="fixed"/>
        <w:tblCellMar>
          <w:left w:w="70" w:type="dxa"/>
          <w:right w:w="70" w:type="dxa"/>
        </w:tblCellMar>
        <w:tblLook w:val="04A0" w:firstRow="1" w:lastRow="0" w:firstColumn="1" w:lastColumn="0" w:noHBand="0" w:noVBand="1"/>
      </w:tblPr>
      <w:tblGrid>
        <w:gridCol w:w="4164"/>
        <w:gridCol w:w="1932"/>
        <w:gridCol w:w="1134"/>
        <w:gridCol w:w="1078"/>
        <w:gridCol w:w="1089"/>
      </w:tblGrid>
      <w:tr w:rsidR="00DB63BA" w:rsidRPr="00005453" w14:paraId="630E310E" w14:textId="77777777" w:rsidTr="00614CD2">
        <w:trPr>
          <w:divId w:val="5644071"/>
          <w:trHeight w:val="253"/>
        </w:trPr>
        <w:tc>
          <w:tcPr>
            <w:tcW w:w="4164" w:type="dxa"/>
            <w:vMerge w:val="restart"/>
            <w:tcBorders>
              <w:top w:val="double" w:sz="6" w:space="0" w:color="auto"/>
              <w:left w:val="nil"/>
              <w:right w:val="nil"/>
            </w:tcBorders>
            <w:shd w:val="clear" w:color="auto" w:fill="auto"/>
            <w:vAlign w:val="center"/>
            <w:hideMark/>
          </w:tcPr>
          <w:p w14:paraId="7C34BC40" w14:textId="77777777" w:rsidR="00DB63BA" w:rsidRPr="00005453" w:rsidRDefault="00DB63BA" w:rsidP="00EC581E">
            <w:pPr>
              <w:jc w:val="both"/>
              <w:rPr>
                <w:b/>
                <w:bCs/>
                <w:color w:val="000000"/>
                <w:sz w:val="18"/>
                <w:szCs w:val="18"/>
                <w:lang w:eastAsia="tr-TR"/>
              </w:rPr>
            </w:pPr>
            <w:r w:rsidRPr="00005453">
              <w:rPr>
                <w:b/>
                <w:bCs/>
                <w:color w:val="000000"/>
                <w:sz w:val="18"/>
                <w:szCs w:val="18"/>
                <w:lang w:eastAsia="tr-TR"/>
              </w:rPr>
              <w:t> </w:t>
            </w:r>
          </w:p>
          <w:p w14:paraId="244DD8A8" w14:textId="0E26E182" w:rsidR="00DB63BA" w:rsidRPr="00005453" w:rsidRDefault="00DB63BA" w:rsidP="00EC581E">
            <w:pPr>
              <w:jc w:val="both"/>
              <w:rPr>
                <w:b/>
                <w:bCs/>
                <w:color w:val="000000"/>
                <w:sz w:val="18"/>
                <w:szCs w:val="18"/>
                <w:lang w:eastAsia="tr-TR"/>
              </w:rPr>
            </w:pPr>
            <w:r w:rsidRPr="00005453">
              <w:rPr>
                <w:b/>
                <w:bCs/>
                <w:color w:val="000000"/>
                <w:sz w:val="18"/>
                <w:szCs w:val="18"/>
                <w:lang w:eastAsia="tr-TR"/>
              </w:rPr>
              <w:t> </w:t>
            </w:r>
          </w:p>
        </w:tc>
        <w:tc>
          <w:tcPr>
            <w:tcW w:w="3066" w:type="dxa"/>
            <w:gridSpan w:val="2"/>
            <w:tcBorders>
              <w:top w:val="double" w:sz="6" w:space="0" w:color="auto"/>
              <w:left w:val="nil"/>
              <w:bottom w:val="single" w:sz="8" w:space="0" w:color="auto"/>
              <w:right w:val="nil"/>
            </w:tcBorders>
            <w:shd w:val="clear" w:color="auto" w:fill="auto"/>
            <w:vAlign w:val="center"/>
            <w:hideMark/>
          </w:tcPr>
          <w:p w14:paraId="597D7953" w14:textId="77777777" w:rsidR="00DB63BA" w:rsidRPr="00005453" w:rsidRDefault="00DB63BA" w:rsidP="00614CD2">
            <w:pPr>
              <w:ind w:left="912"/>
              <w:jc w:val="right"/>
              <w:rPr>
                <w:b/>
                <w:bCs/>
                <w:color w:val="000000"/>
                <w:sz w:val="18"/>
                <w:szCs w:val="18"/>
                <w:lang w:eastAsia="tr-TR"/>
              </w:rPr>
            </w:pPr>
            <w:r w:rsidRPr="00005453">
              <w:rPr>
                <w:b/>
                <w:bCs/>
                <w:color w:val="000000"/>
                <w:sz w:val="18"/>
                <w:szCs w:val="18"/>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3DA44C41" w14:textId="77777777" w:rsidR="00DB63BA" w:rsidRPr="00005453" w:rsidRDefault="00DB63BA" w:rsidP="00614CD2">
            <w:pPr>
              <w:jc w:val="right"/>
              <w:rPr>
                <w:b/>
                <w:bCs/>
                <w:color w:val="000000"/>
                <w:sz w:val="18"/>
                <w:szCs w:val="18"/>
                <w:lang w:eastAsia="tr-TR"/>
              </w:rPr>
            </w:pPr>
            <w:r w:rsidRPr="00005453">
              <w:rPr>
                <w:b/>
                <w:bCs/>
                <w:color w:val="000000"/>
                <w:sz w:val="18"/>
                <w:szCs w:val="18"/>
                <w:lang w:eastAsia="tr-TR"/>
              </w:rPr>
              <w:t>Önceki Dönem</w:t>
            </w:r>
          </w:p>
        </w:tc>
      </w:tr>
      <w:tr w:rsidR="00DB63BA" w:rsidRPr="00005453" w14:paraId="2AB049A2" w14:textId="77777777" w:rsidTr="003161D5">
        <w:trPr>
          <w:divId w:val="5644071"/>
          <w:trHeight w:val="238"/>
        </w:trPr>
        <w:tc>
          <w:tcPr>
            <w:tcW w:w="4164" w:type="dxa"/>
            <w:vMerge/>
            <w:tcBorders>
              <w:left w:val="nil"/>
              <w:bottom w:val="single" w:sz="8" w:space="0" w:color="auto"/>
              <w:right w:val="nil"/>
            </w:tcBorders>
            <w:shd w:val="clear" w:color="auto" w:fill="auto"/>
            <w:vAlign w:val="center"/>
            <w:hideMark/>
          </w:tcPr>
          <w:p w14:paraId="327CBEF4" w14:textId="2D644EEE" w:rsidR="00DB63BA" w:rsidRPr="00005453" w:rsidRDefault="00DB63BA" w:rsidP="00EC581E">
            <w:pPr>
              <w:jc w:val="both"/>
              <w:rPr>
                <w:b/>
                <w:bCs/>
                <w:color w:val="000000"/>
                <w:sz w:val="18"/>
                <w:szCs w:val="18"/>
                <w:lang w:eastAsia="tr-TR"/>
              </w:rPr>
            </w:pPr>
          </w:p>
        </w:tc>
        <w:tc>
          <w:tcPr>
            <w:tcW w:w="1932" w:type="dxa"/>
            <w:tcBorders>
              <w:top w:val="nil"/>
              <w:left w:val="nil"/>
              <w:bottom w:val="single" w:sz="8" w:space="0" w:color="auto"/>
              <w:right w:val="nil"/>
            </w:tcBorders>
            <w:shd w:val="clear" w:color="auto" w:fill="auto"/>
            <w:vAlign w:val="center"/>
            <w:hideMark/>
          </w:tcPr>
          <w:p w14:paraId="76B65A73"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4CB8D660"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YP</w:t>
            </w:r>
          </w:p>
        </w:tc>
        <w:tc>
          <w:tcPr>
            <w:tcW w:w="1078" w:type="dxa"/>
            <w:tcBorders>
              <w:top w:val="nil"/>
              <w:left w:val="nil"/>
              <w:bottom w:val="single" w:sz="8" w:space="0" w:color="auto"/>
              <w:right w:val="nil"/>
            </w:tcBorders>
            <w:shd w:val="clear" w:color="auto" w:fill="auto"/>
            <w:vAlign w:val="center"/>
            <w:hideMark/>
          </w:tcPr>
          <w:p w14:paraId="6A051097"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TP</w:t>
            </w:r>
          </w:p>
        </w:tc>
        <w:tc>
          <w:tcPr>
            <w:tcW w:w="1089" w:type="dxa"/>
            <w:tcBorders>
              <w:top w:val="nil"/>
              <w:left w:val="nil"/>
              <w:bottom w:val="single" w:sz="8" w:space="0" w:color="auto"/>
              <w:right w:val="nil"/>
            </w:tcBorders>
            <w:shd w:val="clear" w:color="auto" w:fill="auto"/>
            <w:vAlign w:val="center"/>
            <w:hideMark/>
          </w:tcPr>
          <w:p w14:paraId="5F5A6A63" w14:textId="77777777" w:rsidR="00DB63BA" w:rsidRPr="00005453" w:rsidRDefault="00DB63BA" w:rsidP="00EC581E">
            <w:pPr>
              <w:jc w:val="right"/>
              <w:rPr>
                <w:b/>
                <w:bCs/>
                <w:color w:val="000000"/>
                <w:sz w:val="18"/>
                <w:szCs w:val="18"/>
                <w:lang w:eastAsia="tr-TR"/>
              </w:rPr>
            </w:pPr>
            <w:r w:rsidRPr="00005453">
              <w:rPr>
                <w:b/>
                <w:bCs/>
                <w:color w:val="000000"/>
                <w:sz w:val="18"/>
                <w:szCs w:val="18"/>
                <w:lang w:eastAsia="tr-TR"/>
              </w:rPr>
              <w:t>YP</w:t>
            </w:r>
          </w:p>
        </w:tc>
      </w:tr>
      <w:tr w:rsidR="00000F21" w:rsidRPr="00005453" w14:paraId="6B4BF67A" w14:textId="77777777" w:rsidTr="00000F21">
        <w:trPr>
          <w:divId w:val="5644071"/>
          <w:trHeight w:val="223"/>
        </w:trPr>
        <w:tc>
          <w:tcPr>
            <w:tcW w:w="4164" w:type="dxa"/>
            <w:tcBorders>
              <w:top w:val="nil"/>
              <w:left w:val="nil"/>
              <w:bottom w:val="nil"/>
              <w:right w:val="nil"/>
            </w:tcBorders>
            <w:shd w:val="clear" w:color="auto" w:fill="auto"/>
            <w:vAlign w:val="center"/>
            <w:hideMark/>
          </w:tcPr>
          <w:p w14:paraId="48059462" w14:textId="77777777" w:rsidR="00000F21" w:rsidRPr="00005453" w:rsidRDefault="00000F21" w:rsidP="00000F21">
            <w:pPr>
              <w:jc w:val="both"/>
              <w:rPr>
                <w:color w:val="000000"/>
                <w:sz w:val="18"/>
                <w:szCs w:val="18"/>
                <w:lang w:eastAsia="tr-TR"/>
              </w:rPr>
            </w:pPr>
            <w:r w:rsidRPr="00005453">
              <w:rPr>
                <w:color w:val="000000"/>
                <w:sz w:val="18"/>
                <w:szCs w:val="18"/>
                <w:lang w:eastAsia="tr-TR"/>
              </w:rPr>
              <w:t>T.C. Merkez Bankası Kredileri</w:t>
            </w:r>
          </w:p>
        </w:tc>
        <w:tc>
          <w:tcPr>
            <w:tcW w:w="1932" w:type="dxa"/>
            <w:tcBorders>
              <w:top w:val="nil"/>
              <w:left w:val="nil"/>
              <w:bottom w:val="nil"/>
              <w:right w:val="nil"/>
            </w:tcBorders>
            <w:shd w:val="clear" w:color="auto" w:fill="auto"/>
            <w:vAlign w:val="center"/>
            <w:hideMark/>
          </w:tcPr>
          <w:p w14:paraId="191A46D9" w14:textId="357E12A4" w:rsidR="00000F21" w:rsidRPr="00005453" w:rsidRDefault="00000F21" w:rsidP="00000F21">
            <w:pPr>
              <w:jc w:val="right"/>
              <w:rPr>
                <w:color w:val="000000"/>
                <w:sz w:val="18"/>
                <w:szCs w:val="18"/>
                <w:lang w:eastAsia="tr-TR"/>
              </w:rPr>
            </w:pPr>
            <w:r w:rsidRPr="00005453">
              <w:rPr>
                <w:sz w:val="18"/>
                <w:szCs w:val="18"/>
              </w:rPr>
              <w:t>-</w:t>
            </w:r>
          </w:p>
        </w:tc>
        <w:tc>
          <w:tcPr>
            <w:tcW w:w="1134" w:type="dxa"/>
            <w:tcBorders>
              <w:top w:val="nil"/>
              <w:left w:val="nil"/>
              <w:bottom w:val="nil"/>
              <w:right w:val="nil"/>
            </w:tcBorders>
            <w:shd w:val="clear" w:color="auto" w:fill="auto"/>
            <w:vAlign w:val="center"/>
            <w:hideMark/>
          </w:tcPr>
          <w:p w14:paraId="201CC51B" w14:textId="078E3105" w:rsidR="00000F21" w:rsidRPr="00005453" w:rsidRDefault="00000F21" w:rsidP="00000F21">
            <w:pPr>
              <w:jc w:val="right"/>
              <w:rPr>
                <w:color w:val="000000"/>
                <w:sz w:val="18"/>
                <w:szCs w:val="18"/>
                <w:lang w:eastAsia="tr-TR"/>
              </w:rPr>
            </w:pPr>
            <w:r w:rsidRPr="00005453">
              <w:rPr>
                <w:sz w:val="18"/>
                <w:szCs w:val="18"/>
              </w:rPr>
              <w:t>-</w:t>
            </w:r>
          </w:p>
        </w:tc>
        <w:tc>
          <w:tcPr>
            <w:tcW w:w="1078" w:type="dxa"/>
            <w:tcBorders>
              <w:top w:val="nil"/>
              <w:left w:val="nil"/>
              <w:bottom w:val="nil"/>
              <w:right w:val="nil"/>
            </w:tcBorders>
            <w:shd w:val="clear" w:color="auto" w:fill="auto"/>
            <w:vAlign w:val="center"/>
            <w:hideMark/>
          </w:tcPr>
          <w:p w14:paraId="0AC26139" w14:textId="1E12576C" w:rsidR="00000F21" w:rsidRPr="00005453" w:rsidRDefault="00000F21" w:rsidP="00000F21">
            <w:pPr>
              <w:jc w:val="right"/>
              <w:rPr>
                <w:color w:val="000000"/>
                <w:sz w:val="18"/>
                <w:szCs w:val="18"/>
                <w:lang w:eastAsia="tr-TR"/>
              </w:rPr>
            </w:pPr>
            <w:r w:rsidRPr="00005453">
              <w:rPr>
                <w:color w:val="000000"/>
                <w:sz w:val="18"/>
                <w:szCs w:val="18"/>
                <w:lang w:eastAsia="tr-TR"/>
              </w:rPr>
              <w:t>-</w:t>
            </w:r>
          </w:p>
        </w:tc>
        <w:tc>
          <w:tcPr>
            <w:tcW w:w="1089" w:type="dxa"/>
            <w:tcBorders>
              <w:top w:val="nil"/>
              <w:left w:val="nil"/>
              <w:bottom w:val="nil"/>
              <w:right w:val="nil"/>
            </w:tcBorders>
            <w:shd w:val="clear" w:color="auto" w:fill="auto"/>
            <w:vAlign w:val="center"/>
            <w:hideMark/>
          </w:tcPr>
          <w:p w14:paraId="5E1874F6" w14:textId="52262EFF" w:rsidR="00000F21" w:rsidRPr="00005453" w:rsidRDefault="00000F21" w:rsidP="00000F21">
            <w:pPr>
              <w:jc w:val="right"/>
              <w:rPr>
                <w:color w:val="000000"/>
                <w:sz w:val="18"/>
                <w:szCs w:val="18"/>
                <w:lang w:eastAsia="tr-TR"/>
              </w:rPr>
            </w:pPr>
            <w:r w:rsidRPr="00005453">
              <w:rPr>
                <w:color w:val="000000"/>
                <w:sz w:val="18"/>
                <w:szCs w:val="18"/>
                <w:lang w:eastAsia="tr-TR"/>
              </w:rPr>
              <w:t>-</w:t>
            </w:r>
          </w:p>
        </w:tc>
      </w:tr>
      <w:tr w:rsidR="00000F21" w:rsidRPr="00005453" w14:paraId="522F3B2A" w14:textId="77777777" w:rsidTr="00000F21">
        <w:trPr>
          <w:divId w:val="5644071"/>
          <w:trHeight w:val="223"/>
        </w:trPr>
        <w:tc>
          <w:tcPr>
            <w:tcW w:w="4164" w:type="dxa"/>
            <w:tcBorders>
              <w:top w:val="nil"/>
              <w:left w:val="nil"/>
              <w:bottom w:val="nil"/>
              <w:right w:val="nil"/>
            </w:tcBorders>
            <w:shd w:val="clear" w:color="auto" w:fill="auto"/>
            <w:vAlign w:val="center"/>
            <w:hideMark/>
          </w:tcPr>
          <w:p w14:paraId="5C3BA2DA" w14:textId="4AC47E77" w:rsidR="00000F21" w:rsidRPr="00005453" w:rsidRDefault="00000F21" w:rsidP="00000F21">
            <w:pPr>
              <w:jc w:val="both"/>
              <w:rPr>
                <w:color w:val="000000"/>
                <w:sz w:val="18"/>
                <w:szCs w:val="18"/>
                <w:lang w:eastAsia="tr-TR"/>
              </w:rPr>
            </w:pPr>
            <w:r w:rsidRPr="00005453">
              <w:rPr>
                <w:color w:val="000000"/>
                <w:sz w:val="18"/>
                <w:szCs w:val="18"/>
                <w:lang w:eastAsia="tr-TR"/>
              </w:rPr>
              <w:t>Yurt içi Banka ve Kuruluşlardan</w:t>
            </w:r>
          </w:p>
        </w:tc>
        <w:tc>
          <w:tcPr>
            <w:tcW w:w="1932" w:type="dxa"/>
            <w:tcBorders>
              <w:top w:val="nil"/>
              <w:left w:val="nil"/>
              <w:bottom w:val="nil"/>
              <w:right w:val="nil"/>
            </w:tcBorders>
            <w:shd w:val="clear" w:color="auto" w:fill="auto"/>
            <w:vAlign w:val="center"/>
            <w:hideMark/>
          </w:tcPr>
          <w:p w14:paraId="76E35AD6" w14:textId="672E9FC9" w:rsidR="00000F21" w:rsidRPr="00005453" w:rsidRDefault="00000F21" w:rsidP="00000F21">
            <w:pPr>
              <w:jc w:val="right"/>
              <w:rPr>
                <w:color w:val="000000"/>
                <w:sz w:val="18"/>
                <w:szCs w:val="18"/>
                <w:lang w:eastAsia="tr-TR"/>
              </w:rPr>
            </w:pPr>
            <w:r w:rsidRPr="00005453">
              <w:rPr>
                <w:sz w:val="18"/>
                <w:szCs w:val="18"/>
              </w:rPr>
              <w:t>3,547,337</w:t>
            </w:r>
          </w:p>
        </w:tc>
        <w:tc>
          <w:tcPr>
            <w:tcW w:w="1134" w:type="dxa"/>
            <w:tcBorders>
              <w:top w:val="nil"/>
              <w:left w:val="nil"/>
              <w:bottom w:val="nil"/>
              <w:right w:val="nil"/>
            </w:tcBorders>
            <w:shd w:val="clear" w:color="auto" w:fill="auto"/>
            <w:vAlign w:val="center"/>
            <w:hideMark/>
          </w:tcPr>
          <w:p w14:paraId="0B20B530" w14:textId="6D049CA8" w:rsidR="00000F21" w:rsidRPr="00005453" w:rsidRDefault="00000F21" w:rsidP="00000F21">
            <w:pPr>
              <w:jc w:val="right"/>
              <w:rPr>
                <w:color w:val="000000"/>
                <w:sz w:val="18"/>
                <w:szCs w:val="18"/>
                <w:lang w:eastAsia="tr-TR"/>
              </w:rPr>
            </w:pPr>
            <w:r w:rsidRPr="00005453">
              <w:rPr>
                <w:sz w:val="18"/>
                <w:szCs w:val="18"/>
              </w:rPr>
              <w:t>85,667,578</w:t>
            </w:r>
          </w:p>
        </w:tc>
        <w:tc>
          <w:tcPr>
            <w:tcW w:w="1078" w:type="dxa"/>
            <w:tcBorders>
              <w:top w:val="nil"/>
              <w:left w:val="nil"/>
              <w:bottom w:val="nil"/>
              <w:right w:val="nil"/>
            </w:tcBorders>
            <w:shd w:val="clear" w:color="auto" w:fill="auto"/>
            <w:vAlign w:val="center"/>
            <w:hideMark/>
          </w:tcPr>
          <w:p w14:paraId="00D3A638" w14:textId="169C7E39" w:rsidR="00000F21" w:rsidRPr="00005453" w:rsidRDefault="00000F21" w:rsidP="00000F21">
            <w:pPr>
              <w:jc w:val="right"/>
              <w:rPr>
                <w:color w:val="000000"/>
                <w:sz w:val="18"/>
                <w:szCs w:val="18"/>
                <w:lang w:eastAsia="tr-TR"/>
              </w:rPr>
            </w:pPr>
            <w:r w:rsidRPr="00005453">
              <w:rPr>
                <w:sz w:val="18"/>
                <w:szCs w:val="18"/>
              </w:rPr>
              <w:t>9,211,884</w:t>
            </w:r>
          </w:p>
        </w:tc>
        <w:tc>
          <w:tcPr>
            <w:tcW w:w="1089" w:type="dxa"/>
            <w:tcBorders>
              <w:top w:val="nil"/>
              <w:left w:val="nil"/>
              <w:bottom w:val="nil"/>
              <w:right w:val="nil"/>
            </w:tcBorders>
            <w:shd w:val="clear" w:color="auto" w:fill="auto"/>
            <w:vAlign w:val="center"/>
            <w:hideMark/>
          </w:tcPr>
          <w:p w14:paraId="529C5329" w14:textId="66909D79" w:rsidR="00000F21" w:rsidRPr="00005453" w:rsidRDefault="00000F21" w:rsidP="00000F21">
            <w:pPr>
              <w:jc w:val="right"/>
              <w:rPr>
                <w:color w:val="000000"/>
                <w:sz w:val="18"/>
                <w:szCs w:val="18"/>
                <w:lang w:eastAsia="tr-TR"/>
              </w:rPr>
            </w:pPr>
            <w:r w:rsidRPr="00005453">
              <w:rPr>
                <w:sz w:val="18"/>
                <w:szCs w:val="18"/>
              </w:rPr>
              <w:t>44,343,337</w:t>
            </w:r>
          </w:p>
        </w:tc>
      </w:tr>
      <w:tr w:rsidR="00000F21" w:rsidRPr="00005453" w14:paraId="320F2077" w14:textId="77777777" w:rsidTr="00000F21">
        <w:trPr>
          <w:divId w:val="5644071"/>
          <w:trHeight w:val="238"/>
        </w:trPr>
        <w:tc>
          <w:tcPr>
            <w:tcW w:w="4164" w:type="dxa"/>
            <w:tcBorders>
              <w:top w:val="nil"/>
              <w:left w:val="nil"/>
              <w:bottom w:val="single" w:sz="8" w:space="0" w:color="auto"/>
              <w:right w:val="nil"/>
            </w:tcBorders>
            <w:shd w:val="clear" w:color="auto" w:fill="auto"/>
            <w:vAlign w:val="center"/>
            <w:hideMark/>
          </w:tcPr>
          <w:p w14:paraId="78FD9571" w14:textId="0819FCD6" w:rsidR="00000F21" w:rsidRPr="00005453" w:rsidRDefault="00000F21" w:rsidP="00000F21">
            <w:pPr>
              <w:jc w:val="both"/>
              <w:rPr>
                <w:color w:val="000000"/>
                <w:sz w:val="18"/>
                <w:szCs w:val="18"/>
                <w:lang w:eastAsia="tr-TR"/>
              </w:rPr>
            </w:pPr>
            <w:r w:rsidRPr="00005453">
              <w:rPr>
                <w:color w:val="000000"/>
                <w:sz w:val="18"/>
                <w:szCs w:val="18"/>
                <w:lang w:eastAsia="tr-TR"/>
              </w:rPr>
              <w:t>Yurt dışı Banka, Kuruluş ve Fonlardan</w:t>
            </w:r>
          </w:p>
        </w:tc>
        <w:tc>
          <w:tcPr>
            <w:tcW w:w="1932" w:type="dxa"/>
            <w:tcBorders>
              <w:top w:val="nil"/>
              <w:left w:val="nil"/>
              <w:bottom w:val="single" w:sz="8" w:space="0" w:color="auto"/>
              <w:right w:val="nil"/>
            </w:tcBorders>
            <w:shd w:val="clear" w:color="auto" w:fill="auto"/>
            <w:vAlign w:val="center"/>
            <w:hideMark/>
          </w:tcPr>
          <w:p w14:paraId="335B126D" w14:textId="053089B4" w:rsidR="00000F21" w:rsidRPr="00005453" w:rsidRDefault="00000F21" w:rsidP="00000F21">
            <w:pPr>
              <w:jc w:val="right"/>
              <w:rPr>
                <w:color w:val="000000"/>
                <w:sz w:val="18"/>
                <w:szCs w:val="18"/>
                <w:lang w:eastAsia="tr-TR"/>
              </w:rPr>
            </w:pPr>
            <w:r w:rsidRPr="00005453">
              <w:rPr>
                <w:sz w:val="18"/>
                <w:szCs w:val="18"/>
              </w:rPr>
              <w:t>600,000</w:t>
            </w:r>
          </w:p>
        </w:tc>
        <w:tc>
          <w:tcPr>
            <w:tcW w:w="1134" w:type="dxa"/>
            <w:tcBorders>
              <w:top w:val="nil"/>
              <w:left w:val="nil"/>
              <w:bottom w:val="single" w:sz="8" w:space="0" w:color="auto"/>
              <w:right w:val="nil"/>
            </w:tcBorders>
            <w:shd w:val="clear" w:color="auto" w:fill="auto"/>
            <w:vAlign w:val="center"/>
            <w:hideMark/>
          </w:tcPr>
          <w:p w14:paraId="47DEBB89" w14:textId="78E4DFE6" w:rsidR="00000F21" w:rsidRPr="00005453" w:rsidRDefault="00000F21" w:rsidP="00000F21">
            <w:pPr>
              <w:jc w:val="right"/>
              <w:rPr>
                <w:color w:val="000000"/>
                <w:sz w:val="18"/>
                <w:szCs w:val="18"/>
                <w:lang w:eastAsia="tr-TR"/>
              </w:rPr>
            </w:pPr>
            <w:r w:rsidRPr="00005453">
              <w:rPr>
                <w:color w:val="000000"/>
                <w:sz w:val="18"/>
                <w:szCs w:val="18"/>
              </w:rPr>
              <w:t>32,106,071</w:t>
            </w:r>
          </w:p>
        </w:tc>
        <w:tc>
          <w:tcPr>
            <w:tcW w:w="1078" w:type="dxa"/>
            <w:tcBorders>
              <w:top w:val="nil"/>
              <w:left w:val="nil"/>
              <w:bottom w:val="single" w:sz="8" w:space="0" w:color="auto"/>
              <w:right w:val="nil"/>
            </w:tcBorders>
            <w:shd w:val="clear" w:color="auto" w:fill="auto"/>
            <w:vAlign w:val="center"/>
            <w:hideMark/>
          </w:tcPr>
          <w:p w14:paraId="46CD4BBD" w14:textId="02C8B6BC" w:rsidR="00000F21" w:rsidRPr="00005453" w:rsidRDefault="00000F21" w:rsidP="00000F21">
            <w:pPr>
              <w:jc w:val="right"/>
              <w:rPr>
                <w:color w:val="000000"/>
                <w:sz w:val="18"/>
                <w:szCs w:val="18"/>
                <w:lang w:eastAsia="tr-TR"/>
              </w:rPr>
            </w:pPr>
            <w:r w:rsidRPr="00005453">
              <w:rPr>
                <w:sz w:val="18"/>
                <w:szCs w:val="18"/>
              </w:rPr>
              <w:t>53,371</w:t>
            </w:r>
          </w:p>
        </w:tc>
        <w:tc>
          <w:tcPr>
            <w:tcW w:w="1089" w:type="dxa"/>
            <w:tcBorders>
              <w:top w:val="nil"/>
              <w:left w:val="nil"/>
              <w:bottom w:val="single" w:sz="8" w:space="0" w:color="auto"/>
              <w:right w:val="nil"/>
            </w:tcBorders>
            <w:shd w:val="clear" w:color="auto" w:fill="auto"/>
            <w:vAlign w:val="center"/>
            <w:hideMark/>
          </w:tcPr>
          <w:p w14:paraId="4CDF6AC0" w14:textId="31D04994" w:rsidR="00000F21" w:rsidRPr="00005453" w:rsidRDefault="00000F21" w:rsidP="00000F21">
            <w:pPr>
              <w:jc w:val="right"/>
              <w:rPr>
                <w:color w:val="000000"/>
                <w:sz w:val="18"/>
                <w:szCs w:val="18"/>
                <w:lang w:eastAsia="tr-TR"/>
              </w:rPr>
            </w:pPr>
            <w:r w:rsidRPr="00005453">
              <w:rPr>
                <w:color w:val="000000"/>
                <w:sz w:val="18"/>
                <w:szCs w:val="18"/>
              </w:rPr>
              <w:t>19,418,755</w:t>
            </w:r>
          </w:p>
        </w:tc>
      </w:tr>
      <w:tr w:rsidR="00000F21" w:rsidRPr="00005453" w14:paraId="6BD3BDAC" w14:textId="77777777" w:rsidTr="00000F21">
        <w:trPr>
          <w:divId w:val="5644071"/>
          <w:trHeight w:val="238"/>
        </w:trPr>
        <w:tc>
          <w:tcPr>
            <w:tcW w:w="4164" w:type="dxa"/>
            <w:tcBorders>
              <w:top w:val="nil"/>
              <w:left w:val="nil"/>
              <w:bottom w:val="double" w:sz="6" w:space="0" w:color="auto"/>
              <w:right w:val="nil"/>
            </w:tcBorders>
            <w:shd w:val="clear" w:color="auto" w:fill="auto"/>
            <w:vAlign w:val="center"/>
            <w:hideMark/>
          </w:tcPr>
          <w:p w14:paraId="095D5179" w14:textId="77777777" w:rsidR="00000F21" w:rsidRPr="00005453" w:rsidRDefault="00000F21" w:rsidP="00000F21">
            <w:pPr>
              <w:jc w:val="both"/>
              <w:rPr>
                <w:b/>
                <w:bCs/>
                <w:color w:val="000000"/>
                <w:sz w:val="18"/>
                <w:szCs w:val="18"/>
                <w:lang w:eastAsia="tr-TR"/>
              </w:rPr>
            </w:pPr>
            <w:r w:rsidRPr="00005453">
              <w:rPr>
                <w:b/>
                <w:bCs/>
                <w:color w:val="000000"/>
                <w:sz w:val="18"/>
                <w:szCs w:val="18"/>
                <w:lang w:eastAsia="tr-TR"/>
              </w:rPr>
              <w:t>Toplam</w:t>
            </w:r>
          </w:p>
        </w:tc>
        <w:tc>
          <w:tcPr>
            <w:tcW w:w="1932" w:type="dxa"/>
            <w:tcBorders>
              <w:top w:val="nil"/>
              <w:left w:val="nil"/>
              <w:bottom w:val="double" w:sz="6" w:space="0" w:color="auto"/>
              <w:right w:val="nil"/>
            </w:tcBorders>
            <w:shd w:val="clear" w:color="auto" w:fill="auto"/>
            <w:vAlign w:val="center"/>
            <w:hideMark/>
          </w:tcPr>
          <w:p w14:paraId="5C0B3312" w14:textId="4AD8A820" w:rsidR="00000F21" w:rsidRPr="00005453" w:rsidRDefault="00000F21" w:rsidP="00000F21">
            <w:pPr>
              <w:jc w:val="right"/>
              <w:rPr>
                <w:b/>
                <w:bCs/>
                <w:color w:val="000000"/>
                <w:sz w:val="18"/>
                <w:szCs w:val="18"/>
                <w:lang w:eastAsia="tr-TR"/>
              </w:rPr>
            </w:pPr>
            <w:r w:rsidRPr="00005453">
              <w:rPr>
                <w:b/>
                <w:bCs/>
                <w:sz w:val="18"/>
                <w:szCs w:val="18"/>
              </w:rPr>
              <w:t>4,147,337</w:t>
            </w:r>
          </w:p>
        </w:tc>
        <w:tc>
          <w:tcPr>
            <w:tcW w:w="1134" w:type="dxa"/>
            <w:tcBorders>
              <w:top w:val="nil"/>
              <w:left w:val="nil"/>
              <w:bottom w:val="double" w:sz="6" w:space="0" w:color="auto"/>
              <w:right w:val="nil"/>
            </w:tcBorders>
            <w:shd w:val="clear" w:color="auto" w:fill="auto"/>
            <w:vAlign w:val="center"/>
            <w:hideMark/>
          </w:tcPr>
          <w:p w14:paraId="34B32882" w14:textId="1EB68514" w:rsidR="00000F21" w:rsidRPr="00005453" w:rsidRDefault="00000F21" w:rsidP="00000F21">
            <w:pPr>
              <w:jc w:val="right"/>
              <w:rPr>
                <w:b/>
                <w:bCs/>
                <w:color w:val="000000"/>
                <w:sz w:val="18"/>
                <w:szCs w:val="18"/>
                <w:lang w:eastAsia="tr-TR"/>
              </w:rPr>
            </w:pPr>
            <w:r w:rsidRPr="00005453">
              <w:rPr>
                <w:b/>
                <w:bCs/>
                <w:sz w:val="18"/>
                <w:szCs w:val="18"/>
              </w:rPr>
              <w:t>117,773,649</w:t>
            </w:r>
          </w:p>
        </w:tc>
        <w:tc>
          <w:tcPr>
            <w:tcW w:w="1078" w:type="dxa"/>
            <w:tcBorders>
              <w:top w:val="nil"/>
              <w:left w:val="nil"/>
              <w:bottom w:val="double" w:sz="6" w:space="0" w:color="auto"/>
              <w:right w:val="nil"/>
            </w:tcBorders>
            <w:shd w:val="clear" w:color="auto" w:fill="auto"/>
            <w:vAlign w:val="center"/>
            <w:hideMark/>
          </w:tcPr>
          <w:p w14:paraId="5825DD70" w14:textId="03AC241B" w:rsidR="00000F21" w:rsidRPr="00005453" w:rsidRDefault="00000F21" w:rsidP="00000F21">
            <w:pPr>
              <w:jc w:val="right"/>
              <w:rPr>
                <w:b/>
                <w:bCs/>
                <w:color w:val="000000"/>
                <w:sz w:val="18"/>
                <w:szCs w:val="18"/>
                <w:lang w:eastAsia="tr-TR"/>
              </w:rPr>
            </w:pPr>
            <w:r w:rsidRPr="00005453">
              <w:rPr>
                <w:b/>
                <w:bCs/>
                <w:sz w:val="18"/>
                <w:szCs w:val="18"/>
              </w:rPr>
              <w:t>9,265,255</w:t>
            </w:r>
          </w:p>
        </w:tc>
        <w:tc>
          <w:tcPr>
            <w:tcW w:w="1089" w:type="dxa"/>
            <w:tcBorders>
              <w:top w:val="nil"/>
              <w:left w:val="nil"/>
              <w:bottom w:val="double" w:sz="6" w:space="0" w:color="auto"/>
              <w:right w:val="nil"/>
            </w:tcBorders>
            <w:shd w:val="clear" w:color="auto" w:fill="auto"/>
            <w:vAlign w:val="center"/>
            <w:hideMark/>
          </w:tcPr>
          <w:p w14:paraId="3FAD0634" w14:textId="3FEA78B6" w:rsidR="00000F21" w:rsidRPr="00005453" w:rsidRDefault="00000F21" w:rsidP="00000F21">
            <w:pPr>
              <w:jc w:val="right"/>
              <w:rPr>
                <w:b/>
                <w:bCs/>
                <w:color w:val="000000"/>
                <w:sz w:val="18"/>
                <w:szCs w:val="18"/>
                <w:lang w:eastAsia="tr-TR"/>
              </w:rPr>
            </w:pPr>
            <w:r w:rsidRPr="00005453">
              <w:rPr>
                <w:b/>
                <w:bCs/>
                <w:sz w:val="18"/>
                <w:szCs w:val="18"/>
              </w:rPr>
              <w:t>63,762,092</w:t>
            </w:r>
          </w:p>
        </w:tc>
      </w:tr>
    </w:tbl>
    <w:p w14:paraId="1C6B2440" w14:textId="5FC2C32D" w:rsidR="009A0A9F" w:rsidRPr="00005453" w:rsidRDefault="009A0A9F" w:rsidP="00F56668">
      <w:pPr>
        <w:rPr>
          <w:sz w:val="16"/>
          <w:szCs w:val="16"/>
        </w:rPr>
      </w:pPr>
    </w:p>
    <w:p w14:paraId="555A5DD3" w14:textId="481B2EBF" w:rsidR="000F096F" w:rsidRPr="00005453" w:rsidRDefault="003975AB" w:rsidP="003975AB">
      <w:pPr>
        <w:tabs>
          <w:tab w:val="num" w:pos="2340"/>
          <w:tab w:val="num" w:pos="3060"/>
        </w:tabs>
        <w:autoSpaceDE w:val="0"/>
        <w:autoSpaceDN w:val="0"/>
        <w:adjustRightInd w:val="0"/>
        <w:ind w:hanging="567"/>
      </w:pPr>
      <w:r w:rsidRPr="00005453">
        <w:rPr>
          <w:b/>
        </w:rPr>
        <w:t>2.3.2</w:t>
      </w:r>
      <w:r w:rsidRPr="00005453">
        <w:tab/>
      </w:r>
      <w:r w:rsidR="00E253C8" w:rsidRPr="00005453">
        <w:t>Alınan kredilerin kalan vade ayrımına göre gösterilmesi</w:t>
      </w:r>
    </w:p>
    <w:p w14:paraId="4D280451" w14:textId="68DCEF4F" w:rsidR="00EC581E" w:rsidRPr="00005453" w:rsidRDefault="00EC581E" w:rsidP="00C04CDF">
      <w:pPr>
        <w:tabs>
          <w:tab w:val="num" w:pos="2340"/>
          <w:tab w:val="num" w:pos="3060"/>
        </w:tabs>
        <w:autoSpaceDE w:val="0"/>
        <w:autoSpaceDN w:val="0"/>
        <w:adjustRightInd w:val="0"/>
        <w:ind w:left="180"/>
        <w:rPr>
          <w:lang w:val="de-DE" w:eastAsia="en-GB"/>
        </w:rPr>
      </w:pPr>
    </w:p>
    <w:tbl>
      <w:tblPr>
        <w:tblW w:w="9414" w:type="dxa"/>
        <w:tblCellMar>
          <w:left w:w="70" w:type="dxa"/>
          <w:right w:w="70" w:type="dxa"/>
        </w:tblCellMar>
        <w:tblLook w:val="04A0" w:firstRow="1" w:lastRow="0" w:firstColumn="1" w:lastColumn="0" w:noHBand="0" w:noVBand="1"/>
      </w:tblPr>
      <w:tblGrid>
        <w:gridCol w:w="4834"/>
        <w:gridCol w:w="1249"/>
        <w:gridCol w:w="1123"/>
        <w:gridCol w:w="1067"/>
        <w:gridCol w:w="1141"/>
      </w:tblGrid>
      <w:tr w:rsidR="00C5387C" w:rsidRPr="00005453" w14:paraId="00EA62EF" w14:textId="77777777" w:rsidTr="00BD1BED">
        <w:trPr>
          <w:trHeight w:val="244"/>
        </w:trPr>
        <w:tc>
          <w:tcPr>
            <w:tcW w:w="4834" w:type="dxa"/>
            <w:vMerge w:val="restart"/>
            <w:tcBorders>
              <w:top w:val="double" w:sz="6" w:space="0" w:color="auto"/>
              <w:left w:val="nil"/>
              <w:right w:val="nil"/>
            </w:tcBorders>
            <w:shd w:val="clear" w:color="auto" w:fill="auto"/>
            <w:vAlign w:val="center"/>
            <w:hideMark/>
          </w:tcPr>
          <w:p w14:paraId="1B4CC265" w14:textId="77777777" w:rsidR="00C5387C" w:rsidRPr="00005453" w:rsidRDefault="00C5387C" w:rsidP="00F106D9">
            <w:pPr>
              <w:jc w:val="both"/>
              <w:rPr>
                <w:b/>
                <w:bCs/>
                <w:color w:val="000000"/>
                <w:sz w:val="18"/>
                <w:szCs w:val="18"/>
                <w:lang w:eastAsia="tr-TR"/>
              </w:rPr>
            </w:pPr>
            <w:r w:rsidRPr="00005453">
              <w:rPr>
                <w:b/>
                <w:bCs/>
                <w:color w:val="000000"/>
                <w:sz w:val="18"/>
                <w:szCs w:val="18"/>
                <w:lang w:eastAsia="tr-TR"/>
              </w:rPr>
              <w:t> </w:t>
            </w:r>
          </w:p>
          <w:p w14:paraId="6ACA5B67" w14:textId="77777777" w:rsidR="00C5387C" w:rsidRPr="00005453" w:rsidRDefault="00C5387C" w:rsidP="00F106D9">
            <w:pPr>
              <w:jc w:val="both"/>
              <w:rPr>
                <w:b/>
                <w:bCs/>
                <w:color w:val="000000"/>
                <w:sz w:val="18"/>
                <w:szCs w:val="18"/>
                <w:lang w:eastAsia="tr-TR"/>
              </w:rPr>
            </w:pPr>
            <w:r w:rsidRPr="00005453">
              <w:rPr>
                <w:b/>
                <w:bCs/>
                <w:color w:val="000000"/>
                <w:sz w:val="18"/>
                <w:szCs w:val="18"/>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70217FE4" w14:textId="77777777" w:rsidR="00C5387C" w:rsidRPr="00005453" w:rsidRDefault="00C5387C" w:rsidP="00BD1BED">
            <w:pPr>
              <w:ind w:left="629" w:right="-231"/>
              <w:jc w:val="right"/>
              <w:rPr>
                <w:b/>
                <w:bCs/>
                <w:color w:val="000000"/>
                <w:sz w:val="18"/>
                <w:szCs w:val="18"/>
                <w:lang w:eastAsia="tr-TR"/>
              </w:rPr>
            </w:pPr>
            <w:r w:rsidRPr="00005453">
              <w:rPr>
                <w:b/>
                <w:bCs/>
                <w:color w:val="000000"/>
                <w:sz w:val="18"/>
                <w:szCs w:val="18"/>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5034493C" w14:textId="77777777" w:rsidR="00C5387C" w:rsidRPr="00005453" w:rsidRDefault="00C5387C" w:rsidP="00BD1BED">
            <w:pPr>
              <w:ind w:left="233" w:hanging="233"/>
              <w:jc w:val="right"/>
              <w:rPr>
                <w:b/>
                <w:bCs/>
                <w:color w:val="000000"/>
                <w:sz w:val="18"/>
                <w:szCs w:val="18"/>
                <w:lang w:eastAsia="tr-TR"/>
              </w:rPr>
            </w:pPr>
            <w:r w:rsidRPr="00005453">
              <w:rPr>
                <w:b/>
                <w:bCs/>
                <w:color w:val="000000"/>
                <w:sz w:val="18"/>
                <w:szCs w:val="18"/>
                <w:lang w:eastAsia="tr-TR"/>
              </w:rPr>
              <w:t>Önceki Dönem</w:t>
            </w:r>
          </w:p>
        </w:tc>
      </w:tr>
      <w:tr w:rsidR="00C5387C" w:rsidRPr="00005453" w14:paraId="0E14802A" w14:textId="77777777" w:rsidTr="00F106D9">
        <w:trPr>
          <w:trHeight w:val="230"/>
        </w:trPr>
        <w:tc>
          <w:tcPr>
            <w:tcW w:w="4834" w:type="dxa"/>
            <w:vMerge/>
            <w:tcBorders>
              <w:left w:val="nil"/>
              <w:bottom w:val="single" w:sz="8" w:space="0" w:color="auto"/>
              <w:right w:val="nil"/>
            </w:tcBorders>
            <w:shd w:val="clear" w:color="auto" w:fill="auto"/>
            <w:vAlign w:val="center"/>
            <w:hideMark/>
          </w:tcPr>
          <w:p w14:paraId="3AE22006" w14:textId="77777777" w:rsidR="00C5387C" w:rsidRPr="00005453" w:rsidRDefault="00C5387C" w:rsidP="00F106D9">
            <w:pPr>
              <w:jc w:val="both"/>
              <w:rPr>
                <w:b/>
                <w:bCs/>
                <w:color w:val="000000"/>
                <w:sz w:val="18"/>
                <w:szCs w:val="18"/>
                <w:lang w:eastAsia="tr-TR"/>
              </w:rPr>
            </w:pPr>
          </w:p>
        </w:tc>
        <w:tc>
          <w:tcPr>
            <w:tcW w:w="1249" w:type="dxa"/>
            <w:tcBorders>
              <w:top w:val="nil"/>
              <w:left w:val="nil"/>
              <w:bottom w:val="single" w:sz="8" w:space="0" w:color="auto"/>
              <w:right w:val="nil"/>
            </w:tcBorders>
            <w:shd w:val="clear" w:color="auto" w:fill="auto"/>
            <w:vAlign w:val="center"/>
            <w:hideMark/>
          </w:tcPr>
          <w:p w14:paraId="0FF35EAD" w14:textId="77777777" w:rsidR="00C5387C" w:rsidRPr="00005453" w:rsidRDefault="00C5387C" w:rsidP="00F106D9">
            <w:pPr>
              <w:jc w:val="right"/>
              <w:rPr>
                <w:b/>
                <w:bCs/>
                <w:color w:val="000000"/>
                <w:sz w:val="18"/>
                <w:szCs w:val="18"/>
                <w:lang w:eastAsia="tr-TR"/>
              </w:rPr>
            </w:pPr>
            <w:r w:rsidRPr="00005453">
              <w:rPr>
                <w:b/>
                <w:bCs/>
                <w:color w:val="000000"/>
                <w:sz w:val="18"/>
                <w:szCs w:val="18"/>
                <w:lang w:eastAsia="tr-TR"/>
              </w:rPr>
              <w:t>TP</w:t>
            </w:r>
          </w:p>
        </w:tc>
        <w:tc>
          <w:tcPr>
            <w:tcW w:w="1123" w:type="dxa"/>
            <w:tcBorders>
              <w:top w:val="nil"/>
              <w:left w:val="nil"/>
              <w:bottom w:val="single" w:sz="8" w:space="0" w:color="auto"/>
              <w:right w:val="nil"/>
            </w:tcBorders>
            <w:shd w:val="clear" w:color="auto" w:fill="auto"/>
            <w:vAlign w:val="center"/>
            <w:hideMark/>
          </w:tcPr>
          <w:p w14:paraId="0683BF49" w14:textId="77777777" w:rsidR="00C5387C" w:rsidRPr="00005453" w:rsidRDefault="00C5387C" w:rsidP="00F106D9">
            <w:pPr>
              <w:jc w:val="right"/>
              <w:rPr>
                <w:b/>
                <w:bCs/>
                <w:color w:val="000000"/>
                <w:sz w:val="18"/>
                <w:szCs w:val="18"/>
                <w:lang w:eastAsia="tr-TR"/>
              </w:rPr>
            </w:pPr>
            <w:r w:rsidRPr="00005453">
              <w:rPr>
                <w:b/>
                <w:bCs/>
                <w:color w:val="000000"/>
                <w:sz w:val="18"/>
                <w:szCs w:val="18"/>
                <w:lang w:eastAsia="tr-TR"/>
              </w:rPr>
              <w:t>YP</w:t>
            </w:r>
          </w:p>
        </w:tc>
        <w:tc>
          <w:tcPr>
            <w:tcW w:w="1067" w:type="dxa"/>
            <w:tcBorders>
              <w:top w:val="nil"/>
              <w:left w:val="nil"/>
              <w:bottom w:val="single" w:sz="8" w:space="0" w:color="auto"/>
              <w:right w:val="nil"/>
            </w:tcBorders>
            <w:shd w:val="clear" w:color="auto" w:fill="auto"/>
            <w:vAlign w:val="center"/>
            <w:hideMark/>
          </w:tcPr>
          <w:p w14:paraId="074DFBFC" w14:textId="77777777" w:rsidR="00C5387C" w:rsidRPr="00005453" w:rsidRDefault="00C5387C" w:rsidP="00F106D9">
            <w:pPr>
              <w:jc w:val="right"/>
              <w:rPr>
                <w:b/>
                <w:bCs/>
                <w:color w:val="000000"/>
                <w:sz w:val="18"/>
                <w:szCs w:val="18"/>
                <w:lang w:eastAsia="tr-TR"/>
              </w:rPr>
            </w:pPr>
            <w:r w:rsidRPr="00005453">
              <w:rPr>
                <w:b/>
                <w:bCs/>
                <w:color w:val="000000"/>
                <w:sz w:val="18"/>
                <w:szCs w:val="18"/>
                <w:lang w:eastAsia="tr-TR"/>
              </w:rPr>
              <w:t>TP</w:t>
            </w:r>
          </w:p>
        </w:tc>
        <w:tc>
          <w:tcPr>
            <w:tcW w:w="1141" w:type="dxa"/>
            <w:tcBorders>
              <w:top w:val="nil"/>
              <w:left w:val="nil"/>
              <w:bottom w:val="single" w:sz="8" w:space="0" w:color="auto"/>
              <w:right w:val="nil"/>
            </w:tcBorders>
            <w:shd w:val="clear" w:color="auto" w:fill="auto"/>
            <w:vAlign w:val="center"/>
            <w:hideMark/>
          </w:tcPr>
          <w:p w14:paraId="55C8A952" w14:textId="77777777" w:rsidR="00C5387C" w:rsidRPr="00005453" w:rsidRDefault="00C5387C" w:rsidP="00F106D9">
            <w:pPr>
              <w:jc w:val="right"/>
              <w:rPr>
                <w:b/>
                <w:bCs/>
                <w:color w:val="000000"/>
                <w:sz w:val="18"/>
                <w:szCs w:val="18"/>
                <w:lang w:eastAsia="tr-TR"/>
              </w:rPr>
            </w:pPr>
            <w:r w:rsidRPr="00005453">
              <w:rPr>
                <w:b/>
                <w:bCs/>
                <w:color w:val="000000"/>
                <w:sz w:val="18"/>
                <w:szCs w:val="18"/>
                <w:lang w:eastAsia="tr-TR"/>
              </w:rPr>
              <w:t>YP</w:t>
            </w:r>
          </w:p>
        </w:tc>
      </w:tr>
      <w:tr w:rsidR="00000F21" w:rsidRPr="00005453" w14:paraId="1C99C88F" w14:textId="77777777" w:rsidTr="00000F21">
        <w:trPr>
          <w:trHeight w:val="215"/>
        </w:trPr>
        <w:tc>
          <w:tcPr>
            <w:tcW w:w="4834" w:type="dxa"/>
            <w:tcBorders>
              <w:top w:val="nil"/>
              <w:left w:val="nil"/>
              <w:bottom w:val="nil"/>
              <w:right w:val="nil"/>
            </w:tcBorders>
            <w:shd w:val="clear" w:color="auto" w:fill="auto"/>
            <w:vAlign w:val="center"/>
            <w:hideMark/>
          </w:tcPr>
          <w:p w14:paraId="438588C6" w14:textId="77777777" w:rsidR="00000F21" w:rsidRPr="00005453" w:rsidRDefault="00000F21" w:rsidP="00000F21">
            <w:pPr>
              <w:jc w:val="both"/>
              <w:rPr>
                <w:color w:val="000000"/>
                <w:sz w:val="18"/>
                <w:szCs w:val="18"/>
                <w:lang w:eastAsia="tr-TR"/>
              </w:rPr>
            </w:pPr>
            <w:r w:rsidRPr="00005453">
              <w:rPr>
                <w:color w:val="000000"/>
                <w:sz w:val="18"/>
                <w:szCs w:val="18"/>
                <w:lang w:eastAsia="tr-TR"/>
              </w:rPr>
              <w:t>Kısa Vadeli</w:t>
            </w:r>
          </w:p>
        </w:tc>
        <w:tc>
          <w:tcPr>
            <w:tcW w:w="1249" w:type="dxa"/>
            <w:tcBorders>
              <w:top w:val="nil"/>
              <w:left w:val="nil"/>
              <w:bottom w:val="nil"/>
              <w:right w:val="nil"/>
            </w:tcBorders>
            <w:shd w:val="clear" w:color="auto" w:fill="auto"/>
            <w:vAlign w:val="center"/>
            <w:hideMark/>
          </w:tcPr>
          <w:p w14:paraId="74DCF2A3" w14:textId="43CE48F4" w:rsidR="00000F21" w:rsidRPr="00005453" w:rsidRDefault="00000F21" w:rsidP="00000F21">
            <w:pPr>
              <w:jc w:val="right"/>
              <w:rPr>
                <w:color w:val="000000"/>
                <w:sz w:val="18"/>
                <w:szCs w:val="18"/>
                <w:lang w:eastAsia="tr-TR"/>
              </w:rPr>
            </w:pPr>
            <w:r w:rsidRPr="00005453">
              <w:rPr>
                <w:sz w:val="18"/>
                <w:szCs w:val="18"/>
              </w:rPr>
              <w:t>4,069,314</w:t>
            </w:r>
          </w:p>
        </w:tc>
        <w:tc>
          <w:tcPr>
            <w:tcW w:w="1123" w:type="dxa"/>
            <w:tcBorders>
              <w:top w:val="nil"/>
              <w:left w:val="nil"/>
              <w:bottom w:val="nil"/>
              <w:right w:val="nil"/>
            </w:tcBorders>
            <w:shd w:val="clear" w:color="auto" w:fill="auto"/>
            <w:vAlign w:val="center"/>
            <w:hideMark/>
          </w:tcPr>
          <w:p w14:paraId="5B5547D5" w14:textId="133ABB5B" w:rsidR="00000F21" w:rsidRPr="00005453" w:rsidRDefault="00000F21" w:rsidP="00000F21">
            <w:pPr>
              <w:jc w:val="right"/>
              <w:rPr>
                <w:color w:val="000000"/>
                <w:sz w:val="18"/>
                <w:szCs w:val="18"/>
                <w:lang w:eastAsia="tr-TR"/>
              </w:rPr>
            </w:pPr>
            <w:r w:rsidRPr="00005453">
              <w:rPr>
                <w:sz w:val="18"/>
                <w:szCs w:val="18"/>
              </w:rPr>
              <w:t>111,539,418</w:t>
            </w:r>
          </w:p>
        </w:tc>
        <w:tc>
          <w:tcPr>
            <w:tcW w:w="1067" w:type="dxa"/>
            <w:tcBorders>
              <w:top w:val="nil"/>
              <w:left w:val="nil"/>
              <w:bottom w:val="nil"/>
              <w:right w:val="nil"/>
            </w:tcBorders>
            <w:shd w:val="clear" w:color="auto" w:fill="auto"/>
            <w:vAlign w:val="bottom"/>
            <w:hideMark/>
          </w:tcPr>
          <w:p w14:paraId="71B19084" w14:textId="6C606608" w:rsidR="00000F21" w:rsidRPr="00005453" w:rsidRDefault="00000F21" w:rsidP="00000F21">
            <w:pPr>
              <w:jc w:val="right"/>
              <w:rPr>
                <w:color w:val="000000"/>
                <w:sz w:val="18"/>
                <w:szCs w:val="18"/>
                <w:lang w:eastAsia="tr-TR"/>
              </w:rPr>
            </w:pPr>
            <w:r w:rsidRPr="00005453">
              <w:rPr>
                <w:sz w:val="18"/>
                <w:szCs w:val="18"/>
              </w:rPr>
              <w:t xml:space="preserve"> 9,265,255    </w:t>
            </w:r>
          </w:p>
        </w:tc>
        <w:tc>
          <w:tcPr>
            <w:tcW w:w="1141" w:type="dxa"/>
            <w:tcBorders>
              <w:top w:val="nil"/>
              <w:left w:val="nil"/>
              <w:bottom w:val="nil"/>
              <w:right w:val="nil"/>
            </w:tcBorders>
            <w:shd w:val="clear" w:color="auto" w:fill="auto"/>
            <w:vAlign w:val="bottom"/>
            <w:hideMark/>
          </w:tcPr>
          <w:p w14:paraId="44020580" w14:textId="675F45C7" w:rsidR="00000F21" w:rsidRPr="00005453" w:rsidRDefault="00000F21" w:rsidP="00000F21">
            <w:pPr>
              <w:jc w:val="right"/>
              <w:rPr>
                <w:color w:val="000000"/>
                <w:sz w:val="18"/>
                <w:szCs w:val="18"/>
                <w:lang w:eastAsia="tr-TR"/>
              </w:rPr>
            </w:pPr>
            <w:r w:rsidRPr="00005453">
              <w:rPr>
                <w:sz w:val="18"/>
                <w:szCs w:val="18"/>
              </w:rPr>
              <w:t xml:space="preserve"> 61,176,296    </w:t>
            </w:r>
          </w:p>
        </w:tc>
      </w:tr>
      <w:tr w:rsidR="00000F21" w:rsidRPr="00005453" w14:paraId="037DAF05" w14:textId="77777777" w:rsidTr="00000F21">
        <w:trPr>
          <w:trHeight w:val="230"/>
        </w:trPr>
        <w:tc>
          <w:tcPr>
            <w:tcW w:w="4834" w:type="dxa"/>
            <w:tcBorders>
              <w:top w:val="nil"/>
              <w:left w:val="nil"/>
              <w:bottom w:val="single" w:sz="8" w:space="0" w:color="auto"/>
              <w:right w:val="nil"/>
            </w:tcBorders>
            <w:shd w:val="clear" w:color="auto" w:fill="auto"/>
            <w:vAlign w:val="center"/>
            <w:hideMark/>
          </w:tcPr>
          <w:p w14:paraId="52AFCD3F" w14:textId="77777777" w:rsidR="00000F21" w:rsidRPr="00005453" w:rsidRDefault="00000F21" w:rsidP="00000F21">
            <w:pPr>
              <w:jc w:val="both"/>
              <w:rPr>
                <w:color w:val="000000"/>
                <w:sz w:val="18"/>
                <w:szCs w:val="18"/>
                <w:lang w:eastAsia="tr-TR"/>
              </w:rPr>
            </w:pPr>
            <w:r w:rsidRPr="00005453">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center"/>
            <w:hideMark/>
          </w:tcPr>
          <w:p w14:paraId="3D61C5AD" w14:textId="59AA8786" w:rsidR="00000F21" w:rsidRPr="00005453" w:rsidRDefault="00000F21" w:rsidP="00000F21">
            <w:pPr>
              <w:jc w:val="right"/>
              <w:rPr>
                <w:color w:val="000000"/>
                <w:sz w:val="18"/>
                <w:szCs w:val="18"/>
                <w:lang w:eastAsia="tr-TR"/>
              </w:rPr>
            </w:pPr>
            <w:r w:rsidRPr="00005453">
              <w:rPr>
                <w:sz w:val="18"/>
                <w:szCs w:val="18"/>
              </w:rPr>
              <w:t>78,023</w:t>
            </w:r>
          </w:p>
        </w:tc>
        <w:tc>
          <w:tcPr>
            <w:tcW w:w="1123" w:type="dxa"/>
            <w:tcBorders>
              <w:top w:val="nil"/>
              <w:left w:val="nil"/>
              <w:bottom w:val="single" w:sz="8" w:space="0" w:color="auto"/>
              <w:right w:val="nil"/>
            </w:tcBorders>
            <w:shd w:val="clear" w:color="auto" w:fill="auto"/>
            <w:vAlign w:val="center"/>
            <w:hideMark/>
          </w:tcPr>
          <w:p w14:paraId="6AE944E1" w14:textId="5EE33605" w:rsidR="00000F21" w:rsidRPr="00005453" w:rsidRDefault="00000F21" w:rsidP="00000F21">
            <w:pPr>
              <w:jc w:val="right"/>
              <w:rPr>
                <w:color w:val="000000"/>
                <w:sz w:val="18"/>
                <w:szCs w:val="18"/>
                <w:lang w:eastAsia="tr-TR"/>
              </w:rPr>
            </w:pPr>
            <w:r w:rsidRPr="00005453">
              <w:rPr>
                <w:sz w:val="18"/>
                <w:szCs w:val="18"/>
              </w:rPr>
              <w:t>6,234,231</w:t>
            </w:r>
          </w:p>
        </w:tc>
        <w:tc>
          <w:tcPr>
            <w:tcW w:w="1067" w:type="dxa"/>
            <w:tcBorders>
              <w:top w:val="nil"/>
              <w:left w:val="nil"/>
              <w:bottom w:val="single" w:sz="8" w:space="0" w:color="auto"/>
              <w:right w:val="nil"/>
            </w:tcBorders>
            <w:shd w:val="clear" w:color="auto" w:fill="auto"/>
            <w:vAlign w:val="bottom"/>
            <w:hideMark/>
          </w:tcPr>
          <w:p w14:paraId="12044D13" w14:textId="4BB89D6D" w:rsidR="00000F21" w:rsidRPr="00005453" w:rsidRDefault="00000F21" w:rsidP="00000F21">
            <w:pPr>
              <w:jc w:val="right"/>
              <w:rPr>
                <w:color w:val="000000"/>
                <w:sz w:val="18"/>
                <w:szCs w:val="18"/>
                <w:lang w:eastAsia="tr-TR"/>
              </w:rPr>
            </w:pPr>
            <w:r w:rsidRPr="00005453">
              <w:rPr>
                <w:sz w:val="18"/>
                <w:szCs w:val="18"/>
              </w:rPr>
              <w:t xml:space="preserve"> -      </w:t>
            </w:r>
          </w:p>
        </w:tc>
        <w:tc>
          <w:tcPr>
            <w:tcW w:w="1141" w:type="dxa"/>
            <w:tcBorders>
              <w:top w:val="nil"/>
              <w:left w:val="nil"/>
              <w:bottom w:val="single" w:sz="8" w:space="0" w:color="auto"/>
              <w:right w:val="nil"/>
            </w:tcBorders>
            <w:shd w:val="clear" w:color="auto" w:fill="auto"/>
            <w:vAlign w:val="bottom"/>
            <w:hideMark/>
          </w:tcPr>
          <w:p w14:paraId="4A0D8394" w14:textId="2CD5CF21" w:rsidR="00000F21" w:rsidRPr="00005453" w:rsidRDefault="00000F21" w:rsidP="00000F21">
            <w:pPr>
              <w:jc w:val="right"/>
              <w:rPr>
                <w:color w:val="000000"/>
                <w:sz w:val="18"/>
                <w:szCs w:val="18"/>
                <w:lang w:eastAsia="tr-TR"/>
              </w:rPr>
            </w:pPr>
            <w:r w:rsidRPr="00005453">
              <w:rPr>
                <w:sz w:val="18"/>
                <w:szCs w:val="18"/>
              </w:rPr>
              <w:t xml:space="preserve"> 2,585,796    </w:t>
            </w:r>
          </w:p>
        </w:tc>
      </w:tr>
      <w:tr w:rsidR="00000F21" w:rsidRPr="00005453" w14:paraId="493CD735" w14:textId="77777777" w:rsidTr="00000F21">
        <w:trPr>
          <w:trHeight w:val="266"/>
        </w:trPr>
        <w:tc>
          <w:tcPr>
            <w:tcW w:w="4834" w:type="dxa"/>
            <w:tcBorders>
              <w:top w:val="single" w:sz="8" w:space="0" w:color="auto"/>
              <w:left w:val="nil"/>
              <w:bottom w:val="double" w:sz="4" w:space="0" w:color="auto"/>
              <w:right w:val="nil"/>
            </w:tcBorders>
            <w:shd w:val="clear" w:color="auto" w:fill="auto"/>
            <w:vAlign w:val="center"/>
            <w:hideMark/>
          </w:tcPr>
          <w:p w14:paraId="07AFF5A9" w14:textId="77777777" w:rsidR="00000F21" w:rsidRPr="00005453" w:rsidRDefault="00000F21" w:rsidP="00000F21">
            <w:pPr>
              <w:jc w:val="both"/>
              <w:rPr>
                <w:b/>
                <w:bCs/>
                <w:color w:val="000000"/>
                <w:sz w:val="18"/>
                <w:szCs w:val="18"/>
                <w:lang w:eastAsia="tr-TR"/>
              </w:rPr>
            </w:pPr>
            <w:r w:rsidRPr="00005453">
              <w:rPr>
                <w:b/>
                <w:bCs/>
                <w:color w:val="000000"/>
                <w:sz w:val="18"/>
                <w:szCs w:val="18"/>
                <w:lang w:eastAsia="tr-TR"/>
              </w:rPr>
              <w:t>Toplam</w:t>
            </w:r>
          </w:p>
        </w:tc>
        <w:tc>
          <w:tcPr>
            <w:tcW w:w="1249" w:type="dxa"/>
            <w:tcBorders>
              <w:top w:val="single" w:sz="8" w:space="0" w:color="auto"/>
              <w:left w:val="nil"/>
              <w:bottom w:val="double" w:sz="4" w:space="0" w:color="auto"/>
              <w:right w:val="nil"/>
            </w:tcBorders>
            <w:shd w:val="clear" w:color="auto" w:fill="auto"/>
            <w:vAlign w:val="center"/>
            <w:hideMark/>
          </w:tcPr>
          <w:p w14:paraId="047019A2" w14:textId="2DDF99A7" w:rsidR="00000F21" w:rsidRPr="00005453" w:rsidRDefault="00000F21" w:rsidP="00000F21">
            <w:pPr>
              <w:jc w:val="right"/>
              <w:rPr>
                <w:b/>
                <w:bCs/>
                <w:color w:val="000000"/>
                <w:sz w:val="18"/>
                <w:szCs w:val="18"/>
                <w:lang w:eastAsia="tr-TR"/>
              </w:rPr>
            </w:pPr>
            <w:r w:rsidRPr="00005453">
              <w:rPr>
                <w:b/>
                <w:bCs/>
                <w:sz w:val="18"/>
                <w:szCs w:val="18"/>
              </w:rPr>
              <w:t>4,147,337</w:t>
            </w:r>
          </w:p>
        </w:tc>
        <w:tc>
          <w:tcPr>
            <w:tcW w:w="1123" w:type="dxa"/>
            <w:tcBorders>
              <w:top w:val="single" w:sz="8" w:space="0" w:color="auto"/>
              <w:left w:val="nil"/>
              <w:bottom w:val="double" w:sz="4" w:space="0" w:color="auto"/>
              <w:right w:val="nil"/>
            </w:tcBorders>
            <w:shd w:val="clear" w:color="auto" w:fill="auto"/>
            <w:vAlign w:val="center"/>
            <w:hideMark/>
          </w:tcPr>
          <w:p w14:paraId="5B940908" w14:textId="53E68D95" w:rsidR="00000F21" w:rsidRPr="00005453" w:rsidRDefault="00000F21" w:rsidP="00000F21">
            <w:pPr>
              <w:jc w:val="right"/>
              <w:rPr>
                <w:b/>
                <w:bCs/>
                <w:color w:val="000000"/>
                <w:sz w:val="18"/>
                <w:szCs w:val="18"/>
                <w:lang w:eastAsia="tr-TR"/>
              </w:rPr>
            </w:pPr>
            <w:r w:rsidRPr="00005453">
              <w:rPr>
                <w:b/>
                <w:bCs/>
                <w:sz w:val="18"/>
                <w:szCs w:val="18"/>
              </w:rPr>
              <w:t>117,773,649</w:t>
            </w:r>
          </w:p>
        </w:tc>
        <w:tc>
          <w:tcPr>
            <w:tcW w:w="1067" w:type="dxa"/>
            <w:tcBorders>
              <w:top w:val="single" w:sz="8" w:space="0" w:color="auto"/>
              <w:left w:val="nil"/>
              <w:bottom w:val="double" w:sz="4" w:space="0" w:color="auto"/>
              <w:right w:val="nil"/>
            </w:tcBorders>
            <w:shd w:val="clear" w:color="auto" w:fill="auto"/>
            <w:vAlign w:val="center"/>
            <w:hideMark/>
          </w:tcPr>
          <w:p w14:paraId="592B660D" w14:textId="0F75AADC" w:rsidR="00000F21" w:rsidRPr="00005453" w:rsidRDefault="00000F21" w:rsidP="00000F21">
            <w:pPr>
              <w:jc w:val="right"/>
              <w:rPr>
                <w:b/>
                <w:bCs/>
                <w:color w:val="000000"/>
                <w:sz w:val="18"/>
                <w:szCs w:val="18"/>
                <w:lang w:eastAsia="tr-TR"/>
              </w:rPr>
            </w:pPr>
            <w:r w:rsidRPr="00005453">
              <w:rPr>
                <w:b/>
                <w:bCs/>
                <w:sz w:val="18"/>
                <w:szCs w:val="18"/>
              </w:rPr>
              <w:t xml:space="preserve"> 9,265,255    </w:t>
            </w:r>
          </w:p>
        </w:tc>
        <w:tc>
          <w:tcPr>
            <w:tcW w:w="1141" w:type="dxa"/>
            <w:tcBorders>
              <w:top w:val="single" w:sz="8" w:space="0" w:color="auto"/>
              <w:left w:val="nil"/>
              <w:bottom w:val="double" w:sz="4" w:space="0" w:color="auto"/>
              <w:right w:val="nil"/>
            </w:tcBorders>
            <w:shd w:val="clear" w:color="auto" w:fill="auto"/>
            <w:vAlign w:val="center"/>
            <w:hideMark/>
          </w:tcPr>
          <w:p w14:paraId="70F6DB02" w14:textId="1BEAFD5B" w:rsidR="00000F21" w:rsidRPr="00005453" w:rsidRDefault="00000F21" w:rsidP="00000F21">
            <w:pPr>
              <w:jc w:val="right"/>
              <w:rPr>
                <w:b/>
                <w:bCs/>
                <w:color w:val="000000"/>
                <w:sz w:val="18"/>
                <w:szCs w:val="18"/>
                <w:lang w:eastAsia="tr-TR"/>
              </w:rPr>
            </w:pPr>
            <w:r w:rsidRPr="00005453">
              <w:rPr>
                <w:b/>
                <w:bCs/>
                <w:sz w:val="18"/>
                <w:szCs w:val="18"/>
              </w:rPr>
              <w:t xml:space="preserve"> 63,762,092    </w:t>
            </w:r>
          </w:p>
        </w:tc>
      </w:tr>
    </w:tbl>
    <w:p w14:paraId="79BDBBA4" w14:textId="6AA2211B" w:rsidR="000F096F" w:rsidRPr="00005453" w:rsidRDefault="000F096F" w:rsidP="00C04CDF">
      <w:pPr>
        <w:tabs>
          <w:tab w:val="num" w:pos="2340"/>
          <w:tab w:val="num" w:pos="3060"/>
        </w:tabs>
        <w:autoSpaceDE w:val="0"/>
        <w:autoSpaceDN w:val="0"/>
        <w:adjustRightInd w:val="0"/>
        <w:ind w:left="180"/>
        <w:rPr>
          <w:sz w:val="16"/>
        </w:rPr>
      </w:pPr>
    </w:p>
    <w:p w14:paraId="122F8111" w14:textId="77777777" w:rsidR="00EC581E" w:rsidRPr="00005453" w:rsidRDefault="00EC581E" w:rsidP="00EC581E">
      <w:pPr>
        <w:ind w:hanging="567"/>
      </w:pPr>
      <w:r w:rsidRPr="00005453">
        <w:rPr>
          <w:b/>
        </w:rPr>
        <w:t>2.3.3</w:t>
      </w:r>
      <w:r w:rsidRPr="00005453">
        <w:tab/>
        <w:t>Banka’nın yükümlülüklerinin yoğunlaştığı alanlara ilişkin açıklamalar</w:t>
      </w:r>
    </w:p>
    <w:p w14:paraId="43771A67" w14:textId="77777777" w:rsidR="00EC581E" w:rsidRPr="00005453" w:rsidRDefault="00EC581E" w:rsidP="00EC581E">
      <w:pPr>
        <w:autoSpaceDE w:val="0"/>
        <w:autoSpaceDN w:val="0"/>
        <w:adjustRightInd w:val="0"/>
        <w:jc w:val="both"/>
        <w:rPr>
          <w:rFonts w:eastAsia="Arial Unicode MS"/>
          <w:sz w:val="16"/>
          <w:szCs w:val="16"/>
        </w:rPr>
      </w:pPr>
    </w:p>
    <w:p w14:paraId="4AE78B07" w14:textId="40811B45" w:rsidR="00D652EF" w:rsidRPr="00005453" w:rsidRDefault="00EC581E" w:rsidP="0010315F">
      <w:pPr>
        <w:autoSpaceDE w:val="0"/>
        <w:autoSpaceDN w:val="0"/>
        <w:jc w:val="both"/>
        <w:rPr>
          <w:spacing w:val="-4"/>
          <w:sz w:val="24"/>
          <w:szCs w:val="24"/>
        </w:rPr>
      </w:pPr>
      <w:r w:rsidRPr="00005453">
        <w:rPr>
          <w:rFonts w:eastAsia="Arial Unicode MS"/>
          <w:spacing w:val="-4"/>
        </w:rPr>
        <w:t>Banka’nın aldığı kredilerin büyük bir kısmı yabancı para kredilerden oluşmaktadır. Banka’nın cari ve katılma hesaplarında herhangi bir risk yoğunlaşması bulunmamaktadır</w:t>
      </w:r>
      <w:r w:rsidRPr="00005453">
        <w:rPr>
          <w:spacing w:val="-4"/>
          <w:sz w:val="24"/>
          <w:szCs w:val="24"/>
        </w:rPr>
        <w:t>.</w:t>
      </w:r>
    </w:p>
    <w:p w14:paraId="340003BA" w14:textId="7F9BD25B" w:rsidR="00D50435" w:rsidRPr="00005453" w:rsidRDefault="00D50435" w:rsidP="0010315F">
      <w:pPr>
        <w:autoSpaceDE w:val="0"/>
        <w:autoSpaceDN w:val="0"/>
        <w:jc w:val="both"/>
        <w:rPr>
          <w:spacing w:val="-4"/>
          <w:sz w:val="16"/>
          <w:szCs w:val="24"/>
        </w:rPr>
      </w:pPr>
    </w:p>
    <w:p w14:paraId="4E867579" w14:textId="77777777" w:rsidR="00D50435" w:rsidRPr="00005453" w:rsidRDefault="00D50435" w:rsidP="00D50435">
      <w:pPr>
        <w:tabs>
          <w:tab w:val="left" w:pos="567"/>
        </w:tabs>
        <w:ind w:hanging="567"/>
        <w:rPr>
          <w:b/>
          <w:iCs/>
        </w:rPr>
      </w:pPr>
      <w:bookmarkStart w:id="88" w:name="_Hlk126346515"/>
      <w:r w:rsidRPr="00005453">
        <w:rPr>
          <w:b/>
          <w:iCs/>
        </w:rPr>
        <w:t xml:space="preserve">2.4.      İhraç edilen menkul kıymetlere ilişkin bilgiler   </w:t>
      </w:r>
    </w:p>
    <w:p w14:paraId="17557AED" w14:textId="77777777" w:rsidR="00D50435" w:rsidRPr="00005453" w:rsidRDefault="00D50435" w:rsidP="00D50435">
      <w:pPr>
        <w:tabs>
          <w:tab w:val="left" w:pos="567"/>
        </w:tabs>
        <w:ind w:hanging="567"/>
        <w:rPr>
          <w:b/>
          <w:iCs/>
          <w:sz w:val="14"/>
          <w:szCs w:val="14"/>
        </w:rPr>
      </w:pPr>
      <w:r w:rsidRPr="00005453">
        <w:rPr>
          <w:b/>
          <w:iCs/>
          <w:sz w:val="14"/>
          <w:szCs w:val="14"/>
        </w:rPr>
        <w:t xml:space="preserve"> </w:t>
      </w:r>
    </w:p>
    <w:bookmarkEnd w:id="88"/>
    <w:p w14:paraId="45599304" w14:textId="0A1341AD" w:rsidR="00D50435" w:rsidRPr="00005453" w:rsidRDefault="00D50435" w:rsidP="00D50435">
      <w:pPr>
        <w:autoSpaceDE w:val="0"/>
        <w:autoSpaceDN w:val="0"/>
        <w:jc w:val="both"/>
        <w:rPr>
          <w:spacing w:val="-4"/>
          <w:lang w:eastAsia="tr-TR"/>
        </w:rPr>
      </w:pPr>
      <w:r w:rsidRPr="00005453">
        <w:rPr>
          <w:color w:val="000000"/>
        </w:rPr>
        <w:t>Bulunmamaktadır</w:t>
      </w:r>
      <w:r w:rsidR="00BA1882" w:rsidRPr="00005453">
        <w:rPr>
          <w:color w:val="000000"/>
        </w:rPr>
        <w:t xml:space="preserve"> (31 Aralık 202</w:t>
      </w:r>
      <w:r w:rsidR="00442255" w:rsidRPr="00005453">
        <w:rPr>
          <w:color w:val="000000"/>
        </w:rPr>
        <w:t>3</w:t>
      </w:r>
      <w:r w:rsidR="00BA1882" w:rsidRPr="00005453">
        <w:rPr>
          <w:color w:val="000000"/>
        </w:rPr>
        <w:t>: Bulunmamaktadır)</w:t>
      </w:r>
      <w:r w:rsidRPr="00005453">
        <w:rPr>
          <w:color w:val="000000"/>
        </w:rPr>
        <w:t>.</w:t>
      </w:r>
    </w:p>
    <w:p w14:paraId="65924552" w14:textId="77777777" w:rsidR="0010315F" w:rsidRPr="00005453" w:rsidRDefault="0010315F" w:rsidP="0010315F">
      <w:pPr>
        <w:autoSpaceDE w:val="0"/>
        <w:autoSpaceDN w:val="0"/>
        <w:jc w:val="both"/>
        <w:rPr>
          <w:spacing w:val="-4"/>
          <w:sz w:val="16"/>
          <w:szCs w:val="24"/>
        </w:rPr>
      </w:pPr>
    </w:p>
    <w:p w14:paraId="30380829" w14:textId="465BB595" w:rsidR="00EC581E" w:rsidRPr="00005453" w:rsidRDefault="00EC581E" w:rsidP="00EC581E">
      <w:pPr>
        <w:autoSpaceDE w:val="0"/>
        <w:autoSpaceDN w:val="0"/>
        <w:adjustRightInd w:val="0"/>
        <w:ind w:hanging="567"/>
        <w:rPr>
          <w:b/>
          <w:bCs/>
          <w:iCs/>
        </w:rPr>
      </w:pPr>
      <w:r w:rsidRPr="00005453">
        <w:rPr>
          <w:b/>
          <w:bCs/>
          <w:iCs/>
        </w:rPr>
        <w:t>2.</w:t>
      </w:r>
      <w:r w:rsidR="00731AA9" w:rsidRPr="00005453">
        <w:rPr>
          <w:b/>
          <w:bCs/>
          <w:iCs/>
        </w:rPr>
        <w:t>5</w:t>
      </w:r>
      <w:r w:rsidRPr="00005453">
        <w:rPr>
          <w:b/>
          <w:bCs/>
          <w:iCs/>
        </w:rPr>
        <w:tab/>
      </w:r>
      <w:proofErr w:type="gramStart"/>
      <w:r w:rsidRPr="00005453">
        <w:rPr>
          <w:b/>
          <w:bCs/>
          <w:iCs/>
        </w:rPr>
        <w:t>Diğer</w:t>
      </w:r>
      <w:proofErr w:type="gramEnd"/>
      <w:r w:rsidRPr="00005453">
        <w:rPr>
          <w:b/>
          <w:bCs/>
          <w:iCs/>
        </w:rPr>
        <w:t xml:space="preserve"> yabancı kaynaklara ve muhtelif borçlara ilişkin bilgiler</w:t>
      </w:r>
    </w:p>
    <w:p w14:paraId="709DD3B3" w14:textId="77777777" w:rsidR="00EC581E" w:rsidRPr="00005453" w:rsidRDefault="00EC581E" w:rsidP="00EC581E">
      <w:pPr>
        <w:autoSpaceDE w:val="0"/>
        <w:autoSpaceDN w:val="0"/>
        <w:adjustRightInd w:val="0"/>
        <w:ind w:left="540" w:hanging="540"/>
        <w:rPr>
          <w:b/>
          <w:sz w:val="16"/>
          <w:szCs w:val="16"/>
        </w:rPr>
      </w:pPr>
    </w:p>
    <w:p w14:paraId="71CF6CD1" w14:textId="73FAE713" w:rsidR="00EC581E" w:rsidRPr="00005453" w:rsidRDefault="00EC581E" w:rsidP="00EC581E">
      <w:pPr>
        <w:autoSpaceDE w:val="0"/>
        <w:autoSpaceDN w:val="0"/>
        <w:jc w:val="both"/>
      </w:pPr>
      <w:r w:rsidRPr="00005453">
        <w:t>31 Aralık 202</w:t>
      </w:r>
      <w:r w:rsidR="00442255" w:rsidRPr="00005453">
        <w:t>4</w:t>
      </w:r>
      <w:r w:rsidRPr="00005453">
        <w:t xml:space="preserve"> itibarıyla diğer yabancı kaynaklar kalemi </w:t>
      </w:r>
      <w:r w:rsidR="00000F21" w:rsidRPr="00005453">
        <w:t>8</w:t>
      </w:r>
      <w:r w:rsidR="00C250C0" w:rsidRPr="00005453">
        <w:t>,</w:t>
      </w:r>
      <w:r w:rsidR="00000F21" w:rsidRPr="00005453">
        <w:t>080</w:t>
      </w:r>
      <w:r w:rsidR="00C250C0" w:rsidRPr="00005453">
        <w:t>,</w:t>
      </w:r>
      <w:r w:rsidR="00000F21" w:rsidRPr="00005453">
        <w:t>58</w:t>
      </w:r>
      <w:r w:rsidR="00E5413B" w:rsidRPr="00005453">
        <w:t>6</w:t>
      </w:r>
      <w:r w:rsidRPr="00005453">
        <w:t xml:space="preserve"> TL (31 Aralık 202</w:t>
      </w:r>
      <w:r w:rsidR="00442255" w:rsidRPr="00005453">
        <w:t>3</w:t>
      </w:r>
      <w:r w:rsidRPr="00005453">
        <w:t xml:space="preserve"> – </w:t>
      </w:r>
      <w:r w:rsidR="000F0610" w:rsidRPr="00005453">
        <w:t>2,</w:t>
      </w:r>
      <w:r w:rsidR="00442255" w:rsidRPr="00005453">
        <w:t>917</w:t>
      </w:r>
      <w:r w:rsidR="000F0610" w:rsidRPr="00005453">
        <w:t>,</w:t>
      </w:r>
      <w:r w:rsidR="00442255" w:rsidRPr="00005453">
        <w:t>796</w:t>
      </w:r>
      <w:r w:rsidR="00CE5493" w:rsidRPr="00005453">
        <w:t xml:space="preserve"> </w:t>
      </w:r>
      <w:r w:rsidRPr="00005453">
        <w:t xml:space="preserve">TL), muhtelif borçlar kalemi </w:t>
      </w:r>
      <w:r w:rsidR="00000F21" w:rsidRPr="00005453">
        <w:t>4</w:t>
      </w:r>
      <w:r w:rsidR="00C250C0" w:rsidRPr="00005453">
        <w:t>,</w:t>
      </w:r>
      <w:r w:rsidR="00000F21" w:rsidRPr="00005453">
        <w:t>988</w:t>
      </w:r>
      <w:r w:rsidR="00C250C0" w:rsidRPr="00005453">
        <w:t>,</w:t>
      </w:r>
      <w:r w:rsidR="00000F21" w:rsidRPr="00005453">
        <w:t>34</w:t>
      </w:r>
      <w:r w:rsidR="00C95372" w:rsidRPr="00005453">
        <w:t>3</w:t>
      </w:r>
      <w:r w:rsidRPr="00005453">
        <w:t xml:space="preserve"> TL’dir (31 Aralık 202</w:t>
      </w:r>
      <w:r w:rsidR="00442255" w:rsidRPr="00005453">
        <w:t>3</w:t>
      </w:r>
      <w:r w:rsidRPr="00005453">
        <w:t xml:space="preserve"> – </w:t>
      </w:r>
      <w:r w:rsidR="000F0610" w:rsidRPr="00005453">
        <w:t>3,</w:t>
      </w:r>
      <w:r w:rsidR="00E65EA3" w:rsidRPr="00005453">
        <w:t>770</w:t>
      </w:r>
      <w:r w:rsidR="000F0610" w:rsidRPr="00005453">
        <w:t>,</w:t>
      </w:r>
      <w:r w:rsidR="00E65EA3" w:rsidRPr="00005453">
        <w:t>293</w:t>
      </w:r>
      <w:r w:rsidR="000F0610" w:rsidRPr="00005453">
        <w:t xml:space="preserve"> </w:t>
      </w:r>
      <w:r w:rsidRPr="00005453">
        <w:t xml:space="preserve">TL). Bu kalemler, </w:t>
      </w:r>
      <w:proofErr w:type="gramStart"/>
      <w:r w:rsidRPr="00005453">
        <w:t xml:space="preserve">bilançonun </w:t>
      </w:r>
      <w:r w:rsidRPr="00005453">
        <w:rPr>
          <w:sz w:val="18"/>
          <w:szCs w:val="18"/>
        </w:rPr>
        <w:t>”</w:t>
      </w:r>
      <w:r w:rsidRPr="00005453">
        <w:t>Diğer</w:t>
      </w:r>
      <w:proofErr w:type="gramEnd"/>
      <w:r w:rsidRPr="00005453">
        <w:t xml:space="preserve"> Yükümlülükler” içinde olup, toplamının %10’unu aşmamaktadır.</w:t>
      </w:r>
    </w:p>
    <w:p w14:paraId="40B89680" w14:textId="77777777" w:rsidR="00D44277" w:rsidRPr="00005453" w:rsidRDefault="001B39CA" w:rsidP="00D44277">
      <w:pPr>
        <w:autoSpaceDE w:val="0"/>
        <w:autoSpaceDN w:val="0"/>
        <w:adjustRightInd w:val="0"/>
        <w:ind w:left="567" w:hanging="567"/>
        <w:rPr>
          <w:b/>
          <w:bCs/>
          <w:iCs/>
          <w:sz w:val="10"/>
          <w:szCs w:val="16"/>
        </w:rPr>
      </w:pPr>
      <w:r w:rsidRPr="00005453" w:rsidDel="001B39CA">
        <w:t xml:space="preserve"> </w:t>
      </w:r>
    </w:p>
    <w:p w14:paraId="13E8443A" w14:textId="2D0A349D" w:rsidR="000F096F" w:rsidRPr="00005453" w:rsidRDefault="004576CC" w:rsidP="00D44277">
      <w:pPr>
        <w:autoSpaceDE w:val="0"/>
        <w:autoSpaceDN w:val="0"/>
        <w:adjustRightInd w:val="0"/>
        <w:ind w:hanging="567"/>
        <w:rPr>
          <w:b/>
          <w:bCs/>
          <w:iCs/>
        </w:rPr>
      </w:pPr>
      <w:r w:rsidRPr="00005453">
        <w:rPr>
          <w:b/>
          <w:bCs/>
          <w:iCs/>
        </w:rPr>
        <w:t>2</w:t>
      </w:r>
      <w:r w:rsidR="00E253C8" w:rsidRPr="00005453">
        <w:rPr>
          <w:b/>
          <w:bCs/>
          <w:iCs/>
        </w:rPr>
        <w:t>.</w:t>
      </w:r>
      <w:r w:rsidR="00731AA9" w:rsidRPr="00005453">
        <w:rPr>
          <w:b/>
          <w:bCs/>
          <w:iCs/>
        </w:rPr>
        <w:t>6</w:t>
      </w:r>
      <w:r w:rsidR="00E253C8" w:rsidRPr="00005453">
        <w:rPr>
          <w:b/>
          <w:bCs/>
          <w:iCs/>
        </w:rPr>
        <w:tab/>
        <w:t>Ki</w:t>
      </w:r>
      <w:r w:rsidR="00C1120C" w:rsidRPr="00005453">
        <w:rPr>
          <w:b/>
          <w:bCs/>
          <w:iCs/>
        </w:rPr>
        <w:t>ralama işlemlerinden yükümlülüklere</w:t>
      </w:r>
      <w:r w:rsidR="00E253C8" w:rsidRPr="00005453">
        <w:rPr>
          <w:b/>
          <w:bCs/>
          <w:iCs/>
        </w:rPr>
        <w:t xml:space="preserve"> ilişkin bilgiler (</w:t>
      </w:r>
      <w:r w:rsidR="00B3249B" w:rsidRPr="00005453">
        <w:rPr>
          <w:b/>
          <w:bCs/>
          <w:iCs/>
        </w:rPr>
        <w:t>N</w:t>
      </w:r>
      <w:r w:rsidR="00E253C8" w:rsidRPr="00005453">
        <w:rPr>
          <w:b/>
          <w:bCs/>
          <w:iCs/>
        </w:rPr>
        <w:t>et)</w:t>
      </w:r>
    </w:p>
    <w:p w14:paraId="1D894C7B" w14:textId="66B28B98" w:rsidR="00EC581E" w:rsidRPr="00005453" w:rsidRDefault="00EC581E" w:rsidP="000F096F">
      <w:pPr>
        <w:autoSpaceDE w:val="0"/>
        <w:autoSpaceDN w:val="0"/>
        <w:adjustRightInd w:val="0"/>
        <w:rPr>
          <w:sz w:val="6"/>
          <w:lang w:val="de-DE" w:eastAsia="en-GB"/>
        </w:rPr>
      </w:pPr>
    </w:p>
    <w:tbl>
      <w:tblPr>
        <w:tblW w:w="9389" w:type="dxa"/>
        <w:tblCellMar>
          <w:left w:w="70" w:type="dxa"/>
          <w:right w:w="70" w:type="dxa"/>
        </w:tblCellMar>
        <w:tblLook w:val="04A0" w:firstRow="1" w:lastRow="0" w:firstColumn="1" w:lastColumn="0" w:noHBand="0" w:noVBand="1"/>
      </w:tblPr>
      <w:tblGrid>
        <w:gridCol w:w="4821"/>
        <w:gridCol w:w="1245"/>
        <w:gridCol w:w="1120"/>
        <w:gridCol w:w="1065"/>
        <w:gridCol w:w="1138"/>
      </w:tblGrid>
      <w:tr w:rsidR="00DB63BA" w:rsidRPr="00005453" w14:paraId="00D9EA56" w14:textId="77777777" w:rsidTr="00BD1BED">
        <w:trPr>
          <w:divId w:val="560678217"/>
          <w:trHeight w:val="241"/>
        </w:trPr>
        <w:tc>
          <w:tcPr>
            <w:tcW w:w="4821" w:type="dxa"/>
            <w:vMerge w:val="restart"/>
            <w:tcBorders>
              <w:top w:val="double" w:sz="6" w:space="0" w:color="auto"/>
              <w:left w:val="nil"/>
              <w:right w:val="nil"/>
            </w:tcBorders>
            <w:shd w:val="clear" w:color="auto" w:fill="auto"/>
            <w:vAlign w:val="center"/>
            <w:hideMark/>
          </w:tcPr>
          <w:p w14:paraId="41168C15" w14:textId="77777777" w:rsidR="00DB63BA" w:rsidRPr="00005453" w:rsidRDefault="00DB63BA" w:rsidP="00EC581E">
            <w:pPr>
              <w:jc w:val="both"/>
              <w:rPr>
                <w:bCs/>
                <w:color w:val="000000"/>
                <w:sz w:val="18"/>
                <w:szCs w:val="18"/>
                <w:lang w:eastAsia="tr-TR"/>
              </w:rPr>
            </w:pPr>
            <w:r w:rsidRPr="00005453">
              <w:rPr>
                <w:bCs/>
                <w:color w:val="000000"/>
                <w:sz w:val="18"/>
                <w:szCs w:val="18"/>
                <w:lang w:eastAsia="tr-TR"/>
              </w:rPr>
              <w:t> </w:t>
            </w:r>
          </w:p>
          <w:p w14:paraId="1939791A" w14:textId="1908C6CA" w:rsidR="00DB63BA" w:rsidRPr="00005453" w:rsidRDefault="00DB63BA" w:rsidP="00EC581E">
            <w:pPr>
              <w:jc w:val="both"/>
              <w:rPr>
                <w:bCs/>
                <w:color w:val="000000"/>
                <w:sz w:val="18"/>
                <w:szCs w:val="18"/>
                <w:lang w:eastAsia="tr-TR"/>
              </w:rPr>
            </w:pPr>
            <w:r w:rsidRPr="00005453">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4CE79976" w14:textId="77777777" w:rsidR="00DB63BA" w:rsidRPr="00005453" w:rsidRDefault="00DB63BA" w:rsidP="00BD1BED">
            <w:pPr>
              <w:ind w:left="639"/>
              <w:jc w:val="right"/>
              <w:rPr>
                <w:b/>
                <w:color w:val="000000"/>
                <w:sz w:val="18"/>
                <w:szCs w:val="18"/>
                <w:lang w:eastAsia="tr-TR"/>
              </w:rPr>
            </w:pPr>
            <w:r w:rsidRPr="00005453">
              <w:rPr>
                <w:b/>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6BF7147D" w14:textId="77777777" w:rsidR="00DB63BA" w:rsidRPr="00005453" w:rsidRDefault="00DB63BA" w:rsidP="00BD1BED">
            <w:pPr>
              <w:ind w:left="537" w:hanging="537"/>
              <w:jc w:val="right"/>
              <w:rPr>
                <w:b/>
                <w:color w:val="000000"/>
                <w:sz w:val="18"/>
                <w:szCs w:val="18"/>
                <w:lang w:eastAsia="tr-TR"/>
              </w:rPr>
            </w:pPr>
            <w:r w:rsidRPr="00005453">
              <w:rPr>
                <w:b/>
                <w:color w:val="000000"/>
                <w:sz w:val="18"/>
                <w:szCs w:val="18"/>
                <w:lang w:eastAsia="tr-TR"/>
              </w:rPr>
              <w:t>Önceki Dönem</w:t>
            </w:r>
          </w:p>
        </w:tc>
      </w:tr>
      <w:tr w:rsidR="00DB63BA" w:rsidRPr="00005453" w14:paraId="7F5D7482" w14:textId="77777777" w:rsidTr="00BC54FD">
        <w:trPr>
          <w:divId w:val="560678217"/>
          <w:trHeight w:val="241"/>
        </w:trPr>
        <w:tc>
          <w:tcPr>
            <w:tcW w:w="4821" w:type="dxa"/>
            <w:vMerge/>
            <w:tcBorders>
              <w:left w:val="nil"/>
              <w:bottom w:val="single" w:sz="8" w:space="0" w:color="auto"/>
              <w:right w:val="nil"/>
            </w:tcBorders>
            <w:shd w:val="clear" w:color="auto" w:fill="auto"/>
            <w:vAlign w:val="center"/>
            <w:hideMark/>
          </w:tcPr>
          <w:p w14:paraId="42FFA083" w14:textId="1848EF71" w:rsidR="00DB63BA" w:rsidRPr="00005453" w:rsidRDefault="00DB63BA" w:rsidP="00EC581E">
            <w:pPr>
              <w:jc w:val="both"/>
              <w:rPr>
                <w:bCs/>
                <w:color w:val="000000"/>
                <w:sz w:val="18"/>
                <w:szCs w:val="18"/>
                <w:lang w:eastAsia="tr-TR"/>
              </w:rPr>
            </w:pPr>
          </w:p>
        </w:tc>
        <w:tc>
          <w:tcPr>
            <w:tcW w:w="1245" w:type="dxa"/>
            <w:tcBorders>
              <w:top w:val="nil"/>
              <w:left w:val="nil"/>
              <w:bottom w:val="single" w:sz="8" w:space="0" w:color="auto"/>
              <w:right w:val="nil"/>
            </w:tcBorders>
            <w:shd w:val="clear" w:color="auto" w:fill="auto"/>
            <w:noWrap/>
            <w:vAlign w:val="center"/>
            <w:hideMark/>
          </w:tcPr>
          <w:p w14:paraId="63BD8F11" w14:textId="77777777" w:rsidR="00DB63BA" w:rsidRPr="00005453" w:rsidRDefault="00DB63BA" w:rsidP="00EC581E">
            <w:pPr>
              <w:jc w:val="right"/>
              <w:rPr>
                <w:b/>
                <w:color w:val="000000"/>
                <w:sz w:val="18"/>
                <w:szCs w:val="18"/>
                <w:lang w:eastAsia="tr-TR"/>
              </w:rPr>
            </w:pPr>
            <w:r w:rsidRPr="00005453">
              <w:rPr>
                <w:b/>
                <w:color w:val="000000"/>
                <w:sz w:val="18"/>
                <w:szCs w:val="18"/>
                <w:lang w:eastAsia="tr-TR"/>
              </w:rPr>
              <w:t>Brüt</w:t>
            </w:r>
          </w:p>
        </w:tc>
        <w:tc>
          <w:tcPr>
            <w:tcW w:w="1120" w:type="dxa"/>
            <w:tcBorders>
              <w:top w:val="nil"/>
              <w:left w:val="nil"/>
              <w:bottom w:val="single" w:sz="8" w:space="0" w:color="auto"/>
              <w:right w:val="nil"/>
            </w:tcBorders>
            <w:shd w:val="clear" w:color="auto" w:fill="auto"/>
            <w:noWrap/>
            <w:vAlign w:val="center"/>
            <w:hideMark/>
          </w:tcPr>
          <w:p w14:paraId="7A265D6F" w14:textId="77777777" w:rsidR="00DB63BA" w:rsidRPr="00005453" w:rsidRDefault="00DB63BA" w:rsidP="00EC581E">
            <w:pPr>
              <w:jc w:val="right"/>
              <w:rPr>
                <w:b/>
                <w:color w:val="000000"/>
                <w:sz w:val="18"/>
                <w:szCs w:val="18"/>
                <w:lang w:eastAsia="tr-TR"/>
              </w:rPr>
            </w:pPr>
            <w:r w:rsidRPr="00005453">
              <w:rPr>
                <w:b/>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2CDB587F" w14:textId="77777777" w:rsidR="00DB63BA" w:rsidRPr="00005453" w:rsidRDefault="00DB63BA" w:rsidP="00EC581E">
            <w:pPr>
              <w:jc w:val="right"/>
              <w:rPr>
                <w:b/>
                <w:color w:val="000000"/>
                <w:sz w:val="18"/>
                <w:szCs w:val="18"/>
                <w:lang w:eastAsia="tr-TR"/>
              </w:rPr>
            </w:pPr>
            <w:r w:rsidRPr="00005453">
              <w:rPr>
                <w:b/>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75DECCA3" w14:textId="77777777" w:rsidR="00DB63BA" w:rsidRPr="00005453" w:rsidRDefault="00DB63BA" w:rsidP="00EC581E">
            <w:pPr>
              <w:jc w:val="right"/>
              <w:rPr>
                <w:b/>
                <w:color w:val="000000"/>
                <w:sz w:val="18"/>
                <w:szCs w:val="18"/>
                <w:lang w:eastAsia="tr-TR"/>
              </w:rPr>
            </w:pPr>
            <w:r w:rsidRPr="00005453">
              <w:rPr>
                <w:b/>
                <w:color w:val="000000"/>
                <w:sz w:val="18"/>
                <w:szCs w:val="18"/>
                <w:lang w:eastAsia="tr-TR"/>
              </w:rPr>
              <w:t>Net</w:t>
            </w:r>
          </w:p>
        </w:tc>
      </w:tr>
      <w:tr w:rsidR="00000F21" w:rsidRPr="00005453" w14:paraId="2736CFF9" w14:textId="77777777" w:rsidTr="00000F21">
        <w:trPr>
          <w:divId w:val="560678217"/>
          <w:trHeight w:val="227"/>
        </w:trPr>
        <w:tc>
          <w:tcPr>
            <w:tcW w:w="4821" w:type="dxa"/>
            <w:tcBorders>
              <w:top w:val="nil"/>
              <w:left w:val="nil"/>
              <w:bottom w:val="nil"/>
              <w:right w:val="nil"/>
            </w:tcBorders>
            <w:shd w:val="clear" w:color="auto" w:fill="auto"/>
            <w:noWrap/>
            <w:vAlign w:val="center"/>
            <w:hideMark/>
          </w:tcPr>
          <w:p w14:paraId="3F4BA3A0" w14:textId="77777777" w:rsidR="00000F21" w:rsidRPr="00005453" w:rsidRDefault="00000F21" w:rsidP="00000F21">
            <w:pPr>
              <w:rPr>
                <w:color w:val="000000"/>
                <w:sz w:val="18"/>
                <w:szCs w:val="18"/>
                <w:lang w:eastAsia="tr-TR"/>
              </w:rPr>
            </w:pPr>
            <w:r w:rsidRPr="00005453">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53D10977" w14:textId="02932EF7" w:rsidR="00000F21" w:rsidRPr="00005453" w:rsidRDefault="004D437D" w:rsidP="00000F21">
            <w:pPr>
              <w:jc w:val="right"/>
              <w:rPr>
                <w:sz w:val="18"/>
                <w:szCs w:val="18"/>
              </w:rPr>
            </w:pPr>
            <w:r w:rsidRPr="00005453">
              <w:rPr>
                <w:sz w:val="18"/>
                <w:szCs w:val="18"/>
              </w:rPr>
              <w:t>38,525</w:t>
            </w:r>
          </w:p>
        </w:tc>
        <w:tc>
          <w:tcPr>
            <w:tcW w:w="1120" w:type="dxa"/>
            <w:tcBorders>
              <w:top w:val="nil"/>
              <w:left w:val="nil"/>
              <w:bottom w:val="nil"/>
              <w:right w:val="nil"/>
            </w:tcBorders>
            <w:shd w:val="clear" w:color="auto" w:fill="auto"/>
            <w:vAlign w:val="center"/>
            <w:hideMark/>
          </w:tcPr>
          <w:p w14:paraId="1564F9FE" w14:textId="59665D77" w:rsidR="00000F21" w:rsidRPr="00005453" w:rsidRDefault="00000F21" w:rsidP="00000F21">
            <w:pPr>
              <w:jc w:val="right"/>
              <w:rPr>
                <w:sz w:val="18"/>
                <w:szCs w:val="18"/>
              </w:rPr>
            </w:pPr>
            <w:r w:rsidRPr="00005453">
              <w:rPr>
                <w:sz w:val="18"/>
                <w:szCs w:val="18"/>
              </w:rPr>
              <w:t>36,204</w:t>
            </w:r>
          </w:p>
        </w:tc>
        <w:tc>
          <w:tcPr>
            <w:tcW w:w="1065" w:type="dxa"/>
            <w:tcBorders>
              <w:top w:val="nil"/>
              <w:left w:val="nil"/>
              <w:bottom w:val="nil"/>
              <w:right w:val="nil"/>
            </w:tcBorders>
            <w:shd w:val="clear" w:color="auto" w:fill="auto"/>
            <w:vAlign w:val="center"/>
            <w:hideMark/>
          </w:tcPr>
          <w:p w14:paraId="5DD73DFE" w14:textId="02A4C7B6" w:rsidR="00000F21" w:rsidRPr="00005453" w:rsidRDefault="00000F21" w:rsidP="00000F21">
            <w:pPr>
              <w:jc w:val="right"/>
              <w:rPr>
                <w:color w:val="404040"/>
                <w:sz w:val="18"/>
                <w:szCs w:val="18"/>
                <w:lang w:eastAsia="tr-TR"/>
              </w:rPr>
            </w:pPr>
            <w:r w:rsidRPr="00005453">
              <w:rPr>
                <w:sz w:val="18"/>
                <w:szCs w:val="18"/>
              </w:rPr>
              <w:t>30,361</w:t>
            </w:r>
          </w:p>
        </w:tc>
        <w:tc>
          <w:tcPr>
            <w:tcW w:w="1138" w:type="dxa"/>
            <w:tcBorders>
              <w:top w:val="nil"/>
              <w:left w:val="nil"/>
              <w:bottom w:val="nil"/>
              <w:right w:val="nil"/>
            </w:tcBorders>
            <w:shd w:val="clear" w:color="auto" w:fill="auto"/>
            <w:vAlign w:val="center"/>
            <w:hideMark/>
          </w:tcPr>
          <w:p w14:paraId="2572265F" w14:textId="1A01775F" w:rsidR="00000F21" w:rsidRPr="00005453" w:rsidRDefault="00000F21" w:rsidP="00000F21">
            <w:pPr>
              <w:jc w:val="right"/>
              <w:rPr>
                <w:b/>
                <w:color w:val="404040"/>
                <w:sz w:val="18"/>
                <w:szCs w:val="18"/>
                <w:lang w:eastAsia="tr-TR"/>
              </w:rPr>
            </w:pPr>
            <w:r w:rsidRPr="00005453">
              <w:rPr>
                <w:sz w:val="18"/>
                <w:szCs w:val="18"/>
              </w:rPr>
              <w:t>28,706</w:t>
            </w:r>
          </w:p>
        </w:tc>
      </w:tr>
      <w:tr w:rsidR="00000F21" w:rsidRPr="00005453" w14:paraId="31BA9B3A" w14:textId="77777777" w:rsidTr="00000F21">
        <w:trPr>
          <w:divId w:val="560678217"/>
          <w:trHeight w:val="227"/>
        </w:trPr>
        <w:tc>
          <w:tcPr>
            <w:tcW w:w="4821" w:type="dxa"/>
            <w:tcBorders>
              <w:top w:val="nil"/>
              <w:left w:val="nil"/>
              <w:bottom w:val="nil"/>
              <w:right w:val="nil"/>
            </w:tcBorders>
            <w:shd w:val="clear" w:color="auto" w:fill="auto"/>
            <w:noWrap/>
            <w:vAlign w:val="center"/>
            <w:hideMark/>
          </w:tcPr>
          <w:p w14:paraId="7CD5458A" w14:textId="77777777" w:rsidR="00000F21" w:rsidRPr="00005453" w:rsidRDefault="00000F21" w:rsidP="00000F21">
            <w:pPr>
              <w:rPr>
                <w:color w:val="000000"/>
                <w:sz w:val="18"/>
                <w:szCs w:val="18"/>
                <w:lang w:eastAsia="tr-TR"/>
              </w:rPr>
            </w:pPr>
            <w:r w:rsidRPr="00005453">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1CD9C748" w14:textId="2BB84AE2" w:rsidR="00000F21" w:rsidRPr="00005453" w:rsidRDefault="00000F21" w:rsidP="00000F21">
            <w:pPr>
              <w:jc w:val="right"/>
              <w:rPr>
                <w:sz w:val="18"/>
                <w:szCs w:val="18"/>
              </w:rPr>
            </w:pPr>
            <w:r w:rsidRPr="00005453">
              <w:rPr>
                <w:sz w:val="18"/>
                <w:szCs w:val="18"/>
              </w:rPr>
              <w:t>87,015</w:t>
            </w:r>
          </w:p>
        </w:tc>
        <w:tc>
          <w:tcPr>
            <w:tcW w:w="1120" w:type="dxa"/>
            <w:tcBorders>
              <w:top w:val="nil"/>
              <w:left w:val="nil"/>
              <w:bottom w:val="nil"/>
              <w:right w:val="nil"/>
            </w:tcBorders>
            <w:shd w:val="clear" w:color="auto" w:fill="auto"/>
            <w:vAlign w:val="center"/>
            <w:hideMark/>
          </w:tcPr>
          <w:p w14:paraId="69BECA47" w14:textId="00519F20" w:rsidR="00000F21" w:rsidRPr="00005453" w:rsidRDefault="00000F21" w:rsidP="00000F21">
            <w:pPr>
              <w:jc w:val="right"/>
              <w:rPr>
                <w:sz w:val="18"/>
                <w:szCs w:val="18"/>
              </w:rPr>
            </w:pPr>
            <w:r w:rsidRPr="00005453">
              <w:rPr>
                <w:sz w:val="18"/>
                <w:szCs w:val="18"/>
              </w:rPr>
              <w:t>69,035</w:t>
            </w:r>
          </w:p>
        </w:tc>
        <w:tc>
          <w:tcPr>
            <w:tcW w:w="1065" w:type="dxa"/>
            <w:tcBorders>
              <w:top w:val="nil"/>
              <w:left w:val="nil"/>
              <w:bottom w:val="nil"/>
              <w:right w:val="nil"/>
            </w:tcBorders>
            <w:shd w:val="clear" w:color="auto" w:fill="auto"/>
            <w:vAlign w:val="center"/>
            <w:hideMark/>
          </w:tcPr>
          <w:p w14:paraId="5762FDAD" w14:textId="3E200E78" w:rsidR="00000F21" w:rsidRPr="00005453" w:rsidRDefault="00000F21" w:rsidP="00000F21">
            <w:pPr>
              <w:jc w:val="right"/>
              <w:rPr>
                <w:color w:val="000000"/>
                <w:sz w:val="18"/>
                <w:szCs w:val="18"/>
                <w:lang w:eastAsia="tr-TR"/>
              </w:rPr>
            </w:pPr>
            <w:r w:rsidRPr="00005453">
              <w:rPr>
                <w:sz w:val="18"/>
                <w:szCs w:val="18"/>
              </w:rPr>
              <w:t>42,044</w:t>
            </w:r>
          </w:p>
        </w:tc>
        <w:tc>
          <w:tcPr>
            <w:tcW w:w="1138" w:type="dxa"/>
            <w:tcBorders>
              <w:top w:val="nil"/>
              <w:left w:val="nil"/>
              <w:bottom w:val="nil"/>
              <w:right w:val="nil"/>
            </w:tcBorders>
            <w:shd w:val="clear" w:color="auto" w:fill="auto"/>
            <w:vAlign w:val="center"/>
            <w:hideMark/>
          </w:tcPr>
          <w:p w14:paraId="0BAAC7AB" w14:textId="6A4ACBB2" w:rsidR="00000F21" w:rsidRPr="00005453" w:rsidRDefault="00000F21" w:rsidP="00000F21">
            <w:pPr>
              <w:jc w:val="right"/>
              <w:rPr>
                <w:color w:val="000000"/>
                <w:sz w:val="18"/>
                <w:szCs w:val="18"/>
                <w:lang w:eastAsia="tr-TR"/>
              </w:rPr>
            </w:pPr>
            <w:r w:rsidRPr="00005453">
              <w:rPr>
                <w:sz w:val="18"/>
                <w:szCs w:val="18"/>
              </w:rPr>
              <w:t>32,373</w:t>
            </w:r>
          </w:p>
        </w:tc>
      </w:tr>
      <w:tr w:rsidR="00000F21" w:rsidRPr="00005453" w14:paraId="56C00E3C" w14:textId="77777777" w:rsidTr="00000F21">
        <w:trPr>
          <w:divId w:val="560678217"/>
          <w:trHeight w:val="241"/>
        </w:trPr>
        <w:tc>
          <w:tcPr>
            <w:tcW w:w="4821" w:type="dxa"/>
            <w:tcBorders>
              <w:top w:val="nil"/>
              <w:left w:val="nil"/>
              <w:bottom w:val="single" w:sz="8" w:space="0" w:color="auto"/>
              <w:right w:val="nil"/>
            </w:tcBorders>
            <w:shd w:val="clear" w:color="auto" w:fill="auto"/>
            <w:noWrap/>
            <w:vAlign w:val="center"/>
            <w:hideMark/>
          </w:tcPr>
          <w:p w14:paraId="5EE1CB12" w14:textId="77777777" w:rsidR="00000F21" w:rsidRPr="00005453" w:rsidRDefault="00000F21" w:rsidP="00000F21">
            <w:pPr>
              <w:rPr>
                <w:color w:val="000000"/>
                <w:sz w:val="18"/>
                <w:szCs w:val="18"/>
                <w:lang w:eastAsia="tr-TR"/>
              </w:rPr>
            </w:pPr>
            <w:r w:rsidRPr="00005453">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17386AED" w14:textId="2EA75B22" w:rsidR="00000F21" w:rsidRPr="00005453" w:rsidRDefault="00000F21" w:rsidP="00000F21">
            <w:pPr>
              <w:jc w:val="right"/>
              <w:rPr>
                <w:sz w:val="18"/>
                <w:szCs w:val="18"/>
              </w:rPr>
            </w:pPr>
            <w:r w:rsidRPr="00005453">
              <w:rPr>
                <w:sz w:val="18"/>
                <w:szCs w:val="18"/>
              </w:rPr>
              <w:t>2,170,589</w:t>
            </w:r>
          </w:p>
        </w:tc>
        <w:tc>
          <w:tcPr>
            <w:tcW w:w="1120" w:type="dxa"/>
            <w:tcBorders>
              <w:top w:val="nil"/>
              <w:left w:val="nil"/>
              <w:bottom w:val="single" w:sz="8" w:space="0" w:color="auto"/>
              <w:right w:val="nil"/>
            </w:tcBorders>
            <w:shd w:val="clear" w:color="auto" w:fill="auto"/>
            <w:vAlign w:val="center"/>
            <w:hideMark/>
          </w:tcPr>
          <w:p w14:paraId="6A6AC376" w14:textId="2FAFFFC0" w:rsidR="00000F21" w:rsidRPr="00005453" w:rsidRDefault="00000F21" w:rsidP="00000F21">
            <w:pPr>
              <w:jc w:val="right"/>
              <w:rPr>
                <w:sz w:val="18"/>
                <w:szCs w:val="18"/>
              </w:rPr>
            </w:pPr>
            <w:r w:rsidRPr="00005453">
              <w:rPr>
                <w:sz w:val="18"/>
                <w:szCs w:val="18"/>
              </w:rPr>
              <w:t>1,360,784</w:t>
            </w:r>
          </w:p>
        </w:tc>
        <w:tc>
          <w:tcPr>
            <w:tcW w:w="1065" w:type="dxa"/>
            <w:tcBorders>
              <w:top w:val="nil"/>
              <w:left w:val="nil"/>
              <w:bottom w:val="single" w:sz="8" w:space="0" w:color="auto"/>
              <w:right w:val="nil"/>
            </w:tcBorders>
            <w:shd w:val="clear" w:color="auto" w:fill="auto"/>
            <w:vAlign w:val="center"/>
            <w:hideMark/>
          </w:tcPr>
          <w:p w14:paraId="1CD97D01" w14:textId="7AE395E8" w:rsidR="00000F21" w:rsidRPr="00005453" w:rsidRDefault="00000F21" w:rsidP="00000F21">
            <w:pPr>
              <w:jc w:val="right"/>
              <w:rPr>
                <w:color w:val="000000"/>
                <w:sz w:val="18"/>
                <w:szCs w:val="18"/>
                <w:lang w:eastAsia="tr-TR"/>
              </w:rPr>
            </w:pPr>
            <w:r w:rsidRPr="00005453">
              <w:rPr>
                <w:sz w:val="18"/>
                <w:szCs w:val="18"/>
              </w:rPr>
              <w:t>1,325,234</w:t>
            </w:r>
          </w:p>
        </w:tc>
        <w:tc>
          <w:tcPr>
            <w:tcW w:w="1138" w:type="dxa"/>
            <w:tcBorders>
              <w:top w:val="nil"/>
              <w:left w:val="nil"/>
              <w:bottom w:val="single" w:sz="8" w:space="0" w:color="auto"/>
              <w:right w:val="nil"/>
            </w:tcBorders>
            <w:shd w:val="clear" w:color="auto" w:fill="auto"/>
            <w:vAlign w:val="center"/>
            <w:hideMark/>
          </w:tcPr>
          <w:p w14:paraId="5E9D61DC" w14:textId="3F98D3EA" w:rsidR="00000F21" w:rsidRPr="00005453" w:rsidRDefault="00000F21" w:rsidP="00000F21">
            <w:pPr>
              <w:jc w:val="right"/>
              <w:rPr>
                <w:color w:val="000000"/>
                <w:sz w:val="18"/>
                <w:szCs w:val="18"/>
                <w:lang w:eastAsia="tr-TR"/>
              </w:rPr>
            </w:pPr>
            <w:r w:rsidRPr="00005453">
              <w:rPr>
                <w:sz w:val="18"/>
                <w:szCs w:val="18"/>
              </w:rPr>
              <w:t>822,306</w:t>
            </w:r>
          </w:p>
        </w:tc>
      </w:tr>
      <w:tr w:rsidR="00000F21" w:rsidRPr="00005453" w14:paraId="6250A835" w14:textId="77777777" w:rsidTr="00000F21">
        <w:trPr>
          <w:divId w:val="560678217"/>
          <w:trHeight w:val="227"/>
        </w:trPr>
        <w:tc>
          <w:tcPr>
            <w:tcW w:w="4821" w:type="dxa"/>
            <w:tcBorders>
              <w:top w:val="nil"/>
              <w:left w:val="nil"/>
              <w:bottom w:val="double" w:sz="6" w:space="0" w:color="auto"/>
              <w:right w:val="nil"/>
            </w:tcBorders>
            <w:shd w:val="clear" w:color="auto" w:fill="auto"/>
            <w:vAlign w:val="center"/>
            <w:hideMark/>
          </w:tcPr>
          <w:p w14:paraId="20EF016B" w14:textId="77777777" w:rsidR="00000F21" w:rsidRPr="00005453" w:rsidRDefault="00000F21" w:rsidP="00000F21">
            <w:pPr>
              <w:rPr>
                <w:b/>
                <w:bCs/>
                <w:color w:val="000000"/>
                <w:sz w:val="18"/>
                <w:szCs w:val="18"/>
                <w:lang w:eastAsia="tr-TR"/>
              </w:rPr>
            </w:pPr>
            <w:r w:rsidRPr="00005453">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0C1635C0" w14:textId="44DED41A" w:rsidR="00000F21" w:rsidRPr="00005453" w:rsidRDefault="00000F21" w:rsidP="00000F21">
            <w:pPr>
              <w:jc w:val="right"/>
              <w:rPr>
                <w:b/>
                <w:bCs/>
                <w:sz w:val="18"/>
                <w:szCs w:val="18"/>
              </w:rPr>
            </w:pPr>
            <w:r w:rsidRPr="00005453">
              <w:rPr>
                <w:b/>
                <w:bCs/>
                <w:sz w:val="18"/>
                <w:szCs w:val="18"/>
              </w:rPr>
              <w:t>2,296,129</w:t>
            </w:r>
          </w:p>
        </w:tc>
        <w:tc>
          <w:tcPr>
            <w:tcW w:w="1120" w:type="dxa"/>
            <w:tcBorders>
              <w:top w:val="nil"/>
              <w:left w:val="nil"/>
              <w:bottom w:val="double" w:sz="6" w:space="0" w:color="auto"/>
              <w:right w:val="nil"/>
            </w:tcBorders>
            <w:shd w:val="clear" w:color="auto" w:fill="auto"/>
            <w:vAlign w:val="center"/>
            <w:hideMark/>
          </w:tcPr>
          <w:p w14:paraId="4B18ABFD" w14:textId="2D30A281" w:rsidR="00000F21" w:rsidRPr="00005453" w:rsidRDefault="00000F21" w:rsidP="00000F21">
            <w:pPr>
              <w:jc w:val="right"/>
              <w:rPr>
                <w:b/>
                <w:bCs/>
                <w:sz w:val="18"/>
                <w:szCs w:val="18"/>
              </w:rPr>
            </w:pPr>
            <w:r w:rsidRPr="00005453">
              <w:rPr>
                <w:b/>
                <w:bCs/>
                <w:sz w:val="18"/>
                <w:szCs w:val="18"/>
              </w:rPr>
              <w:t>1,466,023</w:t>
            </w:r>
          </w:p>
        </w:tc>
        <w:tc>
          <w:tcPr>
            <w:tcW w:w="1065" w:type="dxa"/>
            <w:tcBorders>
              <w:top w:val="nil"/>
              <w:left w:val="nil"/>
              <w:bottom w:val="double" w:sz="6" w:space="0" w:color="auto"/>
              <w:right w:val="nil"/>
            </w:tcBorders>
            <w:shd w:val="clear" w:color="auto" w:fill="auto"/>
            <w:vAlign w:val="center"/>
            <w:hideMark/>
          </w:tcPr>
          <w:p w14:paraId="0C8AED51" w14:textId="47C866FF" w:rsidR="00000F21" w:rsidRPr="00005453" w:rsidRDefault="00000F21" w:rsidP="00000F21">
            <w:pPr>
              <w:jc w:val="right"/>
              <w:rPr>
                <w:b/>
                <w:bCs/>
                <w:color w:val="000000"/>
                <w:sz w:val="18"/>
                <w:szCs w:val="18"/>
                <w:lang w:eastAsia="tr-TR"/>
              </w:rPr>
            </w:pPr>
            <w:r w:rsidRPr="00005453">
              <w:rPr>
                <w:b/>
                <w:bCs/>
                <w:sz w:val="18"/>
                <w:szCs w:val="18"/>
              </w:rPr>
              <w:t>1,397,639</w:t>
            </w:r>
          </w:p>
        </w:tc>
        <w:tc>
          <w:tcPr>
            <w:tcW w:w="1138" w:type="dxa"/>
            <w:tcBorders>
              <w:top w:val="nil"/>
              <w:left w:val="nil"/>
              <w:bottom w:val="double" w:sz="6" w:space="0" w:color="auto"/>
              <w:right w:val="nil"/>
            </w:tcBorders>
            <w:shd w:val="clear" w:color="auto" w:fill="auto"/>
            <w:vAlign w:val="center"/>
            <w:hideMark/>
          </w:tcPr>
          <w:p w14:paraId="48BEFF30" w14:textId="7A0E275C" w:rsidR="00000F21" w:rsidRPr="00005453" w:rsidRDefault="00000F21" w:rsidP="00000F21">
            <w:pPr>
              <w:jc w:val="right"/>
              <w:rPr>
                <w:b/>
                <w:bCs/>
                <w:color w:val="000000"/>
                <w:sz w:val="18"/>
                <w:szCs w:val="18"/>
                <w:lang w:eastAsia="tr-TR"/>
              </w:rPr>
            </w:pPr>
            <w:r w:rsidRPr="00005453">
              <w:rPr>
                <w:b/>
                <w:bCs/>
                <w:sz w:val="18"/>
                <w:szCs w:val="18"/>
              </w:rPr>
              <w:t>883,385</w:t>
            </w:r>
          </w:p>
        </w:tc>
      </w:tr>
    </w:tbl>
    <w:p w14:paraId="11653792" w14:textId="7FA48C97" w:rsidR="00E1597B" w:rsidRPr="00005453" w:rsidRDefault="00E1597B" w:rsidP="000F096F">
      <w:pPr>
        <w:autoSpaceDE w:val="0"/>
        <w:autoSpaceDN w:val="0"/>
        <w:adjustRightInd w:val="0"/>
        <w:rPr>
          <w:rFonts w:eastAsia="Arial Unicode MS"/>
          <w:sz w:val="10"/>
          <w:szCs w:val="10"/>
        </w:rPr>
      </w:pPr>
    </w:p>
    <w:p w14:paraId="2D3CE92E" w14:textId="2D848D4A" w:rsidR="007F1884" w:rsidRPr="00005453" w:rsidRDefault="00EC581E" w:rsidP="007F1884">
      <w:pPr>
        <w:autoSpaceDE w:val="0"/>
        <w:autoSpaceDN w:val="0"/>
        <w:adjustRightInd w:val="0"/>
        <w:jc w:val="both"/>
        <w:rPr>
          <w:b/>
        </w:rPr>
      </w:pPr>
      <w:r w:rsidRPr="00005453">
        <w:rPr>
          <w:sz w:val="16"/>
        </w:rPr>
        <w:t xml:space="preserve">Banka, alternatif borçlanma </w:t>
      </w:r>
      <w:proofErr w:type="gramStart"/>
      <w:r w:rsidRPr="00005453">
        <w:rPr>
          <w:sz w:val="16"/>
        </w:rPr>
        <w:t>kar</w:t>
      </w:r>
      <w:proofErr w:type="gramEnd"/>
      <w:r w:rsidRPr="00005453">
        <w:rPr>
          <w:sz w:val="16"/>
        </w:rPr>
        <w:t xml:space="preserve"> payı oranı olarak FTF (Fon Transfer </w:t>
      </w:r>
      <w:r w:rsidR="002F5480" w:rsidRPr="00005453">
        <w:rPr>
          <w:sz w:val="16"/>
        </w:rPr>
        <w:t>Fiyatlandırması</w:t>
      </w:r>
      <w:r w:rsidRPr="00005453">
        <w:rPr>
          <w:sz w:val="16"/>
        </w:rPr>
        <w:t xml:space="preserve">) oranlarını </w:t>
      </w:r>
      <w:r w:rsidR="002F5480" w:rsidRPr="00005453">
        <w:rPr>
          <w:sz w:val="16"/>
        </w:rPr>
        <w:t>kullanmaktadır</w:t>
      </w:r>
      <w:r w:rsidRPr="00005453">
        <w:rPr>
          <w:sz w:val="16"/>
        </w:rPr>
        <w:t xml:space="preserve">. İlgili oranlar 2 haftalık periyotlarda gözden geçirilerek güncellenmektedir. Katılım Bankası ödemelerindeki değişiklik, değişken </w:t>
      </w:r>
      <w:proofErr w:type="gramStart"/>
      <w:r w:rsidRPr="00005453">
        <w:rPr>
          <w:sz w:val="16"/>
        </w:rPr>
        <w:t>kar</w:t>
      </w:r>
      <w:proofErr w:type="gramEnd"/>
      <w:r w:rsidRPr="00005453">
        <w:rPr>
          <w:sz w:val="16"/>
        </w:rPr>
        <w:t xml:space="preserve"> payı oranlarından kaynaklanmadığı sürece değiştirilmemiş bir ıskonto oranı kullanır. Kira ödemelerindeki değişikliğin, değişken </w:t>
      </w:r>
      <w:proofErr w:type="gramStart"/>
      <w:r w:rsidRPr="00005453">
        <w:rPr>
          <w:sz w:val="16"/>
        </w:rPr>
        <w:t>kar</w:t>
      </w:r>
      <w:proofErr w:type="gramEnd"/>
      <w:r w:rsidRPr="00005453">
        <w:rPr>
          <w:sz w:val="16"/>
        </w:rPr>
        <w:t xml:space="preserve"> payı oranlarından kaynaklanması durumunda (LIBOR, EURIBOR) kiracı, kar payı oranındaki değişiklikleri yansıtan revize edilmiş bir iskonto oranı kullanılır.</w:t>
      </w:r>
      <w:r w:rsidR="007F1884" w:rsidRPr="00005453">
        <w:rPr>
          <w:b/>
        </w:rPr>
        <w:br w:type="page"/>
      </w:r>
    </w:p>
    <w:p w14:paraId="03C80B6C" w14:textId="0B51C1FD" w:rsidR="00EC581E" w:rsidRPr="00005453" w:rsidRDefault="00EC581E" w:rsidP="00EC581E">
      <w:pPr>
        <w:tabs>
          <w:tab w:val="num" w:pos="2340"/>
          <w:tab w:val="num" w:pos="3060"/>
        </w:tabs>
        <w:autoSpaceDE w:val="0"/>
        <w:autoSpaceDN w:val="0"/>
        <w:adjustRightInd w:val="0"/>
        <w:ind w:hanging="567"/>
        <w:jc w:val="both"/>
      </w:pPr>
      <w:r w:rsidRPr="00005453">
        <w:rPr>
          <w:b/>
        </w:rPr>
        <w:lastRenderedPageBreak/>
        <w:t>2.</w:t>
      </w:r>
      <w:r w:rsidR="00731AA9" w:rsidRPr="00005453">
        <w:rPr>
          <w:b/>
        </w:rPr>
        <w:t>6</w:t>
      </w:r>
      <w:r w:rsidRPr="00005453">
        <w:rPr>
          <w:b/>
        </w:rPr>
        <w:t>.1.</w:t>
      </w:r>
      <w:r w:rsidRPr="00005453">
        <w:tab/>
        <w:t>Sözleşme değişikliklerine ve bu değişikliklerin Banka’ya getirdiği yeni yükümlülüklere ilişkin açıklamalar</w:t>
      </w:r>
    </w:p>
    <w:p w14:paraId="2C6AD9C5" w14:textId="77777777" w:rsidR="00EC581E" w:rsidRPr="00005453" w:rsidRDefault="00EC581E" w:rsidP="00EC581E">
      <w:pPr>
        <w:tabs>
          <w:tab w:val="num" w:pos="2340"/>
          <w:tab w:val="num" w:pos="3060"/>
        </w:tabs>
        <w:autoSpaceDE w:val="0"/>
        <w:autoSpaceDN w:val="0"/>
        <w:adjustRightInd w:val="0"/>
        <w:ind w:hanging="567"/>
        <w:jc w:val="both"/>
        <w:rPr>
          <w:sz w:val="16"/>
          <w:szCs w:val="16"/>
        </w:rPr>
      </w:pPr>
    </w:p>
    <w:p w14:paraId="1A312280" w14:textId="4F44285F" w:rsidR="00EC581E" w:rsidRPr="00005453" w:rsidRDefault="00EC581E" w:rsidP="00EC581E">
      <w:pPr>
        <w:tabs>
          <w:tab w:val="num" w:pos="2340"/>
          <w:tab w:val="num" w:pos="3060"/>
        </w:tabs>
        <w:autoSpaceDE w:val="0"/>
        <w:autoSpaceDN w:val="0"/>
        <w:adjustRightInd w:val="0"/>
        <w:ind w:hanging="567"/>
        <w:jc w:val="both"/>
      </w:pPr>
      <w:r w:rsidRPr="00005453">
        <w:tab/>
        <w:t>Yoktur (31 Aralık 202</w:t>
      </w:r>
      <w:r w:rsidR="00E65EA3" w:rsidRPr="00005453">
        <w:t>3</w:t>
      </w:r>
      <w:r w:rsidRPr="00005453">
        <w:t xml:space="preserve"> – Yoktur).</w:t>
      </w:r>
    </w:p>
    <w:p w14:paraId="6A054A5C" w14:textId="77777777" w:rsidR="00EC581E" w:rsidRPr="00005453" w:rsidRDefault="00EC581E" w:rsidP="00EC581E">
      <w:pPr>
        <w:autoSpaceDE w:val="0"/>
        <w:autoSpaceDN w:val="0"/>
        <w:adjustRightInd w:val="0"/>
        <w:ind w:left="1080" w:hanging="540"/>
        <w:rPr>
          <w:rFonts w:eastAsia="Arial Unicode MS"/>
          <w:sz w:val="16"/>
          <w:szCs w:val="16"/>
        </w:rPr>
      </w:pPr>
    </w:p>
    <w:p w14:paraId="68029EA9" w14:textId="429F6B51" w:rsidR="00EC581E" w:rsidRPr="00005453" w:rsidRDefault="00EC581E" w:rsidP="00EC581E">
      <w:pPr>
        <w:tabs>
          <w:tab w:val="num" w:pos="2340"/>
          <w:tab w:val="num" w:pos="3060"/>
        </w:tabs>
        <w:autoSpaceDE w:val="0"/>
        <w:autoSpaceDN w:val="0"/>
        <w:adjustRightInd w:val="0"/>
        <w:ind w:hanging="567"/>
      </w:pPr>
      <w:r w:rsidRPr="00005453">
        <w:rPr>
          <w:b/>
        </w:rPr>
        <w:t>2.</w:t>
      </w:r>
      <w:r w:rsidR="00731AA9" w:rsidRPr="00005453">
        <w:rPr>
          <w:b/>
        </w:rPr>
        <w:t>6</w:t>
      </w:r>
      <w:r w:rsidRPr="00005453">
        <w:rPr>
          <w:b/>
        </w:rPr>
        <w:t>.1.1.</w:t>
      </w:r>
      <w:r w:rsidRPr="00005453">
        <w:t xml:space="preserve"> Finansal </w:t>
      </w:r>
      <w:r w:rsidR="008A0319" w:rsidRPr="00005453">
        <w:t>k</w:t>
      </w:r>
      <w:r w:rsidRPr="00005453">
        <w:t xml:space="preserve">iralama </w:t>
      </w:r>
      <w:r w:rsidR="008A0319" w:rsidRPr="00005453">
        <w:t>i</w:t>
      </w:r>
      <w:r w:rsidRPr="00005453">
        <w:t xml:space="preserve">şlemlerinden </w:t>
      </w:r>
      <w:r w:rsidR="008A0319" w:rsidRPr="00005453">
        <w:t>d</w:t>
      </w:r>
      <w:r w:rsidRPr="00005453">
        <w:t xml:space="preserve">oğan </w:t>
      </w:r>
      <w:r w:rsidR="008A0319" w:rsidRPr="00005453">
        <w:t>y</w:t>
      </w:r>
      <w:r w:rsidRPr="00005453">
        <w:t>ükümlülüklere ilişkin açıklamalar</w:t>
      </w:r>
    </w:p>
    <w:p w14:paraId="478DA12C" w14:textId="77777777" w:rsidR="00EC581E" w:rsidRPr="00005453" w:rsidRDefault="00EC581E" w:rsidP="00EC581E">
      <w:pPr>
        <w:autoSpaceDE w:val="0"/>
        <w:autoSpaceDN w:val="0"/>
        <w:adjustRightInd w:val="0"/>
        <w:rPr>
          <w:rFonts w:eastAsia="Arial Unicode MS"/>
          <w:sz w:val="16"/>
          <w:szCs w:val="16"/>
        </w:rPr>
      </w:pPr>
    </w:p>
    <w:p w14:paraId="1F6CDE6B" w14:textId="5EE79860" w:rsidR="00EC581E" w:rsidRPr="00005453" w:rsidRDefault="00EC581E" w:rsidP="00EC581E">
      <w:pPr>
        <w:tabs>
          <w:tab w:val="num" w:pos="2340"/>
          <w:tab w:val="num" w:pos="3060"/>
        </w:tabs>
        <w:autoSpaceDE w:val="0"/>
        <w:autoSpaceDN w:val="0"/>
        <w:adjustRightInd w:val="0"/>
        <w:ind w:hanging="567"/>
        <w:jc w:val="both"/>
      </w:pPr>
      <w:r w:rsidRPr="00005453">
        <w:tab/>
        <w:t>Yoktur (31 Aralık 202</w:t>
      </w:r>
      <w:r w:rsidR="00E65EA3" w:rsidRPr="00005453">
        <w:t>3</w:t>
      </w:r>
      <w:r w:rsidRPr="00005453">
        <w:t xml:space="preserve"> – Yoktur).</w:t>
      </w:r>
    </w:p>
    <w:p w14:paraId="2E9D62A6" w14:textId="77777777" w:rsidR="00EC581E" w:rsidRPr="00005453" w:rsidRDefault="00EC581E" w:rsidP="00EC581E">
      <w:pPr>
        <w:autoSpaceDE w:val="0"/>
        <w:autoSpaceDN w:val="0"/>
        <w:adjustRightInd w:val="0"/>
        <w:rPr>
          <w:rFonts w:eastAsia="Arial Unicode MS"/>
          <w:sz w:val="16"/>
          <w:szCs w:val="16"/>
        </w:rPr>
      </w:pPr>
    </w:p>
    <w:p w14:paraId="66DE417C" w14:textId="43A713D9" w:rsidR="00EC581E" w:rsidRPr="00005453" w:rsidRDefault="00EC581E" w:rsidP="00EC581E">
      <w:pPr>
        <w:tabs>
          <w:tab w:val="num" w:pos="2340"/>
          <w:tab w:val="num" w:pos="3060"/>
        </w:tabs>
        <w:autoSpaceDE w:val="0"/>
        <w:autoSpaceDN w:val="0"/>
        <w:adjustRightInd w:val="0"/>
        <w:ind w:hanging="567"/>
      </w:pPr>
      <w:r w:rsidRPr="00005453">
        <w:rPr>
          <w:b/>
        </w:rPr>
        <w:t>2.</w:t>
      </w:r>
      <w:r w:rsidR="00731AA9" w:rsidRPr="00005453">
        <w:rPr>
          <w:b/>
        </w:rPr>
        <w:t>6</w:t>
      </w:r>
      <w:r w:rsidRPr="00005453">
        <w:rPr>
          <w:b/>
        </w:rPr>
        <w:t>.1.2.</w:t>
      </w:r>
      <w:r w:rsidRPr="00005453">
        <w:t xml:space="preserve"> Faaliyet kiralamasına ilişkin açıklamalar</w:t>
      </w:r>
    </w:p>
    <w:p w14:paraId="77832150" w14:textId="77777777" w:rsidR="00EC581E" w:rsidRPr="00005453" w:rsidRDefault="00EC581E" w:rsidP="00EC581E">
      <w:pPr>
        <w:autoSpaceDE w:val="0"/>
        <w:autoSpaceDN w:val="0"/>
        <w:adjustRightInd w:val="0"/>
        <w:ind w:left="1080" w:hanging="540"/>
        <w:rPr>
          <w:rFonts w:eastAsia="Arial Unicode MS"/>
          <w:sz w:val="16"/>
          <w:szCs w:val="16"/>
        </w:rPr>
      </w:pPr>
    </w:p>
    <w:p w14:paraId="7CA1F025" w14:textId="77777777" w:rsidR="00EC581E" w:rsidRPr="00005453" w:rsidRDefault="00EC581E" w:rsidP="00EC581E">
      <w:pPr>
        <w:autoSpaceDE w:val="0"/>
        <w:autoSpaceDN w:val="0"/>
        <w:adjustRightInd w:val="0"/>
        <w:jc w:val="both"/>
        <w:rPr>
          <w:rFonts w:eastAsia="Arial Unicode MS"/>
        </w:rPr>
      </w:pPr>
      <w:r w:rsidRPr="00005453">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6B86C5D5" w14:textId="77777777" w:rsidR="00EC581E" w:rsidRPr="00005453" w:rsidRDefault="00EC581E" w:rsidP="00EC581E">
      <w:pPr>
        <w:autoSpaceDE w:val="0"/>
        <w:autoSpaceDN w:val="0"/>
        <w:adjustRightInd w:val="0"/>
        <w:jc w:val="both"/>
        <w:rPr>
          <w:rFonts w:eastAsia="Arial Unicode MS"/>
          <w:sz w:val="16"/>
          <w:szCs w:val="16"/>
        </w:rPr>
      </w:pPr>
    </w:p>
    <w:p w14:paraId="2C60691A" w14:textId="77777777" w:rsidR="00EC581E" w:rsidRPr="00005453" w:rsidRDefault="00EC581E" w:rsidP="00EC581E">
      <w:pPr>
        <w:autoSpaceDE w:val="0"/>
        <w:autoSpaceDN w:val="0"/>
        <w:adjustRightInd w:val="0"/>
        <w:jc w:val="both"/>
        <w:rPr>
          <w:rFonts w:eastAsia="Arial Unicode MS"/>
        </w:rPr>
      </w:pPr>
      <w:r w:rsidRPr="00005453">
        <w:rPr>
          <w:rFonts w:eastAsia="Arial Unicode MS"/>
        </w:rPr>
        <w:t>Faaliyet kiralaması ile ilgili sözleşme değişikliklerinin Banka’ya getirdiği önemli yükümlülükler bulunmamaktadır.</w:t>
      </w:r>
    </w:p>
    <w:p w14:paraId="09ACD381" w14:textId="77777777" w:rsidR="00EC581E" w:rsidRPr="00005453" w:rsidRDefault="00EC581E" w:rsidP="00EC581E">
      <w:pPr>
        <w:autoSpaceDE w:val="0"/>
        <w:autoSpaceDN w:val="0"/>
        <w:adjustRightInd w:val="0"/>
        <w:jc w:val="both"/>
        <w:rPr>
          <w:rFonts w:eastAsia="Arial Unicode MS"/>
          <w:sz w:val="16"/>
          <w:szCs w:val="16"/>
        </w:rPr>
      </w:pPr>
    </w:p>
    <w:p w14:paraId="463AB329" w14:textId="77777777" w:rsidR="00EC581E" w:rsidRPr="00005453" w:rsidRDefault="00EC581E" w:rsidP="00EC581E">
      <w:pPr>
        <w:autoSpaceDE w:val="0"/>
        <w:autoSpaceDN w:val="0"/>
        <w:adjustRightInd w:val="0"/>
        <w:rPr>
          <w:sz w:val="16"/>
          <w:szCs w:val="16"/>
        </w:rPr>
      </w:pPr>
      <w:r w:rsidRPr="00005453">
        <w:rPr>
          <w:rFonts w:eastAsia="Arial Unicode MS"/>
        </w:rPr>
        <w:t>Banka faaliyet kiralaması anlaşmalarına istinaden yaptığı kira ödemelerini kira süresi boyunca, eşit tutarlarda gider kaydetmektedir.</w:t>
      </w:r>
    </w:p>
    <w:p w14:paraId="1613EAB6" w14:textId="77777777" w:rsidR="0062073A" w:rsidRPr="00005453" w:rsidRDefault="0062073A" w:rsidP="00E16E4A">
      <w:pPr>
        <w:autoSpaceDE w:val="0"/>
        <w:autoSpaceDN w:val="0"/>
        <w:adjustRightInd w:val="0"/>
        <w:rPr>
          <w:sz w:val="16"/>
          <w:szCs w:val="16"/>
        </w:rPr>
      </w:pPr>
    </w:p>
    <w:p w14:paraId="086BD876" w14:textId="5994371F" w:rsidR="000A7F74" w:rsidRPr="00005453" w:rsidRDefault="000A7F74" w:rsidP="000A7F74">
      <w:pPr>
        <w:autoSpaceDE w:val="0"/>
        <w:autoSpaceDN w:val="0"/>
        <w:adjustRightInd w:val="0"/>
        <w:ind w:hanging="567"/>
        <w:rPr>
          <w:b/>
          <w:bCs/>
          <w:iCs/>
        </w:rPr>
      </w:pPr>
      <w:r w:rsidRPr="00005453">
        <w:rPr>
          <w:b/>
          <w:bCs/>
          <w:iCs/>
        </w:rPr>
        <w:t>2.</w:t>
      </w:r>
      <w:r w:rsidR="00731AA9" w:rsidRPr="00005453">
        <w:rPr>
          <w:b/>
          <w:bCs/>
          <w:iCs/>
        </w:rPr>
        <w:t>7</w:t>
      </w:r>
      <w:r w:rsidRPr="00005453">
        <w:rPr>
          <w:b/>
          <w:bCs/>
          <w:iCs/>
        </w:rPr>
        <w:t>.</w:t>
      </w:r>
      <w:r w:rsidRPr="00005453">
        <w:rPr>
          <w:b/>
          <w:bCs/>
          <w:iCs/>
        </w:rPr>
        <w:tab/>
        <w:t>Riskten korunma amaçlı türev finansal borçlara ilişkin bilgiler</w:t>
      </w:r>
    </w:p>
    <w:p w14:paraId="2C5BD28D" w14:textId="77777777" w:rsidR="000A7F74" w:rsidRPr="00005453" w:rsidRDefault="000A7F74" w:rsidP="000A7F74">
      <w:pPr>
        <w:tabs>
          <w:tab w:val="left" w:pos="709"/>
        </w:tabs>
        <w:rPr>
          <w:sz w:val="16"/>
          <w:szCs w:val="16"/>
          <w:lang w:eastAsia="en-GB"/>
        </w:rPr>
      </w:pPr>
    </w:p>
    <w:p w14:paraId="59A94117" w14:textId="67D7ED12" w:rsidR="000A7F74" w:rsidRPr="00005453" w:rsidRDefault="000A7F74" w:rsidP="000A7F74">
      <w:pPr>
        <w:autoSpaceDE w:val="0"/>
        <w:autoSpaceDN w:val="0"/>
        <w:adjustRightInd w:val="0"/>
        <w:ind w:hanging="567"/>
        <w:rPr>
          <w:b/>
          <w:bCs/>
          <w:iCs/>
        </w:rPr>
      </w:pPr>
      <w:r w:rsidRPr="00005453">
        <w:t xml:space="preserve"> </w:t>
      </w:r>
      <w:r w:rsidRPr="00005453">
        <w:tab/>
        <w:t>Yoktur (31 Aralık 202</w:t>
      </w:r>
      <w:r w:rsidR="00E65EA3" w:rsidRPr="00005453">
        <w:t>3</w:t>
      </w:r>
      <w:r w:rsidRPr="00005453">
        <w:t xml:space="preserve"> – Yoktur).</w:t>
      </w:r>
    </w:p>
    <w:p w14:paraId="4F70426D" w14:textId="43755828" w:rsidR="005B6364" w:rsidRPr="00005453" w:rsidRDefault="005B6364" w:rsidP="00E22ABE">
      <w:pPr>
        <w:tabs>
          <w:tab w:val="left" w:pos="709"/>
        </w:tabs>
        <w:ind w:hanging="567"/>
      </w:pPr>
    </w:p>
    <w:p w14:paraId="20B12EE9" w14:textId="57A9E1CD" w:rsidR="000F096F" w:rsidRPr="00005453" w:rsidRDefault="009E528F" w:rsidP="00E22ABE">
      <w:pPr>
        <w:tabs>
          <w:tab w:val="left" w:pos="709"/>
        </w:tabs>
        <w:ind w:hanging="567"/>
        <w:rPr>
          <w:b/>
          <w:bCs/>
          <w:iCs/>
        </w:rPr>
      </w:pPr>
      <w:r w:rsidRPr="00005453">
        <w:rPr>
          <w:b/>
          <w:bCs/>
          <w:iCs/>
        </w:rPr>
        <w:t>2</w:t>
      </w:r>
      <w:r w:rsidR="00E253C8" w:rsidRPr="00005453">
        <w:rPr>
          <w:b/>
          <w:bCs/>
          <w:iCs/>
        </w:rPr>
        <w:t>.</w:t>
      </w:r>
      <w:r w:rsidR="00731AA9" w:rsidRPr="00005453">
        <w:rPr>
          <w:b/>
          <w:bCs/>
          <w:iCs/>
        </w:rPr>
        <w:t>8</w:t>
      </w:r>
      <w:r w:rsidR="007A10B9" w:rsidRPr="00005453">
        <w:rPr>
          <w:b/>
          <w:bCs/>
          <w:iCs/>
        </w:rPr>
        <w:t>.</w:t>
      </w:r>
      <w:r w:rsidR="00E253C8" w:rsidRPr="00005453">
        <w:rPr>
          <w:b/>
          <w:bCs/>
          <w:iCs/>
        </w:rPr>
        <w:tab/>
        <w:t>Karşılıklara ilişkin açıklamalar</w:t>
      </w:r>
    </w:p>
    <w:p w14:paraId="48616CEC" w14:textId="77777777" w:rsidR="000F096F" w:rsidRPr="00005453" w:rsidRDefault="000F096F" w:rsidP="000F096F">
      <w:pPr>
        <w:tabs>
          <w:tab w:val="left" w:pos="-1800"/>
        </w:tabs>
        <w:rPr>
          <w:sz w:val="16"/>
          <w:szCs w:val="16"/>
        </w:rPr>
      </w:pPr>
    </w:p>
    <w:p w14:paraId="5C9C7020" w14:textId="77777777" w:rsidR="000F096F" w:rsidRPr="00005453" w:rsidRDefault="000F096F" w:rsidP="00842CA1">
      <w:pPr>
        <w:tabs>
          <w:tab w:val="left" w:pos="-1800"/>
        </w:tabs>
        <w:rPr>
          <w:sz w:val="2"/>
          <w:szCs w:val="14"/>
        </w:rPr>
      </w:pPr>
    </w:p>
    <w:p w14:paraId="78866605" w14:textId="77777777" w:rsidR="0073650A" w:rsidRPr="00005453" w:rsidRDefault="0073650A" w:rsidP="00842CA1">
      <w:pPr>
        <w:tabs>
          <w:tab w:val="left" w:pos="-1800"/>
        </w:tabs>
        <w:rPr>
          <w:sz w:val="2"/>
          <w:szCs w:val="14"/>
        </w:rPr>
      </w:pPr>
    </w:p>
    <w:p w14:paraId="2C12D332" w14:textId="12002BC1" w:rsidR="00E80388" w:rsidRPr="00005453" w:rsidRDefault="000A7F74" w:rsidP="000A7F74">
      <w:pPr>
        <w:tabs>
          <w:tab w:val="num" w:pos="2340"/>
          <w:tab w:val="num" w:pos="3060"/>
        </w:tabs>
        <w:autoSpaceDE w:val="0"/>
        <w:autoSpaceDN w:val="0"/>
        <w:adjustRightInd w:val="0"/>
        <w:ind w:hanging="567"/>
        <w:jc w:val="both"/>
        <w:rPr>
          <w:spacing w:val="-4"/>
        </w:rPr>
      </w:pPr>
      <w:r w:rsidRPr="00005453">
        <w:rPr>
          <w:b/>
        </w:rPr>
        <w:t>2.</w:t>
      </w:r>
      <w:r w:rsidR="00731AA9" w:rsidRPr="00005453">
        <w:rPr>
          <w:b/>
        </w:rPr>
        <w:t>8</w:t>
      </w:r>
      <w:r w:rsidRPr="00005453">
        <w:rPr>
          <w:b/>
        </w:rPr>
        <w:t>.1</w:t>
      </w:r>
      <w:r w:rsidRPr="00005453">
        <w:tab/>
      </w:r>
      <w:r w:rsidRPr="00005453">
        <w:rPr>
          <w:spacing w:val="-4"/>
        </w:rPr>
        <w:t>Dövize endeksli krediler kur farkı karşılıkları ile ilgili açıklamalar</w:t>
      </w:r>
    </w:p>
    <w:p w14:paraId="63BF1EA8" w14:textId="77777777" w:rsidR="00E80388" w:rsidRPr="00005453" w:rsidRDefault="00E80388" w:rsidP="000A7F74">
      <w:pPr>
        <w:tabs>
          <w:tab w:val="num" w:pos="2340"/>
          <w:tab w:val="num" w:pos="3060"/>
        </w:tabs>
        <w:autoSpaceDE w:val="0"/>
        <w:autoSpaceDN w:val="0"/>
        <w:adjustRightInd w:val="0"/>
        <w:ind w:hanging="567"/>
        <w:jc w:val="both"/>
        <w:rPr>
          <w:spacing w:val="-4"/>
        </w:rPr>
      </w:pPr>
    </w:p>
    <w:p w14:paraId="38E1B9F2" w14:textId="06CE6C1A" w:rsidR="000A7F74" w:rsidRPr="00005453" w:rsidRDefault="000A7F74" w:rsidP="000A7F74">
      <w:pPr>
        <w:tabs>
          <w:tab w:val="num" w:pos="2340"/>
          <w:tab w:val="num" w:pos="3060"/>
        </w:tabs>
        <w:autoSpaceDE w:val="0"/>
        <w:autoSpaceDN w:val="0"/>
        <w:adjustRightInd w:val="0"/>
        <w:ind w:hanging="567"/>
        <w:jc w:val="both"/>
      </w:pPr>
      <w:r w:rsidRPr="00005453">
        <w:rPr>
          <w:spacing w:val="-4"/>
        </w:rPr>
        <w:t xml:space="preserve"> </w:t>
      </w:r>
      <w:r w:rsidR="00E80388" w:rsidRPr="00005453">
        <w:tab/>
        <w:t>Yoktur (31 Aralık 202</w:t>
      </w:r>
      <w:r w:rsidR="00E65EA3" w:rsidRPr="00005453">
        <w:t>3</w:t>
      </w:r>
      <w:r w:rsidR="00E80388" w:rsidRPr="00005453">
        <w:t xml:space="preserve"> – Yoktur).</w:t>
      </w:r>
    </w:p>
    <w:p w14:paraId="6DF8EC37" w14:textId="77777777" w:rsidR="000F096F" w:rsidRPr="00005453" w:rsidRDefault="000F096F" w:rsidP="000F096F">
      <w:pPr>
        <w:pStyle w:val="ListParagraph"/>
        <w:rPr>
          <w:rFonts w:eastAsia="Arial Unicode MS"/>
          <w:sz w:val="16"/>
          <w:szCs w:val="16"/>
        </w:rPr>
      </w:pPr>
    </w:p>
    <w:p w14:paraId="69F84A70" w14:textId="7C2A8AA1" w:rsidR="000F096F" w:rsidRPr="00005453" w:rsidRDefault="009E528F" w:rsidP="007F1884">
      <w:pPr>
        <w:tabs>
          <w:tab w:val="num" w:pos="2340"/>
          <w:tab w:val="num" w:pos="3060"/>
        </w:tabs>
        <w:autoSpaceDE w:val="0"/>
        <w:autoSpaceDN w:val="0"/>
        <w:adjustRightInd w:val="0"/>
        <w:ind w:hanging="567"/>
        <w:rPr>
          <w:rFonts w:eastAsia="Arial Unicode MS"/>
          <w:sz w:val="4"/>
          <w:szCs w:val="14"/>
        </w:rPr>
      </w:pPr>
      <w:r w:rsidRPr="00005453">
        <w:rPr>
          <w:b/>
        </w:rPr>
        <w:t>2.</w:t>
      </w:r>
      <w:r w:rsidR="00731AA9" w:rsidRPr="00005453">
        <w:rPr>
          <w:b/>
        </w:rPr>
        <w:t>8</w:t>
      </w:r>
      <w:r w:rsidRPr="00005453">
        <w:rPr>
          <w:b/>
        </w:rPr>
        <w:t>.</w:t>
      </w:r>
      <w:r w:rsidR="000C3626" w:rsidRPr="00005453">
        <w:rPr>
          <w:b/>
        </w:rPr>
        <w:t>2</w:t>
      </w:r>
      <w:r w:rsidRPr="00005453">
        <w:rPr>
          <w:b/>
        </w:rPr>
        <w:tab/>
      </w:r>
      <w:bookmarkStart w:id="89" w:name="_Hlk94081340"/>
      <w:proofErr w:type="gramStart"/>
      <w:r w:rsidR="00E253C8" w:rsidRPr="00005453">
        <w:t>Diğer</w:t>
      </w:r>
      <w:proofErr w:type="gramEnd"/>
      <w:r w:rsidR="00E253C8" w:rsidRPr="00005453">
        <w:t xml:space="preserve"> karşılıklara ilişkin bilgiler</w:t>
      </w:r>
      <w:bookmarkEnd w:id="89"/>
    </w:p>
    <w:p w14:paraId="7BE631EA" w14:textId="5061653B" w:rsidR="000A7F74" w:rsidRPr="00005453" w:rsidRDefault="000A7F74"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lang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0A7F74" w:rsidRPr="00005453" w14:paraId="3FCFB130" w14:textId="77777777" w:rsidTr="000A7F74">
        <w:trPr>
          <w:divId w:val="511066359"/>
          <w:trHeight w:val="269"/>
        </w:trPr>
        <w:tc>
          <w:tcPr>
            <w:tcW w:w="6198" w:type="dxa"/>
            <w:tcBorders>
              <w:top w:val="double" w:sz="6" w:space="0" w:color="auto"/>
              <w:left w:val="nil"/>
              <w:bottom w:val="single" w:sz="8" w:space="0" w:color="auto"/>
              <w:right w:val="nil"/>
            </w:tcBorders>
            <w:shd w:val="clear" w:color="auto" w:fill="auto"/>
            <w:vAlign w:val="center"/>
            <w:hideMark/>
          </w:tcPr>
          <w:p w14:paraId="503FA5EF" w14:textId="33B9D9D3" w:rsidR="000A7F74" w:rsidRPr="00005453" w:rsidRDefault="000A7F74" w:rsidP="000A7F74">
            <w:pPr>
              <w:jc w:val="center"/>
              <w:rPr>
                <w:b/>
                <w:bCs/>
                <w:sz w:val="18"/>
                <w:szCs w:val="18"/>
                <w:lang w:eastAsia="tr-TR"/>
              </w:rPr>
            </w:pPr>
            <w:bookmarkStart w:id="90" w:name="_Hlk94081319"/>
            <w:r w:rsidRPr="00005453">
              <w:rPr>
                <w:b/>
                <w:bCs/>
                <w:sz w:val="18"/>
                <w:szCs w:val="18"/>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34CDAC39" w14:textId="77777777" w:rsidR="000A7F74" w:rsidRPr="00005453" w:rsidRDefault="000A7F74" w:rsidP="000A7F74">
            <w:pPr>
              <w:jc w:val="right"/>
              <w:rPr>
                <w:b/>
                <w:bCs/>
                <w:sz w:val="18"/>
                <w:szCs w:val="18"/>
                <w:lang w:eastAsia="tr-TR"/>
              </w:rPr>
            </w:pPr>
            <w:r w:rsidRPr="00005453">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5154DDD9" w14:textId="77777777" w:rsidR="000A7F74" w:rsidRPr="00005453" w:rsidRDefault="000A7F74" w:rsidP="000A7F74">
            <w:pPr>
              <w:jc w:val="right"/>
              <w:rPr>
                <w:b/>
                <w:bCs/>
                <w:sz w:val="18"/>
                <w:szCs w:val="18"/>
                <w:lang w:eastAsia="tr-TR"/>
              </w:rPr>
            </w:pPr>
            <w:r w:rsidRPr="00005453">
              <w:rPr>
                <w:b/>
                <w:bCs/>
                <w:sz w:val="18"/>
                <w:szCs w:val="18"/>
                <w:lang w:eastAsia="tr-TR"/>
              </w:rPr>
              <w:t>Önceki Dönem</w:t>
            </w:r>
          </w:p>
        </w:tc>
      </w:tr>
      <w:tr w:rsidR="00000F21" w:rsidRPr="00005453" w14:paraId="7A9D3DFB" w14:textId="77777777" w:rsidTr="00000F21">
        <w:trPr>
          <w:divId w:val="511066359"/>
          <w:trHeight w:val="235"/>
        </w:trPr>
        <w:tc>
          <w:tcPr>
            <w:tcW w:w="6198" w:type="dxa"/>
            <w:tcBorders>
              <w:top w:val="nil"/>
              <w:left w:val="nil"/>
              <w:bottom w:val="nil"/>
              <w:right w:val="nil"/>
            </w:tcBorders>
            <w:shd w:val="clear" w:color="auto" w:fill="auto"/>
            <w:noWrap/>
            <w:vAlign w:val="center"/>
            <w:hideMark/>
          </w:tcPr>
          <w:p w14:paraId="1DCD52BC" w14:textId="77777777" w:rsidR="00000F21" w:rsidRPr="00005453" w:rsidRDefault="00000F21" w:rsidP="00000F21">
            <w:pPr>
              <w:rPr>
                <w:sz w:val="18"/>
                <w:szCs w:val="18"/>
                <w:lang w:eastAsia="tr-TR"/>
              </w:rPr>
            </w:pPr>
            <w:r w:rsidRPr="00005453">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68EBB708" w14:textId="543BADD3" w:rsidR="00000F21" w:rsidRPr="00005453" w:rsidRDefault="00000F21" w:rsidP="00000F21">
            <w:pPr>
              <w:jc w:val="right"/>
              <w:rPr>
                <w:sz w:val="18"/>
                <w:szCs w:val="18"/>
              </w:rPr>
            </w:pPr>
            <w:r w:rsidRPr="00005453">
              <w:rPr>
                <w:sz w:val="18"/>
                <w:szCs w:val="18"/>
              </w:rPr>
              <w:t>863,935</w:t>
            </w:r>
          </w:p>
        </w:tc>
        <w:tc>
          <w:tcPr>
            <w:tcW w:w="1439" w:type="dxa"/>
            <w:tcBorders>
              <w:top w:val="nil"/>
              <w:left w:val="nil"/>
              <w:bottom w:val="nil"/>
              <w:right w:val="nil"/>
            </w:tcBorders>
            <w:shd w:val="clear" w:color="auto" w:fill="auto"/>
            <w:vAlign w:val="center"/>
            <w:hideMark/>
          </w:tcPr>
          <w:p w14:paraId="35D9ABB6" w14:textId="66C4C122" w:rsidR="00000F21" w:rsidRPr="00005453" w:rsidRDefault="00000F21" w:rsidP="00000F21">
            <w:pPr>
              <w:jc w:val="right"/>
              <w:rPr>
                <w:sz w:val="18"/>
                <w:szCs w:val="18"/>
                <w:lang w:eastAsia="tr-TR"/>
              </w:rPr>
            </w:pPr>
            <w:r w:rsidRPr="00005453">
              <w:rPr>
                <w:sz w:val="18"/>
                <w:szCs w:val="18"/>
              </w:rPr>
              <w:t>569,527</w:t>
            </w:r>
          </w:p>
        </w:tc>
      </w:tr>
      <w:tr w:rsidR="00000F21" w:rsidRPr="00005453" w14:paraId="6847A1AE" w14:textId="77777777" w:rsidTr="00000F21">
        <w:trPr>
          <w:divId w:val="511066359"/>
          <w:trHeight w:val="235"/>
        </w:trPr>
        <w:tc>
          <w:tcPr>
            <w:tcW w:w="6198" w:type="dxa"/>
            <w:tcBorders>
              <w:top w:val="nil"/>
              <w:left w:val="nil"/>
              <w:bottom w:val="nil"/>
              <w:right w:val="nil"/>
            </w:tcBorders>
            <w:shd w:val="clear" w:color="auto" w:fill="auto"/>
            <w:noWrap/>
            <w:vAlign w:val="center"/>
            <w:hideMark/>
          </w:tcPr>
          <w:p w14:paraId="7D5FB05B" w14:textId="77777777" w:rsidR="00000F21" w:rsidRPr="00005453" w:rsidRDefault="00000F21" w:rsidP="00000F21">
            <w:pPr>
              <w:rPr>
                <w:sz w:val="18"/>
                <w:szCs w:val="18"/>
                <w:lang w:eastAsia="tr-TR"/>
              </w:rPr>
            </w:pPr>
            <w:r w:rsidRPr="00005453">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5AFD7BBB" w14:textId="5B8AFF56" w:rsidR="00000F21" w:rsidRPr="00005453" w:rsidRDefault="00000F21" w:rsidP="00000F21">
            <w:pPr>
              <w:jc w:val="right"/>
              <w:rPr>
                <w:sz w:val="18"/>
                <w:szCs w:val="18"/>
              </w:rPr>
            </w:pPr>
            <w:r w:rsidRPr="00005453">
              <w:rPr>
                <w:sz w:val="18"/>
                <w:szCs w:val="18"/>
              </w:rPr>
              <w:t>483,337</w:t>
            </w:r>
          </w:p>
        </w:tc>
        <w:tc>
          <w:tcPr>
            <w:tcW w:w="1439" w:type="dxa"/>
            <w:tcBorders>
              <w:top w:val="nil"/>
              <w:left w:val="nil"/>
              <w:bottom w:val="nil"/>
              <w:right w:val="nil"/>
            </w:tcBorders>
            <w:shd w:val="clear" w:color="auto" w:fill="auto"/>
            <w:vAlign w:val="center"/>
            <w:hideMark/>
          </w:tcPr>
          <w:p w14:paraId="4980ABB2" w14:textId="10B66BD9" w:rsidR="00000F21" w:rsidRPr="00005453" w:rsidRDefault="00000F21" w:rsidP="00000F21">
            <w:pPr>
              <w:jc w:val="right"/>
              <w:rPr>
                <w:sz w:val="18"/>
                <w:szCs w:val="18"/>
                <w:lang w:eastAsia="tr-TR"/>
              </w:rPr>
            </w:pPr>
            <w:r w:rsidRPr="00005453">
              <w:rPr>
                <w:sz w:val="18"/>
                <w:szCs w:val="18"/>
              </w:rPr>
              <w:t>964,137</w:t>
            </w:r>
          </w:p>
        </w:tc>
      </w:tr>
      <w:tr w:rsidR="00000F21" w:rsidRPr="00005453" w14:paraId="4CFE6C32" w14:textId="77777777" w:rsidTr="00000F21">
        <w:trPr>
          <w:divId w:val="511066359"/>
          <w:trHeight w:val="235"/>
        </w:trPr>
        <w:tc>
          <w:tcPr>
            <w:tcW w:w="6198" w:type="dxa"/>
            <w:tcBorders>
              <w:top w:val="nil"/>
              <w:left w:val="nil"/>
              <w:bottom w:val="nil"/>
              <w:right w:val="nil"/>
            </w:tcBorders>
            <w:shd w:val="clear" w:color="auto" w:fill="auto"/>
            <w:noWrap/>
            <w:vAlign w:val="center"/>
            <w:hideMark/>
          </w:tcPr>
          <w:p w14:paraId="1F127E22" w14:textId="77777777" w:rsidR="00000F21" w:rsidRPr="00005453" w:rsidRDefault="00000F21" w:rsidP="00000F21">
            <w:pPr>
              <w:rPr>
                <w:sz w:val="18"/>
                <w:szCs w:val="18"/>
                <w:lang w:eastAsia="tr-TR"/>
              </w:rPr>
            </w:pPr>
            <w:r w:rsidRPr="00005453">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237DA3BD" w14:textId="4242F819" w:rsidR="00000F21" w:rsidRPr="00005453" w:rsidRDefault="00000F21" w:rsidP="00000F21">
            <w:pPr>
              <w:jc w:val="right"/>
              <w:rPr>
                <w:sz w:val="18"/>
                <w:szCs w:val="18"/>
              </w:rPr>
            </w:pPr>
            <w:r w:rsidRPr="00005453">
              <w:rPr>
                <w:sz w:val="18"/>
                <w:szCs w:val="18"/>
              </w:rPr>
              <w:t>1,526,885</w:t>
            </w:r>
          </w:p>
        </w:tc>
        <w:tc>
          <w:tcPr>
            <w:tcW w:w="1439" w:type="dxa"/>
            <w:tcBorders>
              <w:top w:val="nil"/>
              <w:left w:val="nil"/>
              <w:bottom w:val="nil"/>
              <w:right w:val="nil"/>
            </w:tcBorders>
            <w:shd w:val="clear" w:color="auto" w:fill="auto"/>
            <w:vAlign w:val="center"/>
            <w:hideMark/>
          </w:tcPr>
          <w:p w14:paraId="25FF44C8" w14:textId="557E9BCC" w:rsidR="00000F21" w:rsidRPr="00005453" w:rsidRDefault="00000F21" w:rsidP="00000F21">
            <w:pPr>
              <w:jc w:val="right"/>
              <w:rPr>
                <w:sz w:val="18"/>
                <w:szCs w:val="18"/>
                <w:lang w:eastAsia="tr-TR"/>
              </w:rPr>
            </w:pPr>
            <w:r w:rsidRPr="00005453">
              <w:rPr>
                <w:sz w:val="18"/>
                <w:szCs w:val="18"/>
              </w:rPr>
              <w:t>887,567</w:t>
            </w:r>
          </w:p>
        </w:tc>
      </w:tr>
      <w:tr w:rsidR="00000F21" w:rsidRPr="00005453" w14:paraId="4515EADD" w14:textId="77777777" w:rsidTr="00000F21">
        <w:trPr>
          <w:divId w:val="511066359"/>
          <w:trHeight w:val="235"/>
        </w:trPr>
        <w:tc>
          <w:tcPr>
            <w:tcW w:w="6198" w:type="dxa"/>
            <w:tcBorders>
              <w:top w:val="nil"/>
              <w:left w:val="nil"/>
              <w:bottom w:val="nil"/>
              <w:right w:val="nil"/>
            </w:tcBorders>
            <w:shd w:val="clear" w:color="auto" w:fill="auto"/>
            <w:noWrap/>
            <w:vAlign w:val="center"/>
            <w:hideMark/>
          </w:tcPr>
          <w:p w14:paraId="57899533" w14:textId="77777777" w:rsidR="00000F21" w:rsidRPr="00005453" w:rsidRDefault="00000F21" w:rsidP="00000F21">
            <w:pPr>
              <w:rPr>
                <w:sz w:val="18"/>
                <w:szCs w:val="18"/>
                <w:lang w:eastAsia="tr-TR"/>
              </w:rPr>
            </w:pPr>
            <w:r w:rsidRPr="00005453">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542DB9F7" w14:textId="6651A0F5" w:rsidR="00000F21" w:rsidRPr="00005453" w:rsidRDefault="00000F21" w:rsidP="00000F21">
            <w:pPr>
              <w:jc w:val="right"/>
              <w:rPr>
                <w:sz w:val="18"/>
                <w:szCs w:val="18"/>
              </w:rPr>
            </w:pPr>
            <w:r w:rsidRPr="00005453">
              <w:rPr>
                <w:sz w:val="18"/>
                <w:szCs w:val="18"/>
              </w:rPr>
              <w:t>5,478</w:t>
            </w:r>
          </w:p>
        </w:tc>
        <w:tc>
          <w:tcPr>
            <w:tcW w:w="1439" w:type="dxa"/>
            <w:tcBorders>
              <w:top w:val="nil"/>
              <w:left w:val="nil"/>
              <w:bottom w:val="nil"/>
              <w:right w:val="nil"/>
            </w:tcBorders>
            <w:shd w:val="clear" w:color="auto" w:fill="auto"/>
            <w:vAlign w:val="center"/>
            <w:hideMark/>
          </w:tcPr>
          <w:p w14:paraId="79441CE8" w14:textId="2A5C4631" w:rsidR="00000F21" w:rsidRPr="00005453" w:rsidRDefault="00000F21" w:rsidP="00000F21">
            <w:pPr>
              <w:jc w:val="right"/>
              <w:rPr>
                <w:sz w:val="18"/>
                <w:szCs w:val="18"/>
                <w:lang w:eastAsia="tr-TR"/>
              </w:rPr>
            </w:pPr>
            <w:r w:rsidRPr="00005453">
              <w:rPr>
                <w:sz w:val="18"/>
                <w:szCs w:val="18"/>
              </w:rPr>
              <w:t>8,905</w:t>
            </w:r>
          </w:p>
        </w:tc>
      </w:tr>
      <w:tr w:rsidR="00000F21" w:rsidRPr="00005453" w14:paraId="57662EFF" w14:textId="77777777" w:rsidTr="00000F21">
        <w:trPr>
          <w:divId w:val="511066359"/>
          <w:trHeight w:val="235"/>
        </w:trPr>
        <w:tc>
          <w:tcPr>
            <w:tcW w:w="6198" w:type="dxa"/>
            <w:tcBorders>
              <w:top w:val="nil"/>
              <w:left w:val="nil"/>
              <w:bottom w:val="single" w:sz="8" w:space="0" w:color="auto"/>
              <w:right w:val="nil"/>
            </w:tcBorders>
            <w:shd w:val="clear" w:color="auto" w:fill="auto"/>
            <w:noWrap/>
            <w:vAlign w:val="center"/>
            <w:hideMark/>
          </w:tcPr>
          <w:p w14:paraId="74E0006A" w14:textId="77777777" w:rsidR="00000F21" w:rsidRPr="00005453" w:rsidRDefault="00000F21" w:rsidP="00000F21">
            <w:pPr>
              <w:rPr>
                <w:sz w:val="18"/>
                <w:szCs w:val="18"/>
                <w:lang w:eastAsia="tr-TR"/>
              </w:rPr>
            </w:pPr>
            <w:r w:rsidRPr="00005453">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507CE46F" w14:textId="525D4DC7" w:rsidR="00000F21" w:rsidRPr="00005453" w:rsidRDefault="00000F21" w:rsidP="00000F21">
            <w:pPr>
              <w:jc w:val="right"/>
              <w:rPr>
                <w:sz w:val="18"/>
                <w:szCs w:val="18"/>
              </w:rPr>
            </w:pPr>
            <w:r w:rsidRPr="00005453">
              <w:rPr>
                <w:sz w:val="18"/>
                <w:szCs w:val="18"/>
              </w:rPr>
              <w:t>656,089</w:t>
            </w:r>
          </w:p>
        </w:tc>
        <w:tc>
          <w:tcPr>
            <w:tcW w:w="1439" w:type="dxa"/>
            <w:tcBorders>
              <w:top w:val="nil"/>
              <w:left w:val="nil"/>
              <w:bottom w:val="single" w:sz="8" w:space="0" w:color="auto"/>
              <w:right w:val="nil"/>
            </w:tcBorders>
            <w:shd w:val="clear" w:color="auto" w:fill="auto"/>
            <w:vAlign w:val="center"/>
            <w:hideMark/>
          </w:tcPr>
          <w:p w14:paraId="62544EF6" w14:textId="0A474642" w:rsidR="00000F21" w:rsidRPr="00005453" w:rsidRDefault="00000F21" w:rsidP="00000F21">
            <w:pPr>
              <w:jc w:val="right"/>
              <w:rPr>
                <w:sz w:val="18"/>
                <w:szCs w:val="18"/>
                <w:lang w:eastAsia="tr-TR"/>
              </w:rPr>
            </w:pPr>
            <w:r w:rsidRPr="00005453">
              <w:rPr>
                <w:sz w:val="18"/>
                <w:szCs w:val="18"/>
              </w:rPr>
              <w:t>469,509</w:t>
            </w:r>
          </w:p>
        </w:tc>
      </w:tr>
      <w:tr w:rsidR="00000F21" w:rsidRPr="00005453" w14:paraId="7070D575" w14:textId="77777777" w:rsidTr="00000F21">
        <w:trPr>
          <w:divId w:val="511066359"/>
          <w:trHeight w:val="251"/>
        </w:trPr>
        <w:tc>
          <w:tcPr>
            <w:tcW w:w="6198" w:type="dxa"/>
            <w:tcBorders>
              <w:top w:val="nil"/>
              <w:left w:val="nil"/>
              <w:bottom w:val="double" w:sz="6" w:space="0" w:color="auto"/>
              <w:right w:val="nil"/>
            </w:tcBorders>
            <w:shd w:val="clear" w:color="auto" w:fill="auto"/>
            <w:vAlign w:val="center"/>
            <w:hideMark/>
          </w:tcPr>
          <w:p w14:paraId="0625E19B" w14:textId="77777777" w:rsidR="00000F21" w:rsidRPr="00005453" w:rsidRDefault="00000F21" w:rsidP="00000F21">
            <w:pPr>
              <w:rPr>
                <w:b/>
                <w:bCs/>
                <w:sz w:val="18"/>
                <w:szCs w:val="18"/>
                <w:lang w:eastAsia="tr-TR"/>
              </w:rPr>
            </w:pPr>
            <w:r w:rsidRPr="00005453">
              <w:rPr>
                <w:b/>
                <w:bCs/>
                <w:sz w:val="18"/>
                <w:szCs w:val="18"/>
                <w:lang w:eastAsia="tr-TR"/>
              </w:rPr>
              <w:t>Toplam</w:t>
            </w:r>
          </w:p>
        </w:tc>
        <w:tc>
          <w:tcPr>
            <w:tcW w:w="1601" w:type="dxa"/>
            <w:tcBorders>
              <w:top w:val="nil"/>
              <w:left w:val="nil"/>
              <w:bottom w:val="double" w:sz="6" w:space="0" w:color="auto"/>
              <w:right w:val="nil"/>
            </w:tcBorders>
            <w:shd w:val="clear" w:color="auto" w:fill="auto"/>
            <w:vAlign w:val="center"/>
            <w:hideMark/>
          </w:tcPr>
          <w:p w14:paraId="764C992C" w14:textId="4DADEC9C" w:rsidR="00000F21" w:rsidRPr="00005453" w:rsidRDefault="00000F21" w:rsidP="00000F21">
            <w:pPr>
              <w:jc w:val="right"/>
              <w:rPr>
                <w:b/>
                <w:bCs/>
                <w:sz w:val="18"/>
                <w:szCs w:val="18"/>
                <w:lang w:eastAsia="tr-TR"/>
              </w:rPr>
            </w:pPr>
            <w:r w:rsidRPr="00005453">
              <w:rPr>
                <w:b/>
                <w:bCs/>
                <w:sz w:val="18"/>
                <w:szCs w:val="18"/>
              </w:rPr>
              <w:t>3,535,724</w:t>
            </w:r>
          </w:p>
        </w:tc>
        <w:tc>
          <w:tcPr>
            <w:tcW w:w="1439" w:type="dxa"/>
            <w:tcBorders>
              <w:top w:val="nil"/>
              <w:left w:val="nil"/>
              <w:bottom w:val="double" w:sz="6" w:space="0" w:color="auto"/>
              <w:right w:val="nil"/>
            </w:tcBorders>
            <w:shd w:val="clear" w:color="auto" w:fill="auto"/>
            <w:vAlign w:val="center"/>
            <w:hideMark/>
          </w:tcPr>
          <w:p w14:paraId="739D3115" w14:textId="36DCCAC3" w:rsidR="00000F21" w:rsidRPr="00005453" w:rsidRDefault="00000F21" w:rsidP="00000F21">
            <w:pPr>
              <w:jc w:val="right"/>
              <w:rPr>
                <w:b/>
                <w:bCs/>
                <w:sz w:val="18"/>
                <w:szCs w:val="18"/>
                <w:lang w:eastAsia="tr-TR"/>
              </w:rPr>
            </w:pPr>
            <w:r w:rsidRPr="00005453">
              <w:rPr>
                <w:b/>
                <w:bCs/>
                <w:sz w:val="18"/>
                <w:szCs w:val="18"/>
              </w:rPr>
              <w:t>2,899,645</w:t>
            </w:r>
          </w:p>
        </w:tc>
      </w:tr>
      <w:bookmarkEnd w:id="90"/>
    </w:tbl>
    <w:p w14:paraId="6E873D58" w14:textId="62E0426E" w:rsidR="006F5F0C" w:rsidRPr="00005453"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rPr>
      </w:pPr>
    </w:p>
    <w:p w14:paraId="400F95E3" w14:textId="18FFD546" w:rsidR="006F5F0C" w:rsidRPr="00005453" w:rsidRDefault="00976BC2" w:rsidP="00FE00C1">
      <w:pPr>
        <w:pStyle w:val="ListParagraph"/>
        <w:ind w:left="0"/>
        <w:jc w:val="both"/>
        <w:rPr>
          <w:b/>
          <w:sz w:val="16"/>
          <w:szCs w:val="16"/>
        </w:rPr>
      </w:pPr>
      <w:r w:rsidRPr="00005453">
        <w:rPr>
          <w:rFonts w:eastAsia="Arial Unicode MS"/>
          <w:sz w:val="14"/>
          <w:szCs w:val="14"/>
        </w:rPr>
        <w:t>(*</w:t>
      </w:r>
      <w:proofErr w:type="gramStart"/>
      <w:r w:rsidRPr="00005453">
        <w:rPr>
          <w:rFonts w:eastAsia="Arial Unicode MS"/>
          <w:sz w:val="14"/>
          <w:szCs w:val="14"/>
        </w:rPr>
        <w:t>)  Diğer</w:t>
      </w:r>
      <w:proofErr w:type="gramEnd"/>
      <w:r w:rsidRPr="00005453">
        <w:rPr>
          <w:rFonts w:eastAsia="Arial Unicode MS"/>
          <w:sz w:val="14"/>
          <w:szCs w:val="14"/>
        </w:rPr>
        <w:t xml:space="preserve"> kalemi başlıca cari dönemde </w:t>
      </w:r>
      <w:r w:rsidR="00E05EF3" w:rsidRPr="00005453">
        <w:rPr>
          <w:rFonts w:eastAsia="Arial Unicode MS"/>
          <w:sz w:val="14"/>
          <w:szCs w:val="14"/>
        </w:rPr>
        <w:t>509</w:t>
      </w:r>
      <w:r w:rsidRPr="00005453">
        <w:rPr>
          <w:rFonts w:eastAsia="Arial Unicode MS"/>
          <w:sz w:val="14"/>
          <w:szCs w:val="14"/>
        </w:rPr>
        <w:t>,</w:t>
      </w:r>
      <w:r w:rsidR="00E05EF3" w:rsidRPr="00005453">
        <w:rPr>
          <w:rFonts w:eastAsia="Arial Unicode MS"/>
          <w:sz w:val="14"/>
          <w:szCs w:val="14"/>
        </w:rPr>
        <w:t>045</w:t>
      </w:r>
      <w:r w:rsidRPr="00005453">
        <w:rPr>
          <w:rFonts w:eastAsia="Arial Unicode MS"/>
          <w:sz w:val="14"/>
          <w:szCs w:val="14"/>
        </w:rPr>
        <w:t xml:space="preserve"> TL (31 Aralık 202</w:t>
      </w:r>
      <w:r w:rsidR="00E65EA3" w:rsidRPr="00005453">
        <w:rPr>
          <w:rFonts w:eastAsia="Arial Unicode MS"/>
          <w:sz w:val="14"/>
          <w:szCs w:val="14"/>
        </w:rPr>
        <w:t>3</w:t>
      </w:r>
      <w:r w:rsidRPr="00005453">
        <w:rPr>
          <w:rFonts w:eastAsia="Arial Unicode MS"/>
          <w:sz w:val="14"/>
          <w:szCs w:val="14"/>
        </w:rPr>
        <w:t xml:space="preserve"> – </w:t>
      </w:r>
      <w:r w:rsidR="00E65EA3" w:rsidRPr="00005453">
        <w:rPr>
          <w:rFonts w:eastAsia="Arial Unicode MS"/>
          <w:sz w:val="14"/>
          <w:szCs w:val="14"/>
        </w:rPr>
        <w:t>393</w:t>
      </w:r>
      <w:r w:rsidR="000F0610" w:rsidRPr="00005453">
        <w:rPr>
          <w:rFonts w:eastAsia="Arial Unicode MS"/>
          <w:sz w:val="14"/>
          <w:szCs w:val="14"/>
        </w:rPr>
        <w:t>,</w:t>
      </w:r>
      <w:r w:rsidR="00E65EA3" w:rsidRPr="00005453">
        <w:rPr>
          <w:rFonts w:eastAsia="Arial Unicode MS"/>
          <w:sz w:val="14"/>
          <w:szCs w:val="14"/>
        </w:rPr>
        <w:t>76</w:t>
      </w:r>
      <w:r w:rsidR="000F0610" w:rsidRPr="00005453">
        <w:rPr>
          <w:rFonts w:eastAsia="Arial Unicode MS"/>
          <w:sz w:val="14"/>
          <w:szCs w:val="14"/>
        </w:rPr>
        <w:t>0</w:t>
      </w:r>
      <w:r w:rsidR="00911789" w:rsidRPr="00005453">
        <w:rPr>
          <w:rFonts w:eastAsia="Arial Unicode MS"/>
          <w:sz w:val="14"/>
          <w:szCs w:val="14"/>
        </w:rPr>
        <w:t xml:space="preserve"> </w:t>
      </w:r>
      <w:r w:rsidRPr="00005453">
        <w:rPr>
          <w:rFonts w:eastAsia="Arial Unicode MS"/>
          <w:sz w:val="14"/>
          <w:szCs w:val="14"/>
        </w:rPr>
        <w:t xml:space="preserve">TL) dava karşılığı, </w:t>
      </w:r>
      <w:r w:rsidR="00595CC3" w:rsidRPr="00005453">
        <w:rPr>
          <w:rFonts w:eastAsia="Arial Unicode MS"/>
          <w:sz w:val="14"/>
          <w:szCs w:val="14"/>
        </w:rPr>
        <w:t>1</w:t>
      </w:r>
      <w:r w:rsidR="00E05EF3" w:rsidRPr="00005453">
        <w:rPr>
          <w:rFonts w:eastAsia="Arial Unicode MS"/>
          <w:sz w:val="14"/>
          <w:szCs w:val="14"/>
        </w:rPr>
        <w:t>3</w:t>
      </w:r>
      <w:r w:rsidRPr="00005453">
        <w:rPr>
          <w:rFonts w:eastAsia="Arial Unicode MS"/>
          <w:sz w:val="14"/>
          <w:szCs w:val="14"/>
        </w:rPr>
        <w:t>,</w:t>
      </w:r>
      <w:r w:rsidR="00E05EF3" w:rsidRPr="00005453">
        <w:rPr>
          <w:rFonts w:eastAsia="Arial Unicode MS"/>
          <w:sz w:val="14"/>
          <w:szCs w:val="14"/>
        </w:rPr>
        <w:t>058</w:t>
      </w:r>
      <w:r w:rsidRPr="00005453">
        <w:rPr>
          <w:rFonts w:eastAsia="Arial Unicode MS"/>
          <w:sz w:val="14"/>
          <w:szCs w:val="14"/>
        </w:rPr>
        <w:t xml:space="preserve"> TL (31 Aralık 202</w:t>
      </w:r>
      <w:r w:rsidR="00E65EA3" w:rsidRPr="00005453">
        <w:rPr>
          <w:rFonts w:eastAsia="Arial Unicode MS"/>
          <w:sz w:val="14"/>
          <w:szCs w:val="14"/>
        </w:rPr>
        <w:t>3</w:t>
      </w:r>
      <w:r w:rsidRPr="00005453">
        <w:rPr>
          <w:rFonts w:eastAsia="Arial Unicode MS"/>
          <w:sz w:val="14"/>
          <w:szCs w:val="14"/>
        </w:rPr>
        <w:t xml:space="preserve"> – </w:t>
      </w:r>
      <w:r w:rsidR="000F0610" w:rsidRPr="00005453">
        <w:rPr>
          <w:rFonts w:eastAsia="Arial Unicode MS"/>
          <w:sz w:val="14"/>
          <w:szCs w:val="14"/>
        </w:rPr>
        <w:t>12,</w:t>
      </w:r>
      <w:r w:rsidR="00E65EA3" w:rsidRPr="00005453">
        <w:rPr>
          <w:rFonts w:eastAsia="Arial Unicode MS"/>
          <w:sz w:val="14"/>
          <w:szCs w:val="14"/>
        </w:rPr>
        <w:t>009</w:t>
      </w:r>
      <w:r w:rsidR="0079574D" w:rsidRPr="00005453">
        <w:rPr>
          <w:rFonts w:eastAsia="Arial Unicode MS"/>
          <w:sz w:val="14"/>
          <w:szCs w:val="14"/>
        </w:rPr>
        <w:t xml:space="preserve"> </w:t>
      </w:r>
      <w:r w:rsidRPr="00005453">
        <w:rPr>
          <w:rFonts w:eastAsia="Arial Unicode MS"/>
          <w:sz w:val="14"/>
          <w:szCs w:val="14"/>
        </w:rPr>
        <w:t xml:space="preserve"> TL) gider karşılığı,</w:t>
      </w:r>
      <w:r w:rsidR="008F40AC" w:rsidRPr="00005453">
        <w:rPr>
          <w:rFonts w:eastAsia="Arial Unicode MS"/>
          <w:sz w:val="14"/>
          <w:szCs w:val="14"/>
        </w:rPr>
        <w:t xml:space="preserve"> </w:t>
      </w:r>
      <w:r w:rsidR="00FE00C1" w:rsidRPr="00005453">
        <w:rPr>
          <w:rFonts w:eastAsia="Arial Unicode MS"/>
          <w:sz w:val="14"/>
          <w:szCs w:val="14"/>
        </w:rPr>
        <w:t>107,311 TL (31 Aralık 2023 – 59,455 TL) diğer karşılıklara ilişkin tutarları içermektedir.</w:t>
      </w:r>
    </w:p>
    <w:p w14:paraId="30F60F1D" w14:textId="55D4903C" w:rsidR="00033391" w:rsidRPr="00005453" w:rsidRDefault="00A023D6" w:rsidP="00BD0E3C">
      <w:pPr>
        <w:tabs>
          <w:tab w:val="num" w:pos="2340"/>
          <w:tab w:val="num" w:pos="3060"/>
        </w:tabs>
        <w:autoSpaceDE w:val="0"/>
        <w:autoSpaceDN w:val="0"/>
        <w:adjustRightInd w:val="0"/>
        <w:ind w:hanging="567"/>
        <w:rPr>
          <w:color w:val="000000"/>
        </w:rPr>
      </w:pPr>
      <w:r w:rsidRPr="00005453">
        <w:rPr>
          <w:b/>
          <w:color w:val="000000"/>
        </w:rPr>
        <w:br w:type="page"/>
      </w:r>
      <w:r w:rsidR="00BD0E3C" w:rsidRPr="00005453">
        <w:rPr>
          <w:b/>
          <w:color w:val="000000"/>
        </w:rPr>
        <w:lastRenderedPageBreak/>
        <w:t>2.</w:t>
      </w:r>
      <w:r w:rsidR="00731AA9" w:rsidRPr="00005453">
        <w:rPr>
          <w:b/>
          <w:color w:val="000000"/>
        </w:rPr>
        <w:t>8</w:t>
      </w:r>
      <w:r w:rsidR="00BD0E3C" w:rsidRPr="00005453">
        <w:rPr>
          <w:b/>
          <w:color w:val="000000"/>
        </w:rPr>
        <w:t>.</w:t>
      </w:r>
      <w:r w:rsidR="000C3626" w:rsidRPr="00005453">
        <w:rPr>
          <w:b/>
          <w:color w:val="000000"/>
        </w:rPr>
        <w:t>3</w:t>
      </w:r>
      <w:r w:rsidR="00BD0E3C" w:rsidRPr="00005453">
        <w:rPr>
          <w:color w:val="000000"/>
        </w:rPr>
        <w:tab/>
      </w:r>
      <w:r w:rsidR="00E253C8" w:rsidRPr="00005453">
        <w:rPr>
          <w:color w:val="000000"/>
        </w:rPr>
        <w:t>Çalışan hakları karşılığına ilişkin bilgiler</w:t>
      </w:r>
    </w:p>
    <w:p w14:paraId="6AAEA9B8" w14:textId="77777777" w:rsidR="00E73302" w:rsidRPr="00005453" w:rsidRDefault="00E73302">
      <w:pPr>
        <w:pStyle w:val="EndnoteText"/>
        <w:ind w:left="720"/>
        <w:rPr>
          <w:rFonts w:eastAsia="Arial Unicode MS"/>
          <w:color w:val="000000"/>
          <w:sz w:val="2"/>
          <w:szCs w:val="16"/>
        </w:rPr>
      </w:pPr>
    </w:p>
    <w:p w14:paraId="49B1DE0C" w14:textId="77777777" w:rsidR="0054735C" w:rsidRPr="00005453" w:rsidRDefault="0054735C" w:rsidP="0054735C">
      <w:pPr>
        <w:pStyle w:val="EndnoteText"/>
        <w:jc w:val="both"/>
        <w:rPr>
          <w:rFonts w:eastAsia="Arial Unicode MS"/>
          <w:color w:val="000000"/>
          <w:sz w:val="16"/>
          <w:szCs w:val="16"/>
        </w:rPr>
      </w:pPr>
    </w:p>
    <w:p w14:paraId="29558321" w14:textId="0C6A40DC" w:rsidR="00717213" w:rsidRPr="00005453" w:rsidRDefault="00717213" w:rsidP="00717213">
      <w:pPr>
        <w:pStyle w:val="EndnoteText"/>
        <w:jc w:val="both"/>
        <w:rPr>
          <w:rFonts w:eastAsia="Arial Unicode MS"/>
          <w:color w:val="000000"/>
          <w:spacing w:val="-8"/>
        </w:rPr>
      </w:pPr>
      <w:r w:rsidRPr="00005453">
        <w:rPr>
          <w:rFonts w:eastAsia="Arial Unicode MS"/>
          <w:color w:val="000000"/>
          <w:spacing w:val="-8"/>
        </w:rPr>
        <w:t xml:space="preserve">Bilançodaki çalışan hakları karşılığı, </w:t>
      </w:r>
      <w:r w:rsidR="00ED3FD3" w:rsidRPr="00005453">
        <w:rPr>
          <w:rFonts w:eastAsia="Arial Unicode MS"/>
          <w:color w:val="000000"/>
          <w:spacing w:val="-8"/>
        </w:rPr>
        <w:t>1,</w:t>
      </w:r>
      <w:r w:rsidR="00BA2DE7" w:rsidRPr="00005453">
        <w:rPr>
          <w:rFonts w:eastAsia="Arial Unicode MS"/>
          <w:color w:val="000000"/>
          <w:spacing w:val="-8"/>
        </w:rPr>
        <w:t>432</w:t>
      </w:r>
      <w:r w:rsidR="00F97D74" w:rsidRPr="00005453">
        <w:rPr>
          <w:rFonts w:eastAsia="Arial Unicode MS"/>
          <w:color w:val="000000"/>
          <w:spacing w:val="-8"/>
        </w:rPr>
        <w:t>,</w:t>
      </w:r>
      <w:r w:rsidR="00BA2DE7" w:rsidRPr="00005453">
        <w:rPr>
          <w:rFonts w:eastAsia="Arial Unicode MS"/>
          <w:color w:val="000000"/>
          <w:spacing w:val="-8"/>
        </w:rPr>
        <w:t>09</w:t>
      </w:r>
      <w:r w:rsidR="00ED3FD3" w:rsidRPr="00005453">
        <w:rPr>
          <w:rFonts w:eastAsia="Arial Unicode MS"/>
          <w:color w:val="000000"/>
          <w:spacing w:val="-8"/>
        </w:rPr>
        <w:t>9</w:t>
      </w:r>
      <w:r w:rsidRPr="00005453">
        <w:rPr>
          <w:rFonts w:eastAsia="Arial Unicode MS"/>
          <w:color w:val="000000"/>
          <w:spacing w:val="-8"/>
        </w:rPr>
        <w:t xml:space="preserve"> TL (31 Aralık 202</w:t>
      </w:r>
      <w:r w:rsidR="00E65EA3" w:rsidRPr="00005453">
        <w:rPr>
          <w:rFonts w:eastAsia="Arial Unicode MS"/>
          <w:color w:val="000000"/>
          <w:spacing w:val="-8"/>
        </w:rPr>
        <w:t>3</w:t>
      </w:r>
      <w:r w:rsidRPr="00005453">
        <w:rPr>
          <w:rFonts w:eastAsia="Arial Unicode MS"/>
          <w:color w:val="000000"/>
          <w:spacing w:val="-8"/>
        </w:rPr>
        <w:t xml:space="preserve"> </w:t>
      </w:r>
      <w:r w:rsidR="00E65EA3" w:rsidRPr="00005453">
        <w:rPr>
          <w:rFonts w:eastAsia="Arial Unicode MS"/>
          <w:color w:val="000000"/>
          <w:spacing w:val="-8"/>
        </w:rPr>
        <w:t>–</w:t>
      </w:r>
      <w:r w:rsidRPr="00005453">
        <w:rPr>
          <w:rFonts w:eastAsia="Arial Unicode MS"/>
          <w:color w:val="000000"/>
          <w:spacing w:val="-8"/>
        </w:rPr>
        <w:t xml:space="preserve"> </w:t>
      </w:r>
      <w:r w:rsidR="00E65EA3" w:rsidRPr="00005453">
        <w:rPr>
          <w:rFonts w:eastAsia="Arial Unicode MS"/>
          <w:color w:val="000000"/>
          <w:spacing w:val="-8"/>
        </w:rPr>
        <w:t>1,095</w:t>
      </w:r>
      <w:r w:rsidR="000F0610" w:rsidRPr="00005453">
        <w:rPr>
          <w:rFonts w:eastAsia="Arial Unicode MS"/>
          <w:color w:val="000000"/>
          <w:spacing w:val="-8"/>
        </w:rPr>
        <w:t>,</w:t>
      </w:r>
      <w:r w:rsidR="00E65EA3" w:rsidRPr="00005453">
        <w:rPr>
          <w:rFonts w:eastAsia="Arial Unicode MS"/>
          <w:color w:val="000000"/>
          <w:spacing w:val="-8"/>
        </w:rPr>
        <w:t>389</w:t>
      </w:r>
      <w:r w:rsidR="000F0610" w:rsidRPr="00005453">
        <w:rPr>
          <w:rFonts w:eastAsia="Arial Unicode MS"/>
          <w:color w:val="000000"/>
          <w:spacing w:val="-8"/>
        </w:rPr>
        <w:t xml:space="preserve"> </w:t>
      </w:r>
      <w:r w:rsidRPr="00005453">
        <w:rPr>
          <w:rFonts w:eastAsia="Arial Unicode MS"/>
          <w:color w:val="000000"/>
          <w:spacing w:val="-8"/>
        </w:rPr>
        <w:t xml:space="preserve">TL) kıdem tazminatı yükümlülüklerini, </w:t>
      </w:r>
      <w:r w:rsidR="00BA2DE7" w:rsidRPr="00005453">
        <w:rPr>
          <w:rFonts w:eastAsia="Arial Unicode MS"/>
          <w:color w:val="000000"/>
          <w:spacing w:val="-8"/>
        </w:rPr>
        <w:t>13</w:t>
      </w:r>
      <w:r w:rsidRPr="00005453">
        <w:rPr>
          <w:rFonts w:eastAsia="Arial Unicode MS"/>
          <w:color w:val="000000"/>
          <w:spacing w:val="-8"/>
        </w:rPr>
        <w:t>,</w:t>
      </w:r>
      <w:r w:rsidR="00BA2DE7" w:rsidRPr="00005453">
        <w:rPr>
          <w:rFonts w:eastAsia="Arial Unicode MS"/>
          <w:color w:val="000000"/>
          <w:spacing w:val="-8"/>
        </w:rPr>
        <w:t>5</w:t>
      </w:r>
      <w:r w:rsidR="00ED3FD3" w:rsidRPr="00005453">
        <w:rPr>
          <w:rFonts w:eastAsia="Arial Unicode MS"/>
          <w:color w:val="000000"/>
          <w:spacing w:val="-8"/>
        </w:rPr>
        <w:t>07</w:t>
      </w:r>
      <w:r w:rsidRPr="00005453">
        <w:rPr>
          <w:rFonts w:eastAsia="Arial Unicode MS"/>
          <w:color w:val="000000"/>
          <w:spacing w:val="-8"/>
        </w:rPr>
        <w:t xml:space="preserve"> TL (31 Aralık 202</w:t>
      </w:r>
      <w:r w:rsidR="00E65EA3" w:rsidRPr="00005453">
        <w:rPr>
          <w:rFonts w:eastAsia="Arial Unicode MS"/>
          <w:color w:val="000000"/>
          <w:spacing w:val="-8"/>
        </w:rPr>
        <w:t>3</w:t>
      </w:r>
      <w:r w:rsidRPr="00005453">
        <w:rPr>
          <w:rFonts w:eastAsia="Arial Unicode MS"/>
          <w:color w:val="000000"/>
          <w:spacing w:val="-8"/>
        </w:rPr>
        <w:t xml:space="preserve"> – </w:t>
      </w:r>
      <w:r w:rsidR="00E65EA3" w:rsidRPr="00005453">
        <w:rPr>
          <w:rFonts w:eastAsia="Arial Unicode MS"/>
          <w:color w:val="000000"/>
          <w:spacing w:val="-8"/>
        </w:rPr>
        <w:t>6</w:t>
      </w:r>
      <w:r w:rsidR="000F0610" w:rsidRPr="00005453">
        <w:rPr>
          <w:rFonts w:eastAsia="Arial Unicode MS"/>
          <w:color w:val="000000"/>
          <w:spacing w:val="-8"/>
        </w:rPr>
        <w:t>,</w:t>
      </w:r>
      <w:r w:rsidR="00E65EA3" w:rsidRPr="00005453">
        <w:rPr>
          <w:rFonts w:eastAsia="Arial Unicode MS"/>
          <w:color w:val="000000"/>
          <w:spacing w:val="-8"/>
        </w:rPr>
        <w:t>107</w:t>
      </w:r>
      <w:r w:rsidR="0079574D" w:rsidRPr="00005453">
        <w:rPr>
          <w:rFonts w:eastAsia="Arial Unicode MS"/>
          <w:color w:val="000000"/>
          <w:spacing w:val="-8"/>
        </w:rPr>
        <w:t xml:space="preserve"> </w:t>
      </w:r>
      <w:r w:rsidRPr="00005453">
        <w:rPr>
          <w:rFonts w:eastAsia="Arial Unicode MS"/>
          <w:color w:val="000000"/>
          <w:spacing w:val="-8"/>
        </w:rPr>
        <w:t xml:space="preserve"> TL) hesaplanan izin ücretlerini, </w:t>
      </w:r>
      <w:r w:rsidR="00ED3FD3" w:rsidRPr="00005453">
        <w:rPr>
          <w:rFonts w:eastAsia="Arial Unicode MS"/>
          <w:color w:val="000000"/>
          <w:spacing w:val="-8"/>
        </w:rPr>
        <w:t>1,</w:t>
      </w:r>
      <w:r w:rsidR="00BA2DE7" w:rsidRPr="00005453">
        <w:rPr>
          <w:rFonts w:eastAsia="Arial Unicode MS"/>
          <w:color w:val="000000"/>
          <w:spacing w:val="-8"/>
        </w:rPr>
        <w:t>442</w:t>
      </w:r>
      <w:r w:rsidRPr="00005453">
        <w:rPr>
          <w:rFonts w:eastAsia="Arial Unicode MS"/>
          <w:color w:val="000000"/>
          <w:spacing w:val="-8"/>
        </w:rPr>
        <w:t>,</w:t>
      </w:r>
      <w:r w:rsidR="00BA2DE7" w:rsidRPr="00005453">
        <w:rPr>
          <w:rFonts w:eastAsia="Arial Unicode MS"/>
          <w:color w:val="000000"/>
          <w:spacing w:val="-8"/>
        </w:rPr>
        <w:t>087</w:t>
      </w:r>
      <w:r w:rsidRPr="00005453">
        <w:rPr>
          <w:rFonts w:eastAsia="Arial Unicode MS"/>
          <w:color w:val="000000"/>
          <w:spacing w:val="-8"/>
        </w:rPr>
        <w:t xml:space="preserve"> TL (31 Aralık 202</w:t>
      </w:r>
      <w:r w:rsidR="00E65EA3" w:rsidRPr="00005453">
        <w:rPr>
          <w:rFonts w:eastAsia="Arial Unicode MS"/>
          <w:color w:val="000000"/>
          <w:spacing w:val="-8"/>
        </w:rPr>
        <w:t>3</w:t>
      </w:r>
      <w:r w:rsidRPr="00005453">
        <w:rPr>
          <w:rFonts w:eastAsia="Arial Unicode MS"/>
          <w:color w:val="000000"/>
          <w:spacing w:val="-8"/>
        </w:rPr>
        <w:t xml:space="preserve"> – </w:t>
      </w:r>
      <w:r w:rsidR="00E65EA3" w:rsidRPr="00005453">
        <w:rPr>
          <w:rFonts w:eastAsia="Arial Unicode MS"/>
          <w:color w:val="000000"/>
          <w:spacing w:val="-8"/>
        </w:rPr>
        <w:t>1,004</w:t>
      </w:r>
      <w:r w:rsidR="000F0610" w:rsidRPr="00005453">
        <w:rPr>
          <w:rFonts w:eastAsia="Arial Unicode MS"/>
          <w:color w:val="000000"/>
          <w:spacing w:val="-8"/>
        </w:rPr>
        <w:t>,</w:t>
      </w:r>
      <w:r w:rsidR="00E65EA3" w:rsidRPr="00005453">
        <w:rPr>
          <w:rFonts w:eastAsia="Arial Unicode MS"/>
          <w:color w:val="000000"/>
          <w:spacing w:val="-8"/>
        </w:rPr>
        <w:t>875</w:t>
      </w:r>
      <w:r w:rsidR="000F0610" w:rsidRPr="00005453">
        <w:rPr>
          <w:rFonts w:eastAsia="Arial Unicode MS"/>
          <w:color w:val="000000"/>
          <w:spacing w:val="-8"/>
        </w:rPr>
        <w:t xml:space="preserve"> </w:t>
      </w:r>
      <w:r w:rsidRPr="00005453">
        <w:rPr>
          <w:rFonts w:eastAsia="Arial Unicode MS"/>
          <w:color w:val="000000"/>
          <w:spacing w:val="-8"/>
        </w:rPr>
        <w:t xml:space="preserve">TL) performans primi karşılığını ve </w:t>
      </w:r>
      <w:r w:rsidR="00BA2DE7" w:rsidRPr="00005453">
        <w:rPr>
          <w:rFonts w:eastAsia="Arial Unicode MS"/>
          <w:color w:val="000000"/>
          <w:spacing w:val="-8"/>
        </w:rPr>
        <w:t>808</w:t>
      </w:r>
      <w:r w:rsidRPr="00005453">
        <w:rPr>
          <w:rFonts w:eastAsia="Arial Unicode MS"/>
          <w:color w:val="000000"/>
          <w:spacing w:val="-8"/>
        </w:rPr>
        <w:t>,</w:t>
      </w:r>
      <w:r w:rsidR="00BA2DE7" w:rsidRPr="00005453">
        <w:rPr>
          <w:rFonts w:eastAsia="Arial Unicode MS"/>
          <w:color w:val="000000"/>
          <w:spacing w:val="-8"/>
        </w:rPr>
        <w:t>924</w:t>
      </w:r>
      <w:r w:rsidRPr="00005453">
        <w:rPr>
          <w:rFonts w:eastAsia="Arial Unicode MS"/>
          <w:color w:val="000000"/>
          <w:spacing w:val="-8"/>
        </w:rPr>
        <w:t xml:space="preserve"> TL (31 Aralık 202</w:t>
      </w:r>
      <w:r w:rsidR="00E65EA3" w:rsidRPr="00005453">
        <w:rPr>
          <w:rFonts w:eastAsia="Arial Unicode MS"/>
          <w:color w:val="000000"/>
          <w:spacing w:val="-8"/>
        </w:rPr>
        <w:t>3</w:t>
      </w:r>
      <w:r w:rsidRPr="00005453">
        <w:rPr>
          <w:rFonts w:eastAsia="Arial Unicode MS"/>
          <w:color w:val="000000"/>
          <w:spacing w:val="-8"/>
        </w:rPr>
        <w:t xml:space="preserve"> - </w:t>
      </w:r>
      <w:r w:rsidR="00E65EA3" w:rsidRPr="00005453">
        <w:rPr>
          <w:rFonts w:eastAsia="Arial Unicode MS"/>
          <w:color w:val="000000"/>
          <w:spacing w:val="-8"/>
        </w:rPr>
        <w:t>426</w:t>
      </w:r>
      <w:r w:rsidR="000F0610" w:rsidRPr="00005453">
        <w:rPr>
          <w:rFonts w:eastAsia="Arial Unicode MS"/>
          <w:color w:val="000000"/>
          <w:spacing w:val="-8"/>
        </w:rPr>
        <w:t>,</w:t>
      </w:r>
      <w:r w:rsidR="00E65EA3" w:rsidRPr="00005453">
        <w:rPr>
          <w:rFonts w:eastAsia="Arial Unicode MS"/>
          <w:color w:val="000000"/>
          <w:spacing w:val="-8"/>
        </w:rPr>
        <w:t>049</w:t>
      </w:r>
      <w:r w:rsidR="000F0610" w:rsidRPr="00005453">
        <w:rPr>
          <w:rFonts w:eastAsia="Arial Unicode MS"/>
          <w:color w:val="000000"/>
          <w:spacing w:val="-8"/>
        </w:rPr>
        <w:t xml:space="preserve"> </w:t>
      </w:r>
      <w:r w:rsidRPr="00005453">
        <w:rPr>
          <w:rFonts w:eastAsia="Arial Unicode MS"/>
          <w:color w:val="000000"/>
          <w:spacing w:val="-8"/>
        </w:rPr>
        <w:t xml:space="preserve">TL) emeklilik ikramiye ödeme karşılığını, </w:t>
      </w:r>
      <w:r w:rsidR="00BA2DE7" w:rsidRPr="00005453">
        <w:rPr>
          <w:rFonts w:eastAsia="Arial Unicode MS"/>
          <w:color w:val="000000"/>
          <w:spacing w:val="-8"/>
        </w:rPr>
        <w:t>129</w:t>
      </w:r>
      <w:r w:rsidRPr="00005453">
        <w:rPr>
          <w:rFonts w:eastAsia="Arial Unicode MS"/>
          <w:color w:val="000000"/>
          <w:spacing w:val="-8"/>
        </w:rPr>
        <w:t>,</w:t>
      </w:r>
      <w:r w:rsidR="00BA2DE7" w:rsidRPr="00005453">
        <w:rPr>
          <w:rFonts w:eastAsia="Arial Unicode MS"/>
          <w:color w:val="000000"/>
          <w:spacing w:val="-8"/>
        </w:rPr>
        <w:t>992</w:t>
      </w:r>
      <w:r w:rsidRPr="00005453">
        <w:rPr>
          <w:rFonts w:eastAsia="Arial Unicode MS"/>
          <w:color w:val="000000"/>
          <w:spacing w:val="-8"/>
        </w:rPr>
        <w:t xml:space="preserve"> TL (31 Aralık 202</w:t>
      </w:r>
      <w:r w:rsidR="00E65EA3" w:rsidRPr="00005453">
        <w:rPr>
          <w:rFonts w:eastAsia="Arial Unicode MS"/>
          <w:color w:val="000000"/>
          <w:spacing w:val="-8"/>
        </w:rPr>
        <w:t>3</w:t>
      </w:r>
      <w:r w:rsidRPr="00005453">
        <w:rPr>
          <w:rFonts w:eastAsia="Arial Unicode MS"/>
          <w:color w:val="000000"/>
          <w:spacing w:val="-8"/>
        </w:rPr>
        <w:t xml:space="preserve"> - </w:t>
      </w:r>
      <w:r w:rsidR="00E65EA3" w:rsidRPr="00005453">
        <w:rPr>
          <w:rFonts w:eastAsia="Arial Unicode MS"/>
          <w:color w:val="000000"/>
          <w:spacing w:val="-8"/>
        </w:rPr>
        <w:t>94</w:t>
      </w:r>
      <w:r w:rsidR="000F0610" w:rsidRPr="00005453">
        <w:rPr>
          <w:rFonts w:eastAsia="Arial Unicode MS"/>
          <w:color w:val="000000"/>
          <w:spacing w:val="-8"/>
        </w:rPr>
        <w:t>,</w:t>
      </w:r>
      <w:r w:rsidR="00E65EA3" w:rsidRPr="00005453">
        <w:rPr>
          <w:rFonts w:eastAsia="Arial Unicode MS"/>
          <w:color w:val="000000"/>
          <w:spacing w:val="-8"/>
        </w:rPr>
        <w:t>335</w:t>
      </w:r>
      <w:r w:rsidR="000F0610" w:rsidRPr="00005453">
        <w:rPr>
          <w:rFonts w:eastAsia="Arial Unicode MS"/>
          <w:color w:val="000000"/>
          <w:spacing w:val="-8"/>
        </w:rPr>
        <w:t xml:space="preserve"> </w:t>
      </w:r>
      <w:r w:rsidRPr="00005453">
        <w:rPr>
          <w:rFonts w:eastAsia="Arial Unicode MS"/>
          <w:color w:val="000000"/>
          <w:spacing w:val="-8"/>
        </w:rPr>
        <w:t xml:space="preserve">TL) komite ücretleri karşılığını ve </w:t>
      </w:r>
      <w:r w:rsidR="00BA2DE7" w:rsidRPr="00005453">
        <w:rPr>
          <w:rFonts w:eastAsia="Arial Unicode MS"/>
          <w:color w:val="000000"/>
          <w:spacing w:val="-8"/>
        </w:rPr>
        <w:t>35</w:t>
      </w:r>
      <w:r w:rsidR="001B17FD" w:rsidRPr="00005453">
        <w:rPr>
          <w:rFonts w:eastAsia="Arial Unicode MS"/>
          <w:color w:val="000000"/>
          <w:spacing w:val="-8"/>
        </w:rPr>
        <w:t>,</w:t>
      </w:r>
      <w:r w:rsidR="00BA2DE7" w:rsidRPr="00005453">
        <w:rPr>
          <w:rFonts w:eastAsia="Arial Unicode MS"/>
          <w:color w:val="000000"/>
          <w:spacing w:val="-8"/>
        </w:rPr>
        <w:t>271</w:t>
      </w:r>
      <w:r w:rsidRPr="00005453">
        <w:rPr>
          <w:rFonts w:eastAsia="Arial Unicode MS"/>
          <w:color w:val="000000"/>
          <w:spacing w:val="-8"/>
        </w:rPr>
        <w:t xml:space="preserve"> TL </w:t>
      </w:r>
      <w:r w:rsidRPr="00005453">
        <w:rPr>
          <w:rFonts w:eastAsia="Arial Unicode MS"/>
          <w:color w:val="000000"/>
        </w:rPr>
        <w:t xml:space="preserve">(31 Aralık </w:t>
      </w:r>
      <w:r w:rsidRPr="00005453">
        <w:rPr>
          <w:rFonts w:eastAsia="Arial Unicode MS"/>
          <w:color w:val="000000"/>
          <w:spacing w:val="-8"/>
        </w:rPr>
        <w:t>202</w:t>
      </w:r>
      <w:r w:rsidR="00E65EA3" w:rsidRPr="00005453">
        <w:rPr>
          <w:rFonts w:eastAsia="Arial Unicode MS"/>
          <w:color w:val="000000"/>
          <w:spacing w:val="-8"/>
        </w:rPr>
        <w:t>3</w:t>
      </w:r>
      <w:r w:rsidRPr="00005453">
        <w:rPr>
          <w:rFonts w:eastAsia="Arial Unicode MS"/>
          <w:color w:val="000000"/>
        </w:rPr>
        <w:t xml:space="preserve"> – </w:t>
      </w:r>
      <w:r w:rsidR="00E65EA3" w:rsidRPr="00005453">
        <w:rPr>
          <w:rFonts w:eastAsia="Arial Unicode MS"/>
          <w:color w:val="000000"/>
          <w:spacing w:val="-8"/>
        </w:rPr>
        <w:t>2</w:t>
      </w:r>
      <w:r w:rsidR="000F0610" w:rsidRPr="00005453">
        <w:rPr>
          <w:rFonts w:eastAsia="Arial Unicode MS"/>
          <w:color w:val="000000"/>
          <w:spacing w:val="-8"/>
        </w:rPr>
        <w:t>9,</w:t>
      </w:r>
      <w:r w:rsidR="00E65EA3" w:rsidRPr="00005453">
        <w:rPr>
          <w:rFonts w:eastAsia="Arial Unicode MS"/>
          <w:color w:val="000000"/>
          <w:spacing w:val="-8"/>
        </w:rPr>
        <w:t>432</w:t>
      </w:r>
      <w:r w:rsidR="000F0610" w:rsidRPr="00005453">
        <w:rPr>
          <w:rFonts w:eastAsia="Arial Unicode MS"/>
          <w:color w:val="000000"/>
          <w:spacing w:val="-8"/>
        </w:rPr>
        <w:t xml:space="preserve"> </w:t>
      </w:r>
      <w:r w:rsidRPr="00005453">
        <w:rPr>
          <w:rFonts w:eastAsia="Arial Unicode MS"/>
          <w:color w:val="000000"/>
        </w:rPr>
        <w:t xml:space="preserve"> TL) </w:t>
      </w:r>
      <w:r w:rsidRPr="00005453">
        <w:rPr>
          <w:rFonts w:eastAsia="Arial Unicode MS"/>
          <w:color w:val="000000"/>
          <w:spacing w:val="-8"/>
        </w:rPr>
        <w:t xml:space="preserve"> ise diğer ücretler karşılığını içermektedir. </w:t>
      </w:r>
    </w:p>
    <w:p w14:paraId="4B4065A5" w14:textId="77777777" w:rsidR="00805ED1" w:rsidRPr="00005453" w:rsidRDefault="00805ED1" w:rsidP="00805ED1">
      <w:pPr>
        <w:pStyle w:val="EndnoteText"/>
        <w:ind w:left="720"/>
        <w:jc w:val="both"/>
        <w:rPr>
          <w:rFonts w:eastAsia="Arial Unicode MS"/>
          <w:color w:val="000000"/>
          <w:sz w:val="16"/>
          <w:szCs w:val="16"/>
        </w:rPr>
      </w:pPr>
    </w:p>
    <w:p w14:paraId="008859B1" w14:textId="77777777" w:rsidR="00805ED1" w:rsidRPr="00005453" w:rsidRDefault="00805ED1" w:rsidP="00805ED1">
      <w:pPr>
        <w:pStyle w:val="BodyTextIndent"/>
        <w:ind w:left="0" w:firstLine="0"/>
        <w:rPr>
          <w:rFonts w:eastAsia="Arial Unicode MS"/>
          <w:color w:val="000000"/>
          <w:spacing w:val="-6"/>
        </w:rPr>
      </w:pPr>
      <w:r w:rsidRPr="00005453">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09E57A40" w14:textId="77777777" w:rsidR="00805ED1" w:rsidRPr="00005453" w:rsidRDefault="00805ED1" w:rsidP="00805ED1">
      <w:pPr>
        <w:pStyle w:val="BodyTextIndent"/>
        <w:ind w:left="0" w:firstLine="0"/>
        <w:rPr>
          <w:rFonts w:eastAsia="Arial Unicode MS"/>
          <w:b/>
          <w:color w:val="000000"/>
          <w:sz w:val="16"/>
          <w:szCs w:val="16"/>
        </w:rPr>
      </w:pPr>
    </w:p>
    <w:p w14:paraId="1825FA67" w14:textId="4B27E609" w:rsidR="00C250C0" w:rsidRPr="00005453" w:rsidRDefault="00C250C0" w:rsidP="00C250C0">
      <w:pPr>
        <w:pStyle w:val="BodyTextIndent"/>
        <w:ind w:left="0" w:firstLine="0"/>
        <w:rPr>
          <w:rFonts w:eastAsia="Arial Unicode MS"/>
          <w:color w:val="000000"/>
          <w:spacing w:val="-6"/>
        </w:rPr>
      </w:pPr>
      <w:r w:rsidRPr="00005453">
        <w:rPr>
          <w:rFonts w:eastAsia="Arial Unicode MS"/>
          <w:color w:val="000000"/>
          <w:spacing w:val="-6"/>
        </w:rPr>
        <w:t xml:space="preserve">Ödenecek tazminat her hizmet yılı için bir aylık maaş kadardır ve bu tutar </w:t>
      </w:r>
      <w:proofErr w:type="gramStart"/>
      <w:r w:rsidR="004956A6" w:rsidRPr="00005453">
        <w:rPr>
          <w:rFonts w:eastAsia="Arial Unicode MS"/>
          <w:color w:val="000000"/>
          <w:spacing w:val="-6"/>
        </w:rPr>
        <w:t>41</w:t>
      </w:r>
      <w:r w:rsidRPr="00005453">
        <w:rPr>
          <w:rFonts w:eastAsia="Arial Unicode MS"/>
          <w:color w:val="000000"/>
          <w:spacing w:val="-6"/>
        </w:rPr>
        <w:t>,</w:t>
      </w:r>
      <w:r w:rsidR="004956A6" w:rsidRPr="00005453">
        <w:rPr>
          <w:rFonts w:eastAsia="Arial Unicode MS"/>
          <w:color w:val="000000"/>
          <w:spacing w:val="-6"/>
        </w:rPr>
        <w:t>828</w:t>
      </w:r>
      <w:r w:rsidRPr="00005453">
        <w:rPr>
          <w:rFonts w:eastAsia="Arial Unicode MS"/>
          <w:color w:val="000000"/>
          <w:spacing w:val="-6"/>
        </w:rPr>
        <w:t>.</w:t>
      </w:r>
      <w:r w:rsidR="004956A6" w:rsidRPr="00005453">
        <w:rPr>
          <w:rFonts w:eastAsia="Arial Unicode MS"/>
          <w:color w:val="000000"/>
          <w:spacing w:val="-6"/>
        </w:rPr>
        <w:t>42</w:t>
      </w:r>
      <w:proofErr w:type="gramEnd"/>
      <w:r w:rsidRPr="00005453">
        <w:rPr>
          <w:rFonts w:eastAsia="Arial Unicode MS"/>
          <w:color w:val="000000"/>
          <w:spacing w:val="-6"/>
        </w:rPr>
        <w:t xml:space="preserve"> TL (tam TL tutardır) (</w:t>
      </w:r>
      <w:r w:rsidR="004956A6" w:rsidRPr="00005453">
        <w:rPr>
          <w:rFonts w:eastAsia="Arial Unicode MS"/>
          <w:color w:val="000000"/>
        </w:rPr>
        <w:t xml:space="preserve">31 Aralık </w:t>
      </w:r>
      <w:r w:rsidR="004956A6" w:rsidRPr="00005453">
        <w:rPr>
          <w:rFonts w:eastAsia="Arial Unicode MS"/>
          <w:color w:val="000000"/>
          <w:spacing w:val="-8"/>
        </w:rPr>
        <w:t>2023</w:t>
      </w:r>
      <w:r w:rsidR="004956A6" w:rsidRPr="00005453">
        <w:rPr>
          <w:rFonts w:eastAsia="Arial Unicode MS"/>
          <w:color w:val="000000"/>
        </w:rPr>
        <w:t xml:space="preserve"> – </w:t>
      </w:r>
      <w:r w:rsidR="004956A6" w:rsidRPr="00005453">
        <w:rPr>
          <w:rFonts w:eastAsia="Arial Unicode MS"/>
          <w:color w:val="000000"/>
          <w:spacing w:val="-6"/>
        </w:rPr>
        <w:t xml:space="preserve">23,489.83 </w:t>
      </w:r>
      <w:r w:rsidR="004956A6" w:rsidRPr="00005453">
        <w:rPr>
          <w:rFonts w:eastAsia="Arial Unicode MS"/>
          <w:color w:val="000000"/>
        </w:rPr>
        <w:t>TL (tam TL tutardır))</w:t>
      </w:r>
      <w:r w:rsidR="004956A6" w:rsidRPr="00005453">
        <w:rPr>
          <w:rFonts w:eastAsia="Arial Unicode MS"/>
          <w:color w:val="000000"/>
          <w:spacing w:val="-6"/>
        </w:rPr>
        <w:t xml:space="preserve"> </w:t>
      </w:r>
      <w:r w:rsidRPr="00005453">
        <w:rPr>
          <w:rFonts w:eastAsia="Arial Unicode MS"/>
          <w:color w:val="000000"/>
          <w:spacing w:val="-6"/>
        </w:rPr>
        <w:t>ile sınırlandırılmıştır. Kıdem tazminatı yükümlülüğü yasal olarak herhangi bir fonlamaya tabi değildir ve herhangi bir fonlama şartı bulunmamaktadır.</w:t>
      </w:r>
    </w:p>
    <w:p w14:paraId="0403F7E5" w14:textId="104BFCFC" w:rsidR="00C250C0" w:rsidRPr="00005453" w:rsidRDefault="00C250C0" w:rsidP="00C250C0">
      <w:pPr>
        <w:pStyle w:val="BodyTextIndent"/>
        <w:ind w:left="0" w:firstLine="0"/>
        <w:rPr>
          <w:rFonts w:eastAsia="Arial Unicode MS"/>
          <w:color w:val="000000"/>
          <w:spacing w:val="-6"/>
        </w:rPr>
      </w:pPr>
      <w:r w:rsidRPr="00005453">
        <w:rPr>
          <w:rFonts w:eastAsia="Arial Unicode MS"/>
          <w:color w:val="000000"/>
          <w:spacing w:val="-6"/>
        </w:rPr>
        <w:b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4E351814" w14:textId="65E98A82" w:rsidR="00C250C0" w:rsidRPr="00005453" w:rsidRDefault="00C250C0" w:rsidP="00C250C0">
      <w:pPr>
        <w:pStyle w:val="BodyTextIndent"/>
        <w:ind w:left="0" w:firstLine="0"/>
      </w:pPr>
    </w:p>
    <w:tbl>
      <w:tblPr>
        <w:tblW w:w="9141" w:type="dxa"/>
        <w:tblCellMar>
          <w:left w:w="70" w:type="dxa"/>
          <w:right w:w="70" w:type="dxa"/>
        </w:tblCellMar>
        <w:tblLook w:val="04A0" w:firstRow="1" w:lastRow="0" w:firstColumn="1" w:lastColumn="0" w:noHBand="0" w:noVBand="1"/>
      </w:tblPr>
      <w:tblGrid>
        <w:gridCol w:w="6065"/>
        <w:gridCol w:w="1567"/>
        <w:gridCol w:w="1509"/>
      </w:tblGrid>
      <w:tr w:rsidR="00C250C0" w:rsidRPr="00005453" w14:paraId="27A844BC" w14:textId="77777777" w:rsidTr="00C250C0">
        <w:trPr>
          <w:trHeight w:val="256"/>
        </w:trPr>
        <w:tc>
          <w:tcPr>
            <w:tcW w:w="6065" w:type="dxa"/>
            <w:tcBorders>
              <w:top w:val="double" w:sz="6" w:space="0" w:color="auto"/>
              <w:left w:val="nil"/>
              <w:bottom w:val="single" w:sz="8" w:space="0" w:color="auto"/>
              <w:right w:val="nil"/>
            </w:tcBorders>
            <w:vAlign w:val="center"/>
            <w:hideMark/>
          </w:tcPr>
          <w:p w14:paraId="5E1660FF" w14:textId="77777777" w:rsidR="00C250C0" w:rsidRPr="00005453" w:rsidRDefault="00C250C0">
            <w:pPr>
              <w:jc w:val="center"/>
              <w:rPr>
                <w:b/>
                <w:bCs/>
                <w:sz w:val="18"/>
                <w:szCs w:val="16"/>
                <w:lang w:val="en-GB" w:eastAsia="tr-TR"/>
              </w:rPr>
            </w:pPr>
            <w:r w:rsidRPr="00005453">
              <w:rPr>
                <w:b/>
                <w:bCs/>
                <w:sz w:val="18"/>
                <w:szCs w:val="16"/>
                <w:lang w:val="en-GB" w:eastAsia="tr-TR"/>
              </w:rPr>
              <w:t> </w:t>
            </w:r>
          </w:p>
        </w:tc>
        <w:tc>
          <w:tcPr>
            <w:tcW w:w="1567" w:type="dxa"/>
            <w:tcBorders>
              <w:top w:val="double" w:sz="6" w:space="0" w:color="auto"/>
              <w:left w:val="nil"/>
              <w:bottom w:val="single" w:sz="8" w:space="0" w:color="auto"/>
              <w:right w:val="nil"/>
            </w:tcBorders>
            <w:vAlign w:val="center"/>
            <w:hideMark/>
          </w:tcPr>
          <w:p w14:paraId="1B93FCC4" w14:textId="77777777" w:rsidR="00C250C0" w:rsidRPr="00005453" w:rsidRDefault="00C250C0">
            <w:pPr>
              <w:jc w:val="right"/>
              <w:rPr>
                <w:b/>
                <w:bCs/>
                <w:sz w:val="18"/>
                <w:szCs w:val="16"/>
                <w:lang w:val="en-GB" w:eastAsia="tr-TR"/>
              </w:rPr>
            </w:pPr>
            <w:r w:rsidRPr="00005453">
              <w:rPr>
                <w:b/>
                <w:bCs/>
                <w:sz w:val="18"/>
                <w:szCs w:val="16"/>
                <w:lang w:val="en-GB" w:eastAsia="tr-TR"/>
              </w:rPr>
              <w:t>Cari Dönem</w:t>
            </w:r>
          </w:p>
        </w:tc>
        <w:tc>
          <w:tcPr>
            <w:tcW w:w="1509" w:type="dxa"/>
            <w:tcBorders>
              <w:top w:val="double" w:sz="6" w:space="0" w:color="auto"/>
              <w:left w:val="nil"/>
              <w:bottom w:val="single" w:sz="8" w:space="0" w:color="auto"/>
              <w:right w:val="nil"/>
            </w:tcBorders>
            <w:vAlign w:val="center"/>
            <w:hideMark/>
          </w:tcPr>
          <w:p w14:paraId="1754B4C9" w14:textId="77777777" w:rsidR="00C250C0" w:rsidRPr="00005453" w:rsidRDefault="00C250C0">
            <w:pPr>
              <w:jc w:val="right"/>
              <w:rPr>
                <w:b/>
                <w:bCs/>
                <w:sz w:val="18"/>
                <w:szCs w:val="16"/>
                <w:lang w:val="en-GB" w:eastAsia="tr-TR"/>
              </w:rPr>
            </w:pPr>
            <w:r w:rsidRPr="00005453">
              <w:rPr>
                <w:b/>
                <w:bCs/>
                <w:sz w:val="18"/>
                <w:szCs w:val="16"/>
                <w:lang w:val="en-GB" w:eastAsia="tr-TR"/>
              </w:rPr>
              <w:t>Önceki Dönem</w:t>
            </w:r>
          </w:p>
        </w:tc>
      </w:tr>
      <w:tr w:rsidR="00E65EA3" w:rsidRPr="00005453" w14:paraId="11589D5D" w14:textId="77777777" w:rsidTr="00864638">
        <w:trPr>
          <w:trHeight w:val="239"/>
        </w:trPr>
        <w:tc>
          <w:tcPr>
            <w:tcW w:w="6065" w:type="dxa"/>
            <w:noWrap/>
            <w:vAlign w:val="center"/>
            <w:hideMark/>
          </w:tcPr>
          <w:p w14:paraId="7D619F3C" w14:textId="77777777" w:rsidR="00E65EA3" w:rsidRPr="00005453" w:rsidRDefault="00E65EA3" w:rsidP="00E65EA3">
            <w:pPr>
              <w:rPr>
                <w:rFonts w:eastAsia="Arial Unicode MS"/>
                <w:sz w:val="18"/>
                <w:szCs w:val="16"/>
                <w:lang w:val="en-GB" w:eastAsia="tr-TR"/>
              </w:rPr>
            </w:pPr>
            <w:r w:rsidRPr="00005453">
              <w:rPr>
                <w:rFonts w:eastAsia="Arial Unicode MS"/>
                <w:sz w:val="18"/>
                <w:szCs w:val="16"/>
                <w:lang w:val="en-GB" w:eastAsia="tr-TR"/>
              </w:rPr>
              <w:t>İskonto oranı (%)</w:t>
            </w:r>
          </w:p>
        </w:tc>
        <w:tc>
          <w:tcPr>
            <w:tcW w:w="1567" w:type="dxa"/>
            <w:vAlign w:val="center"/>
            <w:hideMark/>
          </w:tcPr>
          <w:p w14:paraId="2526B0D1" w14:textId="4B134202" w:rsidR="00E65EA3" w:rsidRPr="00005453" w:rsidRDefault="00E65EA3" w:rsidP="00E65EA3">
            <w:pPr>
              <w:jc w:val="right"/>
              <w:rPr>
                <w:sz w:val="18"/>
                <w:szCs w:val="16"/>
                <w:lang w:val="en-GB" w:eastAsia="tr-TR"/>
              </w:rPr>
            </w:pPr>
            <w:r w:rsidRPr="00005453">
              <w:rPr>
                <w:sz w:val="18"/>
                <w:szCs w:val="16"/>
                <w:lang w:val="en-GB" w:eastAsia="tr-TR"/>
              </w:rPr>
              <w:t>2</w:t>
            </w:r>
            <w:r w:rsidR="00BA2DE7" w:rsidRPr="00005453">
              <w:rPr>
                <w:sz w:val="18"/>
                <w:szCs w:val="16"/>
                <w:lang w:val="en-GB" w:eastAsia="tr-TR"/>
              </w:rPr>
              <w:t>6</w:t>
            </w:r>
            <w:r w:rsidRPr="00005453">
              <w:rPr>
                <w:sz w:val="18"/>
                <w:szCs w:val="16"/>
                <w:lang w:val="en-GB" w:eastAsia="tr-TR"/>
              </w:rPr>
              <w:t>.</w:t>
            </w:r>
            <w:r w:rsidR="00BA2DE7" w:rsidRPr="00005453">
              <w:rPr>
                <w:sz w:val="18"/>
                <w:szCs w:val="16"/>
                <w:lang w:val="en-GB" w:eastAsia="tr-TR"/>
              </w:rPr>
              <w:t>67</w:t>
            </w:r>
          </w:p>
        </w:tc>
        <w:tc>
          <w:tcPr>
            <w:tcW w:w="1509" w:type="dxa"/>
            <w:vAlign w:val="center"/>
            <w:hideMark/>
          </w:tcPr>
          <w:p w14:paraId="585A0AAE" w14:textId="3152F4BF" w:rsidR="00E65EA3" w:rsidRPr="00005453" w:rsidRDefault="00E65EA3" w:rsidP="00E65EA3">
            <w:pPr>
              <w:jc w:val="right"/>
              <w:rPr>
                <w:sz w:val="18"/>
                <w:szCs w:val="16"/>
                <w:lang w:val="en-GB" w:eastAsia="tr-TR"/>
              </w:rPr>
            </w:pPr>
            <w:r w:rsidRPr="00005453">
              <w:rPr>
                <w:sz w:val="18"/>
                <w:szCs w:val="16"/>
                <w:lang w:val="en-GB" w:eastAsia="tr-TR"/>
              </w:rPr>
              <w:t>28.03</w:t>
            </w:r>
          </w:p>
        </w:tc>
      </w:tr>
      <w:tr w:rsidR="00E65EA3" w:rsidRPr="00005453" w14:paraId="7D5002C9" w14:textId="77777777" w:rsidTr="00864638">
        <w:trPr>
          <w:trHeight w:val="239"/>
        </w:trPr>
        <w:tc>
          <w:tcPr>
            <w:tcW w:w="6065" w:type="dxa"/>
            <w:noWrap/>
            <w:vAlign w:val="center"/>
            <w:hideMark/>
          </w:tcPr>
          <w:p w14:paraId="0F99BEB2" w14:textId="77777777" w:rsidR="00E65EA3" w:rsidRPr="00005453" w:rsidRDefault="00E65EA3" w:rsidP="00E65EA3">
            <w:pPr>
              <w:rPr>
                <w:rFonts w:eastAsia="Arial Unicode MS"/>
                <w:sz w:val="18"/>
                <w:szCs w:val="16"/>
                <w:lang w:val="en-GB" w:eastAsia="tr-TR"/>
              </w:rPr>
            </w:pPr>
            <w:r w:rsidRPr="00005453">
              <w:rPr>
                <w:rFonts w:eastAsia="Arial Unicode MS"/>
                <w:sz w:val="18"/>
                <w:szCs w:val="16"/>
                <w:lang w:val="en-GB" w:eastAsia="tr-TR"/>
              </w:rPr>
              <w:t>Enflasyon oranı (%)</w:t>
            </w:r>
          </w:p>
        </w:tc>
        <w:tc>
          <w:tcPr>
            <w:tcW w:w="1567" w:type="dxa"/>
            <w:vAlign w:val="center"/>
            <w:hideMark/>
          </w:tcPr>
          <w:p w14:paraId="18357833" w14:textId="49022926" w:rsidR="00E65EA3" w:rsidRPr="00005453" w:rsidRDefault="00E65EA3" w:rsidP="00E65EA3">
            <w:pPr>
              <w:jc w:val="right"/>
              <w:rPr>
                <w:sz w:val="18"/>
                <w:szCs w:val="16"/>
                <w:lang w:val="en-GB" w:eastAsia="tr-TR"/>
              </w:rPr>
            </w:pPr>
            <w:r w:rsidRPr="00005453">
              <w:rPr>
                <w:sz w:val="18"/>
                <w:szCs w:val="16"/>
                <w:lang w:val="en-GB" w:eastAsia="tr-TR"/>
              </w:rPr>
              <w:t>2</w:t>
            </w:r>
            <w:r w:rsidR="00BA2DE7" w:rsidRPr="00005453">
              <w:rPr>
                <w:sz w:val="18"/>
                <w:szCs w:val="16"/>
                <w:lang w:val="en-GB" w:eastAsia="tr-TR"/>
              </w:rPr>
              <w:t>3</w:t>
            </w:r>
            <w:r w:rsidRPr="00005453">
              <w:rPr>
                <w:sz w:val="18"/>
                <w:szCs w:val="16"/>
                <w:lang w:val="en-GB" w:eastAsia="tr-TR"/>
              </w:rPr>
              <w:t>.</w:t>
            </w:r>
            <w:r w:rsidR="00BA2DE7" w:rsidRPr="00005453">
              <w:rPr>
                <w:sz w:val="18"/>
                <w:szCs w:val="16"/>
                <w:lang w:val="en-GB" w:eastAsia="tr-TR"/>
              </w:rPr>
              <w:t>49</w:t>
            </w:r>
          </w:p>
        </w:tc>
        <w:tc>
          <w:tcPr>
            <w:tcW w:w="1509" w:type="dxa"/>
            <w:vAlign w:val="center"/>
            <w:hideMark/>
          </w:tcPr>
          <w:p w14:paraId="56510595" w14:textId="24BB533F" w:rsidR="00E65EA3" w:rsidRPr="00005453" w:rsidRDefault="00E65EA3" w:rsidP="00E65EA3">
            <w:pPr>
              <w:jc w:val="right"/>
              <w:rPr>
                <w:sz w:val="18"/>
                <w:szCs w:val="16"/>
                <w:lang w:val="en-GB" w:eastAsia="tr-TR"/>
              </w:rPr>
            </w:pPr>
            <w:r w:rsidRPr="00005453">
              <w:rPr>
                <w:sz w:val="18"/>
                <w:szCs w:val="16"/>
                <w:lang w:val="en-GB" w:eastAsia="tr-TR"/>
              </w:rPr>
              <w:t>24.35</w:t>
            </w:r>
          </w:p>
        </w:tc>
      </w:tr>
      <w:tr w:rsidR="00E65EA3" w:rsidRPr="00005453" w14:paraId="798A9C56" w14:textId="77777777" w:rsidTr="00864638">
        <w:trPr>
          <w:trHeight w:val="256"/>
        </w:trPr>
        <w:tc>
          <w:tcPr>
            <w:tcW w:w="6065" w:type="dxa"/>
            <w:tcBorders>
              <w:top w:val="nil"/>
              <w:left w:val="nil"/>
              <w:bottom w:val="double" w:sz="6" w:space="0" w:color="auto"/>
              <w:right w:val="nil"/>
            </w:tcBorders>
            <w:noWrap/>
            <w:vAlign w:val="center"/>
            <w:hideMark/>
          </w:tcPr>
          <w:p w14:paraId="0187DB2D" w14:textId="77777777" w:rsidR="00E65EA3" w:rsidRPr="00005453" w:rsidRDefault="00E65EA3" w:rsidP="00E65EA3">
            <w:pPr>
              <w:rPr>
                <w:rFonts w:eastAsia="Arial Unicode MS"/>
                <w:sz w:val="18"/>
                <w:szCs w:val="16"/>
                <w:lang w:val="en-GB" w:eastAsia="tr-TR"/>
              </w:rPr>
            </w:pPr>
            <w:r w:rsidRPr="00005453">
              <w:rPr>
                <w:rFonts w:eastAsia="Arial Unicode MS"/>
                <w:sz w:val="18"/>
                <w:szCs w:val="16"/>
                <w:lang w:val="en-GB" w:eastAsia="tr-TR"/>
              </w:rPr>
              <w:t>Maaş artış oranı (%)</w:t>
            </w:r>
          </w:p>
        </w:tc>
        <w:tc>
          <w:tcPr>
            <w:tcW w:w="1567" w:type="dxa"/>
            <w:tcBorders>
              <w:top w:val="nil"/>
              <w:left w:val="nil"/>
              <w:bottom w:val="double" w:sz="6" w:space="0" w:color="auto"/>
              <w:right w:val="nil"/>
            </w:tcBorders>
            <w:vAlign w:val="center"/>
            <w:hideMark/>
          </w:tcPr>
          <w:p w14:paraId="53EFEE17" w14:textId="19615BC8" w:rsidR="00E65EA3" w:rsidRPr="00005453" w:rsidRDefault="00E65EA3" w:rsidP="00E65EA3">
            <w:pPr>
              <w:jc w:val="right"/>
              <w:rPr>
                <w:sz w:val="18"/>
                <w:szCs w:val="16"/>
                <w:lang w:val="en-GB" w:eastAsia="tr-TR"/>
              </w:rPr>
            </w:pPr>
            <w:r w:rsidRPr="00005453">
              <w:rPr>
                <w:sz w:val="18"/>
                <w:szCs w:val="16"/>
                <w:lang w:val="en-GB" w:eastAsia="tr-TR"/>
              </w:rPr>
              <w:t>2</w:t>
            </w:r>
            <w:r w:rsidR="00BA2DE7" w:rsidRPr="00005453">
              <w:rPr>
                <w:sz w:val="18"/>
                <w:szCs w:val="16"/>
                <w:lang w:val="en-GB" w:eastAsia="tr-TR"/>
              </w:rPr>
              <w:t>3</w:t>
            </w:r>
            <w:r w:rsidRPr="00005453">
              <w:rPr>
                <w:sz w:val="18"/>
                <w:szCs w:val="16"/>
                <w:lang w:val="en-GB" w:eastAsia="tr-TR"/>
              </w:rPr>
              <w:t>.</w:t>
            </w:r>
            <w:r w:rsidR="00BA2DE7" w:rsidRPr="00005453">
              <w:rPr>
                <w:sz w:val="18"/>
                <w:szCs w:val="16"/>
                <w:lang w:val="en-GB" w:eastAsia="tr-TR"/>
              </w:rPr>
              <w:t>99</w:t>
            </w:r>
          </w:p>
        </w:tc>
        <w:tc>
          <w:tcPr>
            <w:tcW w:w="1509" w:type="dxa"/>
            <w:tcBorders>
              <w:top w:val="nil"/>
              <w:left w:val="nil"/>
              <w:bottom w:val="double" w:sz="6" w:space="0" w:color="auto"/>
              <w:right w:val="nil"/>
            </w:tcBorders>
            <w:vAlign w:val="center"/>
            <w:hideMark/>
          </w:tcPr>
          <w:p w14:paraId="368DD0A8" w14:textId="4D1AF1F9" w:rsidR="00E65EA3" w:rsidRPr="00005453" w:rsidRDefault="00E65EA3" w:rsidP="00E65EA3">
            <w:pPr>
              <w:jc w:val="right"/>
              <w:rPr>
                <w:sz w:val="18"/>
                <w:szCs w:val="16"/>
                <w:lang w:val="en-GB" w:eastAsia="tr-TR"/>
              </w:rPr>
            </w:pPr>
            <w:r w:rsidRPr="00005453">
              <w:rPr>
                <w:sz w:val="18"/>
                <w:szCs w:val="16"/>
                <w:lang w:val="en-GB" w:eastAsia="tr-TR"/>
              </w:rPr>
              <w:t>24.85</w:t>
            </w:r>
          </w:p>
        </w:tc>
      </w:tr>
    </w:tbl>
    <w:p w14:paraId="535399C2" w14:textId="620B343F" w:rsidR="00717213" w:rsidRPr="00005453" w:rsidRDefault="00717213" w:rsidP="00EB4BD1">
      <w:pPr>
        <w:pStyle w:val="BodyTextIndent"/>
        <w:ind w:left="0" w:firstLine="0"/>
        <w:rPr>
          <w:lang w:val="en-GB" w:eastAsia="en-GB"/>
        </w:rPr>
      </w:pPr>
    </w:p>
    <w:p w14:paraId="76225C07" w14:textId="3CDDA4AD" w:rsidR="007F4BDF" w:rsidRPr="00005453" w:rsidRDefault="00C250C0" w:rsidP="005C6F27">
      <w:pPr>
        <w:pStyle w:val="BodyTextIndent"/>
        <w:jc w:val="left"/>
        <w:rPr>
          <w:rFonts w:eastAsia="Arial Unicode MS"/>
        </w:rPr>
      </w:pPr>
      <w:r w:rsidRPr="00005453">
        <w:rPr>
          <w:rFonts w:eastAsia="Arial Unicode MS"/>
        </w:rPr>
        <w:t>K</w:t>
      </w:r>
      <w:r w:rsidR="00E253C8" w:rsidRPr="00005453">
        <w:rPr>
          <w:rFonts w:eastAsia="Arial Unicode MS"/>
        </w:rPr>
        <w:t>ıdem tazminatı yükümlülüğünün hareket</w:t>
      </w:r>
      <w:r w:rsidR="00983400" w:rsidRPr="00005453">
        <w:rPr>
          <w:rFonts w:eastAsia="Arial Unicode MS"/>
        </w:rPr>
        <w:t xml:space="preserve"> tablosu</w:t>
      </w:r>
      <w:r w:rsidR="00E253C8" w:rsidRPr="00005453">
        <w:rPr>
          <w:rFonts w:eastAsia="Arial Unicode MS"/>
        </w:rPr>
        <w:t xml:space="preserve"> aşağıdaki gibidir</w:t>
      </w:r>
    </w:p>
    <w:p w14:paraId="19E15FC4" w14:textId="5353AAF5" w:rsidR="00717213" w:rsidRPr="00005453" w:rsidRDefault="00717213" w:rsidP="00617920">
      <w:pPr>
        <w:autoSpaceDE w:val="0"/>
        <w:autoSpaceDN w:val="0"/>
        <w:adjustRightInd w:val="0"/>
        <w:rPr>
          <w:lang w:val="en-GB" w:eastAsia="en-GB"/>
        </w:rPr>
      </w:pPr>
    </w:p>
    <w:tbl>
      <w:tblPr>
        <w:tblW w:w="9072" w:type="dxa"/>
        <w:tblCellMar>
          <w:left w:w="70" w:type="dxa"/>
          <w:right w:w="70" w:type="dxa"/>
        </w:tblCellMar>
        <w:tblLook w:val="04A0" w:firstRow="1" w:lastRow="0" w:firstColumn="1" w:lastColumn="0" w:noHBand="0" w:noVBand="1"/>
      </w:tblPr>
      <w:tblGrid>
        <w:gridCol w:w="5245"/>
        <w:gridCol w:w="2433"/>
        <w:gridCol w:w="1394"/>
      </w:tblGrid>
      <w:tr w:rsidR="00717213" w:rsidRPr="00005453" w14:paraId="4BB674A5" w14:textId="77777777" w:rsidTr="00614CD2">
        <w:trPr>
          <w:divId w:val="1162039347"/>
          <w:trHeight w:val="251"/>
        </w:trPr>
        <w:tc>
          <w:tcPr>
            <w:tcW w:w="5245" w:type="dxa"/>
            <w:tcBorders>
              <w:top w:val="double" w:sz="6" w:space="0" w:color="auto"/>
              <w:left w:val="nil"/>
              <w:bottom w:val="single" w:sz="8" w:space="0" w:color="auto"/>
              <w:right w:val="nil"/>
            </w:tcBorders>
            <w:shd w:val="clear" w:color="auto" w:fill="auto"/>
            <w:vAlign w:val="center"/>
            <w:hideMark/>
          </w:tcPr>
          <w:p w14:paraId="44097B29" w14:textId="6735E6BA" w:rsidR="00717213" w:rsidRPr="00005453" w:rsidRDefault="00717213" w:rsidP="00717213">
            <w:pPr>
              <w:jc w:val="center"/>
              <w:rPr>
                <w:b/>
                <w:bCs/>
                <w:sz w:val="18"/>
                <w:szCs w:val="16"/>
                <w:lang w:eastAsia="tr-TR"/>
              </w:rPr>
            </w:pPr>
            <w:r w:rsidRPr="00005453">
              <w:rPr>
                <w:b/>
                <w:bCs/>
                <w:sz w:val="18"/>
                <w:szCs w:val="16"/>
                <w:lang w:eastAsia="tr-TR"/>
              </w:rPr>
              <w:t> </w:t>
            </w:r>
          </w:p>
        </w:tc>
        <w:tc>
          <w:tcPr>
            <w:tcW w:w="2433" w:type="dxa"/>
            <w:tcBorders>
              <w:top w:val="double" w:sz="6" w:space="0" w:color="auto"/>
              <w:left w:val="nil"/>
              <w:bottom w:val="single" w:sz="8" w:space="0" w:color="auto"/>
              <w:right w:val="nil"/>
            </w:tcBorders>
            <w:shd w:val="clear" w:color="auto" w:fill="auto"/>
            <w:vAlign w:val="center"/>
            <w:hideMark/>
          </w:tcPr>
          <w:p w14:paraId="3AC6B946" w14:textId="77777777" w:rsidR="00717213" w:rsidRPr="00005453" w:rsidRDefault="00717213" w:rsidP="00717213">
            <w:pPr>
              <w:jc w:val="right"/>
              <w:rPr>
                <w:b/>
                <w:bCs/>
                <w:sz w:val="18"/>
                <w:szCs w:val="16"/>
                <w:lang w:eastAsia="tr-TR"/>
              </w:rPr>
            </w:pPr>
            <w:r w:rsidRPr="00005453">
              <w:rPr>
                <w:b/>
                <w:bCs/>
                <w:sz w:val="18"/>
                <w:szCs w:val="16"/>
                <w:lang w:eastAsia="tr-TR"/>
              </w:rPr>
              <w:t>Cari Dönem</w:t>
            </w:r>
          </w:p>
        </w:tc>
        <w:tc>
          <w:tcPr>
            <w:tcW w:w="1394" w:type="dxa"/>
            <w:tcBorders>
              <w:top w:val="double" w:sz="6" w:space="0" w:color="auto"/>
              <w:left w:val="nil"/>
              <w:bottom w:val="single" w:sz="8" w:space="0" w:color="auto"/>
              <w:right w:val="nil"/>
            </w:tcBorders>
            <w:shd w:val="clear" w:color="auto" w:fill="auto"/>
            <w:vAlign w:val="center"/>
            <w:hideMark/>
          </w:tcPr>
          <w:p w14:paraId="74BE830D" w14:textId="77777777" w:rsidR="00717213" w:rsidRPr="00005453" w:rsidRDefault="00717213" w:rsidP="00717213">
            <w:pPr>
              <w:jc w:val="right"/>
              <w:rPr>
                <w:b/>
                <w:bCs/>
                <w:sz w:val="18"/>
                <w:szCs w:val="16"/>
                <w:lang w:eastAsia="tr-TR"/>
              </w:rPr>
            </w:pPr>
            <w:r w:rsidRPr="00005453">
              <w:rPr>
                <w:b/>
                <w:bCs/>
                <w:sz w:val="18"/>
                <w:szCs w:val="16"/>
                <w:lang w:eastAsia="tr-TR"/>
              </w:rPr>
              <w:t>Önceki Dönem</w:t>
            </w:r>
          </w:p>
        </w:tc>
      </w:tr>
      <w:tr w:rsidR="00BA2DE7" w:rsidRPr="00005453" w14:paraId="76D6A797" w14:textId="77777777" w:rsidTr="00BA2DE7">
        <w:trPr>
          <w:divId w:val="1162039347"/>
          <w:trHeight w:val="235"/>
        </w:trPr>
        <w:tc>
          <w:tcPr>
            <w:tcW w:w="5245" w:type="dxa"/>
            <w:tcBorders>
              <w:top w:val="nil"/>
              <w:left w:val="nil"/>
              <w:bottom w:val="nil"/>
              <w:right w:val="nil"/>
            </w:tcBorders>
            <w:shd w:val="clear" w:color="auto" w:fill="auto"/>
            <w:noWrap/>
            <w:vAlign w:val="center"/>
            <w:hideMark/>
          </w:tcPr>
          <w:p w14:paraId="31A5BF93" w14:textId="77777777" w:rsidR="00BA2DE7" w:rsidRPr="00005453" w:rsidRDefault="00BA2DE7" w:rsidP="00BA2DE7">
            <w:pPr>
              <w:rPr>
                <w:sz w:val="18"/>
                <w:szCs w:val="16"/>
                <w:lang w:eastAsia="tr-TR"/>
              </w:rPr>
            </w:pPr>
            <w:r w:rsidRPr="00005453">
              <w:rPr>
                <w:rFonts w:eastAsia="Arial Unicode MS"/>
                <w:sz w:val="18"/>
                <w:szCs w:val="16"/>
                <w:lang w:eastAsia="tr-TR"/>
              </w:rPr>
              <w:t>Önceki dönem sonu bakiyesi</w:t>
            </w:r>
          </w:p>
        </w:tc>
        <w:tc>
          <w:tcPr>
            <w:tcW w:w="2433" w:type="dxa"/>
            <w:tcBorders>
              <w:top w:val="nil"/>
              <w:left w:val="nil"/>
              <w:bottom w:val="nil"/>
              <w:right w:val="nil"/>
            </w:tcBorders>
            <w:shd w:val="clear" w:color="auto" w:fill="auto"/>
            <w:vAlign w:val="center"/>
            <w:hideMark/>
          </w:tcPr>
          <w:p w14:paraId="3EB337E1" w14:textId="1EBC78B4" w:rsidR="00BA2DE7" w:rsidRPr="00005453" w:rsidRDefault="00BA2DE7" w:rsidP="00BA2DE7">
            <w:pPr>
              <w:jc w:val="right"/>
              <w:rPr>
                <w:sz w:val="18"/>
                <w:szCs w:val="16"/>
                <w:lang w:eastAsia="tr-TR"/>
              </w:rPr>
            </w:pPr>
            <w:r w:rsidRPr="00005453">
              <w:rPr>
                <w:sz w:val="18"/>
                <w:szCs w:val="18"/>
              </w:rPr>
              <w:t>1,095,389</w:t>
            </w:r>
          </w:p>
        </w:tc>
        <w:tc>
          <w:tcPr>
            <w:tcW w:w="1394" w:type="dxa"/>
            <w:tcBorders>
              <w:top w:val="nil"/>
              <w:left w:val="nil"/>
              <w:bottom w:val="nil"/>
              <w:right w:val="nil"/>
            </w:tcBorders>
            <w:shd w:val="clear" w:color="auto" w:fill="auto"/>
            <w:vAlign w:val="center"/>
            <w:hideMark/>
          </w:tcPr>
          <w:p w14:paraId="7C738588" w14:textId="2B344419" w:rsidR="00BA2DE7" w:rsidRPr="00005453" w:rsidRDefault="00BA2DE7" w:rsidP="00BA2DE7">
            <w:pPr>
              <w:jc w:val="right"/>
              <w:rPr>
                <w:sz w:val="18"/>
                <w:szCs w:val="16"/>
                <w:lang w:eastAsia="tr-TR"/>
              </w:rPr>
            </w:pPr>
            <w:r w:rsidRPr="00005453">
              <w:rPr>
                <w:sz w:val="18"/>
                <w:szCs w:val="16"/>
                <w:lang w:eastAsia="tr-TR"/>
              </w:rPr>
              <w:t xml:space="preserve"> 614,054    </w:t>
            </w:r>
          </w:p>
        </w:tc>
      </w:tr>
      <w:tr w:rsidR="00BA2DE7" w:rsidRPr="00005453" w14:paraId="68E3A2B4" w14:textId="77777777" w:rsidTr="00BA2DE7">
        <w:trPr>
          <w:divId w:val="1162039347"/>
          <w:trHeight w:val="235"/>
        </w:trPr>
        <w:tc>
          <w:tcPr>
            <w:tcW w:w="5245" w:type="dxa"/>
            <w:tcBorders>
              <w:top w:val="nil"/>
              <w:left w:val="nil"/>
              <w:bottom w:val="nil"/>
              <w:right w:val="nil"/>
            </w:tcBorders>
            <w:shd w:val="clear" w:color="auto" w:fill="auto"/>
            <w:noWrap/>
            <w:vAlign w:val="center"/>
            <w:hideMark/>
          </w:tcPr>
          <w:p w14:paraId="23E84F5B" w14:textId="77777777" w:rsidR="00BA2DE7" w:rsidRPr="00005453" w:rsidRDefault="00BA2DE7" w:rsidP="00BA2DE7">
            <w:pPr>
              <w:rPr>
                <w:sz w:val="18"/>
                <w:szCs w:val="16"/>
                <w:lang w:eastAsia="tr-TR"/>
              </w:rPr>
            </w:pPr>
            <w:r w:rsidRPr="00005453">
              <w:rPr>
                <w:rFonts w:eastAsia="Arial Unicode MS"/>
                <w:sz w:val="18"/>
                <w:szCs w:val="16"/>
                <w:lang w:eastAsia="tr-TR"/>
              </w:rPr>
              <w:t>Yıl içinde ayrılan karşılık</w:t>
            </w:r>
          </w:p>
        </w:tc>
        <w:tc>
          <w:tcPr>
            <w:tcW w:w="2433" w:type="dxa"/>
            <w:tcBorders>
              <w:top w:val="nil"/>
              <w:left w:val="nil"/>
              <w:bottom w:val="nil"/>
              <w:right w:val="nil"/>
            </w:tcBorders>
            <w:shd w:val="clear" w:color="auto" w:fill="auto"/>
            <w:vAlign w:val="center"/>
            <w:hideMark/>
          </w:tcPr>
          <w:p w14:paraId="22392782" w14:textId="2B782166" w:rsidR="00BA2DE7" w:rsidRPr="00005453" w:rsidRDefault="00BA2DE7" w:rsidP="00BA2DE7">
            <w:pPr>
              <w:jc w:val="right"/>
              <w:rPr>
                <w:sz w:val="18"/>
                <w:szCs w:val="16"/>
                <w:lang w:eastAsia="tr-TR"/>
              </w:rPr>
            </w:pPr>
            <w:r w:rsidRPr="00005453">
              <w:rPr>
                <w:sz w:val="18"/>
                <w:szCs w:val="18"/>
              </w:rPr>
              <w:t>477,530</w:t>
            </w:r>
          </w:p>
        </w:tc>
        <w:tc>
          <w:tcPr>
            <w:tcW w:w="1394" w:type="dxa"/>
            <w:tcBorders>
              <w:top w:val="nil"/>
              <w:left w:val="nil"/>
              <w:bottom w:val="nil"/>
              <w:right w:val="nil"/>
            </w:tcBorders>
            <w:shd w:val="clear" w:color="auto" w:fill="auto"/>
            <w:vAlign w:val="center"/>
            <w:hideMark/>
          </w:tcPr>
          <w:p w14:paraId="05AD6AB7" w14:textId="2047C1FC" w:rsidR="00BA2DE7" w:rsidRPr="00005453" w:rsidRDefault="00BA2DE7" w:rsidP="00BA2DE7">
            <w:pPr>
              <w:jc w:val="right"/>
              <w:rPr>
                <w:sz w:val="18"/>
                <w:szCs w:val="16"/>
                <w:lang w:eastAsia="tr-TR"/>
              </w:rPr>
            </w:pPr>
            <w:r w:rsidRPr="00005453">
              <w:rPr>
                <w:sz w:val="18"/>
                <w:szCs w:val="16"/>
                <w:lang w:eastAsia="tr-TR"/>
              </w:rPr>
              <w:t xml:space="preserve"> 189,371    </w:t>
            </w:r>
          </w:p>
        </w:tc>
      </w:tr>
      <w:tr w:rsidR="00BA2DE7" w:rsidRPr="00005453" w14:paraId="4BC06447" w14:textId="77777777" w:rsidTr="00BA2DE7">
        <w:trPr>
          <w:divId w:val="1162039347"/>
          <w:trHeight w:val="235"/>
        </w:trPr>
        <w:tc>
          <w:tcPr>
            <w:tcW w:w="5245" w:type="dxa"/>
            <w:tcBorders>
              <w:top w:val="nil"/>
              <w:left w:val="nil"/>
              <w:bottom w:val="nil"/>
              <w:right w:val="nil"/>
            </w:tcBorders>
            <w:shd w:val="clear" w:color="auto" w:fill="auto"/>
            <w:noWrap/>
            <w:vAlign w:val="center"/>
            <w:hideMark/>
          </w:tcPr>
          <w:p w14:paraId="7FE5C461" w14:textId="77777777" w:rsidR="00BA2DE7" w:rsidRPr="00005453" w:rsidRDefault="00BA2DE7" w:rsidP="00BA2DE7">
            <w:pPr>
              <w:rPr>
                <w:sz w:val="18"/>
                <w:szCs w:val="16"/>
                <w:lang w:eastAsia="tr-TR"/>
              </w:rPr>
            </w:pPr>
            <w:r w:rsidRPr="00005453">
              <w:rPr>
                <w:rFonts w:eastAsia="Arial Unicode MS"/>
                <w:sz w:val="18"/>
                <w:szCs w:val="16"/>
                <w:lang w:eastAsia="tr-TR"/>
              </w:rPr>
              <w:t>Yıl içinde ödenen</w:t>
            </w:r>
          </w:p>
        </w:tc>
        <w:tc>
          <w:tcPr>
            <w:tcW w:w="2433" w:type="dxa"/>
            <w:tcBorders>
              <w:top w:val="nil"/>
              <w:left w:val="nil"/>
              <w:bottom w:val="nil"/>
              <w:right w:val="nil"/>
            </w:tcBorders>
            <w:shd w:val="clear" w:color="auto" w:fill="auto"/>
            <w:vAlign w:val="center"/>
            <w:hideMark/>
          </w:tcPr>
          <w:p w14:paraId="2CABBA25" w14:textId="492BB5A9" w:rsidR="00BA2DE7" w:rsidRPr="00005453" w:rsidRDefault="00BA2DE7" w:rsidP="00BA2DE7">
            <w:pPr>
              <w:jc w:val="right"/>
              <w:rPr>
                <w:sz w:val="18"/>
                <w:szCs w:val="16"/>
                <w:lang w:eastAsia="tr-TR"/>
              </w:rPr>
            </w:pPr>
            <w:r w:rsidRPr="00005453">
              <w:rPr>
                <w:sz w:val="18"/>
                <w:szCs w:val="18"/>
              </w:rPr>
              <w:t>(197,655)</w:t>
            </w:r>
          </w:p>
        </w:tc>
        <w:tc>
          <w:tcPr>
            <w:tcW w:w="1394" w:type="dxa"/>
            <w:tcBorders>
              <w:top w:val="nil"/>
              <w:left w:val="nil"/>
              <w:bottom w:val="nil"/>
              <w:right w:val="nil"/>
            </w:tcBorders>
            <w:shd w:val="clear" w:color="auto" w:fill="auto"/>
            <w:vAlign w:val="center"/>
            <w:hideMark/>
          </w:tcPr>
          <w:p w14:paraId="5310EF7D" w14:textId="4CB7E6A4" w:rsidR="00BA2DE7" w:rsidRPr="00005453" w:rsidRDefault="00BA2DE7" w:rsidP="00BA2DE7">
            <w:pPr>
              <w:jc w:val="right"/>
              <w:rPr>
                <w:sz w:val="18"/>
                <w:szCs w:val="16"/>
                <w:lang w:eastAsia="tr-TR"/>
              </w:rPr>
            </w:pPr>
            <w:r w:rsidRPr="00005453">
              <w:rPr>
                <w:sz w:val="18"/>
                <w:szCs w:val="16"/>
                <w:lang w:eastAsia="tr-TR"/>
              </w:rPr>
              <w:t xml:space="preserve">(49,751)    </w:t>
            </w:r>
          </w:p>
        </w:tc>
      </w:tr>
      <w:tr w:rsidR="00BA2DE7" w:rsidRPr="00005453" w14:paraId="2B0E9465" w14:textId="77777777" w:rsidTr="00BA2DE7">
        <w:trPr>
          <w:divId w:val="1162039347"/>
          <w:trHeight w:val="251"/>
        </w:trPr>
        <w:tc>
          <w:tcPr>
            <w:tcW w:w="5245" w:type="dxa"/>
            <w:tcBorders>
              <w:top w:val="nil"/>
              <w:left w:val="nil"/>
              <w:bottom w:val="nil"/>
              <w:right w:val="nil"/>
            </w:tcBorders>
            <w:shd w:val="clear" w:color="auto" w:fill="auto"/>
            <w:noWrap/>
            <w:vAlign w:val="center"/>
            <w:hideMark/>
          </w:tcPr>
          <w:p w14:paraId="2ED3D7C7" w14:textId="77777777" w:rsidR="00BA2DE7" w:rsidRPr="00005453" w:rsidRDefault="00BA2DE7" w:rsidP="00BA2DE7">
            <w:pPr>
              <w:rPr>
                <w:sz w:val="18"/>
                <w:szCs w:val="16"/>
                <w:lang w:eastAsia="tr-TR"/>
              </w:rPr>
            </w:pPr>
            <w:r w:rsidRPr="00005453">
              <w:rPr>
                <w:rFonts w:eastAsia="Arial Unicode MS"/>
                <w:sz w:val="18"/>
                <w:szCs w:val="16"/>
                <w:lang w:eastAsia="tr-TR"/>
              </w:rPr>
              <w:t xml:space="preserve">Aktüeryal kayıp </w:t>
            </w:r>
          </w:p>
        </w:tc>
        <w:tc>
          <w:tcPr>
            <w:tcW w:w="2433" w:type="dxa"/>
            <w:tcBorders>
              <w:top w:val="nil"/>
              <w:left w:val="nil"/>
              <w:bottom w:val="nil"/>
              <w:right w:val="nil"/>
            </w:tcBorders>
            <w:shd w:val="clear" w:color="auto" w:fill="auto"/>
            <w:vAlign w:val="center"/>
            <w:hideMark/>
          </w:tcPr>
          <w:p w14:paraId="1009BAEC" w14:textId="52FAE666" w:rsidR="00BA2DE7" w:rsidRPr="00005453" w:rsidRDefault="00BA2DE7" w:rsidP="00BA2DE7">
            <w:pPr>
              <w:jc w:val="right"/>
              <w:rPr>
                <w:sz w:val="18"/>
                <w:szCs w:val="16"/>
                <w:lang w:eastAsia="tr-TR"/>
              </w:rPr>
            </w:pPr>
            <w:r w:rsidRPr="00005453">
              <w:rPr>
                <w:sz w:val="18"/>
                <w:szCs w:val="18"/>
              </w:rPr>
              <w:t>56,835</w:t>
            </w:r>
          </w:p>
        </w:tc>
        <w:tc>
          <w:tcPr>
            <w:tcW w:w="1394" w:type="dxa"/>
            <w:tcBorders>
              <w:top w:val="nil"/>
              <w:left w:val="nil"/>
              <w:bottom w:val="nil"/>
              <w:right w:val="nil"/>
            </w:tcBorders>
            <w:shd w:val="clear" w:color="auto" w:fill="auto"/>
            <w:vAlign w:val="center"/>
            <w:hideMark/>
          </w:tcPr>
          <w:p w14:paraId="6054AA1A" w14:textId="233CF0B7" w:rsidR="00BA2DE7" w:rsidRPr="00005453" w:rsidRDefault="00BA2DE7" w:rsidP="00BA2DE7">
            <w:pPr>
              <w:jc w:val="right"/>
              <w:rPr>
                <w:sz w:val="18"/>
                <w:szCs w:val="16"/>
                <w:lang w:eastAsia="tr-TR"/>
              </w:rPr>
            </w:pPr>
            <w:r w:rsidRPr="00005453">
              <w:rPr>
                <w:sz w:val="18"/>
                <w:szCs w:val="16"/>
                <w:lang w:eastAsia="tr-TR"/>
              </w:rPr>
              <w:t xml:space="preserve"> 341,715    </w:t>
            </w:r>
          </w:p>
        </w:tc>
      </w:tr>
      <w:tr w:rsidR="00BA2DE7" w:rsidRPr="00005453" w14:paraId="5D06C163" w14:textId="77777777" w:rsidTr="00BA2DE7">
        <w:trPr>
          <w:divId w:val="1162039347"/>
          <w:trHeight w:val="251"/>
        </w:trPr>
        <w:tc>
          <w:tcPr>
            <w:tcW w:w="5245" w:type="dxa"/>
            <w:tcBorders>
              <w:top w:val="single" w:sz="8" w:space="0" w:color="auto"/>
              <w:left w:val="nil"/>
              <w:bottom w:val="double" w:sz="6" w:space="0" w:color="auto"/>
              <w:right w:val="nil"/>
            </w:tcBorders>
            <w:shd w:val="clear" w:color="auto" w:fill="auto"/>
            <w:vAlign w:val="center"/>
            <w:hideMark/>
          </w:tcPr>
          <w:p w14:paraId="695F9E36" w14:textId="77777777" w:rsidR="00BA2DE7" w:rsidRPr="00005453" w:rsidRDefault="00BA2DE7" w:rsidP="00BA2DE7">
            <w:pPr>
              <w:rPr>
                <w:b/>
                <w:bCs/>
                <w:sz w:val="18"/>
                <w:szCs w:val="16"/>
                <w:lang w:eastAsia="tr-TR"/>
              </w:rPr>
            </w:pPr>
            <w:r w:rsidRPr="00005453">
              <w:rPr>
                <w:b/>
                <w:bCs/>
                <w:sz w:val="18"/>
                <w:szCs w:val="16"/>
                <w:lang w:eastAsia="tr-TR"/>
              </w:rPr>
              <w:t>Dönem sonu bakiyesi</w:t>
            </w:r>
          </w:p>
        </w:tc>
        <w:tc>
          <w:tcPr>
            <w:tcW w:w="2433" w:type="dxa"/>
            <w:tcBorders>
              <w:top w:val="single" w:sz="8" w:space="0" w:color="auto"/>
              <w:left w:val="nil"/>
              <w:bottom w:val="double" w:sz="6" w:space="0" w:color="auto"/>
              <w:right w:val="nil"/>
            </w:tcBorders>
            <w:shd w:val="clear" w:color="auto" w:fill="auto"/>
            <w:vAlign w:val="center"/>
            <w:hideMark/>
          </w:tcPr>
          <w:p w14:paraId="14456E50" w14:textId="2192EC96" w:rsidR="00BA2DE7" w:rsidRPr="00005453" w:rsidRDefault="00BA2DE7" w:rsidP="00BA2DE7">
            <w:pPr>
              <w:jc w:val="right"/>
              <w:rPr>
                <w:b/>
                <w:sz w:val="18"/>
                <w:szCs w:val="16"/>
                <w:lang w:eastAsia="tr-TR"/>
              </w:rPr>
            </w:pPr>
            <w:r w:rsidRPr="00005453">
              <w:rPr>
                <w:b/>
                <w:bCs/>
                <w:sz w:val="18"/>
                <w:szCs w:val="18"/>
              </w:rPr>
              <w:t>1,432,099</w:t>
            </w:r>
          </w:p>
        </w:tc>
        <w:tc>
          <w:tcPr>
            <w:tcW w:w="1394" w:type="dxa"/>
            <w:tcBorders>
              <w:top w:val="single" w:sz="8" w:space="0" w:color="auto"/>
              <w:left w:val="nil"/>
              <w:bottom w:val="double" w:sz="6" w:space="0" w:color="auto"/>
              <w:right w:val="nil"/>
            </w:tcBorders>
            <w:shd w:val="clear" w:color="auto" w:fill="auto"/>
            <w:vAlign w:val="center"/>
            <w:hideMark/>
          </w:tcPr>
          <w:p w14:paraId="46A5ADBB" w14:textId="277DE39F" w:rsidR="00BA2DE7" w:rsidRPr="00005453" w:rsidRDefault="00BA2DE7" w:rsidP="00BA2DE7">
            <w:pPr>
              <w:jc w:val="right"/>
              <w:rPr>
                <w:b/>
                <w:bCs/>
                <w:sz w:val="18"/>
                <w:szCs w:val="16"/>
                <w:lang w:eastAsia="tr-TR"/>
              </w:rPr>
            </w:pPr>
            <w:r w:rsidRPr="00005453">
              <w:rPr>
                <w:b/>
                <w:sz w:val="18"/>
                <w:szCs w:val="16"/>
                <w:lang w:eastAsia="tr-TR"/>
              </w:rPr>
              <w:t xml:space="preserve"> 1,095,389    </w:t>
            </w:r>
          </w:p>
        </w:tc>
      </w:tr>
    </w:tbl>
    <w:p w14:paraId="1A71C5BA" w14:textId="3B875EFC" w:rsidR="000C3626" w:rsidRPr="00005453" w:rsidRDefault="000C3626" w:rsidP="00617920">
      <w:pPr>
        <w:autoSpaceDE w:val="0"/>
        <w:autoSpaceDN w:val="0"/>
        <w:adjustRightInd w:val="0"/>
        <w:rPr>
          <w:b/>
          <w:bCs/>
          <w:iCs/>
          <w:sz w:val="16"/>
          <w:szCs w:val="16"/>
        </w:rPr>
      </w:pPr>
    </w:p>
    <w:p w14:paraId="19BB3701" w14:textId="76079DC9" w:rsidR="008B1E20" w:rsidRPr="00005453" w:rsidRDefault="00BD0E3C" w:rsidP="00BD0E3C">
      <w:pPr>
        <w:pStyle w:val="ListParagraph"/>
        <w:autoSpaceDE w:val="0"/>
        <w:autoSpaceDN w:val="0"/>
        <w:adjustRightInd w:val="0"/>
        <w:ind w:left="0" w:hanging="567"/>
        <w:rPr>
          <w:b/>
          <w:bCs/>
          <w:iCs/>
        </w:rPr>
      </w:pPr>
      <w:r w:rsidRPr="00005453">
        <w:rPr>
          <w:b/>
          <w:bCs/>
          <w:iCs/>
        </w:rPr>
        <w:t>2.</w:t>
      </w:r>
      <w:r w:rsidR="00731AA9" w:rsidRPr="00005453">
        <w:rPr>
          <w:b/>
          <w:bCs/>
          <w:iCs/>
        </w:rPr>
        <w:t>9</w:t>
      </w:r>
      <w:r w:rsidR="007A10B9" w:rsidRPr="00005453">
        <w:rPr>
          <w:b/>
          <w:bCs/>
          <w:iCs/>
        </w:rPr>
        <w:t>.</w:t>
      </w:r>
      <w:r w:rsidRPr="00005453">
        <w:rPr>
          <w:b/>
          <w:bCs/>
          <w:iCs/>
        </w:rPr>
        <w:tab/>
      </w:r>
      <w:r w:rsidR="00E253C8" w:rsidRPr="00005453">
        <w:rPr>
          <w:b/>
          <w:bCs/>
          <w:iCs/>
        </w:rPr>
        <w:t>Vergi borcuna ilişkin açıklamalar</w:t>
      </w:r>
    </w:p>
    <w:p w14:paraId="3E39F150" w14:textId="77777777" w:rsidR="000F096F" w:rsidRPr="00005453" w:rsidRDefault="000F096F" w:rsidP="000F096F">
      <w:pPr>
        <w:rPr>
          <w:b/>
          <w:bCs/>
          <w:iCs/>
          <w:sz w:val="16"/>
          <w:szCs w:val="16"/>
        </w:rPr>
      </w:pPr>
    </w:p>
    <w:p w14:paraId="4FEB5CA2" w14:textId="4A8B2F14" w:rsidR="000F096F" w:rsidRPr="00005453" w:rsidRDefault="00BD0E3C" w:rsidP="00BD0E3C">
      <w:pPr>
        <w:tabs>
          <w:tab w:val="num" w:pos="0"/>
          <w:tab w:val="num" w:pos="3060"/>
        </w:tabs>
        <w:autoSpaceDE w:val="0"/>
        <w:autoSpaceDN w:val="0"/>
        <w:adjustRightInd w:val="0"/>
        <w:ind w:left="709" w:hanging="1276"/>
        <w:rPr>
          <w:b/>
        </w:rPr>
      </w:pPr>
      <w:r w:rsidRPr="00005453">
        <w:rPr>
          <w:b/>
        </w:rPr>
        <w:t>2</w:t>
      </w:r>
      <w:r w:rsidR="00E253C8" w:rsidRPr="00005453">
        <w:rPr>
          <w:b/>
        </w:rPr>
        <w:t>.</w:t>
      </w:r>
      <w:r w:rsidR="00731AA9" w:rsidRPr="00005453">
        <w:rPr>
          <w:b/>
        </w:rPr>
        <w:t>9</w:t>
      </w:r>
      <w:r w:rsidRPr="00005453">
        <w:rPr>
          <w:b/>
        </w:rPr>
        <w:t>.1</w:t>
      </w:r>
      <w:r w:rsidR="007A10B9" w:rsidRPr="00005453">
        <w:rPr>
          <w:b/>
        </w:rPr>
        <w:t>.</w:t>
      </w:r>
      <w:r w:rsidR="00E253C8" w:rsidRPr="00005453">
        <w:tab/>
      </w:r>
      <w:r w:rsidR="00E253C8" w:rsidRPr="00005453">
        <w:rPr>
          <w:b/>
        </w:rPr>
        <w:t>Cari vergi borcuna ilişkin açıklamalar</w:t>
      </w:r>
    </w:p>
    <w:p w14:paraId="134D9323" w14:textId="77777777" w:rsidR="000F096F" w:rsidRPr="00005453" w:rsidRDefault="000F096F" w:rsidP="000F096F">
      <w:pPr>
        <w:ind w:firstLine="720"/>
        <w:rPr>
          <w:b/>
          <w:bCs/>
          <w:sz w:val="16"/>
          <w:szCs w:val="16"/>
        </w:rPr>
      </w:pPr>
    </w:p>
    <w:p w14:paraId="38793485" w14:textId="22404DC9" w:rsidR="00864638" w:rsidRPr="00005453" w:rsidRDefault="00717213" w:rsidP="00717213">
      <w:pPr>
        <w:ind w:hanging="567"/>
        <w:jc w:val="both"/>
        <w:rPr>
          <w:b/>
          <w:iCs/>
        </w:rPr>
      </w:pPr>
      <w:r w:rsidRPr="00005453">
        <w:rPr>
          <w:b/>
          <w:iCs/>
        </w:rPr>
        <w:t>2.</w:t>
      </w:r>
      <w:r w:rsidR="00731AA9" w:rsidRPr="00005453">
        <w:rPr>
          <w:b/>
          <w:iCs/>
        </w:rPr>
        <w:t>9</w:t>
      </w:r>
      <w:r w:rsidRPr="00005453">
        <w:rPr>
          <w:b/>
          <w:iCs/>
        </w:rPr>
        <w:t>.1.1. Vergi karşılığına ilişkin bilgiler</w:t>
      </w:r>
    </w:p>
    <w:p w14:paraId="713F3774" w14:textId="77777777" w:rsidR="00864638" w:rsidRPr="00005453" w:rsidRDefault="00864638" w:rsidP="00717213">
      <w:pPr>
        <w:ind w:hanging="567"/>
        <w:jc w:val="both"/>
        <w:rPr>
          <w:iCs/>
          <w:sz w:val="14"/>
        </w:rPr>
      </w:pPr>
    </w:p>
    <w:p w14:paraId="213F43CB" w14:textId="25B80EB0" w:rsidR="00864638" w:rsidRPr="00005453" w:rsidRDefault="00864638" w:rsidP="00864638">
      <w:pPr>
        <w:ind w:right="-1"/>
        <w:jc w:val="both"/>
        <w:rPr>
          <w:bCs/>
          <w:sz w:val="16"/>
          <w:szCs w:val="16"/>
        </w:rPr>
      </w:pPr>
      <w:r w:rsidRPr="00005453">
        <w:t xml:space="preserve">Banka'nın bilanço tarihi itibarıyla </w:t>
      </w:r>
      <w:r w:rsidR="00FE00C1" w:rsidRPr="00005453">
        <w:t>12</w:t>
      </w:r>
      <w:r w:rsidRPr="00005453">
        <w:t>,5</w:t>
      </w:r>
      <w:r w:rsidR="00FE00C1" w:rsidRPr="00005453">
        <w:t>63</w:t>
      </w:r>
      <w:r w:rsidRPr="00005453">
        <w:t>,</w:t>
      </w:r>
      <w:r w:rsidR="00FE00C1" w:rsidRPr="00005453">
        <w:t>001</w:t>
      </w:r>
      <w:r w:rsidRPr="00005453">
        <w:t xml:space="preserve"> TL tutarında kurumlar vergisi yükümlülüğü (31 Aralık 202</w:t>
      </w:r>
      <w:r w:rsidR="00E65EA3" w:rsidRPr="00005453">
        <w:t>3</w:t>
      </w:r>
      <w:r w:rsidRPr="00005453">
        <w:t xml:space="preserve">: </w:t>
      </w:r>
      <w:r w:rsidR="00E65EA3" w:rsidRPr="00005453">
        <w:t>9</w:t>
      </w:r>
      <w:r w:rsidRPr="00005453">
        <w:t>,</w:t>
      </w:r>
      <w:r w:rsidR="00E65EA3" w:rsidRPr="00005453">
        <w:t>586</w:t>
      </w:r>
      <w:r w:rsidRPr="00005453">
        <w:t>,</w:t>
      </w:r>
      <w:r w:rsidR="000461EA">
        <w:t>270</w:t>
      </w:r>
      <w:r w:rsidRPr="00005453">
        <w:t xml:space="preserve"> TL) ve 6,</w:t>
      </w:r>
      <w:r w:rsidR="00FE00C1" w:rsidRPr="00005453">
        <w:t>846</w:t>
      </w:r>
      <w:r w:rsidRPr="00005453">
        <w:t>,</w:t>
      </w:r>
      <w:r w:rsidR="00FE00C1" w:rsidRPr="00005453">
        <w:t>023</w:t>
      </w:r>
      <w:r w:rsidRPr="00005453">
        <w:t xml:space="preserve"> TL tutarında (31 Aralık 202</w:t>
      </w:r>
      <w:r w:rsidR="00E65EA3" w:rsidRPr="00005453">
        <w:t>3</w:t>
      </w:r>
      <w:r w:rsidRPr="00005453">
        <w:t xml:space="preserve">: </w:t>
      </w:r>
      <w:r w:rsidR="00E65EA3" w:rsidRPr="00005453">
        <w:t>6</w:t>
      </w:r>
      <w:r w:rsidRPr="00005453">
        <w:t>,</w:t>
      </w:r>
      <w:r w:rsidR="00E65EA3" w:rsidRPr="00005453">
        <w:t>201</w:t>
      </w:r>
      <w:r w:rsidRPr="00005453">
        <w:t>,</w:t>
      </w:r>
      <w:r w:rsidR="00E65EA3" w:rsidRPr="00005453">
        <w:t>619</w:t>
      </w:r>
      <w:r w:rsidRPr="00005453">
        <w:t xml:space="preserve"> TL) peşin ödenmiş vergisi bulunmaktadır. Banka kurumlar vergisi yükümlülüğünü ve peşin ödenmiş vergiyi finansal tablolarda net olarak göstermiştir.</w:t>
      </w:r>
    </w:p>
    <w:p w14:paraId="374D4372" w14:textId="77777777" w:rsidR="009B5129" w:rsidRPr="00005453" w:rsidRDefault="009B5129" w:rsidP="009B5129">
      <w:pPr>
        <w:ind w:hanging="567"/>
        <w:jc w:val="both"/>
        <w:rPr>
          <w:iCs/>
          <w:sz w:val="12"/>
          <w:szCs w:val="16"/>
        </w:rPr>
      </w:pPr>
    </w:p>
    <w:p w14:paraId="2A21347F" w14:textId="77777777" w:rsidR="000F096F" w:rsidRPr="00005453" w:rsidRDefault="000F096F" w:rsidP="000F096F">
      <w:pPr>
        <w:ind w:left="720"/>
        <w:rPr>
          <w:iCs/>
          <w:sz w:val="6"/>
        </w:rPr>
      </w:pPr>
    </w:p>
    <w:p w14:paraId="1F55E8F7" w14:textId="2A17C04B" w:rsidR="000F096F" w:rsidRPr="00005453" w:rsidRDefault="00B37FF0" w:rsidP="00CE25F4">
      <w:pPr>
        <w:ind w:hanging="567"/>
        <w:rPr>
          <w:iCs/>
        </w:rPr>
      </w:pPr>
      <w:proofErr w:type="gramStart"/>
      <w:r w:rsidRPr="00005453">
        <w:rPr>
          <w:b/>
          <w:iCs/>
        </w:rPr>
        <w:t>2.</w:t>
      </w:r>
      <w:r w:rsidR="00731AA9" w:rsidRPr="00005453">
        <w:rPr>
          <w:b/>
          <w:iCs/>
        </w:rPr>
        <w:t>9</w:t>
      </w:r>
      <w:r w:rsidRPr="00005453">
        <w:rPr>
          <w:b/>
          <w:iCs/>
        </w:rPr>
        <w:t>.1.2</w:t>
      </w:r>
      <w:r w:rsidR="007A10B9" w:rsidRPr="00005453">
        <w:rPr>
          <w:b/>
          <w:iCs/>
        </w:rPr>
        <w:t>.</w:t>
      </w:r>
      <w:r w:rsidRPr="00005453">
        <w:rPr>
          <w:b/>
          <w:iCs/>
        </w:rPr>
        <w:t xml:space="preserve">  </w:t>
      </w:r>
      <w:r w:rsidR="00E253C8" w:rsidRPr="00005453">
        <w:rPr>
          <w:b/>
          <w:iCs/>
        </w:rPr>
        <w:t>Ödenece</w:t>
      </w:r>
      <w:r w:rsidR="00F25BF4" w:rsidRPr="00005453">
        <w:rPr>
          <w:b/>
          <w:iCs/>
        </w:rPr>
        <w:t>k</w:t>
      </w:r>
      <w:proofErr w:type="gramEnd"/>
      <w:r w:rsidR="00F25BF4" w:rsidRPr="00005453">
        <w:rPr>
          <w:b/>
          <w:iCs/>
        </w:rPr>
        <w:t xml:space="preserve"> vergilere ilişkin bilgiler</w:t>
      </w:r>
    </w:p>
    <w:p w14:paraId="7E1A8ECD" w14:textId="102A22D7" w:rsidR="009C126C" w:rsidRPr="00005453" w:rsidRDefault="009C126C"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9C126C" w:rsidRPr="00005453" w14:paraId="2CDFC572" w14:textId="77777777" w:rsidTr="009C126C">
        <w:trPr>
          <w:divId w:val="1986927864"/>
          <w:trHeight w:val="242"/>
        </w:trPr>
        <w:tc>
          <w:tcPr>
            <w:tcW w:w="6110" w:type="dxa"/>
            <w:tcBorders>
              <w:top w:val="double" w:sz="6" w:space="0" w:color="auto"/>
              <w:left w:val="nil"/>
              <w:bottom w:val="single" w:sz="8" w:space="0" w:color="auto"/>
              <w:right w:val="nil"/>
            </w:tcBorders>
            <w:shd w:val="clear" w:color="auto" w:fill="auto"/>
            <w:vAlign w:val="center"/>
            <w:hideMark/>
          </w:tcPr>
          <w:p w14:paraId="5F77B3D1" w14:textId="60FDA7C8" w:rsidR="009C126C" w:rsidRPr="00005453" w:rsidRDefault="009C126C" w:rsidP="009C126C">
            <w:pPr>
              <w:jc w:val="center"/>
              <w:rPr>
                <w:b/>
                <w:bCs/>
                <w:color w:val="000000"/>
                <w:sz w:val="18"/>
                <w:szCs w:val="18"/>
                <w:lang w:eastAsia="tr-TR"/>
              </w:rPr>
            </w:pPr>
            <w:r w:rsidRPr="00005453">
              <w:rPr>
                <w:b/>
                <w:bCs/>
                <w:color w:val="000000"/>
                <w:sz w:val="18"/>
                <w:szCs w:val="18"/>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0E3A4161" w14:textId="77777777" w:rsidR="009C126C" w:rsidRPr="00005453" w:rsidRDefault="009C126C" w:rsidP="009C126C">
            <w:pPr>
              <w:jc w:val="right"/>
              <w:rPr>
                <w:b/>
                <w:bCs/>
                <w:color w:val="000000"/>
                <w:sz w:val="18"/>
                <w:szCs w:val="18"/>
                <w:lang w:eastAsia="tr-TR"/>
              </w:rPr>
            </w:pPr>
            <w:r w:rsidRPr="00005453">
              <w:rPr>
                <w:b/>
                <w:bCs/>
                <w:color w:val="000000"/>
                <w:sz w:val="18"/>
                <w:szCs w:val="18"/>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6BEAE1A7" w14:textId="77777777" w:rsidR="009C126C" w:rsidRPr="00005453" w:rsidRDefault="009C126C" w:rsidP="009C126C">
            <w:pPr>
              <w:jc w:val="right"/>
              <w:rPr>
                <w:b/>
                <w:bCs/>
                <w:color w:val="000000"/>
                <w:sz w:val="18"/>
                <w:szCs w:val="18"/>
                <w:lang w:eastAsia="tr-TR"/>
              </w:rPr>
            </w:pPr>
            <w:r w:rsidRPr="00005453">
              <w:rPr>
                <w:b/>
                <w:bCs/>
                <w:color w:val="000000"/>
                <w:sz w:val="18"/>
                <w:szCs w:val="18"/>
                <w:lang w:eastAsia="tr-TR"/>
              </w:rPr>
              <w:t>Önceki Dönem</w:t>
            </w:r>
          </w:p>
        </w:tc>
      </w:tr>
      <w:tr w:rsidR="00BA2DE7" w:rsidRPr="00005453" w14:paraId="29639B82" w14:textId="77777777" w:rsidTr="00BA2DE7">
        <w:trPr>
          <w:divId w:val="1986927864"/>
          <w:trHeight w:val="242"/>
        </w:trPr>
        <w:tc>
          <w:tcPr>
            <w:tcW w:w="6110" w:type="dxa"/>
            <w:tcBorders>
              <w:top w:val="nil"/>
              <w:left w:val="nil"/>
              <w:bottom w:val="nil"/>
              <w:right w:val="nil"/>
            </w:tcBorders>
            <w:shd w:val="clear" w:color="auto" w:fill="auto"/>
            <w:vAlign w:val="center"/>
            <w:hideMark/>
          </w:tcPr>
          <w:p w14:paraId="1FA670F8" w14:textId="77777777" w:rsidR="00BA2DE7" w:rsidRPr="00005453" w:rsidRDefault="00BA2DE7" w:rsidP="00BA2DE7">
            <w:pPr>
              <w:rPr>
                <w:color w:val="000000"/>
                <w:sz w:val="18"/>
                <w:szCs w:val="18"/>
                <w:lang w:eastAsia="tr-TR"/>
              </w:rPr>
            </w:pPr>
            <w:r w:rsidRPr="00005453">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4F48A9AB" w14:textId="2810849E" w:rsidR="00BA2DE7" w:rsidRPr="00005453" w:rsidRDefault="00BA2DE7" w:rsidP="00BA2DE7">
            <w:pPr>
              <w:jc w:val="right"/>
              <w:rPr>
                <w:color w:val="000000"/>
                <w:sz w:val="18"/>
                <w:szCs w:val="18"/>
                <w:lang w:eastAsia="tr-TR"/>
              </w:rPr>
            </w:pPr>
            <w:r w:rsidRPr="00005453">
              <w:rPr>
                <w:sz w:val="18"/>
                <w:szCs w:val="18"/>
              </w:rPr>
              <w:t>755,307</w:t>
            </w:r>
          </w:p>
        </w:tc>
        <w:tc>
          <w:tcPr>
            <w:tcW w:w="1419" w:type="dxa"/>
            <w:tcBorders>
              <w:top w:val="nil"/>
              <w:left w:val="nil"/>
              <w:bottom w:val="nil"/>
              <w:right w:val="nil"/>
            </w:tcBorders>
            <w:shd w:val="clear" w:color="auto" w:fill="auto"/>
            <w:vAlign w:val="center"/>
            <w:hideMark/>
          </w:tcPr>
          <w:p w14:paraId="31A1DB37" w14:textId="51038E4B" w:rsidR="00BA2DE7" w:rsidRPr="00005453" w:rsidRDefault="00BA2DE7" w:rsidP="00BA2DE7">
            <w:pPr>
              <w:jc w:val="right"/>
              <w:rPr>
                <w:color w:val="000000"/>
                <w:sz w:val="18"/>
                <w:szCs w:val="18"/>
                <w:lang w:eastAsia="tr-TR"/>
              </w:rPr>
            </w:pPr>
            <w:r w:rsidRPr="00005453">
              <w:rPr>
                <w:sz w:val="18"/>
                <w:szCs w:val="18"/>
              </w:rPr>
              <w:t>97,908</w:t>
            </w:r>
          </w:p>
        </w:tc>
      </w:tr>
      <w:tr w:rsidR="00BA2DE7" w:rsidRPr="00005453" w14:paraId="0D34B53F" w14:textId="77777777" w:rsidTr="00BA2DE7">
        <w:trPr>
          <w:divId w:val="1986927864"/>
          <w:trHeight w:val="242"/>
        </w:trPr>
        <w:tc>
          <w:tcPr>
            <w:tcW w:w="6110" w:type="dxa"/>
            <w:tcBorders>
              <w:top w:val="nil"/>
              <w:left w:val="nil"/>
              <w:bottom w:val="nil"/>
              <w:right w:val="nil"/>
            </w:tcBorders>
            <w:shd w:val="clear" w:color="auto" w:fill="auto"/>
            <w:vAlign w:val="center"/>
            <w:hideMark/>
          </w:tcPr>
          <w:p w14:paraId="6D518B7D" w14:textId="77777777" w:rsidR="00BA2DE7" w:rsidRPr="00005453" w:rsidRDefault="00BA2DE7" w:rsidP="00BA2DE7">
            <w:pPr>
              <w:rPr>
                <w:color w:val="000000"/>
                <w:sz w:val="18"/>
                <w:szCs w:val="18"/>
                <w:lang w:eastAsia="tr-TR"/>
              </w:rPr>
            </w:pPr>
            <w:r w:rsidRPr="00005453">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6C611C44" w14:textId="0424581B" w:rsidR="00BA2DE7" w:rsidRPr="00005453" w:rsidRDefault="00BA2DE7" w:rsidP="00BA2DE7">
            <w:pPr>
              <w:jc w:val="right"/>
              <w:rPr>
                <w:color w:val="000000"/>
                <w:sz w:val="18"/>
                <w:szCs w:val="18"/>
                <w:lang w:eastAsia="tr-TR"/>
              </w:rPr>
            </w:pPr>
            <w:r w:rsidRPr="00005453">
              <w:rPr>
                <w:sz w:val="18"/>
                <w:szCs w:val="18"/>
              </w:rPr>
              <w:t>9,532</w:t>
            </w:r>
          </w:p>
        </w:tc>
        <w:tc>
          <w:tcPr>
            <w:tcW w:w="1419" w:type="dxa"/>
            <w:tcBorders>
              <w:top w:val="nil"/>
              <w:left w:val="nil"/>
              <w:bottom w:val="nil"/>
              <w:right w:val="nil"/>
            </w:tcBorders>
            <w:shd w:val="clear" w:color="auto" w:fill="auto"/>
            <w:vAlign w:val="center"/>
            <w:hideMark/>
          </w:tcPr>
          <w:p w14:paraId="64863F3B" w14:textId="3306403C" w:rsidR="00BA2DE7" w:rsidRPr="00005453" w:rsidRDefault="00BA2DE7" w:rsidP="00BA2DE7">
            <w:pPr>
              <w:jc w:val="right"/>
              <w:rPr>
                <w:color w:val="000000"/>
                <w:sz w:val="18"/>
                <w:szCs w:val="18"/>
                <w:lang w:eastAsia="tr-TR"/>
              </w:rPr>
            </w:pPr>
            <w:r w:rsidRPr="00005453">
              <w:rPr>
                <w:sz w:val="18"/>
                <w:szCs w:val="18"/>
              </w:rPr>
              <w:t>5,524</w:t>
            </w:r>
          </w:p>
        </w:tc>
      </w:tr>
      <w:tr w:rsidR="00BA2DE7" w:rsidRPr="00005453" w14:paraId="301BB035" w14:textId="77777777" w:rsidTr="00BA2DE7">
        <w:trPr>
          <w:divId w:val="1986927864"/>
          <w:trHeight w:val="242"/>
        </w:trPr>
        <w:tc>
          <w:tcPr>
            <w:tcW w:w="6110" w:type="dxa"/>
            <w:tcBorders>
              <w:top w:val="nil"/>
              <w:left w:val="nil"/>
              <w:bottom w:val="nil"/>
              <w:right w:val="nil"/>
            </w:tcBorders>
            <w:shd w:val="clear" w:color="auto" w:fill="auto"/>
            <w:vAlign w:val="center"/>
            <w:hideMark/>
          </w:tcPr>
          <w:p w14:paraId="3A19DA33" w14:textId="606B4591" w:rsidR="00BA2DE7" w:rsidRPr="00005453" w:rsidRDefault="00BA2DE7" w:rsidP="00BA2DE7">
            <w:pPr>
              <w:rPr>
                <w:color w:val="000000"/>
                <w:sz w:val="18"/>
                <w:szCs w:val="18"/>
                <w:lang w:eastAsia="tr-TR"/>
              </w:rPr>
            </w:pPr>
            <w:r w:rsidRPr="00005453">
              <w:rPr>
                <w:sz w:val="18"/>
                <w:szCs w:val="18"/>
              </w:rPr>
              <w:t>Banka ve Sigorta Muameleleri Vergisi</w:t>
            </w:r>
          </w:p>
        </w:tc>
        <w:tc>
          <w:tcPr>
            <w:tcW w:w="1579" w:type="dxa"/>
            <w:tcBorders>
              <w:top w:val="nil"/>
              <w:left w:val="nil"/>
              <w:bottom w:val="nil"/>
              <w:right w:val="nil"/>
            </w:tcBorders>
            <w:shd w:val="clear" w:color="auto" w:fill="auto"/>
            <w:vAlign w:val="center"/>
            <w:hideMark/>
          </w:tcPr>
          <w:p w14:paraId="0CD4A5BB" w14:textId="29FF9D95" w:rsidR="00BA2DE7" w:rsidRPr="00005453" w:rsidRDefault="00BA2DE7" w:rsidP="00BA2DE7">
            <w:pPr>
              <w:jc w:val="right"/>
              <w:rPr>
                <w:color w:val="000000"/>
                <w:sz w:val="18"/>
                <w:szCs w:val="18"/>
                <w:lang w:eastAsia="tr-TR"/>
              </w:rPr>
            </w:pPr>
            <w:r w:rsidRPr="00005453">
              <w:rPr>
                <w:sz w:val="18"/>
                <w:szCs w:val="18"/>
              </w:rPr>
              <w:t>510,165</w:t>
            </w:r>
          </w:p>
        </w:tc>
        <w:tc>
          <w:tcPr>
            <w:tcW w:w="1419" w:type="dxa"/>
            <w:tcBorders>
              <w:top w:val="nil"/>
              <w:left w:val="nil"/>
              <w:bottom w:val="nil"/>
              <w:right w:val="nil"/>
            </w:tcBorders>
            <w:shd w:val="clear" w:color="auto" w:fill="auto"/>
            <w:vAlign w:val="center"/>
            <w:hideMark/>
          </w:tcPr>
          <w:p w14:paraId="54E6AA2F" w14:textId="1CCA9E07" w:rsidR="00BA2DE7" w:rsidRPr="00005453" w:rsidRDefault="00BA2DE7" w:rsidP="00BA2DE7">
            <w:pPr>
              <w:jc w:val="right"/>
              <w:rPr>
                <w:color w:val="000000"/>
                <w:sz w:val="18"/>
                <w:szCs w:val="18"/>
                <w:lang w:eastAsia="tr-TR"/>
              </w:rPr>
            </w:pPr>
            <w:r w:rsidRPr="00005453">
              <w:rPr>
                <w:sz w:val="18"/>
                <w:szCs w:val="18"/>
              </w:rPr>
              <w:t>244,771</w:t>
            </w:r>
          </w:p>
        </w:tc>
      </w:tr>
      <w:tr w:rsidR="00BA2DE7" w:rsidRPr="00005453" w14:paraId="7F380B7D" w14:textId="77777777" w:rsidTr="00BA2DE7">
        <w:trPr>
          <w:divId w:val="1986927864"/>
          <w:trHeight w:val="242"/>
        </w:trPr>
        <w:tc>
          <w:tcPr>
            <w:tcW w:w="6110" w:type="dxa"/>
            <w:tcBorders>
              <w:top w:val="nil"/>
              <w:left w:val="nil"/>
              <w:bottom w:val="nil"/>
              <w:right w:val="nil"/>
            </w:tcBorders>
            <w:shd w:val="clear" w:color="auto" w:fill="auto"/>
            <w:vAlign w:val="center"/>
            <w:hideMark/>
          </w:tcPr>
          <w:p w14:paraId="3143A0A5" w14:textId="552D6947" w:rsidR="00BA2DE7" w:rsidRPr="00005453" w:rsidRDefault="00BA2DE7" w:rsidP="00BA2DE7">
            <w:pPr>
              <w:rPr>
                <w:color w:val="000000"/>
                <w:sz w:val="18"/>
                <w:szCs w:val="18"/>
                <w:lang w:eastAsia="tr-TR"/>
              </w:rPr>
            </w:pPr>
            <w:r w:rsidRPr="00005453">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0A76A70C" w14:textId="7F4BF2EA" w:rsidR="00BA2DE7" w:rsidRPr="00005453" w:rsidRDefault="00BA2DE7" w:rsidP="00BA2DE7">
            <w:pPr>
              <w:jc w:val="right"/>
              <w:rPr>
                <w:color w:val="000000"/>
                <w:sz w:val="18"/>
                <w:szCs w:val="18"/>
                <w:lang w:eastAsia="tr-TR"/>
              </w:rPr>
            </w:pPr>
            <w:r w:rsidRPr="00005453">
              <w:rPr>
                <w:sz w:val="18"/>
                <w:szCs w:val="18"/>
              </w:rPr>
              <w:t>27,737</w:t>
            </w:r>
          </w:p>
        </w:tc>
        <w:tc>
          <w:tcPr>
            <w:tcW w:w="1419" w:type="dxa"/>
            <w:tcBorders>
              <w:top w:val="nil"/>
              <w:left w:val="nil"/>
              <w:bottom w:val="nil"/>
              <w:right w:val="nil"/>
            </w:tcBorders>
            <w:shd w:val="clear" w:color="auto" w:fill="auto"/>
            <w:vAlign w:val="center"/>
            <w:hideMark/>
          </w:tcPr>
          <w:p w14:paraId="04F32751" w14:textId="0FBB034C" w:rsidR="00BA2DE7" w:rsidRPr="00005453" w:rsidRDefault="00BA2DE7" w:rsidP="00BA2DE7">
            <w:pPr>
              <w:jc w:val="right"/>
              <w:rPr>
                <w:color w:val="000000"/>
                <w:sz w:val="18"/>
                <w:szCs w:val="18"/>
                <w:lang w:eastAsia="tr-TR"/>
              </w:rPr>
            </w:pPr>
            <w:r w:rsidRPr="00005453">
              <w:rPr>
                <w:sz w:val="18"/>
                <w:szCs w:val="18"/>
              </w:rPr>
              <w:t>24,591</w:t>
            </w:r>
          </w:p>
        </w:tc>
      </w:tr>
      <w:tr w:rsidR="00BA2DE7" w:rsidRPr="00005453" w14:paraId="0B2A504E" w14:textId="77777777" w:rsidTr="00BA2DE7">
        <w:trPr>
          <w:divId w:val="1986927864"/>
          <w:trHeight w:val="242"/>
        </w:trPr>
        <w:tc>
          <w:tcPr>
            <w:tcW w:w="6110" w:type="dxa"/>
            <w:tcBorders>
              <w:top w:val="nil"/>
              <w:left w:val="nil"/>
              <w:bottom w:val="nil"/>
              <w:right w:val="nil"/>
            </w:tcBorders>
            <w:shd w:val="clear" w:color="auto" w:fill="auto"/>
            <w:vAlign w:val="center"/>
            <w:hideMark/>
          </w:tcPr>
          <w:p w14:paraId="241DBC0A" w14:textId="77777777" w:rsidR="00BA2DE7" w:rsidRPr="00005453" w:rsidRDefault="00BA2DE7" w:rsidP="00BA2DE7">
            <w:pPr>
              <w:rPr>
                <w:color w:val="000000"/>
                <w:sz w:val="18"/>
                <w:szCs w:val="18"/>
                <w:lang w:eastAsia="tr-TR"/>
              </w:rPr>
            </w:pPr>
            <w:r w:rsidRPr="00005453">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23C38867" w14:textId="32086505" w:rsidR="00BA2DE7" w:rsidRPr="00005453" w:rsidRDefault="00BA2DE7" w:rsidP="00BA2DE7">
            <w:pPr>
              <w:jc w:val="right"/>
              <w:rPr>
                <w:color w:val="000000"/>
                <w:sz w:val="18"/>
                <w:szCs w:val="18"/>
                <w:lang w:eastAsia="tr-TR"/>
              </w:rPr>
            </w:pPr>
            <w:r w:rsidRPr="00005453">
              <w:rPr>
                <w:sz w:val="18"/>
                <w:szCs w:val="18"/>
              </w:rPr>
              <w:t>42,622</w:t>
            </w:r>
          </w:p>
        </w:tc>
        <w:tc>
          <w:tcPr>
            <w:tcW w:w="1419" w:type="dxa"/>
            <w:tcBorders>
              <w:top w:val="nil"/>
              <w:left w:val="nil"/>
              <w:bottom w:val="nil"/>
              <w:right w:val="nil"/>
            </w:tcBorders>
            <w:shd w:val="clear" w:color="auto" w:fill="auto"/>
            <w:vAlign w:val="center"/>
            <w:hideMark/>
          </w:tcPr>
          <w:p w14:paraId="1F5496CF" w14:textId="318E2DE7" w:rsidR="00BA2DE7" w:rsidRPr="00005453" w:rsidRDefault="00BA2DE7" w:rsidP="00BA2DE7">
            <w:pPr>
              <w:jc w:val="right"/>
              <w:rPr>
                <w:color w:val="000000"/>
                <w:sz w:val="18"/>
                <w:szCs w:val="18"/>
                <w:lang w:eastAsia="tr-TR"/>
              </w:rPr>
            </w:pPr>
            <w:r w:rsidRPr="00005453">
              <w:rPr>
                <w:sz w:val="18"/>
                <w:szCs w:val="18"/>
              </w:rPr>
              <w:t>30,802</w:t>
            </w:r>
          </w:p>
        </w:tc>
      </w:tr>
      <w:tr w:rsidR="00BA2DE7" w:rsidRPr="00005453" w14:paraId="78CD2500" w14:textId="77777777" w:rsidTr="00BA2DE7">
        <w:trPr>
          <w:divId w:val="1986927864"/>
          <w:trHeight w:val="242"/>
        </w:trPr>
        <w:tc>
          <w:tcPr>
            <w:tcW w:w="6110" w:type="dxa"/>
            <w:tcBorders>
              <w:top w:val="nil"/>
              <w:left w:val="nil"/>
              <w:bottom w:val="nil"/>
              <w:right w:val="nil"/>
            </w:tcBorders>
            <w:shd w:val="clear" w:color="auto" w:fill="auto"/>
            <w:vAlign w:val="center"/>
            <w:hideMark/>
          </w:tcPr>
          <w:p w14:paraId="7157704A" w14:textId="77777777" w:rsidR="00BA2DE7" w:rsidRPr="00005453" w:rsidRDefault="00BA2DE7" w:rsidP="00BA2DE7">
            <w:pPr>
              <w:rPr>
                <w:color w:val="000000"/>
                <w:sz w:val="18"/>
                <w:szCs w:val="18"/>
                <w:lang w:eastAsia="tr-TR"/>
              </w:rPr>
            </w:pPr>
            <w:r w:rsidRPr="00005453">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427BAA50" w14:textId="49DB01DE" w:rsidR="00BA2DE7" w:rsidRPr="00005453" w:rsidRDefault="00BA2DE7" w:rsidP="00BA2DE7">
            <w:pPr>
              <w:jc w:val="right"/>
              <w:rPr>
                <w:color w:val="000000"/>
                <w:sz w:val="18"/>
                <w:szCs w:val="18"/>
                <w:lang w:eastAsia="tr-TR"/>
              </w:rPr>
            </w:pPr>
            <w:r w:rsidRPr="00005453">
              <w:rPr>
                <w:sz w:val="18"/>
                <w:szCs w:val="18"/>
              </w:rPr>
              <w:t>194,158</w:t>
            </w:r>
          </w:p>
        </w:tc>
        <w:tc>
          <w:tcPr>
            <w:tcW w:w="1419" w:type="dxa"/>
            <w:tcBorders>
              <w:top w:val="nil"/>
              <w:left w:val="nil"/>
              <w:bottom w:val="nil"/>
              <w:right w:val="nil"/>
            </w:tcBorders>
            <w:shd w:val="clear" w:color="auto" w:fill="auto"/>
            <w:vAlign w:val="center"/>
            <w:hideMark/>
          </w:tcPr>
          <w:p w14:paraId="1D419A67" w14:textId="77BECD3C" w:rsidR="00BA2DE7" w:rsidRPr="00005453" w:rsidRDefault="00BA2DE7" w:rsidP="00BA2DE7">
            <w:pPr>
              <w:jc w:val="right"/>
              <w:rPr>
                <w:color w:val="000000"/>
                <w:sz w:val="18"/>
                <w:szCs w:val="18"/>
                <w:lang w:eastAsia="tr-TR"/>
              </w:rPr>
            </w:pPr>
            <w:r w:rsidRPr="00005453">
              <w:rPr>
                <w:sz w:val="18"/>
                <w:szCs w:val="18"/>
              </w:rPr>
              <w:t>100,916</w:t>
            </w:r>
          </w:p>
        </w:tc>
      </w:tr>
      <w:tr w:rsidR="00BA2DE7" w:rsidRPr="00005453" w14:paraId="0D843902" w14:textId="77777777" w:rsidTr="00BA2DE7">
        <w:trPr>
          <w:divId w:val="1986927864"/>
          <w:trHeight w:val="257"/>
        </w:trPr>
        <w:tc>
          <w:tcPr>
            <w:tcW w:w="6110" w:type="dxa"/>
            <w:tcBorders>
              <w:top w:val="nil"/>
              <w:left w:val="nil"/>
              <w:bottom w:val="nil"/>
              <w:right w:val="nil"/>
            </w:tcBorders>
            <w:shd w:val="clear" w:color="auto" w:fill="auto"/>
            <w:vAlign w:val="center"/>
          </w:tcPr>
          <w:p w14:paraId="53A7CEF3" w14:textId="1DE746BF" w:rsidR="00BA2DE7" w:rsidRPr="00005453" w:rsidRDefault="00BA2DE7" w:rsidP="00BA2DE7">
            <w:pPr>
              <w:rPr>
                <w:color w:val="000000"/>
                <w:sz w:val="18"/>
                <w:szCs w:val="18"/>
                <w:lang w:eastAsia="tr-TR"/>
              </w:rPr>
            </w:pPr>
            <w:r w:rsidRPr="00005453">
              <w:rPr>
                <w:color w:val="000000"/>
                <w:sz w:val="18"/>
                <w:szCs w:val="18"/>
                <w:lang w:eastAsia="tr-TR"/>
              </w:rPr>
              <w:t>Ödenecek gelir vergisi</w:t>
            </w:r>
          </w:p>
        </w:tc>
        <w:tc>
          <w:tcPr>
            <w:tcW w:w="1579" w:type="dxa"/>
            <w:tcBorders>
              <w:top w:val="nil"/>
              <w:left w:val="nil"/>
              <w:bottom w:val="nil"/>
              <w:right w:val="nil"/>
            </w:tcBorders>
            <w:shd w:val="clear" w:color="auto" w:fill="auto"/>
            <w:vAlign w:val="center"/>
          </w:tcPr>
          <w:p w14:paraId="67BB3264" w14:textId="3EC31F0F" w:rsidR="00BA2DE7" w:rsidRPr="00005453" w:rsidRDefault="00BA2DE7" w:rsidP="00BA2DE7">
            <w:pPr>
              <w:jc w:val="right"/>
              <w:rPr>
                <w:color w:val="000000"/>
                <w:sz w:val="18"/>
                <w:szCs w:val="18"/>
              </w:rPr>
            </w:pPr>
            <w:r w:rsidRPr="00005453">
              <w:rPr>
                <w:sz w:val="18"/>
                <w:szCs w:val="18"/>
              </w:rPr>
              <w:t>-</w:t>
            </w:r>
          </w:p>
        </w:tc>
        <w:tc>
          <w:tcPr>
            <w:tcW w:w="1419" w:type="dxa"/>
            <w:tcBorders>
              <w:top w:val="nil"/>
              <w:left w:val="nil"/>
              <w:bottom w:val="nil"/>
              <w:right w:val="nil"/>
            </w:tcBorders>
            <w:shd w:val="clear" w:color="auto" w:fill="auto"/>
            <w:vAlign w:val="center"/>
          </w:tcPr>
          <w:p w14:paraId="138918AC" w14:textId="09E91822" w:rsidR="00BA2DE7" w:rsidRPr="00005453" w:rsidRDefault="00BA2DE7" w:rsidP="00BA2DE7">
            <w:pPr>
              <w:jc w:val="right"/>
              <w:rPr>
                <w:color w:val="000000"/>
                <w:sz w:val="18"/>
                <w:szCs w:val="18"/>
              </w:rPr>
            </w:pPr>
            <w:r w:rsidRPr="00005453">
              <w:rPr>
                <w:sz w:val="18"/>
                <w:szCs w:val="18"/>
              </w:rPr>
              <w:t>126,672</w:t>
            </w:r>
          </w:p>
        </w:tc>
      </w:tr>
      <w:tr w:rsidR="00BA2DE7" w:rsidRPr="00005453" w14:paraId="49A8AAC0" w14:textId="77777777" w:rsidTr="00BA2DE7">
        <w:trPr>
          <w:divId w:val="1986927864"/>
          <w:trHeight w:val="257"/>
        </w:trPr>
        <w:tc>
          <w:tcPr>
            <w:tcW w:w="6110" w:type="dxa"/>
            <w:tcBorders>
              <w:top w:val="nil"/>
              <w:left w:val="nil"/>
              <w:bottom w:val="nil"/>
              <w:right w:val="nil"/>
            </w:tcBorders>
            <w:shd w:val="clear" w:color="auto" w:fill="auto"/>
            <w:vAlign w:val="center"/>
            <w:hideMark/>
          </w:tcPr>
          <w:p w14:paraId="71116B0E" w14:textId="77777777" w:rsidR="00BA2DE7" w:rsidRPr="00005453" w:rsidRDefault="00BA2DE7" w:rsidP="00BA2DE7">
            <w:pPr>
              <w:rPr>
                <w:color w:val="000000"/>
                <w:sz w:val="18"/>
                <w:szCs w:val="18"/>
                <w:lang w:eastAsia="tr-TR"/>
              </w:rPr>
            </w:pPr>
            <w:r w:rsidRPr="00005453">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4444F43E" w14:textId="2046F840" w:rsidR="00BA2DE7" w:rsidRPr="00005453" w:rsidRDefault="00BA2DE7" w:rsidP="00BA2DE7">
            <w:pPr>
              <w:jc w:val="right"/>
              <w:rPr>
                <w:color w:val="000000"/>
                <w:sz w:val="18"/>
                <w:szCs w:val="18"/>
                <w:lang w:eastAsia="tr-TR"/>
              </w:rPr>
            </w:pPr>
            <w:r w:rsidRPr="00005453">
              <w:rPr>
                <w:color w:val="000000"/>
                <w:sz w:val="18"/>
                <w:szCs w:val="18"/>
              </w:rPr>
              <w:t>12,333</w:t>
            </w:r>
          </w:p>
        </w:tc>
        <w:tc>
          <w:tcPr>
            <w:tcW w:w="1419" w:type="dxa"/>
            <w:tcBorders>
              <w:top w:val="nil"/>
              <w:left w:val="nil"/>
              <w:bottom w:val="nil"/>
              <w:right w:val="nil"/>
            </w:tcBorders>
            <w:shd w:val="clear" w:color="auto" w:fill="auto"/>
            <w:vAlign w:val="center"/>
            <w:hideMark/>
          </w:tcPr>
          <w:p w14:paraId="245AC79D" w14:textId="59594684" w:rsidR="00BA2DE7" w:rsidRPr="00005453" w:rsidRDefault="00BA2DE7" w:rsidP="00BA2DE7">
            <w:pPr>
              <w:jc w:val="right"/>
              <w:rPr>
                <w:color w:val="000000"/>
                <w:sz w:val="18"/>
                <w:szCs w:val="18"/>
                <w:lang w:eastAsia="tr-TR"/>
              </w:rPr>
            </w:pPr>
            <w:r w:rsidRPr="00005453">
              <w:rPr>
                <w:color w:val="000000"/>
                <w:sz w:val="18"/>
                <w:szCs w:val="18"/>
              </w:rPr>
              <w:t>6,248</w:t>
            </w:r>
          </w:p>
        </w:tc>
      </w:tr>
      <w:tr w:rsidR="00BA2DE7" w:rsidRPr="00005453" w14:paraId="28C3220A" w14:textId="77777777" w:rsidTr="00BA2DE7">
        <w:trPr>
          <w:divId w:val="1986927864"/>
          <w:trHeight w:val="242"/>
        </w:trPr>
        <w:tc>
          <w:tcPr>
            <w:tcW w:w="6110" w:type="dxa"/>
            <w:tcBorders>
              <w:top w:val="single" w:sz="8" w:space="0" w:color="auto"/>
              <w:left w:val="nil"/>
              <w:bottom w:val="double" w:sz="6" w:space="0" w:color="auto"/>
              <w:right w:val="nil"/>
            </w:tcBorders>
            <w:shd w:val="clear" w:color="auto" w:fill="auto"/>
            <w:vAlign w:val="center"/>
            <w:hideMark/>
          </w:tcPr>
          <w:p w14:paraId="66AB63FC" w14:textId="77777777" w:rsidR="00BA2DE7" w:rsidRPr="00005453" w:rsidRDefault="00BA2DE7" w:rsidP="00BA2DE7">
            <w:pPr>
              <w:jc w:val="both"/>
              <w:rPr>
                <w:b/>
                <w:bCs/>
                <w:color w:val="000000"/>
                <w:sz w:val="18"/>
                <w:szCs w:val="18"/>
                <w:lang w:eastAsia="tr-TR"/>
              </w:rPr>
            </w:pPr>
            <w:r w:rsidRPr="00005453">
              <w:rPr>
                <w:b/>
                <w:bCs/>
                <w:color w:val="000000"/>
                <w:sz w:val="18"/>
                <w:szCs w:val="18"/>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5827AB63" w14:textId="7132A0A4" w:rsidR="00BA2DE7" w:rsidRPr="00005453" w:rsidRDefault="00BA2DE7" w:rsidP="00BA2DE7">
            <w:pPr>
              <w:jc w:val="right"/>
              <w:rPr>
                <w:b/>
                <w:bCs/>
                <w:color w:val="000000"/>
                <w:sz w:val="18"/>
                <w:szCs w:val="18"/>
                <w:lang w:eastAsia="tr-TR"/>
              </w:rPr>
            </w:pPr>
            <w:r w:rsidRPr="00005453">
              <w:rPr>
                <w:b/>
                <w:bCs/>
                <w:sz w:val="18"/>
                <w:szCs w:val="18"/>
              </w:rPr>
              <w:t>1,551,854</w:t>
            </w:r>
          </w:p>
        </w:tc>
        <w:tc>
          <w:tcPr>
            <w:tcW w:w="1419" w:type="dxa"/>
            <w:tcBorders>
              <w:top w:val="single" w:sz="8" w:space="0" w:color="auto"/>
              <w:left w:val="nil"/>
              <w:bottom w:val="double" w:sz="6" w:space="0" w:color="auto"/>
              <w:right w:val="nil"/>
            </w:tcBorders>
            <w:shd w:val="clear" w:color="auto" w:fill="auto"/>
            <w:vAlign w:val="center"/>
            <w:hideMark/>
          </w:tcPr>
          <w:p w14:paraId="04E6E3F0" w14:textId="1B3847D0" w:rsidR="00BA2DE7" w:rsidRPr="00005453" w:rsidRDefault="00BA2DE7" w:rsidP="00BA2DE7">
            <w:pPr>
              <w:jc w:val="right"/>
              <w:rPr>
                <w:b/>
                <w:bCs/>
                <w:color w:val="000000"/>
                <w:sz w:val="18"/>
                <w:szCs w:val="18"/>
                <w:lang w:eastAsia="tr-TR"/>
              </w:rPr>
            </w:pPr>
            <w:r w:rsidRPr="00005453">
              <w:rPr>
                <w:b/>
                <w:bCs/>
                <w:sz w:val="18"/>
                <w:szCs w:val="18"/>
              </w:rPr>
              <w:t>637,432</w:t>
            </w:r>
          </w:p>
        </w:tc>
      </w:tr>
    </w:tbl>
    <w:p w14:paraId="59639D1C" w14:textId="0A924EB6" w:rsidR="00363252" w:rsidRPr="00005453" w:rsidRDefault="00363252" w:rsidP="0054735C">
      <w:pPr>
        <w:rPr>
          <w:iCs/>
          <w:sz w:val="16"/>
          <w:szCs w:val="16"/>
        </w:rPr>
      </w:pPr>
    </w:p>
    <w:p w14:paraId="0B394FFD" w14:textId="77777777" w:rsidR="00A7690F" w:rsidRPr="00005453" w:rsidRDefault="00A7690F" w:rsidP="00B37FF0">
      <w:pPr>
        <w:ind w:hanging="567"/>
        <w:rPr>
          <w:iCs/>
          <w:sz w:val="16"/>
          <w:szCs w:val="16"/>
        </w:rPr>
        <w:sectPr w:rsidR="00A7690F" w:rsidRPr="00005453" w:rsidSect="00475153">
          <w:pgSz w:w="11906" w:h="16838"/>
          <w:pgMar w:top="1417" w:right="1133" w:bottom="1438" w:left="1560" w:header="708" w:footer="708" w:gutter="0"/>
          <w:cols w:space="708"/>
          <w:docGrid w:linePitch="360"/>
        </w:sectPr>
      </w:pPr>
    </w:p>
    <w:p w14:paraId="5D8F2665" w14:textId="5BE255B0" w:rsidR="00201D41" w:rsidRPr="00005453" w:rsidRDefault="00B37FF0" w:rsidP="00B37FF0">
      <w:pPr>
        <w:ind w:hanging="567"/>
        <w:rPr>
          <w:iCs/>
        </w:rPr>
      </w:pPr>
      <w:proofErr w:type="gramStart"/>
      <w:r w:rsidRPr="00005453">
        <w:rPr>
          <w:b/>
          <w:iCs/>
        </w:rPr>
        <w:lastRenderedPageBreak/>
        <w:t>2.</w:t>
      </w:r>
      <w:r w:rsidR="00731AA9" w:rsidRPr="00005453">
        <w:rPr>
          <w:b/>
          <w:iCs/>
        </w:rPr>
        <w:t>9</w:t>
      </w:r>
      <w:r w:rsidRPr="00005453">
        <w:rPr>
          <w:b/>
          <w:iCs/>
        </w:rPr>
        <w:t>.1.3</w:t>
      </w:r>
      <w:r w:rsidR="007A10B9" w:rsidRPr="00005453">
        <w:rPr>
          <w:b/>
          <w:iCs/>
        </w:rPr>
        <w:t>.</w:t>
      </w:r>
      <w:r w:rsidRPr="00005453">
        <w:rPr>
          <w:iCs/>
        </w:rPr>
        <w:t xml:space="preserve">  </w:t>
      </w:r>
      <w:r w:rsidR="00201D41" w:rsidRPr="00005453">
        <w:rPr>
          <w:b/>
          <w:iCs/>
        </w:rPr>
        <w:t>Primlere</w:t>
      </w:r>
      <w:proofErr w:type="gramEnd"/>
      <w:r w:rsidR="00201D41" w:rsidRPr="00005453">
        <w:rPr>
          <w:b/>
          <w:iCs/>
        </w:rPr>
        <w:t xml:space="preserve"> ilişkin bilgiler (*)</w:t>
      </w:r>
    </w:p>
    <w:p w14:paraId="7502BC69" w14:textId="467F12CB" w:rsidR="009C126C" w:rsidRPr="00005453" w:rsidRDefault="009C126C" w:rsidP="00885E1C">
      <w:pPr>
        <w:ind w:left="540"/>
        <w:rPr>
          <w:sz w:val="14"/>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9C126C" w:rsidRPr="00005453" w14:paraId="3C1E8B80" w14:textId="77777777" w:rsidTr="009C126C">
        <w:trPr>
          <w:divId w:val="1973632217"/>
          <w:trHeight w:val="248"/>
        </w:trPr>
        <w:tc>
          <w:tcPr>
            <w:tcW w:w="6087" w:type="dxa"/>
            <w:tcBorders>
              <w:top w:val="double" w:sz="6" w:space="0" w:color="auto"/>
              <w:left w:val="nil"/>
              <w:bottom w:val="single" w:sz="8" w:space="0" w:color="auto"/>
              <w:right w:val="nil"/>
            </w:tcBorders>
            <w:shd w:val="clear" w:color="auto" w:fill="auto"/>
            <w:vAlign w:val="center"/>
            <w:hideMark/>
          </w:tcPr>
          <w:p w14:paraId="72291007" w14:textId="1157EBEE" w:rsidR="009C126C" w:rsidRPr="00005453" w:rsidRDefault="009C126C" w:rsidP="009C126C">
            <w:pPr>
              <w:jc w:val="center"/>
              <w:rPr>
                <w:b/>
                <w:bCs/>
                <w:color w:val="000000"/>
                <w:sz w:val="18"/>
                <w:szCs w:val="18"/>
                <w:lang w:eastAsia="tr-TR"/>
              </w:rPr>
            </w:pPr>
            <w:r w:rsidRPr="00005453">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2C58D494" w14:textId="77777777" w:rsidR="009C126C" w:rsidRPr="00005453" w:rsidRDefault="009C126C" w:rsidP="009C126C">
            <w:pPr>
              <w:jc w:val="right"/>
              <w:rPr>
                <w:b/>
                <w:bCs/>
                <w:color w:val="000000"/>
                <w:sz w:val="18"/>
                <w:szCs w:val="18"/>
                <w:lang w:eastAsia="tr-TR"/>
              </w:rPr>
            </w:pPr>
            <w:r w:rsidRPr="00005453">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66E00B4E" w14:textId="77777777" w:rsidR="009C126C" w:rsidRPr="00005453" w:rsidRDefault="009C126C" w:rsidP="009C126C">
            <w:pPr>
              <w:jc w:val="right"/>
              <w:rPr>
                <w:b/>
                <w:bCs/>
                <w:color w:val="000000"/>
                <w:sz w:val="18"/>
                <w:szCs w:val="18"/>
                <w:lang w:eastAsia="tr-TR"/>
              </w:rPr>
            </w:pPr>
            <w:r w:rsidRPr="00005453">
              <w:rPr>
                <w:b/>
                <w:bCs/>
                <w:color w:val="000000"/>
                <w:sz w:val="18"/>
                <w:szCs w:val="18"/>
                <w:lang w:eastAsia="tr-TR"/>
              </w:rPr>
              <w:t>Önceki Dönem</w:t>
            </w:r>
          </w:p>
        </w:tc>
      </w:tr>
      <w:tr w:rsidR="002F689C" w:rsidRPr="00005453" w14:paraId="400D7BE0" w14:textId="77777777" w:rsidTr="002F689C">
        <w:trPr>
          <w:divId w:val="1973632217"/>
          <w:trHeight w:val="233"/>
        </w:trPr>
        <w:tc>
          <w:tcPr>
            <w:tcW w:w="6087" w:type="dxa"/>
            <w:tcBorders>
              <w:top w:val="nil"/>
              <w:left w:val="nil"/>
              <w:bottom w:val="nil"/>
              <w:right w:val="nil"/>
            </w:tcBorders>
            <w:shd w:val="clear" w:color="auto" w:fill="auto"/>
            <w:vAlign w:val="center"/>
            <w:hideMark/>
          </w:tcPr>
          <w:p w14:paraId="7ADA7102" w14:textId="77777777" w:rsidR="002F689C" w:rsidRPr="00005453" w:rsidRDefault="002F689C" w:rsidP="002F689C">
            <w:pPr>
              <w:jc w:val="both"/>
              <w:rPr>
                <w:color w:val="000000"/>
                <w:sz w:val="18"/>
                <w:szCs w:val="18"/>
                <w:lang w:eastAsia="tr-TR"/>
              </w:rPr>
            </w:pPr>
            <w:r w:rsidRPr="00005453">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292E4CD1" w14:textId="50936078" w:rsidR="002F689C" w:rsidRPr="00005453" w:rsidRDefault="002F689C" w:rsidP="002F689C">
            <w:pPr>
              <w:jc w:val="right"/>
              <w:rPr>
                <w:color w:val="000000"/>
                <w:sz w:val="18"/>
                <w:szCs w:val="18"/>
                <w:lang w:eastAsia="tr-TR"/>
              </w:rPr>
            </w:pPr>
            <w:r w:rsidRPr="00005453">
              <w:rPr>
                <w:color w:val="000000"/>
                <w:sz w:val="18"/>
                <w:szCs w:val="18"/>
              </w:rPr>
              <w:t>83,993</w:t>
            </w:r>
          </w:p>
        </w:tc>
        <w:tc>
          <w:tcPr>
            <w:tcW w:w="1413" w:type="dxa"/>
            <w:tcBorders>
              <w:top w:val="nil"/>
              <w:left w:val="nil"/>
              <w:bottom w:val="nil"/>
              <w:right w:val="nil"/>
            </w:tcBorders>
            <w:shd w:val="clear" w:color="auto" w:fill="auto"/>
            <w:vAlign w:val="center"/>
            <w:hideMark/>
          </w:tcPr>
          <w:p w14:paraId="7045C7C3" w14:textId="0385A9AD" w:rsidR="002F689C" w:rsidRPr="00005453" w:rsidRDefault="002F689C" w:rsidP="002F689C">
            <w:pPr>
              <w:jc w:val="right"/>
              <w:rPr>
                <w:color w:val="000000"/>
                <w:sz w:val="18"/>
                <w:szCs w:val="18"/>
                <w:lang w:eastAsia="tr-TR"/>
              </w:rPr>
            </w:pPr>
            <w:r w:rsidRPr="00005453">
              <w:rPr>
                <w:color w:val="000000"/>
                <w:sz w:val="18"/>
                <w:szCs w:val="18"/>
              </w:rPr>
              <w:t xml:space="preserve"> 89,048    </w:t>
            </w:r>
          </w:p>
        </w:tc>
      </w:tr>
      <w:tr w:rsidR="002F689C" w:rsidRPr="00005453" w14:paraId="1E7A75DE" w14:textId="77777777" w:rsidTr="002F689C">
        <w:trPr>
          <w:divId w:val="1973632217"/>
          <w:trHeight w:val="233"/>
        </w:trPr>
        <w:tc>
          <w:tcPr>
            <w:tcW w:w="6087" w:type="dxa"/>
            <w:tcBorders>
              <w:top w:val="nil"/>
              <w:left w:val="nil"/>
              <w:bottom w:val="nil"/>
              <w:right w:val="nil"/>
            </w:tcBorders>
            <w:shd w:val="clear" w:color="auto" w:fill="auto"/>
            <w:vAlign w:val="center"/>
            <w:hideMark/>
          </w:tcPr>
          <w:p w14:paraId="605619EA" w14:textId="77777777" w:rsidR="002F689C" w:rsidRPr="00005453" w:rsidRDefault="002F689C" w:rsidP="002F689C">
            <w:pPr>
              <w:jc w:val="both"/>
              <w:rPr>
                <w:color w:val="000000"/>
                <w:sz w:val="18"/>
                <w:szCs w:val="18"/>
                <w:lang w:eastAsia="tr-TR"/>
              </w:rPr>
            </w:pPr>
            <w:r w:rsidRPr="00005453">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622D022B" w14:textId="3A0C7A6E" w:rsidR="002F689C" w:rsidRPr="00005453" w:rsidRDefault="002F689C" w:rsidP="002F689C">
            <w:pPr>
              <w:jc w:val="right"/>
              <w:rPr>
                <w:color w:val="000000"/>
                <w:sz w:val="18"/>
                <w:szCs w:val="18"/>
                <w:lang w:eastAsia="tr-TR"/>
              </w:rPr>
            </w:pPr>
            <w:r w:rsidRPr="00005453">
              <w:rPr>
                <w:color w:val="000000"/>
                <w:sz w:val="18"/>
                <w:szCs w:val="18"/>
              </w:rPr>
              <w:t>94,214</w:t>
            </w:r>
          </w:p>
        </w:tc>
        <w:tc>
          <w:tcPr>
            <w:tcW w:w="1413" w:type="dxa"/>
            <w:tcBorders>
              <w:top w:val="nil"/>
              <w:left w:val="nil"/>
              <w:bottom w:val="nil"/>
              <w:right w:val="nil"/>
            </w:tcBorders>
            <w:shd w:val="clear" w:color="auto" w:fill="auto"/>
            <w:vAlign w:val="center"/>
            <w:hideMark/>
          </w:tcPr>
          <w:p w14:paraId="73B9157E" w14:textId="3C223821" w:rsidR="002F689C" w:rsidRPr="00005453" w:rsidRDefault="002F689C" w:rsidP="002F689C">
            <w:pPr>
              <w:jc w:val="right"/>
              <w:rPr>
                <w:color w:val="000000"/>
                <w:sz w:val="18"/>
                <w:szCs w:val="18"/>
                <w:lang w:eastAsia="tr-TR"/>
              </w:rPr>
            </w:pPr>
            <w:r w:rsidRPr="00005453">
              <w:rPr>
                <w:color w:val="000000"/>
                <w:sz w:val="18"/>
                <w:szCs w:val="18"/>
              </w:rPr>
              <w:t xml:space="preserve"> 98,276    </w:t>
            </w:r>
          </w:p>
        </w:tc>
      </w:tr>
      <w:tr w:rsidR="002F689C" w:rsidRPr="00005453" w14:paraId="1158994E" w14:textId="77777777" w:rsidTr="002F689C">
        <w:trPr>
          <w:divId w:val="1973632217"/>
          <w:trHeight w:val="233"/>
        </w:trPr>
        <w:tc>
          <w:tcPr>
            <w:tcW w:w="6087" w:type="dxa"/>
            <w:tcBorders>
              <w:top w:val="nil"/>
              <w:left w:val="nil"/>
              <w:bottom w:val="nil"/>
              <w:right w:val="nil"/>
            </w:tcBorders>
            <w:shd w:val="clear" w:color="auto" w:fill="auto"/>
            <w:vAlign w:val="center"/>
            <w:hideMark/>
          </w:tcPr>
          <w:p w14:paraId="5B08791F" w14:textId="77777777" w:rsidR="002F689C" w:rsidRPr="00005453" w:rsidRDefault="002F689C" w:rsidP="002F689C">
            <w:pPr>
              <w:jc w:val="both"/>
              <w:rPr>
                <w:color w:val="000000"/>
                <w:sz w:val="18"/>
                <w:szCs w:val="18"/>
                <w:lang w:eastAsia="tr-TR"/>
              </w:rPr>
            </w:pPr>
            <w:r w:rsidRPr="00005453">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6F1B924B" w14:textId="1C6F5641" w:rsidR="002F689C" w:rsidRPr="00005453" w:rsidRDefault="002F689C" w:rsidP="002F689C">
            <w:pPr>
              <w:jc w:val="right"/>
              <w:rPr>
                <w:color w:val="000000"/>
                <w:sz w:val="18"/>
                <w:szCs w:val="18"/>
                <w:lang w:eastAsia="tr-TR"/>
              </w:rPr>
            </w:pPr>
            <w:r w:rsidRPr="00005453">
              <w:rPr>
                <w:color w:val="000000"/>
                <w:sz w:val="18"/>
                <w:szCs w:val="18"/>
              </w:rPr>
              <w:t>5,998</w:t>
            </w:r>
          </w:p>
        </w:tc>
        <w:tc>
          <w:tcPr>
            <w:tcW w:w="1413" w:type="dxa"/>
            <w:tcBorders>
              <w:top w:val="nil"/>
              <w:left w:val="nil"/>
              <w:bottom w:val="nil"/>
              <w:right w:val="nil"/>
            </w:tcBorders>
            <w:shd w:val="clear" w:color="auto" w:fill="auto"/>
            <w:vAlign w:val="center"/>
            <w:hideMark/>
          </w:tcPr>
          <w:p w14:paraId="0FC84701" w14:textId="537D55E8" w:rsidR="002F689C" w:rsidRPr="00005453" w:rsidRDefault="002F689C" w:rsidP="002F689C">
            <w:pPr>
              <w:jc w:val="right"/>
              <w:rPr>
                <w:color w:val="000000"/>
                <w:sz w:val="18"/>
                <w:szCs w:val="18"/>
                <w:lang w:eastAsia="tr-TR"/>
              </w:rPr>
            </w:pPr>
            <w:r w:rsidRPr="00005453">
              <w:rPr>
                <w:color w:val="000000"/>
                <w:sz w:val="18"/>
                <w:szCs w:val="18"/>
              </w:rPr>
              <w:t xml:space="preserve"> 6,358    </w:t>
            </w:r>
          </w:p>
        </w:tc>
      </w:tr>
      <w:tr w:rsidR="002F689C" w:rsidRPr="00005453" w14:paraId="25A3D467" w14:textId="77777777" w:rsidTr="002F689C">
        <w:trPr>
          <w:divId w:val="1973632217"/>
          <w:trHeight w:val="233"/>
        </w:trPr>
        <w:tc>
          <w:tcPr>
            <w:tcW w:w="6087" w:type="dxa"/>
            <w:tcBorders>
              <w:top w:val="nil"/>
              <w:left w:val="nil"/>
              <w:bottom w:val="nil"/>
              <w:right w:val="nil"/>
            </w:tcBorders>
            <w:shd w:val="clear" w:color="auto" w:fill="auto"/>
            <w:vAlign w:val="center"/>
            <w:hideMark/>
          </w:tcPr>
          <w:p w14:paraId="0EFDF1B2" w14:textId="77777777" w:rsidR="002F689C" w:rsidRPr="00005453" w:rsidRDefault="002F689C" w:rsidP="002F689C">
            <w:pPr>
              <w:jc w:val="both"/>
              <w:rPr>
                <w:color w:val="000000"/>
                <w:sz w:val="18"/>
                <w:szCs w:val="18"/>
                <w:lang w:eastAsia="tr-TR"/>
              </w:rPr>
            </w:pPr>
            <w:r w:rsidRPr="00005453">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3F2E0185" w14:textId="79B476B1" w:rsidR="002F689C" w:rsidRPr="00005453" w:rsidRDefault="002F689C" w:rsidP="002F689C">
            <w:pPr>
              <w:jc w:val="right"/>
              <w:rPr>
                <w:color w:val="000000"/>
                <w:sz w:val="18"/>
                <w:szCs w:val="18"/>
                <w:lang w:eastAsia="tr-TR"/>
              </w:rPr>
            </w:pPr>
            <w:r w:rsidRPr="00005453">
              <w:rPr>
                <w:color w:val="000000"/>
                <w:sz w:val="18"/>
                <w:szCs w:val="18"/>
              </w:rPr>
              <w:t>12,544</w:t>
            </w:r>
          </w:p>
        </w:tc>
        <w:tc>
          <w:tcPr>
            <w:tcW w:w="1413" w:type="dxa"/>
            <w:tcBorders>
              <w:top w:val="nil"/>
              <w:left w:val="nil"/>
              <w:bottom w:val="nil"/>
              <w:right w:val="nil"/>
            </w:tcBorders>
            <w:shd w:val="clear" w:color="auto" w:fill="auto"/>
            <w:vAlign w:val="center"/>
            <w:hideMark/>
          </w:tcPr>
          <w:p w14:paraId="62FD2C92" w14:textId="0F421FAF" w:rsidR="002F689C" w:rsidRPr="00005453" w:rsidRDefault="002F689C" w:rsidP="002F689C">
            <w:pPr>
              <w:jc w:val="right"/>
              <w:rPr>
                <w:color w:val="000000"/>
                <w:sz w:val="18"/>
                <w:szCs w:val="18"/>
                <w:lang w:eastAsia="tr-TR"/>
              </w:rPr>
            </w:pPr>
            <w:r w:rsidRPr="00005453">
              <w:rPr>
                <w:color w:val="000000"/>
                <w:sz w:val="18"/>
                <w:szCs w:val="18"/>
              </w:rPr>
              <w:t xml:space="preserve"> 13,390    </w:t>
            </w:r>
          </w:p>
        </w:tc>
      </w:tr>
      <w:tr w:rsidR="002F689C" w:rsidRPr="00005453" w14:paraId="51BC9AC6" w14:textId="77777777" w:rsidTr="002F689C">
        <w:trPr>
          <w:divId w:val="1973632217"/>
          <w:trHeight w:val="248"/>
        </w:trPr>
        <w:tc>
          <w:tcPr>
            <w:tcW w:w="6087" w:type="dxa"/>
            <w:tcBorders>
              <w:top w:val="nil"/>
              <w:left w:val="nil"/>
              <w:bottom w:val="nil"/>
              <w:right w:val="nil"/>
            </w:tcBorders>
            <w:shd w:val="clear" w:color="auto" w:fill="auto"/>
            <w:vAlign w:val="center"/>
            <w:hideMark/>
          </w:tcPr>
          <w:p w14:paraId="19183475" w14:textId="77777777" w:rsidR="002F689C" w:rsidRPr="00005453" w:rsidRDefault="002F689C" w:rsidP="002F689C">
            <w:pPr>
              <w:jc w:val="both"/>
              <w:rPr>
                <w:color w:val="000000"/>
                <w:sz w:val="18"/>
                <w:szCs w:val="18"/>
                <w:lang w:eastAsia="tr-TR"/>
              </w:rPr>
            </w:pPr>
            <w:r w:rsidRPr="00005453">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50A13974" w14:textId="2AF1F1D1" w:rsidR="002F689C" w:rsidRPr="00005453" w:rsidRDefault="002F689C" w:rsidP="002F689C">
            <w:pPr>
              <w:jc w:val="right"/>
              <w:rPr>
                <w:color w:val="000000"/>
                <w:sz w:val="18"/>
                <w:szCs w:val="18"/>
                <w:lang w:eastAsia="tr-TR"/>
              </w:rPr>
            </w:pPr>
            <w:r w:rsidRPr="00005453">
              <w:rPr>
                <w:color w:val="000000"/>
                <w:sz w:val="18"/>
                <w:szCs w:val="18"/>
              </w:rPr>
              <w:t>-</w:t>
            </w:r>
          </w:p>
        </w:tc>
        <w:tc>
          <w:tcPr>
            <w:tcW w:w="1413" w:type="dxa"/>
            <w:tcBorders>
              <w:top w:val="nil"/>
              <w:left w:val="nil"/>
              <w:bottom w:val="nil"/>
              <w:right w:val="nil"/>
            </w:tcBorders>
            <w:shd w:val="clear" w:color="auto" w:fill="auto"/>
            <w:vAlign w:val="center"/>
            <w:hideMark/>
          </w:tcPr>
          <w:p w14:paraId="542605E2" w14:textId="2D39885E" w:rsidR="002F689C" w:rsidRPr="00005453" w:rsidRDefault="002F689C" w:rsidP="002F689C">
            <w:pPr>
              <w:jc w:val="right"/>
              <w:rPr>
                <w:color w:val="000000"/>
                <w:sz w:val="18"/>
                <w:szCs w:val="18"/>
                <w:lang w:eastAsia="tr-TR"/>
              </w:rPr>
            </w:pPr>
            <w:r w:rsidRPr="00005453">
              <w:rPr>
                <w:color w:val="000000"/>
                <w:sz w:val="18"/>
                <w:szCs w:val="18"/>
              </w:rPr>
              <w:t xml:space="preserve"> 10    </w:t>
            </w:r>
          </w:p>
        </w:tc>
      </w:tr>
      <w:tr w:rsidR="002F689C" w:rsidRPr="00005453" w14:paraId="0E814C47" w14:textId="77777777" w:rsidTr="002F689C">
        <w:trPr>
          <w:divId w:val="1973632217"/>
          <w:trHeight w:val="248"/>
        </w:trPr>
        <w:tc>
          <w:tcPr>
            <w:tcW w:w="6087" w:type="dxa"/>
            <w:tcBorders>
              <w:top w:val="single" w:sz="8" w:space="0" w:color="auto"/>
              <w:left w:val="nil"/>
              <w:bottom w:val="double" w:sz="6" w:space="0" w:color="auto"/>
              <w:right w:val="nil"/>
            </w:tcBorders>
            <w:shd w:val="clear" w:color="auto" w:fill="auto"/>
            <w:vAlign w:val="center"/>
            <w:hideMark/>
          </w:tcPr>
          <w:p w14:paraId="4B8A7871" w14:textId="77777777" w:rsidR="002F689C" w:rsidRPr="00005453" w:rsidRDefault="002F689C" w:rsidP="002F689C">
            <w:pPr>
              <w:jc w:val="both"/>
              <w:rPr>
                <w:b/>
                <w:bCs/>
                <w:color w:val="000000"/>
                <w:sz w:val="18"/>
                <w:szCs w:val="18"/>
                <w:lang w:eastAsia="tr-TR"/>
              </w:rPr>
            </w:pPr>
            <w:r w:rsidRPr="00005453">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1A3B7114" w14:textId="2DB4B1CD" w:rsidR="002F689C" w:rsidRPr="00005453" w:rsidRDefault="002F689C" w:rsidP="002F689C">
            <w:pPr>
              <w:jc w:val="right"/>
              <w:rPr>
                <w:b/>
                <w:bCs/>
                <w:color w:val="000000"/>
                <w:sz w:val="18"/>
                <w:szCs w:val="18"/>
                <w:lang w:eastAsia="tr-TR"/>
              </w:rPr>
            </w:pPr>
            <w:r w:rsidRPr="00005453">
              <w:rPr>
                <w:b/>
                <w:bCs/>
                <w:color w:val="000000"/>
                <w:sz w:val="18"/>
                <w:szCs w:val="18"/>
              </w:rPr>
              <w:t>196,749</w:t>
            </w:r>
          </w:p>
        </w:tc>
        <w:tc>
          <w:tcPr>
            <w:tcW w:w="1413" w:type="dxa"/>
            <w:tcBorders>
              <w:top w:val="single" w:sz="8" w:space="0" w:color="auto"/>
              <w:left w:val="nil"/>
              <w:bottom w:val="double" w:sz="6" w:space="0" w:color="auto"/>
              <w:right w:val="nil"/>
            </w:tcBorders>
            <w:shd w:val="clear" w:color="auto" w:fill="auto"/>
            <w:vAlign w:val="center"/>
            <w:hideMark/>
          </w:tcPr>
          <w:p w14:paraId="756DC090" w14:textId="67095694" w:rsidR="002F689C" w:rsidRPr="00005453" w:rsidRDefault="002F689C" w:rsidP="002F689C">
            <w:pPr>
              <w:jc w:val="right"/>
              <w:rPr>
                <w:b/>
                <w:bCs/>
                <w:color w:val="000000"/>
                <w:sz w:val="18"/>
                <w:szCs w:val="18"/>
                <w:lang w:eastAsia="tr-TR"/>
              </w:rPr>
            </w:pPr>
            <w:r w:rsidRPr="00005453">
              <w:rPr>
                <w:b/>
                <w:bCs/>
                <w:color w:val="000000"/>
                <w:sz w:val="18"/>
                <w:szCs w:val="18"/>
                <w:lang w:eastAsia="tr-TR"/>
              </w:rPr>
              <w:t>207,082</w:t>
            </w:r>
          </w:p>
        </w:tc>
      </w:tr>
    </w:tbl>
    <w:p w14:paraId="1A704520" w14:textId="4A62AC76" w:rsidR="00201D41" w:rsidRPr="00005453" w:rsidRDefault="00201D41" w:rsidP="00885E1C">
      <w:pPr>
        <w:ind w:left="540"/>
        <w:rPr>
          <w:iCs/>
          <w:sz w:val="6"/>
          <w:szCs w:val="6"/>
        </w:rPr>
      </w:pPr>
    </w:p>
    <w:p w14:paraId="6018A3A8" w14:textId="759DF0B6" w:rsidR="00201D41" w:rsidRPr="00005453" w:rsidRDefault="008E248B" w:rsidP="00BA357F">
      <w:pPr>
        <w:tabs>
          <w:tab w:val="num" w:pos="709"/>
        </w:tabs>
        <w:spacing w:line="276" w:lineRule="auto"/>
        <w:rPr>
          <w:iCs/>
          <w:sz w:val="16"/>
          <w:szCs w:val="16"/>
        </w:rPr>
      </w:pPr>
      <w:r w:rsidRPr="00005453">
        <w:rPr>
          <w:iCs/>
          <w:sz w:val="16"/>
          <w:szCs w:val="16"/>
        </w:rPr>
        <w:t xml:space="preserve">(*)    </w:t>
      </w:r>
      <w:r w:rsidR="00201D41" w:rsidRPr="00005453">
        <w:rPr>
          <w:iCs/>
          <w:sz w:val="16"/>
          <w:szCs w:val="16"/>
        </w:rPr>
        <w:t xml:space="preserve">Bilançoda </w:t>
      </w:r>
      <w:r w:rsidR="00470D1D" w:rsidRPr="00005453">
        <w:rPr>
          <w:iCs/>
          <w:sz w:val="16"/>
          <w:szCs w:val="16"/>
        </w:rPr>
        <w:t>Diğer Yükümlülükler</w:t>
      </w:r>
      <w:r w:rsidR="00201D41" w:rsidRPr="00005453">
        <w:rPr>
          <w:iCs/>
          <w:sz w:val="16"/>
          <w:szCs w:val="16"/>
        </w:rPr>
        <w:t xml:space="preserve"> içerisinde yer almaktadır.</w:t>
      </w:r>
    </w:p>
    <w:p w14:paraId="2C4B455D" w14:textId="77777777" w:rsidR="00363252" w:rsidRPr="00005453" w:rsidRDefault="00363252" w:rsidP="00201D41">
      <w:pPr>
        <w:tabs>
          <w:tab w:val="num" w:pos="3600"/>
        </w:tabs>
        <w:ind w:left="180"/>
        <w:rPr>
          <w:iCs/>
          <w:sz w:val="16"/>
          <w:szCs w:val="16"/>
        </w:rPr>
      </w:pPr>
    </w:p>
    <w:p w14:paraId="26CC0D6E" w14:textId="53FBB965" w:rsidR="009C126C" w:rsidRPr="00005453" w:rsidRDefault="009C126C" w:rsidP="009C126C">
      <w:pPr>
        <w:ind w:hanging="567"/>
        <w:rPr>
          <w:iCs/>
        </w:rPr>
      </w:pPr>
      <w:proofErr w:type="gramStart"/>
      <w:r w:rsidRPr="00005453">
        <w:rPr>
          <w:b/>
          <w:iCs/>
        </w:rPr>
        <w:t>2.</w:t>
      </w:r>
      <w:r w:rsidR="00731AA9" w:rsidRPr="00005453">
        <w:rPr>
          <w:b/>
          <w:iCs/>
        </w:rPr>
        <w:t>9</w:t>
      </w:r>
      <w:r w:rsidRPr="00005453">
        <w:rPr>
          <w:b/>
          <w:iCs/>
        </w:rPr>
        <w:t>.1.4.</w:t>
      </w:r>
      <w:r w:rsidRPr="00005453">
        <w:rPr>
          <w:iCs/>
        </w:rPr>
        <w:t xml:space="preserve">  </w:t>
      </w:r>
      <w:r w:rsidRPr="00005453">
        <w:rPr>
          <w:b/>
          <w:iCs/>
        </w:rPr>
        <w:t>Ertelenmiş</w:t>
      </w:r>
      <w:proofErr w:type="gramEnd"/>
      <w:r w:rsidRPr="00005453">
        <w:rPr>
          <w:b/>
          <w:iCs/>
        </w:rPr>
        <w:t xml:space="preserve"> vergi borcuna ilişkin açıklama</w:t>
      </w:r>
      <w:r w:rsidR="008A0319" w:rsidRPr="00005453">
        <w:rPr>
          <w:b/>
          <w:iCs/>
        </w:rPr>
        <w:t>lar</w:t>
      </w:r>
    </w:p>
    <w:p w14:paraId="7D2C0475" w14:textId="77777777" w:rsidR="009C126C" w:rsidRPr="00005453" w:rsidRDefault="009C126C" w:rsidP="009C126C">
      <w:pPr>
        <w:ind w:hanging="567"/>
        <w:rPr>
          <w:iCs/>
          <w:sz w:val="16"/>
          <w:szCs w:val="16"/>
        </w:rPr>
      </w:pPr>
    </w:p>
    <w:p w14:paraId="1CB3F1FE" w14:textId="2E4897D0" w:rsidR="009C126C" w:rsidRPr="00005453" w:rsidRDefault="00345004" w:rsidP="001A491C">
      <w:pPr>
        <w:jc w:val="both"/>
        <w:rPr>
          <w:iCs/>
        </w:rPr>
      </w:pPr>
      <w:r w:rsidRPr="00005453">
        <w:rPr>
          <w:color w:val="000000"/>
        </w:rPr>
        <w:t>İlgili düzenlemeler kapsamında</w:t>
      </w:r>
      <w:r w:rsidRPr="00005453">
        <w:t xml:space="preserve"> </w:t>
      </w:r>
      <w:r w:rsidRPr="00005453">
        <w:rPr>
          <w:rFonts w:eastAsia="Arial Unicode MS"/>
          <w:color w:val="000000"/>
        </w:rPr>
        <w:t>31 Aralık 202</w:t>
      </w:r>
      <w:r w:rsidR="00E65EA3" w:rsidRPr="00005453">
        <w:rPr>
          <w:rFonts w:eastAsia="Arial Unicode MS"/>
          <w:color w:val="000000"/>
        </w:rPr>
        <w:t>4</w:t>
      </w:r>
      <w:r w:rsidRPr="00005453">
        <w:t xml:space="preserve"> tarihi itibarıyla ertelenmiş vergi bilançoda </w:t>
      </w:r>
      <w:r w:rsidR="00FE00C1" w:rsidRPr="00005453">
        <w:t>8</w:t>
      </w:r>
      <w:r w:rsidRPr="00005453">
        <w:t>,</w:t>
      </w:r>
      <w:r w:rsidR="00FE00C1" w:rsidRPr="00005453">
        <w:t>340</w:t>
      </w:r>
      <w:r w:rsidRPr="00005453">
        <w:t>,</w:t>
      </w:r>
      <w:r w:rsidR="00FE00C1" w:rsidRPr="00005453">
        <w:t>450</w:t>
      </w:r>
      <w:r w:rsidRPr="00005453">
        <w:t xml:space="preserve"> TL olarak netleştirilmiştir. Ertelenmiş vergi varlığı </w:t>
      </w:r>
      <w:r w:rsidR="00FE00C1" w:rsidRPr="00005453">
        <w:t>9</w:t>
      </w:r>
      <w:r w:rsidRPr="00005453">
        <w:t>,</w:t>
      </w:r>
      <w:r w:rsidR="00FE00C1" w:rsidRPr="00005453">
        <w:t>115</w:t>
      </w:r>
      <w:r w:rsidRPr="00005453">
        <w:t>,</w:t>
      </w:r>
      <w:r w:rsidR="00FE00C1" w:rsidRPr="00005453">
        <w:t>487</w:t>
      </w:r>
      <w:r w:rsidRPr="00005453">
        <w:t xml:space="preserve"> TL (31 Aralık 202</w:t>
      </w:r>
      <w:r w:rsidR="00E65EA3" w:rsidRPr="00005453">
        <w:t>3</w:t>
      </w:r>
      <w:r w:rsidRPr="00005453">
        <w:t xml:space="preserve"> – </w:t>
      </w:r>
      <w:r w:rsidR="00E65EA3" w:rsidRPr="00005453">
        <w:t>6</w:t>
      </w:r>
      <w:r w:rsidR="00686390" w:rsidRPr="00005453">
        <w:t>,</w:t>
      </w:r>
      <w:r w:rsidR="00E65EA3" w:rsidRPr="00005453">
        <w:t>477</w:t>
      </w:r>
      <w:r w:rsidR="00686390" w:rsidRPr="00005453">
        <w:t>,</w:t>
      </w:r>
      <w:r w:rsidR="00E65EA3" w:rsidRPr="00005453">
        <w:t>294</w:t>
      </w:r>
      <w:r w:rsidR="00686390" w:rsidRPr="00005453">
        <w:t xml:space="preserve"> </w:t>
      </w:r>
      <w:r w:rsidRPr="00005453">
        <w:rPr>
          <w:spacing w:val="-10"/>
        </w:rPr>
        <w:t>TL</w:t>
      </w:r>
      <w:r w:rsidRPr="00005453">
        <w:t xml:space="preserve">) ertelenmiş vergi borcu ise </w:t>
      </w:r>
      <w:r w:rsidR="00222CEB" w:rsidRPr="00005453">
        <w:t>7</w:t>
      </w:r>
      <w:r w:rsidR="00FE00C1" w:rsidRPr="00005453">
        <w:t>75</w:t>
      </w:r>
      <w:r w:rsidR="00BF794E" w:rsidRPr="00005453">
        <w:t>,</w:t>
      </w:r>
      <w:r w:rsidR="00FE00C1" w:rsidRPr="00005453">
        <w:t>037</w:t>
      </w:r>
      <w:r w:rsidRPr="00005453">
        <w:t xml:space="preserve"> TL (31 Aralık 202</w:t>
      </w:r>
      <w:r w:rsidR="00E65EA3" w:rsidRPr="00005453">
        <w:t>3</w:t>
      </w:r>
      <w:r w:rsidRPr="00005453">
        <w:t xml:space="preserve"> – </w:t>
      </w:r>
      <w:r w:rsidR="00E65EA3" w:rsidRPr="00005453">
        <w:t>72</w:t>
      </w:r>
      <w:r w:rsidR="00686390" w:rsidRPr="00005453">
        <w:t>9,4</w:t>
      </w:r>
      <w:r w:rsidR="00E65EA3" w:rsidRPr="00005453">
        <w:t>7</w:t>
      </w:r>
      <w:r w:rsidR="00686390" w:rsidRPr="00005453">
        <w:t xml:space="preserve">6 </w:t>
      </w:r>
      <w:r w:rsidRPr="00005453">
        <w:rPr>
          <w:spacing w:val="-10"/>
        </w:rPr>
        <w:t>TL</w:t>
      </w:r>
      <w:r w:rsidRPr="00005453">
        <w:t>) hesaplanmıştır.</w:t>
      </w:r>
    </w:p>
    <w:p w14:paraId="3E576FEB" w14:textId="77777777" w:rsidR="009C126C" w:rsidRPr="00005453" w:rsidRDefault="009C126C" w:rsidP="009C126C">
      <w:pPr>
        <w:rPr>
          <w:iCs/>
          <w:sz w:val="16"/>
          <w:szCs w:val="16"/>
        </w:rPr>
      </w:pPr>
    </w:p>
    <w:p w14:paraId="3B6D719F" w14:textId="4810E430" w:rsidR="009C126C" w:rsidRPr="00005453" w:rsidRDefault="009C126C" w:rsidP="009C126C">
      <w:pPr>
        <w:autoSpaceDE w:val="0"/>
        <w:autoSpaceDN w:val="0"/>
        <w:adjustRightInd w:val="0"/>
        <w:ind w:hanging="567"/>
        <w:rPr>
          <w:b/>
          <w:bCs/>
          <w:iCs/>
        </w:rPr>
      </w:pPr>
      <w:r w:rsidRPr="00005453">
        <w:rPr>
          <w:b/>
          <w:bCs/>
          <w:iCs/>
        </w:rPr>
        <w:t>2.</w:t>
      </w:r>
      <w:r w:rsidR="00731AA9" w:rsidRPr="00005453">
        <w:rPr>
          <w:b/>
          <w:bCs/>
          <w:iCs/>
        </w:rPr>
        <w:t>10</w:t>
      </w:r>
      <w:r w:rsidRPr="00005453">
        <w:rPr>
          <w:b/>
          <w:bCs/>
          <w:iCs/>
        </w:rPr>
        <w:t>.</w:t>
      </w:r>
      <w:r w:rsidRPr="00005453">
        <w:rPr>
          <w:b/>
          <w:bCs/>
          <w:iCs/>
        </w:rPr>
        <w:tab/>
        <w:t>Satış amaçlı elde tutulan ve durdurulan faaliyetlere ilişkin duran varlık borçları hakkında bilgiler</w:t>
      </w:r>
    </w:p>
    <w:p w14:paraId="70ACC623" w14:textId="77777777" w:rsidR="009C126C" w:rsidRPr="00005453" w:rsidRDefault="009C126C" w:rsidP="009C126C">
      <w:pPr>
        <w:autoSpaceDE w:val="0"/>
        <w:autoSpaceDN w:val="0"/>
        <w:adjustRightInd w:val="0"/>
        <w:ind w:left="540" w:hanging="540"/>
        <w:rPr>
          <w:bCs/>
          <w:iCs/>
          <w:sz w:val="16"/>
          <w:szCs w:val="16"/>
        </w:rPr>
      </w:pPr>
    </w:p>
    <w:p w14:paraId="2F3A23B4" w14:textId="4F6907F0" w:rsidR="009C126C" w:rsidRPr="00005453" w:rsidRDefault="009C126C" w:rsidP="009C126C">
      <w:pPr>
        <w:autoSpaceDE w:val="0"/>
        <w:autoSpaceDN w:val="0"/>
        <w:adjustRightInd w:val="0"/>
        <w:ind w:left="540" w:hanging="540"/>
        <w:rPr>
          <w:bCs/>
          <w:iCs/>
        </w:rPr>
      </w:pPr>
      <w:r w:rsidRPr="00005453">
        <w:rPr>
          <w:bCs/>
          <w:iCs/>
        </w:rPr>
        <w:t xml:space="preserve">Yoktur (31 Aralık </w:t>
      </w:r>
      <w:proofErr w:type="gramStart"/>
      <w:r w:rsidRPr="00005453">
        <w:rPr>
          <w:bCs/>
          <w:iCs/>
        </w:rPr>
        <w:t>202</w:t>
      </w:r>
      <w:r w:rsidR="00082F61" w:rsidRPr="00005453">
        <w:rPr>
          <w:bCs/>
          <w:iCs/>
        </w:rPr>
        <w:t>3</w:t>
      </w:r>
      <w:r w:rsidRPr="00005453">
        <w:rPr>
          <w:bCs/>
          <w:iCs/>
        </w:rPr>
        <w:t xml:space="preserve"> -</w:t>
      </w:r>
      <w:proofErr w:type="gramEnd"/>
      <w:r w:rsidRPr="00005453">
        <w:rPr>
          <w:bCs/>
          <w:iCs/>
        </w:rPr>
        <w:t xml:space="preserve"> Yoktur).</w:t>
      </w:r>
    </w:p>
    <w:p w14:paraId="4D619974" w14:textId="77777777" w:rsidR="00171098" w:rsidRPr="00005453" w:rsidRDefault="00171098" w:rsidP="00014D76">
      <w:pPr>
        <w:autoSpaceDE w:val="0"/>
        <w:autoSpaceDN w:val="0"/>
        <w:adjustRightInd w:val="0"/>
        <w:ind w:hanging="567"/>
        <w:rPr>
          <w:b/>
          <w:bCs/>
          <w:iCs/>
          <w:sz w:val="16"/>
          <w:szCs w:val="16"/>
        </w:rPr>
      </w:pPr>
    </w:p>
    <w:p w14:paraId="3448D21B" w14:textId="12A44EF8" w:rsidR="00C4723A" w:rsidRPr="00005453" w:rsidRDefault="00081FB4" w:rsidP="00C4723A">
      <w:pPr>
        <w:autoSpaceDE w:val="0"/>
        <w:autoSpaceDN w:val="0"/>
        <w:adjustRightInd w:val="0"/>
        <w:ind w:hanging="567"/>
        <w:rPr>
          <w:b/>
          <w:bCs/>
          <w:iCs/>
        </w:rPr>
      </w:pPr>
      <w:r w:rsidRPr="00005453">
        <w:rPr>
          <w:b/>
          <w:bCs/>
          <w:iCs/>
        </w:rPr>
        <w:t>2</w:t>
      </w:r>
      <w:r w:rsidR="00201D41" w:rsidRPr="00005453">
        <w:rPr>
          <w:b/>
          <w:bCs/>
          <w:iCs/>
        </w:rPr>
        <w:t>.</w:t>
      </w:r>
      <w:r w:rsidRPr="00005453">
        <w:rPr>
          <w:b/>
          <w:bCs/>
          <w:iCs/>
        </w:rPr>
        <w:t>1</w:t>
      </w:r>
      <w:r w:rsidR="00731AA9" w:rsidRPr="00005453">
        <w:rPr>
          <w:b/>
          <w:bCs/>
          <w:iCs/>
        </w:rPr>
        <w:t>1</w:t>
      </w:r>
      <w:r w:rsidR="007A10B9" w:rsidRPr="00005453">
        <w:rPr>
          <w:b/>
          <w:bCs/>
          <w:iCs/>
        </w:rPr>
        <w:t>.</w:t>
      </w:r>
      <w:r w:rsidR="00201D41" w:rsidRPr="00005453">
        <w:rPr>
          <w:b/>
          <w:bCs/>
          <w:iCs/>
        </w:rPr>
        <w:tab/>
        <w:t xml:space="preserve">Sermaye benzeri kredilere ilişkin bilgiler </w:t>
      </w:r>
    </w:p>
    <w:p w14:paraId="104825A5" w14:textId="5A5D5A6B" w:rsidR="009C126C" w:rsidRPr="00005453" w:rsidRDefault="009C126C" w:rsidP="00D50241">
      <w:pPr>
        <w:rPr>
          <w:lang w:val="de-DE" w:eastAsia="en-GB"/>
        </w:rPr>
      </w:pPr>
    </w:p>
    <w:tbl>
      <w:tblPr>
        <w:tblW w:w="9165" w:type="dxa"/>
        <w:tblCellMar>
          <w:left w:w="70" w:type="dxa"/>
          <w:right w:w="70" w:type="dxa"/>
        </w:tblCellMar>
        <w:tblLook w:val="04A0" w:firstRow="1" w:lastRow="0" w:firstColumn="1" w:lastColumn="0" w:noHBand="0" w:noVBand="1"/>
      </w:tblPr>
      <w:tblGrid>
        <w:gridCol w:w="5359"/>
        <w:gridCol w:w="658"/>
        <w:gridCol w:w="1076"/>
        <w:gridCol w:w="996"/>
        <w:gridCol w:w="1076"/>
      </w:tblGrid>
      <w:tr w:rsidR="004A537D" w:rsidRPr="00005453" w14:paraId="6B16CE30" w14:textId="77777777" w:rsidTr="000E5F12">
        <w:trPr>
          <w:divId w:val="1165585113"/>
          <w:trHeight w:val="255"/>
        </w:trPr>
        <w:tc>
          <w:tcPr>
            <w:tcW w:w="5359" w:type="dxa"/>
            <w:vMerge w:val="restart"/>
            <w:tcBorders>
              <w:top w:val="single" w:sz="8" w:space="0" w:color="000000"/>
              <w:left w:val="nil"/>
              <w:right w:val="nil"/>
            </w:tcBorders>
            <w:shd w:val="clear" w:color="auto" w:fill="auto"/>
            <w:vAlign w:val="center"/>
            <w:hideMark/>
          </w:tcPr>
          <w:p w14:paraId="15691AA4" w14:textId="77777777" w:rsidR="004A537D" w:rsidRPr="00005453" w:rsidRDefault="004A537D" w:rsidP="009C126C">
            <w:pPr>
              <w:ind w:firstLineChars="100" w:firstLine="180"/>
              <w:rPr>
                <w:b/>
                <w:bCs/>
                <w:color w:val="000000"/>
                <w:sz w:val="18"/>
                <w:szCs w:val="18"/>
                <w:lang w:eastAsia="tr-TR"/>
              </w:rPr>
            </w:pPr>
            <w:r w:rsidRPr="00005453">
              <w:rPr>
                <w:rFonts w:eastAsia="Arial Unicode MS"/>
                <w:b/>
                <w:bCs/>
                <w:color w:val="000000"/>
                <w:sz w:val="18"/>
                <w:szCs w:val="18"/>
                <w:lang w:eastAsia="tr-TR"/>
              </w:rPr>
              <w:t> </w:t>
            </w:r>
          </w:p>
          <w:p w14:paraId="2A85536C" w14:textId="7C2FC929" w:rsidR="004A537D" w:rsidRPr="00005453" w:rsidRDefault="004A537D" w:rsidP="009C126C">
            <w:pPr>
              <w:rPr>
                <w:b/>
                <w:bCs/>
                <w:color w:val="000000"/>
                <w:sz w:val="18"/>
                <w:szCs w:val="18"/>
                <w:lang w:eastAsia="tr-TR"/>
              </w:rPr>
            </w:pPr>
            <w:r w:rsidRPr="00005453">
              <w:rPr>
                <w:b/>
                <w:bCs/>
                <w:color w:val="000000"/>
                <w:sz w:val="18"/>
                <w:szCs w:val="18"/>
                <w:lang w:eastAsia="tr-TR"/>
              </w:rPr>
              <w:t> </w:t>
            </w:r>
          </w:p>
        </w:tc>
        <w:tc>
          <w:tcPr>
            <w:tcW w:w="1734" w:type="dxa"/>
            <w:gridSpan w:val="2"/>
            <w:tcBorders>
              <w:top w:val="single" w:sz="8" w:space="0" w:color="000000"/>
              <w:left w:val="nil"/>
              <w:bottom w:val="single" w:sz="8" w:space="0" w:color="000000"/>
              <w:right w:val="nil"/>
            </w:tcBorders>
            <w:shd w:val="clear" w:color="auto" w:fill="auto"/>
            <w:vAlign w:val="center"/>
            <w:hideMark/>
          </w:tcPr>
          <w:p w14:paraId="57DE200A" w14:textId="7F530456" w:rsidR="004A537D" w:rsidRPr="00005453" w:rsidRDefault="004A537D" w:rsidP="009C126C">
            <w:pPr>
              <w:jc w:val="right"/>
              <w:rPr>
                <w:b/>
                <w:bCs/>
                <w:color w:val="000000"/>
                <w:sz w:val="18"/>
                <w:szCs w:val="18"/>
                <w:lang w:eastAsia="tr-TR"/>
              </w:rPr>
            </w:pPr>
            <w:r w:rsidRPr="00005453">
              <w:rPr>
                <w:b/>
                <w:bCs/>
                <w:color w:val="000000"/>
                <w:sz w:val="18"/>
                <w:szCs w:val="18"/>
                <w:lang w:eastAsia="tr-TR"/>
              </w:rPr>
              <w:t>Cari Dönem</w:t>
            </w:r>
          </w:p>
        </w:tc>
        <w:tc>
          <w:tcPr>
            <w:tcW w:w="2072" w:type="dxa"/>
            <w:gridSpan w:val="2"/>
            <w:tcBorders>
              <w:top w:val="single" w:sz="8" w:space="0" w:color="000000"/>
              <w:left w:val="nil"/>
              <w:bottom w:val="single" w:sz="8" w:space="0" w:color="000000"/>
              <w:right w:val="nil"/>
            </w:tcBorders>
            <w:shd w:val="clear" w:color="auto" w:fill="auto"/>
            <w:vAlign w:val="center"/>
            <w:hideMark/>
          </w:tcPr>
          <w:p w14:paraId="7F7FF63F" w14:textId="77777777" w:rsidR="004A537D" w:rsidRPr="00005453" w:rsidRDefault="004A537D" w:rsidP="009C126C">
            <w:pPr>
              <w:jc w:val="right"/>
              <w:rPr>
                <w:b/>
                <w:bCs/>
                <w:color w:val="000000"/>
                <w:sz w:val="18"/>
                <w:szCs w:val="18"/>
                <w:lang w:eastAsia="tr-TR"/>
              </w:rPr>
            </w:pPr>
            <w:r w:rsidRPr="00005453">
              <w:rPr>
                <w:b/>
                <w:bCs/>
                <w:color w:val="000000"/>
                <w:sz w:val="18"/>
                <w:szCs w:val="18"/>
                <w:lang w:eastAsia="tr-TR"/>
              </w:rPr>
              <w:t>Önceki Dönem</w:t>
            </w:r>
          </w:p>
        </w:tc>
      </w:tr>
      <w:tr w:rsidR="004A537D" w:rsidRPr="00005453" w14:paraId="1E5109EA" w14:textId="77777777" w:rsidTr="000E5F12">
        <w:trPr>
          <w:divId w:val="1165585113"/>
          <w:trHeight w:val="255"/>
        </w:trPr>
        <w:tc>
          <w:tcPr>
            <w:tcW w:w="5359" w:type="dxa"/>
            <w:vMerge/>
            <w:tcBorders>
              <w:left w:val="nil"/>
              <w:bottom w:val="single" w:sz="8" w:space="0" w:color="000000"/>
              <w:right w:val="nil"/>
            </w:tcBorders>
            <w:shd w:val="clear" w:color="auto" w:fill="auto"/>
            <w:vAlign w:val="center"/>
            <w:hideMark/>
          </w:tcPr>
          <w:p w14:paraId="64F0F8A7" w14:textId="569B0DB1" w:rsidR="004A537D" w:rsidRPr="00005453" w:rsidRDefault="004A537D" w:rsidP="009C126C">
            <w:pPr>
              <w:rPr>
                <w:b/>
                <w:bCs/>
                <w:color w:val="000000"/>
                <w:sz w:val="18"/>
                <w:szCs w:val="18"/>
                <w:lang w:eastAsia="tr-TR"/>
              </w:rPr>
            </w:pPr>
          </w:p>
        </w:tc>
        <w:tc>
          <w:tcPr>
            <w:tcW w:w="658" w:type="dxa"/>
            <w:tcBorders>
              <w:top w:val="nil"/>
              <w:left w:val="nil"/>
              <w:bottom w:val="single" w:sz="8" w:space="0" w:color="000000"/>
              <w:right w:val="nil"/>
            </w:tcBorders>
            <w:shd w:val="clear" w:color="auto" w:fill="auto"/>
            <w:vAlign w:val="center"/>
            <w:hideMark/>
          </w:tcPr>
          <w:p w14:paraId="0B800A32" w14:textId="77777777" w:rsidR="004A537D" w:rsidRPr="00005453" w:rsidRDefault="004A537D" w:rsidP="009C126C">
            <w:pPr>
              <w:jc w:val="right"/>
              <w:rPr>
                <w:b/>
                <w:bCs/>
                <w:color w:val="000000"/>
                <w:sz w:val="18"/>
                <w:szCs w:val="18"/>
                <w:lang w:eastAsia="tr-TR"/>
              </w:rPr>
            </w:pPr>
            <w:r w:rsidRPr="00005453">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4A13C661" w14:textId="77777777" w:rsidR="004A537D" w:rsidRPr="00005453" w:rsidRDefault="004A537D" w:rsidP="009C126C">
            <w:pPr>
              <w:jc w:val="right"/>
              <w:rPr>
                <w:b/>
                <w:bCs/>
                <w:color w:val="000000"/>
                <w:sz w:val="18"/>
                <w:szCs w:val="18"/>
                <w:lang w:eastAsia="tr-TR"/>
              </w:rPr>
            </w:pPr>
            <w:r w:rsidRPr="00005453">
              <w:rPr>
                <w:b/>
                <w:bCs/>
                <w:color w:val="000000"/>
                <w:sz w:val="18"/>
                <w:szCs w:val="18"/>
                <w:lang w:eastAsia="tr-TR"/>
              </w:rPr>
              <w:t>YP</w:t>
            </w:r>
          </w:p>
        </w:tc>
        <w:tc>
          <w:tcPr>
            <w:tcW w:w="996" w:type="dxa"/>
            <w:tcBorders>
              <w:top w:val="nil"/>
              <w:left w:val="nil"/>
              <w:bottom w:val="single" w:sz="8" w:space="0" w:color="000000"/>
              <w:right w:val="nil"/>
            </w:tcBorders>
            <w:shd w:val="clear" w:color="auto" w:fill="auto"/>
            <w:vAlign w:val="center"/>
            <w:hideMark/>
          </w:tcPr>
          <w:p w14:paraId="73AE4323" w14:textId="77777777" w:rsidR="004A537D" w:rsidRPr="00005453" w:rsidRDefault="004A537D" w:rsidP="009C126C">
            <w:pPr>
              <w:jc w:val="right"/>
              <w:rPr>
                <w:b/>
                <w:bCs/>
                <w:color w:val="000000"/>
                <w:sz w:val="18"/>
                <w:szCs w:val="18"/>
                <w:lang w:eastAsia="tr-TR"/>
              </w:rPr>
            </w:pPr>
            <w:r w:rsidRPr="00005453">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7F5295FD" w14:textId="77777777" w:rsidR="004A537D" w:rsidRPr="00005453" w:rsidRDefault="004A537D" w:rsidP="009C126C">
            <w:pPr>
              <w:jc w:val="right"/>
              <w:rPr>
                <w:b/>
                <w:bCs/>
                <w:color w:val="000000"/>
                <w:sz w:val="18"/>
                <w:szCs w:val="18"/>
                <w:lang w:eastAsia="tr-TR"/>
              </w:rPr>
            </w:pPr>
            <w:r w:rsidRPr="00005453">
              <w:rPr>
                <w:b/>
                <w:bCs/>
                <w:color w:val="000000"/>
                <w:sz w:val="18"/>
                <w:szCs w:val="18"/>
                <w:lang w:eastAsia="tr-TR"/>
              </w:rPr>
              <w:t>YP</w:t>
            </w:r>
          </w:p>
        </w:tc>
      </w:tr>
      <w:tr w:rsidR="00686390" w:rsidRPr="00005453" w14:paraId="62393846" w14:textId="77777777" w:rsidTr="000E5F12">
        <w:trPr>
          <w:divId w:val="1165585113"/>
          <w:trHeight w:val="243"/>
        </w:trPr>
        <w:tc>
          <w:tcPr>
            <w:tcW w:w="5359" w:type="dxa"/>
            <w:tcBorders>
              <w:top w:val="nil"/>
              <w:left w:val="nil"/>
              <w:bottom w:val="nil"/>
              <w:right w:val="nil"/>
            </w:tcBorders>
            <w:shd w:val="clear" w:color="auto" w:fill="auto"/>
            <w:vAlign w:val="center"/>
            <w:hideMark/>
          </w:tcPr>
          <w:p w14:paraId="25F62B5A" w14:textId="77777777" w:rsidR="00686390" w:rsidRPr="00005453" w:rsidRDefault="00686390" w:rsidP="00686390">
            <w:pPr>
              <w:rPr>
                <w:color w:val="000000"/>
                <w:sz w:val="18"/>
                <w:szCs w:val="18"/>
                <w:lang w:eastAsia="tr-TR"/>
              </w:rPr>
            </w:pPr>
            <w:r w:rsidRPr="00005453">
              <w:rPr>
                <w:color w:val="000000"/>
                <w:sz w:val="18"/>
                <w:szCs w:val="18"/>
                <w:lang w:eastAsia="tr-TR"/>
              </w:rPr>
              <w:t>Yurt İçi Bankalardan</w:t>
            </w:r>
          </w:p>
        </w:tc>
        <w:tc>
          <w:tcPr>
            <w:tcW w:w="658" w:type="dxa"/>
            <w:tcBorders>
              <w:top w:val="nil"/>
              <w:left w:val="nil"/>
              <w:bottom w:val="nil"/>
              <w:right w:val="nil"/>
            </w:tcBorders>
            <w:shd w:val="clear" w:color="auto" w:fill="auto"/>
            <w:vAlign w:val="center"/>
            <w:hideMark/>
          </w:tcPr>
          <w:p w14:paraId="6FE9F143" w14:textId="77777777"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7CD981CF" w14:textId="77777777"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3F55E6BF" w14:textId="2790CB6B"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5D8213AA" w14:textId="26765AAF" w:rsidR="00686390" w:rsidRPr="00005453" w:rsidRDefault="00686390" w:rsidP="00686390">
            <w:pPr>
              <w:jc w:val="right"/>
              <w:rPr>
                <w:color w:val="000000"/>
                <w:sz w:val="18"/>
                <w:szCs w:val="18"/>
                <w:lang w:eastAsia="tr-TR"/>
              </w:rPr>
            </w:pPr>
            <w:r w:rsidRPr="00005453">
              <w:rPr>
                <w:color w:val="000000"/>
                <w:sz w:val="18"/>
                <w:szCs w:val="18"/>
                <w:lang w:eastAsia="tr-TR"/>
              </w:rPr>
              <w:t>-</w:t>
            </w:r>
          </w:p>
        </w:tc>
      </w:tr>
      <w:tr w:rsidR="00686390" w:rsidRPr="00005453" w14:paraId="38FFCC67" w14:textId="77777777" w:rsidTr="000E5F12">
        <w:trPr>
          <w:divId w:val="1165585113"/>
          <w:trHeight w:val="243"/>
        </w:trPr>
        <w:tc>
          <w:tcPr>
            <w:tcW w:w="5359" w:type="dxa"/>
            <w:tcBorders>
              <w:top w:val="nil"/>
              <w:left w:val="nil"/>
              <w:bottom w:val="nil"/>
              <w:right w:val="nil"/>
            </w:tcBorders>
            <w:shd w:val="clear" w:color="auto" w:fill="auto"/>
            <w:vAlign w:val="center"/>
            <w:hideMark/>
          </w:tcPr>
          <w:p w14:paraId="4830B543" w14:textId="77777777" w:rsidR="00686390" w:rsidRPr="00005453" w:rsidRDefault="00686390" w:rsidP="00686390">
            <w:pPr>
              <w:rPr>
                <w:color w:val="000000"/>
                <w:sz w:val="18"/>
                <w:szCs w:val="18"/>
                <w:lang w:eastAsia="tr-TR"/>
              </w:rPr>
            </w:pPr>
            <w:r w:rsidRPr="00005453">
              <w:rPr>
                <w:color w:val="000000"/>
                <w:sz w:val="18"/>
                <w:szCs w:val="18"/>
                <w:lang w:eastAsia="tr-TR"/>
              </w:rPr>
              <w:t>Yurt İçi Diğer Kuruluşlardan</w:t>
            </w:r>
          </w:p>
        </w:tc>
        <w:tc>
          <w:tcPr>
            <w:tcW w:w="658" w:type="dxa"/>
            <w:tcBorders>
              <w:top w:val="nil"/>
              <w:left w:val="nil"/>
              <w:bottom w:val="nil"/>
              <w:right w:val="nil"/>
            </w:tcBorders>
            <w:shd w:val="clear" w:color="auto" w:fill="auto"/>
            <w:vAlign w:val="center"/>
            <w:hideMark/>
          </w:tcPr>
          <w:p w14:paraId="0FA6B165" w14:textId="77777777"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8F0324E" w14:textId="77777777"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01C6A02C" w14:textId="7B6BA89D"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3BFB768D" w14:textId="1AA10F31" w:rsidR="00686390" w:rsidRPr="00005453" w:rsidRDefault="00686390" w:rsidP="00686390">
            <w:pPr>
              <w:jc w:val="right"/>
              <w:rPr>
                <w:color w:val="000000"/>
                <w:sz w:val="18"/>
                <w:szCs w:val="18"/>
                <w:lang w:eastAsia="tr-TR"/>
              </w:rPr>
            </w:pPr>
            <w:r w:rsidRPr="00005453">
              <w:rPr>
                <w:color w:val="000000"/>
                <w:sz w:val="18"/>
                <w:szCs w:val="18"/>
                <w:lang w:eastAsia="tr-TR"/>
              </w:rPr>
              <w:t>-</w:t>
            </w:r>
          </w:p>
        </w:tc>
      </w:tr>
      <w:tr w:rsidR="00686390" w:rsidRPr="00005453" w14:paraId="10F870C4" w14:textId="77777777" w:rsidTr="000E5F12">
        <w:trPr>
          <w:divId w:val="1165585113"/>
          <w:trHeight w:val="243"/>
        </w:trPr>
        <w:tc>
          <w:tcPr>
            <w:tcW w:w="5359" w:type="dxa"/>
            <w:tcBorders>
              <w:top w:val="nil"/>
              <w:left w:val="nil"/>
              <w:bottom w:val="nil"/>
              <w:right w:val="nil"/>
            </w:tcBorders>
            <w:shd w:val="clear" w:color="auto" w:fill="auto"/>
            <w:vAlign w:val="center"/>
            <w:hideMark/>
          </w:tcPr>
          <w:p w14:paraId="48515958" w14:textId="77777777" w:rsidR="00686390" w:rsidRPr="00005453" w:rsidRDefault="00686390" w:rsidP="00686390">
            <w:pPr>
              <w:rPr>
                <w:color w:val="000000"/>
                <w:sz w:val="18"/>
                <w:szCs w:val="18"/>
                <w:lang w:eastAsia="tr-TR"/>
              </w:rPr>
            </w:pPr>
            <w:r w:rsidRPr="00005453">
              <w:rPr>
                <w:color w:val="000000"/>
                <w:sz w:val="18"/>
                <w:szCs w:val="18"/>
                <w:lang w:eastAsia="tr-TR"/>
              </w:rPr>
              <w:t>Yurt Dışı Bankalardan</w:t>
            </w:r>
          </w:p>
        </w:tc>
        <w:tc>
          <w:tcPr>
            <w:tcW w:w="658" w:type="dxa"/>
            <w:tcBorders>
              <w:top w:val="nil"/>
              <w:left w:val="nil"/>
              <w:bottom w:val="nil"/>
              <w:right w:val="nil"/>
            </w:tcBorders>
            <w:shd w:val="clear" w:color="auto" w:fill="auto"/>
            <w:vAlign w:val="center"/>
            <w:hideMark/>
          </w:tcPr>
          <w:p w14:paraId="73DD5B35" w14:textId="77777777"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E010315" w14:textId="77777777"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57DFF5CC" w14:textId="6C5B3D88" w:rsidR="00686390" w:rsidRPr="00005453" w:rsidRDefault="00686390" w:rsidP="00686390">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45E583A7" w14:textId="5BA727D1" w:rsidR="00686390" w:rsidRPr="00005453" w:rsidRDefault="00686390" w:rsidP="00686390">
            <w:pPr>
              <w:jc w:val="right"/>
              <w:rPr>
                <w:color w:val="000000"/>
                <w:sz w:val="18"/>
                <w:szCs w:val="18"/>
                <w:lang w:eastAsia="tr-TR"/>
              </w:rPr>
            </w:pPr>
            <w:r w:rsidRPr="00005453">
              <w:rPr>
                <w:color w:val="000000"/>
                <w:sz w:val="18"/>
                <w:szCs w:val="18"/>
                <w:lang w:eastAsia="tr-TR"/>
              </w:rPr>
              <w:t>-</w:t>
            </w:r>
          </w:p>
        </w:tc>
      </w:tr>
      <w:tr w:rsidR="00AA31DF" w:rsidRPr="00005453" w14:paraId="1E6EC60B" w14:textId="77777777" w:rsidTr="00AA31DF">
        <w:trPr>
          <w:divId w:val="1165585113"/>
          <w:trHeight w:val="255"/>
        </w:trPr>
        <w:tc>
          <w:tcPr>
            <w:tcW w:w="5359" w:type="dxa"/>
            <w:tcBorders>
              <w:top w:val="nil"/>
              <w:left w:val="nil"/>
              <w:bottom w:val="single" w:sz="8" w:space="0" w:color="auto"/>
              <w:right w:val="nil"/>
            </w:tcBorders>
            <w:shd w:val="clear" w:color="auto" w:fill="auto"/>
            <w:vAlign w:val="center"/>
            <w:hideMark/>
          </w:tcPr>
          <w:p w14:paraId="260AD38A" w14:textId="47005B80" w:rsidR="00AA31DF" w:rsidRPr="00005453" w:rsidRDefault="00AA31DF" w:rsidP="00AA31DF">
            <w:pPr>
              <w:rPr>
                <w:color w:val="000000"/>
                <w:sz w:val="18"/>
                <w:szCs w:val="18"/>
                <w:lang w:eastAsia="tr-TR"/>
              </w:rPr>
            </w:pPr>
            <w:r w:rsidRPr="00005453">
              <w:rPr>
                <w:color w:val="000000"/>
                <w:sz w:val="18"/>
                <w:szCs w:val="18"/>
                <w:lang w:eastAsia="tr-TR"/>
              </w:rPr>
              <w:t>Yurt Dışı Diğer Kuruluşlardan</w:t>
            </w:r>
          </w:p>
        </w:tc>
        <w:tc>
          <w:tcPr>
            <w:tcW w:w="658" w:type="dxa"/>
            <w:tcBorders>
              <w:top w:val="nil"/>
              <w:left w:val="nil"/>
              <w:bottom w:val="single" w:sz="8" w:space="0" w:color="auto"/>
              <w:right w:val="nil"/>
            </w:tcBorders>
            <w:shd w:val="clear" w:color="auto" w:fill="auto"/>
            <w:vAlign w:val="center"/>
            <w:hideMark/>
          </w:tcPr>
          <w:p w14:paraId="086221CA" w14:textId="00792A39" w:rsidR="00AA31DF" w:rsidRPr="00005453" w:rsidRDefault="00AA31DF" w:rsidP="00AA31DF">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single" w:sz="8" w:space="0" w:color="auto"/>
              <w:right w:val="nil"/>
            </w:tcBorders>
            <w:shd w:val="clear" w:color="auto" w:fill="auto"/>
            <w:vAlign w:val="center"/>
            <w:hideMark/>
          </w:tcPr>
          <w:p w14:paraId="37B6EEE4" w14:textId="1EA17DF0" w:rsidR="00AA31DF" w:rsidRPr="00005453" w:rsidRDefault="00AA31DF" w:rsidP="00AA31DF">
            <w:pPr>
              <w:jc w:val="right"/>
              <w:rPr>
                <w:color w:val="000000"/>
                <w:sz w:val="18"/>
                <w:szCs w:val="18"/>
                <w:lang w:eastAsia="tr-TR"/>
              </w:rPr>
            </w:pPr>
            <w:r w:rsidRPr="00005453">
              <w:rPr>
                <w:sz w:val="18"/>
                <w:szCs w:val="18"/>
              </w:rPr>
              <w:t>14,186,285</w:t>
            </w:r>
          </w:p>
        </w:tc>
        <w:tc>
          <w:tcPr>
            <w:tcW w:w="996" w:type="dxa"/>
            <w:tcBorders>
              <w:top w:val="nil"/>
              <w:left w:val="nil"/>
              <w:bottom w:val="single" w:sz="8" w:space="0" w:color="auto"/>
              <w:right w:val="nil"/>
            </w:tcBorders>
            <w:shd w:val="clear" w:color="auto" w:fill="auto"/>
            <w:vAlign w:val="center"/>
            <w:hideMark/>
          </w:tcPr>
          <w:p w14:paraId="7FF7769E" w14:textId="5EC8A9F8" w:rsidR="00AA31DF" w:rsidRPr="00005453" w:rsidRDefault="00AA31DF" w:rsidP="00AA31DF">
            <w:pPr>
              <w:jc w:val="right"/>
              <w:rPr>
                <w:color w:val="000000"/>
                <w:sz w:val="18"/>
                <w:szCs w:val="18"/>
                <w:lang w:eastAsia="tr-TR"/>
              </w:rPr>
            </w:pPr>
            <w:r w:rsidRPr="00005453">
              <w:rPr>
                <w:color w:val="000000"/>
                <w:sz w:val="18"/>
                <w:szCs w:val="18"/>
                <w:lang w:eastAsia="tr-TR"/>
              </w:rPr>
              <w:t>-</w:t>
            </w:r>
          </w:p>
        </w:tc>
        <w:tc>
          <w:tcPr>
            <w:tcW w:w="1076" w:type="dxa"/>
            <w:tcBorders>
              <w:top w:val="nil"/>
              <w:left w:val="nil"/>
              <w:bottom w:val="single" w:sz="8" w:space="0" w:color="auto"/>
              <w:right w:val="nil"/>
            </w:tcBorders>
            <w:shd w:val="clear" w:color="auto" w:fill="auto"/>
            <w:vAlign w:val="center"/>
            <w:hideMark/>
          </w:tcPr>
          <w:p w14:paraId="538E8AC7" w14:textId="1463B95B" w:rsidR="00AA31DF" w:rsidRPr="00005453" w:rsidRDefault="00AA31DF" w:rsidP="00AA31DF">
            <w:pPr>
              <w:jc w:val="right"/>
              <w:rPr>
                <w:color w:val="000000"/>
                <w:sz w:val="18"/>
                <w:szCs w:val="18"/>
                <w:lang w:eastAsia="tr-TR"/>
              </w:rPr>
            </w:pPr>
            <w:r w:rsidRPr="00005453">
              <w:rPr>
                <w:color w:val="000000"/>
                <w:sz w:val="18"/>
                <w:szCs w:val="18"/>
                <w:lang w:eastAsia="tr-TR"/>
              </w:rPr>
              <w:t>17,967,564</w:t>
            </w:r>
          </w:p>
        </w:tc>
      </w:tr>
      <w:tr w:rsidR="00AA31DF" w:rsidRPr="00005453" w14:paraId="6F09B8E2" w14:textId="77777777" w:rsidTr="00AA31DF">
        <w:trPr>
          <w:divId w:val="1165585113"/>
          <w:trHeight w:val="162"/>
        </w:trPr>
        <w:tc>
          <w:tcPr>
            <w:tcW w:w="5359" w:type="dxa"/>
            <w:tcBorders>
              <w:top w:val="nil"/>
              <w:left w:val="nil"/>
              <w:bottom w:val="double" w:sz="6" w:space="0" w:color="auto"/>
              <w:right w:val="nil"/>
            </w:tcBorders>
            <w:shd w:val="clear" w:color="auto" w:fill="auto"/>
            <w:vAlign w:val="center"/>
            <w:hideMark/>
          </w:tcPr>
          <w:p w14:paraId="1AB04DFE" w14:textId="77777777" w:rsidR="00AA31DF" w:rsidRPr="00005453" w:rsidRDefault="00AA31DF" w:rsidP="00AA31DF">
            <w:pPr>
              <w:rPr>
                <w:b/>
                <w:bCs/>
                <w:color w:val="000000"/>
                <w:sz w:val="18"/>
                <w:szCs w:val="18"/>
                <w:lang w:eastAsia="tr-TR"/>
              </w:rPr>
            </w:pPr>
            <w:r w:rsidRPr="00005453">
              <w:rPr>
                <w:b/>
                <w:bCs/>
                <w:color w:val="000000"/>
                <w:sz w:val="18"/>
                <w:szCs w:val="18"/>
                <w:lang w:eastAsia="tr-TR"/>
              </w:rPr>
              <w:t>Toplam</w:t>
            </w:r>
          </w:p>
        </w:tc>
        <w:tc>
          <w:tcPr>
            <w:tcW w:w="658" w:type="dxa"/>
            <w:tcBorders>
              <w:top w:val="nil"/>
              <w:left w:val="nil"/>
              <w:bottom w:val="double" w:sz="6" w:space="0" w:color="auto"/>
              <w:right w:val="nil"/>
            </w:tcBorders>
            <w:shd w:val="clear" w:color="auto" w:fill="auto"/>
            <w:vAlign w:val="center"/>
            <w:hideMark/>
          </w:tcPr>
          <w:p w14:paraId="78ACD360" w14:textId="6AD801B7" w:rsidR="00AA31DF" w:rsidRPr="00005453" w:rsidRDefault="00AA31DF" w:rsidP="00AA31DF">
            <w:pPr>
              <w:jc w:val="right"/>
              <w:rPr>
                <w:b/>
                <w:bCs/>
                <w:color w:val="000000"/>
                <w:sz w:val="18"/>
                <w:szCs w:val="18"/>
                <w:lang w:eastAsia="tr-TR"/>
              </w:rPr>
            </w:pPr>
            <w:r w:rsidRPr="00005453">
              <w:rPr>
                <w:b/>
                <w:bCs/>
                <w:color w:val="000000"/>
                <w:sz w:val="18"/>
                <w:szCs w:val="18"/>
                <w:lang w:eastAsia="tr-TR"/>
              </w:rPr>
              <w:t>-</w:t>
            </w:r>
          </w:p>
        </w:tc>
        <w:tc>
          <w:tcPr>
            <w:tcW w:w="1076" w:type="dxa"/>
            <w:tcBorders>
              <w:top w:val="nil"/>
              <w:left w:val="nil"/>
              <w:bottom w:val="double" w:sz="6" w:space="0" w:color="auto"/>
              <w:right w:val="nil"/>
            </w:tcBorders>
            <w:shd w:val="clear" w:color="auto" w:fill="auto"/>
            <w:vAlign w:val="center"/>
            <w:hideMark/>
          </w:tcPr>
          <w:p w14:paraId="1935FC5E" w14:textId="43097A0B" w:rsidR="00AA31DF" w:rsidRPr="00005453" w:rsidRDefault="00AA31DF" w:rsidP="00AA31DF">
            <w:pPr>
              <w:jc w:val="right"/>
              <w:rPr>
                <w:b/>
                <w:bCs/>
                <w:color w:val="000000"/>
                <w:sz w:val="18"/>
                <w:szCs w:val="18"/>
                <w:lang w:eastAsia="tr-TR"/>
              </w:rPr>
            </w:pPr>
            <w:r w:rsidRPr="00005453">
              <w:rPr>
                <w:b/>
                <w:sz w:val="18"/>
                <w:szCs w:val="18"/>
              </w:rPr>
              <w:t>14,186,285</w:t>
            </w:r>
          </w:p>
        </w:tc>
        <w:tc>
          <w:tcPr>
            <w:tcW w:w="996" w:type="dxa"/>
            <w:tcBorders>
              <w:top w:val="nil"/>
              <w:left w:val="nil"/>
              <w:bottom w:val="double" w:sz="6" w:space="0" w:color="auto"/>
              <w:right w:val="nil"/>
            </w:tcBorders>
            <w:shd w:val="clear" w:color="auto" w:fill="auto"/>
            <w:vAlign w:val="center"/>
            <w:hideMark/>
          </w:tcPr>
          <w:p w14:paraId="471F6A9B" w14:textId="064F0D53" w:rsidR="00AA31DF" w:rsidRPr="00005453" w:rsidRDefault="00AA31DF" w:rsidP="00AA31DF">
            <w:pPr>
              <w:jc w:val="right"/>
              <w:rPr>
                <w:b/>
                <w:bCs/>
                <w:color w:val="000000"/>
                <w:sz w:val="18"/>
                <w:szCs w:val="18"/>
                <w:lang w:eastAsia="tr-TR"/>
              </w:rPr>
            </w:pPr>
            <w:r w:rsidRPr="00005453">
              <w:rPr>
                <w:b/>
                <w:bCs/>
                <w:color w:val="000000"/>
                <w:sz w:val="18"/>
                <w:szCs w:val="18"/>
                <w:lang w:eastAsia="tr-TR"/>
              </w:rPr>
              <w:t>-</w:t>
            </w:r>
          </w:p>
        </w:tc>
        <w:tc>
          <w:tcPr>
            <w:tcW w:w="1076" w:type="dxa"/>
            <w:tcBorders>
              <w:top w:val="nil"/>
              <w:left w:val="nil"/>
              <w:bottom w:val="double" w:sz="6" w:space="0" w:color="auto"/>
              <w:right w:val="nil"/>
            </w:tcBorders>
            <w:shd w:val="clear" w:color="auto" w:fill="auto"/>
            <w:vAlign w:val="center"/>
            <w:hideMark/>
          </w:tcPr>
          <w:p w14:paraId="1B498897" w14:textId="30B2EEB7" w:rsidR="00AA31DF" w:rsidRPr="00005453" w:rsidRDefault="00AA31DF" w:rsidP="00AA31DF">
            <w:pPr>
              <w:jc w:val="right"/>
              <w:rPr>
                <w:b/>
                <w:bCs/>
                <w:color w:val="000000"/>
                <w:sz w:val="18"/>
                <w:szCs w:val="18"/>
                <w:lang w:eastAsia="tr-TR"/>
              </w:rPr>
            </w:pPr>
            <w:r w:rsidRPr="00005453">
              <w:rPr>
                <w:b/>
                <w:color w:val="000000"/>
                <w:sz w:val="18"/>
                <w:szCs w:val="18"/>
                <w:lang w:eastAsia="tr-TR"/>
              </w:rPr>
              <w:t>17,967,564</w:t>
            </w:r>
          </w:p>
        </w:tc>
      </w:tr>
    </w:tbl>
    <w:p w14:paraId="6107E768" w14:textId="77777777" w:rsidR="00D50241" w:rsidRPr="00005453" w:rsidRDefault="00D50241" w:rsidP="00C4723A">
      <w:pPr>
        <w:autoSpaceDE w:val="0"/>
        <w:autoSpaceDN w:val="0"/>
        <w:adjustRightInd w:val="0"/>
        <w:ind w:hanging="567"/>
        <w:rPr>
          <w:b/>
          <w:bCs/>
          <w:iCs/>
        </w:rPr>
      </w:pPr>
    </w:p>
    <w:p w14:paraId="2428873A" w14:textId="098D8CB6" w:rsidR="00201D41" w:rsidRPr="00005453" w:rsidRDefault="00081FB4" w:rsidP="00081FB4">
      <w:pPr>
        <w:autoSpaceDE w:val="0"/>
        <w:autoSpaceDN w:val="0"/>
        <w:adjustRightInd w:val="0"/>
        <w:ind w:hanging="567"/>
        <w:rPr>
          <w:b/>
          <w:bCs/>
          <w:iCs/>
        </w:rPr>
      </w:pPr>
      <w:r w:rsidRPr="00005453">
        <w:rPr>
          <w:b/>
          <w:bCs/>
          <w:iCs/>
        </w:rPr>
        <w:t>2</w:t>
      </w:r>
      <w:r w:rsidR="00201D41" w:rsidRPr="00005453">
        <w:rPr>
          <w:b/>
          <w:bCs/>
          <w:iCs/>
        </w:rPr>
        <w:t>.</w:t>
      </w:r>
      <w:r w:rsidRPr="00005453">
        <w:rPr>
          <w:b/>
          <w:bCs/>
          <w:iCs/>
        </w:rPr>
        <w:t>1</w:t>
      </w:r>
      <w:r w:rsidR="00731AA9" w:rsidRPr="00005453">
        <w:rPr>
          <w:b/>
          <w:bCs/>
          <w:iCs/>
        </w:rPr>
        <w:t>2</w:t>
      </w:r>
      <w:r w:rsidR="007A10B9" w:rsidRPr="00005453">
        <w:rPr>
          <w:b/>
          <w:bCs/>
          <w:iCs/>
        </w:rPr>
        <w:t>.</w:t>
      </w:r>
      <w:r w:rsidR="00201D41" w:rsidRPr="00005453">
        <w:rPr>
          <w:b/>
          <w:bCs/>
          <w:iCs/>
        </w:rPr>
        <w:tab/>
        <w:t xml:space="preserve">Özkaynaklara ilişkin bilgiler </w:t>
      </w:r>
    </w:p>
    <w:p w14:paraId="41D88CEB" w14:textId="77777777" w:rsidR="00201D41" w:rsidRPr="00005453" w:rsidRDefault="00201D41" w:rsidP="00201D41">
      <w:pPr>
        <w:pStyle w:val="xl59"/>
        <w:pBdr>
          <w:right w:val="none" w:sz="0" w:space="0" w:color="auto"/>
        </w:pBdr>
        <w:autoSpaceDE w:val="0"/>
        <w:autoSpaceDN w:val="0"/>
        <w:adjustRightInd w:val="0"/>
        <w:spacing w:before="0" w:beforeAutospacing="0" w:after="0" w:afterAutospacing="0"/>
        <w:jc w:val="left"/>
      </w:pPr>
    </w:p>
    <w:p w14:paraId="5B934B2D" w14:textId="59D95403" w:rsidR="00C020A1" w:rsidRPr="00005453" w:rsidRDefault="00081FB4" w:rsidP="00C020A1">
      <w:pPr>
        <w:tabs>
          <w:tab w:val="num" w:pos="2340"/>
          <w:tab w:val="num" w:pos="3060"/>
        </w:tabs>
        <w:autoSpaceDE w:val="0"/>
        <w:autoSpaceDN w:val="0"/>
        <w:adjustRightInd w:val="0"/>
        <w:ind w:hanging="567"/>
        <w:rPr>
          <w:sz w:val="10"/>
          <w:szCs w:val="10"/>
        </w:rPr>
      </w:pPr>
      <w:r w:rsidRPr="00005453">
        <w:rPr>
          <w:b/>
        </w:rPr>
        <w:t>2.1</w:t>
      </w:r>
      <w:r w:rsidR="00731AA9" w:rsidRPr="00005453">
        <w:rPr>
          <w:b/>
        </w:rPr>
        <w:t>2</w:t>
      </w:r>
      <w:r w:rsidRPr="00005453">
        <w:rPr>
          <w:b/>
        </w:rPr>
        <w:t>.1</w:t>
      </w:r>
      <w:r w:rsidR="007A10B9" w:rsidRPr="00005453">
        <w:rPr>
          <w:b/>
        </w:rPr>
        <w:t>.</w:t>
      </w:r>
      <w:r w:rsidRPr="00005453">
        <w:tab/>
      </w:r>
      <w:r w:rsidR="00201D41" w:rsidRPr="00005453">
        <w:t>Ödenmiş sermayenin gösterimi</w:t>
      </w:r>
      <w:r w:rsidR="00A71B73" w:rsidRPr="00005453">
        <w:br/>
      </w:r>
    </w:p>
    <w:tbl>
      <w:tblPr>
        <w:tblW w:w="9241" w:type="dxa"/>
        <w:tblCellMar>
          <w:left w:w="70" w:type="dxa"/>
          <w:right w:w="70" w:type="dxa"/>
        </w:tblCellMar>
        <w:tblLook w:val="04A0" w:firstRow="1" w:lastRow="0" w:firstColumn="1" w:lastColumn="0" w:noHBand="0" w:noVBand="1"/>
      </w:tblPr>
      <w:tblGrid>
        <w:gridCol w:w="5387"/>
        <w:gridCol w:w="1701"/>
        <w:gridCol w:w="2153"/>
      </w:tblGrid>
      <w:tr w:rsidR="00C020A1" w:rsidRPr="00005453" w14:paraId="3472D5F5" w14:textId="77777777" w:rsidTr="00614CD2">
        <w:trPr>
          <w:divId w:val="1133908294"/>
          <w:trHeight w:val="238"/>
        </w:trPr>
        <w:tc>
          <w:tcPr>
            <w:tcW w:w="5387" w:type="dxa"/>
            <w:tcBorders>
              <w:top w:val="double" w:sz="6" w:space="0" w:color="auto"/>
              <w:left w:val="nil"/>
              <w:bottom w:val="single" w:sz="8" w:space="0" w:color="auto"/>
              <w:right w:val="nil"/>
            </w:tcBorders>
            <w:shd w:val="clear" w:color="auto" w:fill="auto"/>
            <w:vAlign w:val="center"/>
            <w:hideMark/>
          </w:tcPr>
          <w:p w14:paraId="302CE999" w14:textId="1993F10D" w:rsidR="00C020A1" w:rsidRPr="00005453" w:rsidRDefault="00C020A1" w:rsidP="00C020A1">
            <w:pPr>
              <w:jc w:val="center"/>
              <w:rPr>
                <w:b/>
                <w:bCs/>
                <w:color w:val="000000"/>
                <w:sz w:val="18"/>
                <w:szCs w:val="18"/>
                <w:lang w:eastAsia="tr-TR"/>
              </w:rPr>
            </w:pPr>
            <w:r w:rsidRPr="00005453">
              <w:rPr>
                <w:b/>
                <w:bCs/>
                <w:color w:val="000000"/>
                <w:sz w:val="18"/>
                <w:szCs w:val="18"/>
                <w:lang w:eastAsia="tr-TR"/>
              </w:rPr>
              <w:t> </w:t>
            </w:r>
          </w:p>
        </w:tc>
        <w:tc>
          <w:tcPr>
            <w:tcW w:w="1701" w:type="dxa"/>
            <w:tcBorders>
              <w:top w:val="double" w:sz="6" w:space="0" w:color="auto"/>
              <w:left w:val="nil"/>
              <w:bottom w:val="single" w:sz="8" w:space="0" w:color="auto"/>
              <w:right w:val="nil"/>
            </w:tcBorders>
            <w:shd w:val="clear" w:color="auto" w:fill="auto"/>
            <w:vAlign w:val="center"/>
            <w:hideMark/>
          </w:tcPr>
          <w:p w14:paraId="460A57AA" w14:textId="77777777" w:rsidR="00C020A1" w:rsidRPr="00005453" w:rsidRDefault="00C020A1" w:rsidP="00C020A1">
            <w:pPr>
              <w:jc w:val="right"/>
              <w:rPr>
                <w:b/>
                <w:bCs/>
                <w:color w:val="000000"/>
                <w:sz w:val="18"/>
                <w:szCs w:val="18"/>
                <w:lang w:eastAsia="tr-TR"/>
              </w:rPr>
            </w:pPr>
            <w:r w:rsidRPr="00005453">
              <w:rPr>
                <w:b/>
                <w:bCs/>
                <w:color w:val="000000"/>
                <w:sz w:val="18"/>
                <w:szCs w:val="18"/>
                <w:lang w:eastAsia="tr-TR"/>
              </w:rPr>
              <w:t>Cari Dönem</w:t>
            </w:r>
          </w:p>
        </w:tc>
        <w:tc>
          <w:tcPr>
            <w:tcW w:w="2153" w:type="dxa"/>
            <w:tcBorders>
              <w:top w:val="double" w:sz="6" w:space="0" w:color="auto"/>
              <w:left w:val="nil"/>
              <w:bottom w:val="single" w:sz="8" w:space="0" w:color="auto"/>
              <w:right w:val="nil"/>
            </w:tcBorders>
            <w:shd w:val="clear" w:color="auto" w:fill="auto"/>
            <w:vAlign w:val="center"/>
            <w:hideMark/>
          </w:tcPr>
          <w:p w14:paraId="15D200BB" w14:textId="77777777" w:rsidR="00C020A1" w:rsidRPr="00005453" w:rsidRDefault="00C020A1" w:rsidP="00C020A1">
            <w:pPr>
              <w:jc w:val="right"/>
              <w:rPr>
                <w:b/>
                <w:bCs/>
                <w:color w:val="000000"/>
                <w:sz w:val="18"/>
                <w:szCs w:val="18"/>
                <w:lang w:eastAsia="tr-TR"/>
              </w:rPr>
            </w:pPr>
            <w:r w:rsidRPr="00005453">
              <w:rPr>
                <w:b/>
                <w:bCs/>
                <w:color w:val="000000"/>
                <w:sz w:val="18"/>
                <w:szCs w:val="18"/>
                <w:lang w:eastAsia="tr-TR"/>
              </w:rPr>
              <w:t>Önceki Dönem</w:t>
            </w:r>
          </w:p>
        </w:tc>
      </w:tr>
      <w:tr w:rsidR="002F689C" w:rsidRPr="00005453" w14:paraId="31977402" w14:textId="77777777" w:rsidTr="002F689C">
        <w:trPr>
          <w:divId w:val="1133908294"/>
          <w:trHeight w:val="238"/>
        </w:trPr>
        <w:tc>
          <w:tcPr>
            <w:tcW w:w="5387" w:type="dxa"/>
            <w:tcBorders>
              <w:top w:val="nil"/>
              <w:left w:val="nil"/>
              <w:bottom w:val="nil"/>
              <w:right w:val="nil"/>
            </w:tcBorders>
            <w:shd w:val="clear" w:color="auto" w:fill="auto"/>
            <w:vAlign w:val="center"/>
            <w:hideMark/>
          </w:tcPr>
          <w:p w14:paraId="3486F18B" w14:textId="77777777" w:rsidR="002F689C" w:rsidRPr="00005453" w:rsidRDefault="002F689C" w:rsidP="002F689C">
            <w:pPr>
              <w:rPr>
                <w:color w:val="000000"/>
                <w:sz w:val="18"/>
                <w:szCs w:val="18"/>
                <w:lang w:eastAsia="tr-TR"/>
              </w:rPr>
            </w:pPr>
            <w:r w:rsidRPr="00005453">
              <w:rPr>
                <w:rFonts w:eastAsia="Arial Unicode MS"/>
                <w:color w:val="000000"/>
                <w:sz w:val="18"/>
                <w:szCs w:val="18"/>
                <w:lang w:eastAsia="tr-TR"/>
              </w:rPr>
              <w:t>Hisse senedi karşılığı</w:t>
            </w:r>
          </w:p>
        </w:tc>
        <w:tc>
          <w:tcPr>
            <w:tcW w:w="1701" w:type="dxa"/>
            <w:tcBorders>
              <w:top w:val="nil"/>
              <w:left w:val="nil"/>
              <w:bottom w:val="nil"/>
              <w:right w:val="nil"/>
            </w:tcBorders>
            <w:shd w:val="clear" w:color="auto" w:fill="auto"/>
            <w:vAlign w:val="center"/>
            <w:hideMark/>
          </w:tcPr>
          <w:p w14:paraId="37ED3DA9" w14:textId="3BE70830" w:rsidR="002F689C" w:rsidRPr="00005453" w:rsidRDefault="002F689C" w:rsidP="002F689C">
            <w:pPr>
              <w:jc w:val="right"/>
              <w:rPr>
                <w:color w:val="000000" w:themeColor="text1"/>
                <w:sz w:val="18"/>
                <w:szCs w:val="18"/>
                <w:lang w:eastAsia="tr-TR"/>
              </w:rPr>
            </w:pPr>
            <w:r w:rsidRPr="00005453">
              <w:rPr>
                <w:color w:val="000000" w:themeColor="text1"/>
                <w:sz w:val="18"/>
                <w:szCs w:val="18"/>
              </w:rPr>
              <w:t>4,952,205</w:t>
            </w:r>
          </w:p>
        </w:tc>
        <w:tc>
          <w:tcPr>
            <w:tcW w:w="2153" w:type="dxa"/>
            <w:tcBorders>
              <w:top w:val="nil"/>
              <w:left w:val="nil"/>
              <w:bottom w:val="nil"/>
              <w:right w:val="nil"/>
            </w:tcBorders>
            <w:shd w:val="clear" w:color="auto" w:fill="auto"/>
            <w:vAlign w:val="center"/>
            <w:hideMark/>
          </w:tcPr>
          <w:p w14:paraId="23633FE8" w14:textId="10F2AEB2" w:rsidR="002F689C" w:rsidRPr="00005453" w:rsidRDefault="002F689C" w:rsidP="002F689C">
            <w:pPr>
              <w:jc w:val="right"/>
              <w:rPr>
                <w:color w:val="000000"/>
                <w:sz w:val="18"/>
                <w:szCs w:val="18"/>
                <w:lang w:eastAsia="tr-TR"/>
              </w:rPr>
            </w:pPr>
            <w:r w:rsidRPr="00005453">
              <w:rPr>
                <w:color w:val="000000"/>
                <w:sz w:val="18"/>
                <w:szCs w:val="18"/>
                <w:lang w:eastAsia="tr-TR"/>
              </w:rPr>
              <w:t>4,600,000</w:t>
            </w:r>
          </w:p>
        </w:tc>
      </w:tr>
      <w:tr w:rsidR="002F689C" w:rsidRPr="00005453" w14:paraId="2564F86F" w14:textId="77777777" w:rsidTr="002F689C">
        <w:trPr>
          <w:divId w:val="1133908294"/>
          <w:trHeight w:val="253"/>
        </w:trPr>
        <w:tc>
          <w:tcPr>
            <w:tcW w:w="5387" w:type="dxa"/>
            <w:tcBorders>
              <w:top w:val="nil"/>
              <w:left w:val="nil"/>
              <w:bottom w:val="nil"/>
              <w:right w:val="nil"/>
            </w:tcBorders>
            <w:shd w:val="clear" w:color="auto" w:fill="auto"/>
            <w:vAlign w:val="center"/>
            <w:hideMark/>
          </w:tcPr>
          <w:p w14:paraId="1A4A4A91" w14:textId="77777777" w:rsidR="002F689C" w:rsidRPr="00005453" w:rsidRDefault="002F689C" w:rsidP="002F689C">
            <w:pPr>
              <w:rPr>
                <w:color w:val="000000"/>
                <w:sz w:val="18"/>
                <w:szCs w:val="18"/>
                <w:lang w:eastAsia="tr-TR"/>
              </w:rPr>
            </w:pPr>
            <w:r w:rsidRPr="00005453">
              <w:rPr>
                <w:rFonts w:eastAsia="Arial Unicode MS"/>
                <w:color w:val="000000"/>
                <w:sz w:val="18"/>
                <w:szCs w:val="18"/>
                <w:lang w:eastAsia="tr-TR"/>
              </w:rPr>
              <w:t>İmtiyazlı hisse senedi karşılığı</w:t>
            </w:r>
          </w:p>
        </w:tc>
        <w:tc>
          <w:tcPr>
            <w:tcW w:w="1701" w:type="dxa"/>
            <w:tcBorders>
              <w:top w:val="nil"/>
              <w:left w:val="nil"/>
              <w:bottom w:val="nil"/>
              <w:right w:val="nil"/>
            </w:tcBorders>
            <w:shd w:val="clear" w:color="auto" w:fill="auto"/>
            <w:vAlign w:val="center"/>
            <w:hideMark/>
          </w:tcPr>
          <w:p w14:paraId="2F1B6E59" w14:textId="7DA1ED33" w:rsidR="002F689C" w:rsidRPr="00005453" w:rsidRDefault="002F689C" w:rsidP="002F689C">
            <w:pPr>
              <w:jc w:val="right"/>
              <w:rPr>
                <w:color w:val="000000" w:themeColor="text1"/>
                <w:sz w:val="18"/>
                <w:szCs w:val="18"/>
                <w:lang w:eastAsia="tr-TR"/>
              </w:rPr>
            </w:pPr>
            <w:r w:rsidRPr="00005453">
              <w:rPr>
                <w:color w:val="000000" w:themeColor="text1"/>
                <w:sz w:val="18"/>
                <w:szCs w:val="18"/>
              </w:rPr>
              <w:t>-</w:t>
            </w:r>
          </w:p>
        </w:tc>
        <w:tc>
          <w:tcPr>
            <w:tcW w:w="2153" w:type="dxa"/>
            <w:tcBorders>
              <w:top w:val="nil"/>
              <w:left w:val="nil"/>
              <w:bottom w:val="nil"/>
              <w:right w:val="nil"/>
            </w:tcBorders>
            <w:shd w:val="clear" w:color="auto" w:fill="auto"/>
            <w:vAlign w:val="center"/>
            <w:hideMark/>
          </w:tcPr>
          <w:p w14:paraId="4A6525B9" w14:textId="1C9240E4" w:rsidR="002F689C" w:rsidRPr="00005453" w:rsidRDefault="002F689C" w:rsidP="002F689C">
            <w:pPr>
              <w:jc w:val="right"/>
              <w:rPr>
                <w:color w:val="000000"/>
                <w:sz w:val="18"/>
                <w:szCs w:val="18"/>
                <w:lang w:eastAsia="tr-TR"/>
              </w:rPr>
            </w:pPr>
            <w:r w:rsidRPr="00005453">
              <w:rPr>
                <w:color w:val="000000"/>
                <w:sz w:val="18"/>
                <w:szCs w:val="18"/>
                <w:lang w:eastAsia="tr-TR"/>
              </w:rPr>
              <w:t>-</w:t>
            </w:r>
          </w:p>
        </w:tc>
      </w:tr>
      <w:tr w:rsidR="002F689C" w:rsidRPr="00005453" w14:paraId="708B0A4C" w14:textId="77777777" w:rsidTr="002F689C">
        <w:trPr>
          <w:divId w:val="1133908294"/>
          <w:trHeight w:val="298"/>
        </w:trPr>
        <w:tc>
          <w:tcPr>
            <w:tcW w:w="5387" w:type="dxa"/>
            <w:tcBorders>
              <w:top w:val="nil"/>
              <w:left w:val="nil"/>
              <w:bottom w:val="nil"/>
              <w:right w:val="nil"/>
            </w:tcBorders>
            <w:shd w:val="clear" w:color="auto" w:fill="auto"/>
            <w:vAlign w:val="center"/>
            <w:hideMark/>
          </w:tcPr>
          <w:p w14:paraId="2D9B8614" w14:textId="77777777" w:rsidR="002F689C" w:rsidRPr="00005453" w:rsidRDefault="002F689C" w:rsidP="002F689C">
            <w:pPr>
              <w:rPr>
                <w:color w:val="000000"/>
                <w:sz w:val="18"/>
                <w:szCs w:val="18"/>
                <w:lang w:eastAsia="tr-TR"/>
              </w:rPr>
            </w:pPr>
            <w:r w:rsidRPr="00005453">
              <w:rPr>
                <w:rFonts w:eastAsia="Arial Unicode MS"/>
                <w:color w:val="000000"/>
                <w:sz w:val="18"/>
                <w:szCs w:val="18"/>
                <w:lang w:eastAsia="tr-TR"/>
              </w:rPr>
              <w:t xml:space="preserve">Geri alınan hisse tutarı </w:t>
            </w:r>
            <w:r w:rsidRPr="00005453">
              <w:rPr>
                <w:rFonts w:eastAsia="Arial Unicode MS"/>
                <w:color w:val="000000"/>
                <w:sz w:val="18"/>
                <w:szCs w:val="18"/>
                <w:vertAlign w:val="superscript"/>
                <w:lang w:eastAsia="tr-TR"/>
              </w:rPr>
              <w:t>(*)</w:t>
            </w:r>
          </w:p>
        </w:tc>
        <w:tc>
          <w:tcPr>
            <w:tcW w:w="1701" w:type="dxa"/>
            <w:tcBorders>
              <w:top w:val="nil"/>
              <w:left w:val="nil"/>
              <w:bottom w:val="nil"/>
              <w:right w:val="nil"/>
            </w:tcBorders>
            <w:shd w:val="clear" w:color="auto" w:fill="auto"/>
            <w:vAlign w:val="center"/>
            <w:hideMark/>
          </w:tcPr>
          <w:p w14:paraId="4273793E" w14:textId="4815C9B8" w:rsidR="002F689C" w:rsidRPr="00005453" w:rsidRDefault="002F689C" w:rsidP="002F689C">
            <w:pPr>
              <w:jc w:val="right"/>
              <w:rPr>
                <w:color w:val="000000" w:themeColor="text1"/>
                <w:sz w:val="18"/>
                <w:szCs w:val="18"/>
                <w:lang w:eastAsia="tr-TR"/>
              </w:rPr>
            </w:pPr>
            <w:r w:rsidRPr="00005453">
              <w:rPr>
                <w:color w:val="000000" w:themeColor="text1"/>
                <w:sz w:val="18"/>
                <w:szCs w:val="18"/>
              </w:rPr>
              <w:t>(4,869)</w:t>
            </w:r>
          </w:p>
        </w:tc>
        <w:tc>
          <w:tcPr>
            <w:tcW w:w="2153" w:type="dxa"/>
            <w:tcBorders>
              <w:top w:val="nil"/>
              <w:left w:val="nil"/>
              <w:bottom w:val="nil"/>
              <w:right w:val="nil"/>
            </w:tcBorders>
            <w:shd w:val="clear" w:color="auto" w:fill="auto"/>
            <w:vAlign w:val="center"/>
            <w:hideMark/>
          </w:tcPr>
          <w:p w14:paraId="62FF2067" w14:textId="1C5797C6" w:rsidR="002F689C" w:rsidRPr="00005453" w:rsidRDefault="002F689C" w:rsidP="002F689C">
            <w:pPr>
              <w:jc w:val="right"/>
              <w:rPr>
                <w:color w:val="000000"/>
                <w:sz w:val="18"/>
                <w:szCs w:val="18"/>
                <w:lang w:eastAsia="tr-TR"/>
              </w:rPr>
            </w:pPr>
            <w:r w:rsidRPr="00005453">
              <w:rPr>
                <w:color w:val="000000"/>
                <w:sz w:val="18"/>
                <w:szCs w:val="18"/>
                <w:lang w:eastAsia="tr-TR"/>
              </w:rPr>
              <w:t>(4,869)</w:t>
            </w:r>
          </w:p>
        </w:tc>
      </w:tr>
      <w:tr w:rsidR="002F689C" w:rsidRPr="00005453" w14:paraId="382FB733" w14:textId="77777777" w:rsidTr="002F689C">
        <w:trPr>
          <w:divId w:val="1133908294"/>
          <w:trHeight w:val="238"/>
        </w:trPr>
        <w:tc>
          <w:tcPr>
            <w:tcW w:w="5387" w:type="dxa"/>
            <w:tcBorders>
              <w:top w:val="single" w:sz="8" w:space="0" w:color="auto"/>
              <w:left w:val="nil"/>
              <w:bottom w:val="double" w:sz="6" w:space="0" w:color="auto"/>
              <w:right w:val="nil"/>
            </w:tcBorders>
            <w:shd w:val="clear" w:color="auto" w:fill="auto"/>
            <w:vAlign w:val="center"/>
            <w:hideMark/>
          </w:tcPr>
          <w:p w14:paraId="2117019E" w14:textId="77777777" w:rsidR="002F689C" w:rsidRPr="00005453" w:rsidRDefault="002F689C" w:rsidP="002F689C">
            <w:pPr>
              <w:rPr>
                <w:b/>
                <w:bCs/>
                <w:color w:val="000000"/>
                <w:sz w:val="18"/>
                <w:szCs w:val="18"/>
                <w:lang w:eastAsia="tr-TR"/>
              </w:rPr>
            </w:pPr>
            <w:r w:rsidRPr="00005453">
              <w:rPr>
                <w:b/>
                <w:bCs/>
                <w:color w:val="000000"/>
                <w:sz w:val="18"/>
                <w:szCs w:val="18"/>
                <w:lang w:eastAsia="tr-TR"/>
              </w:rPr>
              <w:t>Toplam</w:t>
            </w:r>
          </w:p>
        </w:tc>
        <w:tc>
          <w:tcPr>
            <w:tcW w:w="1701" w:type="dxa"/>
            <w:tcBorders>
              <w:top w:val="single" w:sz="8" w:space="0" w:color="auto"/>
              <w:left w:val="nil"/>
              <w:bottom w:val="double" w:sz="6" w:space="0" w:color="auto"/>
              <w:right w:val="nil"/>
            </w:tcBorders>
            <w:shd w:val="clear" w:color="auto" w:fill="auto"/>
            <w:vAlign w:val="center"/>
            <w:hideMark/>
          </w:tcPr>
          <w:p w14:paraId="0AA5D58E" w14:textId="1D83A214" w:rsidR="002F689C" w:rsidRPr="00005453" w:rsidRDefault="002F689C" w:rsidP="002F689C">
            <w:pPr>
              <w:jc w:val="right"/>
              <w:rPr>
                <w:b/>
                <w:bCs/>
                <w:color w:val="000000" w:themeColor="text1"/>
                <w:sz w:val="18"/>
                <w:szCs w:val="18"/>
                <w:lang w:eastAsia="tr-TR"/>
              </w:rPr>
            </w:pPr>
            <w:r w:rsidRPr="00005453">
              <w:rPr>
                <w:b/>
                <w:bCs/>
                <w:color w:val="000000" w:themeColor="text1"/>
                <w:sz w:val="18"/>
                <w:szCs w:val="18"/>
              </w:rPr>
              <w:t>4,947,336</w:t>
            </w:r>
          </w:p>
        </w:tc>
        <w:tc>
          <w:tcPr>
            <w:tcW w:w="2153" w:type="dxa"/>
            <w:tcBorders>
              <w:top w:val="single" w:sz="8" w:space="0" w:color="auto"/>
              <w:left w:val="nil"/>
              <w:bottom w:val="double" w:sz="6" w:space="0" w:color="auto"/>
              <w:right w:val="nil"/>
            </w:tcBorders>
            <w:shd w:val="clear" w:color="auto" w:fill="auto"/>
            <w:vAlign w:val="center"/>
            <w:hideMark/>
          </w:tcPr>
          <w:p w14:paraId="16FE632F" w14:textId="57659EC1" w:rsidR="002F689C" w:rsidRPr="00005453" w:rsidRDefault="002F689C" w:rsidP="002F689C">
            <w:pPr>
              <w:jc w:val="right"/>
              <w:rPr>
                <w:b/>
                <w:bCs/>
                <w:color w:val="000000"/>
                <w:sz w:val="18"/>
                <w:szCs w:val="18"/>
                <w:lang w:eastAsia="tr-TR"/>
              </w:rPr>
            </w:pPr>
            <w:r w:rsidRPr="00005453">
              <w:rPr>
                <w:b/>
                <w:bCs/>
                <w:color w:val="000000"/>
                <w:sz w:val="18"/>
                <w:szCs w:val="18"/>
                <w:lang w:eastAsia="tr-TR"/>
              </w:rPr>
              <w:t>4,595,131</w:t>
            </w:r>
          </w:p>
        </w:tc>
      </w:tr>
    </w:tbl>
    <w:p w14:paraId="76572881" w14:textId="77777777" w:rsidR="008E0FFB" w:rsidRPr="00005453" w:rsidRDefault="008E0FFB" w:rsidP="001171C0">
      <w:pPr>
        <w:autoSpaceDE w:val="0"/>
        <w:autoSpaceDN w:val="0"/>
        <w:adjustRightInd w:val="0"/>
        <w:ind w:left="284" w:hanging="284"/>
        <w:rPr>
          <w:sz w:val="6"/>
          <w:szCs w:val="6"/>
        </w:rPr>
      </w:pPr>
    </w:p>
    <w:p w14:paraId="15B0AFBF" w14:textId="71FF9DD7" w:rsidR="005D495B" w:rsidRPr="00005453" w:rsidRDefault="00100CE1" w:rsidP="001171C0">
      <w:pPr>
        <w:autoSpaceDE w:val="0"/>
        <w:autoSpaceDN w:val="0"/>
        <w:adjustRightInd w:val="0"/>
        <w:ind w:left="284" w:hanging="284"/>
        <w:rPr>
          <w:b/>
        </w:rPr>
      </w:pPr>
      <w:r w:rsidRPr="00005453">
        <w:rPr>
          <w:sz w:val="16"/>
          <w:szCs w:val="16"/>
        </w:rPr>
        <w:t>(*</w:t>
      </w:r>
      <w:proofErr w:type="gramStart"/>
      <w:r w:rsidRPr="00005453">
        <w:rPr>
          <w:sz w:val="16"/>
          <w:szCs w:val="16"/>
        </w:rPr>
        <w:t>)  Banka’nın</w:t>
      </w:r>
      <w:proofErr w:type="gramEnd"/>
      <w:r w:rsidRPr="00005453">
        <w:rPr>
          <w:sz w:val="16"/>
          <w:szCs w:val="16"/>
        </w:rPr>
        <w:t xml:space="preserve"> sermaye artışında taahhüt edilen sermayeden ortağın rüçhan hakkını kullanmaması sonucu kendi hissesini iktisap etmesini ifade    etmektedir.</w:t>
      </w:r>
    </w:p>
    <w:p w14:paraId="5119C07F" w14:textId="77777777" w:rsidR="007F1884" w:rsidRPr="00005453" w:rsidRDefault="007F1884">
      <w:pPr>
        <w:rPr>
          <w:b/>
        </w:rPr>
      </w:pPr>
      <w:r w:rsidRPr="00005453">
        <w:rPr>
          <w:b/>
        </w:rPr>
        <w:br w:type="page"/>
      </w:r>
    </w:p>
    <w:p w14:paraId="06EE1165" w14:textId="16E7DE9D" w:rsidR="00B56E05" w:rsidRPr="00005453" w:rsidRDefault="00B56E05" w:rsidP="00B56E05">
      <w:pPr>
        <w:tabs>
          <w:tab w:val="num" w:pos="2340"/>
          <w:tab w:val="num" w:pos="3060"/>
        </w:tabs>
        <w:autoSpaceDE w:val="0"/>
        <w:autoSpaceDN w:val="0"/>
        <w:adjustRightInd w:val="0"/>
        <w:ind w:hanging="567"/>
        <w:jc w:val="both"/>
      </w:pPr>
      <w:r w:rsidRPr="00005453">
        <w:rPr>
          <w:b/>
        </w:rPr>
        <w:lastRenderedPageBreak/>
        <w:t>2.1</w:t>
      </w:r>
      <w:r w:rsidR="00731AA9" w:rsidRPr="00005453">
        <w:rPr>
          <w:b/>
        </w:rPr>
        <w:t>2</w:t>
      </w:r>
      <w:r w:rsidRPr="00005453">
        <w:rPr>
          <w:b/>
        </w:rPr>
        <w:t>.2</w:t>
      </w:r>
      <w:r w:rsidRPr="00005453">
        <w:rPr>
          <w:b/>
        </w:rPr>
        <w:tab/>
      </w:r>
      <w:r w:rsidRPr="00005453">
        <w:t>Ödenmiş sermaye tutarı, bankada kayıtlı sermaye sisteminin uygulanıp uygulanmadığı hususunun açıklanması ve bu sistem uygulanıyor ise kayıtlı sermaye tavanı</w:t>
      </w:r>
    </w:p>
    <w:p w14:paraId="761E15BF" w14:textId="77777777" w:rsidR="00B56E05" w:rsidRPr="00005453" w:rsidRDefault="00B56E05" w:rsidP="00B56E05">
      <w:pPr>
        <w:tabs>
          <w:tab w:val="num" w:pos="2340"/>
          <w:tab w:val="num" w:pos="3060"/>
        </w:tabs>
        <w:autoSpaceDE w:val="0"/>
        <w:autoSpaceDN w:val="0"/>
        <w:adjustRightInd w:val="0"/>
        <w:ind w:hanging="567"/>
        <w:jc w:val="both"/>
      </w:pPr>
    </w:p>
    <w:p w14:paraId="7B353A38" w14:textId="63FAA785" w:rsidR="00B56E05" w:rsidRPr="00005453" w:rsidRDefault="00B56E05" w:rsidP="00B56E05">
      <w:pPr>
        <w:tabs>
          <w:tab w:val="num" w:pos="2340"/>
          <w:tab w:val="num" w:pos="3060"/>
        </w:tabs>
        <w:autoSpaceDE w:val="0"/>
        <w:autoSpaceDN w:val="0"/>
        <w:adjustRightInd w:val="0"/>
        <w:ind w:hanging="567"/>
        <w:jc w:val="both"/>
        <w:rPr>
          <w:rFonts w:eastAsia="Arial Unicode MS"/>
        </w:rPr>
      </w:pPr>
      <w:r w:rsidRPr="00005453">
        <w:tab/>
      </w:r>
      <w:r w:rsidRPr="00005453">
        <w:rPr>
          <w:rFonts w:eastAsia="Arial Unicode MS"/>
        </w:rPr>
        <w:t>Banka, kayıtlı sermaye sistemini uygulamamaktadır.</w:t>
      </w:r>
    </w:p>
    <w:p w14:paraId="4FC5DEDF" w14:textId="77777777" w:rsidR="00FE4B09" w:rsidRPr="00005453" w:rsidRDefault="00FE4B09" w:rsidP="00FE4B09">
      <w:pPr>
        <w:autoSpaceDE w:val="0"/>
        <w:autoSpaceDN w:val="0"/>
        <w:adjustRightInd w:val="0"/>
        <w:ind w:left="142"/>
        <w:rPr>
          <w:b/>
          <w:bCs/>
          <w:iCs/>
          <w:sz w:val="16"/>
          <w:szCs w:val="16"/>
        </w:rPr>
      </w:pPr>
    </w:p>
    <w:p w14:paraId="027552AC" w14:textId="25DB9320" w:rsidR="00B56E05" w:rsidRPr="00005453" w:rsidRDefault="00B56E05" w:rsidP="00B56E05">
      <w:pPr>
        <w:tabs>
          <w:tab w:val="num" w:pos="2340"/>
          <w:tab w:val="num" w:pos="3060"/>
        </w:tabs>
        <w:autoSpaceDE w:val="0"/>
        <w:autoSpaceDN w:val="0"/>
        <w:adjustRightInd w:val="0"/>
        <w:ind w:hanging="567"/>
        <w:jc w:val="both"/>
      </w:pPr>
      <w:r w:rsidRPr="00005453">
        <w:rPr>
          <w:b/>
        </w:rPr>
        <w:t>2.1</w:t>
      </w:r>
      <w:r w:rsidR="00731AA9" w:rsidRPr="00005453">
        <w:rPr>
          <w:b/>
        </w:rPr>
        <w:t>2</w:t>
      </w:r>
      <w:r w:rsidRPr="00005453">
        <w:rPr>
          <w:b/>
        </w:rPr>
        <w:t>.3</w:t>
      </w:r>
      <w:r w:rsidRPr="00005453">
        <w:tab/>
        <w:t>Cari dönem içinde yapılan sermaye artırımları ve kaynakları ile arttırılan sermaye payına ilişkin diğer bilgiler</w:t>
      </w:r>
    </w:p>
    <w:p w14:paraId="69F14216" w14:textId="77777777" w:rsidR="00B56E05" w:rsidRPr="00005453" w:rsidRDefault="00B56E05" w:rsidP="00B56E05">
      <w:pPr>
        <w:tabs>
          <w:tab w:val="num" w:pos="2340"/>
          <w:tab w:val="num" w:pos="3060"/>
        </w:tabs>
        <w:autoSpaceDE w:val="0"/>
        <w:autoSpaceDN w:val="0"/>
        <w:adjustRightInd w:val="0"/>
        <w:ind w:hanging="567"/>
        <w:jc w:val="both"/>
        <w:rPr>
          <w:sz w:val="16"/>
          <w:lang w:eastAsia="en-GB"/>
        </w:rPr>
      </w:pPr>
      <w:r w:rsidRPr="00005453">
        <w:t xml:space="preserve">             </w:t>
      </w:r>
    </w:p>
    <w:p w14:paraId="67812946" w14:textId="354CC752" w:rsidR="00B56E05" w:rsidRPr="00005453" w:rsidRDefault="00B56E05" w:rsidP="00B56E05">
      <w:pPr>
        <w:tabs>
          <w:tab w:val="num" w:pos="2340"/>
          <w:tab w:val="num" w:pos="3060"/>
        </w:tabs>
        <w:autoSpaceDE w:val="0"/>
        <w:autoSpaceDN w:val="0"/>
        <w:adjustRightInd w:val="0"/>
        <w:ind w:hanging="567"/>
        <w:jc w:val="both"/>
      </w:pPr>
      <w:r w:rsidRPr="00005453">
        <w:rPr>
          <w:b/>
        </w:rPr>
        <w:tab/>
      </w:r>
      <w:r w:rsidRPr="00005453">
        <w:t>Yoktur</w:t>
      </w:r>
      <w:r w:rsidR="005854CD" w:rsidRPr="00005453">
        <w:t xml:space="preserve"> </w:t>
      </w:r>
      <w:r w:rsidR="005854CD" w:rsidRPr="00005453">
        <w:rPr>
          <w:spacing w:val="-6"/>
        </w:rPr>
        <w:t xml:space="preserve">(31 Aralık </w:t>
      </w:r>
      <w:proofErr w:type="gramStart"/>
      <w:r w:rsidR="005854CD" w:rsidRPr="00005453">
        <w:rPr>
          <w:spacing w:val="-6"/>
        </w:rPr>
        <w:t>202</w:t>
      </w:r>
      <w:r w:rsidR="00E65EA3" w:rsidRPr="00005453">
        <w:rPr>
          <w:spacing w:val="-6"/>
        </w:rPr>
        <w:t>3</w:t>
      </w:r>
      <w:r w:rsidR="005854CD" w:rsidRPr="00005453">
        <w:rPr>
          <w:spacing w:val="-6"/>
        </w:rPr>
        <w:t xml:space="preserve"> -</w:t>
      </w:r>
      <w:proofErr w:type="gramEnd"/>
      <w:r w:rsidR="005854CD" w:rsidRPr="00005453">
        <w:rPr>
          <w:spacing w:val="-6"/>
        </w:rPr>
        <w:t xml:space="preserve"> Yoktur)</w:t>
      </w:r>
      <w:r w:rsidR="006E7CF4" w:rsidRPr="00005453">
        <w:t>.</w:t>
      </w:r>
    </w:p>
    <w:p w14:paraId="611946C2" w14:textId="77777777" w:rsidR="00B56E05" w:rsidRPr="00005453" w:rsidRDefault="00B56E05" w:rsidP="00B56E05">
      <w:pPr>
        <w:tabs>
          <w:tab w:val="num" w:pos="2340"/>
          <w:tab w:val="num" w:pos="3060"/>
        </w:tabs>
        <w:autoSpaceDE w:val="0"/>
        <w:autoSpaceDN w:val="0"/>
        <w:adjustRightInd w:val="0"/>
        <w:jc w:val="both"/>
        <w:rPr>
          <w:b/>
          <w:sz w:val="16"/>
        </w:rPr>
      </w:pPr>
    </w:p>
    <w:p w14:paraId="21BC62A3" w14:textId="0F3B36B1" w:rsidR="00B56E05" w:rsidRPr="00005453" w:rsidRDefault="00B56E05" w:rsidP="00B56E05">
      <w:pPr>
        <w:tabs>
          <w:tab w:val="num" w:pos="2340"/>
          <w:tab w:val="num" w:pos="3060"/>
        </w:tabs>
        <w:autoSpaceDE w:val="0"/>
        <w:autoSpaceDN w:val="0"/>
        <w:adjustRightInd w:val="0"/>
        <w:ind w:hanging="567"/>
        <w:jc w:val="both"/>
        <w:rPr>
          <w:spacing w:val="-6"/>
        </w:rPr>
      </w:pPr>
      <w:r w:rsidRPr="00005453">
        <w:rPr>
          <w:b/>
        </w:rPr>
        <w:t>2.1</w:t>
      </w:r>
      <w:r w:rsidR="00731AA9" w:rsidRPr="00005453">
        <w:rPr>
          <w:b/>
        </w:rPr>
        <w:t>2</w:t>
      </w:r>
      <w:r w:rsidRPr="00005453">
        <w:rPr>
          <w:b/>
        </w:rPr>
        <w:t>.4</w:t>
      </w:r>
      <w:r w:rsidRPr="00005453">
        <w:tab/>
      </w:r>
      <w:r w:rsidRPr="00005453">
        <w:rPr>
          <w:spacing w:val="-6"/>
        </w:rPr>
        <w:t>Cari dönem içinde sermaye yedeklerinden sermayeye ilave edilen kısma ilişkin bilgiler</w:t>
      </w:r>
    </w:p>
    <w:p w14:paraId="5320B8BE" w14:textId="77777777" w:rsidR="00B56E05" w:rsidRPr="00005453" w:rsidRDefault="00B56E05" w:rsidP="00B56E05">
      <w:pPr>
        <w:tabs>
          <w:tab w:val="num" w:pos="2340"/>
          <w:tab w:val="num" w:pos="3060"/>
        </w:tabs>
        <w:autoSpaceDE w:val="0"/>
        <w:autoSpaceDN w:val="0"/>
        <w:adjustRightInd w:val="0"/>
        <w:ind w:hanging="567"/>
        <w:jc w:val="both"/>
        <w:rPr>
          <w:spacing w:val="-6"/>
          <w:sz w:val="16"/>
          <w:szCs w:val="16"/>
        </w:rPr>
      </w:pPr>
      <w:r w:rsidRPr="00005453">
        <w:rPr>
          <w:spacing w:val="-6"/>
        </w:rPr>
        <w:tab/>
      </w:r>
    </w:p>
    <w:p w14:paraId="295C2D56" w14:textId="2C368FFE" w:rsidR="00B56E05" w:rsidRPr="00005453" w:rsidRDefault="00B56E05" w:rsidP="00B56E05">
      <w:pPr>
        <w:tabs>
          <w:tab w:val="num" w:pos="2340"/>
          <w:tab w:val="num" w:pos="3060"/>
        </w:tabs>
        <w:autoSpaceDE w:val="0"/>
        <w:autoSpaceDN w:val="0"/>
        <w:adjustRightInd w:val="0"/>
        <w:ind w:hanging="567"/>
        <w:jc w:val="both"/>
      </w:pPr>
      <w:r w:rsidRPr="00005453">
        <w:rPr>
          <w:spacing w:val="-6"/>
        </w:rPr>
        <w:tab/>
        <w:t>Yoktur</w:t>
      </w:r>
      <w:r w:rsidR="005854CD" w:rsidRPr="00005453">
        <w:rPr>
          <w:spacing w:val="-6"/>
        </w:rPr>
        <w:t xml:space="preserve"> (31 Aralık </w:t>
      </w:r>
      <w:proofErr w:type="gramStart"/>
      <w:r w:rsidR="005854CD" w:rsidRPr="00005453">
        <w:rPr>
          <w:spacing w:val="-6"/>
        </w:rPr>
        <w:t>202</w:t>
      </w:r>
      <w:r w:rsidR="00E65EA3" w:rsidRPr="00005453">
        <w:rPr>
          <w:spacing w:val="-6"/>
        </w:rPr>
        <w:t>3</w:t>
      </w:r>
      <w:r w:rsidR="005854CD" w:rsidRPr="00005453">
        <w:rPr>
          <w:spacing w:val="-6"/>
        </w:rPr>
        <w:t xml:space="preserve"> -</w:t>
      </w:r>
      <w:proofErr w:type="gramEnd"/>
      <w:r w:rsidR="005854CD" w:rsidRPr="00005453">
        <w:rPr>
          <w:spacing w:val="-6"/>
        </w:rPr>
        <w:t xml:space="preserve"> Yoktur)</w:t>
      </w:r>
      <w:r w:rsidRPr="00005453">
        <w:rPr>
          <w:spacing w:val="-6"/>
        </w:rPr>
        <w:t>.</w:t>
      </w:r>
    </w:p>
    <w:p w14:paraId="40C54951" w14:textId="77777777" w:rsidR="00E232BE" w:rsidRPr="00005453" w:rsidRDefault="00E232BE" w:rsidP="00081FB4">
      <w:pPr>
        <w:tabs>
          <w:tab w:val="num" w:pos="2340"/>
          <w:tab w:val="num" w:pos="3060"/>
        </w:tabs>
        <w:autoSpaceDE w:val="0"/>
        <w:autoSpaceDN w:val="0"/>
        <w:adjustRightInd w:val="0"/>
        <w:ind w:hanging="567"/>
        <w:jc w:val="both"/>
        <w:rPr>
          <w:sz w:val="16"/>
          <w:szCs w:val="16"/>
        </w:rPr>
      </w:pPr>
    </w:p>
    <w:p w14:paraId="0300907C" w14:textId="43AE62C6" w:rsidR="00B56E05" w:rsidRPr="00005453" w:rsidRDefault="00B56E05" w:rsidP="00B56E05">
      <w:pPr>
        <w:tabs>
          <w:tab w:val="num" w:pos="2340"/>
          <w:tab w:val="num" w:pos="3060"/>
        </w:tabs>
        <w:autoSpaceDE w:val="0"/>
        <w:autoSpaceDN w:val="0"/>
        <w:adjustRightInd w:val="0"/>
        <w:ind w:hanging="567"/>
        <w:jc w:val="both"/>
      </w:pPr>
      <w:r w:rsidRPr="00005453">
        <w:rPr>
          <w:b/>
        </w:rPr>
        <w:t>2.1</w:t>
      </w:r>
      <w:r w:rsidR="00731AA9" w:rsidRPr="00005453">
        <w:rPr>
          <w:b/>
        </w:rPr>
        <w:t>2</w:t>
      </w:r>
      <w:r w:rsidRPr="00005453">
        <w:rPr>
          <w:b/>
        </w:rPr>
        <w:t>.5</w:t>
      </w:r>
      <w:r w:rsidRPr="00005453">
        <w:tab/>
        <w:t xml:space="preserve">Banka’nın gelirleri, karlılığı ve likiditesine ilişkin geçmiş dönem göstergeleri ile bu göstergelerdeki belirsizlikler dikkate alınarak yapılacak öngörülerin, özkaynak üzerindeki tahmini etkileri </w:t>
      </w:r>
    </w:p>
    <w:p w14:paraId="47B3AA0E" w14:textId="77777777" w:rsidR="00B56E05" w:rsidRPr="00005453" w:rsidRDefault="00B56E05" w:rsidP="00B56E05">
      <w:pPr>
        <w:tabs>
          <w:tab w:val="num" w:pos="2340"/>
          <w:tab w:val="num" w:pos="3060"/>
        </w:tabs>
        <w:autoSpaceDE w:val="0"/>
        <w:autoSpaceDN w:val="0"/>
        <w:adjustRightInd w:val="0"/>
        <w:jc w:val="both"/>
        <w:rPr>
          <w:sz w:val="16"/>
          <w:szCs w:val="16"/>
        </w:rPr>
      </w:pPr>
    </w:p>
    <w:p w14:paraId="528FC017" w14:textId="77777777" w:rsidR="00B56E05" w:rsidRPr="00005453" w:rsidRDefault="00B56E05" w:rsidP="00B56E05">
      <w:pPr>
        <w:tabs>
          <w:tab w:val="num" w:pos="851"/>
        </w:tabs>
        <w:autoSpaceDE w:val="0"/>
        <w:autoSpaceDN w:val="0"/>
        <w:adjustRightInd w:val="0"/>
        <w:jc w:val="both"/>
      </w:pPr>
      <w:r w:rsidRPr="00005453">
        <w:rPr>
          <w:rFonts w:eastAsia="Arial Unicode MS"/>
        </w:rPr>
        <w:t xml:space="preserve">Banka’nın cari ve önceki dönem göstergelerini dikkate alarak yapılacak değerlendirmeye göre, net </w:t>
      </w:r>
      <w:proofErr w:type="gramStart"/>
      <w:r w:rsidRPr="00005453">
        <w:rPr>
          <w:rFonts w:eastAsia="Arial Unicode MS"/>
        </w:rPr>
        <w:t>kar</w:t>
      </w:r>
      <w:proofErr w:type="gramEnd"/>
      <w:r w:rsidRPr="00005453">
        <w:rPr>
          <w:rFonts w:eastAsia="Arial Unicode MS"/>
        </w:rPr>
        <w:t xml:space="preserve"> payı ve komisyon gelirlerine bakıldığında operasyonel faaliyetlerini karlı bir şekilde sürdürdüğü anlaşılmaktadır.</w:t>
      </w:r>
    </w:p>
    <w:p w14:paraId="6FC91D80" w14:textId="77777777" w:rsidR="00B56E05" w:rsidRPr="00005453" w:rsidRDefault="00B56E05" w:rsidP="00B56E05">
      <w:pPr>
        <w:tabs>
          <w:tab w:val="num" w:pos="2340"/>
          <w:tab w:val="num" w:pos="3060"/>
        </w:tabs>
        <w:autoSpaceDE w:val="0"/>
        <w:autoSpaceDN w:val="0"/>
        <w:adjustRightInd w:val="0"/>
        <w:rPr>
          <w:sz w:val="16"/>
          <w:szCs w:val="16"/>
        </w:rPr>
      </w:pPr>
    </w:p>
    <w:p w14:paraId="117DADF7" w14:textId="472736B1" w:rsidR="00B56E05" w:rsidRPr="00005453" w:rsidRDefault="00B56E05" w:rsidP="00B56E05">
      <w:pPr>
        <w:tabs>
          <w:tab w:val="num" w:pos="2340"/>
          <w:tab w:val="num" w:pos="3060"/>
        </w:tabs>
        <w:autoSpaceDE w:val="0"/>
        <w:autoSpaceDN w:val="0"/>
        <w:adjustRightInd w:val="0"/>
        <w:ind w:hanging="567"/>
      </w:pPr>
      <w:r w:rsidRPr="00005453">
        <w:rPr>
          <w:b/>
        </w:rPr>
        <w:t>2.1</w:t>
      </w:r>
      <w:r w:rsidR="00731AA9" w:rsidRPr="00005453">
        <w:rPr>
          <w:b/>
        </w:rPr>
        <w:t>2</w:t>
      </w:r>
      <w:r w:rsidRPr="00005453">
        <w:rPr>
          <w:b/>
        </w:rPr>
        <w:t>.6</w:t>
      </w:r>
      <w:r w:rsidRPr="00005453">
        <w:tab/>
        <w:t xml:space="preserve">Sermayeyi temsil eden hisse senetlerine tanınan imtiyazlara ilişkin özet bilgiler </w:t>
      </w:r>
    </w:p>
    <w:p w14:paraId="1D8796F4" w14:textId="77777777" w:rsidR="00B56E05" w:rsidRPr="00005453" w:rsidRDefault="00B56E05" w:rsidP="00B56E05">
      <w:pPr>
        <w:tabs>
          <w:tab w:val="num" w:pos="2340"/>
          <w:tab w:val="num" w:pos="3060"/>
        </w:tabs>
        <w:autoSpaceDE w:val="0"/>
        <w:autoSpaceDN w:val="0"/>
        <w:adjustRightInd w:val="0"/>
        <w:ind w:hanging="567"/>
        <w:rPr>
          <w:sz w:val="16"/>
          <w:szCs w:val="16"/>
        </w:rPr>
      </w:pPr>
      <w:r w:rsidRPr="00005453">
        <w:rPr>
          <w:sz w:val="16"/>
          <w:szCs w:val="16"/>
        </w:rPr>
        <w:tab/>
      </w:r>
    </w:p>
    <w:p w14:paraId="75B6C749" w14:textId="1BD3E34D" w:rsidR="00B56E05" w:rsidRPr="00005453" w:rsidRDefault="00B56E05" w:rsidP="00B56E05">
      <w:pPr>
        <w:tabs>
          <w:tab w:val="num" w:pos="2340"/>
          <w:tab w:val="num" w:pos="3060"/>
        </w:tabs>
        <w:autoSpaceDE w:val="0"/>
        <w:autoSpaceDN w:val="0"/>
        <w:adjustRightInd w:val="0"/>
        <w:ind w:hanging="567"/>
        <w:jc w:val="both"/>
      </w:pPr>
      <w:r w:rsidRPr="00005453">
        <w:tab/>
      </w:r>
      <w:r w:rsidRPr="00005453">
        <w:rPr>
          <w:spacing w:val="-6"/>
        </w:rPr>
        <w:t xml:space="preserve">Yoktur (31 Aralık </w:t>
      </w:r>
      <w:proofErr w:type="gramStart"/>
      <w:r w:rsidRPr="00005453">
        <w:rPr>
          <w:spacing w:val="-6"/>
        </w:rPr>
        <w:t>202</w:t>
      </w:r>
      <w:r w:rsidR="00846060" w:rsidRPr="00005453">
        <w:rPr>
          <w:spacing w:val="-6"/>
        </w:rPr>
        <w:t>3</w:t>
      </w:r>
      <w:r w:rsidRPr="00005453">
        <w:rPr>
          <w:spacing w:val="-6"/>
        </w:rPr>
        <w:t xml:space="preserve"> -</w:t>
      </w:r>
      <w:proofErr w:type="gramEnd"/>
      <w:r w:rsidRPr="00005453">
        <w:rPr>
          <w:spacing w:val="-6"/>
        </w:rPr>
        <w:t xml:space="preserve"> Yoktur).</w:t>
      </w:r>
    </w:p>
    <w:p w14:paraId="56CA754A" w14:textId="77777777" w:rsidR="000C3626" w:rsidRPr="00005453" w:rsidRDefault="000C3626" w:rsidP="00FE15D8">
      <w:pPr>
        <w:autoSpaceDE w:val="0"/>
        <w:autoSpaceDN w:val="0"/>
        <w:adjustRightInd w:val="0"/>
        <w:rPr>
          <w:sz w:val="16"/>
          <w:szCs w:val="16"/>
        </w:rPr>
      </w:pPr>
    </w:p>
    <w:p w14:paraId="696CD0E5" w14:textId="6919D5D6" w:rsidR="00FE15D8" w:rsidRPr="00005453" w:rsidRDefault="002A2420" w:rsidP="00F0188F">
      <w:pPr>
        <w:autoSpaceDE w:val="0"/>
        <w:autoSpaceDN w:val="0"/>
        <w:adjustRightInd w:val="0"/>
        <w:ind w:hanging="567"/>
        <w:rPr>
          <w:sz w:val="12"/>
          <w:szCs w:val="12"/>
        </w:rPr>
      </w:pPr>
      <w:r w:rsidRPr="00005453">
        <w:rPr>
          <w:b/>
        </w:rPr>
        <w:t>2.1</w:t>
      </w:r>
      <w:r w:rsidR="00731AA9" w:rsidRPr="00005453">
        <w:rPr>
          <w:b/>
        </w:rPr>
        <w:t>2</w:t>
      </w:r>
      <w:r w:rsidRPr="00005453">
        <w:rPr>
          <w:b/>
        </w:rPr>
        <w:t>.7</w:t>
      </w:r>
      <w:r w:rsidRPr="00005453">
        <w:tab/>
      </w:r>
      <w:r w:rsidR="00E253C8" w:rsidRPr="00005453">
        <w:t xml:space="preserve">Menkul değerler değer artış fonuna ilişkin aşağıdaki bilgiler açıklanır </w:t>
      </w:r>
    </w:p>
    <w:p w14:paraId="284FBA5B" w14:textId="746CC5E3" w:rsidR="001E7DEF" w:rsidRPr="00005453" w:rsidRDefault="001E7DEF" w:rsidP="002A2420">
      <w:pPr>
        <w:autoSpaceDE w:val="0"/>
        <w:autoSpaceDN w:val="0"/>
        <w:adjustRightInd w:val="0"/>
        <w:ind w:hanging="567"/>
        <w:rPr>
          <w:lang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1E7DEF" w:rsidRPr="00005453" w14:paraId="64A5E5A9" w14:textId="77777777" w:rsidTr="00614CD2">
        <w:trPr>
          <w:divId w:val="1840272695"/>
          <w:trHeight w:val="277"/>
        </w:trPr>
        <w:tc>
          <w:tcPr>
            <w:tcW w:w="4744" w:type="dxa"/>
            <w:tcBorders>
              <w:top w:val="double" w:sz="6" w:space="0" w:color="auto"/>
              <w:left w:val="nil"/>
              <w:bottom w:val="nil"/>
              <w:right w:val="nil"/>
            </w:tcBorders>
            <w:shd w:val="clear" w:color="auto" w:fill="auto"/>
            <w:vAlign w:val="center"/>
            <w:hideMark/>
          </w:tcPr>
          <w:p w14:paraId="2E94356B" w14:textId="0B932DC6" w:rsidR="001E7DEF" w:rsidRPr="00005453" w:rsidRDefault="001E7DEF" w:rsidP="001E7DEF">
            <w:pPr>
              <w:jc w:val="both"/>
              <w:rPr>
                <w:color w:val="000000"/>
                <w:sz w:val="18"/>
                <w:szCs w:val="18"/>
                <w:lang w:eastAsia="tr-TR"/>
              </w:rPr>
            </w:pPr>
            <w:r w:rsidRPr="00005453">
              <w:rPr>
                <w:color w:val="000000"/>
                <w:sz w:val="18"/>
                <w:szCs w:val="18"/>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06D21EFE" w14:textId="77777777" w:rsidR="001E7DEF" w:rsidRPr="00005453" w:rsidRDefault="001E7DEF" w:rsidP="00614CD2">
            <w:pPr>
              <w:jc w:val="right"/>
              <w:rPr>
                <w:b/>
                <w:bCs/>
                <w:color w:val="000000"/>
                <w:sz w:val="18"/>
                <w:szCs w:val="18"/>
                <w:lang w:eastAsia="tr-TR"/>
              </w:rPr>
            </w:pPr>
            <w:r w:rsidRPr="00005453">
              <w:rPr>
                <w:b/>
                <w:bCs/>
                <w:color w:val="000000"/>
                <w:sz w:val="18"/>
                <w:szCs w:val="18"/>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45FBB6F0" w14:textId="77777777" w:rsidR="001E7DEF" w:rsidRPr="00005453" w:rsidRDefault="001E7DEF" w:rsidP="00614CD2">
            <w:pPr>
              <w:jc w:val="right"/>
              <w:rPr>
                <w:b/>
                <w:bCs/>
                <w:color w:val="000000"/>
                <w:sz w:val="18"/>
                <w:szCs w:val="18"/>
                <w:lang w:eastAsia="tr-TR"/>
              </w:rPr>
            </w:pPr>
            <w:r w:rsidRPr="00005453">
              <w:rPr>
                <w:b/>
                <w:bCs/>
                <w:color w:val="000000"/>
                <w:sz w:val="18"/>
                <w:szCs w:val="18"/>
                <w:lang w:eastAsia="tr-TR"/>
              </w:rPr>
              <w:t>Önceki Dönem</w:t>
            </w:r>
          </w:p>
        </w:tc>
      </w:tr>
      <w:tr w:rsidR="001E7DEF" w:rsidRPr="00005453" w14:paraId="6A04A683" w14:textId="77777777" w:rsidTr="0079574D">
        <w:trPr>
          <w:divId w:val="1840272695"/>
          <w:trHeight w:val="261"/>
        </w:trPr>
        <w:tc>
          <w:tcPr>
            <w:tcW w:w="4744" w:type="dxa"/>
            <w:tcBorders>
              <w:top w:val="nil"/>
              <w:left w:val="nil"/>
              <w:bottom w:val="single" w:sz="8" w:space="0" w:color="auto"/>
              <w:right w:val="nil"/>
            </w:tcBorders>
            <w:shd w:val="clear" w:color="auto" w:fill="auto"/>
            <w:vAlign w:val="center"/>
            <w:hideMark/>
          </w:tcPr>
          <w:p w14:paraId="4B686161" w14:textId="77777777" w:rsidR="001E7DEF" w:rsidRPr="00005453" w:rsidRDefault="001E7DEF" w:rsidP="001E7DEF">
            <w:pPr>
              <w:jc w:val="both"/>
              <w:rPr>
                <w:b/>
                <w:bCs/>
                <w:color w:val="000000"/>
                <w:sz w:val="18"/>
                <w:szCs w:val="18"/>
                <w:lang w:eastAsia="tr-TR"/>
              </w:rPr>
            </w:pPr>
            <w:r w:rsidRPr="00005453">
              <w:rPr>
                <w:b/>
                <w:bCs/>
                <w:color w:val="000000"/>
                <w:sz w:val="18"/>
                <w:szCs w:val="18"/>
                <w:lang w:eastAsia="tr-TR"/>
              </w:rPr>
              <w:t> </w:t>
            </w:r>
          </w:p>
        </w:tc>
        <w:tc>
          <w:tcPr>
            <w:tcW w:w="1225" w:type="dxa"/>
            <w:tcBorders>
              <w:top w:val="nil"/>
              <w:left w:val="nil"/>
              <w:bottom w:val="single" w:sz="8" w:space="0" w:color="auto"/>
              <w:right w:val="nil"/>
            </w:tcBorders>
            <w:shd w:val="clear" w:color="auto" w:fill="auto"/>
            <w:vAlign w:val="center"/>
            <w:hideMark/>
          </w:tcPr>
          <w:p w14:paraId="7E6CB009" w14:textId="77777777" w:rsidR="001E7DEF" w:rsidRPr="00005453" w:rsidRDefault="001E7DEF" w:rsidP="001E7DEF">
            <w:pPr>
              <w:jc w:val="right"/>
              <w:rPr>
                <w:b/>
                <w:bCs/>
                <w:color w:val="000000"/>
                <w:sz w:val="18"/>
                <w:szCs w:val="18"/>
                <w:lang w:eastAsia="tr-TR"/>
              </w:rPr>
            </w:pPr>
            <w:r w:rsidRPr="00005453">
              <w:rPr>
                <w:b/>
                <w:bCs/>
                <w:color w:val="000000"/>
                <w:sz w:val="18"/>
                <w:szCs w:val="18"/>
                <w:lang w:eastAsia="tr-TR"/>
              </w:rPr>
              <w:t>TP</w:t>
            </w:r>
          </w:p>
        </w:tc>
        <w:tc>
          <w:tcPr>
            <w:tcW w:w="1103" w:type="dxa"/>
            <w:tcBorders>
              <w:top w:val="nil"/>
              <w:left w:val="nil"/>
              <w:bottom w:val="single" w:sz="8" w:space="0" w:color="auto"/>
              <w:right w:val="nil"/>
            </w:tcBorders>
            <w:shd w:val="clear" w:color="auto" w:fill="auto"/>
            <w:vAlign w:val="center"/>
            <w:hideMark/>
          </w:tcPr>
          <w:p w14:paraId="2AAA3565" w14:textId="77777777" w:rsidR="001E7DEF" w:rsidRPr="00005453" w:rsidRDefault="001E7DEF" w:rsidP="001E7DEF">
            <w:pPr>
              <w:jc w:val="right"/>
              <w:rPr>
                <w:b/>
                <w:bCs/>
                <w:color w:val="000000"/>
                <w:sz w:val="18"/>
                <w:szCs w:val="18"/>
                <w:lang w:eastAsia="tr-TR"/>
              </w:rPr>
            </w:pPr>
            <w:r w:rsidRPr="00005453">
              <w:rPr>
                <w:b/>
                <w:bCs/>
                <w:color w:val="000000"/>
                <w:sz w:val="18"/>
                <w:szCs w:val="18"/>
                <w:lang w:eastAsia="tr-TR"/>
              </w:rPr>
              <w:t>YP</w:t>
            </w:r>
          </w:p>
        </w:tc>
        <w:tc>
          <w:tcPr>
            <w:tcW w:w="1047" w:type="dxa"/>
            <w:tcBorders>
              <w:top w:val="nil"/>
              <w:left w:val="nil"/>
              <w:bottom w:val="single" w:sz="8" w:space="0" w:color="auto"/>
              <w:right w:val="nil"/>
            </w:tcBorders>
            <w:shd w:val="clear" w:color="auto" w:fill="auto"/>
            <w:vAlign w:val="center"/>
            <w:hideMark/>
          </w:tcPr>
          <w:p w14:paraId="5ECF1B5D" w14:textId="77777777" w:rsidR="001E7DEF" w:rsidRPr="00005453" w:rsidRDefault="001E7DEF" w:rsidP="001E7DEF">
            <w:pPr>
              <w:jc w:val="right"/>
              <w:rPr>
                <w:b/>
                <w:bCs/>
                <w:color w:val="000000"/>
                <w:sz w:val="18"/>
                <w:szCs w:val="18"/>
                <w:lang w:eastAsia="tr-TR"/>
              </w:rPr>
            </w:pPr>
            <w:r w:rsidRPr="00005453">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4A59970D" w14:textId="77777777" w:rsidR="001E7DEF" w:rsidRPr="00005453" w:rsidRDefault="001E7DEF" w:rsidP="001E7DEF">
            <w:pPr>
              <w:jc w:val="right"/>
              <w:rPr>
                <w:b/>
                <w:bCs/>
                <w:color w:val="000000"/>
                <w:sz w:val="18"/>
                <w:szCs w:val="18"/>
                <w:lang w:eastAsia="tr-TR"/>
              </w:rPr>
            </w:pPr>
            <w:r w:rsidRPr="00005453">
              <w:rPr>
                <w:b/>
                <w:bCs/>
                <w:color w:val="000000"/>
                <w:sz w:val="18"/>
                <w:szCs w:val="18"/>
                <w:lang w:eastAsia="tr-TR"/>
              </w:rPr>
              <w:t>YP</w:t>
            </w:r>
          </w:p>
        </w:tc>
      </w:tr>
      <w:tr w:rsidR="00846060" w:rsidRPr="00005453" w14:paraId="6119E325" w14:textId="77777777" w:rsidTr="00614CD2">
        <w:trPr>
          <w:divId w:val="1840272695"/>
          <w:trHeight w:val="180"/>
        </w:trPr>
        <w:tc>
          <w:tcPr>
            <w:tcW w:w="4744" w:type="dxa"/>
            <w:tcBorders>
              <w:top w:val="nil"/>
              <w:left w:val="nil"/>
              <w:bottom w:val="nil"/>
              <w:right w:val="nil"/>
            </w:tcBorders>
            <w:shd w:val="clear" w:color="auto" w:fill="auto"/>
            <w:hideMark/>
          </w:tcPr>
          <w:p w14:paraId="4F74D2CB" w14:textId="77777777" w:rsidR="00846060" w:rsidRPr="00005453" w:rsidRDefault="00846060" w:rsidP="00846060">
            <w:pPr>
              <w:rPr>
                <w:sz w:val="18"/>
                <w:szCs w:val="18"/>
              </w:rPr>
            </w:pPr>
            <w:r w:rsidRPr="00005453">
              <w:rPr>
                <w:sz w:val="18"/>
                <w:szCs w:val="18"/>
              </w:rPr>
              <w:t xml:space="preserve">İştirakler, Bağlı Ortaklıklar ve Birlikte Kontrol Edilen Ortaklıklardan </w:t>
            </w:r>
            <w:proofErr w:type="gramStart"/>
            <w:r w:rsidRPr="00005453">
              <w:rPr>
                <w:sz w:val="18"/>
                <w:szCs w:val="18"/>
              </w:rPr>
              <w:t>( İş</w:t>
            </w:r>
            <w:proofErr w:type="gramEnd"/>
            <w:r w:rsidRPr="00005453">
              <w:rPr>
                <w:sz w:val="18"/>
                <w:szCs w:val="18"/>
              </w:rPr>
              <w:t xml:space="preserve"> Ortaklıklarından)</w:t>
            </w:r>
          </w:p>
        </w:tc>
        <w:tc>
          <w:tcPr>
            <w:tcW w:w="1225" w:type="dxa"/>
            <w:tcBorders>
              <w:top w:val="nil"/>
              <w:left w:val="nil"/>
              <w:bottom w:val="nil"/>
              <w:right w:val="nil"/>
            </w:tcBorders>
            <w:shd w:val="clear" w:color="auto" w:fill="auto"/>
            <w:hideMark/>
          </w:tcPr>
          <w:p w14:paraId="4FC7A277" w14:textId="77777777" w:rsidR="00846060" w:rsidRPr="00005453" w:rsidRDefault="00846060" w:rsidP="00846060">
            <w:pPr>
              <w:jc w:val="right"/>
              <w:rPr>
                <w:color w:val="000000"/>
                <w:sz w:val="18"/>
                <w:szCs w:val="18"/>
                <w:lang w:eastAsia="tr-TR"/>
              </w:rPr>
            </w:pPr>
            <w:r w:rsidRPr="00005453">
              <w:rPr>
                <w:color w:val="000000"/>
                <w:sz w:val="18"/>
                <w:szCs w:val="18"/>
                <w:lang w:eastAsia="tr-TR"/>
              </w:rPr>
              <w:t>-</w:t>
            </w:r>
          </w:p>
        </w:tc>
        <w:tc>
          <w:tcPr>
            <w:tcW w:w="1103" w:type="dxa"/>
            <w:tcBorders>
              <w:top w:val="nil"/>
              <w:left w:val="nil"/>
              <w:bottom w:val="nil"/>
              <w:right w:val="nil"/>
            </w:tcBorders>
            <w:shd w:val="clear" w:color="auto" w:fill="auto"/>
            <w:hideMark/>
          </w:tcPr>
          <w:p w14:paraId="38B09E93" w14:textId="77777777" w:rsidR="00846060" w:rsidRPr="00005453" w:rsidRDefault="00846060" w:rsidP="00846060">
            <w:pPr>
              <w:jc w:val="right"/>
              <w:rPr>
                <w:color w:val="000000"/>
                <w:sz w:val="18"/>
                <w:szCs w:val="18"/>
                <w:lang w:eastAsia="tr-TR"/>
              </w:rPr>
            </w:pPr>
            <w:r w:rsidRPr="00005453">
              <w:rPr>
                <w:color w:val="000000"/>
                <w:sz w:val="18"/>
                <w:szCs w:val="18"/>
                <w:lang w:eastAsia="tr-TR"/>
              </w:rPr>
              <w:t>-</w:t>
            </w:r>
          </w:p>
        </w:tc>
        <w:tc>
          <w:tcPr>
            <w:tcW w:w="1047" w:type="dxa"/>
            <w:tcBorders>
              <w:top w:val="nil"/>
              <w:left w:val="nil"/>
              <w:bottom w:val="nil"/>
              <w:right w:val="nil"/>
            </w:tcBorders>
            <w:shd w:val="clear" w:color="auto" w:fill="auto"/>
            <w:hideMark/>
          </w:tcPr>
          <w:p w14:paraId="6AC04418" w14:textId="7369E273" w:rsidR="00846060" w:rsidRPr="00005453" w:rsidRDefault="00846060" w:rsidP="00846060">
            <w:pPr>
              <w:jc w:val="right"/>
              <w:rPr>
                <w:color w:val="000000"/>
                <w:sz w:val="18"/>
                <w:szCs w:val="18"/>
                <w:lang w:eastAsia="tr-TR"/>
              </w:rPr>
            </w:pPr>
            <w:r w:rsidRPr="00005453">
              <w:rPr>
                <w:color w:val="000000"/>
                <w:sz w:val="18"/>
                <w:szCs w:val="18"/>
                <w:lang w:eastAsia="tr-TR"/>
              </w:rPr>
              <w:t>-</w:t>
            </w:r>
          </w:p>
        </w:tc>
        <w:tc>
          <w:tcPr>
            <w:tcW w:w="1120" w:type="dxa"/>
            <w:tcBorders>
              <w:top w:val="nil"/>
              <w:left w:val="nil"/>
              <w:bottom w:val="nil"/>
              <w:right w:val="nil"/>
            </w:tcBorders>
            <w:shd w:val="clear" w:color="auto" w:fill="auto"/>
            <w:hideMark/>
          </w:tcPr>
          <w:p w14:paraId="6D012CA0" w14:textId="58DE1C16" w:rsidR="00846060" w:rsidRPr="00005453" w:rsidRDefault="00846060" w:rsidP="00846060">
            <w:pPr>
              <w:jc w:val="right"/>
              <w:rPr>
                <w:color w:val="000000"/>
                <w:sz w:val="18"/>
                <w:szCs w:val="18"/>
                <w:lang w:eastAsia="tr-TR"/>
              </w:rPr>
            </w:pPr>
            <w:r w:rsidRPr="00005453">
              <w:rPr>
                <w:color w:val="000000"/>
                <w:sz w:val="18"/>
                <w:szCs w:val="18"/>
                <w:lang w:eastAsia="tr-TR"/>
              </w:rPr>
              <w:t>-</w:t>
            </w:r>
          </w:p>
        </w:tc>
      </w:tr>
      <w:tr w:rsidR="00846060" w:rsidRPr="00005453" w14:paraId="5CCA71D0" w14:textId="77777777" w:rsidTr="00614CD2">
        <w:trPr>
          <w:divId w:val="1840272695"/>
          <w:trHeight w:val="57"/>
        </w:trPr>
        <w:tc>
          <w:tcPr>
            <w:tcW w:w="4744" w:type="dxa"/>
            <w:tcBorders>
              <w:top w:val="nil"/>
              <w:left w:val="nil"/>
              <w:bottom w:val="nil"/>
              <w:right w:val="nil"/>
            </w:tcBorders>
            <w:shd w:val="clear" w:color="auto" w:fill="auto"/>
            <w:hideMark/>
          </w:tcPr>
          <w:p w14:paraId="392BE75F" w14:textId="77777777" w:rsidR="00846060" w:rsidRPr="00005453" w:rsidRDefault="00846060" w:rsidP="00846060">
            <w:pPr>
              <w:rPr>
                <w:sz w:val="18"/>
                <w:szCs w:val="18"/>
              </w:rPr>
            </w:pPr>
            <w:r w:rsidRPr="00005453">
              <w:rPr>
                <w:sz w:val="18"/>
                <w:szCs w:val="18"/>
              </w:rPr>
              <w:t xml:space="preserve">Değerleme </w:t>
            </w:r>
            <w:proofErr w:type="gramStart"/>
            <w:r w:rsidRPr="00005453">
              <w:rPr>
                <w:sz w:val="18"/>
                <w:szCs w:val="18"/>
              </w:rPr>
              <w:t>Farkı(</w:t>
            </w:r>
            <w:proofErr w:type="gramEnd"/>
            <w:r w:rsidRPr="00005453">
              <w:rPr>
                <w:sz w:val="18"/>
                <w:szCs w:val="18"/>
              </w:rPr>
              <w:t>*)</w:t>
            </w:r>
          </w:p>
        </w:tc>
        <w:tc>
          <w:tcPr>
            <w:tcW w:w="1225" w:type="dxa"/>
            <w:tcBorders>
              <w:top w:val="nil"/>
              <w:left w:val="nil"/>
              <w:bottom w:val="nil"/>
              <w:right w:val="nil"/>
            </w:tcBorders>
            <w:shd w:val="clear" w:color="auto" w:fill="auto"/>
            <w:hideMark/>
          </w:tcPr>
          <w:p w14:paraId="6457F4B0" w14:textId="31A8E8D6" w:rsidR="00846060" w:rsidRPr="00005453" w:rsidRDefault="00846060" w:rsidP="00846060">
            <w:pPr>
              <w:jc w:val="right"/>
              <w:rPr>
                <w:color w:val="000000"/>
                <w:sz w:val="18"/>
                <w:szCs w:val="18"/>
                <w:lang w:eastAsia="tr-TR"/>
              </w:rPr>
            </w:pPr>
            <w:r w:rsidRPr="00005453">
              <w:rPr>
                <w:color w:val="000000"/>
                <w:sz w:val="18"/>
                <w:szCs w:val="18"/>
                <w:lang w:eastAsia="tr-TR"/>
              </w:rPr>
              <w:t>(</w:t>
            </w:r>
            <w:r w:rsidR="002C5026" w:rsidRPr="00005453">
              <w:rPr>
                <w:color w:val="000000"/>
                <w:sz w:val="18"/>
                <w:szCs w:val="18"/>
                <w:lang w:eastAsia="tr-TR"/>
              </w:rPr>
              <w:t>5</w:t>
            </w:r>
            <w:r w:rsidRPr="00005453">
              <w:rPr>
                <w:color w:val="000000"/>
                <w:sz w:val="18"/>
                <w:szCs w:val="18"/>
                <w:lang w:eastAsia="tr-TR"/>
              </w:rPr>
              <w:t>,</w:t>
            </w:r>
            <w:r w:rsidR="002C5026" w:rsidRPr="00005453">
              <w:rPr>
                <w:color w:val="000000"/>
                <w:sz w:val="18"/>
                <w:szCs w:val="18"/>
                <w:lang w:eastAsia="tr-TR"/>
              </w:rPr>
              <w:t>682</w:t>
            </w:r>
            <w:r w:rsidRPr="00005453">
              <w:rPr>
                <w:color w:val="000000"/>
                <w:sz w:val="18"/>
                <w:szCs w:val="18"/>
                <w:lang w:eastAsia="tr-TR"/>
              </w:rPr>
              <w:t>,</w:t>
            </w:r>
            <w:r w:rsidR="002C5026" w:rsidRPr="00005453">
              <w:rPr>
                <w:color w:val="000000"/>
                <w:sz w:val="18"/>
                <w:szCs w:val="18"/>
                <w:lang w:eastAsia="tr-TR"/>
              </w:rPr>
              <w:t>24</w:t>
            </w:r>
            <w:r w:rsidRPr="00005453">
              <w:rPr>
                <w:color w:val="000000"/>
                <w:sz w:val="18"/>
                <w:szCs w:val="18"/>
                <w:lang w:eastAsia="tr-TR"/>
              </w:rPr>
              <w:t>8)</w:t>
            </w:r>
          </w:p>
        </w:tc>
        <w:tc>
          <w:tcPr>
            <w:tcW w:w="1103" w:type="dxa"/>
            <w:tcBorders>
              <w:top w:val="nil"/>
              <w:left w:val="nil"/>
              <w:bottom w:val="nil"/>
              <w:right w:val="nil"/>
            </w:tcBorders>
            <w:shd w:val="clear" w:color="auto" w:fill="auto"/>
            <w:hideMark/>
          </w:tcPr>
          <w:p w14:paraId="1D52E13A" w14:textId="71BA7EEB" w:rsidR="00846060" w:rsidRPr="00005453" w:rsidRDefault="002C5026" w:rsidP="00846060">
            <w:pPr>
              <w:jc w:val="right"/>
              <w:rPr>
                <w:color w:val="000000"/>
                <w:sz w:val="18"/>
                <w:szCs w:val="18"/>
                <w:lang w:eastAsia="tr-TR"/>
              </w:rPr>
            </w:pPr>
            <w:r w:rsidRPr="00005453">
              <w:rPr>
                <w:color w:val="000000"/>
                <w:sz w:val="18"/>
                <w:szCs w:val="18"/>
                <w:lang w:eastAsia="tr-TR"/>
              </w:rPr>
              <w:t>301</w:t>
            </w:r>
            <w:r w:rsidR="00846060" w:rsidRPr="00005453">
              <w:rPr>
                <w:color w:val="000000"/>
                <w:sz w:val="18"/>
                <w:szCs w:val="18"/>
                <w:lang w:eastAsia="tr-TR"/>
              </w:rPr>
              <w:t>,</w:t>
            </w:r>
            <w:r w:rsidRPr="00005453">
              <w:rPr>
                <w:color w:val="000000"/>
                <w:sz w:val="18"/>
                <w:szCs w:val="18"/>
                <w:lang w:eastAsia="tr-TR"/>
              </w:rPr>
              <w:t>804</w:t>
            </w:r>
          </w:p>
        </w:tc>
        <w:tc>
          <w:tcPr>
            <w:tcW w:w="1047" w:type="dxa"/>
            <w:tcBorders>
              <w:top w:val="nil"/>
              <w:left w:val="nil"/>
              <w:bottom w:val="nil"/>
              <w:right w:val="nil"/>
            </w:tcBorders>
            <w:shd w:val="clear" w:color="auto" w:fill="auto"/>
            <w:hideMark/>
          </w:tcPr>
          <w:p w14:paraId="0F972705" w14:textId="7C21F854" w:rsidR="00846060" w:rsidRPr="00005453" w:rsidRDefault="00846060" w:rsidP="00846060">
            <w:pPr>
              <w:jc w:val="right"/>
              <w:rPr>
                <w:color w:val="000000"/>
                <w:sz w:val="18"/>
                <w:szCs w:val="18"/>
                <w:lang w:eastAsia="tr-TR"/>
              </w:rPr>
            </w:pPr>
            <w:r w:rsidRPr="00005453">
              <w:rPr>
                <w:color w:val="000000"/>
                <w:sz w:val="18"/>
                <w:szCs w:val="18"/>
                <w:lang w:eastAsia="tr-TR"/>
              </w:rPr>
              <w:t>(1,263,418)</w:t>
            </w:r>
          </w:p>
        </w:tc>
        <w:tc>
          <w:tcPr>
            <w:tcW w:w="1120" w:type="dxa"/>
            <w:tcBorders>
              <w:top w:val="nil"/>
              <w:left w:val="nil"/>
              <w:bottom w:val="nil"/>
              <w:right w:val="nil"/>
            </w:tcBorders>
            <w:shd w:val="clear" w:color="auto" w:fill="auto"/>
            <w:hideMark/>
          </w:tcPr>
          <w:p w14:paraId="34C0A017" w14:textId="540B28B0" w:rsidR="00846060" w:rsidRPr="00005453" w:rsidRDefault="00846060" w:rsidP="00846060">
            <w:pPr>
              <w:jc w:val="right"/>
              <w:rPr>
                <w:color w:val="000000"/>
                <w:sz w:val="18"/>
                <w:szCs w:val="18"/>
                <w:lang w:eastAsia="tr-TR"/>
              </w:rPr>
            </w:pPr>
            <w:r w:rsidRPr="00005453">
              <w:rPr>
                <w:color w:val="000000"/>
                <w:sz w:val="18"/>
                <w:szCs w:val="18"/>
                <w:lang w:eastAsia="tr-TR"/>
              </w:rPr>
              <w:t>240,265</w:t>
            </w:r>
          </w:p>
        </w:tc>
      </w:tr>
      <w:tr w:rsidR="00846060" w:rsidRPr="00005453" w14:paraId="508E84B6" w14:textId="77777777" w:rsidTr="00614CD2">
        <w:trPr>
          <w:divId w:val="1840272695"/>
          <w:trHeight w:val="261"/>
        </w:trPr>
        <w:tc>
          <w:tcPr>
            <w:tcW w:w="4744" w:type="dxa"/>
            <w:tcBorders>
              <w:top w:val="nil"/>
              <w:left w:val="nil"/>
              <w:bottom w:val="nil"/>
              <w:right w:val="nil"/>
            </w:tcBorders>
            <w:shd w:val="clear" w:color="auto" w:fill="auto"/>
            <w:hideMark/>
          </w:tcPr>
          <w:p w14:paraId="5D7D2223" w14:textId="77777777" w:rsidR="00846060" w:rsidRPr="00005453" w:rsidRDefault="00846060" w:rsidP="00846060">
            <w:pPr>
              <w:rPr>
                <w:sz w:val="18"/>
                <w:szCs w:val="18"/>
              </w:rPr>
            </w:pPr>
            <w:r w:rsidRPr="00005453">
              <w:rPr>
                <w:sz w:val="18"/>
                <w:szCs w:val="18"/>
              </w:rPr>
              <w:t>Kur Farkı</w:t>
            </w:r>
          </w:p>
        </w:tc>
        <w:tc>
          <w:tcPr>
            <w:tcW w:w="1225" w:type="dxa"/>
            <w:tcBorders>
              <w:top w:val="nil"/>
              <w:left w:val="nil"/>
              <w:bottom w:val="nil"/>
              <w:right w:val="nil"/>
            </w:tcBorders>
            <w:shd w:val="clear" w:color="auto" w:fill="auto"/>
            <w:hideMark/>
          </w:tcPr>
          <w:p w14:paraId="24936FEF" w14:textId="77777777" w:rsidR="00846060" w:rsidRPr="00005453" w:rsidRDefault="00846060" w:rsidP="00846060">
            <w:pPr>
              <w:jc w:val="right"/>
              <w:rPr>
                <w:color w:val="000000"/>
                <w:sz w:val="18"/>
                <w:szCs w:val="18"/>
                <w:lang w:eastAsia="tr-TR"/>
              </w:rPr>
            </w:pPr>
            <w:r w:rsidRPr="00005453">
              <w:rPr>
                <w:color w:val="000000"/>
                <w:sz w:val="18"/>
                <w:szCs w:val="18"/>
                <w:lang w:eastAsia="tr-TR"/>
              </w:rPr>
              <w:t>-</w:t>
            </w:r>
          </w:p>
        </w:tc>
        <w:tc>
          <w:tcPr>
            <w:tcW w:w="1103" w:type="dxa"/>
            <w:tcBorders>
              <w:top w:val="nil"/>
              <w:left w:val="nil"/>
              <w:bottom w:val="nil"/>
              <w:right w:val="nil"/>
            </w:tcBorders>
            <w:shd w:val="clear" w:color="auto" w:fill="auto"/>
            <w:hideMark/>
          </w:tcPr>
          <w:p w14:paraId="4739E7C9" w14:textId="77777777" w:rsidR="00846060" w:rsidRPr="00005453" w:rsidRDefault="00846060" w:rsidP="00846060">
            <w:pPr>
              <w:jc w:val="right"/>
              <w:rPr>
                <w:color w:val="000000"/>
                <w:sz w:val="18"/>
                <w:szCs w:val="18"/>
                <w:lang w:eastAsia="tr-TR"/>
              </w:rPr>
            </w:pPr>
            <w:r w:rsidRPr="00005453">
              <w:rPr>
                <w:color w:val="000000"/>
                <w:sz w:val="18"/>
                <w:szCs w:val="18"/>
                <w:lang w:eastAsia="tr-TR"/>
              </w:rPr>
              <w:t>-</w:t>
            </w:r>
          </w:p>
        </w:tc>
        <w:tc>
          <w:tcPr>
            <w:tcW w:w="1047" w:type="dxa"/>
            <w:tcBorders>
              <w:top w:val="nil"/>
              <w:left w:val="nil"/>
              <w:bottom w:val="nil"/>
              <w:right w:val="nil"/>
            </w:tcBorders>
            <w:shd w:val="clear" w:color="auto" w:fill="auto"/>
            <w:hideMark/>
          </w:tcPr>
          <w:p w14:paraId="137DDA32" w14:textId="5E94C529" w:rsidR="00846060" w:rsidRPr="00005453" w:rsidRDefault="00846060" w:rsidP="00846060">
            <w:pPr>
              <w:jc w:val="right"/>
              <w:rPr>
                <w:color w:val="000000"/>
                <w:sz w:val="18"/>
                <w:szCs w:val="18"/>
                <w:lang w:eastAsia="tr-TR"/>
              </w:rPr>
            </w:pPr>
            <w:r w:rsidRPr="00005453">
              <w:rPr>
                <w:color w:val="000000"/>
                <w:sz w:val="18"/>
                <w:szCs w:val="18"/>
                <w:lang w:eastAsia="tr-TR"/>
              </w:rPr>
              <w:t>-</w:t>
            </w:r>
          </w:p>
        </w:tc>
        <w:tc>
          <w:tcPr>
            <w:tcW w:w="1120" w:type="dxa"/>
            <w:tcBorders>
              <w:top w:val="nil"/>
              <w:left w:val="nil"/>
              <w:bottom w:val="nil"/>
              <w:right w:val="nil"/>
            </w:tcBorders>
            <w:shd w:val="clear" w:color="auto" w:fill="auto"/>
            <w:hideMark/>
          </w:tcPr>
          <w:p w14:paraId="5E287146" w14:textId="5564D815" w:rsidR="00846060" w:rsidRPr="00005453" w:rsidRDefault="00846060" w:rsidP="00846060">
            <w:pPr>
              <w:jc w:val="right"/>
              <w:rPr>
                <w:color w:val="000000"/>
                <w:sz w:val="18"/>
                <w:szCs w:val="18"/>
                <w:lang w:eastAsia="tr-TR"/>
              </w:rPr>
            </w:pPr>
            <w:r w:rsidRPr="00005453">
              <w:rPr>
                <w:color w:val="000000"/>
                <w:sz w:val="18"/>
                <w:szCs w:val="18"/>
                <w:lang w:eastAsia="tr-TR"/>
              </w:rPr>
              <w:t>-</w:t>
            </w:r>
          </w:p>
        </w:tc>
      </w:tr>
      <w:tr w:rsidR="002C5026" w:rsidRPr="00005453" w14:paraId="7D24E5DC" w14:textId="77777777" w:rsidTr="002C5026">
        <w:trPr>
          <w:divId w:val="1840272695"/>
          <w:trHeight w:val="261"/>
        </w:trPr>
        <w:tc>
          <w:tcPr>
            <w:tcW w:w="4744" w:type="dxa"/>
            <w:tcBorders>
              <w:top w:val="single" w:sz="8" w:space="0" w:color="auto"/>
              <w:left w:val="nil"/>
              <w:bottom w:val="double" w:sz="6" w:space="0" w:color="auto"/>
              <w:right w:val="nil"/>
            </w:tcBorders>
            <w:shd w:val="clear" w:color="auto" w:fill="auto"/>
            <w:vAlign w:val="center"/>
            <w:hideMark/>
          </w:tcPr>
          <w:p w14:paraId="068624BE" w14:textId="77777777" w:rsidR="002C5026" w:rsidRPr="00005453" w:rsidRDefault="002C5026" w:rsidP="002C5026">
            <w:pPr>
              <w:jc w:val="both"/>
              <w:rPr>
                <w:b/>
                <w:bCs/>
                <w:color w:val="000000"/>
                <w:sz w:val="18"/>
                <w:szCs w:val="18"/>
                <w:lang w:eastAsia="tr-TR"/>
              </w:rPr>
            </w:pPr>
            <w:r w:rsidRPr="00005453">
              <w:rPr>
                <w:b/>
                <w:bCs/>
                <w:color w:val="000000"/>
                <w:sz w:val="18"/>
                <w:szCs w:val="18"/>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633C52B4" w14:textId="6D87114C" w:rsidR="002C5026" w:rsidRPr="00005453" w:rsidRDefault="002C5026" w:rsidP="002C5026">
            <w:pPr>
              <w:jc w:val="right"/>
              <w:rPr>
                <w:b/>
                <w:bCs/>
                <w:color w:val="000000"/>
                <w:sz w:val="18"/>
                <w:szCs w:val="18"/>
                <w:lang w:eastAsia="tr-TR"/>
              </w:rPr>
            </w:pPr>
            <w:r w:rsidRPr="00005453">
              <w:rPr>
                <w:b/>
                <w:color w:val="000000"/>
                <w:sz w:val="18"/>
                <w:szCs w:val="18"/>
                <w:lang w:eastAsia="tr-TR"/>
              </w:rPr>
              <w:t>(5,682,248)</w:t>
            </w:r>
          </w:p>
        </w:tc>
        <w:tc>
          <w:tcPr>
            <w:tcW w:w="1103" w:type="dxa"/>
            <w:tcBorders>
              <w:top w:val="single" w:sz="8" w:space="0" w:color="auto"/>
              <w:left w:val="nil"/>
              <w:bottom w:val="double" w:sz="6" w:space="0" w:color="auto"/>
              <w:right w:val="nil"/>
            </w:tcBorders>
            <w:shd w:val="clear" w:color="auto" w:fill="auto"/>
            <w:vAlign w:val="center"/>
            <w:hideMark/>
          </w:tcPr>
          <w:p w14:paraId="1C3DC0C0" w14:textId="1AA400DF" w:rsidR="002C5026" w:rsidRPr="00005453" w:rsidRDefault="002C5026" w:rsidP="002C5026">
            <w:pPr>
              <w:jc w:val="right"/>
              <w:rPr>
                <w:b/>
                <w:bCs/>
                <w:color w:val="000000"/>
                <w:sz w:val="18"/>
                <w:szCs w:val="18"/>
                <w:lang w:eastAsia="tr-TR"/>
              </w:rPr>
            </w:pPr>
            <w:r w:rsidRPr="00005453">
              <w:rPr>
                <w:b/>
                <w:color w:val="000000"/>
                <w:sz w:val="18"/>
                <w:szCs w:val="18"/>
                <w:lang w:eastAsia="tr-TR"/>
              </w:rPr>
              <w:t>301,804</w:t>
            </w:r>
          </w:p>
        </w:tc>
        <w:tc>
          <w:tcPr>
            <w:tcW w:w="1047" w:type="dxa"/>
            <w:tcBorders>
              <w:top w:val="single" w:sz="8" w:space="0" w:color="auto"/>
              <w:left w:val="nil"/>
              <w:bottom w:val="double" w:sz="6" w:space="0" w:color="auto"/>
              <w:right w:val="nil"/>
            </w:tcBorders>
            <w:shd w:val="clear" w:color="auto" w:fill="auto"/>
            <w:vAlign w:val="center"/>
            <w:hideMark/>
          </w:tcPr>
          <w:p w14:paraId="081834CF" w14:textId="76D5AF1E" w:rsidR="002C5026" w:rsidRPr="00005453" w:rsidRDefault="002C5026" w:rsidP="002C5026">
            <w:pPr>
              <w:jc w:val="right"/>
              <w:rPr>
                <w:b/>
                <w:bCs/>
                <w:color w:val="000000"/>
                <w:sz w:val="18"/>
                <w:szCs w:val="18"/>
                <w:lang w:eastAsia="tr-TR"/>
              </w:rPr>
            </w:pPr>
            <w:r w:rsidRPr="00005453">
              <w:rPr>
                <w:b/>
                <w:color w:val="000000"/>
                <w:sz w:val="18"/>
                <w:szCs w:val="18"/>
                <w:lang w:eastAsia="tr-TR"/>
              </w:rPr>
              <w:t>(1,263,418)</w:t>
            </w:r>
          </w:p>
        </w:tc>
        <w:tc>
          <w:tcPr>
            <w:tcW w:w="1120" w:type="dxa"/>
            <w:tcBorders>
              <w:top w:val="single" w:sz="8" w:space="0" w:color="auto"/>
              <w:left w:val="nil"/>
              <w:bottom w:val="double" w:sz="6" w:space="0" w:color="auto"/>
              <w:right w:val="nil"/>
            </w:tcBorders>
            <w:shd w:val="clear" w:color="auto" w:fill="auto"/>
            <w:vAlign w:val="center"/>
            <w:hideMark/>
          </w:tcPr>
          <w:p w14:paraId="23AE9F60" w14:textId="286AB633" w:rsidR="002C5026" w:rsidRPr="00005453" w:rsidRDefault="002C5026" w:rsidP="002C5026">
            <w:pPr>
              <w:jc w:val="right"/>
              <w:rPr>
                <w:b/>
                <w:bCs/>
                <w:color w:val="000000"/>
                <w:sz w:val="18"/>
                <w:szCs w:val="18"/>
                <w:lang w:eastAsia="tr-TR"/>
              </w:rPr>
            </w:pPr>
            <w:r w:rsidRPr="00005453">
              <w:rPr>
                <w:b/>
                <w:color w:val="000000"/>
                <w:sz w:val="18"/>
                <w:szCs w:val="18"/>
                <w:lang w:eastAsia="tr-TR"/>
              </w:rPr>
              <w:t>240,265</w:t>
            </w:r>
          </w:p>
        </w:tc>
      </w:tr>
    </w:tbl>
    <w:p w14:paraId="63A3B5FC" w14:textId="6B3F3F50" w:rsidR="00363252" w:rsidRPr="00005453" w:rsidRDefault="00363252" w:rsidP="002A2420">
      <w:pPr>
        <w:autoSpaceDE w:val="0"/>
        <w:autoSpaceDN w:val="0"/>
        <w:adjustRightInd w:val="0"/>
        <w:ind w:hanging="567"/>
        <w:rPr>
          <w:b/>
          <w:bCs/>
          <w:iCs/>
          <w:sz w:val="6"/>
          <w:szCs w:val="6"/>
        </w:rPr>
      </w:pPr>
    </w:p>
    <w:p w14:paraId="34CB9A6F" w14:textId="77777777" w:rsidR="00B56E05" w:rsidRPr="00005453" w:rsidRDefault="00B56E05" w:rsidP="00B56E05">
      <w:pPr>
        <w:autoSpaceDE w:val="0"/>
        <w:autoSpaceDN w:val="0"/>
        <w:adjustRightInd w:val="0"/>
        <w:ind w:left="142" w:hanging="142"/>
        <w:jc w:val="both"/>
        <w:rPr>
          <w:b/>
          <w:bCs/>
          <w:iCs/>
          <w:sz w:val="14"/>
          <w:szCs w:val="14"/>
        </w:rPr>
      </w:pPr>
      <w:r w:rsidRPr="00005453">
        <w:rPr>
          <w:sz w:val="16"/>
          <w:szCs w:val="16"/>
        </w:rPr>
        <w:t>(*) Bilançoda Gerçeğe uygun değer farkı diğer kapsamlı gelire yansıtılan finansal varlıklar altında “Devlet Borçlanma Senetleri” ve “</w:t>
      </w:r>
      <w:proofErr w:type="gramStart"/>
      <w:r w:rsidRPr="00005453">
        <w:rPr>
          <w:sz w:val="16"/>
          <w:szCs w:val="16"/>
        </w:rPr>
        <w:t>Diğer  Menkul</w:t>
      </w:r>
      <w:proofErr w:type="gramEnd"/>
      <w:r w:rsidRPr="00005453">
        <w:rPr>
          <w:sz w:val="16"/>
          <w:szCs w:val="16"/>
        </w:rPr>
        <w:t xml:space="preserve"> Değerler” satırlarında sınıflanan Kira Sertifikalarının vergi etkisi de dikkate alınarak hesaplanmış değerleme farkıdır.</w:t>
      </w:r>
    </w:p>
    <w:p w14:paraId="4009C71C" w14:textId="77777777" w:rsidR="00F0188F" w:rsidRPr="00005453" w:rsidRDefault="00F0188F" w:rsidP="002A2420">
      <w:pPr>
        <w:autoSpaceDE w:val="0"/>
        <w:autoSpaceDN w:val="0"/>
        <w:adjustRightInd w:val="0"/>
        <w:ind w:hanging="567"/>
        <w:rPr>
          <w:b/>
          <w:bCs/>
          <w:iCs/>
          <w:sz w:val="14"/>
          <w:szCs w:val="14"/>
        </w:rPr>
      </w:pPr>
    </w:p>
    <w:p w14:paraId="780D69CA" w14:textId="2CA28AF8" w:rsidR="00B56E05" w:rsidRPr="00005453" w:rsidRDefault="00B56E05" w:rsidP="00B56E05">
      <w:pPr>
        <w:autoSpaceDE w:val="0"/>
        <w:autoSpaceDN w:val="0"/>
        <w:adjustRightInd w:val="0"/>
        <w:ind w:hanging="567"/>
        <w:rPr>
          <w:b/>
          <w:bCs/>
          <w:iCs/>
        </w:rPr>
      </w:pPr>
      <w:proofErr w:type="gramStart"/>
      <w:r w:rsidRPr="00005453">
        <w:rPr>
          <w:b/>
          <w:bCs/>
          <w:iCs/>
        </w:rPr>
        <w:t>2.1</w:t>
      </w:r>
      <w:r w:rsidR="00731AA9" w:rsidRPr="00005453">
        <w:rPr>
          <w:b/>
          <w:bCs/>
          <w:iCs/>
        </w:rPr>
        <w:t>3</w:t>
      </w:r>
      <w:r w:rsidRPr="00005453">
        <w:rPr>
          <w:b/>
          <w:bCs/>
          <w:iCs/>
        </w:rPr>
        <w:t xml:space="preserve">  </w:t>
      </w:r>
      <w:r w:rsidRPr="00005453">
        <w:rPr>
          <w:b/>
          <w:bCs/>
          <w:iCs/>
        </w:rPr>
        <w:tab/>
      </w:r>
      <w:proofErr w:type="gramEnd"/>
      <w:r w:rsidRPr="00005453">
        <w:rPr>
          <w:b/>
          <w:bCs/>
          <w:iCs/>
        </w:rPr>
        <w:t>Azınlık paylarına ilişkin açıklamalar</w:t>
      </w:r>
    </w:p>
    <w:p w14:paraId="35A05FB9" w14:textId="7812BB2E" w:rsidR="00B56E05" w:rsidRPr="00005453" w:rsidRDefault="0015114B" w:rsidP="00B56E05">
      <w:pPr>
        <w:autoSpaceDE w:val="0"/>
        <w:autoSpaceDN w:val="0"/>
        <w:adjustRightInd w:val="0"/>
        <w:ind w:left="360"/>
        <w:rPr>
          <w:sz w:val="16"/>
          <w:szCs w:val="16"/>
        </w:rPr>
      </w:pPr>
      <w:r w:rsidRPr="00005453">
        <w:rPr>
          <w:sz w:val="16"/>
          <w:szCs w:val="16"/>
        </w:rPr>
        <w:tab/>
      </w:r>
    </w:p>
    <w:p w14:paraId="64850110" w14:textId="4787B4ED" w:rsidR="00B56E05" w:rsidRPr="00005453" w:rsidRDefault="00B56E05" w:rsidP="00B56E05">
      <w:pPr>
        <w:autoSpaceDE w:val="0"/>
        <w:autoSpaceDN w:val="0"/>
        <w:adjustRightInd w:val="0"/>
        <w:rPr>
          <w:sz w:val="16"/>
          <w:szCs w:val="16"/>
        </w:rPr>
      </w:pPr>
      <w:r w:rsidRPr="00005453">
        <w:t xml:space="preserve">Yoktur (31 Aralık </w:t>
      </w:r>
      <w:proofErr w:type="gramStart"/>
      <w:r w:rsidRPr="00005453">
        <w:t>202</w:t>
      </w:r>
      <w:r w:rsidR="00846060" w:rsidRPr="00005453">
        <w:t>3</w:t>
      </w:r>
      <w:r w:rsidRPr="00005453">
        <w:t xml:space="preserve"> -</w:t>
      </w:r>
      <w:proofErr w:type="gramEnd"/>
      <w:r w:rsidRPr="00005453">
        <w:t xml:space="preserve"> Yoktur).</w:t>
      </w:r>
    </w:p>
    <w:p w14:paraId="5B43B126" w14:textId="77777777" w:rsidR="00733A4B" w:rsidRPr="00005453" w:rsidRDefault="00733A4B" w:rsidP="00170463">
      <w:pPr>
        <w:autoSpaceDE w:val="0"/>
        <w:autoSpaceDN w:val="0"/>
        <w:adjustRightInd w:val="0"/>
        <w:ind w:left="360"/>
        <w:rPr>
          <w:sz w:val="16"/>
          <w:szCs w:val="16"/>
        </w:rPr>
      </w:pPr>
    </w:p>
    <w:p w14:paraId="4EEFDDBD" w14:textId="77777777" w:rsidR="007A5D0B" w:rsidRPr="00005453" w:rsidRDefault="007A5D0B" w:rsidP="00170463">
      <w:pPr>
        <w:autoSpaceDE w:val="0"/>
        <w:autoSpaceDN w:val="0"/>
        <w:adjustRightInd w:val="0"/>
        <w:ind w:left="360"/>
        <w:rPr>
          <w:sz w:val="16"/>
          <w:szCs w:val="16"/>
        </w:rPr>
      </w:pPr>
    </w:p>
    <w:p w14:paraId="6E61AC9C" w14:textId="77777777" w:rsidR="005D495B" w:rsidRPr="00005453" w:rsidRDefault="005D495B" w:rsidP="00170463">
      <w:pPr>
        <w:autoSpaceDE w:val="0"/>
        <w:autoSpaceDN w:val="0"/>
        <w:adjustRightInd w:val="0"/>
        <w:ind w:left="360"/>
        <w:rPr>
          <w:sz w:val="16"/>
          <w:szCs w:val="16"/>
        </w:rPr>
      </w:pPr>
    </w:p>
    <w:p w14:paraId="3427C57F" w14:textId="77777777" w:rsidR="005D495B" w:rsidRPr="00005453" w:rsidRDefault="005D495B" w:rsidP="00170463">
      <w:pPr>
        <w:autoSpaceDE w:val="0"/>
        <w:autoSpaceDN w:val="0"/>
        <w:adjustRightInd w:val="0"/>
        <w:ind w:left="360"/>
        <w:rPr>
          <w:sz w:val="16"/>
          <w:szCs w:val="16"/>
        </w:rPr>
      </w:pPr>
    </w:p>
    <w:p w14:paraId="74D07778" w14:textId="77777777" w:rsidR="005D495B" w:rsidRPr="00005453" w:rsidRDefault="005D495B" w:rsidP="00170463">
      <w:pPr>
        <w:autoSpaceDE w:val="0"/>
        <w:autoSpaceDN w:val="0"/>
        <w:adjustRightInd w:val="0"/>
        <w:ind w:left="360"/>
        <w:rPr>
          <w:sz w:val="16"/>
          <w:szCs w:val="16"/>
        </w:rPr>
      </w:pPr>
    </w:p>
    <w:p w14:paraId="7411E4A9" w14:textId="3152910C" w:rsidR="00C020A1" w:rsidRPr="00005453" w:rsidRDefault="00A023D6" w:rsidP="00C020A1">
      <w:pPr>
        <w:autoSpaceDE w:val="0"/>
        <w:autoSpaceDN w:val="0"/>
        <w:adjustRightInd w:val="0"/>
        <w:ind w:hanging="567"/>
        <w:rPr>
          <w:rFonts w:eastAsia="Arial Unicode MS"/>
          <w:b/>
        </w:rPr>
      </w:pPr>
      <w:r w:rsidRPr="00005453">
        <w:rPr>
          <w:b/>
        </w:rPr>
        <w:br w:type="page"/>
      </w:r>
      <w:r w:rsidR="00C020A1" w:rsidRPr="00005453">
        <w:rPr>
          <w:b/>
        </w:rPr>
        <w:lastRenderedPageBreak/>
        <w:t>3.</w:t>
      </w:r>
      <w:r w:rsidR="00C020A1" w:rsidRPr="00005453">
        <w:tab/>
      </w:r>
      <w:r w:rsidR="00C020A1" w:rsidRPr="00005453">
        <w:rPr>
          <w:rFonts w:eastAsia="Arial Unicode MS"/>
          <w:b/>
        </w:rPr>
        <w:t xml:space="preserve">Nazım </w:t>
      </w:r>
      <w:r w:rsidR="00B3249B" w:rsidRPr="00005453">
        <w:rPr>
          <w:rFonts w:eastAsia="Arial Unicode MS"/>
          <w:b/>
        </w:rPr>
        <w:t>hesaplara ilişkin açıklama ve dipnotlar</w:t>
      </w:r>
    </w:p>
    <w:p w14:paraId="6D7E1EFA" w14:textId="77777777" w:rsidR="00C020A1" w:rsidRPr="00005453" w:rsidRDefault="00C020A1" w:rsidP="00C020A1">
      <w:pPr>
        <w:autoSpaceDE w:val="0"/>
        <w:autoSpaceDN w:val="0"/>
        <w:adjustRightInd w:val="0"/>
        <w:rPr>
          <w:rFonts w:eastAsia="Arial Unicode MS"/>
          <w:sz w:val="14"/>
          <w:szCs w:val="14"/>
        </w:rPr>
      </w:pPr>
    </w:p>
    <w:p w14:paraId="1A775921" w14:textId="73035423" w:rsidR="00C020A1" w:rsidRPr="00005453" w:rsidRDefault="00C020A1" w:rsidP="00C020A1">
      <w:pPr>
        <w:tabs>
          <w:tab w:val="left" w:pos="993"/>
        </w:tabs>
        <w:autoSpaceDE w:val="0"/>
        <w:autoSpaceDN w:val="0"/>
        <w:adjustRightInd w:val="0"/>
        <w:ind w:hanging="567"/>
        <w:rPr>
          <w:b/>
          <w:bCs/>
          <w:iCs/>
        </w:rPr>
      </w:pPr>
      <w:r w:rsidRPr="00005453">
        <w:rPr>
          <w:b/>
          <w:bCs/>
          <w:iCs/>
        </w:rPr>
        <w:t>3.1</w:t>
      </w:r>
      <w:r w:rsidRPr="00005453">
        <w:rPr>
          <w:b/>
          <w:bCs/>
          <w:iCs/>
        </w:rPr>
        <w:tab/>
      </w:r>
      <w:r w:rsidRPr="00005453">
        <w:rPr>
          <w:rFonts w:eastAsia="Arial Unicode MS"/>
          <w:b/>
        </w:rPr>
        <w:t>Nazım hesaplarda yer alan yükümlülüklere ilişkin açıklamalar</w:t>
      </w:r>
    </w:p>
    <w:p w14:paraId="6FA307A6" w14:textId="77777777" w:rsidR="00C020A1" w:rsidRPr="00005453" w:rsidRDefault="00C020A1" w:rsidP="00C020A1">
      <w:pPr>
        <w:pStyle w:val="BodyTextIndent2"/>
        <w:ind w:left="540" w:hanging="540"/>
        <w:jc w:val="left"/>
        <w:rPr>
          <w:rFonts w:ascii="Times New Roman" w:hAnsi="Times New Roman"/>
          <w:b w:val="0"/>
          <w:color w:val="auto"/>
          <w:sz w:val="14"/>
          <w:szCs w:val="14"/>
        </w:rPr>
      </w:pPr>
    </w:p>
    <w:p w14:paraId="5C696224" w14:textId="7DA1A632" w:rsidR="00C020A1" w:rsidRPr="00005453" w:rsidRDefault="00C020A1" w:rsidP="00C020A1">
      <w:pPr>
        <w:tabs>
          <w:tab w:val="num" w:pos="2340"/>
          <w:tab w:val="num" w:pos="3060"/>
        </w:tabs>
        <w:autoSpaceDE w:val="0"/>
        <w:autoSpaceDN w:val="0"/>
        <w:adjustRightInd w:val="0"/>
        <w:ind w:hanging="567"/>
        <w:jc w:val="both"/>
      </w:pPr>
      <w:r w:rsidRPr="00005453">
        <w:rPr>
          <w:b/>
        </w:rPr>
        <w:t>3.1.1</w:t>
      </w:r>
      <w:r w:rsidRPr="00005453">
        <w:tab/>
      </w:r>
      <w:r w:rsidRPr="00005453">
        <w:rPr>
          <w:spacing w:val="-6"/>
        </w:rPr>
        <w:t xml:space="preserve">Gayri kabili rücu nitelikteki kredi taahhütlerinin türü ve miktarı: Kredi kartı harcama limiti taahhütleri, </w:t>
      </w:r>
      <w:r w:rsidRPr="00005453">
        <w:t>31 Aralık 202</w:t>
      </w:r>
      <w:r w:rsidR="00846060" w:rsidRPr="00005453">
        <w:t>4</w:t>
      </w:r>
      <w:r w:rsidRPr="00005453">
        <w:rPr>
          <w:spacing w:val="-6"/>
        </w:rPr>
        <w:t xml:space="preserve"> tarihi itibarıyla </w:t>
      </w:r>
      <w:r w:rsidR="00AA31DF" w:rsidRPr="00005453">
        <w:rPr>
          <w:spacing w:val="-6"/>
        </w:rPr>
        <w:t>76</w:t>
      </w:r>
      <w:r w:rsidR="00583C58" w:rsidRPr="00005453">
        <w:rPr>
          <w:spacing w:val="-6"/>
        </w:rPr>
        <w:t>,</w:t>
      </w:r>
      <w:r w:rsidR="00AA31DF" w:rsidRPr="00005453">
        <w:rPr>
          <w:spacing w:val="-6"/>
        </w:rPr>
        <w:t>389</w:t>
      </w:r>
      <w:r w:rsidR="00583C58" w:rsidRPr="00005453">
        <w:rPr>
          <w:spacing w:val="-6"/>
        </w:rPr>
        <w:t>,</w:t>
      </w:r>
      <w:r w:rsidR="00AA31DF" w:rsidRPr="00005453">
        <w:rPr>
          <w:spacing w:val="-6"/>
        </w:rPr>
        <w:t>710</w:t>
      </w:r>
      <w:r w:rsidRPr="00005453">
        <w:rPr>
          <w:spacing w:val="-6"/>
        </w:rPr>
        <w:t xml:space="preserve"> TL (</w:t>
      </w:r>
      <w:r w:rsidRPr="00005453">
        <w:t xml:space="preserve">31 Aralık </w:t>
      </w:r>
      <w:proofErr w:type="gramStart"/>
      <w:r w:rsidRPr="00005453">
        <w:t>202</w:t>
      </w:r>
      <w:r w:rsidR="00846060" w:rsidRPr="00005453">
        <w:t>3</w:t>
      </w:r>
      <w:r w:rsidRPr="00005453">
        <w:rPr>
          <w:spacing w:val="-6"/>
        </w:rPr>
        <w:t xml:space="preserve"> -</w:t>
      </w:r>
      <w:proofErr w:type="gramEnd"/>
      <w:r w:rsidRPr="00005453">
        <w:rPr>
          <w:spacing w:val="-6"/>
        </w:rPr>
        <w:t xml:space="preserve"> </w:t>
      </w:r>
      <w:r w:rsidR="00846060" w:rsidRPr="00005453">
        <w:rPr>
          <w:spacing w:val="-6"/>
        </w:rPr>
        <w:t>33</w:t>
      </w:r>
      <w:r w:rsidR="00686390" w:rsidRPr="00005453">
        <w:rPr>
          <w:spacing w:val="-6"/>
        </w:rPr>
        <w:t>,9</w:t>
      </w:r>
      <w:r w:rsidR="00846060" w:rsidRPr="00005453">
        <w:rPr>
          <w:spacing w:val="-6"/>
        </w:rPr>
        <w:t>13</w:t>
      </w:r>
      <w:r w:rsidR="00686390" w:rsidRPr="00005453">
        <w:rPr>
          <w:spacing w:val="-6"/>
        </w:rPr>
        <w:t>,</w:t>
      </w:r>
      <w:r w:rsidR="00846060" w:rsidRPr="00005453">
        <w:rPr>
          <w:spacing w:val="-6"/>
        </w:rPr>
        <w:t>418</w:t>
      </w:r>
      <w:r w:rsidR="00686390" w:rsidRPr="00005453">
        <w:rPr>
          <w:spacing w:val="-6"/>
        </w:rPr>
        <w:t xml:space="preserve"> </w:t>
      </w:r>
      <w:r w:rsidRPr="00005453">
        <w:rPr>
          <w:spacing w:val="-6"/>
        </w:rPr>
        <w:t xml:space="preserve">TL); çekler için ödeme taahhütleri </w:t>
      </w:r>
      <w:r w:rsidR="00AA31DF" w:rsidRPr="00005453">
        <w:rPr>
          <w:spacing w:val="-6"/>
        </w:rPr>
        <w:t>5</w:t>
      </w:r>
      <w:r w:rsidR="00583C58" w:rsidRPr="00005453">
        <w:rPr>
          <w:spacing w:val="-6"/>
        </w:rPr>
        <w:t>,</w:t>
      </w:r>
      <w:r w:rsidR="0015114B" w:rsidRPr="00005453">
        <w:rPr>
          <w:spacing w:val="-6"/>
        </w:rPr>
        <w:t>8</w:t>
      </w:r>
      <w:r w:rsidR="00AA31DF" w:rsidRPr="00005453">
        <w:rPr>
          <w:spacing w:val="-6"/>
        </w:rPr>
        <w:t>64</w:t>
      </w:r>
      <w:r w:rsidR="00583C58" w:rsidRPr="00005453">
        <w:rPr>
          <w:spacing w:val="-6"/>
        </w:rPr>
        <w:t>,</w:t>
      </w:r>
      <w:r w:rsidR="00AA31DF" w:rsidRPr="00005453">
        <w:rPr>
          <w:spacing w:val="-6"/>
        </w:rPr>
        <w:t>748</w:t>
      </w:r>
      <w:r w:rsidRPr="00005453">
        <w:rPr>
          <w:spacing w:val="-6"/>
        </w:rPr>
        <w:t xml:space="preserve"> TL’dir </w:t>
      </w:r>
      <w:r w:rsidR="00367DD0" w:rsidRPr="00005453">
        <w:rPr>
          <w:spacing w:val="-6"/>
        </w:rPr>
        <w:t>(</w:t>
      </w:r>
      <w:r w:rsidRPr="00005453">
        <w:t>31 Aralık 202</w:t>
      </w:r>
      <w:r w:rsidR="00846060" w:rsidRPr="00005453">
        <w:t>3</w:t>
      </w:r>
      <w:r w:rsidRPr="00005453">
        <w:rPr>
          <w:spacing w:val="-6"/>
        </w:rPr>
        <w:t xml:space="preserve"> - </w:t>
      </w:r>
      <w:r w:rsidR="00846060" w:rsidRPr="00005453">
        <w:rPr>
          <w:spacing w:val="-6"/>
        </w:rPr>
        <w:t>3</w:t>
      </w:r>
      <w:r w:rsidR="00206DFE" w:rsidRPr="00005453">
        <w:rPr>
          <w:spacing w:val="-6"/>
        </w:rPr>
        <w:t>,</w:t>
      </w:r>
      <w:r w:rsidR="00846060" w:rsidRPr="00005453">
        <w:rPr>
          <w:spacing w:val="-6"/>
        </w:rPr>
        <w:t>861</w:t>
      </w:r>
      <w:r w:rsidR="00206DFE" w:rsidRPr="00005453">
        <w:rPr>
          <w:spacing w:val="-6"/>
        </w:rPr>
        <w:t>,</w:t>
      </w:r>
      <w:r w:rsidR="00846060" w:rsidRPr="00005453">
        <w:rPr>
          <w:spacing w:val="-6"/>
        </w:rPr>
        <w:t>133</w:t>
      </w:r>
      <w:r w:rsidR="00206DFE" w:rsidRPr="00005453">
        <w:rPr>
          <w:spacing w:val="-6"/>
        </w:rPr>
        <w:t xml:space="preserve"> </w:t>
      </w:r>
      <w:r w:rsidRPr="00005453">
        <w:rPr>
          <w:spacing w:val="-6"/>
        </w:rPr>
        <w:t>TL).</w:t>
      </w:r>
    </w:p>
    <w:p w14:paraId="51E6DC37" w14:textId="77777777" w:rsidR="00C020A1" w:rsidRPr="00005453" w:rsidRDefault="00C020A1" w:rsidP="00C020A1">
      <w:pPr>
        <w:pStyle w:val="BodyTextIndent"/>
        <w:ind w:left="1080"/>
        <w:jc w:val="left"/>
        <w:rPr>
          <w:rFonts w:eastAsia="Arial Unicode MS"/>
          <w:b/>
          <w:sz w:val="14"/>
          <w:szCs w:val="14"/>
        </w:rPr>
      </w:pPr>
    </w:p>
    <w:p w14:paraId="209AFB5B" w14:textId="7EB740B1" w:rsidR="00C020A1" w:rsidRPr="00005453" w:rsidRDefault="00C020A1" w:rsidP="00C020A1">
      <w:pPr>
        <w:tabs>
          <w:tab w:val="num" w:pos="2340"/>
          <w:tab w:val="num" w:pos="3060"/>
        </w:tabs>
        <w:autoSpaceDE w:val="0"/>
        <w:autoSpaceDN w:val="0"/>
        <w:adjustRightInd w:val="0"/>
        <w:ind w:hanging="567"/>
        <w:jc w:val="both"/>
        <w:rPr>
          <w:spacing w:val="-6"/>
        </w:rPr>
      </w:pPr>
      <w:r w:rsidRPr="00005453">
        <w:rPr>
          <w:b/>
        </w:rPr>
        <w:t>3.1.2</w:t>
      </w:r>
      <w:r w:rsidRPr="00005453">
        <w:tab/>
      </w:r>
      <w:r w:rsidRPr="00005453">
        <w:rPr>
          <w:spacing w:val="-6"/>
        </w:rPr>
        <w:t>Aşağıdakiler dahil bilanço dışı kalemlerden kaynaklanan muhtemel zararların ve taahhütlerin yapısı ve tutarı</w:t>
      </w:r>
    </w:p>
    <w:p w14:paraId="74A98F92" w14:textId="77777777" w:rsidR="00C020A1" w:rsidRPr="00005453" w:rsidRDefault="00C020A1" w:rsidP="00C020A1">
      <w:pPr>
        <w:tabs>
          <w:tab w:val="num" w:pos="2340"/>
          <w:tab w:val="num" w:pos="3060"/>
        </w:tabs>
        <w:autoSpaceDE w:val="0"/>
        <w:autoSpaceDN w:val="0"/>
        <w:adjustRightInd w:val="0"/>
        <w:ind w:hanging="567"/>
        <w:jc w:val="both"/>
        <w:rPr>
          <w:rFonts w:eastAsia="Arial Unicode MS"/>
          <w:sz w:val="14"/>
          <w:szCs w:val="14"/>
        </w:rPr>
      </w:pPr>
    </w:p>
    <w:p w14:paraId="27F5D91D" w14:textId="5739B09F" w:rsidR="00C020A1" w:rsidRPr="00005453" w:rsidRDefault="00C020A1" w:rsidP="00C020A1">
      <w:pPr>
        <w:tabs>
          <w:tab w:val="num" w:pos="0"/>
        </w:tabs>
        <w:ind w:left="93" w:hanging="660"/>
        <w:jc w:val="both"/>
        <w:rPr>
          <w:iCs/>
        </w:rPr>
      </w:pPr>
      <w:r w:rsidRPr="00005453">
        <w:rPr>
          <w:b/>
          <w:iCs/>
        </w:rPr>
        <w:t>3.1.2.1</w:t>
      </w:r>
      <w:r w:rsidRPr="00005453">
        <w:rPr>
          <w:iCs/>
        </w:rPr>
        <w:tab/>
        <w:t xml:space="preserve"> </w:t>
      </w:r>
      <w:r w:rsidRPr="00005453">
        <w:rPr>
          <w:iCs/>
          <w:spacing w:val="-6"/>
        </w:rPr>
        <w:t>Garantileri banka aval ve kabulleri ve mali garanti yerine geçen teminatlar ve diğer akreditifler dahil gayrinakdi krediler</w:t>
      </w:r>
    </w:p>
    <w:p w14:paraId="1D96F7CB" w14:textId="77777777" w:rsidR="00C020A1" w:rsidRPr="00005453" w:rsidRDefault="00C020A1" w:rsidP="00C020A1">
      <w:pPr>
        <w:autoSpaceDE w:val="0"/>
        <w:autoSpaceDN w:val="0"/>
        <w:adjustRightInd w:val="0"/>
        <w:ind w:left="1800" w:hanging="720"/>
        <w:rPr>
          <w:rFonts w:eastAsia="Arial Unicode MS"/>
          <w:sz w:val="14"/>
          <w:szCs w:val="14"/>
        </w:rPr>
      </w:pPr>
    </w:p>
    <w:p w14:paraId="43ACDA72" w14:textId="64D3121D" w:rsidR="00C020A1" w:rsidRPr="00005453" w:rsidRDefault="00C020A1" w:rsidP="00C020A1">
      <w:pPr>
        <w:autoSpaceDE w:val="0"/>
        <w:autoSpaceDN w:val="0"/>
        <w:adjustRightInd w:val="0"/>
        <w:jc w:val="both"/>
        <w:rPr>
          <w:rFonts w:eastAsia="Arial Unicode MS"/>
        </w:rPr>
      </w:pPr>
      <w:r w:rsidRPr="00005453">
        <w:rPr>
          <w:rFonts w:eastAsia="Arial Unicode MS"/>
        </w:rPr>
        <w:t xml:space="preserve">Banka’nın </w:t>
      </w:r>
      <w:r w:rsidRPr="00005453">
        <w:t>3</w:t>
      </w:r>
      <w:r w:rsidR="00E85C81" w:rsidRPr="00005453">
        <w:t>1</w:t>
      </w:r>
      <w:r w:rsidRPr="00005453">
        <w:t xml:space="preserve"> </w:t>
      </w:r>
      <w:r w:rsidR="00E85C81" w:rsidRPr="00005453">
        <w:t>Aralık</w:t>
      </w:r>
      <w:r w:rsidRPr="00005453">
        <w:t xml:space="preserve"> 202</w:t>
      </w:r>
      <w:r w:rsidR="00846060" w:rsidRPr="00005453">
        <w:t>4</w:t>
      </w:r>
      <w:r w:rsidRPr="00005453">
        <w:t xml:space="preserve"> </w:t>
      </w:r>
      <w:r w:rsidRPr="00005453">
        <w:rPr>
          <w:rFonts w:eastAsia="Arial Unicode MS"/>
        </w:rPr>
        <w:t xml:space="preserve">tarihi itibarıyla toplam </w:t>
      </w:r>
      <w:r w:rsidR="00AA31DF" w:rsidRPr="00005453">
        <w:rPr>
          <w:rFonts w:eastAsia="Arial Unicode MS"/>
        </w:rPr>
        <w:t>85</w:t>
      </w:r>
      <w:r w:rsidR="00583C58" w:rsidRPr="00005453">
        <w:rPr>
          <w:rFonts w:eastAsia="Arial Unicode MS"/>
        </w:rPr>
        <w:t>,</w:t>
      </w:r>
      <w:r w:rsidR="00AA31DF" w:rsidRPr="00005453">
        <w:rPr>
          <w:rFonts w:eastAsia="Arial Unicode MS"/>
        </w:rPr>
        <w:t>648</w:t>
      </w:r>
      <w:r w:rsidR="00583C58" w:rsidRPr="00005453">
        <w:rPr>
          <w:rFonts w:eastAsia="Arial Unicode MS"/>
        </w:rPr>
        <w:t>,</w:t>
      </w:r>
      <w:r w:rsidR="0015114B" w:rsidRPr="00005453">
        <w:rPr>
          <w:rFonts w:eastAsia="Arial Unicode MS"/>
        </w:rPr>
        <w:t>0</w:t>
      </w:r>
      <w:r w:rsidR="00AA31DF" w:rsidRPr="00005453">
        <w:rPr>
          <w:rFonts w:eastAsia="Arial Unicode MS"/>
        </w:rPr>
        <w:t>13</w:t>
      </w:r>
      <w:r w:rsidRPr="00005453">
        <w:rPr>
          <w:rFonts w:eastAsia="Arial Unicode MS"/>
        </w:rPr>
        <w:t xml:space="preserve"> TL (</w:t>
      </w:r>
      <w:r w:rsidRPr="00005453">
        <w:t xml:space="preserve">31 Aralık </w:t>
      </w:r>
      <w:proofErr w:type="gramStart"/>
      <w:r w:rsidRPr="00005453">
        <w:t>202</w:t>
      </w:r>
      <w:r w:rsidR="00846060" w:rsidRPr="00005453">
        <w:t>3</w:t>
      </w:r>
      <w:r w:rsidRPr="00005453">
        <w:rPr>
          <w:rFonts w:eastAsia="Arial Unicode MS"/>
        </w:rPr>
        <w:t xml:space="preserve"> -</w:t>
      </w:r>
      <w:proofErr w:type="gramEnd"/>
      <w:r w:rsidRPr="00005453">
        <w:rPr>
          <w:rFonts w:eastAsia="Arial Unicode MS"/>
        </w:rPr>
        <w:t xml:space="preserve"> </w:t>
      </w:r>
      <w:r w:rsidR="00846060" w:rsidRPr="00005453">
        <w:rPr>
          <w:rFonts w:eastAsia="Arial Unicode MS"/>
        </w:rPr>
        <w:t>49</w:t>
      </w:r>
      <w:r w:rsidR="00206DFE" w:rsidRPr="00005453">
        <w:rPr>
          <w:rFonts w:eastAsia="Arial Unicode MS"/>
        </w:rPr>
        <w:t>,</w:t>
      </w:r>
      <w:r w:rsidR="00846060" w:rsidRPr="00005453">
        <w:rPr>
          <w:rFonts w:eastAsia="Arial Unicode MS"/>
        </w:rPr>
        <w:t>50</w:t>
      </w:r>
      <w:r w:rsidR="00206DFE" w:rsidRPr="00005453">
        <w:rPr>
          <w:rFonts w:eastAsia="Arial Unicode MS"/>
        </w:rPr>
        <w:t>6,</w:t>
      </w:r>
      <w:r w:rsidR="00846060" w:rsidRPr="00005453">
        <w:rPr>
          <w:rFonts w:eastAsia="Arial Unicode MS"/>
        </w:rPr>
        <w:t>0</w:t>
      </w:r>
      <w:r w:rsidR="00206DFE" w:rsidRPr="00005453">
        <w:rPr>
          <w:rFonts w:eastAsia="Arial Unicode MS"/>
        </w:rPr>
        <w:t xml:space="preserve">65 </w:t>
      </w:r>
      <w:r w:rsidRPr="00005453">
        <w:rPr>
          <w:rFonts w:eastAsia="Arial Unicode MS"/>
          <w:spacing w:val="-4"/>
        </w:rPr>
        <w:t>TL</w:t>
      </w:r>
      <w:r w:rsidRPr="00005453">
        <w:rPr>
          <w:rFonts w:eastAsia="Arial Unicode MS"/>
        </w:rPr>
        <w:t xml:space="preserve">) tutarında teminat mektubu; </w:t>
      </w:r>
      <w:r w:rsidR="00AA31DF" w:rsidRPr="00005453">
        <w:rPr>
          <w:rFonts w:eastAsia="Arial Unicode MS"/>
        </w:rPr>
        <w:t>727</w:t>
      </w:r>
      <w:r w:rsidR="00583C58" w:rsidRPr="00005453">
        <w:rPr>
          <w:rFonts w:eastAsia="Arial Unicode MS"/>
        </w:rPr>
        <w:t>,</w:t>
      </w:r>
      <w:r w:rsidR="00AA31DF" w:rsidRPr="00005453">
        <w:rPr>
          <w:rFonts w:eastAsia="Arial Unicode MS"/>
        </w:rPr>
        <w:t>539</w:t>
      </w:r>
      <w:r w:rsidRPr="00005453">
        <w:rPr>
          <w:rFonts w:eastAsia="Arial Unicode MS"/>
        </w:rPr>
        <w:t xml:space="preserve"> TL (</w:t>
      </w:r>
      <w:r w:rsidRPr="00005453">
        <w:t>31 Aralık 202</w:t>
      </w:r>
      <w:r w:rsidR="00846060" w:rsidRPr="00005453">
        <w:t>3</w:t>
      </w:r>
      <w:r w:rsidRPr="00005453">
        <w:rPr>
          <w:rFonts w:eastAsia="Arial Unicode MS"/>
        </w:rPr>
        <w:t xml:space="preserve"> - </w:t>
      </w:r>
      <w:r w:rsidR="00206DFE" w:rsidRPr="00005453">
        <w:rPr>
          <w:rFonts w:eastAsia="Arial Unicode MS"/>
        </w:rPr>
        <w:t>1</w:t>
      </w:r>
      <w:r w:rsidR="00846060" w:rsidRPr="00005453">
        <w:rPr>
          <w:rFonts w:eastAsia="Arial Unicode MS"/>
        </w:rPr>
        <w:t>83</w:t>
      </w:r>
      <w:r w:rsidR="00206DFE" w:rsidRPr="00005453">
        <w:rPr>
          <w:rFonts w:eastAsia="Arial Unicode MS"/>
        </w:rPr>
        <w:t>,</w:t>
      </w:r>
      <w:r w:rsidR="00846060" w:rsidRPr="00005453">
        <w:rPr>
          <w:rFonts w:eastAsia="Arial Unicode MS"/>
        </w:rPr>
        <w:t>196</w:t>
      </w:r>
      <w:r w:rsidR="005F4A85" w:rsidRPr="00005453">
        <w:rPr>
          <w:rFonts w:eastAsia="Arial Unicode MS"/>
        </w:rPr>
        <w:t xml:space="preserve"> </w:t>
      </w:r>
      <w:r w:rsidRPr="00005453">
        <w:rPr>
          <w:rFonts w:eastAsia="Arial Unicode MS"/>
          <w:spacing w:val="-4"/>
        </w:rPr>
        <w:t>TL</w:t>
      </w:r>
      <w:r w:rsidRPr="00005453">
        <w:rPr>
          <w:rFonts w:eastAsia="Arial Unicode MS"/>
        </w:rPr>
        <w:t xml:space="preserve">) tutarında kabul kredileri ve </w:t>
      </w:r>
      <w:r w:rsidR="00AA31DF" w:rsidRPr="00005453">
        <w:rPr>
          <w:rFonts w:eastAsia="Arial Unicode MS"/>
        </w:rPr>
        <w:t>13</w:t>
      </w:r>
      <w:r w:rsidR="00583C58" w:rsidRPr="00005453">
        <w:rPr>
          <w:rFonts w:eastAsia="Arial Unicode MS"/>
        </w:rPr>
        <w:t>,</w:t>
      </w:r>
      <w:r w:rsidR="00AA31DF" w:rsidRPr="00005453">
        <w:rPr>
          <w:rFonts w:eastAsia="Arial Unicode MS"/>
        </w:rPr>
        <w:t>581</w:t>
      </w:r>
      <w:r w:rsidR="00583C58" w:rsidRPr="00005453">
        <w:rPr>
          <w:rFonts w:eastAsia="Arial Unicode MS"/>
        </w:rPr>
        <w:t>,</w:t>
      </w:r>
      <w:r w:rsidR="00AA31DF" w:rsidRPr="00005453">
        <w:rPr>
          <w:rFonts w:eastAsia="Arial Unicode MS"/>
        </w:rPr>
        <w:t>786</w:t>
      </w:r>
      <w:r w:rsidRPr="00005453">
        <w:rPr>
          <w:rFonts w:eastAsia="Arial Unicode MS"/>
        </w:rPr>
        <w:t xml:space="preserve"> TL (</w:t>
      </w:r>
      <w:r w:rsidRPr="00005453">
        <w:t>31 Aralık 202</w:t>
      </w:r>
      <w:r w:rsidR="00846060" w:rsidRPr="00005453">
        <w:t>3</w:t>
      </w:r>
      <w:r w:rsidRPr="00005453">
        <w:rPr>
          <w:rFonts w:eastAsia="Arial Unicode MS"/>
        </w:rPr>
        <w:t xml:space="preserve"> - </w:t>
      </w:r>
      <w:r w:rsidR="00846060" w:rsidRPr="00005453">
        <w:rPr>
          <w:rFonts w:eastAsia="Arial Unicode MS"/>
        </w:rPr>
        <w:t>8</w:t>
      </w:r>
      <w:r w:rsidR="005F4A85" w:rsidRPr="00005453">
        <w:rPr>
          <w:rFonts w:eastAsia="Arial Unicode MS"/>
        </w:rPr>
        <w:t>,</w:t>
      </w:r>
      <w:r w:rsidR="00846060" w:rsidRPr="00005453">
        <w:rPr>
          <w:rFonts w:eastAsia="Arial Unicode MS"/>
        </w:rPr>
        <w:t>886</w:t>
      </w:r>
      <w:r w:rsidR="005F4A85" w:rsidRPr="00005453">
        <w:rPr>
          <w:rFonts w:eastAsia="Arial Unicode MS"/>
        </w:rPr>
        <w:t>,</w:t>
      </w:r>
      <w:r w:rsidR="00846060" w:rsidRPr="00005453">
        <w:rPr>
          <w:rFonts w:eastAsia="Arial Unicode MS"/>
        </w:rPr>
        <w:t>327</w:t>
      </w:r>
      <w:r w:rsidR="002E56A2" w:rsidRPr="00005453">
        <w:rPr>
          <w:rFonts w:eastAsia="Arial Unicode MS"/>
        </w:rPr>
        <w:t xml:space="preserve"> </w:t>
      </w:r>
      <w:r w:rsidRPr="00005453">
        <w:rPr>
          <w:rFonts w:eastAsia="Arial Unicode MS"/>
          <w:spacing w:val="-4"/>
        </w:rPr>
        <w:t>TL</w:t>
      </w:r>
      <w:r w:rsidRPr="00005453">
        <w:rPr>
          <w:rFonts w:eastAsia="Arial Unicode MS"/>
        </w:rPr>
        <w:t xml:space="preserve">) tutarında akreditifler sebebiyle garanti ve kefaletleri bulunmaktadır. Ayrıca </w:t>
      </w:r>
      <w:r w:rsidR="00AA31DF" w:rsidRPr="00005453">
        <w:rPr>
          <w:rFonts w:eastAsia="Arial Unicode MS"/>
        </w:rPr>
        <w:t>5,2</w:t>
      </w:r>
      <w:r w:rsidR="0015114B" w:rsidRPr="00005453">
        <w:rPr>
          <w:rFonts w:eastAsia="Arial Unicode MS"/>
        </w:rPr>
        <w:t>11</w:t>
      </w:r>
      <w:r w:rsidR="00583C58" w:rsidRPr="00005453">
        <w:rPr>
          <w:rFonts w:eastAsia="Arial Unicode MS"/>
        </w:rPr>
        <w:t>,</w:t>
      </w:r>
      <w:r w:rsidR="00AA31DF" w:rsidRPr="00005453">
        <w:rPr>
          <w:rFonts w:eastAsia="Arial Unicode MS"/>
        </w:rPr>
        <w:t>090</w:t>
      </w:r>
      <w:r w:rsidRPr="00005453">
        <w:rPr>
          <w:rFonts w:eastAsia="Arial Unicode MS"/>
        </w:rPr>
        <w:t xml:space="preserve"> TL (</w:t>
      </w:r>
      <w:r w:rsidRPr="00005453">
        <w:t xml:space="preserve">31 Aralık </w:t>
      </w:r>
      <w:proofErr w:type="gramStart"/>
      <w:r w:rsidRPr="00005453">
        <w:t>202</w:t>
      </w:r>
      <w:r w:rsidR="00846060" w:rsidRPr="00005453">
        <w:t>3</w:t>
      </w:r>
      <w:r w:rsidRPr="00005453">
        <w:rPr>
          <w:rFonts w:eastAsia="Arial Unicode MS"/>
        </w:rPr>
        <w:t xml:space="preserve"> -</w:t>
      </w:r>
      <w:proofErr w:type="gramEnd"/>
      <w:r w:rsidRPr="00005453">
        <w:rPr>
          <w:rFonts w:eastAsia="Arial Unicode MS"/>
        </w:rPr>
        <w:t xml:space="preserve"> </w:t>
      </w:r>
      <w:r w:rsidR="00846060" w:rsidRPr="00005453">
        <w:rPr>
          <w:rFonts w:eastAsia="Arial Unicode MS"/>
        </w:rPr>
        <w:t>3</w:t>
      </w:r>
      <w:r w:rsidR="005F4A85" w:rsidRPr="00005453">
        <w:rPr>
          <w:rFonts w:eastAsia="Arial Unicode MS"/>
        </w:rPr>
        <w:t>,</w:t>
      </w:r>
      <w:r w:rsidR="00846060" w:rsidRPr="00005453">
        <w:rPr>
          <w:rFonts w:eastAsia="Arial Unicode MS"/>
        </w:rPr>
        <w:t>011</w:t>
      </w:r>
      <w:r w:rsidR="005F4A85" w:rsidRPr="00005453">
        <w:rPr>
          <w:rFonts w:eastAsia="Arial Unicode MS"/>
        </w:rPr>
        <w:t>,</w:t>
      </w:r>
      <w:r w:rsidR="00846060" w:rsidRPr="00005453">
        <w:rPr>
          <w:rFonts w:eastAsia="Arial Unicode MS"/>
        </w:rPr>
        <w:t>311</w:t>
      </w:r>
      <w:r w:rsidR="005F4A85" w:rsidRPr="00005453">
        <w:rPr>
          <w:rFonts w:eastAsia="Arial Unicode MS"/>
        </w:rPr>
        <w:t xml:space="preserve"> </w:t>
      </w:r>
      <w:r w:rsidRPr="00005453">
        <w:rPr>
          <w:rFonts w:eastAsia="Arial Unicode MS"/>
          <w:spacing w:val="-4"/>
        </w:rPr>
        <w:t>TL</w:t>
      </w:r>
      <w:r w:rsidRPr="00005453">
        <w:rPr>
          <w:rFonts w:eastAsia="Arial Unicode MS"/>
        </w:rPr>
        <w:t>) tutarında diğer garanti ve kefalatleri bulunmaktadır.</w:t>
      </w:r>
    </w:p>
    <w:p w14:paraId="15B253A8" w14:textId="25A2DD56" w:rsidR="000F096F" w:rsidRPr="00005453" w:rsidRDefault="000F096F" w:rsidP="00C020A1">
      <w:pPr>
        <w:autoSpaceDE w:val="0"/>
        <w:autoSpaceDN w:val="0"/>
        <w:adjustRightInd w:val="0"/>
        <w:ind w:hanging="567"/>
        <w:rPr>
          <w:rFonts w:eastAsia="Arial Unicode MS"/>
          <w:sz w:val="14"/>
          <w:szCs w:val="14"/>
        </w:rPr>
      </w:pPr>
    </w:p>
    <w:p w14:paraId="75401F42" w14:textId="4370A34E" w:rsidR="000F096F" w:rsidRPr="00005453" w:rsidRDefault="00666F9D" w:rsidP="006C6435">
      <w:pPr>
        <w:tabs>
          <w:tab w:val="num" w:pos="3600"/>
        </w:tabs>
        <w:ind w:hanging="567"/>
        <w:rPr>
          <w:iCs/>
          <w:sz w:val="14"/>
          <w:szCs w:val="14"/>
        </w:rPr>
      </w:pPr>
      <w:r w:rsidRPr="00005453">
        <w:rPr>
          <w:b/>
          <w:iCs/>
        </w:rPr>
        <w:t>3.1.2.2</w:t>
      </w:r>
      <w:r w:rsidR="00D62623" w:rsidRPr="00005453">
        <w:rPr>
          <w:iCs/>
        </w:rPr>
        <w:t xml:space="preserve"> </w:t>
      </w:r>
      <w:r w:rsidR="00805ED1" w:rsidRPr="00005453">
        <w:rPr>
          <w:iCs/>
          <w:spacing w:val="-6"/>
        </w:rPr>
        <w:t xml:space="preserve">Kesin teminatlar, geçici teminatlar, kefaletler ve benzeri </w:t>
      </w:r>
      <w:proofErr w:type="gramStart"/>
      <w:r w:rsidR="00805ED1" w:rsidRPr="00005453">
        <w:rPr>
          <w:iCs/>
          <w:spacing w:val="-6"/>
        </w:rPr>
        <w:t>işlemler:  2.i</w:t>
      </w:r>
      <w:proofErr w:type="gramEnd"/>
      <w:r w:rsidR="00805ED1" w:rsidRPr="00005453">
        <w:rPr>
          <w:iCs/>
          <w:spacing w:val="-6"/>
        </w:rPr>
        <w:t>)  maddesinde açıklananların haricinde yoktur.</w:t>
      </w:r>
      <w:r w:rsidR="0093339C" w:rsidRPr="00005453">
        <w:rPr>
          <w:iCs/>
        </w:rPr>
        <w:br/>
      </w:r>
    </w:p>
    <w:p w14:paraId="37FC0EE7" w14:textId="37D9AADD" w:rsidR="000F096F" w:rsidRPr="00005453" w:rsidRDefault="0093339C" w:rsidP="0093339C">
      <w:pPr>
        <w:tabs>
          <w:tab w:val="num" w:pos="3600"/>
        </w:tabs>
        <w:ind w:hanging="567"/>
        <w:rPr>
          <w:iCs/>
        </w:rPr>
      </w:pPr>
      <w:r w:rsidRPr="00005453">
        <w:rPr>
          <w:b/>
          <w:iCs/>
        </w:rPr>
        <w:t>3.1.3</w:t>
      </w:r>
      <w:r w:rsidR="00E253C8" w:rsidRPr="00005453">
        <w:rPr>
          <w:iCs/>
        </w:rPr>
        <w:tab/>
        <w:t>Gayrinakdi kredilerin toplam tutarı</w:t>
      </w:r>
    </w:p>
    <w:p w14:paraId="3ED595CB" w14:textId="1F3FBCEB" w:rsidR="006B646D" w:rsidRPr="00005453" w:rsidRDefault="006B646D" w:rsidP="006B646D">
      <w:pPr>
        <w:tabs>
          <w:tab w:val="left" w:pos="709"/>
        </w:tabs>
        <w:autoSpaceDE w:val="0"/>
        <w:autoSpaceDN w:val="0"/>
        <w:adjustRightInd w:val="0"/>
        <w:rPr>
          <w:lang w:val="en-GB" w:eastAsia="en-GB"/>
        </w:rPr>
      </w:pPr>
    </w:p>
    <w:tbl>
      <w:tblPr>
        <w:tblW w:w="9189" w:type="dxa"/>
        <w:tblCellMar>
          <w:left w:w="70" w:type="dxa"/>
          <w:right w:w="70" w:type="dxa"/>
        </w:tblCellMar>
        <w:tblLook w:val="04A0" w:firstRow="1" w:lastRow="0" w:firstColumn="1" w:lastColumn="0" w:noHBand="0" w:noVBand="1"/>
      </w:tblPr>
      <w:tblGrid>
        <w:gridCol w:w="6096"/>
        <w:gridCol w:w="1600"/>
        <w:gridCol w:w="1493"/>
      </w:tblGrid>
      <w:tr w:rsidR="006B646D" w:rsidRPr="00005453" w14:paraId="37E0A1AB" w14:textId="77777777" w:rsidTr="007F1884">
        <w:trPr>
          <w:divId w:val="1528061509"/>
          <w:trHeight w:val="253"/>
        </w:trPr>
        <w:tc>
          <w:tcPr>
            <w:tcW w:w="6096" w:type="dxa"/>
            <w:tcBorders>
              <w:top w:val="double" w:sz="6" w:space="0" w:color="auto"/>
              <w:left w:val="nil"/>
              <w:bottom w:val="single" w:sz="8" w:space="0" w:color="auto"/>
              <w:right w:val="nil"/>
            </w:tcBorders>
            <w:shd w:val="clear" w:color="auto" w:fill="auto"/>
            <w:vAlign w:val="center"/>
            <w:hideMark/>
          </w:tcPr>
          <w:p w14:paraId="19A313B9" w14:textId="683E732E" w:rsidR="006B646D" w:rsidRPr="00005453" w:rsidRDefault="006B646D" w:rsidP="006B646D">
            <w:pPr>
              <w:jc w:val="center"/>
              <w:rPr>
                <w:b/>
                <w:bCs/>
                <w:color w:val="000000"/>
                <w:sz w:val="18"/>
                <w:szCs w:val="18"/>
                <w:lang w:eastAsia="tr-TR"/>
              </w:rPr>
            </w:pPr>
            <w:r w:rsidRPr="00005453">
              <w:rPr>
                <w:b/>
                <w:bCs/>
                <w:color w:val="000000"/>
                <w:sz w:val="18"/>
                <w:szCs w:val="18"/>
                <w:lang w:eastAsia="tr-TR"/>
              </w:rPr>
              <w:t> </w:t>
            </w:r>
          </w:p>
        </w:tc>
        <w:tc>
          <w:tcPr>
            <w:tcW w:w="1600" w:type="dxa"/>
            <w:tcBorders>
              <w:top w:val="double" w:sz="6" w:space="0" w:color="auto"/>
              <w:left w:val="nil"/>
              <w:bottom w:val="single" w:sz="8" w:space="0" w:color="auto"/>
              <w:right w:val="nil"/>
            </w:tcBorders>
            <w:shd w:val="clear" w:color="auto" w:fill="auto"/>
            <w:vAlign w:val="center"/>
            <w:hideMark/>
          </w:tcPr>
          <w:p w14:paraId="2038515D" w14:textId="77777777" w:rsidR="006B646D" w:rsidRPr="00005453" w:rsidRDefault="006B646D" w:rsidP="006B646D">
            <w:pPr>
              <w:jc w:val="right"/>
              <w:rPr>
                <w:b/>
                <w:bCs/>
                <w:color w:val="000000"/>
                <w:sz w:val="18"/>
                <w:szCs w:val="18"/>
                <w:lang w:eastAsia="tr-TR"/>
              </w:rPr>
            </w:pPr>
            <w:r w:rsidRPr="00005453">
              <w:rPr>
                <w:b/>
                <w:bCs/>
                <w:color w:val="000000"/>
                <w:sz w:val="18"/>
                <w:szCs w:val="18"/>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2B961642" w14:textId="77777777" w:rsidR="006B646D" w:rsidRPr="00005453" w:rsidRDefault="006B646D" w:rsidP="006B646D">
            <w:pPr>
              <w:jc w:val="right"/>
              <w:rPr>
                <w:b/>
                <w:bCs/>
                <w:color w:val="000000"/>
                <w:sz w:val="18"/>
                <w:szCs w:val="18"/>
                <w:lang w:eastAsia="tr-TR"/>
              </w:rPr>
            </w:pPr>
            <w:r w:rsidRPr="00005453">
              <w:rPr>
                <w:b/>
                <w:bCs/>
                <w:color w:val="000000"/>
                <w:sz w:val="18"/>
                <w:szCs w:val="18"/>
                <w:lang w:eastAsia="tr-TR"/>
              </w:rPr>
              <w:t>Önceki Dönem</w:t>
            </w:r>
          </w:p>
        </w:tc>
      </w:tr>
      <w:tr w:rsidR="00AA31DF" w:rsidRPr="00005453" w14:paraId="1BB91FA0" w14:textId="77777777" w:rsidTr="00AA31DF">
        <w:trPr>
          <w:divId w:val="1528061509"/>
          <w:trHeight w:val="253"/>
        </w:trPr>
        <w:tc>
          <w:tcPr>
            <w:tcW w:w="6096" w:type="dxa"/>
            <w:tcBorders>
              <w:top w:val="nil"/>
              <w:left w:val="nil"/>
              <w:bottom w:val="nil"/>
              <w:right w:val="nil"/>
            </w:tcBorders>
            <w:shd w:val="clear" w:color="auto" w:fill="auto"/>
            <w:vAlign w:val="center"/>
            <w:hideMark/>
          </w:tcPr>
          <w:p w14:paraId="3FA6DFBC" w14:textId="77777777" w:rsidR="00AA31DF" w:rsidRPr="00005453" w:rsidRDefault="00AA31DF" w:rsidP="00AA31DF">
            <w:pPr>
              <w:rPr>
                <w:sz w:val="18"/>
                <w:szCs w:val="18"/>
              </w:rPr>
            </w:pPr>
            <w:r w:rsidRPr="00005453">
              <w:rPr>
                <w:sz w:val="18"/>
                <w:szCs w:val="18"/>
              </w:rPr>
              <w:t>Nakit kredi teminine yönelik olarak açılan gayrinakdi krediler</w:t>
            </w:r>
          </w:p>
        </w:tc>
        <w:tc>
          <w:tcPr>
            <w:tcW w:w="1600" w:type="dxa"/>
            <w:tcBorders>
              <w:top w:val="nil"/>
              <w:left w:val="nil"/>
              <w:bottom w:val="nil"/>
              <w:right w:val="nil"/>
            </w:tcBorders>
            <w:shd w:val="clear" w:color="auto" w:fill="auto"/>
            <w:vAlign w:val="center"/>
            <w:hideMark/>
          </w:tcPr>
          <w:p w14:paraId="7FE1F520" w14:textId="3D6152D7" w:rsidR="00AA31DF" w:rsidRPr="00005453" w:rsidRDefault="00AA31DF" w:rsidP="00AA31DF">
            <w:pPr>
              <w:jc w:val="right"/>
              <w:rPr>
                <w:bCs/>
                <w:sz w:val="18"/>
                <w:szCs w:val="18"/>
              </w:rPr>
            </w:pPr>
            <w:r w:rsidRPr="00005453">
              <w:rPr>
                <w:sz w:val="18"/>
                <w:szCs w:val="18"/>
              </w:rPr>
              <w:t>426,120</w:t>
            </w:r>
          </w:p>
        </w:tc>
        <w:tc>
          <w:tcPr>
            <w:tcW w:w="1493" w:type="dxa"/>
            <w:tcBorders>
              <w:top w:val="nil"/>
              <w:left w:val="nil"/>
              <w:bottom w:val="nil"/>
              <w:right w:val="nil"/>
            </w:tcBorders>
            <w:shd w:val="clear" w:color="auto" w:fill="auto"/>
            <w:vAlign w:val="center"/>
            <w:hideMark/>
          </w:tcPr>
          <w:p w14:paraId="1A85D7EB" w14:textId="7A943D73" w:rsidR="00AA31DF" w:rsidRPr="00005453" w:rsidRDefault="00AA31DF" w:rsidP="00AA31DF">
            <w:pPr>
              <w:jc w:val="right"/>
              <w:rPr>
                <w:bCs/>
                <w:sz w:val="18"/>
                <w:szCs w:val="18"/>
              </w:rPr>
            </w:pPr>
            <w:r w:rsidRPr="00005453">
              <w:rPr>
                <w:sz w:val="18"/>
                <w:szCs w:val="18"/>
              </w:rPr>
              <w:t>185,547</w:t>
            </w:r>
          </w:p>
        </w:tc>
      </w:tr>
      <w:tr w:rsidR="00AA31DF" w:rsidRPr="00005453" w14:paraId="1B7DCACC" w14:textId="77777777" w:rsidTr="00AA31DF">
        <w:trPr>
          <w:divId w:val="1528061509"/>
          <w:trHeight w:val="253"/>
        </w:trPr>
        <w:tc>
          <w:tcPr>
            <w:tcW w:w="6096" w:type="dxa"/>
            <w:tcBorders>
              <w:top w:val="nil"/>
              <w:left w:val="nil"/>
              <w:bottom w:val="nil"/>
              <w:right w:val="nil"/>
            </w:tcBorders>
            <w:shd w:val="clear" w:color="auto" w:fill="auto"/>
            <w:vAlign w:val="center"/>
            <w:hideMark/>
          </w:tcPr>
          <w:p w14:paraId="27FEFB04" w14:textId="77777777" w:rsidR="00AA31DF" w:rsidRPr="00005453" w:rsidRDefault="00AA31DF" w:rsidP="00AA31DF">
            <w:pPr>
              <w:ind w:firstLineChars="100" w:firstLine="180"/>
              <w:rPr>
                <w:sz w:val="18"/>
                <w:szCs w:val="18"/>
              </w:rPr>
            </w:pPr>
            <w:r w:rsidRPr="00005453">
              <w:rPr>
                <w:sz w:val="18"/>
                <w:szCs w:val="18"/>
              </w:rPr>
              <w:t>Bir yıl veya daha az süreli asıl vadeli</w:t>
            </w:r>
          </w:p>
        </w:tc>
        <w:tc>
          <w:tcPr>
            <w:tcW w:w="1600" w:type="dxa"/>
            <w:tcBorders>
              <w:top w:val="nil"/>
              <w:left w:val="nil"/>
              <w:bottom w:val="nil"/>
              <w:right w:val="nil"/>
            </w:tcBorders>
            <w:shd w:val="clear" w:color="auto" w:fill="auto"/>
            <w:vAlign w:val="center"/>
            <w:hideMark/>
          </w:tcPr>
          <w:p w14:paraId="7BF0A3A3" w14:textId="60A58BA4" w:rsidR="00AA31DF" w:rsidRPr="00005453" w:rsidRDefault="00AA31DF" w:rsidP="00AA31DF">
            <w:pPr>
              <w:jc w:val="right"/>
              <w:rPr>
                <w:bCs/>
                <w:sz w:val="18"/>
                <w:szCs w:val="18"/>
              </w:rPr>
            </w:pPr>
            <w:r w:rsidRPr="00005453">
              <w:rPr>
                <w:sz w:val="18"/>
                <w:szCs w:val="18"/>
              </w:rPr>
              <w:t>426,120</w:t>
            </w:r>
          </w:p>
        </w:tc>
        <w:tc>
          <w:tcPr>
            <w:tcW w:w="1493" w:type="dxa"/>
            <w:tcBorders>
              <w:top w:val="nil"/>
              <w:left w:val="nil"/>
              <w:bottom w:val="nil"/>
              <w:right w:val="nil"/>
            </w:tcBorders>
            <w:shd w:val="clear" w:color="auto" w:fill="auto"/>
            <w:vAlign w:val="center"/>
            <w:hideMark/>
          </w:tcPr>
          <w:p w14:paraId="59C2A697" w14:textId="25A47430" w:rsidR="00AA31DF" w:rsidRPr="00005453" w:rsidRDefault="00AA31DF" w:rsidP="00AA31DF">
            <w:pPr>
              <w:jc w:val="right"/>
              <w:rPr>
                <w:bCs/>
                <w:sz w:val="18"/>
                <w:szCs w:val="18"/>
              </w:rPr>
            </w:pPr>
            <w:r w:rsidRPr="00005453">
              <w:rPr>
                <w:sz w:val="18"/>
                <w:szCs w:val="18"/>
              </w:rPr>
              <w:t>185,547</w:t>
            </w:r>
          </w:p>
        </w:tc>
      </w:tr>
      <w:tr w:rsidR="00AA31DF" w:rsidRPr="00005453" w14:paraId="069C545B" w14:textId="77777777" w:rsidTr="00AA31DF">
        <w:trPr>
          <w:divId w:val="1528061509"/>
          <w:trHeight w:val="253"/>
        </w:trPr>
        <w:tc>
          <w:tcPr>
            <w:tcW w:w="6096" w:type="dxa"/>
            <w:tcBorders>
              <w:top w:val="nil"/>
              <w:left w:val="nil"/>
              <w:bottom w:val="nil"/>
              <w:right w:val="nil"/>
            </w:tcBorders>
            <w:shd w:val="clear" w:color="auto" w:fill="auto"/>
            <w:vAlign w:val="center"/>
            <w:hideMark/>
          </w:tcPr>
          <w:p w14:paraId="43D9A2B7" w14:textId="77777777" w:rsidR="00AA31DF" w:rsidRPr="00005453" w:rsidRDefault="00AA31DF" w:rsidP="00AA31DF">
            <w:pPr>
              <w:ind w:firstLineChars="100" w:firstLine="180"/>
              <w:rPr>
                <w:sz w:val="18"/>
                <w:szCs w:val="18"/>
              </w:rPr>
            </w:pPr>
            <w:r w:rsidRPr="00005453">
              <w:rPr>
                <w:sz w:val="18"/>
                <w:szCs w:val="18"/>
              </w:rPr>
              <w:t>Bir yıldan daha uzun süreli asıl vadeli</w:t>
            </w:r>
          </w:p>
        </w:tc>
        <w:tc>
          <w:tcPr>
            <w:tcW w:w="1600" w:type="dxa"/>
            <w:tcBorders>
              <w:top w:val="nil"/>
              <w:left w:val="nil"/>
              <w:bottom w:val="nil"/>
              <w:right w:val="nil"/>
            </w:tcBorders>
            <w:shd w:val="clear" w:color="auto" w:fill="auto"/>
            <w:vAlign w:val="center"/>
            <w:hideMark/>
          </w:tcPr>
          <w:p w14:paraId="0F441F93" w14:textId="56F4FA17" w:rsidR="00AA31DF" w:rsidRPr="00005453" w:rsidRDefault="00AA31DF" w:rsidP="00AA31DF">
            <w:pPr>
              <w:jc w:val="right"/>
              <w:rPr>
                <w:bCs/>
                <w:sz w:val="18"/>
                <w:szCs w:val="18"/>
              </w:rPr>
            </w:pPr>
            <w:r w:rsidRPr="00005453">
              <w:rPr>
                <w:sz w:val="18"/>
                <w:szCs w:val="18"/>
              </w:rPr>
              <w:t>-</w:t>
            </w:r>
          </w:p>
        </w:tc>
        <w:tc>
          <w:tcPr>
            <w:tcW w:w="1493" w:type="dxa"/>
            <w:tcBorders>
              <w:top w:val="nil"/>
              <w:left w:val="nil"/>
              <w:bottom w:val="nil"/>
              <w:right w:val="nil"/>
            </w:tcBorders>
            <w:shd w:val="clear" w:color="auto" w:fill="auto"/>
            <w:vAlign w:val="center"/>
            <w:hideMark/>
          </w:tcPr>
          <w:p w14:paraId="437BFCC1" w14:textId="6E546D82" w:rsidR="00AA31DF" w:rsidRPr="00005453" w:rsidRDefault="00AA31DF" w:rsidP="00AA31DF">
            <w:pPr>
              <w:jc w:val="right"/>
              <w:rPr>
                <w:bCs/>
                <w:sz w:val="18"/>
                <w:szCs w:val="18"/>
              </w:rPr>
            </w:pPr>
            <w:r w:rsidRPr="00005453">
              <w:rPr>
                <w:sz w:val="18"/>
                <w:szCs w:val="18"/>
              </w:rPr>
              <w:t>-</w:t>
            </w:r>
          </w:p>
        </w:tc>
      </w:tr>
      <w:tr w:rsidR="00AA31DF" w:rsidRPr="00005453" w14:paraId="57874EB5" w14:textId="77777777" w:rsidTr="00AA31DF">
        <w:trPr>
          <w:divId w:val="1528061509"/>
          <w:trHeight w:val="269"/>
        </w:trPr>
        <w:tc>
          <w:tcPr>
            <w:tcW w:w="6096" w:type="dxa"/>
            <w:tcBorders>
              <w:top w:val="nil"/>
              <w:left w:val="nil"/>
              <w:bottom w:val="single" w:sz="8" w:space="0" w:color="auto"/>
              <w:right w:val="nil"/>
            </w:tcBorders>
            <w:shd w:val="clear" w:color="auto" w:fill="auto"/>
            <w:vAlign w:val="center"/>
            <w:hideMark/>
          </w:tcPr>
          <w:p w14:paraId="365CCB2D" w14:textId="77777777" w:rsidR="00AA31DF" w:rsidRPr="00005453" w:rsidRDefault="00AA31DF" w:rsidP="00AA31DF">
            <w:pPr>
              <w:rPr>
                <w:sz w:val="18"/>
                <w:szCs w:val="18"/>
              </w:rPr>
            </w:pPr>
            <w:r w:rsidRPr="00005453">
              <w:rPr>
                <w:sz w:val="18"/>
                <w:szCs w:val="18"/>
              </w:rPr>
              <w:t>Diğer gayrinakdi krediler</w:t>
            </w:r>
          </w:p>
        </w:tc>
        <w:tc>
          <w:tcPr>
            <w:tcW w:w="1600" w:type="dxa"/>
            <w:tcBorders>
              <w:top w:val="nil"/>
              <w:left w:val="nil"/>
              <w:bottom w:val="single" w:sz="8" w:space="0" w:color="auto"/>
              <w:right w:val="nil"/>
            </w:tcBorders>
            <w:shd w:val="clear" w:color="auto" w:fill="auto"/>
            <w:vAlign w:val="center"/>
            <w:hideMark/>
          </w:tcPr>
          <w:p w14:paraId="20EB45F5" w14:textId="063D5E4D" w:rsidR="00AA31DF" w:rsidRPr="00005453" w:rsidRDefault="00AA31DF" w:rsidP="00AA31DF">
            <w:pPr>
              <w:jc w:val="right"/>
              <w:rPr>
                <w:bCs/>
                <w:sz w:val="18"/>
                <w:szCs w:val="18"/>
              </w:rPr>
            </w:pPr>
            <w:r w:rsidRPr="00005453">
              <w:rPr>
                <w:sz w:val="18"/>
                <w:szCs w:val="18"/>
              </w:rPr>
              <w:t>104,742,308</w:t>
            </w:r>
          </w:p>
        </w:tc>
        <w:tc>
          <w:tcPr>
            <w:tcW w:w="1493" w:type="dxa"/>
            <w:tcBorders>
              <w:top w:val="nil"/>
              <w:left w:val="nil"/>
              <w:bottom w:val="single" w:sz="8" w:space="0" w:color="auto"/>
              <w:right w:val="nil"/>
            </w:tcBorders>
            <w:shd w:val="clear" w:color="auto" w:fill="auto"/>
            <w:vAlign w:val="center"/>
            <w:hideMark/>
          </w:tcPr>
          <w:p w14:paraId="7CE77BDA" w14:textId="0B34683B" w:rsidR="00AA31DF" w:rsidRPr="00005453" w:rsidRDefault="00AA31DF" w:rsidP="00AA31DF">
            <w:pPr>
              <w:jc w:val="right"/>
              <w:rPr>
                <w:bCs/>
                <w:sz w:val="18"/>
                <w:szCs w:val="18"/>
              </w:rPr>
            </w:pPr>
            <w:r w:rsidRPr="00005453">
              <w:rPr>
                <w:sz w:val="18"/>
                <w:szCs w:val="18"/>
              </w:rPr>
              <w:t>61,401,352</w:t>
            </w:r>
          </w:p>
        </w:tc>
      </w:tr>
      <w:tr w:rsidR="00AA31DF" w:rsidRPr="00005453" w14:paraId="1442F85B" w14:textId="77777777" w:rsidTr="00AA31DF">
        <w:trPr>
          <w:divId w:val="1528061509"/>
          <w:trHeight w:val="237"/>
        </w:trPr>
        <w:tc>
          <w:tcPr>
            <w:tcW w:w="6096" w:type="dxa"/>
            <w:tcBorders>
              <w:top w:val="nil"/>
              <w:left w:val="nil"/>
              <w:bottom w:val="double" w:sz="6" w:space="0" w:color="auto"/>
              <w:right w:val="nil"/>
            </w:tcBorders>
            <w:shd w:val="clear" w:color="auto" w:fill="auto"/>
            <w:vAlign w:val="center"/>
            <w:hideMark/>
          </w:tcPr>
          <w:p w14:paraId="7CE360F9" w14:textId="77777777" w:rsidR="00AA31DF" w:rsidRPr="00005453" w:rsidRDefault="00AA31DF" w:rsidP="00AA31DF">
            <w:pPr>
              <w:jc w:val="both"/>
              <w:rPr>
                <w:b/>
                <w:bCs/>
                <w:color w:val="000000"/>
                <w:sz w:val="18"/>
                <w:szCs w:val="18"/>
                <w:lang w:eastAsia="tr-TR"/>
              </w:rPr>
            </w:pPr>
            <w:r w:rsidRPr="00005453">
              <w:rPr>
                <w:b/>
                <w:sz w:val="18"/>
                <w:szCs w:val="18"/>
              </w:rPr>
              <w:t>Toplam</w:t>
            </w:r>
          </w:p>
        </w:tc>
        <w:tc>
          <w:tcPr>
            <w:tcW w:w="1600" w:type="dxa"/>
            <w:tcBorders>
              <w:top w:val="nil"/>
              <w:left w:val="nil"/>
              <w:bottom w:val="double" w:sz="6" w:space="0" w:color="auto"/>
              <w:right w:val="nil"/>
            </w:tcBorders>
            <w:shd w:val="clear" w:color="auto" w:fill="auto"/>
            <w:vAlign w:val="center"/>
            <w:hideMark/>
          </w:tcPr>
          <w:p w14:paraId="3A0C2DE3" w14:textId="6512E77A" w:rsidR="00AA31DF" w:rsidRPr="00005453" w:rsidRDefault="00AA31DF" w:rsidP="00AA31DF">
            <w:pPr>
              <w:jc w:val="right"/>
              <w:rPr>
                <w:b/>
                <w:bCs/>
                <w:sz w:val="18"/>
                <w:szCs w:val="18"/>
              </w:rPr>
            </w:pPr>
            <w:r w:rsidRPr="00005453">
              <w:rPr>
                <w:b/>
                <w:bCs/>
                <w:sz w:val="18"/>
                <w:szCs w:val="18"/>
              </w:rPr>
              <w:t>105,168,428</w:t>
            </w:r>
          </w:p>
        </w:tc>
        <w:tc>
          <w:tcPr>
            <w:tcW w:w="1493" w:type="dxa"/>
            <w:tcBorders>
              <w:top w:val="nil"/>
              <w:left w:val="nil"/>
              <w:bottom w:val="double" w:sz="6" w:space="0" w:color="auto"/>
              <w:right w:val="nil"/>
            </w:tcBorders>
            <w:shd w:val="clear" w:color="auto" w:fill="auto"/>
            <w:vAlign w:val="center"/>
            <w:hideMark/>
          </w:tcPr>
          <w:p w14:paraId="00493A01" w14:textId="3CBC802A" w:rsidR="00AA31DF" w:rsidRPr="00005453" w:rsidRDefault="00AA31DF" w:rsidP="00AA31DF">
            <w:pPr>
              <w:jc w:val="right"/>
              <w:rPr>
                <w:b/>
                <w:bCs/>
                <w:sz w:val="18"/>
                <w:szCs w:val="18"/>
              </w:rPr>
            </w:pPr>
            <w:r w:rsidRPr="00005453">
              <w:rPr>
                <w:b/>
                <w:bCs/>
                <w:sz w:val="18"/>
                <w:szCs w:val="18"/>
              </w:rPr>
              <w:t>61,586,899</w:t>
            </w:r>
          </w:p>
        </w:tc>
      </w:tr>
    </w:tbl>
    <w:p w14:paraId="46318215" w14:textId="2DCCA76D" w:rsidR="007A5D0B" w:rsidRPr="00005453" w:rsidRDefault="007A5D0B" w:rsidP="0093339C">
      <w:pPr>
        <w:tabs>
          <w:tab w:val="left" w:pos="709"/>
        </w:tabs>
        <w:autoSpaceDE w:val="0"/>
        <w:autoSpaceDN w:val="0"/>
        <w:adjustRightInd w:val="0"/>
        <w:ind w:hanging="567"/>
        <w:rPr>
          <w:rFonts w:eastAsia="Arial Unicode MS"/>
          <w:b/>
        </w:rPr>
      </w:pPr>
    </w:p>
    <w:p w14:paraId="3E2FFBC6" w14:textId="4576D5E9" w:rsidR="001B1E34" w:rsidRPr="00005453" w:rsidRDefault="001B1E34" w:rsidP="0093339C">
      <w:pPr>
        <w:tabs>
          <w:tab w:val="left" w:pos="709"/>
        </w:tabs>
        <w:autoSpaceDE w:val="0"/>
        <w:autoSpaceDN w:val="0"/>
        <w:adjustRightInd w:val="0"/>
        <w:ind w:hanging="567"/>
        <w:rPr>
          <w:rFonts w:eastAsia="Arial Unicode MS"/>
          <w:b/>
        </w:rPr>
      </w:pPr>
    </w:p>
    <w:p w14:paraId="7AF9312B" w14:textId="5DEC86F7" w:rsidR="001B1E34" w:rsidRPr="00005453" w:rsidRDefault="001B1E34" w:rsidP="0093339C">
      <w:pPr>
        <w:tabs>
          <w:tab w:val="left" w:pos="709"/>
        </w:tabs>
        <w:autoSpaceDE w:val="0"/>
        <w:autoSpaceDN w:val="0"/>
        <w:adjustRightInd w:val="0"/>
        <w:ind w:hanging="567"/>
        <w:rPr>
          <w:rFonts w:eastAsia="Arial Unicode MS"/>
          <w:b/>
        </w:rPr>
      </w:pPr>
    </w:p>
    <w:p w14:paraId="5602A62B" w14:textId="3BC78F60" w:rsidR="001B1E34" w:rsidRPr="00005453" w:rsidRDefault="001B1E34" w:rsidP="0093339C">
      <w:pPr>
        <w:tabs>
          <w:tab w:val="left" w:pos="709"/>
        </w:tabs>
        <w:autoSpaceDE w:val="0"/>
        <w:autoSpaceDN w:val="0"/>
        <w:adjustRightInd w:val="0"/>
        <w:ind w:hanging="567"/>
        <w:rPr>
          <w:rFonts w:eastAsia="Arial Unicode MS"/>
          <w:b/>
        </w:rPr>
      </w:pPr>
    </w:p>
    <w:p w14:paraId="71D41A95" w14:textId="27F5EAFF" w:rsidR="001B1E34" w:rsidRPr="00005453" w:rsidRDefault="001B1E34" w:rsidP="0093339C">
      <w:pPr>
        <w:tabs>
          <w:tab w:val="left" w:pos="709"/>
        </w:tabs>
        <w:autoSpaceDE w:val="0"/>
        <w:autoSpaceDN w:val="0"/>
        <w:adjustRightInd w:val="0"/>
        <w:ind w:hanging="567"/>
        <w:rPr>
          <w:rFonts w:eastAsia="Arial Unicode MS"/>
          <w:b/>
        </w:rPr>
      </w:pPr>
    </w:p>
    <w:p w14:paraId="2044F089" w14:textId="58E409CA" w:rsidR="001B1E34" w:rsidRPr="00005453" w:rsidRDefault="001B1E34" w:rsidP="0093339C">
      <w:pPr>
        <w:tabs>
          <w:tab w:val="left" w:pos="709"/>
        </w:tabs>
        <w:autoSpaceDE w:val="0"/>
        <w:autoSpaceDN w:val="0"/>
        <w:adjustRightInd w:val="0"/>
        <w:ind w:hanging="567"/>
        <w:rPr>
          <w:rFonts w:eastAsia="Arial Unicode MS"/>
          <w:b/>
        </w:rPr>
      </w:pPr>
    </w:p>
    <w:p w14:paraId="3F586DAA" w14:textId="16D5E400" w:rsidR="001B1E34" w:rsidRPr="00005453" w:rsidRDefault="001B1E34" w:rsidP="0093339C">
      <w:pPr>
        <w:tabs>
          <w:tab w:val="left" w:pos="709"/>
        </w:tabs>
        <w:autoSpaceDE w:val="0"/>
        <w:autoSpaceDN w:val="0"/>
        <w:adjustRightInd w:val="0"/>
        <w:ind w:hanging="567"/>
        <w:rPr>
          <w:rFonts w:eastAsia="Arial Unicode MS"/>
          <w:b/>
        </w:rPr>
      </w:pPr>
    </w:p>
    <w:p w14:paraId="269888FA" w14:textId="1279C3B0" w:rsidR="001B1E34" w:rsidRPr="00005453" w:rsidRDefault="001B1E34" w:rsidP="0093339C">
      <w:pPr>
        <w:tabs>
          <w:tab w:val="left" w:pos="709"/>
        </w:tabs>
        <w:autoSpaceDE w:val="0"/>
        <w:autoSpaceDN w:val="0"/>
        <w:adjustRightInd w:val="0"/>
        <w:ind w:hanging="567"/>
        <w:rPr>
          <w:rFonts w:eastAsia="Arial Unicode MS"/>
          <w:b/>
        </w:rPr>
      </w:pPr>
    </w:p>
    <w:p w14:paraId="64550336" w14:textId="3395786D" w:rsidR="001B1E34" w:rsidRPr="00005453" w:rsidRDefault="001B1E34" w:rsidP="0093339C">
      <w:pPr>
        <w:tabs>
          <w:tab w:val="left" w:pos="709"/>
        </w:tabs>
        <w:autoSpaceDE w:val="0"/>
        <w:autoSpaceDN w:val="0"/>
        <w:adjustRightInd w:val="0"/>
        <w:ind w:hanging="567"/>
        <w:rPr>
          <w:rFonts w:eastAsia="Arial Unicode MS"/>
          <w:b/>
        </w:rPr>
      </w:pPr>
    </w:p>
    <w:p w14:paraId="0839B4B5" w14:textId="53481DC5" w:rsidR="001B1E34" w:rsidRPr="00005453" w:rsidRDefault="001B1E34" w:rsidP="0093339C">
      <w:pPr>
        <w:tabs>
          <w:tab w:val="left" w:pos="709"/>
        </w:tabs>
        <w:autoSpaceDE w:val="0"/>
        <w:autoSpaceDN w:val="0"/>
        <w:adjustRightInd w:val="0"/>
        <w:ind w:hanging="567"/>
        <w:rPr>
          <w:rFonts w:eastAsia="Arial Unicode MS"/>
          <w:b/>
        </w:rPr>
      </w:pPr>
    </w:p>
    <w:p w14:paraId="10AAE45D" w14:textId="7C5EDC16" w:rsidR="001B1E34" w:rsidRPr="00005453" w:rsidRDefault="001B1E34" w:rsidP="0093339C">
      <w:pPr>
        <w:tabs>
          <w:tab w:val="left" w:pos="709"/>
        </w:tabs>
        <w:autoSpaceDE w:val="0"/>
        <w:autoSpaceDN w:val="0"/>
        <w:adjustRightInd w:val="0"/>
        <w:ind w:hanging="567"/>
        <w:rPr>
          <w:rFonts w:eastAsia="Arial Unicode MS"/>
          <w:b/>
        </w:rPr>
      </w:pPr>
    </w:p>
    <w:p w14:paraId="5E2E34BF" w14:textId="6E9C72E4" w:rsidR="001B1E34" w:rsidRPr="00005453" w:rsidRDefault="001B1E34" w:rsidP="0093339C">
      <w:pPr>
        <w:tabs>
          <w:tab w:val="left" w:pos="709"/>
        </w:tabs>
        <w:autoSpaceDE w:val="0"/>
        <w:autoSpaceDN w:val="0"/>
        <w:adjustRightInd w:val="0"/>
        <w:ind w:hanging="567"/>
        <w:rPr>
          <w:rFonts w:eastAsia="Arial Unicode MS"/>
          <w:b/>
        </w:rPr>
      </w:pPr>
    </w:p>
    <w:p w14:paraId="02F093C3" w14:textId="5E498141" w:rsidR="001B1E34" w:rsidRPr="00005453" w:rsidRDefault="001B1E34" w:rsidP="0093339C">
      <w:pPr>
        <w:tabs>
          <w:tab w:val="left" w:pos="709"/>
        </w:tabs>
        <w:autoSpaceDE w:val="0"/>
        <w:autoSpaceDN w:val="0"/>
        <w:adjustRightInd w:val="0"/>
        <w:ind w:hanging="567"/>
        <w:rPr>
          <w:rFonts w:eastAsia="Arial Unicode MS"/>
          <w:b/>
        </w:rPr>
      </w:pPr>
    </w:p>
    <w:p w14:paraId="44F07906" w14:textId="4C3E1A49" w:rsidR="001B1E34" w:rsidRPr="00005453" w:rsidRDefault="001B1E34" w:rsidP="0093339C">
      <w:pPr>
        <w:tabs>
          <w:tab w:val="left" w:pos="709"/>
        </w:tabs>
        <w:autoSpaceDE w:val="0"/>
        <w:autoSpaceDN w:val="0"/>
        <w:adjustRightInd w:val="0"/>
        <w:ind w:hanging="567"/>
        <w:rPr>
          <w:rFonts w:eastAsia="Arial Unicode MS"/>
          <w:b/>
        </w:rPr>
      </w:pPr>
    </w:p>
    <w:p w14:paraId="05833CAA" w14:textId="1E3D2FD2" w:rsidR="001B1E34" w:rsidRPr="00005453" w:rsidRDefault="001B1E34" w:rsidP="0093339C">
      <w:pPr>
        <w:tabs>
          <w:tab w:val="left" w:pos="709"/>
        </w:tabs>
        <w:autoSpaceDE w:val="0"/>
        <w:autoSpaceDN w:val="0"/>
        <w:adjustRightInd w:val="0"/>
        <w:ind w:hanging="567"/>
        <w:rPr>
          <w:rFonts w:eastAsia="Arial Unicode MS"/>
          <w:b/>
        </w:rPr>
      </w:pPr>
    </w:p>
    <w:p w14:paraId="2C604296" w14:textId="3DA6B68A" w:rsidR="001B1E34" w:rsidRPr="00005453" w:rsidRDefault="001B1E34" w:rsidP="0093339C">
      <w:pPr>
        <w:tabs>
          <w:tab w:val="left" w:pos="709"/>
        </w:tabs>
        <w:autoSpaceDE w:val="0"/>
        <w:autoSpaceDN w:val="0"/>
        <w:adjustRightInd w:val="0"/>
        <w:ind w:hanging="567"/>
        <w:rPr>
          <w:rFonts w:eastAsia="Arial Unicode MS"/>
          <w:b/>
        </w:rPr>
      </w:pPr>
    </w:p>
    <w:p w14:paraId="3FB59F14" w14:textId="718DEF4F" w:rsidR="001B1E34" w:rsidRPr="00005453" w:rsidRDefault="001B1E34" w:rsidP="0093339C">
      <w:pPr>
        <w:tabs>
          <w:tab w:val="left" w:pos="709"/>
        </w:tabs>
        <w:autoSpaceDE w:val="0"/>
        <w:autoSpaceDN w:val="0"/>
        <w:adjustRightInd w:val="0"/>
        <w:ind w:hanging="567"/>
        <w:rPr>
          <w:rFonts w:eastAsia="Arial Unicode MS"/>
          <w:b/>
        </w:rPr>
      </w:pPr>
    </w:p>
    <w:p w14:paraId="6D2294C5" w14:textId="3391A3C5" w:rsidR="001B1E34" w:rsidRPr="00005453" w:rsidRDefault="001B1E34" w:rsidP="0093339C">
      <w:pPr>
        <w:tabs>
          <w:tab w:val="left" w:pos="709"/>
        </w:tabs>
        <w:autoSpaceDE w:val="0"/>
        <w:autoSpaceDN w:val="0"/>
        <w:adjustRightInd w:val="0"/>
        <w:ind w:hanging="567"/>
        <w:rPr>
          <w:rFonts w:eastAsia="Arial Unicode MS"/>
          <w:b/>
        </w:rPr>
      </w:pPr>
    </w:p>
    <w:p w14:paraId="75447C2D" w14:textId="29CEB785" w:rsidR="001B1E34" w:rsidRPr="00005453" w:rsidRDefault="001B1E34" w:rsidP="0093339C">
      <w:pPr>
        <w:tabs>
          <w:tab w:val="left" w:pos="709"/>
        </w:tabs>
        <w:autoSpaceDE w:val="0"/>
        <w:autoSpaceDN w:val="0"/>
        <w:adjustRightInd w:val="0"/>
        <w:ind w:hanging="567"/>
        <w:rPr>
          <w:rFonts w:eastAsia="Arial Unicode MS"/>
          <w:b/>
        </w:rPr>
      </w:pPr>
    </w:p>
    <w:p w14:paraId="7A632F25" w14:textId="00DAF021" w:rsidR="001B1E34" w:rsidRPr="00005453" w:rsidRDefault="001B1E34" w:rsidP="0093339C">
      <w:pPr>
        <w:tabs>
          <w:tab w:val="left" w:pos="709"/>
        </w:tabs>
        <w:autoSpaceDE w:val="0"/>
        <w:autoSpaceDN w:val="0"/>
        <w:adjustRightInd w:val="0"/>
        <w:ind w:hanging="567"/>
        <w:rPr>
          <w:rFonts w:eastAsia="Arial Unicode MS"/>
          <w:b/>
        </w:rPr>
      </w:pPr>
    </w:p>
    <w:p w14:paraId="6A3AD4B6" w14:textId="1B549A05" w:rsidR="001B1E34" w:rsidRPr="00005453" w:rsidRDefault="001B1E34" w:rsidP="0093339C">
      <w:pPr>
        <w:tabs>
          <w:tab w:val="left" w:pos="709"/>
        </w:tabs>
        <w:autoSpaceDE w:val="0"/>
        <w:autoSpaceDN w:val="0"/>
        <w:adjustRightInd w:val="0"/>
        <w:ind w:hanging="567"/>
        <w:rPr>
          <w:rFonts w:eastAsia="Arial Unicode MS"/>
          <w:b/>
        </w:rPr>
      </w:pPr>
    </w:p>
    <w:p w14:paraId="17A56765" w14:textId="0F2B9EE4" w:rsidR="001B1E34" w:rsidRPr="00005453" w:rsidRDefault="001B1E34" w:rsidP="0093339C">
      <w:pPr>
        <w:tabs>
          <w:tab w:val="left" w:pos="709"/>
        </w:tabs>
        <w:autoSpaceDE w:val="0"/>
        <w:autoSpaceDN w:val="0"/>
        <w:adjustRightInd w:val="0"/>
        <w:ind w:hanging="567"/>
        <w:rPr>
          <w:rFonts w:eastAsia="Arial Unicode MS"/>
          <w:b/>
        </w:rPr>
      </w:pPr>
    </w:p>
    <w:p w14:paraId="177B3938" w14:textId="33B8BEA9" w:rsidR="001B1E34" w:rsidRPr="00005453" w:rsidRDefault="001B1E34" w:rsidP="0093339C">
      <w:pPr>
        <w:tabs>
          <w:tab w:val="left" w:pos="709"/>
        </w:tabs>
        <w:autoSpaceDE w:val="0"/>
        <w:autoSpaceDN w:val="0"/>
        <w:adjustRightInd w:val="0"/>
        <w:ind w:hanging="567"/>
        <w:rPr>
          <w:rFonts w:eastAsia="Arial Unicode MS"/>
          <w:b/>
        </w:rPr>
      </w:pPr>
    </w:p>
    <w:p w14:paraId="51771A6E" w14:textId="5BD1DCB2" w:rsidR="001B1E34" w:rsidRPr="00005453" w:rsidRDefault="001B1E34" w:rsidP="0093339C">
      <w:pPr>
        <w:tabs>
          <w:tab w:val="left" w:pos="709"/>
        </w:tabs>
        <w:autoSpaceDE w:val="0"/>
        <w:autoSpaceDN w:val="0"/>
        <w:adjustRightInd w:val="0"/>
        <w:ind w:hanging="567"/>
        <w:rPr>
          <w:rFonts w:eastAsia="Arial Unicode MS"/>
          <w:b/>
        </w:rPr>
      </w:pPr>
    </w:p>
    <w:p w14:paraId="1D0C75CD" w14:textId="3C71A431" w:rsidR="001B1E34" w:rsidRPr="00005453" w:rsidRDefault="001B1E34" w:rsidP="0093339C">
      <w:pPr>
        <w:tabs>
          <w:tab w:val="left" w:pos="709"/>
        </w:tabs>
        <w:autoSpaceDE w:val="0"/>
        <w:autoSpaceDN w:val="0"/>
        <w:adjustRightInd w:val="0"/>
        <w:ind w:hanging="567"/>
        <w:rPr>
          <w:rFonts w:eastAsia="Arial Unicode MS"/>
          <w:b/>
        </w:rPr>
      </w:pPr>
    </w:p>
    <w:p w14:paraId="6EB4BC7F" w14:textId="0BD5D415" w:rsidR="001B1E34" w:rsidRPr="00005453" w:rsidRDefault="001B1E34" w:rsidP="0093339C">
      <w:pPr>
        <w:tabs>
          <w:tab w:val="left" w:pos="709"/>
        </w:tabs>
        <w:autoSpaceDE w:val="0"/>
        <w:autoSpaceDN w:val="0"/>
        <w:adjustRightInd w:val="0"/>
        <w:ind w:hanging="567"/>
        <w:rPr>
          <w:rFonts w:eastAsia="Arial Unicode MS"/>
          <w:b/>
        </w:rPr>
      </w:pPr>
    </w:p>
    <w:p w14:paraId="2535E8E8" w14:textId="380097B9" w:rsidR="001B1E34" w:rsidRPr="00005453" w:rsidRDefault="001B1E34" w:rsidP="0093339C">
      <w:pPr>
        <w:tabs>
          <w:tab w:val="left" w:pos="709"/>
        </w:tabs>
        <w:autoSpaceDE w:val="0"/>
        <w:autoSpaceDN w:val="0"/>
        <w:adjustRightInd w:val="0"/>
        <w:ind w:hanging="567"/>
        <w:rPr>
          <w:rFonts w:eastAsia="Arial Unicode MS"/>
          <w:b/>
        </w:rPr>
      </w:pPr>
    </w:p>
    <w:p w14:paraId="09C96E33" w14:textId="7B9B1175" w:rsidR="001B1E34" w:rsidRPr="00005453" w:rsidRDefault="001B1E34" w:rsidP="0093339C">
      <w:pPr>
        <w:tabs>
          <w:tab w:val="left" w:pos="709"/>
        </w:tabs>
        <w:autoSpaceDE w:val="0"/>
        <w:autoSpaceDN w:val="0"/>
        <w:adjustRightInd w:val="0"/>
        <w:ind w:hanging="567"/>
        <w:rPr>
          <w:rFonts w:eastAsia="Arial Unicode MS"/>
          <w:b/>
        </w:rPr>
      </w:pPr>
    </w:p>
    <w:p w14:paraId="06F9A5AD" w14:textId="554FA0EB" w:rsidR="001B1E34" w:rsidRPr="00005453" w:rsidRDefault="001B1E34" w:rsidP="0093339C">
      <w:pPr>
        <w:tabs>
          <w:tab w:val="left" w:pos="709"/>
        </w:tabs>
        <w:autoSpaceDE w:val="0"/>
        <w:autoSpaceDN w:val="0"/>
        <w:adjustRightInd w:val="0"/>
        <w:ind w:hanging="567"/>
        <w:rPr>
          <w:rFonts w:eastAsia="Arial Unicode MS"/>
          <w:b/>
        </w:rPr>
      </w:pPr>
    </w:p>
    <w:p w14:paraId="6ADD2DD6" w14:textId="42345C1C" w:rsidR="00805ED1" w:rsidRPr="00005453" w:rsidRDefault="00805ED1" w:rsidP="0093339C">
      <w:pPr>
        <w:tabs>
          <w:tab w:val="left" w:pos="709"/>
        </w:tabs>
        <w:autoSpaceDE w:val="0"/>
        <w:autoSpaceDN w:val="0"/>
        <w:adjustRightInd w:val="0"/>
        <w:ind w:hanging="567"/>
        <w:rPr>
          <w:rFonts w:eastAsia="Arial Unicode MS"/>
          <w:b/>
        </w:rPr>
      </w:pPr>
    </w:p>
    <w:p w14:paraId="6DBE7144" w14:textId="77777777" w:rsidR="00805ED1" w:rsidRPr="00005453" w:rsidRDefault="00805ED1" w:rsidP="0093339C">
      <w:pPr>
        <w:tabs>
          <w:tab w:val="left" w:pos="709"/>
        </w:tabs>
        <w:autoSpaceDE w:val="0"/>
        <w:autoSpaceDN w:val="0"/>
        <w:adjustRightInd w:val="0"/>
        <w:ind w:hanging="567"/>
        <w:rPr>
          <w:rFonts w:eastAsia="Arial Unicode MS"/>
          <w:b/>
        </w:rPr>
      </w:pPr>
    </w:p>
    <w:p w14:paraId="1CCA7ADA" w14:textId="259C39B5" w:rsidR="007F1884" w:rsidRPr="00005453" w:rsidRDefault="007F1884">
      <w:pPr>
        <w:rPr>
          <w:rFonts w:eastAsia="Arial Unicode MS"/>
          <w:b/>
        </w:rPr>
      </w:pPr>
      <w:r w:rsidRPr="00005453">
        <w:rPr>
          <w:rFonts w:eastAsia="Arial Unicode MS"/>
          <w:b/>
        </w:rPr>
        <w:br w:type="page"/>
      </w:r>
    </w:p>
    <w:p w14:paraId="1520511F" w14:textId="213DA52A" w:rsidR="007A1113" w:rsidRPr="00005453" w:rsidRDefault="007A1113" w:rsidP="007A1113">
      <w:pPr>
        <w:spacing w:line="240" w:lineRule="exact"/>
        <w:ind w:hanging="567"/>
        <w:jc w:val="both"/>
        <w:rPr>
          <w:sz w:val="18"/>
          <w:szCs w:val="18"/>
          <w:lang w:eastAsia="tr-TR"/>
        </w:rPr>
      </w:pPr>
      <w:r w:rsidRPr="00005453">
        <w:rPr>
          <w:b/>
          <w:iCs/>
        </w:rPr>
        <w:lastRenderedPageBreak/>
        <w:t>3.1.4.</w:t>
      </w:r>
      <w:r w:rsidRPr="00005453">
        <w:rPr>
          <w:iCs/>
        </w:rPr>
        <w:tab/>
      </w:r>
      <w:r w:rsidRPr="00005453">
        <w:rPr>
          <w:sz w:val="18"/>
          <w:szCs w:val="18"/>
          <w:lang w:eastAsia="tr-TR"/>
        </w:rPr>
        <w:t>Gayrinakdi krediler hesabı içinde sektör bazında risk yoğunlaşması hakkında bilgi</w:t>
      </w:r>
    </w:p>
    <w:p w14:paraId="2269866D" w14:textId="332F0481" w:rsidR="008865AE" w:rsidRPr="00005453" w:rsidRDefault="008865AE" w:rsidP="007A1113">
      <w:pPr>
        <w:tabs>
          <w:tab w:val="num" w:pos="3600"/>
        </w:tabs>
        <w:rPr>
          <w:lang w:eastAsia="en-GB"/>
        </w:rPr>
      </w:pPr>
    </w:p>
    <w:tbl>
      <w:tblPr>
        <w:tblW w:w="8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61"/>
        <w:gridCol w:w="1370"/>
        <w:gridCol w:w="1276"/>
        <w:gridCol w:w="1418"/>
        <w:gridCol w:w="1276"/>
      </w:tblGrid>
      <w:tr w:rsidR="008865AE" w:rsidRPr="00005453" w14:paraId="01A74C0D" w14:textId="77777777" w:rsidTr="00614CD2">
        <w:trPr>
          <w:divId w:val="1778912826"/>
          <w:trHeight w:val="277"/>
        </w:trPr>
        <w:tc>
          <w:tcPr>
            <w:tcW w:w="3161" w:type="dxa"/>
            <w:shd w:val="clear" w:color="auto" w:fill="auto"/>
            <w:vAlign w:val="center"/>
            <w:hideMark/>
          </w:tcPr>
          <w:p w14:paraId="61ECC7C8" w14:textId="0D58CAD2" w:rsidR="008865AE" w:rsidRPr="00005453" w:rsidRDefault="008865AE" w:rsidP="008865AE">
            <w:pPr>
              <w:jc w:val="both"/>
              <w:rPr>
                <w:sz w:val="18"/>
                <w:szCs w:val="18"/>
                <w:lang w:eastAsia="tr-TR"/>
              </w:rPr>
            </w:pPr>
            <w:r w:rsidRPr="00005453">
              <w:rPr>
                <w:sz w:val="18"/>
                <w:szCs w:val="18"/>
                <w:lang w:eastAsia="tr-TR"/>
              </w:rPr>
              <w:t> </w:t>
            </w:r>
          </w:p>
        </w:tc>
        <w:tc>
          <w:tcPr>
            <w:tcW w:w="5340" w:type="dxa"/>
            <w:gridSpan w:val="4"/>
            <w:shd w:val="clear" w:color="auto" w:fill="auto"/>
            <w:vAlign w:val="center"/>
            <w:hideMark/>
          </w:tcPr>
          <w:p w14:paraId="53B92AAF" w14:textId="77777777" w:rsidR="008865AE" w:rsidRPr="00005453" w:rsidRDefault="008865AE" w:rsidP="008865AE">
            <w:pPr>
              <w:jc w:val="center"/>
              <w:rPr>
                <w:b/>
                <w:bCs/>
                <w:sz w:val="18"/>
                <w:szCs w:val="18"/>
                <w:lang w:eastAsia="tr-TR"/>
              </w:rPr>
            </w:pPr>
            <w:r w:rsidRPr="00005453">
              <w:rPr>
                <w:b/>
                <w:bCs/>
                <w:sz w:val="18"/>
                <w:szCs w:val="18"/>
                <w:lang w:eastAsia="tr-TR"/>
              </w:rPr>
              <w:t>Cari Dönem</w:t>
            </w:r>
          </w:p>
        </w:tc>
      </w:tr>
      <w:tr w:rsidR="008865AE" w:rsidRPr="00005453" w14:paraId="43C1537B" w14:textId="77777777" w:rsidTr="00CD75F3">
        <w:trPr>
          <w:divId w:val="1778912826"/>
          <w:trHeight w:val="262"/>
        </w:trPr>
        <w:tc>
          <w:tcPr>
            <w:tcW w:w="3161" w:type="dxa"/>
            <w:shd w:val="clear" w:color="auto" w:fill="auto"/>
            <w:vAlign w:val="center"/>
            <w:hideMark/>
          </w:tcPr>
          <w:p w14:paraId="0A1D4559" w14:textId="77777777" w:rsidR="008865AE" w:rsidRPr="00005453" w:rsidRDefault="008865AE" w:rsidP="008865AE">
            <w:pPr>
              <w:jc w:val="both"/>
              <w:rPr>
                <w:b/>
                <w:bCs/>
                <w:sz w:val="18"/>
                <w:szCs w:val="18"/>
                <w:lang w:eastAsia="tr-TR"/>
              </w:rPr>
            </w:pPr>
            <w:r w:rsidRPr="00005453">
              <w:rPr>
                <w:b/>
                <w:bCs/>
                <w:sz w:val="18"/>
                <w:szCs w:val="18"/>
                <w:lang w:eastAsia="tr-TR"/>
              </w:rPr>
              <w:t> </w:t>
            </w:r>
          </w:p>
        </w:tc>
        <w:tc>
          <w:tcPr>
            <w:tcW w:w="1370" w:type="dxa"/>
            <w:shd w:val="clear" w:color="auto" w:fill="auto"/>
            <w:vAlign w:val="center"/>
            <w:hideMark/>
          </w:tcPr>
          <w:p w14:paraId="1FFA2AC5" w14:textId="77777777" w:rsidR="008865AE" w:rsidRPr="00005453" w:rsidRDefault="008865AE" w:rsidP="0023277E">
            <w:pPr>
              <w:jc w:val="right"/>
              <w:rPr>
                <w:b/>
                <w:bCs/>
                <w:sz w:val="18"/>
                <w:szCs w:val="18"/>
                <w:lang w:eastAsia="tr-TR"/>
              </w:rPr>
            </w:pPr>
            <w:r w:rsidRPr="00005453">
              <w:rPr>
                <w:b/>
                <w:bCs/>
                <w:sz w:val="18"/>
                <w:szCs w:val="18"/>
                <w:lang w:eastAsia="tr-TR"/>
              </w:rPr>
              <w:t>TP</w:t>
            </w:r>
          </w:p>
        </w:tc>
        <w:tc>
          <w:tcPr>
            <w:tcW w:w="1276" w:type="dxa"/>
            <w:shd w:val="clear" w:color="auto" w:fill="auto"/>
            <w:vAlign w:val="center"/>
            <w:hideMark/>
          </w:tcPr>
          <w:p w14:paraId="5B4798D3" w14:textId="77777777" w:rsidR="008865AE" w:rsidRPr="00005453" w:rsidRDefault="008865AE" w:rsidP="0023277E">
            <w:pPr>
              <w:jc w:val="right"/>
              <w:rPr>
                <w:b/>
                <w:bCs/>
                <w:sz w:val="18"/>
                <w:szCs w:val="18"/>
                <w:lang w:eastAsia="tr-TR"/>
              </w:rPr>
            </w:pPr>
            <w:r w:rsidRPr="00005453">
              <w:rPr>
                <w:b/>
                <w:bCs/>
                <w:sz w:val="18"/>
                <w:szCs w:val="18"/>
                <w:lang w:eastAsia="tr-TR"/>
              </w:rPr>
              <w:t>%</w:t>
            </w:r>
          </w:p>
        </w:tc>
        <w:tc>
          <w:tcPr>
            <w:tcW w:w="1418" w:type="dxa"/>
            <w:shd w:val="clear" w:color="auto" w:fill="auto"/>
            <w:vAlign w:val="center"/>
            <w:hideMark/>
          </w:tcPr>
          <w:p w14:paraId="64BEC342" w14:textId="77777777" w:rsidR="008865AE" w:rsidRPr="00005453" w:rsidRDefault="008865AE" w:rsidP="0023277E">
            <w:pPr>
              <w:jc w:val="right"/>
              <w:rPr>
                <w:b/>
                <w:bCs/>
                <w:sz w:val="18"/>
                <w:szCs w:val="18"/>
                <w:lang w:eastAsia="tr-TR"/>
              </w:rPr>
            </w:pPr>
            <w:r w:rsidRPr="00005453">
              <w:rPr>
                <w:b/>
                <w:bCs/>
                <w:sz w:val="18"/>
                <w:szCs w:val="18"/>
                <w:lang w:eastAsia="tr-TR"/>
              </w:rPr>
              <w:t>YP</w:t>
            </w:r>
          </w:p>
        </w:tc>
        <w:tc>
          <w:tcPr>
            <w:tcW w:w="1276" w:type="dxa"/>
            <w:shd w:val="clear" w:color="auto" w:fill="auto"/>
            <w:vAlign w:val="center"/>
            <w:hideMark/>
          </w:tcPr>
          <w:p w14:paraId="0555B304" w14:textId="77777777" w:rsidR="008865AE" w:rsidRPr="00005453" w:rsidRDefault="008865AE" w:rsidP="0023277E">
            <w:pPr>
              <w:jc w:val="right"/>
              <w:rPr>
                <w:b/>
                <w:bCs/>
                <w:sz w:val="18"/>
                <w:szCs w:val="18"/>
                <w:lang w:eastAsia="tr-TR"/>
              </w:rPr>
            </w:pPr>
            <w:r w:rsidRPr="00005453">
              <w:rPr>
                <w:b/>
                <w:bCs/>
                <w:sz w:val="18"/>
                <w:szCs w:val="18"/>
                <w:lang w:eastAsia="tr-TR"/>
              </w:rPr>
              <w:t>%</w:t>
            </w:r>
          </w:p>
        </w:tc>
      </w:tr>
      <w:tr w:rsidR="00CD75F3" w:rsidRPr="00005453" w14:paraId="1A9ECD37" w14:textId="77777777" w:rsidTr="00CD75F3">
        <w:trPr>
          <w:divId w:val="1778912826"/>
          <w:trHeight w:val="246"/>
        </w:trPr>
        <w:tc>
          <w:tcPr>
            <w:tcW w:w="3161" w:type="dxa"/>
            <w:shd w:val="clear" w:color="auto" w:fill="auto"/>
            <w:vAlign w:val="center"/>
            <w:hideMark/>
          </w:tcPr>
          <w:p w14:paraId="6AAC63E8" w14:textId="77777777" w:rsidR="00CD75F3" w:rsidRPr="00005453" w:rsidRDefault="00CD75F3" w:rsidP="00CD75F3">
            <w:pPr>
              <w:rPr>
                <w:b/>
                <w:bCs/>
                <w:sz w:val="18"/>
                <w:szCs w:val="18"/>
                <w:lang w:eastAsia="tr-TR"/>
              </w:rPr>
            </w:pPr>
            <w:r w:rsidRPr="00005453">
              <w:rPr>
                <w:b/>
                <w:bCs/>
                <w:sz w:val="18"/>
                <w:szCs w:val="18"/>
                <w:lang w:eastAsia="tr-TR"/>
              </w:rPr>
              <w:t>Tarım</w:t>
            </w:r>
          </w:p>
        </w:tc>
        <w:tc>
          <w:tcPr>
            <w:tcW w:w="1370" w:type="dxa"/>
            <w:shd w:val="clear" w:color="auto" w:fill="auto"/>
            <w:noWrap/>
            <w:vAlign w:val="center"/>
            <w:hideMark/>
          </w:tcPr>
          <w:p w14:paraId="7281AD65" w14:textId="1782DA3B" w:rsidR="00CD75F3" w:rsidRPr="00005453" w:rsidRDefault="00CD75F3" w:rsidP="00CD75F3">
            <w:pPr>
              <w:jc w:val="right"/>
              <w:rPr>
                <w:b/>
                <w:bCs/>
                <w:sz w:val="18"/>
                <w:szCs w:val="18"/>
                <w:lang w:eastAsia="tr-TR"/>
              </w:rPr>
            </w:pPr>
            <w:r w:rsidRPr="00005453">
              <w:rPr>
                <w:b/>
                <w:bCs/>
                <w:color w:val="000000"/>
                <w:sz w:val="16"/>
                <w:szCs w:val="16"/>
              </w:rPr>
              <w:t>693,277</w:t>
            </w:r>
          </w:p>
        </w:tc>
        <w:tc>
          <w:tcPr>
            <w:tcW w:w="1276" w:type="dxa"/>
            <w:shd w:val="clear" w:color="auto" w:fill="auto"/>
            <w:noWrap/>
            <w:vAlign w:val="center"/>
            <w:hideMark/>
          </w:tcPr>
          <w:p w14:paraId="73E5EE07" w14:textId="5A7050DA" w:rsidR="00CD75F3" w:rsidRPr="00005453" w:rsidRDefault="00CD75F3" w:rsidP="00CD75F3">
            <w:pPr>
              <w:jc w:val="right"/>
              <w:rPr>
                <w:b/>
                <w:bCs/>
                <w:sz w:val="18"/>
                <w:szCs w:val="18"/>
                <w:lang w:eastAsia="tr-TR"/>
              </w:rPr>
            </w:pPr>
            <w:r w:rsidRPr="00005453">
              <w:rPr>
                <w:b/>
                <w:bCs/>
                <w:sz w:val="18"/>
                <w:szCs w:val="18"/>
              </w:rPr>
              <w:t>1.00</w:t>
            </w:r>
          </w:p>
        </w:tc>
        <w:tc>
          <w:tcPr>
            <w:tcW w:w="1418" w:type="dxa"/>
            <w:shd w:val="clear" w:color="auto" w:fill="auto"/>
            <w:noWrap/>
            <w:vAlign w:val="center"/>
            <w:hideMark/>
          </w:tcPr>
          <w:p w14:paraId="56E989F0" w14:textId="5A0746C4" w:rsidR="00CD75F3" w:rsidRPr="00005453" w:rsidRDefault="00CD75F3" w:rsidP="00CD75F3">
            <w:pPr>
              <w:jc w:val="right"/>
              <w:rPr>
                <w:b/>
                <w:bCs/>
                <w:sz w:val="18"/>
                <w:szCs w:val="18"/>
                <w:lang w:eastAsia="tr-TR"/>
              </w:rPr>
            </w:pPr>
            <w:r w:rsidRPr="00005453">
              <w:rPr>
                <w:b/>
                <w:bCs/>
                <w:color w:val="000000"/>
                <w:sz w:val="16"/>
                <w:szCs w:val="16"/>
              </w:rPr>
              <w:t>164,331</w:t>
            </w:r>
          </w:p>
        </w:tc>
        <w:tc>
          <w:tcPr>
            <w:tcW w:w="1276" w:type="dxa"/>
            <w:shd w:val="clear" w:color="auto" w:fill="auto"/>
            <w:noWrap/>
            <w:vAlign w:val="center"/>
            <w:hideMark/>
          </w:tcPr>
          <w:p w14:paraId="585D9EB8" w14:textId="0A38B4E4" w:rsidR="00CD75F3" w:rsidRPr="00005453" w:rsidRDefault="00CD75F3" w:rsidP="00CD75F3">
            <w:pPr>
              <w:jc w:val="right"/>
              <w:rPr>
                <w:b/>
                <w:bCs/>
                <w:sz w:val="18"/>
                <w:szCs w:val="18"/>
                <w:lang w:eastAsia="tr-TR"/>
              </w:rPr>
            </w:pPr>
            <w:r w:rsidRPr="00005453">
              <w:rPr>
                <w:b/>
                <w:bCs/>
                <w:sz w:val="18"/>
                <w:szCs w:val="18"/>
              </w:rPr>
              <w:t>0.46</w:t>
            </w:r>
          </w:p>
        </w:tc>
      </w:tr>
      <w:tr w:rsidR="00CD75F3" w:rsidRPr="00005453" w14:paraId="20840023" w14:textId="77777777" w:rsidTr="00CD75F3">
        <w:trPr>
          <w:divId w:val="1778912826"/>
          <w:trHeight w:val="246"/>
        </w:trPr>
        <w:tc>
          <w:tcPr>
            <w:tcW w:w="3161" w:type="dxa"/>
            <w:shd w:val="clear" w:color="auto" w:fill="auto"/>
            <w:noWrap/>
            <w:vAlign w:val="center"/>
            <w:hideMark/>
          </w:tcPr>
          <w:p w14:paraId="59337EB0" w14:textId="77777777" w:rsidR="00CD75F3" w:rsidRPr="00005453" w:rsidRDefault="00CD75F3" w:rsidP="00CD75F3">
            <w:pPr>
              <w:ind w:firstLineChars="200" w:firstLine="360"/>
              <w:rPr>
                <w:sz w:val="18"/>
                <w:szCs w:val="18"/>
                <w:lang w:eastAsia="tr-TR"/>
              </w:rPr>
            </w:pPr>
            <w:r w:rsidRPr="00005453">
              <w:rPr>
                <w:sz w:val="18"/>
                <w:szCs w:val="18"/>
                <w:lang w:eastAsia="tr-TR"/>
              </w:rPr>
              <w:t>Çiftçilik ve Hayvancılık</w:t>
            </w:r>
          </w:p>
        </w:tc>
        <w:tc>
          <w:tcPr>
            <w:tcW w:w="1370" w:type="dxa"/>
            <w:shd w:val="clear" w:color="auto" w:fill="auto"/>
            <w:noWrap/>
            <w:vAlign w:val="center"/>
            <w:hideMark/>
          </w:tcPr>
          <w:p w14:paraId="278FF942" w14:textId="1F42FE99" w:rsidR="00CD75F3" w:rsidRPr="00005453" w:rsidRDefault="00CD75F3" w:rsidP="00CD75F3">
            <w:pPr>
              <w:jc w:val="right"/>
              <w:rPr>
                <w:sz w:val="18"/>
                <w:szCs w:val="18"/>
                <w:lang w:eastAsia="tr-TR"/>
              </w:rPr>
            </w:pPr>
            <w:r w:rsidRPr="00005453">
              <w:rPr>
                <w:sz w:val="18"/>
                <w:szCs w:val="18"/>
              </w:rPr>
              <w:t>382,508</w:t>
            </w:r>
          </w:p>
        </w:tc>
        <w:tc>
          <w:tcPr>
            <w:tcW w:w="1276" w:type="dxa"/>
            <w:shd w:val="clear" w:color="auto" w:fill="auto"/>
            <w:noWrap/>
            <w:vAlign w:val="center"/>
            <w:hideMark/>
          </w:tcPr>
          <w:p w14:paraId="595A3237" w14:textId="44CF3311" w:rsidR="00CD75F3" w:rsidRPr="00005453" w:rsidRDefault="00CD75F3" w:rsidP="00CD75F3">
            <w:pPr>
              <w:jc w:val="right"/>
              <w:rPr>
                <w:sz w:val="18"/>
                <w:szCs w:val="18"/>
                <w:lang w:eastAsia="tr-TR"/>
              </w:rPr>
            </w:pPr>
            <w:r w:rsidRPr="00005453">
              <w:rPr>
                <w:sz w:val="18"/>
                <w:szCs w:val="18"/>
              </w:rPr>
              <w:t>0.55</w:t>
            </w:r>
          </w:p>
        </w:tc>
        <w:tc>
          <w:tcPr>
            <w:tcW w:w="1418" w:type="dxa"/>
            <w:shd w:val="clear" w:color="auto" w:fill="auto"/>
            <w:noWrap/>
            <w:vAlign w:val="center"/>
            <w:hideMark/>
          </w:tcPr>
          <w:p w14:paraId="74454EA1" w14:textId="47D16516" w:rsidR="00CD75F3" w:rsidRPr="00005453" w:rsidRDefault="00CD75F3" w:rsidP="00CD75F3">
            <w:pPr>
              <w:jc w:val="right"/>
              <w:rPr>
                <w:sz w:val="18"/>
                <w:szCs w:val="18"/>
                <w:lang w:eastAsia="tr-TR"/>
              </w:rPr>
            </w:pPr>
            <w:r w:rsidRPr="00005453">
              <w:rPr>
                <w:sz w:val="18"/>
                <w:szCs w:val="18"/>
              </w:rPr>
              <w:t>68,944</w:t>
            </w:r>
          </w:p>
        </w:tc>
        <w:tc>
          <w:tcPr>
            <w:tcW w:w="1276" w:type="dxa"/>
            <w:shd w:val="clear" w:color="auto" w:fill="auto"/>
            <w:noWrap/>
            <w:vAlign w:val="center"/>
            <w:hideMark/>
          </w:tcPr>
          <w:p w14:paraId="21E670D9" w14:textId="2CB22D58" w:rsidR="00CD75F3" w:rsidRPr="00005453" w:rsidRDefault="00CD75F3" w:rsidP="00CD75F3">
            <w:pPr>
              <w:jc w:val="right"/>
              <w:rPr>
                <w:sz w:val="18"/>
                <w:szCs w:val="18"/>
                <w:lang w:eastAsia="tr-TR"/>
              </w:rPr>
            </w:pPr>
            <w:r w:rsidRPr="00005453">
              <w:rPr>
                <w:sz w:val="18"/>
                <w:szCs w:val="18"/>
              </w:rPr>
              <w:t>0.19</w:t>
            </w:r>
          </w:p>
        </w:tc>
      </w:tr>
      <w:tr w:rsidR="00CD75F3" w:rsidRPr="00005453" w14:paraId="4CB79583" w14:textId="77777777" w:rsidTr="00CD75F3">
        <w:trPr>
          <w:divId w:val="1778912826"/>
          <w:trHeight w:val="246"/>
        </w:trPr>
        <w:tc>
          <w:tcPr>
            <w:tcW w:w="3161" w:type="dxa"/>
            <w:shd w:val="clear" w:color="auto" w:fill="auto"/>
            <w:noWrap/>
            <w:vAlign w:val="center"/>
            <w:hideMark/>
          </w:tcPr>
          <w:p w14:paraId="03060740" w14:textId="77777777" w:rsidR="00CD75F3" w:rsidRPr="00005453" w:rsidRDefault="00CD75F3" w:rsidP="00CD75F3">
            <w:pPr>
              <w:ind w:firstLineChars="200" w:firstLine="360"/>
              <w:rPr>
                <w:sz w:val="18"/>
                <w:szCs w:val="18"/>
                <w:lang w:eastAsia="tr-TR"/>
              </w:rPr>
            </w:pPr>
            <w:r w:rsidRPr="00005453">
              <w:rPr>
                <w:sz w:val="18"/>
                <w:szCs w:val="18"/>
                <w:lang w:eastAsia="tr-TR"/>
              </w:rPr>
              <w:t>Ormancılık</w:t>
            </w:r>
          </w:p>
        </w:tc>
        <w:tc>
          <w:tcPr>
            <w:tcW w:w="1370" w:type="dxa"/>
            <w:shd w:val="clear" w:color="auto" w:fill="auto"/>
            <w:noWrap/>
            <w:vAlign w:val="center"/>
            <w:hideMark/>
          </w:tcPr>
          <w:p w14:paraId="1950CF22" w14:textId="04CB0B42" w:rsidR="00CD75F3" w:rsidRPr="00005453" w:rsidRDefault="00CD75F3" w:rsidP="00CD75F3">
            <w:pPr>
              <w:jc w:val="right"/>
              <w:rPr>
                <w:sz w:val="18"/>
                <w:szCs w:val="18"/>
                <w:lang w:eastAsia="tr-TR"/>
              </w:rPr>
            </w:pPr>
            <w:r w:rsidRPr="00005453">
              <w:rPr>
                <w:sz w:val="18"/>
                <w:szCs w:val="18"/>
              </w:rPr>
              <w:t>309,361</w:t>
            </w:r>
          </w:p>
        </w:tc>
        <w:tc>
          <w:tcPr>
            <w:tcW w:w="1276" w:type="dxa"/>
            <w:shd w:val="clear" w:color="auto" w:fill="auto"/>
            <w:noWrap/>
            <w:vAlign w:val="center"/>
            <w:hideMark/>
          </w:tcPr>
          <w:p w14:paraId="4C271DA0" w14:textId="2BB7F848" w:rsidR="00CD75F3" w:rsidRPr="00005453" w:rsidRDefault="00CD75F3" w:rsidP="00CD75F3">
            <w:pPr>
              <w:jc w:val="right"/>
              <w:rPr>
                <w:sz w:val="18"/>
                <w:szCs w:val="18"/>
                <w:lang w:eastAsia="tr-TR"/>
              </w:rPr>
            </w:pPr>
            <w:r w:rsidRPr="00005453">
              <w:rPr>
                <w:sz w:val="18"/>
                <w:szCs w:val="18"/>
              </w:rPr>
              <w:t>0.45</w:t>
            </w:r>
          </w:p>
        </w:tc>
        <w:tc>
          <w:tcPr>
            <w:tcW w:w="1418" w:type="dxa"/>
            <w:shd w:val="clear" w:color="auto" w:fill="auto"/>
            <w:noWrap/>
            <w:vAlign w:val="center"/>
            <w:hideMark/>
          </w:tcPr>
          <w:p w14:paraId="13A85E8A" w14:textId="1ED621BB" w:rsidR="00CD75F3" w:rsidRPr="00005453" w:rsidRDefault="00CD75F3" w:rsidP="00CD75F3">
            <w:pPr>
              <w:jc w:val="right"/>
              <w:rPr>
                <w:sz w:val="18"/>
                <w:szCs w:val="18"/>
                <w:lang w:eastAsia="tr-TR"/>
              </w:rPr>
            </w:pPr>
            <w:r w:rsidRPr="00005453">
              <w:rPr>
                <w:sz w:val="18"/>
                <w:szCs w:val="18"/>
              </w:rPr>
              <w:t>95,387</w:t>
            </w:r>
          </w:p>
        </w:tc>
        <w:tc>
          <w:tcPr>
            <w:tcW w:w="1276" w:type="dxa"/>
            <w:shd w:val="clear" w:color="auto" w:fill="auto"/>
            <w:noWrap/>
            <w:vAlign w:val="center"/>
            <w:hideMark/>
          </w:tcPr>
          <w:p w14:paraId="3D3F9EB0" w14:textId="71225D12" w:rsidR="00CD75F3" w:rsidRPr="00005453" w:rsidRDefault="00CD75F3" w:rsidP="00CD75F3">
            <w:pPr>
              <w:jc w:val="right"/>
              <w:rPr>
                <w:sz w:val="18"/>
                <w:szCs w:val="18"/>
                <w:lang w:eastAsia="tr-TR"/>
              </w:rPr>
            </w:pPr>
            <w:r w:rsidRPr="00005453">
              <w:rPr>
                <w:sz w:val="18"/>
                <w:szCs w:val="18"/>
              </w:rPr>
              <w:t>0.27</w:t>
            </w:r>
          </w:p>
        </w:tc>
      </w:tr>
      <w:tr w:rsidR="00CD75F3" w:rsidRPr="00005453" w14:paraId="13DB7D86" w14:textId="77777777" w:rsidTr="00CD75F3">
        <w:trPr>
          <w:divId w:val="1778912826"/>
          <w:trHeight w:val="246"/>
        </w:trPr>
        <w:tc>
          <w:tcPr>
            <w:tcW w:w="3161" w:type="dxa"/>
            <w:shd w:val="clear" w:color="auto" w:fill="auto"/>
            <w:noWrap/>
            <w:vAlign w:val="center"/>
            <w:hideMark/>
          </w:tcPr>
          <w:p w14:paraId="39EF98AF" w14:textId="77777777" w:rsidR="00CD75F3" w:rsidRPr="00005453" w:rsidRDefault="00CD75F3" w:rsidP="00CD75F3">
            <w:pPr>
              <w:ind w:firstLineChars="200" w:firstLine="360"/>
              <w:rPr>
                <w:sz w:val="18"/>
                <w:szCs w:val="18"/>
                <w:lang w:eastAsia="tr-TR"/>
              </w:rPr>
            </w:pPr>
            <w:r w:rsidRPr="00005453">
              <w:rPr>
                <w:sz w:val="18"/>
                <w:szCs w:val="18"/>
                <w:lang w:eastAsia="tr-TR"/>
              </w:rPr>
              <w:t>Balıkçılık</w:t>
            </w:r>
          </w:p>
        </w:tc>
        <w:tc>
          <w:tcPr>
            <w:tcW w:w="1370" w:type="dxa"/>
            <w:shd w:val="clear" w:color="auto" w:fill="auto"/>
            <w:noWrap/>
            <w:vAlign w:val="center"/>
            <w:hideMark/>
          </w:tcPr>
          <w:p w14:paraId="37C1401A" w14:textId="58718AD7" w:rsidR="00CD75F3" w:rsidRPr="00005453" w:rsidRDefault="00CD75F3" w:rsidP="00CD75F3">
            <w:pPr>
              <w:jc w:val="right"/>
              <w:rPr>
                <w:sz w:val="18"/>
                <w:szCs w:val="18"/>
                <w:lang w:eastAsia="tr-TR"/>
              </w:rPr>
            </w:pPr>
            <w:r w:rsidRPr="00005453">
              <w:rPr>
                <w:sz w:val="18"/>
                <w:szCs w:val="18"/>
              </w:rPr>
              <w:t>1,408</w:t>
            </w:r>
          </w:p>
        </w:tc>
        <w:tc>
          <w:tcPr>
            <w:tcW w:w="1276" w:type="dxa"/>
            <w:shd w:val="clear" w:color="auto" w:fill="auto"/>
            <w:noWrap/>
            <w:vAlign w:val="center"/>
            <w:hideMark/>
          </w:tcPr>
          <w:p w14:paraId="0BC4E6B6" w14:textId="6720256F" w:rsidR="00CD75F3" w:rsidRPr="00005453" w:rsidRDefault="00CD75F3" w:rsidP="00CD75F3">
            <w:pPr>
              <w:jc w:val="right"/>
              <w:rPr>
                <w:sz w:val="18"/>
                <w:szCs w:val="18"/>
                <w:lang w:eastAsia="tr-TR"/>
              </w:rPr>
            </w:pPr>
            <w:r w:rsidRPr="00005453">
              <w:rPr>
                <w:sz w:val="18"/>
                <w:szCs w:val="18"/>
              </w:rPr>
              <w:t>0.00</w:t>
            </w:r>
          </w:p>
        </w:tc>
        <w:tc>
          <w:tcPr>
            <w:tcW w:w="1418" w:type="dxa"/>
            <w:shd w:val="clear" w:color="auto" w:fill="auto"/>
            <w:noWrap/>
            <w:vAlign w:val="center"/>
            <w:hideMark/>
          </w:tcPr>
          <w:p w14:paraId="1BD38F9D" w14:textId="281D63A0" w:rsidR="00CD75F3" w:rsidRPr="00005453" w:rsidRDefault="00CD75F3" w:rsidP="00CD75F3">
            <w:pPr>
              <w:jc w:val="right"/>
              <w:rPr>
                <w:sz w:val="18"/>
                <w:szCs w:val="18"/>
                <w:lang w:eastAsia="tr-TR"/>
              </w:rPr>
            </w:pPr>
            <w:r w:rsidRPr="00005453">
              <w:rPr>
                <w:sz w:val="18"/>
                <w:szCs w:val="18"/>
              </w:rPr>
              <w:t>-</w:t>
            </w:r>
          </w:p>
        </w:tc>
        <w:tc>
          <w:tcPr>
            <w:tcW w:w="1276" w:type="dxa"/>
            <w:shd w:val="clear" w:color="auto" w:fill="auto"/>
            <w:noWrap/>
            <w:vAlign w:val="center"/>
            <w:hideMark/>
          </w:tcPr>
          <w:p w14:paraId="1E39360E" w14:textId="78768C4B" w:rsidR="00CD75F3" w:rsidRPr="00005453" w:rsidRDefault="00CD75F3" w:rsidP="00CD75F3">
            <w:pPr>
              <w:jc w:val="right"/>
              <w:rPr>
                <w:sz w:val="18"/>
                <w:szCs w:val="18"/>
                <w:lang w:eastAsia="tr-TR"/>
              </w:rPr>
            </w:pPr>
            <w:r w:rsidRPr="00005453">
              <w:rPr>
                <w:sz w:val="18"/>
                <w:szCs w:val="18"/>
              </w:rPr>
              <w:t>-</w:t>
            </w:r>
          </w:p>
        </w:tc>
      </w:tr>
      <w:tr w:rsidR="00CD75F3" w:rsidRPr="00005453" w14:paraId="23275763" w14:textId="77777777" w:rsidTr="00CD75F3">
        <w:trPr>
          <w:divId w:val="1778912826"/>
          <w:trHeight w:val="246"/>
        </w:trPr>
        <w:tc>
          <w:tcPr>
            <w:tcW w:w="3161" w:type="dxa"/>
            <w:shd w:val="clear" w:color="auto" w:fill="auto"/>
            <w:vAlign w:val="center"/>
            <w:hideMark/>
          </w:tcPr>
          <w:p w14:paraId="666B2743" w14:textId="77777777" w:rsidR="00CD75F3" w:rsidRPr="00005453" w:rsidRDefault="00CD75F3" w:rsidP="00CD75F3">
            <w:pPr>
              <w:rPr>
                <w:b/>
                <w:bCs/>
                <w:sz w:val="18"/>
                <w:szCs w:val="18"/>
                <w:lang w:eastAsia="tr-TR"/>
              </w:rPr>
            </w:pPr>
            <w:r w:rsidRPr="00005453">
              <w:rPr>
                <w:b/>
                <w:bCs/>
                <w:sz w:val="18"/>
                <w:szCs w:val="18"/>
                <w:lang w:eastAsia="tr-TR"/>
              </w:rPr>
              <w:t>Sanayi</w:t>
            </w:r>
          </w:p>
        </w:tc>
        <w:tc>
          <w:tcPr>
            <w:tcW w:w="1370" w:type="dxa"/>
            <w:shd w:val="clear" w:color="auto" w:fill="auto"/>
            <w:noWrap/>
            <w:vAlign w:val="center"/>
            <w:hideMark/>
          </w:tcPr>
          <w:p w14:paraId="37CE2E46" w14:textId="19FA077F" w:rsidR="00CD75F3" w:rsidRPr="00005453" w:rsidRDefault="00CD75F3" w:rsidP="00CD75F3">
            <w:pPr>
              <w:jc w:val="right"/>
              <w:rPr>
                <w:b/>
                <w:bCs/>
                <w:sz w:val="18"/>
                <w:szCs w:val="18"/>
                <w:lang w:eastAsia="tr-TR"/>
              </w:rPr>
            </w:pPr>
            <w:r w:rsidRPr="00005453">
              <w:rPr>
                <w:b/>
                <w:bCs/>
                <w:color w:val="000000"/>
                <w:sz w:val="16"/>
                <w:szCs w:val="16"/>
              </w:rPr>
              <w:t>14,754,699</w:t>
            </w:r>
          </w:p>
        </w:tc>
        <w:tc>
          <w:tcPr>
            <w:tcW w:w="1276" w:type="dxa"/>
            <w:shd w:val="clear" w:color="auto" w:fill="auto"/>
            <w:noWrap/>
            <w:vAlign w:val="center"/>
            <w:hideMark/>
          </w:tcPr>
          <w:p w14:paraId="7BD213B6" w14:textId="61F03ACF" w:rsidR="00CD75F3" w:rsidRPr="00005453" w:rsidRDefault="00CD75F3" w:rsidP="00CD75F3">
            <w:pPr>
              <w:jc w:val="right"/>
              <w:rPr>
                <w:b/>
                <w:bCs/>
                <w:sz w:val="18"/>
                <w:szCs w:val="18"/>
                <w:lang w:eastAsia="tr-TR"/>
              </w:rPr>
            </w:pPr>
            <w:r w:rsidRPr="00005453">
              <w:rPr>
                <w:b/>
                <w:bCs/>
                <w:sz w:val="18"/>
                <w:szCs w:val="18"/>
              </w:rPr>
              <w:t>21.23</w:t>
            </w:r>
          </w:p>
        </w:tc>
        <w:tc>
          <w:tcPr>
            <w:tcW w:w="1418" w:type="dxa"/>
            <w:shd w:val="clear" w:color="auto" w:fill="auto"/>
            <w:noWrap/>
            <w:vAlign w:val="center"/>
            <w:hideMark/>
          </w:tcPr>
          <w:p w14:paraId="454B169E" w14:textId="04231753" w:rsidR="00CD75F3" w:rsidRPr="00005453" w:rsidRDefault="00CD75F3" w:rsidP="00CD75F3">
            <w:pPr>
              <w:jc w:val="right"/>
              <w:rPr>
                <w:b/>
                <w:bCs/>
                <w:sz w:val="18"/>
                <w:szCs w:val="18"/>
                <w:lang w:eastAsia="tr-TR"/>
              </w:rPr>
            </w:pPr>
            <w:r w:rsidRPr="00005453">
              <w:rPr>
                <w:b/>
                <w:bCs/>
                <w:color w:val="000000"/>
                <w:sz w:val="16"/>
                <w:szCs w:val="16"/>
              </w:rPr>
              <w:t>12,517,611</w:t>
            </w:r>
          </w:p>
        </w:tc>
        <w:tc>
          <w:tcPr>
            <w:tcW w:w="1276" w:type="dxa"/>
            <w:shd w:val="clear" w:color="auto" w:fill="auto"/>
            <w:noWrap/>
            <w:vAlign w:val="center"/>
            <w:hideMark/>
          </w:tcPr>
          <w:p w14:paraId="6CAF7BA5" w14:textId="0014ABC0" w:rsidR="00CD75F3" w:rsidRPr="00005453" w:rsidRDefault="00CD75F3" w:rsidP="00CD75F3">
            <w:pPr>
              <w:jc w:val="right"/>
              <w:rPr>
                <w:b/>
                <w:bCs/>
                <w:sz w:val="18"/>
                <w:szCs w:val="18"/>
                <w:lang w:eastAsia="tr-TR"/>
              </w:rPr>
            </w:pPr>
            <w:r w:rsidRPr="00005453">
              <w:rPr>
                <w:b/>
                <w:bCs/>
                <w:sz w:val="18"/>
                <w:szCs w:val="18"/>
              </w:rPr>
              <w:t>35.11</w:t>
            </w:r>
          </w:p>
        </w:tc>
      </w:tr>
      <w:tr w:rsidR="00CD75F3" w:rsidRPr="00005453" w14:paraId="5AE9FE10" w14:textId="77777777" w:rsidTr="00CD75F3">
        <w:trPr>
          <w:divId w:val="1778912826"/>
          <w:trHeight w:val="246"/>
        </w:trPr>
        <w:tc>
          <w:tcPr>
            <w:tcW w:w="3161" w:type="dxa"/>
            <w:shd w:val="clear" w:color="auto" w:fill="auto"/>
            <w:noWrap/>
            <w:vAlign w:val="center"/>
            <w:hideMark/>
          </w:tcPr>
          <w:p w14:paraId="375040EA" w14:textId="77777777" w:rsidR="00CD75F3" w:rsidRPr="00005453" w:rsidRDefault="00CD75F3" w:rsidP="00CD75F3">
            <w:pPr>
              <w:ind w:firstLineChars="200" w:firstLine="360"/>
              <w:rPr>
                <w:sz w:val="18"/>
                <w:szCs w:val="18"/>
                <w:lang w:eastAsia="tr-TR"/>
              </w:rPr>
            </w:pPr>
            <w:r w:rsidRPr="00005453">
              <w:rPr>
                <w:sz w:val="18"/>
                <w:szCs w:val="18"/>
                <w:lang w:eastAsia="tr-TR"/>
              </w:rPr>
              <w:t>Madencilik ve Taşocakçılığı</w:t>
            </w:r>
          </w:p>
        </w:tc>
        <w:tc>
          <w:tcPr>
            <w:tcW w:w="1370" w:type="dxa"/>
            <w:shd w:val="clear" w:color="auto" w:fill="auto"/>
            <w:noWrap/>
            <w:vAlign w:val="center"/>
            <w:hideMark/>
          </w:tcPr>
          <w:p w14:paraId="1CD72395" w14:textId="06B89037" w:rsidR="00CD75F3" w:rsidRPr="00005453" w:rsidRDefault="00CD75F3" w:rsidP="00CD75F3">
            <w:pPr>
              <w:jc w:val="right"/>
              <w:rPr>
                <w:sz w:val="18"/>
                <w:szCs w:val="18"/>
                <w:lang w:eastAsia="tr-TR"/>
              </w:rPr>
            </w:pPr>
            <w:r w:rsidRPr="00005453">
              <w:rPr>
                <w:sz w:val="18"/>
                <w:szCs w:val="18"/>
              </w:rPr>
              <w:t>3,555,456</w:t>
            </w:r>
          </w:p>
        </w:tc>
        <w:tc>
          <w:tcPr>
            <w:tcW w:w="1276" w:type="dxa"/>
            <w:shd w:val="clear" w:color="auto" w:fill="auto"/>
            <w:noWrap/>
            <w:vAlign w:val="center"/>
            <w:hideMark/>
          </w:tcPr>
          <w:p w14:paraId="047CC50D" w14:textId="07BBAB8A" w:rsidR="00CD75F3" w:rsidRPr="00005453" w:rsidRDefault="00CD75F3" w:rsidP="00CD75F3">
            <w:pPr>
              <w:jc w:val="right"/>
              <w:rPr>
                <w:sz w:val="18"/>
                <w:szCs w:val="18"/>
                <w:lang w:eastAsia="tr-TR"/>
              </w:rPr>
            </w:pPr>
            <w:r w:rsidRPr="00005453">
              <w:rPr>
                <w:sz w:val="18"/>
                <w:szCs w:val="18"/>
              </w:rPr>
              <w:t>5.11</w:t>
            </w:r>
          </w:p>
        </w:tc>
        <w:tc>
          <w:tcPr>
            <w:tcW w:w="1418" w:type="dxa"/>
            <w:shd w:val="clear" w:color="auto" w:fill="auto"/>
            <w:noWrap/>
            <w:vAlign w:val="center"/>
            <w:hideMark/>
          </w:tcPr>
          <w:p w14:paraId="41A046DC" w14:textId="211A1D23" w:rsidR="00CD75F3" w:rsidRPr="00005453" w:rsidRDefault="00CD75F3" w:rsidP="00CD75F3">
            <w:pPr>
              <w:jc w:val="right"/>
              <w:rPr>
                <w:sz w:val="18"/>
                <w:szCs w:val="18"/>
                <w:lang w:eastAsia="tr-TR"/>
              </w:rPr>
            </w:pPr>
            <w:r w:rsidRPr="00005453">
              <w:rPr>
                <w:sz w:val="18"/>
                <w:szCs w:val="18"/>
              </w:rPr>
              <w:t>2,738,062</w:t>
            </w:r>
          </w:p>
        </w:tc>
        <w:tc>
          <w:tcPr>
            <w:tcW w:w="1276" w:type="dxa"/>
            <w:shd w:val="clear" w:color="auto" w:fill="auto"/>
            <w:noWrap/>
            <w:vAlign w:val="center"/>
            <w:hideMark/>
          </w:tcPr>
          <w:p w14:paraId="3CCB362C" w14:textId="0490FFE8" w:rsidR="00CD75F3" w:rsidRPr="00005453" w:rsidRDefault="00CD75F3" w:rsidP="00CD75F3">
            <w:pPr>
              <w:jc w:val="right"/>
              <w:rPr>
                <w:sz w:val="18"/>
                <w:szCs w:val="18"/>
                <w:lang w:eastAsia="tr-TR"/>
              </w:rPr>
            </w:pPr>
            <w:r w:rsidRPr="00005453">
              <w:rPr>
                <w:sz w:val="18"/>
                <w:szCs w:val="18"/>
              </w:rPr>
              <w:t>7.68</w:t>
            </w:r>
          </w:p>
        </w:tc>
      </w:tr>
      <w:tr w:rsidR="00CD75F3" w:rsidRPr="00005453" w14:paraId="23F31F3F" w14:textId="77777777" w:rsidTr="00CD75F3">
        <w:trPr>
          <w:divId w:val="1778912826"/>
          <w:trHeight w:val="246"/>
        </w:trPr>
        <w:tc>
          <w:tcPr>
            <w:tcW w:w="3161" w:type="dxa"/>
            <w:shd w:val="clear" w:color="auto" w:fill="auto"/>
            <w:noWrap/>
            <w:vAlign w:val="center"/>
            <w:hideMark/>
          </w:tcPr>
          <w:p w14:paraId="5DC4A1F9" w14:textId="77777777" w:rsidR="00CD75F3" w:rsidRPr="00005453" w:rsidRDefault="00CD75F3" w:rsidP="00CD75F3">
            <w:pPr>
              <w:ind w:firstLineChars="200" w:firstLine="360"/>
              <w:rPr>
                <w:sz w:val="18"/>
                <w:szCs w:val="18"/>
                <w:lang w:eastAsia="tr-TR"/>
              </w:rPr>
            </w:pPr>
            <w:r w:rsidRPr="00005453">
              <w:rPr>
                <w:sz w:val="18"/>
                <w:szCs w:val="18"/>
                <w:lang w:eastAsia="tr-TR"/>
              </w:rPr>
              <w:t>İmalat Sanayi</w:t>
            </w:r>
          </w:p>
        </w:tc>
        <w:tc>
          <w:tcPr>
            <w:tcW w:w="1370" w:type="dxa"/>
            <w:shd w:val="clear" w:color="auto" w:fill="auto"/>
            <w:noWrap/>
            <w:vAlign w:val="center"/>
            <w:hideMark/>
          </w:tcPr>
          <w:p w14:paraId="5B86B874" w14:textId="67C08913" w:rsidR="00CD75F3" w:rsidRPr="00005453" w:rsidRDefault="00CD75F3" w:rsidP="00CD75F3">
            <w:pPr>
              <w:jc w:val="right"/>
              <w:rPr>
                <w:sz w:val="18"/>
                <w:szCs w:val="18"/>
                <w:lang w:eastAsia="tr-TR"/>
              </w:rPr>
            </w:pPr>
            <w:r w:rsidRPr="00005453">
              <w:rPr>
                <w:sz w:val="18"/>
                <w:szCs w:val="18"/>
              </w:rPr>
              <w:t>9,661,995</w:t>
            </w:r>
          </w:p>
        </w:tc>
        <w:tc>
          <w:tcPr>
            <w:tcW w:w="1276" w:type="dxa"/>
            <w:shd w:val="clear" w:color="auto" w:fill="auto"/>
            <w:noWrap/>
            <w:vAlign w:val="center"/>
            <w:hideMark/>
          </w:tcPr>
          <w:p w14:paraId="5A5F22AA" w14:textId="19CCC0D7" w:rsidR="00CD75F3" w:rsidRPr="00005453" w:rsidRDefault="00CD75F3" w:rsidP="00CD75F3">
            <w:pPr>
              <w:jc w:val="right"/>
              <w:rPr>
                <w:sz w:val="18"/>
                <w:szCs w:val="18"/>
                <w:lang w:eastAsia="tr-TR"/>
              </w:rPr>
            </w:pPr>
            <w:r w:rsidRPr="00005453">
              <w:rPr>
                <w:sz w:val="18"/>
                <w:szCs w:val="18"/>
              </w:rPr>
              <w:t>13.90</w:t>
            </w:r>
          </w:p>
        </w:tc>
        <w:tc>
          <w:tcPr>
            <w:tcW w:w="1418" w:type="dxa"/>
            <w:shd w:val="clear" w:color="auto" w:fill="auto"/>
            <w:noWrap/>
            <w:vAlign w:val="center"/>
            <w:hideMark/>
          </w:tcPr>
          <w:p w14:paraId="0EC1BC83" w14:textId="52FE4C19" w:rsidR="00CD75F3" w:rsidRPr="00005453" w:rsidRDefault="00CD75F3" w:rsidP="00CD75F3">
            <w:pPr>
              <w:jc w:val="right"/>
              <w:rPr>
                <w:sz w:val="18"/>
                <w:szCs w:val="18"/>
                <w:lang w:eastAsia="tr-TR"/>
              </w:rPr>
            </w:pPr>
            <w:r w:rsidRPr="00005453">
              <w:rPr>
                <w:sz w:val="18"/>
                <w:szCs w:val="18"/>
              </w:rPr>
              <w:t>9,012,523</w:t>
            </w:r>
          </w:p>
        </w:tc>
        <w:tc>
          <w:tcPr>
            <w:tcW w:w="1276" w:type="dxa"/>
            <w:shd w:val="clear" w:color="auto" w:fill="auto"/>
            <w:noWrap/>
            <w:vAlign w:val="center"/>
            <w:hideMark/>
          </w:tcPr>
          <w:p w14:paraId="39699E85" w14:textId="0541D43E" w:rsidR="00CD75F3" w:rsidRPr="00005453" w:rsidRDefault="00CD75F3" w:rsidP="00CD75F3">
            <w:pPr>
              <w:jc w:val="right"/>
              <w:rPr>
                <w:sz w:val="18"/>
                <w:szCs w:val="18"/>
                <w:lang w:eastAsia="tr-TR"/>
              </w:rPr>
            </w:pPr>
            <w:r w:rsidRPr="00005453">
              <w:rPr>
                <w:sz w:val="18"/>
                <w:szCs w:val="18"/>
              </w:rPr>
              <w:t>25.28</w:t>
            </w:r>
          </w:p>
        </w:tc>
      </w:tr>
      <w:tr w:rsidR="00CD75F3" w:rsidRPr="00005453" w14:paraId="71B9AB6A" w14:textId="77777777" w:rsidTr="00CD75F3">
        <w:trPr>
          <w:divId w:val="1778912826"/>
          <w:trHeight w:val="246"/>
        </w:trPr>
        <w:tc>
          <w:tcPr>
            <w:tcW w:w="3161" w:type="dxa"/>
            <w:shd w:val="clear" w:color="auto" w:fill="auto"/>
            <w:noWrap/>
            <w:vAlign w:val="center"/>
            <w:hideMark/>
          </w:tcPr>
          <w:p w14:paraId="41027FF0" w14:textId="77777777" w:rsidR="00CD75F3" w:rsidRPr="00005453" w:rsidRDefault="00CD75F3" w:rsidP="00CD75F3">
            <w:pPr>
              <w:ind w:firstLineChars="200" w:firstLine="360"/>
              <w:rPr>
                <w:sz w:val="18"/>
                <w:szCs w:val="18"/>
                <w:lang w:eastAsia="tr-TR"/>
              </w:rPr>
            </w:pPr>
            <w:r w:rsidRPr="00005453">
              <w:rPr>
                <w:sz w:val="18"/>
                <w:szCs w:val="18"/>
                <w:lang w:eastAsia="tr-TR"/>
              </w:rPr>
              <w:t>Elektrik, Gaz, Su</w:t>
            </w:r>
          </w:p>
        </w:tc>
        <w:tc>
          <w:tcPr>
            <w:tcW w:w="1370" w:type="dxa"/>
            <w:shd w:val="clear" w:color="auto" w:fill="auto"/>
            <w:noWrap/>
            <w:vAlign w:val="center"/>
            <w:hideMark/>
          </w:tcPr>
          <w:p w14:paraId="17F3020A" w14:textId="1C843093" w:rsidR="00CD75F3" w:rsidRPr="00005453" w:rsidRDefault="00CD75F3" w:rsidP="00CD75F3">
            <w:pPr>
              <w:jc w:val="right"/>
              <w:rPr>
                <w:sz w:val="18"/>
                <w:szCs w:val="18"/>
                <w:lang w:eastAsia="tr-TR"/>
              </w:rPr>
            </w:pPr>
            <w:r w:rsidRPr="00005453">
              <w:rPr>
                <w:sz w:val="18"/>
                <w:szCs w:val="18"/>
              </w:rPr>
              <w:t>1,537,248</w:t>
            </w:r>
          </w:p>
        </w:tc>
        <w:tc>
          <w:tcPr>
            <w:tcW w:w="1276" w:type="dxa"/>
            <w:shd w:val="clear" w:color="auto" w:fill="auto"/>
            <w:noWrap/>
            <w:vAlign w:val="center"/>
            <w:hideMark/>
          </w:tcPr>
          <w:p w14:paraId="60A20A07" w14:textId="6D9E3D7F" w:rsidR="00CD75F3" w:rsidRPr="00005453" w:rsidRDefault="00CD75F3" w:rsidP="00CD75F3">
            <w:pPr>
              <w:jc w:val="right"/>
              <w:rPr>
                <w:sz w:val="18"/>
                <w:szCs w:val="18"/>
                <w:lang w:eastAsia="tr-TR"/>
              </w:rPr>
            </w:pPr>
            <w:r w:rsidRPr="00005453">
              <w:rPr>
                <w:sz w:val="18"/>
                <w:szCs w:val="18"/>
              </w:rPr>
              <w:t>2.21</w:t>
            </w:r>
          </w:p>
        </w:tc>
        <w:tc>
          <w:tcPr>
            <w:tcW w:w="1418" w:type="dxa"/>
            <w:shd w:val="clear" w:color="auto" w:fill="auto"/>
            <w:noWrap/>
            <w:vAlign w:val="center"/>
            <w:hideMark/>
          </w:tcPr>
          <w:p w14:paraId="4367AAED" w14:textId="1D5C11FB" w:rsidR="00CD75F3" w:rsidRPr="00005453" w:rsidRDefault="00CD75F3" w:rsidP="00CD75F3">
            <w:pPr>
              <w:jc w:val="right"/>
              <w:rPr>
                <w:sz w:val="18"/>
                <w:szCs w:val="18"/>
                <w:lang w:eastAsia="tr-TR"/>
              </w:rPr>
            </w:pPr>
            <w:r w:rsidRPr="00005453">
              <w:rPr>
                <w:sz w:val="18"/>
                <w:szCs w:val="18"/>
              </w:rPr>
              <w:t>767,026</w:t>
            </w:r>
          </w:p>
        </w:tc>
        <w:tc>
          <w:tcPr>
            <w:tcW w:w="1276" w:type="dxa"/>
            <w:shd w:val="clear" w:color="auto" w:fill="auto"/>
            <w:noWrap/>
            <w:vAlign w:val="center"/>
            <w:hideMark/>
          </w:tcPr>
          <w:p w14:paraId="7B150DA7" w14:textId="2965AB18" w:rsidR="00CD75F3" w:rsidRPr="00005453" w:rsidRDefault="00CD75F3" w:rsidP="00CD75F3">
            <w:pPr>
              <w:jc w:val="right"/>
              <w:rPr>
                <w:sz w:val="18"/>
                <w:szCs w:val="18"/>
                <w:lang w:eastAsia="tr-TR"/>
              </w:rPr>
            </w:pPr>
            <w:r w:rsidRPr="00005453">
              <w:rPr>
                <w:sz w:val="18"/>
                <w:szCs w:val="18"/>
              </w:rPr>
              <w:t>2.15</w:t>
            </w:r>
          </w:p>
        </w:tc>
      </w:tr>
      <w:tr w:rsidR="00CD75F3" w:rsidRPr="00005453" w14:paraId="6F4FB850" w14:textId="77777777" w:rsidTr="00CD75F3">
        <w:trPr>
          <w:divId w:val="1778912826"/>
          <w:trHeight w:val="246"/>
        </w:trPr>
        <w:tc>
          <w:tcPr>
            <w:tcW w:w="3161" w:type="dxa"/>
            <w:shd w:val="clear" w:color="auto" w:fill="auto"/>
            <w:vAlign w:val="center"/>
            <w:hideMark/>
          </w:tcPr>
          <w:p w14:paraId="7AF1E323" w14:textId="77777777" w:rsidR="00CD75F3" w:rsidRPr="00005453" w:rsidRDefault="00CD75F3" w:rsidP="00CD75F3">
            <w:pPr>
              <w:rPr>
                <w:b/>
                <w:bCs/>
                <w:sz w:val="18"/>
                <w:szCs w:val="18"/>
                <w:lang w:eastAsia="tr-TR"/>
              </w:rPr>
            </w:pPr>
            <w:r w:rsidRPr="00005453">
              <w:rPr>
                <w:b/>
                <w:bCs/>
                <w:sz w:val="18"/>
                <w:szCs w:val="18"/>
                <w:lang w:eastAsia="tr-TR"/>
              </w:rPr>
              <w:t>İnşaat</w:t>
            </w:r>
          </w:p>
        </w:tc>
        <w:tc>
          <w:tcPr>
            <w:tcW w:w="1370" w:type="dxa"/>
            <w:shd w:val="clear" w:color="auto" w:fill="auto"/>
            <w:noWrap/>
            <w:vAlign w:val="center"/>
            <w:hideMark/>
          </w:tcPr>
          <w:p w14:paraId="2CA3A9A1" w14:textId="0356CC70" w:rsidR="00CD75F3" w:rsidRPr="00005453" w:rsidRDefault="00CD75F3" w:rsidP="00CD75F3">
            <w:pPr>
              <w:jc w:val="right"/>
              <w:rPr>
                <w:b/>
                <w:bCs/>
                <w:sz w:val="18"/>
                <w:szCs w:val="18"/>
                <w:lang w:eastAsia="tr-TR"/>
              </w:rPr>
            </w:pPr>
            <w:r w:rsidRPr="00005453">
              <w:rPr>
                <w:b/>
                <w:bCs/>
                <w:sz w:val="18"/>
                <w:szCs w:val="18"/>
              </w:rPr>
              <w:t>30,303,928</w:t>
            </w:r>
          </w:p>
        </w:tc>
        <w:tc>
          <w:tcPr>
            <w:tcW w:w="1276" w:type="dxa"/>
            <w:shd w:val="clear" w:color="auto" w:fill="auto"/>
            <w:noWrap/>
            <w:vAlign w:val="center"/>
            <w:hideMark/>
          </w:tcPr>
          <w:p w14:paraId="1DAF5F54" w14:textId="3F54B983" w:rsidR="00CD75F3" w:rsidRPr="00005453" w:rsidRDefault="00CD75F3" w:rsidP="00CD75F3">
            <w:pPr>
              <w:jc w:val="right"/>
              <w:rPr>
                <w:b/>
                <w:bCs/>
                <w:sz w:val="18"/>
                <w:szCs w:val="18"/>
                <w:lang w:eastAsia="tr-TR"/>
              </w:rPr>
            </w:pPr>
            <w:r w:rsidRPr="00005453">
              <w:rPr>
                <w:b/>
                <w:bCs/>
                <w:sz w:val="18"/>
                <w:szCs w:val="18"/>
              </w:rPr>
              <w:t>43.59</w:t>
            </w:r>
          </w:p>
        </w:tc>
        <w:tc>
          <w:tcPr>
            <w:tcW w:w="1418" w:type="dxa"/>
            <w:shd w:val="clear" w:color="auto" w:fill="auto"/>
            <w:noWrap/>
            <w:vAlign w:val="center"/>
            <w:hideMark/>
          </w:tcPr>
          <w:p w14:paraId="6BE8EB2F" w14:textId="16826F69" w:rsidR="00CD75F3" w:rsidRPr="00005453" w:rsidRDefault="00CD75F3" w:rsidP="00CD75F3">
            <w:pPr>
              <w:jc w:val="right"/>
              <w:rPr>
                <w:b/>
                <w:bCs/>
                <w:sz w:val="18"/>
                <w:szCs w:val="18"/>
                <w:lang w:eastAsia="tr-TR"/>
              </w:rPr>
            </w:pPr>
            <w:r w:rsidRPr="00005453">
              <w:rPr>
                <w:b/>
                <w:bCs/>
                <w:sz w:val="18"/>
                <w:szCs w:val="18"/>
              </w:rPr>
              <w:t>3,362,749</w:t>
            </w:r>
          </w:p>
        </w:tc>
        <w:tc>
          <w:tcPr>
            <w:tcW w:w="1276" w:type="dxa"/>
            <w:shd w:val="clear" w:color="auto" w:fill="auto"/>
            <w:noWrap/>
            <w:vAlign w:val="center"/>
            <w:hideMark/>
          </w:tcPr>
          <w:p w14:paraId="619369D3" w14:textId="774C140D" w:rsidR="00CD75F3" w:rsidRPr="00005453" w:rsidRDefault="00CD75F3" w:rsidP="00CD75F3">
            <w:pPr>
              <w:jc w:val="right"/>
              <w:rPr>
                <w:b/>
                <w:bCs/>
                <w:sz w:val="18"/>
                <w:szCs w:val="18"/>
                <w:lang w:eastAsia="tr-TR"/>
              </w:rPr>
            </w:pPr>
            <w:r w:rsidRPr="00005453">
              <w:rPr>
                <w:b/>
                <w:bCs/>
                <w:sz w:val="18"/>
                <w:szCs w:val="18"/>
              </w:rPr>
              <w:t>9.43</w:t>
            </w:r>
          </w:p>
        </w:tc>
      </w:tr>
      <w:tr w:rsidR="00CD75F3" w:rsidRPr="00005453" w14:paraId="140A80D9" w14:textId="77777777" w:rsidTr="00CD75F3">
        <w:trPr>
          <w:divId w:val="1778912826"/>
          <w:trHeight w:val="246"/>
        </w:trPr>
        <w:tc>
          <w:tcPr>
            <w:tcW w:w="3161" w:type="dxa"/>
            <w:shd w:val="clear" w:color="auto" w:fill="auto"/>
            <w:vAlign w:val="center"/>
            <w:hideMark/>
          </w:tcPr>
          <w:p w14:paraId="605ECE25" w14:textId="77777777" w:rsidR="00CD75F3" w:rsidRPr="00005453" w:rsidRDefault="00CD75F3" w:rsidP="00CD75F3">
            <w:pPr>
              <w:rPr>
                <w:b/>
                <w:bCs/>
                <w:sz w:val="18"/>
                <w:szCs w:val="18"/>
                <w:lang w:eastAsia="tr-TR"/>
              </w:rPr>
            </w:pPr>
            <w:r w:rsidRPr="00005453">
              <w:rPr>
                <w:b/>
                <w:bCs/>
                <w:sz w:val="18"/>
                <w:szCs w:val="18"/>
                <w:lang w:eastAsia="tr-TR"/>
              </w:rPr>
              <w:t>Hizmetler</w:t>
            </w:r>
          </w:p>
        </w:tc>
        <w:tc>
          <w:tcPr>
            <w:tcW w:w="1370" w:type="dxa"/>
            <w:shd w:val="clear" w:color="auto" w:fill="auto"/>
            <w:noWrap/>
            <w:vAlign w:val="center"/>
            <w:hideMark/>
          </w:tcPr>
          <w:p w14:paraId="30174FAA" w14:textId="665DD29F" w:rsidR="00CD75F3" w:rsidRPr="00005453" w:rsidRDefault="00CD75F3" w:rsidP="00CD75F3">
            <w:pPr>
              <w:jc w:val="right"/>
              <w:rPr>
                <w:b/>
                <w:bCs/>
                <w:sz w:val="18"/>
                <w:szCs w:val="18"/>
                <w:lang w:eastAsia="tr-TR"/>
              </w:rPr>
            </w:pPr>
            <w:r w:rsidRPr="00005453">
              <w:rPr>
                <w:b/>
                <w:bCs/>
                <w:color w:val="000000"/>
                <w:sz w:val="18"/>
                <w:szCs w:val="16"/>
              </w:rPr>
              <w:t>19,809,690</w:t>
            </w:r>
          </w:p>
        </w:tc>
        <w:tc>
          <w:tcPr>
            <w:tcW w:w="1276" w:type="dxa"/>
            <w:shd w:val="clear" w:color="auto" w:fill="auto"/>
            <w:noWrap/>
            <w:vAlign w:val="center"/>
            <w:hideMark/>
          </w:tcPr>
          <w:p w14:paraId="0957E7A8" w14:textId="3F144FDD" w:rsidR="00CD75F3" w:rsidRPr="00005453" w:rsidRDefault="00CD75F3" w:rsidP="00CD75F3">
            <w:pPr>
              <w:jc w:val="right"/>
              <w:rPr>
                <w:b/>
                <w:bCs/>
                <w:sz w:val="18"/>
                <w:szCs w:val="18"/>
                <w:lang w:eastAsia="tr-TR"/>
              </w:rPr>
            </w:pPr>
            <w:r w:rsidRPr="00005453">
              <w:rPr>
                <w:b/>
                <w:bCs/>
                <w:sz w:val="18"/>
                <w:szCs w:val="18"/>
              </w:rPr>
              <w:t>28.50</w:t>
            </w:r>
          </w:p>
        </w:tc>
        <w:tc>
          <w:tcPr>
            <w:tcW w:w="1418" w:type="dxa"/>
            <w:shd w:val="clear" w:color="auto" w:fill="auto"/>
            <w:noWrap/>
            <w:vAlign w:val="center"/>
            <w:hideMark/>
          </w:tcPr>
          <w:p w14:paraId="0C5EC2AB" w14:textId="40EB7E0D" w:rsidR="00CD75F3" w:rsidRPr="00005453" w:rsidRDefault="00CD75F3" w:rsidP="00CD75F3">
            <w:pPr>
              <w:jc w:val="right"/>
              <w:rPr>
                <w:b/>
                <w:bCs/>
                <w:sz w:val="18"/>
                <w:szCs w:val="18"/>
                <w:lang w:eastAsia="tr-TR"/>
              </w:rPr>
            </w:pPr>
            <w:r w:rsidRPr="00005453">
              <w:rPr>
                <w:b/>
                <w:bCs/>
                <w:color w:val="000000"/>
                <w:sz w:val="18"/>
                <w:szCs w:val="16"/>
              </w:rPr>
              <w:t>16,798,928</w:t>
            </w:r>
          </w:p>
        </w:tc>
        <w:tc>
          <w:tcPr>
            <w:tcW w:w="1276" w:type="dxa"/>
            <w:shd w:val="clear" w:color="auto" w:fill="auto"/>
            <w:noWrap/>
            <w:vAlign w:val="center"/>
            <w:hideMark/>
          </w:tcPr>
          <w:p w14:paraId="2A5EDB29" w14:textId="78DBCE4D" w:rsidR="00CD75F3" w:rsidRPr="00005453" w:rsidRDefault="00CD75F3" w:rsidP="00CD75F3">
            <w:pPr>
              <w:jc w:val="right"/>
              <w:rPr>
                <w:b/>
                <w:bCs/>
                <w:sz w:val="18"/>
                <w:szCs w:val="18"/>
                <w:lang w:eastAsia="tr-TR"/>
              </w:rPr>
            </w:pPr>
            <w:r w:rsidRPr="00005453">
              <w:rPr>
                <w:b/>
                <w:bCs/>
                <w:sz w:val="18"/>
                <w:szCs w:val="18"/>
              </w:rPr>
              <w:t>47.12</w:t>
            </w:r>
          </w:p>
        </w:tc>
      </w:tr>
      <w:tr w:rsidR="00CD75F3" w:rsidRPr="00005453" w14:paraId="780AD550" w14:textId="77777777" w:rsidTr="00CD75F3">
        <w:trPr>
          <w:divId w:val="1778912826"/>
          <w:trHeight w:val="246"/>
        </w:trPr>
        <w:tc>
          <w:tcPr>
            <w:tcW w:w="3161" w:type="dxa"/>
            <w:shd w:val="clear" w:color="auto" w:fill="auto"/>
            <w:noWrap/>
            <w:vAlign w:val="center"/>
            <w:hideMark/>
          </w:tcPr>
          <w:p w14:paraId="71FDCD36" w14:textId="77777777" w:rsidR="00CD75F3" w:rsidRPr="00005453" w:rsidRDefault="00CD75F3" w:rsidP="00CD75F3">
            <w:pPr>
              <w:ind w:firstLineChars="200" w:firstLine="360"/>
              <w:rPr>
                <w:sz w:val="18"/>
                <w:szCs w:val="18"/>
                <w:lang w:eastAsia="tr-TR"/>
              </w:rPr>
            </w:pPr>
            <w:r w:rsidRPr="00005453">
              <w:rPr>
                <w:sz w:val="18"/>
                <w:szCs w:val="18"/>
                <w:lang w:eastAsia="tr-TR"/>
              </w:rPr>
              <w:t>Toptan ve Perakende Ticaret</w:t>
            </w:r>
          </w:p>
        </w:tc>
        <w:tc>
          <w:tcPr>
            <w:tcW w:w="1370" w:type="dxa"/>
            <w:shd w:val="clear" w:color="auto" w:fill="auto"/>
            <w:noWrap/>
            <w:vAlign w:val="center"/>
            <w:hideMark/>
          </w:tcPr>
          <w:p w14:paraId="30B67C4A" w14:textId="72CBAB32" w:rsidR="00CD75F3" w:rsidRPr="00005453" w:rsidRDefault="00CD75F3" w:rsidP="00CD75F3">
            <w:pPr>
              <w:jc w:val="right"/>
              <w:rPr>
                <w:sz w:val="18"/>
                <w:szCs w:val="18"/>
                <w:lang w:eastAsia="tr-TR"/>
              </w:rPr>
            </w:pPr>
            <w:r w:rsidRPr="00005453">
              <w:rPr>
                <w:sz w:val="18"/>
                <w:szCs w:val="18"/>
              </w:rPr>
              <w:t>12,538,847</w:t>
            </w:r>
          </w:p>
        </w:tc>
        <w:tc>
          <w:tcPr>
            <w:tcW w:w="1276" w:type="dxa"/>
            <w:shd w:val="clear" w:color="auto" w:fill="auto"/>
            <w:noWrap/>
            <w:vAlign w:val="center"/>
            <w:hideMark/>
          </w:tcPr>
          <w:p w14:paraId="63CAFD78" w14:textId="0F469E09" w:rsidR="00CD75F3" w:rsidRPr="00005453" w:rsidRDefault="00CD75F3" w:rsidP="00CD75F3">
            <w:pPr>
              <w:jc w:val="right"/>
              <w:rPr>
                <w:sz w:val="18"/>
                <w:szCs w:val="18"/>
                <w:lang w:eastAsia="tr-TR"/>
              </w:rPr>
            </w:pPr>
            <w:r w:rsidRPr="00005453">
              <w:rPr>
                <w:sz w:val="18"/>
                <w:szCs w:val="18"/>
              </w:rPr>
              <w:t>18.04</w:t>
            </w:r>
          </w:p>
        </w:tc>
        <w:tc>
          <w:tcPr>
            <w:tcW w:w="1418" w:type="dxa"/>
            <w:shd w:val="clear" w:color="auto" w:fill="auto"/>
            <w:noWrap/>
            <w:vAlign w:val="center"/>
            <w:hideMark/>
          </w:tcPr>
          <w:p w14:paraId="7D6AD595" w14:textId="094BEDBE" w:rsidR="00CD75F3" w:rsidRPr="00005453" w:rsidRDefault="00CD75F3" w:rsidP="00CD75F3">
            <w:pPr>
              <w:jc w:val="right"/>
              <w:rPr>
                <w:sz w:val="18"/>
                <w:szCs w:val="18"/>
                <w:lang w:eastAsia="tr-TR"/>
              </w:rPr>
            </w:pPr>
            <w:r w:rsidRPr="00005453">
              <w:rPr>
                <w:sz w:val="18"/>
                <w:szCs w:val="18"/>
              </w:rPr>
              <w:t>7,059,599</w:t>
            </w:r>
          </w:p>
        </w:tc>
        <w:tc>
          <w:tcPr>
            <w:tcW w:w="1276" w:type="dxa"/>
            <w:shd w:val="clear" w:color="auto" w:fill="auto"/>
            <w:noWrap/>
            <w:vAlign w:val="center"/>
            <w:hideMark/>
          </w:tcPr>
          <w:p w14:paraId="0690B20A" w14:textId="42C2F637" w:rsidR="00CD75F3" w:rsidRPr="00005453" w:rsidRDefault="00CD75F3" w:rsidP="00CD75F3">
            <w:pPr>
              <w:jc w:val="right"/>
              <w:rPr>
                <w:sz w:val="18"/>
                <w:szCs w:val="18"/>
                <w:lang w:eastAsia="tr-TR"/>
              </w:rPr>
            </w:pPr>
            <w:r w:rsidRPr="00005453">
              <w:rPr>
                <w:sz w:val="18"/>
                <w:szCs w:val="18"/>
              </w:rPr>
              <w:t>19.80</w:t>
            </w:r>
          </w:p>
        </w:tc>
      </w:tr>
      <w:tr w:rsidR="00CD75F3" w:rsidRPr="00005453" w14:paraId="74E8FEA7" w14:textId="77777777" w:rsidTr="00CD75F3">
        <w:trPr>
          <w:divId w:val="1778912826"/>
          <w:trHeight w:val="246"/>
        </w:trPr>
        <w:tc>
          <w:tcPr>
            <w:tcW w:w="3161" w:type="dxa"/>
            <w:shd w:val="clear" w:color="auto" w:fill="auto"/>
            <w:noWrap/>
            <w:vAlign w:val="center"/>
            <w:hideMark/>
          </w:tcPr>
          <w:p w14:paraId="52A65A4B" w14:textId="77777777" w:rsidR="00CD75F3" w:rsidRPr="00005453" w:rsidRDefault="00CD75F3" w:rsidP="00CD75F3">
            <w:pPr>
              <w:ind w:firstLineChars="200" w:firstLine="360"/>
              <w:rPr>
                <w:sz w:val="18"/>
                <w:szCs w:val="18"/>
                <w:lang w:eastAsia="tr-TR"/>
              </w:rPr>
            </w:pPr>
            <w:r w:rsidRPr="00005453">
              <w:rPr>
                <w:sz w:val="18"/>
                <w:szCs w:val="18"/>
                <w:lang w:eastAsia="tr-TR"/>
              </w:rPr>
              <w:t>Otel ve Lokanta Hizmetleri</w:t>
            </w:r>
          </w:p>
        </w:tc>
        <w:tc>
          <w:tcPr>
            <w:tcW w:w="1370" w:type="dxa"/>
            <w:shd w:val="clear" w:color="auto" w:fill="auto"/>
            <w:noWrap/>
            <w:vAlign w:val="center"/>
            <w:hideMark/>
          </w:tcPr>
          <w:p w14:paraId="52E2CF61" w14:textId="78F65F30" w:rsidR="00CD75F3" w:rsidRPr="00005453" w:rsidRDefault="00CD75F3" w:rsidP="00CD75F3">
            <w:pPr>
              <w:jc w:val="right"/>
              <w:rPr>
                <w:sz w:val="18"/>
                <w:szCs w:val="18"/>
                <w:lang w:eastAsia="tr-TR"/>
              </w:rPr>
            </w:pPr>
            <w:r w:rsidRPr="00005453">
              <w:rPr>
                <w:sz w:val="18"/>
                <w:szCs w:val="18"/>
              </w:rPr>
              <w:t>920,903</w:t>
            </w:r>
          </w:p>
        </w:tc>
        <w:tc>
          <w:tcPr>
            <w:tcW w:w="1276" w:type="dxa"/>
            <w:shd w:val="clear" w:color="auto" w:fill="auto"/>
            <w:noWrap/>
            <w:vAlign w:val="center"/>
            <w:hideMark/>
          </w:tcPr>
          <w:p w14:paraId="623A97CD" w14:textId="308E1B28" w:rsidR="00CD75F3" w:rsidRPr="00005453" w:rsidRDefault="00CD75F3" w:rsidP="00CD75F3">
            <w:pPr>
              <w:jc w:val="right"/>
              <w:rPr>
                <w:sz w:val="18"/>
                <w:szCs w:val="18"/>
                <w:lang w:eastAsia="tr-TR"/>
              </w:rPr>
            </w:pPr>
            <w:r w:rsidRPr="00005453">
              <w:rPr>
                <w:sz w:val="18"/>
                <w:szCs w:val="18"/>
              </w:rPr>
              <w:t>1.32</w:t>
            </w:r>
          </w:p>
        </w:tc>
        <w:tc>
          <w:tcPr>
            <w:tcW w:w="1418" w:type="dxa"/>
            <w:shd w:val="clear" w:color="auto" w:fill="auto"/>
            <w:noWrap/>
            <w:vAlign w:val="center"/>
            <w:hideMark/>
          </w:tcPr>
          <w:p w14:paraId="7CDE6BF6" w14:textId="676108E7" w:rsidR="00CD75F3" w:rsidRPr="00005453" w:rsidRDefault="00CD75F3" w:rsidP="00CD75F3">
            <w:pPr>
              <w:jc w:val="right"/>
              <w:rPr>
                <w:sz w:val="18"/>
                <w:szCs w:val="18"/>
                <w:lang w:eastAsia="tr-TR"/>
              </w:rPr>
            </w:pPr>
            <w:r w:rsidRPr="00005453">
              <w:rPr>
                <w:sz w:val="18"/>
                <w:szCs w:val="18"/>
              </w:rPr>
              <w:t>485,524</w:t>
            </w:r>
          </w:p>
        </w:tc>
        <w:tc>
          <w:tcPr>
            <w:tcW w:w="1276" w:type="dxa"/>
            <w:shd w:val="clear" w:color="auto" w:fill="auto"/>
            <w:noWrap/>
            <w:vAlign w:val="center"/>
            <w:hideMark/>
          </w:tcPr>
          <w:p w14:paraId="7BE0AA0F" w14:textId="50C41DA2" w:rsidR="00CD75F3" w:rsidRPr="00005453" w:rsidRDefault="00CD75F3" w:rsidP="00CD75F3">
            <w:pPr>
              <w:jc w:val="right"/>
              <w:rPr>
                <w:sz w:val="18"/>
                <w:szCs w:val="18"/>
                <w:lang w:eastAsia="tr-TR"/>
              </w:rPr>
            </w:pPr>
            <w:r w:rsidRPr="00005453">
              <w:rPr>
                <w:sz w:val="18"/>
                <w:szCs w:val="18"/>
              </w:rPr>
              <w:t>1.36</w:t>
            </w:r>
          </w:p>
        </w:tc>
      </w:tr>
      <w:tr w:rsidR="00CD75F3" w:rsidRPr="00005453" w14:paraId="6B77F5A6" w14:textId="77777777" w:rsidTr="00CD75F3">
        <w:trPr>
          <w:divId w:val="1778912826"/>
          <w:trHeight w:val="246"/>
        </w:trPr>
        <w:tc>
          <w:tcPr>
            <w:tcW w:w="3161" w:type="dxa"/>
            <w:shd w:val="clear" w:color="auto" w:fill="auto"/>
            <w:noWrap/>
            <w:vAlign w:val="center"/>
            <w:hideMark/>
          </w:tcPr>
          <w:p w14:paraId="297E3A97" w14:textId="77777777" w:rsidR="00CD75F3" w:rsidRPr="00005453" w:rsidRDefault="00CD75F3" w:rsidP="00CD75F3">
            <w:pPr>
              <w:ind w:firstLineChars="200" w:firstLine="360"/>
              <w:rPr>
                <w:sz w:val="18"/>
                <w:szCs w:val="18"/>
                <w:lang w:eastAsia="tr-TR"/>
              </w:rPr>
            </w:pPr>
            <w:r w:rsidRPr="00005453">
              <w:rPr>
                <w:sz w:val="18"/>
                <w:szCs w:val="18"/>
                <w:lang w:eastAsia="tr-TR"/>
              </w:rPr>
              <w:t>Ulaştırma ve Haberleşme</w:t>
            </w:r>
          </w:p>
        </w:tc>
        <w:tc>
          <w:tcPr>
            <w:tcW w:w="1370" w:type="dxa"/>
            <w:shd w:val="clear" w:color="auto" w:fill="auto"/>
            <w:noWrap/>
            <w:vAlign w:val="center"/>
            <w:hideMark/>
          </w:tcPr>
          <w:p w14:paraId="6A9A7850" w14:textId="53B03B7A" w:rsidR="00CD75F3" w:rsidRPr="00005453" w:rsidRDefault="00CD75F3" w:rsidP="00CD75F3">
            <w:pPr>
              <w:jc w:val="right"/>
              <w:rPr>
                <w:sz w:val="18"/>
                <w:szCs w:val="18"/>
                <w:lang w:eastAsia="tr-TR"/>
              </w:rPr>
            </w:pPr>
            <w:r w:rsidRPr="00005453">
              <w:rPr>
                <w:sz w:val="18"/>
                <w:szCs w:val="18"/>
              </w:rPr>
              <w:t>3,281,751</w:t>
            </w:r>
          </w:p>
        </w:tc>
        <w:tc>
          <w:tcPr>
            <w:tcW w:w="1276" w:type="dxa"/>
            <w:shd w:val="clear" w:color="auto" w:fill="auto"/>
            <w:noWrap/>
            <w:vAlign w:val="center"/>
            <w:hideMark/>
          </w:tcPr>
          <w:p w14:paraId="43067D83" w14:textId="6B4FF892" w:rsidR="00CD75F3" w:rsidRPr="00005453" w:rsidRDefault="00CD75F3" w:rsidP="00CD75F3">
            <w:pPr>
              <w:jc w:val="right"/>
              <w:rPr>
                <w:sz w:val="18"/>
                <w:szCs w:val="18"/>
                <w:lang w:eastAsia="tr-TR"/>
              </w:rPr>
            </w:pPr>
            <w:r w:rsidRPr="00005453">
              <w:rPr>
                <w:sz w:val="18"/>
                <w:szCs w:val="18"/>
              </w:rPr>
              <w:t>4.72</w:t>
            </w:r>
          </w:p>
        </w:tc>
        <w:tc>
          <w:tcPr>
            <w:tcW w:w="1418" w:type="dxa"/>
            <w:shd w:val="clear" w:color="auto" w:fill="auto"/>
            <w:noWrap/>
            <w:vAlign w:val="center"/>
            <w:hideMark/>
          </w:tcPr>
          <w:p w14:paraId="6B09EC5E" w14:textId="7737BAC8" w:rsidR="00CD75F3" w:rsidRPr="00005453" w:rsidRDefault="00CD75F3" w:rsidP="00CD75F3">
            <w:pPr>
              <w:jc w:val="right"/>
              <w:rPr>
                <w:sz w:val="18"/>
                <w:szCs w:val="18"/>
                <w:lang w:eastAsia="tr-TR"/>
              </w:rPr>
            </w:pPr>
            <w:r w:rsidRPr="00005453">
              <w:rPr>
                <w:sz w:val="18"/>
                <w:szCs w:val="18"/>
              </w:rPr>
              <w:t>7,617,967</w:t>
            </w:r>
          </w:p>
        </w:tc>
        <w:tc>
          <w:tcPr>
            <w:tcW w:w="1276" w:type="dxa"/>
            <w:shd w:val="clear" w:color="auto" w:fill="auto"/>
            <w:noWrap/>
            <w:vAlign w:val="center"/>
            <w:hideMark/>
          </w:tcPr>
          <w:p w14:paraId="76BDD3EC" w14:textId="60CC5EBC" w:rsidR="00CD75F3" w:rsidRPr="00005453" w:rsidRDefault="00CD75F3" w:rsidP="00CD75F3">
            <w:pPr>
              <w:jc w:val="right"/>
              <w:rPr>
                <w:sz w:val="18"/>
                <w:szCs w:val="18"/>
                <w:lang w:eastAsia="tr-TR"/>
              </w:rPr>
            </w:pPr>
            <w:r w:rsidRPr="00005453">
              <w:rPr>
                <w:sz w:val="18"/>
                <w:szCs w:val="18"/>
              </w:rPr>
              <w:t>21.37</w:t>
            </w:r>
          </w:p>
        </w:tc>
      </w:tr>
      <w:tr w:rsidR="00CD75F3" w:rsidRPr="00005453" w14:paraId="3D08CEA7" w14:textId="77777777" w:rsidTr="00CD75F3">
        <w:trPr>
          <w:divId w:val="1778912826"/>
          <w:trHeight w:val="246"/>
        </w:trPr>
        <w:tc>
          <w:tcPr>
            <w:tcW w:w="3161" w:type="dxa"/>
            <w:shd w:val="clear" w:color="auto" w:fill="auto"/>
            <w:noWrap/>
            <w:vAlign w:val="center"/>
            <w:hideMark/>
          </w:tcPr>
          <w:p w14:paraId="7417D750" w14:textId="77777777" w:rsidR="00CD75F3" w:rsidRPr="00005453" w:rsidRDefault="00CD75F3" w:rsidP="00CD75F3">
            <w:pPr>
              <w:ind w:firstLineChars="200" w:firstLine="360"/>
              <w:rPr>
                <w:sz w:val="18"/>
                <w:szCs w:val="18"/>
                <w:lang w:eastAsia="tr-TR"/>
              </w:rPr>
            </w:pPr>
            <w:r w:rsidRPr="00005453">
              <w:rPr>
                <w:sz w:val="18"/>
                <w:szCs w:val="18"/>
                <w:lang w:eastAsia="tr-TR"/>
              </w:rPr>
              <w:t>Mali Kuruluşlar</w:t>
            </w:r>
          </w:p>
        </w:tc>
        <w:tc>
          <w:tcPr>
            <w:tcW w:w="1370" w:type="dxa"/>
            <w:shd w:val="clear" w:color="auto" w:fill="auto"/>
            <w:noWrap/>
            <w:vAlign w:val="center"/>
            <w:hideMark/>
          </w:tcPr>
          <w:p w14:paraId="51AC1B90" w14:textId="162E9011" w:rsidR="00CD75F3" w:rsidRPr="00005453" w:rsidRDefault="00CD75F3" w:rsidP="00CD75F3">
            <w:pPr>
              <w:jc w:val="right"/>
              <w:rPr>
                <w:sz w:val="18"/>
                <w:szCs w:val="18"/>
                <w:lang w:eastAsia="tr-TR"/>
              </w:rPr>
            </w:pPr>
            <w:r w:rsidRPr="00005453">
              <w:rPr>
                <w:sz w:val="18"/>
                <w:szCs w:val="18"/>
              </w:rPr>
              <w:t>53,918</w:t>
            </w:r>
          </w:p>
        </w:tc>
        <w:tc>
          <w:tcPr>
            <w:tcW w:w="1276" w:type="dxa"/>
            <w:shd w:val="clear" w:color="auto" w:fill="auto"/>
            <w:noWrap/>
            <w:vAlign w:val="center"/>
            <w:hideMark/>
          </w:tcPr>
          <w:p w14:paraId="52AA34C2" w14:textId="70920CB0" w:rsidR="00CD75F3" w:rsidRPr="00005453" w:rsidRDefault="00CD75F3" w:rsidP="00CD75F3">
            <w:pPr>
              <w:jc w:val="right"/>
              <w:rPr>
                <w:sz w:val="18"/>
                <w:szCs w:val="18"/>
                <w:lang w:eastAsia="tr-TR"/>
              </w:rPr>
            </w:pPr>
            <w:r w:rsidRPr="00005453">
              <w:rPr>
                <w:sz w:val="18"/>
                <w:szCs w:val="18"/>
              </w:rPr>
              <w:t>0.08</w:t>
            </w:r>
          </w:p>
        </w:tc>
        <w:tc>
          <w:tcPr>
            <w:tcW w:w="1418" w:type="dxa"/>
            <w:shd w:val="clear" w:color="auto" w:fill="auto"/>
            <w:noWrap/>
            <w:vAlign w:val="center"/>
            <w:hideMark/>
          </w:tcPr>
          <w:p w14:paraId="66B6E153" w14:textId="7772C210" w:rsidR="00CD75F3" w:rsidRPr="00005453" w:rsidRDefault="00CD75F3" w:rsidP="00CD75F3">
            <w:pPr>
              <w:jc w:val="right"/>
              <w:rPr>
                <w:sz w:val="18"/>
                <w:szCs w:val="18"/>
                <w:lang w:eastAsia="tr-TR"/>
              </w:rPr>
            </w:pPr>
            <w:r w:rsidRPr="00005453">
              <w:rPr>
                <w:sz w:val="18"/>
                <w:szCs w:val="18"/>
              </w:rPr>
              <w:t>513,900</w:t>
            </w:r>
          </w:p>
        </w:tc>
        <w:tc>
          <w:tcPr>
            <w:tcW w:w="1276" w:type="dxa"/>
            <w:shd w:val="clear" w:color="auto" w:fill="auto"/>
            <w:noWrap/>
            <w:vAlign w:val="center"/>
            <w:hideMark/>
          </w:tcPr>
          <w:p w14:paraId="10EF07BE" w14:textId="7A7F5B5D" w:rsidR="00CD75F3" w:rsidRPr="00005453" w:rsidRDefault="00CD75F3" w:rsidP="00CD75F3">
            <w:pPr>
              <w:jc w:val="right"/>
              <w:rPr>
                <w:sz w:val="18"/>
                <w:szCs w:val="18"/>
                <w:lang w:eastAsia="tr-TR"/>
              </w:rPr>
            </w:pPr>
            <w:r w:rsidRPr="00005453">
              <w:rPr>
                <w:sz w:val="18"/>
                <w:szCs w:val="18"/>
              </w:rPr>
              <w:t>1.44</w:t>
            </w:r>
          </w:p>
        </w:tc>
      </w:tr>
      <w:tr w:rsidR="00CD75F3" w:rsidRPr="00005453" w14:paraId="1C50E37A" w14:textId="77777777" w:rsidTr="00CD75F3">
        <w:trPr>
          <w:divId w:val="1778912826"/>
          <w:trHeight w:val="246"/>
        </w:trPr>
        <w:tc>
          <w:tcPr>
            <w:tcW w:w="3161" w:type="dxa"/>
            <w:shd w:val="clear" w:color="auto" w:fill="auto"/>
            <w:noWrap/>
            <w:vAlign w:val="center"/>
            <w:hideMark/>
          </w:tcPr>
          <w:p w14:paraId="15ECB337" w14:textId="77777777" w:rsidR="00CD75F3" w:rsidRPr="00005453" w:rsidRDefault="00CD75F3" w:rsidP="00CD75F3">
            <w:pPr>
              <w:ind w:firstLineChars="200" w:firstLine="360"/>
              <w:rPr>
                <w:sz w:val="18"/>
                <w:szCs w:val="18"/>
                <w:lang w:eastAsia="tr-TR"/>
              </w:rPr>
            </w:pPr>
            <w:r w:rsidRPr="00005453">
              <w:rPr>
                <w:sz w:val="18"/>
                <w:szCs w:val="18"/>
                <w:lang w:eastAsia="tr-TR"/>
              </w:rPr>
              <w:t>Gayrimenkul ve Kira Hizmetleri</w:t>
            </w:r>
          </w:p>
        </w:tc>
        <w:tc>
          <w:tcPr>
            <w:tcW w:w="1370" w:type="dxa"/>
            <w:shd w:val="clear" w:color="auto" w:fill="auto"/>
            <w:noWrap/>
            <w:vAlign w:val="center"/>
            <w:hideMark/>
          </w:tcPr>
          <w:p w14:paraId="34A3F097" w14:textId="0D6F188E" w:rsidR="00CD75F3" w:rsidRPr="00005453" w:rsidRDefault="00CD75F3" w:rsidP="00CD75F3">
            <w:pPr>
              <w:jc w:val="right"/>
              <w:rPr>
                <w:sz w:val="18"/>
                <w:szCs w:val="18"/>
                <w:lang w:eastAsia="tr-TR"/>
              </w:rPr>
            </w:pPr>
            <w:r w:rsidRPr="00005453">
              <w:rPr>
                <w:sz w:val="18"/>
                <w:szCs w:val="18"/>
              </w:rPr>
              <w:t>544,003</w:t>
            </w:r>
          </w:p>
        </w:tc>
        <w:tc>
          <w:tcPr>
            <w:tcW w:w="1276" w:type="dxa"/>
            <w:shd w:val="clear" w:color="auto" w:fill="auto"/>
            <w:noWrap/>
            <w:vAlign w:val="center"/>
            <w:hideMark/>
          </w:tcPr>
          <w:p w14:paraId="10519FC2" w14:textId="790607B8" w:rsidR="00CD75F3" w:rsidRPr="00005453" w:rsidRDefault="00CD75F3" w:rsidP="00CD75F3">
            <w:pPr>
              <w:jc w:val="right"/>
              <w:rPr>
                <w:sz w:val="18"/>
                <w:szCs w:val="18"/>
                <w:lang w:eastAsia="tr-TR"/>
              </w:rPr>
            </w:pPr>
            <w:r w:rsidRPr="00005453">
              <w:rPr>
                <w:sz w:val="18"/>
                <w:szCs w:val="18"/>
              </w:rPr>
              <w:t>0.78</w:t>
            </w:r>
          </w:p>
        </w:tc>
        <w:tc>
          <w:tcPr>
            <w:tcW w:w="1418" w:type="dxa"/>
            <w:shd w:val="clear" w:color="auto" w:fill="auto"/>
            <w:noWrap/>
            <w:vAlign w:val="center"/>
            <w:hideMark/>
          </w:tcPr>
          <w:p w14:paraId="266A9338" w14:textId="2FEF0AD5" w:rsidR="00CD75F3" w:rsidRPr="00005453" w:rsidRDefault="00CD75F3" w:rsidP="00CD75F3">
            <w:pPr>
              <w:jc w:val="right"/>
              <w:rPr>
                <w:sz w:val="18"/>
                <w:szCs w:val="18"/>
                <w:lang w:eastAsia="tr-TR"/>
              </w:rPr>
            </w:pPr>
            <w:r w:rsidRPr="00005453">
              <w:rPr>
                <w:sz w:val="18"/>
                <w:szCs w:val="18"/>
              </w:rPr>
              <w:t>125,071</w:t>
            </w:r>
          </w:p>
        </w:tc>
        <w:tc>
          <w:tcPr>
            <w:tcW w:w="1276" w:type="dxa"/>
            <w:shd w:val="clear" w:color="auto" w:fill="auto"/>
            <w:noWrap/>
            <w:vAlign w:val="center"/>
            <w:hideMark/>
          </w:tcPr>
          <w:p w14:paraId="619E9898" w14:textId="3143310E" w:rsidR="00CD75F3" w:rsidRPr="00005453" w:rsidRDefault="00CD75F3" w:rsidP="00CD75F3">
            <w:pPr>
              <w:jc w:val="right"/>
              <w:rPr>
                <w:sz w:val="18"/>
                <w:szCs w:val="18"/>
                <w:lang w:eastAsia="tr-TR"/>
              </w:rPr>
            </w:pPr>
            <w:r w:rsidRPr="00005453">
              <w:rPr>
                <w:sz w:val="18"/>
                <w:szCs w:val="18"/>
              </w:rPr>
              <w:t>0.35</w:t>
            </w:r>
          </w:p>
        </w:tc>
      </w:tr>
      <w:tr w:rsidR="00CD75F3" w:rsidRPr="00005453" w14:paraId="2D297FFF" w14:textId="77777777" w:rsidTr="00CD75F3">
        <w:trPr>
          <w:divId w:val="1778912826"/>
          <w:trHeight w:val="246"/>
        </w:trPr>
        <w:tc>
          <w:tcPr>
            <w:tcW w:w="3161" w:type="dxa"/>
            <w:shd w:val="clear" w:color="auto" w:fill="auto"/>
            <w:noWrap/>
            <w:vAlign w:val="center"/>
            <w:hideMark/>
          </w:tcPr>
          <w:p w14:paraId="66337425" w14:textId="77777777" w:rsidR="00CD75F3" w:rsidRPr="00005453" w:rsidRDefault="00CD75F3" w:rsidP="00CD75F3">
            <w:pPr>
              <w:ind w:firstLineChars="200" w:firstLine="360"/>
              <w:rPr>
                <w:sz w:val="18"/>
                <w:szCs w:val="18"/>
                <w:lang w:eastAsia="tr-TR"/>
              </w:rPr>
            </w:pPr>
            <w:r w:rsidRPr="00005453">
              <w:rPr>
                <w:sz w:val="18"/>
                <w:szCs w:val="18"/>
                <w:lang w:eastAsia="tr-TR"/>
              </w:rPr>
              <w:t>Serbest Meslek Hizmetleri</w:t>
            </w:r>
          </w:p>
        </w:tc>
        <w:tc>
          <w:tcPr>
            <w:tcW w:w="1370" w:type="dxa"/>
            <w:shd w:val="clear" w:color="auto" w:fill="auto"/>
            <w:noWrap/>
            <w:vAlign w:val="center"/>
            <w:hideMark/>
          </w:tcPr>
          <w:p w14:paraId="5EFB8B74" w14:textId="7B7F320D" w:rsidR="00CD75F3" w:rsidRPr="00005453" w:rsidRDefault="00CD75F3" w:rsidP="00CD75F3">
            <w:pPr>
              <w:jc w:val="right"/>
              <w:rPr>
                <w:sz w:val="18"/>
                <w:szCs w:val="18"/>
                <w:lang w:eastAsia="tr-TR"/>
              </w:rPr>
            </w:pPr>
            <w:r w:rsidRPr="00005453">
              <w:rPr>
                <w:sz w:val="18"/>
                <w:szCs w:val="18"/>
              </w:rPr>
              <w:t>194</w:t>
            </w:r>
          </w:p>
        </w:tc>
        <w:tc>
          <w:tcPr>
            <w:tcW w:w="1276" w:type="dxa"/>
            <w:shd w:val="clear" w:color="auto" w:fill="auto"/>
            <w:noWrap/>
            <w:vAlign w:val="center"/>
            <w:hideMark/>
          </w:tcPr>
          <w:p w14:paraId="7321BD13" w14:textId="0FE15686" w:rsidR="00CD75F3" w:rsidRPr="00005453" w:rsidRDefault="00B34EC3" w:rsidP="00CD75F3">
            <w:pPr>
              <w:jc w:val="right"/>
              <w:rPr>
                <w:sz w:val="18"/>
                <w:szCs w:val="18"/>
                <w:lang w:eastAsia="tr-TR"/>
              </w:rPr>
            </w:pPr>
            <w:r w:rsidRPr="00005453">
              <w:rPr>
                <w:sz w:val="18"/>
                <w:szCs w:val="18"/>
              </w:rPr>
              <w:t>-</w:t>
            </w:r>
          </w:p>
        </w:tc>
        <w:tc>
          <w:tcPr>
            <w:tcW w:w="1418" w:type="dxa"/>
            <w:shd w:val="clear" w:color="auto" w:fill="auto"/>
            <w:noWrap/>
            <w:vAlign w:val="center"/>
            <w:hideMark/>
          </w:tcPr>
          <w:p w14:paraId="705F7D3B" w14:textId="1703DFAC" w:rsidR="00CD75F3" w:rsidRPr="00005453" w:rsidRDefault="00CD75F3" w:rsidP="00CD75F3">
            <w:pPr>
              <w:jc w:val="right"/>
              <w:rPr>
                <w:sz w:val="18"/>
                <w:szCs w:val="18"/>
                <w:lang w:eastAsia="tr-TR"/>
              </w:rPr>
            </w:pPr>
            <w:r w:rsidRPr="00005453">
              <w:rPr>
                <w:sz w:val="18"/>
                <w:szCs w:val="18"/>
              </w:rPr>
              <w:t>-</w:t>
            </w:r>
          </w:p>
        </w:tc>
        <w:tc>
          <w:tcPr>
            <w:tcW w:w="1276" w:type="dxa"/>
            <w:shd w:val="clear" w:color="auto" w:fill="auto"/>
            <w:noWrap/>
            <w:vAlign w:val="center"/>
            <w:hideMark/>
          </w:tcPr>
          <w:p w14:paraId="1A54400A" w14:textId="7C532099" w:rsidR="00CD75F3" w:rsidRPr="00005453" w:rsidRDefault="00CD75F3" w:rsidP="00CD75F3">
            <w:pPr>
              <w:jc w:val="right"/>
              <w:rPr>
                <w:sz w:val="18"/>
                <w:szCs w:val="18"/>
                <w:lang w:eastAsia="tr-TR"/>
              </w:rPr>
            </w:pPr>
            <w:r w:rsidRPr="00005453">
              <w:rPr>
                <w:sz w:val="18"/>
                <w:szCs w:val="18"/>
              </w:rPr>
              <w:t>-</w:t>
            </w:r>
          </w:p>
        </w:tc>
      </w:tr>
      <w:tr w:rsidR="00CD75F3" w:rsidRPr="00005453" w14:paraId="11E32C0D" w14:textId="77777777" w:rsidTr="00CD75F3">
        <w:trPr>
          <w:divId w:val="1778912826"/>
          <w:trHeight w:val="246"/>
        </w:trPr>
        <w:tc>
          <w:tcPr>
            <w:tcW w:w="3161" w:type="dxa"/>
            <w:shd w:val="clear" w:color="auto" w:fill="auto"/>
            <w:noWrap/>
            <w:vAlign w:val="center"/>
            <w:hideMark/>
          </w:tcPr>
          <w:p w14:paraId="2C20349A" w14:textId="77777777" w:rsidR="00CD75F3" w:rsidRPr="00005453" w:rsidRDefault="00CD75F3" w:rsidP="00CD75F3">
            <w:pPr>
              <w:ind w:firstLineChars="200" w:firstLine="360"/>
              <w:rPr>
                <w:sz w:val="18"/>
                <w:szCs w:val="18"/>
                <w:lang w:eastAsia="tr-TR"/>
              </w:rPr>
            </w:pPr>
            <w:r w:rsidRPr="00005453">
              <w:rPr>
                <w:sz w:val="18"/>
                <w:szCs w:val="18"/>
                <w:lang w:eastAsia="tr-TR"/>
              </w:rPr>
              <w:t>Eğitim Hizmetleri</w:t>
            </w:r>
          </w:p>
        </w:tc>
        <w:tc>
          <w:tcPr>
            <w:tcW w:w="1370" w:type="dxa"/>
            <w:shd w:val="clear" w:color="auto" w:fill="auto"/>
            <w:noWrap/>
            <w:vAlign w:val="center"/>
            <w:hideMark/>
          </w:tcPr>
          <w:p w14:paraId="6A8EBF0D" w14:textId="260863D6" w:rsidR="00CD75F3" w:rsidRPr="00005453" w:rsidRDefault="00CD75F3" w:rsidP="00CD75F3">
            <w:pPr>
              <w:jc w:val="right"/>
              <w:rPr>
                <w:sz w:val="18"/>
                <w:szCs w:val="18"/>
                <w:lang w:eastAsia="tr-TR"/>
              </w:rPr>
            </w:pPr>
            <w:r w:rsidRPr="00005453">
              <w:rPr>
                <w:sz w:val="18"/>
                <w:szCs w:val="18"/>
              </w:rPr>
              <w:t>139,541</w:t>
            </w:r>
          </w:p>
        </w:tc>
        <w:tc>
          <w:tcPr>
            <w:tcW w:w="1276" w:type="dxa"/>
            <w:shd w:val="clear" w:color="auto" w:fill="auto"/>
            <w:noWrap/>
            <w:vAlign w:val="center"/>
            <w:hideMark/>
          </w:tcPr>
          <w:p w14:paraId="01443E07" w14:textId="0FAFE38E" w:rsidR="00CD75F3" w:rsidRPr="00005453" w:rsidRDefault="00CD75F3" w:rsidP="00CD75F3">
            <w:pPr>
              <w:jc w:val="right"/>
              <w:rPr>
                <w:sz w:val="18"/>
                <w:szCs w:val="18"/>
                <w:lang w:eastAsia="tr-TR"/>
              </w:rPr>
            </w:pPr>
            <w:r w:rsidRPr="00005453">
              <w:rPr>
                <w:sz w:val="18"/>
                <w:szCs w:val="18"/>
              </w:rPr>
              <w:t>0.20</w:t>
            </w:r>
          </w:p>
        </w:tc>
        <w:tc>
          <w:tcPr>
            <w:tcW w:w="1418" w:type="dxa"/>
            <w:shd w:val="clear" w:color="auto" w:fill="auto"/>
            <w:noWrap/>
            <w:vAlign w:val="center"/>
            <w:hideMark/>
          </w:tcPr>
          <w:p w14:paraId="320C4007" w14:textId="0AF1FAA2" w:rsidR="00CD75F3" w:rsidRPr="00005453" w:rsidRDefault="00CD75F3" w:rsidP="00CD75F3">
            <w:pPr>
              <w:jc w:val="right"/>
              <w:rPr>
                <w:sz w:val="18"/>
                <w:szCs w:val="18"/>
                <w:lang w:eastAsia="tr-TR"/>
              </w:rPr>
            </w:pPr>
            <w:r w:rsidRPr="00005453">
              <w:rPr>
                <w:sz w:val="18"/>
                <w:szCs w:val="18"/>
              </w:rPr>
              <w:t>61,139</w:t>
            </w:r>
          </w:p>
        </w:tc>
        <w:tc>
          <w:tcPr>
            <w:tcW w:w="1276" w:type="dxa"/>
            <w:shd w:val="clear" w:color="auto" w:fill="auto"/>
            <w:noWrap/>
            <w:vAlign w:val="center"/>
            <w:hideMark/>
          </w:tcPr>
          <w:p w14:paraId="1B0109D7" w14:textId="39E590A9" w:rsidR="00CD75F3" w:rsidRPr="00005453" w:rsidRDefault="00CD75F3" w:rsidP="00CD75F3">
            <w:pPr>
              <w:jc w:val="right"/>
              <w:rPr>
                <w:sz w:val="18"/>
                <w:szCs w:val="18"/>
                <w:lang w:eastAsia="tr-TR"/>
              </w:rPr>
            </w:pPr>
            <w:r w:rsidRPr="00005453">
              <w:rPr>
                <w:sz w:val="18"/>
                <w:szCs w:val="18"/>
              </w:rPr>
              <w:t>0.17</w:t>
            </w:r>
          </w:p>
        </w:tc>
      </w:tr>
      <w:tr w:rsidR="00CD75F3" w:rsidRPr="00005453" w14:paraId="2723958E" w14:textId="77777777" w:rsidTr="00CD75F3">
        <w:trPr>
          <w:divId w:val="1778912826"/>
          <w:trHeight w:val="246"/>
        </w:trPr>
        <w:tc>
          <w:tcPr>
            <w:tcW w:w="3161" w:type="dxa"/>
            <w:shd w:val="clear" w:color="auto" w:fill="auto"/>
            <w:noWrap/>
            <w:vAlign w:val="center"/>
            <w:hideMark/>
          </w:tcPr>
          <w:p w14:paraId="531DADA0" w14:textId="77777777" w:rsidR="00CD75F3" w:rsidRPr="00005453" w:rsidRDefault="00CD75F3" w:rsidP="00CD75F3">
            <w:pPr>
              <w:ind w:firstLineChars="200" w:firstLine="360"/>
              <w:rPr>
                <w:sz w:val="18"/>
                <w:szCs w:val="18"/>
                <w:lang w:eastAsia="tr-TR"/>
              </w:rPr>
            </w:pPr>
            <w:r w:rsidRPr="00005453">
              <w:rPr>
                <w:sz w:val="18"/>
                <w:szCs w:val="18"/>
                <w:lang w:eastAsia="tr-TR"/>
              </w:rPr>
              <w:t>Sağlık ve Sosyal Hizmetler</w:t>
            </w:r>
          </w:p>
        </w:tc>
        <w:tc>
          <w:tcPr>
            <w:tcW w:w="1370" w:type="dxa"/>
            <w:shd w:val="clear" w:color="auto" w:fill="auto"/>
            <w:noWrap/>
            <w:vAlign w:val="center"/>
            <w:hideMark/>
          </w:tcPr>
          <w:p w14:paraId="349AAC7A" w14:textId="01DA3640" w:rsidR="00CD75F3" w:rsidRPr="00005453" w:rsidRDefault="00CD75F3" w:rsidP="00CD75F3">
            <w:pPr>
              <w:jc w:val="right"/>
              <w:rPr>
                <w:sz w:val="18"/>
                <w:szCs w:val="18"/>
                <w:lang w:eastAsia="tr-TR"/>
              </w:rPr>
            </w:pPr>
            <w:r w:rsidRPr="00005453">
              <w:rPr>
                <w:sz w:val="18"/>
                <w:szCs w:val="18"/>
              </w:rPr>
              <w:t>2,330,533</w:t>
            </w:r>
          </w:p>
        </w:tc>
        <w:tc>
          <w:tcPr>
            <w:tcW w:w="1276" w:type="dxa"/>
            <w:shd w:val="clear" w:color="auto" w:fill="auto"/>
            <w:noWrap/>
            <w:vAlign w:val="center"/>
            <w:hideMark/>
          </w:tcPr>
          <w:p w14:paraId="2CD7A248" w14:textId="1767B0A8" w:rsidR="00CD75F3" w:rsidRPr="00005453" w:rsidRDefault="00CD75F3" w:rsidP="00CD75F3">
            <w:pPr>
              <w:jc w:val="right"/>
              <w:rPr>
                <w:sz w:val="18"/>
                <w:szCs w:val="18"/>
                <w:lang w:eastAsia="tr-TR"/>
              </w:rPr>
            </w:pPr>
            <w:r w:rsidRPr="00005453">
              <w:rPr>
                <w:sz w:val="18"/>
                <w:szCs w:val="18"/>
              </w:rPr>
              <w:t>3.35</w:t>
            </w:r>
          </w:p>
        </w:tc>
        <w:tc>
          <w:tcPr>
            <w:tcW w:w="1418" w:type="dxa"/>
            <w:shd w:val="clear" w:color="auto" w:fill="auto"/>
            <w:noWrap/>
            <w:vAlign w:val="center"/>
            <w:hideMark/>
          </w:tcPr>
          <w:p w14:paraId="67797574" w14:textId="54A9DAD4" w:rsidR="00CD75F3" w:rsidRPr="00005453" w:rsidRDefault="00CD75F3" w:rsidP="00CD75F3">
            <w:pPr>
              <w:jc w:val="right"/>
              <w:rPr>
                <w:sz w:val="18"/>
                <w:szCs w:val="18"/>
                <w:lang w:eastAsia="tr-TR"/>
              </w:rPr>
            </w:pPr>
            <w:r w:rsidRPr="00005453">
              <w:rPr>
                <w:sz w:val="18"/>
                <w:szCs w:val="18"/>
              </w:rPr>
              <w:t>935,728</w:t>
            </w:r>
          </w:p>
        </w:tc>
        <w:tc>
          <w:tcPr>
            <w:tcW w:w="1276" w:type="dxa"/>
            <w:shd w:val="clear" w:color="auto" w:fill="auto"/>
            <w:noWrap/>
            <w:vAlign w:val="center"/>
            <w:hideMark/>
          </w:tcPr>
          <w:p w14:paraId="399BC00D" w14:textId="20B7A121" w:rsidR="00CD75F3" w:rsidRPr="00005453" w:rsidRDefault="00CD75F3" w:rsidP="00CD75F3">
            <w:pPr>
              <w:jc w:val="right"/>
              <w:rPr>
                <w:sz w:val="18"/>
                <w:szCs w:val="18"/>
                <w:lang w:eastAsia="tr-TR"/>
              </w:rPr>
            </w:pPr>
            <w:r w:rsidRPr="00005453">
              <w:rPr>
                <w:sz w:val="18"/>
                <w:szCs w:val="18"/>
              </w:rPr>
              <w:t>2.62</w:t>
            </w:r>
          </w:p>
        </w:tc>
      </w:tr>
      <w:tr w:rsidR="00CD75F3" w:rsidRPr="00005453" w14:paraId="590AD4D7" w14:textId="77777777" w:rsidTr="00CD75F3">
        <w:trPr>
          <w:divId w:val="1778912826"/>
          <w:trHeight w:val="262"/>
        </w:trPr>
        <w:tc>
          <w:tcPr>
            <w:tcW w:w="3161" w:type="dxa"/>
            <w:shd w:val="clear" w:color="auto" w:fill="auto"/>
            <w:vAlign w:val="center"/>
            <w:hideMark/>
          </w:tcPr>
          <w:p w14:paraId="1B2D3278" w14:textId="77777777" w:rsidR="00CD75F3" w:rsidRPr="00005453" w:rsidRDefault="00CD75F3" w:rsidP="00CD75F3">
            <w:pPr>
              <w:rPr>
                <w:b/>
                <w:bCs/>
                <w:sz w:val="18"/>
                <w:szCs w:val="18"/>
                <w:lang w:eastAsia="tr-TR"/>
              </w:rPr>
            </w:pPr>
            <w:r w:rsidRPr="00005453">
              <w:rPr>
                <w:b/>
                <w:bCs/>
                <w:sz w:val="18"/>
                <w:szCs w:val="18"/>
                <w:lang w:eastAsia="tr-TR"/>
              </w:rPr>
              <w:t>Diğer</w:t>
            </w:r>
          </w:p>
        </w:tc>
        <w:tc>
          <w:tcPr>
            <w:tcW w:w="1370" w:type="dxa"/>
            <w:shd w:val="clear" w:color="auto" w:fill="auto"/>
            <w:noWrap/>
            <w:vAlign w:val="center"/>
            <w:hideMark/>
          </w:tcPr>
          <w:p w14:paraId="2FF5DCD1" w14:textId="6FC54443" w:rsidR="00CD75F3" w:rsidRPr="00005453" w:rsidRDefault="00CD75F3" w:rsidP="00CD75F3">
            <w:pPr>
              <w:jc w:val="right"/>
              <w:rPr>
                <w:b/>
                <w:bCs/>
                <w:sz w:val="18"/>
                <w:szCs w:val="18"/>
                <w:lang w:eastAsia="tr-TR"/>
              </w:rPr>
            </w:pPr>
            <w:r w:rsidRPr="00005453">
              <w:rPr>
                <w:b/>
                <w:bCs/>
                <w:sz w:val="18"/>
                <w:szCs w:val="18"/>
              </w:rPr>
              <w:t>3,952,872</w:t>
            </w:r>
          </w:p>
        </w:tc>
        <w:tc>
          <w:tcPr>
            <w:tcW w:w="1276" w:type="dxa"/>
            <w:shd w:val="clear" w:color="auto" w:fill="auto"/>
            <w:noWrap/>
            <w:vAlign w:val="center"/>
            <w:hideMark/>
          </w:tcPr>
          <w:p w14:paraId="062512C0" w14:textId="7DD0BAB9" w:rsidR="00CD75F3" w:rsidRPr="00005453" w:rsidRDefault="00CD75F3" w:rsidP="00CD75F3">
            <w:pPr>
              <w:jc w:val="right"/>
              <w:rPr>
                <w:b/>
                <w:bCs/>
                <w:sz w:val="18"/>
                <w:szCs w:val="18"/>
                <w:lang w:eastAsia="tr-TR"/>
              </w:rPr>
            </w:pPr>
            <w:r w:rsidRPr="00005453">
              <w:rPr>
                <w:b/>
                <w:bCs/>
                <w:sz w:val="18"/>
                <w:szCs w:val="18"/>
              </w:rPr>
              <w:t>5.69</w:t>
            </w:r>
          </w:p>
        </w:tc>
        <w:tc>
          <w:tcPr>
            <w:tcW w:w="1418" w:type="dxa"/>
            <w:shd w:val="clear" w:color="auto" w:fill="auto"/>
            <w:noWrap/>
            <w:vAlign w:val="center"/>
            <w:hideMark/>
          </w:tcPr>
          <w:p w14:paraId="574CF48A" w14:textId="2DBCBF71" w:rsidR="00CD75F3" w:rsidRPr="00005453" w:rsidRDefault="00CD75F3" w:rsidP="00CD75F3">
            <w:pPr>
              <w:jc w:val="right"/>
              <w:rPr>
                <w:b/>
                <w:bCs/>
                <w:sz w:val="18"/>
                <w:szCs w:val="18"/>
                <w:lang w:eastAsia="tr-TR"/>
              </w:rPr>
            </w:pPr>
            <w:r w:rsidRPr="00005453">
              <w:rPr>
                <w:b/>
                <w:bCs/>
                <w:sz w:val="18"/>
                <w:szCs w:val="18"/>
              </w:rPr>
              <w:t>2,810,343</w:t>
            </w:r>
          </w:p>
        </w:tc>
        <w:tc>
          <w:tcPr>
            <w:tcW w:w="1276" w:type="dxa"/>
            <w:shd w:val="clear" w:color="auto" w:fill="auto"/>
            <w:noWrap/>
            <w:vAlign w:val="center"/>
            <w:hideMark/>
          </w:tcPr>
          <w:p w14:paraId="3E4E3317" w14:textId="23E2BBA2" w:rsidR="00CD75F3" w:rsidRPr="00005453" w:rsidRDefault="00CD75F3" w:rsidP="00CD75F3">
            <w:pPr>
              <w:jc w:val="right"/>
              <w:rPr>
                <w:b/>
                <w:bCs/>
                <w:sz w:val="18"/>
                <w:szCs w:val="18"/>
                <w:lang w:eastAsia="tr-TR"/>
              </w:rPr>
            </w:pPr>
            <w:r w:rsidRPr="00005453">
              <w:rPr>
                <w:b/>
                <w:bCs/>
                <w:sz w:val="18"/>
                <w:szCs w:val="18"/>
              </w:rPr>
              <w:t>7.88</w:t>
            </w:r>
          </w:p>
        </w:tc>
      </w:tr>
      <w:tr w:rsidR="00CD75F3" w:rsidRPr="00005453" w14:paraId="4E3CCB87" w14:textId="77777777" w:rsidTr="00CD75F3">
        <w:trPr>
          <w:divId w:val="1778912826"/>
          <w:trHeight w:val="262"/>
        </w:trPr>
        <w:tc>
          <w:tcPr>
            <w:tcW w:w="3161" w:type="dxa"/>
            <w:shd w:val="clear" w:color="auto" w:fill="auto"/>
            <w:vAlign w:val="center"/>
            <w:hideMark/>
          </w:tcPr>
          <w:p w14:paraId="0F9433FE" w14:textId="77777777" w:rsidR="00CD75F3" w:rsidRPr="00005453" w:rsidRDefault="00CD75F3" w:rsidP="00CD75F3">
            <w:pPr>
              <w:rPr>
                <w:b/>
                <w:bCs/>
                <w:sz w:val="18"/>
                <w:szCs w:val="18"/>
                <w:lang w:eastAsia="tr-TR"/>
              </w:rPr>
            </w:pPr>
            <w:r w:rsidRPr="00005453">
              <w:rPr>
                <w:b/>
                <w:bCs/>
                <w:sz w:val="18"/>
                <w:szCs w:val="18"/>
                <w:lang w:eastAsia="tr-TR"/>
              </w:rPr>
              <w:t>Toplam</w:t>
            </w:r>
          </w:p>
        </w:tc>
        <w:tc>
          <w:tcPr>
            <w:tcW w:w="1370" w:type="dxa"/>
            <w:shd w:val="clear" w:color="auto" w:fill="auto"/>
            <w:noWrap/>
            <w:vAlign w:val="center"/>
            <w:hideMark/>
          </w:tcPr>
          <w:p w14:paraId="439B62BA" w14:textId="44619426" w:rsidR="00CD75F3" w:rsidRPr="00005453" w:rsidRDefault="00CD75F3" w:rsidP="00CD75F3">
            <w:pPr>
              <w:jc w:val="right"/>
              <w:rPr>
                <w:b/>
                <w:bCs/>
                <w:sz w:val="18"/>
                <w:szCs w:val="18"/>
                <w:lang w:eastAsia="tr-TR"/>
              </w:rPr>
            </w:pPr>
            <w:r w:rsidRPr="00005453">
              <w:rPr>
                <w:b/>
                <w:bCs/>
                <w:color w:val="000000"/>
                <w:sz w:val="18"/>
                <w:szCs w:val="18"/>
              </w:rPr>
              <w:t>69,514,466</w:t>
            </w:r>
          </w:p>
        </w:tc>
        <w:tc>
          <w:tcPr>
            <w:tcW w:w="1276" w:type="dxa"/>
            <w:shd w:val="clear" w:color="auto" w:fill="auto"/>
            <w:noWrap/>
            <w:vAlign w:val="center"/>
            <w:hideMark/>
          </w:tcPr>
          <w:p w14:paraId="3B27500A" w14:textId="57AA6705" w:rsidR="00CD75F3" w:rsidRPr="00005453" w:rsidRDefault="00CD75F3" w:rsidP="00CD75F3">
            <w:pPr>
              <w:jc w:val="right"/>
              <w:rPr>
                <w:b/>
                <w:bCs/>
                <w:sz w:val="18"/>
                <w:szCs w:val="18"/>
                <w:lang w:eastAsia="tr-TR"/>
              </w:rPr>
            </w:pPr>
            <w:r w:rsidRPr="00005453">
              <w:rPr>
                <w:b/>
                <w:bCs/>
                <w:color w:val="000000"/>
                <w:sz w:val="18"/>
                <w:szCs w:val="18"/>
              </w:rPr>
              <w:t>100.00</w:t>
            </w:r>
          </w:p>
        </w:tc>
        <w:tc>
          <w:tcPr>
            <w:tcW w:w="1418" w:type="dxa"/>
            <w:shd w:val="clear" w:color="auto" w:fill="auto"/>
            <w:noWrap/>
            <w:vAlign w:val="center"/>
            <w:hideMark/>
          </w:tcPr>
          <w:p w14:paraId="6E365AA2" w14:textId="6F7A3483" w:rsidR="00CD75F3" w:rsidRPr="00005453" w:rsidRDefault="00CD75F3" w:rsidP="00CD75F3">
            <w:pPr>
              <w:jc w:val="right"/>
              <w:rPr>
                <w:b/>
                <w:bCs/>
                <w:sz w:val="18"/>
                <w:szCs w:val="18"/>
                <w:lang w:eastAsia="tr-TR"/>
              </w:rPr>
            </w:pPr>
            <w:r w:rsidRPr="00005453">
              <w:rPr>
                <w:b/>
                <w:bCs/>
                <w:color w:val="000000"/>
                <w:sz w:val="18"/>
                <w:szCs w:val="18"/>
              </w:rPr>
              <w:t>35,653,962</w:t>
            </w:r>
          </w:p>
        </w:tc>
        <w:tc>
          <w:tcPr>
            <w:tcW w:w="1276" w:type="dxa"/>
            <w:shd w:val="clear" w:color="auto" w:fill="auto"/>
            <w:noWrap/>
            <w:vAlign w:val="center"/>
            <w:hideMark/>
          </w:tcPr>
          <w:p w14:paraId="363FF23C" w14:textId="5657301E" w:rsidR="00CD75F3" w:rsidRPr="00005453" w:rsidRDefault="00CD75F3" w:rsidP="00CD75F3">
            <w:pPr>
              <w:jc w:val="right"/>
              <w:rPr>
                <w:b/>
                <w:bCs/>
                <w:sz w:val="18"/>
                <w:szCs w:val="18"/>
                <w:lang w:eastAsia="tr-TR"/>
              </w:rPr>
            </w:pPr>
            <w:r w:rsidRPr="00005453">
              <w:rPr>
                <w:b/>
                <w:bCs/>
                <w:color w:val="000000"/>
                <w:sz w:val="18"/>
                <w:szCs w:val="18"/>
              </w:rPr>
              <w:t>100.00</w:t>
            </w:r>
          </w:p>
        </w:tc>
      </w:tr>
    </w:tbl>
    <w:p w14:paraId="7A9A9A9D" w14:textId="551F7742" w:rsidR="00D22163" w:rsidRPr="00005453" w:rsidRDefault="00D22163" w:rsidP="007A1113">
      <w:pPr>
        <w:tabs>
          <w:tab w:val="num" w:pos="3600"/>
        </w:tabs>
        <w:rPr>
          <w:lang w:val="en-GB" w:eastAsia="en-GB"/>
        </w:rPr>
      </w:pPr>
    </w:p>
    <w:p w14:paraId="25058FC3" w14:textId="3EFC6D7F" w:rsidR="008865AE" w:rsidRPr="00005453" w:rsidRDefault="008865AE" w:rsidP="007A1113">
      <w:pPr>
        <w:tabs>
          <w:tab w:val="num" w:pos="3600"/>
        </w:tabs>
        <w:rPr>
          <w:lang w:val="en-GB" w:eastAsia="en-GB"/>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4"/>
        <w:gridCol w:w="1407"/>
        <w:gridCol w:w="1276"/>
        <w:gridCol w:w="1418"/>
        <w:gridCol w:w="1275"/>
      </w:tblGrid>
      <w:tr w:rsidR="008865AE" w:rsidRPr="00005453" w14:paraId="1C57DF47" w14:textId="77777777" w:rsidTr="00614CD2">
        <w:trPr>
          <w:divId w:val="1138962261"/>
          <w:trHeight w:val="290"/>
        </w:trPr>
        <w:tc>
          <w:tcPr>
            <w:tcW w:w="3124" w:type="dxa"/>
            <w:shd w:val="clear" w:color="auto" w:fill="auto"/>
            <w:vAlign w:val="center"/>
            <w:hideMark/>
          </w:tcPr>
          <w:p w14:paraId="688E5E29" w14:textId="7780D8AE" w:rsidR="008865AE" w:rsidRPr="00005453" w:rsidRDefault="008865AE" w:rsidP="0023277E">
            <w:pPr>
              <w:jc w:val="right"/>
              <w:rPr>
                <w:sz w:val="18"/>
                <w:szCs w:val="18"/>
                <w:lang w:eastAsia="tr-TR"/>
              </w:rPr>
            </w:pPr>
            <w:r w:rsidRPr="00005453">
              <w:rPr>
                <w:sz w:val="18"/>
                <w:szCs w:val="18"/>
                <w:lang w:eastAsia="tr-TR"/>
              </w:rPr>
              <w:t> </w:t>
            </w:r>
          </w:p>
        </w:tc>
        <w:tc>
          <w:tcPr>
            <w:tcW w:w="5376" w:type="dxa"/>
            <w:gridSpan w:val="4"/>
            <w:shd w:val="clear" w:color="auto" w:fill="auto"/>
            <w:vAlign w:val="center"/>
            <w:hideMark/>
          </w:tcPr>
          <w:p w14:paraId="38BF421B" w14:textId="77777777" w:rsidR="008865AE" w:rsidRPr="00005453" w:rsidRDefault="008865AE" w:rsidP="0023277E">
            <w:pPr>
              <w:jc w:val="center"/>
              <w:rPr>
                <w:b/>
                <w:bCs/>
                <w:sz w:val="18"/>
                <w:szCs w:val="18"/>
                <w:lang w:eastAsia="tr-TR"/>
              </w:rPr>
            </w:pPr>
            <w:r w:rsidRPr="00005453">
              <w:rPr>
                <w:b/>
                <w:bCs/>
                <w:sz w:val="18"/>
                <w:szCs w:val="18"/>
                <w:lang w:eastAsia="tr-TR"/>
              </w:rPr>
              <w:t>Önceki Dönem</w:t>
            </w:r>
          </w:p>
        </w:tc>
      </w:tr>
      <w:tr w:rsidR="008865AE" w:rsidRPr="00005453" w14:paraId="67F4FEAF" w14:textId="77777777" w:rsidTr="00614CD2">
        <w:trPr>
          <w:divId w:val="1138962261"/>
          <w:trHeight w:val="275"/>
        </w:trPr>
        <w:tc>
          <w:tcPr>
            <w:tcW w:w="3124" w:type="dxa"/>
            <w:shd w:val="clear" w:color="auto" w:fill="auto"/>
            <w:vAlign w:val="center"/>
            <w:hideMark/>
          </w:tcPr>
          <w:p w14:paraId="721D559F" w14:textId="77777777" w:rsidR="008865AE" w:rsidRPr="00005453" w:rsidRDefault="008865AE" w:rsidP="0023277E">
            <w:pPr>
              <w:jc w:val="right"/>
              <w:rPr>
                <w:b/>
                <w:bCs/>
                <w:sz w:val="18"/>
                <w:szCs w:val="18"/>
                <w:lang w:eastAsia="tr-TR"/>
              </w:rPr>
            </w:pPr>
            <w:r w:rsidRPr="00005453">
              <w:rPr>
                <w:b/>
                <w:bCs/>
                <w:sz w:val="18"/>
                <w:szCs w:val="18"/>
                <w:lang w:eastAsia="tr-TR"/>
              </w:rPr>
              <w:t> </w:t>
            </w:r>
          </w:p>
        </w:tc>
        <w:tc>
          <w:tcPr>
            <w:tcW w:w="1407" w:type="dxa"/>
            <w:shd w:val="clear" w:color="auto" w:fill="auto"/>
            <w:vAlign w:val="center"/>
            <w:hideMark/>
          </w:tcPr>
          <w:p w14:paraId="6A6AA2C1" w14:textId="77777777" w:rsidR="008865AE" w:rsidRPr="00005453" w:rsidRDefault="008865AE" w:rsidP="0023277E">
            <w:pPr>
              <w:jc w:val="right"/>
              <w:rPr>
                <w:b/>
                <w:bCs/>
                <w:sz w:val="18"/>
                <w:szCs w:val="18"/>
                <w:lang w:eastAsia="tr-TR"/>
              </w:rPr>
            </w:pPr>
            <w:r w:rsidRPr="00005453">
              <w:rPr>
                <w:b/>
                <w:bCs/>
                <w:sz w:val="18"/>
                <w:szCs w:val="18"/>
                <w:lang w:eastAsia="tr-TR"/>
              </w:rPr>
              <w:t>TP</w:t>
            </w:r>
          </w:p>
        </w:tc>
        <w:tc>
          <w:tcPr>
            <w:tcW w:w="1276" w:type="dxa"/>
            <w:shd w:val="clear" w:color="auto" w:fill="auto"/>
            <w:vAlign w:val="center"/>
            <w:hideMark/>
          </w:tcPr>
          <w:p w14:paraId="17F2B8D5" w14:textId="77777777" w:rsidR="008865AE" w:rsidRPr="00005453" w:rsidRDefault="008865AE" w:rsidP="0023277E">
            <w:pPr>
              <w:jc w:val="right"/>
              <w:rPr>
                <w:b/>
                <w:bCs/>
                <w:sz w:val="18"/>
                <w:szCs w:val="18"/>
                <w:lang w:eastAsia="tr-TR"/>
              </w:rPr>
            </w:pPr>
            <w:r w:rsidRPr="00005453">
              <w:rPr>
                <w:b/>
                <w:bCs/>
                <w:sz w:val="18"/>
                <w:szCs w:val="18"/>
                <w:lang w:eastAsia="tr-TR"/>
              </w:rPr>
              <w:t>%</w:t>
            </w:r>
          </w:p>
        </w:tc>
        <w:tc>
          <w:tcPr>
            <w:tcW w:w="1418" w:type="dxa"/>
            <w:shd w:val="clear" w:color="auto" w:fill="auto"/>
            <w:vAlign w:val="center"/>
            <w:hideMark/>
          </w:tcPr>
          <w:p w14:paraId="55A97A60" w14:textId="77777777" w:rsidR="008865AE" w:rsidRPr="00005453" w:rsidRDefault="008865AE" w:rsidP="0023277E">
            <w:pPr>
              <w:jc w:val="right"/>
              <w:rPr>
                <w:b/>
                <w:bCs/>
                <w:sz w:val="18"/>
                <w:szCs w:val="18"/>
                <w:lang w:eastAsia="tr-TR"/>
              </w:rPr>
            </w:pPr>
            <w:r w:rsidRPr="00005453">
              <w:rPr>
                <w:b/>
                <w:bCs/>
                <w:sz w:val="18"/>
                <w:szCs w:val="18"/>
                <w:lang w:eastAsia="tr-TR"/>
              </w:rPr>
              <w:t>YP</w:t>
            </w:r>
          </w:p>
        </w:tc>
        <w:tc>
          <w:tcPr>
            <w:tcW w:w="1275" w:type="dxa"/>
            <w:shd w:val="clear" w:color="auto" w:fill="auto"/>
            <w:vAlign w:val="center"/>
            <w:hideMark/>
          </w:tcPr>
          <w:p w14:paraId="61C89B26" w14:textId="77777777" w:rsidR="008865AE" w:rsidRPr="00005453" w:rsidRDefault="008865AE" w:rsidP="0023277E">
            <w:pPr>
              <w:jc w:val="right"/>
              <w:rPr>
                <w:b/>
                <w:bCs/>
                <w:sz w:val="18"/>
                <w:szCs w:val="18"/>
                <w:lang w:eastAsia="tr-TR"/>
              </w:rPr>
            </w:pPr>
            <w:r w:rsidRPr="00005453">
              <w:rPr>
                <w:b/>
                <w:bCs/>
                <w:sz w:val="18"/>
                <w:szCs w:val="18"/>
                <w:lang w:eastAsia="tr-TR"/>
              </w:rPr>
              <w:t>%</w:t>
            </w:r>
          </w:p>
        </w:tc>
      </w:tr>
      <w:tr w:rsidR="00846060" w:rsidRPr="00005453" w14:paraId="1A187CA8" w14:textId="77777777" w:rsidTr="00846060">
        <w:trPr>
          <w:divId w:val="1138962261"/>
          <w:trHeight w:val="259"/>
        </w:trPr>
        <w:tc>
          <w:tcPr>
            <w:tcW w:w="3124" w:type="dxa"/>
            <w:shd w:val="clear" w:color="auto" w:fill="auto"/>
            <w:vAlign w:val="center"/>
            <w:hideMark/>
          </w:tcPr>
          <w:p w14:paraId="3CDB5F68" w14:textId="77777777" w:rsidR="00846060" w:rsidRPr="00005453" w:rsidRDefault="00846060" w:rsidP="00846060">
            <w:pPr>
              <w:rPr>
                <w:b/>
                <w:bCs/>
                <w:sz w:val="18"/>
                <w:szCs w:val="18"/>
                <w:lang w:eastAsia="tr-TR"/>
              </w:rPr>
            </w:pPr>
            <w:r w:rsidRPr="00005453">
              <w:rPr>
                <w:b/>
                <w:bCs/>
                <w:sz w:val="18"/>
                <w:szCs w:val="18"/>
                <w:lang w:eastAsia="tr-TR"/>
              </w:rPr>
              <w:t>Tarım</w:t>
            </w:r>
          </w:p>
        </w:tc>
        <w:tc>
          <w:tcPr>
            <w:tcW w:w="1407" w:type="dxa"/>
            <w:shd w:val="clear" w:color="auto" w:fill="auto"/>
            <w:noWrap/>
            <w:vAlign w:val="center"/>
            <w:hideMark/>
          </w:tcPr>
          <w:p w14:paraId="46E7FED5" w14:textId="2BD37084" w:rsidR="00846060" w:rsidRPr="00005453" w:rsidRDefault="00846060" w:rsidP="00846060">
            <w:pPr>
              <w:jc w:val="right"/>
              <w:rPr>
                <w:b/>
                <w:bCs/>
                <w:sz w:val="18"/>
                <w:szCs w:val="18"/>
                <w:lang w:eastAsia="tr-TR"/>
              </w:rPr>
            </w:pPr>
            <w:r w:rsidRPr="00005453">
              <w:rPr>
                <w:b/>
                <w:bCs/>
                <w:color w:val="000000"/>
                <w:sz w:val="18"/>
                <w:szCs w:val="18"/>
              </w:rPr>
              <w:t>856,115</w:t>
            </w:r>
          </w:p>
        </w:tc>
        <w:tc>
          <w:tcPr>
            <w:tcW w:w="1276" w:type="dxa"/>
            <w:shd w:val="clear" w:color="auto" w:fill="auto"/>
            <w:noWrap/>
            <w:vAlign w:val="center"/>
            <w:hideMark/>
          </w:tcPr>
          <w:p w14:paraId="4D281A5A" w14:textId="5F6B1841" w:rsidR="00846060" w:rsidRPr="00005453" w:rsidRDefault="00846060" w:rsidP="00846060">
            <w:pPr>
              <w:jc w:val="right"/>
              <w:rPr>
                <w:b/>
                <w:bCs/>
                <w:sz w:val="18"/>
                <w:szCs w:val="18"/>
                <w:lang w:eastAsia="tr-TR"/>
              </w:rPr>
            </w:pPr>
            <w:r w:rsidRPr="00005453">
              <w:rPr>
                <w:b/>
                <w:bCs/>
                <w:sz w:val="18"/>
                <w:szCs w:val="18"/>
              </w:rPr>
              <w:t>2.26</w:t>
            </w:r>
          </w:p>
        </w:tc>
        <w:tc>
          <w:tcPr>
            <w:tcW w:w="1418" w:type="dxa"/>
            <w:shd w:val="clear" w:color="auto" w:fill="auto"/>
            <w:noWrap/>
            <w:vAlign w:val="center"/>
            <w:hideMark/>
          </w:tcPr>
          <w:p w14:paraId="1687DAE5" w14:textId="3350E6DF" w:rsidR="00846060" w:rsidRPr="00005453" w:rsidRDefault="00846060" w:rsidP="00846060">
            <w:pPr>
              <w:jc w:val="right"/>
              <w:rPr>
                <w:b/>
                <w:bCs/>
                <w:sz w:val="18"/>
                <w:szCs w:val="18"/>
                <w:lang w:eastAsia="tr-TR"/>
              </w:rPr>
            </w:pPr>
            <w:r w:rsidRPr="00005453">
              <w:rPr>
                <w:b/>
                <w:bCs/>
                <w:color w:val="000000"/>
                <w:sz w:val="18"/>
                <w:szCs w:val="18"/>
              </w:rPr>
              <w:t>255,761</w:t>
            </w:r>
          </w:p>
        </w:tc>
        <w:tc>
          <w:tcPr>
            <w:tcW w:w="1275" w:type="dxa"/>
            <w:shd w:val="clear" w:color="auto" w:fill="auto"/>
            <w:noWrap/>
            <w:vAlign w:val="center"/>
            <w:hideMark/>
          </w:tcPr>
          <w:p w14:paraId="74E541C1" w14:textId="7444CAF2" w:rsidR="00846060" w:rsidRPr="00005453" w:rsidRDefault="00846060" w:rsidP="00846060">
            <w:pPr>
              <w:jc w:val="right"/>
              <w:rPr>
                <w:b/>
                <w:bCs/>
                <w:sz w:val="18"/>
                <w:szCs w:val="18"/>
                <w:lang w:eastAsia="tr-TR"/>
              </w:rPr>
            </w:pPr>
            <w:r w:rsidRPr="00005453">
              <w:rPr>
                <w:b/>
                <w:bCs/>
                <w:sz w:val="18"/>
                <w:szCs w:val="18"/>
              </w:rPr>
              <w:t>1.08</w:t>
            </w:r>
          </w:p>
        </w:tc>
      </w:tr>
      <w:tr w:rsidR="00846060" w:rsidRPr="00005453" w14:paraId="5AF8ECDD" w14:textId="77777777" w:rsidTr="00846060">
        <w:trPr>
          <w:divId w:val="1138962261"/>
          <w:trHeight w:val="259"/>
        </w:trPr>
        <w:tc>
          <w:tcPr>
            <w:tcW w:w="3124" w:type="dxa"/>
            <w:shd w:val="clear" w:color="auto" w:fill="auto"/>
            <w:vAlign w:val="center"/>
            <w:hideMark/>
          </w:tcPr>
          <w:p w14:paraId="3872F01B" w14:textId="77777777" w:rsidR="00846060" w:rsidRPr="00005453" w:rsidRDefault="00846060" w:rsidP="00846060">
            <w:pPr>
              <w:ind w:firstLineChars="200" w:firstLine="360"/>
              <w:rPr>
                <w:sz w:val="18"/>
                <w:szCs w:val="18"/>
                <w:lang w:eastAsia="tr-TR"/>
              </w:rPr>
            </w:pPr>
            <w:r w:rsidRPr="00005453">
              <w:rPr>
                <w:sz w:val="18"/>
                <w:szCs w:val="18"/>
                <w:lang w:eastAsia="tr-TR"/>
              </w:rPr>
              <w:t>Çiftçilik ve Hayvancılık</w:t>
            </w:r>
          </w:p>
        </w:tc>
        <w:tc>
          <w:tcPr>
            <w:tcW w:w="1407" w:type="dxa"/>
            <w:shd w:val="clear" w:color="auto" w:fill="auto"/>
            <w:noWrap/>
            <w:vAlign w:val="center"/>
            <w:hideMark/>
          </w:tcPr>
          <w:p w14:paraId="2C7202B1" w14:textId="14F74170" w:rsidR="00846060" w:rsidRPr="00005453" w:rsidRDefault="00846060" w:rsidP="00846060">
            <w:pPr>
              <w:jc w:val="right"/>
              <w:rPr>
                <w:sz w:val="18"/>
                <w:szCs w:val="18"/>
                <w:lang w:eastAsia="tr-TR"/>
              </w:rPr>
            </w:pPr>
            <w:r w:rsidRPr="00005453">
              <w:rPr>
                <w:sz w:val="18"/>
                <w:szCs w:val="18"/>
              </w:rPr>
              <w:t>579,107</w:t>
            </w:r>
          </w:p>
        </w:tc>
        <w:tc>
          <w:tcPr>
            <w:tcW w:w="1276" w:type="dxa"/>
            <w:shd w:val="clear" w:color="auto" w:fill="auto"/>
            <w:noWrap/>
            <w:vAlign w:val="center"/>
            <w:hideMark/>
          </w:tcPr>
          <w:p w14:paraId="2CDE13B3" w14:textId="58CE29B5" w:rsidR="00846060" w:rsidRPr="00005453" w:rsidRDefault="00846060" w:rsidP="00846060">
            <w:pPr>
              <w:jc w:val="right"/>
              <w:rPr>
                <w:sz w:val="18"/>
                <w:szCs w:val="18"/>
                <w:lang w:eastAsia="tr-TR"/>
              </w:rPr>
            </w:pPr>
            <w:r w:rsidRPr="00005453">
              <w:rPr>
                <w:sz w:val="18"/>
                <w:szCs w:val="18"/>
              </w:rPr>
              <w:t>1.53</w:t>
            </w:r>
          </w:p>
        </w:tc>
        <w:tc>
          <w:tcPr>
            <w:tcW w:w="1418" w:type="dxa"/>
            <w:shd w:val="clear" w:color="auto" w:fill="auto"/>
            <w:noWrap/>
            <w:vAlign w:val="center"/>
            <w:hideMark/>
          </w:tcPr>
          <w:p w14:paraId="5EA673DF" w14:textId="701AD859" w:rsidR="00846060" w:rsidRPr="00005453" w:rsidRDefault="00846060" w:rsidP="00846060">
            <w:pPr>
              <w:jc w:val="right"/>
              <w:rPr>
                <w:sz w:val="18"/>
                <w:szCs w:val="18"/>
                <w:lang w:eastAsia="tr-TR"/>
              </w:rPr>
            </w:pPr>
            <w:r w:rsidRPr="00005453">
              <w:rPr>
                <w:sz w:val="18"/>
                <w:szCs w:val="18"/>
              </w:rPr>
              <w:t>196,066</w:t>
            </w:r>
          </w:p>
        </w:tc>
        <w:tc>
          <w:tcPr>
            <w:tcW w:w="1275" w:type="dxa"/>
            <w:shd w:val="clear" w:color="auto" w:fill="auto"/>
            <w:noWrap/>
            <w:vAlign w:val="center"/>
            <w:hideMark/>
          </w:tcPr>
          <w:p w14:paraId="32B8148B" w14:textId="5ADFB111" w:rsidR="00846060" w:rsidRPr="00005453" w:rsidRDefault="00846060" w:rsidP="00846060">
            <w:pPr>
              <w:jc w:val="right"/>
              <w:rPr>
                <w:sz w:val="18"/>
                <w:szCs w:val="18"/>
                <w:lang w:eastAsia="tr-TR"/>
              </w:rPr>
            </w:pPr>
            <w:r w:rsidRPr="00005453">
              <w:rPr>
                <w:sz w:val="18"/>
                <w:szCs w:val="18"/>
              </w:rPr>
              <w:t>0.83</w:t>
            </w:r>
          </w:p>
        </w:tc>
      </w:tr>
      <w:tr w:rsidR="00846060" w:rsidRPr="00005453" w14:paraId="28D1871D" w14:textId="77777777" w:rsidTr="00846060">
        <w:trPr>
          <w:divId w:val="1138962261"/>
          <w:trHeight w:val="259"/>
        </w:trPr>
        <w:tc>
          <w:tcPr>
            <w:tcW w:w="3124" w:type="dxa"/>
            <w:shd w:val="clear" w:color="auto" w:fill="auto"/>
            <w:vAlign w:val="center"/>
            <w:hideMark/>
          </w:tcPr>
          <w:p w14:paraId="1AA3C85B" w14:textId="77777777" w:rsidR="00846060" w:rsidRPr="00005453" w:rsidRDefault="00846060" w:rsidP="00846060">
            <w:pPr>
              <w:ind w:firstLineChars="200" w:firstLine="360"/>
              <w:rPr>
                <w:sz w:val="18"/>
                <w:szCs w:val="18"/>
                <w:lang w:eastAsia="tr-TR"/>
              </w:rPr>
            </w:pPr>
            <w:r w:rsidRPr="00005453">
              <w:rPr>
                <w:sz w:val="18"/>
                <w:szCs w:val="18"/>
                <w:lang w:eastAsia="tr-TR"/>
              </w:rPr>
              <w:t>Ormancılık</w:t>
            </w:r>
          </w:p>
        </w:tc>
        <w:tc>
          <w:tcPr>
            <w:tcW w:w="1407" w:type="dxa"/>
            <w:shd w:val="clear" w:color="auto" w:fill="auto"/>
            <w:noWrap/>
            <w:vAlign w:val="center"/>
            <w:hideMark/>
          </w:tcPr>
          <w:p w14:paraId="184A1E62" w14:textId="49BBF3BC" w:rsidR="00846060" w:rsidRPr="00005453" w:rsidRDefault="00846060" w:rsidP="00846060">
            <w:pPr>
              <w:jc w:val="right"/>
              <w:rPr>
                <w:sz w:val="18"/>
                <w:szCs w:val="18"/>
                <w:lang w:eastAsia="tr-TR"/>
              </w:rPr>
            </w:pPr>
            <w:r w:rsidRPr="00005453">
              <w:rPr>
                <w:sz w:val="18"/>
                <w:szCs w:val="18"/>
              </w:rPr>
              <w:t>276,797</w:t>
            </w:r>
          </w:p>
        </w:tc>
        <w:tc>
          <w:tcPr>
            <w:tcW w:w="1276" w:type="dxa"/>
            <w:shd w:val="clear" w:color="auto" w:fill="auto"/>
            <w:noWrap/>
            <w:vAlign w:val="center"/>
            <w:hideMark/>
          </w:tcPr>
          <w:p w14:paraId="6E7C487A" w14:textId="025D7A55" w:rsidR="00846060" w:rsidRPr="00005453" w:rsidRDefault="00846060" w:rsidP="00846060">
            <w:pPr>
              <w:jc w:val="right"/>
              <w:rPr>
                <w:sz w:val="18"/>
                <w:szCs w:val="18"/>
                <w:lang w:eastAsia="tr-TR"/>
              </w:rPr>
            </w:pPr>
            <w:r w:rsidRPr="00005453">
              <w:rPr>
                <w:sz w:val="18"/>
                <w:szCs w:val="18"/>
              </w:rPr>
              <w:t>0.73</w:t>
            </w:r>
          </w:p>
        </w:tc>
        <w:tc>
          <w:tcPr>
            <w:tcW w:w="1418" w:type="dxa"/>
            <w:shd w:val="clear" w:color="auto" w:fill="auto"/>
            <w:noWrap/>
            <w:vAlign w:val="center"/>
            <w:hideMark/>
          </w:tcPr>
          <w:p w14:paraId="30F556F9" w14:textId="1EC80ABA" w:rsidR="00846060" w:rsidRPr="00005453" w:rsidRDefault="00846060" w:rsidP="00846060">
            <w:pPr>
              <w:jc w:val="right"/>
              <w:rPr>
                <w:sz w:val="18"/>
                <w:szCs w:val="18"/>
                <w:lang w:eastAsia="tr-TR"/>
              </w:rPr>
            </w:pPr>
            <w:r w:rsidRPr="00005453">
              <w:rPr>
                <w:sz w:val="18"/>
                <w:szCs w:val="18"/>
              </w:rPr>
              <w:t>59,695</w:t>
            </w:r>
          </w:p>
        </w:tc>
        <w:tc>
          <w:tcPr>
            <w:tcW w:w="1275" w:type="dxa"/>
            <w:shd w:val="clear" w:color="auto" w:fill="auto"/>
            <w:noWrap/>
            <w:vAlign w:val="center"/>
            <w:hideMark/>
          </w:tcPr>
          <w:p w14:paraId="4F16629A" w14:textId="508B4DF6" w:rsidR="00846060" w:rsidRPr="00005453" w:rsidRDefault="00846060" w:rsidP="00846060">
            <w:pPr>
              <w:jc w:val="right"/>
              <w:rPr>
                <w:sz w:val="18"/>
                <w:szCs w:val="18"/>
                <w:lang w:eastAsia="tr-TR"/>
              </w:rPr>
            </w:pPr>
            <w:r w:rsidRPr="00005453">
              <w:rPr>
                <w:sz w:val="18"/>
                <w:szCs w:val="18"/>
              </w:rPr>
              <w:t>0.25</w:t>
            </w:r>
          </w:p>
        </w:tc>
      </w:tr>
      <w:tr w:rsidR="00846060" w:rsidRPr="00005453" w14:paraId="38954360" w14:textId="77777777" w:rsidTr="00846060">
        <w:trPr>
          <w:divId w:val="1138962261"/>
          <w:trHeight w:val="259"/>
        </w:trPr>
        <w:tc>
          <w:tcPr>
            <w:tcW w:w="3124" w:type="dxa"/>
            <w:shd w:val="clear" w:color="auto" w:fill="auto"/>
            <w:vAlign w:val="center"/>
            <w:hideMark/>
          </w:tcPr>
          <w:p w14:paraId="09391CDC" w14:textId="77777777" w:rsidR="00846060" w:rsidRPr="00005453" w:rsidRDefault="00846060" w:rsidP="00846060">
            <w:pPr>
              <w:ind w:firstLineChars="200" w:firstLine="360"/>
              <w:rPr>
                <w:sz w:val="18"/>
                <w:szCs w:val="18"/>
                <w:lang w:eastAsia="tr-TR"/>
              </w:rPr>
            </w:pPr>
            <w:r w:rsidRPr="00005453">
              <w:rPr>
                <w:sz w:val="18"/>
                <w:szCs w:val="18"/>
                <w:lang w:eastAsia="tr-TR"/>
              </w:rPr>
              <w:t>Balıkçılık</w:t>
            </w:r>
          </w:p>
        </w:tc>
        <w:tc>
          <w:tcPr>
            <w:tcW w:w="1407" w:type="dxa"/>
            <w:shd w:val="clear" w:color="auto" w:fill="auto"/>
            <w:noWrap/>
            <w:vAlign w:val="center"/>
            <w:hideMark/>
          </w:tcPr>
          <w:p w14:paraId="6F14D5AC" w14:textId="6472BF57" w:rsidR="00846060" w:rsidRPr="00005453" w:rsidRDefault="00846060" w:rsidP="00846060">
            <w:pPr>
              <w:jc w:val="right"/>
              <w:rPr>
                <w:sz w:val="18"/>
                <w:szCs w:val="18"/>
                <w:lang w:eastAsia="tr-TR"/>
              </w:rPr>
            </w:pPr>
            <w:r w:rsidRPr="00005453">
              <w:rPr>
                <w:sz w:val="18"/>
                <w:szCs w:val="18"/>
              </w:rPr>
              <w:t>211</w:t>
            </w:r>
          </w:p>
        </w:tc>
        <w:tc>
          <w:tcPr>
            <w:tcW w:w="1276" w:type="dxa"/>
            <w:shd w:val="clear" w:color="auto" w:fill="auto"/>
            <w:noWrap/>
            <w:vAlign w:val="center"/>
            <w:hideMark/>
          </w:tcPr>
          <w:p w14:paraId="0D5618B4" w14:textId="527D798C" w:rsidR="00846060" w:rsidRPr="00005453" w:rsidRDefault="00B34EC3" w:rsidP="00846060">
            <w:pPr>
              <w:jc w:val="right"/>
              <w:rPr>
                <w:sz w:val="18"/>
                <w:szCs w:val="18"/>
                <w:lang w:eastAsia="tr-TR"/>
              </w:rPr>
            </w:pPr>
            <w:r w:rsidRPr="00005453">
              <w:rPr>
                <w:sz w:val="18"/>
                <w:szCs w:val="18"/>
              </w:rPr>
              <w:t>-</w:t>
            </w:r>
          </w:p>
        </w:tc>
        <w:tc>
          <w:tcPr>
            <w:tcW w:w="1418" w:type="dxa"/>
            <w:shd w:val="clear" w:color="auto" w:fill="auto"/>
            <w:noWrap/>
            <w:vAlign w:val="center"/>
            <w:hideMark/>
          </w:tcPr>
          <w:p w14:paraId="3AFE768D" w14:textId="6EC4EB0D" w:rsidR="00846060" w:rsidRPr="00005453" w:rsidRDefault="00846060" w:rsidP="00846060">
            <w:pPr>
              <w:jc w:val="right"/>
              <w:rPr>
                <w:sz w:val="18"/>
                <w:szCs w:val="18"/>
                <w:lang w:eastAsia="tr-TR"/>
              </w:rPr>
            </w:pPr>
            <w:r w:rsidRPr="00005453">
              <w:rPr>
                <w:sz w:val="18"/>
                <w:szCs w:val="18"/>
              </w:rPr>
              <w:t>-</w:t>
            </w:r>
          </w:p>
        </w:tc>
        <w:tc>
          <w:tcPr>
            <w:tcW w:w="1275" w:type="dxa"/>
            <w:shd w:val="clear" w:color="auto" w:fill="auto"/>
            <w:noWrap/>
            <w:vAlign w:val="center"/>
            <w:hideMark/>
          </w:tcPr>
          <w:p w14:paraId="4F16CBCC" w14:textId="53C02436" w:rsidR="00846060" w:rsidRPr="00005453" w:rsidRDefault="00846060" w:rsidP="00846060">
            <w:pPr>
              <w:jc w:val="right"/>
              <w:rPr>
                <w:sz w:val="18"/>
                <w:szCs w:val="18"/>
                <w:lang w:eastAsia="tr-TR"/>
              </w:rPr>
            </w:pPr>
            <w:r w:rsidRPr="00005453">
              <w:rPr>
                <w:sz w:val="18"/>
                <w:szCs w:val="18"/>
              </w:rPr>
              <w:t>-</w:t>
            </w:r>
          </w:p>
        </w:tc>
      </w:tr>
      <w:tr w:rsidR="00846060" w:rsidRPr="00005453" w14:paraId="15F83C34" w14:textId="77777777" w:rsidTr="00846060">
        <w:trPr>
          <w:divId w:val="1138962261"/>
          <w:trHeight w:val="259"/>
        </w:trPr>
        <w:tc>
          <w:tcPr>
            <w:tcW w:w="3124" w:type="dxa"/>
            <w:shd w:val="clear" w:color="auto" w:fill="auto"/>
            <w:vAlign w:val="center"/>
            <w:hideMark/>
          </w:tcPr>
          <w:p w14:paraId="514693CA" w14:textId="77777777" w:rsidR="00846060" w:rsidRPr="00005453" w:rsidRDefault="00846060" w:rsidP="00846060">
            <w:pPr>
              <w:rPr>
                <w:b/>
                <w:bCs/>
                <w:sz w:val="18"/>
                <w:szCs w:val="18"/>
                <w:lang w:eastAsia="tr-TR"/>
              </w:rPr>
            </w:pPr>
            <w:r w:rsidRPr="00005453">
              <w:rPr>
                <w:b/>
                <w:bCs/>
                <w:sz w:val="18"/>
                <w:szCs w:val="18"/>
                <w:lang w:eastAsia="tr-TR"/>
              </w:rPr>
              <w:t>Sanayi</w:t>
            </w:r>
          </w:p>
        </w:tc>
        <w:tc>
          <w:tcPr>
            <w:tcW w:w="1407" w:type="dxa"/>
            <w:shd w:val="clear" w:color="auto" w:fill="auto"/>
            <w:noWrap/>
            <w:vAlign w:val="center"/>
            <w:hideMark/>
          </w:tcPr>
          <w:p w14:paraId="1BA08507" w14:textId="054692CF" w:rsidR="00846060" w:rsidRPr="00005453" w:rsidRDefault="00846060" w:rsidP="00846060">
            <w:pPr>
              <w:jc w:val="right"/>
              <w:rPr>
                <w:b/>
                <w:bCs/>
                <w:sz w:val="18"/>
                <w:szCs w:val="18"/>
                <w:lang w:eastAsia="tr-TR"/>
              </w:rPr>
            </w:pPr>
            <w:r w:rsidRPr="00005453">
              <w:rPr>
                <w:b/>
                <w:bCs/>
                <w:color w:val="000000"/>
                <w:sz w:val="18"/>
                <w:szCs w:val="18"/>
              </w:rPr>
              <w:t>9,041,204</w:t>
            </w:r>
          </w:p>
        </w:tc>
        <w:tc>
          <w:tcPr>
            <w:tcW w:w="1276" w:type="dxa"/>
            <w:shd w:val="clear" w:color="auto" w:fill="auto"/>
            <w:noWrap/>
            <w:vAlign w:val="center"/>
            <w:hideMark/>
          </w:tcPr>
          <w:p w14:paraId="781C0C72" w14:textId="256B42ED" w:rsidR="00846060" w:rsidRPr="00005453" w:rsidRDefault="00846060" w:rsidP="00846060">
            <w:pPr>
              <w:jc w:val="right"/>
              <w:rPr>
                <w:b/>
                <w:bCs/>
                <w:sz w:val="18"/>
                <w:szCs w:val="18"/>
                <w:lang w:eastAsia="tr-TR"/>
              </w:rPr>
            </w:pPr>
            <w:r w:rsidRPr="00005453">
              <w:rPr>
                <w:b/>
                <w:bCs/>
                <w:sz w:val="18"/>
                <w:szCs w:val="18"/>
              </w:rPr>
              <w:t>23.88</w:t>
            </w:r>
          </w:p>
        </w:tc>
        <w:tc>
          <w:tcPr>
            <w:tcW w:w="1418" w:type="dxa"/>
            <w:shd w:val="clear" w:color="auto" w:fill="auto"/>
            <w:noWrap/>
            <w:vAlign w:val="center"/>
            <w:hideMark/>
          </w:tcPr>
          <w:p w14:paraId="67166660" w14:textId="730C62B5" w:rsidR="00846060" w:rsidRPr="00005453" w:rsidRDefault="00846060" w:rsidP="00846060">
            <w:pPr>
              <w:jc w:val="right"/>
              <w:rPr>
                <w:b/>
                <w:bCs/>
                <w:sz w:val="18"/>
                <w:szCs w:val="18"/>
                <w:lang w:eastAsia="tr-TR"/>
              </w:rPr>
            </w:pPr>
            <w:r w:rsidRPr="00005453">
              <w:rPr>
                <w:b/>
                <w:bCs/>
                <w:color w:val="000000"/>
                <w:sz w:val="18"/>
                <w:szCs w:val="18"/>
              </w:rPr>
              <w:t>7,655,077</w:t>
            </w:r>
          </w:p>
        </w:tc>
        <w:tc>
          <w:tcPr>
            <w:tcW w:w="1275" w:type="dxa"/>
            <w:shd w:val="clear" w:color="auto" w:fill="auto"/>
            <w:noWrap/>
            <w:vAlign w:val="center"/>
            <w:hideMark/>
          </w:tcPr>
          <w:p w14:paraId="61625F8B" w14:textId="059130D2" w:rsidR="00846060" w:rsidRPr="00005453" w:rsidRDefault="00846060" w:rsidP="00846060">
            <w:pPr>
              <w:jc w:val="right"/>
              <w:rPr>
                <w:b/>
                <w:bCs/>
                <w:sz w:val="18"/>
                <w:szCs w:val="18"/>
                <w:lang w:eastAsia="tr-TR"/>
              </w:rPr>
            </w:pPr>
            <w:r w:rsidRPr="00005453">
              <w:rPr>
                <w:b/>
                <w:bCs/>
                <w:sz w:val="18"/>
                <w:szCs w:val="18"/>
              </w:rPr>
              <w:t>32.28</w:t>
            </w:r>
          </w:p>
        </w:tc>
      </w:tr>
      <w:tr w:rsidR="00846060" w:rsidRPr="00005453" w14:paraId="602D3072" w14:textId="77777777" w:rsidTr="00846060">
        <w:trPr>
          <w:divId w:val="1138962261"/>
          <w:trHeight w:val="259"/>
        </w:trPr>
        <w:tc>
          <w:tcPr>
            <w:tcW w:w="3124" w:type="dxa"/>
            <w:shd w:val="clear" w:color="auto" w:fill="auto"/>
            <w:vAlign w:val="center"/>
            <w:hideMark/>
          </w:tcPr>
          <w:p w14:paraId="6F2A4F29" w14:textId="77777777" w:rsidR="00846060" w:rsidRPr="00005453" w:rsidRDefault="00846060" w:rsidP="00846060">
            <w:pPr>
              <w:ind w:firstLineChars="200" w:firstLine="360"/>
              <w:rPr>
                <w:sz w:val="18"/>
                <w:szCs w:val="18"/>
                <w:lang w:eastAsia="tr-TR"/>
              </w:rPr>
            </w:pPr>
            <w:r w:rsidRPr="00005453">
              <w:rPr>
                <w:sz w:val="18"/>
                <w:szCs w:val="18"/>
                <w:lang w:eastAsia="tr-TR"/>
              </w:rPr>
              <w:t>Madencilik ve Taşocakçılığı</w:t>
            </w:r>
          </w:p>
        </w:tc>
        <w:tc>
          <w:tcPr>
            <w:tcW w:w="1407" w:type="dxa"/>
            <w:shd w:val="clear" w:color="auto" w:fill="auto"/>
            <w:noWrap/>
            <w:vAlign w:val="center"/>
            <w:hideMark/>
          </w:tcPr>
          <w:p w14:paraId="452BC18B" w14:textId="6A7C038D" w:rsidR="00846060" w:rsidRPr="00005453" w:rsidRDefault="00846060" w:rsidP="00846060">
            <w:pPr>
              <w:jc w:val="right"/>
              <w:rPr>
                <w:sz w:val="18"/>
                <w:szCs w:val="18"/>
                <w:lang w:eastAsia="tr-TR"/>
              </w:rPr>
            </w:pPr>
            <w:r w:rsidRPr="00005453">
              <w:rPr>
                <w:sz w:val="18"/>
                <w:szCs w:val="18"/>
              </w:rPr>
              <w:t>1,789,977</w:t>
            </w:r>
          </w:p>
        </w:tc>
        <w:tc>
          <w:tcPr>
            <w:tcW w:w="1276" w:type="dxa"/>
            <w:shd w:val="clear" w:color="auto" w:fill="auto"/>
            <w:noWrap/>
            <w:vAlign w:val="center"/>
            <w:hideMark/>
          </w:tcPr>
          <w:p w14:paraId="3AACCFD5" w14:textId="6AE802D5" w:rsidR="00846060" w:rsidRPr="00005453" w:rsidRDefault="00846060" w:rsidP="00846060">
            <w:pPr>
              <w:jc w:val="right"/>
              <w:rPr>
                <w:sz w:val="18"/>
                <w:szCs w:val="18"/>
                <w:lang w:eastAsia="tr-TR"/>
              </w:rPr>
            </w:pPr>
            <w:r w:rsidRPr="00005453">
              <w:rPr>
                <w:sz w:val="18"/>
                <w:szCs w:val="18"/>
              </w:rPr>
              <w:t>4.73</w:t>
            </w:r>
          </w:p>
        </w:tc>
        <w:tc>
          <w:tcPr>
            <w:tcW w:w="1418" w:type="dxa"/>
            <w:shd w:val="clear" w:color="auto" w:fill="auto"/>
            <w:noWrap/>
            <w:vAlign w:val="center"/>
            <w:hideMark/>
          </w:tcPr>
          <w:p w14:paraId="12ADEC28" w14:textId="5A45561E" w:rsidR="00846060" w:rsidRPr="00005453" w:rsidRDefault="00846060" w:rsidP="00846060">
            <w:pPr>
              <w:jc w:val="right"/>
              <w:rPr>
                <w:sz w:val="18"/>
                <w:szCs w:val="18"/>
                <w:lang w:eastAsia="tr-TR"/>
              </w:rPr>
            </w:pPr>
            <w:r w:rsidRPr="00005453">
              <w:rPr>
                <w:sz w:val="18"/>
                <w:szCs w:val="18"/>
              </w:rPr>
              <w:t>1,845,256</w:t>
            </w:r>
          </w:p>
        </w:tc>
        <w:tc>
          <w:tcPr>
            <w:tcW w:w="1275" w:type="dxa"/>
            <w:shd w:val="clear" w:color="auto" w:fill="auto"/>
            <w:noWrap/>
            <w:vAlign w:val="center"/>
            <w:hideMark/>
          </w:tcPr>
          <w:p w14:paraId="354982D7" w14:textId="3FD6326D" w:rsidR="00846060" w:rsidRPr="00005453" w:rsidRDefault="00846060" w:rsidP="00846060">
            <w:pPr>
              <w:jc w:val="right"/>
              <w:rPr>
                <w:sz w:val="18"/>
                <w:szCs w:val="18"/>
                <w:lang w:eastAsia="tr-TR"/>
              </w:rPr>
            </w:pPr>
            <w:r w:rsidRPr="00005453">
              <w:rPr>
                <w:sz w:val="18"/>
                <w:szCs w:val="18"/>
              </w:rPr>
              <w:t>7.78</w:t>
            </w:r>
          </w:p>
        </w:tc>
      </w:tr>
      <w:tr w:rsidR="00846060" w:rsidRPr="00005453" w14:paraId="37EE9A32" w14:textId="77777777" w:rsidTr="00846060">
        <w:trPr>
          <w:divId w:val="1138962261"/>
          <w:trHeight w:val="259"/>
        </w:trPr>
        <w:tc>
          <w:tcPr>
            <w:tcW w:w="3124" w:type="dxa"/>
            <w:shd w:val="clear" w:color="auto" w:fill="auto"/>
            <w:vAlign w:val="center"/>
            <w:hideMark/>
          </w:tcPr>
          <w:p w14:paraId="40A8640C" w14:textId="77777777" w:rsidR="00846060" w:rsidRPr="00005453" w:rsidRDefault="00846060" w:rsidP="00846060">
            <w:pPr>
              <w:ind w:firstLineChars="200" w:firstLine="360"/>
              <w:rPr>
                <w:sz w:val="18"/>
                <w:szCs w:val="18"/>
                <w:lang w:eastAsia="tr-TR"/>
              </w:rPr>
            </w:pPr>
            <w:r w:rsidRPr="00005453">
              <w:rPr>
                <w:sz w:val="18"/>
                <w:szCs w:val="18"/>
                <w:lang w:eastAsia="tr-TR"/>
              </w:rPr>
              <w:t>İmalat Sanayi</w:t>
            </w:r>
          </w:p>
        </w:tc>
        <w:tc>
          <w:tcPr>
            <w:tcW w:w="1407" w:type="dxa"/>
            <w:shd w:val="clear" w:color="auto" w:fill="auto"/>
            <w:noWrap/>
            <w:vAlign w:val="center"/>
            <w:hideMark/>
          </w:tcPr>
          <w:p w14:paraId="17130A03" w14:textId="587E5E3B" w:rsidR="00846060" w:rsidRPr="00005453" w:rsidRDefault="00846060" w:rsidP="00846060">
            <w:pPr>
              <w:jc w:val="right"/>
              <w:rPr>
                <w:sz w:val="18"/>
                <w:szCs w:val="18"/>
                <w:lang w:eastAsia="tr-TR"/>
              </w:rPr>
            </w:pPr>
            <w:r w:rsidRPr="00005453">
              <w:rPr>
                <w:sz w:val="18"/>
                <w:szCs w:val="18"/>
              </w:rPr>
              <w:t>6,339,737</w:t>
            </w:r>
          </w:p>
        </w:tc>
        <w:tc>
          <w:tcPr>
            <w:tcW w:w="1276" w:type="dxa"/>
            <w:shd w:val="clear" w:color="auto" w:fill="auto"/>
            <w:noWrap/>
            <w:vAlign w:val="center"/>
            <w:hideMark/>
          </w:tcPr>
          <w:p w14:paraId="5073CCE9" w14:textId="14D37379" w:rsidR="00846060" w:rsidRPr="00005453" w:rsidRDefault="00846060" w:rsidP="00846060">
            <w:pPr>
              <w:jc w:val="right"/>
              <w:rPr>
                <w:sz w:val="18"/>
                <w:szCs w:val="18"/>
                <w:lang w:eastAsia="tr-TR"/>
              </w:rPr>
            </w:pPr>
            <w:r w:rsidRPr="00005453">
              <w:rPr>
                <w:sz w:val="18"/>
                <w:szCs w:val="18"/>
              </w:rPr>
              <w:t>16.74</w:t>
            </w:r>
          </w:p>
        </w:tc>
        <w:tc>
          <w:tcPr>
            <w:tcW w:w="1418" w:type="dxa"/>
            <w:shd w:val="clear" w:color="auto" w:fill="auto"/>
            <w:noWrap/>
            <w:vAlign w:val="center"/>
            <w:hideMark/>
          </w:tcPr>
          <w:p w14:paraId="0588ECDA" w14:textId="4CF20A74" w:rsidR="00846060" w:rsidRPr="00005453" w:rsidRDefault="00846060" w:rsidP="00846060">
            <w:pPr>
              <w:jc w:val="right"/>
              <w:rPr>
                <w:sz w:val="18"/>
                <w:szCs w:val="18"/>
                <w:lang w:eastAsia="tr-TR"/>
              </w:rPr>
            </w:pPr>
            <w:r w:rsidRPr="00005453">
              <w:rPr>
                <w:sz w:val="18"/>
                <w:szCs w:val="18"/>
              </w:rPr>
              <w:t>5,525,420</w:t>
            </w:r>
          </w:p>
        </w:tc>
        <w:tc>
          <w:tcPr>
            <w:tcW w:w="1275" w:type="dxa"/>
            <w:shd w:val="clear" w:color="auto" w:fill="auto"/>
            <w:noWrap/>
            <w:vAlign w:val="center"/>
            <w:hideMark/>
          </w:tcPr>
          <w:p w14:paraId="70F31161" w14:textId="054461E0" w:rsidR="00846060" w:rsidRPr="00005453" w:rsidRDefault="00846060" w:rsidP="00846060">
            <w:pPr>
              <w:jc w:val="right"/>
              <w:rPr>
                <w:sz w:val="18"/>
                <w:szCs w:val="18"/>
                <w:lang w:eastAsia="tr-TR"/>
              </w:rPr>
            </w:pPr>
            <w:r w:rsidRPr="00005453">
              <w:rPr>
                <w:sz w:val="18"/>
                <w:szCs w:val="18"/>
              </w:rPr>
              <w:t>23.30</w:t>
            </w:r>
          </w:p>
        </w:tc>
      </w:tr>
      <w:tr w:rsidR="00846060" w:rsidRPr="00005453" w14:paraId="3A5134DD" w14:textId="77777777" w:rsidTr="00846060">
        <w:trPr>
          <w:divId w:val="1138962261"/>
          <w:trHeight w:val="259"/>
        </w:trPr>
        <w:tc>
          <w:tcPr>
            <w:tcW w:w="3124" w:type="dxa"/>
            <w:shd w:val="clear" w:color="auto" w:fill="auto"/>
            <w:vAlign w:val="center"/>
            <w:hideMark/>
          </w:tcPr>
          <w:p w14:paraId="579E2FA1" w14:textId="77777777" w:rsidR="00846060" w:rsidRPr="00005453" w:rsidRDefault="00846060" w:rsidP="00846060">
            <w:pPr>
              <w:ind w:firstLineChars="200" w:firstLine="360"/>
              <w:rPr>
                <w:sz w:val="18"/>
                <w:szCs w:val="18"/>
                <w:lang w:eastAsia="tr-TR"/>
              </w:rPr>
            </w:pPr>
            <w:r w:rsidRPr="00005453">
              <w:rPr>
                <w:sz w:val="18"/>
                <w:szCs w:val="18"/>
                <w:lang w:eastAsia="tr-TR"/>
              </w:rPr>
              <w:t>Elektrik, Gaz, Su</w:t>
            </w:r>
          </w:p>
        </w:tc>
        <w:tc>
          <w:tcPr>
            <w:tcW w:w="1407" w:type="dxa"/>
            <w:shd w:val="clear" w:color="auto" w:fill="auto"/>
            <w:noWrap/>
            <w:vAlign w:val="center"/>
            <w:hideMark/>
          </w:tcPr>
          <w:p w14:paraId="6A96078E" w14:textId="54CEEBF9" w:rsidR="00846060" w:rsidRPr="00005453" w:rsidRDefault="00846060" w:rsidP="00846060">
            <w:pPr>
              <w:jc w:val="right"/>
              <w:rPr>
                <w:sz w:val="18"/>
                <w:szCs w:val="18"/>
                <w:lang w:eastAsia="tr-TR"/>
              </w:rPr>
            </w:pPr>
            <w:r w:rsidRPr="00005453">
              <w:rPr>
                <w:sz w:val="18"/>
                <w:szCs w:val="18"/>
              </w:rPr>
              <w:t>911,490</w:t>
            </w:r>
          </w:p>
        </w:tc>
        <w:tc>
          <w:tcPr>
            <w:tcW w:w="1276" w:type="dxa"/>
            <w:shd w:val="clear" w:color="auto" w:fill="auto"/>
            <w:noWrap/>
            <w:vAlign w:val="center"/>
            <w:hideMark/>
          </w:tcPr>
          <w:p w14:paraId="18ACCB26" w14:textId="1DAB3879" w:rsidR="00846060" w:rsidRPr="00005453" w:rsidRDefault="00846060" w:rsidP="00846060">
            <w:pPr>
              <w:jc w:val="right"/>
              <w:rPr>
                <w:sz w:val="18"/>
                <w:szCs w:val="18"/>
                <w:lang w:eastAsia="tr-TR"/>
              </w:rPr>
            </w:pPr>
            <w:r w:rsidRPr="00005453">
              <w:rPr>
                <w:sz w:val="18"/>
                <w:szCs w:val="18"/>
              </w:rPr>
              <w:t>2.41</w:t>
            </w:r>
          </w:p>
        </w:tc>
        <w:tc>
          <w:tcPr>
            <w:tcW w:w="1418" w:type="dxa"/>
            <w:shd w:val="clear" w:color="auto" w:fill="auto"/>
            <w:noWrap/>
            <w:vAlign w:val="center"/>
            <w:hideMark/>
          </w:tcPr>
          <w:p w14:paraId="37FA2E3F" w14:textId="077EACED" w:rsidR="00846060" w:rsidRPr="00005453" w:rsidRDefault="00846060" w:rsidP="00846060">
            <w:pPr>
              <w:jc w:val="right"/>
              <w:rPr>
                <w:sz w:val="18"/>
                <w:szCs w:val="18"/>
                <w:lang w:eastAsia="tr-TR"/>
              </w:rPr>
            </w:pPr>
            <w:r w:rsidRPr="00005453">
              <w:rPr>
                <w:sz w:val="18"/>
                <w:szCs w:val="18"/>
              </w:rPr>
              <w:t>284,401</w:t>
            </w:r>
          </w:p>
        </w:tc>
        <w:tc>
          <w:tcPr>
            <w:tcW w:w="1275" w:type="dxa"/>
            <w:shd w:val="clear" w:color="auto" w:fill="auto"/>
            <w:noWrap/>
            <w:vAlign w:val="center"/>
            <w:hideMark/>
          </w:tcPr>
          <w:p w14:paraId="13CCFEA1" w14:textId="6141890D" w:rsidR="00846060" w:rsidRPr="00005453" w:rsidRDefault="00846060" w:rsidP="00846060">
            <w:pPr>
              <w:jc w:val="right"/>
              <w:rPr>
                <w:sz w:val="18"/>
                <w:szCs w:val="18"/>
                <w:lang w:eastAsia="tr-TR"/>
              </w:rPr>
            </w:pPr>
            <w:r w:rsidRPr="00005453">
              <w:rPr>
                <w:sz w:val="18"/>
                <w:szCs w:val="18"/>
              </w:rPr>
              <w:t>1.20</w:t>
            </w:r>
          </w:p>
        </w:tc>
      </w:tr>
      <w:tr w:rsidR="00846060" w:rsidRPr="00005453" w14:paraId="2E49788F" w14:textId="77777777" w:rsidTr="00846060">
        <w:trPr>
          <w:divId w:val="1138962261"/>
          <w:trHeight w:val="259"/>
        </w:trPr>
        <w:tc>
          <w:tcPr>
            <w:tcW w:w="3124" w:type="dxa"/>
            <w:shd w:val="clear" w:color="auto" w:fill="auto"/>
            <w:vAlign w:val="center"/>
            <w:hideMark/>
          </w:tcPr>
          <w:p w14:paraId="5865DBF9" w14:textId="77777777" w:rsidR="00846060" w:rsidRPr="00005453" w:rsidRDefault="00846060" w:rsidP="00846060">
            <w:pPr>
              <w:rPr>
                <w:b/>
                <w:bCs/>
                <w:sz w:val="18"/>
                <w:szCs w:val="18"/>
                <w:lang w:eastAsia="tr-TR"/>
              </w:rPr>
            </w:pPr>
            <w:r w:rsidRPr="00005453">
              <w:rPr>
                <w:b/>
                <w:bCs/>
                <w:sz w:val="18"/>
                <w:szCs w:val="18"/>
                <w:lang w:eastAsia="tr-TR"/>
              </w:rPr>
              <w:t>İnşaat</w:t>
            </w:r>
          </w:p>
        </w:tc>
        <w:tc>
          <w:tcPr>
            <w:tcW w:w="1407" w:type="dxa"/>
            <w:shd w:val="clear" w:color="auto" w:fill="auto"/>
            <w:noWrap/>
            <w:vAlign w:val="center"/>
            <w:hideMark/>
          </w:tcPr>
          <w:p w14:paraId="56B4C98E" w14:textId="1C605991" w:rsidR="00846060" w:rsidRPr="00005453" w:rsidRDefault="00846060" w:rsidP="00846060">
            <w:pPr>
              <w:jc w:val="right"/>
              <w:rPr>
                <w:b/>
                <w:bCs/>
                <w:sz w:val="18"/>
                <w:szCs w:val="18"/>
                <w:lang w:eastAsia="tr-TR"/>
              </w:rPr>
            </w:pPr>
            <w:r w:rsidRPr="00005453">
              <w:rPr>
                <w:b/>
                <w:bCs/>
                <w:sz w:val="18"/>
                <w:szCs w:val="18"/>
              </w:rPr>
              <w:t>14,928,512</w:t>
            </w:r>
          </w:p>
        </w:tc>
        <w:tc>
          <w:tcPr>
            <w:tcW w:w="1276" w:type="dxa"/>
            <w:shd w:val="clear" w:color="auto" w:fill="auto"/>
            <w:noWrap/>
            <w:vAlign w:val="center"/>
            <w:hideMark/>
          </w:tcPr>
          <w:p w14:paraId="70A52E37" w14:textId="64F2AD70" w:rsidR="00846060" w:rsidRPr="00005453" w:rsidRDefault="00846060" w:rsidP="00846060">
            <w:pPr>
              <w:jc w:val="right"/>
              <w:rPr>
                <w:b/>
                <w:bCs/>
                <w:sz w:val="18"/>
                <w:szCs w:val="18"/>
                <w:lang w:eastAsia="tr-TR"/>
              </w:rPr>
            </w:pPr>
            <w:r w:rsidRPr="00005453">
              <w:rPr>
                <w:b/>
                <w:bCs/>
                <w:sz w:val="18"/>
                <w:szCs w:val="18"/>
              </w:rPr>
              <w:t>39.42</w:t>
            </w:r>
          </w:p>
        </w:tc>
        <w:tc>
          <w:tcPr>
            <w:tcW w:w="1418" w:type="dxa"/>
            <w:shd w:val="clear" w:color="auto" w:fill="auto"/>
            <w:noWrap/>
            <w:vAlign w:val="center"/>
            <w:hideMark/>
          </w:tcPr>
          <w:p w14:paraId="0BEAE7D3" w14:textId="5F3B81C6" w:rsidR="00846060" w:rsidRPr="00005453" w:rsidRDefault="00846060" w:rsidP="00846060">
            <w:pPr>
              <w:jc w:val="right"/>
              <w:rPr>
                <w:b/>
                <w:bCs/>
                <w:sz w:val="18"/>
                <w:szCs w:val="18"/>
                <w:lang w:eastAsia="tr-TR"/>
              </w:rPr>
            </w:pPr>
            <w:r w:rsidRPr="00005453">
              <w:rPr>
                <w:b/>
                <w:bCs/>
                <w:sz w:val="18"/>
                <w:szCs w:val="18"/>
              </w:rPr>
              <w:t>3,082,159</w:t>
            </w:r>
          </w:p>
        </w:tc>
        <w:tc>
          <w:tcPr>
            <w:tcW w:w="1275" w:type="dxa"/>
            <w:shd w:val="clear" w:color="auto" w:fill="auto"/>
            <w:noWrap/>
            <w:vAlign w:val="center"/>
            <w:hideMark/>
          </w:tcPr>
          <w:p w14:paraId="4DCC363C" w14:textId="41467814" w:rsidR="00846060" w:rsidRPr="00005453" w:rsidRDefault="00846060" w:rsidP="00846060">
            <w:pPr>
              <w:jc w:val="right"/>
              <w:rPr>
                <w:b/>
                <w:bCs/>
                <w:sz w:val="18"/>
                <w:szCs w:val="18"/>
                <w:lang w:eastAsia="tr-TR"/>
              </w:rPr>
            </w:pPr>
            <w:r w:rsidRPr="00005453">
              <w:rPr>
                <w:b/>
                <w:bCs/>
                <w:sz w:val="18"/>
                <w:szCs w:val="18"/>
              </w:rPr>
              <w:t>13.00</w:t>
            </w:r>
          </w:p>
        </w:tc>
      </w:tr>
      <w:tr w:rsidR="00846060" w:rsidRPr="00005453" w14:paraId="226C3B31" w14:textId="77777777" w:rsidTr="00846060">
        <w:trPr>
          <w:divId w:val="1138962261"/>
          <w:trHeight w:val="259"/>
        </w:trPr>
        <w:tc>
          <w:tcPr>
            <w:tcW w:w="3124" w:type="dxa"/>
            <w:shd w:val="clear" w:color="auto" w:fill="auto"/>
            <w:vAlign w:val="center"/>
            <w:hideMark/>
          </w:tcPr>
          <w:p w14:paraId="53A2DAD8" w14:textId="77777777" w:rsidR="00846060" w:rsidRPr="00005453" w:rsidRDefault="00846060" w:rsidP="00846060">
            <w:pPr>
              <w:rPr>
                <w:b/>
                <w:bCs/>
                <w:sz w:val="18"/>
                <w:szCs w:val="18"/>
                <w:lang w:eastAsia="tr-TR"/>
              </w:rPr>
            </w:pPr>
            <w:r w:rsidRPr="00005453">
              <w:rPr>
                <w:b/>
                <w:bCs/>
                <w:sz w:val="18"/>
                <w:szCs w:val="18"/>
                <w:lang w:eastAsia="tr-TR"/>
              </w:rPr>
              <w:t>Hizmetler</w:t>
            </w:r>
          </w:p>
        </w:tc>
        <w:tc>
          <w:tcPr>
            <w:tcW w:w="1407" w:type="dxa"/>
            <w:shd w:val="clear" w:color="auto" w:fill="auto"/>
            <w:noWrap/>
            <w:vAlign w:val="center"/>
            <w:hideMark/>
          </w:tcPr>
          <w:p w14:paraId="29B26298" w14:textId="16208B13" w:rsidR="00846060" w:rsidRPr="00005453" w:rsidRDefault="00846060" w:rsidP="00846060">
            <w:pPr>
              <w:jc w:val="right"/>
              <w:rPr>
                <w:b/>
                <w:bCs/>
                <w:sz w:val="18"/>
                <w:szCs w:val="18"/>
                <w:lang w:eastAsia="tr-TR"/>
              </w:rPr>
            </w:pPr>
            <w:r w:rsidRPr="00005453">
              <w:rPr>
                <w:b/>
                <w:bCs/>
                <w:color w:val="000000"/>
                <w:sz w:val="18"/>
                <w:szCs w:val="18"/>
              </w:rPr>
              <w:t>10,687,543</w:t>
            </w:r>
          </w:p>
        </w:tc>
        <w:tc>
          <w:tcPr>
            <w:tcW w:w="1276" w:type="dxa"/>
            <w:shd w:val="clear" w:color="auto" w:fill="auto"/>
            <w:noWrap/>
            <w:vAlign w:val="center"/>
            <w:hideMark/>
          </w:tcPr>
          <w:p w14:paraId="3B7D17B1" w14:textId="5A0B9607" w:rsidR="00846060" w:rsidRPr="00005453" w:rsidRDefault="00846060" w:rsidP="00846060">
            <w:pPr>
              <w:jc w:val="right"/>
              <w:rPr>
                <w:b/>
                <w:bCs/>
                <w:sz w:val="18"/>
                <w:szCs w:val="18"/>
                <w:lang w:eastAsia="tr-TR"/>
              </w:rPr>
            </w:pPr>
            <w:r w:rsidRPr="00005453">
              <w:rPr>
                <w:b/>
                <w:bCs/>
                <w:sz w:val="18"/>
                <w:szCs w:val="18"/>
              </w:rPr>
              <w:t>28.22</w:t>
            </w:r>
          </w:p>
        </w:tc>
        <w:tc>
          <w:tcPr>
            <w:tcW w:w="1418" w:type="dxa"/>
            <w:shd w:val="clear" w:color="auto" w:fill="auto"/>
            <w:noWrap/>
            <w:vAlign w:val="center"/>
            <w:hideMark/>
          </w:tcPr>
          <w:p w14:paraId="4902BD2A" w14:textId="2E89A294" w:rsidR="00846060" w:rsidRPr="00005453" w:rsidRDefault="00846060" w:rsidP="00846060">
            <w:pPr>
              <w:jc w:val="right"/>
              <w:rPr>
                <w:b/>
                <w:bCs/>
                <w:sz w:val="18"/>
                <w:szCs w:val="18"/>
                <w:lang w:eastAsia="tr-TR"/>
              </w:rPr>
            </w:pPr>
            <w:r w:rsidRPr="00005453">
              <w:rPr>
                <w:b/>
                <w:bCs/>
                <w:color w:val="000000"/>
                <w:sz w:val="18"/>
                <w:szCs w:val="18"/>
              </w:rPr>
              <w:t>10,412,162</w:t>
            </w:r>
          </w:p>
        </w:tc>
        <w:tc>
          <w:tcPr>
            <w:tcW w:w="1275" w:type="dxa"/>
            <w:shd w:val="clear" w:color="auto" w:fill="auto"/>
            <w:noWrap/>
            <w:vAlign w:val="center"/>
            <w:hideMark/>
          </w:tcPr>
          <w:p w14:paraId="091FC243" w14:textId="2DDF9100" w:rsidR="00846060" w:rsidRPr="00005453" w:rsidRDefault="00846060" w:rsidP="00846060">
            <w:pPr>
              <w:jc w:val="right"/>
              <w:rPr>
                <w:b/>
                <w:bCs/>
                <w:sz w:val="18"/>
                <w:szCs w:val="18"/>
                <w:lang w:eastAsia="tr-TR"/>
              </w:rPr>
            </w:pPr>
            <w:r w:rsidRPr="00005453">
              <w:rPr>
                <w:b/>
                <w:bCs/>
                <w:sz w:val="18"/>
                <w:szCs w:val="18"/>
              </w:rPr>
              <w:t>43.90</w:t>
            </w:r>
          </w:p>
        </w:tc>
      </w:tr>
      <w:tr w:rsidR="00846060" w:rsidRPr="00005453" w14:paraId="23F9129C" w14:textId="77777777" w:rsidTr="00846060">
        <w:trPr>
          <w:divId w:val="1138962261"/>
          <w:trHeight w:val="259"/>
        </w:trPr>
        <w:tc>
          <w:tcPr>
            <w:tcW w:w="3124" w:type="dxa"/>
            <w:shd w:val="clear" w:color="auto" w:fill="auto"/>
            <w:vAlign w:val="center"/>
            <w:hideMark/>
          </w:tcPr>
          <w:p w14:paraId="2D2778C8" w14:textId="77777777" w:rsidR="00846060" w:rsidRPr="00005453" w:rsidRDefault="00846060" w:rsidP="00846060">
            <w:pPr>
              <w:ind w:firstLineChars="200" w:firstLine="360"/>
              <w:rPr>
                <w:sz w:val="18"/>
                <w:szCs w:val="18"/>
                <w:lang w:eastAsia="tr-TR"/>
              </w:rPr>
            </w:pPr>
            <w:r w:rsidRPr="00005453">
              <w:rPr>
                <w:sz w:val="18"/>
                <w:szCs w:val="18"/>
                <w:lang w:eastAsia="tr-TR"/>
              </w:rPr>
              <w:t>Toptan ve Perakende Ticaret</w:t>
            </w:r>
          </w:p>
        </w:tc>
        <w:tc>
          <w:tcPr>
            <w:tcW w:w="1407" w:type="dxa"/>
            <w:shd w:val="clear" w:color="auto" w:fill="auto"/>
            <w:noWrap/>
            <w:vAlign w:val="center"/>
            <w:hideMark/>
          </w:tcPr>
          <w:p w14:paraId="5E514A0D" w14:textId="169E4F0F" w:rsidR="00846060" w:rsidRPr="00005453" w:rsidRDefault="00846060" w:rsidP="00846060">
            <w:pPr>
              <w:jc w:val="right"/>
              <w:rPr>
                <w:sz w:val="18"/>
                <w:szCs w:val="18"/>
                <w:lang w:eastAsia="tr-TR"/>
              </w:rPr>
            </w:pPr>
            <w:r w:rsidRPr="00005453">
              <w:rPr>
                <w:sz w:val="18"/>
                <w:szCs w:val="18"/>
              </w:rPr>
              <w:t>7,224,489</w:t>
            </w:r>
          </w:p>
        </w:tc>
        <w:tc>
          <w:tcPr>
            <w:tcW w:w="1276" w:type="dxa"/>
            <w:shd w:val="clear" w:color="auto" w:fill="auto"/>
            <w:noWrap/>
            <w:vAlign w:val="center"/>
            <w:hideMark/>
          </w:tcPr>
          <w:p w14:paraId="6F92B3CE" w14:textId="3D0C310B" w:rsidR="00846060" w:rsidRPr="00005453" w:rsidRDefault="00846060" w:rsidP="00846060">
            <w:pPr>
              <w:jc w:val="right"/>
              <w:rPr>
                <w:sz w:val="18"/>
                <w:szCs w:val="18"/>
                <w:lang w:eastAsia="tr-TR"/>
              </w:rPr>
            </w:pPr>
            <w:r w:rsidRPr="00005453">
              <w:rPr>
                <w:sz w:val="18"/>
                <w:szCs w:val="18"/>
              </w:rPr>
              <w:t>19.08</w:t>
            </w:r>
          </w:p>
        </w:tc>
        <w:tc>
          <w:tcPr>
            <w:tcW w:w="1418" w:type="dxa"/>
            <w:shd w:val="clear" w:color="auto" w:fill="auto"/>
            <w:noWrap/>
            <w:vAlign w:val="center"/>
            <w:hideMark/>
          </w:tcPr>
          <w:p w14:paraId="6A08D2EE" w14:textId="13B4434C" w:rsidR="00846060" w:rsidRPr="00005453" w:rsidRDefault="00846060" w:rsidP="00846060">
            <w:pPr>
              <w:jc w:val="right"/>
              <w:rPr>
                <w:sz w:val="18"/>
                <w:szCs w:val="18"/>
                <w:lang w:eastAsia="tr-TR"/>
              </w:rPr>
            </w:pPr>
            <w:r w:rsidRPr="00005453">
              <w:rPr>
                <w:sz w:val="18"/>
                <w:szCs w:val="18"/>
              </w:rPr>
              <w:t>4,571,127</w:t>
            </w:r>
          </w:p>
        </w:tc>
        <w:tc>
          <w:tcPr>
            <w:tcW w:w="1275" w:type="dxa"/>
            <w:shd w:val="clear" w:color="auto" w:fill="auto"/>
            <w:noWrap/>
            <w:vAlign w:val="center"/>
            <w:hideMark/>
          </w:tcPr>
          <w:p w14:paraId="6F90E048" w14:textId="127085B3" w:rsidR="00846060" w:rsidRPr="00005453" w:rsidRDefault="00846060" w:rsidP="00846060">
            <w:pPr>
              <w:jc w:val="right"/>
              <w:rPr>
                <w:sz w:val="18"/>
                <w:szCs w:val="18"/>
                <w:lang w:eastAsia="tr-TR"/>
              </w:rPr>
            </w:pPr>
            <w:r w:rsidRPr="00005453">
              <w:rPr>
                <w:sz w:val="18"/>
                <w:szCs w:val="18"/>
              </w:rPr>
              <w:t>19.27</w:t>
            </w:r>
          </w:p>
        </w:tc>
      </w:tr>
      <w:tr w:rsidR="00846060" w:rsidRPr="00005453" w14:paraId="1B798015" w14:textId="77777777" w:rsidTr="00846060">
        <w:trPr>
          <w:divId w:val="1138962261"/>
          <w:trHeight w:val="259"/>
        </w:trPr>
        <w:tc>
          <w:tcPr>
            <w:tcW w:w="3124" w:type="dxa"/>
            <w:shd w:val="clear" w:color="auto" w:fill="auto"/>
            <w:vAlign w:val="center"/>
            <w:hideMark/>
          </w:tcPr>
          <w:p w14:paraId="254BA63E" w14:textId="77777777" w:rsidR="00846060" w:rsidRPr="00005453" w:rsidRDefault="00846060" w:rsidP="00846060">
            <w:pPr>
              <w:ind w:firstLineChars="200" w:firstLine="360"/>
              <w:rPr>
                <w:sz w:val="18"/>
                <w:szCs w:val="18"/>
                <w:lang w:eastAsia="tr-TR"/>
              </w:rPr>
            </w:pPr>
            <w:r w:rsidRPr="00005453">
              <w:rPr>
                <w:sz w:val="18"/>
                <w:szCs w:val="18"/>
                <w:lang w:eastAsia="tr-TR"/>
              </w:rPr>
              <w:t>Otel ve Lokanta Hizmetleri</w:t>
            </w:r>
          </w:p>
        </w:tc>
        <w:tc>
          <w:tcPr>
            <w:tcW w:w="1407" w:type="dxa"/>
            <w:shd w:val="clear" w:color="auto" w:fill="auto"/>
            <w:noWrap/>
            <w:vAlign w:val="center"/>
            <w:hideMark/>
          </w:tcPr>
          <w:p w14:paraId="62355B82" w14:textId="202267EE" w:rsidR="00846060" w:rsidRPr="00005453" w:rsidRDefault="00846060" w:rsidP="00846060">
            <w:pPr>
              <w:jc w:val="right"/>
              <w:rPr>
                <w:sz w:val="18"/>
                <w:szCs w:val="18"/>
                <w:lang w:eastAsia="tr-TR"/>
              </w:rPr>
            </w:pPr>
            <w:r w:rsidRPr="00005453">
              <w:rPr>
                <w:sz w:val="18"/>
                <w:szCs w:val="18"/>
              </w:rPr>
              <w:t>337,519</w:t>
            </w:r>
          </w:p>
        </w:tc>
        <w:tc>
          <w:tcPr>
            <w:tcW w:w="1276" w:type="dxa"/>
            <w:shd w:val="clear" w:color="auto" w:fill="auto"/>
            <w:noWrap/>
            <w:vAlign w:val="center"/>
            <w:hideMark/>
          </w:tcPr>
          <w:p w14:paraId="340472E7" w14:textId="27C05846" w:rsidR="00846060" w:rsidRPr="00005453" w:rsidRDefault="00846060" w:rsidP="00846060">
            <w:pPr>
              <w:jc w:val="right"/>
              <w:rPr>
                <w:sz w:val="18"/>
                <w:szCs w:val="18"/>
                <w:lang w:eastAsia="tr-TR"/>
              </w:rPr>
            </w:pPr>
            <w:r w:rsidRPr="00005453">
              <w:rPr>
                <w:sz w:val="18"/>
                <w:szCs w:val="18"/>
              </w:rPr>
              <w:t>0.89</w:t>
            </w:r>
          </w:p>
        </w:tc>
        <w:tc>
          <w:tcPr>
            <w:tcW w:w="1418" w:type="dxa"/>
            <w:shd w:val="clear" w:color="auto" w:fill="auto"/>
            <w:noWrap/>
            <w:vAlign w:val="center"/>
            <w:hideMark/>
          </w:tcPr>
          <w:p w14:paraId="29B8D83E" w14:textId="43FDEF57" w:rsidR="00846060" w:rsidRPr="00005453" w:rsidRDefault="00846060" w:rsidP="00846060">
            <w:pPr>
              <w:jc w:val="right"/>
              <w:rPr>
                <w:sz w:val="18"/>
                <w:szCs w:val="18"/>
                <w:lang w:eastAsia="tr-TR"/>
              </w:rPr>
            </w:pPr>
            <w:r w:rsidRPr="00005453">
              <w:rPr>
                <w:sz w:val="18"/>
                <w:szCs w:val="18"/>
              </w:rPr>
              <w:t>306,312</w:t>
            </w:r>
          </w:p>
        </w:tc>
        <w:tc>
          <w:tcPr>
            <w:tcW w:w="1275" w:type="dxa"/>
            <w:shd w:val="clear" w:color="auto" w:fill="auto"/>
            <w:noWrap/>
            <w:vAlign w:val="center"/>
            <w:hideMark/>
          </w:tcPr>
          <w:p w14:paraId="334C9193" w14:textId="772DAF0A" w:rsidR="00846060" w:rsidRPr="00005453" w:rsidRDefault="00846060" w:rsidP="00846060">
            <w:pPr>
              <w:jc w:val="right"/>
              <w:rPr>
                <w:sz w:val="18"/>
                <w:szCs w:val="18"/>
                <w:lang w:eastAsia="tr-TR"/>
              </w:rPr>
            </w:pPr>
            <w:r w:rsidRPr="00005453">
              <w:rPr>
                <w:sz w:val="18"/>
                <w:szCs w:val="18"/>
              </w:rPr>
              <w:t>1.29</w:t>
            </w:r>
          </w:p>
        </w:tc>
      </w:tr>
      <w:tr w:rsidR="00846060" w:rsidRPr="00005453" w14:paraId="0E286F1C" w14:textId="77777777" w:rsidTr="00846060">
        <w:trPr>
          <w:divId w:val="1138962261"/>
          <w:trHeight w:val="259"/>
        </w:trPr>
        <w:tc>
          <w:tcPr>
            <w:tcW w:w="3124" w:type="dxa"/>
            <w:shd w:val="clear" w:color="auto" w:fill="auto"/>
            <w:vAlign w:val="center"/>
            <w:hideMark/>
          </w:tcPr>
          <w:p w14:paraId="1F336AA4" w14:textId="77777777" w:rsidR="00846060" w:rsidRPr="00005453" w:rsidRDefault="00846060" w:rsidP="00846060">
            <w:pPr>
              <w:ind w:firstLineChars="200" w:firstLine="360"/>
              <w:rPr>
                <w:sz w:val="18"/>
                <w:szCs w:val="18"/>
                <w:lang w:eastAsia="tr-TR"/>
              </w:rPr>
            </w:pPr>
            <w:r w:rsidRPr="00005453">
              <w:rPr>
                <w:sz w:val="18"/>
                <w:szCs w:val="18"/>
                <w:lang w:eastAsia="tr-TR"/>
              </w:rPr>
              <w:t>Ulaştırma ve Haberleşme</w:t>
            </w:r>
          </w:p>
        </w:tc>
        <w:tc>
          <w:tcPr>
            <w:tcW w:w="1407" w:type="dxa"/>
            <w:shd w:val="clear" w:color="auto" w:fill="auto"/>
            <w:noWrap/>
            <w:vAlign w:val="center"/>
            <w:hideMark/>
          </w:tcPr>
          <w:p w14:paraId="128ED439" w14:textId="75DD9C28" w:rsidR="00846060" w:rsidRPr="00005453" w:rsidRDefault="00846060" w:rsidP="00846060">
            <w:pPr>
              <w:jc w:val="right"/>
              <w:rPr>
                <w:sz w:val="18"/>
                <w:szCs w:val="18"/>
                <w:lang w:eastAsia="tr-TR"/>
              </w:rPr>
            </w:pPr>
            <w:r w:rsidRPr="00005453">
              <w:rPr>
                <w:sz w:val="18"/>
                <w:szCs w:val="18"/>
              </w:rPr>
              <w:t>1,440,354</w:t>
            </w:r>
          </w:p>
        </w:tc>
        <w:tc>
          <w:tcPr>
            <w:tcW w:w="1276" w:type="dxa"/>
            <w:shd w:val="clear" w:color="auto" w:fill="auto"/>
            <w:noWrap/>
            <w:vAlign w:val="center"/>
            <w:hideMark/>
          </w:tcPr>
          <w:p w14:paraId="0C703C7E" w14:textId="4CA42ED7" w:rsidR="00846060" w:rsidRPr="00005453" w:rsidRDefault="00846060" w:rsidP="00846060">
            <w:pPr>
              <w:jc w:val="right"/>
              <w:rPr>
                <w:sz w:val="18"/>
                <w:szCs w:val="18"/>
                <w:lang w:eastAsia="tr-TR"/>
              </w:rPr>
            </w:pPr>
            <w:r w:rsidRPr="00005453">
              <w:rPr>
                <w:sz w:val="18"/>
                <w:szCs w:val="18"/>
              </w:rPr>
              <w:t>3.80</w:t>
            </w:r>
          </w:p>
        </w:tc>
        <w:tc>
          <w:tcPr>
            <w:tcW w:w="1418" w:type="dxa"/>
            <w:shd w:val="clear" w:color="auto" w:fill="auto"/>
            <w:noWrap/>
            <w:vAlign w:val="center"/>
            <w:hideMark/>
          </w:tcPr>
          <w:p w14:paraId="48CD6093" w14:textId="61EB69F4" w:rsidR="00846060" w:rsidRPr="00005453" w:rsidRDefault="00846060" w:rsidP="00846060">
            <w:pPr>
              <w:jc w:val="right"/>
              <w:rPr>
                <w:sz w:val="18"/>
                <w:szCs w:val="18"/>
                <w:lang w:eastAsia="tr-TR"/>
              </w:rPr>
            </w:pPr>
            <w:r w:rsidRPr="00005453">
              <w:rPr>
                <w:sz w:val="18"/>
                <w:szCs w:val="18"/>
              </w:rPr>
              <w:t>4,208,936</w:t>
            </w:r>
          </w:p>
        </w:tc>
        <w:tc>
          <w:tcPr>
            <w:tcW w:w="1275" w:type="dxa"/>
            <w:shd w:val="clear" w:color="auto" w:fill="auto"/>
            <w:noWrap/>
            <w:vAlign w:val="center"/>
            <w:hideMark/>
          </w:tcPr>
          <w:p w14:paraId="09FEC717" w14:textId="584006CF" w:rsidR="00846060" w:rsidRPr="00005453" w:rsidRDefault="00846060" w:rsidP="00846060">
            <w:pPr>
              <w:jc w:val="right"/>
              <w:rPr>
                <w:sz w:val="18"/>
                <w:szCs w:val="18"/>
                <w:lang w:eastAsia="tr-TR"/>
              </w:rPr>
            </w:pPr>
            <w:r w:rsidRPr="00005453">
              <w:rPr>
                <w:sz w:val="18"/>
                <w:szCs w:val="18"/>
              </w:rPr>
              <w:t>17.75</w:t>
            </w:r>
          </w:p>
        </w:tc>
      </w:tr>
      <w:tr w:rsidR="00846060" w:rsidRPr="00005453" w14:paraId="353ED97F" w14:textId="77777777" w:rsidTr="00846060">
        <w:trPr>
          <w:divId w:val="1138962261"/>
          <w:trHeight w:val="259"/>
        </w:trPr>
        <w:tc>
          <w:tcPr>
            <w:tcW w:w="3124" w:type="dxa"/>
            <w:shd w:val="clear" w:color="auto" w:fill="auto"/>
            <w:vAlign w:val="center"/>
            <w:hideMark/>
          </w:tcPr>
          <w:p w14:paraId="403B5007" w14:textId="77777777" w:rsidR="00846060" w:rsidRPr="00005453" w:rsidRDefault="00846060" w:rsidP="00846060">
            <w:pPr>
              <w:ind w:firstLineChars="200" w:firstLine="360"/>
              <w:rPr>
                <w:sz w:val="18"/>
                <w:szCs w:val="18"/>
                <w:lang w:eastAsia="tr-TR"/>
              </w:rPr>
            </w:pPr>
            <w:r w:rsidRPr="00005453">
              <w:rPr>
                <w:sz w:val="18"/>
                <w:szCs w:val="18"/>
                <w:lang w:eastAsia="tr-TR"/>
              </w:rPr>
              <w:t>Mali Kuruluşlar</w:t>
            </w:r>
          </w:p>
        </w:tc>
        <w:tc>
          <w:tcPr>
            <w:tcW w:w="1407" w:type="dxa"/>
            <w:shd w:val="clear" w:color="auto" w:fill="auto"/>
            <w:noWrap/>
            <w:vAlign w:val="center"/>
            <w:hideMark/>
          </w:tcPr>
          <w:p w14:paraId="3E79E1A1" w14:textId="090F84AD" w:rsidR="00846060" w:rsidRPr="00005453" w:rsidRDefault="00846060" w:rsidP="00846060">
            <w:pPr>
              <w:jc w:val="right"/>
              <w:rPr>
                <w:sz w:val="18"/>
                <w:szCs w:val="18"/>
                <w:lang w:eastAsia="tr-TR"/>
              </w:rPr>
            </w:pPr>
            <w:r w:rsidRPr="00005453">
              <w:rPr>
                <w:sz w:val="18"/>
                <w:szCs w:val="18"/>
              </w:rPr>
              <w:t>32,887</w:t>
            </w:r>
          </w:p>
        </w:tc>
        <w:tc>
          <w:tcPr>
            <w:tcW w:w="1276" w:type="dxa"/>
            <w:shd w:val="clear" w:color="auto" w:fill="auto"/>
            <w:noWrap/>
            <w:vAlign w:val="center"/>
            <w:hideMark/>
          </w:tcPr>
          <w:p w14:paraId="64D1A318" w14:textId="3FF477CD" w:rsidR="00846060" w:rsidRPr="00005453" w:rsidRDefault="00846060" w:rsidP="00846060">
            <w:pPr>
              <w:jc w:val="right"/>
              <w:rPr>
                <w:sz w:val="18"/>
                <w:szCs w:val="18"/>
                <w:lang w:eastAsia="tr-TR"/>
              </w:rPr>
            </w:pPr>
            <w:r w:rsidRPr="00005453">
              <w:rPr>
                <w:sz w:val="18"/>
                <w:szCs w:val="18"/>
              </w:rPr>
              <w:t>0.09</w:t>
            </w:r>
          </w:p>
        </w:tc>
        <w:tc>
          <w:tcPr>
            <w:tcW w:w="1418" w:type="dxa"/>
            <w:shd w:val="clear" w:color="auto" w:fill="auto"/>
            <w:noWrap/>
            <w:vAlign w:val="center"/>
            <w:hideMark/>
          </w:tcPr>
          <w:p w14:paraId="596AC61B" w14:textId="6CEF6D09" w:rsidR="00846060" w:rsidRPr="00005453" w:rsidRDefault="00846060" w:rsidP="00846060">
            <w:pPr>
              <w:jc w:val="right"/>
              <w:rPr>
                <w:sz w:val="18"/>
                <w:szCs w:val="18"/>
                <w:lang w:eastAsia="tr-TR"/>
              </w:rPr>
            </w:pPr>
            <w:r w:rsidRPr="00005453">
              <w:rPr>
                <w:sz w:val="18"/>
                <w:szCs w:val="18"/>
              </w:rPr>
              <w:t>530,360</w:t>
            </w:r>
          </w:p>
        </w:tc>
        <w:tc>
          <w:tcPr>
            <w:tcW w:w="1275" w:type="dxa"/>
            <w:shd w:val="clear" w:color="auto" w:fill="auto"/>
            <w:noWrap/>
            <w:vAlign w:val="center"/>
            <w:hideMark/>
          </w:tcPr>
          <w:p w14:paraId="703ED358" w14:textId="2B82E5DA" w:rsidR="00846060" w:rsidRPr="00005453" w:rsidRDefault="00846060" w:rsidP="00846060">
            <w:pPr>
              <w:jc w:val="right"/>
              <w:rPr>
                <w:sz w:val="18"/>
                <w:szCs w:val="18"/>
                <w:lang w:eastAsia="tr-TR"/>
              </w:rPr>
            </w:pPr>
            <w:r w:rsidRPr="00005453">
              <w:rPr>
                <w:sz w:val="18"/>
                <w:szCs w:val="18"/>
              </w:rPr>
              <w:t>2.24</w:t>
            </w:r>
          </w:p>
        </w:tc>
      </w:tr>
      <w:tr w:rsidR="00846060" w:rsidRPr="00005453" w14:paraId="3FF59625" w14:textId="77777777" w:rsidTr="00846060">
        <w:trPr>
          <w:divId w:val="1138962261"/>
          <w:trHeight w:val="259"/>
        </w:trPr>
        <w:tc>
          <w:tcPr>
            <w:tcW w:w="3124" w:type="dxa"/>
            <w:shd w:val="clear" w:color="auto" w:fill="auto"/>
            <w:vAlign w:val="center"/>
            <w:hideMark/>
          </w:tcPr>
          <w:p w14:paraId="472AA0CC" w14:textId="77777777" w:rsidR="00846060" w:rsidRPr="00005453" w:rsidRDefault="00846060" w:rsidP="00846060">
            <w:pPr>
              <w:ind w:firstLineChars="200" w:firstLine="360"/>
              <w:rPr>
                <w:sz w:val="18"/>
                <w:szCs w:val="18"/>
                <w:lang w:eastAsia="tr-TR"/>
              </w:rPr>
            </w:pPr>
            <w:r w:rsidRPr="00005453">
              <w:rPr>
                <w:sz w:val="18"/>
                <w:szCs w:val="18"/>
                <w:lang w:eastAsia="tr-TR"/>
              </w:rPr>
              <w:t>Gayrimenkul ve Kira Hizmetleri</w:t>
            </w:r>
          </w:p>
        </w:tc>
        <w:tc>
          <w:tcPr>
            <w:tcW w:w="1407" w:type="dxa"/>
            <w:shd w:val="clear" w:color="auto" w:fill="auto"/>
            <w:noWrap/>
            <w:vAlign w:val="center"/>
            <w:hideMark/>
          </w:tcPr>
          <w:p w14:paraId="49678CC6" w14:textId="60B410E7" w:rsidR="00846060" w:rsidRPr="00005453" w:rsidRDefault="00846060" w:rsidP="00846060">
            <w:pPr>
              <w:jc w:val="right"/>
              <w:rPr>
                <w:sz w:val="18"/>
                <w:szCs w:val="18"/>
                <w:lang w:eastAsia="tr-TR"/>
              </w:rPr>
            </w:pPr>
            <w:r w:rsidRPr="00005453">
              <w:rPr>
                <w:sz w:val="18"/>
                <w:szCs w:val="18"/>
              </w:rPr>
              <w:t>167,434</w:t>
            </w:r>
          </w:p>
        </w:tc>
        <w:tc>
          <w:tcPr>
            <w:tcW w:w="1276" w:type="dxa"/>
            <w:shd w:val="clear" w:color="auto" w:fill="auto"/>
            <w:noWrap/>
            <w:vAlign w:val="center"/>
            <w:hideMark/>
          </w:tcPr>
          <w:p w14:paraId="24905987" w14:textId="554E031F" w:rsidR="00846060" w:rsidRPr="00005453" w:rsidRDefault="00846060" w:rsidP="00846060">
            <w:pPr>
              <w:jc w:val="right"/>
              <w:rPr>
                <w:sz w:val="18"/>
                <w:szCs w:val="18"/>
                <w:lang w:eastAsia="tr-TR"/>
              </w:rPr>
            </w:pPr>
            <w:r w:rsidRPr="00005453">
              <w:rPr>
                <w:sz w:val="18"/>
                <w:szCs w:val="18"/>
              </w:rPr>
              <w:t>0.44</w:t>
            </w:r>
          </w:p>
        </w:tc>
        <w:tc>
          <w:tcPr>
            <w:tcW w:w="1418" w:type="dxa"/>
            <w:shd w:val="clear" w:color="auto" w:fill="auto"/>
            <w:noWrap/>
            <w:vAlign w:val="center"/>
            <w:hideMark/>
          </w:tcPr>
          <w:p w14:paraId="50C76277" w14:textId="58BD351E" w:rsidR="00846060" w:rsidRPr="00005453" w:rsidRDefault="00846060" w:rsidP="00846060">
            <w:pPr>
              <w:jc w:val="right"/>
              <w:rPr>
                <w:sz w:val="18"/>
                <w:szCs w:val="18"/>
                <w:lang w:eastAsia="tr-TR"/>
              </w:rPr>
            </w:pPr>
            <w:r w:rsidRPr="00005453">
              <w:rPr>
                <w:sz w:val="18"/>
                <w:szCs w:val="18"/>
              </w:rPr>
              <w:t>58,567</w:t>
            </w:r>
          </w:p>
        </w:tc>
        <w:tc>
          <w:tcPr>
            <w:tcW w:w="1275" w:type="dxa"/>
            <w:shd w:val="clear" w:color="auto" w:fill="auto"/>
            <w:noWrap/>
            <w:vAlign w:val="center"/>
            <w:hideMark/>
          </w:tcPr>
          <w:p w14:paraId="0C194195" w14:textId="6B247A1B" w:rsidR="00846060" w:rsidRPr="00005453" w:rsidRDefault="00846060" w:rsidP="00846060">
            <w:pPr>
              <w:jc w:val="right"/>
              <w:rPr>
                <w:sz w:val="18"/>
                <w:szCs w:val="18"/>
                <w:lang w:eastAsia="tr-TR"/>
              </w:rPr>
            </w:pPr>
            <w:r w:rsidRPr="00005453">
              <w:rPr>
                <w:sz w:val="18"/>
                <w:szCs w:val="18"/>
              </w:rPr>
              <w:t>0.25</w:t>
            </w:r>
          </w:p>
        </w:tc>
      </w:tr>
      <w:tr w:rsidR="00846060" w:rsidRPr="00005453" w14:paraId="3E75ED50" w14:textId="77777777" w:rsidTr="00846060">
        <w:trPr>
          <w:divId w:val="1138962261"/>
          <w:trHeight w:val="259"/>
        </w:trPr>
        <w:tc>
          <w:tcPr>
            <w:tcW w:w="3124" w:type="dxa"/>
            <w:shd w:val="clear" w:color="auto" w:fill="auto"/>
            <w:vAlign w:val="center"/>
            <w:hideMark/>
          </w:tcPr>
          <w:p w14:paraId="4B8DD8F1" w14:textId="77777777" w:rsidR="00846060" w:rsidRPr="00005453" w:rsidRDefault="00846060" w:rsidP="00846060">
            <w:pPr>
              <w:ind w:firstLineChars="200" w:firstLine="360"/>
              <w:rPr>
                <w:sz w:val="18"/>
                <w:szCs w:val="18"/>
                <w:lang w:eastAsia="tr-TR"/>
              </w:rPr>
            </w:pPr>
            <w:r w:rsidRPr="00005453">
              <w:rPr>
                <w:sz w:val="18"/>
                <w:szCs w:val="18"/>
                <w:lang w:eastAsia="tr-TR"/>
              </w:rPr>
              <w:t>Serbest Meslek Hizmetleri</w:t>
            </w:r>
          </w:p>
        </w:tc>
        <w:tc>
          <w:tcPr>
            <w:tcW w:w="1407" w:type="dxa"/>
            <w:shd w:val="clear" w:color="auto" w:fill="auto"/>
            <w:noWrap/>
            <w:vAlign w:val="center"/>
            <w:hideMark/>
          </w:tcPr>
          <w:p w14:paraId="1BC864AD" w14:textId="09A00327" w:rsidR="00846060" w:rsidRPr="00005453" w:rsidRDefault="00846060" w:rsidP="00846060">
            <w:pPr>
              <w:jc w:val="right"/>
              <w:rPr>
                <w:sz w:val="18"/>
                <w:szCs w:val="18"/>
                <w:lang w:eastAsia="tr-TR"/>
              </w:rPr>
            </w:pPr>
            <w:r w:rsidRPr="00005453">
              <w:rPr>
                <w:sz w:val="18"/>
                <w:szCs w:val="18"/>
              </w:rPr>
              <w:t>485</w:t>
            </w:r>
          </w:p>
        </w:tc>
        <w:tc>
          <w:tcPr>
            <w:tcW w:w="1276" w:type="dxa"/>
            <w:shd w:val="clear" w:color="auto" w:fill="auto"/>
            <w:noWrap/>
            <w:vAlign w:val="center"/>
            <w:hideMark/>
          </w:tcPr>
          <w:p w14:paraId="71CB137E" w14:textId="776027B6" w:rsidR="00846060" w:rsidRPr="00005453" w:rsidRDefault="00B34EC3" w:rsidP="00846060">
            <w:pPr>
              <w:jc w:val="right"/>
              <w:rPr>
                <w:sz w:val="18"/>
                <w:szCs w:val="18"/>
                <w:lang w:eastAsia="tr-TR"/>
              </w:rPr>
            </w:pPr>
            <w:r w:rsidRPr="00005453">
              <w:rPr>
                <w:sz w:val="18"/>
                <w:szCs w:val="18"/>
              </w:rPr>
              <w:t>-</w:t>
            </w:r>
          </w:p>
        </w:tc>
        <w:tc>
          <w:tcPr>
            <w:tcW w:w="1418" w:type="dxa"/>
            <w:shd w:val="clear" w:color="auto" w:fill="auto"/>
            <w:noWrap/>
            <w:vAlign w:val="center"/>
            <w:hideMark/>
          </w:tcPr>
          <w:p w14:paraId="16B7B007" w14:textId="388436F2" w:rsidR="00846060" w:rsidRPr="00005453" w:rsidRDefault="00846060" w:rsidP="00846060">
            <w:pPr>
              <w:jc w:val="right"/>
              <w:rPr>
                <w:sz w:val="18"/>
                <w:szCs w:val="18"/>
                <w:lang w:eastAsia="tr-TR"/>
              </w:rPr>
            </w:pPr>
            <w:r w:rsidRPr="00005453">
              <w:rPr>
                <w:sz w:val="18"/>
                <w:szCs w:val="18"/>
              </w:rPr>
              <w:t>-</w:t>
            </w:r>
          </w:p>
        </w:tc>
        <w:tc>
          <w:tcPr>
            <w:tcW w:w="1275" w:type="dxa"/>
            <w:shd w:val="clear" w:color="auto" w:fill="auto"/>
            <w:noWrap/>
            <w:vAlign w:val="center"/>
            <w:hideMark/>
          </w:tcPr>
          <w:p w14:paraId="1FE8BBB6" w14:textId="0863D62C" w:rsidR="00846060" w:rsidRPr="00005453" w:rsidRDefault="00846060" w:rsidP="00846060">
            <w:pPr>
              <w:jc w:val="right"/>
              <w:rPr>
                <w:sz w:val="18"/>
                <w:szCs w:val="18"/>
                <w:lang w:eastAsia="tr-TR"/>
              </w:rPr>
            </w:pPr>
            <w:r w:rsidRPr="00005453">
              <w:rPr>
                <w:sz w:val="18"/>
                <w:szCs w:val="18"/>
              </w:rPr>
              <w:t>-</w:t>
            </w:r>
          </w:p>
        </w:tc>
      </w:tr>
      <w:tr w:rsidR="00846060" w:rsidRPr="00005453" w14:paraId="536588D2" w14:textId="77777777" w:rsidTr="00846060">
        <w:trPr>
          <w:divId w:val="1138962261"/>
          <w:trHeight w:val="259"/>
        </w:trPr>
        <w:tc>
          <w:tcPr>
            <w:tcW w:w="3124" w:type="dxa"/>
            <w:shd w:val="clear" w:color="auto" w:fill="auto"/>
            <w:vAlign w:val="center"/>
            <w:hideMark/>
          </w:tcPr>
          <w:p w14:paraId="4D1DF8BE" w14:textId="77777777" w:rsidR="00846060" w:rsidRPr="00005453" w:rsidRDefault="00846060" w:rsidP="00846060">
            <w:pPr>
              <w:ind w:firstLineChars="200" w:firstLine="360"/>
              <w:rPr>
                <w:sz w:val="18"/>
                <w:szCs w:val="18"/>
                <w:lang w:eastAsia="tr-TR"/>
              </w:rPr>
            </w:pPr>
            <w:r w:rsidRPr="00005453">
              <w:rPr>
                <w:sz w:val="18"/>
                <w:szCs w:val="18"/>
                <w:lang w:eastAsia="tr-TR"/>
              </w:rPr>
              <w:t>Eğitim Hizmetleri</w:t>
            </w:r>
          </w:p>
        </w:tc>
        <w:tc>
          <w:tcPr>
            <w:tcW w:w="1407" w:type="dxa"/>
            <w:shd w:val="clear" w:color="auto" w:fill="auto"/>
            <w:noWrap/>
            <w:vAlign w:val="center"/>
            <w:hideMark/>
          </w:tcPr>
          <w:p w14:paraId="11DC7355" w14:textId="45BA6D7C" w:rsidR="00846060" w:rsidRPr="00005453" w:rsidRDefault="00846060" w:rsidP="00846060">
            <w:pPr>
              <w:jc w:val="right"/>
              <w:rPr>
                <w:sz w:val="18"/>
                <w:szCs w:val="18"/>
                <w:lang w:eastAsia="tr-TR"/>
              </w:rPr>
            </w:pPr>
            <w:r w:rsidRPr="00005453">
              <w:rPr>
                <w:sz w:val="18"/>
                <w:szCs w:val="18"/>
              </w:rPr>
              <w:t>80,059</w:t>
            </w:r>
          </w:p>
        </w:tc>
        <w:tc>
          <w:tcPr>
            <w:tcW w:w="1276" w:type="dxa"/>
            <w:shd w:val="clear" w:color="auto" w:fill="auto"/>
            <w:noWrap/>
            <w:vAlign w:val="center"/>
            <w:hideMark/>
          </w:tcPr>
          <w:p w14:paraId="51414358" w14:textId="54D1E09E" w:rsidR="00846060" w:rsidRPr="00005453" w:rsidRDefault="00846060" w:rsidP="00846060">
            <w:pPr>
              <w:jc w:val="right"/>
              <w:rPr>
                <w:sz w:val="18"/>
                <w:szCs w:val="18"/>
                <w:lang w:eastAsia="tr-TR"/>
              </w:rPr>
            </w:pPr>
            <w:r w:rsidRPr="00005453">
              <w:rPr>
                <w:sz w:val="18"/>
                <w:szCs w:val="18"/>
              </w:rPr>
              <w:t>0.21</w:t>
            </w:r>
          </w:p>
        </w:tc>
        <w:tc>
          <w:tcPr>
            <w:tcW w:w="1418" w:type="dxa"/>
            <w:shd w:val="clear" w:color="auto" w:fill="auto"/>
            <w:noWrap/>
            <w:vAlign w:val="center"/>
            <w:hideMark/>
          </w:tcPr>
          <w:p w14:paraId="4FC15B0A" w14:textId="11C3FBD9" w:rsidR="00846060" w:rsidRPr="00005453" w:rsidRDefault="00846060" w:rsidP="00846060">
            <w:pPr>
              <w:jc w:val="right"/>
              <w:rPr>
                <w:sz w:val="18"/>
                <w:szCs w:val="18"/>
                <w:lang w:eastAsia="tr-TR"/>
              </w:rPr>
            </w:pPr>
            <w:r w:rsidRPr="00005453">
              <w:rPr>
                <w:sz w:val="18"/>
                <w:szCs w:val="18"/>
              </w:rPr>
              <w:t>58,009</w:t>
            </w:r>
          </w:p>
        </w:tc>
        <w:tc>
          <w:tcPr>
            <w:tcW w:w="1275" w:type="dxa"/>
            <w:shd w:val="clear" w:color="auto" w:fill="auto"/>
            <w:noWrap/>
            <w:vAlign w:val="center"/>
            <w:hideMark/>
          </w:tcPr>
          <w:p w14:paraId="47CE60D4" w14:textId="1A8C01C9" w:rsidR="00846060" w:rsidRPr="00005453" w:rsidRDefault="00846060" w:rsidP="00846060">
            <w:pPr>
              <w:jc w:val="right"/>
              <w:rPr>
                <w:sz w:val="18"/>
                <w:szCs w:val="18"/>
                <w:lang w:eastAsia="tr-TR"/>
              </w:rPr>
            </w:pPr>
            <w:r w:rsidRPr="00005453">
              <w:rPr>
                <w:sz w:val="18"/>
                <w:szCs w:val="18"/>
              </w:rPr>
              <w:t>0.24</w:t>
            </w:r>
          </w:p>
        </w:tc>
      </w:tr>
      <w:tr w:rsidR="00846060" w:rsidRPr="00005453" w14:paraId="1A3C3A79" w14:textId="77777777" w:rsidTr="00846060">
        <w:trPr>
          <w:divId w:val="1138962261"/>
          <w:trHeight w:val="259"/>
        </w:trPr>
        <w:tc>
          <w:tcPr>
            <w:tcW w:w="3124" w:type="dxa"/>
            <w:shd w:val="clear" w:color="auto" w:fill="auto"/>
            <w:vAlign w:val="center"/>
            <w:hideMark/>
          </w:tcPr>
          <w:p w14:paraId="793EB807" w14:textId="77777777" w:rsidR="00846060" w:rsidRPr="00005453" w:rsidRDefault="00846060" w:rsidP="00846060">
            <w:pPr>
              <w:ind w:firstLineChars="200" w:firstLine="360"/>
              <w:rPr>
                <w:sz w:val="18"/>
                <w:szCs w:val="18"/>
                <w:lang w:eastAsia="tr-TR"/>
              </w:rPr>
            </w:pPr>
            <w:r w:rsidRPr="00005453">
              <w:rPr>
                <w:sz w:val="18"/>
                <w:szCs w:val="18"/>
                <w:lang w:eastAsia="tr-TR"/>
              </w:rPr>
              <w:t>Sağlık ve Sosyal Hizmetler</w:t>
            </w:r>
          </w:p>
        </w:tc>
        <w:tc>
          <w:tcPr>
            <w:tcW w:w="1407" w:type="dxa"/>
            <w:shd w:val="clear" w:color="auto" w:fill="auto"/>
            <w:noWrap/>
            <w:vAlign w:val="center"/>
            <w:hideMark/>
          </w:tcPr>
          <w:p w14:paraId="7626D947" w14:textId="4AB193B8" w:rsidR="00846060" w:rsidRPr="00005453" w:rsidRDefault="00846060" w:rsidP="00846060">
            <w:pPr>
              <w:jc w:val="right"/>
              <w:rPr>
                <w:sz w:val="18"/>
                <w:szCs w:val="18"/>
                <w:lang w:eastAsia="tr-TR"/>
              </w:rPr>
            </w:pPr>
            <w:r w:rsidRPr="00005453">
              <w:rPr>
                <w:sz w:val="18"/>
                <w:szCs w:val="18"/>
              </w:rPr>
              <w:t>1,404,316</w:t>
            </w:r>
          </w:p>
        </w:tc>
        <w:tc>
          <w:tcPr>
            <w:tcW w:w="1276" w:type="dxa"/>
            <w:shd w:val="clear" w:color="auto" w:fill="auto"/>
            <w:noWrap/>
            <w:vAlign w:val="center"/>
            <w:hideMark/>
          </w:tcPr>
          <w:p w14:paraId="4B6A78FF" w14:textId="65AC286A" w:rsidR="00846060" w:rsidRPr="00005453" w:rsidRDefault="00846060" w:rsidP="00846060">
            <w:pPr>
              <w:jc w:val="right"/>
              <w:rPr>
                <w:sz w:val="18"/>
                <w:szCs w:val="18"/>
                <w:lang w:eastAsia="tr-TR"/>
              </w:rPr>
            </w:pPr>
            <w:r w:rsidRPr="00005453">
              <w:rPr>
                <w:sz w:val="18"/>
                <w:szCs w:val="18"/>
              </w:rPr>
              <w:t>3.71</w:t>
            </w:r>
          </w:p>
        </w:tc>
        <w:tc>
          <w:tcPr>
            <w:tcW w:w="1418" w:type="dxa"/>
            <w:shd w:val="clear" w:color="auto" w:fill="auto"/>
            <w:noWrap/>
            <w:vAlign w:val="center"/>
            <w:hideMark/>
          </w:tcPr>
          <w:p w14:paraId="4EB0A062" w14:textId="02E2E56F" w:rsidR="00846060" w:rsidRPr="00005453" w:rsidRDefault="00846060" w:rsidP="00846060">
            <w:pPr>
              <w:jc w:val="right"/>
              <w:rPr>
                <w:sz w:val="18"/>
                <w:szCs w:val="18"/>
                <w:lang w:eastAsia="tr-TR"/>
              </w:rPr>
            </w:pPr>
            <w:r w:rsidRPr="00005453">
              <w:rPr>
                <w:sz w:val="18"/>
                <w:szCs w:val="18"/>
              </w:rPr>
              <w:t>678,851</w:t>
            </w:r>
          </w:p>
        </w:tc>
        <w:tc>
          <w:tcPr>
            <w:tcW w:w="1275" w:type="dxa"/>
            <w:shd w:val="clear" w:color="auto" w:fill="auto"/>
            <w:noWrap/>
            <w:vAlign w:val="center"/>
            <w:hideMark/>
          </w:tcPr>
          <w:p w14:paraId="6905AFF5" w14:textId="6FAE4EE8" w:rsidR="00846060" w:rsidRPr="00005453" w:rsidRDefault="00846060" w:rsidP="00846060">
            <w:pPr>
              <w:jc w:val="right"/>
              <w:rPr>
                <w:sz w:val="18"/>
                <w:szCs w:val="18"/>
                <w:lang w:eastAsia="tr-TR"/>
              </w:rPr>
            </w:pPr>
            <w:r w:rsidRPr="00005453">
              <w:rPr>
                <w:sz w:val="18"/>
                <w:szCs w:val="18"/>
              </w:rPr>
              <w:t>2.86</w:t>
            </w:r>
          </w:p>
        </w:tc>
      </w:tr>
      <w:tr w:rsidR="00846060" w:rsidRPr="00005453" w14:paraId="0A84B6FD" w14:textId="77777777" w:rsidTr="00846060">
        <w:trPr>
          <w:divId w:val="1138962261"/>
          <w:trHeight w:val="275"/>
        </w:trPr>
        <w:tc>
          <w:tcPr>
            <w:tcW w:w="3124" w:type="dxa"/>
            <w:shd w:val="clear" w:color="auto" w:fill="auto"/>
            <w:vAlign w:val="center"/>
            <w:hideMark/>
          </w:tcPr>
          <w:p w14:paraId="139C0016" w14:textId="77777777" w:rsidR="00846060" w:rsidRPr="00005453" w:rsidRDefault="00846060" w:rsidP="00846060">
            <w:pPr>
              <w:rPr>
                <w:b/>
                <w:bCs/>
                <w:sz w:val="18"/>
                <w:szCs w:val="18"/>
                <w:lang w:eastAsia="tr-TR"/>
              </w:rPr>
            </w:pPr>
            <w:r w:rsidRPr="00005453">
              <w:rPr>
                <w:b/>
                <w:bCs/>
                <w:sz w:val="18"/>
                <w:szCs w:val="18"/>
                <w:lang w:eastAsia="tr-TR"/>
              </w:rPr>
              <w:t>Diğer</w:t>
            </w:r>
          </w:p>
        </w:tc>
        <w:tc>
          <w:tcPr>
            <w:tcW w:w="1407" w:type="dxa"/>
            <w:shd w:val="clear" w:color="auto" w:fill="auto"/>
            <w:noWrap/>
            <w:vAlign w:val="center"/>
            <w:hideMark/>
          </w:tcPr>
          <w:p w14:paraId="62BC1472" w14:textId="211A5A37" w:rsidR="00846060" w:rsidRPr="00005453" w:rsidRDefault="00846060" w:rsidP="00846060">
            <w:pPr>
              <w:jc w:val="right"/>
              <w:rPr>
                <w:b/>
                <w:bCs/>
                <w:sz w:val="18"/>
                <w:szCs w:val="18"/>
                <w:lang w:eastAsia="tr-TR"/>
              </w:rPr>
            </w:pPr>
            <w:r w:rsidRPr="00005453">
              <w:rPr>
                <w:b/>
                <w:bCs/>
                <w:sz w:val="18"/>
                <w:szCs w:val="18"/>
              </w:rPr>
              <w:t>2,356,459</w:t>
            </w:r>
          </w:p>
        </w:tc>
        <w:tc>
          <w:tcPr>
            <w:tcW w:w="1276" w:type="dxa"/>
            <w:shd w:val="clear" w:color="auto" w:fill="auto"/>
            <w:noWrap/>
            <w:vAlign w:val="center"/>
            <w:hideMark/>
          </w:tcPr>
          <w:p w14:paraId="64694C0D" w14:textId="2A4B7B82" w:rsidR="00846060" w:rsidRPr="00005453" w:rsidRDefault="00846060" w:rsidP="00846060">
            <w:pPr>
              <w:jc w:val="right"/>
              <w:rPr>
                <w:b/>
                <w:bCs/>
                <w:sz w:val="18"/>
                <w:szCs w:val="18"/>
                <w:lang w:eastAsia="tr-TR"/>
              </w:rPr>
            </w:pPr>
            <w:r w:rsidRPr="00005453">
              <w:rPr>
                <w:b/>
                <w:bCs/>
                <w:sz w:val="18"/>
                <w:szCs w:val="18"/>
              </w:rPr>
              <w:t>6.22</w:t>
            </w:r>
          </w:p>
        </w:tc>
        <w:tc>
          <w:tcPr>
            <w:tcW w:w="1418" w:type="dxa"/>
            <w:shd w:val="clear" w:color="auto" w:fill="auto"/>
            <w:noWrap/>
            <w:vAlign w:val="center"/>
            <w:hideMark/>
          </w:tcPr>
          <w:p w14:paraId="36978B7B" w14:textId="7317D908" w:rsidR="00846060" w:rsidRPr="00005453" w:rsidRDefault="00846060" w:rsidP="00846060">
            <w:pPr>
              <w:jc w:val="right"/>
              <w:rPr>
                <w:b/>
                <w:bCs/>
                <w:sz w:val="18"/>
                <w:szCs w:val="18"/>
                <w:lang w:eastAsia="tr-TR"/>
              </w:rPr>
            </w:pPr>
            <w:r w:rsidRPr="00005453">
              <w:rPr>
                <w:b/>
                <w:bCs/>
                <w:sz w:val="18"/>
                <w:szCs w:val="18"/>
              </w:rPr>
              <w:t>2,311,907</w:t>
            </w:r>
          </w:p>
        </w:tc>
        <w:tc>
          <w:tcPr>
            <w:tcW w:w="1275" w:type="dxa"/>
            <w:shd w:val="clear" w:color="auto" w:fill="auto"/>
            <w:noWrap/>
            <w:vAlign w:val="center"/>
            <w:hideMark/>
          </w:tcPr>
          <w:p w14:paraId="6ECEB1B7" w14:textId="6810AAA4" w:rsidR="00846060" w:rsidRPr="00005453" w:rsidRDefault="00846060" w:rsidP="00846060">
            <w:pPr>
              <w:jc w:val="right"/>
              <w:rPr>
                <w:b/>
                <w:bCs/>
                <w:sz w:val="18"/>
                <w:szCs w:val="18"/>
                <w:lang w:eastAsia="tr-TR"/>
              </w:rPr>
            </w:pPr>
            <w:r w:rsidRPr="00005453">
              <w:rPr>
                <w:b/>
                <w:bCs/>
                <w:sz w:val="18"/>
                <w:szCs w:val="18"/>
              </w:rPr>
              <w:t>9.74</w:t>
            </w:r>
          </w:p>
        </w:tc>
      </w:tr>
      <w:tr w:rsidR="00846060" w:rsidRPr="00005453" w14:paraId="6F0D97AE" w14:textId="77777777" w:rsidTr="00846060">
        <w:trPr>
          <w:divId w:val="1138962261"/>
          <w:trHeight w:val="275"/>
        </w:trPr>
        <w:tc>
          <w:tcPr>
            <w:tcW w:w="3124" w:type="dxa"/>
            <w:shd w:val="clear" w:color="auto" w:fill="auto"/>
            <w:vAlign w:val="center"/>
            <w:hideMark/>
          </w:tcPr>
          <w:p w14:paraId="206CC4FB" w14:textId="77777777" w:rsidR="00846060" w:rsidRPr="00005453" w:rsidRDefault="00846060" w:rsidP="00846060">
            <w:pPr>
              <w:rPr>
                <w:b/>
                <w:bCs/>
                <w:sz w:val="18"/>
                <w:szCs w:val="18"/>
                <w:lang w:eastAsia="tr-TR"/>
              </w:rPr>
            </w:pPr>
            <w:r w:rsidRPr="00005453">
              <w:rPr>
                <w:b/>
                <w:bCs/>
                <w:sz w:val="18"/>
                <w:szCs w:val="18"/>
                <w:lang w:eastAsia="tr-TR"/>
              </w:rPr>
              <w:t>Toplam</w:t>
            </w:r>
          </w:p>
        </w:tc>
        <w:tc>
          <w:tcPr>
            <w:tcW w:w="1407" w:type="dxa"/>
            <w:shd w:val="clear" w:color="auto" w:fill="auto"/>
            <w:noWrap/>
            <w:vAlign w:val="center"/>
            <w:hideMark/>
          </w:tcPr>
          <w:p w14:paraId="07CD8616" w14:textId="6326B7BE" w:rsidR="00846060" w:rsidRPr="00005453" w:rsidRDefault="00846060" w:rsidP="00846060">
            <w:pPr>
              <w:jc w:val="right"/>
              <w:rPr>
                <w:b/>
                <w:bCs/>
                <w:sz w:val="18"/>
                <w:szCs w:val="18"/>
                <w:lang w:eastAsia="tr-TR"/>
              </w:rPr>
            </w:pPr>
            <w:r w:rsidRPr="00005453">
              <w:rPr>
                <w:b/>
                <w:bCs/>
                <w:color w:val="000000"/>
                <w:sz w:val="18"/>
                <w:szCs w:val="18"/>
              </w:rPr>
              <w:t>37,869,833</w:t>
            </w:r>
          </w:p>
        </w:tc>
        <w:tc>
          <w:tcPr>
            <w:tcW w:w="1276" w:type="dxa"/>
            <w:shd w:val="clear" w:color="auto" w:fill="auto"/>
            <w:noWrap/>
            <w:vAlign w:val="center"/>
            <w:hideMark/>
          </w:tcPr>
          <w:p w14:paraId="729DB69B" w14:textId="1498150B" w:rsidR="00846060" w:rsidRPr="00005453" w:rsidRDefault="00846060" w:rsidP="00846060">
            <w:pPr>
              <w:jc w:val="right"/>
              <w:rPr>
                <w:b/>
                <w:bCs/>
                <w:sz w:val="18"/>
                <w:szCs w:val="18"/>
                <w:lang w:eastAsia="tr-TR"/>
              </w:rPr>
            </w:pPr>
            <w:r w:rsidRPr="00005453">
              <w:rPr>
                <w:b/>
                <w:bCs/>
                <w:color w:val="000000"/>
                <w:sz w:val="18"/>
                <w:szCs w:val="18"/>
              </w:rPr>
              <w:t>100.00</w:t>
            </w:r>
          </w:p>
        </w:tc>
        <w:tc>
          <w:tcPr>
            <w:tcW w:w="1418" w:type="dxa"/>
            <w:shd w:val="clear" w:color="auto" w:fill="auto"/>
            <w:noWrap/>
            <w:vAlign w:val="center"/>
            <w:hideMark/>
          </w:tcPr>
          <w:p w14:paraId="2773567D" w14:textId="31042825" w:rsidR="00846060" w:rsidRPr="00005453" w:rsidRDefault="00846060" w:rsidP="00846060">
            <w:pPr>
              <w:jc w:val="right"/>
              <w:rPr>
                <w:b/>
                <w:bCs/>
                <w:sz w:val="18"/>
                <w:szCs w:val="18"/>
                <w:lang w:eastAsia="tr-TR"/>
              </w:rPr>
            </w:pPr>
            <w:r w:rsidRPr="00005453">
              <w:rPr>
                <w:b/>
                <w:bCs/>
                <w:color w:val="000000"/>
                <w:sz w:val="18"/>
                <w:szCs w:val="18"/>
              </w:rPr>
              <w:t>23,717,066</w:t>
            </w:r>
          </w:p>
        </w:tc>
        <w:tc>
          <w:tcPr>
            <w:tcW w:w="1275" w:type="dxa"/>
            <w:shd w:val="clear" w:color="auto" w:fill="auto"/>
            <w:noWrap/>
            <w:vAlign w:val="center"/>
            <w:hideMark/>
          </w:tcPr>
          <w:p w14:paraId="0EC9CEC2" w14:textId="0EAA1633" w:rsidR="00846060" w:rsidRPr="00005453" w:rsidRDefault="00846060" w:rsidP="00846060">
            <w:pPr>
              <w:jc w:val="right"/>
              <w:rPr>
                <w:b/>
                <w:bCs/>
                <w:sz w:val="18"/>
                <w:szCs w:val="18"/>
                <w:lang w:eastAsia="tr-TR"/>
              </w:rPr>
            </w:pPr>
            <w:r w:rsidRPr="00005453">
              <w:rPr>
                <w:b/>
                <w:bCs/>
                <w:color w:val="000000"/>
                <w:sz w:val="18"/>
                <w:szCs w:val="18"/>
              </w:rPr>
              <w:t>100.00</w:t>
            </w:r>
          </w:p>
        </w:tc>
      </w:tr>
    </w:tbl>
    <w:p w14:paraId="0F5C9D75" w14:textId="0611364A" w:rsidR="00355FC6" w:rsidRPr="00005453" w:rsidRDefault="00355FC6" w:rsidP="007A1113">
      <w:pPr>
        <w:tabs>
          <w:tab w:val="num" w:pos="3600"/>
        </w:tabs>
        <w:rPr>
          <w:iCs/>
          <w:sz w:val="16"/>
          <w:szCs w:val="16"/>
        </w:rPr>
      </w:pPr>
    </w:p>
    <w:p w14:paraId="1D796AF2" w14:textId="56087A70" w:rsidR="002E3ABA" w:rsidRPr="00005453" w:rsidRDefault="002E3ABA" w:rsidP="007A1113">
      <w:pPr>
        <w:tabs>
          <w:tab w:val="num" w:pos="3600"/>
        </w:tabs>
        <w:rPr>
          <w:iCs/>
          <w:sz w:val="16"/>
          <w:szCs w:val="16"/>
        </w:rPr>
      </w:pPr>
    </w:p>
    <w:p w14:paraId="1E4E0131" w14:textId="47933C6C" w:rsidR="002E3ABA" w:rsidRPr="00005453" w:rsidRDefault="002E3ABA" w:rsidP="007A1113">
      <w:pPr>
        <w:tabs>
          <w:tab w:val="num" w:pos="3600"/>
        </w:tabs>
        <w:rPr>
          <w:iCs/>
          <w:sz w:val="16"/>
          <w:szCs w:val="16"/>
        </w:rPr>
      </w:pPr>
    </w:p>
    <w:p w14:paraId="7681C483" w14:textId="2B9001BB" w:rsidR="007F1884" w:rsidRPr="00005453" w:rsidRDefault="007F1884">
      <w:pPr>
        <w:rPr>
          <w:iCs/>
          <w:sz w:val="16"/>
          <w:szCs w:val="16"/>
        </w:rPr>
      </w:pPr>
      <w:r w:rsidRPr="00005453">
        <w:rPr>
          <w:iCs/>
          <w:sz w:val="16"/>
          <w:szCs w:val="16"/>
        </w:rPr>
        <w:br w:type="page"/>
      </w:r>
    </w:p>
    <w:p w14:paraId="784A9729" w14:textId="451D0B65" w:rsidR="007A1113" w:rsidRPr="00005453" w:rsidRDefault="007A1113" w:rsidP="007A1113">
      <w:pPr>
        <w:tabs>
          <w:tab w:val="num" w:pos="3600"/>
        </w:tabs>
        <w:ind w:hanging="567"/>
        <w:rPr>
          <w:iCs/>
        </w:rPr>
      </w:pPr>
      <w:r w:rsidRPr="00005453">
        <w:rPr>
          <w:b/>
          <w:iCs/>
        </w:rPr>
        <w:lastRenderedPageBreak/>
        <w:t>3.1.5.</w:t>
      </w:r>
      <w:r w:rsidRPr="00005453">
        <w:rPr>
          <w:iCs/>
        </w:rPr>
        <w:t xml:space="preserve"> </w:t>
      </w:r>
      <w:r w:rsidRPr="00005453">
        <w:rPr>
          <w:iCs/>
        </w:rPr>
        <w:tab/>
        <w:t xml:space="preserve">I ve II’nci grupta sınıflandırılan gayrinakdi kredilere ilişkin bilgiler </w:t>
      </w:r>
    </w:p>
    <w:p w14:paraId="2139B70A" w14:textId="4E64A4C0" w:rsidR="00C123EF" w:rsidRPr="00005453" w:rsidRDefault="00C123EF" w:rsidP="00101060">
      <w:pPr>
        <w:tabs>
          <w:tab w:val="left" w:pos="567"/>
        </w:tabs>
        <w:autoSpaceDE w:val="0"/>
        <w:autoSpaceDN w:val="0"/>
        <w:adjustRightInd w:val="0"/>
        <w:rPr>
          <w:lang w:eastAsia="en-GB"/>
        </w:rPr>
      </w:pPr>
    </w:p>
    <w:tbl>
      <w:tblPr>
        <w:tblW w:w="9194" w:type="dxa"/>
        <w:tblCellMar>
          <w:left w:w="70" w:type="dxa"/>
          <w:right w:w="70" w:type="dxa"/>
        </w:tblCellMar>
        <w:tblLook w:val="04A0" w:firstRow="1" w:lastRow="0" w:firstColumn="1" w:lastColumn="0" w:noHBand="0" w:noVBand="1"/>
      </w:tblPr>
      <w:tblGrid>
        <w:gridCol w:w="5246"/>
        <w:gridCol w:w="1132"/>
        <w:gridCol w:w="1036"/>
        <w:gridCol w:w="950"/>
        <w:gridCol w:w="814"/>
        <w:gridCol w:w="16"/>
      </w:tblGrid>
      <w:tr w:rsidR="00254F28" w:rsidRPr="00005453" w14:paraId="4622B29F" w14:textId="77777777" w:rsidTr="00F26D69">
        <w:trPr>
          <w:gridAfter w:val="1"/>
          <w:wAfter w:w="16" w:type="dxa"/>
          <w:trHeight w:val="252"/>
        </w:trPr>
        <w:tc>
          <w:tcPr>
            <w:tcW w:w="5246" w:type="dxa"/>
            <w:tcBorders>
              <w:top w:val="double" w:sz="6" w:space="0" w:color="auto"/>
              <w:left w:val="nil"/>
              <w:bottom w:val="single" w:sz="8" w:space="0" w:color="auto"/>
              <w:right w:val="nil"/>
            </w:tcBorders>
            <w:shd w:val="clear" w:color="auto" w:fill="auto"/>
            <w:vAlign w:val="center"/>
            <w:hideMark/>
          </w:tcPr>
          <w:p w14:paraId="515CE2BB" w14:textId="237ED182" w:rsidR="00254F28" w:rsidRPr="00005453" w:rsidRDefault="00254F28" w:rsidP="00254F28">
            <w:pPr>
              <w:jc w:val="both"/>
              <w:rPr>
                <w:b/>
                <w:bCs/>
                <w:sz w:val="18"/>
                <w:szCs w:val="18"/>
                <w:lang w:eastAsia="tr-TR"/>
              </w:rPr>
            </w:pPr>
            <w:r w:rsidRPr="00005453">
              <w:rPr>
                <w:b/>
                <w:bCs/>
                <w:sz w:val="18"/>
                <w:szCs w:val="18"/>
                <w:lang w:eastAsia="tr-TR"/>
              </w:rPr>
              <w:t>Cari Dönem</w:t>
            </w:r>
          </w:p>
        </w:tc>
        <w:tc>
          <w:tcPr>
            <w:tcW w:w="2168" w:type="dxa"/>
            <w:gridSpan w:val="2"/>
            <w:tcBorders>
              <w:top w:val="double" w:sz="6" w:space="0" w:color="auto"/>
              <w:left w:val="nil"/>
              <w:bottom w:val="single" w:sz="8" w:space="0" w:color="auto"/>
              <w:right w:val="nil"/>
            </w:tcBorders>
            <w:shd w:val="clear" w:color="auto" w:fill="auto"/>
            <w:vAlign w:val="center"/>
            <w:hideMark/>
          </w:tcPr>
          <w:p w14:paraId="7372F2CD" w14:textId="5F5FB722" w:rsidR="00254F28" w:rsidRPr="00005453" w:rsidRDefault="00254F28" w:rsidP="00F26D69">
            <w:pPr>
              <w:jc w:val="right"/>
              <w:rPr>
                <w:b/>
                <w:bCs/>
                <w:sz w:val="18"/>
                <w:szCs w:val="18"/>
                <w:lang w:eastAsia="tr-TR"/>
              </w:rPr>
            </w:pPr>
            <w:r w:rsidRPr="00005453">
              <w:rPr>
                <w:b/>
                <w:bCs/>
                <w:sz w:val="18"/>
                <w:szCs w:val="18"/>
                <w:lang w:eastAsia="tr-TR"/>
              </w:rPr>
              <w:t xml:space="preserve">       I.Grup</w:t>
            </w:r>
          </w:p>
        </w:tc>
        <w:tc>
          <w:tcPr>
            <w:tcW w:w="1764" w:type="dxa"/>
            <w:gridSpan w:val="2"/>
            <w:tcBorders>
              <w:top w:val="double" w:sz="6" w:space="0" w:color="auto"/>
              <w:left w:val="nil"/>
              <w:bottom w:val="single" w:sz="8" w:space="0" w:color="auto"/>
              <w:right w:val="nil"/>
            </w:tcBorders>
            <w:shd w:val="clear" w:color="auto" w:fill="auto"/>
            <w:vAlign w:val="center"/>
            <w:hideMark/>
          </w:tcPr>
          <w:p w14:paraId="1BD9AA18" w14:textId="609CCA50" w:rsidR="00254F28" w:rsidRPr="00005453" w:rsidRDefault="00254F28" w:rsidP="00F26D69">
            <w:pPr>
              <w:jc w:val="right"/>
              <w:rPr>
                <w:b/>
                <w:bCs/>
                <w:sz w:val="18"/>
                <w:szCs w:val="18"/>
                <w:lang w:eastAsia="tr-TR"/>
              </w:rPr>
            </w:pPr>
            <w:r w:rsidRPr="00005453">
              <w:rPr>
                <w:b/>
                <w:bCs/>
                <w:sz w:val="18"/>
                <w:szCs w:val="18"/>
                <w:lang w:eastAsia="tr-TR"/>
              </w:rPr>
              <w:t xml:space="preserve">     II.Grup</w:t>
            </w:r>
          </w:p>
        </w:tc>
      </w:tr>
      <w:tr w:rsidR="00254F28" w:rsidRPr="00005453" w14:paraId="109C3F5B" w14:textId="77777777" w:rsidTr="007F1884">
        <w:trPr>
          <w:trHeight w:val="237"/>
        </w:trPr>
        <w:tc>
          <w:tcPr>
            <w:tcW w:w="5246" w:type="dxa"/>
            <w:tcBorders>
              <w:top w:val="nil"/>
              <w:left w:val="nil"/>
              <w:bottom w:val="single" w:sz="8" w:space="0" w:color="auto"/>
              <w:right w:val="nil"/>
            </w:tcBorders>
            <w:shd w:val="clear" w:color="auto" w:fill="auto"/>
            <w:vAlign w:val="center"/>
            <w:hideMark/>
          </w:tcPr>
          <w:p w14:paraId="3C2B68D6" w14:textId="77777777" w:rsidR="00254F28" w:rsidRPr="00005453" w:rsidRDefault="00254F28" w:rsidP="00254F28">
            <w:pPr>
              <w:jc w:val="both"/>
              <w:rPr>
                <w:b/>
                <w:bCs/>
                <w:sz w:val="18"/>
                <w:szCs w:val="18"/>
                <w:lang w:eastAsia="tr-TR"/>
              </w:rPr>
            </w:pPr>
            <w:r w:rsidRPr="00005453">
              <w:rPr>
                <w:b/>
                <w:bCs/>
                <w:sz w:val="18"/>
                <w:szCs w:val="18"/>
                <w:lang w:eastAsia="tr-TR"/>
              </w:rPr>
              <w:t> </w:t>
            </w:r>
          </w:p>
        </w:tc>
        <w:tc>
          <w:tcPr>
            <w:tcW w:w="1132" w:type="dxa"/>
            <w:tcBorders>
              <w:top w:val="nil"/>
              <w:left w:val="nil"/>
              <w:bottom w:val="single" w:sz="8" w:space="0" w:color="auto"/>
              <w:right w:val="nil"/>
            </w:tcBorders>
            <w:shd w:val="clear" w:color="auto" w:fill="auto"/>
            <w:vAlign w:val="center"/>
            <w:hideMark/>
          </w:tcPr>
          <w:p w14:paraId="6861A2DF" w14:textId="77777777" w:rsidR="00254F28" w:rsidRPr="00005453" w:rsidRDefault="00254F28" w:rsidP="00254F28">
            <w:pPr>
              <w:jc w:val="right"/>
              <w:rPr>
                <w:b/>
                <w:bCs/>
                <w:sz w:val="18"/>
                <w:szCs w:val="18"/>
                <w:lang w:eastAsia="tr-TR"/>
              </w:rPr>
            </w:pPr>
            <w:r w:rsidRPr="00005453">
              <w:rPr>
                <w:b/>
                <w:bCs/>
                <w:sz w:val="18"/>
                <w:szCs w:val="18"/>
                <w:lang w:eastAsia="tr-TR"/>
              </w:rPr>
              <w:t>TP</w:t>
            </w:r>
          </w:p>
        </w:tc>
        <w:tc>
          <w:tcPr>
            <w:tcW w:w="1036" w:type="dxa"/>
            <w:tcBorders>
              <w:top w:val="nil"/>
              <w:left w:val="nil"/>
              <w:bottom w:val="single" w:sz="8" w:space="0" w:color="auto"/>
              <w:right w:val="nil"/>
            </w:tcBorders>
            <w:shd w:val="clear" w:color="auto" w:fill="auto"/>
            <w:vAlign w:val="center"/>
            <w:hideMark/>
          </w:tcPr>
          <w:p w14:paraId="04B229A5" w14:textId="77777777" w:rsidR="00254F28" w:rsidRPr="00005453" w:rsidRDefault="00254F28" w:rsidP="00254F28">
            <w:pPr>
              <w:jc w:val="right"/>
              <w:rPr>
                <w:b/>
                <w:bCs/>
                <w:sz w:val="18"/>
                <w:szCs w:val="18"/>
                <w:lang w:eastAsia="tr-TR"/>
              </w:rPr>
            </w:pPr>
            <w:r w:rsidRPr="00005453">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41F4503F" w14:textId="77777777" w:rsidR="00254F28" w:rsidRPr="00005453" w:rsidRDefault="00254F28" w:rsidP="00254F28">
            <w:pPr>
              <w:jc w:val="right"/>
              <w:rPr>
                <w:b/>
                <w:bCs/>
                <w:sz w:val="18"/>
                <w:szCs w:val="18"/>
                <w:lang w:eastAsia="tr-TR"/>
              </w:rPr>
            </w:pPr>
            <w:r w:rsidRPr="00005453">
              <w:rPr>
                <w:b/>
                <w:bCs/>
                <w:sz w:val="18"/>
                <w:szCs w:val="18"/>
                <w:lang w:eastAsia="tr-TR"/>
              </w:rPr>
              <w:t>TP</w:t>
            </w:r>
          </w:p>
        </w:tc>
        <w:tc>
          <w:tcPr>
            <w:tcW w:w="830" w:type="dxa"/>
            <w:gridSpan w:val="2"/>
            <w:tcBorders>
              <w:top w:val="nil"/>
              <w:left w:val="nil"/>
              <w:bottom w:val="single" w:sz="8" w:space="0" w:color="auto"/>
              <w:right w:val="nil"/>
            </w:tcBorders>
            <w:shd w:val="clear" w:color="auto" w:fill="auto"/>
            <w:vAlign w:val="center"/>
            <w:hideMark/>
          </w:tcPr>
          <w:p w14:paraId="54B7484B" w14:textId="77777777" w:rsidR="00254F28" w:rsidRPr="00005453" w:rsidRDefault="00254F28" w:rsidP="00254F28">
            <w:pPr>
              <w:jc w:val="right"/>
              <w:rPr>
                <w:b/>
                <w:bCs/>
                <w:sz w:val="18"/>
                <w:szCs w:val="18"/>
                <w:lang w:eastAsia="tr-TR"/>
              </w:rPr>
            </w:pPr>
            <w:r w:rsidRPr="00005453">
              <w:rPr>
                <w:b/>
                <w:bCs/>
                <w:sz w:val="18"/>
                <w:szCs w:val="18"/>
                <w:lang w:eastAsia="tr-TR"/>
              </w:rPr>
              <w:t>YP</w:t>
            </w:r>
          </w:p>
        </w:tc>
      </w:tr>
      <w:tr w:rsidR="00CD75F3" w:rsidRPr="00005453" w14:paraId="0D44E532" w14:textId="77777777" w:rsidTr="00CD75F3">
        <w:trPr>
          <w:trHeight w:val="224"/>
        </w:trPr>
        <w:tc>
          <w:tcPr>
            <w:tcW w:w="5246" w:type="dxa"/>
            <w:tcBorders>
              <w:top w:val="nil"/>
              <w:left w:val="nil"/>
              <w:bottom w:val="nil"/>
              <w:right w:val="nil"/>
            </w:tcBorders>
            <w:shd w:val="clear" w:color="auto" w:fill="auto"/>
            <w:noWrap/>
            <w:vAlign w:val="center"/>
            <w:hideMark/>
          </w:tcPr>
          <w:p w14:paraId="553741C7" w14:textId="0840BF43" w:rsidR="00CD75F3" w:rsidRPr="00005453" w:rsidRDefault="00CD75F3" w:rsidP="00CD75F3">
            <w:pPr>
              <w:rPr>
                <w:b/>
                <w:bCs/>
                <w:sz w:val="18"/>
                <w:szCs w:val="18"/>
                <w:lang w:eastAsia="tr-TR"/>
              </w:rPr>
            </w:pPr>
            <w:r w:rsidRPr="00005453">
              <w:rPr>
                <w:b/>
                <w:bCs/>
                <w:sz w:val="18"/>
                <w:szCs w:val="18"/>
                <w:lang w:eastAsia="tr-TR"/>
              </w:rPr>
              <w:t>Gayrinakdi Krediler</w:t>
            </w:r>
          </w:p>
        </w:tc>
        <w:tc>
          <w:tcPr>
            <w:tcW w:w="1132" w:type="dxa"/>
            <w:tcBorders>
              <w:top w:val="nil"/>
              <w:left w:val="nil"/>
              <w:bottom w:val="nil"/>
              <w:right w:val="nil"/>
            </w:tcBorders>
            <w:shd w:val="clear" w:color="auto" w:fill="auto"/>
            <w:vAlign w:val="center"/>
            <w:hideMark/>
          </w:tcPr>
          <w:p w14:paraId="43E34037" w14:textId="08A77113" w:rsidR="00CD75F3" w:rsidRPr="00005453" w:rsidRDefault="00CD75F3" w:rsidP="00CD75F3">
            <w:pPr>
              <w:jc w:val="right"/>
              <w:rPr>
                <w:b/>
                <w:bCs/>
                <w:sz w:val="18"/>
                <w:szCs w:val="18"/>
                <w:lang w:eastAsia="tr-TR"/>
              </w:rPr>
            </w:pPr>
            <w:r w:rsidRPr="00005453">
              <w:rPr>
                <w:b/>
                <w:bCs/>
                <w:sz w:val="18"/>
                <w:szCs w:val="18"/>
              </w:rPr>
              <w:t>67,267,008</w:t>
            </w:r>
          </w:p>
        </w:tc>
        <w:tc>
          <w:tcPr>
            <w:tcW w:w="1036" w:type="dxa"/>
            <w:tcBorders>
              <w:top w:val="nil"/>
              <w:left w:val="nil"/>
              <w:bottom w:val="nil"/>
              <w:right w:val="nil"/>
            </w:tcBorders>
            <w:shd w:val="clear" w:color="auto" w:fill="auto"/>
            <w:vAlign w:val="center"/>
            <w:hideMark/>
          </w:tcPr>
          <w:p w14:paraId="00235E6B" w14:textId="763D3D9E" w:rsidR="00CD75F3" w:rsidRPr="00005453" w:rsidRDefault="00CD75F3" w:rsidP="00CD75F3">
            <w:pPr>
              <w:jc w:val="right"/>
              <w:rPr>
                <w:b/>
                <w:bCs/>
                <w:sz w:val="18"/>
                <w:szCs w:val="18"/>
                <w:lang w:eastAsia="tr-TR"/>
              </w:rPr>
            </w:pPr>
            <w:r w:rsidRPr="00005453">
              <w:rPr>
                <w:b/>
                <w:bCs/>
                <w:sz w:val="18"/>
                <w:szCs w:val="18"/>
              </w:rPr>
              <w:t>34,589,487</w:t>
            </w:r>
          </w:p>
        </w:tc>
        <w:tc>
          <w:tcPr>
            <w:tcW w:w="950" w:type="dxa"/>
            <w:tcBorders>
              <w:top w:val="nil"/>
              <w:left w:val="nil"/>
              <w:bottom w:val="nil"/>
              <w:right w:val="nil"/>
            </w:tcBorders>
            <w:shd w:val="clear" w:color="auto" w:fill="auto"/>
            <w:vAlign w:val="center"/>
            <w:hideMark/>
          </w:tcPr>
          <w:p w14:paraId="67E9D994" w14:textId="74AACD13" w:rsidR="00CD75F3" w:rsidRPr="00005453" w:rsidRDefault="00CD75F3" w:rsidP="00CD75F3">
            <w:pPr>
              <w:jc w:val="right"/>
              <w:rPr>
                <w:b/>
                <w:bCs/>
                <w:sz w:val="18"/>
                <w:szCs w:val="18"/>
                <w:lang w:eastAsia="tr-TR"/>
              </w:rPr>
            </w:pPr>
            <w:r w:rsidRPr="00005453">
              <w:rPr>
                <w:b/>
                <w:bCs/>
                <w:sz w:val="18"/>
                <w:szCs w:val="18"/>
              </w:rPr>
              <w:t>2,001,055</w:t>
            </w:r>
          </w:p>
        </w:tc>
        <w:tc>
          <w:tcPr>
            <w:tcW w:w="830" w:type="dxa"/>
            <w:gridSpan w:val="2"/>
            <w:tcBorders>
              <w:top w:val="nil"/>
              <w:left w:val="nil"/>
              <w:bottom w:val="nil"/>
              <w:right w:val="nil"/>
            </w:tcBorders>
            <w:shd w:val="clear" w:color="auto" w:fill="auto"/>
            <w:vAlign w:val="center"/>
            <w:hideMark/>
          </w:tcPr>
          <w:p w14:paraId="114CF124" w14:textId="6DDEE5C3" w:rsidR="00CD75F3" w:rsidRPr="00005453" w:rsidRDefault="00CD75F3" w:rsidP="00CD75F3">
            <w:pPr>
              <w:jc w:val="right"/>
              <w:rPr>
                <w:b/>
                <w:bCs/>
                <w:sz w:val="18"/>
                <w:szCs w:val="18"/>
                <w:lang w:eastAsia="tr-TR"/>
              </w:rPr>
            </w:pPr>
            <w:r w:rsidRPr="00005453">
              <w:rPr>
                <w:b/>
                <w:bCs/>
                <w:sz w:val="18"/>
                <w:szCs w:val="18"/>
              </w:rPr>
              <w:t>692,474</w:t>
            </w:r>
          </w:p>
        </w:tc>
      </w:tr>
      <w:tr w:rsidR="00CD75F3" w:rsidRPr="00005453" w14:paraId="5E393102" w14:textId="77777777" w:rsidTr="00CD75F3">
        <w:trPr>
          <w:trHeight w:val="224"/>
        </w:trPr>
        <w:tc>
          <w:tcPr>
            <w:tcW w:w="5246" w:type="dxa"/>
            <w:tcBorders>
              <w:top w:val="nil"/>
              <w:left w:val="nil"/>
              <w:bottom w:val="nil"/>
              <w:right w:val="nil"/>
            </w:tcBorders>
            <w:shd w:val="clear" w:color="auto" w:fill="auto"/>
            <w:noWrap/>
            <w:vAlign w:val="center"/>
            <w:hideMark/>
          </w:tcPr>
          <w:p w14:paraId="27197047" w14:textId="1EEC6835" w:rsidR="00CD75F3" w:rsidRPr="00005453" w:rsidRDefault="00CD75F3" w:rsidP="00CD75F3">
            <w:pPr>
              <w:ind w:firstLineChars="100" w:firstLine="180"/>
              <w:rPr>
                <w:sz w:val="18"/>
                <w:szCs w:val="18"/>
                <w:lang w:eastAsia="tr-TR"/>
              </w:rPr>
            </w:pPr>
            <w:r w:rsidRPr="00005453">
              <w:rPr>
                <w:sz w:val="18"/>
                <w:szCs w:val="18"/>
                <w:lang w:eastAsia="tr-TR"/>
              </w:rPr>
              <w:t xml:space="preserve">Teminat </w:t>
            </w:r>
            <w:proofErr w:type="gramStart"/>
            <w:r w:rsidRPr="00005453">
              <w:rPr>
                <w:sz w:val="18"/>
                <w:szCs w:val="18"/>
                <w:lang w:eastAsia="tr-TR"/>
              </w:rPr>
              <w:t>Mektupları(</w:t>
            </w:r>
            <w:proofErr w:type="gramEnd"/>
            <w:r w:rsidRPr="00005453">
              <w:rPr>
                <w:sz w:val="18"/>
                <w:szCs w:val="18"/>
                <w:lang w:eastAsia="tr-TR"/>
              </w:rPr>
              <w:t>*)</w:t>
            </w:r>
          </w:p>
        </w:tc>
        <w:tc>
          <w:tcPr>
            <w:tcW w:w="1132" w:type="dxa"/>
            <w:tcBorders>
              <w:top w:val="nil"/>
              <w:left w:val="nil"/>
              <w:bottom w:val="nil"/>
              <w:right w:val="nil"/>
            </w:tcBorders>
            <w:shd w:val="clear" w:color="auto" w:fill="auto"/>
            <w:vAlign w:val="center"/>
            <w:hideMark/>
          </w:tcPr>
          <w:p w14:paraId="15F527B7" w14:textId="685EC2D0" w:rsidR="00CD75F3" w:rsidRPr="00005453" w:rsidRDefault="00CD75F3" w:rsidP="00CD75F3">
            <w:pPr>
              <w:jc w:val="right"/>
              <w:rPr>
                <w:sz w:val="18"/>
                <w:szCs w:val="18"/>
                <w:lang w:eastAsia="tr-TR"/>
              </w:rPr>
            </w:pPr>
            <w:r w:rsidRPr="00005453">
              <w:rPr>
                <w:sz w:val="18"/>
                <w:szCs w:val="18"/>
              </w:rPr>
              <w:t>62,458,677</w:t>
            </w:r>
          </w:p>
        </w:tc>
        <w:tc>
          <w:tcPr>
            <w:tcW w:w="1036" w:type="dxa"/>
            <w:tcBorders>
              <w:top w:val="nil"/>
              <w:left w:val="nil"/>
              <w:bottom w:val="nil"/>
              <w:right w:val="nil"/>
            </w:tcBorders>
            <w:shd w:val="clear" w:color="auto" w:fill="auto"/>
            <w:vAlign w:val="center"/>
            <w:hideMark/>
          </w:tcPr>
          <w:p w14:paraId="79015BBD" w14:textId="2ACB6952" w:rsidR="00CD75F3" w:rsidRPr="00005453" w:rsidRDefault="00CD75F3" w:rsidP="00CD75F3">
            <w:pPr>
              <w:jc w:val="right"/>
              <w:rPr>
                <w:sz w:val="18"/>
                <w:szCs w:val="18"/>
                <w:lang w:eastAsia="tr-TR"/>
              </w:rPr>
            </w:pPr>
            <w:r w:rsidRPr="00005453">
              <w:rPr>
                <w:color w:val="000000"/>
                <w:sz w:val="18"/>
                <w:szCs w:val="18"/>
              </w:rPr>
              <w:t>20,513,868</w:t>
            </w:r>
          </w:p>
        </w:tc>
        <w:tc>
          <w:tcPr>
            <w:tcW w:w="950" w:type="dxa"/>
            <w:tcBorders>
              <w:top w:val="nil"/>
              <w:left w:val="nil"/>
              <w:bottom w:val="nil"/>
              <w:right w:val="nil"/>
            </w:tcBorders>
            <w:shd w:val="clear" w:color="auto" w:fill="auto"/>
            <w:vAlign w:val="center"/>
            <w:hideMark/>
          </w:tcPr>
          <w:p w14:paraId="44294DB5" w14:textId="4A460A96" w:rsidR="00CD75F3" w:rsidRPr="00005453" w:rsidRDefault="00CD75F3" w:rsidP="00CD75F3">
            <w:pPr>
              <w:jc w:val="right"/>
              <w:rPr>
                <w:sz w:val="18"/>
                <w:szCs w:val="18"/>
                <w:lang w:eastAsia="tr-TR"/>
              </w:rPr>
            </w:pPr>
            <w:r w:rsidRPr="00005453">
              <w:rPr>
                <w:sz w:val="18"/>
                <w:szCs w:val="18"/>
              </w:rPr>
              <w:t>1,859,734</w:t>
            </w:r>
          </w:p>
        </w:tc>
        <w:tc>
          <w:tcPr>
            <w:tcW w:w="830" w:type="dxa"/>
            <w:gridSpan w:val="2"/>
            <w:tcBorders>
              <w:top w:val="nil"/>
              <w:left w:val="nil"/>
              <w:bottom w:val="nil"/>
              <w:right w:val="nil"/>
            </w:tcBorders>
            <w:shd w:val="clear" w:color="auto" w:fill="auto"/>
            <w:vAlign w:val="center"/>
            <w:hideMark/>
          </w:tcPr>
          <w:p w14:paraId="7F96EFE4" w14:textId="2FA7A4FF" w:rsidR="00CD75F3" w:rsidRPr="00005453" w:rsidRDefault="00CD75F3" w:rsidP="00CD75F3">
            <w:pPr>
              <w:jc w:val="right"/>
              <w:rPr>
                <w:sz w:val="18"/>
                <w:szCs w:val="18"/>
                <w:lang w:eastAsia="tr-TR"/>
              </w:rPr>
            </w:pPr>
            <w:r w:rsidRPr="00005453">
              <w:rPr>
                <w:sz w:val="18"/>
                <w:szCs w:val="18"/>
              </w:rPr>
              <w:t>197,823</w:t>
            </w:r>
          </w:p>
        </w:tc>
      </w:tr>
      <w:tr w:rsidR="00CD75F3" w:rsidRPr="00005453" w14:paraId="2B62D4DA" w14:textId="77777777" w:rsidTr="00CD75F3">
        <w:trPr>
          <w:trHeight w:val="224"/>
        </w:trPr>
        <w:tc>
          <w:tcPr>
            <w:tcW w:w="5246" w:type="dxa"/>
            <w:tcBorders>
              <w:top w:val="nil"/>
              <w:left w:val="nil"/>
              <w:bottom w:val="nil"/>
              <w:right w:val="nil"/>
            </w:tcBorders>
            <w:shd w:val="clear" w:color="auto" w:fill="auto"/>
            <w:noWrap/>
            <w:vAlign w:val="center"/>
            <w:hideMark/>
          </w:tcPr>
          <w:p w14:paraId="531A0F4A" w14:textId="77777777" w:rsidR="00CD75F3" w:rsidRPr="00005453" w:rsidRDefault="00CD75F3" w:rsidP="00CD75F3">
            <w:pPr>
              <w:ind w:firstLineChars="100" w:firstLine="180"/>
              <w:rPr>
                <w:sz w:val="18"/>
                <w:szCs w:val="18"/>
                <w:lang w:eastAsia="tr-TR"/>
              </w:rPr>
            </w:pPr>
            <w:r w:rsidRPr="00005453">
              <w:rPr>
                <w:sz w:val="18"/>
                <w:szCs w:val="18"/>
                <w:lang w:eastAsia="tr-TR"/>
              </w:rPr>
              <w:t>Aval ve Kabul Kredileri</w:t>
            </w:r>
          </w:p>
        </w:tc>
        <w:tc>
          <w:tcPr>
            <w:tcW w:w="1132" w:type="dxa"/>
            <w:tcBorders>
              <w:top w:val="nil"/>
              <w:left w:val="nil"/>
              <w:bottom w:val="nil"/>
              <w:right w:val="nil"/>
            </w:tcBorders>
            <w:shd w:val="clear" w:color="auto" w:fill="auto"/>
            <w:vAlign w:val="center"/>
            <w:hideMark/>
          </w:tcPr>
          <w:p w14:paraId="29C96380" w14:textId="17AF1CD0" w:rsidR="00CD75F3" w:rsidRPr="00005453" w:rsidRDefault="00CD75F3" w:rsidP="00CD75F3">
            <w:pPr>
              <w:jc w:val="right"/>
              <w:rPr>
                <w:sz w:val="18"/>
                <w:szCs w:val="18"/>
                <w:lang w:eastAsia="tr-TR"/>
              </w:rPr>
            </w:pPr>
            <w:r w:rsidRPr="00005453">
              <w:rPr>
                <w:sz w:val="18"/>
                <w:szCs w:val="18"/>
              </w:rPr>
              <w:t>93,099</w:t>
            </w:r>
          </w:p>
        </w:tc>
        <w:tc>
          <w:tcPr>
            <w:tcW w:w="1036" w:type="dxa"/>
            <w:tcBorders>
              <w:top w:val="nil"/>
              <w:left w:val="nil"/>
              <w:bottom w:val="nil"/>
              <w:right w:val="nil"/>
            </w:tcBorders>
            <w:shd w:val="clear" w:color="auto" w:fill="auto"/>
            <w:vAlign w:val="center"/>
            <w:hideMark/>
          </w:tcPr>
          <w:p w14:paraId="2DFAE245" w14:textId="40895895" w:rsidR="00CD75F3" w:rsidRPr="00005453" w:rsidRDefault="00CD75F3" w:rsidP="00CD75F3">
            <w:pPr>
              <w:jc w:val="right"/>
              <w:rPr>
                <w:sz w:val="18"/>
                <w:szCs w:val="18"/>
                <w:lang w:eastAsia="tr-TR"/>
              </w:rPr>
            </w:pPr>
            <w:r w:rsidRPr="00005453">
              <w:rPr>
                <w:color w:val="000000"/>
                <w:sz w:val="18"/>
                <w:szCs w:val="18"/>
              </w:rPr>
              <w:t>606,835</w:t>
            </w:r>
          </w:p>
        </w:tc>
        <w:tc>
          <w:tcPr>
            <w:tcW w:w="950" w:type="dxa"/>
            <w:tcBorders>
              <w:top w:val="nil"/>
              <w:left w:val="nil"/>
              <w:bottom w:val="nil"/>
              <w:right w:val="nil"/>
            </w:tcBorders>
            <w:shd w:val="clear" w:color="auto" w:fill="auto"/>
            <w:vAlign w:val="center"/>
            <w:hideMark/>
          </w:tcPr>
          <w:p w14:paraId="0CC73076" w14:textId="68AC35D1" w:rsidR="00CD75F3" w:rsidRPr="00005453" w:rsidRDefault="00CD75F3" w:rsidP="00CD75F3">
            <w:pPr>
              <w:jc w:val="right"/>
              <w:rPr>
                <w:sz w:val="18"/>
                <w:szCs w:val="18"/>
                <w:lang w:eastAsia="tr-TR"/>
              </w:rPr>
            </w:pPr>
            <w:r w:rsidRPr="00005453">
              <w:rPr>
                <w:sz w:val="18"/>
                <w:szCs w:val="18"/>
              </w:rPr>
              <w:t>-</w:t>
            </w:r>
          </w:p>
        </w:tc>
        <w:tc>
          <w:tcPr>
            <w:tcW w:w="830" w:type="dxa"/>
            <w:gridSpan w:val="2"/>
            <w:tcBorders>
              <w:top w:val="nil"/>
              <w:left w:val="nil"/>
              <w:bottom w:val="nil"/>
              <w:right w:val="nil"/>
            </w:tcBorders>
            <w:shd w:val="clear" w:color="auto" w:fill="auto"/>
            <w:vAlign w:val="center"/>
            <w:hideMark/>
          </w:tcPr>
          <w:p w14:paraId="509AC59B" w14:textId="68D9CB40" w:rsidR="00CD75F3" w:rsidRPr="00005453" w:rsidRDefault="00CD75F3" w:rsidP="00CD75F3">
            <w:pPr>
              <w:jc w:val="right"/>
              <w:rPr>
                <w:sz w:val="18"/>
                <w:szCs w:val="18"/>
                <w:lang w:eastAsia="tr-TR"/>
              </w:rPr>
            </w:pPr>
            <w:r w:rsidRPr="00005453">
              <w:rPr>
                <w:sz w:val="18"/>
                <w:szCs w:val="18"/>
              </w:rPr>
              <w:t>27,605</w:t>
            </w:r>
          </w:p>
        </w:tc>
      </w:tr>
      <w:tr w:rsidR="00CD75F3" w:rsidRPr="00005453" w14:paraId="61719602" w14:textId="77777777" w:rsidTr="00CD75F3">
        <w:trPr>
          <w:trHeight w:val="224"/>
        </w:trPr>
        <w:tc>
          <w:tcPr>
            <w:tcW w:w="5246" w:type="dxa"/>
            <w:tcBorders>
              <w:top w:val="nil"/>
              <w:left w:val="nil"/>
              <w:bottom w:val="nil"/>
              <w:right w:val="nil"/>
            </w:tcBorders>
            <w:shd w:val="clear" w:color="auto" w:fill="auto"/>
            <w:noWrap/>
            <w:vAlign w:val="center"/>
            <w:hideMark/>
          </w:tcPr>
          <w:p w14:paraId="098C6BD1" w14:textId="77777777" w:rsidR="00CD75F3" w:rsidRPr="00005453" w:rsidRDefault="00CD75F3" w:rsidP="00CD75F3">
            <w:pPr>
              <w:ind w:firstLineChars="100" w:firstLine="180"/>
              <w:rPr>
                <w:sz w:val="18"/>
                <w:szCs w:val="18"/>
                <w:lang w:eastAsia="tr-TR"/>
              </w:rPr>
            </w:pPr>
            <w:r w:rsidRPr="00005453">
              <w:rPr>
                <w:sz w:val="18"/>
                <w:szCs w:val="18"/>
                <w:lang w:eastAsia="tr-TR"/>
              </w:rPr>
              <w:t>Akreditifler</w:t>
            </w:r>
          </w:p>
        </w:tc>
        <w:tc>
          <w:tcPr>
            <w:tcW w:w="1132" w:type="dxa"/>
            <w:tcBorders>
              <w:top w:val="nil"/>
              <w:left w:val="nil"/>
              <w:bottom w:val="nil"/>
              <w:right w:val="nil"/>
            </w:tcBorders>
            <w:shd w:val="clear" w:color="auto" w:fill="auto"/>
            <w:vAlign w:val="center"/>
            <w:hideMark/>
          </w:tcPr>
          <w:p w14:paraId="6B10E260" w14:textId="5A32F025" w:rsidR="00CD75F3" w:rsidRPr="00005453" w:rsidRDefault="00CD75F3" w:rsidP="00CD75F3">
            <w:pPr>
              <w:jc w:val="right"/>
              <w:rPr>
                <w:sz w:val="18"/>
                <w:szCs w:val="18"/>
                <w:lang w:eastAsia="tr-TR"/>
              </w:rPr>
            </w:pPr>
            <w:r w:rsidRPr="00005453">
              <w:rPr>
                <w:sz w:val="18"/>
                <w:szCs w:val="18"/>
              </w:rPr>
              <w:t>30,479</w:t>
            </w:r>
          </w:p>
        </w:tc>
        <w:tc>
          <w:tcPr>
            <w:tcW w:w="1036" w:type="dxa"/>
            <w:tcBorders>
              <w:top w:val="nil"/>
              <w:left w:val="nil"/>
              <w:bottom w:val="nil"/>
              <w:right w:val="nil"/>
            </w:tcBorders>
            <w:shd w:val="clear" w:color="auto" w:fill="auto"/>
            <w:vAlign w:val="center"/>
            <w:hideMark/>
          </w:tcPr>
          <w:p w14:paraId="01C97896" w14:textId="2D598A22" w:rsidR="00CD75F3" w:rsidRPr="00005453" w:rsidRDefault="00CD75F3" w:rsidP="00CD75F3">
            <w:pPr>
              <w:jc w:val="right"/>
              <w:rPr>
                <w:sz w:val="18"/>
                <w:szCs w:val="18"/>
                <w:lang w:eastAsia="tr-TR"/>
              </w:rPr>
            </w:pPr>
            <w:r w:rsidRPr="00005453">
              <w:rPr>
                <w:color w:val="000000"/>
                <w:sz w:val="18"/>
                <w:szCs w:val="18"/>
              </w:rPr>
              <w:t>13,083,768</w:t>
            </w:r>
          </w:p>
        </w:tc>
        <w:tc>
          <w:tcPr>
            <w:tcW w:w="950" w:type="dxa"/>
            <w:tcBorders>
              <w:top w:val="nil"/>
              <w:left w:val="nil"/>
              <w:bottom w:val="nil"/>
              <w:right w:val="nil"/>
            </w:tcBorders>
            <w:shd w:val="clear" w:color="auto" w:fill="auto"/>
            <w:vAlign w:val="center"/>
            <w:hideMark/>
          </w:tcPr>
          <w:p w14:paraId="2923C1C6" w14:textId="4607F53B" w:rsidR="00CD75F3" w:rsidRPr="00005453" w:rsidRDefault="00CD75F3" w:rsidP="00CD75F3">
            <w:pPr>
              <w:jc w:val="right"/>
              <w:rPr>
                <w:sz w:val="18"/>
                <w:szCs w:val="18"/>
                <w:lang w:eastAsia="tr-TR"/>
              </w:rPr>
            </w:pPr>
            <w:r w:rsidRPr="00005453">
              <w:rPr>
                <w:sz w:val="18"/>
                <w:szCs w:val="18"/>
              </w:rPr>
              <w:t>-</w:t>
            </w:r>
          </w:p>
        </w:tc>
        <w:tc>
          <w:tcPr>
            <w:tcW w:w="830" w:type="dxa"/>
            <w:gridSpan w:val="2"/>
            <w:tcBorders>
              <w:top w:val="nil"/>
              <w:left w:val="nil"/>
              <w:bottom w:val="nil"/>
              <w:right w:val="nil"/>
            </w:tcBorders>
            <w:shd w:val="clear" w:color="auto" w:fill="auto"/>
            <w:vAlign w:val="center"/>
            <w:hideMark/>
          </w:tcPr>
          <w:p w14:paraId="5BCD9402" w14:textId="53DD1C64" w:rsidR="00CD75F3" w:rsidRPr="00005453" w:rsidRDefault="00CD75F3" w:rsidP="00CD75F3">
            <w:pPr>
              <w:jc w:val="right"/>
              <w:rPr>
                <w:sz w:val="18"/>
                <w:szCs w:val="18"/>
                <w:lang w:eastAsia="tr-TR"/>
              </w:rPr>
            </w:pPr>
            <w:r w:rsidRPr="00005453">
              <w:rPr>
                <w:sz w:val="18"/>
                <w:szCs w:val="18"/>
              </w:rPr>
              <w:t>467,046</w:t>
            </w:r>
          </w:p>
        </w:tc>
      </w:tr>
      <w:tr w:rsidR="00CD75F3" w:rsidRPr="00005453" w14:paraId="7C857800" w14:textId="77777777" w:rsidTr="00CD75F3">
        <w:trPr>
          <w:trHeight w:val="237"/>
        </w:trPr>
        <w:tc>
          <w:tcPr>
            <w:tcW w:w="5246" w:type="dxa"/>
            <w:tcBorders>
              <w:top w:val="nil"/>
              <w:left w:val="nil"/>
              <w:bottom w:val="nil"/>
              <w:right w:val="nil"/>
            </w:tcBorders>
            <w:shd w:val="clear" w:color="auto" w:fill="auto"/>
            <w:noWrap/>
            <w:vAlign w:val="center"/>
            <w:hideMark/>
          </w:tcPr>
          <w:p w14:paraId="5D94C6F5" w14:textId="77777777" w:rsidR="00CD75F3" w:rsidRPr="00005453" w:rsidRDefault="00CD75F3" w:rsidP="00CD75F3">
            <w:pPr>
              <w:ind w:firstLineChars="100" w:firstLine="180"/>
              <w:rPr>
                <w:sz w:val="18"/>
                <w:szCs w:val="18"/>
                <w:lang w:eastAsia="tr-TR"/>
              </w:rPr>
            </w:pPr>
            <w:r w:rsidRPr="00005453">
              <w:rPr>
                <w:sz w:val="18"/>
                <w:szCs w:val="18"/>
                <w:lang w:eastAsia="tr-TR"/>
              </w:rPr>
              <w:t>Cirolar</w:t>
            </w:r>
          </w:p>
        </w:tc>
        <w:tc>
          <w:tcPr>
            <w:tcW w:w="1132" w:type="dxa"/>
            <w:tcBorders>
              <w:top w:val="nil"/>
              <w:left w:val="nil"/>
              <w:bottom w:val="nil"/>
              <w:right w:val="nil"/>
            </w:tcBorders>
            <w:shd w:val="clear" w:color="auto" w:fill="auto"/>
            <w:vAlign w:val="center"/>
            <w:hideMark/>
          </w:tcPr>
          <w:p w14:paraId="2FA184FD" w14:textId="1109F3FC" w:rsidR="00CD75F3" w:rsidRPr="00005453" w:rsidRDefault="00CD75F3" w:rsidP="00CD75F3">
            <w:pPr>
              <w:jc w:val="right"/>
              <w:rPr>
                <w:sz w:val="18"/>
                <w:szCs w:val="18"/>
                <w:lang w:eastAsia="tr-TR"/>
              </w:rPr>
            </w:pPr>
            <w:r w:rsidRPr="00005453">
              <w:rPr>
                <w:sz w:val="18"/>
                <w:szCs w:val="18"/>
              </w:rPr>
              <w:t>-</w:t>
            </w:r>
          </w:p>
        </w:tc>
        <w:tc>
          <w:tcPr>
            <w:tcW w:w="1036" w:type="dxa"/>
            <w:tcBorders>
              <w:top w:val="nil"/>
              <w:left w:val="nil"/>
              <w:bottom w:val="nil"/>
              <w:right w:val="nil"/>
            </w:tcBorders>
            <w:shd w:val="clear" w:color="auto" w:fill="auto"/>
            <w:vAlign w:val="center"/>
            <w:hideMark/>
          </w:tcPr>
          <w:p w14:paraId="6277AB89" w14:textId="01B96D0B" w:rsidR="00CD75F3" w:rsidRPr="00005453" w:rsidRDefault="00CD75F3" w:rsidP="00CD75F3">
            <w:pPr>
              <w:jc w:val="right"/>
              <w:rPr>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23FC8781" w14:textId="23BD5C15" w:rsidR="00CD75F3" w:rsidRPr="00005453" w:rsidRDefault="00CD75F3" w:rsidP="00CD75F3">
            <w:pPr>
              <w:jc w:val="right"/>
              <w:rPr>
                <w:sz w:val="18"/>
                <w:szCs w:val="18"/>
                <w:lang w:eastAsia="tr-TR"/>
              </w:rPr>
            </w:pPr>
            <w:r w:rsidRPr="00005453">
              <w:rPr>
                <w:sz w:val="18"/>
                <w:szCs w:val="18"/>
              </w:rPr>
              <w:t>-</w:t>
            </w:r>
          </w:p>
        </w:tc>
        <w:tc>
          <w:tcPr>
            <w:tcW w:w="830" w:type="dxa"/>
            <w:gridSpan w:val="2"/>
            <w:tcBorders>
              <w:top w:val="nil"/>
              <w:left w:val="nil"/>
              <w:bottom w:val="nil"/>
              <w:right w:val="nil"/>
            </w:tcBorders>
            <w:shd w:val="clear" w:color="auto" w:fill="auto"/>
            <w:vAlign w:val="center"/>
            <w:hideMark/>
          </w:tcPr>
          <w:p w14:paraId="29E72673" w14:textId="4C59BAB1" w:rsidR="00CD75F3" w:rsidRPr="00005453" w:rsidRDefault="00CD75F3" w:rsidP="00CD75F3">
            <w:pPr>
              <w:jc w:val="right"/>
              <w:rPr>
                <w:sz w:val="18"/>
                <w:szCs w:val="18"/>
                <w:lang w:eastAsia="tr-TR"/>
              </w:rPr>
            </w:pPr>
            <w:r w:rsidRPr="00005453">
              <w:rPr>
                <w:sz w:val="18"/>
                <w:szCs w:val="18"/>
              </w:rPr>
              <w:t>-</w:t>
            </w:r>
          </w:p>
        </w:tc>
      </w:tr>
      <w:tr w:rsidR="00CD75F3" w:rsidRPr="00005453" w14:paraId="59C23457" w14:textId="77777777" w:rsidTr="00CD75F3">
        <w:trPr>
          <w:trHeight w:val="224"/>
        </w:trPr>
        <w:tc>
          <w:tcPr>
            <w:tcW w:w="5246" w:type="dxa"/>
            <w:tcBorders>
              <w:top w:val="nil"/>
              <w:left w:val="nil"/>
              <w:bottom w:val="nil"/>
              <w:right w:val="nil"/>
            </w:tcBorders>
            <w:shd w:val="clear" w:color="auto" w:fill="auto"/>
            <w:noWrap/>
            <w:vAlign w:val="center"/>
            <w:hideMark/>
          </w:tcPr>
          <w:p w14:paraId="2759A0D2" w14:textId="77777777" w:rsidR="00CD75F3" w:rsidRPr="00005453" w:rsidRDefault="00CD75F3" w:rsidP="00CD75F3">
            <w:pPr>
              <w:ind w:firstLineChars="100" w:firstLine="180"/>
              <w:rPr>
                <w:sz w:val="18"/>
                <w:szCs w:val="18"/>
                <w:lang w:eastAsia="tr-TR"/>
              </w:rPr>
            </w:pPr>
            <w:r w:rsidRPr="00005453">
              <w:rPr>
                <w:sz w:val="18"/>
                <w:szCs w:val="18"/>
                <w:lang w:eastAsia="tr-TR"/>
              </w:rPr>
              <w:t>Menkul Kıymet İhracında Satın Alma Garantilerimizden</w:t>
            </w:r>
          </w:p>
        </w:tc>
        <w:tc>
          <w:tcPr>
            <w:tcW w:w="1132" w:type="dxa"/>
            <w:tcBorders>
              <w:top w:val="nil"/>
              <w:left w:val="nil"/>
              <w:bottom w:val="nil"/>
              <w:right w:val="nil"/>
            </w:tcBorders>
            <w:shd w:val="clear" w:color="auto" w:fill="auto"/>
            <w:vAlign w:val="center"/>
            <w:hideMark/>
          </w:tcPr>
          <w:p w14:paraId="347B65D7" w14:textId="4A929C27" w:rsidR="00CD75F3" w:rsidRPr="00005453" w:rsidRDefault="00CD75F3" w:rsidP="00CD75F3">
            <w:pPr>
              <w:jc w:val="right"/>
              <w:rPr>
                <w:sz w:val="18"/>
                <w:szCs w:val="18"/>
                <w:lang w:eastAsia="tr-TR"/>
              </w:rPr>
            </w:pPr>
            <w:r w:rsidRPr="00005453">
              <w:rPr>
                <w:sz w:val="18"/>
                <w:szCs w:val="18"/>
              </w:rPr>
              <w:t>-</w:t>
            </w:r>
          </w:p>
        </w:tc>
        <w:tc>
          <w:tcPr>
            <w:tcW w:w="1036" w:type="dxa"/>
            <w:tcBorders>
              <w:top w:val="nil"/>
              <w:left w:val="nil"/>
              <w:bottom w:val="nil"/>
              <w:right w:val="nil"/>
            </w:tcBorders>
            <w:shd w:val="clear" w:color="auto" w:fill="auto"/>
            <w:vAlign w:val="center"/>
            <w:hideMark/>
          </w:tcPr>
          <w:p w14:paraId="7CFEC2DE" w14:textId="632DBFAF" w:rsidR="00CD75F3" w:rsidRPr="00005453" w:rsidRDefault="00CD75F3" w:rsidP="00CD75F3">
            <w:pPr>
              <w:jc w:val="right"/>
              <w:rPr>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5486AFB7" w14:textId="6ED466B9" w:rsidR="00CD75F3" w:rsidRPr="00005453" w:rsidRDefault="00CD75F3" w:rsidP="00CD75F3">
            <w:pPr>
              <w:jc w:val="right"/>
              <w:rPr>
                <w:sz w:val="18"/>
                <w:szCs w:val="18"/>
                <w:lang w:eastAsia="tr-TR"/>
              </w:rPr>
            </w:pPr>
            <w:r w:rsidRPr="00005453">
              <w:rPr>
                <w:sz w:val="18"/>
                <w:szCs w:val="18"/>
              </w:rPr>
              <w:t>-</w:t>
            </w:r>
          </w:p>
        </w:tc>
        <w:tc>
          <w:tcPr>
            <w:tcW w:w="830" w:type="dxa"/>
            <w:gridSpan w:val="2"/>
            <w:tcBorders>
              <w:top w:val="nil"/>
              <w:left w:val="nil"/>
              <w:bottom w:val="nil"/>
              <w:right w:val="nil"/>
            </w:tcBorders>
            <w:shd w:val="clear" w:color="auto" w:fill="auto"/>
            <w:vAlign w:val="center"/>
            <w:hideMark/>
          </w:tcPr>
          <w:p w14:paraId="4E0FDD11" w14:textId="71DA5F9D" w:rsidR="00CD75F3" w:rsidRPr="00005453" w:rsidRDefault="00CD75F3" w:rsidP="00CD75F3">
            <w:pPr>
              <w:jc w:val="right"/>
              <w:rPr>
                <w:sz w:val="18"/>
                <w:szCs w:val="18"/>
                <w:lang w:eastAsia="tr-TR"/>
              </w:rPr>
            </w:pPr>
            <w:r w:rsidRPr="00005453">
              <w:rPr>
                <w:sz w:val="18"/>
                <w:szCs w:val="18"/>
              </w:rPr>
              <w:t>-</w:t>
            </w:r>
          </w:p>
        </w:tc>
      </w:tr>
      <w:tr w:rsidR="00CD75F3" w:rsidRPr="00005453" w14:paraId="6B88BBA3" w14:textId="77777777" w:rsidTr="00CD75F3">
        <w:trPr>
          <w:trHeight w:val="237"/>
        </w:trPr>
        <w:tc>
          <w:tcPr>
            <w:tcW w:w="5246" w:type="dxa"/>
            <w:tcBorders>
              <w:top w:val="nil"/>
              <w:left w:val="nil"/>
              <w:bottom w:val="nil"/>
              <w:right w:val="nil"/>
            </w:tcBorders>
            <w:shd w:val="clear" w:color="auto" w:fill="auto"/>
            <w:noWrap/>
            <w:vAlign w:val="center"/>
            <w:hideMark/>
          </w:tcPr>
          <w:p w14:paraId="0A5EC919" w14:textId="77777777" w:rsidR="00CD75F3" w:rsidRPr="00005453" w:rsidRDefault="00CD75F3" w:rsidP="00CD75F3">
            <w:pPr>
              <w:ind w:firstLineChars="100" w:firstLine="180"/>
              <w:rPr>
                <w:sz w:val="18"/>
                <w:szCs w:val="18"/>
                <w:lang w:eastAsia="tr-TR"/>
              </w:rPr>
            </w:pPr>
            <w:r w:rsidRPr="00005453">
              <w:rPr>
                <w:sz w:val="18"/>
                <w:szCs w:val="18"/>
                <w:lang w:eastAsia="tr-TR"/>
              </w:rPr>
              <w:t>Faktoring Garantilerinden</w:t>
            </w:r>
          </w:p>
        </w:tc>
        <w:tc>
          <w:tcPr>
            <w:tcW w:w="1132" w:type="dxa"/>
            <w:tcBorders>
              <w:top w:val="nil"/>
              <w:left w:val="nil"/>
              <w:bottom w:val="nil"/>
              <w:right w:val="nil"/>
            </w:tcBorders>
            <w:shd w:val="clear" w:color="auto" w:fill="auto"/>
            <w:vAlign w:val="center"/>
            <w:hideMark/>
          </w:tcPr>
          <w:p w14:paraId="71556F3D" w14:textId="5F954825" w:rsidR="00CD75F3" w:rsidRPr="00005453" w:rsidRDefault="00CD75F3" w:rsidP="00CD75F3">
            <w:pPr>
              <w:jc w:val="right"/>
              <w:rPr>
                <w:sz w:val="18"/>
                <w:szCs w:val="18"/>
                <w:lang w:eastAsia="tr-TR"/>
              </w:rPr>
            </w:pPr>
            <w:r w:rsidRPr="00005453">
              <w:rPr>
                <w:sz w:val="18"/>
                <w:szCs w:val="18"/>
              </w:rPr>
              <w:t>-</w:t>
            </w:r>
          </w:p>
        </w:tc>
        <w:tc>
          <w:tcPr>
            <w:tcW w:w="1036" w:type="dxa"/>
            <w:tcBorders>
              <w:top w:val="nil"/>
              <w:left w:val="nil"/>
              <w:bottom w:val="nil"/>
              <w:right w:val="nil"/>
            </w:tcBorders>
            <w:shd w:val="clear" w:color="auto" w:fill="auto"/>
            <w:vAlign w:val="center"/>
            <w:hideMark/>
          </w:tcPr>
          <w:p w14:paraId="759968F9" w14:textId="2A9CC13B" w:rsidR="00CD75F3" w:rsidRPr="00005453" w:rsidRDefault="00CD75F3" w:rsidP="00CD75F3">
            <w:pPr>
              <w:jc w:val="right"/>
              <w:rPr>
                <w:sz w:val="18"/>
                <w:szCs w:val="18"/>
                <w:lang w:eastAsia="tr-TR"/>
              </w:rPr>
            </w:pPr>
            <w:r w:rsidRPr="00005453">
              <w:rPr>
                <w:sz w:val="18"/>
                <w:szCs w:val="18"/>
              </w:rPr>
              <w:t>-</w:t>
            </w:r>
          </w:p>
        </w:tc>
        <w:tc>
          <w:tcPr>
            <w:tcW w:w="950" w:type="dxa"/>
            <w:tcBorders>
              <w:top w:val="nil"/>
              <w:left w:val="nil"/>
              <w:bottom w:val="nil"/>
              <w:right w:val="nil"/>
            </w:tcBorders>
            <w:shd w:val="clear" w:color="auto" w:fill="auto"/>
            <w:vAlign w:val="center"/>
            <w:hideMark/>
          </w:tcPr>
          <w:p w14:paraId="195D155D" w14:textId="53CD1EC8" w:rsidR="00CD75F3" w:rsidRPr="00005453" w:rsidRDefault="00CD75F3" w:rsidP="00CD75F3">
            <w:pPr>
              <w:jc w:val="right"/>
              <w:rPr>
                <w:sz w:val="18"/>
                <w:szCs w:val="18"/>
                <w:lang w:eastAsia="tr-TR"/>
              </w:rPr>
            </w:pPr>
            <w:r w:rsidRPr="00005453">
              <w:rPr>
                <w:sz w:val="18"/>
                <w:szCs w:val="18"/>
              </w:rPr>
              <w:t>-</w:t>
            </w:r>
          </w:p>
        </w:tc>
        <w:tc>
          <w:tcPr>
            <w:tcW w:w="830" w:type="dxa"/>
            <w:gridSpan w:val="2"/>
            <w:tcBorders>
              <w:top w:val="nil"/>
              <w:left w:val="nil"/>
              <w:bottom w:val="nil"/>
              <w:right w:val="nil"/>
            </w:tcBorders>
            <w:shd w:val="clear" w:color="auto" w:fill="auto"/>
            <w:vAlign w:val="center"/>
            <w:hideMark/>
          </w:tcPr>
          <w:p w14:paraId="230962D5" w14:textId="71773888" w:rsidR="00CD75F3" w:rsidRPr="00005453" w:rsidRDefault="00CD75F3" w:rsidP="00CD75F3">
            <w:pPr>
              <w:jc w:val="right"/>
              <w:rPr>
                <w:sz w:val="18"/>
                <w:szCs w:val="18"/>
                <w:lang w:eastAsia="tr-TR"/>
              </w:rPr>
            </w:pPr>
            <w:r w:rsidRPr="00005453">
              <w:rPr>
                <w:sz w:val="18"/>
                <w:szCs w:val="18"/>
              </w:rPr>
              <w:t>-</w:t>
            </w:r>
          </w:p>
        </w:tc>
      </w:tr>
      <w:tr w:rsidR="00CD75F3" w:rsidRPr="00005453" w14:paraId="1A86E2C2" w14:textId="77777777" w:rsidTr="00CD75F3">
        <w:trPr>
          <w:trHeight w:val="253"/>
        </w:trPr>
        <w:tc>
          <w:tcPr>
            <w:tcW w:w="5246" w:type="dxa"/>
            <w:tcBorders>
              <w:top w:val="nil"/>
              <w:left w:val="nil"/>
              <w:bottom w:val="single" w:sz="8" w:space="0" w:color="auto"/>
              <w:right w:val="nil"/>
            </w:tcBorders>
            <w:shd w:val="clear" w:color="auto" w:fill="auto"/>
            <w:vAlign w:val="center"/>
            <w:hideMark/>
          </w:tcPr>
          <w:p w14:paraId="77933CF2" w14:textId="117B04BB" w:rsidR="00CD75F3" w:rsidRPr="00005453" w:rsidRDefault="00CD75F3" w:rsidP="00CD75F3">
            <w:pPr>
              <w:rPr>
                <w:sz w:val="18"/>
                <w:szCs w:val="18"/>
                <w:lang w:eastAsia="tr-TR"/>
              </w:rPr>
            </w:pPr>
            <w:r w:rsidRPr="00005453">
              <w:rPr>
                <w:sz w:val="18"/>
                <w:szCs w:val="18"/>
                <w:lang w:eastAsia="tr-TR"/>
              </w:rPr>
              <w:t xml:space="preserve">   Diğer Garanti ve </w:t>
            </w:r>
            <w:proofErr w:type="gramStart"/>
            <w:r w:rsidRPr="00005453">
              <w:rPr>
                <w:sz w:val="18"/>
                <w:szCs w:val="18"/>
                <w:lang w:eastAsia="tr-TR"/>
              </w:rPr>
              <w:t>Kefaletler(</w:t>
            </w:r>
            <w:proofErr w:type="gramEnd"/>
            <w:r w:rsidRPr="00005453">
              <w:rPr>
                <w:sz w:val="18"/>
                <w:szCs w:val="18"/>
                <w:lang w:eastAsia="tr-TR"/>
              </w:rPr>
              <w:t>*)</w:t>
            </w:r>
          </w:p>
        </w:tc>
        <w:tc>
          <w:tcPr>
            <w:tcW w:w="1132" w:type="dxa"/>
            <w:tcBorders>
              <w:top w:val="nil"/>
              <w:left w:val="nil"/>
              <w:bottom w:val="single" w:sz="8" w:space="0" w:color="auto"/>
              <w:right w:val="nil"/>
            </w:tcBorders>
            <w:shd w:val="clear" w:color="auto" w:fill="auto"/>
            <w:vAlign w:val="center"/>
            <w:hideMark/>
          </w:tcPr>
          <w:p w14:paraId="6695FCEF" w14:textId="4B30835A" w:rsidR="00CD75F3" w:rsidRPr="00005453" w:rsidRDefault="00CD75F3" w:rsidP="00CD75F3">
            <w:pPr>
              <w:jc w:val="right"/>
              <w:rPr>
                <w:sz w:val="18"/>
                <w:szCs w:val="18"/>
                <w:lang w:eastAsia="tr-TR"/>
              </w:rPr>
            </w:pPr>
            <w:r w:rsidRPr="00005453">
              <w:rPr>
                <w:sz w:val="18"/>
                <w:szCs w:val="18"/>
              </w:rPr>
              <w:t>4,684,753</w:t>
            </w:r>
          </w:p>
        </w:tc>
        <w:tc>
          <w:tcPr>
            <w:tcW w:w="1036" w:type="dxa"/>
            <w:tcBorders>
              <w:top w:val="nil"/>
              <w:left w:val="nil"/>
              <w:bottom w:val="single" w:sz="8" w:space="0" w:color="auto"/>
              <w:right w:val="nil"/>
            </w:tcBorders>
            <w:shd w:val="clear" w:color="auto" w:fill="auto"/>
            <w:vAlign w:val="center"/>
            <w:hideMark/>
          </w:tcPr>
          <w:p w14:paraId="231541C1" w14:textId="756979BD" w:rsidR="00CD75F3" w:rsidRPr="00005453" w:rsidRDefault="00CD75F3" w:rsidP="00CD75F3">
            <w:pPr>
              <w:jc w:val="right"/>
              <w:rPr>
                <w:sz w:val="18"/>
                <w:szCs w:val="18"/>
                <w:lang w:eastAsia="tr-TR"/>
              </w:rPr>
            </w:pPr>
            <w:r w:rsidRPr="00005453">
              <w:rPr>
                <w:sz w:val="18"/>
                <w:szCs w:val="18"/>
              </w:rPr>
              <w:t>385,016</w:t>
            </w:r>
          </w:p>
        </w:tc>
        <w:tc>
          <w:tcPr>
            <w:tcW w:w="950" w:type="dxa"/>
            <w:tcBorders>
              <w:top w:val="nil"/>
              <w:left w:val="nil"/>
              <w:bottom w:val="single" w:sz="8" w:space="0" w:color="auto"/>
              <w:right w:val="nil"/>
            </w:tcBorders>
            <w:shd w:val="clear" w:color="auto" w:fill="auto"/>
            <w:vAlign w:val="center"/>
            <w:hideMark/>
          </w:tcPr>
          <w:p w14:paraId="0188564B" w14:textId="6D76BE00" w:rsidR="00CD75F3" w:rsidRPr="00005453" w:rsidRDefault="00CD75F3" w:rsidP="00CD75F3">
            <w:pPr>
              <w:jc w:val="right"/>
              <w:rPr>
                <w:sz w:val="18"/>
                <w:szCs w:val="18"/>
                <w:lang w:eastAsia="tr-TR"/>
              </w:rPr>
            </w:pPr>
            <w:r w:rsidRPr="00005453">
              <w:rPr>
                <w:sz w:val="18"/>
                <w:szCs w:val="18"/>
              </w:rPr>
              <w:t>141,321</w:t>
            </w:r>
          </w:p>
        </w:tc>
        <w:tc>
          <w:tcPr>
            <w:tcW w:w="830" w:type="dxa"/>
            <w:gridSpan w:val="2"/>
            <w:tcBorders>
              <w:top w:val="nil"/>
              <w:left w:val="nil"/>
              <w:bottom w:val="single" w:sz="8" w:space="0" w:color="auto"/>
              <w:right w:val="nil"/>
            </w:tcBorders>
            <w:shd w:val="clear" w:color="auto" w:fill="auto"/>
            <w:vAlign w:val="center"/>
            <w:hideMark/>
          </w:tcPr>
          <w:p w14:paraId="6663322B" w14:textId="3BE1641E" w:rsidR="00CD75F3" w:rsidRPr="00005453" w:rsidRDefault="00CD75F3" w:rsidP="00CD75F3">
            <w:pPr>
              <w:jc w:val="right"/>
              <w:rPr>
                <w:sz w:val="18"/>
                <w:szCs w:val="18"/>
                <w:lang w:eastAsia="tr-TR"/>
              </w:rPr>
            </w:pPr>
            <w:r w:rsidRPr="00005453">
              <w:rPr>
                <w:sz w:val="18"/>
                <w:szCs w:val="18"/>
              </w:rPr>
              <w:t>-</w:t>
            </w:r>
          </w:p>
        </w:tc>
      </w:tr>
    </w:tbl>
    <w:p w14:paraId="775ACE32" w14:textId="7366EB7A" w:rsidR="007A1113" w:rsidRPr="00005453" w:rsidRDefault="007A1113" w:rsidP="00101060">
      <w:pPr>
        <w:tabs>
          <w:tab w:val="left" w:pos="567"/>
        </w:tabs>
        <w:autoSpaceDE w:val="0"/>
        <w:autoSpaceDN w:val="0"/>
        <w:adjustRightInd w:val="0"/>
        <w:rPr>
          <w:b/>
          <w:bCs/>
          <w:iCs/>
          <w:sz w:val="6"/>
        </w:rPr>
      </w:pPr>
    </w:p>
    <w:p w14:paraId="00EB5E35" w14:textId="605D392A" w:rsidR="008865AE" w:rsidRPr="00005453" w:rsidRDefault="008865AE" w:rsidP="007A1113">
      <w:pPr>
        <w:tabs>
          <w:tab w:val="left" w:pos="540"/>
        </w:tabs>
        <w:autoSpaceDE w:val="0"/>
        <w:autoSpaceDN w:val="0"/>
        <w:adjustRightInd w:val="0"/>
        <w:rPr>
          <w:lang w:val="en-GB" w:eastAsia="en-GB"/>
        </w:rPr>
      </w:pPr>
    </w:p>
    <w:tbl>
      <w:tblPr>
        <w:tblW w:w="9168" w:type="dxa"/>
        <w:tblCellMar>
          <w:left w:w="70" w:type="dxa"/>
          <w:right w:w="70" w:type="dxa"/>
        </w:tblCellMar>
        <w:tblLook w:val="04A0" w:firstRow="1" w:lastRow="0" w:firstColumn="1" w:lastColumn="0" w:noHBand="0" w:noVBand="1"/>
      </w:tblPr>
      <w:tblGrid>
        <w:gridCol w:w="5216"/>
        <w:gridCol w:w="1106"/>
        <w:gridCol w:w="1108"/>
        <w:gridCol w:w="984"/>
        <w:gridCol w:w="754"/>
      </w:tblGrid>
      <w:tr w:rsidR="001D2A04" w:rsidRPr="00005453" w14:paraId="5B5ECB2B" w14:textId="77777777" w:rsidTr="00F26D69">
        <w:trPr>
          <w:trHeight w:val="252"/>
        </w:trPr>
        <w:tc>
          <w:tcPr>
            <w:tcW w:w="5216" w:type="dxa"/>
            <w:tcBorders>
              <w:top w:val="double" w:sz="6" w:space="0" w:color="auto"/>
              <w:left w:val="nil"/>
              <w:bottom w:val="single" w:sz="8" w:space="0" w:color="auto"/>
              <w:right w:val="nil"/>
            </w:tcBorders>
            <w:shd w:val="clear" w:color="auto" w:fill="auto"/>
            <w:vAlign w:val="center"/>
            <w:hideMark/>
          </w:tcPr>
          <w:p w14:paraId="06D93D56" w14:textId="61CFDF27" w:rsidR="001D2A04" w:rsidRPr="00005453" w:rsidRDefault="001D2A04" w:rsidP="001D2A04">
            <w:pPr>
              <w:jc w:val="both"/>
              <w:rPr>
                <w:b/>
                <w:bCs/>
                <w:sz w:val="18"/>
                <w:szCs w:val="18"/>
                <w:lang w:eastAsia="tr-TR"/>
              </w:rPr>
            </w:pPr>
            <w:r w:rsidRPr="00005453">
              <w:rPr>
                <w:b/>
                <w:bCs/>
                <w:sz w:val="18"/>
                <w:szCs w:val="18"/>
                <w:lang w:eastAsia="tr-TR"/>
              </w:rPr>
              <w:t>Önceki Dönem</w:t>
            </w:r>
          </w:p>
        </w:tc>
        <w:tc>
          <w:tcPr>
            <w:tcW w:w="2214" w:type="dxa"/>
            <w:gridSpan w:val="2"/>
            <w:tcBorders>
              <w:top w:val="double" w:sz="6" w:space="0" w:color="auto"/>
              <w:left w:val="nil"/>
              <w:bottom w:val="single" w:sz="8" w:space="0" w:color="auto"/>
              <w:right w:val="nil"/>
            </w:tcBorders>
            <w:shd w:val="clear" w:color="auto" w:fill="auto"/>
            <w:vAlign w:val="center"/>
            <w:hideMark/>
          </w:tcPr>
          <w:p w14:paraId="5712B441" w14:textId="062961FC" w:rsidR="001D2A04" w:rsidRPr="00005453" w:rsidRDefault="001D2A04" w:rsidP="00F26D69">
            <w:pPr>
              <w:jc w:val="right"/>
              <w:rPr>
                <w:b/>
                <w:bCs/>
                <w:sz w:val="18"/>
                <w:szCs w:val="18"/>
                <w:lang w:eastAsia="tr-TR"/>
              </w:rPr>
            </w:pPr>
            <w:r w:rsidRPr="00005453">
              <w:rPr>
                <w:b/>
                <w:bCs/>
                <w:sz w:val="18"/>
                <w:szCs w:val="18"/>
                <w:lang w:eastAsia="tr-TR"/>
              </w:rPr>
              <w:t xml:space="preserve">       I.Grup</w:t>
            </w:r>
          </w:p>
        </w:tc>
        <w:tc>
          <w:tcPr>
            <w:tcW w:w="1738" w:type="dxa"/>
            <w:gridSpan w:val="2"/>
            <w:tcBorders>
              <w:top w:val="double" w:sz="6" w:space="0" w:color="auto"/>
              <w:left w:val="nil"/>
              <w:bottom w:val="single" w:sz="8" w:space="0" w:color="auto"/>
              <w:right w:val="nil"/>
            </w:tcBorders>
            <w:shd w:val="clear" w:color="auto" w:fill="auto"/>
            <w:vAlign w:val="center"/>
            <w:hideMark/>
          </w:tcPr>
          <w:p w14:paraId="0399FB4E" w14:textId="15F23E9F" w:rsidR="001D2A04" w:rsidRPr="00005453" w:rsidRDefault="001D2A04" w:rsidP="00F26D69">
            <w:pPr>
              <w:jc w:val="right"/>
              <w:rPr>
                <w:b/>
                <w:bCs/>
                <w:sz w:val="18"/>
                <w:szCs w:val="18"/>
                <w:lang w:eastAsia="tr-TR"/>
              </w:rPr>
            </w:pPr>
            <w:r w:rsidRPr="00005453">
              <w:rPr>
                <w:b/>
                <w:bCs/>
                <w:sz w:val="18"/>
                <w:szCs w:val="18"/>
                <w:lang w:eastAsia="tr-TR"/>
              </w:rPr>
              <w:t xml:space="preserve">     II.Grup</w:t>
            </w:r>
          </w:p>
        </w:tc>
      </w:tr>
      <w:tr w:rsidR="00254F28" w:rsidRPr="00005453" w14:paraId="6E12B994" w14:textId="77777777" w:rsidTr="00532EFF">
        <w:trPr>
          <w:trHeight w:val="237"/>
        </w:trPr>
        <w:tc>
          <w:tcPr>
            <w:tcW w:w="5216" w:type="dxa"/>
            <w:tcBorders>
              <w:top w:val="nil"/>
              <w:left w:val="nil"/>
              <w:bottom w:val="single" w:sz="8" w:space="0" w:color="auto"/>
              <w:right w:val="nil"/>
            </w:tcBorders>
            <w:shd w:val="clear" w:color="auto" w:fill="auto"/>
            <w:vAlign w:val="center"/>
            <w:hideMark/>
          </w:tcPr>
          <w:p w14:paraId="5EA52475" w14:textId="77777777" w:rsidR="00254F28" w:rsidRPr="00005453" w:rsidRDefault="00254F28" w:rsidP="00254F28">
            <w:pPr>
              <w:jc w:val="both"/>
              <w:rPr>
                <w:b/>
                <w:bCs/>
                <w:sz w:val="18"/>
                <w:szCs w:val="18"/>
                <w:lang w:eastAsia="tr-TR"/>
              </w:rPr>
            </w:pPr>
            <w:r w:rsidRPr="00005453">
              <w:rPr>
                <w:b/>
                <w:bCs/>
                <w:sz w:val="18"/>
                <w:szCs w:val="18"/>
                <w:lang w:eastAsia="tr-TR"/>
              </w:rPr>
              <w:t> </w:t>
            </w:r>
          </w:p>
        </w:tc>
        <w:tc>
          <w:tcPr>
            <w:tcW w:w="1106" w:type="dxa"/>
            <w:tcBorders>
              <w:top w:val="nil"/>
              <w:left w:val="nil"/>
              <w:bottom w:val="single" w:sz="8" w:space="0" w:color="auto"/>
              <w:right w:val="nil"/>
            </w:tcBorders>
            <w:shd w:val="clear" w:color="auto" w:fill="auto"/>
            <w:vAlign w:val="center"/>
            <w:hideMark/>
          </w:tcPr>
          <w:p w14:paraId="007495AB" w14:textId="77777777" w:rsidR="00254F28" w:rsidRPr="00005453" w:rsidRDefault="00254F28" w:rsidP="00254F28">
            <w:pPr>
              <w:jc w:val="right"/>
              <w:rPr>
                <w:b/>
                <w:bCs/>
                <w:sz w:val="18"/>
                <w:szCs w:val="18"/>
                <w:lang w:eastAsia="tr-TR"/>
              </w:rPr>
            </w:pPr>
            <w:r w:rsidRPr="00005453">
              <w:rPr>
                <w:b/>
                <w:bCs/>
                <w:sz w:val="18"/>
                <w:szCs w:val="18"/>
                <w:lang w:eastAsia="tr-TR"/>
              </w:rPr>
              <w:t>TP</w:t>
            </w:r>
          </w:p>
        </w:tc>
        <w:tc>
          <w:tcPr>
            <w:tcW w:w="1108" w:type="dxa"/>
            <w:tcBorders>
              <w:top w:val="nil"/>
              <w:left w:val="nil"/>
              <w:bottom w:val="single" w:sz="8" w:space="0" w:color="auto"/>
              <w:right w:val="nil"/>
            </w:tcBorders>
            <w:shd w:val="clear" w:color="auto" w:fill="auto"/>
            <w:vAlign w:val="center"/>
            <w:hideMark/>
          </w:tcPr>
          <w:p w14:paraId="139E6996" w14:textId="77777777" w:rsidR="00254F28" w:rsidRPr="00005453" w:rsidRDefault="00254F28" w:rsidP="00254F28">
            <w:pPr>
              <w:jc w:val="right"/>
              <w:rPr>
                <w:b/>
                <w:bCs/>
                <w:sz w:val="18"/>
                <w:szCs w:val="18"/>
                <w:lang w:eastAsia="tr-TR"/>
              </w:rPr>
            </w:pPr>
            <w:r w:rsidRPr="00005453">
              <w:rPr>
                <w:b/>
                <w:bCs/>
                <w:sz w:val="18"/>
                <w:szCs w:val="18"/>
                <w:lang w:eastAsia="tr-TR"/>
              </w:rPr>
              <w:t>YP</w:t>
            </w:r>
          </w:p>
        </w:tc>
        <w:tc>
          <w:tcPr>
            <w:tcW w:w="984" w:type="dxa"/>
            <w:tcBorders>
              <w:top w:val="nil"/>
              <w:left w:val="nil"/>
              <w:bottom w:val="single" w:sz="8" w:space="0" w:color="auto"/>
              <w:right w:val="nil"/>
            </w:tcBorders>
            <w:shd w:val="clear" w:color="auto" w:fill="auto"/>
            <w:vAlign w:val="center"/>
            <w:hideMark/>
          </w:tcPr>
          <w:p w14:paraId="3F455644" w14:textId="77777777" w:rsidR="00254F28" w:rsidRPr="00005453" w:rsidRDefault="00254F28" w:rsidP="00254F28">
            <w:pPr>
              <w:jc w:val="right"/>
              <w:rPr>
                <w:b/>
                <w:bCs/>
                <w:sz w:val="18"/>
                <w:szCs w:val="18"/>
                <w:lang w:eastAsia="tr-TR"/>
              </w:rPr>
            </w:pPr>
            <w:r w:rsidRPr="00005453">
              <w:rPr>
                <w:b/>
                <w:bCs/>
                <w:sz w:val="18"/>
                <w:szCs w:val="18"/>
                <w:lang w:eastAsia="tr-TR"/>
              </w:rPr>
              <w:t>TP</w:t>
            </w:r>
          </w:p>
        </w:tc>
        <w:tc>
          <w:tcPr>
            <w:tcW w:w="754" w:type="dxa"/>
            <w:tcBorders>
              <w:top w:val="nil"/>
              <w:left w:val="nil"/>
              <w:bottom w:val="single" w:sz="8" w:space="0" w:color="auto"/>
              <w:right w:val="nil"/>
            </w:tcBorders>
            <w:shd w:val="clear" w:color="auto" w:fill="auto"/>
            <w:vAlign w:val="center"/>
            <w:hideMark/>
          </w:tcPr>
          <w:p w14:paraId="620B4B93" w14:textId="77777777" w:rsidR="00254F28" w:rsidRPr="00005453" w:rsidRDefault="00254F28" w:rsidP="00254F28">
            <w:pPr>
              <w:jc w:val="right"/>
              <w:rPr>
                <w:b/>
                <w:bCs/>
                <w:sz w:val="18"/>
                <w:szCs w:val="18"/>
                <w:lang w:eastAsia="tr-TR"/>
              </w:rPr>
            </w:pPr>
            <w:r w:rsidRPr="00005453">
              <w:rPr>
                <w:b/>
                <w:bCs/>
                <w:sz w:val="18"/>
                <w:szCs w:val="18"/>
                <w:lang w:eastAsia="tr-TR"/>
              </w:rPr>
              <w:t>YP</w:t>
            </w:r>
          </w:p>
        </w:tc>
      </w:tr>
      <w:tr w:rsidR="00846060" w:rsidRPr="00005453" w14:paraId="1B858A07" w14:textId="77777777" w:rsidTr="00532EFF">
        <w:trPr>
          <w:trHeight w:val="224"/>
        </w:trPr>
        <w:tc>
          <w:tcPr>
            <w:tcW w:w="5216" w:type="dxa"/>
            <w:tcBorders>
              <w:top w:val="nil"/>
              <w:left w:val="nil"/>
              <w:bottom w:val="nil"/>
              <w:right w:val="nil"/>
            </w:tcBorders>
            <w:shd w:val="clear" w:color="auto" w:fill="auto"/>
            <w:noWrap/>
            <w:vAlign w:val="bottom"/>
            <w:hideMark/>
          </w:tcPr>
          <w:p w14:paraId="5F665FAB" w14:textId="05002E0C" w:rsidR="00846060" w:rsidRPr="00005453" w:rsidRDefault="00846060" w:rsidP="00846060">
            <w:pPr>
              <w:rPr>
                <w:b/>
                <w:bCs/>
                <w:sz w:val="18"/>
                <w:szCs w:val="18"/>
                <w:lang w:eastAsia="tr-TR"/>
              </w:rPr>
            </w:pPr>
            <w:r w:rsidRPr="00005453">
              <w:rPr>
                <w:b/>
                <w:bCs/>
                <w:sz w:val="18"/>
                <w:szCs w:val="18"/>
                <w:lang w:eastAsia="tr-TR"/>
              </w:rPr>
              <w:t>Gayrinakdi Krediler</w:t>
            </w:r>
          </w:p>
        </w:tc>
        <w:tc>
          <w:tcPr>
            <w:tcW w:w="1106" w:type="dxa"/>
            <w:tcBorders>
              <w:top w:val="nil"/>
              <w:left w:val="nil"/>
              <w:bottom w:val="nil"/>
              <w:right w:val="nil"/>
            </w:tcBorders>
            <w:shd w:val="clear" w:color="auto" w:fill="auto"/>
            <w:vAlign w:val="center"/>
            <w:hideMark/>
          </w:tcPr>
          <w:p w14:paraId="75711B87" w14:textId="7A83A8E0" w:rsidR="00846060" w:rsidRPr="00005453" w:rsidRDefault="00846060" w:rsidP="00846060">
            <w:pPr>
              <w:jc w:val="right"/>
              <w:rPr>
                <w:b/>
                <w:bCs/>
                <w:sz w:val="18"/>
                <w:szCs w:val="18"/>
                <w:lang w:eastAsia="tr-TR"/>
              </w:rPr>
            </w:pPr>
            <w:r w:rsidRPr="00005453">
              <w:rPr>
                <w:b/>
                <w:bCs/>
                <w:sz w:val="18"/>
                <w:szCs w:val="18"/>
              </w:rPr>
              <w:t>36,346,105</w:t>
            </w:r>
          </w:p>
        </w:tc>
        <w:tc>
          <w:tcPr>
            <w:tcW w:w="1108" w:type="dxa"/>
            <w:tcBorders>
              <w:top w:val="nil"/>
              <w:left w:val="nil"/>
              <w:bottom w:val="nil"/>
              <w:right w:val="nil"/>
            </w:tcBorders>
            <w:shd w:val="clear" w:color="auto" w:fill="auto"/>
            <w:vAlign w:val="center"/>
            <w:hideMark/>
          </w:tcPr>
          <w:p w14:paraId="0F3A0647" w14:textId="20CC9695" w:rsidR="00846060" w:rsidRPr="00005453" w:rsidRDefault="00846060" w:rsidP="00846060">
            <w:pPr>
              <w:jc w:val="right"/>
              <w:rPr>
                <w:b/>
                <w:bCs/>
                <w:sz w:val="18"/>
                <w:szCs w:val="18"/>
                <w:lang w:eastAsia="tr-TR"/>
              </w:rPr>
            </w:pPr>
            <w:r w:rsidRPr="00005453">
              <w:rPr>
                <w:b/>
                <w:bCs/>
                <w:sz w:val="18"/>
                <w:szCs w:val="18"/>
              </w:rPr>
              <w:t>22,984,627</w:t>
            </w:r>
          </w:p>
        </w:tc>
        <w:tc>
          <w:tcPr>
            <w:tcW w:w="984" w:type="dxa"/>
            <w:tcBorders>
              <w:top w:val="nil"/>
              <w:left w:val="nil"/>
              <w:bottom w:val="nil"/>
              <w:right w:val="nil"/>
            </w:tcBorders>
            <w:shd w:val="clear" w:color="auto" w:fill="auto"/>
            <w:vAlign w:val="center"/>
            <w:hideMark/>
          </w:tcPr>
          <w:p w14:paraId="400F8B90" w14:textId="64634223" w:rsidR="00846060" w:rsidRPr="00005453" w:rsidRDefault="00846060" w:rsidP="00846060">
            <w:pPr>
              <w:jc w:val="right"/>
              <w:rPr>
                <w:b/>
                <w:bCs/>
                <w:sz w:val="18"/>
                <w:szCs w:val="18"/>
                <w:lang w:eastAsia="tr-TR"/>
              </w:rPr>
            </w:pPr>
            <w:r w:rsidRPr="00005453">
              <w:rPr>
                <w:b/>
                <w:bCs/>
                <w:sz w:val="18"/>
                <w:szCs w:val="18"/>
              </w:rPr>
              <w:t>1,333,734</w:t>
            </w:r>
          </w:p>
        </w:tc>
        <w:tc>
          <w:tcPr>
            <w:tcW w:w="754" w:type="dxa"/>
            <w:tcBorders>
              <w:top w:val="nil"/>
              <w:left w:val="nil"/>
              <w:bottom w:val="nil"/>
              <w:right w:val="nil"/>
            </w:tcBorders>
            <w:shd w:val="clear" w:color="auto" w:fill="auto"/>
            <w:vAlign w:val="center"/>
            <w:hideMark/>
          </w:tcPr>
          <w:p w14:paraId="2F69EEE0" w14:textId="78917BE2" w:rsidR="00846060" w:rsidRPr="00005453" w:rsidRDefault="00846060" w:rsidP="00846060">
            <w:pPr>
              <w:jc w:val="right"/>
              <w:rPr>
                <w:b/>
                <w:bCs/>
                <w:sz w:val="18"/>
                <w:szCs w:val="18"/>
                <w:lang w:eastAsia="tr-TR"/>
              </w:rPr>
            </w:pPr>
            <w:r w:rsidRPr="00005453">
              <w:rPr>
                <w:b/>
                <w:bCs/>
                <w:sz w:val="18"/>
                <w:szCs w:val="18"/>
              </w:rPr>
              <w:t>407,943</w:t>
            </w:r>
          </w:p>
        </w:tc>
      </w:tr>
      <w:tr w:rsidR="00846060" w:rsidRPr="00005453" w14:paraId="15444A16" w14:textId="77777777" w:rsidTr="00532EFF">
        <w:trPr>
          <w:trHeight w:val="224"/>
        </w:trPr>
        <w:tc>
          <w:tcPr>
            <w:tcW w:w="5216" w:type="dxa"/>
            <w:tcBorders>
              <w:top w:val="nil"/>
              <w:left w:val="nil"/>
              <w:bottom w:val="nil"/>
              <w:right w:val="nil"/>
            </w:tcBorders>
            <w:shd w:val="clear" w:color="auto" w:fill="auto"/>
            <w:noWrap/>
            <w:vAlign w:val="bottom"/>
            <w:hideMark/>
          </w:tcPr>
          <w:p w14:paraId="6D0CF606" w14:textId="6B57529D" w:rsidR="00846060" w:rsidRPr="00005453" w:rsidRDefault="00846060" w:rsidP="00846060">
            <w:pPr>
              <w:ind w:firstLineChars="100" w:firstLine="180"/>
              <w:rPr>
                <w:sz w:val="18"/>
                <w:szCs w:val="18"/>
                <w:lang w:eastAsia="tr-TR"/>
              </w:rPr>
            </w:pPr>
            <w:r w:rsidRPr="00005453">
              <w:rPr>
                <w:sz w:val="18"/>
                <w:szCs w:val="18"/>
                <w:lang w:eastAsia="tr-TR"/>
              </w:rPr>
              <w:t xml:space="preserve">Teminat </w:t>
            </w:r>
            <w:proofErr w:type="gramStart"/>
            <w:r w:rsidRPr="00005453">
              <w:rPr>
                <w:sz w:val="18"/>
                <w:szCs w:val="18"/>
                <w:lang w:eastAsia="tr-TR"/>
              </w:rPr>
              <w:t>Mektupları(</w:t>
            </w:r>
            <w:proofErr w:type="gramEnd"/>
            <w:r w:rsidRPr="00005453">
              <w:rPr>
                <w:sz w:val="18"/>
                <w:szCs w:val="18"/>
                <w:lang w:eastAsia="tr-TR"/>
              </w:rPr>
              <w:t>*)</w:t>
            </w:r>
          </w:p>
        </w:tc>
        <w:tc>
          <w:tcPr>
            <w:tcW w:w="1106" w:type="dxa"/>
            <w:tcBorders>
              <w:top w:val="nil"/>
              <w:left w:val="nil"/>
              <w:bottom w:val="nil"/>
              <w:right w:val="nil"/>
            </w:tcBorders>
            <w:shd w:val="clear" w:color="auto" w:fill="auto"/>
            <w:vAlign w:val="center"/>
            <w:hideMark/>
          </w:tcPr>
          <w:p w14:paraId="254728F6" w14:textId="46556415" w:rsidR="00846060" w:rsidRPr="00005453" w:rsidRDefault="00846060" w:rsidP="00846060">
            <w:pPr>
              <w:jc w:val="right"/>
              <w:rPr>
                <w:sz w:val="18"/>
                <w:szCs w:val="18"/>
                <w:lang w:eastAsia="tr-TR"/>
              </w:rPr>
            </w:pPr>
            <w:r w:rsidRPr="00005453">
              <w:rPr>
                <w:sz w:val="18"/>
                <w:szCs w:val="18"/>
              </w:rPr>
              <w:t>33,682,074</w:t>
            </w:r>
          </w:p>
        </w:tc>
        <w:tc>
          <w:tcPr>
            <w:tcW w:w="1108" w:type="dxa"/>
            <w:tcBorders>
              <w:top w:val="nil"/>
              <w:left w:val="nil"/>
              <w:bottom w:val="nil"/>
              <w:right w:val="nil"/>
            </w:tcBorders>
            <w:shd w:val="clear" w:color="auto" w:fill="auto"/>
            <w:vAlign w:val="center"/>
            <w:hideMark/>
          </w:tcPr>
          <w:p w14:paraId="35FB24AF" w14:textId="2E4C324D" w:rsidR="00846060" w:rsidRPr="00005453" w:rsidRDefault="00846060" w:rsidP="00846060">
            <w:pPr>
              <w:jc w:val="right"/>
              <w:rPr>
                <w:sz w:val="18"/>
                <w:szCs w:val="18"/>
                <w:lang w:eastAsia="tr-TR"/>
              </w:rPr>
            </w:pPr>
            <w:r w:rsidRPr="00005453">
              <w:rPr>
                <w:color w:val="000000"/>
                <w:sz w:val="18"/>
                <w:szCs w:val="18"/>
              </w:rPr>
              <w:t>13,860,793</w:t>
            </w:r>
          </w:p>
        </w:tc>
        <w:tc>
          <w:tcPr>
            <w:tcW w:w="984" w:type="dxa"/>
            <w:tcBorders>
              <w:top w:val="nil"/>
              <w:left w:val="nil"/>
              <w:bottom w:val="nil"/>
              <w:right w:val="nil"/>
            </w:tcBorders>
            <w:shd w:val="clear" w:color="auto" w:fill="auto"/>
            <w:vAlign w:val="center"/>
            <w:hideMark/>
          </w:tcPr>
          <w:p w14:paraId="7EBB13B4" w14:textId="79AB1F6A" w:rsidR="00846060" w:rsidRPr="00005453" w:rsidRDefault="00846060" w:rsidP="00846060">
            <w:pPr>
              <w:jc w:val="right"/>
              <w:rPr>
                <w:sz w:val="18"/>
                <w:szCs w:val="18"/>
                <w:lang w:eastAsia="tr-TR"/>
              </w:rPr>
            </w:pPr>
            <w:r w:rsidRPr="00005453">
              <w:rPr>
                <w:sz w:val="18"/>
                <w:szCs w:val="18"/>
              </w:rPr>
              <w:t>1,242,439</w:t>
            </w:r>
          </w:p>
        </w:tc>
        <w:tc>
          <w:tcPr>
            <w:tcW w:w="754" w:type="dxa"/>
            <w:tcBorders>
              <w:top w:val="nil"/>
              <w:left w:val="nil"/>
              <w:bottom w:val="nil"/>
              <w:right w:val="nil"/>
            </w:tcBorders>
            <w:shd w:val="clear" w:color="auto" w:fill="auto"/>
            <w:vAlign w:val="center"/>
            <w:hideMark/>
          </w:tcPr>
          <w:p w14:paraId="69EFE131" w14:textId="3A3A426B" w:rsidR="00846060" w:rsidRPr="00005453" w:rsidRDefault="00846060" w:rsidP="00846060">
            <w:pPr>
              <w:jc w:val="right"/>
              <w:rPr>
                <w:sz w:val="18"/>
                <w:szCs w:val="18"/>
                <w:lang w:eastAsia="tr-TR"/>
              </w:rPr>
            </w:pPr>
            <w:r w:rsidRPr="00005453">
              <w:rPr>
                <w:sz w:val="18"/>
                <w:szCs w:val="18"/>
              </w:rPr>
              <w:t>206,905</w:t>
            </w:r>
          </w:p>
        </w:tc>
      </w:tr>
      <w:tr w:rsidR="00846060" w:rsidRPr="00005453" w14:paraId="2EFE37C6" w14:textId="77777777" w:rsidTr="00532EFF">
        <w:trPr>
          <w:trHeight w:val="224"/>
        </w:trPr>
        <w:tc>
          <w:tcPr>
            <w:tcW w:w="5216" w:type="dxa"/>
            <w:tcBorders>
              <w:top w:val="nil"/>
              <w:left w:val="nil"/>
              <w:bottom w:val="nil"/>
              <w:right w:val="nil"/>
            </w:tcBorders>
            <w:shd w:val="clear" w:color="auto" w:fill="auto"/>
            <w:noWrap/>
            <w:vAlign w:val="bottom"/>
            <w:hideMark/>
          </w:tcPr>
          <w:p w14:paraId="77DADDF1" w14:textId="77777777" w:rsidR="00846060" w:rsidRPr="00005453" w:rsidRDefault="00846060" w:rsidP="00846060">
            <w:pPr>
              <w:ind w:firstLineChars="100" w:firstLine="180"/>
              <w:rPr>
                <w:sz w:val="18"/>
                <w:szCs w:val="18"/>
                <w:lang w:eastAsia="tr-TR"/>
              </w:rPr>
            </w:pPr>
            <w:r w:rsidRPr="00005453">
              <w:rPr>
                <w:sz w:val="18"/>
                <w:szCs w:val="18"/>
                <w:lang w:eastAsia="tr-TR"/>
              </w:rPr>
              <w:t>Aval ve Kabul Kredileri</w:t>
            </w:r>
          </w:p>
        </w:tc>
        <w:tc>
          <w:tcPr>
            <w:tcW w:w="1106" w:type="dxa"/>
            <w:tcBorders>
              <w:top w:val="nil"/>
              <w:left w:val="nil"/>
              <w:bottom w:val="nil"/>
              <w:right w:val="nil"/>
            </w:tcBorders>
            <w:shd w:val="clear" w:color="auto" w:fill="auto"/>
            <w:vAlign w:val="center"/>
            <w:hideMark/>
          </w:tcPr>
          <w:p w14:paraId="22817059" w14:textId="33DE43FE" w:rsidR="00846060" w:rsidRPr="00005453" w:rsidRDefault="00846060" w:rsidP="00846060">
            <w:pPr>
              <w:jc w:val="right"/>
              <w:rPr>
                <w:sz w:val="18"/>
                <w:szCs w:val="18"/>
                <w:lang w:eastAsia="tr-TR"/>
              </w:rPr>
            </w:pPr>
            <w:r w:rsidRPr="00005453">
              <w:rPr>
                <w:sz w:val="18"/>
                <w:szCs w:val="18"/>
              </w:rPr>
              <w:t>18,769</w:t>
            </w:r>
          </w:p>
        </w:tc>
        <w:tc>
          <w:tcPr>
            <w:tcW w:w="1108" w:type="dxa"/>
            <w:tcBorders>
              <w:top w:val="nil"/>
              <w:left w:val="nil"/>
              <w:bottom w:val="nil"/>
              <w:right w:val="nil"/>
            </w:tcBorders>
            <w:shd w:val="clear" w:color="auto" w:fill="auto"/>
            <w:vAlign w:val="center"/>
            <w:hideMark/>
          </w:tcPr>
          <w:p w14:paraId="5ABFBB4E" w14:textId="57C1B8AA" w:rsidR="00846060" w:rsidRPr="00005453" w:rsidRDefault="00846060" w:rsidP="00846060">
            <w:pPr>
              <w:jc w:val="right"/>
              <w:rPr>
                <w:sz w:val="18"/>
                <w:szCs w:val="18"/>
                <w:lang w:eastAsia="tr-TR"/>
              </w:rPr>
            </w:pPr>
            <w:r w:rsidRPr="00005453">
              <w:rPr>
                <w:color w:val="000000"/>
                <w:sz w:val="18"/>
                <w:szCs w:val="18"/>
              </w:rPr>
              <w:t>164,427</w:t>
            </w:r>
          </w:p>
        </w:tc>
        <w:tc>
          <w:tcPr>
            <w:tcW w:w="984" w:type="dxa"/>
            <w:tcBorders>
              <w:top w:val="nil"/>
              <w:left w:val="nil"/>
              <w:bottom w:val="nil"/>
              <w:right w:val="nil"/>
            </w:tcBorders>
            <w:shd w:val="clear" w:color="auto" w:fill="auto"/>
            <w:vAlign w:val="center"/>
            <w:hideMark/>
          </w:tcPr>
          <w:p w14:paraId="0881894A" w14:textId="5F27BDAA" w:rsidR="00846060" w:rsidRPr="00005453" w:rsidRDefault="00846060" w:rsidP="00846060">
            <w:pPr>
              <w:jc w:val="right"/>
              <w:rPr>
                <w:sz w:val="18"/>
                <w:szCs w:val="18"/>
                <w:lang w:eastAsia="tr-TR"/>
              </w:rPr>
            </w:pPr>
            <w:r w:rsidRPr="00005453">
              <w:rPr>
                <w:sz w:val="18"/>
                <w:szCs w:val="18"/>
              </w:rPr>
              <w:t>-</w:t>
            </w:r>
          </w:p>
        </w:tc>
        <w:tc>
          <w:tcPr>
            <w:tcW w:w="754" w:type="dxa"/>
            <w:tcBorders>
              <w:top w:val="nil"/>
              <w:left w:val="nil"/>
              <w:bottom w:val="nil"/>
              <w:right w:val="nil"/>
            </w:tcBorders>
            <w:shd w:val="clear" w:color="auto" w:fill="auto"/>
            <w:vAlign w:val="center"/>
            <w:hideMark/>
          </w:tcPr>
          <w:p w14:paraId="6C7C8936" w14:textId="37A590B0" w:rsidR="00846060" w:rsidRPr="00005453" w:rsidRDefault="00846060" w:rsidP="00846060">
            <w:pPr>
              <w:jc w:val="right"/>
              <w:rPr>
                <w:sz w:val="18"/>
                <w:szCs w:val="18"/>
                <w:lang w:eastAsia="tr-TR"/>
              </w:rPr>
            </w:pPr>
            <w:r w:rsidRPr="00005453">
              <w:rPr>
                <w:sz w:val="18"/>
                <w:szCs w:val="18"/>
              </w:rPr>
              <w:t>-</w:t>
            </w:r>
          </w:p>
        </w:tc>
      </w:tr>
      <w:tr w:rsidR="00846060" w:rsidRPr="00005453" w14:paraId="16876CDF" w14:textId="77777777" w:rsidTr="00532EFF">
        <w:trPr>
          <w:trHeight w:val="224"/>
        </w:trPr>
        <w:tc>
          <w:tcPr>
            <w:tcW w:w="5216" w:type="dxa"/>
            <w:tcBorders>
              <w:top w:val="nil"/>
              <w:left w:val="nil"/>
              <w:bottom w:val="nil"/>
              <w:right w:val="nil"/>
            </w:tcBorders>
            <w:shd w:val="clear" w:color="auto" w:fill="auto"/>
            <w:noWrap/>
            <w:vAlign w:val="bottom"/>
            <w:hideMark/>
          </w:tcPr>
          <w:p w14:paraId="69AE6C03" w14:textId="77777777" w:rsidR="00846060" w:rsidRPr="00005453" w:rsidRDefault="00846060" w:rsidP="00846060">
            <w:pPr>
              <w:ind w:firstLineChars="100" w:firstLine="180"/>
              <w:rPr>
                <w:sz w:val="18"/>
                <w:szCs w:val="18"/>
                <w:lang w:eastAsia="tr-TR"/>
              </w:rPr>
            </w:pPr>
            <w:r w:rsidRPr="00005453">
              <w:rPr>
                <w:sz w:val="18"/>
                <w:szCs w:val="18"/>
                <w:lang w:eastAsia="tr-TR"/>
              </w:rPr>
              <w:t>Akreditifler</w:t>
            </w:r>
          </w:p>
        </w:tc>
        <w:tc>
          <w:tcPr>
            <w:tcW w:w="1106" w:type="dxa"/>
            <w:tcBorders>
              <w:top w:val="nil"/>
              <w:left w:val="nil"/>
              <w:bottom w:val="nil"/>
              <w:right w:val="nil"/>
            </w:tcBorders>
            <w:shd w:val="clear" w:color="auto" w:fill="auto"/>
            <w:vAlign w:val="center"/>
            <w:hideMark/>
          </w:tcPr>
          <w:p w14:paraId="63729B0F" w14:textId="244E8A13" w:rsidR="00846060" w:rsidRPr="00005453" w:rsidRDefault="00846060" w:rsidP="00846060">
            <w:pPr>
              <w:jc w:val="right"/>
              <w:rPr>
                <w:sz w:val="18"/>
                <w:szCs w:val="18"/>
                <w:lang w:eastAsia="tr-TR"/>
              </w:rPr>
            </w:pPr>
            <w:r w:rsidRPr="00005453">
              <w:rPr>
                <w:sz w:val="18"/>
                <w:szCs w:val="18"/>
              </w:rPr>
              <w:t>48,718</w:t>
            </w:r>
          </w:p>
        </w:tc>
        <w:tc>
          <w:tcPr>
            <w:tcW w:w="1108" w:type="dxa"/>
            <w:tcBorders>
              <w:top w:val="nil"/>
              <w:left w:val="nil"/>
              <w:bottom w:val="nil"/>
              <w:right w:val="nil"/>
            </w:tcBorders>
            <w:shd w:val="clear" w:color="auto" w:fill="auto"/>
            <w:vAlign w:val="center"/>
            <w:hideMark/>
          </w:tcPr>
          <w:p w14:paraId="3EB384D6" w14:textId="34E43094" w:rsidR="00846060" w:rsidRPr="00005453" w:rsidRDefault="00846060" w:rsidP="00846060">
            <w:pPr>
              <w:jc w:val="right"/>
              <w:rPr>
                <w:sz w:val="18"/>
                <w:szCs w:val="18"/>
                <w:lang w:eastAsia="tr-TR"/>
              </w:rPr>
            </w:pPr>
            <w:r w:rsidRPr="00005453">
              <w:rPr>
                <w:color w:val="000000"/>
                <w:sz w:val="18"/>
                <w:szCs w:val="18"/>
              </w:rPr>
              <w:t>8,635,935</w:t>
            </w:r>
          </w:p>
        </w:tc>
        <w:tc>
          <w:tcPr>
            <w:tcW w:w="984" w:type="dxa"/>
            <w:tcBorders>
              <w:top w:val="nil"/>
              <w:left w:val="nil"/>
              <w:bottom w:val="nil"/>
              <w:right w:val="nil"/>
            </w:tcBorders>
            <w:shd w:val="clear" w:color="auto" w:fill="auto"/>
            <w:vAlign w:val="center"/>
            <w:hideMark/>
          </w:tcPr>
          <w:p w14:paraId="07FBDF49" w14:textId="7944BE2F" w:rsidR="00846060" w:rsidRPr="00005453" w:rsidRDefault="00846060" w:rsidP="00846060">
            <w:pPr>
              <w:jc w:val="right"/>
              <w:rPr>
                <w:sz w:val="18"/>
                <w:szCs w:val="18"/>
                <w:lang w:eastAsia="tr-TR"/>
              </w:rPr>
            </w:pPr>
            <w:r w:rsidRPr="00005453">
              <w:rPr>
                <w:sz w:val="18"/>
                <w:szCs w:val="18"/>
              </w:rPr>
              <w:t>-</w:t>
            </w:r>
          </w:p>
        </w:tc>
        <w:tc>
          <w:tcPr>
            <w:tcW w:w="754" w:type="dxa"/>
            <w:tcBorders>
              <w:top w:val="nil"/>
              <w:left w:val="nil"/>
              <w:bottom w:val="nil"/>
              <w:right w:val="nil"/>
            </w:tcBorders>
            <w:shd w:val="clear" w:color="auto" w:fill="auto"/>
            <w:vAlign w:val="center"/>
            <w:hideMark/>
          </w:tcPr>
          <w:p w14:paraId="64B1A951" w14:textId="226EF77E" w:rsidR="00846060" w:rsidRPr="00005453" w:rsidRDefault="00846060" w:rsidP="00846060">
            <w:pPr>
              <w:jc w:val="right"/>
              <w:rPr>
                <w:sz w:val="18"/>
                <w:szCs w:val="18"/>
                <w:lang w:eastAsia="tr-TR"/>
              </w:rPr>
            </w:pPr>
            <w:r w:rsidRPr="00005453">
              <w:rPr>
                <w:sz w:val="18"/>
                <w:szCs w:val="18"/>
              </w:rPr>
              <w:t>201,038</w:t>
            </w:r>
          </w:p>
        </w:tc>
      </w:tr>
      <w:tr w:rsidR="00846060" w:rsidRPr="00005453" w14:paraId="634F38F6" w14:textId="77777777" w:rsidTr="00532EFF">
        <w:trPr>
          <w:trHeight w:val="237"/>
        </w:trPr>
        <w:tc>
          <w:tcPr>
            <w:tcW w:w="5216" w:type="dxa"/>
            <w:tcBorders>
              <w:top w:val="nil"/>
              <w:left w:val="nil"/>
              <w:bottom w:val="nil"/>
              <w:right w:val="nil"/>
            </w:tcBorders>
            <w:shd w:val="clear" w:color="auto" w:fill="auto"/>
            <w:noWrap/>
            <w:vAlign w:val="bottom"/>
            <w:hideMark/>
          </w:tcPr>
          <w:p w14:paraId="64685265" w14:textId="77777777" w:rsidR="00846060" w:rsidRPr="00005453" w:rsidRDefault="00846060" w:rsidP="00846060">
            <w:pPr>
              <w:ind w:firstLineChars="100" w:firstLine="180"/>
              <w:rPr>
                <w:sz w:val="18"/>
                <w:szCs w:val="18"/>
                <w:lang w:eastAsia="tr-TR"/>
              </w:rPr>
            </w:pPr>
            <w:r w:rsidRPr="00005453">
              <w:rPr>
                <w:sz w:val="18"/>
                <w:szCs w:val="18"/>
                <w:lang w:eastAsia="tr-TR"/>
              </w:rPr>
              <w:t>Cirolar</w:t>
            </w:r>
          </w:p>
        </w:tc>
        <w:tc>
          <w:tcPr>
            <w:tcW w:w="1106" w:type="dxa"/>
            <w:tcBorders>
              <w:top w:val="nil"/>
              <w:left w:val="nil"/>
              <w:bottom w:val="nil"/>
              <w:right w:val="nil"/>
            </w:tcBorders>
            <w:shd w:val="clear" w:color="auto" w:fill="auto"/>
            <w:vAlign w:val="center"/>
            <w:hideMark/>
          </w:tcPr>
          <w:p w14:paraId="112DCD0D" w14:textId="6772B307" w:rsidR="00846060" w:rsidRPr="00005453" w:rsidRDefault="00846060" w:rsidP="00846060">
            <w:pPr>
              <w:jc w:val="right"/>
              <w:rPr>
                <w:sz w:val="18"/>
                <w:szCs w:val="18"/>
                <w:lang w:eastAsia="tr-TR"/>
              </w:rPr>
            </w:pPr>
            <w:r w:rsidRPr="00005453">
              <w:rPr>
                <w:sz w:val="18"/>
                <w:szCs w:val="18"/>
              </w:rPr>
              <w:t>-</w:t>
            </w:r>
          </w:p>
        </w:tc>
        <w:tc>
          <w:tcPr>
            <w:tcW w:w="1108" w:type="dxa"/>
            <w:tcBorders>
              <w:top w:val="nil"/>
              <w:left w:val="nil"/>
              <w:bottom w:val="nil"/>
              <w:right w:val="nil"/>
            </w:tcBorders>
            <w:shd w:val="clear" w:color="auto" w:fill="auto"/>
            <w:vAlign w:val="center"/>
            <w:hideMark/>
          </w:tcPr>
          <w:p w14:paraId="252035D4" w14:textId="76759842" w:rsidR="00846060" w:rsidRPr="00005453" w:rsidRDefault="00846060" w:rsidP="00846060">
            <w:pPr>
              <w:jc w:val="right"/>
              <w:rPr>
                <w:sz w:val="18"/>
                <w:szCs w:val="18"/>
                <w:lang w:eastAsia="tr-TR"/>
              </w:rPr>
            </w:pPr>
            <w:r w:rsidRPr="00005453">
              <w:rPr>
                <w:sz w:val="18"/>
                <w:szCs w:val="18"/>
              </w:rPr>
              <w:t>-</w:t>
            </w:r>
          </w:p>
        </w:tc>
        <w:tc>
          <w:tcPr>
            <w:tcW w:w="984" w:type="dxa"/>
            <w:tcBorders>
              <w:top w:val="nil"/>
              <w:left w:val="nil"/>
              <w:bottom w:val="nil"/>
              <w:right w:val="nil"/>
            </w:tcBorders>
            <w:shd w:val="clear" w:color="auto" w:fill="auto"/>
            <w:vAlign w:val="center"/>
            <w:hideMark/>
          </w:tcPr>
          <w:p w14:paraId="5FBDD224" w14:textId="1244D3D8" w:rsidR="00846060" w:rsidRPr="00005453" w:rsidRDefault="00846060" w:rsidP="00846060">
            <w:pPr>
              <w:jc w:val="right"/>
              <w:rPr>
                <w:sz w:val="18"/>
                <w:szCs w:val="18"/>
                <w:lang w:eastAsia="tr-TR"/>
              </w:rPr>
            </w:pPr>
            <w:r w:rsidRPr="00005453">
              <w:rPr>
                <w:sz w:val="18"/>
                <w:szCs w:val="18"/>
              </w:rPr>
              <w:t>-</w:t>
            </w:r>
          </w:p>
        </w:tc>
        <w:tc>
          <w:tcPr>
            <w:tcW w:w="754" w:type="dxa"/>
            <w:tcBorders>
              <w:top w:val="nil"/>
              <w:left w:val="nil"/>
              <w:bottom w:val="nil"/>
              <w:right w:val="nil"/>
            </w:tcBorders>
            <w:shd w:val="clear" w:color="auto" w:fill="auto"/>
            <w:vAlign w:val="center"/>
            <w:hideMark/>
          </w:tcPr>
          <w:p w14:paraId="10339DE6" w14:textId="42B86D20" w:rsidR="00846060" w:rsidRPr="00005453" w:rsidRDefault="00846060" w:rsidP="00846060">
            <w:pPr>
              <w:jc w:val="right"/>
              <w:rPr>
                <w:sz w:val="18"/>
                <w:szCs w:val="18"/>
                <w:lang w:eastAsia="tr-TR"/>
              </w:rPr>
            </w:pPr>
            <w:r w:rsidRPr="00005453">
              <w:rPr>
                <w:sz w:val="18"/>
                <w:szCs w:val="18"/>
              </w:rPr>
              <w:t>-</w:t>
            </w:r>
          </w:p>
        </w:tc>
      </w:tr>
      <w:tr w:rsidR="00846060" w:rsidRPr="00005453" w14:paraId="6A11D4F6" w14:textId="77777777" w:rsidTr="00532EFF">
        <w:trPr>
          <w:trHeight w:val="224"/>
        </w:trPr>
        <w:tc>
          <w:tcPr>
            <w:tcW w:w="5216" w:type="dxa"/>
            <w:tcBorders>
              <w:top w:val="nil"/>
              <w:left w:val="nil"/>
              <w:bottom w:val="nil"/>
              <w:right w:val="nil"/>
            </w:tcBorders>
            <w:shd w:val="clear" w:color="auto" w:fill="auto"/>
            <w:noWrap/>
            <w:vAlign w:val="bottom"/>
            <w:hideMark/>
          </w:tcPr>
          <w:p w14:paraId="714932DF" w14:textId="77777777" w:rsidR="00846060" w:rsidRPr="00005453" w:rsidRDefault="00846060" w:rsidP="00846060">
            <w:pPr>
              <w:ind w:firstLineChars="100" w:firstLine="180"/>
              <w:rPr>
                <w:sz w:val="18"/>
                <w:szCs w:val="18"/>
                <w:lang w:eastAsia="tr-TR"/>
              </w:rPr>
            </w:pPr>
            <w:r w:rsidRPr="00005453">
              <w:rPr>
                <w:sz w:val="18"/>
                <w:szCs w:val="18"/>
                <w:lang w:eastAsia="tr-TR"/>
              </w:rPr>
              <w:t>Menkul Kıymet İhracında Satın Alma Garantilerimizden</w:t>
            </w:r>
          </w:p>
        </w:tc>
        <w:tc>
          <w:tcPr>
            <w:tcW w:w="1106" w:type="dxa"/>
            <w:tcBorders>
              <w:top w:val="nil"/>
              <w:left w:val="nil"/>
              <w:bottom w:val="nil"/>
              <w:right w:val="nil"/>
            </w:tcBorders>
            <w:shd w:val="clear" w:color="auto" w:fill="auto"/>
            <w:vAlign w:val="center"/>
            <w:hideMark/>
          </w:tcPr>
          <w:p w14:paraId="2031785E" w14:textId="6D746B17" w:rsidR="00846060" w:rsidRPr="00005453" w:rsidRDefault="00846060" w:rsidP="00846060">
            <w:pPr>
              <w:jc w:val="right"/>
              <w:rPr>
                <w:sz w:val="18"/>
                <w:szCs w:val="18"/>
                <w:lang w:eastAsia="tr-TR"/>
              </w:rPr>
            </w:pPr>
            <w:r w:rsidRPr="00005453">
              <w:rPr>
                <w:sz w:val="18"/>
                <w:szCs w:val="18"/>
              </w:rPr>
              <w:t>-</w:t>
            </w:r>
          </w:p>
        </w:tc>
        <w:tc>
          <w:tcPr>
            <w:tcW w:w="1108" w:type="dxa"/>
            <w:tcBorders>
              <w:top w:val="nil"/>
              <w:left w:val="nil"/>
              <w:bottom w:val="nil"/>
              <w:right w:val="nil"/>
            </w:tcBorders>
            <w:shd w:val="clear" w:color="auto" w:fill="auto"/>
            <w:vAlign w:val="center"/>
            <w:hideMark/>
          </w:tcPr>
          <w:p w14:paraId="24E38298" w14:textId="1677CED7" w:rsidR="00846060" w:rsidRPr="00005453" w:rsidRDefault="00846060" w:rsidP="00846060">
            <w:pPr>
              <w:jc w:val="right"/>
              <w:rPr>
                <w:sz w:val="18"/>
                <w:szCs w:val="18"/>
                <w:lang w:eastAsia="tr-TR"/>
              </w:rPr>
            </w:pPr>
            <w:r w:rsidRPr="00005453">
              <w:rPr>
                <w:sz w:val="18"/>
                <w:szCs w:val="18"/>
              </w:rPr>
              <w:t>-</w:t>
            </w:r>
          </w:p>
        </w:tc>
        <w:tc>
          <w:tcPr>
            <w:tcW w:w="984" w:type="dxa"/>
            <w:tcBorders>
              <w:top w:val="nil"/>
              <w:left w:val="nil"/>
              <w:bottom w:val="nil"/>
              <w:right w:val="nil"/>
            </w:tcBorders>
            <w:shd w:val="clear" w:color="auto" w:fill="auto"/>
            <w:vAlign w:val="center"/>
            <w:hideMark/>
          </w:tcPr>
          <w:p w14:paraId="4715CFE5" w14:textId="71883FC0" w:rsidR="00846060" w:rsidRPr="00005453" w:rsidRDefault="00846060" w:rsidP="00846060">
            <w:pPr>
              <w:jc w:val="right"/>
              <w:rPr>
                <w:sz w:val="18"/>
                <w:szCs w:val="18"/>
                <w:lang w:eastAsia="tr-TR"/>
              </w:rPr>
            </w:pPr>
            <w:r w:rsidRPr="00005453">
              <w:rPr>
                <w:sz w:val="18"/>
                <w:szCs w:val="18"/>
              </w:rPr>
              <w:t>-</w:t>
            </w:r>
          </w:p>
        </w:tc>
        <w:tc>
          <w:tcPr>
            <w:tcW w:w="754" w:type="dxa"/>
            <w:tcBorders>
              <w:top w:val="nil"/>
              <w:left w:val="nil"/>
              <w:bottom w:val="nil"/>
              <w:right w:val="nil"/>
            </w:tcBorders>
            <w:shd w:val="clear" w:color="auto" w:fill="auto"/>
            <w:vAlign w:val="center"/>
            <w:hideMark/>
          </w:tcPr>
          <w:p w14:paraId="2AD55364" w14:textId="67635275" w:rsidR="00846060" w:rsidRPr="00005453" w:rsidRDefault="00846060" w:rsidP="00846060">
            <w:pPr>
              <w:jc w:val="right"/>
              <w:rPr>
                <w:sz w:val="18"/>
                <w:szCs w:val="18"/>
                <w:lang w:eastAsia="tr-TR"/>
              </w:rPr>
            </w:pPr>
            <w:r w:rsidRPr="00005453">
              <w:rPr>
                <w:sz w:val="18"/>
                <w:szCs w:val="18"/>
              </w:rPr>
              <w:t>-</w:t>
            </w:r>
          </w:p>
        </w:tc>
      </w:tr>
      <w:tr w:rsidR="00846060" w:rsidRPr="00005453" w14:paraId="45B5BED3" w14:textId="77777777" w:rsidTr="00532EFF">
        <w:trPr>
          <w:trHeight w:val="237"/>
        </w:trPr>
        <w:tc>
          <w:tcPr>
            <w:tcW w:w="5216" w:type="dxa"/>
            <w:tcBorders>
              <w:top w:val="nil"/>
              <w:left w:val="nil"/>
              <w:bottom w:val="nil"/>
              <w:right w:val="nil"/>
            </w:tcBorders>
            <w:shd w:val="clear" w:color="auto" w:fill="auto"/>
            <w:noWrap/>
            <w:vAlign w:val="bottom"/>
            <w:hideMark/>
          </w:tcPr>
          <w:p w14:paraId="4923D4D5" w14:textId="77777777" w:rsidR="00846060" w:rsidRPr="00005453" w:rsidRDefault="00846060" w:rsidP="00846060">
            <w:pPr>
              <w:ind w:firstLineChars="100" w:firstLine="180"/>
              <w:rPr>
                <w:sz w:val="18"/>
                <w:szCs w:val="18"/>
                <w:lang w:eastAsia="tr-TR"/>
              </w:rPr>
            </w:pPr>
            <w:r w:rsidRPr="00005453">
              <w:rPr>
                <w:sz w:val="18"/>
                <w:szCs w:val="18"/>
                <w:lang w:eastAsia="tr-TR"/>
              </w:rPr>
              <w:t>Faktoring Garantilerinden</w:t>
            </w:r>
          </w:p>
        </w:tc>
        <w:tc>
          <w:tcPr>
            <w:tcW w:w="1106" w:type="dxa"/>
            <w:tcBorders>
              <w:top w:val="nil"/>
              <w:left w:val="nil"/>
              <w:bottom w:val="nil"/>
              <w:right w:val="nil"/>
            </w:tcBorders>
            <w:shd w:val="clear" w:color="auto" w:fill="auto"/>
            <w:vAlign w:val="center"/>
            <w:hideMark/>
          </w:tcPr>
          <w:p w14:paraId="7EA8C5B1" w14:textId="2A8D6B98" w:rsidR="00846060" w:rsidRPr="00005453" w:rsidRDefault="00846060" w:rsidP="00846060">
            <w:pPr>
              <w:jc w:val="right"/>
              <w:rPr>
                <w:sz w:val="18"/>
                <w:szCs w:val="18"/>
                <w:lang w:eastAsia="tr-TR"/>
              </w:rPr>
            </w:pPr>
            <w:r w:rsidRPr="00005453">
              <w:rPr>
                <w:sz w:val="18"/>
                <w:szCs w:val="18"/>
              </w:rPr>
              <w:t>-</w:t>
            </w:r>
          </w:p>
        </w:tc>
        <w:tc>
          <w:tcPr>
            <w:tcW w:w="1108" w:type="dxa"/>
            <w:tcBorders>
              <w:top w:val="nil"/>
              <w:left w:val="nil"/>
              <w:bottom w:val="nil"/>
              <w:right w:val="nil"/>
            </w:tcBorders>
            <w:shd w:val="clear" w:color="auto" w:fill="auto"/>
            <w:vAlign w:val="center"/>
            <w:hideMark/>
          </w:tcPr>
          <w:p w14:paraId="2BB52118" w14:textId="639317CA" w:rsidR="00846060" w:rsidRPr="00005453" w:rsidRDefault="00846060" w:rsidP="00846060">
            <w:pPr>
              <w:jc w:val="right"/>
              <w:rPr>
                <w:sz w:val="18"/>
                <w:szCs w:val="18"/>
                <w:lang w:eastAsia="tr-TR"/>
              </w:rPr>
            </w:pPr>
            <w:r w:rsidRPr="00005453">
              <w:rPr>
                <w:sz w:val="18"/>
                <w:szCs w:val="18"/>
              </w:rPr>
              <w:t>-</w:t>
            </w:r>
          </w:p>
        </w:tc>
        <w:tc>
          <w:tcPr>
            <w:tcW w:w="984" w:type="dxa"/>
            <w:tcBorders>
              <w:top w:val="nil"/>
              <w:left w:val="nil"/>
              <w:bottom w:val="nil"/>
              <w:right w:val="nil"/>
            </w:tcBorders>
            <w:shd w:val="clear" w:color="auto" w:fill="auto"/>
            <w:vAlign w:val="center"/>
            <w:hideMark/>
          </w:tcPr>
          <w:p w14:paraId="5EC3710E" w14:textId="506FC744" w:rsidR="00846060" w:rsidRPr="00005453" w:rsidRDefault="00846060" w:rsidP="00846060">
            <w:pPr>
              <w:jc w:val="right"/>
              <w:rPr>
                <w:sz w:val="18"/>
                <w:szCs w:val="18"/>
                <w:lang w:eastAsia="tr-TR"/>
              </w:rPr>
            </w:pPr>
            <w:r w:rsidRPr="00005453">
              <w:rPr>
                <w:sz w:val="18"/>
                <w:szCs w:val="18"/>
              </w:rPr>
              <w:t>-</w:t>
            </w:r>
          </w:p>
        </w:tc>
        <w:tc>
          <w:tcPr>
            <w:tcW w:w="754" w:type="dxa"/>
            <w:tcBorders>
              <w:top w:val="nil"/>
              <w:left w:val="nil"/>
              <w:bottom w:val="nil"/>
              <w:right w:val="nil"/>
            </w:tcBorders>
            <w:shd w:val="clear" w:color="auto" w:fill="auto"/>
            <w:vAlign w:val="center"/>
            <w:hideMark/>
          </w:tcPr>
          <w:p w14:paraId="0AD5100A" w14:textId="052061DF" w:rsidR="00846060" w:rsidRPr="00005453" w:rsidRDefault="00846060" w:rsidP="00846060">
            <w:pPr>
              <w:jc w:val="right"/>
              <w:rPr>
                <w:sz w:val="18"/>
                <w:szCs w:val="18"/>
                <w:lang w:eastAsia="tr-TR"/>
              </w:rPr>
            </w:pPr>
            <w:r w:rsidRPr="00005453">
              <w:rPr>
                <w:sz w:val="18"/>
                <w:szCs w:val="18"/>
              </w:rPr>
              <w:t>-</w:t>
            </w:r>
          </w:p>
        </w:tc>
      </w:tr>
      <w:tr w:rsidR="00846060" w:rsidRPr="00005453" w14:paraId="5FB55CE9" w14:textId="77777777" w:rsidTr="00C207E0">
        <w:trPr>
          <w:trHeight w:val="348"/>
        </w:trPr>
        <w:tc>
          <w:tcPr>
            <w:tcW w:w="5216" w:type="dxa"/>
            <w:tcBorders>
              <w:top w:val="nil"/>
              <w:left w:val="nil"/>
              <w:bottom w:val="single" w:sz="8" w:space="0" w:color="auto"/>
              <w:right w:val="nil"/>
            </w:tcBorders>
            <w:shd w:val="clear" w:color="auto" w:fill="auto"/>
            <w:vAlign w:val="center"/>
            <w:hideMark/>
          </w:tcPr>
          <w:p w14:paraId="68667A85" w14:textId="57223EB1" w:rsidR="00846060" w:rsidRPr="00005453" w:rsidRDefault="00846060" w:rsidP="00846060">
            <w:pPr>
              <w:jc w:val="both"/>
              <w:rPr>
                <w:sz w:val="18"/>
                <w:szCs w:val="18"/>
                <w:lang w:eastAsia="tr-TR"/>
              </w:rPr>
            </w:pPr>
            <w:r w:rsidRPr="00005453">
              <w:rPr>
                <w:sz w:val="18"/>
                <w:szCs w:val="18"/>
                <w:lang w:eastAsia="tr-TR"/>
              </w:rPr>
              <w:t xml:space="preserve">   Diğer Garanti ve </w:t>
            </w:r>
            <w:proofErr w:type="gramStart"/>
            <w:r w:rsidRPr="00005453">
              <w:rPr>
                <w:sz w:val="18"/>
                <w:szCs w:val="18"/>
                <w:lang w:eastAsia="tr-TR"/>
              </w:rPr>
              <w:t>Kefaletler(</w:t>
            </w:r>
            <w:proofErr w:type="gramEnd"/>
            <w:r w:rsidRPr="00005453">
              <w:rPr>
                <w:sz w:val="18"/>
                <w:szCs w:val="18"/>
                <w:lang w:eastAsia="tr-TR"/>
              </w:rPr>
              <w:t>*)</w:t>
            </w:r>
          </w:p>
        </w:tc>
        <w:tc>
          <w:tcPr>
            <w:tcW w:w="1106" w:type="dxa"/>
            <w:tcBorders>
              <w:top w:val="nil"/>
              <w:left w:val="nil"/>
              <w:bottom w:val="single" w:sz="8" w:space="0" w:color="auto"/>
              <w:right w:val="nil"/>
            </w:tcBorders>
            <w:shd w:val="clear" w:color="auto" w:fill="auto"/>
            <w:vAlign w:val="center"/>
            <w:hideMark/>
          </w:tcPr>
          <w:p w14:paraId="3E77204D" w14:textId="1DFC3780" w:rsidR="00846060" w:rsidRPr="00005453" w:rsidRDefault="00846060" w:rsidP="00846060">
            <w:pPr>
              <w:jc w:val="right"/>
              <w:rPr>
                <w:sz w:val="18"/>
                <w:szCs w:val="18"/>
                <w:lang w:eastAsia="tr-TR"/>
              </w:rPr>
            </w:pPr>
            <w:r w:rsidRPr="00005453">
              <w:rPr>
                <w:sz w:val="18"/>
                <w:szCs w:val="18"/>
              </w:rPr>
              <w:t>2,596,544</w:t>
            </w:r>
          </w:p>
        </w:tc>
        <w:tc>
          <w:tcPr>
            <w:tcW w:w="1108" w:type="dxa"/>
            <w:tcBorders>
              <w:top w:val="nil"/>
              <w:left w:val="nil"/>
              <w:bottom w:val="single" w:sz="8" w:space="0" w:color="auto"/>
              <w:right w:val="nil"/>
            </w:tcBorders>
            <w:shd w:val="clear" w:color="auto" w:fill="auto"/>
            <w:vAlign w:val="center"/>
            <w:hideMark/>
          </w:tcPr>
          <w:p w14:paraId="7B1EF798" w14:textId="7E30420D" w:rsidR="00846060" w:rsidRPr="00005453" w:rsidRDefault="00846060" w:rsidP="00846060">
            <w:pPr>
              <w:jc w:val="right"/>
              <w:rPr>
                <w:sz w:val="18"/>
                <w:szCs w:val="18"/>
                <w:lang w:eastAsia="tr-TR"/>
              </w:rPr>
            </w:pPr>
            <w:r w:rsidRPr="00005453">
              <w:rPr>
                <w:sz w:val="18"/>
                <w:szCs w:val="18"/>
              </w:rPr>
              <w:t>323,472</w:t>
            </w:r>
          </w:p>
        </w:tc>
        <w:tc>
          <w:tcPr>
            <w:tcW w:w="984" w:type="dxa"/>
            <w:tcBorders>
              <w:top w:val="nil"/>
              <w:left w:val="nil"/>
              <w:bottom w:val="single" w:sz="8" w:space="0" w:color="auto"/>
              <w:right w:val="nil"/>
            </w:tcBorders>
            <w:shd w:val="clear" w:color="auto" w:fill="auto"/>
            <w:vAlign w:val="center"/>
            <w:hideMark/>
          </w:tcPr>
          <w:p w14:paraId="6E0D8950" w14:textId="1AB20BA4" w:rsidR="00846060" w:rsidRPr="00005453" w:rsidRDefault="00846060" w:rsidP="00846060">
            <w:pPr>
              <w:jc w:val="right"/>
              <w:rPr>
                <w:sz w:val="18"/>
                <w:szCs w:val="18"/>
                <w:lang w:eastAsia="tr-TR"/>
              </w:rPr>
            </w:pPr>
            <w:r w:rsidRPr="00005453">
              <w:rPr>
                <w:sz w:val="18"/>
                <w:szCs w:val="18"/>
              </w:rPr>
              <w:t>91,295</w:t>
            </w:r>
          </w:p>
        </w:tc>
        <w:tc>
          <w:tcPr>
            <w:tcW w:w="754" w:type="dxa"/>
            <w:tcBorders>
              <w:top w:val="nil"/>
              <w:left w:val="nil"/>
              <w:bottom w:val="single" w:sz="8" w:space="0" w:color="auto"/>
              <w:right w:val="nil"/>
            </w:tcBorders>
            <w:shd w:val="clear" w:color="auto" w:fill="auto"/>
            <w:vAlign w:val="center"/>
            <w:hideMark/>
          </w:tcPr>
          <w:p w14:paraId="1859AF16" w14:textId="1D2177DB" w:rsidR="00846060" w:rsidRPr="00005453" w:rsidRDefault="00846060" w:rsidP="00846060">
            <w:pPr>
              <w:jc w:val="right"/>
              <w:rPr>
                <w:sz w:val="18"/>
                <w:szCs w:val="18"/>
                <w:lang w:eastAsia="tr-TR"/>
              </w:rPr>
            </w:pPr>
            <w:r w:rsidRPr="00005453">
              <w:rPr>
                <w:sz w:val="18"/>
                <w:szCs w:val="18"/>
              </w:rPr>
              <w:t>-</w:t>
            </w:r>
          </w:p>
        </w:tc>
      </w:tr>
    </w:tbl>
    <w:p w14:paraId="30605347" w14:textId="4006CFC3" w:rsidR="00101060" w:rsidRPr="00005453" w:rsidRDefault="00101060" w:rsidP="007A1113">
      <w:pPr>
        <w:tabs>
          <w:tab w:val="left" w:pos="540"/>
        </w:tabs>
        <w:autoSpaceDE w:val="0"/>
        <w:autoSpaceDN w:val="0"/>
        <w:adjustRightInd w:val="0"/>
        <w:rPr>
          <w:b/>
          <w:bCs/>
          <w:iCs/>
          <w:sz w:val="6"/>
        </w:rPr>
      </w:pPr>
    </w:p>
    <w:p w14:paraId="3D862782" w14:textId="77777777" w:rsidR="006909A3" w:rsidRPr="00005453" w:rsidRDefault="006909A3" w:rsidP="007A1113">
      <w:pPr>
        <w:tabs>
          <w:tab w:val="left" w:pos="540"/>
        </w:tabs>
        <w:autoSpaceDE w:val="0"/>
        <w:autoSpaceDN w:val="0"/>
        <w:adjustRightInd w:val="0"/>
        <w:rPr>
          <w:b/>
          <w:bCs/>
          <w:iCs/>
          <w:sz w:val="6"/>
        </w:rPr>
      </w:pPr>
    </w:p>
    <w:p w14:paraId="5C60C590" w14:textId="54C55520" w:rsidR="00101060" w:rsidRPr="00005453" w:rsidRDefault="00254F28" w:rsidP="00532EFF">
      <w:pPr>
        <w:tabs>
          <w:tab w:val="left" w:pos="540"/>
        </w:tabs>
        <w:autoSpaceDE w:val="0"/>
        <w:autoSpaceDN w:val="0"/>
        <w:adjustRightInd w:val="0"/>
        <w:jc w:val="both"/>
        <w:rPr>
          <w:bCs/>
          <w:iCs/>
          <w:sz w:val="18"/>
          <w:szCs w:val="18"/>
        </w:rPr>
      </w:pPr>
      <w:r w:rsidRPr="00005453">
        <w:rPr>
          <w:bCs/>
          <w:iCs/>
          <w:sz w:val="18"/>
          <w:szCs w:val="18"/>
        </w:rPr>
        <w:t>(*) 31</w:t>
      </w:r>
      <w:r w:rsidR="00E13ED4" w:rsidRPr="00005453">
        <w:rPr>
          <w:bCs/>
          <w:iCs/>
          <w:sz w:val="18"/>
          <w:szCs w:val="18"/>
        </w:rPr>
        <w:t xml:space="preserve"> </w:t>
      </w:r>
      <w:r w:rsidRPr="00005453">
        <w:rPr>
          <w:bCs/>
          <w:iCs/>
          <w:sz w:val="18"/>
          <w:szCs w:val="18"/>
        </w:rPr>
        <w:t>Aralık 202</w:t>
      </w:r>
      <w:r w:rsidR="00846060" w:rsidRPr="00005453">
        <w:rPr>
          <w:bCs/>
          <w:iCs/>
          <w:sz w:val="18"/>
          <w:szCs w:val="18"/>
        </w:rPr>
        <w:t>4</w:t>
      </w:r>
      <w:r w:rsidRPr="00005453">
        <w:rPr>
          <w:bCs/>
          <w:iCs/>
          <w:sz w:val="18"/>
          <w:szCs w:val="18"/>
        </w:rPr>
        <w:t xml:space="preserve"> tarihi itibarıyla 3. aşama </w:t>
      </w:r>
      <w:r w:rsidR="00CD75F3" w:rsidRPr="00005453">
        <w:rPr>
          <w:bCs/>
          <w:iCs/>
          <w:sz w:val="18"/>
          <w:szCs w:val="18"/>
        </w:rPr>
        <w:t>245</w:t>
      </w:r>
      <w:r w:rsidRPr="00005453">
        <w:rPr>
          <w:bCs/>
          <w:iCs/>
          <w:sz w:val="18"/>
          <w:szCs w:val="18"/>
        </w:rPr>
        <w:t>,</w:t>
      </w:r>
      <w:r w:rsidR="00CD75F3" w:rsidRPr="00005453">
        <w:rPr>
          <w:bCs/>
          <w:iCs/>
          <w:sz w:val="18"/>
          <w:szCs w:val="18"/>
        </w:rPr>
        <w:t>910</w:t>
      </w:r>
      <w:r w:rsidRPr="00005453">
        <w:rPr>
          <w:bCs/>
          <w:iCs/>
          <w:sz w:val="18"/>
          <w:szCs w:val="18"/>
        </w:rPr>
        <w:t xml:space="preserve"> TL (31 Aralık 202</w:t>
      </w:r>
      <w:r w:rsidR="00846060" w:rsidRPr="00005453">
        <w:rPr>
          <w:bCs/>
          <w:iCs/>
          <w:sz w:val="18"/>
          <w:szCs w:val="18"/>
        </w:rPr>
        <w:t>3</w:t>
      </w:r>
      <w:r w:rsidRPr="00005453">
        <w:rPr>
          <w:bCs/>
          <w:iCs/>
          <w:sz w:val="18"/>
          <w:szCs w:val="18"/>
        </w:rPr>
        <w:t xml:space="preserve"> – </w:t>
      </w:r>
      <w:r w:rsidR="00CC3370" w:rsidRPr="00005453">
        <w:rPr>
          <w:bCs/>
          <w:iCs/>
          <w:sz w:val="18"/>
          <w:szCs w:val="18"/>
        </w:rPr>
        <w:t>5</w:t>
      </w:r>
      <w:r w:rsidR="00846060" w:rsidRPr="00005453">
        <w:rPr>
          <w:bCs/>
          <w:iCs/>
          <w:sz w:val="18"/>
          <w:szCs w:val="18"/>
        </w:rPr>
        <w:t>13</w:t>
      </w:r>
      <w:r w:rsidR="00CC3370" w:rsidRPr="00005453">
        <w:rPr>
          <w:bCs/>
          <w:iCs/>
          <w:sz w:val="18"/>
          <w:szCs w:val="18"/>
        </w:rPr>
        <w:t>,</w:t>
      </w:r>
      <w:r w:rsidR="00846060" w:rsidRPr="00005453">
        <w:rPr>
          <w:bCs/>
          <w:iCs/>
          <w:sz w:val="18"/>
          <w:szCs w:val="18"/>
        </w:rPr>
        <w:t>854</w:t>
      </w:r>
      <w:r w:rsidR="00CC3370" w:rsidRPr="00005453">
        <w:rPr>
          <w:bCs/>
          <w:iCs/>
          <w:sz w:val="18"/>
          <w:szCs w:val="18"/>
        </w:rPr>
        <w:t xml:space="preserve"> </w:t>
      </w:r>
      <w:r w:rsidRPr="00005453">
        <w:rPr>
          <w:bCs/>
          <w:iCs/>
          <w:sz w:val="18"/>
          <w:szCs w:val="18"/>
        </w:rPr>
        <w:t>TL) tutarında</w:t>
      </w:r>
      <w:r w:rsidR="00EA1FED">
        <w:rPr>
          <w:bCs/>
          <w:iCs/>
          <w:sz w:val="18"/>
          <w:szCs w:val="18"/>
        </w:rPr>
        <w:t xml:space="preserve">, yabancı para cinsinde 372,001 TL </w:t>
      </w:r>
      <w:r w:rsidR="008528B4">
        <w:rPr>
          <w:bCs/>
          <w:iCs/>
          <w:sz w:val="18"/>
          <w:szCs w:val="18"/>
        </w:rPr>
        <w:t xml:space="preserve">(31 Aralık 2023 </w:t>
      </w:r>
      <w:r w:rsidR="008528B4" w:rsidRPr="000A7F9D">
        <w:rPr>
          <w:bCs/>
          <w:iCs/>
          <w:sz w:val="18"/>
          <w:szCs w:val="18"/>
        </w:rPr>
        <w:t>–</w:t>
      </w:r>
      <w:r w:rsidR="008528B4">
        <w:rPr>
          <w:bCs/>
          <w:iCs/>
          <w:sz w:val="18"/>
          <w:szCs w:val="18"/>
        </w:rPr>
        <w:t xml:space="preserve"> 324,496 TL) </w:t>
      </w:r>
      <w:r w:rsidRPr="00005453">
        <w:rPr>
          <w:bCs/>
          <w:iCs/>
          <w:sz w:val="18"/>
          <w:szCs w:val="18"/>
        </w:rPr>
        <w:t>Teminat Mektupları</w:t>
      </w:r>
      <w:r w:rsidR="001B17FD" w:rsidRPr="00005453">
        <w:rPr>
          <w:bCs/>
          <w:iCs/>
          <w:sz w:val="18"/>
          <w:szCs w:val="18"/>
        </w:rPr>
        <w:t xml:space="preserve"> ve </w:t>
      </w:r>
      <w:r w:rsidR="00CD75F3" w:rsidRPr="00005453">
        <w:rPr>
          <w:bCs/>
          <w:iCs/>
          <w:sz w:val="18"/>
          <w:szCs w:val="18"/>
        </w:rPr>
        <w:t>493</w:t>
      </w:r>
      <w:r w:rsidR="001B17FD" w:rsidRPr="00005453">
        <w:rPr>
          <w:bCs/>
          <w:iCs/>
          <w:sz w:val="18"/>
          <w:szCs w:val="18"/>
        </w:rPr>
        <w:t xml:space="preserve"> TL (31 Aralık 202</w:t>
      </w:r>
      <w:r w:rsidR="00846060" w:rsidRPr="00005453">
        <w:rPr>
          <w:bCs/>
          <w:iCs/>
          <w:sz w:val="18"/>
          <w:szCs w:val="18"/>
        </w:rPr>
        <w:t>3</w:t>
      </w:r>
      <w:r w:rsidR="001B17FD" w:rsidRPr="00005453">
        <w:rPr>
          <w:bCs/>
          <w:iCs/>
          <w:sz w:val="18"/>
          <w:szCs w:val="18"/>
        </w:rPr>
        <w:t xml:space="preserve"> – </w:t>
      </w:r>
      <w:r w:rsidR="00846060" w:rsidRPr="00005453">
        <w:rPr>
          <w:bCs/>
          <w:iCs/>
          <w:sz w:val="18"/>
          <w:szCs w:val="18"/>
        </w:rPr>
        <w:t>636</w:t>
      </w:r>
      <w:r w:rsidR="001B17FD" w:rsidRPr="00005453">
        <w:rPr>
          <w:bCs/>
          <w:iCs/>
          <w:sz w:val="18"/>
          <w:szCs w:val="18"/>
        </w:rPr>
        <w:t xml:space="preserve"> TL) tutarında Akreditifler</w:t>
      </w:r>
      <w:r w:rsidR="00E13ED4" w:rsidRPr="00005453">
        <w:rPr>
          <w:bCs/>
          <w:iCs/>
          <w:sz w:val="18"/>
          <w:szCs w:val="18"/>
        </w:rPr>
        <w:t xml:space="preserve"> bulunmaktadır.</w:t>
      </w:r>
      <w:r w:rsidR="001B17FD" w:rsidRPr="00005453">
        <w:rPr>
          <w:bCs/>
          <w:iCs/>
          <w:sz w:val="18"/>
          <w:szCs w:val="18"/>
        </w:rPr>
        <w:t xml:space="preserve"> </w:t>
      </w:r>
      <w:r w:rsidRPr="00005453">
        <w:rPr>
          <w:bCs/>
          <w:iCs/>
          <w:sz w:val="18"/>
          <w:szCs w:val="18"/>
        </w:rPr>
        <w:t>Diğer Garanti ve Kefaletler bulunma</w:t>
      </w:r>
      <w:r w:rsidR="00E13ED4" w:rsidRPr="00005453">
        <w:rPr>
          <w:bCs/>
          <w:iCs/>
          <w:sz w:val="18"/>
          <w:szCs w:val="18"/>
        </w:rPr>
        <w:t>ma</w:t>
      </w:r>
      <w:r w:rsidRPr="00005453">
        <w:rPr>
          <w:bCs/>
          <w:iCs/>
          <w:sz w:val="18"/>
          <w:szCs w:val="18"/>
        </w:rPr>
        <w:t>ktadır</w:t>
      </w:r>
      <w:r w:rsidR="00E13ED4" w:rsidRPr="00005453">
        <w:rPr>
          <w:bCs/>
          <w:iCs/>
          <w:sz w:val="18"/>
          <w:szCs w:val="18"/>
        </w:rPr>
        <w:t xml:space="preserve"> (31 Aralık 2023 – Yoktur).</w:t>
      </w:r>
    </w:p>
    <w:p w14:paraId="338000FC" w14:textId="5A275F92" w:rsidR="00101060" w:rsidRPr="00005453" w:rsidRDefault="00101060" w:rsidP="007A1113">
      <w:pPr>
        <w:tabs>
          <w:tab w:val="left" w:pos="540"/>
        </w:tabs>
        <w:autoSpaceDE w:val="0"/>
        <w:autoSpaceDN w:val="0"/>
        <w:adjustRightInd w:val="0"/>
        <w:rPr>
          <w:b/>
          <w:bCs/>
          <w:iCs/>
          <w:sz w:val="6"/>
        </w:rPr>
      </w:pPr>
    </w:p>
    <w:p w14:paraId="338A5794" w14:textId="72E55E99" w:rsidR="00101060" w:rsidRPr="00005453" w:rsidRDefault="00101060" w:rsidP="007A1113">
      <w:pPr>
        <w:tabs>
          <w:tab w:val="left" w:pos="540"/>
        </w:tabs>
        <w:autoSpaceDE w:val="0"/>
        <w:autoSpaceDN w:val="0"/>
        <w:adjustRightInd w:val="0"/>
        <w:rPr>
          <w:b/>
          <w:bCs/>
          <w:iCs/>
          <w:sz w:val="6"/>
        </w:rPr>
      </w:pPr>
    </w:p>
    <w:p w14:paraId="0A52A997" w14:textId="017A86C6" w:rsidR="007A1113" w:rsidRPr="00005453" w:rsidRDefault="007A1113" w:rsidP="008865AE">
      <w:pPr>
        <w:tabs>
          <w:tab w:val="left" w:pos="540"/>
        </w:tabs>
        <w:autoSpaceDE w:val="0"/>
        <w:autoSpaceDN w:val="0"/>
        <w:adjustRightInd w:val="0"/>
        <w:ind w:hanging="567"/>
        <w:rPr>
          <w:rFonts w:eastAsia="Arial Unicode MS"/>
          <w:sz w:val="16"/>
          <w:szCs w:val="16"/>
        </w:rPr>
      </w:pPr>
      <w:r w:rsidRPr="00005453">
        <w:rPr>
          <w:b/>
          <w:bCs/>
          <w:iCs/>
        </w:rPr>
        <w:t>3.2.</w:t>
      </w:r>
      <w:r w:rsidRPr="00005453">
        <w:rPr>
          <w:b/>
          <w:bCs/>
          <w:iCs/>
        </w:rPr>
        <w:tab/>
        <w:t>Türev işlemlere ilişkin açıklamalar</w:t>
      </w:r>
    </w:p>
    <w:p w14:paraId="3B94A88C" w14:textId="5D7080B7" w:rsidR="00B02444" w:rsidRPr="00005453" w:rsidRDefault="00B02444" w:rsidP="007A1113">
      <w:pPr>
        <w:pStyle w:val="BodyText"/>
        <w:jc w:val="left"/>
        <w:rPr>
          <w:lang w:val="en-GB" w:eastAsia="en-GB"/>
        </w:rPr>
      </w:pPr>
    </w:p>
    <w:tbl>
      <w:tblPr>
        <w:tblW w:w="9221" w:type="dxa"/>
        <w:tblCellMar>
          <w:left w:w="70" w:type="dxa"/>
          <w:right w:w="70" w:type="dxa"/>
        </w:tblCellMar>
        <w:tblLook w:val="04A0" w:firstRow="1" w:lastRow="0" w:firstColumn="1" w:lastColumn="0" w:noHBand="0" w:noVBand="1"/>
      </w:tblPr>
      <w:tblGrid>
        <w:gridCol w:w="5710"/>
        <w:gridCol w:w="1569"/>
        <w:gridCol w:w="1942"/>
      </w:tblGrid>
      <w:tr w:rsidR="00B02444" w:rsidRPr="00005453" w14:paraId="538FA7D7" w14:textId="77777777" w:rsidTr="002E56A2">
        <w:trPr>
          <w:trHeight w:val="289"/>
        </w:trPr>
        <w:tc>
          <w:tcPr>
            <w:tcW w:w="5710" w:type="dxa"/>
            <w:tcBorders>
              <w:top w:val="single" w:sz="8" w:space="0" w:color="000000"/>
              <w:left w:val="nil"/>
              <w:bottom w:val="single" w:sz="8" w:space="0" w:color="000000"/>
              <w:right w:val="nil"/>
            </w:tcBorders>
            <w:shd w:val="clear" w:color="auto" w:fill="auto"/>
            <w:noWrap/>
            <w:vAlign w:val="center"/>
            <w:hideMark/>
          </w:tcPr>
          <w:p w14:paraId="400E83B7" w14:textId="52D7E25C" w:rsidR="00B02444" w:rsidRPr="00005453" w:rsidRDefault="00B02444" w:rsidP="00B02444">
            <w:pPr>
              <w:jc w:val="right"/>
              <w:rPr>
                <w:color w:val="000000"/>
                <w:sz w:val="18"/>
                <w:szCs w:val="18"/>
                <w:lang w:eastAsia="tr-TR"/>
              </w:rPr>
            </w:pPr>
          </w:p>
        </w:tc>
        <w:tc>
          <w:tcPr>
            <w:tcW w:w="3511" w:type="dxa"/>
            <w:gridSpan w:val="2"/>
            <w:tcBorders>
              <w:top w:val="single" w:sz="8" w:space="0" w:color="000000"/>
              <w:left w:val="nil"/>
              <w:bottom w:val="single" w:sz="8" w:space="0" w:color="000000"/>
              <w:right w:val="nil"/>
            </w:tcBorders>
            <w:shd w:val="clear" w:color="auto" w:fill="auto"/>
            <w:noWrap/>
            <w:vAlign w:val="center"/>
            <w:hideMark/>
          </w:tcPr>
          <w:p w14:paraId="3487A9F3" w14:textId="75FB0B23" w:rsidR="00B02444" w:rsidRPr="00005453" w:rsidRDefault="00B02444" w:rsidP="00B02444">
            <w:pPr>
              <w:jc w:val="right"/>
              <w:rPr>
                <w:b/>
                <w:bCs/>
                <w:color w:val="000000"/>
                <w:sz w:val="18"/>
                <w:szCs w:val="18"/>
                <w:lang w:eastAsia="tr-TR"/>
              </w:rPr>
            </w:pPr>
            <w:r w:rsidRPr="00005453">
              <w:rPr>
                <w:b/>
                <w:bCs/>
                <w:color w:val="000000"/>
                <w:sz w:val="18"/>
                <w:szCs w:val="18"/>
                <w:lang w:eastAsia="tr-TR"/>
              </w:rPr>
              <w:t>Amaçlarına göre türev işlemler</w:t>
            </w:r>
          </w:p>
        </w:tc>
      </w:tr>
      <w:tr w:rsidR="00B02444" w:rsidRPr="00005453" w14:paraId="37BA24FE" w14:textId="77777777" w:rsidTr="007F1884">
        <w:trPr>
          <w:trHeight w:val="273"/>
        </w:trPr>
        <w:tc>
          <w:tcPr>
            <w:tcW w:w="5710" w:type="dxa"/>
            <w:tcBorders>
              <w:top w:val="nil"/>
              <w:left w:val="nil"/>
              <w:bottom w:val="single" w:sz="8" w:space="0" w:color="000000"/>
              <w:right w:val="nil"/>
            </w:tcBorders>
            <w:shd w:val="clear" w:color="auto" w:fill="auto"/>
            <w:noWrap/>
            <w:vAlign w:val="center"/>
            <w:hideMark/>
          </w:tcPr>
          <w:p w14:paraId="4926D7C5" w14:textId="77777777" w:rsidR="00B02444" w:rsidRPr="00005453" w:rsidRDefault="00B02444" w:rsidP="00B02444">
            <w:pPr>
              <w:rPr>
                <w:b/>
                <w:bCs/>
                <w:color w:val="000000"/>
                <w:sz w:val="18"/>
                <w:szCs w:val="18"/>
                <w:lang w:eastAsia="tr-TR"/>
              </w:rPr>
            </w:pPr>
            <w:r w:rsidRPr="00005453">
              <w:rPr>
                <w:b/>
                <w:bCs/>
                <w:color w:val="000000"/>
                <w:sz w:val="18"/>
                <w:szCs w:val="18"/>
                <w:lang w:eastAsia="tr-TR"/>
              </w:rPr>
              <w:t xml:space="preserve">   </w:t>
            </w:r>
          </w:p>
        </w:tc>
        <w:tc>
          <w:tcPr>
            <w:tcW w:w="1569" w:type="dxa"/>
            <w:tcBorders>
              <w:top w:val="nil"/>
              <w:left w:val="nil"/>
              <w:bottom w:val="single" w:sz="8" w:space="0" w:color="000000"/>
              <w:right w:val="nil"/>
            </w:tcBorders>
            <w:shd w:val="clear" w:color="auto" w:fill="auto"/>
            <w:noWrap/>
            <w:vAlign w:val="center"/>
            <w:hideMark/>
          </w:tcPr>
          <w:p w14:paraId="72307349" w14:textId="77777777" w:rsidR="00B02444" w:rsidRPr="00005453" w:rsidRDefault="00B02444" w:rsidP="00B02444">
            <w:pPr>
              <w:jc w:val="right"/>
              <w:rPr>
                <w:b/>
                <w:bCs/>
                <w:color w:val="000000"/>
                <w:sz w:val="18"/>
                <w:szCs w:val="18"/>
                <w:lang w:eastAsia="tr-TR"/>
              </w:rPr>
            </w:pPr>
            <w:r w:rsidRPr="00005453">
              <w:rPr>
                <w:b/>
                <w:bCs/>
                <w:color w:val="000000"/>
                <w:sz w:val="18"/>
                <w:szCs w:val="18"/>
                <w:lang w:eastAsia="tr-TR"/>
              </w:rPr>
              <w:t>Cari dönem</w:t>
            </w:r>
          </w:p>
        </w:tc>
        <w:tc>
          <w:tcPr>
            <w:tcW w:w="1942" w:type="dxa"/>
            <w:tcBorders>
              <w:top w:val="nil"/>
              <w:left w:val="nil"/>
              <w:bottom w:val="single" w:sz="8" w:space="0" w:color="000000"/>
              <w:right w:val="nil"/>
            </w:tcBorders>
            <w:shd w:val="clear" w:color="auto" w:fill="auto"/>
            <w:noWrap/>
            <w:vAlign w:val="center"/>
            <w:hideMark/>
          </w:tcPr>
          <w:p w14:paraId="47C3A5BD" w14:textId="77777777" w:rsidR="00B02444" w:rsidRPr="00005453" w:rsidRDefault="00B02444" w:rsidP="00B02444">
            <w:pPr>
              <w:jc w:val="right"/>
              <w:rPr>
                <w:b/>
                <w:bCs/>
                <w:color w:val="000000"/>
                <w:sz w:val="18"/>
                <w:szCs w:val="18"/>
                <w:lang w:eastAsia="tr-TR"/>
              </w:rPr>
            </w:pPr>
            <w:r w:rsidRPr="00005453">
              <w:rPr>
                <w:b/>
                <w:bCs/>
                <w:color w:val="000000"/>
                <w:sz w:val="18"/>
                <w:szCs w:val="18"/>
                <w:lang w:eastAsia="tr-TR"/>
              </w:rPr>
              <w:t>Önceki dönem</w:t>
            </w:r>
          </w:p>
        </w:tc>
      </w:tr>
      <w:tr w:rsidR="00B02444" w:rsidRPr="00005453" w14:paraId="6E2B2373" w14:textId="77777777" w:rsidTr="007F1884">
        <w:trPr>
          <w:trHeight w:val="273"/>
        </w:trPr>
        <w:tc>
          <w:tcPr>
            <w:tcW w:w="7279" w:type="dxa"/>
            <w:gridSpan w:val="2"/>
            <w:tcBorders>
              <w:top w:val="nil"/>
              <w:left w:val="nil"/>
              <w:bottom w:val="nil"/>
              <w:right w:val="nil"/>
            </w:tcBorders>
            <w:shd w:val="clear" w:color="auto" w:fill="auto"/>
            <w:noWrap/>
            <w:vAlign w:val="center"/>
            <w:hideMark/>
          </w:tcPr>
          <w:p w14:paraId="7B29FC3C" w14:textId="77777777" w:rsidR="00B02444" w:rsidRPr="00005453" w:rsidRDefault="00B02444" w:rsidP="00B02444">
            <w:pPr>
              <w:rPr>
                <w:b/>
                <w:bCs/>
                <w:color w:val="000000"/>
                <w:sz w:val="18"/>
                <w:szCs w:val="18"/>
                <w:lang w:eastAsia="tr-TR"/>
              </w:rPr>
            </w:pPr>
            <w:r w:rsidRPr="00005453">
              <w:rPr>
                <w:b/>
                <w:bCs/>
                <w:color w:val="000000"/>
                <w:sz w:val="18"/>
                <w:szCs w:val="18"/>
                <w:lang w:eastAsia="tr-TR"/>
              </w:rPr>
              <w:t>Alım satım amaçlı işlemlerin türleri</w:t>
            </w:r>
          </w:p>
        </w:tc>
        <w:tc>
          <w:tcPr>
            <w:tcW w:w="1942" w:type="dxa"/>
            <w:tcBorders>
              <w:top w:val="nil"/>
              <w:left w:val="nil"/>
              <w:bottom w:val="nil"/>
              <w:right w:val="nil"/>
            </w:tcBorders>
            <w:shd w:val="clear" w:color="auto" w:fill="auto"/>
            <w:noWrap/>
            <w:vAlign w:val="center"/>
            <w:hideMark/>
          </w:tcPr>
          <w:p w14:paraId="14BE9371" w14:textId="77777777" w:rsidR="00B02444" w:rsidRPr="00005453" w:rsidRDefault="00B02444" w:rsidP="00B02444">
            <w:pPr>
              <w:rPr>
                <w:b/>
                <w:bCs/>
                <w:color w:val="000000"/>
                <w:sz w:val="18"/>
                <w:szCs w:val="18"/>
                <w:lang w:eastAsia="tr-TR"/>
              </w:rPr>
            </w:pPr>
          </w:p>
        </w:tc>
      </w:tr>
      <w:tr w:rsidR="002F689C" w:rsidRPr="00005453" w14:paraId="740F7C95" w14:textId="77777777" w:rsidTr="002F689C">
        <w:trPr>
          <w:trHeight w:val="257"/>
        </w:trPr>
        <w:tc>
          <w:tcPr>
            <w:tcW w:w="5710" w:type="dxa"/>
            <w:tcBorders>
              <w:top w:val="nil"/>
              <w:left w:val="nil"/>
              <w:bottom w:val="nil"/>
              <w:right w:val="nil"/>
            </w:tcBorders>
            <w:shd w:val="clear" w:color="auto" w:fill="auto"/>
            <w:noWrap/>
            <w:vAlign w:val="center"/>
            <w:hideMark/>
          </w:tcPr>
          <w:p w14:paraId="07FBE4F9" w14:textId="77777777" w:rsidR="002F689C" w:rsidRPr="00005453" w:rsidRDefault="002F689C" w:rsidP="002F689C">
            <w:pPr>
              <w:rPr>
                <w:b/>
                <w:bCs/>
                <w:color w:val="000000"/>
                <w:sz w:val="18"/>
                <w:szCs w:val="18"/>
                <w:lang w:eastAsia="tr-TR"/>
              </w:rPr>
            </w:pPr>
            <w:r w:rsidRPr="00005453">
              <w:rPr>
                <w:b/>
                <w:bCs/>
                <w:color w:val="000000"/>
                <w:sz w:val="18"/>
                <w:szCs w:val="18"/>
                <w:lang w:eastAsia="tr-TR"/>
              </w:rPr>
              <w:t>Döviz ile ilgili türev işlemler (I):</w:t>
            </w:r>
          </w:p>
        </w:tc>
        <w:tc>
          <w:tcPr>
            <w:tcW w:w="1569" w:type="dxa"/>
            <w:tcBorders>
              <w:top w:val="nil"/>
              <w:left w:val="nil"/>
              <w:bottom w:val="nil"/>
              <w:right w:val="nil"/>
            </w:tcBorders>
            <w:shd w:val="clear" w:color="auto" w:fill="auto"/>
            <w:noWrap/>
            <w:vAlign w:val="center"/>
            <w:hideMark/>
          </w:tcPr>
          <w:p w14:paraId="658BD10A" w14:textId="33FC68F3" w:rsidR="002F689C" w:rsidRPr="00005453" w:rsidRDefault="002F689C" w:rsidP="002F689C">
            <w:pPr>
              <w:jc w:val="right"/>
              <w:rPr>
                <w:b/>
                <w:bCs/>
                <w:color w:val="000000"/>
                <w:sz w:val="18"/>
                <w:szCs w:val="18"/>
                <w:lang w:eastAsia="tr-TR"/>
              </w:rPr>
            </w:pPr>
            <w:r w:rsidRPr="00005453">
              <w:rPr>
                <w:b/>
                <w:sz w:val="18"/>
                <w:szCs w:val="18"/>
              </w:rPr>
              <w:t>306,803,670</w:t>
            </w:r>
          </w:p>
        </w:tc>
        <w:tc>
          <w:tcPr>
            <w:tcW w:w="1942" w:type="dxa"/>
            <w:tcBorders>
              <w:top w:val="nil"/>
              <w:left w:val="nil"/>
              <w:bottom w:val="nil"/>
              <w:right w:val="nil"/>
            </w:tcBorders>
            <w:shd w:val="clear" w:color="auto" w:fill="auto"/>
            <w:noWrap/>
            <w:vAlign w:val="center"/>
            <w:hideMark/>
          </w:tcPr>
          <w:p w14:paraId="3FDF4965" w14:textId="08E3ADE8" w:rsidR="002F689C" w:rsidRPr="00005453" w:rsidRDefault="002F689C" w:rsidP="002F689C">
            <w:pPr>
              <w:jc w:val="right"/>
              <w:rPr>
                <w:b/>
                <w:bCs/>
                <w:color w:val="000000"/>
                <w:sz w:val="18"/>
                <w:szCs w:val="18"/>
                <w:lang w:eastAsia="tr-TR"/>
              </w:rPr>
            </w:pPr>
            <w:r w:rsidRPr="00005453">
              <w:rPr>
                <w:b/>
                <w:bCs/>
                <w:color w:val="000000"/>
                <w:sz w:val="18"/>
                <w:szCs w:val="18"/>
                <w:lang w:eastAsia="tr-TR"/>
              </w:rPr>
              <w:t>140,030,317</w:t>
            </w:r>
          </w:p>
        </w:tc>
      </w:tr>
      <w:tr w:rsidR="002F689C" w:rsidRPr="00005453" w14:paraId="1DA34061" w14:textId="77777777" w:rsidTr="002F689C">
        <w:trPr>
          <w:trHeight w:val="257"/>
        </w:trPr>
        <w:tc>
          <w:tcPr>
            <w:tcW w:w="5710" w:type="dxa"/>
            <w:tcBorders>
              <w:top w:val="nil"/>
              <w:left w:val="nil"/>
              <w:bottom w:val="nil"/>
              <w:right w:val="nil"/>
            </w:tcBorders>
            <w:shd w:val="clear" w:color="auto" w:fill="auto"/>
            <w:noWrap/>
            <w:vAlign w:val="center"/>
            <w:hideMark/>
          </w:tcPr>
          <w:p w14:paraId="112B589E" w14:textId="77777777" w:rsidR="002F689C" w:rsidRPr="00005453" w:rsidRDefault="002F689C" w:rsidP="002F689C">
            <w:pPr>
              <w:rPr>
                <w:color w:val="000000"/>
                <w:sz w:val="18"/>
                <w:szCs w:val="18"/>
                <w:lang w:eastAsia="tr-TR"/>
              </w:rPr>
            </w:pPr>
            <w:r w:rsidRPr="00005453">
              <w:rPr>
                <w:color w:val="000000"/>
                <w:sz w:val="18"/>
                <w:szCs w:val="18"/>
                <w:lang w:eastAsia="tr-TR"/>
              </w:rPr>
              <w:t xml:space="preserve">        Vadeli döviz alım satım işlemleri</w:t>
            </w:r>
          </w:p>
        </w:tc>
        <w:tc>
          <w:tcPr>
            <w:tcW w:w="1569" w:type="dxa"/>
            <w:tcBorders>
              <w:top w:val="nil"/>
              <w:left w:val="nil"/>
              <w:bottom w:val="nil"/>
              <w:right w:val="nil"/>
            </w:tcBorders>
            <w:shd w:val="clear" w:color="auto" w:fill="auto"/>
            <w:noWrap/>
            <w:vAlign w:val="center"/>
            <w:hideMark/>
          </w:tcPr>
          <w:p w14:paraId="46F35BDF" w14:textId="0E88E6A0" w:rsidR="002F689C" w:rsidRPr="00005453" w:rsidRDefault="002F689C" w:rsidP="002F689C">
            <w:pPr>
              <w:jc w:val="right"/>
              <w:rPr>
                <w:bCs/>
                <w:color w:val="000000"/>
                <w:sz w:val="18"/>
                <w:szCs w:val="18"/>
                <w:lang w:eastAsia="tr-TR"/>
              </w:rPr>
            </w:pPr>
            <w:r w:rsidRPr="00005453">
              <w:rPr>
                <w:sz w:val="18"/>
                <w:szCs w:val="18"/>
              </w:rPr>
              <w:t>19,475,377</w:t>
            </w:r>
          </w:p>
        </w:tc>
        <w:tc>
          <w:tcPr>
            <w:tcW w:w="1942" w:type="dxa"/>
            <w:tcBorders>
              <w:top w:val="nil"/>
              <w:left w:val="nil"/>
              <w:bottom w:val="nil"/>
              <w:right w:val="nil"/>
            </w:tcBorders>
            <w:shd w:val="clear" w:color="auto" w:fill="auto"/>
            <w:noWrap/>
            <w:vAlign w:val="center"/>
            <w:hideMark/>
          </w:tcPr>
          <w:p w14:paraId="011855E1" w14:textId="2A82A02D" w:rsidR="002F689C" w:rsidRPr="00005453" w:rsidRDefault="002F689C" w:rsidP="002F689C">
            <w:pPr>
              <w:jc w:val="right"/>
              <w:rPr>
                <w:bCs/>
                <w:color w:val="000000"/>
                <w:sz w:val="18"/>
                <w:szCs w:val="18"/>
                <w:lang w:eastAsia="tr-TR"/>
              </w:rPr>
            </w:pPr>
            <w:r w:rsidRPr="00005453">
              <w:rPr>
                <w:bCs/>
                <w:color w:val="000000"/>
                <w:sz w:val="18"/>
                <w:szCs w:val="18"/>
                <w:lang w:eastAsia="tr-TR"/>
              </w:rPr>
              <w:t>13,152,610</w:t>
            </w:r>
          </w:p>
        </w:tc>
      </w:tr>
      <w:tr w:rsidR="002F689C" w:rsidRPr="00005453" w14:paraId="58A33A84" w14:textId="77777777" w:rsidTr="002F689C">
        <w:trPr>
          <w:trHeight w:val="257"/>
        </w:trPr>
        <w:tc>
          <w:tcPr>
            <w:tcW w:w="5710" w:type="dxa"/>
            <w:tcBorders>
              <w:top w:val="nil"/>
              <w:left w:val="nil"/>
              <w:bottom w:val="nil"/>
              <w:right w:val="nil"/>
            </w:tcBorders>
            <w:shd w:val="clear" w:color="auto" w:fill="auto"/>
            <w:noWrap/>
            <w:vAlign w:val="center"/>
            <w:hideMark/>
          </w:tcPr>
          <w:p w14:paraId="1AE98017" w14:textId="77777777" w:rsidR="002F689C" w:rsidRPr="00005453" w:rsidRDefault="002F689C" w:rsidP="002F689C">
            <w:pPr>
              <w:rPr>
                <w:color w:val="000000"/>
                <w:sz w:val="18"/>
                <w:szCs w:val="18"/>
                <w:lang w:eastAsia="tr-TR"/>
              </w:rPr>
            </w:pPr>
            <w:r w:rsidRPr="00005453">
              <w:rPr>
                <w:color w:val="000000"/>
                <w:sz w:val="18"/>
                <w:szCs w:val="18"/>
                <w:lang w:eastAsia="tr-TR"/>
              </w:rPr>
              <w:t xml:space="preserve">        Swap para alım satım işlemleri</w:t>
            </w:r>
          </w:p>
        </w:tc>
        <w:tc>
          <w:tcPr>
            <w:tcW w:w="1569" w:type="dxa"/>
            <w:tcBorders>
              <w:top w:val="nil"/>
              <w:left w:val="nil"/>
              <w:bottom w:val="nil"/>
              <w:right w:val="nil"/>
            </w:tcBorders>
            <w:shd w:val="clear" w:color="auto" w:fill="auto"/>
            <w:noWrap/>
            <w:vAlign w:val="center"/>
            <w:hideMark/>
          </w:tcPr>
          <w:p w14:paraId="0AE3AFD6" w14:textId="7EB45183" w:rsidR="002F689C" w:rsidRPr="00005453" w:rsidRDefault="002F689C" w:rsidP="002F689C">
            <w:pPr>
              <w:jc w:val="right"/>
              <w:rPr>
                <w:bCs/>
                <w:color w:val="000000"/>
                <w:sz w:val="18"/>
                <w:szCs w:val="18"/>
                <w:lang w:eastAsia="tr-TR"/>
              </w:rPr>
            </w:pPr>
            <w:r w:rsidRPr="00005453">
              <w:rPr>
                <w:sz w:val="18"/>
                <w:szCs w:val="18"/>
              </w:rPr>
              <w:t>287,328,293</w:t>
            </w:r>
          </w:p>
        </w:tc>
        <w:tc>
          <w:tcPr>
            <w:tcW w:w="1942" w:type="dxa"/>
            <w:tcBorders>
              <w:top w:val="nil"/>
              <w:left w:val="nil"/>
              <w:bottom w:val="nil"/>
              <w:right w:val="nil"/>
            </w:tcBorders>
            <w:shd w:val="clear" w:color="auto" w:fill="auto"/>
            <w:noWrap/>
            <w:vAlign w:val="center"/>
            <w:hideMark/>
          </w:tcPr>
          <w:p w14:paraId="5BDD6CC9" w14:textId="0A523C89" w:rsidR="002F689C" w:rsidRPr="00005453" w:rsidRDefault="002F689C" w:rsidP="002F689C">
            <w:pPr>
              <w:jc w:val="right"/>
              <w:rPr>
                <w:bCs/>
                <w:color w:val="000000"/>
                <w:sz w:val="18"/>
                <w:szCs w:val="18"/>
                <w:lang w:eastAsia="tr-TR"/>
              </w:rPr>
            </w:pPr>
            <w:r w:rsidRPr="00005453">
              <w:rPr>
                <w:bCs/>
                <w:color w:val="000000"/>
                <w:sz w:val="18"/>
                <w:szCs w:val="18"/>
                <w:lang w:eastAsia="tr-TR"/>
              </w:rPr>
              <w:t>126,877,707</w:t>
            </w:r>
          </w:p>
        </w:tc>
      </w:tr>
      <w:tr w:rsidR="00846060" w:rsidRPr="00005453" w14:paraId="076CA6C6" w14:textId="77777777" w:rsidTr="002F689C">
        <w:trPr>
          <w:trHeight w:val="257"/>
        </w:trPr>
        <w:tc>
          <w:tcPr>
            <w:tcW w:w="5710" w:type="dxa"/>
            <w:tcBorders>
              <w:top w:val="nil"/>
              <w:left w:val="nil"/>
              <w:bottom w:val="nil"/>
              <w:right w:val="nil"/>
            </w:tcBorders>
            <w:shd w:val="clear" w:color="auto" w:fill="auto"/>
            <w:noWrap/>
            <w:vAlign w:val="center"/>
            <w:hideMark/>
          </w:tcPr>
          <w:p w14:paraId="0908B3DF"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Futures para işlemleri</w:t>
            </w:r>
          </w:p>
        </w:tc>
        <w:tc>
          <w:tcPr>
            <w:tcW w:w="1569" w:type="dxa"/>
            <w:tcBorders>
              <w:top w:val="nil"/>
              <w:left w:val="nil"/>
              <w:bottom w:val="nil"/>
              <w:right w:val="nil"/>
            </w:tcBorders>
            <w:shd w:val="clear" w:color="auto" w:fill="auto"/>
            <w:noWrap/>
            <w:vAlign w:val="center"/>
            <w:hideMark/>
          </w:tcPr>
          <w:p w14:paraId="2DE9244A"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64220026" w14:textId="7AC4C22D"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7AB51ED9" w14:textId="77777777" w:rsidTr="002F689C">
        <w:trPr>
          <w:trHeight w:val="257"/>
        </w:trPr>
        <w:tc>
          <w:tcPr>
            <w:tcW w:w="5710" w:type="dxa"/>
            <w:tcBorders>
              <w:top w:val="nil"/>
              <w:left w:val="nil"/>
              <w:bottom w:val="nil"/>
              <w:right w:val="nil"/>
            </w:tcBorders>
            <w:shd w:val="clear" w:color="auto" w:fill="auto"/>
            <w:noWrap/>
            <w:vAlign w:val="center"/>
            <w:hideMark/>
          </w:tcPr>
          <w:p w14:paraId="6E469BCB"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Para alım satım opsiyonları</w:t>
            </w:r>
          </w:p>
        </w:tc>
        <w:tc>
          <w:tcPr>
            <w:tcW w:w="1569" w:type="dxa"/>
            <w:tcBorders>
              <w:top w:val="nil"/>
              <w:left w:val="nil"/>
              <w:bottom w:val="nil"/>
              <w:right w:val="nil"/>
            </w:tcBorders>
            <w:shd w:val="clear" w:color="auto" w:fill="auto"/>
            <w:noWrap/>
            <w:vAlign w:val="center"/>
            <w:hideMark/>
          </w:tcPr>
          <w:p w14:paraId="25D3BED9"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474D474D" w14:textId="428C29C0"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60886ECE" w14:textId="77777777" w:rsidTr="002F689C">
        <w:trPr>
          <w:trHeight w:val="57"/>
        </w:trPr>
        <w:tc>
          <w:tcPr>
            <w:tcW w:w="5710" w:type="dxa"/>
            <w:tcBorders>
              <w:top w:val="nil"/>
              <w:left w:val="nil"/>
              <w:bottom w:val="nil"/>
              <w:right w:val="nil"/>
            </w:tcBorders>
            <w:shd w:val="clear" w:color="auto" w:fill="auto"/>
            <w:noWrap/>
            <w:vAlign w:val="center"/>
            <w:hideMark/>
          </w:tcPr>
          <w:p w14:paraId="116D6EC9" w14:textId="77777777" w:rsidR="00846060" w:rsidRPr="00005453" w:rsidRDefault="00846060" w:rsidP="00846060">
            <w:pPr>
              <w:rPr>
                <w:b/>
                <w:bCs/>
                <w:color w:val="000000"/>
                <w:sz w:val="18"/>
                <w:szCs w:val="18"/>
                <w:lang w:eastAsia="tr-TR"/>
              </w:rPr>
            </w:pPr>
            <w:r w:rsidRPr="00005453">
              <w:rPr>
                <w:b/>
                <w:bCs/>
                <w:color w:val="000000"/>
                <w:sz w:val="18"/>
                <w:szCs w:val="18"/>
                <w:lang w:eastAsia="tr-TR"/>
              </w:rPr>
              <w:t>Kar Payı ile ilgili türev işlemler (II):</w:t>
            </w:r>
          </w:p>
        </w:tc>
        <w:tc>
          <w:tcPr>
            <w:tcW w:w="1569" w:type="dxa"/>
            <w:tcBorders>
              <w:top w:val="nil"/>
              <w:left w:val="nil"/>
              <w:bottom w:val="nil"/>
              <w:right w:val="nil"/>
            </w:tcBorders>
            <w:shd w:val="clear" w:color="auto" w:fill="auto"/>
            <w:noWrap/>
            <w:vAlign w:val="center"/>
            <w:hideMark/>
          </w:tcPr>
          <w:p w14:paraId="2E3FC38D"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5F3DCA58" w14:textId="76A957FC"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25992254" w14:textId="77777777" w:rsidTr="002F689C">
        <w:trPr>
          <w:trHeight w:val="153"/>
        </w:trPr>
        <w:tc>
          <w:tcPr>
            <w:tcW w:w="5710" w:type="dxa"/>
            <w:tcBorders>
              <w:top w:val="nil"/>
              <w:left w:val="nil"/>
              <w:bottom w:val="nil"/>
              <w:right w:val="nil"/>
            </w:tcBorders>
            <w:shd w:val="clear" w:color="auto" w:fill="auto"/>
            <w:noWrap/>
            <w:vAlign w:val="center"/>
            <w:hideMark/>
          </w:tcPr>
          <w:p w14:paraId="6D0FB0B2"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Vadeli </w:t>
            </w:r>
            <w:proofErr w:type="gramStart"/>
            <w:r w:rsidRPr="00005453">
              <w:rPr>
                <w:color w:val="000000"/>
                <w:sz w:val="18"/>
                <w:szCs w:val="18"/>
                <w:lang w:eastAsia="tr-TR"/>
              </w:rPr>
              <w:t>kar</w:t>
            </w:r>
            <w:proofErr w:type="gramEnd"/>
            <w:r w:rsidRPr="00005453">
              <w:rPr>
                <w:color w:val="000000"/>
                <w:sz w:val="18"/>
                <w:szCs w:val="18"/>
                <w:lang w:eastAsia="tr-TR"/>
              </w:rPr>
              <w:t xml:space="preserve"> payı sözleşmesi alım satım işlemleri</w:t>
            </w:r>
          </w:p>
        </w:tc>
        <w:tc>
          <w:tcPr>
            <w:tcW w:w="1569" w:type="dxa"/>
            <w:tcBorders>
              <w:top w:val="nil"/>
              <w:left w:val="nil"/>
              <w:bottom w:val="nil"/>
              <w:right w:val="nil"/>
            </w:tcBorders>
            <w:shd w:val="clear" w:color="auto" w:fill="auto"/>
            <w:noWrap/>
            <w:vAlign w:val="center"/>
            <w:hideMark/>
          </w:tcPr>
          <w:p w14:paraId="0DFA9108"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609A96D4" w14:textId="1BCE7F54"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61B4242B" w14:textId="77777777" w:rsidTr="002F689C">
        <w:trPr>
          <w:trHeight w:val="57"/>
        </w:trPr>
        <w:tc>
          <w:tcPr>
            <w:tcW w:w="5710" w:type="dxa"/>
            <w:tcBorders>
              <w:top w:val="nil"/>
              <w:left w:val="nil"/>
              <w:bottom w:val="nil"/>
              <w:right w:val="nil"/>
            </w:tcBorders>
            <w:shd w:val="clear" w:color="auto" w:fill="auto"/>
            <w:noWrap/>
            <w:vAlign w:val="center"/>
            <w:hideMark/>
          </w:tcPr>
          <w:p w14:paraId="7EC6A5C9"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Swap </w:t>
            </w:r>
            <w:proofErr w:type="gramStart"/>
            <w:r w:rsidRPr="00005453">
              <w:rPr>
                <w:color w:val="000000"/>
                <w:sz w:val="18"/>
                <w:szCs w:val="18"/>
                <w:lang w:eastAsia="tr-TR"/>
              </w:rPr>
              <w:t>kar</w:t>
            </w:r>
            <w:proofErr w:type="gramEnd"/>
            <w:r w:rsidRPr="00005453">
              <w:rPr>
                <w:color w:val="000000"/>
                <w:sz w:val="18"/>
                <w:szCs w:val="18"/>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25D315D8"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2DF9C2D5" w14:textId="40592436"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541BBF35" w14:textId="77777777" w:rsidTr="002F689C">
        <w:trPr>
          <w:trHeight w:val="61"/>
        </w:trPr>
        <w:tc>
          <w:tcPr>
            <w:tcW w:w="5710" w:type="dxa"/>
            <w:tcBorders>
              <w:top w:val="nil"/>
              <w:left w:val="nil"/>
              <w:bottom w:val="nil"/>
              <w:right w:val="nil"/>
            </w:tcBorders>
            <w:shd w:val="clear" w:color="auto" w:fill="auto"/>
            <w:noWrap/>
            <w:vAlign w:val="center"/>
            <w:hideMark/>
          </w:tcPr>
          <w:p w14:paraId="56DC67B3"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w:t>
            </w:r>
            <w:proofErr w:type="gramStart"/>
            <w:r w:rsidRPr="00005453">
              <w:rPr>
                <w:color w:val="000000"/>
                <w:sz w:val="18"/>
                <w:szCs w:val="18"/>
                <w:lang w:eastAsia="tr-TR"/>
              </w:rPr>
              <w:t>Kar</w:t>
            </w:r>
            <w:proofErr w:type="gramEnd"/>
            <w:r w:rsidRPr="00005453">
              <w:rPr>
                <w:color w:val="000000"/>
                <w:sz w:val="18"/>
                <w:szCs w:val="18"/>
                <w:lang w:eastAsia="tr-TR"/>
              </w:rPr>
              <w:t xml:space="preserve"> payı alım satım opsiyonları</w:t>
            </w:r>
          </w:p>
        </w:tc>
        <w:tc>
          <w:tcPr>
            <w:tcW w:w="1569" w:type="dxa"/>
            <w:tcBorders>
              <w:top w:val="nil"/>
              <w:left w:val="nil"/>
              <w:bottom w:val="nil"/>
              <w:right w:val="nil"/>
            </w:tcBorders>
            <w:shd w:val="clear" w:color="auto" w:fill="auto"/>
            <w:noWrap/>
            <w:vAlign w:val="center"/>
            <w:hideMark/>
          </w:tcPr>
          <w:p w14:paraId="60833550"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24A11E7F" w14:textId="3CD524EA"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5D35B9A0" w14:textId="77777777" w:rsidTr="002F689C">
        <w:trPr>
          <w:trHeight w:val="57"/>
        </w:trPr>
        <w:tc>
          <w:tcPr>
            <w:tcW w:w="5710" w:type="dxa"/>
            <w:tcBorders>
              <w:top w:val="nil"/>
              <w:left w:val="nil"/>
              <w:bottom w:val="nil"/>
              <w:right w:val="nil"/>
            </w:tcBorders>
            <w:shd w:val="clear" w:color="auto" w:fill="auto"/>
            <w:noWrap/>
            <w:vAlign w:val="center"/>
            <w:hideMark/>
          </w:tcPr>
          <w:p w14:paraId="478342A0"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Futures </w:t>
            </w:r>
            <w:proofErr w:type="gramStart"/>
            <w:r w:rsidRPr="00005453">
              <w:rPr>
                <w:color w:val="000000"/>
                <w:sz w:val="18"/>
                <w:szCs w:val="18"/>
                <w:lang w:eastAsia="tr-TR"/>
              </w:rPr>
              <w:t>kar</w:t>
            </w:r>
            <w:proofErr w:type="gramEnd"/>
            <w:r w:rsidRPr="00005453">
              <w:rPr>
                <w:color w:val="000000"/>
                <w:sz w:val="18"/>
                <w:szCs w:val="18"/>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119FBCF5"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3820CBC3" w14:textId="0F98668A"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2F689C" w:rsidRPr="00005453" w14:paraId="6DB3724D" w14:textId="77777777" w:rsidTr="002F689C">
        <w:trPr>
          <w:trHeight w:val="57"/>
        </w:trPr>
        <w:tc>
          <w:tcPr>
            <w:tcW w:w="5710" w:type="dxa"/>
            <w:tcBorders>
              <w:top w:val="nil"/>
              <w:left w:val="nil"/>
              <w:bottom w:val="nil"/>
              <w:right w:val="nil"/>
            </w:tcBorders>
            <w:shd w:val="clear" w:color="auto" w:fill="auto"/>
            <w:noWrap/>
            <w:vAlign w:val="center"/>
            <w:hideMark/>
          </w:tcPr>
          <w:p w14:paraId="711F1B65" w14:textId="77777777" w:rsidR="002F689C" w:rsidRPr="00005453" w:rsidRDefault="002F689C" w:rsidP="002F689C">
            <w:pPr>
              <w:rPr>
                <w:b/>
                <w:bCs/>
                <w:color w:val="000000"/>
                <w:sz w:val="18"/>
                <w:szCs w:val="18"/>
                <w:lang w:eastAsia="tr-TR"/>
              </w:rPr>
            </w:pPr>
            <w:r w:rsidRPr="00005453">
              <w:rPr>
                <w:b/>
                <w:bCs/>
                <w:color w:val="000000"/>
                <w:sz w:val="18"/>
                <w:szCs w:val="18"/>
                <w:lang w:eastAsia="tr-TR"/>
              </w:rPr>
              <w:t xml:space="preserve">Diğer alım-satım amaçlı türev işlemler (III) </w:t>
            </w:r>
          </w:p>
        </w:tc>
        <w:tc>
          <w:tcPr>
            <w:tcW w:w="1569" w:type="dxa"/>
            <w:tcBorders>
              <w:top w:val="nil"/>
              <w:left w:val="nil"/>
              <w:bottom w:val="nil"/>
              <w:right w:val="nil"/>
            </w:tcBorders>
            <w:shd w:val="clear" w:color="auto" w:fill="auto"/>
            <w:noWrap/>
            <w:vAlign w:val="center"/>
            <w:hideMark/>
          </w:tcPr>
          <w:p w14:paraId="516ADD96" w14:textId="54E83A8C" w:rsidR="002F689C" w:rsidRPr="00005453" w:rsidRDefault="002F689C" w:rsidP="002F689C">
            <w:pPr>
              <w:jc w:val="right"/>
              <w:rPr>
                <w:b/>
                <w:bCs/>
                <w:color w:val="000000"/>
                <w:sz w:val="18"/>
                <w:szCs w:val="18"/>
                <w:lang w:eastAsia="tr-TR"/>
              </w:rPr>
            </w:pPr>
            <w:r w:rsidRPr="00005453">
              <w:rPr>
                <w:b/>
                <w:bCs/>
                <w:sz w:val="18"/>
                <w:szCs w:val="18"/>
              </w:rPr>
              <w:t>23,934,456</w:t>
            </w:r>
          </w:p>
        </w:tc>
        <w:tc>
          <w:tcPr>
            <w:tcW w:w="1942" w:type="dxa"/>
            <w:tcBorders>
              <w:top w:val="nil"/>
              <w:left w:val="nil"/>
              <w:bottom w:val="nil"/>
              <w:right w:val="nil"/>
            </w:tcBorders>
            <w:shd w:val="clear" w:color="auto" w:fill="auto"/>
            <w:noWrap/>
            <w:vAlign w:val="center"/>
            <w:hideMark/>
          </w:tcPr>
          <w:p w14:paraId="0BC3B2EA" w14:textId="460DEBF0" w:rsidR="002F689C" w:rsidRPr="00005453" w:rsidRDefault="002F689C" w:rsidP="002F689C">
            <w:pPr>
              <w:jc w:val="right"/>
              <w:rPr>
                <w:b/>
                <w:bCs/>
                <w:color w:val="000000"/>
                <w:sz w:val="18"/>
                <w:szCs w:val="18"/>
                <w:lang w:eastAsia="tr-TR"/>
              </w:rPr>
            </w:pPr>
            <w:r w:rsidRPr="00005453">
              <w:rPr>
                <w:b/>
                <w:bCs/>
                <w:color w:val="000000"/>
                <w:sz w:val="18"/>
                <w:szCs w:val="18"/>
                <w:lang w:eastAsia="tr-TR"/>
              </w:rPr>
              <w:t>9,350,349</w:t>
            </w:r>
          </w:p>
        </w:tc>
      </w:tr>
      <w:tr w:rsidR="002F689C" w:rsidRPr="00005453" w14:paraId="4F16B7A4" w14:textId="77777777" w:rsidTr="002F689C">
        <w:trPr>
          <w:trHeight w:val="57"/>
        </w:trPr>
        <w:tc>
          <w:tcPr>
            <w:tcW w:w="5710" w:type="dxa"/>
            <w:tcBorders>
              <w:top w:val="nil"/>
              <w:left w:val="nil"/>
              <w:bottom w:val="nil"/>
              <w:right w:val="nil"/>
            </w:tcBorders>
            <w:shd w:val="clear" w:color="auto" w:fill="auto"/>
            <w:noWrap/>
            <w:vAlign w:val="center"/>
            <w:hideMark/>
          </w:tcPr>
          <w:p w14:paraId="1834F620" w14:textId="77777777" w:rsidR="002F689C" w:rsidRPr="00005453" w:rsidRDefault="002F689C" w:rsidP="002F689C">
            <w:pPr>
              <w:rPr>
                <w:b/>
                <w:bCs/>
                <w:color w:val="000000"/>
                <w:sz w:val="18"/>
                <w:szCs w:val="18"/>
                <w:lang w:eastAsia="tr-TR"/>
              </w:rPr>
            </w:pPr>
            <w:proofErr w:type="gramStart"/>
            <w:r w:rsidRPr="00005453">
              <w:rPr>
                <w:b/>
                <w:bCs/>
                <w:color w:val="000000"/>
                <w:sz w:val="18"/>
                <w:szCs w:val="18"/>
                <w:lang w:eastAsia="tr-TR"/>
              </w:rPr>
              <w:t>A.Toplam</w:t>
            </w:r>
            <w:proofErr w:type="gramEnd"/>
            <w:r w:rsidRPr="00005453">
              <w:rPr>
                <w:b/>
                <w:bCs/>
                <w:color w:val="000000"/>
                <w:sz w:val="18"/>
                <w:szCs w:val="18"/>
                <w:lang w:eastAsia="tr-TR"/>
              </w:rPr>
              <w:t xml:space="preserve"> alım satım amaçlı türev işlemler (I+II+III)</w:t>
            </w:r>
          </w:p>
        </w:tc>
        <w:tc>
          <w:tcPr>
            <w:tcW w:w="1569" w:type="dxa"/>
            <w:tcBorders>
              <w:top w:val="nil"/>
              <w:left w:val="nil"/>
              <w:bottom w:val="nil"/>
              <w:right w:val="nil"/>
            </w:tcBorders>
            <w:shd w:val="clear" w:color="auto" w:fill="auto"/>
            <w:noWrap/>
            <w:vAlign w:val="center"/>
            <w:hideMark/>
          </w:tcPr>
          <w:p w14:paraId="42D2F0BB" w14:textId="6294EA38" w:rsidR="002F689C" w:rsidRPr="00005453" w:rsidRDefault="002F689C" w:rsidP="002F689C">
            <w:pPr>
              <w:jc w:val="right"/>
              <w:rPr>
                <w:b/>
                <w:bCs/>
                <w:color w:val="000000"/>
                <w:sz w:val="18"/>
                <w:szCs w:val="18"/>
                <w:lang w:eastAsia="tr-TR"/>
              </w:rPr>
            </w:pPr>
            <w:r w:rsidRPr="00005453">
              <w:rPr>
                <w:b/>
                <w:bCs/>
                <w:sz w:val="18"/>
                <w:szCs w:val="18"/>
              </w:rPr>
              <w:t>330,738,126</w:t>
            </w:r>
          </w:p>
        </w:tc>
        <w:tc>
          <w:tcPr>
            <w:tcW w:w="1942" w:type="dxa"/>
            <w:tcBorders>
              <w:top w:val="nil"/>
              <w:left w:val="nil"/>
              <w:bottom w:val="nil"/>
              <w:right w:val="nil"/>
            </w:tcBorders>
            <w:shd w:val="clear" w:color="auto" w:fill="auto"/>
            <w:noWrap/>
            <w:vAlign w:val="center"/>
            <w:hideMark/>
          </w:tcPr>
          <w:p w14:paraId="316A1E3C" w14:textId="59EB4F4E" w:rsidR="002F689C" w:rsidRPr="00005453" w:rsidRDefault="002F689C" w:rsidP="002F689C">
            <w:pPr>
              <w:jc w:val="right"/>
              <w:rPr>
                <w:b/>
                <w:bCs/>
                <w:color w:val="000000"/>
                <w:sz w:val="18"/>
                <w:szCs w:val="18"/>
                <w:lang w:eastAsia="tr-TR"/>
              </w:rPr>
            </w:pPr>
            <w:r w:rsidRPr="00005453">
              <w:rPr>
                <w:b/>
                <w:bCs/>
                <w:color w:val="000000"/>
                <w:sz w:val="18"/>
                <w:szCs w:val="18"/>
                <w:lang w:eastAsia="tr-TR"/>
              </w:rPr>
              <w:t>149,380,666</w:t>
            </w:r>
          </w:p>
        </w:tc>
      </w:tr>
      <w:tr w:rsidR="00846060" w:rsidRPr="00005453" w14:paraId="68FF9FFA" w14:textId="77777777" w:rsidTr="002F689C">
        <w:trPr>
          <w:trHeight w:val="57"/>
        </w:trPr>
        <w:tc>
          <w:tcPr>
            <w:tcW w:w="5710" w:type="dxa"/>
            <w:tcBorders>
              <w:top w:val="nil"/>
              <w:left w:val="nil"/>
              <w:bottom w:val="nil"/>
              <w:right w:val="nil"/>
            </w:tcBorders>
            <w:shd w:val="clear" w:color="auto" w:fill="auto"/>
            <w:noWrap/>
            <w:vAlign w:val="center"/>
            <w:hideMark/>
          </w:tcPr>
          <w:p w14:paraId="70825064" w14:textId="77777777" w:rsidR="00846060" w:rsidRPr="00005453" w:rsidRDefault="00846060" w:rsidP="00846060">
            <w:pPr>
              <w:rPr>
                <w:b/>
                <w:bCs/>
                <w:color w:val="000000"/>
                <w:sz w:val="18"/>
                <w:szCs w:val="18"/>
                <w:lang w:eastAsia="tr-TR"/>
              </w:rPr>
            </w:pPr>
            <w:r w:rsidRPr="00005453">
              <w:rPr>
                <w:b/>
                <w:bCs/>
                <w:color w:val="000000"/>
                <w:sz w:val="18"/>
                <w:szCs w:val="18"/>
                <w:lang w:eastAsia="tr-TR"/>
              </w:rPr>
              <w:t>Riskten korunma amaçlı türev işlem türleri</w:t>
            </w:r>
          </w:p>
        </w:tc>
        <w:tc>
          <w:tcPr>
            <w:tcW w:w="1569" w:type="dxa"/>
            <w:tcBorders>
              <w:top w:val="nil"/>
              <w:left w:val="nil"/>
              <w:bottom w:val="nil"/>
              <w:right w:val="nil"/>
            </w:tcBorders>
            <w:shd w:val="clear" w:color="auto" w:fill="auto"/>
            <w:noWrap/>
            <w:vAlign w:val="center"/>
            <w:hideMark/>
          </w:tcPr>
          <w:p w14:paraId="5252F0CE"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52ECFF01" w14:textId="5D5C8432"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772E4B48" w14:textId="77777777" w:rsidTr="002F689C">
        <w:trPr>
          <w:trHeight w:val="57"/>
        </w:trPr>
        <w:tc>
          <w:tcPr>
            <w:tcW w:w="5710" w:type="dxa"/>
            <w:tcBorders>
              <w:top w:val="nil"/>
              <w:left w:val="nil"/>
              <w:bottom w:val="nil"/>
              <w:right w:val="nil"/>
            </w:tcBorders>
            <w:shd w:val="clear" w:color="auto" w:fill="auto"/>
            <w:noWrap/>
            <w:vAlign w:val="center"/>
            <w:hideMark/>
          </w:tcPr>
          <w:p w14:paraId="31A93920" w14:textId="77777777" w:rsidR="00846060" w:rsidRPr="00005453" w:rsidRDefault="00846060" w:rsidP="00846060">
            <w:pPr>
              <w:ind w:firstLineChars="100" w:firstLine="180"/>
              <w:rPr>
                <w:color w:val="000000"/>
                <w:sz w:val="18"/>
                <w:szCs w:val="18"/>
                <w:lang w:eastAsia="tr-TR"/>
              </w:rPr>
            </w:pPr>
            <w:r w:rsidRPr="00005453">
              <w:rPr>
                <w:color w:val="000000"/>
                <w:sz w:val="18"/>
                <w:szCs w:val="18"/>
                <w:lang w:eastAsia="tr-TR"/>
              </w:rPr>
              <w:t xml:space="preserve">     Gerçeğe uygun değer değişikliği riskinden korunma amaçlı</w:t>
            </w:r>
          </w:p>
        </w:tc>
        <w:tc>
          <w:tcPr>
            <w:tcW w:w="1569" w:type="dxa"/>
            <w:tcBorders>
              <w:top w:val="nil"/>
              <w:left w:val="nil"/>
              <w:bottom w:val="nil"/>
              <w:right w:val="nil"/>
            </w:tcBorders>
            <w:shd w:val="clear" w:color="auto" w:fill="auto"/>
            <w:noWrap/>
            <w:vAlign w:val="center"/>
            <w:hideMark/>
          </w:tcPr>
          <w:p w14:paraId="44014B67"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00B692E7" w14:textId="11950621"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5E9FCBDF" w14:textId="77777777" w:rsidTr="002F689C">
        <w:trPr>
          <w:trHeight w:val="57"/>
        </w:trPr>
        <w:tc>
          <w:tcPr>
            <w:tcW w:w="5710" w:type="dxa"/>
            <w:tcBorders>
              <w:top w:val="nil"/>
              <w:left w:val="nil"/>
              <w:bottom w:val="nil"/>
              <w:right w:val="nil"/>
            </w:tcBorders>
            <w:shd w:val="clear" w:color="auto" w:fill="auto"/>
            <w:noWrap/>
            <w:vAlign w:val="center"/>
            <w:hideMark/>
          </w:tcPr>
          <w:p w14:paraId="460AFF2B" w14:textId="77777777" w:rsidR="00846060" w:rsidRPr="00005453" w:rsidRDefault="00846060" w:rsidP="00846060">
            <w:pPr>
              <w:ind w:firstLineChars="100" w:firstLine="180"/>
              <w:rPr>
                <w:color w:val="000000"/>
                <w:sz w:val="18"/>
                <w:szCs w:val="18"/>
                <w:lang w:eastAsia="tr-TR"/>
              </w:rPr>
            </w:pPr>
            <w:r w:rsidRPr="00005453">
              <w:rPr>
                <w:color w:val="000000"/>
                <w:sz w:val="18"/>
                <w:szCs w:val="18"/>
                <w:lang w:eastAsia="tr-TR"/>
              </w:rPr>
              <w:t xml:space="preserve">     Nakit akış riskinden korunma amaçlı</w:t>
            </w:r>
          </w:p>
        </w:tc>
        <w:tc>
          <w:tcPr>
            <w:tcW w:w="1569" w:type="dxa"/>
            <w:tcBorders>
              <w:top w:val="nil"/>
              <w:left w:val="nil"/>
              <w:bottom w:val="nil"/>
              <w:right w:val="nil"/>
            </w:tcBorders>
            <w:shd w:val="clear" w:color="auto" w:fill="auto"/>
            <w:noWrap/>
            <w:vAlign w:val="center"/>
            <w:hideMark/>
          </w:tcPr>
          <w:p w14:paraId="2EEBFD4C"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2E611CEF" w14:textId="5B9DB79A"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0FF7D05B" w14:textId="77777777" w:rsidTr="002F689C">
        <w:trPr>
          <w:trHeight w:val="57"/>
        </w:trPr>
        <w:tc>
          <w:tcPr>
            <w:tcW w:w="5710" w:type="dxa"/>
            <w:tcBorders>
              <w:top w:val="nil"/>
              <w:left w:val="nil"/>
              <w:bottom w:val="nil"/>
              <w:right w:val="nil"/>
            </w:tcBorders>
            <w:shd w:val="clear" w:color="auto" w:fill="auto"/>
            <w:noWrap/>
            <w:vAlign w:val="center"/>
            <w:hideMark/>
          </w:tcPr>
          <w:p w14:paraId="335D1C0E" w14:textId="77777777" w:rsidR="00846060" w:rsidRPr="00005453" w:rsidRDefault="00846060" w:rsidP="00846060">
            <w:pPr>
              <w:rPr>
                <w:color w:val="000000"/>
                <w:sz w:val="18"/>
                <w:szCs w:val="18"/>
                <w:lang w:eastAsia="tr-TR"/>
              </w:rPr>
            </w:pPr>
            <w:r w:rsidRPr="00005453">
              <w:rPr>
                <w:color w:val="000000"/>
                <w:sz w:val="18"/>
                <w:szCs w:val="18"/>
                <w:lang w:eastAsia="tr-TR"/>
              </w:rPr>
              <w:t xml:space="preserve">        YP üzerinden yapılan iştirak yatırımları riskinden korunma amaçlı</w:t>
            </w:r>
          </w:p>
        </w:tc>
        <w:tc>
          <w:tcPr>
            <w:tcW w:w="1569" w:type="dxa"/>
            <w:tcBorders>
              <w:top w:val="nil"/>
              <w:left w:val="nil"/>
              <w:bottom w:val="nil"/>
              <w:right w:val="nil"/>
            </w:tcBorders>
            <w:shd w:val="clear" w:color="auto" w:fill="auto"/>
            <w:noWrap/>
            <w:vAlign w:val="center"/>
            <w:hideMark/>
          </w:tcPr>
          <w:p w14:paraId="160A0A19"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1A321FBA" w14:textId="3497D5B8"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5088F273" w14:textId="77777777" w:rsidTr="002F689C">
        <w:trPr>
          <w:trHeight w:val="257"/>
        </w:trPr>
        <w:tc>
          <w:tcPr>
            <w:tcW w:w="5710" w:type="dxa"/>
            <w:tcBorders>
              <w:top w:val="nil"/>
              <w:left w:val="nil"/>
              <w:bottom w:val="nil"/>
              <w:right w:val="nil"/>
            </w:tcBorders>
            <w:shd w:val="clear" w:color="auto" w:fill="auto"/>
            <w:noWrap/>
            <w:vAlign w:val="center"/>
            <w:hideMark/>
          </w:tcPr>
          <w:p w14:paraId="3100E5DC" w14:textId="77777777" w:rsidR="00846060" w:rsidRPr="00005453" w:rsidRDefault="00846060" w:rsidP="00846060">
            <w:pPr>
              <w:rPr>
                <w:b/>
                <w:bCs/>
                <w:color w:val="000000"/>
                <w:sz w:val="18"/>
                <w:szCs w:val="18"/>
                <w:lang w:eastAsia="tr-TR"/>
              </w:rPr>
            </w:pPr>
            <w:r w:rsidRPr="00005453">
              <w:rPr>
                <w:b/>
                <w:bCs/>
                <w:color w:val="000000"/>
                <w:sz w:val="18"/>
                <w:szCs w:val="18"/>
                <w:lang w:eastAsia="tr-TR"/>
              </w:rPr>
              <w:t>B. Toplam riskten korunma amaçlı türev işlemler</w:t>
            </w:r>
          </w:p>
        </w:tc>
        <w:tc>
          <w:tcPr>
            <w:tcW w:w="1569" w:type="dxa"/>
            <w:tcBorders>
              <w:top w:val="nil"/>
              <w:left w:val="nil"/>
              <w:bottom w:val="nil"/>
              <w:right w:val="nil"/>
            </w:tcBorders>
            <w:shd w:val="clear" w:color="auto" w:fill="auto"/>
            <w:noWrap/>
            <w:vAlign w:val="center"/>
            <w:hideMark/>
          </w:tcPr>
          <w:p w14:paraId="0A7F089C" w14:textId="77777777" w:rsidR="00846060" w:rsidRPr="00005453" w:rsidRDefault="00846060" w:rsidP="002F689C">
            <w:pPr>
              <w:jc w:val="right"/>
              <w:rPr>
                <w:b/>
                <w:bCs/>
                <w:color w:val="000000"/>
                <w:sz w:val="18"/>
                <w:szCs w:val="18"/>
                <w:lang w:eastAsia="tr-TR"/>
              </w:rPr>
            </w:pPr>
            <w:r w:rsidRPr="00005453">
              <w:rPr>
                <w:b/>
                <w:bCs/>
                <w:color w:val="000000"/>
                <w:sz w:val="18"/>
                <w:szCs w:val="18"/>
                <w:lang w:eastAsia="tr-TR"/>
              </w:rPr>
              <w:t>-</w:t>
            </w:r>
          </w:p>
        </w:tc>
        <w:tc>
          <w:tcPr>
            <w:tcW w:w="1942" w:type="dxa"/>
            <w:tcBorders>
              <w:top w:val="nil"/>
              <w:left w:val="nil"/>
              <w:bottom w:val="nil"/>
              <w:right w:val="nil"/>
            </w:tcBorders>
            <w:shd w:val="clear" w:color="auto" w:fill="auto"/>
            <w:noWrap/>
            <w:vAlign w:val="center"/>
            <w:hideMark/>
          </w:tcPr>
          <w:p w14:paraId="4679FA6D" w14:textId="448F8431" w:rsidR="00846060" w:rsidRPr="00005453" w:rsidRDefault="00846060" w:rsidP="00846060">
            <w:pPr>
              <w:jc w:val="right"/>
              <w:rPr>
                <w:b/>
                <w:bCs/>
                <w:color w:val="000000"/>
                <w:sz w:val="18"/>
                <w:szCs w:val="18"/>
                <w:lang w:eastAsia="tr-TR"/>
              </w:rPr>
            </w:pPr>
            <w:r w:rsidRPr="00005453">
              <w:rPr>
                <w:b/>
                <w:bCs/>
                <w:color w:val="000000"/>
                <w:sz w:val="18"/>
                <w:szCs w:val="18"/>
                <w:lang w:eastAsia="tr-TR"/>
              </w:rPr>
              <w:t>-</w:t>
            </w:r>
          </w:p>
        </w:tc>
      </w:tr>
      <w:tr w:rsidR="00846060" w:rsidRPr="00005453" w14:paraId="381A4956" w14:textId="77777777" w:rsidTr="002F689C">
        <w:trPr>
          <w:trHeight w:val="64"/>
        </w:trPr>
        <w:tc>
          <w:tcPr>
            <w:tcW w:w="5710" w:type="dxa"/>
            <w:tcBorders>
              <w:top w:val="nil"/>
              <w:left w:val="nil"/>
              <w:bottom w:val="nil"/>
              <w:right w:val="nil"/>
            </w:tcBorders>
            <w:shd w:val="clear" w:color="auto" w:fill="auto"/>
            <w:noWrap/>
            <w:vAlign w:val="center"/>
            <w:hideMark/>
          </w:tcPr>
          <w:p w14:paraId="30CA113A" w14:textId="77777777" w:rsidR="00846060" w:rsidRPr="00005453" w:rsidRDefault="00846060" w:rsidP="00846060">
            <w:pPr>
              <w:jc w:val="right"/>
              <w:rPr>
                <w:b/>
                <w:bCs/>
                <w:color w:val="000000"/>
                <w:sz w:val="6"/>
                <w:szCs w:val="6"/>
                <w:lang w:eastAsia="tr-TR"/>
              </w:rPr>
            </w:pPr>
          </w:p>
        </w:tc>
        <w:tc>
          <w:tcPr>
            <w:tcW w:w="1569" w:type="dxa"/>
            <w:tcBorders>
              <w:top w:val="nil"/>
              <w:left w:val="nil"/>
              <w:bottom w:val="nil"/>
              <w:right w:val="nil"/>
            </w:tcBorders>
            <w:shd w:val="clear" w:color="auto" w:fill="auto"/>
            <w:noWrap/>
            <w:vAlign w:val="center"/>
            <w:hideMark/>
          </w:tcPr>
          <w:p w14:paraId="5303A3AE" w14:textId="77777777" w:rsidR="00846060" w:rsidRPr="00005453" w:rsidRDefault="00846060" w:rsidP="002F689C">
            <w:pPr>
              <w:jc w:val="right"/>
              <w:rPr>
                <w:b/>
                <w:bCs/>
                <w:color w:val="000000"/>
                <w:sz w:val="6"/>
                <w:szCs w:val="6"/>
                <w:lang w:eastAsia="tr-TR"/>
              </w:rPr>
            </w:pPr>
          </w:p>
        </w:tc>
        <w:tc>
          <w:tcPr>
            <w:tcW w:w="1942" w:type="dxa"/>
            <w:tcBorders>
              <w:top w:val="nil"/>
              <w:left w:val="nil"/>
              <w:bottom w:val="nil"/>
              <w:right w:val="nil"/>
            </w:tcBorders>
            <w:shd w:val="clear" w:color="auto" w:fill="auto"/>
            <w:noWrap/>
            <w:vAlign w:val="center"/>
            <w:hideMark/>
          </w:tcPr>
          <w:p w14:paraId="4DAB1A3C" w14:textId="4E216A9C" w:rsidR="00846060" w:rsidRPr="00005453" w:rsidRDefault="00846060" w:rsidP="00846060">
            <w:pPr>
              <w:jc w:val="right"/>
              <w:rPr>
                <w:b/>
                <w:bCs/>
                <w:color w:val="000000"/>
                <w:sz w:val="6"/>
                <w:szCs w:val="6"/>
                <w:lang w:eastAsia="tr-TR"/>
              </w:rPr>
            </w:pPr>
          </w:p>
        </w:tc>
      </w:tr>
      <w:tr w:rsidR="00846060" w:rsidRPr="00005453" w14:paraId="34C7A44C" w14:textId="77777777" w:rsidTr="002F689C">
        <w:trPr>
          <w:trHeight w:val="273"/>
        </w:trPr>
        <w:tc>
          <w:tcPr>
            <w:tcW w:w="5710" w:type="dxa"/>
            <w:tcBorders>
              <w:top w:val="single" w:sz="8" w:space="0" w:color="000000"/>
              <w:left w:val="nil"/>
              <w:bottom w:val="double" w:sz="6" w:space="0" w:color="auto"/>
              <w:right w:val="nil"/>
            </w:tcBorders>
            <w:shd w:val="clear" w:color="auto" w:fill="auto"/>
            <w:noWrap/>
            <w:vAlign w:val="center"/>
            <w:hideMark/>
          </w:tcPr>
          <w:p w14:paraId="637C4467" w14:textId="77777777" w:rsidR="00846060" w:rsidRPr="00005453" w:rsidRDefault="00846060" w:rsidP="00846060">
            <w:pPr>
              <w:rPr>
                <w:b/>
                <w:bCs/>
                <w:color w:val="000000"/>
                <w:sz w:val="18"/>
                <w:szCs w:val="18"/>
                <w:lang w:eastAsia="tr-TR"/>
              </w:rPr>
            </w:pPr>
            <w:r w:rsidRPr="00005453">
              <w:rPr>
                <w:b/>
                <w:bCs/>
                <w:color w:val="000000"/>
                <w:sz w:val="18"/>
                <w:szCs w:val="18"/>
                <w:lang w:eastAsia="tr-TR"/>
              </w:rPr>
              <w:t>Türev işlemler toplamı (A+B)</w:t>
            </w:r>
          </w:p>
        </w:tc>
        <w:tc>
          <w:tcPr>
            <w:tcW w:w="1569" w:type="dxa"/>
            <w:tcBorders>
              <w:top w:val="single" w:sz="8" w:space="0" w:color="000000"/>
              <w:left w:val="nil"/>
              <w:bottom w:val="double" w:sz="6" w:space="0" w:color="auto"/>
              <w:right w:val="nil"/>
            </w:tcBorders>
            <w:shd w:val="clear" w:color="auto" w:fill="auto"/>
            <w:noWrap/>
            <w:vAlign w:val="center"/>
            <w:hideMark/>
          </w:tcPr>
          <w:p w14:paraId="31590D4B" w14:textId="05EA4E46" w:rsidR="00846060" w:rsidRPr="00005453" w:rsidRDefault="002F689C" w:rsidP="002F689C">
            <w:pPr>
              <w:jc w:val="right"/>
              <w:rPr>
                <w:b/>
                <w:bCs/>
                <w:sz w:val="18"/>
                <w:szCs w:val="18"/>
                <w:lang w:eastAsia="tr-TR"/>
              </w:rPr>
            </w:pPr>
            <w:r w:rsidRPr="00005453">
              <w:rPr>
                <w:b/>
                <w:bCs/>
                <w:sz w:val="18"/>
                <w:szCs w:val="18"/>
              </w:rPr>
              <w:t>330,738,126</w:t>
            </w:r>
          </w:p>
        </w:tc>
        <w:tc>
          <w:tcPr>
            <w:tcW w:w="1942" w:type="dxa"/>
            <w:tcBorders>
              <w:top w:val="single" w:sz="8" w:space="0" w:color="000000"/>
              <w:left w:val="nil"/>
              <w:bottom w:val="double" w:sz="6" w:space="0" w:color="auto"/>
              <w:right w:val="nil"/>
            </w:tcBorders>
            <w:shd w:val="clear" w:color="auto" w:fill="auto"/>
            <w:noWrap/>
            <w:vAlign w:val="center"/>
            <w:hideMark/>
          </w:tcPr>
          <w:p w14:paraId="405FC2F9" w14:textId="332395F0" w:rsidR="00846060" w:rsidRPr="00005453" w:rsidRDefault="00846060" w:rsidP="00846060">
            <w:pPr>
              <w:jc w:val="right"/>
              <w:rPr>
                <w:b/>
                <w:bCs/>
                <w:color w:val="000000"/>
                <w:sz w:val="18"/>
                <w:szCs w:val="18"/>
                <w:lang w:eastAsia="tr-TR"/>
              </w:rPr>
            </w:pPr>
            <w:r w:rsidRPr="00005453">
              <w:rPr>
                <w:b/>
                <w:bCs/>
                <w:color w:val="000000"/>
                <w:sz w:val="18"/>
                <w:szCs w:val="18"/>
                <w:lang w:eastAsia="tr-TR"/>
              </w:rPr>
              <w:t>149,380,666</w:t>
            </w:r>
          </w:p>
        </w:tc>
      </w:tr>
    </w:tbl>
    <w:p w14:paraId="01102EEB" w14:textId="77777777" w:rsidR="007F1884" w:rsidRPr="00005453" w:rsidRDefault="007F1884">
      <w:pPr>
        <w:rPr>
          <w:rFonts w:eastAsia="Arial Unicode MS"/>
          <w:sz w:val="16"/>
          <w:szCs w:val="16"/>
          <w:lang w:eastAsia="x-none"/>
        </w:rPr>
      </w:pPr>
      <w:r w:rsidRPr="00005453">
        <w:rPr>
          <w:rFonts w:eastAsia="Arial Unicode MS"/>
          <w:sz w:val="16"/>
          <w:szCs w:val="16"/>
        </w:rPr>
        <w:br w:type="page"/>
      </w:r>
    </w:p>
    <w:p w14:paraId="54105BFC" w14:textId="0534DFFF" w:rsidR="007A1113" w:rsidRPr="00005453" w:rsidRDefault="007A1113" w:rsidP="007A1113">
      <w:pPr>
        <w:pStyle w:val="BodyText"/>
        <w:ind w:hanging="567"/>
        <w:rPr>
          <w:b/>
          <w:bCs/>
          <w:lang w:eastAsia="zh-CN"/>
        </w:rPr>
      </w:pPr>
      <w:r w:rsidRPr="00005453">
        <w:rPr>
          <w:b/>
          <w:bCs/>
          <w:lang w:eastAsia="zh-CN"/>
        </w:rPr>
        <w:lastRenderedPageBreak/>
        <w:t>3.3.     Kredi türevlerine ve bunlardan dolayı maruz kalınan risklere ilişkin açıklamalar</w:t>
      </w:r>
    </w:p>
    <w:p w14:paraId="12A5A6D8" w14:textId="77777777" w:rsidR="007A1113" w:rsidRPr="00005453" w:rsidRDefault="007A1113" w:rsidP="007A1113">
      <w:pPr>
        <w:pStyle w:val="BodyText"/>
        <w:ind w:left="567" w:hanging="567"/>
        <w:rPr>
          <w:rFonts w:eastAsia="Arial Unicode MS"/>
          <w:sz w:val="6"/>
          <w:szCs w:val="6"/>
        </w:rPr>
      </w:pPr>
    </w:p>
    <w:p w14:paraId="77FE6D34" w14:textId="38F3AB50" w:rsidR="007A1113" w:rsidRPr="00005453" w:rsidRDefault="007A1113" w:rsidP="007A1113">
      <w:pPr>
        <w:pStyle w:val="BodyText"/>
        <w:ind w:left="567" w:hanging="567"/>
        <w:rPr>
          <w:rFonts w:eastAsia="Arial Unicode MS"/>
        </w:rPr>
      </w:pPr>
      <w:r w:rsidRPr="00005453">
        <w:rPr>
          <w:rFonts w:eastAsia="Arial Unicode MS"/>
        </w:rPr>
        <w:t xml:space="preserve">Bulunmamaktadır. </w:t>
      </w:r>
    </w:p>
    <w:p w14:paraId="76FFEAA9" w14:textId="77777777" w:rsidR="00BD660F" w:rsidRPr="00005453" w:rsidRDefault="00BD660F" w:rsidP="007A1113">
      <w:pPr>
        <w:pStyle w:val="BodyText"/>
        <w:ind w:left="567" w:hanging="567"/>
        <w:rPr>
          <w:rFonts w:eastAsia="Arial Unicode MS"/>
        </w:rPr>
      </w:pPr>
    </w:p>
    <w:p w14:paraId="76B061B1" w14:textId="7B021C5F" w:rsidR="007A1113" w:rsidRPr="00005453" w:rsidRDefault="007A1113" w:rsidP="007A1113">
      <w:pPr>
        <w:tabs>
          <w:tab w:val="left" w:pos="0"/>
        </w:tabs>
        <w:autoSpaceDE w:val="0"/>
        <w:autoSpaceDN w:val="0"/>
        <w:adjustRightInd w:val="0"/>
        <w:ind w:hanging="567"/>
        <w:jc w:val="both"/>
        <w:rPr>
          <w:b/>
          <w:bCs/>
          <w:iCs/>
        </w:rPr>
      </w:pPr>
      <w:r w:rsidRPr="00005453">
        <w:rPr>
          <w:b/>
          <w:bCs/>
          <w:iCs/>
        </w:rPr>
        <w:t>3.4.</w:t>
      </w:r>
      <w:r w:rsidRPr="00005453">
        <w:rPr>
          <w:b/>
          <w:bCs/>
          <w:iCs/>
        </w:rPr>
        <w:tab/>
        <w:t>Koşullu borçlar ve varlıklara ilişkin açıklamalar</w:t>
      </w:r>
    </w:p>
    <w:p w14:paraId="67A0C29A" w14:textId="77777777" w:rsidR="007A1113" w:rsidRPr="00005453" w:rsidRDefault="007A1113" w:rsidP="007A1113">
      <w:pPr>
        <w:autoSpaceDE w:val="0"/>
        <w:autoSpaceDN w:val="0"/>
        <w:adjustRightInd w:val="0"/>
        <w:jc w:val="both"/>
        <w:rPr>
          <w:sz w:val="6"/>
          <w:szCs w:val="6"/>
        </w:rPr>
      </w:pPr>
    </w:p>
    <w:p w14:paraId="1D567F2A" w14:textId="77777777" w:rsidR="007A1113" w:rsidRPr="00005453" w:rsidRDefault="007A1113" w:rsidP="007A1113">
      <w:pPr>
        <w:autoSpaceDE w:val="0"/>
        <w:autoSpaceDN w:val="0"/>
        <w:adjustRightInd w:val="0"/>
        <w:jc w:val="both"/>
        <w:rPr>
          <w:b/>
          <w:bCs/>
          <w:iCs/>
        </w:rPr>
      </w:pPr>
      <w:r w:rsidRPr="00005453">
        <w:t>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no’lu yönetim kurulu kararınca Türk Lirası’na çevrilmiş olup, bu tarihten itibaren Türk Lirası olarak takip edilmektedir.</w:t>
      </w:r>
    </w:p>
    <w:p w14:paraId="3B3392BD" w14:textId="77777777" w:rsidR="00BD660F" w:rsidRPr="00005453" w:rsidRDefault="00BD660F" w:rsidP="007A1113">
      <w:pPr>
        <w:pStyle w:val="BodyTextIndent2"/>
        <w:ind w:left="540" w:hanging="540"/>
        <w:rPr>
          <w:rFonts w:ascii="Times New Roman" w:hAnsi="Times New Roman"/>
          <w:color w:val="auto"/>
          <w:sz w:val="16"/>
          <w:szCs w:val="16"/>
        </w:rPr>
      </w:pPr>
    </w:p>
    <w:p w14:paraId="6B137C93" w14:textId="1B076DD0" w:rsidR="007A1113" w:rsidRPr="00005453" w:rsidRDefault="007A1113" w:rsidP="007A1113">
      <w:pPr>
        <w:autoSpaceDE w:val="0"/>
        <w:autoSpaceDN w:val="0"/>
        <w:adjustRightInd w:val="0"/>
        <w:ind w:hanging="567"/>
        <w:jc w:val="both"/>
        <w:rPr>
          <w:b/>
          <w:bCs/>
          <w:iCs/>
        </w:rPr>
      </w:pPr>
      <w:r w:rsidRPr="00005453">
        <w:rPr>
          <w:b/>
          <w:bCs/>
          <w:iCs/>
        </w:rPr>
        <w:t>3.5.</w:t>
      </w:r>
      <w:r w:rsidRPr="00005453">
        <w:rPr>
          <w:b/>
          <w:bCs/>
          <w:iCs/>
        </w:rPr>
        <w:tab/>
        <w:t xml:space="preserve">Başkaları nam ve hesabına verilen hizmetlere ilişkin açıklamalar </w:t>
      </w:r>
    </w:p>
    <w:p w14:paraId="659F09C9" w14:textId="77777777" w:rsidR="007A1113" w:rsidRPr="00005453" w:rsidRDefault="007A1113" w:rsidP="007A1113">
      <w:pPr>
        <w:autoSpaceDE w:val="0"/>
        <w:autoSpaceDN w:val="0"/>
        <w:adjustRightInd w:val="0"/>
        <w:ind w:left="540" w:hanging="540"/>
        <w:jc w:val="both"/>
        <w:rPr>
          <w:rFonts w:eastAsia="Arial Unicode MS"/>
          <w:sz w:val="6"/>
          <w:szCs w:val="6"/>
        </w:rPr>
      </w:pPr>
    </w:p>
    <w:p w14:paraId="5A204D68" w14:textId="2931CE1D" w:rsidR="00BD660F" w:rsidRPr="00005453" w:rsidRDefault="007A1113" w:rsidP="007A1113">
      <w:pPr>
        <w:pStyle w:val="BodyText"/>
      </w:pPr>
      <w:r w:rsidRPr="00005453">
        <w:t>Bulunmamaktadır.</w:t>
      </w:r>
    </w:p>
    <w:p w14:paraId="05E79807" w14:textId="46ABDCF8" w:rsidR="00BD660F" w:rsidRPr="00005453" w:rsidRDefault="00BD660F" w:rsidP="007A1113">
      <w:pPr>
        <w:pStyle w:val="BodyText"/>
      </w:pPr>
    </w:p>
    <w:p w14:paraId="564DAB10" w14:textId="4FED5475" w:rsidR="007A1113" w:rsidRPr="00005453" w:rsidRDefault="007A1113" w:rsidP="007F1884">
      <w:pPr>
        <w:tabs>
          <w:tab w:val="left" w:pos="0"/>
        </w:tabs>
        <w:autoSpaceDE w:val="0"/>
        <w:autoSpaceDN w:val="0"/>
        <w:adjustRightInd w:val="0"/>
        <w:ind w:hanging="567"/>
        <w:jc w:val="both"/>
        <w:rPr>
          <w:rFonts w:eastAsia="Arial Unicode MS"/>
          <w:b/>
          <w:sz w:val="16"/>
          <w:szCs w:val="16"/>
        </w:rPr>
      </w:pPr>
      <w:r w:rsidRPr="00005453">
        <w:rPr>
          <w:rFonts w:eastAsia="Arial Unicode MS"/>
          <w:b/>
        </w:rPr>
        <w:t xml:space="preserve">3.6. </w:t>
      </w:r>
      <w:r w:rsidRPr="00005453">
        <w:rPr>
          <w:rFonts w:eastAsia="Arial Unicode MS"/>
          <w:b/>
        </w:rPr>
        <w:tab/>
        <w:t>Banka’nın uluslararası derecelendirme kuruluşlarına yaptırmış oldukları derecelendirmeye ilişkin özet bilgiler</w:t>
      </w:r>
    </w:p>
    <w:p w14:paraId="2B562B1C" w14:textId="579B3FA8" w:rsidR="00B67518" w:rsidRPr="00005453" w:rsidRDefault="00B67518" w:rsidP="0093339C">
      <w:pPr>
        <w:tabs>
          <w:tab w:val="left" w:pos="709"/>
        </w:tabs>
        <w:autoSpaceDE w:val="0"/>
        <w:autoSpaceDN w:val="0"/>
        <w:adjustRightInd w:val="0"/>
        <w:ind w:hanging="567"/>
        <w:rPr>
          <w:lang w:eastAsia="en-GB"/>
        </w:rPr>
      </w:pPr>
    </w:p>
    <w:tbl>
      <w:tblPr>
        <w:tblW w:w="8376" w:type="dxa"/>
        <w:tblCellMar>
          <w:left w:w="70" w:type="dxa"/>
          <w:right w:w="70" w:type="dxa"/>
        </w:tblCellMar>
        <w:tblLook w:val="04A0" w:firstRow="1" w:lastRow="0" w:firstColumn="1" w:lastColumn="0" w:noHBand="0" w:noVBand="1"/>
      </w:tblPr>
      <w:tblGrid>
        <w:gridCol w:w="7000"/>
        <w:gridCol w:w="1376"/>
      </w:tblGrid>
      <w:tr w:rsidR="00B67518" w:rsidRPr="00005453" w14:paraId="5E9654A5" w14:textId="77777777" w:rsidTr="00C82423">
        <w:trPr>
          <w:divId w:val="1283346577"/>
          <w:trHeight w:val="35"/>
        </w:trPr>
        <w:tc>
          <w:tcPr>
            <w:tcW w:w="7000" w:type="dxa"/>
            <w:tcBorders>
              <w:top w:val="single" w:sz="4" w:space="0" w:color="auto"/>
              <w:left w:val="single" w:sz="4" w:space="0" w:color="auto"/>
              <w:right w:val="single" w:sz="4" w:space="0" w:color="auto"/>
            </w:tcBorders>
            <w:shd w:val="clear" w:color="auto" w:fill="auto"/>
            <w:vAlign w:val="center"/>
            <w:hideMark/>
          </w:tcPr>
          <w:p w14:paraId="69DDD936" w14:textId="5FC204B8" w:rsidR="00B67518" w:rsidRPr="00005453" w:rsidRDefault="00B67518" w:rsidP="00B67518">
            <w:pPr>
              <w:rPr>
                <w:b/>
                <w:bCs/>
                <w:color w:val="000000"/>
                <w:sz w:val="18"/>
                <w:szCs w:val="18"/>
                <w:lang w:eastAsia="tr-TR"/>
              </w:rPr>
            </w:pPr>
            <w:r w:rsidRPr="00005453">
              <w:rPr>
                <w:b/>
                <w:bCs/>
                <w:color w:val="000000"/>
                <w:sz w:val="18"/>
                <w:szCs w:val="18"/>
                <w:lang w:eastAsia="tr-TR"/>
              </w:rPr>
              <w:t xml:space="preserve">Fitch Rating’s </w:t>
            </w:r>
            <w:r w:rsidR="00E80388" w:rsidRPr="00005453">
              <w:rPr>
                <w:b/>
                <w:bCs/>
                <w:color w:val="000000"/>
                <w:sz w:val="18"/>
                <w:szCs w:val="18"/>
                <w:lang w:eastAsia="tr-TR"/>
              </w:rPr>
              <w:t>E</w:t>
            </w:r>
            <w:r w:rsidR="00A36ADB" w:rsidRPr="00005453">
              <w:rPr>
                <w:b/>
                <w:bCs/>
                <w:color w:val="000000"/>
                <w:sz w:val="18"/>
                <w:szCs w:val="18"/>
                <w:lang w:eastAsia="tr-TR"/>
              </w:rPr>
              <w:t>kim</w:t>
            </w:r>
            <w:r w:rsidRPr="00005453">
              <w:rPr>
                <w:b/>
                <w:bCs/>
                <w:color w:val="000000"/>
                <w:sz w:val="18"/>
                <w:szCs w:val="18"/>
                <w:lang w:eastAsia="tr-TR"/>
              </w:rPr>
              <w:t xml:space="preserve"> 202</w:t>
            </w:r>
            <w:r w:rsidR="00A36ADB" w:rsidRPr="00005453">
              <w:rPr>
                <w:b/>
                <w:bCs/>
                <w:color w:val="000000"/>
                <w:sz w:val="18"/>
                <w:szCs w:val="18"/>
                <w:lang w:eastAsia="tr-TR"/>
              </w:rPr>
              <w:t>4</w:t>
            </w:r>
          </w:p>
        </w:tc>
        <w:tc>
          <w:tcPr>
            <w:tcW w:w="1376" w:type="dxa"/>
            <w:tcBorders>
              <w:top w:val="single" w:sz="4" w:space="0" w:color="auto"/>
              <w:left w:val="single" w:sz="4" w:space="0" w:color="auto"/>
              <w:right w:val="single" w:sz="4" w:space="0" w:color="auto"/>
            </w:tcBorders>
            <w:shd w:val="clear" w:color="auto" w:fill="auto"/>
            <w:vAlign w:val="center"/>
            <w:hideMark/>
          </w:tcPr>
          <w:p w14:paraId="7EE2D1C4" w14:textId="77777777" w:rsidR="00B67518" w:rsidRPr="00005453" w:rsidRDefault="00B67518" w:rsidP="00B67518">
            <w:pPr>
              <w:jc w:val="right"/>
              <w:rPr>
                <w:b/>
                <w:bCs/>
                <w:color w:val="000000"/>
                <w:sz w:val="18"/>
                <w:szCs w:val="18"/>
                <w:lang w:eastAsia="tr-TR"/>
              </w:rPr>
            </w:pPr>
            <w:r w:rsidRPr="00005453">
              <w:rPr>
                <w:b/>
                <w:bCs/>
                <w:color w:val="000000"/>
                <w:sz w:val="18"/>
                <w:szCs w:val="18"/>
                <w:lang w:eastAsia="tr-TR"/>
              </w:rPr>
              <w:t>Notlar</w:t>
            </w:r>
          </w:p>
        </w:tc>
      </w:tr>
      <w:tr w:rsidR="00B67518" w:rsidRPr="00005453" w14:paraId="4D96D9D3" w14:textId="77777777" w:rsidTr="00C82423">
        <w:trPr>
          <w:divId w:val="1283346577"/>
          <w:trHeight w:val="35"/>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483A354D" w14:textId="77777777" w:rsidR="00B67518" w:rsidRPr="00005453" w:rsidRDefault="00B67518" w:rsidP="00B67518">
            <w:pPr>
              <w:rPr>
                <w:color w:val="000000"/>
                <w:sz w:val="2"/>
                <w:szCs w:val="2"/>
                <w:lang w:eastAsia="tr-TR"/>
              </w:rPr>
            </w:pPr>
            <w:r w:rsidRPr="00005453">
              <w:rPr>
                <w:color w:val="000000"/>
                <w:sz w:val="2"/>
                <w:szCs w:val="2"/>
                <w:lang w:eastAsia="tr-TR"/>
              </w:rPr>
              <w:t> </w:t>
            </w:r>
          </w:p>
        </w:tc>
        <w:tc>
          <w:tcPr>
            <w:tcW w:w="1376" w:type="dxa"/>
            <w:tcBorders>
              <w:left w:val="single" w:sz="4" w:space="0" w:color="auto"/>
              <w:bottom w:val="single" w:sz="4" w:space="0" w:color="auto"/>
              <w:right w:val="single" w:sz="4" w:space="0" w:color="auto"/>
            </w:tcBorders>
            <w:shd w:val="clear" w:color="auto" w:fill="auto"/>
            <w:vAlign w:val="center"/>
            <w:hideMark/>
          </w:tcPr>
          <w:p w14:paraId="7C1BB25F" w14:textId="0F27CE97" w:rsidR="00B67518" w:rsidRPr="00005453" w:rsidRDefault="00B67518" w:rsidP="00B02444">
            <w:pPr>
              <w:rPr>
                <w:color w:val="000000"/>
                <w:sz w:val="18"/>
                <w:szCs w:val="18"/>
                <w:lang w:eastAsia="tr-TR"/>
              </w:rPr>
            </w:pPr>
          </w:p>
        </w:tc>
      </w:tr>
      <w:tr w:rsidR="00B34EC3" w:rsidRPr="00005453" w14:paraId="32343C31" w14:textId="77777777" w:rsidTr="00B34EC3">
        <w:trPr>
          <w:divId w:val="1283346577"/>
          <w:trHeight w:val="35"/>
        </w:trPr>
        <w:tc>
          <w:tcPr>
            <w:tcW w:w="7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F6279" w14:textId="6BC5CE73" w:rsidR="00B34EC3" w:rsidRPr="00005453" w:rsidRDefault="00B34EC3" w:rsidP="00B34EC3">
            <w:pPr>
              <w:rPr>
                <w:color w:val="000000"/>
                <w:sz w:val="18"/>
                <w:szCs w:val="18"/>
                <w:lang w:eastAsia="tr-TR"/>
              </w:rPr>
            </w:pPr>
            <w:r w:rsidRPr="00005453">
              <w:rPr>
                <w:color w:val="000000"/>
                <w:sz w:val="18"/>
                <w:szCs w:val="18"/>
              </w:rPr>
              <w:t>Yabancı para cinsinden uzun vadeli derecelendirme notu</w:t>
            </w:r>
          </w:p>
        </w:tc>
        <w:tc>
          <w:tcPr>
            <w:tcW w:w="1376" w:type="dxa"/>
            <w:tcBorders>
              <w:top w:val="nil"/>
              <w:left w:val="nil"/>
              <w:bottom w:val="single" w:sz="4" w:space="0" w:color="auto"/>
              <w:right w:val="single" w:sz="4" w:space="0" w:color="auto"/>
            </w:tcBorders>
            <w:shd w:val="clear" w:color="auto" w:fill="auto"/>
            <w:vAlign w:val="center"/>
            <w:hideMark/>
          </w:tcPr>
          <w:p w14:paraId="47E1883C" w14:textId="46979281" w:rsidR="00B34EC3" w:rsidRPr="00005453" w:rsidRDefault="00B34EC3" w:rsidP="00B34EC3">
            <w:pPr>
              <w:rPr>
                <w:color w:val="000000"/>
                <w:sz w:val="18"/>
                <w:szCs w:val="18"/>
                <w:lang w:eastAsia="tr-TR"/>
              </w:rPr>
            </w:pPr>
            <w:r w:rsidRPr="00005453">
              <w:rPr>
                <w:color w:val="000000"/>
                <w:sz w:val="18"/>
                <w:szCs w:val="18"/>
              </w:rPr>
              <w:t>BB-</w:t>
            </w:r>
          </w:p>
        </w:tc>
      </w:tr>
      <w:tr w:rsidR="00B34EC3" w:rsidRPr="00005453" w14:paraId="228C6875" w14:textId="77777777" w:rsidTr="00B34EC3">
        <w:trPr>
          <w:divId w:val="1283346577"/>
          <w:trHeight w:val="35"/>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18F5E7D7" w14:textId="015AE1D4" w:rsidR="00B34EC3" w:rsidRPr="00005453" w:rsidRDefault="00B34EC3" w:rsidP="00B34EC3">
            <w:pPr>
              <w:rPr>
                <w:color w:val="000000"/>
                <w:sz w:val="18"/>
                <w:szCs w:val="18"/>
                <w:lang w:eastAsia="tr-TR"/>
              </w:rPr>
            </w:pPr>
            <w:r w:rsidRPr="00005453">
              <w:rPr>
                <w:color w:val="000000"/>
                <w:sz w:val="18"/>
                <w:szCs w:val="18"/>
              </w:rPr>
              <w:t>Yerel para cinsinden kısa vadeli derecelendirme notu</w:t>
            </w:r>
          </w:p>
        </w:tc>
        <w:tc>
          <w:tcPr>
            <w:tcW w:w="1376" w:type="dxa"/>
            <w:tcBorders>
              <w:top w:val="nil"/>
              <w:left w:val="nil"/>
              <w:bottom w:val="single" w:sz="4" w:space="0" w:color="auto"/>
              <w:right w:val="single" w:sz="4" w:space="0" w:color="auto"/>
            </w:tcBorders>
            <w:shd w:val="clear" w:color="auto" w:fill="auto"/>
            <w:vAlign w:val="center"/>
            <w:hideMark/>
          </w:tcPr>
          <w:p w14:paraId="2CCBD3E3" w14:textId="1DBF7B3B" w:rsidR="00B34EC3" w:rsidRPr="00005453" w:rsidRDefault="00B34EC3" w:rsidP="00B34EC3">
            <w:pPr>
              <w:rPr>
                <w:color w:val="000000"/>
                <w:sz w:val="18"/>
                <w:szCs w:val="18"/>
                <w:lang w:eastAsia="tr-TR"/>
              </w:rPr>
            </w:pPr>
            <w:r w:rsidRPr="00005453">
              <w:rPr>
                <w:color w:val="000000"/>
                <w:sz w:val="18"/>
                <w:szCs w:val="16"/>
              </w:rPr>
              <w:t>B</w:t>
            </w:r>
          </w:p>
        </w:tc>
      </w:tr>
      <w:tr w:rsidR="00B34EC3" w:rsidRPr="00005453" w14:paraId="5C96280F" w14:textId="77777777" w:rsidTr="00B34EC3">
        <w:trPr>
          <w:divId w:val="1283346577"/>
          <w:trHeight w:val="35"/>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7F9024CB" w14:textId="249B0AC0" w:rsidR="00B34EC3" w:rsidRPr="00005453" w:rsidRDefault="00B34EC3" w:rsidP="00B34EC3">
            <w:pPr>
              <w:rPr>
                <w:color w:val="000000"/>
                <w:sz w:val="18"/>
                <w:szCs w:val="18"/>
                <w:lang w:eastAsia="tr-TR"/>
              </w:rPr>
            </w:pPr>
            <w:r w:rsidRPr="00005453">
              <w:rPr>
                <w:color w:val="000000"/>
                <w:sz w:val="18"/>
                <w:szCs w:val="18"/>
              </w:rPr>
              <w:t>Yabancı para cinsinden kısa vadeli derecelendirme notu</w:t>
            </w:r>
          </w:p>
        </w:tc>
        <w:tc>
          <w:tcPr>
            <w:tcW w:w="1376" w:type="dxa"/>
            <w:tcBorders>
              <w:top w:val="nil"/>
              <w:left w:val="nil"/>
              <w:bottom w:val="single" w:sz="4" w:space="0" w:color="auto"/>
              <w:right w:val="single" w:sz="4" w:space="0" w:color="auto"/>
            </w:tcBorders>
            <w:shd w:val="clear" w:color="auto" w:fill="auto"/>
            <w:vAlign w:val="center"/>
            <w:hideMark/>
          </w:tcPr>
          <w:p w14:paraId="57E08D36" w14:textId="7F770567" w:rsidR="00B34EC3" w:rsidRPr="00005453" w:rsidRDefault="00B34EC3" w:rsidP="00B34EC3">
            <w:pPr>
              <w:rPr>
                <w:color w:val="000000"/>
                <w:sz w:val="18"/>
                <w:szCs w:val="18"/>
                <w:lang w:eastAsia="tr-TR"/>
              </w:rPr>
            </w:pPr>
            <w:r w:rsidRPr="00005453">
              <w:rPr>
                <w:color w:val="000000"/>
                <w:sz w:val="18"/>
                <w:szCs w:val="18"/>
              </w:rPr>
              <w:t>B</w:t>
            </w:r>
          </w:p>
        </w:tc>
      </w:tr>
      <w:tr w:rsidR="00B34EC3" w:rsidRPr="00005453" w14:paraId="072C7167" w14:textId="77777777" w:rsidTr="00B34EC3">
        <w:trPr>
          <w:divId w:val="1283346577"/>
          <w:trHeight w:val="35"/>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078BA051" w14:textId="53AF50DB" w:rsidR="00B34EC3" w:rsidRPr="00005453" w:rsidRDefault="00B34EC3" w:rsidP="00B34EC3">
            <w:pPr>
              <w:rPr>
                <w:color w:val="000000"/>
                <w:sz w:val="18"/>
                <w:szCs w:val="18"/>
                <w:lang w:eastAsia="tr-TR"/>
              </w:rPr>
            </w:pPr>
            <w:r w:rsidRPr="00005453">
              <w:rPr>
                <w:color w:val="000000"/>
                <w:sz w:val="18"/>
                <w:szCs w:val="18"/>
              </w:rPr>
              <w:t>Finansal Kapasite Oranı</w:t>
            </w:r>
          </w:p>
        </w:tc>
        <w:tc>
          <w:tcPr>
            <w:tcW w:w="1376" w:type="dxa"/>
            <w:tcBorders>
              <w:top w:val="nil"/>
              <w:left w:val="nil"/>
              <w:bottom w:val="single" w:sz="4" w:space="0" w:color="auto"/>
              <w:right w:val="single" w:sz="4" w:space="0" w:color="auto"/>
            </w:tcBorders>
            <w:shd w:val="clear" w:color="auto" w:fill="auto"/>
            <w:vAlign w:val="center"/>
            <w:hideMark/>
          </w:tcPr>
          <w:p w14:paraId="1292073D" w14:textId="17F5A542" w:rsidR="00B34EC3" w:rsidRPr="00005453" w:rsidRDefault="00B34EC3" w:rsidP="00B34EC3">
            <w:pPr>
              <w:rPr>
                <w:color w:val="000000"/>
                <w:sz w:val="16"/>
                <w:szCs w:val="16"/>
                <w:lang w:eastAsia="tr-TR"/>
              </w:rPr>
            </w:pPr>
            <w:r w:rsidRPr="00005453">
              <w:rPr>
                <w:color w:val="000000"/>
                <w:sz w:val="18"/>
                <w:szCs w:val="16"/>
              </w:rPr>
              <w:t>B+</w:t>
            </w:r>
          </w:p>
        </w:tc>
      </w:tr>
      <w:tr w:rsidR="00B34EC3" w:rsidRPr="00005453" w14:paraId="212D38BB" w14:textId="77777777" w:rsidTr="00B34EC3">
        <w:trPr>
          <w:divId w:val="1283346577"/>
          <w:trHeight w:val="35"/>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4F071F69" w14:textId="166BEDC6" w:rsidR="00B34EC3" w:rsidRPr="00005453" w:rsidRDefault="00B34EC3" w:rsidP="00B34EC3">
            <w:pPr>
              <w:rPr>
                <w:color w:val="000000"/>
                <w:sz w:val="18"/>
                <w:szCs w:val="18"/>
                <w:lang w:eastAsia="tr-TR"/>
              </w:rPr>
            </w:pPr>
            <w:r w:rsidRPr="00005453">
              <w:rPr>
                <w:color w:val="000000"/>
                <w:sz w:val="18"/>
                <w:szCs w:val="18"/>
              </w:rPr>
              <w:t>Yerel para cinsinden uzun vadeli derecelendirme notu</w:t>
            </w:r>
          </w:p>
        </w:tc>
        <w:tc>
          <w:tcPr>
            <w:tcW w:w="1376" w:type="dxa"/>
            <w:tcBorders>
              <w:top w:val="nil"/>
              <w:left w:val="nil"/>
              <w:bottom w:val="single" w:sz="4" w:space="0" w:color="auto"/>
              <w:right w:val="single" w:sz="4" w:space="0" w:color="auto"/>
            </w:tcBorders>
            <w:shd w:val="clear" w:color="auto" w:fill="auto"/>
            <w:vAlign w:val="center"/>
            <w:hideMark/>
          </w:tcPr>
          <w:p w14:paraId="5F4CD250" w14:textId="639B0E0C" w:rsidR="00B34EC3" w:rsidRPr="00005453" w:rsidRDefault="00B34EC3" w:rsidP="00B34EC3">
            <w:pPr>
              <w:rPr>
                <w:color w:val="000000"/>
                <w:sz w:val="18"/>
                <w:szCs w:val="16"/>
                <w:lang w:eastAsia="tr-TR"/>
              </w:rPr>
            </w:pPr>
            <w:r w:rsidRPr="00005453">
              <w:rPr>
                <w:color w:val="000000"/>
                <w:sz w:val="18"/>
                <w:szCs w:val="18"/>
              </w:rPr>
              <w:t>BB-</w:t>
            </w:r>
          </w:p>
        </w:tc>
      </w:tr>
      <w:tr w:rsidR="00B34EC3" w:rsidRPr="00005453" w14:paraId="48F3F897" w14:textId="77777777" w:rsidTr="00B34EC3">
        <w:trPr>
          <w:divId w:val="1283346577"/>
          <w:trHeight w:val="35"/>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5EE62676" w14:textId="41998317" w:rsidR="00B34EC3" w:rsidRPr="00005453" w:rsidRDefault="00B34EC3" w:rsidP="00B34EC3">
            <w:pPr>
              <w:rPr>
                <w:color w:val="000000"/>
                <w:sz w:val="18"/>
                <w:szCs w:val="18"/>
                <w:lang w:eastAsia="tr-TR"/>
              </w:rPr>
            </w:pPr>
            <w:r w:rsidRPr="00005453">
              <w:rPr>
                <w:color w:val="000000"/>
                <w:sz w:val="18"/>
                <w:szCs w:val="18"/>
              </w:rPr>
              <w:t>Destek Derecelendirmesi</w:t>
            </w:r>
          </w:p>
        </w:tc>
        <w:tc>
          <w:tcPr>
            <w:tcW w:w="1376" w:type="dxa"/>
            <w:tcBorders>
              <w:top w:val="nil"/>
              <w:left w:val="nil"/>
              <w:bottom w:val="single" w:sz="4" w:space="0" w:color="auto"/>
              <w:right w:val="single" w:sz="4" w:space="0" w:color="auto"/>
            </w:tcBorders>
            <w:shd w:val="clear" w:color="auto" w:fill="auto"/>
            <w:vAlign w:val="center"/>
            <w:hideMark/>
          </w:tcPr>
          <w:p w14:paraId="3E5E767A" w14:textId="6D08A38B" w:rsidR="00B34EC3" w:rsidRPr="00005453" w:rsidRDefault="00B34EC3" w:rsidP="00B34EC3">
            <w:pPr>
              <w:rPr>
                <w:color w:val="000000"/>
                <w:sz w:val="18"/>
                <w:szCs w:val="16"/>
                <w:lang w:eastAsia="tr-TR"/>
              </w:rPr>
            </w:pPr>
            <w:r w:rsidRPr="00005453">
              <w:rPr>
                <w:color w:val="000000"/>
                <w:sz w:val="18"/>
                <w:szCs w:val="16"/>
              </w:rPr>
              <w:t>WD</w:t>
            </w:r>
          </w:p>
        </w:tc>
      </w:tr>
    </w:tbl>
    <w:p w14:paraId="2333CB8B" w14:textId="43380817" w:rsidR="00D22163" w:rsidRPr="00005453" w:rsidRDefault="00D22163" w:rsidP="0093339C">
      <w:pPr>
        <w:tabs>
          <w:tab w:val="left" w:pos="709"/>
        </w:tabs>
        <w:autoSpaceDE w:val="0"/>
        <w:autoSpaceDN w:val="0"/>
        <w:adjustRightInd w:val="0"/>
        <w:ind w:hanging="567"/>
        <w:rPr>
          <w:lang w:val="en-GB" w:eastAsia="en-GB"/>
        </w:rPr>
      </w:pPr>
    </w:p>
    <w:p w14:paraId="74582E87" w14:textId="670B42FB" w:rsidR="000F096F" w:rsidRPr="00005453" w:rsidRDefault="0093339C" w:rsidP="0093339C">
      <w:pPr>
        <w:tabs>
          <w:tab w:val="left" w:pos="709"/>
        </w:tabs>
        <w:autoSpaceDE w:val="0"/>
        <w:autoSpaceDN w:val="0"/>
        <w:adjustRightInd w:val="0"/>
        <w:ind w:hanging="567"/>
        <w:rPr>
          <w:rFonts w:eastAsia="Arial Unicode MS"/>
          <w:b/>
        </w:rPr>
      </w:pPr>
      <w:r w:rsidRPr="00005453">
        <w:rPr>
          <w:rFonts w:eastAsia="Arial Unicode MS"/>
          <w:b/>
        </w:rPr>
        <w:t>4</w:t>
      </w:r>
      <w:r w:rsidR="00E253C8" w:rsidRPr="00005453">
        <w:rPr>
          <w:rFonts w:eastAsia="Arial Unicode MS"/>
          <w:b/>
        </w:rPr>
        <w:t>.</w:t>
      </w:r>
      <w:r w:rsidR="00E253C8" w:rsidRPr="00005453">
        <w:rPr>
          <w:rFonts w:eastAsia="Arial Unicode MS"/>
          <w:b/>
        </w:rPr>
        <w:tab/>
      </w:r>
      <w:r w:rsidR="005E0D58" w:rsidRPr="00005453">
        <w:rPr>
          <w:rFonts w:eastAsia="Arial Unicode MS"/>
          <w:b/>
        </w:rPr>
        <w:t xml:space="preserve">Gelir </w:t>
      </w:r>
      <w:r w:rsidR="00BE32D9" w:rsidRPr="00005453">
        <w:rPr>
          <w:rFonts w:eastAsia="Arial Unicode MS"/>
          <w:b/>
        </w:rPr>
        <w:t>tablosuna ilişkin açıklama ve dipnotlar</w:t>
      </w:r>
    </w:p>
    <w:p w14:paraId="75FDD525" w14:textId="77777777" w:rsidR="000F096F" w:rsidRPr="00005453" w:rsidRDefault="000F096F" w:rsidP="000F096F">
      <w:pPr>
        <w:autoSpaceDE w:val="0"/>
        <w:autoSpaceDN w:val="0"/>
        <w:adjustRightInd w:val="0"/>
        <w:rPr>
          <w:rFonts w:eastAsia="Arial Unicode MS"/>
          <w:sz w:val="16"/>
          <w:szCs w:val="16"/>
        </w:rPr>
      </w:pPr>
    </w:p>
    <w:p w14:paraId="25E6E00F" w14:textId="2A519E8A" w:rsidR="000F096F" w:rsidRPr="00005453" w:rsidRDefault="0093339C" w:rsidP="0093339C">
      <w:pPr>
        <w:tabs>
          <w:tab w:val="left" w:pos="709"/>
        </w:tabs>
        <w:autoSpaceDE w:val="0"/>
        <w:autoSpaceDN w:val="0"/>
        <w:adjustRightInd w:val="0"/>
        <w:ind w:hanging="567"/>
        <w:rPr>
          <w:rFonts w:eastAsia="Arial Unicode MS"/>
        </w:rPr>
      </w:pPr>
      <w:r w:rsidRPr="00005453">
        <w:rPr>
          <w:rFonts w:eastAsia="Arial Unicode MS"/>
          <w:b/>
        </w:rPr>
        <w:t>4</w:t>
      </w:r>
      <w:r w:rsidR="00E253C8" w:rsidRPr="00005453">
        <w:rPr>
          <w:rFonts w:eastAsia="Arial Unicode MS"/>
          <w:b/>
        </w:rPr>
        <w:t>.</w:t>
      </w:r>
      <w:r w:rsidRPr="00005453">
        <w:rPr>
          <w:rFonts w:eastAsia="Arial Unicode MS"/>
          <w:b/>
        </w:rPr>
        <w:t>1</w:t>
      </w:r>
      <w:r w:rsidR="00E253C8" w:rsidRPr="00005453">
        <w:rPr>
          <w:rFonts w:eastAsia="Arial Unicode MS"/>
        </w:rPr>
        <w:tab/>
      </w:r>
      <w:proofErr w:type="gramStart"/>
      <w:r w:rsidR="00E253C8" w:rsidRPr="00005453">
        <w:rPr>
          <w:rFonts w:eastAsia="Arial Unicode MS"/>
          <w:b/>
        </w:rPr>
        <w:t>Kar</w:t>
      </w:r>
      <w:proofErr w:type="gramEnd"/>
      <w:r w:rsidR="00E253C8" w:rsidRPr="00005453">
        <w:rPr>
          <w:rFonts w:eastAsia="Arial Unicode MS"/>
          <w:b/>
        </w:rPr>
        <w:t xml:space="preserve"> payı gelirlerine ilişkin bilgiler</w:t>
      </w:r>
    </w:p>
    <w:p w14:paraId="252E5D6B" w14:textId="77777777" w:rsidR="000F096F" w:rsidRPr="00005453" w:rsidRDefault="000F096F" w:rsidP="000F096F">
      <w:pPr>
        <w:autoSpaceDE w:val="0"/>
        <w:autoSpaceDN w:val="0"/>
        <w:adjustRightInd w:val="0"/>
        <w:rPr>
          <w:b/>
          <w:bCs/>
          <w:iCs/>
          <w:sz w:val="16"/>
          <w:szCs w:val="16"/>
        </w:rPr>
      </w:pPr>
    </w:p>
    <w:p w14:paraId="7EC28DA9" w14:textId="183BCCA2" w:rsidR="000F096F" w:rsidRPr="00005453" w:rsidRDefault="0093339C" w:rsidP="0093339C">
      <w:pPr>
        <w:tabs>
          <w:tab w:val="num" w:pos="709"/>
        </w:tabs>
        <w:autoSpaceDE w:val="0"/>
        <w:autoSpaceDN w:val="0"/>
        <w:adjustRightInd w:val="0"/>
        <w:ind w:hanging="567"/>
      </w:pPr>
      <w:r w:rsidRPr="00005453">
        <w:rPr>
          <w:rFonts w:eastAsia="Arial Unicode MS"/>
          <w:b/>
          <w:bCs/>
          <w:sz w:val="18"/>
          <w:szCs w:val="18"/>
        </w:rPr>
        <w:t>4</w:t>
      </w:r>
      <w:r w:rsidR="00D35A9A" w:rsidRPr="00005453">
        <w:rPr>
          <w:rFonts w:eastAsia="Arial Unicode MS"/>
          <w:b/>
          <w:bCs/>
          <w:sz w:val="18"/>
          <w:szCs w:val="18"/>
        </w:rPr>
        <w:t>.</w:t>
      </w:r>
      <w:r w:rsidRPr="00005453">
        <w:rPr>
          <w:rFonts w:eastAsia="Arial Unicode MS"/>
          <w:b/>
          <w:bCs/>
          <w:sz w:val="18"/>
          <w:szCs w:val="18"/>
        </w:rPr>
        <w:t>1.1</w:t>
      </w:r>
      <w:r w:rsidR="00D35A9A" w:rsidRPr="00005453">
        <w:rPr>
          <w:rFonts w:eastAsia="Arial Unicode MS"/>
          <w:b/>
          <w:bCs/>
          <w:sz w:val="18"/>
          <w:szCs w:val="18"/>
        </w:rPr>
        <w:tab/>
      </w:r>
      <w:r w:rsidR="00E253C8" w:rsidRPr="00005453">
        <w:rPr>
          <w:b/>
        </w:rPr>
        <w:t xml:space="preserve">Kredilerden alınan </w:t>
      </w:r>
      <w:proofErr w:type="gramStart"/>
      <w:r w:rsidR="00E253C8" w:rsidRPr="00005453">
        <w:rPr>
          <w:b/>
        </w:rPr>
        <w:t>kar</w:t>
      </w:r>
      <w:proofErr w:type="gramEnd"/>
      <w:r w:rsidR="00E253C8" w:rsidRPr="00005453">
        <w:rPr>
          <w:b/>
        </w:rPr>
        <w:t xml:space="preserve"> payı gelirlerine ilişkin bilgiler</w:t>
      </w:r>
    </w:p>
    <w:p w14:paraId="732516F3" w14:textId="2C2441AC" w:rsidR="00BD5ADE" w:rsidRPr="00005453" w:rsidRDefault="00BD5ADE" w:rsidP="0093339C">
      <w:pPr>
        <w:tabs>
          <w:tab w:val="num" w:pos="709"/>
          <w:tab w:val="num" w:pos="2880"/>
        </w:tabs>
        <w:autoSpaceDE w:val="0"/>
        <w:autoSpaceDN w:val="0"/>
        <w:adjustRightInd w:val="0"/>
        <w:ind w:hanging="567"/>
        <w:rPr>
          <w:lang w:val="de-DE" w:eastAsia="en-GB"/>
        </w:rPr>
      </w:pPr>
    </w:p>
    <w:tbl>
      <w:tblPr>
        <w:tblW w:w="9198" w:type="dxa"/>
        <w:tblCellMar>
          <w:left w:w="70" w:type="dxa"/>
          <w:right w:w="70" w:type="dxa"/>
        </w:tblCellMar>
        <w:tblLook w:val="04A0" w:firstRow="1" w:lastRow="0" w:firstColumn="1" w:lastColumn="0" w:noHBand="0" w:noVBand="1"/>
      </w:tblPr>
      <w:tblGrid>
        <w:gridCol w:w="4253"/>
        <w:gridCol w:w="1417"/>
        <w:gridCol w:w="1276"/>
        <w:gridCol w:w="134"/>
        <w:gridCol w:w="1000"/>
        <w:gridCol w:w="1118"/>
      </w:tblGrid>
      <w:tr w:rsidR="004A537D" w:rsidRPr="00005453" w14:paraId="7EED5AFE" w14:textId="77777777" w:rsidTr="00614CD2">
        <w:trPr>
          <w:divId w:val="1470395834"/>
          <w:trHeight w:val="249"/>
        </w:trPr>
        <w:tc>
          <w:tcPr>
            <w:tcW w:w="4253" w:type="dxa"/>
            <w:vMerge w:val="restart"/>
            <w:tcBorders>
              <w:top w:val="double" w:sz="6" w:space="0" w:color="auto"/>
              <w:left w:val="nil"/>
              <w:right w:val="nil"/>
            </w:tcBorders>
            <w:shd w:val="clear" w:color="auto" w:fill="auto"/>
            <w:vAlign w:val="center"/>
            <w:hideMark/>
          </w:tcPr>
          <w:p w14:paraId="52D17715" w14:textId="77777777" w:rsidR="004A537D" w:rsidRPr="00005453" w:rsidRDefault="004A537D" w:rsidP="00BD5ADE">
            <w:pPr>
              <w:jc w:val="both"/>
              <w:rPr>
                <w:color w:val="000000"/>
                <w:sz w:val="18"/>
                <w:szCs w:val="18"/>
                <w:lang w:eastAsia="tr-TR"/>
              </w:rPr>
            </w:pPr>
            <w:r w:rsidRPr="00005453">
              <w:rPr>
                <w:color w:val="000000"/>
                <w:sz w:val="18"/>
                <w:szCs w:val="18"/>
                <w:lang w:eastAsia="tr-TR"/>
              </w:rPr>
              <w:t> </w:t>
            </w:r>
          </w:p>
          <w:p w14:paraId="0D0491B1" w14:textId="48D24DF3" w:rsidR="004A537D" w:rsidRPr="00005453" w:rsidRDefault="004A537D" w:rsidP="00BD5ADE">
            <w:pPr>
              <w:jc w:val="both"/>
              <w:rPr>
                <w:color w:val="000000"/>
                <w:sz w:val="18"/>
                <w:szCs w:val="18"/>
                <w:lang w:eastAsia="tr-TR"/>
              </w:rPr>
            </w:pPr>
            <w:r w:rsidRPr="00005453">
              <w:rPr>
                <w:b/>
                <w:bCs/>
                <w:color w:val="000000"/>
                <w:sz w:val="18"/>
                <w:szCs w:val="18"/>
                <w:lang w:eastAsia="tr-TR"/>
              </w:rPr>
              <w:t> </w:t>
            </w:r>
          </w:p>
        </w:tc>
        <w:tc>
          <w:tcPr>
            <w:tcW w:w="2827" w:type="dxa"/>
            <w:gridSpan w:val="3"/>
            <w:tcBorders>
              <w:top w:val="double" w:sz="6" w:space="0" w:color="auto"/>
              <w:left w:val="nil"/>
              <w:bottom w:val="single" w:sz="8" w:space="0" w:color="auto"/>
              <w:right w:val="nil"/>
            </w:tcBorders>
            <w:shd w:val="clear" w:color="auto" w:fill="auto"/>
            <w:vAlign w:val="center"/>
            <w:hideMark/>
          </w:tcPr>
          <w:p w14:paraId="0355E62E" w14:textId="77777777" w:rsidR="004A537D" w:rsidRPr="00005453" w:rsidRDefault="004A537D" w:rsidP="00614CD2">
            <w:pPr>
              <w:jc w:val="right"/>
              <w:rPr>
                <w:b/>
                <w:bCs/>
                <w:color w:val="000000"/>
                <w:sz w:val="18"/>
                <w:szCs w:val="18"/>
                <w:lang w:eastAsia="tr-TR"/>
              </w:rPr>
            </w:pPr>
            <w:r w:rsidRPr="00005453">
              <w:rPr>
                <w:b/>
                <w:bCs/>
                <w:color w:val="000000"/>
                <w:sz w:val="18"/>
                <w:szCs w:val="18"/>
                <w:lang w:eastAsia="tr-TR"/>
              </w:rPr>
              <w:t>Cari Dönem</w:t>
            </w:r>
          </w:p>
        </w:tc>
        <w:tc>
          <w:tcPr>
            <w:tcW w:w="2118" w:type="dxa"/>
            <w:gridSpan w:val="2"/>
            <w:tcBorders>
              <w:top w:val="double" w:sz="6" w:space="0" w:color="auto"/>
              <w:left w:val="nil"/>
              <w:bottom w:val="single" w:sz="8" w:space="0" w:color="auto"/>
              <w:right w:val="nil"/>
            </w:tcBorders>
            <w:shd w:val="clear" w:color="auto" w:fill="auto"/>
            <w:vAlign w:val="center"/>
            <w:hideMark/>
          </w:tcPr>
          <w:p w14:paraId="116C3301" w14:textId="77777777" w:rsidR="004A537D" w:rsidRPr="00005453" w:rsidRDefault="004A537D" w:rsidP="00614CD2">
            <w:pPr>
              <w:jc w:val="right"/>
              <w:rPr>
                <w:b/>
                <w:bCs/>
                <w:color w:val="000000"/>
                <w:sz w:val="18"/>
                <w:szCs w:val="18"/>
                <w:lang w:eastAsia="tr-TR"/>
              </w:rPr>
            </w:pPr>
            <w:r w:rsidRPr="00005453">
              <w:rPr>
                <w:b/>
                <w:bCs/>
                <w:color w:val="000000"/>
                <w:sz w:val="18"/>
                <w:szCs w:val="18"/>
                <w:lang w:eastAsia="tr-TR"/>
              </w:rPr>
              <w:t>Önceki Dönem</w:t>
            </w:r>
          </w:p>
        </w:tc>
      </w:tr>
      <w:tr w:rsidR="004A537D" w:rsidRPr="00005453" w14:paraId="165CF179" w14:textId="77777777" w:rsidTr="0023277E">
        <w:trPr>
          <w:divId w:val="1470395834"/>
          <w:trHeight w:val="235"/>
        </w:trPr>
        <w:tc>
          <w:tcPr>
            <w:tcW w:w="4253" w:type="dxa"/>
            <w:vMerge/>
            <w:tcBorders>
              <w:left w:val="nil"/>
              <w:bottom w:val="single" w:sz="8" w:space="0" w:color="auto"/>
              <w:right w:val="nil"/>
            </w:tcBorders>
            <w:shd w:val="clear" w:color="auto" w:fill="auto"/>
            <w:vAlign w:val="center"/>
            <w:hideMark/>
          </w:tcPr>
          <w:p w14:paraId="72C8B3DD" w14:textId="17DB4ACE" w:rsidR="004A537D" w:rsidRPr="00005453" w:rsidRDefault="004A537D" w:rsidP="00BD5ADE">
            <w:pPr>
              <w:jc w:val="both"/>
              <w:rPr>
                <w:b/>
                <w:bCs/>
                <w:color w:val="000000"/>
                <w:sz w:val="18"/>
                <w:szCs w:val="18"/>
                <w:lang w:eastAsia="tr-TR"/>
              </w:rPr>
            </w:pPr>
          </w:p>
        </w:tc>
        <w:tc>
          <w:tcPr>
            <w:tcW w:w="1417" w:type="dxa"/>
            <w:tcBorders>
              <w:top w:val="nil"/>
              <w:left w:val="nil"/>
              <w:bottom w:val="single" w:sz="8" w:space="0" w:color="auto"/>
              <w:right w:val="nil"/>
            </w:tcBorders>
            <w:shd w:val="clear" w:color="auto" w:fill="auto"/>
            <w:vAlign w:val="center"/>
            <w:hideMark/>
          </w:tcPr>
          <w:p w14:paraId="18A90D37" w14:textId="77777777" w:rsidR="004A537D" w:rsidRPr="00005453" w:rsidRDefault="004A537D" w:rsidP="00BD5ADE">
            <w:pPr>
              <w:jc w:val="right"/>
              <w:rPr>
                <w:b/>
                <w:bCs/>
                <w:color w:val="000000"/>
                <w:sz w:val="18"/>
                <w:szCs w:val="18"/>
                <w:lang w:eastAsia="tr-TR"/>
              </w:rPr>
            </w:pPr>
            <w:r w:rsidRPr="00005453">
              <w:rPr>
                <w:b/>
                <w:bCs/>
                <w:color w:val="000000"/>
                <w:sz w:val="18"/>
                <w:szCs w:val="18"/>
                <w:lang w:eastAsia="tr-TR"/>
              </w:rPr>
              <w:t>TP</w:t>
            </w:r>
          </w:p>
        </w:tc>
        <w:tc>
          <w:tcPr>
            <w:tcW w:w="1276" w:type="dxa"/>
            <w:tcBorders>
              <w:top w:val="nil"/>
              <w:left w:val="nil"/>
              <w:bottom w:val="single" w:sz="8" w:space="0" w:color="auto"/>
              <w:right w:val="nil"/>
            </w:tcBorders>
            <w:shd w:val="clear" w:color="auto" w:fill="auto"/>
            <w:vAlign w:val="center"/>
            <w:hideMark/>
          </w:tcPr>
          <w:p w14:paraId="286CA80F" w14:textId="77777777" w:rsidR="004A537D" w:rsidRPr="00005453" w:rsidRDefault="004A537D" w:rsidP="00BD5ADE">
            <w:pPr>
              <w:jc w:val="right"/>
              <w:rPr>
                <w:b/>
                <w:bCs/>
                <w:color w:val="000000"/>
                <w:sz w:val="18"/>
                <w:szCs w:val="18"/>
                <w:lang w:eastAsia="tr-TR"/>
              </w:rPr>
            </w:pPr>
            <w:r w:rsidRPr="00005453">
              <w:rPr>
                <w:b/>
                <w:bCs/>
                <w:color w:val="000000"/>
                <w:sz w:val="18"/>
                <w:szCs w:val="18"/>
                <w:lang w:eastAsia="tr-TR"/>
              </w:rPr>
              <w:t>YP</w:t>
            </w:r>
          </w:p>
        </w:tc>
        <w:tc>
          <w:tcPr>
            <w:tcW w:w="1134" w:type="dxa"/>
            <w:gridSpan w:val="2"/>
            <w:tcBorders>
              <w:top w:val="nil"/>
              <w:left w:val="nil"/>
              <w:bottom w:val="single" w:sz="8" w:space="0" w:color="auto"/>
              <w:right w:val="nil"/>
            </w:tcBorders>
            <w:shd w:val="clear" w:color="auto" w:fill="auto"/>
            <w:vAlign w:val="center"/>
            <w:hideMark/>
          </w:tcPr>
          <w:p w14:paraId="6B782050" w14:textId="77777777" w:rsidR="004A537D" w:rsidRPr="00005453" w:rsidRDefault="004A537D" w:rsidP="00BD5ADE">
            <w:pPr>
              <w:jc w:val="right"/>
              <w:rPr>
                <w:b/>
                <w:bCs/>
                <w:color w:val="000000"/>
                <w:sz w:val="18"/>
                <w:szCs w:val="18"/>
                <w:lang w:eastAsia="tr-TR"/>
              </w:rPr>
            </w:pPr>
            <w:r w:rsidRPr="00005453">
              <w:rPr>
                <w:b/>
                <w:bCs/>
                <w:color w:val="000000"/>
                <w:sz w:val="18"/>
                <w:szCs w:val="18"/>
                <w:lang w:eastAsia="tr-TR"/>
              </w:rPr>
              <w:t>TP</w:t>
            </w:r>
          </w:p>
        </w:tc>
        <w:tc>
          <w:tcPr>
            <w:tcW w:w="1118" w:type="dxa"/>
            <w:tcBorders>
              <w:top w:val="nil"/>
              <w:left w:val="nil"/>
              <w:bottom w:val="single" w:sz="8" w:space="0" w:color="auto"/>
              <w:right w:val="nil"/>
            </w:tcBorders>
            <w:shd w:val="clear" w:color="auto" w:fill="auto"/>
            <w:vAlign w:val="center"/>
            <w:hideMark/>
          </w:tcPr>
          <w:p w14:paraId="7A7C873C" w14:textId="77777777" w:rsidR="004A537D" w:rsidRPr="00005453" w:rsidRDefault="004A537D" w:rsidP="00BD5ADE">
            <w:pPr>
              <w:jc w:val="right"/>
              <w:rPr>
                <w:b/>
                <w:bCs/>
                <w:color w:val="000000"/>
                <w:sz w:val="18"/>
                <w:szCs w:val="18"/>
                <w:lang w:eastAsia="tr-TR"/>
              </w:rPr>
            </w:pPr>
            <w:r w:rsidRPr="00005453">
              <w:rPr>
                <w:b/>
                <w:bCs/>
                <w:color w:val="000000"/>
                <w:sz w:val="18"/>
                <w:szCs w:val="18"/>
                <w:lang w:eastAsia="tr-TR"/>
              </w:rPr>
              <w:t>YP</w:t>
            </w:r>
          </w:p>
        </w:tc>
      </w:tr>
      <w:tr w:rsidR="00CD75F3" w:rsidRPr="00005453" w14:paraId="702B7BA6" w14:textId="77777777" w:rsidTr="00CD75F3">
        <w:trPr>
          <w:divId w:val="1470395834"/>
          <w:trHeight w:val="221"/>
        </w:trPr>
        <w:tc>
          <w:tcPr>
            <w:tcW w:w="4253" w:type="dxa"/>
            <w:tcBorders>
              <w:top w:val="nil"/>
              <w:left w:val="nil"/>
              <w:bottom w:val="nil"/>
              <w:right w:val="nil"/>
            </w:tcBorders>
            <w:shd w:val="clear" w:color="auto" w:fill="auto"/>
            <w:vAlign w:val="center"/>
            <w:hideMark/>
          </w:tcPr>
          <w:p w14:paraId="06A87F5C" w14:textId="77777777" w:rsidR="00CD75F3" w:rsidRPr="00005453" w:rsidRDefault="00CD75F3" w:rsidP="00CD75F3">
            <w:pPr>
              <w:rPr>
                <w:b/>
                <w:bCs/>
                <w:color w:val="000000"/>
                <w:sz w:val="18"/>
                <w:szCs w:val="18"/>
                <w:lang w:eastAsia="tr-TR"/>
              </w:rPr>
            </w:pPr>
            <w:r w:rsidRPr="00005453">
              <w:rPr>
                <w:b/>
                <w:bCs/>
                <w:color w:val="000000"/>
                <w:sz w:val="18"/>
                <w:szCs w:val="18"/>
                <w:lang w:eastAsia="tr-TR"/>
              </w:rPr>
              <w:t xml:space="preserve">Kredilerden alınan </w:t>
            </w:r>
            <w:proofErr w:type="gramStart"/>
            <w:r w:rsidRPr="00005453">
              <w:rPr>
                <w:b/>
                <w:bCs/>
                <w:color w:val="000000"/>
                <w:sz w:val="18"/>
                <w:szCs w:val="18"/>
                <w:lang w:eastAsia="tr-TR"/>
              </w:rPr>
              <w:t>kar</w:t>
            </w:r>
            <w:proofErr w:type="gramEnd"/>
            <w:r w:rsidRPr="00005453">
              <w:rPr>
                <w:b/>
                <w:bCs/>
                <w:color w:val="000000"/>
                <w:sz w:val="18"/>
                <w:szCs w:val="18"/>
                <w:lang w:eastAsia="tr-TR"/>
              </w:rPr>
              <w:t xml:space="preserve"> payı </w:t>
            </w:r>
          </w:p>
        </w:tc>
        <w:tc>
          <w:tcPr>
            <w:tcW w:w="1417" w:type="dxa"/>
            <w:tcBorders>
              <w:top w:val="nil"/>
              <w:left w:val="nil"/>
              <w:bottom w:val="nil"/>
              <w:right w:val="nil"/>
            </w:tcBorders>
            <w:shd w:val="clear" w:color="auto" w:fill="auto"/>
            <w:vAlign w:val="center"/>
            <w:hideMark/>
          </w:tcPr>
          <w:p w14:paraId="092A9C14" w14:textId="1559DD55" w:rsidR="00CD75F3" w:rsidRPr="00005453" w:rsidRDefault="00CD75F3" w:rsidP="00CD75F3">
            <w:pPr>
              <w:jc w:val="right"/>
              <w:rPr>
                <w:b/>
                <w:bCs/>
                <w:color w:val="000000"/>
                <w:sz w:val="18"/>
                <w:szCs w:val="18"/>
                <w:lang w:eastAsia="tr-TR"/>
              </w:rPr>
            </w:pPr>
            <w:r w:rsidRPr="00005453">
              <w:rPr>
                <w:b/>
                <w:bCs/>
                <w:sz w:val="18"/>
                <w:szCs w:val="18"/>
              </w:rPr>
              <w:t>75,471,303</w:t>
            </w:r>
          </w:p>
        </w:tc>
        <w:tc>
          <w:tcPr>
            <w:tcW w:w="1276" w:type="dxa"/>
            <w:tcBorders>
              <w:top w:val="nil"/>
              <w:left w:val="nil"/>
              <w:bottom w:val="nil"/>
              <w:right w:val="nil"/>
            </w:tcBorders>
            <w:shd w:val="clear" w:color="auto" w:fill="auto"/>
            <w:vAlign w:val="center"/>
            <w:hideMark/>
          </w:tcPr>
          <w:p w14:paraId="42B272D3" w14:textId="38426EA5" w:rsidR="00CD75F3" w:rsidRPr="00005453" w:rsidRDefault="00CD75F3" w:rsidP="00CD75F3">
            <w:pPr>
              <w:jc w:val="right"/>
              <w:rPr>
                <w:b/>
                <w:bCs/>
                <w:color w:val="000000"/>
                <w:sz w:val="18"/>
                <w:szCs w:val="18"/>
                <w:lang w:eastAsia="tr-TR"/>
              </w:rPr>
            </w:pPr>
            <w:r w:rsidRPr="00005453">
              <w:rPr>
                <w:b/>
                <w:bCs/>
                <w:sz w:val="18"/>
                <w:szCs w:val="18"/>
              </w:rPr>
              <w:t>10,226,488</w:t>
            </w:r>
          </w:p>
        </w:tc>
        <w:tc>
          <w:tcPr>
            <w:tcW w:w="1134" w:type="dxa"/>
            <w:gridSpan w:val="2"/>
            <w:tcBorders>
              <w:top w:val="nil"/>
              <w:left w:val="nil"/>
              <w:bottom w:val="nil"/>
              <w:right w:val="nil"/>
            </w:tcBorders>
            <w:shd w:val="clear" w:color="auto" w:fill="auto"/>
            <w:vAlign w:val="center"/>
            <w:hideMark/>
          </w:tcPr>
          <w:p w14:paraId="52EBCE09" w14:textId="16DF9AF1" w:rsidR="00CD75F3" w:rsidRPr="00005453" w:rsidRDefault="00CD75F3" w:rsidP="00CD75F3">
            <w:pPr>
              <w:jc w:val="right"/>
              <w:rPr>
                <w:b/>
                <w:bCs/>
                <w:color w:val="000000"/>
                <w:sz w:val="18"/>
                <w:szCs w:val="18"/>
                <w:lang w:eastAsia="tr-TR"/>
              </w:rPr>
            </w:pPr>
            <w:r w:rsidRPr="00005453">
              <w:rPr>
                <w:b/>
                <w:bCs/>
                <w:sz w:val="18"/>
                <w:szCs w:val="18"/>
              </w:rPr>
              <w:t>31,638,165</w:t>
            </w:r>
          </w:p>
        </w:tc>
        <w:tc>
          <w:tcPr>
            <w:tcW w:w="1118" w:type="dxa"/>
            <w:tcBorders>
              <w:top w:val="nil"/>
              <w:left w:val="nil"/>
              <w:bottom w:val="nil"/>
              <w:right w:val="nil"/>
            </w:tcBorders>
            <w:shd w:val="clear" w:color="auto" w:fill="auto"/>
            <w:vAlign w:val="center"/>
            <w:hideMark/>
          </w:tcPr>
          <w:p w14:paraId="3B4C10C0" w14:textId="2EA0EC38" w:rsidR="00CD75F3" w:rsidRPr="00005453" w:rsidRDefault="00CD75F3" w:rsidP="00CD75F3">
            <w:pPr>
              <w:jc w:val="right"/>
              <w:rPr>
                <w:b/>
                <w:bCs/>
                <w:color w:val="000000"/>
                <w:sz w:val="18"/>
                <w:szCs w:val="18"/>
                <w:lang w:eastAsia="tr-TR"/>
              </w:rPr>
            </w:pPr>
            <w:r w:rsidRPr="00005453">
              <w:rPr>
                <w:b/>
                <w:bCs/>
                <w:sz w:val="18"/>
                <w:szCs w:val="18"/>
              </w:rPr>
              <w:t>5,719,019</w:t>
            </w:r>
          </w:p>
        </w:tc>
      </w:tr>
      <w:tr w:rsidR="00CD75F3" w:rsidRPr="00005453" w14:paraId="26DC4E3B" w14:textId="77777777" w:rsidTr="00CD75F3">
        <w:trPr>
          <w:divId w:val="1470395834"/>
          <w:trHeight w:val="221"/>
        </w:trPr>
        <w:tc>
          <w:tcPr>
            <w:tcW w:w="4253" w:type="dxa"/>
            <w:tcBorders>
              <w:top w:val="nil"/>
              <w:left w:val="nil"/>
              <w:bottom w:val="nil"/>
              <w:right w:val="nil"/>
            </w:tcBorders>
            <w:shd w:val="clear" w:color="auto" w:fill="auto"/>
            <w:noWrap/>
            <w:vAlign w:val="center"/>
            <w:hideMark/>
          </w:tcPr>
          <w:p w14:paraId="4F3390B5" w14:textId="77777777" w:rsidR="00CD75F3" w:rsidRPr="00005453" w:rsidRDefault="00CD75F3" w:rsidP="00CD75F3">
            <w:pPr>
              <w:ind w:firstLineChars="100" w:firstLine="180"/>
              <w:rPr>
                <w:color w:val="000000"/>
                <w:sz w:val="18"/>
                <w:szCs w:val="18"/>
                <w:lang w:eastAsia="tr-TR"/>
              </w:rPr>
            </w:pPr>
            <w:r w:rsidRPr="00005453">
              <w:rPr>
                <w:color w:val="000000"/>
                <w:sz w:val="18"/>
                <w:szCs w:val="18"/>
                <w:lang w:eastAsia="tr-TR"/>
              </w:rPr>
              <w:t>Kısa vadeli kredilerden</w:t>
            </w:r>
          </w:p>
        </w:tc>
        <w:tc>
          <w:tcPr>
            <w:tcW w:w="1417" w:type="dxa"/>
            <w:tcBorders>
              <w:top w:val="nil"/>
              <w:left w:val="nil"/>
              <w:bottom w:val="nil"/>
              <w:right w:val="nil"/>
            </w:tcBorders>
            <w:shd w:val="clear" w:color="auto" w:fill="auto"/>
            <w:vAlign w:val="center"/>
            <w:hideMark/>
          </w:tcPr>
          <w:p w14:paraId="08433DE8" w14:textId="55690AAC" w:rsidR="00CD75F3" w:rsidRPr="00005453" w:rsidRDefault="00CD75F3" w:rsidP="00CD75F3">
            <w:pPr>
              <w:jc w:val="right"/>
              <w:rPr>
                <w:color w:val="000000"/>
                <w:sz w:val="18"/>
                <w:szCs w:val="18"/>
                <w:lang w:eastAsia="tr-TR"/>
              </w:rPr>
            </w:pPr>
            <w:r w:rsidRPr="00005453">
              <w:rPr>
                <w:sz w:val="18"/>
                <w:szCs w:val="18"/>
              </w:rPr>
              <w:t>43,961,441</w:t>
            </w:r>
          </w:p>
        </w:tc>
        <w:tc>
          <w:tcPr>
            <w:tcW w:w="1276" w:type="dxa"/>
            <w:tcBorders>
              <w:top w:val="nil"/>
              <w:left w:val="nil"/>
              <w:bottom w:val="nil"/>
              <w:right w:val="nil"/>
            </w:tcBorders>
            <w:shd w:val="clear" w:color="auto" w:fill="auto"/>
            <w:vAlign w:val="center"/>
            <w:hideMark/>
          </w:tcPr>
          <w:p w14:paraId="16AAB211" w14:textId="466E73CE" w:rsidR="00CD75F3" w:rsidRPr="00005453" w:rsidRDefault="00CD75F3" w:rsidP="00CD75F3">
            <w:pPr>
              <w:jc w:val="right"/>
              <w:rPr>
                <w:color w:val="000000"/>
                <w:sz w:val="18"/>
                <w:szCs w:val="18"/>
                <w:lang w:eastAsia="tr-TR"/>
              </w:rPr>
            </w:pPr>
            <w:r w:rsidRPr="00005453">
              <w:rPr>
                <w:sz w:val="18"/>
                <w:szCs w:val="18"/>
              </w:rPr>
              <w:t>3,995,347</w:t>
            </w:r>
          </w:p>
        </w:tc>
        <w:tc>
          <w:tcPr>
            <w:tcW w:w="1134" w:type="dxa"/>
            <w:gridSpan w:val="2"/>
            <w:tcBorders>
              <w:top w:val="nil"/>
              <w:left w:val="nil"/>
              <w:bottom w:val="nil"/>
              <w:right w:val="nil"/>
            </w:tcBorders>
            <w:shd w:val="clear" w:color="auto" w:fill="auto"/>
            <w:vAlign w:val="center"/>
            <w:hideMark/>
          </w:tcPr>
          <w:p w14:paraId="2D7E0647" w14:textId="1735D304" w:rsidR="00CD75F3" w:rsidRPr="00005453" w:rsidRDefault="00CD75F3" w:rsidP="00CD75F3">
            <w:pPr>
              <w:jc w:val="right"/>
              <w:rPr>
                <w:color w:val="000000"/>
                <w:sz w:val="18"/>
                <w:szCs w:val="18"/>
                <w:lang w:eastAsia="tr-TR"/>
              </w:rPr>
            </w:pPr>
            <w:r w:rsidRPr="00005453">
              <w:rPr>
                <w:sz w:val="18"/>
                <w:szCs w:val="18"/>
              </w:rPr>
              <w:t>18,679,176</w:t>
            </w:r>
          </w:p>
        </w:tc>
        <w:tc>
          <w:tcPr>
            <w:tcW w:w="1118" w:type="dxa"/>
            <w:tcBorders>
              <w:top w:val="nil"/>
              <w:left w:val="nil"/>
              <w:bottom w:val="nil"/>
              <w:right w:val="nil"/>
            </w:tcBorders>
            <w:shd w:val="clear" w:color="auto" w:fill="auto"/>
            <w:vAlign w:val="center"/>
            <w:hideMark/>
          </w:tcPr>
          <w:p w14:paraId="56C38BF0" w14:textId="4E6A5FB2" w:rsidR="00CD75F3" w:rsidRPr="00005453" w:rsidRDefault="00CD75F3" w:rsidP="00CD75F3">
            <w:pPr>
              <w:jc w:val="right"/>
              <w:rPr>
                <w:color w:val="000000"/>
                <w:sz w:val="18"/>
                <w:szCs w:val="18"/>
                <w:lang w:eastAsia="tr-TR"/>
              </w:rPr>
            </w:pPr>
            <w:r w:rsidRPr="00005453">
              <w:rPr>
                <w:sz w:val="18"/>
                <w:szCs w:val="18"/>
              </w:rPr>
              <w:t>2,069,159</w:t>
            </w:r>
          </w:p>
        </w:tc>
      </w:tr>
      <w:tr w:rsidR="00CD75F3" w:rsidRPr="00005453" w14:paraId="1B131193" w14:textId="77777777" w:rsidTr="00CD75F3">
        <w:trPr>
          <w:divId w:val="1470395834"/>
          <w:trHeight w:val="221"/>
        </w:trPr>
        <w:tc>
          <w:tcPr>
            <w:tcW w:w="4253" w:type="dxa"/>
            <w:tcBorders>
              <w:top w:val="nil"/>
              <w:left w:val="nil"/>
              <w:bottom w:val="nil"/>
              <w:right w:val="nil"/>
            </w:tcBorders>
            <w:shd w:val="clear" w:color="auto" w:fill="auto"/>
            <w:noWrap/>
            <w:vAlign w:val="center"/>
            <w:hideMark/>
          </w:tcPr>
          <w:p w14:paraId="6CB1F151" w14:textId="77777777" w:rsidR="00CD75F3" w:rsidRPr="00005453" w:rsidRDefault="00CD75F3" w:rsidP="00CD75F3">
            <w:pPr>
              <w:ind w:firstLineChars="100" w:firstLine="180"/>
              <w:rPr>
                <w:color w:val="000000"/>
                <w:sz w:val="18"/>
                <w:szCs w:val="18"/>
                <w:lang w:eastAsia="tr-TR"/>
              </w:rPr>
            </w:pPr>
            <w:r w:rsidRPr="00005453">
              <w:rPr>
                <w:color w:val="000000"/>
                <w:sz w:val="18"/>
                <w:szCs w:val="18"/>
                <w:lang w:eastAsia="tr-TR"/>
              </w:rPr>
              <w:t>Orta ve uzun vadeli kredilerden</w:t>
            </w:r>
          </w:p>
        </w:tc>
        <w:tc>
          <w:tcPr>
            <w:tcW w:w="1417" w:type="dxa"/>
            <w:tcBorders>
              <w:top w:val="nil"/>
              <w:left w:val="nil"/>
              <w:bottom w:val="nil"/>
              <w:right w:val="nil"/>
            </w:tcBorders>
            <w:shd w:val="clear" w:color="auto" w:fill="auto"/>
            <w:vAlign w:val="center"/>
            <w:hideMark/>
          </w:tcPr>
          <w:p w14:paraId="0183A000" w14:textId="1DDACBCC" w:rsidR="00CD75F3" w:rsidRPr="00005453" w:rsidRDefault="00CD75F3" w:rsidP="00CD75F3">
            <w:pPr>
              <w:jc w:val="right"/>
              <w:rPr>
                <w:color w:val="000000"/>
                <w:sz w:val="18"/>
                <w:szCs w:val="18"/>
                <w:lang w:eastAsia="tr-TR"/>
              </w:rPr>
            </w:pPr>
            <w:r w:rsidRPr="00005453">
              <w:rPr>
                <w:sz w:val="18"/>
                <w:szCs w:val="18"/>
              </w:rPr>
              <w:t>30,967,946</w:t>
            </w:r>
          </w:p>
        </w:tc>
        <w:tc>
          <w:tcPr>
            <w:tcW w:w="1276" w:type="dxa"/>
            <w:tcBorders>
              <w:top w:val="nil"/>
              <w:left w:val="nil"/>
              <w:bottom w:val="nil"/>
              <w:right w:val="nil"/>
            </w:tcBorders>
            <w:shd w:val="clear" w:color="auto" w:fill="auto"/>
            <w:vAlign w:val="center"/>
            <w:hideMark/>
          </w:tcPr>
          <w:p w14:paraId="319DBEF2" w14:textId="536B840B" w:rsidR="00CD75F3" w:rsidRPr="00005453" w:rsidRDefault="00CD75F3" w:rsidP="00CD75F3">
            <w:pPr>
              <w:jc w:val="right"/>
              <w:rPr>
                <w:color w:val="000000"/>
                <w:sz w:val="18"/>
                <w:szCs w:val="18"/>
                <w:lang w:eastAsia="tr-TR"/>
              </w:rPr>
            </w:pPr>
            <w:r w:rsidRPr="00005453">
              <w:rPr>
                <w:sz w:val="18"/>
                <w:szCs w:val="18"/>
              </w:rPr>
              <w:t>6,116,310</w:t>
            </w:r>
          </w:p>
        </w:tc>
        <w:tc>
          <w:tcPr>
            <w:tcW w:w="1134" w:type="dxa"/>
            <w:gridSpan w:val="2"/>
            <w:tcBorders>
              <w:top w:val="nil"/>
              <w:left w:val="nil"/>
              <w:bottom w:val="nil"/>
              <w:right w:val="nil"/>
            </w:tcBorders>
            <w:shd w:val="clear" w:color="auto" w:fill="auto"/>
            <w:vAlign w:val="center"/>
            <w:hideMark/>
          </w:tcPr>
          <w:p w14:paraId="0BB3246F" w14:textId="5437C6CE" w:rsidR="00CD75F3" w:rsidRPr="00005453" w:rsidRDefault="00CD75F3" w:rsidP="00CD75F3">
            <w:pPr>
              <w:jc w:val="right"/>
              <w:rPr>
                <w:color w:val="000000"/>
                <w:sz w:val="18"/>
                <w:szCs w:val="18"/>
                <w:lang w:eastAsia="tr-TR"/>
              </w:rPr>
            </w:pPr>
            <w:r w:rsidRPr="00005453">
              <w:rPr>
                <w:sz w:val="18"/>
                <w:szCs w:val="18"/>
              </w:rPr>
              <w:t>12,680,276</w:t>
            </w:r>
          </w:p>
        </w:tc>
        <w:tc>
          <w:tcPr>
            <w:tcW w:w="1118" w:type="dxa"/>
            <w:tcBorders>
              <w:top w:val="nil"/>
              <w:left w:val="nil"/>
              <w:bottom w:val="nil"/>
              <w:right w:val="nil"/>
            </w:tcBorders>
            <w:shd w:val="clear" w:color="auto" w:fill="auto"/>
            <w:vAlign w:val="center"/>
            <w:hideMark/>
          </w:tcPr>
          <w:p w14:paraId="72895F1F" w14:textId="01142CB6" w:rsidR="00CD75F3" w:rsidRPr="00005453" w:rsidRDefault="00CD75F3" w:rsidP="00CD75F3">
            <w:pPr>
              <w:jc w:val="right"/>
              <w:rPr>
                <w:color w:val="000000"/>
                <w:sz w:val="18"/>
                <w:szCs w:val="18"/>
                <w:lang w:eastAsia="tr-TR"/>
              </w:rPr>
            </w:pPr>
            <w:r w:rsidRPr="00005453">
              <w:rPr>
                <w:sz w:val="18"/>
                <w:szCs w:val="18"/>
              </w:rPr>
              <w:t>3,560,122</w:t>
            </w:r>
          </w:p>
        </w:tc>
      </w:tr>
      <w:tr w:rsidR="00CD75F3" w:rsidRPr="00005453" w14:paraId="7E557E21" w14:textId="77777777" w:rsidTr="00CD75F3">
        <w:trPr>
          <w:divId w:val="1470395834"/>
          <w:trHeight w:val="221"/>
        </w:trPr>
        <w:tc>
          <w:tcPr>
            <w:tcW w:w="4253" w:type="dxa"/>
            <w:tcBorders>
              <w:top w:val="nil"/>
              <w:left w:val="nil"/>
              <w:bottom w:val="nil"/>
              <w:right w:val="nil"/>
            </w:tcBorders>
            <w:shd w:val="clear" w:color="auto" w:fill="auto"/>
            <w:noWrap/>
            <w:vAlign w:val="center"/>
            <w:hideMark/>
          </w:tcPr>
          <w:p w14:paraId="45960673" w14:textId="77777777" w:rsidR="00CD75F3" w:rsidRPr="00005453" w:rsidRDefault="00CD75F3" w:rsidP="00CD75F3">
            <w:pPr>
              <w:ind w:firstLineChars="100" w:firstLine="180"/>
              <w:rPr>
                <w:color w:val="000000"/>
                <w:sz w:val="18"/>
                <w:szCs w:val="18"/>
                <w:lang w:eastAsia="tr-TR"/>
              </w:rPr>
            </w:pPr>
            <w:r w:rsidRPr="00005453">
              <w:rPr>
                <w:color w:val="000000"/>
                <w:sz w:val="18"/>
                <w:szCs w:val="18"/>
                <w:lang w:eastAsia="tr-TR"/>
              </w:rPr>
              <w:t xml:space="preserve">Takipteki alacaklardan alınan </w:t>
            </w:r>
            <w:proofErr w:type="gramStart"/>
            <w:r w:rsidRPr="00005453">
              <w:rPr>
                <w:color w:val="000000"/>
                <w:sz w:val="18"/>
                <w:szCs w:val="18"/>
                <w:lang w:eastAsia="tr-TR"/>
              </w:rPr>
              <w:t>kar</w:t>
            </w:r>
            <w:proofErr w:type="gramEnd"/>
            <w:r w:rsidRPr="00005453">
              <w:rPr>
                <w:color w:val="000000"/>
                <w:sz w:val="18"/>
                <w:szCs w:val="18"/>
                <w:lang w:eastAsia="tr-TR"/>
              </w:rPr>
              <w:t xml:space="preserve"> payı</w:t>
            </w:r>
          </w:p>
        </w:tc>
        <w:tc>
          <w:tcPr>
            <w:tcW w:w="1417" w:type="dxa"/>
            <w:tcBorders>
              <w:top w:val="nil"/>
              <w:left w:val="nil"/>
              <w:bottom w:val="nil"/>
              <w:right w:val="nil"/>
            </w:tcBorders>
            <w:shd w:val="clear" w:color="auto" w:fill="auto"/>
            <w:vAlign w:val="center"/>
            <w:hideMark/>
          </w:tcPr>
          <w:p w14:paraId="27823FA6" w14:textId="73601C72" w:rsidR="00CD75F3" w:rsidRPr="00005453" w:rsidRDefault="00CD75F3" w:rsidP="00CD75F3">
            <w:pPr>
              <w:jc w:val="right"/>
              <w:rPr>
                <w:color w:val="000000"/>
                <w:sz w:val="18"/>
                <w:szCs w:val="18"/>
                <w:lang w:eastAsia="tr-TR"/>
              </w:rPr>
            </w:pPr>
            <w:r w:rsidRPr="00005453">
              <w:rPr>
                <w:sz w:val="18"/>
                <w:szCs w:val="18"/>
              </w:rPr>
              <w:t>541,916</w:t>
            </w:r>
          </w:p>
        </w:tc>
        <w:tc>
          <w:tcPr>
            <w:tcW w:w="1276" w:type="dxa"/>
            <w:tcBorders>
              <w:top w:val="nil"/>
              <w:left w:val="nil"/>
              <w:bottom w:val="nil"/>
              <w:right w:val="nil"/>
            </w:tcBorders>
            <w:shd w:val="clear" w:color="auto" w:fill="auto"/>
            <w:vAlign w:val="center"/>
            <w:hideMark/>
          </w:tcPr>
          <w:p w14:paraId="4AD07CED" w14:textId="57CB84C1" w:rsidR="00CD75F3" w:rsidRPr="00005453" w:rsidRDefault="00CD75F3" w:rsidP="00CD75F3">
            <w:pPr>
              <w:jc w:val="right"/>
              <w:rPr>
                <w:color w:val="000000"/>
                <w:sz w:val="18"/>
                <w:szCs w:val="18"/>
                <w:lang w:eastAsia="tr-TR"/>
              </w:rPr>
            </w:pPr>
            <w:r w:rsidRPr="00005453">
              <w:rPr>
                <w:sz w:val="18"/>
                <w:szCs w:val="18"/>
              </w:rPr>
              <w:t>114,831</w:t>
            </w:r>
          </w:p>
        </w:tc>
        <w:tc>
          <w:tcPr>
            <w:tcW w:w="1134" w:type="dxa"/>
            <w:gridSpan w:val="2"/>
            <w:tcBorders>
              <w:top w:val="nil"/>
              <w:left w:val="nil"/>
              <w:bottom w:val="nil"/>
              <w:right w:val="nil"/>
            </w:tcBorders>
            <w:shd w:val="clear" w:color="auto" w:fill="auto"/>
            <w:vAlign w:val="center"/>
            <w:hideMark/>
          </w:tcPr>
          <w:p w14:paraId="3B555DB9" w14:textId="766DB6DC" w:rsidR="00CD75F3" w:rsidRPr="00005453" w:rsidRDefault="00CD75F3" w:rsidP="00CD75F3">
            <w:pPr>
              <w:jc w:val="right"/>
              <w:rPr>
                <w:color w:val="000000"/>
                <w:sz w:val="18"/>
                <w:szCs w:val="18"/>
                <w:lang w:eastAsia="tr-TR"/>
              </w:rPr>
            </w:pPr>
            <w:r w:rsidRPr="00005453">
              <w:rPr>
                <w:sz w:val="18"/>
                <w:szCs w:val="18"/>
              </w:rPr>
              <w:t>278,713</w:t>
            </w:r>
          </w:p>
        </w:tc>
        <w:tc>
          <w:tcPr>
            <w:tcW w:w="1118" w:type="dxa"/>
            <w:tcBorders>
              <w:top w:val="nil"/>
              <w:left w:val="nil"/>
              <w:bottom w:val="nil"/>
              <w:right w:val="nil"/>
            </w:tcBorders>
            <w:shd w:val="clear" w:color="auto" w:fill="auto"/>
            <w:vAlign w:val="center"/>
            <w:hideMark/>
          </w:tcPr>
          <w:p w14:paraId="54F962F0" w14:textId="0F5C4650" w:rsidR="00CD75F3" w:rsidRPr="00005453" w:rsidRDefault="00CD75F3" w:rsidP="00CD75F3">
            <w:pPr>
              <w:jc w:val="right"/>
              <w:rPr>
                <w:color w:val="000000"/>
                <w:sz w:val="18"/>
                <w:szCs w:val="18"/>
                <w:lang w:eastAsia="tr-TR"/>
              </w:rPr>
            </w:pPr>
            <w:r w:rsidRPr="00005453">
              <w:rPr>
                <w:sz w:val="18"/>
                <w:szCs w:val="18"/>
              </w:rPr>
              <w:t>89,738</w:t>
            </w:r>
          </w:p>
        </w:tc>
      </w:tr>
      <w:tr w:rsidR="00CD75F3" w:rsidRPr="00005453" w14:paraId="380F6AAF" w14:textId="77777777" w:rsidTr="00CD75F3">
        <w:trPr>
          <w:divId w:val="1470395834"/>
          <w:trHeight w:val="235"/>
        </w:trPr>
        <w:tc>
          <w:tcPr>
            <w:tcW w:w="4253" w:type="dxa"/>
            <w:tcBorders>
              <w:top w:val="nil"/>
              <w:left w:val="nil"/>
              <w:bottom w:val="nil"/>
              <w:right w:val="nil"/>
            </w:tcBorders>
            <w:shd w:val="clear" w:color="auto" w:fill="auto"/>
            <w:noWrap/>
            <w:vAlign w:val="center"/>
            <w:hideMark/>
          </w:tcPr>
          <w:p w14:paraId="30D4BC3D" w14:textId="77777777" w:rsidR="00CD75F3" w:rsidRPr="00005453" w:rsidRDefault="00CD75F3" w:rsidP="00CD75F3">
            <w:pPr>
              <w:ind w:firstLineChars="100" w:firstLine="180"/>
              <w:rPr>
                <w:color w:val="000000"/>
                <w:sz w:val="18"/>
                <w:szCs w:val="18"/>
                <w:lang w:eastAsia="tr-TR"/>
              </w:rPr>
            </w:pPr>
            <w:r w:rsidRPr="00005453">
              <w:rPr>
                <w:color w:val="000000"/>
                <w:sz w:val="18"/>
                <w:szCs w:val="18"/>
                <w:lang w:eastAsia="tr-TR"/>
              </w:rPr>
              <w:t xml:space="preserve">Kaynak kul. </w:t>
            </w:r>
            <w:proofErr w:type="gramStart"/>
            <w:r w:rsidRPr="00005453">
              <w:rPr>
                <w:color w:val="000000"/>
                <w:sz w:val="18"/>
                <w:szCs w:val="18"/>
                <w:lang w:eastAsia="tr-TR"/>
              </w:rPr>
              <w:t>destekleme</w:t>
            </w:r>
            <w:proofErr w:type="gramEnd"/>
            <w:r w:rsidRPr="00005453">
              <w:rPr>
                <w:color w:val="000000"/>
                <w:sz w:val="18"/>
                <w:szCs w:val="18"/>
                <w:lang w:eastAsia="tr-TR"/>
              </w:rPr>
              <w:t xml:space="preserve"> fonundan alınan primler</w:t>
            </w:r>
          </w:p>
        </w:tc>
        <w:tc>
          <w:tcPr>
            <w:tcW w:w="1417" w:type="dxa"/>
            <w:tcBorders>
              <w:top w:val="nil"/>
              <w:left w:val="nil"/>
              <w:bottom w:val="nil"/>
              <w:right w:val="nil"/>
            </w:tcBorders>
            <w:shd w:val="clear" w:color="auto" w:fill="auto"/>
            <w:vAlign w:val="center"/>
            <w:hideMark/>
          </w:tcPr>
          <w:p w14:paraId="6C463A90" w14:textId="5747FDE8" w:rsidR="00CD75F3" w:rsidRPr="00005453" w:rsidRDefault="00CD75F3" w:rsidP="00CD75F3">
            <w:pPr>
              <w:jc w:val="right"/>
              <w:rPr>
                <w:color w:val="000000"/>
                <w:sz w:val="18"/>
                <w:szCs w:val="18"/>
                <w:lang w:eastAsia="tr-TR"/>
              </w:rPr>
            </w:pPr>
            <w:r w:rsidRPr="00005453">
              <w:rPr>
                <w:sz w:val="18"/>
                <w:szCs w:val="18"/>
              </w:rPr>
              <w:t>-</w:t>
            </w:r>
          </w:p>
        </w:tc>
        <w:tc>
          <w:tcPr>
            <w:tcW w:w="1276" w:type="dxa"/>
            <w:tcBorders>
              <w:top w:val="nil"/>
              <w:left w:val="nil"/>
              <w:bottom w:val="nil"/>
              <w:right w:val="nil"/>
            </w:tcBorders>
            <w:shd w:val="clear" w:color="auto" w:fill="auto"/>
            <w:vAlign w:val="center"/>
            <w:hideMark/>
          </w:tcPr>
          <w:p w14:paraId="5D418E50" w14:textId="7FCF8305" w:rsidR="00CD75F3" w:rsidRPr="00005453" w:rsidRDefault="00CD75F3" w:rsidP="00CD75F3">
            <w:pPr>
              <w:jc w:val="right"/>
              <w:rPr>
                <w:color w:val="000000"/>
                <w:sz w:val="18"/>
                <w:szCs w:val="18"/>
                <w:lang w:eastAsia="tr-TR"/>
              </w:rPr>
            </w:pPr>
            <w:r w:rsidRPr="00005453">
              <w:rPr>
                <w:sz w:val="18"/>
                <w:szCs w:val="18"/>
              </w:rPr>
              <w:t>-</w:t>
            </w:r>
          </w:p>
        </w:tc>
        <w:tc>
          <w:tcPr>
            <w:tcW w:w="1134" w:type="dxa"/>
            <w:gridSpan w:val="2"/>
            <w:tcBorders>
              <w:top w:val="nil"/>
              <w:left w:val="nil"/>
              <w:bottom w:val="nil"/>
              <w:right w:val="nil"/>
            </w:tcBorders>
            <w:shd w:val="clear" w:color="auto" w:fill="auto"/>
            <w:vAlign w:val="center"/>
            <w:hideMark/>
          </w:tcPr>
          <w:p w14:paraId="36FD7166" w14:textId="056610CD" w:rsidR="00CD75F3" w:rsidRPr="00005453" w:rsidRDefault="00CD75F3" w:rsidP="00CD75F3">
            <w:pPr>
              <w:jc w:val="right"/>
              <w:rPr>
                <w:color w:val="000000"/>
                <w:sz w:val="18"/>
                <w:szCs w:val="18"/>
                <w:lang w:eastAsia="tr-TR"/>
              </w:rPr>
            </w:pPr>
            <w:r w:rsidRPr="00005453">
              <w:rPr>
                <w:sz w:val="18"/>
                <w:szCs w:val="18"/>
              </w:rPr>
              <w:t>-</w:t>
            </w:r>
          </w:p>
        </w:tc>
        <w:tc>
          <w:tcPr>
            <w:tcW w:w="1118" w:type="dxa"/>
            <w:tcBorders>
              <w:top w:val="nil"/>
              <w:left w:val="nil"/>
              <w:bottom w:val="nil"/>
              <w:right w:val="nil"/>
            </w:tcBorders>
            <w:shd w:val="clear" w:color="auto" w:fill="auto"/>
            <w:vAlign w:val="center"/>
            <w:hideMark/>
          </w:tcPr>
          <w:p w14:paraId="33F423D5" w14:textId="737B030F" w:rsidR="00CD75F3" w:rsidRPr="00005453" w:rsidRDefault="00CD75F3" w:rsidP="00CD75F3">
            <w:pPr>
              <w:jc w:val="right"/>
              <w:rPr>
                <w:color w:val="000000"/>
                <w:sz w:val="18"/>
                <w:szCs w:val="18"/>
                <w:lang w:eastAsia="tr-TR"/>
              </w:rPr>
            </w:pPr>
            <w:r w:rsidRPr="00005453">
              <w:rPr>
                <w:sz w:val="18"/>
                <w:szCs w:val="18"/>
              </w:rPr>
              <w:t>-</w:t>
            </w:r>
          </w:p>
        </w:tc>
      </w:tr>
      <w:tr w:rsidR="00CD75F3" w:rsidRPr="00005453" w14:paraId="62640592" w14:textId="77777777" w:rsidTr="00DF5D13">
        <w:trPr>
          <w:divId w:val="1470395834"/>
          <w:trHeight w:val="235"/>
        </w:trPr>
        <w:tc>
          <w:tcPr>
            <w:tcW w:w="4253" w:type="dxa"/>
            <w:tcBorders>
              <w:top w:val="single" w:sz="8" w:space="0" w:color="auto"/>
              <w:left w:val="nil"/>
              <w:bottom w:val="double" w:sz="6" w:space="0" w:color="auto"/>
              <w:right w:val="nil"/>
            </w:tcBorders>
            <w:shd w:val="clear" w:color="auto" w:fill="auto"/>
            <w:vAlign w:val="center"/>
            <w:hideMark/>
          </w:tcPr>
          <w:p w14:paraId="427CA047" w14:textId="77777777" w:rsidR="00CD75F3" w:rsidRPr="00005453" w:rsidRDefault="00CD75F3" w:rsidP="00CD75F3">
            <w:pPr>
              <w:jc w:val="both"/>
              <w:rPr>
                <w:b/>
                <w:bCs/>
                <w:color w:val="000000"/>
                <w:sz w:val="18"/>
                <w:szCs w:val="18"/>
                <w:lang w:eastAsia="tr-TR"/>
              </w:rPr>
            </w:pPr>
            <w:r w:rsidRPr="00005453">
              <w:rPr>
                <w:b/>
                <w:bCs/>
                <w:color w:val="000000"/>
                <w:sz w:val="18"/>
                <w:szCs w:val="18"/>
                <w:lang w:eastAsia="tr-TR"/>
              </w:rPr>
              <w:t>Toplam</w:t>
            </w:r>
          </w:p>
        </w:tc>
        <w:tc>
          <w:tcPr>
            <w:tcW w:w="1417" w:type="dxa"/>
            <w:tcBorders>
              <w:top w:val="single" w:sz="8" w:space="0" w:color="auto"/>
              <w:left w:val="nil"/>
              <w:bottom w:val="double" w:sz="6" w:space="0" w:color="auto"/>
              <w:right w:val="nil"/>
            </w:tcBorders>
            <w:shd w:val="clear" w:color="auto" w:fill="auto"/>
            <w:vAlign w:val="center"/>
            <w:hideMark/>
          </w:tcPr>
          <w:p w14:paraId="421DA26D" w14:textId="1DDBE608" w:rsidR="00CD75F3" w:rsidRPr="00005453" w:rsidRDefault="00CD75F3" w:rsidP="00CD75F3">
            <w:pPr>
              <w:jc w:val="right"/>
              <w:rPr>
                <w:b/>
                <w:bCs/>
                <w:color w:val="000000"/>
                <w:sz w:val="18"/>
                <w:szCs w:val="18"/>
                <w:lang w:eastAsia="tr-TR"/>
              </w:rPr>
            </w:pPr>
            <w:r w:rsidRPr="00005453">
              <w:rPr>
                <w:b/>
                <w:bCs/>
                <w:sz w:val="18"/>
                <w:szCs w:val="18"/>
              </w:rPr>
              <w:t>75,471,303</w:t>
            </w:r>
          </w:p>
        </w:tc>
        <w:tc>
          <w:tcPr>
            <w:tcW w:w="1276" w:type="dxa"/>
            <w:tcBorders>
              <w:top w:val="single" w:sz="8" w:space="0" w:color="auto"/>
              <w:left w:val="nil"/>
              <w:bottom w:val="double" w:sz="6" w:space="0" w:color="auto"/>
              <w:right w:val="nil"/>
            </w:tcBorders>
            <w:shd w:val="clear" w:color="auto" w:fill="auto"/>
            <w:vAlign w:val="center"/>
            <w:hideMark/>
          </w:tcPr>
          <w:p w14:paraId="05ED1940" w14:textId="645CDE4A" w:rsidR="00CD75F3" w:rsidRPr="00005453" w:rsidRDefault="00CD75F3" w:rsidP="00CD75F3">
            <w:pPr>
              <w:jc w:val="right"/>
              <w:rPr>
                <w:b/>
                <w:bCs/>
                <w:color w:val="000000"/>
                <w:sz w:val="18"/>
                <w:szCs w:val="18"/>
                <w:lang w:eastAsia="tr-TR"/>
              </w:rPr>
            </w:pPr>
            <w:r w:rsidRPr="00005453">
              <w:rPr>
                <w:b/>
                <w:bCs/>
                <w:sz w:val="18"/>
                <w:szCs w:val="18"/>
              </w:rPr>
              <w:t>10,226,488</w:t>
            </w:r>
          </w:p>
        </w:tc>
        <w:tc>
          <w:tcPr>
            <w:tcW w:w="1134" w:type="dxa"/>
            <w:gridSpan w:val="2"/>
            <w:tcBorders>
              <w:top w:val="single" w:sz="8" w:space="0" w:color="auto"/>
              <w:left w:val="nil"/>
              <w:bottom w:val="double" w:sz="6" w:space="0" w:color="auto"/>
              <w:right w:val="nil"/>
            </w:tcBorders>
            <w:shd w:val="clear" w:color="auto" w:fill="auto"/>
            <w:vAlign w:val="center"/>
            <w:hideMark/>
          </w:tcPr>
          <w:p w14:paraId="73EE6412" w14:textId="69975BDD" w:rsidR="00CD75F3" w:rsidRPr="00005453" w:rsidRDefault="00CD75F3" w:rsidP="00CD75F3">
            <w:pPr>
              <w:jc w:val="right"/>
              <w:rPr>
                <w:b/>
                <w:bCs/>
                <w:color w:val="000000"/>
                <w:sz w:val="18"/>
                <w:szCs w:val="18"/>
                <w:lang w:eastAsia="tr-TR"/>
              </w:rPr>
            </w:pPr>
            <w:r w:rsidRPr="00005453">
              <w:rPr>
                <w:b/>
                <w:bCs/>
                <w:sz w:val="18"/>
                <w:szCs w:val="18"/>
              </w:rPr>
              <w:t>31,638,165</w:t>
            </w:r>
          </w:p>
        </w:tc>
        <w:tc>
          <w:tcPr>
            <w:tcW w:w="1118" w:type="dxa"/>
            <w:tcBorders>
              <w:top w:val="single" w:sz="8" w:space="0" w:color="auto"/>
              <w:left w:val="nil"/>
              <w:bottom w:val="double" w:sz="6" w:space="0" w:color="auto"/>
              <w:right w:val="nil"/>
            </w:tcBorders>
            <w:shd w:val="clear" w:color="auto" w:fill="auto"/>
            <w:vAlign w:val="center"/>
            <w:hideMark/>
          </w:tcPr>
          <w:p w14:paraId="1B81ECBE" w14:textId="5AE1AE0B" w:rsidR="00CD75F3" w:rsidRPr="00005453" w:rsidRDefault="00CD75F3" w:rsidP="00CD75F3">
            <w:pPr>
              <w:jc w:val="right"/>
              <w:rPr>
                <w:b/>
                <w:bCs/>
                <w:color w:val="000000"/>
                <w:sz w:val="18"/>
                <w:szCs w:val="18"/>
                <w:lang w:eastAsia="tr-TR"/>
              </w:rPr>
            </w:pPr>
            <w:r w:rsidRPr="00005453">
              <w:rPr>
                <w:b/>
                <w:bCs/>
                <w:sz w:val="18"/>
                <w:szCs w:val="18"/>
              </w:rPr>
              <w:t>5,719,019</w:t>
            </w:r>
          </w:p>
        </w:tc>
      </w:tr>
    </w:tbl>
    <w:p w14:paraId="33DE082E" w14:textId="0D1650BE" w:rsidR="005C5B32" w:rsidRPr="00005453" w:rsidRDefault="005C5B32" w:rsidP="0093339C">
      <w:pPr>
        <w:tabs>
          <w:tab w:val="num" w:pos="709"/>
          <w:tab w:val="num" w:pos="2880"/>
        </w:tabs>
        <w:autoSpaceDE w:val="0"/>
        <w:autoSpaceDN w:val="0"/>
        <w:adjustRightInd w:val="0"/>
        <w:ind w:hanging="567"/>
        <w:rPr>
          <w:b/>
        </w:rPr>
      </w:pPr>
    </w:p>
    <w:p w14:paraId="67ECA221" w14:textId="7D704DD2" w:rsidR="00A90984" w:rsidRPr="00005453" w:rsidRDefault="0093339C" w:rsidP="0093339C">
      <w:pPr>
        <w:tabs>
          <w:tab w:val="num" w:pos="709"/>
          <w:tab w:val="num" w:pos="2880"/>
        </w:tabs>
        <w:autoSpaceDE w:val="0"/>
        <w:autoSpaceDN w:val="0"/>
        <w:adjustRightInd w:val="0"/>
        <w:ind w:hanging="567"/>
        <w:rPr>
          <w:b/>
        </w:rPr>
      </w:pPr>
      <w:bookmarkStart w:id="91" w:name="_Hlk125303480"/>
      <w:r w:rsidRPr="00005453">
        <w:rPr>
          <w:b/>
        </w:rPr>
        <w:t>4.1.2</w:t>
      </w:r>
      <w:r w:rsidR="00A90984" w:rsidRPr="00005453">
        <w:rPr>
          <w:b/>
        </w:rPr>
        <w:tab/>
        <w:t xml:space="preserve">Bankalardan alınan </w:t>
      </w:r>
      <w:proofErr w:type="gramStart"/>
      <w:r w:rsidR="00A90984" w:rsidRPr="00005453">
        <w:rPr>
          <w:b/>
        </w:rPr>
        <w:t>kar</w:t>
      </w:r>
      <w:proofErr w:type="gramEnd"/>
      <w:r w:rsidR="00A90984" w:rsidRPr="00005453">
        <w:rPr>
          <w:b/>
        </w:rPr>
        <w:t xml:space="preserve"> payı gelirlerine ilişkin bilgiler</w:t>
      </w:r>
    </w:p>
    <w:p w14:paraId="4774C6D7" w14:textId="5402DE48" w:rsidR="00BD5ADE" w:rsidRPr="00005453" w:rsidRDefault="00BD5ADE" w:rsidP="000F096F">
      <w:pPr>
        <w:autoSpaceDE w:val="0"/>
        <w:autoSpaceDN w:val="0"/>
        <w:adjustRightInd w:val="0"/>
        <w:rPr>
          <w:lang w:val="de-DE" w:eastAsia="en-GB"/>
        </w:rPr>
      </w:pPr>
    </w:p>
    <w:tbl>
      <w:tblPr>
        <w:tblW w:w="9215" w:type="dxa"/>
        <w:tblCellMar>
          <w:left w:w="70" w:type="dxa"/>
          <w:right w:w="70" w:type="dxa"/>
        </w:tblCellMar>
        <w:tblLook w:val="04A0" w:firstRow="1" w:lastRow="0" w:firstColumn="1" w:lastColumn="0" w:noHBand="0" w:noVBand="1"/>
      </w:tblPr>
      <w:tblGrid>
        <w:gridCol w:w="4203"/>
        <w:gridCol w:w="1467"/>
        <w:gridCol w:w="1272"/>
        <w:gridCol w:w="1093"/>
        <w:gridCol w:w="1180"/>
      </w:tblGrid>
      <w:tr w:rsidR="004A537D" w:rsidRPr="00005453" w14:paraId="57561B11" w14:textId="77777777" w:rsidTr="00614CD2">
        <w:trPr>
          <w:divId w:val="760293746"/>
          <w:trHeight w:val="261"/>
        </w:trPr>
        <w:tc>
          <w:tcPr>
            <w:tcW w:w="4203" w:type="dxa"/>
            <w:vMerge w:val="restart"/>
            <w:tcBorders>
              <w:top w:val="double" w:sz="6" w:space="0" w:color="auto"/>
              <w:left w:val="nil"/>
              <w:right w:val="nil"/>
            </w:tcBorders>
            <w:shd w:val="clear" w:color="auto" w:fill="auto"/>
            <w:vAlign w:val="center"/>
            <w:hideMark/>
          </w:tcPr>
          <w:p w14:paraId="35A82D54" w14:textId="77777777" w:rsidR="004A537D" w:rsidRPr="00005453" w:rsidRDefault="004A537D" w:rsidP="00BD5ADE">
            <w:pPr>
              <w:jc w:val="both"/>
              <w:rPr>
                <w:color w:val="000000"/>
                <w:sz w:val="18"/>
                <w:szCs w:val="18"/>
                <w:lang w:eastAsia="tr-TR"/>
              </w:rPr>
            </w:pPr>
            <w:r w:rsidRPr="00005453">
              <w:rPr>
                <w:color w:val="000000"/>
                <w:sz w:val="18"/>
                <w:szCs w:val="18"/>
                <w:lang w:eastAsia="tr-TR"/>
              </w:rPr>
              <w:t> </w:t>
            </w:r>
          </w:p>
          <w:p w14:paraId="061519FE" w14:textId="0FDFCCE1" w:rsidR="004A537D" w:rsidRPr="00005453" w:rsidRDefault="004A537D" w:rsidP="00BD5ADE">
            <w:pPr>
              <w:jc w:val="both"/>
              <w:rPr>
                <w:color w:val="000000"/>
                <w:sz w:val="18"/>
                <w:szCs w:val="18"/>
                <w:lang w:eastAsia="tr-TR"/>
              </w:rPr>
            </w:pPr>
            <w:r w:rsidRPr="00005453">
              <w:rPr>
                <w:b/>
                <w:bCs/>
                <w:color w:val="000000"/>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7292E842" w14:textId="77777777" w:rsidR="004A537D" w:rsidRPr="00005453" w:rsidRDefault="004A537D" w:rsidP="00614CD2">
            <w:pPr>
              <w:jc w:val="right"/>
              <w:rPr>
                <w:b/>
                <w:bCs/>
                <w:color w:val="000000"/>
                <w:sz w:val="18"/>
                <w:szCs w:val="18"/>
                <w:lang w:eastAsia="tr-TR"/>
              </w:rPr>
            </w:pPr>
            <w:r w:rsidRPr="00005453">
              <w:rPr>
                <w:b/>
                <w:bCs/>
                <w:color w:val="000000"/>
                <w:sz w:val="18"/>
                <w:szCs w:val="18"/>
                <w:lang w:eastAsia="tr-TR"/>
              </w:rPr>
              <w:t>Cari Dönem</w:t>
            </w:r>
          </w:p>
        </w:tc>
        <w:tc>
          <w:tcPr>
            <w:tcW w:w="2273" w:type="dxa"/>
            <w:gridSpan w:val="2"/>
            <w:tcBorders>
              <w:top w:val="double" w:sz="6" w:space="0" w:color="auto"/>
              <w:left w:val="nil"/>
              <w:bottom w:val="single" w:sz="8" w:space="0" w:color="auto"/>
              <w:right w:val="nil"/>
            </w:tcBorders>
            <w:shd w:val="clear" w:color="auto" w:fill="auto"/>
            <w:vAlign w:val="center"/>
            <w:hideMark/>
          </w:tcPr>
          <w:p w14:paraId="08E514A8" w14:textId="77777777" w:rsidR="004A537D" w:rsidRPr="00005453" w:rsidRDefault="004A537D" w:rsidP="00614CD2">
            <w:pPr>
              <w:jc w:val="right"/>
              <w:rPr>
                <w:b/>
                <w:bCs/>
                <w:color w:val="000000"/>
                <w:sz w:val="18"/>
                <w:szCs w:val="18"/>
                <w:lang w:eastAsia="tr-TR"/>
              </w:rPr>
            </w:pPr>
            <w:r w:rsidRPr="00005453">
              <w:rPr>
                <w:b/>
                <w:bCs/>
                <w:color w:val="000000"/>
                <w:sz w:val="18"/>
                <w:szCs w:val="18"/>
                <w:lang w:eastAsia="tr-TR"/>
              </w:rPr>
              <w:t>Önceki Dönem</w:t>
            </w:r>
          </w:p>
        </w:tc>
      </w:tr>
      <w:tr w:rsidR="004A537D" w:rsidRPr="00005453" w14:paraId="2FAC1DC7" w14:textId="77777777" w:rsidTr="00614CD2">
        <w:trPr>
          <w:divId w:val="760293746"/>
          <w:trHeight w:val="246"/>
        </w:trPr>
        <w:tc>
          <w:tcPr>
            <w:tcW w:w="4203" w:type="dxa"/>
            <w:vMerge/>
            <w:tcBorders>
              <w:left w:val="nil"/>
              <w:bottom w:val="single" w:sz="8" w:space="0" w:color="auto"/>
              <w:right w:val="nil"/>
            </w:tcBorders>
            <w:shd w:val="clear" w:color="auto" w:fill="auto"/>
            <w:vAlign w:val="center"/>
            <w:hideMark/>
          </w:tcPr>
          <w:p w14:paraId="1D593132" w14:textId="6325A141" w:rsidR="004A537D" w:rsidRPr="00005453" w:rsidRDefault="004A537D" w:rsidP="00BD5ADE">
            <w:pPr>
              <w:jc w:val="both"/>
              <w:rPr>
                <w:b/>
                <w:bCs/>
                <w:color w:val="000000"/>
                <w:sz w:val="18"/>
                <w:szCs w:val="18"/>
                <w:lang w:eastAsia="tr-TR"/>
              </w:rPr>
            </w:pPr>
          </w:p>
        </w:tc>
        <w:tc>
          <w:tcPr>
            <w:tcW w:w="1467" w:type="dxa"/>
            <w:tcBorders>
              <w:top w:val="single" w:sz="8" w:space="0" w:color="auto"/>
              <w:left w:val="nil"/>
              <w:bottom w:val="single" w:sz="8" w:space="0" w:color="auto"/>
              <w:right w:val="nil"/>
            </w:tcBorders>
            <w:shd w:val="clear" w:color="auto" w:fill="auto"/>
            <w:vAlign w:val="center"/>
            <w:hideMark/>
          </w:tcPr>
          <w:p w14:paraId="01C112BA" w14:textId="77777777" w:rsidR="004A537D" w:rsidRPr="00005453" w:rsidRDefault="004A537D" w:rsidP="0023277E">
            <w:pPr>
              <w:jc w:val="right"/>
              <w:rPr>
                <w:b/>
                <w:bCs/>
                <w:color w:val="000000"/>
                <w:sz w:val="18"/>
                <w:szCs w:val="18"/>
                <w:lang w:eastAsia="tr-TR"/>
              </w:rPr>
            </w:pPr>
            <w:r w:rsidRPr="00005453">
              <w:rPr>
                <w:b/>
                <w:bCs/>
                <w:color w:val="000000"/>
                <w:sz w:val="18"/>
                <w:szCs w:val="18"/>
                <w:lang w:eastAsia="tr-TR"/>
              </w:rPr>
              <w:t>TP</w:t>
            </w:r>
          </w:p>
        </w:tc>
        <w:tc>
          <w:tcPr>
            <w:tcW w:w="1272" w:type="dxa"/>
            <w:tcBorders>
              <w:top w:val="single" w:sz="8" w:space="0" w:color="auto"/>
              <w:left w:val="nil"/>
              <w:bottom w:val="single" w:sz="8" w:space="0" w:color="auto"/>
              <w:right w:val="nil"/>
            </w:tcBorders>
            <w:shd w:val="clear" w:color="auto" w:fill="auto"/>
            <w:vAlign w:val="center"/>
            <w:hideMark/>
          </w:tcPr>
          <w:p w14:paraId="66F80897" w14:textId="77777777" w:rsidR="004A537D" w:rsidRPr="00005453" w:rsidRDefault="004A537D" w:rsidP="0023277E">
            <w:pPr>
              <w:jc w:val="right"/>
              <w:rPr>
                <w:b/>
                <w:bCs/>
                <w:color w:val="000000"/>
                <w:sz w:val="18"/>
                <w:szCs w:val="18"/>
                <w:lang w:eastAsia="tr-TR"/>
              </w:rPr>
            </w:pPr>
            <w:r w:rsidRPr="00005453">
              <w:rPr>
                <w:b/>
                <w:bCs/>
                <w:color w:val="000000"/>
                <w:sz w:val="18"/>
                <w:szCs w:val="18"/>
                <w:lang w:eastAsia="tr-TR"/>
              </w:rPr>
              <w:t>YP</w:t>
            </w:r>
          </w:p>
        </w:tc>
        <w:tc>
          <w:tcPr>
            <w:tcW w:w="1093" w:type="dxa"/>
            <w:tcBorders>
              <w:top w:val="nil"/>
              <w:left w:val="nil"/>
              <w:bottom w:val="single" w:sz="8" w:space="0" w:color="auto"/>
              <w:right w:val="nil"/>
            </w:tcBorders>
            <w:shd w:val="clear" w:color="auto" w:fill="auto"/>
            <w:vAlign w:val="center"/>
            <w:hideMark/>
          </w:tcPr>
          <w:p w14:paraId="546E6A57" w14:textId="77777777" w:rsidR="004A537D" w:rsidRPr="00005453" w:rsidRDefault="004A537D" w:rsidP="0023277E">
            <w:pPr>
              <w:jc w:val="right"/>
              <w:rPr>
                <w:b/>
                <w:bCs/>
                <w:color w:val="000000"/>
                <w:sz w:val="18"/>
                <w:szCs w:val="18"/>
                <w:lang w:eastAsia="tr-TR"/>
              </w:rPr>
            </w:pPr>
            <w:r w:rsidRPr="00005453">
              <w:rPr>
                <w:b/>
                <w:bCs/>
                <w:color w:val="000000"/>
                <w:sz w:val="18"/>
                <w:szCs w:val="18"/>
                <w:lang w:eastAsia="tr-TR"/>
              </w:rPr>
              <w:t>TP</w:t>
            </w:r>
          </w:p>
        </w:tc>
        <w:tc>
          <w:tcPr>
            <w:tcW w:w="1180" w:type="dxa"/>
            <w:tcBorders>
              <w:top w:val="nil"/>
              <w:left w:val="nil"/>
              <w:bottom w:val="single" w:sz="8" w:space="0" w:color="auto"/>
              <w:right w:val="nil"/>
            </w:tcBorders>
            <w:shd w:val="clear" w:color="auto" w:fill="auto"/>
            <w:vAlign w:val="center"/>
            <w:hideMark/>
          </w:tcPr>
          <w:p w14:paraId="2AF26226" w14:textId="77777777" w:rsidR="004A537D" w:rsidRPr="00005453" w:rsidRDefault="004A537D" w:rsidP="0023277E">
            <w:pPr>
              <w:jc w:val="right"/>
              <w:rPr>
                <w:b/>
                <w:bCs/>
                <w:color w:val="000000"/>
                <w:sz w:val="18"/>
                <w:szCs w:val="18"/>
                <w:lang w:eastAsia="tr-TR"/>
              </w:rPr>
            </w:pPr>
            <w:r w:rsidRPr="00005453">
              <w:rPr>
                <w:b/>
                <w:bCs/>
                <w:color w:val="000000"/>
                <w:sz w:val="18"/>
                <w:szCs w:val="18"/>
                <w:lang w:eastAsia="tr-TR"/>
              </w:rPr>
              <w:t>YP</w:t>
            </w:r>
          </w:p>
        </w:tc>
      </w:tr>
      <w:tr w:rsidR="00CD75F3" w:rsidRPr="00005453" w14:paraId="2FB55F08" w14:textId="77777777" w:rsidTr="00CD75F3">
        <w:trPr>
          <w:divId w:val="760293746"/>
          <w:trHeight w:val="232"/>
        </w:trPr>
        <w:tc>
          <w:tcPr>
            <w:tcW w:w="4203" w:type="dxa"/>
            <w:tcBorders>
              <w:top w:val="nil"/>
              <w:left w:val="nil"/>
              <w:bottom w:val="nil"/>
              <w:right w:val="nil"/>
            </w:tcBorders>
            <w:shd w:val="clear" w:color="auto" w:fill="auto"/>
            <w:vAlign w:val="center"/>
            <w:hideMark/>
          </w:tcPr>
          <w:p w14:paraId="78FF2A30" w14:textId="77777777" w:rsidR="00CD75F3" w:rsidRPr="00005453" w:rsidRDefault="00CD75F3" w:rsidP="00CD75F3">
            <w:pPr>
              <w:jc w:val="both"/>
              <w:rPr>
                <w:color w:val="000000"/>
                <w:sz w:val="18"/>
                <w:szCs w:val="18"/>
                <w:lang w:eastAsia="tr-TR"/>
              </w:rPr>
            </w:pPr>
            <w:proofErr w:type="gramStart"/>
            <w:r w:rsidRPr="00005453">
              <w:rPr>
                <w:color w:val="000000"/>
                <w:sz w:val="18"/>
                <w:szCs w:val="18"/>
                <w:lang w:eastAsia="tr-TR"/>
              </w:rPr>
              <w:t>TC</w:t>
            </w:r>
            <w:proofErr w:type="gramEnd"/>
            <w:r w:rsidRPr="00005453">
              <w:rPr>
                <w:color w:val="000000"/>
                <w:sz w:val="18"/>
                <w:szCs w:val="18"/>
                <w:lang w:eastAsia="tr-TR"/>
              </w:rPr>
              <w:t xml:space="preserve"> Merkez Bankasından</w:t>
            </w:r>
          </w:p>
        </w:tc>
        <w:tc>
          <w:tcPr>
            <w:tcW w:w="1467" w:type="dxa"/>
            <w:tcBorders>
              <w:top w:val="nil"/>
              <w:left w:val="nil"/>
              <w:bottom w:val="nil"/>
              <w:right w:val="nil"/>
            </w:tcBorders>
            <w:shd w:val="clear" w:color="auto" w:fill="auto"/>
            <w:vAlign w:val="center"/>
            <w:hideMark/>
          </w:tcPr>
          <w:p w14:paraId="70027DE7" w14:textId="293D1429" w:rsidR="00CD75F3" w:rsidRPr="00005453" w:rsidRDefault="00CD75F3" w:rsidP="00CD75F3">
            <w:pPr>
              <w:jc w:val="right"/>
              <w:rPr>
                <w:color w:val="000000"/>
                <w:sz w:val="18"/>
                <w:szCs w:val="18"/>
                <w:lang w:eastAsia="tr-TR"/>
              </w:rPr>
            </w:pPr>
            <w:r w:rsidRPr="00005453">
              <w:rPr>
                <w:sz w:val="18"/>
                <w:szCs w:val="18"/>
              </w:rPr>
              <w:t>86,704</w:t>
            </w:r>
          </w:p>
        </w:tc>
        <w:tc>
          <w:tcPr>
            <w:tcW w:w="1272" w:type="dxa"/>
            <w:tcBorders>
              <w:top w:val="nil"/>
              <w:left w:val="nil"/>
              <w:bottom w:val="nil"/>
              <w:right w:val="nil"/>
            </w:tcBorders>
            <w:shd w:val="clear" w:color="auto" w:fill="auto"/>
            <w:vAlign w:val="center"/>
            <w:hideMark/>
          </w:tcPr>
          <w:p w14:paraId="2AA4FA89" w14:textId="25A498AE" w:rsidR="00CD75F3" w:rsidRPr="00005453" w:rsidRDefault="00CD75F3" w:rsidP="00CD75F3">
            <w:pPr>
              <w:jc w:val="right"/>
              <w:rPr>
                <w:color w:val="000000"/>
                <w:sz w:val="18"/>
                <w:szCs w:val="18"/>
                <w:lang w:eastAsia="tr-TR"/>
              </w:rPr>
            </w:pPr>
            <w:r w:rsidRPr="00005453">
              <w:rPr>
                <w:sz w:val="18"/>
                <w:szCs w:val="18"/>
              </w:rPr>
              <w:t>-</w:t>
            </w:r>
          </w:p>
        </w:tc>
        <w:tc>
          <w:tcPr>
            <w:tcW w:w="1093" w:type="dxa"/>
            <w:tcBorders>
              <w:top w:val="nil"/>
              <w:left w:val="nil"/>
              <w:bottom w:val="nil"/>
              <w:right w:val="nil"/>
            </w:tcBorders>
            <w:shd w:val="clear" w:color="auto" w:fill="auto"/>
            <w:vAlign w:val="center"/>
            <w:hideMark/>
          </w:tcPr>
          <w:p w14:paraId="162C17BD" w14:textId="0A0F02C9" w:rsidR="00CD75F3" w:rsidRPr="00005453" w:rsidRDefault="00CD75F3" w:rsidP="00CD75F3">
            <w:pPr>
              <w:jc w:val="right"/>
              <w:rPr>
                <w:color w:val="000000"/>
                <w:sz w:val="18"/>
                <w:szCs w:val="18"/>
                <w:lang w:eastAsia="tr-TR"/>
              </w:rPr>
            </w:pPr>
            <w:r w:rsidRPr="00005453">
              <w:rPr>
                <w:sz w:val="18"/>
                <w:szCs w:val="18"/>
              </w:rPr>
              <w:t>50,273</w:t>
            </w:r>
          </w:p>
        </w:tc>
        <w:tc>
          <w:tcPr>
            <w:tcW w:w="1180" w:type="dxa"/>
            <w:tcBorders>
              <w:top w:val="nil"/>
              <w:left w:val="nil"/>
              <w:bottom w:val="nil"/>
              <w:right w:val="nil"/>
            </w:tcBorders>
            <w:shd w:val="clear" w:color="auto" w:fill="auto"/>
            <w:vAlign w:val="center"/>
            <w:hideMark/>
          </w:tcPr>
          <w:p w14:paraId="34976974" w14:textId="4F501C76" w:rsidR="00CD75F3" w:rsidRPr="00005453" w:rsidRDefault="00CD75F3" w:rsidP="00CD75F3">
            <w:pPr>
              <w:jc w:val="right"/>
              <w:rPr>
                <w:color w:val="000000"/>
                <w:sz w:val="18"/>
                <w:szCs w:val="18"/>
                <w:lang w:eastAsia="tr-TR"/>
              </w:rPr>
            </w:pPr>
            <w:r w:rsidRPr="00005453">
              <w:rPr>
                <w:sz w:val="18"/>
                <w:szCs w:val="18"/>
              </w:rPr>
              <w:t>-</w:t>
            </w:r>
          </w:p>
        </w:tc>
      </w:tr>
      <w:tr w:rsidR="00CD75F3" w:rsidRPr="00005453" w14:paraId="19A0ECBE" w14:textId="77777777" w:rsidTr="00CD75F3">
        <w:trPr>
          <w:divId w:val="760293746"/>
          <w:trHeight w:val="232"/>
        </w:trPr>
        <w:tc>
          <w:tcPr>
            <w:tcW w:w="4203" w:type="dxa"/>
            <w:tcBorders>
              <w:top w:val="nil"/>
              <w:left w:val="nil"/>
              <w:bottom w:val="nil"/>
              <w:right w:val="nil"/>
            </w:tcBorders>
            <w:shd w:val="clear" w:color="auto" w:fill="auto"/>
            <w:vAlign w:val="center"/>
            <w:hideMark/>
          </w:tcPr>
          <w:p w14:paraId="5C0B9237" w14:textId="6F346A21" w:rsidR="00CD75F3" w:rsidRPr="00005453" w:rsidRDefault="00CD75F3" w:rsidP="00CD75F3">
            <w:pPr>
              <w:jc w:val="both"/>
              <w:rPr>
                <w:color w:val="000000"/>
                <w:sz w:val="18"/>
                <w:szCs w:val="18"/>
                <w:lang w:eastAsia="tr-TR"/>
              </w:rPr>
            </w:pPr>
            <w:r w:rsidRPr="00005453">
              <w:rPr>
                <w:color w:val="000000"/>
                <w:sz w:val="18"/>
                <w:szCs w:val="18"/>
                <w:lang w:eastAsia="tr-TR"/>
              </w:rPr>
              <w:t>Yurt içi Bankalardan</w:t>
            </w:r>
          </w:p>
        </w:tc>
        <w:tc>
          <w:tcPr>
            <w:tcW w:w="1467" w:type="dxa"/>
            <w:tcBorders>
              <w:top w:val="nil"/>
              <w:left w:val="nil"/>
              <w:bottom w:val="nil"/>
              <w:right w:val="nil"/>
            </w:tcBorders>
            <w:shd w:val="clear" w:color="auto" w:fill="auto"/>
            <w:vAlign w:val="center"/>
            <w:hideMark/>
          </w:tcPr>
          <w:p w14:paraId="42F53FCA" w14:textId="39C1863C" w:rsidR="00CD75F3" w:rsidRPr="00005453" w:rsidRDefault="00CD75F3" w:rsidP="00CD75F3">
            <w:pPr>
              <w:jc w:val="right"/>
              <w:rPr>
                <w:color w:val="000000"/>
                <w:sz w:val="18"/>
                <w:szCs w:val="18"/>
                <w:lang w:eastAsia="tr-TR"/>
              </w:rPr>
            </w:pPr>
            <w:r w:rsidRPr="00005453">
              <w:rPr>
                <w:sz w:val="18"/>
                <w:szCs w:val="18"/>
              </w:rPr>
              <w:t>36,663</w:t>
            </w:r>
          </w:p>
        </w:tc>
        <w:tc>
          <w:tcPr>
            <w:tcW w:w="1272" w:type="dxa"/>
            <w:tcBorders>
              <w:top w:val="nil"/>
              <w:left w:val="nil"/>
              <w:bottom w:val="nil"/>
              <w:right w:val="nil"/>
            </w:tcBorders>
            <w:shd w:val="clear" w:color="auto" w:fill="auto"/>
            <w:vAlign w:val="center"/>
            <w:hideMark/>
          </w:tcPr>
          <w:p w14:paraId="559D133B" w14:textId="63EFA399" w:rsidR="00CD75F3" w:rsidRPr="00005453" w:rsidRDefault="00CD75F3" w:rsidP="00CD75F3">
            <w:pPr>
              <w:jc w:val="right"/>
              <w:rPr>
                <w:color w:val="000000"/>
                <w:sz w:val="18"/>
                <w:szCs w:val="18"/>
                <w:lang w:eastAsia="tr-TR"/>
              </w:rPr>
            </w:pPr>
            <w:r w:rsidRPr="00005453">
              <w:rPr>
                <w:sz w:val="18"/>
                <w:szCs w:val="18"/>
              </w:rPr>
              <w:t>-</w:t>
            </w:r>
          </w:p>
        </w:tc>
        <w:tc>
          <w:tcPr>
            <w:tcW w:w="1093" w:type="dxa"/>
            <w:tcBorders>
              <w:top w:val="nil"/>
              <w:left w:val="nil"/>
              <w:bottom w:val="nil"/>
              <w:right w:val="nil"/>
            </w:tcBorders>
            <w:shd w:val="clear" w:color="auto" w:fill="auto"/>
            <w:vAlign w:val="center"/>
            <w:hideMark/>
          </w:tcPr>
          <w:p w14:paraId="05F79907" w14:textId="4BA55990" w:rsidR="00CD75F3" w:rsidRPr="00005453" w:rsidRDefault="00CD75F3" w:rsidP="00CD75F3">
            <w:pPr>
              <w:jc w:val="right"/>
              <w:rPr>
                <w:color w:val="000000"/>
                <w:sz w:val="18"/>
                <w:szCs w:val="18"/>
                <w:lang w:eastAsia="tr-TR"/>
              </w:rPr>
            </w:pPr>
            <w:r w:rsidRPr="00005453">
              <w:rPr>
                <w:sz w:val="18"/>
                <w:szCs w:val="18"/>
              </w:rPr>
              <w:t>11,701</w:t>
            </w:r>
          </w:p>
        </w:tc>
        <w:tc>
          <w:tcPr>
            <w:tcW w:w="1180" w:type="dxa"/>
            <w:tcBorders>
              <w:top w:val="nil"/>
              <w:left w:val="nil"/>
              <w:bottom w:val="nil"/>
              <w:right w:val="nil"/>
            </w:tcBorders>
            <w:shd w:val="clear" w:color="auto" w:fill="auto"/>
            <w:vAlign w:val="center"/>
            <w:hideMark/>
          </w:tcPr>
          <w:p w14:paraId="06B645D0" w14:textId="73E324A5" w:rsidR="00CD75F3" w:rsidRPr="00005453" w:rsidRDefault="00CD75F3" w:rsidP="00CD75F3">
            <w:pPr>
              <w:jc w:val="right"/>
              <w:rPr>
                <w:color w:val="000000"/>
                <w:sz w:val="18"/>
                <w:szCs w:val="18"/>
                <w:lang w:eastAsia="tr-TR"/>
              </w:rPr>
            </w:pPr>
            <w:r w:rsidRPr="00005453">
              <w:rPr>
                <w:sz w:val="18"/>
                <w:szCs w:val="18"/>
              </w:rPr>
              <w:t>-</w:t>
            </w:r>
          </w:p>
        </w:tc>
      </w:tr>
      <w:tr w:rsidR="00CD75F3" w:rsidRPr="00005453" w14:paraId="7533926C" w14:textId="77777777" w:rsidTr="00CD75F3">
        <w:trPr>
          <w:divId w:val="760293746"/>
          <w:trHeight w:val="232"/>
        </w:trPr>
        <w:tc>
          <w:tcPr>
            <w:tcW w:w="4203" w:type="dxa"/>
            <w:tcBorders>
              <w:top w:val="nil"/>
              <w:left w:val="nil"/>
              <w:bottom w:val="nil"/>
              <w:right w:val="nil"/>
            </w:tcBorders>
            <w:shd w:val="clear" w:color="auto" w:fill="auto"/>
            <w:vAlign w:val="center"/>
            <w:hideMark/>
          </w:tcPr>
          <w:p w14:paraId="4DA706FF" w14:textId="68054693" w:rsidR="00CD75F3" w:rsidRPr="00005453" w:rsidRDefault="00CD75F3" w:rsidP="00CD75F3">
            <w:pPr>
              <w:jc w:val="both"/>
              <w:rPr>
                <w:color w:val="000000"/>
                <w:sz w:val="18"/>
                <w:szCs w:val="18"/>
                <w:lang w:eastAsia="tr-TR"/>
              </w:rPr>
            </w:pPr>
            <w:r w:rsidRPr="00005453">
              <w:rPr>
                <w:color w:val="000000"/>
                <w:sz w:val="18"/>
                <w:szCs w:val="18"/>
                <w:lang w:eastAsia="tr-TR"/>
              </w:rPr>
              <w:t>Yurt dışı Bankalardan</w:t>
            </w:r>
          </w:p>
        </w:tc>
        <w:tc>
          <w:tcPr>
            <w:tcW w:w="1467" w:type="dxa"/>
            <w:tcBorders>
              <w:top w:val="nil"/>
              <w:left w:val="nil"/>
              <w:bottom w:val="nil"/>
              <w:right w:val="nil"/>
            </w:tcBorders>
            <w:shd w:val="clear" w:color="auto" w:fill="auto"/>
            <w:vAlign w:val="center"/>
            <w:hideMark/>
          </w:tcPr>
          <w:p w14:paraId="1BC4338A" w14:textId="4AA4F30C" w:rsidR="00CD75F3" w:rsidRPr="00005453" w:rsidRDefault="00CD75F3" w:rsidP="00CD75F3">
            <w:pPr>
              <w:jc w:val="right"/>
              <w:rPr>
                <w:color w:val="000000"/>
                <w:sz w:val="18"/>
                <w:szCs w:val="18"/>
                <w:lang w:eastAsia="tr-TR"/>
              </w:rPr>
            </w:pPr>
            <w:r w:rsidRPr="00005453">
              <w:rPr>
                <w:sz w:val="18"/>
                <w:szCs w:val="18"/>
              </w:rPr>
              <w:t>30,000</w:t>
            </w:r>
          </w:p>
        </w:tc>
        <w:tc>
          <w:tcPr>
            <w:tcW w:w="1272" w:type="dxa"/>
            <w:tcBorders>
              <w:top w:val="nil"/>
              <w:left w:val="nil"/>
              <w:bottom w:val="nil"/>
              <w:right w:val="nil"/>
            </w:tcBorders>
            <w:shd w:val="clear" w:color="auto" w:fill="auto"/>
            <w:vAlign w:val="center"/>
            <w:hideMark/>
          </w:tcPr>
          <w:p w14:paraId="50F9F2DF" w14:textId="4B7614E4" w:rsidR="00CD75F3" w:rsidRPr="00005453" w:rsidRDefault="00CD75F3" w:rsidP="00CD75F3">
            <w:pPr>
              <w:jc w:val="right"/>
              <w:rPr>
                <w:color w:val="000000"/>
                <w:sz w:val="18"/>
                <w:szCs w:val="18"/>
                <w:lang w:eastAsia="tr-TR"/>
              </w:rPr>
            </w:pPr>
            <w:r w:rsidRPr="00005453">
              <w:rPr>
                <w:sz w:val="18"/>
                <w:szCs w:val="18"/>
              </w:rPr>
              <w:t>544,970</w:t>
            </w:r>
          </w:p>
        </w:tc>
        <w:tc>
          <w:tcPr>
            <w:tcW w:w="1093" w:type="dxa"/>
            <w:tcBorders>
              <w:top w:val="nil"/>
              <w:left w:val="nil"/>
              <w:bottom w:val="nil"/>
              <w:right w:val="nil"/>
            </w:tcBorders>
            <w:shd w:val="clear" w:color="auto" w:fill="auto"/>
            <w:vAlign w:val="center"/>
            <w:hideMark/>
          </w:tcPr>
          <w:p w14:paraId="1FE748A1" w14:textId="19D5CFA4" w:rsidR="00CD75F3" w:rsidRPr="00005453" w:rsidRDefault="00CD75F3" w:rsidP="00CD75F3">
            <w:pPr>
              <w:jc w:val="right"/>
              <w:rPr>
                <w:color w:val="000000"/>
                <w:sz w:val="18"/>
                <w:szCs w:val="18"/>
                <w:lang w:eastAsia="tr-TR"/>
              </w:rPr>
            </w:pPr>
            <w:r w:rsidRPr="00005453">
              <w:rPr>
                <w:sz w:val="18"/>
                <w:szCs w:val="18"/>
              </w:rPr>
              <w:t>30,668</w:t>
            </w:r>
          </w:p>
        </w:tc>
        <w:tc>
          <w:tcPr>
            <w:tcW w:w="1180" w:type="dxa"/>
            <w:tcBorders>
              <w:top w:val="nil"/>
              <w:left w:val="nil"/>
              <w:bottom w:val="nil"/>
              <w:right w:val="nil"/>
            </w:tcBorders>
            <w:shd w:val="clear" w:color="auto" w:fill="auto"/>
            <w:vAlign w:val="center"/>
            <w:hideMark/>
          </w:tcPr>
          <w:p w14:paraId="06DA0662" w14:textId="1876877A" w:rsidR="00CD75F3" w:rsidRPr="00005453" w:rsidRDefault="00CD75F3" w:rsidP="00CD75F3">
            <w:pPr>
              <w:jc w:val="right"/>
              <w:rPr>
                <w:color w:val="000000"/>
                <w:sz w:val="18"/>
                <w:szCs w:val="18"/>
                <w:lang w:eastAsia="tr-TR"/>
              </w:rPr>
            </w:pPr>
            <w:r w:rsidRPr="00005453">
              <w:rPr>
                <w:sz w:val="18"/>
                <w:szCs w:val="18"/>
              </w:rPr>
              <w:t>455,494</w:t>
            </w:r>
          </w:p>
        </w:tc>
      </w:tr>
      <w:tr w:rsidR="00CD75F3" w:rsidRPr="00005453" w14:paraId="7A95F5FA" w14:textId="77777777" w:rsidTr="00CD75F3">
        <w:trPr>
          <w:divId w:val="760293746"/>
          <w:trHeight w:val="246"/>
        </w:trPr>
        <w:tc>
          <w:tcPr>
            <w:tcW w:w="4203" w:type="dxa"/>
            <w:tcBorders>
              <w:top w:val="nil"/>
              <w:left w:val="nil"/>
              <w:bottom w:val="nil"/>
              <w:right w:val="nil"/>
            </w:tcBorders>
            <w:shd w:val="clear" w:color="auto" w:fill="auto"/>
            <w:vAlign w:val="center"/>
            <w:hideMark/>
          </w:tcPr>
          <w:p w14:paraId="56853B9C" w14:textId="641C5016" w:rsidR="00CD75F3" w:rsidRPr="00005453" w:rsidRDefault="00CD75F3" w:rsidP="00CD75F3">
            <w:pPr>
              <w:jc w:val="both"/>
              <w:rPr>
                <w:color w:val="000000"/>
                <w:sz w:val="18"/>
                <w:szCs w:val="18"/>
                <w:lang w:eastAsia="tr-TR"/>
              </w:rPr>
            </w:pPr>
            <w:r w:rsidRPr="00005453">
              <w:rPr>
                <w:color w:val="000000"/>
                <w:sz w:val="18"/>
                <w:szCs w:val="18"/>
                <w:lang w:eastAsia="tr-TR"/>
              </w:rPr>
              <w:t>Yurt dışı Merkez ve Şubelerden</w:t>
            </w:r>
          </w:p>
        </w:tc>
        <w:tc>
          <w:tcPr>
            <w:tcW w:w="1467" w:type="dxa"/>
            <w:tcBorders>
              <w:top w:val="nil"/>
              <w:left w:val="nil"/>
              <w:bottom w:val="nil"/>
              <w:right w:val="nil"/>
            </w:tcBorders>
            <w:shd w:val="clear" w:color="auto" w:fill="auto"/>
            <w:vAlign w:val="center"/>
            <w:hideMark/>
          </w:tcPr>
          <w:p w14:paraId="504CAB9C" w14:textId="4CA8ECAD" w:rsidR="00CD75F3" w:rsidRPr="00005453" w:rsidRDefault="00CD75F3" w:rsidP="00CD75F3">
            <w:pPr>
              <w:jc w:val="right"/>
              <w:rPr>
                <w:color w:val="000000"/>
                <w:sz w:val="18"/>
                <w:szCs w:val="18"/>
                <w:lang w:eastAsia="tr-TR"/>
              </w:rPr>
            </w:pPr>
            <w:r w:rsidRPr="00005453">
              <w:rPr>
                <w:sz w:val="18"/>
                <w:szCs w:val="18"/>
              </w:rPr>
              <w:t>-</w:t>
            </w:r>
          </w:p>
        </w:tc>
        <w:tc>
          <w:tcPr>
            <w:tcW w:w="1272" w:type="dxa"/>
            <w:tcBorders>
              <w:top w:val="nil"/>
              <w:left w:val="nil"/>
              <w:bottom w:val="nil"/>
              <w:right w:val="nil"/>
            </w:tcBorders>
            <w:shd w:val="clear" w:color="auto" w:fill="auto"/>
            <w:vAlign w:val="center"/>
            <w:hideMark/>
          </w:tcPr>
          <w:p w14:paraId="286054A4" w14:textId="329B8156" w:rsidR="00CD75F3" w:rsidRPr="00005453" w:rsidRDefault="00CD75F3" w:rsidP="00CD75F3">
            <w:pPr>
              <w:jc w:val="right"/>
              <w:rPr>
                <w:color w:val="000000"/>
                <w:sz w:val="18"/>
                <w:szCs w:val="18"/>
                <w:lang w:eastAsia="tr-TR"/>
              </w:rPr>
            </w:pPr>
            <w:r w:rsidRPr="00005453">
              <w:rPr>
                <w:sz w:val="18"/>
                <w:szCs w:val="18"/>
              </w:rPr>
              <w:t>-</w:t>
            </w:r>
          </w:p>
        </w:tc>
        <w:tc>
          <w:tcPr>
            <w:tcW w:w="1093" w:type="dxa"/>
            <w:tcBorders>
              <w:top w:val="nil"/>
              <w:left w:val="nil"/>
              <w:bottom w:val="nil"/>
              <w:right w:val="nil"/>
            </w:tcBorders>
            <w:shd w:val="clear" w:color="auto" w:fill="auto"/>
            <w:vAlign w:val="center"/>
            <w:hideMark/>
          </w:tcPr>
          <w:p w14:paraId="129BF0AC" w14:textId="029CA16B" w:rsidR="00CD75F3" w:rsidRPr="00005453" w:rsidRDefault="00CD75F3" w:rsidP="00CD75F3">
            <w:pPr>
              <w:jc w:val="right"/>
              <w:rPr>
                <w:color w:val="000000"/>
                <w:sz w:val="18"/>
                <w:szCs w:val="18"/>
                <w:lang w:eastAsia="tr-TR"/>
              </w:rPr>
            </w:pPr>
            <w:r w:rsidRPr="00005453">
              <w:rPr>
                <w:sz w:val="18"/>
                <w:szCs w:val="18"/>
              </w:rPr>
              <w:t>-</w:t>
            </w:r>
          </w:p>
        </w:tc>
        <w:tc>
          <w:tcPr>
            <w:tcW w:w="1180" w:type="dxa"/>
            <w:tcBorders>
              <w:top w:val="nil"/>
              <w:left w:val="nil"/>
              <w:bottom w:val="nil"/>
              <w:right w:val="nil"/>
            </w:tcBorders>
            <w:shd w:val="clear" w:color="auto" w:fill="auto"/>
            <w:vAlign w:val="center"/>
            <w:hideMark/>
          </w:tcPr>
          <w:p w14:paraId="036CA8D7" w14:textId="0635E96D" w:rsidR="00CD75F3" w:rsidRPr="00005453" w:rsidRDefault="00CD75F3" w:rsidP="00CD75F3">
            <w:pPr>
              <w:jc w:val="right"/>
              <w:rPr>
                <w:color w:val="000000"/>
                <w:sz w:val="18"/>
                <w:szCs w:val="18"/>
                <w:lang w:eastAsia="tr-TR"/>
              </w:rPr>
            </w:pPr>
            <w:r w:rsidRPr="00005453">
              <w:rPr>
                <w:sz w:val="18"/>
                <w:szCs w:val="18"/>
              </w:rPr>
              <w:t>-</w:t>
            </w:r>
          </w:p>
        </w:tc>
      </w:tr>
      <w:tr w:rsidR="00CD75F3" w:rsidRPr="00005453" w14:paraId="32A3957A" w14:textId="77777777" w:rsidTr="00CD75F3">
        <w:trPr>
          <w:divId w:val="760293746"/>
          <w:trHeight w:val="246"/>
        </w:trPr>
        <w:tc>
          <w:tcPr>
            <w:tcW w:w="4203" w:type="dxa"/>
            <w:tcBorders>
              <w:top w:val="single" w:sz="8" w:space="0" w:color="auto"/>
              <w:left w:val="nil"/>
              <w:bottom w:val="double" w:sz="6" w:space="0" w:color="auto"/>
              <w:right w:val="nil"/>
            </w:tcBorders>
            <w:shd w:val="clear" w:color="auto" w:fill="auto"/>
            <w:vAlign w:val="center"/>
            <w:hideMark/>
          </w:tcPr>
          <w:p w14:paraId="660A68A9" w14:textId="77777777" w:rsidR="00CD75F3" w:rsidRPr="00005453" w:rsidRDefault="00CD75F3" w:rsidP="00CD75F3">
            <w:pPr>
              <w:jc w:val="both"/>
              <w:rPr>
                <w:b/>
                <w:bCs/>
                <w:color w:val="000000"/>
                <w:sz w:val="18"/>
                <w:szCs w:val="18"/>
                <w:lang w:eastAsia="tr-TR"/>
              </w:rPr>
            </w:pPr>
            <w:r w:rsidRPr="00005453">
              <w:rPr>
                <w:b/>
                <w:bCs/>
                <w:color w:val="000000"/>
                <w:sz w:val="18"/>
                <w:szCs w:val="18"/>
                <w:lang w:eastAsia="tr-TR"/>
              </w:rPr>
              <w:t>Toplam</w:t>
            </w:r>
          </w:p>
        </w:tc>
        <w:tc>
          <w:tcPr>
            <w:tcW w:w="1467" w:type="dxa"/>
            <w:tcBorders>
              <w:top w:val="single" w:sz="8" w:space="0" w:color="auto"/>
              <w:left w:val="nil"/>
              <w:bottom w:val="double" w:sz="6" w:space="0" w:color="auto"/>
              <w:right w:val="nil"/>
            </w:tcBorders>
            <w:shd w:val="clear" w:color="auto" w:fill="auto"/>
            <w:vAlign w:val="center"/>
            <w:hideMark/>
          </w:tcPr>
          <w:p w14:paraId="385E0A84" w14:textId="0F00A6FA" w:rsidR="00CD75F3" w:rsidRPr="00005453" w:rsidRDefault="00CD75F3" w:rsidP="00CD75F3">
            <w:pPr>
              <w:jc w:val="right"/>
              <w:rPr>
                <w:b/>
                <w:bCs/>
                <w:color w:val="000000"/>
                <w:sz w:val="18"/>
                <w:szCs w:val="18"/>
                <w:lang w:eastAsia="tr-TR"/>
              </w:rPr>
            </w:pPr>
            <w:r w:rsidRPr="00005453">
              <w:rPr>
                <w:b/>
                <w:bCs/>
                <w:sz w:val="18"/>
                <w:szCs w:val="18"/>
              </w:rPr>
              <w:t>153,367</w:t>
            </w:r>
          </w:p>
        </w:tc>
        <w:tc>
          <w:tcPr>
            <w:tcW w:w="1272" w:type="dxa"/>
            <w:tcBorders>
              <w:top w:val="single" w:sz="8" w:space="0" w:color="auto"/>
              <w:left w:val="nil"/>
              <w:bottom w:val="double" w:sz="6" w:space="0" w:color="auto"/>
              <w:right w:val="nil"/>
            </w:tcBorders>
            <w:shd w:val="clear" w:color="auto" w:fill="auto"/>
            <w:vAlign w:val="center"/>
            <w:hideMark/>
          </w:tcPr>
          <w:p w14:paraId="0AC62BBE" w14:textId="0AEE49AA" w:rsidR="00CD75F3" w:rsidRPr="00005453" w:rsidRDefault="00CD75F3" w:rsidP="00CD75F3">
            <w:pPr>
              <w:jc w:val="right"/>
              <w:rPr>
                <w:b/>
                <w:bCs/>
                <w:color w:val="000000"/>
                <w:sz w:val="18"/>
                <w:szCs w:val="18"/>
                <w:lang w:eastAsia="tr-TR"/>
              </w:rPr>
            </w:pPr>
            <w:r w:rsidRPr="00005453">
              <w:rPr>
                <w:b/>
                <w:bCs/>
                <w:sz w:val="18"/>
                <w:szCs w:val="18"/>
              </w:rPr>
              <w:t>544,970</w:t>
            </w:r>
          </w:p>
        </w:tc>
        <w:tc>
          <w:tcPr>
            <w:tcW w:w="1093" w:type="dxa"/>
            <w:tcBorders>
              <w:top w:val="single" w:sz="8" w:space="0" w:color="auto"/>
              <w:left w:val="nil"/>
              <w:bottom w:val="double" w:sz="6" w:space="0" w:color="auto"/>
              <w:right w:val="nil"/>
            </w:tcBorders>
            <w:shd w:val="clear" w:color="auto" w:fill="auto"/>
            <w:vAlign w:val="center"/>
            <w:hideMark/>
          </w:tcPr>
          <w:p w14:paraId="6F88DDEE" w14:textId="47B8472B" w:rsidR="00CD75F3" w:rsidRPr="00005453" w:rsidRDefault="00CD75F3" w:rsidP="00CD75F3">
            <w:pPr>
              <w:jc w:val="right"/>
              <w:rPr>
                <w:b/>
                <w:bCs/>
                <w:color w:val="000000"/>
                <w:sz w:val="18"/>
                <w:szCs w:val="18"/>
                <w:lang w:eastAsia="tr-TR"/>
              </w:rPr>
            </w:pPr>
            <w:r w:rsidRPr="00005453">
              <w:rPr>
                <w:b/>
                <w:bCs/>
                <w:sz w:val="18"/>
                <w:szCs w:val="18"/>
              </w:rPr>
              <w:t>92,642</w:t>
            </w:r>
          </w:p>
        </w:tc>
        <w:tc>
          <w:tcPr>
            <w:tcW w:w="1180" w:type="dxa"/>
            <w:tcBorders>
              <w:top w:val="single" w:sz="8" w:space="0" w:color="auto"/>
              <w:left w:val="nil"/>
              <w:bottom w:val="double" w:sz="6" w:space="0" w:color="auto"/>
              <w:right w:val="nil"/>
            </w:tcBorders>
            <w:shd w:val="clear" w:color="auto" w:fill="auto"/>
            <w:vAlign w:val="center"/>
            <w:hideMark/>
          </w:tcPr>
          <w:p w14:paraId="70B6DF5B" w14:textId="260C7FA2" w:rsidR="00CD75F3" w:rsidRPr="00005453" w:rsidRDefault="00CD75F3" w:rsidP="00CD75F3">
            <w:pPr>
              <w:jc w:val="right"/>
              <w:rPr>
                <w:b/>
                <w:bCs/>
                <w:color w:val="000000"/>
                <w:sz w:val="18"/>
                <w:szCs w:val="18"/>
                <w:lang w:eastAsia="tr-TR"/>
              </w:rPr>
            </w:pPr>
            <w:r w:rsidRPr="00005453">
              <w:rPr>
                <w:b/>
                <w:bCs/>
                <w:sz w:val="18"/>
                <w:szCs w:val="18"/>
              </w:rPr>
              <w:t>455,494</w:t>
            </w:r>
          </w:p>
        </w:tc>
      </w:tr>
      <w:bookmarkEnd w:id="91"/>
    </w:tbl>
    <w:p w14:paraId="18CB2DA3" w14:textId="20FCD805" w:rsidR="00DA0127" w:rsidRPr="00005453" w:rsidRDefault="00DA0127" w:rsidP="000F096F">
      <w:pPr>
        <w:autoSpaceDE w:val="0"/>
        <w:autoSpaceDN w:val="0"/>
        <w:adjustRightInd w:val="0"/>
        <w:rPr>
          <w:b/>
          <w:sz w:val="16"/>
          <w:szCs w:val="16"/>
        </w:rPr>
      </w:pPr>
    </w:p>
    <w:p w14:paraId="1EF80AC4" w14:textId="2EE5F987" w:rsidR="008E0FFB" w:rsidRPr="00005453" w:rsidRDefault="008E0FFB" w:rsidP="000F096F">
      <w:pPr>
        <w:autoSpaceDE w:val="0"/>
        <w:autoSpaceDN w:val="0"/>
        <w:adjustRightInd w:val="0"/>
        <w:rPr>
          <w:b/>
          <w:sz w:val="16"/>
          <w:szCs w:val="16"/>
        </w:rPr>
      </w:pPr>
    </w:p>
    <w:p w14:paraId="47A28B61" w14:textId="39EC2857" w:rsidR="008E0FFB" w:rsidRPr="00005453" w:rsidRDefault="008E0FFB" w:rsidP="000F096F">
      <w:pPr>
        <w:autoSpaceDE w:val="0"/>
        <w:autoSpaceDN w:val="0"/>
        <w:adjustRightInd w:val="0"/>
        <w:rPr>
          <w:b/>
          <w:sz w:val="16"/>
          <w:szCs w:val="16"/>
        </w:rPr>
      </w:pPr>
    </w:p>
    <w:p w14:paraId="33D46467" w14:textId="7EE9371C" w:rsidR="008E0FFB" w:rsidRPr="00005453" w:rsidRDefault="008E0FFB" w:rsidP="000F096F">
      <w:pPr>
        <w:autoSpaceDE w:val="0"/>
        <w:autoSpaceDN w:val="0"/>
        <w:adjustRightInd w:val="0"/>
        <w:rPr>
          <w:b/>
          <w:sz w:val="16"/>
          <w:szCs w:val="16"/>
        </w:rPr>
      </w:pPr>
    </w:p>
    <w:p w14:paraId="53F4183E" w14:textId="77777777" w:rsidR="008E0FFB" w:rsidRPr="00005453" w:rsidRDefault="008E0FFB" w:rsidP="000F096F">
      <w:pPr>
        <w:autoSpaceDE w:val="0"/>
        <w:autoSpaceDN w:val="0"/>
        <w:adjustRightInd w:val="0"/>
        <w:rPr>
          <w:b/>
          <w:sz w:val="16"/>
          <w:szCs w:val="16"/>
        </w:rPr>
      </w:pPr>
    </w:p>
    <w:p w14:paraId="335D2192" w14:textId="77777777" w:rsidR="0023277E" w:rsidRPr="00005453" w:rsidRDefault="0023277E" w:rsidP="00B21C85">
      <w:pPr>
        <w:tabs>
          <w:tab w:val="left" w:pos="709"/>
        </w:tabs>
        <w:autoSpaceDE w:val="0"/>
        <w:autoSpaceDN w:val="0"/>
        <w:adjustRightInd w:val="0"/>
        <w:ind w:hanging="567"/>
        <w:rPr>
          <w:b/>
        </w:rPr>
        <w:sectPr w:rsidR="0023277E" w:rsidRPr="00005453" w:rsidSect="00475153">
          <w:pgSz w:w="11906" w:h="16838"/>
          <w:pgMar w:top="1417" w:right="1133" w:bottom="1438" w:left="1560" w:header="708" w:footer="708" w:gutter="0"/>
          <w:cols w:space="708"/>
          <w:docGrid w:linePitch="360"/>
        </w:sectPr>
      </w:pPr>
      <w:bookmarkStart w:id="92" w:name="_Hlk125134540"/>
    </w:p>
    <w:p w14:paraId="70291E74" w14:textId="3843DDF2" w:rsidR="008B1E20" w:rsidRPr="00005453" w:rsidRDefault="00B21C85" w:rsidP="00B21C85">
      <w:pPr>
        <w:tabs>
          <w:tab w:val="left" w:pos="709"/>
        </w:tabs>
        <w:autoSpaceDE w:val="0"/>
        <w:autoSpaceDN w:val="0"/>
        <w:adjustRightInd w:val="0"/>
        <w:ind w:hanging="567"/>
        <w:rPr>
          <w:b/>
        </w:rPr>
      </w:pPr>
      <w:r w:rsidRPr="00005453">
        <w:rPr>
          <w:b/>
        </w:rPr>
        <w:lastRenderedPageBreak/>
        <w:t>4</w:t>
      </w:r>
      <w:r w:rsidR="005F2AE3" w:rsidRPr="00005453">
        <w:rPr>
          <w:b/>
        </w:rPr>
        <w:t>.</w:t>
      </w:r>
      <w:r w:rsidRPr="00005453">
        <w:rPr>
          <w:b/>
        </w:rPr>
        <w:t>1.3</w:t>
      </w:r>
      <w:r w:rsidR="005F2AE3" w:rsidRPr="00005453">
        <w:rPr>
          <w:b/>
        </w:rPr>
        <w:tab/>
      </w:r>
      <w:r w:rsidR="00E253C8" w:rsidRPr="00005453">
        <w:rPr>
          <w:b/>
        </w:rPr>
        <w:t>Menkul değerlerden alınan kar paylarına ilişkin bilgiler</w:t>
      </w:r>
    </w:p>
    <w:p w14:paraId="21E81542" w14:textId="001CA3A3" w:rsidR="00BD5ADE" w:rsidRPr="00005453" w:rsidRDefault="00BD5ADE" w:rsidP="000F096F">
      <w:pPr>
        <w:tabs>
          <w:tab w:val="left" w:pos="0"/>
        </w:tabs>
        <w:rPr>
          <w:lang w:val="de-DE" w:eastAsia="en-GB"/>
        </w:rPr>
      </w:pPr>
    </w:p>
    <w:tbl>
      <w:tblPr>
        <w:tblW w:w="9197" w:type="dxa"/>
        <w:tblCellMar>
          <w:left w:w="70" w:type="dxa"/>
          <w:right w:w="70" w:type="dxa"/>
        </w:tblCellMar>
        <w:tblLook w:val="04A0" w:firstRow="1" w:lastRow="0" w:firstColumn="1" w:lastColumn="0" w:noHBand="0" w:noVBand="1"/>
      </w:tblPr>
      <w:tblGrid>
        <w:gridCol w:w="4253"/>
        <w:gridCol w:w="1417"/>
        <w:gridCol w:w="1267"/>
        <w:gridCol w:w="1098"/>
        <w:gridCol w:w="1162"/>
      </w:tblGrid>
      <w:tr w:rsidR="004A537D" w:rsidRPr="00005453" w14:paraId="31F771FC" w14:textId="77777777" w:rsidTr="00614CD2">
        <w:trPr>
          <w:divId w:val="1667702854"/>
          <w:trHeight w:val="176"/>
        </w:trPr>
        <w:tc>
          <w:tcPr>
            <w:tcW w:w="4253" w:type="dxa"/>
            <w:vMerge w:val="restart"/>
            <w:tcBorders>
              <w:top w:val="double" w:sz="6" w:space="0" w:color="auto"/>
              <w:left w:val="nil"/>
              <w:right w:val="nil"/>
            </w:tcBorders>
            <w:shd w:val="clear" w:color="auto" w:fill="auto"/>
            <w:vAlign w:val="center"/>
            <w:hideMark/>
          </w:tcPr>
          <w:p w14:paraId="3A5E5F27" w14:textId="77777777" w:rsidR="004A537D" w:rsidRPr="00005453" w:rsidRDefault="004A537D" w:rsidP="00BD5ADE">
            <w:pPr>
              <w:jc w:val="both"/>
              <w:rPr>
                <w:sz w:val="18"/>
                <w:szCs w:val="18"/>
                <w:lang w:eastAsia="tr-TR"/>
              </w:rPr>
            </w:pPr>
            <w:r w:rsidRPr="00005453">
              <w:rPr>
                <w:sz w:val="18"/>
                <w:szCs w:val="18"/>
                <w:lang w:eastAsia="tr-TR"/>
              </w:rPr>
              <w:t> </w:t>
            </w:r>
          </w:p>
          <w:p w14:paraId="3642C383" w14:textId="51753874" w:rsidR="004A537D" w:rsidRPr="00005453" w:rsidRDefault="004A537D" w:rsidP="00BD5ADE">
            <w:pPr>
              <w:jc w:val="both"/>
              <w:rPr>
                <w:sz w:val="18"/>
                <w:szCs w:val="18"/>
                <w:lang w:eastAsia="tr-TR"/>
              </w:rPr>
            </w:pPr>
            <w:r w:rsidRPr="00005453">
              <w:rPr>
                <w:b/>
                <w:bCs/>
                <w:sz w:val="18"/>
                <w:szCs w:val="18"/>
                <w:lang w:eastAsia="tr-TR"/>
              </w:rPr>
              <w:t> </w:t>
            </w:r>
          </w:p>
        </w:tc>
        <w:tc>
          <w:tcPr>
            <w:tcW w:w="2684" w:type="dxa"/>
            <w:gridSpan w:val="2"/>
            <w:tcBorders>
              <w:top w:val="double" w:sz="6" w:space="0" w:color="auto"/>
              <w:left w:val="nil"/>
              <w:bottom w:val="single" w:sz="8" w:space="0" w:color="auto"/>
              <w:right w:val="nil"/>
            </w:tcBorders>
            <w:shd w:val="clear" w:color="auto" w:fill="auto"/>
            <w:vAlign w:val="center"/>
            <w:hideMark/>
          </w:tcPr>
          <w:p w14:paraId="3A5342D8" w14:textId="77777777" w:rsidR="004A537D" w:rsidRPr="00005453" w:rsidRDefault="004A537D" w:rsidP="00614CD2">
            <w:pPr>
              <w:jc w:val="right"/>
              <w:rPr>
                <w:b/>
                <w:bCs/>
                <w:sz w:val="18"/>
                <w:szCs w:val="18"/>
                <w:lang w:eastAsia="tr-TR"/>
              </w:rPr>
            </w:pPr>
            <w:r w:rsidRPr="00005453">
              <w:rPr>
                <w:b/>
                <w:bCs/>
                <w:sz w:val="18"/>
                <w:szCs w:val="18"/>
                <w:lang w:eastAsia="tr-TR"/>
              </w:rPr>
              <w:t>Cari Dönem</w:t>
            </w:r>
          </w:p>
        </w:tc>
        <w:tc>
          <w:tcPr>
            <w:tcW w:w="2260" w:type="dxa"/>
            <w:gridSpan w:val="2"/>
            <w:tcBorders>
              <w:top w:val="double" w:sz="6" w:space="0" w:color="auto"/>
              <w:left w:val="nil"/>
              <w:bottom w:val="single" w:sz="8" w:space="0" w:color="auto"/>
              <w:right w:val="nil"/>
            </w:tcBorders>
            <w:shd w:val="clear" w:color="auto" w:fill="auto"/>
            <w:vAlign w:val="center"/>
            <w:hideMark/>
          </w:tcPr>
          <w:p w14:paraId="27383289" w14:textId="77777777" w:rsidR="004A537D" w:rsidRPr="00005453" w:rsidRDefault="004A537D" w:rsidP="00614CD2">
            <w:pPr>
              <w:jc w:val="right"/>
              <w:rPr>
                <w:b/>
                <w:bCs/>
                <w:sz w:val="18"/>
                <w:szCs w:val="18"/>
                <w:lang w:eastAsia="tr-TR"/>
              </w:rPr>
            </w:pPr>
            <w:r w:rsidRPr="00005453">
              <w:rPr>
                <w:b/>
                <w:bCs/>
                <w:sz w:val="18"/>
                <w:szCs w:val="18"/>
                <w:lang w:eastAsia="tr-TR"/>
              </w:rPr>
              <w:t>Önceki Dönem</w:t>
            </w:r>
          </w:p>
        </w:tc>
      </w:tr>
      <w:tr w:rsidR="004A537D" w:rsidRPr="00005453" w14:paraId="1C0E05DC" w14:textId="77777777" w:rsidTr="00BC54FD">
        <w:trPr>
          <w:divId w:val="1667702854"/>
          <w:trHeight w:val="167"/>
        </w:trPr>
        <w:tc>
          <w:tcPr>
            <w:tcW w:w="4253" w:type="dxa"/>
            <w:vMerge/>
            <w:tcBorders>
              <w:left w:val="nil"/>
              <w:bottom w:val="single" w:sz="8" w:space="0" w:color="auto"/>
              <w:right w:val="nil"/>
            </w:tcBorders>
            <w:shd w:val="clear" w:color="auto" w:fill="auto"/>
            <w:vAlign w:val="center"/>
            <w:hideMark/>
          </w:tcPr>
          <w:p w14:paraId="7CDC9D92" w14:textId="3ECF8642" w:rsidR="004A537D" w:rsidRPr="00005453" w:rsidRDefault="004A537D" w:rsidP="00BD5ADE">
            <w:pPr>
              <w:jc w:val="both"/>
              <w:rPr>
                <w:b/>
                <w:bCs/>
                <w:sz w:val="18"/>
                <w:szCs w:val="18"/>
                <w:lang w:eastAsia="tr-TR"/>
              </w:rPr>
            </w:pPr>
          </w:p>
        </w:tc>
        <w:tc>
          <w:tcPr>
            <w:tcW w:w="1417" w:type="dxa"/>
            <w:tcBorders>
              <w:top w:val="nil"/>
              <w:left w:val="nil"/>
              <w:bottom w:val="single" w:sz="8" w:space="0" w:color="auto"/>
              <w:right w:val="nil"/>
            </w:tcBorders>
            <w:shd w:val="clear" w:color="auto" w:fill="auto"/>
            <w:vAlign w:val="center"/>
            <w:hideMark/>
          </w:tcPr>
          <w:p w14:paraId="3695DFC1" w14:textId="77777777" w:rsidR="004A537D" w:rsidRPr="00005453" w:rsidRDefault="004A537D" w:rsidP="00BD5ADE">
            <w:pPr>
              <w:jc w:val="right"/>
              <w:rPr>
                <w:b/>
                <w:bCs/>
                <w:sz w:val="18"/>
                <w:szCs w:val="18"/>
                <w:lang w:eastAsia="tr-TR"/>
              </w:rPr>
            </w:pPr>
            <w:r w:rsidRPr="00005453">
              <w:rPr>
                <w:b/>
                <w:bCs/>
                <w:sz w:val="18"/>
                <w:szCs w:val="18"/>
                <w:lang w:eastAsia="tr-TR"/>
              </w:rPr>
              <w:t>TP</w:t>
            </w:r>
          </w:p>
        </w:tc>
        <w:tc>
          <w:tcPr>
            <w:tcW w:w="1267" w:type="dxa"/>
            <w:tcBorders>
              <w:top w:val="nil"/>
              <w:left w:val="nil"/>
              <w:bottom w:val="single" w:sz="8" w:space="0" w:color="auto"/>
              <w:right w:val="nil"/>
            </w:tcBorders>
            <w:shd w:val="clear" w:color="auto" w:fill="auto"/>
            <w:vAlign w:val="center"/>
            <w:hideMark/>
          </w:tcPr>
          <w:p w14:paraId="2EB5B061" w14:textId="77777777" w:rsidR="004A537D" w:rsidRPr="00005453" w:rsidRDefault="004A537D" w:rsidP="00BD5ADE">
            <w:pPr>
              <w:jc w:val="right"/>
              <w:rPr>
                <w:b/>
                <w:bCs/>
                <w:sz w:val="18"/>
                <w:szCs w:val="18"/>
                <w:lang w:eastAsia="tr-TR"/>
              </w:rPr>
            </w:pPr>
            <w:r w:rsidRPr="00005453">
              <w:rPr>
                <w:b/>
                <w:bCs/>
                <w:sz w:val="18"/>
                <w:szCs w:val="18"/>
                <w:lang w:eastAsia="tr-TR"/>
              </w:rPr>
              <w:t>YP</w:t>
            </w:r>
          </w:p>
        </w:tc>
        <w:tc>
          <w:tcPr>
            <w:tcW w:w="1098" w:type="dxa"/>
            <w:tcBorders>
              <w:top w:val="nil"/>
              <w:left w:val="nil"/>
              <w:bottom w:val="single" w:sz="8" w:space="0" w:color="auto"/>
              <w:right w:val="nil"/>
            </w:tcBorders>
            <w:shd w:val="clear" w:color="auto" w:fill="auto"/>
            <w:vAlign w:val="center"/>
            <w:hideMark/>
          </w:tcPr>
          <w:p w14:paraId="0B3C34BC" w14:textId="77777777" w:rsidR="004A537D" w:rsidRPr="00005453" w:rsidRDefault="004A537D" w:rsidP="00BD5ADE">
            <w:pPr>
              <w:jc w:val="right"/>
              <w:rPr>
                <w:b/>
                <w:bCs/>
                <w:sz w:val="18"/>
                <w:szCs w:val="18"/>
                <w:lang w:eastAsia="tr-TR"/>
              </w:rPr>
            </w:pPr>
            <w:r w:rsidRPr="00005453">
              <w:rPr>
                <w:b/>
                <w:bCs/>
                <w:sz w:val="18"/>
                <w:szCs w:val="18"/>
                <w:lang w:eastAsia="tr-TR"/>
              </w:rPr>
              <w:t>TP</w:t>
            </w:r>
          </w:p>
        </w:tc>
        <w:tc>
          <w:tcPr>
            <w:tcW w:w="1162" w:type="dxa"/>
            <w:tcBorders>
              <w:top w:val="nil"/>
              <w:left w:val="nil"/>
              <w:bottom w:val="single" w:sz="8" w:space="0" w:color="auto"/>
              <w:right w:val="nil"/>
            </w:tcBorders>
            <w:shd w:val="clear" w:color="auto" w:fill="auto"/>
            <w:vAlign w:val="center"/>
            <w:hideMark/>
          </w:tcPr>
          <w:p w14:paraId="1FBFCC51" w14:textId="77777777" w:rsidR="004A537D" w:rsidRPr="00005453" w:rsidRDefault="004A537D" w:rsidP="00BD5ADE">
            <w:pPr>
              <w:jc w:val="right"/>
              <w:rPr>
                <w:b/>
                <w:bCs/>
                <w:sz w:val="18"/>
                <w:szCs w:val="18"/>
                <w:lang w:eastAsia="tr-TR"/>
              </w:rPr>
            </w:pPr>
            <w:r w:rsidRPr="00005453">
              <w:rPr>
                <w:b/>
                <w:bCs/>
                <w:sz w:val="18"/>
                <w:szCs w:val="18"/>
                <w:lang w:eastAsia="tr-TR"/>
              </w:rPr>
              <w:t>YP</w:t>
            </w:r>
          </w:p>
        </w:tc>
      </w:tr>
      <w:tr w:rsidR="00CD75F3" w:rsidRPr="00005453" w14:paraId="281057E2" w14:textId="77777777" w:rsidTr="00517175">
        <w:trPr>
          <w:divId w:val="1667702854"/>
          <w:trHeight w:val="481"/>
        </w:trPr>
        <w:tc>
          <w:tcPr>
            <w:tcW w:w="4253" w:type="dxa"/>
            <w:tcBorders>
              <w:top w:val="nil"/>
              <w:left w:val="nil"/>
              <w:bottom w:val="nil"/>
              <w:right w:val="nil"/>
            </w:tcBorders>
            <w:shd w:val="clear" w:color="auto" w:fill="auto"/>
            <w:vAlign w:val="center"/>
            <w:hideMark/>
          </w:tcPr>
          <w:p w14:paraId="610398DE" w14:textId="77777777" w:rsidR="00CD75F3" w:rsidRPr="00005453" w:rsidRDefault="00CD75F3" w:rsidP="00517175">
            <w:pPr>
              <w:rPr>
                <w:sz w:val="18"/>
                <w:szCs w:val="18"/>
                <w:lang w:eastAsia="tr-TR"/>
              </w:rPr>
            </w:pPr>
            <w:r w:rsidRPr="00005453">
              <w:rPr>
                <w:sz w:val="18"/>
                <w:szCs w:val="18"/>
                <w:lang w:eastAsia="tr-TR"/>
              </w:rPr>
              <w:t>Gerçeğe Uygun Değer Farkı Kar veya Zarara Yansıtılan Finansal Varlıklar</w:t>
            </w:r>
          </w:p>
        </w:tc>
        <w:tc>
          <w:tcPr>
            <w:tcW w:w="1417" w:type="dxa"/>
            <w:tcBorders>
              <w:top w:val="nil"/>
              <w:left w:val="nil"/>
              <w:bottom w:val="nil"/>
              <w:right w:val="nil"/>
            </w:tcBorders>
            <w:shd w:val="clear" w:color="auto" w:fill="auto"/>
            <w:vAlign w:val="center"/>
            <w:hideMark/>
          </w:tcPr>
          <w:p w14:paraId="620C7595" w14:textId="41BAD76E" w:rsidR="00CD75F3" w:rsidRPr="00005453" w:rsidRDefault="00CD75F3" w:rsidP="00517175">
            <w:pPr>
              <w:jc w:val="right"/>
              <w:rPr>
                <w:sz w:val="18"/>
                <w:szCs w:val="18"/>
                <w:lang w:eastAsia="tr-TR"/>
              </w:rPr>
            </w:pPr>
            <w:r w:rsidRPr="00005453">
              <w:rPr>
                <w:sz w:val="18"/>
                <w:szCs w:val="18"/>
              </w:rPr>
              <w:t>122,715</w:t>
            </w:r>
          </w:p>
        </w:tc>
        <w:tc>
          <w:tcPr>
            <w:tcW w:w="1267" w:type="dxa"/>
            <w:tcBorders>
              <w:top w:val="nil"/>
              <w:left w:val="nil"/>
              <w:bottom w:val="nil"/>
              <w:right w:val="nil"/>
            </w:tcBorders>
            <w:shd w:val="clear" w:color="auto" w:fill="auto"/>
            <w:vAlign w:val="center"/>
            <w:hideMark/>
          </w:tcPr>
          <w:p w14:paraId="1307B56A" w14:textId="4460BFD6" w:rsidR="00CD75F3" w:rsidRPr="00005453" w:rsidRDefault="00CD75F3" w:rsidP="00517175">
            <w:pPr>
              <w:jc w:val="right"/>
              <w:rPr>
                <w:sz w:val="18"/>
                <w:szCs w:val="18"/>
                <w:lang w:eastAsia="tr-TR"/>
              </w:rPr>
            </w:pPr>
            <w:r w:rsidRPr="00005453">
              <w:rPr>
                <w:sz w:val="18"/>
                <w:szCs w:val="18"/>
              </w:rPr>
              <w:t>932,403</w:t>
            </w:r>
          </w:p>
        </w:tc>
        <w:tc>
          <w:tcPr>
            <w:tcW w:w="1098" w:type="dxa"/>
            <w:tcBorders>
              <w:top w:val="nil"/>
              <w:left w:val="nil"/>
              <w:bottom w:val="nil"/>
              <w:right w:val="nil"/>
            </w:tcBorders>
            <w:shd w:val="clear" w:color="auto" w:fill="auto"/>
            <w:vAlign w:val="center"/>
            <w:hideMark/>
          </w:tcPr>
          <w:p w14:paraId="29C766A5" w14:textId="1688D4F0" w:rsidR="00CD75F3" w:rsidRPr="00005453" w:rsidRDefault="00CD75F3" w:rsidP="00517175">
            <w:pPr>
              <w:jc w:val="right"/>
              <w:rPr>
                <w:sz w:val="18"/>
                <w:szCs w:val="18"/>
                <w:lang w:eastAsia="tr-TR"/>
              </w:rPr>
            </w:pPr>
            <w:r w:rsidRPr="00005453">
              <w:rPr>
                <w:sz w:val="18"/>
                <w:szCs w:val="18"/>
              </w:rPr>
              <w:t xml:space="preserve"> 128,618 </w:t>
            </w:r>
          </w:p>
        </w:tc>
        <w:tc>
          <w:tcPr>
            <w:tcW w:w="1162" w:type="dxa"/>
            <w:tcBorders>
              <w:top w:val="nil"/>
              <w:left w:val="nil"/>
              <w:bottom w:val="nil"/>
              <w:right w:val="nil"/>
            </w:tcBorders>
            <w:shd w:val="clear" w:color="auto" w:fill="auto"/>
            <w:vAlign w:val="center"/>
            <w:hideMark/>
          </w:tcPr>
          <w:p w14:paraId="61B99830" w14:textId="1A7D9957" w:rsidR="00CD75F3" w:rsidRPr="00005453" w:rsidRDefault="00CD75F3" w:rsidP="00517175">
            <w:pPr>
              <w:jc w:val="right"/>
              <w:rPr>
                <w:sz w:val="18"/>
                <w:szCs w:val="18"/>
                <w:lang w:eastAsia="tr-TR"/>
              </w:rPr>
            </w:pPr>
            <w:r w:rsidRPr="00005453">
              <w:rPr>
                <w:sz w:val="18"/>
                <w:szCs w:val="18"/>
              </w:rPr>
              <w:t xml:space="preserve"> 632,724 </w:t>
            </w:r>
          </w:p>
        </w:tc>
      </w:tr>
      <w:tr w:rsidR="00CD75F3" w:rsidRPr="00005453" w14:paraId="0B40B4A9" w14:textId="77777777" w:rsidTr="00517175">
        <w:trPr>
          <w:divId w:val="1667702854"/>
          <w:trHeight w:val="384"/>
        </w:trPr>
        <w:tc>
          <w:tcPr>
            <w:tcW w:w="4253" w:type="dxa"/>
            <w:tcBorders>
              <w:top w:val="nil"/>
              <w:left w:val="nil"/>
              <w:bottom w:val="nil"/>
              <w:right w:val="nil"/>
            </w:tcBorders>
            <w:shd w:val="clear" w:color="auto" w:fill="auto"/>
            <w:vAlign w:val="center"/>
            <w:hideMark/>
          </w:tcPr>
          <w:p w14:paraId="160848E7" w14:textId="77777777" w:rsidR="00CD75F3" w:rsidRPr="00005453" w:rsidRDefault="00CD75F3" w:rsidP="00517175">
            <w:pPr>
              <w:rPr>
                <w:sz w:val="18"/>
                <w:szCs w:val="18"/>
                <w:lang w:eastAsia="tr-TR"/>
              </w:rPr>
            </w:pPr>
            <w:r w:rsidRPr="00005453">
              <w:rPr>
                <w:sz w:val="18"/>
                <w:szCs w:val="18"/>
                <w:lang w:eastAsia="tr-TR"/>
              </w:rPr>
              <w:t>Gerçeğe Uygun Değer Farkı Diğer Kapsamlı Gelire Yansıtılan Finansal Varlıklar</w:t>
            </w:r>
          </w:p>
        </w:tc>
        <w:tc>
          <w:tcPr>
            <w:tcW w:w="1417" w:type="dxa"/>
            <w:tcBorders>
              <w:top w:val="nil"/>
              <w:left w:val="nil"/>
              <w:bottom w:val="nil"/>
              <w:right w:val="nil"/>
            </w:tcBorders>
            <w:shd w:val="clear" w:color="auto" w:fill="auto"/>
            <w:vAlign w:val="center"/>
            <w:hideMark/>
          </w:tcPr>
          <w:p w14:paraId="56E18A8D" w14:textId="41ABCEAF" w:rsidR="00CD75F3" w:rsidRPr="00005453" w:rsidRDefault="00CD75F3" w:rsidP="00517175">
            <w:pPr>
              <w:jc w:val="right"/>
              <w:rPr>
                <w:sz w:val="18"/>
                <w:szCs w:val="18"/>
                <w:lang w:eastAsia="tr-TR"/>
              </w:rPr>
            </w:pPr>
            <w:r w:rsidRPr="00005453">
              <w:rPr>
                <w:sz w:val="18"/>
                <w:szCs w:val="18"/>
              </w:rPr>
              <w:t>11,071,700</w:t>
            </w:r>
          </w:p>
        </w:tc>
        <w:tc>
          <w:tcPr>
            <w:tcW w:w="1267" w:type="dxa"/>
            <w:tcBorders>
              <w:top w:val="nil"/>
              <w:left w:val="nil"/>
              <w:bottom w:val="nil"/>
              <w:right w:val="nil"/>
            </w:tcBorders>
            <w:shd w:val="clear" w:color="auto" w:fill="auto"/>
            <w:vAlign w:val="center"/>
            <w:hideMark/>
          </w:tcPr>
          <w:p w14:paraId="258D2BC0" w14:textId="5C386EE8" w:rsidR="00CD75F3" w:rsidRPr="00005453" w:rsidRDefault="00CD75F3" w:rsidP="00517175">
            <w:pPr>
              <w:jc w:val="right"/>
              <w:rPr>
                <w:sz w:val="18"/>
                <w:szCs w:val="18"/>
                <w:lang w:eastAsia="tr-TR"/>
              </w:rPr>
            </w:pPr>
            <w:r w:rsidRPr="00005453">
              <w:rPr>
                <w:sz w:val="18"/>
                <w:szCs w:val="18"/>
              </w:rPr>
              <w:t>1,052,341</w:t>
            </w:r>
          </w:p>
        </w:tc>
        <w:tc>
          <w:tcPr>
            <w:tcW w:w="1098" w:type="dxa"/>
            <w:tcBorders>
              <w:top w:val="nil"/>
              <w:left w:val="nil"/>
              <w:bottom w:val="nil"/>
              <w:right w:val="nil"/>
            </w:tcBorders>
            <w:shd w:val="clear" w:color="auto" w:fill="auto"/>
            <w:vAlign w:val="center"/>
            <w:hideMark/>
          </w:tcPr>
          <w:p w14:paraId="33D42723" w14:textId="76FD93C6" w:rsidR="00CD75F3" w:rsidRPr="00005453" w:rsidRDefault="00CD75F3" w:rsidP="00517175">
            <w:pPr>
              <w:jc w:val="right"/>
              <w:rPr>
                <w:sz w:val="18"/>
                <w:szCs w:val="18"/>
                <w:lang w:eastAsia="tr-TR"/>
              </w:rPr>
            </w:pPr>
            <w:r w:rsidRPr="00005453">
              <w:rPr>
                <w:sz w:val="18"/>
                <w:szCs w:val="18"/>
              </w:rPr>
              <w:t xml:space="preserve"> 13,815,387 </w:t>
            </w:r>
          </w:p>
        </w:tc>
        <w:tc>
          <w:tcPr>
            <w:tcW w:w="1162" w:type="dxa"/>
            <w:tcBorders>
              <w:top w:val="nil"/>
              <w:left w:val="nil"/>
              <w:bottom w:val="nil"/>
              <w:right w:val="nil"/>
            </w:tcBorders>
            <w:shd w:val="clear" w:color="auto" w:fill="auto"/>
            <w:vAlign w:val="center"/>
            <w:hideMark/>
          </w:tcPr>
          <w:p w14:paraId="6CEE4101" w14:textId="1FBC8576" w:rsidR="00CD75F3" w:rsidRPr="00005453" w:rsidRDefault="00CD75F3" w:rsidP="00517175">
            <w:pPr>
              <w:jc w:val="right"/>
              <w:rPr>
                <w:sz w:val="18"/>
                <w:szCs w:val="18"/>
                <w:lang w:eastAsia="tr-TR"/>
              </w:rPr>
            </w:pPr>
            <w:r w:rsidRPr="00005453">
              <w:rPr>
                <w:sz w:val="18"/>
                <w:szCs w:val="18"/>
              </w:rPr>
              <w:t xml:space="preserve"> 1,258,864 </w:t>
            </w:r>
          </w:p>
        </w:tc>
      </w:tr>
      <w:tr w:rsidR="00CD75F3" w:rsidRPr="00005453" w14:paraId="5EF8CED1" w14:textId="77777777" w:rsidTr="00517175">
        <w:trPr>
          <w:divId w:val="1667702854"/>
          <w:trHeight w:val="481"/>
        </w:trPr>
        <w:tc>
          <w:tcPr>
            <w:tcW w:w="4253" w:type="dxa"/>
            <w:tcBorders>
              <w:top w:val="nil"/>
              <w:left w:val="nil"/>
              <w:bottom w:val="nil"/>
              <w:right w:val="nil"/>
            </w:tcBorders>
            <w:shd w:val="clear" w:color="auto" w:fill="auto"/>
            <w:vAlign w:val="center"/>
            <w:hideMark/>
          </w:tcPr>
          <w:p w14:paraId="4C5F5D15" w14:textId="77777777" w:rsidR="00CD75F3" w:rsidRPr="00005453" w:rsidRDefault="00CD75F3" w:rsidP="00517175">
            <w:pPr>
              <w:rPr>
                <w:sz w:val="18"/>
                <w:szCs w:val="18"/>
                <w:lang w:eastAsia="tr-TR"/>
              </w:rPr>
            </w:pPr>
            <w:r w:rsidRPr="00005453">
              <w:rPr>
                <w:sz w:val="18"/>
                <w:szCs w:val="18"/>
                <w:lang w:eastAsia="tr-TR"/>
              </w:rPr>
              <w:t>İtfa Edilmiş Maliyeti Üzerinden Değerlenen Finansal Varlıklar</w:t>
            </w:r>
          </w:p>
        </w:tc>
        <w:tc>
          <w:tcPr>
            <w:tcW w:w="1417" w:type="dxa"/>
            <w:tcBorders>
              <w:top w:val="nil"/>
              <w:left w:val="nil"/>
              <w:bottom w:val="nil"/>
              <w:right w:val="nil"/>
            </w:tcBorders>
            <w:shd w:val="clear" w:color="auto" w:fill="auto"/>
            <w:vAlign w:val="center"/>
            <w:hideMark/>
          </w:tcPr>
          <w:p w14:paraId="0182D67C" w14:textId="308FB859" w:rsidR="00CD75F3" w:rsidRPr="00005453" w:rsidRDefault="00CD75F3" w:rsidP="00517175">
            <w:pPr>
              <w:jc w:val="right"/>
              <w:rPr>
                <w:sz w:val="18"/>
                <w:szCs w:val="18"/>
                <w:lang w:eastAsia="tr-TR"/>
              </w:rPr>
            </w:pPr>
            <w:r w:rsidRPr="00005453">
              <w:rPr>
                <w:sz w:val="18"/>
                <w:szCs w:val="18"/>
              </w:rPr>
              <w:t>8,052,508</w:t>
            </w:r>
          </w:p>
        </w:tc>
        <w:tc>
          <w:tcPr>
            <w:tcW w:w="1267" w:type="dxa"/>
            <w:tcBorders>
              <w:top w:val="nil"/>
              <w:left w:val="nil"/>
              <w:bottom w:val="nil"/>
              <w:right w:val="nil"/>
            </w:tcBorders>
            <w:shd w:val="clear" w:color="auto" w:fill="auto"/>
            <w:vAlign w:val="center"/>
            <w:hideMark/>
          </w:tcPr>
          <w:p w14:paraId="136AFD16" w14:textId="59805C00" w:rsidR="00CD75F3" w:rsidRPr="00005453" w:rsidRDefault="00CD75F3" w:rsidP="00517175">
            <w:pPr>
              <w:jc w:val="right"/>
              <w:rPr>
                <w:sz w:val="18"/>
                <w:szCs w:val="18"/>
                <w:lang w:eastAsia="tr-TR"/>
              </w:rPr>
            </w:pPr>
            <w:r w:rsidRPr="00005453">
              <w:rPr>
                <w:sz w:val="18"/>
                <w:szCs w:val="18"/>
              </w:rPr>
              <w:t>1,906,250</w:t>
            </w:r>
          </w:p>
        </w:tc>
        <w:tc>
          <w:tcPr>
            <w:tcW w:w="1098" w:type="dxa"/>
            <w:tcBorders>
              <w:top w:val="nil"/>
              <w:left w:val="nil"/>
              <w:bottom w:val="nil"/>
              <w:right w:val="nil"/>
            </w:tcBorders>
            <w:shd w:val="clear" w:color="auto" w:fill="auto"/>
            <w:vAlign w:val="center"/>
            <w:hideMark/>
          </w:tcPr>
          <w:p w14:paraId="0A7BE4A7" w14:textId="4ECAA746" w:rsidR="00CD75F3" w:rsidRPr="00005453" w:rsidRDefault="00CD75F3" w:rsidP="00517175">
            <w:pPr>
              <w:jc w:val="right"/>
              <w:rPr>
                <w:sz w:val="18"/>
                <w:szCs w:val="18"/>
                <w:lang w:eastAsia="tr-TR"/>
              </w:rPr>
            </w:pPr>
            <w:r w:rsidRPr="00005453">
              <w:rPr>
                <w:sz w:val="18"/>
                <w:szCs w:val="18"/>
              </w:rPr>
              <w:t xml:space="preserve"> 3,142,765 </w:t>
            </w:r>
          </w:p>
        </w:tc>
        <w:tc>
          <w:tcPr>
            <w:tcW w:w="1162" w:type="dxa"/>
            <w:tcBorders>
              <w:top w:val="nil"/>
              <w:left w:val="nil"/>
              <w:bottom w:val="nil"/>
              <w:right w:val="nil"/>
            </w:tcBorders>
            <w:shd w:val="clear" w:color="auto" w:fill="auto"/>
            <w:vAlign w:val="center"/>
            <w:hideMark/>
          </w:tcPr>
          <w:p w14:paraId="4DFF875D" w14:textId="7E7650A1" w:rsidR="00CD75F3" w:rsidRPr="00005453" w:rsidRDefault="00CD75F3" w:rsidP="00517175">
            <w:pPr>
              <w:jc w:val="right"/>
              <w:rPr>
                <w:sz w:val="18"/>
                <w:szCs w:val="18"/>
                <w:lang w:eastAsia="tr-TR"/>
              </w:rPr>
            </w:pPr>
            <w:r w:rsidRPr="00005453">
              <w:rPr>
                <w:sz w:val="18"/>
                <w:szCs w:val="18"/>
              </w:rPr>
              <w:t xml:space="preserve"> 1,330,163 </w:t>
            </w:r>
          </w:p>
        </w:tc>
      </w:tr>
      <w:tr w:rsidR="00CD75F3" w:rsidRPr="00005453" w14:paraId="2F067E73" w14:textId="77777777" w:rsidTr="00517175">
        <w:trPr>
          <w:divId w:val="1667702854"/>
          <w:trHeight w:val="167"/>
        </w:trPr>
        <w:tc>
          <w:tcPr>
            <w:tcW w:w="4253" w:type="dxa"/>
            <w:tcBorders>
              <w:top w:val="single" w:sz="8" w:space="0" w:color="auto"/>
              <w:left w:val="nil"/>
              <w:bottom w:val="double" w:sz="6" w:space="0" w:color="auto"/>
              <w:right w:val="nil"/>
            </w:tcBorders>
            <w:shd w:val="clear" w:color="auto" w:fill="auto"/>
            <w:vAlign w:val="center"/>
            <w:hideMark/>
          </w:tcPr>
          <w:p w14:paraId="0A2309C9" w14:textId="77777777" w:rsidR="00CD75F3" w:rsidRPr="00005453" w:rsidRDefault="00CD75F3" w:rsidP="00CD75F3">
            <w:pPr>
              <w:jc w:val="both"/>
              <w:rPr>
                <w:b/>
                <w:bCs/>
                <w:sz w:val="18"/>
                <w:szCs w:val="18"/>
                <w:lang w:eastAsia="tr-TR"/>
              </w:rPr>
            </w:pPr>
            <w:r w:rsidRPr="00005453">
              <w:rPr>
                <w:b/>
                <w:bCs/>
                <w:sz w:val="18"/>
                <w:szCs w:val="18"/>
                <w:lang w:eastAsia="tr-TR"/>
              </w:rPr>
              <w:t>Toplam</w:t>
            </w:r>
          </w:p>
        </w:tc>
        <w:tc>
          <w:tcPr>
            <w:tcW w:w="1417" w:type="dxa"/>
            <w:tcBorders>
              <w:top w:val="single" w:sz="8" w:space="0" w:color="auto"/>
              <w:left w:val="nil"/>
              <w:bottom w:val="double" w:sz="6" w:space="0" w:color="auto"/>
              <w:right w:val="nil"/>
            </w:tcBorders>
            <w:shd w:val="clear" w:color="auto" w:fill="auto"/>
            <w:vAlign w:val="center"/>
            <w:hideMark/>
          </w:tcPr>
          <w:p w14:paraId="7D3B2009" w14:textId="081AB43E" w:rsidR="00CD75F3" w:rsidRPr="00005453" w:rsidRDefault="00CD75F3" w:rsidP="00517175">
            <w:pPr>
              <w:jc w:val="right"/>
              <w:rPr>
                <w:b/>
                <w:bCs/>
                <w:sz w:val="18"/>
                <w:szCs w:val="18"/>
                <w:lang w:eastAsia="tr-TR"/>
              </w:rPr>
            </w:pPr>
            <w:r w:rsidRPr="00005453">
              <w:rPr>
                <w:b/>
                <w:bCs/>
                <w:sz w:val="18"/>
                <w:szCs w:val="18"/>
              </w:rPr>
              <w:t>19,246,923</w:t>
            </w:r>
          </w:p>
        </w:tc>
        <w:tc>
          <w:tcPr>
            <w:tcW w:w="1267" w:type="dxa"/>
            <w:tcBorders>
              <w:top w:val="single" w:sz="8" w:space="0" w:color="auto"/>
              <w:left w:val="nil"/>
              <w:bottom w:val="double" w:sz="6" w:space="0" w:color="auto"/>
              <w:right w:val="nil"/>
            </w:tcBorders>
            <w:shd w:val="clear" w:color="auto" w:fill="auto"/>
            <w:vAlign w:val="center"/>
            <w:hideMark/>
          </w:tcPr>
          <w:p w14:paraId="6048E610" w14:textId="1576ED3A" w:rsidR="00CD75F3" w:rsidRPr="00005453" w:rsidRDefault="00CD75F3" w:rsidP="00517175">
            <w:pPr>
              <w:jc w:val="right"/>
              <w:rPr>
                <w:b/>
                <w:bCs/>
                <w:sz w:val="18"/>
                <w:szCs w:val="18"/>
                <w:lang w:eastAsia="tr-TR"/>
              </w:rPr>
            </w:pPr>
            <w:r w:rsidRPr="00005453">
              <w:rPr>
                <w:b/>
                <w:bCs/>
                <w:sz w:val="18"/>
                <w:szCs w:val="18"/>
              </w:rPr>
              <w:t>3,890,994</w:t>
            </w:r>
          </w:p>
        </w:tc>
        <w:tc>
          <w:tcPr>
            <w:tcW w:w="1098" w:type="dxa"/>
            <w:tcBorders>
              <w:top w:val="single" w:sz="8" w:space="0" w:color="auto"/>
              <w:left w:val="nil"/>
              <w:bottom w:val="double" w:sz="6" w:space="0" w:color="auto"/>
              <w:right w:val="nil"/>
            </w:tcBorders>
            <w:shd w:val="clear" w:color="auto" w:fill="auto"/>
            <w:vAlign w:val="center"/>
            <w:hideMark/>
          </w:tcPr>
          <w:p w14:paraId="67AEEA1F" w14:textId="4E0E0B69" w:rsidR="00CD75F3" w:rsidRPr="00005453" w:rsidRDefault="00CD75F3" w:rsidP="00517175">
            <w:pPr>
              <w:jc w:val="right"/>
              <w:rPr>
                <w:b/>
                <w:bCs/>
                <w:sz w:val="18"/>
                <w:szCs w:val="18"/>
                <w:lang w:eastAsia="tr-TR"/>
              </w:rPr>
            </w:pPr>
            <w:r w:rsidRPr="00005453">
              <w:rPr>
                <w:b/>
                <w:bCs/>
                <w:sz w:val="18"/>
                <w:szCs w:val="18"/>
              </w:rPr>
              <w:t xml:space="preserve"> 17,086,770 </w:t>
            </w:r>
          </w:p>
        </w:tc>
        <w:tc>
          <w:tcPr>
            <w:tcW w:w="1162" w:type="dxa"/>
            <w:tcBorders>
              <w:top w:val="single" w:sz="8" w:space="0" w:color="auto"/>
              <w:left w:val="nil"/>
              <w:bottom w:val="double" w:sz="6" w:space="0" w:color="auto"/>
              <w:right w:val="nil"/>
            </w:tcBorders>
            <w:shd w:val="clear" w:color="auto" w:fill="auto"/>
            <w:vAlign w:val="center"/>
            <w:hideMark/>
          </w:tcPr>
          <w:p w14:paraId="3C58A032" w14:textId="0EA1BBAE" w:rsidR="00CD75F3" w:rsidRPr="00005453" w:rsidRDefault="00CD75F3" w:rsidP="00517175">
            <w:pPr>
              <w:jc w:val="right"/>
              <w:rPr>
                <w:b/>
                <w:bCs/>
                <w:sz w:val="18"/>
                <w:szCs w:val="18"/>
                <w:lang w:eastAsia="tr-TR"/>
              </w:rPr>
            </w:pPr>
            <w:r w:rsidRPr="00005453">
              <w:rPr>
                <w:b/>
                <w:bCs/>
                <w:sz w:val="18"/>
                <w:szCs w:val="18"/>
              </w:rPr>
              <w:t xml:space="preserve"> 3,221,751 </w:t>
            </w:r>
          </w:p>
        </w:tc>
      </w:tr>
    </w:tbl>
    <w:p w14:paraId="574479F8" w14:textId="69AC8738" w:rsidR="00825692" w:rsidRPr="00005453" w:rsidRDefault="00825692" w:rsidP="000F096F">
      <w:pPr>
        <w:tabs>
          <w:tab w:val="left" w:pos="0"/>
        </w:tabs>
        <w:rPr>
          <w:iCs/>
          <w:sz w:val="16"/>
          <w:szCs w:val="16"/>
        </w:rPr>
      </w:pPr>
    </w:p>
    <w:bookmarkEnd w:id="92"/>
    <w:p w14:paraId="1ACC6BF4" w14:textId="77777777" w:rsidR="006D4984" w:rsidRPr="00005453" w:rsidRDefault="006D4984" w:rsidP="000F096F">
      <w:pPr>
        <w:tabs>
          <w:tab w:val="left" w:pos="0"/>
        </w:tabs>
        <w:rPr>
          <w:iCs/>
          <w:sz w:val="16"/>
          <w:szCs w:val="16"/>
        </w:rPr>
      </w:pPr>
    </w:p>
    <w:p w14:paraId="453D9B8A" w14:textId="7F616EC9" w:rsidR="008B1E20" w:rsidRPr="00005453" w:rsidRDefault="00B21C85" w:rsidP="00B21C85">
      <w:pPr>
        <w:pStyle w:val="ListParagraph"/>
        <w:autoSpaceDE w:val="0"/>
        <w:autoSpaceDN w:val="0"/>
        <w:adjustRightInd w:val="0"/>
        <w:ind w:left="0" w:hanging="567"/>
        <w:rPr>
          <w:b/>
        </w:rPr>
      </w:pPr>
      <w:r w:rsidRPr="00005453">
        <w:rPr>
          <w:b/>
        </w:rPr>
        <w:t xml:space="preserve">4.1.4 </w:t>
      </w:r>
      <w:r w:rsidRPr="00005453">
        <w:rPr>
          <w:b/>
        </w:rPr>
        <w:tab/>
      </w:r>
      <w:r w:rsidR="00E253C8" w:rsidRPr="00005453">
        <w:rPr>
          <w:b/>
        </w:rPr>
        <w:t xml:space="preserve">İştirak ve bağlı ortaklıklardan alınan </w:t>
      </w:r>
      <w:proofErr w:type="gramStart"/>
      <w:r w:rsidR="00E253C8" w:rsidRPr="00005453">
        <w:rPr>
          <w:b/>
        </w:rPr>
        <w:t>kar</w:t>
      </w:r>
      <w:proofErr w:type="gramEnd"/>
      <w:r w:rsidR="00E253C8" w:rsidRPr="00005453">
        <w:rPr>
          <w:b/>
        </w:rPr>
        <w:t xml:space="preserve"> payı gelirine ilişkin bilgiler</w:t>
      </w:r>
    </w:p>
    <w:p w14:paraId="542736E7" w14:textId="1140AA2F" w:rsidR="00BD5ADE" w:rsidRPr="00005453" w:rsidRDefault="00BD5ADE" w:rsidP="00DA0127">
      <w:pPr>
        <w:pStyle w:val="BodyTextIndent2"/>
        <w:tabs>
          <w:tab w:val="left" w:pos="180"/>
        </w:tabs>
        <w:ind w:left="0"/>
        <w:jc w:val="left"/>
        <w:rPr>
          <w:rFonts w:ascii="Times New Roman" w:hAnsi="Times New Roman"/>
          <w:b w:val="0"/>
          <w:color w:val="auto"/>
          <w:sz w:val="20"/>
          <w:lang w:eastAsia="en-GB"/>
        </w:rPr>
      </w:pPr>
    </w:p>
    <w:tbl>
      <w:tblPr>
        <w:tblW w:w="9221" w:type="dxa"/>
        <w:tblCellMar>
          <w:left w:w="70" w:type="dxa"/>
          <w:right w:w="70" w:type="dxa"/>
        </w:tblCellMar>
        <w:tblLook w:val="04A0" w:firstRow="1" w:lastRow="0" w:firstColumn="1" w:lastColumn="0" w:noHBand="0" w:noVBand="1"/>
      </w:tblPr>
      <w:tblGrid>
        <w:gridCol w:w="4820"/>
        <w:gridCol w:w="1984"/>
        <w:gridCol w:w="2417"/>
      </w:tblGrid>
      <w:tr w:rsidR="00BD5ADE" w:rsidRPr="00005453" w14:paraId="63B40600" w14:textId="77777777" w:rsidTr="00F26D69">
        <w:trPr>
          <w:divId w:val="1915316752"/>
          <w:trHeight w:val="226"/>
        </w:trPr>
        <w:tc>
          <w:tcPr>
            <w:tcW w:w="4820" w:type="dxa"/>
            <w:tcBorders>
              <w:top w:val="double" w:sz="6" w:space="0" w:color="auto"/>
              <w:left w:val="nil"/>
              <w:bottom w:val="single" w:sz="8" w:space="0" w:color="auto"/>
              <w:right w:val="nil"/>
            </w:tcBorders>
            <w:shd w:val="clear" w:color="auto" w:fill="auto"/>
            <w:vAlign w:val="center"/>
            <w:hideMark/>
          </w:tcPr>
          <w:p w14:paraId="102FC6D4" w14:textId="1048CE83" w:rsidR="00BD5ADE" w:rsidRPr="00005453" w:rsidRDefault="00BD5ADE" w:rsidP="00BD5ADE">
            <w:pPr>
              <w:jc w:val="center"/>
              <w:rPr>
                <w:b/>
                <w:bCs/>
                <w:sz w:val="18"/>
                <w:szCs w:val="18"/>
                <w:lang w:eastAsia="tr-TR"/>
              </w:rPr>
            </w:pPr>
            <w:r w:rsidRPr="00005453">
              <w:rPr>
                <w:b/>
                <w:bCs/>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13EB60E0" w14:textId="77777777" w:rsidR="00BD5ADE" w:rsidRPr="00005453" w:rsidRDefault="00BD5ADE" w:rsidP="00840FC0">
            <w:pPr>
              <w:jc w:val="right"/>
              <w:rPr>
                <w:b/>
                <w:bCs/>
                <w:sz w:val="18"/>
                <w:szCs w:val="18"/>
                <w:lang w:eastAsia="tr-TR"/>
              </w:rPr>
            </w:pPr>
            <w:r w:rsidRPr="00005453">
              <w:rPr>
                <w:b/>
                <w:bCs/>
                <w:sz w:val="18"/>
                <w:szCs w:val="18"/>
                <w:lang w:eastAsia="tr-TR"/>
              </w:rPr>
              <w:t>Cari Dönem</w:t>
            </w:r>
          </w:p>
        </w:tc>
        <w:tc>
          <w:tcPr>
            <w:tcW w:w="2417" w:type="dxa"/>
            <w:tcBorders>
              <w:top w:val="double" w:sz="6" w:space="0" w:color="auto"/>
              <w:left w:val="nil"/>
              <w:bottom w:val="single" w:sz="8" w:space="0" w:color="auto"/>
              <w:right w:val="nil"/>
            </w:tcBorders>
            <w:shd w:val="clear" w:color="auto" w:fill="auto"/>
            <w:vAlign w:val="center"/>
            <w:hideMark/>
          </w:tcPr>
          <w:p w14:paraId="47F02B25" w14:textId="77777777" w:rsidR="00BD5ADE" w:rsidRPr="00005453" w:rsidRDefault="00BD5ADE" w:rsidP="00840FC0">
            <w:pPr>
              <w:jc w:val="right"/>
              <w:rPr>
                <w:b/>
                <w:bCs/>
                <w:sz w:val="18"/>
                <w:szCs w:val="18"/>
                <w:lang w:eastAsia="tr-TR"/>
              </w:rPr>
            </w:pPr>
            <w:r w:rsidRPr="00005453">
              <w:rPr>
                <w:b/>
                <w:bCs/>
                <w:sz w:val="18"/>
                <w:szCs w:val="18"/>
                <w:lang w:eastAsia="tr-TR"/>
              </w:rPr>
              <w:t>Önceki Dönem</w:t>
            </w:r>
          </w:p>
        </w:tc>
      </w:tr>
      <w:tr w:rsidR="00BD5ADE" w:rsidRPr="00005453" w14:paraId="79781EF6" w14:textId="77777777" w:rsidTr="00F26D69">
        <w:trPr>
          <w:divId w:val="1915316752"/>
          <w:trHeight w:val="213"/>
        </w:trPr>
        <w:tc>
          <w:tcPr>
            <w:tcW w:w="4820" w:type="dxa"/>
            <w:tcBorders>
              <w:top w:val="nil"/>
              <w:left w:val="nil"/>
              <w:bottom w:val="double" w:sz="6" w:space="0" w:color="auto"/>
              <w:right w:val="nil"/>
            </w:tcBorders>
            <w:shd w:val="clear" w:color="auto" w:fill="auto"/>
            <w:vAlign w:val="center"/>
            <w:hideMark/>
          </w:tcPr>
          <w:p w14:paraId="0C572CDB" w14:textId="47285FD7" w:rsidR="00BD5ADE" w:rsidRPr="00005453" w:rsidRDefault="00BD5ADE" w:rsidP="00BD5ADE">
            <w:pPr>
              <w:jc w:val="both"/>
              <w:rPr>
                <w:sz w:val="18"/>
                <w:szCs w:val="18"/>
                <w:lang w:eastAsia="tr-TR"/>
              </w:rPr>
            </w:pPr>
            <w:r w:rsidRPr="00005453">
              <w:rPr>
                <w:sz w:val="18"/>
                <w:szCs w:val="18"/>
                <w:lang w:eastAsia="tr-TR"/>
              </w:rPr>
              <w:t xml:space="preserve">İştirak ve bağlı ortaklıklardan alınan </w:t>
            </w:r>
            <w:proofErr w:type="gramStart"/>
            <w:r w:rsidRPr="00005453">
              <w:rPr>
                <w:sz w:val="18"/>
                <w:szCs w:val="18"/>
                <w:lang w:eastAsia="tr-TR"/>
              </w:rPr>
              <w:t>kar</w:t>
            </w:r>
            <w:proofErr w:type="gramEnd"/>
            <w:r w:rsidRPr="00005453">
              <w:rPr>
                <w:sz w:val="18"/>
                <w:szCs w:val="18"/>
                <w:lang w:eastAsia="tr-TR"/>
              </w:rPr>
              <w:t xml:space="preserve"> pay</w:t>
            </w:r>
            <w:r w:rsidR="005854CD" w:rsidRPr="00005453">
              <w:rPr>
                <w:sz w:val="18"/>
                <w:szCs w:val="18"/>
                <w:lang w:eastAsia="tr-TR"/>
              </w:rPr>
              <w:t>ı gelirleri</w:t>
            </w:r>
          </w:p>
        </w:tc>
        <w:tc>
          <w:tcPr>
            <w:tcW w:w="1984" w:type="dxa"/>
            <w:tcBorders>
              <w:top w:val="nil"/>
              <w:left w:val="nil"/>
              <w:bottom w:val="double" w:sz="6" w:space="0" w:color="auto"/>
              <w:right w:val="nil"/>
            </w:tcBorders>
            <w:shd w:val="clear" w:color="auto" w:fill="auto"/>
            <w:vAlign w:val="center"/>
            <w:hideMark/>
          </w:tcPr>
          <w:p w14:paraId="076094E5" w14:textId="5FBDB35B" w:rsidR="00BD5ADE" w:rsidRPr="00005453" w:rsidRDefault="00CD75F3" w:rsidP="00BD5ADE">
            <w:pPr>
              <w:jc w:val="right"/>
              <w:rPr>
                <w:sz w:val="18"/>
                <w:szCs w:val="18"/>
                <w:lang w:eastAsia="tr-TR"/>
              </w:rPr>
            </w:pPr>
            <w:r w:rsidRPr="00005453">
              <w:rPr>
                <w:sz w:val="18"/>
                <w:szCs w:val="18"/>
                <w:lang w:eastAsia="tr-TR"/>
              </w:rPr>
              <w:t>1</w:t>
            </w:r>
            <w:r w:rsidR="008E344F" w:rsidRPr="00005453">
              <w:rPr>
                <w:sz w:val="18"/>
                <w:szCs w:val="18"/>
                <w:lang w:eastAsia="tr-TR"/>
              </w:rPr>
              <w:t>,</w:t>
            </w:r>
            <w:r w:rsidRPr="00005453">
              <w:rPr>
                <w:sz w:val="18"/>
                <w:szCs w:val="18"/>
                <w:lang w:eastAsia="tr-TR"/>
              </w:rPr>
              <w:t>85</w:t>
            </w:r>
            <w:r w:rsidR="008E6D94" w:rsidRPr="00005453">
              <w:rPr>
                <w:sz w:val="18"/>
                <w:szCs w:val="18"/>
                <w:lang w:eastAsia="tr-TR"/>
              </w:rPr>
              <w:t>3</w:t>
            </w:r>
            <w:r w:rsidRPr="00005453">
              <w:rPr>
                <w:sz w:val="18"/>
                <w:szCs w:val="18"/>
                <w:lang w:eastAsia="tr-TR"/>
              </w:rPr>
              <w:t>,252</w:t>
            </w:r>
          </w:p>
        </w:tc>
        <w:tc>
          <w:tcPr>
            <w:tcW w:w="2417" w:type="dxa"/>
            <w:tcBorders>
              <w:top w:val="nil"/>
              <w:left w:val="nil"/>
              <w:bottom w:val="double" w:sz="6" w:space="0" w:color="auto"/>
              <w:right w:val="nil"/>
            </w:tcBorders>
            <w:shd w:val="clear" w:color="auto" w:fill="auto"/>
            <w:vAlign w:val="center"/>
            <w:hideMark/>
          </w:tcPr>
          <w:p w14:paraId="1F3CC5AC" w14:textId="125A79FE" w:rsidR="00BD5ADE" w:rsidRPr="00005453" w:rsidRDefault="00C27C87" w:rsidP="00BD5ADE">
            <w:pPr>
              <w:jc w:val="right"/>
              <w:rPr>
                <w:sz w:val="18"/>
                <w:szCs w:val="18"/>
                <w:lang w:eastAsia="tr-TR"/>
              </w:rPr>
            </w:pPr>
            <w:r w:rsidRPr="00005453">
              <w:rPr>
                <w:sz w:val="18"/>
                <w:szCs w:val="18"/>
                <w:lang w:eastAsia="tr-TR"/>
              </w:rPr>
              <w:t>16</w:t>
            </w:r>
            <w:r w:rsidR="00700F7C" w:rsidRPr="00005453">
              <w:rPr>
                <w:sz w:val="18"/>
                <w:szCs w:val="18"/>
                <w:lang w:eastAsia="tr-TR"/>
              </w:rPr>
              <w:t>,</w:t>
            </w:r>
            <w:r w:rsidRPr="00005453">
              <w:rPr>
                <w:sz w:val="18"/>
                <w:szCs w:val="18"/>
                <w:lang w:eastAsia="tr-TR"/>
              </w:rPr>
              <w:t>110</w:t>
            </w:r>
          </w:p>
        </w:tc>
      </w:tr>
    </w:tbl>
    <w:p w14:paraId="792933EC" w14:textId="5A19222B" w:rsidR="004D1F78" w:rsidRPr="00005453" w:rsidRDefault="004D1F78" w:rsidP="00DA0127">
      <w:pPr>
        <w:pStyle w:val="BodyTextIndent2"/>
        <w:tabs>
          <w:tab w:val="left" w:pos="180"/>
        </w:tabs>
        <w:ind w:left="0"/>
        <w:jc w:val="left"/>
        <w:rPr>
          <w:rFonts w:ascii="Times New Roman" w:hAnsi="Times New Roman"/>
          <w:b w:val="0"/>
          <w:color w:val="auto"/>
          <w:sz w:val="16"/>
          <w:szCs w:val="16"/>
        </w:rPr>
      </w:pPr>
    </w:p>
    <w:p w14:paraId="76AB0292" w14:textId="08BD3D32" w:rsidR="005854CD" w:rsidRPr="00005453" w:rsidRDefault="00B21C85" w:rsidP="00B21C85">
      <w:pPr>
        <w:autoSpaceDE w:val="0"/>
        <w:autoSpaceDN w:val="0"/>
        <w:adjustRightInd w:val="0"/>
        <w:ind w:hanging="567"/>
        <w:rPr>
          <w:b/>
        </w:rPr>
      </w:pPr>
      <w:r w:rsidRPr="00005453">
        <w:rPr>
          <w:b/>
        </w:rPr>
        <w:t>4.2</w:t>
      </w:r>
      <w:r w:rsidRPr="00005453">
        <w:rPr>
          <w:b/>
        </w:rPr>
        <w:tab/>
      </w:r>
      <w:proofErr w:type="gramStart"/>
      <w:r w:rsidR="005854CD" w:rsidRPr="00005453">
        <w:rPr>
          <w:b/>
        </w:rPr>
        <w:t>Kar</w:t>
      </w:r>
      <w:proofErr w:type="gramEnd"/>
      <w:r w:rsidR="005854CD" w:rsidRPr="00005453">
        <w:rPr>
          <w:b/>
        </w:rPr>
        <w:t xml:space="preserve"> payı giderlerine ilişkin bilgiler</w:t>
      </w:r>
    </w:p>
    <w:p w14:paraId="0495EB9C" w14:textId="77777777" w:rsidR="005854CD" w:rsidRPr="00005453" w:rsidRDefault="005854CD" w:rsidP="00B21C85">
      <w:pPr>
        <w:autoSpaceDE w:val="0"/>
        <w:autoSpaceDN w:val="0"/>
        <w:adjustRightInd w:val="0"/>
        <w:ind w:hanging="567"/>
        <w:rPr>
          <w:b/>
        </w:rPr>
      </w:pPr>
    </w:p>
    <w:p w14:paraId="3CB9E4F0" w14:textId="06BF0A65" w:rsidR="000F096F" w:rsidRPr="00005453" w:rsidRDefault="005854CD" w:rsidP="00B21C85">
      <w:pPr>
        <w:autoSpaceDE w:val="0"/>
        <w:autoSpaceDN w:val="0"/>
        <w:adjustRightInd w:val="0"/>
        <w:ind w:hanging="567"/>
        <w:rPr>
          <w:b/>
          <w:bCs/>
          <w:iCs/>
        </w:rPr>
      </w:pPr>
      <w:r w:rsidRPr="00005453">
        <w:rPr>
          <w:b/>
        </w:rPr>
        <w:t xml:space="preserve">4.2.1   </w:t>
      </w:r>
      <w:r w:rsidR="00E253C8" w:rsidRPr="00005453">
        <w:rPr>
          <w:b/>
        </w:rPr>
        <w:t xml:space="preserve">Kullanılan kredilere verilen </w:t>
      </w:r>
      <w:proofErr w:type="gramStart"/>
      <w:r w:rsidR="00E253C8" w:rsidRPr="00005453">
        <w:rPr>
          <w:b/>
        </w:rPr>
        <w:t>kar</w:t>
      </w:r>
      <w:proofErr w:type="gramEnd"/>
      <w:r w:rsidR="00E253C8" w:rsidRPr="00005453">
        <w:rPr>
          <w:b/>
        </w:rPr>
        <w:t xml:space="preserve"> payına ilişkin bilgiler</w:t>
      </w:r>
    </w:p>
    <w:p w14:paraId="1687EBBD" w14:textId="4D9EA47D" w:rsidR="00BD5ADE" w:rsidRPr="00005453" w:rsidRDefault="00BD5ADE" w:rsidP="000F096F">
      <w:pPr>
        <w:tabs>
          <w:tab w:val="left" w:pos="-1980"/>
        </w:tabs>
        <w:rPr>
          <w:lang w:val="de-DE" w:eastAsia="en-GB"/>
        </w:rPr>
      </w:pPr>
    </w:p>
    <w:tbl>
      <w:tblPr>
        <w:tblW w:w="9177" w:type="dxa"/>
        <w:tblCellMar>
          <w:left w:w="70" w:type="dxa"/>
          <w:right w:w="70" w:type="dxa"/>
        </w:tblCellMar>
        <w:tblLook w:val="04A0" w:firstRow="1" w:lastRow="0" w:firstColumn="1" w:lastColumn="0" w:noHBand="0" w:noVBand="1"/>
      </w:tblPr>
      <w:tblGrid>
        <w:gridCol w:w="4340"/>
        <w:gridCol w:w="1309"/>
        <w:gridCol w:w="1241"/>
        <w:gridCol w:w="1048"/>
        <w:gridCol w:w="1239"/>
      </w:tblGrid>
      <w:tr w:rsidR="00BD5ADE" w:rsidRPr="00005453" w14:paraId="656DCE1A" w14:textId="77777777" w:rsidTr="00614CD2">
        <w:trPr>
          <w:divId w:val="731850756"/>
          <w:trHeight w:val="268"/>
        </w:trPr>
        <w:tc>
          <w:tcPr>
            <w:tcW w:w="4340" w:type="dxa"/>
            <w:tcBorders>
              <w:top w:val="double" w:sz="6" w:space="0" w:color="auto"/>
              <w:left w:val="nil"/>
              <w:bottom w:val="nil"/>
              <w:right w:val="nil"/>
            </w:tcBorders>
            <w:shd w:val="clear" w:color="auto" w:fill="auto"/>
            <w:vAlign w:val="center"/>
            <w:hideMark/>
          </w:tcPr>
          <w:p w14:paraId="41B846D3" w14:textId="46932890" w:rsidR="00BD5ADE" w:rsidRPr="00005453" w:rsidRDefault="00BD5ADE" w:rsidP="00BD5ADE">
            <w:pPr>
              <w:jc w:val="both"/>
              <w:rPr>
                <w:sz w:val="18"/>
                <w:szCs w:val="18"/>
                <w:lang w:eastAsia="tr-TR"/>
              </w:rPr>
            </w:pPr>
            <w:r w:rsidRPr="00005453">
              <w:rPr>
                <w:sz w:val="18"/>
                <w:szCs w:val="18"/>
                <w:lang w:eastAsia="tr-TR"/>
              </w:rPr>
              <w:t> </w:t>
            </w:r>
          </w:p>
        </w:tc>
        <w:tc>
          <w:tcPr>
            <w:tcW w:w="2550" w:type="dxa"/>
            <w:gridSpan w:val="2"/>
            <w:tcBorders>
              <w:top w:val="double" w:sz="6" w:space="0" w:color="auto"/>
              <w:left w:val="nil"/>
              <w:bottom w:val="single" w:sz="8" w:space="0" w:color="auto"/>
              <w:right w:val="nil"/>
            </w:tcBorders>
            <w:shd w:val="clear" w:color="auto" w:fill="auto"/>
            <w:vAlign w:val="center"/>
            <w:hideMark/>
          </w:tcPr>
          <w:p w14:paraId="5581EE82" w14:textId="77777777" w:rsidR="00BD5ADE" w:rsidRPr="00005453" w:rsidRDefault="00BD5ADE" w:rsidP="00614CD2">
            <w:pPr>
              <w:jc w:val="right"/>
              <w:rPr>
                <w:b/>
                <w:bCs/>
                <w:sz w:val="18"/>
                <w:szCs w:val="18"/>
                <w:lang w:eastAsia="tr-TR"/>
              </w:rPr>
            </w:pPr>
            <w:r w:rsidRPr="00005453">
              <w:rPr>
                <w:b/>
                <w:bCs/>
                <w:sz w:val="18"/>
                <w:szCs w:val="18"/>
                <w:lang w:eastAsia="tr-TR"/>
              </w:rPr>
              <w:t>Cari Dönem</w:t>
            </w:r>
          </w:p>
        </w:tc>
        <w:tc>
          <w:tcPr>
            <w:tcW w:w="2287" w:type="dxa"/>
            <w:gridSpan w:val="2"/>
            <w:tcBorders>
              <w:top w:val="double" w:sz="6" w:space="0" w:color="auto"/>
              <w:left w:val="nil"/>
              <w:bottom w:val="single" w:sz="8" w:space="0" w:color="auto"/>
              <w:right w:val="nil"/>
            </w:tcBorders>
            <w:shd w:val="clear" w:color="auto" w:fill="auto"/>
            <w:vAlign w:val="center"/>
            <w:hideMark/>
          </w:tcPr>
          <w:p w14:paraId="74A7D39B" w14:textId="77777777" w:rsidR="00BD5ADE" w:rsidRPr="00005453" w:rsidRDefault="00BD5ADE" w:rsidP="00614CD2">
            <w:pPr>
              <w:jc w:val="right"/>
              <w:rPr>
                <w:b/>
                <w:bCs/>
                <w:sz w:val="18"/>
                <w:szCs w:val="18"/>
                <w:lang w:eastAsia="tr-TR"/>
              </w:rPr>
            </w:pPr>
            <w:r w:rsidRPr="00005453">
              <w:rPr>
                <w:b/>
                <w:bCs/>
                <w:sz w:val="18"/>
                <w:szCs w:val="18"/>
                <w:lang w:eastAsia="tr-TR"/>
              </w:rPr>
              <w:t>Önceki Dönem</w:t>
            </w:r>
          </w:p>
        </w:tc>
      </w:tr>
      <w:tr w:rsidR="00BD5ADE" w:rsidRPr="00005453" w14:paraId="61D91608" w14:textId="77777777" w:rsidTr="00DF6107">
        <w:trPr>
          <w:divId w:val="731850756"/>
          <w:trHeight w:val="253"/>
        </w:trPr>
        <w:tc>
          <w:tcPr>
            <w:tcW w:w="4340" w:type="dxa"/>
            <w:tcBorders>
              <w:top w:val="nil"/>
              <w:left w:val="nil"/>
              <w:bottom w:val="single" w:sz="8" w:space="0" w:color="auto"/>
              <w:right w:val="nil"/>
            </w:tcBorders>
            <w:shd w:val="clear" w:color="auto" w:fill="auto"/>
            <w:vAlign w:val="center"/>
            <w:hideMark/>
          </w:tcPr>
          <w:p w14:paraId="4088B1C2" w14:textId="3C275729" w:rsidR="00BD5ADE" w:rsidRPr="00005453" w:rsidRDefault="00BD5ADE" w:rsidP="00BD5ADE">
            <w:pPr>
              <w:jc w:val="both"/>
              <w:rPr>
                <w:b/>
                <w:bCs/>
                <w:sz w:val="18"/>
                <w:szCs w:val="18"/>
                <w:lang w:eastAsia="tr-TR"/>
              </w:rPr>
            </w:pPr>
            <w:r w:rsidRPr="00005453">
              <w:rPr>
                <w:b/>
                <w:bCs/>
                <w:sz w:val="18"/>
                <w:szCs w:val="18"/>
                <w:lang w:eastAsia="tr-TR"/>
              </w:rPr>
              <w:t> </w:t>
            </w:r>
            <w:r w:rsidR="000B1592" w:rsidRPr="00005453">
              <w:rPr>
                <w:b/>
                <w:bCs/>
                <w:sz w:val="18"/>
                <w:szCs w:val="18"/>
                <w:lang w:eastAsia="tr-TR"/>
              </w:rPr>
              <w:t xml:space="preserve"> </w:t>
            </w:r>
          </w:p>
        </w:tc>
        <w:tc>
          <w:tcPr>
            <w:tcW w:w="1309" w:type="dxa"/>
            <w:tcBorders>
              <w:top w:val="nil"/>
              <w:left w:val="nil"/>
              <w:bottom w:val="single" w:sz="8" w:space="0" w:color="auto"/>
              <w:right w:val="nil"/>
            </w:tcBorders>
            <w:shd w:val="clear" w:color="auto" w:fill="auto"/>
            <w:vAlign w:val="center"/>
            <w:hideMark/>
          </w:tcPr>
          <w:p w14:paraId="5718320C" w14:textId="77777777" w:rsidR="00BD5ADE" w:rsidRPr="00005453" w:rsidRDefault="00BD5ADE" w:rsidP="0023277E">
            <w:pPr>
              <w:jc w:val="right"/>
              <w:rPr>
                <w:b/>
                <w:bCs/>
                <w:sz w:val="18"/>
                <w:szCs w:val="18"/>
                <w:lang w:eastAsia="tr-TR"/>
              </w:rPr>
            </w:pPr>
            <w:r w:rsidRPr="00005453">
              <w:rPr>
                <w:b/>
                <w:bCs/>
                <w:sz w:val="18"/>
                <w:szCs w:val="18"/>
                <w:lang w:eastAsia="tr-TR"/>
              </w:rPr>
              <w:t>TP</w:t>
            </w:r>
          </w:p>
        </w:tc>
        <w:tc>
          <w:tcPr>
            <w:tcW w:w="1241" w:type="dxa"/>
            <w:tcBorders>
              <w:top w:val="nil"/>
              <w:left w:val="nil"/>
              <w:bottom w:val="single" w:sz="8" w:space="0" w:color="auto"/>
              <w:right w:val="nil"/>
            </w:tcBorders>
            <w:shd w:val="clear" w:color="auto" w:fill="auto"/>
            <w:vAlign w:val="center"/>
            <w:hideMark/>
          </w:tcPr>
          <w:p w14:paraId="5644D6A4" w14:textId="77777777" w:rsidR="00BD5ADE" w:rsidRPr="00005453" w:rsidRDefault="00BD5ADE" w:rsidP="0023277E">
            <w:pPr>
              <w:jc w:val="right"/>
              <w:rPr>
                <w:b/>
                <w:bCs/>
                <w:sz w:val="18"/>
                <w:szCs w:val="18"/>
                <w:lang w:eastAsia="tr-TR"/>
              </w:rPr>
            </w:pPr>
            <w:r w:rsidRPr="00005453">
              <w:rPr>
                <w:b/>
                <w:bCs/>
                <w:sz w:val="18"/>
                <w:szCs w:val="18"/>
                <w:lang w:eastAsia="tr-TR"/>
              </w:rPr>
              <w:t>YP</w:t>
            </w:r>
          </w:p>
        </w:tc>
        <w:tc>
          <w:tcPr>
            <w:tcW w:w="1048" w:type="dxa"/>
            <w:tcBorders>
              <w:top w:val="nil"/>
              <w:left w:val="nil"/>
              <w:bottom w:val="single" w:sz="8" w:space="0" w:color="auto"/>
              <w:right w:val="nil"/>
            </w:tcBorders>
            <w:shd w:val="clear" w:color="auto" w:fill="auto"/>
            <w:vAlign w:val="center"/>
            <w:hideMark/>
          </w:tcPr>
          <w:p w14:paraId="29EB3B14" w14:textId="77777777" w:rsidR="00BD5ADE" w:rsidRPr="00005453" w:rsidRDefault="00BD5ADE" w:rsidP="0023277E">
            <w:pPr>
              <w:jc w:val="right"/>
              <w:rPr>
                <w:b/>
                <w:bCs/>
                <w:sz w:val="18"/>
                <w:szCs w:val="18"/>
                <w:lang w:eastAsia="tr-TR"/>
              </w:rPr>
            </w:pPr>
            <w:r w:rsidRPr="00005453">
              <w:rPr>
                <w:b/>
                <w:bCs/>
                <w:sz w:val="18"/>
                <w:szCs w:val="18"/>
                <w:lang w:eastAsia="tr-TR"/>
              </w:rPr>
              <w:t>TP</w:t>
            </w:r>
          </w:p>
        </w:tc>
        <w:tc>
          <w:tcPr>
            <w:tcW w:w="1239" w:type="dxa"/>
            <w:tcBorders>
              <w:top w:val="nil"/>
              <w:left w:val="nil"/>
              <w:bottom w:val="single" w:sz="8" w:space="0" w:color="auto"/>
              <w:right w:val="nil"/>
            </w:tcBorders>
            <w:shd w:val="clear" w:color="auto" w:fill="auto"/>
            <w:vAlign w:val="center"/>
            <w:hideMark/>
          </w:tcPr>
          <w:p w14:paraId="40463E84" w14:textId="77777777" w:rsidR="00BD5ADE" w:rsidRPr="00005453" w:rsidRDefault="00BD5ADE" w:rsidP="0023277E">
            <w:pPr>
              <w:jc w:val="right"/>
              <w:rPr>
                <w:b/>
                <w:bCs/>
                <w:sz w:val="18"/>
                <w:szCs w:val="18"/>
                <w:lang w:eastAsia="tr-TR"/>
              </w:rPr>
            </w:pPr>
            <w:r w:rsidRPr="00005453">
              <w:rPr>
                <w:b/>
                <w:bCs/>
                <w:sz w:val="18"/>
                <w:szCs w:val="18"/>
                <w:lang w:eastAsia="tr-TR"/>
              </w:rPr>
              <w:t>YP</w:t>
            </w:r>
          </w:p>
        </w:tc>
      </w:tr>
      <w:tr w:rsidR="00846060" w:rsidRPr="00005453" w14:paraId="289DF677" w14:textId="77777777" w:rsidTr="00517175">
        <w:trPr>
          <w:divId w:val="731850756"/>
          <w:trHeight w:val="239"/>
        </w:trPr>
        <w:tc>
          <w:tcPr>
            <w:tcW w:w="4340" w:type="dxa"/>
            <w:tcBorders>
              <w:top w:val="nil"/>
              <w:left w:val="nil"/>
              <w:bottom w:val="nil"/>
              <w:right w:val="nil"/>
            </w:tcBorders>
            <w:shd w:val="clear" w:color="auto" w:fill="auto"/>
            <w:vAlign w:val="center"/>
            <w:hideMark/>
          </w:tcPr>
          <w:p w14:paraId="602F2711" w14:textId="77777777" w:rsidR="00846060" w:rsidRPr="00005453" w:rsidRDefault="00846060" w:rsidP="00846060">
            <w:pPr>
              <w:rPr>
                <w:b/>
                <w:bCs/>
                <w:sz w:val="18"/>
                <w:szCs w:val="18"/>
                <w:lang w:eastAsia="tr-TR"/>
              </w:rPr>
            </w:pPr>
            <w:r w:rsidRPr="00005453">
              <w:rPr>
                <w:b/>
                <w:bCs/>
                <w:sz w:val="18"/>
                <w:szCs w:val="18"/>
                <w:lang w:eastAsia="tr-TR"/>
              </w:rPr>
              <w:t>Bankalara</w:t>
            </w:r>
          </w:p>
        </w:tc>
        <w:tc>
          <w:tcPr>
            <w:tcW w:w="1309" w:type="dxa"/>
            <w:tcBorders>
              <w:top w:val="nil"/>
              <w:left w:val="nil"/>
              <w:bottom w:val="nil"/>
              <w:right w:val="nil"/>
            </w:tcBorders>
            <w:shd w:val="clear" w:color="auto" w:fill="auto"/>
            <w:vAlign w:val="center"/>
            <w:hideMark/>
          </w:tcPr>
          <w:p w14:paraId="0BFAA22D" w14:textId="6C831C1D" w:rsidR="00846060" w:rsidRPr="00005453" w:rsidRDefault="00CD75F3" w:rsidP="00517175">
            <w:pPr>
              <w:jc w:val="right"/>
              <w:rPr>
                <w:b/>
                <w:bCs/>
                <w:sz w:val="18"/>
                <w:szCs w:val="18"/>
                <w:lang w:eastAsia="tr-TR"/>
              </w:rPr>
            </w:pPr>
            <w:r w:rsidRPr="00005453">
              <w:rPr>
                <w:b/>
                <w:bCs/>
                <w:sz w:val="18"/>
                <w:szCs w:val="18"/>
                <w:lang w:eastAsia="tr-TR"/>
              </w:rPr>
              <w:t>1,753</w:t>
            </w:r>
            <w:r w:rsidR="00846060" w:rsidRPr="00005453">
              <w:rPr>
                <w:b/>
                <w:bCs/>
                <w:sz w:val="18"/>
                <w:szCs w:val="18"/>
                <w:lang w:eastAsia="tr-TR"/>
              </w:rPr>
              <w:t>,</w:t>
            </w:r>
            <w:r w:rsidRPr="00005453">
              <w:rPr>
                <w:b/>
                <w:bCs/>
                <w:sz w:val="18"/>
                <w:szCs w:val="18"/>
                <w:lang w:eastAsia="tr-TR"/>
              </w:rPr>
              <w:t>529</w:t>
            </w:r>
          </w:p>
        </w:tc>
        <w:tc>
          <w:tcPr>
            <w:tcW w:w="1241" w:type="dxa"/>
            <w:tcBorders>
              <w:top w:val="nil"/>
              <w:left w:val="nil"/>
              <w:bottom w:val="nil"/>
              <w:right w:val="nil"/>
            </w:tcBorders>
            <w:shd w:val="clear" w:color="auto" w:fill="auto"/>
            <w:vAlign w:val="center"/>
            <w:hideMark/>
          </w:tcPr>
          <w:p w14:paraId="292C5A83" w14:textId="25EB6CD6" w:rsidR="00846060" w:rsidRPr="00005453" w:rsidRDefault="00CD75F3" w:rsidP="00517175">
            <w:pPr>
              <w:jc w:val="right"/>
              <w:rPr>
                <w:b/>
                <w:bCs/>
                <w:sz w:val="18"/>
                <w:szCs w:val="18"/>
                <w:lang w:eastAsia="tr-TR"/>
              </w:rPr>
            </w:pPr>
            <w:r w:rsidRPr="00005453">
              <w:rPr>
                <w:b/>
                <w:bCs/>
                <w:sz w:val="18"/>
                <w:szCs w:val="18"/>
                <w:lang w:eastAsia="tr-TR"/>
              </w:rPr>
              <w:t>1,691</w:t>
            </w:r>
            <w:r w:rsidR="00846060" w:rsidRPr="00005453">
              <w:rPr>
                <w:b/>
                <w:bCs/>
                <w:sz w:val="18"/>
                <w:szCs w:val="18"/>
                <w:lang w:eastAsia="tr-TR"/>
              </w:rPr>
              <w:t>,</w:t>
            </w:r>
            <w:r w:rsidRPr="00005453">
              <w:rPr>
                <w:b/>
                <w:bCs/>
                <w:sz w:val="18"/>
                <w:szCs w:val="18"/>
                <w:lang w:eastAsia="tr-TR"/>
              </w:rPr>
              <w:t>224</w:t>
            </w:r>
          </w:p>
        </w:tc>
        <w:tc>
          <w:tcPr>
            <w:tcW w:w="1048" w:type="dxa"/>
            <w:tcBorders>
              <w:top w:val="nil"/>
              <w:left w:val="nil"/>
              <w:bottom w:val="nil"/>
              <w:right w:val="nil"/>
            </w:tcBorders>
            <w:shd w:val="clear" w:color="auto" w:fill="auto"/>
            <w:vAlign w:val="center"/>
            <w:hideMark/>
          </w:tcPr>
          <w:p w14:paraId="259915FA" w14:textId="084C6B02" w:rsidR="00846060" w:rsidRPr="00005453" w:rsidRDefault="00846060" w:rsidP="00517175">
            <w:pPr>
              <w:jc w:val="right"/>
              <w:rPr>
                <w:b/>
                <w:bCs/>
                <w:sz w:val="18"/>
                <w:szCs w:val="18"/>
                <w:lang w:eastAsia="tr-TR"/>
              </w:rPr>
            </w:pPr>
            <w:r w:rsidRPr="00005453">
              <w:rPr>
                <w:b/>
                <w:bCs/>
                <w:sz w:val="18"/>
                <w:szCs w:val="18"/>
                <w:lang w:eastAsia="tr-TR"/>
              </w:rPr>
              <w:t>361,944</w:t>
            </w:r>
          </w:p>
        </w:tc>
        <w:tc>
          <w:tcPr>
            <w:tcW w:w="1239" w:type="dxa"/>
            <w:tcBorders>
              <w:top w:val="nil"/>
              <w:left w:val="nil"/>
              <w:bottom w:val="nil"/>
              <w:right w:val="nil"/>
            </w:tcBorders>
            <w:shd w:val="clear" w:color="auto" w:fill="auto"/>
            <w:vAlign w:val="center"/>
            <w:hideMark/>
          </w:tcPr>
          <w:p w14:paraId="7CECEF1C" w14:textId="221FD04E" w:rsidR="00846060" w:rsidRPr="00005453" w:rsidRDefault="00846060" w:rsidP="00517175">
            <w:pPr>
              <w:jc w:val="right"/>
              <w:rPr>
                <w:b/>
                <w:bCs/>
                <w:sz w:val="18"/>
                <w:szCs w:val="18"/>
                <w:lang w:eastAsia="tr-TR"/>
              </w:rPr>
            </w:pPr>
            <w:r w:rsidRPr="00005453">
              <w:rPr>
                <w:b/>
                <w:bCs/>
                <w:sz w:val="18"/>
                <w:szCs w:val="18"/>
                <w:lang w:eastAsia="tr-TR"/>
              </w:rPr>
              <w:t>933,530</w:t>
            </w:r>
          </w:p>
        </w:tc>
      </w:tr>
      <w:tr w:rsidR="00CD75F3" w:rsidRPr="00005453" w14:paraId="255E2FE3" w14:textId="77777777" w:rsidTr="00517175">
        <w:trPr>
          <w:divId w:val="731850756"/>
          <w:trHeight w:val="239"/>
        </w:trPr>
        <w:tc>
          <w:tcPr>
            <w:tcW w:w="4340" w:type="dxa"/>
            <w:tcBorders>
              <w:top w:val="nil"/>
              <w:left w:val="nil"/>
              <w:bottom w:val="nil"/>
              <w:right w:val="nil"/>
            </w:tcBorders>
            <w:shd w:val="clear" w:color="auto" w:fill="auto"/>
            <w:vAlign w:val="center"/>
            <w:hideMark/>
          </w:tcPr>
          <w:p w14:paraId="4F04FF48" w14:textId="77777777" w:rsidR="00CD75F3" w:rsidRPr="00005453" w:rsidRDefault="00CD75F3" w:rsidP="00CD75F3">
            <w:pPr>
              <w:ind w:firstLineChars="200" w:firstLine="360"/>
              <w:rPr>
                <w:sz w:val="18"/>
                <w:szCs w:val="18"/>
                <w:lang w:eastAsia="tr-TR"/>
              </w:rPr>
            </w:pPr>
            <w:r w:rsidRPr="00005453">
              <w:rPr>
                <w:rFonts w:eastAsia="Arial Unicode MS"/>
                <w:sz w:val="18"/>
                <w:szCs w:val="18"/>
                <w:lang w:eastAsia="tr-TR"/>
              </w:rPr>
              <w:t>T.C. Merkez Bankasına</w:t>
            </w:r>
          </w:p>
        </w:tc>
        <w:tc>
          <w:tcPr>
            <w:tcW w:w="1309" w:type="dxa"/>
            <w:tcBorders>
              <w:top w:val="nil"/>
              <w:left w:val="nil"/>
              <w:bottom w:val="nil"/>
              <w:right w:val="nil"/>
            </w:tcBorders>
            <w:shd w:val="clear" w:color="auto" w:fill="auto"/>
            <w:vAlign w:val="center"/>
            <w:hideMark/>
          </w:tcPr>
          <w:p w14:paraId="0DC25503" w14:textId="5CB20545" w:rsidR="00CD75F3" w:rsidRPr="00005453" w:rsidRDefault="00CD75F3" w:rsidP="00517175">
            <w:pPr>
              <w:jc w:val="right"/>
              <w:rPr>
                <w:sz w:val="18"/>
                <w:szCs w:val="18"/>
                <w:lang w:eastAsia="tr-TR"/>
              </w:rPr>
            </w:pPr>
            <w:r w:rsidRPr="00005453">
              <w:rPr>
                <w:sz w:val="18"/>
                <w:szCs w:val="18"/>
              </w:rPr>
              <w:t>-</w:t>
            </w:r>
          </w:p>
        </w:tc>
        <w:tc>
          <w:tcPr>
            <w:tcW w:w="1241" w:type="dxa"/>
            <w:tcBorders>
              <w:top w:val="nil"/>
              <w:left w:val="nil"/>
              <w:bottom w:val="nil"/>
              <w:right w:val="nil"/>
            </w:tcBorders>
            <w:shd w:val="clear" w:color="auto" w:fill="auto"/>
            <w:vAlign w:val="center"/>
            <w:hideMark/>
          </w:tcPr>
          <w:p w14:paraId="7343FE1F" w14:textId="566EF937" w:rsidR="00CD75F3" w:rsidRPr="00005453" w:rsidRDefault="00CD75F3" w:rsidP="00517175">
            <w:pPr>
              <w:jc w:val="right"/>
              <w:rPr>
                <w:sz w:val="18"/>
                <w:szCs w:val="18"/>
                <w:lang w:eastAsia="tr-TR"/>
              </w:rPr>
            </w:pPr>
            <w:r w:rsidRPr="00005453">
              <w:rPr>
                <w:sz w:val="18"/>
                <w:szCs w:val="18"/>
              </w:rPr>
              <w:t>-</w:t>
            </w:r>
          </w:p>
        </w:tc>
        <w:tc>
          <w:tcPr>
            <w:tcW w:w="1048" w:type="dxa"/>
            <w:tcBorders>
              <w:top w:val="nil"/>
              <w:left w:val="nil"/>
              <w:bottom w:val="nil"/>
              <w:right w:val="nil"/>
            </w:tcBorders>
            <w:shd w:val="clear" w:color="auto" w:fill="auto"/>
            <w:vAlign w:val="center"/>
            <w:hideMark/>
          </w:tcPr>
          <w:p w14:paraId="1278E7A5" w14:textId="0B102F8C" w:rsidR="00CD75F3" w:rsidRPr="00005453" w:rsidRDefault="00CD75F3" w:rsidP="00517175">
            <w:pPr>
              <w:jc w:val="right"/>
              <w:rPr>
                <w:sz w:val="18"/>
                <w:szCs w:val="18"/>
                <w:lang w:eastAsia="tr-TR"/>
              </w:rPr>
            </w:pPr>
            <w:r w:rsidRPr="00005453">
              <w:rPr>
                <w:sz w:val="18"/>
                <w:szCs w:val="18"/>
                <w:lang w:eastAsia="tr-TR"/>
              </w:rPr>
              <w:t>-</w:t>
            </w:r>
          </w:p>
        </w:tc>
        <w:tc>
          <w:tcPr>
            <w:tcW w:w="1239" w:type="dxa"/>
            <w:tcBorders>
              <w:top w:val="nil"/>
              <w:left w:val="nil"/>
              <w:bottom w:val="nil"/>
              <w:right w:val="nil"/>
            </w:tcBorders>
            <w:shd w:val="clear" w:color="auto" w:fill="auto"/>
            <w:vAlign w:val="center"/>
            <w:hideMark/>
          </w:tcPr>
          <w:p w14:paraId="435B6C80" w14:textId="286C9F1B" w:rsidR="00CD75F3" w:rsidRPr="00005453" w:rsidRDefault="00CD75F3" w:rsidP="00517175">
            <w:pPr>
              <w:jc w:val="right"/>
              <w:rPr>
                <w:sz w:val="18"/>
                <w:szCs w:val="18"/>
                <w:lang w:eastAsia="tr-TR"/>
              </w:rPr>
            </w:pPr>
            <w:r w:rsidRPr="00005453">
              <w:rPr>
                <w:sz w:val="18"/>
                <w:szCs w:val="18"/>
                <w:lang w:eastAsia="tr-TR"/>
              </w:rPr>
              <w:t>-</w:t>
            </w:r>
          </w:p>
        </w:tc>
      </w:tr>
      <w:tr w:rsidR="00CD75F3" w:rsidRPr="00005453" w14:paraId="7DA07A92" w14:textId="77777777" w:rsidTr="00517175">
        <w:trPr>
          <w:divId w:val="731850756"/>
          <w:trHeight w:val="116"/>
        </w:trPr>
        <w:tc>
          <w:tcPr>
            <w:tcW w:w="4340" w:type="dxa"/>
            <w:tcBorders>
              <w:top w:val="nil"/>
              <w:left w:val="nil"/>
              <w:bottom w:val="nil"/>
              <w:right w:val="nil"/>
            </w:tcBorders>
            <w:shd w:val="clear" w:color="auto" w:fill="auto"/>
            <w:vAlign w:val="center"/>
            <w:hideMark/>
          </w:tcPr>
          <w:p w14:paraId="295FD296" w14:textId="77777777" w:rsidR="00CD75F3" w:rsidRPr="00005453" w:rsidRDefault="00CD75F3" w:rsidP="00CD75F3">
            <w:pPr>
              <w:ind w:firstLineChars="200" w:firstLine="360"/>
              <w:rPr>
                <w:sz w:val="18"/>
                <w:szCs w:val="18"/>
                <w:lang w:eastAsia="tr-TR"/>
              </w:rPr>
            </w:pPr>
            <w:r w:rsidRPr="00005453">
              <w:rPr>
                <w:rFonts w:eastAsia="Arial Unicode MS"/>
                <w:sz w:val="18"/>
                <w:szCs w:val="18"/>
                <w:lang w:eastAsia="tr-TR"/>
              </w:rPr>
              <w:t>Yurt İçi Bankalara</w:t>
            </w:r>
          </w:p>
        </w:tc>
        <w:tc>
          <w:tcPr>
            <w:tcW w:w="1309" w:type="dxa"/>
            <w:tcBorders>
              <w:top w:val="nil"/>
              <w:left w:val="nil"/>
              <w:bottom w:val="nil"/>
              <w:right w:val="nil"/>
            </w:tcBorders>
            <w:shd w:val="clear" w:color="auto" w:fill="auto"/>
            <w:vAlign w:val="center"/>
            <w:hideMark/>
          </w:tcPr>
          <w:p w14:paraId="5C1E8408" w14:textId="28B9DD7C" w:rsidR="00CD75F3" w:rsidRPr="00005453" w:rsidRDefault="00CD75F3" w:rsidP="00517175">
            <w:pPr>
              <w:jc w:val="right"/>
              <w:rPr>
                <w:sz w:val="18"/>
                <w:szCs w:val="18"/>
                <w:lang w:eastAsia="tr-TR"/>
              </w:rPr>
            </w:pPr>
            <w:r w:rsidRPr="00005453">
              <w:rPr>
                <w:sz w:val="18"/>
                <w:szCs w:val="18"/>
              </w:rPr>
              <w:t>852,977</w:t>
            </w:r>
          </w:p>
        </w:tc>
        <w:tc>
          <w:tcPr>
            <w:tcW w:w="1241" w:type="dxa"/>
            <w:tcBorders>
              <w:top w:val="nil"/>
              <w:left w:val="nil"/>
              <w:bottom w:val="nil"/>
              <w:right w:val="nil"/>
            </w:tcBorders>
            <w:shd w:val="clear" w:color="auto" w:fill="auto"/>
            <w:vAlign w:val="center"/>
            <w:hideMark/>
          </w:tcPr>
          <w:p w14:paraId="19BC01F2" w14:textId="3161FB0A" w:rsidR="00CD75F3" w:rsidRPr="00005453" w:rsidRDefault="00CD75F3" w:rsidP="00517175">
            <w:pPr>
              <w:jc w:val="right"/>
              <w:rPr>
                <w:sz w:val="18"/>
                <w:szCs w:val="18"/>
                <w:lang w:eastAsia="tr-TR"/>
              </w:rPr>
            </w:pPr>
            <w:r w:rsidRPr="00005453">
              <w:rPr>
                <w:sz w:val="18"/>
                <w:szCs w:val="18"/>
              </w:rPr>
              <w:t>42,844</w:t>
            </w:r>
          </w:p>
        </w:tc>
        <w:tc>
          <w:tcPr>
            <w:tcW w:w="1048" w:type="dxa"/>
            <w:tcBorders>
              <w:top w:val="nil"/>
              <w:left w:val="nil"/>
              <w:bottom w:val="nil"/>
              <w:right w:val="nil"/>
            </w:tcBorders>
            <w:shd w:val="clear" w:color="auto" w:fill="auto"/>
            <w:vAlign w:val="center"/>
            <w:hideMark/>
          </w:tcPr>
          <w:p w14:paraId="5CA36EFD" w14:textId="01A23D9A" w:rsidR="00CD75F3" w:rsidRPr="00005453" w:rsidRDefault="00CD75F3" w:rsidP="00517175">
            <w:pPr>
              <w:jc w:val="right"/>
              <w:rPr>
                <w:sz w:val="18"/>
                <w:szCs w:val="18"/>
                <w:lang w:eastAsia="tr-TR"/>
              </w:rPr>
            </w:pPr>
            <w:r w:rsidRPr="00005453">
              <w:rPr>
                <w:sz w:val="18"/>
                <w:szCs w:val="18"/>
              </w:rPr>
              <w:t xml:space="preserve"> 353,888 </w:t>
            </w:r>
          </w:p>
        </w:tc>
        <w:tc>
          <w:tcPr>
            <w:tcW w:w="1239" w:type="dxa"/>
            <w:tcBorders>
              <w:top w:val="nil"/>
              <w:left w:val="nil"/>
              <w:bottom w:val="nil"/>
              <w:right w:val="nil"/>
            </w:tcBorders>
            <w:shd w:val="clear" w:color="auto" w:fill="auto"/>
            <w:vAlign w:val="center"/>
            <w:hideMark/>
          </w:tcPr>
          <w:p w14:paraId="04E5C418" w14:textId="590B712A" w:rsidR="00CD75F3" w:rsidRPr="00005453" w:rsidRDefault="00CD75F3" w:rsidP="00517175">
            <w:pPr>
              <w:jc w:val="right"/>
              <w:rPr>
                <w:sz w:val="18"/>
                <w:szCs w:val="18"/>
                <w:lang w:eastAsia="tr-TR"/>
              </w:rPr>
            </w:pPr>
            <w:r w:rsidRPr="00005453">
              <w:rPr>
                <w:sz w:val="18"/>
                <w:szCs w:val="18"/>
              </w:rPr>
              <w:t xml:space="preserve"> 14,500 </w:t>
            </w:r>
          </w:p>
        </w:tc>
      </w:tr>
      <w:tr w:rsidR="00CD75F3" w:rsidRPr="00005453" w14:paraId="422EB8EA" w14:textId="77777777" w:rsidTr="00517175">
        <w:trPr>
          <w:divId w:val="731850756"/>
          <w:trHeight w:val="190"/>
        </w:trPr>
        <w:tc>
          <w:tcPr>
            <w:tcW w:w="4340" w:type="dxa"/>
            <w:tcBorders>
              <w:top w:val="nil"/>
              <w:left w:val="nil"/>
              <w:bottom w:val="nil"/>
              <w:right w:val="nil"/>
            </w:tcBorders>
            <w:shd w:val="clear" w:color="auto" w:fill="auto"/>
            <w:vAlign w:val="center"/>
            <w:hideMark/>
          </w:tcPr>
          <w:p w14:paraId="108B398A" w14:textId="77777777" w:rsidR="00CD75F3" w:rsidRPr="00005453" w:rsidRDefault="00CD75F3" w:rsidP="00CD75F3">
            <w:pPr>
              <w:ind w:firstLineChars="200" w:firstLine="360"/>
              <w:rPr>
                <w:sz w:val="18"/>
                <w:szCs w:val="18"/>
                <w:lang w:eastAsia="tr-TR"/>
              </w:rPr>
            </w:pPr>
            <w:r w:rsidRPr="00005453">
              <w:rPr>
                <w:rFonts w:eastAsia="Arial Unicode MS"/>
                <w:sz w:val="18"/>
                <w:szCs w:val="18"/>
                <w:lang w:eastAsia="tr-TR"/>
              </w:rPr>
              <w:t>Yurt Dışı Bankalara</w:t>
            </w:r>
          </w:p>
        </w:tc>
        <w:tc>
          <w:tcPr>
            <w:tcW w:w="1309" w:type="dxa"/>
            <w:tcBorders>
              <w:top w:val="nil"/>
              <w:left w:val="nil"/>
              <w:bottom w:val="nil"/>
              <w:right w:val="nil"/>
            </w:tcBorders>
            <w:shd w:val="clear" w:color="auto" w:fill="auto"/>
            <w:vAlign w:val="center"/>
            <w:hideMark/>
          </w:tcPr>
          <w:p w14:paraId="482B1868" w14:textId="709D6913" w:rsidR="00CD75F3" w:rsidRPr="00005453" w:rsidRDefault="00CD75F3" w:rsidP="00517175">
            <w:pPr>
              <w:jc w:val="right"/>
              <w:rPr>
                <w:sz w:val="18"/>
                <w:szCs w:val="18"/>
                <w:lang w:eastAsia="tr-TR"/>
              </w:rPr>
            </w:pPr>
            <w:r w:rsidRPr="00005453">
              <w:rPr>
                <w:sz w:val="18"/>
                <w:szCs w:val="18"/>
              </w:rPr>
              <w:t>900,552</w:t>
            </w:r>
          </w:p>
        </w:tc>
        <w:tc>
          <w:tcPr>
            <w:tcW w:w="1241" w:type="dxa"/>
            <w:tcBorders>
              <w:top w:val="nil"/>
              <w:left w:val="nil"/>
              <w:bottom w:val="nil"/>
              <w:right w:val="nil"/>
            </w:tcBorders>
            <w:shd w:val="clear" w:color="auto" w:fill="auto"/>
            <w:vAlign w:val="center"/>
            <w:hideMark/>
          </w:tcPr>
          <w:p w14:paraId="38542D3E" w14:textId="4410D8F3" w:rsidR="00CD75F3" w:rsidRPr="00005453" w:rsidRDefault="00CD75F3" w:rsidP="00517175">
            <w:pPr>
              <w:jc w:val="right"/>
              <w:rPr>
                <w:sz w:val="18"/>
                <w:szCs w:val="18"/>
                <w:lang w:eastAsia="tr-TR"/>
              </w:rPr>
            </w:pPr>
            <w:r w:rsidRPr="00005453">
              <w:rPr>
                <w:sz w:val="18"/>
                <w:szCs w:val="18"/>
              </w:rPr>
              <w:t>1,648,380</w:t>
            </w:r>
          </w:p>
        </w:tc>
        <w:tc>
          <w:tcPr>
            <w:tcW w:w="1048" w:type="dxa"/>
            <w:tcBorders>
              <w:top w:val="nil"/>
              <w:left w:val="nil"/>
              <w:bottom w:val="nil"/>
              <w:right w:val="nil"/>
            </w:tcBorders>
            <w:shd w:val="clear" w:color="auto" w:fill="auto"/>
            <w:vAlign w:val="center"/>
            <w:hideMark/>
          </w:tcPr>
          <w:p w14:paraId="105866BD" w14:textId="76CE7984" w:rsidR="00CD75F3" w:rsidRPr="00005453" w:rsidRDefault="00CD75F3" w:rsidP="00517175">
            <w:pPr>
              <w:jc w:val="right"/>
              <w:rPr>
                <w:sz w:val="18"/>
                <w:szCs w:val="18"/>
                <w:lang w:eastAsia="tr-TR"/>
              </w:rPr>
            </w:pPr>
            <w:r w:rsidRPr="00005453">
              <w:rPr>
                <w:sz w:val="18"/>
                <w:szCs w:val="18"/>
              </w:rPr>
              <w:t xml:space="preserve"> 8,056 </w:t>
            </w:r>
          </w:p>
        </w:tc>
        <w:tc>
          <w:tcPr>
            <w:tcW w:w="1239" w:type="dxa"/>
            <w:tcBorders>
              <w:top w:val="nil"/>
              <w:left w:val="nil"/>
              <w:bottom w:val="nil"/>
              <w:right w:val="nil"/>
            </w:tcBorders>
            <w:shd w:val="clear" w:color="auto" w:fill="auto"/>
            <w:vAlign w:val="center"/>
            <w:hideMark/>
          </w:tcPr>
          <w:p w14:paraId="2A6A1184" w14:textId="4E8E4259" w:rsidR="00CD75F3" w:rsidRPr="00005453" w:rsidRDefault="00CD75F3" w:rsidP="00517175">
            <w:pPr>
              <w:jc w:val="right"/>
              <w:rPr>
                <w:sz w:val="18"/>
                <w:szCs w:val="18"/>
                <w:lang w:eastAsia="tr-TR"/>
              </w:rPr>
            </w:pPr>
            <w:r w:rsidRPr="00005453">
              <w:rPr>
                <w:sz w:val="18"/>
                <w:szCs w:val="18"/>
              </w:rPr>
              <w:t xml:space="preserve"> 919,030 </w:t>
            </w:r>
          </w:p>
        </w:tc>
      </w:tr>
      <w:tr w:rsidR="00CD75F3" w:rsidRPr="00005453" w14:paraId="7A35FCF7" w14:textId="77777777" w:rsidTr="00517175">
        <w:trPr>
          <w:divId w:val="731850756"/>
          <w:trHeight w:val="239"/>
        </w:trPr>
        <w:tc>
          <w:tcPr>
            <w:tcW w:w="4340" w:type="dxa"/>
            <w:tcBorders>
              <w:top w:val="nil"/>
              <w:left w:val="nil"/>
              <w:bottom w:val="nil"/>
              <w:right w:val="nil"/>
            </w:tcBorders>
            <w:shd w:val="clear" w:color="auto" w:fill="auto"/>
            <w:vAlign w:val="center"/>
            <w:hideMark/>
          </w:tcPr>
          <w:p w14:paraId="1578B92F" w14:textId="77777777" w:rsidR="00CD75F3" w:rsidRPr="00005453" w:rsidRDefault="00CD75F3" w:rsidP="00CD75F3">
            <w:pPr>
              <w:ind w:firstLineChars="200" w:firstLine="360"/>
              <w:rPr>
                <w:sz w:val="18"/>
                <w:szCs w:val="18"/>
                <w:lang w:eastAsia="tr-TR"/>
              </w:rPr>
            </w:pPr>
            <w:r w:rsidRPr="00005453">
              <w:rPr>
                <w:rFonts w:eastAsia="Arial Unicode MS"/>
                <w:sz w:val="18"/>
                <w:szCs w:val="18"/>
                <w:lang w:eastAsia="tr-TR"/>
              </w:rPr>
              <w:t>Yurt Dışı Merkez ve Şubelere</w:t>
            </w:r>
          </w:p>
        </w:tc>
        <w:tc>
          <w:tcPr>
            <w:tcW w:w="1309" w:type="dxa"/>
            <w:tcBorders>
              <w:top w:val="nil"/>
              <w:left w:val="nil"/>
              <w:bottom w:val="nil"/>
              <w:right w:val="nil"/>
            </w:tcBorders>
            <w:shd w:val="clear" w:color="auto" w:fill="auto"/>
            <w:vAlign w:val="center"/>
            <w:hideMark/>
          </w:tcPr>
          <w:p w14:paraId="53650130" w14:textId="56D464A5" w:rsidR="00CD75F3" w:rsidRPr="00005453" w:rsidRDefault="00CD75F3" w:rsidP="00517175">
            <w:pPr>
              <w:jc w:val="right"/>
              <w:rPr>
                <w:sz w:val="18"/>
                <w:szCs w:val="18"/>
                <w:lang w:eastAsia="tr-TR"/>
              </w:rPr>
            </w:pPr>
            <w:r w:rsidRPr="00005453">
              <w:rPr>
                <w:sz w:val="18"/>
                <w:szCs w:val="18"/>
              </w:rPr>
              <w:t>-</w:t>
            </w:r>
          </w:p>
        </w:tc>
        <w:tc>
          <w:tcPr>
            <w:tcW w:w="1241" w:type="dxa"/>
            <w:tcBorders>
              <w:top w:val="nil"/>
              <w:left w:val="nil"/>
              <w:bottom w:val="nil"/>
              <w:right w:val="nil"/>
            </w:tcBorders>
            <w:shd w:val="clear" w:color="auto" w:fill="auto"/>
            <w:vAlign w:val="center"/>
            <w:hideMark/>
          </w:tcPr>
          <w:p w14:paraId="64EB625B" w14:textId="22E34DB3" w:rsidR="00CD75F3" w:rsidRPr="00005453" w:rsidRDefault="00CD75F3" w:rsidP="00517175">
            <w:pPr>
              <w:jc w:val="right"/>
              <w:rPr>
                <w:sz w:val="18"/>
                <w:szCs w:val="18"/>
                <w:lang w:eastAsia="tr-TR"/>
              </w:rPr>
            </w:pPr>
            <w:r w:rsidRPr="00005453">
              <w:rPr>
                <w:sz w:val="18"/>
                <w:szCs w:val="18"/>
              </w:rPr>
              <w:t>-</w:t>
            </w:r>
          </w:p>
        </w:tc>
        <w:tc>
          <w:tcPr>
            <w:tcW w:w="1048" w:type="dxa"/>
            <w:tcBorders>
              <w:top w:val="nil"/>
              <w:left w:val="nil"/>
              <w:bottom w:val="nil"/>
              <w:right w:val="nil"/>
            </w:tcBorders>
            <w:shd w:val="clear" w:color="auto" w:fill="auto"/>
            <w:vAlign w:val="center"/>
            <w:hideMark/>
          </w:tcPr>
          <w:p w14:paraId="352927AF" w14:textId="4B75B0E3" w:rsidR="00CD75F3" w:rsidRPr="00005453" w:rsidRDefault="00CD75F3" w:rsidP="00517175">
            <w:pPr>
              <w:jc w:val="right"/>
              <w:rPr>
                <w:sz w:val="18"/>
                <w:szCs w:val="18"/>
                <w:lang w:eastAsia="tr-TR"/>
              </w:rPr>
            </w:pPr>
            <w:r w:rsidRPr="00005453">
              <w:rPr>
                <w:sz w:val="18"/>
                <w:szCs w:val="18"/>
              </w:rPr>
              <w:t xml:space="preserve"> -   </w:t>
            </w:r>
          </w:p>
        </w:tc>
        <w:tc>
          <w:tcPr>
            <w:tcW w:w="1239" w:type="dxa"/>
            <w:tcBorders>
              <w:top w:val="nil"/>
              <w:left w:val="nil"/>
              <w:bottom w:val="nil"/>
              <w:right w:val="nil"/>
            </w:tcBorders>
            <w:shd w:val="clear" w:color="auto" w:fill="auto"/>
            <w:vAlign w:val="center"/>
            <w:hideMark/>
          </w:tcPr>
          <w:p w14:paraId="06E42A43" w14:textId="60FD486E" w:rsidR="00CD75F3" w:rsidRPr="00005453" w:rsidRDefault="00CD75F3" w:rsidP="00517175">
            <w:pPr>
              <w:jc w:val="right"/>
              <w:rPr>
                <w:sz w:val="18"/>
                <w:szCs w:val="18"/>
                <w:lang w:eastAsia="tr-TR"/>
              </w:rPr>
            </w:pPr>
            <w:r w:rsidRPr="00005453">
              <w:rPr>
                <w:sz w:val="18"/>
                <w:szCs w:val="18"/>
              </w:rPr>
              <w:t xml:space="preserve"> -   </w:t>
            </w:r>
          </w:p>
        </w:tc>
      </w:tr>
      <w:tr w:rsidR="00CD75F3" w:rsidRPr="00005453" w14:paraId="29734DCA" w14:textId="77777777" w:rsidTr="00517175">
        <w:trPr>
          <w:divId w:val="731850756"/>
          <w:trHeight w:val="253"/>
        </w:trPr>
        <w:tc>
          <w:tcPr>
            <w:tcW w:w="4340" w:type="dxa"/>
            <w:tcBorders>
              <w:top w:val="nil"/>
              <w:left w:val="nil"/>
              <w:bottom w:val="nil"/>
              <w:right w:val="nil"/>
            </w:tcBorders>
            <w:shd w:val="clear" w:color="auto" w:fill="auto"/>
            <w:vAlign w:val="center"/>
            <w:hideMark/>
          </w:tcPr>
          <w:p w14:paraId="04368B84" w14:textId="77777777" w:rsidR="00CD75F3" w:rsidRPr="00005453" w:rsidRDefault="00CD75F3" w:rsidP="00CD75F3">
            <w:pPr>
              <w:rPr>
                <w:sz w:val="18"/>
                <w:szCs w:val="18"/>
                <w:lang w:eastAsia="tr-TR"/>
              </w:rPr>
            </w:pPr>
            <w:r w:rsidRPr="00005453">
              <w:rPr>
                <w:sz w:val="18"/>
                <w:szCs w:val="18"/>
                <w:lang w:eastAsia="tr-TR"/>
              </w:rPr>
              <w:t xml:space="preserve">Diğer Kuruluşlara </w:t>
            </w:r>
          </w:p>
        </w:tc>
        <w:tc>
          <w:tcPr>
            <w:tcW w:w="1309" w:type="dxa"/>
            <w:tcBorders>
              <w:top w:val="nil"/>
              <w:left w:val="nil"/>
              <w:bottom w:val="nil"/>
              <w:right w:val="nil"/>
            </w:tcBorders>
            <w:shd w:val="clear" w:color="auto" w:fill="auto"/>
            <w:vAlign w:val="center"/>
            <w:hideMark/>
          </w:tcPr>
          <w:p w14:paraId="3B92FD20" w14:textId="016D7E79" w:rsidR="00CD75F3" w:rsidRPr="00005453" w:rsidRDefault="00CD75F3" w:rsidP="00517175">
            <w:pPr>
              <w:jc w:val="right"/>
              <w:rPr>
                <w:sz w:val="18"/>
                <w:szCs w:val="18"/>
                <w:lang w:eastAsia="tr-TR"/>
              </w:rPr>
            </w:pPr>
            <w:r w:rsidRPr="00005453">
              <w:rPr>
                <w:sz w:val="18"/>
                <w:szCs w:val="18"/>
              </w:rPr>
              <w:t>5,299,428</w:t>
            </w:r>
          </w:p>
        </w:tc>
        <w:tc>
          <w:tcPr>
            <w:tcW w:w="1241" w:type="dxa"/>
            <w:tcBorders>
              <w:top w:val="nil"/>
              <w:left w:val="nil"/>
              <w:bottom w:val="nil"/>
              <w:right w:val="nil"/>
            </w:tcBorders>
            <w:shd w:val="clear" w:color="auto" w:fill="auto"/>
            <w:vAlign w:val="center"/>
            <w:hideMark/>
          </w:tcPr>
          <w:p w14:paraId="11059AFB" w14:textId="012BD4A5" w:rsidR="00CD75F3" w:rsidRPr="00005453" w:rsidRDefault="00CD75F3" w:rsidP="00517175">
            <w:pPr>
              <w:jc w:val="right"/>
              <w:rPr>
                <w:sz w:val="18"/>
                <w:szCs w:val="18"/>
                <w:lang w:eastAsia="tr-TR"/>
              </w:rPr>
            </w:pPr>
            <w:r w:rsidRPr="00005453">
              <w:rPr>
                <w:sz w:val="18"/>
                <w:szCs w:val="18"/>
              </w:rPr>
              <w:t>3,903,037</w:t>
            </w:r>
          </w:p>
        </w:tc>
        <w:tc>
          <w:tcPr>
            <w:tcW w:w="1048" w:type="dxa"/>
            <w:tcBorders>
              <w:top w:val="nil"/>
              <w:left w:val="nil"/>
              <w:bottom w:val="nil"/>
              <w:right w:val="nil"/>
            </w:tcBorders>
            <w:shd w:val="clear" w:color="auto" w:fill="auto"/>
            <w:vAlign w:val="center"/>
            <w:hideMark/>
          </w:tcPr>
          <w:p w14:paraId="1F17474F" w14:textId="301A493F" w:rsidR="00CD75F3" w:rsidRPr="00005453" w:rsidRDefault="00CD75F3" w:rsidP="00517175">
            <w:pPr>
              <w:jc w:val="right"/>
              <w:rPr>
                <w:sz w:val="18"/>
                <w:szCs w:val="18"/>
                <w:lang w:eastAsia="tr-TR"/>
              </w:rPr>
            </w:pPr>
            <w:r w:rsidRPr="00005453">
              <w:rPr>
                <w:sz w:val="18"/>
                <w:szCs w:val="18"/>
              </w:rPr>
              <w:t xml:space="preserve"> 540,833 </w:t>
            </w:r>
          </w:p>
        </w:tc>
        <w:tc>
          <w:tcPr>
            <w:tcW w:w="1239" w:type="dxa"/>
            <w:tcBorders>
              <w:top w:val="nil"/>
              <w:left w:val="nil"/>
              <w:bottom w:val="nil"/>
              <w:right w:val="nil"/>
            </w:tcBorders>
            <w:shd w:val="clear" w:color="auto" w:fill="auto"/>
            <w:vAlign w:val="center"/>
            <w:hideMark/>
          </w:tcPr>
          <w:p w14:paraId="5B17570C" w14:textId="601A1A0A" w:rsidR="00CD75F3" w:rsidRPr="00005453" w:rsidRDefault="00CD75F3" w:rsidP="00517175">
            <w:pPr>
              <w:jc w:val="right"/>
              <w:rPr>
                <w:sz w:val="18"/>
                <w:szCs w:val="18"/>
                <w:lang w:eastAsia="tr-TR"/>
              </w:rPr>
            </w:pPr>
            <w:r w:rsidRPr="00005453">
              <w:rPr>
                <w:sz w:val="18"/>
                <w:szCs w:val="18"/>
              </w:rPr>
              <w:t xml:space="preserve"> 2,288,526 </w:t>
            </w:r>
          </w:p>
        </w:tc>
      </w:tr>
      <w:tr w:rsidR="00CD75F3" w:rsidRPr="00005453" w14:paraId="262DD00C" w14:textId="77777777" w:rsidTr="00517175">
        <w:trPr>
          <w:divId w:val="731850756"/>
          <w:trHeight w:val="75"/>
        </w:trPr>
        <w:tc>
          <w:tcPr>
            <w:tcW w:w="4340" w:type="dxa"/>
            <w:tcBorders>
              <w:top w:val="single" w:sz="8" w:space="0" w:color="auto"/>
              <w:left w:val="nil"/>
              <w:bottom w:val="double" w:sz="6" w:space="0" w:color="auto"/>
              <w:right w:val="nil"/>
            </w:tcBorders>
            <w:shd w:val="clear" w:color="auto" w:fill="auto"/>
            <w:vAlign w:val="center"/>
            <w:hideMark/>
          </w:tcPr>
          <w:p w14:paraId="477BFD79" w14:textId="77777777" w:rsidR="00CD75F3" w:rsidRPr="00005453" w:rsidRDefault="00CD75F3" w:rsidP="00CD75F3">
            <w:pPr>
              <w:jc w:val="both"/>
              <w:rPr>
                <w:b/>
                <w:bCs/>
                <w:sz w:val="18"/>
                <w:szCs w:val="18"/>
                <w:lang w:eastAsia="tr-TR"/>
              </w:rPr>
            </w:pPr>
            <w:r w:rsidRPr="00005453">
              <w:rPr>
                <w:b/>
                <w:bCs/>
                <w:sz w:val="18"/>
                <w:szCs w:val="18"/>
                <w:lang w:eastAsia="tr-TR"/>
              </w:rPr>
              <w:t>Toplam</w:t>
            </w:r>
          </w:p>
        </w:tc>
        <w:tc>
          <w:tcPr>
            <w:tcW w:w="1309" w:type="dxa"/>
            <w:tcBorders>
              <w:top w:val="single" w:sz="8" w:space="0" w:color="auto"/>
              <w:left w:val="nil"/>
              <w:bottom w:val="double" w:sz="6" w:space="0" w:color="auto"/>
              <w:right w:val="nil"/>
            </w:tcBorders>
            <w:shd w:val="clear" w:color="auto" w:fill="auto"/>
            <w:vAlign w:val="center"/>
            <w:hideMark/>
          </w:tcPr>
          <w:p w14:paraId="7AB7E28C" w14:textId="7AE78F7C" w:rsidR="00CD75F3" w:rsidRPr="00005453" w:rsidRDefault="00CD75F3" w:rsidP="00517175">
            <w:pPr>
              <w:jc w:val="right"/>
              <w:rPr>
                <w:b/>
                <w:bCs/>
                <w:sz w:val="18"/>
                <w:szCs w:val="18"/>
                <w:lang w:eastAsia="tr-TR"/>
              </w:rPr>
            </w:pPr>
            <w:r w:rsidRPr="00005453">
              <w:rPr>
                <w:b/>
                <w:bCs/>
                <w:sz w:val="18"/>
                <w:szCs w:val="18"/>
              </w:rPr>
              <w:t>7,052,957</w:t>
            </w:r>
          </w:p>
        </w:tc>
        <w:tc>
          <w:tcPr>
            <w:tcW w:w="1241" w:type="dxa"/>
            <w:tcBorders>
              <w:top w:val="single" w:sz="8" w:space="0" w:color="auto"/>
              <w:left w:val="nil"/>
              <w:bottom w:val="double" w:sz="6" w:space="0" w:color="auto"/>
              <w:right w:val="nil"/>
            </w:tcBorders>
            <w:shd w:val="clear" w:color="auto" w:fill="auto"/>
            <w:vAlign w:val="center"/>
            <w:hideMark/>
          </w:tcPr>
          <w:p w14:paraId="7B7AFBA8" w14:textId="4CD48CAA" w:rsidR="00CD75F3" w:rsidRPr="00005453" w:rsidRDefault="00CD75F3" w:rsidP="00517175">
            <w:pPr>
              <w:jc w:val="right"/>
              <w:rPr>
                <w:b/>
                <w:bCs/>
                <w:sz w:val="18"/>
                <w:szCs w:val="18"/>
                <w:lang w:eastAsia="tr-TR"/>
              </w:rPr>
            </w:pPr>
            <w:r w:rsidRPr="00005453">
              <w:rPr>
                <w:b/>
                <w:bCs/>
                <w:sz w:val="18"/>
                <w:szCs w:val="18"/>
              </w:rPr>
              <w:t>5,594,261</w:t>
            </w:r>
          </w:p>
        </w:tc>
        <w:tc>
          <w:tcPr>
            <w:tcW w:w="1048" w:type="dxa"/>
            <w:tcBorders>
              <w:top w:val="single" w:sz="8" w:space="0" w:color="auto"/>
              <w:left w:val="nil"/>
              <w:bottom w:val="double" w:sz="6" w:space="0" w:color="auto"/>
              <w:right w:val="nil"/>
            </w:tcBorders>
            <w:shd w:val="clear" w:color="auto" w:fill="auto"/>
            <w:vAlign w:val="center"/>
            <w:hideMark/>
          </w:tcPr>
          <w:p w14:paraId="38156454" w14:textId="342405A0" w:rsidR="00CD75F3" w:rsidRPr="00005453" w:rsidRDefault="00CD75F3" w:rsidP="00517175">
            <w:pPr>
              <w:jc w:val="right"/>
              <w:rPr>
                <w:b/>
                <w:bCs/>
                <w:sz w:val="18"/>
                <w:szCs w:val="18"/>
                <w:lang w:eastAsia="tr-TR"/>
              </w:rPr>
            </w:pPr>
            <w:r w:rsidRPr="00005453">
              <w:rPr>
                <w:b/>
                <w:bCs/>
                <w:sz w:val="18"/>
                <w:szCs w:val="18"/>
              </w:rPr>
              <w:t xml:space="preserve"> 902,777 </w:t>
            </w:r>
          </w:p>
        </w:tc>
        <w:tc>
          <w:tcPr>
            <w:tcW w:w="1239" w:type="dxa"/>
            <w:tcBorders>
              <w:top w:val="single" w:sz="8" w:space="0" w:color="auto"/>
              <w:left w:val="nil"/>
              <w:bottom w:val="double" w:sz="6" w:space="0" w:color="auto"/>
              <w:right w:val="nil"/>
            </w:tcBorders>
            <w:shd w:val="clear" w:color="auto" w:fill="auto"/>
            <w:vAlign w:val="center"/>
            <w:hideMark/>
          </w:tcPr>
          <w:p w14:paraId="27B6AD94" w14:textId="2F98C387" w:rsidR="00CD75F3" w:rsidRPr="00005453" w:rsidRDefault="00CD75F3" w:rsidP="00517175">
            <w:pPr>
              <w:jc w:val="right"/>
              <w:rPr>
                <w:b/>
                <w:bCs/>
                <w:sz w:val="18"/>
                <w:szCs w:val="18"/>
                <w:lang w:eastAsia="tr-TR"/>
              </w:rPr>
            </w:pPr>
            <w:r w:rsidRPr="00005453">
              <w:rPr>
                <w:b/>
                <w:bCs/>
                <w:sz w:val="18"/>
                <w:szCs w:val="18"/>
              </w:rPr>
              <w:t xml:space="preserve"> 3,222,056 </w:t>
            </w:r>
          </w:p>
        </w:tc>
      </w:tr>
    </w:tbl>
    <w:p w14:paraId="3226E347" w14:textId="17986D1D" w:rsidR="002C0F98" w:rsidRPr="00005453" w:rsidRDefault="002C0F98" w:rsidP="000F096F">
      <w:pPr>
        <w:tabs>
          <w:tab w:val="left" w:pos="-1980"/>
        </w:tabs>
        <w:rPr>
          <w:bCs/>
          <w:iCs/>
          <w:sz w:val="16"/>
          <w:szCs w:val="16"/>
        </w:rPr>
      </w:pPr>
    </w:p>
    <w:p w14:paraId="61B6E3E5" w14:textId="72F1A055" w:rsidR="000F096F" w:rsidRPr="00005453" w:rsidRDefault="00DE19A7" w:rsidP="00DE19A7">
      <w:pPr>
        <w:autoSpaceDE w:val="0"/>
        <w:autoSpaceDN w:val="0"/>
        <w:adjustRightInd w:val="0"/>
        <w:ind w:hanging="567"/>
        <w:rPr>
          <w:b/>
        </w:rPr>
      </w:pPr>
      <w:r w:rsidRPr="00005453">
        <w:rPr>
          <w:b/>
        </w:rPr>
        <w:t>4.2.</w:t>
      </w:r>
      <w:r w:rsidR="005854CD" w:rsidRPr="00005453">
        <w:rPr>
          <w:b/>
        </w:rPr>
        <w:t>2</w:t>
      </w:r>
      <w:r w:rsidRPr="00005453">
        <w:rPr>
          <w:b/>
        </w:rPr>
        <w:tab/>
      </w:r>
      <w:r w:rsidR="00E253C8" w:rsidRPr="00005453">
        <w:rPr>
          <w:b/>
        </w:rPr>
        <w:t xml:space="preserve">İştirakler ve bağlı ortaklıklara verilen </w:t>
      </w:r>
      <w:proofErr w:type="gramStart"/>
      <w:r w:rsidR="00E253C8" w:rsidRPr="00005453">
        <w:rPr>
          <w:b/>
        </w:rPr>
        <w:t>kar</w:t>
      </w:r>
      <w:proofErr w:type="gramEnd"/>
      <w:r w:rsidR="00E253C8" w:rsidRPr="00005453">
        <w:rPr>
          <w:b/>
        </w:rPr>
        <w:t xml:space="preserve"> payı giderlerine ilişkin bilgiler</w:t>
      </w:r>
    </w:p>
    <w:p w14:paraId="41A1BC65" w14:textId="01118142" w:rsidR="00D67371" w:rsidRPr="00005453" w:rsidRDefault="00D67371" w:rsidP="00A90984">
      <w:pPr>
        <w:pStyle w:val="BodyTextIndent2"/>
        <w:tabs>
          <w:tab w:val="left" w:pos="180"/>
        </w:tabs>
        <w:ind w:left="0"/>
        <w:jc w:val="left"/>
        <w:rPr>
          <w:rFonts w:ascii="Times New Roman" w:hAnsi="Times New Roman"/>
          <w:b w:val="0"/>
          <w:color w:val="auto"/>
          <w:sz w:val="20"/>
          <w:lang w:eastAsia="en-GB"/>
        </w:rPr>
      </w:pPr>
    </w:p>
    <w:tbl>
      <w:tblPr>
        <w:tblW w:w="9216" w:type="dxa"/>
        <w:tblCellMar>
          <w:left w:w="70" w:type="dxa"/>
          <w:right w:w="70" w:type="dxa"/>
        </w:tblCellMar>
        <w:tblLook w:val="04A0" w:firstRow="1" w:lastRow="0" w:firstColumn="1" w:lastColumn="0" w:noHBand="0" w:noVBand="1"/>
      </w:tblPr>
      <w:tblGrid>
        <w:gridCol w:w="5781"/>
        <w:gridCol w:w="1165"/>
        <w:gridCol w:w="2270"/>
      </w:tblGrid>
      <w:tr w:rsidR="00D67371" w:rsidRPr="00005453" w14:paraId="1ED12318" w14:textId="77777777" w:rsidTr="000E5F12">
        <w:trPr>
          <w:divId w:val="480191684"/>
          <w:trHeight w:val="228"/>
        </w:trPr>
        <w:tc>
          <w:tcPr>
            <w:tcW w:w="5781" w:type="dxa"/>
            <w:tcBorders>
              <w:top w:val="double" w:sz="6" w:space="0" w:color="auto"/>
              <w:left w:val="nil"/>
              <w:bottom w:val="single" w:sz="8" w:space="0" w:color="auto"/>
              <w:right w:val="nil"/>
            </w:tcBorders>
            <w:shd w:val="clear" w:color="auto" w:fill="auto"/>
            <w:vAlign w:val="center"/>
            <w:hideMark/>
          </w:tcPr>
          <w:p w14:paraId="7D8BA74F" w14:textId="4B561CF5" w:rsidR="00D67371" w:rsidRPr="00005453" w:rsidRDefault="00D67371" w:rsidP="00D67371">
            <w:pPr>
              <w:jc w:val="center"/>
              <w:rPr>
                <w:b/>
                <w:bCs/>
                <w:sz w:val="18"/>
                <w:szCs w:val="18"/>
                <w:lang w:eastAsia="tr-TR"/>
              </w:rPr>
            </w:pPr>
            <w:r w:rsidRPr="00005453">
              <w:rPr>
                <w:b/>
                <w:bCs/>
                <w:sz w:val="18"/>
                <w:szCs w:val="18"/>
                <w:lang w:eastAsia="tr-TR"/>
              </w:rPr>
              <w:t> </w:t>
            </w:r>
          </w:p>
        </w:tc>
        <w:tc>
          <w:tcPr>
            <w:tcW w:w="1165" w:type="dxa"/>
            <w:tcBorders>
              <w:top w:val="double" w:sz="6" w:space="0" w:color="auto"/>
              <w:left w:val="nil"/>
              <w:bottom w:val="single" w:sz="8" w:space="0" w:color="auto"/>
              <w:right w:val="nil"/>
            </w:tcBorders>
            <w:shd w:val="clear" w:color="auto" w:fill="auto"/>
            <w:vAlign w:val="center"/>
            <w:hideMark/>
          </w:tcPr>
          <w:p w14:paraId="719E8AF7" w14:textId="77777777" w:rsidR="00D67371" w:rsidRPr="00005453" w:rsidRDefault="00D67371" w:rsidP="00D67371">
            <w:pPr>
              <w:jc w:val="right"/>
              <w:rPr>
                <w:b/>
                <w:bCs/>
                <w:sz w:val="18"/>
                <w:szCs w:val="18"/>
                <w:lang w:eastAsia="tr-TR"/>
              </w:rPr>
            </w:pPr>
            <w:r w:rsidRPr="00005453">
              <w:rPr>
                <w:b/>
                <w:bCs/>
                <w:sz w:val="18"/>
                <w:szCs w:val="18"/>
                <w:lang w:eastAsia="tr-TR"/>
              </w:rPr>
              <w:t>Cari Dönem</w:t>
            </w:r>
          </w:p>
        </w:tc>
        <w:tc>
          <w:tcPr>
            <w:tcW w:w="2270" w:type="dxa"/>
            <w:tcBorders>
              <w:top w:val="double" w:sz="6" w:space="0" w:color="auto"/>
              <w:left w:val="nil"/>
              <w:bottom w:val="single" w:sz="8" w:space="0" w:color="auto"/>
              <w:right w:val="nil"/>
            </w:tcBorders>
            <w:shd w:val="clear" w:color="auto" w:fill="auto"/>
            <w:vAlign w:val="center"/>
            <w:hideMark/>
          </w:tcPr>
          <w:p w14:paraId="6A461CF0" w14:textId="77777777" w:rsidR="00D67371" w:rsidRPr="00005453" w:rsidRDefault="00D67371" w:rsidP="00D67371">
            <w:pPr>
              <w:jc w:val="right"/>
              <w:rPr>
                <w:b/>
                <w:bCs/>
                <w:sz w:val="18"/>
                <w:szCs w:val="18"/>
                <w:lang w:eastAsia="tr-TR"/>
              </w:rPr>
            </w:pPr>
            <w:r w:rsidRPr="00005453">
              <w:rPr>
                <w:b/>
                <w:bCs/>
                <w:sz w:val="18"/>
                <w:szCs w:val="18"/>
                <w:lang w:eastAsia="tr-TR"/>
              </w:rPr>
              <w:t>Önceki Dönem</w:t>
            </w:r>
          </w:p>
        </w:tc>
      </w:tr>
      <w:tr w:rsidR="00700F7C" w:rsidRPr="00005453" w14:paraId="524C11DD" w14:textId="77777777" w:rsidTr="000E5F12">
        <w:trPr>
          <w:divId w:val="480191684"/>
          <w:trHeight w:val="215"/>
        </w:trPr>
        <w:tc>
          <w:tcPr>
            <w:tcW w:w="5781" w:type="dxa"/>
            <w:tcBorders>
              <w:top w:val="nil"/>
              <w:left w:val="nil"/>
              <w:bottom w:val="double" w:sz="6" w:space="0" w:color="auto"/>
              <w:right w:val="nil"/>
            </w:tcBorders>
            <w:shd w:val="clear" w:color="auto" w:fill="auto"/>
            <w:vAlign w:val="center"/>
            <w:hideMark/>
          </w:tcPr>
          <w:p w14:paraId="583C0584" w14:textId="3AA0C5EE" w:rsidR="00700F7C" w:rsidRPr="00005453" w:rsidRDefault="00700F7C" w:rsidP="00700F7C">
            <w:pPr>
              <w:rPr>
                <w:sz w:val="18"/>
                <w:szCs w:val="18"/>
                <w:lang w:eastAsia="tr-TR"/>
              </w:rPr>
            </w:pPr>
            <w:r w:rsidRPr="00005453">
              <w:rPr>
                <w:sz w:val="18"/>
                <w:szCs w:val="18"/>
                <w:lang w:eastAsia="tr-TR"/>
              </w:rPr>
              <w:t xml:space="preserve">İştirak ve bağlı ortaklıklara verilen </w:t>
            </w:r>
            <w:proofErr w:type="gramStart"/>
            <w:r w:rsidRPr="00005453">
              <w:rPr>
                <w:sz w:val="18"/>
                <w:szCs w:val="18"/>
                <w:lang w:eastAsia="tr-TR"/>
              </w:rPr>
              <w:t>kar</w:t>
            </w:r>
            <w:proofErr w:type="gramEnd"/>
            <w:r w:rsidRPr="00005453">
              <w:rPr>
                <w:sz w:val="18"/>
                <w:szCs w:val="18"/>
                <w:lang w:eastAsia="tr-TR"/>
              </w:rPr>
              <w:t xml:space="preserve"> </w:t>
            </w:r>
            <w:r w:rsidR="005854CD" w:rsidRPr="00005453">
              <w:rPr>
                <w:sz w:val="18"/>
                <w:szCs w:val="18"/>
                <w:lang w:eastAsia="tr-TR"/>
              </w:rPr>
              <w:t>payı giderleri</w:t>
            </w:r>
          </w:p>
        </w:tc>
        <w:tc>
          <w:tcPr>
            <w:tcW w:w="1165" w:type="dxa"/>
            <w:tcBorders>
              <w:top w:val="nil"/>
              <w:left w:val="nil"/>
              <w:bottom w:val="double" w:sz="6" w:space="0" w:color="auto"/>
              <w:right w:val="nil"/>
            </w:tcBorders>
            <w:shd w:val="clear" w:color="auto" w:fill="auto"/>
            <w:vAlign w:val="center"/>
            <w:hideMark/>
          </w:tcPr>
          <w:p w14:paraId="11AC82D4" w14:textId="34A6A0E9" w:rsidR="00700F7C" w:rsidRPr="00005453" w:rsidRDefault="00CD75F3" w:rsidP="00700F7C">
            <w:pPr>
              <w:jc w:val="right"/>
              <w:rPr>
                <w:sz w:val="18"/>
                <w:szCs w:val="18"/>
                <w:lang w:eastAsia="tr-TR"/>
              </w:rPr>
            </w:pPr>
            <w:r w:rsidRPr="00005453">
              <w:rPr>
                <w:sz w:val="18"/>
                <w:szCs w:val="18"/>
                <w:lang w:eastAsia="tr-TR"/>
              </w:rPr>
              <w:t>820</w:t>
            </w:r>
            <w:r w:rsidR="00700F7C" w:rsidRPr="00005453">
              <w:rPr>
                <w:sz w:val="18"/>
                <w:szCs w:val="18"/>
                <w:lang w:eastAsia="tr-TR"/>
              </w:rPr>
              <w:t>,</w:t>
            </w:r>
            <w:r w:rsidRPr="00005453">
              <w:rPr>
                <w:sz w:val="18"/>
                <w:szCs w:val="18"/>
                <w:lang w:eastAsia="tr-TR"/>
              </w:rPr>
              <w:t>618</w:t>
            </w:r>
          </w:p>
        </w:tc>
        <w:tc>
          <w:tcPr>
            <w:tcW w:w="2270" w:type="dxa"/>
            <w:tcBorders>
              <w:top w:val="nil"/>
              <w:left w:val="nil"/>
              <w:bottom w:val="double" w:sz="6" w:space="0" w:color="auto"/>
              <w:right w:val="nil"/>
            </w:tcBorders>
            <w:shd w:val="clear" w:color="auto" w:fill="auto"/>
            <w:vAlign w:val="center"/>
            <w:hideMark/>
          </w:tcPr>
          <w:p w14:paraId="2223CBBF" w14:textId="37324A3E" w:rsidR="00700F7C" w:rsidRPr="00005453" w:rsidRDefault="00846060" w:rsidP="00700F7C">
            <w:pPr>
              <w:jc w:val="right"/>
              <w:rPr>
                <w:sz w:val="18"/>
                <w:szCs w:val="18"/>
                <w:lang w:eastAsia="tr-TR"/>
              </w:rPr>
            </w:pPr>
            <w:r w:rsidRPr="00005453">
              <w:rPr>
                <w:sz w:val="18"/>
                <w:szCs w:val="18"/>
                <w:lang w:eastAsia="tr-TR"/>
              </w:rPr>
              <w:t>1,626</w:t>
            </w:r>
            <w:r w:rsidR="00700F7C" w:rsidRPr="00005453">
              <w:rPr>
                <w:sz w:val="18"/>
                <w:szCs w:val="18"/>
                <w:lang w:eastAsia="tr-TR"/>
              </w:rPr>
              <w:t>,</w:t>
            </w:r>
            <w:r w:rsidRPr="00005453">
              <w:rPr>
                <w:sz w:val="18"/>
                <w:szCs w:val="18"/>
                <w:lang w:eastAsia="tr-TR"/>
              </w:rPr>
              <w:t>198</w:t>
            </w:r>
          </w:p>
        </w:tc>
      </w:tr>
    </w:tbl>
    <w:p w14:paraId="3198BEDA" w14:textId="2BF214B7" w:rsidR="000F096F" w:rsidRPr="00005453" w:rsidRDefault="000F096F" w:rsidP="00A90984">
      <w:pPr>
        <w:pStyle w:val="BodyTextIndent2"/>
        <w:tabs>
          <w:tab w:val="left" w:pos="180"/>
        </w:tabs>
        <w:ind w:left="0"/>
        <w:jc w:val="left"/>
        <w:rPr>
          <w:rFonts w:ascii="Times New Roman" w:hAnsi="Times New Roman"/>
          <w:b w:val="0"/>
          <w:color w:val="auto"/>
          <w:sz w:val="12"/>
        </w:rPr>
      </w:pPr>
    </w:p>
    <w:p w14:paraId="4BDE85A4" w14:textId="77777777" w:rsidR="002C0F98" w:rsidRPr="00005453" w:rsidRDefault="002C0F98" w:rsidP="002C0F98">
      <w:pPr>
        <w:pStyle w:val="BodyTextIndent2"/>
        <w:tabs>
          <w:tab w:val="left" w:pos="180"/>
        </w:tabs>
        <w:ind w:left="0"/>
        <w:jc w:val="left"/>
        <w:rPr>
          <w:rFonts w:ascii="Times New Roman" w:hAnsi="Times New Roman"/>
          <w:b w:val="0"/>
          <w:color w:val="auto"/>
          <w:sz w:val="12"/>
        </w:rPr>
      </w:pPr>
    </w:p>
    <w:p w14:paraId="76DB1B0F" w14:textId="44D6086A" w:rsidR="00D67371" w:rsidRPr="00005453" w:rsidRDefault="00D67371" w:rsidP="00D67371">
      <w:pPr>
        <w:autoSpaceDE w:val="0"/>
        <w:autoSpaceDN w:val="0"/>
        <w:adjustRightInd w:val="0"/>
        <w:ind w:hanging="567"/>
        <w:jc w:val="both"/>
        <w:rPr>
          <w:b/>
        </w:rPr>
      </w:pPr>
      <w:r w:rsidRPr="00005453">
        <w:rPr>
          <w:b/>
        </w:rPr>
        <w:t>4.2.</w:t>
      </w:r>
      <w:r w:rsidR="005854CD" w:rsidRPr="00005453">
        <w:rPr>
          <w:b/>
        </w:rPr>
        <w:t>3</w:t>
      </w:r>
      <w:r w:rsidRPr="00005453">
        <w:rPr>
          <w:b/>
        </w:rPr>
        <w:tab/>
        <w:t>İhraç edilen menkul kıymetlere verilen kar paylarına ilişkin bilgiler</w:t>
      </w:r>
    </w:p>
    <w:p w14:paraId="4EA9FEC4" w14:textId="77777777" w:rsidR="00D67371" w:rsidRPr="00005453" w:rsidRDefault="00D67371" w:rsidP="00D67371">
      <w:pPr>
        <w:autoSpaceDE w:val="0"/>
        <w:autoSpaceDN w:val="0"/>
        <w:adjustRightInd w:val="0"/>
        <w:ind w:hanging="567"/>
        <w:jc w:val="both"/>
        <w:rPr>
          <w:b/>
          <w:sz w:val="16"/>
          <w:szCs w:val="16"/>
        </w:rPr>
      </w:pPr>
    </w:p>
    <w:p w14:paraId="6A9F89D4" w14:textId="54EC5357" w:rsidR="00D67371" w:rsidRPr="00005453" w:rsidRDefault="00D67371" w:rsidP="00D67371">
      <w:pPr>
        <w:autoSpaceDE w:val="0"/>
        <w:autoSpaceDN w:val="0"/>
        <w:adjustRightInd w:val="0"/>
        <w:jc w:val="both"/>
        <w:rPr>
          <w:b/>
        </w:rPr>
      </w:pPr>
      <w:r w:rsidRPr="00005453">
        <w:t>Yoktur</w:t>
      </w:r>
      <w:r w:rsidRPr="00005453">
        <w:rPr>
          <w:b/>
        </w:rPr>
        <w:t xml:space="preserve"> </w:t>
      </w:r>
      <w:r w:rsidRPr="00005453">
        <w:t>(1 Ocak-3</w:t>
      </w:r>
      <w:r w:rsidR="003F1CC9" w:rsidRPr="00005453">
        <w:t>1</w:t>
      </w:r>
      <w:r w:rsidRPr="00005453">
        <w:t xml:space="preserve"> </w:t>
      </w:r>
      <w:r w:rsidR="00FA6FC8" w:rsidRPr="00005453">
        <w:t>Aralık</w:t>
      </w:r>
      <w:r w:rsidRPr="00005453">
        <w:t xml:space="preserve"> </w:t>
      </w:r>
      <w:proofErr w:type="gramStart"/>
      <w:r w:rsidRPr="00005453">
        <w:t>202</w:t>
      </w:r>
      <w:r w:rsidR="00270A0A" w:rsidRPr="00005453">
        <w:t xml:space="preserve">3 </w:t>
      </w:r>
      <w:r w:rsidRPr="00005453">
        <w:t>-</w:t>
      </w:r>
      <w:proofErr w:type="gramEnd"/>
      <w:r w:rsidRPr="00005453">
        <w:t xml:space="preserve"> Yoktur).</w:t>
      </w:r>
    </w:p>
    <w:p w14:paraId="74D87712" w14:textId="77777777" w:rsidR="00DA4876" w:rsidRPr="00005453" w:rsidRDefault="00DA4876" w:rsidP="00DE19A7">
      <w:pPr>
        <w:autoSpaceDE w:val="0"/>
        <w:autoSpaceDN w:val="0"/>
        <w:adjustRightInd w:val="0"/>
        <w:ind w:hanging="567"/>
        <w:rPr>
          <w:rFonts w:eastAsia="Arial Unicode MS"/>
          <w:b/>
          <w:sz w:val="16"/>
          <w:szCs w:val="16"/>
        </w:rPr>
      </w:pPr>
    </w:p>
    <w:p w14:paraId="19367980" w14:textId="55AAFBC4" w:rsidR="00171277" w:rsidRPr="00005453" w:rsidRDefault="00DE19A7" w:rsidP="00D67371">
      <w:pPr>
        <w:autoSpaceDE w:val="0"/>
        <w:autoSpaceDN w:val="0"/>
        <w:adjustRightInd w:val="0"/>
        <w:ind w:hanging="567"/>
        <w:rPr>
          <w:rFonts w:eastAsia="Arial Unicode MS"/>
          <w:b/>
          <w:sz w:val="16"/>
          <w:szCs w:val="16"/>
        </w:rPr>
      </w:pPr>
      <w:r w:rsidRPr="00005453">
        <w:rPr>
          <w:rFonts w:eastAsia="Arial Unicode MS"/>
          <w:b/>
        </w:rPr>
        <w:t>4.3</w:t>
      </w:r>
      <w:r w:rsidRPr="00005453">
        <w:rPr>
          <w:rFonts w:eastAsia="Arial Unicode MS"/>
          <w:b/>
        </w:rPr>
        <w:tab/>
      </w:r>
      <w:r w:rsidR="00E253C8" w:rsidRPr="00005453">
        <w:rPr>
          <w:rFonts w:eastAsia="Arial Unicode MS"/>
          <w:b/>
        </w:rPr>
        <w:t>Temettü gelirlerine ilişkin açıklamalar</w:t>
      </w:r>
    </w:p>
    <w:p w14:paraId="3F2BF94C" w14:textId="481D6D2C" w:rsidR="00D67371" w:rsidRPr="00005453" w:rsidRDefault="00D67371" w:rsidP="001715B9">
      <w:pPr>
        <w:autoSpaceDE w:val="0"/>
        <w:autoSpaceDN w:val="0"/>
        <w:adjustRightInd w:val="0"/>
        <w:ind w:left="709"/>
        <w:rPr>
          <w:lang w:eastAsia="en-GB"/>
        </w:rPr>
      </w:pPr>
    </w:p>
    <w:tbl>
      <w:tblPr>
        <w:tblW w:w="9217" w:type="dxa"/>
        <w:tblCellMar>
          <w:left w:w="70" w:type="dxa"/>
          <w:right w:w="70" w:type="dxa"/>
        </w:tblCellMar>
        <w:tblLook w:val="04A0" w:firstRow="1" w:lastRow="0" w:firstColumn="1" w:lastColumn="0" w:noHBand="0" w:noVBand="1"/>
      </w:tblPr>
      <w:tblGrid>
        <w:gridCol w:w="5103"/>
        <w:gridCol w:w="1843"/>
        <w:gridCol w:w="2271"/>
      </w:tblGrid>
      <w:tr w:rsidR="00D67371" w:rsidRPr="00005453" w14:paraId="056505FF" w14:textId="77777777" w:rsidTr="00BD1BED">
        <w:trPr>
          <w:divId w:val="1584143429"/>
          <w:trHeight w:val="18"/>
        </w:trPr>
        <w:tc>
          <w:tcPr>
            <w:tcW w:w="5103" w:type="dxa"/>
            <w:tcBorders>
              <w:top w:val="double" w:sz="6" w:space="0" w:color="auto"/>
              <w:left w:val="nil"/>
              <w:bottom w:val="single" w:sz="8" w:space="0" w:color="auto"/>
              <w:right w:val="nil"/>
            </w:tcBorders>
            <w:shd w:val="clear" w:color="auto" w:fill="auto"/>
            <w:vAlign w:val="center"/>
            <w:hideMark/>
          </w:tcPr>
          <w:p w14:paraId="08F89B67" w14:textId="377C85F6" w:rsidR="00D67371" w:rsidRPr="00005453" w:rsidRDefault="00D67371" w:rsidP="00D67371">
            <w:pPr>
              <w:jc w:val="center"/>
              <w:rPr>
                <w:b/>
                <w:bCs/>
                <w:color w:val="000000"/>
                <w:sz w:val="18"/>
                <w:szCs w:val="18"/>
                <w:lang w:eastAsia="tr-TR"/>
              </w:rPr>
            </w:pPr>
            <w:r w:rsidRPr="00005453">
              <w:rPr>
                <w:b/>
                <w:bCs/>
                <w:color w:val="000000"/>
                <w:sz w:val="18"/>
                <w:szCs w:val="18"/>
                <w:lang w:eastAsia="tr-TR"/>
              </w:rPr>
              <w:t> </w:t>
            </w:r>
          </w:p>
        </w:tc>
        <w:tc>
          <w:tcPr>
            <w:tcW w:w="1843" w:type="dxa"/>
            <w:tcBorders>
              <w:top w:val="double" w:sz="6" w:space="0" w:color="auto"/>
              <w:left w:val="nil"/>
              <w:bottom w:val="single" w:sz="8" w:space="0" w:color="auto"/>
              <w:right w:val="nil"/>
            </w:tcBorders>
            <w:shd w:val="clear" w:color="auto" w:fill="auto"/>
            <w:vAlign w:val="center"/>
            <w:hideMark/>
          </w:tcPr>
          <w:p w14:paraId="446E7A96" w14:textId="77777777" w:rsidR="00D67371" w:rsidRPr="00005453" w:rsidRDefault="00D67371" w:rsidP="00D67371">
            <w:pPr>
              <w:jc w:val="right"/>
              <w:rPr>
                <w:b/>
                <w:bCs/>
                <w:color w:val="000000"/>
                <w:sz w:val="18"/>
                <w:szCs w:val="18"/>
                <w:lang w:eastAsia="tr-TR"/>
              </w:rPr>
            </w:pPr>
            <w:r w:rsidRPr="00005453">
              <w:rPr>
                <w:b/>
                <w:bCs/>
                <w:color w:val="000000"/>
                <w:sz w:val="18"/>
                <w:szCs w:val="18"/>
                <w:lang w:eastAsia="tr-TR"/>
              </w:rPr>
              <w:t>Cari Dönem</w:t>
            </w:r>
          </w:p>
        </w:tc>
        <w:tc>
          <w:tcPr>
            <w:tcW w:w="2271" w:type="dxa"/>
            <w:tcBorders>
              <w:top w:val="double" w:sz="6" w:space="0" w:color="auto"/>
              <w:left w:val="nil"/>
              <w:bottom w:val="single" w:sz="8" w:space="0" w:color="auto"/>
              <w:right w:val="nil"/>
            </w:tcBorders>
            <w:shd w:val="clear" w:color="auto" w:fill="auto"/>
            <w:vAlign w:val="center"/>
            <w:hideMark/>
          </w:tcPr>
          <w:p w14:paraId="5D61A0DC" w14:textId="77777777" w:rsidR="00D67371" w:rsidRPr="00005453" w:rsidRDefault="00D67371" w:rsidP="00D67371">
            <w:pPr>
              <w:jc w:val="right"/>
              <w:rPr>
                <w:b/>
                <w:bCs/>
                <w:color w:val="000000"/>
                <w:sz w:val="18"/>
                <w:szCs w:val="18"/>
                <w:lang w:eastAsia="tr-TR"/>
              </w:rPr>
            </w:pPr>
            <w:r w:rsidRPr="00005453">
              <w:rPr>
                <w:b/>
                <w:bCs/>
                <w:color w:val="000000"/>
                <w:sz w:val="18"/>
                <w:szCs w:val="18"/>
                <w:lang w:eastAsia="tr-TR"/>
              </w:rPr>
              <w:t>Önceki Dönem</w:t>
            </w:r>
          </w:p>
        </w:tc>
      </w:tr>
      <w:tr w:rsidR="00700F7C" w:rsidRPr="00005453" w14:paraId="5A48B579" w14:textId="77777777" w:rsidTr="000E5F12">
        <w:trPr>
          <w:divId w:val="1584143429"/>
          <w:trHeight w:val="186"/>
        </w:trPr>
        <w:tc>
          <w:tcPr>
            <w:tcW w:w="5103" w:type="dxa"/>
            <w:tcBorders>
              <w:top w:val="nil"/>
              <w:left w:val="nil"/>
              <w:bottom w:val="nil"/>
              <w:right w:val="nil"/>
            </w:tcBorders>
            <w:shd w:val="clear" w:color="auto" w:fill="auto"/>
            <w:noWrap/>
            <w:vAlign w:val="bottom"/>
            <w:hideMark/>
          </w:tcPr>
          <w:p w14:paraId="2EBF8B46" w14:textId="620D92E3" w:rsidR="00700F7C" w:rsidRPr="00005453" w:rsidRDefault="00700F7C" w:rsidP="00700F7C">
            <w:pPr>
              <w:rPr>
                <w:sz w:val="18"/>
                <w:szCs w:val="18"/>
                <w:lang w:eastAsia="tr-TR"/>
              </w:rPr>
            </w:pPr>
            <w:r w:rsidRPr="00005453">
              <w:rPr>
                <w:sz w:val="18"/>
                <w:szCs w:val="18"/>
                <w:lang w:eastAsia="tr-TR"/>
              </w:rPr>
              <w:t>Gerçeğe Uygun Değer Farkı Kâr Zarara Yansıtılan F</w:t>
            </w:r>
            <w:r w:rsidR="005547AB" w:rsidRPr="00005453">
              <w:rPr>
                <w:sz w:val="18"/>
                <w:szCs w:val="18"/>
                <w:lang w:eastAsia="tr-TR"/>
              </w:rPr>
              <w:t>inansal Varlıklar</w:t>
            </w:r>
          </w:p>
        </w:tc>
        <w:tc>
          <w:tcPr>
            <w:tcW w:w="1843" w:type="dxa"/>
            <w:tcBorders>
              <w:top w:val="nil"/>
              <w:left w:val="nil"/>
              <w:bottom w:val="nil"/>
              <w:right w:val="nil"/>
            </w:tcBorders>
            <w:shd w:val="clear" w:color="auto" w:fill="auto"/>
            <w:vAlign w:val="center"/>
            <w:hideMark/>
          </w:tcPr>
          <w:p w14:paraId="054EBDFF" w14:textId="77777777" w:rsidR="00700F7C" w:rsidRPr="00005453" w:rsidRDefault="00700F7C" w:rsidP="00700F7C">
            <w:pPr>
              <w:jc w:val="right"/>
              <w:rPr>
                <w:b/>
                <w:bCs/>
                <w:color w:val="000000"/>
                <w:sz w:val="18"/>
                <w:szCs w:val="18"/>
                <w:lang w:eastAsia="tr-TR"/>
              </w:rPr>
            </w:pPr>
            <w:r w:rsidRPr="00005453">
              <w:rPr>
                <w:b/>
                <w:bCs/>
                <w:color w:val="000000"/>
                <w:sz w:val="18"/>
                <w:szCs w:val="18"/>
                <w:lang w:eastAsia="tr-TR"/>
              </w:rPr>
              <w:t>-</w:t>
            </w:r>
          </w:p>
        </w:tc>
        <w:tc>
          <w:tcPr>
            <w:tcW w:w="2271" w:type="dxa"/>
            <w:tcBorders>
              <w:top w:val="nil"/>
              <w:left w:val="nil"/>
              <w:bottom w:val="nil"/>
              <w:right w:val="nil"/>
            </w:tcBorders>
            <w:shd w:val="clear" w:color="auto" w:fill="auto"/>
            <w:vAlign w:val="center"/>
            <w:hideMark/>
          </w:tcPr>
          <w:p w14:paraId="38DB90A4" w14:textId="3E64324C" w:rsidR="00700F7C" w:rsidRPr="00005453" w:rsidRDefault="00700F7C" w:rsidP="00700F7C">
            <w:pPr>
              <w:jc w:val="right"/>
              <w:rPr>
                <w:b/>
                <w:bCs/>
                <w:color w:val="000000"/>
                <w:sz w:val="18"/>
                <w:szCs w:val="18"/>
                <w:lang w:eastAsia="tr-TR"/>
              </w:rPr>
            </w:pPr>
            <w:r w:rsidRPr="00005453">
              <w:rPr>
                <w:b/>
                <w:bCs/>
                <w:color w:val="000000"/>
                <w:sz w:val="18"/>
                <w:szCs w:val="18"/>
                <w:lang w:eastAsia="tr-TR"/>
              </w:rPr>
              <w:t>-</w:t>
            </w:r>
          </w:p>
        </w:tc>
      </w:tr>
      <w:tr w:rsidR="00700F7C" w:rsidRPr="00005453" w14:paraId="4633D2F1" w14:textId="77777777" w:rsidTr="000E5F12">
        <w:trPr>
          <w:divId w:val="1584143429"/>
          <w:trHeight w:val="186"/>
        </w:trPr>
        <w:tc>
          <w:tcPr>
            <w:tcW w:w="5103" w:type="dxa"/>
            <w:tcBorders>
              <w:top w:val="nil"/>
              <w:left w:val="nil"/>
              <w:bottom w:val="nil"/>
              <w:right w:val="nil"/>
            </w:tcBorders>
            <w:shd w:val="clear" w:color="auto" w:fill="auto"/>
            <w:noWrap/>
            <w:vAlign w:val="bottom"/>
            <w:hideMark/>
          </w:tcPr>
          <w:p w14:paraId="3266D141" w14:textId="401DA471" w:rsidR="00700F7C" w:rsidRPr="00005453" w:rsidRDefault="00700F7C" w:rsidP="00700F7C">
            <w:pPr>
              <w:rPr>
                <w:sz w:val="18"/>
                <w:szCs w:val="18"/>
                <w:lang w:eastAsia="tr-TR"/>
              </w:rPr>
            </w:pPr>
            <w:r w:rsidRPr="00005453">
              <w:rPr>
                <w:sz w:val="18"/>
                <w:szCs w:val="18"/>
                <w:lang w:eastAsia="tr-TR"/>
              </w:rPr>
              <w:t>Gerçeğe Uygun Değer Farkı Diğer Kapsamlı Gelire Yansıtılan F</w:t>
            </w:r>
            <w:r w:rsidR="005547AB" w:rsidRPr="00005453">
              <w:rPr>
                <w:sz w:val="18"/>
                <w:szCs w:val="18"/>
                <w:lang w:eastAsia="tr-TR"/>
              </w:rPr>
              <w:t>inansal Varlıklar</w:t>
            </w:r>
          </w:p>
        </w:tc>
        <w:tc>
          <w:tcPr>
            <w:tcW w:w="1843" w:type="dxa"/>
            <w:tcBorders>
              <w:top w:val="nil"/>
              <w:left w:val="nil"/>
              <w:bottom w:val="nil"/>
              <w:right w:val="nil"/>
            </w:tcBorders>
            <w:shd w:val="clear" w:color="auto" w:fill="auto"/>
            <w:vAlign w:val="center"/>
            <w:hideMark/>
          </w:tcPr>
          <w:p w14:paraId="2D766C7A" w14:textId="77777777" w:rsidR="00700F7C" w:rsidRPr="00005453" w:rsidRDefault="00700F7C" w:rsidP="00700F7C">
            <w:pPr>
              <w:jc w:val="right"/>
              <w:rPr>
                <w:b/>
                <w:bCs/>
                <w:color w:val="000000"/>
                <w:sz w:val="18"/>
                <w:szCs w:val="18"/>
                <w:lang w:eastAsia="tr-TR"/>
              </w:rPr>
            </w:pPr>
            <w:r w:rsidRPr="00005453">
              <w:rPr>
                <w:b/>
                <w:bCs/>
                <w:color w:val="000000"/>
                <w:sz w:val="18"/>
                <w:szCs w:val="18"/>
                <w:lang w:eastAsia="tr-TR"/>
              </w:rPr>
              <w:t>-</w:t>
            </w:r>
          </w:p>
        </w:tc>
        <w:tc>
          <w:tcPr>
            <w:tcW w:w="2271" w:type="dxa"/>
            <w:tcBorders>
              <w:top w:val="nil"/>
              <w:left w:val="nil"/>
              <w:bottom w:val="nil"/>
              <w:right w:val="nil"/>
            </w:tcBorders>
            <w:shd w:val="clear" w:color="auto" w:fill="auto"/>
            <w:vAlign w:val="center"/>
            <w:hideMark/>
          </w:tcPr>
          <w:p w14:paraId="332C5133" w14:textId="4F6CFA00" w:rsidR="00700F7C" w:rsidRPr="00005453" w:rsidRDefault="00700F7C" w:rsidP="00700F7C">
            <w:pPr>
              <w:jc w:val="right"/>
              <w:rPr>
                <w:b/>
                <w:bCs/>
                <w:color w:val="000000"/>
                <w:sz w:val="18"/>
                <w:szCs w:val="18"/>
                <w:lang w:eastAsia="tr-TR"/>
              </w:rPr>
            </w:pPr>
            <w:r w:rsidRPr="00005453">
              <w:rPr>
                <w:b/>
                <w:bCs/>
                <w:color w:val="000000"/>
                <w:sz w:val="18"/>
                <w:szCs w:val="18"/>
                <w:lang w:eastAsia="tr-TR"/>
              </w:rPr>
              <w:t>-</w:t>
            </w:r>
          </w:p>
        </w:tc>
      </w:tr>
      <w:tr w:rsidR="00270A0A" w:rsidRPr="00005453" w14:paraId="4E580626" w14:textId="77777777" w:rsidTr="000E5F12">
        <w:trPr>
          <w:divId w:val="1584143429"/>
          <w:trHeight w:val="198"/>
        </w:trPr>
        <w:tc>
          <w:tcPr>
            <w:tcW w:w="5103" w:type="dxa"/>
            <w:tcBorders>
              <w:top w:val="nil"/>
              <w:left w:val="nil"/>
              <w:bottom w:val="single" w:sz="8" w:space="0" w:color="auto"/>
              <w:right w:val="nil"/>
            </w:tcBorders>
            <w:shd w:val="clear" w:color="auto" w:fill="auto"/>
            <w:noWrap/>
            <w:vAlign w:val="bottom"/>
            <w:hideMark/>
          </w:tcPr>
          <w:p w14:paraId="4D3030FB" w14:textId="77777777" w:rsidR="00270A0A" w:rsidRPr="00005453" w:rsidRDefault="00270A0A" w:rsidP="00270A0A">
            <w:pPr>
              <w:rPr>
                <w:sz w:val="18"/>
                <w:szCs w:val="18"/>
                <w:lang w:eastAsia="tr-TR"/>
              </w:rPr>
            </w:pPr>
            <w:r w:rsidRPr="00005453">
              <w:rPr>
                <w:sz w:val="18"/>
                <w:szCs w:val="18"/>
                <w:lang w:eastAsia="tr-TR"/>
              </w:rPr>
              <w:t>Diğer</w:t>
            </w:r>
          </w:p>
        </w:tc>
        <w:tc>
          <w:tcPr>
            <w:tcW w:w="1843" w:type="dxa"/>
            <w:tcBorders>
              <w:top w:val="nil"/>
              <w:left w:val="nil"/>
              <w:bottom w:val="single" w:sz="8" w:space="0" w:color="auto"/>
              <w:right w:val="nil"/>
            </w:tcBorders>
            <w:shd w:val="clear" w:color="auto" w:fill="auto"/>
            <w:vAlign w:val="center"/>
            <w:hideMark/>
          </w:tcPr>
          <w:p w14:paraId="4CD3E752" w14:textId="25FCB54F" w:rsidR="00270A0A" w:rsidRPr="00005453" w:rsidRDefault="00CD75F3" w:rsidP="00270A0A">
            <w:pPr>
              <w:jc w:val="right"/>
              <w:rPr>
                <w:color w:val="000000"/>
                <w:sz w:val="18"/>
                <w:szCs w:val="18"/>
                <w:lang w:eastAsia="tr-TR"/>
              </w:rPr>
            </w:pPr>
            <w:r w:rsidRPr="00005453">
              <w:rPr>
                <w:color w:val="000000"/>
                <w:sz w:val="18"/>
                <w:szCs w:val="18"/>
                <w:lang w:eastAsia="tr-TR"/>
              </w:rPr>
              <w:t>4</w:t>
            </w:r>
            <w:r w:rsidR="00270A0A" w:rsidRPr="00005453">
              <w:rPr>
                <w:color w:val="000000"/>
                <w:sz w:val="18"/>
                <w:szCs w:val="18"/>
                <w:lang w:eastAsia="tr-TR"/>
              </w:rPr>
              <w:t>,</w:t>
            </w:r>
            <w:r w:rsidRPr="00005453">
              <w:rPr>
                <w:color w:val="000000"/>
                <w:sz w:val="18"/>
                <w:szCs w:val="18"/>
                <w:lang w:eastAsia="tr-TR"/>
              </w:rPr>
              <w:t>12</w:t>
            </w:r>
            <w:r w:rsidR="00270A0A" w:rsidRPr="00005453">
              <w:rPr>
                <w:color w:val="000000"/>
                <w:sz w:val="18"/>
                <w:szCs w:val="18"/>
                <w:lang w:eastAsia="tr-TR"/>
              </w:rPr>
              <w:t>3</w:t>
            </w:r>
          </w:p>
        </w:tc>
        <w:tc>
          <w:tcPr>
            <w:tcW w:w="2271" w:type="dxa"/>
            <w:tcBorders>
              <w:top w:val="nil"/>
              <w:left w:val="nil"/>
              <w:bottom w:val="single" w:sz="8" w:space="0" w:color="auto"/>
              <w:right w:val="nil"/>
            </w:tcBorders>
            <w:shd w:val="clear" w:color="auto" w:fill="auto"/>
            <w:vAlign w:val="center"/>
            <w:hideMark/>
          </w:tcPr>
          <w:p w14:paraId="785E2255" w14:textId="42054030" w:rsidR="00270A0A" w:rsidRPr="00005453" w:rsidRDefault="00270A0A" w:rsidP="00270A0A">
            <w:pPr>
              <w:jc w:val="right"/>
              <w:rPr>
                <w:color w:val="000000"/>
                <w:sz w:val="18"/>
                <w:szCs w:val="18"/>
                <w:lang w:eastAsia="tr-TR"/>
              </w:rPr>
            </w:pPr>
            <w:r w:rsidRPr="00005453">
              <w:rPr>
                <w:color w:val="000000"/>
                <w:sz w:val="18"/>
                <w:szCs w:val="18"/>
                <w:lang w:eastAsia="tr-TR"/>
              </w:rPr>
              <w:t>2,053</w:t>
            </w:r>
          </w:p>
        </w:tc>
      </w:tr>
      <w:tr w:rsidR="00270A0A" w:rsidRPr="00005453" w14:paraId="15F6C8A8" w14:textId="77777777" w:rsidTr="000E5F12">
        <w:trPr>
          <w:divId w:val="1584143429"/>
          <w:trHeight w:val="198"/>
        </w:trPr>
        <w:tc>
          <w:tcPr>
            <w:tcW w:w="5103" w:type="dxa"/>
            <w:tcBorders>
              <w:top w:val="nil"/>
              <w:left w:val="nil"/>
              <w:bottom w:val="double" w:sz="6" w:space="0" w:color="auto"/>
              <w:right w:val="nil"/>
            </w:tcBorders>
            <w:shd w:val="clear" w:color="auto" w:fill="auto"/>
            <w:noWrap/>
            <w:vAlign w:val="center"/>
            <w:hideMark/>
          </w:tcPr>
          <w:p w14:paraId="21F0AF9B" w14:textId="77777777" w:rsidR="00270A0A" w:rsidRPr="00005453" w:rsidRDefault="00270A0A" w:rsidP="00270A0A">
            <w:pPr>
              <w:rPr>
                <w:b/>
                <w:bCs/>
                <w:color w:val="000000"/>
                <w:sz w:val="18"/>
                <w:szCs w:val="18"/>
                <w:lang w:eastAsia="tr-TR"/>
              </w:rPr>
            </w:pPr>
            <w:r w:rsidRPr="00005453">
              <w:rPr>
                <w:b/>
                <w:bCs/>
                <w:color w:val="000000"/>
                <w:sz w:val="18"/>
                <w:szCs w:val="18"/>
                <w:lang w:eastAsia="tr-TR"/>
              </w:rPr>
              <w:t>Toplam</w:t>
            </w:r>
          </w:p>
        </w:tc>
        <w:tc>
          <w:tcPr>
            <w:tcW w:w="1843" w:type="dxa"/>
            <w:tcBorders>
              <w:top w:val="nil"/>
              <w:left w:val="nil"/>
              <w:bottom w:val="double" w:sz="6" w:space="0" w:color="auto"/>
              <w:right w:val="nil"/>
            </w:tcBorders>
            <w:shd w:val="clear" w:color="auto" w:fill="auto"/>
            <w:vAlign w:val="center"/>
            <w:hideMark/>
          </w:tcPr>
          <w:p w14:paraId="298D91F2" w14:textId="4B3F69FF" w:rsidR="00270A0A" w:rsidRPr="00005453" w:rsidRDefault="00CD75F3" w:rsidP="00270A0A">
            <w:pPr>
              <w:jc w:val="right"/>
              <w:rPr>
                <w:b/>
                <w:bCs/>
                <w:color w:val="000000"/>
                <w:sz w:val="18"/>
                <w:szCs w:val="18"/>
                <w:lang w:eastAsia="tr-TR"/>
              </w:rPr>
            </w:pPr>
            <w:r w:rsidRPr="00005453">
              <w:rPr>
                <w:b/>
                <w:bCs/>
                <w:color w:val="000000"/>
                <w:sz w:val="18"/>
                <w:szCs w:val="18"/>
                <w:lang w:eastAsia="tr-TR"/>
              </w:rPr>
              <w:t>4</w:t>
            </w:r>
            <w:r w:rsidR="00270A0A" w:rsidRPr="00005453">
              <w:rPr>
                <w:b/>
                <w:bCs/>
                <w:color w:val="000000"/>
                <w:sz w:val="18"/>
                <w:szCs w:val="18"/>
                <w:lang w:eastAsia="tr-TR"/>
              </w:rPr>
              <w:t>,</w:t>
            </w:r>
            <w:r w:rsidRPr="00005453">
              <w:rPr>
                <w:b/>
                <w:bCs/>
                <w:color w:val="000000"/>
                <w:sz w:val="18"/>
                <w:szCs w:val="18"/>
                <w:lang w:eastAsia="tr-TR"/>
              </w:rPr>
              <w:t>12</w:t>
            </w:r>
            <w:r w:rsidR="00270A0A" w:rsidRPr="00005453">
              <w:rPr>
                <w:b/>
                <w:bCs/>
                <w:color w:val="000000"/>
                <w:sz w:val="18"/>
                <w:szCs w:val="18"/>
                <w:lang w:eastAsia="tr-TR"/>
              </w:rPr>
              <w:t>3</w:t>
            </w:r>
          </w:p>
        </w:tc>
        <w:tc>
          <w:tcPr>
            <w:tcW w:w="2271" w:type="dxa"/>
            <w:tcBorders>
              <w:top w:val="nil"/>
              <w:left w:val="nil"/>
              <w:bottom w:val="double" w:sz="6" w:space="0" w:color="auto"/>
              <w:right w:val="nil"/>
            </w:tcBorders>
            <w:shd w:val="clear" w:color="auto" w:fill="auto"/>
            <w:vAlign w:val="center"/>
            <w:hideMark/>
          </w:tcPr>
          <w:p w14:paraId="3724B314" w14:textId="6002043E" w:rsidR="00270A0A" w:rsidRPr="00005453" w:rsidRDefault="00270A0A" w:rsidP="00270A0A">
            <w:pPr>
              <w:jc w:val="right"/>
              <w:rPr>
                <w:b/>
                <w:bCs/>
                <w:color w:val="000000"/>
                <w:sz w:val="18"/>
                <w:szCs w:val="18"/>
                <w:lang w:eastAsia="tr-TR"/>
              </w:rPr>
            </w:pPr>
            <w:r w:rsidRPr="00005453">
              <w:rPr>
                <w:b/>
                <w:bCs/>
                <w:color w:val="000000"/>
                <w:sz w:val="18"/>
                <w:szCs w:val="18"/>
                <w:lang w:eastAsia="tr-TR"/>
              </w:rPr>
              <w:t>2,053</w:t>
            </w:r>
          </w:p>
        </w:tc>
      </w:tr>
    </w:tbl>
    <w:p w14:paraId="3539B22B" w14:textId="67048CBA" w:rsidR="00C260E0" w:rsidRPr="00005453" w:rsidRDefault="007F1884" w:rsidP="000B2793">
      <w:pPr>
        <w:ind w:hanging="567"/>
        <w:rPr>
          <w:rFonts w:eastAsia="Arial Unicode MS"/>
          <w:b/>
        </w:rPr>
      </w:pPr>
      <w:r w:rsidRPr="00005453">
        <w:rPr>
          <w:rFonts w:eastAsia="Arial Unicode MS"/>
          <w:b/>
        </w:rPr>
        <w:br w:type="page"/>
      </w:r>
      <w:r w:rsidR="00DE19A7" w:rsidRPr="00005453">
        <w:rPr>
          <w:rFonts w:eastAsia="Arial Unicode MS"/>
          <w:b/>
        </w:rPr>
        <w:lastRenderedPageBreak/>
        <w:t>4.4</w:t>
      </w:r>
      <w:r w:rsidR="00DE19A7" w:rsidRPr="00005453">
        <w:rPr>
          <w:rFonts w:eastAsia="Arial Unicode MS"/>
          <w:b/>
        </w:rPr>
        <w:tab/>
      </w:r>
      <w:r w:rsidR="001E6154" w:rsidRPr="00005453">
        <w:rPr>
          <w:rFonts w:eastAsia="Arial Unicode MS"/>
          <w:b/>
        </w:rPr>
        <w:t>Katılma hesaplarına ödenen kar paylarının vade yapısına göre gösterimi</w:t>
      </w:r>
    </w:p>
    <w:p w14:paraId="5404F6FD" w14:textId="668BAB79" w:rsidR="00D67371" w:rsidRPr="00005453" w:rsidRDefault="00D67371" w:rsidP="00D67371">
      <w:pPr>
        <w:autoSpaceDE w:val="0"/>
        <w:autoSpaceDN w:val="0"/>
        <w:adjustRightInd w:val="0"/>
        <w:ind w:hanging="567"/>
        <w:rPr>
          <w:rFonts w:eastAsia="Arial Unicode MS"/>
          <w:b/>
        </w:rPr>
      </w:pPr>
    </w:p>
    <w:tbl>
      <w:tblPr>
        <w:tblW w:w="9781" w:type="dxa"/>
        <w:tblLayout w:type="fixed"/>
        <w:tblCellMar>
          <w:left w:w="70" w:type="dxa"/>
          <w:right w:w="70" w:type="dxa"/>
        </w:tblCellMar>
        <w:tblLook w:val="04A0" w:firstRow="1" w:lastRow="0" w:firstColumn="1" w:lastColumn="0" w:noHBand="0" w:noVBand="1"/>
      </w:tblPr>
      <w:tblGrid>
        <w:gridCol w:w="2410"/>
        <w:gridCol w:w="1017"/>
        <w:gridCol w:w="977"/>
        <w:gridCol w:w="860"/>
        <w:gridCol w:w="668"/>
        <w:gridCol w:w="1014"/>
        <w:gridCol w:w="992"/>
        <w:gridCol w:w="887"/>
        <w:gridCol w:w="956"/>
      </w:tblGrid>
      <w:tr w:rsidR="00D67371" w:rsidRPr="00005453" w14:paraId="76F09818" w14:textId="77777777" w:rsidTr="00517175">
        <w:trPr>
          <w:divId w:val="1608269462"/>
          <w:trHeight w:val="227"/>
        </w:trPr>
        <w:tc>
          <w:tcPr>
            <w:tcW w:w="2410" w:type="dxa"/>
            <w:tcBorders>
              <w:top w:val="single" w:sz="8" w:space="0" w:color="auto"/>
              <w:left w:val="nil"/>
              <w:bottom w:val="single" w:sz="8" w:space="0" w:color="auto"/>
              <w:right w:val="nil"/>
            </w:tcBorders>
            <w:shd w:val="clear" w:color="auto" w:fill="auto"/>
            <w:vAlign w:val="center"/>
            <w:hideMark/>
          </w:tcPr>
          <w:p w14:paraId="1FF15DDE" w14:textId="36617652" w:rsidR="00D67371" w:rsidRPr="00005453" w:rsidRDefault="00D67371" w:rsidP="00D67371">
            <w:pPr>
              <w:rPr>
                <w:b/>
                <w:bCs/>
                <w:color w:val="000000"/>
                <w:sz w:val="18"/>
                <w:szCs w:val="18"/>
                <w:lang w:eastAsia="tr-TR"/>
              </w:rPr>
            </w:pPr>
            <w:r w:rsidRPr="00005453">
              <w:rPr>
                <w:b/>
                <w:bCs/>
                <w:color w:val="000000"/>
                <w:sz w:val="18"/>
                <w:szCs w:val="18"/>
                <w:lang w:eastAsia="tr-TR"/>
              </w:rPr>
              <w:t>Cari Dönem</w:t>
            </w:r>
          </w:p>
        </w:tc>
        <w:tc>
          <w:tcPr>
            <w:tcW w:w="7371" w:type="dxa"/>
            <w:gridSpan w:val="8"/>
            <w:tcBorders>
              <w:top w:val="single" w:sz="8" w:space="0" w:color="auto"/>
              <w:left w:val="nil"/>
              <w:bottom w:val="single" w:sz="8" w:space="0" w:color="auto"/>
              <w:right w:val="nil"/>
            </w:tcBorders>
            <w:shd w:val="clear" w:color="auto" w:fill="auto"/>
            <w:vAlign w:val="center"/>
            <w:hideMark/>
          </w:tcPr>
          <w:p w14:paraId="09AAC267" w14:textId="77777777" w:rsidR="00D67371" w:rsidRPr="00005453" w:rsidRDefault="00D67371" w:rsidP="00D67371">
            <w:pPr>
              <w:jc w:val="center"/>
              <w:rPr>
                <w:b/>
                <w:bCs/>
                <w:color w:val="000000"/>
                <w:sz w:val="18"/>
                <w:szCs w:val="18"/>
                <w:lang w:eastAsia="tr-TR"/>
              </w:rPr>
            </w:pPr>
            <w:r w:rsidRPr="00005453">
              <w:rPr>
                <w:b/>
                <w:bCs/>
                <w:color w:val="000000"/>
                <w:sz w:val="18"/>
                <w:szCs w:val="18"/>
                <w:lang w:eastAsia="tr-TR"/>
              </w:rPr>
              <w:t>Katılma hesapları</w:t>
            </w:r>
          </w:p>
        </w:tc>
      </w:tr>
      <w:tr w:rsidR="00D67371" w:rsidRPr="00005453" w14:paraId="491C8EF7"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0707D725" w14:textId="77777777" w:rsidR="00D67371" w:rsidRPr="00005453" w:rsidRDefault="00D67371" w:rsidP="00D67371">
            <w:pPr>
              <w:jc w:val="center"/>
              <w:rPr>
                <w:b/>
                <w:bCs/>
                <w:color w:val="000000"/>
                <w:sz w:val="18"/>
                <w:szCs w:val="18"/>
                <w:lang w:eastAsia="tr-TR"/>
              </w:rPr>
            </w:pPr>
          </w:p>
        </w:tc>
        <w:tc>
          <w:tcPr>
            <w:tcW w:w="1017" w:type="dxa"/>
            <w:tcBorders>
              <w:top w:val="nil"/>
              <w:left w:val="nil"/>
              <w:bottom w:val="nil"/>
              <w:right w:val="nil"/>
            </w:tcBorders>
            <w:shd w:val="clear" w:color="auto" w:fill="auto"/>
            <w:vAlign w:val="center"/>
            <w:hideMark/>
          </w:tcPr>
          <w:p w14:paraId="52D554D2" w14:textId="77777777" w:rsidR="00D67371" w:rsidRPr="00005453" w:rsidRDefault="00D67371" w:rsidP="00D67371">
            <w:pPr>
              <w:rPr>
                <w:sz w:val="18"/>
                <w:szCs w:val="18"/>
                <w:lang w:eastAsia="tr-TR"/>
              </w:rPr>
            </w:pPr>
          </w:p>
        </w:tc>
        <w:tc>
          <w:tcPr>
            <w:tcW w:w="977" w:type="dxa"/>
            <w:tcBorders>
              <w:top w:val="nil"/>
              <w:left w:val="nil"/>
              <w:bottom w:val="nil"/>
              <w:right w:val="nil"/>
            </w:tcBorders>
            <w:shd w:val="clear" w:color="auto" w:fill="auto"/>
            <w:vAlign w:val="center"/>
            <w:hideMark/>
          </w:tcPr>
          <w:p w14:paraId="5D23E6D6" w14:textId="77777777" w:rsidR="00D67371" w:rsidRPr="00005453" w:rsidRDefault="00D67371" w:rsidP="00D67371">
            <w:pPr>
              <w:jc w:val="right"/>
              <w:rPr>
                <w:sz w:val="18"/>
                <w:szCs w:val="18"/>
                <w:lang w:eastAsia="tr-TR"/>
              </w:rPr>
            </w:pPr>
          </w:p>
        </w:tc>
        <w:tc>
          <w:tcPr>
            <w:tcW w:w="860" w:type="dxa"/>
            <w:tcBorders>
              <w:top w:val="nil"/>
              <w:left w:val="nil"/>
              <w:bottom w:val="nil"/>
              <w:right w:val="nil"/>
            </w:tcBorders>
            <w:shd w:val="clear" w:color="auto" w:fill="auto"/>
            <w:vAlign w:val="center"/>
            <w:hideMark/>
          </w:tcPr>
          <w:p w14:paraId="455B84D2" w14:textId="77777777" w:rsidR="00D67371" w:rsidRPr="00005453" w:rsidRDefault="00D67371" w:rsidP="00D67371">
            <w:pPr>
              <w:jc w:val="right"/>
              <w:rPr>
                <w:sz w:val="18"/>
                <w:szCs w:val="18"/>
                <w:lang w:eastAsia="tr-TR"/>
              </w:rPr>
            </w:pPr>
          </w:p>
        </w:tc>
        <w:tc>
          <w:tcPr>
            <w:tcW w:w="668" w:type="dxa"/>
            <w:tcBorders>
              <w:top w:val="nil"/>
              <w:left w:val="nil"/>
              <w:bottom w:val="nil"/>
              <w:right w:val="nil"/>
            </w:tcBorders>
            <w:shd w:val="clear" w:color="auto" w:fill="auto"/>
            <w:vAlign w:val="center"/>
            <w:hideMark/>
          </w:tcPr>
          <w:p w14:paraId="63034766" w14:textId="77777777" w:rsidR="00D67371" w:rsidRPr="00005453" w:rsidRDefault="00D67371" w:rsidP="00D67371">
            <w:pPr>
              <w:jc w:val="right"/>
              <w:rPr>
                <w:sz w:val="18"/>
                <w:szCs w:val="18"/>
                <w:lang w:eastAsia="tr-TR"/>
              </w:rPr>
            </w:pPr>
          </w:p>
        </w:tc>
        <w:tc>
          <w:tcPr>
            <w:tcW w:w="1014" w:type="dxa"/>
            <w:tcBorders>
              <w:top w:val="nil"/>
              <w:left w:val="nil"/>
              <w:bottom w:val="nil"/>
              <w:right w:val="nil"/>
            </w:tcBorders>
            <w:shd w:val="clear" w:color="auto" w:fill="auto"/>
            <w:vAlign w:val="center"/>
            <w:hideMark/>
          </w:tcPr>
          <w:p w14:paraId="0FD70F77" w14:textId="77777777" w:rsidR="00D67371" w:rsidRPr="00005453" w:rsidRDefault="00D67371" w:rsidP="00D67371">
            <w:pPr>
              <w:jc w:val="right"/>
              <w:rPr>
                <w:sz w:val="18"/>
                <w:szCs w:val="18"/>
                <w:lang w:eastAsia="tr-TR"/>
              </w:rPr>
            </w:pPr>
          </w:p>
        </w:tc>
        <w:tc>
          <w:tcPr>
            <w:tcW w:w="992" w:type="dxa"/>
            <w:tcBorders>
              <w:top w:val="nil"/>
              <w:left w:val="nil"/>
              <w:bottom w:val="nil"/>
              <w:right w:val="nil"/>
            </w:tcBorders>
            <w:shd w:val="clear" w:color="auto" w:fill="auto"/>
            <w:vAlign w:val="center"/>
            <w:hideMark/>
          </w:tcPr>
          <w:p w14:paraId="487901ED" w14:textId="77777777" w:rsidR="00D67371" w:rsidRPr="00005453" w:rsidRDefault="00D67371" w:rsidP="00D67371">
            <w:pPr>
              <w:jc w:val="right"/>
              <w:rPr>
                <w:sz w:val="18"/>
                <w:szCs w:val="18"/>
                <w:lang w:eastAsia="tr-TR"/>
              </w:rPr>
            </w:pPr>
          </w:p>
        </w:tc>
        <w:tc>
          <w:tcPr>
            <w:tcW w:w="887" w:type="dxa"/>
            <w:vMerge w:val="restart"/>
            <w:tcBorders>
              <w:top w:val="nil"/>
              <w:left w:val="nil"/>
              <w:bottom w:val="single" w:sz="8" w:space="0" w:color="000000"/>
              <w:right w:val="nil"/>
            </w:tcBorders>
            <w:shd w:val="clear" w:color="auto" w:fill="auto"/>
            <w:vAlign w:val="center"/>
            <w:hideMark/>
          </w:tcPr>
          <w:p w14:paraId="654BB5B1" w14:textId="77777777" w:rsidR="00D67371" w:rsidRPr="00005453" w:rsidRDefault="00D67371" w:rsidP="00D67371">
            <w:pPr>
              <w:jc w:val="right"/>
              <w:rPr>
                <w:b/>
                <w:bCs/>
                <w:color w:val="000000"/>
                <w:sz w:val="18"/>
                <w:szCs w:val="18"/>
                <w:lang w:eastAsia="tr-TR"/>
              </w:rPr>
            </w:pPr>
            <w:r w:rsidRPr="00005453">
              <w:rPr>
                <w:b/>
                <w:bCs/>
                <w:color w:val="000000"/>
                <w:sz w:val="18"/>
                <w:szCs w:val="18"/>
                <w:lang w:eastAsia="tr-TR"/>
              </w:rPr>
              <w:t>Birikimli katılma hesabı</w:t>
            </w:r>
          </w:p>
        </w:tc>
        <w:tc>
          <w:tcPr>
            <w:tcW w:w="956" w:type="dxa"/>
            <w:tcBorders>
              <w:top w:val="nil"/>
              <w:left w:val="nil"/>
              <w:bottom w:val="nil"/>
              <w:right w:val="nil"/>
            </w:tcBorders>
            <w:shd w:val="clear" w:color="auto" w:fill="auto"/>
            <w:vAlign w:val="center"/>
            <w:hideMark/>
          </w:tcPr>
          <w:p w14:paraId="248623EA" w14:textId="77777777" w:rsidR="00D67371" w:rsidRPr="00005453" w:rsidRDefault="00D67371" w:rsidP="00D67371">
            <w:pPr>
              <w:jc w:val="right"/>
              <w:rPr>
                <w:b/>
                <w:bCs/>
                <w:color w:val="000000"/>
                <w:sz w:val="18"/>
                <w:szCs w:val="18"/>
                <w:lang w:eastAsia="tr-TR"/>
              </w:rPr>
            </w:pPr>
          </w:p>
        </w:tc>
      </w:tr>
      <w:tr w:rsidR="00D67371" w:rsidRPr="00005453" w14:paraId="5EFBB717"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67A57418" w14:textId="77777777" w:rsidR="00D67371" w:rsidRPr="00005453" w:rsidRDefault="00D67371" w:rsidP="00D67371">
            <w:pPr>
              <w:jc w:val="right"/>
              <w:rPr>
                <w:sz w:val="18"/>
                <w:szCs w:val="18"/>
                <w:lang w:eastAsia="tr-TR"/>
              </w:rPr>
            </w:pPr>
          </w:p>
        </w:tc>
        <w:tc>
          <w:tcPr>
            <w:tcW w:w="1017" w:type="dxa"/>
            <w:tcBorders>
              <w:top w:val="nil"/>
              <w:left w:val="nil"/>
              <w:bottom w:val="nil"/>
              <w:right w:val="nil"/>
            </w:tcBorders>
            <w:shd w:val="clear" w:color="auto" w:fill="auto"/>
            <w:vAlign w:val="center"/>
            <w:hideMark/>
          </w:tcPr>
          <w:p w14:paraId="516398CE"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 xml:space="preserve">1 aya </w:t>
            </w:r>
          </w:p>
        </w:tc>
        <w:tc>
          <w:tcPr>
            <w:tcW w:w="977" w:type="dxa"/>
            <w:tcBorders>
              <w:top w:val="nil"/>
              <w:left w:val="nil"/>
              <w:bottom w:val="nil"/>
              <w:right w:val="nil"/>
            </w:tcBorders>
            <w:shd w:val="clear" w:color="auto" w:fill="auto"/>
            <w:vAlign w:val="center"/>
            <w:hideMark/>
          </w:tcPr>
          <w:p w14:paraId="74E9F9BD"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 xml:space="preserve">3 aya </w:t>
            </w:r>
          </w:p>
        </w:tc>
        <w:tc>
          <w:tcPr>
            <w:tcW w:w="860" w:type="dxa"/>
            <w:tcBorders>
              <w:top w:val="nil"/>
              <w:left w:val="nil"/>
              <w:bottom w:val="nil"/>
              <w:right w:val="nil"/>
            </w:tcBorders>
            <w:shd w:val="clear" w:color="auto" w:fill="auto"/>
            <w:vAlign w:val="center"/>
            <w:hideMark/>
          </w:tcPr>
          <w:p w14:paraId="4F1EBEDF"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 xml:space="preserve">6 aya </w:t>
            </w:r>
          </w:p>
        </w:tc>
        <w:tc>
          <w:tcPr>
            <w:tcW w:w="668" w:type="dxa"/>
            <w:tcBorders>
              <w:top w:val="nil"/>
              <w:left w:val="nil"/>
              <w:bottom w:val="nil"/>
              <w:right w:val="nil"/>
            </w:tcBorders>
            <w:shd w:val="clear" w:color="auto" w:fill="auto"/>
            <w:vAlign w:val="center"/>
            <w:hideMark/>
          </w:tcPr>
          <w:p w14:paraId="698D4A8C"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 xml:space="preserve">9 aya </w:t>
            </w:r>
          </w:p>
        </w:tc>
        <w:tc>
          <w:tcPr>
            <w:tcW w:w="1014" w:type="dxa"/>
            <w:tcBorders>
              <w:top w:val="nil"/>
              <w:left w:val="nil"/>
              <w:bottom w:val="nil"/>
              <w:right w:val="nil"/>
            </w:tcBorders>
            <w:shd w:val="clear" w:color="auto" w:fill="auto"/>
            <w:vAlign w:val="center"/>
            <w:hideMark/>
          </w:tcPr>
          <w:p w14:paraId="6C71DF62"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 xml:space="preserve">1 yıla </w:t>
            </w:r>
          </w:p>
        </w:tc>
        <w:tc>
          <w:tcPr>
            <w:tcW w:w="992" w:type="dxa"/>
            <w:tcBorders>
              <w:top w:val="nil"/>
              <w:left w:val="nil"/>
              <w:bottom w:val="nil"/>
              <w:right w:val="nil"/>
            </w:tcBorders>
            <w:shd w:val="clear" w:color="auto" w:fill="auto"/>
            <w:vAlign w:val="center"/>
            <w:hideMark/>
          </w:tcPr>
          <w:p w14:paraId="67939C79"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1 yıldan</w:t>
            </w:r>
          </w:p>
        </w:tc>
        <w:tc>
          <w:tcPr>
            <w:tcW w:w="887" w:type="dxa"/>
            <w:vMerge/>
            <w:tcBorders>
              <w:top w:val="nil"/>
              <w:left w:val="nil"/>
              <w:bottom w:val="single" w:sz="8" w:space="0" w:color="000000"/>
              <w:right w:val="nil"/>
            </w:tcBorders>
            <w:vAlign w:val="center"/>
            <w:hideMark/>
          </w:tcPr>
          <w:p w14:paraId="24E6C120" w14:textId="77777777" w:rsidR="00D67371" w:rsidRPr="00005453" w:rsidRDefault="00D67371" w:rsidP="00DF6107">
            <w:pPr>
              <w:jc w:val="right"/>
              <w:rPr>
                <w:b/>
                <w:bCs/>
                <w:color w:val="000000"/>
                <w:sz w:val="18"/>
                <w:szCs w:val="18"/>
                <w:lang w:eastAsia="tr-TR"/>
              </w:rPr>
            </w:pPr>
          </w:p>
        </w:tc>
        <w:tc>
          <w:tcPr>
            <w:tcW w:w="956" w:type="dxa"/>
            <w:tcBorders>
              <w:top w:val="nil"/>
              <w:left w:val="nil"/>
              <w:bottom w:val="nil"/>
              <w:right w:val="nil"/>
            </w:tcBorders>
            <w:shd w:val="clear" w:color="auto" w:fill="auto"/>
            <w:vAlign w:val="center"/>
            <w:hideMark/>
          </w:tcPr>
          <w:p w14:paraId="438BA312" w14:textId="77777777" w:rsidR="00D67371" w:rsidRPr="00005453" w:rsidRDefault="00D67371" w:rsidP="00DF6107">
            <w:pPr>
              <w:jc w:val="right"/>
              <w:rPr>
                <w:b/>
                <w:bCs/>
                <w:color w:val="000000"/>
                <w:sz w:val="18"/>
                <w:szCs w:val="18"/>
                <w:lang w:eastAsia="tr-TR"/>
              </w:rPr>
            </w:pPr>
          </w:p>
        </w:tc>
      </w:tr>
      <w:tr w:rsidR="00D67371" w:rsidRPr="00005453" w14:paraId="364EB38F" w14:textId="77777777" w:rsidTr="00517175">
        <w:trPr>
          <w:divId w:val="1608269462"/>
          <w:trHeight w:val="227"/>
        </w:trPr>
        <w:tc>
          <w:tcPr>
            <w:tcW w:w="2410" w:type="dxa"/>
            <w:tcBorders>
              <w:top w:val="nil"/>
              <w:left w:val="nil"/>
              <w:bottom w:val="single" w:sz="8" w:space="0" w:color="auto"/>
              <w:right w:val="nil"/>
            </w:tcBorders>
            <w:shd w:val="clear" w:color="auto" w:fill="auto"/>
            <w:vAlign w:val="center"/>
            <w:hideMark/>
          </w:tcPr>
          <w:p w14:paraId="79ABC71E" w14:textId="77777777" w:rsidR="00D67371" w:rsidRPr="00005453" w:rsidRDefault="00D67371" w:rsidP="00D67371">
            <w:pPr>
              <w:rPr>
                <w:b/>
                <w:bCs/>
                <w:color w:val="000000"/>
                <w:sz w:val="18"/>
                <w:szCs w:val="18"/>
                <w:lang w:eastAsia="tr-TR"/>
              </w:rPr>
            </w:pPr>
            <w:r w:rsidRPr="00005453">
              <w:rPr>
                <w:b/>
                <w:bCs/>
                <w:color w:val="000000"/>
                <w:sz w:val="18"/>
                <w:szCs w:val="18"/>
                <w:lang w:eastAsia="tr-TR"/>
              </w:rPr>
              <w:t>Hesap adı</w:t>
            </w:r>
          </w:p>
        </w:tc>
        <w:tc>
          <w:tcPr>
            <w:tcW w:w="1017" w:type="dxa"/>
            <w:tcBorders>
              <w:top w:val="nil"/>
              <w:left w:val="nil"/>
              <w:bottom w:val="single" w:sz="8" w:space="0" w:color="auto"/>
              <w:right w:val="nil"/>
            </w:tcBorders>
            <w:shd w:val="clear" w:color="auto" w:fill="auto"/>
            <w:vAlign w:val="center"/>
            <w:hideMark/>
          </w:tcPr>
          <w:p w14:paraId="4E02BAF7" w14:textId="77777777" w:rsidR="00D67371" w:rsidRPr="00005453" w:rsidRDefault="00D67371"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977" w:type="dxa"/>
            <w:tcBorders>
              <w:top w:val="nil"/>
              <w:left w:val="nil"/>
              <w:bottom w:val="single" w:sz="8" w:space="0" w:color="auto"/>
              <w:right w:val="nil"/>
            </w:tcBorders>
            <w:shd w:val="clear" w:color="auto" w:fill="auto"/>
            <w:vAlign w:val="center"/>
            <w:hideMark/>
          </w:tcPr>
          <w:p w14:paraId="59CB7351" w14:textId="77777777" w:rsidR="00D67371" w:rsidRPr="00005453" w:rsidRDefault="00D67371"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860" w:type="dxa"/>
            <w:tcBorders>
              <w:top w:val="nil"/>
              <w:left w:val="nil"/>
              <w:bottom w:val="single" w:sz="8" w:space="0" w:color="auto"/>
              <w:right w:val="nil"/>
            </w:tcBorders>
            <w:shd w:val="clear" w:color="auto" w:fill="auto"/>
            <w:vAlign w:val="center"/>
            <w:hideMark/>
          </w:tcPr>
          <w:p w14:paraId="6D13BF3E" w14:textId="77777777" w:rsidR="00D67371" w:rsidRPr="00005453" w:rsidRDefault="00D67371"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668" w:type="dxa"/>
            <w:tcBorders>
              <w:top w:val="nil"/>
              <w:left w:val="nil"/>
              <w:bottom w:val="single" w:sz="8" w:space="0" w:color="auto"/>
              <w:right w:val="nil"/>
            </w:tcBorders>
            <w:shd w:val="clear" w:color="auto" w:fill="auto"/>
            <w:vAlign w:val="center"/>
            <w:hideMark/>
          </w:tcPr>
          <w:p w14:paraId="299C9F0B" w14:textId="77777777" w:rsidR="00D67371" w:rsidRPr="00005453" w:rsidRDefault="00D67371"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1014" w:type="dxa"/>
            <w:tcBorders>
              <w:top w:val="nil"/>
              <w:left w:val="nil"/>
              <w:bottom w:val="single" w:sz="8" w:space="0" w:color="auto"/>
              <w:right w:val="nil"/>
            </w:tcBorders>
            <w:shd w:val="clear" w:color="auto" w:fill="auto"/>
            <w:vAlign w:val="center"/>
            <w:hideMark/>
          </w:tcPr>
          <w:p w14:paraId="788E23A9"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 xml:space="preserve"> </w:t>
            </w:r>
            <w:proofErr w:type="gramStart"/>
            <w:r w:rsidRPr="00005453">
              <w:rPr>
                <w:b/>
                <w:bCs/>
                <w:color w:val="000000"/>
                <w:sz w:val="18"/>
                <w:szCs w:val="18"/>
                <w:lang w:eastAsia="tr-TR"/>
              </w:rPr>
              <w:t>kadar</w:t>
            </w:r>
            <w:proofErr w:type="gramEnd"/>
          </w:p>
        </w:tc>
        <w:tc>
          <w:tcPr>
            <w:tcW w:w="992" w:type="dxa"/>
            <w:tcBorders>
              <w:top w:val="nil"/>
              <w:left w:val="nil"/>
              <w:bottom w:val="single" w:sz="8" w:space="0" w:color="auto"/>
              <w:right w:val="nil"/>
            </w:tcBorders>
            <w:shd w:val="clear" w:color="auto" w:fill="auto"/>
            <w:vAlign w:val="center"/>
            <w:hideMark/>
          </w:tcPr>
          <w:p w14:paraId="7FFB1336" w14:textId="77777777" w:rsidR="00D67371" w:rsidRPr="00005453" w:rsidRDefault="00D67371" w:rsidP="00DF6107">
            <w:pPr>
              <w:jc w:val="right"/>
              <w:rPr>
                <w:b/>
                <w:bCs/>
                <w:color w:val="000000"/>
                <w:sz w:val="18"/>
                <w:szCs w:val="18"/>
                <w:lang w:eastAsia="tr-TR"/>
              </w:rPr>
            </w:pPr>
            <w:proofErr w:type="gramStart"/>
            <w:r w:rsidRPr="00005453">
              <w:rPr>
                <w:b/>
                <w:bCs/>
                <w:color w:val="000000"/>
                <w:sz w:val="18"/>
                <w:szCs w:val="18"/>
                <w:lang w:eastAsia="tr-TR"/>
              </w:rPr>
              <w:t>uzun</w:t>
            </w:r>
            <w:proofErr w:type="gramEnd"/>
          </w:p>
        </w:tc>
        <w:tc>
          <w:tcPr>
            <w:tcW w:w="887" w:type="dxa"/>
            <w:vMerge/>
            <w:tcBorders>
              <w:top w:val="nil"/>
              <w:left w:val="nil"/>
              <w:bottom w:val="single" w:sz="8" w:space="0" w:color="000000"/>
              <w:right w:val="nil"/>
            </w:tcBorders>
            <w:vAlign w:val="center"/>
            <w:hideMark/>
          </w:tcPr>
          <w:p w14:paraId="5E1CF288" w14:textId="77777777" w:rsidR="00D67371" w:rsidRPr="00005453" w:rsidRDefault="00D67371" w:rsidP="00DF6107">
            <w:pPr>
              <w:jc w:val="right"/>
              <w:rPr>
                <w:b/>
                <w:bCs/>
                <w:color w:val="000000"/>
                <w:sz w:val="18"/>
                <w:szCs w:val="18"/>
                <w:lang w:eastAsia="tr-TR"/>
              </w:rPr>
            </w:pPr>
          </w:p>
        </w:tc>
        <w:tc>
          <w:tcPr>
            <w:tcW w:w="956" w:type="dxa"/>
            <w:tcBorders>
              <w:top w:val="nil"/>
              <w:left w:val="nil"/>
              <w:bottom w:val="single" w:sz="8" w:space="0" w:color="auto"/>
              <w:right w:val="nil"/>
            </w:tcBorders>
            <w:shd w:val="clear" w:color="auto" w:fill="auto"/>
            <w:vAlign w:val="center"/>
            <w:hideMark/>
          </w:tcPr>
          <w:p w14:paraId="17912540" w14:textId="77777777" w:rsidR="00D67371" w:rsidRPr="00005453" w:rsidRDefault="00D67371" w:rsidP="00DF6107">
            <w:pPr>
              <w:jc w:val="right"/>
              <w:rPr>
                <w:b/>
                <w:bCs/>
                <w:color w:val="000000"/>
                <w:sz w:val="18"/>
                <w:szCs w:val="18"/>
                <w:lang w:eastAsia="tr-TR"/>
              </w:rPr>
            </w:pPr>
            <w:r w:rsidRPr="00005453">
              <w:rPr>
                <w:b/>
                <w:bCs/>
                <w:color w:val="000000"/>
                <w:sz w:val="18"/>
                <w:szCs w:val="18"/>
                <w:lang w:eastAsia="tr-TR"/>
              </w:rPr>
              <w:t>Toplam</w:t>
            </w:r>
          </w:p>
        </w:tc>
      </w:tr>
      <w:tr w:rsidR="00D67371" w:rsidRPr="00005453" w14:paraId="321818C0"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044B4E58" w14:textId="77777777" w:rsidR="00D67371" w:rsidRPr="00005453" w:rsidRDefault="00D67371" w:rsidP="00D67371">
            <w:pPr>
              <w:rPr>
                <w:b/>
                <w:bCs/>
                <w:color w:val="000000"/>
                <w:sz w:val="18"/>
                <w:szCs w:val="18"/>
                <w:lang w:eastAsia="tr-TR"/>
              </w:rPr>
            </w:pPr>
            <w:r w:rsidRPr="00005453">
              <w:rPr>
                <w:b/>
                <w:bCs/>
                <w:color w:val="000000"/>
                <w:sz w:val="18"/>
                <w:szCs w:val="18"/>
                <w:lang w:eastAsia="tr-TR"/>
              </w:rPr>
              <w:t>Türk parası</w:t>
            </w:r>
          </w:p>
        </w:tc>
        <w:tc>
          <w:tcPr>
            <w:tcW w:w="1017" w:type="dxa"/>
            <w:tcBorders>
              <w:top w:val="nil"/>
              <w:left w:val="nil"/>
              <w:bottom w:val="nil"/>
              <w:right w:val="nil"/>
            </w:tcBorders>
            <w:shd w:val="clear" w:color="auto" w:fill="auto"/>
            <w:vAlign w:val="center"/>
            <w:hideMark/>
          </w:tcPr>
          <w:p w14:paraId="58092DD4" w14:textId="77777777" w:rsidR="00D67371" w:rsidRPr="00005453" w:rsidRDefault="00D67371" w:rsidP="00DF6107">
            <w:pPr>
              <w:jc w:val="right"/>
              <w:rPr>
                <w:b/>
                <w:bCs/>
                <w:color w:val="000000"/>
                <w:sz w:val="18"/>
                <w:szCs w:val="18"/>
                <w:lang w:eastAsia="tr-TR"/>
              </w:rPr>
            </w:pPr>
          </w:p>
        </w:tc>
        <w:tc>
          <w:tcPr>
            <w:tcW w:w="977" w:type="dxa"/>
            <w:tcBorders>
              <w:top w:val="nil"/>
              <w:left w:val="nil"/>
              <w:bottom w:val="nil"/>
              <w:right w:val="nil"/>
            </w:tcBorders>
            <w:shd w:val="clear" w:color="auto" w:fill="auto"/>
            <w:vAlign w:val="center"/>
            <w:hideMark/>
          </w:tcPr>
          <w:p w14:paraId="73301021" w14:textId="77777777" w:rsidR="00D67371" w:rsidRPr="00005453" w:rsidRDefault="00D67371" w:rsidP="00DF6107">
            <w:pPr>
              <w:jc w:val="right"/>
              <w:rPr>
                <w:sz w:val="18"/>
                <w:szCs w:val="18"/>
                <w:lang w:eastAsia="tr-TR"/>
              </w:rPr>
            </w:pPr>
          </w:p>
        </w:tc>
        <w:tc>
          <w:tcPr>
            <w:tcW w:w="860" w:type="dxa"/>
            <w:tcBorders>
              <w:top w:val="nil"/>
              <w:left w:val="nil"/>
              <w:bottom w:val="nil"/>
              <w:right w:val="nil"/>
            </w:tcBorders>
            <w:shd w:val="clear" w:color="auto" w:fill="auto"/>
            <w:vAlign w:val="center"/>
            <w:hideMark/>
          </w:tcPr>
          <w:p w14:paraId="15E7B455" w14:textId="77777777" w:rsidR="00D67371" w:rsidRPr="00005453" w:rsidRDefault="00D67371" w:rsidP="00DF6107">
            <w:pPr>
              <w:jc w:val="right"/>
              <w:rPr>
                <w:sz w:val="18"/>
                <w:szCs w:val="18"/>
                <w:lang w:eastAsia="tr-TR"/>
              </w:rPr>
            </w:pPr>
          </w:p>
        </w:tc>
        <w:tc>
          <w:tcPr>
            <w:tcW w:w="668" w:type="dxa"/>
            <w:tcBorders>
              <w:top w:val="nil"/>
              <w:left w:val="nil"/>
              <w:bottom w:val="nil"/>
              <w:right w:val="nil"/>
            </w:tcBorders>
            <w:shd w:val="clear" w:color="auto" w:fill="auto"/>
            <w:vAlign w:val="center"/>
            <w:hideMark/>
          </w:tcPr>
          <w:p w14:paraId="74FDDB8B" w14:textId="77777777" w:rsidR="00D67371" w:rsidRPr="00005453" w:rsidRDefault="00D67371" w:rsidP="00DF6107">
            <w:pPr>
              <w:jc w:val="right"/>
              <w:rPr>
                <w:sz w:val="18"/>
                <w:szCs w:val="18"/>
                <w:lang w:eastAsia="tr-TR"/>
              </w:rPr>
            </w:pPr>
          </w:p>
        </w:tc>
        <w:tc>
          <w:tcPr>
            <w:tcW w:w="1014" w:type="dxa"/>
            <w:tcBorders>
              <w:top w:val="nil"/>
              <w:left w:val="nil"/>
              <w:bottom w:val="nil"/>
              <w:right w:val="nil"/>
            </w:tcBorders>
            <w:shd w:val="clear" w:color="auto" w:fill="auto"/>
            <w:vAlign w:val="center"/>
            <w:hideMark/>
          </w:tcPr>
          <w:p w14:paraId="49DC6C51" w14:textId="77777777" w:rsidR="00D67371" w:rsidRPr="00005453" w:rsidRDefault="00D67371" w:rsidP="00DF6107">
            <w:pPr>
              <w:jc w:val="right"/>
              <w:rPr>
                <w:sz w:val="18"/>
                <w:szCs w:val="18"/>
                <w:lang w:eastAsia="tr-TR"/>
              </w:rPr>
            </w:pPr>
          </w:p>
        </w:tc>
        <w:tc>
          <w:tcPr>
            <w:tcW w:w="992" w:type="dxa"/>
            <w:tcBorders>
              <w:top w:val="nil"/>
              <w:left w:val="nil"/>
              <w:bottom w:val="nil"/>
              <w:right w:val="nil"/>
            </w:tcBorders>
            <w:shd w:val="clear" w:color="auto" w:fill="auto"/>
            <w:vAlign w:val="center"/>
            <w:hideMark/>
          </w:tcPr>
          <w:p w14:paraId="28342CFA" w14:textId="77777777" w:rsidR="00D67371" w:rsidRPr="00005453" w:rsidRDefault="00D67371" w:rsidP="00DF6107">
            <w:pPr>
              <w:jc w:val="right"/>
              <w:rPr>
                <w:sz w:val="18"/>
                <w:szCs w:val="18"/>
                <w:lang w:eastAsia="tr-TR"/>
              </w:rPr>
            </w:pPr>
          </w:p>
        </w:tc>
        <w:tc>
          <w:tcPr>
            <w:tcW w:w="887" w:type="dxa"/>
            <w:tcBorders>
              <w:top w:val="nil"/>
              <w:left w:val="nil"/>
              <w:bottom w:val="nil"/>
              <w:right w:val="nil"/>
            </w:tcBorders>
            <w:shd w:val="clear" w:color="auto" w:fill="auto"/>
            <w:vAlign w:val="center"/>
            <w:hideMark/>
          </w:tcPr>
          <w:p w14:paraId="74AE4C95" w14:textId="77777777" w:rsidR="00D67371" w:rsidRPr="00005453" w:rsidRDefault="00D67371" w:rsidP="00DF6107">
            <w:pPr>
              <w:jc w:val="right"/>
              <w:rPr>
                <w:sz w:val="18"/>
                <w:szCs w:val="18"/>
                <w:lang w:eastAsia="tr-TR"/>
              </w:rPr>
            </w:pPr>
          </w:p>
        </w:tc>
        <w:tc>
          <w:tcPr>
            <w:tcW w:w="956" w:type="dxa"/>
            <w:tcBorders>
              <w:top w:val="nil"/>
              <w:left w:val="nil"/>
              <w:bottom w:val="nil"/>
              <w:right w:val="nil"/>
            </w:tcBorders>
            <w:shd w:val="clear" w:color="auto" w:fill="auto"/>
            <w:vAlign w:val="center"/>
            <w:hideMark/>
          </w:tcPr>
          <w:p w14:paraId="5DBCE132" w14:textId="77777777" w:rsidR="00D67371" w:rsidRPr="00005453" w:rsidRDefault="00D67371" w:rsidP="00DF6107">
            <w:pPr>
              <w:jc w:val="right"/>
              <w:rPr>
                <w:sz w:val="18"/>
                <w:szCs w:val="18"/>
                <w:lang w:eastAsia="tr-TR"/>
              </w:rPr>
            </w:pPr>
          </w:p>
        </w:tc>
      </w:tr>
      <w:tr w:rsidR="002F689C" w:rsidRPr="00005453" w14:paraId="1C133D8E" w14:textId="77777777" w:rsidTr="00517175">
        <w:trPr>
          <w:divId w:val="1608269462"/>
          <w:trHeight w:val="227"/>
        </w:trPr>
        <w:tc>
          <w:tcPr>
            <w:tcW w:w="2410" w:type="dxa"/>
            <w:tcBorders>
              <w:top w:val="nil"/>
              <w:left w:val="nil"/>
              <w:bottom w:val="nil"/>
              <w:right w:val="nil"/>
            </w:tcBorders>
            <w:shd w:val="clear" w:color="auto" w:fill="auto"/>
            <w:vAlign w:val="center"/>
            <w:hideMark/>
          </w:tcPr>
          <w:p w14:paraId="617A5291" w14:textId="77777777" w:rsidR="002F689C" w:rsidRPr="00005453" w:rsidRDefault="002F689C" w:rsidP="002F689C">
            <w:pPr>
              <w:ind w:firstLineChars="100" w:firstLine="180"/>
              <w:rPr>
                <w:color w:val="000000"/>
                <w:sz w:val="18"/>
                <w:szCs w:val="18"/>
                <w:lang w:eastAsia="tr-TR"/>
              </w:rPr>
            </w:pPr>
            <w:r w:rsidRPr="00005453">
              <w:rPr>
                <w:color w:val="000000"/>
                <w:sz w:val="18"/>
                <w:szCs w:val="18"/>
                <w:lang w:eastAsia="tr-TR"/>
              </w:rPr>
              <w:t>Özel cari hesap ve katılma hesapları aracılığı ile bankalardan toplanan fonlar</w:t>
            </w:r>
          </w:p>
        </w:tc>
        <w:tc>
          <w:tcPr>
            <w:tcW w:w="1017" w:type="dxa"/>
            <w:tcBorders>
              <w:top w:val="nil"/>
              <w:left w:val="nil"/>
              <w:bottom w:val="nil"/>
              <w:right w:val="nil"/>
            </w:tcBorders>
            <w:shd w:val="clear" w:color="auto" w:fill="auto"/>
            <w:vAlign w:val="center"/>
            <w:hideMark/>
          </w:tcPr>
          <w:p w14:paraId="2CBE7632" w14:textId="1245ABB6" w:rsidR="002F689C" w:rsidRPr="00005453" w:rsidRDefault="002F689C" w:rsidP="002F689C">
            <w:pPr>
              <w:jc w:val="right"/>
              <w:rPr>
                <w:color w:val="000000"/>
                <w:sz w:val="18"/>
                <w:szCs w:val="18"/>
                <w:lang w:eastAsia="tr-TR"/>
              </w:rPr>
            </w:pPr>
            <w:r w:rsidRPr="00005453">
              <w:rPr>
                <w:color w:val="000000"/>
                <w:sz w:val="18"/>
                <w:szCs w:val="18"/>
              </w:rPr>
              <w:t>-</w:t>
            </w:r>
          </w:p>
        </w:tc>
        <w:tc>
          <w:tcPr>
            <w:tcW w:w="977" w:type="dxa"/>
            <w:tcBorders>
              <w:top w:val="nil"/>
              <w:left w:val="nil"/>
              <w:bottom w:val="nil"/>
              <w:right w:val="nil"/>
            </w:tcBorders>
            <w:shd w:val="clear" w:color="auto" w:fill="auto"/>
            <w:vAlign w:val="center"/>
            <w:hideMark/>
          </w:tcPr>
          <w:p w14:paraId="21C916C3" w14:textId="4307829C" w:rsidR="002F689C" w:rsidRPr="00005453" w:rsidRDefault="002F689C" w:rsidP="002F689C">
            <w:pPr>
              <w:jc w:val="right"/>
              <w:rPr>
                <w:color w:val="000000"/>
                <w:sz w:val="18"/>
                <w:szCs w:val="18"/>
                <w:lang w:eastAsia="tr-TR"/>
              </w:rPr>
            </w:pPr>
            <w:r w:rsidRPr="00005453">
              <w:rPr>
                <w:color w:val="000000"/>
                <w:sz w:val="18"/>
                <w:szCs w:val="18"/>
              </w:rPr>
              <w:t>13</w:t>
            </w:r>
          </w:p>
        </w:tc>
        <w:tc>
          <w:tcPr>
            <w:tcW w:w="860" w:type="dxa"/>
            <w:tcBorders>
              <w:top w:val="nil"/>
              <w:left w:val="nil"/>
              <w:bottom w:val="nil"/>
              <w:right w:val="nil"/>
            </w:tcBorders>
            <w:shd w:val="clear" w:color="auto" w:fill="auto"/>
            <w:vAlign w:val="center"/>
            <w:hideMark/>
          </w:tcPr>
          <w:p w14:paraId="3A7AEBF7" w14:textId="00128ACB" w:rsidR="002F689C" w:rsidRPr="00005453" w:rsidRDefault="002F689C" w:rsidP="002F689C">
            <w:pPr>
              <w:jc w:val="right"/>
              <w:rPr>
                <w:color w:val="000000"/>
                <w:sz w:val="18"/>
                <w:szCs w:val="18"/>
                <w:lang w:eastAsia="tr-TR"/>
              </w:rPr>
            </w:pPr>
            <w:r w:rsidRPr="00005453">
              <w:rPr>
                <w:color w:val="000000"/>
                <w:sz w:val="18"/>
                <w:szCs w:val="18"/>
              </w:rPr>
              <w:t>-</w:t>
            </w:r>
          </w:p>
        </w:tc>
        <w:tc>
          <w:tcPr>
            <w:tcW w:w="668" w:type="dxa"/>
            <w:tcBorders>
              <w:top w:val="nil"/>
              <w:left w:val="nil"/>
              <w:bottom w:val="nil"/>
              <w:right w:val="nil"/>
            </w:tcBorders>
            <w:shd w:val="clear" w:color="auto" w:fill="auto"/>
            <w:vAlign w:val="center"/>
            <w:hideMark/>
          </w:tcPr>
          <w:p w14:paraId="18BB3441" w14:textId="15FD8B8C" w:rsidR="002F689C" w:rsidRPr="00005453" w:rsidRDefault="002F689C" w:rsidP="002F689C">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60D06D10" w14:textId="1DFDB7E0" w:rsidR="002F689C" w:rsidRPr="00005453" w:rsidRDefault="002F689C" w:rsidP="002F689C">
            <w:pPr>
              <w:jc w:val="right"/>
              <w:rPr>
                <w:color w:val="000000"/>
                <w:sz w:val="18"/>
                <w:szCs w:val="18"/>
                <w:lang w:eastAsia="tr-TR"/>
              </w:rPr>
            </w:pPr>
            <w:r w:rsidRPr="00005453">
              <w:rPr>
                <w:color w:val="000000"/>
                <w:sz w:val="18"/>
                <w:szCs w:val="18"/>
              </w:rPr>
              <w:t>-</w:t>
            </w:r>
          </w:p>
        </w:tc>
        <w:tc>
          <w:tcPr>
            <w:tcW w:w="992" w:type="dxa"/>
            <w:tcBorders>
              <w:top w:val="nil"/>
              <w:left w:val="nil"/>
              <w:bottom w:val="nil"/>
              <w:right w:val="nil"/>
            </w:tcBorders>
            <w:shd w:val="clear" w:color="auto" w:fill="auto"/>
            <w:vAlign w:val="center"/>
            <w:hideMark/>
          </w:tcPr>
          <w:p w14:paraId="36F4FBA5" w14:textId="3FE22EAB" w:rsidR="002F689C" w:rsidRPr="00005453" w:rsidRDefault="002F689C" w:rsidP="002F689C">
            <w:pPr>
              <w:jc w:val="right"/>
              <w:rPr>
                <w:color w:val="000000"/>
                <w:sz w:val="18"/>
                <w:szCs w:val="18"/>
                <w:lang w:eastAsia="tr-TR"/>
              </w:rPr>
            </w:pPr>
            <w:r w:rsidRPr="00005453">
              <w:rPr>
                <w:color w:val="000000"/>
                <w:sz w:val="18"/>
                <w:szCs w:val="18"/>
              </w:rPr>
              <w:t>-</w:t>
            </w:r>
          </w:p>
        </w:tc>
        <w:tc>
          <w:tcPr>
            <w:tcW w:w="887" w:type="dxa"/>
            <w:tcBorders>
              <w:top w:val="nil"/>
              <w:left w:val="nil"/>
              <w:bottom w:val="nil"/>
              <w:right w:val="nil"/>
            </w:tcBorders>
            <w:shd w:val="clear" w:color="auto" w:fill="auto"/>
            <w:vAlign w:val="center"/>
            <w:hideMark/>
          </w:tcPr>
          <w:p w14:paraId="6F66B3F1" w14:textId="22F5F5D4" w:rsidR="002F689C" w:rsidRPr="00005453" w:rsidRDefault="002F689C" w:rsidP="002F689C">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52121DEF" w14:textId="6A856C61" w:rsidR="002F689C" w:rsidRPr="00005453" w:rsidRDefault="002F689C" w:rsidP="002F689C">
            <w:pPr>
              <w:jc w:val="right"/>
              <w:rPr>
                <w:color w:val="000000"/>
                <w:sz w:val="18"/>
                <w:szCs w:val="18"/>
                <w:lang w:eastAsia="tr-TR"/>
              </w:rPr>
            </w:pPr>
            <w:r w:rsidRPr="00005453">
              <w:rPr>
                <w:color w:val="000000"/>
                <w:sz w:val="18"/>
                <w:szCs w:val="18"/>
              </w:rPr>
              <w:t>13</w:t>
            </w:r>
          </w:p>
        </w:tc>
      </w:tr>
      <w:tr w:rsidR="002F689C" w:rsidRPr="00005453" w14:paraId="11396D1D" w14:textId="77777777" w:rsidTr="00517175">
        <w:trPr>
          <w:divId w:val="1608269462"/>
          <w:trHeight w:val="427"/>
        </w:trPr>
        <w:tc>
          <w:tcPr>
            <w:tcW w:w="2410" w:type="dxa"/>
            <w:tcBorders>
              <w:top w:val="nil"/>
              <w:left w:val="nil"/>
              <w:bottom w:val="nil"/>
              <w:right w:val="nil"/>
            </w:tcBorders>
            <w:shd w:val="clear" w:color="auto" w:fill="auto"/>
            <w:vAlign w:val="center"/>
            <w:hideMark/>
          </w:tcPr>
          <w:p w14:paraId="292D415C" w14:textId="77777777" w:rsidR="002F689C" w:rsidRPr="00005453" w:rsidRDefault="002F689C" w:rsidP="002F689C">
            <w:pPr>
              <w:ind w:firstLineChars="100" w:firstLine="180"/>
              <w:rPr>
                <w:color w:val="000000"/>
                <w:sz w:val="18"/>
                <w:szCs w:val="18"/>
                <w:lang w:eastAsia="tr-TR"/>
              </w:rPr>
            </w:pPr>
            <w:r w:rsidRPr="00005453">
              <w:rPr>
                <w:color w:val="000000"/>
                <w:sz w:val="18"/>
                <w:szCs w:val="18"/>
                <w:lang w:eastAsia="tr-TR"/>
              </w:rPr>
              <w:t>Gerçek kişilerin ticari olmayan katılma hs.</w:t>
            </w:r>
          </w:p>
        </w:tc>
        <w:tc>
          <w:tcPr>
            <w:tcW w:w="1017" w:type="dxa"/>
            <w:tcBorders>
              <w:top w:val="nil"/>
              <w:left w:val="nil"/>
              <w:bottom w:val="nil"/>
              <w:right w:val="nil"/>
            </w:tcBorders>
            <w:shd w:val="clear" w:color="auto" w:fill="auto"/>
            <w:vAlign w:val="center"/>
            <w:hideMark/>
          </w:tcPr>
          <w:p w14:paraId="483138EB" w14:textId="40180710" w:rsidR="002F689C" w:rsidRPr="00005453" w:rsidRDefault="002F689C" w:rsidP="002F689C">
            <w:pPr>
              <w:jc w:val="right"/>
              <w:rPr>
                <w:color w:val="000000"/>
                <w:sz w:val="18"/>
                <w:szCs w:val="18"/>
                <w:lang w:eastAsia="tr-TR"/>
              </w:rPr>
            </w:pPr>
            <w:r w:rsidRPr="00005453">
              <w:rPr>
                <w:color w:val="000000"/>
                <w:sz w:val="18"/>
                <w:szCs w:val="18"/>
              </w:rPr>
              <w:t>4,838,815</w:t>
            </w:r>
          </w:p>
        </w:tc>
        <w:tc>
          <w:tcPr>
            <w:tcW w:w="977" w:type="dxa"/>
            <w:tcBorders>
              <w:top w:val="nil"/>
              <w:left w:val="nil"/>
              <w:bottom w:val="nil"/>
              <w:right w:val="nil"/>
            </w:tcBorders>
            <w:shd w:val="clear" w:color="auto" w:fill="auto"/>
            <w:vAlign w:val="center"/>
            <w:hideMark/>
          </w:tcPr>
          <w:p w14:paraId="236168B0" w14:textId="7A6BAD59" w:rsidR="002F689C" w:rsidRPr="00005453" w:rsidRDefault="002F689C" w:rsidP="002F689C">
            <w:pPr>
              <w:jc w:val="right"/>
              <w:rPr>
                <w:color w:val="000000"/>
                <w:sz w:val="18"/>
                <w:szCs w:val="18"/>
                <w:lang w:eastAsia="tr-TR"/>
              </w:rPr>
            </w:pPr>
            <w:r w:rsidRPr="00005453">
              <w:rPr>
                <w:color w:val="000000"/>
                <w:sz w:val="18"/>
                <w:szCs w:val="18"/>
              </w:rPr>
              <w:t>28,331,126</w:t>
            </w:r>
          </w:p>
        </w:tc>
        <w:tc>
          <w:tcPr>
            <w:tcW w:w="860" w:type="dxa"/>
            <w:tcBorders>
              <w:top w:val="nil"/>
              <w:left w:val="nil"/>
              <w:bottom w:val="nil"/>
              <w:right w:val="nil"/>
            </w:tcBorders>
            <w:shd w:val="clear" w:color="auto" w:fill="auto"/>
            <w:vAlign w:val="center"/>
            <w:hideMark/>
          </w:tcPr>
          <w:p w14:paraId="6AF9EF31" w14:textId="0B787B01" w:rsidR="002F689C" w:rsidRPr="00005453" w:rsidRDefault="002F689C" w:rsidP="002F689C">
            <w:pPr>
              <w:jc w:val="right"/>
              <w:rPr>
                <w:color w:val="000000"/>
                <w:sz w:val="18"/>
                <w:szCs w:val="18"/>
                <w:lang w:eastAsia="tr-TR"/>
              </w:rPr>
            </w:pPr>
            <w:r w:rsidRPr="00005453">
              <w:rPr>
                <w:color w:val="000000"/>
                <w:sz w:val="18"/>
                <w:szCs w:val="18"/>
              </w:rPr>
              <w:t>1,992,955</w:t>
            </w:r>
          </w:p>
        </w:tc>
        <w:tc>
          <w:tcPr>
            <w:tcW w:w="668" w:type="dxa"/>
            <w:tcBorders>
              <w:top w:val="nil"/>
              <w:left w:val="nil"/>
              <w:bottom w:val="nil"/>
              <w:right w:val="nil"/>
            </w:tcBorders>
            <w:shd w:val="clear" w:color="auto" w:fill="auto"/>
            <w:vAlign w:val="center"/>
            <w:hideMark/>
          </w:tcPr>
          <w:p w14:paraId="115A210A" w14:textId="119D8476" w:rsidR="002F689C" w:rsidRPr="00005453" w:rsidRDefault="002F689C" w:rsidP="002F689C">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49B24863" w14:textId="126024B0" w:rsidR="002F689C" w:rsidRPr="00005453" w:rsidRDefault="002F689C" w:rsidP="002F689C">
            <w:pPr>
              <w:jc w:val="right"/>
              <w:rPr>
                <w:color w:val="000000"/>
                <w:sz w:val="18"/>
                <w:szCs w:val="18"/>
                <w:lang w:eastAsia="tr-TR"/>
              </w:rPr>
            </w:pPr>
            <w:r w:rsidRPr="00005453">
              <w:rPr>
                <w:color w:val="000000"/>
                <w:sz w:val="18"/>
                <w:szCs w:val="18"/>
              </w:rPr>
              <w:t>15,578,711</w:t>
            </w:r>
          </w:p>
        </w:tc>
        <w:tc>
          <w:tcPr>
            <w:tcW w:w="992" w:type="dxa"/>
            <w:tcBorders>
              <w:top w:val="nil"/>
              <w:left w:val="nil"/>
              <w:bottom w:val="nil"/>
              <w:right w:val="nil"/>
            </w:tcBorders>
            <w:shd w:val="clear" w:color="auto" w:fill="auto"/>
            <w:vAlign w:val="center"/>
            <w:hideMark/>
          </w:tcPr>
          <w:p w14:paraId="578FC9F1" w14:textId="0A36736A" w:rsidR="002F689C" w:rsidRPr="00005453" w:rsidRDefault="002F689C" w:rsidP="002F689C">
            <w:pPr>
              <w:jc w:val="right"/>
              <w:rPr>
                <w:color w:val="000000"/>
                <w:sz w:val="18"/>
                <w:szCs w:val="18"/>
                <w:lang w:eastAsia="tr-TR"/>
              </w:rPr>
            </w:pPr>
            <w:r w:rsidRPr="00005453">
              <w:rPr>
                <w:color w:val="000000"/>
                <w:sz w:val="18"/>
                <w:szCs w:val="18"/>
              </w:rPr>
              <w:t>2,323,215</w:t>
            </w:r>
          </w:p>
        </w:tc>
        <w:tc>
          <w:tcPr>
            <w:tcW w:w="887" w:type="dxa"/>
            <w:tcBorders>
              <w:top w:val="nil"/>
              <w:left w:val="nil"/>
              <w:bottom w:val="nil"/>
              <w:right w:val="nil"/>
            </w:tcBorders>
            <w:shd w:val="clear" w:color="auto" w:fill="auto"/>
            <w:vAlign w:val="center"/>
            <w:hideMark/>
          </w:tcPr>
          <w:p w14:paraId="4243036F" w14:textId="3893531F" w:rsidR="002F689C" w:rsidRPr="00005453" w:rsidRDefault="002F689C" w:rsidP="002F689C">
            <w:pPr>
              <w:jc w:val="right"/>
              <w:rPr>
                <w:color w:val="000000"/>
                <w:sz w:val="18"/>
                <w:szCs w:val="18"/>
                <w:lang w:eastAsia="tr-TR"/>
              </w:rPr>
            </w:pPr>
            <w:r w:rsidRPr="00005453">
              <w:rPr>
                <w:color w:val="000000"/>
                <w:sz w:val="18"/>
                <w:szCs w:val="18"/>
              </w:rPr>
              <w:t>3,487</w:t>
            </w:r>
          </w:p>
        </w:tc>
        <w:tc>
          <w:tcPr>
            <w:tcW w:w="956" w:type="dxa"/>
            <w:tcBorders>
              <w:top w:val="nil"/>
              <w:left w:val="nil"/>
              <w:bottom w:val="nil"/>
              <w:right w:val="nil"/>
            </w:tcBorders>
            <w:shd w:val="clear" w:color="auto" w:fill="auto"/>
            <w:vAlign w:val="center"/>
            <w:hideMark/>
          </w:tcPr>
          <w:p w14:paraId="1FE78DD8" w14:textId="27D412A0" w:rsidR="002F689C" w:rsidRPr="00005453" w:rsidRDefault="002F689C" w:rsidP="002F689C">
            <w:pPr>
              <w:jc w:val="right"/>
              <w:rPr>
                <w:color w:val="000000"/>
                <w:sz w:val="18"/>
                <w:szCs w:val="18"/>
                <w:lang w:eastAsia="tr-TR"/>
              </w:rPr>
            </w:pPr>
            <w:r w:rsidRPr="00005453">
              <w:rPr>
                <w:color w:val="000000"/>
                <w:sz w:val="18"/>
                <w:szCs w:val="18"/>
              </w:rPr>
              <w:t>53,068,309</w:t>
            </w:r>
          </w:p>
        </w:tc>
      </w:tr>
      <w:tr w:rsidR="002F689C" w:rsidRPr="00005453" w14:paraId="5719F5B1"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631BBC9D" w14:textId="77777777" w:rsidR="002F689C" w:rsidRPr="00005453" w:rsidRDefault="002F689C" w:rsidP="002F689C">
            <w:pPr>
              <w:ind w:firstLineChars="100" w:firstLine="180"/>
              <w:rPr>
                <w:color w:val="000000"/>
                <w:sz w:val="18"/>
                <w:szCs w:val="18"/>
                <w:lang w:eastAsia="tr-TR"/>
              </w:rPr>
            </w:pPr>
            <w:r w:rsidRPr="00005453">
              <w:rPr>
                <w:color w:val="000000"/>
                <w:sz w:val="18"/>
                <w:szCs w:val="18"/>
                <w:lang w:eastAsia="tr-TR"/>
              </w:rPr>
              <w:t>Resmi kuruluş katılma hs.</w:t>
            </w:r>
          </w:p>
        </w:tc>
        <w:tc>
          <w:tcPr>
            <w:tcW w:w="1017" w:type="dxa"/>
            <w:tcBorders>
              <w:top w:val="nil"/>
              <w:left w:val="nil"/>
              <w:bottom w:val="nil"/>
              <w:right w:val="nil"/>
            </w:tcBorders>
            <w:shd w:val="clear" w:color="auto" w:fill="auto"/>
            <w:vAlign w:val="center"/>
            <w:hideMark/>
          </w:tcPr>
          <w:p w14:paraId="3A1FAD06" w14:textId="318B971B" w:rsidR="002F689C" w:rsidRPr="00005453" w:rsidRDefault="002F689C" w:rsidP="002F689C">
            <w:pPr>
              <w:jc w:val="right"/>
              <w:rPr>
                <w:color w:val="000000"/>
                <w:sz w:val="18"/>
                <w:szCs w:val="18"/>
                <w:lang w:eastAsia="tr-TR"/>
              </w:rPr>
            </w:pPr>
            <w:r w:rsidRPr="00005453">
              <w:rPr>
                <w:color w:val="000000"/>
                <w:sz w:val="18"/>
                <w:szCs w:val="18"/>
              </w:rPr>
              <w:t>1,300</w:t>
            </w:r>
          </w:p>
        </w:tc>
        <w:tc>
          <w:tcPr>
            <w:tcW w:w="977" w:type="dxa"/>
            <w:tcBorders>
              <w:top w:val="nil"/>
              <w:left w:val="nil"/>
              <w:bottom w:val="nil"/>
              <w:right w:val="nil"/>
            </w:tcBorders>
            <w:shd w:val="clear" w:color="auto" w:fill="auto"/>
            <w:vAlign w:val="center"/>
            <w:hideMark/>
          </w:tcPr>
          <w:p w14:paraId="6C3D9EC9" w14:textId="0D8432B3" w:rsidR="002F689C" w:rsidRPr="00005453" w:rsidRDefault="002F689C" w:rsidP="002F689C">
            <w:pPr>
              <w:jc w:val="right"/>
              <w:rPr>
                <w:color w:val="000000"/>
                <w:sz w:val="18"/>
                <w:szCs w:val="18"/>
                <w:lang w:eastAsia="tr-TR"/>
              </w:rPr>
            </w:pPr>
            <w:r w:rsidRPr="00005453">
              <w:rPr>
                <w:color w:val="000000"/>
                <w:sz w:val="18"/>
                <w:szCs w:val="18"/>
              </w:rPr>
              <w:t>3,433</w:t>
            </w:r>
          </w:p>
        </w:tc>
        <w:tc>
          <w:tcPr>
            <w:tcW w:w="860" w:type="dxa"/>
            <w:tcBorders>
              <w:top w:val="nil"/>
              <w:left w:val="nil"/>
              <w:bottom w:val="nil"/>
              <w:right w:val="nil"/>
            </w:tcBorders>
            <w:shd w:val="clear" w:color="auto" w:fill="auto"/>
            <w:vAlign w:val="center"/>
            <w:hideMark/>
          </w:tcPr>
          <w:p w14:paraId="13017C89" w14:textId="5B096B8B" w:rsidR="002F689C" w:rsidRPr="00005453" w:rsidRDefault="002F689C" w:rsidP="002F689C">
            <w:pPr>
              <w:jc w:val="right"/>
              <w:rPr>
                <w:color w:val="000000"/>
                <w:sz w:val="18"/>
                <w:szCs w:val="18"/>
                <w:lang w:eastAsia="tr-TR"/>
              </w:rPr>
            </w:pPr>
            <w:r w:rsidRPr="00005453">
              <w:rPr>
                <w:color w:val="000000"/>
                <w:sz w:val="18"/>
                <w:szCs w:val="18"/>
              </w:rPr>
              <w:t>2,345</w:t>
            </w:r>
          </w:p>
        </w:tc>
        <w:tc>
          <w:tcPr>
            <w:tcW w:w="668" w:type="dxa"/>
            <w:tcBorders>
              <w:top w:val="nil"/>
              <w:left w:val="nil"/>
              <w:bottom w:val="nil"/>
              <w:right w:val="nil"/>
            </w:tcBorders>
            <w:shd w:val="clear" w:color="auto" w:fill="auto"/>
            <w:vAlign w:val="center"/>
            <w:hideMark/>
          </w:tcPr>
          <w:p w14:paraId="3B133C75" w14:textId="38BC175B" w:rsidR="002F689C" w:rsidRPr="00005453" w:rsidRDefault="002F689C" w:rsidP="002F689C">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6C03202E" w14:textId="72E54F7A" w:rsidR="002F689C" w:rsidRPr="00005453" w:rsidRDefault="002F689C" w:rsidP="002F689C">
            <w:pPr>
              <w:jc w:val="right"/>
              <w:rPr>
                <w:color w:val="000000"/>
                <w:sz w:val="18"/>
                <w:szCs w:val="18"/>
                <w:lang w:eastAsia="tr-TR"/>
              </w:rPr>
            </w:pPr>
            <w:r w:rsidRPr="00005453">
              <w:rPr>
                <w:color w:val="000000"/>
                <w:sz w:val="18"/>
                <w:szCs w:val="18"/>
              </w:rPr>
              <w:t>7,766</w:t>
            </w:r>
          </w:p>
        </w:tc>
        <w:tc>
          <w:tcPr>
            <w:tcW w:w="992" w:type="dxa"/>
            <w:tcBorders>
              <w:top w:val="nil"/>
              <w:left w:val="nil"/>
              <w:bottom w:val="nil"/>
              <w:right w:val="nil"/>
            </w:tcBorders>
            <w:shd w:val="clear" w:color="auto" w:fill="auto"/>
            <w:vAlign w:val="center"/>
            <w:hideMark/>
          </w:tcPr>
          <w:p w14:paraId="4EF67015" w14:textId="08B7E19B" w:rsidR="002F689C" w:rsidRPr="00005453" w:rsidRDefault="002F689C" w:rsidP="002F689C">
            <w:pPr>
              <w:jc w:val="right"/>
              <w:rPr>
                <w:color w:val="000000"/>
                <w:sz w:val="18"/>
                <w:szCs w:val="18"/>
                <w:lang w:eastAsia="tr-TR"/>
              </w:rPr>
            </w:pPr>
            <w:r w:rsidRPr="00005453">
              <w:rPr>
                <w:color w:val="000000"/>
                <w:sz w:val="18"/>
                <w:szCs w:val="18"/>
              </w:rPr>
              <w:t>71</w:t>
            </w:r>
          </w:p>
        </w:tc>
        <w:tc>
          <w:tcPr>
            <w:tcW w:w="887" w:type="dxa"/>
            <w:tcBorders>
              <w:top w:val="nil"/>
              <w:left w:val="nil"/>
              <w:bottom w:val="nil"/>
              <w:right w:val="nil"/>
            </w:tcBorders>
            <w:shd w:val="clear" w:color="auto" w:fill="auto"/>
            <w:vAlign w:val="center"/>
            <w:hideMark/>
          </w:tcPr>
          <w:p w14:paraId="5F36BAB5" w14:textId="44C8D3DB" w:rsidR="002F689C" w:rsidRPr="00005453" w:rsidRDefault="002F689C" w:rsidP="002F689C">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51A58CDE" w14:textId="7447C7B3" w:rsidR="002F689C" w:rsidRPr="00005453" w:rsidRDefault="002F689C" w:rsidP="002F689C">
            <w:pPr>
              <w:jc w:val="right"/>
              <w:rPr>
                <w:color w:val="000000"/>
                <w:sz w:val="18"/>
                <w:szCs w:val="18"/>
                <w:lang w:eastAsia="tr-TR"/>
              </w:rPr>
            </w:pPr>
            <w:r w:rsidRPr="00005453">
              <w:rPr>
                <w:color w:val="000000"/>
                <w:sz w:val="18"/>
                <w:szCs w:val="18"/>
              </w:rPr>
              <w:t>14,915</w:t>
            </w:r>
          </w:p>
        </w:tc>
      </w:tr>
      <w:tr w:rsidR="002F689C" w:rsidRPr="00005453" w14:paraId="0ABDD5EC"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19F3675D" w14:textId="77777777" w:rsidR="002F689C" w:rsidRPr="00005453" w:rsidRDefault="002F689C" w:rsidP="002F689C">
            <w:pPr>
              <w:ind w:firstLineChars="100" w:firstLine="180"/>
              <w:rPr>
                <w:color w:val="000000"/>
                <w:sz w:val="18"/>
                <w:szCs w:val="18"/>
                <w:lang w:eastAsia="tr-TR"/>
              </w:rPr>
            </w:pPr>
            <w:r w:rsidRPr="00005453">
              <w:rPr>
                <w:color w:val="000000"/>
                <w:sz w:val="18"/>
                <w:szCs w:val="18"/>
                <w:lang w:eastAsia="tr-TR"/>
              </w:rPr>
              <w:t>Ticari kuruluş katılma hs.</w:t>
            </w:r>
          </w:p>
        </w:tc>
        <w:tc>
          <w:tcPr>
            <w:tcW w:w="1017" w:type="dxa"/>
            <w:tcBorders>
              <w:top w:val="nil"/>
              <w:left w:val="nil"/>
              <w:bottom w:val="nil"/>
              <w:right w:val="nil"/>
            </w:tcBorders>
            <w:shd w:val="clear" w:color="auto" w:fill="auto"/>
            <w:vAlign w:val="center"/>
            <w:hideMark/>
          </w:tcPr>
          <w:p w14:paraId="29D10905" w14:textId="22095315" w:rsidR="002F689C" w:rsidRPr="00005453" w:rsidRDefault="002F689C" w:rsidP="002F689C">
            <w:pPr>
              <w:jc w:val="right"/>
              <w:rPr>
                <w:color w:val="000000"/>
                <w:sz w:val="18"/>
                <w:szCs w:val="18"/>
                <w:lang w:eastAsia="tr-TR"/>
              </w:rPr>
            </w:pPr>
            <w:r w:rsidRPr="00005453">
              <w:rPr>
                <w:color w:val="000000"/>
                <w:sz w:val="18"/>
                <w:szCs w:val="18"/>
              </w:rPr>
              <w:t>563,111</w:t>
            </w:r>
          </w:p>
        </w:tc>
        <w:tc>
          <w:tcPr>
            <w:tcW w:w="977" w:type="dxa"/>
            <w:tcBorders>
              <w:top w:val="nil"/>
              <w:left w:val="nil"/>
              <w:bottom w:val="nil"/>
              <w:right w:val="nil"/>
            </w:tcBorders>
            <w:shd w:val="clear" w:color="auto" w:fill="auto"/>
            <w:vAlign w:val="center"/>
            <w:hideMark/>
          </w:tcPr>
          <w:p w14:paraId="5353BB10" w14:textId="534001DE" w:rsidR="002F689C" w:rsidRPr="00005453" w:rsidRDefault="002F689C" w:rsidP="002F689C">
            <w:pPr>
              <w:jc w:val="right"/>
              <w:rPr>
                <w:color w:val="000000"/>
                <w:sz w:val="18"/>
                <w:szCs w:val="18"/>
                <w:lang w:eastAsia="tr-TR"/>
              </w:rPr>
            </w:pPr>
            <w:r w:rsidRPr="00005453">
              <w:rPr>
                <w:color w:val="000000"/>
                <w:sz w:val="18"/>
                <w:szCs w:val="18"/>
              </w:rPr>
              <w:t>2,840,471</w:t>
            </w:r>
          </w:p>
        </w:tc>
        <w:tc>
          <w:tcPr>
            <w:tcW w:w="860" w:type="dxa"/>
            <w:tcBorders>
              <w:top w:val="nil"/>
              <w:left w:val="nil"/>
              <w:bottom w:val="nil"/>
              <w:right w:val="nil"/>
            </w:tcBorders>
            <w:shd w:val="clear" w:color="auto" w:fill="auto"/>
            <w:vAlign w:val="center"/>
            <w:hideMark/>
          </w:tcPr>
          <w:p w14:paraId="4E3C4222" w14:textId="32FB7D6F" w:rsidR="002F689C" w:rsidRPr="00005453" w:rsidRDefault="002F689C" w:rsidP="002F689C">
            <w:pPr>
              <w:jc w:val="right"/>
              <w:rPr>
                <w:color w:val="000000"/>
                <w:sz w:val="18"/>
                <w:szCs w:val="18"/>
                <w:lang w:eastAsia="tr-TR"/>
              </w:rPr>
            </w:pPr>
            <w:r w:rsidRPr="00005453">
              <w:rPr>
                <w:color w:val="000000"/>
                <w:sz w:val="18"/>
                <w:szCs w:val="18"/>
              </w:rPr>
              <w:t>619,105</w:t>
            </w:r>
          </w:p>
        </w:tc>
        <w:tc>
          <w:tcPr>
            <w:tcW w:w="668" w:type="dxa"/>
            <w:tcBorders>
              <w:top w:val="nil"/>
              <w:left w:val="nil"/>
              <w:bottom w:val="nil"/>
              <w:right w:val="nil"/>
            </w:tcBorders>
            <w:shd w:val="clear" w:color="auto" w:fill="auto"/>
            <w:vAlign w:val="center"/>
            <w:hideMark/>
          </w:tcPr>
          <w:p w14:paraId="78C1ECB6" w14:textId="483A8D19" w:rsidR="002F689C" w:rsidRPr="00005453" w:rsidRDefault="002F689C" w:rsidP="002F689C">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42A30491" w14:textId="0926E46E" w:rsidR="002F689C" w:rsidRPr="00005453" w:rsidRDefault="002F689C" w:rsidP="002F689C">
            <w:pPr>
              <w:jc w:val="right"/>
              <w:rPr>
                <w:color w:val="000000"/>
                <w:sz w:val="18"/>
                <w:szCs w:val="18"/>
                <w:lang w:eastAsia="tr-TR"/>
              </w:rPr>
            </w:pPr>
            <w:r w:rsidRPr="00005453">
              <w:rPr>
                <w:color w:val="000000"/>
                <w:sz w:val="18"/>
                <w:szCs w:val="18"/>
              </w:rPr>
              <w:t>1,831,466</w:t>
            </w:r>
          </w:p>
        </w:tc>
        <w:tc>
          <w:tcPr>
            <w:tcW w:w="992" w:type="dxa"/>
            <w:tcBorders>
              <w:top w:val="nil"/>
              <w:left w:val="nil"/>
              <w:bottom w:val="nil"/>
              <w:right w:val="nil"/>
            </w:tcBorders>
            <w:shd w:val="clear" w:color="auto" w:fill="auto"/>
            <w:vAlign w:val="center"/>
            <w:hideMark/>
          </w:tcPr>
          <w:p w14:paraId="02F311A9" w14:textId="498948A3" w:rsidR="002F689C" w:rsidRPr="00005453" w:rsidRDefault="002F689C" w:rsidP="002F689C">
            <w:pPr>
              <w:jc w:val="right"/>
              <w:rPr>
                <w:color w:val="000000"/>
                <w:sz w:val="18"/>
                <w:szCs w:val="18"/>
                <w:lang w:eastAsia="tr-TR"/>
              </w:rPr>
            </w:pPr>
            <w:r w:rsidRPr="00005453">
              <w:rPr>
                <w:color w:val="000000"/>
                <w:sz w:val="18"/>
                <w:szCs w:val="18"/>
              </w:rPr>
              <w:t>120,956</w:t>
            </w:r>
          </w:p>
        </w:tc>
        <w:tc>
          <w:tcPr>
            <w:tcW w:w="887" w:type="dxa"/>
            <w:tcBorders>
              <w:top w:val="nil"/>
              <w:left w:val="nil"/>
              <w:bottom w:val="nil"/>
              <w:right w:val="nil"/>
            </w:tcBorders>
            <w:shd w:val="clear" w:color="auto" w:fill="auto"/>
            <w:vAlign w:val="center"/>
            <w:hideMark/>
          </w:tcPr>
          <w:p w14:paraId="41F931D9" w14:textId="50F2684A" w:rsidR="002F689C" w:rsidRPr="00005453" w:rsidRDefault="002F689C" w:rsidP="002F689C">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0FFA272E" w14:textId="1E7C5889" w:rsidR="002F689C" w:rsidRPr="00005453" w:rsidRDefault="002F689C" w:rsidP="002F689C">
            <w:pPr>
              <w:jc w:val="right"/>
              <w:rPr>
                <w:color w:val="000000"/>
                <w:sz w:val="18"/>
                <w:szCs w:val="18"/>
                <w:lang w:eastAsia="tr-TR"/>
              </w:rPr>
            </w:pPr>
            <w:r w:rsidRPr="00005453">
              <w:rPr>
                <w:color w:val="000000"/>
                <w:sz w:val="18"/>
                <w:szCs w:val="18"/>
              </w:rPr>
              <w:t>5,975,109</w:t>
            </w:r>
          </w:p>
        </w:tc>
      </w:tr>
      <w:tr w:rsidR="002F689C" w:rsidRPr="00005453" w14:paraId="6163D50F"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2FC479C7" w14:textId="77777777" w:rsidR="002F689C" w:rsidRPr="00005453" w:rsidRDefault="002F689C" w:rsidP="002F689C">
            <w:pPr>
              <w:ind w:firstLineChars="100" w:firstLine="180"/>
              <w:rPr>
                <w:color w:val="000000"/>
                <w:sz w:val="18"/>
                <w:szCs w:val="18"/>
                <w:lang w:eastAsia="tr-TR"/>
              </w:rPr>
            </w:pPr>
            <w:r w:rsidRPr="00005453">
              <w:rPr>
                <w:color w:val="000000"/>
                <w:sz w:val="18"/>
                <w:szCs w:val="18"/>
                <w:lang w:eastAsia="tr-TR"/>
              </w:rPr>
              <w:t>Diğer kuruluş katılma hs.</w:t>
            </w:r>
          </w:p>
        </w:tc>
        <w:tc>
          <w:tcPr>
            <w:tcW w:w="1017" w:type="dxa"/>
            <w:tcBorders>
              <w:top w:val="nil"/>
              <w:left w:val="nil"/>
              <w:bottom w:val="nil"/>
              <w:right w:val="nil"/>
            </w:tcBorders>
            <w:shd w:val="clear" w:color="auto" w:fill="auto"/>
            <w:vAlign w:val="center"/>
            <w:hideMark/>
          </w:tcPr>
          <w:p w14:paraId="1F80A63B" w14:textId="4BCE2F2D" w:rsidR="002F689C" w:rsidRPr="00005453" w:rsidRDefault="002F689C" w:rsidP="002F689C">
            <w:pPr>
              <w:jc w:val="right"/>
              <w:rPr>
                <w:color w:val="000000"/>
                <w:sz w:val="18"/>
                <w:szCs w:val="18"/>
                <w:lang w:eastAsia="tr-TR"/>
              </w:rPr>
            </w:pPr>
            <w:r w:rsidRPr="00005453">
              <w:rPr>
                <w:color w:val="000000"/>
                <w:sz w:val="18"/>
                <w:szCs w:val="18"/>
              </w:rPr>
              <w:t>98,364</w:t>
            </w:r>
          </w:p>
        </w:tc>
        <w:tc>
          <w:tcPr>
            <w:tcW w:w="977" w:type="dxa"/>
            <w:tcBorders>
              <w:top w:val="nil"/>
              <w:left w:val="nil"/>
              <w:bottom w:val="nil"/>
              <w:right w:val="nil"/>
            </w:tcBorders>
            <w:shd w:val="clear" w:color="auto" w:fill="auto"/>
            <w:vAlign w:val="center"/>
            <w:hideMark/>
          </w:tcPr>
          <w:p w14:paraId="2575DE3B" w14:textId="28C55D32" w:rsidR="002F689C" w:rsidRPr="00005453" w:rsidRDefault="002F689C" w:rsidP="002F689C">
            <w:pPr>
              <w:jc w:val="right"/>
              <w:rPr>
                <w:color w:val="000000"/>
                <w:sz w:val="18"/>
                <w:szCs w:val="18"/>
                <w:lang w:eastAsia="tr-TR"/>
              </w:rPr>
            </w:pPr>
            <w:r w:rsidRPr="00005453">
              <w:rPr>
                <w:color w:val="000000"/>
                <w:sz w:val="18"/>
                <w:szCs w:val="18"/>
              </w:rPr>
              <w:t>569,379</w:t>
            </w:r>
          </w:p>
        </w:tc>
        <w:tc>
          <w:tcPr>
            <w:tcW w:w="860" w:type="dxa"/>
            <w:tcBorders>
              <w:top w:val="nil"/>
              <w:left w:val="nil"/>
              <w:bottom w:val="nil"/>
              <w:right w:val="nil"/>
            </w:tcBorders>
            <w:shd w:val="clear" w:color="auto" w:fill="auto"/>
            <w:vAlign w:val="center"/>
            <w:hideMark/>
          </w:tcPr>
          <w:p w14:paraId="35DB4B23" w14:textId="1195FB3F" w:rsidR="002F689C" w:rsidRPr="00005453" w:rsidRDefault="002F689C" w:rsidP="002F689C">
            <w:pPr>
              <w:jc w:val="right"/>
              <w:rPr>
                <w:color w:val="000000"/>
                <w:sz w:val="18"/>
                <w:szCs w:val="18"/>
                <w:lang w:eastAsia="tr-TR"/>
              </w:rPr>
            </w:pPr>
            <w:r w:rsidRPr="00005453">
              <w:rPr>
                <w:color w:val="000000"/>
                <w:sz w:val="18"/>
                <w:szCs w:val="18"/>
              </w:rPr>
              <w:t>27,540</w:t>
            </w:r>
          </w:p>
        </w:tc>
        <w:tc>
          <w:tcPr>
            <w:tcW w:w="668" w:type="dxa"/>
            <w:tcBorders>
              <w:top w:val="nil"/>
              <w:left w:val="nil"/>
              <w:bottom w:val="nil"/>
              <w:right w:val="nil"/>
            </w:tcBorders>
            <w:shd w:val="clear" w:color="auto" w:fill="auto"/>
            <w:vAlign w:val="center"/>
            <w:hideMark/>
          </w:tcPr>
          <w:p w14:paraId="38DE3F0E" w14:textId="0A639EE4" w:rsidR="002F689C" w:rsidRPr="00005453" w:rsidRDefault="002F689C" w:rsidP="002F689C">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4125BE8C" w14:textId="0629B36D" w:rsidR="002F689C" w:rsidRPr="00005453" w:rsidRDefault="002F689C" w:rsidP="002F689C">
            <w:pPr>
              <w:jc w:val="right"/>
              <w:rPr>
                <w:color w:val="000000"/>
                <w:sz w:val="18"/>
                <w:szCs w:val="18"/>
                <w:lang w:eastAsia="tr-TR"/>
              </w:rPr>
            </w:pPr>
            <w:r w:rsidRPr="00005453">
              <w:rPr>
                <w:color w:val="000000"/>
                <w:sz w:val="18"/>
                <w:szCs w:val="18"/>
              </w:rPr>
              <w:t>88,773</w:t>
            </w:r>
          </w:p>
        </w:tc>
        <w:tc>
          <w:tcPr>
            <w:tcW w:w="992" w:type="dxa"/>
            <w:tcBorders>
              <w:top w:val="nil"/>
              <w:left w:val="nil"/>
              <w:bottom w:val="nil"/>
              <w:right w:val="nil"/>
            </w:tcBorders>
            <w:shd w:val="clear" w:color="auto" w:fill="auto"/>
            <w:vAlign w:val="center"/>
            <w:hideMark/>
          </w:tcPr>
          <w:p w14:paraId="600BDF1E" w14:textId="6FEAC52D" w:rsidR="002F689C" w:rsidRPr="00005453" w:rsidRDefault="002F689C" w:rsidP="002F689C">
            <w:pPr>
              <w:jc w:val="right"/>
              <w:rPr>
                <w:color w:val="000000"/>
                <w:sz w:val="18"/>
                <w:szCs w:val="18"/>
                <w:lang w:eastAsia="tr-TR"/>
              </w:rPr>
            </w:pPr>
            <w:r w:rsidRPr="00005453">
              <w:rPr>
                <w:color w:val="000000"/>
                <w:sz w:val="18"/>
                <w:szCs w:val="18"/>
              </w:rPr>
              <w:t>536</w:t>
            </w:r>
          </w:p>
        </w:tc>
        <w:tc>
          <w:tcPr>
            <w:tcW w:w="887" w:type="dxa"/>
            <w:tcBorders>
              <w:top w:val="nil"/>
              <w:left w:val="nil"/>
              <w:bottom w:val="nil"/>
              <w:right w:val="nil"/>
            </w:tcBorders>
            <w:shd w:val="clear" w:color="auto" w:fill="auto"/>
            <w:vAlign w:val="center"/>
            <w:hideMark/>
          </w:tcPr>
          <w:p w14:paraId="427B6F12" w14:textId="0C1CB36C" w:rsidR="002F689C" w:rsidRPr="00005453" w:rsidRDefault="002F689C" w:rsidP="002F689C">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1460D1F8" w14:textId="7FD8C627" w:rsidR="002F689C" w:rsidRPr="00005453" w:rsidRDefault="002F689C" w:rsidP="002F689C">
            <w:pPr>
              <w:jc w:val="right"/>
              <w:rPr>
                <w:color w:val="000000"/>
                <w:sz w:val="18"/>
                <w:szCs w:val="18"/>
                <w:lang w:eastAsia="tr-TR"/>
              </w:rPr>
            </w:pPr>
            <w:r w:rsidRPr="00005453">
              <w:rPr>
                <w:color w:val="000000"/>
                <w:sz w:val="18"/>
                <w:szCs w:val="18"/>
              </w:rPr>
              <w:t>784,592</w:t>
            </w:r>
          </w:p>
        </w:tc>
      </w:tr>
      <w:tr w:rsidR="00D67371" w:rsidRPr="00005453" w14:paraId="1C9EA395" w14:textId="77777777" w:rsidTr="00517175">
        <w:trPr>
          <w:divId w:val="1608269462"/>
          <w:trHeight w:val="57"/>
        </w:trPr>
        <w:tc>
          <w:tcPr>
            <w:tcW w:w="2410" w:type="dxa"/>
            <w:tcBorders>
              <w:top w:val="nil"/>
              <w:left w:val="nil"/>
              <w:bottom w:val="single" w:sz="8" w:space="0" w:color="auto"/>
              <w:right w:val="nil"/>
            </w:tcBorders>
            <w:shd w:val="clear" w:color="auto" w:fill="auto"/>
            <w:vAlign w:val="bottom"/>
            <w:hideMark/>
          </w:tcPr>
          <w:p w14:paraId="4DF1829B" w14:textId="77777777" w:rsidR="00D67371" w:rsidRPr="00005453" w:rsidRDefault="00D67371" w:rsidP="00D67371">
            <w:pPr>
              <w:rPr>
                <w:color w:val="000000"/>
                <w:sz w:val="6"/>
                <w:szCs w:val="6"/>
                <w:lang w:eastAsia="tr-TR"/>
              </w:rPr>
            </w:pPr>
            <w:r w:rsidRPr="00005453">
              <w:rPr>
                <w:color w:val="000000"/>
                <w:sz w:val="6"/>
                <w:szCs w:val="6"/>
                <w:lang w:eastAsia="tr-TR"/>
              </w:rPr>
              <w:t> </w:t>
            </w:r>
          </w:p>
        </w:tc>
        <w:tc>
          <w:tcPr>
            <w:tcW w:w="1017" w:type="dxa"/>
            <w:tcBorders>
              <w:top w:val="nil"/>
              <w:left w:val="nil"/>
              <w:bottom w:val="single" w:sz="8" w:space="0" w:color="auto"/>
              <w:right w:val="nil"/>
            </w:tcBorders>
            <w:shd w:val="clear" w:color="auto" w:fill="auto"/>
            <w:vAlign w:val="center"/>
            <w:hideMark/>
          </w:tcPr>
          <w:p w14:paraId="452C4C33"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977" w:type="dxa"/>
            <w:tcBorders>
              <w:top w:val="nil"/>
              <w:left w:val="nil"/>
              <w:bottom w:val="single" w:sz="8" w:space="0" w:color="auto"/>
              <w:right w:val="nil"/>
            </w:tcBorders>
            <w:shd w:val="clear" w:color="auto" w:fill="auto"/>
            <w:vAlign w:val="center"/>
            <w:hideMark/>
          </w:tcPr>
          <w:p w14:paraId="4F741CD7"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860" w:type="dxa"/>
            <w:tcBorders>
              <w:top w:val="nil"/>
              <w:left w:val="nil"/>
              <w:bottom w:val="single" w:sz="8" w:space="0" w:color="auto"/>
              <w:right w:val="nil"/>
            </w:tcBorders>
            <w:shd w:val="clear" w:color="auto" w:fill="auto"/>
            <w:vAlign w:val="center"/>
            <w:hideMark/>
          </w:tcPr>
          <w:p w14:paraId="3483358E"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668" w:type="dxa"/>
            <w:tcBorders>
              <w:top w:val="nil"/>
              <w:left w:val="nil"/>
              <w:bottom w:val="single" w:sz="8" w:space="0" w:color="auto"/>
              <w:right w:val="nil"/>
            </w:tcBorders>
            <w:shd w:val="clear" w:color="auto" w:fill="auto"/>
            <w:vAlign w:val="center"/>
            <w:hideMark/>
          </w:tcPr>
          <w:p w14:paraId="28AA4D12"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1014" w:type="dxa"/>
            <w:tcBorders>
              <w:top w:val="nil"/>
              <w:left w:val="nil"/>
              <w:bottom w:val="single" w:sz="8" w:space="0" w:color="auto"/>
              <w:right w:val="nil"/>
            </w:tcBorders>
            <w:shd w:val="clear" w:color="auto" w:fill="auto"/>
            <w:vAlign w:val="center"/>
            <w:hideMark/>
          </w:tcPr>
          <w:p w14:paraId="285B8621"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992" w:type="dxa"/>
            <w:tcBorders>
              <w:top w:val="nil"/>
              <w:left w:val="nil"/>
              <w:bottom w:val="single" w:sz="8" w:space="0" w:color="auto"/>
              <w:right w:val="nil"/>
            </w:tcBorders>
            <w:shd w:val="clear" w:color="auto" w:fill="auto"/>
            <w:vAlign w:val="center"/>
            <w:hideMark/>
          </w:tcPr>
          <w:p w14:paraId="5A356A9E"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887" w:type="dxa"/>
            <w:tcBorders>
              <w:top w:val="nil"/>
              <w:left w:val="nil"/>
              <w:bottom w:val="single" w:sz="8" w:space="0" w:color="auto"/>
              <w:right w:val="nil"/>
            </w:tcBorders>
            <w:shd w:val="clear" w:color="auto" w:fill="auto"/>
            <w:vAlign w:val="center"/>
            <w:hideMark/>
          </w:tcPr>
          <w:p w14:paraId="4E4805F1"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c>
          <w:tcPr>
            <w:tcW w:w="956" w:type="dxa"/>
            <w:tcBorders>
              <w:top w:val="nil"/>
              <w:left w:val="nil"/>
              <w:bottom w:val="single" w:sz="8" w:space="0" w:color="auto"/>
              <w:right w:val="nil"/>
            </w:tcBorders>
            <w:shd w:val="clear" w:color="auto" w:fill="auto"/>
            <w:vAlign w:val="center"/>
            <w:hideMark/>
          </w:tcPr>
          <w:p w14:paraId="3C18C086" w14:textId="77777777" w:rsidR="00D67371" w:rsidRPr="00005453" w:rsidRDefault="00D67371" w:rsidP="00DF6107">
            <w:pPr>
              <w:jc w:val="right"/>
              <w:rPr>
                <w:color w:val="000000"/>
                <w:sz w:val="6"/>
                <w:szCs w:val="6"/>
                <w:lang w:eastAsia="tr-TR"/>
              </w:rPr>
            </w:pPr>
            <w:r w:rsidRPr="00005453">
              <w:rPr>
                <w:color w:val="000000"/>
                <w:sz w:val="6"/>
                <w:szCs w:val="6"/>
                <w:lang w:eastAsia="tr-TR"/>
              </w:rPr>
              <w:t> </w:t>
            </w:r>
          </w:p>
        </w:tc>
      </w:tr>
      <w:tr w:rsidR="002F689C" w:rsidRPr="00005453" w14:paraId="13626B70" w14:textId="77777777" w:rsidTr="00517175">
        <w:trPr>
          <w:divId w:val="1608269462"/>
          <w:trHeight w:val="227"/>
        </w:trPr>
        <w:tc>
          <w:tcPr>
            <w:tcW w:w="2410" w:type="dxa"/>
            <w:tcBorders>
              <w:top w:val="nil"/>
              <w:left w:val="nil"/>
              <w:bottom w:val="single" w:sz="8" w:space="0" w:color="auto"/>
              <w:right w:val="nil"/>
            </w:tcBorders>
            <w:shd w:val="clear" w:color="auto" w:fill="auto"/>
            <w:vAlign w:val="center"/>
            <w:hideMark/>
          </w:tcPr>
          <w:p w14:paraId="0CF648E0" w14:textId="77777777" w:rsidR="002F689C" w:rsidRPr="00005453" w:rsidRDefault="002F689C" w:rsidP="002F689C">
            <w:pPr>
              <w:ind w:firstLineChars="100" w:firstLine="181"/>
              <w:rPr>
                <w:b/>
                <w:bCs/>
                <w:color w:val="000000"/>
                <w:sz w:val="18"/>
                <w:szCs w:val="18"/>
                <w:lang w:eastAsia="tr-TR"/>
              </w:rPr>
            </w:pPr>
            <w:r w:rsidRPr="00005453">
              <w:rPr>
                <w:b/>
                <w:bCs/>
                <w:color w:val="000000"/>
                <w:sz w:val="18"/>
                <w:szCs w:val="18"/>
                <w:lang w:eastAsia="tr-TR"/>
              </w:rPr>
              <w:t>Toplam</w:t>
            </w:r>
          </w:p>
        </w:tc>
        <w:tc>
          <w:tcPr>
            <w:tcW w:w="1017" w:type="dxa"/>
            <w:tcBorders>
              <w:top w:val="nil"/>
              <w:left w:val="nil"/>
              <w:bottom w:val="single" w:sz="8" w:space="0" w:color="auto"/>
              <w:right w:val="nil"/>
            </w:tcBorders>
            <w:shd w:val="clear" w:color="auto" w:fill="auto"/>
            <w:vAlign w:val="center"/>
            <w:hideMark/>
          </w:tcPr>
          <w:p w14:paraId="5F566043" w14:textId="1C67C34A" w:rsidR="002F689C" w:rsidRPr="00005453" w:rsidRDefault="002F689C" w:rsidP="002F689C">
            <w:pPr>
              <w:jc w:val="right"/>
              <w:rPr>
                <w:b/>
                <w:bCs/>
                <w:color w:val="000000"/>
                <w:sz w:val="18"/>
                <w:szCs w:val="18"/>
                <w:lang w:eastAsia="tr-TR"/>
              </w:rPr>
            </w:pPr>
            <w:r w:rsidRPr="00005453">
              <w:rPr>
                <w:b/>
                <w:bCs/>
                <w:color w:val="000000"/>
                <w:sz w:val="18"/>
                <w:szCs w:val="18"/>
              </w:rPr>
              <w:t>5,501,590</w:t>
            </w:r>
          </w:p>
        </w:tc>
        <w:tc>
          <w:tcPr>
            <w:tcW w:w="977" w:type="dxa"/>
            <w:tcBorders>
              <w:top w:val="nil"/>
              <w:left w:val="nil"/>
              <w:bottom w:val="single" w:sz="8" w:space="0" w:color="auto"/>
              <w:right w:val="nil"/>
            </w:tcBorders>
            <w:shd w:val="clear" w:color="auto" w:fill="auto"/>
            <w:vAlign w:val="center"/>
            <w:hideMark/>
          </w:tcPr>
          <w:p w14:paraId="0FB7CE99" w14:textId="6077B49A" w:rsidR="002F689C" w:rsidRPr="00005453" w:rsidRDefault="002F689C" w:rsidP="002F689C">
            <w:pPr>
              <w:jc w:val="right"/>
              <w:rPr>
                <w:b/>
                <w:bCs/>
                <w:color w:val="000000"/>
                <w:sz w:val="18"/>
                <w:szCs w:val="18"/>
                <w:lang w:eastAsia="tr-TR"/>
              </w:rPr>
            </w:pPr>
            <w:r w:rsidRPr="00005453">
              <w:rPr>
                <w:b/>
                <w:bCs/>
                <w:color w:val="000000"/>
                <w:sz w:val="18"/>
                <w:szCs w:val="18"/>
              </w:rPr>
              <w:t>31,744,422</w:t>
            </w:r>
          </w:p>
        </w:tc>
        <w:tc>
          <w:tcPr>
            <w:tcW w:w="860" w:type="dxa"/>
            <w:tcBorders>
              <w:top w:val="nil"/>
              <w:left w:val="nil"/>
              <w:bottom w:val="single" w:sz="8" w:space="0" w:color="auto"/>
              <w:right w:val="nil"/>
            </w:tcBorders>
            <w:shd w:val="clear" w:color="auto" w:fill="auto"/>
            <w:vAlign w:val="center"/>
            <w:hideMark/>
          </w:tcPr>
          <w:p w14:paraId="197D7869" w14:textId="36C7B7DF" w:rsidR="002F689C" w:rsidRPr="00005453" w:rsidRDefault="002F689C" w:rsidP="002F689C">
            <w:pPr>
              <w:jc w:val="right"/>
              <w:rPr>
                <w:b/>
                <w:bCs/>
                <w:color w:val="000000"/>
                <w:sz w:val="18"/>
                <w:szCs w:val="18"/>
                <w:lang w:eastAsia="tr-TR"/>
              </w:rPr>
            </w:pPr>
            <w:r w:rsidRPr="00005453">
              <w:rPr>
                <w:b/>
                <w:bCs/>
                <w:color w:val="000000"/>
                <w:sz w:val="18"/>
                <w:szCs w:val="18"/>
              </w:rPr>
              <w:t>2,641,945</w:t>
            </w:r>
          </w:p>
        </w:tc>
        <w:tc>
          <w:tcPr>
            <w:tcW w:w="668" w:type="dxa"/>
            <w:tcBorders>
              <w:top w:val="nil"/>
              <w:left w:val="nil"/>
              <w:bottom w:val="single" w:sz="8" w:space="0" w:color="auto"/>
              <w:right w:val="nil"/>
            </w:tcBorders>
            <w:shd w:val="clear" w:color="auto" w:fill="auto"/>
            <w:vAlign w:val="center"/>
            <w:hideMark/>
          </w:tcPr>
          <w:p w14:paraId="7D8109CA" w14:textId="57E3D585" w:rsidR="002F689C" w:rsidRPr="00005453" w:rsidRDefault="002F689C" w:rsidP="002F689C">
            <w:pPr>
              <w:jc w:val="right"/>
              <w:rPr>
                <w:b/>
                <w:bCs/>
                <w:color w:val="000000"/>
                <w:sz w:val="18"/>
                <w:szCs w:val="18"/>
                <w:lang w:eastAsia="tr-TR"/>
              </w:rPr>
            </w:pPr>
            <w:r w:rsidRPr="00005453">
              <w:rPr>
                <w:b/>
                <w:bCs/>
                <w:color w:val="000000"/>
                <w:sz w:val="18"/>
                <w:szCs w:val="18"/>
              </w:rPr>
              <w:t>-</w:t>
            </w:r>
          </w:p>
        </w:tc>
        <w:tc>
          <w:tcPr>
            <w:tcW w:w="1014" w:type="dxa"/>
            <w:tcBorders>
              <w:top w:val="nil"/>
              <w:left w:val="nil"/>
              <w:bottom w:val="single" w:sz="8" w:space="0" w:color="auto"/>
              <w:right w:val="nil"/>
            </w:tcBorders>
            <w:shd w:val="clear" w:color="auto" w:fill="auto"/>
            <w:vAlign w:val="center"/>
            <w:hideMark/>
          </w:tcPr>
          <w:p w14:paraId="5A618CAF" w14:textId="77135B14" w:rsidR="002F689C" w:rsidRPr="00005453" w:rsidRDefault="002F689C" w:rsidP="002F689C">
            <w:pPr>
              <w:jc w:val="right"/>
              <w:rPr>
                <w:b/>
                <w:bCs/>
                <w:color w:val="000000"/>
                <w:sz w:val="18"/>
                <w:szCs w:val="18"/>
                <w:lang w:eastAsia="tr-TR"/>
              </w:rPr>
            </w:pPr>
            <w:r w:rsidRPr="00005453">
              <w:rPr>
                <w:b/>
                <w:bCs/>
                <w:color w:val="000000"/>
                <w:sz w:val="18"/>
                <w:szCs w:val="18"/>
              </w:rPr>
              <w:t>17,506,716</w:t>
            </w:r>
          </w:p>
        </w:tc>
        <w:tc>
          <w:tcPr>
            <w:tcW w:w="992" w:type="dxa"/>
            <w:tcBorders>
              <w:top w:val="nil"/>
              <w:left w:val="nil"/>
              <w:bottom w:val="single" w:sz="8" w:space="0" w:color="auto"/>
              <w:right w:val="nil"/>
            </w:tcBorders>
            <w:shd w:val="clear" w:color="auto" w:fill="auto"/>
            <w:vAlign w:val="center"/>
            <w:hideMark/>
          </w:tcPr>
          <w:p w14:paraId="6B5EEA9E" w14:textId="79139269" w:rsidR="002F689C" w:rsidRPr="00005453" w:rsidRDefault="002F689C" w:rsidP="002F689C">
            <w:pPr>
              <w:jc w:val="right"/>
              <w:rPr>
                <w:b/>
                <w:bCs/>
                <w:color w:val="000000"/>
                <w:sz w:val="18"/>
                <w:szCs w:val="18"/>
                <w:lang w:eastAsia="tr-TR"/>
              </w:rPr>
            </w:pPr>
            <w:r w:rsidRPr="00005453">
              <w:rPr>
                <w:b/>
                <w:bCs/>
                <w:color w:val="000000"/>
                <w:sz w:val="18"/>
                <w:szCs w:val="18"/>
              </w:rPr>
              <w:t>2,444,778</w:t>
            </w:r>
          </w:p>
        </w:tc>
        <w:tc>
          <w:tcPr>
            <w:tcW w:w="887" w:type="dxa"/>
            <w:tcBorders>
              <w:top w:val="nil"/>
              <w:left w:val="nil"/>
              <w:bottom w:val="single" w:sz="8" w:space="0" w:color="auto"/>
              <w:right w:val="nil"/>
            </w:tcBorders>
            <w:shd w:val="clear" w:color="auto" w:fill="auto"/>
            <w:vAlign w:val="center"/>
            <w:hideMark/>
          </w:tcPr>
          <w:p w14:paraId="335B8F75" w14:textId="2B29A42E" w:rsidR="002F689C" w:rsidRPr="00005453" w:rsidRDefault="002F689C" w:rsidP="002F689C">
            <w:pPr>
              <w:jc w:val="right"/>
              <w:rPr>
                <w:b/>
                <w:bCs/>
                <w:color w:val="000000"/>
                <w:sz w:val="18"/>
                <w:szCs w:val="18"/>
                <w:lang w:eastAsia="tr-TR"/>
              </w:rPr>
            </w:pPr>
            <w:r w:rsidRPr="00005453">
              <w:rPr>
                <w:b/>
                <w:bCs/>
                <w:color w:val="000000"/>
                <w:sz w:val="18"/>
                <w:szCs w:val="18"/>
              </w:rPr>
              <w:t>3,487</w:t>
            </w:r>
          </w:p>
        </w:tc>
        <w:tc>
          <w:tcPr>
            <w:tcW w:w="956" w:type="dxa"/>
            <w:tcBorders>
              <w:top w:val="nil"/>
              <w:left w:val="nil"/>
              <w:bottom w:val="single" w:sz="8" w:space="0" w:color="auto"/>
              <w:right w:val="nil"/>
            </w:tcBorders>
            <w:shd w:val="clear" w:color="auto" w:fill="auto"/>
            <w:vAlign w:val="center"/>
            <w:hideMark/>
          </w:tcPr>
          <w:p w14:paraId="5A9B503F" w14:textId="59F4E32C" w:rsidR="002F689C" w:rsidRPr="00005453" w:rsidRDefault="002F689C" w:rsidP="002F689C">
            <w:pPr>
              <w:jc w:val="right"/>
              <w:rPr>
                <w:b/>
                <w:bCs/>
                <w:color w:val="000000"/>
                <w:sz w:val="18"/>
                <w:szCs w:val="18"/>
                <w:lang w:eastAsia="tr-TR"/>
              </w:rPr>
            </w:pPr>
            <w:r w:rsidRPr="00005453">
              <w:rPr>
                <w:b/>
                <w:bCs/>
                <w:color w:val="000000"/>
                <w:sz w:val="18"/>
                <w:szCs w:val="18"/>
              </w:rPr>
              <w:t>59,842,938</w:t>
            </w:r>
          </w:p>
        </w:tc>
      </w:tr>
      <w:tr w:rsidR="00D67371" w:rsidRPr="00005453" w14:paraId="40FD44E1"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41C06667" w14:textId="77777777" w:rsidR="00D67371" w:rsidRPr="00005453" w:rsidRDefault="00D67371" w:rsidP="00D67371">
            <w:pPr>
              <w:rPr>
                <w:b/>
                <w:bCs/>
                <w:color w:val="000000"/>
                <w:sz w:val="18"/>
                <w:szCs w:val="18"/>
                <w:lang w:eastAsia="tr-TR"/>
              </w:rPr>
            </w:pPr>
            <w:r w:rsidRPr="00005453">
              <w:rPr>
                <w:b/>
                <w:bCs/>
                <w:color w:val="000000"/>
                <w:sz w:val="18"/>
                <w:szCs w:val="18"/>
                <w:lang w:eastAsia="tr-TR"/>
              </w:rPr>
              <w:t>Yabancı para</w:t>
            </w:r>
          </w:p>
        </w:tc>
        <w:tc>
          <w:tcPr>
            <w:tcW w:w="1017" w:type="dxa"/>
            <w:tcBorders>
              <w:top w:val="nil"/>
              <w:left w:val="nil"/>
              <w:bottom w:val="nil"/>
              <w:right w:val="nil"/>
            </w:tcBorders>
            <w:shd w:val="clear" w:color="auto" w:fill="auto"/>
            <w:vAlign w:val="center"/>
            <w:hideMark/>
          </w:tcPr>
          <w:p w14:paraId="0D255889" w14:textId="77777777" w:rsidR="00D67371" w:rsidRPr="00005453" w:rsidRDefault="00D67371" w:rsidP="00DF6107">
            <w:pPr>
              <w:jc w:val="right"/>
              <w:rPr>
                <w:b/>
                <w:bCs/>
                <w:color w:val="000000"/>
                <w:sz w:val="18"/>
                <w:szCs w:val="18"/>
                <w:lang w:eastAsia="tr-TR"/>
              </w:rPr>
            </w:pPr>
          </w:p>
        </w:tc>
        <w:tc>
          <w:tcPr>
            <w:tcW w:w="977" w:type="dxa"/>
            <w:tcBorders>
              <w:top w:val="nil"/>
              <w:left w:val="nil"/>
              <w:bottom w:val="nil"/>
              <w:right w:val="nil"/>
            </w:tcBorders>
            <w:shd w:val="clear" w:color="auto" w:fill="auto"/>
            <w:vAlign w:val="center"/>
            <w:hideMark/>
          </w:tcPr>
          <w:p w14:paraId="6CC22E73" w14:textId="77777777" w:rsidR="00D67371" w:rsidRPr="00005453" w:rsidRDefault="00D67371" w:rsidP="00DF6107">
            <w:pPr>
              <w:jc w:val="right"/>
              <w:rPr>
                <w:sz w:val="18"/>
                <w:szCs w:val="18"/>
                <w:lang w:eastAsia="tr-TR"/>
              </w:rPr>
            </w:pPr>
          </w:p>
        </w:tc>
        <w:tc>
          <w:tcPr>
            <w:tcW w:w="860" w:type="dxa"/>
            <w:tcBorders>
              <w:top w:val="nil"/>
              <w:left w:val="nil"/>
              <w:bottom w:val="nil"/>
              <w:right w:val="nil"/>
            </w:tcBorders>
            <w:shd w:val="clear" w:color="auto" w:fill="auto"/>
            <w:vAlign w:val="center"/>
            <w:hideMark/>
          </w:tcPr>
          <w:p w14:paraId="707CD1D5" w14:textId="77777777" w:rsidR="00D67371" w:rsidRPr="00005453" w:rsidRDefault="00D67371" w:rsidP="00DF6107">
            <w:pPr>
              <w:jc w:val="right"/>
              <w:rPr>
                <w:sz w:val="18"/>
                <w:szCs w:val="18"/>
                <w:lang w:eastAsia="tr-TR"/>
              </w:rPr>
            </w:pPr>
          </w:p>
        </w:tc>
        <w:tc>
          <w:tcPr>
            <w:tcW w:w="668" w:type="dxa"/>
            <w:tcBorders>
              <w:top w:val="nil"/>
              <w:left w:val="nil"/>
              <w:bottom w:val="nil"/>
              <w:right w:val="nil"/>
            </w:tcBorders>
            <w:shd w:val="clear" w:color="auto" w:fill="auto"/>
            <w:vAlign w:val="center"/>
            <w:hideMark/>
          </w:tcPr>
          <w:p w14:paraId="7F8AD37C" w14:textId="77777777" w:rsidR="00D67371" w:rsidRPr="00005453" w:rsidRDefault="00D67371" w:rsidP="00DF6107">
            <w:pPr>
              <w:jc w:val="right"/>
              <w:rPr>
                <w:sz w:val="18"/>
                <w:szCs w:val="18"/>
                <w:lang w:eastAsia="tr-TR"/>
              </w:rPr>
            </w:pPr>
          </w:p>
        </w:tc>
        <w:tc>
          <w:tcPr>
            <w:tcW w:w="1014" w:type="dxa"/>
            <w:tcBorders>
              <w:top w:val="nil"/>
              <w:left w:val="nil"/>
              <w:bottom w:val="nil"/>
              <w:right w:val="nil"/>
            </w:tcBorders>
            <w:shd w:val="clear" w:color="auto" w:fill="auto"/>
            <w:vAlign w:val="center"/>
            <w:hideMark/>
          </w:tcPr>
          <w:p w14:paraId="0BE026AC" w14:textId="77777777" w:rsidR="00D67371" w:rsidRPr="00005453" w:rsidRDefault="00D67371" w:rsidP="00DF6107">
            <w:pPr>
              <w:jc w:val="right"/>
              <w:rPr>
                <w:sz w:val="18"/>
                <w:szCs w:val="18"/>
                <w:lang w:eastAsia="tr-TR"/>
              </w:rPr>
            </w:pPr>
          </w:p>
        </w:tc>
        <w:tc>
          <w:tcPr>
            <w:tcW w:w="992" w:type="dxa"/>
            <w:tcBorders>
              <w:top w:val="nil"/>
              <w:left w:val="nil"/>
              <w:bottom w:val="nil"/>
              <w:right w:val="nil"/>
            </w:tcBorders>
            <w:shd w:val="clear" w:color="auto" w:fill="auto"/>
            <w:vAlign w:val="center"/>
            <w:hideMark/>
          </w:tcPr>
          <w:p w14:paraId="31385A3E" w14:textId="77777777" w:rsidR="00D67371" w:rsidRPr="00005453" w:rsidRDefault="00D67371" w:rsidP="00DF6107">
            <w:pPr>
              <w:jc w:val="right"/>
              <w:rPr>
                <w:sz w:val="18"/>
                <w:szCs w:val="18"/>
                <w:lang w:eastAsia="tr-TR"/>
              </w:rPr>
            </w:pPr>
          </w:p>
        </w:tc>
        <w:tc>
          <w:tcPr>
            <w:tcW w:w="887" w:type="dxa"/>
            <w:tcBorders>
              <w:top w:val="nil"/>
              <w:left w:val="nil"/>
              <w:bottom w:val="nil"/>
              <w:right w:val="nil"/>
            </w:tcBorders>
            <w:shd w:val="clear" w:color="auto" w:fill="auto"/>
            <w:vAlign w:val="center"/>
            <w:hideMark/>
          </w:tcPr>
          <w:p w14:paraId="59EADA7B" w14:textId="77777777" w:rsidR="00D67371" w:rsidRPr="00005453" w:rsidRDefault="00D67371" w:rsidP="00DF6107">
            <w:pPr>
              <w:jc w:val="right"/>
              <w:rPr>
                <w:sz w:val="18"/>
                <w:szCs w:val="18"/>
                <w:lang w:eastAsia="tr-TR"/>
              </w:rPr>
            </w:pPr>
          </w:p>
        </w:tc>
        <w:tc>
          <w:tcPr>
            <w:tcW w:w="956" w:type="dxa"/>
            <w:tcBorders>
              <w:top w:val="nil"/>
              <w:left w:val="nil"/>
              <w:bottom w:val="nil"/>
              <w:right w:val="nil"/>
            </w:tcBorders>
            <w:shd w:val="clear" w:color="auto" w:fill="auto"/>
            <w:vAlign w:val="center"/>
            <w:hideMark/>
          </w:tcPr>
          <w:p w14:paraId="21CC9859" w14:textId="77777777" w:rsidR="00D67371" w:rsidRPr="00005453" w:rsidRDefault="00D67371" w:rsidP="00DF6107">
            <w:pPr>
              <w:jc w:val="right"/>
              <w:rPr>
                <w:sz w:val="18"/>
                <w:szCs w:val="18"/>
                <w:lang w:eastAsia="tr-TR"/>
              </w:rPr>
            </w:pPr>
          </w:p>
        </w:tc>
      </w:tr>
      <w:tr w:rsidR="00664103" w:rsidRPr="00005453" w14:paraId="3D1C06FE"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4F484E91" w14:textId="77777777" w:rsidR="00664103" w:rsidRPr="00005453" w:rsidRDefault="00664103" w:rsidP="00664103">
            <w:pPr>
              <w:ind w:firstLineChars="100" w:firstLine="180"/>
              <w:rPr>
                <w:color w:val="000000"/>
                <w:sz w:val="18"/>
                <w:szCs w:val="18"/>
                <w:lang w:eastAsia="tr-TR"/>
              </w:rPr>
            </w:pPr>
            <w:r w:rsidRPr="00005453">
              <w:rPr>
                <w:bCs/>
                <w:color w:val="000000"/>
                <w:sz w:val="18"/>
                <w:szCs w:val="18"/>
                <w:lang w:eastAsia="tr-TR"/>
              </w:rPr>
              <w:t>Bankalar</w:t>
            </w:r>
          </w:p>
        </w:tc>
        <w:tc>
          <w:tcPr>
            <w:tcW w:w="1017" w:type="dxa"/>
            <w:tcBorders>
              <w:top w:val="nil"/>
              <w:left w:val="nil"/>
              <w:bottom w:val="nil"/>
              <w:right w:val="nil"/>
            </w:tcBorders>
            <w:shd w:val="clear" w:color="auto" w:fill="auto"/>
            <w:vAlign w:val="center"/>
            <w:hideMark/>
          </w:tcPr>
          <w:p w14:paraId="23FB00EC" w14:textId="145BF30A" w:rsidR="00664103" w:rsidRPr="00005453" w:rsidRDefault="00664103" w:rsidP="00664103">
            <w:pPr>
              <w:jc w:val="right"/>
              <w:rPr>
                <w:color w:val="000000"/>
                <w:sz w:val="18"/>
                <w:szCs w:val="18"/>
                <w:lang w:eastAsia="tr-TR"/>
              </w:rPr>
            </w:pPr>
            <w:r w:rsidRPr="00005453">
              <w:rPr>
                <w:color w:val="000000"/>
                <w:sz w:val="18"/>
                <w:szCs w:val="18"/>
              </w:rPr>
              <w:t>-</w:t>
            </w:r>
          </w:p>
        </w:tc>
        <w:tc>
          <w:tcPr>
            <w:tcW w:w="977" w:type="dxa"/>
            <w:tcBorders>
              <w:top w:val="nil"/>
              <w:left w:val="nil"/>
              <w:bottom w:val="nil"/>
              <w:right w:val="nil"/>
            </w:tcBorders>
            <w:shd w:val="clear" w:color="auto" w:fill="auto"/>
            <w:vAlign w:val="center"/>
            <w:hideMark/>
          </w:tcPr>
          <w:p w14:paraId="6F5F14F4" w14:textId="367874F0" w:rsidR="00664103" w:rsidRPr="00005453" w:rsidRDefault="00664103" w:rsidP="00664103">
            <w:pPr>
              <w:jc w:val="right"/>
              <w:rPr>
                <w:color w:val="000000"/>
                <w:sz w:val="18"/>
                <w:szCs w:val="18"/>
                <w:lang w:eastAsia="tr-TR"/>
              </w:rPr>
            </w:pPr>
            <w:r w:rsidRPr="00005453">
              <w:rPr>
                <w:color w:val="000000"/>
                <w:sz w:val="18"/>
                <w:szCs w:val="18"/>
              </w:rPr>
              <w:t>-</w:t>
            </w:r>
          </w:p>
        </w:tc>
        <w:tc>
          <w:tcPr>
            <w:tcW w:w="860" w:type="dxa"/>
            <w:tcBorders>
              <w:top w:val="nil"/>
              <w:left w:val="nil"/>
              <w:bottom w:val="nil"/>
              <w:right w:val="nil"/>
            </w:tcBorders>
            <w:shd w:val="clear" w:color="auto" w:fill="auto"/>
            <w:vAlign w:val="center"/>
            <w:hideMark/>
          </w:tcPr>
          <w:p w14:paraId="2DB3CFD3" w14:textId="7A62AF90" w:rsidR="00664103" w:rsidRPr="00005453" w:rsidRDefault="00664103" w:rsidP="00664103">
            <w:pPr>
              <w:jc w:val="right"/>
              <w:rPr>
                <w:color w:val="000000"/>
                <w:sz w:val="18"/>
                <w:szCs w:val="18"/>
                <w:lang w:eastAsia="tr-TR"/>
              </w:rPr>
            </w:pPr>
            <w:r w:rsidRPr="00005453">
              <w:rPr>
                <w:color w:val="000000"/>
                <w:sz w:val="18"/>
                <w:szCs w:val="18"/>
              </w:rPr>
              <w:t>-</w:t>
            </w:r>
          </w:p>
        </w:tc>
        <w:tc>
          <w:tcPr>
            <w:tcW w:w="668" w:type="dxa"/>
            <w:tcBorders>
              <w:top w:val="nil"/>
              <w:left w:val="nil"/>
              <w:bottom w:val="nil"/>
              <w:right w:val="nil"/>
            </w:tcBorders>
            <w:shd w:val="clear" w:color="auto" w:fill="auto"/>
            <w:vAlign w:val="center"/>
            <w:hideMark/>
          </w:tcPr>
          <w:p w14:paraId="66389CCE" w14:textId="1C48656D" w:rsidR="00664103" w:rsidRPr="00005453" w:rsidRDefault="00664103" w:rsidP="00664103">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24E46BCC" w14:textId="45B663F2" w:rsidR="00664103" w:rsidRPr="00005453" w:rsidRDefault="00664103" w:rsidP="00664103">
            <w:pPr>
              <w:jc w:val="right"/>
              <w:rPr>
                <w:color w:val="000000"/>
                <w:sz w:val="18"/>
                <w:szCs w:val="18"/>
                <w:lang w:eastAsia="tr-TR"/>
              </w:rPr>
            </w:pPr>
            <w:r w:rsidRPr="00005453">
              <w:rPr>
                <w:color w:val="000000"/>
                <w:sz w:val="18"/>
                <w:szCs w:val="18"/>
              </w:rPr>
              <w:t>-</w:t>
            </w:r>
          </w:p>
        </w:tc>
        <w:tc>
          <w:tcPr>
            <w:tcW w:w="992" w:type="dxa"/>
            <w:tcBorders>
              <w:top w:val="nil"/>
              <w:left w:val="nil"/>
              <w:bottom w:val="nil"/>
              <w:right w:val="nil"/>
            </w:tcBorders>
            <w:shd w:val="clear" w:color="auto" w:fill="auto"/>
            <w:vAlign w:val="center"/>
            <w:hideMark/>
          </w:tcPr>
          <w:p w14:paraId="6A08263B" w14:textId="073DDA6B" w:rsidR="00664103" w:rsidRPr="00005453" w:rsidRDefault="00664103" w:rsidP="00664103">
            <w:pPr>
              <w:jc w:val="right"/>
              <w:rPr>
                <w:color w:val="000000"/>
                <w:sz w:val="18"/>
                <w:szCs w:val="18"/>
                <w:lang w:eastAsia="tr-TR"/>
              </w:rPr>
            </w:pPr>
            <w:r w:rsidRPr="00005453">
              <w:rPr>
                <w:color w:val="000000"/>
                <w:sz w:val="18"/>
                <w:szCs w:val="18"/>
              </w:rPr>
              <w:t>-</w:t>
            </w:r>
          </w:p>
        </w:tc>
        <w:tc>
          <w:tcPr>
            <w:tcW w:w="887" w:type="dxa"/>
            <w:tcBorders>
              <w:top w:val="nil"/>
              <w:left w:val="nil"/>
              <w:bottom w:val="nil"/>
              <w:right w:val="nil"/>
            </w:tcBorders>
            <w:shd w:val="clear" w:color="auto" w:fill="auto"/>
            <w:vAlign w:val="center"/>
            <w:hideMark/>
          </w:tcPr>
          <w:p w14:paraId="55AF9D51" w14:textId="372E526E" w:rsidR="00664103" w:rsidRPr="00005453" w:rsidRDefault="00664103" w:rsidP="00664103">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4D331E3E" w14:textId="021D9B60" w:rsidR="00664103" w:rsidRPr="00005453" w:rsidRDefault="00664103" w:rsidP="00664103">
            <w:pPr>
              <w:jc w:val="right"/>
              <w:rPr>
                <w:color w:val="000000"/>
                <w:sz w:val="18"/>
                <w:szCs w:val="18"/>
                <w:lang w:eastAsia="tr-TR"/>
              </w:rPr>
            </w:pPr>
            <w:r w:rsidRPr="00005453">
              <w:rPr>
                <w:color w:val="000000"/>
                <w:sz w:val="18"/>
                <w:szCs w:val="18"/>
              </w:rPr>
              <w:t>-</w:t>
            </w:r>
          </w:p>
        </w:tc>
      </w:tr>
      <w:tr w:rsidR="00664103" w:rsidRPr="00005453" w14:paraId="492B2CB4" w14:textId="77777777" w:rsidTr="00517175">
        <w:trPr>
          <w:divId w:val="1608269462"/>
          <w:trHeight w:val="427"/>
        </w:trPr>
        <w:tc>
          <w:tcPr>
            <w:tcW w:w="2410" w:type="dxa"/>
            <w:tcBorders>
              <w:top w:val="nil"/>
              <w:left w:val="nil"/>
              <w:bottom w:val="nil"/>
              <w:right w:val="nil"/>
            </w:tcBorders>
            <w:shd w:val="clear" w:color="auto" w:fill="auto"/>
            <w:vAlign w:val="center"/>
            <w:hideMark/>
          </w:tcPr>
          <w:p w14:paraId="77450946" w14:textId="77777777" w:rsidR="00664103" w:rsidRPr="00005453" w:rsidRDefault="00664103" w:rsidP="00664103">
            <w:pPr>
              <w:ind w:firstLineChars="100" w:firstLine="180"/>
              <w:rPr>
                <w:color w:val="000000"/>
                <w:sz w:val="18"/>
                <w:szCs w:val="18"/>
                <w:lang w:eastAsia="tr-TR"/>
              </w:rPr>
            </w:pPr>
            <w:r w:rsidRPr="00005453">
              <w:rPr>
                <w:color w:val="000000"/>
                <w:sz w:val="18"/>
                <w:szCs w:val="18"/>
                <w:lang w:eastAsia="tr-TR"/>
              </w:rPr>
              <w:t>Gerçek kişilerin ticari olmayan katılma hs.</w:t>
            </w:r>
          </w:p>
        </w:tc>
        <w:tc>
          <w:tcPr>
            <w:tcW w:w="1017" w:type="dxa"/>
            <w:tcBorders>
              <w:top w:val="nil"/>
              <w:left w:val="nil"/>
              <w:bottom w:val="nil"/>
              <w:right w:val="nil"/>
            </w:tcBorders>
            <w:shd w:val="clear" w:color="auto" w:fill="auto"/>
            <w:vAlign w:val="center"/>
            <w:hideMark/>
          </w:tcPr>
          <w:p w14:paraId="2E81BBD1" w14:textId="21C38C4E" w:rsidR="00664103" w:rsidRPr="00005453" w:rsidRDefault="00664103" w:rsidP="00664103">
            <w:pPr>
              <w:jc w:val="right"/>
              <w:rPr>
                <w:color w:val="000000"/>
                <w:sz w:val="18"/>
                <w:szCs w:val="18"/>
                <w:lang w:eastAsia="tr-TR"/>
              </w:rPr>
            </w:pPr>
            <w:r w:rsidRPr="00005453">
              <w:rPr>
                <w:color w:val="000000"/>
                <w:sz w:val="18"/>
                <w:szCs w:val="18"/>
              </w:rPr>
              <w:t>121,364</w:t>
            </w:r>
          </w:p>
        </w:tc>
        <w:tc>
          <w:tcPr>
            <w:tcW w:w="977" w:type="dxa"/>
            <w:tcBorders>
              <w:top w:val="nil"/>
              <w:left w:val="nil"/>
              <w:bottom w:val="nil"/>
              <w:right w:val="nil"/>
            </w:tcBorders>
            <w:shd w:val="clear" w:color="auto" w:fill="auto"/>
            <w:vAlign w:val="center"/>
            <w:hideMark/>
          </w:tcPr>
          <w:p w14:paraId="420EFE4B" w14:textId="6884AA60" w:rsidR="00664103" w:rsidRPr="00005453" w:rsidRDefault="00664103" w:rsidP="00664103">
            <w:pPr>
              <w:jc w:val="right"/>
              <w:rPr>
                <w:color w:val="000000"/>
                <w:sz w:val="18"/>
                <w:szCs w:val="18"/>
                <w:lang w:eastAsia="tr-TR"/>
              </w:rPr>
            </w:pPr>
            <w:r w:rsidRPr="00005453">
              <w:rPr>
                <w:color w:val="000000"/>
                <w:sz w:val="18"/>
                <w:szCs w:val="18"/>
              </w:rPr>
              <w:t>114,001</w:t>
            </w:r>
          </w:p>
        </w:tc>
        <w:tc>
          <w:tcPr>
            <w:tcW w:w="860" w:type="dxa"/>
            <w:tcBorders>
              <w:top w:val="nil"/>
              <w:left w:val="nil"/>
              <w:bottom w:val="nil"/>
              <w:right w:val="nil"/>
            </w:tcBorders>
            <w:shd w:val="clear" w:color="auto" w:fill="auto"/>
            <w:vAlign w:val="center"/>
            <w:hideMark/>
          </w:tcPr>
          <w:p w14:paraId="543E5405" w14:textId="5B6BECEE" w:rsidR="00664103" w:rsidRPr="00005453" w:rsidRDefault="00664103" w:rsidP="00664103">
            <w:pPr>
              <w:jc w:val="right"/>
              <w:rPr>
                <w:color w:val="000000"/>
                <w:sz w:val="18"/>
                <w:szCs w:val="18"/>
                <w:lang w:eastAsia="tr-TR"/>
              </w:rPr>
            </w:pPr>
            <w:r w:rsidRPr="00005453">
              <w:rPr>
                <w:color w:val="000000"/>
                <w:sz w:val="18"/>
                <w:szCs w:val="18"/>
              </w:rPr>
              <w:t>12,126</w:t>
            </w:r>
          </w:p>
        </w:tc>
        <w:tc>
          <w:tcPr>
            <w:tcW w:w="668" w:type="dxa"/>
            <w:tcBorders>
              <w:top w:val="nil"/>
              <w:left w:val="nil"/>
              <w:bottom w:val="nil"/>
              <w:right w:val="nil"/>
            </w:tcBorders>
            <w:shd w:val="clear" w:color="auto" w:fill="auto"/>
            <w:vAlign w:val="center"/>
            <w:hideMark/>
          </w:tcPr>
          <w:p w14:paraId="762A164F" w14:textId="38F7F3C2" w:rsidR="00664103" w:rsidRPr="00005453" w:rsidRDefault="00664103" w:rsidP="00664103">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47A6D460" w14:textId="4531C179" w:rsidR="00664103" w:rsidRPr="00005453" w:rsidRDefault="00664103" w:rsidP="00664103">
            <w:pPr>
              <w:jc w:val="right"/>
              <w:rPr>
                <w:color w:val="000000"/>
                <w:sz w:val="18"/>
                <w:szCs w:val="18"/>
                <w:lang w:eastAsia="tr-TR"/>
              </w:rPr>
            </w:pPr>
            <w:r w:rsidRPr="00005453">
              <w:rPr>
                <w:color w:val="000000"/>
                <w:sz w:val="18"/>
                <w:szCs w:val="18"/>
              </w:rPr>
              <w:t>17,413</w:t>
            </w:r>
          </w:p>
        </w:tc>
        <w:tc>
          <w:tcPr>
            <w:tcW w:w="992" w:type="dxa"/>
            <w:tcBorders>
              <w:top w:val="nil"/>
              <w:left w:val="nil"/>
              <w:bottom w:val="nil"/>
              <w:right w:val="nil"/>
            </w:tcBorders>
            <w:shd w:val="clear" w:color="auto" w:fill="auto"/>
            <w:vAlign w:val="center"/>
            <w:hideMark/>
          </w:tcPr>
          <w:p w14:paraId="662E547E" w14:textId="1D6CF996" w:rsidR="00664103" w:rsidRPr="00005453" w:rsidRDefault="00664103" w:rsidP="00664103">
            <w:pPr>
              <w:jc w:val="right"/>
              <w:rPr>
                <w:color w:val="000000"/>
                <w:sz w:val="18"/>
                <w:szCs w:val="18"/>
                <w:lang w:eastAsia="tr-TR"/>
              </w:rPr>
            </w:pPr>
            <w:r w:rsidRPr="00005453">
              <w:rPr>
                <w:color w:val="000000"/>
                <w:sz w:val="18"/>
                <w:szCs w:val="18"/>
              </w:rPr>
              <w:t>16,304</w:t>
            </w:r>
          </w:p>
        </w:tc>
        <w:tc>
          <w:tcPr>
            <w:tcW w:w="887" w:type="dxa"/>
            <w:tcBorders>
              <w:top w:val="nil"/>
              <w:left w:val="nil"/>
              <w:bottom w:val="nil"/>
              <w:right w:val="nil"/>
            </w:tcBorders>
            <w:shd w:val="clear" w:color="auto" w:fill="auto"/>
            <w:vAlign w:val="center"/>
            <w:hideMark/>
          </w:tcPr>
          <w:p w14:paraId="1A6C5C03" w14:textId="05FA6B09" w:rsidR="00664103" w:rsidRPr="00005453" w:rsidRDefault="00664103" w:rsidP="00664103">
            <w:pPr>
              <w:jc w:val="right"/>
              <w:rPr>
                <w:color w:val="000000"/>
                <w:sz w:val="18"/>
                <w:szCs w:val="18"/>
                <w:lang w:eastAsia="tr-TR"/>
              </w:rPr>
            </w:pPr>
            <w:r w:rsidRPr="00005453">
              <w:rPr>
                <w:color w:val="000000"/>
                <w:sz w:val="18"/>
                <w:szCs w:val="18"/>
              </w:rPr>
              <w:t>413</w:t>
            </w:r>
          </w:p>
        </w:tc>
        <w:tc>
          <w:tcPr>
            <w:tcW w:w="956" w:type="dxa"/>
            <w:tcBorders>
              <w:top w:val="nil"/>
              <w:left w:val="nil"/>
              <w:bottom w:val="nil"/>
              <w:right w:val="nil"/>
            </w:tcBorders>
            <w:shd w:val="clear" w:color="auto" w:fill="auto"/>
            <w:vAlign w:val="center"/>
            <w:hideMark/>
          </w:tcPr>
          <w:p w14:paraId="4A12AAB1" w14:textId="6D160B24" w:rsidR="00664103" w:rsidRPr="00005453" w:rsidRDefault="00664103" w:rsidP="00664103">
            <w:pPr>
              <w:jc w:val="right"/>
              <w:rPr>
                <w:color w:val="000000"/>
                <w:sz w:val="18"/>
                <w:szCs w:val="18"/>
                <w:lang w:eastAsia="tr-TR"/>
              </w:rPr>
            </w:pPr>
            <w:r w:rsidRPr="00005453">
              <w:rPr>
                <w:color w:val="000000"/>
                <w:sz w:val="18"/>
                <w:szCs w:val="18"/>
              </w:rPr>
              <w:t>281,621</w:t>
            </w:r>
          </w:p>
        </w:tc>
      </w:tr>
      <w:tr w:rsidR="00664103" w:rsidRPr="00005453" w14:paraId="02A305F9"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185EDE85" w14:textId="77777777" w:rsidR="00664103" w:rsidRPr="00005453" w:rsidRDefault="00664103" w:rsidP="00664103">
            <w:pPr>
              <w:ind w:firstLineChars="100" w:firstLine="180"/>
              <w:rPr>
                <w:color w:val="000000"/>
                <w:sz w:val="18"/>
                <w:szCs w:val="18"/>
                <w:lang w:eastAsia="tr-TR"/>
              </w:rPr>
            </w:pPr>
            <w:r w:rsidRPr="00005453">
              <w:rPr>
                <w:color w:val="000000"/>
                <w:sz w:val="18"/>
                <w:szCs w:val="18"/>
                <w:lang w:eastAsia="tr-TR"/>
              </w:rPr>
              <w:t>Resmi kuruluş katılma hs.</w:t>
            </w:r>
          </w:p>
        </w:tc>
        <w:tc>
          <w:tcPr>
            <w:tcW w:w="1017" w:type="dxa"/>
            <w:tcBorders>
              <w:top w:val="nil"/>
              <w:left w:val="nil"/>
              <w:bottom w:val="nil"/>
              <w:right w:val="nil"/>
            </w:tcBorders>
            <w:shd w:val="clear" w:color="auto" w:fill="auto"/>
            <w:vAlign w:val="center"/>
            <w:hideMark/>
          </w:tcPr>
          <w:p w14:paraId="0A8B41BA" w14:textId="4CA7F61C" w:rsidR="00664103" w:rsidRPr="00005453" w:rsidRDefault="00664103" w:rsidP="00664103">
            <w:pPr>
              <w:jc w:val="right"/>
              <w:rPr>
                <w:color w:val="000000"/>
                <w:sz w:val="18"/>
                <w:szCs w:val="18"/>
                <w:lang w:eastAsia="tr-TR"/>
              </w:rPr>
            </w:pPr>
            <w:r w:rsidRPr="00005453">
              <w:rPr>
                <w:color w:val="000000"/>
                <w:sz w:val="18"/>
                <w:szCs w:val="18"/>
              </w:rPr>
              <w:t>-</w:t>
            </w:r>
          </w:p>
        </w:tc>
        <w:tc>
          <w:tcPr>
            <w:tcW w:w="977" w:type="dxa"/>
            <w:tcBorders>
              <w:top w:val="nil"/>
              <w:left w:val="nil"/>
              <w:bottom w:val="nil"/>
              <w:right w:val="nil"/>
            </w:tcBorders>
            <w:shd w:val="clear" w:color="auto" w:fill="auto"/>
            <w:vAlign w:val="center"/>
            <w:hideMark/>
          </w:tcPr>
          <w:p w14:paraId="1B6532E5" w14:textId="3464E82B" w:rsidR="00664103" w:rsidRPr="00005453" w:rsidRDefault="00664103" w:rsidP="00664103">
            <w:pPr>
              <w:jc w:val="right"/>
              <w:rPr>
                <w:color w:val="000000"/>
                <w:sz w:val="18"/>
                <w:szCs w:val="18"/>
                <w:lang w:eastAsia="tr-TR"/>
              </w:rPr>
            </w:pPr>
            <w:r w:rsidRPr="00005453">
              <w:rPr>
                <w:color w:val="000000"/>
                <w:sz w:val="18"/>
                <w:szCs w:val="18"/>
              </w:rPr>
              <w:t>898</w:t>
            </w:r>
          </w:p>
        </w:tc>
        <w:tc>
          <w:tcPr>
            <w:tcW w:w="860" w:type="dxa"/>
            <w:tcBorders>
              <w:top w:val="nil"/>
              <w:left w:val="nil"/>
              <w:bottom w:val="nil"/>
              <w:right w:val="nil"/>
            </w:tcBorders>
            <w:shd w:val="clear" w:color="auto" w:fill="auto"/>
            <w:vAlign w:val="center"/>
            <w:hideMark/>
          </w:tcPr>
          <w:p w14:paraId="145E491F" w14:textId="07B0F3F5" w:rsidR="00664103" w:rsidRPr="00005453" w:rsidRDefault="00664103" w:rsidP="00664103">
            <w:pPr>
              <w:jc w:val="right"/>
              <w:rPr>
                <w:color w:val="000000"/>
                <w:sz w:val="18"/>
                <w:szCs w:val="18"/>
                <w:lang w:eastAsia="tr-TR"/>
              </w:rPr>
            </w:pPr>
            <w:r w:rsidRPr="00005453">
              <w:rPr>
                <w:color w:val="000000"/>
                <w:sz w:val="18"/>
                <w:szCs w:val="18"/>
              </w:rPr>
              <w:t>-</w:t>
            </w:r>
          </w:p>
        </w:tc>
        <w:tc>
          <w:tcPr>
            <w:tcW w:w="668" w:type="dxa"/>
            <w:tcBorders>
              <w:top w:val="nil"/>
              <w:left w:val="nil"/>
              <w:bottom w:val="nil"/>
              <w:right w:val="nil"/>
            </w:tcBorders>
            <w:shd w:val="clear" w:color="auto" w:fill="auto"/>
            <w:vAlign w:val="center"/>
            <w:hideMark/>
          </w:tcPr>
          <w:p w14:paraId="0027DA25" w14:textId="4DDF3970" w:rsidR="00664103" w:rsidRPr="00005453" w:rsidRDefault="00664103" w:rsidP="00664103">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13E8738B" w14:textId="55D90A3A" w:rsidR="00664103" w:rsidRPr="00005453" w:rsidRDefault="00664103" w:rsidP="00664103">
            <w:pPr>
              <w:jc w:val="right"/>
              <w:rPr>
                <w:color w:val="000000"/>
                <w:sz w:val="18"/>
                <w:szCs w:val="18"/>
                <w:lang w:eastAsia="tr-TR"/>
              </w:rPr>
            </w:pPr>
            <w:r w:rsidRPr="00005453">
              <w:rPr>
                <w:color w:val="000000"/>
                <w:sz w:val="18"/>
                <w:szCs w:val="18"/>
              </w:rPr>
              <w:t>-</w:t>
            </w:r>
          </w:p>
        </w:tc>
        <w:tc>
          <w:tcPr>
            <w:tcW w:w="992" w:type="dxa"/>
            <w:tcBorders>
              <w:top w:val="nil"/>
              <w:left w:val="nil"/>
              <w:bottom w:val="nil"/>
              <w:right w:val="nil"/>
            </w:tcBorders>
            <w:shd w:val="clear" w:color="auto" w:fill="auto"/>
            <w:vAlign w:val="center"/>
            <w:hideMark/>
          </w:tcPr>
          <w:p w14:paraId="57A55484" w14:textId="4123D778" w:rsidR="00664103" w:rsidRPr="00005453" w:rsidRDefault="00664103" w:rsidP="00664103">
            <w:pPr>
              <w:jc w:val="right"/>
              <w:rPr>
                <w:color w:val="000000"/>
                <w:sz w:val="18"/>
                <w:szCs w:val="18"/>
                <w:lang w:eastAsia="tr-TR"/>
              </w:rPr>
            </w:pPr>
            <w:r w:rsidRPr="00005453">
              <w:rPr>
                <w:color w:val="000000"/>
                <w:sz w:val="18"/>
                <w:szCs w:val="18"/>
              </w:rPr>
              <w:t>-</w:t>
            </w:r>
          </w:p>
        </w:tc>
        <w:tc>
          <w:tcPr>
            <w:tcW w:w="887" w:type="dxa"/>
            <w:tcBorders>
              <w:top w:val="nil"/>
              <w:left w:val="nil"/>
              <w:bottom w:val="nil"/>
              <w:right w:val="nil"/>
            </w:tcBorders>
            <w:shd w:val="clear" w:color="auto" w:fill="auto"/>
            <w:vAlign w:val="center"/>
            <w:hideMark/>
          </w:tcPr>
          <w:p w14:paraId="7CA83CEC" w14:textId="0B18CEA9" w:rsidR="00664103" w:rsidRPr="00005453" w:rsidRDefault="00664103" w:rsidP="00664103">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5D362E81" w14:textId="55E80361" w:rsidR="00664103" w:rsidRPr="00005453" w:rsidRDefault="00664103" w:rsidP="00664103">
            <w:pPr>
              <w:jc w:val="right"/>
              <w:rPr>
                <w:color w:val="000000"/>
                <w:sz w:val="18"/>
                <w:szCs w:val="18"/>
                <w:lang w:eastAsia="tr-TR"/>
              </w:rPr>
            </w:pPr>
            <w:r w:rsidRPr="00005453">
              <w:rPr>
                <w:color w:val="000000"/>
                <w:sz w:val="18"/>
                <w:szCs w:val="18"/>
              </w:rPr>
              <w:t>898</w:t>
            </w:r>
          </w:p>
        </w:tc>
      </w:tr>
      <w:tr w:rsidR="00664103" w:rsidRPr="00005453" w14:paraId="768B1CAC"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4328E5A4" w14:textId="77777777" w:rsidR="00664103" w:rsidRPr="00005453" w:rsidRDefault="00664103" w:rsidP="00664103">
            <w:pPr>
              <w:ind w:firstLineChars="100" w:firstLine="180"/>
              <w:rPr>
                <w:color w:val="000000"/>
                <w:sz w:val="18"/>
                <w:szCs w:val="18"/>
                <w:lang w:eastAsia="tr-TR"/>
              </w:rPr>
            </w:pPr>
            <w:r w:rsidRPr="00005453">
              <w:rPr>
                <w:color w:val="000000"/>
                <w:sz w:val="18"/>
                <w:szCs w:val="18"/>
                <w:lang w:eastAsia="tr-TR"/>
              </w:rPr>
              <w:t>Ticari kuruluş katılma hs.</w:t>
            </w:r>
          </w:p>
        </w:tc>
        <w:tc>
          <w:tcPr>
            <w:tcW w:w="1017" w:type="dxa"/>
            <w:tcBorders>
              <w:top w:val="nil"/>
              <w:left w:val="nil"/>
              <w:bottom w:val="nil"/>
              <w:right w:val="nil"/>
            </w:tcBorders>
            <w:shd w:val="clear" w:color="auto" w:fill="auto"/>
            <w:vAlign w:val="center"/>
            <w:hideMark/>
          </w:tcPr>
          <w:p w14:paraId="12FEA9A9" w14:textId="02719C46" w:rsidR="00664103" w:rsidRPr="00005453" w:rsidRDefault="00664103" w:rsidP="00664103">
            <w:pPr>
              <w:jc w:val="right"/>
              <w:rPr>
                <w:color w:val="000000"/>
                <w:sz w:val="18"/>
                <w:szCs w:val="18"/>
                <w:lang w:eastAsia="tr-TR"/>
              </w:rPr>
            </w:pPr>
            <w:r w:rsidRPr="00005453">
              <w:rPr>
                <w:color w:val="000000"/>
                <w:sz w:val="18"/>
                <w:szCs w:val="18"/>
              </w:rPr>
              <w:t>4,372</w:t>
            </w:r>
          </w:p>
        </w:tc>
        <w:tc>
          <w:tcPr>
            <w:tcW w:w="977" w:type="dxa"/>
            <w:tcBorders>
              <w:top w:val="nil"/>
              <w:left w:val="nil"/>
              <w:bottom w:val="nil"/>
              <w:right w:val="nil"/>
            </w:tcBorders>
            <w:shd w:val="clear" w:color="auto" w:fill="auto"/>
            <w:vAlign w:val="center"/>
            <w:hideMark/>
          </w:tcPr>
          <w:p w14:paraId="4EBF8425" w14:textId="125AEAA0" w:rsidR="00664103" w:rsidRPr="00005453" w:rsidRDefault="00664103" w:rsidP="00664103">
            <w:pPr>
              <w:jc w:val="right"/>
              <w:rPr>
                <w:color w:val="000000"/>
                <w:sz w:val="18"/>
                <w:szCs w:val="18"/>
                <w:lang w:eastAsia="tr-TR"/>
              </w:rPr>
            </w:pPr>
            <w:r w:rsidRPr="00005453">
              <w:rPr>
                <w:color w:val="000000"/>
                <w:sz w:val="18"/>
                <w:szCs w:val="18"/>
              </w:rPr>
              <w:t>7,139</w:t>
            </w:r>
          </w:p>
        </w:tc>
        <w:tc>
          <w:tcPr>
            <w:tcW w:w="860" w:type="dxa"/>
            <w:tcBorders>
              <w:top w:val="nil"/>
              <w:left w:val="nil"/>
              <w:bottom w:val="nil"/>
              <w:right w:val="nil"/>
            </w:tcBorders>
            <w:shd w:val="clear" w:color="auto" w:fill="auto"/>
            <w:vAlign w:val="center"/>
            <w:hideMark/>
          </w:tcPr>
          <w:p w14:paraId="243D71C9" w14:textId="060C46D9" w:rsidR="00664103" w:rsidRPr="00005453" w:rsidRDefault="00664103" w:rsidP="00664103">
            <w:pPr>
              <w:jc w:val="right"/>
              <w:rPr>
                <w:color w:val="000000"/>
                <w:sz w:val="18"/>
                <w:szCs w:val="18"/>
                <w:lang w:eastAsia="tr-TR"/>
              </w:rPr>
            </w:pPr>
            <w:r w:rsidRPr="00005453">
              <w:rPr>
                <w:color w:val="000000"/>
                <w:sz w:val="18"/>
                <w:szCs w:val="18"/>
              </w:rPr>
              <w:t>262</w:t>
            </w:r>
          </w:p>
        </w:tc>
        <w:tc>
          <w:tcPr>
            <w:tcW w:w="668" w:type="dxa"/>
            <w:tcBorders>
              <w:top w:val="nil"/>
              <w:left w:val="nil"/>
              <w:bottom w:val="nil"/>
              <w:right w:val="nil"/>
            </w:tcBorders>
            <w:shd w:val="clear" w:color="auto" w:fill="auto"/>
            <w:vAlign w:val="center"/>
            <w:hideMark/>
          </w:tcPr>
          <w:p w14:paraId="6442E689" w14:textId="3907834E" w:rsidR="00664103" w:rsidRPr="00005453" w:rsidRDefault="00664103" w:rsidP="00664103">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759310A6" w14:textId="2589DEDE" w:rsidR="00664103" w:rsidRPr="00005453" w:rsidRDefault="00664103" w:rsidP="00664103">
            <w:pPr>
              <w:jc w:val="right"/>
              <w:rPr>
                <w:color w:val="000000"/>
                <w:sz w:val="18"/>
                <w:szCs w:val="18"/>
                <w:lang w:eastAsia="tr-TR"/>
              </w:rPr>
            </w:pPr>
            <w:r w:rsidRPr="00005453">
              <w:rPr>
                <w:color w:val="000000"/>
                <w:sz w:val="18"/>
                <w:szCs w:val="18"/>
              </w:rPr>
              <w:t>223</w:t>
            </w:r>
          </w:p>
        </w:tc>
        <w:tc>
          <w:tcPr>
            <w:tcW w:w="992" w:type="dxa"/>
            <w:tcBorders>
              <w:top w:val="nil"/>
              <w:left w:val="nil"/>
              <w:bottom w:val="nil"/>
              <w:right w:val="nil"/>
            </w:tcBorders>
            <w:shd w:val="clear" w:color="auto" w:fill="auto"/>
            <w:vAlign w:val="center"/>
            <w:hideMark/>
          </w:tcPr>
          <w:p w14:paraId="25F2AC50" w14:textId="3665CD80" w:rsidR="00664103" w:rsidRPr="00005453" w:rsidRDefault="00664103" w:rsidP="00664103">
            <w:pPr>
              <w:jc w:val="right"/>
              <w:rPr>
                <w:color w:val="000000"/>
                <w:sz w:val="18"/>
                <w:szCs w:val="18"/>
                <w:lang w:eastAsia="tr-TR"/>
              </w:rPr>
            </w:pPr>
            <w:r w:rsidRPr="00005453">
              <w:rPr>
                <w:color w:val="000000"/>
                <w:sz w:val="18"/>
                <w:szCs w:val="18"/>
              </w:rPr>
              <w:t>86</w:t>
            </w:r>
          </w:p>
        </w:tc>
        <w:tc>
          <w:tcPr>
            <w:tcW w:w="887" w:type="dxa"/>
            <w:tcBorders>
              <w:top w:val="nil"/>
              <w:left w:val="nil"/>
              <w:bottom w:val="nil"/>
              <w:right w:val="nil"/>
            </w:tcBorders>
            <w:shd w:val="clear" w:color="auto" w:fill="auto"/>
            <w:vAlign w:val="center"/>
            <w:hideMark/>
          </w:tcPr>
          <w:p w14:paraId="69C94437" w14:textId="042EA694" w:rsidR="00664103" w:rsidRPr="00005453" w:rsidRDefault="00664103" w:rsidP="00664103">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694AD2EF" w14:textId="39E591B6" w:rsidR="00664103" w:rsidRPr="00005453" w:rsidRDefault="00664103" w:rsidP="00664103">
            <w:pPr>
              <w:jc w:val="right"/>
              <w:rPr>
                <w:color w:val="000000"/>
                <w:sz w:val="18"/>
                <w:szCs w:val="18"/>
                <w:lang w:eastAsia="tr-TR"/>
              </w:rPr>
            </w:pPr>
            <w:r w:rsidRPr="00005453">
              <w:rPr>
                <w:color w:val="000000"/>
                <w:sz w:val="18"/>
                <w:szCs w:val="18"/>
              </w:rPr>
              <w:t>12,082</w:t>
            </w:r>
          </w:p>
        </w:tc>
      </w:tr>
      <w:tr w:rsidR="00664103" w:rsidRPr="00005453" w14:paraId="4E777FA0"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51D7EA5E" w14:textId="77777777" w:rsidR="00664103" w:rsidRPr="00005453" w:rsidRDefault="00664103" w:rsidP="00664103">
            <w:pPr>
              <w:ind w:firstLineChars="100" w:firstLine="180"/>
              <w:rPr>
                <w:color w:val="000000"/>
                <w:sz w:val="18"/>
                <w:szCs w:val="18"/>
                <w:lang w:eastAsia="tr-TR"/>
              </w:rPr>
            </w:pPr>
            <w:r w:rsidRPr="00005453">
              <w:rPr>
                <w:color w:val="000000"/>
                <w:sz w:val="18"/>
                <w:szCs w:val="18"/>
                <w:lang w:eastAsia="tr-TR"/>
              </w:rPr>
              <w:t xml:space="preserve">Diğer kuruluş katılma hs. </w:t>
            </w:r>
          </w:p>
        </w:tc>
        <w:tc>
          <w:tcPr>
            <w:tcW w:w="1017" w:type="dxa"/>
            <w:tcBorders>
              <w:top w:val="nil"/>
              <w:left w:val="nil"/>
              <w:bottom w:val="nil"/>
              <w:right w:val="nil"/>
            </w:tcBorders>
            <w:shd w:val="clear" w:color="auto" w:fill="auto"/>
            <w:vAlign w:val="center"/>
            <w:hideMark/>
          </w:tcPr>
          <w:p w14:paraId="634709F6" w14:textId="0AC5060C" w:rsidR="00664103" w:rsidRPr="00005453" w:rsidRDefault="00664103" w:rsidP="00664103">
            <w:pPr>
              <w:jc w:val="right"/>
              <w:rPr>
                <w:color w:val="000000"/>
                <w:sz w:val="18"/>
                <w:szCs w:val="18"/>
                <w:lang w:eastAsia="tr-TR"/>
              </w:rPr>
            </w:pPr>
            <w:r w:rsidRPr="00005453">
              <w:rPr>
                <w:color w:val="000000"/>
                <w:sz w:val="18"/>
                <w:szCs w:val="18"/>
              </w:rPr>
              <w:t>1,663</w:t>
            </w:r>
          </w:p>
        </w:tc>
        <w:tc>
          <w:tcPr>
            <w:tcW w:w="977" w:type="dxa"/>
            <w:tcBorders>
              <w:top w:val="nil"/>
              <w:left w:val="nil"/>
              <w:bottom w:val="nil"/>
              <w:right w:val="nil"/>
            </w:tcBorders>
            <w:shd w:val="clear" w:color="auto" w:fill="auto"/>
            <w:vAlign w:val="center"/>
            <w:hideMark/>
          </w:tcPr>
          <w:p w14:paraId="37561F33" w14:textId="78B5D012" w:rsidR="00664103" w:rsidRPr="00005453" w:rsidRDefault="00664103" w:rsidP="00664103">
            <w:pPr>
              <w:jc w:val="right"/>
              <w:rPr>
                <w:color w:val="000000"/>
                <w:sz w:val="18"/>
                <w:szCs w:val="18"/>
                <w:lang w:eastAsia="tr-TR"/>
              </w:rPr>
            </w:pPr>
            <w:r w:rsidRPr="00005453">
              <w:rPr>
                <w:color w:val="000000"/>
                <w:sz w:val="18"/>
                <w:szCs w:val="18"/>
              </w:rPr>
              <w:t>3,205</w:t>
            </w:r>
          </w:p>
        </w:tc>
        <w:tc>
          <w:tcPr>
            <w:tcW w:w="860" w:type="dxa"/>
            <w:tcBorders>
              <w:top w:val="nil"/>
              <w:left w:val="nil"/>
              <w:bottom w:val="nil"/>
              <w:right w:val="nil"/>
            </w:tcBorders>
            <w:shd w:val="clear" w:color="auto" w:fill="auto"/>
            <w:vAlign w:val="center"/>
            <w:hideMark/>
          </w:tcPr>
          <w:p w14:paraId="7DF7B287" w14:textId="71AB3208" w:rsidR="00664103" w:rsidRPr="00005453" w:rsidRDefault="00664103" w:rsidP="00664103">
            <w:pPr>
              <w:jc w:val="right"/>
              <w:rPr>
                <w:color w:val="000000"/>
                <w:sz w:val="18"/>
                <w:szCs w:val="18"/>
                <w:lang w:eastAsia="tr-TR"/>
              </w:rPr>
            </w:pPr>
            <w:r w:rsidRPr="00005453">
              <w:rPr>
                <w:color w:val="000000"/>
                <w:sz w:val="18"/>
                <w:szCs w:val="18"/>
              </w:rPr>
              <w:t>26</w:t>
            </w:r>
          </w:p>
        </w:tc>
        <w:tc>
          <w:tcPr>
            <w:tcW w:w="668" w:type="dxa"/>
            <w:tcBorders>
              <w:top w:val="nil"/>
              <w:left w:val="nil"/>
              <w:bottom w:val="nil"/>
              <w:right w:val="nil"/>
            </w:tcBorders>
            <w:shd w:val="clear" w:color="auto" w:fill="auto"/>
            <w:vAlign w:val="center"/>
            <w:hideMark/>
          </w:tcPr>
          <w:p w14:paraId="2288DE6E" w14:textId="7ACC9C2D" w:rsidR="00664103" w:rsidRPr="00005453" w:rsidRDefault="00664103" w:rsidP="00664103">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77C9DF53" w14:textId="3C715F1D" w:rsidR="00664103" w:rsidRPr="00005453" w:rsidRDefault="00664103" w:rsidP="00664103">
            <w:pPr>
              <w:jc w:val="right"/>
              <w:rPr>
                <w:color w:val="000000"/>
                <w:sz w:val="18"/>
                <w:szCs w:val="18"/>
                <w:lang w:eastAsia="tr-TR"/>
              </w:rPr>
            </w:pPr>
            <w:r w:rsidRPr="00005453">
              <w:rPr>
                <w:color w:val="000000"/>
                <w:sz w:val="18"/>
                <w:szCs w:val="18"/>
              </w:rPr>
              <w:t>-</w:t>
            </w:r>
          </w:p>
        </w:tc>
        <w:tc>
          <w:tcPr>
            <w:tcW w:w="992" w:type="dxa"/>
            <w:tcBorders>
              <w:top w:val="nil"/>
              <w:left w:val="nil"/>
              <w:bottom w:val="nil"/>
              <w:right w:val="nil"/>
            </w:tcBorders>
            <w:shd w:val="clear" w:color="auto" w:fill="auto"/>
            <w:vAlign w:val="center"/>
            <w:hideMark/>
          </w:tcPr>
          <w:p w14:paraId="16896A4B" w14:textId="03E7B857" w:rsidR="00664103" w:rsidRPr="00005453" w:rsidRDefault="00664103" w:rsidP="00664103">
            <w:pPr>
              <w:jc w:val="right"/>
              <w:rPr>
                <w:color w:val="000000"/>
                <w:sz w:val="18"/>
                <w:szCs w:val="18"/>
                <w:lang w:eastAsia="tr-TR"/>
              </w:rPr>
            </w:pPr>
            <w:r w:rsidRPr="00005453">
              <w:rPr>
                <w:color w:val="000000"/>
                <w:sz w:val="18"/>
                <w:szCs w:val="18"/>
              </w:rPr>
              <w:t>-</w:t>
            </w:r>
          </w:p>
        </w:tc>
        <w:tc>
          <w:tcPr>
            <w:tcW w:w="887" w:type="dxa"/>
            <w:tcBorders>
              <w:top w:val="nil"/>
              <w:left w:val="nil"/>
              <w:bottom w:val="nil"/>
              <w:right w:val="nil"/>
            </w:tcBorders>
            <w:shd w:val="clear" w:color="auto" w:fill="auto"/>
            <w:vAlign w:val="center"/>
            <w:hideMark/>
          </w:tcPr>
          <w:p w14:paraId="30BF6B88" w14:textId="30957FEF" w:rsidR="00664103" w:rsidRPr="00005453" w:rsidRDefault="00664103" w:rsidP="00664103">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3A8D014B" w14:textId="7656F0EA" w:rsidR="00664103" w:rsidRPr="00005453" w:rsidRDefault="00664103" w:rsidP="00664103">
            <w:pPr>
              <w:jc w:val="right"/>
              <w:rPr>
                <w:color w:val="000000"/>
                <w:sz w:val="18"/>
                <w:szCs w:val="18"/>
                <w:lang w:eastAsia="tr-TR"/>
              </w:rPr>
            </w:pPr>
            <w:r w:rsidRPr="00005453">
              <w:rPr>
                <w:color w:val="000000"/>
                <w:sz w:val="18"/>
                <w:szCs w:val="18"/>
              </w:rPr>
              <w:t>4,894</w:t>
            </w:r>
          </w:p>
        </w:tc>
      </w:tr>
      <w:tr w:rsidR="00664103" w:rsidRPr="00005453" w14:paraId="7D689114" w14:textId="77777777" w:rsidTr="00517175">
        <w:trPr>
          <w:divId w:val="1608269462"/>
          <w:trHeight w:val="213"/>
        </w:trPr>
        <w:tc>
          <w:tcPr>
            <w:tcW w:w="2410" w:type="dxa"/>
            <w:tcBorders>
              <w:top w:val="nil"/>
              <w:left w:val="nil"/>
              <w:bottom w:val="nil"/>
              <w:right w:val="nil"/>
            </w:tcBorders>
            <w:shd w:val="clear" w:color="auto" w:fill="auto"/>
            <w:vAlign w:val="center"/>
            <w:hideMark/>
          </w:tcPr>
          <w:p w14:paraId="5967EDBF" w14:textId="77777777" w:rsidR="00664103" w:rsidRPr="00005453" w:rsidRDefault="00664103" w:rsidP="00664103">
            <w:pPr>
              <w:ind w:firstLineChars="100" w:firstLine="180"/>
              <w:rPr>
                <w:color w:val="000000"/>
                <w:sz w:val="18"/>
                <w:szCs w:val="18"/>
                <w:lang w:eastAsia="tr-TR"/>
              </w:rPr>
            </w:pPr>
            <w:r w:rsidRPr="00005453">
              <w:rPr>
                <w:color w:val="000000"/>
                <w:sz w:val="18"/>
                <w:szCs w:val="18"/>
                <w:lang w:eastAsia="tr-TR"/>
              </w:rPr>
              <w:t>Kıymetli maden katılma hs.</w:t>
            </w:r>
          </w:p>
        </w:tc>
        <w:tc>
          <w:tcPr>
            <w:tcW w:w="1017" w:type="dxa"/>
            <w:tcBorders>
              <w:top w:val="nil"/>
              <w:left w:val="nil"/>
              <w:bottom w:val="nil"/>
              <w:right w:val="nil"/>
            </w:tcBorders>
            <w:shd w:val="clear" w:color="auto" w:fill="auto"/>
            <w:vAlign w:val="center"/>
            <w:hideMark/>
          </w:tcPr>
          <w:p w14:paraId="0318A350" w14:textId="473309FC" w:rsidR="00664103" w:rsidRPr="00005453" w:rsidRDefault="00664103" w:rsidP="00664103">
            <w:pPr>
              <w:jc w:val="right"/>
              <w:rPr>
                <w:color w:val="000000"/>
                <w:sz w:val="18"/>
                <w:szCs w:val="18"/>
                <w:lang w:eastAsia="tr-TR"/>
              </w:rPr>
            </w:pPr>
            <w:r w:rsidRPr="00005453">
              <w:rPr>
                <w:color w:val="000000"/>
                <w:sz w:val="18"/>
                <w:szCs w:val="18"/>
              </w:rPr>
              <w:t>16,371</w:t>
            </w:r>
          </w:p>
        </w:tc>
        <w:tc>
          <w:tcPr>
            <w:tcW w:w="977" w:type="dxa"/>
            <w:tcBorders>
              <w:top w:val="nil"/>
              <w:left w:val="nil"/>
              <w:bottom w:val="nil"/>
              <w:right w:val="nil"/>
            </w:tcBorders>
            <w:shd w:val="clear" w:color="auto" w:fill="auto"/>
            <w:vAlign w:val="center"/>
            <w:hideMark/>
          </w:tcPr>
          <w:p w14:paraId="633DEF41" w14:textId="4C896441" w:rsidR="00664103" w:rsidRPr="00005453" w:rsidRDefault="00664103" w:rsidP="00664103">
            <w:pPr>
              <w:jc w:val="right"/>
              <w:rPr>
                <w:color w:val="000000"/>
                <w:sz w:val="18"/>
                <w:szCs w:val="18"/>
                <w:lang w:eastAsia="tr-TR"/>
              </w:rPr>
            </w:pPr>
            <w:r w:rsidRPr="00005453">
              <w:rPr>
                <w:color w:val="000000"/>
                <w:sz w:val="18"/>
                <w:szCs w:val="18"/>
              </w:rPr>
              <w:t>8,380</w:t>
            </w:r>
          </w:p>
        </w:tc>
        <w:tc>
          <w:tcPr>
            <w:tcW w:w="860" w:type="dxa"/>
            <w:tcBorders>
              <w:top w:val="nil"/>
              <w:left w:val="nil"/>
              <w:bottom w:val="nil"/>
              <w:right w:val="nil"/>
            </w:tcBorders>
            <w:shd w:val="clear" w:color="auto" w:fill="auto"/>
            <w:vAlign w:val="center"/>
            <w:hideMark/>
          </w:tcPr>
          <w:p w14:paraId="5A107D7C" w14:textId="6FF1ECFD" w:rsidR="00664103" w:rsidRPr="00005453" w:rsidRDefault="00664103" w:rsidP="00664103">
            <w:pPr>
              <w:jc w:val="right"/>
              <w:rPr>
                <w:color w:val="000000"/>
                <w:sz w:val="18"/>
                <w:szCs w:val="18"/>
                <w:lang w:eastAsia="tr-TR"/>
              </w:rPr>
            </w:pPr>
            <w:r w:rsidRPr="00005453">
              <w:rPr>
                <w:color w:val="000000"/>
                <w:sz w:val="18"/>
                <w:szCs w:val="18"/>
              </w:rPr>
              <w:t>1,460</w:t>
            </w:r>
          </w:p>
        </w:tc>
        <w:tc>
          <w:tcPr>
            <w:tcW w:w="668" w:type="dxa"/>
            <w:tcBorders>
              <w:top w:val="nil"/>
              <w:left w:val="nil"/>
              <w:bottom w:val="nil"/>
              <w:right w:val="nil"/>
            </w:tcBorders>
            <w:shd w:val="clear" w:color="auto" w:fill="auto"/>
            <w:vAlign w:val="center"/>
            <w:hideMark/>
          </w:tcPr>
          <w:p w14:paraId="45AAEBF7" w14:textId="205D8E24" w:rsidR="00664103" w:rsidRPr="00005453" w:rsidRDefault="00664103" w:rsidP="00664103">
            <w:pPr>
              <w:jc w:val="right"/>
              <w:rPr>
                <w:color w:val="000000"/>
                <w:sz w:val="18"/>
                <w:szCs w:val="18"/>
                <w:lang w:eastAsia="tr-TR"/>
              </w:rPr>
            </w:pPr>
            <w:r w:rsidRPr="00005453">
              <w:rPr>
                <w:color w:val="000000"/>
                <w:sz w:val="18"/>
                <w:szCs w:val="18"/>
              </w:rPr>
              <w:t>-</w:t>
            </w:r>
          </w:p>
        </w:tc>
        <w:tc>
          <w:tcPr>
            <w:tcW w:w="1014" w:type="dxa"/>
            <w:tcBorders>
              <w:top w:val="nil"/>
              <w:left w:val="nil"/>
              <w:bottom w:val="nil"/>
              <w:right w:val="nil"/>
            </w:tcBorders>
            <w:shd w:val="clear" w:color="auto" w:fill="auto"/>
            <w:vAlign w:val="center"/>
            <w:hideMark/>
          </w:tcPr>
          <w:p w14:paraId="492B4E7A" w14:textId="1288B5F8" w:rsidR="00664103" w:rsidRPr="00005453" w:rsidRDefault="00664103" w:rsidP="00664103">
            <w:pPr>
              <w:jc w:val="right"/>
              <w:rPr>
                <w:color w:val="000000"/>
                <w:sz w:val="18"/>
                <w:szCs w:val="18"/>
                <w:lang w:eastAsia="tr-TR"/>
              </w:rPr>
            </w:pPr>
            <w:r w:rsidRPr="00005453">
              <w:rPr>
                <w:color w:val="000000"/>
                <w:sz w:val="18"/>
                <w:szCs w:val="18"/>
              </w:rPr>
              <w:t>1,054</w:t>
            </w:r>
          </w:p>
        </w:tc>
        <w:tc>
          <w:tcPr>
            <w:tcW w:w="992" w:type="dxa"/>
            <w:tcBorders>
              <w:top w:val="nil"/>
              <w:left w:val="nil"/>
              <w:bottom w:val="nil"/>
              <w:right w:val="nil"/>
            </w:tcBorders>
            <w:shd w:val="clear" w:color="auto" w:fill="auto"/>
            <w:vAlign w:val="center"/>
            <w:hideMark/>
          </w:tcPr>
          <w:p w14:paraId="1D6E7FCE" w14:textId="6B525E32" w:rsidR="00664103" w:rsidRPr="00005453" w:rsidRDefault="00664103" w:rsidP="00664103">
            <w:pPr>
              <w:jc w:val="right"/>
              <w:rPr>
                <w:color w:val="000000"/>
                <w:sz w:val="18"/>
                <w:szCs w:val="18"/>
                <w:lang w:eastAsia="tr-TR"/>
              </w:rPr>
            </w:pPr>
            <w:r w:rsidRPr="00005453">
              <w:rPr>
                <w:color w:val="000000"/>
                <w:sz w:val="18"/>
                <w:szCs w:val="18"/>
              </w:rPr>
              <w:t>-</w:t>
            </w:r>
          </w:p>
        </w:tc>
        <w:tc>
          <w:tcPr>
            <w:tcW w:w="887" w:type="dxa"/>
            <w:tcBorders>
              <w:top w:val="nil"/>
              <w:left w:val="nil"/>
              <w:bottom w:val="nil"/>
              <w:right w:val="nil"/>
            </w:tcBorders>
            <w:shd w:val="clear" w:color="auto" w:fill="auto"/>
            <w:vAlign w:val="center"/>
            <w:hideMark/>
          </w:tcPr>
          <w:p w14:paraId="3329C160" w14:textId="31219E2B" w:rsidR="00664103" w:rsidRPr="00005453" w:rsidRDefault="00664103" w:rsidP="00664103">
            <w:pPr>
              <w:jc w:val="right"/>
              <w:rPr>
                <w:color w:val="000000"/>
                <w:sz w:val="18"/>
                <w:szCs w:val="18"/>
                <w:lang w:eastAsia="tr-TR"/>
              </w:rPr>
            </w:pPr>
            <w:r w:rsidRPr="00005453">
              <w:rPr>
                <w:color w:val="000000"/>
                <w:sz w:val="18"/>
                <w:szCs w:val="18"/>
              </w:rPr>
              <w:t>-</w:t>
            </w:r>
          </w:p>
        </w:tc>
        <w:tc>
          <w:tcPr>
            <w:tcW w:w="956" w:type="dxa"/>
            <w:tcBorders>
              <w:top w:val="nil"/>
              <w:left w:val="nil"/>
              <w:bottom w:val="nil"/>
              <w:right w:val="nil"/>
            </w:tcBorders>
            <w:shd w:val="clear" w:color="auto" w:fill="auto"/>
            <w:vAlign w:val="center"/>
            <w:hideMark/>
          </w:tcPr>
          <w:p w14:paraId="63EC5AE9" w14:textId="165361C6" w:rsidR="00664103" w:rsidRPr="00005453" w:rsidRDefault="00664103" w:rsidP="00664103">
            <w:pPr>
              <w:jc w:val="right"/>
              <w:rPr>
                <w:color w:val="000000"/>
                <w:sz w:val="18"/>
                <w:szCs w:val="18"/>
                <w:lang w:eastAsia="tr-TR"/>
              </w:rPr>
            </w:pPr>
            <w:r w:rsidRPr="00005453">
              <w:rPr>
                <w:color w:val="000000"/>
                <w:sz w:val="18"/>
                <w:szCs w:val="18"/>
              </w:rPr>
              <w:t>27,265</w:t>
            </w:r>
          </w:p>
        </w:tc>
      </w:tr>
      <w:tr w:rsidR="00D67371" w:rsidRPr="00005453" w14:paraId="2F8B2DA8" w14:textId="77777777" w:rsidTr="00517175">
        <w:trPr>
          <w:divId w:val="1608269462"/>
          <w:trHeight w:val="120"/>
        </w:trPr>
        <w:tc>
          <w:tcPr>
            <w:tcW w:w="2410" w:type="dxa"/>
            <w:tcBorders>
              <w:top w:val="nil"/>
              <w:left w:val="nil"/>
              <w:bottom w:val="single" w:sz="8" w:space="0" w:color="auto"/>
              <w:right w:val="nil"/>
            </w:tcBorders>
            <w:shd w:val="clear" w:color="auto" w:fill="auto"/>
            <w:vAlign w:val="bottom"/>
            <w:hideMark/>
          </w:tcPr>
          <w:p w14:paraId="2F92B6CF" w14:textId="77777777" w:rsidR="00D67371" w:rsidRPr="00005453" w:rsidRDefault="00D67371" w:rsidP="00D67371">
            <w:pPr>
              <w:rPr>
                <w:color w:val="000000"/>
                <w:sz w:val="6"/>
                <w:szCs w:val="6"/>
                <w:lang w:eastAsia="tr-TR"/>
              </w:rPr>
            </w:pPr>
            <w:r w:rsidRPr="00005453">
              <w:rPr>
                <w:color w:val="000000"/>
                <w:sz w:val="6"/>
                <w:szCs w:val="6"/>
                <w:lang w:eastAsia="tr-TR"/>
              </w:rPr>
              <w:t> </w:t>
            </w:r>
          </w:p>
        </w:tc>
        <w:tc>
          <w:tcPr>
            <w:tcW w:w="1017" w:type="dxa"/>
            <w:tcBorders>
              <w:top w:val="nil"/>
              <w:left w:val="nil"/>
              <w:bottom w:val="single" w:sz="8" w:space="0" w:color="auto"/>
              <w:right w:val="nil"/>
            </w:tcBorders>
            <w:shd w:val="clear" w:color="auto" w:fill="auto"/>
            <w:vAlign w:val="center"/>
            <w:hideMark/>
          </w:tcPr>
          <w:p w14:paraId="2A7BF77F"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977" w:type="dxa"/>
            <w:tcBorders>
              <w:top w:val="nil"/>
              <w:left w:val="nil"/>
              <w:bottom w:val="single" w:sz="8" w:space="0" w:color="auto"/>
              <w:right w:val="nil"/>
            </w:tcBorders>
            <w:shd w:val="clear" w:color="auto" w:fill="auto"/>
            <w:vAlign w:val="center"/>
            <w:hideMark/>
          </w:tcPr>
          <w:p w14:paraId="70D283DF"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860" w:type="dxa"/>
            <w:tcBorders>
              <w:top w:val="nil"/>
              <w:left w:val="nil"/>
              <w:bottom w:val="single" w:sz="8" w:space="0" w:color="auto"/>
              <w:right w:val="nil"/>
            </w:tcBorders>
            <w:shd w:val="clear" w:color="auto" w:fill="auto"/>
            <w:vAlign w:val="center"/>
            <w:hideMark/>
          </w:tcPr>
          <w:p w14:paraId="5719FFD1"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668" w:type="dxa"/>
            <w:tcBorders>
              <w:top w:val="nil"/>
              <w:left w:val="nil"/>
              <w:bottom w:val="single" w:sz="8" w:space="0" w:color="auto"/>
              <w:right w:val="nil"/>
            </w:tcBorders>
            <w:shd w:val="clear" w:color="auto" w:fill="auto"/>
            <w:vAlign w:val="center"/>
            <w:hideMark/>
          </w:tcPr>
          <w:p w14:paraId="1B77CDDE"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1014" w:type="dxa"/>
            <w:tcBorders>
              <w:top w:val="nil"/>
              <w:left w:val="nil"/>
              <w:bottom w:val="single" w:sz="8" w:space="0" w:color="auto"/>
              <w:right w:val="nil"/>
            </w:tcBorders>
            <w:shd w:val="clear" w:color="auto" w:fill="auto"/>
            <w:vAlign w:val="center"/>
            <w:hideMark/>
          </w:tcPr>
          <w:p w14:paraId="5E21886D"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992" w:type="dxa"/>
            <w:tcBorders>
              <w:top w:val="nil"/>
              <w:left w:val="nil"/>
              <w:bottom w:val="single" w:sz="8" w:space="0" w:color="auto"/>
              <w:right w:val="nil"/>
            </w:tcBorders>
            <w:shd w:val="clear" w:color="auto" w:fill="auto"/>
            <w:vAlign w:val="center"/>
            <w:hideMark/>
          </w:tcPr>
          <w:p w14:paraId="477BA214"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887" w:type="dxa"/>
            <w:tcBorders>
              <w:top w:val="nil"/>
              <w:left w:val="nil"/>
              <w:bottom w:val="single" w:sz="8" w:space="0" w:color="auto"/>
              <w:right w:val="nil"/>
            </w:tcBorders>
            <w:shd w:val="clear" w:color="auto" w:fill="auto"/>
            <w:vAlign w:val="center"/>
            <w:hideMark/>
          </w:tcPr>
          <w:p w14:paraId="6D05A2FE"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c>
          <w:tcPr>
            <w:tcW w:w="956" w:type="dxa"/>
            <w:tcBorders>
              <w:top w:val="nil"/>
              <w:left w:val="nil"/>
              <w:bottom w:val="single" w:sz="8" w:space="0" w:color="auto"/>
              <w:right w:val="nil"/>
            </w:tcBorders>
            <w:shd w:val="clear" w:color="auto" w:fill="auto"/>
            <w:vAlign w:val="center"/>
            <w:hideMark/>
          </w:tcPr>
          <w:p w14:paraId="0C4AE04A" w14:textId="77777777" w:rsidR="00D67371" w:rsidRPr="00005453" w:rsidRDefault="00D67371" w:rsidP="00DF6107">
            <w:pPr>
              <w:jc w:val="right"/>
              <w:rPr>
                <w:color w:val="000000"/>
                <w:sz w:val="18"/>
                <w:szCs w:val="6"/>
                <w:lang w:eastAsia="tr-TR"/>
              </w:rPr>
            </w:pPr>
            <w:r w:rsidRPr="00005453">
              <w:rPr>
                <w:color w:val="000000"/>
                <w:sz w:val="18"/>
                <w:szCs w:val="6"/>
                <w:lang w:eastAsia="tr-TR"/>
              </w:rPr>
              <w:t> </w:t>
            </w:r>
          </w:p>
        </w:tc>
      </w:tr>
      <w:tr w:rsidR="00664103" w:rsidRPr="00005453" w14:paraId="1D6061D9" w14:textId="77777777" w:rsidTr="00517175">
        <w:trPr>
          <w:divId w:val="1608269462"/>
          <w:trHeight w:val="227"/>
        </w:trPr>
        <w:tc>
          <w:tcPr>
            <w:tcW w:w="2410" w:type="dxa"/>
            <w:tcBorders>
              <w:top w:val="nil"/>
              <w:left w:val="nil"/>
              <w:bottom w:val="single" w:sz="8" w:space="0" w:color="auto"/>
              <w:right w:val="nil"/>
            </w:tcBorders>
            <w:shd w:val="clear" w:color="auto" w:fill="auto"/>
            <w:vAlign w:val="center"/>
            <w:hideMark/>
          </w:tcPr>
          <w:p w14:paraId="09635768" w14:textId="77777777" w:rsidR="00664103" w:rsidRPr="00005453" w:rsidRDefault="00664103" w:rsidP="00664103">
            <w:pPr>
              <w:ind w:firstLineChars="100" w:firstLine="181"/>
              <w:rPr>
                <w:b/>
                <w:bCs/>
                <w:color w:val="000000"/>
                <w:sz w:val="18"/>
                <w:szCs w:val="18"/>
                <w:lang w:eastAsia="tr-TR"/>
              </w:rPr>
            </w:pPr>
            <w:r w:rsidRPr="00005453">
              <w:rPr>
                <w:b/>
                <w:bCs/>
                <w:color w:val="000000"/>
                <w:sz w:val="18"/>
                <w:szCs w:val="18"/>
                <w:lang w:eastAsia="tr-TR"/>
              </w:rPr>
              <w:t>Toplam</w:t>
            </w:r>
          </w:p>
        </w:tc>
        <w:tc>
          <w:tcPr>
            <w:tcW w:w="1017" w:type="dxa"/>
            <w:tcBorders>
              <w:top w:val="nil"/>
              <w:left w:val="nil"/>
              <w:bottom w:val="single" w:sz="8" w:space="0" w:color="auto"/>
              <w:right w:val="nil"/>
            </w:tcBorders>
            <w:shd w:val="clear" w:color="auto" w:fill="auto"/>
            <w:vAlign w:val="center"/>
            <w:hideMark/>
          </w:tcPr>
          <w:p w14:paraId="431CEE4C" w14:textId="1441011C" w:rsidR="00664103" w:rsidRPr="00005453" w:rsidRDefault="00664103" w:rsidP="00664103">
            <w:pPr>
              <w:jc w:val="right"/>
              <w:rPr>
                <w:b/>
                <w:bCs/>
                <w:color w:val="000000"/>
                <w:sz w:val="18"/>
                <w:szCs w:val="18"/>
                <w:lang w:eastAsia="tr-TR"/>
              </w:rPr>
            </w:pPr>
            <w:r w:rsidRPr="00005453">
              <w:rPr>
                <w:b/>
                <w:bCs/>
                <w:color w:val="000000"/>
                <w:sz w:val="18"/>
                <w:szCs w:val="18"/>
              </w:rPr>
              <w:t>143,770</w:t>
            </w:r>
          </w:p>
        </w:tc>
        <w:tc>
          <w:tcPr>
            <w:tcW w:w="977" w:type="dxa"/>
            <w:tcBorders>
              <w:top w:val="nil"/>
              <w:left w:val="nil"/>
              <w:bottom w:val="single" w:sz="8" w:space="0" w:color="auto"/>
              <w:right w:val="nil"/>
            </w:tcBorders>
            <w:shd w:val="clear" w:color="auto" w:fill="auto"/>
            <w:vAlign w:val="center"/>
            <w:hideMark/>
          </w:tcPr>
          <w:p w14:paraId="47EEB852" w14:textId="199FC2DB" w:rsidR="00664103" w:rsidRPr="00005453" w:rsidRDefault="00664103" w:rsidP="00664103">
            <w:pPr>
              <w:jc w:val="right"/>
              <w:rPr>
                <w:b/>
                <w:bCs/>
                <w:color w:val="000000"/>
                <w:sz w:val="18"/>
                <w:szCs w:val="18"/>
                <w:lang w:eastAsia="tr-TR"/>
              </w:rPr>
            </w:pPr>
            <w:r w:rsidRPr="00005453">
              <w:rPr>
                <w:b/>
                <w:bCs/>
                <w:color w:val="000000"/>
                <w:sz w:val="18"/>
                <w:szCs w:val="18"/>
              </w:rPr>
              <w:t>133,623</w:t>
            </w:r>
          </w:p>
        </w:tc>
        <w:tc>
          <w:tcPr>
            <w:tcW w:w="860" w:type="dxa"/>
            <w:tcBorders>
              <w:top w:val="nil"/>
              <w:left w:val="nil"/>
              <w:bottom w:val="single" w:sz="8" w:space="0" w:color="auto"/>
              <w:right w:val="nil"/>
            </w:tcBorders>
            <w:shd w:val="clear" w:color="auto" w:fill="auto"/>
            <w:vAlign w:val="center"/>
            <w:hideMark/>
          </w:tcPr>
          <w:p w14:paraId="2C21EC0B" w14:textId="0A01D953" w:rsidR="00664103" w:rsidRPr="00005453" w:rsidRDefault="00664103" w:rsidP="00664103">
            <w:pPr>
              <w:jc w:val="right"/>
              <w:rPr>
                <w:b/>
                <w:bCs/>
                <w:color w:val="000000"/>
                <w:sz w:val="18"/>
                <w:szCs w:val="18"/>
                <w:lang w:eastAsia="tr-TR"/>
              </w:rPr>
            </w:pPr>
            <w:r w:rsidRPr="00005453">
              <w:rPr>
                <w:b/>
                <w:bCs/>
                <w:color w:val="000000"/>
                <w:sz w:val="18"/>
                <w:szCs w:val="18"/>
              </w:rPr>
              <w:t>13,874</w:t>
            </w:r>
          </w:p>
        </w:tc>
        <w:tc>
          <w:tcPr>
            <w:tcW w:w="668" w:type="dxa"/>
            <w:tcBorders>
              <w:top w:val="nil"/>
              <w:left w:val="nil"/>
              <w:bottom w:val="single" w:sz="8" w:space="0" w:color="auto"/>
              <w:right w:val="nil"/>
            </w:tcBorders>
            <w:shd w:val="clear" w:color="auto" w:fill="auto"/>
            <w:vAlign w:val="center"/>
            <w:hideMark/>
          </w:tcPr>
          <w:p w14:paraId="2C693C10" w14:textId="50AAACEF" w:rsidR="00664103" w:rsidRPr="00005453" w:rsidRDefault="00664103" w:rsidP="00664103">
            <w:pPr>
              <w:jc w:val="right"/>
              <w:rPr>
                <w:b/>
                <w:bCs/>
                <w:color w:val="000000"/>
                <w:sz w:val="18"/>
                <w:szCs w:val="18"/>
                <w:lang w:eastAsia="tr-TR"/>
              </w:rPr>
            </w:pPr>
            <w:r w:rsidRPr="00005453">
              <w:rPr>
                <w:b/>
                <w:bCs/>
                <w:color w:val="000000"/>
                <w:sz w:val="18"/>
                <w:szCs w:val="18"/>
              </w:rPr>
              <w:t>-</w:t>
            </w:r>
          </w:p>
        </w:tc>
        <w:tc>
          <w:tcPr>
            <w:tcW w:w="1014" w:type="dxa"/>
            <w:tcBorders>
              <w:top w:val="nil"/>
              <w:left w:val="nil"/>
              <w:bottom w:val="single" w:sz="8" w:space="0" w:color="auto"/>
              <w:right w:val="nil"/>
            </w:tcBorders>
            <w:shd w:val="clear" w:color="auto" w:fill="auto"/>
            <w:vAlign w:val="center"/>
            <w:hideMark/>
          </w:tcPr>
          <w:p w14:paraId="5C31F206" w14:textId="5E63AC91" w:rsidR="00664103" w:rsidRPr="00005453" w:rsidRDefault="00664103" w:rsidP="00664103">
            <w:pPr>
              <w:jc w:val="right"/>
              <w:rPr>
                <w:b/>
                <w:bCs/>
                <w:color w:val="000000"/>
                <w:sz w:val="18"/>
                <w:szCs w:val="18"/>
                <w:lang w:eastAsia="tr-TR"/>
              </w:rPr>
            </w:pPr>
            <w:r w:rsidRPr="00005453">
              <w:rPr>
                <w:b/>
                <w:bCs/>
                <w:color w:val="000000"/>
                <w:sz w:val="18"/>
                <w:szCs w:val="18"/>
              </w:rPr>
              <w:t>18,690</w:t>
            </w:r>
          </w:p>
        </w:tc>
        <w:tc>
          <w:tcPr>
            <w:tcW w:w="992" w:type="dxa"/>
            <w:tcBorders>
              <w:top w:val="nil"/>
              <w:left w:val="nil"/>
              <w:bottom w:val="single" w:sz="8" w:space="0" w:color="auto"/>
              <w:right w:val="nil"/>
            </w:tcBorders>
            <w:shd w:val="clear" w:color="auto" w:fill="auto"/>
            <w:vAlign w:val="center"/>
            <w:hideMark/>
          </w:tcPr>
          <w:p w14:paraId="031EC393" w14:textId="23FF6EEA" w:rsidR="00664103" w:rsidRPr="00005453" w:rsidRDefault="00664103" w:rsidP="00664103">
            <w:pPr>
              <w:jc w:val="right"/>
              <w:rPr>
                <w:b/>
                <w:bCs/>
                <w:color w:val="000000"/>
                <w:sz w:val="18"/>
                <w:szCs w:val="18"/>
                <w:lang w:eastAsia="tr-TR"/>
              </w:rPr>
            </w:pPr>
            <w:r w:rsidRPr="00005453">
              <w:rPr>
                <w:b/>
                <w:bCs/>
                <w:color w:val="000000"/>
                <w:sz w:val="18"/>
                <w:szCs w:val="18"/>
              </w:rPr>
              <w:t>16,390</w:t>
            </w:r>
          </w:p>
        </w:tc>
        <w:tc>
          <w:tcPr>
            <w:tcW w:w="887" w:type="dxa"/>
            <w:tcBorders>
              <w:top w:val="nil"/>
              <w:left w:val="nil"/>
              <w:bottom w:val="single" w:sz="8" w:space="0" w:color="auto"/>
              <w:right w:val="nil"/>
            </w:tcBorders>
            <w:shd w:val="clear" w:color="auto" w:fill="auto"/>
            <w:vAlign w:val="center"/>
            <w:hideMark/>
          </w:tcPr>
          <w:p w14:paraId="4E418763" w14:textId="7D96EA3B" w:rsidR="00664103" w:rsidRPr="00005453" w:rsidRDefault="00664103" w:rsidP="00664103">
            <w:pPr>
              <w:jc w:val="right"/>
              <w:rPr>
                <w:b/>
                <w:bCs/>
                <w:color w:val="000000"/>
                <w:sz w:val="18"/>
                <w:szCs w:val="18"/>
                <w:lang w:eastAsia="tr-TR"/>
              </w:rPr>
            </w:pPr>
            <w:r w:rsidRPr="00005453">
              <w:rPr>
                <w:b/>
                <w:bCs/>
                <w:color w:val="000000"/>
                <w:sz w:val="18"/>
                <w:szCs w:val="18"/>
              </w:rPr>
              <w:t>413</w:t>
            </w:r>
          </w:p>
        </w:tc>
        <w:tc>
          <w:tcPr>
            <w:tcW w:w="956" w:type="dxa"/>
            <w:tcBorders>
              <w:top w:val="nil"/>
              <w:left w:val="nil"/>
              <w:bottom w:val="single" w:sz="8" w:space="0" w:color="auto"/>
              <w:right w:val="nil"/>
            </w:tcBorders>
            <w:shd w:val="clear" w:color="auto" w:fill="auto"/>
            <w:vAlign w:val="center"/>
            <w:hideMark/>
          </w:tcPr>
          <w:p w14:paraId="42F3C885" w14:textId="4BFED6CE" w:rsidR="00664103" w:rsidRPr="00005453" w:rsidRDefault="00664103" w:rsidP="00664103">
            <w:pPr>
              <w:jc w:val="right"/>
              <w:rPr>
                <w:b/>
                <w:bCs/>
                <w:color w:val="000000"/>
                <w:sz w:val="18"/>
                <w:szCs w:val="18"/>
                <w:lang w:eastAsia="tr-TR"/>
              </w:rPr>
            </w:pPr>
            <w:r w:rsidRPr="00005453">
              <w:rPr>
                <w:b/>
                <w:bCs/>
                <w:color w:val="000000"/>
                <w:sz w:val="18"/>
                <w:szCs w:val="18"/>
              </w:rPr>
              <w:t>326,760</w:t>
            </w:r>
          </w:p>
        </w:tc>
      </w:tr>
      <w:tr w:rsidR="00D67371" w:rsidRPr="00005453" w14:paraId="6417E6AF" w14:textId="77777777" w:rsidTr="00517175">
        <w:trPr>
          <w:divId w:val="1608269462"/>
          <w:trHeight w:val="120"/>
        </w:trPr>
        <w:tc>
          <w:tcPr>
            <w:tcW w:w="2410" w:type="dxa"/>
            <w:tcBorders>
              <w:top w:val="nil"/>
              <w:left w:val="nil"/>
              <w:bottom w:val="single" w:sz="8" w:space="0" w:color="auto"/>
              <w:right w:val="nil"/>
            </w:tcBorders>
            <w:shd w:val="clear" w:color="auto" w:fill="auto"/>
            <w:vAlign w:val="bottom"/>
            <w:hideMark/>
          </w:tcPr>
          <w:p w14:paraId="159678E8" w14:textId="77777777" w:rsidR="00D67371" w:rsidRPr="00005453" w:rsidRDefault="00D67371" w:rsidP="00D67371">
            <w:pPr>
              <w:rPr>
                <w:color w:val="000000"/>
                <w:sz w:val="6"/>
                <w:szCs w:val="6"/>
                <w:lang w:eastAsia="tr-TR"/>
              </w:rPr>
            </w:pPr>
            <w:r w:rsidRPr="00005453">
              <w:rPr>
                <w:color w:val="000000"/>
                <w:sz w:val="6"/>
                <w:szCs w:val="6"/>
                <w:lang w:eastAsia="tr-TR"/>
              </w:rPr>
              <w:t> </w:t>
            </w:r>
          </w:p>
        </w:tc>
        <w:tc>
          <w:tcPr>
            <w:tcW w:w="1017" w:type="dxa"/>
            <w:tcBorders>
              <w:top w:val="nil"/>
              <w:left w:val="nil"/>
              <w:bottom w:val="single" w:sz="8" w:space="0" w:color="auto"/>
              <w:right w:val="nil"/>
            </w:tcBorders>
            <w:shd w:val="clear" w:color="auto" w:fill="auto"/>
            <w:vAlign w:val="center"/>
            <w:hideMark/>
          </w:tcPr>
          <w:p w14:paraId="48A9232A"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977" w:type="dxa"/>
            <w:tcBorders>
              <w:top w:val="nil"/>
              <w:left w:val="nil"/>
              <w:bottom w:val="single" w:sz="8" w:space="0" w:color="auto"/>
              <w:right w:val="nil"/>
            </w:tcBorders>
            <w:shd w:val="clear" w:color="auto" w:fill="auto"/>
            <w:vAlign w:val="center"/>
            <w:hideMark/>
          </w:tcPr>
          <w:p w14:paraId="1BB6D5A8"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860" w:type="dxa"/>
            <w:tcBorders>
              <w:top w:val="nil"/>
              <w:left w:val="nil"/>
              <w:bottom w:val="single" w:sz="8" w:space="0" w:color="auto"/>
              <w:right w:val="nil"/>
            </w:tcBorders>
            <w:shd w:val="clear" w:color="auto" w:fill="auto"/>
            <w:vAlign w:val="center"/>
            <w:hideMark/>
          </w:tcPr>
          <w:p w14:paraId="502F47E0"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668" w:type="dxa"/>
            <w:tcBorders>
              <w:top w:val="nil"/>
              <w:left w:val="nil"/>
              <w:bottom w:val="single" w:sz="8" w:space="0" w:color="auto"/>
              <w:right w:val="nil"/>
            </w:tcBorders>
            <w:shd w:val="clear" w:color="auto" w:fill="auto"/>
            <w:vAlign w:val="center"/>
            <w:hideMark/>
          </w:tcPr>
          <w:p w14:paraId="40E53EE8"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1014" w:type="dxa"/>
            <w:tcBorders>
              <w:top w:val="nil"/>
              <w:left w:val="nil"/>
              <w:bottom w:val="single" w:sz="8" w:space="0" w:color="auto"/>
              <w:right w:val="nil"/>
            </w:tcBorders>
            <w:shd w:val="clear" w:color="auto" w:fill="auto"/>
            <w:vAlign w:val="center"/>
            <w:hideMark/>
          </w:tcPr>
          <w:p w14:paraId="35AB1EA7"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992" w:type="dxa"/>
            <w:tcBorders>
              <w:top w:val="nil"/>
              <w:left w:val="nil"/>
              <w:bottom w:val="single" w:sz="8" w:space="0" w:color="auto"/>
              <w:right w:val="nil"/>
            </w:tcBorders>
            <w:shd w:val="clear" w:color="auto" w:fill="auto"/>
            <w:vAlign w:val="center"/>
            <w:hideMark/>
          </w:tcPr>
          <w:p w14:paraId="00C3B461"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887" w:type="dxa"/>
            <w:tcBorders>
              <w:top w:val="nil"/>
              <w:left w:val="nil"/>
              <w:bottom w:val="single" w:sz="8" w:space="0" w:color="auto"/>
              <w:right w:val="nil"/>
            </w:tcBorders>
            <w:shd w:val="clear" w:color="auto" w:fill="auto"/>
            <w:vAlign w:val="center"/>
            <w:hideMark/>
          </w:tcPr>
          <w:p w14:paraId="6EEB9A31"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c>
          <w:tcPr>
            <w:tcW w:w="956" w:type="dxa"/>
            <w:tcBorders>
              <w:top w:val="nil"/>
              <w:left w:val="nil"/>
              <w:bottom w:val="single" w:sz="8" w:space="0" w:color="auto"/>
              <w:right w:val="nil"/>
            </w:tcBorders>
            <w:shd w:val="clear" w:color="auto" w:fill="auto"/>
            <w:vAlign w:val="center"/>
            <w:hideMark/>
          </w:tcPr>
          <w:p w14:paraId="5F874967" w14:textId="77777777" w:rsidR="00D67371" w:rsidRPr="00005453" w:rsidRDefault="00D67371" w:rsidP="00DF6107">
            <w:pPr>
              <w:jc w:val="right"/>
              <w:rPr>
                <w:color w:val="000000"/>
                <w:sz w:val="16"/>
                <w:szCs w:val="6"/>
                <w:lang w:eastAsia="tr-TR"/>
              </w:rPr>
            </w:pPr>
            <w:r w:rsidRPr="00005453">
              <w:rPr>
                <w:rFonts w:eastAsia="SimSun"/>
                <w:color w:val="000000"/>
                <w:sz w:val="16"/>
                <w:szCs w:val="6"/>
                <w:lang w:eastAsia="tr-TR"/>
              </w:rPr>
              <w:t> </w:t>
            </w:r>
          </w:p>
        </w:tc>
      </w:tr>
      <w:tr w:rsidR="00664103" w:rsidRPr="00005453" w14:paraId="13C2E1E9" w14:textId="77777777" w:rsidTr="00517175">
        <w:trPr>
          <w:divId w:val="1608269462"/>
          <w:trHeight w:val="227"/>
        </w:trPr>
        <w:tc>
          <w:tcPr>
            <w:tcW w:w="2410" w:type="dxa"/>
            <w:tcBorders>
              <w:top w:val="nil"/>
              <w:left w:val="nil"/>
              <w:bottom w:val="double" w:sz="6" w:space="0" w:color="auto"/>
              <w:right w:val="nil"/>
            </w:tcBorders>
            <w:shd w:val="clear" w:color="auto" w:fill="auto"/>
            <w:vAlign w:val="center"/>
            <w:hideMark/>
          </w:tcPr>
          <w:p w14:paraId="03F9A17E" w14:textId="77777777" w:rsidR="00664103" w:rsidRPr="00005453" w:rsidRDefault="00664103" w:rsidP="00664103">
            <w:pPr>
              <w:ind w:firstLineChars="100" w:firstLine="181"/>
              <w:rPr>
                <w:b/>
                <w:bCs/>
                <w:color w:val="000000"/>
                <w:sz w:val="18"/>
                <w:szCs w:val="18"/>
                <w:lang w:eastAsia="tr-TR"/>
              </w:rPr>
            </w:pPr>
            <w:r w:rsidRPr="00005453">
              <w:rPr>
                <w:b/>
                <w:bCs/>
                <w:color w:val="000000"/>
                <w:sz w:val="18"/>
                <w:szCs w:val="18"/>
                <w:lang w:eastAsia="tr-TR"/>
              </w:rPr>
              <w:t>Genel toplam</w:t>
            </w:r>
          </w:p>
        </w:tc>
        <w:tc>
          <w:tcPr>
            <w:tcW w:w="1017" w:type="dxa"/>
            <w:tcBorders>
              <w:top w:val="nil"/>
              <w:left w:val="nil"/>
              <w:bottom w:val="double" w:sz="6" w:space="0" w:color="auto"/>
              <w:right w:val="nil"/>
            </w:tcBorders>
            <w:shd w:val="clear" w:color="auto" w:fill="auto"/>
            <w:vAlign w:val="center"/>
            <w:hideMark/>
          </w:tcPr>
          <w:p w14:paraId="1AB5110E" w14:textId="01E83D2F" w:rsidR="00664103" w:rsidRPr="00005453" w:rsidRDefault="00664103" w:rsidP="00664103">
            <w:pPr>
              <w:jc w:val="right"/>
              <w:rPr>
                <w:b/>
                <w:bCs/>
                <w:color w:val="000000"/>
                <w:sz w:val="18"/>
                <w:szCs w:val="18"/>
                <w:lang w:eastAsia="tr-TR"/>
              </w:rPr>
            </w:pPr>
            <w:r w:rsidRPr="00005453">
              <w:rPr>
                <w:b/>
                <w:bCs/>
                <w:color w:val="000000"/>
                <w:sz w:val="18"/>
                <w:szCs w:val="18"/>
              </w:rPr>
              <w:t>5,645,360</w:t>
            </w:r>
          </w:p>
        </w:tc>
        <w:tc>
          <w:tcPr>
            <w:tcW w:w="977" w:type="dxa"/>
            <w:tcBorders>
              <w:top w:val="nil"/>
              <w:left w:val="nil"/>
              <w:bottom w:val="double" w:sz="6" w:space="0" w:color="auto"/>
              <w:right w:val="nil"/>
            </w:tcBorders>
            <w:shd w:val="clear" w:color="auto" w:fill="auto"/>
            <w:vAlign w:val="center"/>
            <w:hideMark/>
          </w:tcPr>
          <w:p w14:paraId="2F5BF4FE" w14:textId="58F3C61A" w:rsidR="00664103" w:rsidRPr="00005453" w:rsidRDefault="00664103" w:rsidP="00664103">
            <w:pPr>
              <w:jc w:val="right"/>
              <w:rPr>
                <w:b/>
                <w:bCs/>
                <w:color w:val="000000"/>
                <w:sz w:val="18"/>
                <w:szCs w:val="18"/>
                <w:lang w:eastAsia="tr-TR"/>
              </w:rPr>
            </w:pPr>
            <w:r w:rsidRPr="00005453">
              <w:rPr>
                <w:b/>
                <w:bCs/>
                <w:color w:val="000000"/>
                <w:sz w:val="18"/>
                <w:szCs w:val="18"/>
              </w:rPr>
              <w:t>31,878,045</w:t>
            </w:r>
          </w:p>
        </w:tc>
        <w:tc>
          <w:tcPr>
            <w:tcW w:w="860" w:type="dxa"/>
            <w:tcBorders>
              <w:top w:val="nil"/>
              <w:left w:val="nil"/>
              <w:bottom w:val="double" w:sz="6" w:space="0" w:color="auto"/>
              <w:right w:val="nil"/>
            </w:tcBorders>
            <w:shd w:val="clear" w:color="auto" w:fill="auto"/>
            <w:vAlign w:val="center"/>
            <w:hideMark/>
          </w:tcPr>
          <w:p w14:paraId="75D282DF" w14:textId="761606F5" w:rsidR="00664103" w:rsidRPr="00005453" w:rsidRDefault="00664103" w:rsidP="00664103">
            <w:pPr>
              <w:jc w:val="right"/>
              <w:rPr>
                <w:b/>
                <w:bCs/>
                <w:color w:val="000000"/>
                <w:sz w:val="18"/>
                <w:szCs w:val="18"/>
                <w:lang w:eastAsia="tr-TR"/>
              </w:rPr>
            </w:pPr>
            <w:r w:rsidRPr="00005453">
              <w:rPr>
                <w:b/>
                <w:bCs/>
                <w:color w:val="000000"/>
                <w:sz w:val="18"/>
                <w:szCs w:val="18"/>
              </w:rPr>
              <w:t>2,655,819</w:t>
            </w:r>
          </w:p>
        </w:tc>
        <w:tc>
          <w:tcPr>
            <w:tcW w:w="668" w:type="dxa"/>
            <w:tcBorders>
              <w:top w:val="nil"/>
              <w:left w:val="nil"/>
              <w:bottom w:val="double" w:sz="6" w:space="0" w:color="auto"/>
              <w:right w:val="nil"/>
            </w:tcBorders>
            <w:shd w:val="clear" w:color="auto" w:fill="auto"/>
            <w:vAlign w:val="center"/>
            <w:hideMark/>
          </w:tcPr>
          <w:p w14:paraId="27F3939C" w14:textId="4FAB23B9" w:rsidR="00664103" w:rsidRPr="00005453" w:rsidRDefault="00664103" w:rsidP="00664103">
            <w:pPr>
              <w:jc w:val="right"/>
              <w:rPr>
                <w:b/>
                <w:bCs/>
                <w:color w:val="000000"/>
                <w:sz w:val="18"/>
                <w:szCs w:val="18"/>
                <w:lang w:eastAsia="tr-TR"/>
              </w:rPr>
            </w:pPr>
            <w:r w:rsidRPr="00005453">
              <w:rPr>
                <w:b/>
                <w:bCs/>
                <w:color w:val="000000"/>
                <w:sz w:val="18"/>
                <w:szCs w:val="18"/>
              </w:rPr>
              <w:t>-</w:t>
            </w:r>
          </w:p>
        </w:tc>
        <w:tc>
          <w:tcPr>
            <w:tcW w:w="1014" w:type="dxa"/>
            <w:tcBorders>
              <w:top w:val="nil"/>
              <w:left w:val="nil"/>
              <w:bottom w:val="double" w:sz="6" w:space="0" w:color="auto"/>
              <w:right w:val="nil"/>
            </w:tcBorders>
            <w:shd w:val="clear" w:color="auto" w:fill="auto"/>
            <w:vAlign w:val="center"/>
            <w:hideMark/>
          </w:tcPr>
          <w:p w14:paraId="46727F0B" w14:textId="03D608E3" w:rsidR="00664103" w:rsidRPr="00005453" w:rsidRDefault="00664103" w:rsidP="00664103">
            <w:pPr>
              <w:jc w:val="right"/>
              <w:rPr>
                <w:b/>
                <w:bCs/>
                <w:color w:val="000000"/>
                <w:sz w:val="18"/>
                <w:szCs w:val="18"/>
                <w:lang w:eastAsia="tr-TR"/>
              </w:rPr>
            </w:pPr>
            <w:r w:rsidRPr="00005453">
              <w:rPr>
                <w:b/>
                <w:bCs/>
                <w:color w:val="000000"/>
                <w:sz w:val="18"/>
                <w:szCs w:val="18"/>
              </w:rPr>
              <w:t>17,525,406</w:t>
            </w:r>
          </w:p>
        </w:tc>
        <w:tc>
          <w:tcPr>
            <w:tcW w:w="992" w:type="dxa"/>
            <w:tcBorders>
              <w:top w:val="nil"/>
              <w:left w:val="nil"/>
              <w:bottom w:val="double" w:sz="6" w:space="0" w:color="auto"/>
              <w:right w:val="nil"/>
            </w:tcBorders>
            <w:shd w:val="clear" w:color="auto" w:fill="auto"/>
            <w:vAlign w:val="center"/>
            <w:hideMark/>
          </w:tcPr>
          <w:p w14:paraId="3180ABC1" w14:textId="67E90200" w:rsidR="00664103" w:rsidRPr="00005453" w:rsidRDefault="00664103" w:rsidP="00664103">
            <w:pPr>
              <w:jc w:val="right"/>
              <w:rPr>
                <w:b/>
                <w:bCs/>
                <w:color w:val="000000"/>
                <w:sz w:val="18"/>
                <w:szCs w:val="18"/>
                <w:lang w:eastAsia="tr-TR"/>
              </w:rPr>
            </w:pPr>
            <w:r w:rsidRPr="00005453">
              <w:rPr>
                <w:b/>
                <w:bCs/>
                <w:color w:val="000000"/>
                <w:sz w:val="18"/>
                <w:szCs w:val="18"/>
              </w:rPr>
              <w:t>2,461,168</w:t>
            </w:r>
          </w:p>
        </w:tc>
        <w:tc>
          <w:tcPr>
            <w:tcW w:w="887" w:type="dxa"/>
            <w:tcBorders>
              <w:top w:val="nil"/>
              <w:left w:val="nil"/>
              <w:bottom w:val="double" w:sz="6" w:space="0" w:color="auto"/>
              <w:right w:val="nil"/>
            </w:tcBorders>
            <w:shd w:val="clear" w:color="auto" w:fill="auto"/>
            <w:vAlign w:val="center"/>
            <w:hideMark/>
          </w:tcPr>
          <w:p w14:paraId="3049CE07" w14:textId="72046A91" w:rsidR="00664103" w:rsidRPr="00005453" w:rsidRDefault="00664103" w:rsidP="00664103">
            <w:pPr>
              <w:jc w:val="right"/>
              <w:rPr>
                <w:b/>
                <w:bCs/>
                <w:color w:val="000000"/>
                <w:sz w:val="18"/>
                <w:szCs w:val="18"/>
                <w:lang w:eastAsia="tr-TR"/>
              </w:rPr>
            </w:pPr>
            <w:r w:rsidRPr="00005453">
              <w:rPr>
                <w:b/>
                <w:bCs/>
                <w:color w:val="000000"/>
                <w:sz w:val="18"/>
                <w:szCs w:val="18"/>
              </w:rPr>
              <w:t>3,900</w:t>
            </w:r>
          </w:p>
        </w:tc>
        <w:tc>
          <w:tcPr>
            <w:tcW w:w="956" w:type="dxa"/>
            <w:tcBorders>
              <w:top w:val="nil"/>
              <w:left w:val="nil"/>
              <w:bottom w:val="double" w:sz="6" w:space="0" w:color="auto"/>
              <w:right w:val="nil"/>
            </w:tcBorders>
            <w:shd w:val="clear" w:color="auto" w:fill="auto"/>
            <w:vAlign w:val="center"/>
            <w:hideMark/>
          </w:tcPr>
          <w:p w14:paraId="1A719DE4" w14:textId="7B2FE058" w:rsidR="00664103" w:rsidRPr="00005453" w:rsidRDefault="00664103" w:rsidP="00664103">
            <w:pPr>
              <w:jc w:val="right"/>
              <w:rPr>
                <w:b/>
                <w:bCs/>
                <w:color w:val="000000"/>
                <w:sz w:val="18"/>
                <w:szCs w:val="18"/>
                <w:lang w:eastAsia="tr-TR"/>
              </w:rPr>
            </w:pPr>
            <w:r w:rsidRPr="00005453">
              <w:rPr>
                <w:b/>
                <w:bCs/>
                <w:color w:val="000000"/>
                <w:sz w:val="18"/>
                <w:szCs w:val="18"/>
              </w:rPr>
              <w:t>60,169,698</w:t>
            </w:r>
          </w:p>
        </w:tc>
      </w:tr>
    </w:tbl>
    <w:p w14:paraId="5F3D3DF7" w14:textId="77777777" w:rsidR="004A537D" w:rsidRPr="00005453" w:rsidRDefault="004A537D" w:rsidP="000F096F">
      <w:pPr>
        <w:autoSpaceDE w:val="0"/>
        <w:autoSpaceDN w:val="0"/>
        <w:adjustRightInd w:val="0"/>
        <w:rPr>
          <w:lang w:val="en-GB" w:eastAsia="en-GB"/>
        </w:rPr>
      </w:pPr>
    </w:p>
    <w:tbl>
      <w:tblPr>
        <w:tblW w:w="9724" w:type="dxa"/>
        <w:tblCellMar>
          <w:left w:w="70" w:type="dxa"/>
          <w:right w:w="70" w:type="dxa"/>
        </w:tblCellMar>
        <w:tblLook w:val="04A0" w:firstRow="1" w:lastRow="0" w:firstColumn="1" w:lastColumn="0" w:noHBand="0" w:noVBand="1"/>
      </w:tblPr>
      <w:tblGrid>
        <w:gridCol w:w="2355"/>
        <w:gridCol w:w="81"/>
        <w:gridCol w:w="861"/>
        <w:gridCol w:w="174"/>
        <w:gridCol w:w="804"/>
        <w:gridCol w:w="230"/>
        <w:gridCol w:w="638"/>
        <w:gridCol w:w="217"/>
        <w:gridCol w:w="484"/>
        <w:gridCol w:w="314"/>
        <w:gridCol w:w="546"/>
        <w:gridCol w:w="340"/>
        <w:gridCol w:w="807"/>
        <w:gridCol w:w="912"/>
        <w:gridCol w:w="961"/>
      </w:tblGrid>
      <w:tr w:rsidR="001D4B2F" w:rsidRPr="00005453" w14:paraId="2A9E88E1" w14:textId="77777777" w:rsidTr="00270A0A">
        <w:trPr>
          <w:divId w:val="271670522"/>
          <w:trHeight w:val="201"/>
        </w:trPr>
        <w:tc>
          <w:tcPr>
            <w:tcW w:w="2355" w:type="dxa"/>
            <w:tcBorders>
              <w:top w:val="single" w:sz="8" w:space="0" w:color="auto"/>
              <w:left w:val="nil"/>
              <w:bottom w:val="single" w:sz="8" w:space="0" w:color="auto"/>
              <w:right w:val="nil"/>
            </w:tcBorders>
            <w:shd w:val="clear" w:color="auto" w:fill="auto"/>
            <w:vAlign w:val="center"/>
            <w:hideMark/>
          </w:tcPr>
          <w:p w14:paraId="189CB401" w14:textId="723D7C98" w:rsidR="001D4B2F" w:rsidRPr="00005453" w:rsidRDefault="001D4B2F" w:rsidP="001D4B2F">
            <w:pPr>
              <w:rPr>
                <w:b/>
                <w:bCs/>
                <w:color w:val="000000"/>
                <w:sz w:val="18"/>
                <w:szCs w:val="18"/>
                <w:lang w:eastAsia="tr-TR"/>
              </w:rPr>
            </w:pPr>
            <w:r w:rsidRPr="00005453">
              <w:rPr>
                <w:b/>
                <w:bCs/>
                <w:color w:val="000000"/>
                <w:sz w:val="18"/>
                <w:szCs w:val="18"/>
                <w:lang w:eastAsia="tr-TR"/>
              </w:rPr>
              <w:t>Önceki Dönem</w:t>
            </w:r>
          </w:p>
        </w:tc>
        <w:tc>
          <w:tcPr>
            <w:tcW w:w="7369" w:type="dxa"/>
            <w:gridSpan w:val="14"/>
            <w:tcBorders>
              <w:top w:val="single" w:sz="8" w:space="0" w:color="auto"/>
              <w:left w:val="nil"/>
              <w:bottom w:val="single" w:sz="8" w:space="0" w:color="auto"/>
              <w:right w:val="nil"/>
            </w:tcBorders>
            <w:shd w:val="clear" w:color="auto" w:fill="auto"/>
            <w:vAlign w:val="center"/>
            <w:hideMark/>
          </w:tcPr>
          <w:p w14:paraId="4EB2561D" w14:textId="77777777" w:rsidR="001D4B2F" w:rsidRPr="00005453" w:rsidRDefault="001D4B2F" w:rsidP="001D4B2F">
            <w:pPr>
              <w:jc w:val="center"/>
              <w:rPr>
                <w:b/>
                <w:bCs/>
                <w:color w:val="000000"/>
                <w:sz w:val="18"/>
                <w:szCs w:val="18"/>
                <w:lang w:eastAsia="tr-TR"/>
              </w:rPr>
            </w:pPr>
            <w:r w:rsidRPr="00005453">
              <w:rPr>
                <w:b/>
                <w:bCs/>
                <w:color w:val="000000"/>
                <w:sz w:val="18"/>
                <w:szCs w:val="18"/>
                <w:lang w:eastAsia="tr-TR"/>
              </w:rPr>
              <w:t>Katılma hesapları</w:t>
            </w:r>
          </w:p>
        </w:tc>
      </w:tr>
      <w:tr w:rsidR="001D4B2F" w:rsidRPr="00005453" w14:paraId="27E13339" w14:textId="77777777" w:rsidTr="00270A0A">
        <w:trPr>
          <w:divId w:val="271670522"/>
          <w:trHeight w:val="189"/>
        </w:trPr>
        <w:tc>
          <w:tcPr>
            <w:tcW w:w="2355" w:type="dxa"/>
            <w:tcBorders>
              <w:top w:val="nil"/>
              <w:left w:val="nil"/>
              <w:bottom w:val="nil"/>
              <w:right w:val="nil"/>
            </w:tcBorders>
            <w:shd w:val="clear" w:color="auto" w:fill="auto"/>
            <w:vAlign w:val="center"/>
            <w:hideMark/>
          </w:tcPr>
          <w:p w14:paraId="1EF5DA42" w14:textId="77777777" w:rsidR="001D4B2F" w:rsidRPr="00005453" w:rsidRDefault="001D4B2F" w:rsidP="001D4B2F">
            <w:pPr>
              <w:jc w:val="center"/>
              <w:rPr>
                <w:b/>
                <w:bCs/>
                <w:color w:val="000000"/>
                <w:sz w:val="18"/>
                <w:szCs w:val="18"/>
                <w:lang w:eastAsia="tr-TR"/>
              </w:rPr>
            </w:pPr>
          </w:p>
        </w:tc>
        <w:tc>
          <w:tcPr>
            <w:tcW w:w="1116" w:type="dxa"/>
            <w:gridSpan w:val="3"/>
            <w:tcBorders>
              <w:top w:val="nil"/>
              <w:left w:val="nil"/>
              <w:bottom w:val="nil"/>
              <w:right w:val="nil"/>
            </w:tcBorders>
            <w:shd w:val="clear" w:color="auto" w:fill="auto"/>
            <w:vAlign w:val="center"/>
            <w:hideMark/>
          </w:tcPr>
          <w:p w14:paraId="58C2EA7F" w14:textId="77777777" w:rsidR="001D4B2F" w:rsidRPr="00005453" w:rsidRDefault="001D4B2F" w:rsidP="001D4B2F">
            <w:pPr>
              <w:rPr>
                <w:lang w:eastAsia="tr-TR"/>
              </w:rPr>
            </w:pPr>
          </w:p>
        </w:tc>
        <w:tc>
          <w:tcPr>
            <w:tcW w:w="1034" w:type="dxa"/>
            <w:gridSpan w:val="2"/>
            <w:tcBorders>
              <w:top w:val="nil"/>
              <w:left w:val="nil"/>
              <w:bottom w:val="nil"/>
              <w:right w:val="nil"/>
            </w:tcBorders>
            <w:shd w:val="clear" w:color="auto" w:fill="auto"/>
            <w:vAlign w:val="center"/>
            <w:hideMark/>
          </w:tcPr>
          <w:p w14:paraId="48AADFC8" w14:textId="77777777" w:rsidR="001D4B2F" w:rsidRPr="00005453" w:rsidRDefault="001D4B2F" w:rsidP="001D4B2F">
            <w:pPr>
              <w:jc w:val="right"/>
              <w:rPr>
                <w:lang w:eastAsia="tr-TR"/>
              </w:rPr>
            </w:pPr>
          </w:p>
        </w:tc>
        <w:tc>
          <w:tcPr>
            <w:tcW w:w="855" w:type="dxa"/>
            <w:gridSpan w:val="2"/>
            <w:tcBorders>
              <w:top w:val="nil"/>
              <w:left w:val="nil"/>
              <w:bottom w:val="nil"/>
              <w:right w:val="nil"/>
            </w:tcBorders>
            <w:shd w:val="clear" w:color="auto" w:fill="auto"/>
            <w:vAlign w:val="center"/>
            <w:hideMark/>
          </w:tcPr>
          <w:p w14:paraId="5E57C6BC" w14:textId="77777777" w:rsidR="001D4B2F" w:rsidRPr="00005453" w:rsidRDefault="001D4B2F" w:rsidP="001D4B2F">
            <w:pPr>
              <w:jc w:val="right"/>
              <w:rPr>
                <w:lang w:eastAsia="tr-TR"/>
              </w:rPr>
            </w:pPr>
          </w:p>
        </w:tc>
        <w:tc>
          <w:tcPr>
            <w:tcW w:w="798" w:type="dxa"/>
            <w:gridSpan w:val="2"/>
            <w:tcBorders>
              <w:top w:val="nil"/>
              <w:left w:val="nil"/>
              <w:bottom w:val="nil"/>
              <w:right w:val="nil"/>
            </w:tcBorders>
            <w:shd w:val="clear" w:color="auto" w:fill="auto"/>
            <w:vAlign w:val="center"/>
            <w:hideMark/>
          </w:tcPr>
          <w:p w14:paraId="686FF449" w14:textId="77777777" w:rsidR="001D4B2F" w:rsidRPr="00005453" w:rsidRDefault="001D4B2F" w:rsidP="001D4B2F">
            <w:pPr>
              <w:jc w:val="right"/>
              <w:rPr>
                <w:lang w:eastAsia="tr-TR"/>
              </w:rPr>
            </w:pPr>
          </w:p>
        </w:tc>
        <w:tc>
          <w:tcPr>
            <w:tcW w:w="886" w:type="dxa"/>
            <w:gridSpan w:val="2"/>
            <w:tcBorders>
              <w:top w:val="nil"/>
              <w:left w:val="nil"/>
              <w:bottom w:val="nil"/>
              <w:right w:val="nil"/>
            </w:tcBorders>
            <w:shd w:val="clear" w:color="auto" w:fill="auto"/>
            <w:vAlign w:val="center"/>
            <w:hideMark/>
          </w:tcPr>
          <w:p w14:paraId="29FB7421" w14:textId="77777777" w:rsidR="001D4B2F" w:rsidRPr="00005453" w:rsidRDefault="001D4B2F" w:rsidP="001D4B2F">
            <w:pPr>
              <w:jc w:val="right"/>
              <w:rPr>
                <w:lang w:eastAsia="tr-TR"/>
              </w:rPr>
            </w:pPr>
          </w:p>
        </w:tc>
        <w:tc>
          <w:tcPr>
            <w:tcW w:w="807" w:type="dxa"/>
            <w:tcBorders>
              <w:top w:val="nil"/>
              <w:left w:val="nil"/>
              <w:bottom w:val="nil"/>
              <w:right w:val="nil"/>
            </w:tcBorders>
            <w:shd w:val="clear" w:color="auto" w:fill="auto"/>
            <w:vAlign w:val="center"/>
            <w:hideMark/>
          </w:tcPr>
          <w:p w14:paraId="2EA2E723" w14:textId="77777777" w:rsidR="001D4B2F" w:rsidRPr="00005453" w:rsidRDefault="001D4B2F" w:rsidP="001D4B2F">
            <w:pPr>
              <w:jc w:val="right"/>
              <w:rPr>
                <w:lang w:eastAsia="tr-TR"/>
              </w:rPr>
            </w:pPr>
          </w:p>
        </w:tc>
        <w:tc>
          <w:tcPr>
            <w:tcW w:w="912" w:type="dxa"/>
            <w:vMerge w:val="restart"/>
            <w:tcBorders>
              <w:top w:val="nil"/>
              <w:left w:val="nil"/>
              <w:bottom w:val="single" w:sz="8" w:space="0" w:color="000000"/>
              <w:right w:val="nil"/>
            </w:tcBorders>
            <w:shd w:val="clear" w:color="auto" w:fill="auto"/>
            <w:vAlign w:val="center"/>
            <w:hideMark/>
          </w:tcPr>
          <w:p w14:paraId="3A89F8B1"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Birikimli katılma hesabı</w:t>
            </w:r>
          </w:p>
        </w:tc>
        <w:tc>
          <w:tcPr>
            <w:tcW w:w="961" w:type="dxa"/>
            <w:tcBorders>
              <w:top w:val="nil"/>
              <w:left w:val="nil"/>
              <w:bottom w:val="nil"/>
              <w:right w:val="nil"/>
            </w:tcBorders>
            <w:shd w:val="clear" w:color="auto" w:fill="auto"/>
            <w:vAlign w:val="center"/>
            <w:hideMark/>
          </w:tcPr>
          <w:p w14:paraId="5A166302" w14:textId="77777777" w:rsidR="001D4B2F" w:rsidRPr="00005453" w:rsidRDefault="001D4B2F" w:rsidP="001D4B2F">
            <w:pPr>
              <w:jc w:val="right"/>
              <w:rPr>
                <w:b/>
                <w:bCs/>
                <w:color w:val="000000"/>
                <w:sz w:val="18"/>
                <w:szCs w:val="18"/>
                <w:lang w:eastAsia="tr-TR"/>
              </w:rPr>
            </w:pPr>
          </w:p>
        </w:tc>
      </w:tr>
      <w:tr w:rsidR="001D4B2F" w:rsidRPr="00005453" w14:paraId="5D188915"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0576CFFA" w14:textId="77777777" w:rsidR="001D4B2F" w:rsidRPr="00005453" w:rsidRDefault="001D4B2F" w:rsidP="001D4B2F">
            <w:pPr>
              <w:jc w:val="right"/>
              <w:rPr>
                <w:lang w:eastAsia="tr-TR"/>
              </w:rPr>
            </w:pPr>
          </w:p>
        </w:tc>
        <w:tc>
          <w:tcPr>
            <w:tcW w:w="861" w:type="dxa"/>
            <w:tcBorders>
              <w:top w:val="nil"/>
              <w:left w:val="nil"/>
              <w:bottom w:val="nil"/>
              <w:right w:val="nil"/>
            </w:tcBorders>
            <w:shd w:val="clear" w:color="auto" w:fill="auto"/>
            <w:vAlign w:val="center"/>
            <w:hideMark/>
          </w:tcPr>
          <w:p w14:paraId="3A155B20"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 xml:space="preserve">1 aya </w:t>
            </w:r>
          </w:p>
        </w:tc>
        <w:tc>
          <w:tcPr>
            <w:tcW w:w="978" w:type="dxa"/>
            <w:gridSpan w:val="2"/>
            <w:tcBorders>
              <w:top w:val="nil"/>
              <w:left w:val="nil"/>
              <w:bottom w:val="nil"/>
              <w:right w:val="nil"/>
            </w:tcBorders>
            <w:shd w:val="clear" w:color="auto" w:fill="auto"/>
            <w:vAlign w:val="center"/>
            <w:hideMark/>
          </w:tcPr>
          <w:p w14:paraId="6055A208"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 xml:space="preserve">3 aya </w:t>
            </w:r>
          </w:p>
        </w:tc>
        <w:tc>
          <w:tcPr>
            <w:tcW w:w="868" w:type="dxa"/>
            <w:gridSpan w:val="2"/>
            <w:tcBorders>
              <w:top w:val="nil"/>
              <w:left w:val="nil"/>
              <w:bottom w:val="nil"/>
              <w:right w:val="nil"/>
            </w:tcBorders>
            <w:shd w:val="clear" w:color="auto" w:fill="auto"/>
            <w:vAlign w:val="center"/>
            <w:hideMark/>
          </w:tcPr>
          <w:p w14:paraId="5035EAB7"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 xml:space="preserve">6 aya </w:t>
            </w:r>
          </w:p>
        </w:tc>
        <w:tc>
          <w:tcPr>
            <w:tcW w:w="701" w:type="dxa"/>
            <w:gridSpan w:val="2"/>
            <w:tcBorders>
              <w:top w:val="nil"/>
              <w:left w:val="nil"/>
              <w:bottom w:val="nil"/>
              <w:right w:val="nil"/>
            </w:tcBorders>
            <w:shd w:val="clear" w:color="auto" w:fill="auto"/>
            <w:vAlign w:val="center"/>
            <w:hideMark/>
          </w:tcPr>
          <w:p w14:paraId="3F7A5834"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 xml:space="preserve">9 aya </w:t>
            </w:r>
          </w:p>
        </w:tc>
        <w:tc>
          <w:tcPr>
            <w:tcW w:w="860" w:type="dxa"/>
            <w:gridSpan w:val="2"/>
            <w:tcBorders>
              <w:top w:val="nil"/>
              <w:left w:val="nil"/>
              <w:bottom w:val="nil"/>
              <w:right w:val="nil"/>
            </w:tcBorders>
            <w:shd w:val="clear" w:color="auto" w:fill="auto"/>
            <w:vAlign w:val="center"/>
            <w:hideMark/>
          </w:tcPr>
          <w:p w14:paraId="5396A80B"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 xml:space="preserve">1 yıla </w:t>
            </w:r>
          </w:p>
        </w:tc>
        <w:tc>
          <w:tcPr>
            <w:tcW w:w="1147" w:type="dxa"/>
            <w:gridSpan w:val="2"/>
            <w:tcBorders>
              <w:top w:val="nil"/>
              <w:left w:val="nil"/>
              <w:bottom w:val="nil"/>
              <w:right w:val="nil"/>
            </w:tcBorders>
            <w:shd w:val="clear" w:color="auto" w:fill="auto"/>
            <w:vAlign w:val="center"/>
            <w:hideMark/>
          </w:tcPr>
          <w:p w14:paraId="55B99014"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1 yıldan</w:t>
            </w:r>
          </w:p>
        </w:tc>
        <w:tc>
          <w:tcPr>
            <w:tcW w:w="912" w:type="dxa"/>
            <w:vMerge/>
            <w:tcBorders>
              <w:top w:val="nil"/>
              <w:left w:val="nil"/>
              <w:bottom w:val="single" w:sz="8" w:space="0" w:color="000000"/>
              <w:right w:val="nil"/>
            </w:tcBorders>
            <w:vAlign w:val="center"/>
            <w:hideMark/>
          </w:tcPr>
          <w:p w14:paraId="4AD92030" w14:textId="77777777" w:rsidR="001D4B2F" w:rsidRPr="00005453" w:rsidRDefault="001D4B2F" w:rsidP="00DF6107">
            <w:pPr>
              <w:jc w:val="right"/>
              <w:rPr>
                <w:b/>
                <w:bCs/>
                <w:color w:val="000000"/>
                <w:sz w:val="18"/>
                <w:szCs w:val="18"/>
                <w:lang w:eastAsia="tr-TR"/>
              </w:rPr>
            </w:pPr>
          </w:p>
        </w:tc>
        <w:tc>
          <w:tcPr>
            <w:tcW w:w="961" w:type="dxa"/>
            <w:tcBorders>
              <w:top w:val="nil"/>
              <w:left w:val="nil"/>
              <w:bottom w:val="nil"/>
              <w:right w:val="nil"/>
            </w:tcBorders>
            <w:shd w:val="clear" w:color="auto" w:fill="auto"/>
            <w:vAlign w:val="center"/>
            <w:hideMark/>
          </w:tcPr>
          <w:p w14:paraId="06B4B1E0" w14:textId="77777777" w:rsidR="001D4B2F" w:rsidRPr="00005453" w:rsidRDefault="001D4B2F" w:rsidP="00DF6107">
            <w:pPr>
              <w:jc w:val="right"/>
              <w:rPr>
                <w:b/>
                <w:bCs/>
                <w:color w:val="000000"/>
                <w:sz w:val="18"/>
                <w:szCs w:val="18"/>
                <w:lang w:eastAsia="tr-TR"/>
              </w:rPr>
            </w:pPr>
          </w:p>
        </w:tc>
      </w:tr>
      <w:tr w:rsidR="001D4B2F" w:rsidRPr="00005453" w14:paraId="5167C76C" w14:textId="77777777" w:rsidTr="00270A0A">
        <w:trPr>
          <w:divId w:val="271670522"/>
          <w:trHeight w:val="201"/>
        </w:trPr>
        <w:tc>
          <w:tcPr>
            <w:tcW w:w="2436" w:type="dxa"/>
            <w:gridSpan w:val="2"/>
            <w:tcBorders>
              <w:top w:val="nil"/>
              <w:left w:val="nil"/>
              <w:bottom w:val="single" w:sz="8" w:space="0" w:color="auto"/>
              <w:right w:val="nil"/>
            </w:tcBorders>
            <w:shd w:val="clear" w:color="auto" w:fill="auto"/>
            <w:vAlign w:val="center"/>
            <w:hideMark/>
          </w:tcPr>
          <w:p w14:paraId="114FD900" w14:textId="77777777" w:rsidR="001D4B2F" w:rsidRPr="00005453" w:rsidRDefault="001D4B2F" w:rsidP="001D4B2F">
            <w:pPr>
              <w:rPr>
                <w:b/>
                <w:bCs/>
                <w:color w:val="000000"/>
                <w:sz w:val="18"/>
                <w:szCs w:val="18"/>
                <w:lang w:eastAsia="tr-TR"/>
              </w:rPr>
            </w:pPr>
            <w:r w:rsidRPr="00005453">
              <w:rPr>
                <w:b/>
                <w:bCs/>
                <w:color w:val="000000"/>
                <w:sz w:val="18"/>
                <w:szCs w:val="18"/>
                <w:lang w:eastAsia="tr-TR"/>
              </w:rPr>
              <w:t>Hesap adı</w:t>
            </w:r>
          </w:p>
        </w:tc>
        <w:tc>
          <w:tcPr>
            <w:tcW w:w="861" w:type="dxa"/>
            <w:tcBorders>
              <w:top w:val="nil"/>
              <w:left w:val="nil"/>
              <w:bottom w:val="single" w:sz="8" w:space="0" w:color="auto"/>
              <w:right w:val="nil"/>
            </w:tcBorders>
            <w:shd w:val="clear" w:color="auto" w:fill="auto"/>
            <w:vAlign w:val="center"/>
            <w:hideMark/>
          </w:tcPr>
          <w:p w14:paraId="3F449DD5" w14:textId="77777777" w:rsidR="001D4B2F" w:rsidRPr="00005453" w:rsidRDefault="001D4B2F"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978" w:type="dxa"/>
            <w:gridSpan w:val="2"/>
            <w:tcBorders>
              <w:top w:val="nil"/>
              <w:left w:val="nil"/>
              <w:bottom w:val="single" w:sz="8" w:space="0" w:color="auto"/>
              <w:right w:val="nil"/>
            </w:tcBorders>
            <w:shd w:val="clear" w:color="auto" w:fill="auto"/>
            <w:vAlign w:val="center"/>
            <w:hideMark/>
          </w:tcPr>
          <w:p w14:paraId="4667BD22" w14:textId="77777777" w:rsidR="001D4B2F" w:rsidRPr="00005453" w:rsidRDefault="001D4B2F"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868" w:type="dxa"/>
            <w:gridSpan w:val="2"/>
            <w:tcBorders>
              <w:top w:val="nil"/>
              <w:left w:val="nil"/>
              <w:bottom w:val="single" w:sz="8" w:space="0" w:color="auto"/>
              <w:right w:val="nil"/>
            </w:tcBorders>
            <w:shd w:val="clear" w:color="auto" w:fill="auto"/>
            <w:vAlign w:val="center"/>
            <w:hideMark/>
          </w:tcPr>
          <w:p w14:paraId="14CFA981" w14:textId="77777777" w:rsidR="001D4B2F" w:rsidRPr="00005453" w:rsidRDefault="001D4B2F"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701" w:type="dxa"/>
            <w:gridSpan w:val="2"/>
            <w:tcBorders>
              <w:top w:val="nil"/>
              <w:left w:val="nil"/>
              <w:bottom w:val="single" w:sz="8" w:space="0" w:color="auto"/>
              <w:right w:val="nil"/>
            </w:tcBorders>
            <w:shd w:val="clear" w:color="auto" w:fill="auto"/>
            <w:vAlign w:val="center"/>
            <w:hideMark/>
          </w:tcPr>
          <w:p w14:paraId="7DA67FC5" w14:textId="77777777" w:rsidR="001D4B2F" w:rsidRPr="00005453" w:rsidRDefault="001D4B2F" w:rsidP="00DF6107">
            <w:pPr>
              <w:jc w:val="right"/>
              <w:rPr>
                <w:b/>
                <w:bCs/>
                <w:color w:val="000000"/>
                <w:sz w:val="18"/>
                <w:szCs w:val="18"/>
                <w:lang w:eastAsia="tr-TR"/>
              </w:rPr>
            </w:pPr>
            <w:proofErr w:type="gramStart"/>
            <w:r w:rsidRPr="00005453">
              <w:rPr>
                <w:b/>
                <w:bCs/>
                <w:color w:val="000000"/>
                <w:sz w:val="18"/>
                <w:szCs w:val="18"/>
                <w:lang w:eastAsia="tr-TR"/>
              </w:rPr>
              <w:t>kadar</w:t>
            </w:r>
            <w:proofErr w:type="gramEnd"/>
          </w:p>
        </w:tc>
        <w:tc>
          <w:tcPr>
            <w:tcW w:w="860" w:type="dxa"/>
            <w:gridSpan w:val="2"/>
            <w:tcBorders>
              <w:top w:val="nil"/>
              <w:left w:val="nil"/>
              <w:bottom w:val="single" w:sz="8" w:space="0" w:color="auto"/>
              <w:right w:val="nil"/>
            </w:tcBorders>
            <w:shd w:val="clear" w:color="auto" w:fill="auto"/>
            <w:vAlign w:val="center"/>
            <w:hideMark/>
          </w:tcPr>
          <w:p w14:paraId="77809476"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 xml:space="preserve"> </w:t>
            </w:r>
            <w:proofErr w:type="gramStart"/>
            <w:r w:rsidRPr="00005453">
              <w:rPr>
                <w:b/>
                <w:bCs/>
                <w:color w:val="000000"/>
                <w:sz w:val="18"/>
                <w:szCs w:val="18"/>
                <w:lang w:eastAsia="tr-TR"/>
              </w:rPr>
              <w:t>kadar</w:t>
            </w:r>
            <w:proofErr w:type="gramEnd"/>
          </w:p>
        </w:tc>
        <w:tc>
          <w:tcPr>
            <w:tcW w:w="1147" w:type="dxa"/>
            <w:gridSpan w:val="2"/>
            <w:tcBorders>
              <w:top w:val="nil"/>
              <w:left w:val="nil"/>
              <w:bottom w:val="single" w:sz="8" w:space="0" w:color="auto"/>
              <w:right w:val="nil"/>
            </w:tcBorders>
            <w:shd w:val="clear" w:color="auto" w:fill="auto"/>
            <w:vAlign w:val="center"/>
            <w:hideMark/>
          </w:tcPr>
          <w:p w14:paraId="1ACC624A" w14:textId="77777777" w:rsidR="001D4B2F" w:rsidRPr="00005453" w:rsidRDefault="001D4B2F" w:rsidP="00DF6107">
            <w:pPr>
              <w:jc w:val="right"/>
              <w:rPr>
                <w:b/>
                <w:bCs/>
                <w:color w:val="000000"/>
                <w:sz w:val="18"/>
                <w:szCs w:val="18"/>
                <w:lang w:eastAsia="tr-TR"/>
              </w:rPr>
            </w:pPr>
            <w:proofErr w:type="gramStart"/>
            <w:r w:rsidRPr="00005453">
              <w:rPr>
                <w:b/>
                <w:bCs/>
                <w:color w:val="000000"/>
                <w:sz w:val="18"/>
                <w:szCs w:val="18"/>
                <w:lang w:eastAsia="tr-TR"/>
              </w:rPr>
              <w:t>uzun</w:t>
            </w:r>
            <w:proofErr w:type="gramEnd"/>
          </w:p>
        </w:tc>
        <w:tc>
          <w:tcPr>
            <w:tcW w:w="912" w:type="dxa"/>
            <w:vMerge/>
            <w:tcBorders>
              <w:top w:val="nil"/>
              <w:left w:val="nil"/>
              <w:bottom w:val="single" w:sz="8" w:space="0" w:color="000000"/>
              <w:right w:val="nil"/>
            </w:tcBorders>
            <w:vAlign w:val="center"/>
            <w:hideMark/>
          </w:tcPr>
          <w:p w14:paraId="2DE36842" w14:textId="77777777" w:rsidR="001D4B2F" w:rsidRPr="00005453" w:rsidRDefault="001D4B2F" w:rsidP="00DF6107">
            <w:pPr>
              <w:jc w:val="right"/>
              <w:rPr>
                <w:b/>
                <w:bCs/>
                <w:color w:val="000000"/>
                <w:sz w:val="18"/>
                <w:szCs w:val="18"/>
                <w:lang w:eastAsia="tr-TR"/>
              </w:rPr>
            </w:pPr>
          </w:p>
        </w:tc>
        <w:tc>
          <w:tcPr>
            <w:tcW w:w="961" w:type="dxa"/>
            <w:tcBorders>
              <w:top w:val="nil"/>
              <w:left w:val="nil"/>
              <w:bottom w:val="single" w:sz="8" w:space="0" w:color="auto"/>
              <w:right w:val="nil"/>
            </w:tcBorders>
            <w:shd w:val="clear" w:color="auto" w:fill="auto"/>
            <w:vAlign w:val="center"/>
            <w:hideMark/>
          </w:tcPr>
          <w:p w14:paraId="0823685F" w14:textId="77777777" w:rsidR="001D4B2F" w:rsidRPr="00005453" w:rsidRDefault="001D4B2F" w:rsidP="00DF6107">
            <w:pPr>
              <w:jc w:val="right"/>
              <w:rPr>
                <w:b/>
                <w:bCs/>
                <w:color w:val="000000"/>
                <w:sz w:val="18"/>
                <w:szCs w:val="18"/>
                <w:lang w:eastAsia="tr-TR"/>
              </w:rPr>
            </w:pPr>
            <w:r w:rsidRPr="00005453">
              <w:rPr>
                <w:b/>
                <w:bCs/>
                <w:color w:val="000000"/>
                <w:sz w:val="18"/>
                <w:szCs w:val="18"/>
                <w:lang w:eastAsia="tr-TR"/>
              </w:rPr>
              <w:t>Toplam</w:t>
            </w:r>
          </w:p>
        </w:tc>
      </w:tr>
      <w:tr w:rsidR="001D4B2F" w:rsidRPr="00005453" w14:paraId="5BAE97D0"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155A5BF2" w14:textId="77777777" w:rsidR="001D4B2F" w:rsidRPr="00005453" w:rsidRDefault="001D4B2F" w:rsidP="001D4B2F">
            <w:pPr>
              <w:rPr>
                <w:b/>
                <w:bCs/>
                <w:color w:val="000000"/>
                <w:sz w:val="18"/>
                <w:szCs w:val="18"/>
                <w:lang w:eastAsia="tr-TR"/>
              </w:rPr>
            </w:pPr>
            <w:r w:rsidRPr="00005453">
              <w:rPr>
                <w:b/>
                <w:bCs/>
                <w:color w:val="000000"/>
                <w:sz w:val="18"/>
                <w:szCs w:val="18"/>
                <w:lang w:eastAsia="tr-TR"/>
              </w:rPr>
              <w:t>Türk parası</w:t>
            </w:r>
          </w:p>
        </w:tc>
        <w:tc>
          <w:tcPr>
            <w:tcW w:w="861" w:type="dxa"/>
            <w:tcBorders>
              <w:top w:val="nil"/>
              <w:left w:val="nil"/>
              <w:bottom w:val="nil"/>
              <w:right w:val="nil"/>
            </w:tcBorders>
            <w:shd w:val="clear" w:color="auto" w:fill="auto"/>
            <w:vAlign w:val="center"/>
            <w:hideMark/>
          </w:tcPr>
          <w:p w14:paraId="468600FF" w14:textId="77777777" w:rsidR="001D4B2F" w:rsidRPr="00005453" w:rsidRDefault="001D4B2F" w:rsidP="00DF6107">
            <w:pPr>
              <w:jc w:val="right"/>
              <w:rPr>
                <w:b/>
                <w:bCs/>
                <w:color w:val="000000"/>
                <w:sz w:val="18"/>
                <w:szCs w:val="18"/>
                <w:lang w:eastAsia="tr-TR"/>
              </w:rPr>
            </w:pPr>
          </w:p>
        </w:tc>
        <w:tc>
          <w:tcPr>
            <w:tcW w:w="978" w:type="dxa"/>
            <w:gridSpan w:val="2"/>
            <w:tcBorders>
              <w:top w:val="nil"/>
              <w:left w:val="nil"/>
              <w:bottom w:val="nil"/>
              <w:right w:val="nil"/>
            </w:tcBorders>
            <w:shd w:val="clear" w:color="auto" w:fill="auto"/>
            <w:vAlign w:val="center"/>
            <w:hideMark/>
          </w:tcPr>
          <w:p w14:paraId="1DE10550" w14:textId="77777777" w:rsidR="001D4B2F" w:rsidRPr="00005453" w:rsidRDefault="001D4B2F" w:rsidP="00DF6107">
            <w:pPr>
              <w:jc w:val="right"/>
              <w:rPr>
                <w:lang w:eastAsia="tr-TR"/>
              </w:rPr>
            </w:pPr>
          </w:p>
        </w:tc>
        <w:tc>
          <w:tcPr>
            <w:tcW w:w="868" w:type="dxa"/>
            <w:gridSpan w:val="2"/>
            <w:tcBorders>
              <w:top w:val="nil"/>
              <w:left w:val="nil"/>
              <w:bottom w:val="nil"/>
              <w:right w:val="nil"/>
            </w:tcBorders>
            <w:shd w:val="clear" w:color="auto" w:fill="auto"/>
            <w:vAlign w:val="center"/>
            <w:hideMark/>
          </w:tcPr>
          <w:p w14:paraId="5C959D43" w14:textId="77777777" w:rsidR="001D4B2F" w:rsidRPr="00005453" w:rsidRDefault="001D4B2F" w:rsidP="00DF6107">
            <w:pPr>
              <w:jc w:val="right"/>
              <w:rPr>
                <w:lang w:eastAsia="tr-TR"/>
              </w:rPr>
            </w:pPr>
          </w:p>
        </w:tc>
        <w:tc>
          <w:tcPr>
            <w:tcW w:w="701" w:type="dxa"/>
            <w:gridSpan w:val="2"/>
            <w:tcBorders>
              <w:top w:val="nil"/>
              <w:left w:val="nil"/>
              <w:bottom w:val="nil"/>
              <w:right w:val="nil"/>
            </w:tcBorders>
            <w:shd w:val="clear" w:color="auto" w:fill="auto"/>
            <w:vAlign w:val="center"/>
            <w:hideMark/>
          </w:tcPr>
          <w:p w14:paraId="72BEECF4" w14:textId="77777777" w:rsidR="001D4B2F" w:rsidRPr="00005453" w:rsidRDefault="001D4B2F" w:rsidP="00DF6107">
            <w:pPr>
              <w:jc w:val="right"/>
              <w:rPr>
                <w:lang w:eastAsia="tr-TR"/>
              </w:rPr>
            </w:pPr>
          </w:p>
        </w:tc>
        <w:tc>
          <w:tcPr>
            <w:tcW w:w="860" w:type="dxa"/>
            <w:gridSpan w:val="2"/>
            <w:tcBorders>
              <w:top w:val="nil"/>
              <w:left w:val="nil"/>
              <w:bottom w:val="nil"/>
              <w:right w:val="nil"/>
            </w:tcBorders>
            <w:shd w:val="clear" w:color="auto" w:fill="auto"/>
            <w:vAlign w:val="center"/>
            <w:hideMark/>
          </w:tcPr>
          <w:p w14:paraId="21952FC6" w14:textId="77777777" w:rsidR="001D4B2F" w:rsidRPr="00005453" w:rsidRDefault="001D4B2F" w:rsidP="00DF6107">
            <w:pPr>
              <w:jc w:val="right"/>
              <w:rPr>
                <w:lang w:eastAsia="tr-TR"/>
              </w:rPr>
            </w:pPr>
          </w:p>
        </w:tc>
        <w:tc>
          <w:tcPr>
            <w:tcW w:w="1147" w:type="dxa"/>
            <w:gridSpan w:val="2"/>
            <w:tcBorders>
              <w:top w:val="nil"/>
              <w:left w:val="nil"/>
              <w:bottom w:val="nil"/>
              <w:right w:val="nil"/>
            </w:tcBorders>
            <w:shd w:val="clear" w:color="auto" w:fill="auto"/>
            <w:vAlign w:val="center"/>
            <w:hideMark/>
          </w:tcPr>
          <w:p w14:paraId="73567E64" w14:textId="77777777" w:rsidR="001D4B2F" w:rsidRPr="00005453" w:rsidRDefault="001D4B2F" w:rsidP="00DF6107">
            <w:pPr>
              <w:jc w:val="right"/>
              <w:rPr>
                <w:lang w:eastAsia="tr-TR"/>
              </w:rPr>
            </w:pPr>
          </w:p>
        </w:tc>
        <w:tc>
          <w:tcPr>
            <w:tcW w:w="912" w:type="dxa"/>
            <w:tcBorders>
              <w:top w:val="nil"/>
              <w:left w:val="nil"/>
              <w:bottom w:val="nil"/>
              <w:right w:val="nil"/>
            </w:tcBorders>
            <w:shd w:val="clear" w:color="auto" w:fill="auto"/>
            <w:vAlign w:val="center"/>
            <w:hideMark/>
          </w:tcPr>
          <w:p w14:paraId="583BBCC3" w14:textId="77777777" w:rsidR="001D4B2F" w:rsidRPr="00005453" w:rsidRDefault="001D4B2F" w:rsidP="00DF6107">
            <w:pPr>
              <w:jc w:val="right"/>
              <w:rPr>
                <w:lang w:eastAsia="tr-TR"/>
              </w:rPr>
            </w:pPr>
          </w:p>
        </w:tc>
        <w:tc>
          <w:tcPr>
            <w:tcW w:w="961" w:type="dxa"/>
            <w:tcBorders>
              <w:top w:val="nil"/>
              <w:left w:val="nil"/>
              <w:bottom w:val="nil"/>
              <w:right w:val="nil"/>
            </w:tcBorders>
            <w:shd w:val="clear" w:color="auto" w:fill="auto"/>
            <w:vAlign w:val="center"/>
            <w:hideMark/>
          </w:tcPr>
          <w:p w14:paraId="06C55731" w14:textId="77777777" w:rsidR="001D4B2F" w:rsidRPr="00005453" w:rsidRDefault="001D4B2F" w:rsidP="00DF6107">
            <w:pPr>
              <w:jc w:val="right"/>
              <w:rPr>
                <w:lang w:eastAsia="tr-TR"/>
              </w:rPr>
            </w:pPr>
          </w:p>
        </w:tc>
      </w:tr>
      <w:tr w:rsidR="00270A0A" w:rsidRPr="00005453" w14:paraId="43F1EEFE" w14:textId="77777777" w:rsidTr="00270A0A">
        <w:trPr>
          <w:divId w:val="271670522"/>
          <w:trHeight w:val="567"/>
        </w:trPr>
        <w:tc>
          <w:tcPr>
            <w:tcW w:w="2436" w:type="dxa"/>
            <w:gridSpan w:val="2"/>
            <w:tcBorders>
              <w:top w:val="nil"/>
              <w:left w:val="nil"/>
              <w:bottom w:val="nil"/>
              <w:right w:val="nil"/>
            </w:tcBorders>
            <w:shd w:val="clear" w:color="auto" w:fill="auto"/>
            <w:vAlign w:val="center"/>
            <w:hideMark/>
          </w:tcPr>
          <w:p w14:paraId="5402FC6C"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Özel cari hesap ve katılma hesapları aracılığı ile bankalardan toplanan fonlar</w:t>
            </w:r>
          </w:p>
        </w:tc>
        <w:tc>
          <w:tcPr>
            <w:tcW w:w="861" w:type="dxa"/>
            <w:tcBorders>
              <w:top w:val="nil"/>
              <w:left w:val="nil"/>
              <w:bottom w:val="nil"/>
              <w:right w:val="nil"/>
            </w:tcBorders>
            <w:shd w:val="clear" w:color="auto" w:fill="auto"/>
            <w:vAlign w:val="center"/>
            <w:hideMark/>
          </w:tcPr>
          <w:p w14:paraId="119AB0BA" w14:textId="41B3DA0D"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78" w:type="dxa"/>
            <w:gridSpan w:val="2"/>
            <w:tcBorders>
              <w:top w:val="nil"/>
              <w:left w:val="nil"/>
              <w:bottom w:val="nil"/>
              <w:right w:val="nil"/>
            </w:tcBorders>
            <w:shd w:val="clear" w:color="auto" w:fill="auto"/>
            <w:vAlign w:val="center"/>
            <w:hideMark/>
          </w:tcPr>
          <w:p w14:paraId="767A7BDA" w14:textId="26ECC0BC" w:rsidR="00270A0A" w:rsidRPr="00005453" w:rsidRDefault="00270A0A" w:rsidP="00270A0A">
            <w:pPr>
              <w:jc w:val="right"/>
              <w:rPr>
                <w:color w:val="000000"/>
                <w:sz w:val="18"/>
                <w:szCs w:val="18"/>
                <w:lang w:eastAsia="tr-TR"/>
              </w:rPr>
            </w:pPr>
            <w:r w:rsidRPr="00005453">
              <w:rPr>
                <w:color w:val="000000"/>
                <w:sz w:val="18"/>
                <w:szCs w:val="18"/>
                <w:lang w:eastAsia="tr-TR"/>
              </w:rPr>
              <w:t>6</w:t>
            </w:r>
          </w:p>
        </w:tc>
        <w:tc>
          <w:tcPr>
            <w:tcW w:w="868" w:type="dxa"/>
            <w:gridSpan w:val="2"/>
            <w:tcBorders>
              <w:top w:val="nil"/>
              <w:left w:val="nil"/>
              <w:bottom w:val="nil"/>
              <w:right w:val="nil"/>
            </w:tcBorders>
            <w:shd w:val="clear" w:color="auto" w:fill="auto"/>
            <w:vAlign w:val="center"/>
            <w:hideMark/>
          </w:tcPr>
          <w:p w14:paraId="53EE4172" w14:textId="2771F60E"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701" w:type="dxa"/>
            <w:gridSpan w:val="2"/>
            <w:tcBorders>
              <w:top w:val="nil"/>
              <w:left w:val="nil"/>
              <w:bottom w:val="nil"/>
              <w:right w:val="nil"/>
            </w:tcBorders>
            <w:shd w:val="clear" w:color="auto" w:fill="auto"/>
            <w:vAlign w:val="center"/>
            <w:hideMark/>
          </w:tcPr>
          <w:p w14:paraId="765197F0" w14:textId="4A9A1D2D"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333ED71D" w14:textId="59A74387"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1147" w:type="dxa"/>
            <w:gridSpan w:val="2"/>
            <w:tcBorders>
              <w:top w:val="nil"/>
              <w:left w:val="nil"/>
              <w:bottom w:val="nil"/>
              <w:right w:val="nil"/>
            </w:tcBorders>
            <w:shd w:val="clear" w:color="auto" w:fill="auto"/>
            <w:vAlign w:val="center"/>
            <w:hideMark/>
          </w:tcPr>
          <w:p w14:paraId="0CCF3001" w14:textId="3E629E59"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12" w:type="dxa"/>
            <w:tcBorders>
              <w:top w:val="nil"/>
              <w:left w:val="nil"/>
              <w:bottom w:val="nil"/>
              <w:right w:val="nil"/>
            </w:tcBorders>
            <w:shd w:val="clear" w:color="auto" w:fill="auto"/>
            <w:vAlign w:val="center"/>
            <w:hideMark/>
          </w:tcPr>
          <w:p w14:paraId="0371603F" w14:textId="04C7BC3C"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2F86081C" w14:textId="2384479F" w:rsidR="00270A0A" w:rsidRPr="00005453" w:rsidRDefault="00270A0A" w:rsidP="00270A0A">
            <w:pPr>
              <w:jc w:val="right"/>
              <w:rPr>
                <w:color w:val="000000"/>
                <w:sz w:val="18"/>
                <w:szCs w:val="18"/>
                <w:lang w:eastAsia="tr-TR"/>
              </w:rPr>
            </w:pPr>
            <w:r w:rsidRPr="00005453">
              <w:rPr>
                <w:color w:val="000000"/>
                <w:sz w:val="18"/>
                <w:szCs w:val="18"/>
                <w:lang w:eastAsia="tr-TR"/>
              </w:rPr>
              <w:t>6</w:t>
            </w:r>
          </w:p>
        </w:tc>
      </w:tr>
      <w:tr w:rsidR="00270A0A" w:rsidRPr="00005453" w14:paraId="307AA4E5" w14:textId="77777777" w:rsidTr="00270A0A">
        <w:trPr>
          <w:divId w:val="271670522"/>
          <w:trHeight w:val="378"/>
        </w:trPr>
        <w:tc>
          <w:tcPr>
            <w:tcW w:w="2436" w:type="dxa"/>
            <w:gridSpan w:val="2"/>
            <w:tcBorders>
              <w:top w:val="nil"/>
              <w:left w:val="nil"/>
              <w:bottom w:val="nil"/>
              <w:right w:val="nil"/>
            </w:tcBorders>
            <w:shd w:val="clear" w:color="auto" w:fill="auto"/>
            <w:vAlign w:val="center"/>
            <w:hideMark/>
          </w:tcPr>
          <w:p w14:paraId="336A516D"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10C2A38F" w14:textId="6CBF0560" w:rsidR="00270A0A" w:rsidRPr="00005453" w:rsidRDefault="00270A0A" w:rsidP="00270A0A">
            <w:pPr>
              <w:jc w:val="right"/>
              <w:rPr>
                <w:color w:val="000000"/>
                <w:sz w:val="18"/>
                <w:szCs w:val="18"/>
                <w:lang w:eastAsia="tr-TR"/>
              </w:rPr>
            </w:pPr>
            <w:r w:rsidRPr="00005453">
              <w:rPr>
                <w:color w:val="000000"/>
                <w:sz w:val="18"/>
                <w:szCs w:val="18"/>
                <w:lang w:eastAsia="tr-TR"/>
              </w:rPr>
              <w:t>2,090,823</w:t>
            </w:r>
          </w:p>
        </w:tc>
        <w:tc>
          <w:tcPr>
            <w:tcW w:w="978" w:type="dxa"/>
            <w:gridSpan w:val="2"/>
            <w:tcBorders>
              <w:top w:val="nil"/>
              <w:left w:val="nil"/>
              <w:bottom w:val="nil"/>
              <w:right w:val="nil"/>
            </w:tcBorders>
            <w:shd w:val="clear" w:color="auto" w:fill="auto"/>
            <w:vAlign w:val="center"/>
            <w:hideMark/>
          </w:tcPr>
          <w:p w14:paraId="16095A14" w14:textId="251F1A85" w:rsidR="00270A0A" w:rsidRPr="00005453" w:rsidRDefault="00270A0A" w:rsidP="00270A0A">
            <w:pPr>
              <w:jc w:val="right"/>
              <w:rPr>
                <w:color w:val="000000"/>
                <w:sz w:val="18"/>
                <w:szCs w:val="18"/>
                <w:lang w:eastAsia="tr-TR"/>
              </w:rPr>
            </w:pPr>
            <w:r w:rsidRPr="00005453">
              <w:rPr>
                <w:color w:val="000000"/>
                <w:sz w:val="18"/>
                <w:szCs w:val="18"/>
                <w:lang w:eastAsia="tr-TR"/>
              </w:rPr>
              <w:t>12,881,708</w:t>
            </w:r>
          </w:p>
        </w:tc>
        <w:tc>
          <w:tcPr>
            <w:tcW w:w="868" w:type="dxa"/>
            <w:gridSpan w:val="2"/>
            <w:tcBorders>
              <w:top w:val="nil"/>
              <w:left w:val="nil"/>
              <w:bottom w:val="nil"/>
              <w:right w:val="nil"/>
            </w:tcBorders>
            <w:shd w:val="clear" w:color="auto" w:fill="auto"/>
            <w:vAlign w:val="center"/>
            <w:hideMark/>
          </w:tcPr>
          <w:p w14:paraId="7FD15C6C" w14:textId="51664EF3" w:rsidR="00270A0A" w:rsidRPr="00005453" w:rsidRDefault="00270A0A" w:rsidP="00270A0A">
            <w:pPr>
              <w:jc w:val="right"/>
              <w:rPr>
                <w:color w:val="000000"/>
                <w:sz w:val="18"/>
                <w:szCs w:val="18"/>
                <w:lang w:eastAsia="tr-TR"/>
              </w:rPr>
            </w:pPr>
            <w:r w:rsidRPr="00005453">
              <w:rPr>
                <w:color w:val="000000"/>
                <w:sz w:val="18"/>
                <w:szCs w:val="18"/>
                <w:lang w:eastAsia="tr-TR"/>
              </w:rPr>
              <w:t>1,213,511</w:t>
            </w:r>
          </w:p>
        </w:tc>
        <w:tc>
          <w:tcPr>
            <w:tcW w:w="701" w:type="dxa"/>
            <w:gridSpan w:val="2"/>
            <w:tcBorders>
              <w:top w:val="nil"/>
              <w:left w:val="nil"/>
              <w:bottom w:val="nil"/>
              <w:right w:val="nil"/>
            </w:tcBorders>
            <w:shd w:val="clear" w:color="auto" w:fill="auto"/>
            <w:vAlign w:val="center"/>
            <w:hideMark/>
          </w:tcPr>
          <w:p w14:paraId="1DD38D0E" w14:textId="6FDE3839"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57D70244" w14:textId="4DD5BE7B" w:rsidR="00270A0A" w:rsidRPr="00005453" w:rsidRDefault="00270A0A" w:rsidP="00270A0A">
            <w:pPr>
              <w:jc w:val="right"/>
              <w:rPr>
                <w:color w:val="000000"/>
                <w:sz w:val="18"/>
                <w:szCs w:val="18"/>
                <w:lang w:eastAsia="tr-TR"/>
              </w:rPr>
            </w:pPr>
            <w:r w:rsidRPr="00005453">
              <w:rPr>
                <w:color w:val="000000"/>
                <w:sz w:val="18"/>
                <w:szCs w:val="18"/>
                <w:lang w:eastAsia="tr-TR"/>
              </w:rPr>
              <w:t>3,317,034</w:t>
            </w:r>
          </w:p>
        </w:tc>
        <w:tc>
          <w:tcPr>
            <w:tcW w:w="1147" w:type="dxa"/>
            <w:gridSpan w:val="2"/>
            <w:tcBorders>
              <w:top w:val="nil"/>
              <w:left w:val="nil"/>
              <w:bottom w:val="nil"/>
              <w:right w:val="nil"/>
            </w:tcBorders>
            <w:shd w:val="clear" w:color="auto" w:fill="auto"/>
            <w:vAlign w:val="center"/>
            <w:hideMark/>
          </w:tcPr>
          <w:p w14:paraId="6E7EBCAC" w14:textId="48FAFD2F" w:rsidR="00270A0A" w:rsidRPr="00005453" w:rsidRDefault="00270A0A" w:rsidP="00270A0A">
            <w:pPr>
              <w:jc w:val="right"/>
              <w:rPr>
                <w:color w:val="000000"/>
                <w:sz w:val="18"/>
                <w:szCs w:val="18"/>
                <w:lang w:eastAsia="tr-TR"/>
              </w:rPr>
            </w:pPr>
            <w:r w:rsidRPr="00005453">
              <w:rPr>
                <w:color w:val="000000"/>
                <w:sz w:val="18"/>
                <w:szCs w:val="18"/>
                <w:lang w:eastAsia="tr-TR"/>
              </w:rPr>
              <w:t>474,527</w:t>
            </w:r>
          </w:p>
        </w:tc>
        <w:tc>
          <w:tcPr>
            <w:tcW w:w="912" w:type="dxa"/>
            <w:tcBorders>
              <w:top w:val="nil"/>
              <w:left w:val="nil"/>
              <w:bottom w:val="nil"/>
              <w:right w:val="nil"/>
            </w:tcBorders>
            <w:shd w:val="clear" w:color="auto" w:fill="auto"/>
            <w:vAlign w:val="center"/>
            <w:hideMark/>
          </w:tcPr>
          <w:p w14:paraId="0F1907C0" w14:textId="42ADF516" w:rsidR="00270A0A" w:rsidRPr="00005453" w:rsidRDefault="00270A0A" w:rsidP="00270A0A">
            <w:pPr>
              <w:jc w:val="right"/>
              <w:rPr>
                <w:color w:val="000000"/>
                <w:sz w:val="18"/>
                <w:szCs w:val="18"/>
                <w:lang w:eastAsia="tr-TR"/>
              </w:rPr>
            </w:pPr>
            <w:r w:rsidRPr="00005453">
              <w:rPr>
                <w:color w:val="000000"/>
                <w:sz w:val="18"/>
                <w:szCs w:val="18"/>
                <w:lang w:eastAsia="tr-TR"/>
              </w:rPr>
              <w:t>2,249</w:t>
            </w:r>
          </w:p>
        </w:tc>
        <w:tc>
          <w:tcPr>
            <w:tcW w:w="961" w:type="dxa"/>
            <w:tcBorders>
              <w:top w:val="nil"/>
              <w:left w:val="nil"/>
              <w:bottom w:val="nil"/>
              <w:right w:val="nil"/>
            </w:tcBorders>
            <w:shd w:val="clear" w:color="auto" w:fill="auto"/>
            <w:vAlign w:val="center"/>
            <w:hideMark/>
          </w:tcPr>
          <w:p w14:paraId="4E4B0E91" w14:textId="662D0B82" w:rsidR="00270A0A" w:rsidRPr="00005453" w:rsidRDefault="00270A0A" w:rsidP="00270A0A">
            <w:pPr>
              <w:jc w:val="right"/>
              <w:rPr>
                <w:color w:val="000000"/>
                <w:sz w:val="18"/>
                <w:szCs w:val="18"/>
                <w:lang w:eastAsia="tr-TR"/>
              </w:rPr>
            </w:pPr>
            <w:r w:rsidRPr="00005453">
              <w:rPr>
                <w:color w:val="000000"/>
                <w:sz w:val="18"/>
                <w:szCs w:val="18"/>
                <w:lang w:eastAsia="tr-TR"/>
              </w:rPr>
              <w:t>19,979,852</w:t>
            </w:r>
          </w:p>
        </w:tc>
      </w:tr>
      <w:tr w:rsidR="00270A0A" w:rsidRPr="00005453" w14:paraId="5E578D84"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6C14C552"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Resmi kuruluş katılma hs.</w:t>
            </w:r>
          </w:p>
        </w:tc>
        <w:tc>
          <w:tcPr>
            <w:tcW w:w="861" w:type="dxa"/>
            <w:tcBorders>
              <w:top w:val="nil"/>
              <w:left w:val="nil"/>
              <w:bottom w:val="nil"/>
              <w:right w:val="nil"/>
            </w:tcBorders>
            <w:shd w:val="clear" w:color="auto" w:fill="auto"/>
            <w:vAlign w:val="center"/>
            <w:hideMark/>
          </w:tcPr>
          <w:p w14:paraId="73E2DCB6" w14:textId="7760C2DD" w:rsidR="00270A0A" w:rsidRPr="00005453" w:rsidRDefault="00270A0A" w:rsidP="00270A0A">
            <w:pPr>
              <w:jc w:val="right"/>
              <w:rPr>
                <w:color w:val="000000"/>
                <w:sz w:val="18"/>
                <w:szCs w:val="18"/>
                <w:lang w:eastAsia="tr-TR"/>
              </w:rPr>
            </w:pPr>
            <w:r w:rsidRPr="00005453">
              <w:rPr>
                <w:color w:val="000000"/>
                <w:sz w:val="18"/>
                <w:szCs w:val="18"/>
                <w:lang w:eastAsia="tr-TR"/>
              </w:rPr>
              <w:t>52</w:t>
            </w:r>
          </w:p>
        </w:tc>
        <w:tc>
          <w:tcPr>
            <w:tcW w:w="978" w:type="dxa"/>
            <w:gridSpan w:val="2"/>
            <w:tcBorders>
              <w:top w:val="nil"/>
              <w:left w:val="nil"/>
              <w:bottom w:val="nil"/>
              <w:right w:val="nil"/>
            </w:tcBorders>
            <w:shd w:val="clear" w:color="auto" w:fill="auto"/>
            <w:vAlign w:val="center"/>
            <w:hideMark/>
          </w:tcPr>
          <w:p w14:paraId="613A311E" w14:textId="39A6BAAE" w:rsidR="00270A0A" w:rsidRPr="00005453" w:rsidRDefault="00270A0A" w:rsidP="00270A0A">
            <w:pPr>
              <w:jc w:val="right"/>
              <w:rPr>
                <w:color w:val="000000"/>
                <w:sz w:val="18"/>
                <w:szCs w:val="18"/>
                <w:lang w:eastAsia="tr-TR"/>
              </w:rPr>
            </w:pPr>
            <w:r w:rsidRPr="00005453">
              <w:rPr>
                <w:color w:val="000000"/>
                <w:sz w:val="18"/>
                <w:szCs w:val="18"/>
                <w:lang w:eastAsia="tr-TR"/>
              </w:rPr>
              <w:t>898</w:t>
            </w:r>
          </w:p>
        </w:tc>
        <w:tc>
          <w:tcPr>
            <w:tcW w:w="868" w:type="dxa"/>
            <w:gridSpan w:val="2"/>
            <w:tcBorders>
              <w:top w:val="nil"/>
              <w:left w:val="nil"/>
              <w:bottom w:val="nil"/>
              <w:right w:val="nil"/>
            </w:tcBorders>
            <w:shd w:val="clear" w:color="auto" w:fill="auto"/>
            <w:vAlign w:val="center"/>
            <w:hideMark/>
          </w:tcPr>
          <w:p w14:paraId="107B479C" w14:textId="60308C2E"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701" w:type="dxa"/>
            <w:gridSpan w:val="2"/>
            <w:tcBorders>
              <w:top w:val="nil"/>
              <w:left w:val="nil"/>
              <w:bottom w:val="nil"/>
              <w:right w:val="nil"/>
            </w:tcBorders>
            <w:shd w:val="clear" w:color="auto" w:fill="auto"/>
            <w:vAlign w:val="center"/>
            <w:hideMark/>
          </w:tcPr>
          <w:p w14:paraId="6476DAE0" w14:textId="30C5475A"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3EB7ADD9" w14:textId="45F17480" w:rsidR="00270A0A" w:rsidRPr="00005453" w:rsidRDefault="00270A0A" w:rsidP="00270A0A">
            <w:pPr>
              <w:jc w:val="right"/>
              <w:rPr>
                <w:color w:val="000000"/>
                <w:sz w:val="18"/>
                <w:szCs w:val="18"/>
                <w:lang w:eastAsia="tr-TR"/>
              </w:rPr>
            </w:pPr>
            <w:r w:rsidRPr="00005453">
              <w:rPr>
                <w:color w:val="000000"/>
                <w:sz w:val="18"/>
                <w:szCs w:val="18"/>
                <w:lang w:eastAsia="tr-TR"/>
              </w:rPr>
              <w:t>1,996</w:t>
            </w:r>
          </w:p>
        </w:tc>
        <w:tc>
          <w:tcPr>
            <w:tcW w:w="1147" w:type="dxa"/>
            <w:gridSpan w:val="2"/>
            <w:tcBorders>
              <w:top w:val="nil"/>
              <w:left w:val="nil"/>
              <w:bottom w:val="nil"/>
              <w:right w:val="nil"/>
            </w:tcBorders>
            <w:shd w:val="clear" w:color="auto" w:fill="auto"/>
            <w:vAlign w:val="center"/>
            <w:hideMark/>
          </w:tcPr>
          <w:p w14:paraId="27953BF2" w14:textId="724F9E51" w:rsidR="00270A0A" w:rsidRPr="00005453" w:rsidRDefault="00270A0A" w:rsidP="00270A0A">
            <w:pPr>
              <w:jc w:val="right"/>
              <w:rPr>
                <w:color w:val="000000"/>
                <w:sz w:val="18"/>
                <w:szCs w:val="18"/>
                <w:lang w:eastAsia="tr-TR"/>
              </w:rPr>
            </w:pPr>
            <w:r w:rsidRPr="00005453">
              <w:rPr>
                <w:color w:val="000000"/>
                <w:sz w:val="18"/>
                <w:szCs w:val="18"/>
                <w:lang w:eastAsia="tr-TR"/>
              </w:rPr>
              <w:t>19</w:t>
            </w:r>
          </w:p>
        </w:tc>
        <w:tc>
          <w:tcPr>
            <w:tcW w:w="912" w:type="dxa"/>
            <w:tcBorders>
              <w:top w:val="nil"/>
              <w:left w:val="nil"/>
              <w:bottom w:val="nil"/>
              <w:right w:val="nil"/>
            </w:tcBorders>
            <w:shd w:val="clear" w:color="auto" w:fill="auto"/>
            <w:vAlign w:val="center"/>
            <w:hideMark/>
          </w:tcPr>
          <w:p w14:paraId="23296BC9" w14:textId="145A8896"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718D2B1" w14:textId="7AC20A24" w:rsidR="00270A0A" w:rsidRPr="00005453" w:rsidRDefault="00270A0A" w:rsidP="00270A0A">
            <w:pPr>
              <w:jc w:val="right"/>
              <w:rPr>
                <w:color w:val="000000"/>
                <w:sz w:val="18"/>
                <w:szCs w:val="18"/>
                <w:lang w:eastAsia="tr-TR"/>
              </w:rPr>
            </w:pPr>
            <w:r w:rsidRPr="00005453">
              <w:rPr>
                <w:color w:val="000000"/>
                <w:sz w:val="18"/>
                <w:szCs w:val="18"/>
                <w:lang w:eastAsia="tr-TR"/>
              </w:rPr>
              <w:t>2,965</w:t>
            </w:r>
          </w:p>
        </w:tc>
      </w:tr>
      <w:tr w:rsidR="00270A0A" w:rsidRPr="00005453" w14:paraId="07DC4F21"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5FDCEA27"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Ticari kuruluş katılma hs.</w:t>
            </w:r>
          </w:p>
        </w:tc>
        <w:tc>
          <w:tcPr>
            <w:tcW w:w="861" w:type="dxa"/>
            <w:tcBorders>
              <w:top w:val="nil"/>
              <w:left w:val="nil"/>
              <w:bottom w:val="nil"/>
              <w:right w:val="nil"/>
            </w:tcBorders>
            <w:shd w:val="clear" w:color="auto" w:fill="auto"/>
            <w:vAlign w:val="center"/>
            <w:hideMark/>
          </w:tcPr>
          <w:p w14:paraId="390FB4E8" w14:textId="42C2C675" w:rsidR="00270A0A" w:rsidRPr="00005453" w:rsidRDefault="00270A0A" w:rsidP="00270A0A">
            <w:pPr>
              <w:jc w:val="right"/>
              <w:rPr>
                <w:color w:val="000000"/>
                <w:sz w:val="18"/>
                <w:szCs w:val="18"/>
                <w:lang w:eastAsia="tr-TR"/>
              </w:rPr>
            </w:pPr>
            <w:r w:rsidRPr="00005453">
              <w:rPr>
                <w:color w:val="000000"/>
                <w:sz w:val="18"/>
                <w:szCs w:val="18"/>
                <w:lang w:eastAsia="tr-TR"/>
              </w:rPr>
              <w:t>198,594</w:t>
            </w:r>
          </w:p>
        </w:tc>
        <w:tc>
          <w:tcPr>
            <w:tcW w:w="978" w:type="dxa"/>
            <w:gridSpan w:val="2"/>
            <w:tcBorders>
              <w:top w:val="nil"/>
              <w:left w:val="nil"/>
              <w:bottom w:val="nil"/>
              <w:right w:val="nil"/>
            </w:tcBorders>
            <w:shd w:val="clear" w:color="auto" w:fill="auto"/>
            <w:vAlign w:val="center"/>
            <w:hideMark/>
          </w:tcPr>
          <w:p w14:paraId="2A9C00D9" w14:textId="6AFBA3E2" w:rsidR="00270A0A" w:rsidRPr="00005453" w:rsidRDefault="00270A0A" w:rsidP="00270A0A">
            <w:pPr>
              <w:jc w:val="right"/>
              <w:rPr>
                <w:color w:val="000000"/>
                <w:sz w:val="18"/>
                <w:szCs w:val="18"/>
                <w:lang w:eastAsia="tr-TR"/>
              </w:rPr>
            </w:pPr>
            <w:r w:rsidRPr="00005453">
              <w:rPr>
                <w:color w:val="000000"/>
                <w:sz w:val="18"/>
                <w:szCs w:val="18"/>
                <w:lang w:eastAsia="tr-TR"/>
              </w:rPr>
              <w:t>1,330,201</w:t>
            </w:r>
          </w:p>
        </w:tc>
        <w:tc>
          <w:tcPr>
            <w:tcW w:w="868" w:type="dxa"/>
            <w:gridSpan w:val="2"/>
            <w:tcBorders>
              <w:top w:val="nil"/>
              <w:left w:val="nil"/>
              <w:bottom w:val="nil"/>
              <w:right w:val="nil"/>
            </w:tcBorders>
            <w:shd w:val="clear" w:color="auto" w:fill="auto"/>
            <w:vAlign w:val="center"/>
            <w:hideMark/>
          </w:tcPr>
          <w:p w14:paraId="3DD95322" w14:textId="5305EE34" w:rsidR="00270A0A" w:rsidRPr="00005453" w:rsidRDefault="00270A0A" w:rsidP="00270A0A">
            <w:pPr>
              <w:jc w:val="right"/>
              <w:rPr>
                <w:color w:val="000000"/>
                <w:sz w:val="18"/>
                <w:szCs w:val="18"/>
                <w:lang w:eastAsia="tr-TR"/>
              </w:rPr>
            </w:pPr>
            <w:r w:rsidRPr="00005453">
              <w:rPr>
                <w:color w:val="000000"/>
                <w:sz w:val="18"/>
                <w:szCs w:val="18"/>
                <w:lang w:eastAsia="tr-TR"/>
              </w:rPr>
              <w:t>424,792</w:t>
            </w:r>
          </w:p>
        </w:tc>
        <w:tc>
          <w:tcPr>
            <w:tcW w:w="701" w:type="dxa"/>
            <w:gridSpan w:val="2"/>
            <w:tcBorders>
              <w:top w:val="nil"/>
              <w:left w:val="nil"/>
              <w:bottom w:val="nil"/>
              <w:right w:val="nil"/>
            </w:tcBorders>
            <w:shd w:val="clear" w:color="auto" w:fill="auto"/>
            <w:vAlign w:val="center"/>
            <w:hideMark/>
          </w:tcPr>
          <w:p w14:paraId="55571212" w14:textId="26B70E94"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085D2AC3" w14:textId="244E53A2" w:rsidR="00270A0A" w:rsidRPr="00005453" w:rsidRDefault="00270A0A" w:rsidP="00270A0A">
            <w:pPr>
              <w:jc w:val="right"/>
              <w:rPr>
                <w:color w:val="000000"/>
                <w:sz w:val="18"/>
                <w:szCs w:val="18"/>
                <w:lang w:eastAsia="tr-TR"/>
              </w:rPr>
            </w:pPr>
            <w:r w:rsidRPr="00005453">
              <w:rPr>
                <w:color w:val="000000"/>
                <w:sz w:val="18"/>
                <w:szCs w:val="18"/>
                <w:lang w:eastAsia="tr-TR"/>
              </w:rPr>
              <w:t>526,113</w:t>
            </w:r>
          </w:p>
        </w:tc>
        <w:tc>
          <w:tcPr>
            <w:tcW w:w="1147" w:type="dxa"/>
            <w:gridSpan w:val="2"/>
            <w:tcBorders>
              <w:top w:val="nil"/>
              <w:left w:val="nil"/>
              <w:bottom w:val="nil"/>
              <w:right w:val="nil"/>
            </w:tcBorders>
            <w:shd w:val="clear" w:color="auto" w:fill="auto"/>
            <w:vAlign w:val="center"/>
            <w:hideMark/>
          </w:tcPr>
          <w:p w14:paraId="793E35BB" w14:textId="38FCA793" w:rsidR="00270A0A" w:rsidRPr="00005453" w:rsidRDefault="00270A0A" w:rsidP="00270A0A">
            <w:pPr>
              <w:jc w:val="right"/>
              <w:rPr>
                <w:color w:val="000000"/>
                <w:sz w:val="18"/>
                <w:szCs w:val="18"/>
                <w:lang w:eastAsia="tr-TR"/>
              </w:rPr>
            </w:pPr>
            <w:r w:rsidRPr="00005453">
              <w:rPr>
                <w:color w:val="000000"/>
                <w:sz w:val="18"/>
                <w:szCs w:val="18"/>
                <w:lang w:eastAsia="tr-TR"/>
              </w:rPr>
              <w:t>16,587</w:t>
            </w:r>
          </w:p>
        </w:tc>
        <w:tc>
          <w:tcPr>
            <w:tcW w:w="912" w:type="dxa"/>
            <w:tcBorders>
              <w:top w:val="nil"/>
              <w:left w:val="nil"/>
              <w:bottom w:val="nil"/>
              <w:right w:val="nil"/>
            </w:tcBorders>
            <w:shd w:val="clear" w:color="auto" w:fill="auto"/>
            <w:vAlign w:val="center"/>
            <w:hideMark/>
          </w:tcPr>
          <w:p w14:paraId="62A03E4B" w14:textId="7F51208B"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3882AAB9" w14:textId="3461A9A0" w:rsidR="00270A0A" w:rsidRPr="00005453" w:rsidRDefault="00270A0A" w:rsidP="00270A0A">
            <w:pPr>
              <w:jc w:val="right"/>
              <w:rPr>
                <w:color w:val="000000"/>
                <w:sz w:val="18"/>
                <w:szCs w:val="18"/>
                <w:lang w:eastAsia="tr-TR"/>
              </w:rPr>
            </w:pPr>
            <w:r w:rsidRPr="00005453">
              <w:rPr>
                <w:color w:val="000000"/>
                <w:sz w:val="18"/>
                <w:szCs w:val="18"/>
                <w:lang w:eastAsia="tr-TR"/>
              </w:rPr>
              <w:t>2,496,287</w:t>
            </w:r>
          </w:p>
        </w:tc>
      </w:tr>
      <w:tr w:rsidR="00270A0A" w:rsidRPr="00005453" w14:paraId="3EF140D8"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29D46940"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Diğer kuruluş katılma hs.</w:t>
            </w:r>
          </w:p>
        </w:tc>
        <w:tc>
          <w:tcPr>
            <w:tcW w:w="861" w:type="dxa"/>
            <w:tcBorders>
              <w:top w:val="nil"/>
              <w:left w:val="nil"/>
              <w:bottom w:val="nil"/>
              <w:right w:val="nil"/>
            </w:tcBorders>
            <w:shd w:val="clear" w:color="auto" w:fill="auto"/>
            <w:vAlign w:val="center"/>
            <w:hideMark/>
          </w:tcPr>
          <w:p w14:paraId="54D681EF" w14:textId="3D35317C" w:rsidR="00270A0A" w:rsidRPr="00005453" w:rsidRDefault="00270A0A" w:rsidP="00270A0A">
            <w:pPr>
              <w:jc w:val="right"/>
              <w:rPr>
                <w:color w:val="000000"/>
                <w:sz w:val="18"/>
                <w:szCs w:val="18"/>
                <w:lang w:eastAsia="tr-TR"/>
              </w:rPr>
            </w:pPr>
            <w:r w:rsidRPr="00005453">
              <w:rPr>
                <w:color w:val="000000"/>
                <w:sz w:val="18"/>
                <w:szCs w:val="18"/>
                <w:lang w:eastAsia="tr-TR"/>
              </w:rPr>
              <w:t>44,894</w:t>
            </w:r>
          </w:p>
        </w:tc>
        <w:tc>
          <w:tcPr>
            <w:tcW w:w="978" w:type="dxa"/>
            <w:gridSpan w:val="2"/>
            <w:tcBorders>
              <w:top w:val="nil"/>
              <w:left w:val="nil"/>
              <w:bottom w:val="nil"/>
              <w:right w:val="nil"/>
            </w:tcBorders>
            <w:shd w:val="clear" w:color="auto" w:fill="auto"/>
            <w:vAlign w:val="center"/>
            <w:hideMark/>
          </w:tcPr>
          <w:p w14:paraId="444384D1" w14:textId="02A1E7DB" w:rsidR="00270A0A" w:rsidRPr="00005453" w:rsidRDefault="00270A0A" w:rsidP="00270A0A">
            <w:pPr>
              <w:jc w:val="right"/>
              <w:rPr>
                <w:color w:val="000000"/>
                <w:sz w:val="18"/>
                <w:szCs w:val="18"/>
                <w:lang w:eastAsia="tr-TR"/>
              </w:rPr>
            </w:pPr>
            <w:r w:rsidRPr="00005453">
              <w:rPr>
                <w:color w:val="000000"/>
                <w:sz w:val="18"/>
                <w:szCs w:val="18"/>
                <w:lang w:eastAsia="tr-TR"/>
              </w:rPr>
              <w:t>185,172</w:t>
            </w:r>
          </w:p>
        </w:tc>
        <w:tc>
          <w:tcPr>
            <w:tcW w:w="868" w:type="dxa"/>
            <w:gridSpan w:val="2"/>
            <w:tcBorders>
              <w:top w:val="nil"/>
              <w:left w:val="nil"/>
              <w:bottom w:val="nil"/>
              <w:right w:val="nil"/>
            </w:tcBorders>
            <w:shd w:val="clear" w:color="auto" w:fill="auto"/>
            <w:vAlign w:val="center"/>
            <w:hideMark/>
          </w:tcPr>
          <w:p w14:paraId="6D4B1B57" w14:textId="2F662AC8" w:rsidR="00270A0A" w:rsidRPr="00005453" w:rsidRDefault="00270A0A" w:rsidP="00270A0A">
            <w:pPr>
              <w:jc w:val="right"/>
              <w:rPr>
                <w:color w:val="000000"/>
                <w:sz w:val="18"/>
                <w:szCs w:val="18"/>
                <w:lang w:eastAsia="tr-TR"/>
              </w:rPr>
            </w:pPr>
            <w:r w:rsidRPr="00005453">
              <w:rPr>
                <w:color w:val="000000"/>
                <w:sz w:val="18"/>
                <w:szCs w:val="18"/>
                <w:lang w:eastAsia="tr-TR"/>
              </w:rPr>
              <w:t>35,089</w:t>
            </w:r>
          </w:p>
        </w:tc>
        <w:tc>
          <w:tcPr>
            <w:tcW w:w="701" w:type="dxa"/>
            <w:gridSpan w:val="2"/>
            <w:tcBorders>
              <w:top w:val="nil"/>
              <w:left w:val="nil"/>
              <w:bottom w:val="nil"/>
              <w:right w:val="nil"/>
            </w:tcBorders>
            <w:shd w:val="clear" w:color="auto" w:fill="auto"/>
            <w:vAlign w:val="center"/>
            <w:hideMark/>
          </w:tcPr>
          <w:p w14:paraId="7564DB81" w14:textId="4A3F156B"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3945CA4A" w14:textId="484322E4" w:rsidR="00270A0A" w:rsidRPr="00005453" w:rsidRDefault="00270A0A" w:rsidP="00270A0A">
            <w:pPr>
              <w:jc w:val="right"/>
              <w:rPr>
                <w:color w:val="000000"/>
                <w:sz w:val="18"/>
                <w:szCs w:val="18"/>
                <w:lang w:eastAsia="tr-TR"/>
              </w:rPr>
            </w:pPr>
            <w:r w:rsidRPr="00005453">
              <w:rPr>
                <w:color w:val="000000"/>
                <w:sz w:val="18"/>
                <w:szCs w:val="18"/>
                <w:lang w:eastAsia="tr-TR"/>
              </w:rPr>
              <w:t>24,381</w:t>
            </w:r>
          </w:p>
        </w:tc>
        <w:tc>
          <w:tcPr>
            <w:tcW w:w="1147" w:type="dxa"/>
            <w:gridSpan w:val="2"/>
            <w:tcBorders>
              <w:top w:val="nil"/>
              <w:left w:val="nil"/>
              <w:bottom w:val="nil"/>
              <w:right w:val="nil"/>
            </w:tcBorders>
            <w:shd w:val="clear" w:color="auto" w:fill="auto"/>
            <w:vAlign w:val="center"/>
            <w:hideMark/>
          </w:tcPr>
          <w:p w14:paraId="456E5E69" w14:textId="2143908E" w:rsidR="00270A0A" w:rsidRPr="00005453" w:rsidRDefault="00270A0A" w:rsidP="00270A0A">
            <w:pPr>
              <w:jc w:val="right"/>
              <w:rPr>
                <w:color w:val="000000"/>
                <w:sz w:val="18"/>
                <w:szCs w:val="18"/>
                <w:lang w:eastAsia="tr-TR"/>
              </w:rPr>
            </w:pPr>
            <w:r w:rsidRPr="00005453">
              <w:rPr>
                <w:color w:val="000000"/>
                <w:sz w:val="18"/>
                <w:szCs w:val="18"/>
                <w:lang w:eastAsia="tr-TR"/>
              </w:rPr>
              <w:t>164</w:t>
            </w:r>
          </w:p>
        </w:tc>
        <w:tc>
          <w:tcPr>
            <w:tcW w:w="912" w:type="dxa"/>
            <w:tcBorders>
              <w:top w:val="nil"/>
              <w:left w:val="nil"/>
              <w:bottom w:val="nil"/>
              <w:right w:val="nil"/>
            </w:tcBorders>
            <w:shd w:val="clear" w:color="auto" w:fill="auto"/>
            <w:vAlign w:val="center"/>
            <w:hideMark/>
          </w:tcPr>
          <w:p w14:paraId="3628C0B4" w14:textId="70DD384B"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54759C12" w14:textId="4117D026" w:rsidR="00270A0A" w:rsidRPr="00005453" w:rsidRDefault="00270A0A" w:rsidP="00270A0A">
            <w:pPr>
              <w:jc w:val="right"/>
              <w:rPr>
                <w:color w:val="000000"/>
                <w:sz w:val="18"/>
                <w:szCs w:val="18"/>
                <w:lang w:eastAsia="tr-TR"/>
              </w:rPr>
            </w:pPr>
            <w:r w:rsidRPr="00005453">
              <w:rPr>
                <w:color w:val="000000"/>
                <w:sz w:val="18"/>
                <w:szCs w:val="18"/>
                <w:lang w:eastAsia="tr-TR"/>
              </w:rPr>
              <w:t>289,700</w:t>
            </w:r>
          </w:p>
        </w:tc>
      </w:tr>
      <w:tr w:rsidR="00700F7C" w:rsidRPr="00005453" w14:paraId="07D4CA61" w14:textId="77777777" w:rsidTr="00270A0A">
        <w:trPr>
          <w:divId w:val="271670522"/>
          <w:trHeight w:val="57"/>
        </w:trPr>
        <w:tc>
          <w:tcPr>
            <w:tcW w:w="2436" w:type="dxa"/>
            <w:gridSpan w:val="2"/>
            <w:tcBorders>
              <w:top w:val="nil"/>
              <w:left w:val="nil"/>
              <w:bottom w:val="single" w:sz="8" w:space="0" w:color="auto"/>
              <w:right w:val="nil"/>
            </w:tcBorders>
            <w:shd w:val="clear" w:color="auto" w:fill="auto"/>
            <w:vAlign w:val="bottom"/>
            <w:hideMark/>
          </w:tcPr>
          <w:p w14:paraId="4851844C" w14:textId="77777777" w:rsidR="00700F7C" w:rsidRPr="00005453" w:rsidRDefault="00700F7C" w:rsidP="00700F7C">
            <w:pPr>
              <w:rPr>
                <w:color w:val="000000"/>
                <w:sz w:val="6"/>
                <w:szCs w:val="6"/>
                <w:lang w:eastAsia="tr-TR"/>
              </w:rPr>
            </w:pPr>
            <w:r w:rsidRPr="00005453">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7A4D2BAD" w14:textId="6405CAC9"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978" w:type="dxa"/>
            <w:gridSpan w:val="2"/>
            <w:tcBorders>
              <w:top w:val="nil"/>
              <w:left w:val="nil"/>
              <w:bottom w:val="single" w:sz="8" w:space="0" w:color="auto"/>
              <w:right w:val="nil"/>
            </w:tcBorders>
            <w:shd w:val="clear" w:color="auto" w:fill="auto"/>
            <w:vAlign w:val="center"/>
            <w:hideMark/>
          </w:tcPr>
          <w:p w14:paraId="7D918467" w14:textId="614444B4"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868" w:type="dxa"/>
            <w:gridSpan w:val="2"/>
            <w:tcBorders>
              <w:top w:val="nil"/>
              <w:left w:val="nil"/>
              <w:bottom w:val="single" w:sz="8" w:space="0" w:color="auto"/>
              <w:right w:val="nil"/>
            </w:tcBorders>
            <w:shd w:val="clear" w:color="auto" w:fill="auto"/>
            <w:vAlign w:val="center"/>
            <w:hideMark/>
          </w:tcPr>
          <w:p w14:paraId="52916DA9" w14:textId="628755C9"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701" w:type="dxa"/>
            <w:gridSpan w:val="2"/>
            <w:tcBorders>
              <w:top w:val="nil"/>
              <w:left w:val="nil"/>
              <w:bottom w:val="single" w:sz="8" w:space="0" w:color="auto"/>
              <w:right w:val="nil"/>
            </w:tcBorders>
            <w:shd w:val="clear" w:color="auto" w:fill="auto"/>
            <w:vAlign w:val="center"/>
            <w:hideMark/>
          </w:tcPr>
          <w:p w14:paraId="3028CB2E" w14:textId="0DD2E51F"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860" w:type="dxa"/>
            <w:gridSpan w:val="2"/>
            <w:tcBorders>
              <w:top w:val="nil"/>
              <w:left w:val="nil"/>
              <w:bottom w:val="single" w:sz="8" w:space="0" w:color="auto"/>
              <w:right w:val="nil"/>
            </w:tcBorders>
            <w:shd w:val="clear" w:color="auto" w:fill="auto"/>
            <w:vAlign w:val="center"/>
            <w:hideMark/>
          </w:tcPr>
          <w:p w14:paraId="280774EF" w14:textId="6B2FF4B6"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1147" w:type="dxa"/>
            <w:gridSpan w:val="2"/>
            <w:tcBorders>
              <w:top w:val="nil"/>
              <w:left w:val="nil"/>
              <w:bottom w:val="single" w:sz="8" w:space="0" w:color="auto"/>
              <w:right w:val="nil"/>
            </w:tcBorders>
            <w:shd w:val="clear" w:color="auto" w:fill="auto"/>
            <w:vAlign w:val="center"/>
            <w:hideMark/>
          </w:tcPr>
          <w:p w14:paraId="411DCAC4" w14:textId="0BB8C245"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912" w:type="dxa"/>
            <w:tcBorders>
              <w:top w:val="nil"/>
              <w:left w:val="nil"/>
              <w:bottom w:val="single" w:sz="8" w:space="0" w:color="auto"/>
              <w:right w:val="nil"/>
            </w:tcBorders>
            <w:shd w:val="clear" w:color="auto" w:fill="auto"/>
            <w:vAlign w:val="center"/>
            <w:hideMark/>
          </w:tcPr>
          <w:p w14:paraId="2EF8A828" w14:textId="356C4F82"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961" w:type="dxa"/>
            <w:tcBorders>
              <w:top w:val="nil"/>
              <w:left w:val="nil"/>
              <w:bottom w:val="single" w:sz="8" w:space="0" w:color="auto"/>
              <w:right w:val="nil"/>
            </w:tcBorders>
            <w:shd w:val="clear" w:color="auto" w:fill="auto"/>
            <w:vAlign w:val="center"/>
            <w:hideMark/>
          </w:tcPr>
          <w:p w14:paraId="1457D00A" w14:textId="1A22B8DC" w:rsidR="00700F7C" w:rsidRPr="00005453" w:rsidRDefault="00700F7C" w:rsidP="00700F7C">
            <w:pPr>
              <w:jc w:val="right"/>
              <w:rPr>
                <w:color w:val="000000"/>
                <w:sz w:val="6"/>
                <w:szCs w:val="6"/>
                <w:lang w:eastAsia="tr-TR"/>
              </w:rPr>
            </w:pPr>
            <w:r w:rsidRPr="00005453">
              <w:rPr>
                <w:color w:val="000000"/>
                <w:sz w:val="6"/>
                <w:szCs w:val="6"/>
                <w:lang w:eastAsia="tr-TR"/>
              </w:rPr>
              <w:t> </w:t>
            </w:r>
          </w:p>
        </w:tc>
      </w:tr>
      <w:tr w:rsidR="00270A0A" w:rsidRPr="00005453" w14:paraId="3A445F12" w14:textId="77777777" w:rsidTr="00270A0A">
        <w:trPr>
          <w:divId w:val="271670522"/>
          <w:trHeight w:val="201"/>
        </w:trPr>
        <w:tc>
          <w:tcPr>
            <w:tcW w:w="2436" w:type="dxa"/>
            <w:gridSpan w:val="2"/>
            <w:tcBorders>
              <w:top w:val="nil"/>
              <w:left w:val="nil"/>
              <w:bottom w:val="single" w:sz="8" w:space="0" w:color="auto"/>
              <w:right w:val="nil"/>
            </w:tcBorders>
            <w:shd w:val="clear" w:color="auto" w:fill="auto"/>
            <w:vAlign w:val="center"/>
            <w:hideMark/>
          </w:tcPr>
          <w:p w14:paraId="0964AE4E" w14:textId="77777777" w:rsidR="00270A0A" w:rsidRPr="00005453" w:rsidRDefault="00270A0A" w:rsidP="00270A0A">
            <w:pPr>
              <w:ind w:firstLineChars="100" w:firstLine="181"/>
              <w:rPr>
                <w:b/>
                <w:bCs/>
                <w:color w:val="000000"/>
                <w:sz w:val="18"/>
                <w:szCs w:val="18"/>
                <w:lang w:eastAsia="tr-TR"/>
              </w:rPr>
            </w:pPr>
            <w:r w:rsidRPr="00005453">
              <w:rPr>
                <w:b/>
                <w:bCs/>
                <w:color w:val="000000"/>
                <w:sz w:val="18"/>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767F8940" w14:textId="771A368B" w:rsidR="00270A0A" w:rsidRPr="00005453" w:rsidRDefault="00270A0A" w:rsidP="00270A0A">
            <w:pPr>
              <w:jc w:val="right"/>
              <w:rPr>
                <w:b/>
                <w:bCs/>
                <w:color w:val="000000"/>
                <w:sz w:val="18"/>
                <w:szCs w:val="18"/>
                <w:lang w:eastAsia="tr-TR"/>
              </w:rPr>
            </w:pPr>
            <w:r w:rsidRPr="00005453">
              <w:rPr>
                <w:b/>
                <w:bCs/>
                <w:color w:val="000000"/>
                <w:sz w:val="18"/>
                <w:szCs w:val="18"/>
                <w:lang w:eastAsia="tr-TR"/>
              </w:rPr>
              <w:t>2,334,363</w:t>
            </w:r>
          </w:p>
        </w:tc>
        <w:tc>
          <w:tcPr>
            <w:tcW w:w="978" w:type="dxa"/>
            <w:gridSpan w:val="2"/>
            <w:tcBorders>
              <w:top w:val="nil"/>
              <w:left w:val="nil"/>
              <w:bottom w:val="single" w:sz="8" w:space="0" w:color="auto"/>
              <w:right w:val="nil"/>
            </w:tcBorders>
            <w:shd w:val="clear" w:color="auto" w:fill="auto"/>
            <w:vAlign w:val="center"/>
            <w:hideMark/>
          </w:tcPr>
          <w:p w14:paraId="15C14ED1" w14:textId="23B52AD8" w:rsidR="00270A0A" w:rsidRPr="00005453" w:rsidRDefault="00270A0A" w:rsidP="00270A0A">
            <w:pPr>
              <w:jc w:val="right"/>
              <w:rPr>
                <w:b/>
                <w:bCs/>
                <w:color w:val="000000"/>
                <w:sz w:val="18"/>
                <w:szCs w:val="18"/>
                <w:lang w:eastAsia="tr-TR"/>
              </w:rPr>
            </w:pPr>
            <w:r w:rsidRPr="00005453">
              <w:rPr>
                <w:b/>
                <w:bCs/>
                <w:color w:val="000000"/>
                <w:sz w:val="18"/>
                <w:szCs w:val="18"/>
                <w:lang w:eastAsia="tr-TR"/>
              </w:rPr>
              <w:t>14,397,985</w:t>
            </w:r>
          </w:p>
        </w:tc>
        <w:tc>
          <w:tcPr>
            <w:tcW w:w="868" w:type="dxa"/>
            <w:gridSpan w:val="2"/>
            <w:tcBorders>
              <w:top w:val="nil"/>
              <w:left w:val="nil"/>
              <w:bottom w:val="single" w:sz="8" w:space="0" w:color="auto"/>
              <w:right w:val="nil"/>
            </w:tcBorders>
            <w:shd w:val="clear" w:color="auto" w:fill="auto"/>
            <w:vAlign w:val="center"/>
            <w:hideMark/>
          </w:tcPr>
          <w:p w14:paraId="33F9776D" w14:textId="4A75DB2A" w:rsidR="00270A0A" w:rsidRPr="00005453" w:rsidRDefault="00270A0A" w:rsidP="00270A0A">
            <w:pPr>
              <w:jc w:val="right"/>
              <w:rPr>
                <w:b/>
                <w:bCs/>
                <w:color w:val="000000"/>
                <w:sz w:val="18"/>
                <w:szCs w:val="18"/>
                <w:lang w:eastAsia="tr-TR"/>
              </w:rPr>
            </w:pPr>
            <w:r w:rsidRPr="00005453">
              <w:rPr>
                <w:b/>
                <w:bCs/>
                <w:color w:val="000000"/>
                <w:sz w:val="18"/>
                <w:szCs w:val="18"/>
                <w:lang w:eastAsia="tr-TR"/>
              </w:rPr>
              <w:t>1,673,392</w:t>
            </w:r>
          </w:p>
        </w:tc>
        <w:tc>
          <w:tcPr>
            <w:tcW w:w="701" w:type="dxa"/>
            <w:gridSpan w:val="2"/>
            <w:tcBorders>
              <w:top w:val="nil"/>
              <w:left w:val="nil"/>
              <w:bottom w:val="single" w:sz="8" w:space="0" w:color="auto"/>
              <w:right w:val="nil"/>
            </w:tcBorders>
            <w:shd w:val="clear" w:color="auto" w:fill="auto"/>
            <w:vAlign w:val="center"/>
            <w:hideMark/>
          </w:tcPr>
          <w:p w14:paraId="04675FBA" w14:textId="25A1416E" w:rsidR="00270A0A" w:rsidRPr="00005453" w:rsidRDefault="00270A0A" w:rsidP="00270A0A">
            <w:pPr>
              <w:jc w:val="right"/>
              <w:rPr>
                <w:b/>
                <w:bCs/>
                <w:color w:val="000000"/>
                <w:sz w:val="18"/>
                <w:szCs w:val="18"/>
                <w:lang w:eastAsia="tr-TR"/>
              </w:rPr>
            </w:pPr>
            <w:r w:rsidRPr="00005453">
              <w:rPr>
                <w:b/>
                <w:bCs/>
                <w:color w:val="000000"/>
                <w:sz w:val="18"/>
                <w:szCs w:val="18"/>
                <w:lang w:eastAsia="tr-TR"/>
              </w:rPr>
              <w:t>-</w:t>
            </w:r>
          </w:p>
        </w:tc>
        <w:tc>
          <w:tcPr>
            <w:tcW w:w="860" w:type="dxa"/>
            <w:gridSpan w:val="2"/>
            <w:tcBorders>
              <w:top w:val="nil"/>
              <w:left w:val="nil"/>
              <w:bottom w:val="single" w:sz="8" w:space="0" w:color="auto"/>
              <w:right w:val="nil"/>
            </w:tcBorders>
            <w:shd w:val="clear" w:color="auto" w:fill="auto"/>
            <w:vAlign w:val="center"/>
            <w:hideMark/>
          </w:tcPr>
          <w:p w14:paraId="0CD00EDB" w14:textId="64419437" w:rsidR="00270A0A" w:rsidRPr="00005453" w:rsidRDefault="00270A0A" w:rsidP="00270A0A">
            <w:pPr>
              <w:jc w:val="right"/>
              <w:rPr>
                <w:b/>
                <w:bCs/>
                <w:color w:val="000000"/>
                <w:sz w:val="18"/>
                <w:szCs w:val="18"/>
                <w:lang w:eastAsia="tr-TR"/>
              </w:rPr>
            </w:pPr>
            <w:r w:rsidRPr="00005453">
              <w:rPr>
                <w:b/>
                <w:bCs/>
                <w:color w:val="000000"/>
                <w:sz w:val="18"/>
                <w:szCs w:val="18"/>
                <w:lang w:eastAsia="tr-TR"/>
              </w:rPr>
              <w:t>3,869,524</w:t>
            </w:r>
          </w:p>
        </w:tc>
        <w:tc>
          <w:tcPr>
            <w:tcW w:w="1147" w:type="dxa"/>
            <w:gridSpan w:val="2"/>
            <w:tcBorders>
              <w:top w:val="nil"/>
              <w:left w:val="nil"/>
              <w:bottom w:val="single" w:sz="8" w:space="0" w:color="auto"/>
              <w:right w:val="nil"/>
            </w:tcBorders>
            <w:shd w:val="clear" w:color="auto" w:fill="auto"/>
            <w:vAlign w:val="center"/>
            <w:hideMark/>
          </w:tcPr>
          <w:p w14:paraId="24D6A873" w14:textId="249E6F52" w:rsidR="00270A0A" w:rsidRPr="00005453" w:rsidRDefault="00270A0A" w:rsidP="00270A0A">
            <w:pPr>
              <w:jc w:val="right"/>
              <w:rPr>
                <w:b/>
                <w:bCs/>
                <w:color w:val="000000"/>
                <w:sz w:val="18"/>
                <w:szCs w:val="18"/>
                <w:lang w:eastAsia="tr-TR"/>
              </w:rPr>
            </w:pPr>
            <w:r w:rsidRPr="00005453">
              <w:rPr>
                <w:b/>
                <w:bCs/>
                <w:color w:val="000000"/>
                <w:sz w:val="18"/>
                <w:szCs w:val="18"/>
                <w:lang w:eastAsia="tr-TR"/>
              </w:rPr>
              <w:t>491,297</w:t>
            </w:r>
          </w:p>
        </w:tc>
        <w:tc>
          <w:tcPr>
            <w:tcW w:w="912" w:type="dxa"/>
            <w:tcBorders>
              <w:top w:val="nil"/>
              <w:left w:val="nil"/>
              <w:bottom w:val="single" w:sz="8" w:space="0" w:color="auto"/>
              <w:right w:val="nil"/>
            </w:tcBorders>
            <w:shd w:val="clear" w:color="auto" w:fill="auto"/>
            <w:vAlign w:val="center"/>
            <w:hideMark/>
          </w:tcPr>
          <w:p w14:paraId="5A0902CA" w14:textId="345B77FE" w:rsidR="00270A0A" w:rsidRPr="00005453" w:rsidRDefault="00270A0A" w:rsidP="00270A0A">
            <w:pPr>
              <w:jc w:val="right"/>
              <w:rPr>
                <w:b/>
                <w:bCs/>
                <w:color w:val="000000"/>
                <w:sz w:val="18"/>
                <w:szCs w:val="18"/>
                <w:lang w:eastAsia="tr-TR"/>
              </w:rPr>
            </w:pPr>
            <w:r w:rsidRPr="00005453">
              <w:rPr>
                <w:b/>
                <w:bCs/>
                <w:color w:val="000000"/>
                <w:sz w:val="18"/>
                <w:szCs w:val="18"/>
                <w:lang w:eastAsia="tr-TR"/>
              </w:rPr>
              <w:t>2,249</w:t>
            </w:r>
          </w:p>
        </w:tc>
        <w:tc>
          <w:tcPr>
            <w:tcW w:w="961" w:type="dxa"/>
            <w:tcBorders>
              <w:top w:val="nil"/>
              <w:left w:val="nil"/>
              <w:bottom w:val="single" w:sz="8" w:space="0" w:color="auto"/>
              <w:right w:val="nil"/>
            </w:tcBorders>
            <w:shd w:val="clear" w:color="auto" w:fill="auto"/>
            <w:vAlign w:val="center"/>
            <w:hideMark/>
          </w:tcPr>
          <w:p w14:paraId="26BCF65F" w14:textId="776A9608" w:rsidR="00270A0A" w:rsidRPr="00005453" w:rsidRDefault="00270A0A" w:rsidP="00270A0A">
            <w:pPr>
              <w:jc w:val="right"/>
              <w:rPr>
                <w:b/>
                <w:bCs/>
                <w:color w:val="000000"/>
                <w:sz w:val="18"/>
                <w:szCs w:val="18"/>
                <w:lang w:eastAsia="tr-TR"/>
              </w:rPr>
            </w:pPr>
            <w:r w:rsidRPr="00005453">
              <w:rPr>
                <w:b/>
                <w:bCs/>
                <w:color w:val="000000"/>
                <w:sz w:val="18"/>
                <w:szCs w:val="18"/>
                <w:lang w:eastAsia="tr-TR"/>
              </w:rPr>
              <w:t>22,768,810</w:t>
            </w:r>
          </w:p>
        </w:tc>
      </w:tr>
      <w:tr w:rsidR="00700F7C" w:rsidRPr="00005453" w14:paraId="76B16100"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6C001718" w14:textId="77777777" w:rsidR="00700F7C" w:rsidRPr="00005453" w:rsidRDefault="00700F7C" w:rsidP="00700F7C">
            <w:pPr>
              <w:rPr>
                <w:b/>
                <w:bCs/>
                <w:color w:val="000000"/>
                <w:sz w:val="18"/>
                <w:szCs w:val="18"/>
                <w:lang w:eastAsia="tr-TR"/>
              </w:rPr>
            </w:pPr>
            <w:r w:rsidRPr="00005453">
              <w:rPr>
                <w:b/>
                <w:bCs/>
                <w:color w:val="000000"/>
                <w:sz w:val="18"/>
                <w:szCs w:val="18"/>
                <w:lang w:eastAsia="tr-TR"/>
              </w:rPr>
              <w:t>Yabancı para</w:t>
            </w:r>
          </w:p>
        </w:tc>
        <w:tc>
          <w:tcPr>
            <w:tcW w:w="861" w:type="dxa"/>
            <w:tcBorders>
              <w:top w:val="nil"/>
              <w:left w:val="nil"/>
              <w:bottom w:val="nil"/>
              <w:right w:val="nil"/>
            </w:tcBorders>
            <w:shd w:val="clear" w:color="auto" w:fill="auto"/>
            <w:vAlign w:val="center"/>
            <w:hideMark/>
          </w:tcPr>
          <w:p w14:paraId="5A82E097" w14:textId="77777777" w:rsidR="00700F7C" w:rsidRPr="00005453" w:rsidRDefault="00700F7C" w:rsidP="00700F7C">
            <w:pPr>
              <w:jc w:val="right"/>
              <w:rPr>
                <w:b/>
                <w:bCs/>
                <w:color w:val="000000"/>
                <w:sz w:val="18"/>
                <w:szCs w:val="18"/>
                <w:lang w:eastAsia="tr-TR"/>
              </w:rPr>
            </w:pPr>
          </w:p>
        </w:tc>
        <w:tc>
          <w:tcPr>
            <w:tcW w:w="978" w:type="dxa"/>
            <w:gridSpan w:val="2"/>
            <w:tcBorders>
              <w:top w:val="nil"/>
              <w:left w:val="nil"/>
              <w:bottom w:val="nil"/>
              <w:right w:val="nil"/>
            </w:tcBorders>
            <w:shd w:val="clear" w:color="auto" w:fill="auto"/>
            <w:vAlign w:val="center"/>
            <w:hideMark/>
          </w:tcPr>
          <w:p w14:paraId="69EED7D8" w14:textId="77777777" w:rsidR="00700F7C" w:rsidRPr="00005453" w:rsidRDefault="00700F7C" w:rsidP="00700F7C">
            <w:pPr>
              <w:jc w:val="right"/>
              <w:rPr>
                <w:lang w:eastAsia="tr-TR"/>
              </w:rPr>
            </w:pPr>
          </w:p>
        </w:tc>
        <w:tc>
          <w:tcPr>
            <w:tcW w:w="868" w:type="dxa"/>
            <w:gridSpan w:val="2"/>
            <w:tcBorders>
              <w:top w:val="nil"/>
              <w:left w:val="nil"/>
              <w:bottom w:val="nil"/>
              <w:right w:val="nil"/>
            </w:tcBorders>
            <w:shd w:val="clear" w:color="auto" w:fill="auto"/>
            <w:vAlign w:val="center"/>
            <w:hideMark/>
          </w:tcPr>
          <w:p w14:paraId="0ADB7541" w14:textId="77777777" w:rsidR="00700F7C" w:rsidRPr="00005453" w:rsidRDefault="00700F7C" w:rsidP="00700F7C">
            <w:pPr>
              <w:jc w:val="right"/>
              <w:rPr>
                <w:lang w:eastAsia="tr-TR"/>
              </w:rPr>
            </w:pPr>
          </w:p>
        </w:tc>
        <w:tc>
          <w:tcPr>
            <w:tcW w:w="701" w:type="dxa"/>
            <w:gridSpan w:val="2"/>
            <w:tcBorders>
              <w:top w:val="nil"/>
              <w:left w:val="nil"/>
              <w:bottom w:val="nil"/>
              <w:right w:val="nil"/>
            </w:tcBorders>
            <w:shd w:val="clear" w:color="auto" w:fill="auto"/>
            <w:vAlign w:val="center"/>
            <w:hideMark/>
          </w:tcPr>
          <w:p w14:paraId="202DF4CA" w14:textId="77777777" w:rsidR="00700F7C" w:rsidRPr="00005453" w:rsidRDefault="00700F7C" w:rsidP="00700F7C">
            <w:pPr>
              <w:jc w:val="right"/>
              <w:rPr>
                <w:lang w:eastAsia="tr-TR"/>
              </w:rPr>
            </w:pPr>
          </w:p>
        </w:tc>
        <w:tc>
          <w:tcPr>
            <w:tcW w:w="860" w:type="dxa"/>
            <w:gridSpan w:val="2"/>
            <w:tcBorders>
              <w:top w:val="nil"/>
              <w:left w:val="nil"/>
              <w:bottom w:val="nil"/>
              <w:right w:val="nil"/>
            </w:tcBorders>
            <w:shd w:val="clear" w:color="auto" w:fill="auto"/>
            <w:vAlign w:val="center"/>
            <w:hideMark/>
          </w:tcPr>
          <w:p w14:paraId="1E14A960" w14:textId="77777777" w:rsidR="00700F7C" w:rsidRPr="00005453" w:rsidRDefault="00700F7C" w:rsidP="00700F7C">
            <w:pPr>
              <w:jc w:val="right"/>
              <w:rPr>
                <w:lang w:eastAsia="tr-TR"/>
              </w:rPr>
            </w:pPr>
          </w:p>
        </w:tc>
        <w:tc>
          <w:tcPr>
            <w:tcW w:w="1147" w:type="dxa"/>
            <w:gridSpan w:val="2"/>
            <w:tcBorders>
              <w:top w:val="nil"/>
              <w:left w:val="nil"/>
              <w:bottom w:val="nil"/>
              <w:right w:val="nil"/>
            </w:tcBorders>
            <w:shd w:val="clear" w:color="auto" w:fill="auto"/>
            <w:vAlign w:val="center"/>
            <w:hideMark/>
          </w:tcPr>
          <w:p w14:paraId="19B28000" w14:textId="77777777" w:rsidR="00700F7C" w:rsidRPr="00005453" w:rsidRDefault="00700F7C" w:rsidP="00700F7C">
            <w:pPr>
              <w:jc w:val="right"/>
              <w:rPr>
                <w:lang w:eastAsia="tr-TR"/>
              </w:rPr>
            </w:pPr>
          </w:p>
        </w:tc>
        <w:tc>
          <w:tcPr>
            <w:tcW w:w="912" w:type="dxa"/>
            <w:tcBorders>
              <w:top w:val="nil"/>
              <w:left w:val="nil"/>
              <w:bottom w:val="nil"/>
              <w:right w:val="nil"/>
            </w:tcBorders>
            <w:shd w:val="clear" w:color="auto" w:fill="auto"/>
            <w:vAlign w:val="center"/>
            <w:hideMark/>
          </w:tcPr>
          <w:p w14:paraId="6FE53559" w14:textId="77777777" w:rsidR="00700F7C" w:rsidRPr="00005453" w:rsidRDefault="00700F7C" w:rsidP="00700F7C">
            <w:pPr>
              <w:jc w:val="right"/>
              <w:rPr>
                <w:lang w:eastAsia="tr-TR"/>
              </w:rPr>
            </w:pPr>
          </w:p>
        </w:tc>
        <w:tc>
          <w:tcPr>
            <w:tcW w:w="961" w:type="dxa"/>
            <w:tcBorders>
              <w:top w:val="nil"/>
              <w:left w:val="nil"/>
              <w:bottom w:val="nil"/>
              <w:right w:val="nil"/>
            </w:tcBorders>
            <w:shd w:val="clear" w:color="auto" w:fill="auto"/>
            <w:vAlign w:val="center"/>
            <w:hideMark/>
          </w:tcPr>
          <w:p w14:paraId="473C7DC2" w14:textId="77777777" w:rsidR="00700F7C" w:rsidRPr="00005453" w:rsidRDefault="00700F7C" w:rsidP="00700F7C">
            <w:pPr>
              <w:jc w:val="right"/>
              <w:rPr>
                <w:lang w:eastAsia="tr-TR"/>
              </w:rPr>
            </w:pPr>
          </w:p>
        </w:tc>
      </w:tr>
      <w:tr w:rsidR="00270A0A" w:rsidRPr="00005453" w14:paraId="0277349E"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0DE341ED" w14:textId="77777777" w:rsidR="00270A0A" w:rsidRPr="00005453" w:rsidRDefault="00270A0A" w:rsidP="00270A0A">
            <w:pPr>
              <w:ind w:firstLineChars="100" w:firstLine="180"/>
              <w:rPr>
                <w:color w:val="000000"/>
                <w:sz w:val="18"/>
                <w:szCs w:val="18"/>
                <w:lang w:eastAsia="tr-TR"/>
              </w:rPr>
            </w:pPr>
            <w:r w:rsidRPr="00005453">
              <w:rPr>
                <w:bCs/>
                <w:color w:val="000000"/>
                <w:sz w:val="18"/>
                <w:szCs w:val="18"/>
                <w:lang w:eastAsia="tr-TR"/>
              </w:rPr>
              <w:t>Bankalar</w:t>
            </w:r>
          </w:p>
        </w:tc>
        <w:tc>
          <w:tcPr>
            <w:tcW w:w="861" w:type="dxa"/>
            <w:tcBorders>
              <w:top w:val="nil"/>
              <w:left w:val="nil"/>
              <w:bottom w:val="nil"/>
              <w:right w:val="nil"/>
            </w:tcBorders>
            <w:shd w:val="clear" w:color="auto" w:fill="auto"/>
            <w:vAlign w:val="center"/>
            <w:hideMark/>
          </w:tcPr>
          <w:p w14:paraId="6264DD90" w14:textId="052E7656"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78" w:type="dxa"/>
            <w:gridSpan w:val="2"/>
            <w:tcBorders>
              <w:top w:val="nil"/>
              <w:left w:val="nil"/>
              <w:bottom w:val="nil"/>
              <w:right w:val="nil"/>
            </w:tcBorders>
            <w:shd w:val="clear" w:color="auto" w:fill="auto"/>
            <w:vAlign w:val="center"/>
            <w:hideMark/>
          </w:tcPr>
          <w:p w14:paraId="5294CD8E" w14:textId="271A167C"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8" w:type="dxa"/>
            <w:gridSpan w:val="2"/>
            <w:tcBorders>
              <w:top w:val="nil"/>
              <w:left w:val="nil"/>
              <w:bottom w:val="nil"/>
              <w:right w:val="nil"/>
            </w:tcBorders>
            <w:shd w:val="clear" w:color="auto" w:fill="auto"/>
            <w:vAlign w:val="center"/>
            <w:hideMark/>
          </w:tcPr>
          <w:p w14:paraId="319E9E2C" w14:textId="7D4B6D4B"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701" w:type="dxa"/>
            <w:gridSpan w:val="2"/>
            <w:tcBorders>
              <w:top w:val="nil"/>
              <w:left w:val="nil"/>
              <w:bottom w:val="nil"/>
              <w:right w:val="nil"/>
            </w:tcBorders>
            <w:shd w:val="clear" w:color="auto" w:fill="auto"/>
            <w:vAlign w:val="center"/>
            <w:hideMark/>
          </w:tcPr>
          <w:p w14:paraId="2D26D2CE" w14:textId="6C10E986"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4571F3FD" w14:textId="0BFDFED9"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1147" w:type="dxa"/>
            <w:gridSpan w:val="2"/>
            <w:tcBorders>
              <w:top w:val="nil"/>
              <w:left w:val="nil"/>
              <w:bottom w:val="nil"/>
              <w:right w:val="nil"/>
            </w:tcBorders>
            <w:shd w:val="clear" w:color="auto" w:fill="auto"/>
            <w:vAlign w:val="center"/>
            <w:hideMark/>
          </w:tcPr>
          <w:p w14:paraId="3FAA11DE" w14:textId="2385FA54"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12" w:type="dxa"/>
            <w:tcBorders>
              <w:top w:val="nil"/>
              <w:left w:val="nil"/>
              <w:bottom w:val="nil"/>
              <w:right w:val="nil"/>
            </w:tcBorders>
            <w:shd w:val="clear" w:color="auto" w:fill="auto"/>
            <w:vAlign w:val="center"/>
            <w:hideMark/>
          </w:tcPr>
          <w:p w14:paraId="7A7C4D22" w14:textId="09ECFA93"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DA8093D" w14:textId="665D6AA3" w:rsidR="00270A0A" w:rsidRPr="00005453" w:rsidRDefault="00270A0A" w:rsidP="00270A0A">
            <w:pPr>
              <w:jc w:val="right"/>
              <w:rPr>
                <w:color w:val="000000"/>
                <w:sz w:val="18"/>
                <w:szCs w:val="18"/>
                <w:lang w:eastAsia="tr-TR"/>
              </w:rPr>
            </w:pPr>
            <w:r w:rsidRPr="00005453">
              <w:rPr>
                <w:color w:val="000000"/>
                <w:sz w:val="18"/>
                <w:szCs w:val="18"/>
                <w:lang w:eastAsia="tr-TR"/>
              </w:rPr>
              <w:t>-</w:t>
            </w:r>
          </w:p>
        </w:tc>
      </w:tr>
      <w:tr w:rsidR="00270A0A" w:rsidRPr="00005453" w14:paraId="79707B0D" w14:textId="77777777" w:rsidTr="00270A0A">
        <w:trPr>
          <w:divId w:val="271670522"/>
          <w:trHeight w:val="378"/>
        </w:trPr>
        <w:tc>
          <w:tcPr>
            <w:tcW w:w="2436" w:type="dxa"/>
            <w:gridSpan w:val="2"/>
            <w:tcBorders>
              <w:top w:val="nil"/>
              <w:left w:val="nil"/>
              <w:bottom w:val="nil"/>
              <w:right w:val="nil"/>
            </w:tcBorders>
            <w:shd w:val="clear" w:color="auto" w:fill="auto"/>
            <w:vAlign w:val="center"/>
            <w:hideMark/>
          </w:tcPr>
          <w:p w14:paraId="322A4181"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1A1FBCDF" w14:textId="71109DF7" w:rsidR="00270A0A" w:rsidRPr="00005453" w:rsidRDefault="00270A0A" w:rsidP="00270A0A">
            <w:pPr>
              <w:jc w:val="right"/>
              <w:rPr>
                <w:color w:val="000000"/>
                <w:sz w:val="18"/>
                <w:szCs w:val="18"/>
                <w:lang w:eastAsia="tr-TR"/>
              </w:rPr>
            </w:pPr>
            <w:r w:rsidRPr="00005453">
              <w:rPr>
                <w:color w:val="000000"/>
                <w:sz w:val="18"/>
                <w:szCs w:val="18"/>
                <w:lang w:eastAsia="tr-TR"/>
              </w:rPr>
              <w:t>114,788</w:t>
            </w:r>
          </w:p>
        </w:tc>
        <w:tc>
          <w:tcPr>
            <w:tcW w:w="978" w:type="dxa"/>
            <w:gridSpan w:val="2"/>
            <w:tcBorders>
              <w:top w:val="nil"/>
              <w:left w:val="nil"/>
              <w:bottom w:val="nil"/>
              <w:right w:val="nil"/>
            </w:tcBorders>
            <w:shd w:val="clear" w:color="auto" w:fill="auto"/>
            <w:vAlign w:val="center"/>
            <w:hideMark/>
          </w:tcPr>
          <w:p w14:paraId="4E9D7AAC" w14:textId="13A2B717" w:rsidR="00270A0A" w:rsidRPr="00005453" w:rsidRDefault="00270A0A" w:rsidP="00270A0A">
            <w:pPr>
              <w:jc w:val="right"/>
              <w:rPr>
                <w:color w:val="000000"/>
                <w:sz w:val="18"/>
                <w:szCs w:val="18"/>
                <w:lang w:eastAsia="tr-TR"/>
              </w:rPr>
            </w:pPr>
            <w:r w:rsidRPr="00005453">
              <w:rPr>
                <w:color w:val="000000"/>
                <w:sz w:val="18"/>
                <w:szCs w:val="18"/>
                <w:lang w:eastAsia="tr-TR"/>
              </w:rPr>
              <w:t>95,127</w:t>
            </w:r>
          </w:p>
        </w:tc>
        <w:tc>
          <w:tcPr>
            <w:tcW w:w="868" w:type="dxa"/>
            <w:gridSpan w:val="2"/>
            <w:tcBorders>
              <w:top w:val="nil"/>
              <w:left w:val="nil"/>
              <w:bottom w:val="nil"/>
              <w:right w:val="nil"/>
            </w:tcBorders>
            <w:shd w:val="clear" w:color="auto" w:fill="auto"/>
            <w:vAlign w:val="center"/>
            <w:hideMark/>
          </w:tcPr>
          <w:p w14:paraId="0A77F327" w14:textId="6E27D1B9" w:rsidR="00270A0A" w:rsidRPr="00005453" w:rsidRDefault="00270A0A" w:rsidP="00270A0A">
            <w:pPr>
              <w:jc w:val="right"/>
              <w:rPr>
                <w:color w:val="000000"/>
                <w:sz w:val="18"/>
                <w:szCs w:val="18"/>
                <w:lang w:eastAsia="tr-TR"/>
              </w:rPr>
            </w:pPr>
            <w:r w:rsidRPr="00005453">
              <w:rPr>
                <w:color w:val="000000"/>
                <w:sz w:val="18"/>
                <w:szCs w:val="18"/>
                <w:lang w:eastAsia="tr-TR"/>
              </w:rPr>
              <w:t>13,137</w:t>
            </w:r>
          </w:p>
        </w:tc>
        <w:tc>
          <w:tcPr>
            <w:tcW w:w="701" w:type="dxa"/>
            <w:gridSpan w:val="2"/>
            <w:tcBorders>
              <w:top w:val="nil"/>
              <w:left w:val="nil"/>
              <w:bottom w:val="nil"/>
              <w:right w:val="nil"/>
            </w:tcBorders>
            <w:shd w:val="clear" w:color="auto" w:fill="auto"/>
            <w:vAlign w:val="center"/>
            <w:hideMark/>
          </w:tcPr>
          <w:p w14:paraId="36B7CA67" w14:textId="55F0BBB0"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43DCA3D7" w14:textId="0342D3DC" w:rsidR="00270A0A" w:rsidRPr="00005453" w:rsidRDefault="00270A0A" w:rsidP="00270A0A">
            <w:pPr>
              <w:jc w:val="right"/>
              <w:rPr>
                <w:color w:val="000000"/>
                <w:sz w:val="18"/>
                <w:szCs w:val="18"/>
                <w:lang w:eastAsia="tr-TR"/>
              </w:rPr>
            </w:pPr>
            <w:r w:rsidRPr="00005453">
              <w:rPr>
                <w:color w:val="000000"/>
                <w:sz w:val="18"/>
                <w:szCs w:val="18"/>
                <w:lang w:eastAsia="tr-TR"/>
              </w:rPr>
              <w:t>36,461</w:t>
            </w:r>
          </w:p>
        </w:tc>
        <w:tc>
          <w:tcPr>
            <w:tcW w:w="1147" w:type="dxa"/>
            <w:gridSpan w:val="2"/>
            <w:tcBorders>
              <w:top w:val="nil"/>
              <w:left w:val="nil"/>
              <w:bottom w:val="nil"/>
              <w:right w:val="nil"/>
            </w:tcBorders>
            <w:shd w:val="clear" w:color="auto" w:fill="auto"/>
            <w:vAlign w:val="center"/>
            <w:hideMark/>
          </w:tcPr>
          <w:p w14:paraId="02864175" w14:textId="11B06320" w:rsidR="00270A0A" w:rsidRPr="00005453" w:rsidRDefault="00270A0A" w:rsidP="00270A0A">
            <w:pPr>
              <w:jc w:val="right"/>
              <w:rPr>
                <w:color w:val="000000"/>
                <w:sz w:val="18"/>
                <w:szCs w:val="18"/>
                <w:lang w:eastAsia="tr-TR"/>
              </w:rPr>
            </w:pPr>
            <w:r w:rsidRPr="00005453">
              <w:rPr>
                <w:color w:val="000000"/>
                <w:sz w:val="18"/>
                <w:szCs w:val="18"/>
                <w:lang w:eastAsia="tr-TR"/>
              </w:rPr>
              <w:t>33,061</w:t>
            </w:r>
          </w:p>
        </w:tc>
        <w:tc>
          <w:tcPr>
            <w:tcW w:w="912" w:type="dxa"/>
            <w:tcBorders>
              <w:top w:val="nil"/>
              <w:left w:val="nil"/>
              <w:bottom w:val="nil"/>
              <w:right w:val="nil"/>
            </w:tcBorders>
            <w:shd w:val="clear" w:color="auto" w:fill="auto"/>
            <w:vAlign w:val="center"/>
            <w:hideMark/>
          </w:tcPr>
          <w:p w14:paraId="7389CA84" w14:textId="01E3603E" w:rsidR="00270A0A" w:rsidRPr="00005453" w:rsidRDefault="00270A0A" w:rsidP="00270A0A">
            <w:pPr>
              <w:jc w:val="right"/>
              <w:rPr>
                <w:color w:val="000000"/>
                <w:sz w:val="18"/>
                <w:szCs w:val="18"/>
                <w:lang w:eastAsia="tr-TR"/>
              </w:rPr>
            </w:pPr>
            <w:r w:rsidRPr="00005453">
              <w:rPr>
                <w:color w:val="000000"/>
                <w:sz w:val="18"/>
                <w:szCs w:val="18"/>
                <w:lang w:eastAsia="tr-TR"/>
              </w:rPr>
              <w:t>365</w:t>
            </w:r>
          </w:p>
        </w:tc>
        <w:tc>
          <w:tcPr>
            <w:tcW w:w="961" w:type="dxa"/>
            <w:tcBorders>
              <w:top w:val="nil"/>
              <w:left w:val="nil"/>
              <w:bottom w:val="nil"/>
              <w:right w:val="nil"/>
            </w:tcBorders>
            <w:shd w:val="clear" w:color="auto" w:fill="auto"/>
            <w:vAlign w:val="center"/>
            <w:hideMark/>
          </w:tcPr>
          <w:p w14:paraId="082B1FD2" w14:textId="3071E8AC" w:rsidR="00270A0A" w:rsidRPr="00005453" w:rsidRDefault="00270A0A" w:rsidP="00270A0A">
            <w:pPr>
              <w:jc w:val="right"/>
              <w:rPr>
                <w:color w:val="000000"/>
                <w:sz w:val="18"/>
                <w:szCs w:val="18"/>
                <w:lang w:eastAsia="tr-TR"/>
              </w:rPr>
            </w:pPr>
            <w:r w:rsidRPr="00005453">
              <w:rPr>
                <w:color w:val="000000"/>
                <w:sz w:val="18"/>
                <w:szCs w:val="18"/>
                <w:lang w:eastAsia="tr-TR"/>
              </w:rPr>
              <w:t>292,939</w:t>
            </w:r>
          </w:p>
        </w:tc>
      </w:tr>
      <w:tr w:rsidR="00270A0A" w:rsidRPr="00005453" w14:paraId="5DF9027E"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6B2D91AA"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Resmi kuruluş katılma hs.</w:t>
            </w:r>
          </w:p>
        </w:tc>
        <w:tc>
          <w:tcPr>
            <w:tcW w:w="861" w:type="dxa"/>
            <w:tcBorders>
              <w:top w:val="nil"/>
              <w:left w:val="nil"/>
              <w:bottom w:val="nil"/>
              <w:right w:val="nil"/>
            </w:tcBorders>
            <w:shd w:val="clear" w:color="auto" w:fill="auto"/>
            <w:vAlign w:val="center"/>
            <w:hideMark/>
          </w:tcPr>
          <w:p w14:paraId="4E3A0EFC" w14:textId="6E530571"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78" w:type="dxa"/>
            <w:gridSpan w:val="2"/>
            <w:tcBorders>
              <w:top w:val="nil"/>
              <w:left w:val="nil"/>
              <w:bottom w:val="nil"/>
              <w:right w:val="nil"/>
            </w:tcBorders>
            <w:shd w:val="clear" w:color="auto" w:fill="auto"/>
            <w:vAlign w:val="center"/>
            <w:hideMark/>
          </w:tcPr>
          <w:p w14:paraId="245DA680" w14:textId="08AE3DBA" w:rsidR="00270A0A" w:rsidRPr="00005453" w:rsidRDefault="00270A0A" w:rsidP="00270A0A">
            <w:pPr>
              <w:jc w:val="right"/>
              <w:rPr>
                <w:color w:val="000000"/>
                <w:sz w:val="18"/>
                <w:szCs w:val="18"/>
                <w:lang w:eastAsia="tr-TR"/>
              </w:rPr>
            </w:pPr>
            <w:r w:rsidRPr="00005453">
              <w:rPr>
                <w:color w:val="000000"/>
                <w:sz w:val="18"/>
                <w:szCs w:val="18"/>
                <w:lang w:eastAsia="tr-TR"/>
              </w:rPr>
              <w:t>696</w:t>
            </w:r>
          </w:p>
        </w:tc>
        <w:tc>
          <w:tcPr>
            <w:tcW w:w="868" w:type="dxa"/>
            <w:gridSpan w:val="2"/>
            <w:tcBorders>
              <w:top w:val="nil"/>
              <w:left w:val="nil"/>
              <w:bottom w:val="nil"/>
              <w:right w:val="nil"/>
            </w:tcBorders>
            <w:shd w:val="clear" w:color="auto" w:fill="auto"/>
            <w:vAlign w:val="center"/>
            <w:hideMark/>
          </w:tcPr>
          <w:p w14:paraId="37C944E2" w14:textId="780D0326"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701" w:type="dxa"/>
            <w:gridSpan w:val="2"/>
            <w:tcBorders>
              <w:top w:val="nil"/>
              <w:left w:val="nil"/>
              <w:bottom w:val="nil"/>
              <w:right w:val="nil"/>
            </w:tcBorders>
            <w:shd w:val="clear" w:color="auto" w:fill="auto"/>
            <w:vAlign w:val="center"/>
            <w:hideMark/>
          </w:tcPr>
          <w:p w14:paraId="3F645769" w14:textId="4F0D31E4"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077A31A9" w14:textId="558625D5"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1147" w:type="dxa"/>
            <w:gridSpan w:val="2"/>
            <w:tcBorders>
              <w:top w:val="nil"/>
              <w:left w:val="nil"/>
              <w:bottom w:val="nil"/>
              <w:right w:val="nil"/>
            </w:tcBorders>
            <w:shd w:val="clear" w:color="auto" w:fill="auto"/>
            <w:vAlign w:val="center"/>
            <w:hideMark/>
          </w:tcPr>
          <w:p w14:paraId="75CFE40D" w14:textId="6BB36312"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12" w:type="dxa"/>
            <w:tcBorders>
              <w:top w:val="nil"/>
              <w:left w:val="nil"/>
              <w:bottom w:val="nil"/>
              <w:right w:val="nil"/>
            </w:tcBorders>
            <w:shd w:val="clear" w:color="auto" w:fill="auto"/>
            <w:vAlign w:val="center"/>
            <w:hideMark/>
          </w:tcPr>
          <w:p w14:paraId="436CC7C0" w14:textId="20BD1542"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3F37E27F" w14:textId="48318398" w:rsidR="00270A0A" w:rsidRPr="00005453" w:rsidRDefault="00270A0A" w:rsidP="00270A0A">
            <w:pPr>
              <w:jc w:val="right"/>
              <w:rPr>
                <w:color w:val="000000"/>
                <w:sz w:val="18"/>
                <w:szCs w:val="18"/>
                <w:lang w:eastAsia="tr-TR"/>
              </w:rPr>
            </w:pPr>
            <w:r w:rsidRPr="00005453">
              <w:rPr>
                <w:color w:val="000000"/>
                <w:sz w:val="18"/>
                <w:szCs w:val="18"/>
                <w:lang w:eastAsia="tr-TR"/>
              </w:rPr>
              <w:t>696</w:t>
            </w:r>
          </w:p>
        </w:tc>
      </w:tr>
      <w:tr w:rsidR="00270A0A" w:rsidRPr="00005453" w14:paraId="63D9F1A6"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34E18C3E"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Ticari kuruluş katılma hs.</w:t>
            </w:r>
          </w:p>
        </w:tc>
        <w:tc>
          <w:tcPr>
            <w:tcW w:w="861" w:type="dxa"/>
            <w:tcBorders>
              <w:top w:val="nil"/>
              <w:left w:val="nil"/>
              <w:bottom w:val="nil"/>
              <w:right w:val="nil"/>
            </w:tcBorders>
            <w:shd w:val="clear" w:color="auto" w:fill="auto"/>
            <w:vAlign w:val="center"/>
            <w:hideMark/>
          </w:tcPr>
          <w:p w14:paraId="4BCDF2A6" w14:textId="381364ED" w:rsidR="00270A0A" w:rsidRPr="00005453" w:rsidRDefault="00270A0A" w:rsidP="00270A0A">
            <w:pPr>
              <w:jc w:val="right"/>
              <w:rPr>
                <w:color w:val="000000"/>
                <w:sz w:val="18"/>
                <w:szCs w:val="18"/>
                <w:lang w:eastAsia="tr-TR"/>
              </w:rPr>
            </w:pPr>
            <w:r w:rsidRPr="00005453">
              <w:rPr>
                <w:color w:val="000000"/>
                <w:sz w:val="18"/>
                <w:szCs w:val="18"/>
                <w:lang w:eastAsia="tr-TR"/>
              </w:rPr>
              <w:t>3,646</w:t>
            </w:r>
          </w:p>
        </w:tc>
        <w:tc>
          <w:tcPr>
            <w:tcW w:w="978" w:type="dxa"/>
            <w:gridSpan w:val="2"/>
            <w:tcBorders>
              <w:top w:val="nil"/>
              <w:left w:val="nil"/>
              <w:bottom w:val="nil"/>
              <w:right w:val="nil"/>
            </w:tcBorders>
            <w:shd w:val="clear" w:color="auto" w:fill="auto"/>
            <w:vAlign w:val="center"/>
            <w:hideMark/>
          </w:tcPr>
          <w:p w14:paraId="36E2B920" w14:textId="1E19B04D" w:rsidR="00270A0A" w:rsidRPr="00005453" w:rsidRDefault="00270A0A" w:rsidP="00270A0A">
            <w:pPr>
              <w:jc w:val="right"/>
              <w:rPr>
                <w:color w:val="000000"/>
                <w:sz w:val="18"/>
                <w:szCs w:val="18"/>
                <w:lang w:eastAsia="tr-TR"/>
              </w:rPr>
            </w:pPr>
            <w:r w:rsidRPr="00005453">
              <w:rPr>
                <w:color w:val="000000"/>
                <w:sz w:val="18"/>
                <w:szCs w:val="18"/>
                <w:lang w:eastAsia="tr-TR"/>
              </w:rPr>
              <w:t>3,981</w:t>
            </w:r>
          </w:p>
        </w:tc>
        <w:tc>
          <w:tcPr>
            <w:tcW w:w="868" w:type="dxa"/>
            <w:gridSpan w:val="2"/>
            <w:tcBorders>
              <w:top w:val="nil"/>
              <w:left w:val="nil"/>
              <w:bottom w:val="nil"/>
              <w:right w:val="nil"/>
            </w:tcBorders>
            <w:shd w:val="clear" w:color="auto" w:fill="auto"/>
            <w:vAlign w:val="center"/>
            <w:hideMark/>
          </w:tcPr>
          <w:p w14:paraId="32E4CCE7" w14:textId="7734AE01" w:rsidR="00270A0A" w:rsidRPr="00005453" w:rsidRDefault="00270A0A" w:rsidP="00270A0A">
            <w:pPr>
              <w:jc w:val="right"/>
              <w:rPr>
                <w:color w:val="000000"/>
                <w:sz w:val="18"/>
                <w:szCs w:val="18"/>
                <w:lang w:eastAsia="tr-TR"/>
              </w:rPr>
            </w:pPr>
            <w:r w:rsidRPr="00005453">
              <w:rPr>
                <w:color w:val="000000"/>
                <w:sz w:val="18"/>
                <w:szCs w:val="18"/>
                <w:lang w:eastAsia="tr-TR"/>
              </w:rPr>
              <w:t>516</w:t>
            </w:r>
          </w:p>
        </w:tc>
        <w:tc>
          <w:tcPr>
            <w:tcW w:w="701" w:type="dxa"/>
            <w:gridSpan w:val="2"/>
            <w:tcBorders>
              <w:top w:val="nil"/>
              <w:left w:val="nil"/>
              <w:bottom w:val="nil"/>
              <w:right w:val="nil"/>
            </w:tcBorders>
            <w:shd w:val="clear" w:color="auto" w:fill="auto"/>
            <w:vAlign w:val="center"/>
            <w:hideMark/>
          </w:tcPr>
          <w:p w14:paraId="0E959050" w14:textId="2F912D52"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1ACE111A" w14:textId="46A5B591" w:rsidR="00270A0A" w:rsidRPr="00005453" w:rsidRDefault="00270A0A" w:rsidP="00270A0A">
            <w:pPr>
              <w:jc w:val="right"/>
              <w:rPr>
                <w:color w:val="000000"/>
                <w:sz w:val="18"/>
                <w:szCs w:val="18"/>
                <w:lang w:eastAsia="tr-TR"/>
              </w:rPr>
            </w:pPr>
            <w:r w:rsidRPr="00005453">
              <w:rPr>
                <w:color w:val="000000"/>
                <w:sz w:val="18"/>
                <w:szCs w:val="18"/>
                <w:lang w:eastAsia="tr-TR"/>
              </w:rPr>
              <w:t>209</w:t>
            </w:r>
          </w:p>
        </w:tc>
        <w:tc>
          <w:tcPr>
            <w:tcW w:w="1147" w:type="dxa"/>
            <w:gridSpan w:val="2"/>
            <w:tcBorders>
              <w:top w:val="nil"/>
              <w:left w:val="nil"/>
              <w:bottom w:val="nil"/>
              <w:right w:val="nil"/>
            </w:tcBorders>
            <w:shd w:val="clear" w:color="auto" w:fill="auto"/>
            <w:vAlign w:val="center"/>
            <w:hideMark/>
          </w:tcPr>
          <w:p w14:paraId="6E72C339" w14:textId="74E29DE9" w:rsidR="00270A0A" w:rsidRPr="00005453" w:rsidRDefault="00270A0A" w:rsidP="00270A0A">
            <w:pPr>
              <w:jc w:val="right"/>
              <w:rPr>
                <w:color w:val="000000"/>
                <w:sz w:val="18"/>
                <w:szCs w:val="18"/>
                <w:lang w:eastAsia="tr-TR"/>
              </w:rPr>
            </w:pPr>
            <w:r w:rsidRPr="00005453">
              <w:rPr>
                <w:color w:val="000000"/>
                <w:sz w:val="18"/>
                <w:szCs w:val="18"/>
                <w:lang w:eastAsia="tr-TR"/>
              </w:rPr>
              <w:t>107</w:t>
            </w:r>
          </w:p>
        </w:tc>
        <w:tc>
          <w:tcPr>
            <w:tcW w:w="912" w:type="dxa"/>
            <w:tcBorders>
              <w:top w:val="nil"/>
              <w:left w:val="nil"/>
              <w:bottom w:val="nil"/>
              <w:right w:val="nil"/>
            </w:tcBorders>
            <w:shd w:val="clear" w:color="auto" w:fill="auto"/>
            <w:vAlign w:val="center"/>
            <w:hideMark/>
          </w:tcPr>
          <w:p w14:paraId="43B84510" w14:textId="4FF69444"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F3E4B43" w14:textId="205B7F55" w:rsidR="00270A0A" w:rsidRPr="00005453" w:rsidRDefault="00270A0A" w:rsidP="00270A0A">
            <w:pPr>
              <w:jc w:val="right"/>
              <w:rPr>
                <w:color w:val="000000"/>
                <w:sz w:val="18"/>
                <w:szCs w:val="18"/>
                <w:lang w:eastAsia="tr-TR"/>
              </w:rPr>
            </w:pPr>
            <w:r w:rsidRPr="00005453">
              <w:rPr>
                <w:color w:val="000000"/>
                <w:sz w:val="18"/>
                <w:szCs w:val="18"/>
                <w:lang w:eastAsia="tr-TR"/>
              </w:rPr>
              <w:t>8,459</w:t>
            </w:r>
          </w:p>
        </w:tc>
      </w:tr>
      <w:tr w:rsidR="00270A0A" w:rsidRPr="00005453" w14:paraId="6E3B9D25"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3B1862DE"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 xml:space="preserve">Diğer kuruluş katılma hs. </w:t>
            </w:r>
          </w:p>
        </w:tc>
        <w:tc>
          <w:tcPr>
            <w:tcW w:w="861" w:type="dxa"/>
            <w:tcBorders>
              <w:top w:val="nil"/>
              <w:left w:val="nil"/>
              <w:bottom w:val="nil"/>
              <w:right w:val="nil"/>
            </w:tcBorders>
            <w:shd w:val="clear" w:color="auto" w:fill="auto"/>
            <w:vAlign w:val="center"/>
            <w:hideMark/>
          </w:tcPr>
          <w:p w14:paraId="3195B844" w14:textId="6FC2B988" w:rsidR="00270A0A" w:rsidRPr="00005453" w:rsidRDefault="00270A0A" w:rsidP="00270A0A">
            <w:pPr>
              <w:jc w:val="right"/>
              <w:rPr>
                <w:color w:val="000000"/>
                <w:sz w:val="18"/>
                <w:szCs w:val="18"/>
                <w:lang w:eastAsia="tr-TR"/>
              </w:rPr>
            </w:pPr>
            <w:r w:rsidRPr="00005453">
              <w:rPr>
                <w:color w:val="000000"/>
                <w:sz w:val="18"/>
                <w:szCs w:val="18"/>
                <w:lang w:eastAsia="tr-TR"/>
              </w:rPr>
              <w:t>1,691</w:t>
            </w:r>
          </w:p>
        </w:tc>
        <w:tc>
          <w:tcPr>
            <w:tcW w:w="978" w:type="dxa"/>
            <w:gridSpan w:val="2"/>
            <w:tcBorders>
              <w:top w:val="nil"/>
              <w:left w:val="nil"/>
              <w:bottom w:val="nil"/>
              <w:right w:val="nil"/>
            </w:tcBorders>
            <w:shd w:val="clear" w:color="auto" w:fill="auto"/>
            <w:vAlign w:val="center"/>
            <w:hideMark/>
          </w:tcPr>
          <w:p w14:paraId="57CAC578" w14:textId="6F5467C4" w:rsidR="00270A0A" w:rsidRPr="00005453" w:rsidRDefault="00270A0A" w:rsidP="00270A0A">
            <w:pPr>
              <w:jc w:val="right"/>
              <w:rPr>
                <w:color w:val="000000"/>
                <w:sz w:val="18"/>
                <w:szCs w:val="18"/>
                <w:lang w:eastAsia="tr-TR"/>
              </w:rPr>
            </w:pPr>
            <w:r w:rsidRPr="00005453">
              <w:rPr>
                <w:color w:val="000000"/>
                <w:sz w:val="18"/>
                <w:szCs w:val="18"/>
                <w:lang w:eastAsia="tr-TR"/>
              </w:rPr>
              <w:t>3,048</w:t>
            </w:r>
          </w:p>
        </w:tc>
        <w:tc>
          <w:tcPr>
            <w:tcW w:w="868" w:type="dxa"/>
            <w:gridSpan w:val="2"/>
            <w:tcBorders>
              <w:top w:val="nil"/>
              <w:left w:val="nil"/>
              <w:bottom w:val="nil"/>
              <w:right w:val="nil"/>
            </w:tcBorders>
            <w:shd w:val="clear" w:color="auto" w:fill="auto"/>
            <w:vAlign w:val="center"/>
            <w:hideMark/>
          </w:tcPr>
          <w:p w14:paraId="19067259" w14:textId="56C25FE7" w:rsidR="00270A0A" w:rsidRPr="00005453" w:rsidRDefault="00270A0A" w:rsidP="00270A0A">
            <w:pPr>
              <w:jc w:val="right"/>
              <w:rPr>
                <w:color w:val="000000"/>
                <w:sz w:val="18"/>
                <w:szCs w:val="18"/>
                <w:lang w:eastAsia="tr-TR"/>
              </w:rPr>
            </w:pPr>
            <w:r w:rsidRPr="00005453">
              <w:rPr>
                <w:color w:val="000000"/>
                <w:sz w:val="18"/>
                <w:szCs w:val="18"/>
                <w:lang w:eastAsia="tr-TR"/>
              </w:rPr>
              <w:t>17</w:t>
            </w:r>
          </w:p>
        </w:tc>
        <w:tc>
          <w:tcPr>
            <w:tcW w:w="701" w:type="dxa"/>
            <w:gridSpan w:val="2"/>
            <w:tcBorders>
              <w:top w:val="nil"/>
              <w:left w:val="nil"/>
              <w:bottom w:val="nil"/>
              <w:right w:val="nil"/>
            </w:tcBorders>
            <w:shd w:val="clear" w:color="auto" w:fill="auto"/>
            <w:vAlign w:val="center"/>
            <w:hideMark/>
          </w:tcPr>
          <w:p w14:paraId="275D8D6F" w14:textId="0883C2A0"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4B07B1A4" w14:textId="1B7EDFE1" w:rsidR="00270A0A" w:rsidRPr="00005453" w:rsidRDefault="00270A0A" w:rsidP="00270A0A">
            <w:pPr>
              <w:jc w:val="right"/>
              <w:rPr>
                <w:color w:val="000000"/>
                <w:sz w:val="18"/>
                <w:szCs w:val="18"/>
                <w:lang w:eastAsia="tr-TR"/>
              </w:rPr>
            </w:pPr>
            <w:r w:rsidRPr="00005453">
              <w:rPr>
                <w:color w:val="000000"/>
                <w:sz w:val="18"/>
                <w:szCs w:val="18"/>
                <w:lang w:eastAsia="tr-TR"/>
              </w:rPr>
              <w:t>116</w:t>
            </w:r>
          </w:p>
        </w:tc>
        <w:tc>
          <w:tcPr>
            <w:tcW w:w="1147" w:type="dxa"/>
            <w:gridSpan w:val="2"/>
            <w:tcBorders>
              <w:top w:val="nil"/>
              <w:left w:val="nil"/>
              <w:bottom w:val="nil"/>
              <w:right w:val="nil"/>
            </w:tcBorders>
            <w:shd w:val="clear" w:color="auto" w:fill="auto"/>
            <w:vAlign w:val="center"/>
            <w:hideMark/>
          </w:tcPr>
          <w:p w14:paraId="0136C403" w14:textId="04E559AF"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12" w:type="dxa"/>
            <w:tcBorders>
              <w:top w:val="nil"/>
              <w:left w:val="nil"/>
              <w:bottom w:val="nil"/>
              <w:right w:val="nil"/>
            </w:tcBorders>
            <w:shd w:val="clear" w:color="auto" w:fill="auto"/>
            <w:vAlign w:val="center"/>
            <w:hideMark/>
          </w:tcPr>
          <w:p w14:paraId="2D0A5BFE" w14:textId="53DA9F5B"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0177DBE5" w14:textId="42769E42" w:rsidR="00270A0A" w:rsidRPr="00005453" w:rsidRDefault="00270A0A" w:rsidP="00270A0A">
            <w:pPr>
              <w:jc w:val="right"/>
              <w:rPr>
                <w:color w:val="000000"/>
                <w:sz w:val="18"/>
                <w:szCs w:val="18"/>
                <w:lang w:eastAsia="tr-TR"/>
              </w:rPr>
            </w:pPr>
            <w:r w:rsidRPr="00005453">
              <w:rPr>
                <w:color w:val="000000"/>
                <w:sz w:val="18"/>
                <w:szCs w:val="18"/>
                <w:lang w:eastAsia="tr-TR"/>
              </w:rPr>
              <w:t>4,872</w:t>
            </w:r>
          </w:p>
        </w:tc>
      </w:tr>
      <w:tr w:rsidR="00270A0A" w:rsidRPr="00005453" w14:paraId="09665E89" w14:textId="77777777" w:rsidTr="00270A0A">
        <w:trPr>
          <w:divId w:val="271670522"/>
          <w:trHeight w:val="189"/>
        </w:trPr>
        <w:tc>
          <w:tcPr>
            <w:tcW w:w="2436" w:type="dxa"/>
            <w:gridSpan w:val="2"/>
            <w:tcBorders>
              <w:top w:val="nil"/>
              <w:left w:val="nil"/>
              <w:bottom w:val="nil"/>
              <w:right w:val="nil"/>
            </w:tcBorders>
            <w:shd w:val="clear" w:color="auto" w:fill="auto"/>
            <w:vAlign w:val="center"/>
            <w:hideMark/>
          </w:tcPr>
          <w:p w14:paraId="00087870" w14:textId="77777777" w:rsidR="00270A0A" w:rsidRPr="00005453" w:rsidRDefault="00270A0A" w:rsidP="00270A0A">
            <w:pPr>
              <w:ind w:firstLineChars="100" w:firstLine="180"/>
              <w:rPr>
                <w:color w:val="000000"/>
                <w:sz w:val="18"/>
                <w:szCs w:val="18"/>
                <w:lang w:eastAsia="tr-TR"/>
              </w:rPr>
            </w:pPr>
            <w:r w:rsidRPr="00005453">
              <w:rPr>
                <w:color w:val="000000"/>
                <w:sz w:val="18"/>
                <w:szCs w:val="18"/>
                <w:lang w:eastAsia="tr-TR"/>
              </w:rPr>
              <w:t>Kıymetli maden katılma hs.</w:t>
            </w:r>
          </w:p>
        </w:tc>
        <w:tc>
          <w:tcPr>
            <w:tcW w:w="861" w:type="dxa"/>
            <w:tcBorders>
              <w:top w:val="nil"/>
              <w:left w:val="nil"/>
              <w:bottom w:val="nil"/>
              <w:right w:val="nil"/>
            </w:tcBorders>
            <w:shd w:val="clear" w:color="auto" w:fill="auto"/>
            <w:vAlign w:val="center"/>
            <w:hideMark/>
          </w:tcPr>
          <w:p w14:paraId="60011BCE" w14:textId="787E00FD" w:rsidR="00270A0A" w:rsidRPr="00005453" w:rsidRDefault="00270A0A" w:rsidP="00270A0A">
            <w:pPr>
              <w:jc w:val="right"/>
              <w:rPr>
                <w:color w:val="000000"/>
                <w:sz w:val="18"/>
                <w:szCs w:val="18"/>
                <w:lang w:eastAsia="tr-TR"/>
              </w:rPr>
            </w:pPr>
            <w:r w:rsidRPr="00005453">
              <w:rPr>
                <w:color w:val="000000"/>
                <w:sz w:val="18"/>
                <w:szCs w:val="18"/>
                <w:lang w:eastAsia="tr-TR"/>
              </w:rPr>
              <w:t>10,050</w:t>
            </w:r>
          </w:p>
        </w:tc>
        <w:tc>
          <w:tcPr>
            <w:tcW w:w="978" w:type="dxa"/>
            <w:gridSpan w:val="2"/>
            <w:tcBorders>
              <w:top w:val="nil"/>
              <w:left w:val="nil"/>
              <w:bottom w:val="nil"/>
              <w:right w:val="nil"/>
            </w:tcBorders>
            <w:shd w:val="clear" w:color="auto" w:fill="auto"/>
            <w:vAlign w:val="center"/>
            <w:hideMark/>
          </w:tcPr>
          <w:p w14:paraId="259493BE" w14:textId="2A9C3EE8" w:rsidR="00270A0A" w:rsidRPr="00005453" w:rsidRDefault="00270A0A" w:rsidP="00270A0A">
            <w:pPr>
              <w:jc w:val="right"/>
              <w:rPr>
                <w:color w:val="000000"/>
                <w:sz w:val="18"/>
                <w:szCs w:val="18"/>
                <w:lang w:eastAsia="tr-TR"/>
              </w:rPr>
            </w:pPr>
            <w:r w:rsidRPr="00005453">
              <w:rPr>
                <w:color w:val="000000"/>
                <w:sz w:val="18"/>
                <w:szCs w:val="18"/>
                <w:lang w:eastAsia="tr-TR"/>
              </w:rPr>
              <w:t>5,524</w:t>
            </w:r>
          </w:p>
        </w:tc>
        <w:tc>
          <w:tcPr>
            <w:tcW w:w="868" w:type="dxa"/>
            <w:gridSpan w:val="2"/>
            <w:tcBorders>
              <w:top w:val="nil"/>
              <w:left w:val="nil"/>
              <w:bottom w:val="nil"/>
              <w:right w:val="nil"/>
            </w:tcBorders>
            <w:shd w:val="clear" w:color="auto" w:fill="auto"/>
            <w:vAlign w:val="center"/>
            <w:hideMark/>
          </w:tcPr>
          <w:p w14:paraId="4FF4A256" w14:textId="1B30C2DD" w:rsidR="00270A0A" w:rsidRPr="00005453" w:rsidRDefault="00270A0A" w:rsidP="00270A0A">
            <w:pPr>
              <w:jc w:val="right"/>
              <w:rPr>
                <w:color w:val="000000"/>
                <w:sz w:val="18"/>
                <w:szCs w:val="18"/>
                <w:lang w:eastAsia="tr-TR"/>
              </w:rPr>
            </w:pPr>
            <w:r w:rsidRPr="00005453">
              <w:rPr>
                <w:color w:val="000000"/>
                <w:sz w:val="18"/>
                <w:szCs w:val="18"/>
                <w:lang w:eastAsia="tr-TR"/>
              </w:rPr>
              <w:t>854</w:t>
            </w:r>
          </w:p>
        </w:tc>
        <w:tc>
          <w:tcPr>
            <w:tcW w:w="701" w:type="dxa"/>
            <w:gridSpan w:val="2"/>
            <w:tcBorders>
              <w:top w:val="nil"/>
              <w:left w:val="nil"/>
              <w:bottom w:val="nil"/>
              <w:right w:val="nil"/>
            </w:tcBorders>
            <w:shd w:val="clear" w:color="auto" w:fill="auto"/>
            <w:vAlign w:val="center"/>
            <w:hideMark/>
          </w:tcPr>
          <w:p w14:paraId="77048D90" w14:textId="5D8B32B1"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860" w:type="dxa"/>
            <w:gridSpan w:val="2"/>
            <w:tcBorders>
              <w:top w:val="nil"/>
              <w:left w:val="nil"/>
              <w:bottom w:val="nil"/>
              <w:right w:val="nil"/>
            </w:tcBorders>
            <w:shd w:val="clear" w:color="auto" w:fill="auto"/>
            <w:vAlign w:val="center"/>
            <w:hideMark/>
          </w:tcPr>
          <w:p w14:paraId="04B7C2BB" w14:textId="585DD003" w:rsidR="00270A0A" w:rsidRPr="00005453" w:rsidRDefault="00270A0A" w:rsidP="00270A0A">
            <w:pPr>
              <w:jc w:val="right"/>
              <w:rPr>
                <w:color w:val="000000"/>
                <w:sz w:val="18"/>
                <w:szCs w:val="18"/>
                <w:lang w:eastAsia="tr-TR"/>
              </w:rPr>
            </w:pPr>
            <w:r w:rsidRPr="00005453">
              <w:rPr>
                <w:color w:val="000000"/>
                <w:sz w:val="18"/>
                <w:szCs w:val="18"/>
                <w:lang w:eastAsia="tr-TR"/>
              </w:rPr>
              <w:t>730</w:t>
            </w:r>
          </w:p>
        </w:tc>
        <w:tc>
          <w:tcPr>
            <w:tcW w:w="1147" w:type="dxa"/>
            <w:gridSpan w:val="2"/>
            <w:tcBorders>
              <w:top w:val="nil"/>
              <w:left w:val="nil"/>
              <w:bottom w:val="nil"/>
              <w:right w:val="nil"/>
            </w:tcBorders>
            <w:shd w:val="clear" w:color="auto" w:fill="auto"/>
            <w:vAlign w:val="center"/>
            <w:hideMark/>
          </w:tcPr>
          <w:p w14:paraId="18B62553" w14:textId="3D62BE2D"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12" w:type="dxa"/>
            <w:tcBorders>
              <w:top w:val="nil"/>
              <w:left w:val="nil"/>
              <w:bottom w:val="nil"/>
              <w:right w:val="nil"/>
            </w:tcBorders>
            <w:shd w:val="clear" w:color="auto" w:fill="auto"/>
            <w:vAlign w:val="center"/>
            <w:hideMark/>
          </w:tcPr>
          <w:p w14:paraId="1EC2AD22" w14:textId="32EE9BDD" w:rsidR="00270A0A" w:rsidRPr="00005453" w:rsidRDefault="00270A0A" w:rsidP="00270A0A">
            <w:pPr>
              <w:jc w:val="right"/>
              <w:rPr>
                <w:color w:val="000000"/>
                <w:sz w:val="18"/>
                <w:szCs w:val="18"/>
                <w:lang w:eastAsia="tr-TR"/>
              </w:rPr>
            </w:pPr>
            <w:r w:rsidRPr="00005453">
              <w:rPr>
                <w:color w:val="000000"/>
                <w:sz w:val="18"/>
                <w:szCs w:val="18"/>
                <w:lang w:eastAsia="tr-TR"/>
              </w:rPr>
              <w:t>-</w:t>
            </w:r>
          </w:p>
        </w:tc>
        <w:tc>
          <w:tcPr>
            <w:tcW w:w="961" w:type="dxa"/>
            <w:tcBorders>
              <w:top w:val="nil"/>
              <w:left w:val="nil"/>
              <w:bottom w:val="nil"/>
              <w:right w:val="nil"/>
            </w:tcBorders>
            <w:shd w:val="clear" w:color="auto" w:fill="auto"/>
            <w:vAlign w:val="center"/>
            <w:hideMark/>
          </w:tcPr>
          <w:p w14:paraId="2D78ABDF" w14:textId="15DA6524" w:rsidR="00270A0A" w:rsidRPr="00005453" w:rsidRDefault="00270A0A" w:rsidP="00270A0A">
            <w:pPr>
              <w:jc w:val="right"/>
              <w:rPr>
                <w:color w:val="000000"/>
                <w:sz w:val="18"/>
                <w:szCs w:val="18"/>
                <w:lang w:eastAsia="tr-TR"/>
              </w:rPr>
            </w:pPr>
            <w:r w:rsidRPr="00005453">
              <w:rPr>
                <w:color w:val="000000"/>
                <w:sz w:val="18"/>
                <w:szCs w:val="18"/>
                <w:lang w:eastAsia="tr-TR"/>
              </w:rPr>
              <w:t>17,158</w:t>
            </w:r>
          </w:p>
        </w:tc>
      </w:tr>
      <w:tr w:rsidR="00700F7C" w:rsidRPr="00005453" w14:paraId="1C4D2CFF" w14:textId="77777777" w:rsidTr="00270A0A">
        <w:trPr>
          <w:divId w:val="271670522"/>
          <w:trHeight w:val="57"/>
        </w:trPr>
        <w:tc>
          <w:tcPr>
            <w:tcW w:w="2436" w:type="dxa"/>
            <w:gridSpan w:val="2"/>
            <w:tcBorders>
              <w:top w:val="nil"/>
              <w:left w:val="nil"/>
              <w:bottom w:val="single" w:sz="8" w:space="0" w:color="auto"/>
              <w:right w:val="nil"/>
            </w:tcBorders>
            <w:shd w:val="clear" w:color="auto" w:fill="auto"/>
            <w:vAlign w:val="bottom"/>
            <w:hideMark/>
          </w:tcPr>
          <w:p w14:paraId="37455D0D" w14:textId="77777777" w:rsidR="00700F7C" w:rsidRPr="00005453" w:rsidRDefault="00700F7C" w:rsidP="00700F7C">
            <w:pPr>
              <w:rPr>
                <w:color w:val="000000"/>
                <w:sz w:val="6"/>
                <w:szCs w:val="6"/>
                <w:lang w:eastAsia="tr-TR"/>
              </w:rPr>
            </w:pPr>
            <w:r w:rsidRPr="00005453">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7B0F86CC" w14:textId="61D98E2F"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978" w:type="dxa"/>
            <w:gridSpan w:val="2"/>
            <w:tcBorders>
              <w:top w:val="nil"/>
              <w:left w:val="nil"/>
              <w:bottom w:val="single" w:sz="8" w:space="0" w:color="auto"/>
              <w:right w:val="nil"/>
            </w:tcBorders>
            <w:shd w:val="clear" w:color="auto" w:fill="auto"/>
            <w:vAlign w:val="center"/>
            <w:hideMark/>
          </w:tcPr>
          <w:p w14:paraId="1DB34077" w14:textId="4E20D88B"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868" w:type="dxa"/>
            <w:gridSpan w:val="2"/>
            <w:tcBorders>
              <w:top w:val="nil"/>
              <w:left w:val="nil"/>
              <w:bottom w:val="single" w:sz="8" w:space="0" w:color="auto"/>
              <w:right w:val="nil"/>
            </w:tcBorders>
            <w:shd w:val="clear" w:color="auto" w:fill="auto"/>
            <w:vAlign w:val="center"/>
            <w:hideMark/>
          </w:tcPr>
          <w:p w14:paraId="00BCCE8E" w14:textId="35A50054"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701" w:type="dxa"/>
            <w:gridSpan w:val="2"/>
            <w:tcBorders>
              <w:top w:val="nil"/>
              <w:left w:val="nil"/>
              <w:bottom w:val="single" w:sz="8" w:space="0" w:color="auto"/>
              <w:right w:val="nil"/>
            </w:tcBorders>
            <w:shd w:val="clear" w:color="auto" w:fill="auto"/>
            <w:vAlign w:val="center"/>
            <w:hideMark/>
          </w:tcPr>
          <w:p w14:paraId="664CCF56" w14:textId="28996F56"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860" w:type="dxa"/>
            <w:gridSpan w:val="2"/>
            <w:tcBorders>
              <w:top w:val="nil"/>
              <w:left w:val="nil"/>
              <w:bottom w:val="single" w:sz="8" w:space="0" w:color="auto"/>
              <w:right w:val="nil"/>
            </w:tcBorders>
            <w:shd w:val="clear" w:color="auto" w:fill="auto"/>
            <w:vAlign w:val="center"/>
            <w:hideMark/>
          </w:tcPr>
          <w:p w14:paraId="2BBB0776" w14:textId="3CB7D4C0"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1147" w:type="dxa"/>
            <w:gridSpan w:val="2"/>
            <w:tcBorders>
              <w:top w:val="nil"/>
              <w:left w:val="nil"/>
              <w:bottom w:val="single" w:sz="8" w:space="0" w:color="auto"/>
              <w:right w:val="nil"/>
            </w:tcBorders>
            <w:shd w:val="clear" w:color="auto" w:fill="auto"/>
            <w:vAlign w:val="center"/>
            <w:hideMark/>
          </w:tcPr>
          <w:p w14:paraId="411A0A6A" w14:textId="37A15EEC"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912" w:type="dxa"/>
            <w:tcBorders>
              <w:top w:val="nil"/>
              <w:left w:val="nil"/>
              <w:bottom w:val="single" w:sz="8" w:space="0" w:color="auto"/>
              <w:right w:val="nil"/>
            </w:tcBorders>
            <w:shd w:val="clear" w:color="auto" w:fill="auto"/>
            <w:vAlign w:val="center"/>
            <w:hideMark/>
          </w:tcPr>
          <w:p w14:paraId="1F0E6877" w14:textId="16F2162E" w:rsidR="00700F7C" w:rsidRPr="00005453" w:rsidRDefault="00700F7C" w:rsidP="00700F7C">
            <w:pPr>
              <w:jc w:val="right"/>
              <w:rPr>
                <w:color w:val="000000"/>
                <w:sz w:val="6"/>
                <w:szCs w:val="6"/>
                <w:lang w:eastAsia="tr-TR"/>
              </w:rPr>
            </w:pPr>
            <w:r w:rsidRPr="00005453">
              <w:rPr>
                <w:color w:val="000000"/>
                <w:sz w:val="6"/>
                <w:szCs w:val="6"/>
                <w:lang w:eastAsia="tr-TR"/>
              </w:rPr>
              <w:t> </w:t>
            </w:r>
          </w:p>
        </w:tc>
        <w:tc>
          <w:tcPr>
            <w:tcW w:w="961" w:type="dxa"/>
            <w:tcBorders>
              <w:top w:val="nil"/>
              <w:left w:val="nil"/>
              <w:bottom w:val="single" w:sz="8" w:space="0" w:color="auto"/>
              <w:right w:val="nil"/>
            </w:tcBorders>
            <w:shd w:val="clear" w:color="auto" w:fill="auto"/>
            <w:vAlign w:val="center"/>
            <w:hideMark/>
          </w:tcPr>
          <w:p w14:paraId="06CA5C8C" w14:textId="02AEBA21" w:rsidR="00700F7C" w:rsidRPr="00005453" w:rsidRDefault="00700F7C" w:rsidP="00700F7C">
            <w:pPr>
              <w:jc w:val="right"/>
              <w:rPr>
                <w:color w:val="000000"/>
                <w:sz w:val="6"/>
                <w:szCs w:val="6"/>
                <w:lang w:eastAsia="tr-TR"/>
              </w:rPr>
            </w:pPr>
            <w:r w:rsidRPr="00005453">
              <w:rPr>
                <w:color w:val="000000"/>
                <w:sz w:val="6"/>
                <w:szCs w:val="6"/>
                <w:lang w:eastAsia="tr-TR"/>
              </w:rPr>
              <w:t> </w:t>
            </w:r>
          </w:p>
        </w:tc>
      </w:tr>
      <w:tr w:rsidR="00270A0A" w:rsidRPr="00005453" w14:paraId="69B6C4EF" w14:textId="77777777" w:rsidTr="00270A0A">
        <w:trPr>
          <w:divId w:val="271670522"/>
          <w:trHeight w:val="201"/>
        </w:trPr>
        <w:tc>
          <w:tcPr>
            <w:tcW w:w="2436" w:type="dxa"/>
            <w:gridSpan w:val="2"/>
            <w:tcBorders>
              <w:top w:val="nil"/>
              <w:left w:val="nil"/>
              <w:bottom w:val="single" w:sz="8" w:space="0" w:color="auto"/>
              <w:right w:val="nil"/>
            </w:tcBorders>
            <w:shd w:val="clear" w:color="auto" w:fill="auto"/>
            <w:vAlign w:val="center"/>
            <w:hideMark/>
          </w:tcPr>
          <w:p w14:paraId="57C3E6B6" w14:textId="77777777" w:rsidR="00270A0A" w:rsidRPr="00005453" w:rsidRDefault="00270A0A" w:rsidP="00270A0A">
            <w:pPr>
              <w:ind w:firstLineChars="100" w:firstLine="181"/>
              <w:rPr>
                <w:b/>
                <w:bCs/>
                <w:color w:val="000000"/>
                <w:sz w:val="18"/>
                <w:szCs w:val="18"/>
                <w:lang w:eastAsia="tr-TR"/>
              </w:rPr>
            </w:pPr>
            <w:r w:rsidRPr="00005453">
              <w:rPr>
                <w:b/>
                <w:bCs/>
                <w:color w:val="000000"/>
                <w:sz w:val="18"/>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1176B72D" w14:textId="561F2AAC" w:rsidR="00270A0A" w:rsidRPr="00005453" w:rsidRDefault="00270A0A" w:rsidP="00270A0A">
            <w:pPr>
              <w:jc w:val="right"/>
              <w:rPr>
                <w:b/>
                <w:bCs/>
                <w:color w:val="000000"/>
                <w:sz w:val="18"/>
                <w:szCs w:val="18"/>
                <w:lang w:eastAsia="tr-TR"/>
              </w:rPr>
            </w:pPr>
            <w:r w:rsidRPr="00005453">
              <w:rPr>
                <w:b/>
                <w:bCs/>
                <w:color w:val="000000"/>
                <w:sz w:val="18"/>
                <w:szCs w:val="18"/>
                <w:lang w:eastAsia="tr-TR"/>
              </w:rPr>
              <w:t>130,175</w:t>
            </w:r>
          </w:p>
        </w:tc>
        <w:tc>
          <w:tcPr>
            <w:tcW w:w="978" w:type="dxa"/>
            <w:gridSpan w:val="2"/>
            <w:tcBorders>
              <w:top w:val="nil"/>
              <w:left w:val="nil"/>
              <w:bottom w:val="single" w:sz="8" w:space="0" w:color="auto"/>
              <w:right w:val="nil"/>
            </w:tcBorders>
            <w:shd w:val="clear" w:color="auto" w:fill="auto"/>
            <w:vAlign w:val="center"/>
            <w:hideMark/>
          </w:tcPr>
          <w:p w14:paraId="125DF1C6" w14:textId="2EA56A6C" w:rsidR="00270A0A" w:rsidRPr="00005453" w:rsidRDefault="00270A0A" w:rsidP="00270A0A">
            <w:pPr>
              <w:jc w:val="right"/>
              <w:rPr>
                <w:b/>
                <w:bCs/>
                <w:color w:val="000000"/>
                <w:sz w:val="18"/>
                <w:szCs w:val="18"/>
                <w:lang w:eastAsia="tr-TR"/>
              </w:rPr>
            </w:pPr>
            <w:r w:rsidRPr="00005453">
              <w:rPr>
                <w:b/>
                <w:bCs/>
                <w:color w:val="000000"/>
                <w:sz w:val="18"/>
                <w:szCs w:val="18"/>
                <w:lang w:eastAsia="tr-TR"/>
              </w:rPr>
              <w:t>108,376</w:t>
            </w:r>
          </w:p>
        </w:tc>
        <w:tc>
          <w:tcPr>
            <w:tcW w:w="868" w:type="dxa"/>
            <w:gridSpan w:val="2"/>
            <w:tcBorders>
              <w:top w:val="nil"/>
              <w:left w:val="nil"/>
              <w:bottom w:val="single" w:sz="8" w:space="0" w:color="auto"/>
              <w:right w:val="nil"/>
            </w:tcBorders>
            <w:shd w:val="clear" w:color="auto" w:fill="auto"/>
            <w:vAlign w:val="center"/>
            <w:hideMark/>
          </w:tcPr>
          <w:p w14:paraId="3910E3CA" w14:textId="18CF2CAE" w:rsidR="00270A0A" w:rsidRPr="00005453" w:rsidRDefault="00270A0A" w:rsidP="00270A0A">
            <w:pPr>
              <w:jc w:val="right"/>
              <w:rPr>
                <w:b/>
                <w:bCs/>
                <w:color w:val="000000"/>
                <w:sz w:val="18"/>
                <w:szCs w:val="18"/>
                <w:lang w:eastAsia="tr-TR"/>
              </w:rPr>
            </w:pPr>
            <w:r w:rsidRPr="00005453">
              <w:rPr>
                <w:b/>
                <w:bCs/>
                <w:color w:val="000000"/>
                <w:sz w:val="18"/>
                <w:szCs w:val="18"/>
                <w:lang w:eastAsia="tr-TR"/>
              </w:rPr>
              <w:t>14,524</w:t>
            </w:r>
          </w:p>
        </w:tc>
        <w:tc>
          <w:tcPr>
            <w:tcW w:w="701" w:type="dxa"/>
            <w:gridSpan w:val="2"/>
            <w:tcBorders>
              <w:top w:val="nil"/>
              <w:left w:val="nil"/>
              <w:bottom w:val="single" w:sz="8" w:space="0" w:color="auto"/>
              <w:right w:val="nil"/>
            </w:tcBorders>
            <w:shd w:val="clear" w:color="auto" w:fill="auto"/>
            <w:vAlign w:val="center"/>
            <w:hideMark/>
          </w:tcPr>
          <w:p w14:paraId="57FF9253" w14:textId="7F08461A" w:rsidR="00270A0A" w:rsidRPr="00005453" w:rsidRDefault="00270A0A" w:rsidP="00270A0A">
            <w:pPr>
              <w:jc w:val="right"/>
              <w:rPr>
                <w:b/>
                <w:bCs/>
                <w:color w:val="000000"/>
                <w:sz w:val="18"/>
                <w:szCs w:val="18"/>
                <w:lang w:eastAsia="tr-TR"/>
              </w:rPr>
            </w:pPr>
            <w:r w:rsidRPr="00005453">
              <w:rPr>
                <w:b/>
                <w:bCs/>
                <w:color w:val="000000"/>
                <w:sz w:val="18"/>
                <w:szCs w:val="18"/>
                <w:lang w:eastAsia="tr-TR"/>
              </w:rPr>
              <w:t>-</w:t>
            </w:r>
          </w:p>
        </w:tc>
        <w:tc>
          <w:tcPr>
            <w:tcW w:w="860" w:type="dxa"/>
            <w:gridSpan w:val="2"/>
            <w:tcBorders>
              <w:top w:val="nil"/>
              <w:left w:val="nil"/>
              <w:bottom w:val="single" w:sz="8" w:space="0" w:color="auto"/>
              <w:right w:val="nil"/>
            </w:tcBorders>
            <w:shd w:val="clear" w:color="auto" w:fill="auto"/>
            <w:vAlign w:val="center"/>
            <w:hideMark/>
          </w:tcPr>
          <w:p w14:paraId="029D611C" w14:textId="048263EB" w:rsidR="00270A0A" w:rsidRPr="00005453" w:rsidRDefault="00270A0A" w:rsidP="00270A0A">
            <w:pPr>
              <w:jc w:val="right"/>
              <w:rPr>
                <w:b/>
                <w:bCs/>
                <w:color w:val="000000"/>
                <w:sz w:val="18"/>
                <w:szCs w:val="18"/>
                <w:lang w:eastAsia="tr-TR"/>
              </w:rPr>
            </w:pPr>
            <w:r w:rsidRPr="00005453">
              <w:rPr>
                <w:b/>
                <w:bCs/>
                <w:color w:val="000000"/>
                <w:sz w:val="18"/>
                <w:szCs w:val="18"/>
                <w:lang w:eastAsia="tr-TR"/>
              </w:rPr>
              <w:t>37,516</w:t>
            </w:r>
          </w:p>
        </w:tc>
        <w:tc>
          <w:tcPr>
            <w:tcW w:w="1147" w:type="dxa"/>
            <w:gridSpan w:val="2"/>
            <w:tcBorders>
              <w:top w:val="nil"/>
              <w:left w:val="nil"/>
              <w:bottom w:val="single" w:sz="8" w:space="0" w:color="auto"/>
              <w:right w:val="nil"/>
            </w:tcBorders>
            <w:shd w:val="clear" w:color="auto" w:fill="auto"/>
            <w:vAlign w:val="center"/>
            <w:hideMark/>
          </w:tcPr>
          <w:p w14:paraId="6AA31250" w14:textId="43E78692" w:rsidR="00270A0A" w:rsidRPr="00005453" w:rsidRDefault="00270A0A" w:rsidP="00270A0A">
            <w:pPr>
              <w:jc w:val="right"/>
              <w:rPr>
                <w:b/>
                <w:bCs/>
                <w:color w:val="000000"/>
                <w:sz w:val="18"/>
                <w:szCs w:val="18"/>
                <w:lang w:eastAsia="tr-TR"/>
              </w:rPr>
            </w:pPr>
            <w:r w:rsidRPr="00005453">
              <w:rPr>
                <w:b/>
                <w:bCs/>
                <w:color w:val="000000"/>
                <w:sz w:val="18"/>
                <w:szCs w:val="18"/>
                <w:lang w:eastAsia="tr-TR"/>
              </w:rPr>
              <w:t>33,168</w:t>
            </w:r>
          </w:p>
        </w:tc>
        <w:tc>
          <w:tcPr>
            <w:tcW w:w="912" w:type="dxa"/>
            <w:tcBorders>
              <w:top w:val="nil"/>
              <w:left w:val="nil"/>
              <w:bottom w:val="single" w:sz="8" w:space="0" w:color="auto"/>
              <w:right w:val="nil"/>
            </w:tcBorders>
            <w:shd w:val="clear" w:color="auto" w:fill="auto"/>
            <w:vAlign w:val="center"/>
            <w:hideMark/>
          </w:tcPr>
          <w:p w14:paraId="0D02682D" w14:textId="5888811D" w:rsidR="00270A0A" w:rsidRPr="00005453" w:rsidRDefault="00270A0A" w:rsidP="00270A0A">
            <w:pPr>
              <w:jc w:val="right"/>
              <w:rPr>
                <w:b/>
                <w:bCs/>
                <w:color w:val="000000"/>
                <w:sz w:val="18"/>
                <w:szCs w:val="18"/>
                <w:lang w:eastAsia="tr-TR"/>
              </w:rPr>
            </w:pPr>
            <w:r w:rsidRPr="00005453">
              <w:rPr>
                <w:b/>
                <w:bCs/>
                <w:color w:val="000000"/>
                <w:sz w:val="18"/>
                <w:szCs w:val="18"/>
                <w:lang w:eastAsia="tr-TR"/>
              </w:rPr>
              <w:t>365</w:t>
            </w:r>
          </w:p>
        </w:tc>
        <w:tc>
          <w:tcPr>
            <w:tcW w:w="961" w:type="dxa"/>
            <w:tcBorders>
              <w:top w:val="nil"/>
              <w:left w:val="nil"/>
              <w:bottom w:val="single" w:sz="8" w:space="0" w:color="auto"/>
              <w:right w:val="nil"/>
            </w:tcBorders>
            <w:shd w:val="clear" w:color="auto" w:fill="auto"/>
            <w:vAlign w:val="center"/>
            <w:hideMark/>
          </w:tcPr>
          <w:p w14:paraId="30633A0D" w14:textId="09CB898C" w:rsidR="00270A0A" w:rsidRPr="00005453" w:rsidRDefault="00270A0A" w:rsidP="00270A0A">
            <w:pPr>
              <w:jc w:val="right"/>
              <w:rPr>
                <w:b/>
                <w:bCs/>
                <w:color w:val="000000"/>
                <w:sz w:val="18"/>
                <w:szCs w:val="18"/>
                <w:lang w:eastAsia="tr-TR"/>
              </w:rPr>
            </w:pPr>
            <w:r w:rsidRPr="00005453">
              <w:rPr>
                <w:b/>
                <w:bCs/>
                <w:color w:val="000000"/>
                <w:sz w:val="18"/>
                <w:szCs w:val="18"/>
                <w:lang w:eastAsia="tr-TR"/>
              </w:rPr>
              <w:t>324,124</w:t>
            </w:r>
          </w:p>
        </w:tc>
      </w:tr>
      <w:tr w:rsidR="00700F7C" w:rsidRPr="00005453" w14:paraId="04CE5BCD" w14:textId="77777777" w:rsidTr="00270A0A">
        <w:trPr>
          <w:divId w:val="271670522"/>
          <w:trHeight w:val="212"/>
        </w:trPr>
        <w:tc>
          <w:tcPr>
            <w:tcW w:w="2436" w:type="dxa"/>
            <w:gridSpan w:val="2"/>
            <w:tcBorders>
              <w:top w:val="nil"/>
              <w:left w:val="nil"/>
              <w:bottom w:val="single" w:sz="8" w:space="0" w:color="auto"/>
              <w:right w:val="nil"/>
            </w:tcBorders>
            <w:shd w:val="clear" w:color="auto" w:fill="auto"/>
            <w:vAlign w:val="bottom"/>
            <w:hideMark/>
          </w:tcPr>
          <w:p w14:paraId="23ADF837" w14:textId="77777777" w:rsidR="00700F7C" w:rsidRPr="00005453" w:rsidRDefault="00700F7C" w:rsidP="00700F7C">
            <w:pPr>
              <w:rPr>
                <w:color w:val="000000"/>
                <w:lang w:eastAsia="tr-TR"/>
              </w:rPr>
            </w:pPr>
            <w:r w:rsidRPr="00005453">
              <w:rPr>
                <w:color w:val="000000"/>
                <w:lang w:eastAsia="tr-TR"/>
              </w:rPr>
              <w:t> </w:t>
            </w:r>
          </w:p>
        </w:tc>
        <w:tc>
          <w:tcPr>
            <w:tcW w:w="861" w:type="dxa"/>
            <w:tcBorders>
              <w:top w:val="nil"/>
              <w:left w:val="nil"/>
              <w:bottom w:val="single" w:sz="8" w:space="0" w:color="auto"/>
              <w:right w:val="nil"/>
            </w:tcBorders>
            <w:shd w:val="clear" w:color="auto" w:fill="auto"/>
            <w:vAlign w:val="center"/>
            <w:hideMark/>
          </w:tcPr>
          <w:p w14:paraId="64182554" w14:textId="04441FE9"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978" w:type="dxa"/>
            <w:gridSpan w:val="2"/>
            <w:tcBorders>
              <w:top w:val="nil"/>
              <w:left w:val="nil"/>
              <w:bottom w:val="single" w:sz="8" w:space="0" w:color="auto"/>
              <w:right w:val="nil"/>
            </w:tcBorders>
            <w:shd w:val="clear" w:color="auto" w:fill="auto"/>
            <w:vAlign w:val="center"/>
            <w:hideMark/>
          </w:tcPr>
          <w:p w14:paraId="0D5CEF12" w14:textId="51599DA2"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868" w:type="dxa"/>
            <w:gridSpan w:val="2"/>
            <w:tcBorders>
              <w:top w:val="nil"/>
              <w:left w:val="nil"/>
              <w:bottom w:val="single" w:sz="8" w:space="0" w:color="auto"/>
              <w:right w:val="nil"/>
            </w:tcBorders>
            <w:shd w:val="clear" w:color="auto" w:fill="auto"/>
            <w:vAlign w:val="center"/>
            <w:hideMark/>
          </w:tcPr>
          <w:p w14:paraId="414C3A10" w14:textId="25EB5A00"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701" w:type="dxa"/>
            <w:gridSpan w:val="2"/>
            <w:tcBorders>
              <w:top w:val="nil"/>
              <w:left w:val="nil"/>
              <w:bottom w:val="single" w:sz="8" w:space="0" w:color="auto"/>
              <w:right w:val="nil"/>
            </w:tcBorders>
            <w:shd w:val="clear" w:color="auto" w:fill="auto"/>
            <w:vAlign w:val="center"/>
            <w:hideMark/>
          </w:tcPr>
          <w:p w14:paraId="245C5E51" w14:textId="01866898"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860" w:type="dxa"/>
            <w:gridSpan w:val="2"/>
            <w:tcBorders>
              <w:top w:val="nil"/>
              <w:left w:val="nil"/>
              <w:bottom w:val="single" w:sz="8" w:space="0" w:color="auto"/>
              <w:right w:val="nil"/>
            </w:tcBorders>
            <w:shd w:val="clear" w:color="auto" w:fill="auto"/>
            <w:vAlign w:val="center"/>
            <w:hideMark/>
          </w:tcPr>
          <w:p w14:paraId="069B0F7D" w14:textId="42D7DCEC"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1147" w:type="dxa"/>
            <w:gridSpan w:val="2"/>
            <w:tcBorders>
              <w:top w:val="nil"/>
              <w:left w:val="nil"/>
              <w:bottom w:val="single" w:sz="8" w:space="0" w:color="auto"/>
              <w:right w:val="nil"/>
            </w:tcBorders>
            <w:shd w:val="clear" w:color="auto" w:fill="auto"/>
            <w:vAlign w:val="center"/>
            <w:hideMark/>
          </w:tcPr>
          <w:p w14:paraId="05ADDB85" w14:textId="1DEE4040"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912" w:type="dxa"/>
            <w:tcBorders>
              <w:top w:val="nil"/>
              <w:left w:val="nil"/>
              <w:bottom w:val="single" w:sz="8" w:space="0" w:color="auto"/>
              <w:right w:val="nil"/>
            </w:tcBorders>
            <w:shd w:val="clear" w:color="auto" w:fill="auto"/>
            <w:vAlign w:val="center"/>
            <w:hideMark/>
          </w:tcPr>
          <w:p w14:paraId="79CB3E20" w14:textId="6B002007"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c>
          <w:tcPr>
            <w:tcW w:w="961" w:type="dxa"/>
            <w:tcBorders>
              <w:top w:val="nil"/>
              <w:left w:val="nil"/>
              <w:bottom w:val="single" w:sz="8" w:space="0" w:color="auto"/>
              <w:right w:val="nil"/>
            </w:tcBorders>
            <w:shd w:val="clear" w:color="auto" w:fill="auto"/>
            <w:vAlign w:val="center"/>
            <w:hideMark/>
          </w:tcPr>
          <w:p w14:paraId="051B5667" w14:textId="7C9A519A" w:rsidR="00700F7C" w:rsidRPr="00005453" w:rsidRDefault="00700F7C" w:rsidP="00700F7C">
            <w:pPr>
              <w:jc w:val="right"/>
              <w:rPr>
                <w:color w:val="000000"/>
                <w:sz w:val="18"/>
                <w:szCs w:val="18"/>
                <w:lang w:eastAsia="tr-TR"/>
              </w:rPr>
            </w:pPr>
            <w:r w:rsidRPr="00005453">
              <w:rPr>
                <w:rFonts w:eastAsia="SimSun"/>
                <w:color w:val="000000"/>
                <w:sz w:val="18"/>
                <w:szCs w:val="18"/>
                <w:lang w:eastAsia="tr-TR"/>
              </w:rPr>
              <w:t> </w:t>
            </w:r>
          </w:p>
        </w:tc>
      </w:tr>
      <w:tr w:rsidR="00270A0A" w:rsidRPr="00005453" w14:paraId="52BB306C" w14:textId="77777777" w:rsidTr="00270A0A">
        <w:trPr>
          <w:divId w:val="271670522"/>
          <w:trHeight w:val="201"/>
        </w:trPr>
        <w:tc>
          <w:tcPr>
            <w:tcW w:w="2436" w:type="dxa"/>
            <w:gridSpan w:val="2"/>
            <w:tcBorders>
              <w:top w:val="nil"/>
              <w:left w:val="nil"/>
              <w:bottom w:val="double" w:sz="6" w:space="0" w:color="auto"/>
              <w:right w:val="nil"/>
            </w:tcBorders>
            <w:shd w:val="clear" w:color="auto" w:fill="auto"/>
            <w:vAlign w:val="center"/>
            <w:hideMark/>
          </w:tcPr>
          <w:p w14:paraId="7BA48BA7" w14:textId="77777777" w:rsidR="00270A0A" w:rsidRPr="00005453" w:rsidRDefault="00270A0A" w:rsidP="00270A0A">
            <w:pPr>
              <w:ind w:firstLineChars="100" w:firstLine="181"/>
              <w:rPr>
                <w:b/>
                <w:bCs/>
                <w:color w:val="000000"/>
                <w:sz w:val="18"/>
                <w:szCs w:val="18"/>
                <w:lang w:eastAsia="tr-TR"/>
              </w:rPr>
            </w:pPr>
            <w:r w:rsidRPr="00005453">
              <w:rPr>
                <w:b/>
                <w:bCs/>
                <w:color w:val="000000"/>
                <w:sz w:val="18"/>
                <w:szCs w:val="18"/>
                <w:lang w:eastAsia="tr-TR"/>
              </w:rPr>
              <w:t>Genel toplam</w:t>
            </w:r>
          </w:p>
        </w:tc>
        <w:tc>
          <w:tcPr>
            <w:tcW w:w="861" w:type="dxa"/>
            <w:tcBorders>
              <w:top w:val="nil"/>
              <w:left w:val="nil"/>
              <w:bottom w:val="double" w:sz="6" w:space="0" w:color="auto"/>
              <w:right w:val="nil"/>
            </w:tcBorders>
            <w:shd w:val="clear" w:color="auto" w:fill="auto"/>
            <w:vAlign w:val="center"/>
            <w:hideMark/>
          </w:tcPr>
          <w:p w14:paraId="728E911B" w14:textId="7C7085DC" w:rsidR="00270A0A" w:rsidRPr="00005453" w:rsidRDefault="00270A0A" w:rsidP="00270A0A">
            <w:pPr>
              <w:jc w:val="right"/>
              <w:rPr>
                <w:b/>
                <w:bCs/>
                <w:color w:val="000000"/>
                <w:sz w:val="18"/>
                <w:szCs w:val="18"/>
                <w:lang w:eastAsia="tr-TR"/>
              </w:rPr>
            </w:pPr>
            <w:r w:rsidRPr="00005453">
              <w:rPr>
                <w:b/>
                <w:bCs/>
                <w:color w:val="000000"/>
                <w:sz w:val="18"/>
                <w:szCs w:val="18"/>
                <w:lang w:eastAsia="tr-TR"/>
              </w:rPr>
              <w:t>2,464,538</w:t>
            </w:r>
          </w:p>
        </w:tc>
        <w:tc>
          <w:tcPr>
            <w:tcW w:w="978" w:type="dxa"/>
            <w:gridSpan w:val="2"/>
            <w:tcBorders>
              <w:top w:val="nil"/>
              <w:left w:val="nil"/>
              <w:bottom w:val="double" w:sz="6" w:space="0" w:color="auto"/>
              <w:right w:val="nil"/>
            </w:tcBorders>
            <w:shd w:val="clear" w:color="auto" w:fill="auto"/>
            <w:vAlign w:val="center"/>
            <w:hideMark/>
          </w:tcPr>
          <w:p w14:paraId="6261BA5C" w14:textId="4CDC5C71" w:rsidR="00270A0A" w:rsidRPr="00005453" w:rsidRDefault="00270A0A" w:rsidP="00270A0A">
            <w:pPr>
              <w:jc w:val="right"/>
              <w:rPr>
                <w:b/>
                <w:bCs/>
                <w:color w:val="000000"/>
                <w:sz w:val="18"/>
                <w:szCs w:val="18"/>
                <w:lang w:eastAsia="tr-TR"/>
              </w:rPr>
            </w:pPr>
            <w:r w:rsidRPr="00005453">
              <w:rPr>
                <w:b/>
                <w:bCs/>
                <w:color w:val="000000"/>
                <w:sz w:val="18"/>
                <w:szCs w:val="18"/>
                <w:lang w:eastAsia="tr-TR"/>
              </w:rPr>
              <w:t>14,506,361</w:t>
            </w:r>
          </w:p>
        </w:tc>
        <w:tc>
          <w:tcPr>
            <w:tcW w:w="868" w:type="dxa"/>
            <w:gridSpan w:val="2"/>
            <w:tcBorders>
              <w:top w:val="nil"/>
              <w:left w:val="nil"/>
              <w:bottom w:val="double" w:sz="6" w:space="0" w:color="auto"/>
              <w:right w:val="nil"/>
            </w:tcBorders>
            <w:shd w:val="clear" w:color="auto" w:fill="auto"/>
            <w:vAlign w:val="center"/>
            <w:hideMark/>
          </w:tcPr>
          <w:p w14:paraId="5A373782" w14:textId="0D4D8441" w:rsidR="00270A0A" w:rsidRPr="00005453" w:rsidRDefault="00270A0A" w:rsidP="00270A0A">
            <w:pPr>
              <w:jc w:val="right"/>
              <w:rPr>
                <w:b/>
                <w:bCs/>
                <w:color w:val="000000"/>
                <w:sz w:val="18"/>
                <w:szCs w:val="18"/>
                <w:lang w:eastAsia="tr-TR"/>
              </w:rPr>
            </w:pPr>
            <w:r w:rsidRPr="00005453">
              <w:rPr>
                <w:b/>
                <w:bCs/>
                <w:color w:val="000000"/>
                <w:sz w:val="18"/>
                <w:szCs w:val="18"/>
                <w:lang w:eastAsia="tr-TR"/>
              </w:rPr>
              <w:t>1,687,916</w:t>
            </w:r>
          </w:p>
        </w:tc>
        <w:tc>
          <w:tcPr>
            <w:tcW w:w="701" w:type="dxa"/>
            <w:gridSpan w:val="2"/>
            <w:tcBorders>
              <w:top w:val="nil"/>
              <w:left w:val="nil"/>
              <w:bottom w:val="double" w:sz="6" w:space="0" w:color="auto"/>
              <w:right w:val="nil"/>
            </w:tcBorders>
            <w:shd w:val="clear" w:color="auto" w:fill="auto"/>
            <w:vAlign w:val="center"/>
            <w:hideMark/>
          </w:tcPr>
          <w:p w14:paraId="13595923" w14:textId="6FE64E2C" w:rsidR="00270A0A" w:rsidRPr="00005453" w:rsidRDefault="00270A0A" w:rsidP="00270A0A">
            <w:pPr>
              <w:jc w:val="right"/>
              <w:rPr>
                <w:b/>
                <w:bCs/>
                <w:color w:val="000000"/>
                <w:sz w:val="18"/>
                <w:szCs w:val="18"/>
                <w:lang w:eastAsia="tr-TR"/>
              </w:rPr>
            </w:pPr>
            <w:r w:rsidRPr="00005453">
              <w:rPr>
                <w:b/>
                <w:bCs/>
                <w:color w:val="000000"/>
                <w:sz w:val="18"/>
                <w:szCs w:val="18"/>
                <w:lang w:eastAsia="tr-TR"/>
              </w:rPr>
              <w:t>-</w:t>
            </w:r>
          </w:p>
        </w:tc>
        <w:tc>
          <w:tcPr>
            <w:tcW w:w="860" w:type="dxa"/>
            <w:gridSpan w:val="2"/>
            <w:tcBorders>
              <w:top w:val="nil"/>
              <w:left w:val="nil"/>
              <w:bottom w:val="double" w:sz="6" w:space="0" w:color="auto"/>
              <w:right w:val="nil"/>
            </w:tcBorders>
            <w:shd w:val="clear" w:color="auto" w:fill="auto"/>
            <w:vAlign w:val="center"/>
            <w:hideMark/>
          </w:tcPr>
          <w:p w14:paraId="65BD3E32" w14:textId="6B20A7BD" w:rsidR="00270A0A" w:rsidRPr="00005453" w:rsidRDefault="00270A0A" w:rsidP="00270A0A">
            <w:pPr>
              <w:jc w:val="right"/>
              <w:rPr>
                <w:b/>
                <w:bCs/>
                <w:color w:val="000000"/>
                <w:sz w:val="18"/>
                <w:szCs w:val="18"/>
                <w:lang w:eastAsia="tr-TR"/>
              </w:rPr>
            </w:pPr>
            <w:r w:rsidRPr="00005453">
              <w:rPr>
                <w:b/>
                <w:bCs/>
                <w:color w:val="000000"/>
                <w:sz w:val="18"/>
                <w:szCs w:val="18"/>
                <w:lang w:eastAsia="tr-TR"/>
              </w:rPr>
              <w:t>3,907,040</w:t>
            </w:r>
          </w:p>
        </w:tc>
        <w:tc>
          <w:tcPr>
            <w:tcW w:w="1147" w:type="dxa"/>
            <w:gridSpan w:val="2"/>
            <w:tcBorders>
              <w:top w:val="nil"/>
              <w:left w:val="nil"/>
              <w:bottom w:val="double" w:sz="6" w:space="0" w:color="auto"/>
              <w:right w:val="nil"/>
            </w:tcBorders>
            <w:shd w:val="clear" w:color="auto" w:fill="auto"/>
            <w:vAlign w:val="center"/>
            <w:hideMark/>
          </w:tcPr>
          <w:p w14:paraId="280803FE" w14:textId="6B64E360" w:rsidR="00270A0A" w:rsidRPr="00005453" w:rsidRDefault="00270A0A" w:rsidP="00270A0A">
            <w:pPr>
              <w:jc w:val="right"/>
              <w:rPr>
                <w:b/>
                <w:bCs/>
                <w:color w:val="000000"/>
                <w:sz w:val="18"/>
                <w:szCs w:val="18"/>
                <w:lang w:eastAsia="tr-TR"/>
              </w:rPr>
            </w:pPr>
            <w:r w:rsidRPr="00005453">
              <w:rPr>
                <w:b/>
                <w:bCs/>
                <w:color w:val="000000"/>
                <w:sz w:val="18"/>
                <w:szCs w:val="18"/>
                <w:lang w:eastAsia="tr-TR"/>
              </w:rPr>
              <w:t>524,465</w:t>
            </w:r>
          </w:p>
        </w:tc>
        <w:tc>
          <w:tcPr>
            <w:tcW w:w="912" w:type="dxa"/>
            <w:tcBorders>
              <w:top w:val="nil"/>
              <w:left w:val="nil"/>
              <w:bottom w:val="double" w:sz="6" w:space="0" w:color="auto"/>
              <w:right w:val="nil"/>
            </w:tcBorders>
            <w:shd w:val="clear" w:color="auto" w:fill="auto"/>
            <w:vAlign w:val="center"/>
            <w:hideMark/>
          </w:tcPr>
          <w:p w14:paraId="568DFC77" w14:textId="2E2632BD" w:rsidR="00270A0A" w:rsidRPr="00005453" w:rsidRDefault="00270A0A" w:rsidP="00270A0A">
            <w:pPr>
              <w:jc w:val="right"/>
              <w:rPr>
                <w:b/>
                <w:bCs/>
                <w:color w:val="000000"/>
                <w:sz w:val="18"/>
                <w:szCs w:val="18"/>
                <w:lang w:eastAsia="tr-TR"/>
              </w:rPr>
            </w:pPr>
            <w:r w:rsidRPr="00005453">
              <w:rPr>
                <w:b/>
                <w:bCs/>
                <w:color w:val="000000"/>
                <w:sz w:val="18"/>
                <w:szCs w:val="18"/>
                <w:lang w:eastAsia="tr-TR"/>
              </w:rPr>
              <w:t>2,614</w:t>
            </w:r>
          </w:p>
        </w:tc>
        <w:tc>
          <w:tcPr>
            <w:tcW w:w="961" w:type="dxa"/>
            <w:tcBorders>
              <w:top w:val="nil"/>
              <w:left w:val="nil"/>
              <w:bottom w:val="double" w:sz="6" w:space="0" w:color="auto"/>
              <w:right w:val="nil"/>
            </w:tcBorders>
            <w:shd w:val="clear" w:color="auto" w:fill="auto"/>
            <w:vAlign w:val="center"/>
            <w:hideMark/>
          </w:tcPr>
          <w:p w14:paraId="201B4F3A" w14:textId="4EC7093D" w:rsidR="00270A0A" w:rsidRPr="00005453" w:rsidRDefault="00270A0A" w:rsidP="00270A0A">
            <w:pPr>
              <w:jc w:val="right"/>
              <w:rPr>
                <w:b/>
                <w:bCs/>
                <w:color w:val="000000"/>
                <w:sz w:val="18"/>
                <w:szCs w:val="18"/>
                <w:lang w:eastAsia="tr-TR"/>
              </w:rPr>
            </w:pPr>
            <w:r w:rsidRPr="00005453">
              <w:rPr>
                <w:b/>
                <w:bCs/>
                <w:color w:val="000000"/>
                <w:sz w:val="18"/>
                <w:szCs w:val="18"/>
                <w:lang w:eastAsia="tr-TR"/>
              </w:rPr>
              <w:t>23,092,934</w:t>
            </w:r>
          </w:p>
        </w:tc>
      </w:tr>
    </w:tbl>
    <w:p w14:paraId="4A6B8C80" w14:textId="2C24113D" w:rsidR="00D22163" w:rsidRPr="00005453" w:rsidRDefault="001F7228" w:rsidP="001D4B2F">
      <w:pPr>
        <w:autoSpaceDE w:val="0"/>
        <w:autoSpaceDN w:val="0"/>
        <w:adjustRightInd w:val="0"/>
        <w:ind w:hanging="567"/>
        <w:rPr>
          <w:lang w:val="de-DE" w:eastAsia="en-GB"/>
        </w:rPr>
      </w:pPr>
      <w:r w:rsidRPr="00005453">
        <w:rPr>
          <w:b/>
          <w:bCs/>
          <w:iCs/>
        </w:rPr>
        <w:br w:type="page"/>
      </w:r>
      <w:r w:rsidR="00DE19A7" w:rsidRPr="00005453">
        <w:rPr>
          <w:b/>
          <w:bCs/>
          <w:iCs/>
        </w:rPr>
        <w:lastRenderedPageBreak/>
        <w:t>4.5</w:t>
      </w:r>
      <w:r w:rsidR="00DE19A7" w:rsidRPr="00005453">
        <w:rPr>
          <w:b/>
          <w:bCs/>
          <w:iCs/>
        </w:rPr>
        <w:tab/>
      </w:r>
      <w:r w:rsidR="00A01DD8" w:rsidRPr="00005453">
        <w:rPr>
          <w:b/>
          <w:bCs/>
          <w:iCs/>
        </w:rPr>
        <w:t>Ticari kar/zarara ilişkin açıklamalar (</w:t>
      </w:r>
      <w:r w:rsidR="002F5480" w:rsidRPr="00005453">
        <w:rPr>
          <w:b/>
          <w:bCs/>
          <w:iCs/>
        </w:rPr>
        <w:t>n</w:t>
      </w:r>
      <w:r w:rsidR="00A01DD8" w:rsidRPr="00005453">
        <w:rPr>
          <w:b/>
          <w:bCs/>
          <w:iCs/>
        </w:rPr>
        <w:t>et)</w:t>
      </w:r>
    </w:p>
    <w:p w14:paraId="773091EF" w14:textId="2BB8953A" w:rsidR="001D4B2F" w:rsidRPr="00005453" w:rsidRDefault="001D4B2F" w:rsidP="000F096F">
      <w:pPr>
        <w:autoSpaceDE w:val="0"/>
        <w:autoSpaceDN w:val="0"/>
        <w:adjustRightInd w:val="0"/>
        <w:rPr>
          <w:lang w:val="de-DE" w:eastAsia="en-GB"/>
        </w:rPr>
      </w:pPr>
    </w:p>
    <w:tbl>
      <w:tblPr>
        <w:tblW w:w="9261" w:type="dxa"/>
        <w:tblCellMar>
          <w:left w:w="70" w:type="dxa"/>
          <w:right w:w="70" w:type="dxa"/>
        </w:tblCellMar>
        <w:tblLook w:val="04A0" w:firstRow="1" w:lastRow="0" w:firstColumn="1" w:lastColumn="0" w:noHBand="0" w:noVBand="1"/>
      </w:tblPr>
      <w:tblGrid>
        <w:gridCol w:w="4948"/>
        <w:gridCol w:w="2187"/>
        <w:gridCol w:w="2126"/>
      </w:tblGrid>
      <w:tr w:rsidR="001D4B2F" w:rsidRPr="00005453" w14:paraId="42191638" w14:textId="77777777" w:rsidTr="007F1884">
        <w:trPr>
          <w:divId w:val="1804494303"/>
          <w:trHeight w:val="229"/>
        </w:trPr>
        <w:tc>
          <w:tcPr>
            <w:tcW w:w="4948" w:type="dxa"/>
            <w:tcBorders>
              <w:top w:val="double" w:sz="6" w:space="0" w:color="auto"/>
              <w:left w:val="nil"/>
              <w:bottom w:val="single" w:sz="8" w:space="0" w:color="auto"/>
              <w:right w:val="nil"/>
            </w:tcBorders>
            <w:shd w:val="clear" w:color="auto" w:fill="auto"/>
            <w:vAlign w:val="center"/>
            <w:hideMark/>
          </w:tcPr>
          <w:p w14:paraId="30869323" w14:textId="009BE1C2" w:rsidR="001D4B2F" w:rsidRPr="00005453" w:rsidRDefault="001D4B2F" w:rsidP="001D4B2F">
            <w:pPr>
              <w:jc w:val="center"/>
              <w:rPr>
                <w:b/>
                <w:bCs/>
                <w:color w:val="000000"/>
                <w:sz w:val="18"/>
                <w:szCs w:val="18"/>
                <w:lang w:eastAsia="tr-TR"/>
              </w:rPr>
            </w:pPr>
            <w:r w:rsidRPr="00005453">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35C76FE5"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3F1C774A"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Önceki Dönem</w:t>
            </w:r>
          </w:p>
        </w:tc>
      </w:tr>
      <w:tr w:rsidR="00664103" w:rsidRPr="00005453" w14:paraId="74C6FCE7" w14:textId="77777777" w:rsidTr="00127079">
        <w:trPr>
          <w:divId w:val="1804494303"/>
          <w:trHeight w:val="216"/>
        </w:trPr>
        <w:tc>
          <w:tcPr>
            <w:tcW w:w="4948" w:type="dxa"/>
            <w:tcBorders>
              <w:top w:val="nil"/>
              <w:left w:val="nil"/>
              <w:bottom w:val="nil"/>
              <w:right w:val="nil"/>
            </w:tcBorders>
            <w:shd w:val="clear" w:color="auto" w:fill="auto"/>
            <w:noWrap/>
            <w:vAlign w:val="center"/>
            <w:hideMark/>
          </w:tcPr>
          <w:p w14:paraId="57762EFF" w14:textId="77777777" w:rsidR="00664103" w:rsidRPr="00005453" w:rsidRDefault="00664103" w:rsidP="00664103">
            <w:pPr>
              <w:rPr>
                <w:b/>
                <w:bCs/>
                <w:color w:val="000000"/>
                <w:sz w:val="18"/>
                <w:szCs w:val="18"/>
                <w:lang w:eastAsia="tr-TR"/>
              </w:rPr>
            </w:pPr>
            <w:r w:rsidRPr="00005453">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6BF5BF81" w14:textId="2A23D06A" w:rsidR="00664103" w:rsidRPr="00005453" w:rsidRDefault="00664103" w:rsidP="00127079">
            <w:pPr>
              <w:jc w:val="right"/>
              <w:rPr>
                <w:b/>
                <w:bCs/>
                <w:sz w:val="18"/>
                <w:szCs w:val="18"/>
                <w:lang w:eastAsia="tr-TR"/>
              </w:rPr>
            </w:pPr>
            <w:r w:rsidRPr="00005453">
              <w:rPr>
                <w:b/>
                <w:bCs/>
                <w:sz w:val="18"/>
                <w:szCs w:val="18"/>
              </w:rPr>
              <w:t>7,084,527</w:t>
            </w:r>
          </w:p>
        </w:tc>
        <w:tc>
          <w:tcPr>
            <w:tcW w:w="2126" w:type="dxa"/>
            <w:tcBorders>
              <w:top w:val="nil"/>
              <w:left w:val="nil"/>
              <w:bottom w:val="nil"/>
              <w:right w:val="nil"/>
            </w:tcBorders>
            <w:shd w:val="clear" w:color="auto" w:fill="auto"/>
            <w:vAlign w:val="center"/>
            <w:hideMark/>
          </w:tcPr>
          <w:p w14:paraId="4DC0B405" w14:textId="5421A4CF" w:rsidR="00664103" w:rsidRPr="00005453" w:rsidRDefault="00664103" w:rsidP="00664103">
            <w:pPr>
              <w:jc w:val="right"/>
              <w:rPr>
                <w:b/>
                <w:bCs/>
                <w:sz w:val="18"/>
                <w:szCs w:val="18"/>
                <w:lang w:eastAsia="tr-TR"/>
              </w:rPr>
            </w:pPr>
            <w:r w:rsidRPr="00005453">
              <w:rPr>
                <w:b/>
                <w:bCs/>
                <w:sz w:val="18"/>
                <w:szCs w:val="18"/>
                <w:lang w:eastAsia="tr-TR"/>
              </w:rPr>
              <w:t>9,612,948</w:t>
            </w:r>
          </w:p>
        </w:tc>
      </w:tr>
      <w:tr w:rsidR="00664103" w:rsidRPr="00005453" w14:paraId="0D8F932B" w14:textId="77777777" w:rsidTr="00127079">
        <w:trPr>
          <w:divId w:val="1804494303"/>
          <w:trHeight w:val="216"/>
        </w:trPr>
        <w:tc>
          <w:tcPr>
            <w:tcW w:w="4948" w:type="dxa"/>
            <w:tcBorders>
              <w:top w:val="nil"/>
              <w:left w:val="nil"/>
              <w:bottom w:val="nil"/>
              <w:right w:val="nil"/>
            </w:tcBorders>
            <w:shd w:val="clear" w:color="auto" w:fill="auto"/>
            <w:noWrap/>
            <w:vAlign w:val="center"/>
            <w:hideMark/>
          </w:tcPr>
          <w:p w14:paraId="10E12900" w14:textId="77777777" w:rsidR="00664103" w:rsidRPr="00005453" w:rsidRDefault="00664103" w:rsidP="00664103">
            <w:pPr>
              <w:rPr>
                <w:b/>
                <w:bCs/>
                <w:color w:val="000000"/>
                <w:sz w:val="18"/>
                <w:szCs w:val="18"/>
                <w:lang w:eastAsia="tr-TR"/>
              </w:rPr>
            </w:pPr>
            <w:r w:rsidRPr="00005453">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28EE9AE0" w14:textId="6B9FEC5A" w:rsidR="00664103" w:rsidRPr="00005453" w:rsidRDefault="00664103" w:rsidP="00127079">
            <w:pPr>
              <w:jc w:val="right"/>
              <w:rPr>
                <w:b/>
                <w:bCs/>
                <w:sz w:val="18"/>
                <w:szCs w:val="18"/>
                <w:lang w:eastAsia="tr-TR"/>
              </w:rPr>
            </w:pPr>
            <w:r w:rsidRPr="00005453">
              <w:rPr>
                <w:b/>
                <w:bCs/>
                <w:sz w:val="18"/>
                <w:szCs w:val="18"/>
              </w:rPr>
              <w:t>188,527,532</w:t>
            </w:r>
          </w:p>
        </w:tc>
        <w:tc>
          <w:tcPr>
            <w:tcW w:w="2126" w:type="dxa"/>
            <w:tcBorders>
              <w:top w:val="nil"/>
              <w:left w:val="nil"/>
              <w:bottom w:val="nil"/>
              <w:right w:val="nil"/>
            </w:tcBorders>
            <w:shd w:val="clear" w:color="auto" w:fill="auto"/>
            <w:vAlign w:val="center"/>
            <w:hideMark/>
          </w:tcPr>
          <w:p w14:paraId="64B84DDA" w14:textId="3C908413" w:rsidR="00664103" w:rsidRPr="00005453" w:rsidRDefault="00664103" w:rsidP="00664103">
            <w:pPr>
              <w:jc w:val="right"/>
              <w:rPr>
                <w:b/>
                <w:bCs/>
                <w:sz w:val="18"/>
                <w:szCs w:val="18"/>
                <w:lang w:eastAsia="tr-TR"/>
              </w:rPr>
            </w:pPr>
            <w:r w:rsidRPr="00005453">
              <w:rPr>
                <w:b/>
                <w:bCs/>
                <w:sz w:val="18"/>
                <w:szCs w:val="18"/>
                <w:lang w:eastAsia="tr-TR"/>
              </w:rPr>
              <w:t>129,882,405</w:t>
            </w:r>
          </w:p>
        </w:tc>
      </w:tr>
      <w:tr w:rsidR="00664103" w:rsidRPr="00005453" w14:paraId="58FD111A" w14:textId="77777777" w:rsidTr="00127079">
        <w:trPr>
          <w:divId w:val="1804494303"/>
          <w:trHeight w:val="216"/>
        </w:trPr>
        <w:tc>
          <w:tcPr>
            <w:tcW w:w="4948" w:type="dxa"/>
            <w:tcBorders>
              <w:top w:val="nil"/>
              <w:left w:val="nil"/>
              <w:bottom w:val="nil"/>
              <w:right w:val="nil"/>
            </w:tcBorders>
            <w:shd w:val="clear" w:color="auto" w:fill="auto"/>
            <w:noWrap/>
            <w:vAlign w:val="center"/>
            <w:hideMark/>
          </w:tcPr>
          <w:p w14:paraId="580D8C78" w14:textId="77777777" w:rsidR="00664103" w:rsidRPr="00005453" w:rsidRDefault="00664103" w:rsidP="00664103">
            <w:pPr>
              <w:rPr>
                <w:color w:val="000000"/>
                <w:sz w:val="18"/>
                <w:szCs w:val="18"/>
                <w:lang w:eastAsia="tr-TR"/>
              </w:rPr>
            </w:pPr>
            <w:r w:rsidRPr="00005453">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1AD2CC1C" w14:textId="05288227" w:rsidR="00664103" w:rsidRPr="00005453" w:rsidRDefault="00664103" w:rsidP="00127079">
            <w:pPr>
              <w:jc w:val="right"/>
              <w:rPr>
                <w:bCs/>
                <w:sz w:val="18"/>
                <w:szCs w:val="18"/>
                <w:lang w:eastAsia="tr-TR"/>
              </w:rPr>
            </w:pPr>
            <w:r w:rsidRPr="00005453">
              <w:rPr>
                <w:sz w:val="18"/>
                <w:szCs w:val="18"/>
              </w:rPr>
              <w:t>5,714,376</w:t>
            </w:r>
          </w:p>
        </w:tc>
        <w:tc>
          <w:tcPr>
            <w:tcW w:w="2126" w:type="dxa"/>
            <w:tcBorders>
              <w:top w:val="nil"/>
              <w:left w:val="nil"/>
              <w:bottom w:val="nil"/>
              <w:right w:val="nil"/>
            </w:tcBorders>
            <w:shd w:val="clear" w:color="auto" w:fill="auto"/>
            <w:vAlign w:val="center"/>
            <w:hideMark/>
          </w:tcPr>
          <w:p w14:paraId="23ED12F5" w14:textId="7DD8C857" w:rsidR="00664103" w:rsidRPr="00005453" w:rsidRDefault="00664103" w:rsidP="00664103">
            <w:pPr>
              <w:jc w:val="right"/>
              <w:rPr>
                <w:sz w:val="18"/>
                <w:szCs w:val="18"/>
                <w:lang w:eastAsia="tr-TR"/>
              </w:rPr>
            </w:pPr>
            <w:r w:rsidRPr="00005453">
              <w:rPr>
                <w:bCs/>
                <w:sz w:val="18"/>
                <w:szCs w:val="18"/>
                <w:lang w:eastAsia="tr-TR"/>
              </w:rPr>
              <w:t>2,590,525</w:t>
            </w:r>
          </w:p>
        </w:tc>
      </w:tr>
      <w:tr w:rsidR="00664103" w:rsidRPr="00005453" w14:paraId="4619A2F1" w14:textId="77777777" w:rsidTr="00127079">
        <w:trPr>
          <w:divId w:val="1804494303"/>
          <w:trHeight w:val="216"/>
        </w:trPr>
        <w:tc>
          <w:tcPr>
            <w:tcW w:w="4948" w:type="dxa"/>
            <w:tcBorders>
              <w:top w:val="nil"/>
              <w:left w:val="nil"/>
              <w:bottom w:val="nil"/>
              <w:right w:val="nil"/>
            </w:tcBorders>
            <w:shd w:val="clear" w:color="auto" w:fill="auto"/>
            <w:noWrap/>
            <w:vAlign w:val="center"/>
            <w:hideMark/>
          </w:tcPr>
          <w:p w14:paraId="7F85F2F3" w14:textId="77777777" w:rsidR="00664103" w:rsidRPr="00005453" w:rsidRDefault="00664103" w:rsidP="00664103">
            <w:pPr>
              <w:rPr>
                <w:color w:val="000000"/>
                <w:sz w:val="18"/>
                <w:szCs w:val="18"/>
                <w:lang w:eastAsia="tr-TR"/>
              </w:rPr>
            </w:pPr>
            <w:r w:rsidRPr="00005453">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50C652AE" w14:textId="26ECBE5A" w:rsidR="00664103" w:rsidRPr="00005453" w:rsidRDefault="00664103" w:rsidP="00127079">
            <w:pPr>
              <w:jc w:val="right"/>
              <w:rPr>
                <w:bCs/>
                <w:sz w:val="18"/>
                <w:szCs w:val="18"/>
                <w:lang w:eastAsia="tr-TR"/>
              </w:rPr>
            </w:pPr>
            <w:r w:rsidRPr="00005453">
              <w:rPr>
                <w:sz w:val="18"/>
                <w:szCs w:val="18"/>
              </w:rPr>
              <w:t>34,894,163</w:t>
            </w:r>
          </w:p>
        </w:tc>
        <w:tc>
          <w:tcPr>
            <w:tcW w:w="2126" w:type="dxa"/>
            <w:tcBorders>
              <w:top w:val="nil"/>
              <w:left w:val="nil"/>
              <w:bottom w:val="nil"/>
              <w:right w:val="nil"/>
            </w:tcBorders>
            <w:shd w:val="clear" w:color="auto" w:fill="auto"/>
            <w:vAlign w:val="center"/>
            <w:hideMark/>
          </w:tcPr>
          <w:p w14:paraId="635EC788" w14:textId="63C004C6" w:rsidR="00664103" w:rsidRPr="00005453" w:rsidRDefault="00664103" w:rsidP="00664103">
            <w:pPr>
              <w:jc w:val="right"/>
              <w:rPr>
                <w:sz w:val="18"/>
                <w:szCs w:val="18"/>
                <w:lang w:eastAsia="tr-TR"/>
              </w:rPr>
            </w:pPr>
            <w:r w:rsidRPr="00005453">
              <w:rPr>
                <w:bCs/>
                <w:sz w:val="18"/>
                <w:szCs w:val="18"/>
                <w:lang w:eastAsia="tr-TR"/>
              </w:rPr>
              <w:t>20,109,511</w:t>
            </w:r>
          </w:p>
        </w:tc>
      </w:tr>
      <w:tr w:rsidR="00664103" w:rsidRPr="00005453" w14:paraId="5A307775" w14:textId="77777777" w:rsidTr="00127079">
        <w:trPr>
          <w:divId w:val="1804494303"/>
          <w:trHeight w:val="203"/>
        </w:trPr>
        <w:tc>
          <w:tcPr>
            <w:tcW w:w="4948" w:type="dxa"/>
            <w:tcBorders>
              <w:top w:val="nil"/>
              <w:left w:val="nil"/>
              <w:bottom w:val="nil"/>
              <w:right w:val="nil"/>
            </w:tcBorders>
            <w:shd w:val="clear" w:color="auto" w:fill="auto"/>
            <w:noWrap/>
            <w:vAlign w:val="center"/>
            <w:hideMark/>
          </w:tcPr>
          <w:p w14:paraId="608CDF06" w14:textId="77777777" w:rsidR="00664103" w:rsidRPr="00005453" w:rsidRDefault="00664103" w:rsidP="00664103">
            <w:pPr>
              <w:rPr>
                <w:color w:val="000000"/>
                <w:sz w:val="18"/>
                <w:szCs w:val="18"/>
                <w:lang w:eastAsia="tr-TR"/>
              </w:rPr>
            </w:pPr>
            <w:r w:rsidRPr="00005453">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1754E377" w14:textId="75C34F44" w:rsidR="00664103" w:rsidRPr="00005453" w:rsidRDefault="00664103" w:rsidP="00127079">
            <w:pPr>
              <w:jc w:val="right"/>
              <w:rPr>
                <w:bCs/>
                <w:sz w:val="18"/>
                <w:szCs w:val="18"/>
                <w:lang w:eastAsia="tr-TR"/>
              </w:rPr>
            </w:pPr>
            <w:r w:rsidRPr="00005453">
              <w:rPr>
                <w:sz w:val="18"/>
                <w:szCs w:val="18"/>
              </w:rPr>
              <w:t>147,918,993</w:t>
            </w:r>
          </w:p>
        </w:tc>
        <w:tc>
          <w:tcPr>
            <w:tcW w:w="2126" w:type="dxa"/>
            <w:tcBorders>
              <w:top w:val="nil"/>
              <w:left w:val="nil"/>
              <w:bottom w:val="nil"/>
              <w:right w:val="nil"/>
            </w:tcBorders>
            <w:shd w:val="clear" w:color="auto" w:fill="auto"/>
            <w:vAlign w:val="center"/>
            <w:hideMark/>
          </w:tcPr>
          <w:p w14:paraId="2EA7107E" w14:textId="5E5346B0" w:rsidR="00664103" w:rsidRPr="00005453" w:rsidRDefault="00664103" w:rsidP="00664103">
            <w:pPr>
              <w:jc w:val="right"/>
              <w:rPr>
                <w:sz w:val="18"/>
                <w:szCs w:val="18"/>
                <w:lang w:eastAsia="tr-TR"/>
              </w:rPr>
            </w:pPr>
            <w:r w:rsidRPr="00005453">
              <w:rPr>
                <w:bCs/>
                <w:sz w:val="18"/>
                <w:szCs w:val="18"/>
                <w:lang w:eastAsia="tr-TR"/>
              </w:rPr>
              <w:t>107,182,369</w:t>
            </w:r>
          </w:p>
        </w:tc>
      </w:tr>
      <w:tr w:rsidR="00664103" w:rsidRPr="00005453" w14:paraId="4D40269D" w14:textId="77777777" w:rsidTr="00127079">
        <w:trPr>
          <w:divId w:val="1804494303"/>
          <w:trHeight w:val="203"/>
        </w:trPr>
        <w:tc>
          <w:tcPr>
            <w:tcW w:w="4948" w:type="dxa"/>
            <w:tcBorders>
              <w:top w:val="nil"/>
              <w:left w:val="nil"/>
              <w:bottom w:val="nil"/>
              <w:right w:val="nil"/>
            </w:tcBorders>
            <w:shd w:val="clear" w:color="auto" w:fill="auto"/>
            <w:noWrap/>
            <w:vAlign w:val="center"/>
            <w:hideMark/>
          </w:tcPr>
          <w:p w14:paraId="10639A80" w14:textId="77777777" w:rsidR="00664103" w:rsidRPr="00005453" w:rsidRDefault="00664103" w:rsidP="00664103">
            <w:pPr>
              <w:rPr>
                <w:b/>
                <w:bCs/>
                <w:color w:val="000000"/>
                <w:sz w:val="18"/>
                <w:szCs w:val="18"/>
                <w:lang w:eastAsia="tr-TR"/>
              </w:rPr>
            </w:pPr>
            <w:r w:rsidRPr="00005453">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582ACF8E" w14:textId="60C4E9C0" w:rsidR="00664103" w:rsidRPr="00005453" w:rsidRDefault="00664103" w:rsidP="00127079">
            <w:pPr>
              <w:jc w:val="right"/>
              <w:rPr>
                <w:b/>
                <w:bCs/>
                <w:sz w:val="18"/>
                <w:szCs w:val="18"/>
                <w:lang w:eastAsia="tr-TR"/>
              </w:rPr>
            </w:pPr>
            <w:r w:rsidRPr="00005453">
              <w:rPr>
                <w:b/>
                <w:bCs/>
                <w:sz w:val="18"/>
                <w:szCs w:val="18"/>
              </w:rPr>
              <w:t>(181,443,005)</w:t>
            </w:r>
          </w:p>
        </w:tc>
        <w:tc>
          <w:tcPr>
            <w:tcW w:w="2126" w:type="dxa"/>
            <w:tcBorders>
              <w:top w:val="nil"/>
              <w:left w:val="nil"/>
              <w:bottom w:val="nil"/>
              <w:right w:val="nil"/>
            </w:tcBorders>
            <w:shd w:val="clear" w:color="auto" w:fill="auto"/>
            <w:vAlign w:val="center"/>
            <w:hideMark/>
          </w:tcPr>
          <w:p w14:paraId="7D69571E" w14:textId="0F520A92" w:rsidR="00664103" w:rsidRPr="00005453" w:rsidRDefault="00664103" w:rsidP="00664103">
            <w:pPr>
              <w:jc w:val="right"/>
              <w:rPr>
                <w:b/>
                <w:bCs/>
                <w:sz w:val="18"/>
                <w:szCs w:val="18"/>
                <w:lang w:eastAsia="tr-TR"/>
              </w:rPr>
            </w:pPr>
            <w:r w:rsidRPr="00005453">
              <w:rPr>
                <w:b/>
                <w:bCs/>
                <w:sz w:val="18"/>
                <w:szCs w:val="18"/>
                <w:lang w:eastAsia="tr-TR"/>
              </w:rPr>
              <w:t>(120,269,457)</w:t>
            </w:r>
          </w:p>
        </w:tc>
      </w:tr>
      <w:tr w:rsidR="00664103" w:rsidRPr="00005453" w14:paraId="15EF32F5" w14:textId="77777777" w:rsidTr="00127079">
        <w:trPr>
          <w:divId w:val="1804494303"/>
          <w:trHeight w:val="203"/>
        </w:trPr>
        <w:tc>
          <w:tcPr>
            <w:tcW w:w="4948" w:type="dxa"/>
            <w:tcBorders>
              <w:top w:val="nil"/>
              <w:left w:val="nil"/>
              <w:bottom w:val="nil"/>
              <w:right w:val="nil"/>
            </w:tcBorders>
            <w:shd w:val="clear" w:color="auto" w:fill="auto"/>
            <w:noWrap/>
            <w:vAlign w:val="center"/>
            <w:hideMark/>
          </w:tcPr>
          <w:p w14:paraId="311633AC" w14:textId="77777777" w:rsidR="00664103" w:rsidRPr="00005453" w:rsidRDefault="00664103" w:rsidP="00664103">
            <w:pPr>
              <w:rPr>
                <w:color w:val="000000"/>
                <w:sz w:val="18"/>
                <w:szCs w:val="18"/>
                <w:lang w:eastAsia="tr-TR"/>
              </w:rPr>
            </w:pPr>
            <w:r w:rsidRPr="00005453">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3BC910C5" w14:textId="7D4842F0" w:rsidR="00664103" w:rsidRPr="00005453" w:rsidRDefault="00664103" w:rsidP="00127079">
            <w:pPr>
              <w:jc w:val="right"/>
              <w:rPr>
                <w:bCs/>
                <w:sz w:val="18"/>
                <w:szCs w:val="18"/>
                <w:lang w:eastAsia="tr-TR"/>
              </w:rPr>
            </w:pPr>
            <w:r w:rsidRPr="00005453">
              <w:rPr>
                <w:sz w:val="18"/>
                <w:szCs w:val="18"/>
              </w:rPr>
              <w:t>(56,549)</w:t>
            </w:r>
          </w:p>
        </w:tc>
        <w:tc>
          <w:tcPr>
            <w:tcW w:w="2126" w:type="dxa"/>
            <w:tcBorders>
              <w:top w:val="nil"/>
              <w:left w:val="nil"/>
              <w:bottom w:val="nil"/>
              <w:right w:val="nil"/>
            </w:tcBorders>
            <w:shd w:val="clear" w:color="auto" w:fill="auto"/>
            <w:vAlign w:val="center"/>
            <w:hideMark/>
          </w:tcPr>
          <w:p w14:paraId="2B9533C1" w14:textId="2962A162" w:rsidR="00664103" w:rsidRPr="00005453" w:rsidRDefault="00664103" w:rsidP="00664103">
            <w:pPr>
              <w:jc w:val="right"/>
              <w:rPr>
                <w:sz w:val="18"/>
                <w:szCs w:val="18"/>
                <w:lang w:eastAsia="tr-TR"/>
              </w:rPr>
            </w:pPr>
            <w:r w:rsidRPr="00005453">
              <w:rPr>
                <w:bCs/>
                <w:sz w:val="18"/>
                <w:szCs w:val="18"/>
                <w:lang w:eastAsia="tr-TR"/>
              </w:rPr>
              <w:t>(44,012)</w:t>
            </w:r>
          </w:p>
        </w:tc>
      </w:tr>
      <w:tr w:rsidR="00664103" w:rsidRPr="00005453" w14:paraId="4D2460EF" w14:textId="77777777" w:rsidTr="00127079">
        <w:trPr>
          <w:divId w:val="1804494303"/>
          <w:trHeight w:val="203"/>
        </w:trPr>
        <w:tc>
          <w:tcPr>
            <w:tcW w:w="4948" w:type="dxa"/>
            <w:tcBorders>
              <w:top w:val="nil"/>
              <w:left w:val="nil"/>
              <w:right w:val="nil"/>
            </w:tcBorders>
            <w:shd w:val="clear" w:color="auto" w:fill="auto"/>
            <w:noWrap/>
            <w:vAlign w:val="center"/>
            <w:hideMark/>
          </w:tcPr>
          <w:p w14:paraId="14828B31" w14:textId="77777777" w:rsidR="00664103" w:rsidRPr="00005453" w:rsidRDefault="00664103" w:rsidP="00664103">
            <w:pPr>
              <w:rPr>
                <w:color w:val="000000"/>
                <w:sz w:val="18"/>
                <w:szCs w:val="18"/>
                <w:lang w:eastAsia="tr-TR"/>
              </w:rPr>
            </w:pPr>
            <w:r w:rsidRPr="00005453">
              <w:rPr>
                <w:color w:val="000000"/>
                <w:sz w:val="18"/>
                <w:szCs w:val="18"/>
                <w:lang w:eastAsia="tr-TR"/>
              </w:rPr>
              <w:t>Türev finansal işlemlerden zarar</w:t>
            </w:r>
          </w:p>
        </w:tc>
        <w:tc>
          <w:tcPr>
            <w:tcW w:w="2187" w:type="dxa"/>
            <w:tcBorders>
              <w:top w:val="nil"/>
              <w:left w:val="nil"/>
              <w:right w:val="nil"/>
            </w:tcBorders>
            <w:shd w:val="clear" w:color="auto" w:fill="auto"/>
            <w:vAlign w:val="center"/>
            <w:hideMark/>
          </w:tcPr>
          <w:p w14:paraId="6F229464" w14:textId="583CE95F" w:rsidR="00664103" w:rsidRPr="00005453" w:rsidRDefault="00664103" w:rsidP="00127079">
            <w:pPr>
              <w:jc w:val="right"/>
              <w:rPr>
                <w:bCs/>
                <w:sz w:val="18"/>
                <w:szCs w:val="18"/>
                <w:lang w:eastAsia="tr-TR"/>
              </w:rPr>
            </w:pPr>
            <w:r w:rsidRPr="00005453">
              <w:rPr>
                <w:sz w:val="18"/>
                <w:szCs w:val="18"/>
              </w:rPr>
              <w:t>(37,237,526)</w:t>
            </w:r>
          </w:p>
        </w:tc>
        <w:tc>
          <w:tcPr>
            <w:tcW w:w="2126" w:type="dxa"/>
            <w:tcBorders>
              <w:top w:val="nil"/>
              <w:left w:val="nil"/>
              <w:right w:val="nil"/>
            </w:tcBorders>
            <w:shd w:val="clear" w:color="auto" w:fill="auto"/>
            <w:vAlign w:val="center"/>
            <w:hideMark/>
          </w:tcPr>
          <w:p w14:paraId="1CA3A602" w14:textId="75F34F0D" w:rsidR="00664103" w:rsidRPr="00005453" w:rsidRDefault="00664103" w:rsidP="00664103">
            <w:pPr>
              <w:jc w:val="right"/>
              <w:rPr>
                <w:sz w:val="18"/>
                <w:szCs w:val="18"/>
                <w:lang w:eastAsia="tr-TR"/>
              </w:rPr>
            </w:pPr>
            <w:r w:rsidRPr="00005453">
              <w:rPr>
                <w:bCs/>
                <w:sz w:val="18"/>
                <w:szCs w:val="18"/>
                <w:lang w:eastAsia="tr-TR"/>
              </w:rPr>
              <w:t>(11,759,102)</w:t>
            </w:r>
          </w:p>
        </w:tc>
      </w:tr>
      <w:tr w:rsidR="00664103" w:rsidRPr="00005453" w14:paraId="70016566" w14:textId="77777777" w:rsidTr="00127079">
        <w:trPr>
          <w:divId w:val="1804494303"/>
          <w:trHeight w:val="57"/>
        </w:trPr>
        <w:tc>
          <w:tcPr>
            <w:tcW w:w="4948" w:type="dxa"/>
            <w:tcBorders>
              <w:top w:val="nil"/>
              <w:left w:val="nil"/>
              <w:bottom w:val="single" w:sz="4" w:space="0" w:color="auto"/>
              <w:right w:val="nil"/>
            </w:tcBorders>
            <w:shd w:val="clear" w:color="auto" w:fill="auto"/>
            <w:noWrap/>
            <w:vAlign w:val="center"/>
            <w:hideMark/>
          </w:tcPr>
          <w:p w14:paraId="07A7923C" w14:textId="77777777" w:rsidR="00664103" w:rsidRPr="00005453" w:rsidRDefault="00664103" w:rsidP="00664103">
            <w:pPr>
              <w:rPr>
                <w:color w:val="000000"/>
                <w:sz w:val="18"/>
                <w:szCs w:val="18"/>
                <w:lang w:eastAsia="tr-TR"/>
              </w:rPr>
            </w:pPr>
            <w:r w:rsidRPr="00005453">
              <w:rPr>
                <w:color w:val="000000"/>
                <w:sz w:val="18"/>
                <w:szCs w:val="18"/>
                <w:lang w:eastAsia="tr-TR"/>
              </w:rPr>
              <w:t>Kambiyo işlemlerinden zarar</w:t>
            </w:r>
          </w:p>
        </w:tc>
        <w:tc>
          <w:tcPr>
            <w:tcW w:w="2187" w:type="dxa"/>
            <w:tcBorders>
              <w:top w:val="nil"/>
              <w:left w:val="nil"/>
              <w:bottom w:val="single" w:sz="4" w:space="0" w:color="auto"/>
              <w:right w:val="nil"/>
            </w:tcBorders>
            <w:shd w:val="clear" w:color="auto" w:fill="auto"/>
            <w:vAlign w:val="center"/>
            <w:hideMark/>
          </w:tcPr>
          <w:p w14:paraId="42A1C05E" w14:textId="33D1C8D7" w:rsidR="00664103" w:rsidRPr="00005453" w:rsidRDefault="00664103" w:rsidP="00127079">
            <w:pPr>
              <w:jc w:val="right"/>
              <w:rPr>
                <w:bCs/>
                <w:sz w:val="18"/>
                <w:szCs w:val="18"/>
                <w:lang w:eastAsia="tr-TR"/>
              </w:rPr>
            </w:pPr>
            <w:r w:rsidRPr="00005453">
              <w:rPr>
                <w:sz w:val="18"/>
                <w:szCs w:val="18"/>
              </w:rPr>
              <w:t>(144,148,930)</w:t>
            </w:r>
          </w:p>
        </w:tc>
        <w:tc>
          <w:tcPr>
            <w:tcW w:w="2126" w:type="dxa"/>
            <w:tcBorders>
              <w:top w:val="nil"/>
              <w:left w:val="nil"/>
              <w:bottom w:val="single" w:sz="4" w:space="0" w:color="auto"/>
              <w:right w:val="nil"/>
            </w:tcBorders>
            <w:shd w:val="clear" w:color="auto" w:fill="auto"/>
            <w:vAlign w:val="center"/>
            <w:hideMark/>
          </w:tcPr>
          <w:p w14:paraId="525DB54E" w14:textId="55005131" w:rsidR="00664103" w:rsidRPr="00005453" w:rsidRDefault="00664103" w:rsidP="00664103">
            <w:pPr>
              <w:jc w:val="right"/>
              <w:rPr>
                <w:sz w:val="18"/>
                <w:szCs w:val="18"/>
                <w:lang w:eastAsia="tr-TR"/>
              </w:rPr>
            </w:pPr>
            <w:r w:rsidRPr="00005453">
              <w:rPr>
                <w:bCs/>
                <w:sz w:val="18"/>
                <w:szCs w:val="18"/>
                <w:lang w:eastAsia="tr-TR"/>
              </w:rPr>
              <w:t>(108,466,343)</w:t>
            </w:r>
          </w:p>
        </w:tc>
      </w:tr>
    </w:tbl>
    <w:p w14:paraId="1167D85D" w14:textId="0765F7C7" w:rsidR="00505363" w:rsidRPr="00005453" w:rsidRDefault="00505363" w:rsidP="000F096F">
      <w:pPr>
        <w:autoSpaceDE w:val="0"/>
        <w:autoSpaceDN w:val="0"/>
        <w:adjustRightInd w:val="0"/>
        <w:rPr>
          <w:b/>
          <w:bCs/>
          <w:iCs/>
        </w:rPr>
      </w:pPr>
    </w:p>
    <w:p w14:paraId="57E41FE8" w14:textId="04E3BF02" w:rsidR="000F096F" w:rsidRPr="00005453" w:rsidRDefault="0089470C" w:rsidP="0089470C">
      <w:pPr>
        <w:autoSpaceDE w:val="0"/>
        <w:autoSpaceDN w:val="0"/>
        <w:adjustRightInd w:val="0"/>
        <w:ind w:hanging="567"/>
        <w:rPr>
          <w:b/>
          <w:bCs/>
          <w:iCs/>
        </w:rPr>
      </w:pPr>
      <w:r w:rsidRPr="00005453">
        <w:rPr>
          <w:b/>
          <w:bCs/>
          <w:iCs/>
        </w:rPr>
        <w:t>4.6</w:t>
      </w:r>
      <w:r w:rsidRPr="00005453">
        <w:rPr>
          <w:b/>
          <w:bCs/>
          <w:iCs/>
        </w:rPr>
        <w:tab/>
      </w:r>
      <w:proofErr w:type="gramStart"/>
      <w:r w:rsidR="00E253C8" w:rsidRPr="00005453">
        <w:rPr>
          <w:b/>
          <w:bCs/>
          <w:iCs/>
        </w:rPr>
        <w:t>Diğer</w:t>
      </w:r>
      <w:proofErr w:type="gramEnd"/>
      <w:r w:rsidR="00E253C8" w:rsidRPr="00005453">
        <w:rPr>
          <w:b/>
          <w:bCs/>
          <w:iCs/>
        </w:rPr>
        <w:t xml:space="preserve"> faaliyet gelirlerine ilişkin açıklamalar</w:t>
      </w:r>
    </w:p>
    <w:p w14:paraId="65A8E2FE" w14:textId="77777777" w:rsidR="00DA4876" w:rsidRPr="00005453" w:rsidRDefault="00DA4876" w:rsidP="0089470C">
      <w:pPr>
        <w:autoSpaceDE w:val="0"/>
        <w:autoSpaceDN w:val="0"/>
        <w:adjustRightInd w:val="0"/>
        <w:ind w:hanging="567"/>
        <w:rPr>
          <w:b/>
          <w:bCs/>
          <w:iCs/>
          <w:sz w:val="16"/>
          <w:szCs w:val="16"/>
        </w:rPr>
      </w:pPr>
    </w:p>
    <w:p w14:paraId="5AA8481F" w14:textId="77777777" w:rsidR="001D4B2F" w:rsidRPr="00005453" w:rsidRDefault="001D4B2F" w:rsidP="001D4B2F">
      <w:pPr>
        <w:jc w:val="both"/>
        <w:rPr>
          <w:spacing w:val="-6"/>
        </w:rPr>
      </w:pPr>
      <w:r w:rsidRPr="00005453">
        <w:rPr>
          <w:spacing w:val="-6"/>
        </w:rPr>
        <w:t>Diğer faaliyet gelirlerinin detayları aşağıda sunulmaktadır. Diğer faaliyet gelirleri içerisinde yeni gelişmeleri içeren ve Banka’nın gelirlerini önemli ölçüde etkileyen olağandışı kalemler yoktur.</w:t>
      </w:r>
    </w:p>
    <w:p w14:paraId="1F435D93" w14:textId="05221400" w:rsidR="001D4B2F" w:rsidRPr="00005453" w:rsidRDefault="001D4B2F" w:rsidP="00CB3165">
      <w:pPr>
        <w:autoSpaceDE w:val="0"/>
        <w:autoSpaceDN w:val="0"/>
        <w:adjustRightInd w:val="0"/>
        <w:ind w:hanging="567"/>
        <w:rPr>
          <w:lang w:eastAsia="en-GB"/>
        </w:rPr>
      </w:pPr>
    </w:p>
    <w:tbl>
      <w:tblPr>
        <w:tblW w:w="9356" w:type="dxa"/>
        <w:tblCellMar>
          <w:left w:w="70" w:type="dxa"/>
          <w:right w:w="70" w:type="dxa"/>
        </w:tblCellMar>
        <w:tblLook w:val="04A0" w:firstRow="1" w:lastRow="0" w:firstColumn="1" w:lastColumn="0" w:noHBand="0" w:noVBand="1"/>
      </w:tblPr>
      <w:tblGrid>
        <w:gridCol w:w="6237"/>
        <w:gridCol w:w="1134"/>
        <w:gridCol w:w="1985"/>
      </w:tblGrid>
      <w:tr w:rsidR="001D4B2F" w:rsidRPr="00005453" w14:paraId="15FBCCA0" w14:textId="77777777" w:rsidTr="006874EA">
        <w:trPr>
          <w:divId w:val="168376492"/>
          <w:trHeight w:val="113"/>
        </w:trPr>
        <w:tc>
          <w:tcPr>
            <w:tcW w:w="6237" w:type="dxa"/>
            <w:tcBorders>
              <w:top w:val="double" w:sz="6" w:space="0" w:color="auto"/>
              <w:left w:val="nil"/>
              <w:bottom w:val="single" w:sz="8" w:space="0" w:color="auto"/>
              <w:right w:val="nil"/>
            </w:tcBorders>
            <w:shd w:val="clear" w:color="auto" w:fill="auto"/>
            <w:vAlign w:val="center"/>
            <w:hideMark/>
          </w:tcPr>
          <w:p w14:paraId="3C0A98EC" w14:textId="749550A2" w:rsidR="001D4B2F" w:rsidRPr="00005453" w:rsidRDefault="001D4B2F" w:rsidP="001D4B2F">
            <w:pPr>
              <w:jc w:val="center"/>
              <w:rPr>
                <w:b/>
                <w:bCs/>
                <w:color w:val="000000"/>
                <w:sz w:val="18"/>
                <w:szCs w:val="18"/>
                <w:lang w:eastAsia="tr-TR"/>
              </w:rPr>
            </w:pPr>
            <w:r w:rsidRPr="00005453">
              <w:rPr>
                <w:b/>
                <w:bCs/>
                <w:color w:val="000000"/>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7D99580B"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Cari Dönem</w:t>
            </w:r>
          </w:p>
        </w:tc>
        <w:tc>
          <w:tcPr>
            <w:tcW w:w="1985" w:type="dxa"/>
            <w:tcBorders>
              <w:top w:val="double" w:sz="6" w:space="0" w:color="auto"/>
              <w:left w:val="nil"/>
              <w:bottom w:val="single" w:sz="8" w:space="0" w:color="auto"/>
              <w:right w:val="nil"/>
            </w:tcBorders>
            <w:shd w:val="clear" w:color="auto" w:fill="auto"/>
            <w:vAlign w:val="center"/>
            <w:hideMark/>
          </w:tcPr>
          <w:p w14:paraId="7ED394AE"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Önceki Dönem</w:t>
            </w:r>
          </w:p>
        </w:tc>
      </w:tr>
      <w:tr w:rsidR="006874EA" w:rsidRPr="00005453" w14:paraId="41B3BD0C" w14:textId="77777777" w:rsidTr="006874EA">
        <w:trPr>
          <w:divId w:val="168376492"/>
          <w:trHeight w:val="263"/>
        </w:trPr>
        <w:tc>
          <w:tcPr>
            <w:tcW w:w="6237" w:type="dxa"/>
            <w:tcBorders>
              <w:top w:val="nil"/>
              <w:left w:val="nil"/>
              <w:bottom w:val="nil"/>
              <w:right w:val="nil"/>
            </w:tcBorders>
            <w:shd w:val="clear" w:color="auto" w:fill="auto"/>
            <w:vAlign w:val="center"/>
            <w:hideMark/>
          </w:tcPr>
          <w:p w14:paraId="77E5E1E0" w14:textId="0D3203A2" w:rsidR="006874EA" w:rsidRPr="00005453" w:rsidRDefault="006874EA" w:rsidP="006874EA">
            <w:pPr>
              <w:rPr>
                <w:color w:val="000000"/>
                <w:sz w:val="18"/>
                <w:szCs w:val="18"/>
                <w:lang w:eastAsia="tr-TR"/>
              </w:rPr>
            </w:pPr>
            <w:r w:rsidRPr="00005453">
              <w:rPr>
                <w:color w:val="000000"/>
                <w:sz w:val="18"/>
                <w:szCs w:val="18"/>
                <w:lang w:eastAsia="tr-TR"/>
              </w:rPr>
              <w:t>Önceki yıllarda ayrılan karşılıklardan gelirler</w:t>
            </w:r>
          </w:p>
        </w:tc>
        <w:tc>
          <w:tcPr>
            <w:tcW w:w="1134" w:type="dxa"/>
            <w:tcBorders>
              <w:top w:val="nil"/>
              <w:left w:val="nil"/>
              <w:bottom w:val="nil"/>
              <w:right w:val="nil"/>
            </w:tcBorders>
            <w:shd w:val="clear" w:color="auto" w:fill="auto"/>
            <w:vAlign w:val="center"/>
            <w:hideMark/>
          </w:tcPr>
          <w:p w14:paraId="491740B7" w14:textId="0326905B" w:rsidR="006874EA" w:rsidRPr="00005453" w:rsidRDefault="006874EA" w:rsidP="006874EA">
            <w:pPr>
              <w:jc w:val="right"/>
              <w:rPr>
                <w:color w:val="000000"/>
                <w:sz w:val="18"/>
                <w:szCs w:val="18"/>
                <w:lang w:eastAsia="tr-TR"/>
              </w:rPr>
            </w:pPr>
            <w:r w:rsidRPr="00005453">
              <w:rPr>
                <w:color w:val="000000"/>
                <w:sz w:val="18"/>
                <w:szCs w:val="18"/>
              </w:rPr>
              <w:t>9,341,860</w:t>
            </w:r>
          </w:p>
        </w:tc>
        <w:tc>
          <w:tcPr>
            <w:tcW w:w="1985" w:type="dxa"/>
            <w:tcBorders>
              <w:top w:val="nil"/>
              <w:left w:val="nil"/>
              <w:bottom w:val="nil"/>
              <w:right w:val="nil"/>
            </w:tcBorders>
            <w:shd w:val="clear" w:color="auto" w:fill="auto"/>
            <w:vAlign w:val="bottom"/>
            <w:hideMark/>
          </w:tcPr>
          <w:p w14:paraId="1C1A8D84" w14:textId="55858720" w:rsidR="006874EA" w:rsidRPr="00005453" w:rsidRDefault="006874EA" w:rsidP="006874EA">
            <w:pPr>
              <w:jc w:val="right"/>
              <w:rPr>
                <w:color w:val="000000"/>
                <w:sz w:val="18"/>
                <w:szCs w:val="18"/>
                <w:lang w:eastAsia="tr-TR"/>
              </w:rPr>
            </w:pPr>
            <w:r w:rsidRPr="00005453">
              <w:rPr>
                <w:color w:val="000000"/>
                <w:sz w:val="18"/>
                <w:szCs w:val="18"/>
              </w:rPr>
              <w:t xml:space="preserve"> 2,093,821    </w:t>
            </w:r>
          </w:p>
        </w:tc>
      </w:tr>
      <w:tr w:rsidR="006874EA" w:rsidRPr="00005453" w14:paraId="20A39DF0" w14:textId="77777777" w:rsidTr="006874EA">
        <w:trPr>
          <w:divId w:val="168376492"/>
          <w:trHeight w:val="263"/>
        </w:trPr>
        <w:tc>
          <w:tcPr>
            <w:tcW w:w="6237" w:type="dxa"/>
            <w:tcBorders>
              <w:top w:val="nil"/>
              <w:left w:val="nil"/>
              <w:bottom w:val="nil"/>
              <w:right w:val="nil"/>
            </w:tcBorders>
            <w:shd w:val="clear" w:color="auto" w:fill="auto"/>
            <w:vAlign w:val="center"/>
            <w:hideMark/>
          </w:tcPr>
          <w:p w14:paraId="276842C3" w14:textId="7864E91A" w:rsidR="006874EA" w:rsidRPr="00005453" w:rsidRDefault="006874EA" w:rsidP="006874EA">
            <w:pPr>
              <w:rPr>
                <w:color w:val="000000"/>
                <w:sz w:val="18"/>
                <w:szCs w:val="18"/>
                <w:lang w:eastAsia="tr-TR"/>
              </w:rPr>
            </w:pPr>
            <w:r w:rsidRPr="00005453">
              <w:rPr>
                <w:color w:val="000000"/>
                <w:sz w:val="18"/>
                <w:szCs w:val="18"/>
                <w:lang w:eastAsia="tr-TR"/>
              </w:rPr>
              <w:t xml:space="preserve">Katılma Hesaplarına Dağıtılacak Karlardan Ayrılan </w:t>
            </w:r>
            <w:r w:rsidRPr="00005453">
              <w:rPr>
                <w:color w:val="000000"/>
                <w:sz w:val="18"/>
                <w:szCs w:val="18"/>
              </w:rPr>
              <w:t>Karşılıklardan Yapılan İptaller</w:t>
            </w:r>
          </w:p>
        </w:tc>
        <w:tc>
          <w:tcPr>
            <w:tcW w:w="1134" w:type="dxa"/>
            <w:tcBorders>
              <w:top w:val="nil"/>
              <w:left w:val="nil"/>
              <w:bottom w:val="nil"/>
              <w:right w:val="nil"/>
            </w:tcBorders>
            <w:shd w:val="clear" w:color="auto" w:fill="auto"/>
            <w:vAlign w:val="center"/>
            <w:hideMark/>
          </w:tcPr>
          <w:p w14:paraId="65D5FEAA" w14:textId="40410E19" w:rsidR="006874EA" w:rsidRPr="00005453" w:rsidRDefault="006874EA" w:rsidP="006874EA">
            <w:pPr>
              <w:jc w:val="right"/>
              <w:rPr>
                <w:color w:val="000000"/>
                <w:sz w:val="18"/>
                <w:szCs w:val="18"/>
                <w:lang w:eastAsia="tr-TR"/>
              </w:rPr>
            </w:pPr>
            <w:r w:rsidRPr="00005453">
              <w:rPr>
                <w:color w:val="000000"/>
                <w:sz w:val="18"/>
                <w:szCs w:val="18"/>
              </w:rPr>
              <w:t>86,055</w:t>
            </w:r>
          </w:p>
        </w:tc>
        <w:tc>
          <w:tcPr>
            <w:tcW w:w="1985" w:type="dxa"/>
            <w:tcBorders>
              <w:top w:val="nil"/>
              <w:left w:val="nil"/>
              <w:bottom w:val="nil"/>
              <w:right w:val="nil"/>
            </w:tcBorders>
            <w:shd w:val="clear" w:color="auto" w:fill="auto"/>
            <w:vAlign w:val="bottom"/>
            <w:hideMark/>
          </w:tcPr>
          <w:p w14:paraId="5D97B911" w14:textId="02F4D1FE" w:rsidR="006874EA" w:rsidRPr="00005453" w:rsidRDefault="006874EA" w:rsidP="006874EA">
            <w:pPr>
              <w:jc w:val="right"/>
              <w:rPr>
                <w:color w:val="000000"/>
                <w:sz w:val="18"/>
                <w:szCs w:val="18"/>
                <w:lang w:eastAsia="tr-TR"/>
              </w:rPr>
            </w:pPr>
            <w:r w:rsidRPr="00005453">
              <w:rPr>
                <w:color w:val="000000"/>
                <w:sz w:val="18"/>
                <w:szCs w:val="18"/>
              </w:rPr>
              <w:t xml:space="preserve"> 1,125,141    </w:t>
            </w:r>
          </w:p>
        </w:tc>
      </w:tr>
      <w:tr w:rsidR="006874EA" w:rsidRPr="00005453" w14:paraId="5E45485A" w14:textId="77777777" w:rsidTr="006874EA">
        <w:trPr>
          <w:divId w:val="168376492"/>
          <w:trHeight w:val="146"/>
        </w:trPr>
        <w:tc>
          <w:tcPr>
            <w:tcW w:w="6237" w:type="dxa"/>
            <w:tcBorders>
              <w:top w:val="nil"/>
              <w:left w:val="nil"/>
              <w:bottom w:val="nil"/>
              <w:right w:val="nil"/>
            </w:tcBorders>
            <w:shd w:val="clear" w:color="auto" w:fill="auto"/>
            <w:vAlign w:val="center"/>
            <w:hideMark/>
          </w:tcPr>
          <w:p w14:paraId="3FEED515" w14:textId="4DD4F317" w:rsidR="006874EA" w:rsidRPr="00005453" w:rsidRDefault="006874EA" w:rsidP="006874EA">
            <w:pPr>
              <w:rPr>
                <w:color w:val="000000"/>
                <w:sz w:val="18"/>
                <w:szCs w:val="18"/>
                <w:lang w:eastAsia="tr-TR"/>
              </w:rPr>
            </w:pPr>
            <w:r w:rsidRPr="00005453">
              <w:rPr>
                <w:color w:val="000000"/>
                <w:sz w:val="18"/>
                <w:szCs w:val="18"/>
                <w:lang w:eastAsia="tr-TR"/>
              </w:rPr>
              <w:t>Aktiflerin</w:t>
            </w:r>
            <w:r w:rsidRPr="00005453">
              <w:rPr>
                <w:color w:val="000000"/>
                <w:sz w:val="18"/>
                <w:szCs w:val="18"/>
                <w:lang w:val="de-DE"/>
              </w:rPr>
              <w:t xml:space="preserve"> satışından elde edilen gelirler</w:t>
            </w:r>
          </w:p>
        </w:tc>
        <w:tc>
          <w:tcPr>
            <w:tcW w:w="1134" w:type="dxa"/>
            <w:tcBorders>
              <w:top w:val="nil"/>
              <w:left w:val="nil"/>
              <w:bottom w:val="nil"/>
              <w:right w:val="nil"/>
            </w:tcBorders>
            <w:shd w:val="clear" w:color="auto" w:fill="auto"/>
            <w:vAlign w:val="center"/>
            <w:hideMark/>
          </w:tcPr>
          <w:p w14:paraId="487158C0" w14:textId="5085442F" w:rsidR="006874EA" w:rsidRPr="00005453" w:rsidRDefault="006874EA" w:rsidP="006874EA">
            <w:pPr>
              <w:jc w:val="right"/>
              <w:rPr>
                <w:color w:val="000000"/>
                <w:sz w:val="18"/>
                <w:szCs w:val="18"/>
                <w:lang w:eastAsia="tr-TR"/>
              </w:rPr>
            </w:pPr>
            <w:r w:rsidRPr="00005453">
              <w:rPr>
                <w:color w:val="000000"/>
                <w:sz w:val="18"/>
                <w:szCs w:val="18"/>
              </w:rPr>
              <w:t>414,947</w:t>
            </w:r>
          </w:p>
        </w:tc>
        <w:tc>
          <w:tcPr>
            <w:tcW w:w="1985" w:type="dxa"/>
            <w:tcBorders>
              <w:top w:val="nil"/>
              <w:left w:val="nil"/>
              <w:bottom w:val="nil"/>
              <w:right w:val="nil"/>
            </w:tcBorders>
            <w:shd w:val="clear" w:color="auto" w:fill="auto"/>
            <w:vAlign w:val="bottom"/>
            <w:hideMark/>
          </w:tcPr>
          <w:p w14:paraId="3F669A96" w14:textId="04878DA3" w:rsidR="006874EA" w:rsidRPr="00005453" w:rsidRDefault="006874EA" w:rsidP="006874EA">
            <w:pPr>
              <w:jc w:val="right"/>
              <w:rPr>
                <w:color w:val="000000"/>
                <w:sz w:val="18"/>
                <w:szCs w:val="18"/>
                <w:lang w:eastAsia="tr-TR"/>
              </w:rPr>
            </w:pPr>
            <w:r w:rsidRPr="00005453">
              <w:rPr>
                <w:color w:val="000000"/>
                <w:sz w:val="18"/>
                <w:szCs w:val="18"/>
              </w:rPr>
              <w:t xml:space="preserve"> 359,327    </w:t>
            </w:r>
          </w:p>
        </w:tc>
      </w:tr>
      <w:tr w:rsidR="006874EA" w:rsidRPr="00005453" w14:paraId="1645A40F" w14:textId="77777777" w:rsidTr="006874EA">
        <w:trPr>
          <w:divId w:val="168376492"/>
          <w:trHeight w:val="131"/>
        </w:trPr>
        <w:tc>
          <w:tcPr>
            <w:tcW w:w="6237" w:type="dxa"/>
            <w:tcBorders>
              <w:top w:val="nil"/>
              <w:left w:val="nil"/>
              <w:bottom w:val="nil"/>
              <w:right w:val="nil"/>
            </w:tcBorders>
            <w:shd w:val="clear" w:color="auto" w:fill="auto"/>
            <w:vAlign w:val="center"/>
            <w:hideMark/>
          </w:tcPr>
          <w:p w14:paraId="22F59910" w14:textId="7B99DA11" w:rsidR="006874EA" w:rsidRPr="00005453" w:rsidRDefault="006874EA" w:rsidP="006874EA">
            <w:pPr>
              <w:rPr>
                <w:color w:val="000000"/>
                <w:sz w:val="18"/>
                <w:szCs w:val="18"/>
                <w:lang w:eastAsia="tr-TR"/>
              </w:rPr>
            </w:pPr>
            <w:r w:rsidRPr="00005453">
              <w:rPr>
                <w:color w:val="000000"/>
                <w:sz w:val="18"/>
                <w:szCs w:val="18"/>
                <w:lang w:eastAsia="tr-TR"/>
              </w:rPr>
              <w:t>Kiralama gelirleri</w:t>
            </w:r>
          </w:p>
        </w:tc>
        <w:tc>
          <w:tcPr>
            <w:tcW w:w="1134" w:type="dxa"/>
            <w:tcBorders>
              <w:top w:val="nil"/>
              <w:left w:val="nil"/>
              <w:bottom w:val="nil"/>
              <w:right w:val="nil"/>
            </w:tcBorders>
            <w:shd w:val="clear" w:color="auto" w:fill="auto"/>
            <w:vAlign w:val="center"/>
            <w:hideMark/>
          </w:tcPr>
          <w:p w14:paraId="42FDB1A9" w14:textId="7685AB15" w:rsidR="006874EA" w:rsidRPr="00005453" w:rsidRDefault="006874EA" w:rsidP="006874EA">
            <w:pPr>
              <w:jc w:val="right"/>
              <w:rPr>
                <w:color w:val="000000"/>
                <w:sz w:val="18"/>
                <w:szCs w:val="18"/>
                <w:lang w:eastAsia="tr-TR"/>
              </w:rPr>
            </w:pPr>
            <w:r w:rsidRPr="00005453">
              <w:rPr>
                <w:color w:val="000000"/>
                <w:sz w:val="18"/>
                <w:szCs w:val="18"/>
              </w:rPr>
              <w:t>14,201</w:t>
            </w:r>
          </w:p>
        </w:tc>
        <w:tc>
          <w:tcPr>
            <w:tcW w:w="1985" w:type="dxa"/>
            <w:tcBorders>
              <w:top w:val="nil"/>
              <w:left w:val="nil"/>
              <w:bottom w:val="nil"/>
              <w:right w:val="nil"/>
            </w:tcBorders>
            <w:shd w:val="clear" w:color="auto" w:fill="auto"/>
            <w:vAlign w:val="bottom"/>
            <w:hideMark/>
          </w:tcPr>
          <w:p w14:paraId="199578BD" w14:textId="4D71C1EE" w:rsidR="006874EA" w:rsidRPr="00005453" w:rsidRDefault="006874EA" w:rsidP="006874EA">
            <w:pPr>
              <w:jc w:val="right"/>
              <w:rPr>
                <w:color w:val="000000"/>
                <w:sz w:val="18"/>
                <w:szCs w:val="18"/>
                <w:lang w:eastAsia="tr-TR"/>
              </w:rPr>
            </w:pPr>
            <w:r w:rsidRPr="00005453">
              <w:rPr>
                <w:color w:val="000000"/>
                <w:sz w:val="18"/>
                <w:szCs w:val="18"/>
              </w:rPr>
              <w:t xml:space="preserve"> 3,190    </w:t>
            </w:r>
          </w:p>
        </w:tc>
      </w:tr>
      <w:tr w:rsidR="006874EA" w:rsidRPr="00005453" w14:paraId="7B4CF47F" w14:textId="77777777" w:rsidTr="006874EA">
        <w:trPr>
          <w:divId w:val="168376492"/>
          <w:trHeight w:val="152"/>
        </w:trPr>
        <w:tc>
          <w:tcPr>
            <w:tcW w:w="6237" w:type="dxa"/>
            <w:tcBorders>
              <w:top w:val="nil"/>
              <w:left w:val="nil"/>
              <w:bottom w:val="single" w:sz="8" w:space="0" w:color="auto"/>
              <w:right w:val="nil"/>
            </w:tcBorders>
            <w:shd w:val="clear" w:color="auto" w:fill="auto"/>
            <w:vAlign w:val="center"/>
            <w:hideMark/>
          </w:tcPr>
          <w:p w14:paraId="08B38C2C" w14:textId="046A3675" w:rsidR="006874EA" w:rsidRPr="00005453" w:rsidRDefault="006874EA" w:rsidP="006874EA">
            <w:pPr>
              <w:rPr>
                <w:color w:val="000000"/>
                <w:sz w:val="18"/>
                <w:szCs w:val="18"/>
                <w:lang w:eastAsia="tr-TR"/>
              </w:rPr>
            </w:pPr>
            <w:r w:rsidRPr="00005453">
              <w:rPr>
                <w:color w:val="000000"/>
                <w:sz w:val="18"/>
                <w:szCs w:val="18"/>
                <w:lang w:eastAsia="tr-TR"/>
              </w:rPr>
              <w:t>Diğer gelirler</w:t>
            </w:r>
          </w:p>
        </w:tc>
        <w:tc>
          <w:tcPr>
            <w:tcW w:w="1134" w:type="dxa"/>
            <w:tcBorders>
              <w:top w:val="nil"/>
              <w:left w:val="nil"/>
              <w:bottom w:val="single" w:sz="8" w:space="0" w:color="auto"/>
              <w:right w:val="nil"/>
            </w:tcBorders>
            <w:shd w:val="clear" w:color="auto" w:fill="auto"/>
            <w:vAlign w:val="center"/>
            <w:hideMark/>
          </w:tcPr>
          <w:p w14:paraId="6B153AB7" w14:textId="25B2540C" w:rsidR="006874EA" w:rsidRPr="00005453" w:rsidRDefault="006874EA" w:rsidP="006874EA">
            <w:pPr>
              <w:jc w:val="right"/>
              <w:rPr>
                <w:color w:val="000000"/>
                <w:sz w:val="18"/>
                <w:szCs w:val="18"/>
                <w:lang w:eastAsia="tr-TR"/>
              </w:rPr>
            </w:pPr>
            <w:r w:rsidRPr="00005453">
              <w:rPr>
                <w:color w:val="000000"/>
                <w:sz w:val="18"/>
                <w:szCs w:val="18"/>
              </w:rPr>
              <w:t>185,050</w:t>
            </w:r>
          </w:p>
        </w:tc>
        <w:tc>
          <w:tcPr>
            <w:tcW w:w="1985" w:type="dxa"/>
            <w:tcBorders>
              <w:top w:val="nil"/>
              <w:left w:val="nil"/>
              <w:bottom w:val="single" w:sz="8" w:space="0" w:color="auto"/>
              <w:right w:val="nil"/>
            </w:tcBorders>
            <w:shd w:val="clear" w:color="auto" w:fill="auto"/>
            <w:vAlign w:val="bottom"/>
            <w:hideMark/>
          </w:tcPr>
          <w:p w14:paraId="287A6A4E" w14:textId="79430B73" w:rsidR="006874EA" w:rsidRPr="00005453" w:rsidRDefault="006874EA" w:rsidP="006874EA">
            <w:pPr>
              <w:jc w:val="right"/>
              <w:rPr>
                <w:color w:val="000000"/>
                <w:sz w:val="18"/>
                <w:szCs w:val="18"/>
                <w:lang w:eastAsia="tr-TR"/>
              </w:rPr>
            </w:pPr>
            <w:r w:rsidRPr="00005453">
              <w:rPr>
                <w:color w:val="000000"/>
                <w:sz w:val="18"/>
                <w:szCs w:val="18"/>
              </w:rPr>
              <w:t xml:space="preserve"> 74,467    </w:t>
            </w:r>
          </w:p>
        </w:tc>
      </w:tr>
      <w:tr w:rsidR="006874EA" w:rsidRPr="00005453" w14:paraId="4C44559D" w14:textId="77777777" w:rsidTr="006874EA">
        <w:trPr>
          <w:divId w:val="168376492"/>
          <w:trHeight w:val="140"/>
        </w:trPr>
        <w:tc>
          <w:tcPr>
            <w:tcW w:w="6237" w:type="dxa"/>
            <w:tcBorders>
              <w:top w:val="nil"/>
              <w:left w:val="nil"/>
              <w:bottom w:val="double" w:sz="6" w:space="0" w:color="auto"/>
              <w:right w:val="nil"/>
            </w:tcBorders>
            <w:shd w:val="clear" w:color="auto" w:fill="auto"/>
            <w:vAlign w:val="center"/>
            <w:hideMark/>
          </w:tcPr>
          <w:p w14:paraId="524C94E3" w14:textId="77777777" w:rsidR="006874EA" w:rsidRPr="00005453" w:rsidRDefault="006874EA" w:rsidP="006874EA">
            <w:pPr>
              <w:rPr>
                <w:b/>
                <w:bCs/>
                <w:color w:val="000000"/>
                <w:sz w:val="18"/>
                <w:szCs w:val="18"/>
                <w:lang w:eastAsia="tr-TR"/>
              </w:rPr>
            </w:pPr>
            <w:r w:rsidRPr="00005453">
              <w:rPr>
                <w:b/>
                <w:bCs/>
                <w:color w:val="000000"/>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5EF89FE8" w14:textId="0452DA69" w:rsidR="006874EA" w:rsidRPr="00005453" w:rsidRDefault="006874EA" w:rsidP="006874EA">
            <w:pPr>
              <w:jc w:val="right"/>
              <w:rPr>
                <w:b/>
                <w:bCs/>
                <w:color w:val="000000"/>
                <w:sz w:val="18"/>
                <w:szCs w:val="18"/>
                <w:lang w:eastAsia="tr-TR"/>
              </w:rPr>
            </w:pPr>
            <w:r w:rsidRPr="00005453">
              <w:rPr>
                <w:b/>
                <w:bCs/>
                <w:color w:val="000000"/>
                <w:sz w:val="18"/>
                <w:szCs w:val="18"/>
              </w:rPr>
              <w:t>10,042,113</w:t>
            </w:r>
          </w:p>
        </w:tc>
        <w:tc>
          <w:tcPr>
            <w:tcW w:w="1985" w:type="dxa"/>
            <w:tcBorders>
              <w:top w:val="nil"/>
              <w:left w:val="nil"/>
              <w:bottom w:val="double" w:sz="6" w:space="0" w:color="auto"/>
              <w:right w:val="nil"/>
            </w:tcBorders>
            <w:shd w:val="clear" w:color="auto" w:fill="auto"/>
            <w:vAlign w:val="center"/>
            <w:hideMark/>
          </w:tcPr>
          <w:p w14:paraId="031B6026" w14:textId="5BE07EDC" w:rsidR="006874EA" w:rsidRPr="00005453" w:rsidRDefault="006874EA" w:rsidP="006874EA">
            <w:pPr>
              <w:jc w:val="right"/>
              <w:rPr>
                <w:b/>
                <w:bCs/>
                <w:color w:val="000000"/>
                <w:sz w:val="18"/>
                <w:szCs w:val="18"/>
                <w:lang w:eastAsia="tr-TR"/>
              </w:rPr>
            </w:pPr>
            <w:r w:rsidRPr="00005453">
              <w:rPr>
                <w:b/>
                <w:bCs/>
                <w:color w:val="000000"/>
                <w:sz w:val="18"/>
                <w:szCs w:val="18"/>
                <w:lang w:eastAsia="tr-TR"/>
              </w:rPr>
              <w:t>3,655,946</w:t>
            </w:r>
          </w:p>
        </w:tc>
      </w:tr>
    </w:tbl>
    <w:p w14:paraId="7772158C" w14:textId="77777777" w:rsidR="00BE32D9" w:rsidRPr="00005453" w:rsidRDefault="00BE32D9" w:rsidP="001D4B2F">
      <w:pPr>
        <w:autoSpaceDE w:val="0"/>
        <w:autoSpaceDN w:val="0"/>
        <w:adjustRightInd w:val="0"/>
        <w:ind w:hanging="567"/>
        <w:rPr>
          <w:b/>
          <w:bCs/>
          <w:iCs/>
        </w:rPr>
      </w:pPr>
    </w:p>
    <w:p w14:paraId="049936B7" w14:textId="1269CFB1" w:rsidR="00CB3165" w:rsidRPr="00005453" w:rsidRDefault="0089470C" w:rsidP="001D4B2F">
      <w:pPr>
        <w:autoSpaceDE w:val="0"/>
        <w:autoSpaceDN w:val="0"/>
        <w:adjustRightInd w:val="0"/>
        <w:ind w:hanging="567"/>
        <w:rPr>
          <w:b/>
          <w:bCs/>
          <w:iCs/>
          <w:sz w:val="16"/>
          <w:szCs w:val="16"/>
        </w:rPr>
      </w:pPr>
      <w:r w:rsidRPr="00005453">
        <w:rPr>
          <w:b/>
          <w:bCs/>
          <w:iCs/>
        </w:rPr>
        <w:t>4.7</w:t>
      </w:r>
      <w:r w:rsidRPr="00005453">
        <w:rPr>
          <w:b/>
          <w:bCs/>
          <w:iCs/>
        </w:rPr>
        <w:tab/>
      </w:r>
      <w:r w:rsidR="00731AA9" w:rsidRPr="00005453">
        <w:rPr>
          <w:b/>
          <w:bCs/>
          <w:iCs/>
        </w:rPr>
        <w:t>B</w:t>
      </w:r>
      <w:r w:rsidR="000D2462" w:rsidRPr="00005453">
        <w:rPr>
          <w:b/>
          <w:bCs/>
          <w:iCs/>
        </w:rPr>
        <w:t>eklenen zarar</w:t>
      </w:r>
      <w:r w:rsidR="00E253C8" w:rsidRPr="00005453">
        <w:rPr>
          <w:b/>
          <w:bCs/>
          <w:iCs/>
        </w:rPr>
        <w:t xml:space="preserve"> karşılıkları</w:t>
      </w:r>
      <w:r w:rsidR="00731AA9" w:rsidRPr="00005453">
        <w:rPr>
          <w:b/>
          <w:bCs/>
          <w:iCs/>
        </w:rPr>
        <w:t xml:space="preserve"> ve diğer karşılık giderleri</w:t>
      </w:r>
    </w:p>
    <w:p w14:paraId="4796E46A" w14:textId="1D938905" w:rsidR="001D4B2F" w:rsidRPr="00005453" w:rsidRDefault="001D4B2F" w:rsidP="00505363">
      <w:pPr>
        <w:pStyle w:val="NormalIndent"/>
        <w:ind w:left="0"/>
        <w:jc w:val="both"/>
        <w:rPr>
          <w:noProof w:val="0"/>
          <w:sz w:val="20"/>
          <w:szCs w:val="20"/>
          <w:lang w:eastAsia="en-GB"/>
        </w:rPr>
      </w:pPr>
    </w:p>
    <w:tbl>
      <w:tblPr>
        <w:tblW w:w="9219" w:type="dxa"/>
        <w:tblCellMar>
          <w:left w:w="70" w:type="dxa"/>
          <w:right w:w="70" w:type="dxa"/>
        </w:tblCellMar>
        <w:tblLook w:val="04A0" w:firstRow="1" w:lastRow="0" w:firstColumn="1" w:lastColumn="0" w:noHBand="0" w:noVBand="1"/>
      </w:tblPr>
      <w:tblGrid>
        <w:gridCol w:w="5670"/>
        <w:gridCol w:w="1418"/>
        <w:gridCol w:w="2131"/>
      </w:tblGrid>
      <w:tr w:rsidR="001D4B2F" w:rsidRPr="00005453" w14:paraId="200C5FAC" w14:textId="77777777" w:rsidTr="00F26D69">
        <w:trPr>
          <w:divId w:val="1508590783"/>
          <w:trHeight w:val="135"/>
        </w:trPr>
        <w:tc>
          <w:tcPr>
            <w:tcW w:w="5670" w:type="dxa"/>
            <w:tcBorders>
              <w:top w:val="double" w:sz="6" w:space="0" w:color="auto"/>
              <w:left w:val="nil"/>
              <w:bottom w:val="single" w:sz="8" w:space="0" w:color="auto"/>
              <w:right w:val="nil"/>
            </w:tcBorders>
            <w:shd w:val="clear" w:color="auto" w:fill="auto"/>
            <w:vAlign w:val="center"/>
            <w:hideMark/>
          </w:tcPr>
          <w:p w14:paraId="7C61B04F" w14:textId="05953174" w:rsidR="001D4B2F" w:rsidRPr="00005453" w:rsidRDefault="001D4B2F" w:rsidP="001D4B2F">
            <w:pPr>
              <w:jc w:val="center"/>
              <w:rPr>
                <w:b/>
                <w:bCs/>
                <w:color w:val="000000"/>
                <w:sz w:val="18"/>
                <w:szCs w:val="18"/>
                <w:lang w:eastAsia="tr-TR"/>
              </w:rPr>
            </w:pPr>
            <w:r w:rsidRPr="00005453">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4AB5B8D1"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 xml:space="preserve">Cari </w:t>
            </w:r>
            <w:proofErr w:type="gramStart"/>
            <w:r w:rsidRPr="00005453">
              <w:rPr>
                <w:b/>
                <w:bCs/>
                <w:color w:val="000000"/>
                <w:sz w:val="18"/>
                <w:szCs w:val="18"/>
                <w:lang w:eastAsia="tr-TR"/>
              </w:rPr>
              <w:t>Dönem(</w:t>
            </w:r>
            <w:proofErr w:type="gramEnd"/>
            <w:r w:rsidRPr="00005453">
              <w:rPr>
                <w:b/>
                <w:bCs/>
                <w:color w:val="000000"/>
                <w:sz w:val="18"/>
                <w:szCs w:val="18"/>
                <w:lang w:eastAsia="tr-TR"/>
              </w:rPr>
              <w:t>*)</w:t>
            </w:r>
          </w:p>
        </w:tc>
        <w:tc>
          <w:tcPr>
            <w:tcW w:w="2131" w:type="dxa"/>
            <w:tcBorders>
              <w:top w:val="double" w:sz="6" w:space="0" w:color="auto"/>
              <w:left w:val="nil"/>
              <w:bottom w:val="single" w:sz="8" w:space="0" w:color="auto"/>
              <w:right w:val="nil"/>
            </w:tcBorders>
            <w:shd w:val="clear" w:color="auto" w:fill="auto"/>
            <w:vAlign w:val="center"/>
            <w:hideMark/>
          </w:tcPr>
          <w:p w14:paraId="387FF5FB" w14:textId="77777777" w:rsidR="001D4B2F" w:rsidRPr="00005453" w:rsidRDefault="001D4B2F" w:rsidP="001D4B2F">
            <w:pPr>
              <w:jc w:val="right"/>
              <w:rPr>
                <w:b/>
                <w:bCs/>
                <w:color w:val="000000"/>
                <w:sz w:val="18"/>
                <w:szCs w:val="18"/>
                <w:lang w:eastAsia="tr-TR"/>
              </w:rPr>
            </w:pPr>
            <w:r w:rsidRPr="00005453">
              <w:rPr>
                <w:b/>
                <w:bCs/>
                <w:color w:val="000000"/>
                <w:sz w:val="18"/>
                <w:szCs w:val="18"/>
                <w:lang w:eastAsia="tr-TR"/>
              </w:rPr>
              <w:t xml:space="preserve">Önceki </w:t>
            </w:r>
            <w:proofErr w:type="gramStart"/>
            <w:r w:rsidRPr="00005453">
              <w:rPr>
                <w:b/>
                <w:bCs/>
                <w:color w:val="000000"/>
                <w:sz w:val="18"/>
                <w:szCs w:val="18"/>
                <w:lang w:eastAsia="tr-TR"/>
              </w:rPr>
              <w:t>Dönem(</w:t>
            </w:r>
            <w:proofErr w:type="gramEnd"/>
            <w:r w:rsidRPr="00005453">
              <w:rPr>
                <w:b/>
                <w:bCs/>
                <w:color w:val="000000"/>
                <w:sz w:val="18"/>
                <w:szCs w:val="18"/>
                <w:lang w:eastAsia="tr-TR"/>
              </w:rPr>
              <w:t>*)</w:t>
            </w:r>
          </w:p>
        </w:tc>
      </w:tr>
      <w:tr w:rsidR="006874EA" w:rsidRPr="00005453" w14:paraId="785B4AAB" w14:textId="77777777" w:rsidTr="006874EA">
        <w:trPr>
          <w:divId w:val="1508590783"/>
          <w:trHeight w:val="221"/>
        </w:trPr>
        <w:tc>
          <w:tcPr>
            <w:tcW w:w="5670" w:type="dxa"/>
            <w:tcBorders>
              <w:top w:val="nil"/>
              <w:left w:val="nil"/>
              <w:bottom w:val="nil"/>
              <w:right w:val="nil"/>
            </w:tcBorders>
            <w:shd w:val="clear" w:color="auto" w:fill="auto"/>
            <w:noWrap/>
            <w:vAlign w:val="center"/>
            <w:hideMark/>
          </w:tcPr>
          <w:p w14:paraId="15BF19E3" w14:textId="77777777" w:rsidR="006874EA" w:rsidRPr="00005453" w:rsidRDefault="006874EA" w:rsidP="006874EA">
            <w:pPr>
              <w:rPr>
                <w:b/>
                <w:bCs/>
                <w:color w:val="000000"/>
                <w:sz w:val="18"/>
                <w:szCs w:val="18"/>
                <w:lang w:eastAsia="tr-TR"/>
              </w:rPr>
            </w:pPr>
            <w:r w:rsidRPr="00005453">
              <w:rPr>
                <w:b/>
                <w:bCs/>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center"/>
            <w:hideMark/>
          </w:tcPr>
          <w:p w14:paraId="5F50C91E" w14:textId="7ADBDEA9" w:rsidR="006874EA" w:rsidRPr="00005453" w:rsidRDefault="006874EA" w:rsidP="006874EA">
            <w:pPr>
              <w:jc w:val="right"/>
              <w:rPr>
                <w:b/>
                <w:sz w:val="18"/>
                <w:szCs w:val="18"/>
              </w:rPr>
            </w:pPr>
            <w:r w:rsidRPr="00005453">
              <w:rPr>
                <w:b/>
                <w:sz w:val="18"/>
                <w:szCs w:val="18"/>
              </w:rPr>
              <w:t>5,562,804</w:t>
            </w:r>
          </w:p>
        </w:tc>
        <w:tc>
          <w:tcPr>
            <w:tcW w:w="2131" w:type="dxa"/>
            <w:tcBorders>
              <w:top w:val="nil"/>
              <w:left w:val="nil"/>
              <w:bottom w:val="nil"/>
              <w:right w:val="nil"/>
            </w:tcBorders>
            <w:shd w:val="clear" w:color="auto" w:fill="auto"/>
            <w:vAlign w:val="center"/>
            <w:hideMark/>
          </w:tcPr>
          <w:p w14:paraId="394071D2" w14:textId="123EE737" w:rsidR="006874EA" w:rsidRPr="00005453" w:rsidRDefault="006874EA" w:rsidP="006874EA">
            <w:pPr>
              <w:jc w:val="right"/>
              <w:rPr>
                <w:b/>
                <w:bCs/>
                <w:color w:val="000000"/>
                <w:sz w:val="18"/>
                <w:szCs w:val="18"/>
                <w:lang w:eastAsia="tr-TR"/>
              </w:rPr>
            </w:pPr>
            <w:r w:rsidRPr="00005453">
              <w:rPr>
                <w:b/>
                <w:sz w:val="18"/>
                <w:szCs w:val="18"/>
              </w:rPr>
              <w:t>6,836,429</w:t>
            </w:r>
          </w:p>
        </w:tc>
      </w:tr>
      <w:tr w:rsidR="006874EA" w:rsidRPr="00005453" w14:paraId="0F93FDCC" w14:textId="77777777" w:rsidTr="006874EA">
        <w:trPr>
          <w:divId w:val="1508590783"/>
          <w:trHeight w:val="221"/>
        </w:trPr>
        <w:tc>
          <w:tcPr>
            <w:tcW w:w="5670" w:type="dxa"/>
            <w:tcBorders>
              <w:top w:val="nil"/>
              <w:left w:val="nil"/>
              <w:bottom w:val="nil"/>
              <w:right w:val="nil"/>
            </w:tcBorders>
            <w:shd w:val="clear" w:color="auto" w:fill="auto"/>
            <w:noWrap/>
            <w:vAlign w:val="center"/>
            <w:hideMark/>
          </w:tcPr>
          <w:p w14:paraId="614C89F7" w14:textId="77777777" w:rsidR="006874EA" w:rsidRPr="00005453" w:rsidRDefault="006874EA" w:rsidP="006874EA">
            <w:pPr>
              <w:rPr>
                <w:color w:val="000000"/>
                <w:sz w:val="18"/>
                <w:szCs w:val="18"/>
                <w:lang w:eastAsia="tr-TR"/>
              </w:rPr>
            </w:pPr>
            <w:r w:rsidRPr="00005453">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center"/>
            <w:hideMark/>
          </w:tcPr>
          <w:p w14:paraId="5055AEB5" w14:textId="1350DB43" w:rsidR="006874EA" w:rsidRPr="00005453" w:rsidRDefault="006874EA" w:rsidP="006874EA">
            <w:pPr>
              <w:jc w:val="right"/>
              <w:rPr>
                <w:sz w:val="18"/>
                <w:szCs w:val="18"/>
              </w:rPr>
            </w:pPr>
            <w:r w:rsidRPr="00005453">
              <w:rPr>
                <w:sz w:val="18"/>
                <w:szCs w:val="18"/>
              </w:rPr>
              <w:t>6,432</w:t>
            </w:r>
          </w:p>
        </w:tc>
        <w:tc>
          <w:tcPr>
            <w:tcW w:w="2131" w:type="dxa"/>
            <w:tcBorders>
              <w:top w:val="nil"/>
              <w:left w:val="nil"/>
              <w:bottom w:val="nil"/>
              <w:right w:val="nil"/>
            </w:tcBorders>
            <w:shd w:val="clear" w:color="auto" w:fill="auto"/>
            <w:vAlign w:val="center"/>
            <w:hideMark/>
          </w:tcPr>
          <w:p w14:paraId="021C37C4" w14:textId="29F2ABBD" w:rsidR="006874EA" w:rsidRPr="00005453" w:rsidRDefault="006874EA" w:rsidP="006874EA">
            <w:pPr>
              <w:jc w:val="right"/>
              <w:rPr>
                <w:color w:val="000000"/>
                <w:sz w:val="18"/>
                <w:szCs w:val="18"/>
                <w:lang w:eastAsia="tr-TR"/>
              </w:rPr>
            </w:pPr>
            <w:r w:rsidRPr="00005453">
              <w:rPr>
                <w:sz w:val="18"/>
                <w:szCs w:val="18"/>
              </w:rPr>
              <w:t>3,542,033</w:t>
            </w:r>
          </w:p>
        </w:tc>
      </w:tr>
      <w:tr w:rsidR="006874EA" w:rsidRPr="00005453" w14:paraId="07B31DF6" w14:textId="77777777" w:rsidTr="006874EA">
        <w:trPr>
          <w:divId w:val="1508590783"/>
          <w:trHeight w:val="221"/>
        </w:trPr>
        <w:tc>
          <w:tcPr>
            <w:tcW w:w="5670" w:type="dxa"/>
            <w:tcBorders>
              <w:top w:val="nil"/>
              <w:left w:val="nil"/>
              <w:bottom w:val="nil"/>
              <w:right w:val="nil"/>
            </w:tcBorders>
            <w:shd w:val="clear" w:color="auto" w:fill="auto"/>
            <w:noWrap/>
            <w:vAlign w:val="center"/>
            <w:hideMark/>
          </w:tcPr>
          <w:p w14:paraId="3B7C394E" w14:textId="77777777" w:rsidR="006874EA" w:rsidRPr="00005453" w:rsidRDefault="006874EA" w:rsidP="006874EA">
            <w:pPr>
              <w:rPr>
                <w:color w:val="000000"/>
                <w:sz w:val="18"/>
                <w:szCs w:val="18"/>
                <w:lang w:eastAsia="tr-TR"/>
              </w:rPr>
            </w:pPr>
            <w:r w:rsidRPr="00005453">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center"/>
            <w:hideMark/>
          </w:tcPr>
          <w:p w14:paraId="27AF26AD" w14:textId="13E9DCA0" w:rsidR="006874EA" w:rsidRPr="00005453" w:rsidRDefault="006874EA" w:rsidP="006874EA">
            <w:pPr>
              <w:jc w:val="right"/>
              <w:rPr>
                <w:sz w:val="18"/>
                <w:szCs w:val="18"/>
              </w:rPr>
            </w:pPr>
            <w:r w:rsidRPr="00005453">
              <w:rPr>
                <w:sz w:val="18"/>
                <w:szCs w:val="18"/>
              </w:rPr>
              <w:t>284,053</w:t>
            </w:r>
          </w:p>
        </w:tc>
        <w:tc>
          <w:tcPr>
            <w:tcW w:w="2131" w:type="dxa"/>
            <w:tcBorders>
              <w:top w:val="nil"/>
              <w:left w:val="nil"/>
              <w:bottom w:val="nil"/>
              <w:right w:val="nil"/>
            </w:tcBorders>
            <w:shd w:val="clear" w:color="auto" w:fill="auto"/>
            <w:vAlign w:val="center"/>
            <w:hideMark/>
          </w:tcPr>
          <w:p w14:paraId="056B7D50" w14:textId="4022792B" w:rsidR="006874EA" w:rsidRPr="00005453" w:rsidRDefault="006874EA" w:rsidP="006874EA">
            <w:pPr>
              <w:jc w:val="right"/>
              <w:rPr>
                <w:color w:val="000000"/>
                <w:sz w:val="18"/>
                <w:szCs w:val="18"/>
                <w:lang w:eastAsia="tr-TR"/>
              </w:rPr>
            </w:pPr>
            <w:r w:rsidRPr="00005453">
              <w:rPr>
                <w:sz w:val="18"/>
                <w:szCs w:val="18"/>
              </w:rPr>
              <w:t>1,408,209</w:t>
            </w:r>
          </w:p>
        </w:tc>
      </w:tr>
      <w:tr w:rsidR="006874EA" w:rsidRPr="00005453" w14:paraId="66245121" w14:textId="77777777" w:rsidTr="006874EA">
        <w:trPr>
          <w:divId w:val="1508590783"/>
          <w:trHeight w:val="221"/>
        </w:trPr>
        <w:tc>
          <w:tcPr>
            <w:tcW w:w="5670" w:type="dxa"/>
            <w:tcBorders>
              <w:top w:val="nil"/>
              <w:left w:val="nil"/>
              <w:bottom w:val="nil"/>
              <w:right w:val="nil"/>
            </w:tcBorders>
            <w:shd w:val="clear" w:color="auto" w:fill="auto"/>
            <w:noWrap/>
            <w:vAlign w:val="center"/>
            <w:hideMark/>
          </w:tcPr>
          <w:p w14:paraId="7D912D2C" w14:textId="77777777" w:rsidR="006874EA" w:rsidRPr="00005453" w:rsidRDefault="006874EA" w:rsidP="006874EA">
            <w:pPr>
              <w:rPr>
                <w:color w:val="000000"/>
                <w:sz w:val="18"/>
                <w:szCs w:val="18"/>
                <w:lang w:eastAsia="tr-TR"/>
              </w:rPr>
            </w:pPr>
            <w:r w:rsidRPr="00005453">
              <w:rPr>
                <w:color w:val="000000"/>
                <w:sz w:val="18"/>
                <w:szCs w:val="18"/>
                <w:lang w:eastAsia="tr-TR"/>
              </w:rPr>
              <w:t>Temerrüt (Üçünçü Aşama)</w:t>
            </w:r>
          </w:p>
        </w:tc>
        <w:tc>
          <w:tcPr>
            <w:tcW w:w="1418" w:type="dxa"/>
            <w:tcBorders>
              <w:top w:val="nil"/>
              <w:left w:val="nil"/>
              <w:bottom w:val="nil"/>
              <w:right w:val="nil"/>
            </w:tcBorders>
            <w:shd w:val="clear" w:color="auto" w:fill="auto"/>
            <w:vAlign w:val="center"/>
            <w:hideMark/>
          </w:tcPr>
          <w:p w14:paraId="457EE3C6" w14:textId="5A283858" w:rsidR="006874EA" w:rsidRPr="00005453" w:rsidRDefault="006874EA" w:rsidP="006874EA">
            <w:pPr>
              <w:jc w:val="right"/>
              <w:rPr>
                <w:sz w:val="18"/>
                <w:szCs w:val="18"/>
              </w:rPr>
            </w:pPr>
            <w:r w:rsidRPr="00005453">
              <w:rPr>
                <w:sz w:val="18"/>
                <w:szCs w:val="18"/>
              </w:rPr>
              <w:t>5,272,319</w:t>
            </w:r>
          </w:p>
        </w:tc>
        <w:tc>
          <w:tcPr>
            <w:tcW w:w="2131" w:type="dxa"/>
            <w:tcBorders>
              <w:top w:val="nil"/>
              <w:left w:val="nil"/>
              <w:bottom w:val="nil"/>
              <w:right w:val="nil"/>
            </w:tcBorders>
            <w:shd w:val="clear" w:color="auto" w:fill="auto"/>
            <w:vAlign w:val="center"/>
            <w:hideMark/>
          </w:tcPr>
          <w:p w14:paraId="2FF50743" w14:textId="613EBC58" w:rsidR="006874EA" w:rsidRPr="00005453" w:rsidRDefault="006874EA" w:rsidP="006874EA">
            <w:pPr>
              <w:jc w:val="right"/>
              <w:rPr>
                <w:color w:val="000000"/>
                <w:sz w:val="18"/>
                <w:szCs w:val="18"/>
                <w:lang w:eastAsia="tr-TR"/>
              </w:rPr>
            </w:pPr>
            <w:r w:rsidRPr="00005453">
              <w:rPr>
                <w:sz w:val="18"/>
                <w:szCs w:val="18"/>
              </w:rPr>
              <w:t>1,886,187</w:t>
            </w:r>
          </w:p>
        </w:tc>
      </w:tr>
      <w:tr w:rsidR="006874EA" w:rsidRPr="00005453" w14:paraId="179D3A4A" w14:textId="77777777" w:rsidTr="006874EA">
        <w:trPr>
          <w:divId w:val="1508590783"/>
          <w:trHeight w:val="221"/>
        </w:trPr>
        <w:tc>
          <w:tcPr>
            <w:tcW w:w="5670" w:type="dxa"/>
            <w:tcBorders>
              <w:top w:val="nil"/>
              <w:left w:val="nil"/>
              <w:bottom w:val="nil"/>
              <w:right w:val="nil"/>
            </w:tcBorders>
            <w:shd w:val="clear" w:color="auto" w:fill="auto"/>
            <w:noWrap/>
            <w:vAlign w:val="center"/>
            <w:hideMark/>
          </w:tcPr>
          <w:p w14:paraId="1A495D3F" w14:textId="0BAD986E" w:rsidR="006874EA" w:rsidRPr="00005453" w:rsidRDefault="006874EA" w:rsidP="006874EA">
            <w:pPr>
              <w:rPr>
                <w:b/>
                <w:bCs/>
                <w:color w:val="000000"/>
                <w:sz w:val="18"/>
                <w:szCs w:val="18"/>
                <w:lang w:eastAsia="tr-TR"/>
              </w:rPr>
            </w:pPr>
            <w:r w:rsidRPr="00005453">
              <w:rPr>
                <w:b/>
                <w:bCs/>
                <w:color w:val="000000"/>
                <w:sz w:val="18"/>
                <w:szCs w:val="18"/>
                <w:lang w:eastAsia="tr-TR"/>
              </w:rPr>
              <w:t xml:space="preserve">Menkul Değerler Değer Düşme Giderleri </w:t>
            </w:r>
          </w:p>
        </w:tc>
        <w:tc>
          <w:tcPr>
            <w:tcW w:w="1418" w:type="dxa"/>
            <w:tcBorders>
              <w:top w:val="nil"/>
              <w:left w:val="nil"/>
              <w:bottom w:val="nil"/>
              <w:right w:val="nil"/>
            </w:tcBorders>
            <w:shd w:val="clear" w:color="auto" w:fill="auto"/>
            <w:vAlign w:val="center"/>
            <w:hideMark/>
          </w:tcPr>
          <w:p w14:paraId="0B8AEFD7" w14:textId="16E29158" w:rsidR="006874EA" w:rsidRPr="00005453" w:rsidRDefault="006874EA" w:rsidP="006874EA">
            <w:pPr>
              <w:jc w:val="right"/>
              <w:rPr>
                <w:b/>
                <w:sz w:val="18"/>
                <w:szCs w:val="18"/>
              </w:rPr>
            </w:pPr>
            <w:r w:rsidRPr="00005453">
              <w:rPr>
                <w:b/>
                <w:sz w:val="18"/>
                <w:szCs w:val="18"/>
              </w:rPr>
              <w:t>156,836</w:t>
            </w:r>
          </w:p>
        </w:tc>
        <w:tc>
          <w:tcPr>
            <w:tcW w:w="2131" w:type="dxa"/>
            <w:tcBorders>
              <w:top w:val="nil"/>
              <w:left w:val="nil"/>
              <w:bottom w:val="nil"/>
              <w:right w:val="nil"/>
            </w:tcBorders>
            <w:shd w:val="clear" w:color="auto" w:fill="auto"/>
            <w:vAlign w:val="center"/>
            <w:hideMark/>
          </w:tcPr>
          <w:p w14:paraId="6C1FB630" w14:textId="4080524F" w:rsidR="006874EA" w:rsidRPr="00005453" w:rsidRDefault="006874EA" w:rsidP="006874EA">
            <w:pPr>
              <w:jc w:val="right"/>
              <w:rPr>
                <w:b/>
                <w:bCs/>
                <w:color w:val="000000"/>
                <w:sz w:val="18"/>
                <w:szCs w:val="18"/>
                <w:lang w:eastAsia="tr-TR"/>
              </w:rPr>
            </w:pPr>
            <w:r w:rsidRPr="00005453">
              <w:rPr>
                <w:b/>
                <w:sz w:val="18"/>
                <w:szCs w:val="18"/>
              </w:rPr>
              <w:t>59,736</w:t>
            </w:r>
          </w:p>
        </w:tc>
      </w:tr>
      <w:tr w:rsidR="006874EA" w:rsidRPr="00005453" w14:paraId="7ED62BD4" w14:textId="77777777" w:rsidTr="006874EA">
        <w:trPr>
          <w:divId w:val="1508590783"/>
          <w:trHeight w:val="221"/>
        </w:trPr>
        <w:tc>
          <w:tcPr>
            <w:tcW w:w="5670" w:type="dxa"/>
            <w:tcBorders>
              <w:top w:val="nil"/>
              <w:left w:val="nil"/>
              <w:bottom w:val="nil"/>
              <w:right w:val="nil"/>
            </w:tcBorders>
            <w:shd w:val="clear" w:color="auto" w:fill="auto"/>
            <w:noWrap/>
            <w:vAlign w:val="center"/>
            <w:hideMark/>
          </w:tcPr>
          <w:p w14:paraId="05D1DD43" w14:textId="77777777" w:rsidR="006874EA" w:rsidRPr="00005453" w:rsidRDefault="006874EA" w:rsidP="006874EA">
            <w:pPr>
              <w:rPr>
                <w:color w:val="000000"/>
                <w:sz w:val="18"/>
                <w:szCs w:val="18"/>
                <w:lang w:eastAsia="tr-TR"/>
              </w:rPr>
            </w:pPr>
            <w:r w:rsidRPr="00005453">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center"/>
            <w:hideMark/>
          </w:tcPr>
          <w:p w14:paraId="5F22058A" w14:textId="38EB82C8" w:rsidR="006874EA" w:rsidRPr="00005453" w:rsidRDefault="006874EA" w:rsidP="006874EA">
            <w:pPr>
              <w:jc w:val="right"/>
              <w:rPr>
                <w:sz w:val="18"/>
                <w:szCs w:val="18"/>
              </w:rPr>
            </w:pPr>
            <w:r w:rsidRPr="00005453">
              <w:rPr>
                <w:sz w:val="18"/>
                <w:szCs w:val="18"/>
              </w:rPr>
              <w:t>156,836</w:t>
            </w:r>
          </w:p>
        </w:tc>
        <w:tc>
          <w:tcPr>
            <w:tcW w:w="2131" w:type="dxa"/>
            <w:tcBorders>
              <w:top w:val="nil"/>
              <w:left w:val="nil"/>
              <w:bottom w:val="nil"/>
              <w:right w:val="nil"/>
            </w:tcBorders>
            <w:shd w:val="clear" w:color="auto" w:fill="auto"/>
            <w:vAlign w:val="center"/>
            <w:hideMark/>
          </w:tcPr>
          <w:p w14:paraId="373B73CC" w14:textId="2EA3195D" w:rsidR="006874EA" w:rsidRPr="00005453" w:rsidRDefault="006874EA" w:rsidP="006874EA">
            <w:pPr>
              <w:jc w:val="right"/>
              <w:rPr>
                <w:color w:val="000000"/>
                <w:sz w:val="18"/>
                <w:szCs w:val="18"/>
                <w:lang w:eastAsia="tr-TR"/>
              </w:rPr>
            </w:pPr>
            <w:r w:rsidRPr="00005453">
              <w:rPr>
                <w:sz w:val="18"/>
                <w:szCs w:val="18"/>
              </w:rPr>
              <w:t>59,736</w:t>
            </w:r>
          </w:p>
        </w:tc>
      </w:tr>
      <w:tr w:rsidR="00270A0A" w:rsidRPr="00005453" w14:paraId="742D09CA" w14:textId="77777777" w:rsidTr="00C43A57">
        <w:trPr>
          <w:divId w:val="1508590783"/>
          <w:trHeight w:val="221"/>
        </w:trPr>
        <w:tc>
          <w:tcPr>
            <w:tcW w:w="5670" w:type="dxa"/>
            <w:tcBorders>
              <w:top w:val="nil"/>
              <w:left w:val="nil"/>
              <w:bottom w:val="nil"/>
              <w:right w:val="nil"/>
            </w:tcBorders>
            <w:shd w:val="clear" w:color="auto" w:fill="auto"/>
            <w:noWrap/>
            <w:vAlign w:val="center"/>
            <w:hideMark/>
          </w:tcPr>
          <w:p w14:paraId="795C523B" w14:textId="77777777" w:rsidR="00270A0A" w:rsidRPr="00005453" w:rsidRDefault="00270A0A" w:rsidP="00270A0A">
            <w:pPr>
              <w:rPr>
                <w:color w:val="000000"/>
                <w:sz w:val="18"/>
                <w:szCs w:val="18"/>
                <w:lang w:eastAsia="tr-TR"/>
              </w:rPr>
            </w:pPr>
            <w:r w:rsidRPr="00005453">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65CBA920" w14:textId="1D2C0A97" w:rsidR="00270A0A" w:rsidRPr="00005453" w:rsidRDefault="00270A0A" w:rsidP="00270A0A">
            <w:pPr>
              <w:jc w:val="right"/>
              <w:rPr>
                <w:sz w:val="18"/>
                <w:szCs w:val="18"/>
              </w:rPr>
            </w:pPr>
            <w:r w:rsidRPr="00005453">
              <w:rPr>
                <w:sz w:val="18"/>
                <w:szCs w:val="18"/>
              </w:rPr>
              <w:t>-</w:t>
            </w:r>
          </w:p>
        </w:tc>
        <w:tc>
          <w:tcPr>
            <w:tcW w:w="2131" w:type="dxa"/>
            <w:tcBorders>
              <w:top w:val="nil"/>
              <w:left w:val="nil"/>
              <w:bottom w:val="nil"/>
              <w:right w:val="nil"/>
            </w:tcBorders>
            <w:shd w:val="clear" w:color="auto" w:fill="auto"/>
            <w:vAlign w:val="center"/>
            <w:hideMark/>
          </w:tcPr>
          <w:p w14:paraId="51242F07" w14:textId="1A6AA69F" w:rsidR="00270A0A" w:rsidRPr="00005453" w:rsidRDefault="00270A0A" w:rsidP="00270A0A">
            <w:pPr>
              <w:jc w:val="right"/>
              <w:rPr>
                <w:color w:val="000000"/>
                <w:sz w:val="18"/>
                <w:szCs w:val="18"/>
                <w:lang w:eastAsia="tr-TR"/>
              </w:rPr>
            </w:pPr>
            <w:r w:rsidRPr="00005453">
              <w:rPr>
                <w:sz w:val="18"/>
                <w:szCs w:val="18"/>
              </w:rPr>
              <w:t>-</w:t>
            </w:r>
          </w:p>
        </w:tc>
      </w:tr>
      <w:tr w:rsidR="00270A0A" w:rsidRPr="00005453" w14:paraId="3883DD47" w14:textId="77777777" w:rsidTr="00C43A57">
        <w:trPr>
          <w:divId w:val="1508590783"/>
          <w:trHeight w:val="221"/>
        </w:trPr>
        <w:tc>
          <w:tcPr>
            <w:tcW w:w="5670" w:type="dxa"/>
            <w:tcBorders>
              <w:top w:val="nil"/>
              <w:left w:val="nil"/>
              <w:bottom w:val="nil"/>
              <w:right w:val="nil"/>
            </w:tcBorders>
            <w:shd w:val="clear" w:color="auto" w:fill="auto"/>
            <w:noWrap/>
            <w:vAlign w:val="center"/>
            <w:hideMark/>
          </w:tcPr>
          <w:p w14:paraId="7EDD79F3" w14:textId="77777777" w:rsidR="00270A0A" w:rsidRPr="00005453" w:rsidRDefault="00270A0A" w:rsidP="00270A0A">
            <w:pPr>
              <w:rPr>
                <w:b/>
                <w:bCs/>
                <w:color w:val="000000"/>
                <w:sz w:val="18"/>
                <w:szCs w:val="18"/>
                <w:lang w:eastAsia="tr-TR"/>
              </w:rPr>
            </w:pPr>
            <w:r w:rsidRPr="00005453">
              <w:rPr>
                <w:b/>
                <w:bCs/>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119C4AF4" w14:textId="165CEC8E" w:rsidR="00270A0A" w:rsidRPr="00005453" w:rsidRDefault="00270A0A" w:rsidP="00270A0A">
            <w:pPr>
              <w:jc w:val="right"/>
              <w:rPr>
                <w:sz w:val="18"/>
                <w:szCs w:val="18"/>
              </w:rPr>
            </w:pPr>
            <w:r w:rsidRPr="00005453">
              <w:rPr>
                <w:sz w:val="18"/>
                <w:szCs w:val="18"/>
              </w:rPr>
              <w:t>-</w:t>
            </w:r>
          </w:p>
        </w:tc>
        <w:tc>
          <w:tcPr>
            <w:tcW w:w="2131" w:type="dxa"/>
            <w:tcBorders>
              <w:top w:val="nil"/>
              <w:left w:val="nil"/>
              <w:bottom w:val="nil"/>
              <w:right w:val="nil"/>
            </w:tcBorders>
            <w:shd w:val="clear" w:color="auto" w:fill="auto"/>
            <w:vAlign w:val="center"/>
            <w:hideMark/>
          </w:tcPr>
          <w:p w14:paraId="33F426DE" w14:textId="39502415" w:rsidR="00270A0A" w:rsidRPr="00005453" w:rsidRDefault="00270A0A" w:rsidP="00270A0A">
            <w:pPr>
              <w:jc w:val="right"/>
              <w:rPr>
                <w:b/>
                <w:bCs/>
                <w:color w:val="000000"/>
                <w:sz w:val="18"/>
                <w:szCs w:val="18"/>
                <w:lang w:eastAsia="tr-TR"/>
              </w:rPr>
            </w:pPr>
            <w:r w:rsidRPr="00005453">
              <w:rPr>
                <w:sz w:val="18"/>
                <w:szCs w:val="18"/>
              </w:rPr>
              <w:t>-</w:t>
            </w:r>
          </w:p>
        </w:tc>
      </w:tr>
      <w:tr w:rsidR="00270A0A" w:rsidRPr="00005453" w14:paraId="1CC3E3D8" w14:textId="77777777" w:rsidTr="00C43A57">
        <w:trPr>
          <w:divId w:val="1508590783"/>
          <w:trHeight w:val="221"/>
        </w:trPr>
        <w:tc>
          <w:tcPr>
            <w:tcW w:w="5670" w:type="dxa"/>
            <w:tcBorders>
              <w:top w:val="nil"/>
              <w:left w:val="nil"/>
              <w:bottom w:val="nil"/>
              <w:right w:val="nil"/>
            </w:tcBorders>
            <w:shd w:val="clear" w:color="auto" w:fill="auto"/>
            <w:noWrap/>
            <w:vAlign w:val="center"/>
            <w:hideMark/>
          </w:tcPr>
          <w:p w14:paraId="35CCC356" w14:textId="77777777" w:rsidR="00270A0A" w:rsidRPr="00005453" w:rsidRDefault="00270A0A" w:rsidP="00270A0A">
            <w:pPr>
              <w:rPr>
                <w:color w:val="000000"/>
                <w:sz w:val="18"/>
                <w:szCs w:val="18"/>
                <w:lang w:eastAsia="tr-TR"/>
              </w:rPr>
            </w:pPr>
            <w:r w:rsidRPr="00005453">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0B6E8C38" w14:textId="3EC97343" w:rsidR="00270A0A" w:rsidRPr="00005453" w:rsidRDefault="00270A0A" w:rsidP="00270A0A">
            <w:pPr>
              <w:jc w:val="right"/>
              <w:rPr>
                <w:sz w:val="18"/>
                <w:szCs w:val="18"/>
              </w:rPr>
            </w:pPr>
            <w:r w:rsidRPr="00005453">
              <w:rPr>
                <w:sz w:val="18"/>
                <w:szCs w:val="18"/>
              </w:rPr>
              <w:t>-</w:t>
            </w:r>
          </w:p>
        </w:tc>
        <w:tc>
          <w:tcPr>
            <w:tcW w:w="2131" w:type="dxa"/>
            <w:tcBorders>
              <w:top w:val="nil"/>
              <w:left w:val="nil"/>
              <w:bottom w:val="nil"/>
              <w:right w:val="nil"/>
            </w:tcBorders>
            <w:shd w:val="clear" w:color="auto" w:fill="auto"/>
            <w:vAlign w:val="center"/>
            <w:hideMark/>
          </w:tcPr>
          <w:p w14:paraId="2B05E8E2" w14:textId="52E77B31" w:rsidR="00270A0A" w:rsidRPr="00005453" w:rsidRDefault="00270A0A" w:rsidP="00270A0A">
            <w:pPr>
              <w:jc w:val="right"/>
              <w:rPr>
                <w:color w:val="000000"/>
                <w:sz w:val="18"/>
                <w:szCs w:val="18"/>
                <w:lang w:eastAsia="tr-TR"/>
              </w:rPr>
            </w:pPr>
            <w:r w:rsidRPr="00005453">
              <w:rPr>
                <w:sz w:val="18"/>
                <w:szCs w:val="18"/>
              </w:rPr>
              <w:t>-</w:t>
            </w:r>
          </w:p>
        </w:tc>
      </w:tr>
      <w:tr w:rsidR="00270A0A" w:rsidRPr="00005453" w14:paraId="5156BE14" w14:textId="77777777" w:rsidTr="00C43A57">
        <w:trPr>
          <w:divId w:val="1508590783"/>
          <w:trHeight w:val="221"/>
        </w:trPr>
        <w:tc>
          <w:tcPr>
            <w:tcW w:w="5670" w:type="dxa"/>
            <w:tcBorders>
              <w:top w:val="nil"/>
              <w:left w:val="nil"/>
              <w:bottom w:val="nil"/>
              <w:right w:val="nil"/>
            </w:tcBorders>
            <w:shd w:val="clear" w:color="auto" w:fill="auto"/>
            <w:noWrap/>
            <w:vAlign w:val="center"/>
            <w:hideMark/>
          </w:tcPr>
          <w:p w14:paraId="2208A2B9" w14:textId="77777777" w:rsidR="00270A0A" w:rsidRPr="00005453" w:rsidRDefault="00270A0A" w:rsidP="00270A0A">
            <w:pPr>
              <w:rPr>
                <w:color w:val="000000"/>
                <w:sz w:val="18"/>
                <w:szCs w:val="18"/>
                <w:lang w:eastAsia="tr-TR"/>
              </w:rPr>
            </w:pPr>
            <w:r w:rsidRPr="00005453">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40575119" w14:textId="29326DB3" w:rsidR="00270A0A" w:rsidRPr="00005453" w:rsidRDefault="00270A0A" w:rsidP="00270A0A">
            <w:pPr>
              <w:jc w:val="right"/>
              <w:rPr>
                <w:sz w:val="18"/>
                <w:szCs w:val="18"/>
              </w:rPr>
            </w:pPr>
            <w:r w:rsidRPr="00005453">
              <w:rPr>
                <w:sz w:val="18"/>
                <w:szCs w:val="18"/>
              </w:rPr>
              <w:t>-</w:t>
            </w:r>
          </w:p>
        </w:tc>
        <w:tc>
          <w:tcPr>
            <w:tcW w:w="2131" w:type="dxa"/>
            <w:tcBorders>
              <w:top w:val="nil"/>
              <w:left w:val="nil"/>
              <w:bottom w:val="nil"/>
              <w:right w:val="nil"/>
            </w:tcBorders>
            <w:shd w:val="clear" w:color="auto" w:fill="auto"/>
            <w:vAlign w:val="center"/>
            <w:hideMark/>
          </w:tcPr>
          <w:p w14:paraId="70CF0744" w14:textId="352A0FEA" w:rsidR="00270A0A" w:rsidRPr="00005453" w:rsidRDefault="00270A0A" w:rsidP="00270A0A">
            <w:pPr>
              <w:jc w:val="right"/>
              <w:rPr>
                <w:color w:val="000000"/>
                <w:sz w:val="18"/>
                <w:szCs w:val="18"/>
                <w:lang w:eastAsia="tr-TR"/>
              </w:rPr>
            </w:pPr>
            <w:r w:rsidRPr="00005453">
              <w:rPr>
                <w:sz w:val="18"/>
                <w:szCs w:val="18"/>
              </w:rPr>
              <w:t>-</w:t>
            </w:r>
          </w:p>
        </w:tc>
      </w:tr>
      <w:tr w:rsidR="00270A0A" w:rsidRPr="00005453" w14:paraId="5EF674E1" w14:textId="77777777" w:rsidTr="00C43A57">
        <w:trPr>
          <w:divId w:val="1508590783"/>
          <w:trHeight w:val="221"/>
        </w:trPr>
        <w:tc>
          <w:tcPr>
            <w:tcW w:w="5670" w:type="dxa"/>
            <w:tcBorders>
              <w:top w:val="nil"/>
              <w:left w:val="nil"/>
              <w:bottom w:val="nil"/>
              <w:right w:val="nil"/>
            </w:tcBorders>
            <w:shd w:val="clear" w:color="auto" w:fill="auto"/>
            <w:noWrap/>
            <w:vAlign w:val="center"/>
            <w:hideMark/>
          </w:tcPr>
          <w:p w14:paraId="07C6E135" w14:textId="77777777" w:rsidR="00270A0A" w:rsidRPr="00005453" w:rsidRDefault="00270A0A" w:rsidP="00270A0A">
            <w:pPr>
              <w:rPr>
                <w:color w:val="000000"/>
                <w:sz w:val="18"/>
                <w:szCs w:val="18"/>
                <w:lang w:eastAsia="tr-TR"/>
              </w:rPr>
            </w:pPr>
            <w:r w:rsidRPr="00005453">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73BA5CDB" w14:textId="3D7E9D61" w:rsidR="00270A0A" w:rsidRPr="00005453" w:rsidRDefault="00270A0A" w:rsidP="00270A0A">
            <w:pPr>
              <w:jc w:val="right"/>
              <w:rPr>
                <w:sz w:val="18"/>
                <w:szCs w:val="18"/>
              </w:rPr>
            </w:pPr>
            <w:r w:rsidRPr="00005453">
              <w:rPr>
                <w:sz w:val="18"/>
                <w:szCs w:val="18"/>
              </w:rPr>
              <w:t>-</w:t>
            </w:r>
          </w:p>
        </w:tc>
        <w:tc>
          <w:tcPr>
            <w:tcW w:w="2131" w:type="dxa"/>
            <w:tcBorders>
              <w:top w:val="nil"/>
              <w:left w:val="nil"/>
              <w:bottom w:val="nil"/>
              <w:right w:val="nil"/>
            </w:tcBorders>
            <w:shd w:val="clear" w:color="auto" w:fill="auto"/>
            <w:vAlign w:val="center"/>
            <w:hideMark/>
          </w:tcPr>
          <w:p w14:paraId="4F893D03" w14:textId="102E7043" w:rsidR="00270A0A" w:rsidRPr="00005453" w:rsidRDefault="00270A0A" w:rsidP="00270A0A">
            <w:pPr>
              <w:jc w:val="right"/>
              <w:rPr>
                <w:color w:val="000000"/>
                <w:sz w:val="18"/>
                <w:szCs w:val="18"/>
                <w:lang w:eastAsia="tr-TR"/>
              </w:rPr>
            </w:pPr>
            <w:r w:rsidRPr="00005453">
              <w:rPr>
                <w:sz w:val="18"/>
                <w:szCs w:val="18"/>
              </w:rPr>
              <w:t>-</w:t>
            </w:r>
          </w:p>
        </w:tc>
      </w:tr>
      <w:tr w:rsidR="006874EA" w:rsidRPr="00005453" w14:paraId="78F190FC" w14:textId="77777777" w:rsidTr="006874EA">
        <w:trPr>
          <w:divId w:val="1508590783"/>
          <w:trHeight w:val="235"/>
        </w:trPr>
        <w:tc>
          <w:tcPr>
            <w:tcW w:w="5670" w:type="dxa"/>
            <w:tcBorders>
              <w:top w:val="nil"/>
              <w:left w:val="nil"/>
              <w:bottom w:val="single" w:sz="8" w:space="0" w:color="auto"/>
              <w:right w:val="nil"/>
            </w:tcBorders>
            <w:shd w:val="clear" w:color="auto" w:fill="auto"/>
            <w:noWrap/>
            <w:vAlign w:val="center"/>
            <w:hideMark/>
          </w:tcPr>
          <w:p w14:paraId="2FEEBEF2" w14:textId="77777777" w:rsidR="006874EA" w:rsidRPr="00005453" w:rsidRDefault="006874EA" w:rsidP="006874EA">
            <w:pPr>
              <w:rPr>
                <w:b/>
                <w:bCs/>
                <w:color w:val="000000"/>
                <w:sz w:val="18"/>
                <w:szCs w:val="18"/>
                <w:lang w:eastAsia="tr-TR"/>
              </w:rPr>
            </w:pPr>
            <w:r w:rsidRPr="00005453">
              <w:rPr>
                <w:b/>
                <w:bCs/>
                <w:color w:val="000000"/>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75201045" w14:textId="4119BE99" w:rsidR="006874EA" w:rsidRPr="00005453" w:rsidRDefault="006874EA" w:rsidP="006874EA">
            <w:pPr>
              <w:jc w:val="right"/>
              <w:rPr>
                <w:b/>
                <w:sz w:val="18"/>
                <w:szCs w:val="18"/>
              </w:rPr>
            </w:pPr>
            <w:r w:rsidRPr="00005453">
              <w:rPr>
                <w:b/>
                <w:sz w:val="18"/>
                <w:szCs w:val="18"/>
              </w:rPr>
              <w:t>697,585</w:t>
            </w:r>
          </w:p>
        </w:tc>
        <w:tc>
          <w:tcPr>
            <w:tcW w:w="2131" w:type="dxa"/>
            <w:tcBorders>
              <w:top w:val="nil"/>
              <w:left w:val="nil"/>
              <w:bottom w:val="single" w:sz="8" w:space="0" w:color="auto"/>
              <w:right w:val="nil"/>
            </w:tcBorders>
            <w:shd w:val="clear" w:color="auto" w:fill="auto"/>
            <w:vAlign w:val="center"/>
            <w:hideMark/>
          </w:tcPr>
          <w:p w14:paraId="6A1D1668" w14:textId="626E7C65" w:rsidR="006874EA" w:rsidRPr="00005453" w:rsidRDefault="006874EA" w:rsidP="006874EA">
            <w:pPr>
              <w:jc w:val="right"/>
              <w:rPr>
                <w:b/>
                <w:bCs/>
                <w:color w:val="000000"/>
                <w:sz w:val="18"/>
                <w:szCs w:val="18"/>
                <w:lang w:eastAsia="tr-TR"/>
              </w:rPr>
            </w:pPr>
            <w:r w:rsidRPr="00005453">
              <w:rPr>
                <w:b/>
                <w:sz w:val="18"/>
                <w:szCs w:val="18"/>
              </w:rPr>
              <w:t>168,810</w:t>
            </w:r>
          </w:p>
        </w:tc>
      </w:tr>
      <w:tr w:rsidR="006874EA" w:rsidRPr="00005453" w14:paraId="0103B075" w14:textId="77777777" w:rsidTr="006874EA">
        <w:trPr>
          <w:divId w:val="1508590783"/>
          <w:trHeight w:val="148"/>
        </w:trPr>
        <w:tc>
          <w:tcPr>
            <w:tcW w:w="5670" w:type="dxa"/>
            <w:tcBorders>
              <w:top w:val="nil"/>
              <w:left w:val="nil"/>
              <w:bottom w:val="double" w:sz="6" w:space="0" w:color="auto"/>
              <w:right w:val="nil"/>
            </w:tcBorders>
            <w:shd w:val="clear" w:color="auto" w:fill="auto"/>
            <w:noWrap/>
            <w:vAlign w:val="bottom"/>
            <w:hideMark/>
          </w:tcPr>
          <w:p w14:paraId="66540164" w14:textId="77777777" w:rsidR="006874EA" w:rsidRPr="00005453" w:rsidRDefault="006874EA" w:rsidP="006874EA">
            <w:pPr>
              <w:rPr>
                <w:b/>
                <w:bCs/>
                <w:color w:val="000000"/>
                <w:sz w:val="18"/>
                <w:szCs w:val="18"/>
                <w:lang w:eastAsia="tr-TR"/>
              </w:rPr>
            </w:pPr>
            <w:r w:rsidRPr="00005453">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3FC63E42" w14:textId="28F9F256" w:rsidR="006874EA" w:rsidRPr="00005453" w:rsidRDefault="006874EA" w:rsidP="006874EA">
            <w:pPr>
              <w:jc w:val="right"/>
              <w:rPr>
                <w:b/>
                <w:sz w:val="18"/>
                <w:szCs w:val="18"/>
              </w:rPr>
            </w:pPr>
            <w:r w:rsidRPr="00005453">
              <w:rPr>
                <w:b/>
                <w:bCs/>
                <w:sz w:val="18"/>
                <w:szCs w:val="18"/>
              </w:rPr>
              <w:t>6,417,225</w:t>
            </w:r>
          </w:p>
        </w:tc>
        <w:tc>
          <w:tcPr>
            <w:tcW w:w="2131" w:type="dxa"/>
            <w:tcBorders>
              <w:top w:val="nil"/>
              <w:left w:val="nil"/>
              <w:bottom w:val="double" w:sz="6" w:space="0" w:color="auto"/>
              <w:right w:val="nil"/>
            </w:tcBorders>
            <w:shd w:val="clear" w:color="auto" w:fill="auto"/>
            <w:vAlign w:val="center"/>
            <w:hideMark/>
          </w:tcPr>
          <w:p w14:paraId="334F3727" w14:textId="7B60AB2B" w:rsidR="006874EA" w:rsidRPr="00005453" w:rsidRDefault="006874EA" w:rsidP="006874EA">
            <w:pPr>
              <w:jc w:val="right"/>
              <w:rPr>
                <w:b/>
                <w:bCs/>
                <w:color w:val="000000"/>
                <w:sz w:val="18"/>
                <w:szCs w:val="18"/>
                <w:lang w:eastAsia="tr-TR"/>
              </w:rPr>
            </w:pPr>
            <w:r w:rsidRPr="00005453">
              <w:rPr>
                <w:b/>
                <w:sz w:val="18"/>
                <w:szCs w:val="18"/>
              </w:rPr>
              <w:t>7,064,975</w:t>
            </w:r>
          </w:p>
        </w:tc>
      </w:tr>
    </w:tbl>
    <w:p w14:paraId="3C123F90" w14:textId="2D93F5F2" w:rsidR="00E53CFC" w:rsidRPr="00005453" w:rsidRDefault="00CB3165" w:rsidP="00505363">
      <w:pPr>
        <w:pStyle w:val="NormalIndent"/>
        <w:ind w:left="0"/>
        <w:jc w:val="both"/>
        <w:rPr>
          <w:b/>
          <w:bCs/>
          <w:iCs/>
          <w:sz w:val="6"/>
          <w:szCs w:val="6"/>
        </w:rPr>
      </w:pPr>
      <w:r w:rsidRPr="00005453">
        <w:rPr>
          <w:noProof w:val="0"/>
          <w:color w:val="000000"/>
          <w:spacing w:val="-6"/>
          <w:sz w:val="18"/>
          <w:szCs w:val="18"/>
        </w:rPr>
        <w:t xml:space="preserve"> </w:t>
      </w:r>
    </w:p>
    <w:p w14:paraId="2244031B" w14:textId="77777777" w:rsidR="001D4B2F" w:rsidRPr="00005453" w:rsidRDefault="001D4B2F" w:rsidP="001D4B2F">
      <w:pPr>
        <w:autoSpaceDE w:val="0"/>
        <w:autoSpaceDN w:val="0"/>
        <w:adjustRightInd w:val="0"/>
        <w:rPr>
          <w:b/>
          <w:bCs/>
          <w:iCs/>
          <w:sz w:val="16"/>
          <w:szCs w:val="16"/>
        </w:rPr>
      </w:pPr>
      <w:r w:rsidRPr="00005453">
        <w:rPr>
          <w:color w:val="000000"/>
          <w:spacing w:val="-6"/>
          <w:sz w:val="18"/>
          <w:szCs w:val="18"/>
        </w:rPr>
        <w:t xml:space="preserve">(*) Gelir Tablosunda “Diğer Karşılık Giderleri” satırında yer </w:t>
      </w:r>
      <w:proofErr w:type="gramStart"/>
      <w:r w:rsidRPr="00005453">
        <w:rPr>
          <w:color w:val="000000"/>
          <w:spacing w:val="-6"/>
          <w:sz w:val="18"/>
          <w:szCs w:val="18"/>
        </w:rPr>
        <w:t>alan  karşılıkları</w:t>
      </w:r>
      <w:proofErr w:type="gramEnd"/>
      <w:r w:rsidRPr="00005453">
        <w:rPr>
          <w:color w:val="000000"/>
          <w:spacing w:val="-6"/>
          <w:sz w:val="18"/>
          <w:szCs w:val="18"/>
        </w:rPr>
        <w:t xml:space="preserve"> da içermektedir.</w:t>
      </w:r>
    </w:p>
    <w:p w14:paraId="2637E280" w14:textId="77777777" w:rsidR="001D4B2F" w:rsidRPr="00005453" w:rsidRDefault="001D4B2F" w:rsidP="001D4B2F">
      <w:pPr>
        <w:autoSpaceDE w:val="0"/>
        <w:autoSpaceDN w:val="0"/>
        <w:adjustRightInd w:val="0"/>
        <w:rPr>
          <w:color w:val="000000"/>
          <w:spacing w:val="-6"/>
          <w:sz w:val="18"/>
          <w:szCs w:val="18"/>
        </w:rPr>
      </w:pPr>
      <w:r w:rsidRPr="00005453">
        <w:rPr>
          <w:color w:val="000000"/>
          <w:spacing w:val="-6"/>
          <w:sz w:val="18"/>
          <w:szCs w:val="18"/>
        </w:rPr>
        <w:t>(**</w:t>
      </w:r>
      <w:proofErr w:type="gramStart"/>
      <w:r w:rsidRPr="00005453">
        <w:rPr>
          <w:color w:val="000000"/>
          <w:spacing w:val="-6"/>
          <w:sz w:val="18"/>
          <w:szCs w:val="18"/>
        </w:rPr>
        <w:t>)  Karşılıklar</w:t>
      </w:r>
      <w:proofErr w:type="gramEnd"/>
      <w:r w:rsidRPr="00005453">
        <w:rPr>
          <w:color w:val="000000"/>
          <w:spacing w:val="-6"/>
          <w:sz w:val="18"/>
          <w:szCs w:val="18"/>
        </w:rPr>
        <w:t xml:space="preserve"> yönetmeliğine göre, katılma hesaplarına dağıtılacak kardan ayrılabilen karşılıkları içermektedir. </w:t>
      </w:r>
    </w:p>
    <w:p w14:paraId="1108D1D3" w14:textId="77777777" w:rsidR="00E53CFC" w:rsidRPr="00005453" w:rsidRDefault="00E53CFC" w:rsidP="008F7510">
      <w:pPr>
        <w:autoSpaceDE w:val="0"/>
        <w:autoSpaceDN w:val="0"/>
        <w:adjustRightInd w:val="0"/>
        <w:rPr>
          <w:b/>
          <w:bCs/>
          <w:iCs/>
          <w:sz w:val="16"/>
          <w:szCs w:val="16"/>
        </w:rPr>
      </w:pPr>
    </w:p>
    <w:p w14:paraId="1A6658C2" w14:textId="77777777" w:rsidR="00E53CFC" w:rsidRPr="00005453" w:rsidRDefault="00E53CFC" w:rsidP="00B87C02">
      <w:pPr>
        <w:autoSpaceDE w:val="0"/>
        <w:autoSpaceDN w:val="0"/>
        <w:adjustRightInd w:val="0"/>
        <w:ind w:left="540"/>
        <w:rPr>
          <w:b/>
          <w:bCs/>
          <w:iCs/>
          <w:sz w:val="16"/>
          <w:szCs w:val="16"/>
        </w:rPr>
      </w:pPr>
    </w:p>
    <w:p w14:paraId="6367BA6E" w14:textId="77777777" w:rsidR="00E53CFC" w:rsidRPr="00005453" w:rsidRDefault="00E53CFC" w:rsidP="00B87C02">
      <w:pPr>
        <w:autoSpaceDE w:val="0"/>
        <w:autoSpaceDN w:val="0"/>
        <w:adjustRightInd w:val="0"/>
        <w:ind w:left="540"/>
        <w:rPr>
          <w:b/>
          <w:bCs/>
          <w:iCs/>
          <w:sz w:val="16"/>
          <w:szCs w:val="16"/>
        </w:rPr>
      </w:pPr>
    </w:p>
    <w:p w14:paraId="38B3D7D6" w14:textId="77777777" w:rsidR="00E53CFC" w:rsidRPr="00005453" w:rsidRDefault="00E53CFC" w:rsidP="00B87C02">
      <w:pPr>
        <w:autoSpaceDE w:val="0"/>
        <w:autoSpaceDN w:val="0"/>
        <w:adjustRightInd w:val="0"/>
        <w:ind w:left="540"/>
        <w:rPr>
          <w:b/>
          <w:bCs/>
          <w:iCs/>
          <w:sz w:val="16"/>
          <w:szCs w:val="16"/>
        </w:rPr>
      </w:pPr>
    </w:p>
    <w:p w14:paraId="2FB06A79" w14:textId="77777777" w:rsidR="00E53CFC" w:rsidRPr="00005453" w:rsidRDefault="00E53CFC" w:rsidP="00B87C02">
      <w:pPr>
        <w:autoSpaceDE w:val="0"/>
        <w:autoSpaceDN w:val="0"/>
        <w:adjustRightInd w:val="0"/>
        <w:ind w:left="540"/>
        <w:rPr>
          <w:b/>
          <w:bCs/>
          <w:iCs/>
          <w:sz w:val="16"/>
          <w:szCs w:val="16"/>
        </w:rPr>
      </w:pPr>
    </w:p>
    <w:p w14:paraId="2FF0E719" w14:textId="77777777" w:rsidR="00973355" w:rsidRPr="00005453" w:rsidRDefault="001F7228" w:rsidP="00E67694">
      <w:pPr>
        <w:autoSpaceDE w:val="0"/>
        <w:autoSpaceDN w:val="0"/>
        <w:adjustRightInd w:val="0"/>
        <w:ind w:hanging="567"/>
        <w:rPr>
          <w:b/>
          <w:bCs/>
          <w:iCs/>
        </w:rPr>
      </w:pPr>
      <w:r w:rsidRPr="00005453">
        <w:rPr>
          <w:b/>
          <w:bCs/>
          <w:iCs/>
          <w:sz w:val="16"/>
          <w:szCs w:val="16"/>
        </w:rPr>
        <w:br w:type="page"/>
      </w:r>
      <w:r w:rsidR="0089470C" w:rsidRPr="00005453">
        <w:rPr>
          <w:b/>
          <w:bCs/>
          <w:iCs/>
        </w:rPr>
        <w:lastRenderedPageBreak/>
        <w:t>4.8</w:t>
      </w:r>
      <w:r w:rsidR="0089470C" w:rsidRPr="00005453">
        <w:rPr>
          <w:b/>
          <w:bCs/>
          <w:iCs/>
        </w:rPr>
        <w:tab/>
      </w:r>
      <w:proofErr w:type="gramStart"/>
      <w:r w:rsidR="00E253C8" w:rsidRPr="00005453">
        <w:rPr>
          <w:b/>
          <w:bCs/>
          <w:iCs/>
        </w:rPr>
        <w:t>Diğer</w:t>
      </w:r>
      <w:proofErr w:type="gramEnd"/>
      <w:r w:rsidR="00E253C8" w:rsidRPr="00005453">
        <w:rPr>
          <w:b/>
          <w:bCs/>
          <w:iCs/>
        </w:rPr>
        <w:t xml:space="preserve"> faaliyet giderlerine ilişkin bilgiler</w:t>
      </w:r>
    </w:p>
    <w:p w14:paraId="0FE15534" w14:textId="43BFBBC9" w:rsidR="00973355" w:rsidRPr="00005453" w:rsidRDefault="00973355" w:rsidP="00973355">
      <w:pPr>
        <w:autoSpaceDE w:val="0"/>
        <w:autoSpaceDN w:val="0"/>
        <w:adjustRightInd w:val="0"/>
        <w:ind w:hanging="567"/>
        <w:rPr>
          <w:lang w:val="en-GB" w:eastAsia="en-GB"/>
        </w:rPr>
      </w:pPr>
    </w:p>
    <w:tbl>
      <w:tblPr>
        <w:tblW w:w="9346" w:type="dxa"/>
        <w:tblCellMar>
          <w:left w:w="70" w:type="dxa"/>
          <w:right w:w="70" w:type="dxa"/>
        </w:tblCellMar>
        <w:tblLook w:val="04A0" w:firstRow="1" w:lastRow="0" w:firstColumn="1" w:lastColumn="0" w:noHBand="0" w:noVBand="1"/>
      </w:tblPr>
      <w:tblGrid>
        <w:gridCol w:w="5005"/>
        <w:gridCol w:w="2274"/>
        <w:gridCol w:w="2067"/>
      </w:tblGrid>
      <w:tr w:rsidR="00973355" w:rsidRPr="00005453" w14:paraId="3D3504B5" w14:textId="77777777" w:rsidTr="00973355">
        <w:trPr>
          <w:divId w:val="2120955205"/>
          <w:trHeight w:val="190"/>
        </w:trPr>
        <w:tc>
          <w:tcPr>
            <w:tcW w:w="5005" w:type="dxa"/>
            <w:tcBorders>
              <w:top w:val="double" w:sz="6" w:space="0" w:color="auto"/>
              <w:left w:val="nil"/>
              <w:bottom w:val="single" w:sz="8" w:space="0" w:color="auto"/>
              <w:right w:val="nil"/>
            </w:tcBorders>
            <w:shd w:val="clear" w:color="auto" w:fill="auto"/>
            <w:vAlign w:val="center"/>
            <w:hideMark/>
          </w:tcPr>
          <w:p w14:paraId="1DC179D6" w14:textId="64078760" w:rsidR="00973355" w:rsidRPr="00005453" w:rsidRDefault="00973355" w:rsidP="00973355">
            <w:pPr>
              <w:jc w:val="center"/>
              <w:rPr>
                <w:b/>
                <w:bCs/>
                <w:color w:val="000000"/>
                <w:sz w:val="18"/>
                <w:szCs w:val="18"/>
                <w:lang w:eastAsia="tr-TR"/>
              </w:rPr>
            </w:pPr>
            <w:r w:rsidRPr="00005453">
              <w:rPr>
                <w:b/>
                <w:bCs/>
                <w:color w:val="000000"/>
                <w:sz w:val="18"/>
                <w:szCs w:val="18"/>
                <w:lang w:eastAsia="tr-TR"/>
              </w:rPr>
              <w:t> </w:t>
            </w:r>
          </w:p>
        </w:tc>
        <w:tc>
          <w:tcPr>
            <w:tcW w:w="2274" w:type="dxa"/>
            <w:tcBorders>
              <w:top w:val="double" w:sz="6" w:space="0" w:color="auto"/>
              <w:left w:val="nil"/>
              <w:bottom w:val="single" w:sz="8" w:space="0" w:color="auto"/>
              <w:right w:val="nil"/>
            </w:tcBorders>
            <w:shd w:val="clear" w:color="auto" w:fill="auto"/>
            <w:vAlign w:val="center"/>
            <w:hideMark/>
          </w:tcPr>
          <w:p w14:paraId="226BC289" w14:textId="77777777" w:rsidR="00973355" w:rsidRPr="00005453" w:rsidRDefault="00973355" w:rsidP="00973355">
            <w:pPr>
              <w:jc w:val="right"/>
              <w:rPr>
                <w:b/>
                <w:bCs/>
                <w:color w:val="000000"/>
                <w:sz w:val="18"/>
                <w:szCs w:val="18"/>
                <w:lang w:eastAsia="tr-TR"/>
              </w:rPr>
            </w:pPr>
            <w:r w:rsidRPr="00005453">
              <w:rPr>
                <w:b/>
                <w:bCs/>
                <w:color w:val="000000"/>
                <w:sz w:val="18"/>
                <w:szCs w:val="18"/>
                <w:lang w:eastAsia="tr-TR"/>
              </w:rPr>
              <w:t>Cari Dönem</w:t>
            </w:r>
          </w:p>
        </w:tc>
        <w:tc>
          <w:tcPr>
            <w:tcW w:w="2067" w:type="dxa"/>
            <w:tcBorders>
              <w:top w:val="double" w:sz="6" w:space="0" w:color="auto"/>
              <w:left w:val="nil"/>
              <w:bottom w:val="single" w:sz="8" w:space="0" w:color="auto"/>
              <w:right w:val="nil"/>
            </w:tcBorders>
            <w:shd w:val="clear" w:color="auto" w:fill="auto"/>
            <w:vAlign w:val="center"/>
            <w:hideMark/>
          </w:tcPr>
          <w:p w14:paraId="1B12D9AA" w14:textId="77777777" w:rsidR="00973355" w:rsidRPr="00005453" w:rsidRDefault="00973355" w:rsidP="00973355">
            <w:pPr>
              <w:jc w:val="right"/>
              <w:rPr>
                <w:b/>
                <w:bCs/>
                <w:color w:val="000000"/>
                <w:sz w:val="18"/>
                <w:szCs w:val="18"/>
                <w:lang w:eastAsia="tr-TR"/>
              </w:rPr>
            </w:pPr>
            <w:r w:rsidRPr="00005453">
              <w:rPr>
                <w:b/>
                <w:bCs/>
                <w:color w:val="000000"/>
                <w:sz w:val="18"/>
                <w:szCs w:val="18"/>
                <w:lang w:eastAsia="tr-TR"/>
              </w:rPr>
              <w:t>Önceki Dönem</w:t>
            </w:r>
          </w:p>
        </w:tc>
      </w:tr>
      <w:tr w:rsidR="006874EA" w:rsidRPr="00005453" w14:paraId="4CBD08DC" w14:textId="77777777" w:rsidTr="006874EA">
        <w:trPr>
          <w:divId w:val="2120955205"/>
          <w:trHeight w:val="180"/>
        </w:trPr>
        <w:tc>
          <w:tcPr>
            <w:tcW w:w="5005" w:type="dxa"/>
            <w:tcBorders>
              <w:top w:val="nil"/>
              <w:left w:val="nil"/>
              <w:bottom w:val="nil"/>
              <w:right w:val="nil"/>
            </w:tcBorders>
            <w:shd w:val="clear" w:color="auto" w:fill="auto"/>
            <w:noWrap/>
            <w:vAlign w:val="bottom"/>
            <w:hideMark/>
          </w:tcPr>
          <w:p w14:paraId="36026534" w14:textId="58A71DF8" w:rsidR="006874EA" w:rsidRPr="00005453" w:rsidRDefault="006874EA" w:rsidP="006874EA">
            <w:pPr>
              <w:rPr>
                <w:sz w:val="18"/>
                <w:szCs w:val="18"/>
                <w:lang w:eastAsia="tr-TR"/>
              </w:rPr>
            </w:pPr>
            <w:r w:rsidRPr="00005453">
              <w:rPr>
                <w:color w:val="000000"/>
                <w:sz w:val="18"/>
                <w:szCs w:val="18"/>
                <w:lang w:eastAsia="tr-TR"/>
              </w:rPr>
              <w:t>Kıdem Tazminatı Karşılığı</w:t>
            </w:r>
          </w:p>
        </w:tc>
        <w:tc>
          <w:tcPr>
            <w:tcW w:w="2274" w:type="dxa"/>
            <w:tcBorders>
              <w:top w:val="nil"/>
              <w:left w:val="nil"/>
              <w:bottom w:val="nil"/>
              <w:right w:val="nil"/>
            </w:tcBorders>
            <w:shd w:val="clear" w:color="auto" w:fill="auto"/>
            <w:vAlign w:val="center"/>
            <w:hideMark/>
          </w:tcPr>
          <w:p w14:paraId="14F14061" w14:textId="7A8850E9" w:rsidR="006874EA" w:rsidRPr="00005453" w:rsidRDefault="006874EA" w:rsidP="006874EA">
            <w:pPr>
              <w:jc w:val="right"/>
              <w:rPr>
                <w:color w:val="000000"/>
                <w:sz w:val="18"/>
                <w:szCs w:val="18"/>
                <w:lang w:eastAsia="tr-TR"/>
              </w:rPr>
            </w:pPr>
            <w:r w:rsidRPr="00005453">
              <w:rPr>
                <w:color w:val="000000"/>
                <w:sz w:val="18"/>
                <w:szCs w:val="18"/>
              </w:rPr>
              <w:t>294,217</w:t>
            </w:r>
          </w:p>
        </w:tc>
        <w:tc>
          <w:tcPr>
            <w:tcW w:w="2067" w:type="dxa"/>
            <w:tcBorders>
              <w:top w:val="nil"/>
              <w:left w:val="nil"/>
              <w:bottom w:val="nil"/>
              <w:right w:val="nil"/>
            </w:tcBorders>
            <w:shd w:val="clear" w:color="auto" w:fill="auto"/>
            <w:vAlign w:val="center"/>
            <w:hideMark/>
          </w:tcPr>
          <w:p w14:paraId="063F7D78" w14:textId="7FC426E0" w:rsidR="006874EA" w:rsidRPr="00005453" w:rsidRDefault="006874EA" w:rsidP="006874EA">
            <w:pPr>
              <w:jc w:val="right"/>
              <w:rPr>
                <w:color w:val="000000"/>
                <w:sz w:val="18"/>
                <w:szCs w:val="18"/>
                <w:lang w:eastAsia="tr-TR"/>
              </w:rPr>
            </w:pPr>
            <w:r w:rsidRPr="00005453">
              <w:rPr>
                <w:color w:val="000000"/>
                <w:sz w:val="18"/>
                <w:szCs w:val="18"/>
              </w:rPr>
              <w:t>139,621</w:t>
            </w:r>
          </w:p>
        </w:tc>
      </w:tr>
      <w:tr w:rsidR="006874EA" w:rsidRPr="00005453" w14:paraId="55196B7C" w14:textId="77777777" w:rsidTr="006874EA">
        <w:trPr>
          <w:divId w:val="2120955205"/>
          <w:trHeight w:val="66"/>
        </w:trPr>
        <w:tc>
          <w:tcPr>
            <w:tcW w:w="5005" w:type="dxa"/>
            <w:tcBorders>
              <w:top w:val="nil"/>
              <w:left w:val="nil"/>
              <w:bottom w:val="nil"/>
              <w:right w:val="nil"/>
            </w:tcBorders>
            <w:shd w:val="clear" w:color="auto" w:fill="auto"/>
            <w:noWrap/>
            <w:vAlign w:val="bottom"/>
            <w:hideMark/>
          </w:tcPr>
          <w:p w14:paraId="0B09B678" w14:textId="77777777" w:rsidR="006874EA" w:rsidRPr="00005453" w:rsidRDefault="006874EA" w:rsidP="006874EA">
            <w:pPr>
              <w:rPr>
                <w:sz w:val="18"/>
                <w:szCs w:val="18"/>
                <w:lang w:eastAsia="tr-TR"/>
              </w:rPr>
            </w:pPr>
            <w:r w:rsidRPr="00005453">
              <w:rPr>
                <w:color w:val="000000"/>
                <w:sz w:val="18"/>
                <w:szCs w:val="18"/>
                <w:lang w:eastAsia="tr-TR"/>
              </w:rPr>
              <w:t xml:space="preserve">Maddi Duran Varlık Değer Düşüş </w:t>
            </w:r>
            <w:r w:rsidRPr="00005453">
              <w:rPr>
                <w:sz w:val="18"/>
                <w:szCs w:val="18"/>
                <w:lang w:eastAsia="tr-TR"/>
              </w:rPr>
              <w:t>Giderleri</w:t>
            </w:r>
          </w:p>
        </w:tc>
        <w:tc>
          <w:tcPr>
            <w:tcW w:w="2274" w:type="dxa"/>
            <w:tcBorders>
              <w:top w:val="nil"/>
              <w:left w:val="nil"/>
              <w:bottom w:val="nil"/>
              <w:right w:val="nil"/>
            </w:tcBorders>
            <w:shd w:val="clear" w:color="auto" w:fill="auto"/>
            <w:vAlign w:val="center"/>
            <w:hideMark/>
          </w:tcPr>
          <w:p w14:paraId="0EA9C535" w14:textId="1D490C89" w:rsidR="006874EA" w:rsidRPr="00005453" w:rsidRDefault="006874EA" w:rsidP="006874EA">
            <w:pPr>
              <w:jc w:val="right"/>
              <w:rPr>
                <w:color w:val="000000"/>
                <w:sz w:val="18"/>
                <w:szCs w:val="18"/>
                <w:lang w:eastAsia="tr-TR"/>
              </w:rPr>
            </w:pPr>
            <w:r w:rsidRPr="00005453">
              <w:rPr>
                <w:color w:val="000000"/>
                <w:sz w:val="18"/>
                <w:szCs w:val="18"/>
              </w:rPr>
              <w:t>-</w:t>
            </w:r>
          </w:p>
        </w:tc>
        <w:tc>
          <w:tcPr>
            <w:tcW w:w="2067" w:type="dxa"/>
            <w:tcBorders>
              <w:top w:val="nil"/>
              <w:left w:val="nil"/>
              <w:bottom w:val="nil"/>
              <w:right w:val="nil"/>
            </w:tcBorders>
            <w:shd w:val="clear" w:color="auto" w:fill="auto"/>
            <w:vAlign w:val="center"/>
            <w:hideMark/>
          </w:tcPr>
          <w:p w14:paraId="21FF2ACB" w14:textId="61BFEA33" w:rsidR="006874EA" w:rsidRPr="00005453" w:rsidRDefault="006874EA" w:rsidP="006874EA">
            <w:pPr>
              <w:jc w:val="right"/>
              <w:rPr>
                <w:color w:val="000000"/>
                <w:sz w:val="18"/>
                <w:szCs w:val="18"/>
                <w:lang w:eastAsia="tr-TR"/>
              </w:rPr>
            </w:pPr>
            <w:r w:rsidRPr="00005453">
              <w:rPr>
                <w:color w:val="000000"/>
                <w:sz w:val="18"/>
                <w:szCs w:val="18"/>
              </w:rPr>
              <w:t>-</w:t>
            </w:r>
          </w:p>
        </w:tc>
      </w:tr>
      <w:tr w:rsidR="006874EA" w:rsidRPr="00005453" w14:paraId="77DDDEC8" w14:textId="77777777" w:rsidTr="006874EA">
        <w:trPr>
          <w:divId w:val="2120955205"/>
          <w:trHeight w:val="174"/>
        </w:trPr>
        <w:tc>
          <w:tcPr>
            <w:tcW w:w="5005" w:type="dxa"/>
            <w:tcBorders>
              <w:top w:val="nil"/>
              <w:left w:val="nil"/>
              <w:bottom w:val="nil"/>
              <w:right w:val="nil"/>
            </w:tcBorders>
            <w:shd w:val="clear" w:color="auto" w:fill="auto"/>
            <w:noWrap/>
            <w:vAlign w:val="bottom"/>
            <w:hideMark/>
          </w:tcPr>
          <w:p w14:paraId="4B3D67A9" w14:textId="77777777" w:rsidR="006874EA" w:rsidRPr="00005453" w:rsidRDefault="006874EA" w:rsidP="006874EA">
            <w:pPr>
              <w:rPr>
                <w:color w:val="000000"/>
                <w:sz w:val="18"/>
                <w:szCs w:val="18"/>
                <w:lang w:eastAsia="tr-TR"/>
              </w:rPr>
            </w:pPr>
            <w:r w:rsidRPr="00005453">
              <w:rPr>
                <w:color w:val="000000"/>
                <w:sz w:val="18"/>
                <w:szCs w:val="18"/>
                <w:lang w:eastAsia="tr-TR"/>
              </w:rPr>
              <w:t>Maddi Duran Varlık Amortisman Giderleri</w:t>
            </w:r>
          </w:p>
        </w:tc>
        <w:tc>
          <w:tcPr>
            <w:tcW w:w="2274" w:type="dxa"/>
            <w:tcBorders>
              <w:top w:val="nil"/>
              <w:left w:val="nil"/>
              <w:bottom w:val="nil"/>
              <w:right w:val="nil"/>
            </w:tcBorders>
            <w:shd w:val="clear" w:color="auto" w:fill="auto"/>
            <w:vAlign w:val="center"/>
            <w:hideMark/>
          </w:tcPr>
          <w:p w14:paraId="0DBEA2A7" w14:textId="4551FB5C" w:rsidR="006874EA" w:rsidRPr="00005453" w:rsidRDefault="006874EA" w:rsidP="006874EA">
            <w:pPr>
              <w:jc w:val="right"/>
              <w:rPr>
                <w:color w:val="000000"/>
                <w:sz w:val="18"/>
                <w:szCs w:val="18"/>
                <w:lang w:eastAsia="tr-TR"/>
              </w:rPr>
            </w:pPr>
            <w:r w:rsidRPr="00005453">
              <w:rPr>
                <w:color w:val="000000"/>
                <w:sz w:val="18"/>
                <w:szCs w:val="18"/>
              </w:rPr>
              <w:t>943,722</w:t>
            </w:r>
          </w:p>
        </w:tc>
        <w:tc>
          <w:tcPr>
            <w:tcW w:w="2067" w:type="dxa"/>
            <w:tcBorders>
              <w:top w:val="nil"/>
              <w:left w:val="nil"/>
              <w:bottom w:val="nil"/>
              <w:right w:val="nil"/>
            </w:tcBorders>
            <w:shd w:val="clear" w:color="auto" w:fill="auto"/>
            <w:vAlign w:val="center"/>
            <w:hideMark/>
          </w:tcPr>
          <w:p w14:paraId="6572957E" w14:textId="018C0981" w:rsidR="006874EA" w:rsidRPr="00005453" w:rsidRDefault="006874EA" w:rsidP="006874EA">
            <w:pPr>
              <w:jc w:val="right"/>
              <w:rPr>
                <w:color w:val="000000"/>
                <w:sz w:val="18"/>
                <w:szCs w:val="18"/>
                <w:lang w:eastAsia="tr-TR"/>
              </w:rPr>
            </w:pPr>
            <w:r w:rsidRPr="00005453">
              <w:rPr>
                <w:color w:val="000000"/>
                <w:sz w:val="18"/>
                <w:szCs w:val="18"/>
              </w:rPr>
              <w:t>547,324</w:t>
            </w:r>
          </w:p>
        </w:tc>
      </w:tr>
      <w:tr w:rsidR="006874EA" w:rsidRPr="00005453" w14:paraId="08D76578" w14:textId="77777777" w:rsidTr="006874EA">
        <w:trPr>
          <w:divId w:val="2120955205"/>
          <w:trHeight w:val="169"/>
        </w:trPr>
        <w:tc>
          <w:tcPr>
            <w:tcW w:w="5005" w:type="dxa"/>
            <w:tcBorders>
              <w:top w:val="nil"/>
              <w:left w:val="nil"/>
              <w:bottom w:val="nil"/>
              <w:right w:val="nil"/>
            </w:tcBorders>
            <w:shd w:val="clear" w:color="auto" w:fill="auto"/>
            <w:noWrap/>
            <w:vAlign w:val="bottom"/>
            <w:hideMark/>
          </w:tcPr>
          <w:p w14:paraId="15B8A0F6" w14:textId="77777777" w:rsidR="006874EA" w:rsidRPr="00005453" w:rsidRDefault="006874EA" w:rsidP="006874EA">
            <w:pPr>
              <w:rPr>
                <w:sz w:val="18"/>
                <w:szCs w:val="18"/>
                <w:lang w:eastAsia="tr-TR"/>
              </w:rPr>
            </w:pPr>
            <w:r w:rsidRPr="00005453">
              <w:rPr>
                <w:color w:val="000000"/>
                <w:sz w:val="18"/>
                <w:szCs w:val="18"/>
                <w:lang w:eastAsia="tr-TR"/>
              </w:rPr>
              <w:t xml:space="preserve">Maddi Olmayan Duran Varlık Değer Düşüş </w:t>
            </w:r>
            <w:r w:rsidRPr="00005453">
              <w:rPr>
                <w:sz w:val="18"/>
                <w:szCs w:val="18"/>
                <w:lang w:eastAsia="tr-TR"/>
              </w:rPr>
              <w:t>Giderleri</w:t>
            </w:r>
          </w:p>
        </w:tc>
        <w:tc>
          <w:tcPr>
            <w:tcW w:w="2274" w:type="dxa"/>
            <w:tcBorders>
              <w:top w:val="nil"/>
              <w:left w:val="nil"/>
              <w:bottom w:val="nil"/>
              <w:right w:val="nil"/>
            </w:tcBorders>
            <w:shd w:val="clear" w:color="auto" w:fill="auto"/>
            <w:vAlign w:val="center"/>
            <w:hideMark/>
          </w:tcPr>
          <w:p w14:paraId="6703AC0C" w14:textId="2191BB48" w:rsidR="006874EA" w:rsidRPr="00005453" w:rsidRDefault="006874EA" w:rsidP="006874EA">
            <w:pPr>
              <w:jc w:val="right"/>
              <w:rPr>
                <w:color w:val="000000"/>
                <w:sz w:val="18"/>
                <w:szCs w:val="18"/>
                <w:lang w:eastAsia="tr-TR"/>
              </w:rPr>
            </w:pPr>
            <w:r w:rsidRPr="00005453">
              <w:rPr>
                <w:color w:val="000000"/>
                <w:sz w:val="18"/>
                <w:szCs w:val="18"/>
              </w:rPr>
              <w:t>-</w:t>
            </w:r>
          </w:p>
        </w:tc>
        <w:tc>
          <w:tcPr>
            <w:tcW w:w="2067" w:type="dxa"/>
            <w:tcBorders>
              <w:top w:val="nil"/>
              <w:left w:val="nil"/>
              <w:bottom w:val="nil"/>
              <w:right w:val="nil"/>
            </w:tcBorders>
            <w:shd w:val="clear" w:color="auto" w:fill="auto"/>
            <w:vAlign w:val="center"/>
            <w:hideMark/>
          </w:tcPr>
          <w:p w14:paraId="12EC286C" w14:textId="09BB1ACE" w:rsidR="006874EA" w:rsidRPr="00005453" w:rsidRDefault="006874EA" w:rsidP="006874EA">
            <w:pPr>
              <w:jc w:val="right"/>
              <w:rPr>
                <w:color w:val="000000"/>
                <w:sz w:val="18"/>
                <w:szCs w:val="18"/>
                <w:lang w:eastAsia="tr-TR"/>
              </w:rPr>
            </w:pPr>
            <w:r w:rsidRPr="00005453">
              <w:rPr>
                <w:color w:val="000000"/>
                <w:sz w:val="18"/>
                <w:szCs w:val="18"/>
              </w:rPr>
              <w:t>-</w:t>
            </w:r>
          </w:p>
        </w:tc>
      </w:tr>
      <w:tr w:rsidR="006874EA" w:rsidRPr="00005453" w14:paraId="75E6C373" w14:textId="77777777" w:rsidTr="006874EA">
        <w:trPr>
          <w:divId w:val="2120955205"/>
          <w:trHeight w:val="66"/>
        </w:trPr>
        <w:tc>
          <w:tcPr>
            <w:tcW w:w="5005" w:type="dxa"/>
            <w:tcBorders>
              <w:top w:val="nil"/>
              <w:left w:val="nil"/>
              <w:bottom w:val="nil"/>
              <w:right w:val="nil"/>
            </w:tcBorders>
            <w:shd w:val="clear" w:color="auto" w:fill="auto"/>
            <w:noWrap/>
            <w:vAlign w:val="bottom"/>
            <w:hideMark/>
          </w:tcPr>
          <w:p w14:paraId="4A5C62D7" w14:textId="77777777" w:rsidR="006874EA" w:rsidRPr="00005453" w:rsidRDefault="006874EA" w:rsidP="006874EA">
            <w:pPr>
              <w:rPr>
                <w:color w:val="000000"/>
                <w:sz w:val="18"/>
                <w:szCs w:val="18"/>
                <w:lang w:eastAsia="tr-TR"/>
              </w:rPr>
            </w:pPr>
            <w:r w:rsidRPr="00005453">
              <w:rPr>
                <w:color w:val="000000"/>
                <w:sz w:val="18"/>
                <w:szCs w:val="18"/>
                <w:lang w:eastAsia="tr-TR"/>
              </w:rPr>
              <w:t>Maddi Olmayan Duran Varlık Amortisman Giderleri</w:t>
            </w:r>
          </w:p>
        </w:tc>
        <w:tc>
          <w:tcPr>
            <w:tcW w:w="2274" w:type="dxa"/>
            <w:tcBorders>
              <w:top w:val="nil"/>
              <w:left w:val="nil"/>
              <w:bottom w:val="nil"/>
              <w:right w:val="nil"/>
            </w:tcBorders>
            <w:shd w:val="clear" w:color="auto" w:fill="auto"/>
            <w:vAlign w:val="center"/>
            <w:hideMark/>
          </w:tcPr>
          <w:p w14:paraId="5548BF6D" w14:textId="67238F9B" w:rsidR="006874EA" w:rsidRPr="00005453" w:rsidRDefault="006874EA" w:rsidP="006874EA">
            <w:pPr>
              <w:jc w:val="right"/>
              <w:rPr>
                <w:color w:val="000000"/>
                <w:sz w:val="18"/>
                <w:szCs w:val="18"/>
                <w:lang w:eastAsia="tr-TR"/>
              </w:rPr>
            </w:pPr>
            <w:r w:rsidRPr="00005453">
              <w:rPr>
                <w:color w:val="000000"/>
                <w:sz w:val="18"/>
                <w:szCs w:val="18"/>
              </w:rPr>
              <w:t>680,190</w:t>
            </w:r>
          </w:p>
        </w:tc>
        <w:tc>
          <w:tcPr>
            <w:tcW w:w="2067" w:type="dxa"/>
            <w:tcBorders>
              <w:top w:val="nil"/>
              <w:left w:val="nil"/>
              <w:bottom w:val="nil"/>
              <w:right w:val="nil"/>
            </w:tcBorders>
            <w:shd w:val="clear" w:color="auto" w:fill="auto"/>
            <w:vAlign w:val="center"/>
            <w:hideMark/>
          </w:tcPr>
          <w:p w14:paraId="62E492F6" w14:textId="1E6FFA34" w:rsidR="006874EA" w:rsidRPr="00005453" w:rsidRDefault="006874EA" w:rsidP="006874EA">
            <w:pPr>
              <w:jc w:val="right"/>
              <w:rPr>
                <w:color w:val="000000"/>
                <w:sz w:val="18"/>
                <w:szCs w:val="18"/>
                <w:lang w:eastAsia="tr-TR"/>
              </w:rPr>
            </w:pPr>
            <w:r w:rsidRPr="00005453">
              <w:rPr>
                <w:color w:val="000000"/>
                <w:sz w:val="18"/>
                <w:szCs w:val="18"/>
              </w:rPr>
              <w:t>224,854</w:t>
            </w:r>
          </w:p>
        </w:tc>
      </w:tr>
      <w:tr w:rsidR="006874EA" w:rsidRPr="00005453" w14:paraId="396D9B0A" w14:textId="77777777" w:rsidTr="006874EA">
        <w:trPr>
          <w:divId w:val="2120955205"/>
          <w:trHeight w:val="66"/>
        </w:trPr>
        <w:tc>
          <w:tcPr>
            <w:tcW w:w="5005" w:type="dxa"/>
            <w:tcBorders>
              <w:top w:val="nil"/>
              <w:left w:val="nil"/>
              <w:bottom w:val="nil"/>
              <w:right w:val="nil"/>
            </w:tcBorders>
            <w:shd w:val="clear" w:color="auto" w:fill="auto"/>
            <w:noWrap/>
            <w:vAlign w:val="bottom"/>
            <w:hideMark/>
          </w:tcPr>
          <w:p w14:paraId="30E51C0C" w14:textId="77777777" w:rsidR="006874EA" w:rsidRPr="00005453" w:rsidRDefault="006874EA" w:rsidP="006874EA">
            <w:pPr>
              <w:rPr>
                <w:color w:val="000000"/>
                <w:sz w:val="18"/>
                <w:szCs w:val="18"/>
                <w:lang w:eastAsia="tr-TR"/>
              </w:rPr>
            </w:pPr>
            <w:r w:rsidRPr="00005453">
              <w:rPr>
                <w:color w:val="000000"/>
                <w:sz w:val="18"/>
                <w:szCs w:val="18"/>
                <w:lang w:eastAsia="tr-TR"/>
              </w:rPr>
              <w:t>Elden Çıkarılacak Kıymetler Amortisman Giderleri</w:t>
            </w:r>
          </w:p>
        </w:tc>
        <w:tc>
          <w:tcPr>
            <w:tcW w:w="2274" w:type="dxa"/>
            <w:tcBorders>
              <w:top w:val="nil"/>
              <w:left w:val="nil"/>
              <w:bottom w:val="nil"/>
              <w:right w:val="nil"/>
            </w:tcBorders>
            <w:shd w:val="clear" w:color="auto" w:fill="auto"/>
            <w:vAlign w:val="center"/>
            <w:hideMark/>
          </w:tcPr>
          <w:p w14:paraId="6071C935" w14:textId="43D9D278" w:rsidR="006874EA" w:rsidRPr="00005453" w:rsidRDefault="006874EA" w:rsidP="006874EA">
            <w:pPr>
              <w:jc w:val="right"/>
              <w:rPr>
                <w:color w:val="000000"/>
                <w:sz w:val="18"/>
                <w:szCs w:val="18"/>
                <w:lang w:eastAsia="tr-TR"/>
              </w:rPr>
            </w:pPr>
            <w:r w:rsidRPr="00005453">
              <w:rPr>
                <w:color w:val="000000"/>
                <w:sz w:val="18"/>
                <w:szCs w:val="18"/>
              </w:rPr>
              <w:t>-</w:t>
            </w:r>
          </w:p>
        </w:tc>
        <w:tc>
          <w:tcPr>
            <w:tcW w:w="2067" w:type="dxa"/>
            <w:tcBorders>
              <w:top w:val="nil"/>
              <w:left w:val="nil"/>
              <w:bottom w:val="nil"/>
              <w:right w:val="nil"/>
            </w:tcBorders>
            <w:shd w:val="clear" w:color="auto" w:fill="auto"/>
            <w:vAlign w:val="center"/>
            <w:hideMark/>
          </w:tcPr>
          <w:p w14:paraId="0840CFB9" w14:textId="7C1698F4" w:rsidR="006874EA" w:rsidRPr="00005453" w:rsidRDefault="006874EA" w:rsidP="006874EA">
            <w:pPr>
              <w:jc w:val="right"/>
              <w:rPr>
                <w:color w:val="000000"/>
                <w:sz w:val="18"/>
                <w:szCs w:val="18"/>
                <w:lang w:eastAsia="tr-TR"/>
              </w:rPr>
            </w:pPr>
            <w:r w:rsidRPr="00005453">
              <w:rPr>
                <w:color w:val="000000"/>
                <w:sz w:val="18"/>
                <w:szCs w:val="18"/>
                <w:lang w:eastAsia="tr-TR"/>
              </w:rPr>
              <w:t>-</w:t>
            </w:r>
          </w:p>
        </w:tc>
      </w:tr>
      <w:tr w:rsidR="006874EA" w:rsidRPr="00005453" w14:paraId="387EECB1" w14:textId="77777777" w:rsidTr="006874EA">
        <w:trPr>
          <w:divId w:val="2120955205"/>
          <w:trHeight w:val="66"/>
        </w:trPr>
        <w:tc>
          <w:tcPr>
            <w:tcW w:w="5005" w:type="dxa"/>
            <w:tcBorders>
              <w:top w:val="nil"/>
              <w:left w:val="nil"/>
              <w:bottom w:val="nil"/>
              <w:right w:val="nil"/>
            </w:tcBorders>
            <w:shd w:val="clear" w:color="auto" w:fill="auto"/>
            <w:noWrap/>
            <w:vAlign w:val="center"/>
            <w:hideMark/>
          </w:tcPr>
          <w:p w14:paraId="3CE19644" w14:textId="77777777" w:rsidR="006874EA" w:rsidRPr="00005453" w:rsidRDefault="006874EA" w:rsidP="006874EA">
            <w:pPr>
              <w:rPr>
                <w:color w:val="000000"/>
                <w:sz w:val="18"/>
                <w:szCs w:val="18"/>
                <w:lang w:eastAsia="tr-TR"/>
              </w:rPr>
            </w:pPr>
            <w:r w:rsidRPr="00005453">
              <w:rPr>
                <w:color w:val="000000"/>
                <w:sz w:val="18"/>
                <w:szCs w:val="18"/>
                <w:lang w:eastAsia="tr-TR"/>
              </w:rPr>
              <w:t>Diğer İşletme Giderleri</w:t>
            </w:r>
          </w:p>
        </w:tc>
        <w:tc>
          <w:tcPr>
            <w:tcW w:w="2274" w:type="dxa"/>
            <w:tcBorders>
              <w:top w:val="nil"/>
              <w:left w:val="nil"/>
              <w:bottom w:val="nil"/>
              <w:right w:val="nil"/>
            </w:tcBorders>
            <w:shd w:val="clear" w:color="auto" w:fill="auto"/>
            <w:vAlign w:val="center"/>
            <w:hideMark/>
          </w:tcPr>
          <w:p w14:paraId="354E7B0E" w14:textId="614B0163" w:rsidR="006874EA" w:rsidRPr="00005453" w:rsidRDefault="006874EA" w:rsidP="006874EA">
            <w:pPr>
              <w:jc w:val="right"/>
              <w:rPr>
                <w:bCs/>
                <w:sz w:val="18"/>
                <w:szCs w:val="18"/>
                <w:lang w:eastAsia="tr-TR"/>
              </w:rPr>
            </w:pPr>
            <w:r w:rsidRPr="00005453">
              <w:rPr>
                <w:bCs/>
                <w:sz w:val="18"/>
                <w:szCs w:val="18"/>
              </w:rPr>
              <w:t>3,967,346</w:t>
            </w:r>
          </w:p>
        </w:tc>
        <w:tc>
          <w:tcPr>
            <w:tcW w:w="2067" w:type="dxa"/>
            <w:tcBorders>
              <w:top w:val="nil"/>
              <w:left w:val="nil"/>
              <w:bottom w:val="nil"/>
              <w:right w:val="nil"/>
            </w:tcBorders>
            <w:shd w:val="clear" w:color="auto" w:fill="auto"/>
            <w:vAlign w:val="center"/>
            <w:hideMark/>
          </w:tcPr>
          <w:p w14:paraId="1ED3A573" w14:textId="48DE4C78" w:rsidR="006874EA" w:rsidRPr="00005453" w:rsidRDefault="006874EA" w:rsidP="006874EA">
            <w:pPr>
              <w:jc w:val="right"/>
              <w:rPr>
                <w:bCs/>
                <w:color w:val="000000"/>
                <w:sz w:val="18"/>
                <w:szCs w:val="18"/>
                <w:lang w:eastAsia="tr-TR"/>
              </w:rPr>
            </w:pPr>
            <w:r w:rsidRPr="00005453">
              <w:rPr>
                <w:bCs/>
                <w:sz w:val="18"/>
                <w:szCs w:val="18"/>
              </w:rPr>
              <w:t>2,236,393</w:t>
            </w:r>
          </w:p>
        </w:tc>
      </w:tr>
      <w:tr w:rsidR="00270A0A" w:rsidRPr="00005453" w14:paraId="591211F6" w14:textId="77777777" w:rsidTr="00270A0A">
        <w:trPr>
          <w:divId w:val="2120955205"/>
          <w:trHeight w:val="66"/>
        </w:trPr>
        <w:tc>
          <w:tcPr>
            <w:tcW w:w="5005" w:type="dxa"/>
            <w:tcBorders>
              <w:top w:val="nil"/>
              <w:left w:val="nil"/>
              <w:bottom w:val="nil"/>
              <w:right w:val="nil"/>
            </w:tcBorders>
            <w:shd w:val="clear" w:color="auto" w:fill="auto"/>
            <w:noWrap/>
            <w:vAlign w:val="center"/>
            <w:hideMark/>
          </w:tcPr>
          <w:p w14:paraId="784B19D0" w14:textId="7D697C0E"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Bakım ve Onarım Giderleri</w:t>
            </w:r>
          </w:p>
        </w:tc>
        <w:tc>
          <w:tcPr>
            <w:tcW w:w="2274" w:type="dxa"/>
            <w:tcBorders>
              <w:top w:val="nil"/>
              <w:left w:val="nil"/>
              <w:bottom w:val="nil"/>
              <w:right w:val="nil"/>
            </w:tcBorders>
            <w:shd w:val="clear" w:color="auto" w:fill="auto"/>
            <w:vAlign w:val="center"/>
            <w:hideMark/>
          </w:tcPr>
          <w:p w14:paraId="742A46C2" w14:textId="70EA0129" w:rsidR="00270A0A" w:rsidRPr="00005453" w:rsidRDefault="006874EA" w:rsidP="00270A0A">
            <w:pPr>
              <w:jc w:val="right"/>
              <w:rPr>
                <w:i/>
                <w:iCs/>
                <w:color w:val="000000"/>
                <w:sz w:val="18"/>
                <w:szCs w:val="18"/>
                <w:lang w:eastAsia="tr-TR"/>
              </w:rPr>
            </w:pPr>
            <w:r w:rsidRPr="00005453">
              <w:rPr>
                <w:i/>
                <w:iCs/>
                <w:color w:val="000000"/>
                <w:sz w:val="18"/>
                <w:szCs w:val="18"/>
              </w:rPr>
              <w:t>752</w:t>
            </w:r>
            <w:r w:rsidR="00270A0A" w:rsidRPr="00005453">
              <w:rPr>
                <w:i/>
                <w:iCs/>
                <w:color w:val="000000"/>
                <w:sz w:val="18"/>
                <w:szCs w:val="18"/>
              </w:rPr>
              <w:t>,</w:t>
            </w:r>
            <w:r w:rsidRPr="00005453">
              <w:rPr>
                <w:i/>
                <w:iCs/>
                <w:color w:val="000000"/>
                <w:sz w:val="18"/>
                <w:szCs w:val="18"/>
              </w:rPr>
              <w:t>475</w:t>
            </w:r>
          </w:p>
        </w:tc>
        <w:tc>
          <w:tcPr>
            <w:tcW w:w="2067" w:type="dxa"/>
            <w:tcBorders>
              <w:top w:val="nil"/>
              <w:left w:val="nil"/>
              <w:bottom w:val="nil"/>
              <w:right w:val="nil"/>
            </w:tcBorders>
            <w:shd w:val="clear" w:color="auto" w:fill="auto"/>
            <w:vAlign w:val="center"/>
            <w:hideMark/>
          </w:tcPr>
          <w:p w14:paraId="14E9669B" w14:textId="13287E8C" w:rsidR="00270A0A" w:rsidRPr="00005453" w:rsidRDefault="00270A0A" w:rsidP="00270A0A">
            <w:pPr>
              <w:jc w:val="right"/>
              <w:rPr>
                <w:i/>
                <w:iCs/>
                <w:color w:val="000000"/>
                <w:sz w:val="18"/>
                <w:szCs w:val="18"/>
                <w:lang w:eastAsia="tr-TR"/>
              </w:rPr>
            </w:pPr>
            <w:r w:rsidRPr="00005453">
              <w:rPr>
                <w:i/>
                <w:iCs/>
                <w:color w:val="000000"/>
                <w:sz w:val="18"/>
                <w:szCs w:val="18"/>
              </w:rPr>
              <w:t>407,022</w:t>
            </w:r>
          </w:p>
        </w:tc>
      </w:tr>
      <w:tr w:rsidR="00270A0A" w:rsidRPr="00005453" w14:paraId="73E9C204" w14:textId="77777777" w:rsidTr="00270A0A">
        <w:trPr>
          <w:divId w:val="2120955205"/>
          <w:trHeight w:val="169"/>
        </w:trPr>
        <w:tc>
          <w:tcPr>
            <w:tcW w:w="5005" w:type="dxa"/>
            <w:tcBorders>
              <w:top w:val="nil"/>
              <w:left w:val="nil"/>
              <w:bottom w:val="nil"/>
              <w:right w:val="nil"/>
            </w:tcBorders>
            <w:shd w:val="clear" w:color="auto" w:fill="auto"/>
            <w:noWrap/>
            <w:vAlign w:val="center"/>
            <w:hideMark/>
          </w:tcPr>
          <w:p w14:paraId="2547F96A" w14:textId="4CDD63BC"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Haberleşme Giderleri</w:t>
            </w:r>
          </w:p>
        </w:tc>
        <w:tc>
          <w:tcPr>
            <w:tcW w:w="2274" w:type="dxa"/>
            <w:tcBorders>
              <w:top w:val="nil"/>
              <w:left w:val="nil"/>
              <w:bottom w:val="nil"/>
              <w:right w:val="nil"/>
            </w:tcBorders>
            <w:shd w:val="clear" w:color="auto" w:fill="auto"/>
            <w:vAlign w:val="center"/>
            <w:hideMark/>
          </w:tcPr>
          <w:p w14:paraId="55381253" w14:textId="2476F8E3" w:rsidR="00270A0A" w:rsidRPr="00005453" w:rsidRDefault="006874EA" w:rsidP="00270A0A">
            <w:pPr>
              <w:jc w:val="right"/>
              <w:rPr>
                <w:i/>
                <w:iCs/>
                <w:color w:val="000000"/>
                <w:sz w:val="18"/>
                <w:szCs w:val="18"/>
                <w:lang w:eastAsia="tr-TR"/>
              </w:rPr>
            </w:pPr>
            <w:r w:rsidRPr="00005453">
              <w:rPr>
                <w:i/>
                <w:iCs/>
                <w:color w:val="000000"/>
                <w:sz w:val="18"/>
                <w:szCs w:val="18"/>
              </w:rPr>
              <w:t>435</w:t>
            </w:r>
            <w:r w:rsidR="00270A0A" w:rsidRPr="00005453">
              <w:rPr>
                <w:i/>
                <w:iCs/>
                <w:color w:val="000000"/>
                <w:sz w:val="18"/>
                <w:szCs w:val="18"/>
              </w:rPr>
              <w:t>,</w:t>
            </w:r>
            <w:r w:rsidRPr="00005453">
              <w:rPr>
                <w:i/>
                <w:iCs/>
                <w:color w:val="000000"/>
                <w:sz w:val="18"/>
                <w:szCs w:val="18"/>
              </w:rPr>
              <w:t>260</w:t>
            </w:r>
          </w:p>
        </w:tc>
        <w:tc>
          <w:tcPr>
            <w:tcW w:w="2067" w:type="dxa"/>
            <w:tcBorders>
              <w:top w:val="nil"/>
              <w:left w:val="nil"/>
              <w:bottom w:val="nil"/>
              <w:right w:val="nil"/>
            </w:tcBorders>
            <w:shd w:val="clear" w:color="auto" w:fill="auto"/>
            <w:vAlign w:val="center"/>
            <w:hideMark/>
          </w:tcPr>
          <w:p w14:paraId="6323EA8B" w14:textId="6B47F2E4" w:rsidR="00270A0A" w:rsidRPr="00005453" w:rsidRDefault="00270A0A" w:rsidP="00270A0A">
            <w:pPr>
              <w:jc w:val="right"/>
              <w:rPr>
                <w:i/>
                <w:iCs/>
                <w:color w:val="000000"/>
                <w:sz w:val="18"/>
                <w:szCs w:val="18"/>
                <w:lang w:eastAsia="tr-TR"/>
              </w:rPr>
            </w:pPr>
            <w:r w:rsidRPr="00005453">
              <w:rPr>
                <w:i/>
                <w:iCs/>
                <w:color w:val="000000"/>
                <w:sz w:val="18"/>
                <w:szCs w:val="18"/>
              </w:rPr>
              <w:t>244,026</w:t>
            </w:r>
          </w:p>
        </w:tc>
      </w:tr>
      <w:tr w:rsidR="00270A0A" w:rsidRPr="00005453" w14:paraId="06A33DC7" w14:textId="77777777" w:rsidTr="00270A0A">
        <w:trPr>
          <w:divId w:val="2120955205"/>
          <w:trHeight w:val="66"/>
        </w:trPr>
        <w:tc>
          <w:tcPr>
            <w:tcW w:w="5005" w:type="dxa"/>
            <w:tcBorders>
              <w:top w:val="nil"/>
              <w:left w:val="nil"/>
              <w:bottom w:val="nil"/>
              <w:right w:val="nil"/>
            </w:tcBorders>
            <w:shd w:val="clear" w:color="auto" w:fill="auto"/>
            <w:noWrap/>
            <w:vAlign w:val="center"/>
            <w:hideMark/>
          </w:tcPr>
          <w:p w14:paraId="69C50664" w14:textId="18F97633"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Reklam ve İlan Giderleri</w:t>
            </w:r>
          </w:p>
        </w:tc>
        <w:tc>
          <w:tcPr>
            <w:tcW w:w="2274" w:type="dxa"/>
            <w:tcBorders>
              <w:top w:val="nil"/>
              <w:left w:val="nil"/>
              <w:bottom w:val="nil"/>
              <w:right w:val="nil"/>
            </w:tcBorders>
            <w:shd w:val="clear" w:color="auto" w:fill="auto"/>
            <w:vAlign w:val="center"/>
            <w:hideMark/>
          </w:tcPr>
          <w:p w14:paraId="46931CBE" w14:textId="17CCDECC" w:rsidR="00270A0A" w:rsidRPr="00005453" w:rsidRDefault="006874EA" w:rsidP="00270A0A">
            <w:pPr>
              <w:jc w:val="right"/>
              <w:rPr>
                <w:i/>
                <w:iCs/>
                <w:color w:val="000000"/>
                <w:sz w:val="18"/>
                <w:szCs w:val="18"/>
                <w:lang w:eastAsia="tr-TR"/>
              </w:rPr>
            </w:pPr>
            <w:r w:rsidRPr="00005453">
              <w:rPr>
                <w:i/>
                <w:iCs/>
                <w:color w:val="000000"/>
                <w:sz w:val="18"/>
                <w:szCs w:val="18"/>
              </w:rPr>
              <w:t>284</w:t>
            </w:r>
            <w:r w:rsidR="00270A0A" w:rsidRPr="00005453">
              <w:rPr>
                <w:i/>
                <w:iCs/>
                <w:color w:val="000000"/>
                <w:sz w:val="18"/>
                <w:szCs w:val="18"/>
              </w:rPr>
              <w:t>,</w:t>
            </w:r>
            <w:r w:rsidRPr="00005453">
              <w:rPr>
                <w:i/>
                <w:iCs/>
                <w:color w:val="000000"/>
                <w:sz w:val="18"/>
                <w:szCs w:val="18"/>
              </w:rPr>
              <w:t>987</w:t>
            </w:r>
          </w:p>
        </w:tc>
        <w:tc>
          <w:tcPr>
            <w:tcW w:w="2067" w:type="dxa"/>
            <w:tcBorders>
              <w:top w:val="nil"/>
              <w:left w:val="nil"/>
              <w:bottom w:val="nil"/>
              <w:right w:val="nil"/>
            </w:tcBorders>
            <w:shd w:val="clear" w:color="auto" w:fill="auto"/>
            <w:vAlign w:val="center"/>
            <w:hideMark/>
          </w:tcPr>
          <w:p w14:paraId="14C28CE1" w14:textId="5F4FCCF7" w:rsidR="00270A0A" w:rsidRPr="00005453" w:rsidRDefault="00270A0A" w:rsidP="00270A0A">
            <w:pPr>
              <w:jc w:val="right"/>
              <w:rPr>
                <w:i/>
                <w:iCs/>
                <w:color w:val="000000"/>
                <w:sz w:val="18"/>
                <w:szCs w:val="18"/>
                <w:lang w:eastAsia="tr-TR"/>
              </w:rPr>
            </w:pPr>
            <w:r w:rsidRPr="00005453">
              <w:rPr>
                <w:i/>
                <w:iCs/>
                <w:color w:val="000000"/>
                <w:sz w:val="18"/>
                <w:szCs w:val="18"/>
              </w:rPr>
              <w:t>135,322</w:t>
            </w:r>
          </w:p>
        </w:tc>
      </w:tr>
      <w:tr w:rsidR="00270A0A" w:rsidRPr="00005453" w14:paraId="247E931C" w14:textId="77777777" w:rsidTr="00270A0A">
        <w:trPr>
          <w:divId w:val="2120955205"/>
          <w:trHeight w:val="85"/>
        </w:trPr>
        <w:tc>
          <w:tcPr>
            <w:tcW w:w="5005" w:type="dxa"/>
            <w:tcBorders>
              <w:top w:val="nil"/>
              <w:left w:val="nil"/>
              <w:bottom w:val="nil"/>
              <w:right w:val="nil"/>
            </w:tcBorders>
            <w:shd w:val="clear" w:color="auto" w:fill="auto"/>
            <w:noWrap/>
            <w:vAlign w:val="center"/>
            <w:hideMark/>
          </w:tcPr>
          <w:p w14:paraId="3F85AAF3" w14:textId="25226EF1"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Isınma Aydınlatma ve Su Giderleri</w:t>
            </w:r>
          </w:p>
        </w:tc>
        <w:tc>
          <w:tcPr>
            <w:tcW w:w="2274" w:type="dxa"/>
            <w:tcBorders>
              <w:top w:val="nil"/>
              <w:left w:val="nil"/>
              <w:bottom w:val="nil"/>
              <w:right w:val="nil"/>
            </w:tcBorders>
            <w:shd w:val="clear" w:color="auto" w:fill="auto"/>
            <w:vAlign w:val="center"/>
            <w:hideMark/>
          </w:tcPr>
          <w:p w14:paraId="05FBF3D6" w14:textId="5AD9FDDA" w:rsidR="00270A0A" w:rsidRPr="00005453" w:rsidRDefault="00270A0A" w:rsidP="00270A0A">
            <w:pPr>
              <w:jc w:val="right"/>
              <w:rPr>
                <w:i/>
                <w:iCs/>
                <w:color w:val="000000"/>
                <w:sz w:val="18"/>
                <w:szCs w:val="18"/>
                <w:lang w:eastAsia="tr-TR"/>
              </w:rPr>
            </w:pPr>
            <w:r w:rsidRPr="00005453">
              <w:rPr>
                <w:i/>
                <w:iCs/>
                <w:color w:val="000000"/>
                <w:sz w:val="18"/>
                <w:szCs w:val="18"/>
              </w:rPr>
              <w:t>1</w:t>
            </w:r>
            <w:r w:rsidR="006874EA" w:rsidRPr="00005453">
              <w:rPr>
                <w:i/>
                <w:iCs/>
                <w:color w:val="000000"/>
                <w:sz w:val="18"/>
                <w:szCs w:val="18"/>
              </w:rPr>
              <w:t>41</w:t>
            </w:r>
            <w:r w:rsidRPr="00005453">
              <w:rPr>
                <w:i/>
                <w:iCs/>
                <w:color w:val="000000"/>
                <w:sz w:val="18"/>
                <w:szCs w:val="18"/>
              </w:rPr>
              <w:t>,</w:t>
            </w:r>
            <w:r w:rsidR="006874EA" w:rsidRPr="00005453">
              <w:rPr>
                <w:i/>
                <w:iCs/>
                <w:color w:val="000000"/>
                <w:sz w:val="18"/>
                <w:szCs w:val="18"/>
              </w:rPr>
              <w:t>556</w:t>
            </w:r>
          </w:p>
        </w:tc>
        <w:tc>
          <w:tcPr>
            <w:tcW w:w="2067" w:type="dxa"/>
            <w:tcBorders>
              <w:top w:val="nil"/>
              <w:left w:val="nil"/>
              <w:bottom w:val="nil"/>
              <w:right w:val="nil"/>
            </w:tcBorders>
            <w:shd w:val="clear" w:color="auto" w:fill="auto"/>
            <w:vAlign w:val="center"/>
            <w:hideMark/>
          </w:tcPr>
          <w:p w14:paraId="2DC61E21" w14:textId="13771944" w:rsidR="00270A0A" w:rsidRPr="00005453" w:rsidRDefault="00270A0A" w:rsidP="00270A0A">
            <w:pPr>
              <w:jc w:val="right"/>
              <w:rPr>
                <w:i/>
                <w:iCs/>
                <w:color w:val="000000"/>
                <w:sz w:val="18"/>
                <w:szCs w:val="18"/>
                <w:lang w:eastAsia="tr-TR"/>
              </w:rPr>
            </w:pPr>
            <w:r w:rsidRPr="00005453">
              <w:rPr>
                <w:i/>
                <w:iCs/>
                <w:color w:val="000000"/>
                <w:sz w:val="18"/>
                <w:szCs w:val="18"/>
              </w:rPr>
              <w:t>134,510</w:t>
            </w:r>
          </w:p>
        </w:tc>
      </w:tr>
      <w:tr w:rsidR="00270A0A" w:rsidRPr="00005453" w14:paraId="4C36DB7D" w14:textId="77777777" w:rsidTr="00270A0A">
        <w:trPr>
          <w:divId w:val="2120955205"/>
          <w:trHeight w:val="158"/>
        </w:trPr>
        <w:tc>
          <w:tcPr>
            <w:tcW w:w="5005" w:type="dxa"/>
            <w:tcBorders>
              <w:top w:val="nil"/>
              <w:left w:val="nil"/>
              <w:bottom w:val="nil"/>
              <w:right w:val="nil"/>
            </w:tcBorders>
            <w:shd w:val="clear" w:color="auto" w:fill="auto"/>
            <w:noWrap/>
            <w:vAlign w:val="center"/>
            <w:hideMark/>
          </w:tcPr>
          <w:p w14:paraId="26DE58B7" w14:textId="77A0F13A"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Kırtasiye Gideri</w:t>
            </w:r>
          </w:p>
        </w:tc>
        <w:tc>
          <w:tcPr>
            <w:tcW w:w="2274" w:type="dxa"/>
            <w:tcBorders>
              <w:top w:val="nil"/>
              <w:left w:val="nil"/>
              <w:bottom w:val="nil"/>
              <w:right w:val="nil"/>
            </w:tcBorders>
            <w:shd w:val="clear" w:color="auto" w:fill="auto"/>
            <w:vAlign w:val="center"/>
            <w:hideMark/>
          </w:tcPr>
          <w:p w14:paraId="3AFE1928" w14:textId="3BD685E9" w:rsidR="00270A0A" w:rsidRPr="00005453" w:rsidRDefault="006874EA" w:rsidP="00270A0A">
            <w:pPr>
              <w:jc w:val="right"/>
              <w:rPr>
                <w:i/>
                <w:iCs/>
                <w:color w:val="000000"/>
                <w:sz w:val="18"/>
                <w:szCs w:val="18"/>
                <w:lang w:eastAsia="tr-TR"/>
              </w:rPr>
            </w:pPr>
            <w:r w:rsidRPr="00005453">
              <w:rPr>
                <w:i/>
                <w:iCs/>
                <w:color w:val="000000"/>
                <w:sz w:val="18"/>
                <w:szCs w:val="18"/>
              </w:rPr>
              <w:t>101</w:t>
            </w:r>
            <w:r w:rsidR="00270A0A" w:rsidRPr="00005453">
              <w:rPr>
                <w:i/>
                <w:iCs/>
                <w:color w:val="000000"/>
                <w:sz w:val="18"/>
                <w:szCs w:val="18"/>
              </w:rPr>
              <w:t>,</w:t>
            </w:r>
            <w:r w:rsidRPr="00005453">
              <w:rPr>
                <w:i/>
                <w:iCs/>
                <w:color w:val="000000"/>
                <w:sz w:val="18"/>
                <w:szCs w:val="18"/>
              </w:rPr>
              <w:t>908</w:t>
            </w:r>
          </w:p>
        </w:tc>
        <w:tc>
          <w:tcPr>
            <w:tcW w:w="2067" w:type="dxa"/>
            <w:tcBorders>
              <w:top w:val="nil"/>
              <w:left w:val="nil"/>
              <w:bottom w:val="nil"/>
              <w:right w:val="nil"/>
            </w:tcBorders>
            <w:shd w:val="clear" w:color="auto" w:fill="auto"/>
            <w:vAlign w:val="center"/>
            <w:hideMark/>
          </w:tcPr>
          <w:p w14:paraId="4117E19B" w14:textId="5B111101" w:rsidR="00270A0A" w:rsidRPr="00005453" w:rsidRDefault="00270A0A" w:rsidP="00270A0A">
            <w:pPr>
              <w:jc w:val="right"/>
              <w:rPr>
                <w:i/>
                <w:iCs/>
                <w:color w:val="000000"/>
                <w:sz w:val="18"/>
                <w:szCs w:val="18"/>
                <w:lang w:eastAsia="tr-TR"/>
              </w:rPr>
            </w:pPr>
            <w:r w:rsidRPr="00005453">
              <w:rPr>
                <w:i/>
                <w:iCs/>
                <w:color w:val="000000"/>
                <w:sz w:val="18"/>
                <w:szCs w:val="18"/>
              </w:rPr>
              <w:t>51,139</w:t>
            </w:r>
          </w:p>
        </w:tc>
      </w:tr>
      <w:tr w:rsidR="00270A0A" w:rsidRPr="00005453" w14:paraId="41B25183" w14:textId="77777777" w:rsidTr="00270A0A">
        <w:trPr>
          <w:divId w:val="2120955205"/>
          <w:trHeight w:val="169"/>
        </w:trPr>
        <w:tc>
          <w:tcPr>
            <w:tcW w:w="5005" w:type="dxa"/>
            <w:tcBorders>
              <w:top w:val="nil"/>
              <w:left w:val="nil"/>
              <w:bottom w:val="nil"/>
              <w:right w:val="nil"/>
            </w:tcBorders>
            <w:shd w:val="clear" w:color="auto" w:fill="auto"/>
            <w:noWrap/>
            <w:vAlign w:val="center"/>
            <w:hideMark/>
          </w:tcPr>
          <w:p w14:paraId="6F8F1EA1" w14:textId="2BA0D7CC"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Taşıt Aracı Giderleri</w:t>
            </w:r>
          </w:p>
        </w:tc>
        <w:tc>
          <w:tcPr>
            <w:tcW w:w="2274" w:type="dxa"/>
            <w:tcBorders>
              <w:top w:val="nil"/>
              <w:left w:val="nil"/>
              <w:bottom w:val="nil"/>
              <w:right w:val="nil"/>
            </w:tcBorders>
            <w:shd w:val="clear" w:color="auto" w:fill="auto"/>
            <w:vAlign w:val="center"/>
            <w:hideMark/>
          </w:tcPr>
          <w:p w14:paraId="6096E69F" w14:textId="1C11292B" w:rsidR="00270A0A" w:rsidRPr="00005453" w:rsidRDefault="006874EA" w:rsidP="00270A0A">
            <w:pPr>
              <w:jc w:val="right"/>
              <w:rPr>
                <w:i/>
                <w:iCs/>
                <w:color w:val="000000"/>
                <w:sz w:val="18"/>
                <w:szCs w:val="18"/>
                <w:lang w:eastAsia="tr-TR"/>
              </w:rPr>
            </w:pPr>
            <w:r w:rsidRPr="00005453">
              <w:rPr>
                <w:i/>
                <w:iCs/>
                <w:color w:val="000000"/>
                <w:sz w:val="18"/>
                <w:szCs w:val="18"/>
              </w:rPr>
              <w:t>89</w:t>
            </w:r>
            <w:r w:rsidR="00270A0A" w:rsidRPr="00005453">
              <w:rPr>
                <w:i/>
                <w:iCs/>
                <w:color w:val="000000"/>
                <w:sz w:val="18"/>
                <w:szCs w:val="18"/>
              </w:rPr>
              <w:t>,</w:t>
            </w:r>
            <w:r w:rsidRPr="00005453">
              <w:rPr>
                <w:i/>
                <w:iCs/>
                <w:color w:val="000000"/>
                <w:sz w:val="18"/>
                <w:szCs w:val="18"/>
              </w:rPr>
              <w:t>738</w:t>
            </w:r>
          </w:p>
        </w:tc>
        <w:tc>
          <w:tcPr>
            <w:tcW w:w="2067" w:type="dxa"/>
            <w:tcBorders>
              <w:top w:val="nil"/>
              <w:left w:val="nil"/>
              <w:bottom w:val="nil"/>
              <w:right w:val="nil"/>
            </w:tcBorders>
            <w:shd w:val="clear" w:color="auto" w:fill="auto"/>
            <w:vAlign w:val="center"/>
            <w:hideMark/>
          </w:tcPr>
          <w:p w14:paraId="181A3D67" w14:textId="28E8B139" w:rsidR="00270A0A" w:rsidRPr="00005453" w:rsidRDefault="00270A0A" w:rsidP="00270A0A">
            <w:pPr>
              <w:jc w:val="right"/>
              <w:rPr>
                <w:i/>
                <w:iCs/>
                <w:color w:val="000000"/>
                <w:sz w:val="18"/>
                <w:szCs w:val="18"/>
                <w:lang w:eastAsia="tr-TR"/>
              </w:rPr>
            </w:pPr>
            <w:r w:rsidRPr="00005453">
              <w:rPr>
                <w:i/>
                <w:iCs/>
                <w:color w:val="000000"/>
                <w:sz w:val="18"/>
                <w:szCs w:val="18"/>
              </w:rPr>
              <w:t>55,297</w:t>
            </w:r>
          </w:p>
        </w:tc>
      </w:tr>
      <w:tr w:rsidR="00270A0A" w:rsidRPr="00005453" w14:paraId="57AC8067" w14:textId="77777777" w:rsidTr="00270A0A">
        <w:trPr>
          <w:divId w:val="2120955205"/>
          <w:trHeight w:val="169"/>
        </w:trPr>
        <w:tc>
          <w:tcPr>
            <w:tcW w:w="5005" w:type="dxa"/>
            <w:tcBorders>
              <w:top w:val="nil"/>
              <w:left w:val="nil"/>
              <w:bottom w:val="nil"/>
              <w:right w:val="nil"/>
            </w:tcBorders>
            <w:shd w:val="clear" w:color="auto" w:fill="auto"/>
            <w:noWrap/>
            <w:vAlign w:val="center"/>
            <w:hideMark/>
          </w:tcPr>
          <w:p w14:paraId="70EDF829" w14:textId="31BD416B"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Temizlik Giderleri</w:t>
            </w:r>
          </w:p>
        </w:tc>
        <w:tc>
          <w:tcPr>
            <w:tcW w:w="2274" w:type="dxa"/>
            <w:tcBorders>
              <w:top w:val="nil"/>
              <w:left w:val="nil"/>
              <w:bottom w:val="nil"/>
              <w:right w:val="nil"/>
            </w:tcBorders>
            <w:shd w:val="clear" w:color="auto" w:fill="auto"/>
            <w:vAlign w:val="center"/>
            <w:hideMark/>
          </w:tcPr>
          <w:p w14:paraId="74563A79" w14:textId="457C14B2" w:rsidR="00270A0A" w:rsidRPr="00005453" w:rsidRDefault="006874EA" w:rsidP="00270A0A">
            <w:pPr>
              <w:jc w:val="right"/>
              <w:rPr>
                <w:i/>
                <w:iCs/>
                <w:color w:val="000000"/>
                <w:sz w:val="18"/>
                <w:szCs w:val="18"/>
                <w:lang w:eastAsia="tr-TR"/>
              </w:rPr>
            </w:pPr>
            <w:r w:rsidRPr="00005453">
              <w:rPr>
                <w:i/>
                <w:iCs/>
                <w:color w:val="000000"/>
                <w:sz w:val="18"/>
                <w:szCs w:val="18"/>
              </w:rPr>
              <w:t>6</w:t>
            </w:r>
            <w:r w:rsidR="00270A0A" w:rsidRPr="00005453">
              <w:rPr>
                <w:i/>
                <w:iCs/>
                <w:color w:val="000000"/>
                <w:sz w:val="18"/>
                <w:szCs w:val="18"/>
              </w:rPr>
              <w:t>2,</w:t>
            </w:r>
            <w:r w:rsidRPr="00005453">
              <w:rPr>
                <w:i/>
                <w:iCs/>
                <w:color w:val="000000"/>
                <w:sz w:val="18"/>
                <w:szCs w:val="18"/>
              </w:rPr>
              <w:t>69</w:t>
            </w:r>
            <w:r w:rsidR="00270A0A" w:rsidRPr="00005453">
              <w:rPr>
                <w:i/>
                <w:iCs/>
                <w:color w:val="000000"/>
                <w:sz w:val="18"/>
                <w:szCs w:val="18"/>
              </w:rPr>
              <w:t>0</w:t>
            </w:r>
          </w:p>
        </w:tc>
        <w:tc>
          <w:tcPr>
            <w:tcW w:w="2067" w:type="dxa"/>
            <w:tcBorders>
              <w:top w:val="nil"/>
              <w:left w:val="nil"/>
              <w:bottom w:val="nil"/>
              <w:right w:val="nil"/>
            </w:tcBorders>
            <w:shd w:val="clear" w:color="auto" w:fill="auto"/>
            <w:vAlign w:val="center"/>
            <w:hideMark/>
          </w:tcPr>
          <w:p w14:paraId="2B0E1E48" w14:textId="01E3A9FB" w:rsidR="00270A0A" w:rsidRPr="00005453" w:rsidRDefault="00270A0A" w:rsidP="00270A0A">
            <w:pPr>
              <w:jc w:val="right"/>
              <w:rPr>
                <w:i/>
                <w:iCs/>
                <w:color w:val="000000"/>
                <w:sz w:val="18"/>
                <w:szCs w:val="18"/>
                <w:lang w:eastAsia="tr-TR"/>
              </w:rPr>
            </w:pPr>
            <w:r w:rsidRPr="00005453">
              <w:rPr>
                <w:i/>
                <w:iCs/>
                <w:color w:val="000000"/>
                <w:sz w:val="18"/>
                <w:szCs w:val="18"/>
              </w:rPr>
              <w:t>32,110</w:t>
            </w:r>
          </w:p>
        </w:tc>
      </w:tr>
      <w:tr w:rsidR="00270A0A" w:rsidRPr="00005453" w14:paraId="76AAE1A6" w14:textId="77777777" w:rsidTr="00270A0A">
        <w:trPr>
          <w:divId w:val="2120955205"/>
          <w:trHeight w:val="169"/>
        </w:trPr>
        <w:tc>
          <w:tcPr>
            <w:tcW w:w="5005" w:type="dxa"/>
            <w:tcBorders>
              <w:top w:val="nil"/>
              <w:left w:val="nil"/>
              <w:bottom w:val="nil"/>
              <w:right w:val="nil"/>
            </w:tcBorders>
            <w:shd w:val="clear" w:color="auto" w:fill="auto"/>
            <w:noWrap/>
            <w:vAlign w:val="center"/>
            <w:hideMark/>
          </w:tcPr>
          <w:p w14:paraId="0FC6DDDE" w14:textId="400FE37F" w:rsidR="00270A0A" w:rsidRPr="00005453" w:rsidRDefault="00270A0A" w:rsidP="00270A0A">
            <w:pPr>
              <w:ind w:firstLineChars="100" w:firstLine="180"/>
              <w:rPr>
                <w:i/>
                <w:iCs/>
                <w:color w:val="000000"/>
                <w:sz w:val="18"/>
                <w:szCs w:val="18"/>
                <w:lang w:eastAsia="tr-TR"/>
              </w:rPr>
            </w:pPr>
            <w:r w:rsidRPr="00005453">
              <w:rPr>
                <w:i/>
                <w:iCs/>
                <w:color w:val="000000"/>
                <w:sz w:val="18"/>
                <w:szCs w:val="18"/>
                <w:lang w:eastAsia="tr-TR"/>
              </w:rPr>
              <w:t>TFRS 16 İstisnalarına İlişkin Kiralama Giderleri</w:t>
            </w:r>
          </w:p>
        </w:tc>
        <w:tc>
          <w:tcPr>
            <w:tcW w:w="2274" w:type="dxa"/>
            <w:tcBorders>
              <w:top w:val="nil"/>
              <w:left w:val="nil"/>
              <w:bottom w:val="nil"/>
              <w:right w:val="nil"/>
            </w:tcBorders>
            <w:shd w:val="clear" w:color="auto" w:fill="auto"/>
            <w:vAlign w:val="center"/>
            <w:hideMark/>
          </w:tcPr>
          <w:p w14:paraId="5B3A3715" w14:textId="44CD3E96" w:rsidR="00270A0A" w:rsidRPr="00005453" w:rsidRDefault="006874EA" w:rsidP="00270A0A">
            <w:pPr>
              <w:jc w:val="right"/>
              <w:rPr>
                <w:i/>
                <w:iCs/>
                <w:color w:val="000000"/>
                <w:sz w:val="18"/>
                <w:szCs w:val="18"/>
                <w:lang w:eastAsia="tr-TR"/>
              </w:rPr>
            </w:pPr>
            <w:r w:rsidRPr="00005453">
              <w:rPr>
                <w:i/>
                <w:iCs/>
                <w:color w:val="000000"/>
                <w:sz w:val="18"/>
                <w:szCs w:val="18"/>
              </w:rPr>
              <w:t>5</w:t>
            </w:r>
            <w:r w:rsidR="00270A0A" w:rsidRPr="00005453">
              <w:rPr>
                <w:i/>
                <w:iCs/>
                <w:color w:val="000000"/>
                <w:sz w:val="18"/>
                <w:szCs w:val="18"/>
              </w:rPr>
              <w:t>,</w:t>
            </w:r>
            <w:r w:rsidRPr="00005453">
              <w:rPr>
                <w:i/>
                <w:iCs/>
                <w:color w:val="000000"/>
                <w:sz w:val="18"/>
                <w:szCs w:val="18"/>
              </w:rPr>
              <w:t>067</w:t>
            </w:r>
          </w:p>
        </w:tc>
        <w:tc>
          <w:tcPr>
            <w:tcW w:w="2067" w:type="dxa"/>
            <w:tcBorders>
              <w:top w:val="nil"/>
              <w:left w:val="nil"/>
              <w:bottom w:val="nil"/>
              <w:right w:val="nil"/>
            </w:tcBorders>
            <w:shd w:val="clear" w:color="auto" w:fill="auto"/>
            <w:vAlign w:val="center"/>
            <w:hideMark/>
          </w:tcPr>
          <w:p w14:paraId="63600BA0" w14:textId="15FCC699" w:rsidR="00270A0A" w:rsidRPr="00005453" w:rsidRDefault="00270A0A" w:rsidP="00270A0A">
            <w:pPr>
              <w:jc w:val="right"/>
              <w:rPr>
                <w:i/>
                <w:iCs/>
                <w:color w:val="000000"/>
                <w:sz w:val="18"/>
                <w:szCs w:val="18"/>
                <w:lang w:eastAsia="tr-TR"/>
              </w:rPr>
            </w:pPr>
            <w:r w:rsidRPr="00005453">
              <w:rPr>
                <w:i/>
                <w:iCs/>
                <w:color w:val="000000"/>
                <w:sz w:val="18"/>
                <w:szCs w:val="18"/>
              </w:rPr>
              <w:t>1,773</w:t>
            </w:r>
          </w:p>
        </w:tc>
      </w:tr>
      <w:tr w:rsidR="009A2E5C" w:rsidRPr="00005453" w14:paraId="2EBDA375" w14:textId="77777777" w:rsidTr="00270A0A">
        <w:trPr>
          <w:divId w:val="2120955205"/>
          <w:trHeight w:val="169"/>
        </w:trPr>
        <w:tc>
          <w:tcPr>
            <w:tcW w:w="5005" w:type="dxa"/>
            <w:tcBorders>
              <w:top w:val="nil"/>
              <w:left w:val="nil"/>
              <w:bottom w:val="nil"/>
              <w:right w:val="nil"/>
            </w:tcBorders>
            <w:shd w:val="clear" w:color="auto" w:fill="auto"/>
            <w:noWrap/>
            <w:vAlign w:val="center"/>
            <w:hideMark/>
          </w:tcPr>
          <w:p w14:paraId="149F860F" w14:textId="3226F4EC" w:rsidR="009A2E5C" w:rsidRPr="00005453" w:rsidRDefault="009A2E5C" w:rsidP="009A2E5C">
            <w:pPr>
              <w:ind w:firstLineChars="100" w:firstLine="180"/>
              <w:rPr>
                <w:i/>
                <w:iCs/>
                <w:color w:val="000000"/>
                <w:sz w:val="18"/>
                <w:szCs w:val="18"/>
                <w:lang w:eastAsia="tr-TR"/>
              </w:rPr>
            </w:pPr>
            <w:r w:rsidRPr="00005453">
              <w:rPr>
                <w:i/>
                <w:iCs/>
                <w:color w:val="000000"/>
                <w:sz w:val="18"/>
                <w:szCs w:val="18"/>
                <w:lang w:eastAsia="tr-TR"/>
              </w:rPr>
              <w:t>Diğer Giderler (*)</w:t>
            </w:r>
          </w:p>
        </w:tc>
        <w:tc>
          <w:tcPr>
            <w:tcW w:w="2274" w:type="dxa"/>
            <w:tcBorders>
              <w:top w:val="nil"/>
              <w:left w:val="nil"/>
              <w:bottom w:val="nil"/>
              <w:right w:val="nil"/>
            </w:tcBorders>
            <w:shd w:val="clear" w:color="auto" w:fill="auto"/>
            <w:vAlign w:val="center"/>
            <w:hideMark/>
          </w:tcPr>
          <w:p w14:paraId="46E69E87" w14:textId="727EB49F" w:rsidR="009A2E5C" w:rsidRPr="00005453" w:rsidRDefault="009A2E5C" w:rsidP="009A2E5C">
            <w:pPr>
              <w:jc w:val="right"/>
              <w:rPr>
                <w:i/>
                <w:iCs/>
                <w:color w:val="000000"/>
                <w:sz w:val="18"/>
                <w:szCs w:val="18"/>
                <w:lang w:eastAsia="tr-TR"/>
              </w:rPr>
            </w:pPr>
            <w:r w:rsidRPr="00005453">
              <w:rPr>
                <w:i/>
                <w:iCs/>
                <w:color w:val="000000"/>
                <w:sz w:val="18"/>
                <w:szCs w:val="18"/>
              </w:rPr>
              <w:t>2,093,665</w:t>
            </w:r>
          </w:p>
        </w:tc>
        <w:tc>
          <w:tcPr>
            <w:tcW w:w="2067" w:type="dxa"/>
            <w:tcBorders>
              <w:top w:val="nil"/>
              <w:left w:val="nil"/>
              <w:bottom w:val="nil"/>
              <w:right w:val="nil"/>
            </w:tcBorders>
            <w:shd w:val="clear" w:color="auto" w:fill="auto"/>
            <w:vAlign w:val="center"/>
            <w:hideMark/>
          </w:tcPr>
          <w:p w14:paraId="185C79E9" w14:textId="5B9D85DB" w:rsidR="009A2E5C" w:rsidRPr="00005453" w:rsidRDefault="009A2E5C" w:rsidP="009A2E5C">
            <w:pPr>
              <w:jc w:val="right"/>
              <w:rPr>
                <w:i/>
                <w:iCs/>
                <w:color w:val="000000"/>
                <w:sz w:val="18"/>
                <w:szCs w:val="18"/>
                <w:lang w:eastAsia="tr-TR"/>
              </w:rPr>
            </w:pPr>
            <w:r w:rsidRPr="00005453">
              <w:rPr>
                <w:i/>
                <w:iCs/>
                <w:color w:val="000000"/>
                <w:sz w:val="18"/>
                <w:szCs w:val="18"/>
              </w:rPr>
              <w:t>1,175,194</w:t>
            </w:r>
          </w:p>
        </w:tc>
      </w:tr>
      <w:tr w:rsidR="006874EA" w:rsidRPr="00005453" w14:paraId="0FA24A73" w14:textId="77777777" w:rsidTr="006874EA">
        <w:trPr>
          <w:divId w:val="2120955205"/>
          <w:trHeight w:val="169"/>
        </w:trPr>
        <w:tc>
          <w:tcPr>
            <w:tcW w:w="5005" w:type="dxa"/>
            <w:tcBorders>
              <w:top w:val="nil"/>
              <w:left w:val="nil"/>
              <w:bottom w:val="nil"/>
              <w:right w:val="nil"/>
            </w:tcBorders>
            <w:shd w:val="clear" w:color="auto" w:fill="auto"/>
            <w:noWrap/>
            <w:vAlign w:val="center"/>
            <w:hideMark/>
          </w:tcPr>
          <w:p w14:paraId="3C3481BE" w14:textId="77777777" w:rsidR="006874EA" w:rsidRPr="00005453" w:rsidRDefault="006874EA" w:rsidP="006874EA">
            <w:pPr>
              <w:rPr>
                <w:color w:val="000000"/>
                <w:sz w:val="18"/>
                <w:szCs w:val="18"/>
                <w:lang w:eastAsia="tr-TR"/>
              </w:rPr>
            </w:pPr>
            <w:r w:rsidRPr="00005453">
              <w:rPr>
                <w:color w:val="000000"/>
                <w:sz w:val="18"/>
                <w:szCs w:val="18"/>
                <w:lang w:eastAsia="tr-TR"/>
              </w:rPr>
              <w:t>Aktiflerin Satışından Doğan Zararlar</w:t>
            </w:r>
          </w:p>
        </w:tc>
        <w:tc>
          <w:tcPr>
            <w:tcW w:w="2274" w:type="dxa"/>
            <w:tcBorders>
              <w:top w:val="nil"/>
              <w:left w:val="nil"/>
              <w:bottom w:val="nil"/>
              <w:right w:val="nil"/>
            </w:tcBorders>
            <w:shd w:val="clear" w:color="auto" w:fill="auto"/>
            <w:vAlign w:val="center"/>
            <w:hideMark/>
          </w:tcPr>
          <w:p w14:paraId="45621F61" w14:textId="00441138" w:rsidR="006874EA" w:rsidRPr="00005453" w:rsidRDefault="006874EA" w:rsidP="006874EA">
            <w:pPr>
              <w:jc w:val="right"/>
              <w:rPr>
                <w:color w:val="000000"/>
                <w:sz w:val="18"/>
                <w:szCs w:val="18"/>
                <w:lang w:eastAsia="tr-TR"/>
              </w:rPr>
            </w:pPr>
            <w:r w:rsidRPr="00005453">
              <w:rPr>
                <w:color w:val="000000"/>
                <w:sz w:val="18"/>
                <w:szCs w:val="18"/>
              </w:rPr>
              <w:t>2,082</w:t>
            </w:r>
          </w:p>
        </w:tc>
        <w:tc>
          <w:tcPr>
            <w:tcW w:w="2067" w:type="dxa"/>
            <w:tcBorders>
              <w:top w:val="nil"/>
              <w:left w:val="nil"/>
              <w:bottom w:val="nil"/>
              <w:right w:val="nil"/>
            </w:tcBorders>
            <w:shd w:val="clear" w:color="auto" w:fill="auto"/>
            <w:vAlign w:val="center"/>
            <w:hideMark/>
          </w:tcPr>
          <w:p w14:paraId="605A9F68" w14:textId="3ACABA7F" w:rsidR="006874EA" w:rsidRPr="00005453" w:rsidRDefault="006874EA" w:rsidP="006874EA">
            <w:pPr>
              <w:jc w:val="right"/>
              <w:rPr>
                <w:color w:val="000000"/>
                <w:sz w:val="18"/>
                <w:szCs w:val="18"/>
                <w:lang w:eastAsia="tr-TR"/>
              </w:rPr>
            </w:pPr>
            <w:r w:rsidRPr="00005453">
              <w:rPr>
                <w:color w:val="000000"/>
                <w:sz w:val="18"/>
                <w:szCs w:val="18"/>
              </w:rPr>
              <w:t>6,725</w:t>
            </w:r>
          </w:p>
        </w:tc>
      </w:tr>
      <w:tr w:rsidR="006874EA" w:rsidRPr="00005453" w14:paraId="6D4922D8" w14:textId="77777777" w:rsidTr="006874EA">
        <w:trPr>
          <w:divId w:val="2120955205"/>
          <w:trHeight w:val="169"/>
        </w:trPr>
        <w:tc>
          <w:tcPr>
            <w:tcW w:w="5005" w:type="dxa"/>
            <w:tcBorders>
              <w:top w:val="nil"/>
              <w:left w:val="nil"/>
              <w:bottom w:val="nil"/>
              <w:right w:val="nil"/>
            </w:tcBorders>
            <w:shd w:val="clear" w:color="auto" w:fill="auto"/>
            <w:noWrap/>
            <w:vAlign w:val="center"/>
            <w:hideMark/>
          </w:tcPr>
          <w:p w14:paraId="600EE64E" w14:textId="77777777" w:rsidR="006874EA" w:rsidRPr="00005453" w:rsidRDefault="006874EA" w:rsidP="006874EA">
            <w:pPr>
              <w:rPr>
                <w:color w:val="000000"/>
                <w:sz w:val="18"/>
                <w:szCs w:val="18"/>
                <w:lang w:eastAsia="tr-TR"/>
              </w:rPr>
            </w:pPr>
            <w:r w:rsidRPr="00005453">
              <w:rPr>
                <w:color w:val="000000"/>
                <w:sz w:val="18"/>
                <w:szCs w:val="18"/>
                <w:lang w:eastAsia="tr-TR"/>
              </w:rPr>
              <w:t>Güvence Fonu Gideri</w:t>
            </w:r>
          </w:p>
        </w:tc>
        <w:tc>
          <w:tcPr>
            <w:tcW w:w="2274" w:type="dxa"/>
            <w:tcBorders>
              <w:top w:val="nil"/>
              <w:left w:val="nil"/>
              <w:bottom w:val="nil"/>
              <w:right w:val="nil"/>
            </w:tcBorders>
            <w:shd w:val="clear" w:color="auto" w:fill="auto"/>
            <w:vAlign w:val="center"/>
            <w:hideMark/>
          </w:tcPr>
          <w:p w14:paraId="36A637F2" w14:textId="37F90C91" w:rsidR="006874EA" w:rsidRPr="00005453" w:rsidRDefault="006874EA" w:rsidP="006874EA">
            <w:pPr>
              <w:jc w:val="right"/>
              <w:rPr>
                <w:color w:val="000000"/>
                <w:sz w:val="18"/>
                <w:szCs w:val="18"/>
                <w:lang w:eastAsia="tr-TR"/>
              </w:rPr>
            </w:pPr>
            <w:r w:rsidRPr="00005453">
              <w:rPr>
                <w:color w:val="000000"/>
                <w:sz w:val="18"/>
                <w:szCs w:val="18"/>
              </w:rPr>
              <w:t>1,593,837</w:t>
            </w:r>
          </w:p>
        </w:tc>
        <w:tc>
          <w:tcPr>
            <w:tcW w:w="2067" w:type="dxa"/>
            <w:tcBorders>
              <w:top w:val="nil"/>
              <w:left w:val="nil"/>
              <w:bottom w:val="nil"/>
              <w:right w:val="nil"/>
            </w:tcBorders>
            <w:shd w:val="clear" w:color="auto" w:fill="auto"/>
            <w:vAlign w:val="center"/>
            <w:hideMark/>
          </w:tcPr>
          <w:p w14:paraId="21BD1130" w14:textId="4D1AFEF0" w:rsidR="006874EA" w:rsidRPr="00005453" w:rsidRDefault="006874EA" w:rsidP="006874EA">
            <w:pPr>
              <w:jc w:val="right"/>
              <w:rPr>
                <w:color w:val="000000"/>
                <w:sz w:val="18"/>
                <w:szCs w:val="18"/>
                <w:lang w:eastAsia="tr-TR"/>
              </w:rPr>
            </w:pPr>
            <w:r w:rsidRPr="00005453">
              <w:rPr>
                <w:color w:val="000000"/>
                <w:sz w:val="18"/>
                <w:szCs w:val="18"/>
              </w:rPr>
              <w:t>1,110,880</w:t>
            </w:r>
          </w:p>
        </w:tc>
      </w:tr>
      <w:tr w:rsidR="006874EA" w:rsidRPr="00005453" w14:paraId="3B6F3621" w14:textId="77777777" w:rsidTr="006874EA">
        <w:trPr>
          <w:divId w:val="2120955205"/>
          <w:trHeight w:val="180"/>
        </w:trPr>
        <w:tc>
          <w:tcPr>
            <w:tcW w:w="5005" w:type="dxa"/>
            <w:tcBorders>
              <w:top w:val="nil"/>
              <w:left w:val="nil"/>
              <w:bottom w:val="single" w:sz="8" w:space="0" w:color="auto"/>
              <w:right w:val="nil"/>
            </w:tcBorders>
            <w:shd w:val="clear" w:color="auto" w:fill="auto"/>
            <w:noWrap/>
            <w:vAlign w:val="center"/>
            <w:hideMark/>
          </w:tcPr>
          <w:p w14:paraId="29CAB274" w14:textId="29D153FC" w:rsidR="006874EA" w:rsidRPr="00005453" w:rsidRDefault="006874EA" w:rsidP="006874EA">
            <w:pPr>
              <w:rPr>
                <w:color w:val="000000"/>
                <w:sz w:val="18"/>
                <w:szCs w:val="18"/>
                <w:lang w:eastAsia="tr-TR"/>
              </w:rPr>
            </w:pPr>
            <w:proofErr w:type="gramStart"/>
            <w:r w:rsidRPr="00005453">
              <w:rPr>
                <w:color w:val="000000"/>
                <w:sz w:val="18"/>
                <w:szCs w:val="18"/>
                <w:lang w:eastAsia="tr-TR"/>
              </w:rPr>
              <w:t>Diğer</w:t>
            </w:r>
            <w:r w:rsidR="00E5413B" w:rsidRPr="00005453">
              <w:rPr>
                <w:color w:val="000000"/>
                <w:sz w:val="18"/>
                <w:szCs w:val="18"/>
                <w:lang w:eastAsia="tr-TR"/>
              </w:rPr>
              <w:t>(</w:t>
            </w:r>
            <w:proofErr w:type="gramEnd"/>
            <w:r w:rsidR="00E5413B" w:rsidRPr="00005453">
              <w:rPr>
                <w:color w:val="000000"/>
                <w:sz w:val="18"/>
                <w:szCs w:val="18"/>
                <w:lang w:eastAsia="tr-TR"/>
              </w:rPr>
              <w:t>**)</w:t>
            </w:r>
          </w:p>
        </w:tc>
        <w:tc>
          <w:tcPr>
            <w:tcW w:w="2274" w:type="dxa"/>
            <w:tcBorders>
              <w:top w:val="nil"/>
              <w:left w:val="nil"/>
              <w:bottom w:val="single" w:sz="8" w:space="0" w:color="auto"/>
              <w:right w:val="nil"/>
            </w:tcBorders>
            <w:shd w:val="clear" w:color="auto" w:fill="auto"/>
            <w:vAlign w:val="center"/>
            <w:hideMark/>
          </w:tcPr>
          <w:p w14:paraId="602CDAE3" w14:textId="59BECFC6" w:rsidR="006874EA" w:rsidRPr="00005453" w:rsidRDefault="006874EA" w:rsidP="006874EA">
            <w:pPr>
              <w:jc w:val="right"/>
              <w:rPr>
                <w:color w:val="000000"/>
                <w:sz w:val="18"/>
                <w:szCs w:val="18"/>
                <w:lang w:eastAsia="tr-TR"/>
              </w:rPr>
            </w:pPr>
            <w:r w:rsidRPr="00005453">
              <w:rPr>
                <w:color w:val="000000"/>
                <w:sz w:val="18"/>
                <w:szCs w:val="18"/>
              </w:rPr>
              <w:t>2,604,506</w:t>
            </w:r>
          </w:p>
        </w:tc>
        <w:tc>
          <w:tcPr>
            <w:tcW w:w="2067" w:type="dxa"/>
            <w:tcBorders>
              <w:top w:val="nil"/>
              <w:left w:val="nil"/>
              <w:bottom w:val="single" w:sz="8" w:space="0" w:color="auto"/>
              <w:right w:val="nil"/>
            </w:tcBorders>
            <w:shd w:val="clear" w:color="auto" w:fill="auto"/>
            <w:vAlign w:val="center"/>
            <w:hideMark/>
          </w:tcPr>
          <w:p w14:paraId="33D632FF" w14:textId="35E5E970" w:rsidR="006874EA" w:rsidRPr="00005453" w:rsidRDefault="006874EA" w:rsidP="006874EA">
            <w:pPr>
              <w:jc w:val="right"/>
              <w:rPr>
                <w:color w:val="000000"/>
                <w:sz w:val="18"/>
                <w:szCs w:val="18"/>
                <w:lang w:eastAsia="tr-TR"/>
              </w:rPr>
            </w:pPr>
            <w:r w:rsidRPr="00005453">
              <w:rPr>
                <w:color w:val="000000"/>
                <w:sz w:val="18"/>
                <w:szCs w:val="18"/>
              </w:rPr>
              <w:t>923,351</w:t>
            </w:r>
          </w:p>
        </w:tc>
      </w:tr>
      <w:tr w:rsidR="006874EA" w:rsidRPr="00005453" w14:paraId="627956E5" w14:textId="77777777" w:rsidTr="006874EA">
        <w:trPr>
          <w:divId w:val="2120955205"/>
          <w:trHeight w:val="180"/>
        </w:trPr>
        <w:tc>
          <w:tcPr>
            <w:tcW w:w="5005" w:type="dxa"/>
            <w:tcBorders>
              <w:top w:val="nil"/>
              <w:left w:val="nil"/>
              <w:bottom w:val="double" w:sz="6" w:space="0" w:color="auto"/>
              <w:right w:val="nil"/>
            </w:tcBorders>
            <w:shd w:val="clear" w:color="auto" w:fill="auto"/>
            <w:vAlign w:val="center"/>
            <w:hideMark/>
          </w:tcPr>
          <w:p w14:paraId="347C737E" w14:textId="77777777" w:rsidR="006874EA" w:rsidRPr="00005453" w:rsidRDefault="006874EA" w:rsidP="006874EA">
            <w:pPr>
              <w:rPr>
                <w:b/>
                <w:bCs/>
                <w:color w:val="000000"/>
                <w:sz w:val="18"/>
                <w:szCs w:val="18"/>
                <w:lang w:eastAsia="tr-TR"/>
              </w:rPr>
            </w:pPr>
            <w:r w:rsidRPr="00005453">
              <w:rPr>
                <w:b/>
                <w:bCs/>
                <w:color w:val="000000"/>
                <w:sz w:val="18"/>
                <w:szCs w:val="18"/>
                <w:lang w:eastAsia="tr-TR"/>
              </w:rPr>
              <w:t>Toplam</w:t>
            </w:r>
          </w:p>
        </w:tc>
        <w:tc>
          <w:tcPr>
            <w:tcW w:w="2274" w:type="dxa"/>
            <w:tcBorders>
              <w:top w:val="nil"/>
              <w:left w:val="nil"/>
              <w:bottom w:val="double" w:sz="6" w:space="0" w:color="auto"/>
              <w:right w:val="nil"/>
            </w:tcBorders>
            <w:shd w:val="clear" w:color="auto" w:fill="auto"/>
            <w:vAlign w:val="center"/>
            <w:hideMark/>
          </w:tcPr>
          <w:p w14:paraId="25678B02" w14:textId="13E3A25D" w:rsidR="006874EA" w:rsidRPr="00005453" w:rsidRDefault="006874EA" w:rsidP="006874EA">
            <w:pPr>
              <w:jc w:val="right"/>
              <w:rPr>
                <w:b/>
                <w:bCs/>
                <w:color w:val="000000"/>
                <w:sz w:val="18"/>
                <w:szCs w:val="18"/>
                <w:lang w:eastAsia="tr-TR"/>
              </w:rPr>
            </w:pPr>
            <w:r w:rsidRPr="00005453">
              <w:rPr>
                <w:b/>
                <w:bCs/>
                <w:color w:val="000000"/>
                <w:sz w:val="18"/>
                <w:szCs w:val="18"/>
              </w:rPr>
              <w:t>10,085,900</w:t>
            </w:r>
          </w:p>
        </w:tc>
        <w:tc>
          <w:tcPr>
            <w:tcW w:w="2067" w:type="dxa"/>
            <w:tcBorders>
              <w:top w:val="nil"/>
              <w:left w:val="nil"/>
              <w:bottom w:val="double" w:sz="6" w:space="0" w:color="auto"/>
              <w:right w:val="nil"/>
            </w:tcBorders>
            <w:shd w:val="clear" w:color="auto" w:fill="auto"/>
            <w:vAlign w:val="center"/>
            <w:hideMark/>
          </w:tcPr>
          <w:p w14:paraId="104C843A" w14:textId="4CB53FE4" w:rsidR="006874EA" w:rsidRPr="00005453" w:rsidRDefault="006874EA" w:rsidP="006874EA">
            <w:pPr>
              <w:jc w:val="right"/>
              <w:rPr>
                <w:b/>
                <w:bCs/>
                <w:color w:val="000000"/>
                <w:sz w:val="18"/>
                <w:szCs w:val="18"/>
                <w:lang w:eastAsia="tr-TR"/>
              </w:rPr>
            </w:pPr>
            <w:r w:rsidRPr="00005453">
              <w:rPr>
                <w:b/>
                <w:bCs/>
                <w:color w:val="000000"/>
                <w:sz w:val="18"/>
                <w:szCs w:val="18"/>
              </w:rPr>
              <w:t>5,189,148</w:t>
            </w:r>
          </w:p>
        </w:tc>
      </w:tr>
    </w:tbl>
    <w:p w14:paraId="409D32E2" w14:textId="7146C9FC" w:rsidR="009A7395" w:rsidRPr="00005453" w:rsidRDefault="009A7395" w:rsidP="00973355">
      <w:pPr>
        <w:autoSpaceDE w:val="0"/>
        <w:autoSpaceDN w:val="0"/>
        <w:adjustRightInd w:val="0"/>
        <w:rPr>
          <w:color w:val="000000"/>
          <w:spacing w:val="-6"/>
          <w:sz w:val="10"/>
          <w:szCs w:val="10"/>
        </w:rPr>
      </w:pPr>
    </w:p>
    <w:p w14:paraId="32CD935D" w14:textId="4ABBCF2A" w:rsidR="00BB3E52" w:rsidRPr="00005453" w:rsidRDefault="00462F03" w:rsidP="00BB3E52">
      <w:pPr>
        <w:pStyle w:val="CommentText"/>
        <w:ind w:left="284" w:hanging="284"/>
        <w:jc w:val="both"/>
        <w:rPr>
          <w:color w:val="000000"/>
          <w:spacing w:val="-6"/>
          <w:sz w:val="18"/>
          <w:szCs w:val="18"/>
        </w:rPr>
      </w:pPr>
      <w:r w:rsidRPr="00005453">
        <w:rPr>
          <w:color w:val="000000"/>
          <w:spacing w:val="-6"/>
          <w:sz w:val="18"/>
          <w:szCs w:val="18"/>
        </w:rPr>
        <w:t>(*</w:t>
      </w:r>
      <w:proofErr w:type="gramStart"/>
      <w:r w:rsidRPr="00005453">
        <w:rPr>
          <w:color w:val="000000"/>
          <w:spacing w:val="-6"/>
          <w:sz w:val="18"/>
          <w:szCs w:val="18"/>
        </w:rPr>
        <w:t xml:space="preserve">)  </w:t>
      </w:r>
      <w:r w:rsidR="00161979" w:rsidRPr="00005453">
        <w:rPr>
          <w:color w:val="000000"/>
          <w:spacing w:val="-6"/>
          <w:sz w:val="18"/>
          <w:szCs w:val="18"/>
        </w:rPr>
        <w:t>Diğer</w:t>
      </w:r>
      <w:proofErr w:type="gramEnd"/>
      <w:r w:rsidR="00161979" w:rsidRPr="00005453">
        <w:rPr>
          <w:color w:val="000000"/>
          <w:spacing w:val="-6"/>
          <w:sz w:val="18"/>
          <w:szCs w:val="18"/>
        </w:rPr>
        <w:t xml:space="preserve"> Giderler kalemi </w:t>
      </w:r>
      <w:r w:rsidRPr="00005453">
        <w:rPr>
          <w:color w:val="000000"/>
          <w:spacing w:val="-6"/>
          <w:sz w:val="18"/>
          <w:szCs w:val="18"/>
        </w:rPr>
        <w:t>31 Aralık 202</w:t>
      </w:r>
      <w:r w:rsidR="00270A0A" w:rsidRPr="00005453">
        <w:rPr>
          <w:color w:val="000000"/>
          <w:spacing w:val="-6"/>
          <w:sz w:val="18"/>
          <w:szCs w:val="18"/>
        </w:rPr>
        <w:t>4</w:t>
      </w:r>
      <w:r w:rsidRPr="00005453">
        <w:rPr>
          <w:color w:val="000000"/>
          <w:spacing w:val="-6"/>
          <w:sz w:val="18"/>
          <w:szCs w:val="18"/>
        </w:rPr>
        <w:t xml:space="preserve"> tarihi itibarıyla</w:t>
      </w:r>
      <w:r w:rsidR="00161979" w:rsidRPr="00005453">
        <w:rPr>
          <w:color w:val="000000"/>
          <w:spacing w:val="-6"/>
          <w:sz w:val="18"/>
          <w:szCs w:val="18"/>
        </w:rPr>
        <w:t xml:space="preserve"> başlıca</w:t>
      </w:r>
      <w:r w:rsidRPr="00005453">
        <w:rPr>
          <w:color w:val="000000"/>
          <w:spacing w:val="-6"/>
          <w:sz w:val="18"/>
          <w:szCs w:val="18"/>
        </w:rPr>
        <w:t xml:space="preserve"> </w:t>
      </w:r>
      <w:r w:rsidR="00E20ACD" w:rsidRPr="00005453">
        <w:rPr>
          <w:color w:val="000000"/>
          <w:spacing w:val="-6"/>
          <w:sz w:val="18"/>
          <w:szCs w:val="18"/>
        </w:rPr>
        <w:t>787,644</w:t>
      </w:r>
      <w:r w:rsidRPr="00005453">
        <w:rPr>
          <w:color w:val="000000"/>
          <w:spacing w:val="-6"/>
          <w:sz w:val="18"/>
          <w:szCs w:val="18"/>
        </w:rPr>
        <w:t xml:space="preserve"> TL</w:t>
      </w:r>
      <w:r w:rsidRPr="00005453" w:rsidDel="00443D75">
        <w:rPr>
          <w:color w:val="000000"/>
          <w:spacing w:val="-6"/>
          <w:sz w:val="18"/>
          <w:szCs w:val="18"/>
        </w:rPr>
        <w:t xml:space="preserve"> </w:t>
      </w:r>
      <w:r w:rsidRPr="00005453">
        <w:rPr>
          <w:color w:val="000000"/>
          <w:spacing w:val="-6"/>
          <w:sz w:val="18"/>
          <w:szCs w:val="18"/>
        </w:rPr>
        <w:t xml:space="preserve"> (31 Aralık 202</w:t>
      </w:r>
      <w:r w:rsidR="00270A0A" w:rsidRPr="00005453">
        <w:rPr>
          <w:color w:val="000000"/>
          <w:spacing w:val="-6"/>
          <w:sz w:val="18"/>
          <w:szCs w:val="18"/>
        </w:rPr>
        <w:t>3</w:t>
      </w:r>
      <w:r w:rsidRPr="00005453">
        <w:rPr>
          <w:color w:val="000000"/>
          <w:spacing w:val="-6"/>
          <w:sz w:val="18"/>
          <w:szCs w:val="18"/>
        </w:rPr>
        <w:t xml:space="preserve"> – </w:t>
      </w:r>
      <w:r w:rsidR="00270A0A" w:rsidRPr="00005453">
        <w:rPr>
          <w:color w:val="000000"/>
          <w:spacing w:val="-6"/>
          <w:sz w:val="18"/>
          <w:szCs w:val="18"/>
        </w:rPr>
        <w:t>460</w:t>
      </w:r>
      <w:r w:rsidR="006573A0" w:rsidRPr="00005453">
        <w:rPr>
          <w:color w:val="000000"/>
          <w:spacing w:val="-6"/>
          <w:sz w:val="18"/>
          <w:szCs w:val="18"/>
        </w:rPr>
        <w:t>,</w:t>
      </w:r>
      <w:r w:rsidR="00270A0A" w:rsidRPr="00005453">
        <w:rPr>
          <w:color w:val="000000"/>
          <w:spacing w:val="-6"/>
          <w:sz w:val="18"/>
          <w:szCs w:val="18"/>
        </w:rPr>
        <w:t>121</w:t>
      </w:r>
      <w:r w:rsidR="00911789" w:rsidRPr="00005453">
        <w:rPr>
          <w:color w:val="000000"/>
          <w:spacing w:val="-6"/>
          <w:sz w:val="18"/>
          <w:szCs w:val="18"/>
        </w:rPr>
        <w:t xml:space="preserve"> </w:t>
      </w:r>
      <w:r w:rsidRPr="00005453">
        <w:rPr>
          <w:color w:val="000000"/>
          <w:spacing w:val="-6"/>
          <w:sz w:val="18"/>
          <w:szCs w:val="18"/>
        </w:rPr>
        <w:t>TL) tutarında “Kredi Kartlarına İlişkin Promosyon Uygulama Giderleri”</w:t>
      </w:r>
      <w:r w:rsidR="00161979" w:rsidRPr="00005453">
        <w:rPr>
          <w:color w:val="000000"/>
          <w:spacing w:val="-6"/>
          <w:sz w:val="18"/>
          <w:szCs w:val="18"/>
        </w:rPr>
        <w:t xml:space="preserve"> hesabına,</w:t>
      </w:r>
      <w:r w:rsidRPr="00005453">
        <w:rPr>
          <w:color w:val="000000"/>
          <w:spacing w:val="-6"/>
          <w:sz w:val="18"/>
          <w:szCs w:val="18"/>
        </w:rPr>
        <w:t xml:space="preserve"> </w:t>
      </w:r>
      <w:r w:rsidR="00E20ACD" w:rsidRPr="00005453">
        <w:rPr>
          <w:color w:val="000000"/>
          <w:spacing w:val="-6"/>
          <w:sz w:val="18"/>
          <w:szCs w:val="18"/>
        </w:rPr>
        <w:t>453</w:t>
      </w:r>
      <w:r w:rsidR="00B853FB" w:rsidRPr="00005453">
        <w:rPr>
          <w:color w:val="000000"/>
          <w:spacing w:val="-6"/>
          <w:sz w:val="18"/>
          <w:szCs w:val="18"/>
        </w:rPr>
        <w:t>,</w:t>
      </w:r>
      <w:r w:rsidR="00E20ACD" w:rsidRPr="00005453">
        <w:rPr>
          <w:color w:val="000000"/>
          <w:spacing w:val="-6"/>
          <w:sz w:val="18"/>
          <w:szCs w:val="18"/>
        </w:rPr>
        <w:t>881</w:t>
      </w:r>
      <w:r w:rsidRPr="00005453">
        <w:rPr>
          <w:color w:val="000000"/>
          <w:spacing w:val="-6"/>
          <w:sz w:val="18"/>
          <w:szCs w:val="18"/>
        </w:rPr>
        <w:t xml:space="preserve"> TL</w:t>
      </w:r>
      <w:r w:rsidRPr="00005453" w:rsidDel="00443D75">
        <w:rPr>
          <w:color w:val="000000"/>
          <w:spacing w:val="-6"/>
          <w:sz w:val="18"/>
          <w:szCs w:val="18"/>
        </w:rPr>
        <w:t xml:space="preserve"> </w:t>
      </w:r>
      <w:r w:rsidR="0042592A" w:rsidRPr="00005453">
        <w:rPr>
          <w:color w:val="000000"/>
          <w:spacing w:val="-6"/>
          <w:sz w:val="18"/>
          <w:szCs w:val="18"/>
        </w:rPr>
        <w:t>(31 Aralık 202</w:t>
      </w:r>
      <w:r w:rsidR="00270A0A" w:rsidRPr="00005453">
        <w:rPr>
          <w:color w:val="000000"/>
          <w:spacing w:val="-6"/>
          <w:sz w:val="18"/>
          <w:szCs w:val="18"/>
        </w:rPr>
        <w:t>3</w:t>
      </w:r>
      <w:r w:rsidR="0042592A" w:rsidRPr="00005453">
        <w:rPr>
          <w:color w:val="000000"/>
          <w:spacing w:val="-6"/>
          <w:sz w:val="18"/>
          <w:szCs w:val="18"/>
        </w:rPr>
        <w:t xml:space="preserve"> – </w:t>
      </w:r>
      <w:r w:rsidR="00270A0A" w:rsidRPr="00005453">
        <w:rPr>
          <w:color w:val="000000"/>
          <w:spacing w:val="-6"/>
          <w:sz w:val="18"/>
          <w:szCs w:val="18"/>
        </w:rPr>
        <w:t>227</w:t>
      </w:r>
      <w:r w:rsidR="0042592A" w:rsidRPr="00005453">
        <w:rPr>
          <w:color w:val="000000"/>
          <w:spacing w:val="-6"/>
          <w:sz w:val="18"/>
          <w:szCs w:val="18"/>
        </w:rPr>
        <w:t>,</w:t>
      </w:r>
      <w:r w:rsidR="00270A0A" w:rsidRPr="00005453">
        <w:rPr>
          <w:color w:val="000000"/>
          <w:spacing w:val="-6"/>
          <w:sz w:val="18"/>
          <w:szCs w:val="18"/>
        </w:rPr>
        <w:t>164</w:t>
      </w:r>
      <w:r w:rsidR="0042592A" w:rsidRPr="00005453">
        <w:rPr>
          <w:color w:val="000000"/>
          <w:spacing w:val="-6"/>
          <w:sz w:val="18"/>
          <w:szCs w:val="18"/>
        </w:rPr>
        <w:t xml:space="preserve"> TL)</w:t>
      </w:r>
      <w:r w:rsidRPr="00005453">
        <w:rPr>
          <w:color w:val="000000"/>
          <w:spacing w:val="-6"/>
          <w:sz w:val="18"/>
          <w:szCs w:val="18"/>
        </w:rPr>
        <w:t xml:space="preserve"> tutarındaki “</w:t>
      </w:r>
      <w:r w:rsidR="00B853FB" w:rsidRPr="00005453">
        <w:rPr>
          <w:color w:val="000000"/>
          <w:spacing w:val="-6"/>
          <w:sz w:val="18"/>
          <w:szCs w:val="18"/>
        </w:rPr>
        <w:t>Dış Kaynaklı İkram Personeli Hizmet Gideri”</w:t>
      </w:r>
      <w:r w:rsidRPr="00005453">
        <w:rPr>
          <w:color w:val="000000"/>
          <w:spacing w:val="-6"/>
          <w:sz w:val="18"/>
          <w:szCs w:val="18"/>
        </w:rPr>
        <w:t xml:space="preserve"> hesabı</w:t>
      </w:r>
      <w:r w:rsidR="00161979" w:rsidRPr="00005453">
        <w:rPr>
          <w:color w:val="000000"/>
          <w:spacing w:val="-6"/>
          <w:sz w:val="18"/>
          <w:szCs w:val="18"/>
        </w:rPr>
        <w:t>na</w:t>
      </w:r>
      <w:r w:rsidR="00D244EF" w:rsidRPr="00005453">
        <w:rPr>
          <w:color w:val="000000"/>
          <w:spacing w:val="-6"/>
          <w:sz w:val="18"/>
          <w:szCs w:val="18"/>
        </w:rPr>
        <w:t xml:space="preserve"> ve 139,924 TL</w:t>
      </w:r>
      <w:r w:rsidR="00240545" w:rsidRPr="00005453">
        <w:rPr>
          <w:color w:val="000000"/>
          <w:spacing w:val="-6"/>
          <w:sz w:val="18"/>
          <w:szCs w:val="18"/>
        </w:rPr>
        <w:t xml:space="preserve"> (31 Aralık 2023</w:t>
      </w:r>
      <w:r w:rsidR="00D244EF" w:rsidRPr="00005453">
        <w:rPr>
          <w:color w:val="000000"/>
          <w:spacing w:val="-6"/>
          <w:sz w:val="18"/>
          <w:szCs w:val="18"/>
        </w:rPr>
        <w:t xml:space="preserve"> </w:t>
      </w:r>
      <w:r w:rsidR="00240545" w:rsidRPr="00005453">
        <w:rPr>
          <w:color w:val="000000"/>
          <w:spacing w:val="-6"/>
          <w:sz w:val="18"/>
          <w:szCs w:val="18"/>
        </w:rPr>
        <w:t xml:space="preserve">– 48,712 TL) </w:t>
      </w:r>
      <w:r w:rsidR="00D244EF" w:rsidRPr="00005453">
        <w:rPr>
          <w:color w:val="000000"/>
          <w:spacing w:val="-6"/>
          <w:sz w:val="18"/>
          <w:szCs w:val="18"/>
        </w:rPr>
        <w:t>Emekli Maaş Ödemeleri Promosyon Uygulaması Giderleri</w:t>
      </w:r>
      <w:r w:rsidR="00161979" w:rsidRPr="00005453">
        <w:rPr>
          <w:color w:val="000000"/>
          <w:spacing w:val="-6"/>
          <w:sz w:val="18"/>
          <w:szCs w:val="18"/>
        </w:rPr>
        <w:t xml:space="preserve"> </w:t>
      </w:r>
      <w:r w:rsidR="00D244EF" w:rsidRPr="00005453">
        <w:rPr>
          <w:color w:val="000000"/>
          <w:spacing w:val="-6"/>
          <w:sz w:val="18"/>
          <w:szCs w:val="18"/>
        </w:rPr>
        <w:t xml:space="preserve">hesabına </w:t>
      </w:r>
      <w:r w:rsidR="00161979" w:rsidRPr="00005453">
        <w:rPr>
          <w:color w:val="000000"/>
          <w:spacing w:val="-6"/>
          <w:sz w:val="18"/>
          <w:szCs w:val="18"/>
        </w:rPr>
        <w:t>ilişkin tutarları içermektedir</w:t>
      </w:r>
      <w:r w:rsidR="0042592A" w:rsidRPr="00005453">
        <w:rPr>
          <w:color w:val="000000"/>
          <w:spacing w:val="-6"/>
          <w:sz w:val="18"/>
          <w:szCs w:val="18"/>
        </w:rPr>
        <w:t>.</w:t>
      </w:r>
    </w:p>
    <w:p w14:paraId="2207601E" w14:textId="16A8CA0C" w:rsidR="00E5413B" w:rsidRPr="00005453" w:rsidRDefault="00E5413B" w:rsidP="00BB3E52">
      <w:pPr>
        <w:pStyle w:val="CommentText"/>
        <w:ind w:left="284" w:hanging="284"/>
        <w:jc w:val="both"/>
        <w:rPr>
          <w:color w:val="000000"/>
          <w:spacing w:val="-6"/>
          <w:sz w:val="18"/>
          <w:szCs w:val="18"/>
        </w:rPr>
      </w:pPr>
      <w:r w:rsidRPr="00005453">
        <w:rPr>
          <w:color w:val="000000"/>
          <w:spacing w:val="-6"/>
          <w:sz w:val="18"/>
          <w:szCs w:val="18"/>
        </w:rPr>
        <w:t>(**) Diğer kalemi 31 Aralık 2024 tarihi itibarıyla başlıca 1,023,985 TL Banka ve Sigorta Muameleleri Vergisi, 547,392 TL Finansal Faaliyet Harçları, 294,263 TL Sözleşmeli Avukatlık ve Hukuk Danışmanlığı, 194,088 TL Kıymetli Madenler BSMV Gideri, 122,571 TL Alım Satım Amaçlı Kira Sertifikası BSMV Gideri ve 115,623 TL Bankacılık Düzenleme ve Denetleme Kurumu Katılım Payı hesabına ilişkin tutarlardan oluşmaktadır.</w:t>
      </w:r>
    </w:p>
    <w:p w14:paraId="075555CA" w14:textId="6FC8EC4A" w:rsidR="009955D8" w:rsidRPr="00005453" w:rsidRDefault="009955D8" w:rsidP="00973355">
      <w:pPr>
        <w:pStyle w:val="CommentText"/>
        <w:rPr>
          <w:color w:val="000000"/>
          <w:spacing w:val="-6"/>
          <w:sz w:val="18"/>
          <w:szCs w:val="18"/>
        </w:rPr>
      </w:pPr>
    </w:p>
    <w:p w14:paraId="3BB02528" w14:textId="45530081" w:rsidR="00F71405" w:rsidRPr="00005453" w:rsidRDefault="00F71405" w:rsidP="00F4573D">
      <w:pPr>
        <w:pStyle w:val="CommentText"/>
        <w:jc w:val="both"/>
      </w:pPr>
      <w:r w:rsidRPr="00005453">
        <w:t>KGK’n</w:t>
      </w:r>
      <w:r w:rsidR="00842CF3" w:rsidRPr="00005453">
        <w:t>i</w:t>
      </w:r>
      <w:r w:rsidRPr="00005453">
        <w:t>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w:t>
      </w:r>
      <w:r w:rsidR="00F4573D" w:rsidRPr="00005453">
        <w:t xml:space="preserve"> Tabloda verilen ücret bilgileri KDV hariç bilgilerdir.</w:t>
      </w:r>
    </w:p>
    <w:p w14:paraId="41D2457A" w14:textId="77777777" w:rsidR="00F71405" w:rsidRPr="00005453" w:rsidRDefault="00F71405" w:rsidP="00973355">
      <w:pPr>
        <w:pStyle w:val="CommentText"/>
      </w:pPr>
    </w:p>
    <w:tbl>
      <w:tblPr>
        <w:tblW w:w="9214" w:type="dxa"/>
        <w:tblCellMar>
          <w:left w:w="70" w:type="dxa"/>
          <w:right w:w="70" w:type="dxa"/>
        </w:tblCellMar>
        <w:tblLook w:val="04A0" w:firstRow="1" w:lastRow="0" w:firstColumn="1" w:lastColumn="0" w:noHBand="0" w:noVBand="1"/>
      </w:tblPr>
      <w:tblGrid>
        <w:gridCol w:w="4253"/>
        <w:gridCol w:w="2551"/>
        <w:gridCol w:w="2410"/>
      </w:tblGrid>
      <w:tr w:rsidR="009955D8" w:rsidRPr="00005453" w14:paraId="6AC11786" w14:textId="77777777" w:rsidTr="00AF1557">
        <w:trPr>
          <w:trHeight w:val="351"/>
        </w:trPr>
        <w:tc>
          <w:tcPr>
            <w:tcW w:w="4253" w:type="dxa"/>
            <w:tcBorders>
              <w:top w:val="single" w:sz="4" w:space="0" w:color="auto"/>
              <w:left w:val="nil"/>
              <w:bottom w:val="single" w:sz="4" w:space="0" w:color="auto"/>
              <w:right w:val="nil"/>
            </w:tcBorders>
            <w:shd w:val="clear" w:color="auto" w:fill="auto"/>
            <w:vAlign w:val="center"/>
            <w:hideMark/>
          </w:tcPr>
          <w:p w14:paraId="37F603B8" w14:textId="77777777" w:rsidR="009955D8" w:rsidRPr="00005453" w:rsidRDefault="009955D8">
            <w:pPr>
              <w:rPr>
                <w:b/>
                <w:bCs/>
                <w:color w:val="000000"/>
                <w:sz w:val="18"/>
                <w:szCs w:val="18"/>
                <w:lang w:eastAsia="tr-TR"/>
              </w:rPr>
            </w:pPr>
            <w:r w:rsidRPr="00005453">
              <w:rPr>
                <w:b/>
                <w:bCs/>
                <w:color w:val="000000"/>
                <w:sz w:val="18"/>
                <w:szCs w:val="18"/>
                <w:lang w:eastAsia="tr-TR"/>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73F98B19" w14:textId="731F6981" w:rsidR="009955D8" w:rsidRPr="00005453" w:rsidRDefault="00F71405">
            <w:pPr>
              <w:jc w:val="right"/>
              <w:rPr>
                <w:b/>
                <w:bCs/>
                <w:color w:val="000000"/>
                <w:sz w:val="18"/>
                <w:szCs w:val="18"/>
                <w:lang w:eastAsia="tr-TR"/>
              </w:rPr>
            </w:pPr>
            <w:r w:rsidRPr="00005453">
              <w:rPr>
                <w:b/>
                <w:bCs/>
                <w:color w:val="000000"/>
                <w:sz w:val="18"/>
                <w:szCs w:val="18"/>
                <w:lang w:eastAsia="tr-TR"/>
              </w:rPr>
              <w:t>Grup denetçisi</w:t>
            </w:r>
            <w:r w:rsidR="00E2792B" w:rsidRPr="00005453">
              <w:rPr>
                <w:b/>
                <w:bCs/>
                <w:color w:val="000000"/>
                <w:sz w:val="18"/>
                <w:szCs w:val="18"/>
                <w:lang w:eastAsia="tr-TR"/>
              </w:rPr>
              <w:t xml:space="preserve">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475A3571" w14:textId="60706BD6" w:rsidR="009955D8" w:rsidRPr="00005453" w:rsidRDefault="009955D8">
            <w:pPr>
              <w:jc w:val="right"/>
              <w:rPr>
                <w:b/>
                <w:bCs/>
                <w:color w:val="000000"/>
                <w:sz w:val="18"/>
                <w:szCs w:val="18"/>
                <w:lang w:eastAsia="tr-TR"/>
              </w:rPr>
            </w:pPr>
            <w:r w:rsidRPr="00005453">
              <w:rPr>
                <w:b/>
                <w:bCs/>
                <w:color w:val="000000"/>
                <w:sz w:val="18"/>
                <w:szCs w:val="18"/>
                <w:lang w:eastAsia="tr-TR"/>
              </w:rPr>
              <w:t xml:space="preserve">Diğer Bağımsız </w:t>
            </w:r>
            <w:r w:rsidR="00490692" w:rsidRPr="00005453">
              <w:rPr>
                <w:b/>
                <w:bCs/>
                <w:color w:val="000000"/>
                <w:sz w:val="18"/>
                <w:szCs w:val="18"/>
                <w:lang w:eastAsia="tr-TR"/>
              </w:rPr>
              <w:t>Denetim</w:t>
            </w:r>
            <w:r w:rsidR="00E2792B" w:rsidRPr="00005453">
              <w:rPr>
                <w:b/>
                <w:bCs/>
                <w:color w:val="000000"/>
                <w:sz w:val="18"/>
                <w:szCs w:val="18"/>
                <w:lang w:eastAsia="tr-TR"/>
              </w:rPr>
              <w:t xml:space="preserve"> şirketleri tarafından verilen bağımsız denetim hizmetleri</w:t>
            </w:r>
          </w:p>
        </w:tc>
      </w:tr>
      <w:tr w:rsidR="00C1515A" w:rsidRPr="00005453" w14:paraId="37C13AFF" w14:textId="77777777" w:rsidTr="0056432D">
        <w:trPr>
          <w:trHeight w:val="220"/>
        </w:trPr>
        <w:tc>
          <w:tcPr>
            <w:tcW w:w="4253" w:type="dxa"/>
            <w:tcBorders>
              <w:top w:val="nil"/>
              <w:left w:val="nil"/>
              <w:bottom w:val="nil"/>
              <w:right w:val="nil"/>
            </w:tcBorders>
            <w:shd w:val="clear" w:color="auto" w:fill="auto"/>
            <w:vAlign w:val="bottom"/>
            <w:hideMark/>
          </w:tcPr>
          <w:p w14:paraId="0CB069F7" w14:textId="0BE254A0" w:rsidR="00C1515A" w:rsidRPr="00005453" w:rsidRDefault="00C1515A" w:rsidP="00C1515A">
            <w:pPr>
              <w:rPr>
                <w:color w:val="000000"/>
                <w:sz w:val="18"/>
                <w:szCs w:val="18"/>
                <w:lang w:eastAsia="tr-TR"/>
              </w:rPr>
            </w:pPr>
            <w:r w:rsidRPr="00005453">
              <w:rPr>
                <w:color w:val="000000"/>
                <w:sz w:val="18"/>
                <w:szCs w:val="18"/>
                <w:lang w:eastAsia="tr-TR"/>
              </w:rPr>
              <w:t xml:space="preserve">Raporlama dönemine ait bağımsız denetim ücreti </w:t>
            </w:r>
            <w:r w:rsidRPr="00005453">
              <w:rPr>
                <w:color w:val="000000"/>
                <w:sz w:val="18"/>
                <w:szCs w:val="18"/>
                <w:vertAlign w:val="superscript"/>
                <w:lang w:eastAsia="tr-TR"/>
              </w:rPr>
              <w:t>(*)</w:t>
            </w:r>
          </w:p>
        </w:tc>
        <w:tc>
          <w:tcPr>
            <w:tcW w:w="2551" w:type="dxa"/>
            <w:tcBorders>
              <w:top w:val="nil"/>
              <w:left w:val="nil"/>
              <w:bottom w:val="nil"/>
              <w:right w:val="nil"/>
            </w:tcBorders>
            <w:shd w:val="clear" w:color="auto" w:fill="auto"/>
            <w:noWrap/>
            <w:vAlign w:val="center"/>
            <w:hideMark/>
          </w:tcPr>
          <w:p w14:paraId="66DDECFD" w14:textId="552117F6" w:rsidR="00C1515A" w:rsidRPr="0056432D" w:rsidRDefault="00C1515A" w:rsidP="00C1515A">
            <w:pPr>
              <w:jc w:val="right"/>
              <w:rPr>
                <w:color w:val="000000"/>
                <w:sz w:val="18"/>
                <w:szCs w:val="18"/>
                <w:lang w:eastAsia="tr-TR"/>
              </w:rPr>
            </w:pPr>
            <w:r w:rsidRPr="001C4C0C">
              <w:rPr>
                <w:color w:val="000000"/>
                <w:sz w:val="18"/>
              </w:rPr>
              <w:t>55,238</w:t>
            </w:r>
          </w:p>
        </w:tc>
        <w:tc>
          <w:tcPr>
            <w:tcW w:w="2410" w:type="dxa"/>
            <w:tcBorders>
              <w:top w:val="nil"/>
              <w:left w:val="nil"/>
              <w:bottom w:val="nil"/>
              <w:right w:val="nil"/>
            </w:tcBorders>
            <w:shd w:val="clear" w:color="auto" w:fill="auto"/>
            <w:noWrap/>
            <w:vAlign w:val="center"/>
            <w:hideMark/>
          </w:tcPr>
          <w:p w14:paraId="6AD991F4" w14:textId="4AC8B27D" w:rsidR="00C1515A" w:rsidRPr="0056432D" w:rsidRDefault="00C1515A" w:rsidP="00C1515A">
            <w:pPr>
              <w:jc w:val="right"/>
              <w:rPr>
                <w:color w:val="000000"/>
                <w:sz w:val="18"/>
                <w:szCs w:val="18"/>
                <w:lang w:eastAsia="tr-TR"/>
              </w:rPr>
            </w:pPr>
            <w:r w:rsidRPr="001C4C0C">
              <w:rPr>
                <w:color w:val="000000"/>
                <w:sz w:val="18"/>
              </w:rPr>
              <w:t>883</w:t>
            </w:r>
          </w:p>
        </w:tc>
      </w:tr>
      <w:tr w:rsidR="00C1515A" w:rsidRPr="00005453" w14:paraId="53660C39" w14:textId="77777777" w:rsidTr="00126698">
        <w:trPr>
          <w:trHeight w:val="220"/>
        </w:trPr>
        <w:tc>
          <w:tcPr>
            <w:tcW w:w="4253" w:type="dxa"/>
            <w:tcBorders>
              <w:top w:val="nil"/>
              <w:left w:val="nil"/>
              <w:bottom w:val="nil"/>
              <w:right w:val="nil"/>
            </w:tcBorders>
            <w:shd w:val="clear" w:color="auto" w:fill="auto"/>
            <w:vAlign w:val="bottom"/>
            <w:hideMark/>
          </w:tcPr>
          <w:p w14:paraId="0B011E22" w14:textId="7F9E3593" w:rsidR="00C1515A" w:rsidRPr="00005453" w:rsidRDefault="00C1515A" w:rsidP="00C1515A">
            <w:pPr>
              <w:rPr>
                <w:color w:val="000000"/>
                <w:sz w:val="18"/>
                <w:szCs w:val="18"/>
                <w:lang w:eastAsia="tr-TR"/>
              </w:rPr>
            </w:pPr>
            <w:r w:rsidRPr="00005453">
              <w:rPr>
                <w:color w:val="000000"/>
                <w:sz w:val="18"/>
                <w:szCs w:val="18"/>
                <w:lang w:eastAsia="tr-TR"/>
              </w:rPr>
              <w:t>Vergi danışmanlık hizmetlerine ilişkin ücretler</w:t>
            </w:r>
          </w:p>
        </w:tc>
        <w:tc>
          <w:tcPr>
            <w:tcW w:w="2551" w:type="dxa"/>
            <w:tcBorders>
              <w:top w:val="nil"/>
              <w:left w:val="nil"/>
              <w:bottom w:val="nil"/>
              <w:right w:val="nil"/>
            </w:tcBorders>
            <w:shd w:val="clear" w:color="auto" w:fill="auto"/>
            <w:noWrap/>
            <w:vAlign w:val="bottom"/>
            <w:hideMark/>
          </w:tcPr>
          <w:p w14:paraId="44EDBB7E" w14:textId="546C65C9" w:rsidR="00C1515A" w:rsidRPr="00005453" w:rsidRDefault="00C1515A" w:rsidP="00C1515A">
            <w:pPr>
              <w:jc w:val="right"/>
              <w:rPr>
                <w:color w:val="000000"/>
                <w:sz w:val="18"/>
                <w:szCs w:val="18"/>
                <w:lang w:eastAsia="tr-TR"/>
              </w:rPr>
            </w:pPr>
            <w:r w:rsidRPr="001C4C0C">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6F3EB300" w14:textId="07FDCF4D" w:rsidR="00C1515A" w:rsidRPr="00005453" w:rsidRDefault="00C1515A" w:rsidP="00C1515A">
            <w:pPr>
              <w:jc w:val="right"/>
              <w:rPr>
                <w:color w:val="000000"/>
                <w:sz w:val="18"/>
                <w:szCs w:val="18"/>
                <w:lang w:eastAsia="tr-TR"/>
              </w:rPr>
            </w:pPr>
            <w:r w:rsidRPr="001C4C0C">
              <w:rPr>
                <w:color w:val="000000"/>
                <w:sz w:val="18"/>
                <w:szCs w:val="18"/>
                <w:lang w:eastAsia="tr-TR"/>
              </w:rPr>
              <w:t>1,800</w:t>
            </w:r>
          </w:p>
        </w:tc>
      </w:tr>
      <w:tr w:rsidR="00C1515A" w:rsidRPr="00005453" w14:paraId="66B71A47" w14:textId="77777777" w:rsidTr="00126698">
        <w:trPr>
          <w:trHeight w:val="220"/>
        </w:trPr>
        <w:tc>
          <w:tcPr>
            <w:tcW w:w="4253" w:type="dxa"/>
            <w:tcBorders>
              <w:top w:val="nil"/>
              <w:left w:val="nil"/>
              <w:bottom w:val="nil"/>
              <w:right w:val="nil"/>
            </w:tcBorders>
            <w:shd w:val="clear" w:color="auto" w:fill="auto"/>
            <w:vAlign w:val="bottom"/>
            <w:hideMark/>
          </w:tcPr>
          <w:p w14:paraId="0CEFBF0D" w14:textId="0A3E550A" w:rsidR="00C1515A" w:rsidRPr="00005453" w:rsidRDefault="00C1515A" w:rsidP="00C1515A">
            <w:pPr>
              <w:rPr>
                <w:color w:val="000000"/>
                <w:sz w:val="18"/>
                <w:szCs w:val="18"/>
                <w:lang w:eastAsia="tr-TR"/>
              </w:rPr>
            </w:pPr>
            <w:r w:rsidRPr="00005453">
              <w:rPr>
                <w:color w:val="000000"/>
                <w:sz w:val="18"/>
                <w:szCs w:val="18"/>
                <w:lang w:eastAsia="tr-TR"/>
              </w:rPr>
              <w:t>Diğer güvence hizmetlerinin ücreti</w:t>
            </w:r>
          </w:p>
        </w:tc>
        <w:tc>
          <w:tcPr>
            <w:tcW w:w="2551" w:type="dxa"/>
            <w:tcBorders>
              <w:top w:val="nil"/>
              <w:left w:val="nil"/>
              <w:bottom w:val="nil"/>
              <w:right w:val="nil"/>
            </w:tcBorders>
            <w:shd w:val="clear" w:color="auto" w:fill="auto"/>
            <w:noWrap/>
            <w:vAlign w:val="bottom"/>
            <w:hideMark/>
          </w:tcPr>
          <w:p w14:paraId="64810F1E" w14:textId="25093DF8" w:rsidR="00C1515A" w:rsidRPr="00005453" w:rsidRDefault="00C1515A" w:rsidP="00C1515A">
            <w:pPr>
              <w:jc w:val="right"/>
              <w:rPr>
                <w:color w:val="000000"/>
                <w:sz w:val="18"/>
                <w:szCs w:val="18"/>
                <w:lang w:eastAsia="tr-TR"/>
              </w:rPr>
            </w:pPr>
            <w:r w:rsidRPr="001C4C0C">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462DD0FB" w14:textId="4EBF0509" w:rsidR="00C1515A" w:rsidRPr="00005453" w:rsidRDefault="00C1515A" w:rsidP="00C1515A">
            <w:pPr>
              <w:jc w:val="right"/>
              <w:rPr>
                <w:color w:val="000000"/>
                <w:sz w:val="18"/>
                <w:szCs w:val="18"/>
                <w:lang w:eastAsia="tr-TR"/>
              </w:rPr>
            </w:pPr>
            <w:r w:rsidRPr="001C4C0C">
              <w:rPr>
                <w:color w:val="000000"/>
                <w:sz w:val="18"/>
                <w:szCs w:val="18"/>
                <w:lang w:eastAsia="tr-TR"/>
              </w:rPr>
              <w:t>-</w:t>
            </w:r>
          </w:p>
        </w:tc>
      </w:tr>
      <w:tr w:rsidR="00C1515A" w:rsidRPr="00005453" w14:paraId="3ACCAA6E" w14:textId="77777777" w:rsidTr="00126698">
        <w:trPr>
          <w:trHeight w:val="220"/>
        </w:trPr>
        <w:tc>
          <w:tcPr>
            <w:tcW w:w="4253" w:type="dxa"/>
            <w:tcBorders>
              <w:top w:val="nil"/>
              <w:left w:val="nil"/>
              <w:bottom w:val="nil"/>
              <w:right w:val="nil"/>
            </w:tcBorders>
            <w:shd w:val="clear" w:color="auto" w:fill="auto"/>
            <w:vAlign w:val="bottom"/>
            <w:hideMark/>
          </w:tcPr>
          <w:p w14:paraId="1978019E" w14:textId="2A046003" w:rsidR="00C1515A" w:rsidRPr="00005453" w:rsidRDefault="00C1515A" w:rsidP="00C1515A">
            <w:pPr>
              <w:rPr>
                <w:color w:val="000000"/>
                <w:sz w:val="18"/>
                <w:szCs w:val="18"/>
                <w:lang w:eastAsia="tr-TR"/>
              </w:rPr>
            </w:pPr>
            <w:r w:rsidRPr="00005453">
              <w:rPr>
                <w:color w:val="000000"/>
                <w:sz w:val="18"/>
                <w:szCs w:val="18"/>
                <w:lang w:eastAsia="tr-TR"/>
              </w:rPr>
              <w:t>Bağımsız denetim dışı diğer hizmetlerin ücreti</w:t>
            </w:r>
          </w:p>
        </w:tc>
        <w:tc>
          <w:tcPr>
            <w:tcW w:w="2551" w:type="dxa"/>
            <w:tcBorders>
              <w:top w:val="nil"/>
              <w:left w:val="nil"/>
              <w:bottom w:val="nil"/>
              <w:right w:val="nil"/>
            </w:tcBorders>
            <w:shd w:val="clear" w:color="auto" w:fill="auto"/>
            <w:noWrap/>
            <w:vAlign w:val="bottom"/>
            <w:hideMark/>
          </w:tcPr>
          <w:p w14:paraId="2BE2CC7D" w14:textId="207777D9" w:rsidR="00C1515A" w:rsidRPr="00005453" w:rsidRDefault="00C1515A" w:rsidP="00C1515A">
            <w:pPr>
              <w:jc w:val="right"/>
              <w:rPr>
                <w:color w:val="000000"/>
                <w:sz w:val="18"/>
                <w:szCs w:val="18"/>
                <w:lang w:eastAsia="tr-TR"/>
              </w:rPr>
            </w:pPr>
            <w:r w:rsidRPr="001C4C0C">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36CB92D4" w14:textId="2A6C3026" w:rsidR="00C1515A" w:rsidRPr="00005453" w:rsidRDefault="00C1515A" w:rsidP="00C1515A">
            <w:pPr>
              <w:jc w:val="right"/>
              <w:rPr>
                <w:color w:val="000000"/>
                <w:sz w:val="18"/>
                <w:szCs w:val="18"/>
                <w:lang w:eastAsia="tr-TR"/>
              </w:rPr>
            </w:pPr>
            <w:r w:rsidRPr="001C4C0C">
              <w:rPr>
                <w:color w:val="000000"/>
                <w:sz w:val="18"/>
                <w:szCs w:val="18"/>
                <w:lang w:eastAsia="tr-TR"/>
              </w:rPr>
              <w:t>-</w:t>
            </w:r>
          </w:p>
        </w:tc>
      </w:tr>
      <w:tr w:rsidR="00C1515A" w:rsidRPr="00005453" w14:paraId="156BF13E" w14:textId="77777777" w:rsidTr="00DA0923">
        <w:trPr>
          <w:trHeight w:val="229"/>
        </w:trPr>
        <w:tc>
          <w:tcPr>
            <w:tcW w:w="4253" w:type="dxa"/>
            <w:tcBorders>
              <w:top w:val="single" w:sz="4" w:space="0" w:color="auto"/>
              <w:left w:val="nil"/>
              <w:bottom w:val="double" w:sz="6" w:space="0" w:color="auto"/>
              <w:right w:val="nil"/>
            </w:tcBorders>
            <w:shd w:val="clear" w:color="auto" w:fill="auto"/>
            <w:vAlign w:val="bottom"/>
            <w:hideMark/>
          </w:tcPr>
          <w:p w14:paraId="58B30883" w14:textId="1E561306" w:rsidR="00C1515A" w:rsidRPr="00005453" w:rsidRDefault="00C1515A" w:rsidP="00C1515A">
            <w:pPr>
              <w:rPr>
                <w:b/>
                <w:bCs/>
                <w:color w:val="000000"/>
                <w:sz w:val="18"/>
                <w:szCs w:val="18"/>
                <w:lang w:eastAsia="tr-TR"/>
              </w:rPr>
            </w:pPr>
            <w:r w:rsidRPr="00005453">
              <w:rPr>
                <w:b/>
                <w:bCs/>
                <w:color w:val="000000"/>
                <w:sz w:val="18"/>
                <w:szCs w:val="18"/>
                <w:lang w:eastAsia="tr-TR"/>
              </w:rPr>
              <w:t>Toplam</w:t>
            </w:r>
          </w:p>
        </w:tc>
        <w:tc>
          <w:tcPr>
            <w:tcW w:w="2551" w:type="dxa"/>
            <w:tcBorders>
              <w:top w:val="single" w:sz="4" w:space="0" w:color="auto"/>
              <w:left w:val="nil"/>
              <w:bottom w:val="double" w:sz="6" w:space="0" w:color="auto"/>
              <w:right w:val="nil"/>
            </w:tcBorders>
            <w:shd w:val="clear" w:color="auto" w:fill="auto"/>
            <w:noWrap/>
            <w:vAlign w:val="center"/>
            <w:hideMark/>
          </w:tcPr>
          <w:p w14:paraId="675A7F86" w14:textId="2DC952EE" w:rsidR="00C1515A" w:rsidRPr="0056432D" w:rsidRDefault="00C1515A" w:rsidP="00C1515A">
            <w:pPr>
              <w:jc w:val="right"/>
              <w:rPr>
                <w:b/>
                <w:bCs/>
                <w:color w:val="000000"/>
                <w:sz w:val="18"/>
                <w:szCs w:val="18"/>
                <w:lang w:eastAsia="tr-TR"/>
              </w:rPr>
            </w:pPr>
            <w:r w:rsidRPr="001C4C0C">
              <w:rPr>
                <w:b/>
                <w:bCs/>
                <w:color w:val="000000"/>
                <w:sz w:val="18"/>
              </w:rPr>
              <w:t>55,238</w:t>
            </w:r>
          </w:p>
        </w:tc>
        <w:tc>
          <w:tcPr>
            <w:tcW w:w="2410" w:type="dxa"/>
            <w:tcBorders>
              <w:top w:val="single" w:sz="4" w:space="0" w:color="auto"/>
              <w:left w:val="nil"/>
              <w:bottom w:val="double" w:sz="6" w:space="0" w:color="auto"/>
              <w:right w:val="nil"/>
            </w:tcBorders>
            <w:shd w:val="clear" w:color="auto" w:fill="auto"/>
            <w:noWrap/>
            <w:vAlign w:val="center"/>
            <w:hideMark/>
          </w:tcPr>
          <w:p w14:paraId="15DB3423" w14:textId="6D3A27B3" w:rsidR="00C1515A" w:rsidRPr="0056432D" w:rsidRDefault="00C1515A" w:rsidP="00C1515A">
            <w:pPr>
              <w:jc w:val="right"/>
              <w:rPr>
                <w:b/>
                <w:bCs/>
                <w:color w:val="000000"/>
                <w:sz w:val="18"/>
                <w:szCs w:val="18"/>
                <w:lang w:eastAsia="tr-TR"/>
              </w:rPr>
            </w:pPr>
            <w:r w:rsidRPr="001C4C0C">
              <w:rPr>
                <w:b/>
                <w:bCs/>
                <w:color w:val="000000"/>
                <w:sz w:val="18"/>
              </w:rPr>
              <w:t>2,683</w:t>
            </w:r>
          </w:p>
        </w:tc>
      </w:tr>
    </w:tbl>
    <w:p w14:paraId="055C4E1B" w14:textId="75A1C285" w:rsidR="009955D8" w:rsidRPr="00005453" w:rsidRDefault="009955D8" w:rsidP="00973355">
      <w:pPr>
        <w:autoSpaceDE w:val="0"/>
        <w:autoSpaceDN w:val="0"/>
        <w:adjustRightInd w:val="0"/>
        <w:rPr>
          <w:sz w:val="12"/>
        </w:rPr>
      </w:pPr>
    </w:p>
    <w:p w14:paraId="59B05855" w14:textId="77777777" w:rsidR="009955D8" w:rsidRPr="00005453" w:rsidRDefault="009955D8" w:rsidP="00973355">
      <w:pPr>
        <w:autoSpaceDE w:val="0"/>
        <w:autoSpaceDN w:val="0"/>
        <w:adjustRightInd w:val="0"/>
        <w:rPr>
          <w:sz w:val="12"/>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AF1557" w:rsidRPr="00005453" w14:paraId="2D9089FE" w14:textId="77777777" w:rsidTr="00AF1557">
        <w:trPr>
          <w:trHeight w:val="314"/>
        </w:trPr>
        <w:tc>
          <w:tcPr>
            <w:tcW w:w="4253" w:type="dxa"/>
            <w:tcBorders>
              <w:top w:val="single" w:sz="4" w:space="0" w:color="auto"/>
              <w:left w:val="nil"/>
              <w:bottom w:val="single" w:sz="4" w:space="0" w:color="auto"/>
              <w:right w:val="nil"/>
            </w:tcBorders>
            <w:shd w:val="clear" w:color="auto" w:fill="auto"/>
            <w:vAlign w:val="center"/>
            <w:hideMark/>
          </w:tcPr>
          <w:p w14:paraId="1D94068F" w14:textId="77777777" w:rsidR="00AF1557" w:rsidRPr="00005453" w:rsidRDefault="00AF1557" w:rsidP="00AF1557">
            <w:pPr>
              <w:rPr>
                <w:b/>
                <w:bCs/>
                <w:color w:val="000000"/>
                <w:sz w:val="18"/>
                <w:szCs w:val="18"/>
                <w:lang w:eastAsia="tr-TR"/>
              </w:rPr>
            </w:pPr>
            <w:r w:rsidRPr="00005453">
              <w:rPr>
                <w:b/>
                <w:bCs/>
                <w:color w:val="000000"/>
                <w:sz w:val="18"/>
                <w:szCs w:val="18"/>
                <w:lang w:eastAsia="tr-TR"/>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52CC57F7" w14:textId="460E391D" w:rsidR="00AF1557" w:rsidRPr="00005453" w:rsidRDefault="00F71405" w:rsidP="00AF1557">
            <w:pPr>
              <w:jc w:val="right"/>
              <w:rPr>
                <w:b/>
                <w:bCs/>
                <w:color w:val="000000"/>
                <w:sz w:val="18"/>
                <w:szCs w:val="18"/>
                <w:lang w:eastAsia="tr-TR"/>
              </w:rPr>
            </w:pPr>
            <w:r w:rsidRPr="00005453">
              <w:rPr>
                <w:b/>
                <w:bCs/>
                <w:color w:val="000000"/>
                <w:sz w:val="18"/>
                <w:szCs w:val="18"/>
                <w:lang w:eastAsia="tr-TR"/>
              </w:rPr>
              <w:t xml:space="preserve">Grup denetçisi </w:t>
            </w:r>
            <w:r w:rsidR="00AF1557" w:rsidRPr="00005453">
              <w:rPr>
                <w:b/>
                <w:bCs/>
                <w:color w:val="000000"/>
                <w:sz w:val="18"/>
                <w:szCs w:val="18"/>
                <w:lang w:eastAsia="tr-TR"/>
              </w:rPr>
              <w:t>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04578B88" w14:textId="4405BA24" w:rsidR="00AF1557" w:rsidRPr="00005453" w:rsidRDefault="00AF1557" w:rsidP="00AF1557">
            <w:pPr>
              <w:jc w:val="right"/>
              <w:rPr>
                <w:b/>
                <w:bCs/>
                <w:color w:val="000000"/>
                <w:sz w:val="18"/>
                <w:szCs w:val="18"/>
                <w:lang w:eastAsia="tr-TR"/>
              </w:rPr>
            </w:pPr>
            <w:r w:rsidRPr="00005453">
              <w:rPr>
                <w:b/>
                <w:bCs/>
                <w:color w:val="000000"/>
                <w:sz w:val="18"/>
                <w:szCs w:val="18"/>
                <w:lang w:eastAsia="tr-TR"/>
              </w:rPr>
              <w:t>Diğer Bağımsız Denetim şirketleri tarafından verilen bağımsız denetim hizmetleri</w:t>
            </w:r>
          </w:p>
        </w:tc>
      </w:tr>
      <w:tr w:rsidR="00DA0923" w:rsidRPr="00005453" w14:paraId="312DEB80" w14:textId="77777777" w:rsidTr="00DA0923">
        <w:trPr>
          <w:trHeight w:val="196"/>
        </w:trPr>
        <w:tc>
          <w:tcPr>
            <w:tcW w:w="4253" w:type="dxa"/>
            <w:tcBorders>
              <w:top w:val="nil"/>
              <w:left w:val="nil"/>
              <w:bottom w:val="nil"/>
              <w:right w:val="nil"/>
            </w:tcBorders>
            <w:shd w:val="clear" w:color="auto" w:fill="auto"/>
            <w:vAlign w:val="center"/>
            <w:hideMark/>
          </w:tcPr>
          <w:p w14:paraId="1D0AA7D9" w14:textId="51C2A655" w:rsidR="00DA0923" w:rsidRPr="00005453" w:rsidRDefault="00DA0923" w:rsidP="00DA0923">
            <w:pPr>
              <w:rPr>
                <w:color w:val="000000"/>
                <w:sz w:val="18"/>
                <w:szCs w:val="18"/>
                <w:lang w:eastAsia="tr-TR"/>
              </w:rPr>
            </w:pPr>
            <w:r w:rsidRPr="00005453">
              <w:rPr>
                <w:color w:val="000000"/>
                <w:sz w:val="18"/>
                <w:szCs w:val="18"/>
                <w:lang w:eastAsia="tr-TR"/>
              </w:rPr>
              <w:t xml:space="preserve">Raporlama dönemine ait bağımsız denetim ücreti </w:t>
            </w:r>
            <w:r w:rsidRPr="00005453">
              <w:rPr>
                <w:color w:val="000000"/>
                <w:sz w:val="18"/>
                <w:szCs w:val="18"/>
                <w:vertAlign w:val="superscript"/>
                <w:lang w:eastAsia="tr-TR"/>
              </w:rPr>
              <w:t>(*)</w:t>
            </w:r>
            <w:r w:rsidRPr="00005453">
              <w:rPr>
                <w:color w:val="000000"/>
                <w:sz w:val="18"/>
                <w:szCs w:val="18"/>
                <w:lang w:eastAsia="tr-TR"/>
              </w:rPr>
              <w:t xml:space="preserve"> </w:t>
            </w:r>
          </w:p>
        </w:tc>
        <w:tc>
          <w:tcPr>
            <w:tcW w:w="2551" w:type="dxa"/>
            <w:tcBorders>
              <w:top w:val="nil"/>
              <w:left w:val="nil"/>
              <w:bottom w:val="nil"/>
              <w:right w:val="nil"/>
            </w:tcBorders>
            <w:shd w:val="clear" w:color="auto" w:fill="auto"/>
            <w:noWrap/>
            <w:vAlign w:val="center"/>
            <w:hideMark/>
          </w:tcPr>
          <w:p w14:paraId="3CD5E9C1" w14:textId="149A9F45" w:rsidR="00DA0923" w:rsidRPr="00005453" w:rsidRDefault="00DA0923" w:rsidP="00DA0923">
            <w:pPr>
              <w:jc w:val="right"/>
              <w:rPr>
                <w:color w:val="000000"/>
                <w:sz w:val="18"/>
                <w:szCs w:val="18"/>
                <w:lang w:eastAsia="tr-TR"/>
              </w:rPr>
            </w:pPr>
            <w:r w:rsidRPr="00005453">
              <w:rPr>
                <w:color w:val="000000"/>
                <w:sz w:val="18"/>
                <w:szCs w:val="18"/>
                <w:lang w:eastAsia="tr-TR"/>
              </w:rPr>
              <w:t>36,909</w:t>
            </w:r>
          </w:p>
        </w:tc>
        <w:tc>
          <w:tcPr>
            <w:tcW w:w="2410" w:type="dxa"/>
            <w:tcBorders>
              <w:top w:val="nil"/>
              <w:left w:val="nil"/>
              <w:bottom w:val="nil"/>
              <w:right w:val="nil"/>
            </w:tcBorders>
            <w:shd w:val="clear" w:color="auto" w:fill="auto"/>
            <w:noWrap/>
            <w:vAlign w:val="center"/>
            <w:hideMark/>
          </w:tcPr>
          <w:p w14:paraId="7575543F" w14:textId="55ABE950" w:rsidR="00DA0923" w:rsidRPr="00005453" w:rsidRDefault="00DA0923" w:rsidP="00DA0923">
            <w:pPr>
              <w:jc w:val="right"/>
              <w:rPr>
                <w:color w:val="000000"/>
                <w:sz w:val="18"/>
                <w:szCs w:val="18"/>
                <w:lang w:eastAsia="tr-TR"/>
              </w:rPr>
            </w:pPr>
            <w:r w:rsidRPr="00005453">
              <w:rPr>
                <w:color w:val="000000"/>
                <w:sz w:val="18"/>
                <w:szCs w:val="18"/>
                <w:lang w:eastAsia="tr-TR"/>
              </w:rPr>
              <w:t>998</w:t>
            </w:r>
          </w:p>
        </w:tc>
      </w:tr>
      <w:tr w:rsidR="00DA0923" w:rsidRPr="00005453" w14:paraId="4DB64872" w14:textId="77777777" w:rsidTr="00DA0923">
        <w:trPr>
          <w:trHeight w:val="205"/>
        </w:trPr>
        <w:tc>
          <w:tcPr>
            <w:tcW w:w="4253" w:type="dxa"/>
            <w:tcBorders>
              <w:top w:val="nil"/>
              <w:left w:val="nil"/>
              <w:bottom w:val="nil"/>
              <w:right w:val="nil"/>
            </w:tcBorders>
            <w:shd w:val="clear" w:color="auto" w:fill="auto"/>
            <w:vAlign w:val="center"/>
            <w:hideMark/>
          </w:tcPr>
          <w:p w14:paraId="49B055A8" w14:textId="77777777" w:rsidR="00DA0923" w:rsidRPr="00005453" w:rsidRDefault="00DA0923" w:rsidP="00DA0923">
            <w:pPr>
              <w:rPr>
                <w:color w:val="000000"/>
                <w:sz w:val="18"/>
                <w:szCs w:val="18"/>
                <w:lang w:eastAsia="tr-TR"/>
              </w:rPr>
            </w:pPr>
            <w:r w:rsidRPr="00005453">
              <w:rPr>
                <w:color w:val="000000"/>
                <w:sz w:val="18"/>
                <w:szCs w:val="18"/>
                <w:lang w:eastAsia="tr-TR"/>
              </w:rPr>
              <w:t xml:space="preserve">Vergi danışmanlık hizmetlerine ilişkin ücretler  </w:t>
            </w:r>
          </w:p>
        </w:tc>
        <w:tc>
          <w:tcPr>
            <w:tcW w:w="2551" w:type="dxa"/>
            <w:tcBorders>
              <w:top w:val="nil"/>
              <w:left w:val="nil"/>
              <w:bottom w:val="nil"/>
              <w:right w:val="nil"/>
            </w:tcBorders>
            <w:shd w:val="clear" w:color="auto" w:fill="auto"/>
            <w:noWrap/>
            <w:vAlign w:val="center"/>
            <w:hideMark/>
          </w:tcPr>
          <w:p w14:paraId="0CD2E4CD" w14:textId="2803C996" w:rsidR="00DA0923" w:rsidRPr="00005453" w:rsidRDefault="00DA0923" w:rsidP="00DA0923">
            <w:pPr>
              <w:jc w:val="right"/>
              <w:rPr>
                <w:color w:val="000000"/>
                <w:sz w:val="18"/>
                <w:szCs w:val="18"/>
                <w:lang w:eastAsia="tr-TR"/>
              </w:rPr>
            </w:pPr>
            <w:r w:rsidRPr="00005453">
              <w:rPr>
                <w:color w:val="000000"/>
                <w:sz w:val="18"/>
                <w:szCs w:val="18"/>
                <w:lang w:eastAsia="tr-TR"/>
              </w:rPr>
              <w:t>-</w:t>
            </w:r>
          </w:p>
        </w:tc>
        <w:tc>
          <w:tcPr>
            <w:tcW w:w="2410" w:type="dxa"/>
            <w:tcBorders>
              <w:top w:val="nil"/>
              <w:left w:val="nil"/>
              <w:bottom w:val="nil"/>
              <w:right w:val="nil"/>
            </w:tcBorders>
            <w:shd w:val="clear" w:color="auto" w:fill="auto"/>
            <w:noWrap/>
            <w:vAlign w:val="center"/>
            <w:hideMark/>
          </w:tcPr>
          <w:p w14:paraId="11A04CFD" w14:textId="5DB47DE0" w:rsidR="00DA0923" w:rsidRPr="00005453" w:rsidRDefault="00DA0923" w:rsidP="00DA0923">
            <w:pPr>
              <w:jc w:val="right"/>
              <w:rPr>
                <w:color w:val="000000"/>
                <w:sz w:val="18"/>
                <w:szCs w:val="18"/>
                <w:lang w:eastAsia="tr-TR"/>
              </w:rPr>
            </w:pPr>
            <w:r w:rsidRPr="00005453">
              <w:rPr>
                <w:color w:val="000000"/>
                <w:sz w:val="18"/>
                <w:szCs w:val="18"/>
                <w:lang w:eastAsia="tr-TR"/>
              </w:rPr>
              <w:t>-</w:t>
            </w:r>
          </w:p>
        </w:tc>
      </w:tr>
      <w:tr w:rsidR="00DA0923" w:rsidRPr="00005453" w14:paraId="3D5916B1" w14:textId="77777777" w:rsidTr="00DA0923">
        <w:trPr>
          <w:trHeight w:val="205"/>
        </w:trPr>
        <w:tc>
          <w:tcPr>
            <w:tcW w:w="4253" w:type="dxa"/>
            <w:tcBorders>
              <w:top w:val="nil"/>
              <w:left w:val="nil"/>
              <w:bottom w:val="nil"/>
              <w:right w:val="nil"/>
            </w:tcBorders>
            <w:shd w:val="clear" w:color="auto" w:fill="auto"/>
            <w:vAlign w:val="center"/>
            <w:hideMark/>
          </w:tcPr>
          <w:p w14:paraId="650622A4" w14:textId="77777777" w:rsidR="00DA0923" w:rsidRPr="00005453" w:rsidRDefault="00DA0923" w:rsidP="00DA0923">
            <w:pPr>
              <w:rPr>
                <w:color w:val="000000"/>
                <w:sz w:val="18"/>
                <w:szCs w:val="18"/>
                <w:lang w:eastAsia="tr-TR"/>
              </w:rPr>
            </w:pPr>
            <w:r w:rsidRPr="00005453">
              <w:rPr>
                <w:color w:val="000000"/>
                <w:sz w:val="18"/>
                <w:szCs w:val="18"/>
                <w:lang w:eastAsia="tr-TR"/>
              </w:rPr>
              <w:t xml:space="preserve">Diğer güvence hizmetlerinin ücreti  </w:t>
            </w:r>
          </w:p>
        </w:tc>
        <w:tc>
          <w:tcPr>
            <w:tcW w:w="2551" w:type="dxa"/>
            <w:tcBorders>
              <w:top w:val="nil"/>
              <w:left w:val="nil"/>
              <w:bottom w:val="nil"/>
              <w:right w:val="nil"/>
            </w:tcBorders>
            <w:shd w:val="clear" w:color="auto" w:fill="auto"/>
            <w:noWrap/>
            <w:vAlign w:val="center"/>
            <w:hideMark/>
          </w:tcPr>
          <w:p w14:paraId="376BD6A1" w14:textId="775416CF" w:rsidR="00DA0923" w:rsidRPr="00005453" w:rsidRDefault="00DA0923" w:rsidP="00DA0923">
            <w:pPr>
              <w:jc w:val="right"/>
              <w:rPr>
                <w:color w:val="000000"/>
                <w:sz w:val="18"/>
                <w:szCs w:val="18"/>
                <w:lang w:eastAsia="tr-TR"/>
              </w:rPr>
            </w:pPr>
            <w:r w:rsidRPr="00005453">
              <w:rPr>
                <w:color w:val="000000"/>
                <w:sz w:val="18"/>
                <w:szCs w:val="18"/>
                <w:lang w:eastAsia="tr-TR"/>
              </w:rPr>
              <w:t>350</w:t>
            </w:r>
          </w:p>
        </w:tc>
        <w:tc>
          <w:tcPr>
            <w:tcW w:w="2410" w:type="dxa"/>
            <w:tcBorders>
              <w:top w:val="nil"/>
              <w:left w:val="nil"/>
              <w:bottom w:val="nil"/>
              <w:right w:val="nil"/>
            </w:tcBorders>
            <w:shd w:val="clear" w:color="auto" w:fill="auto"/>
            <w:noWrap/>
            <w:vAlign w:val="center"/>
            <w:hideMark/>
          </w:tcPr>
          <w:p w14:paraId="3F15AB4A" w14:textId="324F15D7" w:rsidR="00DA0923" w:rsidRPr="00005453" w:rsidRDefault="00DA0923" w:rsidP="00DA0923">
            <w:pPr>
              <w:jc w:val="right"/>
              <w:rPr>
                <w:color w:val="000000"/>
                <w:sz w:val="18"/>
                <w:szCs w:val="18"/>
                <w:lang w:eastAsia="tr-TR"/>
              </w:rPr>
            </w:pPr>
            <w:r w:rsidRPr="00005453">
              <w:rPr>
                <w:color w:val="000000"/>
                <w:sz w:val="18"/>
                <w:szCs w:val="18"/>
                <w:lang w:eastAsia="tr-TR"/>
              </w:rPr>
              <w:t>309</w:t>
            </w:r>
          </w:p>
        </w:tc>
      </w:tr>
      <w:tr w:rsidR="00DA0923" w:rsidRPr="00005453" w14:paraId="1F6BD10D" w14:textId="77777777" w:rsidTr="00DA0923">
        <w:trPr>
          <w:trHeight w:val="70"/>
        </w:trPr>
        <w:tc>
          <w:tcPr>
            <w:tcW w:w="4253" w:type="dxa"/>
            <w:tcBorders>
              <w:top w:val="nil"/>
              <w:left w:val="nil"/>
              <w:bottom w:val="nil"/>
              <w:right w:val="nil"/>
            </w:tcBorders>
            <w:shd w:val="clear" w:color="auto" w:fill="auto"/>
            <w:vAlign w:val="center"/>
            <w:hideMark/>
          </w:tcPr>
          <w:p w14:paraId="1DC851DB" w14:textId="77777777" w:rsidR="00DA0923" w:rsidRPr="00005453" w:rsidRDefault="00DA0923" w:rsidP="00DA0923">
            <w:pPr>
              <w:rPr>
                <w:color w:val="000000"/>
                <w:sz w:val="18"/>
                <w:szCs w:val="18"/>
                <w:lang w:eastAsia="tr-TR"/>
              </w:rPr>
            </w:pPr>
            <w:r w:rsidRPr="00005453">
              <w:rPr>
                <w:color w:val="000000"/>
                <w:sz w:val="18"/>
                <w:szCs w:val="18"/>
                <w:lang w:eastAsia="tr-TR"/>
              </w:rPr>
              <w:t xml:space="preserve">Bağımsız denetim dışı diğer hizmetlerin ücreti  </w:t>
            </w:r>
          </w:p>
        </w:tc>
        <w:tc>
          <w:tcPr>
            <w:tcW w:w="2551" w:type="dxa"/>
            <w:tcBorders>
              <w:top w:val="nil"/>
              <w:left w:val="nil"/>
              <w:bottom w:val="nil"/>
              <w:right w:val="nil"/>
            </w:tcBorders>
            <w:shd w:val="clear" w:color="auto" w:fill="auto"/>
            <w:noWrap/>
            <w:vAlign w:val="center"/>
            <w:hideMark/>
          </w:tcPr>
          <w:p w14:paraId="28F8F1F6" w14:textId="344DB206" w:rsidR="00DA0923" w:rsidRPr="00005453" w:rsidRDefault="00DA0923" w:rsidP="00DA0923">
            <w:pPr>
              <w:jc w:val="right"/>
              <w:rPr>
                <w:color w:val="000000"/>
                <w:sz w:val="18"/>
                <w:szCs w:val="18"/>
                <w:lang w:eastAsia="tr-TR"/>
              </w:rPr>
            </w:pPr>
            <w:r w:rsidRPr="00005453">
              <w:rPr>
                <w:color w:val="000000"/>
                <w:sz w:val="18"/>
                <w:szCs w:val="18"/>
                <w:lang w:eastAsia="tr-TR"/>
              </w:rPr>
              <w:t>-</w:t>
            </w:r>
          </w:p>
        </w:tc>
        <w:tc>
          <w:tcPr>
            <w:tcW w:w="2410" w:type="dxa"/>
            <w:tcBorders>
              <w:top w:val="nil"/>
              <w:left w:val="nil"/>
              <w:bottom w:val="nil"/>
              <w:right w:val="nil"/>
            </w:tcBorders>
            <w:shd w:val="clear" w:color="auto" w:fill="auto"/>
            <w:noWrap/>
            <w:vAlign w:val="center"/>
            <w:hideMark/>
          </w:tcPr>
          <w:p w14:paraId="71673511" w14:textId="344A9B40" w:rsidR="00DA0923" w:rsidRPr="00005453" w:rsidRDefault="00DA0923" w:rsidP="00DA0923">
            <w:pPr>
              <w:jc w:val="right"/>
              <w:rPr>
                <w:color w:val="000000"/>
                <w:sz w:val="18"/>
                <w:szCs w:val="18"/>
                <w:lang w:eastAsia="tr-TR"/>
              </w:rPr>
            </w:pPr>
            <w:r w:rsidRPr="00005453">
              <w:rPr>
                <w:color w:val="000000"/>
                <w:sz w:val="18"/>
                <w:szCs w:val="18"/>
                <w:lang w:eastAsia="tr-TR"/>
              </w:rPr>
              <w:t>-</w:t>
            </w:r>
          </w:p>
        </w:tc>
      </w:tr>
      <w:tr w:rsidR="00DA0923" w:rsidRPr="00005453" w14:paraId="60623AF8" w14:textId="77777777" w:rsidTr="00DA0923">
        <w:trPr>
          <w:trHeight w:val="205"/>
        </w:trPr>
        <w:tc>
          <w:tcPr>
            <w:tcW w:w="4253" w:type="dxa"/>
            <w:tcBorders>
              <w:top w:val="single" w:sz="4" w:space="0" w:color="auto"/>
              <w:left w:val="nil"/>
              <w:bottom w:val="double" w:sz="6" w:space="0" w:color="auto"/>
              <w:right w:val="nil"/>
            </w:tcBorders>
            <w:shd w:val="clear" w:color="auto" w:fill="auto"/>
            <w:vAlign w:val="center"/>
            <w:hideMark/>
          </w:tcPr>
          <w:p w14:paraId="063FAD94" w14:textId="77777777" w:rsidR="00DA0923" w:rsidRPr="00005453" w:rsidRDefault="00DA0923" w:rsidP="00DA0923">
            <w:pPr>
              <w:rPr>
                <w:b/>
                <w:bCs/>
                <w:color w:val="000000"/>
                <w:sz w:val="18"/>
                <w:szCs w:val="18"/>
                <w:lang w:eastAsia="tr-TR"/>
              </w:rPr>
            </w:pPr>
            <w:r w:rsidRPr="00005453">
              <w:rPr>
                <w:b/>
                <w:bCs/>
                <w:color w:val="000000"/>
                <w:sz w:val="18"/>
                <w:szCs w:val="18"/>
                <w:lang w:eastAsia="tr-TR"/>
              </w:rPr>
              <w:t xml:space="preserve">Toplam  </w:t>
            </w:r>
          </w:p>
        </w:tc>
        <w:tc>
          <w:tcPr>
            <w:tcW w:w="2551" w:type="dxa"/>
            <w:tcBorders>
              <w:top w:val="single" w:sz="4" w:space="0" w:color="auto"/>
              <w:left w:val="nil"/>
              <w:bottom w:val="double" w:sz="6" w:space="0" w:color="auto"/>
              <w:right w:val="nil"/>
            </w:tcBorders>
            <w:shd w:val="clear" w:color="auto" w:fill="auto"/>
            <w:noWrap/>
            <w:vAlign w:val="center"/>
            <w:hideMark/>
          </w:tcPr>
          <w:p w14:paraId="53F2AFAD" w14:textId="0BBE6989" w:rsidR="00DA0923" w:rsidRPr="00005453" w:rsidRDefault="00DA0923" w:rsidP="00DA0923">
            <w:pPr>
              <w:jc w:val="right"/>
              <w:rPr>
                <w:b/>
                <w:bCs/>
                <w:color w:val="000000"/>
                <w:sz w:val="18"/>
                <w:szCs w:val="18"/>
                <w:lang w:eastAsia="tr-TR"/>
              </w:rPr>
            </w:pPr>
            <w:r w:rsidRPr="00005453">
              <w:rPr>
                <w:b/>
                <w:bCs/>
                <w:color w:val="000000"/>
                <w:sz w:val="18"/>
                <w:szCs w:val="18"/>
                <w:lang w:eastAsia="tr-TR"/>
              </w:rPr>
              <w:t>37,259</w:t>
            </w:r>
          </w:p>
        </w:tc>
        <w:tc>
          <w:tcPr>
            <w:tcW w:w="2410" w:type="dxa"/>
            <w:tcBorders>
              <w:top w:val="single" w:sz="4" w:space="0" w:color="auto"/>
              <w:left w:val="nil"/>
              <w:bottom w:val="double" w:sz="6" w:space="0" w:color="auto"/>
              <w:right w:val="nil"/>
            </w:tcBorders>
            <w:shd w:val="clear" w:color="auto" w:fill="auto"/>
            <w:noWrap/>
            <w:vAlign w:val="center"/>
            <w:hideMark/>
          </w:tcPr>
          <w:p w14:paraId="204A606F" w14:textId="08BF1940" w:rsidR="00DA0923" w:rsidRPr="00005453" w:rsidRDefault="00DA0923" w:rsidP="00DA0923">
            <w:pPr>
              <w:jc w:val="right"/>
              <w:rPr>
                <w:b/>
                <w:bCs/>
                <w:color w:val="000000"/>
                <w:sz w:val="18"/>
                <w:szCs w:val="18"/>
                <w:lang w:eastAsia="tr-TR"/>
              </w:rPr>
            </w:pPr>
            <w:r w:rsidRPr="00005453">
              <w:rPr>
                <w:b/>
                <w:bCs/>
                <w:color w:val="000000"/>
                <w:sz w:val="18"/>
                <w:szCs w:val="18"/>
                <w:lang w:eastAsia="tr-TR"/>
              </w:rPr>
              <w:t>1,307</w:t>
            </w:r>
          </w:p>
        </w:tc>
      </w:tr>
    </w:tbl>
    <w:p w14:paraId="097C38E1" w14:textId="77777777" w:rsidR="009955D8" w:rsidRPr="00005453" w:rsidRDefault="009955D8" w:rsidP="00973355">
      <w:pPr>
        <w:autoSpaceDE w:val="0"/>
        <w:autoSpaceDN w:val="0"/>
        <w:adjustRightInd w:val="0"/>
        <w:rPr>
          <w:sz w:val="6"/>
          <w:szCs w:val="6"/>
        </w:rPr>
      </w:pPr>
    </w:p>
    <w:p w14:paraId="744F4ECA" w14:textId="24CBA985" w:rsidR="00BE32D9" w:rsidRPr="00005453" w:rsidRDefault="00490692" w:rsidP="001A491C">
      <w:pPr>
        <w:autoSpaceDE w:val="0"/>
        <w:autoSpaceDN w:val="0"/>
        <w:adjustRightInd w:val="0"/>
        <w:jc w:val="both"/>
        <w:rPr>
          <w:sz w:val="16"/>
          <w:szCs w:val="16"/>
        </w:rPr>
      </w:pPr>
      <w:r w:rsidRPr="00005453">
        <w:rPr>
          <w:sz w:val="16"/>
          <w:szCs w:val="16"/>
        </w:rPr>
        <w:t>(*) Yabancı para bağımsız denetim ücretleri</w:t>
      </w:r>
      <w:r w:rsidR="00CB1F8A" w:rsidRPr="00005453">
        <w:rPr>
          <w:sz w:val="16"/>
          <w:szCs w:val="16"/>
        </w:rPr>
        <w:t>nde</w:t>
      </w:r>
      <w:r w:rsidRPr="00005453">
        <w:rPr>
          <w:sz w:val="16"/>
          <w:szCs w:val="16"/>
        </w:rPr>
        <w:t xml:space="preserve"> 31 Aralık 202</w:t>
      </w:r>
      <w:r w:rsidR="00DA0923" w:rsidRPr="00005453">
        <w:rPr>
          <w:sz w:val="16"/>
          <w:szCs w:val="16"/>
        </w:rPr>
        <w:t>4</w:t>
      </w:r>
      <w:r w:rsidRPr="00005453">
        <w:rPr>
          <w:sz w:val="16"/>
          <w:szCs w:val="16"/>
        </w:rPr>
        <w:t xml:space="preserve"> / 31 Aralık </w:t>
      </w:r>
      <w:proofErr w:type="gramStart"/>
      <w:r w:rsidRPr="00005453">
        <w:rPr>
          <w:sz w:val="16"/>
          <w:szCs w:val="16"/>
        </w:rPr>
        <w:t>202</w:t>
      </w:r>
      <w:r w:rsidR="00DA0923" w:rsidRPr="00005453">
        <w:rPr>
          <w:sz w:val="16"/>
          <w:szCs w:val="16"/>
        </w:rPr>
        <w:t>3</w:t>
      </w:r>
      <w:r w:rsidRPr="00005453">
        <w:rPr>
          <w:sz w:val="16"/>
          <w:szCs w:val="16"/>
        </w:rPr>
        <w:t xml:space="preserve">  </w:t>
      </w:r>
      <w:r w:rsidR="00AF1557" w:rsidRPr="00005453">
        <w:rPr>
          <w:sz w:val="16"/>
          <w:szCs w:val="16"/>
        </w:rPr>
        <w:t>dönem</w:t>
      </w:r>
      <w:proofErr w:type="gramEnd"/>
      <w:r w:rsidR="00AF1557" w:rsidRPr="00005453">
        <w:rPr>
          <w:sz w:val="16"/>
          <w:szCs w:val="16"/>
        </w:rPr>
        <w:t xml:space="preserve"> sonu </w:t>
      </w:r>
      <w:r w:rsidR="006042A9" w:rsidRPr="00005453">
        <w:rPr>
          <w:sz w:val="16"/>
          <w:szCs w:val="16"/>
        </w:rPr>
        <w:t xml:space="preserve">Banka </w:t>
      </w:r>
      <w:r w:rsidR="00CB1F8A" w:rsidRPr="00005453">
        <w:rPr>
          <w:sz w:val="16"/>
          <w:szCs w:val="16"/>
        </w:rPr>
        <w:t xml:space="preserve">yabancı para </w:t>
      </w:r>
      <w:r w:rsidR="006042A9" w:rsidRPr="00005453">
        <w:rPr>
          <w:sz w:val="16"/>
          <w:szCs w:val="16"/>
        </w:rPr>
        <w:t xml:space="preserve">döviz alış </w:t>
      </w:r>
      <w:r w:rsidR="00AF1557" w:rsidRPr="00005453">
        <w:rPr>
          <w:sz w:val="16"/>
          <w:szCs w:val="16"/>
        </w:rPr>
        <w:t xml:space="preserve">değerleme </w:t>
      </w:r>
      <w:r w:rsidR="00CB1F8A" w:rsidRPr="00005453">
        <w:rPr>
          <w:sz w:val="16"/>
          <w:szCs w:val="16"/>
        </w:rPr>
        <w:t>kurları kullanılmıştır.</w:t>
      </w:r>
    </w:p>
    <w:p w14:paraId="76F4FEE9" w14:textId="2FE42E60" w:rsidR="000E6B3D" w:rsidRPr="00005453" w:rsidRDefault="000E6B3D" w:rsidP="00973355">
      <w:pPr>
        <w:autoSpaceDE w:val="0"/>
        <w:autoSpaceDN w:val="0"/>
        <w:adjustRightInd w:val="0"/>
        <w:rPr>
          <w:sz w:val="12"/>
        </w:rPr>
      </w:pPr>
    </w:p>
    <w:p w14:paraId="5FD3EAEB" w14:textId="56B86100" w:rsidR="000E6B3D" w:rsidRDefault="000E6B3D" w:rsidP="00973355">
      <w:pPr>
        <w:autoSpaceDE w:val="0"/>
        <w:autoSpaceDN w:val="0"/>
        <w:adjustRightInd w:val="0"/>
        <w:rPr>
          <w:sz w:val="12"/>
        </w:rPr>
      </w:pPr>
    </w:p>
    <w:p w14:paraId="7A6E321C" w14:textId="708558B3" w:rsidR="007E6597" w:rsidRDefault="007E6597" w:rsidP="00973355">
      <w:pPr>
        <w:autoSpaceDE w:val="0"/>
        <w:autoSpaceDN w:val="0"/>
        <w:adjustRightInd w:val="0"/>
        <w:rPr>
          <w:sz w:val="12"/>
        </w:rPr>
      </w:pPr>
    </w:p>
    <w:p w14:paraId="46A8C709" w14:textId="53E86F6C" w:rsidR="007E6597" w:rsidRDefault="007E6597" w:rsidP="00973355">
      <w:pPr>
        <w:autoSpaceDE w:val="0"/>
        <w:autoSpaceDN w:val="0"/>
        <w:adjustRightInd w:val="0"/>
        <w:rPr>
          <w:sz w:val="12"/>
        </w:rPr>
      </w:pPr>
    </w:p>
    <w:p w14:paraId="17076332" w14:textId="11752A4B" w:rsidR="007E6597" w:rsidRDefault="007E6597" w:rsidP="00973355">
      <w:pPr>
        <w:autoSpaceDE w:val="0"/>
        <w:autoSpaceDN w:val="0"/>
        <w:adjustRightInd w:val="0"/>
        <w:rPr>
          <w:sz w:val="12"/>
        </w:rPr>
      </w:pPr>
    </w:p>
    <w:p w14:paraId="56E42A67" w14:textId="0A3BA33D" w:rsidR="007E6597" w:rsidRDefault="007E6597" w:rsidP="00973355">
      <w:pPr>
        <w:autoSpaceDE w:val="0"/>
        <w:autoSpaceDN w:val="0"/>
        <w:adjustRightInd w:val="0"/>
        <w:rPr>
          <w:sz w:val="12"/>
        </w:rPr>
      </w:pPr>
    </w:p>
    <w:p w14:paraId="2CF20B44" w14:textId="5CA6FAB4" w:rsidR="007E6597" w:rsidRDefault="007E6597" w:rsidP="00973355">
      <w:pPr>
        <w:autoSpaceDE w:val="0"/>
        <w:autoSpaceDN w:val="0"/>
        <w:adjustRightInd w:val="0"/>
        <w:rPr>
          <w:sz w:val="12"/>
        </w:rPr>
      </w:pPr>
    </w:p>
    <w:p w14:paraId="0CECC4C7" w14:textId="7245C3A8" w:rsidR="007E6597" w:rsidRDefault="007E6597" w:rsidP="00973355">
      <w:pPr>
        <w:autoSpaceDE w:val="0"/>
        <w:autoSpaceDN w:val="0"/>
        <w:adjustRightInd w:val="0"/>
        <w:rPr>
          <w:sz w:val="12"/>
        </w:rPr>
      </w:pPr>
    </w:p>
    <w:p w14:paraId="796FFB2A" w14:textId="77777777" w:rsidR="007E6597" w:rsidRPr="00005453" w:rsidRDefault="007E6597" w:rsidP="00973355">
      <w:pPr>
        <w:autoSpaceDE w:val="0"/>
        <w:autoSpaceDN w:val="0"/>
        <w:adjustRightInd w:val="0"/>
        <w:rPr>
          <w:sz w:val="12"/>
        </w:rPr>
      </w:pPr>
    </w:p>
    <w:p w14:paraId="69B5E1F0" w14:textId="475B5CAD" w:rsidR="00033391" w:rsidRPr="00005453" w:rsidRDefault="0089470C" w:rsidP="0089470C">
      <w:pPr>
        <w:autoSpaceDE w:val="0"/>
        <w:autoSpaceDN w:val="0"/>
        <w:adjustRightInd w:val="0"/>
        <w:ind w:hanging="567"/>
        <w:jc w:val="both"/>
        <w:rPr>
          <w:b/>
          <w:bCs/>
          <w:iCs/>
        </w:rPr>
      </w:pPr>
      <w:r w:rsidRPr="00005453">
        <w:rPr>
          <w:b/>
          <w:bCs/>
          <w:iCs/>
        </w:rPr>
        <w:lastRenderedPageBreak/>
        <w:t>4.9</w:t>
      </w:r>
      <w:r w:rsidRPr="00005453">
        <w:rPr>
          <w:b/>
          <w:bCs/>
          <w:iCs/>
        </w:rPr>
        <w:tab/>
      </w:r>
      <w:r w:rsidR="00E253C8" w:rsidRPr="00005453">
        <w:rPr>
          <w:b/>
          <w:bCs/>
          <w:iCs/>
        </w:rPr>
        <w:t>Sürdürülen faaliyetler ile durdurulan faaliyetler vergi öncesi kar/zarara ilişkin açıklamalar</w:t>
      </w:r>
    </w:p>
    <w:p w14:paraId="01A9AC3A" w14:textId="77777777" w:rsidR="00E73302" w:rsidRPr="00005453" w:rsidRDefault="00E73302" w:rsidP="00E534FA">
      <w:pPr>
        <w:autoSpaceDE w:val="0"/>
        <w:autoSpaceDN w:val="0"/>
        <w:adjustRightInd w:val="0"/>
        <w:jc w:val="both"/>
        <w:rPr>
          <w:b/>
          <w:bCs/>
          <w:iCs/>
          <w:sz w:val="16"/>
          <w:szCs w:val="16"/>
        </w:rPr>
      </w:pPr>
    </w:p>
    <w:p w14:paraId="45FC83AB" w14:textId="58037344" w:rsidR="00184B5E" w:rsidRPr="00005453" w:rsidRDefault="0022205C" w:rsidP="0022205C">
      <w:pPr>
        <w:autoSpaceDE w:val="0"/>
        <w:autoSpaceDN w:val="0"/>
        <w:adjustRightInd w:val="0"/>
        <w:jc w:val="both"/>
        <w:rPr>
          <w:spacing w:val="-4"/>
        </w:rPr>
      </w:pPr>
      <w:r w:rsidRPr="00005453">
        <w:rPr>
          <w:spacing w:val="-4"/>
        </w:rPr>
        <w:t>Banka’nın vergi öncesi karı bir önceki yıla göre %</w:t>
      </w:r>
      <w:r w:rsidR="009A3B61" w:rsidRPr="00005453">
        <w:rPr>
          <w:spacing w:val="-4"/>
        </w:rPr>
        <w:t>38</w:t>
      </w:r>
      <w:r w:rsidR="00B853FB" w:rsidRPr="00005453">
        <w:rPr>
          <w:spacing w:val="-4"/>
        </w:rPr>
        <w:t>.</w:t>
      </w:r>
      <w:r w:rsidR="009A3B61" w:rsidRPr="00005453">
        <w:rPr>
          <w:spacing w:val="-4"/>
        </w:rPr>
        <w:t>07</w:t>
      </w:r>
      <w:r w:rsidRPr="00005453">
        <w:rPr>
          <w:spacing w:val="-4"/>
        </w:rPr>
        <w:t xml:space="preserve"> oranında artış göstererek </w:t>
      </w:r>
      <w:r w:rsidR="0006400F" w:rsidRPr="00005453">
        <w:rPr>
          <w:spacing w:val="-4"/>
        </w:rPr>
        <w:t>46</w:t>
      </w:r>
      <w:r w:rsidR="00B853FB" w:rsidRPr="00005453">
        <w:rPr>
          <w:spacing w:val="-4"/>
        </w:rPr>
        <w:t>,</w:t>
      </w:r>
      <w:r w:rsidR="0006400F" w:rsidRPr="00005453">
        <w:rPr>
          <w:spacing w:val="-4"/>
        </w:rPr>
        <w:t>257</w:t>
      </w:r>
      <w:r w:rsidR="00B853FB" w:rsidRPr="00005453">
        <w:rPr>
          <w:spacing w:val="-4"/>
        </w:rPr>
        <w:t>,</w:t>
      </w:r>
      <w:r w:rsidR="0006400F" w:rsidRPr="00005453">
        <w:rPr>
          <w:spacing w:val="-4"/>
        </w:rPr>
        <w:t>158</w:t>
      </w:r>
      <w:r w:rsidRPr="00005453">
        <w:rPr>
          <w:spacing w:val="-4"/>
        </w:rPr>
        <w:t xml:space="preserve"> TL (1 Ocak-</w:t>
      </w:r>
      <w:r w:rsidR="002B6800" w:rsidRPr="00005453">
        <w:t>31 Aralık 20</w:t>
      </w:r>
      <w:r w:rsidR="00E85C81" w:rsidRPr="00005453">
        <w:t>2</w:t>
      </w:r>
      <w:r w:rsidR="00DA0923" w:rsidRPr="00005453">
        <w:t>3</w:t>
      </w:r>
      <w:r w:rsidR="002B6800" w:rsidRPr="00005453">
        <w:t>-</w:t>
      </w:r>
      <w:r w:rsidRPr="00005453">
        <w:rPr>
          <w:spacing w:val="-4"/>
        </w:rPr>
        <w:t xml:space="preserve"> </w:t>
      </w:r>
      <w:r w:rsidR="00DA0923" w:rsidRPr="00005453">
        <w:rPr>
          <w:spacing w:val="-4"/>
        </w:rPr>
        <w:t>33</w:t>
      </w:r>
      <w:r w:rsidR="006573A0" w:rsidRPr="00005453">
        <w:rPr>
          <w:spacing w:val="-4"/>
        </w:rPr>
        <w:t>,</w:t>
      </w:r>
      <w:r w:rsidR="00DA0923" w:rsidRPr="00005453">
        <w:rPr>
          <w:spacing w:val="-4"/>
        </w:rPr>
        <w:t>503</w:t>
      </w:r>
      <w:r w:rsidR="006573A0" w:rsidRPr="00005453">
        <w:rPr>
          <w:spacing w:val="-4"/>
        </w:rPr>
        <w:t>,</w:t>
      </w:r>
      <w:r w:rsidR="00DA0923" w:rsidRPr="00005453">
        <w:rPr>
          <w:spacing w:val="-4"/>
        </w:rPr>
        <w:t>408</w:t>
      </w:r>
      <w:r w:rsidR="00911789" w:rsidRPr="00005453">
        <w:rPr>
          <w:spacing w:val="-4"/>
        </w:rPr>
        <w:t xml:space="preserve"> </w:t>
      </w:r>
      <w:r w:rsidRPr="00005453">
        <w:rPr>
          <w:spacing w:val="-4"/>
        </w:rPr>
        <w:t xml:space="preserve">TL) olarak gerçekleşmiştir. Vergi öncesi karının </w:t>
      </w:r>
      <w:r w:rsidR="0006400F" w:rsidRPr="00005453">
        <w:rPr>
          <w:spacing w:val="-4"/>
        </w:rPr>
        <w:t>48</w:t>
      </w:r>
      <w:r w:rsidR="007564CD" w:rsidRPr="00005453">
        <w:rPr>
          <w:spacing w:val="-4"/>
        </w:rPr>
        <w:t>,</w:t>
      </w:r>
      <w:r w:rsidR="0006400F" w:rsidRPr="00005453">
        <w:rPr>
          <w:spacing w:val="-4"/>
        </w:rPr>
        <w:t>434</w:t>
      </w:r>
      <w:r w:rsidR="007564CD" w:rsidRPr="00005453">
        <w:rPr>
          <w:spacing w:val="-4"/>
        </w:rPr>
        <w:t>,</w:t>
      </w:r>
      <w:r w:rsidR="0006400F" w:rsidRPr="00005453">
        <w:rPr>
          <w:spacing w:val="-4"/>
        </w:rPr>
        <w:t>255</w:t>
      </w:r>
      <w:r w:rsidRPr="00005453">
        <w:rPr>
          <w:spacing w:val="-4"/>
        </w:rPr>
        <w:t xml:space="preserve"> TL’lik (1 Ocak-</w:t>
      </w:r>
      <w:r w:rsidR="002B6800" w:rsidRPr="00005453">
        <w:t>31 Aralık 20</w:t>
      </w:r>
      <w:r w:rsidR="00E85C81" w:rsidRPr="00005453">
        <w:t>2</w:t>
      </w:r>
      <w:r w:rsidR="00DA0923" w:rsidRPr="00005453">
        <w:t>3</w:t>
      </w:r>
      <w:r w:rsidRPr="00005453">
        <w:rPr>
          <w:spacing w:val="-4"/>
        </w:rPr>
        <w:t xml:space="preserve"> – </w:t>
      </w:r>
      <w:r w:rsidR="00DA0923" w:rsidRPr="00005453">
        <w:rPr>
          <w:spacing w:val="-4"/>
        </w:rPr>
        <w:t>35</w:t>
      </w:r>
      <w:r w:rsidR="006573A0" w:rsidRPr="00005453">
        <w:rPr>
          <w:spacing w:val="-4"/>
        </w:rPr>
        <w:t>,</w:t>
      </w:r>
      <w:r w:rsidR="00DA0923" w:rsidRPr="00005453">
        <w:rPr>
          <w:spacing w:val="-4"/>
        </w:rPr>
        <w:t>181</w:t>
      </w:r>
      <w:r w:rsidR="006573A0" w:rsidRPr="00005453">
        <w:rPr>
          <w:spacing w:val="-4"/>
        </w:rPr>
        <w:t>,</w:t>
      </w:r>
      <w:r w:rsidR="00DA0923" w:rsidRPr="00005453">
        <w:rPr>
          <w:spacing w:val="-4"/>
        </w:rPr>
        <w:t>459</w:t>
      </w:r>
      <w:r w:rsidR="00B86AE0" w:rsidRPr="00005453">
        <w:rPr>
          <w:spacing w:val="-4"/>
        </w:rPr>
        <w:t xml:space="preserve"> </w:t>
      </w:r>
      <w:r w:rsidRPr="00005453">
        <w:rPr>
          <w:spacing w:val="-4"/>
        </w:rPr>
        <w:t xml:space="preserve">TL) kısmı net </w:t>
      </w:r>
      <w:proofErr w:type="gramStart"/>
      <w:r w:rsidRPr="00005453">
        <w:rPr>
          <w:spacing w:val="-4"/>
        </w:rPr>
        <w:t>kar</w:t>
      </w:r>
      <w:proofErr w:type="gramEnd"/>
      <w:r w:rsidRPr="00005453">
        <w:rPr>
          <w:spacing w:val="-4"/>
        </w:rPr>
        <w:t xml:space="preserve"> payı gelirlerinden </w:t>
      </w:r>
      <w:r w:rsidR="0006400F" w:rsidRPr="00005453">
        <w:rPr>
          <w:spacing w:val="-4"/>
        </w:rPr>
        <w:t>9</w:t>
      </w:r>
      <w:r w:rsidR="007564CD" w:rsidRPr="00005453">
        <w:rPr>
          <w:spacing w:val="-4"/>
        </w:rPr>
        <w:t>,</w:t>
      </w:r>
      <w:r w:rsidR="0006400F" w:rsidRPr="00005453">
        <w:rPr>
          <w:spacing w:val="-4"/>
        </w:rPr>
        <w:t>139</w:t>
      </w:r>
      <w:r w:rsidR="008D6A34" w:rsidRPr="00005453">
        <w:rPr>
          <w:spacing w:val="-4"/>
        </w:rPr>
        <w:t>,</w:t>
      </w:r>
      <w:r w:rsidR="0006400F" w:rsidRPr="00005453">
        <w:rPr>
          <w:spacing w:val="-4"/>
        </w:rPr>
        <w:t>091</w:t>
      </w:r>
      <w:r w:rsidRPr="00005453">
        <w:rPr>
          <w:spacing w:val="-4"/>
        </w:rPr>
        <w:t xml:space="preserve"> TL’si (1 Ocak-</w:t>
      </w:r>
      <w:r w:rsidR="002B6800" w:rsidRPr="00005453">
        <w:t>31 Aralık 20</w:t>
      </w:r>
      <w:r w:rsidR="00E85C81" w:rsidRPr="00005453">
        <w:t>2</w:t>
      </w:r>
      <w:r w:rsidR="00DA0923" w:rsidRPr="00005453">
        <w:t>3</w:t>
      </w:r>
      <w:r w:rsidRPr="00005453">
        <w:rPr>
          <w:spacing w:val="-4"/>
        </w:rPr>
        <w:t xml:space="preserve"> – </w:t>
      </w:r>
      <w:r w:rsidR="00DA0923" w:rsidRPr="00005453">
        <w:rPr>
          <w:spacing w:val="-4"/>
        </w:rPr>
        <w:t>3,428</w:t>
      </w:r>
      <w:r w:rsidR="006573A0" w:rsidRPr="00005453">
        <w:rPr>
          <w:spacing w:val="-4"/>
        </w:rPr>
        <w:t>,</w:t>
      </w:r>
      <w:r w:rsidR="00DA0923" w:rsidRPr="00005453">
        <w:rPr>
          <w:spacing w:val="-4"/>
        </w:rPr>
        <w:t>469</w:t>
      </w:r>
      <w:r w:rsidR="006573A0" w:rsidRPr="00005453">
        <w:rPr>
          <w:spacing w:val="-4"/>
        </w:rPr>
        <w:t xml:space="preserve"> </w:t>
      </w:r>
      <w:r w:rsidRPr="00005453">
        <w:rPr>
          <w:spacing w:val="-4"/>
        </w:rPr>
        <w:t xml:space="preserve">TL) ise net ücret ve komisyon gelirlerinden oluşmaktadır. Diğer faaliyet giderlerinin toplamı ise </w:t>
      </w:r>
      <w:r w:rsidR="0006400F" w:rsidRPr="00005453">
        <w:rPr>
          <w:spacing w:val="-4"/>
        </w:rPr>
        <w:t>10</w:t>
      </w:r>
      <w:r w:rsidR="001B7E1A" w:rsidRPr="00005453">
        <w:rPr>
          <w:spacing w:val="-4"/>
        </w:rPr>
        <w:t>,</w:t>
      </w:r>
      <w:r w:rsidR="0006400F" w:rsidRPr="00005453">
        <w:rPr>
          <w:spacing w:val="-4"/>
        </w:rPr>
        <w:t>085</w:t>
      </w:r>
      <w:r w:rsidR="001B7E1A" w:rsidRPr="00005453">
        <w:rPr>
          <w:spacing w:val="-4"/>
        </w:rPr>
        <w:t>,</w:t>
      </w:r>
      <w:r w:rsidR="0006400F" w:rsidRPr="00005453">
        <w:rPr>
          <w:spacing w:val="-4"/>
        </w:rPr>
        <w:t>900</w:t>
      </w:r>
      <w:r w:rsidR="007564CD" w:rsidRPr="00005453">
        <w:rPr>
          <w:spacing w:val="-4"/>
        </w:rPr>
        <w:t xml:space="preserve"> TL’dir</w:t>
      </w:r>
      <w:r w:rsidR="001B7E1A" w:rsidRPr="00005453">
        <w:rPr>
          <w:spacing w:val="-4"/>
        </w:rPr>
        <w:t xml:space="preserve"> </w:t>
      </w:r>
      <w:r w:rsidRPr="00005453">
        <w:rPr>
          <w:spacing w:val="-4"/>
        </w:rPr>
        <w:t>(1 Ocak-</w:t>
      </w:r>
      <w:r w:rsidR="002B6800" w:rsidRPr="00005453">
        <w:t>31 Aralık 20</w:t>
      </w:r>
      <w:r w:rsidR="00E85C81" w:rsidRPr="00005453">
        <w:t>2</w:t>
      </w:r>
      <w:r w:rsidR="00DA0923" w:rsidRPr="00005453">
        <w:t>3</w:t>
      </w:r>
      <w:r w:rsidRPr="00005453">
        <w:rPr>
          <w:spacing w:val="-4"/>
        </w:rPr>
        <w:t xml:space="preserve"> – </w:t>
      </w:r>
      <w:r w:rsidR="00DA0923" w:rsidRPr="00005453">
        <w:rPr>
          <w:spacing w:val="-4"/>
        </w:rPr>
        <w:t>5</w:t>
      </w:r>
      <w:r w:rsidR="006573A0" w:rsidRPr="00005453">
        <w:rPr>
          <w:spacing w:val="-4"/>
        </w:rPr>
        <w:t>,</w:t>
      </w:r>
      <w:r w:rsidR="00DA0923" w:rsidRPr="00005453">
        <w:rPr>
          <w:spacing w:val="-4"/>
        </w:rPr>
        <w:t>189</w:t>
      </w:r>
      <w:r w:rsidR="006573A0" w:rsidRPr="00005453">
        <w:rPr>
          <w:spacing w:val="-4"/>
        </w:rPr>
        <w:t>,</w:t>
      </w:r>
      <w:r w:rsidR="00DA0923" w:rsidRPr="00005453">
        <w:rPr>
          <w:spacing w:val="-4"/>
        </w:rPr>
        <w:t>148</w:t>
      </w:r>
      <w:r w:rsidR="006573A0" w:rsidRPr="00005453">
        <w:rPr>
          <w:spacing w:val="-4"/>
        </w:rPr>
        <w:t xml:space="preserve"> </w:t>
      </w:r>
      <w:r w:rsidRPr="00005453">
        <w:rPr>
          <w:spacing w:val="-4"/>
        </w:rPr>
        <w:t>TL).</w:t>
      </w:r>
    </w:p>
    <w:p w14:paraId="44206852" w14:textId="238A7C64" w:rsidR="007B0628" w:rsidRPr="00005453" w:rsidRDefault="007B0628" w:rsidP="00E534FA">
      <w:pPr>
        <w:autoSpaceDE w:val="0"/>
        <w:autoSpaceDN w:val="0"/>
        <w:adjustRightInd w:val="0"/>
        <w:jc w:val="both"/>
        <w:rPr>
          <w:b/>
          <w:bCs/>
          <w:iCs/>
          <w:sz w:val="16"/>
          <w:szCs w:val="16"/>
        </w:rPr>
      </w:pPr>
    </w:p>
    <w:p w14:paraId="6A59C6EA" w14:textId="75074C5D" w:rsidR="00033391" w:rsidRPr="00005453" w:rsidRDefault="0089470C" w:rsidP="0089470C">
      <w:pPr>
        <w:autoSpaceDE w:val="0"/>
        <w:autoSpaceDN w:val="0"/>
        <w:adjustRightInd w:val="0"/>
        <w:ind w:hanging="567"/>
        <w:jc w:val="both"/>
        <w:rPr>
          <w:b/>
          <w:bCs/>
          <w:iCs/>
        </w:rPr>
      </w:pPr>
      <w:r w:rsidRPr="00005453">
        <w:rPr>
          <w:b/>
          <w:bCs/>
          <w:iCs/>
        </w:rPr>
        <w:t>4.10</w:t>
      </w:r>
      <w:r w:rsidRPr="00005453">
        <w:rPr>
          <w:b/>
          <w:bCs/>
          <w:iCs/>
        </w:rPr>
        <w:tab/>
      </w:r>
      <w:r w:rsidR="00E253C8" w:rsidRPr="00005453">
        <w:rPr>
          <w:b/>
          <w:bCs/>
          <w:iCs/>
        </w:rPr>
        <w:t>Sürdürülen faaliyetler ile durdurulan faaliyetler vergi karşılığına ilişkin açıklamalar</w:t>
      </w:r>
    </w:p>
    <w:p w14:paraId="1130E956" w14:textId="77777777" w:rsidR="00E73302" w:rsidRPr="00005453" w:rsidRDefault="00E73302" w:rsidP="00E534FA">
      <w:pPr>
        <w:tabs>
          <w:tab w:val="left" w:pos="360"/>
        </w:tabs>
        <w:autoSpaceDE w:val="0"/>
        <w:autoSpaceDN w:val="0"/>
        <w:adjustRightInd w:val="0"/>
        <w:jc w:val="both"/>
        <w:rPr>
          <w:b/>
          <w:bCs/>
          <w:iCs/>
          <w:sz w:val="16"/>
          <w:szCs w:val="16"/>
        </w:rPr>
      </w:pPr>
    </w:p>
    <w:p w14:paraId="25AA06E4" w14:textId="3D0043E4" w:rsidR="00CB5235" w:rsidRPr="00005453" w:rsidRDefault="00CD56E0" w:rsidP="001F7228">
      <w:pPr>
        <w:autoSpaceDE w:val="0"/>
        <w:autoSpaceDN w:val="0"/>
        <w:jc w:val="both"/>
        <w:rPr>
          <w:spacing w:val="-6"/>
        </w:rPr>
      </w:pPr>
      <w:r w:rsidRPr="00005453">
        <w:rPr>
          <w:spacing w:val="-6"/>
        </w:rPr>
        <w:t xml:space="preserve">Banka’nın dönem içerisinde </w:t>
      </w:r>
      <w:r w:rsidR="0006400F" w:rsidRPr="00005453">
        <w:rPr>
          <w:spacing w:val="-6"/>
        </w:rPr>
        <w:t>12</w:t>
      </w:r>
      <w:r w:rsidR="00BC5FEB" w:rsidRPr="00005453">
        <w:rPr>
          <w:spacing w:val="-6"/>
        </w:rPr>
        <w:t>,</w:t>
      </w:r>
      <w:r w:rsidR="0006400F" w:rsidRPr="00005453">
        <w:rPr>
          <w:spacing w:val="-6"/>
        </w:rPr>
        <w:t>287</w:t>
      </w:r>
      <w:r w:rsidR="00094BC0" w:rsidRPr="00005453">
        <w:rPr>
          <w:spacing w:val="-6"/>
        </w:rPr>
        <w:t>,</w:t>
      </w:r>
      <w:r w:rsidR="0006400F" w:rsidRPr="00005453">
        <w:rPr>
          <w:spacing w:val="-6"/>
        </w:rPr>
        <w:t>240</w:t>
      </w:r>
      <w:r w:rsidRPr="00005453">
        <w:rPr>
          <w:spacing w:val="-6"/>
        </w:rPr>
        <w:t xml:space="preserve"> TL (1 Ocak-</w:t>
      </w:r>
      <w:r w:rsidR="002B6800" w:rsidRPr="00005453">
        <w:t>31 Aralık 20</w:t>
      </w:r>
      <w:r w:rsidR="00BC5FEB" w:rsidRPr="00005453">
        <w:t>2</w:t>
      </w:r>
      <w:r w:rsidR="00DA0923" w:rsidRPr="00005453">
        <w:t>3</w:t>
      </w:r>
      <w:r w:rsidR="00BC5FEB" w:rsidRPr="00005453">
        <w:t xml:space="preserve"> </w:t>
      </w:r>
      <w:r w:rsidR="00BC5FEB" w:rsidRPr="00005453">
        <w:rPr>
          <w:spacing w:val="-6"/>
        </w:rPr>
        <w:t xml:space="preserve">– </w:t>
      </w:r>
      <w:r w:rsidR="00DA0923" w:rsidRPr="00005453">
        <w:rPr>
          <w:spacing w:val="-6"/>
        </w:rPr>
        <w:t>9</w:t>
      </w:r>
      <w:r w:rsidR="006573A0" w:rsidRPr="00005453">
        <w:rPr>
          <w:spacing w:val="-6"/>
        </w:rPr>
        <w:t>,</w:t>
      </w:r>
      <w:r w:rsidR="00DA0923" w:rsidRPr="00005453">
        <w:rPr>
          <w:spacing w:val="-6"/>
        </w:rPr>
        <w:t>420</w:t>
      </w:r>
      <w:r w:rsidR="006573A0" w:rsidRPr="00005453">
        <w:rPr>
          <w:spacing w:val="-6"/>
        </w:rPr>
        <w:t>,</w:t>
      </w:r>
      <w:r w:rsidR="00DA0923" w:rsidRPr="00005453">
        <w:rPr>
          <w:spacing w:val="-6"/>
        </w:rPr>
        <w:t>021</w:t>
      </w:r>
      <w:r w:rsidR="006573A0" w:rsidRPr="00005453">
        <w:rPr>
          <w:spacing w:val="-6"/>
        </w:rPr>
        <w:t xml:space="preserve"> </w:t>
      </w:r>
      <w:r w:rsidRPr="00005453">
        <w:rPr>
          <w:spacing w:val="-6"/>
        </w:rPr>
        <w:t xml:space="preserve">TL) tutarında cari dönem vergi karşılığı gideri, </w:t>
      </w:r>
      <w:r w:rsidR="004E02E4" w:rsidRPr="00005453">
        <w:rPr>
          <w:spacing w:val="-6"/>
        </w:rPr>
        <w:t>528</w:t>
      </w:r>
      <w:r w:rsidR="0027520F" w:rsidRPr="00005453">
        <w:rPr>
          <w:spacing w:val="-6"/>
        </w:rPr>
        <w:t>,</w:t>
      </w:r>
      <w:r w:rsidR="004E02E4" w:rsidRPr="00005453">
        <w:rPr>
          <w:spacing w:val="-6"/>
        </w:rPr>
        <w:t>499</w:t>
      </w:r>
      <w:r w:rsidRPr="00005453">
        <w:rPr>
          <w:spacing w:val="-6"/>
        </w:rPr>
        <w:t xml:space="preserve"> TL (1 Ocak-</w:t>
      </w:r>
      <w:r w:rsidR="002B6800" w:rsidRPr="00005453">
        <w:t>31 Aralık 20</w:t>
      </w:r>
      <w:r w:rsidR="00BC5FEB" w:rsidRPr="00005453">
        <w:t>2</w:t>
      </w:r>
      <w:r w:rsidR="00DA0923" w:rsidRPr="00005453">
        <w:t>3</w:t>
      </w:r>
      <w:r w:rsidRPr="00005453">
        <w:rPr>
          <w:spacing w:val="-6"/>
        </w:rPr>
        <w:t xml:space="preserve"> – </w:t>
      </w:r>
      <w:r w:rsidR="006573A0" w:rsidRPr="00005453">
        <w:rPr>
          <w:spacing w:val="-6"/>
        </w:rPr>
        <w:t>1,</w:t>
      </w:r>
      <w:r w:rsidR="00DA0923" w:rsidRPr="00005453">
        <w:rPr>
          <w:spacing w:val="-6"/>
        </w:rPr>
        <w:t>065</w:t>
      </w:r>
      <w:r w:rsidR="006573A0" w:rsidRPr="00005453">
        <w:rPr>
          <w:spacing w:val="-6"/>
        </w:rPr>
        <w:t>,</w:t>
      </w:r>
      <w:r w:rsidR="00DA0923" w:rsidRPr="00005453">
        <w:rPr>
          <w:spacing w:val="-6"/>
        </w:rPr>
        <w:t>583</w:t>
      </w:r>
      <w:r w:rsidR="006573A0" w:rsidRPr="00005453">
        <w:rPr>
          <w:spacing w:val="-6"/>
        </w:rPr>
        <w:t xml:space="preserve"> </w:t>
      </w:r>
      <w:r w:rsidRPr="00005453">
        <w:rPr>
          <w:spacing w:val="-6"/>
        </w:rPr>
        <w:t xml:space="preserve">TL) tutarında ertelenmiş vergi </w:t>
      </w:r>
      <w:r w:rsidR="00B53FE2" w:rsidRPr="00005453">
        <w:rPr>
          <w:spacing w:val="-6"/>
        </w:rPr>
        <w:t>gider</w:t>
      </w:r>
      <w:r w:rsidR="00971D28" w:rsidRPr="00005453">
        <w:rPr>
          <w:spacing w:val="-6"/>
        </w:rPr>
        <w:t>i</w:t>
      </w:r>
      <w:r w:rsidR="00B53FE2" w:rsidRPr="00005453">
        <w:rPr>
          <w:spacing w:val="-6"/>
        </w:rPr>
        <w:t xml:space="preserve"> </w:t>
      </w:r>
      <w:r w:rsidRPr="00005453">
        <w:rPr>
          <w:spacing w:val="-6"/>
        </w:rPr>
        <w:t xml:space="preserve">ve </w:t>
      </w:r>
      <w:r w:rsidR="004E02E4" w:rsidRPr="00005453">
        <w:rPr>
          <w:spacing w:val="-6"/>
        </w:rPr>
        <w:t>1</w:t>
      </w:r>
      <w:r w:rsidR="00BC7E08" w:rsidRPr="00005453">
        <w:rPr>
          <w:spacing w:val="-6"/>
        </w:rPr>
        <w:t>,</w:t>
      </w:r>
      <w:r w:rsidR="004E02E4" w:rsidRPr="00005453">
        <w:rPr>
          <w:spacing w:val="-6"/>
        </w:rPr>
        <w:t>212</w:t>
      </w:r>
      <w:r w:rsidR="0027520F" w:rsidRPr="00005453">
        <w:rPr>
          <w:spacing w:val="-6"/>
        </w:rPr>
        <w:t>,</w:t>
      </w:r>
      <w:r w:rsidR="004E02E4" w:rsidRPr="00005453">
        <w:rPr>
          <w:spacing w:val="-6"/>
        </w:rPr>
        <w:t>03</w:t>
      </w:r>
      <w:r w:rsidR="007564CD" w:rsidRPr="00005453">
        <w:rPr>
          <w:spacing w:val="-6"/>
        </w:rPr>
        <w:t>7</w:t>
      </w:r>
      <w:r w:rsidR="0027520F" w:rsidRPr="00005453">
        <w:rPr>
          <w:spacing w:val="-6"/>
        </w:rPr>
        <w:t xml:space="preserve"> </w:t>
      </w:r>
      <w:r w:rsidRPr="00005453">
        <w:rPr>
          <w:spacing w:val="-6"/>
        </w:rPr>
        <w:t>TL (1 Ocak-</w:t>
      </w:r>
      <w:r w:rsidR="002B6800" w:rsidRPr="00005453">
        <w:t>31 Aralık 20</w:t>
      </w:r>
      <w:r w:rsidR="00BC5FEB" w:rsidRPr="00005453">
        <w:t>2</w:t>
      </w:r>
      <w:r w:rsidR="00DA0923" w:rsidRPr="00005453">
        <w:t>3</w:t>
      </w:r>
      <w:r w:rsidRPr="00005453">
        <w:rPr>
          <w:spacing w:val="-6"/>
        </w:rPr>
        <w:t xml:space="preserve"> – </w:t>
      </w:r>
      <w:r w:rsidR="00DA0923" w:rsidRPr="00005453">
        <w:rPr>
          <w:spacing w:val="-6"/>
        </w:rPr>
        <w:t>3</w:t>
      </w:r>
      <w:r w:rsidR="006573A0" w:rsidRPr="00005453">
        <w:rPr>
          <w:spacing w:val="-6"/>
        </w:rPr>
        <w:t>,</w:t>
      </w:r>
      <w:r w:rsidR="00DA0923" w:rsidRPr="00005453">
        <w:rPr>
          <w:spacing w:val="-6"/>
        </w:rPr>
        <w:t>591</w:t>
      </w:r>
      <w:r w:rsidR="006573A0" w:rsidRPr="00005453">
        <w:rPr>
          <w:spacing w:val="-6"/>
        </w:rPr>
        <w:t>,</w:t>
      </w:r>
      <w:r w:rsidR="00DA0923" w:rsidRPr="00005453">
        <w:rPr>
          <w:spacing w:val="-6"/>
        </w:rPr>
        <w:t>567</w:t>
      </w:r>
      <w:r w:rsidR="00524FA8" w:rsidRPr="00005453">
        <w:rPr>
          <w:spacing w:val="-6"/>
        </w:rPr>
        <w:t xml:space="preserve"> </w:t>
      </w:r>
      <w:proofErr w:type="gramStart"/>
      <w:r w:rsidRPr="00005453">
        <w:rPr>
          <w:spacing w:val="-6"/>
        </w:rPr>
        <w:t>TL )</w:t>
      </w:r>
      <w:proofErr w:type="gramEnd"/>
      <w:r w:rsidRPr="00005453">
        <w:rPr>
          <w:spacing w:val="-6"/>
        </w:rPr>
        <w:t xml:space="preserve"> t</w:t>
      </w:r>
      <w:r w:rsidR="000F30E4" w:rsidRPr="00005453">
        <w:rPr>
          <w:spacing w:val="-6"/>
        </w:rPr>
        <w:t xml:space="preserve">utarında ertelenmiş vergi </w:t>
      </w:r>
      <w:r w:rsidR="00B53FE2" w:rsidRPr="00005453">
        <w:rPr>
          <w:spacing w:val="-6"/>
        </w:rPr>
        <w:t xml:space="preserve">geliri </w:t>
      </w:r>
      <w:r w:rsidRPr="00005453">
        <w:rPr>
          <w:spacing w:val="-6"/>
        </w:rPr>
        <w:t>oluşmuştur.</w:t>
      </w:r>
    </w:p>
    <w:p w14:paraId="032AFC12" w14:textId="2315007A" w:rsidR="00CB5235" w:rsidRPr="00005453" w:rsidRDefault="00CB5235" w:rsidP="001F7228">
      <w:pPr>
        <w:autoSpaceDE w:val="0"/>
        <w:autoSpaceDN w:val="0"/>
        <w:jc w:val="both"/>
        <w:rPr>
          <w:spacing w:val="-6"/>
        </w:rPr>
      </w:pPr>
    </w:p>
    <w:p w14:paraId="11FAEC73" w14:textId="598910DB" w:rsidR="00033391" w:rsidRPr="00005453" w:rsidRDefault="0089470C" w:rsidP="0089470C">
      <w:pPr>
        <w:autoSpaceDE w:val="0"/>
        <w:autoSpaceDN w:val="0"/>
        <w:adjustRightInd w:val="0"/>
        <w:ind w:hanging="567"/>
        <w:jc w:val="both"/>
        <w:rPr>
          <w:b/>
          <w:bCs/>
          <w:iCs/>
        </w:rPr>
      </w:pPr>
      <w:r w:rsidRPr="00005453">
        <w:rPr>
          <w:b/>
          <w:bCs/>
          <w:iCs/>
        </w:rPr>
        <w:t>4.11</w:t>
      </w:r>
      <w:r w:rsidRPr="00005453">
        <w:rPr>
          <w:b/>
          <w:bCs/>
          <w:iCs/>
        </w:rPr>
        <w:tab/>
      </w:r>
      <w:r w:rsidR="00E253C8" w:rsidRPr="00005453">
        <w:rPr>
          <w:b/>
          <w:bCs/>
          <w:iCs/>
        </w:rPr>
        <w:t>Sürdürülen faaliyetler ile durdurulan faaliyetler dönem net kar/zararına ilişkin açıklama</w:t>
      </w:r>
    </w:p>
    <w:p w14:paraId="624DBC09" w14:textId="77777777" w:rsidR="00E73302" w:rsidRPr="00005453" w:rsidRDefault="00E73302" w:rsidP="00E534FA">
      <w:pPr>
        <w:autoSpaceDE w:val="0"/>
        <w:autoSpaceDN w:val="0"/>
        <w:adjustRightInd w:val="0"/>
        <w:jc w:val="both"/>
        <w:rPr>
          <w:b/>
          <w:bCs/>
          <w:iCs/>
          <w:sz w:val="16"/>
          <w:szCs w:val="16"/>
        </w:rPr>
      </w:pPr>
    </w:p>
    <w:p w14:paraId="672BE515" w14:textId="77777777" w:rsidR="0022205C" w:rsidRPr="00005453" w:rsidRDefault="0022205C" w:rsidP="0022205C">
      <w:pPr>
        <w:autoSpaceDE w:val="0"/>
        <w:autoSpaceDN w:val="0"/>
        <w:adjustRightInd w:val="0"/>
        <w:jc w:val="both"/>
        <w:rPr>
          <w:b/>
          <w:bCs/>
          <w:iCs/>
        </w:rPr>
      </w:pPr>
      <w:r w:rsidRPr="00005453">
        <w:rPr>
          <w:bCs/>
          <w:iCs/>
        </w:rPr>
        <w:t>Vergi sonrası faaliyet kar/zararı içinde durdurulan faaliyetlerden kaynaklanan kar/zarar yoktur.</w:t>
      </w:r>
    </w:p>
    <w:p w14:paraId="645AA76A" w14:textId="43863CD7" w:rsidR="00833C66" w:rsidRPr="00005453" w:rsidRDefault="00833C66" w:rsidP="006A694F">
      <w:pPr>
        <w:autoSpaceDE w:val="0"/>
        <w:autoSpaceDN w:val="0"/>
        <w:adjustRightInd w:val="0"/>
        <w:rPr>
          <w:b/>
          <w:bCs/>
          <w:iCs/>
          <w:sz w:val="16"/>
          <w:szCs w:val="16"/>
        </w:rPr>
      </w:pPr>
    </w:p>
    <w:p w14:paraId="04D5894B" w14:textId="7A1AEFB5" w:rsidR="00033391" w:rsidRPr="00005453" w:rsidRDefault="0089470C" w:rsidP="006A694F">
      <w:pPr>
        <w:autoSpaceDE w:val="0"/>
        <w:autoSpaceDN w:val="0"/>
        <w:adjustRightInd w:val="0"/>
        <w:ind w:hanging="567"/>
        <w:rPr>
          <w:b/>
          <w:bCs/>
          <w:iCs/>
        </w:rPr>
      </w:pPr>
      <w:r w:rsidRPr="00005453">
        <w:rPr>
          <w:b/>
          <w:bCs/>
          <w:iCs/>
        </w:rPr>
        <w:t>4.12</w:t>
      </w:r>
      <w:r w:rsidRPr="00005453">
        <w:rPr>
          <w:b/>
          <w:bCs/>
          <w:iCs/>
        </w:rPr>
        <w:tab/>
      </w:r>
      <w:r w:rsidR="00E253C8" w:rsidRPr="00005453">
        <w:rPr>
          <w:b/>
          <w:bCs/>
          <w:iCs/>
        </w:rPr>
        <w:t>Net dönem kar/zararına ilişkin açıklamalar</w:t>
      </w:r>
    </w:p>
    <w:p w14:paraId="0F00B86C" w14:textId="77777777" w:rsidR="00E73302" w:rsidRPr="00005453" w:rsidRDefault="00E73302">
      <w:pPr>
        <w:pStyle w:val="BodyTextIndent2"/>
        <w:ind w:left="540" w:hanging="540"/>
        <w:jc w:val="left"/>
        <w:rPr>
          <w:rFonts w:ascii="Times New Roman" w:eastAsia="Arial Unicode MS" w:hAnsi="Times New Roman"/>
          <w:b w:val="0"/>
          <w:color w:val="auto"/>
          <w:sz w:val="16"/>
          <w:szCs w:val="16"/>
        </w:rPr>
      </w:pPr>
    </w:p>
    <w:p w14:paraId="29AFC73A" w14:textId="2A49FD1F" w:rsidR="008F10D4" w:rsidRPr="00005453" w:rsidRDefault="0035500B" w:rsidP="0035500B">
      <w:pPr>
        <w:autoSpaceDE w:val="0"/>
        <w:autoSpaceDN w:val="0"/>
        <w:adjustRightInd w:val="0"/>
        <w:ind w:hanging="567"/>
        <w:jc w:val="both"/>
        <w:rPr>
          <w:spacing w:val="-6"/>
        </w:rPr>
      </w:pPr>
      <w:r w:rsidRPr="00005453">
        <w:rPr>
          <w:b/>
        </w:rPr>
        <w:t>4.12.1</w:t>
      </w:r>
      <w:r w:rsidRPr="00005453">
        <w:tab/>
      </w:r>
      <w:r w:rsidR="00E253C8" w:rsidRPr="00005453">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005453">
        <w:rPr>
          <w:spacing w:val="-6"/>
        </w:rPr>
        <w:t>n niteliği ve tutarı</w:t>
      </w:r>
    </w:p>
    <w:p w14:paraId="00E60819" w14:textId="77777777" w:rsidR="00BC5FEB" w:rsidRPr="00005453" w:rsidRDefault="00BC5FEB" w:rsidP="0035500B">
      <w:pPr>
        <w:autoSpaceDE w:val="0"/>
        <w:autoSpaceDN w:val="0"/>
        <w:adjustRightInd w:val="0"/>
        <w:ind w:hanging="567"/>
        <w:jc w:val="both"/>
        <w:rPr>
          <w:spacing w:val="-6"/>
        </w:rPr>
      </w:pPr>
    </w:p>
    <w:p w14:paraId="577AB431" w14:textId="6E188A1F" w:rsidR="00033391" w:rsidRPr="00005453" w:rsidRDefault="008F10D4" w:rsidP="0035500B">
      <w:pPr>
        <w:autoSpaceDE w:val="0"/>
        <w:autoSpaceDN w:val="0"/>
        <w:adjustRightInd w:val="0"/>
        <w:ind w:hanging="567"/>
        <w:jc w:val="both"/>
      </w:pPr>
      <w:r w:rsidRPr="00005453">
        <w:rPr>
          <w:spacing w:val="-6"/>
        </w:rPr>
        <w:t xml:space="preserve">             </w:t>
      </w:r>
      <w:r w:rsidR="00095B71" w:rsidRPr="00005453">
        <w:t>31 Aralık 20</w:t>
      </w:r>
      <w:r w:rsidR="00290C70" w:rsidRPr="00005453">
        <w:t>2</w:t>
      </w:r>
      <w:r w:rsidR="00DA0923" w:rsidRPr="00005453">
        <w:t>4</w:t>
      </w:r>
      <w:r w:rsidR="00E253C8" w:rsidRPr="00005453">
        <w:rPr>
          <w:spacing w:val="-6"/>
        </w:rPr>
        <w:t xml:space="preserve"> tarihi </w:t>
      </w:r>
      <w:r w:rsidR="00CF4F17" w:rsidRPr="00005453">
        <w:rPr>
          <w:spacing w:val="-6"/>
        </w:rPr>
        <w:t>itibarıyla</w:t>
      </w:r>
      <w:r w:rsidR="00E253C8" w:rsidRPr="00005453">
        <w:rPr>
          <w:spacing w:val="-6"/>
        </w:rPr>
        <w:t xml:space="preserve"> sona eren hesap dönemi içinde gelir kalemleri içerisinde net kar p</w:t>
      </w:r>
      <w:r w:rsidR="0054509F" w:rsidRPr="00005453">
        <w:rPr>
          <w:spacing w:val="-6"/>
        </w:rPr>
        <w:t xml:space="preserve">ayı geliri </w:t>
      </w:r>
      <w:r w:rsidR="004E02E4" w:rsidRPr="00005453">
        <w:rPr>
          <w:spacing w:val="-6"/>
        </w:rPr>
        <w:t>48</w:t>
      </w:r>
      <w:r w:rsidR="0027520F" w:rsidRPr="00005453">
        <w:rPr>
          <w:spacing w:val="-6"/>
        </w:rPr>
        <w:t>,</w:t>
      </w:r>
      <w:r w:rsidR="004E02E4" w:rsidRPr="00005453">
        <w:rPr>
          <w:spacing w:val="-6"/>
        </w:rPr>
        <w:t>434</w:t>
      </w:r>
      <w:r w:rsidR="0027520F" w:rsidRPr="00005453">
        <w:rPr>
          <w:spacing w:val="-6"/>
        </w:rPr>
        <w:t>,</w:t>
      </w:r>
      <w:r w:rsidR="004E02E4" w:rsidRPr="00005453">
        <w:rPr>
          <w:spacing w:val="-6"/>
        </w:rPr>
        <w:t>255</w:t>
      </w:r>
      <w:r w:rsidRPr="00005453">
        <w:rPr>
          <w:spacing w:val="-6"/>
        </w:rPr>
        <w:t xml:space="preserve"> TL </w:t>
      </w:r>
      <w:r w:rsidR="00E86FFE" w:rsidRPr="00005453">
        <w:rPr>
          <w:spacing w:val="-6"/>
        </w:rPr>
        <w:t xml:space="preserve"> </w:t>
      </w:r>
      <w:r w:rsidRPr="00005453">
        <w:rPr>
          <w:spacing w:val="-6"/>
        </w:rPr>
        <w:t xml:space="preserve">          </w:t>
      </w:r>
      <w:proofErr w:type="gramStart"/>
      <w:r w:rsidRPr="00005453">
        <w:rPr>
          <w:spacing w:val="-6"/>
        </w:rPr>
        <w:t xml:space="preserve">   (</w:t>
      </w:r>
      <w:proofErr w:type="gramEnd"/>
      <w:r w:rsidRPr="00005453">
        <w:rPr>
          <w:spacing w:val="-6"/>
        </w:rPr>
        <w:t xml:space="preserve">1 </w:t>
      </w:r>
      <w:r w:rsidR="00E86FFE" w:rsidRPr="00005453">
        <w:rPr>
          <w:spacing w:val="-6"/>
        </w:rPr>
        <w:t>Ocak-</w:t>
      </w:r>
      <w:r w:rsidR="00095B71" w:rsidRPr="00005453">
        <w:t>31 Aralık 20</w:t>
      </w:r>
      <w:r w:rsidR="00BC5FEB" w:rsidRPr="00005453">
        <w:t>2</w:t>
      </w:r>
      <w:r w:rsidR="00DA0923" w:rsidRPr="00005453">
        <w:t>3</w:t>
      </w:r>
      <w:r w:rsidR="00E253C8" w:rsidRPr="00005453">
        <w:rPr>
          <w:spacing w:val="-6"/>
        </w:rPr>
        <w:t xml:space="preserve"> – </w:t>
      </w:r>
      <w:r w:rsidR="00DA0923" w:rsidRPr="00005453">
        <w:rPr>
          <w:spacing w:val="-6"/>
        </w:rPr>
        <w:t>35</w:t>
      </w:r>
      <w:r w:rsidR="006573A0" w:rsidRPr="00005453">
        <w:rPr>
          <w:spacing w:val="-6"/>
        </w:rPr>
        <w:t>,</w:t>
      </w:r>
      <w:r w:rsidR="00DA0923" w:rsidRPr="00005453">
        <w:rPr>
          <w:spacing w:val="-6"/>
        </w:rPr>
        <w:t>181</w:t>
      </w:r>
      <w:r w:rsidR="006573A0" w:rsidRPr="00005453">
        <w:rPr>
          <w:spacing w:val="-6"/>
        </w:rPr>
        <w:t>,</w:t>
      </w:r>
      <w:r w:rsidR="00DA0923" w:rsidRPr="00005453">
        <w:rPr>
          <w:spacing w:val="-6"/>
        </w:rPr>
        <w:t>459</w:t>
      </w:r>
      <w:r w:rsidR="006573A0" w:rsidRPr="00005453">
        <w:rPr>
          <w:spacing w:val="-6"/>
        </w:rPr>
        <w:t xml:space="preserve"> </w:t>
      </w:r>
      <w:r w:rsidR="004C32E3" w:rsidRPr="00005453">
        <w:t>TL</w:t>
      </w:r>
      <w:r w:rsidR="00E253C8" w:rsidRPr="00005453">
        <w:rPr>
          <w:spacing w:val="-6"/>
        </w:rPr>
        <w:t>). Net ücret ve komisyo</w:t>
      </w:r>
      <w:r w:rsidR="0054509F" w:rsidRPr="00005453">
        <w:rPr>
          <w:spacing w:val="-6"/>
        </w:rPr>
        <w:t xml:space="preserve">n gelirleri </w:t>
      </w:r>
      <w:r w:rsidR="004E02E4" w:rsidRPr="00005453">
        <w:rPr>
          <w:spacing w:val="-6"/>
        </w:rPr>
        <w:t>9</w:t>
      </w:r>
      <w:r w:rsidR="007564CD" w:rsidRPr="00005453">
        <w:rPr>
          <w:spacing w:val="-6"/>
        </w:rPr>
        <w:t>,</w:t>
      </w:r>
      <w:r w:rsidR="004E02E4" w:rsidRPr="00005453">
        <w:rPr>
          <w:spacing w:val="-6"/>
        </w:rPr>
        <w:t>139</w:t>
      </w:r>
      <w:r w:rsidR="00094BC0" w:rsidRPr="00005453">
        <w:rPr>
          <w:spacing w:val="-6"/>
        </w:rPr>
        <w:t>,</w:t>
      </w:r>
      <w:r w:rsidR="004E02E4" w:rsidRPr="00005453">
        <w:rPr>
          <w:spacing w:val="-6"/>
        </w:rPr>
        <w:t>091</w:t>
      </w:r>
      <w:r w:rsidR="00A02218" w:rsidRPr="00005453">
        <w:rPr>
          <w:spacing w:val="-6"/>
        </w:rPr>
        <w:t xml:space="preserve"> </w:t>
      </w:r>
      <w:r w:rsidR="006A694F" w:rsidRPr="00005453">
        <w:rPr>
          <w:spacing w:val="-6"/>
        </w:rPr>
        <w:t>TL</w:t>
      </w:r>
      <w:r w:rsidR="0035500B" w:rsidRPr="00005453">
        <w:rPr>
          <w:spacing w:val="-6"/>
        </w:rPr>
        <w:t xml:space="preserve"> (1</w:t>
      </w:r>
      <w:r w:rsidR="008300E7" w:rsidRPr="00005453">
        <w:rPr>
          <w:spacing w:val="-6"/>
        </w:rPr>
        <w:t xml:space="preserve"> </w:t>
      </w:r>
      <w:r w:rsidR="00E86FFE" w:rsidRPr="00005453">
        <w:rPr>
          <w:spacing w:val="-6"/>
        </w:rPr>
        <w:t>Ocak-</w:t>
      </w:r>
      <w:r w:rsidR="00095B71" w:rsidRPr="00005453">
        <w:t>31 Aralık 20</w:t>
      </w:r>
      <w:r w:rsidR="00BC5FEB" w:rsidRPr="00005453">
        <w:t>2</w:t>
      </w:r>
      <w:r w:rsidR="00DA0923" w:rsidRPr="00005453">
        <w:t>3</w:t>
      </w:r>
      <w:r w:rsidR="00E253C8" w:rsidRPr="00005453">
        <w:rPr>
          <w:spacing w:val="-6"/>
        </w:rPr>
        <w:t xml:space="preserve"> – </w:t>
      </w:r>
      <w:proofErr w:type="gramStart"/>
      <w:r w:rsidR="00DA0923" w:rsidRPr="00005453">
        <w:rPr>
          <w:spacing w:val="-6"/>
        </w:rPr>
        <w:t>3,428</w:t>
      </w:r>
      <w:r w:rsidR="00A02218" w:rsidRPr="00005453">
        <w:rPr>
          <w:spacing w:val="-6"/>
        </w:rPr>
        <w:t>,</w:t>
      </w:r>
      <w:r w:rsidR="00DA0923" w:rsidRPr="00005453">
        <w:rPr>
          <w:spacing w:val="-6"/>
        </w:rPr>
        <w:t>469</w:t>
      </w:r>
      <w:r w:rsidR="00A02218" w:rsidRPr="00005453">
        <w:rPr>
          <w:spacing w:val="-6"/>
        </w:rPr>
        <w:t xml:space="preserve"> </w:t>
      </w:r>
      <w:r w:rsidR="00971D28" w:rsidRPr="00005453">
        <w:rPr>
          <w:spacing w:val="-6"/>
        </w:rPr>
        <w:t xml:space="preserve"> </w:t>
      </w:r>
      <w:r w:rsidR="006A694F" w:rsidRPr="00005453">
        <w:rPr>
          <w:spacing w:val="-6"/>
        </w:rPr>
        <w:t>TL</w:t>
      </w:r>
      <w:proofErr w:type="gramEnd"/>
      <w:r w:rsidR="00E253C8" w:rsidRPr="00005453">
        <w:rPr>
          <w:spacing w:val="-6"/>
        </w:rPr>
        <w:t>) ile yer almaktadır.</w:t>
      </w:r>
    </w:p>
    <w:p w14:paraId="195F9784" w14:textId="77777777" w:rsidR="00CD56E0" w:rsidRPr="00005453" w:rsidRDefault="00CD56E0">
      <w:pPr>
        <w:pStyle w:val="BodyTextIndent2"/>
        <w:jc w:val="left"/>
        <w:rPr>
          <w:rFonts w:ascii="Times New Roman" w:eastAsia="Arial Unicode MS" w:hAnsi="Times New Roman"/>
          <w:b w:val="0"/>
          <w:color w:val="auto"/>
          <w:sz w:val="16"/>
          <w:szCs w:val="16"/>
        </w:rPr>
      </w:pPr>
    </w:p>
    <w:p w14:paraId="03446305" w14:textId="1E5C03BF" w:rsidR="00833C66" w:rsidRPr="00005453" w:rsidRDefault="0035500B" w:rsidP="0035500B">
      <w:pPr>
        <w:autoSpaceDE w:val="0"/>
        <w:autoSpaceDN w:val="0"/>
        <w:adjustRightInd w:val="0"/>
        <w:ind w:hanging="567"/>
        <w:jc w:val="both"/>
        <w:rPr>
          <w:spacing w:val="-6"/>
        </w:rPr>
      </w:pPr>
      <w:r w:rsidRPr="00005453">
        <w:rPr>
          <w:b/>
        </w:rPr>
        <w:t>4.12.2</w:t>
      </w:r>
      <w:r w:rsidRPr="00005453">
        <w:tab/>
      </w:r>
      <w:r w:rsidR="00E253C8" w:rsidRPr="00005453">
        <w:rPr>
          <w:spacing w:val="-6"/>
        </w:rPr>
        <w:t xml:space="preserve">Finansal tablo kalemlerine ilişkin olarak yapılan bir tahmindeki değişikliğin </w:t>
      </w:r>
      <w:proofErr w:type="gramStart"/>
      <w:r w:rsidR="00E253C8" w:rsidRPr="00005453">
        <w:rPr>
          <w:spacing w:val="-6"/>
        </w:rPr>
        <w:t>kar</w:t>
      </w:r>
      <w:proofErr w:type="gramEnd"/>
      <w:r w:rsidR="00E253C8" w:rsidRPr="00005453">
        <w:rPr>
          <w:spacing w:val="-6"/>
        </w:rPr>
        <w:t xml:space="preserve"> zarara etkisi, daha sonraki dönemleri de etkilemesi olasılığı varsa, o dönemleri de kapsayacak ş</w:t>
      </w:r>
      <w:r w:rsidR="0054509F" w:rsidRPr="00005453">
        <w:rPr>
          <w:spacing w:val="-6"/>
        </w:rPr>
        <w:t>ekilde etkisi</w:t>
      </w:r>
    </w:p>
    <w:p w14:paraId="719775E7" w14:textId="77777777" w:rsidR="00833C66" w:rsidRPr="00005453" w:rsidRDefault="00833C66" w:rsidP="00833C66">
      <w:pPr>
        <w:autoSpaceDE w:val="0"/>
        <w:autoSpaceDN w:val="0"/>
        <w:adjustRightInd w:val="0"/>
        <w:jc w:val="both"/>
        <w:rPr>
          <w:spacing w:val="-6"/>
          <w:sz w:val="16"/>
          <w:szCs w:val="16"/>
        </w:rPr>
      </w:pPr>
    </w:p>
    <w:p w14:paraId="5A931CE0" w14:textId="31CA2547" w:rsidR="00E73302" w:rsidRPr="00005453" w:rsidRDefault="0054509F" w:rsidP="00833C66">
      <w:pPr>
        <w:autoSpaceDE w:val="0"/>
        <w:autoSpaceDN w:val="0"/>
        <w:adjustRightInd w:val="0"/>
        <w:jc w:val="both"/>
        <w:rPr>
          <w:spacing w:val="-6"/>
        </w:rPr>
      </w:pPr>
      <w:r w:rsidRPr="00005453">
        <w:rPr>
          <w:spacing w:val="-6"/>
        </w:rPr>
        <w:t>Yoktur (</w:t>
      </w:r>
      <w:r w:rsidR="00E86FFE" w:rsidRPr="00005453">
        <w:rPr>
          <w:spacing w:val="-6"/>
        </w:rPr>
        <w:t>1 Ocak-</w:t>
      </w:r>
      <w:r w:rsidR="00095B71" w:rsidRPr="00005453">
        <w:t>31 Aralık 20</w:t>
      </w:r>
      <w:r w:rsidR="00BC5FEB" w:rsidRPr="00005453">
        <w:t>2</w:t>
      </w:r>
      <w:r w:rsidR="00DA0923" w:rsidRPr="00005453">
        <w:t>3</w:t>
      </w:r>
      <w:r w:rsidR="003A0E58" w:rsidRPr="00005453">
        <w:rPr>
          <w:spacing w:val="-6"/>
        </w:rPr>
        <w:t xml:space="preserve"> – </w:t>
      </w:r>
      <w:r w:rsidR="006B423B" w:rsidRPr="00005453">
        <w:rPr>
          <w:spacing w:val="-6"/>
        </w:rPr>
        <w:t>Y</w:t>
      </w:r>
      <w:r w:rsidR="009D12A6" w:rsidRPr="00005453">
        <w:rPr>
          <w:spacing w:val="-6"/>
        </w:rPr>
        <w:t>oktur)</w:t>
      </w:r>
      <w:r w:rsidR="003A0E58" w:rsidRPr="00005453">
        <w:rPr>
          <w:spacing w:val="-6"/>
        </w:rPr>
        <w:t>.</w:t>
      </w:r>
    </w:p>
    <w:p w14:paraId="58C794D1" w14:textId="77777777" w:rsidR="00E73302" w:rsidRPr="00005453" w:rsidRDefault="00E73302">
      <w:pPr>
        <w:tabs>
          <w:tab w:val="num" w:pos="2880"/>
          <w:tab w:val="num" w:pos="3060"/>
        </w:tabs>
        <w:autoSpaceDE w:val="0"/>
        <w:autoSpaceDN w:val="0"/>
        <w:adjustRightInd w:val="0"/>
        <w:ind w:left="180"/>
        <w:rPr>
          <w:sz w:val="16"/>
          <w:szCs w:val="16"/>
        </w:rPr>
      </w:pPr>
    </w:p>
    <w:p w14:paraId="7BA4EECA" w14:textId="31E450FE" w:rsidR="00833C66" w:rsidRPr="00005453" w:rsidRDefault="009D12A6" w:rsidP="009D12A6">
      <w:pPr>
        <w:autoSpaceDE w:val="0"/>
        <w:autoSpaceDN w:val="0"/>
        <w:adjustRightInd w:val="0"/>
        <w:ind w:hanging="567"/>
      </w:pPr>
      <w:r w:rsidRPr="00005453">
        <w:rPr>
          <w:b/>
        </w:rPr>
        <w:t>4.12.3</w:t>
      </w:r>
      <w:r w:rsidRPr="00005453">
        <w:tab/>
      </w:r>
      <w:r w:rsidR="00E253C8" w:rsidRPr="00005453">
        <w:t xml:space="preserve">Azınlık paylarına </w:t>
      </w:r>
      <w:r w:rsidR="003A0E58" w:rsidRPr="00005453">
        <w:t>ait kar/zarar</w:t>
      </w:r>
    </w:p>
    <w:p w14:paraId="7B1AD642" w14:textId="77777777" w:rsidR="00487D7F" w:rsidRPr="00005453" w:rsidRDefault="00487D7F" w:rsidP="00BB37B6">
      <w:pPr>
        <w:autoSpaceDE w:val="0"/>
        <w:autoSpaceDN w:val="0"/>
        <w:adjustRightInd w:val="0"/>
      </w:pPr>
    </w:p>
    <w:p w14:paraId="4D012143" w14:textId="5E71B7F6" w:rsidR="00833C66" w:rsidRPr="00005453" w:rsidRDefault="006B423B" w:rsidP="00BB37B6">
      <w:pPr>
        <w:autoSpaceDE w:val="0"/>
        <w:autoSpaceDN w:val="0"/>
        <w:adjustRightInd w:val="0"/>
      </w:pPr>
      <w:r w:rsidRPr="00005453">
        <w:t>Y</w:t>
      </w:r>
      <w:r w:rsidR="0054509F" w:rsidRPr="00005453">
        <w:t>oktur (</w:t>
      </w:r>
      <w:r w:rsidR="00095B71" w:rsidRPr="00005453">
        <w:t>31 Aralık 20</w:t>
      </w:r>
      <w:r w:rsidR="00BC5FEB" w:rsidRPr="00005453">
        <w:t>2</w:t>
      </w:r>
      <w:r w:rsidR="00DA0923" w:rsidRPr="00005453">
        <w:t>3</w:t>
      </w:r>
      <w:r w:rsidR="003A0E58" w:rsidRPr="00005453">
        <w:t xml:space="preserve"> – </w:t>
      </w:r>
      <w:r w:rsidRPr="00005453">
        <w:t>Y</w:t>
      </w:r>
      <w:r w:rsidR="009D12A6" w:rsidRPr="00005453">
        <w:t>oktur)</w:t>
      </w:r>
      <w:r w:rsidR="003A0E58" w:rsidRPr="00005453">
        <w:t>.</w:t>
      </w:r>
    </w:p>
    <w:p w14:paraId="65BDA86D" w14:textId="77777777" w:rsidR="00406F79" w:rsidRPr="00005453" w:rsidRDefault="00406F79" w:rsidP="00DA74D9">
      <w:pPr>
        <w:autoSpaceDE w:val="0"/>
        <w:autoSpaceDN w:val="0"/>
        <w:adjustRightInd w:val="0"/>
        <w:rPr>
          <w:b/>
          <w:bCs/>
          <w:iCs/>
          <w:color w:val="000000"/>
        </w:rPr>
      </w:pPr>
    </w:p>
    <w:p w14:paraId="3F65D7AA" w14:textId="4FD97DD8" w:rsidR="00033391" w:rsidRPr="00005453" w:rsidRDefault="009D12A6" w:rsidP="009D12A6">
      <w:pPr>
        <w:autoSpaceDE w:val="0"/>
        <w:autoSpaceDN w:val="0"/>
        <w:adjustRightInd w:val="0"/>
        <w:ind w:hanging="567"/>
        <w:rPr>
          <w:b/>
          <w:bCs/>
          <w:iCs/>
          <w:color w:val="000000"/>
        </w:rPr>
      </w:pPr>
      <w:r w:rsidRPr="00005453">
        <w:rPr>
          <w:b/>
          <w:bCs/>
          <w:iCs/>
          <w:color w:val="000000"/>
        </w:rPr>
        <w:t>4.13</w:t>
      </w:r>
      <w:r w:rsidRPr="00005453">
        <w:rPr>
          <w:b/>
          <w:bCs/>
          <w:iCs/>
          <w:color w:val="000000"/>
        </w:rPr>
        <w:tab/>
      </w:r>
      <w:r w:rsidR="00E253C8" w:rsidRPr="00005453">
        <w:rPr>
          <w:b/>
          <w:bCs/>
          <w:iCs/>
          <w:color w:val="000000"/>
        </w:rPr>
        <w:t>Gelir tablosunda yer alan diğer kalemlerin, gelir tablosu toplamının %10’unu aşması halinde bu kalemlerin en az %20’sini oluşturan alt hesaplar</w:t>
      </w:r>
    </w:p>
    <w:p w14:paraId="410F6F45" w14:textId="77777777" w:rsidR="00033391" w:rsidRPr="00005453" w:rsidRDefault="00033391">
      <w:pPr>
        <w:tabs>
          <w:tab w:val="num" w:pos="1080"/>
        </w:tabs>
        <w:autoSpaceDE w:val="0"/>
        <w:autoSpaceDN w:val="0"/>
        <w:adjustRightInd w:val="0"/>
        <w:ind w:left="-360"/>
        <w:rPr>
          <w:b/>
          <w:bCs/>
          <w:iCs/>
          <w:color w:val="000000"/>
          <w:sz w:val="16"/>
          <w:szCs w:val="16"/>
        </w:rPr>
      </w:pPr>
    </w:p>
    <w:p w14:paraId="7C21FCF6" w14:textId="3B8955A9" w:rsidR="00403A87" w:rsidRPr="00005453" w:rsidRDefault="00095B71" w:rsidP="00403A87">
      <w:pPr>
        <w:jc w:val="both"/>
        <w:rPr>
          <w:bCs/>
          <w:color w:val="000000"/>
          <w:spacing w:val="-6"/>
        </w:rPr>
      </w:pPr>
      <w:r w:rsidRPr="00005453">
        <w:t>31 Aralık 20</w:t>
      </w:r>
      <w:r w:rsidR="00D83068" w:rsidRPr="00005453">
        <w:t>2</w:t>
      </w:r>
      <w:r w:rsidR="00DA0923" w:rsidRPr="00005453">
        <w:t>4</w:t>
      </w:r>
      <w:r w:rsidR="00E253C8" w:rsidRPr="00005453">
        <w:rPr>
          <w:bCs/>
          <w:color w:val="000000"/>
          <w:spacing w:val="-6"/>
        </w:rPr>
        <w:t xml:space="preserve"> tarihi</w:t>
      </w:r>
      <w:r w:rsidR="0054509F" w:rsidRPr="00005453">
        <w:rPr>
          <w:bCs/>
          <w:color w:val="000000"/>
          <w:spacing w:val="-6"/>
        </w:rPr>
        <w:t xml:space="preserve"> </w:t>
      </w:r>
      <w:r w:rsidR="00CF4F17" w:rsidRPr="00005453">
        <w:rPr>
          <w:bCs/>
          <w:color w:val="000000"/>
          <w:spacing w:val="-6"/>
        </w:rPr>
        <w:t>itibarıyla</w:t>
      </w:r>
      <w:r w:rsidR="009F1C4A" w:rsidRPr="00005453">
        <w:rPr>
          <w:bCs/>
          <w:color w:val="000000"/>
          <w:spacing w:val="-6"/>
        </w:rPr>
        <w:t xml:space="preserve"> </w:t>
      </w:r>
      <w:r w:rsidR="009A2E5C" w:rsidRPr="00005453">
        <w:rPr>
          <w:bCs/>
          <w:color w:val="000000"/>
          <w:spacing w:val="-6"/>
        </w:rPr>
        <w:t xml:space="preserve">17,974,846 </w:t>
      </w:r>
      <w:r w:rsidR="0054509F" w:rsidRPr="00005453">
        <w:rPr>
          <w:bCs/>
          <w:color w:val="000000"/>
          <w:spacing w:val="-6"/>
        </w:rPr>
        <w:t>TL (</w:t>
      </w:r>
      <w:r w:rsidR="00E86FFE" w:rsidRPr="00005453">
        <w:rPr>
          <w:bCs/>
          <w:color w:val="000000"/>
          <w:spacing w:val="-6"/>
        </w:rPr>
        <w:t>1 Ocak-</w:t>
      </w:r>
      <w:r w:rsidRPr="00005453">
        <w:t>31 Aralık 20</w:t>
      </w:r>
      <w:r w:rsidR="00BC5FEB" w:rsidRPr="00005453">
        <w:t>2</w:t>
      </w:r>
      <w:r w:rsidR="00DA0923" w:rsidRPr="00005453">
        <w:t>3</w:t>
      </w:r>
      <w:r w:rsidR="00E253C8" w:rsidRPr="00005453">
        <w:rPr>
          <w:bCs/>
          <w:color w:val="000000"/>
          <w:spacing w:val="-6"/>
        </w:rPr>
        <w:t xml:space="preserve"> – </w:t>
      </w:r>
      <w:r w:rsidR="005117FF" w:rsidRPr="00005453">
        <w:rPr>
          <w:bCs/>
          <w:color w:val="000000"/>
          <w:spacing w:val="-6"/>
        </w:rPr>
        <w:t>6</w:t>
      </w:r>
      <w:r w:rsidR="00A02218" w:rsidRPr="00005453">
        <w:rPr>
          <w:bCs/>
          <w:color w:val="000000"/>
          <w:spacing w:val="-6"/>
        </w:rPr>
        <w:t>,</w:t>
      </w:r>
      <w:r w:rsidR="005117FF" w:rsidRPr="00005453">
        <w:rPr>
          <w:bCs/>
          <w:color w:val="000000"/>
          <w:spacing w:val="-6"/>
        </w:rPr>
        <w:t>772</w:t>
      </w:r>
      <w:r w:rsidR="00A02218" w:rsidRPr="00005453">
        <w:rPr>
          <w:bCs/>
          <w:color w:val="000000"/>
          <w:spacing w:val="-6"/>
        </w:rPr>
        <w:t>,</w:t>
      </w:r>
      <w:r w:rsidR="005117FF" w:rsidRPr="00005453">
        <w:rPr>
          <w:bCs/>
          <w:color w:val="000000"/>
          <w:spacing w:val="-6"/>
        </w:rPr>
        <w:t>866</w:t>
      </w:r>
      <w:r w:rsidR="00A02218" w:rsidRPr="00005453">
        <w:rPr>
          <w:bCs/>
          <w:color w:val="000000"/>
          <w:spacing w:val="-6"/>
        </w:rPr>
        <w:t xml:space="preserve"> </w:t>
      </w:r>
      <w:r w:rsidR="006A694F" w:rsidRPr="00005453">
        <w:rPr>
          <w:bCs/>
          <w:color w:val="000000"/>
          <w:spacing w:val="-6"/>
        </w:rPr>
        <w:t>TL</w:t>
      </w:r>
      <w:r w:rsidR="00E253C8" w:rsidRPr="00005453">
        <w:rPr>
          <w:bCs/>
          <w:color w:val="000000"/>
          <w:spacing w:val="-6"/>
        </w:rPr>
        <w:t>) tutarındaki diğer alınan ücret ve komi</w:t>
      </w:r>
      <w:r w:rsidR="009D12A6" w:rsidRPr="00005453">
        <w:rPr>
          <w:bCs/>
          <w:color w:val="000000"/>
          <w:spacing w:val="-6"/>
        </w:rPr>
        <w:t>syonların</w:t>
      </w:r>
      <w:r w:rsidR="00152DA8" w:rsidRPr="00005453">
        <w:rPr>
          <w:bCs/>
          <w:color w:val="000000"/>
          <w:spacing w:val="-6"/>
        </w:rPr>
        <w:t xml:space="preserve"> </w:t>
      </w:r>
      <w:r w:rsidR="00BE5BB9" w:rsidRPr="00005453">
        <w:rPr>
          <w:bCs/>
          <w:color w:val="000000"/>
          <w:spacing w:val="-6"/>
        </w:rPr>
        <w:t>7</w:t>
      </w:r>
      <w:r w:rsidR="007564CD" w:rsidRPr="00005453">
        <w:rPr>
          <w:bCs/>
          <w:color w:val="000000"/>
          <w:spacing w:val="-6"/>
        </w:rPr>
        <w:t>,</w:t>
      </w:r>
      <w:r w:rsidR="00BE5BB9" w:rsidRPr="00005453">
        <w:rPr>
          <w:bCs/>
          <w:color w:val="000000"/>
          <w:spacing w:val="-6"/>
        </w:rPr>
        <w:t>817</w:t>
      </w:r>
      <w:r w:rsidR="007564CD" w:rsidRPr="00005453">
        <w:rPr>
          <w:bCs/>
          <w:color w:val="000000"/>
          <w:spacing w:val="-6"/>
        </w:rPr>
        <w:t>,</w:t>
      </w:r>
      <w:r w:rsidR="00BE5BB9" w:rsidRPr="00005453">
        <w:rPr>
          <w:bCs/>
          <w:color w:val="000000"/>
          <w:spacing w:val="-6"/>
        </w:rPr>
        <w:t>397</w:t>
      </w:r>
      <w:r w:rsidR="000D0E89" w:rsidRPr="00005453">
        <w:rPr>
          <w:bCs/>
          <w:color w:val="000000"/>
          <w:spacing w:val="-6"/>
        </w:rPr>
        <w:t xml:space="preserve"> </w:t>
      </w:r>
      <w:r w:rsidR="0054509F" w:rsidRPr="00005453">
        <w:rPr>
          <w:bCs/>
          <w:color w:val="000000"/>
          <w:spacing w:val="-6"/>
        </w:rPr>
        <w:t>TL’si (</w:t>
      </w:r>
      <w:r w:rsidR="00BE7E68" w:rsidRPr="00005453">
        <w:rPr>
          <w:bCs/>
          <w:color w:val="000000"/>
          <w:spacing w:val="-6"/>
        </w:rPr>
        <w:t>1 Ocak-</w:t>
      </w:r>
      <w:r w:rsidRPr="00005453">
        <w:t>31 Aralık 20</w:t>
      </w:r>
      <w:r w:rsidR="00BC5FEB" w:rsidRPr="00005453">
        <w:t>2</w:t>
      </w:r>
      <w:r w:rsidR="005117FF" w:rsidRPr="00005453">
        <w:t>3</w:t>
      </w:r>
      <w:r w:rsidR="00E253C8" w:rsidRPr="00005453">
        <w:rPr>
          <w:bCs/>
          <w:color w:val="000000"/>
          <w:spacing w:val="-6"/>
        </w:rPr>
        <w:t xml:space="preserve"> – </w:t>
      </w:r>
      <w:r w:rsidR="005117FF" w:rsidRPr="00005453">
        <w:rPr>
          <w:bCs/>
          <w:color w:val="000000"/>
          <w:spacing w:val="-6"/>
        </w:rPr>
        <w:t>2,616</w:t>
      </w:r>
      <w:r w:rsidR="00A02218" w:rsidRPr="00005453">
        <w:rPr>
          <w:bCs/>
          <w:color w:val="000000"/>
          <w:spacing w:val="-6"/>
        </w:rPr>
        <w:t>,</w:t>
      </w:r>
      <w:r w:rsidR="005117FF" w:rsidRPr="00005453">
        <w:rPr>
          <w:bCs/>
          <w:color w:val="000000"/>
          <w:spacing w:val="-6"/>
        </w:rPr>
        <w:t>859</w:t>
      </w:r>
      <w:r w:rsidR="00A82F1F" w:rsidRPr="00005453">
        <w:rPr>
          <w:bCs/>
          <w:color w:val="000000"/>
          <w:spacing w:val="-6"/>
        </w:rPr>
        <w:t xml:space="preserve"> </w:t>
      </w:r>
      <w:r w:rsidR="006A694F" w:rsidRPr="00005453">
        <w:rPr>
          <w:bCs/>
          <w:color w:val="000000"/>
          <w:spacing w:val="-6"/>
        </w:rPr>
        <w:t>TL</w:t>
      </w:r>
      <w:r w:rsidR="00E253C8" w:rsidRPr="00005453">
        <w:rPr>
          <w:bCs/>
          <w:color w:val="000000"/>
          <w:spacing w:val="-6"/>
        </w:rPr>
        <w:t>) kredi kartı ücr</w:t>
      </w:r>
      <w:r w:rsidR="006A694F" w:rsidRPr="00005453">
        <w:rPr>
          <w:bCs/>
          <w:color w:val="000000"/>
          <w:spacing w:val="-6"/>
        </w:rPr>
        <w:t>et ve komisyonlarından ve</w:t>
      </w:r>
      <w:r w:rsidR="00152DA8" w:rsidRPr="00005453">
        <w:rPr>
          <w:bCs/>
          <w:color w:val="000000"/>
          <w:spacing w:val="-6"/>
        </w:rPr>
        <w:t xml:space="preserve"> </w:t>
      </w:r>
      <w:r w:rsidR="00BE5BB9" w:rsidRPr="00005453">
        <w:rPr>
          <w:bCs/>
          <w:color w:val="000000"/>
          <w:spacing w:val="-6"/>
        </w:rPr>
        <w:t>5</w:t>
      </w:r>
      <w:r w:rsidR="00523603" w:rsidRPr="00005453">
        <w:rPr>
          <w:bCs/>
          <w:color w:val="000000"/>
          <w:spacing w:val="-6"/>
        </w:rPr>
        <w:t>,</w:t>
      </w:r>
      <w:r w:rsidR="00BE5BB9" w:rsidRPr="00005453">
        <w:rPr>
          <w:bCs/>
          <w:color w:val="000000"/>
          <w:spacing w:val="-6"/>
        </w:rPr>
        <w:t>699</w:t>
      </w:r>
      <w:r w:rsidR="00523603" w:rsidRPr="00005453">
        <w:rPr>
          <w:bCs/>
          <w:color w:val="000000"/>
          <w:spacing w:val="-6"/>
        </w:rPr>
        <w:t>,</w:t>
      </w:r>
      <w:r w:rsidR="00BE5BB9" w:rsidRPr="00005453">
        <w:rPr>
          <w:bCs/>
          <w:color w:val="000000"/>
          <w:spacing w:val="-6"/>
        </w:rPr>
        <w:t>385</w:t>
      </w:r>
      <w:r w:rsidR="00E86FFE" w:rsidRPr="00005453">
        <w:rPr>
          <w:bCs/>
          <w:color w:val="000000"/>
          <w:spacing w:val="-6"/>
        </w:rPr>
        <w:t xml:space="preserve"> </w:t>
      </w:r>
      <w:r w:rsidR="00E253C8" w:rsidRPr="00005453">
        <w:rPr>
          <w:bCs/>
          <w:color w:val="000000"/>
          <w:spacing w:val="-6"/>
        </w:rPr>
        <w:t xml:space="preserve">TL’si </w:t>
      </w:r>
      <w:r w:rsidR="00FB3172" w:rsidRPr="00005453">
        <w:rPr>
          <w:bCs/>
          <w:color w:val="000000"/>
          <w:spacing w:val="-6"/>
        </w:rPr>
        <w:t>(1 Ocak-</w:t>
      </w:r>
      <w:r w:rsidR="00FB3172" w:rsidRPr="00005453">
        <w:t>31 Aralık 2023</w:t>
      </w:r>
      <w:r w:rsidR="00FB3172" w:rsidRPr="00005453">
        <w:rPr>
          <w:bCs/>
          <w:color w:val="000000"/>
          <w:spacing w:val="-6"/>
        </w:rPr>
        <w:t xml:space="preserve"> – 1,721,752 TL) </w:t>
      </w:r>
      <w:r w:rsidR="00E253C8" w:rsidRPr="00005453">
        <w:rPr>
          <w:bCs/>
          <w:color w:val="000000"/>
          <w:spacing w:val="-6"/>
        </w:rPr>
        <w:t>üye işyeri POS i</w:t>
      </w:r>
      <w:r w:rsidR="0054509F" w:rsidRPr="00005453">
        <w:rPr>
          <w:bCs/>
          <w:color w:val="000000"/>
          <w:spacing w:val="-6"/>
        </w:rPr>
        <w:t xml:space="preserve">şlem komisyonlarından </w:t>
      </w:r>
      <w:r w:rsidR="00403A87" w:rsidRPr="00005453">
        <w:rPr>
          <w:bCs/>
          <w:color w:val="000000"/>
          <w:spacing w:val="-6"/>
        </w:rPr>
        <w:t xml:space="preserve">ve </w:t>
      </w:r>
      <w:r w:rsidR="00FB3172" w:rsidRPr="00005453">
        <w:rPr>
          <w:bCs/>
          <w:color w:val="000000"/>
          <w:spacing w:val="-6"/>
        </w:rPr>
        <w:t>4</w:t>
      </w:r>
      <w:r w:rsidR="00403A87" w:rsidRPr="00005453">
        <w:rPr>
          <w:bCs/>
          <w:color w:val="000000"/>
          <w:spacing w:val="-6"/>
        </w:rPr>
        <w:t>,</w:t>
      </w:r>
      <w:r w:rsidR="00FB3172" w:rsidRPr="00005453">
        <w:rPr>
          <w:bCs/>
          <w:color w:val="000000"/>
          <w:spacing w:val="-6"/>
        </w:rPr>
        <w:t>458</w:t>
      </w:r>
      <w:r w:rsidR="00403A87" w:rsidRPr="00005453">
        <w:rPr>
          <w:bCs/>
          <w:color w:val="000000"/>
          <w:spacing w:val="-6"/>
        </w:rPr>
        <w:t>,</w:t>
      </w:r>
      <w:r w:rsidR="00FB3172" w:rsidRPr="00005453">
        <w:rPr>
          <w:bCs/>
          <w:color w:val="000000"/>
          <w:spacing w:val="-6"/>
        </w:rPr>
        <w:t>064</w:t>
      </w:r>
      <w:r w:rsidR="00403A87" w:rsidRPr="00005453">
        <w:rPr>
          <w:bCs/>
          <w:color w:val="000000"/>
          <w:spacing w:val="-6"/>
        </w:rPr>
        <w:t xml:space="preserve"> TL’si </w:t>
      </w:r>
      <w:r w:rsidR="00403A87" w:rsidRPr="00005453">
        <w:rPr>
          <w:spacing w:val="-6"/>
        </w:rPr>
        <w:t>(</w:t>
      </w:r>
      <w:r w:rsidR="00403A87" w:rsidRPr="00005453">
        <w:rPr>
          <w:spacing w:val="-4"/>
        </w:rPr>
        <w:t>1 Ocak-</w:t>
      </w:r>
      <w:r w:rsidR="00403A87" w:rsidRPr="00005453">
        <w:t>3</w:t>
      </w:r>
      <w:r w:rsidR="00FB3172" w:rsidRPr="00005453">
        <w:t>1 Aralık</w:t>
      </w:r>
      <w:r w:rsidR="00403A87" w:rsidRPr="00005453">
        <w:t xml:space="preserve"> 2023 </w:t>
      </w:r>
      <w:r w:rsidR="00403A87" w:rsidRPr="00005453">
        <w:rPr>
          <w:bCs/>
          <w:color w:val="000000"/>
          <w:spacing w:val="-6"/>
        </w:rPr>
        <w:t xml:space="preserve">– </w:t>
      </w:r>
      <w:r w:rsidR="00FB3172" w:rsidRPr="00005453">
        <w:rPr>
          <w:bCs/>
          <w:color w:val="000000"/>
          <w:spacing w:val="-6"/>
        </w:rPr>
        <w:t>2</w:t>
      </w:r>
      <w:r w:rsidR="00403A87" w:rsidRPr="00005453">
        <w:rPr>
          <w:bCs/>
          <w:color w:val="000000"/>
          <w:spacing w:val="-6"/>
        </w:rPr>
        <w:t>,</w:t>
      </w:r>
      <w:r w:rsidR="00FB3172" w:rsidRPr="00005453">
        <w:rPr>
          <w:bCs/>
          <w:color w:val="000000"/>
          <w:spacing w:val="-6"/>
        </w:rPr>
        <w:t>434</w:t>
      </w:r>
      <w:r w:rsidR="00403A87" w:rsidRPr="00005453">
        <w:rPr>
          <w:bCs/>
          <w:color w:val="000000"/>
          <w:spacing w:val="-6"/>
        </w:rPr>
        <w:t>,2</w:t>
      </w:r>
      <w:r w:rsidR="00FB3172" w:rsidRPr="00005453">
        <w:rPr>
          <w:bCs/>
          <w:color w:val="000000"/>
          <w:spacing w:val="-6"/>
        </w:rPr>
        <w:t>55</w:t>
      </w:r>
      <w:r w:rsidR="00403A87" w:rsidRPr="00005453">
        <w:rPr>
          <w:bCs/>
          <w:color w:val="000000"/>
          <w:spacing w:val="-6"/>
        </w:rPr>
        <w:t xml:space="preserve"> TL) diğer komisyonlardan oluşmaktadır.</w:t>
      </w:r>
    </w:p>
    <w:p w14:paraId="313A1105" w14:textId="77777777" w:rsidR="00033391" w:rsidRPr="00005453" w:rsidRDefault="00033391" w:rsidP="00FB3172">
      <w:pPr>
        <w:jc w:val="both"/>
        <w:rPr>
          <w:bCs/>
          <w:color w:val="000000"/>
          <w:sz w:val="16"/>
          <w:szCs w:val="16"/>
        </w:rPr>
      </w:pPr>
    </w:p>
    <w:p w14:paraId="1BABBE6A" w14:textId="1D615B2F" w:rsidR="00033391" w:rsidRPr="00005453" w:rsidRDefault="00095B71" w:rsidP="003A2295">
      <w:pPr>
        <w:jc w:val="both"/>
        <w:rPr>
          <w:b/>
          <w:bCs/>
          <w:iCs/>
          <w:color w:val="000000"/>
        </w:rPr>
      </w:pPr>
      <w:r w:rsidRPr="00005453">
        <w:t>31 Aralık 20</w:t>
      </w:r>
      <w:r w:rsidR="00D83068" w:rsidRPr="00005453">
        <w:t>2</w:t>
      </w:r>
      <w:r w:rsidR="005117FF" w:rsidRPr="00005453">
        <w:t>4</w:t>
      </w:r>
      <w:r w:rsidR="00F972CB" w:rsidRPr="00005453">
        <w:rPr>
          <w:bCs/>
          <w:color w:val="000000"/>
          <w:spacing w:val="-6"/>
        </w:rPr>
        <w:t xml:space="preserve"> </w:t>
      </w:r>
      <w:r w:rsidR="00E253C8" w:rsidRPr="00005453">
        <w:rPr>
          <w:bCs/>
          <w:color w:val="000000"/>
        </w:rPr>
        <w:t>tarihi</w:t>
      </w:r>
      <w:r w:rsidR="0054509F" w:rsidRPr="00005453">
        <w:rPr>
          <w:bCs/>
          <w:color w:val="000000"/>
        </w:rPr>
        <w:t xml:space="preserve"> </w:t>
      </w:r>
      <w:r w:rsidR="00CF4F17" w:rsidRPr="00005453">
        <w:rPr>
          <w:bCs/>
          <w:color w:val="000000"/>
        </w:rPr>
        <w:t>itibarıyla</w:t>
      </w:r>
      <w:r w:rsidR="00152DA8" w:rsidRPr="00005453">
        <w:rPr>
          <w:bCs/>
          <w:color w:val="000000"/>
        </w:rPr>
        <w:t xml:space="preserve"> </w:t>
      </w:r>
      <w:r w:rsidR="00BE5BB9" w:rsidRPr="00005453">
        <w:rPr>
          <w:bCs/>
          <w:color w:val="000000"/>
        </w:rPr>
        <w:t>9</w:t>
      </w:r>
      <w:r w:rsidR="00BC7E08" w:rsidRPr="00005453">
        <w:rPr>
          <w:bCs/>
          <w:color w:val="000000"/>
        </w:rPr>
        <w:t>,</w:t>
      </w:r>
      <w:r w:rsidR="00BE5BB9" w:rsidRPr="00005453">
        <w:rPr>
          <w:bCs/>
          <w:color w:val="000000"/>
        </w:rPr>
        <w:t>602</w:t>
      </w:r>
      <w:r w:rsidR="008D6A34" w:rsidRPr="00005453">
        <w:rPr>
          <w:bCs/>
          <w:color w:val="000000"/>
        </w:rPr>
        <w:t>,</w:t>
      </w:r>
      <w:r w:rsidR="00BE5BB9" w:rsidRPr="00005453">
        <w:rPr>
          <w:bCs/>
          <w:color w:val="000000"/>
        </w:rPr>
        <w:t>530</w:t>
      </w:r>
      <w:r w:rsidR="000D0E89" w:rsidRPr="00005453">
        <w:rPr>
          <w:bCs/>
          <w:color w:val="000000"/>
        </w:rPr>
        <w:t xml:space="preserve"> </w:t>
      </w:r>
      <w:r w:rsidR="0054509F" w:rsidRPr="00005453">
        <w:rPr>
          <w:bCs/>
          <w:color w:val="000000"/>
        </w:rPr>
        <w:t>TL (</w:t>
      </w:r>
      <w:r w:rsidR="00E86FFE" w:rsidRPr="00005453">
        <w:rPr>
          <w:bCs/>
          <w:color w:val="000000"/>
        </w:rPr>
        <w:t>1 Ocak-</w:t>
      </w:r>
      <w:r w:rsidRPr="00005453">
        <w:t>31 Aralık 20</w:t>
      </w:r>
      <w:r w:rsidR="00FB38FB" w:rsidRPr="00005453">
        <w:t>2</w:t>
      </w:r>
      <w:r w:rsidR="005117FF" w:rsidRPr="00005453">
        <w:t>3</w:t>
      </w:r>
      <w:r w:rsidR="00E253C8" w:rsidRPr="00005453">
        <w:rPr>
          <w:bCs/>
          <w:color w:val="000000"/>
        </w:rPr>
        <w:t xml:space="preserve"> </w:t>
      </w:r>
      <w:r w:rsidR="00A82F1F" w:rsidRPr="00005453">
        <w:rPr>
          <w:bCs/>
          <w:color w:val="000000"/>
          <w:spacing w:val="-6"/>
        </w:rPr>
        <w:t>–</w:t>
      </w:r>
      <w:r w:rsidR="005117FF" w:rsidRPr="00005453">
        <w:rPr>
          <w:bCs/>
          <w:color w:val="000000"/>
          <w:spacing w:val="-6"/>
        </w:rPr>
        <w:t xml:space="preserve"> </w:t>
      </w:r>
      <w:r w:rsidR="005117FF" w:rsidRPr="00005453">
        <w:rPr>
          <w:bCs/>
          <w:color w:val="000000"/>
        </w:rPr>
        <w:t>3</w:t>
      </w:r>
      <w:r w:rsidR="00A02218" w:rsidRPr="00005453">
        <w:rPr>
          <w:bCs/>
          <w:color w:val="000000"/>
        </w:rPr>
        <w:t>,</w:t>
      </w:r>
      <w:r w:rsidR="005117FF" w:rsidRPr="00005453">
        <w:rPr>
          <w:bCs/>
          <w:color w:val="000000"/>
        </w:rPr>
        <w:t>75</w:t>
      </w:r>
      <w:r w:rsidR="00A02218" w:rsidRPr="00005453">
        <w:rPr>
          <w:bCs/>
          <w:color w:val="000000"/>
        </w:rPr>
        <w:t>3,</w:t>
      </w:r>
      <w:r w:rsidR="005117FF" w:rsidRPr="00005453">
        <w:rPr>
          <w:bCs/>
          <w:color w:val="000000"/>
        </w:rPr>
        <w:t>025</w:t>
      </w:r>
      <w:r w:rsidR="00A02218" w:rsidRPr="00005453">
        <w:rPr>
          <w:bCs/>
          <w:color w:val="000000"/>
        </w:rPr>
        <w:t xml:space="preserve"> </w:t>
      </w:r>
      <w:r w:rsidR="006A694F" w:rsidRPr="00005453">
        <w:rPr>
          <w:bCs/>
          <w:color w:val="000000"/>
        </w:rPr>
        <w:t>TL</w:t>
      </w:r>
      <w:r w:rsidR="00E253C8" w:rsidRPr="00005453">
        <w:rPr>
          <w:bCs/>
          <w:color w:val="000000"/>
        </w:rPr>
        <w:t>) tutarındaki diğer verilen ücret ve komisy</w:t>
      </w:r>
      <w:r w:rsidR="0054509F" w:rsidRPr="00005453">
        <w:rPr>
          <w:bCs/>
          <w:color w:val="000000"/>
        </w:rPr>
        <w:t xml:space="preserve">onların; </w:t>
      </w:r>
      <w:r w:rsidR="00BE5BB9" w:rsidRPr="00005453">
        <w:rPr>
          <w:bCs/>
          <w:color w:val="000000"/>
        </w:rPr>
        <w:t>7</w:t>
      </w:r>
      <w:r w:rsidR="00523603" w:rsidRPr="00005453">
        <w:rPr>
          <w:bCs/>
          <w:color w:val="000000"/>
        </w:rPr>
        <w:t>,</w:t>
      </w:r>
      <w:r w:rsidR="00BE5BB9" w:rsidRPr="00005453">
        <w:rPr>
          <w:bCs/>
          <w:color w:val="000000"/>
        </w:rPr>
        <w:t>491</w:t>
      </w:r>
      <w:r w:rsidR="008D6A34" w:rsidRPr="00005453">
        <w:rPr>
          <w:bCs/>
          <w:color w:val="000000"/>
        </w:rPr>
        <w:t>,</w:t>
      </w:r>
      <w:r w:rsidR="00BE5BB9" w:rsidRPr="00005453">
        <w:rPr>
          <w:bCs/>
          <w:color w:val="000000"/>
        </w:rPr>
        <w:t>763</w:t>
      </w:r>
      <w:r w:rsidR="00A02218" w:rsidRPr="00005453">
        <w:rPr>
          <w:bCs/>
          <w:color w:val="000000"/>
        </w:rPr>
        <w:t xml:space="preserve"> </w:t>
      </w:r>
      <w:r w:rsidR="0054509F" w:rsidRPr="00005453">
        <w:rPr>
          <w:bCs/>
          <w:color w:val="000000"/>
        </w:rPr>
        <w:t>TL’si (</w:t>
      </w:r>
      <w:r w:rsidR="00E86FFE" w:rsidRPr="00005453">
        <w:rPr>
          <w:bCs/>
          <w:color w:val="000000"/>
        </w:rPr>
        <w:t>1 Ocak-</w:t>
      </w:r>
      <w:r w:rsidRPr="00005453">
        <w:t>31 Aralık 20</w:t>
      </w:r>
      <w:r w:rsidR="00FB38FB" w:rsidRPr="00005453">
        <w:t>2</w:t>
      </w:r>
      <w:r w:rsidR="005117FF" w:rsidRPr="00005453">
        <w:t>3</w:t>
      </w:r>
      <w:r w:rsidR="00E253C8" w:rsidRPr="00005453">
        <w:rPr>
          <w:bCs/>
          <w:color w:val="000000"/>
        </w:rPr>
        <w:t xml:space="preserve"> – </w:t>
      </w:r>
      <w:r w:rsidR="005117FF" w:rsidRPr="00005453">
        <w:rPr>
          <w:bCs/>
          <w:color w:val="000000"/>
        </w:rPr>
        <w:t>2,222</w:t>
      </w:r>
      <w:r w:rsidR="00A02218" w:rsidRPr="00005453">
        <w:rPr>
          <w:bCs/>
          <w:color w:val="000000"/>
        </w:rPr>
        <w:t>,</w:t>
      </w:r>
      <w:r w:rsidR="005117FF" w:rsidRPr="00005453">
        <w:rPr>
          <w:bCs/>
          <w:color w:val="000000"/>
        </w:rPr>
        <w:t>466</w:t>
      </w:r>
      <w:r w:rsidR="00A02218" w:rsidRPr="00005453">
        <w:rPr>
          <w:bCs/>
          <w:color w:val="000000"/>
        </w:rPr>
        <w:t xml:space="preserve"> </w:t>
      </w:r>
      <w:r w:rsidR="006A694F" w:rsidRPr="00005453">
        <w:rPr>
          <w:bCs/>
          <w:color w:val="000000"/>
        </w:rPr>
        <w:t>TL</w:t>
      </w:r>
      <w:r w:rsidR="00E253C8" w:rsidRPr="00005453">
        <w:rPr>
          <w:bCs/>
          <w:color w:val="000000"/>
        </w:rPr>
        <w:t>) POS komisyonları ve kurulum gider</w:t>
      </w:r>
      <w:r w:rsidR="0054509F" w:rsidRPr="00005453">
        <w:rPr>
          <w:bCs/>
          <w:color w:val="000000"/>
        </w:rPr>
        <w:t xml:space="preserve">lerinden, </w:t>
      </w:r>
      <w:r w:rsidR="00BE5BB9" w:rsidRPr="00005453">
        <w:rPr>
          <w:bCs/>
          <w:color w:val="000000"/>
        </w:rPr>
        <w:t>757</w:t>
      </w:r>
      <w:r w:rsidR="00523603" w:rsidRPr="00005453">
        <w:rPr>
          <w:bCs/>
          <w:color w:val="000000"/>
        </w:rPr>
        <w:t>,</w:t>
      </w:r>
      <w:r w:rsidR="00BE5BB9" w:rsidRPr="00005453">
        <w:rPr>
          <w:bCs/>
          <w:color w:val="000000"/>
        </w:rPr>
        <w:t>083</w:t>
      </w:r>
      <w:r w:rsidR="000D0E89" w:rsidRPr="00005453">
        <w:rPr>
          <w:bCs/>
          <w:color w:val="000000"/>
        </w:rPr>
        <w:t xml:space="preserve"> </w:t>
      </w:r>
      <w:r w:rsidR="0054509F" w:rsidRPr="00005453">
        <w:rPr>
          <w:bCs/>
          <w:color w:val="000000"/>
        </w:rPr>
        <w:t>TL’si (</w:t>
      </w:r>
      <w:r w:rsidR="00E86FFE" w:rsidRPr="00005453">
        <w:rPr>
          <w:bCs/>
          <w:color w:val="000000"/>
        </w:rPr>
        <w:t>1 Ocak-</w:t>
      </w:r>
      <w:r w:rsidRPr="00005453">
        <w:t>31 Aralık 20</w:t>
      </w:r>
      <w:r w:rsidR="00FB38FB" w:rsidRPr="00005453">
        <w:t>2</w:t>
      </w:r>
      <w:r w:rsidR="005117FF" w:rsidRPr="00005453">
        <w:t>3</w:t>
      </w:r>
      <w:r w:rsidR="00E253C8" w:rsidRPr="00005453">
        <w:rPr>
          <w:bCs/>
          <w:color w:val="000000"/>
        </w:rPr>
        <w:t xml:space="preserve"> – </w:t>
      </w:r>
      <w:r w:rsidR="005117FF" w:rsidRPr="00005453">
        <w:rPr>
          <w:bCs/>
          <w:color w:val="000000"/>
        </w:rPr>
        <w:t>431</w:t>
      </w:r>
      <w:r w:rsidR="00A02218" w:rsidRPr="00005453">
        <w:rPr>
          <w:bCs/>
          <w:color w:val="000000"/>
        </w:rPr>
        <w:t>,</w:t>
      </w:r>
      <w:r w:rsidR="005117FF" w:rsidRPr="00005453">
        <w:rPr>
          <w:bCs/>
          <w:color w:val="000000"/>
        </w:rPr>
        <w:t>624</w:t>
      </w:r>
      <w:r w:rsidR="00A02218" w:rsidRPr="00005453">
        <w:rPr>
          <w:bCs/>
          <w:color w:val="000000"/>
        </w:rPr>
        <w:t xml:space="preserve"> </w:t>
      </w:r>
      <w:r w:rsidR="006A694F" w:rsidRPr="00005453">
        <w:rPr>
          <w:bCs/>
          <w:color w:val="000000"/>
        </w:rPr>
        <w:t>TL</w:t>
      </w:r>
      <w:r w:rsidR="00E253C8" w:rsidRPr="00005453">
        <w:rPr>
          <w:bCs/>
          <w:color w:val="000000"/>
        </w:rPr>
        <w:t>) kredi kartları için ödenen ücret ve komisyonlardan</w:t>
      </w:r>
      <w:r w:rsidR="00FB3172" w:rsidRPr="00005453">
        <w:rPr>
          <w:bCs/>
          <w:color w:val="000000"/>
        </w:rPr>
        <w:t xml:space="preserve"> ve 1,353,684 TL’si (1 Ocak-31 Aralık 2023 </w:t>
      </w:r>
      <w:r w:rsidR="00FB3172" w:rsidRPr="00005453">
        <w:rPr>
          <w:bCs/>
          <w:color w:val="000000"/>
          <w:spacing w:val="-6"/>
        </w:rPr>
        <w:t>– 1,098,935 TL) diğer komisyonlardan</w:t>
      </w:r>
      <w:r w:rsidR="00FB3172" w:rsidRPr="00005453">
        <w:rPr>
          <w:bCs/>
          <w:color w:val="000000"/>
        </w:rPr>
        <w:t xml:space="preserve"> oluşmaktadır</w:t>
      </w:r>
      <w:r w:rsidR="00E253C8" w:rsidRPr="00005453">
        <w:rPr>
          <w:bCs/>
          <w:iCs/>
          <w:color w:val="000000"/>
        </w:rPr>
        <w:t>.</w:t>
      </w:r>
    </w:p>
    <w:p w14:paraId="26B4BAEE" w14:textId="77777777" w:rsidR="00CB3165" w:rsidRPr="00005453" w:rsidRDefault="00CB3165" w:rsidP="003A2295">
      <w:pPr>
        <w:ind w:right="183"/>
        <w:rPr>
          <w:b/>
        </w:rPr>
      </w:pPr>
    </w:p>
    <w:p w14:paraId="7E740ECE" w14:textId="77777777" w:rsidR="00EC1D5D" w:rsidRPr="00005453" w:rsidRDefault="00EC1D5D" w:rsidP="00EC1D5D">
      <w:pPr>
        <w:ind w:right="183" w:hanging="567"/>
        <w:rPr>
          <w:b/>
        </w:rPr>
      </w:pPr>
      <w:r w:rsidRPr="00005453">
        <w:rPr>
          <w:b/>
        </w:rPr>
        <w:t>5.</w:t>
      </w:r>
      <w:r w:rsidRPr="00005453">
        <w:rPr>
          <w:b/>
        </w:rPr>
        <w:tab/>
        <w:t>Özkaynak Değişim Tablosuna İlişkin Açıklama ve Dipnotlar</w:t>
      </w:r>
    </w:p>
    <w:p w14:paraId="4568E694" w14:textId="77777777" w:rsidR="00EC1D5D" w:rsidRPr="00005453" w:rsidRDefault="00EC1D5D" w:rsidP="00EC1D5D">
      <w:pPr>
        <w:ind w:right="183" w:hanging="567"/>
        <w:rPr>
          <w:b/>
          <w:sz w:val="12"/>
        </w:rPr>
      </w:pPr>
    </w:p>
    <w:p w14:paraId="0CF48A8F" w14:textId="77777777" w:rsidR="0022205C" w:rsidRPr="00005453" w:rsidRDefault="0022205C" w:rsidP="0022205C">
      <w:pPr>
        <w:ind w:hanging="567"/>
        <w:jc w:val="both"/>
      </w:pPr>
      <w:r w:rsidRPr="00005453">
        <w:rPr>
          <w:b/>
        </w:rPr>
        <w:t>5.1.</w:t>
      </w:r>
      <w:r w:rsidRPr="00005453">
        <w:tab/>
        <w:t>Bilanço tarihinden sonra ancak finansal tabloların ilanından önce bildirim yapılmış kâr payları tutarı bulunmamaktadır.</w:t>
      </w:r>
    </w:p>
    <w:p w14:paraId="418D680F" w14:textId="77777777" w:rsidR="00D23E4C" w:rsidRPr="00005453" w:rsidRDefault="00D23E4C" w:rsidP="0022205C">
      <w:pPr>
        <w:jc w:val="both"/>
        <w:rPr>
          <w:sz w:val="8"/>
          <w:szCs w:val="16"/>
        </w:rPr>
      </w:pPr>
    </w:p>
    <w:p w14:paraId="1C74594E" w14:textId="57707A89" w:rsidR="0022205C" w:rsidRPr="00005453" w:rsidRDefault="0022205C" w:rsidP="0022205C">
      <w:pPr>
        <w:jc w:val="both"/>
      </w:pPr>
      <w:proofErr w:type="gramStart"/>
      <w:r w:rsidRPr="00005453">
        <w:t>Kar</w:t>
      </w:r>
      <w:proofErr w:type="gramEnd"/>
      <w:r w:rsidRPr="00005453">
        <w:t xml:space="preserve"> payı dağıtımına Genel Kurul toplantısında karar verilecek olup, Genel Kurul, ekli finansal tabloların kesinleştiği tarih </w:t>
      </w:r>
      <w:r w:rsidR="002C78B0" w:rsidRPr="00005453">
        <w:t>itibarıyla</w:t>
      </w:r>
      <w:r w:rsidRPr="00005453">
        <w:t xml:space="preserve"> henüz yapılmamıştır.</w:t>
      </w:r>
    </w:p>
    <w:p w14:paraId="3692D882" w14:textId="77777777" w:rsidR="0022205C" w:rsidRPr="00005453" w:rsidRDefault="0022205C" w:rsidP="0022205C">
      <w:pPr>
        <w:jc w:val="both"/>
        <w:rPr>
          <w:sz w:val="16"/>
          <w:szCs w:val="16"/>
        </w:rPr>
      </w:pPr>
    </w:p>
    <w:p w14:paraId="3A88BE88" w14:textId="4DB445C7" w:rsidR="0022205C" w:rsidRPr="00005453" w:rsidRDefault="0022205C" w:rsidP="0022205C">
      <w:pPr>
        <w:ind w:hanging="567"/>
        <w:jc w:val="both"/>
      </w:pPr>
      <w:bookmarkStart w:id="93" w:name="_Hlk93392790"/>
      <w:r w:rsidRPr="00005453">
        <w:rPr>
          <w:b/>
        </w:rPr>
        <w:t>5.2.</w:t>
      </w:r>
      <w:r w:rsidRPr="00005453">
        <w:tab/>
      </w:r>
      <w:r w:rsidR="00013039" w:rsidRPr="00005453">
        <w:t>Banka, cari dönemde 29 Mart 2024 tarihli Olağan Genel Kurul kararı ile 2,660,937 TL ortaklara temettü ödemesi gerçekleştirmiştir.</w:t>
      </w:r>
    </w:p>
    <w:bookmarkEnd w:id="93"/>
    <w:p w14:paraId="7FEC3170" w14:textId="3064807F" w:rsidR="00EC1D5D" w:rsidRPr="00005453" w:rsidRDefault="00EC1D5D" w:rsidP="009C44BB">
      <w:pPr>
        <w:ind w:right="183" w:firstLine="720"/>
        <w:rPr>
          <w:b/>
          <w:sz w:val="16"/>
          <w:szCs w:val="16"/>
        </w:rPr>
      </w:pPr>
      <w:r w:rsidRPr="00005453">
        <w:rPr>
          <w:b/>
          <w:sz w:val="14"/>
          <w:szCs w:val="14"/>
        </w:rPr>
        <w:t xml:space="preserve">                                 </w:t>
      </w:r>
    </w:p>
    <w:p w14:paraId="08E1D285" w14:textId="77777777" w:rsidR="00406F79" w:rsidRPr="00005453" w:rsidRDefault="00406F79" w:rsidP="00EC1D5D">
      <w:pPr>
        <w:ind w:right="183" w:hanging="567"/>
        <w:rPr>
          <w:b/>
        </w:rPr>
        <w:sectPr w:rsidR="00406F79" w:rsidRPr="00005453" w:rsidSect="00475153">
          <w:pgSz w:w="11906" w:h="16838"/>
          <w:pgMar w:top="1417" w:right="1133" w:bottom="1438" w:left="1560" w:header="708" w:footer="708" w:gutter="0"/>
          <w:cols w:space="708"/>
          <w:docGrid w:linePitch="360"/>
        </w:sectPr>
      </w:pPr>
    </w:p>
    <w:p w14:paraId="2331A40E" w14:textId="2B89A87E" w:rsidR="00EC1D5D" w:rsidRPr="00005453" w:rsidRDefault="00EC1D5D" w:rsidP="00EC1D5D">
      <w:pPr>
        <w:ind w:right="183" w:hanging="567"/>
        <w:rPr>
          <w:b/>
        </w:rPr>
      </w:pPr>
      <w:r w:rsidRPr="00005453">
        <w:rPr>
          <w:b/>
        </w:rPr>
        <w:lastRenderedPageBreak/>
        <w:t>6.</w:t>
      </w:r>
      <w:r w:rsidRPr="00005453">
        <w:rPr>
          <w:b/>
        </w:rPr>
        <w:tab/>
        <w:t xml:space="preserve">Nakit </w:t>
      </w:r>
      <w:r w:rsidR="00BE32D9" w:rsidRPr="00005453">
        <w:rPr>
          <w:b/>
        </w:rPr>
        <w:t>akış tablosuna ilişkin açıklama ve dipnotlar</w:t>
      </w:r>
    </w:p>
    <w:p w14:paraId="426F650F" w14:textId="77777777" w:rsidR="00EC1D5D" w:rsidRPr="00005453" w:rsidRDefault="00EC1D5D" w:rsidP="00EC1D5D">
      <w:pPr>
        <w:ind w:left="540"/>
        <w:rPr>
          <w:b/>
          <w:sz w:val="12"/>
          <w:szCs w:val="12"/>
        </w:rPr>
      </w:pPr>
    </w:p>
    <w:p w14:paraId="219BF307" w14:textId="7A31B3FD" w:rsidR="0022205C" w:rsidRPr="00005453" w:rsidRDefault="0022205C" w:rsidP="0022205C">
      <w:pPr>
        <w:ind w:hanging="567"/>
        <w:rPr>
          <w:b/>
        </w:rPr>
      </w:pPr>
      <w:r w:rsidRPr="00005453">
        <w:rPr>
          <w:b/>
        </w:rPr>
        <w:t>6.1.</w:t>
      </w:r>
      <w:r w:rsidRPr="00005453">
        <w:rPr>
          <w:b/>
        </w:rPr>
        <w:tab/>
        <w:t>Nakit ve nakde eşdeğer varlıklara ilişkin bilgiler</w:t>
      </w:r>
    </w:p>
    <w:p w14:paraId="76C70C56" w14:textId="77777777" w:rsidR="0022205C" w:rsidRPr="00005453" w:rsidRDefault="0022205C" w:rsidP="0022205C">
      <w:pPr>
        <w:ind w:left="900" w:right="49"/>
        <w:rPr>
          <w:sz w:val="12"/>
          <w:szCs w:val="12"/>
        </w:rPr>
      </w:pPr>
    </w:p>
    <w:p w14:paraId="3EEFA035" w14:textId="77777777" w:rsidR="00AB2B18" w:rsidRPr="00005453" w:rsidRDefault="00AB2B18" w:rsidP="00AB2B18">
      <w:pPr>
        <w:ind w:right="49" w:hanging="567"/>
        <w:jc w:val="both"/>
        <w:rPr>
          <w:b/>
          <w:bCs/>
        </w:rPr>
      </w:pPr>
      <w:r w:rsidRPr="00005453">
        <w:rPr>
          <w:b/>
          <w:bCs/>
        </w:rPr>
        <w:t>6.1.1.</w:t>
      </w:r>
      <w:r w:rsidRPr="00005453">
        <w:rPr>
          <w:b/>
          <w:bCs/>
        </w:rPr>
        <w:tab/>
        <w:t>Nakit ve nakde eşdeğer varlıkları oluşturan unsurlar, bu unsurların belirlenmesinde kullanılan muhasebe politikası:</w:t>
      </w:r>
    </w:p>
    <w:p w14:paraId="09E1FA02" w14:textId="77777777" w:rsidR="00AB2B18" w:rsidRPr="00005453" w:rsidRDefault="00AB2B18" w:rsidP="00AB2B18">
      <w:pPr>
        <w:ind w:left="1260" w:right="49"/>
        <w:rPr>
          <w:sz w:val="12"/>
          <w:szCs w:val="12"/>
        </w:rPr>
      </w:pPr>
    </w:p>
    <w:p w14:paraId="3D40CFA8" w14:textId="77777777" w:rsidR="00AB2B18" w:rsidRPr="00005453" w:rsidRDefault="00AB2B18" w:rsidP="00AB2B18">
      <w:pPr>
        <w:ind w:right="49"/>
        <w:jc w:val="both"/>
      </w:pPr>
      <w:r w:rsidRPr="00005453">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7A6B2AF5" w14:textId="77777777" w:rsidR="00AB2B18" w:rsidRPr="00005453" w:rsidRDefault="00AB2B18" w:rsidP="00AB2B18">
      <w:pPr>
        <w:ind w:right="183" w:hanging="567"/>
        <w:rPr>
          <w:sz w:val="10"/>
        </w:rPr>
      </w:pPr>
    </w:p>
    <w:p w14:paraId="7C5BEB6B" w14:textId="17AB0627" w:rsidR="00AB2B18" w:rsidRPr="00005453" w:rsidRDefault="00AB2B18" w:rsidP="00AB2B18">
      <w:pPr>
        <w:ind w:right="183" w:hanging="567"/>
        <w:rPr>
          <w:b/>
          <w:bCs/>
        </w:rPr>
      </w:pPr>
      <w:r w:rsidRPr="00005453">
        <w:rPr>
          <w:b/>
          <w:bCs/>
        </w:rPr>
        <w:t>6.1.1.1. Dönem başındaki nakit ve nakde eşdeğer varlıklar</w:t>
      </w:r>
    </w:p>
    <w:p w14:paraId="6D634FCB" w14:textId="77777777" w:rsidR="00AB2B18" w:rsidRPr="00005453" w:rsidRDefault="00AB2B18" w:rsidP="00AB2B18">
      <w:pPr>
        <w:ind w:firstLine="720"/>
        <w:rPr>
          <w:sz w:val="12"/>
          <w:szCs w:val="12"/>
        </w:rPr>
      </w:pPr>
    </w:p>
    <w:tbl>
      <w:tblPr>
        <w:tblW w:w="5000" w:type="pct"/>
        <w:tblLayout w:type="fixed"/>
        <w:tblCellMar>
          <w:left w:w="0" w:type="dxa"/>
          <w:right w:w="0" w:type="dxa"/>
        </w:tblCellMar>
        <w:tblLook w:val="0000" w:firstRow="0" w:lastRow="0" w:firstColumn="0" w:lastColumn="0" w:noHBand="0" w:noVBand="0"/>
      </w:tblPr>
      <w:tblGrid>
        <w:gridCol w:w="5217"/>
        <w:gridCol w:w="2113"/>
        <w:gridCol w:w="1883"/>
      </w:tblGrid>
      <w:tr w:rsidR="00AB2B18" w:rsidRPr="00005453" w14:paraId="4F3E11BF" w14:textId="77777777" w:rsidTr="007F1884">
        <w:trPr>
          <w:trHeight w:val="138"/>
        </w:trPr>
        <w:tc>
          <w:tcPr>
            <w:tcW w:w="2831" w:type="pct"/>
            <w:tcBorders>
              <w:top w:val="single" w:sz="4" w:space="0" w:color="auto"/>
              <w:bottom w:val="single" w:sz="4" w:space="0" w:color="auto"/>
            </w:tcBorders>
            <w:vAlign w:val="center"/>
          </w:tcPr>
          <w:p w14:paraId="15F91C8E" w14:textId="77777777" w:rsidR="00AB2B18" w:rsidRPr="00005453" w:rsidRDefault="00AB2B18" w:rsidP="002656B0">
            <w:pPr>
              <w:rPr>
                <w:rFonts w:eastAsia="Arial Unicode MS"/>
                <w:sz w:val="18"/>
                <w:szCs w:val="18"/>
              </w:rPr>
            </w:pPr>
          </w:p>
        </w:tc>
        <w:tc>
          <w:tcPr>
            <w:tcW w:w="1147" w:type="pct"/>
            <w:tcBorders>
              <w:top w:val="single" w:sz="4" w:space="0" w:color="auto"/>
              <w:bottom w:val="single" w:sz="4" w:space="0" w:color="auto"/>
            </w:tcBorders>
          </w:tcPr>
          <w:p w14:paraId="10C9262A" w14:textId="77777777" w:rsidR="00AB2B18" w:rsidRPr="00005453" w:rsidRDefault="00AB2B18" w:rsidP="007F1884">
            <w:pPr>
              <w:ind w:right="52"/>
              <w:jc w:val="right"/>
              <w:rPr>
                <w:b/>
                <w:sz w:val="18"/>
                <w:szCs w:val="18"/>
              </w:rPr>
            </w:pPr>
            <w:r w:rsidRPr="00005453">
              <w:rPr>
                <w:b/>
                <w:sz w:val="18"/>
                <w:szCs w:val="18"/>
              </w:rPr>
              <w:t xml:space="preserve"> Cari dönem</w:t>
            </w:r>
          </w:p>
        </w:tc>
        <w:tc>
          <w:tcPr>
            <w:tcW w:w="1022" w:type="pct"/>
            <w:tcBorders>
              <w:top w:val="single" w:sz="4" w:space="0" w:color="auto"/>
              <w:bottom w:val="single" w:sz="4" w:space="0" w:color="auto"/>
            </w:tcBorders>
          </w:tcPr>
          <w:p w14:paraId="0FC9E40A" w14:textId="77777777" w:rsidR="00AB2B18" w:rsidRPr="00005453" w:rsidRDefault="00AB2B18" w:rsidP="007F1884">
            <w:pPr>
              <w:ind w:right="52"/>
              <w:jc w:val="right"/>
              <w:rPr>
                <w:b/>
                <w:sz w:val="18"/>
                <w:szCs w:val="18"/>
              </w:rPr>
            </w:pPr>
            <w:r w:rsidRPr="00005453">
              <w:rPr>
                <w:b/>
                <w:sz w:val="18"/>
                <w:szCs w:val="18"/>
              </w:rPr>
              <w:t xml:space="preserve"> Önceki dönem</w:t>
            </w:r>
          </w:p>
        </w:tc>
      </w:tr>
      <w:tr w:rsidR="00BC1437" w:rsidRPr="00005453" w14:paraId="7A505452" w14:textId="77777777" w:rsidTr="00BC1437">
        <w:trPr>
          <w:trHeight w:val="138"/>
        </w:trPr>
        <w:tc>
          <w:tcPr>
            <w:tcW w:w="2831" w:type="pct"/>
            <w:vAlign w:val="center"/>
          </w:tcPr>
          <w:p w14:paraId="60C236A4" w14:textId="77777777" w:rsidR="00BC1437" w:rsidRPr="00005453" w:rsidRDefault="00BC1437" w:rsidP="00BC1437">
            <w:pPr>
              <w:rPr>
                <w:rFonts w:eastAsia="Arial Unicode MS"/>
                <w:b/>
                <w:sz w:val="18"/>
                <w:szCs w:val="18"/>
              </w:rPr>
            </w:pPr>
            <w:r w:rsidRPr="00005453">
              <w:rPr>
                <w:b/>
                <w:sz w:val="18"/>
                <w:szCs w:val="18"/>
              </w:rPr>
              <w:t>Nakit</w:t>
            </w:r>
          </w:p>
        </w:tc>
        <w:tc>
          <w:tcPr>
            <w:tcW w:w="1147" w:type="pct"/>
            <w:vAlign w:val="center"/>
          </w:tcPr>
          <w:p w14:paraId="15B70FEA" w14:textId="7522F0F9" w:rsidR="00BC1437" w:rsidRPr="00005453" w:rsidRDefault="00BC1437" w:rsidP="00BC1437">
            <w:pPr>
              <w:ind w:right="52"/>
              <w:jc w:val="right"/>
              <w:rPr>
                <w:b/>
                <w:bCs/>
                <w:color w:val="000000"/>
                <w:sz w:val="18"/>
                <w:szCs w:val="18"/>
                <w:lang w:eastAsia="tr-TR"/>
              </w:rPr>
            </w:pPr>
            <w:r w:rsidRPr="00005453">
              <w:rPr>
                <w:b/>
                <w:bCs/>
                <w:color w:val="000000"/>
                <w:sz w:val="18"/>
              </w:rPr>
              <w:t>71,638,422</w:t>
            </w:r>
          </w:p>
        </w:tc>
        <w:tc>
          <w:tcPr>
            <w:tcW w:w="1022" w:type="pct"/>
            <w:vAlign w:val="center"/>
          </w:tcPr>
          <w:p w14:paraId="2AEA51C9" w14:textId="460BA90D" w:rsidR="00BC1437" w:rsidRPr="00005453" w:rsidRDefault="00BC1437" w:rsidP="00BC1437">
            <w:pPr>
              <w:ind w:right="52"/>
              <w:jc w:val="right"/>
              <w:rPr>
                <w:b/>
                <w:bCs/>
                <w:color w:val="000000"/>
                <w:sz w:val="18"/>
                <w:szCs w:val="18"/>
              </w:rPr>
            </w:pPr>
            <w:r w:rsidRPr="00005453">
              <w:rPr>
                <w:b/>
                <w:bCs/>
                <w:color w:val="000000"/>
                <w:sz w:val="18"/>
              </w:rPr>
              <w:t>45,273,124</w:t>
            </w:r>
          </w:p>
        </w:tc>
      </w:tr>
      <w:tr w:rsidR="00BC1437" w:rsidRPr="00005453" w14:paraId="0F70FED6" w14:textId="77777777" w:rsidTr="00BC1437">
        <w:trPr>
          <w:trHeight w:val="138"/>
        </w:trPr>
        <w:tc>
          <w:tcPr>
            <w:tcW w:w="2831" w:type="pct"/>
            <w:vAlign w:val="center"/>
          </w:tcPr>
          <w:p w14:paraId="76BFD8DA" w14:textId="77777777" w:rsidR="00BC1437" w:rsidRPr="00005453" w:rsidRDefault="00BC1437" w:rsidP="00BC1437">
            <w:pPr>
              <w:pStyle w:val="xl79"/>
              <w:pBdr>
                <w:left w:val="none" w:sz="0" w:space="0" w:color="auto"/>
                <w:bottom w:val="none" w:sz="0" w:space="0" w:color="auto"/>
                <w:right w:val="none" w:sz="0" w:space="0" w:color="auto"/>
              </w:pBdr>
              <w:spacing w:before="0" w:beforeAutospacing="0" w:after="0" w:afterAutospacing="0"/>
              <w:ind w:left="165"/>
            </w:pPr>
            <w:r w:rsidRPr="00005453">
              <w:rPr>
                <w:snapToGrid w:val="0"/>
              </w:rPr>
              <w:t>Kasa, efektif deposu ve diğer</w:t>
            </w:r>
          </w:p>
        </w:tc>
        <w:tc>
          <w:tcPr>
            <w:tcW w:w="1147" w:type="pct"/>
            <w:vAlign w:val="center"/>
          </w:tcPr>
          <w:p w14:paraId="38EF2832" w14:textId="5294E00C" w:rsidR="00BC1437" w:rsidRPr="00005453" w:rsidRDefault="00BC1437" w:rsidP="00BC1437">
            <w:pPr>
              <w:ind w:right="52"/>
              <w:jc w:val="right"/>
              <w:rPr>
                <w:color w:val="000000"/>
                <w:sz w:val="18"/>
                <w:szCs w:val="18"/>
              </w:rPr>
            </w:pPr>
            <w:r w:rsidRPr="00005453">
              <w:rPr>
                <w:color w:val="000000"/>
                <w:sz w:val="18"/>
              </w:rPr>
              <w:t>53,525,010</w:t>
            </w:r>
          </w:p>
        </w:tc>
        <w:tc>
          <w:tcPr>
            <w:tcW w:w="1022" w:type="pct"/>
            <w:vAlign w:val="center"/>
          </w:tcPr>
          <w:p w14:paraId="49E5C986" w14:textId="7B600EEE" w:rsidR="00BC1437" w:rsidRPr="00005453" w:rsidRDefault="00BC1437" w:rsidP="00BC1437">
            <w:pPr>
              <w:ind w:right="52"/>
              <w:jc w:val="right"/>
              <w:rPr>
                <w:color w:val="000000"/>
                <w:sz w:val="18"/>
                <w:szCs w:val="18"/>
              </w:rPr>
            </w:pPr>
            <w:r w:rsidRPr="00005453">
              <w:rPr>
                <w:color w:val="000000"/>
                <w:sz w:val="18"/>
                <w:szCs w:val="18"/>
              </w:rPr>
              <w:t>26,837,537</w:t>
            </w:r>
          </w:p>
        </w:tc>
      </w:tr>
      <w:tr w:rsidR="00BC1437" w:rsidRPr="00005453" w14:paraId="4184AA00" w14:textId="77777777" w:rsidTr="00BC1437">
        <w:trPr>
          <w:trHeight w:val="138"/>
        </w:trPr>
        <w:tc>
          <w:tcPr>
            <w:tcW w:w="2831" w:type="pct"/>
            <w:vAlign w:val="center"/>
          </w:tcPr>
          <w:p w14:paraId="7CED1375" w14:textId="78D53E27" w:rsidR="00BC1437" w:rsidRPr="00005453" w:rsidRDefault="00BC1437" w:rsidP="00BC1437">
            <w:pPr>
              <w:ind w:left="165"/>
              <w:rPr>
                <w:rFonts w:eastAsia="Arial Unicode MS"/>
                <w:sz w:val="18"/>
                <w:szCs w:val="18"/>
              </w:rPr>
            </w:pPr>
            <w:r w:rsidRPr="00005453">
              <w:rPr>
                <w:snapToGrid w:val="0"/>
                <w:sz w:val="18"/>
                <w:szCs w:val="18"/>
              </w:rPr>
              <w:t>Bankalardaki mevduat (3 aya kadar)</w:t>
            </w:r>
          </w:p>
        </w:tc>
        <w:tc>
          <w:tcPr>
            <w:tcW w:w="1147" w:type="pct"/>
            <w:vAlign w:val="center"/>
          </w:tcPr>
          <w:p w14:paraId="2E1066CB" w14:textId="6F4431EA" w:rsidR="00BC1437" w:rsidRPr="00005453" w:rsidRDefault="00BC1437" w:rsidP="00BC1437">
            <w:pPr>
              <w:ind w:right="52"/>
              <w:jc w:val="right"/>
              <w:rPr>
                <w:color w:val="000000"/>
                <w:sz w:val="18"/>
                <w:szCs w:val="18"/>
              </w:rPr>
            </w:pPr>
            <w:r w:rsidRPr="00005453">
              <w:rPr>
                <w:color w:val="000000"/>
                <w:sz w:val="18"/>
              </w:rPr>
              <w:t>18,113,412</w:t>
            </w:r>
          </w:p>
        </w:tc>
        <w:tc>
          <w:tcPr>
            <w:tcW w:w="1022" w:type="pct"/>
            <w:vAlign w:val="center"/>
          </w:tcPr>
          <w:p w14:paraId="464433D1" w14:textId="5F9248EA" w:rsidR="00BC1437" w:rsidRPr="00005453" w:rsidRDefault="00BC1437" w:rsidP="00BC1437">
            <w:pPr>
              <w:ind w:right="52"/>
              <w:jc w:val="right"/>
              <w:rPr>
                <w:color w:val="000000"/>
                <w:sz w:val="18"/>
                <w:szCs w:val="18"/>
              </w:rPr>
            </w:pPr>
            <w:r w:rsidRPr="00005453">
              <w:rPr>
                <w:color w:val="000000"/>
                <w:sz w:val="18"/>
                <w:szCs w:val="18"/>
              </w:rPr>
              <w:t>18,435,587</w:t>
            </w:r>
          </w:p>
        </w:tc>
      </w:tr>
      <w:tr w:rsidR="00BC1437" w:rsidRPr="00005453" w14:paraId="1494AE8B" w14:textId="77777777" w:rsidTr="00BC1437">
        <w:trPr>
          <w:trHeight w:val="138"/>
        </w:trPr>
        <w:tc>
          <w:tcPr>
            <w:tcW w:w="2831" w:type="pct"/>
            <w:vAlign w:val="center"/>
          </w:tcPr>
          <w:p w14:paraId="197A8A02" w14:textId="77777777" w:rsidR="00BC1437" w:rsidRPr="00005453" w:rsidRDefault="00BC1437" w:rsidP="00BC1437">
            <w:pPr>
              <w:pStyle w:val="Heading9"/>
              <w:ind w:left="0"/>
              <w:rPr>
                <w:b/>
                <w:snapToGrid w:val="0"/>
                <w:sz w:val="18"/>
                <w:szCs w:val="18"/>
              </w:rPr>
            </w:pPr>
            <w:r w:rsidRPr="00005453">
              <w:rPr>
                <w:b/>
                <w:snapToGrid w:val="0"/>
                <w:sz w:val="18"/>
                <w:szCs w:val="18"/>
              </w:rPr>
              <w:t>Nakde eşdeğer varlıklar</w:t>
            </w:r>
          </w:p>
        </w:tc>
        <w:tc>
          <w:tcPr>
            <w:tcW w:w="1147" w:type="pct"/>
            <w:vAlign w:val="center"/>
          </w:tcPr>
          <w:p w14:paraId="0D0D378F" w14:textId="09BF46CE" w:rsidR="00BC1437" w:rsidRPr="00005453" w:rsidRDefault="00BC1437" w:rsidP="00BC1437">
            <w:pPr>
              <w:ind w:right="52"/>
              <w:jc w:val="right"/>
              <w:rPr>
                <w:color w:val="000000"/>
                <w:sz w:val="18"/>
                <w:szCs w:val="18"/>
              </w:rPr>
            </w:pPr>
            <w:r w:rsidRPr="00005453">
              <w:rPr>
                <w:color w:val="000000"/>
                <w:sz w:val="18"/>
              </w:rPr>
              <w:t>-</w:t>
            </w:r>
          </w:p>
        </w:tc>
        <w:tc>
          <w:tcPr>
            <w:tcW w:w="1022" w:type="pct"/>
            <w:vAlign w:val="center"/>
          </w:tcPr>
          <w:p w14:paraId="4F1931B4" w14:textId="09B9CBA2" w:rsidR="00BC1437" w:rsidRPr="00005453" w:rsidRDefault="00BC1437" w:rsidP="00BC1437">
            <w:pPr>
              <w:ind w:right="52"/>
              <w:jc w:val="right"/>
              <w:rPr>
                <w:color w:val="000000"/>
                <w:sz w:val="18"/>
                <w:szCs w:val="18"/>
              </w:rPr>
            </w:pPr>
            <w:r w:rsidRPr="00005453">
              <w:rPr>
                <w:color w:val="000000"/>
                <w:sz w:val="18"/>
              </w:rPr>
              <w:t>-</w:t>
            </w:r>
          </w:p>
        </w:tc>
      </w:tr>
      <w:tr w:rsidR="00BC1437" w:rsidRPr="00005453" w14:paraId="59038B58" w14:textId="77777777" w:rsidTr="00BC1437">
        <w:trPr>
          <w:trHeight w:val="138"/>
        </w:trPr>
        <w:tc>
          <w:tcPr>
            <w:tcW w:w="2831" w:type="pct"/>
            <w:vAlign w:val="center"/>
          </w:tcPr>
          <w:p w14:paraId="26F8D068" w14:textId="77777777" w:rsidR="00BC1437" w:rsidRPr="00005453" w:rsidRDefault="00BC1437" w:rsidP="00BC1437">
            <w:pPr>
              <w:ind w:left="165"/>
              <w:rPr>
                <w:rFonts w:eastAsia="Arial Unicode MS"/>
                <w:sz w:val="18"/>
                <w:szCs w:val="18"/>
              </w:rPr>
            </w:pPr>
            <w:r w:rsidRPr="00005453">
              <w:rPr>
                <w:snapToGrid w:val="0"/>
                <w:sz w:val="18"/>
                <w:szCs w:val="18"/>
              </w:rPr>
              <w:t>Bankalararası para piyasası</w:t>
            </w:r>
          </w:p>
        </w:tc>
        <w:tc>
          <w:tcPr>
            <w:tcW w:w="1147" w:type="pct"/>
            <w:vAlign w:val="center"/>
          </w:tcPr>
          <w:p w14:paraId="325FEB51" w14:textId="39BF4208" w:rsidR="00BC1437" w:rsidRPr="00005453" w:rsidRDefault="00BC1437" w:rsidP="00BC1437">
            <w:pPr>
              <w:ind w:right="52"/>
              <w:jc w:val="right"/>
              <w:rPr>
                <w:color w:val="000000"/>
                <w:sz w:val="18"/>
                <w:szCs w:val="18"/>
              </w:rPr>
            </w:pPr>
            <w:r w:rsidRPr="00005453">
              <w:rPr>
                <w:color w:val="000000"/>
                <w:sz w:val="18"/>
              </w:rPr>
              <w:t>-</w:t>
            </w:r>
          </w:p>
        </w:tc>
        <w:tc>
          <w:tcPr>
            <w:tcW w:w="1022" w:type="pct"/>
            <w:vAlign w:val="center"/>
          </w:tcPr>
          <w:p w14:paraId="24D34B7C" w14:textId="4AA944D2" w:rsidR="00BC1437" w:rsidRPr="00005453" w:rsidRDefault="00BC1437" w:rsidP="00BC1437">
            <w:pPr>
              <w:ind w:right="52"/>
              <w:jc w:val="right"/>
              <w:rPr>
                <w:color w:val="000000"/>
                <w:sz w:val="18"/>
                <w:szCs w:val="18"/>
              </w:rPr>
            </w:pPr>
            <w:r w:rsidRPr="00005453">
              <w:rPr>
                <w:color w:val="000000"/>
                <w:sz w:val="18"/>
              </w:rPr>
              <w:t>-</w:t>
            </w:r>
          </w:p>
        </w:tc>
      </w:tr>
      <w:tr w:rsidR="00BC1437" w:rsidRPr="00005453" w14:paraId="4D87C4EA" w14:textId="77777777" w:rsidTr="00BC1437">
        <w:trPr>
          <w:trHeight w:val="138"/>
        </w:trPr>
        <w:tc>
          <w:tcPr>
            <w:tcW w:w="2831" w:type="pct"/>
            <w:vAlign w:val="center"/>
          </w:tcPr>
          <w:p w14:paraId="78058AC1" w14:textId="77777777" w:rsidR="00BC1437" w:rsidRPr="00005453" w:rsidRDefault="00BC1437" w:rsidP="00BC1437">
            <w:pPr>
              <w:ind w:left="165"/>
              <w:rPr>
                <w:snapToGrid w:val="0"/>
                <w:sz w:val="18"/>
                <w:szCs w:val="18"/>
              </w:rPr>
            </w:pPr>
            <w:r w:rsidRPr="00005453">
              <w:rPr>
                <w:snapToGrid w:val="0"/>
                <w:sz w:val="18"/>
                <w:szCs w:val="18"/>
              </w:rPr>
              <w:t>Bankalardaki vadeli depo</w:t>
            </w:r>
          </w:p>
        </w:tc>
        <w:tc>
          <w:tcPr>
            <w:tcW w:w="1147" w:type="pct"/>
            <w:vAlign w:val="center"/>
          </w:tcPr>
          <w:p w14:paraId="07A8FB83" w14:textId="6282D9DD" w:rsidR="00BC1437" w:rsidRPr="00005453" w:rsidRDefault="00BC1437" w:rsidP="00BC1437">
            <w:pPr>
              <w:ind w:right="52"/>
              <w:jc w:val="right"/>
              <w:rPr>
                <w:color w:val="000000"/>
                <w:sz w:val="18"/>
                <w:szCs w:val="18"/>
              </w:rPr>
            </w:pPr>
            <w:r w:rsidRPr="00005453">
              <w:rPr>
                <w:color w:val="000000"/>
                <w:sz w:val="18"/>
              </w:rPr>
              <w:t>-</w:t>
            </w:r>
          </w:p>
        </w:tc>
        <w:tc>
          <w:tcPr>
            <w:tcW w:w="1022" w:type="pct"/>
            <w:vAlign w:val="center"/>
          </w:tcPr>
          <w:p w14:paraId="78C58B8E" w14:textId="28CDC78E" w:rsidR="00BC1437" w:rsidRPr="00005453" w:rsidRDefault="00BC1437" w:rsidP="00BC1437">
            <w:pPr>
              <w:ind w:right="52"/>
              <w:jc w:val="right"/>
              <w:rPr>
                <w:color w:val="000000"/>
                <w:sz w:val="18"/>
                <w:szCs w:val="18"/>
              </w:rPr>
            </w:pPr>
            <w:r w:rsidRPr="00005453">
              <w:rPr>
                <w:color w:val="000000"/>
                <w:sz w:val="18"/>
              </w:rPr>
              <w:t>-</w:t>
            </w:r>
          </w:p>
        </w:tc>
      </w:tr>
      <w:tr w:rsidR="00BC1437" w:rsidRPr="00005453" w14:paraId="1C52379C" w14:textId="77777777" w:rsidTr="00BC1437">
        <w:trPr>
          <w:trHeight w:val="138"/>
        </w:trPr>
        <w:tc>
          <w:tcPr>
            <w:tcW w:w="2831" w:type="pct"/>
            <w:vAlign w:val="center"/>
          </w:tcPr>
          <w:p w14:paraId="6C9A286F" w14:textId="77777777" w:rsidR="00BC1437" w:rsidRPr="00005453" w:rsidRDefault="00BC1437" w:rsidP="00BC1437">
            <w:pPr>
              <w:ind w:left="165"/>
              <w:rPr>
                <w:snapToGrid w:val="0"/>
                <w:sz w:val="18"/>
                <w:szCs w:val="18"/>
              </w:rPr>
            </w:pPr>
            <w:r w:rsidRPr="00005453">
              <w:rPr>
                <w:snapToGrid w:val="0"/>
                <w:sz w:val="18"/>
                <w:szCs w:val="18"/>
              </w:rPr>
              <w:t>Menkul kıymetler</w:t>
            </w:r>
          </w:p>
        </w:tc>
        <w:tc>
          <w:tcPr>
            <w:tcW w:w="1147" w:type="pct"/>
            <w:vAlign w:val="center"/>
          </w:tcPr>
          <w:p w14:paraId="710E2BF3" w14:textId="7469F456" w:rsidR="00BC1437" w:rsidRPr="00005453" w:rsidRDefault="00BC1437" w:rsidP="00BC1437">
            <w:pPr>
              <w:ind w:right="52"/>
              <w:jc w:val="right"/>
              <w:rPr>
                <w:color w:val="000000"/>
                <w:sz w:val="18"/>
                <w:szCs w:val="18"/>
              </w:rPr>
            </w:pPr>
            <w:r w:rsidRPr="00005453">
              <w:rPr>
                <w:color w:val="000000"/>
                <w:sz w:val="18"/>
              </w:rPr>
              <w:t>-</w:t>
            </w:r>
          </w:p>
        </w:tc>
        <w:tc>
          <w:tcPr>
            <w:tcW w:w="1022" w:type="pct"/>
            <w:vAlign w:val="center"/>
          </w:tcPr>
          <w:p w14:paraId="47B8EC68" w14:textId="7888E6C7" w:rsidR="00BC1437" w:rsidRPr="00005453" w:rsidRDefault="00BC1437" w:rsidP="00BC1437">
            <w:pPr>
              <w:ind w:right="52"/>
              <w:jc w:val="right"/>
              <w:rPr>
                <w:color w:val="000000"/>
                <w:sz w:val="18"/>
                <w:szCs w:val="18"/>
              </w:rPr>
            </w:pPr>
            <w:r w:rsidRPr="00005453">
              <w:rPr>
                <w:color w:val="000000"/>
                <w:sz w:val="18"/>
              </w:rPr>
              <w:t>-</w:t>
            </w:r>
          </w:p>
        </w:tc>
      </w:tr>
      <w:tr w:rsidR="00BC1437" w:rsidRPr="00005453" w14:paraId="37DCFB13" w14:textId="77777777" w:rsidTr="00E66B6C">
        <w:trPr>
          <w:trHeight w:val="138"/>
        </w:trPr>
        <w:tc>
          <w:tcPr>
            <w:tcW w:w="2831" w:type="pct"/>
            <w:tcBorders>
              <w:top w:val="single" w:sz="4" w:space="0" w:color="auto"/>
              <w:bottom w:val="double" w:sz="4" w:space="0" w:color="auto"/>
            </w:tcBorders>
            <w:vAlign w:val="center"/>
          </w:tcPr>
          <w:p w14:paraId="3272EC3C" w14:textId="77777777" w:rsidR="00BC1437" w:rsidRPr="00005453" w:rsidRDefault="00BC1437" w:rsidP="00BC1437">
            <w:pPr>
              <w:rPr>
                <w:b/>
                <w:snapToGrid w:val="0"/>
                <w:sz w:val="18"/>
                <w:szCs w:val="18"/>
              </w:rPr>
            </w:pPr>
            <w:r w:rsidRPr="00005453">
              <w:rPr>
                <w:b/>
                <w:snapToGrid w:val="0"/>
                <w:sz w:val="18"/>
                <w:szCs w:val="18"/>
              </w:rPr>
              <w:t>Toplam nakit ve nakde eşdeğer varlık</w:t>
            </w:r>
          </w:p>
        </w:tc>
        <w:tc>
          <w:tcPr>
            <w:tcW w:w="1147" w:type="pct"/>
            <w:tcBorders>
              <w:top w:val="single" w:sz="4" w:space="0" w:color="auto"/>
              <w:bottom w:val="double" w:sz="4" w:space="0" w:color="auto"/>
            </w:tcBorders>
            <w:vAlign w:val="center"/>
          </w:tcPr>
          <w:p w14:paraId="7DDD937C" w14:textId="47ADA09C" w:rsidR="00BC1437" w:rsidRPr="00005453" w:rsidRDefault="00BC1437" w:rsidP="00BC1437">
            <w:pPr>
              <w:jc w:val="right"/>
              <w:rPr>
                <w:b/>
                <w:bCs/>
                <w:color w:val="000000"/>
                <w:sz w:val="18"/>
                <w:szCs w:val="18"/>
                <w:lang w:eastAsia="tr-TR"/>
              </w:rPr>
            </w:pPr>
            <w:r w:rsidRPr="00005453">
              <w:rPr>
                <w:b/>
                <w:bCs/>
                <w:color w:val="000000"/>
                <w:sz w:val="18"/>
              </w:rPr>
              <w:t>71,638,422</w:t>
            </w:r>
          </w:p>
        </w:tc>
        <w:tc>
          <w:tcPr>
            <w:tcW w:w="1022" w:type="pct"/>
            <w:tcBorders>
              <w:top w:val="single" w:sz="4" w:space="0" w:color="auto"/>
              <w:bottom w:val="double" w:sz="4" w:space="0" w:color="auto"/>
            </w:tcBorders>
            <w:vAlign w:val="center"/>
          </w:tcPr>
          <w:p w14:paraId="386FE625" w14:textId="30AE0A5D" w:rsidR="00BC1437" w:rsidRPr="00005453" w:rsidRDefault="00BC1437" w:rsidP="00BC1437">
            <w:pPr>
              <w:ind w:right="52"/>
              <w:jc w:val="right"/>
              <w:rPr>
                <w:b/>
                <w:bCs/>
                <w:color w:val="000000"/>
                <w:sz w:val="18"/>
                <w:szCs w:val="18"/>
              </w:rPr>
            </w:pPr>
            <w:r w:rsidRPr="00005453">
              <w:rPr>
                <w:b/>
                <w:bCs/>
                <w:color w:val="000000"/>
                <w:sz w:val="18"/>
              </w:rPr>
              <w:t>45,273,124</w:t>
            </w:r>
          </w:p>
        </w:tc>
      </w:tr>
    </w:tbl>
    <w:p w14:paraId="3398D561" w14:textId="77777777" w:rsidR="00AB2B18" w:rsidRPr="00005453" w:rsidRDefault="00AB2B18" w:rsidP="00AB2B18">
      <w:pPr>
        <w:ind w:left="1800" w:hanging="540"/>
        <w:rPr>
          <w:sz w:val="10"/>
          <w:szCs w:val="14"/>
        </w:rPr>
      </w:pPr>
    </w:p>
    <w:p w14:paraId="07C6CD93" w14:textId="77777777" w:rsidR="00406F79" w:rsidRPr="00005453" w:rsidRDefault="00406F79" w:rsidP="00AB2B18">
      <w:pPr>
        <w:tabs>
          <w:tab w:val="left" w:pos="709"/>
        </w:tabs>
        <w:ind w:hanging="567"/>
        <w:rPr>
          <w:b/>
          <w:bCs/>
        </w:rPr>
      </w:pPr>
    </w:p>
    <w:p w14:paraId="093EBD0A" w14:textId="1717B261" w:rsidR="00AB2B18" w:rsidRPr="00005453" w:rsidRDefault="00AB2B18" w:rsidP="00AB2B18">
      <w:pPr>
        <w:tabs>
          <w:tab w:val="left" w:pos="709"/>
        </w:tabs>
        <w:ind w:hanging="567"/>
        <w:rPr>
          <w:b/>
          <w:bCs/>
        </w:rPr>
      </w:pPr>
      <w:r w:rsidRPr="00005453">
        <w:rPr>
          <w:b/>
          <w:bCs/>
        </w:rPr>
        <w:t>6.1.1.2. Dönem sonundaki nakit ve nakde eşdeğer varlıklar</w:t>
      </w:r>
    </w:p>
    <w:p w14:paraId="46E6D118" w14:textId="77777777" w:rsidR="00AB2B18" w:rsidRPr="00005453" w:rsidRDefault="00AB2B18" w:rsidP="00AB2B18">
      <w:pPr>
        <w:rPr>
          <w:sz w:val="16"/>
          <w:szCs w:val="16"/>
        </w:rPr>
      </w:pPr>
    </w:p>
    <w:tbl>
      <w:tblPr>
        <w:tblW w:w="5000" w:type="pct"/>
        <w:tblCellMar>
          <w:left w:w="0" w:type="dxa"/>
          <w:right w:w="0" w:type="dxa"/>
        </w:tblCellMar>
        <w:tblLook w:val="0000" w:firstRow="0" w:lastRow="0" w:firstColumn="0" w:lastColumn="0" w:noHBand="0" w:noVBand="0"/>
      </w:tblPr>
      <w:tblGrid>
        <w:gridCol w:w="5240"/>
        <w:gridCol w:w="2071"/>
        <w:gridCol w:w="1902"/>
      </w:tblGrid>
      <w:tr w:rsidR="00AB2B18" w:rsidRPr="00005453" w14:paraId="48819A51" w14:textId="77777777" w:rsidTr="007F1884">
        <w:trPr>
          <w:trHeight w:val="222"/>
        </w:trPr>
        <w:tc>
          <w:tcPr>
            <w:tcW w:w="2844" w:type="pct"/>
            <w:tcBorders>
              <w:top w:val="single" w:sz="4" w:space="0" w:color="auto"/>
              <w:bottom w:val="single" w:sz="4" w:space="0" w:color="auto"/>
            </w:tcBorders>
            <w:shd w:val="clear" w:color="auto" w:fill="auto"/>
            <w:vAlign w:val="bottom"/>
          </w:tcPr>
          <w:p w14:paraId="1FF062DB" w14:textId="77777777" w:rsidR="00AB2B18" w:rsidRPr="00005453" w:rsidRDefault="00AB2B18" w:rsidP="002656B0">
            <w:pPr>
              <w:rPr>
                <w:rFonts w:eastAsia="Arial Unicode MS"/>
                <w:sz w:val="18"/>
                <w:szCs w:val="18"/>
              </w:rPr>
            </w:pPr>
          </w:p>
        </w:tc>
        <w:tc>
          <w:tcPr>
            <w:tcW w:w="1124" w:type="pct"/>
            <w:tcBorders>
              <w:top w:val="single" w:sz="4" w:space="0" w:color="auto"/>
              <w:bottom w:val="single" w:sz="4" w:space="0" w:color="auto"/>
            </w:tcBorders>
            <w:vAlign w:val="bottom"/>
          </w:tcPr>
          <w:p w14:paraId="640D3CEE" w14:textId="77777777" w:rsidR="00AB2B18" w:rsidRPr="00005453" w:rsidRDefault="00AB2B18" w:rsidP="007F1884">
            <w:pPr>
              <w:autoSpaceDE w:val="0"/>
              <w:autoSpaceDN w:val="0"/>
              <w:adjustRightInd w:val="0"/>
              <w:ind w:right="55"/>
              <w:jc w:val="right"/>
              <w:rPr>
                <w:b/>
                <w:sz w:val="18"/>
                <w:szCs w:val="18"/>
              </w:rPr>
            </w:pPr>
            <w:r w:rsidRPr="00005453">
              <w:rPr>
                <w:b/>
                <w:sz w:val="18"/>
                <w:szCs w:val="18"/>
              </w:rPr>
              <w:t>Cari dönem</w:t>
            </w:r>
          </w:p>
        </w:tc>
        <w:tc>
          <w:tcPr>
            <w:tcW w:w="1032" w:type="pct"/>
            <w:tcBorders>
              <w:top w:val="single" w:sz="4" w:space="0" w:color="auto"/>
              <w:bottom w:val="single" w:sz="4" w:space="0" w:color="auto"/>
            </w:tcBorders>
            <w:vAlign w:val="bottom"/>
          </w:tcPr>
          <w:p w14:paraId="6AE75A57" w14:textId="77777777" w:rsidR="00AB2B18" w:rsidRPr="00005453" w:rsidRDefault="00AB2B18" w:rsidP="007F1884">
            <w:pPr>
              <w:autoSpaceDE w:val="0"/>
              <w:autoSpaceDN w:val="0"/>
              <w:adjustRightInd w:val="0"/>
              <w:ind w:right="55"/>
              <w:jc w:val="right"/>
              <w:rPr>
                <w:b/>
                <w:sz w:val="18"/>
                <w:szCs w:val="18"/>
              </w:rPr>
            </w:pPr>
            <w:r w:rsidRPr="00005453">
              <w:rPr>
                <w:b/>
                <w:sz w:val="18"/>
                <w:szCs w:val="18"/>
              </w:rPr>
              <w:t>Önceki dönem</w:t>
            </w:r>
          </w:p>
        </w:tc>
      </w:tr>
      <w:tr w:rsidR="00BC1437" w:rsidRPr="00005453" w14:paraId="4FDA49FA" w14:textId="77777777" w:rsidTr="00BC1437">
        <w:trPr>
          <w:trHeight w:val="222"/>
        </w:trPr>
        <w:tc>
          <w:tcPr>
            <w:tcW w:w="2844" w:type="pct"/>
            <w:shd w:val="clear" w:color="auto" w:fill="auto"/>
            <w:vAlign w:val="bottom"/>
          </w:tcPr>
          <w:p w14:paraId="0E860477" w14:textId="77777777" w:rsidR="00BC1437" w:rsidRPr="00005453" w:rsidRDefault="00BC1437" w:rsidP="00BC1437">
            <w:pPr>
              <w:rPr>
                <w:rFonts w:eastAsia="Arial Unicode MS"/>
                <w:b/>
                <w:sz w:val="18"/>
                <w:szCs w:val="18"/>
              </w:rPr>
            </w:pPr>
            <w:r w:rsidRPr="00005453">
              <w:rPr>
                <w:b/>
                <w:sz w:val="18"/>
                <w:szCs w:val="18"/>
              </w:rPr>
              <w:t>Nakit</w:t>
            </w:r>
          </w:p>
        </w:tc>
        <w:tc>
          <w:tcPr>
            <w:tcW w:w="1124" w:type="pct"/>
            <w:vAlign w:val="center"/>
          </w:tcPr>
          <w:p w14:paraId="46660A6B" w14:textId="0759B4D7" w:rsidR="00BC1437" w:rsidRPr="00005453" w:rsidRDefault="00BC1437" w:rsidP="00BC1437">
            <w:pPr>
              <w:ind w:right="55"/>
              <w:jc w:val="right"/>
              <w:rPr>
                <w:b/>
                <w:bCs/>
                <w:color w:val="000000"/>
                <w:sz w:val="18"/>
                <w:szCs w:val="18"/>
              </w:rPr>
            </w:pPr>
            <w:r w:rsidRPr="00005453">
              <w:rPr>
                <w:b/>
                <w:bCs/>
                <w:color w:val="000000"/>
              </w:rPr>
              <w:t>125,488,388</w:t>
            </w:r>
          </w:p>
        </w:tc>
        <w:tc>
          <w:tcPr>
            <w:tcW w:w="1032" w:type="pct"/>
            <w:vAlign w:val="center"/>
          </w:tcPr>
          <w:p w14:paraId="53AA85C2" w14:textId="712FF2B8" w:rsidR="00BC1437" w:rsidRPr="00005453" w:rsidRDefault="00BC1437" w:rsidP="00BC1437">
            <w:pPr>
              <w:ind w:right="55"/>
              <w:jc w:val="right"/>
              <w:rPr>
                <w:b/>
                <w:bCs/>
                <w:color w:val="000000"/>
                <w:sz w:val="18"/>
                <w:szCs w:val="18"/>
                <w:lang w:eastAsia="tr-TR"/>
              </w:rPr>
            </w:pPr>
            <w:r w:rsidRPr="00005453">
              <w:rPr>
                <w:b/>
                <w:bCs/>
                <w:color w:val="000000"/>
              </w:rPr>
              <w:t>71,638,422</w:t>
            </w:r>
          </w:p>
        </w:tc>
      </w:tr>
      <w:tr w:rsidR="00BC1437" w:rsidRPr="00005453" w14:paraId="6AFA222F" w14:textId="77777777" w:rsidTr="00BC1437">
        <w:trPr>
          <w:trHeight w:val="222"/>
        </w:trPr>
        <w:tc>
          <w:tcPr>
            <w:tcW w:w="2844" w:type="pct"/>
            <w:shd w:val="clear" w:color="auto" w:fill="auto"/>
            <w:vAlign w:val="bottom"/>
          </w:tcPr>
          <w:p w14:paraId="0454E83F" w14:textId="77777777" w:rsidR="00BC1437" w:rsidRPr="00005453" w:rsidRDefault="00BC1437" w:rsidP="00BC1437">
            <w:pPr>
              <w:pStyle w:val="xl79"/>
              <w:pBdr>
                <w:left w:val="none" w:sz="0" w:space="0" w:color="auto"/>
                <w:bottom w:val="none" w:sz="0" w:space="0" w:color="auto"/>
                <w:right w:val="none" w:sz="0" w:space="0" w:color="auto"/>
              </w:pBdr>
              <w:spacing w:before="0" w:beforeAutospacing="0" w:after="0" w:afterAutospacing="0"/>
              <w:ind w:left="165"/>
            </w:pPr>
            <w:r w:rsidRPr="00005453">
              <w:rPr>
                <w:snapToGrid w:val="0"/>
              </w:rPr>
              <w:t>Kasa, efektif deposu ve diğer</w:t>
            </w:r>
          </w:p>
        </w:tc>
        <w:tc>
          <w:tcPr>
            <w:tcW w:w="1124" w:type="pct"/>
            <w:vAlign w:val="center"/>
          </w:tcPr>
          <w:p w14:paraId="485E65FE" w14:textId="5093EB0A" w:rsidR="00BC1437" w:rsidRPr="00005453" w:rsidRDefault="00BC1437" w:rsidP="00BC1437">
            <w:pPr>
              <w:ind w:right="55"/>
              <w:jc w:val="right"/>
              <w:rPr>
                <w:color w:val="000000"/>
                <w:sz w:val="18"/>
                <w:szCs w:val="18"/>
              </w:rPr>
            </w:pPr>
            <w:r w:rsidRPr="00005453">
              <w:rPr>
                <w:color w:val="000000"/>
              </w:rPr>
              <w:t>98,445,706</w:t>
            </w:r>
          </w:p>
        </w:tc>
        <w:tc>
          <w:tcPr>
            <w:tcW w:w="1032" w:type="pct"/>
            <w:vAlign w:val="center"/>
          </w:tcPr>
          <w:p w14:paraId="687BA873" w14:textId="6002568C" w:rsidR="00BC1437" w:rsidRPr="00005453" w:rsidRDefault="00BC1437" w:rsidP="00BC1437">
            <w:pPr>
              <w:ind w:right="55"/>
              <w:jc w:val="right"/>
              <w:rPr>
                <w:color w:val="000000"/>
                <w:sz w:val="18"/>
                <w:szCs w:val="18"/>
              </w:rPr>
            </w:pPr>
            <w:r w:rsidRPr="00005453">
              <w:rPr>
                <w:color w:val="000000"/>
                <w:sz w:val="18"/>
                <w:szCs w:val="18"/>
              </w:rPr>
              <w:t>53,525,010</w:t>
            </w:r>
          </w:p>
        </w:tc>
      </w:tr>
      <w:tr w:rsidR="00BC1437" w:rsidRPr="00005453" w14:paraId="6DCACA3D" w14:textId="77777777" w:rsidTr="00BC1437">
        <w:trPr>
          <w:trHeight w:val="52"/>
        </w:trPr>
        <w:tc>
          <w:tcPr>
            <w:tcW w:w="2844" w:type="pct"/>
            <w:shd w:val="clear" w:color="auto" w:fill="auto"/>
            <w:vAlign w:val="bottom"/>
          </w:tcPr>
          <w:p w14:paraId="18FE602F" w14:textId="77777777" w:rsidR="00BC1437" w:rsidRPr="00005453" w:rsidRDefault="00BC1437" w:rsidP="00BC1437">
            <w:pPr>
              <w:ind w:left="165"/>
              <w:rPr>
                <w:rFonts w:eastAsia="Arial Unicode MS"/>
                <w:sz w:val="18"/>
                <w:szCs w:val="18"/>
              </w:rPr>
            </w:pPr>
            <w:r w:rsidRPr="00005453">
              <w:rPr>
                <w:snapToGrid w:val="0"/>
                <w:sz w:val="18"/>
                <w:szCs w:val="18"/>
              </w:rPr>
              <w:t>Bankalardaki mevduat (3 aya kadar)</w:t>
            </w:r>
          </w:p>
        </w:tc>
        <w:tc>
          <w:tcPr>
            <w:tcW w:w="1124" w:type="pct"/>
            <w:vAlign w:val="center"/>
          </w:tcPr>
          <w:p w14:paraId="71BCAF55" w14:textId="43FD6F04" w:rsidR="00BC1437" w:rsidRPr="00005453" w:rsidRDefault="00BC1437" w:rsidP="00BC1437">
            <w:pPr>
              <w:ind w:right="55"/>
              <w:jc w:val="right"/>
              <w:rPr>
                <w:color w:val="000000"/>
                <w:sz w:val="18"/>
                <w:szCs w:val="18"/>
              </w:rPr>
            </w:pPr>
            <w:r w:rsidRPr="00005453">
              <w:rPr>
                <w:color w:val="000000"/>
              </w:rPr>
              <w:t>27,042,682</w:t>
            </w:r>
          </w:p>
        </w:tc>
        <w:tc>
          <w:tcPr>
            <w:tcW w:w="1032" w:type="pct"/>
            <w:vAlign w:val="center"/>
          </w:tcPr>
          <w:p w14:paraId="6E9F3BEC" w14:textId="3A1632C6" w:rsidR="00BC1437" w:rsidRPr="00005453" w:rsidRDefault="00BC1437" w:rsidP="00BC1437">
            <w:pPr>
              <w:ind w:right="55"/>
              <w:jc w:val="right"/>
              <w:rPr>
                <w:color w:val="000000"/>
                <w:sz w:val="18"/>
                <w:szCs w:val="18"/>
              </w:rPr>
            </w:pPr>
            <w:r w:rsidRPr="00005453">
              <w:rPr>
                <w:color w:val="000000"/>
                <w:sz w:val="18"/>
                <w:szCs w:val="18"/>
              </w:rPr>
              <w:t>18,113,412</w:t>
            </w:r>
          </w:p>
        </w:tc>
      </w:tr>
      <w:tr w:rsidR="00BC1437" w:rsidRPr="00005453" w14:paraId="744E9F71" w14:textId="77777777" w:rsidTr="00BC1437">
        <w:trPr>
          <w:trHeight w:val="52"/>
        </w:trPr>
        <w:tc>
          <w:tcPr>
            <w:tcW w:w="2844" w:type="pct"/>
            <w:shd w:val="clear" w:color="auto" w:fill="auto"/>
            <w:vAlign w:val="bottom"/>
          </w:tcPr>
          <w:p w14:paraId="17BD6998" w14:textId="77777777" w:rsidR="00BC1437" w:rsidRPr="00005453" w:rsidRDefault="00BC1437" w:rsidP="00BC1437">
            <w:pPr>
              <w:pStyle w:val="Heading9"/>
              <w:ind w:left="0"/>
              <w:rPr>
                <w:b/>
                <w:snapToGrid w:val="0"/>
                <w:sz w:val="18"/>
                <w:szCs w:val="18"/>
              </w:rPr>
            </w:pPr>
            <w:r w:rsidRPr="00005453">
              <w:rPr>
                <w:b/>
                <w:snapToGrid w:val="0"/>
                <w:sz w:val="18"/>
                <w:szCs w:val="18"/>
              </w:rPr>
              <w:t>Nakde eşdeğer varlıklar</w:t>
            </w:r>
          </w:p>
        </w:tc>
        <w:tc>
          <w:tcPr>
            <w:tcW w:w="1124" w:type="pct"/>
            <w:vAlign w:val="center"/>
          </w:tcPr>
          <w:p w14:paraId="5888A131" w14:textId="4D9E8F41" w:rsidR="00BC1437" w:rsidRPr="00005453" w:rsidRDefault="00BC1437" w:rsidP="00BC1437">
            <w:pPr>
              <w:ind w:right="55"/>
              <w:jc w:val="right"/>
              <w:rPr>
                <w:color w:val="000000"/>
                <w:sz w:val="18"/>
                <w:szCs w:val="18"/>
              </w:rPr>
            </w:pPr>
            <w:r w:rsidRPr="00005453">
              <w:rPr>
                <w:color w:val="000000"/>
              </w:rPr>
              <w:t>-</w:t>
            </w:r>
          </w:p>
        </w:tc>
        <w:tc>
          <w:tcPr>
            <w:tcW w:w="1032" w:type="pct"/>
            <w:vAlign w:val="center"/>
          </w:tcPr>
          <w:p w14:paraId="0C9CBEC1" w14:textId="7FD9A9C8" w:rsidR="00BC1437" w:rsidRPr="00005453" w:rsidRDefault="00BC1437" w:rsidP="00BC1437">
            <w:pPr>
              <w:ind w:right="55"/>
              <w:jc w:val="right"/>
              <w:rPr>
                <w:color w:val="000000"/>
                <w:sz w:val="18"/>
                <w:szCs w:val="18"/>
              </w:rPr>
            </w:pPr>
            <w:r w:rsidRPr="00005453">
              <w:rPr>
                <w:color w:val="000000"/>
              </w:rPr>
              <w:t>-</w:t>
            </w:r>
          </w:p>
        </w:tc>
      </w:tr>
      <w:tr w:rsidR="00BC1437" w:rsidRPr="00005453" w14:paraId="400443B8" w14:textId="77777777" w:rsidTr="00BC1437">
        <w:trPr>
          <w:trHeight w:val="52"/>
        </w:trPr>
        <w:tc>
          <w:tcPr>
            <w:tcW w:w="2844" w:type="pct"/>
            <w:shd w:val="clear" w:color="auto" w:fill="auto"/>
            <w:vAlign w:val="bottom"/>
          </w:tcPr>
          <w:p w14:paraId="0747AE23" w14:textId="77777777" w:rsidR="00BC1437" w:rsidRPr="00005453" w:rsidRDefault="00BC1437" w:rsidP="00BC1437">
            <w:pPr>
              <w:ind w:left="165"/>
              <w:rPr>
                <w:rFonts w:eastAsia="Arial Unicode MS"/>
                <w:sz w:val="18"/>
                <w:szCs w:val="18"/>
              </w:rPr>
            </w:pPr>
            <w:r w:rsidRPr="00005453">
              <w:rPr>
                <w:snapToGrid w:val="0"/>
                <w:sz w:val="18"/>
                <w:szCs w:val="18"/>
              </w:rPr>
              <w:t>Bankalararası para piyasası</w:t>
            </w:r>
          </w:p>
        </w:tc>
        <w:tc>
          <w:tcPr>
            <w:tcW w:w="1124" w:type="pct"/>
            <w:vAlign w:val="center"/>
          </w:tcPr>
          <w:p w14:paraId="63F02065" w14:textId="0541B2E0" w:rsidR="00BC1437" w:rsidRPr="00005453" w:rsidRDefault="00BC1437" w:rsidP="00BC1437">
            <w:pPr>
              <w:ind w:right="55"/>
              <w:jc w:val="right"/>
              <w:rPr>
                <w:color w:val="000000"/>
                <w:sz w:val="18"/>
                <w:szCs w:val="18"/>
              </w:rPr>
            </w:pPr>
            <w:r w:rsidRPr="00005453">
              <w:rPr>
                <w:color w:val="000000"/>
              </w:rPr>
              <w:t>-</w:t>
            </w:r>
          </w:p>
        </w:tc>
        <w:tc>
          <w:tcPr>
            <w:tcW w:w="1032" w:type="pct"/>
            <w:vAlign w:val="center"/>
          </w:tcPr>
          <w:p w14:paraId="0E17BEED" w14:textId="4AB6747A" w:rsidR="00BC1437" w:rsidRPr="00005453" w:rsidRDefault="00BC1437" w:rsidP="00BC1437">
            <w:pPr>
              <w:ind w:right="55"/>
              <w:jc w:val="right"/>
              <w:rPr>
                <w:color w:val="000000"/>
                <w:sz w:val="18"/>
                <w:szCs w:val="18"/>
              </w:rPr>
            </w:pPr>
            <w:r w:rsidRPr="00005453">
              <w:rPr>
                <w:color w:val="000000"/>
              </w:rPr>
              <w:t>-</w:t>
            </w:r>
          </w:p>
        </w:tc>
      </w:tr>
      <w:tr w:rsidR="00BC1437" w:rsidRPr="00005453" w14:paraId="7BF894D6" w14:textId="77777777" w:rsidTr="00BC1437">
        <w:trPr>
          <w:trHeight w:val="52"/>
        </w:trPr>
        <w:tc>
          <w:tcPr>
            <w:tcW w:w="2844" w:type="pct"/>
            <w:shd w:val="clear" w:color="auto" w:fill="auto"/>
            <w:vAlign w:val="bottom"/>
          </w:tcPr>
          <w:p w14:paraId="7EA6B777" w14:textId="77777777" w:rsidR="00BC1437" w:rsidRPr="00005453" w:rsidRDefault="00BC1437" w:rsidP="00BC1437">
            <w:pPr>
              <w:ind w:left="165"/>
              <w:rPr>
                <w:snapToGrid w:val="0"/>
                <w:sz w:val="18"/>
                <w:szCs w:val="18"/>
              </w:rPr>
            </w:pPr>
            <w:r w:rsidRPr="00005453">
              <w:rPr>
                <w:snapToGrid w:val="0"/>
                <w:sz w:val="18"/>
                <w:szCs w:val="18"/>
              </w:rPr>
              <w:t>Bankalardaki vadeli depo</w:t>
            </w:r>
          </w:p>
        </w:tc>
        <w:tc>
          <w:tcPr>
            <w:tcW w:w="1124" w:type="pct"/>
            <w:vAlign w:val="center"/>
          </w:tcPr>
          <w:p w14:paraId="5CD95753" w14:textId="7BDAD581" w:rsidR="00BC1437" w:rsidRPr="00005453" w:rsidRDefault="00BC1437" w:rsidP="00BC1437">
            <w:pPr>
              <w:ind w:right="55"/>
              <w:jc w:val="right"/>
              <w:rPr>
                <w:color w:val="000000"/>
                <w:sz w:val="18"/>
                <w:szCs w:val="18"/>
              </w:rPr>
            </w:pPr>
            <w:r w:rsidRPr="00005453">
              <w:rPr>
                <w:color w:val="000000"/>
              </w:rPr>
              <w:t>-</w:t>
            </w:r>
          </w:p>
        </w:tc>
        <w:tc>
          <w:tcPr>
            <w:tcW w:w="1032" w:type="pct"/>
            <w:vAlign w:val="center"/>
          </w:tcPr>
          <w:p w14:paraId="18F7F82D" w14:textId="7BD797FC" w:rsidR="00BC1437" w:rsidRPr="00005453" w:rsidRDefault="00BC1437" w:rsidP="00BC1437">
            <w:pPr>
              <w:ind w:right="55"/>
              <w:jc w:val="right"/>
              <w:rPr>
                <w:color w:val="000000"/>
                <w:sz w:val="18"/>
                <w:szCs w:val="18"/>
              </w:rPr>
            </w:pPr>
            <w:r w:rsidRPr="00005453">
              <w:rPr>
                <w:color w:val="000000"/>
              </w:rPr>
              <w:t>-</w:t>
            </w:r>
          </w:p>
        </w:tc>
      </w:tr>
      <w:tr w:rsidR="00BC1437" w:rsidRPr="00005453" w14:paraId="7E32CE17" w14:textId="77777777" w:rsidTr="00BC1437">
        <w:trPr>
          <w:trHeight w:val="52"/>
        </w:trPr>
        <w:tc>
          <w:tcPr>
            <w:tcW w:w="2844" w:type="pct"/>
            <w:shd w:val="clear" w:color="auto" w:fill="auto"/>
            <w:vAlign w:val="bottom"/>
          </w:tcPr>
          <w:p w14:paraId="0A72C251" w14:textId="77777777" w:rsidR="00BC1437" w:rsidRPr="00005453" w:rsidRDefault="00BC1437" w:rsidP="00BC1437">
            <w:pPr>
              <w:ind w:left="165"/>
              <w:rPr>
                <w:snapToGrid w:val="0"/>
                <w:sz w:val="18"/>
                <w:szCs w:val="18"/>
              </w:rPr>
            </w:pPr>
            <w:r w:rsidRPr="00005453">
              <w:rPr>
                <w:snapToGrid w:val="0"/>
                <w:sz w:val="18"/>
                <w:szCs w:val="18"/>
              </w:rPr>
              <w:t>Menkul kıymetler</w:t>
            </w:r>
          </w:p>
        </w:tc>
        <w:tc>
          <w:tcPr>
            <w:tcW w:w="1124" w:type="pct"/>
            <w:vAlign w:val="center"/>
          </w:tcPr>
          <w:p w14:paraId="6F95588B" w14:textId="156C9C27" w:rsidR="00BC1437" w:rsidRPr="00005453" w:rsidRDefault="00BC1437" w:rsidP="00BC1437">
            <w:pPr>
              <w:ind w:right="55"/>
              <w:jc w:val="right"/>
              <w:rPr>
                <w:color w:val="000000"/>
                <w:sz w:val="18"/>
                <w:szCs w:val="18"/>
              </w:rPr>
            </w:pPr>
            <w:r w:rsidRPr="00005453">
              <w:rPr>
                <w:color w:val="000000"/>
              </w:rPr>
              <w:t>-</w:t>
            </w:r>
          </w:p>
        </w:tc>
        <w:tc>
          <w:tcPr>
            <w:tcW w:w="1032" w:type="pct"/>
            <w:vAlign w:val="center"/>
          </w:tcPr>
          <w:p w14:paraId="4F72B266" w14:textId="17F09B5D" w:rsidR="00BC1437" w:rsidRPr="00005453" w:rsidRDefault="00BC1437" w:rsidP="00BC1437">
            <w:pPr>
              <w:ind w:right="55"/>
              <w:jc w:val="right"/>
              <w:rPr>
                <w:color w:val="000000"/>
                <w:sz w:val="18"/>
                <w:szCs w:val="18"/>
              </w:rPr>
            </w:pPr>
            <w:r w:rsidRPr="00005453">
              <w:rPr>
                <w:color w:val="000000"/>
              </w:rPr>
              <w:t>-</w:t>
            </w:r>
          </w:p>
        </w:tc>
      </w:tr>
      <w:tr w:rsidR="00BC1437" w:rsidRPr="00005453" w14:paraId="63D9F87F" w14:textId="77777777" w:rsidTr="00BC1437">
        <w:trPr>
          <w:trHeight w:val="222"/>
        </w:trPr>
        <w:tc>
          <w:tcPr>
            <w:tcW w:w="2844" w:type="pct"/>
            <w:tcBorders>
              <w:top w:val="single" w:sz="4" w:space="0" w:color="auto"/>
              <w:bottom w:val="double" w:sz="4" w:space="0" w:color="auto"/>
            </w:tcBorders>
            <w:shd w:val="clear" w:color="auto" w:fill="auto"/>
            <w:vAlign w:val="bottom"/>
          </w:tcPr>
          <w:p w14:paraId="64C509CE" w14:textId="77777777" w:rsidR="00BC1437" w:rsidRPr="00005453" w:rsidRDefault="00BC1437" w:rsidP="00BC1437">
            <w:pPr>
              <w:rPr>
                <w:b/>
                <w:snapToGrid w:val="0"/>
                <w:sz w:val="18"/>
                <w:szCs w:val="18"/>
              </w:rPr>
            </w:pPr>
            <w:r w:rsidRPr="00005453">
              <w:rPr>
                <w:b/>
                <w:snapToGrid w:val="0"/>
                <w:sz w:val="18"/>
                <w:szCs w:val="18"/>
              </w:rPr>
              <w:t>Toplam nakit ve nakde eşdeğer varlık</w:t>
            </w:r>
          </w:p>
        </w:tc>
        <w:tc>
          <w:tcPr>
            <w:tcW w:w="1124" w:type="pct"/>
            <w:tcBorders>
              <w:top w:val="single" w:sz="4" w:space="0" w:color="auto"/>
              <w:bottom w:val="double" w:sz="4" w:space="0" w:color="auto"/>
            </w:tcBorders>
            <w:vAlign w:val="center"/>
          </w:tcPr>
          <w:p w14:paraId="76161C05" w14:textId="1D240383" w:rsidR="00BC1437" w:rsidRPr="00005453" w:rsidRDefault="00BC1437" w:rsidP="00BC1437">
            <w:pPr>
              <w:jc w:val="right"/>
              <w:rPr>
                <w:b/>
                <w:bCs/>
                <w:color w:val="000000"/>
                <w:sz w:val="18"/>
                <w:lang w:eastAsia="tr-TR"/>
              </w:rPr>
            </w:pPr>
            <w:r w:rsidRPr="00005453">
              <w:rPr>
                <w:b/>
                <w:bCs/>
                <w:color w:val="000000"/>
                <w:sz w:val="18"/>
              </w:rPr>
              <w:t>125,488,388</w:t>
            </w:r>
          </w:p>
        </w:tc>
        <w:tc>
          <w:tcPr>
            <w:tcW w:w="1032" w:type="pct"/>
            <w:tcBorders>
              <w:top w:val="single" w:sz="4" w:space="0" w:color="auto"/>
              <w:bottom w:val="double" w:sz="4" w:space="0" w:color="auto"/>
            </w:tcBorders>
            <w:vAlign w:val="center"/>
          </w:tcPr>
          <w:p w14:paraId="493DD324" w14:textId="76F51954" w:rsidR="00BC1437" w:rsidRPr="00005453" w:rsidRDefault="00BC1437" w:rsidP="00BC1437">
            <w:pPr>
              <w:jc w:val="right"/>
              <w:rPr>
                <w:b/>
                <w:bCs/>
                <w:color w:val="000000"/>
                <w:sz w:val="18"/>
                <w:lang w:eastAsia="tr-TR"/>
              </w:rPr>
            </w:pPr>
            <w:r w:rsidRPr="00005453">
              <w:rPr>
                <w:b/>
                <w:bCs/>
                <w:color w:val="000000"/>
                <w:sz w:val="18"/>
              </w:rPr>
              <w:t>71,638,422</w:t>
            </w:r>
          </w:p>
        </w:tc>
      </w:tr>
    </w:tbl>
    <w:p w14:paraId="70EC5B03" w14:textId="77777777" w:rsidR="00406F79" w:rsidRPr="00005453" w:rsidRDefault="00406F79" w:rsidP="00AB2B18">
      <w:pPr>
        <w:tabs>
          <w:tab w:val="left" w:pos="0"/>
          <w:tab w:val="left" w:pos="709"/>
        </w:tabs>
        <w:ind w:right="49" w:hanging="567"/>
        <w:jc w:val="both"/>
        <w:rPr>
          <w:b/>
        </w:rPr>
      </w:pPr>
    </w:p>
    <w:p w14:paraId="3D09CE54" w14:textId="70C92DBB" w:rsidR="00AB2B18" w:rsidRPr="00005453" w:rsidRDefault="00AB2B18" w:rsidP="00AB2B18">
      <w:pPr>
        <w:tabs>
          <w:tab w:val="left" w:pos="0"/>
          <w:tab w:val="left" w:pos="709"/>
        </w:tabs>
        <w:ind w:right="49" w:hanging="567"/>
        <w:jc w:val="both"/>
        <w:rPr>
          <w:b/>
        </w:rPr>
      </w:pPr>
      <w:r w:rsidRPr="00005453">
        <w:rPr>
          <w:b/>
        </w:rPr>
        <w:t>6.2.</w:t>
      </w:r>
      <w:r w:rsidRPr="00005453">
        <w:rPr>
          <w:b/>
        </w:rPr>
        <w:tab/>
        <w:t xml:space="preserve">Banka’nın elinde bulunan ancak, yasal sınırlamalar veya diğer nedenlerle Banka’nın </w:t>
      </w:r>
      <w:proofErr w:type="gramStart"/>
      <w:r w:rsidRPr="00005453">
        <w:rPr>
          <w:b/>
        </w:rPr>
        <w:t>serbest  kullanımında</w:t>
      </w:r>
      <w:proofErr w:type="gramEnd"/>
      <w:r w:rsidRPr="00005453">
        <w:rPr>
          <w:b/>
        </w:rPr>
        <w:t xml:space="preserve"> olmayan nakit ve nakde eşdeğer varlık mevcuduna ilişkin bilgi </w:t>
      </w:r>
    </w:p>
    <w:p w14:paraId="3C3D3F29" w14:textId="77777777" w:rsidR="00AB2B18" w:rsidRPr="00005453" w:rsidRDefault="00AB2B18" w:rsidP="00AB2B18">
      <w:pPr>
        <w:autoSpaceDE w:val="0"/>
        <w:autoSpaceDN w:val="0"/>
        <w:adjustRightInd w:val="0"/>
        <w:rPr>
          <w:b/>
          <w:sz w:val="16"/>
          <w:szCs w:val="16"/>
        </w:rPr>
      </w:pPr>
    </w:p>
    <w:p w14:paraId="14ACEF26" w14:textId="77737DBA" w:rsidR="00AB2B18" w:rsidRPr="00005453" w:rsidRDefault="00AB2B18" w:rsidP="00AB2B18">
      <w:pPr>
        <w:autoSpaceDE w:val="0"/>
        <w:autoSpaceDN w:val="0"/>
        <w:adjustRightInd w:val="0"/>
      </w:pPr>
      <w:r w:rsidRPr="00005453">
        <w:t>Yoktur (31 Aralık 202</w:t>
      </w:r>
      <w:r w:rsidR="005117FF" w:rsidRPr="00005453">
        <w:t>3</w:t>
      </w:r>
      <w:r w:rsidRPr="00005453">
        <w:t xml:space="preserve"> – Yoktur).</w:t>
      </w:r>
    </w:p>
    <w:p w14:paraId="66B99FE9" w14:textId="77777777" w:rsidR="00AB2B18" w:rsidRPr="00005453" w:rsidRDefault="00AB2B18" w:rsidP="00AB2B18">
      <w:pPr>
        <w:tabs>
          <w:tab w:val="left" w:pos="0"/>
          <w:tab w:val="left" w:pos="709"/>
        </w:tabs>
        <w:ind w:right="49" w:hanging="567"/>
        <w:jc w:val="both"/>
        <w:rPr>
          <w:b/>
          <w:sz w:val="14"/>
          <w:szCs w:val="14"/>
        </w:rPr>
      </w:pPr>
    </w:p>
    <w:p w14:paraId="7A389890" w14:textId="77777777" w:rsidR="00AB2B18" w:rsidRPr="00005453" w:rsidRDefault="00AB2B18" w:rsidP="00AB2B18">
      <w:pPr>
        <w:tabs>
          <w:tab w:val="left" w:pos="709"/>
        </w:tabs>
        <w:ind w:right="183" w:hanging="567"/>
        <w:rPr>
          <w:b/>
        </w:rPr>
      </w:pPr>
      <w:r w:rsidRPr="00005453">
        <w:rPr>
          <w:b/>
        </w:rPr>
        <w:t>6.3.</w:t>
      </w:r>
      <w:r w:rsidRPr="00005453">
        <w:rPr>
          <w:b/>
        </w:rPr>
        <w:tab/>
        <w:t>Nakit akım tablosunda yer alan diğer kalemlerine ilişkin açıklamalar</w:t>
      </w:r>
    </w:p>
    <w:p w14:paraId="6841D43B" w14:textId="77777777" w:rsidR="00AB2B18" w:rsidRPr="00005453" w:rsidRDefault="00AB2B18" w:rsidP="00AB2B18">
      <w:pPr>
        <w:tabs>
          <w:tab w:val="left" w:pos="180"/>
        </w:tabs>
        <w:ind w:right="183" w:hanging="540"/>
        <w:rPr>
          <w:b/>
          <w:sz w:val="16"/>
          <w:szCs w:val="16"/>
        </w:rPr>
      </w:pPr>
    </w:p>
    <w:p w14:paraId="4077C874" w14:textId="76309A4C" w:rsidR="00AB2B18" w:rsidRPr="00005453" w:rsidRDefault="00AB2B18" w:rsidP="00AB2B18">
      <w:pPr>
        <w:autoSpaceDE w:val="0"/>
        <w:autoSpaceDN w:val="0"/>
        <w:adjustRightInd w:val="0"/>
        <w:jc w:val="both"/>
      </w:pPr>
      <w:r w:rsidRPr="00005453">
        <w:t xml:space="preserve">“Bankacılık faaliyet konusu </w:t>
      </w:r>
      <w:r w:rsidR="00091E19" w:rsidRPr="00005453">
        <w:t xml:space="preserve">varlık </w:t>
      </w:r>
      <w:r w:rsidRPr="00005453">
        <w:t xml:space="preserve">ve </w:t>
      </w:r>
      <w:r w:rsidR="00091E19" w:rsidRPr="00005453">
        <w:t xml:space="preserve">yükümlülüklerdeki </w:t>
      </w:r>
      <w:r w:rsidRPr="00005453">
        <w:t>değişim öncesi faaliyet kârı” içinde yer alan (</w:t>
      </w:r>
      <w:r w:rsidR="00BC1437" w:rsidRPr="00005453">
        <w:t>1</w:t>
      </w:r>
      <w:r w:rsidR="009A26D7" w:rsidRPr="00005453">
        <w:t>5</w:t>
      </w:r>
      <w:r w:rsidR="00CA2ED8" w:rsidRPr="00005453">
        <w:t>,</w:t>
      </w:r>
      <w:r w:rsidR="00BC1437" w:rsidRPr="00005453">
        <w:t>624</w:t>
      </w:r>
      <w:r w:rsidR="00CA2ED8" w:rsidRPr="00005453">
        <w:t>,</w:t>
      </w:r>
      <w:r w:rsidR="009A26D7" w:rsidRPr="00005453">
        <w:t>3</w:t>
      </w:r>
      <w:r w:rsidR="00BC1437" w:rsidRPr="00005453">
        <w:t>18</w:t>
      </w:r>
      <w:r w:rsidRPr="00005453">
        <w:t>) TL (1 Ocak-31 Aralık 202</w:t>
      </w:r>
      <w:r w:rsidR="005117FF" w:rsidRPr="00005453">
        <w:t>3</w:t>
      </w:r>
      <w:r w:rsidRPr="00005453">
        <w:t xml:space="preserve"> – </w:t>
      </w:r>
      <w:r w:rsidR="00A82F1F" w:rsidRPr="00005453">
        <w:t>(</w:t>
      </w:r>
      <w:r w:rsidR="005117FF" w:rsidRPr="00005453">
        <w:t>5,366</w:t>
      </w:r>
      <w:r w:rsidR="00A02218" w:rsidRPr="00005453">
        <w:t>,</w:t>
      </w:r>
      <w:r w:rsidR="005117FF" w:rsidRPr="00005453">
        <w:t>372</w:t>
      </w:r>
      <w:r w:rsidR="00A82F1F" w:rsidRPr="00005453">
        <w:t xml:space="preserve">) </w:t>
      </w:r>
      <w:r w:rsidRPr="00005453">
        <w:t>TL) tutarındaki “Diğer” kalemi, esas olarak verilen ücret ve komisyonlardan, donuk alacaklardan tahsilatlar hariç diğer faaliyet gelirlerinden ve diğer faaliyet giderlerinden oluşmaktadır.</w:t>
      </w:r>
    </w:p>
    <w:p w14:paraId="4E51EEFE" w14:textId="77777777" w:rsidR="00AB2B18" w:rsidRPr="00005453" w:rsidRDefault="00AB2B18" w:rsidP="00AB2B18">
      <w:pPr>
        <w:autoSpaceDE w:val="0"/>
        <w:autoSpaceDN w:val="0"/>
        <w:adjustRightInd w:val="0"/>
        <w:jc w:val="both"/>
        <w:rPr>
          <w:sz w:val="14"/>
          <w:szCs w:val="14"/>
        </w:rPr>
      </w:pPr>
    </w:p>
    <w:p w14:paraId="384A72D8" w14:textId="3B7EF6EF" w:rsidR="00AB2B18" w:rsidRPr="00005453" w:rsidRDefault="00AB2B18" w:rsidP="00AB2B18">
      <w:pPr>
        <w:autoSpaceDE w:val="0"/>
        <w:autoSpaceDN w:val="0"/>
        <w:adjustRightInd w:val="0"/>
        <w:jc w:val="both"/>
      </w:pPr>
      <w:r w:rsidRPr="00005453">
        <w:t xml:space="preserve">“Bankacılık faaliyetleri konusu </w:t>
      </w:r>
      <w:r w:rsidR="00091E19" w:rsidRPr="00005453">
        <w:t>varlık ve yükümlülüklerdeki</w:t>
      </w:r>
      <w:r w:rsidRPr="00005453">
        <w:t xml:space="preserve"> değişim” içinde yer alan </w:t>
      </w:r>
      <w:r w:rsidR="00BC1437" w:rsidRPr="00005453">
        <w:t>1</w:t>
      </w:r>
      <w:r w:rsidR="00741E57" w:rsidRPr="00005453">
        <w:t>9</w:t>
      </w:r>
      <w:r w:rsidR="00CA2ED8" w:rsidRPr="00005453">
        <w:t>,</w:t>
      </w:r>
      <w:r w:rsidR="00741E57" w:rsidRPr="00005453">
        <w:t>150</w:t>
      </w:r>
      <w:r w:rsidR="00CA2ED8" w:rsidRPr="00005453">
        <w:t>,</w:t>
      </w:r>
      <w:r w:rsidR="00BC1437" w:rsidRPr="00005453">
        <w:t>014</w:t>
      </w:r>
      <w:r w:rsidRPr="00005453">
        <w:t xml:space="preserve"> TL (1 Ocak-31 Aralık 202</w:t>
      </w:r>
      <w:r w:rsidR="009D2C3E" w:rsidRPr="00005453">
        <w:t>3</w:t>
      </w:r>
      <w:r w:rsidRPr="00005453">
        <w:t xml:space="preserve"> – </w:t>
      </w:r>
      <w:r w:rsidR="009D2C3E" w:rsidRPr="00005453">
        <w:t>7</w:t>
      </w:r>
      <w:r w:rsidR="00F46833" w:rsidRPr="00005453">
        <w:t>,</w:t>
      </w:r>
      <w:r w:rsidR="009D2C3E" w:rsidRPr="00005453">
        <w:t>465</w:t>
      </w:r>
      <w:r w:rsidR="00F46833" w:rsidRPr="00005453">
        <w:t>,</w:t>
      </w:r>
      <w:r w:rsidR="009D2C3E" w:rsidRPr="00005453">
        <w:t>137</w:t>
      </w:r>
      <w:r w:rsidR="00F46833" w:rsidRPr="00005453">
        <w:t xml:space="preserve"> </w:t>
      </w:r>
      <w:r w:rsidRPr="00005453">
        <w:t>TL) tutarındaki “Diğer borçlardaki net artış/azalış” kalemi muhtelif borçlardaki, diğer yabancı kaynaklardaki ve ödenecek vergi, resim, harç ve primlerdeki değişimlerden oluşmaktadır.</w:t>
      </w:r>
    </w:p>
    <w:p w14:paraId="1B24A9E1" w14:textId="77777777" w:rsidR="00AB2B18" w:rsidRPr="00005453" w:rsidRDefault="00AB2B18" w:rsidP="00AB2B18">
      <w:pPr>
        <w:autoSpaceDE w:val="0"/>
        <w:autoSpaceDN w:val="0"/>
        <w:adjustRightInd w:val="0"/>
        <w:jc w:val="both"/>
        <w:rPr>
          <w:sz w:val="14"/>
          <w:szCs w:val="14"/>
        </w:rPr>
      </w:pPr>
    </w:p>
    <w:p w14:paraId="6895D54F" w14:textId="6A3E1EF9" w:rsidR="00AB2B18" w:rsidRPr="00005453" w:rsidRDefault="00AB2B18" w:rsidP="00AB2B18">
      <w:pPr>
        <w:autoSpaceDE w:val="0"/>
        <w:autoSpaceDN w:val="0"/>
        <w:adjustRightInd w:val="0"/>
        <w:jc w:val="both"/>
      </w:pPr>
      <w:r w:rsidRPr="00005453">
        <w:t xml:space="preserve">“Bankacılık faaliyetleri konusu </w:t>
      </w:r>
      <w:r w:rsidR="00091E19" w:rsidRPr="00005453">
        <w:t>varlık ve yükümlülüklerdeki</w:t>
      </w:r>
      <w:r w:rsidR="00091E19" w:rsidRPr="00005453" w:rsidDel="00091E19">
        <w:t xml:space="preserve"> </w:t>
      </w:r>
      <w:r w:rsidRPr="00005453">
        <w:t xml:space="preserve">değişim” içinde yer alan </w:t>
      </w:r>
      <w:r w:rsidR="00741E57" w:rsidRPr="00005453">
        <w:t>12</w:t>
      </w:r>
      <w:r w:rsidR="00CA2ED8" w:rsidRPr="00005453">
        <w:t>,</w:t>
      </w:r>
      <w:r w:rsidR="00741E57" w:rsidRPr="00005453">
        <w:t>054</w:t>
      </w:r>
      <w:r w:rsidR="00CA2ED8" w:rsidRPr="00005453">
        <w:t>,</w:t>
      </w:r>
      <w:r w:rsidR="00741E57" w:rsidRPr="00005453">
        <w:t>124</w:t>
      </w:r>
      <w:r w:rsidR="00CA2ED8" w:rsidRPr="00005453">
        <w:t xml:space="preserve"> </w:t>
      </w:r>
      <w:r w:rsidRPr="00005453">
        <w:t xml:space="preserve">TL (1 Ocak-31 Aralık </w:t>
      </w:r>
      <w:proofErr w:type="gramStart"/>
      <w:r w:rsidRPr="00005453">
        <w:t>202</w:t>
      </w:r>
      <w:r w:rsidR="009D2C3E" w:rsidRPr="00005453">
        <w:t>3</w:t>
      </w:r>
      <w:r w:rsidRPr="00005453">
        <w:t xml:space="preserve">  –</w:t>
      </w:r>
      <w:proofErr w:type="gramEnd"/>
      <w:r w:rsidRPr="00005453">
        <w:t xml:space="preserve"> </w:t>
      </w:r>
      <w:r w:rsidR="009D2C3E" w:rsidRPr="00005453">
        <w:t>4</w:t>
      </w:r>
      <w:r w:rsidR="00F46833" w:rsidRPr="00005453">
        <w:t>,</w:t>
      </w:r>
      <w:r w:rsidR="009D2C3E" w:rsidRPr="00005453">
        <w:t>435</w:t>
      </w:r>
      <w:r w:rsidR="00F46833" w:rsidRPr="00005453">
        <w:t>,</w:t>
      </w:r>
      <w:r w:rsidR="009D2C3E" w:rsidRPr="00005453">
        <w:t>890</w:t>
      </w:r>
      <w:r w:rsidR="00F46833" w:rsidRPr="00005453">
        <w:t xml:space="preserve"> </w:t>
      </w:r>
      <w:r w:rsidRPr="00005453">
        <w:t xml:space="preserve">TL) tutarındaki “Diğer </w:t>
      </w:r>
      <w:r w:rsidR="001E5929" w:rsidRPr="00005453">
        <w:t>varlıklarda</w:t>
      </w:r>
      <w:r w:rsidRPr="00005453">
        <w:t xml:space="preserve"> net artış/azalış” kalemi, esas olarak vergi varlığı ve diğer aktiflerdeki değişimlerinden oluşmaktadır.</w:t>
      </w:r>
    </w:p>
    <w:p w14:paraId="572516DB" w14:textId="77777777" w:rsidR="00AB2B18" w:rsidRPr="00005453" w:rsidRDefault="00AB2B18" w:rsidP="00AB2B18">
      <w:pPr>
        <w:ind w:right="49"/>
        <w:rPr>
          <w:sz w:val="14"/>
          <w:szCs w:val="14"/>
        </w:rPr>
      </w:pPr>
    </w:p>
    <w:p w14:paraId="366C7A80" w14:textId="77777777" w:rsidR="00406F79" w:rsidRPr="00005453" w:rsidRDefault="00406F79" w:rsidP="00AB2B18">
      <w:pPr>
        <w:ind w:right="183" w:hanging="567"/>
        <w:rPr>
          <w:b/>
        </w:rPr>
        <w:sectPr w:rsidR="00406F79" w:rsidRPr="00005453" w:rsidSect="00475153">
          <w:pgSz w:w="11906" w:h="16838"/>
          <w:pgMar w:top="1417" w:right="1133" w:bottom="1438" w:left="1560" w:header="708" w:footer="708" w:gutter="0"/>
          <w:cols w:space="708"/>
          <w:docGrid w:linePitch="360"/>
        </w:sectPr>
      </w:pPr>
    </w:p>
    <w:p w14:paraId="44EAC39F" w14:textId="77777777" w:rsidR="00AB2B18" w:rsidRPr="00005453" w:rsidRDefault="00AB2B18" w:rsidP="00AB2B18">
      <w:pPr>
        <w:ind w:right="183" w:hanging="567"/>
        <w:rPr>
          <w:b/>
        </w:rPr>
      </w:pPr>
      <w:r w:rsidRPr="00005453">
        <w:rPr>
          <w:b/>
        </w:rPr>
        <w:lastRenderedPageBreak/>
        <w:t>6.4.</w:t>
      </w:r>
      <w:r w:rsidRPr="00005453">
        <w:rPr>
          <w:b/>
        </w:rPr>
        <w:tab/>
        <w:t>Döviz kurundaki değişimin nakit ve nakde eşdeğer varlıklar üzerindeki etkisi:</w:t>
      </w:r>
    </w:p>
    <w:p w14:paraId="7D5F9276" w14:textId="77777777" w:rsidR="00AB2B18" w:rsidRPr="00005453" w:rsidRDefault="00AB2B18" w:rsidP="00AB2B18">
      <w:pPr>
        <w:tabs>
          <w:tab w:val="left" w:pos="180"/>
        </w:tabs>
        <w:ind w:right="183" w:hanging="540"/>
        <w:rPr>
          <w:b/>
          <w:sz w:val="14"/>
          <w:szCs w:val="14"/>
        </w:rPr>
      </w:pPr>
    </w:p>
    <w:p w14:paraId="5682A1B1" w14:textId="35813FF4" w:rsidR="00AB2B18" w:rsidRPr="00005453" w:rsidRDefault="00AB2B18" w:rsidP="00AB2B18">
      <w:pPr>
        <w:tabs>
          <w:tab w:val="left" w:pos="180"/>
        </w:tabs>
        <w:ind w:right="49"/>
        <w:jc w:val="both"/>
      </w:pPr>
      <w:r w:rsidRPr="00005453">
        <w:t>Döviz kurundaki değişimin nakit ve nakde eşdeğer varlıklar üzerindeki etkisi 31 Aralık 202</w:t>
      </w:r>
      <w:r w:rsidR="009D2C3E" w:rsidRPr="00005453">
        <w:t>4</w:t>
      </w:r>
      <w:r w:rsidRPr="00005453">
        <w:t xml:space="preserve"> tarihi </w:t>
      </w:r>
      <w:r w:rsidR="002C78B0" w:rsidRPr="00005453">
        <w:t>itibarıyla</w:t>
      </w:r>
      <w:r w:rsidRPr="00005453">
        <w:t xml:space="preserve"> yaklaşık </w:t>
      </w:r>
      <w:r w:rsidR="009A26D7" w:rsidRPr="00005453">
        <w:t>3</w:t>
      </w:r>
      <w:r w:rsidR="00741E57" w:rsidRPr="00005453">
        <w:t>6</w:t>
      </w:r>
      <w:r w:rsidR="00CA2ED8" w:rsidRPr="00005453">
        <w:t>,</w:t>
      </w:r>
      <w:r w:rsidR="00741E57" w:rsidRPr="00005453">
        <w:t>516</w:t>
      </w:r>
      <w:r w:rsidR="00CA2ED8" w:rsidRPr="00005453">
        <w:t>,</w:t>
      </w:r>
      <w:r w:rsidR="00741E57" w:rsidRPr="00005453">
        <w:t>686</w:t>
      </w:r>
      <w:r w:rsidR="00CA2ED8" w:rsidRPr="00005453">
        <w:t xml:space="preserve"> </w:t>
      </w:r>
      <w:r w:rsidRPr="00005453">
        <w:t>TL (31 Aralık 202</w:t>
      </w:r>
      <w:r w:rsidR="009D2C3E" w:rsidRPr="00005453">
        <w:t>3</w:t>
      </w:r>
      <w:r w:rsidRPr="00005453">
        <w:t xml:space="preserve"> – </w:t>
      </w:r>
      <w:r w:rsidR="009D2C3E" w:rsidRPr="00005453">
        <w:t>35</w:t>
      </w:r>
      <w:r w:rsidR="00F46833" w:rsidRPr="00005453">
        <w:t>,</w:t>
      </w:r>
      <w:r w:rsidR="009D2C3E" w:rsidRPr="00005453">
        <w:t>924</w:t>
      </w:r>
      <w:r w:rsidR="00F46833" w:rsidRPr="00005453">
        <w:t>,</w:t>
      </w:r>
      <w:r w:rsidR="00D3409A" w:rsidRPr="00005453">
        <w:t>861</w:t>
      </w:r>
      <w:r w:rsidR="00F46833" w:rsidRPr="00005453">
        <w:t xml:space="preserve"> </w:t>
      </w:r>
      <w:r w:rsidRPr="00005453">
        <w:t xml:space="preserve">TL) olarak hesaplanmıştır. Döviz kurunun nakit ve nakde eşdeğer varlıklar üzerindeki etkisi, </w:t>
      </w:r>
      <w:r w:rsidR="00FE09BD" w:rsidRPr="00FE09BD">
        <w:t xml:space="preserve">önceki dönem sonu kuru ile bilanço tarihi arasındaki kur farkının ilgili nakit tutar ile çarpılması suretiyle hesaplanmaktadır. </w:t>
      </w:r>
    </w:p>
    <w:p w14:paraId="6D827F60" w14:textId="77777777" w:rsidR="004A0829" w:rsidRPr="00005453" w:rsidRDefault="004A0829" w:rsidP="00C530B2">
      <w:pPr>
        <w:ind w:hanging="567"/>
        <w:rPr>
          <w:b/>
          <w:sz w:val="16"/>
          <w:szCs w:val="16"/>
        </w:rPr>
      </w:pPr>
    </w:p>
    <w:p w14:paraId="425D6A94" w14:textId="1D21C44E" w:rsidR="000F096F" w:rsidRPr="00005453" w:rsidRDefault="00EC1D5D" w:rsidP="00C530B2">
      <w:pPr>
        <w:ind w:hanging="567"/>
        <w:rPr>
          <w:b/>
        </w:rPr>
      </w:pPr>
      <w:r w:rsidRPr="00005453">
        <w:rPr>
          <w:b/>
        </w:rPr>
        <w:t>7</w:t>
      </w:r>
      <w:r w:rsidR="00E253C8" w:rsidRPr="00005453">
        <w:rPr>
          <w:b/>
        </w:rPr>
        <w:t>.</w:t>
      </w:r>
      <w:r w:rsidR="00E253C8" w:rsidRPr="00005453">
        <w:rPr>
          <w:b/>
        </w:rPr>
        <w:tab/>
        <w:t>Banka’nın dahil olduğu risk grubu ile ilgili açıklama</w:t>
      </w:r>
      <w:r w:rsidR="00243A0C" w:rsidRPr="00005453">
        <w:rPr>
          <w:b/>
        </w:rPr>
        <w:t>lar</w:t>
      </w:r>
    </w:p>
    <w:p w14:paraId="14CE8E67" w14:textId="77777777" w:rsidR="000F096F" w:rsidRPr="00005453" w:rsidRDefault="000F096F" w:rsidP="000F096F">
      <w:pPr>
        <w:autoSpaceDE w:val="0"/>
        <w:autoSpaceDN w:val="0"/>
        <w:adjustRightInd w:val="0"/>
        <w:ind w:left="540" w:hanging="540"/>
        <w:rPr>
          <w:rFonts w:eastAsia="Arial Unicode MS"/>
          <w:b/>
          <w:sz w:val="16"/>
          <w:szCs w:val="16"/>
        </w:rPr>
      </w:pPr>
    </w:p>
    <w:p w14:paraId="5339C8B4" w14:textId="1FB96125" w:rsidR="000F096F" w:rsidRPr="00005453" w:rsidRDefault="00EC1D5D" w:rsidP="001F7228">
      <w:pPr>
        <w:autoSpaceDE w:val="0"/>
        <w:autoSpaceDN w:val="0"/>
        <w:adjustRightInd w:val="0"/>
        <w:ind w:hanging="567"/>
        <w:jc w:val="both"/>
        <w:rPr>
          <w:b/>
          <w:bCs/>
          <w:iCs/>
        </w:rPr>
      </w:pPr>
      <w:r w:rsidRPr="00005453">
        <w:rPr>
          <w:b/>
          <w:bCs/>
          <w:iCs/>
        </w:rPr>
        <w:t>7</w:t>
      </w:r>
      <w:r w:rsidR="00C530B2" w:rsidRPr="00005453">
        <w:rPr>
          <w:b/>
          <w:bCs/>
          <w:iCs/>
        </w:rPr>
        <w:t>.1</w:t>
      </w:r>
      <w:r w:rsidR="00C530B2" w:rsidRPr="00005453">
        <w:rPr>
          <w:b/>
          <w:bCs/>
          <w:iCs/>
        </w:rPr>
        <w:tab/>
      </w:r>
      <w:r w:rsidR="00E253C8" w:rsidRPr="00005453">
        <w:rPr>
          <w:b/>
          <w:bCs/>
          <w:iCs/>
        </w:rPr>
        <w:t>Banka’nın dahil olduğu risk grubuna ilişkin işlemlerin hacmi, dönem sonunda sonuçlanmamış kredi ve toplanan fonlar ile döneme ilişkin gelir ve giderler</w:t>
      </w:r>
    </w:p>
    <w:p w14:paraId="6AD57F93" w14:textId="77777777" w:rsidR="000F096F" w:rsidRPr="00005453" w:rsidRDefault="000F096F" w:rsidP="000F096F">
      <w:pPr>
        <w:autoSpaceDE w:val="0"/>
        <w:autoSpaceDN w:val="0"/>
        <w:adjustRightInd w:val="0"/>
        <w:rPr>
          <w:rFonts w:eastAsia="Arial Unicode MS"/>
          <w:sz w:val="16"/>
          <w:szCs w:val="16"/>
        </w:rPr>
      </w:pPr>
    </w:p>
    <w:p w14:paraId="2A840B1F" w14:textId="0322ED29" w:rsidR="00D22163" w:rsidRPr="00005453" w:rsidRDefault="00E253C8" w:rsidP="00D95D2A">
      <w:pPr>
        <w:tabs>
          <w:tab w:val="num" w:pos="3060"/>
          <w:tab w:val="num" w:pos="3420"/>
        </w:tabs>
        <w:autoSpaceDE w:val="0"/>
        <w:autoSpaceDN w:val="0"/>
        <w:adjustRightInd w:val="0"/>
        <w:rPr>
          <w:b/>
          <w:bCs/>
          <w:lang w:val="en-GB" w:eastAsia="en-GB"/>
        </w:rPr>
      </w:pPr>
      <w:r w:rsidRPr="00005453">
        <w:rPr>
          <w:b/>
          <w:bCs/>
        </w:rPr>
        <w:t>Cari dönem</w:t>
      </w:r>
    </w:p>
    <w:p w14:paraId="5CC8C45B" w14:textId="5247AC64" w:rsidR="00D95D2A" w:rsidRPr="00005453" w:rsidRDefault="00D95D2A"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D95D2A" w:rsidRPr="00005453" w14:paraId="47E32131" w14:textId="77777777" w:rsidTr="00614CD2">
        <w:trPr>
          <w:divId w:val="1892765558"/>
          <w:trHeight w:val="513"/>
        </w:trPr>
        <w:tc>
          <w:tcPr>
            <w:tcW w:w="2861" w:type="dxa"/>
            <w:tcBorders>
              <w:top w:val="double" w:sz="4" w:space="0" w:color="auto"/>
              <w:left w:val="nil"/>
              <w:bottom w:val="nil"/>
              <w:right w:val="nil"/>
            </w:tcBorders>
            <w:shd w:val="clear" w:color="auto" w:fill="auto"/>
            <w:vAlign w:val="center"/>
            <w:hideMark/>
          </w:tcPr>
          <w:p w14:paraId="00235486" w14:textId="1899BBDD" w:rsidR="00D95D2A" w:rsidRPr="00005453" w:rsidRDefault="00D95D2A" w:rsidP="00D95D2A">
            <w:pPr>
              <w:jc w:val="both"/>
              <w:rPr>
                <w:b/>
                <w:bCs/>
                <w:color w:val="000000"/>
                <w:sz w:val="16"/>
                <w:szCs w:val="16"/>
                <w:lang w:eastAsia="tr-TR"/>
              </w:rPr>
            </w:pPr>
            <w:r w:rsidRPr="00005453">
              <w:rPr>
                <w:b/>
                <w:bCs/>
                <w:color w:val="000000"/>
                <w:sz w:val="16"/>
                <w:szCs w:val="16"/>
                <w:lang w:eastAsia="tr-TR"/>
              </w:rPr>
              <w:t>Banka'nın dahil olduğu risk grubu (*)</w:t>
            </w:r>
          </w:p>
        </w:tc>
        <w:tc>
          <w:tcPr>
            <w:tcW w:w="2330" w:type="dxa"/>
            <w:gridSpan w:val="2"/>
            <w:tcBorders>
              <w:top w:val="double" w:sz="4" w:space="0" w:color="auto"/>
              <w:left w:val="nil"/>
              <w:bottom w:val="nil"/>
              <w:right w:val="nil"/>
            </w:tcBorders>
            <w:shd w:val="clear" w:color="auto" w:fill="auto"/>
            <w:vAlign w:val="center"/>
            <w:hideMark/>
          </w:tcPr>
          <w:p w14:paraId="666E52AC" w14:textId="77777777" w:rsidR="00D95D2A" w:rsidRPr="00005453" w:rsidRDefault="00D95D2A" w:rsidP="00D95D2A">
            <w:pPr>
              <w:jc w:val="center"/>
              <w:rPr>
                <w:b/>
                <w:bCs/>
                <w:color w:val="000000"/>
                <w:sz w:val="16"/>
                <w:szCs w:val="16"/>
                <w:lang w:eastAsia="tr-TR"/>
              </w:rPr>
            </w:pPr>
            <w:r w:rsidRPr="00005453">
              <w:rPr>
                <w:b/>
                <w:bCs/>
                <w:color w:val="000000"/>
                <w:sz w:val="16"/>
                <w:szCs w:val="16"/>
                <w:lang w:eastAsia="tr-TR"/>
              </w:rPr>
              <w:t>İştirak, bağlı ortaklıklar ve birlikte kontrol edilen ortaklıklar (iş ortaklıkları)</w:t>
            </w:r>
          </w:p>
        </w:tc>
        <w:tc>
          <w:tcPr>
            <w:tcW w:w="2443" w:type="dxa"/>
            <w:gridSpan w:val="2"/>
            <w:tcBorders>
              <w:top w:val="double" w:sz="4" w:space="0" w:color="auto"/>
              <w:left w:val="nil"/>
              <w:bottom w:val="nil"/>
              <w:right w:val="nil"/>
            </w:tcBorders>
            <w:shd w:val="clear" w:color="auto" w:fill="auto"/>
            <w:vAlign w:val="center"/>
            <w:hideMark/>
          </w:tcPr>
          <w:p w14:paraId="316680F4" w14:textId="77777777" w:rsidR="00D95D2A" w:rsidRPr="00005453" w:rsidRDefault="00D95D2A" w:rsidP="00D95D2A">
            <w:pPr>
              <w:jc w:val="center"/>
              <w:rPr>
                <w:b/>
                <w:bCs/>
                <w:color w:val="000000"/>
                <w:sz w:val="16"/>
                <w:szCs w:val="16"/>
                <w:lang w:eastAsia="tr-TR"/>
              </w:rPr>
            </w:pPr>
            <w:r w:rsidRPr="00005453">
              <w:rPr>
                <w:b/>
                <w:bCs/>
                <w:color w:val="000000"/>
                <w:sz w:val="16"/>
                <w:szCs w:val="16"/>
                <w:lang w:eastAsia="tr-TR"/>
              </w:rPr>
              <w:t>Bankanın doğrudan ve dolaylı ortaklıkları</w:t>
            </w:r>
          </w:p>
        </w:tc>
        <w:tc>
          <w:tcPr>
            <w:tcW w:w="1993" w:type="dxa"/>
            <w:gridSpan w:val="2"/>
            <w:tcBorders>
              <w:top w:val="double" w:sz="4" w:space="0" w:color="auto"/>
              <w:left w:val="nil"/>
              <w:bottom w:val="nil"/>
              <w:right w:val="nil"/>
            </w:tcBorders>
            <w:shd w:val="clear" w:color="auto" w:fill="auto"/>
            <w:vAlign w:val="center"/>
            <w:hideMark/>
          </w:tcPr>
          <w:p w14:paraId="446DEB27" w14:textId="77777777" w:rsidR="00D95D2A" w:rsidRPr="00005453" w:rsidRDefault="00D95D2A" w:rsidP="00D95D2A">
            <w:pPr>
              <w:jc w:val="center"/>
              <w:rPr>
                <w:b/>
                <w:bCs/>
                <w:color w:val="000000"/>
                <w:sz w:val="16"/>
                <w:szCs w:val="16"/>
                <w:lang w:eastAsia="tr-TR"/>
              </w:rPr>
            </w:pPr>
            <w:r w:rsidRPr="00005453">
              <w:rPr>
                <w:b/>
                <w:bCs/>
                <w:color w:val="000000"/>
                <w:sz w:val="16"/>
                <w:szCs w:val="16"/>
                <w:lang w:eastAsia="tr-TR"/>
              </w:rPr>
              <w:t>Risk grubuna dahil olan diğer gerçek ve tüzel kişiler</w:t>
            </w:r>
          </w:p>
        </w:tc>
      </w:tr>
      <w:tr w:rsidR="00D95D2A" w:rsidRPr="00005453" w14:paraId="38AC4DFF" w14:textId="77777777" w:rsidTr="00BC7E08">
        <w:trPr>
          <w:divId w:val="1892765558"/>
          <w:trHeight w:val="195"/>
        </w:trPr>
        <w:tc>
          <w:tcPr>
            <w:tcW w:w="2861" w:type="dxa"/>
            <w:tcBorders>
              <w:top w:val="nil"/>
              <w:left w:val="nil"/>
              <w:bottom w:val="single" w:sz="8" w:space="0" w:color="auto"/>
              <w:right w:val="nil"/>
            </w:tcBorders>
            <w:shd w:val="clear" w:color="auto" w:fill="auto"/>
            <w:noWrap/>
            <w:vAlign w:val="bottom"/>
            <w:hideMark/>
          </w:tcPr>
          <w:p w14:paraId="6F7D2F76" w14:textId="77777777" w:rsidR="00D95D2A" w:rsidRPr="00005453" w:rsidRDefault="00D95D2A" w:rsidP="00D95D2A">
            <w:pPr>
              <w:rPr>
                <w:color w:val="000000"/>
                <w:sz w:val="16"/>
                <w:szCs w:val="16"/>
                <w:lang w:eastAsia="tr-TR"/>
              </w:rPr>
            </w:pPr>
            <w:r w:rsidRPr="00005453">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3092B9D4"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07EFCC84" w14:textId="77777777" w:rsidR="00D95D2A" w:rsidRPr="00005453" w:rsidRDefault="00D95D2A" w:rsidP="00D95D2A">
            <w:pPr>
              <w:jc w:val="right"/>
              <w:rPr>
                <w:b/>
                <w:bCs/>
                <w:color w:val="000000"/>
                <w:sz w:val="16"/>
                <w:szCs w:val="16"/>
                <w:lang w:eastAsia="tr-TR"/>
              </w:rPr>
            </w:pPr>
            <w:proofErr w:type="gramStart"/>
            <w:r w:rsidRPr="00005453">
              <w:rPr>
                <w:b/>
                <w:bCs/>
                <w:color w:val="000000"/>
                <w:sz w:val="16"/>
                <w:szCs w:val="16"/>
                <w:lang w:eastAsia="tr-TR"/>
              </w:rPr>
              <w:t>G.Nakdi</w:t>
            </w:r>
            <w:proofErr w:type="gramEnd"/>
          </w:p>
        </w:tc>
        <w:tc>
          <w:tcPr>
            <w:tcW w:w="1109" w:type="dxa"/>
            <w:tcBorders>
              <w:top w:val="nil"/>
              <w:left w:val="nil"/>
              <w:bottom w:val="single" w:sz="8" w:space="0" w:color="auto"/>
              <w:right w:val="nil"/>
            </w:tcBorders>
            <w:shd w:val="clear" w:color="auto" w:fill="auto"/>
            <w:vAlign w:val="center"/>
            <w:hideMark/>
          </w:tcPr>
          <w:p w14:paraId="158596E8"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40FB098A" w14:textId="77777777" w:rsidR="00D95D2A" w:rsidRPr="00005453" w:rsidRDefault="00D95D2A" w:rsidP="00D95D2A">
            <w:pPr>
              <w:jc w:val="right"/>
              <w:rPr>
                <w:b/>
                <w:bCs/>
                <w:color w:val="000000"/>
                <w:sz w:val="16"/>
                <w:szCs w:val="16"/>
                <w:lang w:eastAsia="tr-TR"/>
              </w:rPr>
            </w:pPr>
            <w:proofErr w:type="gramStart"/>
            <w:r w:rsidRPr="00005453">
              <w:rPr>
                <w:b/>
                <w:bCs/>
                <w:color w:val="000000"/>
                <w:sz w:val="16"/>
                <w:szCs w:val="16"/>
                <w:lang w:eastAsia="tr-TR"/>
              </w:rPr>
              <w:t>G.Nakdi</w:t>
            </w:r>
            <w:proofErr w:type="gramEnd"/>
          </w:p>
        </w:tc>
        <w:tc>
          <w:tcPr>
            <w:tcW w:w="996" w:type="dxa"/>
            <w:tcBorders>
              <w:top w:val="nil"/>
              <w:left w:val="nil"/>
              <w:bottom w:val="single" w:sz="8" w:space="0" w:color="auto"/>
              <w:right w:val="nil"/>
            </w:tcBorders>
            <w:shd w:val="clear" w:color="auto" w:fill="auto"/>
            <w:vAlign w:val="center"/>
            <w:hideMark/>
          </w:tcPr>
          <w:p w14:paraId="79A9C301"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Nakdi</w:t>
            </w:r>
          </w:p>
        </w:tc>
        <w:tc>
          <w:tcPr>
            <w:tcW w:w="997" w:type="dxa"/>
            <w:tcBorders>
              <w:top w:val="nil"/>
              <w:left w:val="nil"/>
              <w:bottom w:val="single" w:sz="8" w:space="0" w:color="auto"/>
              <w:right w:val="nil"/>
            </w:tcBorders>
            <w:shd w:val="clear" w:color="auto" w:fill="auto"/>
            <w:vAlign w:val="center"/>
            <w:hideMark/>
          </w:tcPr>
          <w:p w14:paraId="00AAEF55" w14:textId="77777777" w:rsidR="00D95D2A" w:rsidRPr="00005453" w:rsidRDefault="00D95D2A" w:rsidP="00D95D2A">
            <w:pPr>
              <w:jc w:val="right"/>
              <w:rPr>
                <w:b/>
                <w:bCs/>
                <w:color w:val="000000"/>
                <w:sz w:val="16"/>
                <w:szCs w:val="16"/>
                <w:lang w:eastAsia="tr-TR"/>
              </w:rPr>
            </w:pPr>
            <w:proofErr w:type="gramStart"/>
            <w:r w:rsidRPr="00005453">
              <w:rPr>
                <w:b/>
                <w:bCs/>
                <w:color w:val="000000"/>
                <w:sz w:val="16"/>
                <w:szCs w:val="16"/>
                <w:lang w:eastAsia="tr-TR"/>
              </w:rPr>
              <w:t>G.Nakdi</w:t>
            </w:r>
            <w:proofErr w:type="gramEnd"/>
          </w:p>
        </w:tc>
      </w:tr>
      <w:tr w:rsidR="00D95D2A" w:rsidRPr="00005453" w14:paraId="6DC73793" w14:textId="77777777" w:rsidTr="00BC7E08">
        <w:trPr>
          <w:divId w:val="1892765558"/>
          <w:trHeight w:val="183"/>
        </w:trPr>
        <w:tc>
          <w:tcPr>
            <w:tcW w:w="2861" w:type="dxa"/>
            <w:tcBorders>
              <w:top w:val="nil"/>
              <w:left w:val="nil"/>
              <w:bottom w:val="nil"/>
              <w:right w:val="nil"/>
            </w:tcBorders>
            <w:shd w:val="clear" w:color="auto" w:fill="auto"/>
            <w:vAlign w:val="center"/>
            <w:hideMark/>
          </w:tcPr>
          <w:p w14:paraId="4538F95E" w14:textId="77777777" w:rsidR="00D95D2A" w:rsidRPr="00005453" w:rsidRDefault="00D95D2A" w:rsidP="00D95D2A">
            <w:pPr>
              <w:jc w:val="both"/>
              <w:rPr>
                <w:b/>
                <w:bCs/>
                <w:color w:val="000000"/>
                <w:sz w:val="16"/>
                <w:szCs w:val="16"/>
                <w:lang w:eastAsia="tr-TR"/>
              </w:rPr>
            </w:pPr>
            <w:r w:rsidRPr="00005453">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35C36643" w14:textId="77777777" w:rsidR="00D95D2A" w:rsidRPr="00005453" w:rsidRDefault="00D95D2A" w:rsidP="00D95D2A">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2436ED63" w14:textId="77777777" w:rsidR="00D95D2A" w:rsidRPr="00005453" w:rsidRDefault="00D95D2A" w:rsidP="00D95D2A">
            <w:pPr>
              <w:jc w:val="right"/>
              <w:rPr>
                <w:lang w:eastAsia="tr-TR"/>
              </w:rPr>
            </w:pPr>
          </w:p>
        </w:tc>
        <w:tc>
          <w:tcPr>
            <w:tcW w:w="1109" w:type="dxa"/>
            <w:tcBorders>
              <w:top w:val="nil"/>
              <w:left w:val="nil"/>
              <w:bottom w:val="nil"/>
              <w:right w:val="nil"/>
            </w:tcBorders>
            <w:shd w:val="clear" w:color="auto" w:fill="auto"/>
            <w:vAlign w:val="center"/>
            <w:hideMark/>
          </w:tcPr>
          <w:p w14:paraId="6A3DA8A8" w14:textId="77777777" w:rsidR="00D95D2A" w:rsidRPr="00005453" w:rsidRDefault="00D95D2A" w:rsidP="00D95D2A">
            <w:pPr>
              <w:jc w:val="right"/>
              <w:rPr>
                <w:lang w:eastAsia="tr-TR"/>
              </w:rPr>
            </w:pPr>
          </w:p>
        </w:tc>
        <w:tc>
          <w:tcPr>
            <w:tcW w:w="1334" w:type="dxa"/>
            <w:tcBorders>
              <w:top w:val="nil"/>
              <w:left w:val="nil"/>
              <w:bottom w:val="nil"/>
              <w:right w:val="nil"/>
            </w:tcBorders>
            <w:shd w:val="clear" w:color="auto" w:fill="auto"/>
            <w:vAlign w:val="center"/>
            <w:hideMark/>
          </w:tcPr>
          <w:p w14:paraId="5A7C2FFD" w14:textId="77777777" w:rsidR="00D95D2A" w:rsidRPr="00005453" w:rsidRDefault="00D95D2A" w:rsidP="00D95D2A">
            <w:pPr>
              <w:jc w:val="right"/>
              <w:rPr>
                <w:lang w:eastAsia="tr-TR"/>
              </w:rPr>
            </w:pPr>
          </w:p>
        </w:tc>
        <w:tc>
          <w:tcPr>
            <w:tcW w:w="996" w:type="dxa"/>
            <w:tcBorders>
              <w:top w:val="nil"/>
              <w:left w:val="nil"/>
              <w:bottom w:val="nil"/>
              <w:right w:val="nil"/>
            </w:tcBorders>
            <w:shd w:val="clear" w:color="auto" w:fill="auto"/>
            <w:vAlign w:val="center"/>
            <w:hideMark/>
          </w:tcPr>
          <w:p w14:paraId="6949D985" w14:textId="77777777" w:rsidR="00D95D2A" w:rsidRPr="00005453" w:rsidRDefault="00D95D2A" w:rsidP="00D95D2A">
            <w:pPr>
              <w:jc w:val="right"/>
              <w:rPr>
                <w:lang w:eastAsia="tr-TR"/>
              </w:rPr>
            </w:pPr>
          </w:p>
        </w:tc>
        <w:tc>
          <w:tcPr>
            <w:tcW w:w="997" w:type="dxa"/>
            <w:tcBorders>
              <w:top w:val="nil"/>
              <w:left w:val="nil"/>
              <w:bottom w:val="nil"/>
              <w:right w:val="nil"/>
            </w:tcBorders>
            <w:shd w:val="clear" w:color="auto" w:fill="auto"/>
            <w:vAlign w:val="center"/>
            <w:hideMark/>
          </w:tcPr>
          <w:p w14:paraId="512AB0A3" w14:textId="77777777" w:rsidR="00D95D2A" w:rsidRPr="00005453" w:rsidRDefault="00D95D2A" w:rsidP="00D95D2A">
            <w:pPr>
              <w:jc w:val="right"/>
              <w:rPr>
                <w:lang w:eastAsia="tr-TR"/>
              </w:rPr>
            </w:pPr>
          </w:p>
        </w:tc>
      </w:tr>
      <w:tr w:rsidR="00AD69C7" w:rsidRPr="00005453" w14:paraId="0A453CF9" w14:textId="77777777" w:rsidTr="00AD69C7">
        <w:trPr>
          <w:divId w:val="1892765558"/>
          <w:trHeight w:val="195"/>
        </w:trPr>
        <w:tc>
          <w:tcPr>
            <w:tcW w:w="2861" w:type="dxa"/>
            <w:tcBorders>
              <w:top w:val="nil"/>
              <w:left w:val="nil"/>
              <w:bottom w:val="nil"/>
              <w:right w:val="nil"/>
            </w:tcBorders>
            <w:shd w:val="clear" w:color="auto" w:fill="auto"/>
            <w:vAlign w:val="center"/>
            <w:hideMark/>
          </w:tcPr>
          <w:p w14:paraId="0EAC04DB" w14:textId="77777777" w:rsidR="00AD69C7" w:rsidRPr="00005453" w:rsidRDefault="00AD69C7" w:rsidP="00AD69C7">
            <w:pPr>
              <w:ind w:firstLineChars="100" w:firstLine="160"/>
              <w:rPr>
                <w:sz w:val="16"/>
                <w:szCs w:val="16"/>
                <w:lang w:eastAsia="tr-TR"/>
              </w:rPr>
            </w:pPr>
            <w:r w:rsidRPr="00005453">
              <w:rPr>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7843022C" w14:textId="36BD298E" w:rsidR="00AD69C7" w:rsidRPr="00005453" w:rsidRDefault="00AD69C7" w:rsidP="00AD69C7">
            <w:pPr>
              <w:jc w:val="right"/>
              <w:rPr>
                <w:color w:val="000000"/>
                <w:sz w:val="16"/>
                <w:szCs w:val="16"/>
              </w:rPr>
            </w:pPr>
            <w:r w:rsidRPr="00005453">
              <w:rPr>
                <w:color w:val="000000"/>
                <w:sz w:val="16"/>
                <w:szCs w:val="18"/>
              </w:rPr>
              <w:t>736,761</w:t>
            </w:r>
          </w:p>
        </w:tc>
        <w:tc>
          <w:tcPr>
            <w:tcW w:w="1125" w:type="dxa"/>
            <w:tcBorders>
              <w:top w:val="nil"/>
              <w:left w:val="nil"/>
              <w:bottom w:val="nil"/>
              <w:right w:val="nil"/>
            </w:tcBorders>
            <w:shd w:val="clear" w:color="auto" w:fill="auto"/>
            <w:vAlign w:val="center"/>
            <w:hideMark/>
          </w:tcPr>
          <w:p w14:paraId="3DB7502A" w14:textId="419AA51B" w:rsidR="00AD69C7" w:rsidRPr="00005453" w:rsidRDefault="00AD69C7" w:rsidP="00AD69C7">
            <w:pPr>
              <w:jc w:val="right"/>
              <w:rPr>
                <w:color w:val="000000"/>
                <w:sz w:val="16"/>
                <w:szCs w:val="16"/>
              </w:rPr>
            </w:pPr>
            <w:r w:rsidRPr="00005453">
              <w:rPr>
                <w:color w:val="000000"/>
                <w:sz w:val="16"/>
                <w:szCs w:val="18"/>
              </w:rPr>
              <w:t>73,084</w:t>
            </w:r>
          </w:p>
        </w:tc>
        <w:tc>
          <w:tcPr>
            <w:tcW w:w="1109" w:type="dxa"/>
            <w:tcBorders>
              <w:top w:val="nil"/>
              <w:left w:val="nil"/>
              <w:bottom w:val="nil"/>
              <w:right w:val="nil"/>
            </w:tcBorders>
            <w:shd w:val="clear" w:color="auto" w:fill="auto"/>
            <w:vAlign w:val="center"/>
            <w:hideMark/>
          </w:tcPr>
          <w:p w14:paraId="3C8B309A" w14:textId="38FCAD13" w:rsidR="00AD69C7" w:rsidRPr="00005453" w:rsidRDefault="00AD69C7" w:rsidP="00AD69C7">
            <w:pPr>
              <w:jc w:val="right"/>
              <w:rPr>
                <w:color w:val="000000"/>
                <w:sz w:val="16"/>
                <w:szCs w:val="16"/>
              </w:rPr>
            </w:pPr>
            <w:r w:rsidRPr="00005453">
              <w:rPr>
                <w:color w:val="000000"/>
                <w:sz w:val="16"/>
                <w:szCs w:val="18"/>
              </w:rPr>
              <w:t>29,238</w:t>
            </w:r>
          </w:p>
        </w:tc>
        <w:tc>
          <w:tcPr>
            <w:tcW w:w="1334" w:type="dxa"/>
            <w:tcBorders>
              <w:top w:val="nil"/>
              <w:left w:val="nil"/>
              <w:bottom w:val="nil"/>
              <w:right w:val="nil"/>
            </w:tcBorders>
            <w:shd w:val="clear" w:color="auto" w:fill="auto"/>
            <w:vAlign w:val="center"/>
            <w:hideMark/>
          </w:tcPr>
          <w:p w14:paraId="42D45983" w14:textId="224E9F39" w:rsidR="00AD69C7" w:rsidRPr="00005453" w:rsidRDefault="00AD69C7" w:rsidP="00AD69C7">
            <w:pPr>
              <w:jc w:val="right"/>
              <w:rPr>
                <w:color w:val="000000"/>
                <w:sz w:val="16"/>
                <w:szCs w:val="16"/>
              </w:rPr>
            </w:pPr>
            <w:r w:rsidRPr="00005453">
              <w:rPr>
                <w:color w:val="000000"/>
                <w:sz w:val="16"/>
                <w:szCs w:val="18"/>
              </w:rPr>
              <w:t>82,280</w:t>
            </w:r>
          </w:p>
        </w:tc>
        <w:tc>
          <w:tcPr>
            <w:tcW w:w="996" w:type="dxa"/>
            <w:tcBorders>
              <w:top w:val="nil"/>
              <w:left w:val="nil"/>
              <w:bottom w:val="nil"/>
              <w:right w:val="nil"/>
            </w:tcBorders>
            <w:shd w:val="clear" w:color="auto" w:fill="auto"/>
            <w:vAlign w:val="center"/>
            <w:hideMark/>
          </w:tcPr>
          <w:p w14:paraId="677AE110" w14:textId="36C3C6BC" w:rsidR="00AD69C7" w:rsidRPr="00005453" w:rsidRDefault="00AD69C7" w:rsidP="00AD69C7">
            <w:pPr>
              <w:jc w:val="right"/>
              <w:rPr>
                <w:color w:val="000000"/>
                <w:sz w:val="16"/>
                <w:szCs w:val="16"/>
              </w:rPr>
            </w:pPr>
            <w:r w:rsidRPr="00005453">
              <w:rPr>
                <w:color w:val="000000"/>
                <w:sz w:val="16"/>
                <w:szCs w:val="18"/>
              </w:rPr>
              <w:t>2,974,543</w:t>
            </w:r>
          </w:p>
        </w:tc>
        <w:tc>
          <w:tcPr>
            <w:tcW w:w="997" w:type="dxa"/>
            <w:tcBorders>
              <w:top w:val="nil"/>
              <w:left w:val="nil"/>
              <w:bottom w:val="nil"/>
              <w:right w:val="nil"/>
            </w:tcBorders>
            <w:shd w:val="clear" w:color="auto" w:fill="auto"/>
            <w:vAlign w:val="center"/>
            <w:hideMark/>
          </w:tcPr>
          <w:p w14:paraId="701900EB" w14:textId="53E40753" w:rsidR="00AD69C7" w:rsidRPr="00005453" w:rsidRDefault="00AD69C7" w:rsidP="00AD69C7">
            <w:pPr>
              <w:jc w:val="right"/>
              <w:rPr>
                <w:color w:val="000000"/>
                <w:sz w:val="16"/>
                <w:szCs w:val="16"/>
              </w:rPr>
            </w:pPr>
            <w:r w:rsidRPr="00005453">
              <w:rPr>
                <w:color w:val="000000"/>
                <w:sz w:val="16"/>
                <w:szCs w:val="18"/>
              </w:rPr>
              <w:t>20,322</w:t>
            </w:r>
          </w:p>
        </w:tc>
      </w:tr>
      <w:tr w:rsidR="00AD69C7" w:rsidRPr="00005453" w14:paraId="0EC20E3E" w14:textId="77777777" w:rsidTr="00AD69C7">
        <w:trPr>
          <w:divId w:val="1892765558"/>
          <w:trHeight w:val="183"/>
        </w:trPr>
        <w:tc>
          <w:tcPr>
            <w:tcW w:w="2861" w:type="dxa"/>
            <w:tcBorders>
              <w:top w:val="nil"/>
              <w:left w:val="nil"/>
              <w:bottom w:val="nil"/>
              <w:right w:val="nil"/>
            </w:tcBorders>
            <w:shd w:val="clear" w:color="auto" w:fill="auto"/>
            <w:vAlign w:val="center"/>
            <w:hideMark/>
          </w:tcPr>
          <w:p w14:paraId="1D40CAD7" w14:textId="77777777" w:rsidR="00AD69C7" w:rsidRPr="00005453" w:rsidRDefault="00AD69C7" w:rsidP="00AD69C7">
            <w:pPr>
              <w:ind w:firstLineChars="100" w:firstLine="160"/>
              <w:rPr>
                <w:sz w:val="16"/>
                <w:szCs w:val="16"/>
                <w:lang w:eastAsia="tr-TR"/>
              </w:rPr>
            </w:pPr>
            <w:r w:rsidRPr="00005453">
              <w:rPr>
                <w:sz w:val="16"/>
                <w:szCs w:val="16"/>
                <w:lang w:eastAsia="tr-TR"/>
              </w:rPr>
              <w:t>Dönem Sonu Bakiyesi</w:t>
            </w:r>
          </w:p>
        </w:tc>
        <w:tc>
          <w:tcPr>
            <w:tcW w:w="1205" w:type="dxa"/>
            <w:tcBorders>
              <w:top w:val="nil"/>
              <w:left w:val="nil"/>
              <w:bottom w:val="nil"/>
              <w:right w:val="nil"/>
            </w:tcBorders>
            <w:shd w:val="clear" w:color="auto" w:fill="auto"/>
            <w:vAlign w:val="center"/>
            <w:hideMark/>
          </w:tcPr>
          <w:p w14:paraId="59B25E4A" w14:textId="2538FCC4" w:rsidR="00AD69C7" w:rsidRPr="00005453" w:rsidRDefault="00AD69C7" w:rsidP="00AD69C7">
            <w:pPr>
              <w:jc w:val="right"/>
              <w:rPr>
                <w:color w:val="000000"/>
                <w:sz w:val="16"/>
                <w:szCs w:val="16"/>
              </w:rPr>
            </w:pPr>
            <w:r w:rsidRPr="00005453">
              <w:rPr>
                <w:color w:val="000000"/>
                <w:sz w:val="16"/>
                <w:szCs w:val="18"/>
              </w:rPr>
              <w:t>111,135</w:t>
            </w:r>
          </w:p>
        </w:tc>
        <w:tc>
          <w:tcPr>
            <w:tcW w:w="1125" w:type="dxa"/>
            <w:tcBorders>
              <w:top w:val="nil"/>
              <w:left w:val="nil"/>
              <w:bottom w:val="nil"/>
              <w:right w:val="nil"/>
            </w:tcBorders>
            <w:shd w:val="clear" w:color="auto" w:fill="auto"/>
            <w:vAlign w:val="center"/>
            <w:hideMark/>
          </w:tcPr>
          <w:p w14:paraId="2AD821F6" w14:textId="09FBF2D5" w:rsidR="00AD69C7" w:rsidRPr="00005453" w:rsidRDefault="00AD69C7" w:rsidP="00AD69C7">
            <w:pPr>
              <w:jc w:val="right"/>
              <w:rPr>
                <w:color w:val="000000"/>
                <w:sz w:val="16"/>
                <w:szCs w:val="16"/>
              </w:rPr>
            </w:pPr>
            <w:r w:rsidRPr="00005453">
              <w:rPr>
                <w:color w:val="000000"/>
                <w:sz w:val="16"/>
                <w:szCs w:val="18"/>
              </w:rPr>
              <w:t>199,233</w:t>
            </w:r>
          </w:p>
        </w:tc>
        <w:tc>
          <w:tcPr>
            <w:tcW w:w="1109" w:type="dxa"/>
            <w:tcBorders>
              <w:top w:val="nil"/>
              <w:left w:val="nil"/>
              <w:bottom w:val="nil"/>
              <w:right w:val="nil"/>
            </w:tcBorders>
            <w:shd w:val="clear" w:color="auto" w:fill="auto"/>
            <w:vAlign w:val="center"/>
            <w:hideMark/>
          </w:tcPr>
          <w:p w14:paraId="409BB57B" w14:textId="005D8AB8" w:rsidR="00AD69C7" w:rsidRPr="00005453" w:rsidRDefault="00AD69C7" w:rsidP="00AD69C7">
            <w:pPr>
              <w:jc w:val="right"/>
              <w:rPr>
                <w:color w:val="000000"/>
                <w:sz w:val="16"/>
                <w:szCs w:val="16"/>
              </w:rPr>
            </w:pPr>
            <w:r w:rsidRPr="00005453">
              <w:rPr>
                <w:color w:val="000000"/>
                <w:sz w:val="16"/>
                <w:szCs w:val="18"/>
              </w:rPr>
              <w:t>31,373</w:t>
            </w:r>
          </w:p>
        </w:tc>
        <w:tc>
          <w:tcPr>
            <w:tcW w:w="1334" w:type="dxa"/>
            <w:tcBorders>
              <w:top w:val="nil"/>
              <w:left w:val="nil"/>
              <w:bottom w:val="nil"/>
              <w:right w:val="nil"/>
            </w:tcBorders>
            <w:shd w:val="clear" w:color="auto" w:fill="auto"/>
            <w:vAlign w:val="center"/>
            <w:hideMark/>
          </w:tcPr>
          <w:p w14:paraId="308E04BA" w14:textId="3EE840B1" w:rsidR="00AD69C7" w:rsidRPr="00005453" w:rsidRDefault="00AD69C7" w:rsidP="00AD69C7">
            <w:pPr>
              <w:jc w:val="right"/>
              <w:rPr>
                <w:color w:val="000000"/>
                <w:sz w:val="16"/>
                <w:szCs w:val="16"/>
              </w:rPr>
            </w:pPr>
            <w:r w:rsidRPr="00005453">
              <w:rPr>
                <w:color w:val="000000"/>
                <w:sz w:val="16"/>
                <w:szCs w:val="18"/>
              </w:rPr>
              <w:t>104,629</w:t>
            </w:r>
          </w:p>
        </w:tc>
        <w:tc>
          <w:tcPr>
            <w:tcW w:w="996" w:type="dxa"/>
            <w:tcBorders>
              <w:top w:val="nil"/>
              <w:left w:val="nil"/>
              <w:bottom w:val="nil"/>
              <w:right w:val="nil"/>
            </w:tcBorders>
            <w:shd w:val="clear" w:color="auto" w:fill="auto"/>
            <w:vAlign w:val="center"/>
            <w:hideMark/>
          </w:tcPr>
          <w:p w14:paraId="535833A1" w14:textId="6A296E8B" w:rsidR="00AD69C7" w:rsidRPr="00005453" w:rsidRDefault="00AD69C7" w:rsidP="00AD69C7">
            <w:pPr>
              <w:jc w:val="right"/>
              <w:rPr>
                <w:color w:val="000000"/>
                <w:sz w:val="16"/>
                <w:szCs w:val="16"/>
              </w:rPr>
            </w:pPr>
            <w:r w:rsidRPr="00005453">
              <w:rPr>
                <w:color w:val="000000"/>
                <w:sz w:val="16"/>
                <w:szCs w:val="18"/>
              </w:rPr>
              <w:t>1,117</w:t>
            </w:r>
          </w:p>
        </w:tc>
        <w:tc>
          <w:tcPr>
            <w:tcW w:w="997" w:type="dxa"/>
            <w:tcBorders>
              <w:top w:val="nil"/>
              <w:left w:val="nil"/>
              <w:bottom w:val="nil"/>
              <w:right w:val="nil"/>
            </w:tcBorders>
            <w:shd w:val="clear" w:color="auto" w:fill="auto"/>
            <w:vAlign w:val="center"/>
            <w:hideMark/>
          </w:tcPr>
          <w:p w14:paraId="79C17C14" w14:textId="7D4296BB" w:rsidR="00AD69C7" w:rsidRPr="00005453" w:rsidRDefault="00AD69C7" w:rsidP="00AD69C7">
            <w:pPr>
              <w:jc w:val="right"/>
              <w:rPr>
                <w:color w:val="000000"/>
                <w:sz w:val="16"/>
                <w:szCs w:val="16"/>
              </w:rPr>
            </w:pPr>
            <w:r w:rsidRPr="00005453">
              <w:rPr>
                <w:color w:val="000000"/>
                <w:sz w:val="16"/>
                <w:szCs w:val="18"/>
              </w:rPr>
              <w:t>3,505</w:t>
            </w:r>
          </w:p>
        </w:tc>
      </w:tr>
      <w:tr w:rsidR="00AD69C7" w:rsidRPr="00005453" w14:paraId="79E67169" w14:textId="77777777" w:rsidTr="00AD69C7">
        <w:trPr>
          <w:divId w:val="1892765558"/>
          <w:trHeight w:val="195"/>
        </w:trPr>
        <w:tc>
          <w:tcPr>
            <w:tcW w:w="2861" w:type="dxa"/>
            <w:tcBorders>
              <w:top w:val="nil"/>
              <w:left w:val="nil"/>
              <w:bottom w:val="double" w:sz="4" w:space="0" w:color="auto"/>
              <w:right w:val="nil"/>
            </w:tcBorders>
            <w:shd w:val="clear" w:color="auto" w:fill="auto"/>
            <w:vAlign w:val="center"/>
            <w:hideMark/>
          </w:tcPr>
          <w:p w14:paraId="45A9277B" w14:textId="77777777" w:rsidR="00AD69C7" w:rsidRPr="00005453" w:rsidRDefault="00AD69C7" w:rsidP="00AD69C7">
            <w:pPr>
              <w:ind w:firstLineChars="100" w:firstLine="160"/>
              <w:rPr>
                <w:sz w:val="16"/>
                <w:szCs w:val="16"/>
                <w:lang w:eastAsia="tr-TR"/>
              </w:rPr>
            </w:pPr>
            <w:r w:rsidRPr="00005453">
              <w:rPr>
                <w:sz w:val="16"/>
                <w:szCs w:val="16"/>
                <w:lang w:eastAsia="tr-TR"/>
              </w:rPr>
              <w:t xml:space="preserve">Alınan </w:t>
            </w:r>
            <w:proofErr w:type="gramStart"/>
            <w:r w:rsidRPr="00005453">
              <w:rPr>
                <w:sz w:val="16"/>
                <w:szCs w:val="16"/>
                <w:lang w:eastAsia="tr-TR"/>
              </w:rPr>
              <w:t>kar</w:t>
            </w:r>
            <w:proofErr w:type="gramEnd"/>
            <w:r w:rsidRPr="00005453">
              <w:rPr>
                <w:sz w:val="16"/>
                <w:szCs w:val="16"/>
                <w:lang w:eastAsia="tr-TR"/>
              </w:rPr>
              <w:t xml:space="preserve"> payı ve komisyon gelirleri</w:t>
            </w:r>
          </w:p>
        </w:tc>
        <w:tc>
          <w:tcPr>
            <w:tcW w:w="1205" w:type="dxa"/>
            <w:tcBorders>
              <w:top w:val="nil"/>
              <w:left w:val="nil"/>
              <w:bottom w:val="double" w:sz="4" w:space="0" w:color="auto"/>
              <w:right w:val="nil"/>
            </w:tcBorders>
            <w:shd w:val="clear" w:color="auto" w:fill="auto"/>
            <w:vAlign w:val="center"/>
            <w:hideMark/>
          </w:tcPr>
          <w:p w14:paraId="055C740D" w14:textId="7DA93006" w:rsidR="00AD69C7" w:rsidRPr="00005453" w:rsidRDefault="00AD69C7" w:rsidP="00AD69C7">
            <w:pPr>
              <w:jc w:val="right"/>
              <w:rPr>
                <w:color w:val="000000"/>
                <w:sz w:val="16"/>
                <w:szCs w:val="16"/>
              </w:rPr>
            </w:pPr>
            <w:r w:rsidRPr="00005453">
              <w:rPr>
                <w:color w:val="000000"/>
                <w:sz w:val="16"/>
                <w:szCs w:val="18"/>
              </w:rPr>
              <w:t>14,948</w:t>
            </w:r>
          </w:p>
        </w:tc>
        <w:tc>
          <w:tcPr>
            <w:tcW w:w="1125" w:type="dxa"/>
            <w:tcBorders>
              <w:top w:val="nil"/>
              <w:left w:val="nil"/>
              <w:bottom w:val="double" w:sz="4" w:space="0" w:color="auto"/>
              <w:right w:val="nil"/>
            </w:tcBorders>
            <w:shd w:val="clear" w:color="auto" w:fill="auto"/>
            <w:vAlign w:val="center"/>
            <w:hideMark/>
          </w:tcPr>
          <w:p w14:paraId="46DCCC72" w14:textId="62B7F228" w:rsidR="00AD69C7" w:rsidRPr="00005453" w:rsidRDefault="00AD69C7" w:rsidP="00AD69C7">
            <w:pPr>
              <w:jc w:val="right"/>
              <w:rPr>
                <w:color w:val="000000"/>
                <w:sz w:val="16"/>
                <w:szCs w:val="16"/>
              </w:rPr>
            </w:pPr>
            <w:r w:rsidRPr="00005453">
              <w:rPr>
                <w:color w:val="000000"/>
                <w:sz w:val="16"/>
                <w:szCs w:val="18"/>
              </w:rPr>
              <w:t>855</w:t>
            </w:r>
          </w:p>
        </w:tc>
        <w:tc>
          <w:tcPr>
            <w:tcW w:w="1109" w:type="dxa"/>
            <w:tcBorders>
              <w:top w:val="nil"/>
              <w:left w:val="nil"/>
              <w:bottom w:val="double" w:sz="4" w:space="0" w:color="auto"/>
              <w:right w:val="nil"/>
            </w:tcBorders>
            <w:shd w:val="clear" w:color="auto" w:fill="auto"/>
            <w:vAlign w:val="center"/>
            <w:hideMark/>
          </w:tcPr>
          <w:p w14:paraId="1F9C1452" w14:textId="1C53DA17" w:rsidR="00AD69C7" w:rsidRPr="00005453" w:rsidRDefault="00AD69C7" w:rsidP="00AD69C7">
            <w:pPr>
              <w:jc w:val="right"/>
              <w:rPr>
                <w:color w:val="000000"/>
                <w:sz w:val="16"/>
                <w:szCs w:val="16"/>
              </w:rPr>
            </w:pPr>
            <w:r w:rsidRPr="00005453">
              <w:rPr>
                <w:color w:val="000000"/>
                <w:sz w:val="16"/>
                <w:szCs w:val="18"/>
              </w:rPr>
              <w:t>4,343</w:t>
            </w:r>
          </w:p>
        </w:tc>
        <w:tc>
          <w:tcPr>
            <w:tcW w:w="1334" w:type="dxa"/>
            <w:tcBorders>
              <w:top w:val="nil"/>
              <w:left w:val="nil"/>
              <w:bottom w:val="double" w:sz="4" w:space="0" w:color="auto"/>
              <w:right w:val="nil"/>
            </w:tcBorders>
            <w:shd w:val="clear" w:color="auto" w:fill="auto"/>
            <w:vAlign w:val="center"/>
            <w:hideMark/>
          </w:tcPr>
          <w:p w14:paraId="41C45EA3" w14:textId="22EB658F" w:rsidR="00AD69C7" w:rsidRPr="00005453" w:rsidRDefault="00AD69C7" w:rsidP="00AD69C7">
            <w:pPr>
              <w:jc w:val="right"/>
              <w:rPr>
                <w:color w:val="000000"/>
                <w:sz w:val="16"/>
                <w:szCs w:val="16"/>
              </w:rPr>
            </w:pPr>
            <w:r w:rsidRPr="00005453">
              <w:rPr>
                <w:color w:val="000000"/>
                <w:sz w:val="16"/>
                <w:szCs w:val="18"/>
              </w:rPr>
              <w:t>839</w:t>
            </w:r>
          </w:p>
        </w:tc>
        <w:tc>
          <w:tcPr>
            <w:tcW w:w="996" w:type="dxa"/>
            <w:tcBorders>
              <w:top w:val="nil"/>
              <w:left w:val="nil"/>
              <w:bottom w:val="double" w:sz="4" w:space="0" w:color="auto"/>
              <w:right w:val="nil"/>
            </w:tcBorders>
            <w:shd w:val="clear" w:color="auto" w:fill="auto"/>
            <w:vAlign w:val="center"/>
            <w:hideMark/>
          </w:tcPr>
          <w:p w14:paraId="256F6CAE" w14:textId="1A6727C2" w:rsidR="00AD69C7" w:rsidRPr="00005453" w:rsidRDefault="00AD69C7" w:rsidP="00AD69C7">
            <w:pPr>
              <w:jc w:val="right"/>
              <w:rPr>
                <w:color w:val="000000"/>
                <w:sz w:val="16"/>
                <w:szCs w:val="16"/>
              </w:rPr>
            </w:pPr>
            <w:r w:rsidRPr="00005453">
              <w:rPr>
                <w:color w:val="000000"/>
                <w:sz w:val="16"/>
                <w:szCs w:val="18"/>
              </w:rPr>
              <w:t>201</w:t>
            </w:r>
          </w:p>
        </w:tc>
        <w:tc>
          <w:tcPr>
            <w:tcW w:w="997" w:type="dxa"/>
            <w:tcBorders>
              <w:top w:val="nil"/>
              <w:left w:val="nil"/>
              <w:bottom w:val="double" w:sz="4" w:space="0" w:color="auto"/>
              <w:right w:val="nil"/>
            </w:tcBorders>
            <w:shd w:val="clear" w:color="auto" w:fill="auto"/>
            <w:vAlign w:val="center"/>
            <w:hideMark/>
          </w:tcPr>
          <w:p w14:paraId="3EA92468" w14:textId="2B4D10D2" w:rsidR="00AD69C7" w:rsidRPr="00005453" w:rsidRDefault="00AD69C7" w:rsidP="00AD69C7">
            <w:pPr>
              <w:jc w:val="right"/>
              <w:rPr>
                <w:color w:val="000000"/>
                <w:sz w:val="16"/>
                <w:szCs w:val="16"/>
              </w:rPr>
            </w:pPr>
            <w:r w:rsidRPr="00005453">
              <w:rPr>
                <w:color w:val="000000"/>
                <w:sz w:val="16"/>
                <w:szCs w:val="18"/>
              </w:rPr>
              <w:t>-</w:t>
            </w:r>
          </w:p>
        </w:tc>
      </w:tr>
    </w:tbl>
    <w:p w14:paraId="6765DADB" w14:textId="09501712" w:rsidR="000F096F" w:rsidRPr="00005453" w:rsidRDefault="000F096F" w:rsidP="000F096F">
      <w:pPr>
        <w:autoSpaceDE w:val="0"/>
        <w:autoSpaceDN w:val="0"/>
        <w:adjustRightInd w:val="0"/>
        <w:rPr>
          <w:rFonts w:eastAsia="Arial Unicode MS"/>
          <w:sz w:val="6"/>
          <w:szCs w:val="6"/>
        </w:rPr>
      </w:pPr>
    </w:p>
    <w:p w14:paraId="0C218B7D" w14:textId="77777777" w:rsidR="00985F6C" w:rsidRPr="00005453" w:rsidRDefault="00985F6C" w:rsidP="00985F6C">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005453">
        <w:rPr>
          <w:rFonts w:eastAsia="Times New Roman"/>
          <w:sz w:val="16"/>
          <w:szCs w:val="16"/>
        </w:rPr>
        <w:t>(*)    5411 Sayılı Bankacılık Kanunu’nun 49’uncu maddesinin 2’nci fıkrasında tanımlanmıştır.</w:t>
      </w:r>
    </w:p>
    <w:p w14:paraId="195496B7" w14:textId="6DF10107" w:rsidR="00D95D2A" w:rsidRPr="00005453" w:rsidRDefault="00C530B2" w:rsidP="00D95D2A">
      <w:pPr>
        <w:autoSpaceDE w:val="0"/>
        <w:autoSpaceDN w:val="0"/>
        <w:adjustRightInd w:val="0"/>
        <w:ind w:hanging="567"/>
        <w:rPr>
          <w:b/>
          <w:bCs/>
        </w:rPr>
      </w:pPr>
      <w:r w:rsidRPr="00005453">
        <w:rPr>
          <w:b/>
          <w:bCs/>
          <w:iCs/>
          <w:sz w:val="16"/>
          <w:szCs w:val="16"/>
        </w:rPr>
        <w:br/>
      </w:r>
      <w:r w:rsidR="00E253C8" w:rsidRPr="00005453">
        <w:rPr>
          <w:b/>
          <w:bCs/>
        </w:rPr>
        <w:t>Önceki dönem</w:t>
      </w:r>
    </w:p>
    <w:p w14:paraId="71DD83EC" w14:textId="20A23175" w:rsidR="00D95D2A" w:rsidRPr="00005453" w:rsidRDefault="00D95D2A"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D95D2A" w:rsidRPr="00005453" w14:paraId="68466555" w14:textId="77777777" w:rsidTr="00614CD2">
        <w:trPr>
          <w:divId w:val="289827129"/>
          <w:trHeight w:val="510"/>
        </w:trPr>
        <w:tc>
          <w:tcPr>
            <w:tcW w:w="2842" w:type="dxa"/>
            <w:tcBorders>
              <w:top w:val="double" w:sz="4" w:space="0" w:color="auto"/>
              <w:left w:val="nil"/>
              <w:right w:val="nil"/>
            </w:tcBorders>
            <w:shd w:val="clear" w:color="auto" w:fill="auto"/>
            <w:vAlign w:val="center"/>
            <w:hideMark/>
          </w:tcPr>
          <w:p w14:paraId="49F46ABA" w14:textId="569A207F" w:rsidR="00D95D2A" w:rsidRPr="00005453" w:rsidRDefault="00D95D2A" w:rsidP="00D95D2A">
            <w:pPr>
              <w:jc w:val="both"/>
              <w:rPr>
                <w:b/>
                <w:bCs/>
                <w:color w:val="000000"/>
                <w:sz w:val="16"/>
                <w:szCs w:val="16"/>
                <w:lang w:eastAsia="tr-TR"/>
              </w:rPr>
            </w:pPr>
            <w:r w:rsidRPr="00005453">
              <w:rPr>
                <w:b/>
                <w:bCs/>
                <w:color w:val="000000"/>
                <w:sz w:val="16"/>
                <w:szCs w:val="16"/>
                <w:lang w:eastAsia="tr-TR"/>
              </w:rPr>
              <w:t>Banka'nın dahil olduğu risk grubu (*)</w:t>
            </w:r>
          </w:p>
        </w:tc>
        <w:tc>
          <w:tcPr>
            <w:tcW w:w="2315" w:type="dxa"/>
            <w:gridSpan w:val="2"/>
            <w:tcBorders>
              <w:top w:val="double" w:sz="4" w:space="0" w:color="auto"/>
              <w:left w:val="nil"/>
              <w:bottom w:val="nil"/>
              <w:right w:val="nil"/>
            </w:tcBorders>
            <w:shd w:val="clear" w:color="auto" w:fill="auto"/>
            <w:vAlign w:val="center"/>
            <w:hideMark/>
          </w:tcPr>
          <w:p w14:paraId="40AF32CB" w14:textId="77777777" w:rsidR="00D95D2A" w:rsidRPr="00005453" w:rsidRDefault="00D95D2A" w:rsidP="00D95D2A">
            <w:pPr>
              <w:jc w:val="center"/>
              <w:rPr>
                <w:b/>
                <w:bCs/>
                <w:color w:val="000000"/>
                <w:sz w:val="16"/>
                <w:szCs w:val="16"/>
                <w:lang w:eastAsia="tr-TR"/>
              </w:rPr>
            </w:pPr>
            <w:r w:rsidRPr="00005453">
              <w:rPr>
                <w:b/>
                <w:bCs/>
                <w:color w:val="000000"/>
                <w:sz w:val="16"/>
                <w:szCs w:val="16"/>
                <w:lang w:eastAsia="tr-TR"/>
              </w:rPr>
              <w:t>İştirak, bağlı ortaklıklar ve birlikte kontrol edilen ortaklıklar (iş ortaklıkları)</w:t>
            </w:r>
          </w:p>
        </w:tc>
        <w:tc>
          <w:tcPr>
            <w:tcW w:w="2427" w:type="dxa"/>
            <w:gridSpan w:val="2"/>
            <w:tcBorders>
              <w:top w:val="double" w:sz="4" w:space="0" w:color="auto"/>
              <w:left w:val="nil"/>
              <w:bottom w:val="nil"/>
              <w:right w:val="nil"/>
            </w:tcBorders>
            <w:shd w:val="clear" w:color="auto" w:fill="auto"/>
            <w:vAlign w:val="center"/>
            <w:hideMark/>
          </w:tcPr>
          <w:p w14:paraId="1C3C6BB1" w14:textId="77777777" w:rsidR="00D95D2A" w:rsidRPr="00005453" w:rsidRDefault="00D95D2A" w:rsidP="00D95D2A">
            <w:pPr>
              <w:jc w:val="center"/>
              <w:rPr>
                <w:b/>
                <w:bCs/>
                <w:color w:val="000000"/>
                <w:sz w:val="16"/>
                <w:szCs w:val="16"/>
                <w:lang w:eastAsia="tr-TR"/>
              </w:rPr>
            </w:pPr>
            <w:r w:rsidRPr="00005453">
              <w:rPr>
                <w:b/>
                <w:bCs/>
                <w:color w:val="000000"/>
                <w:sz w:val="16"/>
                <w:szCs w:val="16"/>
                <w:lang w:eastAsia="tr-TR"/>
              </w:rPr>
              <w:t>Bankanın doğrudan ve dolaylı ortaklıkları</w:t>
            </w:r>
          </w:p>
        </w:tc>
        <w:tc>
          <w:tcPr>
            <w:tcW w:w="1980" w:type="dxa"/>
            <w:gridSpan w:val="2"/>
            <w:tcBorders>
              <w:top w:val="double" w:sz="4" w:space="0" w:color="auto"/>
              <w:left w:val="nil"/>
              <w:bottom w:val="nil"/>
              <w:right w:val="nil"/>
            </w:tcBorders>
            <w:shd w:val="clear" w:color="auto" w:fill="auto"/>
            <w:vAlign w:val="center"/>
            <w:hideMark/>
          </w:tcPr>
          <w:p w14:paraId="54FC25E3" w14:textId="77777777" w:rsidR="00D95D2A" w:rsidRPr="00005453" w:rsidRDefault="00D95D2A" w:rsidP="00D95D2A">
            <w:pPr>
              <w:jc w:val="center"/>
              <w:rPr>
                <w:b/>
                <w:bCs/>
                <w:color w:val="000000"/>
                <w:sz w:val="16"/>
                <w:szCs w:val="16"/>
                <w:lang w:eastAsia="tr-TR"/>
              </w:rPr>
            </w:pPr>
            <w:r w:rsidRPr="00005453">
              <w:rPr>
                <w:b/>
                <w:bCs/>
                <w:color w:val="000000"/>
                <w:sz w:val="16"/>
                <w:szCs w:val="16"/>
                <w:lang w:eastAsia="tr-TR"/>
              </w:rPr>
              <w:t>Risk grubuna dahil olan diğer gerçek ve tüzel kişiler</w:t>
            </w:r>
          </w:p>
        </w:tc>
      </w:tr>
      <w:tr w:rsidR="00D95D2A" w:rsidRPr="00005453" w14:paraId="23017751" w14:textId="77777777" w:rsidTr="004A537D">
        <w:trPr>
          <w:divId w:val="289827129"/>
          <w:trHeight w:val="194"/>
        </w:trPr>
        <w:tc>
          <w:tcPr>
            <w:tcW w:w="2842" w:type="dxa"/>
            <w:tcBorders>
              <w:left w:val="nil"/>
              <w:bottom w:val="single" w:sz="8" w:space="0" w:color="auto"/>
              <w:right w:val="nil"/>
            </w:tcBorders>
            <w:shd w:val="clear" w:color="auto" w:fill="auto"/>
            <w:noWrap/>
            <w:vAlign w:val="bottom"/>
            <w:hideMark/>
          </w:tcPr>
          <w:p w14:paraId="6FAA4EFC" w14:textId="77777777" w:rsidR="00D95D2A" w:rsidRPr="00005453" w:rsidRDefault="00D95D2A" w:rsidP="00D95D2A">
            <w:pPr>
              <w:jc w:val="center"/>
              <w:rPr>
                <w:color w:val="000000"/>
                <w:sz w:val="16"/>
                <w:szCs w:val="16"/>
                <w:lang w:eastAsia="tr-TR"/>
              </w:rPr>
            </w:pPr>
            <w:r w:rsidRPr="00005453">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73A502F8"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Nakdi</w:t>
            </w:r>
          </w:p>
        </w:tc>
        <w:tc>
          <w:tcPr>
            <w:tcW w:w="1118" w:type="dxa"/>
            <w:tcBorders>
              <w:top w:val="nil"/>
              <w:left w:val="nil"/>
              <w:bottom w:val="single" w:sz="8" w:space="0" w:color="auto"/>
              <w:right w:val="nil"/>
            </w:tcBorders>
            <w:shd w:val="clear" w:color="auto" w:fill="auto"/>
            <w:vAlign w:val="center"/>
            <w:hideMark/>
          </w:tcPr>
          <w:p w14:paraId="1C6FD3D0" w14:textId="77777777" w:rsidR="00D95D2A" w:rsidRPr="00005453" w:rsidRDefault="00D95D2A" w:rsidP="00D95D2A">
            <w:pPr>
              <w:jc w:val="right"/>
              <w:rPr>
                <w:b/>
                <w:bCs/>
                <w:color w:val="000000"/>
                <w:sz w:val="16"/>
                <w:szCs w:val="16"/>
                <w:lang w:eastAsia="tr-TR"/>
              </w:rPr>
            </w:pPr>
            <w:proofErr w:type="gramStart"/>
            <w:r w:rsidRPr="00005453">
              <w:rPr>
                <w:b/>
                <w:bCs/>
                <w:color w:val="000000"/>
                <w:sz w:val="16"/>
                <w:szCs w:val="16"/>
                <w:lang w:eastAsia="tr-TR"/>
              </w:rPr>
              <w:t>G.Nakdi</w:t>
            </w:r>
            <w:proofErr w:type="gramEnd"/>
          </w:p>
        </w:tc>
        <w:tc>
          <w:tcPr>
            <w:tcW w:w="1101" w:type="dxa"/>
            <w:tcBorders>
              <w:top w:val="nil"/>
              <w:left w:val="nil"/>
              <w:bottom w:val="single" w:sz="8" w:space="0" w:color="auto"/>
              <w:right w:val="nil"/>
            </w:tcBorders>
            <w:shd w:val="clear" w:color="auto" w:fill="auto"/>
            <w:vAlign w:val="center"/>
            <w:hideMark/>
          </w:tcPr>
          <w:p w14:paraId="091DA5D0"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Nakdi</w:t>
            </w:r>
          </w:p>
        </w:tc>
        <w:tc>
          <w:tcPr>
            <w:tcW w:w="1326" w:type="dxa"/>
            <w:tcBorders>
              <w:top w:val="nil"/>
              <w:left w:val="nil"/>
              <w:bottom w:val="single" w:sz="8" w:space="0" w:color="auto"/>
              <w:right w:val="nil"/>
            </w:tcBorders>
            <w:shd w:val="clear" w:color="auto" w:fill="auto"/>
            <w:vAlign w:val="center"/>
            <w:hideMark/>
          </w:tcPr>
          <w:p w14:paraId="516EC878" w14:textId="77777777" w:rsidR="00D95D2A" w:rsidRPr="00005453" w:rsidRDefault="00D95D2A" w:rsidP="00D95D2A">
            <w:pPr>
              <w:jc w:val="right"/>
              <w:rPr>
                <w:b/>
                <w:bCs/>
                <w:color w:val="000000"/>
                <w:sz w:val="16"/>
                <w:szCs w:val="16"/>
                <w:lang w:eastAsia="tr-TR"/>
              </w:rPr>
            </w:pPr>
            <w:proofErr w:type="gramStart"/>
            <w:r w:rsidRPr="00005453">
              <w:rPr>
                <w:b/>
                <w:bCs/>
                <w:color w:val="000000"/>
                <w:sz w:val="16"/>
                <w:szCs w:val="16"/>
                <w:lang w:eastAsia="tr-TR"/>
              </w:rPr>
              <w:t>G.Nakdi</w:t>
            </w:r>
            <w:proofErr w:type="gramEnd"/>
          </w:p>
        </w:tc>
        <w:tc>
          <w:tcPr>
            <w:tcW w:w="990" w:type="dxa"/>
            <w:tcBorders>
              <w:top w:val="nil"/>
              <w:left w:val="nil"/>
              <w:bottom w:val="single" w:sz="8" w:space="0" w:color="auto"/>
              <w:right w:val="nil"/>
            </w:tcBorders>
            <w:shd w:val="clear" w:color="auto" w:fill="auto"/>
            <w:vAlign w:val="center"/>
            <w:hideMark/>
          </w:tcPr>
          <w:p w14:paraId="220D8E5E"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7D1B7FC4" w14:textId="77777777" w:rsidR="00D95D2A" w:rsidRPr="00005453" w:rsidRDefault="00D95D2A" w:rsidP="00D95D2A">
            <w:pPr>
              <w:jc w:val="right"/>
              <w:rPr>
                <w:b/>
                <w:bCs/>
                <w:color w:val="000000"/>
                <w:sz w:val="16"/>
                <w:szCs w:val="16"/>
                <w:lang w:eastAsia="tr-TR"/>
              </w:rPr>
            </w:pPr>
            <w:proofErr w:type="gramStart"/>
            <w:r w:rsidRPr="00005453">
              <w:rPr>
                <w:b/>
                <w:bCs/>
                <w:color w:val="000000"/>
                <w:sz w:val="16"/>
                <w:szCs w:val="16"/>
                <w:lang w:eastAsia="tr-TR"/>
              </w:rPr>
              <w:t>G.Nakdi</w:t>
            </w:r>
            <w:proofErr w:type="gramEnd"/>
          </w:p>
        </w:tc>
      </w:tr>
      <w:tr w:rsidR="00D95D2A" w:rsidRPr="00005453" w14:paraId="500C88EC" w14:textId="77777777" w:rsidTr="004A537D">
        <w:trPr>
          <w:divId w:val="289827129"/>
          <w:trHeight w:val="182"/>
        </w:trPr>
        <w:tc>
          <w:tcPr>
            <w:tcW w:w="2842" w:type="dxa"/>
            <w:tcBorders>
              <w:top w:val="single" w:sz="8" w:space="0" w:color="auto"/>
              <w:left w:val="nil"/>
              <w:bottom w:val="nil"/>
              <w:right w:val="nil"/>
            </w:tcBorders>
            <w:shd w:val="clear" w:color="auto" w:fill="auto"/>
            <w:vAlign w:val="center"/>
            <w:hideMark/>
          </w:tcPr>
          <w:p w14:paraId="0A4B34AC" w14:textId="77777777" w:rsidR="00D95D2A" w:rsidRPr="00005453" w:rsidRDefault="00D95D2A" w:rsidP="00D95D2A">
            <w:pPr>
              <w:jc w:val="both"/>
              <w:rPr>
                <w:b/>
                <w:bCs/>
                <w:color w:val="000000"/>
                <w:sz w:val="16"/>
                <w:szCs w:val="16"/>
                <w:lang w:eastAsia="tr-TR"/>
              </w:rPr>
            </w:pPr>
            <w:r w:rsidRPr="00005453">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02306096" w14:textId="77777777" w:rsidR="00D95D2A" w:rsidRPr="00005453" w:rsidRDefault="00D95D2A" w:rsidP="00D95D2A">
            <w:pPr>
              <w:jc w:val="both"/>
              <w:rPr>
                <w:b/>
                <w:bCs/>
                <w:color w:val="000000"/>
                <w:sz w:val="16"/>
                <w:szCs w:val="16"/>
                <w:lang w:eastAsia="tr-TR"/>
              </w:rPr>
            </w:pPr>
          </w:p>
        </w:tc>
        <w:tc>
          <w:tcPr>
            <w:tcW w:w="1118" w:type="dxa"/>
            <w:tcBorders>
              <w:top w:val="nil"/>
              <w:left w:val="nil"/>
              <w:bottom w:val="nil"/>
              <w:right w:val="nil"/>
            </w:tcBorders>
            <w:shd w:val="clear" w:color="auto" w:fill="auto"/>
            <w:vAlign w:val="center"/>
            <w:hideMark/>
          </w:tcPr>
          <w:p w14:paraId="14F61384" w14:textId="77777777" w:rsidR="00D95D2A" w:rsidRPr="00005453" w:rsidRDefault="00D95D2A" w:rsidP="00D95D2A">
            <w:pPr>
              <w:jc w:val="right"/>
              <w:rPr>
                <w:lang w:eastAsia="tr-TR"/>
              </w:rPr>
            </w:pPr>
          </w:p>
        </w:tc>
        <w:tc>
          <w:tcPr>
            <w:tcW w:w="1101" w:type="dxa"/>
            <w:tcBorders>
              <w:top w:val="nil"/>
              <w:left w:val="nil"/>
              <w:bottom w:val="nil"/>
              <w:right w:val="nil"/>
            </w:tcBorders>
            <w:shd w:val="clear" w:color="auto" w:fill="auto"/>
            <w:vAlign w:val="center"/>
            <w:hideMark/>
          </w:tcPr>
          <w:p w14:paraId="3F576B33" w14:textId="77777777" w:rsidR="00D95D2A" w:rsidRPr="00005453" w:rsidRDefault="00D95D2A" w:rsidP="00D95D2A">
            <w:pPr>
              <w:jc w:val="right"/>
              <w:rPr>
                <w:lang w:eastAsia="tr-TR"/>
              </w:rPr>
            </w:pPr>
          </w:p>
        </w:tc>
        <w:tc>
          <w:tcPr>
            <w:tcW w:w="1326" w:type="dxa"/>
            <w:tcBorders>
              <w:top w:val="nil"/>
              <w:left w:val="nil"/>
              <w:bottom w:val="nil"/>
              <w:right w:val="nil"/>
            </w:tcBorders>
            <w:shd w:val="clear" w:color="auto" w:fill="auto"/>
            <w:vAlign w:val="center"/>
            <w:hideMark/>
          </w:tcPr>
          <w:p w14:paraId="17B84F82" w14:textId="77777777" w:rsidR="00D95D2A" w:rsidRPr="00005453" w:rsidRDefault="00D95D2A" w:rsidP="00D95D2A">
            <w:pPr>
              <w:jc w:val="right"/>
              <w:rPr>
                <w:lang w:eastAsia="tr-TR"/>
              </w:rPr>
            </w:pPr>
          </w:p>
        </w:tc>
        <w:tc>
          <w:tcPr>
            <w:tcW w:w="990" w:type="dxa"/>
            <w:tcBorders>
              <w:top w:val="nil"/>
              <w:left w:val="nil"/>
              <w:bottom w:val="nil"/>
              <w:right w:val="nil"/>
            </w:tcBorders>
            <w:shd w:val="clear" w:color="auto" w:fill="auto"/>
            <w:vAlign w:val="center"/>
            <w:hideMark/>
          </w:tcPr>
          <w:p w14:paraId="14CEE8C0" w14:textId="77777777" w:rsidR="00D95D2A" w:rsidRPr="00005453" w:rsidRDefault="00D95D2A" w:rsidP="00D95D2A">
            <w:pPr>
              <w:jc w:val="right"/>
              <w:rPr>
                <w:lang w:eastAsia="tr-TR"/>
              </w:rPr>
            </w:pPr>
          </w:p>
        </w:tc>
        <w:tc>
          <w:tcPr>
            <w:tcW w:w="990" w:type="dxa"/>
            <w:tcBorders>
              <w:top w:val="nil"/>
              <w:left w:val="nil"/>
              <w:bottom w:val="nil"/>
              <w:right w:val="nil"/>
            </w:tcBorders>
            <w:shd w:val="clear" w:color="auto" w:fill="auto"/>
            <w:vAlign w:val="center"/>
            <w:hideMark/>
          </w:tcPr>
          <w:p w14:paraId="60C3BBE7" w14:textId="77777777" w:rsidR="00D95D2A" w:rsidRPr="00005453" w:rsidRDefault="00D95D2A" w:rsidP="00D95D2A">
            <w:pPr>
              <w:jc w:val="right"/>
              <w:rPr>
                <w:lang w:eastAsia="tr-TR"/>
              </w:rPr>
            </w:pPr>
          </w:p>
        </w:tc>
      </w:tr>
      <w:tr w:rsidR="009A7B94" w:rsidRPr="00005453" w14:paraId="5976683E" w14:textId="77777777" w:rsidTr="00A82F1F">
        <w:trPr>
          <w:divId w:val="289827129"/>
          <w:trHeight w:val="182"/>
        </w:trPr>
        <w:tc>
          <w:tcPr>
            <w:tcW w:w="2842" w:type="dxa"/>
            <w:tcBorders>
              <w:top w:val="nil"/>
              <w:left w:val="nil"/>
              <w:bottom w:val="nil"/>
              <w:right w:val="nil"/>
            </w:tcBorders>
            <w:shd w:val="clear" w:color="auto" w:fill="auto"/>
            <w:vAlign w:val="center"/>
            <w:hideMark/>
          </w:tcPr>
          <w:p w14:paraId="0BEDB72E" w14:textId="77777777" w:rsidR="009A7B94" w:rsidRPr="00005453" w:rsidRDefault="009A7B94" w:rsidP="009A7B94">
            <w:pPr>
              <w:ind w:firstLineChars="100" w:firstLine="160"/>
              <w:rPr>
                <w:sz w:val="16"/>
                <w:szCs w:val="16"/>
                <w:lang w:eastAsia="tr-TR"/>
              </w:rPr>
            </w:pPr>
            <w:r w:rsidRPr="00005453">
              <w:rPr>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39991356" w14:textId="02D42104" w:rsidR="009A7B94" w:rsidRPr="00005453" w:rsidRDefault="009A7B94" w:rsidP="009A7B94">
            <w:pPr>
              <w:jc w:val="right"/>
              <w:rPr>
                <w:color w:val="000000"/>
                <w:sz w:val="16"/>
                <w:szCs w:val="16"/>
              </w:rPr>
            </w:pPr>
            <w:r w:rsidRPr="00005453">
              <w:rPr>
                <w:color w:val="000000"/>
                <w:sz w:val="16"/>
                <w:szCs w:val="16"/>
              </w:rPr>
              <w:t>471,573</w:t>
            </w:r>
          </w:p>
        </w:tc>
        <w:tc>
          <w:tcPr>
            <w:tcW w:w="1118" w:type="dxa"/>
            <w:tcBorders>
              <w:top w:val="nil"/>
              <w:left w:val="nil"/>
              <w:bottom w:val="nil"/>
              <w:right w:val="nil"/>
            </w:tcBorders>
            <w:shd w:val="clear" w:color="auto" w:fill="auto"/>
            <w:vAlign w:val="center"/>
            <w:hideMark/>
          </w:tcPr>
          <w:p w14:paraId="4087A9DA" w14:textId="5E5188F3" w:rsidR="009A7B94" w:rsidRPr="00005453" w:rsidRDefault="009A7B94" w:rsidP="009A7B94">
            <w:pPr>
              <w:jc w:val="right"/>
              <w:rPr>
                <w:color w:val="000000"/>
                <w:sz w:val="16"/>
                <w:szCs w:val="16"/>
              </w:rPr>
            </w:pPr>
            <w:r w:rsidRPr="00005453">
              <w:rPr>
                <w:color w:val="000000"/>
                <w:sz w:val="16"/>
                <w:szCs w:val="16"/>
              </w:rPr>
              <w:t>52,699</w:t>
            </w:r>
          </w:p>
        </w:tc>
        <w:tc>
          <w:tcPr>
            <w:tcW w:w="1101" w:type="dxa"/>
            <w:tcBorders>
              <w:top w:val="nil"/>
              <w:left w:val="nil"/>
              <w:bottom w:val="nil"/>
              <w:right w:val="nil"/>
            </w:tcBorders>
            <w:shd w:val="clear" w:color="auto" w:fill="auto"/>
            <w:vAlign w:val="center"/>
            <w:hideMark/>
          </w:tcPr>
          <w:p w14:paraId="2F8BE158" w14:textId="065AAB77" w:rsidR="009A7B94" w:rsidRPr="00005453" w:rsidRDefault="009A7B94" w:rsidP="009A7B94">
            <w:pPr>
              <w:jc w:val="right"/>
              <w:rPr>
                <w:color w:val="000000"/>
                <w:sz w:val="16"/>
                <w:szCs w:val="16"/>
              </w:rPr>
            </w:pPr>
            <w:r w:rsidRPr="00005453">
              <w:rPr>
                <w:color w:val="000000"/>
                <w:sz w:val="16"/>
                <w:szCs w:val="16"/>
              </w:rPr>
              <w:t>26,634</w:t>
            </w:r>
          </w:p>
        </w:tc>
        <w:tc>
          <w:tcPr>
            <w:tcW w:w="1326" w:type="dxa"/>
            <w:tcBorders>
              <w:top w:val="nil"/>
              <w:left w:val="nil"/>
              <w:bottom w:val="nil"/>
              <w:right w:val="nil"/>
            </w:tcBorders>
            <w:shd w:val="clear" w:color="auto" w:fill="auto"/>
            <w:vAlign w:val="center"/>
            <w:hideMark/>
          </w:tcPr>
          <w:p w14:paraId="2450BBF2" w14:textId="02B2FBD7" w:rsidR="009A7B94" w:rsidRPr="00005453" w:rsidRDefault="009A7B94" w:rsidP="009A7B94">
            <w:pPr>
              <w:jc w:val="right"/>
              <w:rPr>
                <w:color w:val="000000"/>
                <w:sz w:val="16"/>
                <w:szCs w:val="16"/>
              </w:rPr>
            </w:pPr>
            <w:r w:rsidRPr="00005453">
              <w:rPr>
                <w:color w:val="000000"/>
                <w:sz w:val="16"/>
                <w:szCs w:val="16"/>
              </w:rPr>
              <w:t>45,210</w:t>
            </w:r>
          </w:p>
        </w:tc>
        <w:tc>
          <w:tcPr>
            <w:tcW w:w="990" w:type="dxa"/>
            <w:tcBorders>
              <w:top w:val="nil"/>
              <w:left w:val="nil"/>
              <w:bottom w:val="nil"/>
              <w:right w:val="nil"/>
            </w:tcBorders>
            <w:shd w:val="clear" w:color="auto" w:fill="auto"/>
            <w:vAlign w:val="center"/>
            <w:hideMark/>
          </w:tcPr>
          <w:p w14:paraId="4846F7A0" w14:textId="2BB3DD3D" w:rsidR="009A7B94" w:rsidRPr="00005453" w:rsidRDefault="009A7B94" w:rsidP="009A7B94">
            <w:pPr>
              <w:jc w:val="right"/>
              <w:rPr>
                <w:color w:val="000000"/>
                <w:sz w:val="16"/>
                <w:szCs w:val="16"/>
              </w:rPr>
            </w:pPr>
            <w:r w:rsidRPr="00005453">
              <w:rPr>
                <w:color w:val="000000"/>
                <w:sz w:val="16"/>
                <w:szCs w:val="16"/>
              </w:rPr>
              <w:t>2,176,543</w:t>
            </w:r>
          </w:p>
        </w:tc>
        <w:tc>
          <w:tcPr>
            <w:tcW w:w="990" w:type="dxa"/>
            <w:tcBorders>
              <w:top w:val="nil"/>
              <w:left w:val="nil"/>
              <w:bottom w:val="nil"/>
              <w:right w:val="nil"/>
            </w:tcBorders>
            <w:shd w:val="clear" w:color="auto" w:fill="auto"/>
            <w:vAlign w:val="center"/>
            <w:hideMark/>
          </w:tcPr>
          <w:p w14:paraId="65967E41" w14:textId="2DF2784B" w:rsidR="009A7B94" w:rsidRPr="00005453" w:rsidRDefault="009A7B94" w:rsidP="009A7B94">
            <w:pPr>
              <w:jc w:val="right"/>
              <w:rPr>
                <w:color w:val="000000"/>
                <w:sz w:val="16"/>
                <w:szCs w:val="16"/>
              </w:rPr>
            </w:pPr>
            <w:r w:rsidRPr="00005453">
              <w:rPr>
                <w:color w:val="000000"/>
                <w:sz w:val="16"/>
                <w:szCs w:val="16"/>
              </w:rPr>
              <w:t>1,849</w:t>
            </w:r>
          </w:p>
        </w:tc>
      </w:tr>
      <w:tr w:rsidR="009A7B94" w:rsidRPr="00005453" w14:paraId="4DEAAD44" w14:textId="77777777" w:rsidTr="004A537D">
        <w:trPr>
          <w:divId w:val="289827129"/>
          <w:trHeight w:val="182"/>
        </w:trPr>
        <w:tc>
          <w:tcPr>
            <w:tcW w:w="2842" w:type="dxa"/>
            <w:tcBorders>
              <w:top w:val="nil"/>
              <w:left w:val="nil"/>
              <w:right w:val="nil"/>
            </w:tcBorders>
            <w:shd w:val="clear" w:color="auto" w:fill="auto"/>
            <w:vAlign w:val="center"/>
            <w:hideMark/>
          </w:tcPr>
          <w:p w14:paraId="2E89EA31" w14:textId="77777777" w:rsidR="009A7B94" w:rsidRPr="00005453" w:rsidRDefault="009A7B94" w:rsidP="009A7B94">
            <w:pPr>
              <w:ind w:firstLineChars="100" w:firstLine="160"/>
              <w:rPr>
                <w:sz w:val="16"/>
                <w:szCs w:val="16"/>
                <w:lang w:eastAsia="tr-TR"/>
              </w:rPr>
            </w:pPr>
            <w:r w:rsidRPr="00005453">
              <w:rPr>
                <w:sz w:val="16"/>
                <w:szCs w:val="16"/>
                <w:lang w:eastAsia="tr-TR"/>
              </w:rPr>
              <w:t>Dönem Sonu Bakiyesi</w:t>
            </w:r>
          </w:p>
        </w:tc>
        <w:tc>
          <w:tcPr>
            <w:tcW w:w="1197" w:type="dxa"/>
            <w:tcBorders>
              <w:top w:val="nil"/>
              <w:left w:val="nil"/>
              <w:right w:val="nil"/>
            </w:tcBorders>
            <w:shd w:val="clear" w:color="auto" w:fill="auto"/>
            <w:vAlign w:val="center"/>
            <w:hideMark/>
          </w:tcPr>
          <w:p w14:paraId="7BEA2134" w14:textId="21613121" w:rsidR="009A7B94" w:rsidRPr="00005453" w:rsidRDefault="009A7B94" w:rsidP="009A7B94">
            <w:pPr>
              <w:jc w:val="right"/>
              <w:rPr>
                <w:color w:val="000000"/>
                <w:sz w:val="16"/>
                <w:szCs w:val="16"/>
              </w:rPr>
            </w:pPr>
            <w:r w:rsidRPr="00005453">
              <w:rPr>
                <w:color w:val="000000"/>
                <w:sz w:val="16"/>
                <w:szCs w:val="16"/>
              </w:rPr>
              <w:t>736,761</w:t>
            </w:r>
          </w:p>
        </w:tc>
        <w:tc>
          <w:tcPr>
            <w:tcW w:w="1118" w:type="dxa"/>
            <w:tcBorders>
              <w:top w:val="nil"/>
              <w:left w:val="nil"/>
              <w:right w:val="nil"/>
            </w:tcBorders>
            <w:shd w:val="clear" w:color="auto" w:fill="auto"/>
            <w:vAlign w:val="center"/>
            <w:hideMark/>
          </w:tcPr>
          <w:p w14:paraId="6008CC10" w14:textId="143A3423" w:rsidR="009A7B94" w:rsidRPr="00005453" w:rsidRDefault="009A7B94" w:rsidP="009A7B94">
            <w:pPr>
              <w:jc w:val="right"/>
              <w:rPr>
                <w:color w:val="000000"/>
                <w:sz w:val="16"/>
                <w:szCs w:val="16"/>
              </w:rPr>
            </w:pPr>
            <w:r w:rsidRPr="00005453">
              <w:rPr>
                <w:color w:val="000000"/>
                <w:sz w:val="16"/>
                <w:szCs w:val="16"/>
              </w:rPr>
              <w:t>73,084</w:t>
            </w:r>
          </w:p>
        </w:tc>
        <w:tc>
          <w:tcPr>
            <w:tcW w:w="1101" w:type="dxa"/>
            <w:tcBorders>
              <w:top w:val="nil"/>
              <w:left w:val="nil"/>
              <w:right w:val="nil"/>
            </w:tcBorders>
            <w:shd w:val="clear" w:color="auto" w:fill="auto"/>
            <w:vAlign w:val="center"/>
            <w:hideMark/>
          </w:tcPr>
          <w:p w14:paraId="4C896B89" w14:textId="447B9ADB" w:rsidR="009A7B94" w:rsidRPr="00005453" w:rsidRDefault="009A7B94" w:rsidP="009A7B94">
            <w:pPr>
              <w:jc w:val="right"/>
              <w:rPr>
                <w:color w:val="000000"/>
                <w:sz w:val="16"/>
                <w:szCs w:val="16"/>
              </w:rPr>
            </w:pPr>
            <w:r w:rsidRPr="00005453">
              <w:rPr>
                <w:color w:val="000000"/>
                <w:sz w:val="16"/>
                <w:szCs w:val="16"/>
              </w:rPr>
              <w:t>29,238</w:t>
            </w:r>
          </w:p>
        </w:tc>
        <w:tc>
          <w:tcPr>
            <w:tcW w:w="1326" w:type="dxa"/>
            <w:tcBorders>
              <w:top w:val="nil"/>
              <w:left w:val="nil"/>
              <w:right w:val="nil"/>
            </w:tcBorders>
            <w:shd w:val="clear" w:color="auto" w:fill="auto"/>
            <w:vAlign w:val="center"/>
            <w:hideMark/>
          </w:tcPr>
          <w:p w14:paraId="4EEF4BEC" w14:textId="2D68C883" w:rsidR="009A7B94" w:rsidRPr="00005453" w:rsidRDefault="009A7B94" w:rsidP="009A7B94">
            <w:pPr>
              <w:jc w:val="right"/>
              <w:rPr>
                <w:color w:val="000000"/>
                <w:sz w:val="16"/>
                <w:szCs w:val="16"/>
              </w:rPr>
            </w:pPr>
            <w:r w:rsidRPr="00005453">
              <w:rPr>
                <w:color w:val="000000"/>
                <w:sz w:val="16"/>
                <w:szCs w:val="16"/>
              </w:rPr>
              <w:t>82,280</w:t>
            </w:r>
          </w:p>
        </w:tc>
        <w:tc>
          <w:tcPr>
            <w:tcW w:w="990" w:type="dxa"/>
            <w:tcBorders>
              <w:top w:val="nil"/>
              <w:left w:val="nil"/>
              <w:right w:val="nil"/>
            </w:tcBorders>
            <w:shd w:val="clear" w:color="auto" w:fill="auto"/>
            <w:vAlign w:val="center"/>
            <w:hideMark/>
          </w:tcPr>
          <w:p w14:paraId="4D407ED1" w14:textId="02E26718" w:rsidR="009A7B94" w:rsidRPr="00005453" w:rsidRDefault="009A7B94" w:rsidP="009A7B94">
            <w:pPr>
              <w:jc w:val="right"/>
              <w:rPr>
                <w:color w:val="000000"/>
                <w:sz w:val="16"/>
                <w:szCs w:val="16"/>
              </w:rPr>
            </w:pPr>
            <w:r w:rsidRPr="00005453">
              <w:rPr>
                <w:color w:val="000000"/>
                <w:sz w:val="16"/>
                <w:szCs w:val="16"/>
              </w:rPr>
              <w:t>2,974,543</w:t>
            </w:r>
          </w:p>
        </w:tc>
        <w:tc>
          <w:tcPr>
            <w:tcW w:w="990" w:type="dxa"/>
            <w:tcBorders>
              <w:top w:val="nil"/>
              <w:left w:val="nil"/>
              <w:right w:val="nil"/>
            </w:tcBorders>
            <w:shd w:val="clear" w:color="auto" w:fill="auto"/>
            <w:vAlign w:val="center"/>
            <w:hideMark/>
          </w:tcPr>
          <w:p w14:paraId="3E4DE8D9" w14:textId="1E40E8E7" w:rsidR="009A7B94" w:rsidRPr="00005453" w:rsidRDefault="009A7B94" w:rsidP="009A7B94">
            <w:pPr>
              <w:jc w:val="right"/>
              <w:rPr>
                <w:color w:val="000000"/>
                <w:sz w:val="16"/>
                <w:szCs w:val="16"/>
              </w:rPr>
            </w:pPr>
            <w:r w:rsidRPr="00005453">
              <w:rPr>
                <w:color w:val="000000"/>
                <w:sz w:val="16"/>
                <w:szCs w:val="16"/>
              </w:rPr>
              <w:t>20,322</w:t>
            </w:r>
          </w:p>
        </w:tc>
      </w:tr>
      <w:tr w:rsidR="009A7B94" w:rsidRPr="00005453" w14:paraId="10F9B4CF" w14:textId="77777777" w:rsidTr="004A537D">
        <w:trPr>
          <w:divId w:val="289827129"/>
          <w:trHeight w:val="194"/>
        </w:trPr>
        <w:tc>
          <w:tcPr>
            <w:tcW w:w="2842" w:type="dxa"/>
            <w:tcBorders>
              <w:top w:val="nil"/>
              <w:left w:val="nil"/>
              <w:bottom w:val="double" w:sz="4" w:space="0" w:color="auto"/>
              <w:right w:val="nil"/>
            </w:tcBorders>
            <w:shd w:val="clear" w:color="auto" w:fill="auto"/>
            <w:vAlign w:val="center"/>
            <w:hideMark/>
          </w:tcPr>
          <w:p w14:paraId="3F05DAC7" w14:textId="77777777" w:rsidR="009A7B94" w:rsidRPr="00005453" w:rsidRDefault="009A7B94" w:rsidP="009A7B94">
            <w:pPr>
              <w:ind w:firstLineChars="100" w:firstLine="160"/>
              <w:rPr>
                <w:sz w:val="16"/>
                <w:szCs w:val="16"/>
                <w:lang w:eastAsia="tr-TR"/>
              </w:rPr>
            </w:pPr>
            <w:r w:rsidRPr="00005453">
              <w:rPr>
                <w:sz w:val="16"/>
                <w:szCs w:val="16"/>
                <w:lang w:eastAsia="tr-TR"/>
              </w:rPr>
              <w:t xml:space="preserve">Alınan </w:t>
            </w:r>
            <w:proofErr w:type="gramStart"/>
            <w:r w:rsidRPr="00005453">
              <w:rPr>
                <w:sz w:val="16"/>
                <w:szCs w:val="16"/>
                <w:lang w:eastAsia="tr-TR"/>
              </w:rPr>
              <w:t>kar</w:t>
            </w:r>
            <w:proofErr w:type="gramEnd"/>
            <w:r w:rsidRPr="00005453">
              <w:rPr>
                <w:sz w:val="16"/>
                <w:szCs w:val="16"/>
                <w:lang w:eastAsia="tr-TR"/>
              </w:rPr>
              <w:t xml:space="preserve"> payı ve komisyon gelirleri</w:t>
            </w:r>
          </w:p>
        </w:tc>
        <w:tc>
          <w:tcPr>
            <w:tcW w:w="1197" w:type="dxa"/>
            <w:tcBorders>
              <w:top w:val="nil"/>
              <w:left w:val="nil"/>
              <w:bottom w:val="double" w:sz="4" w:space="0" w:color="auto"/>
              <w:right w:val="nil"/>
            </w:tcBorders>
            <w:shd w:val="clear" w:color="auto" w:fill="auto"/>
            <w:vAlign w:val="center"/>
            <w:hideMark/>
          </w:tcPr>
          <w:p w14:paraId="5EA6CC4C" w14:textId="456E0AEA" w:rsidR="009A7B94" w:rsidRPr="00005453" w:rsidRDefault="009A7B94" w:rsidP="009A7B94">
            <w:pPr>
              <w:jc w:val="right"/>
              <w:rPr>
                <w:color w:val="000000"/>
                <w:sz w:val="16"/>
                <w:szCs w:val="16"/>
              </w:rPr>
            </w:pPr>
            <w:r w:rsidRPr="00005453">
              <w:rPr>
                <w:color w:val="000000"/>
                <w:sz w:val="16"/>
                <w:szCs w:val="16"/>
              </w:rPr>
              <w:t>1,507</w:t>
            </w:r>
          </w:p>
        </w:tc>
        <w:tc>
          <w:tcPr>
            <w:tcW w:w="1118" w:type="dxa"/>
            <w:tcBorders>
              <w:top w:val="nil"/>
              <w:left w:val="nil"/>
              <w:bottom w:val="double" w:sz="4" w:space="0" w:color="auto"/>
              <w:right w:val="nil"/>
            </w:tcBorders>
            <w:shd w:val="clear" w:color="auto" w:fill="auto"/>
            <w:vAlign w:val="center"/>
            <w:hideMark/>
          </w:tcPr>
          <w:p w14:paraId="3FF86ECE" w14:textId="50B16024" w:rsidR="009A7B94" w:rsidRPr="00005453" w:rsidRDefault="009A7B94" w:rsidP="009A7B94">
            <w:pPr>
              <w:jc w:val="right"/>
              <w:rPr>
                <w:color w:val="000000"/>
                <w:sz w:val="16"/>
                <w:szCs w:val="16"/>
              </w:rPr>
            </w:pPr>
            <w:r w:rsidRPr="00005453">
              <w:rPr>
                <w:color w:val="000000"/>
                <w:sz w:val="16"/>
                <w:szCs w:val="16"/>
              </w:rPr>
              <w:t>576</w:t>
            </w:r>
          </w:p>
        </w:tc>
        <w:tc>
          <w:tcPr>
            <w:tcW w:w="1101" w:type="dxa"/>
            <w:tcBorders>
              <w:top w:val="nil"/>
              <w:left w:val="nil"/>
              <w:bottom w:val="double" w:sz="4" w:space="0" w:color="auto"/>
              <w:right w:val="nil"/>
            </w:tcBorders>
            <w:shd w:val="clear" w:color="auto" w:fill="auto"/>
            <w:vAlign w:val="center"/>
            <w:hideMark/>
          </w:tcPr>
          <w:p w14:paraId="38BF9D98" w14:textId="13A200A2" w:rsidR="009A7B94" w:rsidRPr="00005453" w:rsidRDefault="009A7B94" w:rsidP="009A7B94">
            <w:pPr>
              <w:jc w:val="right"/>
              <w:rPr>
                <w:color w:val="000000"/>
                <w:sz w:val="16"/>
                <w:szCs w:val="16"/>
              </w:rPr>
            </w:pPr>
            <w:r w:rsidRPr="00005453">
              <w:rPr>
                <w:color w:val="000000"/>
                <w:sz w:val="16"/>
                <w:szCs w:val="16"/>
              </w:rPr>
              <w:t>4,230</w:t>
            </w:r>
          </w:p>
        </w:tc>
        <w:tc>
          <w:tcPr>
            <w:tcW w:w="1326" w:type="dxa"/>
            <w:tcBorders>
              <w:top w:val="nil"/>
              <w:left w:val="nil"/>
              <w:bottom w:val="double" w:sz="4" w:space="0" w:color="auto"/>
              <w:right w:val="nil"/>
            </w:tcBorders>
            <w:shd w:val="clear" w:color="auto" w:fill="auto"/>
            <w:vAlign w:val="center"/>
            <w:hideMark/>
          </w:tcPr>
          <w:p w14:paraId="2A0D9202" w14:textId="7C45D29C" w:rsidR="009A7B94" w:rsidRPr="00005453" w:rsidRDefault="009A7B94" w:rsidP="009A7B94">
            <w:pPr>
              <w:jc w:val="right"/>
              <w:rPr>
                <w:color w:val="000000"/>
                <w:sz w:val="16"/>
                <w:szCs w:val="16"/>
              </w:rPr>
            </w:pPr>
            <w:r w:rsidRPr="00005453">
              <w:rPr>
                <w:color w:val="000000"/>
                <w:sz w:val="16"/>
                <w:szCs w:val="16"/>
              </w:rPr>
              <w:t>631</w:t>
            </w:r>
          </w:p>
        </w:tc>
        <w:tc>
          <w:tcPr>
            <w:tcW w:w="990" w:type="dxa"/>
            <w:tcBorders>
              <w:top w:val="nil"/>
              <w:left w:val="nil"/>
              <w:bottom w:val="double" w:sz="4" w:space="0" w:color="auto"/>
              <w:right w:val="nil"/>
            </w:tcBorders>
            <w:shd w:val="clear" w:color="auto" w:fill="auto"/>
            <w:vAlign w:val="center"/>
            <w:hideMark/>
          </w:tcPr>
          <w:p w14:paraId="65A71CA2" w14:textId="2B2D9D5D" w:rsidR="009A7B94" w:rsidRPr="00005453" w:rsidRDefault="009A7B94" w:rsidP="009A7B94">
            <w:pPr>
              <w:jc w:val="right"/>
              <w:rPr>
                <w:color w:val="000000"/>
                <w:sz w:val="16"/>
                <w:szCs w:val="16"/>
              </w:rPr>
            </w:pPr>
            <w:r w:rsidRPr="00005453">
              <w:rPr>
                <w:color w:val="000000"/>
                <w:sz w:val="16"/>
                <w:szCs w:val="16"/>
              </w:rPr>
              <w:t>15,396</w:t>
            </w:r>
          </w:p>
        </w:tc>
        <w:tc>
          <w:tcPr>
            <w:tcW w:w="990" w:type="dxa"/>
            <w:tcBorders>
              <w:top w:val="nil"/>
              <w:left w:val="nil"/>
              <w:bottom w:val="double" w:sz="4" w:space="0" w:color="auto"/>
              <w:right w:val="nil"/>
            </w:tcBorders>
            <w:shd w:val="clear" w:color="auto" w:fill="auto"/>
            <w:vAlign w:val="center"/>
            <w:hideMark/>
          </w:tcPr>
          <w:p w14:paraId="57025EBF" w14:textId="22D9C809" w:rsidR="009A7B94" w:rsidRPr="00005453" w:rsidRDefault="009A7B94" w:rsidP="009A7B94">
            <w:pPr>
              <w:jc w:val="right"/>
              <w:rPr>
                <w:color w:val="000000"/>
                <w:sz w:val="16"/>
                <w:szCs w:val="16"/>
              </w:rPr>
            </w:pPr>
            <w:r w:rsidRPr="00005453">
              <w:rPr>
                <w:color w:val="000000"/>
                <w:sz w:val="16"/>
                <w:szCs w:val="16"/>
              </w:rPr>
              <w:t>-</w:t>
            </w:r>
          </w:p>
        </w:tc>
      </w:tr>
    </w:tbl>
    <w:p w14:paraId="68FE8752" w14:textId="7834E781" w:rsidR="000F096F" w:rsidRPr="00005453"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3BC811A0" w14:textId="77777777" w:rsidR="00985F6C" w:rsidRPr="00005453" w:rsidRDefault="00985F6C" w:rsidP="00985F6C">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005453">
        <w:rPr>
          <w:rFonts w:eastAsia="Times New Roman"/>
          <w:sz w:val="16"/>
          <w:szCs w:val="16"/>
        </w:rPr>
        <w:t>(*)    5411 Sayılı Bankacılık Kanunu’nun 49’uncu maddesinin 2’nci fıkrasında tanımlanmıştır.</w:t>
      </w:r>
    </w:p>
    <w:p w14:paraId="53BDE18F" w14:textId="77777777" w:rsidR="00406F79" w:rsidRPr="00005453" w:rsidRDefault="00406F79" w:rsidP="00406F79">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3B1C3CF" w14:textId="13B9F4BC" w:rsidR="000F096F" w:rsidRPr="00005453" w:rsidRDefault="0030639E" w:rsidP="00406F7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005453">
        <w:rPr>
          <w:b/>
          <w:bCs/>
          <w:iCs/>
          <w:sz w:val="20"/>
          <w:szCs w:val="20"/>
        </w:rPr>
        <w:t>7</w:t>
      </w:r>
      <w:r w:rsidR="001E1941" w:rsidRPr="00005453">
        <w:rPr>
          <w:b/>
          <w:bCs/>
          <w:iCs/>
          <w:sz w:val="20"/>
          <w:szCs w:val="20"/>
        </w:rPr>
        <w:t xml:space="preserve">.2 </w:t>
      </w:r>
      <w:r w:rsidR="001E1941" w:rsidRPr="00005453">
        <w:rPr>
          <w:b/>
          <w:bCs/>
          <w:iCs/>
          <w:sz w:val="20"/>
          <w:szCs w:val="20"/>
        </w:rPr>
        <w:tab/>
        <w:t xml:space="preserve">Banka’nın dahil olduğu risk grubuna ait </w:t>
      </w:r>
      <w:r w:rsidR="009A0307" w:rsidRPr="00005453">
        <w:rPr>
          <w:b/>
          <w:bCs/>
          <w:iCs/>
          <w:sz w:val="20"/>
          <w:szCs w:val="20"/>
        </w:rPr>
        <w:t xml:space="preserve">özel cari </w:t>
      </w:r>
      <w:r w:rsidR="001E1941" w:rsidRPr="00005453">
        <w:rPr>
          <w:b/>
          <w:bCs/>
          <w:iCs/>
          <w:sz w:val="20"/>
          <w:szCs w:val="20"/>
        </w:rPr>
        <w:t xml:space="preserve">ve </w:t>
      </w:r>
      <w:r w:rsidR="009A0307" w:rsidRPr="00005453">
        <w:rPr>
          <w:b/>
          <w:bCs/>
          <w:iCs/>
          <w:sz w:val="20"/>
          <w:szCs w:val="20"/>
        </w:rPr>
        <w:t xml:space="preserve">katılma </w:t>
      </w:r>
      <w:r w:rsidR="001E1941" w:rsidRPr="00005453">
        <w:rPr>
          <w:b/>
          <w:bCs/>
          <w:iCs/>
          <w:sz w:val="20"/>
          <w:szCs w:val="20"/>
        </w:rPr>
        <w:t>hesaplarına ilişkin bilgiler</w:t>
      </w:r>
    </w:p>
    <w:p w14:paraId="04BCB15E" w14:textId="5F55C35E" w:rsidR="00D95D2A" w:rsidRPr="00005453" w:rsidRDefault="00D95D2A" w:rsidP="00F11877">
      <w:pPr>
        <w:pStyle w:val="BodyText"/>
        <w:rPr>
          <w:lang w:eastAsia="en-GB"/>
        </w:rPr>
      </w:pPr>
    </w:p>
    <w:tbl>
      <w:tblPr>
        <w:tblW w:w="9584" w:type="dxa"/>
        <w:tblCellMar>
          <w:left w:w="70" w:type="dxa"/>
          <w:right w:w="70" w:type="dxa"/>
        </w:tblCellMar>
        <w:tblLook w:val="04A0" w:firstRow="1" w:lastRow="0" w:firstColumn="1" w:lastColumn="0" w:noHBand="0" w:noVBand="1"/>
      </w:tblPr>
      <w:tblGrid>
        <w:gridCol w:w="3074"/>
        <w:gridCol w:w="1070"/>
        <w:gridCol w:w="1088"/>
        <w:gridCol w:w="1191"/>
        <w:gridCol w:w="847"/>
        <w:gridCol w:w="1191"/>
        <w:gridCol w:w="1123"/>
      </w:tblGrid>
      <w:tr w:rsidR="00D95D2A" w:rsidRPr="00005453" w14:paraId="2F7D7C3B" w14:textId="77777777" w:rsidTr="00B11FD0">
        <w:trPr>
          <w:divId w:val="74522377"/>
          <w:trHeight w:val="480"/>
        </w:trPr>
        <w:tc>
          <w:tcPr>
            <w:tcW w:w="3074" w:type="dxa"/>
            <w:tcBorders>
              <w:top w:val="double" w:sz="4" w:space="0" w:color="auto"/>
              <w:left w:val="nil"/>
              <w:bottom w:val="nil"/>
              <w:right w:val="nil"/>
            </w:tcBorders>
            <w:shd w:val="clear" w:color="auto" w:fill="auto"/>
            <w:vAlign w:val="center"/>
            <w:hideMark/>
          </w:tcPr>
          <w:p w14:paraId="36D9A47E" w14:textId="3D80795D" w:rsidR="00D95D2A" w:rsidRPr="00005453" w:rsidRDefault="00D95D2A" w:rsidP="00D95D2A">
            <w:pPr>
              <w:jc w:val="both"/>
              <w:rPr>
                <w:b/>
                <w:bCs/>
                <w:color w:val="000000"/>
                <w:sz w:val="16"/>
                <w:szCs w:val="16"/>
                <w:lang w:eastAsia="tr-TR"/>
              </w:rPr>
            </w:pPr>
            <w:r w:rsidRPr="00005453">
              <w:rPr>
                <w:b/>
                <w:bCs/>
                <w:color w:val="000000"/>
                <w:sz w:val="16"/>
                <w:szCs w:val="16"/>
                <w:lang w:eastAsia="tr-TR"/>
              </w:rPr>
              <w:t>Banka'nın dahil olduğu risk grubu (*)</w:t>
            </w:r>
          </w:p>
        </w:tc>
        <w:tc>
          <w:tcPr>
            <w:tcW w:w="2158" w:type="dxa"/>
            <w:gridSpan w:val="2"/>
            <w:tcBorders>
              <w:top w:val="double" w:sz="4" w:space="0" w:color="auto"/>
              <w:left w:val="nil"/>
              <w:bottom w:val="nil"/>
              <w:right w:val="nil"/>
            </w:tcBorders>
            <w:shd w:val="clear" w:color="auto" w:fill="auto"/>
            <w:vAlign w:val="center"/>
            <w:hideMark/>
          </w:tcPr>
          <w:p w14:paraId="5688596D"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İştirak, bağlı ortaklıklar ve birlikte kontrol edilen ortaklıklar (iş ortaklıkları)</w:t>
            </w:r>
          </w:p>
        </w:tc>
        <w:tc>
          <w:tcPr>
            <w:tcW w:w="2038" w:type="dxa"/>
            <w:gridSpan w:val="2"/>
            <w:tcBorders>
              <w:top w:val="double" w:sz="4" w:space="0" w:color="auto"/>
              <w:left w:val="nil"/>
              <w:bottom w:val="nil"/>
              <w:right w:val="nil"/>
            </w:tcBorders>
            <w:shd w:val="clear" w:color="auto" w:fill="auto"/>
            <w:vAlign w:val="center"/>
            <w:hideMark/>
          </w:tcPr>
          <w:p w14:paraId="47DB9AC4"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Bankanın doğrudan ve dolaylı ortaklıkları</w:t>
            </w:r>
          </w:p>
        </w:tc>
        <w:tc>
          <w:tcPr>
            <w:tcW w:w="2314" w:type="dxa"/>
            <w:gridSpan w:val="2"/>
            <w:tcBorders>
              <w:top w:val="double" w:sz="4" w:space="0" w:color="auto"/>
              <w:left w:val="nil"/>
              <w:bottom w:val="nil"/>
              <w:right w:val="nil"/>
            </w:tcBorders>
            <w:shd w:val="clear" w:color="auto" w:fill="auto"/>
            <w:vAlign w:val="center"/>
            <w:hideMark/>
          </w:tcPr>
          <w:p w14:paraId="4ECD27D2" w14:textId="77777777" w:rsidR="00D95D2A" w:rsidRPr="00005453" w:rsidRDefault="00D95D2A" w:rsidP="00D95D2A">
            <w:pPr>
              <w:jc w:val="right"/>
              <w:rPr>
                <w:b/>
                <w:bCs/>
                <w:color w:val="000000"/>
                <w:sz w:val="16"/>
                <w:szCs w:val="16"/>
                <w:lang w:eastAsia="tr-TR"/>
              </w:rPr>
            </w:pPr>
            <w:r w:rsidRPr="00005453">
              <w:rPr>
                <w:b/>
                <w:bCs/>
                <w:color w:val="000000"/>
                <w:sz w:val="16"/>
                <w:szCs w:val="16"/>
                <w:lang w:eastAsia="tr-TR"/>
              </w:rPr>
              <w:t>Risk grubuna dahil olan diğer gerçek ve tüzel kişiler</w:t>
            </w:r>
          </w:p>
        </w:tc>
      </w:tr>
      <w:tr w:rsidR="00D95D2A" w:rsidRPr="00005453" w14:paraId="51148B40" w14:textId="77777777" w:rsidTr="00B11FD0">
        <w:trPr>
          <w:divId w:val="74522377"/>
          <w:trHeight w:val="183"/>
        </w:trPr>
        <w:tc>
          <w:tcPr>
            <w:tcW w:w="3074" w:type="dxa"/>
            <w:tcBorders>
              <w:top w:val="nil"/>
              <w:left w:val="nil"/>
              <w:bottom w:val="single" w:sz="8" w:space="0" w:color="auto"/>
              <w:right w:val="nil"/>
            </w:tcBorders>
            <w:shd w:val="clear" w:color="auto" w:fill="auto"/>
            <w:noWrap/>
            <w:vAlign w:val="bottom"/>
            <w:hideMark/>
          </w:tcPr>
          <w:p w14:paraId="7C13AE35" w14:textId="77777777" w:rsidR="00D95D2A" w:rsidRPr="00005453" w:rsidRDefault="00D95D2A" w:rsidP="00D95D2A">
            <w:pPr>
              <w:rPr>
                <w:color w:val="000000"/>
                <w:sz w:val="16"/>
                <w:szCs w:val="16"/>
                <w:lang w:eastAsia="tr-TR"/>
              </w:rPr>
            </w:pPr>
            <w:r w:rsidRPr="00005453">
              <w:rPr>
                <w:color w:val="000000"/>
                <w:sz w:val="16"/>
                <w:szCs w:val="16"/>
                <w:lang w:eastAsia="tr-TR"/>
              </w:rPr>
              <w:t> </w:t>
            </w:r>
          </w:p>
        </w:tc>
        <w:tc>
          <w:tcPr>
            <w:tcW w:w="1070" w:type="dxa"/>
            <w:tcBorders>
              <w:top w:val="nil"/>
              <w:left w:val="nil"/>
              <w:bottom w:val="single" w:sz="8" w:space="0" w:color="auto"/>
              <w:right w:val="nil"/>
            </w:tcBorders>
            <w:shd w:val="clear" w:color="auto" w:fill="auto"/>
            <w:vAlign w:val="center"/>
            <w:hideMark/>
          </w:tcPr>
          <w:p w14:paraId="1A0F3219" w14:textId="77777777" w:rsidR="00D95D2A" w:rsidRPr="00005453" w:rsidRDefault="00D95D2A" w:rsidP="00B93037">
            <w:pPr>
              <w:jc w:val="right"/>
              <w:rPr>
                <w:b/>
                <w:bCs/>
                <w:color w:val="000000"/>
                <w:sz w:val="16"/>
                <w:szCs w:val="16"/>
                <w:lang w:eastAsia="tr-TR"/>
              </w:rPr>
            </w:pPr>
            <w:r w:rsidRPr="00005453">
              <w:rPr>
                <w:b/>
                <w:bCs/>
                <w:color w:val="000000"/>
                <w:sz w:val="16"/>
                <w:szCs w:val="16"/>
                <w:lang w:eastAsia="tr-TR"/>
              </w:rPr>
              <w:t>Cari Dönem</w:t>
            </w:r>
          </w:p>
        </w:tc>
        <w:tc>
          <w:tcPr>
            <w:tcW w:w="1088" w:type="dxa"/>
            <w:tcBorders>
              <w:top w:val="nil"/>
              <w:left w:val="nil"/>
              <w:bottom w:val="single" w:sz="8" w:space="0" w:color="auto"/>
              <w:right w:val="nil"/>
            </w:tcBorders>
            <w:shd w:val="clear" w:color="auto" w:fill="auto"/>
            <w:vAlign w:val="center"/>
            <w:hideMark/>
          </w:tcPr>
          <w:p w14:paraId="5401B2E3" w14:textId="77777777" w:rsidR="00D95D2A" w:rsidRPr="00005453" w:rsidRDefault="00D95D2A" w:rsidP="00B93037">
            <w:pPr>
              <w:jc w:val="right"/>
              <w:rPr>
                <w:b/>
                <w:bCs/>
                <w:color w:val="000000"/>
                <w:sz w:val="16"/>
                <w:szCs w:val="16"/>
                <w:lang w:eastAsia="tr-TR"/>
              </w:rPr>
            </w:pPr>
            <w:r w:rsidRPr="00005453">
              <w:rPr>
                <w:b/>
                <w:bCs/>
                <w:color w:val="000000"/>
                <w:sz w:val="16"/>
                <w:szCs w:val="16"/>
                <w:lang w:eastAsia="tr-TR"/>
              </w:rPr>
              <w:t>Önceki Dönem</w:t>
            </w:r>
          </w:p>
        </w:tc>
        <w:tc>
          <w:tcPr>
            <w:tcW w:w="1191" w:type="dxa"/>
            <w:tcBorders>
              <w:top w:val="nil"/>
              <w:left w:val="nil"/>
              <w:bottom w:val="single" w:sz="8" w:space="0" w:color="auto"/>
              <w:right w:val="nil"/>
            </w:tcBorders>
            <w:shd w:val="clear" w:color="auto" w:fill="auto"/>
            <w:vAlign w:val="center"/>
            <w:hideMark/>
          </w:tcPr>
          <w:p w14:paraId="60388515" w14:textId="77777777" w:rsidR="00D95D2A" w:rsidRPr="00005453" w:rsidRDefault="00D95D2A" w:rsidP="00B93037">
            <w:pPr>
              <w:jc w:val="right"/>
              <w:rPr>
                <w:b/>
                <w:bCs/>
                <w:color w:val="000000"/>
                <w:sz w:val="16"/>
                <w:szCs w:val="16"/>
                <w:lang w:eastAsia="tr-TR"/>
              </w:rPr>
            </w:pPr>
            <w:r w:rsidRPr="00005453">
              <w:rPr>
                <w:b/>
                <w:bCs/>
                <w:color w:val="000000"/>
                <w:sz w:val="16"/>
                <w:szCs w:val="16"/>
                <w:lang w:eastAsia="tr-TR"/>
              </w:rPr>
              <w:t>Cari Dönem</w:t>
            </w:r>
          </w:p>
        </w:tc>
        <w:tc>
          <w:tcPr>
            <w:tcW w:w="846" w:type="dxa"/>
            <w:tcBorders>
              <w:top w:val="nil"/>
              <w:left w:val="nil"/>
              <w:bottom w:val="single" w:sz="8" w:space="0" w:color="auto"/>
              <w:right w:val="nil"/>
            </w:tcBorders>
            <w:shd w:val="clear" w:color="auto" w:fill="auto"/>
            <w:vAlign w:val="center"/>
            <w:hideMark/>
          </w:tcPr>
          <w:p w14:paraId="73564F91" w14:textId="77777777" w:rsidR="00D95D2A" w:rsidRPr="00005453" w:rsidRDefault="00D95D2A" w:rsidP="00B93037">
            <w:pPr>
              <w:jc w:val="right"/>
              <w:rPr>
                <w:b/>
                <w:bCs/>
                <w:color w:val="000000"/>
                <w:sz w:val="16"/>
                <w:szCs w:val="16"/>
                <w:lang w:eastAsia="tr-TR"/>
              </w:rPr>
            </w:pPr>
            <w:r w:rsidRPr="00005453">
              <w:rPr>
                <w:b/>
                <w:bCs/>
                <w:color w:val="000000"/>
                <w:sz w:val="16"/>
                <w:szCs w:val="16"/>
                <w:lang w:eastAsia="tr-TR"/>
              </w:rPr>
              <w:t>Önceki Dönem</w:t>
            </w:r>
          </w:p>
        </w:tc>
        <w:tc>
          <w:tcPr>
            <w:tcW w:w="1191" w:type="dxa"/>
            <w:tcBorders>
              <w:top w:val="nil"/>
              <w:left w:val="nil"/>
              <w:bottom w:val="single" w:sz="8" w:space="0" w:color="auto"/>
              <w:right w:val="nil"/>
            </w:tcBorders>
            <w:shd w:val="clear" w:color="auto" w:fill="auto"/>
            <w:vAlign w:val="center"/>
            <w:hideMark/>
          </w:tcPr>
          <w:p w14:paraId="51375ED1" w14:textId="77777777" w:rsidR="00D95D2A" w:rsidRPr="00005453" w:rsidRDefault="00D95D2A" w:rsidP="00B93037">
            <w:pPr>
              <w:jc w:val="right"/>
              <w:rPr>
                <w:b/>
                <w:bCs/>
                <w:color w:val="000000"/>
                <w:sz w:val="16"/>
                <w:szCs w:val="16"/>
                <w:lang w:eastAsia="tr-TR"/>
              </w:rPr>
            </w:pPr>
            <w:r w:rsidRPr="00005453">
              <w:rPr>
                <w:b/>
                <w:bCs/>
                <w:color w:val="000000"/>
                <w:sz w:val="16"/>
                <w:szCs w:val="16"/>
                <w:lang w:eastAsia="tr-TR"/>
              </w:rPr>
              <w:t>Cari Dönem</w:t>
            </w:r>
          </w:p>
        </w:tc>
        <w:tc>
          <w:tcPr>
            <w:tcW w:w="1122" w:type="dxa"/>
            <w:tcBorders>
              <w:top w:val="nil"/>
              <w:left w:val="nil"/>
              <w:bottom w:val="single" w:sz="8" w:space="0" w:color="auto"/>
              <w:right w:val="nil"/>
            </w:tcBorders>
            <w:shd w:val="clear" w:color="auto" w:fill="auto"/>
            <w:vAlign w:val="center"/>
            <w:hideMark/>
          </w:tcPr>
          <w:p w14:paraId="543D5C8E" w14:textId="77777777" w:rsidR="00D95D2A" w:rsidRPr="00005453" w:rsidRDefault="00D95D2A" w:rsidP="00B93037">
            <w:pPr>
              <w:jc w:val="right"/>
              <w:rPr>
                <w:b/>
                <w:bCs/>
                <w:color w:val="000000"/>
                <w:sz w:val="16"/>
                <w:szCs w:val="16"/>
                <w:lang w:eastAsia="tr-TR"/>
              </w:rPr>
            </w:pPr>
            <w:r w:rsidRPr="00005453">
              <w:rPr>
                <w:b/>
                <w:bCs/>
                <w:color w:val="000000"/>
                <w:sz w:val="16"/>
                <w:szCs w:val="16"/>
                <w:lang w:eastAsia="tr-TR"/>
              </w:rPr>
              <w:t>Önceki Dönem</w:t>
            </w:r>
          </w:p>
        </w:tc>
      </w:tr>
      <w:tr w:rsidR="00D95D2A" w:rsidRPr="00005453" w14:paraId="4CF10FBA" w14:textId="77777777" w:rsidTr="00B11FD0">
        <w:trPr>
          <w:divId w:val="74522377"/>
          <w:trHeight w:val="171"/>
        </w:trPr>
        <w:tc>
          <w:tcPr>
            <w:tcW w:w="3074" w:type="dxa"/>
            <w:tcBorders>
              <w:top w:val="nil"/>
              <w:left w:val="nil"/>
              <w:bottom w:val="nil"/>
              <w:right w:val="nil"/>
            </w:tcBorders>
            <w:shd w:val="clear" w:color="auto" w:fill="auto"/>
            <w:vAlign w:val="center"/>
            <w:hideMark/>
          </w:tcPr>
          <w:p w14:paraId="1C2F0406" w14:textId="77777777" w:rsidR="00D95D2A" w:rsidRPr="00005453" w:rsidRDefault="00D95D2A" w:rsidP="00D95D2A">
            <w:pPr>
              <w:jc w:val="both"/>
              <w:rPr>
                <w:b/>
                <w:bCs/>
                <w:sz w:val="16"/>
                <w:szCs w:val="16"/>
                <w:lang w:eastAsia="tr-TR"/>
              </w:rPr>
            </w:pPr>
            <w:r w:rsidRPr="00005453">
              <w:rPr>
                <w:b/>
                <w:bCs/>
                <w:sz w:val="16"/>
                <w:szCs w:val="16"/>
                <w:lang w:eastAsia="tr-TR"/>
              </w:rPr>
              <w:t xml:space="preserve">Özel. </w:t>
            </w:r>
            <w:proofErr w:type="gramStart"/>
            <w:r w:rsidRPr="00005453">
              <w:rPr>
                <w:b/>
                <w:bCs/>
                <w:sz w:val="16"/>
                <w:szCs w:val="16"/>
                <w:lang w:eastAsia="tr-TR"/>
              </w:rPr>
              <w:t>cari</w:t>
            </w:r>
            <w:proofErr w:type="gramEnd"/>
            <w:r w:rsidRPr="00005453">
              <w:rPr>
                <w:b/>
                <w:bCs/>
                <w:sz w:val="16"/>
                <w:szCs w:val="16"/>
                <w:lang w:eastAsia="tr-TR"/>
              </w:rPr>
              <w:t xml:space="preserve"> ve katılma hesapları</w:t>
            </w:r>
          </w:p>
        </w:tc>
        <w:tc>
          <w:tcPr>
            <w:tcW w:w="1070" w:type="dxa"/>
            <w:tcBorders>
              <w:top w:val="nil"/>
              <w:left w:val="nil"/>
              <w:bottom w:val="nil"/>
              <w:right w:val="nil"/>
            </w:tcBorders>
            <w:shd w:val="clear" w:color="auto" w:fill="auto"/>
            <w:vAlign w:val="center"/>
            <w:hideMark/>
          </w:tcPr>
          <w:p w14:paraId="52BA11A0" w14:textId="77777777" w:rsidR="00D95D2A" w:rsidRPr="00005453" w:rsidRDefault="00D95D2A" w:rsidP="00D95D2A">
            <w:pPr>
              <w:jc w:val="both"/>
              <w:rPr>
                <w:b/>
                <w:bCs/>
                <w:sz w:val="16"/>
                <w:szCs w:val="16"/>
                <w:lang w:eastAsia="tr-TR"/>
              </w:rPr>
            </w:pPr>
          </w:p>
        </w:tc>
        <w:tc>
          <w:tcPr>
            <w:tcW w:w="1088" w:type="dxa"/>
            <w:tcBorders>
              <w:top w:val="nil"/>
              <w:left w:val="nil"/>
              <w:bottom w:val="nil"/>
              <w:right w:val="nil"/>
            </w:tcBorders>
            <w:shd w:val="clear" w:color="auto" w:fill="auto"/>
            <w:vAlign w:val="center"/>
            <w:hideMark/>
          </w:tcPr>
          <w:p w14:paraId="474310D9" w14:textId="77777777" w:rsidR="00D95D2A" w:rsidRPr="00005453" w:rsidRDefault="00D95D2A" w:rsidP="00D95D2A">
            <w:pPr>
              <w:jc w:val="right"/>
              <w:rPr>
                <w:lang w:eastAsia="tr-TR"/>
              </w:rPr>
            </w:pPr>
          </w:p>
        </w:tc>
        <w:tc>
          <w:tcPr>
            <w:tcW w:w="1191" w:type="dxa"/>
            <w:tcBorders>
              <w:top w:val="nil"/>
              <w:left w:val="nil"/>
              <w:bottom w:val="nil"/>
              <w:right w:val="nil"/>
            </w:tcBorders>
            <w:shd w:val="clear" w:color="auto" w:fill="auto"/>
            <w:vAlign w:val="center"/>
            <w:hideMark/>
          </w:tcPr>
          <w:p w14:paraId="72EA39FC" w14:textId="77777777" w:rsidR="00D95D2A" w:rsidRPr="00005453" w:rsidRDefault="00D95D2A" w:rsidP="00D95D2A">
            <w:pPr>
              <w:jc w:val="right"/>
              <w:rPr>
                <w:lang w:eastAsia="tr-TR"/>
              </w:rPr>
            </w:pPr>
          </w:p>
        </w:tc>
        <w:tc>
          <w:tcPr>
            <w:tcW w:w="846" w:type="dxa"/>
            <w:tcBorders>
              <w:top w:val="nil"/>
              <w:left w:val="nil"/>
              <w:bottom w:val="nil"/>
              <w:right w:val="nil"/>
            </w:tcBorders>
            <w:shd w:val="clear" w:color="auto" w:fill="auto"/>
            <w:vAlign w:val="center"/>
            <w:hideMark/>
          </w:tcPr>
          <w:p w14:paraId="1EBF5AA1" w14:textId="77777777" w:rsidR="00D95D2A" w:rsidRPr="00005453" w:rsidRDefault="00D95D2A" w:rsidP="00D95D2A">
            <w:pPr>
              <w:jc w:val="right"/>
              <w:rPr>
                <w:lang w:eastAsia="tr-TR"/>
              </w:rPr>
            </w:pPr>
          </w:p>
        </w:tc>
        <w:tc>
          <w:tcPr>
            <w:tcW w:w="1191" w:type="dxa"/>
            <w:tcBorders>
              <w:top w:val="nil"/>
              <w:left w:val="nil"/>
              <w:bottom w:val="nil"/>
              <w:right w:val="nil"/>
            </w:tcBorders>
            <w:shd w:val="clear" w:color="auto" w:fill="auto"/>
            <w:vAlign w:val="center"/>
            <w:hideMark/>
          </w:tcPr>
          <w:p w14:paraId="2E04A37D" w14:textId="77777777" w:rsidR="00D95D2A" w:rsidRPr="00005453" w:rsidRDefault="00D95D2A" w:rsidP="00D95D2A">
            <w:pPr>
              <w:jc w:val="right"/>
              <w:rPr>
                <w:lang w:eastAsia="tr-TR"/>
              </w:rPr>
            </w:pPr>
          </w:p>
        </w:tc>
        <w:tc>
          <w:tcPr>
            <w:tcW w:w="1122" w:type="dxa"/>
            <w:tcBorders>
              <w:top w:val="nil"/>
              <w:left w:val="nil"/>
              <w:bottom w:val="nil"/>
              <w:right w:val="nil"/>
            </w:tcBorders>
            <w:shd w:val="clear" w:color="auto" w:fill="auto"/>
            <w:vAlign w:val="center"/>
            <w:hideMark/>
          </w:tcPr>
          <w:p w14:paraId="0300B374" w14:textId="77777777" w:rsidR="00D95D2A" w:rsidRPr="00005453" w:rsidRDefault="00D95D2A" w:rsidP="00D95D2A">
            <w:pPr>
              <w:jc w:val="right"/>
              <w:rPr>
                <w:lang w:eastAsia="tr-TR"/>
              </w:rPr>
            </w:pPr>
          </w:p>
        </w:tc>
      </w:tr>
      <w:tr w:rsidR="00AD69C7" w:rsidRPr="00005453" w14:paraId="07182849" w14:textId="77777777" w:rsidTr="00B11FD0">
        <w:trPr>
          <w:divId w:val="74522377"/>
          <w:trHeight w:val="183"/>
        </w:trPr>
        <w:tc>
          <w:tcPr>
            <w:tcW w:w="3074" w:type="dxa"/>
            <w:tcBorders>
              <w:top w:val="nil"/>
              <w:left w:val="nil"/>
              <w:bottom w:val="nil"/>
              <w:right w:val="nil"/>
            </w:tcBorders>
            <w:shd w:val="clear" w:color="auto" w:fill="auto"/>
            <w:vAlign w:val="center"/>
            <w:hideMark/>
          </w:tcPr>
          <w:p w14:paraId="56F54151" w14:textId="77777777" w:rsidR="00AD69C7" w:rsidRPr="00005453" w:rsidRDefault="00AD69C7" w:rsidP="00AD69C7">
            <w:pPr>
              <w:ind w:firstLineChars="100" w:firstLine="160"/>
              <w:rPr>
                <w:sz w:val="16"/>
                <w:szCs w:val="16"/>
                <w:lang w:eastAsia="tr-TR"/>
              </w:rPr>
            </w:pPr>
            <w:r w:rsidRPr="00005453">
              <w:rPr>
                <w:sz w:val="16"/>
                <w:szCs w:val="16"/>
                <w:lang w:eastAsia="tr-TR"/>
              </w:rPr>
              <w:t xml:space="preserve">Dönem Başı Bakiyesi </w:t>
            </w:r>
          </w:p>
        </w:tc>
        <w:tc>
          <w:tcPr>
            <w:tcW w:w="1070" w:type="dxa"/>
            <w:tcBorders>
              <w:top w:val="nil"/>
              <w:left w:val="nil"/>
              <w:bottom w:val="nil"/>
              <w:right w:val="nil"/>
            </w:tcBorders>
            <w:shd w:val="clear" w:color="auto" w:fill="auto"/>
            <w:vAlign w:val="center"/>
            <w:hideMark/>
          </w:tcPr>
          <w:p w14:paraId="19D79CBD" w14:textId="7B595303" w:rsidR="00AD69C7" w:rsidRPr="00005453" w:rsidRDefault="00AD69C7" w:rsidP="00AD69C7">
            <w:pPr>
              <w:jc w:val="right"/>
              <w:rPr>
                <w:color w:val="000000"/>
                <w:sz w:val="16"/>
                <w:szCs w:val="16"/>
              </w:rPr>
            </w:pPr>
            <w:r w:rsidRPr="00005453">
              <w:rPr>
                <w:color w:val="000000"/>
                <w:sz w:val="16"/>
                <w:szCs w:val="18"/>
              </w:rPr>
              <w:t>3,936,961</w:t>
            </w:r>
          </w:p>
        </w:tc>
        <w:tc>
          <w:tcPr>
            <w:tcW w:w="1088" w:type="dxa"/>
            <w:tcBorders>
              <w:top w:val="nil"/>
              <w:left w:val="nil"/>
              <w:bottom w:val="nil"/>
              <w:right w:val="nil"/>
            </w:tcBorders>
            <w:shd w:val="clear" w:color="auto" w:fill="auto"/>
            <w:vAlign w:val="center"/>
            <w:hideMark/>
          </w:tcPr>
          <w:p w14:paraId="7FA4D01B" w14:textId="07CB2947" w:rsidR="00AD69C7" w:rsidRPr="00005453" w:rsidRDefault="00AD69C7" w:rsidP="00AD69C7">
            <w:pPr>
              <w:jc w:val="right"/>
              <w:rPr>
                <w:color w:val="000000"/>
                <w:sz w:val="16"/>
                <w:szCs w:val="16"/>
              </w:rPr>
            </w:pPr>
            <w:r w:rsidRPr="00005453">
              <w:rPr>
                <w:color w:val="000000"/>
                <w:sz w:val="16"/>
                <w:szCs w:val="16"/>
              </w:rPr>
              <w:t>386,651</w:t>
            </w:r>
          </w:p>
        </w:tc>
        <w:tc>
          <w:tcPr>
            <w:tcW w:w="1191" w:type="dxa"/>
            <w:tcBorders>
              <w:top w:val="nil"/>
              <w:left w:val="nil"/>
              <w:bottom w:val="nil"/>
              <w:right w:val="nil"/>
            </w:tcBorders>
            <w:shd w:val="clear" w:color="auto" w:fill="auto"/>
            <w:vAlign w:val="center"/>
            <w:hideMark/>
          </w:tcPr>
          <w:p w14:paraId="70D086A7" w14:textId="48292EBD" w:rsidR="00AD69C7" w:rsidRPr="00005453" w:rsidRDefault="00AD69C7" w:rsidP="00AD69C7">
            <w:pPr>
              <w:jc w:val="right"/>
              <w:rPr>
                <w:color w:val="000000"/>
                <w:sz w:val="16"/>
                <w:szCs w:val="16"/>
              </w:rPr>
            </w:pPr>
            <w:r w:rsidRPr="00005453">
              <w:rPr>
                <w:color w:val="000000"/>
                <w:sz w:val="16"/>
                <w:szCs w:val="18"/>
              </w:rPr>
              <w:t>502,954</w:t>
            </w:r>
          </w:p>
        </w:tc>
        <w:tc>
          <w:tcPr>
            <w:tcW w:w="846" w:type="dxa"/>
            <w:tcBorders>
              <w:top w:val="nil"/>
              <w:left w:val="nil"/>
              <w:bottom w:val="nil"/>
              <w:right w:val="nil"/>
            </w:tcBorders>
            <w:shd w:val="clear" w:color="auto" w:fill="auto"/>
            <w:vAlign w:val="center"/>
            <w:hideMark/>
          </w:tcPr>
          <w:p w14:paraId="0ACAB5C6" w14:textId="1A281E98" w:rsidR="00AD69C7" w:rsidRPr="00005453" w:rsidRDefault="00AD69C7" w:rsidP="00AD69C7">
            <w:pPr>
              <w:jc w:val="right"/>
              <w:rPr>
                <w:color w:val="000000"/>
                <w:sz w:val="16"/>
                <w:szCs w:val="16"/>
              </w:rPr>
            </w:pPr>
            <w:r w:rsidRPr="00005453">
              <w:rPr>
                <w:color w:val="000000"/>
                <w:sz w:val="16"/>
                <w:szCs w:val="16"/>
              </w:rPr>
              <w:t>219,676</w:t>
            </w:r>
          </w:p>
        </w:tc>
        <w:tc>
          <w:tcPr>
            <w:tcW w:w="1191" w:type="dxa"/>
            <w:tcBorders>
              <w:top w:val="nil"/>
              <w:left w:val="nil"/>
              <w:bottom w:val="nil"/>
              <w:right w:val="nil"/>
            </w:tcBorders>
            <w:shd w:val="clear" w:color="auto" w:fill="auto"/>
            <w:vAlign w:val="center"/>
            <w:hideMark/>
          </w:tcPr>
          <w:p w14:paraId="1DAC1F36" w14:textId="7162E153" w:rsidR="00AD69C7" w:rsidRPr="00005453" w:rsidRDefault="00AD69C7" w:rsidP="00AD69C7">
            <w:pPr>
              <w:jc w:val="right"/>
              <w:rPr>
                <w:color w:val="000000"/>
                <w:sz w:val="16"/>
                <w:szCs w:val="16"/>
              </w:rPr>
            </w:pPr>
            <w:r w:rsidRPr="00005453">
              <w:rPr>
                <w:color w:val="000000"/>
                <w:sz w:val="16"/>
                <w:szCs w:val="18"/>
              </w:rPr>
              <w:t>750,296</w:t>
            </w:r>
          </w:p>
        </w:tc>
        <w:tc>
          <w:tcPr>
            <w:tcW w:w="1122" w:type="dxa"/>
            <w:tcBorders>
              <w:top w:val="nil"/>
              <w:left w:val="nil"/>
              <w:bottom w:val="nil"/>
              <w:right w:val="nil"/>
            </w:tcBorders>
            <w:shd w:val="clear" w:color="auto" w:fill="auto"/>
            <w:vAlign w:val="center"/>
            <w:hideMark/>
          </w:tcPr>
          <w:p w14:paraId="6F360985" w14:textId="6E87BC07" w:rsidR="00AD69C7" w:rsidRPr="00005453" w:rsidRDefault="00AD69C7" w:rsidP="00AD69C7">
            <w:pPr>
              <w:jc w:val="right"/>
              <w:rPr>
                <w:color w:val="000000"/>
                <w:sz w:val="16"/>
                <w:szCs w:val="16"/>
              </w:rPr>
            </w:pPr>
            <w:r w:rsidRPr="00005453">
              <w:rPr>
                <w:color w:val="000000"/>
                <w:sz w:val="16"/>
                <w:szCs w:val="16"/>
              </w:rPr>
              <w:t>454,287</w:t>
            </w:r>
          </w:p>
        </w:tc>
      </w:tr>
      <w:tr w:rsidR="00AD69C7" w:rsidRPr="00005453" w14:paraId="46DFD435" w14:textId="77777777" w:rsidTr="00B11FD0">
        <w:trPr>
          <w:divId w:val="74522377"/>
          <w:trHeight w:val="183"/>
        </w:trPr>
        <w:tc>
          <w:tcPr>
            <w:tcW w:w="3074" w:type="dxa"/>
            <w:tcBorders>
              <w:top w:val="nil"/>
              <w:left w:val="nil"/>
              <w:bottom w:val="nil"/>
              <w:right w:val="nil"/>
            </w:tcBorders>
            <w:shd w:val="clear" w:color="auto" w:fill="auto"/>
            <w:vAlign w:val="center"/>
            <w:hideMark/>
          </w:tcPr>
          <w:p w14:paraId="44CE1A76" w14:textId="77777777" w:rsidR="00AD69C7" w:rsidRPr="00005453" w:rsidRDefault="00AD69C7" w:rsidP="00AD69C7">
            <w:pPr>
              <w:ind w:firstLineChars="100" w:firstLine="160"/>
              <w:rPr>
                <w:sz w:val="16"/>
                <w:szCs w:val="16"/>
                <w:lang w:eastAsia="tr-TR"/>
              </w:rPr>
            </w:pPr>
            <w:r w:rsidRPr="00005453">
              <w:rPr>
                <w:sz w:val="16"/>
                <w:szCs w:val="16"/>
                <w:lang w:eastAsia="tr-TR"/>
              </w:rPr>
              <w:t>Dönem Sonu Bakiyesi</w:t>
            </w:r>
          </w:p>
        </w:tc>
        <w:tc>
          <w:tcPr>
            <w:tcW w:w="1070" w:type="dxa"/>
            <w:tcBorders>
              <w:top w:val="nil"/>
              <w:left w:val="nil"/>
              <w:bottom w:val="nil"/>
              <w:right w:val="nil"/>
            </w:tcBorders>
            <w:shd w:val="clear" w:color="auto" w:fill="auto"/>
            <w:vAlign w:val="center"/>
            <w:hideMark/>
          </w:tcPr>
          <w:p w14:paraId="31DA0592" w14:textId="25900B57" w:rsidR="00AD69C7" w:rsidRPr="00005453" w:rsidRDefault="00AD69C7" w:rsidP="00AD69C7">
            <w:pPr>
              <w:jc w:val="right"/>
              <w:rPr>
                <w:color w:val="000000"/>
                <w:sz w:val="16"/>
                <w:szCs w:val="16"/>
              </w:rPr>
            </w:pPr>
            <w:r w:rsidRPr="00005453">
              <w:rPr>
                <w:color w:val="000000"/>
                <w:sz w:val="16"/>
                <w:szCs w:val="18"/>
              </w:rPr>
              <w:t>4,048,835</w:t>
            </w:r>
          </w:p>
        </w:tc>
        <w:tc>
          <w:tcPr>
            <w:tcW w:w="1088" w:type="dxa"/>
            <w:tcBorders>
              <w:top w:val="nil"/>
              <w:left w:val="nil"/>
              <w:bottom w:val="nil"/>
              <w:right w:val="nil"/>
            </w:tcBorders>
            <w:shd w:val="clear" w:color="auto" w:fill="auto"/>
            <w:vAlign w:val="center"/>
            <w:hideMark/>
          </w:tcPr>
          <w:p w14:paraId="141490AD" w14:textId="19DFB04A" w:rsidR="00AD69C7" w:rsidRPr="00005453" w:rsidRDefault="00AD69C7" w:rsidP="00AD69C7">
            <w:pPr>
              <w:jc w:val="right"/>
              <w:rPr>
                <w:color w:val="000000"/>
                <w:sz w:val="16"/>
                <w:szCs w:val="16"/>
              </w:rPr>
            </w:pPr>
            <w:r w:rsidRPr="00005453">
              <w:rPr>
                <w:color w:val="000000"/>
                <w:sz w:val="16"/>
                <w:szCs w:val="16"/>
              </w:rPr>
              <w:t>3,936,961</w:t>
            </w:r>
          </w:p>
        </w:tc>
        <w:tc>
          <w:tcPr>
            <w:tcW w:w="1191" w:type="dxa"/>
            <w:tcBorders>
              <w:top w:val="nil"/>
              <w:left w:val="nil"/>
              <w:bottom w:val="nil"/>
              <w:right w:val="nil"/>
            </w:tcBorders>
            <w:shd w:val="clear" w:color="auto" w:fill="auto"/>
            <w:vAlign w:val="center"/>
            <w:hideMark/>
          </w:tcPr>
          <w:p w14:paraId="73FF0021" w14:textId="789FE662" w:rsidR="00AD69C7" w:rsidRPr="00005453" w:rsidRDefault="00AD69C7" w:rsidP="00AD69C7">
            <w:pPr>
              <w:jc w:val="right"/>
              <w:rPr>
                <w:color w:val="000000"/>
                <w:sz w:val="16"/>
                <w:szCs w:val="16"/>
              </w:rPr>
            </w:pPr>
            <w:r w:rsidRPr="00005453">
              <w:rPr>
                <w:color w:val="000000"/>
                <w:sz w:val="16"/>
                <w:szCs w:val="18"/>
              </w:rPr>
              <w:t>777,817</w:t>
            </w:r>
          </w:p>
        </w:tc>
        <w:tc>
          <w:tcPr>
            <w:tcW w:w="846" w:type="dxa"/>
            <w:tcBorders>
              <w:top w:val="nil"/>
              <w:left w:val="nil"/>
              <w:bottom w:val="nil"/>
              <w:right w:val="nil"/>
            </w:tcBorders>
            <w:shd w:val="clear" w:color="auto" w:fill="auto"/>
            <w:vAlign w:val="center"/>
            <w:hideMark/>
          </w:tcPr>
          <w:p w14:paraId="18B4F68A" w14:textId="44004785" w:rsidR="00AD69C7" w:rsidRPr="00005453" w:rsidRDefault="00AD69C7" w:rsidP="00AD69C7">
            <w:pPr>
              <w:jc w:val="right"/>
              <w:rPr>
                <w:color w:val="000000"/>
                <w:sz w:val="16"/>
                <w:szCs w:val="16"/>
              </w:rPr>
            </w:pPr>
            <w:r w:rsidRPr="00005453">
              <w:rPr>
                <w:color w:val="000000"/>
                <w:sz w:val="16"/>
                <w:szCs w:val="16"/>
              </w:rPr>
              <w:t>502,954</w:t>
            </w:r>
          </w:p>
        </w:tc>
        <w:tc>
          <w:tcPr>
            <w:tcW w:w="1191" w:type="dxa"/>
            <w:tcBorders>
              <w:top w:val="nil"/>
              <w:left w:val="nil"/>
              <w:bottom w:val="nil"/>
              <w:right w:val="nil"/>
            </w:tcBorders>
            <w:shd w:val="clear" w:color="auto" w:fill="auto"/>
            <w:vAlign w:val="center"/>
            <w:hideMark/>
          </w:tcPr>
          <w:p w14:paraId="7162CC0B" w14:textId="2CCC2AC0" w:rsidR="00AD69C7" w:rsidRPr="00005453" w:rsidRDefault="00C15A53" w:rsidP="00AD69C7">
            <w:pPr>
              <w:jc w:val="right"/>
              <w:rPr>
                <w:color w:val="000000"/>
                <w:sz w:val="16"/>
                <w:szCs w:val="16"/>
              </w:rPr>
            </w:pPr>
            <w:r w:rsidRPr="00005453">
              <w:rPr>
                <w:color w:val="000000"/>
                <w:sz w:val="16"/>
                <w:szCs w:val="18"/>
              </w:rPr>
              <w:t>946</w:t>
            </w:r>
            <w:r w:rsidR="00AD69C7" w:rsidRPr="00005453">
              <w:rPr>
                <w:color w:val="000000"/>
                <w:sz w:val="16"/>
                <w:szCs w:val="18"/>
              </w:rPr>
              <w:t>,</w:t>
            </w:r>
            <w:r w:rsidRPr="00005453">
              <w:rPr>
                <w:color w:val="000000"/>
                <w:sz w:val="16"/>
                <w:szCs w:val="18"/>
              </w:rPr>
              <w:t>678</w:t>
            </w:r>
          </w:p>
        </w:tc>
        <w:tc>
          <w:tcPr>
            <w:tcW w:w="1122" w:type="dxa"/>
            <w:tcBorders>
              <w:top w:val="nil"/>
              <w:left w:val="nil"/>
              <w:bottom w:val="nil"/>
              <w:right w:val="nil"/>
            </w:tcBorders>
            <w:shd w:val="clear" w:color="auto" w:fill="auto"/>
            <w:vAlign w:val="center"/>
            <w:hideMark/>
          </w:tcPr>
          <w:p w14:paraId="763ABFDF" w14:textId="46E62F15" w:rsidR="00AD69C7" w:rsidRPr="00005453" w:rsidRDefault="00AD69C7" w:rsidP="00AD69C7">
            <w:pPr>
              <w:jc w:val="right"/>
              <w:rPr>
                <w:color w:val="000000"/>
                <w:sz w:val="16"/>
                <w:szCs w:val="16"/>
              </w:rPr>
            </w:pPr>
            <w:r w:rsidRPr="00005453">
              <w:rPr>
                <w:color w:val="000000"/>
                <w:sz w:val="16"/>
                <w:szCs w:val="16"/>
              </w:rPr>
              <w:t>750,296</w:t>
            </w:r>
          </w:p>
        </w:tc>
      </w:tr>
      <w:tr w:rsidR="00AD69C7" w:rsidRPr="00005453" w14:paraId="190059C4" w14:textId="77777777" w:rsidTr="00B11FD0">
        <w:trPr>
          <w:divId w:val="74522377"/>
          <w:trHeight w:val="183"/>
        </w:trPr>
        <w:tc>
          <w:tcPr>
            <w:tcW w:w="3074" w:type="dxa"/>
            <w:tcBorders>
              <w:top w:val="nil"/>
              <w:left w:val="nil"/>
              <w:bottom w:val="double" w:sz="4" w:space="0" w:color="auto"/>
              <w:right w:val="nil"/>
            </w:tcBorders>
            <w:shd w:val="clear" w:color="auto" w:fill="auto"/>
            <w:vAlign w:val="center"/>
            <w:hideMark/>
          </w:tcPr>
          <w:p w14:paraId="13DCDB62" w14:textId="7116AE65" w:rsidR="00AD69C7" w:rsidRPr="00005453" w:rsidRDefault="00AD69C7" w:rsidP="00AD69C7">
            <w:pPr>
              <w:ind w:left="70"/>
              <w:rPr>
                <w:sz w:val="16"/>
                <w:szCs w:val="16"/>
                <w:lang w:eastAsia="tr-TR"/>
              </w:rPr>
            </w:pPr>
            <w:r w:rsidRPr="00005453">
              <w:rPr>
                <w:sz w:val="16"/>
                <w:szCs w:val="16"/>
                <w:lang w:eastAsia="tr-TR"/>
              </w:rPr>
              <w:t xml:space="preserve">  Katılma hesapları </w:t>
            </w:r>
            <w:proofErr w:type="gramStart"/>
            <w:r w:rsidRPr="00005453">
              <w:rPr>
                <w:sz w:val="16"/>
                <w:szCs w:val="16"/>
                <w:lang w:eastAsia="tr-TR"/>
              </w:rPr>
              <w:t>kar</w:t>
            </w:r>
            <w:proofErr w:type="gramEnd"/>
            <w:r w:rsidRPr="00005453">
              <w:rPr>
                <w:sz w:val="16"/>
                <w:szCs w:val="16"/>
                <w:lang w:eastAsia="tr-TR"/>
              </w:rPr>
              <w:t xml:space="preserve"> payı gideri</w:t>
            </w:r>
          </w:p>
        </w:tc>
        <w:tc>
          <w:tcPr>
            <w:tcW w:w="1070" w:type="dxa"/>
            <w:tcBorders>
              <w:top w:val="nil"/>
              <w:left w:val="nil"/>
              <w:bottom w:val="double" w:sz="4" w:space="0" w:color="auto"/>
              <w:right w:val="nil"/>
            </w:tcBorders>
            <w:shd w:val="clear" w:color="auto" w:fill="auto"/>
            <w:vAlign w:val="center"/>
            <w:hideMark/>
          </w:tcPr>
          <w:p w14:paraId="1AD9082F" w14:textId="551330BC" w:rsidR="00AD69C7" w:rsidRPr="00005453" w:rsidRDefault="00AD69C7" w:rsidP="00AD69C7">
            <w:pPr>
              <w:jc w:val="right"/>
              <w:rPr>
                <w:color w:val="000000"/>
                <w:sz w:val="16"/>
                <w:szCs w:val="16"/>
              </w:rPr>
            </w:pPr>
            <w:r w:rsidRPr="00005453">
              <w:rPr>
                <w:color w:val="000000"/>
                <w:sz w:val="16"/>
                <w:szCs w:val="18"/>
              </w:rPr>
              <w:t>147,943</w:t>
            </w:r>
          </w:p>
        </w:tc>
        <w:tc>
          <w:tcPr>
            <w:tcW w:w="1088" w:type="dxa"/>
            <w:tcBorders>
              <w:top w:val="nil"/>
              <w:left w:val="nil"/>
              <w:bottom w:val="double" w:sz="4" w:space="0" w:color="auto"/>
              <w:right w:val="nil"/>
            </w:tcBorders>
            <w:shd w:val="clear" w:color="auto" w:fill="auto"/>
            <w:vAlign w:val="center"/>
            <w:hideMark/>
          </w:tcPr>
          <w:p w14:paraId="131BB4CA" w14:textId="3F8B95C2" w:rsidR="00AD69C7" w:rsidRPr="00005453" w:rsidRDefault="00AD69C7" w:rsidP="00AD69C7">
            <w:pPr>
              <w:jc w:val="right"/>
              <w:rPr>
                <w:color w:val="000000"/>
                <w:sz w:val="16"/>
                <w:szCs w:val="16"/>
              </w:rPr>
            </w:pPr>
            <w:r w:rsidRPr="00005453">
              <w:rPr>
                <w:color w:val="000000"/>
                <w:sz w:val="16"/>
                <w:szCs w:val="16"/>
              </w:rPr>
              <w:t>19,628</w:t>
            </w:r>
          </w:p>
        </w:tc>
        <w:tc>
          <w:tcPr>
            <w:tcW w:w="1191" w:type="dxa"/>
            <w:tcBorders>
              <w:top w:val="nil"/>
              <w:left w:val="nil"/>
              <w:bottom w:val="double" w:sz="4" w:space="0" w:color="auto"/>
              <w:right w:val="nil"/>
            </w:tcBorders>
            <w:shd w:val="clear" w:color="auto" w:fill="auto"/>
            <w:vAlign w:val="center"/>
            <w:hideMark/>
          </w:tcPr>
          <w:p w14:paraId="28F36853" w14:textId="69FE7711" w:rsidR="00AD69C7" w:rsidRPr="00005453" w:rsidRDefault="00AD69C7" w:rsidP="00AD69C7">
            <w:pPr>
              <w:jc w:val="right"/>
              <w:rPr>
                <w:color w:val="000000"/>
                <w:sz w:val="16"/>
                <w:szCs w:val="16"/>
              </w:rPr>
            </w:pPr>
            <w:r w:rsidRPr="00005453">
              <w:rPr>
                <w:color w:val="000000"/>
                <w:sz w:val="16"/>
                <w:szCs w:val="18"/>
              </w:rPr>
              <w:t>65,255</w:t>
            </w:r>
          </w:p>
        </w:tc>
        <w:tc>
          <w:tcPr>
            <w:tcW w:w="846" w:type="dxa"/>
            <w:tcBorders>
              <w:top w:val="nil"/>
              <w:left w:val="nil"/>
              <w:bottom w:val="double" w:sz="4" w:space="0" w:color="auto"/>
              <w:right w:val="nil"/>
            </w:tcBorders>
            <w:shd w:val="clear" w:color="auto" w:fill="auto"/>
            <w:vAlign w:val="center"/>
            <w:hideMark/>
          </w:tcPr>
          <w:p w14:paraId="1CF601CF" w14:textId="6317F0AE" w:rsidR="00AD69C7" w:rsidRPr="00005453" w:rsidRDefault="00AD69C7" w:rsidP="00AD69C7">
            <w:pPr>
              <w:jc w:val="right"/>
              <w:rPr>
                <w:color w:val="000000"/>
                <w:sz w:val="16"/>
                <w:szCs w:val="16"/>
              </w:rPr>
            </w:pPr>
            <w:r w:rsidRPr="00005453">
              <w:rPr>
                <w:color w:val="000000"/>
                <w:sz w:val="16"/>
                <w:szCs w:val="16"/>
              </w:rPr>
              <w:t>27,810</w:t>
            </w:r>
          </w:p>
        </w:tc>
        <w:tc>
          <w:tcPr>
            <w:tcW w:w="1191" w:type="dxa"/>
            <w:tcBorders>
              <w:top w:val="nil"/>
              <w:left w:val="nil"/>
              <w:bottom w:val="double" w:sz="4" w:space="0" w:color="auto"/>
              <w:right w:val="nil"/>
            </w:tcBorders>
            <w:shd w:val="clear" w:color="auto" w:fill="auto"/>
            <w:vAlign w:val="center"/>
            <w:hideMark/>
          </w:tcPr>
          <w:p w14:paraId="24B02AE2" w14:textId="4CE1ED62" w:rsidR="00AD69C7" w:rsidRPr="00005453" w:rsidRDefault="00C15A53" w:rsidP="00AD69C7">
            <w:pPr>
              <w:jc w:val="right"/>
              <w:rPr>
                <w:color w:val="000000"/>
                <w:sz w:val="16"/>
                <w:szCs w:val="16"/>
              </w:rPr>
            </w:pPr>
            <w:r w:rsidRPr="00005453">
              <w:rPr>
                <w:color w:val="000000"/>
                <w:sz w:val="16"/>
                <w:szCs w:val="16"/>
              </w:rPr>
              <w:t>12,561</w:t>
            </w:r>
          </w:p>
        </w:tc>
        <w:tc>
          <w:tcPr>
            <w:tcW w:w="1122" w:type="dxa"/>
            <w:tcBorders>
              <w:top w:val="nil"/>
              <w:left w:val="nil"/>
              <w:bottom w:val="double" w:sz="4" w:space="0" w:color="auto"/>
              <w:right w:val="nil"/>
            </w:tcBorders>
            <w:shd w:val="clear" w:color="auto" w:fill="auto"/>
            <w:vAlign w:val="center"/>
            <w:hideMark/>
          </w:tcPr>
          <w:p w14:paraId="1569DAEC" w14:textId="210E5ACF" w:rsidR="00AD69C7" w:rsidRPr="00005453" w:rsidRDefault="00474F5B" w:rsidP="00AD69C7">
            <w:pPr>
              <w:jc w:val="right"/>
              <w:rPr>
                <w:color w:val="000000"/>
                <w:sz w:val="16"/>
                <w:szCs w:val="16"/>
              </w:rPr>
            </w:pPr>
            <w:r w:rsidRPr="00005453">
              <w:rPr>
                <w:color w:val="000000"/>
                <w:sz w:val="16"/>
                <w:szCs w:val="16"/>
              </w:rPr>
              <w:t>425</w:t>
            </w:r>
          </w:p>
        </w:tc>
      </w:tr>
    </w:tbl>
    <w:p w14:paraId="211DF009" w14:textId="65FE1418" w:rsidR="000F096F" w:rsidRPr="00005453" w:rsidRDefault="000F096F" w:rsidP="00F11877">
      <w:pPr>
        <w:pStyle w:val="BodyText"/>
        <w:rPr>
          <w:sz w:val="6"/>
          <w:szCs w:val="6"/>
        </w:rPr>
      </w:pPr>
    </w:p>
    <w:p w14:paraId="2FED3D32" w14:textId="77777777" w:rsidR="00985F6C" w:rsidRPr="00005453" w:rsidRDefault="00985F6C" w:rsidP="00985F6C">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005453">
        <w:rPr>
          <w:rFonts w:eastAsia="Times New Roman"/>
          <w:sz w:val="16"/>
          <w:szCs w:val="16"/>
        </w:rPr>
        <w:t>(*)    5411 Sayılı Bankacılık Kanunu’nun 49’uncu maddesinin 2’nci fıkrasında tanımlanmıştır.</w:t>
      </w:r>
    </w:p>
    <w:p w14:paraId="302A7825" w14:textId="77777777" w:rsidR="000F096F" w:rsidRPr="00005453" w:rsidRDefault="000F096F" w:rsidP="00F11877">
      <w:pPr>
        <w:autoSpaceDE w:val="0"/>
        <w:autoSpaceDN w:val="0"/>
        <w:adjustRightInd w:val="0"/>
        <w:ind w:left="1080" w:hanging="360"/>
        <w:jc w:val="both"/>
        <w:rPr>
          <w:bCs/>
          <w:iCs/>
          <w:sz w:val="16"/>
          <w:szCs w:val="16"/>
        </w:rPr>
      </w:pPr>
    </w:p>
    <w:p w14:paraId="04AED71C" w14:textId="77777777" w:rsidR="00A5049E" w:rsidRPr="00005453" w:rsidRDefault="00A5049E" w:rsidP="007F1884">
      <w:pPr>
        <w:autoSpaceDE w:val="0"/>
        <w:autoSpaceDN w:val="0"/>
        <w:adjustRightInd w:val="0"/>
        <w:ind w:hanging="567"/>
        <w:jc w:val="both"/>
        <w:rPr>
          <w:b/>
          <w:bCs/>
          <w:iCs/>
        </w:rPr>
        <w:sectPr w:rsidR="00A5049E" w:rsidRPr="00005453" w:rsidSect="00475153">
          <w:pgSz w:w="11906" w:h="16838"/>
          <w:pgMar w:top="1417" w:right="1133" w:bottom="1438" w:left="1560" w:header="708" w:footer="708" w:gutter="0"/>
          <w:cols w:space="708"/>
          <w:docGrid w:linePitch="360"/>
        </w:sectPr>
      </w:pPr>
    </w:p>
    <w:p w14:paraId="684FF9AF" w14:textId="017321DB" w:rsidR="001E1941" w:rsidRPr="00005453" w:rsidRDefault="0030639E" w:rsidP="007F1884">
      <w:pPr>
        <w:autoSpaceDE w:val="0"/>
        <w:autoSpaceDN w:val="0"/>
        <w:adjustRightInd w:val="0"/>
        <w:ind w:hanging="567"/>
        <w:jc w:val="both"/>
        <w:rPr>
          <w:b/>
          <w:bCs/>
          <w:iCs/>
        </w:rPr>
      </w:pPr>
      <w:r w:rsidRPr="00005453">
        <w:rPr>
          <w:b/>
          <w:bCs/>
          <w:iCs/>
        </w:rPr>
        <w:lastRenderedPageBreak/>
        <w:t>7.</w:t>
      </w:r>
      <w:r w:rsidR="001E1941" w:rsidRPr="00005453">
        <w:rPr>
          <w:b/>
          <w:bCs/>
          <w:iCs/>
        </w:rPr>
        <w:t>3</w:t>
      </w:r>
      <w:r w:rsidR="001E1941" w:rsidRPr="00005453">
        <w:rPr>
          <w:b/>
          <w:bCs/>
          <w:iCs/>
        </w:rPr>
        <w:tab/>
        <w:t>Banka’nın dahil olduğu risk grubu ile yaptığı vadeli işlemler ile opsiyon sözleşmeleri ile benzeri diğer sözleşmelere ilişkin bilgiler</w:t>
      </w:r>
    </w:p>
    <w:p w14:paraId="260BC97F" w14:textId="34276297" w:rsidR="00D95D2A" w:rsidRPr="00005453" w:rsidRDefault="00D95D2A" w:rsidP="00220D06">
      <w:pPr>
        <w:tabs>
          <w:tab w:val="left" w:pos="709"/>
        </w:tabs>
        <w:rPr>
          <w:lang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D95D2A" w:rsidRPr="00005453" w14:paraId="527377BA" w14:textId="77777777" w:rsidTr="00D95D2A">
        <w:trPr>
          <w:divId w:val="36854508"/>
          <w:trHeight w:val="540"/>
        </w:trPr>
        <w:tc>
          <w:tcPr>
            <w:tcW w:w="2929" w:type="dxa"/>
            <w:tcBorders>
              <w:top w:val="double" w:sz="6" w:space="0" w:color="auto"/>
              <w:left w:val="nil"/>
              <w:bottom w:val="nil"/>
              <w:right w:val="nil"/>
            </w:tcBorders>
            <w:shd w:val="clear" w:color="auto" w:fill="auto"/>
            <w:vAlign w:val="center"/>
            <w:hideMark/>
          </w:tcPr>
          <w:p w14:paraId="2B115622" w14:textId="55BA7059" w:rsidR="00D95D2A" w:rsidRPr="00005453" w:rsidRDefault="00D95D2A" w:rsidP="00D95D2A">
            <w:pPr>
              <w:jc w:val="both"/>
              <w:rPr>
                <w:sz w:val="2"/>
                <w:szCs w:val="2"/>
                <w:lang w:eastAsia="tr-TR"/>
              </w:rPr>
            </w:pPr>
            <w:r w:rsidRPr="00005453">
              <w:rPr>
                <w:sz w:val="2"/>
                <w:szCs w:val="2"/>
                <w:lang w:eastAsia="tr-TR"/>
              </w:rPr>
              <w:t> </w:t>
            </w:r>
            <w:r w:rsidR="00B93037" w:rsidRPr="00005453">
              <w:rPr>
                <w:b/>
                <w:bCs/>
                <w:sz w:val="16"/>
                <w:szCs w:val="16"/>
                <w:lang w:eastAsia="tr-TR"/>
              </w:rPr>
              <w:t>Banka'nın dahil olduğu risk grubu (*)</w:t>
            </w:r>
          </w:p>
        </w:tc>
        <w:tc>
          <w:tcPr>
            <w:tcW w:w="2057" w:type="dxa"/>
            <w:gridSpan w:val="2"/>
            <w:tcBorders>
              <w:top w:val="double" w:sz="6" w:space="0" w:color="auto"/>
              <w:left w:val="nil"/>
              <w:bottom w:val="nil"/>
              <w:right w:val="nil"/>
            </w:tcBorders>
            <w:shd w:val="clear" w:color="auto" w:fill="auto"/>
            <w:vAlign w:val="center"/>
            <w:hideMark/>
          </w:tcPr>
          <w:p w14:paraId="532219B6" w14:textId="77777777" w:rsidR="00D95D2A" w:rsidRPr="00005453" w:rsidRDefault="00D95D2A" w:rsidP="00D95D2A">
            <w:pPr>
              <w:jc w:val="center"/>
              <w:rPr>
                <w:b/>
                <w:bCs/>
                <w:sz w:val="16"/>
                <w:szCs w:val="16"/>
                <w:lang w:eastAsia="tr-TR"/>
              </w:rPr>
            </w:pPr>
            <w:r w:rsidRPr="00005453">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5E414045" w14:textId="77777777" w:rsidR="00D95D2A" w:rsidRPr="00005453" w:rsidRDefault="00D95D2A" w:rsidP="00D95D2A">
            <w:pPr>
              <w:jc w:val="right"/>
              <w:rPr>
                <w:b/>
                <w:bCs/>
                <w:sz w:val="16"/>
                <w:szCs w:val="16"/>
                <w:lang w:eastAsia="tr-TR"/>
              </w:rPr>
            </w:pPr>
            <w:r w:rsidRPr="00005453">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084B7927" w14:textId="77777777" w:rsidR="00D95D2A" w:rsidRPr="00005453" w:rsidRDefault="00D95D2A" w:rsidP="00D95D2A">
            <w:pPr>
              <w:jc w:val="right"/>
              <w:rPr>
                <w:b/>
                <w:bCs/>
                <w:sz w:val="16"/>
                <w:szCs w:val="16"/>
                <w:lang w:eastAsia="tr-TR"/>
              </w:rPr>
            </w:pPr>
            <w:r w:rsidRPr="00005453">
              <w:rPr>
                <w:b/>
                <w:bCs/>
                <w:sz w:val="16"/>
                <w:szCs w:val="16"/>
                <w:lang w:eastAsia="tr-TR"/>
              </w:rPr>
              <w:t>Risk grubuna dahil olan diğer gerçek ve tüzel kişiler</w:t>
            </w:r>
          </w:p>
        </w:tc>
      </w:tr>
      <w:tr w:rsidR="00D95D2A" w:rsidRPr="00005453" w14:paraId="1E681241" w14:textId="77777777" w:rsidTr="00614CD2">
        <w:trPr>
          <w:divId w:val="36854508"/>
          <w:trHeight w:val="193"/>
        </w:trPr>
        <w:tc>
          <w:tcPr>
            <w:tcW w:w="2929" w:type="dxa"/>
            <w:tcBorders>
              <w:top w:val="nil"/>
              <w:left w:val="nil"/>
              <w:bottom w:val="nil"/>
              <w:right w:val="nil"/>
            </w:tcBorders>
            <w:shd w:val="clear" w:color="auto" w:fill="auto"/>
            <w:vAlign w:val="center"/>
            <w:hideMark/>
          </w:tcPr>
          <w:p w14:paraId="32C4FB01" w14:textId="5DE001FA" w:rsidR="00D95D2A" w:rsidRPr="00005453" w:rsidRDefault="00D95D2A" w:rsidP="00D95D2A">
            <w:pPr>
              <w:rPr>
                <w:b/>
                <w:bCs/>
                <w:sz w:val="16"/>
                <w:szCs w:val="16"/>
                <w:lang w:eastAsia="tr-TR"/>
              </w:rPr>
            </w:pPr>
          </w:p>
        </w:tc>
        <w:tc>
          <w:tcPr>
            <w:tcW w:w="1020" w:type="dxa"/>
            <w:vMerge w:val="restart"/>
            <w:tcBorders>
              <w:top w:val="nil"/>
              <w:left w:val="nil"/>
              <w:bottom w:val="single" w:sz="8" w:space="0" w:color="000000"/>
              <w:right w:val="nil"/>
            </w:tcBorders>
            <w:shd w:val="clear" w:color="auto" w:fill="auto"/>
            <w:vAlign w:val="center"/>
            <w:hideMark/>
          </w:tcPr>
          <w:p w14:paraId="49DE266F" w14:textId="77777777" w:rsidR="00D95D2A" w:rsidRPr="00005453" w:rsidRDefault="00D95D2A" w:rsidP="00614CD2">
            <w:pPr>
              <w:jc w:val="right"/>
              <w:rPr>
                <w:b/>
                <w:bCs/>
                <w:sz w:val="16"/>
                <w:szCs w:val="16"/>
                <w:lang w:eastAsia="tr-TR"/>
              </w:rPr>
            </w:pPr>
            <w:r w:rsidRPr="00005453">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6A755EB1" w14:textId="77777777" w:rsidR="00D95D2A" w:rsidRPr="00005453" w:rsidRDefault="00D95D2A" w:rsidP="00B93037">
            <w:pPr>
              <w:jc w:val="right"/>
              <w:rPr>
                <w:b/>
                <w:bCs/>
                <w:sz w:val="16"/>
                <w:szCs w:val="16"/>
                <w:lang w:eastAsia="tr-TR"/>
              </w:rPr>
            </w:pPr>
            <w:r w:rsidRPr="00005453">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33BE9B7F" w14:textId="77777777" w:rsidR="00D95D2A" w:rsidRPr="00005453" w:rsidRDefault="00D95D2A" w:rsidP="00614CD2">
            <w:pPr>
              <w:jc w:val="right"/>
              <w:rPr>
                <w:b/>
                <w:bCs/>
                <w:sz w:val="16"/>
                <w:szCs w:val="16"/>
                <w:lang w:eastAsia="tr-TR"/>
              </w:rPr>
            </w:pPr>
            <w:r w:rsidRPr="00005453">
              <w:rPr>
                <w:b/>
                <w:bCs/>
                <w:sz w:val="16"/>
                <w:szCs w:val="16"/>
                <w:lang w:eastAsia="tr-TR"/>
              </w:rPr>
              <w:t>Cari Dönem</w:t>
            </w:r>
          </w:p>
        </w:tc>
        <w:tc>
          <w:tcPr>
            <w:tcW w:w="955" w:type="dxa"/>
            <w:vMerge w:val="restart"/>
            <w:tcBorders>
              <w:top w:val="nil"/>
              <w:left w:val="nil"/>
              <w:bottom w:val="single" w:sz="8" w:space="0" w:color="000000"/>
              <w:right w:val="nil"/>
            </w:tcBorders>
            <w:shd w:val="clear" w:color="auto" w:fill="auto"/>
            <w:vAlign w:val="center"/>
            <w:hideMark/>
          </w:tcPr>
          <w:p w14:paraId="32601FE5" w14:textId="77777777" w:rsidR="00D95D2A" w:rsidRPr="00005453" w:rsidRDefault="00D95D2A" w:rsidP="00B93037">
            <w:pPr>
              <w:jc w:val="right"/>
              <w:rPr>
                <w:b/>
                <w:bCs/>
                <w:sz w:val="16"/>
                <w:szCs w:val="16"/>
                <w:lang w:eastAsia="tr-TR"/>
              </w:rPr>
            </w:pPr>
            <w:r w:rsidRPr="00005453">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2CB455FB" w14:textId="77777777" w:rsidR="00D95D2A" w:rsidRPr="00005453" w:rsidRDefault="00D95D2A" w:rsidP="00614CD2">
            <w:pPr>
              <w:jc w:val="right"/>
              <w:rPr>
                <w:b/>
                <w:bCs/>
                <w:sz w:val="16"/>
                <w:szCs w:val="16"/>
                <w:lang w:eastAsia="tr-TR"/>
              </w:rPr>
            </w:pPr>
            <w:r w:rsidRPr="00005453">
              <w:rPr>
                <w:b/>
                <w:bCs/>
                <w:sz w:val="16"/>
                <w:szCs w:val="16"/>
                <w:lang w:eastAsia="tr-TR"/>
              </w:rPr>
              <w:t>Cari Dönem</w:t>
            </w:r>
          </w:p>
        </w:tc>
        <w:tc>
          <w:tcPr>
            <w:tcW w:w="1070" w:type="dxa"/>
            <w:vMerge w:val="restart"/>
            <w:tcBorders>
              <w:top w:val="nil"/>
              <w:left w:val="nil"/>
              <w:bottom w:val="single" w:sz="8" w:space="0" w:color="000000"/>
              <w:right w:val="nil"/>
            </w:tcBorders>
            <w:shd w:val="clear" w:color="auto" w:fill="auto"/>
            <w:vAlign w:val="center"/>
            <w:hideMark/>
          </w:tcPr>
          <w:p w14:paraId="1D534418" w14:textId="77777777" w:rsidR="00D95D2A" w:rsidRPr="00005453" w:rsidRDefault="00D95D2A" w:rsidP="00B93037">
            <w:pPr>
              <w:jc w:val="right"/>
              <w:rPr>
                <w:b/>
                <w:bCs/>
                <w:sz w:val="16"/>
                <w:szCs w:val="16"/>
                <w:lang w:eastAsia="tr-TR"/>
              </w:rPr>
            </w:pPr>
            <w:r w:rsidRPr="00005453">
              <w:rPr>
                <w:b/>
                <w:bCs/>
                <w:sz w:val="16"/>
                <w:szCs w:val="16"/>
                <w:lang w:eastAsia="tr-TR"/>
              </w:rPr>
              <w:t>Önceki Dönem</w:t>
            </w:r>
          </w:p>
        </w:tc>
      </w:tr>
      <w:tr w:rsidR="00D95D2A" w:rsidRPr="00005453" w14:paraId="63144083" w14:textId="77777777" w:rsidTr="00A82F1F">
        <w:trPr>
          <w:divId w:val="36854508"/>
          <w:trHeight w:val="270"/>
        </w:trPr>
        <w:tc>
          <w:tcPr>
            <w:tcW w:w="2929" w:type="dxa"/>
            <w:tcBorders>
              <w:top w:val="nil"/>
              <w:left w:val="nil"/>
              <w:bottom w:val="single" w:sz="8" w:space="0" w:color="auto"/>
              <w:right w:val="nil"/>
            </w:tcBorders>
            <w:shd w:val="clear" w:color="auto" w:fill="auto"/>
            <w:vAlign w:val="center"/>
            <w:hideMark/>
          </w:tcPr>
          <w:p w14:paraId="199110AC" w14:textId="77777777" w:rsidR="00D95D2A" w:rsidRPr="00005453" w:rsidRDefault="00D95D2A" w:rsidP="00D95D2A">
            <w:pPr>
              <w:rPr>
                <w:b/>
                <w:bCs/>
                <w:sz w:val="16"/>
                <w:szCs w:val="16"/>
                <w:lang w:eastAsia="tr-TR"/>
              </w:rPr>
            </w:pPr>
            <w:r w:rsidRPr="00005453">
              <w:rPr>
                <w:b/>
                <w:bCs/>
                <w:sz w:val="16"/>
                <w:szCs w:val="16"/>
                <w:lang w:eastAsia="tr-TR"/>
              </w:rPr>
              <w:t> </w:t>
            </w:r>
          </w:p>
        </w:tc>
        <w:tc>
          <w:tcPr>
            <w:tcW w:w="1020" w:type="dxa"/>
            <w:vMerge/>
            <w:tcBorders>
              <w:top w:val="nil"/>
              <w:left w:val="nil"/>
              <w:bottom w:val="single" w:sz="8" w:space="0" w:color="000000"/>
              <w:right w:val="nil"/>
            </w:tcBorders>
            <w:vAlign w:val="center"/>
            <w:hideMark/>
          </w:tcPr>
          <w:p w14:paraId="6D394DC7" w14:textId="77777777" w:rsidR="00D95D2A" w:rsidRPr="00005453" w:rsidRDefault="00D95D2A" w:rsidP="00D95D2A">
            <w:pPr>
              <w:rPr>
                <w:b/>
                <w:bCs/>
                <w:sz w:val="16"/>
                <w:szCs w:val="16"/>
                <w:lang w:eastAsia="tr-TR"/>
              </w:rPr>
            </w:pPr>
          </w:p>
        </w:tc>
        <w:tc>
          <w:tcPr>
            <w:tcW w:w="1037" w:type="dxa"/>
            <w:vMerge/>
            <w:tcBorders>
              <w:top w:val="nil"/>
              <w:left w:val="nil"/>
              <w:bottom w:val="single" w:sz="8" w:space="0" w:color="000000"/>
              <w:right w:val="nil"/>
            </w:tcBorders>
            <w:vAlign w:val="center"/>
            <w:hideMark/>
          </w:tcPr>
          <w:p w14:paraId="4A69CD71" w14:textId="77777777" w:rsidR="00D95D2A" w:rsidRPr="00005453" w:rsidRDefault="00D95D2A" w:rsidP="00D95D2A">
            <w:pPr>
              <w:rPr>
                <w:b/>
                <w:bCs/>
                <w:sz w:val="16"/>
                <w:szCs w:val="16"/>
                <w:lang w:eastAsia="tr-TR"/>
              </w:rPr>
            </w:pPr>
          </w:p>
        </w:tc>
        <w:tc>
          <w:tcPr>
            <w:tcW w:w="1135" w:type="dxa"/>
            <w:vMerge/>
            <w:tcBorders>
              <w:top w:val="nil"/>
              <w:left w:val="nil"/>
              <w:bottom w:val="single" w:sz="8" w:space="0" w:color="000000"/>
              <w:right w:val="nil"/>
            </w:tcBorders>
            <w:vAlign w:val="center"/>
            <w:hideMark/>
          </w:tcPr>
          <w:p w14:paraId="57FB5585" w14:textId="77777777" w:rsidR="00D95D2A" w:rsidRPr="00005453" w:rsidRDefault="00D95D2A" w:rsidP="00D95D2A">
            <w:pPr>
              <w:rPr>
                <w:b/>
                <w:bCs/>
                <w:sz w:val="16"/>
                <w:szCs w:val="16"/>
                <w:lang w:eastAsia="tr-TR"/>
              </w:rPr>
            </w:pPr>
          </w:p>
        </w:tc>
        <w:tc>
          <w:tcPr>
            <w:tcW w:w="955" w:type="dxa"/>
            <w:vMerge/>
            <w:tcBorders>
              <w:top w:val="nil"/>
              <w:left w:val="nil"/>
              <w:bottom w:val="single" w:sz="8" w:space="0" w:color="000000"/>
              <w:right w:val="nil"/>
            </w:tcBorders>
            <w:vAlign w:val="center"/>
            <w:hideMark/>
          </w:tcPr>
          <w:p w14:paraId="600CB79D" w14:textId="77777777" w:rsidR="00D95D2A" w:rsidRPr="00005453" w:rsidRDefault="00D95D2A" w:rsidP="00D95D2A">
            <w:pPr>
              <w:rPr>
                <w:b/>
                <w:bCs/>
                <w:sz w:val="16"/>
                <w:szCs w:val="16"/>
                <w:lang w:eastAsia="tr-TR"/>
              </w:rPr>
            </w:pPr>
          </w:p>
        </w:tc>
        <w:tc>
          <w:tcPr>
            <w:tcW w:w="1020" w:type="dxa"/>
            <w:vMerge/>
            <w:tcBorders>
              <w:top w:val="nil"/>
              <w:left w:val="nil"/>
              <w:bottom w:val="single" w:sz="8" w:space="0" w:color="000000"/>
              <w:right w:val="nil"/>
            </w:tcBorders>
            <w:vAlign w:val="center"/>
            <w:hideMark/>
          </w:tcPr>
          <w:p w14:paraId="62ECFC3E" w14:textId="77777777" w:rsidR="00D95D2A" w:rsidRPr="00005453" w:rsidRDefault="00D95D2A" w:rsidP="00D95D2A">
            <w:pPr>
              <w:rPr>
                <w:b/>
                <w:bCs/>
                <w:sz w:val="16"/>
                <w:szCs w:val="16"/>
                <w:lang w:eastAsia="tr-TR"/>
              </w:rPr>
            </w:pPr>
          </w:p>
        </w:tc>
        <w:tc>
          <w:tcPr>
            <w:tcW w:w="1070" w:type="dxa"/>
            <w:vMerge/>
            <w:tcBorders>
              <w:top w:val="nil"/>
              <w:left w:val="nil"/>
              <w:bottom w:val="single" w:sz="8" w:space="0" w:color="000000"/>
              <w:right w:val="nil"/>
            </w:tcBorders>
            <w:vAlign w:val="center"/>
            <w:hideMark/>
          </w:tcPr>
          <w:p w14:paraId="3895BA2E" w14:textId="77777777" w:rsidR="00D95D2A" w:rsidRPr="00005453" w:rsidRDefault="00D95D2A" w:rsidP="00D95D2A">
            <w:pPr>
              <w:rPr>
                <w:b/>
                <w:bCs/>
                <w:sz w:val="16"/>
                <w:szCs w:val="16"/>
                <w:lang w:eastAsia="tr-TR"/>
              </w:rPr>
            </w:pPr>
          </w:p>
        </w:tc>
      </w:tr>
      <w:tr w:rsidR="00D95D2A" w:rsidRPr="00005453" w14:paraId="18254C5E" w14:textId="77777777" w:rsidTr="00A82F1F">
        <w:trPr>
          <w:divId w:val="36854508"/>
          <w:trHeight w:val="360"/>
        </w:trPr>
        <w:tc>
          <w:tcPr>
            <w:tcW w:w="2929" w:type="dxa"/>
            <w:tcBorders>
              <w:top w:val="nil"/>
              <w:left w:val="nil"/>
              <w:bottom w:val="nil"/>
              <w:right w:val="nil"/>
            </w:tcBorders>
            <w:shd w:val="clear" w:color="auto" w:fill="auto"/>
            <w:vAlign w:val="center"/>
            <w:hideMark/>
          </w:tcPr>
          <w:p w14:paraId="1AFBDE93" w14:textId="77777777" w:rsidR="00D95D2A" w:rsidRPr="00005453" w:rsidRDefault="00D95D2A" w:rsidP="00D95D2A">
            <w:pPr>
              <w:jc w:val="both"/>
              <w:rPr>
                <w:b/>
                <w:bCs/>
                <w:sz w:val="16"/>
                <w:szCs w:val="16"/>
                <w:lang w:eastAsia="tr-TR"/>
              </w:rPr>
            </w:pPr>
            <w:r w:rsidRPr="00005453">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4B965FFB" w14:textId="77777777" w:rsidR="00D95D2A" w:rsidRPr="00005453" w:rsidRDefault="00D95D2A" w:rsidP="00D95D2A">
            <w:pPr>
              <w:jc w:val="both"/>
              <w:rPr>
                <w:b/>
                <w:bCs/>
                <w:sz w:val="16"/>
                <w:szCs w:val="16"/>
                <w:lang w:eastAsia="tr-TR"/>
              </w:rPr>
            </w:pPr>
          </w:p>
        </w:tc>
        <w:tc>
          <w:tcPr>
            <w:tcW w:w="1037" w:type="dxa"/>
            <w:tcBorders>
              <w:top w:val="nil"/>
              <w:left w:val="nil"/>
              <w:bottom w:val="nil"/>
              <w:right w:val="nil"/>
            </w:tcBorders>
            <w:shd w:val="clear" w:color="auto" w:fill="auto"/>
            <w:vAlign w:val="center"/>
            <w:hideMark/>
          </w:tcPr>
          <w:p w14:paraId="62ECEAF6" w14:textId="77777777" w:rsidR="00D95D2A" w:rsidRPr="00005453" w:rsidRDefault="00D95D2A" w:rsidP="00D95D2A">
            <w:pPr>
              <w:jc w:val="both"/>
              <w:rPr>
                <w:lang w:eastAsia="tr-TR"/>
              </w:rPr>
            </w:pPr>
          </w:p>
        </w:tc>
        <w:tc>
          <w:tcPr>
            <w:tcW w:w="1135" w:type="dxa"/>
            <w:tcBorders>
              <w:top w:val="nil"/>
              <w:left w:val="nil"/>
              <w:bottom w:val="nil"/>
              <w:right w:val="nil"/>
            </w:tcBorders>
            <w:shd w:val="clear" w:color="auto" w:fill="auto"/>
            <w:vAlign w:val="center"/>
            <w:hideMark/>
          </w:tcPr>
          <w:p w14:paraId="35FEC3D9" w14:textId="77777777" w:rsidR="00D95D2A" w:rsidRPr="00005453" w:rsidRDefault="00D95D2A" w:rsidP="00D95D2A">
            <w:pPr>
              <w:jc w:val="both"/>
              <w:rPr>
                <w:lang w:eastAsia="tr-TR"/>
              </w:rPr>
            </w:pPr>
          </w:p>
        </w:tc>
        <w:tc>
          <w:tcPr>
            <w:tcW w:w="955" w:type="dxa"/>
            <w:tcBorders>
              <w:top w:val="nil"/>
              <w:left w:val="nil"/>
              <w:bottom w:val="nil"/>
              <w:right w:val="nil"/>
            </w:tcBorders>
            <w:shd w:val="clear" w:color="auto" w:fill="auto"/>
            <w:vAlign w:val="center"/>
            <w:hideMark/>
          </w:tcPr>
          <w:p w14:paraId="09AC2591" w14:textId="77777777" w:rsidR="00D95D2A" w:rsidRPr="00005453" w:rsidRDefault="00D95D2A" w:rsidP="00D95D2A">
            <w:pPr>
              <w:jc w:val="both"/>
              <w:rPr>
                <w:lang w:eastAsia="tr-TR"/>
              </w:rPr>
            </w:pPr>
          </w:p>
        </w:tc>
        <w:tc>
          <w:tcPr>
            <w:tcW w:w="1020" w:type="dxa"/>
            <w:tcBorders>
              <w:top w:val="nil"/>
              <w:left w:val="nil"/>
              <w:bottom w:val="nil"/>
              <w:right w:val="nil"/>
            </w:tcBorders>
            <w:shd w:val="clear" w:color="auto" w:fill="auto"/>
            <w:vAlign w:val="center"/>
            <w:hideMark/>
          </w:tcPr>
          <w:p w14:paraId="2C29D4F6" w14:textId="77777777" w:rsidR="00D95D2A" w:rsidRPr="00005453" w:rsidRDefault="00D95D2A" w:rsidP="00D95D2A">
            <w:pPr>
              <w:jc w:val="both"/>
              <w:rPr>
                <w:lang w:eastAsia="tr-TR"/>
              </w:rPr>
            </w:pPr>
          </w:p>
        </w:tc>
        <w:tc>
          <w:tcPr>
            <w:tcW w:w="1070" w:type="dxa"/>
            <w:tcBorders>
              <w:top w:val="nil"/>
              <w:left w:val="nil"/>
              <w:bottom w:val="nil"/>
              <w:right w:val="nil"/>
            </w:tcBorders>
            <w:shd w:val="clear" w:color="auto" w:fill="auto"/>
            <w:vAlign w:val="center"/>
            <w:hideMark/>
          </w:tcPr>
          <w:p w14:paraId="5BDBBE6D" w14:textId="77777777" w:rsidR="00D95D2A" w:rsidRPr="00005453" w:rsidRDefault="00D95D2A" w:rsidP="00D95D2A">
            <w:pPr>
              <w:jc w:val="both"/>
              <w:rPr>
                <w:lang w:eastAsia="tr-TR"/>
              </w:rPr>
            </w:pPr>
          </w:p>
        </w:tc>
      </w:tr>
      <w:tr w:rsidR="00AD69C7" w:rsidRPr="00005453" w14:paraId="45828DFF" w14:textId="77777777" w:rsidTr="00AD69C7">
        <w:trPr>
          <w:divId w:val="36854508"/>
          <w:trHeight w:val="193"/>
        </w:trPr>
        <w:tc>
          <w:tcPr>
            <w:tcW w:w="2929" w:type="dxa"/>
            <w:tcBorders>
              <w:top w:val="nil"/>
              <w:left w:val="nil"/>
              <w:bottom w:val="nil"/>
              <w:right w:val="nil"/>
            </w:tcBorders>
            <w:shd w:val="clear" w:color="auto" w:fill="auto"/>
            <w:vAlign w:val="center"/>
            <w:hideMark/>
          </w:tcPr>
          <w:p w14:paraId="69EF73C9" w14:textId="77777777" w:rsidR="00AD69C7" w:rsidRPr="00005453" w:rsidRDefault="00AD69C7" w:rsidP="00AD69C7">
            <w:pPr>
              <w:jc w:val="both"/>
              <w:rPr>
                <w:sz w:val="16"/>
                <w:szCs w:val="16"/>
                <w:lang w:eastAsia="tr-TR"/>
              </w:rPr>
            </w:pPr>
            <w:r w:rsidRPr="00005453">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239C45B" w14:textId="57F687A9" w:rsidR="00AD69C7" w:rsidRPr="00005453" w:rsidRDefault="00AD69C7" w:rsidP="00AD69C7">
            <w:pPr>
              <w:jc w:val="right"/>
              <w:rPr>
                <w:color w:val="1C283D"/>
                <w:sz w:val="16"/>
                <w:szCs w:val="16"/>
              </w:rPr>
            </w:pPr>
            <w:r w:rsidRPr="00005453">
              <w:rPr>
                <w:color w:val="1C283D"/>
                <w:sz w:val="16"/>
                <w:szCs w:val="18"/>
              </w:rPr>
              <w:t>3,758,803</w:t>
            </w:r>
          </w:p>
        </w:tc>
        <w:tc>
          <w:tcPr>
            <w:tcW w:w="1037" w:type="dxa"/>
            <w:tcBorders>
              <w:top w:val="nil"/>
              <w:left w:val="nil"/>
              <w:bottom w:val="nil"/>
              <w:right w:val="nil"/>
            </w:tcBorders>
            <w:shd w:val="clear" w:color="auto" w:fill="auto"/>
            <w:vAlign w:val="center"/>
            <w:hideMark/>
          </w:tcPr>
          <w:p w14:paraId="1D2EA4D6" w14:textId="007C4B03" w:rsidR="00AD69C7" w:rsidRPr="00005453" w:rsidRDefault="00AD69C7" w:rsidP="00AD69C7">
            <w:pPr>
              <w:jc w:val="right"/>
              <w:rPr>
                <w:color w:val="1C283D"/>
                <w:sz w:val="16"/>
                <w:szCs w:val="16"/>
              </w:rPr>
            </w:pPr>
            <w:r w:rsidRPr="00005453">
              <w:rPr>
                <w:color w:val="1C283D"/>
                <w:sz w:val="16"/>
                <w:szCs w:val="16"/>
              </w:rPr>
              <w:t>2,697,940</w:t>
            </w:r>
          </w:p>
        </w:tc>
        <w:tc>
          <w:tcPr>
            <w:tcW w:w="1135" w:type="dxa"/>
            <w:tcBorders>
              <w:top w:val="nil"/>
              <w:left w:val="nil"/>
              <w:bottom w:val="nil"/>
              <w:right w:val="nil"/>
            </w:tcBorders>
            <w:shd w:val="clear" w:color="auto" w:fill="auto"/>
            <w:vAlign w:val="center"/>
            <w:hideMark/>
          </w:tcPr>
          <w:p w14:paraId="21766E0D" w14:textId="7069AA1C" w:rsidR="00AD69C7" w:rsidRPr="00005453" w:rsidRDefault="00AD69C7" w:rsidP="00AD69C7">
            <w:pPr>
              <w:jc w:val="right"/>
              <w:rPr>
                <w:color w:val="1C283D"/>
                <w:sz w:val="16"/>
                <w:szCs w:val="16"/>
              </w:rPr>
            </w:pPr>
            <w:r w:rsidRPr="00005453">
              <w:rPr>
                <w:color w:val="1C283D"/>
                <w:sz w:val="16"/>
                <w:szCs w:val="18"/>
              </w:rPr>
              <w:t>2,361,778</w:t>
            </w:r>
          </w:p>
        </w:tc>
        <w:tc>
          <w:tcPr>
            <w:tcW w:w="955" w:type="dxa"/>
            <w:tcBorders>
              <w:top w:val="nil"/>
              <w:left w:val="nil"/>
              <w:bottom w:val="nil"/>
              <w:right w:val="nil"/>
            </w:tcBorders>
            <w:shd w:val="clear" w:color="auto" w:fill="auto"/>
            <w:vAlign w:val="center"/>
            <w:hideMark/>
          </w:tcPr>
          <w:p w14:paraId="5768A710" w14:textId="0DAF09C9" w:rsidR="00AD69C7" w:rsidRPr="00005453" w:rsidRDefault="00AD69C7" w:rsidP="00AD69C7">
            <w:pPr>
              <w:jc w:val="right"/>
              <w:rPr>
                <w:color w:val="1C283D"/>
                <w:sz w:val="16"/>
                <w:szCs w:val="16"/>
              </w:rPr>
            </w:pPr>
            <w:r w:rsidRPr="00005453">
              <w:rPr>
                <w:color w:val="1C283D"/>
                <w:sz w:val="16"/>
                <w:szCs w:val="16"/>
              </w:rPr>
              <w:t>842,005</w:t>
            </w:r>
          </w:p>
        </w:tc>
        <w:tc>
          <w:tcPr>
            <w:tcW w:w="1020" w:type="dxa"/>
            <w:tcBorders>
              <w:top w:val="nil"/>
              <w:left w:val="nil"/>
              <w:bottom w:val="nil"/>
              <w:right w:val="nil"/>
            </w:tcBorders>
            <w:shd w:val="clear" w:color="auto" w:fill="auto"/>
            <w:vAlign w:val="center"/>
            <w:hideMark/>
          </w:tcPr>
          <w:p w14:paraId="64DDEF72" w14:textId="77777777" w:rsidR="00AD69C7" w:rsidRPr="00005453" w:rsidRDefault="00AD69C7" w:rsidP="00AD69C7">
            <w:pPr>
              <w:jc w:val="right"/>
              <w:rPr>
                <w:color w:val="1C283D"/>
                <w:sz w:val="16"/>
                <w:szCs w:val="16"/>
              </w:rPr>
            </w:pPr>
            <w:r w:rsidRPr="00005453">
              <w:rPr>
                <w:color w:val="1C283D"/>
                <w:sz w:val="16"/>
                <w:szCs w:val="16"/>
              </w:rPr>
              <w:t>-</w:t>
            </w:r>
          </w:p>
        </w:tc>
        <w:tc>
          <w:tcPr>
            <w:tcW w:w="1070" w:type="dxa"/>
            <w:tcBorders>
              <w:top w:val="nil"/>
              <w:left w:val="nil"/>
              <w:bottom w:val="nil"/>
              <w:right w:val="nil"/>
            </w:tcBorders>
            <w:shd w:val="clear" w:color="auto" w:fill="auto"/>
            <w:vAlign w:val="center"/>
            <w:hideMark/>
          </w:tcPr>
          <w:p w14:paraId="3137D210" w14:textId="77777777" w:rsidR="00AD69C7" w:rsidRPr="00005453" w:rsidRDefault="00AD69C7" w:rsidP="00AD69C7">
            <w:pPr>
              <w:jc w:val="right"/>
              <w:rPr>
                <w:color w:val="1C283D"/>
                <w:sz w:val="16"/>
                <w:szCs w:val="16"/>
              </w:rPr>
            </w:pPr>
            <w:r w:rsidRPr="00005453">
              <w:rPr>
                <w:color w:val="1C283D"/>
                <w:sz w:val="16"/>
                <w:szCs w:val="16"/>
              </w:rPr>
              <w:t>-</w:t>
            </w:r>
          </w:p>
        </w:tc>
      </w:tr>
      <w:tr w:rsidR="00AD69C7" w:rsidRPr="00005453" w14:paraId="62662EAB" w14:textId="77777777" w:rsidTr="00AD69C7">
        <w:trPr>
          <w:divId w:val="36854508"/>
          <w:trHeight w:val="193"/>
        </w:trPr>
        <w:tc>
          <w:tcPr>
            <w:tcW w:w="2929" w:type="dxa"/>
            <w:tcBorders>
              <w:top w:val="nil"/>
              <w:left w:val="nil"/>
              <w:bottom w:val="nil"/>
              <w:right w:val="nil"/>
            </w:tcBorders>
            <w:shd w:val="clear" w:color="auto" w:fill="auto"/>
            <w:vAlign w:val="center"/>
            <w:hideMark/>
          </w:tcPr>
          <w:p w14:paraId="3C8E55D7" w14:textId="77777777" w:rsidR="00AD69C7" w:rsidRPr="00005453" w:rsidRDefault="00AD69C7" w:rsidP="00AD69C7">
            <w:pPr>
              <w:jc w:val="both"/>
              <w:rPr>
                <w:sz w:val="16"/>
                <w:szCs w:val="16"/>
                <w:lang w:eastAsia="tr-TR"/>
              </w:rPr>
            </w:pPr>
            <w:r w:rsidRPr="00005453">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3B7FE9A7" w14:textId="16F752CE" w:rsidR="00AD69C7" w:rsidRPr="00005453" w:rsidRDefault="00AD69C7" w:rsidP="00AD69C7">
            <w:pPr>
              <w:jc w:val="right"/>
              <w:rPr>
                <w:color w:val="1C283D"/>
                <w:sz w:val="16"/>
                <w:szCs w:val="16"/>
              </w:rPr>
            </w:pPr>
            <w:r w:rsidRPr="00005453">
              <w:rPr>
                <w:color w:val="1C283D"/>
                <w:sz w:val="16"/>
                <w:szCs w:val="18"/>
              </w:rPr>
              <w:t>4,668,605</w:t>
            </w:r>
          </w:p>
        </w:tc>
        <w:tc>
          <w:tcPr>
            <w:tcW w:w="1037" w:type="dxa"/>
            <w:tcBorders>
              <w:top w:val="nil"/>
              <w:left w:val="nil"/>
              <w:bottom w:val="nil"/>
              <w:right w:val="nil"/>
            </w:tcBorders>
            <w:shd w:val="clear" w:color="auto" w:fill="auto"/>
            <w:vAlign w:val="center"/>
            <w:hideMark/>
          </w:tcPr>
          <w:p w14:paraId="35338FA0" w14:textId="7EC2237B" w:rsidR="00AD69C7" w:rsidRPr="00005453" w:rsidRDefault="00AD69C7" w:rsidP="00AD69C7">
            <w:pPr>
              <w:jc w:val="right"/>
              <w:rPr>
                <w:color w:val="1C283D"/>
                <w:sz w:val="16"/>
                <w:szCs w:val="16"/>
              </w:rPr>
            </w:pPr>
            <w:r w:rsidRPr="00005453">
              <w:rPr>
                <w:color w:val="1C283D"/>
                <w:sz w:val="16"/>
                <w:szCs w:val="16"/>
              </w:rPr>
              <w:t>3,758,803</w:t>
            </w:r>
          </w:p>
        </w:tc>
        <w:tc>
          <w:tcPr>
            <w:tcW w:w="1135" w:type="dxa"/>
            <w:tcBorders>
              <w:top w:val="nil"/>
              <w:left w:val="nil"/>
              <w:bottom w:val="nil"/>
              <w:right w:val="nil"/>
            </w:tcBorders>
            <w:shd w:val="clear" w:color="auto" w:fill="auto"/>
            <w:vAlign w:val="center"/>
            <w:hideMark/>
          </w:tcPr>
          <w:p w14:paraId="1619AC71" w14:textId="3E246850" w:rsidR="00AD69C7" w:rsidRPr="00005453" w:rsidRDefault="00AD69C7" w:rsidP="00AD69C7">
            <w:pPr>
              <w:jc w:val="right"/>
              <w:rPr>
                <w:color w:val="1C283D"/>
                <w:sz w:val="16"/>
                <w:szCs w:val="16"/>
              </w:rPr>
            </w:pPr>
            <w:r w:rsidRPr="00005453">
              <w:rPr>
                <w:color w:val="1C283D"/>
                <w:sz w:val="16"/>
                <w:szCs w:val="18"/>
              </w:rPr>
              <w:t>1,459,578</w:t>
            </w:r>
          </w:p>
        </w:tc>
        <w:tc>
          <w:tcPr>
            <w:tcW w:w="955" w:type="dxa"/>
            <w:tcBorders>
              <w:top w:val="nil"/>
              <w:left w:val="nil"/>
              <w:bottom w:val="nil"/>
              <w:right w:val="nil"/>
            </w:tcBorders>
            <w:shd w:val="clear" w:color="auto" w:fill="auto"/>
            <w:vAlign w:val="center"/>
            <w:hideMark/>
          </w:tcPr>
          <w:p w14:paraId="71F9312E" w14:textId="04C1EB3E" w:rsidR="00AD69C7" w:rsidRPr="00005453" w:rsidRDefault="00AD69C7" w:rsidP="00AD69C7">
            <w:pPr>
              <w:jc w:val="right"/>
              <w:rPr>
                <w:color w:val="1C283D"/>
                <w:sz w:val="16"/>
                <w:szCs w:val="16"/>
              </w:rPr>
            </w:pPr>
            <w:r w:rsidRPr="00005453">
              <w:rPr>
                <w:color w:val="1C283D"/>
                <w:sz w:val="16"/>
                <w:szCs w:val="16"/>
              </w:rPr>
              <w:t>2,361,778</w:t>
            </w:r>
          </w:p>
        </w:tc>
        <w:tc>
          <w:tcPr>
            <w:tcW w:w="1020" w:type="dxa"/>
            <w:tcBorders>
              <w:top w:val="nil"/>
              <w:left w:val="nil"/>
              <w:bottom w:val="nil"/>
              <w:right w:val="nil"/>
            </w:tcBorders>
            <w:shd w:val="clear" w:color="auto" w:fill="auto"/>
            <w:vAlign w:val="center"/>
            <w:hideMark/>
          </w:tcPr>
          <w:p w14:paraId="7FE0B282" w14:textId="77777777" w:rsidR="00AD69C7" w:rsidRPr="00005453" w:rsidRDefault="00AD69C7" w:rsidP="00AD69C7">
            <w:pPr>
              <w:jc w:val="right"/>
              <w:rPr>
                <w:color w:val="1C283D"/>
                <w:sz w:val="16"/>
                <w:szCs w:val="16"/>
              </w:rPr>
            </w:pPr>
            <w:r w:rsidRPr="00005453">
              <w:rPr>
                <w:color w:val="1C283D"/>
                <w:sz w:val="16"/>
                <w:szCs w:val="16"/>
              </w:rPr>
              <w:t>-</w:t>
            </w:r>
          </w:p>
        </w:tc>
        <w:tc>
          <w:tcPr>
            <w:tcW w:w="1070" w:type="dxa"/>
            <w:tcBorders>
              <w:top w:val="nil"/>
              <w:left w:val="nil"/>
              <w:bottom w:val="nil"/>
              <w:right w:val="nil"/>
            </w:tcBorders>
            <w:shd w:val="clear" w:color="auto" w:fill="auto"/>
            <w:vAlign w:val="center"/>
            <w:hideMark/>
          </w:tcPr>
          <w:p w14:paraId="6A2D2EB8" w14:textId="77777777" w:rsidR="00AD69C7" w:rsidRPr="00005453" w:rsidRDefault="00AD69C7" w:rsidP="00AD69C7">
            <w:pPr>
              <w:jc w:val="right"/>
              <w:rPr>
                <w:color w:val="1C283D"/>
                <w:sz w:val="16"/>
                <w:szCs w:val="16"/>
              </w:rPr>
            </w:pPr>
            <w:r w:rsidRPr="00005453">
              <w:rPr>
                <w:color w:val="1C283D"/>
                <w:sz w:val="16"/>
                <w:szCs w:val="16"/>
              </w:rPr>
              <w:t>-</w:t>
            </w:r>
          </w:p>
        </w:tc>
      </w:tr>
      <w:tr w:rsidR="00AD69C7" w:rsidRPr="00005453" w14:paraId="7770DC22" w14:textId="77777777" w:rsidTr="00AD69C7">
        <w:trPr>
          <w:divId w:val="36854508"/>
          <w:trHeight w:val="193"/>
        </w:trPr>
        <w:tc>
          <w:tcPr>
            <w:tcW w:w="2929" w:type="dxa"/>
            <w:tcBorders>
              <w:top w:val="nil"/>
              <w:left w:val="nil"/>
              <w:bottom w:val="nil"/>
              <w:right w:val="nil"/>
            </w:tcBorders>
            <w:shd w:val="clear" w:color="auto" w:fill="auto"/>
            <w:vAlign w:val="center"/>
            <w:hideMark/>
          </w:tcPr>
          <w:p w14:paraId="0519508F" w14:textId="77777777" w:rsidR="00AD69C7" w:rsidRPr="00005453" w:rsidRDefault="00AD69C7" w:rsidP="00AD69C7">
            <w:pPr>
              <w:jc w:val="both"/>
              <w:rPr>
                <w:sz w:val="16"/>
                <w:szCs w:val="16"/>
                <w:lang w:eastAsia="tr-TR"/>
              </w:rPr>
            </w:pPr>
            <w:r w:rsidRPr="00005453">
              <w:rPr>
                <w:sz w:val="16"/>
                <w:szCs w:val="16"/>
                <w:lang w:eastAsia="tr-TR"/>
              </w:rPr>
              <w:t>Toplam Kar/(Zarar)</w:t>
            </w:r>
          </w:p>
        </w:tc>
        <w:tc>
          <w:tcPr>
            <w:tcW w:w="1020" w:type="dxa"/>
            <w:tcBorders>
              <w:top w:val="nil"/>
              <w:left w:val="nil"/>
              <w:bottom w:val="nil"/>
              <w:right w:val="nil"/>
            </w:tcBorders>
            <w:shd w:val="clear" w:color="auto" w:fill="auto"/>
            <w:vAlign w:val="center"/>
            <w:hideMark/>
          </w:tcPr>
          <w:p w14:paraId="373429C8" w14:textId="4FD409D2" w:rsidR="00AD69C7" w:rsidRPr="00005453" w:rsidRDefault="00AD69C7" w:rsidP="00AD69C7">
            <w:pPr>
              <w:jc w:val="right"/>
              <w:rPr>
                <w:color w:val="1C283D"/>
                <w:sz w:val="16"/>
                <w:szCs w:val="16"/>
              </w:rPr>
            </w:pPr>
            <w:r w:rsidRPr="00005453">
              <w:rPr>
                <w:color w:val="1C283D"/>
                <w:sz w:val="16"/>
                <w:szCs w:val="18"/>
              </w:rPr>
              <w:t>(80,368)</w:t>
            </w:r>
          </w:p>
        </w:tc>
        <w:tc>
          <w:tcPr>
            <w:tcW w:w="1037" w:type="dxa"/>
            <w:tcBorders>
              <w:top w:val="nil"/>
              <w:left w:val="nil"/>
              <w:bottom w:val="nil"/>
              <w:right w:val="nil"/>
            </w:tcBorders>
            <w:shd w:val="clear" w:color="auto" w:fill="auto"/>
            <w:vAlign w:val="center"/>
            <w:hideMark/>
          </w:tcPr>
          <w:p w14:paraId="6733C175" w14:textId="67E0A3DF" w:rsidR="00AD69C7" w:rsidRPr="00005453" w:rsidRDefault="00AD69C7" w:rsidP="00AD69C7">
            <w:pPr>
              <w:jc w:val="right"/>
              <w:rPr>
                <w:color w:val="1C283D"/>
                <w:sz w:val="16"/>
                <w:szCs w:val="16"/>
              </w:rPr>
            </w:pPr>
            <w:r w:rsidRPr="00005453">
              <w:rPr>
                <w:color w:val="1C283D"/>
                <w:sz w:val="16"/>
                <w:szCs w:val="16"/>
              </w:rPr>
              <w:t>(3,756)</w:t>
            </w:r>
          </w:p>
        </w:tc>
        <w:tc>
          <w:tcPr>
            <w:tcW w:w="1135" w:type="dxa"/>
            <w:tcBorders>
              <w:top w:val="nil"/>
              <w:left w:val="nil"/>
              <w:bottom w:val="nil"/>
              <w:right w:val="nil"/>
            </w:tcBorders>
            <w:shd w:val="clear" w:color="auto" w:fill="auto"/>
            <w:vAlign w:val="center"/>
            <w:hideMark/>
          </w:tcPr>
          <w:p w14:paraId="4791A39C" w14:textId="5F5AB9E4" w:rsidR="00AD69C7" w:rsidRPr="00005453" w:rsidRDefault="00AD69C7" w:rsidP="00AD69C7">
            <w:pPr>
              <w:jc w:val="right"/>
              <w:rPr>
                <w:color w:val="1C283D"/>
                <w:sz w:val="16"/>
                <w:szCs w:val="16"/>
              </w:rPr>
            </w:pPr>
            <w:r w:rsidRPr="00005453">
              <w:rPr>
                <w:color w:val="1C283D"/>
                <w:sz w:val="16"/>
                <w:szCs w:val="18"/>
              </w:rPr>
              <w:t>1,109</w:t>
            </w:r>
          </w:p>
        </w:tc>
        <w:tc>
          <w:tcPr>
            <w:tcW w:w="955" w:type="dxa"/>
            <w:tcBorders>
              <w:top w:val="nil"/>
              <w:left w:val="nil"/>
              <w:bottom w:val="nil"/>
              <w:right w:val="nil"/>
            </w:tcBorders>
            <w:shd w:val="clear" w:color="auto" w:fill="auto"/>
            <w:vAlign w:val="center"/>
            <w:hideMark/>
          </w:tcPr>
          <w:p w14:paraId="393E660C" w14:textId="71B81815" w:rsidR="00AD69C7" w:rsidRPr="00005453" w:rsidRDefault="00AD69C7" w:rsidP="00AD69C7">
            <w:pPr>
              <w:jc w:val="right"/>
              <w:rPr>
                <w:color w:val="1C283D"/>
                <w:sz w:val="16"/>
                <w:szCs w:val="16"/>
              </w:rPr>
            </w:pPr>
            <w:r w:rsidRPr="00005453">
              <w:rPr>
                <w:color w:val="1C283D"/>
                <w:sz w:val="16"/>
                <w:szCs w:val="16"/>
              </w:rPr>
              <w:t>15,624</w:t>
            </w:r>
          </w:p>
        </w:tc>
        <w:tc>
          <w:tcPr>
            <w:tcW w:w="1020" w:type="dxa"/>
            <w:tcBorders>
              <w:top w:val="nil"/>
              <w:left w:val="nil"/>
              <w:bottom w:val="nil"/>
              <w:right w:val="nil"/>
            </w:tcBorders>
            <w:shd w:val="clear" w:color="auto" w:fill="auto"/>
            <w:vAlign w:val="center"/>
            <w:hideMark/>
          </w:tcPr>
          <w:p w14:paraId="29DDB40D" w14:textId="77777777" w:rsidR="00AD69C7" w:rsidRPr="00005453" w:rsidRDefault="00AD69C7" w:rsidP="00AD69C7">
            <w:pPr>
              <w:jc w:val="right"/>
              <w:rPr>
                <w:color w:val="1C283D"/>
                <w:sz w:val="16"/>
                <w:szCs w:val="16"/>
              </w:rPr>
            </w:pPr>
            <w:r w:rsidRPr="00005453">
              <w:rPr>
                <w:color w:val="1C283D"/>
                <w:sz w:val="16"/>
                <w:szCs w:val="16"/>
              </w:rPr>
              <w:t>-</w:t>
            </w:r>
          </w:p>
        </w:tc>
        <w:tc>
          <w:tcPr>
            <w:tcW w:w="1070" w:type="dxa"/>
            <w:tcBorders>
              <w:top w:val="nil"/>
              <w:left w:val="nil"/>
              <w:bottom w:val="nil"/>
              <w:right w:val="nil"/>
            </w:tcBorders>
            <w:shd w:val="clear" w:color="auto" w:fill="auto"/>
            <w:vAlign w:val="center"/>
            <w:hideMark/>
          </w:tcPr>
          <w:p w14:paraId="39511A75" w14:textId="77777777" w:rsidR="00AD69C7" w:rsidRPr="00005453" w:rsidRDefault="00AD69C7" w:rsidP="00AD69C7">
            <w:pPr>
              <w:jc w:val="right"/>
              <w:rPr>
                <w:color w:val="1C283D"/>
                <w:sz w:val="16"/>
                <w:szCs w:val="16"/>
              </w:rPr>
            </w:pPr>
            <w:r w:rsidRPr="00005453">
              <w:rPr>
                <w:color w:val="1C283D"/>
                <w:sz w:val="16"/>
                <w:szCs w:val="16"/>
              </w:rPr>
              <w:t>-</w:t>
            </w:r>
          </w:p>
        </w:tc>
      </w:tr>
      <w:tr w:rsidR="00F46833" w:rsidRPr="00005453" w14:paraId="15A96B0E" w14:textId="77777777" w:rsidTr="00AD69C7">
        <w:trPr>
          <w:divId w:val="36854508"/>
          <w:trHeight w:val="193"/>
        </w:trPr>
        <w:tc>
          <w:tcPr>
            <w:tcW w:w="2929" w:type="dxa"/>
            <w:tcBorders>
              <w:top w:val="nil"/>
              <w:left w:val="nil"/>
              <w:bottom w:val="nil"/>
              <w:right w:val="nil"/>
            </w:tcBorders>
            <w:shd w:val="clear" w:color="auto" w:fill="auto"/>
            <w:vAlign w:val="center"/>
            <w:hideMark/>
          </w:tcPr>
          <w:p w14:paraId="3FB9F831" w14:textId="77777777" w:rsidR="00F46833" w:rsidRPr="00005453" w:rsidRDefault="00F46833" w:rsidP="00F46833">
            <w:pPr>
              <w:jc w:val="both"/>
              <w:rPr>
                <w:b/>
                <w:bCs/>
                <w:sz w:val="16"/>
                <w:szCs w:val="16"/>
                <w:lang w:eastAsia="tr-TR"/>
              </w:rPr>
            </w:pPr>
            <w:r w:rsidRPr="00005453">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C7342BF" w14:textId="77777777" w:rsidR="00F46833" w:rsidRPr="00005453" w:rsidRDefault="00F46833" w:rsidP="00AD69C7">
            <w:pPr>
              <w:jc w:val="right"/>
              <w:rPr>
                <w:color w:val="1C283D"/>
                <w:sz w:val="16"/>
                <w:szCs w:val="16"/>
              </w:rPr>
            </w:pPr>
            <w:r w:rsidRPr="00005453">
              <w:rPr>
                <w:color w:val="1C283D"/>
                <w:sz w:val="16"/>
                <w:szCs w:val="16"/>
              </w:rPr>
              <w:t>-</w:t>
            </w:r>
          </w:p>
        </w:tc>
        <w:tc>
          <w:tcPr>
            <w:tcW w:w="1037" w:type="dxa"/>
            <w:tcBorders>
              <w:top w:val="nil"/>
              <w:left w:val="nil"/>
              <w:bottom w:val="nil"/>
              <w:right w:val="nil"/>
            </w:tcBorders>
            <w:shd w:val="clear" w:color="auto" w:fill="auto"/>
            <w:vAlign w:val="center"/>
            <w:hideMark/>
          </w:tcPr>
          <w:p w14:paraId="4CD47626" w14:textId="6B81B87F" w:rsidR="00F46833" w:rsidRPr="00005453" w:rsidRDefault="00F46833" w:rsidP="00AD69C7">
            <w:pPr>
              <w:jc w:val="right"/>
              <w:rPr>
                <w:color w:val="1C283D"/>
                <w:sz w:val="16"/>
                <w:szCs w:val="16"/>
              </w:rPr>
            </w:pPr>
            <w:r w:rsidRPr="00005453">
              <w:rPr>
                <w:color w:val="1C283D"/>
                <w:sz w:val="16"/>
                <w:szCs w:val="16"/>
              </w:rPr>
              <w:t>-</w:t>
            </w:r>
          </w:p>
        </w:tc>
        <w:tc>
          <w:tcPr>
            <w:tcW w:w="1135" w:type="dxa"/>
            <w:tcBorders>
              <w:top w:val="nil"/>
              <w:left w:val="nil"/>
              <w:bottom w:val="nil"/>
              <w:right w:val="nil"/>
            </w:tcBorders>
            <w:shd w:val="clear" w:color="auto" w:fill="auto"/>
            <w:vAlign w:val="center"/>
            <w:hideMark/>
          </w:tcPr>
          <w:p w14:paraId="0DC564B4" w14:textId="77777777" w:rsidR="00F46833" w:rsidRPr="00005453" w:rsidRDefault="00F46833" w:rsidP="00AD69C7">
            <w:pPr>
              <w:jc w:val="right"/>
              <w:rPr>
                <w:color w:val="1C283D"/>
                <w:sz w:val="16"/>
                <w:szCs w:val="16"/>
              </w:rPr>
            </w:pPr>
            <w:r w:rsidRPr="00005453">
              <w:rPr>
                <w:color w:val="1C283D"/>
                <w:sz w:val="16"/>
                <w:szCs w:val="16"/>
              </w:rPr>
              <w:t>-</w:t>
            </w:r>
          </w:p>
        </w:tc>
        <w:tc>
          <w:tcPr>
            <w:tcW w:w="955" w:type="dxa"/>
            <w:tcBorders>
              <w:top w:val="nil"/>
              <w:left w:val="nil"/>
              <w:bottom w:val="nil"/>
              <w:right w:val="nil"/>
            </w:tcBorders>
            <w:shd w:val="clear" w:color="auto" w:fill="auto"/>
            <w:vAlign w:val="center"/>
            <w:hideMark/>
          </w:tcPr>
          <w:p w14:paraId="68B4F926" w14:textId="293883B8" w:rsidR="00F46833" w:rsidRPr="00005453" w:rsidRDefault="00F46833" w:rsidP="00AD69C7">
            <w:pPr>
              <w:jc w:val="right"/>
              <w:rPr>
                <w:color w:val="1C283D"/>
                <w:sz w:val="16"/>
                <w:szCs w:val="16"/>
              </w:rPr>
            </w:pPr>
            <w:r w:rsidRPr="00005453">
              <w:rPr>
                <w:color w:val="1C283D"/>
                <w:sz w:val="16"/>
                <w:szCs w:val="16"/>
              </w:rPr>
              <w:t>-</w:t>
            </w:r>
          </w:p>
        </w:tc>
        <w:tc>
          <w:tcPr>
            <w:tcW w:w="1020" w:type="dxa"/>
            <w:tcBorders>
              <w:top w:val="nil"/>
              <w:left w:val="nil"/>
              <w:bottom w:val="nil"/>
              <w:right w:val="nil"/>
            </w:tcBorders>
            <w:shd w:val="clear" w:color="auto" w:fill="auto"/>
            <w:vAlign w:val="center"/>
            <w:hideMark/>
          </w:tcPr>
          <w:p w14:paraId="01C703A5" w14:textId="77777777" w:rsidR="00F46833" w:rsidRPr="00005453" w:rsidRDefault="00F46833" w:rsidP="00AD69C7">
            <w:pPr>
              <w:jc w:val="right"/>
              <w:rPr>
                <w:color w:val="1C283D"/>
                <w:sz w:val="16"/>
                <w:szCs w:val="16"/>
              </w:rPr>
            </w:pPr>
            <w:r w:rsidRPr="00005453">
              <w:rPr>
                <w:color w:val="1C283D"/>
                <w:sz w:val="16"/>
                <w:szCs w:val="16"/>
              </w:rPr>
              <w:t>-</w:t>
            </w:r>
          </w:p>
        </w:tc>
        <w:tc>
          <w:tcPr>
            <w:tcW w:w="1070" w:type="dxa"/>
            <w:tcBorders>
              <w:top w:val="nil"/>
              <w:left w:val="nil"/>
              <w:bottom w:val="nil"/>
              <w:right w:val="nil"/>
            </w:tcBorders>
            <w:shd w:val="clear" w:color="auto" w:fill="auto"/>
            <w:vAlign w:val="center"/>
            <w:hideMark/>
          </w:tcPr>
          <w:p w14:paraId="4AE38671" w14:textId="77777777" w:rsidR="00F46833" w:rsidRPr="00005453" w:rsidRDefault="00F46833" w:rsidP="00AD69C7">
            <w:pPr>
              <w:jc w:val="right"/>
              <w:rPr>
                <w:color w:val="1C283D"/>
                <w:sz w:val="16"/>
                <w:szCs w:val="16"/>
              </w:rPr>
            </w:pPr>
            <w:r w:rsidRPr="00005453">
              <w:rPr>
                <w:color w:val="1C283D"/>
                <w:sz w:val="16"/>
                <w:szCs w:val="16"/>
              </w:rPr>
              <w:t>-</w:t>
            </w:r>
          </w:p>
        </w:tc>
      </w:tr>
      <w:tr w:rsidR="00F46833" w:rsidRPr="00005453" w14:paraId="75A97526" w14:textId="77777777" w:rsidTr="00AD69C7">
        <w:trPr>
          <w:divId w:val="36854508"/>
          <w:trHeight w:val="193"/>
        </w:trPr>
        <w:tc>
          <w:tcPr>
            <w:tcW w:w="2929" w:type="dxa"/>
            <w:tcBorders>
              <w:top w:val="nil"/>
              <w:left w:val="nil"/>
              <w:bottom w:val="nil"/>
              <w:right w:val="nil"/>
            </w:tcBorders>
            <w:shd w:val="clear" w:color="auto" w:fill="auto"/>
            <w:vAlign w:val="center"/>
            <w:hideMark/>
          </w:tcPr>
          <w:p w14:paraId="1F7CC5F0" w14:textId="77777777" w:rsidR="00F46833" w:rsidRPr="00005453" w:rsidRDefault="00F46833" w:rsidP="00F46833">
            <w:pPr>
              <w:jc w:val="both"/>
              <w:rPr>
                <w:sz w:val="16"/>
                <w:szCs w:val="16"/>
                <w:lang w:eastAsia="tr-TR"/>
              </w:rPr>
            </w:pPr>
            <w:r w:rsidRPr="00005453">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10C25777" w14:textId="77777777" w:rsidR="00F46833" w:rsidRPr="00005453" w:rsidRDefault="00F46833" w:rsidP="00AD69C7">
            <w:pPr>
              <w:jc w:val="right"/>
              <w:rPr>
                <w:color w:val="1C283D"/>
                <w:sz w:val="16"/>
                <w:szCs w:val="16"/>
              </w:rPr>
            </w:pPr>
            <w:r w:rsidRPr="00005453">
              <w:rPr>
                <w:color w:val="1C283D"/>
                <w:sz w:val="16"/>
                <w:szCs w:val="16"/>
              </w:rPr>
              <w:t>-</w:t>
            </w:r>
          </w:p>
        </w:tc>
        <w:tc>
          <w:tcPr>
            <w:tcW w:w="1037" w:type="dxa"/>
            <w:tcBorders>
              <w:top w:val="nil"/>
              <w:left w:val="nil"/>
              <w:bottom w:val="nil"/>
              <w:right w:val="nil"/>
            </w:tcBorders>
            <w:shd w:val="clear" w:color="auto" w:fill="auto"/>
            <w:vAlign w:val="center"/>
            <w:hideMark/>
          </w:tcPr>
          <w:p w14:paraId="0AA22A74" w14:textId="283D2DCB" w:rsidR="00F46833" w:rsidRPr="00005453" w:rsidRDefault="00F46833" w:rsidP="00AD69C7">
            <w:pPr>
              <w:jc w:val="right"/>
              <w:rPr>
                <w:color w:val="1C283D"/>
                <w:sz w:val="16"/>
                <w:szCs w:val="16"/>
              </w:rPr>
            </w:pPr>
            <w:r w:rsidRPr="00005453">
              <w:rPr>
                <w:color w:val="1C283D"/>
                <w:sz w:val="16"/>
                <w:szCs w:val="16"/>
              </w:rPr>
              <w:t>-</w:t>
            </w:r>
          </w:p>
        </w:tc>
        <w:tc>
          <w:tcPr>
            <w:tcW w:w="1135" w:type="dxa"/>
            <w:tcBorders>
              <w:top w:val="nil"/>
              <w:left w:val="nil"/>
              <w:bottom w:val="nil"/>
              <w:right w:val="nil"/>
            </w:tcBorders>
            <w:shd w:val="clear" w:color="auto" w:fill="auto"/>
            <w:vAlign w:val="center"/>
            <w:hideMark/>
          </w:tcPr>
          <w:p w14:paraId="0A435CCA" w14:textId="77777777" w:rsidR="00F46833" w:rsidRPr="00005453" w:rsidRDefault="00F46833" w:rsidP="00AD69C7">
            <w:pPr>
              <w:jc w:val="right"/>
              <w:rPr>
                <w:color w:val="1C283D"/>
                <w:sz w:val="16"/>
                <w:szCs w:val="16"/>
              </w:rPr>
            </w:pPr>
            <w:r w:rsidRPr="00005453">
              <w:rPr>
                <w:color w:val="1C283D"/>
                <w:sz w:val="16"/>
                <w:szCs w:val="16"/>
              </w:rPr>
              <w:t>-</w:t>
            </w:r>
          </w:p>
        </w:tc>
        <w:tc>
          <w:tcPr>
            <w:tcW w:w="955" w:type="dxa"/>
            <w:tcBorders>
              <w:top w:val="nil"/>
              <w:left w:val="nil"/>
              <w:bottom w:val="nil"/>
              <w:right w:val="nil"/>
            </w:tcBorders>
            <w:shd w:val="clear" w:color="auto" w:fill="auto"/>
            <w:vAlign w:val="center"/>
            <w:hideMark/>
          </w:tcPr>
          <w:p w14:paraId="554B7125" w14:textId="477C15B8" w:rsidR="00F46833" w:rsidRPr="00005453" w:rsidRDefault="00F46833" w:rsidP="00AD69C7">
            <w:pPr>
              <w:jc w:val="right"/>
              <w:rPr>
                <w:color w:val="1C283D"/>
                <w:sz w:val="16"/>
                <w:szCs w:val="16"/>
              </w:rPr>
            </w:pPr>
            <w:r w:rsidRPr="00005453">
              <w:rPr>
                <w:color w:val="1C283D"/>
                <w:sz w:val="16"/>
                <w:szCs w:val="16"/>
              </w:rPr>
              <w:t>-</w:t>
            </w:r>
          </w:p>
        </w:tc>
        <w:tc>
          <w:tcPr>
            <w:tcW w:w="1020" w:type="dxa"/>
            <w:tcBorders>
              <w:top w:val="nil"/>
              <w:left w:val="nil"/>
              <w:bottom w:val="nil"/>
              <w:right w:val="nil"/>
            </w:tcBorders>
            <w:shd w:val="clear" w:color="auto" w:fill="auto"/>
            <w:vAlign w:val="center"/>
            <w:hideMark/>
          </w:tcPr>
          <w:p w14:paraId="4A408862" w14:textId="77777777" w:rsidR="00F46833" w:rsidRPr="00005453" w:rsidRDefault="00F46833" w:rsidP="00AD69C7">
            <w:pPr>
              <w:jc w:val="right"/>
              <w:rPr>
                <w:color w:val="1C283D"/>
                <w:sz w:val="16"/>
                <w:szCs w:val="16"/>
              </w:rPr>
            </w:pPr>
            <w:r w:rsidRPr="00005453">
              <w:rPr>
                <w:color w:val="1C283D"/>
                <w:sz w:val="16"/>
                <w:szCs w:val="16"/>
              </w:rPr>
              <w:t>-</w:t>
            </w:r>
          </w:p>
        </w:tc>
        <w:tc>
          <w:tcPr>
            <w:tcW w:w="1070" w:type="dxa"/>
            <w:tcBorders>
              <w:top w:val="nil"/>
              <w:left w:val="nil"/>
              <w:bottom w:val="nil"/>
              <w:right w:val="nil"/>
            </w:tcBorders>
            <w:shd w:val="clear" w:color="auto" w:fill="auto"/>
            <w:vAlign w:val="center"/>
            <w:hideMark/>
          </w:tcPr>
          <w:p w14:paraId="28BCFFAE" w14:textId="77777777" w:rsidR="00F46833" w:rsidRPr="00005453" w:rsidRDefault="00F46833" w:rsidP="00AD69C7">
            <w:pPr>
              <w:jc w:val="right"/>
              <w:rPr>
                <w:color w:val="1C283D"/>
                <w:sz w:val="16"/>
                <w:szCs w:val="16"/>
              </w:rPr>
            </w:pPr>
            <w:r w:rsidRPr="00005453">
              <w:rPr>
                <w:color w:val="1C283D"/>
                <w:sz w:val="16"/>
                <w:szCs w:val="16"/>
              </w:rPr>
              <w:t>-</w:t>
            </w:r>
          </w:p>
        </w:tc>
      </w:tr>
      <w:tr w:rsidR="00F46833" w:rsidRPr="00005453" w14:paraId="744E6228" w14:textId="77777777" w:rsidTr="00AD69C7">
        <w:trPr>
          <w:divId w:val="36854508"/>
          <w:trHeight w:val="193"/>
        </w:trPr>
        <w:tc>
          <w:tcPr>
            <w:tcW w:w="2929" w:type="dxa"/>
            <w:tcBorders>
              <w:top w:val="nil"/>
              <w:left w:val="nil"/>
              <w:bottom w:val="nil"/>
              <w:right w:val="nil"/>
            </w:tcBorders>
            <w:shd w:val="clear" w:color="auto" w:fill="auto"/>
            <w:vAlign w:val="center"/>
            <w:hideMark/>
          </w:tcPr>
          <w:p w14:paraId="010022D4" w14:textId="77777777" w:rsidR="00F46833" w:rsidRPr="00005453" w:rsidRDefault="00F46833" w:rsidP="00F46833">
            <w:pPr>
              <w:jc w:val="both"/>
              <w:rPr>
                <w:sz w:val="16"/>
                <w:szCs w:val="16"/>
                <w:lang w:eastAsia="tr-TR"/>
              </w:rPr>
            </w:pPr>
            <w:r w:rsidRPr="00005453">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7D44C168" w14:textId="77777777" w:rsidR="00F46833" w:rsidRPr="00005453" w:rsidRDefault="00F46833" w:rsidP="00AD69C7">
            <w:pPr>
              <w:jc w:val="right"/>
              <w:rPr>
                <w:color w:val="1C283D"/>
                <w:sz w:val="16"/>
                <w:szCs w:val="16"/>
              </w:rPr>
            </w:pPr>
            <w:r w:rsidRPr="00005453">
              <w:rPr>
                <w:color w:val="1C283D"/>
                <w:sz w:val="16"/>
                <w:szCs w:val="16"/>
              </w:rPr>
              <w:t>-</w:t>
            </w:r>
          </w:p>
        </w:tc>
        <w:tc>
          <w:tcPr>
            <w:tcW w:w="1037" w:type="dxa"/>
            <w:tcBorders>
              <w:top w:val="nil"/>
              <w:left w:val="nil"/>
              <w:bottom w:val="nil"/>
              <w:right w:val="nil"/>
            </w:tcBorders>
            <w:shd w:val="clear" w:color="auto" w:fill="auto"/>
            <w:vAlign w:val="center"/>
            <w:hideMark/>
          </w:tcPr>
          <w:p w14:paraId="51BC9AEF" w14:textId="35F9D01D" w:rsidR="00F46833" w:rsidRPr="00005453" w:rsidRDefault="00F46833" w:rsidP="00AD69C7">
            <w:pPr>
              <w:jc w:val="right"/>
              <w:rPr>
                <w:color w:val="1C283D"/>
                <w:sz w:val="16"/>
                <w:szCs w:val="16"/>
              </w:rPr>
            </w:pPr>
            <w:r w:rsidRPr="00005453">
              <w:rPr>
                <w:color w:val="1C283D"/>
                <w:sz w:val="16"/>
                <w:szCs w:val="16"/>
              </w:rPr>
              <w:t>-</w:t>
            </w:r>
          </w:p>
        </w:tc>
        <w:tc>
          <w:tcPr>
            <w:tcW w:w="1135" w:type="dxa"/>
            <w:tcBorders>
              <w:top w:val="nil"/>
              <w:left w:val="nil"/>
              <w:bottom w:val="nil"/>
              <w:right w:val="nil"/>
            </w:tcBorders>
            <w:shd w:val="clear" w:color="auto" w:fill="auto"/>
            <w:vAlign w:val="center"/>
            <w:hideMark/>
          </w:tcPr>
          <w:p w14:paraId="4B909445" w14:textId="77777777" w:rsidR="00F46833" w:rsidRPr="00005453" w:rsidRDefault="00F46833" w:rsidP="00AD69C7">
            <w:pPr>
              <w:jc w:val="right"/>
              <w:rPr>
                <w:color w:val="1C283D"/>
                <w:sz w:val="16"/>
                <w:szCs w:val="16"/>
              </w:rPr>
            </w:pPr>
            <w:r w:rsidRPr="00005453">
              <w:rPr>
                <w:color w:val="1C283D"/>
                <w:sz w:val="16"/>
                <w:szCs w:val="16"/>
              </w:rPr>
              <w:t>-</w:t>
            </w:r>
          </w:p>
        </w:tc>
        <w:tc>
          <w:tcPr>
            <w:tcW w:w="955" w:type="dxa"/>
            <w:tcBorders>
              <w:top w:val="nil"/>
              <w:left w:val="nil"/>
              <w:bottom w:val="nil"/>
              <w:right w:val="nil"/>
            </w:tcBorders>
            <w:shd w:val="clear" w:color="auto" w:fill="auto"/>
            <w:vAlign w:val="center"/>
            <w:hideMark/>
          </w:tcPr>
          <w:p w14:paraId="049505EB" w14:textId="5E505551" w:rsidR="00F46833" w:rsidRPr="00005453" w:rsidRDefault="00F46833" w:rsidP="00AD69C7">
            <w:pPr>
              <w:jc w:val="right"/>
              <w:rPr>
                <w:color w:val="1C283D"/>
                <w:sz w:val="16"/>
                <w:szCs w:val="16"/>
              </w:rPr>
            </w:pPr>
            <w:r w:rsidRPr="00005453">
              <w:rPr>
                <w:color w:val="1C283D"/>
                <w:sz w:val="16"/>
                <w:szCs w:val="16"/>
              </w:rPr>
              <w:t>-</w:t>
            </w:r>
          </w:p>
        </w:tc>
        <w:tc>
          <w:tcPr>
            <w:tcW w:w="1020" w:type="dxa"/>
            <w:tcBorders>
              <w:top w:val="nil"/>
              <w:left w:val="nil"/>
              <w:bottom w:val="nil"/>
              <w:right w:val="nil"/>
            </w:tcBorders>
            <w:shd w:val="clear" w:color="auto" w:fill="auto"/>
            <w:vAlign w:val="center"/>
            <w:hideMark/>
          </w:tcPr>
          <w:p w14:paraId="6410BC98" w14:textId="77777777" w:rsidR="00F46833" w:rsidRPr="00005453" w:rsidRDefault="00F46833" w:rsidP="00AD69C7">
            <w:pPr>
              <w:jc w:val="right"/>
              <w:rPr>
                <w:color w:val="1C283D"/>
                <w:sz w:val="16"/>
                <w:szCs w:val="16"/>
              </w:rPr>
            </w:pPr>
            <w:r w:rsidRPr="00005453">
              <w:rPr>
                <w:color w:val="1C283D"/>
                <w:sz w:val="16"/>
                <w:szCs w:val="16"/>
              </w:rPr>
              <w:t>-</w:t>
            </w:r>
          </w:p>
        </w:tc>
        <w:tc>
          <w:tcPr>
            <w:tcW w:w="1070" w:type="dxa"/>
            <w:tcBorders>
              <w:top w:val="nil"/>
              <w:left w:val="nil"/>
              <w:bottom w:val="nil"/>
              <w:right w:val="nil"/>
            </w:tcBorders>
            <w:shd w:val="clear" w:color="auto" w:fill="auto"/>
            <w:vAlign w:val="center"/>
            <w:hideMark/>
          </w:tcPr>
          <w:p w14:paraId="71200435" w14:textId="77777777" w:rsidR="00F46833" w:rsidRPr="00005453" w:rsidRDefault="00F46833" w:rsidP="00AD69C7">
            <w:pPr>
              <w:jc w:val="right"/>
              <w:rPr>
                <w:color w:val="1C283D"/>
                <w:sz w:val="16"/>
                <w:szCs w:val="16"/>
              </w:rPr>
            </w:pPr>
            <w:r w:rsidRPr="00005453">
              <w:rPr>
                <w:color w:val="1C283D"/>
                <w:sz w:val="16"/>
                <w:szCs w:val="16"/>
              </w:rPr>
              <w:t>-</w:t>
            </w:r>
          </w:p>
        </w:tc>
      </w:tr>
      <w:tr w:rsidR="00F46833" w:rsidRPr="00005453" w14:paraId="08337BE4" w14:textId="77777777" w:rsidTr="00AD69C7">
        <w:trPr>
          <w:divId w:val="36854508"/>
          <w:trHeight w:val="206"/>
        </w:trPr>
        <w:tc>
          <w:tcPr>
            <w:tcW w:w="2929" w:type="dxa"/>
            <w:tcBorders>
              <w:top w:val="nil"/>
              <w:left w:val="nil"/>
              <w:bottom w:val="double" w:sz="6" w:space="0" w:color="auto"/>
              <w:right w:val="nil"/>
            </w:tcBorders>
            <w:shd w:val="clear" w:color="auto" w:fill="auto"/>
            <w:vAlign w:val="center"/>
            <w:hideMark/>
          </w:tcPr>
          <w:p w14:paraId="7E1890F0" w14:textId="77777777" w:rsidR="00F46833" w:rsidRPr="00005453" w:rsidRDefault="00F46833" w:rsidP="00F46833">
            <w:pPr>
              <w:jc w:val="both"/>
              <w:rPr>
                <w:sz w:val="16"/>
                <w:szCs w:val="16"/>
                <w:lang w:eastAsia="tr-TR"/>
              </w:rPr>
            </w:pPr>
            <w:r w:rsidRPr="00005453">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0F7D437F" w14:textId="77777777" w:rsidR="00F46833" w:rsidRPr="00005453" w:rsidRDefault="00F46833" w:rsidP="00AD69C7">
            <w:pPr>
              <w:jc w:val="right"/>
              <w:rPr>
                <w:color w:val="1C283D"/>
                <w:sz w:val="16"/>
                <w:szCs w:val="16"/>
              </w:rPr>
            </w:pPr>
            <w:r w:rsidRPr="00005453">
              <w:rPr>
                <w:color w:val="1C283D"/>
                <w:sz w:val="16"/>
                <w:szCs w:val="16"/>
              </w:rPr>
              <w:t>-</w:t>
            </w:r>
          </w:p>
        </w:tc>
        <w:tc>
          <w:tcPr>
            <w:tcW w:w="1037" w:type="dxa"/>
            <w:tcBorders>
              <w:top w:val="nil"/>
              <w:left w:val="nil"/>
              <w:bottom w:val="double" w:sz="6" w:space="0" w:color="auto"/>
              <w:right w:val="nil"/>
            </w:tcBorders>
            <w:shd w:val="clear" w:color="auto" w:fill="auto"/>
            <w:vAlign w:val="center"/>
            <w:hideMark/>
          </w:tcPr>
          <w:p w14:paraId="53931FCD" w14:textId="7A477367" w:rsidR="00F46833" w:rsidRPr="00005453" w:rsidRDefault="00F46833" w:rsidP="00AD69C7">
            <w:pPr>
              <w:jc w:val="right"/>
              <w:rPr>
                <w:color w:val="1C283D"/>
                <w:sz w:val="16"/>
                <w:szCs w:val="16"/>
              </w:rPr>
            </w:pPr>
            <w:r w:rsidRPr="00005453">
              <w:rPr>
                <w:color w:val="1C283D"/>
                <w:sz w:val="16"/>
                <w:szCs w:val="16"/>
              </w:rPr>
              <w:t>-</w:t>
            </w:r>
          </w:p>
        </w:tc>
        <w:tc>
          <w:tcPr>
            <w:tcW w:w="1135" w:type="dxa"/>
            <w:tcBorders>
              <w:top w:val="nil"/>
              <w:left w:val="nil"/>
              <w:bottom w:val="double" w:sz="6" w:space="0" w:color="auto"/>
              <w:right w:val="nil"/>
            </w:tcBorders>
            <w:shd w:val="clear" w:color="auto" w:fill="auto"/>
            <w:vAlign w:val="center"/>
            <w:hideMark/>
          </w:tcPr>
          <w:p w14:paraId="4E37CBF2" w14:textId="77777777" w:rsidR="00F46833" w:rsidRPr="00005453" w:rsidRDefault="00F46833" w:rsidP="00AD69C7">
            <w:pPr>
              <w:jc w:val="right"/>
              <w:rPr>
                <w:color w:val="1C283D"/>
                <w:sz w:val="16"/>
                <w:szCs w:val="16"/>
              </w:rPr>
            </w:pPr>
            <w:r w:rsidRPr="00005453">
              <w:rPr>
                <w:color w:val="1C283D"/>
                <w:sz w:val="16"/>
                <w:szCs w:val="16"/>
              </w:rPr>
              <w:t>-</w:t>
            </w:r>
          </w:p>
        </w:tc>
        <w:tc>
          <w:tcPr>
            <w:tcW w:w="955" w:type="dxa"/>
            <w:tcBorders>
              <w:top w:val="nil"/>
              <w:left w:val="nil"/>
              <w:bottom w:val="double" w:sz="6" w:space="0" w:color="auto"/>
              <w:right w:val="nil"/>
            </w:tcBorders>
            <w:shd w:val="clear" w:color="auto" w:fill="auto"/>
            <w:vAlign w:val="center"/>
            <w:hideMark/>
          </w:tcPr>
          <w:p w14:paraId="4D97DFE6" w14:textId="70899CFE" w:rsidR="00F46833" w:rsidRPr="00005453" w:rsidRDefault="00F46833" w:rsidP="00AD69C7">
            <w:pPr>
              <w:jc w:val="right"/>
              <w:rPr>
                <w:color w:val="1C283D"/>
                <w:sz w:val="16"/>
                <w:szCs w:val="16"/>
              </w:rPr>
            </w:pPr>
            <w:r w:rsidRPr="00005453">
              <w:rPr>
                <w:color w:val="1C283D"/>
                <w:sz w:val="16"/>
                <w:szCs w:val="16"/>
              </w:rPr>
              <w:t>-</w:t>
            </w:r>
          </w:p>
        </w:tc>
        <w:tc>
          <w:tcPr>
            <w:tcW w:w="1020" w:type="dxa"/>
            <w:tcBorders>
              <w:top w:val="nil"/>
              <w:left w:val="nil"/>
              <w:bottom w:val="double" w:sz="6" w:space="0" w:color="auto"/>
              <w:right w:val="nil"/>
            </w:tcBorders>
            <w:shd w:val="clear" w:color="auto" w:fill="auto"/>
            <w:vAlign w:val="center"/>
            <w:hideMark/>
          </w:tcPr>
          <w:p w14:paraId="5675645A" w14:textId="77777777" w:rsidR="00F46833" w:rsidRPr="00005453" w:rsidRDefault="00F46833" w:rsidP="00AD69C7">
            <w:pPr>
              <w:jc w:val="right"/>
              <w:rPr>
                <w:color w:val="1C283D"/>
                <w:sz w:val="16"/>
                <w:szCs w:val="16"/>
              </w:rPr>
            </w:pPr>
            <w:r w:rsidRPr="00005453">
              <w:rPr>
                <w:color w:val="1C283D"/>
                <w:sz w:val="16"/>
                <w:szCs w:val="16"/>
              </w:rPr>
              <w:t>-</w:t>
            </w:r>
          </w:p>
        </w:tc>
        <w:tc>
          <w:tcPr>
            <w:tcW w:w="1070" w:type="dxa"/>
            <w:tcBorders>
              <w:top w:val="nil"/>
              <w:left w:val="nil"/>
              <w:bottom w:val="double" w:sz="6" w:space="0" w:color="auto"/>
              <w:right w:val="nil"/>
            </w:tcBorders>
            <w:shd w:val="clear" w:color="auto" w:fill="auto"/>
            <w:vAlign w:val="center"/>
            <w:hideMark/>
          </w:tcPr>
          <w:p w14:paraId="7097BCD0" w14:textId="77777777" w:rsidR="00F46833" w:rsidRPr="00005453" w:rsidRDefault="00F46833" w:rsidP="00AD69C7">
            <w:pPr>
              <w:jc w:val="right"/>
              <w:rPr>
                <w:color w:val="1C283D"/>
                <w:sz w:val="16"/>
                <w:szCs w:val="16"/>
              </w:rPr>
            </w:pPr>
            <w:r w:rsidRPr="00005453">
              <w:rPr>
                <w:color w:val="1C283D"/>
                <w:sz w:val="16"/>
                <w:szCs w:val="16"/>
              </w:rPr>
              <w:t>-</w:t>
            </w:r>
          </w:p>
        </w:tc>
      </w:tr>
    </w:tbl>
    <w:p w14:paraId="10615F2B" w14:textId="786ACC2A" w:rsidR="00220D06" w:rsidRPr="00005453" w:rsidRDefault="00220D06" w:rsidP="00220D06">
      <w:pPr>
        <w:tabs>
          <w:tab w:val="left" w:pos="709"/>
        </w:tabs>
        <w:rPr>
          <w:sz w:val="6"/>
          <w:szCs w:val="6"/>
        </w:rPr>
      </w:pPr>
    </w:p>
    <w:p w14:paraId="764B7AC7" w14:textId="77777777" w:rsidR="00154A54" w:rsidRPr="00005453" w:rsidRDefault="00154A54"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005453">
        <w:rPr>
          <w:rFonts w:eastAsia="Times New Roman"/>
          <w:sz w:val="16"/>
          <w:szCs w:val="16"/>
        </w:rPr>
        <w:t>(*)    5411 Sayılı Bankacılık Kanunu’nun 49’uncu maddesinin 2’nci fıkrasında tanımlanmıştır.</w:t>
      </w:r>
    </w:p>
    <w:p w14:paraId="2A15F8A2" w14:textId="184B33D3" w:rsidR="00496EBF" w:rsidRPr="00005453" w:rsidRDefault="00496EBF" w:rsidP="000F6B75">
      <w:pPr>
        <w:tabs>
          <w:tab w:val="left" w:pos="709"/>
        </w:tabs>
        <w:rPr>
          <w:sz w:val="12"/>
        </w:rPr>
      </w:pPr>
    </w:p>
    <w:p w14:paraId="27F02510" w14:textId="5CC99B25" w:rsidR="001E1941" w:rsidRPr="00005453" w:rsidRDefault="0030639E" w:rsidP="001E1941">
      <w:pPr>
        <w:tabs>
          <w:tab w:val="left" w:pos="709"/>
        </w:tabs>
        <w:ind w:hanging="567"/>
        <w:rPr>
          <w:b/>
          <w:bCs/>
          <w:iCs/>
        </w:rPr>
      </w:pPr>
      <w:r w:rsidRPr="00005453">
        <w:rPr>
          <w:b/>
          <w:iCs/>
        </w:rPr>
        <w:t>7</w:t>
      </w:r>
      <w:r w:rsidR="001E1941" w:rsidRPr="00005453">
        <w:rPr>
          <w:b/>
          <w:iCs/>
        </w:rPr>
        <w:t>.4</w:t>
      </w:r>
      <w:r w:rsidR="001E1941" w:rsidRPr="00005453">
        <w:rPr>
          <w:b/>
          <w:iCs/>
        </w:rPr>
        <w:tab/>
      </w:r>
      <w:r w:rsidR="001E1941" w:rsidRPr="00005453">
        <w:rPr>
          <w:b/>
        </w:rPr>
        <w:t>Banka’nın dahil olduğu risk grubundan alınan kredilere ilişkin bilgiler</w:t>
      </w:r>
    </w:p>
    <w:p w14:paraId="1FEE4E83" w14:textId="3824D777" w:rsidR="00154A54" w:rsidRPr="00005453" w:rsidRDefault="00154A54" w:rsidP="00553A47">
      <w:pPr>
        <w:autoSpaceDE w:val="0"/>
        <w:autoSpaceDN w:val="0"/>
        <w:adjustRightInd w:val="0"/>
        <w:rPr>
          <w:lang w:eastAsia="en-GB"/>
        </w:rPr>
      </w:pPr>
    </w:p>
    <w:tbl>
      <w:tblPr>
        <w:tblW w:w="9149" w:type="dxa"/>
        <w:tblCellMar>
          <w:left w:w="70" w:type="dxa"/>
          <w:right w:w="70" w:type="dxa"/>
        </w:tblCellMar>
        <w:tblLook w:val="04A0" w:firstRow="1" w:lastRow="0" w:firstColumn="1" w:lastColumn="0" w:noHBand="0" w:noVBand="1"/>
      </w:tblPr>
      <w:tblGrid>
        <w:gridCol w:w="2924"/>
        <w:gridCol w:w="1018"/>
        <w:gridCol w:w="1035"/>
        <w:gridCol w:w="1133"/>
        <w:gridCol w:w="953"/>
        <w:gridCol w:w="1018"/>
        <w:gridCol w:w="1068"/>
      </w:tblGrid>
      <w:tr w:rsidR="00154A54" w:rsidRPr="00005453" w14:paraId="5B971F7E" w14:textId="77777777" w:rsidTr="00614CD2">
        <w:trPr>
          <w:divId w:val="1840584392"/>
          <w:trHeight w:val="504"/>
        </w:trPr>
        <w:tc>
          <w:tcPr>
            <w:tcW w:w="2924" w:type="dxa"/>
            <w:tcBorders>
              <w:top w:val="double" w:sz="4" w:space="0" w:color="auto"/>
              <w:left w:val="nil"/>
              <w:bottom w:val="nil"/>
              <w:right w:val="nil"/>
            </w:tcBorders>
            <w:shd w:val="clear" w:color="auto" w:fill="auto"/>
            <w:vAlign w:val="center"/>
            <w:hideMark/>
          </w:tcPr>
          <w:p w14:paraId="15F9A17C" w14:textId="7441EB57" w:rsidR="00154A54" w:rsidRPr="00005453" w:rsidRDefault="00154A54" w:rsidP="00154A54">
            <w:pPr>
              <w:jc w:val="both"/>
              <w:rPr>
                <w:b/>
                <w:bCs/>
                <w:sz w:val="16"/>
                <w:szCs w:val="16"/>
                <w:lang w:eastAsia="tr-TR"/>
              </w:rPr>
            </w:pPr>
            <w:r w:rsidRPr="00005453">
              <w:rPr>
                <w:b/>
                <w:bCs/>
                <w:sz w:val="16"/>
                <w:szCs w:val="16"/>
                <w:lang w:eastAsia="tr-TR"/>
              </w:rPr>
              <w:t>Banka'nın dahil olduğu risk grubu (*)</w:t>
            </w:r>
          </w:p>
        </w:tc>
        <w:tc>
          <w:tcPr>
            <w:tcW w:w="2053" w:type="dxa"/>
            <w:gridSpan w:val="2"/>
            <w:tcBorders>
              <w:top w:val="double" w:sz="4" w:space="0" w:color="auto"/>
              <w:left w:val="nil"/>
              <w:bottom w:val="nil"/>
              <w:right w:val="nil"/>
            </w:tcBorders>
            <w:shd w:val="clear" w:color="auto" w:fill="auto"/>
            <w:vAlign w:val="center"/>
            <w:hideMark/>
          </w:tcPr>
          <w:p w14:paraId="24B4BCC2" w14:textId="77777777" w:rsidR="00154A54" w:rsidRPr="00005453" w:rsidRDefault="00154A54" w:rsidP="00154A54">
            <w:pPr>
              <w:jc w:val="right"/>
              <w:rPr>
                <w:b/>
                <w:bCs/>
                <w:sz w:val="16"/>
                <w:szCs w:val="16"/>
                <w:lang w:eastAsia="tr-TR"/>
              </w:rPr>
            </w:pPr>
            <w:r w:rsidRPr="00005453">
              <w:rPr>
                <w:b/>
                <w:bCs/>
                <w:sz w:val="16"/>
                <w:szCs w:val="16"/>
                <w:lang w:eastAsia="tr-TR"/>
              </w:rPr>
              <w:t>İştirak, bağlı ortaklıklar ve birlikte kontrol edilen ortaklıklar (iş ortaklıkları)</w:t>
            </w:r>
          </w:p>
        </w:tc>
        <w:tc>
          <w:tcPr>
            <w:tcW w:w="2086" w:type="dxa"/>
            <w:gridSpan w:val="2"/>
            <w:tcBorders>
              <w:top w:val="double" w:sz="4" w:space="0" w:color="auto"/>
              <w:left w:val="nil"/>
              <w:bottom w:val="nil"/>
              <w:right w:val="nil"/>
            </w:tcBorders>
            <w:shd w:val="clear" w:color="auto" w:fill="auto"/>
            <w:vAlign w:val="center"/>
            <w:hideMark/>
          </w:tcPr>
          <w:p w14:paraId="44BA267C" w14:textId="77777777" w:rsidR="00154A54" w:rsidRPr="00005453" w:rsidRDefault="00154A54" w:rsidP="00154A54">
            <w:pPr>
              <w:jc w:val="right"/>
              <w:rPr>
                <w:b/>
                <w:bCs/>
                <w:sz w:val="16"/>
                <w:szCs w:val="16"/>
                <w:lang w:eastAsia="tr-TR"/>
              </w:rPr>
            </w:pPr>
            <w:r w:rsidRPr="00005453">
              <w:rPr>
                <w:b/>
                <w:bCs/>
                <w:sz w:val="16"/>
                <w:szCs w:val="16"/>
                <w:lang w:eastAsia="tr-TR"/>
              </w:rPr>
              <w:t>Bankanın doğrudan ve dolaylı ortaklıkları</w:t>
            </w:r>
          </w:p>
        </w:tc>
        <w:tc>
          <w:tcPr>
            <w:tcW w:w="2086" w:type="dxa"/>
            <w:gridSpan w:val="2"/>
            <w:tcBorders>
              <w:top w:val="double" w:sz="4" w:space="0" w:color="auto"/>
              <w:left w:val="nil"/>
              <w:bottom w:val="nil"/>
              <w:right w:val="nil"/>
            </w:tcBorders>
            <w:shd w:val="clear" w:color="auto" w:fill="auto"/>
            <w:vAlign w:val="center"/>
            <w:hideMark/>
          </w:tcPr>
          <w:p w14:paraId="34632BE1" w14:textId="77777777" w:rsidR="00154A54" w:rsidRPr="00005453" w:rsidRDefault="00154A54" w:rsidP="00154A54">
            <w:pPr>
              <w:jc w:val="right"/>
              <w:rPr>
                <w:b/>
                <w:bCs/>
                <w:sz w:val="16"/>
                <w:szCs w:val="16"/>
                <w:lang w:eastAsia="tr-TR"/>
              </w:rPr>
            </w:pPr>
            <w:r w:rsidRPr="00005453">
              <w:rPr>
                <w:b/>
                <w:bCs/>
                <w:sz w:val="16"/>
                <w:szCs w:val="16"/>
                <w:lang w:eastAsia="tr-TR"/>
              </w:rPr>
              <w:t>Risk grubuna dahil olan diğer gerçek ve tüzel kişiler</w:t>
            </w:r>
          </w:p>
        </w:tc>
      </w:tr>
      <w:tr w:rsidR="00154A54" w:rsidRPr="00005453" w14:paraId="35D48799" w14:textId="77777777" w:rsidTr="00614CD2">
        <w:trPr>
          <w:divId w:val="1840584392"/>
          <w:trHeight w:val="180"/>
        </w:trPr>
        <w:tc>
          <w:tcPr>
            <w:tcW w:w="2924" w:type="dxa"/>
            <w:tcBorders>
              <w:top w:val="nil"/>
              <w:left w:val="nil"/>
              <w:bottom w:val="single" w:sz="8" w:space="0" w:color="auto"/>
              <w:right w:val="nil"/>
            </w:tcBorders>
            <w:shd w:val="clear" w:color="auto" w:fill="auto"/>
            <w:noWrap/>
            <w:vAlign w:val="bottom"/>
            <w:hideMark/>
          </w:tcPr>
          <w:p w14:paraId="4FA00CEC" w14:textId="77777777" w:rsidR="00154A54" w:rsidRPr="00005453" w:rsidRDefault="00154A54" w:rsidP="00154A54">
            <w:pPr>
              <w:rPr>
                <w:sz w:val="16"/>
                <w:szCs w:val="16"/>
                <w:lang w:eastAsia="tr-TR"/>
              </w:rPr>
            </w:pPr>
            <w:r w:rsidRPr="00005453">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4A1CA601" w14:textId="77777777" w:rsidR="00154A54" w:rsidRPr="00005453" w:rsidRDefault="00154A54" w:rsidP="00B93037">
            <w:pPr>
              <w:jc w:val="right"/>
              <w:rPr>
                <w:b/>
                <w:bCs/>
                <w:sz w:val="16"/>
                <w:szCs w:val="16"/>
                <w:lang w:eastAsia="tr-TR"/>
              </w:rPr>
            </w:pPr>
            <w:r w:rsidRPr="00005453">
              <w:rPr>
                <w:b/>
                <w:bCs/>
                <w:sz w:val="16"/>
                <w:szCs w:val="16"/>
                <w:lang w:eastAsia="tr-TR"/>
              </w:rPr>
              <w:t>Cari Dönem</w:t>
            </w:r>
          </w:p>
        </w:tc>
        <w:tc>
          <w:tcPr>
            <w:tcW w:w="1035" w:type="dxa"/>
            <w:tcBorders>
              <w:top w:val="nil"/>
              <w:left w:val="nil"/>
              <w:bottom w:val="single" w:sz="8" w:space="0" w:color="auto"/>
              <w:right w:val="nil"/>
            </w:tcBorders>
            <w:shd w:val="clear" w:color="auto" w:fill="auto"/>
            <w:vAlign w:val="center"/>
            <w:hideMark/>
          </w:tcPr>
          <w:p w14:paraId="48196043" w14:textId="77777777" w:rsidR="00154A54" w:rsidRPr="00005453" w:rsidRDefault="00154A54" w:rsidP="00B93037">
            <w:pPr>
              <w:jc w:val="right"/>
              <w:rPr>
                <w:b/>
                <w:bCs/>
                <w:sz w:val="16"/>
                <w:szCs w:val="16"/>
                <w:lang w:eastAsia="tr-TR"/>
              </w:rPr>
            </w:pPr>
            <w:r w:rsidRPr="00005453">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108EB366" w14:textId="77777777" w:rsidR="00154A54" w:rsidRPr="00005453" w:rsidRDefault="00154A54" w:rsidP="00B93037">
            <w:pPr>
              <w:jc w:val="right"/>
              <w:rPr>
                <w:b/>
                <w:bCs/>
                <w:sz w:val="16"/>
                <w:szCs w:val="16"/>
                <w:lang w:eastAsia="tr-TR"/>
              </w:rPr>
            </w:pPr>
            <w:r w:rsidRPr="00005453">
              <w:rPr>
                <w:b/>
                <w:bCs/>
                <w:sz w:val="16"/>
                <w:szCs w:val="16"/>
                <w:lang w:eastAsia="tr-TR"/>
              </w:rPr>
              <w:t>Cari Dönem</w:t>
            </w:r>
          </w:p>
        </w:tc>
        <w:tc>
          <w:tcPr>
            <w:tcW w:w="953" w:type="dxa"/>
            <w:tcBorders>
              <w:top w:val="nil"/>
              <w:left w:val="nil"/>
              <w:bottom w:val="single" w:sz="8" w:space="0" w:color="auto"/>
              <w:right w:val="nil"/>
            </w:tcBorders>
            <w:shd w:val="clear" w:color="auto" w:fill="auto"/>
            <w:vAlign w:val="center"/>
            <w:hideMark/>
          </w:tcPr>
          <w:p w14:paraId="4D85075A" w14:textId="77777777" w:rsidR="00154A54" w:rsidRPr="00005453" w:rsidRDefault="00154A54" w:rsidP="00B93037">
            <w:pPr>
              <w:jc w:val="right"/>
              <w:rPr>
                <w:b/>
                <w:bCs/>
                <w:sz w:val="16"/>
                <w:szCs w:val="16"/>
                <w:lang w:eastAsia="tr-TR"/>
              </w:rPr>
            </w:pPr>
            <w:r w:rsidRPr="00005453">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0377E37D" w14:textId="77777777" w:rsidR="00154A54" w:rsidRPr="00005453" w:rsidRDefault="00154A54" w:rsidP="00B93037">
            <w:pPr>
              <w:jc w:val="right"/>
              <w:rPr>
                <w:b/>
                <w:bCs/>
                <w:sz w:val="16"/>
                <w:szCs w:val="16"/>
                <w:lang w:eastAsia="tr-TR"/>
              </w:rPr>
            </w:pPr>
            <w:r w:rsidRPr="00005453">
              <w:rPr>
                <w:b/>
                <w:bCs/>
                <w:sz w:val="16"/>
                <w:szCs w:val="16"/>
                <w:lang w:eastAsia="tr-TR"/>
              </w:rPr>
              <w:t>Cari Dönem</w:t>
            </w:r>
          </w:p>
        </w:tc>
        <w:tc>
          <w:tcPr>
            <w:tcW w:w="1068" w:type="dxa"/>
            <w:tcBorders>
              <w:top w:val="nil"/>
              <w:left w:val="nil"/>
              <w:bottom w:val="single" w:sz="8" w:space="0" w:color="auto"/>
              <w:right w:val="nil"/>
            </w:tcBorders>
            <w:shd w:val="clear" w:color="auto" w:fill="auto"/>
            <w:vAlign w:val="center"/>
            <w:hideMark/>
          </w:tcPr>
          <w:p w14:paraId="295ED315" w14:textId="77777777" w:rsidR="00154A54" w:rsidRPr="00005453" w:rsidRDefault="00154A54" w:rsidP="00B93037">
            <w:pPr>
              <w:jc w:val="right"/>
              <w:rPr>
                <w:b/>
                <w:bCs/>
                <w:sz w:val="16"/>
                <w:szCs w:val="16"/>
                <w:lang w:eastAsia="tr-TR"/>
              </w:rPr>
            </w:pPr>
            <w:r w:rsidRPr="00005453">
              <w:rPr>
                <w:b/>
                <w:bCs/>
                <w:sz w:val="16"/>
                <w:szCs w:val="16"/>
                <w:lang w:eastAsia="tr-TR"/>
              </w:rPr>
              <w:t>Önceki Dönem</w:t>
            </w:r>
          </w:p>
        </w:tc>
      </w:tr>
      <w:tr w:rsidR="00154A54" w:rsidRPr="00005453" w14:paraId="6775C10E" w14:textId="77777777" w:rsidTr="00A82F1F">
        <w:trPr>
          <w:divId w:val="1840584392"/>
          <w:trHeight w:val="180"/>
        </w:trPr>
        <w:tc>
          <w:tcPr>
            <w:tcW w:w="2924" w:type="dxa"/>
            <w:tcBorders>
              <w:top w:val="nil"/>
              <w:left w:val="nil"/>
              <w:bottom w:val="nil"/>
              <w:right w:val="nil"/>
            </w:tcBorders>
            <w:shd w:val="clear" w:color="auto" w:fill="auto"/>
            <w:vAlign w:val="center"/>
            <w:hideMark/>
          </w:tcPr>
          <w:p w14:paraId="3562D08C" w14:textId="77777777" w:rsidR="00154A54" w:rsidRPr="00005453" w:rsidRDefault="00154A54" w:rsidP="00154A54">
            <w:pPr>
              <w:rPr>
                <w:sz w:val="16"/>
                <w:szCs w:val="16"/>
                <w:lang w:eastAsia="tr-TR"/>
              </w:rPr>
            </w:pPr>
            <w:r w:rsidRPr="00005453">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2AE76E24" w14:textId="77777777" w:rsidR="00154A54" w:rsidRPr="00005453" w:rsidRDefault="00154A54" w:rsidP="00154A54">
            <w:pPr>
              <w:rPr>
                <w:sz w:val="18"/>
                <w:szCs w:val="18"/>
                <w:lang w:eastAsia="tr-TR"/>
              </w:rPr>
            </w:pPr>
          </w:p>
        </w:tc>
        <w:tc>
          <w:tcPr>
            <w:tcW w:w="1035" w:type="dxa"/>
            <w:tcBorders>
              <w:top w:val="nil"/>
              <w:left w:val="nil"/>
              <w:bottom w:val="nil"/>
              <w:right w:val="nil"/>
            </w:tcBorders>
            <w:shd w:val="clear" w:color="auto" w:fill="auto"/>
            <w:vAlign w:val="center"/>
            <w:hideMark/>
          </w:tcPr>
          <w:p w14:paraId="0B792868" w14:textId="77777777" w:rsidR="00154A54" w:rsidRPr="00005453" w:rsidRDefault="00154A54" w:rsidP="00154A54">
            <w:pPr>
              <w:jc w:val="right"/>
              <w:rPr>
                <w:sz w:val="18"/>
                <w:szCs w:val="18"/>
                <w:lang w:eastAsia="tr-TR"/>
              </w:rPr>
            </w:pPr>
          </w:p>
        </w:tc>
        <w:tc>
          <w:tcPr>
            <w:tcW w:w="1133" w:type="dxa"/>
            <w:tcBorders>
              <w:top w:val="nil"/>
              <w:left w:val="nil"/>
              <w:bottom w:val="nil"/>
              <w:right w:val="nil"/>
            </w:tcBorders>
            <w:shd w:val="clear" w:color="auto" w:fill="auto"/>
            <w:vAlign w:val="center"/>
            <w:hideMark/>
          </w:tcPr>
          <w:p w14:paraId="420FE2A4" w14:textId="77777777" w:rsidR="00154A54" w:rsidRPr="00005453" w:rsidRDefault="00154A54" w:rsidP="00154A54">
            <w:pPr>
              <w:jc w:val="right"/>
              <w:rPr>
                <w:sz w:val="18"/>
                <w:szCs w:val="18"/>
                <w:lang w:eastAsia="tr-TR"/>
              </w:rPr>
            </w:pPr>
          </w:p>
        </w:tc>
        <w:tc>
          <w:tcPr>
            <w:tcW w:w="953" w:type="dxa"/>
            <w:tcBorders>
              <w:top w:val="nil"/>
              <w:left w:val="nil"/>
              <w:bottom w:val="nil"/>
              <w:right w:val="nil"/>
            </w:tcBorders>
            <w:shd w:val="clear" w:color="auto" w:fill="auto"/>
            <w:vAlign w:val="center"/>
            <w:hideMark/>
          </w:tcPr>
          <w:p w14:paraId="767684A4" w14:textId="77777777" w:rsidR="00154A54" w:rsidRPr="00005453" w:rsidRDefault="00154A54" w:rsidP="00154A54">
            <w:pPr>
              <w:jc w:val="right"/>
              <w:rPr>
                <w:sz w:val="18"/>
                <w:szCs w:val="18"/>
                <w:lang w:eastAsia="tr-TR"/>
              </w:rPr>
            </w:pPr>
          </w:p>
        </w:tc>
        <w:tc>
          <w:tcPr>
            <w:tcW w:w="1018" w:type="dxa"/>
            <w:tcBorders>
              <w:top w:val="nil"/>
              <w:left w:val="nil"/>
              <w:bottom w:val="nil"/>
              <w:right w:val="nil"/>
            </w:tcBorders>
            <w:shd w:val="clear" w:color="auto" w:fill="auto"/>
            <w:vAlign w:val="center"/>
            <w:hideMark/>
          </w:tcPr>
          <w:p w14:paraId="3BCB8A54" w14:textId="77777777" w:rsidR="00154A54" w:rsidRPr="00005453" w:rsidRDefault="00154A54" w:rsidP="00154A54">
            <w:pPr>
              <w:jc w:val="right"/>
              <w:rPr>
                <w:sz w:val="18"/>
                <w:szCs w:val="18"/>
                <w:lang w:eastAsia="tr-TR"/>
              </w:rPr>
            </w:pPr>
          </w:p>
        </w:tc>
        <w:tc>
          <w:tcPr>
            <w:tcW w:w="1068" w:type="dxa"/>
            <w:tcBorders>
              <w:top w:val="nil"/>
              <w:left w:val="nil"/>
              <w:bottom w:val="nil"/>
              <w:right w:val="nil"/>
            </w:tcBorders>
            <w:shd w:val="clear" w:color="auto" w:fill="auto"/>
            <w:vAlign w:val="center"/>
            <w:hideMark/>
          </w:tcPr>
          <w:p w14:paraId="0A869102" w14:textId="77777777" w:rsidR="00154A54" w:rsidRPr="00005453" w:rsidRDefault="00154A54" w:rsidP="00154A54">
            <w:pPr>
              <w:jc w:val="right"/>
              <w:rPr>
                <w:sz w:val="18"/>
                <w:szCs w:val="18"/>
                <w:lang w:eastAsia="tr-TR"/>
              </w:rPr>
            </w:pPr>
          </w:p>
        </w:tc>
      </w:tr>
      <w:tr w:rsidR="00C07A6F" w:rsidRPr="00005453" w14:paraId="72B7BC50" w14:textId="77777777" w:rsidTr="00C07A6F">
        <w:trPr>
          <w:divId w:val="1840584392"/>
          <w:trHeight w:val="204"/>
        </w:trPr>
        <w:tc>
          <w:tcPr>
            <w:tcW w:w="2924" w:type="dxa"/>
            <w:tcBorders>
              <w:top w:val="nil"/>
              <w:left w:val="nil"/>
              <w:bottom w:val="nil"/>
              <w:right w:val="nil"/>
            </w:tcBorders>
            <w:shd w:val="clear" w:color="auto" w:fill="auto"/>
            <w:vAlign w:val="center"/>
            <w:hideMark/>
          </w:tcPr>
          <w:p w14:paraId="2B7C334B" w14:textId="77777777" w:rsidR="00C07A6F" w:rsidRPr="00005453" w:rsidRDefault="00C07A6F" w:rsidP="00C07A6F">
            <w:pPr>
              <w:rPr>
                <w:sz w:val="16"/>
                <w:szCs w:val="16"/>
                <w:lang w:eastAsia="tr-TR"/>
              </w:rPr>
            </w:pPr>
            <w:r w:rsidRPr="00005453">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56C88BBA" w14:textId="315D59E3" w:rsidR="00C07A6F" w:rsidRPr="00005453" w:rsidRDefault="00C07A6F" w:rsidP="00C07A6F">
            <w:pPr>
              <w:jc w:val="right"/>
              <w:rPr>
                <w:sz w:val="16"/>
                <w:szCs w:val="16"/>
              </w:rPr>
            </w:pPr>
            <w:r w:rsidRPr="00005453">
              <w:rPr>
                <w:sz w:val="16"/>
                <w:szCs w:val="18"/>
              </w:rPr>
              <w:t>26,557,884</w:t>
            </w:r>
          </w:p>
        </w:tc>
        <w:tc>
          <w:tcPr>
            <w:tcW w:w="1035" w:type="dxa"/>
            <w:tcBorders>
              <w:top w:val="nil"/>
              <w:left w:val="nil"/>
              <w:bottom w:val="nil"/>
              <w:right w:val="nil"/>
            </w:tcBorders>
            <w:shd w:val="clear" w:color="auto" w:fill="auto"/>
            <w:vAlign w:val="center"/>
            <w:hideMark/>
          </w:tcPr>
          <w:p w14:paraId="66A54359" w14:textId="1D460DF8" w:rsidR="00C07A6F" w:rsidRPr="00005453" w:rsidRDefault="00C07A6F" w:rsidP="00C07A6F">
            <w:pPr>
              <w:jc w:val="right"/>
              <w:rPr>
                <w:sz w:val="16"/>
                <w:szCs w:val="16"/>
              </w:rPr>
            </w:pPr>
            <w:r w:rsidRPr="00005453">
              <w:rPr>
                <w:sz w:val="16"/>
                <w:szCs w:val="16"/>
              </w:rPr>
              <w:t>10,068,825</w:t>
            </w:r>
          </w:p>
        </w:tc>
        <w:tc>
          <w:tcPr>
            <w:tcW w:w="1133" w:type="dxa"/>
            <w:tcBorders>
              <w:top w:val="nil"/>
              <w:left w:val="nil"/>
              <w:bottom w:val="nil"/>
              <w:right w:val="nil"/>
            </w:tcBorders>
            <w:shd w:val="clear" w:color="auto" w:fill="auto"/>
            <w:vAlign w:val="center"/>
            <w:hideMark/>
          </w:tcPr>
          <w:p w14:paraId="6D1592EF" w14:textId="0189663D" w:rsidR="00C07A6F" w:rsidRPr="00005453" w:rsidRDefault="00C07A6F" w:rsidP="00C07A6F">
            <w:pPr>
              <w:jc w:val="right"/>
              <w:rPr>
                <w:sz w:val="16"/>
                <w:szCs w:val="16"/>
              </w:rPr>
            </w:pPr>
            <w:r w:rsidRPr="00005453">
              <w:rPr>
                <w:sz w:val="16"/>
                <w:szCs w:val="18"/>
              </w:rPr>
              <w:t>9,195,276</w:t>
            </w:r>
          </w:p>
        </w:tc>
        <w:tc>
          <w:tcPr>
            <w:tcW w:w="953" w:type="dxa"/>
            <w:tcBorders>
              <w:top w:val="nil"/>
              <w:left w:val="nil"/>
              <w:bottom w:val="nil"/>
              <w:right w:val="nil"/>
            </w:tcBorders>
            <w:shd w:val="clear" w:color="auto" w:fill="auto"/>
            <w:vAlign w:val="center"/>
            <w:hideMark/>
          </w:tcPr>
          <w:p w14:paraId="6FB2C059" w14:textId="286F41B8" w:rsidR="00C07A6F" w:rsidRPr="00005453" w:rsidRDefault="00C07A6F" w:rsidP="00C07A6F">
            <w:pPr>
              <w:jc w:val="right"/>
              <w:rPr>
                <w:sz w:val="16"/>
                <w:szCs w:val="16"/>
              </w:rPr>
            </w:pPr>
            <w:r w:rsidRPr="00005453">
              <w:rPr>
                <w:sz w:val="16"/>
                <w:szCs w:val="16"/>
              </w:rPr>
              <w:t>957,272</w:t>
            </w:r>
          </w:p>
        </w:tc>
        <w:tc>
          <w:tcPr>
            <w:tcW w:w="1018" w:type="dxa"/>
            <w:tcBorders>
              <w:top w:val="nil"/>
              <w:left w:val="nil"/>
              <w:bottom w:val="nil"/>
              <w:right w:val="nil"/>
            </w:tcBorders>
            <w:shd w:val="clear" w:color="auto" w:fill="auto"/>
            <w:vAlign w:val="center"/>
            <w:hideMark/>
          </w:tcPr>
          <w:p w14:paraId="378A1B55" w14:textId="77777777" w:rsidR="00C07A6F" w:rsidRPr="00005453" w:rsidRDefault="00C07A6F" w:rsidP="00C07A6F">
            <w:pPr>
              <w:jc w:val="right"/>
              <w:rPr>
                <w:sz w:val="16"/>
                <w:szCs w:val="16"/>
              </w:rPr>
            </w:pPr>
            <w:r w:rsidRPr="00005453">
              <w:rPr>
                <w:sz w:val="16"/>
                <w:szCs w:val="16"/>
              </w:rPr>
              <w:t>-</w:t>
            </w:r>
          </w:p>
        </w:tc>
        <w:tc>
          <w:tcPr>
            <w:tcW w:w="1068" w:type="dxa"/>
            <w:tcBorders>
              <w:top w:val="nil"/>
              <w:left w:val="nil"/>
              <w:bottom w:val="nil"/>
              <w:right w:val="nil"/>
            </w:tcBorders>
            <w:shd w:val="clear" w:color="auto" w:fill="auto"/>
            <w:vAlign w:val="center"/>
            <w:hideMark/>
          </w:tcPr>
          <w:p w14:paraId="48474F3D" w14:textId="77777777" w:rsidR="00C07A6F" w:rsidRPr="00005453" w:rsidRDefault="00C07A6F" w:rsidP="00C07A6F">
            <w:pPr>
              <w:jc w:val="right"/>
              <w:rPr>
                <w:sz w:val="16"/>
                <w:szCs w:val="16"/>
              </w:rPr>
            </w:pPr>
            <w:r w:rsidRPr="00005453">
              <w:rPr>
                <w:sz w:val="16"/>
                <w:szCs w:val="16"/>
              </w:rPr>
              <w:t>-</w:t>
            </w:r>
          </w:p>
        </w:tc>
      </w:tr>
      <w:tr w:rsidR="00C07A6F" w:rsidRPr="00005453" w14:paraId="771B70FE" w14:textId="77777777" w:rsidTr="00C07A6F">
        <w:trPr>
          <w:divId w:val="1840584392"/>
          <w:trHeight w:val="204"/>
        </w:trPr>
        <w:tc>
          <w:tcPr>
            <w:tcW w:w="2924" w:type="dxa"/>
            <w:tcBorders>
              <w:top w:val="nil"/>
              <w:left w:val="nil"/>
              <w:bottom w:val="nil"/>
              <w:right w:val="nil"/>
            </w:tcBorders>
            <w:shd w:val="clear" w:color="auto" w:fill="auto"/>
            <w:vAlign w:val="center"/>
            <w:hideMark/>
          </w:tcPr>
          <w:p w14:paraId="0DC02B26" w14:textId="77777777" w:rsidR="00C07A6F" w:rsidRPr="00005453" w:rsidRDefault="00C07A6F" w:rsidP="00C07A6F">
            <w:pPr>
              <w:rPr>
                <w:sz w:val="16"/>
                <w:szCs w:val="16"/>
                <w:lang w:eastAsia="tr-TR"/>
              </w:rPr>
            </w:pPr>
            <w:r w:rsidRPr="00005453">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2043FB71" w14:textId="70B45E4C" w:rsidR="00C07A6F" w:rsidRPr="00005453" w:rsidRDefault="00C07A6F" w:rsidP="00C07A6F">
            <w:pPr>
              <w:jc w:val="right"/>
              <w:rPr>
                <w:sz w:val="16"/>
                <w:szCs w:val="16"/>
              </w:rPr>
            </w:pPr>
            <w:r w:rsidRPr="00005453">
              <w:rPr>
                <w:sz w:val="16"/>
                <w:szCs w:val="18"/>
              </w:rPr>
              <w:t>15,194,096</w:t>
            </w:r>
          </w:p>
        </w:tc>
        <w:tc>
          <w:tcPr>
            <w:tcW w:w="1035" w:type="dxa"/>
            <w:tcBorders>
              <w:top w:val="nil"/>
              <w:left w:val="nil"/>
              <w:bottom w:val="nil"/>
              <w:right w:val="nil"/>
            </w:tcBorders>
            <w:shd w:val="clear" w:color="auto" w:fill="auto"/>
            <w:vAlign w:val="center"/>
            <w:hideMark/>
          </w:tcPr>
          <w:p w14:paraId="6B11DF16" w14:textId="4E3BFBF2" w:rsidR="00C07A6F" w:rsidRPr="00005453" w:rsidRDefault="00C07A6F" w:rsidP="00C07A6F">
            <w:pPr>
              <w:jc w:val="right"/>
              <w:rPr>
                <w:sz w:val="16"/>
                <w:szCs w:val="16"/>
              </w:rPr>
            </w:pPr>
            <w:r w:rsidRPr="00005453">
              <w:rPr>
                <w:sz w:val="16"/>
                <w:szCs w:val="16"/>
              </w:rPr>
              <w:t>26,557,884</w:t>
            </w:r>
          </w:p>
        </w:tc>
        <w:tc>
          <w:tcPr>
            <w:tcW w:w="1133" w:type="dxa"/>
            <w:tcBorders>
              <w:top w:val="nil"/>
              <w:left w:val="nil"/>
              <w:bottom w:val="nil"/>
              <w:right w:val="nil"/>
            </w:tcBorders>
            <w:shd w:val="clear" w:color="auto" w:fill="auto"/>
            <w:vAlign w:val="center"/>
            <w:hideMark/>
          </w:tcPr>
          <w:p w14:paraId="27A8424F" w14:textId="58E4E79F" w:rsidR="00C07A6F" w:rsidRPr="00005453" w:rsidRDefault="00C07A6F" w:rsidP="00C07A6F">
            <w:pPr>
              <w:jc w:val="right"/>
              <w:rPr>
                <w:sz w:val="16"/>
                <w:szCs w:val="16"/>
              </w:rPr>
            </w:pPr>
            <w:r w:rsidRPr="00005453">
              <w:rPr>
                <w:sz w:val="16"/>
                <w:szCs w:val="18"/>
              </w:rPr>
              <w:t>14,649,976</w:t>
            </w:r>
          </w:p>
        </w:tc>
        <w:tc>
          <w:tcPr>
            <w:tcW w:w="953" w:type="dxa"/>
            <w:tcBorders>
              <w:top w:val="nil"/>
              <w:left w:val="nil"/>
              <w:bottom w:val="nil"/>
              <w:right w:val="nil"/>
            </w:tcBorders>
            <w:shd w:val="clear" w:color="auto" w:fill="auto"/>
            <w:vAlign w:val="center"/>
            <w:hideMark/>
          </w:tcPr>
          <w:p w14:paraId="7D049927" w14:textId="59C2556B" w:rsidR="00C07A6F" w:rsidRPr="00005453" w:rsidRDefault="00C07A6F" w:rsidP="00C07A6F">
            <w:pPr>
              <w:jc w:val="right"/>
              <w:rPr>
                <w:sz w:val="16"/>
                <w:szCs w:val="16"/>
              </w:rPr>
            </w:pPr>
            <w:r w:rsidRPr="00005453">
              <w:rPr>
                <w:sz w:val="16"/>
                <w:szCs w:val="16"/>
              </w:rPr>
              <w:t>9,195,276</w:t>
            </w:r>
          </w:p>
        </w:tc>
        <w:tc>
          <w:tcPr>
            <w:tcW w:w="1018" w:type="dxa"/>
            <w:tcBorders>
              <w:top w:val="nil"/>
              <w:left w:val="nil"/>
              <w:bottom w:val="nil"/>
              <w:right w:val="nil"/>
            </w:tcBorders>
            <w:shd w:val="clear" w:color="auto" w:fill="auto"/>
            <w:vAlign w:val="center"/>
            <w:hideMark/>
          </w:tcPr>
          <w:p w14:paraId="34745FCF" w14:textId="77777777" w:rsidR="00C07A6F" w:rsidRPr="00005453" w:rsidRDefault="00C07A6F" w:rsidP="00C07A6F">
            <w:pPr>
              <w:jc w:val="right"/>
              <w:rPr>
                <w:sz w:val="16"/>
                <w:szCs w:val="16"/>
              </w:rPr>
            </w:pPr>
            <w:r w:rsidRPr="00005453">
              <w:rPr>
                <w:sz w:val="16"/>
                <w:szCs w:val="16"/>
              </w:rPr>
              <w:t>-</w:t>
            </w:r>
          </w:p>
        </w:tc>
        <w:tc>
          <w:tcPr>
            <w:tcW w:w="1068" w:type="dxa"/>
            <w:tcBorders>
              <w:top w:val="nil"/>
              <w:left w:val="nil"/>
              <w:bottom w:val="nil"/>
              <w:right w:val="nil"/>
            </w:tcBorders>
            <w:shd w:val="clear" w:color="auto" w:fill="auto"/>
            <w:vAlign w:val="center"/>
            <w:hideMark/>
          </w:tcPr>
          <w:p w14:paraId="6F8C5EBD" w14:textId="77777777" w:rsidR="00C07A6F" w:rsidRPr="00005453" w:rsidRDefault="00C07A6F" w:rsidP="00C07A6F">
            <w:pPr>
              <w:jc w:val="right"/>
              <w:rPr>
                <w:sz w:val="16"/>
                <w:szCs w:val="16"/>
              </w:rPr>
            </w:pPr>
            <w:r w:rsidRPr="00005453">
              <w:rPr>
                <w:sz w:val="16"/>
                <w:szCs w:val="16"/>
              </w:rPr>
              <w:t>-</w:t>
            </w:r>
          </w:p>
        </w:tc>
      </w:tr>
      <w:tr w:rsidR="00C07A6F" w:rsidRPr="00005453" w14:paraId="27A15B8D" w14:textId="77777777" w:rsidTr="00C07A6F">
        <w:trPr>
          <w:divId w:val="1840584392"/>
          <w:trHeight w:val="192"/>
        </w:trPr>
        <w:tc>
          <w:tcPr>
            <w:tcW w:w="2924" w:type="dxa"/>
            <w:tcBorders>
              <w:top w:val="nil"/>
              <w:left w:val="nil"/>
              <w:bottom w:val="double" w:sz="4" w:space="0" w:color="auto"/>
              <w:right w:val="nil"/>
            </w:tcBorders>
            <w:shd w:val="clear" w:color="auto" w:fill="auto"/>
            <w:vAlign w:val="center"/>
            <w:hideMark/>
          </w:tcPr>
          <w:p w14:paraId="72CAB5AF" w14:textId="77777777" w:rsidR="00C07A6F" w:rsidRPr="00005453" w:rsidRDefault="00C07A6F" w:rsidP="00C07A6F">
            <w:pPr>
              <w:jc w:val="both"/>
              <w:rPr>
                <w:sz w:val="16"/>
                <w:szCs w:val="16"/>
                <w:lang w:eastAsia="tr-TR"/>
              </w:rPr>
            </w:pPr>
            <w:r w:rsidRPr="00005453">
              <w:rPr>
                <w:sz w:val="16"/>
                <w:szCs w:val="16"/>
                <w:lang w:eastAsia="tr-TR"/>
              </w:rPr>
              <w:t xml:space="preserve">Ödenen </w:t>
            </w:r>
            <w:proofErr w:type="gramStart"/>
            <w:r w:rsidRPr="00005453">
              <w:rPr>
                <w:sz w:val="16"/>
                <w:szCs w:val="16"/>
                <w:lang w:eastAsia="tr-TR"/>
              </w:rPr>
              <w:t>kar</w:t>
            </w:r>
            <w:proofErr w:type="gramEnd"/>
            <w:r w:rsidRPr="00005453">
              <w:rPr>
                <w:sz w:val="16"/>
                <w:szCs w:val="16"/>
                <w:lang w:eastAsia="tr-TR"/>
              </w:rPr>
              <w:t xml:space="preserve"> payı gideri</w:t>
            </w:r>
          </w:p>
        </w:tc>
        <w:tc>
          <w:tcPr>
            <w:tcW w:w="1018" w:type="dxa"/>
            <w:tcBorders>
              <w:top w:val="nil"/>
              <w:left w:val="nil"/>
              <w:bottom w:val="double" w:sz="4" w:space="0" w:color="auto"/>
              <w:right w:val="nil"/>
            </w:tcBorders>
            <w:shd w:val="clear" w:color="auto" w:fill="auto"/>
            <w:vAlign w:val="center"/>
            <w:hideMark/>
          </w:tcPr>
          <w:p w14:paraId="65A8ECB0" w14:textId="0C048226" w:rsidR="00C07A6F" w:rsidRPr="00005453" w:rsidRDefault="00C07A6F" w:rsidP="00C07A6F">
            <w:pPr>
              <w:jc w:val="right"/>
              <w:rPr>
                <w:sz w:val="16"/>
                <w:szCs w:val="16"/>
              </w:rPr>
            </w:pPr>
            <w:r w:rsidRPr="00005453">
              <w:rPr>
                <w:sz w:val="16"/>
                <w:szCs w:val="18"/>
              </w:rPr>
              <w:t>672,675</w:t>
            </w:r>
          </w:p>
        </w:tc>
        <w:tc>
          <w:tcPr>
            <w:tcW w:w="1035" w:type="dxa"/>
            <w:tcBorders>
              <w:top w:val="nil"/>
              <w:left w:val="nil"/>
              <w:bottom w:val="double" w:sz="4" w:space="0" w:color="auto"/>
              <w:right w:val="nil"/>
            </w:tcBorders>
            <w:shd w:val="clear" w:color="auto" w:fill="auto"/>
            <w:vAlign w:val="center"/>
            <w:hideMark/>
          </w:tcPr>
          <w:p w14:paraId="1C8D0E5B" w14:textId="41A20F2E" w:rsidR="00C07A6F" w:rsidRPr="00005453" w:rsidRDefault="00C07A6F" w:rsidP="00C07A6F">
            <w:pPr>
              <w:jc w:val="right"/>
              <w:rPr>
                <w:sz w:val="16"/>
                <w:szCs w:val="16"/>
              </w:rPr>
            </w:pPr>
            <w:r w:rsidRPr="00005453">
              <w:rPr>
                <w:sz w:val="16"/>
                <w:szCs w:val="16"/>
              </w:rPr>
              <w:t>1,606,570</w:t>
            </w:r>
          </w:p>
        </w:tc>
        <w:tc>
          <w:tcPr>
            <w:tcW w:w="1133" w:type="dxa"/>
            <w:tcBorders>
              <w:top w:val="nil"/>
              <w:left w:val="nil"/>
              <w:bottom w:val="double" w:sz="4" w:space="0" w:color="auto"/>
              <w:right w:val="nil"/>
            </w:tcBorders>
            <w:shd w:val="clear" w:color="auto" w:fill="auto"/>
            <w:vAlign w:val="center"/>
            <w:hideMark/>
          </w:tcPr>
          <w:p w14:paraId="6A6C7A8B" w14:textId="6BD58F82" w:rsidR="00C07A6F" w:rsidRPr="00005453" w:rsidRDefault="00C07A6F" w:rsidP="00C07A6F">
            <w:pPr>
              <w:jc w:val="right"/>
              <w:rPr>
                <w:sz w:val="16"/>
                <w:szCs w:val="16"/>
              </w:rPr>
            </w:pPr>
            <w:r w:rsidRPr="00005453">
              <w:rPr>
                <w:sz w:val="16"/>
                <w:szCs w:val="18"/>
              </w:rPr>
              <w:t>541,528</w:t>
            </w:r>
          </w:p>
        </w:tc>
        <w:tc>
          <w:tcPr>
            <w:tcW w:w="953" w:type="dxa"/>
            <w:tcBorders>
              <w:top w:val="nil"/>
              <w:left w:val="nil"/>
              <w:bottom w:val="double" w:sz="4" w:space="0" w:color="auto"/>
              <w:right w:val="nil"/>
            </w:tcBorders>
            <w:shd w:val="clear" w:color="auto" w:fill="auto"/>
            <w:vAlign w:val="center"/>
            <w:hideMark/>
          </w:tcPr>
          <w:p w14:paraId="5EA61D42" w14:textId="1D2B9BE9" w:rsidR="00C07A6F" w:rsidRPr="00005453" w:rsidRDefault="00C07A6F" w:rsidP="00C07A6F">
            <w:pPr>
              <w:jc w:val="right"/>
              <w:rPr>
                <w:sz w:val="16"/>
                <w:szCs w:val="16"/>
              </w:rPr>
            </w:pPr>
            <w:r w:rsidRPr="00005453">
              <w:rPr>
                <w:sz w:val="16"/>
                <w:szCs w:val="16"/>
              </w:rPr>
              <w:t>343,839</w:t>
            </w:r>
          </w:p>
        </w:tc>
        <w:tc>
          <w:tcPr>
            <w:tcW w:w="1018" w:type="dxa"/>
            <w:tcBorders>
              <w:top w:val="nil"/>
              <w:left w:val="nil"/>
              <w:bottom w:val="double" w:sz="4" w:space="0" w:color="auto"/>
              <w:right w:val="nil"/>
            </w:tcBorders>
            <w:shd w:val="clear" w:color="auto" w:fill="auto"/>
            <w:vAlign w:val="center"/>
            <w:hideMark/>
          </w:tcPr>
          <w:p w14:paraId="25BD42FF" w14:textId="77777777" w:rsidR="00C07A6F" w:rsidRPr="00005453" w:rsidRDefault="00C07A6F" w:rsidP="00C07A6F">
            <w:pPr>
              <w:jc w:val="right"/>
              <w:rPr>
                <w:sz w:val="16"/>
                <w:szCs w:val="16"/>
              </w:rPr>
            </w:pPr>
            <w:r w:rsidRPr="00005453">
              <w:rPr>
                <w:sz w:val="16"/>
                <w:szCs w:val="16"/>
              </w:rPr>
              <w:t>-</w:t>
            </w:r>
          </w:p>
        </w:tc>
        <w:tc>
          <w:tcPr>
            <w:tcW w:w="1068" w:type="dxa"/>
            <w:tcBorders>
              <w:top w:val="nil"/>
              <w:left w:val="nil"/>
              <w:bottom w:val="double" w:sz="4" w:space="0" w:color="auto"/>
              <w:right w:val="nil"/>
            </w:tcBorders>
            <w:shd w:val="clear" w:color="auto" w:fill="auto"/>
            <w:vAlign w:val="center"/>
            <w:hideMark/>
          </w:tcPr>
          <w:p w14:paraId="68BFF831" w14:textId="77777777" w:rsidR="00C07A6F" w:rsidRPr="00005453" w:rsidRDefault="00C07A6F" w:rsidP="00C07A6F">
            <w:pPr>
              <w:jc w:val="right"/>
              <w:rPr>
                <w:sz w:val="16"/>
                <w:szCs w:val="16"/>
              </w:rPr>
            </w:pPr>
            <w:r w:rsidRPr="00005453">
              <w:rPr>
                <w:sz w:val="16"/>
                <w:szCs w:val="16"/>
              </w:rPr>
              <w:t>-</w:t>
            </w:r>
          </w:p>
        </w:tc>
      </w:tr>
    </w:tbl>
    <w:p w14:paraId="322A02BE" w14:textId="28FACA05" w:rsidR="00E53CFC" w:rsidRPr="00005453" w:rsidRDefault="00E53CFC" w:rsidP="00553A47">
      <w:pPr>
        <w:autoSpaceDE w:val="0"/>
        <w:autoSpaceDN w:val="0"/>
        <w:adjustRightInd w:val="0"/>
        <w:rPr>
          <w:sz w:val="6"/>
          <w:szCs w:val="6"/>
        </w:rPr>
      </w:pPr>
    </w:p>
    <w:p w14:paraId="4BEEF6A1" w14:textId="77777777" w:rsidR="00985F6C" w:rsidRPr="00005453" w:rsidRDefault="00985F6C" w:rsidP="00985F6C">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005453">
        <w:rPr>
          <w:rFonts w:eastAsia="Times New Roman"/>
          <w:sz w:val="16"/>
          <w:szCs w:val="16"/>
        </w:rPr>
        <w:t>(*)    5411 Sayılı Bankacılık Kanunu’nun 49’uncu maddesinin 2’nci fıkrasında tanımlanmıştır.</w:t>
      </w:r>
    </w:p>
    <w:p w14:paraId="73C6DFCF" w14:textId="2F84F1D9" w:rsidR="00E54503" w:rsidRPr="00005453" w:rsidRDefault="00E54503"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7B906F65" w14:textId="5A7FEC71" w:rsidR="00E54503" w:rsidRPr="00005453" w:rsidRDefault="00E54503" w:rsidP="00E54503">
      <w:pPr>
        <w:autoSpaceDE w:val="0"/>
        <w:autoSpaceDN w:val="0"/>
        <w:adjustRightInd w:val="0"/>
        <w:ind w:hanging="567"/>
        <w:rPr>
          <w:b/>
          <w:bCs/>
          <w:iCs/>
        </w:rPr>
      </w:pPr>
      <w:bookmarkStart w:id="94" w:name="_Hlk94521040"/>
      <w:r w:rsidRPr="00005453">
        <w:rPr>
          <w:b/>
          <w:bCs/>
          <w:iCs/>
        </w:rPr>
        <w:t>7.5</w:t>
      </w:r>
      <w:r w:rsidRPr="00005453">
        <w:rPr>
          <w:b/>
          <w:bCs/>
          <w:iCs/>
        </w:rPr>
        <w:tab/>
        <w:t>Banka’nın dahil olduğu risk grubundan kullandığı sermaye benzeri kredilere ilişkin bilgiler</w:t>
      </w:r>
    </w:p>
    <w:p w14:paraId="6F0E645C" w14:textId="77777777" w:rsidR="00E54503" w:rsidRPr="00005453" w:rsidRDefault="00E54503" w:rsidP="00E54503">
      <w:pPr>
        <w:autoSpaceDE w:val="0"/>
        <w:autoSpaceDN w:val="0"/>
        <w:adjustRightInd w:val="0"/>
        <w:ind w:hanging="567"/>
        <w:rPr>
          <w:b/>
          <w:bCs/>
          <w:iCs/>
          <w:sz w:val="16"/>
        </w:rPr>
      </w:pPr>
      <w:r w:rsidRPr="00005453">
        <w:rPr>
          <w:b/>
          <w:bCs/>
          <w:iCs/>
        </w:rPr>
        <w:tab/>
      </w:r>
    </w:p>
    <w:p w14:paraId="37A3EF47" w14:textId="6F4FF377" w:rsidR="00155BAA" w:rsidRPr="00005453" w:rsidRDefault="00647EBE" w:rsidP="00155BAA">
      <w:pPr>
        <w:autoSpaceDE w:val="0"/>
        <w:autoSpaceDN w:val="0"/>
        <w:adjustRightInd w:val="0"/>
        <w:jc w:val="both"/>
        <w:rPr>
          <w:b/>
          <w:bCs/>
          <w:iCs/>
        </w:rPr>
      </w:pPr>
      <w:r w:rsidRPr="00005453">
        <w:rPr>
          <w:bCs/>
          <w:iCs/>
        </w:rPr>
        <w:t>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 tutarlı sermaye benzeri katkı sermaye (Tier-II) sukukunun 35,000,000 ABD Doları (tam tutar) Kuwait Finance House’a aittir.</w:t>
      </w:r>
    </w:p>
    <w:bookmarkEnd w:id="94"/>
    <w:p w14:paraId="70FBDE40" w14:textId="77777777" w:rsidR="00154A54" w:rsidRPr="00005453" w:rsidRDefault="00154A54" w:rsidP="00553A47">
      <w:pPr>
        <w:autoSpaceDE w:val="0"/>
        <w:autoSpaceDN w:val="0"/>
        <w:adjustRightInd w:val="0"/>
        <w:rPr>
          <w:bCs/>
          <w:iCs/>
          <w:sz w:val="16"/>
          <w:szCs w:val="16"/>
        </w:rPr>
      </w:pPr>
    </w:p>
    <w:p w14:paraId="10B7F38A" w14:textId="02ED0906" w:rsidR="000F096F" w:rsidRPr="00005453" w:rsidRDefault="00EC1D5D" w:rsidP="006029DA">
      <w:pPr>
        <w:autoSpaceDE w:val="0"/>
        <w:autoSpaceDN w:val="0"/>
        <w:adjustRightInd w:val="0"/>
        <w:ind w:hanging="567"/>
        <w:rPr>
          <w:b/>
          <w:bCs/>
          <w:iCs/>
        </w:rPr>
      </w:pPr>
      <w:r w:rsidRPr="00005453">
        <w:rPr>
          <w:b/>
          <w:bCs/>
          <w:iCs/>
        </w:rPr>
        <w:t>7</w:t>
      </w:r>
      <w:r w:rsidR="0030639E" w:rsidRPr="00005453">
        <w:rPr>
          <w:b/>
          <w:bCs/>
          <w:iCs/>
        </w:rPr>
        <w:t>.</w:t>
      </w:r>
      <w:r w:rsidR="000F0D9B" w:rsidRPr="00005453">
        <w:rPr>
          <w:b/>
          <w:bCs/>
          <w:iCs/>
        </w:rPr>
        <w:t>6</w:t>
      </w:r>
      <w:r w:rsidR="006029DA" w:rsidRPr="00005453">
        <w:rPr>
          <w:b/>
          <w:bCs/>
          <w:iCs/>
        </w:rPr>
        <w:tab/>
      </w:r>
      <w:r w:rsidR="00E253C8" w:rsidRPr="00005453">
        <w:rPr>
          <w:b/>
          <w:bCs/>
          <w:iCs/>
        </w:rPr>
        <w:t>Üst Yönetime sağlanan faydalara ilişkin bilgiler</w:t>
      </w:r>
    </w:p>
    <w:p w14:paraId="7C06B7AA" w14:textId="77777777" w:rsidR="000F096F" w:rsidRPr="00005453" w:rsidRDefault="000F096F" w:rsidP="000F096F">
      <w:pPr>
        <w:ind w:left="540"/>
        <w:rPr>
          <w:bCs/>
          <w:iCs/>
          <w:sz w:val="16"/>
          <w:szCs w:val="16"/>
        </w:rPr>
      </w:pPr>
    </w:p>
    <w:p w14:paraId="28C1005A" w14:textId="66AED2FD" w:rsidR="00F11877" w:rsidRPr="00005453" w:rsidRDefault="00527FBB" w:rsidP="004C4FA7">
      <w:pPr>
        <w:jc w:val="both"/>
        <w:rPr>
          <w:bCs/>
          <w:iCs/>
          <w:spacing w:val="-6"/>
        </w:rPr>
      </w:pPr>
      <w:r w:rsidRPr="00005453">
        <w:rPr>
          <w:bCs/>
          <w:iCs/>
          <w:spacing w:val="-6"/>
        </w:rPr>
        <w:t xml:space="preserve">1 </w:t>
      </w:r>
      <w:proofErr w:type="gramStart"/>
      <w:r w:rsidRPr="00005453">
        <w:rPr>
          <w:bCs/>
          <w:iCs/>
          <w:spacing w:val="-6"/>
        </w:rPr>
        <w:t>Ocak</w:t>
      </w:r>
      <w:r w:rsidR="00985F6C" w:rsidRPr="00005453">
        <w:rPr>
          <w:bCs/>
          <w:iCs/>
          <w:spacing w:val="-6"/>
        </w:rPr>
        <w:t xml:space="preserve"> </w:t>
      </w:r>
      <w:r w:rsidRPr="00005453">
        <w:rPr>
          <w:bCs/>
          <w:iCs/>
          <w:spacing w:val="-6"/>
        </w:rPr>
        <w:t>-</w:t>
      </w:r>
      <w:proofErr w:type="gramEnd"/>
      <w:r w:rsidR="00985F6C" w:rsidRPr="00005453">
        <w:rPr>
          <w:bCs/>
          <w:iCs/>
          <w:spacing w:val="-6"/>
        </w:rPr>
        <w:t xml:space="preserve"> </w:t>
      </w:r>
      <w:r w:rsidR="00095B71" w:rsidRPr="00005453">
        <w:t>31 Aralık 2</w:t>
      </w:r>
      <w:r w:rsidR="00D83068" w:rsidRPr="00005453">
        <w:t>02</w:t>
      </w:r>
      <w:r w:rsidR="004143AB" w:rsidRPr="00005453">
        <w:t>4</w:t>
      </w:r>
      <w:r w:rsidR="00E253C8" w:rsidRPr="00005453">
        <w:rPr>
          <w:bCs/>
          <w:iCs/>
          <w:spacing w:val="-6"/>
        </w:rPr>
        <w:t xml:space="preserve"> </w:t>
      </w:r>
      <w:r w:rsidRPr="00005453">
        <w:rPr>
          <w:bCs/>
          <w:iCs/>
          <w:spacing w:val="-6"/>
        </w:rPr>
        <w:t>döneminde</w:t>
      </w:r>
      <w:r w:rsidR="00E253C8" w:rsidRPr="00005453">
        <w:rPr>
          <w:bCs/>
          <w:iCs/>
          <w:spacing w:val="-6"/>
        </w:rPr>
        <w:t xml:space="preserve"> Banka üst yönetimine </w:t>
      </w:r>
      <w:r w:rsidR="00842D5E" w:rsidRPr="00005453">
        <w:rPr>
          <w:bCs/>
          <w:iCs/>
          <w:spacing w:val="-6"/>
        </w:rPr>
        <w:t>457,943</w:t>
      </w:r>
      <w:r w:rsidR="00CD03F4" w:rsidRPr="00005453">
        <w:rPr>
          <w:bCs/>
          <w:iCs/>
          <w:spacing w:val="-6"/>
        </w:rPr>
        <w:t xml:space="preserve"> </w:t>
      </w:r>
      <w:r w:rsidR="00E253C8" w:rsidRPr="00005453">
        <w:rPr>
          <w:bCs/>
          <w:iCs/>
          <w:spacing w:val="-6"/>
        </w:rPr>
        <w:t>TL (</w:t>
      </w:r>
      <w:r w:rsidR="005D1B6E" w:rsidRPr="00005453">
        <w:rPr>
          <w:bCs/>
          <w:iCs/>
          <w:spacing w:val="-6"/>
        </w:rPr>
        <w:t>1 Ocak</w:t>
      </w:r>
      <w:r w:rsidR="00985F6C" w:rsidRPr="00005453">
        <w:rPr>
          <w:bCs/>
          <w:iCs/>
          <w:spacing w:val="-6"/>
        </w:rPr>
        <w:t xml:space="preserve"> </w:t>
      </w:r>
      <w:r w:rsidR="005D1B6E" w:rsidRPr="00005453">
        <w:rPr>
          <w:bCs/>
          <w:iCs/>
          <w:spacing w:val="-6"/>
        </w:rPr>
        <w:t>-</w:t>
      </w:r>
      <w:r w:rsidR="00985F6C" w:rsidRPr="00005453">
        <w:rPr>
          <w:bCs/>
          <w:iCs/>
          <w:spacing w:val="-6"/>
        </w:rPr>
        <w:t xml:space="preserve"> </w:t>
      </w:r>
      <w:r w:rsidR="00095B71" w:rsidRPr="00005453">
        <w:t>31 Aralık 20</w:t>
      </w:r>
      <w:r w:rsidR="00154A54" w:rsidRPr="00005453">
        <w:t>2</w:t>
      </w:r>
      <w:r w:rsidR="004143AB" w:rsidRPr="00005453">
        <w:t>3</w:t>
      </w:r>
      <w:r w:rsidR="00E253C8" w:rsidRPr="00005453">
        <w:rPr>
          <w:bCs/>
          <w:iCs/>
          <w:spacing w:val="-6"/>
        </w:rPr>
        <w:t xml:space="preserve"> – </w:t>
      </w:r>
      <w:r w:rsidR="006571E2" w:rsidRPr="00005453">
        <w:rPr>
          <w:bCs/>
          <w:iCs/>
          <w:spacing w:val="-6"/>
        </w:rPr>
        <w:t>263</w:t>
      </w:r>
      <w:r w:rsidR="00F46833" w:rsidRPr="00005453">
        <w:rPr>
          <w:bCs/>
          <w:iCs/>
          <w:spacing w:val="-6"/>
        </w:rPr>
        <w:t>,</w:t>
      </w:r>
      <w:r w:rsidR="006571E2" w:rsidRPr="00005453">
        <w:rPr>
          <w:bCs/>
          <w:iCs/>
          <w:spacing w:val="-6"/>
        </w:rPr>
        <w:t>879</w:t>
      </w:r>
      <w:r w:rsidR="00293126" w:rsidRPr="00005453">
        <w:rPr>
          <w:bCs/>
          <w:iCs/>
          <w:spacing w:val="-6"/>
        </w:rPr>
        <w:t xml:space="preserve"> </w:t>
      </w:r>
      <w:r w:rsidR="002F5629" w:rsidRPr="00005453">
        <w:rPr>
          <w:bCs/>
          <w:iCs/>
          <w:spacing w:val="-6"/>
        </w:rPr>
        <w:t>TL</w:t>
      </w:r>
      <w:r w:rsidR="00E253C8" w:rsidRPr="00005453">
        <w:rPr>
          <w:bCs/>
          <w:iCs/>
          <w:spacing w:val="-6"/>
        </w:rPr>
        <w:t>) tutarında ödeme yapılmıştır.</w:t>
      </w:r>
    </w:p>
    <w:p w14:paraId="3EB345C8" w14:textId="63DFF701" w:rsidR="0022205C" w:rsidRPr="00005453" w:rsidRDefault="0022205C" w:rsidP="004C4FA7">
      <w:pPr>
        <w:jc w:val="both"/>
        <w:rPr>
          <w:bCs/>
          <w:iCs/>
          <w:spacing w:val="-6"/>
        </w:rPr>
      </w:pPr>
    </w:p>
    <w:p w14:paraId="2213DC66" w14:textId="1F4855B6" w:rsidR="007F1884" w:rsidRPr="00005453" w:rsidRDefault="007F1884">
      <w:pPr>
        <w:rPr>
          <w:bCs/>
          <w:iCs/>
          <w:spacing w:val="-6"/>
        </w:rPr>
      </w:pPr>
      <w:r w:rsidRPr="00005453">
        <w:rPr>
          <w:bCs/>
          <w:iCs/>
          <w:spacing w:val="-6"/>
        </w:rPr>
        <w:br w:type="page"/>
      </w:r>
    </w:p>
    <w:p w14:paraId="64F56F8D" w14:textId="48D85818" w:rsidR="0022205C" w:rsidRPr="00005453" w:rsidRDefault="0022205C" w:rsidP="007F1884">
      <w:pPr>
        <w:pStyle w:val="EndnoteText"/>
        <w:autoSpaceDE w:val="0"/>
        <w:autoSpaceDN w:val="0"/>
        <w:adjustRightInd w:val="0"/>
        <w:ind w:hanging="567"/>
        <w:jc w:val="both"/>
        <w:rPr>
          <w:b/>
        </w:rPr>
      </w:pPr>
      <w:r w:rsidRPr="00005453">
        <w:rPr>
          <w:b/>
        </w:rPr>
        <w:lastRenderedPageBreak/>
        <w:t>8.</w:t>
      </w:r>
      <w:r w:rsidRPr="00005453">
        <w:rPr>
          <w:b/>
        </w:rPr>
        <w:tab/>
        <w:t>Banka’nın yurt</w:t>
      </w:r>
      <w:r w:rsidR="00714298" w:rsidRPr="00005453">
        <w:rPr>
          <w:b/>
        </w:rPr>
        <w:t xml:space="preserve"> </w:t>
      </w:r>
      <w:r w:rsidRPr="00005453">
        <w:rPr>
          <w:b/>
        </w:rPr>
        <w:t>içi, yurt</w:t>
      </w:r>
      <w:r w:rsidR="00455FD1" w:rsidRPr="00005453">
        <w:rPr>
          <w:b/>
        </w:rPr>
        <w:t xml:space="preserve"> </w:t>
      </w:r>
      <w:r w:rsidRPr="00005453">
        <w:rPr>
          <w:b/>
        </w:rPr>
        <w:t>dışı, kıyı bankacılığı bölgelerindeki şubeleri ile yurt</w:t>
      </w:r>
      <w:r w:rsidR="00455FD1" w:rsidRPr="00005453">
        <w:rPr>
          <w:b/>
        </w:rPr>
        <w:t xml:space="preserve"> </w:t>
      </w:r>
      <w:r w:rsidRPr="00005453">
        <w:rPr>
          <w:b/>
        </w:rPr>
        <w:t xml:space="preserve">dışı temsilciliklerine ilişkin bilgiler </w:t>
      </w:r>
    </w:p>
    <w:p w14:paraId="36C572A1" w14:textId="77777777" w:rsidR="0022205C" w:rsidRPr="00005453" w:rsidRDefault="0022205C" w:rsidP="0022205C">
      <w:pPr>
        <w:pStyle w:val="EndnoteText"/>
        <w:autoSpaceDE w:val="0"/>
        <w:autoSpaceDN w:val="0"/>
        <w:adjustRightInd w:val="0"/>
        <w:ind w:hanging="540"/>
        <w:rPr>
          <w:b/>
          <w:sz w:val="16"/>
          <w:szCs w:val="16"/>
        </w:rPr>
      </w:pPr>
    </w:p>
    <w:p w14:paraId="4FCB4E5F" w14:textId="2EB85DF9" w:rsidR="0022205C" w:rsidRPr="00005453" w:rsidRDefault="0022205C" w:rsidP="0022205C">
      <w:pPr>
        <w:pStyle w:val="BodyTextIndent"/>
        <w:autoSpaceDE/>
        <w:autoSpaceDN/>
        <w:adjustRightInd/>
        <w:ind w:left="0" w:hanging="567"/>
        <w:rPr>
          <w:b/>
        </w:rPr>
      </w:pPr>
      <w:bookmarkStart w:id="95" w:name="_Hlk125303545"/>
      <w:r w:rsidRPr="00005453">
        <w:rPr>
          <w:b/>
        </w:rPr>
        <w:t>8.1.</w:t>
      </w:r>
      <w:r w:rsidRPr="00005453">
        <w:rPr>
          <w:b/>
        </w:rPr>
        <w:tab/>
        <w:t>Banka’nın yurt</w:t>
      </w:r>
      <w:r w:rsidR="00714298" w:rsidRPr="00005453">
        <w:rPr>
          <w:b/>
        </w:rPr>
        <w:t xml:space="preserve"> </w:t>
      </w:r>
      <w:r w:rsidRPr="00005453">
        <w:rPr>
          <w:b/>
        </w:rPr>
        <w:t>içi ve yurt</w:t>
      </w:r>
      <w:r w:rsidR="00455FD1" w:rsidRPr="00005453">
        <w:rPr>
          <w:b/>
        </w:rPr>
        <w:t xml:space="preserve"> </w:t>
      </w:r>
      <w:r w:rsidRPr="00005453">
        <w:rPr>
          <w:b/>
        </w:rPr>
        <w:t>dışı şube ve temsilciliklerine ilişkin bilgiler</w:t>
      </w:r>
    </w:p>
    <w:p w14:paraId="57E8570B" w14:textId="603694E4" w:rsidR="003C561C" w:rsidRPr="00005453" w:rsidRDefault="003C561C" w:rsidP="0022205C">
      <w:pPr>
        <w:rPr>
          <w:lang w:eastAsia="en-GB"/>
        </w:rPr>
      </w:pPr>
    </w:p>
    <w:tbl>
      <w:tblPr>
        <w:tblW w:w="9346" w:type="dxa"/>
        <w:tblLayout w:type="fixed"/>
        <w:tblCellMar>
          <w:left w:w="70" w:type="dxa"/>
          <w:right w:w="70" w:type="dxa"/>
        </w:tblCellMar>
        <w:tblLook w:val="04A0" w:firstRow="1" w:lastRow="0" w:firstColumn="1" w:lastColumn="0" w:noHBand="0" w:noVBand="1"/>
      </w:tblPr>
      <w:tblGrid>
        <w:gridCol w:w="2117"/>
        <w:gridCol w:w="768"/>
        <w:gridCol w:w="847"/>
        <w:gridCol w:w="1192"/>
        <w:gridCol w:w="1204"/>
        <w:gridCol w:w="3218"/>
      </w:tblGrid>
      <w:tr w:rsidR="005B415C" w:rsidRPr="00005453" w14:paraId="5CBED8EF" w14:textId="77777777" w:rsidTr="00286E25">
        <w:trPr>
          <w:divId w:val="725494403"/>
          <w:trHeight w:val="197"/>
        </w:trPr>
        <w:tc>
          <w:tcPr>
            <w:tcW w:w="211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588E03D" w14:textId="4F35A42E" w:rsidR="003C561C" w:rsidRPr="00005453" w:rsidRDefault="003C561C" w:rsidP="003C561C">
            <w:pPr>
              <w:rPr>
                <w:color w:val="000000"/>
                <w:sz w:val="18"/>
                <w:szCs w:val="18"/>
                <w:lang w:eastAsia="tr-TR"/>
              </w:rPr>
            </w:pPr>
            <w:r w:rsidRPr="00005453">
              <w:rPr>
                <w:color w:val="000000"/>
                <w:sz w:val="18"/>
                <w:szCs w:val="18"/>
                <w:lang w:eastAsia="tr-TR"/>
              </w:rPr>
              <w:t> </w:t>
            </w:r>
          </w:p>
        </w:tc>
        <w:tc>
          <w:tcPr>
            <w:tcW w:w="768" w:type="dxa"/>
            <w:tcBorders>
              <w:top w:val="single" w:sz="8" w:space="0" w:color="000000"/>
              <w:left w:val="nil"/>
              <w:bottom w:val="single" w:sz="8" w:space="0" w:color="000000"/>
              <w:right w:val="single" w:sz="8" w:space="0" w:color="000000"/>
            </w:tcBorders>
            <w:shd w:val="clear" w:color="auto" w:fill="auto"/>
            <w:vAlign w:val="center"/>
            <w:hideMark/>
          </w:tcPr>
          <w:p w14:paraId="4F0F6C89" w14:textId="77777777" w:rsidR="003C561C" w:rsidRPr="00005453" w:rsidRDefault="003C561C" w:rsidP="003C561C">
            <w:pPr>
              <w:jc w:val="right"/>
              <w:rPr>
                <w:b/>
                <w:bCs/>
                <w:color w:val="000000"/>
                <w:sz w:val="18"/>
                <w:szCs w:val="18"/>
                <w:lang w:eastAsia="tr-TR"/>
              </w:rPr>
            </w:pPr>
            <w:r w:rsidRPr="00005453">
              <w:rPr>
                <w:b/>
                <w:bCs/>
                <w:color w:val="000000"/>
                <w:sz w:val="18"/>
                <w:szCs w:val="18"/>
                <w:lang w:eastAsia="tr-TR"/>
              </w:rPr>
              <w:t>Sayı</w:t>
            </w:r>
          </w:p>
        </w:tc>
        <w:tc>
          <w:tcPr>
            <w:tcW w:w="847" w:type="dxa"/>
            <w:tcBorders>
              <w:top w:val="single" w:sz="8" w:space="0" w:color="000000"/>
              <w:left w:val="nil"/>
              <w:bottom w:val="single" w:sz="8" w:space="0" w:color="000000"/>
              <w:right w:val="single" w:sz="8" w:space="0" w:color="000000"/>
            </w:tcBorders>
            <w:shd w:val="clear" w:color="auto" w:fill="auto"/>
            <w:vAlign w:val="center"/>
            <w:hideMark/>
          </w:tcPr>
          <w:p w14:paraId="1DC39E96" w14:textId="77777777" w:rsidR="003C561C" w:rsidRPr="00005453" w:rsidRDefault="003C561C" w:rsidP="003C561C">
            <w:pPr>
              <w:jc w:val="right"/>
              <w:rPr>
                <w:b/>
                <w:bCs/>
                <w:color w:val="000000"/>
                <w:sz w:val="18"/>
                <w:szCs w:val="18"/>
                <w:lang w:eastAsia="tr-TR"/>
              </w:rPr>
            </w:pPr>
            <w:r w:rsidRPr="00005453">
              <w:rPr>
                <w:b/>
                <w:bCs/>
                <w:color w:val="000000"/>
                <w:sz w:val="18"/>
                <w:szCs w:val="18"/>
                <w:lang w:eastAsia="tr-TR"/>
              </w:rPr>
              <w:t>Çalışan Sayısı</w:t>
            </w:r>
          </w:p>
        </w:tc>
        <w:tc>
          <w:tcPr>
            <w:tcW w:w="5614" w:type="dxa"/>
            <w:gridSpan w:val="3"/>
            <w:tcBorders>
              <w:top w:val="nil"/>
              <w:left w:val="nil"/>
              <w:bottom w:val="nil"/>
              <w:right w:val="nil"/>
            </w:tcBorders>
            <w:shd w:val="clear" w:color="auto" w:fill="auto"/>
            <w:vAlign w:val="center"/>
            <w:hideMark/>
          </w:tcPr>
          <w:p w14:paraId="74A799A9" w14:textId="77777777" w:rsidR="003C561C" w:rsidRPr="00005453" w:rsidRDefault="003C561C" w:rsidP="003C561C">
            <w:pPr>
              <w:rPr>
                <w:color w:val="000000"/>
                <w:sz w:val="18"/>
                <w:szCs w:val="18"/>
                <w:lang w:eastAsia="tr-TR"/>
              </w:rPr>
            </w:pPr>
            <w:r w:rsidRPr="00005453">
              <w:rPr>
                <w:color w:val="000000"/>
                <w:sz w:val="18"/>
                <w:szCs w:val="18"/>
                <w:lang w:eastAsia="tr-TR"/>
              </w:rPr>
              <w:t> </w:t>
            </w:r>
          </w:p>
        </w:tc>
      </w:tr>
      <w:tr w:rsidR="005B415C" w:rsidRPr="00005453" w14:paraId="4FACB5F1" w14:textId="77777777" w:rsidTr="00286E25">
        <w:trPr>
          <w:divId w:val="725494403"/>
          <w:trHeight w:val="197"/>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2095426F" w14:textId="71F9D758" w:rsidR="00E438A2" w:rsidRPr="00005453" w:rsidRDefault="00E438A2" w:rsidP="00E438A2">
            <w:pPr>
              <w:rPr>
                <w:color w:val="000000"/>
                <w:sz w:val="18"/>
                <w:szCs w:val="18"/>
                <w:lang w:eastAsia="tr-TR"/>
              </w:rPr>
            </w:pPr>
            <w:r w:rsidRPr="00005453">
              <w:rPr>
                <w:color w:val="000000"/>
                <w:sz w:val="18"/>
                <w:szCs w:val="18"/>
                <w:lang w:eastAsia="tr-TR"/>
              </w:rPr>
              <w:t>Yurt</w:t>
            </w:r>
            <w:r w:rsidR="00714298" w:rsidRPr="00005453">
              <w:rPr>
                <w:color w:val="000000"/>
                <w:sz w:val="18"/>
                <w:szCs w:val="18"/>
                <w:lang w:eastAsia="tr-TR"/>
              </w:rPr>
              <w:t xml:space="preserve"> </w:t>
            </w:r>
            <w:r w:rsidRPr="00005453">
              <w:rPr>
                <w:color w:val="000000"/>
                <w:sz w:val="18"/>
                <w:szCs w:val="18"/>
                <w:lang w:eastAsia="tr-TR"/>
              </w:rPr>
              <w:t>içi şube (*)</w:t>
            </w:r>
          </w:p>
        </w:tc>
        <w:tc>
          <w:tcPr>
            <w:tcW w:w="768" w:type="dxa"/>
            <w:tcBorders>
              <w:top w:val="nil"/>
              <w:left w:val="nil"/>
              <w:bottom w:val="single" w:sz="8" w:space="0" w:color="000000"/>
              <w:right w:val="single" w:sz="8" w:space="0" w:color="000000"/>
            </w:tcBorders>
            <w:shd w:val="clear" w:color="auto" w:fill="auto"/>
            <w:vAlign w:val="bottom"/>
            <w:hideMark/>
          </w:tcPr>
          <w:p w14:paraId="19226E99" w14:textId="74511BC2" w:rsidR="00E438A2" w:rsidRPr="00005453" w:rsidRDefault="00E438A2" w:rsidP="00E438A2">
            <w:pPr>
              <w:jc w:val="right"/>
              <w:rPr>
                <w:color w:val="000000"/>
                <w:sz w:val="18"/>
                <w:szCs w:val="18"/>
                <w:lang w:eastAsia="tr-TR"/>
              </w:rPr>
            </w:pPr>
            <w:r w:rsidRPr="00005453">
              <w:rPr>
                <w:sz w:val="18"/>
                <w:szCs w:val="18"/>
              </w:rPr>
              <w:t>44</w:t>
            </w:r>
            <w:r w:rsidR="00C07A6F" w:rsidRPr="00005453">
              <w:rPr>
                <w:sz w:val="18"/>
                <w:szCs w:val="18"/>
              </w:rPr>
              <w:t>8</w:t>
            </w:r>
          </w:p>
        </w:tc>
        <w:tc>
          <w:tcPr>
            <w:tcW w:w="847" w:type="dxa"/>
            <w:tcBorders>
              <w:top w:val="nil"/>
              <w:left w:val="nil"/>
              <w:bottom w:val="single" w:sz="8" w:space="0" w:color="000000"/>
              <w:right w:val="single" w:sz="8" w:space="0" w:color="000000"/>
            </w:tcBorders>
            <w:shd w:val="clear" w:color="auto" w:fill="auto"/>
            <w:vAlign w:val="bottom"/>
            <w:hideMark/>
          </w:tcPr>
          <w:p w14:paraId="58F9A7FE" w14:textId="71417582" w:rsidR="00E438A2" w:rsidRPr="00005453" w:rsidRDefault="00E438A2" w:rsidP="00E438A2">
            <w:pPr>
              <w:jc w:val="right"/>
              <w:rPr>
                <w:color w:val="000000"/>
                <w:sz w:val="18"/>
                <w:szCs w:val="18"/>
                <w:lang w:eastAsia="tr-TR"/>
              </w:rPr>
            </w:pPr>
            <w:r w:rsidRPr="00005453">
              <w:rPr>
                <w:sz w:val="18"/>
                <w:szCs w:val="18"/>
              </w:rPr>
              <w:t>4</w:t>
            </w:r>
            <w:r w:rsidR="0029759B" w:rsidRPr="00005453">
              <w:rPr>
                <w:sz w:val="18"/>
                <w:szCs w:val="18"/>
              </w:rPr>
              <w:t>,</w:t>
            </w:r>
            <w:r w:rsidRPr="00005453">
              <w:rPr>
                <w:sz w:val="18"/>
                <w:szCs w:val="18"/>
              </w:rPr>
              <w:t>0</w:t>
            </w:r>
            <w:r w:rsidR="00C07A6F" w:rsidRPr="00005453">
              <w:rPr>
                <w:sz w:val="18"/>
                <w:szCs w:val="18"/>
              </w:rPr>
              <w:t>79</w:t>
            </w:r>
          </w:p>
        </w:tc>
        <w:tc>
          <w:tcPr>
            <w:tcW w:w="5614" w:type="dxa"/>
            <w:gridSpan w:val="3"/>
            <w:tcBorders>
              <w:top w:val="nil"/>
              <w:left w:val="nil"/>
              <w:bottom w:val="nil"/>
              <w:right w:val="nil"/>
            </w:tcBorders>
            <w:shd w:val="clear" w:color="auto" w:fill="auto"/>
            <w:vAlign w:val="center"/>
            <w:hideMark/>
          </w:tcPr>
          <w:p w14:paraId="7CAE8EE4" w14:textId="77777777" w:rsidR="00E438A2" w:rsidRPr="00005453" w:rsidRDefault="00E438A2" w:rsidP="00E438A2">
            <w:pPr>
              <w:rPr>
                <w:color w:val="000000"/>
                <w:sz w:val="18"/>
                <w:szCs w:val="18"/>
                <w:lang w:eastAsia="tr-TR"/>
              </w:rPr>
            </w:pPr>
            <w:r w:rsidRPr="00005453">
              <w:rPr>
                <w:color w:val="000000"/>
                <w:sz w:val="18"/>
                <w:szCs w:val="18"/>
                <w:lang w:eastAsia="tr-TR"/>
              </w:rPr>
              <w:t> </w:t>
            </w:r>
          </w:p>
        </w:tc>
      </w:tr>
      <w:tr w:rsidR="005B415C" w:rsidRPr="00005453" w14:paraId="14B2429A" w14:textId="77777777" w:rsidTr="00286E25">
        <w:trPr>
          <w:divId w:val="725494403"/>
          <w:trHeight w:val="310"/>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2FCCB4CB" w14:textId="77777777" w:rsidR="00E438A2" w:rsidRPr="00005453" w:rsidRDefault="00E438A2" w:rsidP="00E438A2">
            <w:pPr>
              <w:rPr>
                <w:color w:val="000000"/>
                <w:sz w:val="18"/>
                <w:szCs w:val="18"/>
                <w:lang w:eastAsia="tr-TR"/>
              </w:rPr>
            </w:pPr>
            <w:r w:rsidRPr="00005453">
              <w:rPr>
                <w:color w:val="000000"/>
                <w:sz w:val="18"/>
                <w:szCs w:val="18"/>
                <w:lang w:eastAsia="tr-TR"/>
              </w:rPr>
              <w:t> </w:t>
            </w:r>
          </w:p>
        </w:tc>
        <w:tc>
          <w:tcPr>
            <w:tcW w:w="768" w:type="dxa"/>
            <w:tcBorders>
              <w:top w:val="nil"/>
              <w:left w:val="nil"/>
              <w:bottom w:val="single" w:sz="8" w:space="0" w:color="000000"/>
              <w:right w:val="single" w:sz="8" w:space="0" w:color="000000"/>
            </w:tcBorders>
            <w:shd w:val="clear" w:color="auto" w:fill="auto"/>
            <w:vAlign w:val="bottom"/>
            <w:hideMark/>
          </w:tcPr>
          <w:p w14:paraId="5B40AC35" w14:textId="4E86DA8A" w:rsidR="00E438A2" w:rsidRPr="00005453" w:rsidRDefault="00E438A2" w:rsidP="00286E25">
            <w:pPr>
              <w:ind w:left="77" w:right="-255" w:hanging="77"/>
              <w:jc w:val="right"/>
              <w:rPr>
                <w:color w:val="000000"/>
                <w:sz w:val="18"/>
                <w:szCs w:val="18"/>
                <w:lang w:eastAsia="tr-TR"/>
              </w:rPr>
            </w:pPr>
          </w:p>
        </w:tc>
        <w:tc>
          <w:tcPr>
            <w:tcW w:w="847" w:type="dxa"/>
            <w:tcBorders>
              <w:top w:val="nil"/>
              <w:left w:val="nil"/>
              <w:bottom w:val="single" w:sz="8" w:space="0" w:color="000000"/>
              <w:right w:val="single" w:sz="8" w:space="0" w:color="000000"/>
            </w:tcBorders>
            <w:shd w:val="clear" w:color="auto" w:fill="auto"/>
            <w:vAlign w:val="bottom"/>
            <w:hideMark/>
          </w:tcPr>
          <w:p w14:paraId="5B1B4CA3" w14:textId="267AC6DD" w:rsidR="00E438A2" w:rsidRPr="00005453" w:rsidRDefault="00E438A2" w:rsidP="00E438A2">
            <w:pPr>
              <w:jc w:val="right"/>
              <w:rPr>
                <w:color w:val="000000"/>
                <w:sz w:val="18"/>
                <w:szCs w:val="18"/>
                <w:lang w:eastAsia="tr-TR"/>
              </w:rPr>
            </w:pPr>
          </w:p>
        </w:tc>
        <w:tc>
          <w:tcPr>
            <w:tcW w:w="1192" w:type="dxa"/>
            <w:tcBorders>
              <w:top w:val="single" w:sz="8" w:space="0" w:color="000000"/>
              <w:left w:val="nil"/>
              <w:bottom w:val="single" w:sz="8" w:space="0" w:color="000000"/>
              <w:right w:val="single" w:sz="8" w:space="0" w:color="auto"/>
            </w:tcBorders>
            <w:shd w:val="clear" w:color="auto" w:fill="auto"/>
            <w:vAlign w:val="center"/>
            <w:hideMark/>
          </w:tcPr>
          <w:p w14:paraId="4157EBD2" w14:textId="77777777" w:rsidR="00E438A2" w:rsidRPr="00005453" w:rsidRDefault="00E438A2" w:rsidP="00E438A2">
            <w:pPr>
              <w:jc w:val="center"/>
              <w:rPr>
                <w:b/>
                <w:bCs/>
                <w:color w:val="000000"/>
                <w:sz w:val="18"/>
                <w:szCs w:val="18"/>
                <w:lang w:eastAsia="tr-TR"/>
              </w:rPr>
            </w:pPr>
            <w:r w:rsidRPr="00005453">
              <w:rPr>
                <w:b/>
                <w:bCs/>
                <w:color w:val="000000"/>
                <w:sz w:val="18"/>
                <w:szCs w:val="18"/>
                <w:lang w:eastAsia="tr-TR"/>
              </w:rPr>
              <w:t>Bulunduğu Ülke</w:t>
            </w:r>
          </w:p>
        </w:tc>
        <w:tc>
          <w:tcPr>
            <w:tcW w:w="1204" w:type="dxa"/>
            <w:tcBorders>
              <w:top w:val="nil"/>
              <w:left w:val="nil"/>
              <w:bottom w:val="single" w:sz="8" w:space="0" w:color="auto"/>
              <w:right w:val="nil"/>
            </w:tcBorders>
            <w:shd w:val="clear" w:color="auto" w:fill="auto"/>
            <w:vAlign w:val="center"/>
            <w:hideMark/>
          </w:tcPr>
          <w:p w14:paraId="64FEB2A0" w14:textId="77777777" w:rsidR="00E438A2" w:rsidRPr="00005453" w:rsidRDefault="00E438A2" w:rsidP="00E438A2">
            <w:pPr>
              <w:rPr>
                <w:color w:val="000000"/>
                <w:sz w:val="18"/>
                <w:szCs w:val="18"/>
                <w:lang w:eastAsia="tr-TR"/>
              </w:rPr>
            </w:pPr>
            <w:r w:rsidRPr="00005453">
              <w:rPr>
                <w:color w:val="000000"/>
                <w:sz w:val="18"/>
                <w:szCs w:val="18"/>
                <w:lang w:eastAsia="tr-TR"/>
              </w:rPr>
              <w:t> </w:t>
            </w:r>
          </w:p>
        </w:tc>
        <w:tc>
          <w:tcPr>
            <w:tcW w:w="3218" w:type="dxa"/>
            <w:tcBorders>
              <w:top w:val="nil"/>
              <w:left w:val="nil"/>
              <w:bottom w:val="single" w:sz="8" w:space="0" w:color="auto"/>
              <w:right w:val="nil"/>
            </w:tcBorders>
            <w:shd w:val="clear" w:color="auto" w:fill="auto"/>
            <w:vAlign w:val="center"/>
            <w:hideMark/>
          </w:tcPr>
          <w:p w14:paraId="1A178E14" w14:textId="77777777" w:rsidR="00E438A2" w:rsidRPr="00005453" w:rsidRDefault="00E438A2" w:rsidP="00E438A2">
            <w:pPr>
              <w:rPr>
                <w:color w:val="000000"/>
                <w:sz w:val="18"/>
                <w:szCs w:val="18"/>
                <w:lang w:eastAsia="tr-TR"/>
              </w:rPr>
            </w:pPr>
            <w:r w:rsidRPr="00005453">
              <w:rPr>
                <w:color w:val="000000"/>
                <w:sz w:val="18"/>
                <w:szCs w:val="18"/>
                <w:lang w:eastAsia="tr-TR"/>
              </w:rPr>
              <w:t> </w:t>
            </w:r>
          </w:p>
        </w:tc>
      </w:tr>
      <w:tr w:rsidR="005B415C" w:rsidRPr="00005453" w14:paraId="52FD635F" w14:textId="77777777" w:rsidTr="00286E25">
        <w:trPr>
          <w:divId w:val="725494403"/>
          <w:trHeight w:val="461"/>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15B1BD4E" w14:textId="0A750B9A" w:rsidR="00E438A2" w:rsidRPr="00005453" w:rsidRDefault="00E438A2" w:rsidP="00E438A2">
            <w:pPr>
              <w:rPr>
                <w:color w:val="000000"/>
                <w:sz w:val="18"/>
                <w:szCs w:val="18"/>
                <w:lang w:eastAsia="tr-TR"/>
              </w:rPr>
            </w:pPr>
            <w:r w:rsidRPr="00005453">
              <w:rPr>
                <w:color w:val="000000"/>
                <w:sz w:val="18"/>
                <w:szCs w:val="18"/>
                <w:lang w:eastAsia="tr-TR"/>
              </w:rPr>
              <w:t>Yurt</w:t>
            </w:r>
            <w:r w:rsidR="00455FD1" w:rsidRPr="00005453">
              <w:rPr>
                <w:color w:val="000000"/>
                <w:sz w:val="18"/>
                <w:szCs w:val="18"/>
                <w:lang w:eastAsia="tr-TR"/>
              </w:rPr>
              <w:t xml:space="preserve"> </w:t>
            </w:r>
            <w:r w:rsidRPr="00005453">
              <w:rPr>
                <w:color w:val="000000"/>
                <w:sz w:val="18"/>
                <w:szCs w:val="18"/>
                <w:lang w:eastAsia="tr-TR"/>
              </w:rPr>
              <w:t>dışı temsilcilikler</w:t>
            </w:r>
          </w:p>
        </w:tc>
        <w:tc>
          <w:tcPr>
            <w:tcW w:w="768" w:type="dxa"/>
            <w:tcBorders>
              <w:top w:val="nil"/>
              <w:left w:val="nil"/>
              <w:bottom w:val="single" w:sz="8" w:space="0" w:color="000000"/>
              <w:right w:val="single" w:sz="8" w:space="0" w:color="000000"/>
            </w:tcBorders>
            <w:shd w:val="clear" w:color="auto" w:fill="auto"/>
            <w:vAlign w:val="bottom"/>
          </w:tcPr>
          <w:p w14:paraId="5EB80505" w14:textId="435FE619" w:rsidR="00E438A2" w:rsidRPr="00005453" w:rsidRDefault="00E438A2" w:rsidP="00E438A2">
            <w:pPr>
              <w:jc w:val="right"/>
              <w:rPr>
                <w:color w:val="000000"/>
                <w:sz w:val="18"/>
                <w:szCs w:val="18"/>
                <w:lang w:eastAsia="tr-TR"/>
              </w:rPr>
            </w:pPr>
          </w:p>
        </w:tc>
        <w:tc>
          <w:tcPr>
            <w:tcW w:w="847" w:type="dxa"/>
            <w:tcBorders>
              <w:top w:val="nil"/>
              <w:left w:val="nil"/>
              <w:bottom w:val="single" w:sz="8" w:space="0" w:color="000000"/>
              <w:right w:val="single" w:sz="8" w:space="0" w:color="000000"/>
            </w:tcBorders>
            <w:shd w:val="clear" w:color="auto" w:fill="auto"/>
            <w:vAlign w:val="bottom"/>
          </w:tcPr>
          <w:p w14:paraId="54A566AF" w14:textId="50756992" w:rsidR="00E438A2" w:rsidRPr="00005453" w:rsidRDefault="00E438A2" w:rsidP="00E438A2">
            <w:pPr>
              <w:jc w:val="right"/>
              <w:rPr>
                <w:color w:val="000000"/>
                <w:sz w:val="18"/>
                <w:szCs w:val="18"/>
                <w:lang w:eastAsia="tr-TR"/>
              </w:rPr>
            </w:pPr>
          </w:p>
        </w:tc>
        <w:tc>
          <w:tcPr>
            <w:tcW w:w="1192" w:type="dxa"/>
            <w:tcBorders>
              <w:top w:val="nil"/>
              <w:left w:val="nil"/>
              <w:bottom w:val="single" w:sz="8" w:space="0" w:color="000000"/>
              <w:right w:val="single" w:sz="8" w:space="0" w:color="auto"/>
            </w:tcBorders>
            <w:shd w:val="clear" w:color="auto" w:fill="auto"/>
            <w:vAlign w:val="center"/>
            <w:hideMark/>
          </w:tcPr>
          <w:p w14:paraId="6861278E" w14:textId="77777777" w:rsidR="00E438A2" w:rsidRPr="00005453" w:rsidRDefault="00E438A2" w:rsidP="00E438A2">
            <w:pPr>
              <w:jc w:val="right"/>
              <w:rPr>
                <w:color w:val="000000"/>
                <w:sz w:val="18"/>
                <w:szCs w:val="18"/>
                <w:lang w:eastAsia="tr-TR"/>
              </w:rPr>
            </w:pPr>
            <w:r w:rsidRPr="00005453">
              <w:rPr>
                <w:color w:val="000000"/>
                <w:sz w:val="18"/>
                <w:szCs w:val="18"/>
                <w:lang w:eastAsia="tr-TR"/>
              </w:rPr>
              <w:t> </w:t>
            </w:r>
          </w:p>
        </w:tc>
        <w:tc>
          <w:tcPr>
            <w:tcW w:w="1204" w:type="dxa"/>
            <w:tcBorders>
              <w:top w:val="nil"/>
              <w:left w:val="nil"/>
              <w:bottom w:val="single" w:sz="8" w:space="0" w:color="auto"/>
              <w:right w:val="single" w:sz="8" w:space="0" w:color="auto"/>
            </w:tcBorders>
            <w:shd w:val="clear" w:color="auto" w:fill="auto"/>
            <w:vAlign w:val="center"/>
            <w:hideMark/>
          </w:tcPr>
          <w:p w14:paraId="72376692" w14:textId="5C00E14E" w:rsidR="00E438A2" w:rsidRPr="00005453" w:rsidRDefault="00E438A2" w:rsidP="00E438A2">
            <w:pPr>
              <w:jc w:val="center"/>
              <w:rPr>
                <w:b/>
                <w:bCs/>
                <w:color w:val="000000"/>
                <w:sz w:val="18"/>
                <w:szCs w:val="18"/>
                <w:lang w:eastAsia="tr-TR"/>
              </w:rPr>
            </w:pPr>
            <w:r w:rsidRPr="00005453">
              <w:rPr>
                <w:b/>
                <w:bCs/>
                <w:color w:val="000000"/>
                <w:sz w:val="18"/>
                <w:szCs w:val="18"/>
                <w:lang w:eastAsia="tr-TR"/>
              </w:rPr>
              <w:t>Aktif toplamı (Bin TL)</w:t>
            </w:r>
          </w:p>
        </w:tc>
        <w:tc>
          <w:tcPr>
            <w:tcW w:w="3218" w:type="dxa"/>
            <w:tcBorders>
              <w:top w:val="nil"/>
              <w:left w:val="nil"/>
              <w:bottom w:val="single" w:sz="8" w:space="0" w:color="auto"/>
              <w:right w:val="single" w:sz="8" w:space="0" w:color="auto"/>
            </w:tcBorders>
            <w:shd w:val="clear" w:color="auto" w:fill="auto"/>
            <w:vAlign w:val="center"/>
            <w:hideMark/>
          </w:tcPr>
          <w:p w14:paraId="5266F622" w14:textId="1C5EB06D" w:rsidR="00E438A2" w:rsidRPr="00005453" w:rsidRDefault="00E438A2" w:rsidP="00E438A2">
            <w:pPr>
              <w:jc w:val="center"/>
              <w:rPr>
                <w:b/>
                <w:bCs/>
                <w:color w:val="000000"/>
                <w:sz w:val="18"/>
                <w:szCs w:val="18"/>
                <w:lang w:eastAsia="tr-TR"/>
              </w:rPr>
            </w:pPr>
            <w:r w:rsidRPr="00005453">
              <w:rPr>
                <w:b/>
                <w:bCs/>
                <w:color w:val="000000"/>
                <w:sz w:val="18"/>
                <w:szCs w:val="18"/>
                <w:lang w:eastAsia="tr-TR"/>
              </w:rPr>
              <w:t>Yasal Sermaye (</w:t>
            </w:r>
            <w:r w:rsidR="005B3FAF" w:rsidRPr="00005453">
              <w:rPr>
                <w:b/>
                <w:bCs/>
                <w:color w:val="000000"/>
                <w:sz w:val="18"/>
                <w:szCs w:val="18"/>
                <w:lang w:eastAsia="tr-TR"/>
              </w:rPr>
              <w:t xml:space="preserve">Tam </w:t>
            </w:r>
            <w:r w:rsidR="005B415C" w:rsidRPr="00005453">
              <w:rPr>
                <w:b/>
                <w:bCs/>
                <w:color w:val="000000"/>
                <w:sz w:val="18"/>
                <w:szCs w:val="18"/>
                <w:lang w:eastAsia="tr-TR"/>
              </w:rPr>
              <w:t>EUR</w:t>
            </w:r>
            <w:r w:rsidRPr="00005453">
              <w:rPr>
                <w:b/>
                <w:bCs/>
                <w:color w:val="000000"/>
                <w:sz w:val="18"/>
                <w:szCs w:val="18"/>
                <w:lang w:eastAsia="tr-TR"/>
              </w:rPr>
              <w:t>)</w:t>
            </w:r>
          </w:p>
        </w:tc>
      </w:tr>
      <w:tr w:rsidR="00C07A6F" w:rsidRPr="00005453" w14:paraId="55A3CCBD" w14:textId="77777777" w:rsidTr="00C07A6F">
        <w:trPr>
          <w:divId w:val="725494403"/>
          <w:trHeight w:val="197"/>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5DDA185D" w14:textId="474AD9E7" w:rsidR="00C07A6F" w:rsidRPr="00005453" w:rsidRDefault="00C07A6F" w:rsidP="00C07A6F">
            <w:pPr>
              <w:rPr>
                <w:color w:val="000000"/>
                <w:sz w:val="18"/>
                <w:szCs w:val="18"/>
                <w:lang w:eastAsia="tr-TR"/>
              </w:rPr>
            </w:pPr>
            <w:r w:rsidRPr="00005453">
              <w:rPr>
                <w:color w:val="000000"/>
                <w:sz w:val="18"/>
                <w:szCs w:val="18"/>
                <w:lang w:eastAsia="tr-TR"/>
              </w:rPr>
              <w:t>Yurt dışı Banka</w:t>
            </w:r>
          </w:p>
        </w:tc>
        <w:tc>
          <w:tcPr>
            <w:tcW w:w="768" w:type="dxa"/>
            <w:tcBorders>
              <w:top w:val="nil"/>
              <w:left w:val="nil"/>
              <w:bottom w:val="single" w:sz="8" w:space="0" w:color="000000"/>
              <w:right w:val="single" w:sz="8" w:space="0" w:color="000000"/>
            </w:tcBorders>
            <w:shd w:val="clear" w:color="auto" w:fill="auto"/>
            <w:vAlign w:val="bottom"/>
            <w:hideMark/>
          </w:tcPr>
          <w:p w14:paraId="12E5945C" w14:textId="3F4296F1" w:rsidR="00C07A6F" w:rsidRPr="00005453" w:rsidRDefault="00C07A6F" w:rsidP="00C07A6F">
            <w:pPr>
              <w:jc w:val="right"/>
              <w:rPr>
                <w:color w:val="000000"/>
                <w:sz w:val="18"/>
                <w:szCs w:val="18"/>
                <w:lang w:eastAsia="tr-TR"/>
              </w:rPr>
            </w:pPr>
            <w:r w:rsidRPr="00005453">
              <w:rPr>
                <w:color w:val="000000"/>
                <w:sz w:val="18"/>
                <w:szCs w:val="18"/>
                <w:lang w:eastAsia="tr-TR"/>
              </w:rPr>
              <w:t>1</w:t>
            </w:r>
          </w:p>
        </w:tc>
        <w:tc>
          <w:tcPr>
            <w:tcW w:w="847" w:type="dxa"/>
            <w:tcBorders>
              <w:top w:val="nil"/>
              <w:left w:val="nil"/>
              <w:bottom w:val="single" w:sz="8" w:space="0" w:color="000000"/>
              <w:right w:val="single" w:sz="8" w:space="0" w:color="000000"/>
            </w:tcBorders>
            <w:shd w:val="clear" w:color="auto" w:fill="auto"/>
            <w:vAlign w:val="bottom"/>
            <w:hideMark/>
          </w:tcPr>
          <w:p w14:paraId="0C794878" w14:textId="4664F4F6" w:rsidR="00C07A6F" w:rsidRPr="00005453" w:rsidRDefault="00C07A6F" w:rsidP="00C07A6F">
            <w:pPr>
              <w:jc w:val="right"/>
              <w:rPr>
                <w:color w:val="000000"/>
                <w:sz w:val="18"/>
                <w:szCs w:val="18"/>
                <w:lang w:eastAsia="tr-TR"/>
              </w:rPr>
            </w:pPr>
            <w:r w:rsidRPr="00005453">
              <w:rPr>
                <w:color w:val="000000"/>
                <w:sz w:val="18"/>
                <w:szCs w:val="18"/>
                <w:lang w:eastAsia="tr-TR"/>
              </w:rPr>
              <w:t>132</w:t>
            </w:r>
          </w:p>
        </w:tc>
        <w:tc>
          <w:tcPr>
            <w:tcW w:w="1192" w:type="dxa"/>
            <w:tcBorders>
              <w:top w:val="nil"/>
              <w:left w:val="nil"/>
              <w:bottom w:val="single" w:sz="8" w:space="0" w:color="000000"/>
              <w:right w:val="single" w:sz="8" w:space="0" w:color="000000"/>
            </w:tcBorders>
            <w:shd w:val="clear" w:color="auto" w:fill="auto"/>
            <w:vAlign w:val="center"/>
            <w:hideMark/>
          </w:tcPr>
          <w:p w14:paraId="23DDDC2B" w14:textId="77777777" w:rsidR="00C07A6F" w:rsidRPr="00005453" w:rsidRDefault="00C07A6F" w:rsidP="00C07A6F">
            <w:pPr>
              <w:jc w:val="right"/>
              <w:rPr>
                <w:color w:val="000000"/>
                <w:sz w:val="18"/>
                <w:szCs w:val="18"/>
                <w:lang w:eastAsia="tr-TR"/>
              </w:rPr>
            </w:pPr>
            <w:r w:rsidRPr="00005453">
              <w:rPr>
                <w:color w:val="000000"/>
                <w:sz w:val="18"/>
                <w:szCs w:val="18"/>
                <w:lang w:eastAsia="tr-TR"/>
              </w:rPr>
              <w:t>Almanya</w:t>
            </w:r>
          </w:p>
        </w:tc>
        <w:tc>
          <w:tcPr>
            <w:tcW w:w="1204" w:type="dxa"/>
            <w:tcBorders>
              <w:top w:val="nil"/>
              <w:left w:val="nil"/>
              <w:bottom w:val="single" w:sz="8" w:space="0" w:color="000000"/>
              <w:right w:val="single" w:sz="8" w:space="0" w:color="000000"/>
            </w:tcBorders>
            <w:shd w:val="clear" w:color="auto" w:fill="auto"/>
            <w:vAlign w:val="center"/>
            <w:hideMark/>
          </w:tcPr>
          <w:p w14:paraId="1154166B" w14:textId="4F7D6A99" w:rsidR="00C07A6F" w:rsidRPr="00005453" w:rsidRDefault="00C07A6F" w:rsidP="00C07A6F">
            <w:pPr>
              <w:jc w:val="right"/>
              <w:rPr>
                <w:color w:val="000000"/>
                <w:sz w:val="18"/>
                <w:szCs w:val="18"/>
                <w:lang w:eastAsia="tr-TR"/>
              </w:rPr>
            </w:pPr>
            <w:r w:rsidRPr="00005453">
              <w:rPr>
                <w:sz w:val="18"/>
                <w:szCs w:val="18"/>
              </w:rPr>
              <w:t>30,756,109</w:t>
            </w:r>
          </w:p>
        </w:tc>
        <w:tc>
          <w:tcPr>
            <w:tcW w:w="3218" w:type="dxa"/>
            <w:tcBorders>
              <w:top w:val="nil"/>
              <w:left w:val="nil"/>
              <w:bottom w:val="single" w:sz="8" w:space="0" w:color="000000"/>
              <w:right w:val="single" w:sz="8" w:space="0" w:color="000000"/>
            </w:tcBorders>
            <w:shd w:val="clear" w:color="auto" w:fill="auto"/>
            <w:vAlign w:val="center"/>
            <w:hideMark/>
          </w:tcPr>
          <w:p w14:paraId="61ECD492" w14:textId="5F3510D3" w:rsidR="00C07A6F" w:rsidRPr="00005453" w:rsidRDefault="00C07A6F" w:rsidP="00C07A6F">
            <w:pPr>
              <w:jc w:val="right"/>
              <w:rPr>
                <w:color w:val="000000"/>
                <w:sz w:val="18"/>
                <w:szCs w:val="18"/>
                <w:lang w:eastAsia="tr-TR"/>
              </w:rPr>
            </w:pPr>
            <w:r w:rsidRPr="00005453">
              <w:rPr>
                <w:sz w:val="18"/>
                <w:szCs w:val="18"/>
              </w:rPr>
              <w:t>43,385,026</w:t>
            </w:r>
          </w:p>
        </w:tc>
      </w:tr>
      <w:tr w:rsidR="005B415C" w:rsidRPr="00005453" w14:paraId="23668BD8" w14:textId="77777777" w:rsidTr="00286E25">
        <w:trPr>
          <w:divId w:val="725494403"/>
          <w:trHeight w:val="197"/>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07F2577D" w14:textId="77777777" w:rsidR="00566D15" w:rsidRPr="00005453" w:rsidRDefault="00566D15" w:rsidP="00566D15">
            <w:pPr>
              <w:rPr>
                <w:color w:val="000000"/>
                <w:sz w:val="18"/>
                <w:szCs w:val="18"/>
                <w:lang w:eastAsia="tr-TR"/>
              </w:rPr>
            </w:pPr>
            <w:r w:rsidRPr="00005453">
              <w:rPr>
                <w:color w:val="000000"/>
                <w:sz w:val="18"/>
                <w:szCs w:val="18"/>
                <w:lang w:eastAsia="tr-TR"/>
              </w:rPr>
              <w:t>Kıyı Bnk. Blg. Şubeler</w:t>
            </w:r>
          </w:p>
        </w:tc>
        <w:tc>
          <w:tcPr>
            <w:tcW w:w="768" w:type="dxa"/>
            <w:tcBorders>
              <w:top w:val="nil"/>
              <w:left w:val="nil"/>
              <w:bottom w:val="single" w:sz="8" w:space="0" w:color="000000"/>
              <w:right w:val="single" w:sz="8" w:space="0" w:color="000000"/>
            </w:tcBorders>
            <w:shd w:val="clear" w:color="auto" w:fill="auto"/>
            <w:vAlign w:val="bottom"/>
            <w:hideMark/>
          </w:tcPr>
          <w:p w14:paraId="77130E4E" w14:textId="7B735314" w:rsidR="00566D15" w:rsidRPr="00005453" w:rsidRDefault="00566D15" w:rsidP="00566D15">
            <w:pPr>
              <w:jc w:val="right"/>
              <w:rPr>
                <w:color w:val="000000"/>
                <w:sz w:val="18"/>
                <w:szCs w:val="18"/>
                <w:lang w:eastAsia="tr-TR"/>
              </w:rPr>
            </w:pPr>
            <w:r w:rsidRPr="00005453">
              <w:rPr>
                <w:color w:val="000000"/>
                <w:sz w:val="18"/>
                <w:szCs w:val="18"/>
                <w:lang w:eastAsia="tr-TR"/>
              </w:rPr>
              <w:t>1</w:t>
            </w:r>
          </w:p>
        </w:tc>
        <w:tc>
          <w:tcPr>
            <w:tcW w:w="847" w:type="dxa"/>
            <w:tcBorders>
              <w:top w:val="nil"/>
              <w:left w:val="nil"/>
              <w:bottom w:val="single" w:sz="8" w:space="0" w:color="000000"/>
              <w:right w:val="single" w:sz="8" w:space="0" w:color="000000"/>
            </w:tcBorders>
            <w:shd w:val="clear" w:color="auto" w:fill="auto"/>
            <w:vAlign w:val="bottom"/>
            <w:hideMark/>
          </w:tcPr>
          <w:p w14:paraId="3118B382" w14:textId="124724F9" w:rsidR="00566D15" w:rsidRPr="00005453" w:rsidRDefault="00566D15" w:rsidP="00566D15">
            <w:pPr>
              <w:jc w:val="right"/>
              <w:rPr>
                <w:color w:val="000000"/>
                <w:sz w:val="18"/>
                <w:szCs w:val="18"/>
                <w:lang w:eastAsia="tr-TR"/>
              </w:rPr>
            </w:pPr>
            <w:r w:rsidRPr="00005453">
              <w:rPr>
                <w:color w:val="000000"/>
                <w:sz w:val="18"/>
                <w:szCs w:val="18"/>
                <w:lang w:eastAsia="tr-TR"/>
              </w:rPr>
              <w:t>3</w:t>
            </w:r>
          </w:p>
        </w:tc>
        <w:tc>
          <w:tcPr>
            <w:tcW w:w="1192" w:type="dxa"/>
            <w:tcBorders>
              <w:top w:val="nil"/>
              <w:left w:val="nil"/>
              <w:bottom w:val="single" w:sz="8" w:space="0" w:color="000000"/>
              <w:right w:val="single" w:sz="8" w:space="0" w:color="000000"/>
            </w:tcBorders>
            <w:shd w:val="clear" w:color="auto" w:fill="auto"/>
            <w:vAlign w:val="center"/>
            <w:hideMark/>
          </w:tcPr>
          <w:p w14:paraId="1BAB4EBB" w14:textId="77777777" w:rsidR="00566D15" w:rsidRPr="00005453" w:rsidRDefault="00566D15" w:rsidP="00566D15">
            <w:pPr>
              <w:jc w:val="right"/>
              <w:rPr>
                <w:color w:val="000000"/>
                <w:sz w:val="18"/>
                <w:szCs w:val="18"/>
                <w:lang w:eastAsia="tr-TR"/>
              </w:rPr>
            </w:pPr>
            <w:r w:rsidRPr="00005453">
              <w:rPr>
                <w:color w:val="000000"/>
                <w:sz w:val="18"/>
                <w:szCs w:val="18"/>
                <w:lang w:eastAsia="tr-TR"/>
              </w:rPr>
              <w:t xml:space="preserve">Bahreyn </w:t>
            </w:r>
          </w:p>
        </w:tc>
        <w:tc>
          <w:tcPr>
            <w:tcW w:w="1204" w:type="dxa"/>
            <w:tcBorders>
              <w:top w:val="nil"/>
              <w:left w:val="nil"/>
              <w:bottom w:val="single" w:sz="8" w:space="0" w:color="000000"/>
              <w:right w:val="single" w:sz="8" w:space="0" w:color="000000"/>
            </w:tcBorders>
            <w:shd w:val="clear" w:color="auto" w:fill="auto"/>
            <w:vAlign w:val="center"/>
            <w:hideMark/>
          </w:tcPr>
          <w:p w14:paraId="15F820DF" w14:textId="2570A7B0" w:rsidR="00566D15" w:rsidRPr="00005453" w:rsidRDefault="00566D15" w:rsidP="00566D15">
            <w:pPr>
              <w:jc w:val="right"/>
              <w:rPr>
                <w:color w:val="000000"/>
                <w:sz w:val="18"/>
                <w:szCs w:val="18"/>
                <w:lang w:eastAsia="tr-TR"/>
              </w:rPr>
            </w:pPr>
            <w:r w:rsidRPr="00005453">
              <w:rPr>
                <w:color w:val="000000"/>
                <w:sz w:val="18"/>
                <w:szCs w:val="18"/>
                <w:lang w:eastAsia="tr-TR"/>
              </w:rPr>
              <w:t>2</w:t>
            </w:r>
            <w:r w:rsidR="00C07A6F" w:rsidRPr="00005453">
              <w:rPr>
                <w:color w:val="000000"/>
                <w:sz w:val="18"/>
                <w:szCs w:val="18"/>
                <w:lang w:eastAsia="tr-TR"/>
              </w:rPr>
              <w:t>1</w:t>
            </w:r>
            <w:r w:rsidRPr="00005453">
              <w:rPr>
                <w:color w:val="000000"/>
                <w:sz w:val="18"/>
                <w:szCs w:val="18"/>
                <w:lang w:eastAsia="tr-TR"/>
              </w:rPr>
              <w:t>,</w:t>
            </w:r>
            <w:r w:rsidR="00C07A6F" w:rsidRPr="00005453">
              <w:rPr>
                <w:color w:val="000000"/>
                <w:sz w:val="18"/>
                <w:szCs w:val="18"/>
                <w:lang w:eastAsia="tr-TR"/>
              </w:rPr>
              <w:t>86</w:t>
            </w:r>
            <w:r w:rsidRPr="00005453">
              <w:rPr>
                <w:color w:val="000000"/>
                <w:sz w:val="18"/>
                <w:szCs w:val="18"/>
                <w:lang w:eastAsia="tr-TR"/>
              </w:rPr>
              <w:t>2,</w:t>
            </w:r>
            <w:r w:rsidR="00C07A6F" w:rsidRPr="00005453">
              <w:rPr>
                <w:color w:val="000000"/>
                <w:sz w:val="18"/>
                <w:szCs w:val="18"/>
                <w:lang w:eastAsia="tr-TR"/>
              </w:rPr>
              <w:t>127</w:t>
            </w:r>
          </w:p>
        </w:tc>
        <w:tc>
          <w:tcPr>
            <w:tcW w:w="3218" w:type="dxa"/>
            <w:tcBorders>
              <w:top w:val="nil"/>
              <w:left w:val="nil"/>
              <w:bottom w:val="single" w:sz="8" w:space="0" w:color="000000"/>
              <w:right w:val="single" w:sz="8" w:space="0" w:color="000000"/>
            </w:tcBorders>
            <w:shd w:val="clear" w:color="auto" w:fill="auto"/>
            <w:vAlign w:val="center"/>
            <w:hideMark/>
          </w:tcPr>
          <w:p w14:paraId="6B11C2AE" w14:textId="480DEEF7" w:rsidR="00566D15" w:rsidRPr="00005453" w:rsidRDefault="00566D15" w:rsidP="00566D15">
            <w:pPr>
              <w:jc w:val="right"/>
              <w:rPr>
                <w:color w:val="000000"/>
                <w:sz w:val="18"/>
                <w:szCs w:val="18"/>
                <w:lang w:eastAsia="tr-TR"/>
              </w:rPr>
            </w:pPr>
          </w:p>
        </w:tc>
      </w:tr>
      <w:tr w:rsidR="005B415C" w:rsidRPr="00005453" w14:paraId="63DDCE06" w14:textId="77777777" w:rsidTr="00286E25">
        <w:trPr>
          <w:divId w:val="725494403"/>
          <w:trHeight w:val="224"/>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300F900C" w14:textId="3E1D4910" w:rsidR="00E438A2" w:rsidRPr="00005453" w:rsidRDefault="00E438A2" w:rsidP="00E438A2">
            <w:pPr>
              <w:rPr>
                <w:color w:val="000000"/>
                <w:sz w:val="18"/>
                <w:szCs w:val="18"/>
                <w:lang w:eastAsia="tr-TR"/>
              </w:rPr>
            </w:pPr>
            <w:r w:rsidRPr="00005453">
              <w:rPr>
                <w:color w:val="000000"/>
                <w:sz w:val="18"/>
                <w:szCs w:val="18"/>
                <w:lang w:eastAsia="tr-TR"/>
              </w:rPr>
              <w:t>Yurt</w:t>
            </w:r>
            <w:r w:rsidR="00455FD1" w:rsidRPr="00005453">
              <w:rPr>
                <w:color w:val="000000"/>
                <w:sz w:val="18"/>
                <w:szCs w:val="18"/>
                <w:lang w:eastAsia="tr-TR"/>
              </w:rPr>
              <w:t xml:space="preserve"> </w:t>
            </w:r>
            <w:r w:rsidRPr="00005453">
              <w:rPr>
                <w:color w:val="000000"/>
                <w:sz w:val="18"/>
                <w:szCs w:val="18"/>
                <w:lang w:eastAsia="tr-TR"/>
              </w:rPr>
              <w:t>dışı şube</w:t>
            </w:r>
          </w:p>
        </w:tc>
        <w:tc>
          <w:tcPr>
            <w:tcW w:w="768" w:type="dxa"/>
            <w:tcBorders>
              <w:top w:val="nil"/>
              <w:left w:val="nil"/>
              <w:bottom w:val="single" w:sz="8" w:space="0" w:color="000000"/>
              <w:right w:val="single" w:sz="8" w:space="0" w:color="000000"/>
            </w:tcBorders>
            <w:shd w:val="clear" w:color="auto" w:fill="auto"/>
            <w:vAlign w:val="bottom"/>
            <w:hideMark/>
          </w:tcPr>
          <w:p w14:paraId="6015E723" w14:textId="2522F327" w:rsidR="00E438A2" w:rsidRPr="00005453" w:rsidRDefault="0029759B" w:rsidP="00E438A2">
            <w:pPr>
              <w:jc w:val="right"/>
              <w:rPr>
                <w:color w:val="000000"/>
                <w:sz w:val="18"/>
                <w:szCs w:val="18"/>
                <w:lang w:eastAsia="tr-TR"/>
              </w:rPr>
            </w:pPr>
            <w:r w:rsidRPr="00005453">
              <w:rPr>
                <w:sz w:val="18"/>
                <w:szCs w:val="18"/>
              </w:rPr>
              <w:t>-</w:t>
            </w:r>
          </w:p>
        </w:tc>
        <w:tc>
          <w:tcPr>
            <w:tcW w:w="847" w:type="dxa"/>
            <w:tcBorders>
              <w:top w:val="nil"/>
              <w:left w:val="nil"/>
              <w:bottom w:val="single" w:sz="8" w:space="0" w:color="000000"/>
              <w:right w:val="single" w:sz="8" w:space="0" w:color="000000"/>
            </w:tcBorders>
            <w:shd w:val="clear" w:color="auto" w:fill="auto"/>
            <w:vAlign w:val="bottom"/>
            <w:hideMark/>
          </w:tcPr>
          <w:p w14:paraId="43510E32" w14:textId="48D6E1C7" w:rsidR="00E438A2" w:rsidRPr="00005453" w:rsidRDefault="0029759B" w:rsidP="00E438A2">
            <w:pPr>
              <w:jc w:val="right"/>
              <w:rPr>
                <w:color w:val="000000"/>
                <w:sz w:val="18"/>
                <w:szCs w:val="18"/>
                <w:lang w:eastAsia="tr-TR"/>
              </w:rPr>
            </w:pPr>
            <w:r w:rsidRPr="00005453">
              <w:rPr>
                <w:sz w:val="18"/>
                <w:szCs w:val="18"/>
              </w:rPr>
              <w:t>-</w:t>
            </w:r>
          </w:p>
        </w:tc>
        <w:tc>
          <w:tcPr>
            <w:tcW w:w="1192" w:type="dxa"/>
            <w:tcBorders>
              <w:top w:val="nil"/>
              <w:left w:val="nil"/>
              <w:bottom w:val="single" w:sz="8" w:space="0" w:color="000000"/>
              <w:right w:val="single" w:sz="8" w:space="0" w:color="auto"/>
            </w:tcBorders>
            <w:shd w:val="clear" w:color="auto" w:fill="auto"/>
            <w:vAlign w:val="center"/>
            <w:hideMark/>
          </w:tcPr>
          <w:p w14:paraId="179A5DE5" w14:textId="77777777" w:rsidR="00E438A2" w:rsidRPr="00005453" w:rsidRDefault="00E438A2" w:rsidP="00E438A2">
            <w:pPr>
              <w:jc w:val="right"/>
              <w:rPr>
                <w:color w:val="000000"/>
                <w:sz w:val="18"/>
                <w:szCs w:val="18"/>
                <w:lang w:eastAsia="tr-TR"/>
              </w:rPr>
            </w:pPr>
            <w:r w:rsidRPr="00005453">
              <w:rPr>
                <w:color w:val="000000"/>
                <w:sz w:val="18"/>
                <w:szCs w:val="18"/>
                <w:lang w:eastAsia="tr-TR"/>
              </w:rPr>
              <w:t> </w:t>
            </w:r>
          </w:p>
        </w:tc>
        <w:tc>
          <w:tcPr>
            <w:tcW w:w="1204" w:type="dxa"/>
            <w:tcBorders>
              <w:top w:val="nil"/>
              <w:left w:val="nil"/>
              <w:bottom w:val="single" w:sz="8" w:space="0" w:color="auto"/>
              <w:right w:val="single" w:sz="8" w:space="0" w:color="auto"/>
            </w:tcBorders>
            <w:shd w:val="clear" w:color="auto" w:fill="auto"/>
            <w:vAlign w:val="bottom"/>
            <w:hideMark/>
          </w:tcPr>
          <w:p w14:paraId="1810E9D8" w14:textId="62C7D7C0" w:rsidR="00E438A2" w:rsidRPr="00005453" w:rsidRDefault="00E438A2" w:rsidP="00E438A2">
            <w:pPr>
              <w:jc w:val="right"/>
              <w:rPr>
                <w:color w:val="000000"/>
                <w:sz w:val="18"/>
                <w:szCs w:val="18"/>
                <w:lang w:eastAsia="tr-TR"/>
              </w:rPr>
            </w:pPr>
          </w:p>
        </w:tc>
        <w:tc>
          <w:tcPr>
            <w:tcW w:w="3218" w:type="dxa"/>
            <w:tcBorders>
              <w:top w:val="nil"/>
              <w:left w:val="nil"/>
              <w:bottom w:val="single" w:sz="8" w:space="0" w:color="auto"/>
              <w:right w:val="single" w:sz="8" w:space="0" w:color="auto"/>
            </w:tcBorders>
            <w:shd w:val="clear" w:color="auto" w:fill="auto"/>
            <w:vAlign w:val="bottom"/>
            <w:hideMark/>
          </w:tcPr>
          <w:p w14:paraId="5BE7BA2A" w14:textId="27ACCEF9" w:rsidR="00E438A2" w:rsidRPr="00005453" w:rsidRDefault="00E438A2" w:rsidP="00E438A2">
            <w:pPr>
              <w:jc w:val="right"/>
              <w:rPr>
                <w:color w:val="000000"/>
                <w:sz w:val="18"/>
                <w:szCs w:val="18"/>
                <w:lang w:eastAsia="tr-TR"/>
              </w:rPr>
            </w:pPr>
          </w:p>
        </w:tc>
      </w:tr>
    </w:tbl>
    <w:p w14:paraId="2CBD6749" w14:textId="46A5C2FF" w:rsidR="00BD660F" w:rsidRPr="00005453" w:rsidRDefault="00BD660F" w:rsidP="0022205C">
      <w:pPr>
        <w:rPr>
          <w:bCs/>
          <w:sz w:val="6"/>
          <w:szCs w:val="6"/>
        </w:rPr>
      </w:pPr>
    </w:p>
    <w:bookmarkEnd w:id="95"/>
    <w:p w14:paraId="5602E89D" w14:textId="63E505AB" w:rsidR="0022205C" w:rsidRDefault="0022205C" w:rsidP="007B2D07">
      <w:pPr>
        <w:ind w:left="540" w:hanging="540"/>
        <w:jc w:val="both"/>
        <w:rPr>
          <w:bCs/>
          <w:sz w:val="16"/>
          <w:szCs w:val="18"/>
        </w:rPr>
      </w:pPr>
      <w:r w:rsidRPr="00005453">
        <w:rPr>
          <w:bCs/>
          <w:sz w:val="16"/>
          <w:szCs w:val="18"/>
        </w:rPr>
        <w:t>(*)</w:t>
      </w:r>
      <w:r w:rsidRPr="00005453">
        <w:rPr>
          <w:bCs/>
          <w:sz w:val="16"/>
          <w:szCs w:val="18"/>
        </w:rPr>
        <w:tab/>
      </w:r>
      <w:r w:rsidR="00714298" w:rsidRPr="00005453">
        <w:rPr>
          <w:bCs/>
          <w:sz w:val="16"/>
          <w:szCs w:val="18"/>
        </w:rPr>
        <w:t xml:space="preserve">Yurt içi </w:t>
      </w:r>
      <w:r w:rsidRPr="00005453">
        <w:rPr>
          <w:bCs/>
          <w:sz w:val="16"/>
          <w:szCs w:val="18"/>
        </w:rPr>
        <w:t>Şube çalışan sayısında Genel Müdürlük, Operasyon Merkezi ve Bölge Müdürlükleri’nde çalışan personel sayısı dahil edilmemiştir.</w:t>
      </w:r>
    </w:p>
    <w:p w14:paraId="64175DD7" w14:textId="77777777" w:rsidR="007B2D07" w:rsidRPr="007B2D07" w:rsidRDefault="007B2D07" w:rsidP="007B2D07">
      <w:pPr>
        <w:ind w:left="540" w:hanging="540"/>
        <w:jc w:val="both"/>
        <w:rPr>
          <w:bCs/>
          <w:sz w:val="14"/>
          <w:szCs w:val="18"/>
        </w:rPr>
      </w:pPr>
    </w:p>
    <w:p w14:paraId="48A2B05E" w14:textId="73C2C110" w:rsidR="0022205C" w:rsidRPr="00005453" w:rsidRDefault="0022205C" w:rsidP="0022205C">
      <w:pPr>
        <w:pStyle w:val="BodyTextIndent"/>
        <w:autoSpaceDE/>
        <w:autoSpaceDN/>
        <w:adjustRightInd/>
        <w:ind w:left="0" w:hanging="567"/>
        <w:rPr>
          <w:b/>
        </w:rPr>
      </w:pPr>
      <w:r w:rsidRPr="00005453">
        <w:rPr>
          <w:b/>
        </w:rPr>
        <w:t>8.2.</w:t>
      </w:r>
      <w:r w:rsidRPr="00005453">
        <w:rPr>
          <w:b/>
        </w:rPr>
        <w:tab/>
        <w:t>Banka’nın yurt</w:t>
      </w:r>
      <w:r w:rsidR="00714298" w:rsidRPr="00005453">
        <w:rPr>
          <w:b/>
        </w:rPr>
        <w:t xml:space="preserve"> </w:t>
      </w:r>
      <w:r w:rsidRPr="00005453">
        <w:rPr>
          <w:b/>
        </w:rPr>
        <w:t>içinde ve yurt</w:t>
      </w:r>
      <w:r w:rsidR="00455FD1" w:rsidRPr="00005453">
        <w:rPr>
          <w:b/>
        </w:rPr>
        <w:t xml:space="preserve"> </w:t>
      </w:r>
      <w:r w:rsidRPr="00005453">
        <w:rPr>
          <w:b/>
        </w:rPr>
        <w:t>dışında şube veya temsilcilik açması, kapatması, organizasyonunu önemli ölçüde değiştirmesine ilişkin açıklamalar</w:t>
      </w:r>
    </w:p>
    <w:p w14:paraId="2454DE1E" w14:textId="77777777" w:rsidR="0022205C" w:rsidRPr="00005453" w:rsidRDefault="0022205C" w:rsidP="0022205C">
      <w:pPr>
        <w:pStyle w:val="EndnoteText"/>
        <w:tabs>
          <w:tab w:val="left" w:pos="2409"/>
        </w:tabs>
        <w:autoSpaceDE w:val="0"/>
        <w:autoSpaceDN w:val="0"/>
        <w:adjustRightInd w:val="0"/>
        <w:ind w:hanging="540"/>
        <w:jc w:val="both"/>
        <w:rPr>
          <w:sz w:val="12"/>
          <w:szCs w:val="12"/>
        </w:rPr>
      </w:pPr>
    </w:p>
    <w:p w14:paraId="66D9E1D0" w14:textId="734465EA" w:rsidR="0022205C" w:rsidRPr="00005453" w:rsidRDefault="0022205C" w:rsidP="00532EFF">
      <w:pPr>
        <w:jc w:val="both"/>
        <w:rPr>
          <w:bCs/>
          <w:iCs/>
        </w:rPr>
      </w:pPr>
      <w:bookmarkStart w:id="96" w:name="_Hlk93393191"/>
      <w:r w:rsidRPr="00005453">
        <w:t xml:space="preserve">Banka, </w:t>
      </w:r>
      <w:r w:rsidRPr="00005453">
        <w:rPr>
          <w:bCs/>
          <w:iCs/>
        </w:rPr>
        <w:t>20</w:t>
      </w:r>
      <w:r w:rsidR="00D83068" w:rsidRPr="00005453">
        <w:rPr>
          <w:bCs/>
          <w:iCs/>
        </w:rPr>
        <w:t>2</w:t>
      </w:r>
      <w:r w:rsidR="006571E2" w:rsidRPr="00005453">
        <w:rPr>
          <w:bCs/>
          <w:iCs/>
        </w:rPr>
        <w:t>4</w:t>
      </w:r>
      <w:r w:rsidRPr="00005453">
        <w:rPr>
          <w:bCs/>
          <w:iCs/>
        </w:rPr>
        <w:t xml:space="preserve"> yılı içerisin</w:t>
      </w:r>
      <w:r w:rsidR="003E65A2" w:rsidRPr="00005453">
        <w:rPr>
          <w:bCs/>
          <w:iCs/>
        </w:rPr>
        <w:t>de yurt</w:t>
      </w:r>
      <w:r w:rsidR="00714298" w:rsidRPr="00005453">
        <w:rPr>
          <w:bCs/>
          <w:iCs/>
        </w:rPr>
        <w:t xml:space="preserve"> </w:t>
      </w:r>
      <w:r w:rsidR="003E65A2" w:rsidRPr="00005453">
        <w:rPr>
          <w:bCs/>
          <w:iCs/>
        </w:rPr>
        <w:t xml:space="preserve">içinde </w:t>
      </w:r>
      <w:r w:rsidR="00C07A6F" w:rsidRPr="00005453">
        <w:rPr>
          <w:bCs/>
          <w:iCs/>
        </w:rPr>
        <w:t>6</w:t>
      </w:r>
      <w:r w:rsidR="00566D15" w:rsidRPr="00005453">
        <w:rPr>
          <w:bCs/>
          <w:iCs/>
        </w:rPr>
        <w:t xml:space="preserve"> </w:t>
      </w:r>
      <w:r w:rsidR="003E65A2" w:rsidRPr="00005453">
        <w:rPr>
          <w:bCs/>
          <w:iCs/>
        </w:rPr>
        <w:t>(20</w:t>
      </w:r>
      <w:r w:rsidR="008D3602" w:rsidRPr="00005453">
        <w:rPr>
          <w:bCs/>
          <w:iCs/>
        </w:rPr>
        <w:t>2</w:t>
      </w:r>
      <w:r w:rsidR="006571E2" w:rsidRPr="00005453">
        <w:rPr>
          <w:bCs/>
          <w:iCs/>
        </w:rPr>
        <w:t>3</w:t>
      </w:r>
      <w:r w:rsidR="003E65A2" w:rsidRPr="00005453">
        <w:rPr>
          <w:bCs/>
          <w:iCs/>
        </w:rPr>
        <w:t xml:space="preserve"> – </w:t>
      </w:r>
      <w:r w:rsidR="006571E2" w:rsidRPr="00005453">
        <w:rPr>
          <w:bCs/>
          <w:iCs/>
        </w:rPr>
        <w:t>8</w:t>
      </w:r>
      <w:r w:rsidRPr="00005453">
        <w:rPr>
          <w:bCs/>
          <w:iCs/>
        </w:rPr>
        <w:t>) şube açmış</w:t>
      </w:r>
      <w:r w:rsidR="00566D15" w:rsidRPr="00005453">
        <w:rPr>
          <w:bCs/>
          <w:iCs/>
        </w:rPr>
        <w:t xml:space="preserve">, </w:t>
      </w:r>
      <w:r w:rsidR="001877B1" w:rsidRPr="00005453">
        <w:rPr>
          <w:bCs/>
          <w:iCs/>
        </w:rPr>
        <w:t xml:space="preserve">Banka’nın </w:t>
      </w:r>
      <w:r w:rsidR="00C07A6F" w:rsidRPr="00005453">
        <w:rPr>
          <w:bCs/>
          <w:iCs/>
        </w:rPr>
        <w:t>2</w:t>
      </w:r>
      <w:r w:rsidR="00AC1357" w:rsidRPr="00005453">
        <w:rPr>
          <w:bCs/>
          <w:iCs/>
        </w:rPr>
        <w:t xml:space="preserve"> (202</w:t>
      </w:r>
      <w:r w:rsidR="006571E2" w:rsidRPr="00005453">
        <w:rPr>
          <w:bCs/>
          <w:iCs/>
        </w:rPr>
        <w:t>3</w:t>
      </w:r>
      <w:r w:rsidR="00AC1357" w:rsidRPr="00005453">
        <w:rPr>
          <w:bCs/>
          <w:iCs/>
        </w:rPr>
        <w:t xml:space="preserve"> – </w:t>
      </w:r>
      <w:r w:rsidR="006571E2" w:rsidRPr="00005453">
        <w:rPr>
          <w:bCs/>
          <w:iCs/>
        </w:rPr>
        <w:t>7</w:t>
      </w:r>
      <w:r w:rsidR="00AC1357" w:rsidRPr="00005453">
        <w:rPr>
          <w:bCs/>
          <w:iCs/>
        </w:rPr>
        <w:t>)</w:t>
      </w:r>
      <w:r w:rsidR="00566D15" w:rsidRPr="00005453">
        <w:rPr>
          <w:bCs/>
          <w:iCs/>
        </w:rPr>
        <w:t xml:space="preserve"> </w:t>
      </w:r>
      <w:r w:rsidR="00326BB5" w:rsidRPr="00005453">
        <w:rPr>
          <w:bCs/>
          <w:iCs/>
        </w:rPr>
        <w:t>şube</w:t>
      </w:r>
      <w:r w:rsidR="00566D15" w:rsidRPr="00005453">
        <w:rPr>
          <w:bCs/>
          <w:iCs/>
        </w:rPr>
        <w:t>si</w:t>
      </w:r>
      <w:r w:rsidR="00326BB5" w:rsidRPr="00005453">
        <w:rPr>
          <w:bCs/>
          <w:iCs/>
        </w:rPr>
        <w:t xml:space="preserve"> kapatılmıştır.</w:t>
      </w:r>
      <w:r w:rsidR="00566D15" w:rsidRPr="00005453">
        <w:rPr>
          <w:bCs/>
          <w:iCs/>
        </w:rPr>
        <w:t xml:space="preserve"> </w:t>
      </w:r>
      <w:r w:rsidR="00326BB5" w:rsidRPr="00005453">
        <w:rPr>
          <w:bCs/>
          <w:iCs/>
        </w:rPr>
        <w:t>Y</w:t>
      </w:r>
      <w:r w:rsidR="00580F57" w:rsidRPr="00005453">
        <w:rPr>
          <w:bCs/>
          <w:iCs/>
        </w:rPr>
        <w:t>urt</w:t>
      </w:r>
      <w:r w:rsidR="00455FD1" w:rsidRPr="00005453">
        <w:rPr>
          <w:bCs/>
          <w:iCs/>
        </w:rPr>
        <w:t xml:space="preserve"> </w:t>
      </w:r>
      <w:r w:rsidR="00580F57" w:rsidRPr="00005453">
        <w:rPr>
          <w:bCs/>
          <w:iCs/>
        </w:rPr>
        <w:t xml:space="preserve">dışında </w:t>
      </w:r>
      <w:r w:rsidR="00D84165" w:rsidRPr="00005453">
        <w:rPr>
          <w:bCs/>
          <w:iCs/>
        </w:rPr>
        <w:t xml:space="preserve">kapatılan şubesi bulunmamaktadır </w:t>
      </w:r>
      <w:r w:rsidRPr="00005453">
        <w:rPr>
          <w:bCs/>
          <w:iCs/>
        </w:rPr>
        <w:t>(20</w:t>
      </w:r>
      <w:r w:rsidR="008D3602" w:rsidRPr="00005453">
        <w:rPr>
          <w:bCs/>
          <w:iCs/>
        </w:rPr>
        <w:t>2</w:t>
      </w:r>
      <w:r w:rsidR="006571E2" w:rsidRPr="00005453">
        <w:rPr>
          <w:bCs/>
          <w:iCs/>
        </w:rPr>
        <w:t>3</w:t>
      </w:r>
      <w:r w:rsidRPr="00005453">
        <w:rPr>
          <w:bCs/>
          <w:iCs/>
        </w:rPr>
        <w:t xml:space="preserve"> – </w:t>
      </w:r>
      <w:r w:rsidR="00580F57" w:rsidRPr="00005453">
        <w:rPr>
          <w:bCs/>
          <w:iCs/>
        </w:rPr>
        <w:t>Bulunmamaktadır</w:t>
      </w:r>
      <w:r w:rsidRPr="00005453">
        <w:rPr>
          <w:bCs/>
          <w:iCs/>
        </w:rPr>
        <w:t>)</w:t>
      </w:r>
      <w:r w:rsidR="00D84165" w:rsidRPr="00005453">
        <w:rPr>
          <w:bCs/>
          <w:iCs/>
        </w:rPr>
        <w:t>.</w:t>
      </w:r>
    </w:p>
    <w:bookmarkEnd w:id="96"/>
    <w:p w14:paraId="0F373F76" w14:textId="77777777" w:rsidR="00F81C32" w:rsidRPr="00005453" w:rsidRDefault="00F81C32" w:rsidP="006D0A96">
      <w:pPr>
        <w:rPr>
          <w:bCs/>
          <w:iCs/>
          <w:sz w:val="16"/>
        </w:rPr>
      </w:pPr>
    </w:p>
    <w:p w14:paraId="0CC9DDF7" w14:textId="67B9E982" w:rsidR="00022D3E" w:rsidRPr="00005453" w:rsidRDefault="00022D3E" w:rsidP="00022D3E">
      <w:pPr>
        <w:tabs>
          <w:tab w:val="left" w:pos="709"/>
        </w:tabs>
        <w:ind w:hanging="567"/>
        <w:rPr>
          <w:b/>
        </w:rPr>
      </w:pPr>
      <w:bookmarkStart w:id="97" w:name="_Hlk39946395"/>
      <w:r w:rsidRPr="00005453">
        <w:rPr>
          <w:b/>
        </w:rPr>
        <w:t>9.</w:t>
      </w:r>
      <w:r w:rsidRPr="00005453">
        <w:rPr>
          <w:b/>
        </w:rPr>
        <w:tab/>
        <w:t>Bilanço sonrası hususlara ilişkin olarak açıklanması gereken hususlar</w:t>
      </w:r>
    </w:p>
    <w:p w14:paraId="3755006F" w14:textId="77777777" w:rsidR="00022D3E" w:rsidRPr="00005453" w:rsidRDefault="00022D3E" w:rsidP="00022D3E">
      <w:pPr>
        <w:pStyle w:val="EndnoteText"/>
        <w:tabs>
          <w:tab w:val="left" w:pos="567"/>
        </w:tabs>
        <w:autoSpaceDE w:val="0"/>
        <w:autoSpaceDN w:val="0"/>
        <w:adjustRightInd w:val="0"/>
        <w:rPr>
          <w:sz w:val="6"/>
          <w:szCs w:val="12"/>
        </w:rPr>
      </w:pPr>
    </w:p>
    <w:bookmarkEnd w:id="97"/>
    <w:p w14:paraId="3D13A7E2" w14:textId="523DEFD5" w:rsidR="00BC5CAE" w:rsidRPr="00005453" w:rsidRDefault="00BC5CAE" w:rsidP="00C045C9">
      <w:pPr>
        <w:jc w:val="both"/>
      </w:pPr>
      <w:r w:rsidRPr="00005453">
        <w:t xml:space="preserve">Bankamız Yönetim Kurulu tarafından, 1 Ocak 2025  tarihinden itibaren geçerli olmak üzere Kurumsal ve Ticari Bankacılıktan Sorumlu Genel Müdür Yardımcısı Ahmet Süleyman Karakaya'nın 31.12.2024 tarihi itibari ile emekliye ayrılacak olması nedeniyle </w:t>
      </w:r>
      <w:r w:rsidR="00B4285F">
        <w:t>mevcut</w:t>
      </w:r>
      <w:r w:rsidRPr="00005453">
        <w:t xml:space="preserve"> pozisyon</w:t>
      </w:r>
      <w:r w:rsidR="00DA0921">
        <w:t>un</w:t>
      </w:r>
      <w:r w:rsidRPr="00005453">
        <w:t>a, Hazine ve Uluslararası Bankacılıktan Sorumlu Genel Müdür  Yardımcısı Dr. Ruşen Ahmet Albayrak'ın atanmasına, Hazine ve Uluslararası Bankacılıktan Sorumlu Genel Müdür Yardımcılığı pozisyonuna, Stratejiden Sorumlu Genel Müdür Yardımcısı Aslan Demir' in atanmasına, İnsan Kaynakları ve Strateji Genel Müdür Yardımcılığı  pozisyonuna, İnsan Kaynakları Grup Müdürü Semih Sel'in atanmasına karar verilmiştir.</w:t>
      </w:r>
    </w:p>
    <w:p w14:paraId="1F50FBB8" w14:textId="77777777" w:rsidR="00B10D57" w:rsidRPr="00005453" w:rsidRDefault="00B10D57" w:rsidP="00C97A91">
      <w:pPr>
        <w:pStyle w:val="BodyText2"/>
        <w:ind w:firstLine="0"/>
        <w:rPr>
          <w:sz w:val="20"/>
          <w:lang w:eastAsia="en-US"/>
        </w:rPr>
      </w:pPr>
    </w:p>
    <w:p w14:paraId="6CBA8445" w14:textId="77777777" w:rsidR="00AB2B18" w:rsidRPr="00005453" w:rsidRDefault="000F6B75" w:rsidP="00DD55E0">
      <w:pPr>
        <w:pStyle w:val="BodyText2"/>
        <w:ind w:firstLine="0"/>
        <w:jc w:val="center"/>
        <w:rPr>
          <w:rFonts w:eastAsia="Arial Unicode MS"/>
          <w:b/>
          <w:sz w:val="22"/>
          <w:szCs w:val="22"/>
        </w:rPr>
      </w:pPr>
      <w:r w:rsidRPr="00005453">
        <w:rPr>
          <w:sz w:val="20"/>
          <w:lang w:eastAsia="en-US"/>
        </w:rPr>
        <w:br w:type="page"/>
      </w:r>
      <w:r w:rsidR="00AB2B18" w:rsidRPr="00005453">
        <w:rPr>
          <w:rFonts w:eastAsia="Arial Unicode MS"/>
          <w:b/>
          <w:sz w:val="22"/>
          <w:szCs w:val="22"/>
        </w:rPr>
        <w:lastRenderedPageBreak/>
        <w:t>ALTINCI BÖLÜM</w:t>
      </w:r>
    </w:p>
    <w:p w14:paraId="4A713A7C" w14:textId="77777777" w:rsidR="00AB2B18" w:rsidRPr="00005453" w:rsidRDefault="00AB2B18" w:rsidP="00AB2B18">
      <w:pPr>
        <w:autoSpaceDE w:val="0"/>
        <w:autoSpaceDN w:val="0"/>
        <w:jc w:val="center"/>
        <w:rPr>
          <w:rFonts w:eastAsia="Arial Unicode MS"/>
          <w:b/>
          <w:sz w:val="16"/>
          <w:szCs w:val="16"/>
        </w:rPr>
      </w:pPr>
    </w:p>
    <w:p w14:paraId="74DD84C7" w14:textId="77777777" w:rsidR="00AB2B18" w:rsidRPr="00005453" w:rsidRDefault="00AB2B18" w:rsidP="00AB2B18">
      <w:pPr>
        <w:tabs>
          <w:tab w:val="left" w:pos="3119"/>
        </w:tabs>
        <w:autoSpaceDE w:val="0"/>
        <w:autoSpaceDN w:val="0"/>
        <w:adjustRightInd w:val="0"/>
        <w:jc w:val="center"/>
        <w:rPr>
          <w:rFonts w:eastAsia="Arial Unicode MS"/>
          <w:b/>
          <w:spacing w:val="-6"/>
          <w:sz w:val="22"/>
          <w:szCs w:val="22"/>
        </w:rPr>
      </w:pPr>
      <w:r w:rsidRPr="00005453">
        <w:rPr>
          <w:rFonts w:eastAsia="Arial Unicode MS"/>
          <w:b/>
          <w:spacing w:val="-6"/>
          <w:sz w:val="22"/>
          <w:szCs w:val="22"/>
        </w:rPr>
        <w:t>DİĞER AÇIKLAMALAR</w:t>
      </w:r>
    </w:p>
    <w:p w14:paraId="713BCF69" w14:textId="77777777" w:rsidR="00AB2B18" w:rsidRPr="00005453" w:rsidRDefault="00AB2B18" w:rsidP="00AB2B18">
      <w:pPr>
        <w:pStyle w:val="BodyTextIndent"/>
        <w:autoSpaceDE/>
        <w:autoSpaceDN/>
        <w:adjustRightInd/>
        <w:ind w:left="0" w:firstLine="0"/>
        <w:jc w:val="left"/>
        <w:rPr>
          <w:rFonts w:eastAsia="Arial Unicode MS"/>
          <w:sz w:val="16"/>
          <w:szCs w:val="16"/>
        </w:rPr>
      </w:pPr>
    </w:p>
    <w:p w14:paraId="1E90D892" w14:textId="77777777" w:rsidR="00AB2B18" w:rsidRPr="00005453" w:rsidRDefault="00AB2B18" w:rsidP="00AB2B18">
      <w:pPr>
        <w:pStyle w:val="Heading7"/>
        <w:ind w:left="0" w:hanging="567"/>
        <w:rPr>
          <w:b w:val="0"/>
          <w:bCs w:val="0"/>
        </w:rPr>
      </w:pPr>
      <w:r w:rsidRPr="00005453">
        <w:t>1.</w:t>
      </w:r>
      <w:r w:rsidRPr="00005453">
        <w:tab/>
        <w:t xml:space="preserve">Bilançoyu önemli ölçüde etkileyen ya da bilançonun açık yorumlanabilir ve anlaşılabilir olması açısından açıklanması gerekli olan diğer </w:t>
      </w:r>
      <w:proofErr w:type="gramStart"/>
      <w:r w:rsidRPr="00005453">
        <w:t>hususlar :</w:t>
      </w:r>
      <w:proofErr w:type="gramEnd"/>
      <w:r w:rsidRPr="00005453">
        <w:rPr>
          <w:b w:val="0"/>
          <w:bCs w:val="0"/>
        </w:rPr>
        <w:t xml:space="preserve"> Yoktur.</w:t>
      </w:r>
    </w:p>
    <w:p w14:paraId="35D12265" w14:textId="77777777" w:rsidR="00AB2B18" w:rsidRPr="00005453" w:rsidRDefault="00AB2B18" w:rsidP="00AB2B18"/>
    <w:p w14:paraId="33214FDD" w14:textId="77777777" w:rsidR="00AB2B18" w:rsidRPr="00005453" w:rsidRDefault="00AB2B18" w:rsidP="00AB2B18">
      <w:pPr>
        <w:jc w:val="center"/>
        <w:rPr>
          <w:rFonts w:eastAsia="Arial Unicode MS"/>
          <w:b/>
          <w:sz w:val="22"/>
          <w:szCs w:val="22"/>
        </w:rPr>
      </w:pPr>
      <w:r w:rsidRPr="00005453">
        <w:rPr>
          <w:rFonts w:eastAsia="Arial Unicode MS"/>
          <w:b/>
          <w:sz w:val="22"/>
          <w:szCs w:val="22"/>
        </w:rPr>
        <w:t>YEDİNCİ BÖLÜM</w:t>
      </w:r>
    </w:p>
    <w:p w14:paraId="20019C97" w14:textId="77777777" w:rsidR="00AB2B18" w:rsidRPr="00005453" w:rsidRDefault="00AB2B18" w:rsidP="00AB2B18">
      <w:pPr>
        <w:autoSpaceDE w:val="0"/>
        <w:autoSpaceDN w:val="0"/>
        <w:adjustRightInd w:val="0"/>
        <w:rPr>
          <w:rFonts w:eastAsia="Arial Unicode MS"/>
          <w:b/>
          <w:sz w:val="16"/>
          <w:szCs w:val="16"/>
        </w:rPr>
      </w:pPr>
    </w:p>
    <w:p w14:paraId="78E11562" w14:textId="7DD9AB32" w:rsidR="00AB2B18" w:rsidRPr="00005453" w:rsidRDefault="00AB2B18" w:rsidP="00AB2B18">
      <w:pPr>
        <w:jc w:val="center"/>
        <w:rPr>
          <w:b/>
          <w:sz w:val="22"/>
          <w:szCs w:val="22"/>
        </w:rPr>
      </w:pPr>
      <w:r w:rsidRPr="00005453">
        <w:rPr>
          <w:b/>
          <w:sz w:val="22"/>
          <w:szCs w:val="22"/>
        </w:rPr>
        <w:t>BAĞIMSIZ DENETİM RAPORU</w:t>
      </w:r>
    </w:p>
    <w:p w14:paraId="6DFE4A35" w14:textId="77777777" w:rsidR="00AB2B18" w:rsidRPr="00005453" w:rsidRDefault="00AB2B18" w:rsidP="00AB2B18">
      <w:pPr>
        <w:pStyle w:val="BodyTextIndent"/>
        <w:autoSpaceDE/>
        <w:autoSpaceDN/>
        <w:adjustRightInd/>
        <w:ind w:left="0" w:firstLine="0"/>
        <w:jc w:val="left"/>
        <w:rPr>
          <w:bCs/>
          <w:sz w:val="16"/>
          <w:szCs w:val="16"/>
        </w:rPr>
      </w:pPr>
    </w:p>
    <w:p w14:paraId="4F71CBF6" w14:textId="22899307" w:rsidR="00AB2B18" w:rsidRPr="00005453" w:rsidRDefault="00AB2B18" w:rsidP="00AB2B18">
      <w:pPr>
        <w:pStyle w:val="Heading7"/>
        <w:tabs>
          <w:tab w:val="left" w:pos="709"/>
        </w:tabs>
        <w:ind w:left="0" w:hanging="567"/>
      </w:pPr>
      <w:r w:rsidRPr="00005453">
        <w:t>1.</w:t>
      </w:r>
      <w:r w:rsidRPr="00005453">
        <w:tab/>
        <w:t xml:space="preserve">Bağımsız denetim raporuna ilişkin açıklamalar </w:t>
      </w:r>
    </w:p>
    <w:p w14:paraId="5BAA8E2F" w14:textId="77777777" w:rsidR="00AB2B18" w:rsidRPr="00005453" w:rsidRDefault="00AB2B18" w:rsidP="00AB2B18">
      <w:pPr>
        <w:pStyle w:val="BodyTextIndent"/>
        <w:autoSpaceDE/>
        <w:autoSpaceDN/>
        <w:adjustRightInd/>
        <w:jc w:val="left"/>
        <w:rPr>
          <w:sz w:val="16"/>
          <w:szCs w:val="16"/>
        </w:rPr>
      </w:pPr>
    </w:p>
    <w:p w14:paraId="6032858C" w14:textId="0A9D5C20" w:rsidR="002B00C9" w:rsidRPr="00005453" w:rsidRDefault="002B00C9" w:rsidP="002B00C9">
      <w:pPr>
        <w:pStyle w:val="BodyText2"/>
        <w:ind w:firstLine="0"/>
        <w:rPr>
          <w:sz w:val="20"/>
        </w:rPr>
      </w:pPr>
      <w:r w:rsidRPr="00005453">
        <w:rPr>
          <w:sz w:val="20"/>
        </w:rPr>
        <w:t xml:space="preserve">Banka’nın kamuya açıklanan konsolide olmayan finansal tablo ve dipnotları DRT Bağımsız Denetim ve Serbest Muhasebeci Mali Müşavirlik A.Ş. (A Member Deloitte Touche Tohmatsu Limited) tarafından bağımsız denetime tabi tutulmuş olup, 14 </w:t>
      </w:r>
      <w:r w:rsidR="00C045C9" w:rsidRPr="00005453">
        <w:rPr>
          <w:sz w:val="20"/>
        </w:rPr>
        <w:t>Şubat</w:t>
      </w:r>
      <w:r w:rsidRPr="00005453">
        <w:rPr>
          <w:sz w:val="20"/>
        </w:rPr>
        <w:t xml:space="preserve"> 202</w:t>
      </w:r>
      <w:r w:rsidR="00C045C9" w:rsidRPr="00005453">
        <w:rPr>
          <w:sz w:val="20"/>
        </w:rPr>
        <w:t>5</w:t>
      </w:r>
      <w:r w:rsidRPr="00005453">
        <w:rPr>
          <w:sz w:val="20"/>
        </w:rPr>
        <w:t xml:space="preserve"> tarihli bağımsız denetim raporu konsolide olmayan finansal tabloların önünde sunulmuştur.</w:t>
      </w:r>
    </w:p>
    <w:p w14:paraId="3A7FDA80" w14:textId="77777777" w:rsidR="00AB2B18" w:rsidRPr="00005453" w:rsidRDefault="00AB2B18" w:rsidP="00AB2B18">
      <w:pPr>
        <w:pStyle w:val="BodyTextIndent"/>
        <w:autoSpaceDE/>
        <w:autoSpaceDN/>
        <w:adjustRightInd/>
        <w:ind w:left="0" w:firstLine="0"/>
        <w:jc w:val="left"/>
        <w:rPr>
          <w:sz w:val="16"/>
          <w:szCs w:val="16"/>
        </w:rPr>
      </w:pPr>
    </w:p>
    <w:p w14:paraId="55EE3385" w14:textId="77777777" w:rsidR="00AB2B18" w:rsidRPr="00005453" w:rsidRDefault="00AB2B18" w:rsidP="00AB2B18">
      <w:pPr>
        <w:pStyle w:val="Heading7"/>
        <w:tabs>
          <w:tab w:val="left" w:pos="709"/>
        </w:tabs>
        <w:ind w:left="-38" w:hanging="529"/>
      </w:pPr>
      <w:r w:rsidRPr="00005453">
        <w:t>2.</w:t>
      </w:r>
      <w:r w:rsidRPr="00005453">
        <w:tab/>
        <w:t xml:space="preserve">Bağımsız denetçi tarafından hazırlanan açıklama ve </w:t>
      </w:r>
      <w:proofErr w:type="gramStart"/>
      <w:r w:rsidRPr="00005453">
        <w:t>dipnotlar :</w:t>
      </w:r>
      <w:proofErr w:type="gramEnd"/>
      <w:r w:rsidRPr="00005453">
        <w:t xml:space="preserve"> </w:t>
      </w:r>
      <w:r w:rsidRPr="00005453">
        <w:rPr>
          <w:b w:val="0"/>
        </w:rPr>
        <w:t>Yoktur.</w:t>
      </w:r>
    </w:p>
    <w:p w14:paraId="0EC4697D" w14:textId="70E3C2F1" w:rsidR="007D404C" w:rsidRPr="00005453" w:rsidRDefault="007D404C" w:rsidP="00AB2B18">
      <w:pPr>
        <w:autoSpaceDE w:val="0"/>
        <w:autoSpaceDN w:val="0"/>
        <w:jc w:val="center"/>
      </w:pPr>
    </w:p>
    <w:sectPr w:rsidR="007D404C" w:rsidRPr="00005453"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D17F0" w14:textId="77777777" w:rsidR="005F6E0A" w:rsidRDefault="005F6E0A">
      <w:r>
        <w:separator/>
      </w:r>
    </w:p>
  </w:endnote>
  <w:endnote w:type="continuationSeparator" w:id="0">
    <w:p w14:paraId="27C00E0F" w14:textId="77777777" w:rsidR="005F6E0A" w:rsidRDefault="005F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684A" w14:textId="77777777" w:rsidR="005F6E0A" w:rsidRDefault="005F6E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0DD5B8" w14:textId="77777777" w:rsidR="005F6E0A" w:rsidRDefault="005F6E0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EA86" w14:textId="3147022D" w:rsidR="005F6E0A" w:rsidRPr="001E03F5" w:rsidRDefault="005F6E0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5</w:t>
    </w:r>
  </w:p>
  <w:p w14:paraId="6323DE3C" w14:textId="77777777" w:rsidR="005F6E0A" w:rsidRPr="00076B97" w:rsidRDefault="005F6E0A"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6240A" w14:textId="4A2E80D8" w:rsidR="005F6E0A" w:rsidRPr="001E03F5" w:rsidRDefault="005F6E0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6</w:t>
    </w:r>
  </w:p>
  <w:p w14:paraId="33718839" w14:textId="77777777" w:rsidR="005F6E0A" w:rsidRPr="00076B97" w:rsidRDefault="005F6E0A"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CBF97" w14:textId="7371E27A" w:rsidR="005F6E0A" w:rsidRPr="001E03F5" w:rsidRDefault="005F6E0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7</w:t>
    </w:r>
  </w:p>
  <w:p w14:paraId="7ECEF1C6" w14:textId="77777777" w:rsidR="005F6E0A" w:rsidRPr="00076B97" w:rsidRDefault="005F6E0A"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77777777" w:rsidR="005F6E0A" w:rsidRPr="004C4FA7" w:rsidRDefault="005F6E0A">
    <w:pPr>
      <w:pStyle w:val="Footer"/>
      <w:jc w:val="center"/>
      <w:rPr>
        <w:sz w:val="20"/>
        <w:szCs w:val="20"/>
      </w:rPr>
    </w:pPr>
    <w:r>
      <w:rPr>
        <w:sz w:val="20"/>
        <w:szCs w:val="20"/>
        <w:lang w:val="tr-TR"/>
      </w:rPr>
      <w:t>8</w:t>
    </w:r>
  </w:p>
  <w:p w14:paraId="377C63AD" w14:textId="77777777" w:rsidR="005F6E0A" w:rsidRPr="00BD74F4" w:rsidRDefault="005F6E0A"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42D9" w14:textId="73CB7B69" w:rsidR="005F6E0A" w:rsidRPr="004D3D0A" w:rsidRDefault="005F6E0A">
    <w:pPr>
      <w:pStyle w:val="Footer"/>
      <w:jc w:val="center"/>
      <w:rPr>
        <w:sz w:val="20"/>
        <w:szCs w:val="20"/>
        <w:lang w:val="tr-TR"/>
      </w:rPr>
    </w:pPr>
    <w:r>
      <w:rPr>
        <w:sz w:val="20"/>
        <w:szCs w:val="20"/>
        <w:lang w:val="tr-TR"/>
      </w:rPr>
      <w:t>9</w:t>
    </w:r>
  </w:p>
  <w:p w14:paraId="76364317" w14:textId="77777777" w:rsidR="005F6E0A" w:rsidRPr="00BD74F4" w:rsidRDefault="005F6E0A"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91C2B" w14:textId="66D8200C" w:rsidR="005F6E0A" w:rsidRPr="004D3D0A" w:rsidRDefault="005F6E0A">
    <w:pPr>
      <w:pStyle w:val="Footer"/>
      <w:jc w:val="center"/>
      <w:rPr>
        <w:sz w:val="20"/>
        <w:szCs w:val="20"/>
        <w:lang w:val="tr-TR"/>
      </w:rPr>
    </w:pPr>
    <w:r>
      <w:rPr>
        <w:sz w:val="20"/>
        <w:szCs w:val="20"/>
        <w:lang w:val="tr-TR"/>
      </w:rPr>
      <w:t>10</w:t>
    </w:r>
  </w:p>
  <w:p w14:paraId="7F1A65A0" w14:textId="77777777" w:rsidR="005F6E0A" w:rsidRPr="00BD74F4" w:rsidRDefault="005F6E0A" w:rsidP="00BD74F4">
    <w:pPr>
      <w:pStyle w:val="Footer"/>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2648114"/>
      <w:docPartObj>
        <w:docPartGallery w:val="Page Numbers (Bottom of Page)"/>
        <w:docPartUnique/>
      </w:docPartObj>
    </w:sdtPr>
    <w:sdtEndPr>
      <w:rPr>
        <w:sz w:val="20"/>
        <w:szCs w:val="20"/>
      </w:rPr>
    </w:sdtEndPr>
    <w:sdtContent>
      <w:p w14:paraId="204F1134" w14:textId="77777777" w:rsidR="005F6E0A" w:rsidRPr="00084767" w:rsidRDefault="005F6E0A">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13</w:t>
        </w:r>
        <w:r w:rsidRPr="00084767">
          <w:rPr>
            <w:sz w:val="20"/>
            <w:szCs w:val="20"/>
          </w:rPr>
          <w:fldChar w:fldCharType="end"/>
        </w:r>
      </w:p>
    </w:sdtContent>
  </w:sdt>
  <w:p w14:paraId="1453CDFC" w14:textId="77777777" w:rsidR="005F6E0A" w:rsidRPr="00224509" w:rsidRDefault="005F6E0A" w:rsidP="00D84F4B">
    <w:pPr>
      <w:pStyle w:val="Footer"/>
      <w:tabs>
        <w:tab w:val="clear" w:pos="4536"/>
        <w:tab w:val="clear" w:pos="9072"/>
        <w:tab w:val="left" w:pos="1570"/>
      </w:tabs>
      <w:rPr>
        <w:sz w:val="20"/>
        <w:szCs w:val="20"/>
        <w:lang w:val="tr-TR"/>
      </w:rPr>
    </w:pPr>
  </w:p>
  <w:p w14:paraId="6E120B12" w14:textId="77777777" w:rsidR="005F6E0A" w:rsidRDefault="005F6E0A"/>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346399"/>
      <w:docPartObj>
        <w:docPartGallery w:val="Page Numbers (Bottom of Page)"/>
        <w:docPartUnique/>
      </w:docPartObj>
    </w:sdtPr>
    <w:sdtContent>
      <w:p w14:paraId="4F67AE1F" w14:textId="3E54816E" w:rsidR="005F6E0A" w:rsidRDefault="005F6E0A">
        <w:pPr>
          <w:pStyle w:val="Footer"/>
          <w:jc w:val="center"/>
        </w:pPr>
        <w:r>
          <w:fldChar w:fldCharType="begin"/>
        </w:r>
        <w:r>
          <w:instrText>PAGE   \* MERGEFORMAT</w:instrText>
        </w:r>
        <w:r>
          <w:fldChar w:fldCharType="separate"/>
        </w:r>
        <w:r>
          <w:rPr>
            <w:lang w:val="tr-TR"/>
          </w:rPr>
          <w:t>2</w:t>
        </w:r>
        <w:r>
          <w:fldChar w:fldCharType="end"/>
        </w:r>
      </w:p>
    </w:sdtContent>
  </w:sdt>
  <w:p w14:paraId="09560D9D" w14:textId="77777777" w:rsidR="005F6E0A" w:rsidRDefault="005F6E0A" w:rsidP="00682C46">
    <w:pP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03F14" w14:textId="56041558" w:rsidR="005F6E0A" w:rsidRPr="004C4FA7" w:rsidRDefault="005F6E0A" w:rsidP="00D84F4B">
    <w:pPr>
      <w:pStyle w:val="Footer"/>
      <w:framePr w:w="465" w:wrap="around" w:vAnchor="text" w:hAnchor="page" w:x="7963" w:y="335"/>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35</w:t>
    </w:r>
    <w:r w:rsidRPr="004C4FA7">
      <w:rPr>
        <w:rStyle w:val="PageNumber"/>
        <w:sz w:val="20"/>
        <w:szCs w:val="20"/>
      </w:rPr>
      <w:fldChar w:fldCharType="end"/>
    </w:r>
  </w:p>
  <w:p w14:paraId="6470DEA5" w14:textId="77777777" w:rsidR="005F6E0A" w:rsidRPr="00BD74F4" w:rsidRDefault="005F6E0A" w:rsidP="008D745E">
    <w:pPr>
      <w:pStyle w:val="Footer"/>
      <w:rPr>
        <w:sz w:val="20"/>
        <w:szCs w:val="20"/>
        <w:lang w:val="tr-TR"/>
      </w:rPr>
    </w:pPr>
    <w:r>
      <w:rPr>
        <w:sz w:val="20"/>
        <w:szCs w:val="20"/>
        <w:lang w:val="tr-TR"/>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635487244"/>
      <w:docPartObj>
        <w:docPartGallery w:val="Page Numbers (Bottom of Page)"/>
        <w:docPartUnique/>
      </w:docPartObj>
    </w:sdtPr>
    <w:sdtContent>
      <w:p w14:paraId="5E05AE65" w14:textId="7161626A" w:rsidR="005F6E0A" w:rsidRPr="00B93F7B" w:rsidRDefault="005F6E0A">
        <w:pPr>
          <w:pStyle w:val="Footer"/>
          <w:jc w:val="center"/>
          <w:rPr>
            <w:sz w:val="20"/>
          </w:rPr>
        </w:pPr>
        <w:r w:rsidRPr="00B93F7B">
          <w:rPr>
            <w:sz w:val="20"/>
          </w:rPr>
          <w:fldChar w:fldCharType="begin"/>
        </w:r>
        <w:r w:rsidRPr="00B93F7B">
          <w:rPr>
            <w:sz w:val="20"/>
          </w:rPr>
          <w:instrText>PAGE   \* MERGEFORMAT</w:instrText>
        </w:r>
        <w:r w:rsidRPr="00B93F7B">
          <w:rPr>
            <w:sz w:val="20"/>
          </w:rPr>
          <w:fldChar w:fldCharType="separate"/>
        </w:r>
        <w:r w:rsidRPr="00173D2D">
          <w:rPr>
            <w:noProof/>
            <w:sz w:val="20"/>
            <w:lang w:val="tr-TR"/>
          </w:rPr>
          <w:t>38</w:t>
        </w:r>
        <w:r w:rsidRPr="00B93F7B">
          <w:rPr>
            <w:sz w:val="20"/>
          </w:rPr>
          <w:fldChar w:fldCharType="end"/>
        </w:r>
      </w:p>
    </w:sdtContent>
  </w:sdt>
  <w:p w14:paraId="1E036D9B" w14:textId="3101B8B0" w:rsidR="005F6E0A" w:rsidRPr="00B93F7B" w:rsidRDefault="005F6E0A" w:rsidP="008D745E">
    <w:pPr>
      <w:pStyle w:val="Footer"/>
      <w:rPr>
        <w:sz w:val="16"/>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43ED1" w14:textId="77777777" w:rsidR="005F6E0A" w:rsidRDefault="005F6E0A">
    <w:pPr>
      <w:pStyle w:val="Footer"/>
      <w:framePr w:wrap="around" w:vAnchor="text" w:hAnchor="margin" w:xAlign="center" w:y="1"/>
      <w:rPr>
        <w:rStyle w:val="PageNumber"/>
        <w:sz w:val="20"/>
      </w:rPr>
    </w:pPr>
  </w:p>
  <w:p w14:paraId="6E9A9DAE" w14:textId="77777777" w:rsidR="005F6E0A" w:rsidRDefault="005F6E0A">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69DF" w14:textId="0A1E4DF1" w:rsidR="005F6E0A" w:rsidRPr="004C4FA7" w:rsidRDefault="005F6E0A" w:rsidP="00D84F4B">
    <w:pPr>
      <w:pStyle w:val="Footer"/>
      <w:framePr w:w="465" w:wrap="around" w:vAnchor="text" w:hAnchor="page" w:x="7757" w:y="311"/>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39</w:t>
    </w:r>
    <w:r w:rsidRPr="004C4FA7">
      <w:rPr>
        <w:rStyle w:val="PageNumber"/>
        <w:sz w:val="20"/>
        <w:szCs w:val="20"/>
      </w:rPr>
      <w:fldChar w:fldCharType="end"/>
    </w:r>
  </w:p>
  <w:p w14:paraId="76105E16" w14:textId="77777777" w:rsidR="005F6E0A" w:rsidRPr="00BD74F4" w:rsidRDefault="005F6E0A" w:rsidP="008D745E">
    <w:pPr>
      <w:pStyle w:val="Footer"/>
      <w:rPr>
        <w:sz w:val="20"/>
        <w:szCs w:val="20"/>
        <w:lang w:val="tr-TR"/>
      </w:rPr>
    </w:pPr>
    <w:r>
      <w:rPr>
        <w:sz w:val="20"/>
        <w:szCs w:val="20"/>
        <w:lang w:val="tr-TR"/>
      </w:rP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7ABAC0CC" w:rsidR="005F6E0A" w:rsidRPr="00C97274" w:rsidRDefault="005F6E0A">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93</w:t>
    </w:r>
    <w:r w:rsidRPr="00C97274">
      <w:rPr>
        <w:noProof/>
        <w:sz w:val="20"/>
        <w:szCs w:val="20"/>
      </w:rPr>
      <w:fldChar w:fldCharType="end"/>
    </w:r>
  </w:p>
  <w:p w14:paraId="23C2D703" w14:textId="77777777" w:rsidR="005F6E0A" w:rsidRPr="00BD74F4" w:rsidRDefault="005F6E0A" w:rsidP="00BD74F4">
    <w:pPr>
      <w:pStyle w:val="Footer"/>
      <w:rPr>
        <w:sz w:val="20"/>
        <w:szCs w:val="20"/>
        <w:lang w:val="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EE760" w14:textId="77777777" w:rsidR="006879A6" w:rsidRDefault="006879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7CBE9" w14:textId="7CD96EB3" w:rsidR="005F6E0A" w:rsidRPr="005B7DD4" w:rsidRDefault="005F6E0A">
    <w:pPr>
      <w:pStyle w:val="Footer"/>
      <w:rPr>
        <w:lang w:val="tr-TR"/>
      </w:rPr>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4995085"/>
      <w:docPartObj>
        <w:docPartGallery w:val="Page Numbers (Bottom of Page)"/>
        <w:docPartUnique/>
      </w:docPartObj>
    </w:sdtPr>
    <w:sdtEndPr>
      <w:rPr>
        <w:sz w:val="20"/>
        <w:szCs w:val="20"/>
      </w:rPr>
    </w:sdtEndPr>
    <w:sdtContent>
      <w:p w14:paraId="4387F06B" w14:textId="317C5203" w:rsidR="005F6E0A" w:rsidRPr="00152E65" w:rsidRDefault="005F6E0A">
        <w:pPr>
          <w:pStyle w:val="Footer"/>
          <w:jc w:val="center"/>
          <w:rPr>
            <w:sz w:val="20"/>
            <w:szCs w:val="20"/>
          </w:rPr>
        </w:pPr>
        <w:r w:rsidRPr="00152E65">
          <w:rPr>
            <w:sz w:val="20"/>
            <w:szCs w:val="20"/>
          </w:rPr>
          <w:fldChar w:fldCharType="begin"/>
        </w:r>
        <w:r w:rsidRPr="00152E65">
          <w:rPr>
            <w:sz w:val="20"/>
            <w:szCs w:val="20"/>
          </w:rPr>
          <w:instrText>PAGE   \* MERGEFORMAT</w:instrText>
        </w:r>
        <w:r w:rsidRPr="00152E65">
          <w:rPr>
            <w:sz w:val="20"/>
            <w:szCs w:val="20"/>
          </w:rPr>
          <w:fldChar w:fldCharType="separate"/>
        </w:r>
        <w:r w:rsidRPr="00152E65">
          <w:rPr>
            <w:sz w:val="20"/>
            <w:szCs w:val="20"/>
            <w:lang w:val="tr-TR"/>
          </w:rPr>
          <w:t>2</w:t>
        </w:r>
        <w:r w:rsidRPr="00152E65">
          <w:rPr>
            <w:sz w:val="20"/>
            <w:szCs w:val="20"/>
          </w:rPr>
          <w:fldChar w:fldCharType="end"/>
        </w:r>
      </w:p>
    </w:sdtContent>
  </w:sdt>
  <w:p w14:paraId="466441A2" w14:textId="0F36C749" w:rsidR="005F6E0A" w:rsidRPr="005B7DD4" w:rsidRDefault="005F6E0A">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1D63E3B" w:rsidR="005F6E0A" w:rsidRPr="00084767" w:rsidRDefault="005F6E0A">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p>
    </w:sdtContent>
  </w:sdt>
  <w:p w14:paraId="3FFBFAE9" w14:textId="77777777" w:rsidR="005F6E0A" w:rsidRPr="00666B0D" w:rsidRDefault="005F6E0A"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5F6E0A" w:rsidRDefault="005F6E0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BC53" w14:textId="7004AEE3" w:rsidR="005F6E0A" w:rsidRPr="001E03F5" w:rsidRDefault="005F6E0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3</w:t>
    </w:r>
  </w:p>
  <w:p w14:paraId="33A861C4" w14:textId="77777777" w:rsidR="005F6E0A" w:rsidRPr="00076B97" w:rsidRDefault="005F6E0A" w:rsidP="008D74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B7726" w14:textId="52A4C2C6" w:rsidR="005F6E0A" w:rsidRPr="001E03F5" w:rsidRDefault="005F6E0A"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4</w:t>
    </w:r>
  </w:p>
  <w:p w14:paraId="40E6D0AF" w14:textId="77777777" w:rsidR="005F6E0A" w:rsidRPr="00076B97" w:rsidRDefault="005F6E0A" w:rsidP="008D7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B92F4" w14:textId="77777777" w:rsidR="005F6E0A" w:rsidRDefault="005F6E0A">
      <w:r>
        <w:separator/>
      </w:r>
    </w:p>
  </w:footnote>
  <w:footnote w:type="continuationSeparator" w:id="0">
    <w:p w14:paraId="4A011291" w14:textId="77777777" w:rsidR="005F6E0A" w:rsidRDefault="005F6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5000A" w14:textId="77777777" w:rsidR="006879A6" w:rsidRDefault="006879A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98DF8" w14:textId="77777777" w:rsidR="005F6E0A" w:rsidRPr="00F27F53" w:rsidRDefault="005F6E0A"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F32D81" w14:textId="11E6D534" w:rsidR="005F6E0A" w:rsidRDefault="005F6E0A"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2024</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39284420" w14:textId="47A23C61" w:rsidR="005F6E0A" w:rsidRPr="00B95E31" w:rsidRDefault="005F6E0A"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TABLOSU</w:t>
    </w:r>
  </w:p>
  <w:p w14:paraId="0046C81F" w14:textId="10BD4239" w:rsidR="005F6E0A" w:rsidRPr="005C6753" w:rsidRDefault="005F6E0A"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5F6E0A" w:rsidRPr="00D24D5A" w:rsidRDefault="005F6E0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4175" w14:textId="77777777" w:rsidR="005F6E0A" w:rsidRPr="00F27F53" w:rsidRDefault="005F6E0A"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EE32BB" w14:textId="00B4383B" w:rsidR="005F6E0A" w:rsidRDefault="005F6E0A"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2024</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754E1DC3" w14:textId="33AB97E0" w:rsidR="005F6E0A" w:rsidRPr="00B95E31" w:rsidRDefault="005F6E0A"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50D8B022" w14:textId="4D2586A7" w:rsidR="005F6E0A" w:rsidRPr="005C6753" w:rsidRDefault="005F6E0A"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3E9F094" w14:textId="77777777" w:rsidR="005F6E0A" w:rsidRPr="00D24D5A" w:rsidRDefault="005F6E0A">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5F6E0A" w:rsidRPr="00F27F53" w:rsidRDefault="005F6E0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0BBF459E" w:rsidR="005F6E0A" w:rsidRDefault="005F6E0A" w:rsidP="00CC3A53">
    <w:pPr>
      <w:pStyle w:val="Header"/>
      <w:rPr>
        <w:sz w:val="18"/>
        <w:szCs w:val="18"/>
        <w:u w:val="single"/>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5F6E0A" w:rsidRPr="005C6753" w:rsidRDefault="005F6E0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5F6E0A" w:rsidRPr="007638D5" w:rsidRDefault="005F6E0A"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D6C17" w14:textId="77777777" w:rsidR="005F6E0A" w:rsidRPr="00F27F53" w:rsidRDefault="005F6E0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FA871C7" w14:textId="5465F9EC" w:rsidR="005F6E0A" w:rsidRDefault="005F6E0A" w:rsidP="00CC3A53">
    <w:pPr>
      <w:pStyle w:val="Header"/>
      <w:rPr>
        <w:sz w:val="18"/>
        <w:szCs w:val="18"/>
        <w:u w:val="single"/>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NAKİT AKIŞ TABLOSU</w:t>
    </w:r>
    <w:r w:rsidRPr="00D75567">
      <w:rPr>
        <w:sz w:val="18"/>
        <w:szCs w:val="18"/>
        <w:u w:val="single"/>
      </w:rPr>
      <w:t xml:space="preserve"> </w:t>
    </w:r>
  </w:p>
  <w:p w14:paraId="2C21E288" w14:textId="77777777" w:rsidR="005F6E0A" w:rsidRPr="005C6753" w:rsidRDefault="005F6E0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AFC479C" w14:textId="77777777" w:rsidR="005F6E0A" w:rsidRPr="007638D5" w:rsidRDefault="005F6E0A"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A4FD" w14:textId="77777777" w:rsidR="005F6E0A" w:rsidRPr="00F27F53" w:rsidRDefault="005F6E0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82106A9" w14:textId="6FCB3E73" w:rsidR="005F6E0A" w:rsidRDefault="005F6E0A" w:rsidP="00CC3A53">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14972853" w14:textId="53831DF4" w:rsidR="005F6E0A" w:rsidRDefault="005F6E0A" w:rsidP="00CC3A53">
    <w:pPr>
      <w:pStyle w:val="Header"/>
      <w:rPr>
        <w:sz w:val="18"/>
        <w:szCs w:val="18"/>
        <w:u w:val="single"/>
      </w:rPr>
    </w:pPr>
    <w:r>
      <w:rPr>
        <w:b/>
        <w:sz w:val="22"/>
        <w:szCs w:val="22"/>
      </w:rPr>
      <w:t>KONSOLİDE OLMAYAN KAR DAĞITIM TABLOSU</w:t>
    </w:r>
    <w:r w:rsidRPr="00D75567">
      <w:rPr>
        <w:sz w:val="18"/>
        <w:szCs w:val="18"/>
        <w:u w:val="single"/>
      </w:rPr>
      <w:t xml:space="preserve"> </w:t>
    </w:r>
  </w:p>
  <w:p w14:paraId="05F2A44A" w14:textId="77777777" w:rsidR="005F6E0A" w:rsidRPr="005C6753" w:rsidRDefault="005F6E0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8955DD5" w14:textId="77777777" w:rsidR="005F6E0A" w:rsidRPr="007638D5" w:rsidRDefault="005F6E0A" w:rsidP="003C1A2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39A82" w14:textId="77777777" w:rsidR="006879A6" w:rsidRPr="00F27F53" w:rsidRDefault="006879A6" w:rsidP="006879A6">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ADB2FFE" w14:textId="469F84CD" w:rsidR="006879A6" w:rsidRPr="00231D2B" w:rsidRDefault="006879A6" w:rsidP="006879A6">
    <w:pPr>
      <w:rPr>
        <w:b/>
        <w:sz w:val="22"/>
        <w:szCs w:val="22"/>
      </w:rPr>
    </w:pPr>
    <w:r>
      <w:rPr>
        <w:b/>
        <w:sz w:val="22"/>
        <w:szCs w:val="22"/>
      </w:rPr>
      <w:t>31 ARALIK 202</w:t>
    </w:r>
    <w:r>
      <w:rPr>
        <w:b/>
        <w:sz w:val="22"/>
        <w:szCs w:val="22"/>
      </w:rPr>
      <w:t>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5CCD0AF" w14:textId="77777777" w:rsidR="006879A6" w:rsidRPr="00930AA3" w:rsidRDefault="006879A6" w:rsidP="006879A6">
    <w:pPr>
      <w:pStyle w:val="Header"/>
      <w:pBdr>
        <w:bottom w:val="single" w:sz="4" w:space="1" w:color="auto"/>
      </w:pBdr>
      <w:rPr>
        <w:i/>
        <w:sz w:val="18"/>
        <w:szCs w:val="18"/>
      </w:rPr>
    </w:pPr>
    <w:r w:rsidRPr="00930AA3">
      <w:rPr>
        <w:i/>
        <w:sz w:val="18"/>
        <w:szCs w:val="18"/>
      </w:rPr>
      <w:t>(Tutarlar aksi belirtilmedikçe Bin Türk Lirası (TL) olarak ifade edilmiştir.)</w:t>
    </w:r>
  </w:p>
  <w:p w14:paraId="072985EA" w14:textId="77777777" w:rsidR="006879A6" w:rsidRPr="007638D5" w:rsidRDefault="006879A6"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5F6E0A" w:rsidRPr="00F27F53" w:rsidRDefault="005F6E0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24196430" w:rsidR="005F6E0A" w:rsidRPr="00231D2B" w:rsidRDefault="005F6E0A" w:rsidP="00885DE8">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5F6E0A" w:rsidRPr="005C6753" w:rsidRDefault="005F6E0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5F6E0A" w:rsidRPr="00560A95" w:rsidRDefault="005F6E0A"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5F6E0A" w:rsidRPr="00F27F53" w:rsidRDefault="005F6E0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3DFC1BAA" w:rsidR="005F6E0A" w:rsidRPr="00231D2B" w:rsidRDefault="005F6E0A" w:rsidP="00231D2B">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5F6E0A" w:rsidRPr="005C6753" w:rsidRDefault="005F6E0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5F6E0A" w:rsidRDefault="005F6E0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FFE37" w14:textId="77777777" w:rsidR="006879A6" w:rsidRDefault="00687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661A7" w14:textId="77777777" w:rsidR="006879A6" w:rsidRDefault="006879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A7215" w14:textId="14EC84E6" w:rsidR="005F6E0A" w:rsidRPr="00C431AE" w:rsidRDefault="005F6E0A" w:rsidP="00C431A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4578" w14:textId="6B71CC72" w:rsidR="005F6E0A" w:rsidRPr="00C431AE" w:rsidRDefault="005F6E0A" w:rsidP="00C431A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DD43A" w14:textId="77777777" w:rsidR="005F6E0A" w:rsidRPr="00F27F53" w:rsidRDefault="005F6E0A" w:rsidP="003F3E56">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8E3A3E3" w14:textId="073D4E7E" w:rsidR="005F6E0A" w:rsidRDefault="005F6E0A" w:rsidP="003F3E56">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00132E1C" w14:textId="77777777" w:rsidR="005F6E0A" w:rsidRPr="00BD1BED" w:rsidRDefault="005F6E0A" w:rsidP="003F3E56">
    <w:pPr>
      <w:pStyle w:val="Header"/>
      <w:pBdr>
        <w:bottom w:val="single" w:sz="4" w:space="1" w:color="auto"/>
      </w:pBdr>
      <w:rPr>
        <w:i/>
        <w:iCs/>
        <w:sz w:val="18"/>
        <w:szCs w:val="18"/>
      </w:rPr>
    </w:pPr>
    <w:r w:rsidRPr="00BD1BED">
      <w:rPr>
        <w:rFonts w:ascii="TimesNewRomanPSMT" w:hAnsi="TimesNewRomanPSMT" w:cs="TimesNewRomanPSMT"/>
        <w:i/>
        <w:iCs/>
        <w:sz w:val="18"/>
        <w:szCs w:val="18"/>
        <w:lang w:eastAsia="zh-CN"/>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09E0" w14:textId="77777777" w:rsidR="005F6E0A" w:rsidRPr="00F27F53" w:rsidRDefault="005F6E0A" w:rsidP="0060734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582E3" w14:textId="64E0EF2B" w:rsidR="005F6E0A" w:rsidRDefault="005F6E0A" w:rsidP="0060734E">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60E70DFE" w:rsidR="005F6E0A" w:rsidRPr="00BD1BED" w:rsidRDefault="005F6E0A" w:rsidP="0060734E">
    <w:pPr>
      <w:pStyle w:val="Header"/>
      <w:pBdr>
        <w:bottom w:val="single" w:sz="4" w:space="1" w:color="auto"/>
      </w:pBdr>
      <w:rPr>
        <w:i/>
        <w:iCs/>
        <w:sz w:val="18"/>
        <w:szCs w:val="18"/>
      </w:rPr>
    </w:pPr>
    <w:r w:rsidRPr="00BD1BED">
      <w:rPr>
        <w:rFonts w:ascii="TimesNewRomanPSMT" w:hAnsi="TimesNewRomanPSMT" w:cs="TimesNewRomanPSMT"/>
        <w:i/>
        <w:iCs/>
        <w:sz w:val="18"/>
        <w:szCs w:val="18"/>
        <w:lang w:eastAsia="zh-CN"/>
      </w:rPr>
      <w:t>(Tutarlar aksi belirtilmedikçe Bin Türk Lirası (TL) olarak ifade edilmiştir.)</w:t>
    </w:r>
  </w:p>
  <w:p w14:paraId="791E3819" w14:textId="77777777" w:rsidR="005F6E0A" w:rsidRPr="004918A7" w:rsidRDefault="005F6E0A" w:rsidP="00104629">
    <w:pPr>
      <w:pStyle w:val="Header"/>
      <w:rPr>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5F6E0A" w:rsidRPr="00F27F53" w:rsidRDefault="005F6E0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58294A02" w:rsidR="005F6E0A" w:rsidRPr="00D75567" w:rsidRDefault="005F6E0A" w:rsidP="005D3E4D">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5F6E0A" w:rsidRPr="005C6753" w:rsidRDefault="005F6E0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083" w14:textId="77777777" w:rsidR="005F6E0A" w:rsidRPr="00F27F53" w:rsidRDefault="005F6E0A"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47392EBD" w:rsidR="005F6E0A" w:rsidRPr="00D75567" w:rsidRDefault="005F6E0A" w:rsidP="00DE6DD3">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7D407A48" w:rsidR="005F6E0A" w:rsidRPr="005C6753" w:rsidRDefault="005F6E0A" w:rsidP="005C6753">
    <w:pPr>
      <w:pBdr>
        <w:bottom w:val="single" w:sz="4" w:space="1" w:color="auto"/>
      </w:pBdr>
      <w:rPr>
        <w:i/>
        <w:iCs/>
        <w:sz w:val="18"/>
        <w:szCs w:val="18"/>
      </w:rPr>
    </w:pPr>
    <w:r w:rsidRPr="005C6753">
      <w:rPr>
        <w:i/>
        <w:iCs/>
        <w:sz w:val="18"/>
        <w:szCs w:val="18"/>
      </w:rPr>
      <w:t>(Tutarlar aksi belirtilmedikçe Bin Türk Lirası (TL) olarak ifade edilmiştir.)</w:t>
    </w:r>
  </w:p>
  <w:p w14:paraId="45571D5B" w14:textId="77777777" w:rsidR="005F6E0A" w:rsidRPr="00D24D5A" w:rsidRDefault="005F6E0A">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6"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8"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38F25995"/>
    <w:multiLevelType w:val="hybridMultilevel"/>
    <w:tmpl w:val="63183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2AD3342"/>
    <w:multiLevelType w:val="multilevel"/>
    <w:tmpl w:val="62E8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A2C30E2"/>
    <w:multiLevelType w:val="multilevel"/>
    <w:tmpl w:val="E13E9FE0"/>
    <w:lvl w:ilvl="0">
      <w:start w:val="1"/>
      <w:numFmt w:val="upperRoman"/>
      <w:lvlText w:val="%1."/>
      <w:lvlJc w:val="left"/>
      <w:pPr>
        <w:tabs>
          <w:tab w:val="num" w:pos="720"/>
        </w:tabs>
        <w:ind w:left="720" w:hanging="720"/>
      </w:pPr>
      <w:rPr>
        <w:rFonts w:hint="default"/>
        <w:sz w:val="14"/>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9"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FBA5084"/>
    <w:multiLevelType w:val="hybridMultilevel"/>
    <w:tmpl w:val="943EB8C0"/>
    <w:lvl w:ilvl="0" w:tplc="7178755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2AA009E"/>
    <w:multiLevelType w:val="multilevel"/>
    <w:tmpl w:val="C3902668"/>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22"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B61617F"/>
    <w:multiLevelType w:val="multilevel"/>
    <w:tmpl w:val="F33282B6"/>
    <w:lvl w:ilvl="0">
      <w:start w:val="1"/>
      <w:numFmt w:val="upperRoman"/>
      <w:lvlText w:val="%1."/>
      <w:lvlJc w:val="left"/>
      <w:pPr>
        <w:tabs>
          <w:tab w:val="num" w:pos="720"/>
        </w:tabs>
        <w:ind w:left="720" w:hanging="720"/>
      </w:pPr>
      <w:rPr>
        <w:rFonts w:hint="default"/>
        <w:sz w:val="14"/>
      </w:rPr>
    </w:lvl>
    <w:lvl w:ilvl="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4"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7"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9"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32" w15:restartNumberingAfterBreak="0">
    <w:nsid w:val="7AC11C3D"/>
    <w:multiLevelType w:val="hybridMultilevel"/>
    <w:tmpl w:val="228A66A0"/>
    <w:lvl w:ilvl="0" w:tplc="A4A24596">
      <w:start w:val="6"/>
      <w:numFmt w:val="decimal"/>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34"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8"/>
  </w:num>
  <w:num w:numId="2">
    <w:abstractNumId w:val="5"/>
  </w:num>
  <w:num w:numId="3">
    <w:abstractNumId w:val="23"/>
  </w:num>
  <w:num w:numId="4">
    <w:abstractNumId w:val="0"/>
  </w:num>
  <w:num w:numId="5">
    <w:abstractNumId w:val="31"/>
  </w:num>
  <w:num w:numId="6">
    <w:abstractNumId w:val="33"/>
  </w:num>
  <w:num w:numId="7">
    <w:abstractNumId w:val="14"/>
  </w:num>
  <w:num w:numId="8">
    <w:abstractNumId w:val="9"/>
  </w:num>
  <w:num w:numId="9">
    <w:abstractNumId w:val="35"/>
  </w:num>
  <w:num w:numId="10">
    <w:abstractNumId w:val="15"/>
  </w:num>
  <w:num w:numId="11">
    <w:abstractNumId w:val="2"/>
  </w:num>
  <w:num w:numId="12">
    <w:abstractNumId w:val="7"/>
  </w:num>
  <w:num w:numId="13">
    <w:abstractNumId w:val="28"/>
  </w:num>
  <w:num w:numId="14">
    <w:abstractNumId w:val="19"/>
  </w:num>
  <w:num w:numId="15">
    <w:abstractNumId w:val="14"/>
  </w:num>
  <w:num w:numId="16">
    <w:abstractNumId w:val="22"/>
  </w:num>
  <w:num w:numId="17">
    <w:abstractNumId w:val="26"/>
  </w:num>
  <w:num w:numId="18">
    <w:abstractNumId w:val="6"/>
  </w:num>
  <w:num w:numId="19">
    <w:abstractNumId w:val="8"/>
  </w:num>
  <w:num w:numId="20">
    <w:abstractNumId w:val="30"/>
  </w:num>
  <w:num w:numId="21">
    <w:abstractNumId w:val="29"/>
  </w:num>
  <w:num w:numId="22">
    <w:abstractNumId w:val="11"/>
  </w:num>
  <w:num w:numId="23">
    <w:abstractNumId w:val="4"/>
  </w:num>
  <w:num w:numId="24">
    <w:abstractNumId w:val="25"/>
  </w:num>
  <w:num w:numId="25">
    <w:abstractNumId w:val="21"/>
  </w:num>
  <w:num w:numId="26">
    <w:abstractNumId w:val="12"/>
  </w:num>
  <w:num w:numId="27">
    <w:abstractNumId w:val="10"/>
  </w:num>
  <w:num w:numId="28">
    <w:abstractNumId w:val="16"/>
  </w:num>
  <w:num w:numId="29">
    <w:abstractNumId w:val="24"/>
  </w:num>
  <w:num w:numId="30">
    <w:abstractNumId w:val="1"/>
  </w:num>
  <w:num w:numId="31">
    <w:abstractNumId w:val="2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3"/>
  </w:num>
  <w:num w:numId="35">
    <w:abstractNumId w:val="34"/>
  </w:num>
  <w:num w:numId="36">
    <w:abstractNumId w:val="3"/>
  </w:num>
  <w:num w:numId="37">
    <w:abstractNumId w:val="17"/>
  </w:num>
  <w:num w:numId="38">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394ED0"/>
    <w:rsid w:val="000001B1"/>
    <w:rsid w:val="00000429"/>
    <w:rsid w:val="00000452"/>
    <w:rsid w:val="000004B7"/>
    <w:rsid w:val="000004DF"/>
    <w:rsid w:val="000005B2"/>
    <w:rsid w:val="0000092C"/>
    <w:rsid w:val="00000AB4"/>
    <w:rsid w:val="00000C74"/>
    <w:rsid w:val="00000E1D"/>
    <w:rsid w:val="00000F21"/>
    <w:rsid w:val="000012B4"/>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453"/>
    <w:rsid w:val="0000559A"/>
    <w:rsid w:val="00005D33"/>
    <w:rsid w:val="00005D6E"/>
    <w:rsid w:val="00005D9C"/>
    <w:rsid w:val="00005E9C"/>
    <w:rsid w:val="00006623"/>
    <w:rsid w:val="000068F8"/>
    <w:rsid w:val="00006941"/>
    <w:rsid w:val="00006B90"/>
    <w:rsid w:val="00006C11"/>
    <w:rsid w:val="00006E0F"/>
    <w:rsid w:val="00006E5E"/>
    <w:rsid w:val="00006FD2"/>
    <w:rsid w:val="0000738C"/>
    <w:rsid w:val="000074B4"/>
    <w:rsid w:val="000078DC"/>
    <w:rsid w:val="00007D14"/>
    <w:rsid w:val="00010154"/>
    <w:rsid w:val="0001028D"/>
    <w:rsid w:val="00010518"/>
    <w:rsid w:val="00010705"/>
    <w:rsid w:val="00010AFC"/>
    <w:rsid w:val="00010B8A"/>
    <w:rsid w:val="00010BB9"/>
    <w:rsid w:val="00010E03"/>
    <w:rsid w:val="000110E5"/>
    <w:rsid w:val="000110F6"/>
    <w:rsid w:val="00011928"/>
    <w:rsid w:val="00011A88"/>
    <w:rsid w:val="00011B54"/>
    <w:rsid w:val="00011BAD"/>
    <w:rsid w:val="00011E0E"/>
    <w:rsid w:val="00011E63"/>
    <w:rsid w:val="000128AF"/>
    <w:rsid w:val="00012A61"/>
    <w:rsid w:val="00012FF9"/>
    <w:rsid w:val="00013039"/>
    <w:rsid w:val="000131C0"/>
    <w:rsid w:val="0001372E"/>
    <w:rsid w:val="00013AC3"/>
    <w:rsid w:val="00013BA3"/>
    <w:rsid w:val="00013DF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451"/>
    <w:rsid w:val="00017616"/>
    <w:rsid w:val="00017C3B"/>
    <w:rsid w:val="000200B7"/>
    <w:rsid w:val="0002027D"/>
    <w:rsid w:val="000202F6"/>
    <w:rsid w:val="00020513"/>
    <w:rsid w:val="000207F0"/>
    <w:rsid w:val="000209A8"/>
    <w:rsid w:val="00020D18"/>
    <w:rsid w:val="00020EFB"/>
    <w:rsid w:val="00021004"/>
    <w:rsid w:val="000211F1"/>
    <w:rsid w:val="0002129E"/>
    <w:rsid w:val="000215F7"/>
    <w:rsid w:val="0002179D"/>
    <w:rsid w:val="00021946"/>
    <w:rsid w:val="00021991"/>
    <w:rsid w:val="00021DB7"/>
    <w:rsid w:val="00021EC8"/>
    <w:rsid w:val="00021FF6"/>
    <w:rsid w:val="0002283C"/>
    <w:rsid w:val="00022A67"/>
    <w:rsid w:val="00022D3E"/>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CF2"/>
    <w:rsid w:val="00025D51"/>
    <w:rsid w:val="00025EE0"/>
    <w:rsid w:val="00026065"/>
    <w:rsid w:val="00026192"/>
    <w:rsid w:val="000262A5"/>
    <w:rsid w:val="000263BC"/>
    <w:rsid w:val="000263D8"/>
    <w:rsid w:val="000265DE"/>
    <w:rsid w:val="00026C43"/>
    <w:rsid w:val="00026DAD"/>
    <w:rsid w:val="00026F2D"/>
    <w:rsid w:val="00027104"/>
    <w:rsid w:val="0002714B"/>
    <w:rsid w:val="00027304"/>
    <w:rsid w:val="00027348"/>
    <w:rsid w:val="00027444"/>
    <w:rsid w:val="000275B7"/>
    <w:rsid w:val="0002797D"/>
    <w:rsid w:val="00027AF6"/>
    <w:rsid w:val="00027B86"/>
    <w:rsid w:val="00027E7C"/>
    <w:rsid w:val="00027FAF"/>
    <w:rsid w:val="0003028C"/>
    <w:rsid w:val="00030391"/>
    <w:rsid w:val="00030548"/>
    <w:rsid w:val="00030555"/>
    <w:rsid w:val="00030599"/>
    <w:rsid w:val="000306E4"/>
    <w:rsid w:val="00030964"/>
    <w:rsid w:val="00030D6F"/>
    <w:rsid w:val="00030F7A"/>
    <w:rsid w:val="0003102E"/>
    <w:rsid w:val="00031160"/>
    <w:rsid w:val="0003142E"/>
    <w:rsid w:val="0003155C"/>
    <w:rsid w:val="000316E9"/>
    <w:rsid w:val="000317C2"/>
    <w:rsid w:val="0003196E"/>
    <w:rsid w:val="00031C57"/>
    <w:rsid w:val="00031CB7"/>
    <w:rsid w:val="00031E57"/>
    <w:rsid w:val="00031F6E"/>
    <w:rsid w:val="00032071"/>
    <w:rsid w:val="00032081"/>
    <w:rsid w:val="0003211E"/>
    <w:rsid w:val="000323AE"/>
    <w:rsid w:val="000323AF"/>
    <w:rsid w:val="00032488"/>
    <w:rsid w:val="00032529"/>
    <w:rsid w:val="0003284B"/>
    <w:rsid w:val="000328AF"/>
    <w:rsid w:val="00032904"/>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96D"/>
    <w:rsid w:val="00035ADC"/>
    <w:rsid w:val="00035C1D"/>
    <w:rsid w:val="00035D0D"/>
    <w:rsid w:val="00035F70"/>
    <w:rsid w:val="000360F5"/>
    <w:rsid w:val="00036106"/>
    <w:rsid w:val="0003633B"/>
    <w:rsid w:val="000367AA"/>
    <w:rsid w:val="00036CA7"/>
    <w:rsid w:val="00036D30"/>
    <w:rsid w:val="00037031"/>
    <w:rsid w:val="0003713E"/>
    <w:rsid w:val="00037433"/>
    <w:rsid w:val="00037D18"/>
    <w:rsid w:val="00037F79"/>
    <w:rsid w:val="00037FD5"/>
    <w:rsid w:val="00040057"/>
    <w:rsid w:val="000401B9"/>
    <w:rsid w:val="000405EF"/>
    <w:rsid w:val="00040648"/>
    <w:rsid w:val="0004077C"/>
    <w:rsid w:val="0004077F"/>
    <w:rsid w:val="00040808"/>
    <w:rsid w:val="0004081E"/>
    <w:rsid w:val="000408F0"/>
    <w:rsid w:val="00040992"/>
    <w:rsid w:val="00040CCF"/>
    <w:rsid w:val="000417AE"/>
    <w:rsid w:val="00041B33"/>
    <w:rsid w:val="00041B7B"/>
    <w:rsid w:val="00041BE3"/>
    <w:rsid w:val="00041C5E"/>
    <w:rsid w:val="000422E0"/>
    <w:rsid w:val="0004243D"/>
    <w:rsid w:val="000424DD"/>
    <w:rsid w:val="000426A5"/>
    <w:rsid w:val="00042972"/>
    <w:rsid w:val="00042FEA"/>
    <w:rsid w:val="000432B2"/>
    <w:rsid w:val="000438A7"/>
    <w:rsid w:val="0004391D"/>
    <w:rsid w:val="00043A45"/>
    <w:rsid w:val="00043CB3"/>
    <w:rsid w:val="00043D61"/>
    <w:rsid w:val="00043E66"/>
    <w:rsid w:val="00043EE2"/>
    <w:rsid w:val="00043F0B"/>
    <w:rsid w:val="00043F62"/>
    <w:rsid w:val="0004409A"/>
    <w:rsid w:val="000442F6"/>
    <w:rsid w:val="000445C9"/>
    <w:rsid w:val="000446B5"/>
    <w:rsid w:val="00044732"/>
    <w:rsid w:val="00044C03"/>
    <w:rsid w:val="00044DF3"/>
    <w:rsid w:val="000450CD"/>
    <w:rsid w:val="0004511A"/>
    <w:rsid w:val="00045525"/>
    <w:rsid w:val="00045932"/>
    <w:rsid w:val="00045990"/>
    <w:rsid w:val="00045BDF"/>
    <w:rsid w:val="000461EA"/>
    <w:rsid w:val="00046550"/>
    <w:rsid w:val="000466D9"/>
    <w:rsid w:val="0004695A"/>
    <w:rsid w:val="00046A76"/>
    <w:rsid w:val="00046AD7"/>
    <w:rsid w:val="00046ADC"/>
    <w:rsid w:val="00046B87"/>
    <w:rsid w:val="00047079"/>
    <w:rsid w:val="000476FD"/>
    <w:rsid w:val="0004774A"/>
    <w:rsid w:val="00047798"/>
    <w:rsid w:val="00047BFD"/>
    <w:rsid w:val="0005095B"/>
    <w:rsid w:val="00050CE4"/>
    <w:rsid w:val="00050DA2"/>
    <w:rsid w:val="00050E36"/>
    <w:rsid w:val="00051491"/>
    <w:rsid w:val="000516AC"/>
    <w:rsid w:val="000516B3"/>
    <w:rsid w:val="000517EE"/>
    <w:rsid w:val="0005203A"/>
    <w:rsid w:val="00052172"/>
    <w:rsid w:val="000522D3"/>
    <w:rsid w:val="00052423"/>
    <w:rsid w:val="00052688"/>
    <w:rsid w:val="00052815"/>
    <w:rsid w:val="000529D4"/>
    <w:rsid w:val="00052ADA"/>
    <w:rsid w:val="00052C53"/>
    <w:rsid w:val="00052CC1"/>
    <w:rsid w:val="00052F9D"/>
    <w:rsid w:val="00053303"/>
    <w:rsid w:val="00053514"/>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EC5"/>
    <w:rsid w:val="00054F48"/>
    <w:rsid w:val="00054FCD"/>
    <w:rsid w:val="0005504E"/>
    <w:rsid w:val="000550D0"/>
    <w:rsid w:val="000551F9"/>
    <w:rsid w:val="0005520B"/>
    <w:rsid w:val="00055445"/>
    <w:rsid w:val="000558C1"/>
    <w:rsid w:val="00055A26"/>
    <w:rsid w:val="00055B9B"/>
    <w:rsid w:val="00055FF4"/>
    <w:rsid w:val="00056326"/>
    <w:rsid w:val="00056354"/>
    <w:rsid w:val="000565F3"/>
    <w:rsid w:val="0005660C"/>
    <w:rsid w:val="00056809"/>
    <w:rsid w:val="00056BFC"/>
    <w:rsid w:val="00056E73"/>
    <w:rsid w:val="00056EE2"/>
    <w:rsid w:val="00056FF5"/>
    <w:rsid w:val="00057025"/>
    <w:rsid w:val="00057027"/>
    <w:rsid w:val="0005711C"/>
    <w:rsid w:val="000571A1"/>
    <w:rsid w:val="00057210"/>
    <w:rsid w:val="000573FF"/>
    <w:rsid w:val="0005759E"/>
    <w:rsid w:val="00057606"/>
    <w:rsid w:val="00057640"/>
    <w:rsid w:val="00057DC0"/>
    <w:rsid w:val="00057FAD"/>
    <w:rsid w:val="0006009B"/>
    <w:rsid w:val="000601AC"/>
    <w:rsid w:val="00060220"/>
    <w:rsid w:val="00060535"/>
    <w:rsid w:val="00060631"/>
    <w:rsid w:val="000606F6"/>
    <w:rsid w:val="00060AAF"/>
    <w:rsid w:val="00060C80"/>
    <w:rsid w:val="00060D5D"/>
    <w:rsid w:val="00060E42"/>
    <w:rsid w:val="00060E9F"/>
    <w:rsid w:val="00060F88"/>
    <w:rsid w:val="0006105C"/>
    <w:rsid w:val="0006107E"/>
    <w:rsid w:val="0006112E"/>
    <w:rsid w:val="0006133E"/>
    <w:rsid w:val="000613FB"/>
    <w:rsid w:val="00061828"/>
    <w:rsid w:val="00062183"/>
    <w:rsid w:val="00062298"/>
    <w:rsid w:val="00062442"/>
    <w:rsid w:val="000624AE"/>
    <w:rsid w:val="000625B5"/>
    <w:rsid w:val="00062774"/>
    <w:rsid w:val="00062FC9"/>
    <w:rsid w:val="000632AE"/>
    <w:rsid w:val="000632D8"/>
    <w:rsid w:val="00063582"/>
    <w:rsid w:val="00063896"/>
    <w:rsid w:val="00063976"/>
    <w:rsid w:val="00063EA5"/>
    <w:rsid w:val="0006400F"/>
    <w:rsid w:val="000641D4"/>
    <w:rsid w:val="000643CF"/>
    <w:rsid w:val="00064662"/>
    <w:rsid w:val="00064C92"/>
    <w:rsid w:val="00064E5B"/>
    <w:rsid w:val="000650D3"/>
    <w:rsid w:val="00065314"/>
    <w:rsid w:val="000653D7"/>
    <w:rsid w:val="0006546C"/>
    <w:rsid w:val="00065526"/>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0F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6F2"/>
    <w:rsid w:val="00071D4F"/>
    <w:rsid w:val="00071D60"/>
    <w:rsid w:val="00072592"/>
    <w:rsid w:val="00072925"/>
    <w:rsid w:val="00072B1D"/>
    <w:rsid w:val="00072B9D"/>
    <w:rsid w:val="00072BE3"/>
    <w:rsid w:val="00072E28"/>
    <w:rsid w:val="00072F38"/>
    <w:rsid w:val="0007305A"/>
    <w:rsid w:val="000733E9"/>
    <w:rsid w:val="00073B54"/>
    <w:rsid w:val="00073D3B"/>
    <w:rsid w:val="0007424E"/>
    <w:rsid w:val="00074381"/>
    <w:rsid w:val="00074457"/>
    <w:rsid w:val="00074598"/>
    <w:rsid w:val="00074704"/>
    <w:rsid w:val="0007472C"/>
    <w:rsid w:val="00074778"/>
    <w:rsid w:val="000748CA"/>
    <w:rsid w:val="000749AB"/>
    <w:rsid w:val="00074A8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7C9"/>
    <w:rsid w:val="0007694F"/>
    <w:rsid w:val="00076B97"/>
    <w:rsid w:val="00076D07"/>
    <w:rsid w:val="00076FBE"/>
    <w:rsid w:val="00077027"/>
    <w:rsid w:val="00077827"/>
    <w:rsid w:val="00077ADF"/>
    <w:rsid w:val="00077C4F"/>
    <w:rsid w:val="00077DEE"/>
    <w:rsid w:val="00077E1A"/>
    <w:rsid w:val="00080245"/>
    <w:rsid w:val="000802D8"/>
    <w:rsid w:val="000802DE"/>
    <w:rsid w:val="000803D2"/>
    <w:rsid w:val="0008059E"/>
    <w:rsid w:val="000806D6"/>
    <w:rsid w:val="000808B0"/>
    <w:rsid w:val="000810E0"/>
    <w:rsid w:val="000812CD"/>
    <w:rsid w:val="000812EB"/>
    <w:rsid w:val="00081403"/>
    <w:rsid w:val="0008143F"/>
    <w:rsid w:val="00081615"/>
    <w:rsid w:val="000817A5"/>
    <w:rsid w:val="000817F2"/>
    <w:rsid w:val="0008194B"/>
    <w:rsid w:val="00081E7B"/>
    <w:rsid w:val="00081F42"/>
    <w:rsid w:val="00081F67"/>
    <w:rsid w:val="00081FB4"/>
    <w:rsid w:val="0008217D"/>
    <w:rsid w:val="000821BF"/>
    <w:rsid w:val="00082417"/>
    <w:rsid w:val="0008272E"/>
    <w:rsid w:val="00082741"/>
    <w:rsid w:val="000827BB"/>
    <w:rsid w:val="000827F2"/>
    <w:rsid w:val="00082F61"/>
    <w:rsid w:val="0008310F"/>
    <w:rsid w:val="00083291"/>
    <w:rsid w:val="0008346E"/>
    <w:rsid w:val="000839D8"/>
    <w:rsid w:val="00083B44"/>
    <w:rsid w:val="00083D04"/>
    <w:rsid w:val="00084160"/>
    <w:rsid w:val="000841E6"/>
    <w:rsid w:val="000845A3"/>
    <w:rsid w:val="00084767"/>
    <w:rsid w:val="00084A1F"/>
    <w:rsid w:val="00084A5D"/>
    <w:rsid w:val="00084D71"/>
    <w:rsid w:val="000852EE"/>
    <w:rsid w:val="00085612"/>
    <w:rsid w:val="0008572B"/>
    <w:rsid w:val="00085862"/>
    <w:rsid w:val="0008597A"/>
    <w:rsid w:val="00085988"/>
    <w:rsid w:val="000859CE"/>
    <w:rsid w:val="00085A41"/>
    <w:rsid w:val="00085F4F"/>
    <w:rsid w:val="00085FC2"/>
    <w:rsid w:val="000867DC"/>
    <w:rsid w:val="00086849"/>
    <w:rsid w:val="000868EE"/>
    <w:rsid w:val="00086A4A"/>
    <w:rsid w:val="00086F62"/>
    <w:rsid w:val="000870AD"/>
    <w:rsid w:val="000870B6"/>
    <w:rsid w:val="0008713B"/>
    <w:rsid w:val="00087143"/>
    <w:rsid w:val="000871B4"/>
    <w:rsid w:val="00087759"/>
    <w:rsid w:val="00087937"/>
    <w:rsid w:val="0008796A"/>
    <w:rsid w:val="00087AFD"/>
    <w:rsid w:val="00087B99"/>
    <w:rsid w:val="00087C0B"/>
    <w:rsid w:val="00087E94"/>
    <w:rsid w:val="00090377"/>
    <w:rsid w:val="000904B2"/>
    <w:rsid w:val="000906C9"/>
    <w:rsid w:val="000906F7"/>
    <w:rsid w:val="00090935"/>
    <w:rsid w:val="00091478"/>
    <w:rsid w:val="000915B3"/>
    <w:rsid w:val="000916B7"/>
    <w:rsid w:val="00091736"/>
    <w:rsid w:val="00091948"/>
    <w:rsid w:val="00091B0F"/>
    <w:rsid w:val="00091C73"/>
    <w:rsid w:val="00091E19"/>
    <w:rsid w:val="00091E93"/>
    <w:rsid w:val="0009207E"/>
    <w:rsid w:val="000920AA"/>
    <w:rsid w:val="0009213D"/>
    <w:rsid w:val="00092441"/>
    <w:rsid w:val="0009250B"/>
    <w:rsid w:val="000927EC"/>
    <w:rsid w:val="0009289D"/>
    <w:rsid w:val="00092D25"/>
    <w:rsid w:val="00092DD3"/>
    <w:rsid w:val="00092E53"/>
    <w:rsid w:val="00093577"/>
    <w:rsid w:val="00093674"/>
    <w:rsid w:val="000938D0"/>
    <w:rsid w:val="00093A7F"/>
    <w:rsid w:val="00093E24"/>
    <w:rsid w:val="00093F3B"/>
    <w:rsid w:val="00093F47"/>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3AD"/>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82B"/>
    <w:rsid w:val="00097B22"/>
    <w:rsid w:val="00097D90"/>
    <w:rsid w:val="00097F8B"/>
    <w:rsid w:val="000A0289"/>
    <w:rsid w:val="000A0501"/>
    <w:rsid w:val="000A0776"/>
    <w:rsid w:val="000A0889"/>
    <w:rsid w:val="000A0AF2"/>
    <w:rsid w:val="000A0C11"/>
    <w:rsid w:val="000A0EB1"/>
    <w:rsid w:val="000A1291"/>
    <w:rsid w:val="000A1702"/>
    <w:rsid w:val="000A195E"/>
    <w:rsid w:val="000A1C5B"/>
    <w:rsid w:val="000A2295"/>
    <w:rsid w:val="000A24A4"/>
    <w:rsid w:val="000A251A"/>
    <w:rsid w:val="000A28FB"/>
    <w:rsid w:val="000A2AA3"/>
    <w:rsid w:val="000A2EB7"/>
    <w:rsid w:val="000A3286"/>
    <w:rsid w:val="000A32B2"/>
    <w:rsid w:val="000A32D4"/>
    <w:rsid w:val="000A343C"/>
    <w:rsid w:val="000A351E"/>
    <w:rsid w:val="000A36C5"/>
    <w:rsid w:val="000A38F1"/>
    <w:rsid w:val="000A3B0B"/>
    <w:rsid w:val="000A3C90"/>
    <w:rsid w:val="000A3FB0"/>
    <w:rsid w:val="000A4095"/>
    <w:rsid w:val="000A4277"/>
    <w:rsid w:val="000A428A"/>
    <w:rsid w:val="000A4393"/>
    <w:rsid w:val="000A43D3"/>
    <w:rsid w:val="000A450A"/>
    <w:rsid w:val="000A4936"/>
    <w:rsid w:val="000A4A32"/>
    <w:rsid w:val="000A4CD4"/>
    <w:rsid w:val="000A4E3C"/>
    <w:rsid w:val="000A5225"/>
    <w:rsid w:val="000A54CA"/>
    <w:rsid w:val="000A58E5"/>
    <w:rsid w:val="000A5A47"/>
    <w:rsid w:val="000A5BE0"/>
    <w:rsid w:val="000A5E60"/>
    <w:rsid w:val="000A5E81"/>
    <w:rsid w:val="000A6235"/>
    <w:rsid w:val="000A6598"/>
    <w:rsid w:val="000A665D"/>
    <w:rsid w:val="000A67BF"/>
    <w:rsid w:val="000A68EC"/>
    <w:rsid w:val="000A6910"/>
    <w:rsid w:val="000A69B2"/>
    <w:rsid w:val="000A6E43"/>
    <w:rsid w:val="000A6E84"/>
    <w:rsid w:val="000A6FC4"/>
    <w:rsid w:val="000A7241"/>
    <w:rsid w:val="000A7657"/>
    <w:rsid w:val="000A76C0"/>
    <w:rsid w:val="000A7AB5"/>
    <w:rsid w:val="000A7D4B"/>
    <w:rsid w:val="000A7D7F"/>
    <w:rsid w:val="000A7F74"/>
    <w:rsid w:val="000B02EA"/>
    <w:rsid w:val="000B0343"/>
    <w:rsid w:val="000B03B5"/>
    <w:rsid w:val="000B11C2"/>
    <w:rsid w:val="000B13C1"/>
    <w:rsid w:val="000B13F2"/>
    <w:rsid w:val="000B1547"/>
    <w:rsid w:val="000B1549"/>
    <w:rsid w:val="000B1592"/>
    <w:rsid w:val="000B15EE"/>
    <w:rsid w:val="000B1688"/>
    <w:rsid w:val="000B1817"/>
    <w:rsid w:val="000B1BA0"/>
    <w:rsid w:val="000B1EAD"/>
    <w:rsid w:val="000B1FFE"/>
    <w:rsid w:val="000B2008"/>
    <w:rsid w:val="000B2144"/>
    <w:rsid w:val="000B2223"/>
    <w:rsid w:val="000B250E"/>
    <w:rsid w:val="000B2793"/>
    <w:rsid w:val="000B283F"/>
    <w:rsid w:val="000B2A6C"/>
    <w:rsid w:val="000B32EB"/>
    <w:rsid w:val="000B3623"/>
    <w:rsid w:val="000B37B9"/>
    <w:rsid w:val="000B3829"/>
    <w:rsid w:val="000B38AE"/>
    <w:rsid w:val="000B3937"/>
    <w:rsid w:val="000B3AFB"/>
    <w:rsid w:val="000B3C35"/>
    <w:rsid w:val="000B3C39"/>
    <w:rsid w:val="000B3DF9"/>
    <w:rsid w:val="000B4014"/>
    <w:rsid w:val="000B404F"/>
    <w:rsid w:val="000B4061"/>
    <w:rsid w:val="000B42A6"/>
    <w:rsid w:val="000B44C5"/>
    <w:rsid w:val="000B49E6"/>
    <w:rsid w:val="000B4DD5"/>
    <w:rsid w:val="000B52A3"/>
    <w:rsid w:val="000B539C"/>
    <w:rsid w:val="000B56F4"/>
    <w:rsid w:val="000B58D1"/>
    <w:rsid w:val="000B5B35"/>
    <w:rsid w:val="000B5B8A"/>
    <w:rsid w:val="000B5EAA"/>
    <w:rsid w:val="000B5F38"/>
    <w:rsid w:val="000B5FFA"/>
    <w:rsid w:val="000B6141"/>
    <w:rsid w:val="000B642C"/>
    <w:rsid w:val="000B64EB"/>
    <w:rsid w:val="000B656E"/>
    <w:rsid w:val="000B67BB"/>
    <w:rsid w:val="000B6D58"/>
    <w:rsid w:val="000B6DF3"/>
    <w:rsid w:val="000B70F8"/>
    <w:rsid w:val="000B71F9"/>
    <w:rsid w:val="000B7361"/>
    <w:rsid w:val="000B7464"/>
    <w:rsid w:val="000B74F4"/>
    <w:rsid w:val="000B766D"/>
    <w:rsid w:val="000B768C"/>
    <w:rsid w:val="000B76E7"/>
    <w:rsid w:val="000B771D"/>
    <w:rsid w:val="000B7D0C"/>
    <w:rsid w:val="000C040C"/>
    <w:rsid w:val="000C04AE"/>
    <w:rsid w:val="000C054D"/>
    <w:rsid w:val="000C06F0"/>
    <w:rsid w:val="000C0982"/>
    <w:rsid w:val="000C0BA8"/>
    <w:rsid w:val="000C0C2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0A1"/>
    <w:rsid w:val="000C34A8"/>
    <w:rsid w:val="000C3605"/>
    <w:rsid w:val="000C3626"/>
    <w:rsid w:val="000C36B1"/>
    <w:rsid w:val="000C37C8"/>
    <w:rsid w:val="000C37FC"/>
    <w:rsid w:val="000C38FF"/>
    <w:rsid w:val="000C3C68"/>
    <w:rsid w:val="000C3EF9"/>
    <w:rsid w:val="000C41CF"/>
    <w:rsid w:val="000C433C"/>
    <w:rsid w:val="000C4645"/>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C46"/>
    <w:rsid w:val="000C7F6C"/>
    <w:rsid w:val="000D02B0"/>
    <w:rsid w:val="000D05C8"/>
    <w:rsid w:val="000D0603"/>
    <w:rsid w:val="000D0892"/>
    <w:rsid w:val="000D0A36"/>
    <w:rsid w:val="000D0B88"/>
    <w:rsid w:val="000D0CAB"/>
    <w:rsid w:val="000D0E89"/>
    <w:rsid w:val="000D0F88"/>
    <w:rsid w:val="000D1065"/>
    <w:rsid w:val="000D116C"/>
    <w:rsid w:val="000D13C3"/>
    <w:rsid w:val="000D1414"/>
    <w:rsid w:val="000D1A65"/>
    <w:rsid w:val="000D1B71"/>
    <w:rsid w:val="000D1DAC"/>
    <w:rsid w:val="000D22BA"/>
    <w:rsid w:val="000D2322"/>
    <w:rsid w:val="000D2462"/>
    <w:rsid w:val="000D25FF"/>
    <w:rsid w:val="000D286B"/>
    <w:rsid w:val="000D28B9"/>
    <w:rsid w:val="000D2CB8"/>
    <w:rsid w:val="000D2DD7"/>
    <w:rsid w:val="000D2EE2"/>
    <w:rsid w:val="000D2F0C"/>
    <w:rsid w:val="000D30F4"/>
    <w:rsid w:val="000D33E6"/>
    <w:rsid w:val="000D3664"/>
    <w:rsid w:val="000D37AE"/>
    <w:rsid w:val="000D3CA8"/>
    <w:rsid w:val="000D3CE5"/>
    <w:rsid w:val="000D4AF4"/>
    <w:rsid w:val="000D4BAF"/>
    <w:rsid w:val="000D4C0B"/>
    <w:rsid w:val="000D4EAC"/>
    <w:rsid w:val="000D5090"/>
    <w:rsid w:val="000D5115"/>
    <w:rsid w:val="000D59C6"/>
    <w:rsid w:val="000D6144"/>
    <w:rsid w:val="000D644C"/>
    <w:rsid w:val="000D6866"/>
    <w:rsid w:val="000D6878"/>
    <w:rsid w:val="000D6A7C"/>
    <w:rsid w:val="000D6D5F"/>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E1F"/>
    <w:rsid w:val="000E1495"/>
    <w:rsid w:val="000E1531"/>
    <w:rsid w:val="000E1579"/>
    <w:rsid w:val="000E18A9"/>
    <w:rsid w:val="000E1977"/>
    <w:rsid w:val="000E19A0"/>
    <w:rsid w:val="000E19B4"/>
    <w:rsid w:val="000E1A67"/>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290"/>
    <w:rsid w:val="000E4353"/>
    <w:rsid w:val="000E45E0"/>
    <w:rsid w:val="000E4A2D"/>
    <w:rsid w:val="000E4C49"/>
    <w:rsid w:val="000E4D42"/>
    <w:rsid w:val="000E4DE6"/>
    <w:rsid w:val="000E4E60"/>
    <w:rsid w:val="000E52F9"/>
    <w:rsid w:val="000E549C"/>
    <w:rsid w:val="000E54A2"/>
    <w:rsid w:val="000E584A"/>
    <w:rsid w:val="000E592C"/>
    <w:rsid w:val="000E5F12"/>
    <w:rsid w:val="000E607D"/>
    <w:rsid w:val="000E6181"/>
    <w:rsid w:val="000E6479"/>
    <w:rsid w:val="000E64E7"/>
    <w:rsid w:val="000E6525"/>
    <w:rsid w:val="000E6B3D"/>
    <w:rsid w:val="000E74AC"/>
    <w:rsid w:val="000E74AE"/>
    <w:rsid w:val="000E783C"/>
    <w:rsid w:val="000E7A3D"/>
    <w:rsid w:val="000E7AC9"/>
    <w:rsid w:val="000E7AEE"/>
    <w:rsid w:val="000E7BAB"/>
    <w:rsid w:val="000E7C6A"/>
    <w:rsid w:val="000E7E97"/>
    <w:rsid w:val="000E7EAE"/>
    <w:rsid w:val="000E7F3B"/>
    <w:rsid w:val="000F03C0"/>
    <w:rsid w:val="000F044D"/>
    <w:rsid w:val="000F04BE"/>
    <w:rsid w:val="000F0574"/>
    <w:rsid w:val="000F05CB"/>
    <w:rsid w:val="000F0610"/>
    <w:rsid w:val="000F087F"/>
    <w:rsid w:val="000F08C3"/>
    <w:rsid w:val="000F096F"/>
    <w:rsid w:val="000F0994"/>
    <w:rsid w:val="000F0CBD"/>
    <w:rsid w:val="000F0D9B"/>
    <w:rsid w:val="000F0EE2"/>
    <w:rsid w:val="000F153C"/>
    <w:rsid w:val="000F1623"/>
    <w:rsid w:val="000F177C"/>
    <w:rsid w:val="000F1822"/>
    <w:rsid w:val="000F184C"/>
    <w:rsid w:val="000F1946"/>
    <w:rsid w:val="000F1B0D"/>
    <w:rsid w:val="000F1B54"/>
    <w:rsid w:val="000F1CF1"/>
    <w:rsid w:val="000F1D17"/>
    <w:rsid w:val="000F1D44"/>
    <w:rsid w:val="000F1D50"/>
    <w:rsid w:val="000F20C8"/>
    <w:rsid w:val="000F224B"/>
    <w:rsid w:val="000F22D6"/>
    <w:rsid w:val="000F2449"/>
    <w:rsid w:val="000F2523"/>
    <w:rsid w:val="000F2665"/>
    <w:rsid w:val="000F2AED"/>
    <w:rsid w:val="000F2C45"/>
    <w:rsid w:val="000F2EAC"/>
    <w:rsid w:val="000F2F13"/>
    <w:rsid w:val="000F2FC8"/>
    <w:rsid w:val="000F30E4"/>
    <w:rsid w:val="000F3A96"/>
    <w:rsid w:val="000F3AB8"/>
    <w:rsid w:val="000F3BDB"/>
    <w:rsid w:val="000F3CDA"/>
    <w:rsid w:val="000F3EB8"/>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9C3"/>
    <w:rsid w:val="000F6B75"/>
    <w:rsid w:val="000F6B7B"/>
    <w:rsid w:val="000F6DF9"/>
    <w:rsid w:val="000F6E92"/>
    <w:rsid w:val="000F6F31"/>
    <w:rsid w:val="000F6FC1"/>
    <w:rsid w:val="000F720F"/>
    <w:rsid w:val="000F7215"/>
    <w:rsid w:val="000F732D"/>
    <w:rsid w:val="000F7528"/>
    <w:rsid w:val="000F771B"/>
    <w:rsid w:val="000F795F"/>
    <w:rsid w:val="000F7A32"/>
    <w:rsid w:val="000F7BFA"/>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1FEA"/>
    <w:rsid w:val="00102324"/>
    <w:rsid w:val="00102399"/>
    <w:rsid w:val="0010239B"/>
    <w:rsid w:val="001025E0"/>
    <w:rsid w:val="001026F0"/>
    <w:rsid w:val="00102822"/>
    <w:rsid w:val="00102992"/>
    <w:rsid w:val="00102C47"/>
    <w:rsid w:val="00102E18"/>
    <w:rsid w:val="0010315F"/>
    <w:rsid w:val="0010347B"/>
    <w:rsid w:val="00103515"/>
    <w:rsid w:val="0010363E"/>
    <w:rsid w:val="00103681"/>
    <w:rsid w:val="001036BA"/>
    <w:rsid w:val="00103741"/>
    <w:rsid w:val="001039C3"/>
    <w:rsid w:val="00103C4C"/>
    <w:rsid w:val="00103F02"/>
    <w:rsid w:val="00103FEB"/>
    <w:rsid w:val="00104116"/>
    <w:rsid w:val="00104629"/>
    <w:rsid w:val="001047D1"/>
    <w:rsid w:val="001047FE"/>
    <w:rsid w:val="00104ADA"/>
    <w:rsid w:val="00104B7E"/>
    <w:rsid w:val="00105001"/>
    <w:rsid w:val="001051DA"/>
    <w:rsid w:val="0010553A"/>
    <w:rsid w:val="001056F1"/>
    <w:rsid w:val="0010599A"/>
    <w:rsid w:val="00105A03"/>
    <w:rsid w:val="00105A80"/>
    <w:rsid w:val="00105DEF"/>
    <w:rsid w:val="00105FFD"/>
    <w:rsid w:val="00106260"/>
    <w:rsid w:val="0010628A"/>
    <w:rsid w:val="001066F3"/>
    <w:rsid w:val="00106782"/>
    <w:rsid w:val="0010698B"/>
    <w:rsid w:val="001069C5"/>
    <w:rsid w:val="00106BFA"/>
    <w:rsid w:val="00106D61"/>
    <w:rsid w:val="00106E78"/>
    <w:rsid w:val="00107128"/>
    <w:rsid w:val="00107268"/>
    <w:rsid w:val="001076F7"/>
    <w:rsid w:val="001079C9"/>
    <w:rsid w:val="00107B36"/>
    <w:rsid w:val="00107CF6"/>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3F1"/>
    <w:rsid w:val="00112527"/>
    <w:rsid w:val="0011254C"/>
    <w:rsid w:val="00112A0C"/>
    <w:rsid w:val="00112E55"/>
    <w:rsid w:val="001133EA"/>
    <w:rsid w:val="00113659"/>
    <w:rsid w:val="0011385B"/>
    <w:rsid w:val="00114036"/>
    <w:rsid w:val="00114047"/>
    <w:rsid w:val="00114112"/>
    <w:rsid w:val="001141AD"/>
    <w:rsid w:val="0011446B"/>
    <w:rsid w:val="0011451D"/>
    <w:rsid w:val="001145F4"/>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1C0"/>
    <w:rsid w:val="00117220"/>
    <w:rsid w:val="00117483"/>
    <w:rsid w:val="00117625"/>
    <w:rsid w:val="00117791"/>
    <w:rsid w:val="001179F6"/>
    <w:rsid w:val="0012012B"/>
    <w:rsid w:val="00120418"/>
    <w:rsid w:val="0012070D"/>
    <w:rsid w:val="00120F59"/>
    <w:rsid w:val="00121247"/>
    <w:rsid w:val="00121316"/>
    <w:rsid w:val="0012167A"/>
    <w:rsid w:val="00121A8C"/>
    <w:rsid w:val="00121D07"/>
    <w:rsid w:val="001221FD"/>
    <w:rsid w:val="001222DB"/>
    <w:rsid w:val="0012272A"/>
    <w:rsid w:val="0012280A"/>
    <w:rsid w:val="00122AEA"/>
    <w:rsid w:val="00122CC4"/>
    <w:rsid w:val="00123047"/>
    <w:rsid w:val="00123088"/>
    <w:rsid w:val="001230DE"/>
    <w:rsid w:val="00123132"/>
    <w:rsid w:val="00123149"/>
    <w:rsid w:val="001231AF"/>
    <w:rsid w:val="0012320D"/>
    <w:rsid w:val="00123877"/>
    <w:rsid w:val="001238FF"/>
    <w:rsid w:val="00123C0E"/>
    <w:rsid w:val="00123C53"/>
    <w:rsid w:val="00124086"/>
    <w:rsid w:val="001240D7"/>
    <w:rsid w:val="00124566"/>
    <w:rsid w:val="0012456C"/>
    <w:rsid w:val="001245A2"/>
    <w:rsid w:val="00124657"/>
    <w:rsid w:val="001247FD"/>
    <w:rsid w:val="00124938"/>
    <w:rsid w:val="00124979"/>
    <w:rsid w:val="00124993"/>
    <w:rsid w:val="00124A9C"/>
    <w:rsid w:val="00124BA0"/>
    <w:rsid w:val="00124C3D"/>
    <w:rsid w:val="00124C79"/>
    <w:rsid w:val="00124CB7"/>
    <w:rsid w:val="00125110"/>
    <w:rsid w:val="00125671"/>
    <w:rsid w:val="001256F6"/>
    <w:rsid w:val="001257B6"/>
    <w:rsid w:val="00125F01"/>
    <w:rsid w:val="00126177"/>
    <w:rsid w:val="00126698"/>
    <w:rsid w:val="00126884"/>
    <w:rsid w:val="00126B0F"/>
    <w:rsid w:val="00126BF3"/>
    <w:rsid w:val="00126F17"/>
    <w:rsid w:val="00127079"/>
    <w:rsid w:val="00127123"/>
    <w:rsid w:val="00127A10"/>
    <w:rsid w:val="00127AEC"/>
    <w:rsid w:val="00127B15"/>
    <w:rsid w:val="00127DB7"/>
    <w:rsid w:val="00130075"/>
    <w:rsid w:val="00130157"/>
    <w:rsid w:val="00130374"/>
    <w:rsid w:val="001303C3"/>
    <w:rsid w:val="0013068B"/>
    <w:rsid w:val="00130A3A"/>
    <w:rsid w:val="00130A9A"/>
    <w:rsid w:val="00130B47"/>
    <w:rsid w:val="00130E7D"/>
    <w:rsid w:val="00130F5E"/>
    <w:rsid w:val="00131086"/>
    <w:rsid w:val="0013120C"/>
    <w:rsid w:val="00131279"/>
    <w:rsid w:val="0013129E"/>
    <w:rsid w:val="0013138F"/>
    <w:rsid w:val="0013175D"/>
    <w:rsid w:val="00131956"/>
    <w:rsid w:val="00131989"/>
    <w:rsid w:val="00131A08"/>
    <w:rsid w:val="00131A6E"/>
    <w:rsid w:val="00131B67"/>
    <w:rsid w:val="00131E9A"/>
    <w:rsid w:val="00132820"/>
    <w:rsid w:val="00132C27"/>
    <w:rsid w:val="00132CD0"/>
    <w:rsid w:val="00132D28"/>
    <w:rsid w:val="00132E39"/>
    <w:rsid w:val="00133721"/>
    <w:rsid w:val="001338E6"/>
    <w:rsid w:val="001339F6"/>
    <w:rsid w:val="00133B95"/>
    <w:rsid w:val="00133BAE"/>
    <w:rsid w:val="00133F55"/>
    <w:rsid w:val="00134299"/>
    <w:rsid w:val="00134495"/>
    <w:rsid w:val="00134582"/>
    <w:rsid w:val="001347EF"/>
    <w:rsid w:val="00134A36"/>
    <w:rsid w:val="00134A72"/>
    <w:rsid w:val="00134BE8"/>
    <w:rsid w:val="00134BEA"/>
    <w:rsid w:val="00135334"/>
    <w:rsid w:val="00135859"/>
    <w:rsid w:val="00135AB8"/>
    <w:rsid w:val="00135DD8"/>
    <w:rsid w:val="00135E3A"/>
    <w:rsid w:val="0013610F"/>
    <w:rsid w:val="0013612A"/>
    <w:rsid w:val="001364AE"/>
    <w:rsid w:val="001364DB"/>
    <w:rsid w:val="00136B28"/>
    <w:rsid w:val="00136F01"/>
    <w:rsid w:val="00136F27"/>
    <w:rsid w:val="00137355"/>
    <w:rsid w:val="00137430"/>
    <w:rsid w:val="0013788C"/>
    <w:rsid w:val="00137DCA"/>
    <w:rsid w:val="0014059F"/>
    <w:rsid w:val="001405C6"/>
    <w:rsid w:val="001407A3"/>
    <w:rsid w:val="00140893"/>
    <w:rsid w:val="0014096B"/>
    <w:rsid w:val="00140A5C"/>
    <w:rsid w:val="00140F5A"/>
    <w:rsid w:val="00141059"/>
    <w:rsid w:val="00141213"/>
    <w:rsid w:val="001412EB"/>
    <w:rsid w:val="001415FE"/>
    <w:rsid w:val="00141628"/>
    <w:rsid w:val="001418F0"/>
    <w:rsid w:val="0014198A"/>
    <w:rsid w:val="0014199D"/>
    <w:rsid w:val="00141BD9"/>
    <w:rsid w:val="00141E36"/>
    <w:rsid w:val="00142017"/>
    <w:rsid w:val="00142061"/>
    <w:rsid w:val="00142472"/>
    <w:rsid w:val="0014268E"/>
    <w:rsid w:val="001429C7"/>
    <w:rsid w:val="00142C20"/>
    <w:rsid w:val="00142C5A"/>
    <w:rsid w:val="00142EBD"/>
    <w:rsid w:val="00143118"/>
    <w:rsid w:val="00143159"/>
    <w:rsid w:val="00143170"/>
    <w:rsid w:val="00143180"/>
    <w:rsid w:val="00143956"/>
    <w:rsid w:val="001439B1"/>
    <w:rsid w:val="001439C7"/>
    <w:rsid w:val="00143B5D"/>
    <w:rsid w:val="00143CB1"/>
    <w:rsid w:val="00143DBD"/>
    <w:rsid w:val="00144265"/>
    <w:rsid w:val="0014445F"/>
    <w:rsid w:val="00144B47"/>
    <w:rsid w:val="00144D46"/>
    <w:rsid w:val="00144DF7"/>
    <w:rsid w:val="00144ED7"/>
    <w:rsid w:val="00144F51"/>
    <w:rsid w:val="001451E9"/>
    <w:rsid w:val="00145236"/>
    <w:rsid w:val="00145857"/>
    <w:rsid w:val="00145CE7"/>
    <w:rsid w:val="00145F89"/>
    <w:rsid w:val="00146224"/>
    <w:rsid w:val="00146593"/>
    <w:rsid w:val="0014673E"/>
    <w:rsid w:val="00146852"/>
    <w:rsid w:val="00146CB4"/>
    <w:rsid w:val="00146D0B"/>
    <w:rsid w:val="00146E86"/>
    <w:rsid w:val="00146EBD"/>
    <w:rsid w:val="00146FB6"/>
    <w:rsid w:val="00147054"/>
    <w:rsid w:val="0014708D"/>
    <w:rsid w:val="00147153"/>
    <w:rsid w:val="00147214"/>
    <w:rsid w:val="00147361"/>
    <w:rsid w:val="0014743E"/>
    <w:rsid w:val="0014749B"/>
    <w:rsid w:val="00147552"/>
    <w:rsid w:val="001475D8"/>
    <w:rsid w:val="001476C5"/>
    <w:rsid w:val="00147AA3"/>
    <w:rsid w:val="00147DEA"/>
    <w:rsid w:val="00147E6B"/>
    <w:rsid w:val="00150036"/>
    <w:rsid w:val="001500C0"/>
    <w:rsid w:val="001500F9"/>
    <w:rsid w:val="0015030E"/>
    <w:rsid w:val="001507EC"/>
    <w:rsid w:val="0015081B"/>
    <w:rsid w:val="00150830"/>
    <w:rsid w:val="00150994"/>
    <w:rsid w:val="00150C9E"/>
    <w:rsid w:val="00150CE4"/>
    <w:rsid w:val="00150D73"/>
    <w:rsid w:val="0015114B"/>
    <w:rsid w:val="001512CE"/>
    <w:rsid w:val="00151477"/>
    <w:rsid w:val="001516AB"/>
    <w:rsid w:val="001517EC"/>
    <w:rsid w:val="0015184A"/>
    <w:rsid w:val="00151B16"/>
    <w:rsid w:val="00151BA5"/>
    <w:rsid w:val="00151BB5"/>
    <w:rsid w:val="00151D6E"/>
    <w:rsid w:val="00151E8C"/>
    <w:rsid w:val="00152201"/>
    <w:rsid w:val="001524AC"/>
    <w:rsid w:val="001526B6"/>
    <w:rsid w:val="0015277D"/>
    <w:rsid w:val="0015277E"/>
    <w:rsid w:val="001527CE"/>
    <w:rsid w:val="001529F8"/>
    <w:rsid w:val="00152B7D"/>
    <w:rsid w:val="00152CA5"/>
    <w:rsid w:val="00152DA8"/>
    <w:rsid w:val="00152E65"/>
    <w:rsid w:val="00153443"/>
    <w:rsid w:val="0015376E"/>
    <w:rsid w:val="0015381C"/>
    <w:rsid w:val="00153A89"/>
    <w:rsid w:val="00153D6B"/>
    <w:rsid w:val="00153E9A"/>
    <w:rsid w:val="00153ED4"/>
    <w:rsid w:val="00153F4D"/>
    <w:rsid w:val="0015442E"/>
    <w:rsid w:val="0015443F"/>
    <w:rsid w:val="00154A54"/>
    <w:rsid w:val="00154B18"/>
    <w:rsid w:val="00154D16"/>
    <w:rsid w:val="00155356"/>
    <w:rsid w:val="00155391"/>
    <w:rsid w:val="001553D8"/>
    <w:rsid w:val="001554F8"/>
    <w:rsid w:val="001557C5"/>
    <w:rsid w:val="00155874"/>
    <w:rsid w:val="001559F8"/>
    <w:rsid w:val="00155BAA"/>
    <w:rsid w:val="00155C16"/>
    <w:rsid w:val="00155D11"/>
    <w:rsid w:val="00155E37"/>
    <w:rsid w:val="001560AE"/>
    <w:rsid w:val="001561D4"/>
    <w:rsid w:val="0015623D"/>
    <w:rsid w:val="001563A1"/>
    <w:rsid w:val="00156584"/>
    <w:rsid w:val="00156840"/>
    <w:rsid w:val="001568B5"/>
    <w:rsid w:val="001569C5"/>
    <w:rsid w:val="00156CAC"/>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11E5"/>
    <w:rsid w:val="0016124C"/>
    <w:rsid w:val="0016126A"/>
    <w:rsid w:val="001614B1"/>
    <w:rsid w:val="001615A8"/>
    <w:rsid w:val="001617E6"/>
    <w:rsid w:val="0016192B"/>
    <w:rsid w:val="00161979"/>
    <w:rsid w:val="0016199A"/>
    <w:rsid w:val="00161A0D"/>
    <w:rsid w:val="00161AB8"/>
    <w:rsid w:val="00161B5E"/>
    <w:rsid w:val="00161E1A"/>
    <w:rsid w:val="00161FD6"/>
    <w:rsid w:val="00162101"/>
    <w:rsid w:val="00162531"/>
    <w:rsid w:val="00162552"/>
    <w:rsid w:val="0016269F"/>
    <w:rsid w:val="00162BD5"/>
    <w:rsid w:val="001630C3"/>
    <w:rsid w:val="00163379"/>
    <w:rsid w:val="0016352E"/>
    <w:rsid w:val="00163710"/>
    <w:rsid w:val="00163943"/>
    <w:rsid w:val="00163A4D"/>
    <w:rsid w:val="00163A94"/>
    <w:rsid w:val="00163E9B"/>
    <w:rsid w:val="00163F79"/>
    <w:rsid w:val="001641D1"/>
    <w:rsid w:val="001645CF"/>
    <w:rsid w:val="001646D5"/>
    <w:rsid w:val="001647EE"/>
    <w:rsid w:val="00164A1F"/>
    <w:rsid w:val="00164A7F"/>
    <w:rsid w:val="00164D08"/>
    <w:rsid w:val="00164E29"/>
    <w:rsid w:val="00165227"/>
    <w:rsid w:val="00165493"/>
    <w:rsid w:val="00165665"/>
    <w:rsid w:val="0016583A"/>
    <w:rsid w:val="0016589D"/>
    <w:rsid w:val="001658A6"/>
    <w:rsid w:val="00165BE3"/>
    <w:rsid w:val="00165C5E"/>
    <w:rsid w:val="00165F46"/>
    <w:rsid w:val="00166025"/>
    <w:rsid w:val="00166342"/>
    <w:rsid w:val="0016651B"/>
    <w:rsid w:val="00166530"/>
    <w:rsid w:val="001667D5"/>
    <w:rsid w:val="001668BB"/>
    <w:rsid w:val="00166F18"/>
    <w:rsid w:val="0016762F"/>
    <w:rsid w:val="00167926"/>
    <w:rsid w:val="00167930"/>
    <w:rsid w:val="00167AB5"/>
    <w:rsid w:val="00167CEB"/>
    <w:rsid w:val="00170067"/>
    <w:rsid w:val="00170079"/>
    <w:rsid w:val="001700ED"/>
    <w:rsid w:val="00170463"/>
    <w:rsid w:val="001704DF"/>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068"/>
    <w:rsid w:val="00174200"/>
    <w:rsid w:val="001743E7"/>
    <w:rsid w:val="00174434"/>
    <w:rsid w:val="00174435"/>
    <w:rsid w:val="001746FB"/>
    <w:rsid w:val="00174887"/>
    <w:rsid w:val="0017516B"/>
    <w:rsid w:val="001753C3"/>
    <w:rsid w:val="001754C9"/>
    <w:rsid w:val="00175776"/>
    <w:rsid w:val="00175802"/>
    <w:rsid w:val="00175CC3"/>
    <w:rsid w:val="00176158"/>
    <w:rsid w:val="001763E0"/>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DAD"/>
    <w:rsid w:val="00177FB6"/>
    <w:rsid w:val="00180409"/>
    <w:rsid w:val="00180497"/>
    <w:rsid w:val="00180526"/>
    <w:rsid w:val="001805FA"/>
    <w:rsid w:val="00180688"/>
    <w:rsid w:val="001807B1"/>
    <w:rsid w:val="00180CD3"/>
    <w:rsid w:val="00180DBC"/>
    <w:rsid w:val="00180F9B"/>
    <w:rsid w:val="001810E3"/>
    <w:rsid w:val="0018123D"/>
    <w:rsid w:val="0018136E"/>
    <w:rsid w:val="001813EA"/>
    <w:rsid w:val="00181429"/>
    <w:rsid w:val="001816DC"/>
    <w:rsid w:val="00181937"/>
    <w:rsid w:val="00181E53"/>
    <w:rsid w:val="00181FE3"/>
    <w:rsid w:val="00181FE5"/>
    <w:rsid w:val="001820B2"/>
    <w:rsid w:val="001821DA"/>
    <w:rsid w:val="00182298"/>
    <w:rsid w:val="00182749"/>
    <w:rsid w:val="00182BC4"/>
    <w:rsid w:val="001832AE"/>
    <w:rsid w:val="0018348B"/>
    <w:rsid w:val="00183695"/>
    <w:rsid w:val="00183722"/>
    <w:rsid w:val="00183A81"/>
    <w:rsid w:val="00183A8B"/>
    <w:rsid w:val="00183CE1"/>
    <w:rsid w:val="00183D5C"/>
    <w:rsid w:val="00183FC8"/>
    <w:rsid w:val="00184110"/>
    <w:rsid w:val="001841EB"/>
    <w:rsid w:val="0018437E"/>
    <w:rsid w:val="001846CE"/>
    <w:rsid w:val="00184A93"/>
    <w:rsid w:val="00184ABD"/>
    <w:rsid w:val="00184B5E"/>
    <w:rsid w:val="00185311"/>
    <w:rsid w:val="001859E0"/>
    <w:rsid w:val="00185A2F"/>
    <w:rsid w:val="00185B92"/>
    <w:rsid w:val="00185D6A"/>
    <w:rsid w:val="00186422"/>
    <w:rsid w:val="00186476"/>
    <w:rsid w:val="001864E5"/>
    <w:rsid w:val="0018685B"/>
    <w:rsid w:val="00186E48"/>
    <w:rsid w:val="0018704C"/>
    <w:rsid w:val="00187391"/>
    <w:rsid w:val="00187404"/>
    <w:rsid w:val="00187517"/>
    <w:rsid w:val="00187561"/>
    <w:rsid w:val="0018767C"/>
    <w:rsid w:val="001877B1"/>
    <w:rsid w:val="00187CEE"/>
    <w:rsid w:val="00187E2E"/>
    <w:rsid w:val="00187F92"/>
    <w:rsid w:val="00190247"/>
    <w:rsid w:val="001902B0"/>
    <w:rsid w:val="001902FA"/>
    <w:rsid w:val="00190379"/>
    <w:rsid w:val="001909B7"/>
    <w:rsid w:val="00190CCA"/>
    <w:rsid w:val="00190CEE"/>
    <w:rsid w:val="00190EAB"/>
    <w:rsid w:val="0019101E"/>
    <w:rsid w:val="00191161"/>
    <w:rsid w:val="00191219"/>
    <w:rsid w:val="00191237"/>
    <w:rsid w:val="00191362"/>
    <w:rsid w:val="00191482"/>
    <w:rsid w:val="001914CC"/>
    <w:rsid w:val="00191546"/>
    <w:rsid w:val="00191708"/>
    <w:rsid w:val="001917A9"/>
    <w:rsid w:val="0019183E"/>
    <w:rsid w:val="00191A16"/>
    <w:rsid w:val="00191B1C"/>
    <w:rsid w:val="00191BCD"/>
    <w:rsid w:val="0019201B"/>
    <w:rsid w:val="00192023"/>
    <w:rsid w:val="00192940"/>
    <w:rsid w:val="00192C18"/>
    <w:rsid w:val="00193201"/>
    <w:rsid w:val="00193512"/>
    <w:rsid w:val="00193525"/>
    <w:rsid w:val="00193A1C"/>
    <w:rsid w:val="00193A59"/>
    <w:rsid w:val="00193AE5"/>
    <w:rsid w:val="00193B3A"/>
    <w:rsid w:val="00193D4D"/>
    <w:rsid w:val="00193E5A"/>
    <w:rsid w:val="00193F43"/>
    <w:rsid w:val="00194268"/>
    <w:rsid w:val="001944B8"/>
    <w:rsid w:val="00194633"/>
    <w:rsid w:val="00194B27"/>
    <w:rsid w:val="00194DC4"/>
    <w:rsid w:val="00195164"/>
    <w:rsid w:val="00195384"/>
    <w:rsid w:val="0019542E"/>
    <w:rsid w:val="0019585C"/>
    <w:rsid w:val="00195AC9"/>
    <w:rsid w:val="00195C24"/>
    <w:rsid w:val="001962A4"/>
    <w:rsid w:val="0019692B"/>
    <w:rsid w:val="00196961"/>
    <w:rsid w:val="00196B09"/>
    <w:rsid w:val="00196B1B"/>
    <w:rsid w:val="00196D93"/>
    <w:rsid w:val="00196DE7"/>
    <w:rsid w:val="00196F54"/>
    <w:rsid w:val="00197131"/>
    <w:rsid w:val="00197144"/>
    <w:rsid w:val="00197152"/>
    <w:rsid w:val="0019720A"/>
    <w:rsid w:val="00197218"/>
    <w:rsid w:val="00197801"/>
    <w:rsid w:val="00197B9B"/>
    <w:rsid w:val="00197BC4"/>
    <w:rsid w:val="001A0603"/>
    <w:rsid w:val="001A086E"/>
    <w:rsid w:val="001A0A72"/>
    <w:rsid w:val="001A0CAD"/>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63"/>
    <w:rsid w:val="001A2BA1"/>
    <w:rsid w:val="001A2D75"/>
    <w:rsid w:val="001A2DE7"/>
    <w:rsid w:val="001A3070"/>
    <w:rsid w:val="001A326F"/>
    <w:rsid w:val="001A3A51"/>
    <w:rsid w:val="001A3BEA"/>
    <w:rsid w:val="001A3C97"/>
    <w:rsid w:val="001A3CD8"/>
    <w:rsid w:val="001A3D8E"/>
    <w:rsid w:val="001A3DC2"/>
    <w:rsid w:val="001A3F76"/>
    <w:rsid w:val="001A401A"/>
    <w:rsid w:val="001A41A7"/>
    <w:rsid w:val="001A4254"/>
    <w:rsid w:val="001A43BE"/>
    <w:rsid w:val="001A4461"/>
    <w:rsid w:val="001A491C"/>
    <w:rsid w:val="001A4931"/>
    <w:rsid w:val="001A4B64"/>
    <w:rsid w:val="001A534A"/>
    <w:rsid w:val="001A545C"/>
    <w:rsid w:val="001A57E8"/>
    <w:rsid w:val="001A5C45"/>
    <w:rsid w:val="001A5E22"/>
    <w:rsid w:val="001A5F4D"/>
    <w:rsid w:val="001A604A"/>
    <w:rsid w:val="001A60E3"/>
    <w:rsid w:val="001A617F"/>
    <w:rsid w:val="001A6357"/>
    <w:rsid w:val="001A648B"/>
    <w:rsid w:val="001A6519"/>
    <w:rsid w:val="001A665F"/>
    <w:rsid w:val="001A66D3"/>
    <w:rsid w:val="001A6707"/>
    <w:rsid w:val="001A6743"/>
    <w:rsid w:val="001A6940"/>
    <w:rsid w:val="001A696D"/>
    <w:rsid w:val="001A6AC0"/>
    <w:rsid w:val="001A6BD2"/>
    <w:rsid w:val="001A71B4"/>
    <w:rsid w:val="001A739E"/>
    <w:rsid w:val="001A7592"/>
    <w:rsid w:val="001A796B"/>
    <w:rsid w:val="001A7A18"/>
    <w:rsid w:val="001A7CF6"/>
    <w:rsid w:val="001B0259"/>
    <w:rsid w:val="001B02C5"/>
    <w:rsid w:val="001B03E3"/>
    <w:rsid w:val="001B074B"/>
    <w:rsid w:val="001B07B1"/>
    <w:rsid w:val="001B0839"/>
    <w:rsid w:val="001B0956"/>
    <w:rsid w:val="001B09C1"/>
    <w:rsid w:val="001B0A2F"/>
    <w:rsid w:val="001B0DDB"/>
    <w:rsid w:val="001B1110"/>
    <w:rsid w:val="001B1458"/>
    <w:rsid w:val="001B1634"/>
    <w:rsid w:val="001B17FD"/>
    <w:rsid w:val="001B197E"/>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63"/>
    <w:rsid w:val="001B30A1"/>
    <w:rsid w:val="001B37E6"/>
    <w:rsid w:val="001B3831"/>
    <w:rsid w:val="001B39CA"/>
    <w:rsid w:val="001B3A42"/>
    <w:rsid w:val="001B3BD1"/>
    <w:rsid w:val="001B3E30"/>
    <w:rsid w:val="001B41B9"/>
    <w:rsid w:val="001B42E2"/>
    <w:rsid w:val="001B4520"/>
    <w:rsid w:val="001B4EB2"/>
    <w:rsid w:val="001B510A"/>
    <w:rsid w:val="001B5123"/>
    <w:rsid w:val="001B53AE"/>
    <w:rsid w:val="001B567E"/>
    <w:rsid w:val="001B56B3"/>
    <w:rsid w:val="001B56BF"/>
    <w:rsid w:val="001B5AFC"/>
    <w:rsid w:val="001B5D9C"/>
    <w:rsid w:val="001B5EE0"/>
    <w:rsid w:val="001B616E"/>
    <w:rsid w:val="001B6216"/>
    <w:rsid w:val="001B63A6"/>
    <w:rsid w:val="001B648A"/>
    <w:rsid w:val="001B64D5"/>
    <w:rsid w:val="001B64F0"/>
    <w:rsid w:val="001B6B39"/>
    <w:rsid w:val="001B6B94"/>
    <w:rsid w:val="001B6BD8"/>
    <w:rsid w:val="001B6C24"/>
    <w:rsid w:val="001B71C9"/>
    <w:rsid w:val="001B74CC"/>
    <w:rsid w:val="001B7735"/>
    <w:rsid w:val="001B7BC2"/>
    <w:rsid w:val="001B7BC3"/>
    <w:rsid w:val="001B7BC7"/>
    <w:rsid w:val="001B7C49"/>
    <w:rsid w:val="001B7C58"/>
    <w:rsid w:val="001B7D7D"/>
    <w:rsid w:val="001B7E1A"/>
    <w:rsid w:val="001C01A7"/>
    <w:rsid w:val="001C01C4"/>
    <w:rsid w:val="001C01D2"/>
    <w:rsid w:val="001C02C2"/>
    <w:rsid w:val="001C063F"/>
    <w:rsid w:val="001C0B3A"/>
    <w:rsid w:val="001C0D21"/>
    <w:rsid w:val="001C0EF8"/>
    <w:rsid w:val="001C101E"/>
    <w:rsid w:val="001C151B"/>
    <w:rsid w:val="001C195B"/>
    <w:rsid w:val="001C1BB6"/>
    <w:rsid w:val="001C1E3B"/>
    <w:rsid w:val="001C1FFF"/>
    <w:rsid w:val="001C2356"/>
    <w:rsid w:val="001C257D"/>
    <w:rsid w:val="001C263C"/>
    <w:rsid w:val="001C287F"/>
    <w:rsid w:val="001C29A6"/>
    <w:rsid w:val="001C2A67"/>
    <w:rsid w:val="001C2B4B"/>
    <w:rsid w:val="001C300C"/>
    <w:rsid w:val="001C341E"/>
    <w:rsid w:val="001C3490"/>
    <w:rsid w:val="001C3631"/>
    <w:rsid w:val="001C36DD"/>
    <w:rsid w:val="001C36FD"/>
    <w:rsid w:val="001C3A6F"/>
    <w:rsid w:val="001C3BFE"/>
    <w:rsid w:val="001C3D76"/>
    <w:rsid w:val="001C40C1"/>
    <w:rsid w:val="001C415D"/>
    <w:rsid w:val="001C421A"/>
    <w:rsid w:val="001C45F7"/>
    <w:rsid w:val="001C47C0"/>
    <w:rsid w:val="001C4A52"/>
    <w:rsid w:val="001C4A58"/>
    <w:rsid w:val="001C4A63"/>
    <w:rsid w:val="001C4D2C"/>
    <w:rsid w:val="001C545E"/>
    <w:rsid w:val="001C5663"/>
    <w:rsid w:val="001C58F5"/>
    <w:rsid w:val="001C5B4E"/>
    <w:rsid w:val="001C5B5D"/>
    <w:rsid w:val="001C5E18"/>
    <w:rsid w:val="001C6485"/>
    <w:rsid w:val="001C6498"/>
    <w:rsid w:val="001C664D"/>
    <w:rsid w:val="001C6BFA"/>
    <w:rsid w:val="001C6DE3"/>
    <w:rsid w:val="001C6F9C"/>
    <w:rsid w:val="001C6FEF"/>
    <w:rsid w:val="001C71A4"/>
    <w:rsid w:val="001C75F3"/>
    <w:rsid w:val="001C7721"/>
    <w:rsid w:val="001C7839"/>
    <w:rsid w:val="001C78F8"/>
    <w:rsid w:val="001C7CD9"/>
    <w:rsid w:val="001C7D75"/>
    <w:rsid w:val="001D00C5"/>
    <w:rsid w:val="001D010B"/>
    <w:rsid w:val="001D0148"/>
    <w:rsid w:val="001D0505"/>
    <w:rsid w:val="001D06BE"/>
    <w:rsid w:val="001D0A7F"/>
    <w:rsid w:val="001D0D8E"/>
    <w:rsid w:val="001D0EB3"/>
    <w:rsid w:val="001D112E"/>
    <w:rsid w:val="001D127E"/>
    <w:rsid w:val="001D13AB"/>
    <w:rsid w:val="001D144C"/>
    <w:rsid w:val="001D18C1"/>
    <w:rsid w:val="001D1AE7"/>
    <w:rsid w:val="001D1C9F"/>
    <w:rsid w:val="001D2027"/>
    <w:rsid w:val="001D24EA"/>
    <w:rsid w:val="001D25D6"/>
    <w:rsid w:val="001D268B"/>
    <w:rsid w:val="001D2718"/>
    <w:rsid w:val="001D286D"/>
    <w:rsid w:val="001D2927"/>
    <w:rsid w:val="001D298A"/>
    <w:rsid w:val="001D2A04"/>
    <w:rsid w:val="001D2E68"/>
    <w:rsid w:val="001D2E9C"/>
    <w:rsid w:val="001D2F53"/>
    <w:rsid w:val="001D31D1"/>
    <w:rsid w:val="001D337B"/>
    <w:rsid w:val="001D33B0"/>
    <w:rsid w:val="001D33F2"/>
    <w:rsid w:val="001D354D"/>
    <w:rsid w:val="001D356B"/>
    <w:rsid w:val="001D36B7"/>
    <w:rsid w:val="001D37F6"/>
    <w:rsid w:val="001D38C0"/>
    <w:rsid w:val="001D3C93"/>
    <w:rsid w:val="001D3D07"/>
    <w:rsid w:val="001D3D39"/>
    <w:rsid w:val="001D3DF6"/>
    <w:rsid w:val="001D3FD0"/>
    <w:rsid w:val="001D4078"/>
    <w:rsid w:val="001D4217"/>
    <w:rsid w:val="001D42A1"/>
    <w:rsid w:val="001D44B3"/>
    <w:rsid w:val="001D45C6"/>
    <w:rsid w:val="001D4643"/>
    <w:rsid w:val="001D4723"/>
    <w:rsid w:val="001D4AF3"/>
    <w:rsid w:val="001D4B2F"/>
    <w:rsid w:val="001D4B8E"/>
    <w:rsid w:val="001D4CAB"/>
    <w:rsid w:val="001D4F7C"/>
    <w:rsid w:val="001D4FC2"/>
    <w:rsid w:val="001D4FD7"/>
    <w:rsid w:val="001D5215"/>
    <w:rsid w:val="001D52BB"/>
    <w:rsid w:val="001D537E"/>
    <w:rsid w:val="001D5510"/>
    <w:rsid w:val="001D5549"/>
    <w:rsid w:val="001D55E9"/>
    <w:rsid w:val="001D583A"/>
    <w:rsid w:val="001D5872"/>
    <w:rsid w:val="001D593D"/>
    <w:rsid w:val="001D5EC6"/>
    <w:rsid w:val="001D5F9D"/>
    <w:rsid w:val="001D612E"/>
    <w:rsid w:val="001D6345"/>
    <w:rsid w:val="001D6524"/>
    <w:rsid w:val="001D65A5"/>
    <w:rsid w:val="001D65EF"/>
    <w:rsid w:val="001D6890"/>
    <w:rsid w:val="001D6930"/>
    <w:rsid w:val="001D6B45"/>
    <w:rsid w:val="001D6C98"/>
    <w:rsid w:val="001D6E21"/>
    <w:rsid w:val="001D6E3D"/>
    <w:rsid w:val="001D6EB9"/>
    <w:rsid w:val="001D6FD9"/>
    <w:rsid w:val="001D6FF8"/>
    <w:rsid w:val="001D7007"/>
    <w:rsid w:val="001D70C0"/>
    <w:rsid w:val="001D70C1"/>
    <w:rsid w:val="001D724F"/>
    <w:rsid w:val="001D7311"/>
    <w:rsid w:val="001D7452"/>
    <w:rsid w:val="001D7570"/>
    <w:rsid w:val="001D781E"/>
    <w:rsid w:val="001D78F3"/>
    <w:rsid w:val="001D7914"/>
    <w:rsid w:val="001D7B2D"/>
    <w:rsid w:val="001D7BCE"/>
    <w:rsid w:val="001D7D62"/>
    <w:rsid w:val="001E0045"/>
    <w:rsid w:val="001E0120"/>
    <w:rsid w:val="001E0197"/>
    <w:rsid w:val="001E0376"/>
    <w:rsid w:val="001E03F5"/>
    <w:rsid w:val="001E0527"/>
    <w:rsid w:val="001E055E"/>
    <w:rsid w:val="001E0692"/>
    <w:rsid w:val="001E0792"/>
    <w:rsid w:val="001E07E5"/>
    <w:rsid w:val="001E080B"/>
    <w:rsid w:val="001E0BF8"/>
    <w:rsid w:val="001E112F"/>
    <w:rsid w:val="001E1270"/>
    <w:rsid w:val="001E1434"/>
    <w:rsid w:val="001E16CB"/>
    <w:rsid w:val="001E1935"/>
    <w:rsid w:val="001E1941"/>
    <w:rsid w:val="001E195F"/>
    <w:rsid w:val="001E19EC"/>
    <w:rsid w:val="001E1F32"/>
    <w:rsid w:val="001E20FE"/>
    <w:rsid w:val="001E2142"/>
    <w:rsid w:val="001E21E4"/>
    <w:rsid w:val="001E220E"/>
    <w:rsid w:val="001E2231"/>
    <w:rsid w:val="001E2711"/>
    <w:rsid w:val="001E29DF"/>
    <w:rsid w:val="001E2BB2"/>
    <w:rsid w:val="001E2C04"/>
    <w:rsid w:val="001E2F68"/>
    <w:rsid w:val="001E2F86"/>
    <w:rsid w:val="001E3572"/>
    <w:rsid w:val="001E35CF"/>
    <w:rsid w:val="001E3607"/>
    <w:rsid w:val="001E3853"/>
    <w:rsid w:val="001E3C91"/>
    <w:rsid w:val="001E3CD9"/>
    <w:rsid w:val="001E3D10"/>
    <w:rsid w:val="001E3EAF"/>
    <w:rsid w:val="001E3ED1"/>
    <w:rsid w:val="001E3F05"/>
    <w:rsid w:val="001E41DE"/>
    <w:rsid w:val="001E43E3"/>
    <w:rsid w:val="001E4444"/>
    <w:rsid w:val="001E4549"/>
    <w:rsid w:val="001E46F9"/>
    <w:rsid w:val="001E4705"/>
    <w:rsid w:val="001E4A18"/>
    <w:rsid w:val="001E4E14"/>
    <w:rsid w:val="001E4F18"/>
    <w:rsid w:val="001E4F2E"/>
    <w:rsid w:val="001E51E6"/>
    <w:rsid w:val="001E52CB"/>
    <w:rsid w:val="001E53DD"/>
    <w:rsid w:val="001E56C1"/>
    <w:rsid w:val="001E5817"/>
    <w:rsid w:val="001E5929"/>
    <w:rsid w:val="001E5D45"/>
    <w:rsid w:val="001E5D9A"/>
    <w:rsid w:val="001E60B0"/>
    <w:rsid w:val="001E6154"/>
    <w:rsid w:val="001E61A3"/>
    <w:rsid w:val="001E64BF"/>
    <w:rsid w:val="001E66D6"/>
    <w:rsid w:val="001E66E9"/>
    <w:rsid w:val="001E6802"/>
    <w:rsid w:val="001E6CA1"/>
    <w:rsid w:val="001E6F29"/>
    <w:rsid w:val="001E6F64"/>
    <w:rsid w:val="001E7011"/>
    <w:rsid w:val="001E7479"/>
    <w:rsid w:val="001E7537"/>
    <w:rsid w:val="001E775A"/>
    <w:rsid w:val="001E7AE1"/>
    <w:rsid w:val="001E7BD4"/>
    <w:rsid w:val="001E7CE5"/>
    <w:rsid w:val="001E7DDB"/>
    <w:rsid w:val="001E7DEF"/>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CE"/>
    <w:rsid w:val="001F174F"/>
    <w:rsid w:val="001F1AF0"/>
    <w:rsid w:val="001F1F50"/>
    <w:rsid w:val="001F21FE"/>
    <w:rsid w:val="001F24CC"/>
    <w:rsid w:val="001F278E"/>
    <w:rsid w:val="001F2850"/>
    <w:rsid w:val="001F2C16"/>
    <w:rsid w:val="001F2F6D"/>
    <w:rsid w:val="001F3044"/>
    <w:rsid w:val="001F31FD"/>
    <w:rsid w:val="001F324E"/>
    <w:rsid w:val="001F367C"/>
    <w:rsid w:val="001F36D0"/>
    <w:rsid w:val="001F37E5"/>
    <w:rsid w:val="001F38C6"/>
    <w:rsid w:val="001F3A7E"/>
    <w:rsid w:val="001F3AF6"/>
    <w:rsid w:val="001F3DAE"/>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2B"/>
    <w:rsid w:val="001F4F67"/>
    <w:rsid w:val="001F4FDC"/>
    <w:rsid w:val="001F5342"/>
    <w:rsid w:val="001F5409"/>
    <w:rsid w:val="001F5705"/>
    <w:rsid w:val="001F5853"/>
    <w:rsid w:val="001F5B77"/>
    <w:rsid w:val="001F6228"/>
    <w:rsid w:val="001F65C4"/>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0CA5"/>
    <w:rsid w:val="002010F8"/>
    <w:rsid w:val="00201246"/>
    <w:rsid w:val="00201281"/>
    <w:rsid w:val="0020128F"/>
    <w:rsid w:val="002014E9"/>
    <w:rsid w:val="00201762"/>
    <w:rsid w:val="00201899"/>
    <w:rsid w:val="00201D41"/>
    <w:rsid w:val="00201D96"/>
    <w:rsid w:val="0020208A"/>
    <w:rsid w:val="00202243"/>
    <w:rsid w:val="00203029"/>
    <w:rsid w:val="002039EF"/>
    <w:rsid w:val="00203B88"/>
    <w:rsid w:val="00203CAD"/>
    <w:rsid w:val="00203F4B"/>
    <w:rsid w:val="0020442B"/>
    <w:rsid w:val="002044EA"/>
    <w:rsid w:val="002046A3"/>
    <w:rsid w:val="002046C9"/>
    <w:rsid w:val="0020490E"/>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6D6"/>
    <w:rsid w:val="002069BA"/>
    <w:rsid w:val="00206AC2"/>
    <w:rsid w:val="00206C50"/>
    <w:rsid w:val="00206D56"/>
    <w:rsid w:val="00206DFE"/>
    <w:rsid w:val="0020716B"/>
    <w:rsid w:val="0020755D"/>
    <w:rsid w:val="002075D9"/>
    <w:rsid w:val="0020766D"/>
    <w:rsid w:val="002076E2"/>
    <w:rsid w:val="00207FC4"/>
    <w:rsid w:val="0021007A"/>
    <w:rsid w:val="002100D3"/>
    <w:rsid w:val="002102C2"/>
    <w:rsid w:val="002102CC"/>
    <w:rsid w:val="002102FA"/>
    <w:rsid w:val="002109BE"/>
    <w:rsid w:val="00210A4C"/>
    <w:rsid w:val="00210A99"/>
    <w:rsid w:val="00210B43"/>
    <w:rsid w:val="00210D6D"/>
    <w:rsid w:val="00210FE1"/>
    <w:rsid w:val="00210FF8"/>
    <w:rsid w:val="00211054"/>
    <w:rsid w:val="002112C9"/>
    <w:rsid w:val="002118F9"/>
    <w:rsid w:val="00211AAF"/>
    <w:rsid w:val="00211B91"/>
    <w:rsid w:val="00211CF5"/>
    <w:rsid w:val="00211FFC"/>
    <w:rsid w:val="002120A0"/>
    <w:rsid w:val="00212134"/>
    <w:rsid w:val="0021220D"/>
    <w:rsid w:val="00212313"/>
    <w:rsid w:val="0021233E"/>
    <w:rsid w:val="00212545"/>
    <w:rsid w:val="002126DA"/>
    <w:rsid w:val="0021284F"/>
    <w:rsid w:val="00212BF8"/>
    <w:rsid w:val="00212E37"/>
    <w:rsid w:val="00212E7E"/>
    <w:rsid w:val="0021302E"/>
    <w:rsid w:val="002132EA"/>
    <w:rsid w:val="002134C4"/>
    <w:rsid w:val="0021376E"/>
    <w:rsid w:val="00213F36"/>
    <w:rsid w:val="00214107"/>
    <w:rsid w:val="0021434C"/>
    <w:rsid w:val="002143B2"/>
    <w:rsid w:val="00214926"/>
    <w:rsid w:val="00214DFC"/>
    <w:rsid w:val="00214EA0"/>
    <w:rsid w:val="00215D88"/>
    <w:rsid w:val="00215E61"/>
    <w:rsid w:val="00215E71"/>
    <w:rsid w:val="00216135"/>
    <w:rsid w:val="002162DA"/>
    <w:rsid w:val="0021630F"/>
    <w:rsid w:val="00216359"/>
    <w:rsid w:val="00216405"/>
    <w:rsid w:val="002164BD"/>
    <w:rsid w:val="002165E5"/>
    <w:rsid w:val="002167B6"/>
    <w:rsid w:val="00216806"/>
    <w:rsid w:val="00216A43"/>
    <w:rsid w:val="00216D47"/>
    <w:rsid w:val="00216DE1"/>
    <w:rsid w:val="00217158"/>
    <w:rsid w:val="0021725E"/>
    <w:rsid w:val="002174D3"/>
    <w:rsid w:val="002177C0"/>
    <w:rsid w:val="002177FB"/>
    <w:rsid w:val="00217821"/>
    <w:rsid w:val="002201D9"/>
    <w:rsid w:val="002203A4"/>
    <w:rsid w:val="002203E4"/>
    <w:rsid w:val="00220513"/>
    <w:rsid w:val="0022081F"/>
    <w:rsid w:val="00220A2F"/>
    <w:rsid w:val="00220AC6"/>
    <w:rsid w:val="00220CAA"/>
    <w:rsid w:val="00220D06"/>
    <w:rsid w:val="00220DE6"/>
    <w:rsid w:val="00220E00"/>
    <w:rsid w:val="0022104F"/>
    <w:rsid w:val="0022119F"/>
    <w:rsid w:val="00221206"/>
    <w:rsid w:val="00221323"/>
    <w:rsid w:val="002214C0"/>
    <w:rsid w:val="00221983"/>
    <w:rsid w:val="00221A18"/>
    <w:rsid w:val="00221AF4"/>
    <w:rsid w:val="00221B8A"/>
    <w:rsid w:val="0022205C"/>
    <w:rsid w:val="00222160"/>
    <w:rsid w:val="002228BD"/>
    <w:rsid w:val="00222B5F"/>
    <w:rsid w:val="00222BAE"/>
    <w:rsid w:val="00222CEB"/>
    <w:rsid w:val="00222D37"/>
    <w:rsid w:val="00223202"/>
    <w:rsid w:val="002232A2"/>
    <w:rsid w:val="002234F2"/>
    <w:rsid w:val="00224131"/>
    <w:rsid w:val="002243A5"/>
    <w:rsid w:val="002248E5"/>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0D33"/>
    <w:rsid w:val="00231400"/>
    <w:rsid w:val="00231AA8"/>
    <w:rsid w:val="00231ABA"/>
    <w:rsid w:val="00231B0C"/>
    <w:rsid w:val="00231CFC"/>
    <w:rsid w:val="00231D2B"/>
    <w:rsid w:val="00231E24"/>
    <w:rsid w:val="002323C7"/>
    <w:rsid w:val="0023247D"/>
    <w:rsid w:val="0023277E"/>
    <w:rsid w:val="002327DF"/>
    <w:rsid w:val="0023281B"/>
    <w:rsid w:val="00232955"/>
    <w:rsid w:val="00233118"/>
    <w:rsid w:val="00233232"/>
    <w:rsid w:val="0023327D"/>
    <w:rsid w:val="002336DB"/>
    <w:rsid w:val="002337A6"/>
    <w:rsid w:val="00233A1F"/>
    <w:rsid w:val="00233E75"/>
    <w:rsid w:val="0023419B"/>
    <w:rsid w:val="00234827"/>
    <w:rsid w:val="002349CA"/>
    <w:rsid w:val="00234A04"/>
    <w:rsid w:val="00234B11"/>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5FB"/>
    <w:rsid w:val="002369B7"/>
    <w:rsid w:val="00236E1E"/>
    <w:rsid w:val="0023741A"/>
    <w:rsid w:val="00237BC1"/>
    <w:rsid w:val="00240391"/>
    <w:rsid w:val="00240535"/>
    <w:rsid w:val="00240545"/>
    <w:rsid w:val="00240622"/>
    <w:rsid w:val="002408E5"/>
    <w:rsid w:val="002409E5"/>
    <w:rsid w:val="002410EE"/>
    <w:rsid w:val="002411ED"/>
    <w:rsid w:val="002413AF"/>
    <w:rsid w:val="00241518"/>
    <w:rsid w:val="002419AB"/>
    <w:rsid w:val="002419BE"/>
    <w:rsid w:val="00241C43"/>
    <w:rsid w:val="002422D0"/>
    <w:rsid w:val="002422DD"/>
    <w:rsid w:val="0024246A"/>
    <w:rsid w:val="002427F4"/>
    <w:rsid w:val="0024282E"/>
    <w:rsid w:val="00242C74"/>
    <w:rsid w:val="00242D26"/>
    <w:rsid w:val="00242F0F"/>
    <w:rsid w:val="00242F9A"/>
    <w:rsid w:val="0024304E"/>
    <w:rsid w:val="002436BD"/>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D93"/>
    <w:rsid w:val="00245E1D"/>
    <w:rsid w:val="00245EB1"/>
    <w:rsid w:val="00246092"/>
    <w:rsid w:val="00246175"/>
    <w:rsid w:val="00246333"/>
    <w:rsid w:val="00246439"/>
    <w:rsid w:val="002466A8"/>
    <w:rsid w:val="00246749"/>
    <w:rsid w:val="002467A7"/>
    <w:rsid w:val="00246A4B"/>
    <w:rsid w:val="00246B7A"/>
    <w:rsid w:val="00247115"/>
    <w:rsid w:val="00247233"/>
    <w:rsid w:val="0024727D"/>
    <w:rsid w:val="002472D6"/>
    <w:rsid w:val="0024741A"/>
    <w:rsid w:val="00247918"/>
    <w:rsid w:val="00247977"/>
    <w:rsid w:val="002500D0"/>
    <w:rsid w:val="002502A3"/>
    <w:rsid w:val="00250427"/>
    <w:rsid w:val="002504A7"/>
    <w:rsid w:val="002506F2"/>
    <w:rsid w:val="002506F5"/>
    <w:rsid w:val="0025097C"/>
    <w:rsid w:val="00250CB3"/>
    <w:rsid w:val="00250E71"/>
    <w:rsid w:val="002511BE"/>
    <w:rsid w:val="002511F2"/>
    <w:rsid w:val="00251212"/>
    <w:rsid w:val="00251240"/>
    <w:rsid w:val="002512D6"/>
    <w:rsid w:val="0025144C"/>
    <w:rsid w:val="00251561"/>
    <w:rsid w:val="002516D0"/>
    <w:rsid w:val="00251894"/>
    <w:rsid w:val="00251CDB"/>
    <w:rsid w:val="00252192"/>
    <w:rsid w:val="00252227"/>
    <w:rsid w:val="00252443"/>
    <w:rsid w:val="00252521"/>
    <w:rsid w:val="00252598"/>
    <w:rsid w:val="0025262C"/>
    <w:rsid w:val="002526D5"/>
    <w:rsid w:val="002526F6"/>
    <w:rsid w:val="002527E0"/>
    <w:rsid w:val="00252829"/>
    <w:rsid w:val="002528ED"/>
    <w:rsid w:val="00252A97"/>
    <w:rsid w:val="00252CC7"/>
    <w:rsid w:val="00252CE5"/>
    <w:rsid w:val="00252DC0"/>
    <w:rsid w:val="00252FA3"/>
    <w:rsid w:val="00253198"/>
    <w:rsid w:val="002534F4"/>
    <w:rsid w:val="0025368D"/>
    <w:rsid w:val="0025379C"/>
    <w:rsid w:val="00253A70"/>
    <w:rsid w:val="00253B96"/>
    <w:rsid w:val="00253C33"/>
    <w:rsid w:val="00254211"/>
    <w:rsid w:val="00254614"/>
    <w:rsid w:val="002546D4"/>
    <w:rsid w:val="00254857"/>
    <w:rsid w:val="0025485C"/>
    <w:rsid w:val="00254F28"/>
    <w:rsid w:val="00254F70"/>
    <w:rsid w:val="002550E1"/>
    <w:rsid w:val="00255204"/>
    <w:rsid w:val="002555DB"/>
    <w:rsid w:val="002558EC"/>
    <w:rsid w:val="00255C09"/>
    <w:rsid w:val="00255EB9"/>
    <w:rsid w:val="00255F5E"/>
    <w:rsid w:val="00255FE9"/>
    <w:rsid w:val="00256158"/>
    <w:rsid w:val="00256180"/>
    <w:rsid w:val="002562B9"/>
    <w:rsid w:val="00256864"/>
    <w:rsid w:val="002568F6"/>
    <w:rsid w:val="00256C58"/>
    <w:rsid w:val="00256CC7"/>
    <w:rsid w:val="002572A3"/>
    <w:rsid w:val="002577B3"/>
    <w:rsid w:val="00257926"/>
    <w:rsid w:val="00257B63"/>
    <w:rsid w:val="00257C41"/>
    <w:rsid w:val="00257DC5"/>
    <w:rsid w:val="002602C9"/>
    <w:rsid w:val="0026035E"/>
    <w:rsid w:val="00260DBF"/>
    <w:rsid w:val="00260E8A"/>
    <w:rsid w:val="00261122"/>
    <w:rsid w:val="002611EC"/>
    <w:rsid w:val="0026130B"/>
    <w:rsid w:val="0026142D"/>
    <w:rsid w:val="0026190D"/>
    <w:rsid w:val="00261D79"/>
    <w:rsid w:val="00261F33"/>
    <w:rsid w:val="00262484"/>
    <w:rsid w:val="0026270D"/>
    <w:rsid w:val="0026275F"/>
    <w:rsid w:val="002627B9"/>
    <w:rsid w:val="002627E3"/>
    <w:rsid w:val="00262A0C"/>
    <w:rsid w:val="00262AF8"/>
    <w:rsid w:val="00262D56"/>
    <w:rsid w:val="00262FFB"/>
    <w:rsid w:val="002632A1"/>
    <w:rsid w:val="0026333D"/>
    <w:rsid w:val="00263581"/>
    <w:rsid w:val="00263B68"/>
    <w:rsid w:val="00263D09"/>
    <w:rsid w:val="00263E25"/>
    <w:rsid w:val="00264015"/>
    <w:rsid w:val="00264105"/>
    <w:rsid w:val="00264375"/>
    <w:rsid w:val="00264425"/>
    <w:rsid w:val="00264708"/>
    <w:rsid w:val="00264897"/>
    <w:rsid w:val="00264955"/>
    <w:rsid w:val="002651FD"/>
    <w:rsid w:val="00265375"/>
    <w:rsid w:val="002656B0"/>
    <w:rsid w:val="00265726"/>
    <w:rsid w:val="002658C0"/>
    <w:rsid w:val="002658CA"/>
    <w:rsid w:val="0026593A"/>
    <w:rsid w:val="00265AEC"/>
    <w:rsid w:val="00265D04"/>
    <w:rsid w:val="00266360"/>
    <w:rsid w:val="00266676"/>
    <w:rsid w:val="002666EA"/>
    <w:rsid w:val="00266871"/>
    <w:rsid w:val="00266A13"/>
    <w:rsid w:val="00266AE1"/>
    <w:rsid w:val="00266B75"/>
    <w:rsid w:val="00266C06"/>
    <w:rsid w:val="00266C2F"/>
    <w:rsid w:val="00266D99"/>
    <w:rsid w:val="00266D9F"/>
    <w:rsid w:val="00266E0F"/>
    <w:rsid w:val="00266E3B"/>
    <w:rsid w:val="00266F7B"/>
    <w:rsid w:val="00267068"/>
    <w:rsid w:val="002672B2"/>
    <w:rsid w:val="00267815"/>
    <w:rsid w:val="00267B4A"/>
    <w:rsid w:val="00267F35"/>
    <w:rsid w:val="002702CC"/>
    <w:rsid w:val="002703A3"/>
    <w:rsid w:val="002704AF"/>
    <w:rsid w:val="002706D5"/>
    <w:rsid w:val="002707FE"/>
    <w:rsid w:val="00270A0A"/>
    <w:rsid w:val="00270F6C"/>
    <w:rsid w:val="0027111D"/>
    <w:rsid w:val="0027115B"/>
    <w:rsid w:val="0027119D"/>
    <w:rsid w:val="00271263"/>
    <w:rsid w:val="00271598"/>
    <w:rsid w:val="002715F5"/>
    <w:rsid w:val="002717AE"/>
    <w:rsid w:val="002717BC"/>
    <w:rsid w:val="00271BED"/>
    <w:rsid w:val="00271BFF"/>
    <w:rsid w:val="00272550"/>
    <w:rsid w:val="00272789"/>
    <w:rsid w:val="00272870"/>
    <w:rsid w:val="00272B5E"/>
    <w:rsid w:val="00272BC4"/>
    <w:rsid w:val="00272C95"/>
    <w:rsid w:val="00272D6B"/>
    <w:rsid w:val="00272F2C"/>
    <w:rsid w:val="00273064"/>
    <w:rsid w:val="0027344A"/>
    <w:rsid w:val="0027345F"/>
    <w:rsid w:val="00273909"/>
    <w:rsid w:val="00273ABE"/>
    <w:rsid w:val="00273C10"/>
    <w:rsid w:val="002745FF"/>
    <w:rsid w:val="00274778"/>
    <w:rsid w:val="002747DE"/>
    <w:rsid w:val="00274830"/>
    <w:rsid w:val="00274B1D"/>
    <w:rsid w:val="00274F42"/>
    <w:rsid w:val="0027520F"/>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BE"/>
    <w:rsid w:val="002771E1"/>
    <w:rsid w:val="00277929"/>
    <w:rsid w:val="00277989"/>
    <w:rsid w:val="002779AF"/>
    <w:rsid w:val="00277AAC"/>
    <w:rsid w:val="00277C95"/>
    <w:rsid w:val="00277D21"/>
    <w:rsid w:val="00280144"/>
    <w:rsid w:val="0028042D"/>
    <w:rsid w:val="00280469"/>
    <w:rsid w:val="00280878"/>
    <w:rsid w:val="00280C55"/>
    <w:rsid w:val="00280EB9"/>
    <w:rsid w:val="0028100B"/>
    <w:rsid w:val="0028112B"/>
    <w:rsid w:val="002811A7"/>
    <w:rsid w:val="002812C1"/>
    <w:rsid w:val="002815CE"/>
    <w:rsid w:val="002816CE"/>
    <w:rsid w:val="00281738"/>
    <w:rsid w:val="002818D2"/>
    <w:rsid w:val="00281A02"/>
    <w:rsid w:val="00281D3B"/>
    <w:rsid w:val="00281D47"/>
    <w:rsid w:val="00281FE0"/>
    <w:rsid w:val="00282116"/>
    <w:rsid w:val="0028226C"/>
    <w:rsid w:val="0028274B"/>
    <w:rsid w:val="00282825"/>
    <w:rsid w:val="002829F5"/>
    <w:rsid w:val="00282A88"/>
    <w:rsid w:val="00282D0D"/>
    <w:rsid w:val="00282E39"/>
    <w:rsid w:val="0028309B"/>
    <w:rsid w:val="002832D4"/>
    <w:rsid w:val="002833F6"/>
    <w:rsid w:val="002837F4"/>
    <w:rsid w:val="00283ABD"/>
    <w:rsid w:val="00283B8E"/>
    <w:rsid w:val="00283E95"/>
    <w:rsid w:val="00284166"/>
    <w:rsid w:val="002843D6"/>
    <w:rsid w:val="002843DF"/>
    <w:rsid w:val="002846B9"/>
    <w:rsid w:val="002846D3"/>
    <w:rsid w:val="00284923"/>
    <w:rsid w:val="002849C7"/>
    <w:rsid w:val="00284D71"/>
    <w:rsid w:val="00284E95"/>
    <w:rsid w:val="00285240"/>
    <w:rsid w:val="002857A8"/>
    <w:rsid w:val="00285AC6"/>
    <w:rsid w:val="00285E0B"/>
    <w:rsid w:val="00285EFC"/>
    <w:rsid w:val="0028639E"/>
    <w:rsid w:val="002863C3"/>
    <w:rsid w:val="002863CB"/>
    <w:rsid w:val="002864B2"/>
    <w:rsid w:val="00286768"/>
    <w:rsid w:val="0028683C"/>
    <w:rsid w:val="002868C9"/>
    <w:rsid w:val="00286A9D"/>
    <w:rsid w:val="00286E17"/>
    <w:rsid w:val="00286E25"/>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09EF"/>
    <w:rsid w:val="00290A4C"/>
    <w:rsid w:val="00290C70"/>
    <w:rsid w:val="00290CC6"/>
    <w:rsid w:val="0029130D"/>
    <w:rsid w:val="00291379"/>
    <w:rsid w:val="0029150B"/>
    <w:rsid w:val="00291568"/>
    <w:rsid w:val="00291A96"/>
    <w:rsid w:val="00291D6C"/>
    <w:rsid w:val="00291F1E"/>
    <w:rsid w:val="0029215E"/>
    <w:rsid w:val="00292344"/>
    <w:rsid w:val="00292347"/>
    <w:rsid w:val="00292480"/>
    <w:rsid w:val="002926F8"/>
    <w:rsid w:val="00292805"/>
    <w:rsid w:val="002929CF"/>
    <w:rsid w:val="00292C41"/>
    <w:rsid w:val="00292DFF"/>
    <w:rsid w:val="00293126"/>
    <w:rsid w:val="00293A68"/>
    <w:rsid w:val="00293AFB"/>
    <w:rsid w:val="002942A5"/>
    <w:rsid w:val="00294387"/>
    <w:rsid w:val="00294518"/>
    <w:rsid w:val="00294640"/>
    <w:rsid w:val="002947AB"/>
    <w:rsid w:val="002948FC"/>
    <w:rsid w:val="00294C5A"/>
    <w:rsid w:val="00294E59"/>
    <w:rsid w:val="00294ED7"/>
    <w:rsid w:val="00294F72"/>
    <w:rsid w:val="00295545"/>
    <w:rsid w:val="0029568A"/>
    <w:rsid w:val="002959A6"/>
    <w:rsid w:val="00295B25"/>
    <w:rsid w:val="00295D1D"/>
    <w:rsid w:val="002961B9"/>
    <w:rsid w:val="0029643D"/>
    <w:rsid w:val="002964DD"/>
    <w:rsid w:val="00297172"/>
    <w:rsid w:val="002972FF"/>
    <w:rsid w:val="0029734A"/>
    <w:rsid w:val="0029759B"/>
    <w:rsid w:val="00297765"/>
    <w:rsid w:val="002A0006"/>
    <w:rsid w:val="002A0195"/>
    <w:rsid w:val="002A0234"/>
    <w:rsid w:val="002A044E"/>
    <w:rsid w:val="002A0497"/>
    <w:rsid w:val="002A05C9"/>
    <w:rsid w:val="002A0AFD"/>
    <w:rsid w:val="002A0E43"/>
    <w:rsid w:val="002A0F3F"/>
    <w:rsid w:val="002A1387"/>
    <w:rsid w:val="002A13CE"/>
    <w:rsid w:val="002A154B"/>
    <w:rsid w:val="002A1FF6"/>
    <w:rsid w:val="002A200A"/>
    <w:rsid w:val="002A225D"/>
    <w:rsid w:val="002A23F2"/>
    <w:rsid w:val="002A2420"/>
    <w:rsid w:val="002A25D2"/>
    <w:rsid w:val="002A28F1"/>
    <w:rsid w:val="002A293A"/>
    <w:rsid w:val="002A2B74"/>
    <w:rsid w:val="002A2DEA"/>
    <w:rsid w:val="002A2E49"/>
    <w:rsid w:val="002A2F2C"/>
    <w:rsid w:val="002A30C8"/>
    <w:rsid w:val="002A3115"/>
    <w:rsid w:val="002A311D"/>
    <w:rsid w:val="002A3494"/>
    <w:rsid w:val="002A36A8"/>
    <w:rsid w:val="002A3931"/>
    <w:rsid w:val="002A39A3"/>
    <w:rsid w:val="002A3A03"/>
    <w:rsid w:val="002A3AEB"/>
    <w:rsid w:val="002A3C0B"/>
    <w:rsid w:val="002A3ECE"/>
    <w:rsid w:val="002A3F78"/>
    <w:rsid w:val="002A404A"/>
    <w:rsid w:val="002A4072"/>
    <w:rsid w:val="002A4130"/>
    <w:rsid w:val="002A41F1"/>
    <w:rsid w:val="002A4205"/>
    <w:rsid w:val="002A4242"/>
    <w:rsid w:val="002A4985"/>
    <w:rsid w:val="002A4BB4"/>
    <w:rsid w:val="002A4C82"/>
    <w:rsid w:val="002A4ED7"/>
    <w:rsid w:val="002A4EFD"/>
    <w:rsid w:val="002A536B"/>
    <w:rsid w:val="002A5948"/>
    <w:rsid w:val="002A5DFF"/>
    <w:rsid w:val="002A6570"/>
    <w:rsid w:val="002A676A"/>
    <w:rsid w:val="002A684D"/>
    <w:rsid w:val="002A689F"/>
    <w:rsid w:val="002A69E0"/>
    <w:rsid w:val="002A69F0"/>
    <w:rsid w:val="002A6BE3"/>
    <w:rsid w:val="002A6FDF"/>
    <w:rsid w:val="002A7037"/>
    <w:rsid w:val="002A726D"/>
    <w:rsid w:val="002A748B"/>
    <w:rsid w:val="002A75C5"/>
    <w:rsid w:val="002A769B"/>
    <w:rsid w:val="002A7E76"/>
    <w:rsid w:val="002A7FF4"/>
    <w:rsid w:val="002B00C9"/>
    <w:rsid w:val="002B00FA"/>
    <w:rsid w:val="002B0189"/>
    <w:rsid w:val="002B01CA"/>
    <w:rsid w:val="002B04E0"/>
    <w:rsid w:val="002B0916"/>
    <w:rsid w:val="002B0D15"/>
    <w:rsid w:val="002B0D4B"/>
    <w:rsid w:val="002B1202"/>
    <w:rsid w:val="002B126E"/>
    <w:rsid w:val="002B1431"/>
    <w:rsid w:val="002B14E1"/>
    <w:rsid w:val="002B16EF"/>
    <w:rsid w:val="002B176A"/>
    <w:rsid w:val="002B1B1E"/>
    <w:rsid w:val="002B1BC6"/>
    <w:rsid w:val="002B1F99"/>
    <w:rsid w:val="002B2469"/>
    <w:rsid w:val="002B2785"/>
    <w:rsid w:val="002B2C33"/>
    <w:rsid w:val="002B2EDD"/>
    <w:rsid w:val="002B2F44"/>
    <w:rsid w:val="002B34CE"/>
    <w:rsid w:val="002B3620"/>
    <w:rsid w:val="002B3675"/>
    <w:rsid w:val="002B37CB"/>
    <w:rsid w:val="002B3879"/>
    <w:rsid w:val="002B389F"/>
    <w:rsid w:val="002B38CF"/>
    <w:rsid w:val="002B3933"/>
    <w:rsid w:val="002B3CD7"/>
    <w:rsid w:val="002B3E26"/>
    <w:rsid w:val="002B3EA9"/>
    <w:rsid w:val="002B3EEE"/>
    <w:rsid w:val="002B3F0F"/>
    <w:rsid w:val="002B3F7E"/>
    <w:rsid w:val="002B401E"/>
    <w:rsid w:val="002B424B"/>
    <w:rsid w:val="002B4580"/>
    <w:rsid w:val="002B46C7"/>
    <w:rsid w:val="002B4AAF"/>
    <w:rsid w:val="002B4AFB"/>
    <w:rsid w:val="002B4B62"/>
    <w:rsid w:val="002B4D8F"/>
    <w:rsid w:val="002B4DAF"/>
    <w:rsid w:val="002B4E37"/>
    <w:rsid w:val="002B4EA2"/>
    <w:rsid w:val="002B4FCD"/>
    <w:rsid w:val="002B5065"/>
    <w:rsid w:val="002B514D"/>
    <w:rsid w:val="002B53E0"/>
    <w:rsid w:val="002B5A4F"/>
    <w:rsid w:val="002B5ED7"/>
    <w:rsid w:val="002B5F2A"/>
    <w:rsid w:val="002B5F69"/>
    <w:rsid w:val="002B61C7"/>
    <w:rsid w:val="002B6312"/>
    <w:rsid w:val="002B664D"/>
    <w:rsid w:val="002B6691"/>
    <w:rsid w:val="002B67AD"/>
    <w:rsid w:val="002B67B0"/>
    <w:rsid w:val="002B6800"/>
    <w:rsid w:val="002B6975"/>
    <w:rsid w:val="002B6FB3"/>
    <w:rsid w:val="002B7031"/>
    <w:rsid w:val="002B71E3"/>
    <w:rsid w:val="002B737F"/>
    <w:rsid w:val="002B7683"/>
    <w:rsid w:val="002B7A67"/>
    <w:rsid w:val="002B7B77"/>
    <w:rsid w:val="002B7EC5"/>
    <w:rsid w:val="002B7EEE"/>
    <w:rsid w:val="002C0010"/>
    <w:rsid w:val="002C0108"/>
    <w:rsid w:val="002C0497"/>
    <w:rsid w:val="002C0A44"/>
    <w:rsid w:val="002C0C9F"/>
    <w:rsid w:val="002C0E9C"/>
    <w:rsid w:val="002C0F98"/>
    <w:rsid w:val="002C1427"/>
    <w:rsid w:val="002C1433"/>
    <w:rsid w:val="002C15BE"/>
    <w:rsid w:val="002C1701"/>
    <w:rsid w:val="002C1733"/>
    <w:rsid w:val="002C1BEF"/>
    <w:rsid w:val="002C214F"/>
    <w:rsid w:val="002C2581"/>
    <w:rsid w:val="002C2936"/>
    <w:rsid w:val="002C2AE6"/>
    <w:rsid w:val="002C2B26"/>
    <w:rsid w:val="002C2C68"/>
    <w:rsid w:val="002C3326"/>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26"/>
    <w:rsid w:val="002C505C"/>
    <w:rsid w:val="002C5295"/>
    <w:rsid w:val="002C5325"/>
    <w:rsid w:val="002C5485"/>
    <w:rsid w:val="002C566C"/>
    <w:rsid w:val="002C5D58"/>
    <w:rsid w:val="002C5D84"/>
    <w:rsid w:val="002C5F71"/>
    <w:rsid w:val="002C5FB0"/>
    <w:rsid w:val="002C606C"/>
    <w:rsid w:val="002C6096"/>
    <w:rsid w:val="002C63D1"/>
    <w:rsid w:val="002C6436"/>
    <w:rsid w:val="002C6488"/>
    <w:rsid w:val="002C64AA"/>
    <w:rsid w:val="002C6548"/>
    <w:rsid w:val="002C6787"/>
    <w:rsid w:val="002C69FD"/>
    <w:rsid w:val="002C6B8B"/>
    <w:rsid w:val="002C6DFE"/>
    <w:rsid w:val="002C72C0"/>
    <w:rsid w:val="002C75D6"/>
    <w:rsid w:val="002C7681"/>
    <w:rsid w:val="002C768D"/>
    <w:rsid w:val="002C76E8"/>
    <w:rsid w:val="002C78B0"/>
    <w:rsid w:val="002C78BA"/>
    <w:rsid w:val="002C7FCC"/>
    <w:rsid w:val="002D020A"/>
    <w:rsid w:val="002D050B"/>
    <w:rsid w:val="002D0512"/>
    <w:rsid w:val="002D0600"/>
    <w:rsid w:val="002D0BD6"/>
    <w:rsid w:val="002D130F"/>
    <w:rsid w:val="002D1378"/>
    <w:rsid w:val="002D13E0"/>
    <w:rsid w:val="002D14E2"/>
    <w:rsid w:val="002D1582"/>
    <w:rsid w:val="002D1608"/>
    <w:rsid w:val="002D1984"/>
    <w:rsid w:val="002D1A17"/>
    <w:rsid w:val="002D2034"/>
    <w:rsid w:val="002D2105"/>
    <w:rsid w:val="002D266D"/>
    <w:rsid w:val="002D26EB"/>
    <w:rsid w:val="002D283F"/>
    <w:rsid w:val="002D2906"/>
    <w:rsid w:val="002D2AA8"/>
    <w:rsid w:val="002D2B43"/>
    <w:rsid w:val="002D2E37"/>
    <w:rsid w:val="002D2EE0"/>
    <w:rsid w:val="002D2FA1"/>
    <w:rsid w:val="002D3328"/>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9AA"/>
    <w:rsid w:val="002D5B86"/>
    <w:rsid w:val="002D5BE1"/>
    <w:rsid w:val="002D5E24"/>
    <w:rsid w:val="002D5F64"/>
    <w:rsid w:val="002D60C3"/>
    <w:rsid w:val="002D60CE"/>
    <w:rsid w:val="002D610E"/>
    <w:rsid w:val="002D61EC"/>
    <w:rsid w:val="002D6290"/>
    <w:rsid w:val="002D62AA"/>
    <w:rsid w:val="002D62CF"/>
    <w:rsid w:val="002D6533"/>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755"/>
    <w:rsid w:val="002E09A8"/>
    <w:rsid w:val="002E0C15"/>
    <w:rsid w:val="002E0C94"/>
    <w:rsid w:val="002E1022"/>
    <w:rsid w:val="002E114B"/>
    <w:rsid w:val="002E11B1"/>
    <w:rsid w:val="002E1243"/>
    <w:rsid w:val="002E1271"/>
    <w:rsid w:val="002E1305"/>
    <w:rsid w:val="002E1574"/>
    <w:rsid w:val="002E16E1"/>
    <w:rsid w:val="002E1A8D"/>
    <w:rsid w:val="002E2042"/>
    <w:rsid w:val="002E2349"/>
    <w:rsid w:val="002E23D2"/>
    <w:rsid w:val="002E2491"/>
    <w:rsid w:val="002E267E"/>
    <w:rsid w:val="002E27D8"/>
    <w:rsid w:val="002E2EEA"/>
    <w:rsid w:val="002E3021"/>
    <w:rsid w:val="002E3070"/>
    <w:rsid w:val="002E308E"/>
    <w:rsid w:val="002E32E4"/>
    <w:rsid w:val="002E3506"/>
    <w:rsid w:val="002E37D0"/>
    <w:rsid w:val="002E37DE"/>
    <w:rsid w:val="002E38E0"/>
    <w:rsid w:val="002E3947"/>
    <w:rsid w:val="002E3ABA"/>
    <w:rsid w:val="002E3BA9"/>
    <w:rsid w:val="002E4075"/>
    <w:rsid w:val="002E42CE"/>
    <w:rsid w:val="002E42F9"/>
    <w:rsid w:val="002E431C"/>
    <w:rsid w:val="002E4CBE"/>
    <w:rsid w:val="002E4D21"/>
    <w:rsid w:val="002E4EBA"/>
    <w:rsid w:val="002E4FC2"/>
    <w:rsid w:val="002E50BC"/>
    <w:rsid w:val="002E56A2"/>
    <w:rsid w:val="002E5C2E"/>
    <w:rsid w:val="002E5F88"/>
    <w:rsid w:val="002E60B1"/>
    <w:rsid w:val="002E62E4"/>
    <w:rsid w:val="002E655B"/>
    <w:rsid w:val="002E6617"/>
    <w:rsid w:val="002E6982"/>
    <w:rsid w:val="002E69A5"/>
    <w:rsid w:val="002E6AB8"/>
    <w:rsid w:val="002E6AE5"/>
    <w:rsid w:val="002E6C26"/>
    <w:rsid w:val="002E739A"/>
    <w:rsid w:val="002E7441"/>
    <w:rsid w:val="002E7457"/>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1"/>
    <w:rsid w:val="002F06A3"/>
    <w:rsid w:val="002F070A"/>
    <w:rsid w:val="002F0E6B"/>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571"/>
    <w:rsid w:val="002F27A5"/>
    <w:rsid w:val="002F29C9"/>
    <w:rsid w:val="002F2A14"/>
    <w:rsid w:val="002F2A68"/>
    <w:rsid w:val="002F2A95"/>
    <w:rsid w:val="002F2AE0"/>
    <w:rsid w:val="002F2D46"/>
    <w:rsid w:val="002F2DC8"/>
    <w:rsid w:val="002F2F31"/>
    <w:rsid w:val="002F3328"/>
    <w:rsid w:val="002F35BF"/>
    <w:rsid w:val="002F3657"/>
    <w:rsid w:val="002F3C2F"/>
    <w:rsid w:val="002F3E09"/>
    <w:rsid w:val="002F3FDB"/>
    <w:rsid w:val="002F401E"/>
    <w:rsid w:val="002F4139"/>
    <w:rsid w:val="002F4172"/>
    <w:rsid w:val="002F4247"/>
    <w:rsid w:val="002F43E7"/>
    <w:rsid w:val="002F44C1"/>
    <w:rsid w:val="002F478B"/>
    <w:rsid w:val="002F485E"/>
    <w:rsid w:val="002F4969"/>
    <w:rsid w:val="002F4A87"/>
    <w:rsid w:val="002F4C32"/>
    <w:rsid w:val="002F4D75"/>
    <w:rsid w:val="002F50EE"/>
    <w:rsid w:val="002F5204"/>
    <w:rsid w:val="002F5236"/>
    <w:rsid w:val="002F5311"/>
    <w:rsid w:val="002F5480"/>
    <w:rsid w:val="002F559D"/>
    <w:rsid w:val="002F5629"/>
    <w:rsid w:val="002F57B6"/>
    <w:rsid w:val="002F5854"/>
    <w:rsid w:val="002F5879"/>
    <w:rsid w:val="002F593A"/>
    <w:rsid w:val="002F5E76"/>
    <w:rsid w:val="002F5FB3"/>
    <w:rsid w:val="002F6106"/>
    <w:rsid w:val="002F622A"/>
    <w:rsid w:val="002F62A1"/>
    <w:rsid w:val="002F639A"/>
    <w:rsid w:val="002F661C"/>
    <w:rsid w:val="002F689C"/>
    <w:rsid w:val="002F6A4C"/>
    <w:rsid w:val="002F6A99"/>
    <w:rsid w:val="002F6C2E"/>
    <w:rsid w:val="002F6FDD"/>
    <w:rsid w:val="002F7260"/>
    <w:rsid w:val="002F72A8"/>
    <w:rsid w:val="002F7BCD"/>
    <w:rsid w:val="002F7EB1"/>
    <w:rsid w:val="002F7FA6"/>
    <w:rsid w:val="002F7FE9"/>
    <w:rsid w:val="00300290"/>
    <w:rsid w:val="0030052B"/>
    <w:rsid w:val="00300B2C"/>
    <w:rsid w:val="00300D36"/>
    <w:rsid w:val="00300E6C"/>
    <w:rsid w:val="003011E1"/>
    <w:rsid w:val="003012FB"/>
    <w:rsid w:val="003013B3"/>
    <w:rsid w:val="00301614"/>
    <w:rsid w:val="003018ED"/>
    <w:rsid w:val="00301EA8"/>
    <w:rsid w:val="00301EF5"/>
    <w:rsid w:val="00301F3C"/>
    <w:rsid w:val="00301F9D"/>
    <w:rsid w:val="003020CE"/>
    <w:rsid w:val="003023A5"/>
    <w:rsid w:val="0030252F"/>
    <w:rsid w:val="00302695"/>
    <w:rsid w:val="00302837"/>
    <w:rsid w:val="00302C13"/>
    <w:rsid w:val="00302EC0"/>
    <w:rsid w:val="00303060"/>
    <w:rsid w:val="003030A3"/>
    <w:rsid w:val="003032AC"/>
    <w:rsid w:val="00303311"/>
    <w:rsid w:val="00303628"/>
    <w:rsid w:val="00303744"/>
    <w:rsid w:val="00303901"/>
    <w:rsid w:val="0030394A"/>
    <w:rsid w:val="00303DDE"/>
    <w:rsid w:val="00303F6C"/>
    <w:rsid w:val="0030400A"/>
    <w:rsid w:val="00304419"/>
    <w:rsid w:val="0030458E"/>
    <w:rsid w:val="003045F9"/>
    <w:rsid w:val="003048E7"/>
    <w:rsid w:val="0030494D"/>
    <w:rsid w:val="00304991"/>
    <w:rsid w:val="00304CB1"/>
    <w:rsid w:val="003052BD"/>
    <w:rsid w:val="00305425"/>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BCA"/>
    <w:rsid w:val="00306CC4"/>
    <w:rsid w:val="00306DA0"/>
    <w:rsid w:val="00306EFA"/>
    <w:rsid w:val="003071C9"/>
    <w:rsid w:val="003074D9"/>
    <w:rsid w:val="0030780C"/>
    <w:rsid w:val="00307846"/>
    <w:rsid w:val="00307DC2"/>
    <w:rsid w:val="0031000C"/>
    <w:rsid w:val="00310123"/>
    <w:rsid w:val="00310887"/>
    <w:rsid w:val="00310957"/>
    <w:rsid w:val="00310F19"/>
    <w:rsid w:val="003117C7"/>
    <w:rsid w:val="00311843"/>
    <w:rsid w:val="003118C7"/>
    <w:rsid w:val="003118CB"/>
    <w:rsid w:val="00311B49"/>
    <w:rsid w:val="003120E5"/>
    <w:rsid w:val="00312194"/>
    <w:rsid w:val="00312236"/>
    <w:rsid w:val="00312884"/>
    <w:rsid w:val="003128FF"/>
    <w:rsid w:val="003129B2"/>
    <w:rsid w:val="00312CCE"/>
    <w:rsid w:val="00312F16"/>
    <w:rsid w:val="00312F34"/>
    <w:rsid w:val="00312FD6"/>
    <w:rsid w:val="0031302C"/>
    <w:rsid w:val="0031311A"/>
    <w:rsid w:val="00313312"/>
    <w:rsid w:val="00313415"/>
    <w:rsid w:val="0031365C"/>
    <w:rsid w:val="003138B6"/>
    <w:rsid w:val="0031397F"/>
    <w:rsid w:val="00313CA3"/>
    <w:rsid w:val="00313CFB"/>
    <w:rsid w:val="003141EC"/>
    <w:rsid w:val="00314296"/>
    <w:rsid w:val="00314424"/>
    <w:rsid w:val="003145BD"/>
    <w:rsid w:val="00314783"/>
    <w:rsid w:val="003147DD"/>
    <w:rsid w:val="00314A9F"/>
    <w:rsid w:val="00314F7E"/>
    <w:rsid w:val="00315002"/>
    <w:rsid w:val="00315212"/>
    <w:rsid w:val="003153DC"/>
    <w:rsid w:val="003153EC"/>
    <w:rsid w:val="0031541B"/>
    <w:rsid w:val="00315484"/>
    <w:rsid w:val="00315BC1"/>
    <w:rsid w:val="00315DD4"/>
    <w:rsid w:val="003161D5"/>
    <w:rsid w:val="00316375"/>
    <w:rsid w:val="003167AA"/>
    <w:rsid w:val="00316B70"/>
    <w:rsid w:val="00317166"/>
    <w:rsid w:val="00317519"/>
    <w:rsid w:val="00317761"/>
    <w:rsid w:val="00317B4C"/>
    <w:rsid w:val="00317B5D"/>
    <w:rsid w:val="00317BCF"/>
    <w:rsid w:val="00317BD2"/>
    <w:rsid w:val="00317D1F"/>
    <w:rsid w:val="00317EAB"/>
    <w:rsid w:val="00317F82"/>
    <w:rsid w:val="0032038F"/>
    <w:rsid w:val="00320569"/>
    <w:rsid w:val="003208E5"/>
    <w:rsid w:val="00320F96"/>
    <w:rsid w:val="0032100B"/>
    <w:rsid w:val="00321245"/>
    <w:rsid w:val="00321550"/>
    <w:rsid w:val="00321564"/>
    <w:rsid w:val="003215CD"/>
    <w:rsid w:val="0032160D"/>
    <w:rsid w:val="003216FE"/>
    <w:rsid w:val="00321916"/>
    <w:rsid w:val="00321B89"/>
    <w:rsid w:val="00321DEC"/>
    <w:rsid w:val="00322120"/>
    <w:rsid w:val="003221A2"/>
    <w:rsid w:val="00322387"/>
    <w:rsid w:val="0032246F"/>
    <w:rsid w:val="00322519"/>
    <w:rsid w:val="0032272B"/>
    <w:rsid w:val="003227FA"/>
    <w:rsid w:val="003228D4"/>
    <w:rsid w:val="00322C9E"/>
    <w:rsid w:val="00322F6C"/>
    <w:rsid w:val="0032328C"/>
    <w:rsid w:val="0032330A"/>
    <w:rsid w:val="0032355B"/>
    <w:rsid w:val="003236C8"/>
    <w:rsid w:val="003238D1"/>
    <w:rsid w:val="003238EF"/>
    <w:rsid w:val="003239F9"/>
    <w:rsid w:val="00323D55"/>
    <w:rsid w:val="00323F1E"/>
    <w:rsid w:val="00324015"/>
    <w:rsid w:val="00324075"/>
    <w:rsid w:val="00324199"/>
    <w:rsid w:val="003242DB"/>
    <w:rsid w:val="003243ED"/>
    <w:rsid w:val="0032442F"/>
    <w:rsid w:val="00324875"/>
    <w:rsid w:val="00324AEC"/>
    <w:rsid w:val="00324C08"/>
    <w:rsid w:val="00324ED3"/>
    <w:rsid w:val="003254ED"/>
    <w:rsid w:val="0032562F"/>
    <w:rsid w:val="00325801"/>
    <w:rsid w:val="00325810"/>
    <w:rsid w:val="00325B91"/>
    <w:rsid w:val="00325DD5"/>
    <w:rsid w:val="00325F65"/>
    <w:rsid w:val="00325F8A"/>
    <w:rsid w:val="003262AF"/>
    <w:rsid w:val="00326533"/>
    <w:rsid w:val="003265DF"/>
    <w:rsid w:val="0032676F"/>
    <w:rsid w:val="00326A3D"/>
    <w:rsid w:val="00326BB5"/>
    <w:rsid w:val="00326DF8"/>
    <w:rsid w:val="00326EF0"/>
    <w:rsid w:val="00327014"/>
    <w:rsid w:val="00327073"/>
    <w:rsid w:val="003279A9"/>
    <w:rsid w:val="00327B0E"/>
    <w:rsid w:val="00327BDB"/>
    <w:rsid w:val="00327C3D"/>
    <w:rsid w:val="00327EC5"/>
    <w:rsid w:val="00330140"/>
    <w:rsid w:val="00330630"/>
    <w:rsid w:val="0033098B"/>
    <w:rsid w:val="00330B29"/>
    <w:rsid w:val="00330C92"/>
    <w:rsid w:val="00331180"/>
    <w:rsid w:val="0033164F"/>
    <w:rsid w:val="00331AA0"/>
    <w:rsid w:val="00331BEE"/>
    <w:rsid w:val="00331D3A"/>
    <w:rsid w:val="00331D70"/>
    <w:rsid w:val="00331DE4"/>
    <w:rsid w:val="0033216E"/>
    <w:rsid w:val="00332212"/>
    <w:rsid w:val="00332573"/>
    <w:rsid w:val="0033258A"/>
    <w:rsid w:val="0033276B"/>
    <w:rsid w:val="0033279F"/>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87"/>
    <w:rsid w:val="00334F9C"/>
    <w:rsid w:val="003352A4"/>
    <w:rsid w:val="0033565D"/>
    <w:rsid w:val="00335736"/>
    <w:rsid w:val="0033579E"/>
    <w:rsid w:val="00335B23"/>
    <w:rsid w:val="00335B76"/>
    <w:rsid w:val="00335C8D"/>
    <w:rsid w:val="00335DF8"/>
    <w:rsid w:val="00336074"/>
    <w:rsid w:val="00336281"/>
    <w:rsid w:val="003363AF"/>
    <w:rsid w:val="0033654C"/>
    <w:rsid w:val="003365AD"/>
    <w:rsid w:val="00336BBC"/>
    <w:rsid w:val="00336C26"/>
    <w:rsid w:val="00336CC4"/>
    <w:rsid w:val="00337311"/>
    <w:rsid w:val="003373F0"/>
    <w:rsid w:val="003374E0"/>
    <w:rsid w:val="00337521"/>
    <w:rsid w:val="0033781F"/>
    <w:rsid w:val="00337A2B"/>
    <w:rsid w:val="00337B7A"/>
    <w:rsid w:val="00337D2D"/>
    <w:rsid w:val="00340013"/>
    <w:rsid w:val="003405F6"/>
    <w:rsid w:val="0034081B"/>
    <w:rsid w:val="0034083E"/>
    <w:rsid w:val="00340947"/>
    <w:rsid w:val="00340A50"/>
    <w:rsid w:val="00340A9D"/>
    <w:rsid w:val="00340C11"/>
    <w:rsid w:val="00340FB1"/>
    <w:rsid w:val="00341198"/>
    <w:rsid w:val="00341389"/>
    <w:rsid w:val="0034139A"/>
    <w:rsid w:val="003414AB"/>
    <w:rsid w:val="003417AA"/>
    <w:rsid w:val="00341A60"/>
    <w:rsid w:val="00341A94"/>
    <w:rsid w:val="00341B85"/>
    <w:rsid w:val="00342071"/>
    <w:rsid w:val="00342351"/>
    <w:rsid w:val="00342409"/>
    <w:rsid w:val="0034241A"/>
    <w:rsid w:val="00342622"/>
    <w:rsid w:val="00342647"/>
    <w:rsid w:val="00342A5E"/>
    <w:rsid w:val="00342C50"/>
    <w:rsid w:val="00342CBC"/>
    <w:rsid w:val="00343017"/>
    <w:rsid w:val="003431C0"/>
    <w:rsid w:val="00343260"/>
    <w:rsid w:val="003434A0"/>
    <w:rsid w:val="003434B0"/>
    <w:rsid w:val="00343502"/>
    <w:rsid w:val="00343ADD"/>
    <w:rsid w:val="00343CDE"/>
    <w:rsid w:val="00343E30"/>
    <w:rsid w:val="00343F51"/>
    <w:rsid w:val="00343FAA"/>
    <w:rsid w:val="00343FEC"/>
    <w:rsid w:val="00343FFC"/>
    <w:rsid w:val="0034401B"/>
    <w:rsid w:val="00344361"/>
    <w:rsid w:val="00344638"/>
    <w:rsid w:val="00344701"/>
    <w:rsid w:val="0034481D"/>
    <w:rsid w:val="0034483D"/>
    <w:rsid w:val="00344960"/>
    <w:rsid w:val="00344C5A"/>
    <w:rsid w:val="00344D4B"/>
    <w:rsid w:val="00344E2B"/>
    <w:rsid w:val="00344E6F"/>
    <w:rsid w:val="00344EA7"/>
    <w:rsid w:val="00345004"/>
    <w:rsid w:val="0034525D"/>
    <w:rsid w:val="00345542"/>
    <w:rsid w:val="0034598B"/>
    <w:rsid w:val="003459C5"/>
    <w:rsid w:val="00345B3E"/>
    <w:rsid w:val="00345ECE"/>
    <w:rsid w:val="00345F72"/>
    <w:rsid w:val="00345F8D"/>
    <w:rsid w:val="00346067"/>
    <w:rsid w:val="0034640C"/>
    <w:rsid w:val="00346550"/>
    <w:rsid w:val="003465B5"/>
    <w:rsid w:val="0034677F"/>
    <w:rsid w:val="0034694E"/>
    <w:rsid w:val="00346A60"/>
    <w:rsid w:val="00346B96"/>
    <w:rsid w:val="00346D48"/>
    <w:rsid w:val="00346FF8"/>
    <w:rsid w:val="0034702A"/>
    <w:rsid w:val="00347376"/>
    <w:rsid w:val="00347469"/>
    <w:rsid w:val="00347640"/>
    <w:rsid w:val="003477EE"/>
    <w:rsid w:val="00347D0F"/>
    <w:rsid w:val="00347FC8"/>
    <w:rsid w:val="003500EA"/>
    <w:rsid w:val="00350257"/>
    <w:rsid w:val="0035027E"/>
    <w:rsid w:val="003502D8"/>
    <w:rsid w:val="00350313"/>
    <w:rsid w:val="0035078B"/>
    <w:rsid w:val="003507DE"/>
    <w:rsid w:val="00350907"/>
    <w:rsid w:val="003509F1"/>
    <w:rsid w:val="00350B28"/>
    <w:rsid w:val="00350E34"/>
    <w:rsid w:val="00351287"/>
    <w:rsid w:val="00351D44"/>
    <w:rsid w:val="00351EC8"/>
    <w:rsid w:val="003520B9"/>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673"/>
    <w:rsid w:val="00355701"/>
    <w:rsid w:val="00355918"/>
    <w:rsid w:val="00355927"/>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017"/>
    <w:rsid w:val="003612FE"/>
    <w:rsid w:val="00361416"/>
    <w:rsid w:val="00361676"/>
    <w:rsid w:val="003618D3"/>
    <w:rsid w:val="00361FDB"/>
    <w:rsid w:val="00362006"/>
    <w:rsid w:val="003620F1"/>
    <w:rsid w:val="003620F2"/>
    <w:rsid w:val="00362575"/>
    <w:rsid w:val="0036271B"/>
    <w:rsid w:val="003627B1"/>
    <w:rsid w:val="003628C6"/>
    <w:rsid w:val="0036294C"/>
    <w:rsid w:val="00362A42"/>
    <w:rsid w:val="00362B8C"/>
    <w:rsid w:val="00362D2B"/>
    <w:rsid w:val="00362E2B"/>
    <w:rsid w:val="00363134"/>
    <w:rsid w:val="00363252"/>
    <w:rsid w:val="00363446"/>
    <w:rsid w:val="003634B7"/>
    <w:rsid w:val="00363EAE"/>
    <w:rsid w:val="00363ED7"/>
    <w:rsid w:val="003642BE"/>
    <w:rsid w:val="003643A1"/>
    <w:rsid w:val="00364454"/>
    <w:rsid w:val="00364924"/>
    <w:rsid w:val="0036492F"/>
    <w:rsid w:val="00364963"/>
    <w:rsid w:val="00364E70"/>
    <w:rsid w:val="003650CC"/>
    <w:rsid w:val="00365470"/>
    <w:rsid w:val="00365A5E"/>
    <w:rsid w:val="00365B44"/>
    <w:rsid w:val="00365B5B"/>
    <w:rsid w:val="00365CB1"/>
    <w:rsid w:val="00365D8D"/>
    <w:rsid w:val="00365E26"/>
    <w:rsid w:val="00365E87"/>
    <w:rsid w:val="00365ECA"/>
    <w:rsid w:val="00365FC0"/>
    <w:rsid w:val="00366190"/>
    <w:rsid w:val="00366464"/>
    <w:rsid w:val="00366775"/>
    <w:rsid w:val="00366997"/>
    <w:rsid w:val="00366A13"/>
    <w:rsid w:val="00367292"/>
    <w:rsid w:val="00367440"/>
    <w:rsid w:val="003678AB"/>
    <w:rsid w:val="00367C11"/>
    <w:rsid w:val="00367D46"/>
    <w:rsid w:val="00367D76"/>
    <w:rsid w:val="00367DD0"/>
    <w:rsid w:val="00367DE0"/>
    <w:rsid w:val="00370091"/>
    <w:rsid w:val="003702AD"/>
    <w:rsid w:val="003703B0"/>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6E7"/>
    <w:rsid w:val="0037477E"/>
    <w:rsid w:val="00374BE3"/>
    <w:rsid w:val="003752F6"/>
    <w:rsid w:val="00375389"/>
    <w:rsid w:val="0037574A"/>
    <w:rsid w:val="0037589F"/>
    <w:rsid w:val="003759E1"/>
    <w:rsid w:val="00375AC6"/>
    <w:rsid w:val="00375BD4"/>
    <w:rsid w:val="00375F4C"/>
    <w:rsid w:val="00376243"/>
    <w:rsid w:val="003762A8"/>
    <w:rsid w:val="0037654E"/>
    <w:rsid w:val="00376680"/>
    <w:rsid w:val="0037688C"/>
    <w:rsid w:val="00376B0D"/>
    <w:rsid w:val="00376C3D"/>
    <w:rsid w:val="00376DBA"/>
    <w:rsid w:val="00376E9C"/>
    <w:rsid w:val="00376F01"/>
    <w:rsid w:val="003770F9"/>
    <w:rsid w:val="0037725A"/>
    <w:rsid w:val="003772A7"/>
    <w:rsid w:val="003772C5"/>
    <w:rsid w:val="0037736D"/>
    <w:rsid w:val="00377590"/>
    <w:rsid w:val="00377749"/>
    <w:rsid w:val="00377867"/>
    <w:rsid w:val="0037799B"/>
    <w:rsid w:val="00377C43"/>
    <w:rsid w:val="00377CA0"/>
    <w:rsid w:val="00377D13"/>
    <w:rsid w:val="00380069"/>
    <w:rsid w:val="003800BD"/>
    <w:rsid w:val="00380159"/>
    <w:rsid w:val="003802DB"/>
    <w:rsid w:val="003804D6"/>
    <w:rsid w:val="00380669"/>
    <w:rsid w:val="0038066C"/>
    <w:rsid w:val="00380913"/>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55F"/>
    <w:rsid w:val="0038384F"/>
    <w:rsid w:val="00383F47"/>
    <w:rsid w:val="0038435D"/>
    <w:rsid w:val="0038458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82"/>
    <w:rsid w:val="0038729A"/>
    <w:rsid w:val="003873E6"/>
    <w:rsid w:val="003875B5"/>
    <w:rsid w:val="003879EC"/>
    <w:rsid w:val="00387BC1"/>
    <w:rsid w:val="00387CD0"/>
    <w:rsid w:val="00390043"/>
    <w:rsid w:val="003900A2"/>
    <w:rsid w:val="00390357"/>
    <w:rsid w:val="00390464"/>
    <w:rsid w:val="00390522"/>
    <w:rsid w:val="003905B0"/>
    <w:rsid w:val="00390905"/>
    <w:rsid w:val="00390975"/>
    <w:rsid w:val="00390AA3"/>
    <w:rsid w:val="00390C6C"/>
    <w:rsid w:val="00390C7B"/>
    <w:rsid w:val="00390D60"/>
    <w:rsid w:val="00390E47"/>
    <w:rsid w:val="003910EA"/>
    <w:rsid w:val="003913B3"/>
    <w:rsid w:val="00391538"/>
    <w:rsid w:val="00391556"/>
    <w:rsid w:val="00391627"/>
    <w:rsid w:val="003917CF"/>
    <w:rsid w:val="003918F9"/>
    <w:rsid w:val="00391A32"/>
    <w:rsid w:val="00391D06"/>
    <w:rsid w:val="00391FA0"/>
    <w:rsid w:val="00391FA2"/>
    <w:rsid w:val="003920B3"/>
    <w:rsid w:val="00392422"/>
    <w:rsid w:val="003924F0"/>
    <w:rsid w:val="003927C7"/>
    <w:rsid w:val="00392B3D"/>
    <w:rsid w:val="00392C77"/>
    <w:rsid w:val="00392D91"/>
    <w:rsid w:val="00392FB3"/>
    <w:rsid w:val="0039304B"/>
    <w:rsid w:val="003936C7"/>
    <w:rsid w:val="00393AA6"/>
    <w:rsid w:val="00394111"/>
    <w:rsid w:val="003943DA"/>
    <w:rsid w:val="0039440E"/>
    <w:rsid w:val="00394AAB"/>
    <w:rsid w:val="00394DFC"/>
    <w:rsid w:val="00394E64"/>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A35"/>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891"/>
    <w:rsid w:val="003A49FB"/>
    <w:rsid w:val="003A4F92"/>
    <w:rsid w:val="003A4FC7"/>
    <w:rsid w:val="003A5003"/>
    <w:rsid w:val="003A50AF"/>
    <w:rsid w:val="003A518A"/>
    <w:rsid w:val="003A51B7"/>
    <w:rsid w:val="003A557F"/>
    <w:rsid w:val="003A56BC"/>
    <w:rsid w:val="003A57BA"/>
    <w:rsid w:val="003A586D"/>
    <w:rsid w:val="003A5988"/>
    <w:rsid w:val="003A5B4B"/>
    <w:rsid w:val="003A64B7"/>
    <w:rsid w:val="003A69A3"/>
    <w:rsid w:val="003A6A27"/>
    <w:rsid w:val="003A6B0E"/>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4E4"/>
    <w:rsid w:val="003B1981"/>
    <w:rsid w:val="003B19D8"/>
    <w:rsid w:val="003B1A20"/>
    <w:rsid w:val="003B1A51"/>
    <w:rsid w:val="003B1B93"/>
    <w:rsid w:val="003B1D0E"/>
    <w:rsid w:val="003B2348"/>
    <w:rsid w:val="003B24C9"/>
    <w:rsid w:val="003B25C3"/>
    <w:rsid w:val="003B2876"/>
    <w:rsid w:val="003B2900"/>
    <w:rsid w:val="003B291F"/>
    <w:rsid w:val="003B2A91"/>
    <w:rsid w:val="003B2BD9"/>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5E1"/>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ECF"/>
    <w:rsid w:val="003B5F27"/>
    <w:rsid w:val="003B6115"/>
    <w:rsid w:val="003B6157"/>
    <w:rsid w:val="003B6175"/>
    <w:rsid w:val="003B6481"/>
    <w:rsid w:val="003B6607"/>
    <w:rsid w:val="003B673F"/>
    <w:rsid w:val="003B6C6D"/>
    <w:rsid w:val="003B6CE7"/>
    <w:rsid w:val="003B6DBD"/>
    <w:rsid w:val="003B6EBA"/>
    <w:rsid w:val="003B6EFA"/>
    <w:rsid w:val="003B7016"/>
    <w:rsid w:val="003B7BEE"/>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CEF"/>
    <w:rsid w:val="003C400B"/>
    <w:rsid w:val="003C4145"/>
    <w:rsid w:val="003C42F7"/>
    <w:rsid w:val="003C449E"/>
    <w:rsid w:val="003C459B"/>
    <w:rsid w:val="003C4851"/>
    <w:rsid w:val="003C48CB"/>
    <w:rsid w:val="003C492E"/>
    <w:rsid w:val="003C4A00"/>
    <w:rsid w:val="003C4B1A"/>
    <w:rsid w:val="003C4C00"/>
    <w:rsid w:val="003C504C"/>
    <w:rsid w:val="003C50EC"/>
    <w:rsid w:val="003C514C"/>
    <w:rsid w:val="003C516F"/>
    <w:rsid w:val="003C549B"/>
    <w:rsid w:val="003C5556"/>
    <w:rsid w:val="003C561C"/>
    <w:rsid w:val="003C58EB"/>
    <w:rsid w:val="003C593E"/>
    <w:rsid w:val="003C5F9D"/>
    <w:rsid w:val="003C655A"/>
    <w:rsid w:val="003C6592"/>
    <w:rsid w:val="003C6893"/>
    <w:rsid w:val="003C69E5"/>
    <w:rsid w:val="003C6A27"/>
    <w:rsid w:val="003C6CD9"/>
    <w:rsid w:val="003C6F5D"/>
    <w:rsid w:val="003C7354"/>
    <w:rsid w:val="003C759A"/>
    <w:rsid w:val="003C762F"/>
    <w:rsid w:val="003C7683"/>
    <w:rsid w:val="003C7779"/>
    <w:rsid w:val="003C7978"/>
    <w:rsid w:val="003C797C"/>
    <w:rsid w:val="003C7BFB"/>
    <w:rsid w:val="003C7F0C"/>
    <w:rsid w:val="003D00B7"/>
    <w:rsid w:val="003D0167"/>
    <w:rsid w:val="003D02FF"/>
    <w:rsid w:val="003D05EE"/>
    <w:rsid w:val="003D082A"/>
    <w:rsid w:val="003D09FA"/>
    <w:rsid w:val="003D0E1B"/>
    <w:rsid w:val="003D0E2A"/>
    <w:rsid w:val="003D0F20"/>
    <w:rsid w:val="003D1363"/>
    <w:rsid w:val="003D14D0"/>
    <w:rsid w:val="003D15C1"/>
    <w:rsid w:val="003D1E0A"/>
    <w:rsid w:val="003D1F41"/>
    <w:rsid w:val="003D20A8"/>
    <w:rsid w:val="003D20CC"/>
    <w:rsid w:val="003D2158"/>
    <w:rsid w:val="003D23FD"/>
    <w:rsid w:val="003D2471"/>
    <w:rsid w:val="003D2B9E"/>
    <w:rsid w:val="003D2BB4"/>
    <w:rsid w:val="003D2C51"/>
    <w:rsid w:val="003D2E28"/>
    <w:rsid w:val="003D2ECC"/>
    <w:rsid w:val="003D2F16"/>
    <w:rsid w:val="003D3060"/>
    <w:rsid w:val="003D37D6"/>
    <w:rsid w:val="003D3BFC"/>
    <w:rsid w:val="003D3CF7"/>
    <w:rsid w:val="003D3F9E"/>
    <w:rsid w:val="003D4018"/>
    <w:rsid w:val="003D4614"/>
    <w:rsid w:val="003D467E"/>
    <w:rsid w:val="003D4879"/>
    <w:rsid w:val="003D4EC1"/>
    <w:rsid w:val="003D51BB"/>
    <w:rsid w:val="003D529F"/>
    <w:rsid w:val="003D52E6"/>
    <w:rsid w:val="003D5825"/>
    <w:rsid w:val="003D5926"/>
    <w:rsid w:val="003D5970"/>
    <w:rsid w:val="003D5A85"/>
    <w:rsid w:val="003D5A9E"/>
    <w:rsid w:val="003D5CF7"/>
    <w:rsid w:val="003D5E03"/>
    <w:rsid w:val="003D5F42"/>
    <w:rsid w:val="003D61F2"/>
    <w:rsid w:val="003D62D6"/>
    <w:rsid w:val="003D643F"/>
    <w:rsid w:val="003D646E"/>
    <w:rsid w:val="003D664A"/>
    <w:rsid w:val="003D66BB"/>
    <w:rsid w:val="003D6AB5"/>
    <w:rsid w:val="003D6CE4"/>
    <w:rsid w:val="003D6D71"/>
    <w:rsid w:val="003D6DB9"/>
    <w:rsid w:val="003D6DD1"/>
    <w:rsid w:val="003D740C"/>
    <w:rsid w:val="003D76DF"/>
    <w:rsid w:val="003D76E5"/>
    <w:rsid w:val="003D76F0"/>
    <w:rsid w:val="003D7BB3"/>
    <w:rsid w:val="003E023B"/>
    <w:rsid w:val="003E03C2"/>
    <w:rsid w:val="003E04EB"/>
    <w:rsid w:val="003E05EA"/>
    <w:rsid w:val="003E0683"/>
    <w:rsid w:val="003E0C18"/>
    <w:rsid w:val="003E0D9C"/>
    <w:rsid w:val="003E0EF4"/>
    <w:rsid w:val="003E1306"/>
    <w:rsid w:val="003E1412"/>
    <w:rsid w:val="003E1568"/>
    <w:rsid w:val="003E1846"/>
    <w:rsid w:val="003E1A4A"/>
    <w:rsid w:val="003E1B1B"/>
    <w:rsid w:val="003E1C08"/>
    <w:rsid w:val="003E1C34"/>
    <w:rsid w:val="003E1CE9"/>
    <w:rsid w:val="003E1F06"/>
    <w:rsid w:val="003E21E8"/>
    <w:rsid w:val="003E222C"/>
    <w:rsid w:val="003E23C6"/>
    <w:rsid w:val="003E28C5"/>
    <w:rsid w:val="003E3024"/>
    <w:rsid w:val="003E3051"/>
    <w:rsid w:val="003E350A"/>
    <w:rsid w:val="003E3608"/>
    <w:rsid w:val="003E36F4"/>
    <w:rsid w:val="003E384F"/>
    <w:rsid w:val="003E38FE"/>
    <w:rsid w:val="003E3B68"/>
    <w:rsid w:val="003E3C00"/>
    <w:rsid w:val="003E3DB0"/>
    <w:rsid w:val="003E3E3E"/>
    <w:rsid w:val="003E3FF1"/>
    <w:rsid w:val="003E40A7"/>
    <w:rsid w:val="003E4199"/>
    <w:rsid w:val="003E4204"/>
    <w:rsid w:val="003E58CC"/>
    <w:rsid w:val="003E59F6"/>
    <w:rsid w:val="003E5BC6"/>
    <w:rsid w:val="003E5BCB"/>
    <w:rsid w:val="003E5D7F"/>
    <w:rsid w:val="003E5DD3"/>
    <w:rsid w:val="003E5E6A"/>
    <w:rsid w:val="003E5E8B"/>
    <w:rsid w:val="003E5F5D"/>
    <w:rsid w:val="003E6015"/>
    <w:rsid w:val="003E6023"/>
    <w:rsid w:val="003E65A2"/>
    <w:rsid w:val="003E65A9"/>
    <w:rsid w:val="003E6A3E"/>
    <w:rsid w:val="003E6AD9"/>
    <w:rsid w:val="003E6CD2"/>
    <w:rsid w:val="003E6D52"/>
    <w:rsid w:val="003E7036"/>
    <w:rsid w:val="003E7163"/>
    <w:rsid w:val="003E71BB"/>
    <w:rsid w:val="003E75CC"/>
    <w:rsid w:val="003E7602"/>
    <w:rsid w:val="003E768F"/>
    <w:rsid w:val="003E7691"/>
    <w:rsid w:val="003E77E8"/>
    <w:rsid w:val="003E7862"/>
    <w:rsid w:val="003E7A17"/>
    <w:rsid w:val="003E7B10"/>
    <w:rsid w:val="003E7C87"/>
    <w:rsid w:val="003E7E6D"/>
    <w:rsid w:val="003E7E79"/>
    <w:rsid w:val="003E7F40"/>
    <w:rsid w:val="003F06EE"/>
    <w:rsid w:val="003F0728"/>
    <w:rsid w:val="003F0B91"/>
    <w:rsid w:val="003F0F86"/>
    <w:rsid w:val="003F1169"/>
    <w:rsid w:val="003F1212"/>
    <w:rsid w:val="003F1332"/>
    <w:rsid w:val="003F1476"/>
    <w:rsid w:val="003F186F"/>
    <w:rsid w:val="003F19A9"/>
    <w:rsid w:val="003F1CC9"/>
    <w:rsid w:val="003F2258"/>
    <w:rsid w:val="003F2A33"/>
    <w:rsid w:val="003F2B78"/>
    <w:rsid w:val="003F2C19"/>
    <w:rsid w:val="003F2D78"/>
    <w:rsid w:val="003F2DBF"/>
    <w:rsid w:val="003F2F48"/>
    <w:rsid w:val="003F3008"/>
    <w:rsid w:val="003F30A2"/>
    <w:rsid w:val="003F31F1"/>
    <w:rsid w:val="003F3356"/>
    <w:rsid w:val="003F3378"/>
    <w:rsid w:val="003F3465"/>
    <w:rsid w:val="003F360B"/>
    <w:rsid w:val="003F38EF"/>
    <w:rsid w:val="003F39F9"/>
    <w:rsid w:val="003F3C56"/>
    <w:rsid w:val="003F3CE7"/>
    <w:rsid w:val="003F3D7A"/>
    <w:rsid w:val="003F3E56"/>
    <w:rsid w:val="003F3E94"/>
    <w:rsid w:val="003F40E1"/>
    <w:rsid w:val="003F43B3"/>
    <w:rsid w:val="003F47E2"/>
    <w:rsid w:val="003F4B89"/>
    <w:rsid w:val="003F4BA4"/>
    <w:rsid w:val="003F4FFF"/>
    <w:rsid w:val="003F522B"/>
    <w:rsid w:val="003F523C"/>
    <w:rsid w:val="003F52F2"/>
    <w:rsid w:val="003F5480"/>
    <w:rsid w:val="003F558C"/>
    <w:rsid w:val="003F5682"/>
    <w:rsid w:val="003F569C"/>
    <w:rsid w:val="003F5797"/>
    <w:rsid w:val="003F59B4"/>
    <w:rsid w:val="003F5A00"/>
    <w:rsid w:val="003F5AE4"/>
    <w:rsid w:val="003F5D0F"/>
    <w:rsid w:val="003F5EAB"/>
    <w:rsid w:val="003F5F61"/>
    <w:rsid w:val="003F5FB3"/>
    <w:rsid w:val="003F623E"/>
    <w:rsid w:val="003F6283"/>
    <w:rsid w:val="003F6339"/>
    <w:rsid w:val="003F63E2"/>
    <w:rsid w:val="003F663A"/>
    <w:rsid w:val="003F68D6"/>
    <w:rsid w:val="003F699B"/>
    <w:rsid w:val="003F6A02"/>
    <w:rsid w:val="003F6C2B"/>
    <w:rsid w:val="003F6C52"/>
    <w:rsid w:val="003F6D53"/>
    <w:rsid w:val="003F7358"/>
    <w:rsid w:val="003F749F"/>
    <w:rsid w:val="003F75A2"/>
    <w:rsid w:val="003F7723"/>
    <w:rsid w:val="003F7875"/>
    <w:rsid w:val="003F79E2"/>
    <w:rsid w:val="003F7A25"/>
    <w:rsid w:val="003F7D19"/>
    <w:rsid w:val="003F7F0A"/>
    <w:rsid w:val="0040000C"/>
    <w:rsid w:val="00400102"/>
    <w:rsid w:val="00400210"/>
    <w:rsid w:val="004003B4"/>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BFB"/>
    <w:rsid w:val="00401D8A"/>
    <w:rsid w:val="00401D9B"/>
    <w:rsid w:val="00401EF8"/>
    <w:rsid w:val="00401F1D"/>
    <w:rsid w:val="00402081"/>
    <w:rsid w:val="004020AF"/>
    <w:rsid w:val="0040285D"/>
    <w:rsid w:val="004028CB"/>
    <w:rsid w:val="004029DD"/>
    <w:rsid w:val="00402C6E"/>
    <w:rsid w:val="00402D7F"/>
    <w:rsid w:val="00402E02"/>
    <w:rsid w:val="00402E43"/>
    <w:rsid w:val="00402FDF"/>
    <w:rsid w:val="00403093"/>
    <w:rsid w:val="004030A2"/>
    <w:rsid w:val="00403196"/>
    <w:rsid w:val="0040347E"/>
    <w:rsid w:val="004039C4"/>
    <w:rsid w:val="00403A87"/>
    <w:rsid w:val="00404118"/>
    <w:rsid w:val="00404217"/>
    <w:rsid w:val="004042D1"/>
    <w:rsid w:val="00404467"/>
    <w:rsid w:val="00404611"/>
    <w:rsid w:val="004046D6"/>
    <w:rsid w:val="00404928"/>
    <w:rsid w:val="00404A9D"/>
    <w:rsid w:val="00404AD9"/>
    <w:rsid w:val="00404CA1"/>
    <w:rsid w:val="00404F00"/>
    <w:rsid w:val="004052B9"/>
    <w:rsid w:val="00405623"/>
    <w:rsid w:val="004057D8"/>
    <w:rsid w:val="00405B95"/>
    <w:rsid w:val="00405BF2"/>
    <w:rsid w:val="00405C6B"/>
    <w:rsid w:val="00405D34"/>
    <w:rsid w:val="00405D9D"/>
    <w:rsid w:val="004060CB"/>
    <w:rsid w:val="00406164"/>
    <w:rsid w:val="0040624C"/>
    <w:rsid w:val="004062F0"/>
    <w:rsid w:val="00406BA6"/>
    <w:rsid w:val="00406BBC"/>
    <w:rsid w:val="00406DF7"/>
    <w:rsid w:val="00406F32"/>
    <w:rsid w:val="00406F79"/>
    <w:rsid w:val="0040726A"/>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7DA"/>
    <w:rsid w:val="00411897"/>
    <w:rsid w:val="004118CC"/>
    <w:rsid w:val="004119E6"/>
    <w:rsid w:val="00411B8B"/>
    <w:rsid w:val="00411C0C"/>
    <w:rsid w:val="00411E64"/>
    <w:rsid w:val="0041203A"/>
    <w:rsid w:val="00412107"/>
    <w:rsid w:val="004122C0"/>
    <w:rsid w:val="004122EB"/>
    <w:rsid w:val="0041232A"/>
    <w:rsid w:val="0041237C"/>
    <w:rsid w:val="004125AB"/>
    <w:rsid w:val="00412636"/>
    <w:rsid w:val="00412BD4"/>
    <w:rsid w:val="00412D9A"/>
    <w:rsid w:val="00412F03"/>
    <w:rsid w:val="00413077"/>
    <w:rsid w:val="004133C9"/>
    <w:rsid w:val="004134B0"/>
    <w:rsid w:val="00413715"/>
    <w:rsid w:val="00413CBC"/>
    <w:rsid w:val="00413DB7"/>
    <w:rsid w:val="00413E0B"/>
    <w:rsid w:val="00414082"/>
    <w:rsid w:val="0041429F"/>
    <w:rsid w:val="004143AB"/>
    <w:rsid w:val="004146A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AEC"/>
    <w:rsid w:val="00416CD4"/>
    <w:rsid w:val="00416D07"/>
    <w:rsid w:val="00416E40"/>
    <w:rsid w:val="00416F08"/>
    <w:rsid w:val="004172E8"/>
    <w:rsid w:val="004173B2"/>
    <w:rsid w:val="004174C3"/>
    <w:rsid w:val="00417A7A"/>
    <w:rsid w:val="00417B82"/>
    <w:rsid w:val="00417CAD"/>
    <w:rsid w:val="00417F59"/>
    <w:rsid w:val="0042001E"/>
    <w:rsid w:val="00420188"/>
    <w:rsid w:val="0042033B"/>
    <w:rsid w:val="004204B6"/>
    <w:rsid w:val="0042056D"/>
    <w:rsid w:val="00420747"/>
    <w:rsid w:val="00420A66"/>
    <w:rsid w:val="00420ACB"/>
    <w:rsid w:val="00420BAD"/>
    <w:rsid w:val="0042106E"/>
    <w:rsid w:val="004211CA"/>
    <w:rsid w:val="00421553"/>
    <w:rsid w:val="00421605"/>
    <w:rsid w:val="0042168E"/>
    <w:rsid w:val="00421802"/>
    <w:rsid w:val="0042198E"/>
    <w:rsid w:val="004219EE"/>
    <w:rsid w:val="00421A4B"/>
    <w:rsid w:val="00421B68"/>
    <w:rsid w:val="00421CCE"/>
    <w:rsid w:val="004223ED"/>
    <w:rsid w:val="00422671"/>
    <w:rsid w:val="0042316C"/>
    <w:rsid w:val="004231E6"/>
    <w:rsid w:val="0042388F"/>
    <w:rsid w:val="004238A8"/>
    <w:rsid w:val="004239AF"/>
    <w:rsid w:val="00423A86"/>
    <w:rsid w:val="00423B18"/>
    <w:rsid w:val="00423C88"/>
    <w:rsid w:val="00423DD4"/>
    <w:rsid w:val="00423E02"/>
    <w:rsid w:val="00423E9F"/>
    <w:rsid w:val="004240F4"/>
    <w:rsid w:val="004244B9"/>
    <w:rsid w:val="004246CD"/>
    <w:rsid w:val="004246E8"/>
    <w:rsid w:val="00424700"/>
    <w:rsid w:val="0042474C"/>
    <w:rsid w:val="00424DC2"/>
    <w:rsid w:val="00424E13"/>
    <w:rsid w:val="004251AD"/>
    <w:rsid w:val="004255DD"/>
    <w:rsid w:val="0042592A"/>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27C14"/>
    <w:rsid w:val="004300FF"/>
    <w:rsid w:val="0043026C"/>
    <w:rsid w:val="0043055A"/>
    <w:rsid w:val="0043086C"/>
    <w:rsid w:val="004308EF"/>
    <w:rsid w:val="00430A00"/>
    <w:rsid w:val="00430A8D"/>
    <w:rsid w:val="00430C83"/>
    <w:rsid w:val="00430DCD"/>
    <w:rsid w:val="004312E1"/>
    <w:rsid w:val="004315E4"/>
    <w:rsid w:val="004316BF"/>
    <w:rsid w:val="00431820"/>
    <w:rsid w:val="00431A4A"/>
    <w:rsid w:val="00431B16"/>
    <w:rsid w:val="00431F03"/>
    <w:rsid w:val="00431F4D"/>
    <w:rsid w:val="00432003"/>
    <w:rsid w:val="004321B0"/>
    <w:rsid w:val="00432603"/>
    <w:rsid w:val="004326AC"/>
    <w:rsid w:val="0043273E"/>
    <w:rsid w:val="004327BC"/>
    <w:rsid w:val="004327DD"/>
    <w:rsid w:val="004329C4"/>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6CE"/>
    <w:rsid w:val="00436870"/>
    <w:rsid w:val="0043688E"/>
    <w:rsid w:val="004369C0"/>
    <w:rsid w:val="00436F79"/>
    <w:rsid w:val="004370B4"/>
    <w:rsid w:val="0043711E"/>
    <w:rsid w:val="00437226"/>
    <w:rsid w:val="004372C4"/>
    <w:rsid w:val="004378A4"/>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5"/>
    <w:rsid w:val="00442259"/>
    <w:rsid w:val="0044233B"/>
    <w:rsid w:val="004423AB"/>
    <w:rsid w:val="0044244C"/>
    <w:rsid w:val="00442AB8"/>
    <w:rsid w:val="00442C6B"/>
    <w:rsid w:val="00442E57"/>
    <w:rsid w:val="00442ECC"/>
    <w:rsid w:val="004431C6"/>
    <w:rsid w:val="00443628"/>
    <w:rsid w:val="004436B5"/>
    <w:rsid w:val="004436D4"/>
    <w:rsid w:val="004437BE"/>
    <w:rsid w:val="004437F2"/>
    <w:rsid w:val="0044384B"/>
    <w:rsid w:val="00443D5A"/>
    <w:rsid w:val="00443D75"/>
    <w:rsid w:val="004440D8"/>
    <w:rsid w:val="00444214"/>
    <w:rsid w:val="00444489"/>
    <w:rsid w:val="0044456E"/>
    <w:rsid w:val="004447E0"/>
    <w:rsid w:val="0044480E"/>
    <w:rsid w:val="0044492C"/>
    <w:rsid w:val="004449ED"/>
    <w:rsid w:val="00444B12"/>
    <w:rsid w:val="00444C19"/>
    <w:rsid w:val="00444EB1"/>
    <w:rsid w:val="00444F05"/>
    <w:rsid w:val="00444F5C"/>
    <w:rsid w:val="00445356"/>
    <w:rsid w:val="00445456"/>
    <w:rsid w:val="004458B9"/>
    <w:rsid w:val="00445995"/>
    <w:rsid w:val="00445C96"/>
    <w:rsid w:val="00445CE3"/>
    <w:rsid w:val="00445DF4"/>
    <w:rsid w:val="00445E2A"/>
    <w:rsid w:val="00445E6C"/>
    <w:rsid w:val="00446149"/>
    <w:rsid w:val="004463B3"/>
    <w:rsid w:val="004464DD"/>
    <w:rsid w:val="00446519"/>
    <w:rsid w:val="0044651A"/>
    <w:rsid w:val="004465E0"/>
    <w:rsid w:val="004468FC"/>
    <w:rsid w:val="00446969"/>
    <w:rsid w:val="00446B87"/>
    <w:rsid w:val="00447178"/>
    <w:rsid w:val="004471D6"/>
    <w:rsid w:val="00447590"/>
    <w:rsid w:val="004478F0"/>
    <w:rsid w:val="00447914"/>
    <w:rsid w:val="00447948"/>
    <w:rsid w:val="0044799C"/>
    <w:rsid w:val="00447B03"/>
    <w:rsid w:val="00447CD2"/>
    <w:rsid w:val="00447FE0"/>
    <w:rsid w:val="00450041"/>
    <w:rsid w:val="00450074"/>
    <w:rsid w:val="00450099"/>
    <w:rsid w:val="004506C5"/>
    <w:rsid w:val="00450AEB"/>
    <w:rsid w:val="00450C4E"/>
    <w:rsid w:val="00450DF0"/>
    <w:rsid w:val="00450E00"/>
    <w:rsid w:val="00451179"/>
    <w:rsid w:val="004511F3"/>
    <w:rsid w:val="00451283"/>
    <w:rsid w:val="004513FE"/>
    <w:rsid w:val="0045142D"/>
    <w:rsid w:val="00451745"/>
    <w:rsid w:val="0045183C"/>
    <w:rsid w:val="004519AB"/>
    <w:rsid w:val="00451B0E"/>
    <w:rsid w:val="00451B39"/>
    <w:rsid w:val="00451C67"/>
    <w:rsid w:val="00451F24"/>
    <w:rsid w:val="00451FAE"/>
    <w:rsid w:val="0045236E"/>
    <w:rsid w:val="00452723"/>
    <w:rsid w:val="0045295F"/>
    <w:rsid w:val="004529DD"/>
    <w:rsid w:val="00452A2D"/>
    <w:rsid w:val="00453298"/>
    <w:rsid w:val="0045339E"/>
    <w:rsid w:val="004537D2"/>
    <w:rsid w:val="00453BDA"/>
    <w:rsid w:val="00453E4A"/>
    <w:rsid w:val="00453F58"/>
    <w:rsid w:val="00454081"/>
    <w:rsid w:val="00454202"/>
    <w:rsid w:val="0045431E"/>
    <w:rsid w:val="004549AF"/>
    <w:rsid w:val="00454C09"/>
    <w:rsid w:val="00454C80"/>
    <w:rsid w:val="00454E9C"/>
    <w:rsid w:val="00454FFE"/>
    <w:rsid w:val="00455211"/>
    <w:rsid w:val="00455583"/>
    <w:rsid w:val="004557E3"/>
    <w:rsid w:val="00455B1A"/>
    <w:rsid w:val="00455B37"/>
    <w:rsid w:val="00455DC7"/>
    <w:rsid w:val="00455FD1"/>
    <w:rsid w:val="00456119"/>
    <w:rsid w:val="00456257"/>
    <w:rsid w:val="00456794"/>
    <w:rsid w:val="0045698D"/>
    <w:rsid w:val="00456A58"/>
    <w:rsid w:val="00456CBE"/>
    <w:rsid w:val="00456CFD"/>
    <w:rsid w:val="00456D02"/>
    <w:rsid w:val="0045710A"/>
    <w:rsid w:val="00457112"/>
    <w:rsid w:val="0045721C"/>
    <w:rsid w:val="00457402"/>
    <w:rsid w:val="004576CC"/>
    <w:rsid w:val="00457728"/>
    <w:rsid w:val="00457A54"/>
    <w:rsid w:val="00457AFD"/>
    <w:rsid w:val="00457D66"/>
    <w:rsid w:val="00457F1A"/>
    <w:rsid w:val="004601DF"/>
    <w:rsid w:val="004604D1"/>
    <w:rsid w:val="00460565"/>
    <w:rsid w:val="00460A1D"/>
    <w:rsid w:val="00461008"/>
    <w:rsid w:val="0046104D"/>
    <w:rsid w:val="00461573"/>
    <w:rsid w:val="0046162A"/>
    <w:rsid w:val="00461803"/>
    <w:rsid w:val="004618FF"/>
    <w:rsid w:val="00461B90"/>
    <w:rsid w:val="00461BAB"/>
    <w:rsid w:val="00461EDE"/>
    <w:rsid w:val="004623B7"/>
    <w:rsid w:val="00462706"/>
    <w:rsid w:val="00462730"/>
    <w:rsid w:val="004627A8"/>
    <w:rsid w:val="004627E1"/>
    <w:rsid w:val="00462868"/>
    <w:rsid w:val="004628F5"/>
    <w:rsid w:val="004628F7"/>
    <w:rsid w:val="00462A57"/>
    <w:rsid w:val="00462AE3"/>
    <w:rsid w:val="00462B92"/>
    <w:rsid w:val="00462E21"/>
    <w:rsid w:val="00462F03"/>
    <w:rsid w:val="0046300A"/>
    <w:rsid w:val="0046312A"/>
    <w:rsid w:val="00463267"/>
    <w:rsid w:val="004636C1"/>
    <w:rsid w:val="0046381A"/>
    <w:rsid w:val="0046395C"/>
    <w:rsid w:val="00463E36"/>
    <w:rsid w:val="00463F5E"/>
    <w:rsid w:val="0046426E"/>
    <w:rsid w:val="00464739"/>
    <w:rsid w:val="00464762"/>
    <w:rsid w:val="0046496D"/>
    <w:rsid w:val="00464AD7"/>
    <w:rsid w:val="00464B78"/>
    <w:rsid w:val="00464CA0"/>
    <w:rsid w:val="00464CA4"/>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C2A"/>
    <w:rsid w:val="00467F16"/>
    <w:rsid w:val="00467FB1"/>
    <w:rsid w:val="004700BB"/>
    <w:rsid w:val="004700CC"/>
    <w:rsid w:val="00470109"/>
    <w:rsid w:val="00470130"/>
    <w:rsid w:val="004701B0"/>
    <w:rsid w:val="0047057E"/>
    <w:rsid w:val="004705E0"/>
    <w:rsid w:val="00470740"/>
    <w:rsid w:val="00470850"/>
    <w:rsid w:val="00470D1D"/>
    <w:rsid w:val="0047122F"/>
    <w:rsid w:val="004713BE"/>
    <w:rsid w:val="00471452"/>
    <w:rsid w:val="004714F2"/>
    <w:rsid w:val="004715BE"/>
    <w:rsid w:val="00471682"/>
    <w:rsid w:val="00471921"/>
    <w:rsid w:val="00471B27"/>
    <w:rsid w:val="00471BBA"/>
    <w:rsid w:val="00471CAC"/>
    <w:rsid w:val="00471F21"/>
    <w:rsid w:val="00472139"/>
    <w:rsid w:val="0047227B"/>
    <w:rsid w:val="0047252C"/>
    <w:rsid w:val="00472560"/>
    <w:rsid w:val="00472848"/>
    <w:rsid w:val="00472861"/>
    <w:rsid w:val="00472A29"/>
    <w:rsid w:val="00472BE1"/>
    <w:rsid w:val="00472D0B"/>
    <w:rsid w:val="00473009"/>
    <w:rsid w:val="00473163"/>
    <w:rsid w:val="00473895"/>
    <w:rsid w:val="004738AC"/>
    <w:rsid w:val="004738C3"/>
    <w:rsid w:val="004739BD"/>
    <w:rsid w:val="00473B7C"/>
    <w:rsid w:val="00473CFC"/>
    <w:rsid w:val="00473F43"/>
    <w:rsid w:val="0047420E"/>
    <w:rsid w:val="00474397"/>
    <w:rsid w:val="0047453E"/>
    <w:rsid w:val="0047458E"/>
    <w:rsid w:val="0047467A"/>
    <w:rsid w:val="00474898"/>
    <w:rsid w:val="00474DA6"/>
    <w:rsid w:val="00474F5B"/>
    <w:rsid w:val="00475024"/>
    <w:rsid w:val="00475153"/>
    <w:rsid w:val="00475362"/>
    <w:rsid w:val="0047538B"/>
    <w:rsid w:val="0047571C"/>
    <w:rsid w:val="004758C8"/>
    <w:rsid w:val="0047598E"/>
    <w:rsid w:val="00475BCA"/>
    <w:rsid w:val="00475F96"/>
    <w:rsid w:val="00476116"/>
    <w:rsid w:val="00476292"/>
    <w:rsid w:val="004762E1"/>
    <w:rsid w:val="00476466"/>
    <w:rsid w:val="00476494"/>
    <w:rsid w:val="00476AD8"/>
    <w:rsid w:val="00476C38"/>
    <w:rsid w:val="004770AF"/>
    <w:rsid w:val="0047724A"/>
    <w:rsid w:val="00477601"/>
    <w:rsid w:val="00477677"/>
    <w:rsid w:val="0047781E"/>
    <w:rsid w:val="00477BB2"/>
    <w:rsid w:val="00477F00"/>
    <w:rsid w:val="00477F25"/>
    <w:rsid w:val="004801A5"/>
    <w:rsid w:val="0048032E"/>
    <w:rsid w:val="0048060F"/>
    <w:rsid w:val="00480683"/>
    <w:rsid w:val="0048099D"/>
    <w:rsid w:val="004809C4"/>
    <w:rsid w:val="00480D7F"/>
    <w:rsid w:val="00480E4D"/>
    <w:rsid w:val="0048153F"/>
    <w:rsid w:val="0048166E"/>
    <w:rsid w:val="00481B49"/>
    <w:rsid w:val="00481C65"/>
    <w:rsid w:val="00481F67"/>
    <w:rsid w:val="00481F79"/>
    <w:rsid w:val="00482217"/>
    <w:rsid w:val="00482A9A"/>
    <w:rsid w:val="00482CF3"/>
    <w:rsid w:val="00482DED"/>
    <w:rsid w:val="00482ED0"/>
    <w:rsid w:val="00482FF6"/>
    <w:rsid w:val="00483508"/>
    <w:rsid w:val="0048395F"/>
    <w:rsid w:val="00483D5F"/>
    <w:rsid w:val="00483D6A"/>
    <w:rsid w:val="00483F6F"/>
    <w:rsid w:val="004841F8"/>
    <w:rsid w:val="00484486"/>
    <w:rsid w:val="0048474E"/>
    <w:rsid w:val="004847B1"/>
    <w:rsid w:val="00484CF2"/>
    <w:rsid w:val="00484F72"/>
    <w:rsid w:val="004852E1"/>
    <w:rsid w:val="004854B9"/>
    <w:rsid w:val="004855E5"/>
    <w:rsid w:val="00485814"/>
    <w:rsid w:val="00485BD7"/>
    <w:rsid w:val="0048609D"/>
    <w:rsid w:val="0048622E"/>
    <w:rsid w:val="004862A9"/>
    <w:rsid w:val="0048639A"/>
    <w:rsid w:val="0048657B"/>
    <w:rsid w:val="004869C7"/>
    <w:rsid w:val="00486D5B"/>
    <w:rsid w:val="0048759D"/>
    <w:rsid w:val="004877A5"/>
    <w:rsid w:val="00487D4C"/>
    <w:rsid w:val="00487D7F"/>
    <w:rsid w:val="00487DD0"/>
    <w:rsid w:val="00487EF2"/>
    <w:rsid w:val="00490062"/>
    <w:rsid w:val="0049062A"/>
    <w:rsid w:val="00490692"/>
    <w:rsid w:val="0049070D"/>
    <w:rsid w:val="0049088F"/>
    <w:rsid w:val="004909C4"/>
    <w:rsid w:val="00490E9E"/>
    <w:rsid w:val="0049112F"/>
    <w:rsid w:val="00491216"/>
    <w:rsid w:val="004918A7"/>
    <w:rsid w:val="00491B36"/>
    <w:rsid w:val="00491B56"/>
    <w:rsid w:val="00491E79"/>
    <w:rsid w:val="004920E7"/>
    <w:rsid w:val="0049215D"/>
    <w:rsid w:val="00492207"/>
    <w:rsid w:val="004925C5"/>
    <w:rsid w:val="004925F7"/>
    <w:rsid w:val="004927C4"/>
    <w:rsid w:val="004929C4"/>
    <w:rsid w:val="00492A28"/>
    <w:rsid w:val="00492B8D"/>
    <w:rsid w:val="00492C0B"/>
    <w:rsid w:val="00492CC4"/>
    <w:rsid w:val="00492D67"/>
    <w:rsid w:val="00492F6D"/>
    <w:rsid w:val="00492FB9"/>
    <w:rsid w:val="0049344C"/>
    <w:rsid w:val="00493485"/>
    <w:rsid w:val="004934D3"/>
    <w:rsid w:val="004934D7"/>
    <w:rsid w:val="00493529"/>
    <w:rsid w:val="004936F2"/>
    <w:rsid w:val="0049392D"/>
    <w:rsid w:val="00493A72"/>
    <w:rsid w:val="00493D83"/>
    <w:rsid w:val="00494047"/>
    <w:rsid w:val="004942A3"/>
    <w:rsid w:val="004942E9"/>
    <w:rsid w:val="00494338"/>
    <w:rsid w:val="00494550"/>
    <w:rsid w:val="00494EED"/>
    <w:rsid w:val="00495495"/>
    <w:rsid w:val="00495511"/>
    <w:rsid w:val="0049552C"/>
    <w:rsid w:val="00495664"/>
    <w:rsid w:val="004956A6"/>
    <w:rsid w:val="004957D6"/>
    <w:rsid w:val="00495908"/>
    <w:rsid w:val="00495AC2"/>
    <w:rsid w:val="00495B04"/>
    <w:rsid w:val="0049608C"/>
    <w:rsid w:val="00496508"/>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44"/>
    <w:rsid w:val="004A08D6"/>
    <w:rsid w:val="004A0C30"/>
    <w:rsid w:val="004A0CAF"/>
    <w:rsid w:val="004A0E5C"/>
    <w:rsid w:val="004A1426"/>
    <w:rsid w:val="004A1692"/>
    <w:rsid w:val="004A1E82"/>
    <w:rsid w:val="004A1EE5"/>
    <w:rsid w:val="004A1F60"/>
    <w:rsid w:val="004A208B"/>
    <w:rsid w:val="004A22D4"/>
    <w:rsid w:val="004A23BD"/>
    <w:rsid w:val="004A2668"/>
    <w:rsid w:val="004A26F5"/>
    <w:rsid w:val="004A27CA"/>
    <w:rsid w:val="004A286C"/>
    <w:rsid w:val="004A28E5"/>
    <w:rsid w:val="004A2E4D"/>
    <w:rsid w:val="004A2F9A"/>
    <w:rsid w:val="004A309A"/>
    <w:rsid w:val="004A3221"/>
    <w:rsid w:val="004A35D9"/>
    <w:rsid w:val="004A3879"/>
    <w:rsid w:val="004A3A77"/>
    <w:rsid w:val="004A3C2C"/>
    <w:rsid w:val="004A3E0A"/>
    <w:rsid w:val="004A4430"/>
    <w:rsid w:val="004A45A0"/>
    <w:rsid w:val="004A45D4"/>
    <w:rsid w:val="004A4664"/>
    <w:rsid w:val="004A4715"/>
    <w:rsid w:val="004A4724"/>
    <w:rsid w:val="004A4896"/>
    <w:rsid w:val="004A4D30"/>
    <w:rsid w:val="004A4F27"/>
    <w:rsid w:val="004A517F"/>
    <w:rsid w:val="004A537D"/>
    <w:rsid w:val="004A5456"/>
    <w:rsid w:val="004A54DD"/>
    <w:rsid w:val="004A5574"/>
    <w:rsid w:val="004A58F4"/>
    <w:rsid w:val="004A5BBE"/>
    <w:rsid w:val="004A5C22"/>
    <w:rsid w:val="004A5D17"/>
    <w:rsid w:val="004A5DB7"/>
    <w:rsid w:val="004A5F4E"/>
    <w:rsid w:val="004A5FEC"/>
    <w:rsid w:val="004A607D"/>
    <w:rsid w:val="004A6168"/>
    <w:rsid w:val="004A62B2"/>
    <w:rsid w:val="004A637C"/>
    <w:rsid w:val="004A64A7"/>
    <w:rsid w:val="004A6A95"/>
    <w:rsid w:val="004A6D29"/>
    <w:rsid w:val="004A6E41"/>
    <w:rsid w:val="004A72B1"/>
    <w:rsid w:val="004A7663"/>
    <w:rsid w:val="004A7BF4"/>
    <w:rsid w:val="004A7C03"/>
    <w:rsid w:val="004B0235"/>
    <w:rsid w:val="004B09CB"/>
    <w:rsid w:val="004B0D2A"/>
    <w:rsid w:val="004B0E24"/>
    <w:rsid w:val="004B1012"/>
    <w:rsid w:val="004B101F"/>
    <w:rsid w:val="004B1270"/>
    <w:rsid w:val="004B1306"/>
    <w:rsid w:val="004B13F9"/>
    <w:rsid w:val="004B1832"/>
    <w:rsid w:val="004B189D"/>
    <w:rsid w:val="004B2249"/>
    <w:rsid w:val="004B23E8"/>
    <w:rsid w:val="004B2464"/>
    <w:rsid w:val="004B2688"/>
    <w:rsid w:val="004B2B48"/>
    <w:rsid w:val="004B2BEF"/>
    <w:rsid w:val="004B2C44"/>
    <w:rsid w:val="004B2D11"/>
    <w:rsid w:val="004B2E04"/>
    <w:rsid w:val="004B2FF6"/>
    <w:rsid w:val="004B3016"/>
    <w:rsid w:val="004B3189"/>
    <w:rsid w:val="004B31B8"/>
    <w:rsid w:val="004B34E8"/>
    <w:rsid w:val="004B3584"/>
    <w:rsid w:val="004B3682"/>
    <w:rsid w:val="004B368C"/>
    <w:rsid w:val="004B36ED"/>
    <w:rsid w:val="004B3894"/>
    <w:rsid w:val="004B39DB"/>
    <w:rsid w:val="004B3A35"/>
    <w:rsid w:val="004B3A53"/>
    <w:rsid w:val="004B3AA1"/>
    <w:rsid w:val="004B3B1E"/>
    <w:rsid w:val="004B3D00"/>
    <w:rsid w:val="004B4310"/>
    <w:rsid w:val="004B45D3"/>
    <w:rsid w:val="004B4E11"/>
    <w:rsid w:val="004B4E28"/>
    <w:rsid w:val="004B4F67"/>
    <w:rsid w:val="004B4FBC"/>
    <w:rsid w:val="004B50AD"/>
    <w:rsid w:val="004B50B9"/>
    <w:rsid w:val="004B5233"/>
    <w:rsid w:val="004B5302"/>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28"/>
    <w:rsid w:val="004B7A32"/>
    <w:rsid w:val="004B7A8F"/>
    <w:rsid w:val="004B7D3D"/>
    <w:rsid w:val="004B7E01"/>
    <w:rsid w:val="004C056D"/>
    <w:rsid w:val="004C0594"/>
    <w:rsid w:val="004C065C"/>
    <w:rsid w:val="004C0899"/>
    <w:rsid w:val="004C0F6A"/>
    <w:rsid w:val="004C10CC"/>
    <w:rsid w:val="004C10EF"/>
    <w:rsid w:val="004C1137"/>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FA7"/>
    <w:rsid w:val="004C5071"/>
    <w:rsid w:val="004C50D0"/>
    <w:rsid w:val="004C51BA"/>
    <w:rsid w:val="004C54EF"/>
    <w:rsid w:val="004C5684"/>
    <w:rsid w:val="004C5BDF"/>
    <w:rsid w:val="004C5CEF"/>
    <w:rsid w:val="004C5E8C"/>
    <w:rsid w:val="004C5F4F"/>
    <w:rsid w:val="004C6057"/>
    <w:rsid w:val="004C6086"/>
    <w:rsid w:val="004C62B5"/>
    <w:rsid w:val="004C7201"/>
    <w:rsid w:val="004C7417"/>
    <w:rsid w:val="004C7612"/>
    <w:rsid w:val="004C777C"/>
    <w:rsid w:val="004C7881"/>
    <w:rsid w:val="004C79BF"/>
    <w:rsid w:val="004C7D2E"/>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63D"/>
    <w:rsid w:val="004D2704"/>
    <w:rsid w:val="004D28A5"/>
    <w:rsid w:val="004D28C6"/>
    <w:rsid w:val="004D291C"/>
    <w:rsid w:val="004D2990"/>
    <w:rsid w:val="004D2D0D"/>
    <w:rsid w:val="004D2DFD"/>
    <w:rsid w:val="004D2F60"/>
    <w:rsid w:val="004D337A"/>
    <w:rsid w:val="004D3450"/>
    <w:rsid w:val="004D3499"/>
    <w:rsid w:val="004D349D"/>
    <w:rsid w:val="004D35FF"/>
    <w:rsid w:val="004D36A9"/>
    <w:rsid w:val="004D3835"/>
    <w:rsid w:val="004D3907"/>
    <w:rsid w:val="004D39F1"/>
    <w:rsid w:val="004D3A8B"/>
    <w:rsid w:val="004D3B16"/>
    <w:rsid w:val="004D3B95"/>
    <w:rsid w:val="004D3D0A"/>
    <w:rsid w:val="004D3E82"/>
    <w:rsid w:val="004D3F04"/>
    <w:rsid w:val="004D405A"/>
    <w:rsid w:val="004D437D"/>
    <w:rsid w:val="004D449C"/>
    <w:rsid w:val="004D451C"/>
    <w:rsid w:val="004D4955"/>
    <w:rsid w:val="004D4BC4"/>
    <w:rsid w:val="004D500E"/>
    <w:rsid w:val="004D5014"/>
    <w:rsid w:val="004D5070"/>
    <w:rsid w:val="004D50B6"/>
    <w:rsid w:val="004D5126"/>
    <w:rsid w:val="004D512D"/>
    <w:rsid w:val="004D51FD"/>
    <w:rsid w:val="004D53FE"/>
    <w:rsid w:val="004D54C9"/>
    <w:rsid w:val="004D5536"/>
    <w:rsid w:val="004D5812"/>
    <w:rsid w:val="004D5813"/>
    <w:rsid w:val="004D5C09"/>
    <w:rsid w:val="004D5C71"/>
    <w:rsid w:val="004D60DE"/>
    <w:rsid w:val="004D614A"/>
    <w:rsid w:val="004D62AB"/>
    <w:rsid w:val="004D62CF"/>
    <w:rsid w:val="004D631D"/>
    <w:rsid w:val="004D684A"/>
    <w:rsid w:val="004D6A14"/>
    <w:rsid w:val="004D714C"/>
    <w:rsid w:val="004D71FE"/>
    <w:rsid w:val="004D788D"/>
    <w:rsid w:val="004D7B2E"/>
    <w:rsid w:val="004E0055"/>
    <w:rsid w:val="004E02E4"/>
    <w:rsid w:val="004E06DB"/>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580"/>
    <w:rsid w:val="004E3B44"/>
    <w:rsid w:val="004E3C6E"/>
    <w:rsid w:val="004E3EBB"/>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083"/>
    <w:rsid w:val="004E61DD"/>
    <w:rsid w:val="004E6384"/>
    <w:rsid w:val="004E6563"/>
    <w:rsid w:val="004E6675"/>
    <w:rsid w:val="004E69C6"/>
    <w:rsid w:val="004E69C8"/>
    <w:rsid w:val="004E6E08"/>
    <w:rsid w:val="004E6F26"/>
    <w:rsid w:val="004E70C1"/>
    <w:rsid w:val="004E7448"/>
    <w:rsid w:val="004E7AE2"/>
    <w:rsid w:val="004E7B54"/>
    <w:rsid w:val="004E7B91"/>
    <w:rsid w:val="004F0044"/>
    <w:rsid w:val="004F012C"/>
    <w:rsid w:val="004F03BE"/>
    <w:rsid w:val="004F03CD"/>
    <w:rsid w:val="004F04D5"/>
    <w:rsid w:val="004F054F"/>
    <w:rsid w:val="004F0B30"/>
    <w:rsid w:val="004F0E00"/>
    <w:rsid w:val="004F1155"/>
    <w:rsid w:val="004F1785"/>
    <w:rsid w:val="004F1863"/>
    <w:rsid w:val="004F197F"/>
    <w:rsid w:val="004F1A6D"/>
    <w:rsid w:val="004F1C74"/>
    <w:rsid w:val="004F1C81"/>
    <w:rsid w:val="004F1DD1"/>
    <w:rsid w:val="004F1DF9"/>
    <w:rsid w:val="004F1E37"/>
    <w:rsid w:val="004F1E85"/>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325"/>
    <w:rsid w:val="004F5346"/>
    <w:rsid w:val="004F53DE"/>
    <w:rsid w:val="004F57FC"/>
    <w:rsid w:val="004F5A22"/>
    <w:rsid w:val="004F5FB2"/>
    <w:rsid w:val="004F6257"/>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D68"/>
    <w:rsid w:val="00500E6C"/>
    <w:rsid w:val="005010B2"/>
    <w:rsid w:val="005011C3"/>
    <w:rsid w:val="005011E6"/>
    <w:rsid w:val="00501427"/>
    <w:rsid w:val="005018C5"/>
    <w:rsid w:val="00501A3B"/>
    <w:rsid w:val="00501B33"/>
    <w:rsid w:val="00501C76"/>
    <w:rsid w:val="00501C91"/>
    <w:rsid w:val="00501D9A"/>
    <w:rsid w:val="00501DD6"/>
    <w:rsid w:val="00501FF7"/>
    <w:rsid w:val="00502095"/>
    <w:rsid w:val="00502187"/>
    <w:rsid w:val="005022E4"/>
    <w:rsid w:val="00502422"/>
    <w:rsid w:val="00502631"/>
    <w:rsid w:val="00502657"/>
    <w:rsid w:val="00502765"/>
    <w:rsid w:val="005027E0"/>
    <w:rsid w:val="00502992"/>
    <w:rsid w:val="00502B6C"/>
    <w:rsid w:val="00503390"/>
    <w:rsid w:val="00503573"/>
    <w:rsid w:val="00503ABD"/>
    <w:rsid w:val="00503C4F"/>
    <w:rsid w:val="00503E01"/>
    <w:rsid w:val="00503F15"/>
    <w:rsid w:val="00503F91"/>
    <w:rsid w:val="005042B2"/>
    <w:rsid w:val="005042BC"/>
    <w:rsid w:val="0050451C"/>
    <w:rsid w:val="00504548"/>
    <w:rsid w:val="00504B3F"/>
    <w:rsid w:val="00504DF0"/>
    <w:rsid w:val="0050511B"/>
    <w:rsid w:val="00505363"/>
    <w:rsid w:val="0050555D"/>
    <w:rsid w:val="00505644"/>
    <w:rsid w:val="00505902"/>
    <w:rsid w:val="00505D56"/>
    <w:rsid w:val="00505EA7"/>
    <w:rsid w:val="00506BEB"/>
    <w:rsid w:val="00506D1D"/>
    <w:rsid w:val="00506EEC"/>
    <w:rsid w:val="0050705F"/>
    <w:rsid w:val="0050743A"/>
    <w:rsid w:val="0050745A"/>
    <w:rsid w:val="00507649"/>
    <w:rsid w:val="00507965"/>
    <w:rsid w:val="00507AF1"/>
    <w:rsid w:val="00507BC4"/>
    <w:rsid w:val="00507BF9"/>
    <w:rsid w:val="005100FA"/>
    <w:rsid w:val="005102D5"/>
    <w:rsid w:val="00510563"/>
    <w:rsid w:val="00510F84"/>
    <w:rsid w:val="00511077"/>
    <w:rsid w:val="00511284"/>
    <w:rsid w:val="00511412"/>
    <w:rsid w:val="005115E6"/>
    <w:rsid w:val="005117FF"/>
    <w:rsid w:val="00511CAD"/>
    <w:rsid w:val="0051231F"/>
    <w:rsid w:val="00512559"/>
    <w:rsid w:val="0051257E"/>
    <w:rsid w:val="00512BF8"/>
    <w:rsid w:val="00512FAE"/>
    <w:rsid w:val="00513009"/>
    <w:rsid w:val="00513084"/>
    <w:rsid w:val="005132C5"/>
    <w:rsid w:val="00513335"/>
    <w:rsid w:val="00513BC2"/>
    <w:rsid w:val="00513CBF"/>
    <w:rsid w:val="00513CC6"/>
    <w:rsid w:val="00513D52"/>
    <w:rsid w:val="005141BD"/>
    <w:rsid w:val="005141E5"/>
    <w:rsid w:val="00514221"/>
    <w:rsid w:val="00514404"/>
    <w:rsid w:val="005147B7"/>
    <w:rsid w:val="00514AAD"/>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7030"/>
    <w:rsid w:val="00517175"/>
    <w:rsid w:val="00517208"/>
    <w:rsid w:val="0051722B"/>
    <w:rsid w:val="00517599"/>
    <w:rsid w:val="0051775D"/>
    <w:rsid w:val="00517A5C"/>
    <w:rsid w:val="00517CCE"/>
    <w:rsid w:val="00517D47"/>
    <w:rsid w:val="00517FDF"/>
    <w:rsid w:val="00520457"/>
    <w:rsid w:val="0052056C"/>
    <w:rsid w:val="005208C4"/>
    <w:rsid w:val="005209B8"/>
    <w:rsid w:val="00520D5A"/>
    <w:rsid w:val="00520DB3"/>
    <w:rsid w:val="00521083"/>
    <w:rsid w:val="00521220"/>
    <w:rsid w:val="0052145F"/>
    <w:rsid w:val="005214C2"/>
    <w:rsid w:val="0052150F"/>
    <w:rsid w:val="00521520"/>
    <w:rsid w:val="00521719"/>
    <w:rsid w:val="00521750"/>
    <w:rsid w:val="00521AFA"/>
    <w:rsid w:val="00521C53"/>
    <w:rsid w:val="00521EA1"/>
    <w:rsid w:val="00521EB5"/>
    <w:rsid w:val="0052223A"/>
    <w:rsid w:val="0052284A"/>
    <w:rsid w:val="005229B7"/>
    <w:rsid w:val="00522E51"/>
    <w:rsid w:val="00523264"/>
    <w:rsid w:val="00523413"/>
    <w:rsid w:val="00523414"/>
    <w:rsid w:val="0052345F"/>
    <w:rsid w:val="005234A7"/>
    <w:rsid w:val="00523603"/>
    <w:rsid w:val="00523A2C"/>
    <w:rsid w:val="00523B2C"/>
    <w:rsid w:val="00523DF3"/>
    <w:rsid w:val="005240D7"/>
    <w:rsid w:val="0052414C"/>
    <w:rsid w:val="005241CB"/>
    <w:rsid w:val="005241CC"/>
    <w:rsid w:val="005244FA"/>
    <w:rsid w:val="00524543"/>
    <w:rsid w:val="00524549"/>
    <w:rsid w:val="00524BEC"/>
    <w:rsid w:val="00524BF7"/>
    <w:rsid w:val="00524F7C"/>
    <w:rsid w:val="00524FA8"/>
    <w:rsid w:val="00525057"/>
    <w:rsid w:val="005251FA"/>
    <w:rsid w:val="0052530C"/>
    <w:rsid w:val="0052542F"/>
    <w:rsid w:val="005254F1"/>
    <w:rsid w:val="0052554E"/>
    <w:rsid w:val="00525719"/>
    <w:rsid w:val="00525939"/>
    <w:rsid w:val="00525DD3"/>
    <w:rsid w:val="00525FEF"/>
    <w:rsid w:val="00526136"/>
    <w:rsid w:val="005262DD"/>
    <w:rsid w:val="005268A1"/>
    <w:rsid w:val="005268F3"/>
    <w:rsid w:val="00526B33"/>
    <w:rsid w:val="00526D05"/>
    <w:rsid w:val="00526F82"/>
    <w:rsid w:val="005270B8"/>
    <w:rsid w:val="00527118"/>
    <w:rsid w:val="005275D6"/>
    <w:rsid w:val="00527651"/>
    <w:rsid w:val="00527794"/>
    <w:rsid w:val="005277AE"/>
    <w:rsid w:val="00527833"/>
    <w:rsid w:val="005279B2"/>
    <w:rsid w:val="005279E2"/>
    <w:rsid w:val="00527AAE"/>
    <w:rsid w:val="00527B16"/>
    <w:rsid w:val="00527C80"/>
    <w:rsid w:val="00527C8E"/>
    <w:rsid w:val="00527FB0"/>
    <w:rsid w:val="00527FBB"/>
    <w:rsid w:val="00530097"/>
    <w:rsid w:val="00530255"/>
    <w:rsid w:val="005302AF"/>
    <w:rsid w:val="00530311"/>
    <w:rsid w:val="00530547"/>
    <w:rsid w:val="005305D2"/>
    <w:rsid w:val="005306BF"/>
    <w:rsid w:val="005307AC"/>
    <w:rsid w:val="00530B78"/>
    <w:rsid w:val="00530D43"/>
    <w:rsid w:val="00530DED"/>
    <w:rsid w:val="00530E2C"/>
    <w:rsid w:val="00530E5E"/>
    <w:rsid w:val="00530FF5"/>
    <w:rsid w:val="0053160D"/>
    <w:rsid w:val="00531712"/>
    <w:rsid w:val="00531832"/>
    <w:rsid w:val="00531AA5"/>
    <w:rsid w:val="00531F4E"/>
    <w:rsid w:val="005322EB"/>
    <w:rsid w:val="00532399"/>
    <w:rsid w:val="005325E1"/>
    <w:rsid w:val="005325E6"/>
    <w:rsid w:val="005327E6"/>
    <w:rsid w:val="0053291E"/>
    <w:rsid w:val="00532A50"/>
    <w:rsid w:val="00532EFF"/>
    <w:rsid w:val="00532F0A"/>
    <w:rsid w:val="00532F11"/>
    <w:rsid w:val="00532F12"/>
    <w:rsid w:val="00532FC9"/>
    <w:rsid w:val="0053349C"/>
    <w:rsid w:val="005334D1"/>
    <w:rsid w:val="005335E1"/>
    <w:rsid w:val="005337A7"/>
    <w:rsid w:val="00533CFA"/>
    <w:rsid w:val="00534040"/>
    <w:rsid w:val="0053418F"/>
    <w:rsid w:val="00534446"/>
    <w:rsid w:val="005345BD"/>
    <w:rsid w:val="00534734"/>
    <w:rsid w:val="00534B51"/>
    <w:rsid w:val="00534E45"/>
    <w:rsid w:val="00534E8E"/>
    <w:rsid w:val="00534EE5"/>
    <w:rsid w:val="0053554D"/>
    <w:rsid w:val="00535578"/>
    <w:rsid w:val="0053563B"/>
    <w:rsid w:val="00535C53"/>
    <w:rsid w:val="00535CF4"/>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5ED"/>
    <w:rsid w:val="005377A4"/>
    <w:rsid w:val="00537F2A"/>
    <w:rsid w:val="0054005A"/>
    <w:rsid w:val="0054012E"/>
    <w:rsid w:val="00540191"/>
    <w:rsid w:val="0054031F"/>
    <w:rsid w:val="0054038B"/>
    <w:rsid w:val="0054045F"/>
    <w:rsid w:val="00540581"/>
    <w:rsid w:val="005405D3"/>
    <w:rsid w:val="00540648"/>
    <w:rsid w:val="00540649"/>
    <w:rsid w:val="0054080F"/>
    <w:rsid w:val="005408BB"/>
    <w:rsid w:val="00540C22"/>
    <w:rsid w:val="00540DFA"/>
    <w:rsid w:val="00540F38"/>
    <w:rsid w:val="005412A7"/>
    <w:rsid w:val="005413A5"/>
    <w:rsid w:val="0054143C"/>
    <w:rsid w:val="00541620"/>
    <w:rsid w:val="00541C43"/>
    <w:rsid w:val="00541F36"/>
    <w:rsid w:val="005424D5"/>
    <w:rsid w:val="00542706"/>
    <w:rsid w:val="00542732"/>
    <w:rsid w:val="00542877"/>
    <w:rsid w:val="00542AE3"/>
    <w:rsid w:val="0054307D"/>
    <w:rsid w:val="0054343A"/>
    <w:rsid w:val="00543AEA"/>
    <w:rsid w:val="00543BA6"/>
    <w:rsid w:val="00543E2F"/>
    <w:rsid w:val="00543F62"/>
    <w:rsid w:val="00543F70"/>
    <w:rsid w:val="005440F9"/>
    <w:rsid w:val="0054464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05"/>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B20"/>
    <w:rsid w:val="00550CA7"/>
    <w:rsid w:val="00550FBF"/>
    <w:rsid w:val="0055108D"/>
    <w:rsid w:val="005510B4"/>
    <w:rsid w:val="0055125B"/>
    <w:rsid w:val="005513AE"/>
    <w:rsid w:val="0055182C"/>
    <w:rsid w:val="00551C97"/>
    <w:rsid w:val="00551E19"/>
    <w:rsid w:val="00551F0A"/>
    <w:rsid w:val="005521BE"/>
    <w:rsid w:val="00552A4B"/>
    <w:rsid w:val="00552B35"/>
    <w:rsid w:val="00552D5E"/>
    <w:rsid w:val="00552D6D"/>
    <w:rsid w:val="00552EC1"/>
    <w:rsid w:val="00553188"/>
    <w:rsid w:val="00553289"/>
    <w:rsid w:val="0055374D"/>
    <w:rsid w:val="0055397B"/>
    <w:rsid w:val="00553A47"/>
    <w:rsid w:val="00553DA6"/>
    <w:rsid w:val="0055403E"/>
    <w:rsid w:val="0055445E"/>
    <w:rsid w:val="0055446B"/>
    <w:rsid w:val="005547AB"/>
    <w:rsid w:val="0055493D"/>
    <w:rsid w:val="00554A30"/>
    <w:rsid w:val="00554C36"/>
    <w:rsid w:val="00554D43"/>
    <w:rsid w:val="00554E93"/>
    <w:rsid w:val="00554FB8"/>
    <w:rsid w:val="00555190"/>
    <w:rsid w:val="00555524"/>
    <w:rsid w:val="005557A4"/>
    <w:rsid w:val="00555815"/>
    <w:rsid w:val="0055592D"/>
    <w:rsid w:val="00556083"/>
    <w:rsid w:val="00556B1D"/>
    <w:rsid w:val="00556D7A"/>
    <w:rsid w:val="00556E65"/>
    <w:rsid w:val="00556FCB"/>
    <w:rsid w:val="00557156"/>
    <w:rsid w:val="005571E3"/>
    <w:rsid w:val="0055740C"/>
    <w:rsid w:val="00557457"/>
    <w:rsid w:val="0055788B"/>
    <w:rsid w:val="00557899"/>
    <w:rsid w:val="00557BAB"/>
    <w:rsid w:val="00557CEB"/>
    <w:rsid w:val="00560025"/>
    <w:rsid w:val="005600F2"/>
    <w:rsid w:val="005605CF"/>
    <w:rsid w:val="00560873"/>
    <w:rsid w:val="005608D9"/>
    <w:rsid w:val="005609AA"/>
    <w:rsid w:val="00560A95"/>
    <w:rsid w:val="00560AB6"/>
    <w:rsid w:val="00560B2B"/>
    <w:rsid w:val="00560BC5"/>
    <w:rsid w:val="00560EC1"/>
    <w:rsid w:val="0056117A"/>
    <w:rsid w:val="005611FB"/>
    <w:rsid w:val="005612D7"/>
    <w:rsid w:val="00561658"/>
    <w:rsid w:val="005617A8"/>
    <w:rsid w:val="0056185B"/>
    <w:rsid w:val="005619AB"/>
    <w:rsid w:val="00561B06"/>
    <w:rsid w:val="005621E3"/>
    <w:rsid w:val="00562232"/>
    <w:rsid w:val="00562389"/>
    <w:rsid w:val="00562739"/>
    <w:rsid w:val="00562840"/>
    <w:rsid w:val="0056286E"/>
    <w:rsid w:val="00562878"/>
    <w:rsid w:val="00562898"/>
    <w:rsid w:val="00562FE7"/>
    <w:rsid w:val="005633E1"/>
    <w:rsid w:val="00563794"/>
    <w:rsid w:val="00563876"/>
    <w:rsid w:val="0056388C"/>
    <w:rsid w:val="00563E51"/>
    <w:rsid w:val="0056415A"/>
    <w:rsid w:val="005641A4"/>
    <w:rsid w:val="0056425C"/>
    <w:rsid w:val="00564270"/>
    <w:rsid w:val="0056432D"/>
    <w:rsid w:val="0056447E"/>
    <w:rsid w:val="005644FF"/>
    <w:rsid w:val="00564A66"/>
    <w:rsid w:val="00564C0F"/>
    <w:rsid w:val="00564C7A"/>
    <w:rsid w:val="00564D21"/>
    <w:rsid w:val="005653BA"/>
    <w:rsid w:val="005653BE"/>
    <w:rsid w:val="005657CF"/>
    <w:rsid w:val="00565AE4"/>
    <w:rsid w:val="00565BF3"/>
    <w:rsid w:val="00565FAA"/>
    <w:rsid w:val="005665F0"/>
    <w:rsid w:val="005667CD"/>
    <w:rsid w:val="00566981"/>
    <w:rsid w:val="005669E2"/>
    <w:rsid w:val="00566ABB"/>
    <w:rsid w:val="00566CA3"/>
    <w:rsid w:val="00566D15"/>
    <w:rsid w:val="00566D3D"/>
    <w:rsid w:val="00567242"/>
    <w:rsid w:val="00567348"/>
    <w:rsid w:val="00567AED"/>
    <w:rsid w:val="00567B4C"/>
    <w:rsid w:val="00567DD7"/>
    <w:rsid w:val="005700B7"/>
    <w:rsid w:val="0057060F"/>
    <w:rsid w:val="00570679"/>
    <w:rsid w:val="00570682"/>
    <w:rsid w:val="005708CD"/>
    <w:rsid w:val="0057090B"/>
    <w:rsid w:val="005709D1"/>
    <w:rsid w:val="005709E4"/>
    <w:rsid w:val="00570A6B"/>
    <w:rsid w:val="00570CF2"/>
    <w:rsid w:val="005710D7"/>
    <w:rsid w:val="0057117A"/>
    <w:rsid w:val="00571246"/>
    <w:rsid w:val="0057127A"/>
    <w:rsid w:val="00571397"/>
    <w:rsid w:val="00571EC8"/>
    <w:rsid w:val="0057270C"/>
    <w:rsid w:val="00572A9C"/>
    <w:rsid w:val="00572D32"/>
    <w:rsid w:val="00572E20"/>
    <w:rsid w:val="0057313A"/>
    <w:rsid w:val="0057342D"/>
    <w:rsid w:val="0057352E"/>
    <w:rsid w:val="00573610"/>
    <w:rsid w:val="00573842"/>
    <w:rsid w:val="005738B0"/>
    <w:rsid w:val="005738C0"/>
    <w:rsid w:val="0057395B"/>
    <w:rsid w:val="0057397E"/>
    <w:rsid w:val="0057398E"/>
    <w:rsid w:val="005739D8"/>
    <w:rsid w:val="00573A0C"/>
    <w:rsid w:val="00573B37"/>
    <w:rsid w:val="00573DB8"/>
    <w:rsid w:val="00573E7B"/>
    <w:rsid w:val="00573E99"/>
    <w:rsid w:val="00574420"/>
    <w:rsid w:val="005745BE"/>
    <w:rsid w:val="00574720"/>
    <w:rsid w:val="00574A47"/>
    <w:rsid w:val="00574B9A"/>
    <w:rsid w:val="00574CBA"/>
    <w:rsid w:val="00574DBF"/>
    <w:rsid w:val="00575605"/>
    <w:rsid w:val="00575657"/>
    <w:rsid w:val="005756CD"/>
    <w:rsid w:val="00575714"/>
    <w:rsid w:val="0057571D"/>
    <w:rsid w:val="00575767"/>
    <w:rsid w:val="0057576C"/>
    <w:rsid w:val="00575BCE"/>
    <w:rsid w:val="00575DD9"/>
    <w:rsid w:val="005761C6"/>
    <w:rsid w:val="0057631C"/>
    <w:rsid w:val="005763B9"/>
    <w:rsid w:val="00576570"/>
    <w:rsid w:val="005765AF"/>
    <w:rsid w:val="005765D8"/>
    <w:rsid w:val="005765DA"/>
    <w:rsid w:val="0057664B"/>
    <w:rsid w:val="00576715"/>
    <w:rsid w:val="0057680D"/>
    <w:rsid w:val="00576861"/>
    <w:rsid w:val="00576DDD"/>
    <w:rsid w:val="00576FC8"/>
    <w:rsid w:val="0057738C"/>
    <w:rsid w:val="005777EC"/>
    <w:rsid w:val="0057787B"/>
    <w:rsid w:val="005778A9"/>
    <w:rsid w:val="005778C4"/>
    <w:rsid w:val="005779B7"/>
    <w:rsid w:val="00577C99"/>
    <w:rsid w:val="00577DBA"/>
    <w:rsid w:val="00577EEC"/>
    <w:rsid w:val="00577F0B"/>
    <w:rsid w:val="00580256"/>
    <w:rsid w:val="00580288"/>
    <w:rsid w:val="005803BC"/>
    <w:rsid w:val="00580679"/>
    <w:rsid w:val="005809F0"/>
    <w:rsid w:val="00580AC0"/>
    <w:rsid w:val="00580F57"/>
    <w:rsid w:val="005811D6"/>
    <w:rsid w:val="00581459"/>
    <w:rsid w:val="0058157E"/>
    <w:rsid w:val="005817B9"/>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2D7"/>
    <w:rsid w:val="005829D3"/>
    <w:rsid w:val="00582A73"/>
    <w:rsid w:val="00582B14"/>
    <w:rsid w:val="00582BE8"/>
    <w:rsid w:val="005830A5"/>
    <w:rsid w:val="005830A9"/>
    <w:rsid w:val="00583264"/>
    <w:rsid w:val="0058358B"/>
    <w:rsid w:val="00583926"/>
    <w:rsid w:val="005839BE"/>
    <w:rsid w:val="00583A2A"/>
    <w:rsid w:val="00583B54"/>
    <w:rsid w:val="00583C58"/>
    <w:rsid w:val="00583CFA"/>
    <w:rsid w:val="00583CFB"/>
    <w:rsid w:val="00583E68"/>
    <w:rsid w:val="0058401B"/>
    <w:rsid w:val="00584157"/>
    <w:rsid w:val="00584973"/>
    <w:rsid w:val="00584A8B"/>
    <w:rsid w:val="00584A98"/>
    <w:rsid w:val="00584C34"/>
    <w:rsid w:val="00584CD4"/>
    <w:rsid w:val="00584D0E"/>
    <w:rsid w:val="00584D76"/>
    <w:rsid w:val="00584FC6"/>
    <w:rsid w:val="00584FD9"/>
    <w:rsid w:val="0058535F"/>
    <w:rsid w:val="005854CD"/>
    <w:rsid w:val="00585678"/>
    <w:rsid w:val="005857E8"/>
    <w:rsid w:val="00585912"/>
    <w:rsid w:val="00585BDD"/>
    <w:rsid w:val="00585CAF"/>
    <w:rsid w:val="0058631D"/>
    <w:rsid w:val="00586382"/>
    <w:rsid w:val="005864BE"/>
    <w:rsid w:val="005866BD"/>
    <w:rsid w:val="00586AA5"/>
    <w:rsid w:val="00586CF9"/>
    <w:rsid w:val="00586E59"/>
    <w:rsid w:val="00586F2C"/>
    <w:rsid w:val="00586F61"/>
    <w:rsid w:val="00586F98"/>
    <w:rsid w:val="00586FB6"/>
    <w:rsid w:val="00587684"/>
    <w:rsid w:val="005877BB"/>
    <w:rsid w:val="00587B6C"/>
    <w:rsid w:val="00587B78"/>
    <w:rsid w:val="00587CD3"/>
    <w:rsid w:val="00587CED"/>
    <w:rsid w:val="00587FAE"/>
    <w:rsid w:val="00590354"/>
    <w:rsid w:val="00590414"/>
    <w:rsid w:val="00590752"/>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A9E"/>
    <w:rsid w:val="00592B18"/>
    <w:rsid w:val="00592C97"/>
    <w:rsid w:val="00592D7B"/>
    <w:rsid w:val="00592D96"/>
    <w:rsid w:val="00592DDE"/>
    <w:rsid w:val="00592E01"/>
    <w:rsid w:val="00592E0A"/>
    <w:rsid w:val="00592E8C"/>
    <w:rsid w:val="0059360E"/>
    <w:rsid w:val="0059397C"/>
    <w:rsid w:val="00593A3D"/>
    <w:rsid w:val="00593D81"/>
    <w:rsid w:val="00593DC7"/>
    <w:rsid w:val="00593E8C"/>
    <w:rsid w:val="0059402D"/>
    <w:rsid w:val="0059417D"/>
    <w:rsid w:val="00594181"/>
    <w:rsid w:val="0059430A"/>
    <w:rsid w:val="005944ED"/>
    <w:rsid w:val="00594646"/>
    <w:rsid w:val="00594751"/>
    <w:rsid w:val="00594862"/>
    <w:rsid w:val="0059491C"/>
    <w:rsid w:val="00594E27"/>
    <w:rsid w:val="00594FA4"/>
    <w:rsid w:val="00594FD4"/>
    <w:rsid w:val="00595216"/>
    <w:rsid w:val="005952C6"/>
    <w:rsid w:val="00595626"/>
    <w:rsid w:val="00595786"/>
    <w:rsid w:val="0059596F"/>
    <w:rsid w:val="005959E2"/>
    <w:rsid w:val="00595A15"/>
    <w:rsid w:val="00595C38"/>
    <w:rsid w:val="00595CC3"/>
    <w:rsid w:val="00595E13"/>
    <w:rsid w:val="00595E94"/>
    <w:rsid w:val="00596326"/>
    <w:rsid w:val="005963BD"/>
    <w:rsid w:val="00596584"/>
    <w:rsid w:val="00596E0E"/>
    <w:rsid w:val="00596E91"/>
    <w:rsid w:val="00597128"/>
    <w:rsid w:val="00597712"/>
    <w:rsid w:val="00597CD5"/>
    <w:rsid w:val="005A0033"/>
    <w:rsid w:val="005A03CA"/>
    <w:rsid w:val="005A0472"/>
    <w:rsid w:val="005A04C0"/>
    <w:rsid w:val="005A04D1"/>
    <w:rsid w:val="005A0649"/>
    <w:rsid w:val="005A06BB"/>
    <w:rsid w:val="005A07AB"/>
    <w:rsid w:val="005A0B10"/>
    <w:rsid w:val="005A0B27"/>
    <w:rsid w:val="005A0C50"/>
    <w:rsid w:val="005A0F17"/>
    <w:rsid w:val="005A13A2"/>
    <w:rsid w:val="005A1582"/>
    <w:rsid w:val="005A1627"/>
    <w:rsid w:val="005A16ED"/>
    <w:rsid w:val="005A1705"/>
    <w:rsid w:val="005A1D8B"/>
    <w:rsid w:val="005A1EDE"/>
    <w:rsid w:val="005A1F85"/>
    <w:rsid w:val="005A2028"/>
    <w:rsid w:val="005A2123"/>
    <w:rsid w:val="005A22A6"/>
    <w:rsid w:val="005A233B"/>
    <w:rsid w:val="005A24BE"/>
    <w:rsid w:val="005A2644"/>
    <w:rsid w:val="005A27CB"/>
    <w:rsid w:val="005A27E3"/>
    <w:rsid w:val="005A293A"/>
    <w:rsid w:val="005A2A60"/>
    <w:rsid w:val="005A2B7F"/>
    <w:rsid w:val="005A2EE2"/>
    <w:rsid w:val="005A2F17"/>
    <w:rsid w:val="005A2FDD"/>
    <w:rsid w:val="005A3146"/>
    <w:rsid w:val="005A3620"/>
    <w:rsid w:val="005A39ED"/>
    <w:rsid w:val="005A3A17"/>
    <w:rsid w:val="005A3B37"/>
    <w:rsid w:val="005A3FEA"/>
    <w:rsid w:val="005A4173"/>
    <w:rsid w:val="005A420C"/>
    <w:rsid w:val="005A4A7B"/>
    <w:rsid w:val="005A4D37"/>
    <w:rsid w:val="005A5591"/>
    <w:rsid w:val="005A57F0"/>
    <w:rsid w:val="005A60E6"/>
    <w:rsid w:val="005A64F1"/>
    <w:rsid w:val="005A6B2F"/>
    <w:rsid w:val="005A7069"/>
    <w:rsid w:val="005A71D3"/>
    <w:rsid w:val="005A72B0"/>
    <w:rsid w:val="005A72F8"/>
    <w:rsid w:val="005A736B"/>
    <w:rsid w:val="005A74DB"/>
    <w:rsid w:val="005A7C37"/>
    <w:rsid w:val="005B0147"/>
    <w:rsid w:val="005B02B4"/>
    <w:rsid w:val="005B0485"/>
    <w:rsid w:val="005B049D"/>
    <w:rsid w:val="005B0554"/>
    <w:rsid w:val="005B062B"/>
    <w:rsid w:val="005B0F9A"/>
    <w:rsid w:val="005B0FD2"/>
    <w:rsid w:val="005B1630"/>
    <w:rsid w:val="005B1A3B"/>
    <w:rsid w:val="005B1AD8"/>
    <w:rsid w:val="005B1B54"/>
    <w:rsid w:val="005B1BFB"/>
    <w:rsid w:val="005B1CD7"/>
    <w:rsid w:val="005B1FB1"/>
    <w:rsid w:val="005B225D"/>
    <w:rsid w:val="005B234C"/>
    <w:rsid w:val="005B258C"/>
    <w:rsid w:val="005B2885"/>
    <w:rsid w:val="005B2912"/>
    <w:rsid w:val="005B29E2"/>
    <w:rsid w:val="005B2C7A"/>
    <w:rsid w:val="005B2D71"/>
    <w:rsid w:val="005B2DC4"/>
    <w:rsid w:val="005B2ED0"/>
    <w:rsid w:val="005B2EE4"/>
    <w:rsid w:val="005B2F4C"/>
    <w:rsid w:val="005B2F70"/>
    <w:rsid w:val="005B3604"/>
    <w:rsid w:val="005B3AA8"/>
    <w:rsid w:val="005B3D79"/>
    <w:rsid w:val="005B3FAF"/>
    <w:rsid w:val="005B3FF3"/>
    <w:rsid w:val="005B415C"/>
    <w:rsid w:val="005B4268"/>
    <w:rsid w:val="005B43CA"/>
    <w:rsid w:val="005B44C6"/>
    <w:rsid w:val="005B46AC"/>
    <w:rsid w:val="005B46F9"/>
    <w:rsid w:val="005B4C42"/>
    <w:rsid w:val="005B4D50"/>
    <w:rsid w:val="005B4E27"/>
    <w:rsid w:val="005B4E54"/>
    <w:rsid w:val="005B4F72"/>
    <w:rsid w:val="005B5059"/>
    <w:rsid w:val="005B528F"/>
    <w:rsid w:val="005B5386"/>
    <w:rsid w:val="005B5979"/>
    <w:rsid w:val="005B5B81"/>
    <w:rsid w:val="005B5DE5"/>
    <w:rsid w:val="005B6167"/>
    <w:rsid w:val="005B618F"/>
    <w:rsid w:val="005B6270"/>
    <w:rsid w:val="005B6364"/>
    <w:rsid w:val="005B6450"/>
    <w:rsid w:val="005B66D7"/>
    <w:rsid w:val="005B698B"/>
    <w:rsid w:val="005B6992"/>
    <w:rsid w:val="005B7325"/>
    <w:rsid w:val="005B7435"/>
    <w:rsid w:val="005B7563"/>
    <w:rsid w:val="005B7653"/>
    <w:rsid w:val="005B782B"/>
    <w:rsid w:val="005B78FA"/>
    <w:rsid w:val="005B79AD"/>
    <w:rsid w:val="005B7A60"/>
    <w:rsid w:val="005B7DD4"/>
    <w:rsid w:val="005B7F08"/>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9F0"/>
    <w:rsid w:val="005C2BAD"/>
    <w:rsid w:val="005C2FCC"/>
    <w:rsid w:val="005C31C6"/>
    <w:rsid w:val="005C3201"/>
    <w:rsid w:val="005C3400"/>
    <w:rsid w:val="005C3581"/>
    <w:rsid w:val="005C371A"/>
    <w:rsid w:val="005C3CA1"/>
    <w:rsid w:val="005C3D51"/>
    <w:rsid w:val="005C3D63"/>
    <w:rsid w:val="005C3DA4"/>
    <w:rsid w:val="005C3F83"/>
    <w:rsid w:val="005C3F97"/>
    <w:rsid w:val="005C4176"/>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EF7"/>
    <w:rsid w:val="005C5FBC"/>
    <w:rsid w:val="005C612A"/>
    <w:rsid w:val="005C6753"/>
    <w:rsid w:val="005C6CC3"/>
    <w:rsid w:val="005C6DD2"/>
    <w:rsid w:val="005C6EAF"/>
    <w:rsid w:val="005C6EB2"/>
    <w:rsid w:val="005C6EFD"/>
    <w:rsid w:val="005C6F27"/>
    <w:rsid w:val="005C70D6"/>
    <w:rsid w:val="005C79B7"/>
    <w:rsid w:val="005C7F0D"/>
    <w:rsid w:val="005D00C9"/>
    <w:rsid w:val="005D0213"/>
    <w:rsid w:val="005D02EF"/>
    <w:rsid w:val="005D03ED"/>
    <w:rsid w:val="005D06A3"/>
    <w:rsid w:val="005D0713"/>
    <w:rsid w:val="005D09DA"/>
    <w:rsid w:val="005D09F2"/>
    <w:rsid w:val="005D0A71"/>
    <w:rsid w:val="005D0C6C"/>
    <w:rsid w:val="005D0FD4"/>
    <w:rsid w:val="005D1152"/>
    <w:rsid w:val="005D1154"/>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9"/>
    <w:rsid w:val="005D314E"/>
    <w:rsid w:val="005D31C3"/>
    <w:rsid w:val="005D355C"/>
    <w:rsid w:val="005D3646"/>
    <w:rsid w:val="005D366D"/>
    <w:rsid w:val="005D380F"/>
    <w:rsid w:val="005D3844"/>
    <w:rsid w:val="005D3947"/>
    <w:rsid w:val="005D3DC7"/>
    <w:rsid w:val="005D3E4D"/>
    <w:rsid w:val="005D3EAB"/>
    <w:rsid w:val="005D4040"/>
    <w:rsid w:val="005D4297"/>
    <w:rsid w:val="005D4442"/>
    <w:rsid w:val="005D478C"/>
    <w:rsid w:val="005D495B"/>
    <w:rsid w:val="005D4962"/>
    <w:rsid w:val="005D4E4B"/>
    <w:rsid w:val="005D5078"/>
    <w:rsid w:val="005D5439"/>
    <w:rsid w:val="005D5540"/>
    <w:rsid w:val="005D5699"/>
    <w:rsid w:val="005D571B"/>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9AF"/>
    <w:rsid w:val="005D7A5B"/>
    <w:rsid w:val="005D7B37"/>
    <w:rsid w:val="005E005F"/>
    <w:rsid w:val="005E01F9"/>
    <w:rsid w:val="005E03EE"/>
    <w:rsid w:val="005E04D2"/>
    <w:rsid w:val="005E0650"/>
    <w:rsid w:val="005E076C"/>
    <w:rsid w:val="005E0988"/>
    <w:rsid w:val="005E0B29"/>
    <w:rsid w:val="005E0D58"/>
    <w:rsid w:val="005E0DC5"/>
    <w:rsid w:val="005E133D"/>
    <w:rsid w:val="005E146C"/>
    <w:rsid w:val="005E1495"/>
    <w:rsid w:val="005E1979"/>
    <w:rsid w:val="005E1FF8"/>
    <w:rsid w:val="005E206F"/>
    <w:rsid w:val="005E216C"/>
    <w:rsid w:val="005E2206"/>
    <w:rsid w:val="005E2222"/>
    <w:rsid w:val="005E22DB"/>
    <w:rsid w:val="005E243B"/>
    <w:rsid w:val="005E2615"/>
    <w:rsid w:val="005E2687"/>
    <w:rsid w:val="005E27D2"/>
    <w:rsid w:val="005E2C86"/>
    <w:rsid w:val="005E2D55"/>
    <w:rsid w:val="005E2D73"/>
    <w:rsid w:val="005E2E11"/>
    <w:rsid w:val="005E3116"/>
    <w:rsid w:val="005E3188"/>
    <w:rsid w:val="005E373D"/>
    <w:rsid w:val="005E3C2D"/>
    <w:rsid w:val="005E3E3D"/>
    <w:rsid w:val="005E3E92"/>
    <w:rsid w:val="005E4176"/>
    <w:rsid w:val="005E4257"/>
    <w:rsid w:val="005E4349"/>
    <w:rsid w:val="005E4493"/>
    <w:rsid w:val="005E44E6"/>
    <w:rsid w:val="005E46EC"/>
    <w:rsid w:val="005E4AF9"/>
    <w:rsid w:val="005E4B74"/>
    <w:rsid w:val="005E4E22"/>
    <w:rsid w:val="005E4FD2"/>
    <w:rsid w:val="005E5127"/>
    <w:rsid w:val="005E5300"/>
    <w:rsid w:val="005E5571"/>
    <w:rsid w:val="005E5996"/>
    <w:rsid w:val="005E5A64"/>
    <w:rsid w:val="005E5D36"/>
    <w:rsid w:val="005E61C5"/>
    <w:rsid w:val="005E63B2"/>
    <w:rsid w:val="005E6611"/>
    <w:rsid w:val="005E67CB"/>
    <w:rsid w:val="005E68F2"/>
    <w:rsid w:val="005E6BB4"/>
    <w:rsid w:val="005E6E42"/>
    <w:rsid w:val="005E711B"/>
    <w:rsid w:val="005E7395"/>
    <w:rsid w:val="005E75BC"/>
    <w:rsid w:val="005E7AAA"/>
    <w:rsid w:val="005E7B4F"/>
    <w:rsid w:val="005E7CAE"/>
    <w:rsid w:val="005E7F08"/>
    <w:rsid w:val="005F0176"/>
    <w:rsid w:val="005F0388"/>
    <w:rsid w:val="005F0B07"/>
    <w:rsid w:val="005F0C99"/>
    <w:rsid w:val="005F0F77"/>
    <w:rsid w:val="005F158E"/>
    <w:rsid w:val="005F1C92"/>
    <w:rsid w:val="005F1FA2"/>
    <w:rsid w:val="005F218D"/>
    <w:rsid w:val="005F22B8"/>
    <w:rsid w:val="005F2552"/>
    <w:rsid w:val="005F27F0"/>
    <w:rsid w:val="005F2AE3"/>
    <w:rsid w:val="005F2AFF"/>
    <w:rsid w:val="005F2EA7"/>
    <w:rsid w:val="005F2F5A"/>
    <w:rsid w:val="005F31EC"/>
    <w:rsid w:val="005F3222"/>
    <w:rsid w:val="005F3694"/>
    <w:rsid w:val="005F370D"/>
    <w:rsid w:val="005F39B5"/>
    <w:rsid w:val="005F3C5C"/>
    <w:rsid w:val="005F3D5C"/>
    <w:rsid w:val="005F3DA5"/>
    <w:rsid w:val="005F3E10"/>
    <w:rsid w:val="005F40A1"/>
    <w:rsid w:val="005F43CE"/>
    <w:rsid w:val="005F43F9"/>
    <w:rsid w:val="005F4545"/>
    <w:rsid w:val="005F477C"/>
    <w:rsid w:val="005F4780"/>
    <w:rsid w:val="005F48C4"/>
    <w:rsid w:val="005F48C7"/>
    <w:rsid w:val="005F4A85"/>
    <w:rsid w:val="005F4EBF"/>
    <w:rsid w:val="005F4F83"/>
    <w:rsid w:val="005F51D5"/>
    <w:rsid w:val="005F58B7"/>
    <w:rsid w:val="005F5AD7"/>
    <w:rsid w:val="005F5AF6"/>
    <w:rsid w:val="005F5EC9"/>
    <w:rsid w:val="005F61F3"/>
    <w:rsid w:val="005F628B"/>
    <w:rsid w:val="005F62F9"/>
    <w:rsid w:val="005F6863"/>
    <w:rsid w:val="005F6C6A"/>
    <w:rsid w:val="005F6CA6"/>
    <w:rsid w:val="005F6E0A"/>
    <w:rsid w:val="005F6F55"/>
    <w:rsid w:val="005F718D"/>
    <w:rsid w:val="005F720F"/>
    <w:rsid w:val="005F7340"/>
    <w:rsid w:val="005F73BC"/>
    <w:rsid w:val="005F73EF"/>
    <w:rsid w:val="005F7488"/>
    <w:rsid w:val="005F7548"/>
    <w:rsid w:val="005F7767"/>
    <w:rsid w:val="005F7780"/>
    <w:rsid w:val="005F7A27"/>
    <w:rsid w:val="005F7DC4"/>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2D4C"/>
    <w:rsid w:val="00603290"/>
    <w:rsid w:val="00603593"/>
    <w:rsid w:val="00603839"/>
    <w:rsid w:val="00603A03"/>
    <w:rsid w:val="00603A71"/>
    <w:rsid w:val="00603EC9"/>
    <w:rsid w:val="00603EF8"/>
    <w:rsid w:val="006041E1"/>
    <w:rsid w:val="00604250"/>
    <w:rsid w:val="006042A9"/>
    <w:rsid w:val="00604512"/>
    <w:rsid w:val="006048E4"/>
    <w:rsid w:val="00604979"/>
    <w:rsid w:val="00604C13"/>
    <w:rsid w:val="00604CE7"/>
    <w:rsid w:val="00605032"/>
    <w:rsid w:val="006052F1"/>
    <w:rsid w:val="00605404"/>
    <w:rsid w:val="00605492"/>
    <w:rsid w:val="0060573D"/>
    <w:rsid w:val="00605BF6"/>
    <w:rsid w:val="00605C5D"/>
    <w:rsid w:val="00605D53"/>
    <w:rsid w:val="00605D99"/>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0AD"/>
    <w:rsid w:val="00610328"/>
    <w:rsid w:val="00610533"/>
    <w:rsid w:val="006107D3"/>
    <w:rsid w:val="00610846"/>
    <w:rsid w:val="00610C00"/>
    <w:rsid w:val="00610E34"/>
    <w:rsid w:val="00610F31"/>
    <w:rsid w:val="0061131B"/>
    <w:rsid w:val="00611489"/>
    <w:rsid w:val="0061167F"/>
    <w:rsid w:val="00611708"/>
    <w:rsid w:val="00611E54"/>
    <w:rsid w:val="00611E6E"/>
    <w:rsid w:val="00612067"/>
    <w:rsid w:val="00612129"/>
    <w:rsid w:val="006122EC"/>
    <w:rsid w:val="006123A4"/>
    <w:rsid w:val="006123D8"/>
    <w:rsid w:val="006125C5"/>
    <w:rsid w:val="00612742"/>
    <w:rsid w:val="0061307E"/>
    <w:rsid w:val="006131CE"/>
    <w:rsid w:val="006132C1"/>
    <w:rsid w:val="0061343B"/>
    <w:rsid w:val="006137C3"/>
    <w:rsid w:val="00613DFA"/>
    <w:rsid w:val="006140B2"/>
    <w:rsid w:val="00614219"/>
    <w:rsid w:val="0061429A"/>
    <w:rsid w:val="006143AF"/>
    <w:rsid w:val="0061450F"/>
    <w:rsid w:val="006145FF"/>
    <w:rsid w:val="00614684"/>
    <w:rsid w:val="006147F9"/>
    <w:rsid w:val="00614AFC"/>
    <w:rsid w:val="00614B9D"/>
    <w:rsid w:val="00614CD2"/>
    <w:rsid w:val="00614DF2"/>
    <w:rsid w:val="00614F2F"/>
    <w:rsid w:val="00615676"/>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A71"/>
    <w:rsid w:val="00617BC8"/>
    <w:rsid w:val="006200CF"/>
    <w:rsid w:val="0062011E"/>
    <w:rsid w:val="006205CB"/>
    <w:rsid w:val="0062073A"/>
    <w:rsid w:val="006207EF"/>
    <w:rsid w:val="00620814"/>
    <w:rsid w:val="00620991"/>
    <w:rsid w:val="00620C6F"/>
    <w:rsid w:val="00620D61"/>
    <w:rsid w:val="00620DEF"/>
    <w:rsid w:val="00620E26"/>
    <w:rsid w:val="00620E42"/>
    <w:rsid w:val="006210C5"/>
    <w:rsid w:val="006210F6"/>
    <w:rsid w:val="00621106"/>
    <w:rsid w:val="00621432"/>
    <w:rsid w:val="006214EB"/>
    <w:rsid w:val="006216DC"/>
    <w:rsid w:val="00621DA0"/>
    <w:rsid w:val="0062213B"/>
    <w:rsid w:val="00622213"/>
    <w:rsid w:val="00622583"/>
    <w:rsid w:val="00622625"/>
    <w:rsid w:val="00622903"/>
    <w:rsid w:val="00622973"/>
    <w:rsid w:val="00622EDE"/>
    <w:rsid w:val="00622F31"/>
    <w:rsid w:val="00622F6A"/>
    <w:rsid w:val="00622F83"/>
    <w:rsid w:val="00622FE3"/>
    <w:rsid w:val="00623089"/>
    <w:rsid w:val="00623209"/>
    <w:rsid w:val="00623349"/>
    <w:rsid w:val="006235F1"/>
    <w:rsid w:val="00623785"/>
    <w:rsid w:val="006238F2"/>
    <w:rsid w:val="0062398B"/>
    <w:rsid w:val="006239F0"/>
    <w:rsid w:val="00623B3F"/>
    <w:rsid w:val="00623FA2"/>
    <w:rsid w:val="00624034"/>
    <w:rsid w:val="00624561"/>
    <w:rsid w:val="006245EF"/>
    <w:rsid w:val="006247B6"/>
    <w:rsid w:val="00624FE7"/>
    <w:rsid w:val="006252F3"/>
    <w:rsid w:val="006256F3"/>
    <w:rsid w:val="00625811"/>
    <w:rsid w:val="00625FB3"/>
    <w:rsid w:val="00626132"/>
    <w:rsid w:val="00626629"/>
    <w:rsid w:val="006268F1"/>
    <w:rsid w:val="00626C65"/>
    <w:rsid w:val="00626C8A"/>
    <w:rsid w:val="00626E77"/>
    <w:rsid w:val="00626ED8"/>
    <w:rsid w:val="00626EDD"/>
    <w:rsid w:val="00627011"/>
    <w:rsid w:val="006270CE"/>
    <w:rsid w:val="0062758E"/>
    <w:rsid w:val="00627AC7"/>
    <w:rsid w:val="00627B8D"/>
    <w:rsid w:val="00627C99"/>
    <w:rsid w:val="00627F10"/>
    <w:rsid w:val="00627FB7"/>
    <w:rsid w:val="00630309"/>
    <w:rsid w:val="006305BD"/>
    <w:rsid w:val="00630753"/>
    <w:rsid w:val="00630991"/>
    <w:rsid w:val="00630F5D"/>
    <w:rsid w:val="00631000"/>
    <w:rsid w:val="00631029"/>
    <w:rsid w:val="00631161"/>
    <w:rsid w:val="006312DE"/>
    <w:rsid w:val="006314A1"/>
    <w:rsid w:val="0063167F"/>
    <w:rsid w:val="006317F9"/>
    <w:rsid w:val="00631D50"/>
    <w:rsid w:val="00632015"/>
    <w:rsid w:val="0063201A"/>
    <w:rsid w:val="0063209C"/>
    <w:rsid w:val="006320F8"/>
    <w:rsid w:val="0063218B"/>
    <w:rsid w:val="00632467"/>
    <w:rsid w:val="0063265F"/>
    <w:rsid w:val="00632694"/>
    <w:rsid w:val="00632901"/>
    <w:rsid w:val="006329A5"/>
    <w:rsid w:val="00632E8D"/>
    <w:rsid w:val="00632EFF"/>
    <w:rsid w:val="00633013"/>
    <w:rsid w:val="0063336F"/>
    <w:rsid w:val="0063344D"/>
    <w:rsid w:val="00633749"/>
    <w:rsid w:val="006338A3"/>
    <w:rsid w:val="00633B83"/>
    <w:rsid w:val="00633ED5"/>
    <w:rsid w:val="006340AD"/>
    <w:rsid w:val="006340E2"/>
    <w:rsid w:val="006343BE"/>
    <w:rsid w:val="0063444B"/>
    <w:rsid w:val="006346F3"/>
    <w:rsid w:val="006349A9"/>
    <w:rsid w:val="00635156"/>
    <w:rsid w:val="006351BE"/>
    <w:rsid w:val="00635784"/>
    <w:rsid w:val="00635862"/>
    <w:rsid w:val="0063588F"/>
    <w:rsid w:val="00635AA3"/>
    <w:rsid w:val="00635C63"/>
    <w:rsid w:val="00635D1C"/>
    <w:rsid w:val="00635DA2"/>
    <w:rsid w:val="00636021"/>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561"/>
    <w:rsid w:val="00640CC2"/>
    <w:rsid w:val="00640ED6"/>
    <w:rsid w:val="00640F8D"/>
    <w:rsid w:val="00641152"/>
    <w:rsid w:val="0064124D"/>
    <w:rsid w:val="006413B1"/>
    <w:rsid w:val="006413F7"/>
    <w:rsid w:val="006414F0"/>
    <w:rsid w:val="00641552"/>
    <w:rsid w:val="0064176C"/>
    <w:rsid w:val="006417F9"/>
    <w:rsid w:val="00641835"/>
    <w:rsid w:val="00641B37"/>
    <w:rsid w:val="00641BA8"/>
    <w:rsid w:val="00641C80"/>
    <w:rsid w:val="00641CB3"/>
    <w:rsid w:val="00641CEB"/>
    <w:rsid w:val="00641D95"/>
    <w:rsid w:val="00641E8A"/>
    <w:rsid w:val="006421EC"/>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51"/>
    <w:rsid w:val="00645FB4"/>
    <w:rsid w:val="0064604F"/>
    <w:rsid w:val="0064612B"/>
    <w:rsid w:val="006461FE"/>
    <w:rsid w:val="00646321"/>
    <w:rsid w:val="0064652A"/>
    <w:rsid w:val="00646871"/>
    <w:rsid w:val="00646C76"/>
    <w:rsid w:val="00646E21"/>
    <w:rsid w:val="0064765B"/>
    <w:rsid w:val="00647671"/>
    <w:rsid w:val="00647869"/>
    <w:rsid w:val="00647CEF"/>
    <w:rsid w:val="00647EBE"/>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2062"/>
    <w:rsid w:val="00652266"/>
    <w:rsid w:val="0065227C"/>
    <w:rsid w:val="006523C9"/>
    <w:rsid w:val="006525B9"/>
    <w:rsid w:val="00652980"/>
    <w:rsid w:val="00652BA8"/>
    <w:rsid w:val="00652E43"/>
    <w:rsid w:val="00653095"/>
    <w:rsid w:val="0065341C"/>
    <w:rsid w:val="0065360E"/>
    <w:rsid w:val="00653A46"/>
    <w:rsid w:val="00653A5A"/>
    <w:rsid w:val="00653EF5"/>
    <w:rsid w:val="00653F70"/>
    <w:rsid w:val="006545BD"/>
    <w:rsid w:val="006547E3"/>
    <w:rsid w:val="00654928"/>
    <w:rsid w:val="00654D6A"/>
    <w:rsid w:val="00654DE7"/>
    <w:rsid w:val="00654E12"/>
    <w:rsid w:val="00654FD2"/>
    <w:rsid w:val="00655329"/>
    <w:rsid w:val="006553EB"/>
    <w:rsid w:val="006557A6"/>
    <w:rsid w:val="00655983"/>
    <w:rsid w:val="00655D6A"/>
    <w:rsid w:val="00655FA2"/>
    <w:rsid w:val="00656229"/>
    <w:rsid w:val="00656992"/>
    <w:rsid w:val="00656D21"/>
    <w:rsid w:val="006571E2"/>
    <w:rsid w:val="006573A0"/>
    <w:rsid w:val="00657736"/>
    <w:rsid w:val="00657793"/>
    <w:rsid w:val="00657E26"/>
    <w:rsid w:val="00660125"/>
    <w:rsid w:val="00660205"/>
    <w:rsid w:val="0066025C"/>
    <w:rsid w:val="006603A6"/>
    <w:rsid w:val="00660475"/>
    <w:rsid w:val="006604DF"/>
    <w:rsid w:val="00660536"/>
    <w:rsid w:val="006606C5"/>
    <w:rsid w:val="00660767"/>
    <w:rsid w:val="0066083E"/>
    <w:rsid w:val="00660AAE"/>
    <w:rsid w:val="00660CE7"/>
    <w:rsid w:val="00660D16"/>
    <w:rsid w:val="00660D19"/>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37E"/>
    <w:rsid w:val="00662513"/>
    <w:rsid w:val="00662713"/>
    <w:rsid w:val="006627DA"/>
    <w:rsid w:val="00662981"/>
    <w:rsid w:val="00662C1F"/>
    <w:rsid w:val="00662DD4"/>
    <w:rsid w:val="00662E45"/>
    <w:rsid w:val="006631F5"/>
    <w:rsid w:val="006632FC"/>
    <w:rsid w:val="006635BB"/>
    <w:rsid w:val="006636F0"/>
    <w:rsid w:val="00663774"/>
    <w:rsid w:val="00663B43"/>
    <w:rsid w:val="00663D00"/>
    <w:rsid w:val="00663D7C"/>
    <w:rsid w:val="006640F4"/>
    <w:rsid w:val="00664103"/>
    <w:rsid w:val="006641CE"/>
    <w:rsid w:val="006647B2"/>
    <w:rsid w:val="006649DF"/>
    <w:rsid w:val="00664EC6"/>
    <w:rsid w:val="00665014"/>
    <w:rsid w:val="006650E6"/>
    <w:rsid w:val="0066515E"/>
    <w:rsid w:val="006652E5"/>
    <w:rsid w:val="00665E52"/>
    <w:rsid w:val="00666096"/>
    <w:rsid w:val="00666235"/>
    <w:rsid w:val="0066625E"/>
    <w:rsid w:val="0066626A"/>
    <w:rsid w:val="0066658B"/>
    <w:rsid w:val="006666FF"/>
    <w:rsid w:val="006667B9"/>
    <w:rsid w:val="006668A0"/>
    <w:rsid w:val="00666B0D"/>
    <w:rsid w:val="00666C2E"/>
    <w:rsid w:val="00666DAD"/>
    <w:rsid w:val="00666F9D"/>
    <w:rsid w:val="00667190"/>
    <w:rsid w:val="00667393"/>
    <w:rsid w:val="0066742E"/>
    <w:rsid w:val="006677E9"/>
    <w:rsid w:val="00667BCB"/>
    <w:rsid w:val="00667BDE"/>
    <w:rsid w:val="00667DF3"/>
    <w:rsid w:val="00667E84"/>
    <w:rsid w:val="00667EA3"/>
    <w:rsid w:val="00667F70"/>
    <w:rsid w:val="00667FB0"/>
    <w:rsid w:val="00667FB1"/>
    <w:rsid w:val="00667FBE"/>
    <w:rsid w:val="006702A1"/>
    <w:rsid w:val="006702CB"/>
    <w:rsid w:val="00670352"/>
    <w:rsid w:val="00670409"/>
    <w:rsid w:val="00670588"/>
    <w:rsid w:val="006705FE"/>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93"/>
    <w:rsid w:val="006713AE"/>
    <w:rsid w:val="00671420"/>
    <w:rsid w:val="0067149E"/>
    <w:rsid w:val="00671700"/>
    <w:rsid w:val="00671937"/>
    <w:rsid w:val="00671982"/>
    <w:rsid w:val="00671EB2"/>
    <w:rsid w:val="00671EC5"/>
    <w:rsid w:val="00672AFD"/>
    <w:rsid w:val="00672D51"/>
    <w:rsid w:val="00672F44"/>
    <w:rsid w:val="0067305C"/>
    <w:rsid w:val="006732AA"/>
    <w:rsid w:val="0067330F"/>
    <w:rsid w:val="00673678"/>
    <w:rsid w:val="00673751"/>
    <w:rsid w:val="006737AA"/>
    <w:rsid w:val="006737BC"/>
    <w:rsid w:val="00673B66"/>
    <w:rsid w:val="00673BB7"/>
    <w:rsid w:val="00673E21"/>
    <w:rsid w:val="00674AC1"/>
    <w:rsid w:val="00674BA2"/>
    <w:rsid w:val="00674BEC"/>
    <w:rsid w:val="00674CA4"/>
    <w:rsid w:val="00674D84"/>
    <w:rsid w:val="00674E02"/>
    <w:rsid w:val="00674E29"/>
    <w:rsid w:val="00674E76"/>
    <w:rsid w:val="006751A2"/>
    <w:rsid w:val="00675218"/>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C1E"/>
    <w:rsid w:val="00677E2C"/>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4A9"/>
    <w:rsid w:val="006825D2"/>
    <w:rsid w:val="006827D9"/>
    <w:rsid w:val="00682861"/>
    <w:rsid w:val="006829B5"/>
    <w:rsid w:val="00682B1E"/>
    <w:rsid w:val="00682C03"/>
    <w:rsid w:val="00682C46"/>
    <w:rsid w:val="00682CC7"/>
    <w:rsid w:val="00682DFA"/>
    <w:rsid w:val="00682E1F"/>
    <w:rsid w:val="00683026"/>
    <w:rsid w:val="00683071"/>
    <w:rsid w:val="0068312A"/>
    <w:rsid w:val="0068314D"/>
    <w:rsid w:val="0068367B"/>
    <w:rsid w:val="00683B40"/>
    <w:rsid w:val="00683D7E"/>
    <w:rsid w:val="00683FCC"/>
    <w:rsid w:val="006840C6"/>
    <w:rsid w:val="0068420B"/>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5F43"/>
    <w:rsid w:val="00685F53"/>
    <w:rsid w:val="0068627A"/>
    <w:rsid w:val="00686287"/>
    <w:rsid w:val="0068631C"/>
    <w:rsid w:val="00686390"/>
    <w:rsid w:val="006864D7"/>
    <w:rsid w:val="00686500"/>
    <w:rsid w:val="006865D9"/>
    <w:rsid w:val="006865F6"/>
    <w:rsid w:val="00686CEE"/>
    <w:rsid w:val="00686E49"/>
    <w:rsid w:val="0068721B"/>
    <w:rsid w:val="00687232"/>
    <w:rsid w:val="00687419"/>
    <w:rsid w:val="00687430"/>
    <w:rsid w:val="006874EA"/>
    <w:rsid w:val="00687813"/>
    <w:rsid w:val="0068786D"/>
    <w:rsid w:val="0068789F"/>
    <w:rsid w:val="00687960"/>
    <w:rsid w:val="006879A6"/>
    <w:rsid w:val="006879F7"/>
    <w:rsid w:val="00687A79"/>
    <w:rsid w:val="00687D11"/>
    <w:rsid w:val="00687F8E"/>
    <w:rsid w:val="00690503"/>
    <w:rsid w:val="00690853"/>
    <w:rsid w:val="0069090C"/>
    <w:rsid w:val="006909A3"/>
    <w:rsid w:val="00690A40"/>
    <w:rsid w:val="00690AD3"/>
    <w:rsid w:val="00690B2D"/>
    <w:rsid w:val="00690B82"/>
    <w:rsid w:val="00690E6B"/>
    <w:rsid w:val="00691406"/>
    <w:rsid w:val="006915A4"/>
    <w:rsid w:val="00691B54"/>
    <w:rsid w:val="00691C6F"/>
    <w:rsid w:val="00691F71"/>
    <w:rsid w:val="00691FC4"/>
    <w:rsid w:val="006921CB"/>
    <w:rsid w:val="00692209"/>
    <w:rsid w:val="00692217"/>
    <w:rsid w:val="00692276"/>
    <w:rsid w:val="00692809"/>
    <w:rsid w:val="00692B2C"/>
    <w:rsid w:val="006930E4"/>
    <w:rsid w:val="006931FD"/>
    <w:rsid w:val="0069328A"/>
    <w:rsid w:val="00693305"/>
    <w:rsid w:val="00693380"/>
    <w:rsid w:val="006934A7"/>
    <w:rsid w:val="0069352D"/>
    <w:rsid w:val="006935FD"/>
    <w:rsid w:val="006936D7"/>
    <w:rsid w:val="0069371C"/>
    <w:rsid w:val="006937FD"/>
    <w:rsid w:val="006938E7"/>
    <w:rsid w:val="00693BB3"/>
    <w:rsid w:val="00693C15"/>
    <w:rsid w:val="00693E35"/>
    <w:rsid w:val="00693EBE"/>
    <w:rsid w:val="00693F0E"/>
    <w:rsid w:val="00693FD2"/>
    <w:rsid w:val="006941C3"/>
    <w:rsid w:val="00694285"/>
    <w:rsid w:val="00694479"/>
    <w:rsid w:val="006945B0"/>
    <w:rsid w:val="00694672"/>
    <w:rsid w:val="006947DD"/>
    <w:rsid w:val="006948CF"/>
    <w:rsid w:val="006948DB"/>
    <w:rsid w:val="00694941"/>
    <w:rsid w:val="00694BEC"/>
    <w:rsid w:val="00694C23"/>
    <w:rsid w:val="00694C4F"/>
    <w:rsid w:val="00695033"/>
    <w:rsid w:val="00695057"/>
    <w:rsid w:val="00695166"/>
    <w:rsid w:val="0069549E"/>
    <w:rsid w:val="00695537"/>
    <w:rsid w:val="006956D2"/>
    <w:rsid w:val="00695CC8"/>
    <w:rsid w:val="00695DC1"/>
    <w:rsid w:val="006961DE"/>
    <w:rsid w:val="006961F1"/>
    <w:rsid w:val="0069655C"/>
    <w:rsid w:val="00696592"/>
    <w:rsid w:val="00696691"/>
    <w:rsid w:val="00696768"/>
    <w:rsid w:val="006967C4"/>
    <w:rsid w:val="00696929"/>
    <w:rsid w:val="00696E51"/>
    <w:rsid w:val="00696E5F"/>
    <w:rsid w:val="0069706A"/>
    <w:rsid w:val="006970DC"/>
    <w:rsid w:val="006973A8"/>
    <w:rsid w:val="006973B0"/>
    <w:rsid w:val="006976E4"/>
    <w:rsid w:val="006976FD"/>
    <w:rsid w:val="006978A5"/>
    <w:rsid w:val="00697C8C"/>
    <w:rsid w:val="006A0060"/>
    <w:rsid w:val="006A03C9"/>
    <w:rsid w:val="006A04FD"/>
    <w:rsid w:val="006A062C"/>
    <w:rsid w:val="006A0695"/>
    <w:rsid w:val="006A0A06"/>
    <w:rsid w:val="006A0BB6"/>
    <w:rsid w:val="006A0E8E"/>
    <w:rsid w:val="006A0FFF"/>
    <w:rsid w:val="006A103C"/>
    <w:rsid w:val="006A103D"/>
    <w:rsid w:val="006A1235"/>
    <w:rsid w:val="006A18B1"/>
    <w:rsid w:val="006A1904"/>
    <w:rsid w:val="006A1C3E"/>
    <w:rsid w:val="006A212C"/>
    <w:rsid w:val="006A2952"/>
    <w:rsid w:val="006A2B18"/>
    <w:rsid w:val="006A2ED6"/>
    <w:rsid w:val="006A2F1F"/>
    <w:rsid w:val="006A3148"/>
    <w:rsid w:val="006A322C"/>
    <w:rsid w:val="006A32E3"/>
    <w:rsid w:val="006A3350"/>
    <w:rsid w:val="006A35EE"/>
    <w:rsid w:val="006A36CC"/>
    <w:rsid w:val="006A3896"/>
    <w:rsid w:val="006A3938"/>
    <w:rsid w:val="006A4228"/>
    <w:rsid w:val="006A42ED"/>
    <w:rsid w:val="006A4704"/>
    <w:rsid w:val="006A499C"/>
    <w:rsid w:val="006A4AF0"/>
    <w:rsid w:val="006A4B60"/>
    <w:rsid w:val="006A51AE"/>
    <w:rsid w:val="006A56A7"/>
    <w:rsid w:val="006A5EB2"/>
    <w:rsid w:val="006A5EEC"/>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A7F64"/>
    <w:rsid w:val="006B00B8"/>
    <w:rsid w:val="006B012C"/>
    <w:rsid w:val="006B02D0"/>
    <w:rsid w:val="006B0575"/>
    <w:rsid w:val="006B0627"/>
    <w:rsid w:val="006B08B8"/>
    <w:rsid w:val="006B0BC7"/>
    <w:rsid w:val="006B1235"/>
    <w:rsid w:val="006B1246"/>
    <w:rsid w:val="006B13AB"/>
    <w:rsid w:val="006B1471"/>
    <w:rsid w:val="006B1495"/>
    <w:rsid w:val="006B18D6"/>
    <w:rsid w:val="006B1CAC"/>
    <w:rsid w:val="006B1F9A"/>
    <w:rsid w:val="006B24EB"/>
    <w:rsid w:val="006B2619"/>
    <w:rsid w:val="006B267D"/>
    <w:rsid w:val="006B2D11"/>
    <w:rsid w:val="006B30B9"/>
    <w:rsid w:val="006B31CE"/>
    <w:rsid w:val="006B3268"/>
    <w:rsid w:val="006B328F"/>
    <w:rsid w:val="006B336B"/>
    <w:rsid w:val="006B33B4"/>
    <w:rsid w:val="006B342B"/>
    <w:rsid w:val="006B3442"/>
    <w:rsid w:val="006B358B"/>
    <w:rsid w:val="006B37DC"/>
    <w:rsid w:val="006B3802"/>
    <w:rsid w:val="006B38A2"/>
    <w:rsid w:val="006B38CF"/>
    <w:rsid w:val="006B39AB"/>
    <w:rsid w:val="006B3A6D"/>
    <w:rsid w:val="006B3A74"/>
    <w:rsid w:val="006B3BEB"/>
    <w:rsid w:val="006B3D81"/>
    <w:rsid w:val="006B4100"/>
    <w:rsid w:val="006B4136"/>
    <w:rsid w:val="006B423B"/>
    <w:rsid w:val="006B460D"/>
    <w:rsid w:val="006B46C9"/>
    <w:rsid w:val="006B4A0A"/>
    <w:rsid w:val="006B4A7B"/>
    <w:rsid w:val="006B4BBA"/>
    <w:rsid w:val="006B4E27"/>
    <w:rsid w:val="006B4E41"/>
    <w:rsid w:val="006B4EDA"/>
    <w:rsid w:val="006B4F6F"/>
    <w:rsid w:val="006B5143"/>
    <w:rsid w:val="006B5692"/>
    <w:rsid w:val="006B57B6"/>
    <w:rsid w:val="006B593B"/>
    <w:rsid w:val="006B5A8D"/>
    <w:rsid w:val="006B5FEB"/>
    <w:rsid w:val="006B6268"/>
    <w:rsid w:val="006B646D"/>
    <w:rsid w:val="006B648C"/>
    <w:rsid w:val="006B6914"/>
    <w:rsid w:val="006B6916"/>
    <w:rsid w:val="006B69DD"/>
    <w:rsid w:val="006B6AE4"/>
    <w:rsid w:val="006B6C08"/>
    <w:rsid w:val="006B6E71"/>
    <w:rsid w:val="006B72E5"/>
    <w:rsid w:val="006B7592"/>
    <w:rsid w:val="006B76B1"/>
    <w:rsid w:val="006B7835"/>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1D67"/>
    <w:rsid w:val="006C23F8"/>
    <w:rsid w:val="006C2457"/>
    <w:rsid w:val="006C2899"/>
    <w:rsid w:val="006C2954"/>
    <w:rsid w:val="006C2AAD"/>
    <w:rsid w:val="006C3262"/>
    <w:rsid w:val="006C34F4"/>
    <w:rsid w:val="006C3524"/>
    <w:rsid w:val="006C36F4"/>
    <w:rsid w:val="006C37FC"/>
    <w:rsid w:val="006C3997"/>
    <w:rsid w:val="006C3BFB"/>
    <w:rsid w:val="006C3EAE"/>
    <w:rsid w:val="006C42C7"/>
    <w:rsid w:val="006C46BC"/>
    <w:rsid w:val="006C48F9"/>
    <w:rsid w:val="006C4A40"/>
    <w:rsid w:val="006C4A9B"/>
    <w:rsid w:val="006C4B3C"/>
    <w:rsid w:val="006C4D0C"/>
    <w:rsid w:val="006C4DAD"/>
    <w:rsid w:val="006C4DCD"/>
    <w:rsid w:val="006C512C"/>
    <w:rsid w:val="006C52F8"/>
    <w:rsid w:val="006C5A12"/>
    <w:rsid w:val="006C60EF"/>
    <w:rsid w:val="006C6233"/>
    <w:rsid w:val="006C6433"/>
    <w:rsid w:val="006C6435"/>
    <w:rsid w:val="006C64F9"/>
    <w:rsid w:val="006C676E"/>
    <w:rsid w:val="006C67C4"/>
    <w:rsid w:val="006C6E2F"/>
    <w:rsid w:val="006C6E59"/>
    <w:rsid w:val="006C6E7B"/>
    <w:rsid w:val="006C6EB2"/>
    <w:rsid w:val="006C75AE"/>
    <w:rsid w:val="006C78DA"/>
    <w:rsid w:val="006C7CBF"/>
    <w:rsid w:val="006C7DCE"/>
    <w:rsid w:val="006C7E1D"/>
    <w:rsid w:val="006D0173"/>
    <w:rsid w:val="006D0399"/>
    <w:rsid w:val="006D0A96"/>
    <w:rsid w:val="006D0ADC"/>
    <w:rsid w:val="006D0F2A"/>
    <w:rsid w:val="006D0F68"/>
    <w:rsid w:val="006D128C"/>
    <w:rsid w:val="006D1303"/>
    <w:rsid w:val="006D1383"/>
    <w:rsid w:val="006D1489"/>
    <w:rsid w:val="006D198D"/>
    <w:rsid w:val="006D1C61"/>
    <w:rsid w:val="006D1DD6"/>
    <w:rsid w:val="006D1EDC"/>
    <w:rsid w:val="006D21B8"/>
    <w:rsid w:val="006D220B"/>
    <w:rsid w:val="006D224A"/>
    <w:rsid w:val="006D253D"/>
    <w:rsid w:val="006D26B1"/>
    <w:rsid w:val="006D27AE"/>
    <w:rsid w:val="006D2804"/>
    <w:rsid w:val="006D2CB7"/>
    <w:rsid w:val="006D3198"/>
    <w:rsid w:val="006D31DD"/>
    <w:rsid w:val="006D31FF"/>
    <w:rsid w:val="006D345A"/>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984"/>
    <w:rsid w:val="006D4A21"/>
    <w:rsid w:val="006D4A7C"/>
    <w:rsid w:val="006D4DB4"/>
    <w:rsid w:val="006D4F8B"/>
    <w:rsid w:val="006D545B"/>
    <w:rsid w:val="006D55BF"/>
    <w:rsid w:val="006D5AAA"/>
    <w:rsid w:val="006D5B0F"/>
    <w:rsid w:val="006D5DB7"/>
    <w:rsid w:val="006D5E1C"/>
    <w:rsid w:val="006D5ECA"/>
    <w:rsid w:val="006D5F74"/>
    <w:rsid w:val="006D628E"/>
    <w:rsid w:val="006D64DA"/>
    <w:rsid w:val="006D6609"/>
    <w:rsid w:val="006D673F"/>
    <w:rsid w:val="006D6D91"/>
    <w:rsid w:val="006D7443"/>
    <w:rsid w:val="006D7A10"/>
    <w:rsid w:val="006D7A5F"/>
    <w:rsid w:val="006D7B4D"/>
    <w:rsid w:val="006D7BE9"/>
    <w:rsid w:val="006D7C2C"/>
    <w:rsid w:val="006D7D4F"/>
    <w:rsid w:val="006E0658"/>
    <w:rsid w:val="006E085A"/>
    <w:rsid w:val="006E0B0F"/>
    <w:rsid w:val="006E0C02"/>
    <w:rsid w:val="006E0D52"/>
    <w:rsid w:val="006E0E8B"/>
    <w:rsid w:val="006E0EB2"/>
    <w:rsid w:val="006E0FAC"/>
    <w:rsid w:val="006E11C5"/>
    <w:rsid w:val="006E12E7"/>
    <w:rsid w:val="006E16F7"/>
    <w:rsid w:val="006E1876"/>
    <w:rsid w:val="006E1CEA"/>
    <w:rsid w:val="006E224E"/>
    <w:rsid w:val="006E22F3"/>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732"/>
    <w:rsid w:val="006E6A89"/>
    <w:rsid w:val="006E6CDD"/>
    <w:rsid w:val="006E7403"/>
    <w:rsid w:val="006E7511"/>
    <w:rsid w:val="006E79C7"/>
    <w:rsid w:val="006E7B0A"/>
    <w:rsid w:val="006E7CF4"/>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0E45"/>
    <w:rsid w:val="006F105E"/>
    <w:rsid w:val="006F1073"/>
    <w:rsid w:val="006F12B8"/>
    <w:rsid w:val="006F1368"/>
    <w:rsid w:val="006F1369"/>
    <w:rsid w:val="006F13A1"/>
    <w:rsid w:val="006F1812"/>
    <w:rsid w:val="006F18AC"/>
    <w:rsid w:val="006F1C7D"/>
    <w:rsid w:val="006F1D15"/>
    <w:rsid w:val="006F1E7D"/>
    <w:rsid w:val="006F2562"/>
    <w:rsid w:val="006F2574"/>
    <w:rsid w:val="006F274B"/>
    <w:rsid w:val="006F27AA"/>
    <w:rsid w:val="006F28F8"/>
    <w:rsid w:val="006F29AA"/>
    <w:rsid w:val="006F2C84"/>
    <w:rsid w:val="006F314E"/>
    <w:rsid w:val="006F324A"/>
    <w:rsid w:val="006F33D2"/>
    <w:rsid w:val="006F3474"/>
    <w:rsid w:val="006F3491"/>
    <w:rsid w:val="006F36DF"/>
    <w:rsid w:val="006F3896"/>
    <w:rsid w:val="006F390E"/>
    <w:rsid w:val="006F41EA"/>
    <w:rsid w:val="006F4511"/>
    <w:rsid w:val="006F4701"/>
    <w:rsid w:val="006F4781"/>
    <w:rsid w:val="006F4862"/>
    <w:rsid w:val="006F4CB1"/>
    <w:rsid w:val="006F4E79"/>
    <w:rsid w:val="006F4F22"/>
    <w:rsid w:val="006F5040"/>
    <w:rsid w:val="006F5198"/>
    <w:rsid w:val="006F538D"/>
    <w:rsid w:val="006F53FD"/>
    <w:rsid w:val="006F5647"/>
    <w:rsid w:val="006F5680"/>
    <w:rsid w:val="006F5948"/>
    <w:rsid w:val="006F5B37"/>
    <w:rsid w:val="006F5E5C"/>
    <w:rsid w:val="006F5F0C"/>
    <w:rsid w:val="006F5F26"/>
    <w:rsid w:val="006F6021"/>
    <w:rsid w:val="006F609F"/>
    <w:rsid w:val="006F60B9"/>
    <w:rsid w:val="006F6323"/>
    <w:rsid w:val="006F633A"/>
    <w:rsid w:val="006F64CB"/>
    <w:rsid w:val="006F67F6"/>
    <w:rsid w:val="006F6C72"/>
    <w:rsid w:val="006F6EA4"/>
    <w:rsid w:val="006F7489"/>
    <w:rsid w:val="006F7AD6"/>
    <w:rsid w:val="006F7B3D"/>
    <w:rsid w:val="006F7EB2"/>
    <w:rsid w:val="006F7EEC"/>
    <w:rsid w:val="00700463"/>
    <w:rsid w:val="00700963"/>
    <w:rsid w:val="007009A8"/>
    <w:rsid w:val="00700BCA"/>
    <w:rsid w:val="00700EB9"/>
    <w:rsid w:val="00700F7C"/>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DAA"/>
    <w:rsid w:val="00706F68"/>
    <w:rsid w:val="007076EF"/>
    <w:rsid w:val="00707741"/>
    <w:rsid w:val="00707787"/>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62C"/>
    <w:rsid w:val="00711E5B"/>
    <w:rsid w:val="00711F83"/>
    <w:rsid w:val="00711FF8"/>
    <w:rsid w:val="00712152"/>
    <w:rsid w:val="007124C2"/>
    <w:rsid w:val="0071251D"/>
    <w:rsid w:val="007125FF"/>
    <w:rsid w:val="00712990"/>
    <w:rsid w:val="00712B75"/>
    <w:rsid w:val="00712DC8"/>
    <w:rsid w:val="00712DD0"/>
    <w:rsid w:val="007135D8"/>
    <w:rsid w:val="00713721"/>
    <w:rsid w:val="00713C8E"/>
    <w:rsid w:val="00713CF2"/>
    <w:rsid w:val="00713D1A"/>
    <w:rsid w:val="00713E7B"/>
    <w:rsid w:val="00713F1E"/>
    <w:rsid w:val="00713F40"/>
    <w:rsid w:val="00713F70"/>
    <w:rsid w:val="00714061"/>
    <w:rsid w:val="0071413D"/>
    <w:rsid w:val="00714298"/>
    <w:rsid w:val="00714424"/>
    <w:rsid w:val="007144EE"/>
    <w:rsid w:val="007149B4"/>
    <w:rsid w:val="00714B98"/>
    <w:rsid w:val="00714CFC"/>
    <w:rsid w:val="007155D6"/>
    <w:rsid w:val="00715624"/>
    <w:rsid w:val="00715785"/>
    <w:rsid w:val="00715897"/>
    <w:rsid w:val="0071612A"/>
    <w:rsid w:val="007162A6"/>
    <w:rsid w:val="007162C1"/>
    <w:rsid w:val="007165DE"/>
    <w:rsid w:val="00716637"/>
    <w:rsid w:val="00716659"/>
    <w:rsid w:val="007166BE"/>
    <w:rsid w:val="007169E4"/>
    <w:rsid w:val="00716A00"/>
    <w:rsid w:val="00716AEE"/>
    <w:rsid w:val="00716EFB"/>
    <w:rsid w:val="00717120"/>
    <w:rsid w:val="00717172"/>
    <w:rsid w:val="00717213"/>
    <w:rsid w:val="00717410"/>
    <w:rsid w:val="00717954"/>
    <w:rsid w:val="00717CF5"/>
    <w:rsid w:val="00717F6C"/>
    <w:rsid w:val="0072012C"/>
    <w:rsid w:val="007203F9"/>
    <w:rsid w:val="00720448"/>
    <w:rsid w:val="00720617"/>
    <w:rsid w:val="00720627"/>
    <w:rsid w:val="0072068C"/>
    <w:rsid w:val="00720805"/>
    <w:rsid w:val="007208BD"/>
    <w:rsid w:val="007209B7"/>
    <w:rsid w:val="00720D30"/>
    <w:rsid w:val="00720D86"/>
    <w:rsid w:val="00720F72"/>
    <w:rsid w:val="00721138"/>
    <w:rsid w:val="0072157A"/>
    <w:rsid w:val="00721982"/>
    <w:rsid w:val="00721AAA"/>
    <w:rsid w:val="00722421"/>
    <w:rsid w:val="00722906"/>
    <w:rsid w:val="00722BDB"/>
    <w:rsid w:val="00722C71"/>
    <w:rsid w:val="00722C7D"/>
    <w:rsid w:val="0072304D"/>
    <w:rsid w:val="0072322D"/>
    <w:rsid w:val="00723589"/>
    <w:rsid w:val="00723971"/>
    <w:rsid w:val="0072398E"/>
    <w:rsid w:val="00723A3F"/>
    <w:rsid w:val="00723DFB"/>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220"/>
    <w:rsid w:val="00727298"/>
    <w:rsid w:val="0072737C"/>
    <w:rsid w:val="007275D2"/>
    <w:rsid w:val="00727AAC"/>
    <w:rsid w:val="00730051"/>
    <w:rsid w:val="007301EA"/>
    <w:rsid w:val="00730261"/>
    <w:rsid w:val="007302B7"/>
    <w:rsid w:val="007303E9"/>
    <w:rsid w:val="00730425"/>
    <w:rsid w:val="00730509"/>
    <w:rsid w:val="007309F6"/>
    <w:rsid w:val="00730C80"/>
    <w:rsid w:val="00731137"/>
    <w:rsid w:val="00731204"/>
    <w:rsid w:val="007313C2"/>
    <w:rsid w:val="00731401"/>
    <w:rsid w:val="00731517"/>
    <w:rsid w:val="00731518"/>
    <w:rsid w:val="0073167A"/>
    <w:rsid w:val="0073168F"/>
    <w:rsid w:val="00731973"/>
    <w:rsid w:val="007319D7"/>
    <w:rsid w:val="00731A63"/>
    <w:rsid w:val="00731AA9"/>
    <w:rsid w:val="00731C85"/>
    <w:rsid w:val="00731DA7"/>
    <w:rsid w:val="00731DF7"/>
    <w:rsid w:val="00731DFB"/>
    <w:rsid w:val="00732039"/>
    <w:rsid w:val="0073222E"/>
    <w:rsid w:val="007323D7"/>
    <w:rsid w:val="0073243B"/>
    <w:rsid w:val="007325AA"/>
    <w:rsid w:val="00732A99"/>
    <w:rsid w:val="00732EBD"/>
    <w:rsid w:val="00732FDF"/>
    <w:rsid w:val="00733248"/>
    <w:rsid w:val="00733637"/>
    <w:rsid w:val="00733A48"/>
    <w:rsid w:val="00733A4B"/>
    <w:rsid w:val="00733DAC"/>
    <w:rsid w:val="00734348"/>
    <w:rsid w:val="007345DC"/>
    <w:rsid w:val="00734649"/>
    <w:rsid w:val="0073467C"/>
    <w:rsid w:val="00734687"/>
    <w:rsid w:val="0073480F"/>
    <w:rsid w:val="00734A7A"/>
    <w:rsid w:val="00734B7F"/>
    <w:rsid w:val="00734BAF"/>
    <w:rsid w:val="00734C1A"/>
    <w:rsid w:val="00734D79"/>
    <w:rsid w:val="00734F33"/>
    <w:rsid w:val="00735225"/>
    <w:rsid w:val="007352BA"/>
    <w:rsid w:val="0073533E"/>
    <w:rsid w:val="00735427"/>
    <w:rsid w:val="007356BB"/>
    <w:rsid w:val="007356D4"/>
    <w:rsid w:val="0073595F"/>
    <w:rsid w:val="00735989"/>
    <w:rsid w:val="00735A0E"/>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37F60"/>
    <w:rsid w:val="007402A9"/>
    <w:rsid w:val="007403DF"/>
    <w:rsid w:val="0074072A"/>
    <w:rsid w:val="00740937"/>
    <w:rsid w:val="00740B7E"/>
    <w:rsid w:val="00740DDE"/>
    <w:rsid w:val="007410A4"/>
    <w:rsid w:val="00741214"/>
    <w:rsid w:val="00741286"/>
    <w:rsid w:val="007413E2"/>
    <w:rsid w:val="007419A0"/>
    <w:rsid w:val="00741BC7"/>
    <w:rsid w:val="00741C1C"/>
    <w:rsid w:val="00741C7D"/>
    <w:rsid w:val="00741CE5"/>
    <w:rsid w:val="00741E57"/>
    <w:rsid w:val="00742677"/>
    <w:rsid w:val="00742948"/>
    <w:rsid w:val="00742AF3"/>
    <w:rsid w:val="00742C77"/>
    <w:rsid w:val="00742DC4"/>
    <w:rsid w:val="007431BE"/>
    <w:rsid w:val="00743283"/>
    <w:rsid w:val="007434E5"/>
    <w:rsid w:val="007436A6"/>
    <w:rsid w:val="0074384C"/>
    <w:rsid w:val="00743E8F"/>
    <w:rsid w:val="00743F67"/>
    <w:rsid w:val="00744049"/>
    <w:rsid w:val="007441DB"/>
    <w:rsid w:val="00744206"/>
    <w:rsid w:val="0074470C"/>
    <w:rsid w:val="00744739"/>
    <w:rsid w:val="00744EE8"/>
    <w:rsid w:val="00744F21"/>
    <w:rsid w:val="00745132"/>
    <w:rsid w:val="0074582C"/>
    <w:rsid w:val="00745C44"/>
    <w:rsid w:val="00746149"/>
    <w:rsid w:val="007461BA"/>
    <w:rsid w:val="007463E4"/>
    <w:rsid w:val="0074665D"/>
    <w:rsid w:val="0074668D"/>
    <w:rsid w:val="00746A68"/>
    <w:rsid w:val="00746E12"/>
    <w:rsid w:val="00747075"/>
    <w:rsid w:val="0074718E"/>
    <w:rsid w:val="00747374"/>
    <w:rsid w:val="007473B5"/>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1F81"/>
    <w:rsid w:val="007520C8"/>
    <w:rsid w:val="00752281"/>
    <w:rsid w:val="007523A0"/>
    <w:rsid w:val="007525EF"/>
    <w:rsid w:val="00752662"/>
    <w:rsid w:val="00752843"/>
    <w:rsid w:val="00752998"/>
    <w:rsid w:val="00752D8F"/>
    <w:rsid w:val="00752ED3"/>
    <w:rsid w:val="0075308F"/>
    <w:rsid w:val="00753250"/>
    <w:rsid w:val="007533E0"/>
    <w:rsid w:val="00753579"/>
    <w:rsid w:val="007535B5"/>
    <w:rsid w:val="007535C7"/>
    <w:rsid w:val="00753BD3"/>
    <w:rsid w:val="00753D18"/>
    <w:rsid w:val="00753D31"/>
    <w:rsid w:val="00753DB3"/>
    <w:rsid w:val="00753F05"/>
    <w:rsid w:val="00753F2E"/>
    <w:rsid w:val="007540F1"/>
    <w:rsid w:val="007544DF"/>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4CD"/>
    <w:rsid w:val="00756780"/>
    <w:rsid w:val="007567C1"/>
    <w:rsid w:val="0075706D"/>
    <w:rsid w:val="007572B4"/>
    <w:rsid w:val="00757449"/>
    <w:rsid w:val="007579CC"/>
    <w:rsid w:val="00757A7E"/>
    <w:rsid w:val="00757B0C"/>
    <w:rsid w:val="00757FD7"/>
    <w:rsid w:val="007600B7"/>
    <w:rsid w:val="007600BD"/>
    <w:rsid w:val="007600F4"/>
    <w:rsid w:val="007600F8"/>
    <w:rsid w:val="007609A7"/>
    <w:rsid w:val="00760B43"/>
    <w:rsid w:val="00760C62"/>
    <w:rsid w:val="00760F35"/>
    <w:rsid w:val="007612F8"/>
    <w:rsid w:val="007614F3"/>
    <w:rsid w:val="007618F1"/>
    <w:rsid w:val="00761934"/>
    <w:rsid w:val="00761C3B"/>
    <w:rsid w:val="00761C4D"/>
    <w:rsid w:val="00762246"/>
    <w:rsid w:val="00762415"/>
    <w:rsid w:val="00762712"/>
    <w:rsid w:val="00762C0B"/>
    <w:rsid w:val="00762E0D"/>
    <w:rsid w:val="00763058"/>
    <w:rsid w:val="00763230"/>
    <w:rsid w:val="007638D5"/>
    <w:rsid w:val="00763970"/>
    <w:rsid w:val="00763B92"/>
    <w:rsid w:val="00763C6C"/>
    <w:rsid w:val="00763E2C"/>
    <w:rsid w:val="00763E80"/>
    <w:rsid w:val="00763F3A"/>
    <w:rsid w:val="00764143"/>
    <w:rsid w:val="007641D6"/>
    <w:rsid w:val="007642B8"/>
    <w:rsid w:val="0076474F"/>
    <w:rsid w:val="00764E95"/>
    <w:rsid w:val="00764F3C"/>
    <w:rsid w:val="00764F8D"/>
    <w:rsid w:val="00765050"/>
    <w:rsid w:val="007652E4"/>
    <w:rsid w:val="00765352"/>
    <w:rsid w:val="0076540C"/>
    <w:rsid w:val="0076550F"/>
    <w:rsid w:val="007658D8"/>
    <w:rsid w:val="00765ABB"/>
    <w:rsid w:val="00766045"/>
    <w:rsid w:val="00766064"/>
    <w:rsid w:val="007661A9"/>
    <w:rsid w:val="0076629B"/>
    <w:rsid w:val="00766720"/>
    <w:rsid w:val="00766765"/>
    <w:rsid w:val="00766B3E"/>
    <w:rsid w:val="0076720C"/>
    <w:rsid w:val="00767311"/>
    <w:rsid w:val="0076788F"/>
    <w:rsid w:val="007678BC"/>
    <w:rsid w:val="00767989"/>
    <w:rsid w:val="00767AEC"/>
    <w:rsid w:val="00767C50"/>
    <w:rsid w:val="00767E5C"/>
    <w:rsid w:val="00767E71"/>
    <w:rsid w:val="00767EF6"/>
    <w:rsid w:val="0077007B"/>
    <w:rsid w:val="0077018A"/>
    <w:rsid w:val="007702C7"/>
    <w:rsid w:val="00770530"/>
    <w:rsid w:val="00770837"/>
    <w:rsid w:val="00771043"/>
    <w:rsid w:val="00771085"/>
    <w:rsid w:val="007711BA"/>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992"/>
    <w:rsid w:val="00773B73"/>
    <w:rsid w:val="00773BDB"/>
    <w:rsid w:val="007740D4"/>
    <w:rsid w:val="00774522"/>
    <w:rsid w:val="00774595"/>
    <w:rsid w:val="00774625"/>
    <w:rsid w:val="00774638"/>
    <w:rsid w:val="007746A0"/>
    <w:rsid w:val="007748F2"/>
    <w:rsid w:val="00774A45"/>
    <w:rsid w:val="00774C00"/>
    <w:rsid w:val="00774DCB"/>
    <w:rsid w:val="0077527F"/>
    <w:rsid w:val="0077591C"/>
    <w:rsid w:val="0077592C"/>
    <w:rsid w:val="007759AC"/>
    <w:rsid w:val="00775D3A"/>
    <w:rsid w:val="00775E18"/>
    <w:rsid w:val="00775F81"/>
    <w:rsid w:val="00776033"/>
    <w:rsid w:val="00776220"/>
    <w:rsid w:val="0077644B"/>
    <w:rsid w:val="00776B34"/>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44"/>
    <w:rsid w:val="0078117D"/>
    <w:rsid w:val="00781691"/>
    <w:rsid w:val="0078191D"/>
    <w:rsid w:val="00781E12"/>
    <w:rsid w:val="0078217D"/>
    <w:rsid w:val="00782455"/>
    <w:rsid w:val="00782700"/>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1F"/>
    <w:rsid w:val="00784980"/>
    <w:rsid w:val="007851FE"/>
    <w:rsid w:val="0078527D"/>
    <w:rsid w:val="00785355"/>
    <w:rsid w:val="00785393"/>
    <w:rsid w:val="00785463"/>
    <w:rsid w:val="007854AB"/>
    <w:rsid w:val="0078552D"/>
    <w:rsid w:val="00785673"/>
    <w:rsid w:val="00785B70"/>
    <w:rsid w:val="00785D44"/>
    <w:rsid w:val="00785DC8"/>
    <w:rsid w:val="007860D1"/>
    <w:rsid w:val="00786268"/>
    <w:rsid w:val="007868B4"/>
    <w:rsid w:val="00786A9A"/>
    <w:rsid w:val="00786B0E"/>
    <w:rsid w:val="00786C9B"/>
    <w:rsid w:val="007873E5"/>
    <w:rsid w:val="00787489"/>
    <w:rsid w:val="00787673"/>
    <w:rsid w:val="007877EC"/>
    <w:rsid w:val="007879BD"/>
    <w:rsid w:val="00787B2F"/>
    <w:rsid w:val="00787C37"/>
    <w:rsid w:val="00787D3D"/>
    <w:rsid w:val="00787E76"/>
    <w:rsid w:val="00790294"/>
    <w:rsid w:val="007903AF"/>
    <w:rsid w:val="0079062F"/>
    <w:rsid w:val="00790A53"/>
    <w:rsid w:val="007910AB"/>
    <w:rsid w:val="00791113"/>
    <w:rsid w:val="00791225"/>
    <w:rsid w:val="00791AFB"/>
    <w:rsid w:val="00791B3B"/>
    <w:rsid w:val="007920D3"/>
    <w:rsid w:val="007921DA"/>
    <w:rsid w:val="0079232F"/>
    <w:rsid w:val="007928C5"/>
    <w:rsid w:val="007929C2"/>
    <w:rsid w:val="007929C7"/>
    <w:rsid w:val="00792A21"/>
    <w:rsid w:val="00792B00"/>
    <w:rsid w:val="00792BA6"/>
    <w:rsid w:val="00793108"/>
    <w:rsid w:val="00793251"/>
    <w:rsid w:val="0079351E"/>
    <w:rsid w:val="0079354F"/>
    <w:rsid w:val="007935D7"/>
    <w:rsid w:val="0079371B"/>
    <w:rsid w:val="007938ED"/>
    <w:rsid w:val="007939B2"/>
    <w:rsid w:val="00793DE0"/>
    <w:rsid w:val="0079431E"/>
    <w:rsid w:val="007943FF"/>
    <w:rsid w:val="00794532"/>
    <w:rsid w:val="0079475C"/>
    <w:rsid w:val="00794A0F"/>
    <w:rsid w:val="00794ADB"/>
    <w:rsid w:val="00794E89"/>
    <w:rsid w:val="0079509D"/>
    <w:rsid w:val="007953AD"/>
    <w:rsid w:val="00795435"/>
    <w:rsid w:val="0079574D"/>
    <w:rsid w:val="00795870"/>
    <w:rsid w:val="007958AB"/>
    <w:rsid w:val="0079599E"/>
    <w:rsid w:val="007959C0"/>
    <w:rsid w:val="00795A48"/>
    <w:rsid w:val="00795C48"/>
    <w:rsid w:val="00795C90"/>
    <w:rsid w:val="0079637F"/>
    <w:rsid w:val="00796676"/>
    <w:rsid w:val="00796E04"/>
    <w:rsid w:val="00796E0F"/>
    <w:rsid w:val="00797242"/>
    <w:rsid w:val="00797453"/>
    <w:rsid w:val="0079753B"/>
    <w:rsid w:val="007975B3"/>
    <w:rsid w:val="0079766D"/>
    <w:rsid w:val="00797780"/>
    <w:rsid w:val="007979BD"/>
    <w:rsid w:val="00797A84"/>
    <w:rsid w:val="00797DB8"/>
    <w:rsid w:val="007A0176"/>
    <w:rsid w:val="007A02DC"/>
    <w:rsid w:val="007A0534"/>
    <w:rsid w:val="007A0B4B"/>
    <w:rsid w:val="007A0E16"/>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751"/>
    <w:rsid w:val="007A3C5C"/>
    <w:rsid w:val="007A3C77"/>
    <w:rsid w:val="007A3CA9"/>
    <w:rsid w:val="007A3E2E"/>
    <w:rsid w:val="007A4152"/>
    <w:rsid w:val="007A4238"/>
    <w:rsid w:val="007A424F"/>
    <w:rsid w:val="007A44AE"/>
    <w:rsid w:val="007A47B0"/>
    <w:rsid w:val="007A4AE8"/>
    <w:rsid w:val="007A501A"/>
    <w:rsid w:val="007A5308"/>
    <w:rsid w:val="007A54F6"/>
    <w:rsid w:val="007A5564"/>
    <w:rsid w:val="007A56B1"/>
    <w:rsid w:val="007A576D"/>
    <w:rsid w:val="007A5811"/>
    <w:rsid w:val="007A5C4F"/>
    <w:rsid w:val="007A5D0B"/>
    <w:rsid w:val="007A5FEB"/>
    <w:rsid w:val="007A60E1"/>
    <w:rsid w:val="007A6171"/>
    <w:rsid w:val="007A624F"/>
    <w:rsid w:val="007A658D"/>
    <w:rsid w:val="007A6681"/>
    <w:rsid w:val="007A66BF"/>
    <w:rsid w:val="007A68B7"/>
    <w:rsid w:val="007A6A54"/>
    <w:rsid w:val="007A6ABF"/>
    <w:rsid w:val="007A6C4D"/>
    <w:rsid w:val="007A7124"/>
    <w:rsid w:val="007A76C9"/>
    <w:rsid w:val="007A791F"/>
    <w:rsid w:val="007A7C94"/>
    <w:rsid w:val="007A7CEE"/>
    <w:rsid w:val="007B0272"/>
    <w:rsid w:val="007B030B"/>
    <w:rsid w:val="007B03AF"/>
    <w:rsid w:val="007B03D7"/>
    <w:rsid w:val="007B048D"/>
    <w:rsid w:val="007B058E"/>
    <w:rsid w:val="007B0628"/>
    <w:rsid w:val="007B099B"/>
    <w:rsid w:val="007B0B2C"/>
    <w:rsid w:val="007B0D36"/>
    <w:rsid w:val="007B0F7B"/>
    <w:rsid w:val="007B0F86"/>
    <w:rsid w:val="007B13FC"/>
    <w:rsid w:val="007B16D9"/>
    <w:rsid w:val="007B17F5"/>
    <w:rsid w:val="007B1903"/>
    <w:rsid w:val="007B1992"/>
    <w:rsid w:val="007B19DE"/>
    <w:rsid w:val="007B1A41"/>
    <w:rsid w:val="007B1D1C"/>
    <w:rsid w:val="007B1D69"/>
    <w:rsid w:val="007B1FDE"/>
    <w:rsid w:val="007B201A"/>
    <w:rsid w:val="007B20D1"/>
    <w:rsid w:val="007B2122"/>
    <w:rsid w:val="007B2778"/>
    <w:rsid w:val="007B28DF"/>
    <w:rsid w:val="007B2993"/>
    <w:rsid w:val="007B2998"/>
    <w:rsid w:val="007B2D07"/>
    <w:rsid w:val="007B30B4"/>
    <w:rsid w:val="007B3240"/>
    <w:rsid w:val="007B36C6"/>
    <w:rsid w:val="007B3B36"/>
    <w:rsid w:val="007B3B74"/>
    <w:rsid w:val="007B3C23"/>
    <w:rsid w:val="007B3CA0"/>
    <w:rsid w:val="007B3DBF"/>
    <w:rsid w:val="007B3F30"/>
    <w:rsid w:val="007B401B"/>
    <w:rsid w:val="007B4737"/>
    <w:rsid w:val="007B47B1"/>
    <w:rsid w:val="007B4A49"/>
    <w:rsid w:val="007B5252"/>
    <w:rsid w:val="007B5398"/>
    <w:rsid w:val="007B5518"/>
    <w:rsid w:val="007B5544"/>
    <w:rsid w:val="007B56B6"/>
    <w:rsid w:val="007B5B14"/>
    <w:rsid w:val="007B5F42"/>
    <w:rsid w:val="007B6027"/>
    <w:rsid w:val="007B602C"/>
    <w:rsid w:val="007B62FA"/>
    <w:rsid w:val="007B67B3"/>
    <w:rsid w:val="007B6BDC"/>
    <w:rsid w:val="007B701B"/>
    <w:rsid w:val="007B73DE"/>
    <w:rsid w:val="007B75E1"/>
    <w:rsid w:val="007B7745"/>
    <w:rsid w:val="007B7909"/>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19BA"/>
    <w:rsid w:val="007C2345"/>
    <w:rsid w:val="007C245E"/>
    <w:rsid w:val="007C2516"/>
    <w:rsid w:val="007C2536"/>
    <w:rsid w:val="007C2655"/>
    <w:rsid w:val="007C2873"/>
    <w:rsid w:val="007C29C3"/>
    <w:rsid w:val="007C2F9A"/>
    <w:rsid w:val="007C3111"/>
    <w:rsid w:val="007C33CE"/>
    <w:rsid w:val="007C342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760"/>
    <w:rsid w:val="007C5A88"/>
    <w:rsid w:val="007C5C48"/>
    <w:rsid w:val="007C611E"/>
    <w:rsid w:val="007C62D6"/>
    <w:rsid w:val="007C62DD"/>
    <w:rsid w:val="007C64F3"/>
    <w:rsid w:val="007C6609"/>
    <w:rsid w:val="007C6764"/>
    <w:rsid w:val="007C67C1"/>
    <w:rsid w:val="007C689B"/>
    <w:rsid w:val="007C6A18"/>
    <w:rsid w:val="007C6C42"/>
    <w:rsid w:val="007C6D0C"/>
    <w:rsid w:val="007C6DE7"/>
    <w:rsid w:val="007C710C"/>
    <w:rsid w:val="007C7535"/>
    <w:rsid w:val="007C7658"/>
    <w:rsid w:val="007C7847"/>
    <w:rsid w:val="007C7A4D"/>
    <w:rsid w:val="007C7DE0"/>
    <w:rsid w:val="007C7FDB"/>
    <w:rsid w:val="007C7FF8"/>
    <w:rsid w:val="007D028F"/>
    <w:rsid w:val="007D0487"/>
    <w:rsid w:val="007D0A39"/>
    <w:rsid w:val="007D0C5F"/>
    <w:rsid w:val="007D0F7A"/>
    <w:rsid w:val="007D101B"/>
    <w:rsid w:val="007D139C"/>
    <w:rsid w:val="007D1422"/>
    <w:rsid w:val="007D14B3"/>
    <w:rsid w:val="007D181B"/>
    <w:rsid w:val="007D1989"/>
    <w:rsid w:val="007D1E61"/>
    <w:rsid w:val="007D1EA8"/>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445"/>
    <w:rsid w:val="007D44C3"/>
    <w:rsid w:val="007D4634"/>
    <w:rsid w:val="007D46DB"/>
    <w:rsid w:val="007D47ED"/>
    <w:rsid w:val="007D482A"/>
    <w:rsid w:val="007D488D"/>
    <w:rsid w:val="007D48CB"/>
    <w:rsid w:val="007D4A30"/>
    <w:rsid w:val="007D4C62"/>
    <w:rsid w:val="007D4C70"/>
    <w:rsid w:val="007D4C8B"/>
    <w:rsid w:val="007D4CA7"/>
    <w:rsid w:val="007D4D2A"/>
    <w:rsid w:val="007D5013"/>
    <w:rsid w:val="007D502B"/>
    <w:rsid w:val="007D51AA"/>
    <w:rsid w:val="007D54E3"/>
    <w:rsid w:val="007D5B0A"/>
    <w:rsid w:val="007D5B56"/>
    <w:rsid w:val="007D5BD4"/>
    <w:rsid w:val="007D5D63"/>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41E"/>
    <w:rsid w:val="007E14E3"/>
    <w:rsid w:val="007E1D97"/>
    <w:rsid w:val="007E1E5A"/>
    <w:rsid w:val="007E20DD"/>
    <w:rsid w:val="007E21CD"/>
    <w:rsid w:val="007E2336"/>
    <w:rsid w:val="007E2520"/>
    <w:rsid w:val="007E2755"/>
    <w:rsid w:val="007E283D"/>
    <w:rsid w:val="007E2C44"/>
    <w:rsid w:val="007E2D03"/>
    <w:rsid w:val="007E2D9B"/>
    <w:rsid w:val="007E3614"/>
    <w:rsid w:val="007E365C"/>
    <w:rsid w:val="007E382C"/>
    <w:rsid w:val="007E3F7D"/>
    <w:rsid w:val="007E3FB1"/>
    <w:rsid w:val="007E4051"/>
    <w:rsid w:val="007E406A"/>
    <w:rsid w:val="007E40A3"/>
    <w:rsid w:val="007E411A"/>
    <w:rsid w:val="007E425D"/>
    <w:rsid w:val="007E45A3"/>
    <w:rsid w:val="007E4795"/>
    <w:rsid w:val="007E48EB"/>
    <w:rsid w:val="007E498D"/>
    <w:rsid w:val="007E4F6C"/>
    <w:rsid w:val="007E51DD"/>
    <w:rsid w:val="007E532D"/>
    <w:rsid w:val="007E5345"/>
    <w:rsid w:val="007E53FE"/>
    <w:rsid w:val="007E5500"/>
    <w:rsid w:val="007E5531"/>
    <w:rsid w:val="007E58C0"/>
    <w:rsid w:val="007E5908"/>
    <w:rsid w:val="007E5A76"/>
    <w:rsid w:val="007E5CE2"/>
    <w:rsid w:val="007E5DA6"/>
    <w:rsid w:val="007E5FD5"/>
    <w:rsid w:val="007E634A"/>
    <w:rsid w:val="007E642C"/>
    <w:rsid w:val="007E6597"/>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0B8F"/>
    <w:rsid w:val="007F110A"/>
    <w:rsid w:val="007F1417"/>
    <w:rsid w:val="007F14AF"/>
    <w:rsid w:val="007F158F"/>
    <w:rsid w:val="007F1630"/>
    <w:rsid w:val="007F1717"/>
    <w:rsid w:val="007F1884"/>
    <w:rsid w:val="007F18B9"/>
    <w:rsid w:val="007F1A6B"/>
    <w:rsid w:val="007F1C0E"/>
    <w:rsid w:val="007F1C6A"/>
    <w:rsid w:val="007F1E8E"/>
    <w:rsid w:val="007F2058"/>
    <w:rsid w:val="007F20A5"/>
    <w:rsid w:val="007F20C5"/>
    <w:rsid w:val="007F240D"/>
    <w:rsid w:val="007F2B39"/>
    <w:rsid w:val="007F2D24"/>
    <w:rsid w:val="007F2DA2"/>
    <w:rsid w:val="007F30F9"/>
    <w:rsid w:val="007F3201"/>
    <w:rsid w:val="007F372B"/>
    <w:rsid w:val="007F39BA"/>
    <w:rsid w:val="007F39CD"/>
    <w:rsid w:val="007F3A60"/>
    <w:rsid w:val="007F3BD4"/>
    <w:rsid w:val="007F456B"/>
    <w:rsid w:val="007F4798"/>
    <w:rsid w:val="007F47B5"/>
    <w:rsid w:val="007F48B0"/>
    <w:rsid w:val="007F4B86"/>
    <w:rsid w:val="007F4BDF"/>
    <w:rsid w:val="007F4C81"/>
    <w:rsid w:val="007F4E11"/>
    <w:rsid w:val="007F5204"/>
    <w:rsid w:val="007F562A"/>
    <w:rsid w:val="007F585C"/>
    <w:rsid w:val="007F594F"/>
    <w:rsid w:val="007F59D7"/>
    <w:rsid w:val="007F60DF"/>
    <w:rsid w:val="007F611A"/>
    <w:rsid w:val="007F6246"/>
    <w:rsid w:val="007F639E"/>
    <w:rsid w:val="007F66DF"/>
    <w:rsid w:val="007F68A7"/>
    <w:rsid w:val="007F6946"/>
    <w:rsid w:val="007F69C1"/>
    <w:rsid w:val="007F6A49"/>
    <w:rsid w:val="007F6EED"/>
    <w:rsid w:val="007F6F06"/>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E6D"/>
    <w:rsid w:val="00800EE9"/>
    <w:rsid w:val="00801089"/>
    <w:rsid w:val="008012AB"/>
    <w:rsid w:val="0080138C"/>
    <w:rsid w:val="0080149F"/>
    <w:rsid w:val="00801575"/>
    <w:rsid w:val="008019F1"/>
    <w:rsid w:val="00801F5E"/>
    <w:rsid w:val="008020B3"/>
    <w:rsid w:val="00802282"/>
    <w:rsid w:val="008022DC"/>
    <w:rsid w:val="008026F0"/>
    <w:rsid w:val="00802701"/>
    <w:rsid w:val="00802F22"/>
    <w:rsid w:val="008034A1"/>
    <w:rsid w:val="00803790"/>
    <w:rsid w:val="00803819"/>
    <w:rsid w:val="00803B6E"/>
    <w:rsid w:val="00803D1B"/>
    <w:rsid w:val="00804489"/>
    <w:rsid w:val="00804492"/>
    <w:rsid w:val="00804640"/>
    <w:rsid w:val="008046D3"/>
    <w:rsid w:val="00804815"/>
    <w:rsid w:val="0080485B"/>
    <w:rsid w:val="00804A6A"/>
    <w:rsid w:val="00804B0F"/>
    <w:rsid w:val="00804B25"/>
    <w:rsid w:val="00804D96"/>
    <w:rsid w:val="008050AE"/>
    <w:rsid w:val="00805211"/>
    <w:rsid w:val="00805232"/>
    <w:rsid w:val="00805641"/>
    <w:rsid w:val="00805AA1"/>
    <w:rsid w:val="00805CC7"/>
    <w:rsid w:val="00805CCE"/>
    <w:rsid w:val="00805E72"/>
    <w:rsid w:val="00805EBE"/>
    <w:rsid w:val="00805ED1"/>
    <w:rsid w:val="00806207"/>
    <w:rsid w:val="008062A8"/>
    <w:rsid w:val="00806645"/>
    <w:rsid w:val="00806CAD"/>
    <w:rsid w:val="00806D87"/>
    <w:rsid w:val="00807106"/>
    <w:rsid w:val="00807372"/>
    <w:rsid w:val="008076CE"/>
    <w:rsid w:val="008077C0"/>
    <w:rsid w:val="008077CC"/>
    <w:rsid w:val="008078A0"/>
    <w:rsid w:val="00807B4D"/>
    <w:rsid w:val="00807C4F"/>
    <w:rsid w:val="00810416"/>
    <w:rsid w:val="00810721"/>
    <w:rsid w:val="008109EA"/>
    <w:rsid w:val="00810AEB"/>
    <w:rsid w:val="00810AEC"/>
    <w:rsid w:val="00810EF8"/>
    <w:rsid w:val="00810F37"/>
    <w:rsid w:val="00811079"/>
    <w:rsid w:val="00811113"/>
    <w:rsid w:val="00811300"/>
    <w:rsid w:val="008115A9"/>
    <w:rsid w:val="0081186C"/>
    <w:rsid w:val="008119DD"/>
    <w:rsid w:val="008119EE"/>
    <w:rsid w:val="00811AE3"/>
    <w:rsid w:val="00811BE1"/>
    <w:rsid w:val="00811E18"/>
    <w:rsid w:val="0081228B"/>
    <w:rsid w:val="0081229D"/>
    <w:rsid w:val="008124FF"/>
    <w:rsid w:val="00812668"/>
    <w:rsid w:val="00812A9A"/>
    <w:rsid w:val="00812B52"/>
    <w:rsid w:val="00812D7F"/>
    <w:rsid w:val="00812E8C"/>
    <w:rsid w:val="00812EBB"/>
    <w:rsid w:val="0081302C"/>
    <w:rsid w:val="0081319E"/>
    <w:rsid w:val="008131B5"/>
    <w:rsid w:val="008131DB"/>
    <w:rsid w:val="008131E7"/>
    <w:rsid w:val="0081324C"/>
    <w:rsid w:val="008134D8"/>
    <w:rsid w:val="0081393E"/>
    <w:rsid w:val="00813AA6"/>
    <w:rsid w:val="00813D41"/>
    <w:rsid w:val="0081423E"/>
    <w:rsid w:val="008144C0"/>
    <w:rsid w:val="00814542"/>
    <w:rsid w:val="008145A9"/>
    <w:rsid w:val="00814960"/>
    <w:rsid w:val="0081504A"/>
    <w:rsid w:val="0081504E"/>
    <w:rsid w:val="0081569A"/>
    <w:rsid w:val="008157B3"/>
    <w:rsid w:val="00815B35"/>
    <w:rsid w:val="0081665E"/>
    <w:rsid w:val="00816DA8"/>
    <w:rsid w:val="0081718A"/>
    <w:rsid w:val="008171BA"/>
    <w:rsid w:val="0081723E"/>
    <w:rsid w:val="00817723"/>
    <w:rsid w:val="0081789C"/>
    <w:rsid w:val="008178D0"/>
    <w:rsid w:val="00817AE1"/>
    <w:rsid w:val="00817B51"/>
    <w:rsid w:val="00817E76"/>
    <w:rsid w:val="008204E5"/>
    <w:rsid w:val="0082072A"/>
    <w:rsid w:val="00820B4A"/>
    <w:rsid w:val="0082158E"/>
    <w:rsid w:val="00821900"/>
    <w:rsid w:val="00821960"/>
    <w:rsid w:val="00821A69"/>
    <w:rsid w:val="00821BA9"/>
    <w:rsid w:val="00821BDA"/>
    <w:rsid w:val="00821D44"/>
    <w:rsid w:val="00821D97"/>
    <w:rsid w:val="00822121"/>
    <w:rsid w:val="008221A0"/>
    <w:rsid w:val="0082233F"/>
    <w:rsid w:val="00822544"/>
    <w:rsid w:val="0082276F"/>
    <w:rsid w:val="00822A55"/>
    <w:rsid w:val="00822C0A"/>
    <w:rsid w:val="00823005"/>
    <w:rsid w:val="0082312A"/>
    <w:rsid w:val="00823207"/>
    <w:rsid w:val="00823270"/>
    <w:rsid w:val="00823950"/>
    <w:rsid w:val="00823A17"/>
    <w:rsid w:val="00823CF3"/>
    <w:rsid w:val="00823D41"/>
    <w:rsid w:val="00824365"/>
    <w:rsid w:val="0082446A"/>
    <w:rsid w:val="00824480"/>
    <w:rsid w:val="00824786"/>
    <w:rsid w:val="008247C4"/>
    <w:rsid w:val="008248DA"/>
    <w:rsid w:val="0082495F"/>
    <w:rsid w:val="00824E70"/>
    <w:rsid w:val="00824F3E"/>
    <w:rsid w:val="008250DA"/>
    <w:rsid w:val="00825197"/>
    <w:rsid w:val="00825692"/>
    <w:rsid w:val="00825769"/>
    <w:rsid w:val="0082585F"/>
    <w:rsid w:val="00825961"/>
    <w:rsid w:val="008259BF"/>
    <w:rsid w:val="00825B42"/>
    <w:rsid w:val="00825C67"/>
    <w:rsid w:val="00825D85"/>
    <w:rsid w:val="00825DFD"/>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53F"/>
    <w:rsid w:val="00831654"/>
    <w:rsid w:val="00831735"/>
    <w:rsid w:val="008317D1"/>
    <w:rsid w:val="008317DC"/>
    <w:rsid w:val="00831990"/>
    <w:rsid w:val="008321F5"/>
    <w:rsid w:val="0083228D"/>
    <w:rsid w:val="00832660"/>
    <w:rsid w:val="00832724"/>
    <w:rsid w:val="0083287F"/>
    <w:rsid w:val="008329D0"/>
    <w:rsid w:val="00832A67"/>
    <w:rsid w:val="00832D50"/>
    <w:rsid w:val="00832D80"/>
    <w:rsid w:val="00833461"/>
    <w:rsid w:val="008336AC"/>
    <w:rsid w:val="0083397E"/>
    <w:rsid w:val="008339CF"/>
    <w:rsid w:val="00833AA8"/>
    <w:rsid w:val="00833AC9"/>
    <w:rsid w:val="00833B43"/>
    <w:rsid w:val="00833BD7"/>
    <w:rsid w:val="00833C66"/>
    <w:rsid w:val="00833ED0"/>
    <w:rsid w:val="0083414E"/>
    <w:rsid w:val="00834393"/>
    <w:rsid w:val="0083449F"/>
    <w:rsid w:val="0083451D"/>
    <w:rsid w:val="008347E2"/>
    <w:rsid w:val="00834B47"/>
    <w:rsid w:val="00834CD9"/>
    <w:rsid w:val="00835067"/>
    <w:rsid w:val="0083508E"/>
    <w:rsid w:val="008351A1"/>
    <w:rsid w:val="008354A5"/>
    <w:rsid w:val="00835547"/>
    <w:rsid w:val="008355C0"/>
    <w:rsid w:val="00835A00"/>
    <w:rsid w:val="00835E63"/>
    <w:rsid w:val="00835EEC"/>
    <w:rsid w:val="00835FD3"/>
    <w:rsid w:val="008362FD"/>
    <w:rsid w:val="0083633B"/>
    <w:rsid w:val="0083635D"/>
    <w:rsid w:val="0083680F"/>
    <w:rsid w:val="00836A97"/>
    <w:rsid w:val="00836B81"/>
    <w:rsid w:val="00836F0D"/>
    <w:rsid w:val="00836F51"/>
    <w:rsid w:val="0083733F"/>
    <w:rsid w:val="0083741F"/>
    <w:rsid w:val="00837E57"/>
    <w:rsid w:val="00837E98"/>
    <w:rsid w:val="00840063"/>
    <w:rsid w:val="0084026C"/>
    <w:rsid w:val="008403B4"/>
    <w:rsid w:val="00840852"/>
    <w:rsid w:val="00840B5F"/>
    <w:rsid w:val="00840FC0"/>
    <w:rsid w:val="008410B8"/>
    <w:rsid w:val="008414AF"/>
    <w:rsid w:val="00841653"/>
    <w:rsid w:val="00841AC3"/>
    <w:rsid w:val="008420DA"/>
    <w:rsid w:val="008427F4"/>
    <w:rsid w:val="00842B9B"/>
    <w:rsid w:val="00842CA1"/>
    <w:rsid w:val="00842CF3"/>
    <w:rsid w:val="00842D5E"/>
    <w:rsid w:val="0084309F"/>
    <w:rsid w:val="00843675"/>
    <w:rsid w:val="00843778"/>
    <w:rsid w:val="0084422E"/>
    <w:rsid w:val="0084428D"/>
    <w:rsid w:val="00844738"/>
    <w:rsid w:val="008448C2"/>
    <w:rsid w:val="00844A96"/>
    <w:rsid w:val="00844C0C"/>
    <w:rsid w:val="00844F25"/>
    <w:rsid w:val="0084535B"/>
    <w:rsid w:val="0084537B"/>
    <w:rsid w:val="0084558C"/>
    <w:rsid w:val="008455CE"/>
    <w:rsid w:val="0084580A"/>
    <w:rsid w:val="008459FC"/>
    <w:rsid w:val="00845C5C"/>
    <w:rsid w:val="00845D1A"/>
    <w:rsid w:val="00845DC0"/>
    <w:rsid w:val="00845DF8"/>
    <w:rsid w:val="00845E20"/>
    <w:rsid w:val="00846060"/>
    <w:rsid w:val="00846501"/>
    <w:rsid w:val="008465E7"/>
    <w:rsid w:val="0084678B"/>
    <w:rsid w:val="008469F9"/>
    <w:rsid w:val="00846A08"/>
    <w:rsid w:val="00846B81"/>
    <w:rsid w:val="00846CD0"/>
    <w:rsid w:val="008470C7"/>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649"/>
    <w:rsid w:val="00851B21"/>
    <w:rsid w:val="00851BFE"/>
    <w:rsid w:val="00851DFA"/>
    <w:rsid w:val="00851ED9"/>
    <w:rsid w:val="008522EF"/>
    <w:rsid w:val="008527CC"/>
    <w:rsid w:val="00852879"/>
    <w:rsid w:val="008528A3"/>
    <w:rsid w:val="008528B4"/>
    <w:rsid w:val="00852AA6"/>
    <w:rsid w:val="00852B22"/>
    <w:rsid w:val="00852BE1"/>
    <w:rsid w:val="00852C91"/>
    <w:rsid w:val="00852FE4"/>
    <w:rsid w:val="008530C2"/>
    <w:rsid w:val="0085311B"/>
    <w:rsid w:val="008531B6"/>
    <w:rsid w:val="008532E8"/>
    <w:rsid w:val="00853479"/>
    <w:rsid w:val="00853628"/>
    <w:rsid w:val="0085373E"/>
    <w:rsid w:val="00853ACC"/>
    <w:rsid w:val="008543C3"/>
    <w:rsid w:val="0085456D"/>
    <w:rsid w:val="00854676"/>
    <w:rsid w:val="008548EE"/>
    <w:rsid w:val="008549D4"/>
    <w:rsid w:val="00854A22"/>
    <w:rsid w:val="00854BD0"/>
    <w:rsid w:val="00854E4A"/>
    <w:rsid w:val="00854FDE"/>
    <w:rsid w:val="00854FEA"/>
    <w:rsid w:val="008551F7"/>
    <w:rsid w:val="00855301"/>
    <w:rsid w:val="0085531F"/>
    <w:rsid w:val="00855429"/>
    <w:rsid w:val="008555E8"/>
    <w:rsid w:val="00855CD0"/>
    <w:rsid w:val="00855D44"/>
    <w:rsid w:val="0085607A"/>
    <w:rsid w:val="00856246"/>
    <w:rsid w:val="008565E4"/>
    <w:rsid w:val="00856737"/>
    <w:rsid w:val="008569BC"/>
    <w:rsid w:val="00856C17"/>
    <w:rsid w:val="00856C2F"/>
    <w:rsid w:val="00856FF2"/>
    <w:rsid w:val="008570A8"/>
    <w:rsid w:val="0085751D"/>
    <w:rsid w:val="00857576"/>
    <w:rsid w:val="008575FA"/>
    <w:rsid w:val="0085766B"/>
    <w:rsid w:val="00857687"/>
    <w:rsid w:val="00857A72"/>
    <w:rsid w:val="00857C01"/>
    <w:rsid w:val="00857C59"/>
    <w:rsid w:val="00860098"/>
    <w:rsid w:val="008600CF"/>
    <w:rsid w:val="00860208"/>
    <w:rsid w:val="00860258"/>
    <w:rsid w:val="008603CA"/>
    <w:rsid w:val="008604BD"/>
    <w:rsid w:val="008605E4"/>
    <w:rsid w:val="008607B3"/>
    <w:rsid w:val="00860B7C"/>
    <w:rsid w:val="00860DF0"/>
    <w:rsid w:val="00860EF0"/>
    <w:rsid w:val="0086133D"/>
    <w:rsid w:val="00861346"/>
    <w:rsid w:val="008613F4"/>
    <w:rsid w:val="0086140E"/>
    <w:rsid w:val="00861469"/>
    <w:rsid w:val="00861498"/>
    <w:rsid w:val="008614FF"/>
    <w:rsid w:val="008615C4"/>
    <w:rsid w:val="00861618"/>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B9"/>
    <w:rsid w:val="008639D3"/>
    <w:rsid w:val="00863D7A"/>
    <w:rsid w:val="00863EBD"/>
    <w:rsid w:val="00863F80"/>
    <w:rsid w:val="00863F92"/>
    <w:rsid w:val="008642B1"/>
    <w:rsid w:val="008642FE"/>
    <w:rsid w:val="008643B1"/>
    <w:rsid w:val="00864518"/>
    <w:rsid w:val="00864638"/>
    <w:rsid w:val="00864A3F"/>
    <w:rsid w:val="00864CA6"/>
    <w:rsid w:val="00864D7B"/>
    <w:rsid w:val="00864DC9"/>
    <w:rsid w:val="00864DF2"/>
    <w:rsid w:val="00864F67"/>
    <w:rsid w:val="00864FAF"/>
    <w:rsid w:val="00865031"/>
    <w:rsid w:val="0086552E"/>
    <w:rsid w:val="00865C36"/>
    <w:rsid w:val="00865C82"/>
    <w:rsid w:val="00865D38"/>
    <w:rsid w:val="00865E64"/>
    <w:rsid w:val="00865F25"/>
    <w:rsid w:val="00866127"/>
    <w:rsid w:val="0086612E"/>
    <w:rsid w:val="0086636F"/>
    <w:rsid w:val="00866489"/>
    <w:rsid w:val="008664CF"/>
    <w:rsid w:val="008664FB"/>
    <w:rsid w:val="00866C43"/>
    <w:rsid w:val="008671AA"/>
    <w:rsid w:val="008671DA"/>
    <w:rsid w:val="008672F9"/>
    <w:rsid w:val="008673A5"/>
    <w:rsid w:val="00867507"/>
    <w:rsid w:val="0086759C"/>
    <w:rsid w:val="00867676"/>
    <w:rsid w:val="0086779D"/>
    <w:rsid w:val="008677CD"/>
    <w:rsid w:val="00867881"/>
    <w:rsid w:val="00867934"/>
    <w:rsid w:val="00867A31"/>
    <w:rsid w:val="00870085"/>
    <w:rsid w:val="008700DE"/>
    <w:rsid w:val="008702D7"/>
    <w:rsid w:val="0087087F"/>
    <w:rsid w:val="008708AE"/>
    <w:rsid w:val="00870A05"/>
    <w:rsid w:val="00870B35"/>
    <w:rsid w:val="00870C74"/>
    <w:rsid w:val="00870E92"/>
    <w:rsid w:val="008710C4"/>
    <w:rsid w:val="008711AC"/>
    <w:rsid w:val="008712C2"/>
    <w:rsid w:val="00871BA5"/>
    <w:rsid w:val="00871E64"/>
    <w:rsid w:val="00871F3C"/>
    <w:rsid w:val="00871FD9"/>
    <w:rsid w:val="00872233"/>
    <w:rsid w:val="008723A0"/>
    <w:rsid w:val="008723A5"/>
    <w:rsid w:val="00872557"/>
    <w:rsid w:val="008725D3"/>
    <w:rsid w:val="0087261F"/>
    <w:rsid w:val="0087279E"/>
    <w:rsid w:val="00872885"/>
    <w:rsid w:val="00872964"/>
    <w:rsid w:val="00872D65"/>
    <w:rsid w:val="00872ED2"/>
    <w:rsid w:val="00873040"/>
    <w:rsid w:val="00873405"/>
    <w:rsid w:val="0087385C"/>
    <w:rsid w:val="00873A9A"/>
    <w:rsid w:val="00873B38"/>
    <w:rsid w:val="00874381"/>
    <w:rsid w:val="00874732"/>
    <w:rsid w:val="00874AE7"/>
    <w:rsid w:val="0087503D"/>
    <w:rsid w:val="008751A0"/>
    <w:rsid w:val="008755B7"/>
    <w:rsid w:val="0087582A"/>
    <w:rsid w:val="00875835"/>
    <w:rsid w:val="00875970"/>
    <w:rsid w:val="00875BD3"/>
    <w:rsid w:val="00875ECC"/>
    <w:rsid w:val="00875F55"/>
    <w:rsid w:val="00876064"/>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80"/>
    <w:rsid w:val="00880B93"/>
    <w:rsid w:val="00880C50"/>
    <w:rsid w:val="00880D0D"/>
    <w:rsid w:val="00880D59"/>
    <w:rsid w:val="00880DBB"/>
    <w:rsid w:val="008815B8"/>
    <w:rsid w:val="008815DE"/>
    <w:rsid w:val="0088181F"/>
    <w:rsid w:val="0088185C"/>
    <w:rsid w:val="00881C2A"/>
    <w:rsid w:val="00881ED5"/>
    <w:rsid w:val="00881F4B"/>
    <w:rsid w:val="00882389"/>
    <w:rsid w:val="0088260D"/>
    <w:rsid w:val="0088286B"/>
    <w:rsid w:val="008829FF"/>
    <w:rsid w:val="00882BA1"/>
    <w:rsid w:val="00883215"/>
    <w:rsid w:val="008839CF"/>
    <w:rsid w:val="00883BB2"/>
    <w:rsid w:val="00883F7D"/>
    <w:rsid w:val="00884297"/>
    <w:rsid w:val="008842C5"/>
    <w:rsid w:val="00884607"/>
    <w:rsid w:val="00884776"/>
    <w:rsid w:val="0088477A"/>
    <w:rsid w:val="00884922"/>
    <w:rsid w:val="00884F1F"/>
    <w:rsid w:val="00884F20"/>
    <w:rsid w:val="0088527E"/>
    <w:rsid w:val="00885598"/>
    <w:rsid w:val="00885667"/>
    <w:rsid w:val="00885AC1"/>
    <w:rsid w:val="00885BBC"/>
    <w:rsid w:val="00885CB6"/>
    <w:rsid w:val="00885CD3"/>
    <w:rsid w:val="00885DE8"/>
    <w:rsid w:val="00885E1C"/>
    <w:rsid w:val="00886136"/>
    <w:rsid w:val="008865AE"/>
    <w:rsid w:val="008865E2"/>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87F86"/>
    <w:rsid w:val="00890461"/>
    <w:rsid w:val="00890756"/>
    <w:rsid w:val="00890816"/>
    <w:rsid w:val="00890A37"/>
    <w:rsid w:val="00890A64"/>
    <w:rsid w:val="00890B5B"/>
    <w:rsid w:val="00890E5D"/>
    <w:rsid w:val="00891168"/>
    <w:rsid w:val="00891403"/>
    <w:rsid w:val="008915A5"/>
    <w:rsid w:val="0089168B"/>
    <w:rsid w:val="008917D6"/>
    <w:rsid w:val="00891C64"/>
    <w:rsid w:val="00891EF8"/>
    <w:rsid w:val="008922FC"/>
    <w:rsid w:val="00892430"/>
    <w:rsid w:val="008925F8"/>
    <w:rsid w:val="0089286D"/>
    <w:rsid w:val="00892975"/>
    <w:rsid w:val="00892BBF"/>
    <w:rsid w:val="00892FEA"/>
    <w:rsid w:val="0089349D"/>
    <w:rsid w:val="008938CF"/>
    <w:rsid w:val="008939CD"/>
    <w:rsid w:val="00893A27"/>
    <w:rsid w:val="00893A99"/>
    <w:rsid w:val="00893B48"/>
    <w:rsid w:val="00893BC8"/>
    <w:rsid w:val="00893BD0"/>
    <w:rsid w:val="00893BEA"/>
    <w:rsid w:val="00893C22"/>
    <w:rsid w:val="00893F0F"/>
    <w:rsid w:val="008942EC"/>
    <w:rsid w:val="0089470C"/>
    <w:rsid w:val="00894A01"/>
    <w:rsid w:val="00894EF0"/>
    <w:rsid w:val="00894F7D"/>
    <w:rsid w:val="008952C2"/>
    <w:rsid w:val="008952EA"/>
    <w:rsid w:val="0089538D"/>
    <w:rsid w:val="00895449"/>
    <w:rsid w:val="00895821"/>
    <w:rsid w:val="0089582C"/>
    <w:rsid w:val="00895853"/>
    <w:rsid w:val="00895874"/>
    <w:rsid w:val="00895A37"/>
    <w:rsid w:val="00895AC5"/>
    <w:rsid w:val="00895AD7"/>
    <w:rsid w:val="00895CCD"/>
    <w:rsid w:val="00895D35"/>
    <w:rsid w:val="00895EBB"/>
    <w:rsid w:val="00896121"/>
    <w:rsid w:val="008962D5"/>
    <w:rsid w:val="00896916"/>
    <w:rsid w:val="00896971"/>
    <w:rsid w:val="00896A67"/>
    <w:rsid w:val="00896CFC"/>
    <w:rsid w:val="00896D37"/>
    <w:rsid w:val="0089720F"/>
    <w:rsid w:val="00897217"/>
    <w:rsid w:val="008972B0"/>
    <w:rsid w:val="0089737A"/>
    <w:rsid w:val="008974A9"/>
    <w:rsid w:val="008975C4"/>
    <w:rsid w:val="00897A1A"/>
    <w:rsid w:val="00897B25"/>
    <w:rsid w:val="00897BE2"/>
    <w:rsid w:val="00897F55"/>
    <w:rsid w:val="008A007E"/>
    <w:rsid w:val="008A0319"/>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60B"/>
    <w:rsid w:val="008A461A"/>
    <w:rsid w:val="008A4AB5"/>
    <w:rsid w:val="008A4B3F"/>
    <w:rsid w:val="008A4C71"/>
    <w:rsid w:val="008A4D2D"/>
    <w:rsid w:val="008A4F00"/>
    <w:rsid w:val="008A51CA"/>
    <w:rsid w:val="008A54AE"/>
    <w:rsid w:val="008A5545"/>
    <w:rsid w:val="008A55C4"/>
    <w:rsid w:val="008A575A"/>
    <w:rsid w:val="008A5865"/>
    <w:rsid w:val="008A58A2"/>
    <w:rsid w:val="008A5A69"/>
    <w:rsid w:val="008A5ABA"/>
    <w:rsid w:val="008A5D78"/>
    <w:rsid w:val="008A6382"/>
    <w:rsid w:val="008A6395"/>
    <w:rsid w:val="008A63FD"/>
    <w:rsid w:val="008A67B7"/>
    <w:rsid w:val="008A68AE"/>
    <w:rsid w:val="008A704B"/>
    <w:rsid w:val="008A73F8"/>
    <w:rsid w:val="008A7CE1"/>
    <w:rsid w:val="008A7D82"/>
    <w:rsid w:val="008A7E37"/>
    <w:rsid w:val="008B0186"/>
    <w:rsid w:val="008B0297"/>
    <w:rsid w:val="008B02D1"/>
    <w:rsid w:val="008B0308"/>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B5C"/>
    <w:rsid w:val="008B3EE7"/>
    <w:rsid w:val="008B40E7"/>
    <w:rsid w:val="008B45C4"/>
    <w:rsid w:val="008B45F3"/>
    <w:rsid w:val="008B46A7"/>
    <w:rsid w:val="008B4B29"/>
    <w:rsid w:val="008B4ECE"/>
    <w:rsid w:val="008B56BE"/>
    <w:rsid w:val="008B5855"/>
    <w:rsid w:val="008B5870"/>
    <w:rsid w:val="008B5E4E"/>
    <w:rsid w:val="008B65DA"/>
    <w:rsid w:val="008B6B3F"/>
    <w:rsid w:val="008B6B57"/>
    <w:rsid w:val="008B7385"/>
    <w:rsid w:val="008B73BB"/>
    <w:rsid w:val="008B7AAA"/>
    <w:rsid w:val="008B7CA4"/>
    <w:rsid w:val="008B7D0F"/>
    <w:rsid w:val="008B7D35"/>
    <w:rsid w:val="008C0575"/>
    <w:rsid w:val="008C06CF"/>
    <w:rsid w:val="008C08B7"/>
    <w:rsid w:val="008C0BD6"/>
    <w:rsid w:val="008C0C0B"/>
    <w:rsid w:val="008C0ECD"/>
    <w:rsid w:val="008C1445"/>
    <w:rsid w:val="008C156D"/>
    <w:rsid w:val="008C18F8"/>
    <w:rsid w:val="008C1AB4"/>
    <w:rsid w:val="008C1B3D"/>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9D2"/>
    <w:rsid w:val="008C5BE4"/>
    <w:rsid w:val="008C5C95"/>
    <w:rsid w:val="008C5DA5"/>
    <w:rsid w:val="008C621D"/>
    <w:rsid w:val="008C64BA"/>
    <w:rsid w:val="008C656D"/>
    <w:rsid w:val="008C6574"/>
    <w:rsid w:val="008C697A"/>
    <w:rsid w:val="008C6AD4"/>
    <w:rsid w:val="008C6B7B"/>
    <w:rsid w:val="008C6D41"/>
    <w:rsid w:val="008C6F52"/>
    <w:rsid w:val="008C7301"/>
    <w:rsid w:val="008C7329"/>
    <w:rsid w:val="008C767E"/>
    <w:rsid w:val="008C76EA"/>
    <w:rsid w:val="008C7903"/>
    <w:rsid w:val="008C7909"/>
    <w:rsid w:val="008C799B"/>
    <w:rsid w:val="008C7A72"/>
    <w:rsid w:val="008C7D0F"/>
    <w:rsid w:val="008C7F66"/>
    <w:rsid w:val="008D088A"/>
    <w:rsid w:val="008D0996"/>
    <w:rsid w:val="008D0DE8"/>
    <w:rsid w:val="008D0E44"/>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383"/>
    <w:rsid w:val="008D3602"/>
    <w:rsid w:val="008D36A0"/>
    <w:rsid w:val="008D36C5"/>
    <w:rsid w:val="008D3B24"/>
    <w:rsid w:val="008D3B61"/>
    <w:rsid w:val="008D3BCD"/>
    <w:rsid w:val="008D3CD2"/>
    <w:rsid w:val="008D3F67"/>
    <w:rsid w:val="008D41B9"/>
    <w:rsid w:val="008D4203"/>
    <w:rsid w:val="008D4320"/>
    <w:rsid w:val="008D4501"/>
    <w:rsid w:val="008D48A9"/>
    <w:rsid w:val="008D48CB"/>
    <w:rsid w:val="008D4A4A"/>
    <w:rsid w:val="008D4EB5"/>
    <w:rsid w:val="008D4F2D"/>
    <w:rsid w:val="008D50CD"/>
    <w:rsid w:val="008D539E"/>
    <w:rsid w:val="008D54F0"/>
    <w:rsid w:val="008D5703"/>
    <w:rsid w:val="008D574A"/>
    <w:rsid w:val="008D5860"/>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F70"/>
    <w:rsid w:val="008E037A"/>
    <w:rsid w:val="008E0419"/>
    <w:rsid w:val="008E04AC"/>
    <w:rsid w:val="008E0661"/>
    <w:rsid w:val="008E075E"/>
    <w:rsid w:val="008E078B"/>
    <w:rsid w:val="008E0923"/>
    <w:rsid w:val="008E0AAB"/>
    <w:rsid w:val="008E0E3F"/>
    <w:rsid w:val="008E0FA0"/>
    <w:rsid w:val="008E0FFB"/>
    <w:rsid w:val="008E1075"/>
    <w:rsid w:val="008E10E6"/>
    <w:rsid w:val="008E12A5"/>
    <w:rsid w:val="008E16B1"/>
    <w:rsid w:val="008E17C8"/>
    <w:rsid w:val="008E17D1"/>
    <w:rsid w:val="008E1826"/>
    <w:rsid w:val="008E195F"/>
    <w:rsid w:val="008E1A35"/>
    <w:rsid w:val="008E248B"/>
    <w:rsid w:val="008E25E6"/>
    <w:rsid w:val="008E27DD"/>
    <w:rsid w:val="008E27EE"/>
    <w:rsid w:val="008E2BFD"/>
    <w:rsid w:val="008E2C59"/>
    <w:rsid w:val="008E2F83"/>
    <w:rsid w:val="008E30DD"/>
    <w:rsid w:val="008E3273"/>
    <w:rsid w:val="008E33A7"/>
    <w:rsid w:val="008E344F"/>
    <w:rsid w:val="008E3563"/>
    <w:rsid w:val="008E378D"/>
    <w:rsid w:val="008E38BA"/>
    <w:rsid w:val="008E3BAD"/>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767"/>
    <w:rsid w:val="008E6879"/>
    <w:rsid w:val="008E6967"/>
    <w:rsid w:val="008E6AC8"/>
    <w:rsid w:val="008E6BD6"/>
    <w:rsid w:val="008E6BDF"/>
    <w:rsid w:val="008E6D94"/>
    <w:rsid w:val="008E7372"/>
    <w:rsid w:val="008E762F"/>
    <w:rsid w:val="008E7790"/>
    <w:rsid w:val="008E77CA"/>
    <w:rsid w:val="008E781F"/>
    <w:rsid w:val="008E7835"/>
    <w:rsid w:val="008E7C88"/>
    <w:rsid w:val="008F01E7"/>
    <w:rsid w:val="008F0310"/>
    <w:rsid w:val="008F05D9"/>
    <w:rsid w:val="008F067B"/>
    <w:rsid w:val="008F08F2"/>
    <w:rsid w:val="008F0918"/>
    <w:rsid w:val="008F0A3E"/>
    <w:rsid w:val="008F0AE9"/>
    <w:rsid w:val="008F0B2E"/>
    <w:rsid w:val="008F0C12"/>
    <w:rsid w:val="008F0C2F"/>
    <w:rsid w:val="008F0C83"/>
    <w:rsid w:val="008F10B4"/>
    <w:rsid w:val="008F10D4"/>
    <w:rsid w:val="008F15BC"/>
    <w:rsid w:val="008F1716"/>
    <w:rsid w:val="008F17DA"/>
    <w:rsid w:val="008F180B"/>
    <w:rsid w:val="008F1BD8"/>
    <w:rsid w:val="008F1D06"/>
    <w:rsid w:val="008F1D16"/>
    <w:rsid w:val="008F1DB2"/>
    <w:rsid w:val="008F20EB"/>
    <w:rsid w:val="008F2178"/>
    <w:rsid w:val="008F224F"/>
    <w:rsid w:val="008F2394"/>
    <w:rsid w:val="008F2490"/>
    <w:rsid w:val="008F2682"/>
    <w:rsid w:val="008F269E"/>
    <w:rsid w:val="008F26AE"/>
    <w:rsid w:val="008F2745"/>
    <w:rsid w:val="008F2D1D"/>
    <w:rsid w:val="008F2DB8"/>
    <w:rsid w:val="008F2E93"/>
    <w:rsid w:val="008F30E8"/>
    <w:rsid w:val="008F3117"/>
    <w:rsid w:val="008F3163"/>
    <w:rsid w:val="008F3324"/>
    <w:rsid w:val="008F382D"/>
    <w:rsid w:val="008F3CEA"/>
    <w:rsid w:val="008F403C"/>
    <w:rsid w:val="008F40A6"/>
    <w:rsid w:val="008F40AC"/>
    <w:rsid w:val="008F420E"/>
    <w:rsid w:val="008F447F"/>
    <w:rsid w:val="008F4562"/>
    <w:rsid w:val="008F45D2"/>
    <w:rsid w:val="008F48A6"/>
    <w:rsid w:val="008F493A"/>
    <w:rsid w:val="008F497F"/>
    <w:rsid w:val="008F4B0B"/>
    <w:rsid w:val="008F4CC9"/>
    <w:rsid w:val="008F4F27"/>
    <w:rsid w:val="008F4F4D"/>
    <w:rsid w:val="008F518D"/>
    <w:rsid w:val="008F523B"/>
    <w:rsid w:val="008F5352"/>
    <w:rsid w:val="008F53BD"/>
    <w:rsid w:val="008F57D3"/>
    <w:rsid w:val="008F5812"/>
    <w:rsid w:val="008F59AD"/>
    <w:rsid w:val="008F5AD1"/>
    <w:rsid w:val="008F5BC5"/>
    <w:rsid w:val="008F5BF5"/>
    <w:rsid w:val="008F5C8B"/>
    <w:rsid w:val="008F5CD3"/>
    <w:rsid w:val="008F5EF9"/>
    <w:rsid w:val="008F5F5A"/>
    <w:rsid w:val="008F6231"/>
    <w:rsid w:val="008F6588"/>
    <w:rsid w:val="008F6589"/>
    <w:rsid w:val="008F6698"/>
    <w:rsid w:val="008F6800"/>
    <w:rsid w:val="008F6A5A"/>
    <w:rsid w:val="008F6DE9"/>
    <w:rsid w:val="008F6EE0"/>
    <w:rsid w:val="008F7345"/>
    <w:rsid w:val="008F7510"/>
    <w:rsid w:val="008F774A"/>
    <w:rsid w:val="008F799E"/>
    <w:rsid w:val="008F7A9A"/>
    <w:rsid w:val="008F7D3B"/>
    <w:rsid w:val="008F7DF4"/>
    <w:rsid w:val="008F7EC6"/>
    <w:rsid w:val="008F7F90"/>
    <w:rsid w:val="0090021A"/>
    <w:rsid w:val="00900262"/>
    <w:rsid w:val="009003EE"/>
    <w:rsid w:val="00900466"/>
    <w:rsid w:val="00900565"/>
    <w:rsid w:val="009006B7"/>
    <w:rsid w:val="00900818"/>
    <w:rsid w:val="009008E1"/>
    <w:rsid w:val="00900D38"/>
    <w:rsid w:val="00900DB3"/>
    <w:rsid w:val="00901036"/>
    <w:rsid w:val="00901126"/>
    <w:rsid w:val="009012D8"/>
    <w:rsid w:val="0090143F"/>
    <w:rsid w:val="00901574"/>
    <w:rsid w:val="0090182E"/>
    <w:rsid w:val="0090188F"/>
    <w:rsid w:val="009019BA"/>
    <w:rsid w:val="00901C43"/>
    <w:rsid w:val="00901E70"/>
    <w:rsid w:val="00901F1F"/>
    <w:rsid w:val="009022AC"/>
    <w:rsid w:val="009023E9"/>
    <w:rsid w:val="0090266F"/>
    <w:rsid w:val="009029B3"/>
    <w:rsid w:val="00902A3E"/>
    <w:rsid w:val="00902AF6"/>
    <w:rsid w:val="009035AA"/>
    <w:rsid w:val="00903762"/>
    <w:rsid w:val="009038E9"/>
    <w:rsid w:val="00903945"/>
    <w:rsid w:val="00903963"/>
    <w:rsid w:val="00903AF4"/>
    <w:rsid w:val="00903B1C"/>
    <w:rsid w:val="00903D7A"/>
    <w:rsid w:val="00904237"/>
    <w:rsid w:val="0090431F"/>
    <w:rsid w:val="00904697"/>
    <w:rsid w:val="009046FC"/>
    <w:rsid w:val="00904B6A"/>
    <w:rsid w:val="00904C0D"/>
    <w:rsid w:val="00904F72"/>
    <w:rsid w:val="00905158"/>
    <w:rsid w:val="009054DB"/>
    <w:rsid w:val="00905A18"/>
    <w:rsid w:val="00905E02"/>
    <w:rsid w:val="0090671F"/>
    <w:rsid w:val="0090684F"/>
    <w:rsid w:val="009069D0"/>
    <w:rsid w:val="00906ADC"/>
    <w:rsid w:val="00906BF9"/>
    <w:rsid w:val="00906C37"/>
    <w:rsid w:val="00906E4D"/>
    <w:rsid w:val="00907049"/>
    <w:rsid w:val="00907106"/>
    <w:rsid w:val="009072F9"/>
    <w:rsid w:val="00907947"/>
    <w:rsid w:val="0090796B"/>
    <w:rsid w:val="00907A3C"/>
    <w:rsid w:val="00907B1B"/>
    <w:rsid w:val="00907BED"/>
    <w:rsid w:val="00907EF4"/>
    <w:rsid w:val="00910128"/>
    <w:rsid w:val="0091017A"/>
    <w:rsid w:val="009103F8"/>
    <w:rsid w:val="009104A4"/>
    <w:rsid w:val="009104DD"/>
    <w:rsid w:val="009106F1"/>
    <w:rsid w:val="00910A62"/>
    <w:rsid w:val="00910AD9"/>
    <w:rsid w:val="00910E03"/>
    <w:rsid w:val="00910E8B"/>
    <w:rsid w:val="00911404"/>
    <w:rsid w:val="00911499"/>
    <w:rsid w:val="009114F2"/>
    <w:rsid w:val="0091154F"/>
    <w:rsid w:val="00911643"/>
    <w:rsid w:val="00911789"/>
    <w:rsid w:val="00912072"/>
    <w:rsid w:val="0091208C"/>
    <w:rsid w:val="00912355"/>
    <w:rsid w:val="00912503"/>
    <w:rsid w:val="0091263A"/>
    <w:rsid w:val="009126FC"/>
    <w:rsid w:val="0091292B"/>
    <w:rsid w:val="009129CB"/>
    <w:rsid w:val="00912CF9"/>
    <w:rsid w:val="0091312A"/>
    <w:rsid w:val="00913167"/>
    <w:rsid w:val="009132CC"/>
    <w:rsid w:val="00913492"/>
    <w:rsid w:val="009135BE"/>
    <w:rsid w:val="00913652"/>
    <w:rsid w:val="00913CC6"/>
    <w:rsid w:val="00913D61"/>
    <w:rsid w:val="00914020"/>
    <w:rsid w:val="00914135"/>
    <w:rsid w:val="009141DC"/>
    <w:rsid w:val="00914768"/>
    <w:rsid w:val="009149F9"/>
    <w:rsid w:val="00914A0C"/>
    <w:rsid w:val="00914CBA"/>
    <w:rsid w:val="00914DEE"/>
    <w:rsid w:val="00915163"/>
    <w:rsid w:val="00915299"/>
    <w:rsid w:val="009152CE"/>
    <w:rsid w:val="00915570"/>
    <w:rsid w:val="009155F9"/>
    <w:rsid w:val="00915906"/>
    <w:rsid w:val="00915E79"/>
    <w:rsid w:val="00915F49"/>
    <w:rsid w:val="0091600F"/>
    <w:rsid w:val="00916022"/>
    <w:rsid w:val="009164F1"/>
    <w:rsid w:val="0091664F"/>
    <w:rsid w:val="009166C0"/>
    <w:rsid w:val="00916CAD"/>
    <w:rsid w:val="00916ECF"/>
    <w:rsid w:val="00917074"/>
    <w:rsid w:val="00917382"/>
    <w:rsid w:val="0091761B"/>
    <w:rsid w:val="0091780B"/>
    <w:rsid w:val="00917C21"/>
    <w:rsid w:val="009204A5"/>
    <w:rsid w:val="009204BD"/>
    <w:rsid w:val="00920770"/>
    <w:rsid w:val="00920917"/>
    <w:rsid w:val="00920ACD"/>
    <w:rsid w:val="00921084"/>
    <w:rsid w:val="009212E2"/>
    <w:rsid w:val="0092130E"/>
    <w:rsid w:val="00921426"/>
    <w:rsid w:val="00921455"/>
    <w:rsid w:val="009215DF"/>
    <w:rsid w:val="0092182D"/>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4E3B"/>
    <w:rsid w:val="0092506C"/>
    <w:rsid w:val="009250FB"/>
    <w:rsid w:val="0092513B"/>
    <w:rsid w:val="00925349"/>
    <w:rsid w:val="00925693"/>
    <w:rsid w:val="0092570E"/>
    <w:rsid w:val="0092577F"/>
    <w:rsid w:val="00925B6E"/>
    <w:rsid w:val="00925EF9"/>
    <w:rsid w:val="00925FC6"/>
    <w:rsid w:val="00926064"/>
    <w:rsid w:val="00926172"/>
    <w:rsid w:val="00926208"/>
    <w:rsid w:val="00926508"/>
    <w:rsid w:val="00926544"/>
    <w:rsid w:val="00926614"/>
    <w:rsid w:val="0092692C"/>
    <w:rsid w:val="009269C4"/>
    <w:rsid w:val="009269E8"/>
    <w:rsid w:val="00926E41"/>
    <w:rsid w:val="00926F0C"/>
    <w:rsid w:val="0092735E"/>
    <w:rsid w:val="009274FB"/>
    <w:rsid w:val="009277C1"/>
    <w:rsid w:val="00927922"/>
    <w:rsid w:val="00927B1C"/>
    <w:rsid w:val="00927BE0"/>
    <w:rsid w:val="00927FE7"/>
    <w:rsid w:val="009300D9"/>
    <w:rsid w:val="009301B5"/>
    <w:rsid w:val="00930231"/>
    <w:rsid w:val="0093070C"/>
    <w:rsid w:val="0093071A"/>
    <w:rsid w:val="009307A1"/>
    <w:rsid w:val="009308A8"/>
    <w:rsid w:val="009308AB"/>
    <w:rsid w:val="00930A9F"/>
    <w:rsid w:val="00930AA3"/>
    <w:rsid w:val="00930E07"/>
    <w:rsid w:val="00930EED"/>
    <w:rsid w:val="00931076"/>
    <w:rsid w:val="00931598"/>
    <w:rsid w:val="009316DD"/>
    <w:rsid w:val="00931813"/>
    <w:rsid w:val="00931E4B"/>
    <w:rsid w:val="00932364"/>
    <w:rsid w:val="0093239D"/>
    <w:rsid w:val="00932AE9"/>
    <w:rsid w:val="00932B18"/>
    <w:rsid w:val="00932FED"/>
    <w:rsid w:val="0093315D"/>
    <w:rsid w:val="009331EA"/>
    <w:rsid w:val="0093339C"/>
    <w:rsid w:val="00933484"/>
    <w:rsid w:val="0093351A"/>
    <w:rsid w:val="009335B7"/>
    <w:rsid w:val="00933810"/>
    <w:rsid w:val="00933925"/>
    <w:rsid w:val="00933A1E"/>
    <w:rsid w:val="00933C9D"/>
    <w:rsid w:val="00933EA2"/>
    <w:rsid w:val="00933F7D"/>
    <w:rsid w:val="00934468"/>
    <w:rsid w:val="0093459A"/>
    <w:rsid w:val="009345AD"/>
    <w:rsid w:val="009347F5"/>
    <w:rsid w:val="00934F4C"/>
    <w:rsid w:val="0093513A"/>
    <w:rsid w:val="009352D1"/>
    <w:rsid w:val="00935332"/>
    <w:rsid w:val="0093553A"/>
    <w:rsid w:val="00935623"/>
    <w:rsid w:val="00935BF0"/>
    <w:rsid w:val="009360EB"/>
    <w:rsid w:val="00936429"/>
    <w:rsid w:val="00936818"/>
    <w:rsid w:val="009369A5"/>
    <w:rsid w:val="00936C0D"/>
    <w:rsid w:val="00937105"/>
    <w:rsid w:val="0093712A"/>
    <w:rsid w:val="009371D9"/>
    <w:rsid w:val="00937699"/>
    <w:rsid w:val="00937999"/>
    <w:rsid w:val="00937F95"/>
    <w:rsid w:val="009400DA"/>
    <w:rsid w:val="009404B6"/>
    <w:rsid w:val="009405EF"/>
    <w:rsid w:val="00940861"/>
    <w:rsid w:val="00940C3B"/>
    <w:rsid w:val="00941035"/>
    <w:rsid w:val="009415D0"/>
    <w:rsid w:val="0094179D"/>
    <w:rsid w:val="009419F3"/>
    <w:rsid w:val="00941A00"/>
    <w:rsid w:val="00941A6F"/>
    <w:rsid w:val="00941FF3"/>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35"/>
    <w:rsid w:val="0094486D"/>
    <w:rsid w:val="009448C7"/>
    <w:rsid w:val="009450B5"/>
    <w:rsid w:val="00945262"/>
    <w:rsid w:val="009452AD"/>
    <w:rsid w:val="0094572E"/>
    <w:rsid w:val="00945756"/>
    <w:rsid w:val="00945C63"/>
    <w:rsid w:val="00946029"/>
    <w:rsid w:val="009461A5"/>
    <w:rsid w:val="009461CF"/>
    <w:rsid w:val="009462C7"/>
    <w:rsid w:val="00946333"/>
    <w:rsid w:val="0094651F"/>
    <w:rsid w:val="00946B24"/>
    <w:rsid w:val="00946FD5"/>
    <w:rsid w:val="0094710E"/>
    <w:rsid w:val="0094749D"/>
    <w:rsid w:val="0094759F"/>
    <w:rsid w:val="00947651"/>
    <w:rsid w:val="009476DA"/>
    <w:rsid w:val="00947A26"/>
    <w:rsid w:val="00947BED"/>
    <w:rsid w:val="00947C00"/>
    <w:rsid w:val="00947C4A"/>
    <w:rsid w:val="00947CE5"/>
    <w:rsid w:val="00947F16"/>
    <w:rsid w:val="00947F46"/>
    <w:rsid w:val="00950232"/>
    <w:rsid w:val="00950326"/>
    <w:rsid w:val="00950805"/>
    <w:rsid w:val="00950931"/>
    <w:rsid w:val="00950CC2"/>
    <w:rsid w:val="009511C9"/>
    <w:rsid w:val="00951503"/>
    <w:rsid w:val="00951558"/>
    <w:rsid w:val="009515C5"/>
    <w:rsid w:val="00951CDF"/>
    <w:rsid w:val="00951D6E"/>
    <w:rsid w:val="00951DFD"/>
    <w:rsid w:val="009520BF"/>
    <w:rsid w:val="009524DD"/>
    <w:rsid w:val="0095292E"/>
    <w:rsid w:val="00952A9F"/>
    <w:rsid w:val="009530EE"/>
    <w:rsid w:val="009534BA"/>
    <w:rsid w:val="009534EE"/>
    <w:rsid w:val="0095359E"/>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85F"/>
    <w:rsid w:val="00956D2C"/>
    <w:rsid w:val="00956D9B"/>
    <w:rsid w:val="00957059"/>
    <w:rsid w:val="009571BC"/>
    <w:rsid w:val="009575DF"/>
    <w:rsid w:val="00957A80"/>
    <w:rsid w:val="00957BD1"/>
    <w:rsid w:val="00960200"/>
    <w:rsid w:val="00960253"/>
    <w:rsid w:val="009602A7"/>
    <w:rsid w:val="00960377"/>
    <w:rsid w:val="00960554"/>
    <w:rsid w:val="00960792"/>
    <w:rsid w:val="009607B5"/>
    <w:rsid w:val="009607D1"/>
    <w:rsid w:val="009608F3"/>
    <w:rsid w:val="009609B3"/>
    <w:rsid w:val="00960A73"/>
    <w:rsid w:val="00960E3A"/>
    <w:rsid w:val="00960F23"/>
    <w:rsid w:val="00960FCA"/>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A0F"/>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2E1"/>
    <w:rsid w:val="00964608"/>
    <w:rsid w:val="00964ADD"/>
    <w:rsid w:val="00964CD4"/>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20"/>
    <w:rsid w:val="00967471"/>
    <w:rsid w:val="0096780E"/>
    <w:rsid w:val="00967A7D"/>
    <w:rsid w:val="00967B81"/>
    <w:rsid w:val="00967BF1"/>
    <w:rsid w:val="00967C18"/>
    <w:rsid w:val="00967D4A"/>
    <w:rsid w:val="00967F51"/>
    <w:rsid w:val="009701C8"/>
    <w:rsid w:val="00970270"/>
    <w:rsid w:val="009706C0"/>
    <w:rsid w:val="00970D08"/>
    <w:rsid w:val="009712C0"/>
    <w:rsid w:val="00971381"/>
    <w:rsid w:val="009713E0"/>
    <w:rsid w:val="009713F8"/>
    <w:rsid w:val="009714A9"/>
    <w:rsid w:val="009717F1"/>
    <w:rsid w:val="00971A86"/>
    <w:rsid w:val="00971B73"/>
    <w:rsid w:val="00971D28"/>
    <w:rsid w:val="0097219D"/>
    <w:rsid w:val="00972609"/>
    <w:rsid w:val="00972D2D"/>
    <w:rsid w:val="00972D8C"/>
    <w:rsid w:val="00972D9A"/>
    <w:rsid w:val="00972F69"/>
    <w:rsid w:val="009730CE"/>
    <w:rsid w:val="0097311E"/>
    <w:rsid w:val="00973243"/>
    <w:rsid w:val="00973355"/>
    <w:rsid w:val="009735A5"/>
    <w:rsid w:val="00973A9A"/>
    <w:rsid w:val="00974158"/>
    <w:rsid w:val="009748E4"/>
    <w:rsid w:val="00974B2A"/>
    <w:rsid w:val="00974C93"/>
    <w:rsid w:val="0097506A"/>
    <w:rsid w:val="0097506F"/>
    <w:rsid w:val="00975333"/>
    <w:rsid w:val="0097541C"/>
    <w:rsid w:val="009754BA"/>
    <w:rsid w:val="009756E8"/>
    <w:rsid w:val="0097571D"/>
    <w:rsid w:val="009758D9"/>
    <w:rsid w:val="00975924"/>
    <w:rsid w:val="00975A5B"/>
    <w:rsid w:val="0097600C"/>
    <w:rsid w:val="009761C7"/>
    <w:rsid w:val="009764C3"/>
    <w:rsid w:val="0097657B"/>
    <w:rsid w:val="009765FA"/>
    <w:rsid w:val="0097662B"/>
    <w:rsid w:val="009766F8"/>
    <w:rsid w:val="00976A63"/>
    <w:rsid w:val="00976BC2"/>
    <w:rsid w:val="00976CC8"/>
    <w:rsid w:val="009773C8"/>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32"/>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2A01"/>
    <w:rsid w:val="00982F1F"/>
    <w:rsid w:val="009831BD"/>
    <w:rsid w:val="0098326C"/>
    <w:rsid w:val="0098328F"/>
    <w:rsid w:val="00983400"/>
    <w:rsid w:val="0098351E"/>
    <w:rsid w:val="0098379C"/>
    <w:rsid w:val="009838D7"/>
    <w:rsid w:val="00983B19"/>
    <w:rsid w:val="00983E85"/>
    <w:rsid w:val="00983EB7"/>
    <w:rsid w:val="00983FCB"/>
    <w:rsid w:val="00984381"/>
    <w:rsid w:val="009843D6"/>
    <w:rsid w:val="009848AD"/>
    <w:rsid w:val="0098495C"/>
    <w:rsid w:val="00984AF2"/>
    <w:rsid w:val="00984B6A"/>
    <w:rsid w:val="009850E3"/>
    <w:rsid w:val="009851CF"/>
    <w:rsid w:val="009852E8"/>
    <w:rsid w:val="00985378"/>
    <w:rsid w:val="00985562"/>
    <w:rsid w:val="00985649"/>
    <w:rsid w:val="0098585F"/>
    <w:rsid w:val="00985AFC"/>
    <w:rsid w:val="00985C96"/>
    <w:rsid w:val="00985CAA"/>
    <w:rsid w:val="00985E5D"/>
    <w:rsid w:val="00985F6C"/>
    <w:rsid w:val="00986221"/>
    <w:rsid w:val="0098625F"/>
    <w:rsid w:val="009863FD"/>
    <w:rsid w:val="0098693C"/>
    <w:rsid w:val="00986D1C"/>
    <w:rsid w:val="00986FA6"/>
    <w:rsid w:val="00986FAB"/>
    <w:rsid w:val="009872DF"/>
    <w:rsid w:val="009876EB"/>
    <w:rsid w:val="009877C7"/>
    <w:rsid w:val="00987946"/>
    <w:rsid w:val="0099013C"/>
    <w:rsid w:val="0099031C"/>
    <w:rsid w:val="00990912"/>
    <w:rsid w:val="00990C80"/>
    <w:rsid w:val="00990C98"/>
    <w:rsid w:val="00990DDE"/>
    <w:rsid w:val="00990EEB"/>
    <w:rsid w:val="00990F9C"/>
    <w:rsid w:val="00991413"/>
    <w:rsid w:val="00991446"/>
    <w:rsid w:val="0099162D"/>
    <w:rsid w:val="009917EF"/>
    <w:rsid w:val="0099189F"/>
    <w:rsid w:val="009918AB"/>
    <w:rsid w:val="00991C20"/>
    <w:rsid w:val="00991DEE"/>
    <w:rsid w:val="00991DF4"/>
    <w:rsid w:val="00991E1C"/>
    <w:rsid w:val="00991EAA"/>
    <w:rsid w:val="00991FAE"/>
    <w:rsid w:val="0099206A"/>
    <w:rsid w:val="00992107"/>
    <w:rsid w:val="009925DC"/>
    <w:rsid w:val="00992BD3"/>
    <w:rsid w:val="00992CAE"/>
    <w:rsid w:val="00993001"/>
    <w:rsid w:val="00993361"/>
    <w:rsid w:val="009934DD"/>
    <w:rsid w:val="0099381C"/>
    <w:rsid w:val="0099434E"/>
    <w:rsid w:val="00994629"/>
    <w:rsid w:val="00994984"/>
    <w:rsid w:val="00994AC6"/>
    <w:rsid w:val="00994ADB"/>
    <w:rsid w:val="00994ADC"/>
    <w:rsid w:val="00994F21"/>
    <w:rsid w:val="00994FD4"/>
    <w:rsid w:val="009952C2"/>
    <w:rsid w:val="009952F8"/>
    <w:rsid w:val="00995346"/>
    <w:rsid w:val="009953C6"/>
    <w:rsid w:val="00995454"/>
    <w:rsid w:val="009955D8"/>
    <w:rsid w:val="00995AC3"/>
    <w:rsid w:val="0099601E"/>
    <w:rsid w:val="00996205"/>
    <w:rsid w:val="00996352"/>
    <w:rsid w:val="00996568"/>
    <w:rsid w:val="0099659C"/>
    <w:rsid w:val="00996865"/>
    <w:rsid w:val="00996A2B"/>
    <w:rsid w:val="00996AA7"/>
    <w:rsid w:val="00996CCA"/>
    <w:rsid w:val="00996D1D"/>
    <w:rsid w:val="00996D61"/>
    <w:rsid w:val="00997180"/>
    <w:rsid w:val="00997312"/>
    <w:rsid w:val="009975EB"/>
    <w:rsid w:val="00997664"/>
    <w:rsid w:val="0099775D"/>
    <w:rsid w:val="00997761"/>
    <w:rsid w:val="009979B1"/>
    <w:rsid w:val="00997E02"/>
    <w:rsid w:val="00997EF0"/>
    <w:rsid w:val="00997F14"/>
    <w:rsid w:val="009A02B4"/>
    <w:rsid w:val="009A0307"/>
    <w:rsid w:val="009A0580"/>
    <w:rsid w:val="009A074E"/>
    <w:rsid w:val="009A0822"/>
    <w:rsid w:val="009A0886"/>
    <w:rsid w:val="009A0959"/>
    <w:rsid w:val="009A0A9F"/>
    <w:rsid w:val="009A0AF6"/>
    <w:rsid w:val="009A0C3C"/>
    <w:rsid w:val="009A0FE6"/>
    <w:rsid w:val="009A1002"/>
    <w:rsid w:val="009A13B5"/>
    <w:rsid w:val="009A16F1"/>
    <w:rsid w:val="009A1792"/>
    <w:rsid w:val="009A1B05"/>
    <w:rsid w:val="009A1D01"/>
    <w:rsid w:val="009A1FFC"/>
    <w:rsid w:val="009A21CF"/>
    <w:rsid w:val="009A22E5"/>
    <w:rsid w:val="009A2320"/>
    <w:rsid w:val="009A2392"/>
    <w:rsid w:val="009A25FE"/>
    <w:rsid w:val="009A26D7"/>
    <w:rsid w:val="009A2A28"/>
    <w:rsid w:val="009A2CBA"/>
    <w:rsid w:val="009A2E5C"/>
    <w:rsid w:val="009A32E3"/>
    <w:rsid w:val="009A33F1"/>
    <w:rsid w:val="009A35C1"/>
    <w:rsid w:val="009A35E6"/>
    <w:rsid w:val="009A362C"/>
    <w:rsid w:val="009A375B"/>
    <w:rsid w:val="009A3952"/>
    <w:rsid w:val="009A3A73"/>
    <w:rsid w:val="009A3B61"/>
    <w:rsid w:val="009A3D2F"/>
    <w:rsid w:val="009A3F60"/>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8BE"/>
    <w:rsid w:val="009A69A9"/>
    <w:rsid w:val="009A6B18"/>
    <w:rsid w:val="009A6CAF"/>
    <w:rsid w:val="009A6F41"/>
    <w:rsid w:val="009A735B"/>
    <w:rsid w:val="009A7395"/>
    <w:rsid w:val="009A7461"/>
    <w:rsid w:val="009A7837"/>
    <w:rsid w:val="009A7B94"/>
    <w:rsid w:val="009B048F"/>
    <w:rsid w:val="009B053B"/>
    <w:rsid w:val="009B08E3"/>
    <w:rsid w:val="009B0B14"/>
    <w:rsid w:val="009B0B7E"/>
    <w:rsid w:val="009B0BE8"/>
    <w:rsid w:val="009B0FD6"/>
    <w:rsid w:val="009B115F"/>
    <w:rsid w:val="009B1378"/>
    <w:rsid w:val="009B1560"/>
    <w:rsid w:val="009B183B"/>
    <w:rsid w:val="009B1A43"/>
    <w:rsid w:val="009B1A95"/>
    <w:rsid w:val="009B1B27"/>
    <w:rsid w:val="009B1B73"/>
    <w:rsid w:val="009B1BAF"/>
    <w:rsid w:val="009B1C0F"/>
    <w:rsid w:val="009B1CF6"/>
    <w:rsid w:val="009B1D3B"/>
    <w:rsid w:val="009B2032"/>
    <w:rsid w:val="009B2038"/>
    <w:rsid w:val="009B20AC"/>
    <w:rsid w:val="009B223F"/>
    <w:rsid w:val="009B2454"/>
    <w:rsid w:val="009B27EB"/>
    <w:rsid w:val="009B2ABD"/>
    <w:rsid w:val="009B2C5E"/>
    <w:rsid w:val="009B2E74"/>
    <w:rsid w:val="009B2FD2"/>
    <w:rsid w:val="009B33FE"/>
    <w:rsid w:val="009B375E"/>
    <w:rsid w:val="009B38A7"/>
    <w:rsid w:val="009B3925"/>
    <w:rsid w:val="009B3BEB"/>
    <w:rsid w:val="009B4093"/>
    <w:rsid w:val="009B412B"/>
    <w:rsid w:val="009B41A5"/>
    <w:rsid w:val="009B41BB"/>
    <w:rsid w:val="009B4244"/>
    <w:rsid w:val="009B427C"/>
    <w:rsid w:val="009B45F1"/>
    <w:rsid w:val="009B4797"/>
    <w:rsid w:val="009B47C0"/>
    <w:rsid w:val="009B48B3"/>
    <w:rsid w:val="009B4AC6"/>
    <w:rsid w:val="009B4AEC"/>
    <w:rsid w:val="009B4CE1"/>
    <w:rsid w:val="009B4D8C"/>
    <w:rsid w:val="009B4FEB"/>
    <w:rsid w:val="009B5033"/>
    <w:rsid w:val="009B5129"/>
    <w:rsid w:val="009B518B"/>
    <w:rsid w:val="009B5342"/>
    <w:rsid w:val="009B5419"/>
    <w:rsid w:val="009B5B3E"/>
    <w:rsid w:val="009B5B4B"/>
    <w:rsid w:val="009B5C92"/>
    <w:rsid w:val="009B5F3A"/>
    <w:rsid w:val="009B5FA9"/>
    <w:rsid w:val="009B6166"/>
    <w:rsid w:val="009B6524"/>
    <w:rsid w:val="009B6AC6"/>
    <w:rsid w:val="009B6B73"/>
    <w:rsid w:val="009B7033"/>
    <w:rsid w:val="009B706D"/>
    <w:rsid w:val="009B75F9"/>
    <w:rsid w:val="009B7936"/>
    <w:rsid w:val="009B7A7C"/>
    <w:rsid w:val="009B7A85"/>
    <w:rsid w:val="009B7AF5"/>
    <w:rsid w:val="009B7E33"/>
    <w:rsid w:val="009B7FCF"/>
    <w:rsid w:val="009C01B6"/>
    <w:rsid w:val="009C01FE"/>
    <w:rsid w:val="009C033A"/>
    <w:rsid w:val="009C03A7"/>
    <w:rsid w:val="009C0435"/>
    <w:rsid w:val="009C04FA"/>
    <w:rsid w:val="009C05B7"/>
    <w:rsid w:val="009C0711"/>
    <w:rsid w:val="009C078C"/>
    <w:rsid w:val="009C07D4"/>
    <w:rsid w:val="009C08EC"/>
    <w:rsid w:val="009C0C01"/>
    <w:rsid w:val="009C0D9E"/>
    <w:rsid w:val="009C1033"/>
    <w:rsid w:val="009C10EB"/>
    <w:rsid w:val="009C126C"/>
    <w:rsid w:val="009C148A"/>
    <w:rsid w:val="009C1541"/>
    <w:rsid w:val="009C169C"/>
    <w:rsid w:val="009C178C"/>
    <w:rsid w:val="009C17D1"/>
    <w:rsid w:val="009C17F2"/>
    <w:rsid w:val="009C184F"/>
    <w:rsid w:val="009C1E0A"/>
    <w:rsid w:val="009C1E40"/>
    <w:rsid w:val="009C1F5A"/>
    <w:rsid w:val="009C2257"/>
    <w:rsid w:val="009C2AB2"/>
    <w:rsid w:val="009C2C9E"/>
    <w:rsid w:val="009C2D76"/>
    <w:rsid w:val="009C2F26"/>
    <w:rsid w:val="009C2F63"/>
    <w:rsid w:val="009C3092"/>
    <w:rsid w:val="009C38C2"/>
    <w:rsid w:val="009C3A28"/>
    <w:rsid w:val="009C3BA5"/>
    <w:rsid w:val="009C3C1D"/>
    <w:rsid w:val="009C439F"/>
    <w:rsid w:val="009C44BB"/>
    <w:rsid w:val="009C4899"/>
    <w:rsid w:val="009C4A07"/>
    <w:rsid w:val="009C4A19"/>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6D4"/>
    <w:rsid w:val="009C670B"/>
    <w:rsid w:val="009C6742"/>
    <w:rsid w:val="009C6914"/>
    <w:rsid w:val="009C6BE2"/>
    <w:rsid w:val="009C6BF5"/>
    <w:rsid w:val="009C6E9E"/>
    <w:rsid w:val="009C7154"/>
    <w:rsid w:val="009C723D"/>
    <w:rsid w:val="009C72C7"/>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B9A"/>
    <w:rsid w:val="009D1E13"/>
    <w:rsid w:val="009D1EA1"/>
    <w:rsid w:val="009D1EC1"/>
    <w:rsid w:val="009D1FD0"/>
    <w:rsid w:val="009D2094"/>
    <w:rsid w:val="009D2495"/>
    <w:rsid w:val="009D2510"/>
    <w:rsid w:val="009D25A2"/>
    <w:rsid w:val="009D270D"/>
    <w:rsid w:val="009D2C3E"/>
    <w:rsid w:val="009D300C"/>
    <w:rsid w:val="009D339F"/>
    <w:rsid w:val="009D3416"/>
    <w:rsid w:val="009D3817"/>
    <w:rsid w:val="009D3929"/>
    <w:rsid w:val="009D3CD5"/>
    <w:rsid w:val="009D3FF8"/>
    <w:rsid w:val="009D42E0"/>
    <w:rsid w:val="009D45CC"/>
    <w:rsid w:val="009D4690"/>
    <w:rsid w:val="009D4E64"/>
    <w:rsid w:val="009D4E7A"/>
    <w:rsid w:val="009D5026"/>
    <w:rsid w:val="009D5068"/>
    <w:rsid w:val="009D52FF"/>
    <w:rsid w:val="009D561D"/>
    <w:rsid w:val="009D5737"/>
    <w:rsid w:val="009D5AD0"/>
    <w:rsid w:val="009D5FA7"/>
    <w:rsid w:val="009D603E"/>
    <w:rsid w:val="009D63C1"/>
    <w:rsid w:val="009D6783"/>
    <w:rsid w:val="009D678B"/>
    <w:rsid w:val="009D6BFF"/>
    <w:rsid w:val="009D6D49"/>
    <w:rsid w:val="009D704C"/>
    <w:rsid w:val="009D7127"/>
    <w:rsid w:val="009D72CD"/>
    <w:rsid w:val="009D742D"/>
    <w:rsid w:val="009D77E5"/>
    <w:rsid w:val="009D7AB6"/>
    <w:rsid w:val="009E03AE"/>
    <w:rsid w:val="009E043E"/>
    <w:rsid w:val="009E04FD"/>
    <w:rsid w:val="009E05AD"/>
    <w:rsid w:val="009E068D"/>
    <w:rsid w:val="009E0882"/>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43B"/>
    <w:rsid w:val="009E2627"/>
    <w:rsid w:val="009E2686"/>
    <w:rsid w:val="009E2989"/>
    <w:rsid w:val="009E2C6C"/>
    <w:rsid w:val="009E3035"/>
    <w:rsid w:val="009E33DB"/>
    <w:rsid w:val="009E3559"/>
    <w:rsid w:val="009E35D8"/>
    <w:rsid w:val="009E36CA"/>
    <w:rsid w:val="009E386F"/>
    <w:rsid w:val="009E3C84"/>
    <w:rsid w:val="009E4076"/>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6F0F"/>
    <w:rsid w:val="009E7088"/>
    <w:rsid w:val="009E72AA"/>
    <w:rsid w:val="009E76DA"/>
    <w:rsid w:val="009E783B"/>
    <w:rsid w:val="009E7BBC"/>
    <w:rsid w:val="009E7E2B"/>
    <w:rsid w:val="009F036B"/>
    <w:rsid w:val="009F05E7"/>
    <w:rsid w:val="009F063C"/>
    <w:rsid w:val="009F0BC4"/>
    <w:rsid w:val="009F0BD3"/>
    <w:rsid w:val="009F10FC"/>
    <w:rsid w:val="009F1141"/>
    <w:rsid w:val="009F12C7"/>
    <w:rsid w:val="009F1320"/>
    <w:rsid w:val="009F1447"/>
    <w:rsid w:val="009F1550"/>
    <w:rsid w:val="009F1590"/>
    <w:rsid w:val="009F170B"/>
    <w:rsid w:val="009F184B"/>
    <w:rsid w:val="009F1B82"/>
    <w:rsid w:val="009F1C4A"/>
    <w:rsid w:val="009F1C77"/>
    <w:rsid w:val="009F1EBD"/>
    <w:rsid w:val="009F1F50"/>
    <w:rsid w:val="009F1F9B"/>
    <w:rsid w:val="009F2096"/>
    <w:rsid w:val="009F2234"/>
    <w:rsid w:val="009F2280"/>
    <w:rsid w:val="009F23CF"/>
    <w:rsid w:val="009F2646"/>
    <w:rsid w:val="009F2AB9"/>
    <w:rsid w:val="009F2B04"/>
    <w:rsid w:val="009F2B94"/>
    <w:rsid w:val="009F2E8E"/>
    <w:rsid w:val="009F32F1"/>
    <w:rsid w:val="009F3434"/>
    <w:rsid w:val="009F36C3"/>
    <w:rsid w:val="009F3773"/>
    <w:rsid w:val="009F387D"/>
    <w:rsid w:val="009F3A21"/>
    <w:rsid w:val="009F3CFC"/>
    <w:rsid w:val="009F3FEB"/>
    <w:rsid w:val="009F40F4"/>
    <w:rsid w:val="009F4658"/>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83"/>
    <w:rsid w:val="009F78B7"/>
    <w:rsid w:val="009F7C92"/>
    <w:rsid w:val="00A004B4"/>
    <w:rsid w:val="00A00713"/>
    <w:rsid w:val="00A00931"/>
    <w:rsid w:val="00A009C9"/>
    <w:rsid w:val="00A00F06"/>
    <w:rsid w:val="00A013AC"/>
    <w:rsid w:val="00A013CC"/>
    <w:rsid w:val="00A01532"/>
    <w:rsid w:val="00A016B7"/>
    <w:rsid w:val="00A01767"/>
    <w:rsid w:val="00A017FB"/>
    <w:rsid w:val="00A01808"/>
    <w:rsid w:val="00A019FB"/>
    <w:rsid w:val="00A01A3C"/>
    <w:rsid w:val="00A01CA8"/>
    <w:rsid w:val="00A01DB4"/>
    <w:rsid w:val="00A01DD8"/>
    <w:rsid w:val="00A02011"/>
    <w:rsid w:val="00A021F6"/>
    <w:rsid w:val="00A02218"/>
    <w:rsid w:val="00A02373"/>
    <w:rsid w:val="00A023D6"/>
    <w:rsid w:val="00A02811"/>
    <w:rsid w:val="00A02A08"/>
    <w:rsid w:val="00A02B61"/>
    <w:rsid w:val="00A02FEC"/>
    <w:rsid w:val="00A0323A"/>
    <w:rsid w:val="00A03246"/>
    <w:rsid w:val="00A032FD"/>
    <w:rsid w:val="00A033FC"/>
    <w:rsid w:val="00A034B1"/>
    <w:rsid w:val="00A03518"/>
    <w:rsid w:val="00A036A5"/>
    <w:rsid w:val="00A03BAD"/>
    <w:rsid w:val="00A03CAF"/>
    <w:rsid w:val="00A03E43"/>
    <w:rsid w:val="00A03EC3"/>
    <w:rsid w:val="00A04010"/>
    <w:rsid w:val="00A04082"/>
    <w:rsid w:val="00A04110"/>
    <w:rsid w:val="00A04283"/>
    <w:rsid w:val="00A042E4"/>
    <w:rsid w:val="00A04557"/>
    <w:rsid w:val="00A047AF"/>
    <w:rsid w:val="00A049DF"/>
    <w:rsid w:val="00A04EC0"/>
    <w:rsid w:val="00A04EF3"/>
    <w:rsid w:val="00A05194"/>
    <w:rsid w:val="00A0535B"/>
    <w:rsid w:val="00A05442"/>
    <w:rsid w:val="00A05591"/>
    <w:rsid w:val="00A05626"/>
    <w:rsid w:val="00A05820"/>
    <w:rsid w:val="00A05844"/>
    <w:rsid w:val="00A05976"/>
    <w:rsid w:val="00A05BC8"/>
    <w:rsid w:val="00A05D8B"/>
    <w:rsid w:val="00A05DC1"/>
    <w:rsid w:val="00A0629D"/>
    <w:rsid w:val="00A0639D"/>
    <w:rsid w:val="00A065D6"/>
    <w:rsid w:val="00A0673D"/>
    <w:rsid w:val="00A06E14"/>
    <w:rsid w:val="00A06EE2"/>
    <w:rsid w:val="00A071DB"/>
    <w:rsid w:val="00A0722E"/>
    <w:rsid w:val="00A0730A"/>
    <w:rsid w:val="00A07371"/>
    <w:rsid w:val="00A076F5"/>
    <w:rsid w:val="00A079E9"/>
    <w:rsid w:val="00A07AA3"/>
    <w:rsid w:val="00A07C7C"/>
    <w:rsid w:val="00A07E0F"/>
    <w:rsid w:val="00A07EE8"/>
    <w:rsid w:val="00A100AE"/>
    <w:rsid w:val="00A102F6"/>
    <w:rsid w:val="00A10531"/>
    <w:rsid w:val="00A1074A"/>
    <w:rsid w:val="00A10940"/>
    <w:rsid w:val="00A1095E"/>
    <w:rsid w:val="00A10E02"/>
    <w:rsid w:val="00A11229"/>
    <w:rsid w:val="00A112D2"/>
    <w:rsid w:val="00A115DF"/>
    <w:rsid w:val="00A11622"/>
    <w:rsid w:val="00A11669"/>
    <w:rsid w:val="00A116A7"/>
    <w:rsid w:val="00A11860"/>
    <w:rsid w:val="00A1189F"/>
    <w:rsid w:val="00A11AE6"/>
    <w:rsid w:val="00A11B02"/>
    <w:rsid w:val="00A11D3D"/>
    <w:rsid w:val="00A1213C"/>
    <w:rsid w:val="00A124F6"/>
    <w:rsid w:val="00A12504"/>
    <w:rsid w:val="00A127F6"/>
    <w:rsid w:val="00A129AE"/>
    <w:rsid w:val="00A130DF"/>
    <w:rsid w:val="00A13186"/>
    <w:rsid w:val="00A13203"/>
    <w:rsid w:val="00A133E0"/>
    <w:rsid w:val="00A13584"/>
    <w:rsid w:val="00A1387D"/>
    <w:rsid w:val="00A139E4"/>
    <w:rsid w:val="00A13A7C"/>
    <w:rsid w:val="00A13B21"/>
    <w:rsid w:val="00A13DCE"/>
    <w:rsid w:val="00A13EEF"/>
    <w:rsid w:val="00A140FA"/>
    <w:rsid w:val="00A1454E"/>
    <w:rsid w:val="00A145EF"/>
    <w:rsid w:val="00A1473E"/>
    <w:rsid w:val="00A147EF"/>
    <w:rsid w:val="00A14A88"/>
    <w:rsid w:val="00A14BE0"/>
    <w:rsid w:val="00A14C68"/>
    <w:rsid w:val="00A14D04"/>
    <w:rsid w:val="00A15181"/>
    <w:rsid w:val="00A153E8"/>
    <w:rsid w:val="00A15567"/>
    <w:rsid w:val="00A155BF"/>
    <w:rsid w:val="00A155C3"/>
    <w:rsid w:val="00A156B5"/>
    <w:rsid w:val="00A15804"/>
    <w:rsid w:val="00A15B41"/>
    <w:rsid w:val="00A15C91"/>
    <w:rsid w:val="00A15FD8"/>
    <w:rsid w:val="00A16C95"/>
    <w:rsid w:val="00A16D0F"/>
    <w:rsid w:val="00A16FE2"/>
    <w:rsid w:val="00A17010"/>
    <w:rsid w:val="00A1742C"/>
    <w:rsid w:val="00A17691"/>
    <w:rsid w:val="00A17854"/>
    <w:rsid w:val="00A17D19"/>
    <w:rsid w:val="00A2031E"/>
    <w:rsid w:val="00A2046E"/>
    <w:rsid w:val="00A20470"/>
    <w:rsid w:val="00A20609"/>
    <w:rsid w:val="00A20644"/>
    <w:rsid w:val="00A2067C"/>
    <w:rsid w:val="00A2073E"/>
    <w:rsid w:val="00A207AE"/>
    <w:rsid w:val="00A209B8"/>
    <w:rsid w:val="00A20A66"/>
    <w:rsid w:val="00A20C5A"/>
    <w:rsid w:val="00A20C94"/>
    <w:rsid w:val="00A219AB"/>
    <w:rsid w:val="00A21A23"/>
    <w:rsid w:val="00A21B49"/>
    <w:rsid w:val="00A21E9F"/>
    <w:rsid w:val="00A22052"/>
    <w:rsid w:val="00A22251"/>
    <w:rsid w:val="00A22710"/>
    <w:rsid w:val="00A228BA"/>
    <w:rsid w:val="00A22D63"/>
    <w:rsid w:val="00A22DAA"/>
    <w:rsid w:val="00A2303D"/>
    <w:rsid w:val="00A232FF"/>
    <w:rsid w:val="00A23574"/>
    <w:rsid w:val="00A23610"/>
    <w:rsid w:val="00A23646"/>
    <w:rsid w:val="00A23666"/>
    <w:rsid w:val="00A23F11"/>
    <w:rsid w:val="00A24100"/>
    <w:rsid w:val="00A2454A"/>
    <w:rsid w:val="00A24595"/>
    <w:rsid w:val="00A250AD"/>
    <w:rsid w:val="00A25366"/>
    <w:rsid w:val="00A25894"/>
    <w:rsid w:val="00A25A30"/>
    <w:rsid w:val="00A25B46"/>
    <w:rsid w:val="00A25F8C"/>
    <w:rsid w:val="00A260E6"/>
    <w:rsid w:val="00A260F0"/>
    <w:rsid w:val="00A26416"/>
    <w:rsid w:val="00A26836"/>
    <w:rsid w:val="00A26859"/>
    <w:rsid w:val="00A268C4"/>
    <w:rsid w:val="00A26B3D"/>
    <w:rsid w:val="00A26B4E"/>
    <w:rsid w:val="00A26D3B"/>
    <w:rsid w:val="00A26F0F"/>
    <w:rsid w:val="00A27045"/>
    <w:rsid w:val="00A270D8"/>
    <w:rsid w:val="00A272DA"/>
    <w:rsid w:val="00A27408"/>
    <w:rsid w:val="00A2742F"/>
    <w:rsid w:val="00A274B7"/>
    <w:rsid w:val="00A2764E"/>
    <w:rsid w:val="00A27668"/>
    <w:rsid w:val="00A3012C"/>
    <w:rsid w:val="00A3045F"/>
    <w:rsid w:val="00A3058E"/>
    <w:rsid w:val="00A30799"/>
    <w:rsid w:val="00A308D5"/>
    <w:rsid w:val="00A309C9"/>
    <w:rsid w:val="00A30C57"/>
    <w:rsid w:val="00A30E2F"/>
    <w:rsid w:val="00A30E86"/>
    <w:rsid w:val="00A31344"/>
    <w:rsid w:val="00A314DF"/>
    <w:rsid w:val="00A3189E"/>
    <w:rsid w:val="00A31CE8"/>
    <w:rsid w:val="00A3209F"/>
    <w:rsid w:val="00A3291E"/>
    <w:rsid w:val="00A32CF2"/>
    <w:rsid w:val="00A32D60"/>
    <w:rsid w:val="00A32D72"/>
    <w:rsid w:val="00A33241"/>
    <w:rsid w:val="00A33397"/>
    <w:rsid w:val="00A33411"/>
    <w:rsid w:val="00A336C5"/>
    <w:rsid w:val="00A33876"/>
    <w:rsid w:val="00A33942"/>
    <w:rsid w:val="00A339FB"/>
    <w:rsid w:val="00A33C18"/>
    <w:rsid w:val="00A34392"/>
    <w:rsid w:val="00A34455"/>
    <w:rsid w:val="00A34974"/>
    <w:rsid w:val="00A34C3D"/>
    <w:rsid w:val="00A34CEC"/>
    <w:rsid w:val="00A34D92"/>
    <w:rsid w:val="00A350DB"/>
    <w:rsid w:val="00A3530B"/>
    <w:rsid w:val="00A3564B"/>
    <w:rsid w:val="00A356A6"/>
    <w:rsid w:val="00A356B2"/>
    <w:rsid w:val="00A35724"/>
    <w:rsid w:val="00A3594F"/>
    <w:rsid w:val="00A35B0B"/>
    <w:rsid w:val="00A35BEA"/>
    <w:rsid w:val="00A35C8F"/>
    <w:rsid w:val="00A35C9F"/>
    <w:rsid w:val="00A35DE1"/>
    <w:rsid w:val="00A360A2"/>
    <w:rsid w:val="00A363F7"/>
    <w:rsid w:val="00A36A86"/>
    <w:rsid w:val="00A36ADB"/>
    <w:rsid w:val="00A36CD3"/>
    <w:rsid w:val="00A36D55"/>
    <w:rsid w:val="00A36F8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06"/>
    <w:rsid w:val="00A4231D"/>
    <w:rsid w:val="00A4246A"/>
    <w:rsid w:val="00A42695"/>
    <w:rsid w:val="00A4287D"/>
    <w:rsid w:val="00A42898"/>
    <w:rsid w:val="00A428C8"/>
    <w:rsid w:val="00A428E3"/>
    <w:rsid w:val="00A42940"/>
    <w:rsid w:val="00A42B62"/>
    <w:rsid w:val="00A42DE3"/>
    <w:rsid w:val="00A42E00"/>
    <w:rsid w:val="00A43553"/>
    <w:rsid w:val="00A43590"/>
    <w:rsid w:val="00A43706"/>
    <w:rsid w:val="00A440FD"/>
    <w:rsid w:val="00A44238"/>
    <w:rsid w:val="00A4435B"/>
    <w:rsid w:val="00A44401"/>
    <w:rsid w:val="00A445B4"/>
    <w:rsid w:val="00A44629"/>
    <w:rsid w:val="00A446F5"/>
    <w:rsid w:val="00A44A8E"/>
    <w:rsid w:val="00A451F4"/>
    <w:rsid w:val="00A45734"/>
    <w:rsid w:val="00A458D7"/>
    <w:rsid w:val="00A45CE5"/>
    <w:rsid w:val="00A45CFE"/>
    <w:rsid w:val="00A45F2F"/>
    <w:rsid w:val="00A45FD6"/>
    <w:rsid w:val="00A45FDC"/>
    <w:rsid w:val="00A46112"/>
    <w:rsid w:val="00A46117"/>
    <w:rsid w:val="00A4636F"/>
    <w:rsid w:val="00A4659F"/>
    <w:rsid w:val="00A46B34"/>
    <w:rsid w:val="00A46BD5"/>
    <w:rsid w:val="00A46EA0"/>
    <w:rsid w:val="00A47290"/>
    <w:rsid w:val="00A4730F"/>
    <w:rsid w:val="00A47443"/>
    <w:rsid w:val="00A4758A"/>
    <w:rsid w:val="00A477F9"/>
    <w:rsid w:val="00A47950"/>
    <w:rsid w:val="00A47B8C"/>
    <w:rsid w:val="00A50026"/>
    <w:rsid w:val="00A5005C"/>
    <w:rsid w:val="00A5049E"/>
    <w:rsid w:val="00A5052C"/>
    <w:rsid w:val="00A50589"/>
    <w:rsid w:val="00A50ABC"/>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091"/>
    <w:rsid w:val="00A52352"/>
    <w:rsid w:val="00A5250D"/>
    <w:rsid w:val="00A5263D"/>
    <w:rsid w:val="00A528CA"/>
    <w:rsid w:val="00A52936"/>
    <w:rsid w:val="00A52951"/>
    <w:rsid w:val="00A529B6"/>
    <w:rsid w:val="00A52BF8"/>
    <w:rsid w:val="00A52FDD"/>
    <w:rsid w:val="00A53202"/>
    <w:rsid w:val="00A532E8"/>
    <w:rsid w:val="00A5369C"/>
    <w:rsid w:val="00A53DB3"/>
    <w:rsid w:val="00A53DBD"/>
    <w:rsid w:val="00A53DE0"/>
    <w:rsid w:val="00A53DEA"/>
    <w:rsid w:val="00A53E61"/>
    <w:rsid w:val="00A54247"/>
    <w:rsid w:val="00A54382"/>
    <w:rsid w:val="00A54ABA"/>
    <w:rsid w:val="00A54F28"/>
    <w:rsid w:val="00A54FE6"/>
    <w:rsid w:val="00A55181"/>
    <w:rsid w:val="00A552AD"/>
    <w:rsid w:val="00A553B1"/>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E3"/>
    <w:rsid w:val="00A57FF8"/>
    <w:rsid w:val="00A6058F"/>
    <w:rsid w:val="00A60734"/>
    <w:rsid w:val="00A60795"/>
    <w:rsid w:val="00A60814"/>
    <w:rsid w:val="00A60FC2"/>
    <w:rsid w:val="00A61155"/>
    <w:rsid w:val="00A615F4"/>
    <w:rsid w:val="00A6179E"/>
    <w:rsid w:val="00A6193B"/>
    <w:rsid w:val="00A61948"/>
    <w:rsid w:val="00A61ADC"/>
    <w:rsid w:val="00A61E87"/>
    <w:rsid w:val="00A61F2D"/>
    <w:rsid w:val="00A61F5C"/>
    <w:rsid w:val="00A625E4"/>
    <w:rsid w:val="00A62672"/>
    <w:rsid w:val="00A626A6"/>
    <w:rsid w:val="00A626FB"/>
    <w:rsid w:val="00A62724"/>
    <w:rsid w:val="00A6298A"/>
    <w:rsid w:val="00A62A07"/>
    <w:rsid w:val="00A62E03"/>
    <w:rsid w:val="00A62F7B"/>
    <w:rsid w:val="00A6328C"/>
    <w:rsid w:val="00A6345C"/>
    <w:rsid w:val="00A6369B"/>
    <w:rsid w:val="00A63708"/>
    <w:rsid w:val="00A63715"/>
    <w:rsid w:val="00A6374F"/>
    <w:rsid w:val="00A63994"/>
    <w:rsid w:val="00A63A06"/>
    <w:rsid w:val="00A63A29"/>
    <w:rsid w:val="00A63BF4"/>
    <w:rsid w:val="00A6409C"/>
    <w:rsid w:val="00A64276"/>
    <w:rsid w:val="00A645B2"/>
    <w:rsid w:val="00A647F1"/>
    <w:rsid w:val="00A64973"/>
    <w:rsid w:val="00A64C56"/>
    <w:rsid w:val="00A64E09"/>
    <w:rsid w:val="00A65552"/>
    <w:rsid w:val="00A657FF"/>
    <w:rsid w:val="00A658D6"/>
    <w:rsid w:val="00A659CE"/>
    <w:rsid w:val="00A65AC1"/>
    <w:rsid w:val="00A65F0A"/>
    <w:rsid w:val="00A66035"/>
    <w:rsid w:val="00A66170"/>
    <w:rsid w:val="00A662CA"/>
    <w:rsid w:val="00A66318"/>
    <w:rsid w:val="00A66355"/>
    <w:rsid w:val="00A6645B"/>
    <w:rsid w:val="00A666F8"/>
    <w:rsid w:val="00A667C5"/>
    <w:rsid w:val="00A66872"/>
    <w:rsid w:val="00A66EFC"/>
    <w:rsid w:val="00A67321"/>
    <w:rsid w:val="00A676B9"/>
    <w:rsid w:val="00A6790E"/>
    <w:rsid w:val="00A67992"/>
    <w:rsid w:val="00A67A80"/>
    <w:rsid w:val="00A67DFF"/>
    <w:rsid w:val="00A67F55"/>
    <w:rsid w:val="00A701DC"/>
    <w:rsid w:val="00A70310"/>
    <w:rsid w:val="00A7054A"/>
    <w:rsid w:val="00A70713"/>
    <w:rsid w:val="00A70DA0"/>
    <w:rsid w:val="00A70DE6"/>
    <w:rsid w:val="00A70E0E"/>
    <w:rsid w:val="00A70F32"/>
    <w:rsid w:val="00A7110D"/>
    <w:rsid w:val="00A71275"/>
    <w:rsid w:val="00A71386"/>
    <w:rsid w:val="00A71588"/>
    <w:rsid w:val="00A716BA"/>
    <w:rsid w:val="00A71964"/>
    <w:rsid w:val="00A719BF"/>
    <w:rsid w:val="00A71A90"/>
    <w:rsid w:val="00A71B73"/>
    <w:rsid w:val="00A71C6E"/>
    <w:rsid w:val="00A71DFE"/>
    <w:rsid w:val="00A725E3"/>
    <w:rsid w:val="00A72688"/>
    <w:rsid w:val="00A7269C"/>
    <w:rsid w:val="00A7274C"/>
    <w:rsid w:val="00A7278E"/>
    <w:rsid w:val="00A72A3E"/>
    <w:rsid w:val="00A72B48"/>
    <w:rsid w:val="00A72BB1"/>
    <w:rsid w:val="00A72D7B"/>
    <w:rsid w:val="00A72DFE"/>
    <w:rsid w:val="00A72F02"/>
    <w:rsid w:val="00A72F2C"/>
    <w:rsid w:val="00A734F9"/>
    <w:rsid w:val="00A737B8"/>
    <w:rsid w:val="00A737CE"/>
    <w:rsid w:val="00A73A44"/>
    <w:rsid w:val="00A73B34"/>
    <w:rsid w:val="00A73D86"/>
    <w:rsid w:val="00A74159"/>
    <w:rsid w:val="00A7423F"/>
    <w:rsid w:val="00A746A4"/>
    <w:rsid w:val="00A74998"/>
    <w:rsid w:val="00A75009"/>
    <w:rsid w:val="00A752B5"/>
    <w:rsid w:val="00A753C6"/>
    <w:rsid w:val="00A7543E"/>
    <w:rsid w:val="00A75856"/>
    <w:rsid w:val="00A75931"/>
    <w:rsid w:val="00A75C28"/>
    <w:rsid w:val="00A75D61"/>
    <w:rsid w:val="00A75EB0"/>
    <w:rsid w:val="00A75F26"/>
    <w:rsid w:val="00A761A0"/>
    <w:rsid w:val="00A7624C"/>
    <w:rsid w:val="00A76530"/>
    <w:rsid w:val="00A766D0"/>
    <w:rsid w:val="00A767B2"/>
    <w:rsid w:val="00A7690F"/>
    <w:rsid w:val="00A76B91"/>
    <w:rsid w:val="00A76C32"/>
    <w:rsid w:val="00A76D84"/>
    <w:rsid w:val="00A76FB4"/>
    <w:rsid w:val="00A7722D"/>
    <w:rsid w:val="00A77644"/>
    <w:rsid w:val="00A77C11"/>
    <w:rsid w:val="00A77D3A"/>
    <w:rsid w:val="00A804B6"/>
    <w:rsid w:val="00A80515"/>
    <w:rsid w:val="00A80898"/>
    <w:rsid w:val="00A808A2"/>
    <w:rsid w:val="00A809FF"/>
    <w:rsid w:val="00A81305"/>
    <w:rsid w:val="00A814D2"/>
    <w:rsid w:val="00A81528"/>
    <w:rsid w:val="00A815C6"/>
    <w:rsid w:val="00A81ADA"/>
    <w:rsid w:val="00A81B60"/>
    <w:rsid w:val="00A81D85"/>
    <w:rsid w:val="00A81D99"/>
    <w:rsid w:val="00A81DF8"/>
    <w:rsid w:val="00A81E6A"/>
    <w:rsid w:val="00A823A7"/>
    <w:rsid w:val="00A823BC"/>
    <w:rsid w:val="00A82637"/>
    <w:rsid w:val="00A82690"/>
    <w:rsid w:val="00A82762"/>
    <w:rsid w:val="00A8295F"/>
    <w:rsid w:val="00A82BBD"/>
    <w:rsid w:val="00A82D2A"/>
    <w:rsid w:val="00A82F1F"/>
    <w:rsid w:val="00A82FFC"/>
    <w:rsid w:val="00A83128"/>
    <w:rsid w:val="00A8315A"/>
    <w:rsid w:val="00A832A9"/>
    <w:rsid w:val="00A835A6"/>
    <w:rsid w:val="00A83635"/>
    <w:rsid w:val="00A836D5"/>
    <w:rsid w:val="00A83742"/>
    <w:rsid w:val="00A83904"/>
    <w:rsid w:val="00A83B1F"/>
    <w:rsid w:val="00A83C11"/>
    <w:rsid w:val="00A842A6"/>
    <w:rsid w:val="00A84635"/>
    <w:rsid w:val="00A846D7"/>
    <w:rsid w:val="00A84A30"/>
    <w:rsid w:val="00A84C59"/>
    <w:rsid w:val="00A850E5"/>
    <w:rsid w:val="00A8538B"/>
    <w:rsid w:val="00A85707"/>
    <w:rsid w:val="00A8580A"/>
    <w:rsid w:val="00A85C9D"/>
    <w:rsid w:val="00A85F88"/>
    <w:rsid w:val="00A8616F"/>
    <w:rsid w:val="00A8630E"/>
    <w:rsid w:val="00A863B7"/>
    <w:rsid w:val="00A86719"/>
    <w:rsid w:val="00A86989"/>
    <w:rsid w:val="00A869D6"/>
    <w:rsid w:val="00A86A8B"/>
    <w:rsid w:val="00A86D0E"/>
    <w:rsid w:val="00A86D21"/>
    <w:rsid w:val="00A86D3A"/>
    <w:rsid w:val="00A86DB7"/>
    <w:rsid w:val="00A86DB9"/>
    <w:rsid w:val="00A86F23"/>
    <w:rsid w:val="00A87C21"/>
    <w:rsid w:val="00A87D3D"/>
    <w:rsid w:val="00A87D9B"/>
    <w:rsid w:val="00A9001D"/>
    <w:rsid w:val="00A900A7"/>
    <w:rsid w:val="00A901E8"/>
    <w:rsid w:val="00A90757"/>
    <w:rsid w:val="00A90964"/>
    <w:rsid w:val="00A90984"/>
    <w:rsid w:val="00A90BC7"/>
    <w:rsid w:val="00A9114F"/>
    <w:rsid w:val="00A911FE"/>
    <w:rsid w:val="00A9126C"/>
    <w:rsid w:val="00A915E7"/>
    <w:rsid w:val="00A917AF"/>
    <w:rsid w:val="00A91A68"/>
    <w:rsid w:val="00A91B93"/>
    <w:rsid w:val="00A91BEF"/>
    <w:rsid w:val="00A91E21"/>
    <w:rsid w:val="00A91E4C"/>
    <w:rsid w:val="00A9251D"/>
    <w:rsid w:val="00A926B9"/>
    <w:rsid w:val="00A926C3"/>
    <w:rsid w:val="00A9274A"/>
    <w:rsid w:val="00A92896"/>
    <w:rsid w:val="00A928EA"/>
    <w:rsid w:val="00A92A11"/>
    <w:rsid w:val="00A93104"/>
    <w:rsid w:val="00A93196"/>
    <w:rsid w:val="00A936E6"/>
    <w:rsid w:val="00A93AEC"/>
    <w:rsid w:val="00A93B01"/>
    <w:rsid w:val="00A93CE2"/>
    <w:rsid w:val="00A93DB3"/>
    <w:rsid w:val="00A94177"/>
    <w:rsid w:val="00A946D1"/>
    <w:rsid w:val="00A9471C"/>
    <w:rsid w:val="00A9473B"/>
    <w:rsid w:val="00A94DD3"/>
    <w:rsid w:val="00A954B0"/>
    <w:rsid w:val="00A95901"/>
    <w:rsid w:val="00A95940"/>
    <w:rsid w:val="00A95A44"/>
    <w:rsid w:val="00A95A75"/>
    <w:rsid w:val="00A95E1B"/>
    <w:rsid w:val="00A95E8C"/>
    <w:rsid w:val="00A95FDF"/>
    <w:rsid w:val="00A960C3"/>
    <w:rsid w:val="00A9665F"/>
    <w:rsid w:val="00A96811"/>
    <w:rsid w:val="00A968E4"/>
    <w:rsid w:val="00A96BCA"/>
    <w:rsid w:val="00A97084"/>
    <w:rsid w:val="00A97217"/>
    <w:rsid w:val="00A972DE"/>
    <w:rsid w:val="00A973B6"/>
    <w:rsid w:val="00A973DF"/>
    <w:rsid w:val="00A978E2"/>
    <w:rsid w:val="00A979B5"/>
    <w:rsid w:val="00A97C43"/>
    <w:rsid w:val="00AA01B5"/>
    <w:rsid w:val="00AA04B8"/>
    <w:rsid w:val="00AA0700"/>
    <w:rsid w:val="00AA1084"/>
    <w:rsid w:val="00AA122E"/>
    <w:rsid w:val="00AA1290"/>
    <w:rsid w:val="00AA13D3"/>
    <w:rsid w:val="00AA141B"/>
    <w:rsid w:val="00AA1588"/>
    <w:rsid w:val="00AA176D"/>
    <w:rsid w:val="00AA1A4F"/>
    <w:rsid w:val="00AA1AB0"/>
    <w:rsid w:val="00AA1AD0"/>
    <w:rsid w:val="00AA1DB2"/>
    <w:rsid w:val="00AA1EA7"/>
    <w:rsid w:val="00AA22A4"/>
    <w:rsid w:val="00AA2403"/>
    <w:rsid w:val="00AA2B0B"/>
    <w:rsid w:val="00AA2B9F"/>
    <w:rsid w:val="00AA2C0A"/>
    <w:rsid w:val="00AA2C6A"/>
    <w:rsid w:val="00AA30C7"/>
    <w:rsid w:val="00AA31DF"/>
    <w:rsid w:val="00AA32AD"/>
    <w:rsid w:val="00AA3561"/>
    <w:rsid w:val="00AA3577"/>
    <w:rsid w:val="00AA3A09"/>
    <w:rsid w:val="00AA3B1A"/>
    <w:rsid w:val="00AA3CF7"/>
    <w:rsid w:val="00AA3D4C"/>
    <w:rsid w:val="00AA3EC3"/>
    <w:rsid w:val="00AA3FC3"/>
    <w:rsid w:val="00AA4255"/>
    <w:rsid w:val="00AA4347"/>
    <w:rsid w:val="00AA484D"/>
    <w:rsid w:val="00AA4AC7"/>
    <w:rsid w:val="00AA4B1A"/>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49E"/>
    <w:rsid w:val="00AA76C5"/>
    <w:rsid w:val="00AA773A"/>
    <w:rsid w:val="00AA77C1"/>
    <w:rsid w:val="00AA78D7"/>
    <w:rsid w:val="00AA7EFE"/>
    <w:rsid w:val="00AA7F4F"/>
    <w:rsid w:val="00AB00AE"/>
    <w:rsid w:val="00AB01F9"/>
    <w:rsid w:val="00AB02B3"/>
    <w:rsid w:val="00AB0426"/>
    <w:rsid w:val="00AB04C7"/>
    <w:rsid w:val="00AB0694"/>
    <w:rsid w:val="00AB0789"/>
    <w:rsid w:val="00AB0824"/>
    <w:rsid w:val="00AB088D"/>
    <w:rsid w:val="00AB0A3F"/>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01"/>
    <w:rsid w:val="00AB28A7"/>
    <w:rsid w:val="00AB29B5"/>
    <w:rsid w:val="00AB2A57"/>
    <w:rsid w:val="00AB2B18"/>
    <w:rsid w:val="00AB2D7C"/>
    <w:rsid w:val="00AB2D9D"/>
    <w:rsid w:val="00AB3005"/>
    <w:rsid w:val="00AB32B2"/>
    <w:rsid w:val="00AB34A4"/>
    <w:rsid w:val="00AB3D18"/>
    <w:rsid w:val="00AB3D80"/>
    <w:rsid w:val="00AB3D88"/>
    <w:rsid w:val="00AB3E6C"/>
    <w:rsid w:val="00AB43A9"/>
    <w:rsid w:val="00AB44A5"/>
    <w:rsid w:val="00AB479B"/>
    <w:rsid w:val="00AB4843"/>
    <w:rsid w:val="00AB48B9"/>
    <w:rsid w:val="00AB4A45"/>
    <w:rsid w:val="00AB4C59"/>
    <w:rsid w:val="00AB4E81"/>
    <w:rsid w:val="00AB52CD"/>
    <w:rsid w:val="00AB532A"/>
    <w:rsid w:val="00AB5480"/>
    <w:rsid w:val="00AB55FB"/>
    <w:rsid w:val="00AB5A0F"/>
    <w:rsid w:val="00AB5C54"/>
    <w:rsid w:val="00AB5D40"/>
    <w:rsid w:val="00AB5D72"/>
    <w:rsid w:val="00AB5F1F"/>
    <w:rsid w:val="00AB6A04"/>
    <w:rsid w:val="00AB6A6C"/>
    <w:rsid w:val="00AB6D25"/>
    <w:rsid w:val="00AB6DF9"/>
    <w:rsid w:val="00AB71DF"/>
    <w:rsid w:val="00AB7568"/>
    <w:rsid w:val="00AB762F"/>
    <w:rsid w:val="00AB7988"/>
    <w:rsid w:val="00AB79B0"/>
    <w:rsid w:val="00AB7B01"/>
    <w:rsid w:val="00AB7BA8"/>
    <w:rsid w:val="00AC0425"/>
    <w:rsid w:val="00AC053D"/>
    <w:rsid w:val="00AC058A"/>
    <w:rsid w:val="00AC06DE"/>
    <w:rsid w:val="00AC1002"/>
    <w:rsid w:val="00AC1357"/>
    <w:rsid w:val="00AC13AD"/>
    <w:rsid w:val="00AC17F0"/>
    <w:rsid w:val="00AC18AE"/>
    <w:rsid w:val="00AC1C4B"/>
    <w:rsid w:val="00AC1E3D"/>
    <w:rsid w:val="00AC1E9F"/>
    <w:rsid w:val="00AC1FBD"/>
    <w:rsid w:val="00AC2075"/>
    <w:rsid w:val="00AC245A"/>
    <w:rsid w:val="00AC24EE"/>
    <w:rsid w:val="00AC2673"/>
    <w:rsid w:val="00AC2720"/>
    <w:rsid w:val="00AC27F0"/>
    <w:rsid w:val="00AC28B2"/>
    <w:rsid w:val="00AC28CB"/>
    <w:rsid w:val="00AC2A5E"/>
    <w:rsid w:val="00AC2DA4"/>
    <w:rsid w:val="00AC373C"/>
    <w:rsid w:val="00AC3757"/>
    <w:rsid w:val="00AC37F7"/>
    <w:rsid w:val="00AC38D3"/>
    <w:rsid w:val="00AC3C3C"/>
    <w:rsid w:val="00AC3C4A"/>
    <w:rsid w:val="00AC42E6"/>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73"/>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C2E"/>
    <w:rsid w:val="00AD0D14"/>
    <w:rsid w:val="00AD14D1"/>
    <w:rsid w:val="00AD1550"/>
    <w:rsid w:val="00AD15C1"/>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07"/>
    <w:rsid w:val="00AD2FF0"/>
    <w:rsid w:val="00AD35C6"/>
    <w:rsid w:val="00AD3C55"/>
    <w:rsid w:val="00AD3CD9"/>
    <w:rsid w:val="00AD3D7F"/>
    <w:rsid w:val="00AD4231"/>
    <w:rsid w:val="00AD43BA"/>
    <w:rsid w:val="00AD4428"/>
    <w:rsid w:val="00AD46DF"/>
    <w:rsid w:val="00AD479C"/>
    <w:rsid w:val="00AD4805"/>
    <w:rsid w:val="00AD48ED"/>
    <w:rsid w:val="00AD4DD5"/>
    <w:rsid w:val="00AD4E4A"/>
    <w:rsid w:val="00AD542A"/>
    <w:rsid w:val="00AD5465"/>
    <w:rsid w:val="00AD5587"/>
    <w:rsid w:val="00AD55E0"/>
    <w:rsid w:val="00AD5B12"/>
    <w:rsid w:val="00AD5DF9"/>
    <w:rsid w:val="00AD5F29"/>
    <w:rsid w:val="00AD5F51"/>
    <w:rsid w:val="00AD61D8"/>
    <w:rsid w:val="00AD6266"/>
    <w:rsid w:val="00AD69C7"/>
    <w:rsid w:val="00AD69FE"/>
    <w:rsid w:val="00AD6B12"/>
    <w:rsid w:val="00AD6BAB"/>
    <w:rsid w:val="00AD7180"/>
    <w:rsid w:val="00AD75B1"/>
    <w:rsid w:val="00AD76DB"/>
    <w:rsid w:val="00AD790C"/>
    <w:rsid w:val="00AD7A91"/>
    <w:rsid w:val="00AD7B41"/>
    <w:rsid w:val="00AD7D3D"/>
    <w:rsid w:val="00AD7E8D"/>
    <w:rsid w:val="00AE011A"/>
    <w:rsid w:val="00AE016E"/>
    <w:rsid w:val="00AE053A"/>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1B0"/>
    <w:rsid w:val="00AE238B"/>
    <w:rsid w:val="00AE25B4"/>
    <w:rsid w:val="00AE292D"/>
    <w:rsid w:val="00AE2AA0"/>
    <w:rsid w:val="00AE2AE3"/>
    <w:rsid w:val="00AE2AE7"/>
    <w:rsid w:val="00AE2CFA"/>
    <w:rsid w:val="00AE2DB1"/>
    <w:rsid w:val="00AE2F41"/>
    <w:rsid w:val="00AE30CA"/>
    <w:rsid w:val="00AE30E9"/>
    <w:rsid w:val="00AE32D3"/>
    <w:rsid w:val="00AE345F"/>
    <w:rsid w:val="00AE36C0"/>
    <w:rsid w:val="00AE4092"/>
    <w:rsid w:val="00AE462C"/>
    <w:rsid w:val="00AE4BB0"/>
    <w:rsid w:val="00AE4C71"/>
    <w:rsid w:val="00AE4D2A"/>
    <w:rsid w:val="00AE4E10"/>
    <w:rsid w:val="00AE4F7C"/>
    <w:rsid w:val="00AE4FC5"/>
    <w:rsid w:val="00AE5464"/>
    <w:rsid w:val="00AE5857"/>
    <w:rsid w:val="00AE595A"/>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655"/>
    <w:rsid w:val="00AE7929"/>
    <w:rsid w:val="00AE7B7D"/>
    <w:rsid w:val="00AE7B9A"/>
    <w:rsid w:val="00AE7D85"/>
    <w:rsid w:val="00AE7E65"/>
    <w:rsid w:val="00AE7F27"/>
    <w:rsid w:val="00AE7FCC"/>
    <w:rsid w:val="00AF02C9"/>
    <w:rsid w:val="00AF046D"/>
    <w:rsid w:val="00AF04A2"/>
    <w:rsid w:val="00AF069B"/>
    <w:rsid w:val="00AF06AB"/>
    <w:rsid w:val="00AF09E9"/>
    <w:rsid w:val="00AF0AD9"/>
    <w:rsid w:val="00AF0B2F"/>
    <w:rsid w:val="00AF11BC"/>
    <w:rsid w:val="00AF11EE"/>
    <w:rsid w:val="00AF1514"/>
    <w:rsid w:val="00AF1557"/>
    <w:rsid w:val="00AF1590"/>
    <w:rsid w:val="00AF1958"/>
    <w:rsid w:val="00AF1A4A"/>
    <w:rsid w:val="00AF1B1B"/>
    <w:rsid w:val="00AF1EE3"/>
    <w:rsid w:val="00AF1F23"/>
    <w:rsid w:val="00AF2145"/>
    <w:rsid w:val="00AF224E"/>
    <w:rsid w:val="00AF243F"/>
    <w:rsid w:val="00AF2440"/>
    <w:rsid w:val="00AF2869"/>
    <w:rsid w:val="00AF28DF"/>
    <w:rsid w:val="00AF3140"/>
    <w:rsid w:val="00AF31ED"/>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6F0"/>
    <w:rsid w:val="00AF575B"/>
    <w:rsid w:val="00AF5795"/>
    <w:rsid w:val="00AF580F"/>
    <w:rsid w:val="00AF58C5"/>
    <w:rsid w:val="00AF5A34"/>
    <w:rsid w:val="00AF5AFD"/>
    <w:rsid w:val="00AF5B95"/>
    <w:rsid w:val="00AF5CB6"/>
    <w:rsid w:val="00AF5EE7"/>
    <w:rsid w:val="00AF5F74"/>
    <w:rsid w:val="00AF6259"/>
    <w:rsid w:val="00AF692C"/>
    <w:rsid w:val="00AF6971"/>
    <w:rsid w:val="00AF6EA3"/>
    <w:rsid w:val="00AF6FF6"/>
    <w:rsid w:val="00AF7837"/>
    <w:rsid w:val="00AF7B9B"/>
    <w:rsid w:val="00AF7EC4"/>
    <w:rsid w:val="00AF7F9F"/>
    <w:rsid w:val="00B00238"/>
    <w:rsid w:val="00B002E0"/>
    <w:rsid w:val="00B004E2"/>
    <w:rsid w:val="00B00B0B"/>
    <w:rsid w:val="00B00E04"/>
    <w:rsid w:val="00B010F7"/>
    <w:rsid w:val="00B0144C"/>
    <w:rsid w:val="00B016BF"/>
    <w:rsid w:val="00B01A25"/>
    <w:rsid w:val="00B01ACC"/>
    <w:rsid w:val="00B01C7D"/>
    <w:rsid w:val="00B01CE8"/>
    <w:rsid w:val="00B01D5F"/>
    <w:rsid w:val="00B01D8E"/>
    <w:rsid w:val="00B01ED6"/>
    <w:rsid w:val="00B01FD6"/>
    <w:rsid w:val="00B02259"/>
    <w:rsid w:val="00B0233C"/>
    <w:rsid w:val="00B02444"/>
    <w:rsid w:val="00B02502"/>
    <w:rsid w:val="00B0260E"/>
    <w:rsid w:val="00B02769"/>
    <w:rsid w:val="00B02804"/>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05"/>
    <w:rsid w:val="00B04851"/>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092"/>
    <w:rsid w:val="00B07239"/>
    <w:rsid w:val="00B072C8"/>
    <w:rsid w:val="00B07374"/>
    <w:rsid w:val="00B07382"/>
    <w:rsid w:val="00B073C2"/>
    <w:rsid w:val="00B07B63"/>
    <w:rsid w:val="00B07D00"/>
    <w:rsid w:val="00B07F3B"/>
    <w:rsid w:val="00B07FB3"/>
    <w:rsid w:val="00B10332"/>
    <w:rsid w:val="00B10A1B"/>
    <w:rsid w:val="00B10ADD"/>
    <w:rsid w:val="00B10D1E"/>
    <w:rsid w:val="00B10D57"/>
    <w:rsid w:val="00B11001"/>
    <w:rsid w:val="00B110CE"/>
    <w:rsid w:val="00B11211"/>
    <w:rsid w:val="00B1142C"/>
    <w:rsid w:val="00B1180D"/>
    <w:rsid w:val="00B119CF"/>
    <w:rsid w:val="00B11B89"/>
    <w:rsid w:val="00B11F37"/>
    <w:rsid w:val="00B11FD0"/>
    <w:rsid w:val="00B12412"/>
    <w:rsid w:val="00B124C2"/>
    <w:rsid w:val="00B124D9"/>
    <w:rsid w:val="00B12BF1"/>
    <w:rsid w:val="00B12F75"/>
    <w:rsid w:val="00B13009"/>
    <w:rsid w:val="00B13057"/>
    <w:rsid w:val="00B131E6"/>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8B0"/>
    <w:rsid w:val="00B15946"/>
    <w:rsid w:val="00B15AA1"/>
    <w:rsid w:val="00B15CD8"/>
    <w:rsid w:val="00B15CE0"/>
    <w:rsid w:val="00B15DB6"/>
    <w:rsid w:val="00B15F1B"/>
    <w:rsid w:val="00B1624C"/>
    <w:rsid w:val="00B163B5"/>
    <w:rsid w:val="00B16489"/>
    <w:rsid w:val="00B1650F"/>
    <w:rsid w:val="00B16680"/>
    <w:rsid w:val="00B166CF"/>
    <w:rsid w:val="00B16940"/>
    <w:rsid w:val="00B169CF"/>
    <w:rsid w:val="00B169FA"/>
    <w:rsid w:val="00B16AE8"/>
    <w:rsid w:val="00B17137"/>
    <w:rsid w:val="00B1714F"/>
    <w:rsid w:val="00B172DE"/>
    <w:rsid w:val="00B1738B"/>
    <w:rsid w:val="00B175ED"/>
    <w:rsid w:val="00B177D1"/>
    <w:rsid w:val="00B179F6"/>
    <w:rsid w:val="00B17CD4"/>
    <w:rsid w:val="00B17D91"/>
    <w:rsid w:val="00B17E22"/>
    <w:rsid w:val="00B17EF5"/>
    <w:rsid w:val="00B17F13"/>
    <w:rsid w:val="00B204A4"/>
    <w:rsid w:val="00B20697"/>
    <w:rsid w:val="00B21592"/>
    <w:rsid w:val="00B216E3"/>
    <w:rsid w:val="00B21A31"/>
    <w:rsid w:val="00B21C85"/>
    <w:rsid w:val="00B21D78"/>
    <w:rsid w:val="00B21DE5"/>
    <w:rsid w:val="00B21FFC"/>
    <w:rsid w:val="00B221A0"/>
    <w:rsid w:val="00B221C8"/>
    <w:rsid w:val="00B2241E"/>
    <w:rsid w:val="00B22559"/>
    <w:rsid w:val="00B2280C"/>
    <w:rsid w:val="00B22AED"/>
    <w:rsid w:val="00B22D73"/>
    <w:rsid w:val="00B22D85"/>
    <w:rsid w:val="00B22F2F"/>
    <w:rsid w:val="00B23204"/>
    <w:rsid w:val="00B23439"/>
    <w:rsid w:val="00B234C2"/>
    <w:rsid w:val="00B23548"/>
    <w:rsid w:val="00B236DB"/>
    <w:rsid w:val="00B23776"/>
    <w:rsid w:val="00B23AA3"/>
    <w:rsid w:val="00B23DAB"/>
    <w:rsid w:val="00B23E16"/>
    <w:rsid w:val="00B23F1D"/>
    <w:rsid w:val="00B23F6B"/>
    <w:rsid w:val="00B2487C"/>
    <w:rsid w:val="00B249B3"/>
    <w:rsid w:val="00B249DF"/>
    <w:rsid w:val="00B24C09"/>
    <w:rsid w:val="00B24D8D"/>
    <w:rsid w:val="00B251A1"/>
    <w:rsid w:val="00B251B2"/>
    <w:rsid w:val="00B253BE"/>
    <w:rsid w:val="00B25465"/>
    <w:rsid w:val="00B255CD"/>
    <w:rsid w:val="00B256C3"/>
    <w:rsid w:val="00B256F3"/>
    <w:rsid w:val="00B25719"/>
    <w:rsid w:val="00B257AD"/>
    <w:rsid w:val="00B25978"/>
    <w:rsid w:val="00B25D0E"/>
    <w:rsid w:val="00B25F2F"/>
    <w:rsid w:val="00B26111"/>
    <w:rsid w:val="00B26151"/>
    <w:rsid w:val="00B261DE"/>
    <w:rsid w:val="00B262A2"/>
    <w:rsid w:val="00B263A8"/>
    <w:rsid w:val="00B2669A"/>
    <w:rsid w:val="00B26A9A"/>
    <w:rsid w:val="00B26D21"/>
    <w:rsid w:val="00B26F90"/>
    <w:rsid w:val="00B26F99"/>
    <w:rsid w:val="00B277C5"/>
    <w:rsid w:val="00B27AC4"/>
    <w:rsid w:val="00B27AFE"/>
    <w:rsid w:val="00B27C1F"/>
    <w:rsid w:val="00B27FC5"/>
    <w:rsid w:val="00B3020D"/>
    <w:rsid w:val="00B3033A"/>
    <w:rsid w:val="00B3035C"/>
    <w:rsid w:val="00B30523"/>
    <w:rsid w:val="00B3066E"/>
    <w:rsid w:val="00B30774"/>
    <w:rsid w:val="00B3079E"/>
    <w:rsid w:val="00B30841"/>
    <w:rsid w:val="00B3097C"/>
    <w:rsid w:val="00B309A8"/>
    <w:rsid w:val="00B309F9"/>
    <w:rsid w:val="00B30A86"/>
    <w:rsid w:val="00B30D99"/>
    <w:rsid w:val="00B30FC0"/>
    <w:rsid w:val="00B310D8"/>
    <w:rsid w:val="00B310F8"/>
    <w:rsid w:val="00B31104"/>
    <w:rsid w:val="00B313FC"/>
    <w:rsid w:val="00B32430"/>
    <w:rsid w:val="00B3249B"/>
    <w:rsid w:val="00B326F0"/>
    <w:rsid w:val="00B327DC"/>
    <w:rsid w:val="00B32D02"/>
    <w:rsid w:val="00B32D72"/>
    <w:rsid w:val="00B32D7D"/>
    <w:rsid w:val="00B32F44"/>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A4D"/>
    <w:rsid w:val="00B34B0C"/>
    <w:rsid w:val="00B34BE6"/>
    <w:rsid w:val="00B34EC3"/>
    <w:rsid w:val="00B34FA7"/>
    <w:rsid w:val="00B35061"/>
    <w:rsid w:val="00B3510C"/>
    <w:rsid w:val="00B35302"/>
    <w:rsid w:val="00B35345"/>
    <w:rsid w:val="00B35A34"/>
    <w:rsid w:val="00B35A64"/>
    <w:rsid w:val="00B35B2D"/>
    <w:rsid w:val="00B35BA6"/>
    <w:rsid w:val="00B35D19"/>
    <w:rsid w:val="00B35EE2"/>
    <w:rsid w:val="00B35F21"/>
    <w:rsid w:val="00B3603C"/>
    <w:rsid w:val="00B36262"/>
    <w:rsid w:val="00B36375"/>
    <w:rsid w:val="00B36D9A"/>
    <w:rsid w:val="00B3719B"/>
    <w:rsid w:val="00B37203"/>
    <w:rsid w:val="00B373AA"/>
    <w:rsid w:val="00B3767B"/>
    <w:rsid w:val="00B37A4D"/>
    <w:rsid w:val="00B37D77"/>
    <w:rsid w:val="00B37F4A"/>
    <w:rsid w:val="00B37FF0"/>
    <w:rsid w:val="00B401CA"/>
    <w:rsid w:val="00B404A9"/>
    <w:rsid w:val="00B40522"/>
    <w:rsid w:val="00B40752"/>
    <w:rsid w:val="00B409BD"/>
    <w:rsid w:val="00B40A29"/>
    <w:rsid w:val="00B40A75"/>
    <w:rsid w:val="00B40C4C"/>
    <w:rsid w:val="00B40C93"/>
    <w:rsid w:val="00B40F72"/>
    <w:rsid w:val="00B410A9"/>
    <w:rsid w:val="00B4126D"/>
    <w:rsid w:val="00B41464"/>
    <w:rsid w:val="00B420AC"/>
    <w:rsid w:val="00B420B8"/>
    <w:rsid w:val="00B4233D"/>
    <w:rsid w:val="00B4258D"/>
    <w:rsid w:val="00B4260D"/>
    <w:rsid w:val="00B42675"/>
    <w:rsid w:val="00B42683"/>
    <w:rsid w:val="00B426E8"/>
    <w:rsid w:val="00B4285F"/>
    <w:rsid w:val="00B428F2"/>
    <w:rsid w:val="00B4295D"/>
    <w:rsid w:val="00B42ACA"/>
    <w:rsid w:val="00B42B27"/>
    <w:rsid w:val="00B43280"/>
    <w:rsid w:val="00B43340"/>
    <w:rsid w:val="00B434AD"/>
    <w:rsid w:val="00B43506"/>
    <w:rsid w:val="00B43720"/>
    <w:rsid w:val="00B437C0"/>
    <w:rsid w:val="00B4385C"/>
    <w:rsid w:val="00B43C03"/>
    <w:rsid w:val="00B43D0E"/>
    <w:rsid w:val="00B43D83"/>
    <w:rsid w:val="00B44312"/>
    <w:rsid w:val="00B44414"/>
    <w:rsid w:val="00B4481F"/>
    <w:rsid w:val="00B449C1"/>
    <w:rsid w:val="00B44CE2"/>
    <w:rsid w:val="00B44DCB"/>
    <w:rsid w:val="00B45309"/>
    <w:rsid w:val="00B45314"/>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6FC9"/>
    <w:rsid w:val="00B478DD"/>
    <w:rsid w:val="00B47B21"/>
    <w:rsid w:val="00B47C18"/>
    <w:rsid w:val="00B47C42"/>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3C4"/>
    <w:rsid w:val="00B51757"/>
    <w:rsid w:val="00B5186B"/>
    <w:rsid w:val="00B51A9A"/>
    <w:rsid w:val="00B51B92"/>
    <w:rsid w:val="00B51BED"/>
    <w:rsid w:val="00B51CFF"/>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3F79"/>
    <w:rsid w:val="00B53FE2"/>
    <w:rsid w:val="00B54671"/>
    <w:rsid w:val="00B54BF5"/>
    <w:rsid w:val="00B54E33"/>
    <w:rsid w:val="00B54ECB"/>
    <w:rsid w:val="00B54F47"/>
    <w:rsid w:val="00B5512E"/>
    <w:rsid w:val="00B5533F"/>
    <w:rsid w:val="00B5545E"/>
    <w:rsid w:val="00B5559A"/>
    <w:rsid w:val="00B55791"/>
    <w:rsid w:val="00B55E78"/>
    <w:rsid w:val="00B565AC"/>
    <w:rsid w:val="00B5682B"/>
    <w:rsid w:val="00B56981"/>
    <w:rsid w:val="00B56E05"/>
    <w:rsid w:val="00B56F06"/>
    <w:rsid w:val="00B56F9D"/>
    <w:rsid w:val="00B57779"/>
    <w:rsid w:val="00B57797"/>
    <w:rsid w:val="00B5794C"/>
    <w:rsid w:val="00B60046"/>
    <w:rsid w:val="00B605B1"/>
    <w:rsid w:val="00B6086D"/>
    <w:rsid w:val="00B608C6"/>
    <w:rsid w:val="00B60C88"/>
    <w:rsid w:val="00B60CC2"/>
    <w:rsid w:val="00B61061"/>
    <w:rsid w:val="00B6108A"/>
    <w:rsid w:val="00B613CB"/>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6C"/>
    <w:rsid w:val="00B62DD4"/>
    <w:rsid w:val="00B62F16"/>
    <w:rsid w:val="00B63A30"/>
    <w:rsid w:val="00B6412F"/>
    <w:rsid w:val="00B64685"/>
    <w:rsid w:val="00B64780"/>
    <w:rsid w:val="00B64AA8"/>
    <w:rsid w:val="00B64AFE"/>
    <w:rsid w:val="00B64CE9"/>
    <w:rsid w:val="00B64D3A"/>
    <w:rsid w:val="00B64D9E"/>
    <w:rsid w:val="00B64ECF"/>
    <w:rsid w:val="00B64FB1"/>
    <w:rsid w:val="00B65223"/>
    <w:rsid w:val="00B6522D"/>
    <w:rsid w:val="00B657B9"/>
    <w:rsid w:val="00B65F04"/>
    <w:rsid w:val="00B66114"/>
    <w:rsid w:val="00B6616B"/>
    <w:rsid w:val="00B663C0"/>
    <w:rsid w:val="00B66439"/>
    <w:rsid w:val="00B6657C"/>
    <w:rsid w:val="00B6683A"/>
    <w:rsid w:val="00B66A16"/>
    <w:rsid w:val="00B66EE3"/>
    <w:rsid w:val="00B67518"/>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1D4"/>
    <w:rsid w:val="00B72248"/>
    <w:rsid w:val="00B723F3"/>
    <w:rsid w:val="00B729D4"/>
    <w:rsid w:val="00B72BEF"/>
    <w:rsid w:val="00B72CC3"/>
    <w:rsid w:val="00B72F70"/>
    <w:rsid w:val="00B73400"/>
    <w:rsid w:val="00B73937"/>
    <w:rsid w:val="00B739E7"/>
    <w:rsid w:val="00B73A72"/>
    <w:rsid w:val="00B73AC4"/>
    <w:rsid w:val="00B73B49"/>
    <w:rsid w:val="00B73D1E"/>
    <w:rsid w:val="00B74299"/>
    <w:rsid w:val="00B7466D"/>
    <w:rsid w:val="00B749AE"/>
    <w:rsid w:val="00B749F9"/>
    <w:rsid w:val="00B74DDB"/>
    <w:rsid w:val="00B74FD4"/>
    <w:rsid w:val="00B75135"/>
    <w:rsid w:val="00B75339"/>
    <w:rsid w:val="00B753E8"/>
    <w:rsid w:val="00B75607"/>
    <w:rsid w:val="00B7565B"/>
    <w:rsid w:val="00B761D7"/>
    <w:rsid w:val="00B76B32"/>
    <w:rsid w:val="00B76C00"/>
    <w:rsid w:val="00B76E6F"/>
    <w:rsid w:val="00B774B9"/>
    <w:rsid w:val="00B77512"/>
    <w:rsid w:val="00B775CF"/>
    <w:rsid w:val="00B77C40"/>
    <w:rsid w:val="00B77E1F"/>
    <w:rsid w:val="00B77F87"/>
    <w:rsid w:val="00B80693"/>
    <w:rsid w:val="00B807B2"/>
    <w:rsid w:val="00B80939"/>
    <w:rsid w:val="00B80F45"/>
    <w:rsid w:val="00B81316"/>
    <w:rsid w:val="00B8167E"/>
    <w:rsid w:val="00B81812"/>
    <w:rsid w:val="00B81837"/>
    <w:rsid w:val="00B81933"/>
    <w:rsid w:val="00B81F91"/>
    <w:rsid w:val="00B81F9A"/>
    <w:rsid w:val="00B824D7"/>
    <w:rsid w:val="00B82A6A"/>
    <w:rsid w:val="00B82A94"/>
    <w:rsid w:val="00B82DD9"/>
    <w:rsid w:val="00B82FF1"/>
    <w:rsid w:val="00B839BB"/>
    <w:rsid w:val="00B83C02"/>
    <w:rsid w:val="00B83ED7"/>
    <w:rsid w:val="00B83F2F"/>
    <w:rsid w:val="00B83F60"/>
    <w:rsid w:val="00B84646"/>
    <w:rsid w:val="00B84837"/>
    <w:rsid w:val="00B8497E"/>
    <w:rsid w:val="00B84A6F"/>
    <w:rsid w:val="00B84A8B"/>
    <w:rsid w:val="00B853FB"/>
    <w:rsid w:val="00B85674"/>
    <w:rsid w:val="00B85724"/>
    <w:rsid w:val="00B85776"/>
    <w:rsid w:val="00B85AFD"/>
    <w:rsid w:val="00B860BF"/>
    <w:rsid w:val="00B8629B"/>
    <w:rsid w:val="00B8629D"/>
    <w:rsid w:val="00B8649F"/>
    <w:rsid w:val="00B864B9"/>
    <w:rsid w:val="00B8656D"/>
    <w:rsid w:val="00B865AD"/>
    <w:rsid w:val="00B86866"/>
    <w:rsid w:val="00B8686E"/>
    <w:rsid w:val="00B868D4"/>
    <w:rsid w:val="00B869B6"/>
    <w:rsid w:val="00B86A24"/>
    <w:rsid w:val="00B86AE0"/>
    <w:rsid w:val="00B86BEC"/>
    <w:rsid w:val="00B86D40"/>
    <w:rsid w:val="00B8703A"/>
    <w:rsid w:val="00B87236"/>
    <w:rsid w:val="00B874BF"/>
    <w:rsid w:val="00B87561"/>
    <w:rsid w:val="00B87C02"/>
    <w:rsid w:val="00B87E9F"/>
    <w:rsid w:val="00B87F31"/>
    <w:rsid w:val="00B90032"/>
    <w:rsid w:val="00B901FE"/>
    <w:rsid w:val="00B905D0"/>
    <w:rsid w:val="00B905F1"/>
    <w:rsid w:val="00B908CB"/>
    <w:rsid w:val="00B90C34"/>
    <w:rsid w:val="00B90E13"/>
    <w:rsid w:val="00B91028"/>
    <w:rsid w:val="00B9130A"/>
    <w:rsid w:val="00B91358"/>
    <w:rsid w:val="00B914FD"/>
    <w:rsid w:val="00B917D9"/>
    <w:rsid w:val="00B9180D"/>
    <w:rsid w:val="00B918F8"/>
    <w:rsid w:val="00B919DE"/>
    <w:rsid w:val="00B91F26"/>
    <w:rsid w:val="00B91F42"/>
    <w:rsid w:val="00B92045"/>
    <w:rsid w:val="00B923BB"/>
    <w:rsid w:val="00B92445"/>
    <w:rsid w:val="00B924F3"/>
    <w:rsid w:val="00B92526"/>
    <w:rsid w:val="00B926D3"/>
    <w:rsid w:val="00B92E5D"/>
    <w:rsid w:val="00B93037"/>
    <w:rsid w:val="00B93295"/>
    <w:rsid w:val="00B9331F"/>
    <w:rsid w:val="00B933DE"/>
    <w:rsid w:val="00B93676"/>
    <w:rsid w:val="00B936AA"/>
    <w:rsid w:val="00B936AB"/>
    <w:rsid w:val="00B93905"/>
    <w:rsid w:val="00B93B35"/>
    <w:rsid w:val="00B93B83"/>
    <w:rsid w:val="00B93C5E"/>
    <w:rsid w:val="00B93CA5"/>
    <w:rsid w:val="00B93D17"/>
    <w:rsid w:val="00B93F7B"/>
    <w:rsid w:val="00B940A5"/>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DE9"/>
    <w:rsid w:val="00B96E3F"/>
    <w:rsid w:val="00B96E8A"/>
    <w:rsid w:val="00B96F45"/>
    <w:rsid w:val="00B9710F"/>
    <w:rsid w:val="00B971E2"/>
    <w:rsid w:val="00B97210"/>
    <w:rsid w:val="00B972A7"/>
    <w:rsid w:val="00B974E7"/>
    <w:rsid w:val="00B978C5"/>
    <w:rsid w:val="00B9795E"/>
    <w:rsid w:val="00B97F5A"/>
    <w:rsid w:val="00B97FEF"/>
    <w:rsid w:val="00BA0251"/>
    <w:rsid w:val="00BA0421"/>
    <w:rsid w:val="00BA04A2"/>
    <w:rsid w:val="00BA0577"/>
    <w:rsid w:val="00BA067F"/>
    <w:rsid w:val="00BA097B"/>
    <w:rsid w:val="00BA0B1E"/>
    <w:rsid w:val="00BA0CD1"/>
    <w:rsid w:val="00BA0E48"/>
    <w:rsid w:val="00BA0E49"/>
    <w:rsid w:val="00BA1293"/>
    <w:rsid w:val="00BA151D"/>
    <w:rsid w:val="00BA15D5"/>
    <w:rsid w:val="00BA15F8"/>
    <w:rsid w:val="00BA16A2"/>
    <w:rsid w:val="00BA1882"/>
    <w:rsid w:val="00BA19A4"/>
    <w:rsid w:val="00BA1CA3"/>
    <w:rsid w:val="00BA1EDF"/>
    <w:rsid w:val="00BA2097"/>
    <w:rsid w:val="00BA26DA"/>
    <w:rsid w:val="00BA276C"/>
    <w:rsid w:val="00BA2808"/>
    <w:rsid w:val="00BA2AE7"/>
    <w:rsid w:val="00BA2B1E"/>
    <w:rsid w:val="00BA2DE7"/>
    <w:rsid w:val="00BA2F22"/>
    <w:rsid w:val="00BA34C9"/>
    <w:rsid w:val="00BA357F"/>
    <w:rsid w:val="00BA35E6"/>
    <w:rsid w:val="00BA38EB"/>
    <w:rsid w:val="00BA3EA8"/>
    <w:rsid w:val="00BA42C9"/>
    <w:rsid w:val="00BA439F"/>
    <w:rsid w:val="00BA47AC"/>
    <w:rsid w:val="00BA4A4D"/>
    <w:rsid w:val="00BA4D56"/>
    <w:rsid w:val="00BA4DB3"/>
    <w:rsid w:val="00BA4EB5"/>
    <w:rsid w:val="00BA4F13"/>
    <w:rsid w:val="00BA540B"/>
    <w:rsid w:val="00BA5882"/>
    <w:rsid w:val="00BA5923"/>
    <w:rsid w:val="00BA59E6"/>
    <w:rsid w:val="00BA5AEB"/>
    <w:rsid w:val="00BA5D6B"/>
    <w:rsid w:val="00BA603E"/>
    <w:rsid w:val="00BA6167"/>
    <w:rsid w:val="00BA6265"/>
    <w:rsid w:val="00BA6496"/>
    <w:rsid w:val="00BA65FE"/>
    <w:rsid w:val="00BA6667"/>
    <w:rsid w:val="00BA68F8"/>
    <w:rsid w:val="00BA7214"/>
    <w:rsid w:val="00BA740B"/>
    <w:rsid w:val="00BA7647"/>
    <w:rsid w:val="00BA7B79"/>
    <w:rsid w:val="00BA7D69"/>
    <w:rsid w:val="00BA7E5B"/>
    <w:rsid w:val="00BB0063"/>
    <w:rsid w:val="00BB054F"/>
    <w:rsid w:val="00BB073F"/>
    <w:rsid w:val="00BB0771"/>
    <w:rsid w:val="00BB0987"/>
    <w:rsid w:val="00BB09B6"/>
    <w:rsid w:val="00BB0AEC"/>
    <w:rsid w:val="00BB0D07"/>
    <w:rsid w:val="00BB0F2A"/>
    <w:rsid w:val="00BB0F37"/>
    <w:rsid w:val="00BB1136"/>
    <w:rsid w:val="00BB168D"/>
    <w:rsid w:val="00BB18F1"/>
    <w:rsid w:val="00BB1920"/>
    <w:rsid w:val="00BB1A18"/>
    <w:rsid w:val="00BB1A6B"/>
    <w:rsid w:val="00BB1AC3"/>
    <w:rsid w:val="00BB1E6D"/>
    <w:rsid w:val="00BB235C"/>
    <w:rsid w:val="00BB23B8"/>
    <w:rsid w:val="00BB2698"/>
    <w:rsid w:val="00BB2F32"/>
    <w:rsid w:val="00BB2FFE"/>
    <w:rsid w:val="00BB300C"/>
    <w:rsid w:val="00BB30D8"/>
    <w:rsid w:val="00BB355A"/>
    <w:rsid w:val="00BB37B6"/>
    <w:rsid w:val="00BB3852"/>
    <w:rsid w:val="00BB3901"/>
    <w:rsid w:val="00BB3E52"/>
    <w:rsid w:val="00BB3F9F"/>
    <w:rsid w:val="00BB4228"/>
    <w:rsid w:val="00BB454E"/>
    <w:rsid w:val="00BB4594"/>
    <w:rsid w:val="00BB459D"/>
    <w:rsid w:val="00BB4615"/>
    <w:rsid w:val="00BB496E"/>
    <w:rsid w:val="00BB49FA"/>
    <w:rsid w:val="00BB4A6D"/>
    <w:rsid w:val="00BB4B1E"/>
    <w:rsid w:val="00BB4DDC"/>
    <w:rsid w:val="00BB4FD1"/>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4DE"/>
    <w:rsid w:val="00BC09C5"/>
    <w:rsid w:val="00BC0C9F"/>
    <w:rsid w:val="00BC0DB2"/>
    <w:rsid w:val="00BC0ED3"/>
    <w:rsid w:val="00BC0F45"/>
    <w:rsid w:val="00BC0F9E"/>
    <w:rsid w:val="00BC1079"/>
    <w:rsid w:val="00BC11BE"/>
    <w:rsid w:val="00BC1437"/>
    <w:rsid w:val="00BC156B"/>
    <w:rsid w:val="00BC159F"/>
    <w:rsid w:val="00BC1693"/>
    <w:rsid w:val="00BC1919"/>
    <w:rsid w:val="00BC198D"/>
    <w:rsid w:val="00BC1B22"/>
    <w:rsid w:val="00BC1B9F"/>
    <w:rsid w:val="00BC1C06"/>
    <w:rsid w:val="00BC1C43"/>
    <w:rsid w:val="00BC1E97"/>
    <w:rsid w:val="00BC20AF"/>
    <w:rsid w:val="00BC24FB"/>
    <w:rsid w:val="00BC2611"/>
    <w:rsid w:val="00BC264E"/>
    <w:rsid w:val="00BC26C9"/>
    <w:rsid w:val="00BC2A2B"/>
    <w:rsid w:val="00BC3378"/>
    <w:rsid w:val="00BC3546"/>
    <w:rsid w:val="00BC395C"/>
    <w:rsid w:val="00BC3B92"/>
    <w:rsid w:val="00BC4197"/>
    <w:rsid w:val="00BC4230"/>
    <w:rsid w:val="00BC42FD"/>
    <w:rsid w:val="00BC4311"/>
    <w:rsid w:val="00BC4715"/>
    <w:rsid w:val="00BC4C3E"/>
    <w:rsid w:val="00BC4C4D"/>
    <w:rsid w:val="00BC4C7D"/>
    <w:rsid w:val="00BC4D23"/>
    <w:rsid w:val="00BC4D32"/>
    <w:rsid w:val="00BC4D7F"/>
    <w:rsid w:val="00BC4F10"/>
    <w:rsid w:val="00BC50DE"/>
    <w:rsid w:val="00BC5291"/>
    <w:rsid w:val="00BC54FD"/>
    <w:rsid w:val="00BC55C2"/>
    <w:rsid w:val="00BC5639"/>
    <w:rsid w:val="00BC57D9"/>
    <w:rsid w:val="00BC5B85"/>
    <w:rsid w:val="00BC5CAE"/>
    <w:rsid w:val="00BC5E6F"/>
    <w:rsid w:val="00BC5FEB"/>
    <w:rsid w:val="00BC60A1"/>
    <w:rsid w:val="00BC62B9"/>
    <w:rsid w:val="00BC6512"/>
    <w:rsid w:val="00BC66E2"/>
    <w:rsid w:val="00BC6C2A"/>
    <w:rsid w:val="00BC6C91"/>
    <w:rsid w:val="00BC6E91"/>
    <w:rsid w:val="00BC7532"/>
    <w:rsid w:val="00BC7610"/>
    <w:rsid w:val="00BC7A58"/>
    <w:rsid w:val="00BC7D2E"/>
    <w:rsid w:val="00BC7E08"/>
    <w:rsid w:val="00BC7E4D"/>
    <w:rsid w:val="00BC7E8B"/>
    <w:rsid w:val="00BD01F4"/>
    <w:rsid w:val="00BD0379"/>
    <w:rsid w:val="00BD04BE"/>
    <w:rsid w:val="00BD06B4"/>
    <w:rsid w:val="00BD0886"/>
    <w:rsid w:val="00BD08A0"/>
    <w:rsid w:val="00BD0BAE"/>
    <w:rsid w:val="00BD0E3C"/>
    <w:rsid w:val="00BD10C4"/>
    <w:rsid w:val="00BD11D2"/>
    <w:rsid w:val="00BD131D"/>
    <w:rsid w:val="00BD15A8"/>
    <w:rsid w:val="00BD1611"/>
    <w:rsid w:val="00BD1BED"/>
    <w:rsid w:val="00BD1D87"/>
    <w:rsid w:val="00BD1DDE"/>
    <w:rsid w:val="00BD1F00"/>
    <w:rsid w:val="00BD20EF"/>
    <w:rsid w:val="00BD2265"/>
    <w:rsid w:val="00BD2351"/>
    <w:rsid w:val="00BD240C"/>
    <w:rsid w:val="00BD249B"/>
    <w:rsid w:val="00BD261A"/>
    <w:rsid w:val="00BD26C1"/>
    <w:rsid w:val="00BD2920"/>
    <w:rsid w:val="00BD29AA"/>
    <w:rsid w:val="00BD29D4"/>
    <w:rsid w:val="00BD2DFE"/>
    <w:rsid w:val="00BD329B"/>
    <w:rsid w:val="00BD32E2"/>
    <w:rsid w:val="00BD354A"/>
    <w:rsid w:val="00BD3801"/>
    <w:rsid w:val="00BD38C8"/>
    <w:rsid w:val="00BD3BDA"/>
    <w:rsid w:val="00BD3C41"/>
    <w:rsid w:val="00BD3D54"/>
    <w:rsid w:val="00BD41AD"/>
    <w:rsid w:val="00BD451F"/>
    <w:rsid w:val="00BD45BE"/>
    <w:rsid w:val="00BD4655"/>
    <w:rsid w:val="00BD4723"/>
    <w:rsid w:val="00BD4730"/>
    <w:rsid w:val="00BD4759"/>
    <w:rsid w:val="00BD48E2"/>
    <w:rsid w:val="00BD51F0"/>
    <w:rsid w:val="00BD5223"/>
    <w:rsid w:val="00BD5290"/>
    <w:rsid w:val="00BD5530"/>
    <w:rsid w:val="00BD5805"/>
    <w:rsid w:val="00BD5832"/>
    <w:rsid w:val="00BD594B"/>
    <w:rsid w:val="00BD5A63"/>
    <w:rsid w:val="00BD5ADE"/>
    <w:rsid w:val="00BD6245"/>
    <w:rsid w:val="00BD63D7"/>
    <w:rsid w:val="00BD660F"/>
    <w:rsid w:val="00BD6682"/>
    <w:rsid w:val="00BD6A28"/>
    <w:rsid w:val="00BD6E14"/>
    <w:rsid w:val="00BD6FAA"/>
    <w:rsid w:val="00BD7332"/>
    <w:rsid w:val="00BD74F4"/>
    <w:rsid w:val="00BD77AB"/>
    <w:rsid w:val="00BD7ABB"/>
    <w:rsid w:val="00BD7B7D"/>
    <w:rsid w:val="00BD7CF9"/>
    <w:rsid w:val="00BD7D65"/>
    <w:rsid w:val="00BD7E5A"/>
    <w:rsid w:val="00BE0073"/>
    <w:rsid w:val="00BE0328"/>
    <w:rsid w:val="00BE086F"/>
    <w:rsid w:val="00BE09C3"/>
    <w:rsid w:val="00BE0CEA"/>
    <w:rsid w:val="00BE0E06"/>
    <w:rsid w:val="00BE10A8"/>
    <w:rsid w:val="00BE11F3"/>
    <w:rsid w:val="00BE1261"/>
    <w:rsid w:val="00BE147E"/>
    <w:rsid w:val="00BE1489"/>
    <w:rsid w:val="00BE15BA"/>
    <w:rsid w:val="00BE1654"/>
    <w:rsid w:val="00BE1951"/>
    <w:rsid w:val="00BE1A4D"/>
    <w:rsid w:val="00BE1AA6"/>
    <w:rsid w:val="00BE1F76"/>
    <w:rsid w:val="00BE202E"/>
    <w:rsid w:val="00BE24D5"/>
    <w:rsid w:val="00BE2528"/>
    <w:rsid w:val="00BE2965"/>
    <w:rsid w:val="00BE2975"/>
    <w:rsid w:val="00BE2BA1"/>
    <w:rsid w:val="00BE2BE4"/>
    <w:rsid w:val="00BE30EA"/>
    <w:rsid w:val="00BE3124"/>
    <w:rsid w:val="00BE314D"/>
    <w:rsid w:val="00BE32D9"/>
    <w:rsid w:val="00BE3504"/>
    <w:rsid w:val="00BE3617"/>
    <w:rsid w:val="00BE38D6"/>
    <w:rsid w:val="00BE3A6B"/>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5BB9"/>
    <w:rsid w:val="00BE5CF2"/>
    <w:rsid w:val="00BE60A5"/>
    <w:rsid w:val="00BE61C6"/>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6FC"/>
    <w:rsid w:val="00BF08E6"/>
    <w:rsid w:val="00BF0A9F"/>
    <w:rsid w:val="00BF0BD9"/>
    <w:rsid w:val="00BF11E8"/>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859"/>
    <w:rsid w:val="00BF5CAD"/>
    <w:rsid w:val="00BF5E56"/>
    <w:rsid w:val="00BF5F17"/>
    <w:rsid w:val="00BF6355"/>
    <w:rsid w:val="00BF64BF"/>
    <w:rsid w:val="00BF661F"/>
    <w:rsid w:val="00BF6662"/>
    <w:rsid w:val="00BF67BE"/>
    <w:rsid w:val="00BF6DC3"/>
    <w:rsid w:val="00BF71A5"/>
    <w:rsid w:val="00BF71F7"/>
    <w:rsid w:val="00BF77FE"/>
    <w:rsid w:val="00BF794E"/>
    <w:rsid w:val="00BF79A7"/>
    <w:rsid w:val="00BF79FD"/>
    <w:rsid w:val="00BF7A27"/>
    <w:rsid w:val="00BF7A49"/>
    <w:rsid w:val="00BF7A8E"/>
    <w:rsid w:val="00BF7DB1"/>
    <w:rsid w:val="00C0033E"/>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0A1"/>
    <w:rsid w:val="00C021BA"/>
    <w:rsid w:val="00C024EE"/>
    <w:rsid w:val="00C02BBB"/>
    <w:rsid w:val="00C02D3A"/>
    <w:rsid w:val="00C02DDA"/>
    <w:rsid w:val="00C02F48"/>
    <w:rsid w:val="00C02FCB"/>
    <w:rsid w:val="00C02FF7"/>
    <w:rsid w:val="00C032D8"/>
    <w:rsid w:val="00C03806"/>
    <w:rsid w:val="00C0390E"/>
    <w:rsid w:val="00C03934"/>
    <w:rsid w:val="00C0443C"/>
    <w:rsid w:val="00C045C9"/>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310"/>
    <w:rsid w:val="00C0645A"/>
    <w:rsid w:val="00C06589"/>
    <w:rsid w:val="00C0703C"/>
    <w:rsid w:val="00C0725D"/>
    <w:rsid w:val="00C0727A"/>
    <w:rsid w:val="00C0728A"/>
    <w:rsid w:val="00C07355"/>
    <w:rsid w:val="00C075FF"/>
    <w:rsid w:val="00C076B6"/>
    <w:rsid w:val="00C0770A"/>
    <w:rsid w:val="00C077A1"/>
    <w:rsid w:val="00C07A6F"/>
    <w:rsid w:val="00C07B3E"/>
    <w:rsid w:val="00C07B7B"/>
    <w:rsid w:val="00C07CE5"/>
    <w:rsid w:val="00C07DF7"/>
    <w:rsid w:val="00C07E0C"/>
    <w:rsid w:val="00C10306"/>
    <w:rsid w:val="00C105F0"/>
    <w:rsid w:val="00C1083D"/>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2F"/>
    <w:rsid w:val="00C11C6A"/>
    <w:rsid w:val="00C11E49"/>
    <w:rsid w:val="00C120FC"/>
    <w:rsid w:val="00C12256"/>
    <w:rsid w:val="00C123EF"/>
    <w:rsid w:val="00C12531"/>
    <w:rsid w:val="00C126E2"/>
    <w:rsid w:val="00C12705"/>
    <w:rsid w:val="00C12AF5"/>
    <w:rsid w:val="00C12CCA"/>
    <w:rsid w:val="00C12DA4"/>
    <w:rsid w:val="00C12F3E"/>
    <w:rsid w:val="00C12FD8"/>
    <w:rsid w:val="00C131EF"/>
    <w:rsid w:val="00C13357"/>
    <w:rsid w:val="00C134EC"/>
    <w:rsid w:val="00C13542"/>
    <w:rsid w:val="00C1355C"/>
    <w:rsid w:val="00C13656"/>
    <w:rsid w:val="00C13679"/>
    <w:rsid w:val="00C139D0"/>
    <w:rsid w:val="00C13A41"/>
    <w:rsid w:val="00C13AB5"/>
    <w:rsid w:val="00C13F38"/>
    <w:rsid w:val="00C1424B"/>
    <w:rsid w:val="00C14250"/>
    <w:rsid w:val="00C14313"/>
    <w:rsid w:val="00C1434B"/>
    <w:rsid w:val="00C14E9A"/>
    <w:rsid w:val="00C14F66"/>
    <w:rsid w:val="00C14FB4"/>
    <w:rsid w:val="00C1502D"/>
    <w:rsid w:val="00C150D2"/>
    <w:rsid w:val="00C1515A"/>
    <w:rsid w:val="00C1541C"/>
    <w:rsid w:val="00C15591"/>
    <w:rsid w:val="00C15721"/>
    <w:rsid w:val="00C15804"/>
    <w:rsid w:val="00C15839"/>
    <w:rsid w:val="00C15A53"/>
    <w:rsid w:val="00C15E02"/>
    <w:rsid w:val="00C15FBA"/>
    <w:rsid w:val="00C160B3"/>
    <w:rsid w:val="00C16286"/>
    <w:rsid w:val="00C1631C"/>
    <w:rsid w:val="00C16489"/>
    <w:rsid w:val="00C1683C"/>
    <w:rsid w:val="00C16AD4"/>
    <w:rsid w:val="00C16B74"/>
    <w:rsid w:val="00C16DA6"/>
    <w:rsid w:val="00C16DC4"/>
    <w:rsid w:val="00C16DFA"/>
    <w:rsid w:val="00C16E42"/>
    <w:rsid w:val="00C170DF"/>
    <w:rsid w:val="00C171E6"/>
    <w:rsid w:val="00C172CC"/>
    <w:rsid w:val="00C17377"/>
    <w:rsid w:val="00C17380"/>
    <w:rsid w:val="00C174F2"/>
    <w:rsid w:val="00C1796E"/>
    <w:rsid w:val="00C17C00"/>
    <w:rsid w:val="00C207E0"/>
    <w:rsid w:val="00C208EA"/>
    <w:rsid w:val="00C2092A"/>
    <w:rsid w:val="00C209D9"/>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A8"/>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32E"/>
    <w:rsid w:val="00C24619"/>
    <w:rsid w:val="00C246C3"/>
    <w:rsid w:val="00C24717"/>
    <w:rsid w:val="00C247F5"/>
    <w:rsid w:val="00C2486A"/>
    <w:rsid w:val="00C248CE"/>
    <w:rsid w:val="00C24A95"/>
    <w:rsid w:val="00C24F5D"/>
    <w:rsid w:val="00C2505C"/>
    <w:rsid w:val="00C250C0"/>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DA8"/>
    <w:rsid w:val="00C26E7B"/>
    <w:rsid w:val="00C26E86"/>
    <w:rsid w:val="00C27519"/>
    <w:rsid w:val="00C27BEE"/>
    <w:rsid w:val="00C27C87"/>
    <w:rsid w:val="00C27CA4"/>
    <w:rsid w:val="00C27F46"/>
    <w:rsid w:val="00C301B3"/>
    <w:rsid w:val="00C302FC"/>
    <w:rsid w:val="00C3045D"/>
    <w:rsid w:val="00C30544"/>
    <w:rsid w:val="00C307C6"/>
    <w:rsid w:val="00C30892"/>
    <w:rsid w:val="00C30E73"/>
    <w:rsid w:val="00C30F02"/>
    <w:rsid w:val="00C31576"/>
    <w:rsid w:val="00C317D3"/>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48"/>
    <w:rsid w:val="00C34D97"/>
    <w:rsid w:val="00C350C1"/>
    <w:rsid w:val="00C3539C"/>
    <w:rsid w:val="00C35530"/>
    <w:rsid w:val="00C356B2"/>
    <w:rsid w:val="00C35B2D"/>
    <w:rsid w:val="00C35D5E"/>
    <w:rsid w:val="00C35E1F"/>
    <w:rsid w:val="00C35E6D"/>
    <w:rsid w:val="00C35F0A"/>
    <w:rsid w:val="00C36323"/>
    <w:rsid w:val="00C36B76"/>
    <w:rsid w:val="00C36C31"/>
    <w:rsid w:val="00C36C4A"/>
    <w:rsid w:val="00C37593"/>
    <w:rsid w:val="00C3764E"/>
    <w:rsid w:val="00C377DC"/>
    <w:rsid w:val="00C3782B"/>
    <w:rsid w:val="00C37CA4"/>
    <w:rsid w:val="00C37E94"/>
    <w:rsid w:val="00C37FEA"/>
    <w:rsid w:val="00C40213"/>
    <w:rsid w:val="00C40266"/>
    <w:rsid w:val="00C404A9"/>
    <w:rsid w:val="00C40501"/>
    <w:rsid w:val="00C4058F"/>
    <w:rsid w:val="00C40591"/>
    <w:rsid w:val="00C4062C"/>
    <w:rsid w:val="00C4067C"/>
    <w:rsid w:val="00C408B9"/>
    <w:rsid w:val="00C40DEA"/>
    <w:rsid w:val="00C4135F"/>
    <w:rsid w:val="00C414E5"/>
    <w:rsid w:val="00C41513"/>
    <w:rsid w:val="00C4155F"/>
    <w:rsid w:val="00C4164E"/>
    <w:rsid w:val="00C416F3"/>
    <w:rsid w:val="00C41728"/>
    <w:rsid w:val="00C41778"/>
    <w:rsid w:val="00C4191D"/>
    <w:rsid w:val="00C41A00"/>
    <w:rsid w:val="00C41A94"/>
    <w:rsid w:val="00C41B0D"/>
    <w:rsid w:val="00C41B54"/>
    <w:rsid w:val="00C41F5E"/>
    <w:rsid w:val="00C4200C"/>
    <w:rsid w:val="00C425DC"/>
    <w:rsid w:val="00C42747"/>
    <w:rsid w:val="00C42911"/>
    <w:rsid w:val="00C42B87"/>
    <w:rsid w:val="00C42C04"/>
    <w:rsid w:val="00C42E6F"/>
    <w:rsid w:val="00C42EF3"/>
    <w:rsid w:val="00C431AE"/>
    <w:rsid w:val="00C43218"/>
    <w:rsid w:val="00C433D8"/>
    <w:rsid w:val="00C43430"/>
    <w:rsid w:val="00C434FF"/>
    <w:rsid w:val="00C43A57"/>
    <w:rsid w:val="00C43B05"/>
    <w:rsid w:val="00C43C1B"/>
    <w:rsid w:val="00C43FE8"/>
    <w:rsid w:val="00C44043"/>
    <w:rsid w:val="00C442F2"/>
    <w:rsid w:val="00C443B5"/>
    <w:rsid w:val="00C4466E"/>
    <w:rsid w:val="00C44749"/>
    <w:rsid w:val="00C448F8"/>
    <w:rsid w:val="00C4515E"/>
    <w:rsid w:val="00C451E6"/>
    <w:rsid w:val="00C4549E"/>
    <w:rsid w:val="00C45626"/>
    <w:rsid w:val="00C456AE"/>
    <w:rsid w:val="00C45824"/>
    <w:rsid w:val="00C45A7E"/>
    <w:rsid w:val="00C45CB7"/>
    <w:rsid w:val="00C45D84"/>
    <w:rsid w:val="00C45F46"/>
    <w:rsid w:val="00C45FF3"/>
    <w:rsid w:val="00C46020"/>
    <w:rsid w:val="00C464A3"/>
    <w:rsid w:val="00C46728"/>
    <w:rsid w:val="00C46A4B"/>
    <w:rsid w:val="00C46B10"/>
    <w:rsid w:val="00C46D1F"/>
    <w:rsid w:val="00C4702F"/>
    <w:rsid w:val="00C470DB"/>
    <w:rsid w:val="00C4723A"/>
    <w:rsid w:val="00C47345"/>
    <w:rsid w:val="00C47385"/>
    <w:rsid w:val="00C473A3"/>
    <w:rsid w:val="00C474DA"/>
    <w:rsid w:val="00C477AA"/>
    <w:rsid w:val="00C477B6"/>
    <w:rsid w:val="00C47801"/>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B23"/>
    <w:rsid w:val="00C51C99"/>
    <w:rsid w:val="00C51DC9"/>
    <w:rsid w:val="00C51DED"/>
    <w:rsid w:val="00C51E1C"/>
    <w:rsid w:val="00C51E25"/>
    <w:rsid w:val="00C51FF7"/>
    <w:rsid w:val="00C5220D"/>
    <w:rsid w:val="00C5232C"/>
    <w:rsid w:val="00C524BE"/>
    <w:rsid w:val="00C525B3"/>
    <w:rsid w:val="00C52BC8"/>
    <w:rsid w:val="00C52C4D"/>
    <w:rsid w:val="00C52CB8"/>
    <w:rsid w:val="00C52F17"/>
    <w:rsid w:val="00C530B2"/>
    <w:rsid w:val="00C530B6"/>
    <w:rsid w:val="00C531C4"/>
    <w:rsid w:val="00C53293"/>
    <w:rsid w:val="00C533B3"/>
    <w:rsid w:val="00C5387C"/>
    <w:rsid w:val="00C53A4C"/>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989"/>
    <w:rsid w:val="00C61C10"/>
    <w:rsid w:val="00C61C6A"/>
    <w:rsid w:val="00C621C5"/>
    <w:rsid w:val="00C62959"/>
    <w:rsid w:val="00C6297D"/>
    <w:rsid w:val="00C62BB7"/>
    <w:rsid w:val="00C62C33"/>
    <w:rsid w:val="00C62FB4"/>
    <w:rsid w:val="00C630E6"/>
    <w:rsid w:val="00C63448"/>
    <w:rsid w:val="00C63563"/>
    <w:rsid w:val="00C63D25"/>
    <w:rsid w:val="00C63F0E"/>
    <w:rsid w:val="00C64120"/>
    <w:rsid w:val="00C64125"/>
    <w:rsid w:val="00C64130"/>
    <w:rsid w:val="00C64187"/>
    <w:rsid w:val="00C642BA"/>
    <w:rsid w:val="00C6449C"/>
    <w:rsid w:val="00C644E7"/>
    <w:rsid w:val="00C64A2C"/>
    <w:rsid w:val="00C64BE7"/>
    <w:rsid w:val="00C64C20"/>
    <w:rsid w:val="00C64DD4"/>
    <w:rsid w:val="00C64FB8"/>
    <w:rsid w:val="00C650EF"/>
    <w:rsid w:val="00C65582"/>
    <w:rsid w:val="00C6588D"/>
    <w:rsid w:val="00C658D6"/>
    <w:rsid w:val="00C65A3A"/>
    <w:rsid w:val="00C65A62"/>
    <w:rsid w:val="00C65B9F"/>
    <w:rsid w:val="00C65C10"/>
    <w:rsid w:val="00C65CA9"/>
    <w:rsid w:val="00C65CE8"/>
    <w:rsid w:val="00C65D59"/>
    <w:rsid w:val="00C662C7"/>
    <w:rsid w:val="00C663E7"/>
    <w:rsid w:val="00C665A3"/>
    <w:rsid w:val="00C66600"/>
    <w:rsid w:val="00C668EF"/>
    <w:rsid w:val="00C66AED"/>
    <w:rsid w:val="00C66B1F"/>
    <w:rsid w:val="00C66CF3"/>
    <w:rsid w:val="00C66ED6"/>
    <w:rsid w:val="00C678BF"/>
    <w:rsid w:val="00C67C83"/>
    <w:rsid w:val="00C67E25"/>
    <w:rsid w:val="00C7007B"/>
    <w:rsid w:val="00C701D6"/>
    <w:rsid w:val="00C70563"/>
    <w:rsid w:val="00C7059F"/>
    <w:rsid w:val="00C7078C"/>
    <w:rsid w:val="00C708E0"/>
    <w:rsid w:val="00C709C4"/>
    <w:rsid w:val="00C70A48"/>
    <w:rsid w:val="00C70A6F"/>
    <w:rsid w:val="00C70CB3"/>
    <w:rsid w:val="00C70D92"/>
    <w:rsid w:val="00C70FB8"/>
    <w:rsid w:val="00C71113"/>
    <w:rsid w:val="00C71456"/>
    <w:rsid w:val="00C714EF"/>
    <w:rsid w:val="00C71519"/>
    <w:rsid w:val="00C71A75"/>
    <w:rsid w:val="00C71AC3"/>
    <w:rsid w:val="00C71B87"/>
    <w:rsid w:val="00C71BF2"/>
    <w:rsid w:val="00C71D78"/>
    <w:rsid w:val="00C722EE"/>
    <w:rsid w:val="00C723AF"/>
    <w:rsid w:val="00C7265E"/>
    <w:rsid w:val="00C726A3"/>
    <w:rsid w:val="00C7292E"/>
    <w:rsid w:val="00C731C4"/>
    <w:rsid w:val="00C7328D"/>
    <w:rsid w:val="00C73381"/>
    <w:rsid w:val="00C733A0"/>
    <w:rsid w:val="00C734AC"/>
    <w:rsid w:val="00C7354B"/>
    <w:rsid w:val="00C735DF"/>
    <w:rsid w:val="00C73703"/>
    <w:rsid w:val="00C73A03"/>
    <w:rsid w:val="00C73AC4"/>
    <w:rsid w:val="00C73E3B"/>
    <w:rsid w:val="00C74091"/>
    <w:rsid w:val="00C74125"/>
    <w:rsid w:val="00C74467"/>
    <w:rsid w:val="00C744B0"/>
    <w:rsid w:val="00C745D0"/>
    <w:rsid w:val="00C74652"/>
    <w:rsid w:val="00C746CC"/>
    <w:rsid w:val="00C747E2"/>
    <w:rsid w:val="00C748F2"/>
    <w:rsid w:val="00C74A02"/>
    <w:rsid w:val="00C74AA3"/>
    <w:rsid w:val="00C74C53"/>
    <w:rsid w:val="00C74C66"/>
    <w:rsid w:val="00C74C7E"/>
    <w:rsid w:val="00C752E2"/>
    <w:rsid w:val="00C7539A"/>
    <w:rsid w:val="00C754D5"/>
    <w:rsid w:val="00C754FB"/>
    <w:rsid w:val="00C7562C"/>
    <w:rsid w:val="00C756FF"/>
    <w:rsid w:val="00C757BC"/>
    <w:rsid w:val="00C75A97"/>
    <w:rsid w:val="00C75C88"/>
    <w:rsid w:val="00C76267"/>
    <w:rsid w:val="00C76382"/>
    <w:rsid w:val="00C76673"/>
    <w:rsid w:val="00C766A7"/>
    <w:rsid w:val="00C76752"/>
    <w:rsid w:val="00C76911"/>
    <w:rsid w:val="00C76BFB"/>
    <w:rsid w:val="00C76C1A"/>
    <w:rsid w:val="00C76D20"/>
    <w:rsid w:val="00C76ECE"/>
    <w:rsid w:val="00C76FEC"/>
    <w:rsid w:val="00C77027"/>
    <w:rsid w:val="00C7714C"/>
    <w:rsid w:val="00C772C3"/>
    <w:rsid w:val="00C7734A"/>
    <w:rsid w:val="00C77368"/>
    <w:rsid w:val="00C7750B"/>
    <w:rsid w:val="00C77641"/>
    <w:rsid w:val="00C778C7"/>
    <w:rsid w:val="00C778E7"/>
    <w:rsid w:val="00C77C1D"/>
    <w:rsid w:val="00C77C58"/>
    <w:rsid w:val="00C77EB4"/>
    <w:rsid w:val="00C77FD5"/>
    <w:rsid w:val="00C800BC"/>
    <w:rsid w:val="00C8070C"/>
    <w:rsid w:val="00C807AC"/>
    <w:rsid w:val="00C807EF"/>
    <w:rsid w:val="00C808FD"/>
    <w:rsid w:val="00C80AE9"/>
    <w:rsid w:val="00C80B5B"/>
    <w:rsid w:val="00C80D82"/>
    <w:rsid w:val="00C80E2A"/>
    <w:rsid w:val="00C81535"/>
    <w:rsid w:val="00C81629"/>
    <w:rsid w:val="00C8199A"/>
    <w:rsid w:val="00C81B73"/>
    <w:rsid w:val="00C81CA8"/>
    <w:rsid w:val="00C81DA7"/>
    <w:rsid w:val="00C81E07"/>
    <w:rsid w:val="00C81E28"/>
    <w:rsid w:val="00C82200"/>
    <w:rsid w:val="00C82423"/>
    <w:rsid w:val="00C827F7"/>
    <w:rsid w:val="00C82A24"/>
    <w:rsid w:val="00C82A70"/>
    <w:rsid w:val="00C82C31"/>
    <w:rsid w:val="00C82E68"/>
    <w:rsid w:val="00C82FE5"/>
    <w:rsid w:val="00C83332"/>
    <w:rsid w:val="00C83334"/>
    <w:rsid w:val="00C83523"/>
    <w:rsid w:val="00C839EF"/>
    <w:rsid w:val="00C83A35"/>
    <w:rsid w:val="00C83C71"/>
    <w:rsid w:val="00C83DB9"/>
    <w:rsid w:val="00C84155"/>
    <w:rsid w:val="00C843EA"/>
    <w:rsid w:val="00C8458F"/>
    <w:rsid w:val="00C8473E"/>
    <w:rsid w:val="00C848AC"/>
    <w:rsid w:val="00C84B70"/>
    <w:rsid w:val="00C84B99"/>
    <w:rsid w:val="00C84DF8"/>
    <w:rsid w:val="00C850B8"/>
    <w:rsid w:val="00C85701"/>
    <w:rsid w:val="00C85757"/>
    <w:rsid w:val="00C858AA"/>
    <w:rsid w:val="00C8594B"/>
    <w:rsid w:val="00C8595A"/>
    <w:rsid w:val="00C85E73"/>
    <w:rsid w:val="00C8667B"/>
    <w:rsid w:val="00C869EB"/>
    <w:rsid w:val="00C86B16"/>
    <w:rsid w:val="00C86B39"/>
    <w:rsid w:val="00C86F76"/>
    <w:rsid w:val="00C86FD9"/>
    <w:rsid w:val="00C871BD"/>
    <w:rsid w:val="00C876D3"/>
    <w:rsid w:val="00C87889"/>
    <w:rsid w:val="00C87AA2"/>
    <w:rsid w:val="00C87AE0"/>
    <w:rsid w:val="00C87B34"/>
    <w:rsid w:val="00C87E29"/>
    <w:rsid w:val="00C90338"/>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C7D"/>
    <w:rsid w:val="00C91F18"/>
    <w:rsid w:val="00C920C0"/>
    <w:rsid w:val="00C923B1"/>
    <w:rsid w:val="00C9241A"/>
    <w:rsid w:val="00C92598"/>
    <w:rsid w:val="00C9259F"/>
    <w:rsid w:val="00C925F3"/>
    <w:rsid w:val="00C92C44"/>
    <w:rsid w:val="00C92F76"/>
    <w:rsid w:val="00C92F8B"/>
    <w:rsid w:val="00C9307D"/>
    <w:rsid w:val="00C93097"/>
    <w:rsid w:val="00C93120"/>
    <w:rsid w:val="00C93224"/>
    <w:rsid w:val="00C93543"/>
    <w:rsid w:val="00C935F6"/>
    <w:rsid w:val="00C93A32"/>
    <w:rsid w:val="00C93A73"/>
    <w:rsid w:val="00C93C42"/>
    <w:rsid w:val="00C93FB7"/>
    <w:rsid w:val="00C944BC"/>
    <w:rsid w:val="00C94B7C"/>
    <w:rsid w:val="00C94D2E"/>
    <w:rsid w:val="00C94D84"/>
    <w:rsid w:val="00C94EA1"/>
    <w:rsid w:val="00C9527E"/>
    <w:rsid w:val="00C95372"/>
    <w:rsid w:val="00C9538B"/>
    <w:rsid w:val="00C95407"/>
    <w:rsid w:val="00C95731"/>
    <w:rsid w:val="00C9590E"/>
    <w:rsid w:val="00C95AF2"/>
    <w:rsid w:val="00C95B75"/>
    <w:rsid w:val="00C95C9F"/>
    <w:rsid w:val="00C95F8C"/>
    <w:rsid w:val="00C960B0"/>
    <w:rsid w:val="00C96204"/>
    <w:rsid w:val="00C9650F"/>
    <w:rsid w:val="00C96587"/>
    <w:rsid w:val="00C966B5"/>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5"/>
    <w:rsid w:val="00CA0C57"/>
    <w:rsid w:val="00CA0E9A"/>
    <w:rsid w:val="00CA114B"/>
    <w:rsid w:val="00CA1388"/>
    <w:rsid w:val="00CA158C"/>
    <w:rsid w:val="00CA15A0"/>
    <w:rsid w:val="00CA1978"/>
    <w:rsid w:val="00CA19C9"/>
    <w:rsid w:val="00CA1A09"/>
    <w:rsid w:val="00CA1E0C"/>
    <w:rsid w:val="00CA224A"/>
    <w:rsid w:val="00CA2292"/>
    <w:rsid w:val="00CA2489"/>
    <w:rsid w:val="00CA2539"/>
    <w:rsid w:val="00CA2A92"/>
    <w:rsid w:val="00CA2C61"/>
    <w:rsid w:val="00CA2CA7"/>
    <w:rsid w:val="00CA2D0B"/>
    <w:rsid w:val="00CA2DC2"/>
    <w:rsid w:val="00CA2ED8"/>
    <w:rsid w:val="00CA2FBF"/>
    <w:rsid w:val="00CA339E"/>
    <w:rsid w:val="00CA347C"/>
    <w:rsid w:val="00CA351B"/>
    <w:rsid w:val="00CA36AD"/>
    <w:rsid w:val="00CA3956"/>
    <w:rsid w:val="00CA3979"/>
    <w:rsid w:val="00CA3B9D"/>
    <w:rsid w:val="00CA3E8F"/>
    <w:rsid w:val="00CA408D"/>
    <w:rsid w:val="00CA40E5"/>
    <w:rsid w:val="00CA41C0"/>
    <w:rsid w:val="00CA4744"/>
    <w:rsid w:val="00CA4C02"/>
    <w:rsid w:val="00CA502D"/>
    <w:rsid w:val="00CA5243"/>
    <w:rsid w:val="00CA5252"/>
    <w:rsid w:val="00CA551B"/>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75A"/>
    <w:rsid w:val="00CB0D21"/>
    <w:rsid w:val="00CB0F94"/>
    <w:rsid w:val="00CB1307"/>
    <w:rsid w:val="00CB1451"/>
    <w:rsid w:val="00CB1788"/>
    <w:rsid w:val="00CB1986"/>
    <w:rsid w:val="00CB19D5"/>
    <w:rsid w:val="00CB1D26"/>
    <w:rsid w:val="00CB1F8A"/>
    <w:rsid w:val="00CB209D"/>
    <w:rsid w:val="00CB20D8"/>
    <w:rsid w:val="00CB23CF"/>
    <w:rsid w:val="00CB23D0"/>
    <w:rsid w:val="00CB27DE"/>
    <w:rsid w:val="00CB28C8"/>
    <w:rsid w:val="00CB2A11"/>
    <w:rsid w:val="00CB2A84"/>
    <w:rsid w:val="00CB2B94"/>
    <w:rsid w:val="00CB3165"/>
    <w:rsid w:val="00CB31B6"/>
    <w:rsid w:val="00CB31DD"/>
    <w:rsid w:val="00CB375A"/>
    <w:rsid w:val="00CB388A"/>
    <w:rsid w:val="00CB3AD2"/>
    <w:rsid w:val="00CB3AFC"/>
    <w:rsid w:val="00CB3B21"/>
    <w:rsid w:val="00CB3D05"/>
    <w:rsid w:val="00CB3D9A"/>
    <w:rsid w:val="00CB3F9A"/>
    <w:rsid w:val="00CB4100"/>
    <w:rsid w:val="00CB413E"/>
    <w:rsid w:val="00CB43A8"/>
    <w:rsid w:val="00CB486A"/>
    <w:rsid w:val="00CB48B0"/>
    <w:rsid w:val="00CB498D"/>
    <w:rsid w:val="00CB49E5"/>
    <w:rsid w:val="00CB4CB7"/>
    <w:rsid w:val="00CB50BA"/>
    <w:rsid w:val="00CB5235"/>
    <w:rsid w:val="00CB53A7"/>
    <w:rsid w:val="00CB5528"/>
    <w:rsid w:val="00CB5720"/>
    <w:rsid w:val="00CB590B"/>
    <w:rsid w:val="00CB5E39"/>
    <w:rsid w:val="00CB6034"/>
    <w:rsid w:val="00CB60C2"/>
    <w:rsid w:val="00CB611B"/>
    <w:rsid w:val="00CB648A"/>
    <w:rsid w:val="00CB669F"/>
    <w:rsid w:val="00CB670E"/>
    <w:rsid w:val="00CB686F"/>
    <w:rsid w:val="00CB6904"/>
    <w:rsid w:val="00CB690C"/>
    <w:rsid w:val="00CB69D0"/>
    <w:rsid w:val="00CB6A89"/>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12B"/>
    <w:rsid w:val="00CC2590"/>
    <w:rsid w:val="00CC26F9"/>
    <w:rsid w:val="00CC2C61"/>
    <w:rsid w:val="00CC2D4E"/>
    <w:rsid w:val="00CC2FA1"/>
    <w:rsid w:val="00CC3259"/>
    <w:rsid w:val="00CC331A"/>
    <w:rsid w:val="00CC3370"/>
    <w:rsid w:val="00CC3499"/>
    <w:rsid w:val="00CC34A2"/>
    <w:rsid w:val="00CC350D"/>
    <w:rsid w:val="00CC3696"/>
    <w:rsid w:val="00CC3A53"/>
    <w:rsid w:val="00CC3ABC"/>
    <w:rsid w:val="00CC3F83"/>
    <w:rsid w:val="00CC458D"/>
    <w:rsid w:val="00CC474B"/>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4D7"/>
    <w:rsid w:val="00CC6558"/>
    <w:rsid w:val="00CC65AF"/>
    <w:rsid w:val="00CC680D"/>
    <w:rsid w:val="00CC684A"/>
    <w:rsid w:val="00CC6871"/>
    <w:rsid w:val="00CC6A14"/>
    <w:rsid w:val="00CC7000"/>
    <w:rsid w:val="00CC70EB"/>
    <w:rsid w:val="00CC728B"/>
    <w:rsid w:val="00CC7300"/>
    <w:rsid w:val="00CC7640"/>
    <w:rsid w:val="00CC773B"/>
    <w:rsid w:val="00CC77C7"/>
    <w:rsid w:val="00CC798B"/>
    <w:rsid w:val="00CC7D8B"/>
    <w:rsid w:val="00CC7DA6"/>
    <w:rsid w:val="00CD007A"/>
    <w:rsid w:val="00CD00C4"/>
    <w:rsid w:val="00CD0179"/>
    <w:rsid w:val="00CD03F4"/>
    <w:rsid w:val="00CD0455"/>
    <w:rsid w:val="00CD0518"/>
    <w:rsid w:val="00CD094D"/>
    <w:rsid w:val="00CD0B57"/>
    <w:rsid w:val="00CD0D5C"/>
    <w:rsid w:val="00CD1029"/>
    <w:rsid w:val="00CD10EC"/>
    <w:rsid w:val="00CD153D"/>
    <w:rsid w:val="00CD1B41"/>
    <w:rsid w:val="00CD1C7D"/>
    <w:rsid w:val="00CD1DB2"/>
    <w:rsid w:val="00CD1F60"/>
    <w:rsid w:val="00CD209E"/>
    <w:rsid w:val="00CD221F"/>
    <w:rsid w:val="00CD22D5"/>
    <w:rsid w:val="00CD235B"/>
    <w:rsid w:val="00CD285D"/>
    <w:rsid w:val="00CD2A34"/>
    <w:rsid w:val="00CD2E4D"/>
    <w:rsid w:val="00CD2EB9"/>
    <w:rsid w:val="00CD362D"/>
    <w:rsid w:val="00CD381F"/>
    <w:rsid w:val="00CD384D"/>
    <w:rsid w:val="00CD3B7A"/>
    <w:rsid w:val="00CD3D08"/>
    <w:rsid w:val="00CD3FF4"/>
    <w:rsid w:val="00CD40E9"/>
    <w:rsid w:val="00CD415C"/>
    <w:rsid w:val="00CD418D"/>
    <w:rsid w:val="00CD41B3"/>
    <w:rsid w:val="00CD423E"/>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FEF"/>
    <w:rsid w:val="00CD6246"/>
    <w:rsid w:val="00CD638F"/>
    <w:rsid w:val="00CD63E6"/>
    <w:rsid w:val="00CD662D"/>
    <w:rsid w:val="00CD6630"/>
    <w:rsid w:val="00CD6990"/>
    <w:rsid w:val="00CD6B86"/>
    <w:rsid w:val="00CD715E"/>
    <w:rsid w:val="00CD72C4"/>
    <w:rsid w:val="00CD72E1"/>
    <w:rsid w:val="00CD7317"/>
    <w:rsid w:val="00CD73BB"/>
    <w:rsid w:val="00CD75F3"/>
    <w:rsid w:val="00CD779D"/>
    <w:rsid w:val="00CD7821"/>
    <w:rsid w:val="00CD7968"/>
    <w:rsid w:val="00CD797F"/>
    <w:rsid w:val="00CD7D2B"/>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61"/>
    <w:rsid w:val="00CE1B60"/>
    <w:rsid w:val="00CE1BB3"/>
    <w:rsid w:val="00CE1CA0"/>
    <w:rsid w:val="00CE1D66"/>
    <w:rsid w:val="00CE1E69"/>
    <w:rsid w:val="00CE22F8"/>
    <w:rsid w:val="00CE2468"/>
    <w:rsid w:val="00CE247C"/>
    <w:rsid w:val="00CE25F4"/>
    <w:rsid w:val="00CE2640"/>
    <w:rsid w:val="00CE277F"/>
    <w:rsid w:val="00CE2876"/>
    <w:rsid w:val="00CE2A30"/>
    <w:rsid w:val="00CE2B0C"/>
    <w:rsid w:val="00CE2CAE"/>
    <w:rsid w:val="00CE2F1F"/>
    <w:rsid w:val="00CE303E"/>
    <w:rsid w:val="00CE315E"/>
    <w:rsid w:val="00CE3349"/>
    <w:rsid w:val="00CE33FA"/>
    <w:rsid w:val="00CE3A5C"/>
    <w:rsid w:val="00CE3BD0"/>
    <w:rsid w:val="00CE3EED"/>
    <w:rsid w:val="00CE3F8E"/>
    <w:rsid w:val="00CE42CB"/>
    <w:rsid w:val="00CE4449"/>
    <w:rsid w:val="00CE4548"/>
    <w:rsid w:val="00CE46FA"/>
    <w:rsid w:val="00CE47A6"/>
    <w:rsid w:val="00CE4805"/>
    <w:rsid w:val="00CE487E"/>
    <w:rsid w:val="00CE48EF"/>
    <w:rsid w:val="00CE4910"/>
    <w:rsid w:val="00CE4A29"/>
    <w:rsid w:val="00CE4D30"/>
    <w:rsid w:val="00CE4F50"/>
    <w:rsid w:val="00CE502A"/>
    <w:rsid w:val="00CE527C"/>
    <w:rsid w:val="00CE52D3"/>
    <w:rsid w:val="00CE5395"/>
    <w:rsid w:val="00CE5493"/>
    <w:rsid w:val="00CE55BF"/>
    <w:rsid w:val="00CE561E"/>
    <w:rsid w:val="00CE58B1"/>
    <w:rsid w:val="00CE5A45"/>
    <w:rsid w:val="00CE5D77"/>
    <w:rsid w:val="00CE5D89"/>
    <w:rsid w:val="00CE5DD3"/>
    <w:rsid w:val="00CE6228"/>
    <w:rsid w:val="00CE6290"/>
    <w:rsid w:val="00CE6297"/>
    <w:rsid w:val="00CE6393"/>
    <w:rsid w:val="00CE63D8"/>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0B4"/>
    <w:rsid w:val="00CF13B0"/>
    <w:rsid w:val="00CF141C"/>
    <w:rsid w:val="00CF150D"/>
    <w:rsid w:val="00CF1609"/>
    <w:rsid w:val="00CF169B"/>
    <w:rsid w:val="00CF18D8"/>
    <w:rsid w:val="00CF19C8"/>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97"/>
    <w:rsid w:val="00CF6AC7"/>
    <w:rsid w:val="00CF6B96"/>
    <w:rsid w:val="00CF6ED1"/>
    <w:rsid w:val="00CF6EEF"/>
    <w:rsid w:val="00CF7015"/>
    <w:rsid w:val="00CF720C"/>
    <w:rsid w:val="00CF751F"/>
    <w:rsid w:val="00CF756C"/>
    <w:rsid w:val="00CF7741"/>
    <w:rsid w:val="00CF783F"/>
    <w:rsid w:val="00CF7A37"/>
    <w:rsid w:val="00CF7A8F"/>
    <w:rsid w:val="00CF7B4D"/>
    <w:rsid w:val="00CF7B87"/>
    <w:rsid w:val="00CF7C21"/>
    <w:rsid w:val="00CF7D26"/>
    <w:rsid w:val="00CF7EDE"/>
    <w:rsid w:val="00D000AF"/>
    <w:rsid w:val="00D000CD"/>
    <w:rsid w:val="00D005FB"/>
    <w:rsid w:val="00D00658"/>
    <w:rsid w:val="00D0075C"/>
    <w:rsid w:val="00D0077A"/>
    <w:rsid w:val="00D00AE6"/>
    <w:rsid w:val="00D00B21"/>
    <w:rsid w:val="00D00F12"/>
    <w:rsid w:val="00D00F30"/>
    <w:rsid w:val="00D012A3"/>
    <w:rsid w:val="00D01399"/>
    <w:rsid w:val="00D01576"/>
    <w:rsid w:val="00D017ED"/>
    <w:rsid w:val="00D01FAC"/>
    <w:rsid w:val="00D020C7"/>
    <w:rsid w:val="00D02118"/>
    <w:rsid w:val="00D0219C"/>
    <w:rsid w:val="00D02474"/>
    <w:rsid w:val="00D02618"/>
    <w:rsid w:val="00D02657"/>
    <w:rsid w:val="00D0272B"/>
    <w:rsid w:val="00D0272F"/>
    <w:rsid w:val="00D03183"/>
    <w:rsid w:val="00D031A8"/>
    <w:rsid w:val="00D03935"/>
    <w:rsid w:val="00D03C36"/>
    <w:rsid w:val="00D03CAD"/>
    <w:rsid w:val="00D03CB8"/>
    <w:rsid w:val="00D03D7D"/>
    <w:rsid w:val="00D040D2"/>
    <w:rsid w:val="00D041FD"/>
    <w:rsid w:val="00D04345"/>
    <w:rsid w:val="00D04634"/>
    <w:rsid w:val="00D049ED"/>
    <w:rsid w:val="00D04C87"/>
    <w:rsid w:val="00D05240"/>
    <w:rsid w:val="00D05452"/>
    <w:rsid w:val="00D0551D"/>
    <w:rsid w:val="00D05C3A"/>
    <w:rsid w:val="00D05D09"/>
    <w:rsid w:val="00D05D91"/>
    <w:rsid w:val="00D05F0E"/>
    <w:rsid w:val="00D05FEB"/>
    <w:rsid w:val="00D0606B"/>
    <w:rsid w:val="00D0629B"/>
    <w:rsid w:val="00D06538"/>
    <w:rsid w:val="00D06A20"/>
    <w:rsid w:val="00D06B70"/>
    <w:rsid w:val="00D06CF3"/>
    <w:rsid w:val="00D06E72"/>
    <w:rsid w:val="00D07187"/>
    <w:rsid w:val="00D071AF"/>
    <w:rsid w:val="00D07264"/>
    <w:rsid w:val="00D072AC"/>
    <w:rsid w:val="00D07315"/>
    <w:rsid w:val="00D075C7"/>
    <w:rsid w:val="00D07694"/>
    <w:rsid w:val="00D079F8"/>
    <w:rsid w:val="00D07C97"/>
    <w:rsid w:val="00D07E06"/>
    <w:rsid w:val="00D10257"/>
    <w:rsid w:val="00D1042B"/>
    <w:rsid w:val="00D10527"/>
    <w:rsid w:val="00D1064B"/>
    <w:rsid w:val="00D1067B"/>
    <w:rsid w:val="00D10856"/>
    <w:rsid w:val="00D10880"/>
    <w:rsid w:val="00D109A0"/>
    <w:rsid w:val="00D10C0A"/>
    <w:rsid w:val="00D10C2B"/>
    <w:rsid w:val="00D1147D"/>
    <w:rsid w:val="00D11853"/>
    <w:rsid w:val="00D11ECB"/>
    <w:rsid w:val="00D11F7D"/>
    <w:rsid w:val="00D12501"/>
    <w:rsid w:val="00D12550"/>
    <w:rsid w:val="00D125AE"/>
    <w:rsid w:val="00D12774"/>
    <w:rsid w:val="00D1288E"/>
    <w:rsid w:val="00D128EC"/>
    <w:rsid w:val="00D129B9"/>
    <w:rsid w:val="00D12AF5"/>
    <w:rsid w:val="00D12BE5"/>
    <w:rsid w:val="00D12CAD"/>
    <w:rsid w:val="00D12DB1"/>
    <w:rsid w:val="00D132FF"/>
    <w:rsid w:val="00D134F6"/>
    <w:rsid w:val="00D1363D"/>
    <w:rsid w:val="00D13659"/>
    <w:rsid w:val="00D1392E"/>
    <w:rsid w:val="00D13B63"/>
    <w:rsid w:val="00D13C42"/>
    <w:rsid w:val="00D13C61"/>
    <w:rsid w:val="00D13CD2"/>
    <w:rsid w:val="00D13EBD"/>
    <w:rsid w:val="00D14AA8"/>
    <w:rsid w:val="00D14FF1"/>
    <w:rsid w:val="00D150AA"/>
    <w:rsid w:val="00D1536A"/>
    <w:rsid w:val="00D157D1"/>
    <w:rsid w:val="00D15A3C"/>
    <w:rsid w:val="00D15A61"/>
    <w:rsid w:val="00D15BA5"/>
    <w:rsid w:val="00D15BEF"/>
    <w:rsid w:val="00D15C36"/>
    <w:rsid w:val="00D15CB0"/>
    <w:rsid w:val="00D15EC1"/>
    <w:rsid w:val="00D15F2B"/>
    <w:rsid w:val="00D160FF"/>
    <w:rsid w:val="00D16306"/>
    <w:rsid w:val="00D167AB"/>
    <w:rsid w:val="00D168DE"/>
    <w:rsid w:val="00D1698E"/>
    <w:rsid w:val="00D16DE2"/>
    <w:rsid w:val="00D1701B"/>
    <w:rsid w:val="00D1706A"/>
    <w:rsid w:val="00D17116"/>
    <w:rsid w:val="00D17303"/>
    <w:rsid w:val="00D17589"/>
    <w:rsid w:val="00D17664"/>
    <w:rsid w:val="00D17669"/>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BB7"/>
    <w:rsid w:val="00D21F01"/>
    <w:rsid w:val="00D22041"/>
    <w:rsid w:val="00D220D2"/>
    <w:rsid w:val="00D2214A"/>
    <w:rsid w:val="00D22163"/>
    <w:rsid w:val="00D22648"/>
    <w:rsid w:val="00D227A9"/>
    <w:rsid w:val="00D22BD8"/>
    <w:rsid w:val="00D22BF7"/>
    <w:rsid w:val="00D22C2B"/>
    <w:rsid w:val="00D22F1C"/>
    <w:rsid w:val="00D22F5F"/>
    <w:rsid w:val="00D233D2"/>
    <w:rsid w:val="00D23512"/>
    <w:rsid w:val="00D23518"/>
    <w:rsid w:val="00D23E4C"/>
    <w:rsid w:val="00D24400"/>
    <w:rsid w:val="00D244EF"/>
    <w:rsid w:val="00D24583"/>
    <w:rsid w:val="00D245DD"/>
    <w:rsid w:val="00D247D2"/>
    <w:rsid w:val="00D247E7"/>
    <w:rsid w:val="00D2485B"/>
    <w:rsid w:val="00D24C79"/>
    <w:rsid w:val="00D24D5A"/>
    <w:rsid w:val="00D24F69"/>
    <w:rsid w:val="00D2525D"/>
    <w:rsid w:val="00D25553"/>
    <w:rsid w:val="00D25610"/>
    <w:rsid w:val="00D258E3"/>
    <w:rsid w:val="00D25AD6"/>
    <w:rsid w:val="00D25D4F"/>
    <w:rsid w:val="00D26028"/>
    <w:rsid w:val="00D26119"/>
    <w:rsid w:val="00D2626C"/>
    <w:rsid w:val="00D263BD"/>
    <w:rsid w:val="00D2696E"/>
    <w:rsid w:val="00D26AF9"/>
    <w:rsid w:val="00D274CD"/>
    <w:rsid w:val="00D27A98"/>
    <w:rsid w:val="00D27B5A"/>
    <w:rsid w:val="00D27FCA"/>
    <w:rsid w:val="00D30040"/>
    <w:rsid w:val="00D3005E"/>
    <w:rsid w:val="00D30100"/>
    <w:rsid w:val="00D30390"/>
    <w:rsid w:val="00D303C1"/>
    <w:rsid w:val="00D30711"/>
    <w:rsid w:val="00D309D7"/>
    <w:rsid w:val="00D30E9A"/>
    <w:rsid w:val="00D30EAB"/>
    <w:rsid w:val="00D30FBA"/>
    <w:rsid w:val="00D31232"/>
    <w:rsid w:val="00D31308"/>
    <w:rsid w:val="00D314A3"/>
    <w:rsid w:val="00D31802"/>
    <w:rsid w:val="00D325F8"/>
    <w:rsid w:val="00D32A31"/>
    <w:rsid w:val="00D32A5B"/>
    <w:rsid w:val="00D32AF1"/>
    <w:rsid w:val="00D32CBF"/>
    <w:rsid w:val="00D32CC0"/>
    <w:rsid w:val="00D331B9"/>
    <w:rsid w:val="00D33312"/>
    <w:rsid w:val="00D33341"/>
    <w:rsid w:val="00D3366D"/>
    <w:rsid w:val="00D33BE7"/>
    <w:rsid w:val="00D33DA0"/>
    <w:rsid w:val="00D33E39"/>
    <w:rsid w:val="00D34093"/>
    <w:rsid w:val="00D3409A"/>
    <w:rsid w:val="00D342A6"/>
    <w:rsid w:val="00D34704"/>
    <w:rsid w:val="00D348FB"/>
    <w:rsid w:val="00D34BCA"/>
    <w:rsid w:val="00D34E19"/>
    <w:rsid w:val="00D34F0F"/>
    <w:rsid w:val="00D34F2A"/>
    <w:rsid w:val="00D35029"/>
    <w:rsid w:val="00D3541A"/>
    <w:rsid w:val="00D3581F"/>
    <w:rsid w:val="00D35838"/>
    <w:rsid w:val="00D35901"/>
    <w:rsid w:val="00D35A9A"/>
    <w:rsid w:val="00D35B12"/>
    <w:rsid w:val="00D36026"/>
    <w:rsid w:val="00D36ACD"/>
    <w:rsid w:val="00D36DFF"/>
    <w:rsid w:val="00D3708D"/>
    <w:rsid w:val="00D371B6"/>
    <w:rsid w:val="00D37647"/>
    <w:rsid w:val="00D37736"/>
    <w:rsid w:val="00D37A38"/>
    <w:rsid w:val="00D4004E"/>
    <w:rsid w:val="00D400AC"/>
    <w:rsid w:val="00D404B4"/>
    <w:rsid w:val="00D408DE"/>
    <w:rsid w:val="00D40BCC"/>
    <w:rsid w:val="00D40D51"/>
    <w:rsid w:val="00D412B5"/>
    <w:rsid w:val="00D41753"/>
    <w:rsid w:val="00D41C35"/>
    <w:rsid w:val="00D4217B"/>
    <w:rsid w:val="00D42183"/>
    <w:rsid w:val="00D422B3"/>
    <w:rsid w:val="00D422D2"/>
    <w:rsid w:val="00D42597"/>
    <w:rsid w:val="00D42BC4"/>
    <w:rsid w:val="00D42CFA"/>
    <w:rsid w:val="00D42F28"/>
    <w:rsid w:val="00D42F4C"/>
    <w:rsid w:val="00D42F7C"/>
    <w:rsid w:val="00D4330F"/>
    <w:rsid w:val="00D43453"/>
    <w:rsid w:val="00D43689"/>
    <w:rsid w:val="00D439FB"/>
    <w:rsid w:val="00D43CA3"/>
    <w:rsid w:val="00D43F36"/>
    <w:rsid w:val="00D44129"/>
    <w:rsid w:val="00D4416C"/>
    <w:rsid w:val="00D441A6"/>
    <w:rsid w:val="00D4424D"/>
    <w:rsid w:val="00D44277"/>
    <w:rsid w:val="00D44419"/>
    <w:rsid w:val="00D444EC"/>
    <w:rsid w:val="00D44616"/>
    <w:rsid w:val="00D44946"/>
    <w:rsid w:val="00D45029"/>
    <w:rsid w:val="00D450E5"/>
    <w:rsid w:val="00D45217"/>
    <w:rsid w:val="00D45B73"/>
    <w:rsid w:val="00D4658C"/>
    <w:rsid w:val="00D466E0"/>
    <w:rsid w:val="00D46933"/>
    <w:rsid w:val="00D46A8A"/>
    <w:rsid w:val="00D46B71"/>
    <w:rsid w:val="00D47007"/>
    <w:rsid w:val="00D47015"/>
    <w:rsid w:val="00D4704F"/>
    <w:rsid w:val="00D47164"/>
    <w:rsid w:val="00D47229"/>
    <w:rsid w:val="00D472E5"/>
    <w:rsid w:val="00D473C7"/>
    <w:rsid w:val="00D47647"/>
    <w:rsid w:val="00D476D7"/>
    <w:rsid w:val="00D476F5"/>
    <w:rsid w:val="00D47731"/>
    <w:rsid w:val="00D47B00"/>
    <w:rsid w:val="00D47B3A"/>
    <w:rsid w:val="00D47B3E"/>
    <w:rsid w:val="00D47D09"/>
    <w:rsid w:val="00D47E3F"/>
    <w:rsid w:val="00D47E66"/>
    <w:rsid w:val="00D5018C"/>
    <w:rsid w:val="00D50241"/>
    <w:rsid w:val="00D50435"/>
    <w:rsid w:val="00D50447"/>
    <w:rsid w:val="00D507C5"/>
    <w:rsid w:val="00D508FA"/>
    <w:rsid w:val="00D50B53"/>
    <w:rsid w:val="00D50FBC"/>
    <w:rsid w:val="00D50FF7"/>
    <w:rsid w:val="00D512E0"/>
    <w:rsid w:val="00D51316"/>
    <w:rsid w:val="00D5137A"/>
    <w:rsid w:val="00D513EA"/>
    <w:rsid w:val="00D515B3"/>
    <w:rsid w:val="00D5212F"/>
    <w:rsid w:val="00D52471"/>
    <w:rsid w:val="00D52504"/>
    <w:rsid w:val="00D5256E"/>
    <w:rsid w:val="00D52572"/>
    <w:rsid w:val="00D527C8"/>
    <w:rsid w:val="00D52BE7"/>
    <w:rsid w:val="00D52C5C"/>
    <w:rsid w:val="00D52CB0"/>
    <w:rsid w:val="00D52F40"/>
    <w:rsid w:val="00D52FFF"/>
    <w:rsid w:val="00D5304A"/>
    <w:rsid w:val="00D53531"/>
    <w:rsid w:val="00D53960"/>
    <w:rsid w:val="00D53F16"/>
    <w:rsid w:val="00D53F1E"/>
    <w:rsid w:val="00D5422B"/>
    <w:rsid w:val="00D54232"/>
    <w:rsid w:val="00D54320"/>
    <w:rsid w:val="00D54538"/>
    <w:rsid w:val="00D54890"/>
    <w:rsid w:val="00D54ACF"/>
    <w:rsid w:val="00D54C58"/>
    <w:rsid w:val="00D55145"/>
    <w:rsid w:val="00D552DD"/>
    <w:rsid w:val="00D559BB"/>
    <w:rsid w:val="00D55BD1"/>
    <w:rsid w:val="00D55C31"/>
    <w:rsid w:val="00D55E51"/>
    <w:rsid w:val="00D55EFD"/>
    <w:rsid w:val="00D561E7"/>
    <w:rsid w:val="00D566D5"/>
    <w:rsid w:val="00D568C6"/>
    <w:rsid w:val="00D56AF9"/>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58B"/>
    <w:rsid w:val="00D6065A"/>
    <w:rsid w:val="00D60820"/>
    <w:rsid w:val="00D60A2A"/>
    <w:rsid w:val="00D60A9C"/>
    <w:rsid w:val="00D60BA1"/>
    <w:rsid w:val="00D60BC2"/>
    <w:rsid w:val="00D60DFE"/>
    <w:rsid w:val="00D60EB0"/>
    <w:rsid w:val="00D61176"/>
    <w:rsid w:val="00D61357"/>
    <w:rsid w:val="00D6140A"/>
    <w:rsid w:val="00D614AB"/>
    <w:rsid w:val="00D61AFA"/>
    <w:rsid w:val="00D61F07"/>
    <w:rsid w:val="00D61F48"/>
    <w:rsid w:val="00D620CA"/>
    <w:rsid w:val="00D62187"/>
    <w:rsid w:val="00D62280"/>
    <w:rsid w:val="00D62623"/>
    <w:rsid w:val="00D62719"/>
    <w:rsid w:val="00D62906"/>
    <w:rsid w:val="00D629C1"/>
    <w:rsid w:val="00D62E98"/>
    <w:rsid w:val="00D630D1"/>
    <w:rsid w:val="00D633CE"/>
    <w:rsid w:val="00D63491"/>
    <w:rsid w:val="00D63B3A"/>
    <w:rsid w:val="00D63C48"/>
    <w:rsid w:val="00D63CF3"/>
    <w:rsid w:val="00D63E7F"/>
    <w:rsid w:val="00D64038"/>
    <w:rsid w:val="00D64090"/>
    <w:rsid w:val="00D64214"/>
    <w:rsid w:val="00D644A4"/>
    <w:rsid w:val="00D646A7"/>
    <w:rsid w:val="00D64862"/>
    <w:rsid w:val="00D648FD"/>
    <w:rsid w:val="00D64CE0"/>
    <w:rsid w:val="00D651C7"/>
    <w:rsid w:val="00D652EF"/>
    <w:rsid w:val="00D6530B"/>
    <w:rsid w:val="00D65376"/>
    <w:rsid w:val="00D6539B"/>
    <w:rsid w:val="00D6553F"/>
    <w:rsid w:val="00D65602"/>
    <w:rsid w:val="00D6590F"/>
    <w:rsid w:val="00D65C1A"/>
    <w:rsid w:val="00D65DC6"/>
    <w:rsid w:val="00D65E41"/>
    <w:rsid w:val="00D65F8D"/>
    <w:rsid w:val="00D660E9"/>
    <w:rsid w:val="00D66457"/>
    <w:rsid w:val="00D66471"/>
    <w:rsid w:val="00D664A4"/>
    <w:rsid w:val="00D665AB"/>
    <w:rsid w:val="00D66A88"/>
    <w:rsid w:val="00D67021"/>
    <w:rsid w:val="00D67192"/>
    <w:rsid w:val="00D67371"/>
    <w:rsid w:val="00D67427"/>
    <w:rsid w:val="00D678C5"/>
    <w:rsid w:val="00D67B0F"/>
    <w:rsid w:val="00D67EC3"/>
    <w:rsid w:val="00D67F8D"/>
    <w:rsid w:val="00D7024C"/>
    <w:rsid w:val="00D702BD"/>
    <w:rsid w:val="00D7059A"/>
    <w:rsid w:val="00D71830"/>
    <w:rsid w:val="00D71911"/>
    <w:rsid w:val="00D71F77"/>
    <w:rsid w:val="00D72235"/>
    <w:rsid w:val="00D72D16"/>
    <w:rsid w:val="00D72E8F"/>
    <w:rsid w:val="00D72F4F"/>
    <w:rsid w:val="00D72F55"/>
    <w:rsid w:val="00D72F94"/>
    <w:rsid w:val="00D73082"/>
    <w:rsid w:val="00D7310A"/>
    <w:rsid w:val="00D73131"/>
    <w:rsid w:val="00D7313B"/>
    <w:rsid w:val="00D73A0C"/>
    <w:rsid w:val="00D73CB8"/>
    <w:rsid w:val="00D73F95"/>
    <w:rsid w:val="00D7406F"/>
    <w:rsid w:val="00D7410D"/>
    <w:rsid w:val="00D7419B"/>
    <w:rsid w:val="00D742DC"/>
    <w:rsid w:val="00D74565"/>
    <w:rsid w:val="00D74775"/>
    <w:rsid w:val="00D74792"/>
    <w:rsid w:val="00D74BBD"/>
    <w:rsid w:val="00D74DDD"/>
    <w:rsid w:val="00D75067"/>
    <w:rsid w:val="00D75842"/>
    <w:rsid w:val="00D75B99"/>
    <w:rsid w:val="00D75D1D"/>
    <w:rsid w:val="00D75DAA"/>
    <w:rsid w:val="00D75E1F"/>
    <w:rsid w:val="00D75E99"/>
    <w:rsid w:val="00D760B0"/>
    <w:rsid w:val="00D760D7"/>
    <w:rsid w:val="00D761AA"/>
    <w:rsid w:val="00D761D6"/>
    <w:rsid w:val="00D7632E"/>
    <w:rsid w:val="00D76376"/>
    <w:rsid w:val="00D76641"/>
    <w:rsid w:val="00D76A40"/>
    <w:rsid w:val="00D76BA4"/>
    <w:rsid w:val="00D76C86"/>
    <w:rsid w:val="00D770EA"/>
    <w:rsid w:val="00D77479"/>
    <w:rsid w:val="00D77A60"/>
    <w:rsid w:val="00D77B27"/>
    <w:rsid w:val="00D77C48"/>
    <w:rsid w:val="00D80410"/>
    <w:rsid w:val="00D804FA"/>
    <w:rsid w:val="00D80612"/>
    <w:rsid w:val="00D80684"/>
    <w:rsid w:val="00D80A00"/>
    <w:rsid w:val="00D80DDA"/>
    <w:rsid w:val="00D80F79"/>
    <w:rsid w:val="00D811B3"/>
    <w:rsid w:val="00D814C7"/>
    <w:rsid w:val="00D815AE"/>
    <w:rsid w:val="00D816A8"/>
    <w:rsid w:val="00D817FF"/>
    <w:rsid w:val="00D81864"/>
    <w:rsid w:val="00D81F6D"/>
    <w:rsid w:val="00D8214E"/>
    <w:rsid w:val="00D8222B"/>
    <w:rsid w:val="00D8238F"/>
    <w:rsid w:val="00D82460"/>
    <w:rsid w:val="00D8246E"/>
    <w:rsid w:val="00D824DF"/>
    <w:rsid w:val="00D82972"/>
    <w:rsid w:val="00D82A66"/>
    <w:rsid w:val="00D82AAF"/>
    <w:rsid w:val="00D82D76"/>
    <w:rsid w:val="00D82EA1"/>
    <w:rsid w:val="00D82FCE"/>
    <w:rsid w:val="00D83068"/>
    <w:rsid w:val="00D830F2"/>
    <w:rsid w:val="00D83309"/>
    <w:rsid w:val="00D8349E"/>
    <w:rsid w:val="00D83713"/>
    <w:rsid w:val="00D8410B"/>
    <w:rsid w:val="00D84165"/>
    <w:rsid w:val="00D841A0"/>
    <w:rsid w:val="00D843E5"/>
    <w:rsid w:val="00D846E2"/>
    <w:rsid w:val="00D846E4"/>
    <w:rsid w:val="00D84CA6"/>
    <w:rsid w:val="00D84F4B"/>
    <w:rsid w:val="00D85150"/>
    <w:rsid w:val="00D856AD"/>
    <w:rsid w:val="00D85AD3"/>
    <w:rsid w:val="00D85FBB"/>
    <w:rsid w:val="00D8673A"/>
    <w:rsid w:val="00D86758"/>
    <w:rsid w:val="00D86A3F"/>
    <w:rsid w:val="00D86A75"/>
    <w:rsid w:val="00D86C9F"/>
    <w:rsid w:val="00D86D0E"/>
    <w:rsid w:val="00D86E34"/>
    <w:rsid w:val="00D87062"/>
    <w:rsid w:val="00D870A2"/>
    <w:rsid w:val="00D87151"/>
    <w:rsid w:val="00D8769F"/>
    <w:rsid w:val="00D876BA"/>
    <w:rsid w:val="00D87EF8"/>
    <w:rsid w:val="00D90035"/>
    <w:rsid w:val="00D90308"/>
    <w:rsid w:val="00D9064A"/>
    <w:rsid w:val="00D90C39"/>
    <w:rsid w:val="00D90E51"/>
    <w:rsid w:val="00D90F46"/>
    <w:rsid w:val="00D91045"/>
    <w:rsid w:val="00D9105F"/>
    <w:rsid w:val="00D9121F"/>
    <w:rsid w:val="00D913DA"/>
    <w:rsid w:val="00D91BA7"/>
    <w:rsid w:val="00D91F31"/>
    <w:rsid w:val="00D91FD2"/>
    <w:rsid w:val="00D92082"/>
    <w:rsid w:val="00D920FE"/>
    <w:rsid w:val="00D922F3"/>
    <w:rsid w:val="00D9262A"/>
    <w:rsid w:val="00D92AD6"/>
    <w:rsid w:val="00D92C01"/>
    <w:rsid w:val="00D92EF8"/>
    <w:rsid w:val="00D93422"/>
    <w:rsid w:val="00D93497"/>
    <w:rsid w:val="00D937D7"/>
    <w:rsid w:val="00D939D2"/>
    <w:rsid w:val="00D93E0F"/>
    <w:rsid w:val="00D93F27"/>
    <w:rsid w:val="00D93FCC"/>
    <w:rsid w:val="00D943C2"/>
    <w:rsid w:val="00D946CB"/>
    <w:rsid w:val="00D946EA"/>
    <w:rsid w:val="00D946F6"/>
    <w:rsid w:val="00D94735"/>
    <w:rsid w:val="00D9477E"/>
    <w:rsid w:val="00D94A8C"/>
    <w:rsid w:val="00D94B87"/>
    <w:rsid w:val="00D94DE9"/>
    <w:rsid w:val="00D95763"/>
    <w:rsid w:val="00D95793"/>
    <w:rsid w:val="00D95968"/>
    <w:rsid w:val="00D95D2A"/>
    <w:rsid w:val="00D95E34"/>
    <w:rsid w:val="00D962E6"/>
    <w:rsid w:val="00D96543"/>
    <w:rsid w:val="00D966F9"/>
    <w:rsid w:val="00D96702"/>
    <w:rsid w:val="00D97232"/>
    <w:rsid w:val="00D97320"/>
    <w:rsid w:val="00D97368"/>
    <w:rsid w:val="00D97377"/>
    <w:rsid w:val="00D97492"/>
    <w:rsid w:val="00D97536"/>
    <w:rsid w:val="00D97708"/>
    <w:rsid w:val="00D97F63"/>
    <w:rsid w:val="00DA0060"/>
    <w:rsid w:val="00DA0127"/>
    <w:rsid w:val="00DA015A"/>
    <w:rsid w:val="00DA06F6"/>
    <w:rsid w:val="00DA0751"/>
    <w:rsid w:val="00DA0921"/>
    <w:rsid w:val="00DA0923"/>
    <w:rsid w:val="00DA0A67"/>
    <w:rsid w:val="00DA1005"/>
    <w:rsid w:val="00DA1008"/>
    <w:rsid w:val="00DA1080"/>
    <w:rsid w:val="00DA162F"/>
    <w:rsid w:val="00DA1801"/>
    <w:rsid w:val="00DA19C9"/>
    <w:rsid w:val="00DA1A09"/>
    <w:rsid w:val="00DA1A91"/>
    <w:rsid w:val="00DA1D2A"/>
    <w:rsid w:val="00DA232E"/>
    <w:rsid w:val="00DA243C"/>
    <w:rsid w:val="00DA24BD"/>
    <w:rsid w:val="00DA267A"/>
    <w:rsid w:val="00DA2785"/>
    <w:rsid w:val="00DA29D1"/>
    <w:rsid w:val="00DA2D30"/>
    <w:rsid w:val="00DA2D7E"/>
    <w:rsid w:val="00DA2DD9"/>
    <w:rsid w:val="00DA2DFB"/>
    <w:rsid w:val="00DA3380"/>
    <w:rsid w:val="00DA34CD"/>
    <w:rsid w:val="00DA3CCF"/>
    <w:rsid w:val="00DA3F09"/>
    <w:rsid w:val="00DA4009"/>
    <w:rsid w:val="00DA420D"/>
    <w:rsid w:val="00DA46A9"/>
    <w:rsid w:val="00DA4876"/>
    <w:rsid w:val="00DA48CA"/>
    <w:rsid w:val="00DA4960"/>
    <w:rsid w:val="00DA4A11"/>
    <w:rsid w:val="00DA4D90"/>
    <w:rsid w:val="00DA4DEB"/>
    <w:rsid w:val="00DA4E47"/>
    <w:rsid w:val="00DA51D0"/>
    <w:rsid w:val="00DA52AB"/>
    <w:rsid w:val="00DA54C0"/>
    <w:rsid w:val="00DA5535"/>
    <w:rsid w:val="00DA5578"/>
    <w:rsid w:val="00DA565E"/>
    <w:rsid w:val="00DA58B8"/>
    <w:rsid w:val="00DA5B05"/>
    <w:rsid w:val="00DA5E06"/>
    <w:rsid w:val="00DA5E2E"/>
    <w:rsid w:val="00DA5FA7"/>
    <w:rsid w:val="00DA6105"/>
    <w:rsid w:val="00DA610E"/>
    <w:rsid w:val="00DA6188"/>
    <w:rsid w:val="00DA6676"/>
    <w:rsid w:val="00DA68FD"/>
    <w:rsid w:val="00DA6ABC"/>
    <w:rsid w:val="00DA6D92"/>
    <w:rsid w:val="00DA6FB9"/>
    <w:rsid w:val="00DA71A7"/>
    <w:rsid w:val="00DA736B"/>
    <w:rsid w:val="00DA74D9"/>
    <w:rsid w:val="00DA762D"/>
    <w:rsid w:val="00DA7849"/>
    <w:rsid w:val="00DA7DE9"/>
    <w:rsid w:val="00DB019B"/>
    <w:rsid w:val="00DB0257"/>
    <w:rsid w:val="00DB04F9"/>
    <w:rsid w:val="00DB0502"/>
    <w:rsid w:val="00DB07C7"/>
    <w:rsid w:val="00DB0801"/>
    <w:rsid w:val="00DB082B"/>
    <w:rsid w:val="00DB0921"/>
    <w:rsid w:val="00DB0943"/>
    <w:rsid w:val="00DB09ED"/>
    <w:rsid w:val="00DB0C0F"/>
    <w:rsid w:val="00DB0FE7"/>
    <w:rsid w:val="00DB10B6"/>
    <w:rsid w:val="00DB1167"/>
    <w:rsid w:val="00DB1262"/>
    <w:rsid w:val="00DB134C"/>
    <w:rsid w:val="00DB159B"/>
    <w:rsid w:val="00DB161A"/>
    <w:rsid w:val="00DB1623"/>
    <w:rsid w:val="00DB16B6"/>
    <w:rsid w:val="00DB1A92"/>
    <w:rsid w:val="00DB1DB4"/>
    <w:rsid w:val="00DB2172"/>
    <w:rsid w:val="00DB223F"/>
    <w:rsid w:val="00DB2293"/>
    <w:rsid w:val="00DB2586"/>
    <w:rsid w:val="00DB27A7"/>
    <w:rsid w:val="00DB2B9F"/>
    <w:rsid w:val="00DB2D00"/>
    <w:rsid w:val="00DB2D43"/>
    <w:rsid w:val="00DB302B"/>
    <w:rsid w:val="00DB32A9"/>
    <w:rsid w:val="00DB33B6"/>
    <w:rsid w:val="00DB35ED"/>
    <w:rsid w:val="00DB3743"/>
    <w:rsid w:val="00DB37E1"/>
    <w:rsid w:val="00DB3842"/>
    <w:rsid w:val="00DB3A2B"/>
    <w:rsid w:val="00DB3AC1"/>
    <w:rsid w:val="00DB3DEB"/>
    <w:rsid w:val="00DB3E0C"/>
    <w:rsid w:val="00DB3FE3"/>
    <w:rsid w:val="00DB402B"/>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3A"/>
    <w:rsid w:val="00DB61F3"/>
    <w:rsid w:val="00DB6217"/>
    <w:rsid w:val="00DB63BA"/>
    <w:rsid w:val="00DB6418"/>
    <w:rsid w:val="00DB6502"/>
    <w:rsid w:val="00DB652D"/>
    <w:rsid w:val="00DB6764"/>
    <w:rsid w:val="00DB6908"/>
    <w:rsid w:val="00DB6BED"/>
    <w:rsid w:val="00DB6D71"/>
    <w:rsid w:val="00DB6DCA"/>
    <w:rsid w:val="00DB709E"/>
    <w:rsid w:val="00DB7298"/>
    <w:rsid w:val="00DB72E5"/>
    <w:rsid w:val="00DB7482"/>
    <w:rsid w:val="00DB76ED"/>
    <w:rsid w:val="00DB79E2"/>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57"/>
    <w:rsid w:val="00DC1AA9"/>
    <w:rsid w:val="00DC1B15"/>
    <w:rsid w:val="00DC1BE5"/>
    <w:rsid w:val="00DC1CF8"/>
    <w:rsid w:val="00DC1DE1"/>
    <w:rsid w:val="00DC1FAA"/>
    <w:rsid w:val="00DC21D6"/>
    <w:rsid w:val="00DC2200"/>
    <w:rsid w:val="00DC2389"/>
    <w:rsid w:val="00DC2638"/>
    <w:rsid w:val="00DC2697"/>
    <w:rsid w:val="00DC26A0"/>
    <w:rsid w:val="00DC2D29"/>
    <w:rsid w:val="00DC2D4E"/>
    <w:rsid w:val="00DC31ED"/>
    <w:rsid w:val="00DC3599"/>
    <w:rsid w:val="00DC3658"/>
    <w:rsid w:val="00DC3C29"/>
    <w:rsid w:val="00DC3F53"/>
    <w:rsid w:val="00DC400D"/>
    <w:rsid w:val="00DC404D"/>
    <w:rsid w:val="00DC421C"/>
    <w:rsid w:val="00DC454A"/>
    <w:rsid w:val="00DC45B5"/>
    <w:rsid w:val="00DC45F2"/>
    <w:rsid w:val="00DC4726"/>
    <w:rsid w:val="00DC47E2"/>
    <w:rsid w:val="00DC49C0"/>
    <w:rsid w:val="00DC4A82"/>
    <w:rsid w:val="00DC4BBB"/>
    <w:rsid w:val="00DC4C1B"/>
    <w:rsid w:val="00DC4E8A"/>
    <w:rsid w:val="00DC4F31"/>
    <w:rsid w:val="00DC500B"/>
    <w:rsid w:val="00DC5088"/>
    <w:rsid w:val="00DC524E"/>
    <w:rsid w:val="00DC52B2"/>
    <w:rsid w:val="00DC542D"/>
    <w:rsid w:val="00DC55DC"/>
    <w:rsid w:val="00DC5879"/>
    <w:rsid w:val="00DC5881"/>
    <w:rsid w:val="00DC590D"/>
    <w:rsid w:val="00DC5ABA"/>
    <w:rsid w:val="00DC5CCB"/>
    <w:rsid w:val="00DC5D13"/>
    <w:rsid w:val="00DC5D1B"/>
    <w:rsid w:val="00DC60B1"/>
    <w:rsid w:val="00DC6243"/>
    <w:rsid w:val="00DC639D"/>
    <w:rsid w:val="00DC6714"/>
    <w:rsid w:val="00DC6773"/>
    <w:rsid w:val="00DC6CFE"/>
    <w:rsid w:val="00DC70C4"/>
    <w:rsid w:val="00DC7195"/>
    <w:rsid w:val="00DC733F"/>
    <w:rsid w:val="00DC7490"/>
    <w:rsid w:val="00DC7542"/>
    <w:rsid w:val="00DC7783"/>
    <w:rsid w:val="00DC7A16"/>
    <w:rsid w:val="00DC7AAD"/>
    <w:rsid w:val="00DC7C75"/>
    <w:rsid w:val="00DC7D7C"/>
    <w:rsid w:val="00DC7E7D"/>
    <w:rsid w:val="00DC7ED2"/>
    <w:rsid w:val="00DD00AC"/>
    <w:rsid w:val="00DD00C4"/>
    <w:rsid w:val="00DD01D3"/>
    <w:rsid w:val="00DD01F4"/>
    <w:rsid w:val="00DD0264"/>
    <w:rsid w:val="00DD0338"/>
    <w:rsid w:val="00DD03D3"/>
    <w:rsid w:val="00DD0510"/>
    <w:rsid w:val="00DD05E4"/>
    <w:rsid w:val="00DD07EF"/>
    <w:rsid w:val="00DD0D39"/>
    <w:rsid w:val="00DD0F86"/>
    <w:rsid w:val="00DD1588"/>
    <w:rsid w:val="00DD180A"/>
    <w:rsid w:val="00DD1975"/>
    <w:rsid w:val="00DD19DE"/>
    <w:rsid w:val="00DD1A15"/>
    <w:rsid w:val="00DD1A90"/>
    <w:rsid w:val="00DD1B69"/>
    <w:rsid w:val="00DD1C7C"/>
    <w:rsid w:val="00DD1D96"/>
    <w:rsid w:val="00DD2055"/>
    <w:rsid w:val="00DD20F4"/>
    <w:rsid w:val="00DD2196"/>
    <w:rsid w:val="00DD22ED"/>
    <w:rsid w:val="00DD2C6B"/>
    <w:rsid w:val="00DD309D"/>
    <w:rsid w:val="00DD31CE"/>
    <w:rsid w:val="00DD326A"/>
    <w:rsid w:val="00DD32F0"/>
    <w:rsid w:val="00DD3328"/>
    <w:rsid w:val="00DD3399"/>
    <w:rsid w:val="00DD3429"/>
    <w:rsid w:val="00DD394B"/>
    <w:rsid w:val="00DD3C5E"/>
    <w:rsid w:val="00DD3E57"/>
    <w:rsid w:val="00DD4062"/>
    <w:rsid w:val="00DD40DE"/>
    <w:rsid w:val="00DD40F9"/>
    <w:rsid w:val="00DD43CF"/>
    <w:rsid w:val="00DD43D6"/>
    <w:rsid w:val="00DD4427"/>
    <w:rsid w:val="00DD45BA"/>
    <w:rsid w:val="00DD4710"/>
    <w:rsid w:val="00DD4865"/>
    <w:rsid w:val="00DD55E0"/>
    <w:rsid w:val="00DD5681"/>
    <w:rsid w:val="00DD5740"/>
    <w:rsid w:val="00DD59AA"/>
    <w:rsid w:val="00DD5AF2"/>
    <w:rsid w:val="00DD5D85"/>
    <w:rsid w:val="00DD620C"/>
    <w:rsid w:val="00DD67DC"/>
    <w:rsid w:val="00DD6EB8"/>
    <w:rsid w:val="00DD7296"/>
    <w:rsid w:val="00DD7379"/>
    <w:rsid w:val="00DD7469"/>
    <w:rsid w:val="00DD75E3"/>
    <w:rsid w:val="00DD75F4"/>
    <w:rsid w:val="00DD7629"/>
    <w:rsid w:val="00DD7635"/>
    <w:rsid w:val="00DD7648"/>
    <w:rsid w:val="00DD7962"/>
    <w:rsid w:val="00DD79F7"/>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3E48"/>
    <w:rsid w:val="00DE3EB6"/>
    <w:rsid w:val="00DE4094"/>
    <w:rsid w:val="00DE40C1"/>
    <w:rsid w:val="00DE4134"/>
    <w:rsid w:val="00DE4176"/>
    <w:rsid w:val="00DE43AD"/>
    <w:rsid w:val="00DE4629"/>
    <w:rsid w:val="00DE4633"/>
    <w:rsid w:val="00DE4A7F"/>
    <w:rsid w:val="00DE4BDF"/>
    <w:rsid w:val="00DE4C73"/>
    <w:rsid w:val="00DE4EF2"/>
    <w:rsid w:val="00DE4F27"/>
    <w:rsid w:val="00DE50D8"/>
    <w:rsid w:val="00DE5241"/>
    <w:rsid w:val="00DE53E0"/>
    <w:rsid w:val="00DE55A3"/>
    <w:rsid w:val="00DE55FC"/>
    <w:rsid w:val="00DE582B"/>
    <w:rsid w:val="00DE59ED"/>
    <w:rsid w:val="00DE5A30"/>
    <w:rsid w:val="00DE5D3F"/>
    <w:rsid w:val="00DE6136"/>
    <w:rsid w:val="00DE61B7"/>
    <w:rsid w:val="00DE61DD"/>
    <w:rsid w:val="00DE61E0"/>
    <w:rsid w:val="00DE626B"/>
    <w:rsid w:val="00DE6383"/>
    <w:rsid w:val="00DE6689"/>
    <w:rsid w:val="00DE6A2D"/>
    <w:rsid w:val="00DE6C97"/>
    <w:rsid w:val="00DE6DD3"/>
    <w:rsid w:val="00DE70AE"/>
    <w:rsid w:val="00DE718B"/>
    <w:rsid w:val="00DE72A8"/>
    <w:rsid w:val="00DE742A"/>
    <w:rsid w:val="00DE7BB1"/>
    <w:rsid w:val="00DE7BD2"/>
    <w:rsid w:val="00DE7F83"/>
    <w:rsid w:val="00DF0397"/>
    <w:rsid w:val="00DF0776"/>
    <w:rsid w:val="00DF0852"/>
    <w:rsid w:val="00DF0883"/>
    <w:rsid w:val="00DF08A3"/>
    <w:rsid w:val="00DF0B38"/>
    <w:rsid w:val="00DF11CE"/>
    <w:rsid w:val="00DF11DE"/>
    <w:rsid w:val="00DF1631"/>
    <w:rsid w:val="00DF1677"/>
    <w:rsid w:val="00DF16F6"/>
    <w:rsid w:val="00DF1891"/>
    <w:rsid w:val="00DF1A2C"/>
    <w:rsid w:val="00DF1A4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531"/>
    <w:rsid w:val="00DF44B2"/>
    <w:rsid w:val="00DF4640"/>
    <w:rsid w:val="00DF4759"/>
    <w:rsid w:val="00DF487E"/>
    <w:rsid w:val="00DF4892"/>
    <w:rsid w:val="00DF4E0B"/>
    <w:rsid w:val="00DF532F"/>
    <w:rsid w:val="00DF5396"/>
    <w:rsid w:val="00DF55FC"/>
    <w:rsid w:val="00DF5630"/>
    <w:rsid w:val="00DF595A"/>
    <w:rsid w:val="00DF59F7"/>
    <w:rsid w:val="00DF5D13"/>
    <w:rsid w:val="00DF5E22"/>
    <w:rsid w:val="00DF5E6F"/>
    <w:rsid w:val="00DF6013"/>
    <w:rsid w:val="00DF6107"/>
    <w:rsid w:val="00DF61A5"/>
    <w:rsid w:val="00DF6397"/>
    <w:rsid w:val="00DF6567"/>
    <w:rsid w:val="00DF69B6"/>
    <w:rsid w:val="00DF6D37"/>
    <w:rsid w:val="00DF778B"/>
    <w:rsid w:val="00DF77F0"/>
    <w:rsid w:val="00DF789B"/>
    <w:rsid w:val="00DF798E"/>
    <w:rsid w:val="00DF7B18"/>
    <w:rsid w:val="00DF7B51"/>
    <w:rsid w:val="00DF7C98"/>
    <w:rsid w:val="00DF7D3E"/>
    <w:rsid w:val="00DF7D7B"/>
    <w:rsid w:val="00DF7F2E"/>
    <w:rsid w:val="00DF7FE2"/>
    <w:rsid w:val="00DF7FEC"/>
    <w:rsid w:val="00E00082"/>
    <w:rsid w:val="00E009E5"/>
    <w:rsid w:val="00E00BC3"/>
    <w:rsid w:val="00E00C04"/>
    <w:rsid w:val="00E01087"/>
    <w:rsid w:val="00E011C5"/>
    <w:rsid w:val="00E011EE"/>
    <w:rsid w:val="00E016F0"/>
    <w:rsid w:val="00E017B8"/>
    <w:rsid w:val="00E01921"/>
    <w:rsid w:val="00E019AA"/>
    <w:rsid w:val="00E01C26"/>
    <w:rsid w:val="00E01EAF"/>
    <w:rsid w:val="00E02019"/>
    <w:rsid w:val="00E02061"/>
    <w:rsid w:val="00E021A0"/>
    <w:rsid w:val="00E02238"/>
    <w:rsid w:val="00E0237D"/>
    <w:rsid w:val="00E026B2"/>
    <w:rsid w:val="00E029C9"/>
    <w:rsid w:val="00E02B8E"/>
    <w:rsid w:val="00E02BF7"/>
    <w:rsid w:val="00E02DBA"/>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A12"/>
    <w:rsid w:val="00E05BDA"/>
    <w:rsid w:val="00E05E09"/>
    <w:rsid w:val="00E05EF3"/>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842"/>
    <w:rsid w:val="00E07A34"/>
    <w:rsid w:val="00E07D96"/>
    <w:rsid w:val="00E1000F"/>
    <w:rsid w:val="00E10181"/>
    <w:rsid w:val="00E10819"/>
    <w:rsid w:val="00E108AC"/>
    <w:rsid w:val="00E10B79"/>
    <w:rsid w:val="00E11160"/>
    <w:rsid w:val="00E11186"/>
    <w:rsid w:val="00E11493"/>
    <w:rsid w:val="00E11796"/>
    <w:rsid w:val="00E118EA"/>
    <w:rsid w:val="00E11A6D"/>
    <w:rsid w:val="00E11EA5"/>
    <w:rsid w:val="00E11F17"/>
    <w:rsid w:val="00E125F7"/>
    <w:rsid w:val="00E126FC"/>
    <w:rsid w:val="00E1288D"/>
    <w:rsid w:val="00E129B3"/>
    <w:rsid w:val="00E12A72"/>
    <w:rsid w:val="00E12AFE"/>
    <w:rsid w:val="00E12FD7"/>
    <w:rsid w:val="00E1307B"/>
    <w:rsid w:val="00E130F1"/>
    <w:rsid w:val="00E1321A"/>
    <w:rsid w:val="00E13723"/>
    <w:rsid w:val="00E1398F"/>
    <w:rsid w:val="00E13B9F"/>
    <w:rsid w:val="00E13C8F"/>
    <w:rsid w:val="00E13D10"/>
    <w:rsid w:val="00E13ED4"/>
    <w:rsid w:val="00E14264"/>
    <w:rsid w:val="00E14573"/>
    <w:rsid w:val="00E1486B"/>
    <w:rsid w:val="00E148EB"/>
    <w:rsid w:val="00E149AF"/>
    <w:rsid w:val="00E14C24"/>
    <w:rsid w:val="00E14D47"/>
    <w:rsid w:val="00E14D81"/>
    <w:rsid w:val="00E14F14"/>
    <w:rsid w:val="00E15580"/>
    <w:rsid w:val="00E1572B"/>
    <w:rsid w:val="00E1583C"/>
    <w:rsid w:val="00E15884"/>
    <w:rsid w:val="00E1597B"/>
    <w:rsid w:val="00E15C34"/>
    <w:rsid w:val="00E15C64"/>
    <w:rsid w:val="00E15F31"/>
    <w:rsid w:val="00E16248"/>
    <w:rsid w:val="00E16390"/>
    <w:rsid w:val="00E164AF"/>
    <w:rsid w:val="00E16545"/>
    <w:rsid w:val="00E16B84"/>
    <w:rsid w:val="00E16BA4"/>
    <w:rsid w:val="00E16BE9"/>
    <w:rsid w:val="00E16CB7"/>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ACD"/>
    <w:rsid w:val="00E20B2D"/>
    <w:rsid w:val="00E20B72"/>
    <w:rsid w:val="00E20B8B"/>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4BC"/>
    <w:rsid w:val="00E2379C"/>
    <w:rsid w:val="00E23950"/>
    <w:rsid w:val="00E23DDC"/>
    <w:rsid w:val="00E23E82"/>
    <w:rsid w:val="00E24360"/>
    <w:rsid w:val="00E245AD"/>
    <w:rsid w:val="00E24AB4"/>
    <w:rsid w:val="00E24C10"/>
    <w:rsid w:val="00E24F0D"/>
    <w:rsid w:val="00E24F83"/>
    <w:rsid w:val="00E253C8"/>
    <w:rsid w:val="00E255B3"/>
    <w:rsid w:val="00E2569A"/>
    <w:rsid w:val="00E2575C"/>
    <w:rsid w:val="00E25851"/>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541"/>
    <w:rsid w:val="00E2767D"/>
    <w:rsid w:val="00E27693"/>
    <w:rsid w:val="00E276AD"/>
    <w:rsid w:val="00E2792B"/>
    <w:rsid w:val="00E2794B"/>
    <w:rsid w:val="00E27CAF"/>
    <w:rsid w:val="00E27CE1"/>
    <w:rsid w:val="00E27D00"/>
    <w:rsid w:val="00E27E26"/>
    <w:rsid w:val="00E27E53"/>
    <w:rsid w:val="00E30194"/>
    <w:rsid w:val="00E3026B"/>
    <w:rsid w:val="00E308EB"/>
    <w:rsid w:val="00E30BB9"/>
    <w:rsid w:val="00E30E12"/>
    <w:rsid w:val="00E3124F"/>
    <w:rsid w:val="00E314B0"/>
    <w:rsid w:val="00E315AA"/>
    <w:rsid w:val="00E318CE"/>
    <w:rsid w:val="00E31BB6"/>
    <w:rsid w:val="00E31EE7"/>
    <w:rsid w:val="00E31EFC"/>
    <w:rsid w:val="00E3217E"/>
    <w:rsid w:val="00E322A2"/>
    <w:rsid w:val="00E32424"/>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0F3"/>
    <w:rsid w:val="00E34655"/>
    <w:rsid w:val="00E34829"/>
    <w:rsid w:val="00E349AA"/>
    <w:rsid w:val="00E34B27"/>
    <w:rsid w:val="00E34BE7"/>
    <w:rsid w:val="00E34FDD"/>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E35"/>
    <w:rsid w:val="00E36F44"/>
    <w:rsid w:val="00E3735D"/>
    <w:rsid w:val="00E3746A"/>
    <w:rsid w:val="00E37722"/>
    <w:rsid w:val="00E37C7D"/>
    <w:rsid w:val="00E400C0"/>
    <w:rsid w:val="00E40135"/>
    <w:rsid w:val="00E405FB"/>
    <w:rsid w:val="00E409EA"/>
    <w:rsid w:val="00E40A6F"/>
    <w:rsid w:val="00E40B53"/>
    <w:rsid w:val="00E40BB0"/>
    <w:rsid w:val="00E40BD9"/>
    <w:rsid w:val="00E40C55"/>
    <w:rsid w:val="00E41228"/>
    <w:rsid w:val="00E4130C"/>
    <w:rsid w:val="00E418EB"/>
    <w:rsid w:val="00E41E74"/>
    <w:rsid w:val="00E422DE"/>
    <w:rsid w:val="00E4247D"/>
    <w:rsid w:val="00E425A3"/>
    <w:rsid w:val="00E4298D"/>
    <w:rsid w:val="00E42A52"/>
    <w:rsid w:val="00E42A5E"/>
    <w:rsid w:val="00E42B0E"/>
    <w:rsid w:val="00E42C4D"/>
    <w:rsid w:val="00E42EB0"/>
    <w:rsid w:val="00E43339"/>
    <w:rsid w:val="00E4333F"/>
    <w:rsid w:val="00E4337C"/>
    <w:rsid w:val="00E43634"/>
    <w:rsid w:val="00E4371C"/>
    <w:rsid w:val="00E4378C"/>
    <w:rsid w:val="00E437DF"/>
    <w:rsid w:val="00E43815"/>
    <w:rsid w:val="00E43882"/>
    <w:rsid w:val="00E438A2"/>
    <w:rsid w:val="00E43A44"/>
    <w:rsid w:val="00E441A4"/>
    <w:rsid w:val="00E443AD"/>
    <w:rsid w:val="00E4441E"/>
    <w:rsid w:val="00E4465E"/>
    <w:rsid w:val="00E449F0"/>
    <w:rsid w:val="00E44A15"/>
    <w:rsid w:val="00E44A3F"/>
    <w:rsid w:val="00E44B65"/>
    <w:rsid w:val="00E45144"/>
    <w:rsid w:val="00E4519B"/>
    <w:rsid w:val="00E45568"/>
    <w:rsid w:val="00E455D9"/>
    <w:rsid w:val="00E45CA5"/>
    <w:rsid w:val="00E460A6"/>
    <w:rsid w:val="00E4630D"/>
    <w:rsid w:val="00E46331"/>
    <w:rsid w:val="00E4636D"/>
    <w:rsid w:val="00E463ED"/>
    <w:rsid w:val="00E464BD"/>
    <w:rsid w:val="00E4681D"/>
    <w:rsid w:val="00E46910"/>
    <w:rsid w:val="00E46A3C"/>
    <w:rsid w:val="00E46A77"/>
    <w:rsid w:val="00E46AF8"/>
    <w:rsid w:val="00E46C8E"/>
    <w:rsid w:val="00E46F4C"/>
    <w:rsid w:val="00E470BF"/>
    <w:rsid w:val="00E4731F"/>
    <w:rsid w:val="00E4746E"/>
    <w:rsid w:val="00E4748C"/>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1AD"/>
    <w:rsid w:val="00E522BB"/>
    <w:rsid w:val="00E522EA"/>
    <w:rsid w:val="00E52446"/>
    <w:rsid w:val="00E52463"/>
    <w:rsid w:val="00E5259D"/>
    <w:rsid w:val="00E525BD"/>
    <w:rsid w:val="00E526AC"/>
    <w:rsid w:val="00E527B3"/>
    <w:rsid w:val="00E52936"/>
    <w:rsid w:val="00E52E5D"/>
    <w:rsid w:val="00E52F8F"/>
    <w:rsid w:val="00E52FE5"/>
    <w:rsid w:val="00E5333D"/>
    <w:rsid w:val="00E533D2"/>
    <w:rsid w:val="00E534FA"/>
    <w:rsid w:val="00E539DC"/>
    <w:rsid w:val="00E53A0B"/>
    <w:rsid w:val="00E53A71"/>
    <w:rsid w:val="00E53AD4"/>
    <w:rsid w:val="00E53B29"/>
    <w:rsid w:val="00E53CFC"/>
    <w:rsid w:val="00E53E1A"/>
    <w:rsid w:val="00E53F48"/>
    <w:rsid w:val="00E53F4D"/>
    <w:rsid w:val="00E53FA6"/>
    <w:rsid w:val="00E54033"/>
    <w:rsid w:val="00E5413B"/>
    <w:rsid w:val="00E54249"/>
    <w:rsid w:val="00E54503"/>
    <w:rsid w:val="00E547AB"/>
    <w:rsid w:val="00E5495C"/>
    <w:rsid w:val="00E54ADB"/>
    <w:rsid w:val="00E54C05"/>
    <w:rsid w:val="00E54CF4"/>
    <w:rsid w:val="00E55239"/>
    <w:rsid w:val="00E55B3D"/>
    <w:rsid w:val="00E55EFD"/>
    <w:rsid w:val="00E5637E"/>
    <w:rsid w:val="00E563BC"/>
    <w:rsid w:val="00E56436"/>
    <w:rsid w:val="00E56446"/>
    <w:rsid w:val="00E5656D"/>
    <w:rsid w:val="00E565C3"/>
    <w:rsid w:val="00E56AD7"/>
    <w:rsid w:val="00E56AEC"/>
    <w:rsid w:val="00E56DD3"/>
    <w:rsid w:val="00E57552"/>
    <w:rsid w:val="00E575E7"/>
    <w:rsid w:val="00E57705"/>
    <w:rsid w:val="00E5775E"/>
    <w:rsid w:val="00E57933"/>
    <w:rsid w:val="00E579EF"/>
    <w:rsid w:val="00E57B48"/>
    <w:rsid w:val="00E6005E"/>
    <w:rsid w:val="00E6020F"/>
    <w:rsid w:val="00E604E8"/>
    <w:rsid w:val="00E60543"/>
    <w:rsid w:val="00E6074F"/>
    <w:rsid w:val="00E60951"/>
    <w:rsid w:val="00E6098D"/>
    <w:rsid w:val="00E60B4E"/>
    <w:rsid w:val="00E61006"/>
    <w:rsid w:val="00E61156"/>
    <w:rsid w:val="00E614C6"/>
    <w:rsid w:val="00E6154A"/>
    <w:rsid w:val="00E6170E"/>
    <w:rsid w:val="00E61D1E"/>
    <w:rsid w:val="00E61F6F"/>
    <w:rsid w:val="00E61FA8"/>
    <w:rsid w:val="00E6203B"/>
    <w:rsid w:val="00E62423"/>
    <w:rsid w:val="00E6265C"/>
    <w:rsid w:val="00E628ED"/>
    <w:rsid w:val="00E62905"/>
    <w:rsid w:val="00E62AFF"/>
    <w:rsid w:val="00E62BF8"/>
    <w:rsid w:val="00E62C46"/>
    <w:rsid w:val="00E63266"/>
    <w:rsid w:val="00E63287"/>
    <w:rsid w:val="00E6350B"/>
    <w:rsid w:val="00E63743"/>
    <w:rsid w:val="00E6391A"/>
    <w:rsid w:val="00E63AFF"/>
    <w:rsid w:val="00E63C0B"/>
    <w:rsid w:val="00E63ED4"/>
    <w:rsid w:val="00E64336"/>
    <w:rsid w:val="00E6433E"/>
    <w:rsid w:val="00E6442F"/>
    <w:rsid w:val="00E645D1"/>
    <w:rsid w:val="00E64A28"/>
    <w:rsid w:val="00E64D10"/>
    <w:rsid w:val="00E64EC6"/>
    <w:rsid w:val="00E65284"/>
    <w:rsid w:val="00E65365"/>
    <w:rsid w:val="00E656DC"/>
    <w:rsid w:val="00E65904"/>
    <w:rsid w:val="00E65AAE"/>
    <w:rsid w:val="00E65B70"/>
    <w:rsid w:val="00E65BD0"/>
    <w:rsid w:val="00E65DF9"/>
    <w:rsid w:val="00E65EA3"/>
    <w:rsid w:val="00E66111"/>
    <w:rsid w:val="00E663EE"/>
    <w:rsid w:val="00E6644C"/>
    <w:rsid w:val="00E6678A"/>
    <w:rsid w:val="00E6692F"/>
    <w:rsid w:val="00E66A5B"/>
    <w:rsid w:val="00E66B5D"/>
    <w:rsid w:val="00E66B6C"/>
    <w:rsid w:val="00E66EAB"/>
    <w:rsid w:val="00E66ED8"/>
    <w:rsid w:val="00E66EF6"/>
    <w:rsid w:val="00E67194"/>
    <w:rsid w:val="00E671B7"/>
    <w:rsid w:val="00E6742D"/>
    <w:rsid w:val="00E67694"/>
    <w:rsid w:val="00E678AC"/>
    <w:rsid w:val="00E6797F"/>
    <w:rsid w:val="00E67AF8"/>
    <w:rsid w:val="00E70062"/>
    <w:rsid w:val="00E70241"/>
    <w:rsid w:val="00E702C0"/>
    <w:rsid w:val="00E70525"/>
    <w:rsid w:val="00E707E7"/>
    <w:rsid w:val="00E708A6"/>
    <w:rsid w:val="00E70C78"/>
    <w:rsid w:val="00E70CEC"/>
    <w:rsid w:val="00E70CF3"/>
    <w:rsid w:val="00E70E03"/>
    <w:rsid w:val="00E70E95"/>
    <w:rsid w:val="00E714BB"/>
    <w:rsid w:val="00E71923"/>
    <w:rsid w:val="00E7198D"/>
    <w:rsid w:val="00E71F35"/>
    <w:rsid w:val="00E72168"/>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F78"/>
    <w:rsid w:val="00E7565A"/>
    <w:rsid w:val="00E75746"/>
    <w:rsid w:val="00E75792"/>
    <w:rsid w:val="00E759F5"/>
    <w:rsid w:val="00E75DA0"/>
    <w:rsid w:val="00E76077"/>
    <w:rsid w:val="00E76257"/>
    <w:rsid w:val="00E762B0"/>
    <w:rsid w:val="00E7651F"/>
    <w:rsid w:val="00E766A0"/>
    <w:rsid w:val="00E76A8C"/>
    <w:rsid w:val="00E76C5E"/>
    <w:rsid w:val="00E76F7B"/>
    <w:rsid w:val="00E77278"/>
    <w:rsid w:val="00E7765A"/>
    <w:rsid w:val="00E77A29"/>
    <w:rsid w:val="00E77BCF"/>
    <w:rsid w:val="00E77D62"/>
    <w:rsid w:val="00E77E64"/>
    <w:rsid w:val="00E80388"/>
    <w:rsid w:val="00E805B9"/>
    <w:rsid w:val="00E80C63"/>
    <w:rsid w:val="00E80D4D"/>
    <w:rsid w:val="00E80E26"/>
    <w:rsid w:val="00E81501"/>
    <w:rsid w:val="00E816F2"/>
    <w:rsid w:val="00E81940"/>
    <w:rsid w:val="00E82025"/>
    <w:rsid w:val="00E820C6"/>
    <w:rsid w:val="00E827DB"/>
    <w:rsid w:val="00E829B0"/>
    <w:rsid w:val="00E82B82"/>
    <w:rsid w:val="00E82F37"/>
    <w:rsid w:val="00E83034"/>
    <w:rsid w:val="00E83284"/>
    <w:rsid w:val="00E83872"/>
    <w:rsid w:val="00E839C4"/>
    <w:rsid w:val="00E83AA3"/>
    <w:rsid w:val="00E83CE2"/>
    <w:rsid w:val="00E83CFD"/>
    <w:rsid w:val="00E83E3D"/>
    <w:rsid w:val="00E84147"/>
    <w:rsid w:val="00E842EF"/>
    <w:rsid w:val="00E845C0"/>
    <w:rsid w:val="00E846E2"/>
    <w:rsid w:val="00E8477F"/>
    <w:rsid w:val="00E84782"/>
    <w:rsid w:val="00E848CE"/>
    <w:rsid w:val="00E84D06"/>
    <w:rsid w:val="00E84D0C"/>
    <w:rsid w:val="00E84D83"/>
    <w:rsid w:val="00E84FDD"/>
    <w:rsid w:val="00E85015"/>
    <w:rsid w:val="00E852A8"/>
    <w:rsid w:val="00E85713"/>
    <w:rsid w:val="00E85969"/>
    <w:rsid w:val="00E85B48"/>
    <w:rsid w:val="00E85B52"/>
    <w:rsid w:val="00E85C81"/>
    <w:rsid w:val="00E85D44"/>
    <w:rsid w:val="00E86007"/>
    <w:rsid w:val="00E86062"/>
    <w:rsid w:val="00E86262"/>
    <w:rsid w:val="00E867DE"/>
    <w:rsid w:val="00E86BAA"/>
    <w:rsid w:val="00E86D97"/>
    <w:rsid w:val="00E86E85"/>
    <w:rsid w:val="00E86E8A"/>
    <w:rsid w:val="00E86FFE"/>
    <w:rsid w:val="00E87077"/>
    <w:rsid w:val="00E8712C"/>
    <w:rsid w:val="00E8750F"/>
    <w:rsid w:val="00E877B6"/>
    <w:rsid w:val="00E8783D"/>
    <w:rsid w:val="00E87846"/>
    <w:rsid w:val="00E87BDD"/>
    <w:rsid w:val="00E87CAF"/>
    <w:rsid w:val="00E87F01"/>
    <w:rsid w:val="00E87F48"/>
    <w:rsid w:val="00E900F7"/>
    <w:rsid w:val="00E901E3"/>
    <w:rsid w:val="00E9024B"/>
    <w:rsid w:val="00E903A1"/>
    <w:rsid w:val="00E908EE"/>
    <w:rsid w:val="00E90977"/>
    <w:rsid w:val="00E909B4"/>
    <w:rsid w:val="00E90AAD"/>
    <w:rsid w:val="00E90BF8"/>
    <w:rsid w:val="00E90C29"/>
    <w:rsid w:val="00E90CB1"/>
    <w:rsid w:val="00E90FD8"/>
    <w:rsid w:val="00E9120B"/>
    <w:rsid w:val="00E91415"/>
    <w:rsid w:val="00E91478"/>
    <w:rsid w:val="00E91ABE"/>
    <w:rsid w:val="00E91B2D"/>
    <w:rsid w:val="00E91BEE"/>
    <w:rsid w:val="00E91E7D"/>
    <w:rsid w:val="00E91F24"/>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67"/>
    <w:rsid w:val="00E934EA"/>
    <w:rsid w:val="00E93538"/>
    <w:rsid w:val="00E936AF"/>
    <w:rsid w:val="00E9384D"/>
    <w:rsid w:val="00E938D0"/>
    <w:rsid w:val="00E93E11"/>
    <w:rsid w:val="00E93FA8"/>
    <w:rsid w:val="00E9421F"/>
    <w:rsid w:val="00E94388"/>
    <w:rsid w:val="00E944A2"/>
    <w:rsid w:val="00E94561"/>
    <w:rsid w:val="00E946AC"/>
    <w:rsid w:val="00E9480F"/>
    <w:rsid w:val="00E949E9"/>
    <w:rsid w:val="00E94E3E"/>
    <w:rsid w:val="00E94F29"/>
    <w:rsid w:val="00E95600"/>
    <w:rsid w:val="00E959E2"/>
    <w:rsid w:val="00E95C84"/>
    <w:rsid w:val="00E95D70"/>
    <w:rsid w:val="00E95DA6"/>
    <w:rsid w:val="00E95F8C"/>
    <w:rsid w:val="00E962E3"/>
    <w:rsid w:val="00E9648E"/>
    <w:rsid w:val="00E964DF"/>
    <w:rsid w:val="00E9661D"/>
    <w:rsid w:val="00E9664C"/>
    <w:rsid w:val="00E96B78"/>
    <w:rsid w:val="00E97278"/>
    <w:rsid w:val="00E973E1"/>
    <w:rsid w:val="00E974F8"/>
    <w:rsid w:val="00E9781D"/>
    <w:rsid w:val="00E9788D"/>
    <w:rsid w:val="00E97A93"/>
    <w:rsid w:val="00E97B58"/>
    <w:rsid w:val="00E97C2C"/>
    <w:rsid w:val="00E97C9B"/>
    <w:rsid w:val="00E97CE7"/>
    <w:rsid w:val="00E97E21"/>
    <w:rsid w:val="00E97FE1"/>
    <w:rsid w:val="00EA0013"/>
    <w:rsid w:val="00EA036D"/>
    <w:rsid w:val="00EA053C"/>
    <w:rsid w:val="00EA0721"/>
    <w:rsid w:val="00EA0797"/>
    <w:rsid w:val="00EA0A5F"/>
    <w:rsid w:val="00EA0B0D"/>
    <w:rsid w:val="00EA0DC8"/>
    <w:rsid w:val="00EA0F0E"/>
    <w:rsid w:val="00EA11A2"/>
    <w:rsid w:val="00EA122D"/>
    <w:rsid w:val="00EA1658"/>
    <w:rsid w:val="00EA1662"/>
    <w:rsid w:val="00EA18ED"/>
    <w:rsid w:val="00EA1C10"/>
    <w:rsid w:val="00EA1DD1"/>
    <w:rsid w:val="00EA1FED"/>
    <w:rsid w:val="00EA239C"/>
    <w:rsid w:val="00EA25A8"/>
    <w:rsid w:val="00EA2927"/>
    <w:rsid w:val="00EA295A"/>
    <w:rsid w:val="00EA296C"/>
    <w:rsid w:val="00EA2C3A"/>
    <w:rsid w:val="00EA3382"/>
    <w:rsid w:val="00EA3415"/>
    <w:rsid w:val="00EA3494"/>
    <w:rsid w:val="00EA36DB"/>
    <w:rsid w:val="00EA3725"/>
    <w:rsid w:val="00EA396A"/>
    <w:rsid w:val="00EA3A45"/>
    <w:rsid w:val="00EA3E09"/>
    <w:rsid w:val="00EA3F62"/>
    <w:rsid w:val="00EA41B7"/>
    <w:rsid w:val="00EA4476"/>
    <w:rsid w:val="00EA4497"/>
    <w:rsid w:val="00EA4623"/>
    <w:rsid w:val="00EA46C8"/>
    <w:rsid w:val="00EA48F6"/>
    <w:rsid w:val="00EA4EC8"/>
    <w:rsid w:val="00EA5463"/>
    <w:rsid w:val="00EA54D9"/>
    <w:rsid w:val="00EA55D7"/>
    <w:rsid w:val="00EA5814"/>
    <w:rsid w:val="00EA59C5"/>
    <w:rsid w:val="00EA60D7"/>
    <w:rsid w:val="00EA67F1"/>
    <w:rsid w:val="00EA70EB"/>
    <w:rsid w:val="00EA7434"/>
    <w:rsid w:val="00EA7537"/>
    <w:rsid w:val="00EA7866"/>
    <w:rsid w:val="00EA786D"/>
    <w:rsid w:val="00EA7A03"/>
    <w:rsid w:val="00EA7A40"/>
    <w:rsid w:val="00EA7B95"/>
    <w:rsid w:val="00EA7CEF"/>
    <w:rsid w:val="00EA7D3C"/>
    <w:rsid w:val="00EB0005"/>
    <w:rsid w:val="00EB0099"/>
    <w:rsid w:val="00EB0284"/>
    <w:rsid w:val="00EB02AB"/>
    <w:rsid w:val="00EB06AD"/>
    <w:rsid w:val="00EB06C0"/>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2FE0"/>
    <w:rsid w:val="00EB3181"/>
    <w:rsid w:val="00EB31F5"/>
    <w:rsid w:val="00EB3334"/>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6D85"/>
    <w:rsid w:val="00EB7108"/>
    <w:rsid w:val="00EB732B"/>
    <w:rsid w:val="00EB7540"/>
    <w:rsid w:val="00EB77BB"/>
    <w:rsid w:val="00EB781D"/>
    <w:rsid w:val="00EB78D5"/>
    <w:rsid w:val="00EB799D"/>
    <w:rsid w:val="00EB7F3B"/>
    <w:rsid w:val="00EB7F74"/>
    <w:rsid w:val="00EC0364"/>
    <w:rsid w:val="00EC079A"/>
    <w:rsid w:val="00EC0C7A"/>
    <w:rsid w:val="00EC0C9E"/>
    <w:rsid w:val="00EC0DCE"/>
    <w:rsid w:val="00EC0F61"/>
    <w:rsid w:val="00EC1036"/>
    <w:rsid w:val="00EC133B"/>
    <w:rsid w:val="00EC1596"/>
    <w:rsid w:val="00EC15A7"/>
    <w:rsid w:val="00EC1BA4"/>
    <w:rsid w:val="00EC1BB6"/>
    <w:rsid w:val="00EC1D5D"/>
    <w:rsid w:val="00EC20B8"/>
    <w:rsid w:val="00EC20F5"/>
    <w:rsid w:val="00EC2163"/>
    <w:rsid w:val="00EC2195"/>
    <w:rsid w:val="00EC2245"/>
    <w:rsid w:val="00EC2505"/>
    <w:rsid w:val="00EC2532"/>
    <w:rsid w:val="00EC2659"/>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3E1E"/>
    <w:rsid w:val="00EC4386"/>
    <w:rsid w:val="00EC4435"/>
    <w:rsid w:val="00EC447B"/>
    <w:rsid w:val="00EC44C5"/>
    <w:rsid w:val="00EC4814"/>
    <w:rsid w:val="00EC4A04"/>
    <w:rsid w:val="00EC4E06"/>
    <w:rsid w:val="00EC50C3"/>
    <w:rsid w:val="00EC51C2"/>
    <w:rsid w:val="00EC521C"/>
    <w:rsid w:val="00EC5467"/>
    <w:rsid w:val="00EC5486"/>
    <w:rsid w:val="00EC558D"/>
    <w:rsid w:val="00EC581E"/>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71"/>
    <w:rsid w:val="00ED25D7"/>
    <w:rsid w:val="00ED269F"/>
    <w:rsid w:val="00ED26D7"/>
    <w:rsid w:val="00ED27A7"/>
    <w:rsid w:val="00ED28A3"/>
    <w:rsid w:val="00ED28C8"/>
    <w:rsid w:val="00ED2ADD"/>
    <w:rsid w:val="00ED2B16"/>
    <w:rsid w:val="00ED310A"/>
    <w:rsid w:val="00ED3285"/>
    <w:rsid w:val="00ED333E"/>
    <w:rsid w:val="00ED339C"/>
    <w:rsid w:val="00ED350C"/>
    <w:rsid w:val="00ED3612"/>
    <w:rsid w:val="00ED3657"/>
    <w:rsid w:val="00ED3BFA"/>
    <w:rsid w:val="00ED3D78"/>
    <w:rsid w:val="00ED3EB5"/>
    <w:rsid w:val="00ED3FD3"/>
    <w:rsid w:val="00ED4358"/>
    <w:rsid w:val="00ED473A"/>
    <w:rsid w:val="00ED47A8"/>
    <w:rsid w:val="00ED4858"/>
    <w:rsid w:val="00ED49D4"/>
    <w:rsid w:val="00ED4BDF"/>
    <w:rsid w:val="00ED4F9A"/>
    <w:rsid w:val="00ED5B88"/>
    <w:rsid w:val="00ED5F09"/>
    <w:rsid w:val="00ED633E"/>
    <w:rsid w:val="00ED6399"/>
    <w:rsid w:val="00ED6471"/>
    <w:rsid w:val="00ED6BBB"/>
    <w:rsid w:val="00ED6D09"/>
    <w:rsid w:val="00ED6F4A"/>
    <w:rsid w:val="00ED761D"/>
    <w:rsid w:val="00ED76F6"/>
    <w:rsid w:val="00ED7789"/>
    <w:rsid w:val="00ED7A1A"/>
    <w:rsid w:val="00ED7B39"/>
    <w:rsid w:val="00EE0242"/>
    <w:rsid w:val="00EE0791"/>
    <w:rsid w:val="00EE0A1F"/>
    <w:rsid w:val="00EE0B02"/>
    <w:rsid w:val="00EE0F22"/>
    <w:rsid w:val="00EE0FEA"/>
    <w:rsid w:val="00EE1185"/>
    <w:rsid w:val="00EE1348"/>
    <w:rsid w:val="00EE1354"/>
    <w:rsid w:val="00EE13A0"/>
    <w:rsid w:val="00EE13C3"/>
    <w:rsid w:val="00EE1428"/>
    <w:rsid w:val="00EE1575"/>
    <w:rsid w:val="00EE1745"/>
    <w:rsid w:val="00EE1A8D"/>
    <w:rsid w:val="00EE2052"/>
    <w:rsid w:val="00EE20BA"/>
    <w:rsid w:val="00EE2313"/>
    <w:rsid w:val="00EE24AB"/>
    <w:rsid w:val="00EE24EC"/>
    <w:rsid w:val="00EE27E6"/>
    <w:rsid w:val="00EE2965"/>
    <w:rsid w:val="00EE2AA0"/>
    <w:rsid w:val="00EE2AFB"/>
    <w:rsid w:val="00EE3019"/>
    <w:rsid w:val="00EE3093"/>
    <w:rsid w:val="00EE30E6"/>
    <w:rsid w:val="00EE32B2"/>
    <w:rsid w:val="00EE35DF"/>
    <w:rsid w:val="00EE3785"/>
    <w:rsid w:val="00EE38C5"/>
    <w:rsid w:val="00EE38F2"/>
    <w:rsid w:val="00EE3DA1"/>
    <w:rsid w:val="00EE3F4F"/>
    <w:rsid w:val="00EE3F6E"/>
    <w:rsid w:val="00EE4292"/>
    <w:rsid w:val="00EE461F"/>
    <w:rsid w:val="00EE48DE"/>
    <w:rsid w:val="00EE48ED"/>
    <w:rsid w:val="00EE495A"/>
    <w:rsid w:val="00EE4991"/>
    <w:rsid w:val="00EE4C7F"/>
    <w:rsid w:val="00EE51E2"/>
    <w:rsid w:val="00EE5247"/>
    <w:rsid w:val="00EE53B3"/>
    <w:rsid w:val="00EE54CB"/>
    <w:rsid w:val="00EE5599"/>
    <w:rsid w:val="00EE57D0"/>
    <w:rsid w:val="00EE58C2"/>
    <w:rsid w:val="00EE5BC0"/>
    <w:rsid w:val="00EE5E4F"/>
    <w:rsid w:val="00EE6261"/>
    <w:rsid w:val="00EE6404"/>
    <w:rsid w:val="00EE64A1"/>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A2"/>
    <w:rsid w:val="00EF0FF2"/>
    <w:rsid w:val="00EF12B5"/>
    <w:rsid w:val="00EF1346"/>
    <w:rsid w:val="00EF1AA2"/>
    <w:rsid w:val="00EF1B65"/>
    <w:rsid w:val="00EF1E50"/>
    <w:rsid w:val="00EF1EDD"/>
    <w:rsid w:val="00EF21EC"/>
    <w:rsid w:val="00EF2228"/>
    <w:rsid w:val="00EF2B00"/>
    <w:rsid w:val="00EF2B79"/>
    <w:rsid w:val="00EF2BD4"/>
    <w:rsid w:val="00EF2D1E"/>
    <w:rsid w:val="00EF2D99"/>
    <w:rsid w:val="00EF2E91"/>
    <w:rsid w:val="00EF2FC5"/>
    <w:rsid w:val="00EF3028"/>
    <w:rsid w:val="00EF32EE"/>
    <w:rsid w:val="00EF3F04"/>
    <w:rsid w:val="00EF41C7"/>
    <w:rsid w:val="00EF424B"/>
    <w:rsid w:val="00EF447C"/>
    <w:rsid w:val="00EF4713"/>
    <w:rsid w:val="00EF4941"/>
    <w:rsid w:val="00EF4A85"/>
    <w:rsid w:val="00EF4ADE"/>
    <w:rsid w:val="00EF4B05"/>
    <w:rsid w:val="00EF4C4D"/>
    <w:rsid w:val="00EF4C57"/>
    <w:rsid w:val="00EF4DF8"/>
    <w:rsid w:val="00EF4E13"/>
    <w:rsid w:val="00EF4E39"/>
    <w:rsid w:val="00EF5610"/>
    <w:rsid w:val="00EF5804"/>
    <w:rsid w:val="00EF5AA7"/>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02F"/>
    <w:rsid w:val="00F00782"/>
    <w:rsid w:val="00F008E9"/>
    <w:rsid w:val="00F009BF"/>
    <w:rsid w:val="00F00B7B"/>
    <w:rsid w:val="00F00C01"/>
    <w:rsid w:val="00F0114C"/>
    <w:rsid w:val="00F017EA"/>
    <w:rsid w:val="00F0188F"/>
    <w:rsid w:val="00F01E72"/>
    <w:rsid w:val="00F01EF8"/>
    <w:rsid w:val="00F01EFC"/>
    <w:rsid w:val="00F01FCB"/>
    <w:rsid w:val="00F02203"/>
    <w:rsid w:val="00F02433"/>
    <w:rsid w:val="00F0249B"/>
    <w:rsid w:val="00F028B3"/>
    <w:rsid w:val="00F02A2C"/>
    <w:rsid w:val="00F02A5B"/>
    <w:rsid w:val="00F03268"/>
    <w:rsid w:val="00F0327A"/>
    <w:rsid w:val="00F03681"/>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496"/>
    <w:rsid w:val="00F057D7"/>
    <w:rsid w:val="00F0588A"/>
    <w:rsid w:val="00F059BA"/>
    <w:rsid w:val="00F05A7F"/>
    <w:rsid w:val="00F05B49"/>
    <w:rsid w:val="00F06160"/>
    <w:rsid w:val="00F064B5"/>
    <w:rsid w:val="00F064E2"/>
    <w:rsid w:val="00F06612"/>
    <w:rsid w:val="00F0668B"/>
    <w:rsid w:val="00F069B4"/>
    <w:rsid w:val="00F069E9"/>
    <w:rsid w:val="00F06B7C"/>
    <w:rsid w:val="00F06BC1"/>
    <w:rsid w:val="00F071EB"/>
    <w:rsid w:val="00F077C7"/>
    <w:rsid w:val="00F079B9"/>
    <w:rsid w:val="00F07C98"/>
    <w:rsid w:val="00F07CF8"/>
    <w:rsid w:val="00F07D5C"/>
    <w:rsid w:val="00F07DCF"/>
    <w:rsid w:val="00F07E85"/>
    <w:rsid w:val="00F07F1F"/>
    <w:rsid w:val="00F100BD"/>
    <w:rsid w:val="00F103C1"/>
    <w:rsid w:val="00F10552"/>
    <w:rsid w:val="00F105EF"/>
    <w:rsid w:val="00F10611"/>
    <w:rsid w:val="00F106D9"/>
    <w:rsid w:val="00F1071B"/>
    <w:rsid w:val="00F108BB"/>
    <w:rsid w:val="00F109E7"/>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529"/>
    <w:rsid w:val="00F12908"/>
    <w:rsid w:val="00F129D1"/>
    <w:rsid w:val="00F12AC0"/>
    <w:rsid w:val="00F12BDA"/>
    <w:rsid w:val="00F12C2F"/>
    <w:rsid w:val="00F12DB8"/>
    <w:rsid w:val="00F12DE8"/>
    <w:rsid w:val="00F13454"/>
    <w:rsid w:val="00F13700"/>
    <w:rsid w:val="00F13949"/>
    <w:rsid w:val="00F139BD"/>
    <w:rsid w:val="00F13A53"/>
    <w:rsid w:val="00F13BBF"/>
    <w:rsid w:val="00F13D34"/>
    <w:rsid w:val="00F13E74"/>
    <w:rsid w:val="00F13EAB"/>
    <w:rsid w:val="00F13EF6"/>
    <w:rsid w:val="00F14270"/>
    <w:rsid w:val="00F1438E"/>
    <w:rsid w:val="00F14679"/>
    <w:rsid w:val="00F14691"/>
    <w:rsid w:val="00F14726"/>
    <w:rsid w:val="00F1474D"/>
    <w:rsid w:val="00F147A7"/>
    <w:rsid w:val="00F147F1"/>
    <w:rsid w:val="00F148EA"/>
    <w:rsid w:val="00F14928"/>
    <w:rsid w:val="00F14AEE"/>
    <w:rsid w:val="00F14B22"/>
    <w:rsid w:val="00F14B37"/>
    <w:rsid w:val="00F14DAC"/>
    <w:rsid w:val="00F14E04"/>
    <w:rsid w:val="00F15177"/>
    <w:rsid w:val="00F154FA"/>
    <w:rsid w:val="00F1550C"/>
    <w:rsid w:val="00F15751"/>
    <w:rsid w:val="00F15C0A"/>
    <w:rsid w:val="00F16145"/>
    <w:rsid w:val="00F1645B"/>
    <w:rsid w:val="00F165B4"/>
    <w:rsid w:val="00F16836"/>
    <w:rsid w:val="00F16A1B"/>
    <w:rsid w:val="00F16B1D"/>
    <w:rsid w:val="00F16CD4"/>
    <w:rsid w:val="00F16E7D"/>
    <w:rsid w:val="00F17197"/>
    <w:rsid w:val="00F173FB"/>
    <w:rsid w:val="00F17412"/>
    <w:rsid w:val="00F1749B"/>
    <w:rsid w:val="00F174D6"/>
    <w:rsid w:val="00F1797D"/>
    <w:rsid w:val="00F17B3B"/>
    <w:rsid w:val="00F17D37"/>
    <w:rsid w:val="00F2024F"/>
    <w:rsid w:val="00F2037C"/>
    <w:rsid w:val="00F20AF5"/>
    <w:rsid w:val="00F20B35"/>
    <w:rsid w:val="00F20C93"/>
    <w:rsid w:val="00F210B7"/>
    <w:rsid w:val="00F21627"/>
    <w:rsid w:val="00F219A3"/>
    <w:rsid w:val="00F226E7"/>
    <w:rsid w:val="00F22AD0"/>
    <w:rsid w:val="00F22BA1"/>
    <w:rsid w:val="00F22EA0"/>
    <w:rsid w:val="00F22F79"/>
    <w:rsid w:val="00F231A9"/>
    <w:rsid w:val="00F233D1"/>
    <w:rsid w:val="00F235D7"/>
    <w:rsid w:val="00F238BB"/>
    <w:rsid w:val="00F23C99"/>
    <w:rsid w:val="00F23FF0"/>
    <w:rsid w:val="00F24293"/>
    <w:rsid w:val="00F244A7"/>
    <w:rsid w:val="00F244ED"/>
    <w:rsid w:val="00F2456D"/>
    <w:rsid w:val="00F246EB"/>
    <w:rsid w:val="00F247F3"/>
    <w:rsid w:val="00F24A06"/>
    <w:rsid w:val="00F24AB7"/>
    <w:rsid w:val="00F24B6D"/>
    <w:rsid w:val="00F24BDF"/>
    <w:rsid w:val="00F24C88"/>
    <w:rsid w:val="00F24CF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3A5"/>
    <w:rsid w:val="00F26780"/>
    <w:rsid w:val="00F26BAF"/>
    <w:rsid w:val="00F26C34"/>
    <w:rsid w:val="00F26CE6"/>
    <w:rsid w:val="00F26D37"/>
    <w:rsid w:val="00F26D69"/>
    <w:rsid w:val="00F26EFC"/>
    <w:rsid w:val="00F27033"/>
    <w:rsid w:val="00F271EE"/>
    <w:rsid w:val="00F2772E"/>
    <w:rsid w:val="00F2780A"/>
    <w:rsid w:val="00F27953"/>
    <w:rsid w:val="00F27A7A"/>
    <w:rsid w:val="00F27D71"/>
    <w:rsid w:val="00F27E43"/>
    <w:rsid w:val="00F27EA0"/>
    <w:rsid w:val="00F303AA"/>
    <w:rsid w:val="00F30707"/>
    <w:rsid w:val="00F30972"/>
    <w:rsid w:val="00F30990"/>
    <w:rsid w:val="00F30C41"/>
    <w:rsid w:val="00F30C55"/>
    <w:rsid w:val="00F30FC9"/>
    <w:rsid w:val="00F31035"/>
    <w:rsid w:val="00F3136E"/>
    <w:rsid w:val="00F317E3"/>
    <w:rsid w:val="00F31863"/>
    <w:rsid w:val="00F31C25"/>
    <w:rsid w:val="00F323FD"/>
    <w:rsid w:val="00F3247C"/>
    <w:rsid w:val="00F32532"/>
    <w:rsid w:val="00F3273E"/>
    <w:rsid w:val="00F327E3"/>
    <w:rsid w:val="00F32835"/>
    <w:rsid w:val="00F3294A"/>
    <w:rsid w:val="00F32B54"/>
    <w:rsid w:val="00F32D69"/>
    <w:rsid w:val="00F32E38"/>
    <w:rsid w:val="00F33292"/>
    <w:rsid w:val="00F33297"/>
    <w:rsid w:val="00F337B6"/>
    <w:rsid w:val="00F338E5"/>
    <w:rsid w:val="00F339C2"/>
    <w:rsid w:val="00F33B23"/>
    <w:rsid w:val="00F33DFC"/>
    <w:rsid w:val="00F34096"/>
    <w:rsid w:val="00F342C7"/>
    <w:rsid w:val="00F346AE"/>
    <w:rsid w:val="00F349EE"/>
    <w:rsid w:val="00F34AD6"/>
    <w:rsid w:val="00F34BEC"/>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541"/>
    <w:rsid w:val="00F36746"/>
    <w:rsid w:val="00F3675E"/>
    <w:rsid w:val="00F368D9"/>
    <w:rsid w:val="00F371D5"/>
    <w:rsid w:val="00F3767B"/>
    <w:rsid w:val="00F37719"/>
    <w:rsid w:val="00F37B37"/>
    <w:rsid w:val="00F37FCA"/>
    <w:rsid w:val="00F40973"/>
    <w:rsid w:val="00F40BC9"/>
    <w:rsid w:val="00F40C65"/>
    <w:rsid w:val="00F40C98"/>
    <w:rsid w:val="00F40F3F"/>
    <w:rsid w:val="00F41058"/>
    <w:rsid w:val="00F4110A"/>
    <w:rsid w:val="00F412F2"/>
    <w:rsid w:val="00F413F2"/>
    <w:rsid w:val="00F41584"/>
    <w:rsid w:val="00F41756"/>
    <w:rsid w:val="00F41A1B"/>
    <w:rsid w:val="00F41A8E"/>
    <w:rsid w:val="00F41EB5"/>
    <w:rsid w:val="00F42383"/>
    <w:rsid w:val="00F423FB"/>
    <w:rsid w:val="00F424A6"/>
    <w:rsid w:val="00F42AEC"/>
    <w:rsid w:val="00F42BB6"/>
    <w:rsid w:val="00F42BBA"/>
    <w:rsid w:val="00F42D5B"/>
    <w:rsid w:val="00F42D69"/>
    <w:rsid w:val="00F42E80"/>
    <w:rsid w:val="00F42EF6"/>
    <w:rsid w:val="00F43092"/>
    <w:rsid w:val="00F43333"/>
    <w:rsid w:val="00F4345E"/>
    <w:rsid w:val="00F4382B"/>
    <w:rsid w:val="00F43903"/>
    <w:rsid w:val="00F43B11"/>
    <w:rsid w:val="00F43E9C"/>
    <w:rsid w:val="00F44042"/>
    <w:rsid w:val="00F446CA"/>
    <w:rsid w:val="00F44C97"/>
    <w:rsid w:val="00F44D1E"/>
    <w:rsid w:val="00F44E26"/>
    <w:rsid w:val="00F451D7"/>
    <w:rsid w:val="00F45277"/>
    <w:rsid w:val="00F4573D"/>
    <w:rsid w:val="00F458C1"/>
    <w:rsid w:val="00F4611B"/>
    <w:rsid w:val="00F4622C"/>
    <w:rsid w:val="00F46339"/>
    <w:rsid w:val="00F46381"/>
    <w:rsid w:val="00F46578"/>
    <w:rsid w:val="00F4664B"/>
    <w:rsid w:val="00F46833"/>
    <w:rsid w:val="00F468F8"/>
    <w:rsid w:val="00F46A56"/>
    <w:rsid w:val="00F46D40"/>
    <w:rsid w:val="00F47124"/>
    <w:rsid w:val="00F473BF"/>
    <w:rsid w:val="00F47464"/>
    <w:rsid w:val="00F47C8F"/>
    <w:rsid w:val="00F5029F"/>
    <w:rsid w:val="00F5037D"/>
    <w:rsid w:val="00F50530"/>
    <w:rsid w:val="00F50A97"/>
    <w:rsid w:val="00F50BCD"/>
    <w:rsid w:val="00F50E4E"/>
    <w:rsid w:val="00F50F81"/>
    <w:rsid w:val="00F511B7"/>
    <w:rsid w:val="00F51831"/>
    <w:rsid w:val="00F51991"/>
    <w:rsid w:val="00F51A2D"/>
    <w:rsid w:val="00F51A85"/>
    <w:rsid w:val="00F51A9E"/>
    <w:rsid w:val="00F51C5F"/>
    <w:rsid w:val="00F51F68"/>
    <w:rsid w:val="00F5222F"/>
    <w:rsid w:val="00F52579"/>
    <w:rsid w:val="00F52B9A"/>
    <w:rsid w:val="00F52C8E"/>
    <w:rsid w:val="00F52DF0"/>
    <w:rsid w:val="00F52E2F"/>
    <w:rsid w:val="00F52FF9"/>
    <w:rsid w:val="00F530A5"/>
    <w:rsid w:val="00F531F7"/>
    <w:rsid w:val="00F53231"/>
    <w:rsid w:val="00F53272"/>
    <w:rsid w:val="00F533A3"/>
    <w:rsid w:val="00F533B9"/>
    <w:rsid w:val="00F535A6"/>
    <w:rsid w:val="00F535E7"/>
    <w:rsid w:val="00F538CA"/>
    <w:rsid w:val="00F53DDB"/>
    <w:rsid w:val="00F53E64"/>
    <w:rsid w:val="00F544EF"/>
    <w:rsid w:val="00F54596"/>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D39"/>
    <w:rsid w:val="00F56E92"/>
    <w:rsid w:val="00F57532"/>
    <w:rsid w:val="00F57660"/>
    <w:rsid w:val="00F5776D"/>
    <w:rsid w:val="00F577B4"/>
    <w:rsid w:val="00F57A83"/>
    <w:rsid w:val="00F57B59"/>
    <w:rsid w:val="00F57CB8"/>
    <w:rsid w:val="00F57DCD"/>
    <w:rsid w:val="00F57E80"/>
    <w:rsid w:val="00F57EAA"/>
    <w:rsid w:val="00F600E2"/>
    <w:rsid w:val="00F60758"/>
    <w:rsid w:val="00F6078F"/>
    <w:rsid w:val="00F608B0"/>
    <w:rsid w:val="00F60D80"/>
    <w:rsid w:val="00F60F62"/>
    <w:rsid w:val="00F610A6"/>
    <w:rsid w:val="00F61160"/>
    <w:rsid w:val="00F6161B"/>
    <w:rsid w:val="00F617C7"/>
    <w:rsid w:val="00F618DE"/>
    <w:rsid w:val="00F61C12"/>
    <w:rsid w:val="00F61EC4"/>
    <w:rsid w:val="00F62002"/>
    <w:rsid w:val="00F620B7"/>
    <w:rsid w:val="00F622BC"/>
    <w:rsid w:val="00F62A1D"/>
    <w:rsid w:val="00F637CA"/>
    <w:rsid w:val="00F637E7"/>
    <w:rsid w:val="00F63967"/>
    <w:rsid w:val="00F63BBD"/>
    <w:rsid w:val="00F63CF3"/>
    <w:rsid w:val="00F63D6B"/>
    <w:rsid w:val="00F6400F"/>
    <w:rsid w:val="00F6411B"/>
    <w:rsid w:val="00F64254"/>
    <w:rsid w:val="00F64397"/>
    <w:rsid w:val="00F64601"/>
    <w:rsid w:val="00F647A0"/>
    <w:rsid w:val="00F64914"/>
    <w:rsid w:val="00F64958"/>
    <w:rsid w:val="00F64EE6"/>
    <w:rsid w:val="00F656F1"/>
    <w:rsid w:val="00F658B8"/>
    <w:rsid w:val="00F65BF8"/>
    <w:rsid w:val="00F66043"/>
    <w:rsid w:val="00F660A2"/>
    <w:rsid w:val="00F66130"/>
    <w:rsid w:val="00F66143"/>
    <w:rsid w:val="00F66415"/>
    <w:rsid w:val="00F666A0"/>
    <w:rsid w:val="00F667C1"/>
    <w:rsid w:val="00F66B89"/>
    <w:rsid w:val="00F66C88"/>
    <w:rsid w:val="00F66E10"/>
    <w:rsid w:val="00F66E22"/>
    <w:rsid w:val="00F66EF4"/>
    <w:rsid w:val="00F66F6B"/>
    <w:rsid w:val="00F672EE"/>
    <w:rsid w:val="00F672F3"/>
    <w:rsid w:val="00F6765C"/>
    <w:rsid w:val="00F676AA"/>
    <w:rsid w:val="00F67ABA"/>
    <w:rsid w:val="00F67C49"/>
    <w:rsid w:val="00F67CF4"/>
    <w:rsid w:val="00F67DC9"/>
    <w:rsid w:val="00F67DD8"/>
    <w:rsid w:val="00F70071"/>
    <w:rsid w:val="00F70773"/>
    <w:rsid w:val="00F7077A"/>
    <w:rsid w:val="00F70A6A"/>
    <w:rsid w:val="00F70AB7"/>
    <w:rsid w:val="00F70AD4"/>
    <w:rsid w:val="00F70C89"/>
    <w:rsid w:val="00F70DA0"/>
    <w:rsid w:val="00F71405"/>
    <w:rsid w:val="00F716D5"/>
    <w:rsid w:val="00F71805"/>
    <w:rsid w:val="00F71A69"/>
    <w:rsid w:val="00F71BC4"/>
    <w:rsid w:val="00F71D34"/>
    <w:rsid w:val="00F71E1B"/>
    <w:rsid w:val="00F71E76"/>
    <w:rsid w:val="00F71FE8"/>
    <w:rsid w:val="00F722BC"/>
    <w:rsid w:val="00F72812"/>
    <w:rsid w:val="00F7295E"/>
    <w:rsid w:val="00F72A71"/>
    <w:rsid w:val="00F72B31"/>
    <w:rsid w:val="00F7312B"/>
    <w:rsid w:val="00F73150"/>
    <w:rsid w:val="00F731C3"/>
    <w:rsid w:val="00F732FD"/>
    <w:rsid w:val="00F73670"/>
    <w:rsid w:val="00F73937"/>
    <w:rsid w:val="00F73995"/>
    <w:rsid w:val="00F73A19"/>
    <w:rsid w:val="00F73A93"/>
    <w:rsid w:val="00F73D89"/>
    <w:rsid w:val="00F742FD"/>
    <w:rsid w:val="00F74367"/>
    <w:rsid w:val="00F74373"/>
    <w:rsid w:val="00F7456C"/>
    <w:rsid w:val="00F745D9"/>
    <w:rsid w:val="00F74693"/>
    <w:rsid w:val="00F74875"/>
    <w:rsid w:val="00F749A1"/>
    <w:rsid w:val="00F74A06"/>
    <w:rsid w:val="00F74BF8"/>
    <w:rsid w:val="00F74C33"/>
    <w:rsid w:val="00F74EB3"/>
    <w:rsid w:val="00F75083"/>
    <w:rsid w:val="00F750C7"/>
    <w:rsid w:val="00F753BB"/>
    <w:rsid w:val="00F756D0"/>
    <w:rsid w:val="00F75884"/>
    <w:rsid w:val="00F75D20"/>
    <w:rsid w:val="00F75F22"/>
    <w:rsid w:val="00F7645D"/>
    <w:rsid w:val="00F76528"/>
    <w:rsid w:val="00F76697"/>
    <w:rsid w:val="00F768CE"/>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12C"/>
    <w:rsid w:val="00F81289"/>
    <w:rsid w:val="00F812A5"/>
    <w:rsid w:val="00F8142C"/>
    <w:rsid w:val="00F817FE"/>
    <w:rsid w:val="00F81C32"/>
    <w:rsid w:val="00F81CD3"/>
    <w:rsid w:val="00F81D6F"/>
    <w:rsid w:val="00F81D78"/>
    <w:rsid w:val="00F81EB1"/>
    <w:rsid w:val="00F82044"/>
    <w:rsid w:val="00F8206B"/>
    <w:rsid w:val="00F821EE"/>
    <w:rsid w:val="00F822D1"/>
    <w:rsid w:val="00F82334"/>
    <w:rsid w:val="00F829AE"/>
    <w:rsid w:val="00F82A16"/>
    <w:rsid w:val="00F82BC9"/>
    <w:rsid w:val="00F82FCA"/>
    <w:rsid w:val="00F8301F"/>
    <w:rsid w:val="00F83606"/>
    <w:rsid w:val="00F8366B"/>
    <w:rsid w:val="00F8371A"/>
    <w:rsid w:val="00F83DF8"/>
    <w:rsid w:val="00F83F8D"/>
    <w:rsid w:val="00F84158"/>
    <w:rsid w:val="00F841D8"/>
    <w:rsid w:val="00F84339"/>
    <w:rsid w:val="00F844CE"/>
    <w:rsid w:val="00F844F9"/>
    <w:rsid w:val="00F84547"/>
    <w:rsid w:val="00F847BA"/>
    <w:rsid w:val="00F847DD"/>
    <w:rsid w:val="00F8488A"/>
    <w:rsid w:val="00F84B06"/>
    <w:rsid w:val="00F84B30"/>
    <w:rsid w:val="00F84D50"/>
    <w:rsid w:val="00F84EBF"/>
    <w:rsid w:val="00F84F1D"/>
    <w:rsid w:val="00F85109"/>
    <w:rsid w:val="00F85348"/>
    <w:rsid w:val="00F85357"/>
    <w:rsid w:val="00F85388"/>
    <w:rsid w:val="00F85844"/>
    <w:rsid w:val="00F85968"/>
    <w:rsid w:val="00F85B52"/>
    <w:rsid w:val="00F85B59"/>
    <w:rsid w:val="00F86082"/>
    <w:rsid w:val="00F862BD"/>
    <w:rsid w:val="00F8638D"/>
    <w:rsid w:val="00F864BE"/>
    <w:rsid w:val="00F86B62"/>
    <w:rsid w:val="00F876DD"/>
    <w:rsid w:val="00F8771C"/>
    <w:rsid w:val="00F878B8"/>
    <w:rsid w:val="00F87AA3"/>
    <w:rsid w:val="00F87FED"/>
    <w:rsid w:val="00F90334"/>
    <w:rsid w:val="00F903A6"/>
    <w:rsid w:val="00F90474"/>
    <w:rsid w:val="00F908AA"/>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2DE"/>
    <w:rsid w:val="00F943F1"/>
    <w:rsid w:val="00F944F5"/>
    <w:rsid w:val="00F94C56"/>
    <w:rsid w:val="00F94EB8"/>
    <w:rsid w:val="00F94F8F"/>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8EB"/>
    <w:rsid w:val="00F96A40"/>
    <w:rsid w:val="00F972CB"/>
    <w:rsid w:val="00F9740E"/>
    <w:rsid w:val="00F97490"/>
    <w:rsid w:val="00F9791F"/>
    <w:rsid w:val="00F97BD0"/>
    <w:rsid w:val="00F97CAE"/>
    <w:rsid w:val="00F97D74"/>
    <w:rsid w:val="00F97E69"/>
    <w:rsid w:val="00FA01FC"/>
    <w:rsid w:val="00FA02B5"/>
    <w:rsid w:val="00FA02FC"/>
    <w:rsid w:val="00FA04BE"/>
    <w:rsid w:val="00FA0702"/>
    <w:rsid w:val="00FA07DE"/>
    <w:rsid w:val="00FA0B4C"/>
    <w:rsid w:val="00FA0DE5"/>
    <w:rsid w:val="00FA0FD4"/>
    <w:rsid w:val="00FA1181"/>
    <w:rsid w:val="00FA120C"/>
    <w:rsid w:val="00FA12B5"/>
    <w:rsid w:val="00FA12BD"/>
    <w:rsid w:val="00FA1308"/>
    <w:rsid w:val="00FA141A"/>
    <w:rsid w:val="00FA175B"/>
    <w:rsid w:val="00FA18D1"/>
    <w:rsid w:val="00FA1E89"/>
    <w:rsid w:val="00FA1F45"/>
    <w:rsid w:val="00FA1FDC"/>
    <w:rsid w:val="00FA2231"/>
    <w:rsid w:val="00FA22D9"/>
    <w:rsid w:val="00FA238A"/>
    <w:rsid w:val="00FA2427"/>
    <w:rsid w:val="00FA24DA"/>
    <w:rsid w:val="00FA2514"/>
    <w:rsid w:val="00FA25DC"/>
    <w:rsid w:val="00FA26BE"/>
    <w:rsid w:val="00FA291A"/>
    <w:rsid w:val="00FA2BB1"/>
    <w:rsid w:val="00FA2EC3"/>
    <w:rsid w:val="00FA324A"/>
    <w:rsid w:val="00FA377B"/>
    <w:rsid w:val="00FA3A4E"/>
    <w:rsid w:val="00FA3D09"/>
    <w:rsid w:val="00FA3DD9"/>
    <w:rsid w:val="00FA3DFB"/>
    <w:rsid w:val="00FA3F68"/>
    <w:rsid w:val="00FA3F7C"/>
    <w:rsid w:val="00FA3FDA"/>
    <w:rsid w:val="00FA417B"/>
    <w:rsid w:val="00FA434D"/>
    <w:rsid w:val="00FA46E6"/>
    <w:rsid w:val="00FA4883"/>
    <w:rsid w:val="00FA4AFA"/>
    <w:rsid w:val="00FA4F09"/>
    <w:rsid w:val="00FA4F9B"/>
    <w:rsid w:val="00FA506A"/>
    <w:rsid w:val="00FA51C6"/>
    <w:rsid w:val="00FA52BB"/>
    <w:rsid w:val="00FA5507"/>
    <w:rsid w:val="00FA58EC"/>
    <w:rsid w:val="00FA5B58"/>
    <w:rsid w:val="00FA5EF5"/>
    <w:rsid w:val="00FA6000"/>
    <w:rsid w:val="00FA63ED"/>
    <w:rsid w:val="00FA64C9"/>
    <w:rsid w:val="00FA6669"/>
    <w:rsid w:val="00FA6883"/>
    <w:rsid w:val="00FA6FC8"/>
    <w:rsid w:val="00FA7113"/>
    <w:rsid w:val="00FA75A9"/>
    <w:rsid w:val="00FA7635"/>
    <w:rsid w:val="00FA7756"/>
    <w:rsid w:val="00FA78CA"/>
    <w:rsid w:val="00FA7AB1"/>
    <w:rsid w:val="00FB00B6"/>
    <w:rsid w:val="00FB0276"/>
    <w:rsid w:val="00FB02E1"/>
    <w:rsid w:val="00FB03AA"/>
    <w:rsid w:val="00FB03D3"/>
    <w:rsid w:val="00FB080B"/>
    <w:rsid w:val="00FB087A"/>
    <w:rsid w:val="00FB0D2F"/>
    <w:rsid w:val="00FB123E"/>
    <w:rsid w:val="00FB1814"/>
    <w:rsid w:val="00FB1B9A"/>
    <w:rsid w:val="00FB1CF8"/>
    <w:rsid w:val="00FB1E35"/>
    <w:rsid w:val="00FB1F53"/>
    <w:rsid w:val="00FB1FAD"/>
    <w:rsid w:val="00FB2101"/>
    <w:rsid w:val="00FB25C3"/>
    <w:rsid w:val="00FB272C"/>
    <w:rsid w:val="00FB274E"/>
    <w:rsid w:val="00FB2A73"/>
    <w:rsid w:val="00FB2B20"/>
    <w:rsid w:val="00FB2C48"/>
    <w:rsid w:val="00FB2E19"/>
    <w:rsid w:val="00FB2F60"/>
    <w:rsid w:val="00FB3172"/>
    <w:rsid w:val="00FB334E"/>
    <w:rsid w:val="00FB3521"/>
    <w:rsid w:val="00FB3668"/>
    <w:rsid w:val="00FB375E"/>
    <w:rsid w:val="00FB3882"/>
    <w:rsid w:val="00FB38FB"/>
    <w:rsid w:val="00FB3903"/>
    <w:rsid w:val="00FB396E"/>
    <w:rsid w:val="00FB3A27"/>
    <w:rsid w:val="00FB3C4D"/>
    <w:rsid w:val="00FB3E00"/>
    <w:rsid w:val="00FB3EA2"/>
    <w:rsid w:val="00FB3FCF"/>
    <w:rsid w:val="00FB41C3"/>
    <w:rsid w:val="00FB4263"/>
    <w:rsid w:val="00FB447E"/>
    <w:rsid w:val="00FB453C"/>
    <w:rsid w:val="00FB4B75"/>
    <w:rsid w:val="00FB4E0A"/>
    <w:rsid w:val="00FB4EC7"/>
    <w:rsid w:val="00FB57EE"/>
    <w:rsid w:val="00FB58CE"/>
    <w:rsid w:val="00FB59FB"/>
    <w:rsid w:val="00FB5A5F"/>
    <w:rsid w:val="00FB5B0F"/>
    <w:rsid w:val="00FB5CB3"/>
    <w:rsid w:val="00FB5E99"/>
    <w:rsid w:val="00FB642F"/>
    <w:rsid w:val="00FB6A84"/>
    <w:rsid w:val="00FB6AB4"/>
    <w:rsid w:val="00FB6B41"/>
    <w:rsid w:val="00FB6D9E"/>
    <w:rsid w:val="00FB7077"/>
    <w:rsid w:val="00FB7082"/>
    <w:rsid w:val="00FB7177"/>
    <w:rsid w:val="00FB7727"/>
    <w:rsid w:val="00FB79BE"/>
    <w:rsid w:val="00FB79CB"/>
    <w:rsid w:val="00FB7A6C"/>
    <w:rsid w:val="00FB7AF7"/>
    <w:rsid w:val="00FB7B40"/>
    <w:rsid w:val="00FB7C82"/>
    <w:rsid w:val="00FB7FCB"/>
    <w:rsid w:val="00FC003C"/>
    <w:rsid w:val="00FC022A"/>
    <w:rsid w:val="00FC079A"/>
    <w:rsid w:val="00FC08FF"/>
    <w:rsid w:val="00FC09BB"/>
    <w:rsid w:val="00FC09F0"/>
    <w:rsid w:val="00FC0B11"/>
    <w:rsid w:val="00FC0B9B"/>
    <w:rsid w:val="00FC0BAC"/>
    <w:rsid w:val="00FC0D2A"/>
    <w:rsid w:val="00FC145E"/>
    <w:rsid w:val="00FC159B"/>
    <w:rsid w:val="00FC1634"/>
    <w:rsid w:val="00FC1719"/>
    <w:rsid w:val="00FC184B"/>
    <w:rsid w:val="00FC1CA8"/>
    <w:rsid w:val="00FC1CD8"/>
    <w:rsid w:val="00FC1D70"/>
    <w:rsid w:val="00FC1E5F"/>
    <w:rsid w:val="00FC2397"/>
    <w:rsid w:val="00FC256F"/>
    <w:rsid w:val="00FC26A1"/>
    <w:rsid w:val="00FC294D"/>
    <w:rsid w:val="00FC2AF0"/>
    <w:rsid w:val="00FC3363"/>
    <w:rsid w:val="00FC39B1"/>
    <w:rsid w:val="00FC3B9D"/>
    <w:rsid w:val="00FC3DF4"/>
    <w:rsid w:val="00FC3E93"/>
    <w:rsid w:val="00FC40D9"/>
    <w:rsid w:val="00FC452F"/>
    <w:rsid w:val="00FC4708"/>
    <w:rsid w:val="00FC48A4"/>
    <w:rsid w:val="00FC4DA8"/>
    <w:rsid w:val="00FC4E41"/>
    <w:rsid w:val="00FC501F"/>
    <w:rsid w:val="00FC50EF"/>
    <w:rsid w:val="00FC5126"/>
    <w:rsid w:val="00FC5603"/>
    <w:rsid w:val="00FC5629"/>
    <w:rsid w:val="00FC5ACE"/>
    <w:rsid w:val="00FC5FED"/>
    <w:rsid w:val="00FC6895"/>
    <w:rsid w:val="00FC6B16"/>
    <w:rsid w:val="00FC6B44"/>
    <w:rsid w:val="00FC70ED"/>
    <w:rsid w:val="00FC73B1"/>
    <w:rsid w:val="00FC748D"/>
    <w:rsid w:val="00FC759A"/>
    <w:rsid w:val="00FC77CA"/>
    <w:rsid w:val="00FC7A96"/>
    <w:rsid w:val="00FC7AE9"/>
    <w:rsid w:val="00FC7B39"/>
    <w:rsid w:val="00FC7B5A"/>
    <w:rsid w:val="00FC7CBA"/>
    <w:rsid w:val="00FD0167"/>
    <w:rsid w:val="00FD01C3"/>
    <w:rsid w:val="00FD01D6"/>
    <w:rsid w:val="00FD022F"/>
    <w:rsid w:val="00FD04DC"/>
    <w:rsid w:val="00FD07B5"/>
    <w:rsid w:val="00FD08ED"/>
    <w:rsid w:val="00FD0A7A"/>
    <w:rsid w:val="00FD0E1F"/>
    <w:rsid w:val="00FD1183"/>
    <w:rsid w:val="00FD138D"/>
    <w:rsid w:val="00FD1502"/>
    <w:rsid w:val="00FD18A9"/>
    <w:rsid w:val="00FD19B9"/>
    <w:rsid w:val="00FD19DD"/>
    <w:rsid w:val="00FD1A83"/>
    <w:rsid w:val="00FD1C61"/>
    <w:rsid w:val="00FD1C91"/>
    <w:rsid w:val="00FD1E08"/>
    <w:rsid w:val="00FD1EEC"/>
    <w:rsid w:val="00FD216B"/>
    <w:rsid w:val="00FD26C3"/>
    <w:rsid w:val="00FD272C"/>
    <w:rsid w:val="00FD27E6"/>
    <w:rsid w:val="00FD28A2"/>
    <w:rsid w:val="00FD2BAB"/>
    <w:rsid w:val="00FD2BEA"/>
    <w:rsid w:val="00FD2C01"/>
    <w:rsid w:val="00FD2C30"/>
    <w:rsid w:val="00FD2F8C"/>
    <w:rsid w:val="00FD3196"/>
    <w:rsid w:val="00FD3259"/>
    <w:rsid w:val="00FD3439"/>
    <w:rsid w:val="00FD3449"/>
    <w:rsid w:val="00FD3716"/>
    <w:rsid w:val="00FD37C5"/>
    <w:rsid w:val="00FD3B24"/>
    <w:rsid w:val="00FD3EE7"/>
    <w:rsid w:val="00FD4129"/>
    <w:rsid w:val="00FD446B"/>
    <w:rsid w:val="00FD483E"/>
    <w:rsid w:val="00FD4917"/>
    <w:rsid w:val="00FD56E7"/>
    <w:rsid w:val="00FD5917"/>
    <w:rsid w:val="00FD5D84"/>
    <w:rsid w:val="00FD5E3F"/>
    <w:rsid w:val="00FD5FED"/>
    <w:rsid w:val="00FD60AF"/>
    <w:rsid w:val="00FD620D"/>
    <w:rsid w:val="00FD6359"/>
    <w:rsid w:val="00FD6454"/>
    <w:rsid w:val="00FD6B69"/>
    <w:rsid w:val="00FD6BD5"/>
    <w:rsid w:val="00FD6C17"/>
    <w:rsid w:val="00FD6DAF"/>
    <w:rsid w:val="00FD70FF"/>
    <w:rsid w:val="00FD719C"/>
    <w:rsid w:val="00FD725F"/>
    <w:rsid w:val="00FD72BB"/>
    <w:rsid w:val="00FD7353"/>
    <w:rsid w:val="00FD73B6"/>
    <w:rsid w:val="00FD73F0"/>
    <w:rsid w:val="00FD7438"/>
    <w:rsid w:val="00FD74BE"/>
    <w:rsid w:val="00FD76BC"/>
    <w:rsid w:val="00FD7B7D"/>
    <w:rsid w:val="00FD7BAB"/>
    <w:rsid w:val="00FD7BF5"/>
    <w:rsid w:val="00FD7CEF"/>
    <w:rsid w:val="00FD7E71"/>
    <w:rsid w:val="00FD7F90"/>
    <w:rsid w:val="00FE00C1"/>
    <w:rsid w:val="00FE0154"/>
    <w:rsid w:val="00FE03F8"/>
    <w:rsid w:val="00FE0564"/>
    <w:rsid w:val="00FE0729"/>
    <w:rsid w:val="00FE0740"/>
    <w:rsid w:val="00FE0825"/>
    <w:rsid w:val="00FE0872"/>
    <w:rsid w:val="00FE09BD"/>
    <w:rsid w:val="00FE0A87"/>
    <w:rsid w:val="00FE0C13"/>
    <w:rsid w:val="00FE0C15"/>
    <w:rsid w:val="00FE107A"/>
    <w:rsid w:val="00FE14D9"/>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0FD"/>
    <w:rsid w:val="00FE4185"/>
    <w:rsid w:val="00FE4236"/>
    <w:rsid w:val="00FE42A6"/>
    <w:rsid w:val="00FE48A4"/>
    <w:rsid w:val="00FE4ADC"/>
    <w:rsid w:val="00FE4B09"/>
    <w:rsid w:val="00FE4EB7"/>
    <w:rsid w:val="00FE4F14"/>
    <w:rsid w:val="00FE5057"/>
    <w:rsid w:val="00FE530B"/>
    <w:rsid w:val="00FE5956"/>
    <w:rsid w:val="00FE5A68"/>
    <w:rsid w:val="00FE6005"/>
    <w:rsid w:val="00FE63BD"/>
    <w:rsid w:val="00FE63F7"/>
    <w:rsid w:val="00FE6429"/>
    <w:rsid w:val="00FE65E7"/>
    <w:rsid w:val="00FE682D"/>
    <w:rsid w:val="00FE683B"/>
    <w:rsid w:val="00FE68DD"/>
    <w:rsid w:val="00FE70F2"/>
    <w:rsid w:val="00FE7190"/>
    <w:rsid w:val="00FE7448"/>
    <w:rsid w:val="00FE7734"/>
    <w:rsid w:val="00FE7A3E"/>
    <w:rsid w:val="00FE7D46"/>
    <w:rsid w:val="00FF066B"/>
    <w:rsid w:val="00FF0714"/>
    <w:rsid w:val="00FF09D3"/>
    <w:rsid w:val="00FF0ABB"/>
    <w:rsid w:val="00FF0E42"/>
    <w:rsid w:val="00FF118F"/>
    <w:rsid w:val="00FF1365"/>
    <w:rsid w:val="00FF13A1"/>
    <w:rsid w:val="00FF1494"/>
    <w:rsid w:val="00FF1716"/>
    <w:rsid w:val="00FF174F"/>
    <w:rsid w:val="00FF1786"/>
    <w:rsid w:val="00FF1853"/>
    <w:rsid w:val="00FF19E9"/>
    <w:rsid w:val="00FF1E43"/>
    <w:rsid w:val="00FF1F16"/>
    <w:rsid w:val="00FF1F5E"/>
    <w:rsid w:val="00FF2026"/>
    <w:rsid w:val="00FF230B"/>
    <w:rsid w:val="00FF2C5E"/>
    <w:rsid w:val="00FF333D"/>
    <w:rsid w:val="00FF340E"/>
    <w:rsid w:val="00FF35DE"/>
    <w:rsid w:val="00FF360B"/>
    <w:rsid w:val="00FF36B0"/>
    <w:rsid w:val="00FF3D6C"/>
    <w:rsid w:val="00FF3F4F"/>
    <w:rsid w:val="00FF4378"/>
    <w:rsid w:val="00FF4536"/>
    <w:rsid w:val="00FF46A9"/>
    <w:rsid w:val="00FF5008"/>
    <w:rsid w:val="00FF5038"/>
    <w:rsid w:val="00FF5282"/>
    <w:rsid w:val="00FF541B"/>
    <w:rsid w:val="00FF55A5"/>
    <w:rsid w:val="00FF56F4"/>
    <w:rsid w:val="00FF5780"/>
    <w:rsid w:val="00FF5A60"/>
    <w:rsid w:val="00FF5DB3"/>
    <w:rsid w:val="00FF62C5"/>
    <w:rsid w:val="00FF641C"/>
    <w:rsid w:val="00FF6766"/>
    <w:rsid w:val="00FF687C"/>
    <w:rsid w:val="00FF6F7C"/>
    <w:rsid w:val="00FF7021"/>
    <w:rsid w:val="00FF7349"/>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427BB"/>
  <w15:docId w15:val="{40410371-3031-4E2D-BFF5-A846DF80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3A3F"/>
    <w:rPr>
      <w:lang w:val="tr-TR" w:eastAsia="en-US"/>
    </w:rPr>
  </w:style>
  <w:style w:type="paragraph" w:styleId="Heading1">
    <w:name w:val="heading 1"/>
    <w:basedOn w:val="Normal"/>
    <w:next w:val="Normal"/>
    <w:link w:val="Heading1Char"/>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500435"/>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500435"/>
    <w:pPr>
      <w:keepNext/>
      <w:jc w:val="both"/>
      <w:outlineLvl w:val="3"/>
    </w:pPr>
    <w:rPr>
      <w:rFonts w:eastAsia="Arial Unicode MS"/>
      <w:b/>
      <w:bCs/>
      <w:sz w:val="16"/>
      <w:szCs w:val="16"/>
    </w:rPr>
  </w:style>
  <w:style w:type="paragraph" w:styleId="Heading5">
    <w:name w:val="heading 5"/>
    <w:basedOn w:val="Normal"/>
    <w:next w:val="Normal"/>
    <w:link w:val="Heading5Char"/>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link w:val="BodyTextIndent3Char"/>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link w:val="CommentSubjectChar"/>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F43903"/>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6">
    <w:name w:val="xl106"/>
    <w:basedOn w:val="Normal"/>
    <w:rsid w:val="00F43903"/>
    <w:pP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F43903"/>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8">
    <w:name w:val="xl108"/>
    <w:basedOn w:val="Normal"/>
    <w:rsid w:val="00F43903"/>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F43903"/>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F43903"/>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F43903"/>
    <w:pPr>
      <w:spacing w:before="100" w:beforeAutospacing="1" w:after="100" w:afterAutospacing="1"/>
      <w:jc w:val="right"/>
      <w:textAlignment w:val="center"/>
    </w:pPr>
    <w:rPr>
      <w:sz w:val="10"/>
      <w:szCs w:val="10"/>
      <w:lang w:eastAsia="tr-TR"/>
    </w:rPr>
  </w:style>
  <w:style w:type="paragraph" w:customStyle="1" w:styleId="xl112">
    <w:name w:val="xl112"/>
    <w:basedOn w:val="Normal"/>
    <w:rsid w:val="00F43903"/>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F43903"/>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F43903"/>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F43903"/>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F43903"/>
    <w:pPr>
      <w:spacing w:before="100" w:beforeAutospacing="1" w:after="100" w:afterAutospacing="1"/>
      <w:jc w:val="right"/>
      <w:textAlignment w:val="center"/>
    </w:pPr>
    <w:rPr>
      <w:lang w:eastAsia="tr-TR"/>
    </w:rPr>
  </w:style>
  <w:style w:type="character" w:customStyle="1" w:styleId="ui-provider">
    <w:name w:val="ui-provider"/>
    <w:basedOn w:val="DefaultParagraphFont"/>
    <w:rsid w:val="00091736"/>
  </w:style>
  <w:style w:type="character" w:customStyle="1" w:styleId="Heading6Char">
    <w:name w:val="Heading 6 Char"/>
    <w:basedOn w:val="DefaultParagraphFont"/>
    <w:link w:val="Heading6"/>
    <w:rsid w:val="0066083E"/>
    <w:rPr>
      <w:rFonts w:cs="Arial"/>
      <w:u w:val="single"/>
      <w:lang w:val="tr-TR" w:eastAsia="en-US"/>
    </w:rPr>
  </w:style>
  <w:style w:type="character" w:customStyle="1" w:styleId="Heading1Char">
    <w:name w:val="Heading 1 Char"/>
    <w:basedOn w:val="DefaultParagraphFont"/>
    <w:link w:val="Heading1"/>
    <w:rsid w:val="00346B96"/>
    <w:rPr>
      <w:b/>
      <w:bCs/>
      <w:sz w:val="14"/>
      <w:szCs w:val="14"/>
      <w:lang w:val="tr-TR" w:eastAsia="en-US"/>
    </w:rPr>
  </w:style>
  <w:style w:type="character" w:customStyle="1" w:styleId="Heading2Char">
    <w:name w:val="Heading 2 Char"/>
    <w:basedOn w:val="DefaultParagraphFont"/>
    <w:link w:val="Heading2"/>
    <w:rsid w:val="00346B96"/>
    <w:rPr>
      <w:b/>
      <w:bCs/>
      <w:sz w:val="14"/>
      <w:szCs w:val="14"/>
      <w:lang w:val="tr-TR" w:eastAsia="en-US"/>
    </w:rPr>
  </w:style>
  <w:style w:type="character" w:customStyle="1" w:styleId="Heading3Char">
    <w:name w:val="Heading 3 Char"/>
    <w:basedOn w:val="DefaultParagraphFont"/>
    <w:link w:val="Heading3"/>
    <w:rsid w:val="00346B96"/>
    <w:rPr>
      <w:b/>
      <w:bCs/>
      <w:sz w:val="14"/>
      <w:szCs w:val="14"/>
      <w:lang w:val="tr-TR" w:eastAsia="en-US"/>
    </w:rPr>
  </w:style>
  <w:style w:type="character" w:customStyle="1" w:styleId="Heading4Char">
    <w:name w:val="Heading 4 Char"/>
    <w:basedOn w:val="DefaultParagraphFont"/>
    <w:link w:val="Heading4"/>
    <w:rsid w:val="00346B96"/>
    <w:rPr>
      <w:rFonts w:eastAsia="Arial Unicode MS"/>
      <w:b/>
      <w:bCs/>
      <w:sz w:val="16"/>
      <w:szCs w:val="16"/>
      <w:lang w:val="tr-TR" w:eastAsia="en-US"/>
    </w:rPr>
  </w:style>
  <w:style w:type="character" w:customStyle="1" w:styleId="Heading5Char">
    <w:name w:val="Heading 5 Char"/>
    <w:basedOn w:val="DefaultParagraphFont"/>
    <w:link w:val="Heading5"/>
    <w:rsid w:val="00346B96"/>
    <w:rPr>
      <w:b/>
      <w:bCs/>
      <w:lang w:val="tr-TR" w:eastAsia="en-US"/>
    </w:rPr>
  </w:style>
  <w:style w:type="character" w:customStyle="1" w:styleId="Heading7Char">
    <w:name w:val="Heading 7 Char"/>
    <w:basedOn w:val="DefaultParagraphFont"/>
    <w:link w:val="Heading7"/>
    <w:rsid w:val="00346B96"/>
    <w:rPr>
      <w:rFonts w:eastAsia="Arial Unicode MS"/>
      <w:b/>
      <w:bCs/>
      <w:lang w:val="tr-TR" w:eastAsia="en-US"/>
    </w:rPr>
  </w:style>
  <w:style w:type="character" w:customStyle="1" w:styleId="Heading9Char">
    <w:name w:val="Heading 9 Char"/>
    <w:basedOn w:val="DefaultParagraphFont"/>
    <w:link w:val="Heading9"/>
    <w:rsid w:val="00346B96"/>
    <w:rPr>
      <w:rFonts w:eastAsia="Arial Unicode MS"/>
      <w:sz w:val="17"/>
      <w:lang w:val="tr-TR" w:eastAsia="en-US"/>
    </w:rPr>
  </w:style>
  <w:style w:type="character" w:customStyle="1" w:styleId="BodyTextIndent2Char">
    <w:name w:val="Body Text Indent 2 Char"/>
    <w:basedOn w:val="DefaultParagraphFont"/>
    <w:link w:val="BodyTextIndent2"/>
    <w:rsid w:val="00346B96"/>
    <w:rPr>
      <w:rFonts w:ascii="Arial" w:hAnsi="Arial"/>
      <w:b/>
      <w:color w:val="000000"/>
      <w:sz w:val="22"/>
      <w:lang w:val="tr-TR" w:eastAsia="en-US"/>
    </w:rPr>
  </w:style>
  <w:style w:type="character" w:customStyle="1" w:styleId="DocumentMapChar">
    <w:name w:val="Document Map Char"/>
    <w:basedOn w:val="DefaultParagraphFont"/>
    <w:link w:val="DocumentMap"/>
    <w:semiHidden/>
    <w:rsid w:val="00346B96"/>
    <w:rPr>
      <w:rFonts w:ascii="Tahoma" w:hAnsi="Tahoma"/>
      <w:shd w:val="clear" w:color="auto" w:fill="000080"/>
      <w:lang w:val="tr-TR" w:eastAsia="en-US"/>
    </w:rPr>
  </w:style>
  <w:style w:type="character" w:customStyle="1" w:styleId="BodyTextIndent3Char">
    <w:name w:val="Body Text Indent 3 Char"/>
    <w:basedOn w:val="DefaultParagraphFont"/>
    <w:link w:val="BodyTextIndent3"/>
    <w:rsid w:val="00346B96"/>
    <w:rPr>
      <w:sz w:val="24"/>
      <w:lang w:val="tr-TR" w:eastAsia="en-US"/>
    </w:rPr>
  </w:style>
  <w:style w:type="character" w:customStyle="1" w:styleId="BalloonTextChar">
    <w:name w:val="Balloon Text Char"/>
    <w:basedOn w:val="DefaultParagraphFont"/>
    <w:link w:val="BalloonText"/>
    <w:semiHidden/>
    <w:rsid w:val="00346B96"/>
    <w:rPr>
      <w:rFonts w:ascii="Tahoma" w:hAnsi="Tahoma" w:cs="Tahoma"/>
      <w:sz w:val="16"/>
      <w:szCs w:val="16"/>
      <w:lang w:val="tr-TR" w:eastAsia="en-US"/>
    </w:rPr>
  </w:style>
  <w:style w:type="character" w:customStyle="1" w:styleId="CommentSubjectChar">
    <w:name w:val="Comment Subject Char"/>
    <w:basedOn w:val="CommentTextChar"/>
    <w:link w:val="CommentSubject"/>
    <w:semiHidden/>
    <w:rsid w:val="00346B96"/>
    <w:rPr>
      <w:b/>
      <w:bCs/>
      <w:lang w:val="tr-TR" w:eastAsia="en-US"/>
    </w:rPr>
  </w:style>
  <w:style w:type="paragraph" w:customStyle="1" w:styleId="xl117">
    <w:name w:val="xl117"/>
    <w:basedOn w:val="Normal"/>
    <w:rsid w:val="00346B96"/>
    <w:pPr>
      <w:spacing w:before="100" w:beforeAutospacing="1" w:after="100" w:afterAutospacing="1"/>
      <w:jc w:val="right"/>
      <w:textAlignment w:val="center"/>
    </w:pPr>
    <w:rPr>
      <w:lang w:eastAsia="tr-TR"/>
    </w:rPr>
  </w:style>
  <w:style w:type="character" w:styleId="Strong">
    <w:name w:val="Strong"/>
    <w:basedOn w:val="DefaultParagraphFont"/>
    <w:uiPriority w:val="22"/>
    <w:qFormat/>
    <w:rsid w:val="003D66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867389">
      <w:bodyDiv w:val="1"/>
      <w:marLeft w:val="0"/>
      <w:marRight w:val="0"/>
      <w:marTop w:val="0"/>
      <w:marBottom w:val="0"/>
      <w:divBdr>
        <w:top w:val="none" w:sz="0" w:space="0" w:color="auto"/>
        <w:left w:val="none" w:sz="0" w:space="0" w:color="auto"/>
        <w:bottom w:val="none" w:sz="0" w:space="0" w:color="auto"/>
        <w:right w:val="none" w:sz="0" w:space="0" w:color="auto"/>
      </w:divBdr>
    </w:div>
    <w:div w:id="4987913">
      <w:bodyDiv w:val="1"/>
      <w:marLeft w:val="0"/>
      <w:marRight w:val="0"/>
      <w:marTop w:val="0"/>
      <w:marBottom w:val="0"/>
      <w:divBdr>
        <w:top w:val="none" w:sz="0" w:space="0" w:color="auto"/>
        <w:left w:val="none" w:sz="0" w:space="0" w:color="auto"/>
        <w:bottom w:val="none" w:sz="0" w:space="0" w:color="auto"/>
        <w:right w:val="none" w:sz="0" w:space="0" w:color="auto"/>
      </w:divBdr>
    </w:div>
    <w:div w:id="5644071">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8458728">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07908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895243">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045659">
      <w:bodyDiv w:val="1"/>
      <w:marLeft w:val="0"/>
      <w:marRight w:val="0"/>
      <w:marTop w:val="0"/>
      <w:marBottom w:val="0"/>
      <w:divBdr>
        <w:top w:val="none" w:sz="0" w:space="0" w:color="auto"/>
        <w:left w:val="none" w:sz="0" w:space="0" w:color="auto"/>
        <w:bottom w:val="none" w:sz="0" w:space="0" w:color="auto"/>
        <w:right w:val="none" w:sz="0" w:space="0" w:color="auto"/>
      </w:divBdr>
    </w:div>
    <w:div w:id="18481232">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3214905">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4714092">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6371443">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7487466">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29765327">
      <w:bodyDiv w:val="1"/>
      <w:marLeft w:val="0"/>
      <w:marRight w:val="0"/>
      <w:marTop w:val="0"/>
      <w:marBottom w:val="0"/>
      <w:divBdr>
        <w:top w:val="none" w:sz="0" w:space="0" w:color="auto"/>
        <w:left w:val="none" w:sz="0" w:space="0" w:color="auto"/>
        <w:bottom w:val="none" w:sz="0" w:space="0" w:color="auto"/>
        <w:right w:val="none" w:sz="0" w:space="0" w:color="auto"/>
      </w:divBdr>
    </w:div>
    <w:div w:id="30617626">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854508">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2410923">
      <w:bodyDiv w:val="1"/>
      <w:marLeft w:val="0"/>
      <w:marRight w:val="0"/>
      <w:marTop w:val="0"/>
      <w:marBottom w:val="0"/>
      <w:divBdr>
        <w:top w:val="none" w:sz="0" w:space="0" w:color="auto"/>
        <w:left w:val="none" w:sz="0" w:space="0" w:color="auto"/>
        <w:bottom w:val="none" w:sz="0" w:space="0" w:color="auto"/>
        <w:right w:val="none" w:sz="0" w:space="0" w:color="auto"/>
      </w:divBdr>
    </w:div>
    <w:div w:id="43332112">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959842">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244569">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333001">
      <w:bodyDiv w:val="1"/>
      <w:marLeft w:val="0"/>
      <w:marRight w:val="0"/>
      <w:marTop w:val="0"/>
      <w:marBottom w:val="0"/>
      <w:divBdr>
        <w:top w:val="none" w:sz="0" w:space="0" w:color="auto"/>
        <w:left w:val="none" w:sz="0" w:space="0" w:color="auto"/>
        <w:bottom w:val="none" w:sz="0" w:space="0" w:color="auto"/>
        <w:right w:val="none" w:sz="0" w:space="0" w:color="auto"/>
      </w:divBdr>
    </w:div>
    <w:div w:id="58872473">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3918335">
      <w:bodyDiv w:val="1"/>
      <w:marLeft w:val="0"/>
      <w:marRight w:val="0"/>
      <w:marTop w:val="0"/>
      <w:marBottom w:val="0"/>
      <w:divBdr>
        <w:top w:val="none" w:sz="0" w:space="0" w:color="auto"/>
        <w:left w:val="none" w:sz="0" w:space="0" w:color="auto"/>
        <w:bottom w:val="none" w:sz="0" w:space="0" w:color="auto"/>
        <w:right w:val="none" w:sz="0" w:space="0" w:color="auto"/>
      </w:divBdr>
    </w:div>
    <w:div w:id="6399131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109624">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65294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3665829">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4522377">
      <w:bodyDiv w:val="1"/>
      <w:marLeft w:val="0"/>
      <w:marRight w:val="0"/>
      <w:marTop w:val="0"/>
      <w:marBottom w:val="0"/>
      <w:divBdr>
        <w:top w:val="none" w:sz="0" w:space="0" w:color="auto"/>
        <w:left w:val="none" w:sz="0" w:space="0" w:color="auto"/>
        <w:bottom w:val="none" w:sz="0" w:space="0" w:color="auto"/>
        <w:right w:val="none" w:sz="0" w:space="0" w:color="auto"/>
      </w:divBdr>
    </w:div>
    <w:div w:id="75789786">
      <w:bodyDiv w:val="1"/>
      <w:marLeft w:val="0"/>
      <w:marRight w:val="0"/>
      <w:marTop w:val="0"/>
      <w:marBottom w:val="0"/>
      <w:divBdr>
        <w:top w:val="none" w:sz="0" w:space="0" w:color="auto"/>
        <w:left w:val="none" w:sz="0" w:space="0" w:color="auto"/>
        <w:bottom w:val="none" w:sz="0" w:space="0" w:color="auto"/>
        <w:right w:val="none" w:sz="0" w:space="0" w:color="auto"/>
      </w:divBdr>
    </w:div>
    <w:div w:id="76636701">
      <w:bodyDiv w:val="1"/>
      <w:marLeft w:val="0"/>
      <w:marRight w:val="0"/>
      <w:marTop w:val="0"/>
      <w:marBottom w:val="0"/>
      <w:divBdr>
        <w:top w:val="none" w:sz="0" w:space="0" w:color="auto"/>
        <w:left w:val="none" w:sz="0" w:space="0" w:color="auto"/>
        <w:bottom w:val="none" w:sz="0" w:space="0" w:color="auto"/>
        <w:right w:val="none" w:sz="0" w:space="0" w:color="auto"/>
      </w:divBdr>
    </w:div>
    <w:div w:id="77026599">
      <w:bodyDiv w:val="1"/>
      <w:marLeft w:val="0"/>
      <w:marRight w:val="0"/>
      <w:marTop w:val="0"/>
      <w:marBottom w:val="0"/>
      <w:divBdr>
        <w:top w:val="none" w:sz="0" w:space="0" w:color="auto"/>
        <w:left w:val="none" w:sz="0" w:space="0" w:color="auto"/>
        <w:bottom w:val="none" w:sz="0" w:space="0" w:color="auto"/>
        <w:right w:val="none" w:sz="0" w:space="0" w:color="auto"/>
      </w:divBdr>
    </w:div>
    <w:div w:id="77295535">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493816">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828370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4176454">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373465">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7067516">
      <w:bodyDiv w:val="1"/>
      <w:marLeft w:val="0"/>
      <w:marRight w:val="0"/>
      <w:marTop w:val="0"/>
      <w:marBottom w:val="0"/>
      <w:divBdr>
        <w:top w:val="none" w:sz="0" w:space="0" w:color="auto"/>
        <w:left w:val="none" w:sz="0" w:space="0" w:color="auto"/>
        <w:bottom w:val="none" w:sz="0" w:space="0" w:color="auto"/>
        <w:right w:val="none" w:sz="0" w:space="0" w:color="auto"/>
      </w:divBdr>
    </w:div>
    <w:div w:id="99299125">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417652">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503100">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6967150">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207384">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6991343">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035665">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075275">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79977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0973076">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5515480">
      <w:bodyDiv w:val="1"/>
      <w:marLeft w:val="0"/>
      <w:marRight w:val="0"/>
      <w:marTop w:val="0"/>
      <w:marBottom w:val="0"/>
      <w:divBdr>
        <w:top w:val="none" w:sz="0" w:space="0" w:color="auto"/>
        <w:left w:val="none" w:sz="0" w:space="0" w:color="auto"/>
        <w:bottom w:val="none" w:sz="0" w:space="0" w:color="auto"/>
        <w:right w:val="none" w:sz="0" w:space="0" w:color="auto"/>
      </w:divBdr>
    </w:div>
    <w:div w:id="146097785">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6867207">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252911">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484548">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2471200">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575243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796311">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376492">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872670">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692292">
      <w:bodyDiv w:val="1"/>
      <w:marLeft w:val="0"/>
      <w:marRight w:val="0"/>
      <w:marTop w:val="0"/>
      <w:marBottom w:val="0"/>
      <w:divBdr>
        <w:top w:val="none" w:sz="0" w:space="0" w:color="auto"/>
        <w:left w:val="none" w:sz="0" w:space="0" w:color="auto"/>
        <w:bottom w:val="none" w:sz="0" w:space="0" w:color="auto"/>
        <w:right w:val="none" w:sz="0" w:space="0" w:color="auto"/>
      </w:divBdr>
    </w:div>
    <w:div w:id="17311075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6844698">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469173">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094183">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18736">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4750647">
      <w:bodyDiv w:val="1"/>
      <w:marLeft w:val="0"/>
      <w:marRight w:val="0"/>
      <w:marTop w:val="0"/>
      <w:marBottom w:val="0"/>
      <w:divBdr>
        <w:top w:val="none" w:sz="0" w:space="0" w:color="auto"/>
        <w:left w:val="none" w:sz="0" w:space="0" w:color="auto"/>
        <w:bottom w:val="none" w:sz="0" w:space="0" w:color="auto"/>
        <w:right w:val="none" w:sz="0" w:space="0" w:color="auto"/>
      </w:divBdr>
    </w:div>
    <w:div w:id="184752199">
      <w:bodyDiv w:val="1"/>
      <w:marLeft w:val="0"/>
      <w:marRight w:val="0"/>
      <w:marTop w:val="0"/>
      <w:marBottom w:val="0"/>
      <w:divBdr>
        <w:top w:val="none" w:sz="0" w:space="0" w:color="auto"/>
        <w:left w:val="none" w:sz="0" w:space="0" w:color="auto"/>
        <w:bottom w:val="none" w:sz="0" w:space="0" w:color="auto"/>
        <w:right w:val="none" w:sz="0" w:space="0" w:color="auto"/>
      </w:divBdr>
    </w:div>
    <w:div w:id="185219483">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4226">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137085">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180989">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257">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049670">
      <w:bodyDiv w:val="1"/>
      <w:marLeft w:val="0"/>
      <w:marRight w:val="0"/>
      <w:marTop w:val="0"/>
      <w:marBottom w:val="0"/>
      <w:divBdr>
        <w:top w:val="none" w:sz="0" w:space="0" w:color="auto"/>
        <w:left w:val="none" w:sz="0" w:space="0" w:color="auto"/>
        <w:bottom w:val="none" w:sz="0" w:space="0" w:color="auto"/>
        <w:right w:val="none" w:sz="0" w:space="0" w:color="auto"/>
      </w:divBdr>
    </w:div>
    <w:div w:id="196283279">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55645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72125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10114669">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573">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4265873">
      <w:bodyDiv w:val="1"/>
      <w:marLeft w:val="0"/>
      <w:marRight w:val="0"/>
      <w:marTop w:val="0"/>
      <w:marBottom w:val="0"/>
      <w:divBdr>
        <w:top w:val="none" w:sz="0" w:space="0" w:color="auto"/>
        <w:left w:val="none" w:sz="0" w:space="0" w:color="auto"/>
        <w:bottom w:val="none" w:sz="0" w:space="0" w:color="auto"/>
        <w:right w:val="none" w:sz="0" w:space="0" w:color="auto"/>
      </w:divBdr>
    </w:div>
    <w:div w:id="224723578">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5941246">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329861">
      <w:bodyDiv w:val="1"/>
      <w:marLeft w:val="0"/>
      <w:marRight w:val="0"/>
      <w:marTop w:val="0"/>
      <w:marBottom w:val="0"/>
      <w:divBdr>
        <w:top w:val="none" w:sz="0" w:space="0" w:color="auto"/>
        <w:left w:val="none" w:sz="0" w:space="0" w:color="auto"/>
        <w:bottom w:val="none" w:sz="0" w:space="0" w:color="auto"/>
        <w:right w:val="none" w:sz="0" w:space="0" w:color="auto"/>
      </w:divBdr>
    </w:div>
    <w:div w:id="241523627">
      <w:bodyDiv w:val="1"/>
      <w:marLeft w:val="0"/>
      <w:marRight w:val="0"/>
      <w:marTop w:val="0"/>
      <w:marBottom w:val="0"/>
      <w:divBdr>
        <w:top w:val="none" w:sz="0" w:space="0" w:color="auto"/>
        <w:left w:val="none" w:sz="0" w:space="0" w:color="auto"/>
        <w:bottom w:val="none" w:sz="0" w:space="0" w:color="auto"/>
        <w:right w:val="none" w:sz="0" w:space="0" w:color="auto"/>
      </w:divBdr>
    </w:div>
    <w:div w:id="241573331">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74251">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923627">
      <w:bodyDiv w:val="1"/>
      <w:marLeft w:val="0"/>
      <w:marRight w:val="0"/>
      <w:marTop w:val="0"/>
      <w:marBottom w:val="0"/>
      <w:divBdr>
        <w:top w:val="none" w:sz="0" w:space="0" w:color="auto"/>
        <w:left w:val="none" w:sz="0" w:space="0" w:color="auto"/>
        <w:bottom w:val="none" w:sz="0" w:space="0" w:color="auto"/>
        <w:right w:val="none" w:sz="0" w:space="0" w:color="auto"/>
      </w:divBdr>
    </w:div>
    <w:div w:id="247540574">
      <w:bodyDiv w:val="1"/>
      <w:marLeft w:val="0"/>
      <w:marRight w:val="0"/>
      <w:marTop w:val="0"/>
      <w:marBottom w:val="0"/>
      <w:divBdr>
        <w:top w:val="none" w:sz="0" w:space="0" w:color="auto"/>
        <w:left w:val="none" w:sz="0" w:space="0" w:color="auto"/>
        <w:bottom w:val="none" w:sz="0" w:space="0" w:color="auto"/>
        <w:right w:val="none" w:sz="0" w:space="0" w:color="auto"/>
      </w:divBdr>
    </w:div>
    <w:div w:id="247740744">
      <w:bodyDiv w:val="1"/>
      <w:marLeft w:val="0"/>
      <w:marRight w:val="0"/>
      <w:marTop w:val="0"/>
      <w:marBottom w:val="0"/>
      <w:divBdr>
        <w:top w:val="none" w:sz="0" w:space="0" w:color="auto"/>
        <w:left w:val="none" w:sz="0" w:space="0" w:color="auto"/>
        <w:bottom w:val="none" w:sz="0" w:space="0" w:color="auto"/>
        <w:right w:val="none" w:sz="0" w:space="0" w:color="auto"/>
      </w:divBdr>
    </w:div>
    <w:div w:id="24865732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6713557">
      <w:bodyDiv w:val="1"/>
      <w:marLeft w:val="0"/>
      <w:marRight w:val="0"/>
      <w:marTop w:val="0"/>
      <w:marBottom w:val="0"/>
      <w:divBdr>
        <w:top w:val="none" w:sz="0" w:space="0" w:color="auto"/>
        <w:left w:val="none" w:sz="0" w:space="0" w:color="auto"/>
        <w:bottom w:val="none" w:sz="0" w:space="0" w:color="auto"/>
        <w:right w:val="none" w:sz="0" w:space="0" w:color="auto"/>
      </w:divBdr>
    </w:div>
    <w:div w:id="25783572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001485">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48423">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1591459">
      <w:bodyDiv w:val="1"/>
      <w:marLeft w:val="0"/>
      <w:marRight w:val="0"/>
      <w:marTop w:val="0"/>
      <w:marBottom w:val="0"/>
      <w:divBdr>
        <w:top w:val="none" w:sz="0" w:space="0" w:color="auto"/>
        <w:left w:val="none" w:sz="0" w:space="0" w:color="auto"/>
        <w:bottom w:val="none" w:sz="0" w:space="0" w:color="auto"/>
        <w:right w:val="none" w:sz="0" w:space="0" w:color="auto"/>
      </w:divBdr>
    </w:div>
    <w:div w:id="271670522">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295664">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157067">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2226786">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7129">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2462">
      <w:bodyDiv w:val="1"/>
      <w:marLeft w:val="0"/>
      <w:marRight w:val="0"/>
      <w:marTop w:val="0"/>
      <w:marBottom w:val="0"/>
      <w:divBdr>
        <w:top w:val="none" w:sz="0" w:space="0" w:color="auto"/>
        <w:left w:val="none" w:sz="0" w:space="0" w:color="auto"/>
        <w:bottom w:val="none" w:sz="0" w:space="0" w:color="auto"/>
        <w:right w:val="none" w:sz="0" w:space="0" w:color="auto"/>
      </w:divBdr>
    </w:div>
    <w:div w:id="299580417">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0502749">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789643">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554934">
      <w:bodyDiv w:val="1"/>
      <w:marLeft w:val="0"/>
      <w:marRight w:val="0"/>
      <w:marTop w:val="0"/>
      <w:marBottom w:val="0"/>
      <w:divBdr>
        <w:top w:val="none" w:sz="0" w:space="0" w:color="auto"/>
        <w:left w:val="none" w:sz="0" w:space="0" w:color="auto"/>
        <w:bottom w:val="none" w:sz="0" w:space="0" w:color="auto"/>
        <w:right w:val="none" w:sz="0" w:space="0" w:color="auto"/>
      </w:divBdr>
    </w:div>
    <w:div w:id="309755714">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185792">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10236">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13480">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19773221">
      <w:bodyDiv w:val="1"/>
      <w:marLeft w:val="0"/>
      <w:marRight w:val="0"/>
      <w:marTop w:val="0"/>
      <w:marBottom w:val="0"/>
      <w:divBdr>
        <w:top w:val="none" w:sz="0" w:space="0" w:color="auto"/>
        <w:left w:val="none" w:sz="0" w:space="0" w:color="auto"/>
        <w:bottom w:val="none" w:sz="0" w:space="0" w:color="auto"/>
        <w:right w:val="none" w:sz="0" w:space="0" w:color="auto"/>
      </w:divBdr>
    </w:div>
    <w:div w:id="32028186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641487">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7903051">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15155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989629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19883">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9070009">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05312">
      <w:bodyDiv w:val="1"/>
      <w:marLeft w:val="0"/>
      <w:marRight w:val="0"/>
      <w:marTop w:val="0"/>
      <w:marBottom w:val="0"/>
      <w:divBdr>
        <w:top w:val="none" w:sz="0" w:space="0" w:color="auto"/>
        <w:left w:val="none" w:sz="0" w:space="0" w:color="auto"/>
        <w:bottom w:val="none" w:sz="0" w:space="0" w:color="auto"/>
        <w:right w:val="none" w:sz="0" w:space="0" w:color="auto"/>
      </w:divBdr>
    </w:div>
    <w:div w:id="353387809">
      <w:bodyDiv w:val="1"/>
      <w:marLeft w:val="0"/>
      <w:marRight w:val="0"/>
      <w:marTop w:val="0"/>
      <w:marBottom w:val="0"/>
      <w:divBdr>
        <w:top w:val="none" w:sz="0" w:space="0" w:color="auto"/>
        <w:left w:val="none" w:sz="0" w:space="0" w:color="auto"/>
        <w:bottom w:val="none" w:sz="0" w:space="0" w:color="auto"/>
        <w:right w:val="none" w:sz="0" w:space="0" w:color="auto"/>
      </w:divBdr>
    </w:div>
    <w:div w:id="354506943">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8356056">
      <w:bodyDiv w:val="1"/>
      <w:marLeft w:val="0"/>
      <w:marRight w:val="0"/>
      <w:marTop w:val="0"/>
      <w:marBottom w:val="0"/>
      <w:divBdr>
        <w:top w:val="none" w:sz="0" w:space="0" w:color="auto"/>
        <w:left w:val="none" w:sz="0" w:space="0" w:color="auto"/>
        <w:bottom w:val="none" w:sz="0" w:space="0" w:color="auto"/>
        <w:right w:val="none" w:sz="0" w:space="0" w:color="auto"/>
      </w:divBdr>
    </w:div>
    <w:div w:id="359208649">
      <w:bodyDiv w:val="1"/>
      <w:marLeft w:val="0"/>
      <w:marRight w:val="0"/>
      <w:marTop w:val="0"/>
      <w:marBottom w:val="0"/>
      <w:divBdr>
        <w:top w:val="none" w:sz="0" w:space="0" w:color="auto"/>
        <w:left w:val="none" w:sz="0" w:space="0" w:color="auto"/>
        <w:bottom w:val="none" w:sz="0" w:space="0" w:color="auto"/>
        <w:right w:val="none" w:sz="0" w:space="0" w:color="auto"/>
      </w:divBdr>
    </w:div>
    <w:div w:id="359546876">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2050521">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6100457">
      <w:bodyDiv w:val="1"/>
      <w:marLeft w:val="0"/>
      <w:marRight w:val="0"/>
      <w:marTop w:val="0"/>
      <w:marBottom w:val="0"/>
      <w:divBdr>
        <w:top w:val="none" w:sz="0" w:space="0" w:color="auto"/>
        <w:left w:val="none" w:sz="0" w:space="0" w:color="auto"/>
        <w:bottom w:val="none" w:sz="0" w:space="0" w:color="auto"/>
        <w:right w:val="none" w:sz="0" w:space="0" w:color="auto"/>
      </w:divBdr>
    </w:div>
    <w:div w:id="366956440">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312367">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0715091">
      <w:bodyDiv w:val="1"/>
      <w:marLeft w:val="0"/>
      <w:marRight w:val="0"/>
      <w:marTop w:val="0"/>
      <w:marBottom w:val="0"/>
      <w:divBdr>
        <w:top w:val="none" w:sz="0" w:space="0" w:color="auto"/>
        <w:left w:val="none" w:sz="0" w:space="0" w:color="auto"/>
        <w:bottom w:val="none" w:sz="0" w:space="0" w:color="auto"/>
        <w:right w:val="none" w:sz="0" w:space="0" w:color="auto"/>
      </w:divBdr>
    </w:div>
    <w:div w:id="381254269">
      <w:bodyDiv w:val="1"/>
      <w:marLeft w:val="0"/>
      <w:marRight w:val="0"/>
      <w:marTop w:val="0"/>
      <w:marBottom w:val="0"/>
      <w:divBdr>
        <w:top w:val="none" w:sz="0" w:space="0" w:color="auto"/>
        <w:left w:val="none" w:sz="0" w:space="0" w:color="auto"/>
        <w:bottom w:val="none" w:sz="0" w:space="0" w:color="auto"/>
        <w:right w:val="none" w:sz="0" w:space="0" w:color="auto"/>
      </w:divBdr>
    </w:div>
    <w:div w:id="381750494">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20951">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3800305">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7723722">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272797">
      <w:bodyDiv w:val="1"/>
      <w:marLeft w:val="0"/>
      <w:marRight w:val="0"/>
      <w:marTop w:val="0"/>
      <w:marBottom w:val="0"/>
      <w:divBdr>
        <w:top w:val="none" w:sz="0" w:space="0" w:color="auto"/>
        <w:left w:val="none" w:sz="0" w:space="0" w:color="auto"/>
        <w:bottom w:val="none" w:sz="0" w:space="0" w:color="auto"/>
        <w:right w:val="none" w:sz="0" w:space="0" w:color="auto"/>
      </w:divBdr>
    </w:div>
    <w:div w:id="391392177">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400720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470712">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397206">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3403796">
      <w:bodyDiv w:val="1"/>
      <w:marLeft w:val="0"/>
      <w:marRight w:val="0"/>
      <w:marTop w:val="0"/>
      <w:marBottom w:val="0"/>
      <w:divBdr>
        <w:top w:val="none" w:sz="0" w:space="0" w:color="auto"/>
        <w:left w:val="none" w:sz="0" w:space="0" w:color="auto"/>
        <w:bottom w:val="none" w:sz="0" w:space="0" w:color="auto"/>
        <w:right w:val="none" w:sz="0" w:space="0" w:color="auto"/>
      </w:divBdr>
    </w:div>
    <w:div w:id="413821542">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6901863">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911299">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8627631">
      <w:bodyDiv w:val="1"/>
      <w:marLeft w:val="0"/>
      <w:marRight w:val="0"/>
      <w:marTop w:val="0"/>
      <w:marBottom w:val="0"/>
      <w:divBdr>
        <w:top w:val="none" w:sz="0" w:space="0" w:color="auto"/>
        <w:left w:val="none" w:sz="0" w:space="0" w:color="auto"/>
        <w:bottom w:val="none" w:sz="0" w:space="0" w:color="auto"/>
        <w:right w:val="none" w:sz="0" w:space="0" w:color="auto"/>
      </w:divBdr>
    </w:div>
    <w:div w:id="4298620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6411889">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3352122">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5388383">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478689">
      <w:bodyDiv w:val="1"/>
      <w:marLeft w:val="0"/>
      <w:marRight w:val="0"/>
      <w:marTop w:val="0"/>
      <w:marBottom w:val="0"/>
      <w:divBdr>
        <w:top w:val="none" w:sz="0" w:space="0" w:color="auto"/>
        <w:left w:val="none" w:sz="0" w:space="0" w:color="auto"/>
        <w:bottom w:val="none" w:sz="0" w:space="0" w:color="auto"/>
        <w:right w:val="none" w:sz="0" w:space="0" w:color="auto"/>
      </w:divBdr>
    </w:div>
    <w:div w:id="452477117">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458895">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465942">
      <w:bodyDiv w:val="1"/>
      <w:marLeft w:val="0"/>
      <w:marRight w:val="0"/>
      <w:marTop w:val="0"/>
      <w:marBottom w:val="0"/>
      <w:divBdr>
        <w:top w:val="none" w:sz="0" w:space="0" w:color="auto"/>
        <w:left w:val="none" w:sz="0" w:space="0" w:color="auto"/>
        <w:bottom w:val="none" w:sz="0" w:space="0" w:color="auto"/>
        <w:right w:val="none" w:sz="0" w:space="0" w:color="auto"/>
      </w:divBdr>
    </w:div>
    <w:div w:id="461659998">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6120783">
      <w:bodyDiv w:val="1"/>
      <w:marLeft w:val="0"/>
      <w:marRight w:val="0"/>
      <w:marTop w:val="0"/>
      <w:marBottom w:val="0"/>
      <w:divBdr>
        <w:top w:val="none" w:sz="0" w:space="0" w:color="auto"/>
        <w:left w:val="none" w:sz="0" w:space="0" w:color="auto"/>
        <w:bottom w:val="none" w:sz="0" w:space="0" w:color="auto"/>
        <w:right w:val="none" w:sz="0" w:space="0" w:color="auto"/>
      </w:divBdr>
    </w:div>
    <w:div w:id="466901894">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17268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69905220">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1872291">
      <w:bodyDiv w:val="1"/>
      <w:marLeft w:val="0"/>
      <w:marRight w:val="0"/>
      <w:marTop w:val="0"/>
      <w:marBottom w:val="0"/>
      <w:divBdr>
        <w:top w:val="none" w:sz="0" w:space="0" w:color="auto"/>
        <w:left w:val="none" w:sz="0" w:space="0" w:color="auto"/>
        <w:bottom w:val="none" w:sz="0" w:space="0" w:color="auto"/>
        <w:right w:val="none" w:sz="0" w:space="0" w:color="auto"/>
      </w:divBdr>
    </w:div>
    <w:div w:id="471945713">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602609">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344910">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68144">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694781">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0191684">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468022">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749469">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12803">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93185509">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764525">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034446">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35105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323855">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534932">
      <w:bodyDiv w:val="1"/>
      <w:marLeft w:val="0"/>
      <w:marRight w:val="0"/>
      <w:marTop w:val="0"/>
      <w:marBottom w:val="0"/>
      <w:divBdr>
        <w:top w:val="none" w:sz="0" w:space="0" w:color="auto"/>
        <w:left w:val="none" w:sz="0" w:space="0" w:color="auto"/>
        <w:bottom w:val="none" w:sz="0" w:space="0" w:color="auto"/>
        <w:right w:val="none" w:sz="0" w:space="0" w:color="auto"/>
      </w:divBdr>
    </w:div>
    <w:div w:id="511066359">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279506">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8933971">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46695">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8730">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7939739">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0365404">
      <w:bodyDiv w:val="1"/>
      <w:marLeft w:val="0"/>
      <w:marRight w:val="0"/>
      <w:marTop w:val="0"/>
      <w:marBottom w:val="0"/>
      <w:divBdr>
        <w:top w:val="none" w:sz="0" w:space="0" w:color="auto"/>
        <w:left w:val="none" w:sz="0" w:space="0" w:color="auto"/>
        <w:bottom w:val="none" w:sz="0" w:space="0" w:color="auto"/>
        <w:right w:val="none" w:sz="0" w:space="0" w:color="auto"/>
      </w:divBdr>
    </w:div>
    <w:div w:id="541131455">
      <w:bodyDiv w:val="1"/>
      <w:marLeft w:val="0"/>
      <w:marRight w:val="0"/>
      <w:marTop w:val="0"/>
      <w:marBottom w:val="0"/>
      <w:divBdr>
        <w:top w:val="none" w:sz="0" w:space="0" w:color="auto"/>
        <w:left w:val="none" w:sz="0" w:space="0" w:color="auto"/>
        <w:bottom w:val="none" w:sz="0" w:space="0" w:color="auto"/>
        <w:right w:val="none" w:sz="0" w:space="0" w:color="auto"/>
      </w:divBdr>
    </w:div>
    <w:div w:id="541593909">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6645080">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147829">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156869">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39520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0678217">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1502234">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3208">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065616">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646041">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808210">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093330">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249743">
      <w:bodyDiv w:val="1"/>
      <w:marLeft w:val="0"/>
      <w:marRight w:val="0"/>
      <w:marTop w:val="0"/>
      <w:marBottom w:val="0"/>
      <w:divBdr>
        <w:top w:val="none" w:sz="0" w:space="0" w:color="auto"/>
        <w:left w:val="none" w:sz="0" w:space="0" w:color="auto"/>
        <w:bottom w:val="none" w:sz="0" w:space="0" w:color="auto"/>
        <w:right w:val="none" w:sz="0" w:space="0" w:color="auto"/>
      </w:divBdr>
    </w:div>
    <w:div w:id="597566236">
      <w:bodyDiv w:val="1"/>
      <w:marLeft w:val="0"/>
      <w:marRight w:val="0"/>
      <w:marTop w:val="0"/>
      <w:marBottom w:val="0"/>
      <w:divBdr>
        <w:top w:val="none" w:sz="0" w:space="0" w:color="auto"/>
        <w:left w:val="none" w:sz="0" w:space="0" w:color="auto"/>
        <w:bottom w:val="none" w:sz="0" w:space="0" w:color="auto"/>
        <w:right w:val="none" w:sz="0" w:space="0" w:color="auto"/>
      </w:divBdr>
    </w:div>
    <w:div w:id="599217494">
      <w:bodyDiv w:val="1"/>
      <w:marLeft w:val="0"/>
      <w:marRight w:val="0"/>
      <w:marTop w:val="0"/>
      <w:marBottom w:val="0"/>
      <w:divBdr>
        <w:top w:val="none" w:sz="0" w:space="0" w:color="auto"/>
        <w:left w:val="none" w:sz="0" w:space="0" w:color="auto"/>
        <w:bottom w:val="none" w:sz="0" w:space="0" w:color="auto"/>
        <w:right w:val="none" w:sz="0" w:space="0" w:color="auto"/>
      </w:divBdr>
    </w:div>
    <w:div w:id="60033678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26887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387284">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006258">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986947">
      <w:bodyDiv w:val="1"/>
      <w:marLeft w:val="0"/>
      <w:marRight w:val="0"/>
      <w:marTop w:val="0"/>
      <w:marBottom w:val="0"/>
      <w:divBdr>
        <w:top w:val="none" w:sz="0" w:space="0" w:color="auto"/>
        <w:left w:val="none" w:sz="0" w:space="0" w:color="auto"/>
        <w:bottom w:val="none" w:sz="0" w:space="0" w:color="auto"/>
        <w:right w:val="none" w:sz="0" w:space="0" w:color="auto"/>
      </w:divBdr>
    </w:div>
    <w:div w:id="616721920">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109764">
      <w:bodyDiv w:val="1"/>
      <w:marLeft w:val="0"/>
      <w:marRight w:val="0"/>
      <w:marTop w:val="0"/>
      <w:marBottom w:val="0"/>
      <w:divBdr>
        <w:top w:val="none" w:sz="0" w:space="0" w:color="auto"/>
        <w:left w:val="none" w:sz="0" w:space="0" w:color="auto"/>
        <w:bottom w:val="none" w:sz="0" w:space="0" w:color="auto"/>
        <w:right w:val="none" w:sz="0" w:space="0" w:color="auto"/>
      </w:divBdr>
    </w:div>
    <w:div w:id="617568597">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19917577">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3274606">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6132574">
      <w:bodyDiv w:val="1"/>
      <w:marLeft w:val="0"/>
      <w:marRight w:val="0"/>
      <w:marTop w:val="0"/>
      <w:marBottom w:val="0"/>
      <w:divBdr>
        <w:top w:val="none" w:sz="0" w:space="0" w:color="auto"/>
        <w:left w:val="none" w:sz="0" w:space="0" w:color="auto"/>
        <w:bottom w:val="none" w:sz="0" w:space="0" w:color="auto"/>
        <w:right w:val="none" w:sz="0" w:space="0" w:color="auto"/>
      </w:divBdr>
    </w:div>
    <w:div w:id="626132661">
      <w:bodyDiv w:val="1"/>
      <w:marLeft w:val="0"/>
      <w:marRight w:val="0"/>
      <w:marTop w:val="0"/>
      <w:marBottom w:val="0"/>
      <w:divBdr>
        <w:top w:val="none" w:sz="0" w:space="0" w:color="auto"/>
        <w:left w:val="none" w:sz="0" w:space="0" w:color="auto"/>
        <w:bottom w:val="none" w:sz="0" w:space="0" w:color="auto"/>
        <w:right w:val="none" w:sz="0" w:space="0" w:color="auto"/>
      </w:divBdr>
    </w:div>
    <w:div w:id="627274045">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8240449">
      <w:bodyDiv w:val="1"/>
      <w:marLeft w:val="0"/>
      <w:marRight w:val="0"/>
      <w:marTop w:val="0"/>
      <w:marBottom w:val="0"/>
      <w:divBdr>
        <w:top w:val="none" w:sz="0" w:space="0" w:color="auto"/>
        <w:left w:val="none" w:sz="0" w:space="0" w:color="auto"/>
        <w:bottom w:val="none" w:sz="0" w:space="0" w:color="auto"/>
        <w:right w:val="none" w:sz="0" w:space="0" w:color="auto"/>
      </w:divBdr>
    </w:div>
    <w:div w:id="629168592">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948249">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5479282">
      <w:bodyDiv w:val="1"/>
      <w:marLeft w:val="0"/>
      <w:marRight w:val="0"/>
      <w:marTop w:val="0"/>
      <w:marBottom w:val="0"/>
      <w:divBdr>
        <w:top w:val="none" w:sz="0" w:space="0" w:color="auto"/>
        <w:left w:val="none" w:sz="0" w:space="0" w:color="auto"/>
        <w:bottom w:val="none" w:sz="0" w:space="0" w:color="auto"/>
        <w:right w:val="none" w:sz="0" w:space="0" w:color="auto"/>
      </w:divBdr>
    </w:div>
    <w:div w:id="645817271">
      <w:bodyDiv w:val="1"/>
      <w:marLeft w:val="0"/>
      <w:marRight w:val="0"/>
      <w:marTop w:val="0"/>
      <w:marBottom w:val="0"/>
      <w:divBdr>
        <w:top w:val="none" w:sz="0" w:space="0" w:color="auto"/>
        <w:left w:val="none" w:sz="0" w:space="0" w:color="auto"/>
        <w:bottom w:val="none" w:sz="0" w:space="0" w:color="auto"/>
        <w:right w:val="none" w:sz="0" w:space="0" w:color="auto"/>
      </w:divBdr>
    </w:div>
    <w:div w:id="646516038">
      <w:bodyDiv w:val="1"/>
      <w:marLeft w:val="0"/>
      <w:marRight w:val="0"/>
      <w:marTop w:val="0"/>
      <w:marBottom w:val="0"/>
      <w:divBdr>
        <w:top w:val="none" w:sz="0" w:space="0" w:color="auto"/>
        <w:left w:val="none" w:sz="0" w:space="0" w:color="auto"/>
        <w:bottom w:val="none" w:sz="0" w:space="0" w:color="auto"/>
        <w:right w:val="none" w:sz="0" w:space="0" w:color="auto"/>
      </w:divBdr>
    </w:div>
    <w:div w:id="647057639">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306654">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59504">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4211460">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2876371">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235939">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224963">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6469843">
      <w:bodyDiv w:val="1"/>
      <w:marLeft w:val="0"/>
      <w:marRight w:val="0"/>
      <w:marTop w:val="0"/>
      <w:marBottom w:val="0"/>
      <w:divBdr>
        <w:top w:val="none" w:sz="0" w:space="0" w:color="auto"/>
        <w:left w:val="none" w:sz="0" w:space="0" w:color="auto"/>
        <w:bottom w:val="none" w:sz="0" w:space="0" w:color="auto"/>
        <w:right w:val="none" w:sz="0" w:space="0" w:color="auto"/>
      </w:divBdr>
    </w:div>
    <w:div w:id="679620806">
      <w:bodyDiv w:val="1"/>
      <w:marLeft w:val="0"/>
      <w:marRight w:val="0"/>
      <w:marTop w:val="0"/>
      <w:marBottom w:val="0"/>
      <w:divBdr>
        <w:top w:val="none" w:sz="0" w:space="0" w:color="auto"/>
        <w:left w:val="none" w:sz="0" w:space="0" w:color="auto"/>
        <w:bottom w:val="none" w:sz="0" w:space="0" w:color="auto"/>
        <w:right w:val="none" w:sz="0" w:space="0" w:color="auto"/>
      </w:divBdr>
    </w:div>
    <w:div w:id="679820620">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206310">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786303">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367377">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65755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43043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017727">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670152">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110297">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2601698">
      <w:bodyDiv w:val="1"/>
      <w:marLeft w:val="0"/>
      <w:marRight w:val="0"/>
      <w:marTop w:val="0"/>
      <w:marBottom w:val="0"/>
      <w:divBdr>
        <w:top w:val="none" w:sz="0" w:space="0" w:color="auto"/>
        <w:left w:val="none" w:sz="0" w:space="0" w:color="auto"/>
        <w:bottom w:val="none" w:sz="0" w:space="0" w:color="auto"/>
        <w:right w:val="none" w:sz="0" w:space="0" w:color="auto"/>
      </w:divBdr>
    </w:div>
    <w:div w:id="722755615">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494403">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922979">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850756">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4857759">
      <w:bodyDiv w:val="1"/>
      <w:marLeft w:val="0"/>
      <w:marRight w:val="0"/>
      <w:marTop w:val="0"/>
      <w:marBottom w:val="0"/>
      <w:divBdr>
        <w:top w:val="none" w:sz="0" w:space="0" w:color="auto"/>
        <w:left w:val="none" w:sz="0" w:space="0" w:color="auto"/>
        <w:bottom w:val="none" w:sz="0" w:space="0" w:color="auto"/>
        <w:right w:val="none" w:sz="0" w:space="0" w:color="auto"/>
      </w:divBdr>
    </w:div>
    <w:div w:id="735513838">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049259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3257153">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4789977">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6177">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293746">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29298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883920">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1677983">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3796291">
      <w:bodyDiv w:val="1"/>
      <w:marLeft w:val="0"/>
      <w:marRight w:val="0"/>
      <w:marTop w:val="0"/>
      <w:marBottom w:val="0"/>
      <w:divBdr>
        <w:top w:val="none" w:sz="0" w:space="0" w:color="auto"/>
        <w:left w:val="none" w:sz="0" w:space="0" w:color="auto"/>
        <w:bottom w:val="none" w:sz="0" w:space="0" w:color="auto"/>
        <w:right w:val="none" w:sz="0" w:space="0" w:color="auto"/>
      </w:divBdr>
    </w:div>
    <w:div w:id="794644492">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0999652">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304841">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00977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025157">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344832">
      <w:bodyDiv w:val="1"/>
      <w:marLeft w:val="0"/>
      <w:marRight w:val="0"/>
      <w:marTop w:val="0"/>
      <w:marBottom w:val="0"/>
      <w:divBdr>
        <w:top w:val="none" w:sz="0" w:space="0" w:color="auto"/>
        <w:left w:val="none" w:sz="0" w:space="0" w:color="auto"/>
        <w:bottom w:val="none" w:sz="0" w:space="0" w:color="auto"/>
        <w:right w:val="none" w:sz="0" w:space="0" w:color="auto"/>
      </w:divBdr>
    </w:div>
    <w:div w:id="835073439">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39197284">
      <w:bodyDiv w:val="1"/>
      <w:marLeft w:val="0"/>
      <w:marRight w:val="0"/>
      <w:marTop w:val="0"/>
      <w:marBottom w:val="0"/>
      <w:divBdr>
        <w:top w:val="none" w:sz="0" w:space="0" w:color="auto"/>
        <w:left w:val="none" w:sz="0" w:space="0" w:color="auto"/>
        <w:bottom w:val="none" w:sz="0" w:space="0" w:color="auto"/>
        <w:right w:val="none" w:sz="0" w:space="0" w:color="auto"/>
      </w:divBdr>
    </w:div>
    <w:div w:id="839589430">
      <w:bodyDiv w:val="1"/>
      <w:marLeft w:val="0"/>
      <w:marRight w:val="0"/>
      <w:marTop w:val="0"/>
      <w:marBottom w:val="0"/>
      <w:divBdr>
        <w:top w:val="none" w:sz="0" w:space="0" w:color="auto"/>
        <w:left w:val="none" w:sz="0" w:space="0" w:color="auto"/>
        <w:bottom w:val="none" w:sz="0" w:space="0" w:color="auto"/>
        <w:right w:val="none" w:sz="0" w:space="0" w:color="auto"/>
      </w:divBdr>
    </w:div>
    <w:div w:id="840702430">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25214">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164916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76982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584129">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4244945">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563134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521876">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69411536">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5236604">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8932807">
      <w:bodyDiv w:val="1"/>
      <w:marLeft w:val="0"/>
      <w:marRight w:val="0"/>
      <w:marTop w:val="0"/>
      <w:marBottom w:val="0"/>
      <w:divBdr>
        <w:top w:val="none" w:sz="0" w:space="0" w:color="auto"/>
        <w:left w:val="none" w:sz="0" w:space="0" w:color="auto"/>
        <w:bottom w:val="none" w:sz="0" w:space="0" w:color="auto"/>
        <w:right w:val="none" w:sz="0" w:space="0" w:color="auto"/>
      </w:divBdr>
    </w:div>
    <w:div w:id="87982764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027974">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722855">
      <w:bodyDiv w:val="1"/>
      <w:marLeft w:val="0"/>
      <w:marRight w:val="0"/>
      <w:marTop w:val="0"/>
      <w:marBottom w:val="0"/>
      <w:divBdr>
        <w:top w:val="none" w:sz="0" w:space="0" w:color="auto"/>
        <w:left w:val="none" w:sz="0" w:space="0" w:color="auto"/>
        <w:bottom w:val="none" w:sz="0" w:space="0" w:color="auto"/>
        <w:right w:val="none" w:sz="0" w:space="0" w:color="auto"/>
      </w:divBdr>
    </w:div>
    <w:div w:id="886451451">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7380688">
      <w:bodyDiv w:val="1"/>
      <w:marLeft w:val="0"/>
      <w:marRight w:val="0"/>
      <w:marTop w:val="0"/>
      <w:marBottom w:val="0"/>
      <w:divBdr>
        <w:top w:val="none" w:sz="0" w:space="0" w:color="auto"/>
        <w:left w:val="none" w:sz="0" w:space="0" w:color="auto"/>
        <w:bottom w:val="none" w:sz="0" w:space="0" w:color="auto"/>
        <w:right w:val="none" w:sz="0" w:space="0" w:color="auto"/>
      </w:divBdr>
    </w:div>
    <w:div w:id="887453280">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075536">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829584">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343992">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254845">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8634706">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4806443">
      <w:bodyDiv w:val="1"/>
      <w:marLeft w:val="0"/>
      <w:marRight w:val="0"/>
      <w:marTop w:val="0"/>
      <w:marBottom w:val="0"/>
      <w:divBdr>
        <w:top w:val="none" w:sz="0" w:space="0" w:color="auto"/>
        <w:left w:val="none" w:sz="0" w:space="0" w:color="auto"/>
        <w:bottom w:val="none" w:sz="0" w:space="0" w:color="auto"/>
        <w:right w:val="none" w:sz="0" w:space="0" w:color="auto"/>
      </w:divBdr>
    </w:div>
    <w:div w:id="925193950">
      <w:bodyDiv w:val="1"/>
      <w:marLeft w:val="0"/>
      <w:marRight w:val="0"/>
      <w:marTop w:val="0"/>
      <w:marBottom w:val="0"/>
      <w:divBdr>
        <w:top w:val="none" w:sz="0" w:space="0" w:color="auto"/>
        <w:left w:val="none" w:sz="0" w:space="0" w:color="auto"/>
        <w:bottom w:val="none" w:sz="0" w:space="0" w:color="auto"/>
        <w:right w:val="none" w:sz="0" w:space="0" w:color="auto"/>
      </w:divBdr>
    </w:div>
    <w:div w:id="925654418">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742982">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5325">
      <w:bodyDiv w:val="1"/>
      <w:marLeft w:val="0"/>
      <w:marRight w:val="0"/>
      <w:marTop w:val="0"/>
      <w:marBottom w:val="0"/>
      <w:divBdr>
        <w:top w:val="none" w:sz="0" w:space="0" w:color="auto"/>
        <w:left w:val="none" w:sz="0" w:space="0" w:color="auto"/>
        <w:bottom w:val="none" w:sz="0" w:space="0" w:color="auto"/>
        <w:right w:val="none" w:sz="0" w:space="0" w:color="auto"/>
      </w:divBdr>
    </w:div>
    <w:div w:id="939726760">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6814">
      <w:bodyDiv w:val="1"/>
      <w:marLeft w:val="0"/>
      <w:marRight w:val="0"/>
      <w:marTop w:val="0"/>
      <w:marBottom w:val="0"/>
      <w:divBdr>
        <w:top w:val="none" w:sz="0" w:space="0" w:color="auto"/>
        <w:left w:val="none" w:sz="0" w:space="0" w:color="auto"/>
        <w:bottom w:val="none" w:sz="0" w:space="0" w:color="auto"/>
        <w:right w:val="none" w:sz="0" w:space="0" w:color="auto"/>
      </w:divBdr>
    </w:div>
    <w:div w:id="945960465">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49698285">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1782187">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0962369">
      <w:bodyDiv w:val="1"/>
      <w:marLeft w:val="0"/>
      <w:marRight w:val="0"/>
      <w:marTop w:val="0"/>
      <w:marBottom w:val="0"/>
      <w:divBdr>
        <w:top w:val="none" w:sz="0" w:space="0" w:color="auto"/>
        <w:left w:val="none" w:sz="0" w:space="0" w:color="auto"/>
        <w:bottom w:val="none" w:sz="0" w:space="0" w:color="auto"/>
        <w:right w:val="none" w:sz="0" w:space="0" w:color="auto"/>
      </w:divBdr>
    </w:div>
    <w:div w:id="961306936">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2100521">
      <w:bodyDiv w:val="1"/>
      <w:marLeft w:val="0"/>
      <w:marRight w:val="0"/>
      <w:marTop w:val="0"/>
      <w:marBottom w:val="0"/>
      <w:divBdr>
        <w:top w:val="none" w:sz="0" w:space="0" w:color="auto"/>
        <w:left w:val="none" w:sz="0" w:space="0" w:color="auto"/>
        <w:bottom w:val="none" w:sz="0" w:space="0" w:color="auto"/>
        <w:right w:val="none" w:sz="0" w:space="0" w:color="auto"/>
      </w:divBdr>
    </w:div>
    <w:div w:id="972642015">
      <w:bodyDiv w:val="1"/>
      <w:marLeft w:val="0"/>
      <w:marRight w:val="0"/>
      <w:marTop w:val="0"/>
      <w:marBottom w:val="0"/>
      <w:divBdr>
        <w:top w:val="none" w:sz="0" w:space="0" w:color="auto"/>
        <w:left w:val="none" w:sz="0" w:space="0" w:color="auto"/>
        <w:bottom w:val="none" w:sz="0" w:space="0" w:color="auto"/>
        <w:right w:val="none" w:sz="0" w:space="0" w:color="auto"/>
      </w:divBdr>
    </w:div>
    <w:div w:id="973755216">
      <w:bodyDiv w:val="1"/>
      <w:marLeft w:val="0"/>
      <w:marRight w:val="0"/>
      <w:marTop w:val="0"/>
      <w:marBottom w:val="0"/>
      <w:divBdr>
        <w:top w:val="none" w:sz="0" w:space="0" w:color="auto"/>
        <w:left w:val="none" w:sz="0" w:space="0" w:color="auto"/>
        <w:bottom w:val="none" w:sz="0" w:space="0" w:color="auto"/>
        <w:right w:val="none" w:sz="0" w:space="0" w:color="auto"/>
      </w:divBdr>
    </w:div>
    <w:div w:id="977034056">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051305">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01734">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05594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45806">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4794955">
      <w:bodyDiv w:val="1"/>
      <w:marLeft w:val="0"/>
      <w:marRight w:val="0"/>
      <w:marTop w:val="0"/>
      <w:marBottom w:val="0"/>
      <w:divBdr>
        <w:top w:val="none" w:sz="0" w:space="0" w:color="auto"/>
        <w:left w:val="none" w:sz="0" w:space="0" w:color="auto"/>
        <w:bottom w:val="none" w:sz="0" w:space="0" w:color="auto"/>
        <w:right w:val="none" w:sz="0" w:space="0" w:color="auto"/>
      </w:divBdr>
    </w:div>
    <w:div w:id="994995646">
      <w:bodyDiv w:val="1"/>
      <w:marLeft w:val="0"/>
      <w:marRight w:val="0"/>
      <w:marTop w:val="0"/>
      <w:marBottom w:val="0"/>
      <w:divBdr>
        <w:top w:val="none" w:sz="0" w:space="0" w:color="auto"/>
        <w:left w:val="none" w:sz="0" w:space="0" w:color="auto"/>
        <w:bottom w:val="none" w:sz="0" w:space="0" w:color="auto"/>
        <w:right w:val="none" w:sz="0" w:space="0" w:color="auto"/>
      </w:divBdr>
    </w:div>
    <w:div w:id="995260352">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277573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74556">
      <w:bodyDiv w:val="1"/>
      <w:marLeft w:val="0"/>
      <w:marRight w:val="0"/>
      <w:marTop w:val="0"/>
      <w:marBottom w:val="0"/>
      <w:divBdr>
        <w:top w:val="none" w:sz="0" w:space="0" w:color="auto"/>
        <w:left w:val="none" w:sz="0" w:space="0" w:color="auto"/>
        <w:bottom w:val="none" w:sz="0" w:space="0" w:color="auto"/>
        <w:right w:val="none" w:sz="0" w:space="0" w:color="auto"/>
      </w:divBdr>
    </w:div>
    <w:div w:id="1006858024">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2797267">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3410535">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582516">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240582">
      <w:bodyDiv w:val="1"/>
      <w:marLeft w:val="0"/>
      <w:marRight w:val="0"/>
      <w:marTop w:val="0"/>
      <w:marBottom w:val="0"/>
      <w:divBdr>
        <w:top w:val="none" w:sz="0" w:space="0" w:color="auto"/>
        <w:left w:val="none" w:sz="0" w:space="0" w:color="auto"/>
        <w:bottom w:val="none" w:sz="0" w:space="0" w:color="auto"/>
        <w:right w:val="none" w:sz="0" w:space="0" w:color="auto"/>
      </w:divBdr>
    </w:div>
    <w:div w:id="1019507538">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3821778">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5255464">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125364">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49650972">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920953">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5010005">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3333512">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6998867">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07548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11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79911913">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013247">
      <w:bodyDiv w:val="1"/>
      <w:marLeft w:val="0"/>
      <w:marRight w:val="0"/>
      <w:marTop w:val="0"/>
      <w:marBottom w:val="0"/>
      <w:divBdr>
        <w:top w:val="none" w:sz="0" w:space="0" w:color="auto"/>
        <w:left w:val="none" w:sz="0" w:space="0" w:color="auto"/>
        <w:bottom w:val="none" w:sz="0" w:space="0" w:color="auto"/>
        <w:right w:val="none" w:sz="0" w:space="0" w:color="auto"/>
      </w:divBdr>
    </w:div>
    <w:div w:id="1094326035">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2921692">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045315">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087828">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405872">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755726">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677859">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908294">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606365">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7528420">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8962261">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660384">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018308">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904721">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294055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267473">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110931">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347">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5585113">
      <w:bodyDiv w:val="1"/>
      <w:marLeft w:val="0"/>
      <w:marRight w:val="0"/>
      <w:marTop w:val="0"/>
      <w:marBottom w:val="0"/>
      <w:divBdr>
        <w:top w:val="none" w:sz="0" w:space="0" w:color="auto"/>
        <w:left w:val="none" w:sz="0" w:space="0" w:color="auto"/>
        <w:bottom w:val="none" w:sz="0" w:space="0" w:color="auto"/>
        <w:right w:val="none" w:sz="0" w:space="0" w:color="auto"/>
      </w:divBdr>
    </w:div>
    <w:div w:id="1165705174">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69830424">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267343">
      <w:bodyDiv w:val="1"/>
      <w:marLeft w:val="0"/>
      <w:marRight w:val="0"/>
      <w:marTop w:val="0"/>
      <w:marBottom w:val="0"/>
      <w:divBdr>
        <w:top w:val="none" w:sz="0" w:space="0" w:color="auto"/>
        <w:left w:val="none" w:sz="0" w:space="0" w:color="auto"/>
        <w:bottom w:val="none" w:sz="0" w:space="0" w:color="auto"/>
        <w:right w:val="none" w:sz="0" w:space="0" w:color="auto"/>
      </w:divBdr>
    </w:div>
    <w:div w:id="1176577796">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3132132">
      <w:bodyDiv w:val="1"/>
      <w:marLeft w:val="0"/>
      <w:marRight w:val="0"/>
      <w:marTop w:val="0"/>
      <w:marBottom w:val="0"/>
      <w:divBdr>
        <w:top w:val="none" w:sz="0" w:space="0" w:color="auto"/>
        <w:left w:val="none" w:sz="0" w:space="0" w:color="auto"/>
        <w:bottom w:val="none" w:sz="0" w:space="0" w:color="auto"/>
        <w:right w:val="none" w:sz="0" w:space="0" w:color="auto"/>
      </w:divBdr>
    </w:div>
    <w:div w:id="1183862351">
      <w:bodyDiv w:val="1"/>
      <w:marLeft w:val="0"/>
      <w:marRight w:val="0"/>
      <w:marTop w:val="0"/>
      <w:marBottom w:val="0"/>
      <w:divBdr>
        <w:top w:val="none" w:sz="0" w:space="0" w:color="auto"/>
        <w:left w:val="none" w:sz="0" w:space="0" w:color="auto"/>
        <w:bottom w:val="none" w:sz="0" w:space="0" w:color="auto"/>
        <w:right w:val="none" w:sz="0" w:space="0" w:color="auto"/>
      </w:divBdr>
    </w:div>
    <w:div w:id="1184780183">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2305325">
      <w:bodyDiv w:val="1"/>
      <w:marLeft w:val="0"/>
      <w:marRight w:val="0"/>
      <w:marTop w:val="0"/>
      <w:marBottom w:val="0"/>
      <w:divBdr>
        <w:top w:val="none" w:sz="0" w:space="0" w:color="auto"/>
        <w:left w:val="none" w:sz="0" w:space="0" w:color="auto"/>
        <w:bottom w:val="none" w:sz="0" w:space="0" w:color="auto"/>
        <w:right w:val="none" w:sz="0" w:space="0" w:color="auto"/>
      </w:divBdr>
    </w:div>
    <w:div w:id="1192765053">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782631">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443569">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0509">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0649273">
      <w:bodyDiv w:val="1"/>
      <w:marLeft w:val="0"/>
      <w:marRight w:val="0"/>
      <w:marTop w:val="0"/>
      <w:marBottom w:val="0"/>
      <w:divBdr>
        <w:top w:val="none" w:sz="0" w:space="0" w:color="auto"/>
        <w:left w:val="none" w:sz="0" w:space="0" w:color="auto"/>
        <w:bottom w:val="none" w:sz="0" w:space="0" w:color="auto"/>
        <w:right w:val="none" w:sz="0" w:space="0" w:color="auto"/>
      </w:divBdr>
    </w:div>
    <w:div w:id="1212035657">
      <w:bodyDiv w:val="1"/>
      <w:marLeft w:val="0"/>
      <w:marRight w:val="0"/>
      <w:marTop w:val="0"/>
      <w:marBottom w:val="0"/>
      <w:divBdr>
        <w:top w:val="none" w:sz="0" w:space="0" w:color="auto"/>
        <w:left w:val="none" w:sz="0" w:space="0" w:color="auto"/>
        <w:bottom w:val="none" w:sz="0" w:space="0" w:color="auto"/>
        <w:right w:val="none" w:sz="0" w:space="0" w:color="auto"/>
      </w:divBdr>
    </w:div>
    <w:div w:id="1212112213">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504208">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8512633">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14583">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8226898">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268916">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050960">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358120">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248001">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405552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2376033">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8729816">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1738299">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46699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137349">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224287">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8467540">
      <w:bodyDiv w:val="1"/>
      <w:marLeft w:val="0"/>
      <w:marRight w:val="0"/>
      <w:marTop w:val="0"/>
      <w:marBottom w:val="0"/>
      <w:divBdr>
        <w:top w:val="none" w:sz="0" w:space="0" w:color="auto"/>
        <w:left w:val="none" w:sz="0" w:space="0" w:color="auto"/>
        <w:bottom w:val="none" w:sz="0" w:space="0" w:color="auto"/>
        <w:right w:val="none" w:sz="0" w:space="0" w:color="auto"/>
      </w:divBdr>
    </w:div>
    <w:div w:id="1269195432">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509690">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215812">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451577">
      <w:bodyDiv w:val="1"/>
      <w:marLeft w:val="0"/>
      <w:marRight w:val="0"/>
      <w:marTop w:val="0"/>
      <w:marBottom w:val="0"/>
      <w:divBdr>
        <w:top w:val="none" w:sz="0" w:space="0" w:color="auto"/>
        <w:left w:val="none" w:sz="0" w:space="0" w:color="auto"/>
        <w:bottom w:val="none" w:sz="0" w:space="0" w:color="auto"/>
        <w:right w:val="none" w:sz="0" w:space="0" w:color="auto"/>
      </w:divBdr>
    </w:div>
    <w:div w:id="1280648529">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2496717">
      <w:bodyDiv w:val="1"/>
      <w:marLeft w:val="0"/>
      <w:marRight w:val="0"/>
      <w:marTop w:val="0"/>
      <w:marBottom w:val="0"/>
      <w:divBdr>
        <w:top w:val="none" w:sz="0" w:space="0" w:color="auto"/>
        <w:left w:val="none" w:sz="0" w:space="0" w:color="auto"/>
        <w:bottom w:val="none" w:sz="0" w:space="0" w:color="auto"/>
        <w:right w:val="none" w:sz="0" w:space="0" w:color="auto"/>
      </w:divBdr>
    </w:div>
    <w:div w:id="1283346577">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389439">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7857816">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8271128">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298605725">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3773744">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979061">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09896132">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0524394">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3832880">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6103611">
      <w:bodyDiv w:val="1"/>
      <w:marLeft w:val="0"/>
      <w:marRight w:val="0"/>
      <w:marTop w:val="0"/>
      <w:marBottom w:val="0"/>
      <w:divBdr>
        <w:top w:val="none" w:sz="0" w:space="0" w:color="auto"/>
        <w:left w:val="none" w:sz="0" w:space="0" w:color="auto"/>
        <w:bottom w:val="none" w:sz="0" w:space="0" w:color="auto"/>
        <w:right w:val="none" w:sz="0" w:space="0" w:color="auto"/>
      </w:divBdr>
    </w:div>
    <w:div w:id="1317104929">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882533">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118142">
      <w:bodyDiv w:val="1"/>
      <w:marLeft w:val="0"/>
      <w:marRight w:val="0"/>
      <w:marTop w:val="0"/>
      <w:marBottom w:val="0"/>
      <w:divBdr>
        <w:top w:val="none" w:sz="0" w:space="0" w:color="auto"/>
        <w:left w:val="none" w:sz="0" w:space="0" w:color="auto"/>
        <w:bottom w:val="none" w:sz="0" w:space="0" w:color="auto"/>
        <w:right w:val="none" w:sz="0" w:space="0" w:color="auto"/>
      </w:divBdr>
    </w:div>
    <w:div w:id="133826593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39037305">
      <w:bodyDiv w:val="1"/>
      <w:marLeft w:val="0"/>
      <w:marRight w:val="0"/>
      <w:marTop w:val="0"/>
      <w:marBottom w:val="0"/>
      <w:divBdr>
        <w:top w:val="none" w:sz="0" w:space="0" w:color="auto"/>
        <w:left w:val="none" w:sz="0" w:space="0" w:color="auto"/>
        <w:bottom w:val="none" w:sz="0" w:space="0" w:color="auto"/>
        <w:right w:val="none" w:sz="0" w:space="0" w:color="auto"/>
      </w:divBdr>
    </w:div>
    <w:div w:id="1339237991">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860471">
      <w:bodyDiv w:val="1"/>
      <w:marLeft w:val="0"/>
      <w:marRight w:val="0"/>
      <w:marTop w:val="0"/>
      <w:marBottom w:val="0"/>
      <w:divBdr>
        <w:top w:val="none" w:sz="0" w:space="0" w:color="auto"/>
        <w:left w:val="none" w:sz="0" w:space="0" w:color="auto"/>
        <w:bottom w:val="none" w:sz="0" w:space="0" w:color="auto"/>
        <w:right w:val="none" w:sz="0" w:space="0" w:color="auto"/>
      </w:divBdr>
    </w:div>
    <w:div w:id="1347052885">
      <w:bodyDiv w:val="1"/>
      <w:marLeft w:val="0"/>
      <w:marRight w:val="0"/>
      <w:marTop w:val="0"/>
      <w:marBottom w:val="0"/>
      <w:divBdr>
        <w:top w:val="none" w:sz="0" w:space="0" w:color="auto"/>
        <w:left w:val="none" w:sz="0" w:space="0" w:color="auto"/>
        <w:bottom w:val="none" w:sz="0" w:space="0" w:color="auto"/>
        <w:right w:val="none" w:sz="0" w:space="0" w:color="auto"/>
      </w:divBdr>
    </w:div>
    <w:div w:id="1347053395">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214606">
      <w:bodyDiv w:val="1"/>
      <w:marLeft w:val="0"/>
      <w:marRight w:val="0"/>
      <w:marTop w:val="0"/>
      <w:marBottom w:val="0"/>
      <w:divBdr>
        <w:top w:val="none" w:sz="0" w:space="0" w:color="auto"/>
        <w:left w:val="none" w:sz="0" w:space="0" w:color="auto"/>
        <w:bottom w:val="none" w:sz="0" w:space="0" w:color="auto"/>
        <w:right w:val="none" w:sz="0" w:space="0" w:color="auto"/>
      </w:divBdr>
    </w:div>
    <w:div w:id="1349406439">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3335406">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273162">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846465">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8133">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6322837">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02329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153061">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731624">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302541">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38563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845079">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084165">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005861">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393111">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212187">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094031">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248716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261525">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609222">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046622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7479639">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259384">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565654">
      <w:bodyDiv w:val="1"/>
      <w:marLeft w:val="0"/>
      <w:marRight w:val="0"/>
      <w:marTop w:val="0"/>
      <w:marBottom w:val="0"/>
      <w:divBdr>
        <w:top w:val="none" w:sz="0" w:space="0" w:color="auto"/>
        <w:left w:val="none" w:sz="0" w:space="0" w:color="auto"/>
        <w:bottom w:val="none" w:sz="0" w:space="0" w:color="auto"/>
        <w:right w:val="none" w:sz="0" w:space="0" w:color="auto"/>
      </w:divBdr>
    </w:div>
    <w:div w:id="1424959658">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503836">
      <w:bodyDiv w:val="1"/>
      <w:marLeft w:val="0"/>
      <w:marRight w:val="0"/>
      <w:marTop w:val="0"/>
      <w:marBottom w:val="0"/>
      <w:divBdr>
        <w:top w:val="none" w:sz="0" w:space="0" w:color="auto"/>
        <w:left w:val="none" w:sz="0" w:space="0" w:color="auto"/>
        <w:bottom w:val="none" w:sz="0" w:space="0" w:color="auto"/>
        <w:right w:val="none" w:sz="0" w:space="0" w:color="auto"/>
      </w:divBdr>
    </w:div>
    <w:div w:id="1430660680">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4738938">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056649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491360">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9936462">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99617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7251">
      <w:bodyDiv w:val="1"/>
      <w:marLeft w:val="0"/>
      <w:marRight w:val="0"/>
      <w:marTop w:val="0"/>
      <w:marBottom w:val="0"/>
      <w:divBdr>
        <w:top w:val="none" w:sz="0" w:space="0" w:color="auto"/>
        <w:left w:val="none" w:sz="0" w:space="0" w:color="auto"/>
        <w:bottom w:val="none" w:sz="0" w:space="0" w:color="auto"/>
        <w:right w:val="none" w:sz="0" w:space="0" w:color="auto"/>
      </w:divBdr>
    </w:div>
    <w:div w:id="1462923804">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9777">
      <w:bodyDiv w:val="1"/>
      <w:marLeft w:val="0"/>
      <w:marRight w:val="0"/>
      <w:marTop w:val="0"/>
      <w:marBottom w:val="0"/>
      <w:divBdr>
        <w:top w:val="none" w:sz="0" w:space="0" w:color="auto"/>
        <w:left w:val="none" w:sz="0" w:space="0" w:color="auto"/>
        <w:bottom w:val="none" w:sz="0" w:space="0" w:color="auto"/>
        <w:right w:val="none" w:sz="0" w:space="0" w:color="auto"/>
      </w:divBdr>
    </w:div>
    <w:div w:id="1470395834">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45130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15059">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7212852">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3083080">
      <w:bodyDiv w:val="1"/>
      <w:marLeft w:val="0"/>
      <w:marRight w:val="0"/>
      <w:marTop w:val="0"/>
      <w:marBottom w:val="0"/>
      <w:divBdr>
        <w:top w:val="none" w:sz="0" w:space="0" w:color="auto"/>
        <w:left w:val="none" w:sz="0" w:space="0" w:color="auto"/>
        <w:bottom w:val="none" w:sz="0" w:space="0" w:color="auto"/>
        <w:right w:val="none" w:sz="0" w:space="0" w:color="auto"/>
      </w:divBdr>
    </w:div>
    <w:div w:id="1484158823">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689976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590382">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563092">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5802404">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7571832">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1507622">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381050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783">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054520">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17878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3572211">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303937">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19536613">
      <w:bodyDiv w:val="1"/>
      <w:marLeft w:val="0"/>
      <w:marRight w:val="0"/>
      <w:marTop w:val="0"/>
      <w:marBottom w:val="0"/>
      <w:divBdr>
        <w:top w:val="none" w:sz="0" w:space="0" w:color="auto"/>
        <w:left w:val="none" w:sz="0" w:space="0" w:color="auto"/>
        <w:bottom w:val="none" w:sz="0" w:space="0" w:color="auto"/>
        <w:right w:val="none" w:sz="0" w:space="0" w:color="auto"/>
      </w:divBdr>
    </w:div>
    <w:div w:id="1519657582">
      <w:bodyDiv w:val="1"/>
      <w:marLeft w:val="0"/>
      <w:marRight w:val="0"/>
      <w:marTop w:val="0"/>
      <w:marBottom w:val="0"/>
      <w:divBdr>
        <w:top w:val="none" w:sz="0" w:space="0" w:color="auto"/>
        <w:left w:val="none" w:sz="0" w:space="0" w:color="auto"/>
        <w:bottom w:val="none" w:sz="0" w:space="0" w:color="auto"/>
        <w:right w:val="none" w:sz="0" w:space="0" w:color="auto"/>
      </w:divBdr>
    </w:div>
    <w:div w:id="1520008224">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517490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061509">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11385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0560">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2666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9322364">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3059676">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021233">
      <w:bodyDiv w:val="1"/>
      <w:marLeft w:val="0"/>
      <w:marRight w:val="0"/>
      <w:marTop w:val="0"/>
      <w:marBottom w:val="0"/>
      <w:divBdr>
        <w:top w:val="none" w:sz="0" w:space="0" w:color="auto"/>
        <w:left w:val="none" w:sz="0" w:space="0" w:color="auto"/>
        <w:bottom w:val="none" w:sz="0" w:space="0" w:color="auto"/>
        <w:right w:val="none" w:sz="0" w:space="0" w:color="auto"/>
      </w:divBdr>
    </w:div>
    <w:div w:id="1565331735">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601802">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8615666">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49467">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0675136">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178793">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143429">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180716">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837784">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266133">
      <w:bodyDiv w:val="1"/>
      <w:marLeft w:val="0"/>
      <w:marRight w:val="0"/>
      <w:marTop w:val="0"/>
      <w:marBottom w:val="0"/>
      <w:divBdr>
        <w:top w:val="none" w:sz="0" w:space="0" w:color="auto"/>
        <w:left w:val="none" w:sz="0" w:space="0" w:color="auto"/>
        <w:bottom w:val="none" w:sz="0" w:space="0" w:color="auto"/>
        <w:right w:val="none" w:sz="0" w:space="0" w:color="auto"/>
      </w:divBdr>
    </w:div>
    <w:div w:id="159030950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4970439">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41363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886808">
      <w:bodyDiv w:val="1"/>
      <w:marLeft w:val="0"/>
      <w:marRight w:val="0"/>
      <w:marTop w:val="0"/>
      <w:marBottom w:val="0"/>
      <w:divBdr>
        <w:top w:val="none" w:sz="0" w:space="0" w:color="auto"/>
        <w:left w:val="none" w:sz="0" w:space="0" w:color="auto"/>
        <w:bottom w:val="none" w:sz="0" w:space="0" w:color="auto"/>
        <w:right w:val="none" w:sz="0" w:space="0" w:color="auto"/>
      </w:divBdr>
    </w:div>
    <w:div w:id="1608269462">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0429346">
      <w:bodyDiv w:val="1"/>
      <w:marLeft w:val="0"/>
      <w:marRight w:val="0"/>
      <w:marTop w:val="0"/>
      <w:marBottom w:val="0"/>
      <w:divBdr>
        <w:top w:val="none" w:sz="0" w:space="0" w:color="auto"/>
        <w:left w:val="none" w:sz="0" w:space="0" w:color="auto"/>
        <w:bottom w:val="none" w:sz="0" w:space="0" w:color="auto"/>
        <w:right w:val="none" w:sz="0" w:space="0" w:color="auto"/>
      </w:divBdr>
    </w:div>
    <w:div w:id="1610703388">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16422">
      <w:bodyDiv w:val="1"/>
      <w:marLeft w:val="0"/>
      <w:marRight w:val="0"/>
      <w:marTop w:val="0"/>
      <w:marBottom w:val="0"/>
      <w:divBdr>
        <w:top w:val="none" w:sz="0" w:space="0" w:color="auto"/>
        <w:left w:val="none" w:sz="0" w:space="0" w:color="auto"/>
        <w:bottom w:val="none" w:sz="0" w:space="0" w:color="auto"/>
        <w:right w:val="none" w:sz="0" w:space="0" w:color="auto"/>
      </w:divBdr>
    </w:div>
    <w:div w:id="161659200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193558">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546807">
      <w:bodyDiv w:val="1"/>
      <w:marLeft w:val="0"/>
      <w:marRight w:val="0"/>
      <w:marTop w:val="0"/>
      <w:marBottom w:val="0"/>
      <w:divBdr>
        <w:top w:val="none" w:sz="0" w:space="0" w:color="auto"/>
        <w:left w:val="none" w:sz="0" w:space="0" w:color="auto"/>
        <w:bottom w:val="none" w:sz="0" w:space="0" w:color="auto"/>
        <w:right w:val="none" w:sz="0" w:space="0" w:color="auto"/>
      </w:divBdr>
    </w:div>
    <w:div w:id="1630092372">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747476">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39844390">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726422">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6081539">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49700131">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0789594">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3832926">
      <w:bodyDiv w:val="1"/>
      <w:marLeft w:val="0"/>
      <w:marRight w:val="0"/>
      <w:marTop w:val="0"/>
      <w:marBottom w:val="0"/>
      <w:divBdr>
        <w:top w:val="none" w:sz="0" w:space="0" w:color="auto"/>
        <w:left w:val="none" w:sz="0" w:space="0" w:color="auto"/>
        <w:bottom w:val="none" w:sz="0" w:space="0" w:color="auto"/>
        <w:right w:val="none" w:sz="0" w:space="0" w:color="auto"/>
      </w:divBdr>
    </w:div>
    <w:div w:id="1654604643">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57059">
      <w:bodyDiv w:val="1"/>
      <w:marLeft w:val="0"/>
      <w:marRight w:val="0"/>
      <w:marTop w:val="0"/>
      <w:marBottom w:val="0"/>
      <w:divBdr>
        <w:top w:val="none" w:sz="0" w:space="0" w:color="auto"/>
        <w:left w:val="none" w:sz="0" w:space="0" w:color="auto"/>
        <w:bottom w:val="none" w:sz="0" w:space="0" w:color="auto"/>
        <w:right w:val="none" w:sz="0" w:space="0" w:color="auto"/>
      </w:divBdr>
    </w:div>
    <w:div w:id="1658725153">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65173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032921">
      <w:bodyDiv w:val="1"/>
      <w:marLeft w:val="0"/>
      <w:marRight w:val="0"/>
      <w:marTop w:val="0"/>
      <w:marBottom w:val="0"/>
      <w:divBdr>
        <w:top w:val="none" w:sz="0" w:space="0" w:color="auto"/>
        <w:left w:val="none" w:sz="0" w:space="0" w:color="auto"/>
        <w:bottom w:val="none" w:sz="0" w:space="0" w:color="auto"/>
        <w:right w:val="none" w:sz="0" w:space="0" w:color="auto"/>
      </w:divBdr>
    </w:div>
    <w:div w:id="1662077994">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116708">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661516">
      <w:bodyDiv w:val="1"/>
      <w:marLeft w:val="0"/>
      <w:marRight w:val="0"/>
      <w:marTop w:val="0"/>
      <w:marBottom w:val="0"/>
      <w:divBdr>
        <w:top w:val="none" w:sz="0" w:space="0" w:color="auto"/>
        <w:left w:val="none" w:sz="0" w:space="0" w:color="auto"/>
        <w:bottom w:val="none" w:sz="0" w:space="0" w:color="auto"/>
        <w:right w:val="none" w:sz="0" w:space="0" w:color="auto"/>
      </w:divBdr>
    </w:div>
    <w:div w:id="166404910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7702854">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255266">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2610095">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485359">
      <w:bodyDiv w:val="1"/>
      <w:marLeft w:val="0"/>
      <w:marRight w:val="0"/>
      <w:marTop w:val="0"/>
      <w:marBottom w:val="0"/>
      <w:divBdr>
        <w:top w:val="none" w:sz="0" w:space="0" w:color="auto"/>
        <w:left w:val="none" w:sz="0" w:space="0" w:color="auto"/>
        <w:bottom w:val="none" w:sz="0" w:space="0" w:color="auto"/>
        <w:right w:val="none" w:sz="0" w:space="0" w:color="auto"/>
      </w:divBdr>
    </w:div>
    <w:div w:id="1673683928">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09893">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508465">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89522570">
      <w:bodyDiv w:val="1"/>
      <w:marLeft w:val="0"/>
      <w:marRight w:val="0"/>
      <w:marTop w:val="0"/>
      <w:marBottom w:val="0"/>
      <w:divBdr>
        <w:top w:val="none" w:sz="0" w:space="0" w:color="auto"/>
        <w:left w:val="none" w:sz="0" w:space="0" w:color="auto"/>
        <w:bottom w:val="none" w:sz="0" w:space="0" w:color="auto"/>
        <w:right w:val="none" w:sz="0" w:space="0" w:color="auto"/>
      </w:divBdr>
    </w:div>
    <w:div w:id="1690717808">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6720">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150">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328597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063943">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209914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958323">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001855">
      <w:bodyDiv w:val="1"/>
      <w:marLeft w:val="0"/>
      <w:marRight w:val="0"/>
      <w:marTop w:val="0"/>
      <w:marBottom w:val="0"/>
      <w:divBdr>
        <w:top w:val="none" w:sz="0" w:space="0" w:color="auto"/>
        <w:left w:val="none" w:sz="0" w:space="0" w:color="auto"/>
        <w:bottom w:val="none" w:sz="0" w:space="0" w:color="auto"/>
        <w:right w:val="none" w:sz="0" w:space="0" w:color="auto"/>
      </w:divBdr>
    </w:div>
    <w:div w:id="1732800421">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9471167">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157614">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882375">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3698478">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8398470">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1442213">
      <w:bodyDiv w:val="1"/>
      <w:marLeft w:val="0"/>
      <w:marRight w:val="0"/>
      <w:marTop w:val="0"/>
      <w:marBottom w:val="0"/>
      <w:divBdr>
        <w:top w:val="none" w:sz="0" w:space="0" w:color="auto"/>
        <w:left w:val="none" w:sz="0" w:space="0" w:color="auto"/>
        <w:bottom w:val="none" w:sz="0" w:space="0" w:color="auto"/>
        <w:right w:val="none" w:sz="0" w:space="0" w:color="auto"/>
      </w:divBdr>
    </w:div>
    <w:div w:id="1763067817">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221520">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6346099">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974675">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6947737">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1282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606100">
      <w:bodyDiv w:val="1"/>
      <w:marLeft w:val="0"/>
      <w:marRight w:val="0"/>
      <w:marTop w:val="0"/>
      <w:marBottom w:val="0"/>
      <w:divBdr>
        <w:top w:val="none" w:sz="0" w:space="0" w:color="auto"/>
        <w:left w:val="none" w:sz="0" w:space="0" w:color="auto"/>
        <w:bottom w:val="none" w:sz="0" w:space="0" w:color="auto"/>
        <w:right w:val="none" w:sz="0" w:space="0" w:color="auto"/>
      </w:divBdr>
    </w:div>
    <w:div w:id="1784617246">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2709">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577962">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05031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2481805">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4523334">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218162">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260291">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3616963">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494303">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8936895">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97912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55319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413023">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38152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8203396">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483302">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925054">
      <w:bodyDiv w:val="1"/>
      <w:marLeft w:val="0"/>
      <w:marRight w:val="0"/>
      <w:marTop w:val="0"/>
      <w:marBottom w:val="0"/>
      <w:divBdr>
        <w:top w:val="none" w:sz="0" w:space="0" w:color="auto"/>
        <w:left w:val="none" w:sz="0" w:space="0" w:color="auto"/>
        <w:bottom w:val="none" w:sz="0" w:space="0" w:color="auto"/>
        <w:right w:val="none" w:sz="0" w:space="0" w:color="auto"/>
      </w:divBdr>
    </w:div>
    <w:div w:id="1840272695">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0584392">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246665">
      <w:bodyDiv w:val="1"/>
      <w:marLeft w:val="0"/>
      <w:marRight w:val="0"/>
      <w:marTop w:val="0"/>
      <w:marBottom w:val="0"/>
      <w:divBdr>
        <w:top w:val="none" w:sz="0" w:space="0" w:color="auto"/>
        <w:left w:val="none" w:sz="0" w:space="0" w:color="auto"/>
        <w:bottom w:val="none" w:sz="0" w:space="0" w:color="auto"/>
        <w:right w:val="none" w:sz="0" w:space="0" w:color="auto"/>
      </w:divBdr>
    </w:div>
    <w:div w:id="1846699523">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40700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323077">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109079">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4468">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5926829">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35229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14325">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902795">
      <w:bodyDiv w:val="1"/>
      <w:marLeft w:val="0"/>
      <w:marRight w:val="0"/>
      <w:marTop w:val="0"/>
      <w:marBottom w:val="0"/>
      <w:divBdr>
        <w:top w:val="none" w:sz="0" w:space="0" w:color="auto"/>
        <w:left w:val="none" w:sz="0" w:space="0" w:color="auto"/>
        <w:bottom w:val="none" w:sz="0" w:space="0" w:color="auto"/>
        <w:right w:val="none" w:sz="0" w:space="0" w:color="auto"/>
      </w:divBdr>
    </w:div>
    <w:div w:id="1885091993">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180112">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023258">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2765558">
      <w:bodyDiv w:val="1"/>
      <w:marLeft w:val="0"/>
      <w:marRight w:val="0"/>
      <w:marTop w:val="0"/>
      <w:marBottom w:val="0"/>
      <w:divBdr>
        <w:top w:val="none" w:sz="0" w:space="0" w:color="auto"/>
        <w:left w:val="none" w:sz="0" w:space="0" w:color="auto"/>
        <w:bottom w:val="none" w:sz="0" w:space="0" w:color="auto"/>
        <w:right w:val="none" w:sz="0" w:space="0" w:color="auto"/>
      </w:divBdr>
    </w:div>
    <w:div w:id="1894004319">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29277">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2253888">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026456">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407582">
      <w:bodyDiv w:val="1"/>
      <w:marLeft w:val="0"/>
      <w:marRight w:val="0"/>
      <w:marTop w:val="0"/>
      <w:marBottom w:val="0"/>
      <w:divBdr>
        <w:top w:val="none" w:sz="0" w:space="0" w:color="auto"/>
        <w:left w:val="none" w:sz="0" w:space="0" w:color="auto"/>
        <w:bottom w:val="none" w:sz="0" w:space="0" w:color="auto"/>
        <w:right w:val="none" w:sz="0" w:space="0" w:color="auto"/>
      </w:divBdr>
    </w:div>
    <w:div w:id="1908110498">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316752">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1795621">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4408358">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380193">
      <w:bodyDiv w:val="1"/>
      <w:marLeft w:val="0"/>
      <w:marRight w:val="0"/>
      <w:marTop w:val="0"/>
      <w:marBottom w:val="0"/>
      <w:divBdr>
        <w:top w:val="none" w:sz="0" w:space="0" w:color="auto"/>
        <w:left w:val="none" w:sz="0" w:space="0" w:color="auto"/>
        <w:bottom w:val="none" w:sz="0" w:space="0" w:color="auto"/>
        <w:right w:val="none" w:sz="0" w:space="0" w:color="auto"/>
      </w:divBdr>
    </w:div>
    <w:div w:id="192814663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1507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3925498">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013993">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09535">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528251">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57117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3801781">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2660959">
      <w:bodyDiv w:val="1"/>
      <w:marLeft w:val="0"/>
      <w:marRight w:val="0"/>
      <w:marTop w:val="0"/>
      <w:marBottom w:val="0"/>
      <w:divBdr>
        <w:top w:val="none" w:sz="0" w:space="0" w:color="auto"/>
        <w:left w:val="none" w:sz="0" w:space="0" w:color="auto"/>
        <w:bottom w:val="none" w:sz="0" w:space="0" w:color="auto"/>
        <w:right w:val="none" w:sz="0" w:space="0" w:color="auto"/>
      </w:divBdr>
    </w:div>
    <w:div w:id="1953853537">
      <w:bodyDiv w:val="1"/>
      <w:marLeft w:val="0"/>
      <w:marRight w:val="0"/>
      <w:marTop w:val="0"/>
      <w:marBottom w:val="0"/>
      <w:divBdr>
        <w:top w:val="none" w:sz="0" w:space="0" w:color="auto"/>
        <w:left w:val="none" w:sz="0" w:space="0" w:color="auto"/>
        <w:bottom w:val="none" w:sz="0" w:space="0" w:color="auto"/>
        <w:right w:val="none" w:sz="0" w:space="0" w:color="auto"/>
      </w:divBdr>
    </w:div>
    <w:div w:id="195732843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96433">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632217">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660832">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4655372">
      <w:bodyDiv w:val="1"/>
      <w:marLeft w:val="0"/>
      <w:marRight w:val="0"/>
      <w:marTop w:val="0"/>
      <w:marBottom w:val="0"/>
      <w:divBdr>
        <w:top w:val="none" w:sz="0" w:space="0" w:color="auto"/>
        <w:left w:val="none" w:sz="0" w:space="0" w:color="auto"/>
        <w:bottom w:val="none" w:sz="0" w:space="0" w:color="auto"/>
        <w:right w:val="none" w:sz="0" w:space="0" w:color="auto"/>
      </w:divBdr>
    </w:div>
    <w:div w:id="1985352039">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5962673">
      <w:bodyDiv w:val="1"/>
      <w:marLeft w:val="0"/>
      <w:marRight w:val="0"/>
      <w:marTop w:val="0"/>
      <w:marBottom w:val="0"/>
      <w:divBdr>
        <w:top w:val="none" w:sz="0" w:space="0" w:color="auto"/>
        <w:left w:val="none" w:sz="0" w:space="0" w:color="auto"/>
        <w:bottom w:val="none" w:sz="0" w:space="0" w:color="auto"/>
        <w:right w:val="none" w:sz="0" w:space="0" w:color="auto"/>
      </w:divBdr>
    </w:div>
    <w:div w:id="1986078350">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6927864">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0473219">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276046">
      <w:bodyDiv w:val="1"/>
      <w:marLeft w:val="0"/>
      <w:marRight w:val="0"/>
      <w:marTop w:val="0"/>
      <w:marBottom w:val="0"/>
      <w:divBdr>
        <w:top w:val="none" w:sz="0" w:space="0" w:color="auto"/>
        <w:left w:val="none" w:sz="0" w:space="0" w:color="auto"/>
        <w:bottom w:val="none" w:sz="0" w:space="0" w:color="auto"/>
        <w:right w:val="none" w:sz="0" w:space="0" w:color="auto"/>
      </w:divBdr>
    </w:div>
    <w:div w:id="2004241754">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5328">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707928">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09748163">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93456">
      <w:bodyDiv w:val="1"/>
      <w:marLeft w:val="0"/>
      <w:marRight w:val="0"/>
      <w:marTop w:val="0"/>
      <w:marBottom w:val="0"/>
      <w:divBdr>
        <w:top w:val="none" w:sz="0" w:space="0" w:color="auto"/>
        <w:left w:val="none" w:sz="0" w:space="0" w:color="auto"/>
        <w:bottom w:val="none" w:sz="0" w:space="0" w:color="auto"/>
        <w:right w:val="none" w:sz="0" w:space="0" w:color="auto"/>
      </w:divBdr>
    </w:div>
    <w:div w:id="2012442516">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472095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2996605">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112144">
      <w:bodyDiv w:val="1"/>
      <w:marLeft w:val="0"/>
      <w:marRight w:val="0"/>
      <w:marTop w:val="0"/>
      <w:marBottom w:val="0"/>
      <w:divBdr>
        <w:top w:val="none" w:sz="0" w:space="0" w:color="auto"/>
        <w:left w:val="none" w:sz="0" w:space="0" w:color="auto"/>
        <w:bottom w:val="none" w:sz="0" w:space="0" w:color="auto"/>
        <w:right w:val="none" w:sz="0" w:space="0" w:color="auto"/>
      </w:divBdr>
    </w:div>
    <w:div w:id="2035497697">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12520">
      <w:bodyDiv w:val="1"/>
      <w:marLeft w:val="0"/>
      <w:marRight w:val="0"/>
      <w:marTop w:val="0"/>
      <w:marBottom w:val="0"/>
      <w:divBdr>
        <w:top w:val="none" w:sz="0" w:space="0" w:color="auto"/>
        <w:left w:val="none" w:sz="0" w:space="0" w:color="auto"/>
        <w:bottom w:val="none" w:sz="0" w:space="0" w:color="auto"/>
        <w:right w:val="none" w:sz="0" w:space="0" w:color="auto"/>
      </w:divBdr>
    </w:div>
    <w:div w:id="2049064833">
      <w:bodyDiv w:val="1"/>
      <w:marLeft w:val="0"/>
      <w:marRight w:val="0"/>
      <w:marTop w:val="0"/>
      <w:marBottom w:val="0"/>
      <w:divBdr>
        <w:top w:val="none" w:sz="0" w:space="0" w:color="auto"/>
        <w:left w:val="none" w:sz="0" w:space="0" w:color="auto"/>
        <w:bottom w:val="none" w:sz="0" w:space="0" w:color="auto"/>
        <w:right w:val="none" w:sz="0" w:space="0" w:color="auto"/>
      </w:divBdr>
    </w:div>
    <w:div w:id="2050184983">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605999">
      <w:bodyDiv w:val="1"/>
      <w:marLeft w:val="0"/>
      <w:marRight w:val="0"/>
      <w:marTop w:val="0"/>
      <w:marBottom w:val="0"/>
      <w:divBdr>
        <w:top w:val="none" w:sz="0" w:space="0" w:color="auto"/>
        <w:left w:val="none" w:sz="0" w:space="0" w:color="auto"/>
        <w:bottom w:val="none" w:sz="0" w:space="0" w:color="auto"/>
        <w:right w:val="none" w:sz="0" w:space="0" w:color="auto"/>
      </w:divBdr>
    </w:div>
    <w:div w:id="2052725073">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32545">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578254">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6851555">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235711">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559931">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862852">
      <w:bodyDiv w:val="1"/>
      <w:marLeft w:val="0"/>
      <w:marRight w:val="0"/>
      <w:marTop w:val="0"/>
      <w:marBottom w:val="0"/>
      <w:divBdr>
        <w:top w:val="none" w:sz="0" w:space="0" w:color="auto"/>
        <w:left w:val="none" w:sz="0" w:space="0" w:color="auto"/>
        <w:bottom w:val="none" w:sz="0" w:space="0" w:color="auto"/>
        <w:right w:val="none" w:sz="0" w:space="0" w:color="auto"/>
      </w:divBdr>
    </w:div>
    <w:div w:id="2064018404">
      <w:bodyDiv w:val="1"/>
      <w:marLeft w:val="0"/>
      <w:marRight w:val="0"/>
      <w:marTop w:val="0"/>
      <w:marBottom w:val="0"/>
      <w:divBdr>
        <w:top w:val="none" w:sz="0" w:space="0" w:color="auto"/>
        <w:left w:val="none" w:sz="0" w:space="0" w:color="auto"/>
        <w:bottom w:val="none" w:sz="0" w:space="0" w:color="auto"/>
        <w:right w:val="none" w:sz="0" w:space="0" w:color="auto"/>
      </w:divBdr>
    </w:div>
    <w:div w:id="2065719006">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605617">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510347">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80201139">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057220">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529581">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502022">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0954096">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943498">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59012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7440">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095520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2601256">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641863">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46240">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5754514">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0683253">
      <w:bodyDiv w:val="1"/>
      <w:marLeft w:val="0"/>
      <w:marRight w:val="0"/>
      <w:marTop w:val="0"/>
      <w:marBottom w:val="0"/>
      <w:divBdr>
        <w:top w:val="none" w:sz="0" w:space="0" w:color="auto"/>
        <w:left w:val="none" w:sz="0" w:space="0" w:color="auto"/>
        <w:bottom w:val="none" w:sz="0" w:space="0" w:color="auto"/>
        <w:right w:val="none" w:sz="0" w:space="0" w:color="auto"/>
      </w:divBdr>
    </w:div>
    <w:div w:id="2141799643">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3884235">
      <w:bodyDiv w:val="1"/>
      <w:marLeft w:val="0"/>
      <w:marRight w:val="0"/>
      <w:marTop w:val="0"/>
      <w:marBottom w:val="0"/>
      <w:divBdr>
        <w:top w:val="none" w:sz="0" w:space="0" w:color="auto"/>
        <w:left w:val="none" w:sz="0" w:space="0" w:color="auto"/>
        <w:bottom w:val="none" w:sz="0" w:space="0" w:color="auto"/>
        <w:right w:val="none" w:sz="0" w:space="0" w:color="auto"/>
      </w:divBdr>
    </w:div>
    <w:div w:id="2144929516">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24660">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uveytturk.com.tr" TargetMode="Externa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footer" Target="footer20.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5.xml"/><Relationship Id="rId46" Type="http://schemas.openxmlformats.org/officeDocument/2006/relationships/header" Target="header17.xml"/><Relationship Id="rId20" Type="http://schemas.openxmlformats.org/officeDocument/2006/relationships/header" Target="header7.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5535A-1A59-4A81-B475-A0E01A594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127</Pages>
  <Words>53694</Words>
  <Characters>306061</Characters>
  <Application>Microsoft Office Word</Application>
  <DocSecurity>0</DocSecurity>
  <Lines>2550</Lines>
  <Paragraphs>718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359037</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28</cp:revision>
  <cp:lastPrinted>2019-07-30T20:11:00Z</cp:lastPrinted>
  <dcterms:created xsi:type="dcterms:W3CDTF">2025-02-10T15:26:00Z</dcterms:created>
  <dcterms:modified xsi:type="dcterms:W3CDTF">2025-02-14T15:51:00Z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2024-01-09T15:18:24Z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6fdef056-4419-461b-8ca3-e789d641e848</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2025-01-20T16:17:55Z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312caccd-1abe-4cce-ab44-2b7dfa65ab86</vt:lpwstr>
  </property>
  <property fmtid="{D5CDD505-2E9C-101B-9397-08002B2CF9AE}" pid="15" name="MSIP_Label_ea60d57e-af5b-4752-ac57-3e4f28ca11dc_ContentBits">
    <vt:lpwstr>0</vt:lpwstr>
  </property>
</Properties>
</file>